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282292" w14:textId="77777777" w:rsidR="00055389" w:rsidRPr="008A041D" w:rsidRDefault="00055389" w:rsidP="00055389">
      <w:pPr>
        <w:keepNext/>
        <w:suppressAutoHyphens/>
        <w:ind w:firstLine="0"/>
        <w:jc w:val="center"/>
        <w:rPr>
          <w:rFonts w:ascii="Arial" w:eastAsia="NSimSun" w:hAnsi="Arial" w:cs="Arial"/>
          <w:kern w:val="2"/>
          <w:sz w:val="26"/>
          <w:szCs w:val="26"/>
          <w:lang w:val="uk-UA" w:eastAsia="zh-CN" w:bidi="hi-IN"/>
        </w:rPr>
      </w:pPr>
      <w:bookmarkStart w:id="0" w:name="_Toc61351037"/>
      <w:bookmarkStart w:id="1" w:name="_Toc73983943"/>
      <w:r w:rsidRPr="008A041D">
        <w:rPr>
          <w:rFonts w:ascii="Arial" w:eastAsia="NSimSun" w:hAnsi="Arial" w:cs="Arial"/>
          <w:kern w:val="2"/>
          <w:sz w:val="26"/>
          <w:szCs w:val="26"/>
          <w:lang w:val="uk-UA" w:eastAsia="zh-CN" w:bidi="hi-IN"/>
        </w:rPr>
        <w:t>МІНІСТЕРСТВО ОСВІТИ І НАУКИ УКРАЇНИ</w:t>
      </w:r>
    </w:p>
    <w:p w14:paraId="4DC323F0" w14:textId="77777777" w:rsidR="00055389" w:rsidRPr="008A041D" w:rsidRDefault="00055389" w:rsidP="00055389">
      <w:pPr>
        <w:keepNext/>
        <w:suppressAutoHyphens/>
        <w:ind w:firstLine="0"/>
        <w:jc w:val="center"/>
        <w:rPr>
          <w:rFonts w:ascii="Arial" w:eastAsia="NSimSun" w:hAnsi="Arial" w:cs="Arial"/>
          <w:kern w:val="2"/>
          <w:sz w:val="26"/>
          <w:szCs w:val="26"/>
          <w:lang w:val="uk-UA" w:eastAsia="zh-CN" w:bidi="hi-IN"/>
        </w:rPr>
      </w:pPr>
      <w:r w:rsidRPr="008A041D">
        <w:rPr>
          <w:rFonts w:ascii="Arial" w:eastAsia="NSimSun" w:hAnsi="Arial" w:cs="Arial"/>
          <w:kern w:val="2"/>
          <w:sz w:val="26"/>
          <w:szCs w:val="26"/>
          <w:lang w:val="uk-UA" w:eastAsia="zh-CN" w:bidi="hi-IN"/>
        </w:rPr>
        <w:t>_________________________</w:t>
      </w:r>
    </w:p>
    <w:p w14:paraId="5246936A" w14:textId="77777777" w:rsidR="00055389" w:rsidRPr="008A041D" w:rsidRDefault="00055389" w:rsidP="00055389">
      <w:pPr>
        <w:keepNext/>
        <w:suppressAutoHyphens/>
        <w:ind w:firstLine="0"/>
        <w:jc w:val="center"/>
        <w:rPr>
          <w:rFonts w:ascii="Arial" w:eastAsia="NSimSun" w:hAnsi="Arial" w:cs="Arial"/>
          <w:kern w:val="2"/>
          <w:sz w:val="26"/>
          <w:szCs w:val="26"/>
          <w:lang w:val="uk-UA" w:eastAsia="zh-CN" w:bidi="hi-IN"/>
        </w:rPr>
      </w:pPr>
      <w:r w:rsidRPr="008A041D">
        <w:rPr>
          <w:rFonts w:ascii="Arial" w:eastAsia="NSimSun" w:hAnsi="Arial" w:cs="Arial"/>
          <w:kern w:val="2"/>
          <w:sz w:val="26"/>
          <w:szCs w:val="26"/>
          <w:lang w:val="uk-UA" w:eastAsia="zh-CN" w:bidi="hi-IN"/>
        </w:rPr>
        <w:t>Національний університет «Одеська юридична академія»</w:t>
      </w:r>
    </w:p>
    <w:p w14:paraId="7892328E"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p w14:paraId="1BAA64C1"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p w14:paraId="72E7FAA1"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p w14:paraId="4886ED5F"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p w14:paraId="7B4D2B27"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p w14:paraId="5A7D689C"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p w14:paraId="182302D0"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p w14:paraId="122FACBF"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p w14:paraId="4A02E44B" w14:textId="77777777" w:rsidR="00055389" w:rsidRPr="008A041D" w:rsidRDefault="00055389" w:rsidP="00055389">
      <w:pPr>
        <w:keepNext/>
        <w:suppressAutoHyphens/>
        <w:ind w:firstLine="0"/>
        <w:jc w:val="center"/>
        <w:rPr>
          <w:rFonts w:ascii="Arial" w:eastAsia="NSimSun" w:hAnsi="Arial" w:cs="Arial"/>
          <w:b/>
          <w:kern w:val="2"/>
          <w:sz w:val="36"/>
          <w:szCs w:val="36"/>
          <w:lang w:val="uk-UA" w:eastAsia="zh-CN" w:bidi="hi-IN"/>
        </w:rPr>
      </w:pPr>
      <w:bookmarkStart w:id="2" w:name="_Hlk136964652"/>
      <w:r w:rsidRPr="008A041D">
        <w:rPr>
          <w:rFonts w:ascii="Arial" w:eastAsia="NSimSun" w:hAnsi="Arial" w:cs="Arial"/>
          <w:b/>
          <w:kern w:val="2"/>
          <w:sz w:val="36"/>
          <w:szCs w:val="36"/>
          <w:lang w:val="uk-UA" w:eastAsia="zh-CN" w:bidi="hi-IN"/>
        </w:rPr>
        <w:t xml:space="preserve">СУСПІЛЬСТВО ТА ДЕРЖАВА: </w:t>
      </w:r>
    </w:p>
    <w:p w14:paraId="6BFCE0F8" w14:textId="77777777" w:rsidR="00055389" w:rsidRPr="008A041D" w:rsidRDefault="00055389" w:rsidP="00055389">
      <w:pPr>
        <w:keepNext/>
        <w:suppressAutoHyphens/>
        <w:ind w:firstLine="0"/>
        <w:jc w:val="center"/>
        <w:rPr>
          <w:rFonts w:ascii="Arial" w:eastAsia="NSimSun" w:hAnsi="Arial" w:cs="Arial"/>
          <w:b/>
          <w:kern w:val="2"/>
          <w:sz w:val="36"/>
          <w:szCs w:val="36"/>
          <w:lang w:val="uk-UA" w:eastAsia="zh-CN" w:bidi="hi-IN"/>
        </w:rPr>
      </w:pPr>
      <w:r w:rsidRPr="008A041D">
        <w:rPr>
          <w:rFonts w:ascii="Arial" w:eastAsia="NSimSun" w:hAnsi="Arial" w:cs="Arial"/>
          <w:b/>
          <w:kern w:val="2"/>
          <w:sz w:val="36"/>
          <w:szCs w:val="36"/>
          <w:lang w:val="uk-UA" w:eastAsia="zh-CN" w:bidi="hi-IN"/>
        </w:rPr>
        <w:t xml:space="preserve">НОВІ ВИМІРИ У ВОЄННИЙ ЧАС </w:t>
      </w:r>
    </w:p>
    <w:p w14:paraId="5F4F6E1F"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bookmarkEnd w:id="2"/>
    <w:p w14:paraId="054087FD"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p w14:paraId="17AD9788" w14:textId="77777777" w:rsidR="00055389" w:rsidRPr="008A041D" w:rsidRDefault="00055389" w:rsidP="00055389">
      <w:pPr>
        <w:keepNext/>
        <w:suppressAutoHyphens/>
        <w:spacing w:line="276" w:lineRule="auto"/>
        <w:ind w:firstLine="0"/>
        <w:jc w:val="center"/>
        <w:rPr>
          <w:rFonts w:ascii="Arial" w:eastAsia="NSimSun" w:hAnsi="Arial" w:cs="Arial"/>
          <w:kern w:val="2"/>
          <w:sz w:val="26"/>
          <w:szCs w:val="26"/>
          <w:lang w:val="uk-UA" w:eastAsia="zh-CN" w:bidi="hi-IN"/>
        </w:rPr>
      </w:pPr>
      <w:r w:rsidRPr="008A041D">
        <w:rPr>
          <w:rFonts w:ascii="Arial" w:eastAsia="NSimSun" w:hAnsi="Arial" w:cs="Arial"/>
          <w:kern w:val="2"/>
          <w:sz w:val="26"/>
          <w:szCs w:val="26"/>
          <w:lang w:val="uk-UA" w:eastAsia="zh-CN" w:bidi="hi-IN"/>
        </w:rPr>
        <w:t>МАТЕРІАЛИ</w:t>
      </w:r>
    </w:p>
    <w:p w14:paraId="799AECBB" w14:textId="77777777" w:rsidR="00055389" w:rsidRPr="008A041D" w:rsidRDefault="00055389" w:rsidP="00055389">
      <w:pPr>
        <w:keepNext/>
        <w:suppressAutoHyphens/>
        <w:spacing w:line="276" w:lineRule="auto"/>
        <w:ind w:firstLine="0"/>
        <w:jc w:val="center"/>
        <w:rPr>
          <w:rFonts w:ascii="Arial" w:eastAsia="NSimSun" w:hAnsi="Arial" w:cs="Arial"/>
          <w:kern w:val="2"/>
          <w:sz w:val="26"/>
          <w:szCs w:val="26"/>
          <w:lang w:val="uk-UA" w:eastAsia="zh-CN" w:bidi="hi-IN"/>
        </w:rPr>
      </w:pPr>
      <w:r w:rsidRPr="008A041D">
        <w:rPr>
          <w:rFonts w:ascii="Arial" w:eastAsia="NSimSun" w:hAnsi="Arial" w:cs="Arial"/>
          <w:kern w:val="2"/>
          <w:sz w:val="26"/>
          <w:szCs w:val="26"/>
          <w:lang w:val="uk-UA" w:eastAsia="zh-CN" w:bidi="hi-IN"/>
        </w:rPr>
        <w:t xml:space="preserve">Всеукраїнської науково-практичної конференції </w:t>
      </w:r>
      <w:r w:rsidRPr="008A041D">
        <w:rPr>
          <w:rFonts w:ascii="Arial" w:eastAsia="NSimSun" w:hAnsi="Arial" w:cs="Arial"/>
          <w:kern w:val="2"/>
          <w:sz w:val="26"/>
          <w:szCs w:val="26"/>
          <w:lang w:val="uk-UA" w:eastAsia="zh-CN" w:bidi="hi-IN"/>
        </w:rPr>
        <w:br/>
        <w:t>здобувачів вищої освіти</w:t>
      </w:r>
    </w:p>
    <w:p w14:paraId="4778C834" w14:textId="77777777" w:rsidR="00055389" w:rsidRPr="008A041D" w:rsidRDefault="00055389" w:rsidP="00055389">
      <w:pPr>
        <w:keepNext/>
        <w:suppressAutoHyphens/>
        <w:ind w:firstLine="0"/>
        <w:jc w:val="center"/>
        <w:rPr>
          <w:rFonts w:ascii="Arial" w:eastAsia="NSimSun" w:hAnsi="Arial" w:cs="Arial"/>
          <w:kern w:val="2"/>
          <w:sz w:val="26"/>
          <w:szCs w:val="26"/>
          <w:lang w:val="uk-UA" w:eastAsia="zh-CN" w:bidi="hi-IN"/>
        </w:rPr>
      </w:pPr>
    </w:p>
    <w:p w14:paraId="7FA55FE8" w14:textId="77777777" w:rsidR="00055389" w:rsidRPr="008A041D" w:rsidRDefault="00055389" w:rsidP="00055389">
      <w:pPr>
        <w:keepNext/>
        <w:suppressAutoHyphens/>
        <w:ind w:firstLine="0"/>
        <w:jc w:val="center"/>
        <w:rPr>
          <w:rFonts w:ascii="Arial" w:eastAsia="NSimSun" w:hAnsi="Arial" w:cs="Arial"/>
          <w:i/>
          <w:kern w:val="2"/>
          <w:sz w:val="26"/>
          <w:szCs w:val="26"/>
          <w:lang w:val="uk-UA" w:eastAsia="zh-CN" w:bidi="hi-IN"/>
        </w:rPr>
      </w:pPr>
      <w:r w:rsidRPr="008A041D">
        <w:rPr>
          <w:rFonts w:ascii="Arial" w:eastAsia="NSimSun" w:hAnsi="Arial" w:cs="Arial"/>
          <w:i/>
          <w:kern w:val="2"/>
          <w:sz w:val="26"/>
          <w:szCs w:val="26"/>
          <w:lang w:val="uk-UA" w:eastAsia="zh-CN" w:bidi="hi-IN"/>
        </w:rPr>
        <w:t>Одеса, 26 травня 2025 року</w:t>
      </w:r>
    </w:p>
    <w:p w14:paraId="065D5280" w14:textId="77777777" w:rsidR="00055389" w:rsidRPr="00511005" w:rsidRDefault="00055389" w:rsidP="00055389">
      <w:pPr>
        <w:keepNext/>
        <w:suppressAutoHyphens/>
        <w:ind w:firstLine="0"/>
        <w:jc w:val="center"/>
        <w:rPr>
          <w:rFonts w:ascii="Arial" w:eastAsia="NSimSun" w:hAnsi="Arial" w:cs="Arial"/>
          <w:kern w:val="2"/>
          <w:szCs w:val="28"/>
          <w:lang w:val="uk-UA" w:eastAsia="zh-CN" w:bidi="hi-IN"/>
        </w:rPr>
      </w:pPr>
    </w:p>
    <w:p w14:paraId="4532BEDC" w14:textId="77777777" w:rsidR="00055389" w:rsidRPr="00511005" w:rsidRDefault="00055389" w:rsidP="00055389">
      <w:pPr>
        <w:keepNext/>
        <w:suppressAutoHyphens/>
        <w:ind w:firstLine="0"/>
        <w:jc w:val="center"/>
        <w:rPr>
          <w:rFonts w:ascii="Arial" w:eastAsia="NSimSun" w:hAnsi="Arial" w:cs="Arial"/>
          <w:kern w:val="2"/>
          <w:szCs w:val="28"/>
          <w:lang w:val="uk-UA" w:eastAsia="zh-CN" w:bidi="hi-IN"/>
        </w:rPr>
      </w:pPr>
    </w:p>
    <w:p w14:paraId="46D0C6E7" w14:textId="77777777" w:rsidR="00055389" w:rsidRPr="00511005" w:rsidRDefault="00055389" w:rsidP="00055389">
      <w:pPr>
        <w:keepNext/>
        <w:suppressAutoHyphens/>
        <w:ind w:firstLine="0"/>
        <w:jc w:val="center"/>
        <w:rPr>
          <w:rFonts w:ascii="Arial" w:eastAsia="NSimSun" w:hAnsi="Arial" w:cs="Arial"/>
          <w:kern w:val="2"/>
          <w:szCs w:val="28"/>
          <w:lang w:val="uk-UA" w:eastAsia="zh-CN" w:bidi="hi-IN"/>
        </w:rPr>
      </w:pPr>
    </w:p>
    <w:p w14:paraId="526B629C" w14:textId="77777777" w:rsidR="00055389" w:rsidRPr="00511005" w:rsidRDefault="00055389" w:rsidP="00055389">
      <w:pPr>
        <w:keepNext/>
        <w:suppressAutoHyphens/>
        <w:ind w:firstLine="0"/>
        <w:jc w:val="center"/>
        <w:rPr>
          <w:rFonts w:ascii="Arial" w:eastAsia="NSimSun" w:hAnsi="Arial" w:cs="Arial"/>
          <w:kern w:val="2"/>
          <w:szCs w:val="28"/>
          <w:lang w:val="uk-UA" w:eastAsia="zh-CN" w:bidi="hi-IN"/>
        </w:rPr>
      </w:pPr>
    </w:p>
    <w:p w14:paraId="7CB2DA94" w14:textId="77777777" w:rsidR="00055389" w:rsidRDefault="00055389" w:rsidP="00055389">
      <w:pPr>
        <w:keepNext/>
        <w:suppressAutoHyphens/>
        <w:ind w:firstLine="0"/>
        <w:jc w:val="center"/>
        <w:rPr>
          <w:rFonts w:ascii="Arial" w:eastAsia="NSimSun" w:hAnsi="Arial" w:cs="Arial"/>
          <w:kern w:val="2"/>
          <w:szCs w:val="28"/>
          <w:lang w:val="uk-UA" w:eastAsia="zh-CN" w:bidi="hi-IN"/>
        </w:rPr>
      </w:pPr>
    </w:p>
    <w:p w14:paraId="74784CC9" w14:textId="77777777" w:rsidR="00055389" w:rsidRDefault="00055389" w:rsidP="00055389">
      <w:pPr>
        <w:keepNext/>
        <w:suppressAutoHyphens/>
        <w:ind w:firstLine="0"/>
        <w:jc w:val="center"/>
        <w:rPr>
          <w:rFonts w:ascii="Arial" w:eastAsia="NSimSun" w:hAnsi="Arial" w:cs="Arial"/>
          <w:kern w:val="2"/>
          <w:szCs w:val="28"/>
          <w:lang w:val="uk-UA" w:eastAsia="zh-CN" w:bidi="hi-IN"/>
        </w:rPr>
      </w:pPr>
    </w:p>
    <w:p w14:paraId="46269FF3" w14:textId="77777777" w:rsidR="00055389" w:rsidRDefault="00055389" w:rsidP="00055389">
      <w:pPr>
        <w:keepNext/>
        <w:suppressAutoHyphens/>
        <w:ind w:firstLine="0"/>
        <w:jc w:val="center"/>
        <w:rPr>
          <w:rFonts w:ascii="Arial" w:eastAsia="NSimSun" w:hAnsi="Arial" w:cs="Arial"/>
          <w:kern w:val="2"/>
          <w:szCs w:val="28"/>
          <w:lang w:val="uk-UA" w:eastAsia="zh-CN" w:bidi="hi-IN"/>
        </w:rPr>
      </w:pPr>
    </w:p>
    <w:p w14:paraId="52D2FA87" w14:textId="77777777" w:rsidR="00055389" w:rsidRDefault="00055389" w:rsidP="00055389">
      <w:pPr>
        <w:keepNext/>
        <w:suppressAutoHyphens/>
        <w:ind w:firstLine="0"/>
        <w:jc w:val="center"/>
        <w:rPr>
          <w:rFonts w:ascii="Arial" w:eastAsia="NSimSun" w:hAnsi="Arial" w:cs="Arial"/>
          <w:kern w:val="2"/>
          <w:szCs w:val="28"/>
          <w:lang w:val="uk-UA" w:eastAsia="zh-CN" w:bidi="hi-IN"/>
        </w:rPr>
      </w:pPr>
    </w:p>
    <w:p w14:paraId="02E1F14D" w14:textId="77777777" w:rsidR="00055389" w:rsidRDefault="00055389" w:rsidP="00055389">
      <w:pPr>
        <w:keepNext/>
        <w:suppressAutoHyphens/>
        <w:ind w:firstLine="0"/>
        <w:jc w:val="center"/>
        <w:rPr>
          <w:rFonts w:ascii="Arial" w:eastAsia="NSimSun" w:hAnsi="Arial" w:cs="Arial"/>
          <w:kern w:val="2"/>
          <w:szCs w:val="28"/>
          <w:lang w:val="uk-UA" w:eastAsia="zh-CN" w:bidi="hi-IN"/>
        </w:rPr>
      </w:pPr>
    </w:p>
    <w:p w14:paraId="30F2CBCC" w14:textId="77777777" w:rsidR="00055389" w:rsidRPr="00511005" w:rsidRDefault="00055389" w:rsidP="00055389">
      <w:pPr>
        <w:keepNext/>
        <w:suppressAutoHyphens/>
        <w:ind w:firstLine="0"/>
        <w:jc w:val="center"/>
        <w:rPr>
          <w:rFonts w:ascii="Arial" w:eastAsia="NSimSun" w:hAnsi="Arial" w:cs="Arial"/>
          <w:kern w:val="2"/>
          <w:szCs w:val="28"/>
          <w:lang w:val="uk-UA" w:eastAsia="zh-CN" w:bidi="hi-IN"/>
        </w:rPr>
      </w:pPr>
    </w:p>
    <w:p w14:paraId="6D812D1F" w14:textId="77777777" w:rsidR="00055389" w:rsidRPr="008A041D" w:rsidRDefault="00055389" w:rsidP="00055389">
      <w:pPr>
        <w:keepNext/>
        <w:suppressAutoHyphens/>
        <w:ind w:firstLine="0"/>
        <w:jc w:val="center"/>
        <w:rPr>
          <w:rFonts w:ascii="Arial" w:eastAsia="NSimSun" w:hAnsi="Arial" w:cs="Arial"/>
          <w:kern w:val="2"/>
          <w:sz w:val="26"/>
          <w:szCs w:val="26"/>
          <w:lang w:val="uk-UA" w:eastAsia="zh-CN" w:bidi="hi-IN"/>
        </w:rPr>
      </w:pPr>
      <w:r w:rsidRPr="008A041D">
        <w:rPr>
          <w:rFonts w:ascii="Arial" w:eastAsia="NSimSun" w:hAnsi="Arial" w:cs="Arial"/>
          <w:kern w:val="2"/>
          <w:sz w:val="26"/>
          <w:szCs w:val="26"/>
          <w:lang w:val="uk-UA" w:eastAsia="zh-CN" w:bidi="hi-IN"/>
        </w:rPr>
        <w:t>Одеса</w:t>
      </w:r>
    </w:p>
    <w:p w14:paraId="0FACF134" w14:textId="77777777" w:rsidR="00055389" w:rsidRPr="008A041D" w:rsidRDefault="00055389" w:rsidP="00055389">
      <w:pPr>
        <w:keepNext/>
        <w:suppressAutoHyphens/>
        <w:ind w:firstLine="0"/>
        <w:jc w:val="center"/>
        <w:rPr>
          <w:rFonts w:ascii="Arial" w:eastAsia="NSimSun" w:hAnsi="Arial" w:cs="Arial"/>
          <w:kern w:val="2"/>
          <w:sz w:val="26"/>
          <w:szCs w:val="26"/>
          <w:lang w:val="uk-UA" w:eastAsia="zh-CN" w:bidi="hi-IN"/>
        </w:rPr>
      </w:pPr>
      <w:r w:rsidRPr="008A041D">
        <w:rPr>
          <w:rFonts w:ascii="Arial" w:eastAsia="NSimSun" w:hAnsi="Arial" w:cs="Arial"/>
          <w:kern w:val="2"/>
          <w:sz w:val="26"/>
          <w:szCs w:val="26"/>
          <w:lang w:val="uk-UA" w:eastAsia="zh-CN" w:bidi="hi-IN"/>
        </w:rPr>
        <w:t>2025</w:t>
      </w:r>
    </w:p>
    <w:p w14:paraId="34D257D9" w14:textId="77777777" w:rsidR="00055389" w:rsidRPr="00CB120A" w:rsidRDefault="00055389" w:rsidP="00055389">
      <w:pPr>
        <w:keepNext/>
        <w:suppressAutoHyphens/>
        <w:spacing w:line="240" w:lineRule="auto"/>
        <w:ind w:firstLine="0"/>
        <w:jc w:val="left"/>
        <w:rPr>
          <w:rFonts w:ascii="Arial" w:eastAsia="NSimSun" w:hAnsi="Arial" w:cs="Arial"/>
          <w:kern w:val="2"/>
          <w:sz w:val="24"/>
          <w:szCs w:val="24"/>
          <w:lang w:val="uk-UA" w:eastAsia="zh-CN" w:bidi="hi-IN"/>
        </w:rPr>
      </w:pPr>
      <w:r w:rsidRPr="00CB120A">
        <w:rPr>
          <w:rFonts w:ascii="Arial" w:eastAsia="NSimSun" w:hAnsi="Arial" w:cs="Arial"/>
          <w:kern w:val="2"/>
          <w:sz w:val="24"/>
          <w:szCs w:val="24"/>
          <w:lang w:val="uk-UA" w:eastAsia="zh-CN" w:bidi="hi-IN"/>
        </w:rPr>
        <w:lastRenderedPageBreak/>
        <w:t>УДК 321.01 : 340.12]”364”</w:t>
      </w:r>
    </w:p>
    <w:p w14:paraId="0480EE83" w14:textId="77777777" w:rsidR="00055389" w:rsidRPr="00CB120A" w:rsidRDefault="00055389" w:rsidP="00055389">
      <w:pPr>
        <w:keepNext/>
        <w:suppressAutoHyphens/>
        <w:spacing w:line="240" w:lineRule="auto"/>
        <w:ind w:firstLine="0"/>
        <w:jc w:val="left"/>
        <w:rPr>
          <w:rFonts w:ascii="Arial" w:eastAsia="NSimSun" w:hAnsi="Arial" w:cs="Arial"/>
          <w:kern w:val="2"/>
          <w:sz w:val="24"/>
          <w:szCs w:val="24"/>
          <w:lang w:val="uk-UA" w:eastAsia="zh-CN" w:bidi="hi-IN"/>
        </w:rPr>
      </w:pPr>
      <w:r w:rsidRPr="00CB120A">
        <w:rPr>
          <w:rFonts w:ascii="Arial" w:eastAsia="NSimSun" w:hAnsi="Arial" w:cs="Arial"/>
          <w:kern w:val="2"/>
          <w:sz w:val="24"/>
          <w:szCs w:val="24"/>
          <w:lang w:val="uk-UA" w:eastAsia="zh-CN" w:bidi="hi-IN"/>
        </w:rPr>
        <w:t>С 89</w:t>
      </w:r>
    </w:p>
    <w:p w14:paraId="614AC06D" w14:textId="77777777" w:rsidR="00055389" w:rsidRPr="00CB120A" w:rsidRDefault="00055389" w:rsidP="00055389">
      <w:pPr>
        <w:keepNext/>
        <w:suppressAutoHyphens/>
        <w:spacing w:line="240" w:lineRule="auto"/>
        <w:ind w:firstLine="4536"/>
        <w:jc w:val="right"/>
        <w:rPr>
          <w:rFonts w:ascii="Arial" w:eastAsia="NSimSun" w:hAnsi="Arial" w:cs="Arial"/>
          <w:i/>
          <w:kern w:val="2"/>
          <w:sz w:val="24"/>
          <w:szCs w:val="24"/>
          <w:lang w:val="uk-UA" w:eastAsia="zh-CN" w:bidi="hi-IN"/>
        </w:rPr>
      </w:pPr>
    </w:p>
    <w:p w14:paraId="0BC4EF37" w14:textId="77777777" w:rsidR="00055389" w:rsidRPr="00CB120A" w:rsidRDefault="00055389" w:rsidP="00055389">
      <w:pPr>
        <w:keepNext/>
        <w:suppressAutoHyphens/>
        <w:spacing w:line="240" w:lineRule="auto"/>
        <w:ind w:firstLine="4536"/>
        <w:jc w:val="right"/>
        <w:rPr>
          <w:rFonts w:ascii="Arial" w:eastAsia="NSimSun" w:hAnsi="Arial" w:cs="Arial"/>
          <w:i/>
          <w:kern w:val="2"/>
          <w:sz w:val="24"/>
          <w:szCs w:val="24"/>
          <w:lang w:val="uk-UA" w:eastAsia="zh-CN" w:bidi="hi-IN"/>
        </w:rPr>
      </w:pPr>
    </w:p>
    <w:p w14:paraId="1D19CDC0" w14:textId="77777777" w:rsidR="00055389" w:rsidRPr="00CB120A" w:rsidRDefault="00055389" w:rsidP="00055389">
      <w:pPr>
        <w:keepNext/>
        <w:suppressAutoHyphens/>
        <w:spacing w:line="240" w:lineRule="auto"/>
        <w:ind w:firstLine="4536"/>
        <w:jc w:val="right"/>
        <w:rPr>
          <w:rFonts w:ascii="Arial" w:eastAsia="NSimSun" w:hAnsi="Arial" w:cs="Arial"/>
          <w:i/>
          <w:kern w:val="2"/>
          <w:sz w:val="24"/>
          <w:szCs w:val="24"/>
          <w:lang w:val="uk-UA" w:eastAsia="zh-CN" w:bidi="hi-IN"/>
        </w:rPr>
      </w:pPr>
      <w:r w:rsidRPr="00CB120A">
        <w:rPr>
          <w:rFonts w:ascii="Arial" w:eastAsia="NSimSun" w:hAnsi="Arial" w:cs="Arial"/>
          <w:i/>
          <w:kern w:val="2"/>
          <w:sz w:val="24"/>
          <w:szCs w:val="24"/>
          <w:lang w:val="uk-UA" w:eastAsia="zh-CN" w:bidi="hi-IN"/>
        </w:rPr>
        <w:t xml:space="preserve">Рекомендовано до друку вченою радою Національного університету «Одеська юридична академія» </w:t>
      </w:r>
    </w:p>
    <w:p w14:paraId="01F6FE25" w14:textId="77777777" w:rsidR="00055389" w:rsidRPr="00CB120A" w:rsidRDefault="00055389" w:rsidP="00055389">
      <w:pPr>
        <w:keepNext/>
        <w:suppressAutoHyphens/>
        <w:spacing w:line="240" w:lineRule="auto"/>
        <w:ind w:firstLine="4536"/>
        <w:jc w:val="right"/>
        <w:rPr>
          <w:rFonts w:ascii="Arial" w:eastAsia="NSimSun" w:hAnsi="Arial" w:cs="Arial"/>
          <w:i/>
          <w:kern w:val="2"/>
          <w:sz w:val="24"/>
          <w:szCs w:val="24"/>
          <w:lang w:val="uk-UA" w:eastAsia="zh-CN" w:bidi="hi-IN"/>
        </w:rPr>
      </w:pPr>
      <w:r w:rsidRPr="00CB120A">
        <w:rPr>
          <w:rFonts w:ascii="Arial" w:eastAsia="NSimSun" w:hAnsi="Arial" w:cs="Arial"/>
          <w:i/>
          <w:kern w:val="2"/>
          <w:sz w:val="24"/>
          <w:szCs w:val="24"/>
          <w:lang w:val="uk-UA" w:eastAsia="zh-CN" w:bidi="hi-IN"/>
        </w:rPr>
        <w:t>(протокол № 8 від 16.05.2025)</w:t>
      </w:r>
    </w:p>
    <w:p w14:paraId="7B80782D" w14:textId="77777777" w:rsidR="00055389" w:rsidRPr="00CB120A" w:rsidRDefault="00055389" w:rsidP="00055389">
      <w:pPr>
        <w:keepNext/>
        <w:suppressAutoHyphens/>
        <w:spacing w:line="240" w:lineRule="auto"/>
        <w:ind w:firstLine="3969"/>
        <w:jc w:val="right"/>
        <w:rPr>
          <w:rFonts w:ascii="Arial" w:eastAsia="NSimSun" w:hAnsi="Arial" w:cs="Arial"/>
          <w:i/>
          <w:kern w:val="2"/>
          <w:sz w:val="24"/>
          <w:szCs w:val="24"/>
          <w:lang w:val="uk-UA" w:eastAsia="zh-CN" w:bidi="hi-IN"/>
        </w:rPr>
      </w:pPr>
    </w:p>
    <w:p w14:paraId="0A8F5309" w14:textId="77777777" w:rsidR="00055389" w:rsidRPr="00CB120A" w:rsidRDefault="00055389" w:rsidP="00055389">
      <w:pPr>
        <w:keepNext/>
        <w:suppressAutoHyphens/>
        <w:spacing w:line="240" w:lineRule="auto"/>
        <w:ind w:firstLine="0"/>
        <w:jc w:val="center"/>
        <w:rPr>
          <w:rFonts w:ascii="Arial" w:eastAsia="NSimSun" w:hAnsi="Arial" w:cs="Arial"/>
          <w:i/>
          <w:kern w:val="2"/>
          <w:sz w:val="24"/>
          <w:szCs w:val="24"/>
          <w:lang w:val="uk-UA" w:eastAsia="zh-CN" w:bidi="hi-IN"/>
        </w:rPr>
      </w:pPr>
    </w:p>
    <w:p w14:paraId="37712E0D" w14:textId="77777777" w:rsidR="00055389" w:rsidRPr="00CB120A" w:rsidRDefault="00055389" w:rsidP="00055389">
      <w:pPr>
        <w:keepNext/>
        <w:suppressAutoHyphens/>
        <w:spacing w:line="240" w:lineRule="auto"/>
        <w:ind w:firstLine="0"/>
        <w:jc w:val="left"/>
        <w:rPr>
          <w:rFonts w:ascii="Arial" w:eastAsia="NSimSun" w:hAnsi="Arial" w:cs="Arial"/>
          <w:bCs/>
          <w:kern w:val="2"/>
          <w:sz w:val="24"/>
          <w:szCs w:val="24"/>
          <w:lang w:val="uk-UA" w:eastAsia="zh-CN" w:bidi="hi-IN"/>
        </w:rPr>
      </w:pPr>
      <w:r w:rsidRPr="00CB120A">
        <w:rPr>
          <w:rFonts w:ascii="Arial" w:eastAsia="NSimSun" w:hAnsi="Arial" w:cs="Arial"/>
          <w:b/>
          <w:kern w:val="2"/>
          <w:sz w:val="24"/>
          <w:szCs w:val="24"/>
          <w:lang w:val="uk-UA" w:eastAsia="zh-CN" w:bidi="hi-IN"/>
        </w:rPr>
        <w:t>За загальною редакцією</w:t>
      </w:r>
      <w:r w:rsidRPr="00CB120A">
        <w:rPr>
          <w:rFonts w:ascii="Arial" w:eastAsia="NSimSun" w:hAnsi="Arial" w:cs="Arial"/>
          <w:bCs/>
          <w:kern w:val="2"/>
          <w:sz w:val="24"/>
          <w:szCs w:val="24"/>
          <w:lang w:val="uk-UA" w:eastAsia="zh-CN" w:bidi="hi-IN"/>
        </w:rPr>
        <w:t xml:space="preserve"> голови вченої ради Національного університету «Одеська юридична академія», доктора юридичних наук, професора, академіка С. В. Ківалова. </w:t>
      </w:r>
    </w:p>
    <w:p w14:paraId="0C0081E4" w14:textId="77777777" w:rsidR="00055389" w:rsidRPr="00CB120A" w:rsidRDefault="00055389" w:rsidP="00055389">
      <w:pPr>
        <w:keepNext/>
        <w:suppressAutoHyphens/>
        <w:spacing w:line="240" w:lineRule="auto"/>
        <w:ind w:firstLine="0"/>
        <w:jc w:val="left"/>
        <w:rPr>
          <w:rFonts w:ascii="Arial" w:eastAsia="NSimSun" w:hAnsi="Arial" w:cs="Arial"/>
          <w:bCs/>
          <w:kern w:val="2"/>
          <w:sz w:val="24"/>
          <w:szCs w:val="24"/>
          <w:lang w:val="uk-UA" w:eastAsia="zh-CN" w:bidi="hi-IN"/>
        </w:rPr>
      </w:pPr>
    </w:p>
    <w:p w14:paraId="0A83C127" w14:textId="77777777" w:rsidR="00055389" w:rsidRPr="00CB120A" w:rsidRDefault="00055389" w:rsidP="00055389">
      <w:pPr>
        <w:keepNext/>
        <w:suppressAutoHyphens/>
        <w:spacing w:line="240" w:lineRule="auto"/>
        <w:ind w:firstLine="0"/>
        <w:rPr>
          <w:rFonts w:ascii="Arial" w:eastAsia="NSimSun" w:hAnsi="Arial" w:cs="Arial"/>
          <w:bCs/>
          <w:kern w:val="2"/>
          <w:sz w:val="24"/>
          <w:szCs w:val="24"/>
          <w:lang w:val="uk-UA" w:eastAsia="zh-CN" w:bidi="hi-IN"/>
        </w:rPr>
      </w:pPr>
      <w:r w:rsidRPr="00CB120A">
        <w:rPr>
          <w:rFonts w:ascii="Arial" w:eastAsia="NSimSun" w:hAnsi="Arial" w:cs="Arial"/>
          <w:b/>
          <w:kern w:val="2"/>
          <w:sz w:val="24"/>
          <w:szCs w:val="24"/>
          <w:lang w:val="uk-UA" w:eastAsia="zh-CN" w:bidi="hi-IN"/>
        </w:rPr>
        <w:t>Відповідальний за випуск</w:t>
      </w:r>
      <w:r w:rsidRPr="00CB120A">
        <w:rPr>
          <w:rFonts w:ascii="Arial" w:eastAsia="NSimSun" w:hAnsi="Arial" w:cs="Arial"/>
          <w:bCs/>
          <w:kern w:val="2"/>
          <w:sz w:val="24"/>
          <w:szCs w:val="24"/>
          <w:lang w:val="uk-UA" w:eastAsia="zh-CN" w:bidi="hi-IN"/>
        </w:rPr>
        <w:t xml:space="preserve"> – проректор з наукової роботи Національного університету «Одеська юридична академія», доктор юридичних наук, професор М. Р. Аракелян.</w:t>
      </w:r>
    </w:p>
    <w:p w14:paraId="7B95A6EB" w14:textId="77777777" w:rsidR="00055389" w:rsidRPr="00CB120A" w:rsidRDefault="00055389" w:rsidP="00055389">
      <w:pPr>
        <w:keepNext/>
        <w:suppressAutoHyphens/>
        <w:spacing w:line="240" w:lineRule="auto"/>
        <w:ind w:firstLine="0"/>
        <w:jc w:val="center"/>
        <w:rPr>
          <w:rFonts w:ascii="Arial" w:eastAsia="NSimSun" w:hAnsi="Arial" w:cs="Arial"/>
          <w:b/>
          <w:kern w:val="2"/>
          <w:sz w:val="24"/>
          <w:szCs w:val="24"/>
          <w:lang w:val="uk-UA" w:eastAsia="zh-CN" w:bidi="hi-IN"/>
        </w:rPr>
      </w:pPr>
    </w:p>
    <w:p w14:paraId="37317697" w14:textId="77777777" w:rsidR="00055389" w:rsidRPr="00CB120A" w:rsidRDefault="00055389" w:rsidP="00055389">
      <w:pPr>
        <w:keepNext/>
        <w:suppressAutoHyphens/>
        <w:spacing w:line="240" w:lineRule="auto"/>
        <w:ind w:firstLine="0"/>
        <w:jc w:val="left"/>
        <w:rPr>
          <w:rFonts w:ascii="Arial" w:eastAsia="NSimSun" w:hAnsi="Arial" w:cs="Arial"/>
          <w:b/>
          <w:kern w:val="2"/>
          <w:sz w:val="24"/>
          <w:szCs w:val="24"/>
          <w:lang w:val="uk-UA" w:eastAsia="zh-CN" w:bidi="hi-IN"/>
        </w:rPr>
      </w:pPr>
      <w:r w:rsidRPr="00CB120A">
        <w:rPr>
          <w:rFonts w:ascii="Arial" w:eastAsia="NSimSun" w:hAnsi="Arial" w:cs="Arial"/>
          <w:b/>
          <w:kern w:val="2"/>
          <w:sz w:val="24"/>
          <w:szCs w:val="24"/>
          <w:lang w:val="uk-UA" w:eastAsia="zh-CN" w:bidi="hi-IN"/>
        </w:rPr>
        <w:t>Укладачі:</w:t>
      </w:r>
    </w:p>
    <w:p w14:paraId="7F9F4403" w14:textId="77777777" w:rsidR="00055389" w:rsidRPr="00CB120A" w:rsidRDefault="00055389" w:rsidP="00055389">
      <w:pPr>
        <w:keepNext/>
        <w:suppressAutoHyphens/>
        <w:spacing w:line="240" w:lineRule="auto"/>
        <w:ind w:firstLine="0"/>
        <w:rPr>
          <w:rFonts w:ascii="Arial" w:eastAsia="NSimSun" w:hAnsi="Arial" w:cs="Arial"/>
          <w:kern w:val="2"/>
          <w:sz w:val="24"/>
          <w:szCs w:val="24"/>
          <w:lang w:val="uk-UA" w:eastAsia="zh-CN" w:bidi="hi-IN"/>
        </w:rPr>
      </w:pPr>
      <w:r w:rsidRPr="00CB120A">
        <w:rPr>
          <w:rFonts w:ascii="Arial" w:eastAsia="NSimSun" w:hAnsi="Arial" w:cs="Arial"/>
          <w:kern w:val="2"/>
          <w:sz w:val="24"/>
          <w:szCs w:val="24"/>
          <w:lang w:val="uk-UA" w:eastAsia="zh-CN" w:bidi="hi-IN"/>
        </w:rPr>
        <w:t xml:space="preserve">Федотов Олексій Павлович – начальник науково-дослідної частини </w:t>
      </w:r>
      <w:r w:rsidRPr="00CB120A">
        <w:rPr>
          <w:rFonts w:ascii="Arial" w:eastAsia="NSimSun" w:hAnsi="Arial" w:cs="Arial"/>
          <w:bCs/>
          <w:kern w:val="2"/>
          <w:sz w:val="24"/>
          <w:szCs w:val="24"/>
          <w:lang w:val="uk-UA" w:eastAsia="zh-CN" w:bidi="hi-IN"/>
        </w:rPr>
        <w:t>Національного університету «Одеська юридична академія»</w:t>
      </w:r>
      <w:r w:rsidRPr="00CB120A">
        <w:rPr>
          <w:rFonts w:ascii="Arial" w:eastAsia="NSimSun" w:hAnsi="Arial" w:cs="Arial"/>
          <w:kern w:val="2"/>
          <w:sz w:val="24"/>
          <w:szCs w:val="24"/>
          <w:lang w:val="uk-UA" w:eastAsia="zh-CN" w:bidi="hi-IN"/>
        </w:rPr>
        <w:t>, доктор юридичних наук, професор кафедри морського та митного права;</w:t>
      </w:r>
    </w:p>
    <w:p w14:paraId="1C011A08" w14:textId="77777777" w:rsidR="00055389" w:rsidRPr="00CB120A" w:rsidRDefault="00055389" w:rsidP="00055389">
      <w:pPr>
        <w:keepNext/>
        <w:suppressAutoHyphens/>
        <w:spacing w:before="80" w:line="240" w:lineRule="auto"/>
        <w:ind w:firstLine="0"/>
        <w:rPr>
          <w:rFonts w:ascii="Arial" w:eastAsia="NSimSun" w:hAnsi="Arial" w:cs="Arial"/>
          <w:kern w:val="2"/>
          <w:sz w:val="24"/>
          <w:szCs w:val="24"/>
          <w:lang w:val="uk-UA" w:eastAsia="zh-CN" w:bidi="hi-IN"/>
        </w:rPr>
      </w:pPr>
      <w:r w:rsidRPr="00CB120A">
        <w:rPr>
          <w:rFonts w:ascii="Arial" w:eastAsia="NSimSun" w:hAnsi="Arial" w:cs="Arial"/>
          <w:bCs/>
          <w:kern w:val="2"/>
          <w:sz w:val="24"/>
          <w:szCs w:val="24"/>
          <w:lang w:val="uk-UA" w:eastAsia="zh-CN" w:bidi="hi-IN"/>
        </w:rPr>
        <w:t>Батан Юрій Дмитрович</w:t>
      </w:r>
      <w:r w:rsidRPr="00CB120A">
        <w:rPr>
          <w:rFonts w:ascii="Arial" w:eastAsia="NSimSun" w:hAnsi="Arial" w:cs="Arial"/>
          <w:kern w:val="2"/>
          <w:sz w:val="24"/>
          <w:szCs w:val="24"/>
          <w:lang w:val="uk-UA" w:eastAsia="zh-CN" w:bidi="hi-IN"/>
        </w:rPr>
        <w:t xml:space="preserve"> – в. о. голови наукового товариства молодих вчених, аспірантів та студентів </w:t>
      </w:r>
      <w:r w:rsidRPr="00CB120A">
        <w:rPr>
          <w:rFonts w:ascii="Arial" w:eastAsia="NSimSun" w:hAnsi="Arial" w:cs="Arial"/>
          <w:bCs/>
          <w:kern w:val="2"/>
          <w:sz w:val="24"/>
          <w:szCs w:val="24"/>
          <w:lang w:val="uk-UA" w:eastAsia="zh-CN" w:bidi="hi-IN"/>
        </w:rPr>
        <w:t>Національного університету «Одеська юридична академія»</w:t>
      </w:r>
      <w:r w:rsidRPr="00CB120A">
        <w:rPr>
          <w:rFonts w:ascii="Arial" w:eastAsia="NSimSun" w:hAnsi="Arial" w:cs="Arial"/>
          <w:kern w:val="2"/>
          <w:sz w:val="24"/>
          <w:szCs w:val="24"/>
          <w:lang w:val="uk-UA" w:eastAsia="zh-CN" w:bidi="hi-IN"/>
        </w:rPr>
        <w:t>, кандидат юридичних наук, доцент кафедри конституційного права.</w:t>
      </w:r>
    </w:p>
    <w:p w14:paraId="715070F5" w14:textId="77777777" w:rsidR="00055389" w:rsidRPr="00CB120A" w:rsidRDefault="00055389" w:rsidP="00055389">
      <w:pPr>
        <w:keepNext/>
        <w:suppressAutoHyphens/>
        <w:ind w:firstLine="0"/>
        <w:rPr>
          <w:rFonts w:ascii="Arial" w:eastAsia="NSimSun" w:hAnsi="Arial" w:cs="Arial"/>
          <w:i/>
          <w:kern w:val="2"/>
          <w:sz w:val="24"/>
          <w:szCs w:val="24"/>
          <w:lang w:val="uk-UA" w:eastAsia="zh-CN" w:bidi="hi-IN"/>
        </w:rPr>
      </w:pPr>
    </w:p>
    <w:p w14:paraId="360A4EDB" w14:textId="77777777" w:rsidR="00055389" w:rsidRPr="00CB120A" w:rsidRDefault="00055389" w:rsidP="00055389">
      <w:pPr>
        <w:keepNext/>
        <w:suppressAutoHyphens/>
        <w:ind w:firstLine="0"/>
        <w:rPr>
          <w:rFonts w:ascii="Arial" w:eastAsia="NSimSun" w:hAnsi="Arial" w:cs="Arial"/>
          <w:i/>
          <w:kern w:val="2"/>
          <w:sz w:val="24"/>
          <w:szCs w:val="24"/>
          <w:lang w:val="uk-UA" w:eastAsia="zh-CN" w:bidi="hi-IN"/>
        </w:rPr>
      </w:pPr>
      <w:r w:rsidRPr="00CB120A">
        <w:rPr>
          <w:rFonts w:ascii="Arial" w:eastAsia="NSimSun" w:hAnsi="Arial" w:cs="Arial"/>
          <w:i/>
          <w:kern w:val="2"/>
          <w:sz w:val="24"/>
          <w:szCs w:val="24"/>
          <w:lang w:val="uk-UA" w:eastAsia="zh-CN" w:bidi="hi-IN"/>
        </w:rPr>
        <w:tab/>
      </w:r>
    </w:p>
    <w:p w14:paraId="447FF81B" w14:textId="77777777" w:rsidR="00055389" w:rsidRPr="00CB120A" w:rsidRDefault="00055389" w:rsidP="00055389">
      <w:pPr>
        <w:keepNext/>
        <w:suppressAutoHyphens/>
        <w:spacing w:line="240" w:lineRule="auto"/>
        <w:ind w:firstLine="0"/>
        <w:jc w:val="left"/>
        <w:rPr>
          <w:rFonts w:ascii="Arial" w:eastAsia="NSimSun" w:hAnsi="Arial" w:cs="Arial"/>
          <w:kern w:val="2"/>
          <w:sz w:val="24"/>
          <w:szCs w:val="24"/>
          <w:lang w:val="uk-UA" w:eastAsia="zh-CN" w:bidi="hi-IN"/>
        </w:rPr>
      </w:pPr>
      <w:r w:rsidRPr="00CB120A">
        <w:rPr>
          <w:rFonts w:ascii="Arial" w:eastAsia="NSimSun" w:hAnsi="Arial" w:cs="Arial"/>
          <w:kern w:val="2"/>
          <w:sz w:val="24"/>
          <w:szCs w:val="24"/>
          <w:lang w:val="uk-UA" w:eastAsia="zh-CN" w:bidi="hi-IN"/>
        </w:rPr>
        <w:tab/>
      </w:r>
    </w:p>
    <w:tbl>
      <w:tblPr>
        <w:tblStyle w:val="a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8783"/>
      </w:tblGrid>
      <w:tr w:rsidR="00055389" w:rsidRPr="00CB120A" w14:paraId="6C801C77" w14:textId="77777777" w:rsidTr="00FB3CEE">
        <w:tc>
          <w:tcPr>
            <w:tcW w:w="846" w:type="dxa"/>
          </w:tcPr>
          <w:p w14:paraId="7C5E07C2" w14:textId="77777777" w:rsidR="00055389" w:rsidRPr="00CB120A" w:rsidRDefault="00055389" w:rsidP="00FB3CEE">
            <w:pPr>
              <w:keepNext/>
              <w:suppressAutoHyphens/>
              <w:spacing w:line="240" w:lineRule="auto"/>
              <w:ind w:firstLine="0"/>
              <w:jc w:val="left"/>
              <w:rPr>
                <w:rFonts w:ascii="Arial" w:eastAsia="NSimSun" w:hAnsi="Arial" w:cs="Arial"/>
                <w:kern w:val="2"/>
                <w:sz w:val="24"/>
                <w:szCs w:val="24"/>
                <w:lang w:eastAsia="zh-CN" w:bidi="hi-IN"/>
              </w:rPr>
            </w:pPr>
          </w:p>
          <w:p w14:paraId="3E5CA985" w14:textId="77777777" w:rsidR="00055389" w:rsidRPr="00CB120A" w:rsidRDefault="00055389" w:rsidP="00FB3CEE">
            <w:pPr>
              <w:keepNext/>
              <w:suppressAutoHyphens/>
              <w:spacing w:line="240" w:lineRule="auto"/>
              <w:ind w:firstLine="0"/>
              <w:jc w:val="left"/>
              <w:rPr>
                <w:rFonts w:ascii="Arial" w:eastAsia="NSimSun" w:hAnsi="Arial" w:cs="Arial"/>
                <w:kern w:val="2"/>
                <w:sz w:val="24"/>
                <w:szCs w:val="24"/>
                <w:lang w:eastAsia="zh-CN" w:bidi="hi-IN"/>
              </w:rPr>
            </w:pPr>
            <w:r w:rsidRPr="00CB120A">
              <w:rPr>
                <w:rFonts w:ascii="Arial" w:eastAsia="NSimSun" w:hAnsi="Arial" w:cs="Arial"/>
                <w:kern w:val="2"/>
                <w:sz w:val="24"/>
                <w:szCs w:val="24"/>
                <w:lang w:eastAsia="zh-CN" w:bidi="hi-IN"/>
              </w:rPr>
              <w:t>С 89</w:t>
            </w:r>
          </w:p>
        </w:tc>
        <w:tc>
          <w:tcPr>
            <w:tcW w:w="8783" w:type="dxa"/>
          </w:tcPr>
          <w:p w14:paraId="03E01987" w14:textId="77777777" w:rsidR="00055389" w:rsidRPr="00CB120A" w:rsidRDefault="00055389" w:rsidP="00FB3CEE">
            <w:pPr>
              <w:keepNext/>
              <w:suppressAutoHyphens/>
              <w:spacing w:line="240" w:lineRule="auto"/>
              <w:ind w:firstLine="0"/>
              <w:rPr>
                <w:rFonts w:ascii="Arial" w:eastAsia="NSimSun" w:hAnsi="Arial" w:cs="Arial"/>
                <w:kern w:val="2"/>
                <w:sz w:val="24"/>
                <w:szCs w:val="24"/>
                <w:lang w:eastAsia="zh-CN" w:bidi="hi-IN"/>
              </w:rPr>
            </w:pPr>
            <w:r w:rsidRPr="00CB120A">
              <w:rPr>
                <w:rFonts w:ascii="Arial" w:eastAsia="NSimSun" w:hAnsi="Arial" w:cs="Arial"/>
                <w:b/>
                <w:kern w:val="2"/>
                <w:sz w:val="24"/>
                <w:szCs w:val="24"/>
                <w:lang w:eastAsia="zh-CN" w:bidi="hi-IN"/>
              </w:rPr>
              <w:t>Суспільство та держава: нові виміри у воєнний час</w:t>
            </w:r>
            <w:r w:rsidRPr="00CB120A">
              <w:rPr>
                <w:rFonts w:ascii="Arial" w:eastAsia="NSimSun" w:hAnsi="Arial" w:cs="Arial"/>
                <w:kern w:val="2"/>
                <w:sz w:val="24"/>
                <w:szCs w:val="24"/>
                <w:lang w:eastAsia="zh-CN" w:bidi="hi-IN"/>
              </w:rPr>
              <w:t xml:space="preserve"> : матеріали </w:t>
            </w:r>
            <w:r>
              <w:rPr>
                <w:rFonts w:ascii="Arial" w:eastAsia="NSimSun" w:hAnsi="Arial" w:cs="Arial"/>
                <w:kern w:val="2"/>
                <w:sz w:val="24"/>
                <w:szCs w:val="24"/>
                <w:lang w:eastAsia="zh-CN" w:bidi="hi-IN"/>
              </w:rPr>
              <w:t>В</w:t>
            </w:r>
            <w:r w:rsidRPr="00CB120A">
              <w:rPr>
                <w:rFonts w:ascii="Arial" w:eastAsia="NSimSun" w:hAnsi="Arial" w:cs="Arial"/>
                <w:kern w:val="2"/>
                <w:sz w:val="24"/>
                <w:szCs w:val="24"/>
                <w:lang w:eastAsia="zh-CN" w:bidi="hi-IN"/>
              </w:rPr>
              <w:t>сеукр</w:t>
            </w:r>
            <w:r>
              <w:rPr>
                <w:rFonts w:ascii="Arial" w:eastAsia="NSimSun" w:hAnsi="Arial" w:cs="Arial"/>
                <w:kern w:val="2"/>
                <w:sz w:val="24"/>
                <w:szCs w:val="24"/>
                <w:lang w:eastAsia="zh-CN" w:bidi="hi-IN"/>
              </w:rPr>
              <w:t>.</w:t>
            </w:r>
            <w:r w:rsidRPr="00CB120A">
              <w:rPr>
                <w:rFonts w:ascii="Arial" w:eastAsia="NSimSun" w:hAnsi="Arial" w:cs="Arial"/>
                <w:kern w:val="2"/>
                <w:sz w:val="24"/>
                <w:szCs w:val="24"/>
                <w:lang w:eastAsia="zh-CN" w:bidi="hi-IN"/>
              </w:rPr>
              <w:t xml:space="preserve"> наук</w:t>
            </w:r>
            <w:r>
              <w:rPr>
                <w:rFonts w:ascii="Arial" w:eastAsia="NSimSun" w:hAnsi="Arial" w:cs="Arial"/>
                <w:kern w:val="2"/>
                <w:sz w:val="24"/>
                <w:szCs w:val="24"/>
                <w:lang w:eastAsia="zh-CN" w:bidi="hi-IN"/>
              </w:rPr>
              <w:t>.</w:t>
            </w:r>
            <w:r w:rsidRPr="00CB120A">
              <w:rPr>
                <w:rFonts w:ascii="Arial" w:eastAsia="NSimSun" w:hAnsi="Arial" w:cs="Arial"/>
                <w:kern w:val="2"/>
                <w:sz w:val="24"/>
                <w:szCs w:val="24"/>
                <w:lang w:eastAsia="zh-CN" w:bidi="hi-IN"/>
              </w:rPr>
              <w:t>-практ</w:t>
            </w:r>
            <w:r>
              <w:rPr>
                <w:rFonts w:ascii="Arial" w:eastAsia="NSimSun" w:hAnsi="Arial" w:cs="Arial"/>
                <w:kern w:val="2"/>
                <w:sz w:val="24"/>
                <w:szCs w:val="24"/>
                <w:lang w:eastAsia="zh-CN" w:bidi="hi-IN"/>
              </w:rPr>
              <w:t>.</w:t>
            </w:r>
            <w:r w:rsidRPr="00CB120A">
              <w:rPr>
                <w:rFonts w:ascii="Arial" w:eastAsia="NSimSun" w:hAnsi="Arial" w:cs="Arial"/>
                <w:kern w:val="2"/>
                <w:sz w:val="24"/>
                <w:szCs w:val="24"/>
                <w:lang w:eastAsia="zh-CN" w:bidi="hi-IN"/>
              </w:rPr>
              <w:t xml:space="preserve"> конф</w:t>
            </w:r>
            <w:r>
              <w:rPr>
                <w:rFonts w:ascii="Arial" w:eastAsia="NSimSun" w:hAnsi="Arial" w:cs="Arial"/>
                <w:kern w:val="2"/>
                <w:sz w:val="24"/>
                <w:szCs w:val="24"/>
                <w:lang w:eastAsia="zh-CN" w:bidi="hi-IN"/>
              </w:rPr>
              <w:t>.</w:t>
            </w:r>
            <w:r w:rsidRPr="00CB120A">
              <w:rPr>
                <w:rFonts w:ascii="Arial" w:eastAsia="NSimSun" w:hAnsi="Arial" w:cs="Arial"/>
                <w:kern w:val="2"/>
                <w:sz w:val="24"/>
                <w:szCs w:val="24"/>
                <w:lang w:eastAsia="zh-CN" w:bidi="hi-IN"/>
              </w:rPr>
              <w:t xml:space="preserve"> здобув</w:t>
            </w:r>
            <w:r>
              <w:rPr>
                <w:rFonts w:ascii="Arial" w:eastAsia="NSimSun" w:hAnsi="Arial" w:cs="Arial"/>
                <w:kern w:val="2"/>
                <w:sz w:val="24"/>
                <w:szCs w:val="24"/>
                <w:lang w:eastAsia="zh-CN" w:bidi="hi-IN"/>
              </w:rPr>
              <w:t>.</w:t>
            </w:r>
            <w:r w:rsidRPr="00CB120A">
              <w:rPr>
                <w:rFonts w:ascii="Arial" w:eastAsia="NSimSun" w:hAnsi="Arial" w:cs="Arial"/>
                <w:kern w:val="2"/>
                <w:sz w:val="24"/>
                <w:szCs w:val="24"/>
                <w:lang w:eastAsia="zh-CN" w:bidi="hi-IN"/>
              </w:rPr>
              <w:t xml:space="preserve"> </w:t>
            </w:r>
            <w:r>
              <w:rPr>
                <w:rFonts w:ascii="Arial" w:eastAsia="NSimSun" w:hAnsi="Arial" w:cs="Arial"/>
                <w:kern w:val="2"/>
                <w:sz w:val="24"/>
                <w:szCs w:val="24"/>
                <w:lang w:eastAsia="zh-CN" w:bidi="hi-IN"/>
              </w:rPr>
              <w:t>в</w:t>
            </w:r>
            <w:r w:rsidRPr="00CB120A">
              <w:rPr>
                <w:rFonts w:ascii="Arial" w:eastAsia="NSimSun" w:hAnsi="Arial" w:cs="Arial"/>
                <w:kern w:val="2"/>
                <w:sz w:val="24"/>
                <w:szCs w:val="24"/>
                <w:lang w:eastAsia="zh-CN" w:bidi="hi-IN"/>
              </w:rPr>
              <w:t>ищ</w:t>
            </w:r>
            <w:r>
              <w:rPr>
                <w:rFonts w:ascii="Arial" w:eastAsia="NSimSun" w:hAnsi="Arial" w:cs="Arial"/>
                <w:kern w:val="2"/>
                <w:sz w:val="24"/>
                <w:szCs w:val="24"/>
                <w:lang w:eastAsia="zh-CN" w:bidi="hi-IN"/>
              </w:rPr>
              <w:t>.</w:t>
            </w:r>
            <w:r w:rsidRPr="00CB120A">
              <w:rPr>
                <w:rFonts w:ascii="Arial" w:eastAsia="NSimSun" w:hAnsi="Arial" w:cs="Arial"/>
                <w:kern w:val="2"/>
                <w:sz w:val="24"/>
                <w:szCs w:val="24"/>
                <w:lang w:eastAsia="zh-CN" w:bidi="hi-IN"/>
              </w:rPr>
              <w:t xml:space="preserve"> освіти (м. Одеса, 26 трав</w:t>
            </w:r>
            <w:r>
              <w:rPr>
                <w:rFonts w:ascii="Arial" w:eastAsia="NSimSun" w:hAnsi="Arial" w:cs="Arial"/>
                <w:kern w:val="2"/>
                <w:sz w:val="24"/>
                <w:szCs w:val="24"/>
                <w:lang w:eastAsia="zh-CN" w:bidi="hi-IN"/>
              </w:rPr>
              <w:t>.</w:t>
            </w:r>
            <w:r w:rsidRPr="00CB120A">
              <w:rPr>
                <w:rFonts w:ascii="Arial" w:eastAsia="NSimSun" w:hAnsi="Arial" w:cs="Arial"/>
                <w:kern w:val="2"/>
                <w:sz w:val="24"/>
                <w:szCs w:val="24"/>
                <w:lang w:eastAsia="zh-CN" w:bidi="hi-IN"/>
              </w:rPr>
              <w:t xml:space="preserve"> 2025 р.)</w:t>
            </w:r>
            <w:r>
              <w:rPr>
                <w:rFonts w:ascii="Arial" w:eastAsia="NSimSun" w:hAnsi="Arial" w:cs="Arial"/>
                <w:kern w:val="2"/>
                <w:sz w:val="24"/>
                <w:szCs w:val="24"/>
                <w:lang w:eastAsia="zh-CN" w:bidi="hi-IN"/>
              </w:rPr>
              <w:t xml:space="preserve"> </w:t>
            </w:r>
            <w:r w:rsidRPr="00A2495A">
              <w:rPr>
                <w:rFonts w:ascii="Arial" w:eastAsia="NSimSun" w:hAnsi="Arial" w:cs="Arial"/>
                <w:kern w:val="2"/>
                <w:sz w:val="24"/>
                <w:szCs w:val="24"/>
                <w:lang w:eastAsia="zh-CN" w:bidi="hi-IN"/>
              </w:rPr>
              <w:t>[</w:t>
            </w:r>
            <w:r>
              <w:rPr>
                <w:rFonts w:ascii="Arial" w:eastAsia="NSimSun" w:hAnsi="Arial" w:cs="Arial"/>
                <w:kern w:val="2"/>
                <w:sz w:val="24"/>
                <w:szCs w:val="24"/>
                <w:lang w:eastAsia="zh-CN" w:bidi="hi-IN"/>
              </w:rPr>
              <w:t>Електронне видання</w:t>
            </w:r>
            <w:r w:rsidRPr="00A2495A">
              <w:rPr>
                <w:rFonts w:ascii="Arial" w:eastAsia="NSimSun" w:hAnsi="Arial" w:cs="Arial"/>
                <w:kern w:val="2"/>
                <w:sz w:val="24"/>
                <w:szCs w:val="24"/>
                <w:lang w:eastAsia="zh-CN" w:bidi="hi-IN"/>
              </w:rPr>
              <w:t>]</w:t>
            </w:r>
            <w:r w:rsidRPr="00CB120A">
              <w:rPr>
                <w:rFonts w:ascii="Arial" w:eastAsia="NSimSun" w:hAnsi="Arial" w:cs="Arial"/>
                <w:kern w:val="2"/>
                <w:sz w:val="24"/>
                <w:szCs w:val="24"/>
                <w:lang w:eastAsia="zh-CN" w:bidi="hi-IN"/>
              </w:rPr>
              <w:t xml:space="preserve"> / за </w:t>
            </w:r>
            <w:r>
              <w:rPr>
                <w:rFonts w:ascii="Arial" w:eastAsia="NSimSun" w:hAnsi="Arial" w:cs="Arial"/>
                <w:kern w:val="2"/>
                <w:sz w:val="24"/>
                <w:szCs w:val="24"/>
                <w:lang w:eastAsia="zh-CN" w:bidi="hi-IN"/>
              </w:rPr>
              <w:t xml:space="preserve">заг. </w:t>
            </w:r>
            <w:r w:rsidRPr="00CB120A">
              <w:rPr>
                <w:rFonts w:ascii="Arial" w:eastAsia="NSimSun" w:hAnsi="Arial" w:cs="Arial"/>
                <w:kern w:val="2"/>
                <w:sz w:val="24"/>
                <w:szCs w:val="24"/>
                <w:lang w:eastAsia="zh-CN" w:bidi="hi-IN"/>
              </w:rPr>
              <w:t>ред. С. В. Ківалова. – Одеса : Н</w:t>
            </w:r>
            <w:r>
              <w:rPr>
                <w:rFonts w:ascii="Arial" w:eastAsia="NSimSun" w:hAnsi="Arial" w:cs="Arial"/>
                <w:kern w:val="2"/>
                <w:sz w:val="24"/>
                <w:szCs w:val="24"/>
                <w:lang w:eastAsia="zh-CN" w:bidi="hi-IN"/>
              </w:rPr>
              <w:t>У</w:t>
            </w:r>
            <w:r w:rsidRPr="00CB120A">
              <w:rPr>
                <w:rFonts w:ascii="Arial" w:eastAsia="NSimSun" w:hAnsi="Arial" w:cs="Arial"/>
                <w:kern w:val="2"/>
                <w:sz w:val="24"/>
                <w:szCs w:val="24"/>
                <w:lang w:eastAsia="zh-CN" w:bidi="hi-IN"/>
              </w:rPr>
              <w:t xml:space="preserve"> «Одеська юридична академія», 2025. – 2924 с.</w:t>
            </w:r>
            <w:r>
              <w:rPr>
                <w:rFonts w:ascii="Arial" w:eastAsia="NSimSun" w:hAnsi="Arial" w:cs="Arial"/>
                <w:kern w:val="2"/>
                <w:sz w:val="24"/>
                <w:szCs w:val="24"/>
                <w:lang w:eastAsia="zh-CN" w:bidi="hi-IN"/>
              </w:rPr>
              <w:t xml:space="preserve"> – Режим доступу: …</w:t>
            </w:r>
          </w:p>
          <w:p w14:paraId="47400B16" w14:textId="77777777" w:rsidR="00055389" w:rsidRPr="00A2495A" w:rsidRDefault="00055389" w:rsidP="00FB3CEE">
            <w:pPr>
              <w:keepNext/>
              <w:suppressAutoHyphens/>
              <w:spacing w:before="120" w:after="120" w:line="240" w:lineRule="auto"/>
              <w:ind w:firstLine="0"/>
              <w:rPr>
                <w:rFonts w:ascii="Arial" w:eastAsia="NSimSun" w:hAnsi="Arial" w:cs="Arial"/>
                <w:kern w:val="2"/>
                <w:sz w:val="22"/>
                <w:lang w:eastAsia="zh-CN" w:bidi="hi-IN"/>
              </w:rPr>
            </w:pPr>
            <w:r w:rsidRPr="00CB120A">
              <w:rPr>
                <w:rFonts w:ascii="Arial" w:eastAsia="NSimSun" w:hAnsi="Arial" w:cs="Arial"/>
                <w:kern w:val="2"/>
                <w:sz w:val="24"/>
                <w:szCs w:val="24"/>
                <w:lang w:eastAsia="zh-CN" w:bidi="hi-IN"/>
              </w:rPr>
              <w:tab/>
            </w:r>
          </w:p>
          <w:p w14:paraId="7EF629EC" w14:textId="77777777" w:rsidR="00055389" w:rsidRPr="00CB120A" w:rsidRDefault="00055389" w:rsidP="00FB3CEE">
            <w:pPr>
              <w:keepNext/>
              <w:suppressAutoHyphens/>
              <w:spacing w:line="240" w:lineRule="auto"/>
              <w:rPr>
                <w:rFonts w:ascii="Arial" w:eastAsia="NSimSun" w:hAnsi="Arial" w:cs="Arial"/>
                <w:kern w:val="2"/>
                <w:sz w:val="22"/>
                <w:lang w:eastAsia="zh-CN" w:bidi="hi-IN"/>
              </w:rPr>
            </w:pPr>
            <w:r>
              <w:rPr>
                <w:rFonts w:ascii="Arial" w:eastAsia="NSimSun" w:hAnsi="Arial" w:cs="Arial"/>
                <w:kern w:val="2"/>
                <w:sz w:val="22"/>
                <w:lang w:eastAsia="zh-CN" w:bidi="hi-IN"/>
              </w:rPr>
              <w:t>З</w:t>
            </w:r>
            <w:r w:rsidRPr="00CB120A">
              <w:rPr>
                <w:rFonts w:ascii="Arial" w:eastAsia="NSimSun" w:hAnsi="Arial" w:cs="Arial"/>
                <w:kern w:val="2"/>
                <w:sz w:val="22"/>
                <w:lang w:eastAsia="zh-CN" w:bidi="hi-IN"/>
              </w:rPr>
              <w:t>бірник міст</w:t>
            </w:r>
            <w:r>
              <w:rPr>
                <w:rFonts w:ascii="Arial" w:eastAsia="NSimSun" w:hAnsi="Arial" w:cs="Arial"/>
                <w:kern w:val="2"/>
                <w:sz w:val="22"/>
                <w:lang w:eastAsia="zh-CN" w:bidi="hi-IN"/>
              </w:rPr>
              <w:t>ить</w:t>
            </w:r>
            <w:r w:rsidRPr="00CB120A">
              <w:rPr>
                <w:rFonts w:ascii="Arial" w:eastAsia="NSimSun" w:hAnsi="Arial" w:cs="Arial"/>
                <w:kern w:val="2"/>
                <w:sz w:val="22"/>
                <w:lang w:eastAsia="zh-CN" w:bidi="hi-IN"/>
              </w:rPr>
              <w:t xml:space="preserve"> матеріали доповідей, присвячених актуальним проблемам у різних галузях національного та міжнародного права, а також у галузях філософії, кібербезпеки, лінгвістики, журналістики, економіки, політології, соціології та психології.</w:t>
            </w:r>
          </w:p>
          <w:p w14:paraId="44B34842" w14:textId="77777777" w:rsidR="00055389" w:rsidRPr="00CB120A" w:rsidRDefault="00055389" w:rsidP="00FB3CEE">
            <w:pPr>
              <w:keepNext/>
              <w:suppressAutoHyphens/>
              <w:spacing w:line="240" w:lineRule="auto"/>
              <w:rPr>
                <w:rFonts w:ascii="Arial" w:eastAsia="NSimSun" w:hAnsi="Arial" w:cs="Arial"/>
                <w:kern w:val="2"/>
                <w:sz w:val="22"/>
                <w:lang w:eastAsia="zh-CN" w:bidi="hi-IN"/>
              </w:rPr>
            </w:pPr>
            <w:r w:rsidRPr="00CB120A">
              <w:rPr>
                <w:rFonts w:ascii="Arial" w:eastAsia="NSimSun" w:hAnsi="Arial" w:cs="Arial"/>
                <w:kern w:val="2"/>
                <w:sz w:val="22"/>
                <w:lang w:eastAsia="zh-CN" w:bidi="hi-IN"/>
              </w:rPr>
              <w:t>Подані матеріали конференції відповідають сучасним тенденціям розвитку галузі науки та можуть бути корисними як у навчальному процесі, так і для проведення наукових досліджень студентами та молодими вченими.</w:t>
            </w:r>
          </w:p>
          <w:p w14:paraId="2CE7D9D4" w14:textId="77777777" w:rsidR="00055389" w:rsidRPr="00CB120A" w:rsidRDefault="00055389" w:rsidP="00FB3CEE">
            <w:pPr>
              <w:keepNext/>
              <w:suppressAutoHyphens/>
              <w:spacing w:line="240" w:lineRule="auto"/>
              <w:ind w:firstLine="0"/>
              <w:jc w:val="right"/>
              <w:rPr>
                <w:rFonts w:ascii="Arial" w:eastAsia="NSimSun" w:hAnsi="Arial" w:cs="Arial"/>
                <w:b/>
                <w:kern w:val="2"/>
                <w:sz w:val="22"/>
                <w:lang w:eastAsia="zh-CN" w:bidi="hi-IN"/>
              </w:rPr>
            </w:pPr>
            <w:r w:rsidRPr="00CB120A">
              <w:rPr>
                <w:rFonts w:ascii="Arial" w:eastAsia="NSimSun" w:hAnsi="Arial" w:cs="Arial"/>
                <w:b/>
                <w:kern w:val="2"/>
                <w:sz w:val="22"/>
                <w:lang w:eastAsia="zh-CN" w:bidi="hi-IN"/>
              </w:rPr>
              <w:t>УДК 321.01 : 340.12]”364”</w:t>
            </w:r>
          </w:p>
          <w:p w14:paraId="559C694A" w14:textId="77777777" w:rsidR="00055389" w:rsidRPr="00CB120A" w:rsidRDefault="00055389" w:rsidP="00FB3CEE">
            <w:pPr>
              <w:keepNext/>
              <w:suppressAutoHyphens/>
              <w:spacing w:line="240" w:lineRule="auto"/>
              <w:ind w:firstLine="0"/>
              <w:jc w:val="left"/>
              <w:rPr>
                <w:rFonts w:ascii="Arial" w:eastAsia="NSimSun" w:hAnsi="Arial" w:cs="Arial"/>
                <w:kern w:val="2"/>
                <w:sz w:val="24"/>
                <w:szCs w:val="24"/>
                <w:lang w:eastAsia="zh-CN" w:bidi="hi-IN"/>
              </w:rPr>
            </w:pPr>
          </w:p>
        </w:tc>
      </w:tr>
    </w:tbl>
    <w:p w14:paraId="09D0E03E" w14:textId="77777777" w:rsidR="00055389" w:rsidRPr="00CB120A" w:rsidRDefault="00055389" w:rsidP="00055389">
      <w:pPr>
        <w:keepNext/>
        <w:suppressAutoHyphens/>
        <w:spacing w:line="240" w:lineRule="auto"/>
        <w:ind w:firstLine="0"/>
        <w:jc w:val="left"/>
        <w:rPr>
          <w:rFonts w:ascii="Arial" w:eastAsia="NSimSun" w:hAnsi="Arial" w:cs="Arial"/>
          <w:kern w:val="2"/>
          <w:sz w:val="24"/>
          <w:szCs w:val="24"/>
          <w:lang w:val="uk-UA" w:eastAsia="zh-CN" w:bidi="hi-IN"/>
        </w:rPr>
      </w:pPr>
    </w:p>
    <w:p w14:paraId="2D376A4A" w14:textId="77777777" w:rsidR="00055389" w:rsidRPr="00CB120A" w:rsidRDefault="00055389" w:rsidP="00055389">
      <w:pPr>
        <w:keepNext/>
        <w:suppressAutoHyphens/>
        <w:ind w:firstLine="0"/>
        <w:rPr>
          <w:rFonts w:ascii="Arial" w:eastAsia="NSimSun" w:hAnsi="Arial" w:cs="Arial"/>
          <w:kern w:val="2"/>
          <w:sz w:val="24"/>
          <w:szCs w:val="24"/>
          <w:lang w:val="uk-UA" w:eastAsia="zh-CN" w:bidi="hi-IN"/>
        </w:rPr>
      </w:pPr>
      <w:r w:rsidRPr="00CB120A">
        <w:rPr>
          <w:rFonts w:ascii="Arial" w:eastAsia="NSimSun" w:hAnsi="Arial" w:cs="Arial"/>
          <w:kern w:val="2"/>
          <w:sz w:val="24"/>
          <w:szCs w:val="24"/>
          <w:lang w:val="uk-UA" w:eastAsia="zh-CN" w:bidi="hi-IN"/>
        </w:rPr>
        <w:tab/>
      </w:r>
    </w:p>
    <w:p w14:paraId="41F56276" w14:textId="77777777" w:rsidR="00055389" w:rsidRPr="00CB120A" w:rsidRDefault="00055389" w:rsidP="00055389">
      <w:pPr>
        <w:keepNext/>
        <w:suppressAutoHyphens/>
        <w:spacing w:line="240" w:lineRule="auto"/>
        <w:ind w:firstLine="0"/>
        <w:jc w:val="right"/>
        <w:rPr>
          <w:rFonts w:ascii="Arial" w:eastAsia="NSimSun" w:hAnsi="Arial" w:cs="Arial"/>
          <w:kern w:val="2"/>
          <w:sz w:val="24"/>
          <w:szCs w:val="24"/>
          <w:lang w:val="uk-UA" w:eastAsia="zh-CN" w:bidi="hi-IN"/>
        </w:rPr>
      </w:pPr>
    </w:p>
    <w:p w14:paraId="7DCF30F0" w14:textId="77777777" w:rsidR="00055389" w:rsidRDefault="00055389" w:rsidP="00055389">
      <w:pPr>
        <w:keepNext/>
        <w:suppressAutoHyphens/>
        <w:spacing w:line="240" w:lineRule="auto"/>
        <w:ind w:firstLine="0"/>
        <w:jc w:val="center"/>
        <w:rPr>
          <w:rFonts w:ascii="Arial" w:eastAsia="NSimSun" w:hAnsi="Arial" w:cs="Arial"/>
          <w:i/>
          <w:kern w:val="2"/>
          <w:sz w:val="24"/>
          <w:szCs w:val="24"/>
          <w:lang w:val="uk-UA" w:eastAsia="zh-CN" w:bidi="hi-IN"/>
        </w:rPr>
      </w:pPr>
      <w:r w:rsidRPr="00CB120A">
        <w:rPr>
          <w:rFonts w:ascii="Arial" w:eastAsia="NSimSun" w:hAnsi="Arial" w:cs="Arial"/>
          <w:i/>
          <w:kern w:val="2"/>
          <w:sz w:val="24"/>
          <w:szCs w:val="24"/>
          <w:lang w:val="uk-UA" w:eastAsia="zh-CN" w:bidi="hi-IN"/>
        </w:rPr>
        <w:t>Матеріали видано в авторській редакції. Повну відповідальність за достовірність та якість поданого матеріалу несуть учасники конференції, їхні наукові керівники, рецензенти, які рекомендували ці матеріали до друку.</w:t>
      </w:r>
    </w:p>
    <w:p w14:paraId="109572DB" w14:textId="77777777" w:rsidR="00055389" w:rsidRDefault="00055389" w:rsidP="00055389">
      <w:pPr>
        <w:keepNext/>
        <w:suppressAutoHyphens/>
        <w:spacing w:line="240" w:lineRule="auto"/>
        <w:ind w:firstLine="0"/>
        <w:jc w:val="center"/>
        <w:rPr>
          <w:rFonts w:ascii="Arial" w:eastAsia="NSimSun" w:hAnsi="Arial" w:cs="Arial"/>
          <w:i/>
          <w:kern w:val="2"/>
          <w:sz w:val="24"/>
          <w:szCs w:val="24"/>
          <w:lang w:val="uk-UA" w:eastAsia="zh-CN" w:bidi="hi-IN"/>
        </w:rPr>
      </w:pPr>
    </w:p>
    <w:p w14:paraId="50640536" w14:textId="77777777" w:rsidR="00055389" w:rsidRPr="00CB120A" w:rsidRDefault="00055389" w:rsidP="00055389">
      <w:pPr>
        <w:keepNext/>
        <w:suppressAutoHyphens/>
        <w:spacing w:line="240" w:lineRule="auto"/>
        <w:ind w:firstLine="0"/>
        <w:jc w:val="center"/>
        <w:rPr>
          <w:rFonts w:ascii="Arial" w:eastAsia="NSimSun" w:hAnsi="Arial" w:cs="Arial"/>
          <w:kern w:val="2"/>
          <w:sz w:val="24"/>
          <w:szCs w:val="24"/>
          <w:lang w:val="uk-UA" w:eastAsia="zh-CN" w:bidi="hi-IN"/>
        </w:rPr>
      </w:pPr>
    </w:p>
    <w:p w14:paraId="2828D7AA" w14:textId="77777777" w:rsidR="00055389" w:rsidRDefault="00055389" w:rsidP="00055389">
      <w:pPr>
        <w:keepNext/>
        <w:tabs>
          <w:tab w:val="left" w:pos="142"/>
        </w:tabs>
        <w:suppressAutoHyphens/>
        <w:spacing w:line="240" w:lineRule="auto"/>
        <w:ind w:firstLine="5245"/>
        <w:jc w:val="right"/>
        <w:rPr>
          <w:rFonts w:ascii="Arial" w:eastAsia="NSimSun" w:hAnsi="Arial" w:cs="Arial"/>
          <w:kern w:val="2"/>
          <w:sz w:val="22"/>
          <w:lang w:val="uk-UA" w:eastAsia="zh-CN" w:bidi="hi-IN"/>
        </w:rPr>
      </w:pPr>
    </w:p>
    <w:p w14:paraId="41E64F94" w14:textId="77777777" w:rsidR="00055389" w:rsidRPr="00CB120A" w:rsidRDefault="00055389" w:rsidP="00055389">
      <w:pPr>
        <w:keepNext/>
        <w:tabs>
          <w:tab w:val="left" w:pos="142"/>
        </w:tabs>
        <w:suppressAutoHyphens/>
        <w:spacing w:line="240" w:lineRule="auto"/>
        <w:ind w:firstLine="5245"/>
        <w:jc w:val="right"/>
        <w:rPr>
          <w:rFonts w:ascii="Arial" w:eastAsia="NSimSun" w:hAnsi="Arial" w:cs="Arial"/>
          <w:kern w:val="2"/>
          <w:sz w:val="22"/>
          <w:lang w:val="uk-UA" w:eastAsia="zh-CN" w:bidi="hi-IN"/>
        </w:rPr>
      </w:pPr>
      <w:r w:rsidRPr="00CB120A">
        <w:rPr>
          <w:rFonts w:ascii="Arial" w:eastAsia="NSimSun" w:hAnsi="Arial" w:cs="Arial"/>
          <w:kern w:val="2"/>
          <w:sz w:val="22"/>
          <w:lang w:val="uk-UA" w:eastAsia="zh-CN" w:bidi="hi-IN"/>
        </w:rPr>
        <w:t xml:space="preserve">© Національний університет </w:t>
      </w:r>
    </w:p>
    <w:p w14:paraId="3B87AACC" w14:textId="77777777" w:rsidR="00055389" w:rsidRDefault="00055389" w:rsidP="00055389">
      <w:pPr>
        <w:keepNext/>
        <w:suppressAutoHyphens/>
        <w:spacing w:line="240" w:lineRule="auto"/>
        <w:ind w:firstLine="5245"/>
        <w:jc w:val="right"/>
        <w:rPr>
          <w:rFonts w:ascii="Arial" w:eastAsia="NSimSun" w:hAnsi="Arial" w:cs="Arial"/>
          <w:kern w:val="2"/>
          <w:sz w:val="22"/>
          <w:lang w:val="uk-UA" w:eastAsia="zh-CN" w:bidi="hi-IN"/>
        </w:rPr>
      </w:pPr>
      <w:r w:rsidRPr="00CB120A">
        <w:rPr>
          <w:rFonts w:ascii="Arial" w:eastAsia="NSimSun" w:hAnsi="Arial" w:cs="Arial"/>
          <w:kern w:val="2"/>
          <w:sz w:val="22"/>
          <w:lang w:val="uk-UA" w:eastAsia="zh-CN" w:bidi="hi-IN"/>
        </w:rPr>
        <w:t>«Одеська юридична академія», 2025</w:t>
      </w:r>
    </w:p>
    <w:p w14:paraId="74FBC58D" w14:textId="77777777" w:rsidR="009B3C64" w:rsidRPr="00511005" w:rsidRDefault="009B3C64" w:rsidP="002A7569">
      <w:pPr>
        <w:keepNext/>
        <w:suppressAutoHyphens/>
        <w:spacing w:line="240" w:lineRule="auto"/>
        <w:ind w:firstLine="0"/>
        <w:jc w:val="left"/>
        <w:rPr>
          <w:rFonts w:ascii="Arial" w:eastAsia="NSimSun" w:hAnsi="Arial" w:cs="Arial"/>
          <w:kern w:val="2"/>
          <w:sz w:val="24"/>
          <w:szCs w:val="24"/>
          <w:lang w:eastAsia="zh-CN" w:bidi="hi-IN"/>
        </w:rPr>
      </w:pPr>
    </w:p>
    <w:p w14:paraId="79D6A7B5" w14:textId="35E4EA24" w:rsidR="004A5768" w:rsidRPr="00511005" w:rsidRDefault="004A5768" w:rsidP="002A7569">
      <w:pPr>
        <w:keepNext/>
        <w:spacing w:after="200" w:line="276" w:lineRule="auto"/>
        <w:ind w:firstLine="0"/>
        <w:jc w:val="left"/>
        <w:rPr>
          <w:rFonts w:ascii="Arial" w:eastAsia="NSimSun" w:hAnsi="Arial" w:cs="Arial"/>
          <w:kern w:val="2"/>
          <w:sz w:val="24"/>
          <w:szCs w:val="24"/>
          <w:lang w:eastAsia="zh-CN" w:bidi="hi-IN"/>
        </w:rPr>
      </w:pPr>
      <w:r w:rsidRPr="00511005">
        <w:rPr>
          <w:rFonts w:ascii="Arial" w:eastAsia="NSimSun" w:hAnsi="Arial" w:cs="Arial"/>
          <w:kern w:val="2"/>
          <w:sz w:val="24"/>
          <w:szCs w:val="24"/>
          <w:lang w:eastAsia="zh-CN" w:bidi="hi-IN"/>
        </w:rPr>
        <w:br w:type="page"/>
      </w:r>
    </w:p>
    <w:p w14:paraId="29F725DF" w14:textId="46EE0AC8" w:rsidR="000E6C2E" w:rsidRPr="00511005" w:rsidRDefault="000E6C2E" w:rsidP="002A7569">
      <w:pPr>
        <w:keepNext/>
        <w:spacing w:after="200" w:line="276" w:lineRule="auto"/>
        <w:ind w:firstLine="0"/>
        <w:jc w:val="center"/>
        <w:rPr>
          <w:rFonts w:ascii="Arial" w:eastAsia="NSimSun" w:hAnsi="Arial" w:cs="Arial"/>
          <w:b/>
          <w:bCs/>
          <w:kern w:val="2"/>
          <w:sz w:val="26"/>
          <w:szCs w:val="26"/>
          <w:lang w:val="uk-UA" w:eastAsia="zh-CN" w:bidi="hi-IN"/>
        </w:rPr>
      </w:pPr>
      <w:r w:rsidRPr="00511005">
        <w:rPr>
          <w:rFonts w:ascii="Arial" w:eastAsia="NSimSun" w:hAnsi="Arial" w:cs="Arial"/>
          <w:b/>
          <w:bCs/>
          <w:kern w:val="2"/>
          <w:sz w:val="26"/>
          <w:szCs w:val="26"/>
          <w:lang w:val="uk-UA" w:eastAsia="zh-CN" w:bidi="hi-IN"/>
        </w:rPr>
        <w:lastRenderedPageBreak/>
        <w:t>ЗМІСТ</w:t>
      </w:r>
    </w:p>
    <w:p w14:paraId="58EDB1DB" w14:textId="35207851" w:rsidR="000E6C2E" w:rsidRPr="00511005" w:rsidRDefault="000E6C2E" w:rsidP="002A7569">
      <w:pPr>
        <w:keepNext/>
        <w:spacing w:after="200" w:line="276" w:lineRule="auto"/>
        <w:ind w:firstLine="0"/>
        <w:jc w:val="left"/>
        <w:rPr>
          <w:rFonts w:ascii="Arial" w:eastAsia="NSimSun" w:hAnsi="Arial" w:cs="Arial"/>
          <w:kern w:val="2"/>
          <w:sz w:val="24"/>
          <w:szCs w:val="24"/>
          <w:lang w:eastAsia="zh-CN" w:bidi="hi-IN"/>
        </w:rPr>
      </w:pPr>
    </w:p>
    <w:p w14:paraId="03475F70" w14:textId="5FBA391A" w:rsidR="00FB726A" w:rsidRPr="00FB726A" w:rsidRDefault="000E6C2E" w:rsidP="00FB726A">
      <w:pPr>
        <w:pStyle w:val="1a"/>
        <w:tabs>
          <w:tab w:val="clear" w:pos="9344"/>
          <w:tab w:val="right" w:leader="dot" w:pos="9921"/>
        </w:tabs>
        <w:rPr>
          <w:rFonts w:eastAsiaTheme="minorEastAsia" w:cs="Arial"/>
          <w:sz w:val="22"/>
          <w:szCs w:val="22"/>
          <w:lang w:eastAsia="uk-UA" w:bidi="ar-SA"/>
        </w:rPr>
      </w:pPr>
      <w:r w:rsidRPr="00FB726A">
        <w:rPr>
          <w:rFonts w:eastAsia="NSimSun" w:cs="Arial"/>
          <w:kern w:val="2"/>
          <w:sz w:val="24"/>
          <w:lang w:eastAsia="zh-CN"/>
        </w:rPr>
        <w:fldChar w:fldCharType="begin"/>
      </w:r>
      <w:r w:rsidRPr="00FB726A">
        <w:rPr>
          <w:rFonts w:eastAsia="NSimSun" w:cs="Arial"/>
          <w:kern w:val="2"/>
          <w:sz w:val="24"/>
          <w:lang w:eastAsia="zh-CN"/>
        </w:rPr>
        <w:instrText xml:space="preserve"> TOC \o "1-2" \h \z \u </w:instrText>
      </w:r>
      <w:r w:rsidRPr="00FB726A">
        <w:rPr>
          <w:rFonts w:eastAsia="NSimSun" w:cs="Arial"/>
          <w:kern w:val="2"/>
          <w:sz w:val="24"/>
          <w:lang w:eastAsia="zh-CN"/>
        </w:rPr>
        <w:fldChar w:fldCharType="separate"/>
      </w:r>
      <w:hyperlink w:anchor="_Toc208298985" w:history="1">
        <w:r w:rsidR="00FB726A" w:rsidRPr="00FB726A">
          <w:rPr>
            <w:rStyle w:val="ab"/>
            <w:rFonts w:eastAsia="NSimSun" w:cs="Arial"/>
            <w:b/>
            <w:kern w:val="2"/>
            <w:lang w:eastAsia="zh-CN"/>
          </w:rPr>
          <w:t>ВІТАЛЬНЕ СЛОВО ГОЛОВИ ВЧЕНОЇ РАДИ НАЦІОНАЛЬНОГО УНІВЕРСИТЕТУ «ОДЕСЬКА ЮРИДИЧНА АКАДЕМІЯ», АКАДЕМІКА С. В. КІВАЛОВА</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_Toc208298985 \h </w:instrText>
        </w:r>
        <w:r w:rsidR="00FB726A" w:rsidRPr="00FB726A">
          <w:rPr>
            <w:rFonts w:cs="Arial"/>
            <w:webHidden/>
          </w:rPr>
        </w:r>
        <w:r w:rsidR="00FB726A" w:rsidRPr="00FB726A">
          <w:rPr>
            <w:rFonts w:cs="Arial"/>
            <w:webHidden/>
          </w:rPr>
          <w:fldChar w:fldCharType="separate"/>
        </w:r>
        <w:r w:rsidR="00FB726A" w:rsidRPr="00FB726A">
          <w:rPr>
            <w:rFonts w:cs="Arial"/>
            <w:webHidden/>
          </w:rPr>
          <w:t>5</w:t>
        </w:r>
        <w:r w:rsidR="00FB726A" w:rsidRPr="00FB726A">
          <w:rPr>
            <w:rFonts w:cs="Arial"/>
            <w:webHidden/>
          </w:rPr>
          <w:fldChar w:fldCharType="end"/>
        </w:r>
      </w:hyperlink>
    </w:p>
    <w:p w14:paraId="6424F56C" w14:textId="3634593C"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8986" w:history="1">
        <w:r w:rsidR="00FB726A" w:rsidRPr="00FB726A">
          <w:rPr>
            <w:rStyle w:val="ab"/>
            <w:rFonts w:cs="Arial"/>
          </w:rPr>
          <w:t xml:space="preserve">СЕКЦІЯ </w:t>
        </w:r>
        <w:r w:rsidR="00FB726A" w:rsidRPr="00FB726A">
          <w:rPr>
            <w:rStyle w:val="ab"/>
            <w:rFonts w:cs="Arial"/>
            <w:lang w:val="ru-RU"/>
          </w:rPr>
          <w:t>1. РОЗВИТОК ФІЛОСОФІЇ ТА ЗАГАЛЬНОЇ ТЕОРІЇ  ПРАВА ТА ДЕРЖАВИ</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_Toc208298986 \h </w:instrText>
        </w:r>
        <w:r w:rsidR="00FB726A" w:rsidRPr="00FB726A">
          <w:rPr>
            <w:rFonts w:cs="Arial"/>
            <w:webHidden/>
          </w:rPr>
        </w:r>
        <w:r w:rsidR="00FB726A" w:rsidRPr="00FB726A">
          <w:rPr>
            <w:rFonts w:cs="Arial"/>
            <w:webHidden/>
          </w:rPr>
          <w:fldChar w:fldCharType="separate"/>
        </w:r>
        <w:r w:rsidR="00FB726A" w:rsidRPr="00FB726A">
          <w:rPr>
            <w:rFonts w:cs="Arial"/>
            <w:webHidden/>
          </w:rPr>
          <w:t>8</w:t>
        </w:r>
        <w:r w:rsidR="00FB726A" w:rsidRPr="00FB726A">
          <w:rPr>
            <w:rFonts w:cs="Arial"/>
            <w:webHidden/>
          </w:rPr>
          <w:fldChar w:fldCharType="end"/>
        </w:r>
      </w:hyperlink>
    </w:p>
    <w:p w14:paraId="78E810BE" w14:textId="117A2001" w:rsidR="00FB726A" w:rsidRPr="00FB726A" w:rsidRDefault="005938AD" w:rsidP="00FB726A">
      <w:pPr>
        <w:pStyle w:val="27"/>
        <w:tabs>
          <w:tab w:val="clear" w:pos="9344"/>
          <w:tab w:val="right" w:leader="dot" w:pos="9921"/>
        </w:tabs>
        <w:rPr>
          <w:rFonts w:ascii="Arial" w:eastAsiaTheme="minorEastAsia" w:hAnsi="Arial" w:cs="Arial"/>
          <w:bCs w:val="0"/>
          <w:sz w:val="22"/>
          <w:szCs w:val="22"/>
          <w:lang w:eastAsia="uk-UA"/>
        </w:rPr>
      </w:pPr>
      <w:hyperlink w:anchor="_Toc208298987" w:history="1">
        <w:r w:rsidR="00FB726A" w:rsidRPr="00FB726A">
          <w:rPr>
            <w:rStyle w:val="ab"/>
            <w:rFonts w:ascii="Arial" w:hAnsi="Arial" w:cs="Arial"/>
          </w:rPr>
          <w:t>Підсекція 1.1. Розвиток загальної теорії права та держави</w:t>
        </w:r>
        <w:r w:rsidR="00FB726A" w:rsidRPr="00FB726A">
          <w:rPr>
            <w:rFonts w:ascii="Arial" w:hAnsi="Arial" w:cs="Arial"/>
            <w:webHidden/>
          </w:rPr>
          <w:tab/>
        </w:r>
        <w:r w:rsidR="00FB726A" w:rsidRPr="00FB726A">
          <w:rPr>
            <w:rFonts w:ascii="Arial" w:hAnsi="Arial" w:cs="Arial"/>
            <w:webHidden/>
          </w:rPr>
          <w:fldChar w:fldCharType="begin"/>
        </w:r>
        <w:r w:rsidR="00FB726A" w:rsidRPr="00FB726A">
          <w:rPr>
            <w:rFonts w:ascii="Arial" w:hAnsi="Arial" w:cs="Arial"/>
            <w:webHidden/>
          </w:rPr>
          <w:instrText xml:space="preserve"> PAGEREF _Toc208298987 \h </w:instrText>
        </w:r>
        <w:r w:rsidR="00FB726A" w:rsidRPr="00FB726A">
          <w:rPr>
            <w:rFonts w:ascii="Arial" w:hAnsi="Arial" w:cs="Arial"/>
            <w:webHidden/>
          </w:rPr>
        </w:r>
        <w:r w:rsidR="00FB726A" w:rsidRPr="00FB726A">
          <w:rPr>
            <w:rFonts w:ascii="Arial" w:hAnsi="Arial" w:cs="Arial"/>
            <w:webHidden/>
          </w:rPr>
          <w:fldChar w:fldCharType="separate"/>
        </w:r>
        <w:r w:rsidR="00FB726A" w:rsidRPr="00FB726A">
          <w:rPr>
            <w:rFonts w:ascii="Arial" w:hAnsi="Arial" w:cs="Arial"/>
            <w:webHidden/>
          </w:rPr>
          <w:t>8</w:t>
        </w:r>
        <w:r w:rsidR="00FB726A" w:rsidRPr="00FB726A">
          <w:rPr>
            <w:rFonts w:ascii="Arial" w:hAnsi="Arial" w:cs="Arial"/>
            <w:webHidden/>
          </w:rPr>
          <w:fldChar w:fldCharType="end"/>
        </w:r>
      </w:hyperlink>
    </w:p>
    <w:p w14:paraId="79D73810" w14:textId="02212CE0" w:rsidR="00FB726A" w:rsidRPr="00FB726A" w:rsidRDefault="005938AD" w:rsidP="00FB726A">
      <w:pPr>
        <w:pStyle w:val="27"/>
        <w:tabs>
          <w:tab w:val="clear" w:pos="9344"/>
          <w:tab w:val="right" w:leader="dot" w:pos="9921"/>
        </w:tabs>
        <w:rPr>
          <w:rFonts w:ascii="Arial" w:eastAsiaTheme="minorEastAsia" w:hAnsi="Arial" w:cs="Arial"/>
          <w:bCs w:val="0"/>
          <w:sz w:val="22"/>
          <w:szCs w:val="22"/>
          <w:lang w:eastAsia="uk-UA"/>
        </w:rPr>
      </w:pPr>
      <w:hyperlink w:anchor="_Toc208298988" w:history="1">
        <w:r w:rsidR="00FB726A" w:rsidRPr="00FB726A">
          <w:rPr>
            <w:rStyle w:val="ab"/>
            <w:rFonts w:ascii="Arial" w:hAnsi="Arial" w:cs="Arial"/>
          </w:rPr>
          <w:t>Підсекція 1.2. Розвиток філософії</w:t>
        </w:r>
        <w:r w:rsidR="00FB726A" w:rsidRPr="00FB726A">
          <w:rPr>
            <w:rFonts w:ascii="Arial" w:hAnsi="Arial" w:cs="Arial"/>
            <w:webHidden/>
          </w:rPr>
          <w:tab/>
        </w:r>
        <w:r w:rsidR="00FB726A" w:rsidRPr="00FB726A">
          <w:rPr>
            <w:rFonts w:ascii="Arial" w:hAnsi="Arial" w:cs="Arial"/>
            <w:webHidden/>
          </w:rPr>
          <w:fldChar w:fldCharType="begin"/>
        </w:r>
        <w:r w:rsidR="00FB726A" w:rsidRPr="00FB726A">
          <w:rPr>
            <w:rFonts w:ascii="Arial" w:hAnsi="Arial" w:cs="Arial"/>
            <w:webHidden/>
          </w:rPr>
          <w:instrText xml:space="preserve"> PAGEREF _Toc208298988 \h </w:instrText>
        </w:r>
        <w:r w:rsidR="00FB726A" w:rsidRPr="00FB726A">
          <w:rPr>
            <w:rFonts w:ascii="Arial" w:hAnsi="Arial" w:cs="Arial"/>
            <w:webHidden/>
          </w:rPr>
        </w:r>
        <w:r w:rsidR="00FB726A" w:rsidRPr="00FB726A">
          <w:rPr>
            <w:rFonts w:ascii="Arial" w:hAnsi="Arial" w:cs="Arial"/>
            <w:webHidden/>
          </w:rPr>
          <w:fldChar w:fldCharType="separate"/>
        </w:r>
        <w:r w:rsidR="00FB726A" w:rsidRPr="00FB726A">
          <w:rPr>
            <w:rFonts w:ascii="Arial" w:hAnsi="Arial" w:cs="Arial"/>
            <w:webHidden/>
          </w:rPr>
          <w:t>128</w:t>
        </w:r>
        <w:r w:rsidR="00FB726A" w:rsidRPr="00FB726A">
          <w:rPr>
            <w:rFonts w:ascii="Arial" w:hAnsi="Arial" w:cs="Arial"/>
            <w:webHidden/>
          </w:rPr>
          <w:fldChar w:fldCharType="end"/>
        </w:r>
      </w:hyperlink>
    </w:p>
    <w:p w14:paraId="508EC582" w14:textId="06E79922"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8989" w:history="1">
        <w:r w:rsidR="00FB726A" w:rsidRPr="00FB726A">
          <w:rPr>
            <w:rStyle w:val="ab"/>
            <w:rFonts w:cs="Arial"/>
          </w:rPr>
          <w:t>СЕКЦІЯ 2. ІСТОРІЯ РОЗВИТКУ ДЕРЖАВИ ТА ПРАВА</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_Toc208298989 \h </w:instrText>
        </w:r>
        <w:r w:rsidR="00FB726A" w:rsidRPr="00FB726A">
          <w:rPr>
            <w:rFonts w:cs="Arial"/>
            <w:webHidden/>
          </w:rPr>
        </w:r>
        <w:r w:rsidR="00FB726A" w:rsidRPr="00FB726A">
          <w:rPr>
            <w:rFonts w:cs="Arial"/>
            <w:webHidden/>
          </w:rPr>
          <w:fldChar w:fldCharType="separate"/>
        </w:r>
        <w:r w:rsidR="00FB726A" w:rsidRPr="00FB726A">
          <w:rPr>
            <w:rFonts w:cs="Arial"/>
            <w:webHidden/>
          </w:rPr>
          <w:t>162</w:t>
        </w:r>
        <w:r w:rsidR="00FB726A" w:rsidRPr="00FB726A">
          <w:rPr>
            <w:rFonts w:cs="Arial"/>
            <w:webHidden/>
          </w:rPr>
          <w:fldChar w:fldCharType="end"/>
        </w:r>
      </w:hyperlink>
    </w:p>
    <w:p w14:paraId="103BE445" w14:textId="4F8D8DA7"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8990" w:history="1">
        <w:r w:rsidR="00FB726A" w:rsidRPr="00FB726A">
          <w:rPr>
            <w:rStyle w:val="ab"/>
            <w:rFonts w:cs="Arial"/>
          </w:rPr>
          <w:t xml:space="preserve">СЕКЦІЯ 3. </w:t>
        </w:r>
        <w:r w:rsidR="00FB726A" w:rsidRPr="00FB726A">
          <w:rPr>
            <w:rStyle w:val="ab"/>
            <w:rFonts w:cs="Arial"/>
            <w:lang w:val="ru-RU"/>
          </w:rPr>
          <w:t>ПРОБЛЕМИ МІЖНАРОДНОГО, ЄВРОПЕЙСЬКОГО ПРАВА ТА ПОРІВНЯЛЬНОГО ПРАВОЗНАВСТВА</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_Toc208298990 \h </w:instrText>
        </w:r>
        <w:r w:rsidR="00FB726A" w:rsidRPr="00FB726A">
          <w:rPr>
            <w:rFonts w:cs="Arial"/>
            <w:webHidden/>
          </w:rPr>
        </w:r>
        <w:r w:rsidR="00FB726A" w:rsidRPr="00FB726A">
          <w:rPr>
            <w:rFonts w:cs="Arial"/>
            <w:webHidden/>
          </w:rPr>
          <w:fldChar w:fldCharType="separate"/>
        </w:r>
        <w:r w:rsidR="00FB726A" w:rsidRPr="00FB726A">
          <w:rPr>
            <w:rFonts w:cs="Arial"/>
            <w:webHidden/>
          </w:rPr>
          <w:t>213</w:t>
        </w:r>
        <w:r w:rsidR="00FB726A" w:rsidRPr="00FB726A">
          <w:rPr>
            <w:rFonts w:cs="Arial"/>
            <w:webHidden/>
          </w:rPr>
          <w:fldChar w:fldCharType="end"/>
        </w:r>
      </w:hyperlink>
    </w:p>
    <w:p w14:paraId="64B0EEF3" w14:textId="4C3A8555"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8991" w:history="1">
        <w:r w:rsidR="00FB726A" w:rsidRPr="00FB726A">
          <w:rPr>
            <w:rStyle w:val="ab"/>
            <w:rFonts w:cs="Arial"/>
          </w:rPr>
          <w:t xml:space="preserve">СЕКЦІЯ </w:t>
        </w:r>
        <w:r w:rsidR="00FB726A" w:rsidRPr="00FB726A">
          <w:rPr>
            <w:rStyle w:val="ab"/>
            <w:rFonts w:cs="Arial"/>
            <w:lang w:val="ru-RU"/>
          </w:rPr>
          <w:t>4. ПРОБЛЕМНІ ПИТАННЯ МОРСЬКОГО ТА МИТНОГО ПРАВА</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_Toc208298991 \h </w:instrText>
        </w:r>
        <w:r w:rsidR="00FB726A" w:rsidRPr="00FB726A">
          <w:rPr>
            <w:rFonts w:cs="Arial"/>
            <w:webHidden/>
          </w:rPr>
        </w:r>
        <w:r w:rsidR="00FB726A" w:rsidRPr="00FB726A">
          <w:rPr>
            <w:rFonts w:cs="Arial"/>
            <w:webHidden/>
          </w:rPr>
          <w:fldChar w:fldCharType="separate"/>
        </w:r>
        <w:r w:rsidR="00FB726A" w:rsidRPr="00FB726A">
          <w:rPr>
            <w:rFonts w:cs="Arial"/>
            <w:webHidden/>
          </w:rPr>
          <w:t>738</w:t>
        </w:r>
        <w:r w:rsidR="00FB726A" w:rsidRPr="00FB726A">
          <w:rPr>
            <w:rFonts w:cs="Arial"/>
            <w:webHidden/>
          </w:rPr>
          <w:fldChar w:fldCharType="end"/>
        </w:r>
      </w:hyperlink>
    </w:p>
    <w:p w14:paraId="72CBCFD8" w14:textId="768DB07D"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8992" w:history="1">
        <w:r w:rsidR="00FB726A" w:rsidRPr="00FB726A">
          <w:rPr>
            <w:rStyle w:val="ab"/>
            <w:rFonts w:cs="Arial"/>
          </w:rPr>
          <w:t xml:space="preserve">СЕКЦІЯ </w:t>
        </w:r>
        <w:r w:rsidR="00FB726A" w:rsidRPr="00FB726A">
          <w:rPr>
            <w:rStyle w:val="ab"/>
            <w:rFonts w:cs="Arial"/>
            <w:lang w:val="ru-RU"/>
          </w:rPr>
          <w:t>5. ПРОБЛЕМИ СУЧАСНОЇ КОНСТИТУЦІОНАЛІСТИКИ</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_Toc208298992 \h </w:instrText>
        </w:r>
        <w:r w:rsidR="00FB726A" w:rsidRPr="00FB726A">
          <w:rPr>
            <w:rFonts w:cs="Arial"/>
            <w:webHidden/>
          </w:rPr>
        </w:r>
        <w:r w:rsidR="00FB726A" w:rsidRPr="00FB726A">
          <w:rPr>
            <w:rFonts w:cs="Arial"/>
            <w:webHidden/>
          </w:rPr>
          <w:fldChar w:fldCharType="separate"/>
        </w:r>
        <w:r w:rsidR="00FB726A" w:rsidRPr="00FB726A">
          <w:rPr>
            <w:rFonts w:cs="Arial"/>
            <w:webHidden/>
          </w:rPr>
          <w:t>841</w:t>
        </w:r>
        <w:r w:rsidR="00FB726A" w:rsidRPr="00FB726A">
          <w:rPr>
            <w:rFonts w:cs="Arial"/>
            <w:webHidden/>
          </w:rPr>
          <w:fldChar w:fldCharType="end"/>
        </w:r>
      </w:hyperlink>
    </w:p>
    <w:p w14:paraId="0FF17D12" w14:textId="2A10BEA3"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8993" w:history="1">
        <w:r w:rsidR="00FB726A" w:rsidRPr="00FB726A">
          <w:rPr>
            <w:rStyle w:val="ab"/>
            <w:rFonts w:cs="Arial"/>
          </w:rPr>
          <w:t xml:space="preserve">СЕКЦІЯ </w:t>
        </w:r>
        <w:r w:rsidR="00FB726A" w:rsidRPr="00FB726A">
          <w:rPr>
            <w:rStyle w:val="ab"/>
            <w:rFonts w:cs="Arial"/>
            <w:lang w:val="ru-RU"/>
          </w:rPr>
          <w:t>6. НАПРЯМИ ВДОСКОНАЛЕННЯ АДМІНІСТРАТИВНОГО ПРАВА ТА ПРОЦЕСУ, ФІНАНСОВОГО ПРАВА</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_Toc208298993 \h </w:instrText>
        </w:r>
        <w:r w:rsidR="00FB726A" w:rsidRPr="00FB726A">
          <w:rPr>
            <w:rFonts w:cs="Arial"/>
            <w:webHidden/>
          </w:rPr>
        </w:r>
        <w:r w:rsidR="00FB726A" w:rsidRPr="00FB726A">
          <w:rPr>
            <w:rFonts w:cs="Arial"/>
            <w:webHidden/>
          </w:rPr>
          <w:fldChar w:fldCharType="separate"/>
        </w:r>
        <w:r w:rsidR="00FB726A" w:rsidRPr="00FB726A">
          <w:rPr>
            <w:rFonts w:cs="Arial"/>
            <w:webHidden/>
          </w:rPr>
          <w:t>890</w:t>
        </w:r>
        <w:r w:rsidR="00FB726A" w:rsidRPr="00FB726A">
          <w:rPr>
            <w:rFonts w:cs="Arial"/>
            <w:webHidden/>
          </w:rPr>
          <w:fldChar w:fldCharType="end"/>
        </w:r>
      </w:hyperlink>
    </w:p>
    <w:p w14:paraId="3E57C8B9" w14:textId="1665667A" w:rsidR="00FB726A" w:rsidRPr="00FB726A" w:rsidRDefault="005938AD" w:rsidP="00FB726A">
      <w:pPr>
        <w:pStyle w:val="27"/>
        <w:tabs>
          <w:tab w:val="clear" w:pos="9344"/>
          <w:tab w:val="right" w:leader="dot" w:pos="9921"/>
        </w:tabs>
        <w:rPr>
          <w:rFonts w:ascii="Arial" w:eastAsiaTheme="minorEastAsia" w:hAnsi="Arial" w:cs="Arial"/>
          <w:bCs w:val="0"/>
          <w:sz w:val="22"/>
          <w:szCs w:val="22"/>
          <w:lang w:eastAsia="uk-UA"/>
        </w:rPr>
      </w:pPr>
      <w:hyperlink w:anchor="_Toc208298994" w:history="1">
        <w:r w:rsidR="00FB726A" w:rsidRPr="00FB726A">
          <w:rPr>
            <w:rStyle w:val="ab"/>
            <w:rFonts w:ascii="Arial" w:hAnsi="Arial" w:cs="Arial"/>
          </w:rPr>
          <w:t>Підсекція 6.1. Напрями вдосконалення адміністративного права та фінансового права</w:t>
        </w:r>
        <w:r w:rsidR="00FB726A" w:rsidRPr="00FB726A">
          <w:rPr>
            <w:rFonts w:ascii="Arial" w:hAnsi="Arial" w:cs="Arial"/>
            <w:webHidden/>
          </w:rPr>
          <w:tab/>
        </w:r>
        <w:r w:rsidR="00FB726A" w:rsidRPr="00FB726A">
          <w:rPr>
            <w:rFonts w:ascii="Arial" w:hAnsi="Arial" w:cs="Arial"/>
            <w:webHidden/>
          </w:rPr>
          <w:fldChar w:fldCharType="begin"/>
        </w:r>
        <w:r w:rsidR="00FB726A" w:rsidRPr="00FB726A">
          <w:rPr>
            <w:rFonts w:ascii="Arial" w:hAnsi="Arial" w:cs="Arial"/>
            <w:webHidden/>
          </w:rPr>
          <w:instrText xml:space="preserve"> PAGEREF _Toc208298994 \h </w:instrText>
        </w:r>
        <w:r w:rsidR="00FB726A" w:rsidRPr="00FB726A">
          <w:rPr>
            <w:rFonts w:ascii="Arial" w:hAnsi="Arial" w:cs="Arial"/>
            <w:webHidden/>
          </w:rPr>
        </w:r>
        <w:r w:rsidR="00FB726A" w:rsidRPr="00FB726A">
          <w:rPr>
            <w:rFonts w:ascii="Arial" w:hAnsi="Arial" w:cs="Arial"/>
            <w:webHidden/>
          </w:rPr>
          <w:fldChar w:fldCharType="separate"/>
        </w:r>
        <w:r w:rsidR="00FB726A" w:rsidRPr="00FB726A">
          <w:rPr>
            <w:rFonts w:ascii="Arial" w:hAnsi="Arial" w:cs="Arial"/>
            <w:webHidden/>
          </w:rPr>
          <w:t>890</w:t>
        </w:r>
        <w:r w:rsidR="00FB726A" w:rsidRPr="00FB726A">
          <w:rPr>
            <w:rFonts w:ascii="Arial" w:hAnsi="Arial" w:cs="Arial"/>
            <w:webHidden/>
          </w:rPr>
          <w:fldChar w:fldCharType="end"/>
        </w:r>
      </w:hyperlink>
    </w:p>
    <w:p w14:paraId="48BC28FD" w14:textId="1C815A06" w:rsidR="00FB726A" w:rsidRPr="00FB726A" w:rsidRDefault="005938AD" w:rsidP="00FB726A">
      <w:pPr>
        <w:pStyle w:val="27"/>
        <w:tabs>
          <w:tab w:val="clear" w:pos="9344"/>
          <w:tab w:val="right" w:leader="dot" w:pos="9921"/>
        </w:tabs>
        <w:rPr>
          <w:rFonts w:ascii="Arial" w:eastAsiaTheme="minorEastAsia" w:hAnsi="Arial" w:cs="Arial"/>
          <w:bCs w:val="0"/>
          <w:sz w:val="22"/>
          <w:szCs w:val="22"/>
          <w:lang w:eastAsia="uk-UA"/>
        </w:rPr>
      </w:pPr>
      <w:hyperlink w:anchor="_Toc208298995" w:history="1">
        <w:r w:rsidR="00FB726A" w:rsidRPr="00FB726A">
          <w:rPr>
            <w:rStyle w:val="ab"/>
            <w:rFonts w:ascii="Arial" w:hAnsi="Arial" w:cs="Arial"/>
          </w:rPr>
          <w:t>Підсекція 6.2. Напрями вдосконалення адміністративного процесу</w:t>
        </w:r>
        <w:r w:rsidR="00FB726A" w:rsidRPr="00FB726A">
          <w:rPr>
            <w:rFonts w:ascii="Arial" w:hAnsi="Arial" w:cs="Arial"/>
            <w:webHidden/>
          </w:rPr>
          <w:tab/>
        </w:r>
        <w:r w:rsidR="00FB726A" w:rsidRPr="00FB726A">
          <w:rPr>
            <w:rFonts w:ascii="Arial" w:hAnsi="Arial" w:cs="Arial"/>
            <w:webHidden/>
          </w:rPr>
          <w:fldChar w:fldCharType="begin"/>
        </w:r>
        <w:r w:rsidR="00FB726A" w:rsidRPr="00FB726A">
          <w:rPr>
            <w:rFonts w:ascii="Arial" w:hAnsi="Arial" w:cs="Arial"/>
            <w:webHidden/>
          </w:rPr>
          <w:instrText xml:space="preserve"> PAGEREF _Toc208298995 \h </w:instrText>
        </w:r>
        <w:r w:rsidR="00FB726A" w:rsidRPr="00FB726A">
          <w:rPr>
            <w:rFonts w:ascii="Arial" w:hAnsi="Arial" w:cs="Arial"/>
            <w:webHidden/>
          </w:rPr>
        </w:r>
        <w:r w:rsidR="00FB726A" w:rsidRPr="00FB726A">
          <w:rPr>
            <w:rFonts w:ascii="Arial" w:hAnsi="Arial" w:cs="Arial"/>
            <w:webHidden/>
          </w:rPr>
          <w:fldChar w:fldCharType="separate"/>
        </w:r>
        <w:r w:rsidR="00FB726A" w:rsidRPr="00FB726A">
          <w:rPr>
            <w:rFonts w:ascii="Arial" w:hAnsi="Arial" w:cs="Arial"/>
            <w:webHidden/>
          </w:rPr>
          <w:t>1043</w:t>
        </w:r>
        <w:r w:rsidR="00FB726A" w:rsidRPr="00FB726A">
          <w:rPr>
            <w:rFonts w:ascii="Arial" w:hAnsi="Arial" w:cs="Arial"/>
            <w:webHidden/>
          </w:rPr>
          <w:fldChar w:fldCharType="end"/>
        </w:r>
      </w:hyperlink>
    </w:p>
    <w:p w14:paraId="757D4C32" w14:textId="67792558"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8996" w:history="1">
        <w:r w:rsidR="00FB726A" w:rsidRPr="00FB726A">
          <w:rPr>
            <w:rStyle w:val="ab"/>
            <w:rFonts w:cs="Arial"/>
          </w:rPr>
          <w:t xml:space="preserve">СЕКЦІЯ </w:t>
        </w:r>
        <w:r w:rsidR="00FB726A" w:rsidRPr="00FB726A">
          <w:rPr>
            <w:rStyle w:val="ab"/>
            <w:rFonts w:cs="Arial"/>
            <w:lang w:val="ru-RU"/>
          </w:rPr>
          <w:t>7. ПИТАННЯ ОРГАНІЗАЦІЇ ТА ДІЯЛЬНОСТІ СУДОВИХ, ПРАВООХОРОННИХ ОРГАНІВ ТА АДВОКАТУРИ</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_Toc208298996 \h </w:instrText>
        </w:r>
        <w:r w:rsidR="00FB726A" w:rsidRPr="00FB726A">
          <w:rPr>
            <w:rFonts w:cs="Arial"/>
            <w:webHidden/>
          </w:rPr>
        </w:r>
        <w:r w:rsidR="00FB726A" w:rsidRPr="00FB726A">
          <w:rPr>
            <w:rFonts w:cs="Arial"/>
            <w:webHidden/>
          </w:rPr>
          <w:fldChar w:fldCharType="separate"/>
        </w:r>
        <w:r w:rsidR="00FB726A" w:rsidRPr="00FB726A">
          <w:rPr>
            <w:rFonts w:cs="Arial"/>
            <w:webHidden/>
          </w:rPr>
          <w:t>1101</w:t>
        </w:r>
        <w:r w:rsidR="00FB726A" w:rsidRPr="00FB726A">
          <w:rPr>
            <w:rFonts w:cs="Arial"/>
            <w:webHidden/>
          </w:rPr>
          <w:fldChar w:fldCharType="end"/>
        </w:r>
      </w:hyperlink>
    </w:p>
    <w:p w14:paraId="62E115A5" w14:textId="275E30EF"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8997" w:history="1">
        <w:r w:rsidR="00FB726A" w:rsidRPr="00FB726A">
          <w:rPr>
            <w:rStyle w:val="ab"/>
            <w:rFonts w:cs="Arial"/>
          </w:rPr>
          <w:t xml:space="preserve">СЕКЦІЯ </w:t>
        </w:r>
        <w:r w:rsidR="00FB726A" w:rsidRPr="00FB726A">
          <w:rPr>
            <w:rStyle w:val="ab"/>
            <w:rFonts w:cs="Arial"/>
            <w:lang w:val="ru-RU"/>
          </w:rPr>
          <w:t>8. АКТУАЛЬНІ ПРОБЛЕМИ</w:t>
        </w:r>
        <w:r w:rsidR="00FB726A" w:rsidRPr="00FB726A">
          <w:rPr>
            <w:rStyle w:val="ab"/>
            <w:rFonts w:cs="Arial"/>
          </w:rPr>
          <w:t xml:space="preserve"> </w:t>
        </w:r>
        <w:r w:rsidR="00FB726A" w:rsidRPr="00FB726A">
          <w:rPr>
            <w:rStyle w:val="ab"/>
            <w:rFonts w:cs="Arial"/>
            <w:lang w:val="ru-RU"/>
          </w:rPr>
          <w:t>ЦИВІЛЬНОГО ТА СІМЕЙНОГО ПРАВА</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_Toc208298997 \h </w:instrText>
        </w:r>
        <w:r w:rsidR="00FB726A" w:rsidRPr="00FB726A">
          <w:rPr>
            <w:rFonts w:cs="Arial"/>
            <w:webHidden/>
          </w:rPr>
        </w:r>
        <w:r w:rsidR="00FB726A" w:rsidRPr="00FB726A">
          <w:rPr>
            <w:rFonts w:cs="Arial"/>
            <w:webHidden/>
          </w:rPr>
          <w:fldChar w:fldCharType="separate"/>
        </w:r>
        <w:r w:rsidR="00FB726A" w:rsidRPr="00FB726A">
          <w:rPr>
            <w:rFonts w:cs="Arial"/>
            <w:webHidden/>
          </w:rPr>
          <w:t>1280</w:t>
        </w:r>
        <w:r w:rsidR="00FB726A" w:rsidRPr="00FB726A">
          <w:rPr>
            <w:rFonts w:cs="Arial"/>
            <w:webHidden/>
          </w:rPr>
          <w:fldChar w:fldCharType="end"/>
        </w:r>
      </w:hyperlink>
    </w:p>
    <w:p w14:paraId="700841F7" w14:textId="7FF49570"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8998" w:history="1">
        <w:r w:rsidR="00FB726A" w:rsidRPr="00FB726A">
          <w:rPr>
            <w:rStyle w:val="ab"/>
            <w:rFonts w:cs="Arial"/>
          </w:rPr>
          <w:t xml:space="preserve">СЕКЦІЯ </w:t>
        </w:r>
        <w:r w:rsidR="00FB726A" w:rsidRPr="00FB726A">
          <w:rPr>
            <w:rStyle w:val="ab"/>
            <w:rFonts w:cs="Arial"/>
            <w:lang w:val="ru-RU"/>
          </w:rPr>
          <w:t>9. ПРОБЛЕМНІ ПИТАННЯ ПРАВА ІНТЕЛЕКТУАЛЬНОЇ ВЛАСНОСТІ ТА ПАТЕНТНОЇ ЮСТИЦІЇ</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_Toc208298998 \h </w:instrText>
        </w:r>
        <w:r w:rsidR="00FB726A" w:rsidRPr="00FB726A">
          <w:rPr>
            <w:rFonts w:cs="Arial"/>
            <w:webHidden/>
          </w:rPr>
        </w:r>
        <w:r w:rsidR="00FB726A" w:rsidRPr="00FB726A">
          <w:rPr>
            <w:rFonts w:cs="Arial"/>
            <w:webHidden/>
          </w:rPr>
          <w:fldChar w:fldCharType="separate"/>
        </w:r>
        <w:r w:rsidR="00FB726A" w:rsidRPr="00FB726A">
          <w:rPr>
            <w:rFonts w:cs="Arial"/>
            <w:webHidden/>
          </w:rPr>
          <w:t>1300</w:t>
        </w:r>
        <w:r w:rsidR="00FB726A" w:rsidRPr="00FB726A">
          <w:rPr>
            <w:rFonts w:cs="Arial"/>
            <w:webHidden/>
          </w:rPr>
          <w:fldChar w:fldCharType="end"/>
        </w:r>
      </w:hyperlink>
    </w:p>
    <w:p w14:paraId="07D79792" w14:textId="7BFC0880"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8999" w:history="1">
        <w:r w:rsidR="00FB726A" w:rsidRPr="00FB726A">
          <w:rPr>
            <w:rStyle w:val="ab"/>
            <w:rFonts w:cs="Arial"/>
          </w:rPr>
          <w:t xml:space="preserve">СЕКЦІЯ </w:t>
        </w:r>
        <w:r w:rsidR="00FB726A" w:rsidRPr="00FB726A">
          <w:rPr>
            <w:rStyle w:val="ab"/>
            <w:rFonts w:cs="Arial"/>
            <w:lang w:val="ru-RU"/>
          </w:rPr>
          <w:t>10. ПРОБЛЕМНІ ПИТАННЯ ЦИВІЛЬНОГО, НОТАРІАЛЬНОГО ТА ВИКОНАВЧОГО ПРОЦЕСУ</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_Toc208298999 \h </w:instrText>
        </w:r>
        <w:r w:rsidR="00FB726A" w:rsidRPr="00FB726A">
          <w:rPr>
            <w:rFonts w:cs="Arial"/>
            <w:webHidden/>
          </w:rPr>
        </w:r>
        <w:r w:rsidR="00FB726A" w:rsidRPr="00FB726A">
          <w:rPr>
            <w:rFonts w:cs="Arial"/>
            <w:webHidden/>
          </w:rPr>
          <w:fldChar w:fldCharType="separate"/>
        </w:r>
        <w:r w:rsidR="00FB726A" w:rsidRPr="00FB726A">
          <w:rPr>
            <w:rFonts w:cs="Arial"/>
            <w:webHidden/>
          </w:rPr>
          <w:t>1353</w:t>
        </w:r>
        <w:r w:rsidR="00FB726A" w:rsidRPr="00FB726A">
          <w:rPr>
            <w:rFonts w:cs="Arial"/>
            <w:webHidden/>
          </w:rPr>
          <w:fldChar w:fldCharType="end"/>
        </w:r>
      </w:hyperlink>
    </w:p>
    <w:p w14:paraId="74DE72CF" w14:textId="4C6BD50F"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00" w:history="1">
        <w:r w:rsidR="00FB726A" w:rsidRPr="00FB726A">
          <w:rPr>
            <w:rStyle w:val="ab"/>
            <w:rFonts w:cs="Arial"/>
          </w:rPr>
          <w:t xml:space="preserve">СЕКЦІЯ </w:t>
        </w:r>
        <w:r w:rsidR="00FB726A" w:rsidRPr="00FB726A">
          <w:rPr>
            <w:rStyle w:val="ab"/>
            <w:rFonts w:cs="Arial"/>
            <w:lang w:val="ru-RU"/>
          </w:rPr>
          <w:t>11. ГОСПОДАРСЬКЕ ТА ГОСПОДАРСЬКЕ ПРОЦЕСУАЛЬНЕ ПРАВО</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_Toc208299000 \h </w:instrText>
        </w:r>
        <w:r w:rsidR="00FB726A" w:rsidRPr="00FB726A">
          <w:rPr>
            <w:rFonts w:cs="Arial"/>
            <w:webHidden/>
          </w:rPr>
        </w:r>
        <w:r w:rsidR="00FB726A" w:rsidRPr="00FB726A">
          <w:rPr>
            <w:rFonts w:cs="Arial"/>
            <w:webHidden/>
          </w:rPr>
          <w:fldChar w:fldCharType="separate"/>
        </w:r>
        <w:r w:rsidR="00FB726A" w:rsidRPr="00FB726A">
          <w:rPr>
            <w:rFonts w:cs="Arial"/>
            <w:webHidden/>
          </w:rPr>
          <w:t>1534</w:t>
        </w:r>
        <w:r w:rsidR="00FB726A" w:rsidRPr="00FB726A">
          <w:rPr>
            <w:rFonts w:cs="Arial"/>
            <w:webHidden/>
          </w:rPr>
          <w:fldChar w:fldCharType="end"/>
        </w:r>
      </w:hyperlink>
    </w:p>
    <w:p w14:paraId="14E766F0" w14:textId="40A74D51"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01" w:history="1">
        <w:r w:rsidR="00FB726A" w:rsidRPr="00FB726A">
          <w:rPr>
            <w:rStyle w:val="ab"/>
            <w:rFonts w:cs="Arial"/>
          </w:rPr>
          <w:t xml:space="preserve">СЕКЦІЯ </w:t>
        </w:r>
        <w:r w:rsidR="00FB726A" w:rsidRPr="00FB726A">
          <w:rPr>
            <w:rStyle w:val="ab"/>
            <w:rFonts w:cs="Arial"/>
            <w:lang w:val="ru-RU"/>
          </w:rPr>
          <w:t>12. СУЧАСНИЙ СТАН І РОЗВИТОК ТРУДОВОГО ПРАВА ТА ПРАВА СОЦІАЛЬНОГО ЗАБЕЗПЕЧЕННЯ</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_Toc208299001 \h </w:instrText>
        </w:r>
        <w:r w:rsidR="00FB726A" w:rsidRPr="00FB726A">
          <w:rPr>
            <w:rFonts w:cs="Arial"/>
            <w:webHidden/>
          </w:rPr>
        </w:r>
        <w:r w:rsidR="00FB726A" w:rsidRPr="00FB726A">
          <w:rPr>
            <w:rFonts w:cs="Arial"/>
            <w:webHidden/>
          </w:rPr>
          <w:fldChar w:fldCharType="separate"/>
        </w:r>
        <w:r w:rsidR="00FB726A" w:rsidRPr="00FB726A">
          <w:rPr>
            <w:rFonts w:cs="Arial"/>
            <w:webHidden/>
          </w:rPr>
          <w:t>1658</w:t>
        </w:r>
        <w:r w:rsidR="00FB726A" w:rsidRPr="00FB726A">
          <w:rPr>
            <w:rFonts w:cs="Arial"/>
            <w:webHidden/>
          </w:rPr>
          <w:fldChar w:fldCharType="end"/>
        </w:r>
      </w:hyperlink>
    </w:p>
    <w:p w14:paraId="0C64C2DB" w14:textId="5C445F6B"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02" w:history="1">
        <w:r w:rsidR="00FB726A" w:rsidRPr="00FB726A">
          <w:rPr>
            <w:rStyle w:val="ab"/>
            <w:rFonts w:cs="Arial"/>
          </w:rPr>
          <w:t xml:space="preserve">СЕКЦІЯ </w:t>
        </w:r>
        <w:r w:rsidR="00FB726A" w:rsidRPr="00FB726A">
          <w:rPr>
            <w:rStyle w:val="ab"/>
            <w:rFonts w:cs="Arial"/>
            <w:lang w:val="ru-RU"/>
          </w:rPr>
          <w:t>13. ПРОБЛЕМИ ЗЕМЕЛЬНОГО, АГРАРНОГО ТА ЕКОЛОГІЧНОГО ПРАВА</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_Toc208299002 \h </w:instrText>
        </w:r>
        <w:r w:rsidR="00FB726A" w:rsidRPr="00FB726A">
          <w:rPr>
            <w:rFonts w:cs="Arial"/>
            <w:webHidden/>
          </w:rPr>
        </w:r>
        <w:r w:rsidR="00FB726A" w:rsidRPr="00FB726A">
          <w:rPr>
            <w:rFonts w:cs="Arial"/>
            <w:webHidden/>
          </w:rPr>
          <w:fldChar w:fldCharType="separate"/>
        </w:r>
        <w:r w:rsidR="00FB726A" w:rsidRPr="00FB726A">
          <w:rPr>
            <w:rFonts w:cs="Arial"/>
            <w:webHidden/>
          </w:rPr>
          <w:t>1821</w:t>
        </w:r>
        <w:r w:rsidR="00FB726A" w:rsidRPr="00FB726A">
          <w:rPr>
            <w:rFonts w:cs="Arial"/>
            <w:webHidden/>
          </w:rPr>
          <w:fldChar w:fldCharType="end"/>
        </w:r>
      </w:hyperlink>
    </w:p>
    <w:p w14:paraId="109411D8" w14:textId="153CE918"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03" w:history="1">
        <w:r w:rsidR="00FB726A" w:rsidRPr="00FB726A">
          <w:rPr>
            <w:rStyle w:val="ab"/>
            <w:rFonts w:cs="Arial"/>
          </w:rPr>
          <w:t xml:space="preserve">СЕКЦІЯ </w:t>
        </w:r>
        <w:r w:rsidR="00FB726A" w:rsidRPr="00FB726A">
          <w:rPr>
            <w:rStyle w:val="ab"/>
            <w:rFonts w:cs="Arial"/>
            <w:lang w:val="ru-RU"/>
          </w:rPr>
          <w:t>14. АКТУАЛЬНІ ПИТАННЯ КРИМІНАЛЬНОГО ПРАВА</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_Toc208299003 \h </w:instrText>
        </w:r>
        <w:r w:rsidR="00FB726A" w:rsidRPr="00FB726A">
          <w:rPr>
            <w:rFonts w:cs="Arial"/>
            <w:webHidden/>
          </w:rPr>
        </w:r>
        <w:r w:rsidR="00FB726A" w:rsidRPr="00FB726A">
          <w:rPr>
            <w:rFonts w:cs="Arial"/>
            <w:webHidden/>
          </w:rPr>
          <w:fldChar w:fldCharType="separate"/>
        </w:r>
        <w:r w:rsidR="00FB726A" w:rsidRPr="00FB726A">
          <w:rPr>
            <w:rFonts w:cs="Arial"/>
            <w:webHidden/>
          </w:rPr>
          <w:t>1874</w:t>
        </w:r>
        <w:r w:rsidR="00FB726A" w:rsidRPr="00FB726A">
          <w:rPr>
            <w:rFonts w:cs="Arial"/>
            <w:webHidden/>
          </w:rPr>
          <w:fldChar w:fldCharType="end"/>
        </w:r>
      </w:hyperlink>
    </w:p>
    <w:p w14:paraId="1B7D4D7C" w14:textId="4E49773F"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04" w:history="1">
        <w:r w:rsidR="00FB726A" w:rsidRPr="00FB726A">
          <w:rPr>
            <w:rStyle w:val="ab"/>
            <w:rFonts w:cs="Arial"/>
          </w:rPr>
          <w:t xml:space="preserve">СЕКЦІЯ </w:t>
        </w:r>
        <w:r w:rsidR="00FB726A" w:rsidRPr="00FB726A">
          <w:rPr>
            <w:rStyle w:val="ab"/>
            <w:rFonts w:cs="Arial"/>
            <w:lang w:val="ru-RU"/>
          </w:rPr>
          <w:t xml:space="preserve">15. ПРОБЛЕМИ </w:t>
        </w:r>
        <w:r w:rsidR="00FB726A" w:rsidRPr="00FB726A">
          <w:rPr>
            <w:rStyle w:val="ab"/>
            <w:rFonts w:cs="Arial"/>
          </w:rPr>
          <w:t>КРИМІНАЛІСТИКИ, ДЕТЕКТИВНОЇ ТА ОПЕРАТИВНО-РОЗШУКОВОЇ ДІЯЛЬНОСТІ,</w:t>
        </w:r>
        <w:r w:rsidR="00FB726A" w:rsidRPr="00FB726A">
          <w:rPr>
            <w:rStyle w:val="ab"/>
            <w:rFonts w:cs="Arial"/>
            <w:lang w:val="ru-RU"/>
          </w:rPr>
          <w:t xml:space="preserve"> КРИМІНОЛОГІЇ ТА КРИМІНАЛЬНО-ВИКОНАВЧОГО ПРАВА</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_Toc208299004 \h </w:instrText>
        </w:r>
        <w:r w:rsidR="00FB726A" w:rsidRPr="00FB726A">
          <w:rPr>
            <w:rFonts w:cs="Arial"/>
            <w:webHidden/>
          </w:rPr>
        </w:r>
        <w:r w:rsidR="00FB726A" w:rsidRPr="00FB726A">
          <w:rPr>
            <w:rFonts w:cs="Arial"/>
            <w:webHidden/>
          </w:rPr>
          <w:fldChar w:fldCharType="separate"/>
        </w:r>
        <w:r w:rsidR="00FB726A" w:rsidRPr="00FB726A">
          <w:rPr>
            <w:rFonts w:cs="Arial"/>
            <w:webHidden/>
          </w:rPr>
          <w:t>2055</w:t>
        </w:r>
        <w:r w:rsidR="00FB726A" w:rsidRPr="00FB726A">
          <w:rPr>
            <w:rFonts w:cs="Arial"/>
            <w:webHidden/>
          </w:rPr>
          <w:fldChar w:fldCharType="end"/>
        </w:r>
      </w:hyperlink>
    </w:p>
    <w:p w14:paraId="3112427F" w14:textId="648F047A" w:rsidR="00FB726A" w:rsidRPr="00FB726A" w:rsidRDefault="005938AD" w:rsidP="00FB726A">
      <w:pPr>
        <w:pStyle w:val="27"/>
        <w:tabs>
          <w:tab w:val="clear" w:pos="9344"/>
          <w:tab w:val="right" w:leader="dot" w:pos="9921"/>
        </w:tabs>
        <w:rPr>
          <w:rFonts w:ascii="Arial" w:eastAsiaTheme="minorEastAsia" w:hAnsi="Arial" w:cs="Arial"/>
          <w:bCs w:val="0"/>
          <w:sz w:val="22"/>
          <w:szCs w:val="22"/>
          <w:lang w:eastAsia="uk-UA"/>
        </w:rPr>
      </w:pPr>
      <w:hyperlink w:anchor="_Toc208299005" w:history="1">
        <w:r w:rsidR="00FB726A" w:rsidRPr="00FB726A">
          <w:rPr>
            <w:rStyle w:val="ab"/>
            <w:rFonts w:ascii="Arial" w:hAnsi="Arial" w:cs="Arial"/>
          </w:rPr>
          <w:t>Підсекція 15.1. Сучасні наукові дослідження у сфері криміналістики, детективної та оперативно-розшукової діяльності</w:t>
        </w:r>
        <w:r w:rsidR="00FB726A" w:rsidRPr="00FB726A">
          <w:rPr>
            <w:rFonts w:ascii="Arial" w:hAnsi="Arial" w:cs="Arial"/>
            <w:webHidden/>
          </w:rPr>
          <w:tab/>
        </w:r>
        <w:r w:rsidR="00FB726A" w:rsidRPr="00FB726A">
          <w:rPr>
            <w:rFonts w:ascii="Arial" w:hAnsi="Arial" w:cs="Arial"/>
            <w:webHidden/>
          </w:rPr>
          <w:fldChar w:fldCharType="begin"/>
        </w:r>
        <w:r w:rsidR="00FB726A" w:rsidRPr="00FB726A">
          <w:rPr>
            <w:rFonts w:ascii="Arial" w:hAnsi="Arial" w:cs="Arial"/>
            <w:webHidden/>
          </w:rPr>
          <w:instrText xml:space="preserve"> PAGEREF _Toc208299005 \h </w:instrText>
        </w:r>
        <w:r w:rsidR="00FB726A" w:rsidRPr="00FB726A">
          <w:rPr>
            <w:rFonts w:ascii="Arial" w:hAnsi="Arial" w:cs="Arial"/>
            <w:webHidden/>
          </w:rPr>
        </w:r>
        <w:r w:rsidR="00FB726A" w:rsidRPr="00FB726A">
          <w:rPr>
            <w:rFonts w:ascii="Arial" w:hAnsi="Arial" w:cs="Arial"/>
            <w:webHidden/>
          </w:rPr>
          <w:fldChar w:fldCharType="separate"/>
        </w:r>
        <w:r w:rsidR="00FB726A" w:rsidRPr="00FB726A">
          <w:rPr>
            <w:rFonts w:ascii="Arial" w:hAnsi="Arial" w:cs="Arial"/>
            <w:webHidden/>
          </w:rPr>
          <w:t>2055</w:t>
        </w:r>
        <w:r w:rsidR="00FB726A" w:rsidRPr="00FB726A">
          <w:rPr>
            <w:rFonts w:ascii="Arial" w:hAnsi="Arial" w:cs="Arial"/>
            <w:webHidden/>
          </w:rPr>
          <w:fldChar w:fldCharType="end"/>
        </w:r>
      </w:hyperlink>
    </w:p>
    <w:p w14:paraId="248DE1AC" w14:textId="52D52C95" w:rsidR="00FB726A" w:rsidRPr="00FB726A" w:rsidRDefault="005938AD" w:rsidP="00FB726A">
      <w:pPr>
        <w:pStyle w:val="27"/>
        <w:tabs>
          <w:tab w:val="clear" w:pos="9344"/>
          <w:tab w:val="right" w:leader="dot" w:pos="9921"/>
        </w:tabs>
        <w:rPr>
          <w:rFonts w:ascii="Arial" w:eastAsiaTheme="minorEastAsia" w:hAnsi="Arial" w:cs="Arial"/>
          <w:bCs w:val="0"/>
          <w:sz w:val="22"/>
          <w:szCs w:val="22"/>
          <w:lang w:eastAsia="uk-UA"/>
        </w:rPr>
      </w:pPr>
      <w:hyperlink w:anchor="_Toc208299006" w:history="1">
        <w:r w:rsidR="00FB726A" w:rsidRPr="00FB726A">
          <w:rPr>
            <w:rStyle w:val="ab"/>
            <w:rFonts w:ascii="Arial" w:hAnsi="Arial" w:cs="Arial"/>
          </w:rPr>
          <w:t>Підсекція 15.2. Проблеми кримінології  та кримінально-виконавчого права</w:t>
        </w:r>
        <w:r w:rsidR="00FB726A" w:rsidRPr="00FB726A">
          <w:rPr>
            <w:rFonts w:ascii="Arial" w:hAnsi="Arial" w:cs="Arial"/>
            <w:webHidden/>
          </w:rPr>
          <w:tab/>
        </w:r>
        <w:r w:rsidR="00FB726A" w:rsidRPr="00FB726A">
          <w:rPr>
            <w:rFonts w:ascii="Arial" w:hAnsi="Arial" w:cs="Arial"/>
            <w:webHidden/>
          </w:rPr>
          <w:fldChar w:fldCharType="begin"/>
        </w:r>
        <w:r w:rsidR="00FB726A" w:rsidRPr="00FB726A">
          <w:rPr>
            <w:rFonts w:ascii="Arial" w:hAnsi="Arial" w:cs="Arial"/>
            <w:webHidden/>
          </w:rPr>
          <w:instrText xml:space="preserve"> PAGEREF _Toc208299006 \h </w:instrText>
        </w:r>
        <w:r w:rsidR="00FB726A" w:rsidRPr="00FB726A">
          <w:rPr>
            <w:rFonts w:ascii="Arial" w:hAnsi="Arial" w:cs="Arial"/>
            <w:webHidden/>
          </w:rPr>
        </w:r>
        <w:r w:rsidR="00FB726A" w:rsidRPr="00FB726A">
          <w:rPr>
            <w:rFonts w:ascii="Arial" w:hAnsi="Arial" w:cs="Arial"/>
            <w:webHidden/>
          </w:rPr>
          <w:fldChar w:fldCharType="separate"/>
        </w:r>
        <w:r w:rsidR="00FB726A" w:rsidRPr="00FB726A">
          <w:rPr>
            <w:rFonts w:ascii="Arial" w:hAnsi="Arial" w:cs="Arial"/>
            <w:webHidden/>
          </w:rPr>
          <w:t>2351</w:t>
        </w:r>
        <w:r w:rsidR="00FB726A" w:rsidRPr="00FB726A">
          <w:rPr>
            <w:rFonts w:ascii="Arial" w:hAnsi="Arial" w:cs="Arial"/>
            <w:webHidden/>
          </w:rPr>
          <w:fldChar w:fldCharType="end"/>
        </w:r>
      </w:hyperlink>
    </w:p>
    <w:p w14:paraId="72174DA9" w14:textId="48B15F2C"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07" w:history="1">
        <w:r w:rsidR="00FB726A" w:rsidRPr="00FB726A">
          <w:rPr>
            <w:rStyle w:val="ab"/>
            <w:rFonts w:cs="Arial"/>
          </w:rPr>
          <w:t xml:space="preserve">СЕКЦІЯ </w:t>
        </w:r>
        <w:r w:rsidR="00FB726A" w:rsidRPr="00FB726A">
          <w:rPr>
            <w:rStyle w:val="ab"/>
            <w:rFonts w:cs="Arial"/>
            <w:lang w:val="ru-RU"/>
          </w:rPr>
          <w:t>16. АКТУАЛЬНІ ПИТАННЯ КРИМІНАЛЬНОГО ПРОЦЕСУ</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_Toc208299007 \h </w:instrText>
        </w:r>
        <w:r w:rsidR="00FB726A" w:rsidRPr="00FB726A">
          <w:rPr>
            <w:rFonts w:cs="Arial"/>
            <w:webHidden/>
          </w:rPr>
        </w:r>
        <w:r w:rsidR="00FB726A" w:rsidRPr="00FB726A">
          <w:rPr>
            <w:rFonts w:cs="Arial"/>
            <w:webHidden/>
          </w:rPr>
          <w:fldChar w:fldCharType="separate"/>
        </w:r>
        <w:r w:rsidR="00FB726A" w:rsidRPr="00FB726A">
          <w:rPr>
            <w:rFonts w:cs="Arial"/>
            <w:webHidden/>
          </w:rPr>
          <w:t>2443</w:t>
        </w:r>
        <w:r w:rsidR="00FB726A" w:rsidRPr="00FB726A">
          <w:rPr>
            <w:rFonts w:cs="Arial"/>
            <w:webHidden/>
          </w:rPr>
          <w:fldChar w:fldCharType="end"/>
        </w:r>
      </w:hyperlink>
    </w:p>
    <w:p w14:paraId="030B45DB" w14:textId="1629D763"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08" w:history="1">
        <w:r w:rsidR="00FB726A" w:rsidRPr="00FB726A">
          <w:rPr>
            <w:rStyle w:val="ab"/>
            <w:rFonts w:cs="Arial"/>
          </w:rPr>
          <w:t xml:space="preserve">СЕКЦІЯ </w:t>
        </w:r>
        <w:r w:rsidR="00FB726A" w:rsidRPr="00FB726A">
          <w:rPr>
            <w:rStyle w:val="ab"/>
            <w:rFonts w:cs="Arial"/>
            <w:lang w:val="ru-RU"/>
          </w:rPr>
          <w:t>1</w:t>
        </w:r>
        <w:r w:rsidR="00FB726A" w:rsidRPr="00FB726A">
          <w:rPr>
            <w:rStyle w:val="ab"/>
            <w:rFonts w:cs="Arial"/>
            <w:lang w:val="en-US"/>
          </w:rPr>
          <w:t>7</w:t>
        </w:r>
        <w:r w:rsidR="00FB726A" w:rsidRPr="00FB726A">
          <w:rPr>
            <w:rStyle w:val="ab"/>
            <w:rFonts w:cs="Arial"/>
            <w:lang w:val="ru-RU"/>
          </w:rPr>
          <w:t>. СУЧАСНІ НАПРЯМИ ЗАБЕЗПЕЧЕННЯ КІБЕРЗАХИСТУ ТА УДОСКОНАЛЕННЯ ІТ</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_Toc208299008 \h </w:instrText>
        </w:r>
        <w:r w:rsidR="00FB726A" w:rsidRPr="00FB726A">
          <w:rPr>
            <w:rFonts w:cs="Arial"/>
            <w:webHidden/>
          </w:rPr>
        </w:r>
        <w:r w:rsidR="00FB726A" w:rsidRPr="00FB726A">
          <w:rPr>
            <w:rFonts w:cs="Arial"/>
            <w:webHidden/>
          </w:rPr>
          <w:fldChar w:fldCharType="separate"/>
        </w:r>
        <w:r w:rsidR="00FB726A" w:rsidRPr="00FB726A">
          <w:rPr>
            <w:rFonts w:cs="Arial"/>
            <w:webHidden/>
          </w:rPr>
          <w:t>2584</w:t>
        </w:r>
        <w:r w:rsidR="00FB726A" w:rsidRPr="00FB726A">
          <w:rPr>
            <w:rFonts w:cs="Arial"/>
            <w:webHidden/>
          </w:rPr>
          <w:fldChar w:fldCharType="end"/>
        </w:r>
      </w:hyperlink>
    </w:p>
    <w:p w14:paraId="6283A6F7" w14:textId="37DCD558"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09" w:history="1">
        <w:r w:rsidR="00FB726A" w:rsidRPr="00FB726A">
          <w:rPr>
            <w:rStyle w:val="ab"/>
            <w:rFonts w:cs="Arial"/>
          </w:rPr>
          <w:t xml:space="preserve">СЕКЦІЯ </w:t>
        </w:r>
        <w:r w:rsidR="00FB726A" w:rsidRPr="00FB726A">
          <w:rPr>
            <w:rStyle w:val="ab"/>
            <w:rFonts w:cs="Arial"/>
            <w:lang w:val="ru-RU"/>
          </w:rPr>
          <w:t>1</w:t>
        </w:r>
        <w:r w:rsidR="00FB726A" w:rsidRPr="00FB726A">
          <w:rPr>
            <w:rStyle w:val="ab"/>
            <w:rFonts w:cs="Arial"/>
            <w:lang w:val="en-US"/>
          </w:rPr>
          <w:t>8</w:t>
        </w:r>
        <w:r w:rsidR="00FB726A" w:rsidRPr="00FB726A">
          <w:rPr>
            <w:rStyle w:val="ab"/>
            <w:rFonts w:cs="Arial"/>
            <w:lang w:val="ru-RU"/>
          </w:rPr>
          <w:t>. ЕКОНОМІКО-ПРАВОВІ ЗАСАДИ РОЗВИТКУ УКРАЇНИ</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_Toc208299009 \h </w:instrText>
        </w:r>
        <w:r w:rsidR="00FB726A" w:rsidRPr="00FB726A">
          <w:rPr>
            <w:rFonts w:cs="Arial"/>
            <w:webHidden/>
          </w:rPr>
        </w:r>
        <w:r w:rsidR="00FB726A" w:rsidRPr="00FB726A">
          <w:rPr>
            <w:rFonts w:cs="Arial"/>
            <w:webHidden/>
          </w:rPr>
          <w:fldChar w:fldCharType="separate"/>
        </w:r>
        <w:r w:rsidR="00FB726A" w:rsidRPr="00FB726A">
          <w:rPr>
            <w:rFonts w:cs="Arial"/>
            <w:webHidden/>
          </w:rPr>
          <w:t>2646</w:t>
        </w:r>
        <w:r w:rsidR="00FB726A" w:rsidRPr="00FB726A">
          <w:rPr>
            <w:rFonts w:cs="Arial"/>
            <w:webHidden/>
          </w:rPr>
          <w:fldChar w:fldCharType="end"/>
        </w:r>
      </w:hyperlink>
    </w:p>
    <w:p w14:paraId="6FA94BB7" w14:textId="5680DE64"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10" w:history="1">
        <w:r w:rsidR="00FB726A" w:rsidRPr="00FB726A">
          <w:rPr>
            <w:rStyle w:val="ab"/>
            <w:rFonts w:cs="Arial"/>
          </w:rPr>
          <w:t xml:space="preserve">СЕКЦІЯ </w:t>
        </w:r>
        <w:r w:rsidR="00FB726A" w:rsidRPr="00FB726A">
          <w:rPr>
            <w:rStyle w:val="ab"/>
            <w:rFonts w:cs="Arial"/>
            <w:lang w:val="en-US"/>
          </w:rPr>
          <w:t>19</w:t>
        </w:r>
        <w:r w:rsidR="00FB726A" w:rsidRPr="00FB726A">
          <w:rPr>
            <w:rStyle w:val="ab"/>
            <w:rFonts w:cs="Arial"/>
            <w:lang w:val="ru-RU"/>
          </w:rPr>
          <w:t>. ЛІНГВІСТИКА ПРАВА ТА ЗМІ: СУЧАСНИЙ СТАН ТА ПЕРСПЕКТИВИ РОЗВИТКУ</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_Toc208299010 \h </w:instrText>
        </w:r>
        <w:r w:rsidR="00FB726A" w:rsidRPr="00FB726A">
          <w:rPr>
            <w:rFonts w:cs="Arial"/>
            <w:webHidden/>
          </w:rPr>
        </w:r>
        <w:r w:rsidR="00FB726A" w:rsidRPr="00FB726A">
          <w:rPr>
            <w:rFonts w:cs="Arial"/>
            <w:webHidden/>
          </w:rPr>
          <w:fldChar w:fldCharType="separate"/>
        </w:r>
        <w:r w:rsidR="00FB726A" w:rsidRPr="00FB726A">
          <w:rPr>
            <w:rFonts w:cs="Arial"/>
            <w:webHidden/>
          </w:rPr>
          <w:t>2731</w:t>
        </w:r>
        <w:r w:rsidR="00FB726A" w:rsidRPr="00FB726A">
          <w:rPr>
            <w:rFonts w:cs="Arial"/>
            <w:webHidden/>
          </w:rPr>
          <w:fldChar w:fldCharType="end"/>
        </w:r>
      </w:hyperlink>
    </w:p>
    <w:p w14:paraId="4CCA913C" w14:textId="1BE730A3"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11" w:history="1">
        <w:r w:rsidR="00FB726A" w:rsidRPr="00FB726A">
          <w:rPr>
            <w:rStyle w:val="ab"/>
            <w:rFonts w:cs="Arial"/>
          </w:rPr>
          <w:t xml:space="preserve">СЕКЦІЯ </w:t>
        </w:r>
        <w:r w:rsidR="00FB726A" w:rsidRPr="00FB726A">
          <w:rPr>
            <w:rStyle w:val="ab"/>
            <w:rFonts w:cs="Arial"/>
            <w:lang w:val="ru-RU"/>
          </w:rPr>
          <w:t>2</w:t>
        </w:r>
        <w:r w:rsidR="00FB726A" w:rsidRPr="00FB726A">
          <w:rPr>
            <w:rStyle w:val="ab"/>
            <w:rFonts w:cs="Arial"/>
            <w:lang w:val="en-US"/>
          </w:rPr>
          <w:t>0</w:t>
        </w:r>
        <w:r w:rsidR="00FB726A" w:rsidRPr="00FB726A">
          <w:rPr>
            <w:rStyle w:val="ab"/>
            <w:rFonts w:cs="Arial"/>
            <w:lang w:val="ru-RU"/>
          </w:rPr>
          <w:t>. ПОЛІТОЛОГІЧНІ ДОСЛІДЖЕННЯ ДЕРЖАВИ ТА СУСПІЛЬСТВА</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_Toc208299011 \h </w:instrText>
        </w:r>
        <w:r w:rsidR="00FB726A" w:rsidRPr="00FB726A">
          <w:rPr>
            <w:rFonts w:cs="Arial"/>
            <w:webHidden/>
          </w:rPr>
        </w:r>
        <w:r w:rsidR="00FB726A" w:rsidRPr="00FB726A">
          <w:rPr>
            <w:rFonts w:cs="Arial"/>
            <w:webHidden/>
          </w:rPr>
          <w:fldChar w:fldCharType="separate"/>
        </w:r>
        <w:r w:rsidR="00FB726A" w:rsidRPr="00FB726A">
          <w:rPr>
            <w:rFonts w:cs="Arial"/>
            <w:webHidden/>
          </w:rPr>
          <w:t>2765</w:t>
        </w:r>
        <w:r w:rsidR="00FB726A" w:rsidRPr="00FB726A">
          <w:rPr>
            <w:rFonts w:cs="Arial"/>
            <w:webHidden/>
          </w:rPr>
          <w:fldChar w:fldCharType="end"/>
        </w:r>
      </w:hyperlink>
    </w:p>
    <w:p w14:paraId="1232780D" w14:textId="7635C3D9"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12" w:history="1">
        <w:r w:rsidR="00FB726A" w:rsidRPr="00FB726A">
          <w:rPr>
            <w:rStyle w:val="ab"/>
            <w:rFonts w:cs="Arial"/>
          </w:rPr>
          <w:t xml:space="preserve">СЕКЦІЯ </w:t>
        </w:r>
        <w:r w:rsidR="00FB726A" w:rsidRPr="00FB726A">
          <w:rPr>
            <w:rStyle w:val="ab"/>
            <w:rFonts w:cs="Arial"/>
            <w:lang w:val="ru-RU"/>
          </w:rPr>
          <w:t>2</w:t>
        </w:r>
        <w:r w:rsidR="00FB726A" w:rsidRPr="00FB726A">
          <w:rPr>
            <w:rStyle w:val="ab"/>
            <w:rFonts w:cs="Arial"/>
            <w:lang w:val="en-US"/>
          </w:rPr>
          <w:t>1</w:t>
        </w:r>
        <w:r w:rsidR="00FB726A" w:rsidRPr="00FB726A">
          <w:rPr>
            <w:rStyle w:val="ab"/>
            <w:rFonts w:cs="Arial"/>
            <w:lang w:val="ru-RU"/>
          </w:rPr>
          <w:t>. СОЦІОЛОГІЧНІ ДОСЛІДЖЕННЯ ПОЛІТИЧНИХ, ПРАВОВИХ ТА СУСПІЛЬНИХ ПРОЦЕСІВ</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_Toc208299012 \h </w:instrText>
        </w:r>
        <w:r w:rsidR="00FB726A" w:rsidRPr="00FB726A">
          <w:rPr>
            <w:rFonts w:cs="Arial"/>
            <w:webHidden/>
          </w:rPr>
        </w:r>
        <w:r w:rsidR="00FB726A" w:rsidRPr="00FB726A">
          <w:rPr>
            <w:rFonts w:cs="Arial"/>
            <w:webHidden/>
          </w:rPr>
          <w:fldChar w:fldCharType="separate"/>
        </w:r>
        <w:r w:rsidR="00FB726A" w:rsidRPr="00FB726A">
          <w:rPr>
            <w:rFonts w:cs="Arial"/>
            <w:webHidden/>
          </w:rPr>
          <w:t>2838</w:t>
        </w:r>
        <w:r w:rsidR="00FB726A" w:rsidRPr="00FB726A">
          <w:rPr>
            <w:rFonts w:cs="Arial"/>
            <w:webHidden/>
          </w:rPr>
          <w:fldChar w:fldCharType="end"/>
        </w:r>
      </w:hyperlink>
    </w:p>
    <w:p w14:paraId="3534489D" w14:textId="5F70B5EF"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13" w:history="1">
        <w:r w:rsidR="00FB726A" w:rsidRPr="00FB726A">
          <w:rPr>
            <w:rStyle w:val="ab"/>
            <w:rFonts w:cs="Arial"/>
          </w:rPr>
          <w:t xml:space="preserve">СЕКЦІЯ </w:t>
        </w:r>
        <w:r w:rsidR="00FB726A" w:rsidRPr="00FB726A">
          <w:rPr>
            <w:rStyle w:val="ab"/>
            <w:rFonts w:cs="Arial"/>
            <w:lang w:val="ru-RU"/>
          </w:rPr>
          <w:t>2</w:t>
        </w:r>
        <w:r w:rsidR="00FB726A" w:rsidRPr="00FB726A">
          <w:rPr>
            <w:rStyle w:val="ab"/>
            <w:rFonts w:cs="Arial"/>
            <w:lang w:val="en-US"/>
          </w:rPr>
          <w:t>2</w:t>
        </w:r>
        <w:r w:rsidR="00FB726A" w:rsidRPr="00FB726A">
          <w:rPr>
            <w:rStyle w:val="ab"/>
            <w:rFonts w:cs="Arial"/>
            <w:lang w:val="ru-RU"/>
          </w:rPr>
          <w:t>. ПСИХОЛОГІЧНІ ДОСЛІДЖЕННЯ ПОЛІТИЧНИХ, ПРАВОВИХ ТА СУСПІЛЬНИХ ПРОЦЕСІВ</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_Toc208299013 \h </w:instrText>
        </w:r>
        <w:r w:rsidR="00FB726A" w:rsidRPr="00FB726A">
          <w:rPr>
            <w:rFonts w:cs="Arial"/>
            <w:webHidden/>
          </w:rPr>
        </w:r>
        <w:r w:rsidR="00FB726A" w:rsidRPr="00FB726A">
          <w:rPr>
            <w:rFonts w:cs="Arial"/>
            <w:webHidden/>
          </w:rPr>
          <w:fldChar w:fldCharType="separate"/>
        </w:r>
        <w:r w:rsidR="00FB726A" w:rsidRPr="00FB726A">
          <w:rPr>
            <w:rFonts w:cs="Arial"/>
            <w:webHidden/>
          </w:rPr>
          <w:t>2876</w:t>
        </w:r>
        <w:r w:rsidR="00FB726A" w:rsidRPr="00FB726A">
          <w:rPr>
            <w:rFonts w:cs="Arial"/>
            <w:webHidden/>
          </w:rPr>
          <w:fldChar w:fldCharType="end"/>
        </w:r>
      </w:hyperlink>
    </w:p>
    <w:p w14:paraId="31D28A39" w14:textId="76A957E7" w:rsidR="00FB726A" w:rsidRPr="00FB726A" w:rsidRDefault="005938AD" w:rsidP="00FB726A">
      <w:pPr>
        <w:pStyle w:val="1a"/>
        <w:tabs>
          <w:tab w:val="clear" w:pos="9344"/>
          <w:tab w:val="right" w:leader="dot" w:pos="9921"/>
        </w:tabs>
        <w:rPr>
          <w:rFonts w:eastAsiaTheme="minorEastAsia" w:cs="Arial"/>
          <w:sz w:val="22"/>
          <w:szCs w:val="22"/>
          <w:lang w:eastAsia="uk-UA" w:bidi="ar-SA"/>
        </w:rPr>
      </w:pPr>
      <w:hyperlink w:anchor="_Toc208299014" w:history="1">
        <w:r w:rsidR="00FB726A" w:rsidRPr="00FB726A">
          <w:rPr>
            <w:rStyle w:val="ab"/>
            <w:rFonts w:cs="Arial"/>
          </w:rPr>
          <w:t xml:space="preserve">СЕКЦІЯ </w:t>
        </w:r>
        <w:r w:rsidR="00FB726A" w:rsidRPr="00FB726A">
          <w:rPr>
            <w:rStyle w:val="ab"/>
            <w:rFonts w:cs="Arial"/>
            <w:lang w:val="ru-RU"/>
          </w:rPr>
          <w:t>2</w:t>
        </w:r>
        <w:r w:rsidR="00FB726A" w:rsidRPr="00FB726A">
          <w:rPr>
            <w:rStyle w:val="ab"/>
            <w:rFonts w:cs="Arial"/>
            <w:lang w:val="en-US"/>
          </w:rPr>
          <w:t>3</w:t>
        </w:r>
        <w:r w:rsidR="00FB726A" w:rsidRPr="00FB726A">
          <w:rPr>
            <w:rStyle w:val="ab"/>
            <w:rFonts w:cs="Arial"/>
            <w:lang w:val="ru-RU"/>
          </w:rPr>
          <w:t>. АКТУАЛЬНІ ВИКЛИКИ СУЧАСНОЇ ЖУРНАЛІСТИКИ</w:t>
        </w:r>
        <w:r w:rsidR="00FB726A" w:rsidRPr="00FB726A">
          <w:rPr>
            <w:rFonts w:cs="Arial"/>
            <w:webHidden/>
          </w:rPr>
          <w:tab/>
        </w:r>
        <w:r w:rsidR="00FB726A" w:rsidRPr="00FB726A">
          <w:rPr>
            <w:rFonts w:cs="Arial"/>
            <w:webHidden/>
          </w:rPr>
          <w:fldChar w:fldCharType="begin"/>
        </w:r>
        <w:r w:rsidR="00FB726A" w:rsidRPr="00FB726A">
          <w:rPr>
            <w:rFonts w:cs="Arial"/>
            <w:webHidden/>
          </w:rPr>
          <w:instrText xml:space="preserve"> PAGEREF _Toc208299014 \h </w:instrText>
        </w:r>
        <w:r w:rsidR="00FB726A" w:rsidRPr="00FB726A">
          <w:rPr>
            <w:rFonts w:cs="Arial"/>
            <w:webHidden/>
          </w:rPr>
        </w:r>
        <w:r w:rsidR="00FB726A" w:rsidRPr="00FB726A">
          <w:rPr>
            <w:rFonts w:cs="Arial"/>
            <w:webHidden/>
          </w:rPr>
          <w:fldChar w:fldCharType="separate"/>
        </w:r>
        <w:r w:rsidR="00FB726A" w:rsidRPr="00FB726A">
          <w:rPr>
            <w:rFonts w:cs="Arial"/>
            <w:webHidden/>
          </w:rPr>
          <w:t>2908</w:t>
        </w:r>
        <w:r w:rsidR="00FB726A" w:rsidRPr="00FB726A">
          <w:rPr>
            <w:rFonts w:cs="Arial"/>
            <w:webHidden/>
          </w:rPr>
          <w:fldChar w:fldCharType="end"/>
        </w:r>
      </w:hyperlink>
    </w:p>
    <w:p w14:paraId="39B49737" w14:textId="750D88B7" w:rsidR="000E6C2E" w:rsidRPr="00511005" w:rsidRDefault="000E6C2E" w:rsidP="00FB726A">
      <w:pPr>
        <w:keepNext/>
        <w:tabs>
          <w:tab w:val="right" w:leader="dot" w:pos="9921"/>
        </w:tabs>
        <w:spacing w:after="200" w:line="276" w:lineRule="auto"/>
        <w:ind w:firstLine="0"/>
        <w:jc w:val="left"/>
        <w:rPr>
          <w:rFonts w:ascii="Arial" w:eastAsia="NSimSun" w:hAnsi="Arial" w:cs="Arial"/>
          <w:kern w:val="2"/>
          <w:sz w:val="24"/>
          <w:szCs w:val="24"/>
          <w:lang w:eastAsia="zh-CN" w:bidi="hi-IN"/>
        </w:rPr>
      </w:pPr>
      <w:r w:rsidRPr="00FB726A">
        <w:rPr>
          <w:rFonts w:ascii="Arial" w:eastAsia="NSimSun" w:hAnsi="Arial" w:cs="Arial"/>
          <w:kern w:val="2"/>
          <w:sz w:val="24"/>
          <w:szCs w:val="24"/>
          <w:lang w:eastAsia="zh-CN" w:bidi="hi-IN"/>
        </w:rPr>
        <w:fldChar w:fldCharType="end"/>
      </w:r>
    </w:p>
    <w:p w14:paraId="5BB3B46C" w14:textId="77777777" w:rsidR="000E6C2E" w:rsidRPr="00511005" w:rsidRDefault="000E6C2E" w:rsidP="002A7569">
      <w:pPr>
        <w:keepNext/>
        <w:spacing w:after="200" w:line="276" w:lineRule="auto"/>
        <w:ind w:firstLine="0"/>
        <w:jc w:val="left"/>
        <w:rPr>
          <w:rFonts w:ascii="Arial" w:eastAsia="NSimSun" w:hAnsi="Arial" w:cs="Arial"/>
          <w:kern w:val="2"/>
          <w:sz w:val="24"/>
          <w:szCs w:val="24"/>
          <w:lang w:eastAsia="zh-CN" w:bidi="hi-IN"/>
        </w:rPr>
      </w:pPr>
    </w:p>
    <w:p w14:paraId="178B5770" w14:textId="77777777" w:rsidR="000E6C2E" w:rsidRPr="00511005" w:rsidRDefault="000E6C2E" w:rsidP="002A7569">
      <w:pPr>
        <w:keepNext/>
        <w:spacing w:after="200" w:line="276" w:lineRule="auto"/>
        <w:ind w:firstLine="0"/>
        <w:jc w:val="left"/>
        <w:rPr>
          <w:rFonts w:ascii="Arial" w:eastAsia="NSimSun" w:hAnsi="Arial" w:cs="Arial"/>
          <w:b/>
          <w:kern w:val="2"/>
          <w:szCs w:val="28"/>
          <w:lang w:val="uk-UA" w:eastAsia="zh-CN" w:bidi="hi-IN"/>
        </w:rPr>
      </w:pPr>
      <w:bookmarkStart w:id="3" w:name="_Toc74052040"/>
      <w:bookmarkStart w:id="4" w:name="_Toc74239187"/>
      <w:r w:rsidRPr="00511005">
        <w:rPr>
          <w:rFonts w:ascii="Arial" w:eastAsia="NSimSun" w:hAnsi="Arial" w:cs="Arial"/>
          <w:b/>
          <w:kern w:val="2"/>
          <w:szCs w:val="28"/>
          <w:lang w:val="uk-UA" w:eastAsia="zh-CN" w:bidi="hi-IN"/>
        </w:rPr>
        <w:br w:type="page"/>
      </w:r>
    </w:p>
    <w:p w14:paraId="3AECC3C4" w14:textId="4726FC14" w:rsidR="009B3C64" w:rsidRPr="00511005" w:rsidRDefault="009B3C64" w:rsidP="002A7569">
      <w:pPr>
        <w:keepNext/>
        <w:suppressAutoHyphens/>
        <w:ind w:firstLine="0"/>
        <w:jc w:val="center"/>
        <w:outlineLvl w:val="0"/>
        <w:rPr>
          <w:rFonts w:ascii="Arial" w:eastAsia="NSimSun" w:hAnsi="Arial" w:cs="Arial"/>
          <w:b/>
          <w:kern w:val="2"/>
          <w:szCs w:val="28"/>
          <w:lang w:val="uk-UA" w:eastAsia="zh-CN" w:bidi="hi-IN"/>
        </w:rPr>
      </w:pPr>
      <w:bookmarkStart w:id="5" w:name="_Toc208298985"/>
      <w:r w:rsidRPr="00511005">
        <w:rPr>
          <w:rFonts w:ascii="Arial" w:eastAsia="NSimSun" w:hAnsi="Arial" w:cs="Arial"/>
          <w:b/>
          <w:kern w:val="2"/>
          <w:szCs w:val="28"/>
          <w:lang w:val="uk-UA" w:eastAsia="zh-CN" w:bidi="hi-IN"/>
        </w:rPr>
        <w:lastRenderedPageBreak/>
        <w:t>ВІТАЛЬНЕ СЛОВО</w:t>
      </w:r>
      <w:bookmarkEnd w:id="3"/>
      <w:bookmarkEnd w:id="4"/>
      <w:r w:rsidR="00E3396F" w:rsidRPr="00511005">
        <w:rPr>
          <w:rFonts w:ascii="Arial" w:eastAsia="NSimSun" w:hAnsi="Arial" w:cs="Arial"/>
          <w:b/>
          <w:kern w:val="2"/>
          <w:szCs w:val="28"/>
          <w:lang w:val="uk-UA" w:eastAsia="zh-CN" w:bidi="hi-IN"/>
        </w:rPr>
        <w:br/>
      </w:r>
      <w:r w:rsidR="00AB5511" w:rsidRPr="00511005">
        <w:rPr>
          <w:rFonts w:ascii="Arial" w:eastAsia="NSimSun" w:hAnsi="Arial" w:cs="Arial"/>
          <w:b/>
          <w:kern w:val="2"/>
          <w:szCs w:val="28"/>
          <w:lang w:val="uk-UA" w:eastAsia="zh-CN" w:bidi="hi-IN"/>
        </w:rPr>
        <w:t xml:space="preserve">ГОЛОВИ ВЧЕНОЇ РАДИ </w:t>
      </w:r>
      <w:r w:rsidRPr="00511005">
        <w:rPr>
          <w:rFonts w:ascii="Arial" w:eastAsia="NSimSun" w:hAnsi="Arial" w:cs="Arial"/>
          <w:b/>
          <w:kern w:val="2"/>
          <w:szCs w:val="28"/>
          <w:lang w:val="uk-UA" w:eastAsia="zh-CN" w:bidi="hi-IN"/>
        </w:rPr>
        <w:t>НАЦІОНАЛЬНОГО УНІВЕРСИТЕТУ</w:t>
      </w:r>
      <w:r w:rsidR="00E3396F" w:rsidRPr="00511005">
        <w:rPr>
          <w:rFonts w:ascii="Arial" w:eastAsia="NSimSun" w:hAnsi="Arial" w:cs="Arial"/>
          <w:b/>
          <w:kern w:val="2"/>
          <w:szCs w:val="28"/>
          <w:lang w:val="uk-UA" w:eastAsia="zh-CN" w:bidi="hi-IN"/>
        </w:rPr>
        <w:br/>
      </w:r>
      <w:r w:rsidRPr="00511005">
        <w:rPr>
          <w:rFonts w:ascii="Arial" w:eastAsia="NSimSun" w:hAnsi="Arial" w:cs="Arial"/>
          <w:b/>
          <w:kern w:val="2"/>
          <w:szCs w:val="28"/>
          <w:lang w:val="uk-UA" w:eastAsia="zh-CN" w:bidi="hi-IN"/>
        </w:rPr>
        <w:t>«ОДЕСЬКА ЮРИДИЧНА АКАДЕМІЯ»</w:t>
      </w:r>
      <w:r w:rsidR="00281F78" w:rsidRPr="00511005">
        <w:rPr>
          <w:rFonts w:ascii="Arial" w:eastAsia="NSimSun" w:hAnsi="Arial" w:cs="Arial"/>
          <w:b/>
          <w:kern w:val="2"/>
          <w:szCs w:val="28"/>
          <w:lang w:val="uk-UA" w:eastAsia="zh-CN" w:bidi="hi-IN"/>
        </w:rPr>
        <w:t>,</w:t>
      </w:r>
      <w:r w:rsidR="00E3396F" w:rsidRPr="00511005">
        <w:rPr>
          <w:rFonts w:ascii="Arial" w:eastAsia="NSimSun" w:hAnsi="Arial" w:cs="Arial"/>
          <w:b/>
          <w:kern w:val="2"/>
          <w:szCs w:val="28"/>
          <w:lang w:val="uk-UA" w:eastAsia="zh-CN" w:bidi="hi-IN"/>
        </w:rPr>
        <w:br/>
      </w:r>
      <w:r w:rsidR="00281F78" w:rsidRPr="00511005">
        <w:rPr>
          <w:rFonts w:ascii="Arial" w:eastAsia="NSimSun" w:hAnsi="Arial" w:cs="Arial"/>
          <w:b/>
          <w:kern w:val="2"/>
          <w:szCs w:val="28"/>
          <w:lang w:val="uk-UA" w:eastAsia="zh-CN" w:bidi="hi-IN"/>
        </w:rPr>
        <w:t xml:space="preserve">АКАДЕМІКА </w:t>
      </w:r>
      <w:r w:rsidRPr="00511005">
        <w:rPr>
          <w:rFonts w:ascii="Arial" w:eastAsia="NSimSun" w:hAnsi="Arial" w:cs="Arial"/>
          <w:b/>
          <w:kern w:val="2"/>
          <w:szCs w:val="28"/>
          <w:lang w:val="uk-UA" w:eastAsia="zh-CN" w:bidi="hi-IN"/>
        </w:rPr>
        <w:t>С. В. КІВАЛОВА</w:t>
      </w:r>
      <w:bookmarkEnd w:id="5"/>
    </w:p>
    <w:p w14:paraId="281EF72B" w14:textId="77777777" w:rsidR="009B3C64" w:rsidRPr="00511005" w:rsidRDefault="009B3C64" w:rsidP="002A7569">
      <w:pPr>
        <w:keepNext/>
        <w:suppressAutoHyphens/>
        <w:spacing w:line="240" w:lineRule="auto"/>
        <w:ind w:firstLine="0"/>
        <w:jc w:val="left"/>
        <w:rPr>
          <w:rFonts w:ascii="Arial" w:eastAsia="NSimSun" w:hAnsi="Arial" w:cs="Arial"/>
          <w:kern w:val="2"/>
          <w:sz w:val="32"/>
          <w:szCs w:val="32"/>
          <w:lang w:eastAsia="zh-CN" w:bidi="hi-IN"/>
        </w:rPr>
      </w:pPr>
    </w:p>
    <w:p w14:paraId="02FFC5A7" w14:textId="77777777" w:rsidR="00917241" w:rsidRPr="00511005" w:rsidRDefault="00917241" w:rsidP="002A7569">
      <w:pPr>
        <w:keepNext/>
        <w:ind w:firstLine="567"/>
        <w:contextualSpacing/>
        <w:rPr>
          <w:rFonts w:ascii="Arial" w:hAnsi="Arial" w:cs="Arial"/>
          <w:szCs w:val="28"/>
          <w:lang w:val="uk-UA"/>
        </w:rPr>
      </w:pPr>
      <w:r w:rsidRPr="00511005">
        <w:rPr>
          <w:rFonts w:ascii="Arial" w:hAnsi="Arial" w:cs="Arial"/>
          <w:szCs w:val="28"/>
          <w:lang w:val="uk-UA"/>
        </w:rPr>
        <w:t>Шановні здобувачі вищої освіти!</w:t>
      </w:r>
    </w:p>
    <w:p w14:paraId="22A8AA54" w14:textId="6A958B84" w:rsidR="002029A8" w:rsidRPr="00511005" w:rsidRDefault="006768A1" w:rsidP="002A7569">
      <w:pPr>
        <w:keepNext/>
        <w:ind w:firstLine="567"/>
        <w:contextualSpacing/>
        <w:rPr>
          <w:rFonts w:ascii="Arial" w:hAnsi="Arial" w:cs="Arial"/>
          <w:szCs w:val="28"/>
          <w:lang w:val="uk-UA"/>
        </w:rPr>
      </w:pPr>
      <w:r w:rsidRPr="00511005">
        <w:rPr>
          <w:rFonts w:ascii="Arial" w:hAnsi="Arial" w:cs="Arial"/>
          <w:szCs w:val="28"/>
          <w:lang w:val="uk-UA"/>
        </w:rPr>
        <w:t>Щиро</w:t>
      </w:r>
      <w:r w:rsidR="00917241" w:rsidRPr="00511005">
        <w:rPr>
          <w:rFonts w:ascii="Arial" w:hAnsi="Arial" w:cs="Arial"/>
          <w:szCs w:val="28"/>
          <w:lang w:val="uk-UA"/>
        </w:rPr>
        <w:t xml:space="preserve"> віта</w:t>
      </w:r>
      <w:r w:rsidRPr="00511005">
        <w:rPr>
          <w:rFonts w:ascii="Arial" w:hAnsi="Arial" w:cs="Arial"/>
          <w:szCs w:val="28"/>
          <w:lang w:val="uk-UA"/>
        </w:rPr>
        <w:t>ю</w:t>
      </w:r>
      <w:r w:rsidR="00917241" w:rsidRPr="00511005">
        <w:rPr>
          <w:rFonts w:ascii="Arial" w:hAnsi="Arial" w:cs="Arial"/>
          <w:szCs w:val="28"/>
          <w:lang w:val="uk-UA"/>
        </w:rPr>
        <w:t xml:space="preserve"> </w:t>
      </w:r>
      <w:r w:rsidRPr="00511005">
        <w:rPr>
          <w:rFonts w:ascii="Arial" w:hAnsi="Arial" w:cs="Arial"/>
          <w:szCs w:val="28"/>
          <w:lang w:val="uk-UA"/>
        </w:rPr>
        <w:t>в</w:t>
      </w:r>
      <w:r w:rsidR="00917241" w:rsidRPr="00511005">
        <w:rPr>
          <w:rFonts w:ascii="Arial" w:hAnsi="Arial" w:cs="Arial"/>
          <w:szCs w:val="28"/>
          <w:lang w:val="uk-UA"/>
        </w:rPr>
        <w:t>с</w:t>
      </w:r>
      <w:r w:rsidRPr="00511005">
        <w:rPr>
          <w:rFonts w:ascii="Arial" w:hAnsi="Arial" w:cs="Arial"/>
          <w:szCs w:val="28"/>
          <w:lang w:val="uk-UA"/>
        </w:rPr>
        <w:t xml:space="preserve">іх, хто долучився до </w:t>
      </w:r>
      <w:r w:rsidR="00917241" w:rsidRPr="00511005">
        <w:rPr>
          <w:rFonts w:ascii="Arial" w:hAnsi="Arial" w:cs="Arial"/>
          <w:szCs w:val="28"/>
          <w:lang w:val="uk-UA"/>
        </w:rPr>
        <w:t xml:space="preserve">роботи </w:t>
      </w:r>
      <w:r w:rsidRPr="00511005">
        <w:rPr>
          <w:rFonts w:ascii="Arial" w:hAnsi="Arial" w:cs="Arial"/>
          <w:szCs w:val="28"/>
          <w:lang w:val="uk-UA"/>
        </w:rPr>
        <w:t xml:space="preserve">всеукраїнської </w:t>
      </w:r>
      <w:r w:rsidR="00917241" w:rsidRPr="00511005">
        <w:rPr>
          <w:rFonts w:ascii="Arial" w:hAnsi="Arial" w:cs="Arial"/>
          <w:szCs w:val="28"/>
          <w:lang w:val="uk-UA"/>
        </w:rPr>
        <w:t>конференції «</w:t>
      </w:r>
      <w:r w:rsidR="00E3280E" w:rsidRPr="00511005">
        <w:rPr>
          <w:rFonts w:ascii="Arial" w:hAnsi="Arial" w:cs="Arial"/>
          <w:szCs w:val="28"/>
          <w:lang w:val="uk-UA"/>
        </w:rPr>
        <w:t>Суспільство та держава: нові виміри у воєнний час</w:t>
      </w:r>
      <w:r w:rsidR="00917241" w:rsidRPr="00511005">
        <w:rPr>
          <w:rFonts w:ascii="Arial" w:hAnsi="Arial" w:cs="Arial"/>
          <w:szCs w:val="28"/>
          <w:lang w:val="uk-UA"/>
        </w:rPr>
        <w:t>»</w:t>
      </w:r>
      <w:r w:rsidR="00F907E9" w:rsidRPr="00511005">
        <w:rPr>
          <w:rFonts w:ascii="Arial" w:hAnsi="Arial" w:cs="Arial"/>
          <w:szCs w:val="28"/>
          <w:lang w:val="uk-UA"/>
        </w:rPr>
        <w:t>, яка ма</w:t>
      </w:r>
      <w:r w:rsidRPr="00511005">
        <w:rPr>
          <w:rFonts w:ascii="Arial" w:hAnsi="Arial" w:cs="Arial"/>
          <w:szCs w:val="28"/>
          <w:lang w:val="uk-UA"/>
        </w:rPr>
        <w:t>ти</w:t>
      </w:r>
      <w:r w:rsidR="002029A8" w:rsidRPr="00511005">
        <w:rPr>
          <w:rFonts w:ascii="Arial" w:hAnsi="Arial" w:cs="Arial"/>
          <w:szCs w:val="28"/>
          <w:lang w:val="uk-UA"/>
        </w:rPr>
        <w:t>ме</w:t>
      </w:r>
      <w:r w:rsidR="00F907E9" w:rsidRPr="00511005">
        <w:rPr>
          <w:rFonts w:ascii="Arial" w:hAnsi="Arial" w:cs="Arial"/>
          <w:szCs w:val="28"/>
          <w:lang w:val="uk-UA"/>
        </w:rPr>
        <w:t xml:space="preserve"> велике </w:t>
      </w:r>
      <w:r w:rsidRPr="00511005">
        <w:rPr>
          <w:rFonts w:ascii="Arial" w:hAnsi="Arial" w:cs="Arial"/>
          <w:szCs w:val="28"/>
          <w:lang w:val="uk-UA"/>
        </w:rPr>
        <w:t xml:space="preserve">практичне </w:t>
      </w:r>
      <w:r w:rsidR="00F907E9" w:rsidRPr="00511005">
        <w:rPr>
          <w:rFonts w:ascii="Arial" w:hAnsi="Arial" w:cs="Arial"/>
          <w:szCs w:val="28"/>
          <w:lang w:val="uk-UA"/>
        </w:rPr>
        <w:t>значення для</w:t>
      </w:r>
      <w:r w:rsidRPr="00511005">
        <w:rPr>
          <w:rFonts w:ascii="Arial" w:hAnsi="Arial" w:cs="Arial"/>
          <w:szCs w:val="28"/>
          <w:lang w:val="uk-UA"/>
        </w:rPr>
        <w:t xml:space="preserve"> розвитку наукової думки</w:t>
      </w:r>
      <w:r w:rsidR="00F907E9" w:rsidRPr="00511005">
        <w:rPr>
          <w:rFonts w:ascii="Arial" w:hAnsi="Arial" w:cs="Arial"/>
          <w:szCs w:val="28"/>
          <w:lang w:val="uk-UA"/>
        </w:rPr>
        <w:t xml:space="preserve"> нашої </w:t>
      </w:r>
      <w:r w:rsidRPr="00511005">
        <w:rPr>
          <w:rFonts w:ascii="Arial" w:hAnsi="Arial" w:cs="Arial"/>
          <w:szCs w:val="28"/>
          <w:lang w:val="uk-UA"/>
        </w:rPr>
        <w:t>молоді</w:t>
      </w:r>
      <w:r w:rsidR="00917241" w:rsidRPr="00511005">
        <w:rPr>
          <w:rFonts w:ascii="Arial" w:hAnsi="Arial" w:cs="Arial"/>
          <w:szCs w:val="28"/>
          <w:lang w:val="uk-UA"/>
        </w:rPr>
        <w:t xml:space="preserve">. </w:t>
      </w:r>
    </w:p>
    <w:p w14:paraId="7699DD32" w14:textId="0972CC5A" w:rsidR="002029A8" w:rsidRPr="00511005" w:rsidRDefault="002029A8" w:rsidP="002029A8">
      <w:pPr>
        <w:keepNext/>
        <w:ind w:firstLine="567"/>
        <w:contextualSpacing/>
        <w:rPr>
          <w:rFonts w:ascii="Arial" w:hAnsi="Arial" w:cs="Arial"/>
          <w:szCs w:val="28"/>
          <w:lang w:val="uk-UA"/>
        </w:rPr>
      </w:pPr>
      <w:r w:rsidRPr="00511005">
        <w:rPr>
          <w:rFonts w:ascii="Arial" w:hAnsi="Arial" w:cs="Arial"/>
          <w:szCs w:val="28"/>
          <w:lang w:val="uk-UA"/>
        </w:rPr>
        <w:t>Це не просто черговий науковий захід – це важливий крок у розвитку української наукової думки, майданчик для осмислення актуальних проблем державотворення, права, економіки, соціуму й технологій, а також можливість об’єднати зусилля досвідчених науковців і молодого покоління в ім’я спільної мети – зміцнення та відновлення нашої країни.</w:t>
      </w:r>
    </w:p>
    <w:p w14:paraId="14B7043A" w14:textId="19C2034E" w:rsidR="002029A8" w:rsidRPr="00511005" w:rsidRDefault="002029A8" w:rsidP="002029A8">
      <w:pPr>
        <w:keepNext/>
        <w:ind w:firstLine="567"/>
        <w:contextualSpacing/>
        <w:rPr>
          <w:rFonts w:ascii="Arial" w:hAnsi="Arial" w:cs="Arial"/>
          <w:szCs w:val="28"/>
          <w:lang w:val="uk-UA"/>
        </w:rPr>
      </w:pPr>
      <w:r w:rsidRPr="00511005">
        <w:rPr>
          <w:rFonts w:ascii="Arial" w:hAnsi="Arial" w:cs="Arial"/>
          <w:szCs w:val="28"/>
          <w:lang w:val="uk-UA"/>
        </w:rPr>
        <w:t>Проведення масштабних наукових форумів у стінах Національного університету «Одеська юридична академія» – це вже стала традиція, яка об’єднує учасників з усіх куточків України. Подібні зустрічі є не лише академічною подією, а й потужним інструментом розвитку науки, платформою для чесного діалогу, жвавих дискусій, переосмислення звичних концепцій і створення нових стратегічних пріоритетів. У цьому й полягає справжня сила академічної комунікації – у взаємному збагаченні, здатності слухати одне одного, ставити під сумнів навіть усталені постулати та спільно знаходити нові відповіді на найскладніші виклики сучасності.</w:t>
      </w:r>
    </w:p>
    <w:p w14:paraId="7FA3FF27" w14:textId="6A0FB037" w:rsidR="002029A8" w:rsidRPr="00511005" w:rsidRDefault="002029A8" w:rsidP="002029A8">
      <w:pPr>
        <w:keepNext/>
        <w:ind w:firstLine="567"/>
        <w:contextualSpacing/>
        <w:rPr>
          <w:rFonts w:ascii="Arial" w:hAnsi="Arial" w:cs="Arial"/>
          <w:spacing w:val="-4"/>
          <w:szCs w:val="28"/>
          <w:lang w:val="uk-UA"/>
        </w:rPr>
      </w:pPr>
      <w:r w:rsidRPr="00511005">
        <w:rPr>
          <w:rFonts w:ascii="Arial" w:hAnsi="Arial" w:cs="Arial"/>
          <w:spacing w:val="-4"/>
          <w:szCs w:val="28"/>
          <w:lang w:val="uk-UA"/>
        </w:rPr>
        <w:t>Цього року конференція вирізняється і масштабом, і науковою активністю. Для участі подано 9</w:t>
      </w:r>
      <w:r w:rsidR="00E17FE7">
        <w:rPr>
          <w:rFonts w:ascii="Arial" w:hAnsi="Arial" w:cs="Arial"/>
          <w:spacing w:val="-4"/>
          <w:szCs w:val="28"/>
          <w:lang w:val="uk-UA"/>
        </w:rPr>
        <w:t>1</w:t>
      </w:r>
      <w:r w:rsidRPr="00511005">
        <w:rPr>
          <w:rFonts w:ascii="Arial" w:hAnsi="Arial" w:cs="Arial"/>
          <w:spacing w:val="-4"/>
          <w:szCs w:val="28"/>
          <w:lang w:val="uk-UA"/>
        </w:rPr>
        <w:t xml:space="preserve">0 </w:t>
      </w:r>
      <w:r w:rsidR="00E17FE7">
        <w:rPr>
          <w:rFonts w:ascii="Arial" w:hAnsi="Arial" w:cs="Arial"/>
          <w:spacing w:val="-4"/>
          <w:szCs w:val="28"/>
          <w:lang w:val="uk-UA"/>
        </w:rPr>
        <w:t>тез</w:t>
      </w:r>
      <w:r w:rsidRPr="00511005">
        <w:rPr>
          <w:rFonts w:ascii="Arial" w:hAnsi="Arial" w:cs="Arial"/>
          <w:spacing w:val="-4"/>
          <w:szCs w:val="28"/>
          <w:lang w:val="uk-UA"/>
        </w:rPr>
        <w:t xml:space="preserve"> студентів, що є рекордним показником за всю історію університету. Такий інтерес підтверджує зростання ролі науки в житті здобувачів вищої освіти, свідчить про їхню готовність брати участь у наукових пошуках і робити внесок у розвиток країни навіть у непростих умовах.</w:t>
      </w:r>
    </w:p>
    <w:p w14:paraId="48B66115" w14:textId="77777777" w:rsidR="002029A8" w:rsidRPr="00511005" w:rsidRDefault="002029A8" w:rsidP="002029A8">
      <w:pPr>
        <w:keepNext/>
        <w:ind w:firstLine="567"/>
        <w:contextualSpacing/>
        <w:rPr>
          <w:rFonts w:ascii="Arial" w:hAnsi="Arial" w:cs="Arial"/>
          <w:szCs w:val="28"/>
          <w:lang w:val="uk-UA"/>
        </w:rPr>
      </w:pPr>
      <w:r w:rsidRPr="00511005">
        <w:rPr>
          <w:rFonts w:ascii="Arial" w:hAnsi="Arial" w:cs="Arial"/>
          <w:szCs w:val="28"/>
          <w:lang w:val="uk-UA"/>
        </w:rPr>
        <w:t xml:space="preserve">Тематика нинішнього форуму присвячена суспільним трансформаціям та правовим змінам в умовах війни, інтеграційним процесам і завданням повоєнного відновлення. Повномасштабне вторгнення суттєво вплинуло на </w:t>
      </w:r>
      <w:r w:rsidRPr="00511005">
        <w:rPr>
          <w:rFonts w:ascii="Arial" w:hAnsi="Arial" w:cs="Arial"/>
          <w:szCs w:val="28"/>
          <w:lang w:val="uk-UA"/>
        </w:rPr>
        <w:lastRenderedPageBreak/>
        <w:t>всі сфери нашого життя, поставивши перед державою низку складних завдань, а обраний курс на європейську та євроатлантичну інтеграцію потребує глибокого оновлення законодавства, реформування інституцій та узгодження правових стандартів. Лише науково обґрунтовані, системно розроблені рішення допоможуть не просто подолати ці виклики, а й перетворити їх на можливості для зміцнення держави.</w:t>
      </w:r>
    </w:p>
    <w:p w14:paraId="6E469A5B" w14:textId="43057F02" w:rsidR="002029A8" w:rsidRPr="00511005" w:rsidRDefault="002029A8" w:rsidP="002029A8">
      <w:pPr>
        <w:keepNext/>
        <w:ind w:firstLine="567"/>
        <w:contextualSpacing/>
        <w:rPr>
          <w:rFonts w:ascii="Arial" w:hAnsi="Arial" w:cs="Arial"/>
          <w:szCs w:val="28"/>
          <w:lang w:val="uk-UA"/>
        </w:rPr>
      </w:pPr>
      <w:r w:rsidRPr="00511005">
        <w:rPr>
          <w:rFonts w:ascii="Arial" w:hAnsi="Arial" w:cs="Arial"/>
          <w:szCs w:val="28"/>
          <w:lang w:val="uk-UA"/>
        </w:rPr>
        <w:t>Програма конференції передбачає роботу у секціях, де розглядатимуться питання права, судоустрою, адвокатури, правоохоронної діяльності, державного управління, економіки, політики, соціології, психології, кібербезпеки, інформаційних технологій. Такий комплексний підхід сприяє поєднанню класичних напрямів досліджень з новітніми трендами, формує підґрунтя для міждисциплінарних напрацювань і дозволяє створювати сучасні практичні рішення.</w:t>
      </w:r>
    </w:p>
    <w:p w14:paraId="7F260A67" w14:textId="7912AF2C" w:rsidR="002029A8" w:rsidRPr="00511005" w:rsidRDefault="002029A8" w:rsidP="002029A8">
      <w:pPr>
        <w:keepNext/>
        <w:ind w:firstLine="567"/>
        <w:contextualSpacing/>
        <w:rPr>
          <w:rFonts w:ascii="Arial" w:hAnsi="Arial" w:cs="Arial"/>
          <w:szCs w:val="28"/>
          <w:lang w:val="uk-UA"/>
        </w:rPr>
      </w:pPr>
      <w:r w:rsidRPr="00511005">
        <w:rPr>
          <w:rFonts w:ascii="Arial" w:hAnsi="Arial" w:cs="Arial"/>
          <w:szCs w:val="28"/>
          <w:lang w:val="uk-UA"/>
        </w:rPr>
        <w:t>Особливо важливим є активне залучення студентів як бакалаврату, так і магістратури. Ваші ідеї, ініціативи та дослідницькі проєкти – це живий доказ того, що українська наука не зупиняється, а навпаки – розвивається попри будь-які труднощі. Для багатьох із вас ця конференція є першим кроком у науковій кар’єрі, і я щиро бажаю, щоб вона стала надійною основою для майбутніх досягнень і наукових відкриттів.</w:t>
      </w:r>
    </w:p>
    <w:p w14:paraId="24DA75A9" w14:textId="7AB41AC3" w:rsidR="002029A8" w:rsidRPr="00511005" w:rsidRDefault="002029A8" w:rsidP="002029A8">
      <w:pPr>
        <w:keepNext/>
        <w:ind w:firstLine="567"/>
        <w:contextualSpacing/>
        <w:rPr>
          <w:rFonts w:ascii="Arial" w:hAnsi="Arial" w:cs="Arial"/>
          <w:spacing w:val="-2"/>
          <w:szCs w:val="28"/>
          <w:lang w:val="uk-UA"/>
        </w:rPr>
      </w:pPr>
      <w:r w:rsidRPr="00511005">
        <w:rPr>
          <w:rFonts w:ascii="Arial" w:hAnsi="Arial" w:cs="Arial"/>
          <w:spacing w:val="-2"/>
          <w:szCs w:val="28"/>
          <w:lang w:val="uk-UA"/>
        </w:rPr>
        <w:t xml:space="preserve">В умовах сучасних викликів і перетворень надзвичайно важливим є розвиток міжнародних відносин і володіння іноземними мовами. </w:t>
      </w:r>
      <w:r w:rsidR="005B5DEC" w:rsidRPr="00511005">
        <w:rPr>
          <w:rFonts w:ascii="Arial" w:hAnsi="Arial" w:cs="Arial"/>
          <w:spacing w:val="-2"/>
          <w:szCs w:val="28"/>
          <w:lang w:val="uk-UA"/>
        </w:rPr>
        <w:t>В</w:t>
      </w:r>
      <w:r w:rsidRPr="00511005">
        <w:rPr>
          <w:rFonts w:ascii="Arial" w:hAnsi="Arial" w:cs="Arial"/>
          <w:spacing w:val="-2"/>
          <w:szCs w:val="28"/>
          <w:lang w:val="uk-UA"/>
        </w:rPr>
        <w:t>ідзнач</w:t>
      </w:r>
      <w:r w:rsidR="005B5DEC" w:rsidRPr="00511005">
        <w:rPr>
          <w:rFonts w:ascii="Arial" w:hAnsi="Arial" w:cs="Arial"/>
          <w:spacing w:val="-2"/>
          <w:szCs w:val="28"/>
          <w:lang w:val="uk-UA"/>
        </w:rPr>
        <w:t>у</w:t>
      </w:r>
      <w:r w:rsidRPr="00511005">
        <w:rPr>
          <w:rFonts w:ascii="Arial" w:hAnsi="Arial" w:cs="Arial"/>
          <w:spacing w:val="-2"/>
          <w:szCs w:val="28"/>
          <w:lang w:val="uk-UA"/>
        </w:rPr>
        <w:t xml:space="preserve">, що </w:t>
      </w:r>
      <w:r w:rsidR="001729E6">
        <w:rPr>
          <w:rFonts w:ascii="Arial" w:hAnsi="Arial" w:cs="Arial"/>
          <w:spacing w:val="-2"/>
          <w:szCs w:val="28"/>
          <w:lang w:val="uk-UA"/>
        </w:rPr>
        <w:t>2</w:t>
      </w:r>
      <w:r w:rsidR="00E17FE7">
        <w:rPr>
          <w:rFonts w:ascii="Arial" w:hAnsi="Arial" w:cs="Arial"/>
          <w:spacing w:val="-2"/>
          <w:szCs w:val="28"/>
          <w:lang w:val="uk-UA"/>
        </w:rPr>
        <w:t>7</w:t>
      </w:r>
      <w:r w:rsidRPr="00511005">
        <w:rPr>
          <w:rFonts w:ascii="Arial" w:hAnsi="Arial" w:cs="Arial"/>
          <w:spacing w:val="-2"/>
          <w:szCs w:val="28"/>
          <w:lang w:val="uk-UA"/>
        </w:rPr>
        <w:t xml:space="preserve"> тез підготовлено англійською мовою, </w:t>
      </w:r>
      <w:r w:rsidR="009927AF" w:rsidRPr="00511005">
        <w:rPr>
          <w:rFonts w:ascii="Arial" w:hAnsi="Arial" w:cs="Arial"/>
          <w:spacing w:val="-2"/>
          <w:szCs w:val="28"/>
          <w:lang w:val="uk-UA"/>
        </w:rPr>
        <w:t xml:space="preserve">що є прекрасним показником адаптації нашого студентства до європейських орієнтирів вищої освіти – і це сприяє нашій </w:t>
      </w:r>
      <w:r w:rsidRPr="00511005">
        <w:rPr>
          <w:rFonts w:ascii="Arial" w:hAnsi="Arial" w:cs="Arial"/>
          <w:spacing w:val="-2"/>
          <w:szCs w:val="28"/>
          <w:lang w:val="uk-UA"/>
        </w:rPr>
        <w:t>міжнародній співпраці та обміну досвідом з іншими країнами.</w:t>
      </w:r>
    </w:p>
    <w:p w14:paraId="0B6F86E4" w14:textId="66C58D97" w:rsidR="002029A8" w:rsidRPr="00511005" w:rsidRDefault="002029A8" w:rsidP="002029A8">
      <w:pPr>
        <w:keepNext/>
        <w:ind w:firstLine="567"/>
        <w:contextualSpacing/>
        <w:rPr>
          <w:rFonts w:ascii="Arial" w:hAnsi="Arial" w:cs="Arial"/>
          <w:szCs w:val="28"/>
          <w:lang w:val="uk-UA"/>
        </w:rPr>
      </w:pPr>
      <w:r w:rsidRPr="00511005">
        <w:rPr>
          <w:rFonts w:ascii="Arial" w:hAnsi="Arial" w:cs="Arial"/>
          <w:szCs w:val="28"/>
          <w:lang w:val="uk-UA"/>
        </w:rPr>
        <w:t>Попри складні воєнні реалії, університет продовжує гарантувати якісне навчання, безпечні умови здобуття освіти, проводить очні заняття, надає доступ до сучасних бібліотек, спортивних об’єктів, створює середовище, у якому наука і освіта можуть зростати навіть у часи випробувань.</w:t>
      </w:r>
    </w:p>
    <w:p w14:paraId="3BD34F86" w14:textId="601044ED" w:rsidR="002029A8" w:rsidRPr="00511005" w:rsidRDefault="002029A8" w:rsidP="002029A8">
      <w:pPr>
        <w:keepNext/>
        <w:ind w:firstLine="567"/>
        <w:contextualSpacing/>
        <w:rPr>
          <w:rFonts w:ascii="Arial" w:hAnsi="Arial" w:cs="Arial"/>
          <w:szCs w:val="28"/>
          <w:lang w:val="uk-UA"/>
        </w:rPr>
      </w:pPr>
      <w:r w:rsidRPr="00511005">
        <w:rPr>
          <w:rFonts w:ascii="Arial" w:hAnsi="Arial" w:cs="Arial"/>
          <w:szCs w:val="28"/>
          <w:lang w:val="uk-UA"/>
        </w:rPr>
        <w:t xml:space="preserve">Мир і стабільність обов’язково повернуться. Попереду – відбудова, реформування, узгодження українського законодавства з європейським правом, зміцнення верховенства права та демократичних інституцій. Ця </w:t>
      </w:r>
      <w:r w:rsidRPr="00511005">
        <w:rPr>
          <w:rFonts w:ascii="Arial" w:hAnsi="Arial" w:cs="Arial"/>
          <w:szCs w:val="28"/>
          <w:lang w:val="uk-UA"/>
        </w:rPr>
        <w:lastRenderedPageBreak/>
        <w:t>праця потребує відданих, компетентних і рішучих фахівців, якими вже завтра стануть здобувачі вищої освіти.</w:t>
      </w:r>
    </w:p>
    <w:p w14:paraId="4467FFD5" w14:textId="54421917" w:rsidR="002029A8" w:rsidRPr="00511005" w:rsidRDefault="002029A8" w:rsidP="002029A8">
      <w:pPr>
        <w:keepNext/>
        <w:ind w:firstLine="567"/>
        <w:contextualSpacing/>
        <w:rPr>
          <w:rFonts w:ascii="Arial" w:hAnsi="Arial" w:cs="Arial"/>
          <w:szCs w:val="28"/>
          <w:lang w:val="uk-UA"/>
        </w:rPr>
      </w:pPr>
      <w:r w:rsidRPr="00511005">
        <w:rPr>
          <w:rFonts w:ascii="Arial" w:hAnsi="Arial" w:cs="Arial"/>
          <w:szCs w:val="28"/>
          <w:lang w:val="uk-UA"/>
        </w:rPr>
        <w:t>Щиро дякую кожному учаснику за участь, допитливість, готовність ділитися результатами своєї праці та підтримувати наукову традицію. Завдяки вам ця конференція стала можливою. Висловлюємо глибоку вдячність нашим воїнам та правоохоронцям, які забезпечують можливість працювати, навчатися й планувати майбутнє в умовах захищеної держави.</w:t>
      </w:r>
    </w:p>
    <w:p w14:paraId="5F8666BC" w14:textId="03B650F4" w:rsidR="002029A8" w:rsidRPr="00511005" w:rsidRDefault="009927AF" w:rsidP="002029A8">
      <w:pPr>
        <w:keepNext/>
        <w:ind w:firstLine="567"/>
        <w:contextualSpacing/>
        <w:rPr>
          <w:rFonts w:ascii="Arial" w:hAnsi="Arial" w:cs="Arial"/>
          <w:szCs w:val="28"/>
          <w:lang w:val="uk-UA"/>
        </w:rPr>
      </w:pPr>
      <w:r w:rsidRPr="00511005">
        <w:rPr>
          <w:rFonts w:ascii="Arial" w:hAnsi="Arial" w:cs="Arial"/>
          <w:szCs w:val="28"/>
          <w:lang w:val="uk-UA"/>
        </w:rPr>
        <w:t>Мирне майбутнє України постає через сумлінну щоденну працю, злагоджені дії кожного громадянина. Спільними напрацюваннями, ідеями та прагненням будувати сильну правову, демократичну державу ми створюємо фундамент для гідного життя наступних поколінь.</w:t>
      </w:r>
    </w:p>
    <w:p w14:paraId="4B15DF2D" w14:textId="22442346" w:rsidR="002029A8" w:rsidRPr="00511005" w:rsidRDefault="002029A8" w:rsidP="002029A8">
      <w:pPr>
        <w:keepNext/>
        <w:ind w:firstLine="567"/>
        <w:contextualSpacing/>
        <w:rPr>
          <w:rFonts w:ascii="Arial" w:hAnsi="Arial" w:cs="Arial"/>
          <w:szCs w:val="28"/>
          <w:lang w:val="uk-UA"/>
        </w:rPr>
      </w:pPr>
      <w:r w:rsidRPr="00511005">
        <w:rPr>
          <w:rFonts w:ascii="Arial" w:hAnsi="Arial" w:cs="Arial"/>
          <w:szCs w:val="28"/>
          <w:lang w:val="uk-UA"/>
        </w:rPr>
        <w:t>Бажаю всім учасникам плідної роботи, змістовних дискусій, натхнення та нових наукових здобутків на благо науки, суспільства й України.</w:t>
      </w:r>
    </w:p>
    <w:p w14:paraId="523B6D02" w14:textId="77777777" w:rsidR="002029A8" w:rsidRPr="00511005" w:rsidRDefault="002029A8" w:rsidP="002A7569">
      <w:pPr>
        <w:keepNext/>
        <w:ind w:firstLine="567"/>
        <w:contextualSpacing/>
        <w:rPr>
          <w:rFonts w:ascii="Arial" w:hAnsi="Arial" w:cs="Arial"/>
          <w:szCs w:val="28"/>
          <w:lang w:val="uk-UA"/>
        </w:rPr>
      </w:pPr>
    </w:p>
    <w:p w14:paraId="35B4224E" w14:textId="77777777" w:rsidR="00917241" w:rsidRPr="00511005" w:rsidRDefault="00917241" w:rsidP="002A7569">
      <w:pPr>
        <w:keepNext/>
        <w:ind w:firstLine="567"/>
        <w:jc w:val="right"/>
        <w:rPr>
          <w:rFonts w:ascii="Arial" w:eastAsia="Calibri" w:hAnsi="Arial" w:cs="Arial"/>
          <w:b/>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t>Сергій КІВАЛОВ,</w:t>
      </w:r>
    </w:p>
    <w:p w14:paraId="5A94DC9B" w14:textId="5082974B" w:rsidR="00917241" w:rsidRPr="00511005" w:rsidRDefault="00AB5511" w:rsidP="002A7569">
      <w:pPr>
        <w:keepNext/>
        <w:spacing w:line="240" w:lineRule="auto"/>
        <w:ind w:firstLine="567"/>
        <w:jc w:val="righ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голов</w:t>
      </w:r>
      <w:r w:rsidR="00EE6668" w:rsidRPr="00511005">
        <w:rPr>
          <w:rFonts w:ascii="Arial" w:eastAsia="Calibri"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вченої ради </w:t>
      </w:r>
      <w:r w:rsidR="00917241" w:rsidRPr="00511005">
        <w:rPr>
          <w:rFonts w:ascii="Arial" w:eastAsia="Calibri" w:hAnsi="Arial" w:cs="Arial"/>
          <w:kern w:val="2"/>
          <w:szCs w:val="28"/>
          <w:lang w:val="uk-UA"/>
          <w14:ligatures w14:val="standardContextual"/>
        </w:rPr>
        <w:t>Національного університету</w:t>
      </w:r>
    </w:p>
    <w:p w14:paraId="1BE01115" w14:textId="77777777" w:rsidR="00917241" w:rsidRPr="00511005" w:rsidRDefault="00917241" w:rsidP="002A7569">
      <w:pPr>
        <w:keepNext/>
        <w:spacing w:line="240" w:lineRule="auto"/>
        <w:ind w:firstLine="567"/>
        <w:jc w:val="righ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«Одеська юридична академія»,</w:t>
      </w:r>
    </w:p>
    <w:p w14:paraId="7DFC263F" w14:textId="77777777" w:rsidR="00917241" w:rsidRPr="00511005" w:rsidRDefault="00917241" w:rsidP="002A7569">
      <w:pPr>
        <w:keepNext/>
        <w:spacing w:line="240" w:lineRule="auto"/>
        <w:ind w:firstLine="567"/>
        <w:jc w:val="righ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професор кафедри адміністративного і фінансового права,</w:t>
      </w:r>
    </w:p>
    <w:p w14:paraId="4D543400" w14:textId="77777777" w:rsidR="00917241" w:rsidRPr="00511005" w:rsidRDefault="00917241" w:rsidP="002A7569">
      <w:pPr>
        <w:keepNext/>
        <w:spacing w:line="240" w:lineRule="auto"/>
        <w:ind w:firstLine="567"/>
        <w:jc w:val="righ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доктор юридичних наук, професор,</w:t>
      </w:r>
    </w:p>
    <w:p w14:paraId="325BBA3E" w14:textId="77777777" w:rsidR="00917241" w:rsidRPr="00511005" w:rsidRDefault="00917241" w:rsidP="002A7569">
      <w:pPr>
        <w:keepNext/>
        <w:spacing w:line="240" w:lineRule="auto"/>
        <w:ind w:firstLine="567"/>
        <w:jc w:val="righ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академік НАПрН України, академік НАПН України,</w:t>
      </w:r>
    </w:p>
    <w:p w14:paraId="0404B8FD" w14:textId="2E3767DD" w:rsidR="00917241" w:rsidRPr="00511005" w:rsidRDefault="00E82BCC" w:rsidP="002A7569">
      <w:pPr>
        <w:keepNext/>
        <w:spacing w:line="240" w:lineRule="auto"/>
        <w:ind w:firstLine="567"/>
        <w:jc w:val="righ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w:t>
      </w:r>
      <w:r w:rsidR="00917241" w:rsidRPr="00511005">
        <w:rPr>
          <w:rFonts w:ascii="Arial" w:eastAsia="Calibri" w:hAnsi="Arial" w:cs="Arial"/>
          <w:kern w:val="2"/>
          <w:szCs w:val="28"/>
          <w:lang w:val="uk-UA"/>
          <w14:ligatures w14:val="standardContextual"/>
        </w:rPr>
        <w:t>аслужений юрист України</w:t>
      </w:r>
    </w:p>
    <w:p w14:paraId="46FCF29B" w14:textId="77777777" w:rsidR="009B3C64" w:rsidRPr="00511005" w:rsidRDefault="009B3C64" w:rsidP="002A7569">
      <w:pPr>
        <w:keepNext/>
        <w:suppressAutoHyphens/>
        <w:spacing w:line="240" w:lineRule="auto"/>
        <w:ind w:firstLine="0"/>
        <w:jc w:val="left"/>
        <w:rPr>
          <w:rFonts w:ascii="Arial" w:eastAsia="NSimSun" w:hAnsi="Arial" w:cs="Arial"/>
          <w:kern w:val="2"/>
          <w:sz w:val="24"/>
          <w:szCs w:val="24"/>
          <w:lang w:eastAsia="zh-CN" w:bidi="hi-IN"/>
        </w:rPr>
      </w:pPr>
    </w:p>
    <w:p w14:paraId="70F3F0CF" w14:textId="77777777" w:rsidR="009B3C64" w:rsidRPr="00511005" w:rsidRDefault="009B3C64" w:rsidP="002A7569">
      <w:pPr>
        <w:keepNext/>
        <w:suppressAutoHyphens/>
        <w:spacing w:line="240" w:lineRule="auto"/>
        <w:ind w:firstLine="0"/>
        <w:jc w:val="left"/>
        <w:rPr>
          <w:rFonts w:ascii="Arial" w:eastAsia="NSimSun" w:hAnsi="Arial" w:cs="Arial"/>
          <w:kern w:val="2"/>
          <w:sz w:val="24"/>
          <w:szCs w:val="24"/>
          <w:lang w:eastAsia="zh-CN" w:bidi="hi-IN"/>
        </w:rPr>
      </w:pPr>
    </w:p>
    <w:p w14:paraId="05DABC8D" w14:textId="643DE772" w:rsidR="0045769F" w:rsidRPr="00511005" w:rsidRDefault="009B3C64" w:rsidP="002A7569">
      <w:pPr>
        <w:keepNext/>
        <w:suppressAutoHyphens/>
        <w:spacing w:line="240" w:lineRule="auto"/>
        <w:ind w:firstLine="0"/>
        <w:jc w:val="left"/>
        <w:rPr>
          <w:rFonts w:ascii="Arial" w:hAnsi="Arial" w:cs="Arial"/>
        </w:rPr>
      </w:pPr>
      <w:r w:rsidRPr="00511005">
        <w:rPr>
          <w:rFonts w:ascii="Arial" w:eastAsia="NSimSun" w:hAnsi="Arial" w:cs="Arial"/>
          <w:kern w:val="2"/>
          <w:sz w:val="24"/>
          <w:szCs w:val="24"/>
          <w:lang w:val="uk-UA" w:eastAsia="zh-CN" w:bidi="hi-IN"/>
        </w:rPr>
        <w:br/>
      </w:r>
      <w:r w:rsidR="0045769F" w:rsidRPr="00511005">
        <w:rPr>
          <w:rFonts w:ascii="Arial" w:hAnsi="Arial" w:cs="Arial"/>
        </w:rPr>
        <w:br w:type="page"/>
      </w:r>
    </w:p>
    <w:p w14:paraId="3548E94B" w14:textId="77777777" w:rsidR="00B15259" w:rsidRPr="00511005" w:rsidRDefault="00B15259" w:rsidP="002A7569">
      <w:pPr>
        <w:keepNext/>
        <w:suppressAutoHyphens/>
        <w:spacing w:line="240" w:lineRule="auto"/>
        <w:ind w:firstLine="0"/>
        <w:jc w:val="left"/>
        <w:rPr>
          <w:rFonts w:ascii="Arial" w:hAnsi="Arial" w:cs="Arial"/>
        </w:rPr>
      </w:pPr>
    </w:p>
    <w:p w14:paraId="01080EBD" w14:textId="4A5FBE24" w:rsidR="00CF0E1B" w:rsidRPr="00511005" w:rsidRDefault="00CF0E1B" w:rsidP="003A292D">
      <w:pPr>
        <w:pStyle w:val="aa"/>
        <w:spacing w:before="0" w:after="0" w:line="264" w:lineRule="auto"/>
        <w:rPr>
          <w:rFonts w:ascii="Arial" w:hAnsi="Arial" w:cs="Arial"/>
          <w:color w:val="auto"/>
          <w:sz w:val="28"/>
          <w:szCs w:val="28"/>
        </w:rPr>
      </w:pPr>
      <w:bookmarkStart w:id="6" w:name="_Toc208298986"/>
      <w:bookmarkStart w:id="7" w:name="_Toc74239188"/>
      <w:r w:rsidRPr="00511005">
        <w:rPr>
          <w:rFonts w:ascii="Arial" w:hAnsi="Arial" w:cs="Arial"/>
          <w:color w:val="auto"/>
          <w:sz w:val="28"/>
          <w:szCs w:val="28"/>
        </w:rPr>
        <w:t xml:space="preserve">СЕКЦІЯ </w:t>
      </w:r>
      <w:r w:rsidRPr="00511005">
        <w:rPr>
          <w:rFonts w:ascii="Arial" w:hAnsi="Arial" w:cs="Arial"/>
          <w:color w:val="auto"/>
          <w:sz w:val="28"/>
          <w:szCs w:val="28"/>
          <w:lang w:val="ru-RU"/>
        </w:rPr>
        <w:t>1. РОЗВИТОК</w:t>
      </w:r>
      <w:r w:rsidR="001B7B25" w:rsidRPr="00511005">
        <w:rPr>
          <w:rFonts w:ascii="Arial" w:hAnsi="Arial" w:cs="Arial"/>
          <w:color w:val="auto"/>
          <w:sz w:val="28"/>
          <w:szCs w:val="28"/>
          <w:lang w:val="ru-RU"/>
        </w:rPr>
        <w:t xml:space="preserve"> ФІЛОСОФІЇ ТА</w:t>
      </w:r>
      <w:r w:rsidRPr="00511005">
        <w:rPr>
          <w:rFonts w:ascii="Arial" w:hAnsi="Arial" w:cs="Arial"/>
          <w:color w:val="auto"/>
          <w:sz w:val="28"/>
          <w:szCs w:val="28"/>
          <w:lang w:val="ru-RU"/>
        </w:rPr>
        <w:t xml:space="preserve"> ЗАГАЛЬНО</w:t>
      </w:r>
      <w:r w:rsidR="008670BE" w:rsidRPr="00511005">
        <w:rPr>
          <w:rFonts w:ascii="Arial" w:hAnsi="Arial" w:cs="Arial"/>
          <w:color w:val="auto"/>
          <w:sz w:val="28"/>
          <w:szCs w:val="28"/>
          <w:lang w:val="ru-RU"/>
        </w:rPr>
        <w:t xml:space="preserve">Ї </w:t>
      </w:r>
      <w:r w:rsidRPr="00511005">
        <w:rPr>
          <w:rFonts w:ascii="Arial" w:hAnsi="Arial" w:cs="Arial"/>
          <w:color w:val="auto"/>
          <w:sz w:val="28"/>
          <w:szCs w:val="28"/>
          <w:lang w:val="ru-RU"/>
        </w:rPr>
        <w:t>ТЕОР</w:t>
      </w:r>
      <w:r w:rsidR="008670BE" w:rsidRPr="00511005">
        <w:rPr>
          <w:rFonts w:ascii="Arial" w:hAnsi="Arial" w:cs="Arial"/>
          <w:color w:val="auto"/>
          <w:sz w:val="28"/>
          <w:szCs w:val="28"/>
          <w:lang w:val="ru-RU"/>
        </w:rPr>
        <w:t>І</w:t>
      </w:r>
      <w:r w:rsidRPr="00511005">
        <w:rPr>
          <w:rFonts w:ascii="Arial" w:hAnsi="Arial" w:cs="Arial"/>
          <w:color w:val="auto"/>
          <w:sz w:val="28"/>
          <w:szCs w:val="28"/>
          <w:lang w:val="ru-RU"/>
        </w:rPr>
        <w:t xml:space="preserve">Ї </w:t>
      </w:r>
      <w:r w:rsidR="001B7B25" w:rsidRPr="00511005">
        <w:rPr>
          <w:rFonts w:ascii="Arial" w:hAnsi="Arial" w:cs="Arial"/>
          <w:color w:val="auto"/>
          <w:sz w:val="28"/>
          <w:szCs w:val="28"/>
          <w:lang w:val="ru-RU"/>
        </w:rPr>
        <w:br/>
      </w:r>
      <w:r w:rsidR="008670BE" w:rsidRPr="00511005">
        <w:rPr>
          <w:rFonts w:ascii="Arial" w:hAnsi="Arial" w:cs="Arial"/>
          <w:color w:val="auto"/>
          <w:sz w:val="28"/>
          <w:szCs w:val="28"/>
          <w:lang w:val="ru-RU"/>
        </w:rPr>
        <w:t>П</w:t>
      </w:r>
      <w:r w:rsidRPr="00511005">
        <w:rPr>
          <w:rFonts w:ascii="Arial" w:hAnsi="Arial" w:cs="Arial"/>
          <w:color w:val="auto"/>
          <w:sz w:val="28"/>
          <w:szCs w:val="28"/>
          <w:lang w:val="ru-RU"/>
        </w:rPr>
        <w:t>Р</w:t>
      </w:r>
      <w:r w:rsidR="008670BE" w:rsidRPr="00511005">
        <w:rPr>
          <w:rFonts w:ascii="Arial" w:hAnsi="Arial" w:cs="Arial"/>
          <w:color w:val="auto"/>
          <w:sz w:val="28"/>
          <w:szCs w:val="28"/>
          <w:lang w:val="ru-RU"/>
        </w:rPr>
        <w:t>АВА ТА ДЕ</w:t>
      </w:r>
      <w:r w:rsidRPr="00511005">
        <w:rPr>
          <w:rFonts w:ascii="Arial" w:hAnsi="Arial" w:cs="Arial"/>
          <w:color w:val="auto"/>
          <w:sz w:val="28"/>
          <w:szCs w:val="28"/>
          <w:lang w:val="ru-RU"/>
        </w:rPr>
        <w:t>Р</w:t>
      </w:r>
      <w:r w:rsidR="008670BE" w:rsidRPr="00511005">
        <w:rPr>
          <w:rFonts w:ascii="Arial" w:hAnsi="Arial" w:cs="Arial"/>
          <w:color w:val="auto"/>
          <w:sz w:val="28"/>
          <w:szCs w:val="28"/>
          <w:lang w:val="ru-RU"/>
        </w:rPr>
        <w:t>ЖАВИ</w:t>
      </w:r>
      <w:bookmarkEnd w:id="6"/>
    </w:p>
    <w:p w14:paraId="2D2A1AB7" w14:textId="2E1209A7" w:rsidR="00CF0E1B" w:rsidRPr="00511005" w:rsidRDefault="00CF0E1B" w:rsidP="001B7B25">
      <w:pPr>
        <w:keepNext/>
        <w:spacing w:line="264" w:lineRule="auto"/>
        <w:ind w:firstLine="0"/>
        <w:jc w:val="center"/>
        <w:rPr>
          <w:rFonts w:ascii="Arial" w:hAnsi="Arial" w:cs="Arial"/>
          <w:szCs w:val="28"/>
        </w:rPr>
      </w:pPr>
    </w:p>
    <w:p w14:paraId="44096C71" w14:textId="7C4B9EFB" w:rsidR="001B7B25" w:rsidRPr="00511005" w:rsidRDefault="001B7B25" w:rsidP="001B7B25">
      <w:pPr>
        <w:pStyle w:val="21"/>
      </w:pPr>
      <w:bookmarkStart w:id="8" w:name="_Toc208298987"/>
      <w:r w:rsidRPr="00511005">
        <w:t>Підсекція 1.1. Розвиток загальної теорії права та держави</w:t>
      </w:r>
      <w:bookmarkEnd w:id="8"/>
    </w:p>
    <w:p w14:paraId="05090DC2" w14:textId="476186E5" w:rsidR="001B7B25" w:rsidRPr="00511005" w:rsidRDefault="001B7B25" w:rsidP="001B7B25">
      <w:pPr>
        <w:keepNext/>
        <w:spacing w:line="264" w:lineRule="auto"/>
        <w:ind w:firstLine="0"/>
        <w:jc w:val="center"/>
        <w:rPr>
          <w:rFonts w:ascii="Arial" w:hAnsi="Arial" w:cs="Arial"/>
          <w:szCs w:val="28"/>
        </w:rPr>
      </w:pPr>
    </w:p>
    <w:p w14:paraId="0380DA9C" w14:textId="77777777" w:rsidR="001B7B25" w:rsidRPr="00511005" w:rsidRDefault="001B7B25" w:rsidP="001B7B25">
      <w:pPr>
        <w:keepNext/>
        <w:spacing w:line="264" w:lineRule="auto"/>
        <w:ind w:firstLine="0"/>
        <w:jc w:val="center"/>
        <w:rPr>
          <w:rFonts w:ascii="Arial" w:hAnsi="Arial" w:cs="Arial"/>
          <w:szCs w:val="28"/>
        </w:rPr>
      </w:pPr>
    </w:p>
    <w:p w14:paraId="03F279CC" w14:textId="77777777" w:rsidR="006B07CA" w:rsidRPr="00511005" w:rsidRDefault="006B07CA" w:rsidP="003A292D">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Асцатрян Крістіна Сергіївна</w:t>
      </w:r>
    </w:p>
    <w:p w14:paraId="083727A2" w14:textId="7ED0D81E" w:rsidR="006B07CA" w:rsidRPr="00511005" w:rsidRDefault="007B2628" w:rsidP="003A292D">
      <w:pPr>
        <w:spacing w:line="264" w:lineRule="auto"/>
        <w:ind w:firstLine="0"/>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студентка 1-го курсу факультету цивільної та господарської юстиції</w:t>
      </w:r>
    </w:p>
    <w:p w14:paraId="46F81EE2" w14:textId="024AD093" w:rsidR="006B07CA" w:rsidRPr="00511005" w:rsidRDefault="007B2628" w:rsidP="003A292D">
      <w:pPr>
        <w:spacing w:line="264" w:lineRule="auto"/>
        <w:ind w:firstLine="0"/>
        <w:jc w:val="center"/>
        <w:rPr>
          <w:rFonts w:ascii="Arial" w:eastAsia="Times New Roman" w:hAnsi="Arial" w:cs="Arial"/>
          <w:iCs/>
          <w:szCs w:val="28"/>
          <w:lang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37C5A44F" w14:textId="77777777" w:rsidR="006B07CA" w:rsidRPr="00511005" w:rsidRDefault="006B07CA" w:rsidP="003A292D">
      <w:pPr>
        <w:spacing w:line="264" w:lineRule="auto"/>
        <w:ind w:firstLine="0"/>
        <w:jc w:val="center"/>
        <w:rPr>
          <w:rFonts w:ascii="Arial" w:eastAsia="Times New Roman" w:hAnsi="Arial" w:cs="Arial"/>
          <w:szCs w:val="28"/>
          <w:lang w:eastAsia="ru-RU"/>
        </w:rPr>
      </w:pPr>
    </w:p>
    <w:p w14:paraId="343D4D3B" w14:textId="33AF12B5" w:rsidR="006B07CA" w:rsidRPr="00511005" w:rsidRDefault="006B07CA" w:rsidP="003A292D">
      <w:pPr>
        <w:spacing w:line="264" w:lineRule="auto"/>
        <w:ind w:firstLine="0"/>
        <w:jc w:val="center"/>
        <w:rPr>
          <w:rFonts w:ascii="Arial" w:eastAsia="Times New Roman" w:hAnsi="Arial" w:cs="Arial"/>
          <w:b/>
          <w:bCs/>
          <w:caps/>
          <w:szCs w:val="28"/>
          <w:lang w:eastAsia="ru-RU"/>
        </w:rPr>
      </w:pPr>
      <w:r w:rsidRPr="00511005">
        <w:rPr>
          <w:rFonts w:ascii="Arial" w:eastAsia="Times New Roman" w:hAnsi="Arial" w:cs="Arial"/>
          <w:b/>
          <w:bCs/>
          <w:caps/>
          <w:szCs w:val="28"/>
          <w:lang w:eastAsia="ru-RU"/>
        </w:rPr>
        <w:t xml:space="preserve">Співвідношення соціальної і правової держави: </w:t>
      </w:r>
      <w:r w:rsidR="007B2628" w:rsidRPr="00511005">
        <w:rPr>
          <w:rFonts w:ascii="Arial" w:eastAsia="Times New Roman" w:hAnsi="Arial" w:cs="Arial"/>
          <w:b/>
          <w:bCs/>
          <w:caps/>
          <w:szCs w:val="28"/>
          <w:lang w:eastAsia="ru-RU"/>
        </w:rPr>
        <w:br/>
      </w:r>
      <w:r w:rsidRPr="00511005">
        <w:rPr>
          <w:rFonts w:ascii="Arial" w:eastAsia="Times New Roman" w:hAnsi="Arial" w:cs="Arial"/>
          <w:b/>
          <w:bCs/>
          <w:caps/>
          <w:szCs w:val="28"/>
          <w:lang w:eastAsia="ru-RU"/>
        </w:rPr>
        <w:t>сучасне розуміння</w:t>
      </w:r>
    </w:p>
    <w:p w14:paraId="2EC8A4CE"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сучасному світі, де загострюються виклики справедливого розподілу благ та забезпечення прав і свобод людини, дослідження соціальної і правової держави набуває особливої актуальності. Саме поєднання соціальних гарантій і верховенства права є запорукою стабільного розвитку суспільства, легітимності влади та довіри громадян до державних інститутів. Актуальність теми зумовлена не лише глобальними викликами, такими як пандемія, а й внутрішніми, зокрема, перебуванням України в умовах воєнного стану, що посилює потребу в державній підтримці та дотриманні правових стандартів. У Конституції України зазначено, що держава є демократичною, правовою і соціальною, що зобов’язує її одночасно гарантувати як соціальну справедливість, так і верховенство права.</w:t>
      </w:r>
    </w:p>
    <w:p w14:paraId="62673A8A"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Правова держава, що історично виникла як реакція на абсолютизм і свавілля влади, фокусується на забезпеченні верховенства права, захисті індивідуальних прав і свобод громадян, поділі влади та гарантіях правової рівності. Соціальна держава, натомість, виникла як відповідь на соціальні протиріччя капіталістичного суспільства і спрямована на забезпечення соціальної справедливості, підтримки гідного рівня життя та мінімізації соціальної нерівності.</w:t>
      </w:r>
    </w:p>
    <w:p w14:paraId="2D3DB9D1"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Ідеї правової та соціальної держави мають давнє історичне підґрунтя й пройшли тривалий шлях розвитку. Обидві концепції беруть свій початок ще в часи Античності. У Новий час її ґрунтовно розробили такі філософи як І. Кант, Дж. Локк, Г. В. Ф. Гегель, які наголошували на необхідності обмеження державної влади правом і захисту особистої свободи людини. У сучасному розумінні правова держава базується на таких принципах, як верховенство права, поділ влади з системою стримувань і противаг, гарантії прав і свобод людини, рівність усіх перед законом, а також взаємна відповідальність громадянина і держави. Вона забезпечує не лише формальну законність, а й змістовну відповідність правових норм загальнолюдським цінностям, моральним орієнтирам та ідеї природного </w:t>
      </w:r>
      <w:r w:rsidRPr="00511005">
        <w:rPr>
          <w:rFonts w:ascii="Arial" w:eastAsia="Times New Roman" w:hAnsi="Arial" w:cs="Arial"/>
          <w:szCs w:val="28"/>
          <w:lang w:eastAsia="ru-RU"/>
        </w:rPr>
        <w:lastRenderedPageBreak/>
        <w:t>права. У такій державі свобода особистості визнається найвищою цінністю, а основне завдання державних інститутів – не допустити свавілля та забезпечити справедливість. Як зазначає сучасний теоретик права А. Козловський, "правова держава - це не лише формальне дотримання законів, а й змістовна відповідність їх природі права, суспільним цінностям та моральним принципам" [1, с. 16].</w:t>
      </w:r>
    </w:p>
    <w:p w14:paraId="340E602B" w14:textId="5E90CFC3"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Якщо казати про соціальну державу, то</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її ідеї можна простежити у Платона, який у творі «Держава» описував модель гармонійного суспільства. Проте більш конкретного вигляду ця концепція набула в ХІХ столітті, коли Лоренц фон Штайн ввів цей термін в науковий обіг. Активізація досліджень соціальної держави відбулася в умовах відновлення після Другої світової війни. Сутність соціальної держави полягає у прагненні до соціальної справедливості, підтримки гідності людини та мінімізації соціальної нерівності. Її діяльність спрямована не лише на допомогу тим, хто її потребує, а й на розвиток людського потенціалу – професійну освіту, медицину, створення рівних можливостей.</w:t>
      </w:r>
    </w:p>
    <w:p w14:paraId="268C11E9"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Основними ознаками соціальної держави є гарантування прав і свобод, розвиток активного громадянського суспільства, забезпечення доступу до якісної медицини та освіти, стабільна економіка та ефективне соціальне законодавство. У ній особливо цінується роль людини як найвищої цінності. Соціальні послуги не розглядаються як привілеї, а як права. Формується активна взаємодія держави та суспільства, зокрема через систему оподаткування, яка забезпечує фінансування соціальних програм [2, с. 233].</w:t>
      </w:r>
    </w:p>
    <w:p w14:paraId="6697EBA3" w14:textId="77777777" w:rsidR="006B07CA" w:rsidRPr="00511005" w:rsidRDefault="006B07CA" w:rsidP="007B2628">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Зв’язок між правовою та соціальною державою супроводжується певною напругою, яка виникає через відмінності у пріоритетах і підходах до основних цінностей. Правова держава надає перевагу свободі особи та обмеженому втручанню держави у приватну сферу, тоді як соціальна держава прагне досягнення рівності та справедливості через активні заходи з боку держави. У центрі уваги правової держави — захист особистих прав, натомість соціальна модель зосереджується на забезпеченні суспільного добробуту. Також спостерігається різне тлумачення справедливості: для правової держави важливо забезпечення рівності правил і процедур для всіх, тоді як для соціальної — важливими є результати, які відповідають принципам матеріальної справедливості. Роль держави в цих концепціях також відрізняється: у правовій — її втручання мінімальне, вона зосереджується на підтриманні правопорядку, тоді як у соціальній — держава активно бере участь у регулюванні економічних і соціальних процесів з метою досягнення загального добробуту.</w:t>
      </w:r>
    </w:p>
    <w:p w14:paraId="6D37BDCE"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сучасному демократичному світі розвиток державності нерозривно пов’язаний із реалізацією принципів як правової, так і соціальної держави. Хоча ці моделі акцентують увагу на різних сферах — одна на правах і </w:t>
      </w:r>
      <w:r w:rsidRPr="00511005">
        <w:rPr>
          <w:rFonts w:ascii="Arial" w:eastAsia="Times New Roman" w:hAnsi="Arial" w:cs="Arial"/>
          <w:szCs w:val="28"/>
          <w:lang w:eastAsia="ru-RU"/>
        </w:rPr>
        <w:lastRenderedPageBreak/>
        <w:t>свободах, інша на соціальній справедливості — вони не суперечать і не витісняють одна одну, а навпаки, тісно взаємодіють і взаємодоповнюють, утворюючи цілісну систему, здатну забезпечити як правовий порядок, так і соціальний добробут громадян. Правова держава передбачає верховенство права, гарантії прав і свобод людини, незалежність судової влади та правову відповідальність органів держави. Натомість соціальна держава зосереджується на забезпеченні гідного рівня життя, соціальному захисті населення, зменшенні нерівності та підтримці вразливих верств. Ці поняття мають спільну мету — забезпечити гідне існування кожної особи, але досягають її різними засобами: правова — через правові інститути, соціальна — через механізми соціальної політики. Без правової держави соціальна була б неконтрольованою та ризикувала б перетворитися на надмірне втручання. З іншого боку, без соціальної складової правова держава може бути формальною, не забезпечуючи реальної рівності та гідного життя для всіх. У сучасному розумінні держава має бути водночас і правовою, і соціальною, адже лише їхня єдність забезпечує справедливість, стабільність і розвиток суспільства.</w:t>
      </w:r>
    </w:p>
    <w:p w14:paraId="5AABE8C8" w14:textId="77777777" w:rsidR="007B2628"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Обидві моделі державності визнають людину та її права найвищою цінністю, однак розставляють акценти по-різному. У сфері прав людини правова держава забезпечує реалізацію громадянських і політичних прав, таких як право на життя, свободу, власність та справедливий суд, у той час як соціальна держава акцентує увагу на соціально-економічних правах — на працю, освіту, охорону здоров’я та соціальний захист. Функціонально правова держава виконує переважно охоронні функції, підтримує безпеку та правопорядок, тоді як соціальна держава розширює ці функції, займаючись перерозподілом ресурсів, наданням соціальних послуг та регулюванням економічних процесів. Взаємовідносини держави та суспільства у правовій моделі будуються на автономії суспільства та невтручанні держави в його справи, тоді як соціальна держава передбачає активну участь у регулюванні суспільних і економічних процесів. У механізмах реалізації своїх функцій правова держава спирається на закон, судову систему, правоохоронні органи, тоді як соціальна держава додає до цього систему соціального захисту, фонди страхування, інститути освіти та медицини. </w:t>
      </w:r>
    </w:p>
    <w:p w14:paraId="63C16348" w14:textId="626BBFDA"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правова держава створює правові рамки для функціонування соціальної держави, забезпечуючи законність і прозорість у реалізації соціальних програм. А соціальна держава, у свою чергу, сприяє зміцненню правової держави, забезпечуючи соціальну стабільність і довіру громадян до державних інституцій.</w:t>
      </w:r>
    </w:p>
    <w:p w14:paraId="0D0A9A06" w14:textId="77777777" w:rsidR="006B07CA" w:rsidRPr="00511005" w:rsidRDefault="006B07CA" w:rsidP="003A292D">
      <w:pPr>
        <w:spacing w:line="264" w:lineRule="auto"/>
        <w:ind w:firstLine="0"/>
        <w:rPr>
          <w:rFonts w:ascii="Arial" w:eastAsia="Times New Roman" w:hAnsi="Arial" w:cs="Arial"/>
          <w:b/>
          <w:bCs/>
          <w:szCs w:val="28"/>
          <w:lang w:eastAsia="ru-RU"/>
        </w:rPr>
      </w:pPr>
    </w:p>
    <w:p w14:paraId="6AC39BFD" w14:textId="6DF129A6" w:rsidR="006B07CA" w:rsidRPr="00511005" w:rsidRDefault="007B2628" w:rsidP="007B2628">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6D442182" w14:textId="77777777" w:rsidR="006B07CA" w:rsidRPr="00511005" w:rsidRDefault="006B07CA" w:rsidP="007B2628">
      <w:pPr>
        <w:numPr>
          <w:ilvl w:val="0"/>
          <w:numId w:val="15"/>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lastRenderedPageBreak/>
        <w:t xml:space="preserve">Конституція України: Прийнята на п’ятій сесії Верховної Ради України 28 червня 1996 р. </w:t>
      </w:r>
      <w:r w:rsidRPr="00511005">
        <w:rPr>
          <w:rFonts w:ascii="Arial" w:eastAsia="Calibri" w:hAnsi="Arial" w:cs="Arial"/>
          <w:i/>
          <w:iCs/>
          <w:szCs w:val="28"/>
          <w:lang w:val="uk-UA"/>
        </w:rPr>
        <w:t>Відомості Верховної Ради України</w:t>
      </w:r>
      <w:r w:rsidRPr="00511005">
        <w:rPr>
          <w:rFonts w:ascii="Arial" w:eastAsia="Calibri" w:hAnsi="Arial" w:cs="Arial"/>
          <w:szCs w:val="28"/>
          <w:lang w:val="uk-UA"/>
        </w:rPr>
        <w:t>. 1996. № 30. Ст. 141.</w:t>
      </w:r>
    </w:p>
    <w:p w14:paraId="69C667F1" w14:textId="77777777" w:rsidR="006B07CA" w:rsidRPr="00511005" w:rsidRDefault="006B07CA" w:rsidP="007B2628">
      <w:pPr>
        <w:numPr>
          <w:ilvl w:val="0"/>
          <w:numId w:val="15"/>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Козловський А. А. Правова держава: сучасні теоретичні концепції. </w:t>
      </w:r>
      <w:r w:rsidRPr="00511005">
        <w:rPr>
          <w:rFonts w:ascii="Arial" w:eastAsia="Calibri" w:hAnsi="Arial" w:cs="Arial"/>
          <w:i/>
          <w:iCs/>
          <w:szCs w:val="28"/>
          <w:lang w:val="uk-UA"/>
        </w:rPr>
        <w:t>Право України</w:t>
      </w:r>
      <w:r w:rsidRPr="00511005">
        <w:rPr>
          <w:rFonts w:ascii="Arial" w:eastAsia="Calibri" w:hAnsi="Arial" w:cs="Arial"/>
          <w:szCs w:val="28"/>
          <w:lang w:val="uk-UA"/>
        </w:rPr>
        <w:t>. 2018. № 5. С. 15-27.</w:t>
      </w:r>
    </w:p>
    <w:p w14:paraId="7B8E8228" w14:textId="77777777" w:rsidR="006B07CA" w:rsidRPr="00511005" w:rsidRDefault="006B07CA" w:rsidP="007B2628">
      <w:pPr>
        <w:numPr>
          <w:ilvl w:val="0"/>
          <w:numId w:val="15"/>
        </w:numPr>
        <w:spacing w:line="264" w:lineRule="auto"/>
        <w:ind w:left="0" w:firstLine="709"/>
        <w:rPr>
          <w:rFonts w:ascii="Arial" w:eastAsia="Calibri" w:hAnsi="Arial" w:cs="Arial"/>
          <w:szCs w:val="28"/>
          <w:lang w:val="uk-UA"/>
        </w:rPr>
      </w:pPr>
      <w:r w:rsidRPr="00511005">
        <w:rPr>
          <w:rFonts w:ascii="Arial" w:eastAsia="Calibri" w:hAnsi="Arial" w:cs="Arial"/>
          <w:szCs w:val="28"/>
          <w:shd w:val="clear" w:color="auto" w:fill="FFFFFF"/>
          <w:lang w:val="uk-UA"/>
        </w:rPr>
        <w:t>Скакун О.Ф. Теорія права і держави: Підручник. 2-ге видання. К.: Алерта; ЦУЛ, 2011. 520 с.</w:t>
      </w:r>
    </w:p>
    <w:p w14:paraId="2524312B" w14:textId="77777777" w:rsidR="006B07CA" w:rsidRPr="00511005" w:rsidRDefault="006B07CA" w:rsidP="007B2628">
      <w:pPr>
        <w:numPr>
          <w:ilvl w:val="0"/>
          <w:numId w:val="15"/>
        </w:numPr>
        <w:spacing w:line="264" w:lineRule="auto"/>
        <w:ind w:left="0" w:firstLine="709"/>
        <w:rPr>
          <w:rFonts w:ascii="Arial" w:eastAsia="Calibri" w:hAnsi="Arial" w:cs="Arial"/>
          <w:szCs w:val="28"/>
          <w:lang w:val="uk-UA"/>
        </w:rPr>
      </w:pPr>
      <w:r w:rsidRPr="00511005">
        <w:rPr>
          <w:rFonts w:ascii="Arial" w:eastAsia="Calibri" w:hAnsi="Arial" w:cs="Arial"/>
          <w:szCs w:val="28"/>
          <w:shd w:val="clear" w:color="auto" w:fill="FFFFFF"/>
          <w:lang w:val="uk-UA"/>
        </w:rPr>
        <w:t xml:space="preserve">Кісс, С. В. "Сутність поняття та основні ознаки соціальної держави. </w:t>
      </w:r>
      <w:r w:rsidRPr="00511005">
        <w:rPr>
          <w:rFonts w:ascii="Arial" w:eastAsia="Calibri" w:hAnsi="Arial" w:cs="Arial"/>
          <w:i/>
          <w:iCs/>
          <w:szCs w:val="28"/>
          <w:shd w:val="clear" w:color="auto" w:fill="FFFFFF"/>
          <w:lang w:val="uk-UA"/>
        </w:rPr>
        <w:t xml:space="preserve">Право і суспільство. </w:t>
      </w:r>
      <w:r w:rsidRPr="00511005">
        <w:rPr>
          <w:rFonts w:ascii="Arial" w:eastAsia="Calibri" w:hAnsi="Arial" w:cs="Arial"/>
          <w:szCs w:val="28"/>
          <w:shd w:val="clear" w:color="auto" w:fill="FFFFFF"/>
          <w:lang w:val="uk-UA"/>
        </w:rPr>
        <w:t>2015. №4. С. 22-27.</w:t>
      </w:r>
    </w:p>
    <w:p w14:paraId="787F032D" w14:textId="77777777" w:rsidR="006B07CA" w:rsidRPr="00511005" w:rsidRDefault="006B07CA" w:rsidP="007B2628">
      <w:pPr>
        <w:numPr>
          <w:ilvl w:val="0"/>
          <w:numId w:val="15"/>
        </w:numPr>
        <w:spacing w:line="264" w:lineRule="auto"/>
        <w:ind w:left="0" w:firstLine="709"/>
        <w:rPr>
          <w:rFonts w:ascii="Arial" w:eastAsia="Calibri" w:hAnsi="Arial" w:cs="Arial"/>
          <w:szCs w:val="28"/>
          <w:lang w:val="uk-UA"/>
        </w:rPr>
      </w:pPr>
      <w:r w:rsidRPr="00511005">
        <w:rPr>
          <w:rFonts w:ascii="Arial" w:eastAsia="Calibri" w:hAnsi="Arial" w:cs="Arial"/>
          <w:szCs w:val="28"/>
          <w:shd w:val="clear" w:color="auto" w:fill="FFFFFF"/>
          <w:lang w:val="uk-UA"/>
        </w:rPr>
        <w:t>Головащенко О. С. Соціальна та правова держава: питання співвідношення." </w:t>
      </w:r>
      <w:r w:rsidRPr="00511005">
        <w:rPr>
          <w:rFonts w:ascii="Arial" w:eastAsia="Calibri" w:hAnsi="Arial" w:cs="Arial"/>
          <w:i/>
          <w:iCs/>
          <w:szCs w:val="28"/>
          <w:shd w:val="clear" w:color="auto" w:fill="FFFFFF"/>
          <w:lang w:val="uk-UA"/>
        </w:rPr>
        <w:t>дис.... к. ю</w:t>
      </w:r>
      <w:r w:rsidRPr="00511005">
        <w:rPr>
          <w:rFonts w:ascii="Arial" w:eastAsia="Calibri" w:hAnsi="Arial" w:cs="Arial"/>
          <w:szCs w:val="28"/>
          <w:shd w:val="clear" w:color="auto" w:fill="FFFFFF"/>
          <w:lang w:val="uk-UA"/>
        </w:rPr>
        <w:t> 12.00 (2008): 01.</w:t>
      </w:r>
    </w:p>
    <w:p w14:paraId="3BA9DD45" w14:textId="77777777" w:rsidR="006B07CA" w:rsidRPr="00511005" w:rsidRDefault="006B07CA" w:rsidP="003A292D">
      <w:pPr>
        <w:spacing w:line="264" w:lineRule="auto"/>
        <w:ind w:firstLine="0"/>
        <w:rPr>
          <w:rFonts w:ascii="Arial" w:eastAsia="Times New Roman" w:hAnsi="Arial" w:cs="Arial"/>
          <w:szCs w:val="28"/>
          <w:lang w:eastAsia="ru-RU"/>
        </w:rPr>
      </w:pPr>
    </w:p>
    <w:p w14:paraId="7E9A66B8" w14:textId="0010B9C6" w:rsidR="006B07CA" w:rsidRPr="00511005" w:rsidRDefault="007B2628" w:rsidP="003A292D">
      <w:pPr>
        <w:spacing w:line="264" w:lineRule="auto"/>
        <w:ind w:firstLine="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6B07CA" w:rsidRPr="00511005">
        <w:rPr>
          <w:rFonts w:ascii="Arial" w:eastAsia="Times New Roman" w:hAnsi="Arial" w:cs="Arial"/>
          <w:szCs w:val="28"/>
          <w:lang w:eastAsia="ru-RU"/>
        </w:rPr>
        <w:t>соціальна держава, правова держава, справедливість, законність, верховенство права.</w:t>
      </w:r>
    </w:p>
    <w:p w14:paraId="0463AC11" w14:textId="23EC0689"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6B07CA" w:rsidRPr="00511005">
        <w:rPr>
          <w:rFonts w:ascii="Arial" w:eastAsia="Times New Roman" w:hAnsi="Arial" w:cs="Arial"/>
          <w:szCs w:val="28"/>
          <w:lang w:val="en-US" w:eastAsia="ru-RU"/>
        </w:rPr>
        <w:t>welfare state, lawful state, justice, legality, rule of law.</w:t>
      </w:r>
    </w:p>
    <w:p w14:paraId="7ECCA82B" w14:textId="1C0FF9FC" w:rsidR="006B07CA" w:rsidRPr="00511005" w:rsidRDefault="007B2628" w:rsidP="003A292D">
      <w:pPr>
        <w:spacing w:line="264" w:lineRule="auto"/>
        <w:ind w:firstLine="0"/>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006B07CA" w:rsidRPr="00511005">
        <w:rPr>
          <w:rFonts w:ascii="Arial" w:eastAsia="Times New Roman" w:hAnsi="Arial" w:cs="Arial"/>
          <w:i/>
          <w:iCs/>
          <w:szCs w:val="28"/>
          <w:lang w:eastAsia="ru-RU"/>
        </w:rPr>
        <w:t>к.ю.н.</w:t>
      </w:r>
      <w:r w:rsidR="00BE3972" w:rsidRPr="00511005">
        <w:rPr>
          <w:rFonts w:ascii="Arial" w:eastAsia="Times New Roman" w:hAnsi="Arial" w:cs="Arial"/>
          <w:i/>
          <w:iCs/>
          <w:szCs w:val="28"/>
          <w:lang w:val="uk-UA" w:eastAsia="ru-RU"/>
        </w:rPr>
        <w:t>,</w:t>
      </w:r>
      <w:r w:rsidR="006B07CA" w:rsidRPr="00511005">
        <w:rPr>
          <w:rFonts w:ascii="Arial" w:eastAsia="Times New Roman" w:hAnsi="Arial" w:cs="Arial"/>
          <w:i/>
          <w:iCs/>
          <w:szCs w:val="28"/>
          <w:lang w:eastAsia="ru-RU"/>
        </w:rPr>
        <w:t xml:space="preserve"> доцент Ковбасюк С.В.</w:t>
      </w:r>
    </w:p>
    <w:p w14:paraId="0C5C68F8"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5033A292"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67F0A8E2" w14:textId="77777777" w:rsidR="006B07CA" w:rsidRPr="00511005" w:rsidRDefault="006B07CA" w:rsidP="003A292D">
      <w:pPr>
        <w:spacing w:line="264" w:lineRule="auto"/>
        <w:ind w:firstLine="0"/>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Базанова Аліна Андріївна</w:t>
      </w:r>
    </w:p>
    <w:p w14:paraId="168BCAE2" w14:textId="546B05CB" w:rsidR="006B07CA"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студентка 1-го курсу факультету цивільної та господарської юстиції</w:t>
      </w:r>
      <w:r w:rsidR="006B07CA"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Національного університету «Одеська юридична академія»</w:t>
      </w:r>
    </w:p>
    <w:p w14:paraId="0BF2FF58" w14:textId="77777777" w:rsidR="006B07CA" w:rsidRPr="00511005" w:rsidRDefault="006B07CA" w:rsidP="003A292D">
      <w:pPr>
        <w:spacing w:line="264" w:lineRule="auto"/>
        <w:ind w:firstLine="0"/>
        <w:jc w:val="center"/>
        <w:rPr>
          <w:rFonts w:ascii="Arial" w:eastAsia="Times New Roman" w:hAnsi="Arial" w:cs="Arial"/>
          <w:b/>
          <w:bCs/>
          <w:szCs w:val="28"/>
          <w:lang w:eastAsia="ru-RU"/>
        </w:rPr>
      </w:pPr>
    </w:p>
    <w:p w14:paraId="043A9223" w14:textId="0188D545" w:rsidR="006B07CA" w:rsidRPr="00511005" w:rsidRDefault="006B07CA"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 xml:space="preserve">ЗАГАЛЬНОТЕОРЕТИЧНИЙ АНАЛІЗ КАТЕГОРІЇ </w:t>
      </w:r>
      <w:r w:rsidR="007B2628" w:rsidRPr="00511005">
        <w:rPr>
          <w:rFonts w:ascii="Arial" w:eastAsia="Times New Roman" w:hAnsi="Arial" w:cs="Arial"/>
          <w:b/>
          <w:bCs/>
          <w:szCs w:val="28"/>
          <w:lang w:eastAsia="ru-RU"/>
        </w:rPr>
        <w:br/>
      </w:r>
      <w:r w:rsidR="007B2628" w:rsidRPr="00511005">
        <w:rPr>
          <w:rFonts w:ascii="Arial" w:eastAsia="Times New Roman" w:hAnsi="Arial" w:cs="Arial"/>
          <w:b/>
          <w:bCs/>
          <w:szCs w:val="28"/>
          <w:lang w:val="uk-UA" w:eastAsia="ru-RU"/>
        </w:rPr>
        <w:t>«</w:t>
      </w:r>
      <w:r w:rsidRPr="00511005">
        <w:rPr>
          <w:rFonts w:ascii="Arial" w:eastAsia="Times New Roman" w:hAnsi="Arial" w:cs="Arial"/>
          <w:b/>
          <w:bCs/>
          <w:szCs w:val="28"/>
          <w:lang w:eastAsia="ru-RU"/>
        </w:rPr>
        <w:t>КРИМІНАЛЬНИЙ ПРОСТУПОК</w:t>
      </w:r>
      <w:r w:rsidR="007B2628" w:rsidRPr="00511005">
        <w:rPr>
          <w:rFonts w:ascii="Arial" w:eastAsia="Times New Roman" w:hAnsi="Arial" w:cs="Arial"/>
          <w:b/>
          <w:bCs/>
          <w:szCs w:val="28"/>
          <w:lang w:val="uk-UA" w:eastAsia="ru-RU"/>
        </w:rPr>
        <w:t>»</w:t>
      </w:r>
    </w:p>
    <w:p w14:paraId="560500E9"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Категорія «кримінальний проступок» стала важливим етапом еволюції національного кримінального права України. Вона була офіційно введена у 2020 році внаслідок реформ, спрямованих на спрощення досудового розслідування, зниження навантаження на судову систему та реалізацію принципу диференціації кримінальної відповідальності залежно від ступеня суспільної небезпеки діяння. Визначення поняття кримінального проступку міститься у частині другій статті 11 Кримінального кодексу України, де йдеться про діяння, </w:t>
      </w:r>
      <w:proofErr w:type="gramStart"/>
      <w:r w:rsidRPr="00511005">
        <w:rPr>
          <w:rFonts w:ascii="Arial" w:eastAsia="Times New Roman" w:hAnsi="Arial" w:cs="Arial"/>
          <w:szCs w:val="28"/>
          <w:lang w:eastAsia="ru-RU"/>
        </w:rPr>
        <w:t>за яке</w:t>
      </w:r>
      <w:proofErr w:type="gramEnd"/>
      <w:r w:rsidRPr="00511005">
        <w:rPr>
          <w:rFonts w:ascii="Arial" w:eastAsia="Times New Roman" w:hAnsi="Arial" w:cs="Arial"/>
          <w:szCs w:val="28"/>
          <w:lang w:eastAsia="ru-RU"/>
        </w:rPr>
        <w:t xml:space="preserve"> передбачене основне покарання у вигляді штрафу не більше 3 000 неоподатковуваних мінімумів доходів громадян або інше покарання, не пов’язане з позбавленням волі. Отже, законодавець закріпив окремий вид кримінального правопорушення, що співвідноситься зі злочином, але не має такої сили суспільної небезпеки.</w:t>
      </w:r>
    </w:p>
    <w:p w14:paraId="1900CD54"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Загальнотеоретичне значення поняття кримінального проступку полягає у зміні традиційного двочленного поділу правопорушень на злочини та проступки, який існував ще в римському праві. Сьогодні в рамках національної правової системи формалізується трикомпонентна модель правопорушень: адміністративне правопорушення — кримінальний проступок — злочин. Такий підхід дозволяє гнучкіше будувати правову </w:t>
      </w:r>
      <w:r w:rsidRPr="00511005">
        <w:rPr>
          <w:rFonts w:ascii="Arial" w:eastAsia="Times New Roman" w:hAnsi="Arial" w:cs="Arial"/>
          <w:szCs w:val="28"/>
          <w:lang w:eastAsia="ru-RU"/>
        </w:rPr>
        <w:lastRenderedPageBreak/>
        <w:t>відповідальність, враховуючи характер, тяжкість та наслідки вчиненого діяння, не вдаючись одразу до суворих покарань, характерних для кримінального права в його класичному вигляді. Водночас, як засвідчує аналіз доктринальних джерел, така інновація вимагає більш глибокого філософсько-правового та кримінально-правового осмислення.</w:t>
      </w:r>
    </w:p>
    <w:p w14:paraId="4ED1CB75"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Кримінальний проступок як нова категорія відрізняється від злочину передусім рівнем суспільної небезпеки. Якщо злочин здатен завдати істотної шкоди суспільним відносинам, то проступок — це діяння, яке становить незначну суспільну небезпеку. Відповідно, відбувається й розмежування в механізмах реагування: для злочинів передбачено розгорнуту процедуру досудового розслідування, тоді як для проступків — спрощене провадження у формі дізнання. У цьому виявляється принцип пропорційності та субсидіарності кримінально-правового впливу. З теоретичного погляду, це можна розглядати як розвиток інституту мінімального втручання, який передбачає втручання держави лише в тій мірі, яка є необхідною для захисту інтересів суспільства.</w:t>
      </w:r>
    </w:p>
    <w:p w14:paraId="61772D54"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Крім того, на відміну від злочину, кримінальний проступок допускає значно ширше застосування примирливих процедур — наприклад, у разі укладення угоди з потерпілим або дійового каяття особи. Це означає, що законодавець не лише визнає проступок кримінальним правопорушенням, але й дозволяє уникати репресивних заходів за умови досягнення мети кримінального права іншим шляхом. Відтак, проступок можна розглядати як інструмент ресоціалізації правопорушників, особливо тих, які вперше потрапляють у поле кримінально-правової відповідальності.</w:t>
      </w:r>
    </w:p>
    <w:p w14:paraId="3412E9F3"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Порівняння кримінального проступку з адміністративним правопорушенням дозволяє глибше зрозуміти його природу. Обидва види діянь мають спільні риси — незначна шкода, обмеженість санкцій, спрощене провадження. Втім, кримінальний проступок завжди фіксується в ЄРДР, настає судимість (хоча й у спрощеній формі), а саме провадження здійснюється органами досудового розслідування, а не адміністративної юстиції. Усе це свідчить про збереження за проступком кримінального статусу, попри його «пом’якшений» характер. Таким чином, з погляду загальної теорії права, проступок займає проміжну позицію між двома полюсами: адміністративним деліктом і злочином.</w:t>
      </w:r>
    </w:p>
    <w:p w14:paraId="54A5E179"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 рівні правової доктрини відбуваються активні дискусії щодо того, чи можна вважати проступок окремим видом правопорушення, або ж лише особливим видом злочину. Прихильники першої позиції аргументують свою думку тим, що проступок має власні ознаки, відокремлену процесуальну форму, відмінну філософію покарання. Натомість опоненти вважають, що проступок — це умовне позначення злочинів незначної тяжкості, і поділ на «злочини» й «проступки» є суто практичним, а не теоретичним. З точки зору загальної теорії права, доцільніше розглядати проступок саме як третю </w:t>
      </w:r>
      <w:r w:rsidRPr="00511005">
        <w:rPr>
          <w:rFonts w:ascii="Arial" w:eastAsia="Times New Roman" w:hAnsi="Arial" w:cs="Arial"/>
          <w:szCs w:val="28"/>
          <w:lang w:eastAsia="ru-RU"/>
        </w:rPr>
        <w:lastRenderedPageBreak/>
        <w:t>форму правопорушення — таку, що поєднує елементи обох систем: кримінальної та адміністративної. Це підтверджується і порівняльно-правовим аналізом — у багатьох європейських країнах (Франція, Іспанія, Італія) існує аналогічна триступенева структура.</w:t>
      </w:r>
    </w:p>
    <w:p w14:paraId="7AC7C2C2"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Ще одним важливим теоретичним аспектом є вплив категорії кримінального проступку на розуміння юридичної відповідальності. Традиційно вона поділяється на кримінальну, адміністративну, цивільну та дисциплінарну. Поява інституту проступку поставила питання про нову модифікацію кримінальної відповідальності — м’яку, «спрощену», але все ж таки кримінальну. Така відповідальність дозволяє застосовувати більш гнучкі санкції, включаючи громадські роботи, штрафи або заборону на певні дії без позбавлення волі. Таким чином, кримінальний проступок створює простір для гібридних форм відповідальності, що можуть ефективно впливати на правопорушника без руйнівного ефекту класичного кримінального покарання.</w:t>
      </w:r>
    </w:p>
    <w:p w14:paraId="5C878A94"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Водночас існує низка проблем, що супроводжують правозастосування у сфері кримінальних проступків. Зокрема, часто виникають труднощі з їхньою чіткою кваліфікацією, є ризик зловживань з боку правоохоронних органів, а також відсутність достатньої практики. Особливої уваги заслуговує питання щодо доцільності збереження судимості після вчинення кримінального проступку. З одного боку, формальне збереження судимості суперечить гуманістичному характеру проступку; з іншого — її скасування може призвести до зниження довіри до кримінальної юстиції. На думку багатьох науковців, доцільним є створення спеціального інституту «умовної судимості» або ж тимчасового фіксування факту вчинення проступку без негативних юридичних наслідків для особи.</w:t>
      </w:r>
    </w:p>
    <w:p w14:paraId="56DC4494" w14:textId="77777777" w:rsidR="006B07CA" w:rsidRPr="00511005" w:rsidRDefault="006B07CA" w:rsidP="007B262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Підсумовуючи, слід зазначити, що кримінальний проступок — це самостійна правова категорія, що має важливе значення для розвитку української правової системи. Її поява відкрила нові можливості для реалізації принципів гуманізму, ефективності, диференціації та справедливості в кримінальному праві. У майбутньому проступок може стати основою для подальшої гуманізації кримінального права, створення альтернативних моделей відповідальності, а також реформування суміжних галузей права, зокрема адміністративного та процесуального. Проте для цього необхідне послідовне наукове осмислення, належна судова практика, законодавче вдосконалення та правова культура органів, що застосовують ці норми.</w:t>
      </w:r>
    </w:p>
    <w:p w14:paraId="5B3FC26C" w14:textId="77777777" w:rsidR="006B07CA" w:rsidRPr="00511005" w:rsidRDefault="006B07CA" w:rsidP="003A292D">
      <w:pPr>
        <w:spacing w:line="264" w:lineRule="auto"/>
        <w:ind w:firstLine="0"/>
        <w:jc w:val="center"/>
        <w:rPr>
          <w:rFonts w:ascii="Arial" w:eastAsia="Times New Roman" w:hAnsi="Arial" w:cs="Arial"/>
          <w:b/>
          <w:bCs/>
          <w:szCs w:val="28"/>
          <w:lang w:eastAsia="ru-RU"/>
        </w:rPr>
      </w:pPr>
    </w:p>
    <w:p w14:paraId="38128F36" w14:textId="08E0FF16" w:rsidR="006B07CA" w:rsidRPr="00511005" w:rsidRDefault="007B2628" w:rsidP="007B2628">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3B0CECA0" w14:textId="77777777" w:rsidR="006B07CA" w:rsidRPr="00511005" w:rsidRDefault="006B07CA" w:rsidP="00BE3972">
      <w:pPr>
        <w:numPr>
          <w:ilvl w:val="0"/>
          <w:numId w:val="16"/>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Азаров Д. С. Упровадження категорії кримінального проступку: окремі концептуальні проблеми // Наукові записки НаУКМА. Юридичні науки. — 2013. — Т. 134. — С. 3–7. </w:t>
      </w:r>
      <w:hyperlink r:id="rId8" w:tgtFrame="_new" w:history="1">
        <w:r w:rsidRPr="00511005">
          <w:rPr>
            <w:rFonts w:ascii="Arial" w:eastAsia="Calibri" w:hAnsi="Arial" w:cs="Arial"/>
            <w:szCs w:val="28"/>
            <w:lang w:val="uk-UA"/>
          </w:rPr>
          <w:t>Доступно за посиланням</w:t>
        </w:r>
      </w:hyperlink>
    </w:p>
    <w:p w14:paraId="79DE8013" w14:textId="77777777" w:rsidR="006B07CA" w:rsidRPr="00511005" w:rsidRDefault="006B07CA" w:rsidP="00BE3972">
      <w:pPr>
        <w:numPr>
          <w:ilvl w:val="0"/>
          <w:numId w:val="16"/>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lastRenderedPageBreak/>
        <w:t xml:space="preserve">Алєксєєва-Даниленко Ю. В. Поняття кримінальних проступків та питання їх кваліфікації // Європейські перспективи. — 2020. — № 3. — С. 110–113. </w:t>
      </w:r>
      <w:hyperlink r:id="rId9" w:tgtFrame="_new" w:history="1">
        <w:r w:rsidRPr="00511005">
          <w:rPr>
            <w:rFonts w:ascii="Arial" w:eastAsia="Calibri" w:hAnsi="Arial" w:cs="Arial"/>
            <w:szCs w:val="28"/>
            <w:lang w:val="uk-UA"/>
          </w:rPr>
          <w:t>Доступно за посиланням</w:t>
        </w:r>
      </w:hyperlink>
    </w:p>
    <w:p w14:paraId="67E463D1" w14:textId="77777777" w:rsidR="006B07CA" w:rsidRPr="00511005" w:rsidRDefault="006B07CA" w:rsidP="00BE3972">
      <w:pPr>
        <w:numPr>
          <w:ilvl w:val="0"/>
          <w:numId w:val="16"/>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Макаренко А. С. Щодо правової природи кримінального проступку // Матеріали конференції ДДУВС. — 2014. — С. 250–253. </w:t>
      </w:r>
      <w:hyperlink r:id="rId10" w:tgtFrame="_new" w:history="1">
        <w:r w:rsidRPr="00511005">
          <w:rPr>
            <w:rFonts w:ascii="Arial" w:eastAsia="Calibri" w:hAnsi="Arial" w:cs="Arial"/>
            <w:szCs w:val="28"/>
            <w:lang w:val="uk-UA"/>
          </w:rPr>
          <w:t>Доступно за посиланням</w:t>
        </w:r>
      </w:hyperlink>
    </w:p>
    <w:p w14:paraId="3FD64023" w14:textId="77777777" w:rsidR="006B07CA" w:rsidRPr="00511005" w:rsidRDefault="006B07CA" w:rsidP="00BE3972">
      <w:pPr>
        <w:numPr>
          <w:ilvl w:val="0"/>
          <w:numId w:val="16"/>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Тимчишин А. В. Ознаки кримінального проступку як виду кримінального правопорушення // Матеріали конференції ДТЕУ. — 2022. — С. 233–236. </w:t>
      </w:r>
      <w:hyperlink r:id="rId11" w:tgtFrame="_new" w:history="1">
        <w:r w:rsidRPr="00511005">
          <w:rPr>
            <w:rFonts w:ascii="Arial" w:eastAsia="Calibri" w:hAnsi="Arial" w:cs="Arial"/>
            <w:szCs w:val="28"/>
            <w:lang w:val="uk-UA"/>
          </w:rPr>
          <w:t>Доступно за посиланням</w:t>
        </w:r>
      </w:hyperlink>
    </w:p>
    <w:p w14:paraId="1967582F" w14:textId="77777777" w:rsidR="006B07CA" w:rsidRPr="00511005" w:rsidRDefault="006B07CA" w:rsidP="00BE3972">
      <w:pPr>
        <w:numPr>
          <w:ilvl w:val="0"/>
          <w:numId w:val="16"/>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Шило І. В. Поняття та ознаки кримінального проступку // Інноваційні наукові дослідження: правовий, економічний та соціальний виміри. — 2023. — С. 250–253. </w:t>
      </w:r>
      <w:hyperlink r:id="rId12" w:tgtFrame="_new" w:history="1">
        <w:r w:rsidRPr="00511005">
          <w:rPr>
            <w:rFonts w:ascii="Arial" w:eastAsia="Calibri" w:hAnsi="Arial" w:cs="Arial"/>
            <w:szCs w:val="28"/>
            <w:lang w:val="uk-UA"/>
          </w:rPr>
          <w:t>Доступно за посиланням</w:t>
        </w:r>
      </w:hyperlink>
    </w:p>
    <w:p w14:paraId="2CAEB1E8" w14:textId="77777777" w:rsidR="006B07CA" w:rsidRPr="00511005" w:rsidRDefault="006B07CA" w:rsidP="00BE3972">
      <w:pPr>
        <w:numPr>
          <w:ilvl w:val="0"/>
          <w:numId w:val="16"/>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Красницький І. В., Яремко Г. З. Кримінальний проступок: нові виклики тлумачення поняття // Social and Legal Studios. — 2020. — Т. 3, № 4. — С. 49–56. </w:t>
      </w:r>
      <w:hyperlink r:id="rId13" w:tgtFrame="_new" w:history="1">
        <w:r w:rsidRPr="00511005">
          <w:rPr>
            <w:rFonts w:ascii="Arial" w:eastAsia="Calibri" w:hAnsi="Arial" w:cs="Arial"/>
            <w:szCs w:val="28"/>
            <w:lang w:val="uk-UA"/>
          </w:rPr>
          <w:t>Доступно за посиланням</w:t>
        </w:r>
      </w:hyperlink>
    </w:p>
    <w:p w14:paraId="44EBD8EA" w14:textId="77777777" w:rsidR="006B07CA" w:rsidRPr="00511005" w:rsidRDefault="006B07CA" w:rsidP="00BE3972">
      <w:pPr>
        <w:numPr>
          <w:ilvl w:val="0"/>
          <w:numId w:val="16"/>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Кримінальне правопорушення та його види // Навчальний посібник. — Київ: Право, 2019. — 120 с. </w:t>
      </w:r>
      <w:hyperlink r:id="rId14" w:tgtFrame="_new" w:history="1">
        <w:r w:rsidRPr="00511005">
          <w:rPr>
            <w:rFonts w:ascii="Arial" w:eastAsia="Calibri" w:hAnsi="Arial" w:cs="Arial"/>
            <w:szCs w:val="28"/>
            <w:lang w:val="uk-UA"/>
          </w:rPr>
          <w:t>Доступно за посиланням</w:t>
        </w:r>
      </w:hyperlink>
    </w:p>
    <w:p w14:paraId="26ED555D" w14:textId="77777777" w:rsidR="006B07CA" w:rsidRPr="00511005" w:rsidRDefault="006B07CA" w:rsidP="00BE3972">
      <w:pPr>
        <w:numPr>
          <w:ilvl w:val="0"/>
          <w:numId w:val="16"/>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Кримінальний кодекс України: Закон України від 5 квітня 2001 р. № 2341-III. </w:t>
      </w:r>
    </w:p>
    <w:p w14:paraId="79F087C8" w14:textId="77777777" w:rsidR="006B07CA" w:rsidRPr="00511005" w:rsidRDefault="006B07CA" w:rsidP="00BE3972">
      <w:pPr>
        <w:numPr>
          <w:ilvl w:val="0"/>
          <w:numId w:val="16"/>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Кримінальний процесуальний кодекс України: Закон України від 13 квітня 2012 р. № 4651-VI.</w:t>
      </w:r>
    </w:p>
    <w:p w14:paraId="1B95E9F0" w14:textId="77777777" w:rsidR="006B07CA" w:rsidRPr="00511005" w:rsidRDefault="006B07CA" w:rsidP="00BE3972">
      <w:pPr>
        <w:numPr>
          <w:ilvl w:val="0"/>
          <w:numId w:val="16"/>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Закон України «Про внесення змін до деяких законодавчих актів України щодо спрощення досудового розслідування окремих категорій кримінальних правопорушень» від 22 листопада 2018 р. № 2617-VIII. </w:t>
      </w:r>
    </w:p>
    <w:p w14:paraId="613C4D6A" w14:textId="77777777" w:rsidR="006B07CA" w:rsidRPr="00511005" w:rsidRDefault="006B07CA" w:rsidP="003A292D">
      <w:pPr>
        <w:spacing w:line="264" w:lineRule="auto"/>
        <w:ind w:firstLine="0"/>
        <w:rPr>
          <w:rFonts w:ascii="Arial" w:eastAsia="Calibri" w:hAnsi="Arial" w:cs="Arial"/>
          <w:szCs w:val="28"/>
          <w:lang w:val="uk-UA"/>
        </w:rPr>
      </w:pPr>
    </w:p>
    <w:p w14:paraId="6172C24F" w14:textId="2EA7BE99" w:rsidR="006B07CA"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6B07CA" w:rsidRPr="00511005">
        <w:rPr>
          <w:rFonts w:ascii="Arial" w:eastAsia="Calibri" w:hAnsi="Arial" w:cs="Arial"/>
          <w:szCs w:val="28"/>
          <w:lang w:val="uk-UA"/>
        </w:rPr>
        <w:t>кримінальний проступок, кримінальне правопорушення, злочин, адміністративне правопорушення, кримінальна відповідальність, досудове розслідування, суспільна небезпека, юридична класифікація, диференціація відповідальності, гуманізація кримінального права.</w:t>
      </w:r>
    </w:p>
    <w:p w14:paraId="0A9532A2" w14:textId="330D81C6" w:rsidR="006B07CA"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en-US"/>
        </w:rPr>
        <w:t xml:space="preserve">Key words: </w:t>
      </w:r>
      <w:r w:rsidR="006B07CA" w:rsidRPr="00511005">
        <w:rPr>
          <w:rFonts w:ascii="Arial" w:eastAsia="Calibri" w:hAnsi="Arial" w:cs="Arial"/>
          <w:szCs w:val="28"/>
          <w:lang w:val="en-US"/>
        </w:rPr>
        <w:t>criminal misdemeanor, criminal offense, crime, administrative offense, criminal liability, pre-trial investigation, social danger, legal classification, differentiation of liability, humanization of criminal law.</w:t>
      </w:r>
    </w:p>
    <w:p w14:paraId="18C433D7" w14:textId="1CCB6920" w:rsidR="006B07CA"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6B07CA" w:rsidRPr="00511005">
        <w:rPr>
          <w:rFonts w:ascii="Arial" w:eastAsia="Calibri" w:hAnsi="Arial" w:cs="Arial"/>
          <w:i/>
          <w:iCs/>
          <w:szCs w:val="28"/>
          <w:lang w:val="uk-UA"/>
        </w:rPr>
        <w:t>к. ю. н., доцент Ковбасюк С. В.</w:t>
      </w:r>
    </w:p>
    <w:p w14:paraId="3A05816B"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0042B633"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1A546B37" w14:textId="77777777" w:rsidR="006B07CA" w:rsidRPr="00511005" w:rsidRDefault="006B07CA" w:rsidP="003A292D">
      <w:pPr>
        <w:spacing w:line="264" w:lineRule="auto"/>
        <w:ind w:firstLine="0"/>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Бершадська Дар’я Олександрівна</w:t>
      </w:r>
    </w:p>
    <w:p w14:paraId="33A1E8A9" w14:textId="1AECC989" w:rsidR="006B07CA" w:rsidRPr="00511005" w:rsidRDefault="00BE3972"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1-го курсу </w:t>
      </w:r>
      <w:r w:rsidR="001B7B25" w:rsidRPr="00511005">
        <w:rPr>
          <w:rFonts w:ascii="Arial" w:eastAsia="Times New Roman" w:hAnsi="Arial" w:cs="Arial"/>
          <w:szCs w:val="28"/>
          <w:lang w:eastAsia="ru-RU"/>
        </w:rPr>
        <w:t>факультету судового та міжнародного права</w:t>
      </w:r>
    </w:p>
    <w:p w14:paraId="19221C53" w14:textId="77777777" w:rsidR="00BE3972" w:rsidRPr="00511005" w:rsidRDefault="00BE3972" w:rsidP="00BE3972">
      <w:pPr>
        <w:spacing w:line="264" w:lineRule="auto"/>
        <w:ind w:firstLine="0"/>
        <w:jc w:val="center"/>
        <w:rPr>
          <w:rFonts w:ascii="Arial" w:eastAsia="Times New Roman" w:hAnsi="Arial" w:cs="Arial"/>
          <w:iCs/>
          <w:szCs w:val="28"/>
          <w:lang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4C1163A4" w14:textId="77777777" w:rsidR="006B07CA" w:rsidRPr="00511005" w:rsidRDefault="006B07CA" w:rsidP="003A292D">
      <w:pPr>
        <w:spacing w:line="264" w:lineRule="auto"/>
        <w:ind w:firstLine="0"/>
        <w:jc w:val="center"/>
        <w:rPr>
          <w:rFonts w:ascii="Arial" w:eastAsia="Times New Roman" w:hAnsi="Arial" w:cs="Arial"/>
          <w:b/>
          <w:bCs/>
          <w:szCs w:val="28"/>
          <w:lang w:eastAsia="ru-RU"/>
        </w:rPr>
      </w:pPr>
    </w:p>
    <w:p w14:paraId="52286FE1" w14:textId="77777777" w:rsidR="006B07CA" w:rsidRPr="00511005" w:rsidRDefault="006B07CA" w:rsidP="003A292D">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eastAsia="ru-RU"/>
        </w:rPr>
        <w:t>НЕПРАВОВА ПРАКТИКА ПІД ВПЛИВОМ ВОЄННОГО СТАНУ</w:t>
      </w:r>
    </w:p>
    <w:p w14:paraId="7458FAC1"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Запровадження воєнного стану в Україні у відповідь на збройну агресію з боку Російської Федерації стало надзвичайно важливим кроком </w:t>
      </w:r>
      <w:r w:rsidRPr="00511005">
        <w:rPr>
          <w:rFonts w:ascii="Arial" w:eastAsia="Times New Roman" w:hAnsi="Arial" w:cs="Arial"/>
          <w:szCs w:val="28"/>
          <w:lang w:eastAsia="ru-RU"/>
        </w:rPr>
        <w:lastRenderedPageBreak/>
        <w:t>для забезпечення національної безпеки. Однак на тлі цих заходів виникають серйозні правові виклики, зокрема неправова юридична практика, коли дії органів влади та інших інституцій відбуваються поза межами закону, або внаслідок необхідності захисту національних інтересів порушуються основоположні принципи правової держави. У цьому контексті неправова практика може стосуватися не тільки відхилення від норм законодавства, але й використання таких правових інструментів і процедур, які прямо суперечать міжнародним стандартам прав людини та внутрішнім правовим нормам.</w:t>
      </w:r>
    </w:p>
    <w:p w14:paraId="1498AD29"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сучасному житті неправова практика може стосуватися абсолютно всіх сфер життя. Зокрема, Г. М. Чувакова наводить такі приклади цього явища, як здача житла в оренду без оформлення відповідних документів, тіньова економіка, тощо [</w:t>
      </w:r>
      <w:r w:rsidRPr="00511005">
        <w:rPr>
          <w:rFonts w:ascii="Arial" w:eastAsia="Times New Roman" w:hAnsi="Arial" w:cs="Arial"/>
          <w:szCs w:val="28"/>
          <w:lang w:val="uk-UA" w:eastAsia="ru-RU"/>
        </w:rPr>
        <w:t>4, с. 105</w:t>
      </w:r>
      <w:r w:rsidRPr="00511005">
        <w:rPr>
          <w:rFonts w:ascii="Arial" w:eastAsia="Times New Roman" w:hAnsi="Arial" w:cs="Arial"/>
          <w:szCs w:val="28"/>
          <w:lang w:eastAsia="ru-RU"/>
        </w:rPr>
        <w:t xml:space="preserve">]. </w:t>
      </w:r>
    </w:p>
    <w:p w14:paraId="4037B8DD"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Неправова юридична практика, що виникає в умовах воєнного стану, є особливо гострою проблемою в Україні, оскільки збройний конфлікт та надзвичайний стан ускладнюють функціонування правових інститутів і системи правосуддя. Рішення, що ухвалюються в екстремальних умовах, можуть не відповідати вимогам законності, і навіть тимчасові заходи, спрямовані на забезпечення безпеки та стабільності, часто призводять до порушення прав людини, неконституційних обмежень та зловживання владою.</w:t>
      </w:r>
    </w:p>
    <w:p w14:paraId="34BBCE41"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Правові порушення під час воєнного стану в Україні часто виникають через необхідність реагувати на швидко змінювану ситуацію в умовах війни. Першою і найбільш очевидною причиною є концентрація влади в руках виконавчих органів, зокрема через можливість застосування спеціальних повноважень, визначених статтею 106 Конституції України [1] та відповідними законами, такими як Закон України «Про правовий режим воєнного стану» [2, ст. </w:t>
      </w:r>
      <w:r w:rsidRPr="00511005">
        <w:rPr>
          <w:rFonts w:ascii="Arial" w:eastAsia="Times New Roman" w:hAnsi="Arial" w:cs="Arial"/>
          <w:szCs w:val="28"/>
          <w:lang w:val="uk-UA" w:eastAsia="ru-RU"/>
        </w:rPr>
        <w:t>8</w:t>
      </w:r>
      <w:r w:rsidRPr="00511005">
        <w:rPr>
          <w:rFonts w:ascii="Arial" w:eastAsia="Times New Roman" w:hAnsi="Arial" w:cs="Arial"/>
          <w:szCs w:val="28"/>
          <w:lang w:eastAsia="ru-RU"/>
        </w:rPr>
        <w:t>]. Воєнний стан дозволяє органам державної влади обмежувати певні права і свободи громадян, такі як свобода пересування, право на житло та інші. Однак не завжди такі обмеження відповідають вимогам правової визначеності та пропорційності, що є необхідними для забезпечення законності в умовах воєнного стану.</w:t>
      </w:r>
    </w:p>
    <w:p w14:paraId="23E45088"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Нормативні акти, що вводяться під час воєнного стану, зокрема щодо забезпечення оборони країни та підтримання правопорядку, часто створюють правові колізії, в яких органи влади можуть ухвалювати рішення, які суперечать як національному, так і міжнародному праву. Наприклад, в умовах воєнного стану часто відбуваються порушення прав людини, таких як незаконні затримання, обшуки без належних підстав, або застосування надмірної сили до мирних жителів, що суперечить принципам, закріпленим у статтях 29, 30 Конституції України та статтях 5,8 Європейської конвенції з прав людини [3].</w:t>
      </w:r>
    </w:p>
    <w:p w14:paraId="08F23EBC"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Неправова юридична практика в умовах воєнного стану в Україні може виявлятися в різних формах, які безпосередньо впливають на правовий порядок і громадянські права. Одним з найбільш явних проявів є незаконні обмеження прав і свобод громадян. Законодавство України, зокрема стаття 64 Конституції України, визначає, що права і свободи людини можуть бути обмежені лише в умовах воєнного або надзвичайного стану, але ці обмеження повинні бути необхідними, пропорційними та тимчасовими. Проте, на практиці, такі обмеження можуть стати постійними або без достатнього правового обґрунтування, що призводить до порушень основних прав людини. Враховуючи численні випадки обмежень свободи пересування, можливості вільно висловлювати думки та проводити мирні зібрання, можна говорити про системне порушення гарантованих Конституцією прав [1, ст. </w:t>
      </w:r>
      <w:r w:rsidRPr="00511005">
        <w:rPr>
          <w:rFonts w:ascii="Arial" w:eastAsia="Times New Roman" w:hAnsi="Arial" w:cs="Arial"/>
          <w:szCs w:val="28"/>
          <w:lang w:val="uk-UA" w:eastAsia="ru-RU"/>
        </w:rPr>
        <w:t>64</w:t>
      </w:r>
      <w:r w:rsidRPr="00511005">
        <w:rPr>
          <w:rFonts w:ascii="Arial" w:eastAsia="Times New Roman" w:hAnsi="Arial" w:cs="Arial"/>
          <w:szCs w:val="28"/>
          <w:lang w:eastAsia="ru-RU"/>
        </w:rPr>
        <w:t>].</w:t>
      </w:r>
    </w:p>
    <w:p w14:paraId="505D7728"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Іншим проявом неправової практики є зловживання владою, зокрема використання надзвичайних повноважень органами правопорядку, які можуть застосовувати сили і засоби без належного контролю, що підтверджується численними випадками насильства під час арештів та затримань. Проблеми виникають через недостатню прозорість і контроль за діяльністю правоохоронних органів під час воєнного стану, що призводить до можливості незаконних дій, наприклад, проведення обшуків без судового дозволу або затримань без належних підстав.</w:t>
      </w:r>
    </w:p>
    <w:p w14:paraId="2CB11099"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Також суттєвим аспектом є порушення процедур у правовому процесі. Під час воєнного стану судова система часто стикається з великими труднощами в забезпеченні доступу до правосуддя. В умовах конфлікту можуть бути введені обмеження на відвідування судів, затримки в розгляді справ через нестачу кадрів або інші організаційні труднощі. Водночас існують приклади, коли ухвалення судових рішень відбувається без належного дотримання правових процедур, що створює умови для порушень прав людини та несправедливих вироків.</w:t>
      </w:r>
    </w:p>
    <w:p w14:paraId="1FD699F9"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Неправова юридична практика в умовах воєнного стану має серйозні наслідки не лише для правової системи, але й для суспільства в цілому. Перш за все, це підриває довіру громадян до інститутів влади та правосуддя. Коли держава не дотримується основних правових норм і принципів, громадяни можуть почати сумніватися в ефективності та справедливості правової системи, що веде до втрати довіри до органів влади та навіть до протестних настроїв серед населення.</w:t>
      </w:r>
    </w:p>
    <w:p w14:paraId="06DD9783"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Також неправова практика в умовах воєнного стану створює серйозні міжнародні наслідки. Порушення прав людини, зокрема незаконні затримання, порушення права на справедливий суд та інші дії, суперечать міжнародним угодам, зокрема Конвенції про захист прав людини та інших міжнародних стандартів. Це може призвести до міжнародної критики, </w:t>
      </w:r>
      <w:r w:rsidRPr="00511005">
        <w:rPr>
          <w:rFonts w:ascii="Arial" w:eastAsia="Times New Roman" w:hAnsi="Arial" w:cs="Arial"/>
          <w:szCs w:val="28"/>
          <w:lang w:eastAsia="ru-RU"/>
        </w:rPr>
        <w:lastRenderedPageBreak/>
        <w:t>санкцій та навіть до ослаблення дипломатичних відносин з іншими державами та міжнародними організаціями.</w:t>
      </w:r>
    </w:p>
    <w:p w14:paraId="7E0A3CF3"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Для мінімізації неправової юридичної практики в Україні в умовах воєнного стану необхідно вжити цілий комплекс заходів. Перш за все, необхідно посилити механізми правового контролю за діяльністю органів влади та правоохоронних органів. Це можна досягти через створення незалежних органів моніторингу, які б здійснювали перевірку законності дій органів влади у період воєнного стану.</w:t>
      </w:r>
    </w:p>
    <w:p w14:paraId="69D1379A"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Важливим кроком є удосконалення законодавства, яке регулює правові наслідки введення воєнного стану. Законодавчі ініціативи повинні зберігати баланс між забезпеченням безпеки та дотриманням прав людини. У цьому контексті варто звернути увагу на необхідність створення чітких норм, які б визначали, в яких саме випадках і як можуть бути обмежені права громадян без порушення основоположних принципів правової держави.</w:t>
      </w:r>
    </w:p>
    <w:p w14:paraId="1A4EFC91"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Крім того, необхідно підвищувати правову свідомість суспільства в цілому, зокрема посадових осіб. Тільки за умови наявності чіткої правової культури, розуміння законності та етики можна забезпечити ефективну боротьбу з неправовою практикою під час воєнного стану.</w:t>
      </w:r>
    </w:p>
    <w:p w14:paraId="633C168C" w14:textId="1252B4B4"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Неправова юридична практика, що виникає під впливом воєнного стану, є однією з найсерйозніших загроз для правової системи України. У той час як воєнний стан вимагає швидких рішень для забезпечення безпеки, важливо, щоб ці рішення не порушували основні принципи правової держави. Запровадження належних механізмів контролю, удосконалення законодавства та підвищення правової свідомості є необхідними кроками для подолання неправової юридичної практики та забезпечення верховенства права в Україні, навіть в умовах воєнного стану.</w:t>
      </w:r>
    </w:p>
    <w:p w14:paraId="09EB14EB" w14:textId="77777777" w:rsidR="00BE3972" w:rsidRPr="00511005" w:rsidRDefault="00BE3972" w:rsidP="00BE3972">
      <w:pPr>
        <w:spacing w:line="264" w:lineRule="auto"/>
        <w:rPr>
          <w:rFonts w:ascii="Arial" w:eastAsia="Times New Roman" w:hAnsi="Arial" w:cs="Arial"/>
          <w:szCs w:val="28"/>
          <w:lang w:eastAsia="ru-RU"/>
        </w:rPr>
      </w:pPr>
    </w:p>
    <w:p w14:paraId="1339EAD4" w14:textId="23CDDD20" w:rsidR="006B07CA" w:rsidRPr="00511005" w:rsidRDefault="007B2628" w:rsidP="007B2628">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2FF2850F" w14:textId="77777777" w:rsidR="006B07CA" w:rsidRPr="00511005" w:rsidRDefault="006B07CA"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1. Конституція України від 28 червня 1996 р. Відомості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1996. № 30. Ст. 141.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15" w:anchor="Text"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show</w:t>
        </w:r>
        <w:r w:rsidRPr="00511005">
          <w:rPr>
            <w:rFonts w:ascii="Arial" w:eastAsia="Times New Roman" w:hAnsi="Arial" w:cs="Arial"/>
            <w:szCs w:val="28"/>
            <w:lang w:eastAsia="ru-RU"/>
          </w:rPr>
          <w:t>/254%</w:t>
        </w:r>
        <w:r w:rsidRPr="00511005">
          <w:rPr>
            <w:rFonts w:ascii="Arial" w:eastAsia="Times New Roman" w:hAnsi="Arial" w:cs="Arial"/>
            <w:szCs w:val="28"/>
            <w:lang w:val="en-US" w:eastAsia="ru-RU"/>
          </w:rPr>
          <w:t>D</w:t>
        </w:r>
        <w:r w:rsidRPr="00511005">
          <w:rPr>
            <w:rFonts w:ascii="Arial" w:eastAsia="Times New Roman" w:hAnsi="Arial" w:cs="Arial"/>
            <w:szCs w:val="28"/>
            <w:lang w:eastAsia="ru-RU"/>
          </w:rPr>
          <w:t>0%</w:t>
        </w:r>
        <w:r w:rsidRPr="00511005">
          <w:rPr>
            <w:rFonts w:ascii="Arial" w:eastAsia="Times New Roman" w:hAnsi="Arial" w:cs="Arial"/>
            <w:szCs w:val="28"/>
            <w:lang w:val="en-US" w:eastAsia="ru-RU"/>
          </w:rPr>
          <w:t>BA</w:t>
        </w:r>
        <w:r w:rsidRPr="00511005">
          <w:rPr>
            <w:rFonts w:ascii="Arial" w:eastAsia="Times New Roman" w:hAnsi="Arial" w:cs="Arial"/>
            <w:szCs w:val="28"/>
            <w:lang w:eastAsia="ru-RU"/>
          </w:rPr>
          <w:t>/96-%</w:t>
        </w:r>
        <w:r w:rsidRPr="00511005">
          <w:rPr>
            <w:rFonts w:ascii="Arial" w:eastAsia="Times New Roman" w:hAnsi="Arial" w:cs="Arial"/>
            <w:szCs w:val="28"/>
            <w:lang w:val="en-US" w:eastAsia="ru-RU"/>
          </w:rPr>
          <w:t>D</w:t>
        </w:r>
        <w:r w:rsidRPr="00511005">
          <w:rPr>
            <w:rFonts w:ascii="Arial" w:eastAsia="Times New Roman" w:hAnsi="Arial" w:cs="Arial"/>
            <w:szCs w:val="28"/>
            <w:lang w:eastAsia="ru-RU"/>
          </w:rPr>
          <w:t>0%</w:t>
        </w:r>
        <w:r w:rsidRPr="00511005">
          <w:rPr>
            <w:rFonts w:ascii="Arial" w:eastAsia="Times New Roman" w:hAnsi="Arial" w:cs="Arial"/>
            <w:szCs w:val="28"/>
            <w:lang w:val="en-US" w:eastAsia="ru-RU"/>
          </w:rPr>
          <w:t>B</w:t>
        </w:r>
        <w:r w:rsidRPr="00511005">
          <w:rPr>
            <w:rFonts w:ascii="Arial" w:eastAsia="Times New Roman" w:hAnsi="Arial" w:cs="Arial"/>
            <w:szCs w:val="28"/>
            <w:lang w:eastAsia="ru-RU"/>
          </w:rPr>
          <w:t>2%</w:t>
        </w:r>
        <w:r w:rsidRPr="00511005">
          <w:rPr>
            <w:rFonts w:ascii="Arial" w:eastAsia="Times New Roman" w:hAnsi="Arial" w:cs="Arial"/>
            <w:szCs w:val="28"/>
            <w:lang w:val="en-US" w:eastAsia="ru-RU"/>
          </w:rPr>
          <w:t>D</w:t>
        </w:r>
        <w:r w:rsidRPr="00511005">
          <w:rPr>
            <w:rFonts w:ascii="Arial" w:eastAsia="Times New Roman" w:hAnsi="Arial" w:cs="Arial"/>
            <w:szCs w:val="28"/>
            <w:lang w:eastAsia="ru-RU"/>
          </w:rPr>
          <w:t>1%80#</w:t>
        </w:r>
        <w:r w:rsidRPr="00511005">
          <w:rPr>
            <w:rFonts w:ascii="Arial" w:eastAsia="Times New Roman" w:hAnsi="Arial" w:cs="Arial"/>
            <w:szCs w:val="28"/>
            <w:lang w:val="en-US" w:eastAsia="ru-RU"/>
          </w:rPr>
          <w:t>Text</w:t>
        </w:r>
      </w:hyperlink>
      <w:r w:rsidRPr="00511005">
        <w:rPr>
          <w:rFonts w:ascii="Arial" w:eastAsia="Times New Roman" w:hAnsi="Arial" w:cs="Arial"/>
          <w:szCs w:val="28"/>
          <w:lang w:eastAsia="ru-RU"/>
        </w:rPr>
        <w:t xml:space="preserve"> </w:t>
      </w:r>
    </w:p>
    <w:p w14:paraId="05E75337" w14:textId="77777777" w:rsidR="006B07CA" w:rsidRPr="00511005" w:rsidRDefault="006B07CA"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2. Про правовий режим воєнного </w:t>
      </w:r>
      <w:proofErr w:type="gramStart"/>
      <w:r w:rsidRPr="00511005">
        <w:rPr>
          <w:rFonts w:ascii="Arial" w:eastAsia="Times New Roman" w:hAnsi="Arial" w:cs="Arial"/>
          <w:szCs w:val="28"/>
          <w:lang w:eastAsia="ru-RU"/>
        </w:rPr>
        <w:t>стану :</w:t>
      </w:r>
      <w:proofErr w:type="gramEnd"/>
      <w:r w:rsidRPr="00511005">
        <w:rPr>
          <w:rFonts w:ascii="Arial" w:eastAsia="Times New Roman" w:hAnsi="Arial" w:cs="Arial"/>
          <w:szCs w:val="28"/>
          <w:lang w:eastAsia="ru-RU"/>
        </w:rPr>
        <w:t xml:space="preserve"> Закон України. Відомості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2015. № 28. Ст. 250.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16" w:anchor="Text"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show</w:t>
        </w:r>
        <w:r w:rsidRPr="00511005">
          <w:rPr>
            <w:rFonts w:ascii="Arial" w:eastAsia="Times New Roman" w:hAnsi="Arial" w:cs="Arial"/>
            <w:szCs w:val="28"/>
            <w:lang w:eastAsia="ru-RU"/>
          </w:rPr>
          <w:t>/389-19#</w:t>
        </w:r>
        <w:r w:rsidRPr="00511005">
          <w:rPr>
            <w:rFonts w:ascii="Arial" w:eastAsia="Times New Roman" w:hAnsi="Arial" w:cs="Arial"/>
            <w:szCs w:val="28"/>
            <w:lang w:val="en-US" w:eastAsia="ru-RU"/>
          </w:rPr>
          <w:t>Text</w:t>
        </w:r>
      </w:hyperlink>
      <w:r w:rsidRPr="00511005">
        <w:rPr>
          <w:rFonts w:ascii="Arial" w:eastAsia="Times New Roman" w:hAnsi="Arial" w:cs="Arial"/>
          <w:szCs w:val="28"/>
          <w:lang w:eastAsia="ru-RU"/>
        </w:rPr>
        <w:t xml:space="preserve"> </w:t>
      </w:r>
    </w:p>
    <w:p w14:paraId="16701264" w14:textId="77777777" w:rsidR="006B07CA" w:rsidRPr="00511005" w:rsidRDefault="006B07CA" w:rsidP="003A292D">
      <w:pPr>
        <w:shd w:val="clear" w:color="auto" w:fill="FFFFFF"/>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3. Конвенція про захист прав людини і основоположних свобод (Європейська конвенція прав людини: Закон України від 17 липня 1997 року No 475</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URL: </w:t>
      </w:r>
      <w:hyperlink r:id="rId17" w:anchor="Text/" w:history="1">
        <w:r w:rsidRPr="00511005">
          <w:rPr>
            <w:rFonts w:ascii="Arial" w:eastAsia="Times New Roman" w:hAnsi="Arial" w:cs="Arial"/>
            <w:szCs w:val="28"/>
            <w:lang w:eastAsia="ru-RU"/>
          </w:rPr>
          <w:t>https://zakon.rada.gov.ua/laws/show/995_004#Text/</w:t>
        </w:r>
      </w:hyperlink>
    </w:p>
    <w:p w14:paraId="647E3CA6" w14:textId="77777777" w:rsidR="006B07CA" w:rsidRPr="00511005" w:rsidRDefault="006B07CA"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4. Чувакова Г. М. Неправова практика як сфера правових аномалій. Правові та інституційні механізми забезпечення розвитку України в умовах європейської інтеграції: матеріали Міжнародної науковопрактичної конференції (м. Одеса, 18 травня 2018 р.) </w:t>
      </w:r>
      <w:r w:rsidRPr="00511005">
        <w:rPr>
          <w:rFonts w:ascii="Arial" w:eastAsia="Times New Roman" w:hAnsi="Arial" w:cs="Arial"/>
          <w:szCs w:val="28"/>
          <w:lang w:eastAsia="ru-RU"/>
        </w:rPr>
        <w:t>У 2-х т. Т. 1 / відп. ред. Г.О. Ульянова. Одеса: Видавничий дім «Гельветика», 2018.</w:t>
      </w:r>
      <w:r w:rsidRPr="00511005">
        <w:rPr>
          <w:rFonts w:ascii="Arial" w:eastAsia="Times New Roman" w:hAnsi="Arial" w:cs="Arial"/>
          <w:szCs w:val="28"/>
          <w:lang w:val="uk-UA" w:eastAsia="ru-RU"/>
        </w:rPr>
        <w:t xml:space="preserve"> С. 105-106 </w:t>
      </w:r>
    </w:p>
    <w:p w14:paraId="59E9A098" w14:textId="77777777" w:rsidR="006B07CA" w:rsidRPr="00511005" w:rsidRDefault="006B07CA" w:rsidP="003A292D">
      <w:pPr>
        <w:shd w:val="clear" w:color="auto" w:fill="FFFFFF"/>
        <w:spacing w:line="264" w:lineRule="auto"/>
        <w:ind w:firstLine="0"/>
        <w:rPr>
          <w:rFonts w:ascii="Arial" w:eastAsia="Times New Roman" w:hAnsi="Arial" w:cs="Arial"/>
          <w:szCs w:val="28"/>
          <w:lang w:eastAsia="ru-RU"/>
        </w:rPr>
      </w:pPr>
    </w:p>
    <w:p w14:paraId="72C2BD75" w14:textId="7D452C15" w:rsidR="006B07CA" w:rsidRPr="00511005" w:rsidRDefault="007B2628" w:rsidP="003A292D">
      <w:pPr>
        <w:shd w:val="clear" w:color="auto" w:fill="FFFFFF"/>
        <w:spacing w:line="264" w:lineRule="auto"/>
        <w:ind w:firstLine="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6B07CA" w:rsidRPr="00511005">
        <w:rPr>
          <w:rFonts w:ascii="Arial" w:eastAsia="Times New Roman" w:hAnsi="Arial" w:cs="Arial"/>
          <w:szCs w:val="28"/>
          <w:lang w:eastAsia="ru-RU"/>
        </w:rPr>
        <w:t>воєнний стан, неправова практика, права людини, Конституція України, правова держава, обмеження свобод, зловживання владою, міжнародне право, судова система, контроль законності.</w:t>
      </w:r>
    </w:p>
    <w:p w14:paraId="33EB3454" w14:textId="577ABB96" w:rsidR="006B07CA" w:rsidRPr="00511005" w:rsidRDefault="007B2628" w:rsidP="003A292D">
      <w:pPr>
        <w:shd w:val="clear" w:color="auto" w:fill="FFFFFF"/>
        <w:spacing w:line="264" w:lineRule="auto"/>
        <w:ind w:firstLine="0"/>
        <w:rPr>
          <w:rFonts w:ascii="Arial" w:eastAsia="Times New Roman" w:hAnsi="Arial" w:cs="Arial"/>
          <w:b/>
          <w:bCs/>
          <w:szCs w:val="28"/>
          <w:lang w:val="en-US" w:eastAsia="ru-RU"/>
        </w:rPr>
      </w:pPr>
      <w:r w:rsidRPr="00511005">
        <w:rPr>
          <w:rFonts w:ascii="Arial" w:eastAsia="Times New Roman" w:hAnsi="Arial" w:cs="Arial"/>
          <w:b/>
          <w:bCs/>
          <w:i/>
          <w:szCs w:val="28"/>
          <w:lang w:val="en-US" w:eastAsia="ru-RU"/>
        </w:rPr>
        <w:t xml:space="preserve">Key words: </w:t>
      </w:r>
      <w:r w:rsidR="006B07CA" w:rsidRPr="00511005">
        <w:rPr>
          <w:rFonts w:ascii="Arial" w:eastAsia="Times New Roman" w:hAnsi="Arial" w:cs="Arial"/>
          <w:szCs w:val="28"/>
          <w:lang w:val="en-US" w:eastAsia="ru-RU"/>
        </w:rPr>
        <w:t>martial law, illegal practice, human rights, Constitution of Ukraine, rule of law, restriction of freedoms, abuse of power, international law, judicial system, control of legality.</w:t>
      </w:r>
    </w:p>
    <w:p w14:paraId="61435A0C" w14:textId="1A8E1F57" w:rsidR="006B07CA" w:rsidRPr="00511005" w:rsidRDefault="007B2628" w:rsidP="003A292D">
      <w:pPr>
        <w:shd w:val="clear" w:color="auto" w:fill="FFFFFF"/>
        <w:spacing w:line="264" w:lineRule="auto"/>
        <w:ind w:firstLine="0"/>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006B07CA" w:rsidRPr="00511005">
        <w:rPr>
          <w:rFonts w:ascii="Arial" w:eastAsia="Times New Roman" w:hAnsi="Arial" w:cs="Arial"/>
          <w:i/>
          <w:iCs/>
          <w:szCs w:val="28"/>
          <w:lang w:eastAsia="ru-RU"/>
        </w:rPr>
        <w:t>к.ю.н., доцент Чувакова Г. М.</w:t>
      </w:r>
    </w:p>
    <w:p w14:paraId="6FE26EE6" w14:textId="77777777" w:rsidR="006B07CA" w:rsidRPr="00511005" w:rsidRDefault="006B07CA" w:rsidP="003A292D">
      <w:pPr>
        <w:shd w:val="clear" w:color="auto" w:fill="FFFFFF"/>
        <w:spacing w:line="264" w:lineRule="auto"/>
        <w:ind w:firstLine="0"/>
        <w:rPr>
          <w:rFonts w:ascii="Arial" w:eastAsia="Times New Roman" w:hAnsi="Arial" w:cs="Arial"/>
          <w:i/>
          <w:iCs/>
          <w:szCs w:val="28"/>
          <w:lang w:val="uk-UA" w:eastAsia="ru-RU"/>
        </w:rPr>
      </w:pPr>
    </w:p>
    <w:p w14:paraId="5CC56703" w14:textId="77777777" w:rsidR="006B07CA" w:rsidRPr="00511005" w:rsidRDefault="006B07CA" w:rsidP="003A292D">
      <w:pPr>
        <w:shd w:val="clear" w:color="auto" w:fill="FFFFFF"/>
        <w:spacing w:line="264" w:lineRule="auto"/>
        <w:ind w:firstLine="0"/>
        <w:rPr>
          <w:rFonts w:ascii="Arial" w:eastAsia="Times New Roman" w:hAnsi="Arial" w:cs="Arial"/>
          <w:i/>
          <w:iCs/>
          <w:szCs w:val="28"/>
          <w:lang w:val="uk-UA" w:eastAsia="ru-RU"/>
        </w:rPr>
      </w:pPr>
    </w:p>
    <w:p w14:paraId="1C0DC8DD" w14:textId="77777777" w:rsidR="006B07CA" w:rsidRPr="00511005" w:rsidRDefault="006B07CA" w:rsidP="003A292D">
      <w:pPr>
        <w:spacing w:line="264" w:lineRule="auto"/>
        <w:ind w:firstLine="0"/>
        <w:jc w:val="center"/>
        <w:rPr>
          <w:rFonts w:ascii="Arial" w:eastAsia="Times New Roman" w:hAnsi="Arial" w:cs="Arial"/>
          <w:b/>
          <w:bCs/>
          <w:i/>
          <w:szCs w:val="28"/>
          <w:lang w:val="uk-UA" w:eastAsia="ru-RU"/>
        </w:rPr>
      </w:pPr>
      <w:r w:rsidRPr="00511005">
        <w:rPr>
          <w:rFonts w:ascii="Arial" w:eastAsia="Times New Roman" w:hAnsi="Arial" w:cs="Arial"/>
          <w:b/>
          <w:bCs/>
          <w:i/>
          <w:szCs w:val="28"/>
          <w:lang w:val="uk-UA" w:eastAsia="ru-RU"/>
        </w:rPr>
        <w:t>Бичков Богдан Вікторович</w:t>
      </w:r>
    </w:p>
    <w:p w14:paraId="57DF99E7" w14:textId="72CC57C5" w:rsidR="006B07CA" w:rsidRPr="00511005" w:rsidRDefault="00BE3972"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 1-го курсу </w:t>
      </w:r>
      <w:r w:rsidR="00536AAB" w:rsidRPr="00511005">
        <w:rPr>
          <w:rFonts w:ascii="Arial" w:eastAsia="Times New Roman" w:hAnsi="Arial" w:cs="Arial"/>
          <w:szCs w:val="28"/>
          <w:lang w:val="uk-UA" w:eastAsia="ru-RU"/>
        </w:rPr>
        <w:t>факультету адвокатури та антикорупційної діяльності</w:t>
      </w:r>
    </w:p>
    <w:p w14:paraId="38202808" w14:textId="6EB3ACEA" w:rsidR="006B07CA"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44AC9113" w14:textId="77777777" w:rsidR="006B07CA" w:rsidRPr="00511005" w:rsidRDefault="006B07CA" w:rsidP="003A292D">
      <w:pPr>
        <w:spacing w:line="264" w:lineRule="auto"/>
        <w:ind w:firstLine="0"/>
        <w:jc w:val="center"/>
        <w:rPr>
          <w:rFonts w:ascii="Arial" w:eastAsia="Times New Roman" w:hAnsi="Arial" w:cs="Arial"/>
          <w:szCs w:val="28"/>
          <w:lang w:val="uk-UA" w:eastAsia="ru-RU"/>
        </w:rPr>
      </w:pPr>
    </w:p>
    <w:p w14:paraId="2B465B66" w14:textId="5233DEE8" w:rsidR="006B07CA" w:rsidRPr="00511005" w:rsidRDefault="006B07CA"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 xml:space="preserve">ФУНКЦІЇ ДЕРЖАВИ В ІНФОРМАЦІЙНОМУ СУСПІЛЬСТВІ: </w:t>
      </w:r>
      <w:r w:rsidR="00BE3972" w:rsidRPr="00511005">
        <w:rPr>
          <w:rFonts w:ascii="Arial" w:eastAsia="Times New Roman" w:hAnsi="Arial" w:cs="Arial"/>
          <w:b/>
          <w:szCs w:val="28"/>
          <w:lang w:val="uk-UA" w:eastAsia="ru-RU"/>
        </w:rPr>
        <w:br/>
      </w:r>
      <w:r w:rsidRPr="00511005">
        <w:rPr>
          <w:rFonts w:ascii="Arial" w:eastAsia="Times New Roman" w:hAnsi="Arial" w:cs="Arial"/>
          <w:b/>
          <w:szCs w:val="28"/>
          <w:lang w:val="uk-UA" w:eastAsia="ru-RU"/>
        </w:rPr>
        <w:t xml:space="preserve">НОВІ ЗАВДАННЯ ТА ІНСТРУМЕНТИ </w:t>
      </w:r>
    </w:p>
    <w:p w14:paraId="452D1532"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Сучасні інформаційні та телекомунікаційні технології суттєво трансформують не лише способи створення продуктів і послуг, а й те, як суспільство відпочиває, реалізує свої громадянські права. Вони відіграють ключову роль у змінах, що відбуваються в соціальній структурі суспільства, економіці, розвитку інститутів демократії та інших сферах. Каталізатором та координатором поступового формування інформаційного суспільства виступає системна державна політика, що зумовлює необхідність дослідження ролі та функцій держави в цьому явищі.</w:t>
      </w:r>
    </w:p>
    <w:p w14:paraId="6D930165"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Інформаційне суспільство - це спільнота, де всі засоби інформаційних технологій, зокрема комп’ютери, інтегровані системи, кабельний, супутниковий та інші види зв’язку, відеопристрої, програмне забезпечення, наукові дослідження, спрямовані на забезпечення загального доступу до інформації, активно впроваджуються у виробничу сферу та повсякденне життя. Шлях України до інформаційного суспільства пролягає крізь стабілізацію взаємовідносин, форм та прав на власність в інформаційній галузі. Це шлях через розбудову регуляторних механізмів, які гарантують захист інвесторів, виробників та споживачів інформаційних продуктів і послуг, водночас зміцнюючи позиції української державності.</w:t>
      </w:r>
    </w:p>
    <w:p w14:paraId="3BA95E8D"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Держава відіграє ключову роль у розбудові інформаційного суспільства, координуючи зусилля різних учасників суспільного життя під час його формування, тим самим виконуючи свої функції: забезпечення безпеки, правопорядку, соціального захисту, тощо. Вона сприяє інтеграції людей в нове інформаційно-технологічне середовище, розвитку інформаційної індустрії, зміцненню демократичних засад та захисту прав людини в умовах інформаційного суспільства. Найбільш ефективною є інформаційна взаємодія між державою, суспільством та особистістю, що </w:t>
      </w:r>
      <w:r w:rsidRPr="00511005">
        <w:rPr>
          <w:rFonts w:ascii="Arial" w:eastAsia="Times New Roman" w:hAnsi="Arial" w:cs="Arial"/>
          <w:szCs w:val="28"/>
          <w:lang w:val="uk-UA" w:eastAsia="ru-RU"/>
        </w:rPr>
        <w:lastRenderedPageBreak/>
        <w:t xml:space="preserve">використовує інформаційні та телекомунікаційні технології для підвищення ефективності державного управління, створення інформаційно відкритого суспільства та розвитку демократичних інституцій. </w:t>
      </w:r>
    </w:p>
    <w:p w14:paraId="6B9D1F90"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Інформаційний взаємозв’язок суспільства та держави, як окрема складова державного механізму в контексті інформаційного суспільства, своєю чергою, спонукає до інтеграції ще одного компоненту у державний механізм: залучення громадян до управління державою як ключового результату цього інформаційного обміну. Отже, інформаційне суспільство обумовлює підвищення гнучкості державного механізму, що веде до зростання швидкості його реакції на потреби суспільства [1, с. 110]. Через це перед державою стоять нові завдання: управління інформаційною інфраструктурою, регулювання інформаційного простору, а також забезпечення саме інформаційного суверенітету. </w:t>
      </w:r>
    </w:p>
    <w:p w14:paraId="05D0B713"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Тому у даному контексті варто розглядати державні функції як специфічні канали взаємодії між державою та соціумом, що формуються внаслідок раціоналізації їх нормативних і інституційних основ, що приводить до їхнього становлення як дискурсів – усталених та довготривалих форм спілкування між людьми, що покликані вирішувати суспільно значущі завдання. Це пов’язано з тим, що в інформаційному суспільстві майже жодна функція сучасної держави не є можливою без участі зовнішнього чинника. Розвиток глобального управління радикально змінює функціональні характеристики сучасної держави. </w:t>
      </w:r>
    </w:p>
    <w:p w14:paraId="330C0CC6"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Синергетична взаємодія та взаємозалежність економічних, правових, соціальних, культурних та технічних складових у процесі формування інформаційного суспільства знаходять вираження у суспільній сфері, у дерегуляції правил функціонування інформаційного та телекомунікаційного секторів, у технологічному та організаційному злиттях, у визначенні нових вимог до кадрів та організації праці, у перетвореннях в інформаційному законодавстві, збільшенні значення державного менеджменту та міжнародної співпраці. Новим інструментом є розвиток комунікаційних технологій. Через це в держави є нове завдання, яке полягає у тому, що «вона зобов’язана повідомляти громадян про свої справи, задля того, аби вони, своєю чергою, визнавали ці дії, чи, інакше кажучи, узаконювали політичну владу» [2, с. 6]. </w:t>
      </w:r>
    </w:p>
    <w:p w14:paraId="7052DC99"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Кожна державна функція на етапі сьогодення реалізується паралельно у двох вимірах: правовому та організаційному. Тобто реалізація функції підтримки правопорядку передбачає прийняття відповідних законів (правотворча форма діяльності), забезпечення їхнього дотримання (правозастосовча форма), а також притягнення до відповідальності порушників (правоохоронна форма). Водночас, для прикладу, процес ухвалення закону вимагає певної організаційної підготовки (підготовка проєкту, скликання парламентських засідань, робота лічильних комісій під </w:t>
      </w:r>
      <w:r w:rsidRPr="00511005">
        <w:rPr>
          <w:rFonts w:ascii="Arial" w:eastAsia="Times New Roman" w:hAnsi="Arial" w:cs="Arial"/>
          <w:szCs w:val="28"/>
          <w:lang w:val="uk-UA" w:eastAsia="ru-RU"/>
        </w:rPr>
        <w:lastRenderedPageBreak/>
        <w:t xml:space="preserve">час голосування тощо), що демонструє організаційні форми діяльності держави. «Обравши шлях до європейської інтеграції, Україна повинна взяти за зразок стратегію розвитку держав-членів Європейського Союзу у всіх галузях суспільного життя, включаючи інформаційну сферу. Відтак, втілення стратегії розбудови інформаційного суспільства Європейського Союзу відбивається у відповідних спільних документах України та Європейського Союзу» [3, с. 18]. </w:t>
      </w:r>
    </w:p>
    <w:p w14:paraId="35E5BD2A"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Вважаємо, що в контексті нових завдань варто зазначити про соціально-правову комунікацію між державою та суспільством. Вона базується на ключових засадах. Ці засади є фундаментом для гарантування якості й результативності правотворчості, ефективного виконання управлінських функцій, інформування суспільства з правових питань, взаємодії влади та громадян, забезпечення відкритості та доступу до даних, реалізації прав і законних інтересів населення, підтримки правопорядку й інформаційної безпеки [4, с. 244]. Саме з огляду на це держава може ефективно виконувати свої функції, пристосувавшись до нових реалій. В даному контексті слід зазначити, що інформаційна функція держави виникає з потреби задоволення інформаційних потреб та інтересів, що проявляються у процесі формування інформаційного суспільства. Ця функція репрезентує собою діяльність держави в інформаційній сфері, яка єдина за своєю природою, але змінна у різних умовах.</w:t>
      </w:r>
    </w:p>
    <w:p w14:paraId="4996B72B"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юридичним фундаментом інформаційного суспільства є закони та нормативні акти, які регулюють права людини на доступ до інформаційних ресурсів, технологій, телекомунікацій, захист інтелектуальної власності, приватність особистого життя, свободу слова, інформаційну безпеку. Інформаційна безпека суспільства та особистості набуває нового значення, трансформуючись з технічної у соціальну проблему, від розв’язання якої залежить стабільне функціонування сучасних спільнот. У даному контексті варто зазначити про Розпорядження Кабінету Міністрів України «Про схвалення Стратегії розвитку інформаційного суспільства в Україні», у якій вказується про те, що «національний інформаційний простір перебуває в активному процесі формування, інтегруючись в глобальний інформаційний світ, слугуючи наріжним каменем розбудови інформаційного суспільства в Україні» [5].</w:t>
      </w:r>
    </w:p>
    <w:p w14:paraId="35FDCE54"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Також, на наше переконання, державі слід зосередити зусилля на розвитку інформаційного суспільства в Україні та підтримці підприємництва в інформаційній сфері, зокрема компаній, які виробляють високотехнологічні та науковомісткі продукти, використовуючи інформаційно-комунікаційні технології. Це має стати основою для модернізації українського суспільства. В сучасних умовах стратегічну вагу має зважена інформаційна стратегія країни, яка визначає пріоритетним завданням гарантування інформаційної </w:t>
      </w:r>
      <w:r w:rsidRPr="00511005">
        <w:rPr>
          <w:rFonts w:ascii="Arial" w:eastAsia="Times New Roman" w:hAnsi="Arial" w:cs="Arial"/>
          <w:szCs w:val="28"/>
          <w:lang w:val="uk-UA" w:eastAsia="ru-RU"/>
        </w:rPr>
        <w:lastRenderedPageBreak/>
        <w:t>безпеки, а прагнення до побудови правової держави надає перевагу юридичним механізмам та методам їх впровадження.</w:t>
      </w:r>
    </w:p>
    <w:p w14:paraId="64E140F5" w14:textId="77777777" w:rsidR="006B07CA" w:rsidRPr="00511005" w:rsidRDefault="006B07CA" w:rsidP="00BE3972">
      <w:pPr>
        <w:spacing w:line="264" w:lineRule="auto"/>
        <w:rPr>
          <w:rFonts w:ascii="Arial" w:eastAsia="Times New Roman" w:hAnsi="Arial" w:cs="Arial"/>
          <w:b/>
          <w:szCs w:val="28"/>
          <w:lang w:val="uk-UA" w:eastAsia="ru-RU"/>
        </w:rPr>
      </w:pPr>
      <w:r w:rsidRPr="00511005">
        <w:rPr>
          <w:rFonts w:ascii="Arial" w:eastAsia="Times New Roman" w:hAnsi="Arial" w:cs="Arial"/>
          <w:szCs w:val="28"/>
          <w:lang w:val="uk-UA" w:eastAsia="ru-RU"/>
        </w:rPr>
        <w:t xml:space="preserve">Отже, нові завдання для держави включають активнішу взаємодію між державою та громадянами, що вимагає переосмислення функцій держави. Особливо важливою є функція забезпечення безпеки, зокрема інформаційної, яка є актуальною в умовах сучасності. Тому важливо сприяти ухваленню рішень щодо розробки та затвердження нормативно-правових актів, що стосуються формування інформаційного суспільства. Ці документи мають охоплювати всі сфери інформаційного простору, включно з регулюванням процесів обробки, розповсюдження та використання інформації. </w:t>
      </w:r>
    </w:p>
    <w:p w14:paraId="3085EC0B" w14:textId="77777777" w:rsidR="006B07CA" w:rsidRPr="00511005" w:rsidRDefault="006B07CA" w:rsidP="003A292D">
      <w:pPr>
        <w:spacing w:line="264" w:lineRule="auto"/>
        <w:ind w:firstLine="0"/>
        <w:jc w:val="left"/>
        <w:rPr>
          <w:rFonts w:ascii="Arial" w:eastAsia="Times New Roman" w:hAnsi="Arial" w:cs="Arial"/>
          <w:b/>
          <w:szCs w:val="28"/>
          <w:lang w:val="uk-UA" w:eastAsia="ru-RU"/>
        </w:rPr>
      </w:pPr>
    </w:p>
    <w:p w14:paraId="1CBD3133" w14:textId="05E335AE" w:rsidR="006B07CA"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211524C8" w14:textId="77777777" w:rsidR="006B07CA" w:rsidRPr="00511005" w:rsidRDefault="006B07CA" w:rsidP="00BE3972">
      <w:pPr>
        <w:numPr>
          <w:ilvl w:val="0"/>
          <w:numId w:val="1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Каніщев Г. Ю. Механізм держави в інформаційному суспільстві. In The 11th International scientific and practical conference «Integration of science as a mechanism of effective development» (November 28-December 01, 2023) Helsinki, Finland. International Science Group. 2023. С. 108-113.</w:t>
      </w:r>
    </w:p>
    <w:p w14:paraId="4330C96C" w14:textId="77777777" w:rsidR="006B07CA" w:rsidRPr="00511005" w:rsidRDefault="006B07CA" w:rsidP="00BE3972">
      <w:pPr>
        <w:numPr>
          <w:ilvl w:val="0"/>
          <w:numId w:val="1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Пархоменко Н. М. Сутнісні характеристики комунікативних практик в аспекті реалізації інформаційної функції держави. </w:t>
      </w:r>
      <w:r w:rsidRPr="00511005">
        <w:rPr>
          <w:rFonts w:ascii="Arial" w:eastAsia="Calibri" w:hAnsi="Arial" w:cs="Arial"/>
          <w:i/>
          <w:szCs w:val="28"/>
          <w:lang w:val="uk-UA"/>
        </w:rPr>
        <w:t>Науковий вісник Міжнародного гуманітарного університету. Сер.: Юриспруденція.</w:t>
      </w:r>
      <w:r w:rsidRPr="00511005">
        <w:rPr>
          <w:rFonts w:ascii="Arial" w:eastAsia="Calibri" w:hAnsi="Arial" w:cs="Arial"/>
          <w:szCs w:val="28"/>
          <w:lang w:val="uk-UA"/>
        </w:rPr>
        <w:t xml:space="preserve"> 2021. №53. С. 4-7.</w:t>
      </w:r>
    </w:p>
    <w:p w14:paraId="41AC19FD" w14:textId="77777777" w:rsidR="006B07CA" w:rsidRPr="00511005" w:rsidRDefault="006B07CA" w:rsidP="00BE3972">
      <w:pPr>
        <w:numPr>
          <w:ilvl w:val="0"/>
          <w:numId w:val="1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Політанський В. С. Інформаційне суспільство в Україні: від зародження до сьогодення. </w:t>
      </w:r>
      <w:r w:rsidRPr="00511005">
        <w:rPr>
          <w:rFonts w:ascii="Arial" w:eastAsia="Calibri" w:hAnsi="Arial" w:cs="Arial"/>
          <w:i/>
          <w:szCs w:val="28"/>
          <w:lang w:val="uk-UA"/>
        </w:rPr>
        <w:t>Науковий вісник Ужгородського національного університету.</w:t>
      </w:r>
      <w:r w:rsidRPr="00511005">
        <w:rPr>
          <w:rFonts w:ascii="Arial" w:eastAsia="Calibri" w:hAnsi="Arial" w:cs="Arial"/>
          <w:szCs w:val="28"/>
          <w:lang w:val="uk-UA"/>
        </w:rPr>
        <w:t xml:space="preserve"> 2017. №42. С. 16-22.</w:t>
      </w:r>
    </w:p>
    <w:p w14:paraId="026DCC04" w14:textId="5677DE24" w:rsidR="006B07CA" w:rsidRPr="00511005" w:rsidRDefault="006B07CA" w:rsidP="00BE3972">
      <w:pPr>
        <w:numPr>
          <w:ilvl w:val="0"/>
          <w:numId w:val="1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Кметик-Подубінська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Х. І. Соціально-правова комунікація в сучасному інформаційному суспільстві. </w:t>
      </w:r>
      <w:r w:rsidRPr="00511005">
        <w:rPr>
          <w:rFonts w:ascii="Arial" w:eastAsia="Calibri" w:hAnsi="Arial" w:cs="Arial"/>
          <w:i/>
          <w:szCs w:val="28"/>
          <w:lang w:val="uk-UA"/>
        </w:rPr>
        <w:t xml:space="preserve">Альманах права. Трансформація законодавства України в сучас них умовах. </w:t>
      </w:r>
      <w:r w:rsidRPr="00511005">
        <w:rPr>
          <w:rFonts w:ascii="Arial" w:eastAsia="Calibri" w:hAnsi="Arial" w:cs="Arial"/>
          <w:szCs w:val="28"/>
          <w:lang w:val="uk-UA"/>
        </w:rPr>
        <w:t>Випуск 14. Київ: Інститут держави і права імені В. М. Корецького НАН України, 2023. С. 242-247.</w:t>
      </w:r>
    </w:p>
    <w:p w14:paraId="49386568" w14:textId="77777777" w:rsidR="006B07CA" w:rsidRPr="00511005" w:rsidRDefault="006B07CA" w:rsidP="00BE3972">
      <w:pPr>
        <w:numPr>
          <w:ilvl w:val="0"/>
          <w:numId w:val="1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Про схвалення Стратегії розвитку інформаційного суспільства в Україні: Розпорядження Кабінету Міністрів України від 15.05.2013, №386-2013-р.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8" w:anchor="Text" w:history="1">
        <w:r w:rsidRPr="00511005">
          <w:rPr>
            <w:rFonts w:ascii="Arial" w:eastAsia="Calibri" w:hAnsi="Arial" w:cs="Arial"/>
            <w:szCs w:val="28"/>
            <w:lang w:val="en-US"/>
          </w:rPr>
          <w:t>https</w:t>
        </w:r>
        <w:r w:rsidRPr="00511005">
          <w:rPr>
            <w:rFonts w:ascii="Arial" w:eastAsia="Calibri" w:hAnsi="Arial" w:cs="Arial"/>
            <w:szCs w:val="28"/>
            <w:lang w:val="uk-UA"/>
          </w:rPr>
          <w:t>://</w:t>
        </w:r>
        <w:r w:rsidRPr="00511005">
          <w:rPr>
            <w:rFonts w:ascii="Arial" w:eastAsia="Calibri" w:hAnsi="Arial" w:cs="Arial"/>
            <w:szCs w:val="28"/>
            <w:lang w:val="en-US"/>
          </w:rPr>
          <w:t>zakon</w:t>
        </w:r>
        <w:r w:rsidRPr="00511005">
          <w:rPr>
            <w:rFonts w:ascii="Arial" w:eastAsia="Calibri" w:hAnsi="Arial" w:cs="Arial"/>
            <w:szCs w:val="28"/>
            <w:lang w:val="uk-UA"/>
          </w:rPr>
          <w:t>.</w:t>
        </w:r>
        <w:r w:rsidRPr="00511005">
          <w:rPr>
            <w:rFonts w:ascii="Arial" w:eastAsia="Calibri" w:hAnsi="Arial" w:cs="Arial"/>
            <w:szCs w:val="28"/>
            <w:lang w:val="en-US"/>
          </w:rPr>
          <w:t>rada</w:t>
        </w:r>
        <w:r w:rsidRPr="00511005">
          <w:rPr>
            <w:rFonts w:ascii="Arial" w:eastAsia="Calibri" w:hAnsi="Arial" w:cs="Arial"/>
            <w:szCs w:val="28"/>
            <w:lang w:val="uk-UA"/>
          </w:rPr>
          <w:t>.</w:t>
        </w:r>
        <w:r w:rsidRPr="00511005">
          <w:rPr>
            <w:rFonts w:ascii="Arial" w:eastAsia="Calibri" w:hAnsi="Arial" w:cs="Arial"/>
            <w:szCs w:val="28"/>
            <w:lang w:val="en-US"/>
          </w:rPr>
          <w:t>gov</w:t>
        </w:r>
        <w:r w:rsidRPr="00511005">
          <w:rPr>
            <w:rFonts w:ascii="Arial" w:eastAsia="Calibri" w:hAnsi="Arial" w:cs="Arial"/>
            <w:szCs w:val="28"/>
            <w:lang w:val="uk-UA"/>
          </w:rPr>
          <w:t>.</w:t>
        </w:r>
        <w:r w:rsidRPr="00511005">
          <w:rPr>
            <w:rFonts w:ascii="Arial" w:eastAsia="Calibri" w:hAnsi="Arial" w:cs="Arial"/>
            <w:szCs w:val="28"/>
            <w:lang w:val="en-US"/>
          </w:rPr>
          <w:t>ua</w:t>
        </w:r>
        <w:r w:rsidRPr="00511005">
          <w:rPr>
            <w:rFonts w:ascii="Arial" w:eastAsia="Calibri" w:hAnsi="Arial" w:cs="Arial"/>
            <w:szCs w:val="28"/>
            <w:lang w:val="uk-UA"/>
          </w:rPr>
          <w:t>/</w:t>
        </w:r>
        <w:r w:rsidRPr="00511005">
          <w:rPr>
            <w:rFonts w:ascii="Arial" w:eastAsia="Calibri" w:hAnsi="Arial" w:cs="Arial"/>
            <w:szCs w:val="28"/>
            <w:lang w:val="en-US"/>
          </w:rPr>
          <w:t>laws</w:t>
        </w:r>
        <w:r w:rsidRPr="00511005">
          <w:rPr>
            <w:rFonts w:ascii="Arial" w:eastAsia="Calibri" w:hAnsi="Arial" w:cs="Arial"/>
            <w:szCs w:val="28"/>
            <w:lang w:val="uk-UA"/>
          </w:rPr>
          <w:t>/</w:t>
        </w:r>
        <w:r w:rsidRPr="00511005">
          <w:rPr>
            <w:rFonts w:ascii="Arial" w:eastAsia="Calibri" w:hAnsi="Arial" w:cs="Arial"/>
            <w:szCs w:val="28"/>
            <w:lang w:val="en-US"/>
          </w:rPr>
          <w:t>show</w:t>
        </w:r>
        <w:r w:rsidRPr="00511005">
          <w:rPr>
            <w:rFonts w:ascii="Arial" w:eastAsia="Calibri" w:hAnsi="Arial" w:cs="Arial"/>
            <w:szCs w:val="28"/>
            <w:lang w:val="uk-UA"/>
          </w:rPr>
          <w:t>/386-2013-%</w:t>
        </w:r>
        <w:r w:rsidRPr="00511005">
          <w:rPr>
            <w:rFonts w:ascii="Arial" w:eastAsia="Calibri" w:hAnsi="Arial" w:cs="Arial"/>
            <w:szCs w:val="28"/>
            <w:lang w:val="en-US"/>
          </w:rPr>
          <w:t>D</w:t>
        </w:r>
        <w:r w:rsidRPr="00511005">
          <w:rPr>
            <w:rFonts w:ascii="Arial" w:eastAsia="Calibri" w:hAnsi="Arial" w:cs="Arial"/>
            <w:szCs w:val="28"/>
            <w:lang w:val="uk-UA"/>
          </w:rPr>
          <w:t>1%80#</w:t>
        </w:r>
        <w:r w:rsidRPr="00511005">
          <w:rPr>
            <w:rFonts w:ascii="Arial" w:eastAsia="Calibri" w:hAnsi="Arial" w:cs="Arial"/>
            <w:szCs w:val="28"/>
            <w:lang w:val="en-US"/>
          </w:rPr>
          <w:t>Text</w:t>
        </w:r>
      </w:hyperlink>
      <w:r w:rsidRPr="00511005">
        <w:rPr>
          <w:rFonts w:ascii="Arial" w:eastAsia="Calibri" w:hAnsi="Arial" w:cs="Arial"/>
          <w:szCs w:val="28"/>
          <w:lang w:val="uk-UA"/>
        </w:rPr>
        <w:t xml:space="preserve"> (дата звернення: 29.04.2025).</w:t>
      </w:r>
    </w:p>
    <w:p w14:paraId="13972A37"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293B4BE2" w14:textId="1470CFDB"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6B07CA" w:rsidRPr="00511005">
        <w:rPr>
          <w:rFonts w:ascii="Arial" w:eastAsia="Times New Roman" w:hAnsi="Arial" w:cs="Arial"/>
          <w:szCs w:val="28"/>
          <w:lang w:val="uk-UA" w:eastAsia="ru-RU"/>
        </w:rPr>
        <w:t>інформаційне суспільство, функції держави, розвиток, інформаційна епоха, цифрова трансформація, інформаційний простір.</w:t>
      </w:r>
      <w:r w:rsidRPr="00511005">
        <w:rPr>
          <w:rFonts w:ascii="Arial" w:eastAsia="Times New Roman" w:hAnsi="Arial" w:cs="Arial"/>
          <w:szCs w:val="28"/>
          <w:lang w:val="uk-UA" w:eastAsia="ru-RU"/>
        </w:rPr>
        <w:t xml:space="preserve"> </w:t>
      </w:r>
    </w:p>
    <w:p w14:paraId="62DAF704" w14:textId="087F06C6"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6B07CA" w:rsidRPr="00511005">
        <w:rPr>
          <w:rFonts w:ascii="Arial" w:eastAsia="Times New Roman" w:hAnsi="Arial" w:cs="Arial"/>
          <w:szCs w:val="28"/>
          <w:lang w:val="en-US" w:eastAsia="ru-RU"/>
        </w:rPr>
        <w:t>information society, state functions, development, information age, digital transformation, information space</w:t>
      </w:r>
      <w:r w:rsidR="006B07CA" w:rsidRPr="00511005">
        <w:rPr>
          <w:rFonts w:ascii="Arial" w:eastAsia="Times New Roman" w:hAnsi="Arial" w:cs="Arial"/>
          <w:szCs w:val="28"/>
          <w:lang w:val="uk-UA" w:eastAsia="ru-RU"/>
        </w:rPr>
        <w:t xml:space="preserve">. </w:t>
      </w:r>
    </w:p>
    <w:p w14:paraId="05432D19" w14:textId="65C25545"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Науковий керівник: </w:t>
      </w:r>
      <w:r w:rsidR="006B07CA" w:rsidRPr="00511005">
        <w:rPr>
          <w:rFonts w:ascii="Arial" w:eastAsia="Times New Roman" w:hAnsi="Arial" w:cs="Arial"/>
          <w:i/>
          <w:szCs w:val="28"/>
          <w:lang w:eastAsia="ru-RU"/>
        </w:rPr>
        <w:t>PhD, ст. викладач В.Є. Іванчук</w:t>
      </w:r>
    </w:p>
    <w:p w14:paraId="7D25C6FC" w14:textId="77777777" w:rsidR="006B07CA" w:rsidRPr="00511005" w:rsidRDefault="006B07CA" w:rsidP="003A292D">
      <w:pPr>
        <w:spacing w:line="264" w:lineRule="auto"/>
        <w:ind w:firstLine="0"/>
        <w:jc w:val="center"/>
        <w:rPr>
          <w:rFonts w:ascii="Arial" w:eastAsia="Times New Roman" w:hAnsi="Arial" w:cs="Arial"/>
          <w:i/>
          <w:iCs/>
          <w:szCs w:val="28"/>
          <w:lang w:val="uk-UA" w:eastAsia="ru-RU"/>
        </w:rPr>
      </w:pPr>
    </w:p>
    <w:p w14:paraId="2D4FA683" w14:textId="77777777" w:rsidR="006B07CA" w:rsidRPr="00511005" w:rsidRDefault="006B07CA" w:rsidP="003A292D">
      <w:pPr>
        <w:spacing w:line="264" w:lineRule="auto"/>
        <w:ind w:firstLine="0"/>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Воєвода Єлизавета Сергіївна</w:t>
      </w:r>
    </w:p>
    <w:p w14:paraId="63B3B7E5" w14:textId="4F9B69AC" w:rsidR="006B07CA" w:rsidRPr="00511005" w:rsidRDefault="00BE3972" w:rsidP="003A292D">
      <w:pPr>
        <w:spacing w:line="264" w:lineRule="auto"/>
        <w:ind w:firstLine="0"/>
        <w:jc w:val="center"/>
        <w:rPr>
          <w:rFonts w:ascii="Arial" w:eastAsia="Times New Roman" w:hAnsi="Arial" w:cs="Arial"/>
          <w:szCs w:val="28"/>
          <w:lang w:eastAsia="uk-UA"/>
        </w:rPr>
      </w:pPr>
      <w:r w:rsidRPr="00511005">
        <w:rPr>
          <w:rFonts w:ascii="Arial" w:eastAsia="Times New Roman" w:hAnsi="Arial" w:cs="Arial"/>
          <w:szCs w:val="28"/>
          <w:lang w:eastAsia="uk-UA"/>
        </w:rPr>
        <w:t xml:space="preserve">студентка 1-го курсу </w:t>
      </w:r>
      <w:r w:rsidR="001B7B25" w:rsidRPr="00511005">
        <w:rPr>
          <w:rFonts w:ascii="Arial" w:eastAsia="Times New Roman" w:hAnsi="Arial" w:cs="Arial"/>
          <w:szCs w:val="28"/>
          <w:lang w:eastAsia="uk-UA"/>
        </w:rPr>
        <w:t>факультету судового та міжнародного права</w:t>
      </w:r>
    </w:p>
    <w:p w14:paraId="00A2B0E6" w14:textId="649824B9" w:rsidR="006B07CA" w:rsidRPr="00511005" w:rsidRDefault="00BE3972" w:rsidP="003A292D">
      <w:pPr>
        <w:spacing w:line="264" w:lineRule="auto"/>
        <w:ind w:firstLine="0"/>
        <w:jc w:val="center"/>
        <w:rPr>
          <w:rFonts w:ascii="Arial" w:eastAsia="Times New Roman" w:hAnsi="Arial" w:cs="Arial"/>
          <w:szCs w:val="28"/>
          <w:lang w:eastAsia="uk-UA"/>
        </w:rPr>
      </w:pPr>
      <w:r w:rsidRPr="00511005">
        <w:rPr>
          <w:rFonts w:ascii="Arial" w:eastAsia="Times New Roman" w:hAnsi="Arial" w:cs="Arial"/>
          <w:szCs w:val="28"/>
          <w:lang w:eastAsia="uk-UA"/>
        </w:rPr>
        <w:t>Національного університету «Одеська юридична академія»</w:t>
      </w:r>
    </w:p>
    <w:p w14:paraId="7C691FD3" w14:textId="77777777" w:rsidR="006B07CA" w:rsidRPr="00511005" w:rsidRDefault="006B07CA" w:rsidP="003A292D">
      <w:pPr>
        <w:spacing w:line="264" w:lineRule="auto"/>
        <w:ind w:firstLine="0"/>
        <w:jc w:val="center"/>
        <w:rPr>
          <w:rFonts w:ascii="Arial" w:eastAsia="Times New Roman" w:hAnsi="Arial" w:cs="Arial"/>
          <w:szCs w:val="28"/>
          <w:lang w:eastAsia="uk-UA"/>
        </w:rPr>
      </w:pPr>
    </w:p>
    <w:p w14:paraId="67F6CB4D" w14:textId="77777777" w:rsidR="006B07CA" w:rsidRPr="00511005" w:rsidRDefault="006B07CA" w:rsidP="003A292D">
      <w:pPr>
        <w:spacing w:line="264" w:lineRule="auto"/>
        <w:ind w:firstLine="0"/>
        <w:jc w:val="center"/>
        <w:rPr>
          <w:rFonts w:ascii="Arial" w:eastAsia="Times New Roman" w:hAnsi="Arial" w:cs="Arial"/>
          <w:i/>
          <w:iCs/>
          <w:szCs w:val="28"/>
          <w:lang w:eastAsia="ru-RU"/>
        </w:rPr>
      </w:pPr>
      <w:r w:rsidRPr="00511005">
        <w:rPr>
          <w:rFonts w:ascii="Arial" w:eastAsia="Times New Roman" w:hAnsi="Arial" w:cs="Arial"/>
          <w:b/>
          <w:bCs/>
          <w:szCs w:val="28"/>
          <w:lang w:eastAsia="ru-RU"/>
        </w:rPr>
        <w:t>ВПЛИВ СУЧАСНОСТІ НА ПРАВОСВІДОМІСТЬ НАСЕЛЕННЯ УКРАЇНИ</w:t>
      </w:r>
    </w:p>
    <w:p w14:paraId="01E232B3" w14:textId="77777777" w:rsidR="006B07CA" w:rsidRPr="00511005" w:rsidRDefault="006B07CA" w:rsidP="00BE3972">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Сучасний етап розвитку українського суспільства характеризується масштабними трансформаціями у всіх сферах життєдіяльності — від технологічного прогресу до зміни соціальних парадигм, від переосмислення економічних моделей до трансформації політичних інститутів. Усе це зумовлює суттєвий вплив на правосвідомість населення як складову правової культури суспільства. Недарма говорять, що часи змінюються, і ми змінюємося разом з ними. Це висловлювання влучно ілюструє мінливу природу взаємодії між суспільством і правом, де право не залишається незмінним, а постійно адаптується до нових умов, водночас змінюючи уявлення індивідів щодо справедливості, законності та власної правосуб’єктності. </w:t>
      </w:r>
    </w:p>
    <w:p w14:paraId="5DBFBBD1" w14:textId="77777777" w:rsidR="006B07CA" w:rsidRPr="00511005" w:rsidRDefault="006B07CA" w:rsidP="00BE3972">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У цьому контексті правосвідомість постає як багаторівневе правове явище, що акумулює у собі як раціонально-інтелектуальний, так і емоційно-ціннісний компонент ставлення до права. Правосвідомість має три основні виміри. Юридичний рівень є базовим і передбачає знання законів та їх свідоме розуміння. Це необхідна умова для існування правового та громадянського суспільства, адже без елементарної обізнаності з правом неможлива повноцінна правова культура. Соціокультурний рівень розглядає право в ширшому контексті – як частину культури, що формується історично та під впливом суспільних норм. У цьому розумінні, культура визначається через здатність людей усвідомлено сприймати та виконувати правові вимоги. Право тут постає не просто як набір правил, а як культурний феномен, що відображає цінності та традиції суспільства. На філософському рівні правосвідомість сягає метафізичних глибин. Йдеться про "чисте право", як його колись визначив Кант, – ідею права як особливої форми буття розуму. Цей рівень відкриває шлях до наукового та філософського осмислення сутності права, його глибинного змісту та призначення в житті людини та суспільства. Намагаючись зрозуміти не лише як працює право, але чому воно є таким і яку вищу мету воно переслідує [1, c. 2].</w:t>
      </w:r>
    </w:p>
    <w:p w14:paraId="1F952303" w14:textId="77777777" w:rsidR="006B07CA" w:rsidRPr="00511005" w:rsidRDefault="006B07CA" w:rsidP="00BE3972">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eastAsia="ru-RU"/>
        </w:rPr>
        <w:t xml:space="preserve">З огляду на це правосвідомість можна визначити як сукупність знань, уявлень, почуттів, оцінок та установок індивідів, соціальних груп і суспільства в цілому щодо чинного права, бажаного або належного права, а також практики його застосування та функціонування правової системи. Вона включає в себе розуміння правових норм, емоційне ставлення до них через схвалення або засудження, оцінку їхньої справедливості та доцільності, а також готовність діяти відповідно до правових вимог або, навпаки, їх ігнорувати чи порушувати. Правосвідомість є динамічним явищем, що постійно формується та змінюється під впливом різноманітних </w:t>
      </w:r>
      <w:r w:rsidRPr="00511005">
        <w:rPr>
          <w:rFonts w:ascii="Arial" w:eastAsia="Times New Roman" w:hAnsi="Arial" w:cs="Arial"/>
          <w:szCs w:val="28"/>
          <w:lang w:eastAsia="ru-RU"/>
        </w:rPr>
        <w:lastRenderedPageBreak/>
        <w:t>соціальних, економічних, політичних та культурних факторів, відображаючи рівень правової культури суспільства</w:t>
      </w:r>
      <w:r w:rsidRPr="00511005">
        <w:rPr>
          <w:rFonts w:ascii="Arial" w:eastAsia="Times New Roman" w:hAnsi="Arial" w:cs="Arial"/>
          <w:szCs w:val="28"/>
          <w:lang w:val="uk-UA" w:eastAsia="ru-RU"/>
        </w:rPr>
        <w:t xml:space="preserve"> [2, </w:t>
      </w:r>
      <w:r w:rsidRPr="00511005">
        <w:rPr>
          <w:rFonts w:ascii="Arial" w:eastAsia="Times New Roman" w:hAnsi="Arial" w:cs="Arial"/>
          <w:szCs w:val="28"/>
          <w:lang w:val="en-US" w:eastAsia="ru-RU"/>
        </w:rPr>
        <w:t>c</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68</w:t>
      </w:r>
      <w:r w:rsidRPr="00511005">
        <w:rPr>
          <w:rFonts w:ascii="Arial" w:eastAsia="Times New Roman" w:hAnsi="Arial" w:cs="Arial"/>
          <w:szCs w:val="28"/>
          <w:lang w:val="uk-UA" w:eastAsia="ru-RU"/>
        </w:rPr>
        <w:t>].</w:t>
      </w:r>
    </w:p>
    <w:p w14:paraId="376CEBA7" w14:textId="77777777" w:rsidR="006B07CA" w:rsidRPr="00511005" w:rsidRDefault="006B07CA" w:rsidP="00BE3972">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val="uk-UA" w:eastAsia="ru-RU"/>
        </w:rPr>
        <w:t xml:space="preserve">Сучасність, із її глибокими соціальними зрушеннями, прямо впливає на зміну структури, змісту та функціонування правосвідомості українського населення. Насамперед, це стосується зростання громадянської активності. Після Революції Гідності, а особливо в умовах повномасштабної війни, правосвідомість значної частини громадян вийшла за межі пасивного сприйняття норм права. </w:t>
      </w:r>
      <w:r w:rsidRPr="00511005">
        <w:rPr>
          <w:rFonts w:ascii="Arial" w:eastAsia="Times New Roman" w:hAnsi="Arial" w:cs="Arial"/>
          <w:szCs w:val="28"/>
          <w:lang w:eastAsia="ru-RU"/>
        </w:rPr>
        <w:t>Суспільство почало активніше відстоювати свої права, формувати вимоги до справедливості та законності. Люди почали не просто спостерігати за змінами в державі, а стати їх учасниками та рушіями. Право стало не лише інструментом державної влади, а й засобом самозахисту, самоорганізації, вираження волі громадян.</w:t>
      </w:r>
    </w:p>
    <w:p w14:paraId="68993D08" w14:textId="77777777" w:rsidR="006B07CA" w:rsidRPr="00511005" w:rsidRDefault="006B07CA" w:rsidP="00BE3972">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Водночас технологічні зміни радикально вплинули на інформаційне середовище формування правосвідомості. Цифровізація публічних сервісів, впровадження електронного документообігу, електронного судочинства та електронного урядування, як у випадку з платформою «Дія», широке використання соціальних мереж та месенджерів значно змінили способи спілкування між державою та громадянином. Якщо раніше доступ до права був обмежений певними знаннями чи спеціальними каналами, то нині інформація про правові норми стала загальнодоступною. Люди можуть легко знайти потрібні закони, роз'яснення юристів, дізнатися про свої права та способи їх захисту. Це може сприяти підвищенню прозорості, зменшенню бюрократії та полегшенню доступу до правосуддя. Але виникають нові питання щодо захисту персональних даних, кібербезпеки та забезпечення рівного доступу до цифрових технологій для всіх верств населення. Це ж середовище стає майданчиком для поширення недостовірної інформації та маніпуляцій громадською думкою щодо правових питань [3, с. 166]. В умовах сучасності виникає нова проблема — інформаційне перенасичення та фрагментація знань. Усе частіше громадяни орієнтуються не на закони, а на правові поради в TikTok, Telegram-каналах або Facebook-групах. Це формує поверховий, а подекуди й викривлений, образ права. Тому критичне мислення та вміння відрізняти достовірні джерела інформації від фейків стають важливими елементами сучасної правосвідомості.</w:t>
      </w:r>
    </w:p>
    <w:p w14:paraId="59C7542A" w14:textId="77777777" w:rsidR="006B07CA" w:rsidRPr="00511005" w:rsidRDefault="006B07CA" w:rsidP="00BE3972">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Сучасність також принесла кризу довіри до деяких інституцій. Судова система, органи правопорядку, навіть сама держава часто сприймаються з підозрою та скепсисом. Подібний стан речей породжує таке явище як правовий нігілізм — невизнання права як соціальної цінності та його прояв в негативному відношенні до права, законів, правопорядку, у невірі в необхідність права, його можливості, суспільну корисність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4, с. 169</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Якщо іншими словами, то це коли закон розглядається як умовність, яку можна обійти, якщо є така можливість. Це особливо характерно для старших поколінь, які ще пам’ятають радянську модель «телефонного права» і </w:t>
      </w:r>
      <w:r w:rsidRPr="00511005">
        <w:rPr>
          <w:rFonts w:ascii="Arial" w:eastAsia="Times New Roman" w:hAnsi="Arial" w:cs="Arial"/>
          <w:szCs w:val="28"/>
          <w:lang w:eastAsia="ru-RU"/>
        </w:rPr>
        <w:lastRenderedPageBreak/>
        <w:t xml:space="preserve">вбачають у праві не захист, а примус. Молодь же, хоч і більш активна в правовому сенсі, часто ідеалізує право, вимагаючи від нього надмірної моральності, що інколи веде до розчарування в разі зіткнення з реальністю, що породжує правовий ідеалізм, який виступає антиподом правового нігілізму й означає переоцінку права </w:t>
      </w:r>
      <w:r w:rsidRPr="00511005">
        <w:rPr>
          <w:rFonts w:ascii="Arial" w:eastAsia="Times New Roman" w:hAnsi="Arial" w:cs="Arial"/>
          <w:szCs w:val="28"/>
          <w:lang w:val="uk-UA" w:eastAsia="ru-RU"/>
        </w:rPr>
        <w:t xml:space="preserve">[4, </w:t>
      </w:r>
      <w:r w:rsidRPr="00511005">
        <w:rPr>
          <w:rFonts w:ascii="Arial" w:eastAsia="Times New Roman" w:hAnsi="Arial" w:cs="Arial"/>
          <w:szCs w:val="28"/>
          <w:lang w:eastAsia="ru-RU"/>
        </w:rPr>
        <w:t>с. 169</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w:t>
      </w:r>
    </w:p>
    <w:p w14:paraId="4EF4BD8D" w14:textId="77777777" w:rsidR="006B07CA" w:rsidRPr="00511005" w:rsidRDefault="006B07CA" w:rsidP="00BE3972">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Незважаючи на це, громадянське суспільство сьогодні відіграє потужну роль у формуванні нової правосвідомості. Волонтерські ініціативи, правозахисні рухи, громадський контроль, юридичні консультації для вразливих груп — усе це сприяє поширенню знань про право, вихованню поваги </w:t>
      </w:r>
      <w:proofErr w:type="gramStart"/>
      <w:r w:rsidRPr="00511005">
        <w:rPr>
          <w:rFonts w:ascii="Arial" w:eastAsia="Times New Roman" w:hAnsi="Arial" w:cs="Arial"/>
          <w:szCs w:val="28"/>
          <w:lang w:eastAsia="ru-RU"/>
        </w:rPr>
        <w:t>до закону</w:t>
      </w:r>
      <w:proofErr w:type="gramEnd"/>
      <w:r w:rsidRPr="00511005">
        <w:rPr>
          <w:rFonts w:ascii="Arial" w:eastAsia="Times New Roman" w:hAnsi="Arial" w:cs="Arial"/>
          <w:szCs w:val="28"/>
          <w:lang w:eastAsia="ru-RU"/>
        </w:rPr>
        <w:t>, розвитку правової культури. Люди дедалі частіше виявляють готовність не лише вимагати дотримання своїх прав, а й виконувати обов’язки — платити податки, дотримуватись правил, взаємодіяти з державою.</w:t>
      </w:r>
    </w:p>
    <w:p w14:paraId="1E18B273" w14:textId="77777777" w:rsidR="006B07CA" w:rsidRPr="00511005" w:rsidRDefault="006B07CA" w:rsidP="00BE3972">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В умовах української євроінтеграції, відбулися процеси, що також відіграють значну роль у формуванні правосвідомості українців. Зближення з європейськими правовими стандартами та цінностями, такими як повага до прав людини, демократія та верховенство права, розширює уявлення про належне правове регулювання та стимулює вимоги щодо реформ у національній правовій системі. Міжнародна співпраця та обмін правовим досвідом допомагають виявляти та критично оцінювати недоліки національного законодавства та правозастосовної практики. Зростання мобільності населення та трудової міграції призводять до зіткнення з різними правовими культурами, що формує нове розуміння прав та обов'язків у міжнародному контексті та сприяє розвитку толерантності до різних правових систем [5,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 96-97].</w:t>
      </w:r>
    </w:p>
    <w:p w14:paraId="3482B2A8" w14:textId="77777777" w:rsidR="006B07CA" w:rsidRPr="00511005" w:rsidRDefault="006B07CA" w:rsidP="00BE3972">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Отже, маємо підстави твердити, що сучасність, позначена стрімким технологічним розвитком, процесами глобалізації та євроінтеграції, складними соціально-економічними трансформаціями та, особливо, трагічними подіями повномасштабної війни, чинить глибокий та багатогранний вплив на правосвідомість українського населення. Інформаційна революція відкриває нові можливості для правової освіти, але водночас створює ризики дезінформації. Зближення з європейськими стандартами розширює розуміння прав людини та стимулює вимоги до реформ. Соціальна нерівність та економічна нестабільність можуть підривати довіру до правової системи, тоді як війна актуалізувала фундаментальні права та посилила правову активність громадян.</w:t>
      </w:r>
    </w:p>
    <w:p w14:paraId="150C9872" w14:textId="77777777" w:rsidR="006B07CA" w:rsidRPr="00511005" w:rsidRDefault="006B07CA" w:rsidP="00BE3972">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Повномасштабне вторгнення російської федерації стало не лише трагічним випробуванням, але й потужним каталізатором змін у правосвідомості українців. Воно перетворило право з абстрактної концепції на життєво важливу цінність, тісно пов'язану з правом на існування, свободу та гідність. Відчуття справедливості набуло особливої гостроти, а готовність до захисту власних прав зросла. Безпрецедентна громадянська активність, </w:t>
      </w:r>
      <w:r w:rsidRPr="00511005">
        <w:rPr>
          <w:rFonts w:ascii="Arial" w:eastAsia="Times New Roman" w:hAnsi="Arial" w:cs="Arial"/>
          <w:szCs w:val="28"/>
          <w:lang w:eastAsia="ru-RU"/>
        </w:rPr>
        <w:lastRenderedPageBreak/>
        <w:t>волонтерство та співпраця з державними органами стали яскравими проявами зростання правової відповідальності та усвідомлення власної ролі у правовому житті країни.</w:t>
      </w:r>
    </w:p>
    <w:p w14:paraId="1F4116D9" w14:textId="77777777" w:rsidR="006B07CA" w:rsidRPr="00511005" w:rsidRDefault="006B07CA" w:rsidP="00BE3972">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eastAsia="ru-RU"/>
        </w:rPr>
        <w:t>Таким чином, сучасний етап розвитку українського суспільства характеризується не лише викликами, але й значним потенціалом для формування зрілої, активної та свідомої правової позиції громадян. Подальші зусилля держави та громадянського суспільства мають бути спрямовані на зміцнення правосвідомості, підвищення рівня правової освіти, подолання корупції та утвердження принципу верховенства права як основи для розбудови сильної та демократичної України.</w:t>
      </w:r>
    </w:p>
    <w:p w14:paraId="1F16369C" w14:textId="77777777" w:rsidR="006B07CA" w:rsidRPr="00511005" w:rsidRDefault="006B07CA" w:rsidP="003A292D">
      <w:pPr>
        <w:spacing w:line="264" w:lineRule="auto"/>
        <w:ind w:firstLine="0"/>
        <w:contextualSpacing/>
        <w:rPr>
          <w:rFonts w:ascii="Arial" w:eastAsia="Times New Roman" w:hAnsi="Arial" w:cs="Arial"/>
          <w:szCs w:val="28"/>
          <w:lang w:val="uk-UA" w:eastAsia="ru-RU"/>
        </w:rPr>
      </w:pPr>
    </w:p>
    <w:p w14:paraId="6533CBAB" w14:textId="22FE52E9" w:rsidR="006B07CA" w:rsidRPr="00511005" w:rsidRDefault="007B2628" w:rsidP="007B2628">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0F194BC5" w14:textId="77777777" w:rsidR="006B07CA" w:rsidRPr="00511005" w:rsidRDefault="006B07CA" w:rsidP="00BE3972">
      <w:pPr>
        <w:numPr>
          <w:ilvl w:val="0"/>
          <w:numId w:val="18"/>
        </w:numPr>
        <w:spacing w:line="264" w:lineRule="auto"/>
        <w:ind w:left="0"/>
        <w:contextualSpacing/>
        <w:rPr>
          <w:rFonts w:ascii="Arial" w:eastAsia="Calibri" w:hAnsi="Arial" w:cs="Arial"/>
          <w:szCs w:val="28"/>
          <w:lang w:val="uk-UA"/>
        </w:rPr>
      </w:pPr>
      <w:r w:rsidRPr="00511005">
        <w:rPr>
          <w:rFonts w:ascii="Arial" w:eastAsia="Calibri" w:hAnsi="Arial" w:cs="Arial"/>
          <w:szCs w:val="28"/>
          <w:lang w:val="uk-UA"/>
        </w:rPr>
        <w:t>Муж В. В. Правосвідомість: теоретичні аспекти поняття / В. В. Муж // Науковий вісник Львівського державного університету внутрішніх справ. Серія юридична. – 2016. – № 1. – С. 2–8.</w:t>
      </w:r>
    </w:p>
    <w:p w14:paraId="587C8694" w14:textId="77777777" w:rsidR="006B07CA" w:rsidRPr="00511005" w:rsidRDefault="006B07CA" w:rsidP="00BE3972">
      <w:pPr>
        <w:numPr>
          <w:ilvl w:val="0"/>
          <w:numId w:val="18"/>
        </w:numPr>
        <w:spacing w:line="264" w:lineRule="auto"/>
        <w:ind w:left="0"/>
        <w:contextualSpacing/>
        <w:rPr>
          <w:rFonts w:ascii="Arial" w:eastAsia="Calibri" w:hAnsi="Arial" w:cs="Arial"/>
          <w:szCs w:val="28"/>
          <w:lang w:val="uk-UA"/>
        </w:rPr>
      </w:pPr>
      <w:r w:rsidRPr="00511005">
        <w:rPr>
          <w:rFonts w:ascii="Arial" w:eastAsia="Calibri" w:hAnsi="Arial" w:cs="Arial"/>
          <w:szCs w:val="28"/>
          <w:lang w:val="uk-UA"/>
        </w:rPr>
        <w:t>Барабаш О. Правосвідомість та її вплив на поведінку людини / О. Барабаш // Право і суспільство. – 2017. – № 3. – С. 68–72.</w:t>
      </w:r>
    </w:p>
    <w:p w14:paraId="3C43B694" w14:textId="77777777" w:rsidR="006B07CA" w:rsidRPr="00511005" w:rsidRDefault="006B07CA" w:rsidP="00BE3972">
      <w:pPr>
        <w:numPr>
          <w:ilvl w:val="0"/>
          <w:numId w:val="18"/>
        </w:numPr>
        <w:spacing w:line="264" w:lineRule="auto"/>
        <w:ind w:left="0"/>
        <w:contextualSpacing/>
        <w:rPr>
          <w:rFonts w:ascii="Arial" w:eastAsia="Calibri" w:hAnsi="Arial" w:cs="Arial"/>
          <w:szCs w:val="28"/>
          <w:lang w:val="uk-UA"/>
        </w:rPr>
      </w:pPr>
      <w:r w:rsidRPr="00511005">
        <w:rPr>
          <w:rFonts w:ascii="Arial" w:eastAsia="Calibri" w:hAnsi="Arial" w:cs="Arial"/>
          <w:szCs w:val="28"/>
          <w:lang w:val="uk-UA"/>
        </w:rPr>
        <w:t xml:space="preserve">Левицька Н. Використання цифрових технологій у праві. Підприємництво, господарство і право. – 2019. – № 9. – С. 165–169. </w:t>
      </w:r>
    </w:p>
    <w:p w14:paraId="0CC02B4D" w14:textId="77777777" w:rsidR="006B07CA" w:rsidRPr="00511005" w:rsidRDefault="006B07CA" w:rsidP="00BE3972">
      <w:pPr>
        <w:numPr>
          <w:ilvl w:val="0"/>
          <w:numId w:val="18"/>
        </w:numPr>
        <w:spacing w:line="264" w:lineRule="auto"/>
        <w:ind w:left="0"/>
        <w:contextualSpacing/>
        <w:rPr>
          <w:rFonts w:ascii="Arial" w:eastAsia="Calibri" w:hAnsi="Arial" w:cs="Arial"/>
          <w:szCs w:val="28"/>
          <w:lang w:val="uk-UA"/>
        </w:rPr>
      </w:pPr>
      <w:r w:rsidRPr="00511005">
        <w:rPr>
          <w:rFonts w:ascii="Arial" w:eastAsia="Calibri" w:hAnsi="Arial" w:cs="Arial"/>
          <w:szCs w:val="28"/>
          <w:lang w:val="uk-UA"/>
        </w:rPr>
        <w:t>Актуальні грані загальнотеоретичної юриспруденції : монографія / [Ю. М. Оборотов, В. В. Завальнюк, В. В. Дудченко та ін.] ; за ред. Ю. М. Обо- ротова. – Одеса : Фенікс, 2012. – 492 с.</w:t>
      </w:r>
    </w:p>
    <w:p w14:paraId="4349F327" w14:textId="77777777" w:rsidR="006B07CA" w:rsidRPr="00511005" w:rsidRDefault="006B07CA" w:rsidP="00BE3972">
      <w:pPr>
        <w:numPr>
          <w:ilvl w:val="0"/>
          <w:numId w:val="18"/>
        </w:numPr>
        <w:spacing w:line="264" w:lineRule="auto"/>
        <w:ind w:left="0"/>
        <w:contextualSpacing/>
        <w:rPr>
          <w:rFonts w:ascii="Arial" w:eastAsia="Calibri" w:hAnsi="Arial" w:cs="Arial"/>
          <w:szCs w:val="28"/>
          <w:lang w:val="uk-UA"/>
        </w:rPr>
      </w:pPr>
      <w:r w:rsidRPr="00511005">
        <w:rPr>
          <w:rFonts w:ascii="Arial" w:eastAsia="Calibri" w:hAnsi="Arial" w:cs="Arial"/>
          <w:szCs w:val="28"/>
          <w:lang w:val="uk-UA"/>
        </w:rPr>
        <w:t>Петришин О. В., Кагановська Т. Є., Передерій О. С. Трансформація в Україні правової культури суспільства під впливом процесів європейської інтеграції // Вісник Національної академії правових наук України. – 2022. – № 3 (29). – С.89-107</w:t>
      </w:r>
    </w:p>
    <w:p w14:paraId="0701F244" w14:textId="77777777" w:rsidR="006B07CA" w:rsidRPr="00511005" w:rsidRDefault="006B07CA" w:rsidP="003A292D">
      <w:pPr>
        <w:spacing w:line="264" w:lineRule="auto"/>
        <w:ind w:firstLine="0"/>
        <w:contextualSpacing/>
        <w:rPr>
          <w:rFonts w:ascii="Arial" w:eastAsia="Calibri" w:hAnsi="Arial" w:cs="Arial"/>
          <w:szCs w:val="28"/>
          <w:lang w:val="uk-UA"/>
        </w:rPr>
      </w:pPr>
    </w:p>
    <w:p w14:paraId="70B7DF09" w14:textId="03FA1497" w:rsidR="006B07CA" w:rsidRPr="00511005" w:rsidRDefault="007B2628"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6B07CA" w:rsidRPr="00511005">
        <w:rPr>
          <w:rFonts w:ascii="Arial" w:eastAsia="Times New Roman" w:hAnsi="Arial" w:cs="Arial"/>
          <w:szCs w:val="28"/>
          <w:lang w:val="uk-UA" w:eastAsia="ru-RU"/>
        </w:rPr>
        <w:t>правосвідомість, правова культура, євроінтеграція, громадянська активність, цифровізація, правовий нігілізм, соціальні трансформації, інформаційне суспільство, права людини.</w:t>
      </w:r>
      <w:r w:rsidRPr="00511005">
        <w:rPr>
          <w:rFonts w:ascii="Arial" w:eastAsia="Times New Roman" w:hAnsi="Arial" w:cs="Arial"/>
          <w:szCs w:val="28"/>
          <w:lang w:val="uk-UA" w:eastAsia="ru-RU"/>
        </w:rPr>
        <w:t xml:space="preserve"> </w:t>
      </w:r>
    </w:p>
    <w:p w14:paraId="58F44F49" w14:textId="33318485" w:rsidR="006B07CA" w:rsidRPr="00511005" w:rsidRDefault="007B2628" w:rsidP="003A292D">
      <w:pPr>
        <w:spacing w:line="264" w:lineRule="auto"/>
        <w:ind w:firstLine="0"/>
        <w:contextualSpacing/>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6B07CA" w:rsidRPr="00511005">
        <w:rPr>
          <w:rFonts w:ascii="Arial" w:eastAsia="Times New Roman" w:hAnsi="Arial" w:cs="Arial"/>
          <w:szCs w:val="28"/>
          <w:lang w:val="en-US" w:eastAsia="ru-RU"/>
        </w:rPr>
        <w:t>legal consciousness, legal culture, European integration, civic engagement, digitalization, legal nihilism, social transformations, information society, human rights.</w:t>
      </w:r>
      <w:r w:rsidRPr="00511005">
        <w:rPr>
          <w:rFonts w:ascii="Arial" w:eastAsia="Times New Roman" w:hAnsi="Arial" w:cs="Arial"/>
          <w:szCs w:val="28"/>
          <w:lang w:val="en-US" w:eastAsia="ru-RU"/>
        </w:rPr>
        <w:t xml:space="preserve"> </w:t>
      </w:r>
    </w:p>
    <w:p w14:paraId="2F927677" w14:textId="2D84BDC8" w:rsidR="006B07CA" w:rsidRPr="00511005" w:rsidRDefault="007B2628" w:rsidP="003A292D">
      <w:pPr>
        <w:spacing w:line="264" w:lineRule="auto"/>
        <w:ind w:firstLine="0"/>
        <w:contextualSpacing/>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006B07CA" w:rsidRPr="00511005">
        <w:rPr>
          <w:rFonts w:ascii="Arial" w:eastAsia="Times New Roman" w:hAnsi="Arial" w:cs="Arial"/>
          <w:i/>
          <w:iCs/>
          <w:szCs w:val="28"/>
          <w:lang w:eastAsia="ru-RU"/>
        </w:rPr>
        <w:t>к.ю.н., доцент Чувакова Г. М.</w:t>
      </w:r>
      <w:r w:rsidRPr="00511005">
        <w:rPr>
          <w:rFonts w:ascii="Arial" w:eastAsia="Times New Roman" w:hAnsi="Arial" w:cs="Arial"/>
          <w:i/>
          <w:iCs/>
          <w:szCs w:val="28"/>
          <w:lang w:eastAsia="ru-RU"/>
        </w:rPr>
        <w:t xml:space="preserve"> </w:t>
      </w:r>
    </w:p>
    <w:p w14:paraId="20D78FFE" w14:textId="77777777" w:rsidR="006B07CA" w:rsidRPr="00511005" w:rsidRDefault="006B07CA" w:rsidP="003A292D">
      <w:pPr>
        <w:spacing w:line="264" w:lineRule="auto"/>
        <w:ind w:firstLine="0"/>
        <w:contextualSpacing/>
        <w:jc w:val="center"/>
        <w:rPr>
          <w:rFonts w:ascii="Arial" w:eastAsia="Times New Roman" w:hAnsi="Arial" w:cs="Arial"/>
          <w:i/>
          <w:iCs/>
          <w:szCs w:val="28"/>
          <w:lang w:val="uk-UA" w:eastAsia="ru-RU"/>
        </w:rPr>
      </w:pPr>
    </w:p>
    <w:p w14:paraId="08BBD82C" w14:textId="77777777" w:rsidR="006B07CA" w:rsidRPr="00511005" w:rsidRDefault="006B07CA" w:rsidP="003A292D">
      <w:pPr>
        <w:spacing w:line="264" w:lineRule="auto"/>
        <w:ind w:firstLine="0"/>
        <w:contextualSpacing/>
        <w:jc w:val="center"/>
        <w:rPr>
          <w:rFonts w:ascii="Arial" w:eastAsia="Times New Roman" w:hAnsi="Arial" w:cs="Arial"/>
          <w:i/>
          <w:iCs/>
          <w:szCs w:val="28"/>
          <w:lang w:val="uk-UA" w:eastAsia="ru-RU"/>
        </w:rPr>
      </w:pPr>
    </w:p>
    <w:p w14:paraId="2960BBBF" w14:textId="77777777" w:rsidR="006B07CA" w:rsidRPr="00511005" w:rsidRDefault="006B07CA"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Возняк Інна Романівна</w:t>
      </w:r>
    </w:p>
    <w:p w14:paraId="7F0F44DB" w14:textId="0A3281DA" w:rsidR="006B07CA" w:rsidRPr="00511005" w:rsidRDefault="007B2628" w:rsidP="003A292D">
      <w:pPr>
        <w:spacing w:line="264" w:lineRule="auto"/>
        <w:ind w:firstLine="0"/>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студентка 1-го курсу факультету цивільної та господарської юстиції</w:t>
      </w:r>
    </w:p>
    <w:p w14:paraId="07D187CA" w14:textId="7F3F6F0E" w:rsidR="006B07CA" w:rsidRPr="00511005" w:rsidRDefault="007B2628" w:rsidP="003A292D">
      <w:pPr>
        <w:spacing w:line="264" w:lineRule="auto"/>
        <w:ind w:firstLine="0"/>
        <w:jc w:val="center"/>
        <w:rPr>
          <w:rFonts w:ascii="Arial" w:eastAsia="Times New Roman" w:hAnsi="Arial" w:cs="Arial"/>
          <w:i/>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p>
    <w:p w14:paraId="0C52F82C" w14:textId="77777777" w:rsidR="006B07CA" w:rsidRPr="00511005" w:rsidRDefault="006B07CA" w:rsidP="003A292D">
      <w:pPr>
        <w:spacing w:line="264" w:lineRule="auto"/>
        <w:ind w:firstLine="0"/>
        <w:jc w:val="center"/>
        <w:rPr>
          <w:rFonts w:ascii="Arial" w:eastAsia="Times New Roman" w:hAnsi="Arial" w:cs="Arial"/>
          <w:b/>
          <w:szCs w:val="28"/>
          <w:lang w:val="uk-UA" w:eastAsia="ru-RU"/>
        </w:rPr>
      </w:pPr>
    </w:p>
    <w:p w14:paraId="660774C4" w14:textId="77777777" w:rsidR="006B07CA" w:rsidRPr="00511005" w:rsidRDefault="006B07CA"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СПОСОБИ І ПРИНЦИПИ ВИРІШЕННЯ КОЛІЗІЙ В ПРАВІ</w:t>
      </w:r>
    </w:p>
    <w:p w14:paraId="471779AA" w14:textId="77777777" w:rsidR="006B07CA" w:rsidRPr="00511005" w:rsidRDefault="006B07CA" w:rsidP="00BE3972">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Правова колізія – це ситуація, коли щодо одного і того ж суспільного відношення застосовуються декілька правових норм, що суперечать одна одній за змістом, способом регулювання або юридичною силою. Така суперечність ускладнює застосування норм права на практиці та створює правову невизначеність. Колізії можуть виникати як у межах однієї правової системи, так і між нормами національного та міжнародного права [1, 295-301]. Вони є наслідком складності правової дійсності, багатошаровості нормативного масиву та динамічних змін у правовому середовищі.</w:t>
      </w:r>
    </w:p>
    <w:p w14:paraId="6AA34F43" w14:textId="77777777" w:rsidR="006B07CA" w:rsidRPr="00511005" w:rsidRDefault="006B07CA" w:rsidP="00BE3972">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Види колізій розподіляються за кількома критеріями. За субординацією норм розрізняють вертикальні і горизонтальні колізії. Вертикальні колізії виникають між актами різної юридичної сили — наприклад, між законом і підзаконним актом, коли останній суперечить першому. Горизонтальні колізії стосуються актів однакового рівня (наприклад, двох законів), які по-різному врегульовують однакові відносини [2, 54].</w:t>
      </w:r>
    </w:p>
    <w:p w14:paraId="1624BBBF" w14:textId="77777777" w:rsidR="006B07CA" w:rsidRPr="00511005" w:rsidRDefault="006B07CA" w:rsidP="00BE3972">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Іншим критерієм є зміст правових норм. Розрізняють матеріальні колізії (стосуються регулювання прав і обов'язків сторін) та процесуальні колізії (регулюють порядок вирішення спору чи реалізації прав). Також виділяють темпоральні колізії — коли старий і новий акт одночасно діють щодо однакових правовідносин. У таких випадках застосовується принцип lex posterior derogat legi priori — новий закон скасовує старий.</w:t>
      </w:r>
    </w:p>
    <w:p w14:paraId="1A435246" w14:textId="77777777" w:rsidR="006B07CA" w:rsidRPr="00511005" w:rsidRDefault="006B07CA" w:rsidP="00BE3972">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Способи вирішення правових колізій поділяються на правотворчі та правозастосовні. До правотворчих відносять такі інструменти, як оновлення нормативних актів, їх скасування або прийняття нових. Законодавець може вирішити колізію шляхом прийняття нової редакції норми, внесення змін до чинного акту або прийняття спеціального закону. [3].</w:t>
      </w:r>
    </w:p>
    <w:p w14:paraId="23B810A3" w14:textId="77777777" w:rsidR="006B07CA" w:rsidRPr="00511005" w:rsidRDefault="006B07CA" w:rsidP="00BE3972">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До правозастосовних способів належить безпосереднє застосування судами принципів вирішення колізій. Такі способи включають судову практику, застосування аналогії права чи закону, а також врахування загальних принципів права. У випадку відсутності чітких норм суди можуть тлумачити норми з урахуванням мети законодавства та правових позицій вищих судів.</w:t>
      </w:r>
    </w:p>
    <w:p w14:paraId="67630272" w14:textId="77777777" w:rsidR="006B07CA" w:rsidRPr="00511005" w:rsidRDefault="006B07CA" w:rsidP="00BE3972">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Тлумачення права, зокрема офіційне, належить до правотворчих способів, оскільки створює нову юридичну реальність у межах наявного нормативного поля. Конституційний Суд України має повноваження надавати обов’язкове тлумачення законів, що дозволяє уникнути суперечностей у правозастосуванні [4].</w:t>
      </w:r>
    </w:p>
    <w:p w14:paraId="5C61C952" w14:textId="77777777" w:rsidR="006B07CA" w:rsidRPr="00511005" w:rsidRDefault="006B07CA" w:rsidP="00BE3972">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Разом із тим, судова практика загальних судів виконує правозастосовну функцію у вирішенні колізій, коли суди аналізують суперечності між нормами, застосовують аналогію та формують сталі правові позиції. Зокрема, правові висновки Верховного Суду часто стають дороговказом у практиці судів нижчих інстанцій.</w:t>
      </w:r>
    </w:p>
    <w:p w14:paraId="2E753CEF" w14:textId="77777777" w:rsidR="006B07CA" w:rsidRPr="00511005" w:rsidRDefault="006B07CA" w:rsidP="00BE3972">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У правозастосовній діяльності сформувалися три основні принципи, що забезпечують порядок застосування суперечливих норм:</w:t>
      </w:r>
    </w:p>
    <w:p w14:paraId="62AF771C" w14:textId="77777777" w:rsidR="006B07CA" w:rsidRPr="00511005" w:rsidRDefault="006B07CA" w:rsidP="00BE3972">
      <w:pPr>
        <w:numPr>
          <w:ilvl w:val="0"/>
          <w:numId w:val="19"/>
        </w:numPr>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b/>
          <w:bCs/>
          <w:i/>
          <w:szCs w:val="28"/>
          <w:lang w:val="uk-UA" w:eastAsia="uk-UA"/>
        </w:rPr>
        <w:t>Lex superior derogat legi inferiori</w:t>
      </w:r>
      <w:r w:rsidRPr="00511005">
        <w:rPr>
          <w:rFonts w:ascii="Arial" w:eastAsia="Times New Roman" w:hAnsi="Arial" w:cs="Arial"/>
          <w:szCs w:val="28"/>
          <w:lang w:val="uk-UA" w:eastAsia="uk-UA"/>
        </w:rPr>
        <w:t xml:space="preserve"> – норма вищої юридичної сили має перевагу над нормою нижчої сили. Наприклад, Конституція України має найвищу юридичну силу, тому жоден закон чи підзаконний акт не може їй суперечити.</w:t>
      </w:r>
      <w:r w:rsidRPr="00511005">
        <w:rPr>
          <w:rFonts w:ascii="Arial" w:eastAsia="Times New Roman" w:hAnsi="Arial" w:cs="Arial"/>
          <w:szCs w:val="28"/>
          <w:lang w:eastAsia="uk-UA"/>
        </w:rPr>
        <w:t xml:space="preserve"> </w:t>
      </w:r>
      <w:r w:rsidRPr="00511005">
        <w:rPr>
          <w:rFonts w:ascii="Arial" w:eastAsia="Times New Roman" w:hAnsi="Arial" w:cs="Arial"/>
          <w:szCs w:val="28"/>
          <w:lang w:val="en-US" w:eastAsia="uk-UA"/>
        </w:rPr>
        <w:t>[4]</w:t>
      </w:r>
    </w:p>
    <w:p w14:paraId="007968A8" w14:textId="77777777" w:rsidR="006B07CA" w:rsidRPr="00511005" w:rsidRDefault="006B07CA" w:rsidP="00BE3972">
      <w:pPr>
        <w:numPr>
          <w:ilvl w:val="0"/>
          <w:numId w:val="19"/>
        </w:numPr>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b/>
          <w:bCs/>
          <w:i/>
          <w:szCs w:val="28"/>
          <w:lang w:val="uk-UA" w:eastAsia="uk-UA"/>
        </w:rPr>
        <w:t>Lex posterior derogat legi priori</w:t>
      </w:r>
      <w:r w:rsidRPr="00511005">
        <w:rPr>
          <w:rFonts w:ascii="Arial" w:eastAsia="Times New Roman" w:hAnsi="Arial" w:cs="Arial"/>
          <w:szCs w:val="28"/>
          <w:lang w:val="uk-UA" w:eastAsia="uk-UA"/>
        </w:rPr>
        <w:t xml:space="preserve"> – новіша норма скасовує попередню, якщо вони однакового рівня. Цей принцип застосовується у випадку, коли неможливо застосувати принцип lex superior.</w:t>
      </w:r>
      <w:r w:rsidRPr="00511005">
        <w:rPr>
          <w:rFonts w:ascii="Arial" w:eastAsia="Times New Roman" w:hAnsi="Arial" w:cs="Arial"/>
          <w:szCs w:val="28"/>
          <w:lang w:eastAsia="uk-UA"/>
        </w:rPr>
        <w:t xml:space="preserve"> </w:t>
      </w:r>
      <w:r w:rsidRPr="00511005">
        <w:rPr>
          <w:rFonts w:ascii="Arial" w:eastAsia="Times New Roman" w:hAnsi="Arial" w:cs="Arial"/>
          <w:szCs w:val="28"/>
          <w:lang w:val="en-US" w:eastAsia="uk-UA"/>
        </w:rPr>
        <w:t>[</w:t>
      </w:r>
      <w:r w:rsidRPr="00511005">
        <w:rPr>
          <w:rFonts w:ascii="Arial" w:eastAsia="Times New Roman" w:hAnsi="Arial" w:cs="Arial"/>
          <w:szCs w:val="28"/>
          <w:lang w:val="uk-UA" w:eastAsia="uk-UA"/>
        </w:rPr>
        <w:t>5</w:t>
      </w:r>
      <w:r w:rsidRPr="00511005">
        <w:rPr>
          <w:rFonts w:ascii="Arial" w:eastAsia="Times New Roman" w:hAnsi="Arial" w:cs="Arial"/>
          <w:szCs w:val="28"/>
          <w:lang w:val="en-US" w:eastAsia="uk-UA"/>
        </w:rPr>
        <w:t>, 204-206]</w:t>
      </w:r>
    </w:p>
    <w:p w14:paraId="4CB0B5B2" w14:textId="77777777" w:rsidR="006B07CA" w:rsidRPr="00511005" w:rsidRDefault="006B07CA" w:rsidP="00BE3972">
      <w:pPr>
        <w:numPr>
          <w:ilvl w:val="0"/>
          <w:numId w:val="19"/>
        </w:numPr>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b/>
          <w:bCs/>
          <w:i/>
          <w:szCs w:val="28"/>
          <w:lang w:val="uk-UA" w:eastAsia="uk-UA"/>
        </w:rPr>
        <w:t>Lex specialis derogat legi generali</w:t>
      </w:r>
      <w:r w:rsidRPr="00511005">
        <w:rPr>
          <w:rFonts w:ascii="Arial" w:eastAsia="Times New Roman" w:hAnsi="Arial" w:cs="Arial"/>
          <w:szCs w:val="28"/>
          <w:lang w:val="uk-UA" w:eastAsia="uk-UA"/>
        </w:rPr>
        <w:t xml:space="preserve"> – спеціальна норма переважає загальну. Наприклад, у трудових спорах застосовуються норми Кодексу законів про працю, навіть якщо існують загальні положення Цивільного кодексу [6</w:t>
      </w:r>
      <w:r w:rsidRPr="00511005">
        <w:rPr>
          <w:rFonts w:ascii="Arial" w:eastAsia="Times New Roman" w:hAnsi="Arial" w:cs="Arial"/>
          <w:szCs w:val="28"/>
          <w:lang w:eastAsia="uk-UA"/>
        </w:rPr>
        <w:t>, 61-62</w:t>
      </w:r>
      <w:r w:rsidRPr="00511005">
        <w:rPr>
          <w:rFonts w:ascii="Arial" w:eastAsia="Times New Roman" w:hAnsi="Arial" w:cs="Arial"/>
          <w:szCs w:val="28"/>
          <w:lang w:val="uk-UA" w:eastAsia="uk-UA"/>
        </w:rPr>
        <w:t>].</w:t>
      </w:r>
    </w:p>
    <w:p w14:paraId="32373E24"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Принципи вирішення правових колізій застосовуються в чіткій ієрархії, яка визначає послідовність аналізу суперечливих норм. Це дозволяє мінімізувати правову невизначеність та гарантувати єдність судової практики. Передусім здійснюється перевірка відповідності норм системі правової ієрархії (принцип </w:t>
      </w:r>
      <w:r w:rsidRPr="00511005">
        <w:rPr>
          <w:rFonts w:ascii="Arial" w:eastAsia="Times New Roman" w:hAnsi="Arial" w:cs="Arial"/>
          <w:i/>
          <w:iCs/>
          <w:szCs w:val="28"/>
          <w:lang w:val="uk-UA" w:eastAsia="ru-RU"/>
        </w:rPr>
        <w:t>lex superior derogat legi inferiori</w:t>
      </w:r>
      <w:r w:rsidRPr="00511005">
        <w:rPr>
          <w:rFonts w:ascii="Arial" w:eastAsia="Times New Roman" w:hAnsi="Arial" w:cs="Arial"/>
          <w:szCs w:val="28"/>
          <w:lang w:val="uk-UA" w:eastAsia="ru-RU"/>
        </w:rPr>
        <w:t xml:space="preserve"> — норма вищої юридичної сили скасовує норму нижчої сили). У цьому контексті перевага завжди надається нормам, закріпленим у джерелах з вищим рівнем юридичної сили. Наприклад, Конституція України має вищу силу порівняно з законами, а останні — порівняно з підзаконними нормативними актами. Такий підхід є основою дотримання верховенства права в державі.</w:t>
      </w:r>
    </w:p>
    <w:p w14:paraId="0C57AD2B"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Якщо колізійні норми мають однакову юридичну силу, наступним кроком є застосування принципу </w:t>
      </w:r>
      <w:r w:rsidRPr="00511005">
        <w:rPr>
          <w:rFonts w:ascii="Arial" w:eastAsia="Times New Roman" w:hAnsi="Arial" w:cs="Arial"/>
          <w:i/>
          <w:iCs/>
          <w:szCs w:val="28"/>
          <w:lang w:val="uk-UA" w:eastAsia="ru-RU"/>
        </w:rPr>
        <w:t>lex posterior derogat legi priori</w:t>
      </w:r>
      <w:r w:rsidRPr="00511005">
        <w:rPr>
          <w:rFonts w:ascii="Arial" w:eastAsia="Times New Roman" w:hAnsi="Arial" w:cs="Arial"/>
          <w:szCs w:val="28"/>
          <w:lang w:val="uk-UA" w:eastAsia="ru-RU"/>
        </w:rPr>
        <w:t xml:space="preserve"> — пізніший закон скасовує раніший. Цей принцип враховує динаміку правового регулювання та дозволяє враховувати актуальні зміни в законодавстві. Наприклад, якщо існують два закони, які врегульовують те саме питання, але один з них був ухвалений пізніше — перевага надається саме цьому новішому акту, що відображає актуальну волю законодавця.</w:t>
      </w:r>
    </w:p>
    <w:p w14:paraId="1A9B060B" w14:textId="77777777" w:rsidR="006B07CA" w:rsidRPr="00511005" w:rsidRDefault="006B07CA" w:rsidP="00BE3972">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 завершальному етапі здійснюється аналіз кола правовідносин, що регулюються нормами, і застосовується принцип </w:t>
      </w:r>
      <w:r w:rsidRPr="00511005">
        <w:rPr>
          <w:rFonts w:ascii="Arial" w:eastAsia="Times New Roman" w:hAnsi="Arial" w:cs="Arial"/>
          <w:i/>
          <w:iCs/>
          <w:szCs w:val="28"/>
          <w:lang w:val="uk-UA" w:eastAsia="ru-RU"/>
        </w:rPr>
        <w:t>lex specialis derogat legi generali</w:t>
      </w:r>
      <w:r w:rsidRPr="00511005">
        <w:rPr>
          <w:rFonts w:ascii="Arial" w:eastAsia="Times New Roman" w:hAnsi="Arial" w:cs="Arial"/>
          <w:szCs w:val="28"/>
          <w:lang w:val="uk-UA" w:eastAsia="ru-RU"/>
        </w:rPr>
        <w:t xml:space="preserve"> — спеціальна норма має перевагу над загальною. Він діє тоді, коли обидві норми мають однакову юридичну силу й дату прийняття, але одна з них конкретніше регламентує відповідне правовідношення. Наприклад, положення податкового законодавства можуть уточнювати загальні принципи фінансового права, і в такому випадку застосовується саме спеціальна податкова норма.</w:t>
      </w:r>
    </w:p>
    <w:p w14:paraId="4843890C" w14:textId="77777777" w:rsidR="006B07CA" w:rsidRPr="00511005" w:rsidRDefault="006B07CA" w:rsidP="00BE3972">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Ця послідовність — від ієрархії, через хронологію до спеціалізації — забезпечує логічність і стабільність правозастосування, мінімізує суб’єктивізм у тлумаченні правових норм, а також сприяє передбачуваності рішень. Застосування принципів у встановленому порядку дає змогу </w:t>
      </w:r>
      <w:r w:rsidRPr="00511005">
        <w:rPr>
          <w:rFonts w:ascii="Arial" w:eastAsia="Times New Roman" w:hAnsi="Arial" w:cs="Arial"/>
          <w:szCs w:val="28"/>
          <w:lang w:val="uk-UA" w:eastAsia="ru-RU"/>
        </w:rPr>
        <w:lastRenderedPageBreak/>
        <w:t>органам влади, суддям і юристам діяти в межах чітко визначеного алгоритму, що підвищує довіру до правової системи та забезпечує реалізацію принципу правової визначеності.</w:t>
      </w:r>
      <w:r w:rsidRPr="00511005">
        <w:rPr>
          <w:rFonts w:ascii="Arial" w:eastAsia="Times New Roman" w:hAnsi="Arial" w:cs="Arial"/>
          <w:szCs w:val="28"/>
          <w:lang w:eastAsia="ru-RU"/>
        </w:rPr>
        <w:t xml:space="preserve"> [3]</w:t>
      </w:r>
    </w:p>
    <w:p w14:paraId="61ED5BE9" w14:textId="77777777" w:rsidR="006B07CA" w:rsidRPr="00511005" w:rsidRDefault="006B07CA" w:rsidP="00BE3972">
      <w:pPr>
        <w:spacing w:line="264" w:lineRule="auto"/>
        <w:rPr>
          <w:rFonts w:ascii="Arial" w:eastAsia="Times New Roman" w:hAnsi="Arial" w:cs="Arial"/>
          <w:bCs/>
          <w:szCs w:val="28"/>
          <w:lang w:val="uk-UA" w:eastAsia="uk-UA"/>
        </w:rPr>
      </w:pPr>
      <w:r w:rsidRPr="00511005">
        <w:rPr>
          <w:rFonts w:ascii="Arial" w:eastAsia="Times New Roman" w:hAnsi="Arial" w:cs="Arial"/>
          <w:szCs w:val="28"/>
          <w:lang w:val="uk-UA" w:eastAsia="uk-UA"/>
        </w:rPr>
        <w:t xml:space="preserve">Підсумовуючи усе вищесказане, можна дійти висновку, що </w:t>
      </w:r>
      <w:r w:rsidRPr="00511005">
        <w:rPr>
          <w:rFonts w:ascii="Arial" w:eastAsia="Times New Roman" w:hAnsi="Arial" w:cs="Arial"/>
          <w:b/>
          <w:bCs/>
          <w:szCs w:val="28"/>
          <w:lang w:val="uk-UA" w:eastAsia="uk-UA"/>
        </w:rPr>
        <w:t>проблема правових колізій є актуальною складовою сучасної правової системи, оскільки вона безпосередньо впливає на ефективність правозастосування та забезпечення правової визначеності. Колізії виникають через складність нормативної бази, часті зміни законодавства та суперечності між нормами різної юридичної сили, хронології чи змісту. Їх вирішення можливе як на рівні правотворення (шляхом оновлення, скасування або тлумачення норм), так і через правозастосування, зокрема за допомогою судової практики, аналогії права і тлумачення законодавства судами.</w:t>
      </w:r>
    </w:p>
    <w:p w14:paraId="69EBEF94" w14:textId="77777777" w:rsidR="006B07CA" w:rsidRPr="00511005" w:rsidRDefault="006B07CA" w:rsidP="00BE3972">
      <w:pPr>
        <w:spacing w:line="264" w:lineRule="auto"/>
        <w:rPr>
          <w:rFonts w:ascii="Arial" w:eastAsia="Times New Roman" w:hAnsi="Arial" w:cs="Arial"/>
          <w:bCs/>
          <w:szCs w:val="28"/>
          <w:lang w:val="uk-UA" w:eastAsia="uk-UA"/>
        </w:rPr>
      </w:pPr>
      <w:r w:rsidRPr="00511005">
        <w:rPr>
          <w:rFonts w:ascii="Arial" w:eastAsia="Times New Roman" w:hAnsi="Arial" w:cs="Arial"/>
          <w:b/>
          <w:bCs/>
          <w:szCs w:val="28"/>
          <w:lang w:val="uk-UA" w:eastAsia="uk-UA"/>
        </w:rPr>
        <w:t>Визначальна роль у подоланні правових колізій належить принципам lex superior, lex posterior та lex specialis, які застосовуються у чіткій послідовності. Такий підхід забезпечує системність, передбачуваність судових рішень і дотримання принципу верховенства права. Дотримання цих принципів дає змогу уникати правової невизначеності, сприяє єдності судової практики та підвищує довіру до правової системи. Успішне застосування цих механізмів є запорукою стабільності функціонування демократичної правової держави.</w:t>
      </w:r>
    </w:p>
    <w:p w14:paraId="1B52FD39" w14:textId="77777777" w:rsidR="006B07CA" w:rsidRPr="00511005" w:rsidRDefault="006B07CA" w:rsidP="003A292D">
      <w:pPr>
        <w:spacing w:line="264" w:lineRule="auto"/>
        <w:ind w:firstLine="0"/>
        <w:rPr>
          <w:rFonts w:ascii="Arial" w:eastAsia="Times New Roman" w:hAnsi="Arial" w:cs="Arial"/>
          <w:bCs/>
          <w:szCs w:val="28"/>
          <w:lang w:val="uk-UA" w:eastAsia="uk-UA"/>
        </w:rPr>
      </w:pPr>
    </w:p>
    <w:p w14:paraId="59C9423B" w14:textId="7C68411D" w:rsidR="006B07CA" w:rsidRPr="00511005" w:rsidRDefault="007B2628" w:rsidP="007B2628">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Список використаних джерел</w:t>
      </w:r>
    </w:p>
    <w:p w14:paraId="18FEB910" w14:textId="77777777" w:rsidR="006B07CA" w:rsidRPr="00511005" w:rsidRDefault="006B07CA" w:rsidP="00BE3972">
      <w:pPr>
        <w:numPr>
          <w:ilvl w:val="0"/>
          <w:numId w:val="20"/>
        </w:numPr>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Баранов О. А. Юридична відповідальність за правопорушення в інформаційній сфері. Київ: КВІЦ, 2019. 344с.</w:t>
      </w:r>
    </w:p>
    <w:p w14:paraId="7F0E564D" w14:textId="77777777" w:rsidR="006B07CA" w:rsidRPr="00511005" w:rsidRDefault="006B07CA" w:rsidP="00BE3972">
      <w:pPr>
        <w:numPr>
          <w:ilvl w:val="0"/>
          <w:numId w:val="20"/>
        </w:numPr>
        <w:spacing w:line="264" w:lineRule="auto"/>
        <w:ind w:left="0" w:firstLine="709"/>
        <w:rPr>
          <w:rFonts w:ascii="Arial" w:eastAsia="Times New Roman" w:hAnsi="Arial" w:cs="Arial"/>
          <w:szCs w:val="28"/>
          <w:lang w:val="uk-UA" w:eastAsia="ru-RU"/>
        </w:rPr>
      </w:pPr>
      <w:r w:rsidRPr="00511005">
        <w:rPr>
          <w:rFonts w:ascii="Arial" w:eastAsia="Calibri" w:hAnsi="Arial" w:cs="Arial"/>
          <w:szCs w:val="28"/>
          <w:lang w:val="uk-UA"/>
        </w:rPr>
        <w:t xml:space="preserve">Розгон О. В. Сутність механізму вирішення колізій норм права. </w:t>
      </w:r>
      <w:r w:rsidRPr="00511005">
        <w:rPr>
          <w:rFonts w:ascii="Arial" w:eastAsia="Calibri" w:hAnsi="Arial" w:cs="Arial"/>
          <w:i/>
          <w:iCs/>
          <w:szCs w:val="28"/>
          <w:lang w:val="uk-UA"/>
        </w:rPr>
        <w:t>Eurasian Academic Research Journal</w:t>
      </w:r>
      <w:r w:rsidRPr="00511005">
        <w:rPr>
          <w:rFonts w:ascii="Arial" w:eastAsia="Calibri" w:hAnsi="Arial" w:cs="Arial"/>
          <w:szCs w:val="28"/>
          <w:lang w:val="uk-UA"/>
        </w:rPr>
        <w:t xml:space="preserve">. 2016. № 1. С.53-62 </w:t>
      </w:r>
    </w:p>
    <w:p w14:paraId="6411D0B7" w14:textId="77777777" w:rsidR="006B07CA" w:rsidRPr="00511005" w:rsidRDefault="006B07CA" w:rsidP="00BE3972">
      <w:pPr>
        <w:numPr>
          <w:ilvl w:val="0"/>
          <w:numId w:val="20"/>
        </w:numPr>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Лист Міністерства юстиції N 758-0-2-08-19 від 26.12.2008р. </w:t>
      </w:r>
      <w:r w:rsidRPr="00511005">
        <w:rPr>
          <w:rFonts w:ascii="Arial" w:eastAsia="Times New Roman" w:hAnsi="Arial" w:cs="Arial"/>
          <w:i/>
          <w:szCs w:val="28"/>
          <w:lang w:val="uk-UA" w:eastAsia="ru-RU"/>
        </w:rPr>
        <w:t>«</w:t>
      </w:r>
      <w:r w:rsidRPr="00511005">
        <w:rPr>
          <w:rFonts w:ascii="Arial" w:eastAsia="Calibri" w:hAnsi="Arial" w:cs="Arial"/>
          <w:bCs/>
          <w:i/>
          <w:szCs w:val="28"/>
          <w:shd w:val="clear" w:color="auto" w:fill="FFFFFF"/>
          <w:lang w:val="uk-UA"/>
        </w:rPr>
        <w:t>Щодо практики застосування норм права у випадку колізі</w:t>
      </w:r>
      <w:r w:rsidRPr="00511005">
        <w:rPr>
          <w:rFonts w:ascii="Arial" w:eastAsia="Calibri" w:hAnsi="Arial" w:cs="Arial"/>
          <w:bCs/>
          <w:szCs w:val="28"/>
          <w:shd w:val="clear" w:color="auto" w:fill="FFFFFF"/>
          <w:lang w:val="uk-UA"/>
        </w:rPr>
        <w:t xml:space="preserve">ї». </w:t>
      </w:r>
      <w:r w:rsidRPr="00511005">
        <w:rPr>
          <w:rFonts w:ascii="Arial" w:eastAsia="Times New Roman" w:hAnsi="Arial" w:cs="Arial"/>
          <w:szCs w:val="28"/>
          <w:lang w:val="uk-UA" w:eastAsia="ru-RU"/>
        </w:rPr>
        <w:t xml:space="preserve">URL: </w:t>
      </w:r>
      <w:hyperlink r:id="rId19" w:anchor="Text" w:history="1">
        <w:r w:rsidRPr="00511005">
          <w:rPr>
            <w:rFonts w:ascii="Arial" w:eastAsia="Times New Roman" w:hAnsi="Arial" w:cs="Arial"/>
            <w:szCs w:val="28"/>
            <w:lang w:val="uk-UA" w:eastAsia="ru-RU"/>
          </w:rPr>
          <w:t>https://zakon.rada.gov.ua/laws/show/v0758323-08#Text</w:t>
        </w:r>
      </w:hyperlink>
    </w:p>
    <w:p w14:paraId="1A80E95B" w14:textId="77777777" w:rsidR="006B07CA" w:rsidRPr="00511005" w:rsidRDefault="006B07CA" w:rsidP="00BE3972">
      <w:pPr>
        <w:numPr>
          <w:ilvl w:val="0"/>
          <w:numId w:val="20"/>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Конституційний Суд України. Межі повноважень конституційного Суду України. </w:t>
      </w:r>
      <w:r w:rsidRPr="00511005">
        <w:rPr>
          <w:rFonts w:ascii="Arial" w:eastAsia="Calibri" w:hAnsi="Arial" w:cs="Arial"/>
          <w:szCs w:val="28"/>
          <w:lang w:val="pl-PL"/>
        </w:rPr>
        <w:t xml:space="preserve">URL: </w:t>
      </w:r>
      <w:hyperlink r:id="rId20" w:history="1">
        <w:r w:rsidRPr="00511005">
          <w:rPr>
            <w:rFonts w:ascii="Arial" w:eastAsia="Calibri" w:hAnsi="Arial" w:cs="Arial"/>
            <w:szCs w:val="28"/>
            <w:lang w:val="uk-UA"/>
          </w:rPr>
          <w:t>https://ccu.gov.ua/storinka-knygy/4-mezhi-povnovazhen-konstytuciynogo-sudu-ukrayiny-pidvidomchist-porushenyh-pytan</w:t>
        </w:r>
      </w:hyperlink>
    </w:p>
    <w:p w14:paraId="5E84F89C" w14:textId="77777777" w:rsidR="006B07CA" w:rsidRPr="00511005" w:rsidRDefault="006B07CA" w:rsidP="00BE3972">
      <w:pPr>
        <w:numPr>
          <w:ilvl w:val="0"/>
          <w:numId w:val="20"/>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Правовий моніторинг як складова правотворчої та правозастосовчої діяльності: монографія / за заг. ред. О.О. Кота, А.Б. Гриняка, Н.В. Міловської. Київ : Алерта, 2023. 268 с.</w:t>
      </w:r>
    </w:p>
    <w:p w14:paraId="2E426D7D" w14:textId="77777777" w:rsidR="006B07CA" w:rsidRPr="00511005" w:rsidRDefault="006B07CA" w:rsidP="00BE3972">
      <w:pPr>
        <w:numPr>
          <w:ilvl w:val="0"/>
          <w:numId w:val="20"/>
        </w:numPr>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Косяченко К.Е. Цивільно-правова відповідальність: теоретичні аспекти та підстави виникнення. </w:t>
      </w:r>
      <w:r w:rsidRPr="00511005">
        <w:rPr>
          <w:rFonts w:ascii="Arial" w:eastAsia="Times New Roman" w:hAnsi="Arial" w:cs="Arial"/>
          <w:i/>
          <w:iCs/>
          <w:szCs w:val="28"/>
          <w:lang w:val="uk-UA" w:eastAsia="ru-RU"/>
        </w:rPr>
        <w:t>Науковий вісник Дніпропетровського державного університету внутрішніх справ</w:t>
      </w:r>
      <w:r w:rsidRPr="00511005">
        <w:rPr>
          <w:rFonts w:ascii="Arial" w:eastAsia="Times New Roman" w:hAnsi="Arial" w:cs="Arial"/>
          <w:szCs w:val="28"/>
          <w:lang w:val="uk-UA" w:eastAsia="ru-RU"/>
        </w:rPr>
        <w:t>. 2022. № 1. С. 60-63.</w:t>
      </w:r>
    </w:p>
    <w:p w14:paraId="456F0EB4"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5093F55E" w14:textId="61E3A248"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uk-UA" w:eastAsia="ru-RU"/>
        </w:rPr>
        <w:lastRenderedPageBreak/>
        <w:t xml:space="preserve">Ключові слова: </w:t>
      </w:r>
      <w:r w:rsidR="006B07CA" w:rsidRPr="00511005">
        <w:rPr>
          <w:rFonts w:ascii="Arial" w:eastAsia="Times New Roman" w:hAnsi="Arial" w:cs="Arial"/>
          <w:szCs w:val="28"/>
          <w:lang w:val="uk-UA" w:eastAsia="ru-RU"/>
        </w:rPr>
        <w:t>правові колізії, правозастосування, правотворчість, тлумачення права, судова практика.</w:t>
      </w:r>
    </w:p>
    <w:p w14:paraId="5738F927" w14:textId="0EC3EA6F"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6B07CA" w:rsidRPr="00511005">
        <w:rPr>
          <w:rFonts w:ascii="Arial" w:eastAsia="Times New Roman" w:hAnsi="Arial" w:cs="Arial"/>
          <w:szCs w:val="28"/>
          <w:lang w:val="uk-UA" w:eastAsia="ru-RU"/>
        </w:rPr>
        <w:t>legal conflicts, law enforcement, lawmaking, interpretation of law, judicial practice.</w:t>
      </w:r>
    </w:p>
    <w:p w14:paraId="3FBB3D7C" w14:textId="12DB1CFD" w:rsidR="006B07CA" w:rsidRPr="00511005" w:rsidRDefault="007B2628" w:rsidP="003A292D">
      <w:pPr>
        <w:spacing w:line="264" w:lineRule="auto"/>
        <w:ind w:firstLine="0"/>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6B07CA" w:rsidRPr="00511005">
        <w:rPr>
          <w:rFonts w:ascii="Arial" w:eastAsia="Times New Roman" w:hAnsi="Arial" w:cs="Arial"/>
          <w:i/>
          <w:szCs w:val="28"/>
          <w:lang w:val="uk-UA" w:eastAsia="ru-RU"/>
        </w:rPr>
        <w:t>к.ю.н., доцент Ковбасюк С.В.</w:t>
      </w:r>
    </w:p>
    <w:p w14:paraId="0D32A29B" w14:textId="77777777" w:rsidR="006B07CA" w:rsidRPr="00511005" w:rsidRDefault="006B07CA" w:rsidP="003A292D">
      <w:pPr>
        <w:spacing w:line="264" w:lineRule="auto"/>
        <w:ind w:firstLine="0"/>
        <w:rPr>
          <w:rFonts w:ascii="Arial" w:eastAsia="Times New Roman" w:hAnsi="Arial" w:cs="Arial"/>
          <w:i/>
          <w:szCs w:val="28"/>
          <w:lang w:val="uk-UA" w:eastAsia="ru-RU"/>
        </w:rPr>
      </w:pPr>
    </w:p>
    <w:p w14:paraId="6A94BEA4" w14:textId="77777777" w:rsidR="006B07CA" w:rsidRPr="00511005" w:rsidRDefault="006B07CA" w:rsidP="003A292D">
      <w:pPr>
        <w:spacing w:line="264" w:lineRule="auto"/>
        <w:ind w:firstLine="0"/>
        <w:rPr>
          <w:rFonts w:ascii="Arial" w:eastAsia="Times New Roman" w:hAnsi="Arial" w:cs="Arial"/>
          <w:i/>
          <w:szCs w:val="28"/>
          <w:lang w:val="uk-UA" w:eastAsia="ru-RU"/>
        </w:rPr>
      </w:pPr>
    </w:p>
    <w:p w14:paraId="2DC97E80" w14:textId="77777777" w:rsidR="006B07CA" w:rsidRPr="00511005" w:rsidRDefault="006B07CA" w:rsidP="003A292D">
      <w:pPr>
        <w:spacing w:line="264" w:lineRule="auto"/>
        <w:ind w:firstLine="0"/>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Гачук Дар’я Сергіївна</w:t>
      </w:r>
    </w:p>
    <w:p w14:paraId="2606C7D2" w14:textId="42431E18" w:rsidR="006B07CA"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студентка 1-го курсу факультету цивільної та господарської юстиції</w:t>
      </w:r>
    </w:p>
    <w:p w14:paraId="6D2C9C87" w14:textId="38ACCB6E" w:rsidR="006B07CA"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37DCDB1" w14:textId="77777777" w:rsidR="006B07CA" w:rsidRPr="00511005" w:rsidRDefault="006B07CA" w:rsidP="003A292D">
      <w:pPr>
        <w:spacing w:line="264" w:lineRule="auto"/>
        <w:ind w:firstLine="0"/>
        <w:jc w:val="center"/>
        <w:rPr>
          <w:rFonts w:ascii="Arial" w:eastAsia="Times New Roman" w:hAnsi="Arial" w:cs="Arial"/>
          <w:szCs w:val="28"/>
          <w:lang w:eastAsia="ru-RU"/>
        </w:rPr>
      </w:pPr>
    </w:p>
    <w:p w14:paraId="6C48F9CE" w14:textId="22B22D64" w:rsidR="006B07CA" w:rsidRPr="00511005" w:rsidRDefault="006B07CA" w:rsidP="003A292D">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eastAsia="ru-RU"/>
        </w:rPr>
        <w:t xml:space="preserve">ПРАВОВИЙ ЗВИЧАЙ </w:t>
      </w:r>
      <w:r w:rsidR="00383DE9" w:rsidRPr="00511005">
        <w:rPr>
          <w:rFonts w:ascii="Arial" w:eastAsia="Times New Roman" w:hAnsi="Arial" w:cs="Arial"/>
          <w:b/>
          <w:bCs/>
          <w:szCs w:val="28"/>
          <w:lang w:val="uk-UA" w:eastAsia="ru-RU"/>
        </w:rPr>
        <w:t>У</w:t>
      </w:r>
      <w:r w:rsidRPr="00511005">
        <w:rPr>
          <w:rFonts w:ascii="Arial" w:eastAsia="Times New Roman" w:hAnsi="Arial" w:cs="Arial"/>
          <w:b/>
          <w:bCs/>
          <w:szCs w:val="28"/>
          <w:lang w:eastAsia="ru-RU"/>
        </w:rPr>
        <w:t xml:space="preserve"> СИСТЕМІ ДЖЕРЕЛ ПРАВА УКРАЇНИ</w:t>
      </w:r>
    </w:p>
    <w:p w14:paraId="46A4535D"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Сьогодні Україна продовжує творити абсолютно нову правову систему суверенної, незалежної та демократичної держави. Цей процес відбувається з урахуванням як сучасних глобалізаційних викликів, так і глибинних самобутніх рис нашої нації. Поступово національне законодавство приводиться у відповідність до міжнародних стандартів, однак у правосвідомості громадян все ще залишаються певні стереотипи, що походять із радянської соціалістичної системи права. Одним із таких складних і неоднозначно сприйманих явищ є правовий звичай — його місце і роль у сучасній правовій системі України загалом.</w:t>
      </w:r>
    </w:p>
    <w:p w14:paraId="291EF69F"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Правовий звичай є одним із найдавніших джерел права і вважається одним із перших способів регулювання суспільних відносин. Саме зі звичаїв зародилися подальші форми права, адже вони стали підґрунтям для формування інших джерел правової системи. У середньовіччі та навіть у сучасних правових системах традиційного типу він зберіг своє значення. Відповідно до нормативістського підходу, що домінував у радянському праворозумінні, правовий звичай розглядався лише як історичний феномен, який у сучасності не мав би відігравати суттєвої ролі в регулюванні суспільних відносин. Проте з розвитком альтернативних концепцій права, звичай почав розглядатися як постійне і живе джерело права. В українській правовій традиції звичай лежить у витоках самого поняття права. Історично звичаї стали основою, на якій поступово вибудовувалась система законодавства [3,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.56].</w:t>
      </w:r>
    </w:p>
    <w:p w14:paraId="23E7F174"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Під правовим звичаєм розуміється правило поведінки, яке сформувалося внаслідок тривалого і послідовного застосування у суспільстві, здобуло загальнообов’язковий характер і визнається державою. У системі джерел права України правовий звичай відіграє допоміжну роль, актуалізуючись переважно в ситуаціях, де немає прямої законодавчої регламентації [2, с.25]. Це особливо важливо у сучасних реаліях, коли суспільні відносини розвиваються динамічно й не завжди встигають бути належно врегульовані нормативними актами.</w:t>
      </w:r>
    </w:p>
    <w:p w14:paraId="1426B1C1" w14:textId="77777777" w:rsidR="006B07CA" w:rsidRPr="00511005" w:rsidRDefault="006B07CA" w:rsidP="00383DE9">
      <w:pPr>
        <w:spacing w:line="264" w:lineRule="auto"/>
        <w:rPr>
          <w:rFonts w:ascii="Arial" w:eastAsia="Times New Roman" w:hAnsi="Arial" w:cs="Arial"/>
          <w:szCs w:val="28"/>
          <w:lang w:eastAsia="ru-RU"/>
        </w:rPr>
      </w:pPr>
      <w:proofErr w:type="gramStart"/>
      <w:r w:rsidRPr="00511005">
        <w:rPr>
          <w:rFonts w:ascii="Arial" w:eastAsia="Times New Roman" w:hAnsi="Arial" w:cs="Arial"/>
          <w:szCs w:val="28"/>
          <w:lang w:eastAsia="ru-RU"/>
        </w:rPr>
        <w:lastRenderedPageBreak/>
        <w:t>У межах</w:t>
      </w:r>
      <w:proofErr w:type="gramEnd"/>
      <w:r w:rsidRPr="00511005">
        <w:rPr>
          <w:rFonts w:ascii="Arial" w:eastAsia="Times New Roman" w:hAnsi="Arial" w:cs="Arial"/>
          <w:szCs w:val="28"/>
          <w:lang w:eastAsia="ru-RU"/>
        </w:rPr>
        <w:t xml:space="preserve"> джерел цивільного права важливим елементом є звичаї, особливо ті, що виникли та укорінились у сфері підприємництва, так звані звичаї ділового обороту. Цивільно-правовий звичай — це правило поведінки, що сформувалося у конкретній сфері цивільних правовідносин і вважається обов’язковим, хоча й не має закріплення в офіційних правових актах [3, с.56].</w:t>
      </w:r>
    </w:p>
    <w:p w14:paraId="2B7DFEF3"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Значною частиною звичаїв є ті, що діють у господарській діяльності. Вони виникають із багаторічної практики у бізнес-середовищі, закріплюються через повторення та застосовуються як стандарт поведінки між сторонами.</w:t>
      </w:r>
    </w:p>
    <w:p w14:paraId="1BAA6ED8"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Сфера застосування звичаю в регулюванні цивільних відносин Цивільного кодексу України не обмежується. Відповідно до ст. 7 будь-які цивільні відносини можуть бути врегульовані ним [8]. Однак застосування звичаїв можливе лише тоді, коли конкретні відносини не врегульовані законом або договором. При цьому вони не повинні суперечити ні чинному цивільному законодавству, ні умовам угод, укладених між сторонами. </w:t>
      </w:r>
    </w:p>
    <w:p w14:paraId="746B21A4"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Сучасне українське законодавство визнає звичай джерелом права не лише в цивільній чи господарській галузі, а у багатьох галузях права. Наприклад, Сімейний кодекс України дозволяє враховувати місцеві та національні звичаї під час вирішення сімейних спорів, якщо вони не суперечать моралі та законам. Такі положення підкреслюють важливість традицій як способу збереження національної ідентичності [5, с.5].</w:t>
      </w:r>
    </w:p>
    <w:p w14:paraId="4CF6943A"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міжнародному праві, особливо в торгівлі та мореплавстві, звичаї виконують важливу функцію регулювання відносин у разі відсутності чітких норм. Аналогічно, в українському Кодексі торговельного мореплавства низка норм прямо апелює до морських та міжнародних звичаїв, надаючи їм правової сили [6, с.204]. Це підтверджує, що звичаї можуть бути формалізовані та виконувати роль нормативного регулятора.</w:t>
      </w:r>
    </w:p>
    <w:p w14:paraId="2AA15475"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Правовий звичай також визнається джерелом адміністративного права, однак його застосування можливе лише за наявності певних умов, визначених законодавством України. Основним критерієм є санкціонування такого звичаю державою — або через пряму вказівку в законі, або шляхом одночасного визнання його законодавчим органом і судовою практикою (дуалістичне санкціонування). Юридична сила правового звичаю в адміністративному праві завжди залежить від його узгодженості з чинним законодавством та статусу відповідного акту управління, в межах якого цей звичай застосовується. У разі якщо звичай набуває закріплення в нормативно-правовому акті, він втрачає статус звичаю як джерела права в класичному розумінні і набуває юридичних ознак закону чи підзаконного акту [7, с.45].</w:t>
      </w:r>
    </w:p>
    <w:p w14:paraId="0A31C8C0"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Звичай як джерело адміністративного права може використовуватись лише в поодиноких, виняткових випадках, коли немає прямого </w:t>
      </w:r>
      <w:r w:rsidRPr="00511005">
        <w:rPr>
          <w:rFonts w:ascii="Arial" w:eastAsia="Times New Roman" w:hAnsi="Arial" w:cs="Arial"/>
          <w:szCs w:val="28"/>
          <w:lang w:eastAsia="ru-RU"/>
        </w:rPr>
        <w:lastRenderedPageBreak/>
        <w:t xml:space="preserve">законодавчого регулювання, за умови, що цей звичай не суперечить закону, моральним нормам і загальним принципам правової системи. У таких випадках роль правового звичаю — другорядна та обмежена: він не є повноцінним і самостійним джерелом адміністративного права, а лише підстраховує правову систему у виняткових ситуаціях, коли немає прямих норм, але є визнана державою практика [7, с.46]. </w:t>
      </w:r>
    </w:p>
    <w:p w14:paraId="32EF22BA"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Особливу актуальність вивчення правового звичаю сьогодні визначає й сфера трудового права, де вплив звичаїв особливо відчутний. Навіть у радянські часи, коли офіційно звичаї як джерело права ігнорувалися, у сфері праці вони не тільки існували, а й активно впливали на правовідносини. Проте питання визначення правового звичаю в системі джерел трудового права є доволі спірним. У науковій літературі існують два протилежні підходи до цієї проблеми. З одного боку, деякі дослідники вважають, що через необхідність офіційного санкціонування правовий звичай не є повноцінним джерелом трудового права. З іншого боку, інші науковці стверджують, що правовий звичай є органічною складовою системи джерел трудового права [1, с.35].</w:t>
      </w:r>
    </w:p>
    <w:p w14:paraId="1B13FD29"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Значна кількість прикладів підтверджує існування правових звичаїв у трудовому праві України. Наприклад, традиція авансової виплати заробітної плати, строк випробувального терміну, виплата премій, подання письмової заяви при прийнятті </w:t>
      </w:r>
      <w:proofErr w:type="gramStart"/>
      <w:r w:rsidRPr="00511005">
        <w:rPr>
          <w:rFonts w:ascii="Arial" w:eastAsia="Times New Roman" w:hAnsi="Arial" w:cs="Arial"/>
          <w:szCs w:val="28"/>
          <w:lang w:eastAsia="ru-RU"/>
        </w:rPr>
        <w:t>на роботу</w:t>
      </w:r>
      <w:proofErr w:type="gramEnd"/>
      <w:r w:rsidRPr="00511005">
        <w:rPr>
          <w:rFonts w:ascii="Arial" w:eastAsia="Times New Roman" w:hAnsi="Arial" w:cs="Arial"/>
          <w:szCs w:val="28"/>
          <w:lang w:eastAsia="ru-RU"/>
        </w:rPr>
        <w:t xml:space="preserve"> — усе це є правовими звичаями, що отримали визнання та фактично закріплення в чинному законодавстві. Також важливим прикладом є інститут присяги працівників державної служби, поліції, прокуратури тощо [1, с.37]. Крім того, практика святкування державних і професійних свят, що передбачає надання вихідних днів (хоч зараз </w:t>
      </w:r>
      <w:proofErr w:type="gramStart"/>
      <w:r w:rsidRPr="00511005">
        <w:rPr>
          <w:rFonts w:ascii="Arial" w:eastAsia="Times New Roman" w:hAnsi="Arial" w:cs="Arial"/>
          <w:szCs w:val="28"/>
          <w:lang w:eastAsia="ru-RU"/>
        </w:rPr>
        <w:t>у наш час</w:t>
      </w:r>
      <w:proofErr w:type="gramEnd"/>
      <w:r w:rsidRPr="00511005">
        <w:rPr>
          <w:rFonts w:ascii="Arial" w:eastAsia="Times New Roman" w:hAnsi="Arial" w:cs="Arial"/>
          <w:szCs w:val="28"/>
          <w:lang w:eastAsia="ru-RU"/>
        </w:rPr>
        <w:t xml:space="preserve"> це не актуально), також має характер правового звичаю, який закріплений у Кодексі законів про працю України [4]. Враховуючи наведені приклади, можна стверджувати, що правовий звичай дійсно не лише відображає історичну спадковість, але й адаптується до сучасних реалій, сприяючи стабільності й гнучкості правового регулювання в умовах змін і викликів, зокрема в період воєнного стану.</w:t>
      </w:r>
    </w:p>
    <w:p w14:paraId="68E3BB39"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Отже, на основі викладеного можна стверджувати, правовий звичай є історично сформованим, усталеним правилом поведінки, яке, хоч і поступається нормативно-правовим актам за юридичною силою, продовжує відігравати важливу роль у системі джерел права України. Його застосування доцільне в ситуаціях, коли відсутнє пряме правове регулювання, а також за умови, що звичай не суперечить чинному законодавству, договорам та моральним засадам суспільства. У різних галузях права (цивільному, господарському, сімейному, трудовому, адміністративному, міжнародному) правовий звичай виконує допоміжну функцію, доповнюючи закон у разі його прогалин. Особливо актуально це в умовах соціальних змін, воєнного стану та реформування правової системи, </w:t>
      </w:r>
      <w:r w:rsidRPr="00511005">
        <w:rPr>
          <w:rFonts w:ascii="Arial" w:eastAsia="Times New Roman" w:hAnsi="Arial" w:cs="Arial"/>
          <w:szCs w:val="28"/>
          <w:lang w:eastAsia="ru-RU"/>
        </w:rPr>
        <w:lastRenderedPageBreak/>
        <w:t>коли звичаї виступають як гнучкий інструмент правового регулювання, що ґрунтується на практичному досвіді та правосвідомості народу. Правовий звичай є не лише частиною історичної спадщини, а й живим правовим механізмом, який сприяє збереженню традицій, стабільності та справедливості в українському правопорядку. Його подальше визнання та адаптація в межах сучасного законодавства є важливим кроком до зміцнення правової держави та розвитку правової культури.</w:t>
      </w:r>
    </w:p>
    <w:p w14:paraId="039275CB"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24BD986E" w14:textId="264D3D34" w:rsidR="006B07CA" w:rsidRPr="00511005" w:rsidRDefault="007B2628" w:rsidP="007B2628">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188D89D5" w14:textId="77777777" w:rsidR="006B07CA" w:rsidRPr="00511005" w:rsidRDefault="006B07CA"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1. Кузьменко В.В. Поняття й сутність правового звичаю в системі джерел трудового права України. ISSN 1813-338Х. </w:t>
      </w:r>
      <w:r w:rsidRPr="00511005">
        <w:rPr>
          <w:rFonts w:ascii="Arial" w:eastAsia="Times New Roman" w:hAnsi="Arial" w:cs="Arial"/>
          <w:i/>
          <w:iCs/>
          <w:szCs w:val="28"/>
          <w:lang w:eastAsia="ru-RU"/>
        </w:rPr>
        <w:t>Держава та регіони</w:t>
      </w:r>
      <w:r w:rsidRPr="00511005">
        <w:rPr>
          <w:rFonts w:ascii="Arial" w:eastAsia="Times New Roman" w:hAnsi="Arial" w:cs="Arial"/>
          <w:szCs w:val="28"/>
          <w:lang w:eastAsia="ru-RU"/>
        </w:rPr>
        <w:t>. Серія: Право, 2020 р., № 1 (67) том 2. С.33-39. DOI https://doi.org/10.32840/1813-338X-2020.1-2.5</w:t>
      </w:r>
    </w:p>
    <w:p w14:paraId="08ED6A01" w14:textId="0BABFB72" w:rsidR="006B07CA" w:rsidRPr="00511005" w:rsidRDefault="006B07CA"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2.</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Богачова Л.Л., Ковальчук Д.Р., Кундій А.Ю. Правовий звичай як джерело права в Україні. Юридичний науковий електронний журнал. Випуск 2021. С.24-27. DOI https://doi.org/10.32782/2524-0374/2021-4/3</w:t>
      </w:r>
    </w:p>
    <w:p w14:paraId="17084FA1" w14:textId="77777777" w:rsidR="006B07CA" w:rsidRPr="00511005" w:rsidRDefault="006B07CA"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3. Майданик Р.А. Вчення про джерела цивільного права України. </w:t>
      </w:r>
      <w:r w:rsidRPr="00511005">
        <w:rPr>
          <w:rFonts w:ascii="Arial" w:eastAsia="Times New Roman" w:hAnsi="Arial" w:cs="Arial"/>
          <w:i/>
          <w:iCs/>
          <w:szCs w:val="28"/>
          <w:lang w:eastAsia="ru-RU"/>
        </w:rPr>
        <w:t>Право України</w:t>
      </w:r>
      <w:r w:rsidRPr="00511005">
        <w:rPr>
          <w:rFonts w:ascii="Arial" w:eastAsia="Times New Roman" w:hAnsi="Arial" w:cs="Arial"/>
          <w:szCs w:val="28"/>
          <w:lang w:eastAsia="ru-RU"/>
        </w:rPr>
        <w:t>. 2017 р. №6. С.53-60.</w:t>
      </w:r>
    </w:p>
    <w:p w14:paraId="34E38DDC" w14:textId="77777777" w:rsidR="006B07CA" w:rsidRPr="00511005" w:rsidRDefault="006B07CA"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4. Кодекс законів про працю України.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21" w:anchor="Text"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show</w:t>
        </w:r>
        <w:r w:rsidRPr="00511005">
          <w:rPr>
            <w:rFonts w:ascii="Arial" w:eastAsia="Times New Roman" w:hAnsi="Arial" w:cs="Arial"/>
            <w:szCs w:val="28"/>
            <w:lang w:eastAsia="ru-RU"/>
          </w:rPr>
          <w:t>/322-08#</w:t>
        </w:r>
        <w:r w:rsidRPr="00511005">
          <w:rPr>
            <w:rFonts w:ascii="Arial" w:eastAsia="Times New Roman" w:hAnsi="Arial" w:cs="Arial"/>
            <w:szCs w:val="28"/>
            <w:lang w:val="en-US" w:eastAsia="ru-RU"/>
          </w:rPr>
          <w:t>Text</w:t>
        </w:r>
      </w:hyperlink>
    </w:p>
    <w:p w14:paraId="18C5F782" w14:textId="77777777" w:rsidR="006B07CA" w:rsidRPr="00511005" w:rsidRDefault="006B07CA"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5. Борщевський І.В. Правовий звичай як джерело сучасного права України. </w:t>
      </w:r>
      <w:r w:rsidRPr="00511005">
        <w:rPr>
          <w:rFonts w:ascii="Arial" w:eastAsia="Times New Roman" w:hAnsi="Arial" w:cs="Arial"/>
          <w:i/>
          <w:iCs/>
          <w:szCs w:val="28"/>
          <w:lang w:eastAsia="ru-RU"/>
        </w:rPr>
        <w:t>Прикарпатський юридичний вісник</w:t>
      </w:r>
      <w:r w:rsidRPr="00511005">
        <w:rPr>
          <w:rFonts w:ascii="Arial" w:eastAsia="Times New Roman" w:hAnsi="Arial" w:cs="Arial"/>
          <w:szCs w:val="28"/>
          <w:lang w:eastAsia="ru-RU"/>
        </w:rPr>
        <w:t>. 2016. Вип. 5(14). С.3-6.</w:t>
      </w:r>
    </w:p>
    <w:p w14:paraId="7DB4EDBF" w14:textId="77777777" w:rsidR="006B07CA" w:rsidRPr="00511005" w:rsidRDefault="006B07CA"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6. Озель В.І. Звичай у системі права. Теорія держави і права. </w:t>
      </w:r>
      <w:r w:rsidRPr="00511005">
        <w:rPr>
          <w:rFonts w:ascii="Arial" w:eastAsia="Times New Roman" w:hAnsi="Arial" w:cs="Arial"/>
          <w:i/>
          <w:iCs/>
          <w:szCs w:val="28"/>
          <w:lang w:eastAsia="ru-RU"/>
        </w:rPr>
        <w:t>Підприємництво господарство і право</w:t>
      </w:r>
      <w:r w:rsidRPr="00511005">
        <w:rPr>
          <w:rFonts w:ascii="Arial" w:eastAsia="Times New Roman" w:hAnsi="Arial" w:cs="Arial"/>
          <w:szCs w:val="28"/>
          <w:lang w:eastAsia="ru-RU"/>
        </w:rPr>
        <w:t>. 2016. Вип. 6. С.201-205.</w:t>
      </w:r>
    </w:p>
    <w:p w14:paraId="2111A915" w14:textId="77777777" w:rsidR="006B07CA" w:rsidRPr="00511005" w:rsidRDefault="006B07CA"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7. Чорномаз О.Б. Правовий звичай як джерело адміністративного права. </w:t>
      </w:r>
      <w:r w:rsidRPr="00511005">
        <w:rPr>
          <w:rFonts w:ascii="Arial" w:eastAsia="Times New Roman" w:hAnsi="Arial" w:cs="Arial"/>
          <w:i/>
          <w:iCs/>
          <w:szCs w:val="28"/>
          <w:lang w:eastAsia="ru-RU"/>
        </w:rPr>
        <w:t xml:space="preserve">Митна справа. </w:t>
      </w:r>
      <w:r w:rsidRPr="00511005">
        <w:rPr>
          <w:rFonts w:ascii="Arial" w:eastAsia="Times New Roman" w:hAnsi="Arial" w:cs="Arial"/>
          <w:szCs w:val="28"/>
          <w:lang w:eastAsia="ru-RU"/>
        </w:rPr>
        <w:t>2015. №2(98). С.43-46.</w:t>
      </w:r>
    </w:p>
    <w:p w14:paraId="3D90454C" w14:textId="77777777" w:rsidR="006B07CA" w:rsidRPr="00511005" w:rsidRDefault="006B07CA"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8. Цивільний кодекс України: Затверджений Законом України від 16.01.2003 р. № 435-IV. Набув чинності 01.01.2004 р. Відомості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2003. № 40–44. Ст. 356.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22" w:anchor="Text"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show</w:t>
        </w:r>
        <w:r w:rsidRPr="00511005">
          <w:rPr>
            <w:rFonts w:ascii="Arial" w:eastAsia="Times New Roman" w:hAnsi="Arial" w:cs="Arial"/>
            <w:szCs w:val="28"/>
            <w:lang w:eastAsia="ru-RU"/>
          </w:rPr>
          <w:t>/435-15#</w:t>
        </w:r>
        <w:r w:rsidRPr="00511005">
          <w:rPr>
            <w:rFonts w:ascii="Arial" w:eastAsia="Times New Roman" w:hAnsi="Arial" w:cs="Arial"/>
            <w:szCs w:val="28"/>
            <w:lang w:val="en-US" w:eastAsia="ru-RU"/>
          </w:rPr>
          <w:t>Text</w:t>
        </w:r>
      </w:hyperlink>
    </w:p>
    <w:p w14:paraId="62BF5710" w14:textId="77777777" w:rsidR="006B07CA" w:rsidRPr="00511005" w:rsidRDefault="006B07CA" w:rsidP="003A292D">
      <w:pPr>
        <w:spacing w:line="264" w:lineRule="auto"/>
        <w:ind w:firstLine="0"/>
        <w:rPr>
          <w:rFonts w:ascii="Arial" w:eastAsia="Times New Roman" w:hAnsi="Arial" w:cs="Arial"/>
          <w:szCs w:val="28"/>
          <w:lang w:eastAsia="ru-RU"/>
        </w:rPr>
      </w:pPr>
    </w:p>
    <w:p w14:paraId="617BF493" w14:textId="3FDBF3F4" w:rsidR="006B07CA" w:rsidRPr="00511005" w:rsidRDefault="007B2628" w:rsidP="003A292D">
      <w:pPr>
        <w:spacing w:line="264" w:lineRule="auto"/>
        <w:ind w:firstLine="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6B07CA" w:rsidRPr="00511005">
        <w:rPr>
          <w:rFonts w:ascii="Arial" w:eastAsia="Times New Roman" w:hAnsi="Arial" w:cs="Arial"/>
          <w:szCs w:val="28"/>
          <w:lang w:eastAsia="ru-RU"/>
        </w:rPr>
        <w:t>правовий звичай, звичай ділового обороту, міжнародний звичай, джерело права, система джерел права.</w:t>
      </w:r>
    </w:p>
    <w:p w14:paraId="6B629D97" w14:textId="1FE6B214"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6B07CA" w:rsidRPr="00511005">
        <w:rPr>
          <w:rFonts w:ascii="Arial" w:eastAsia="Times New Roman" w:hAnsi="Arial" w:cs="Arial"/>
          <w:szCs w:val="28"/>
          <w:lang w:val="en-US" w:eastAsia="ru-RU"/>
        </w:rPr>
        <w:t>legal custom, business custom, international custom, source of law, system of sources of law.</w:t>
      </w:r>
    </w:p>
    <w:p w14:paraId="4144A32A" w14:textId="740BFD72" w:rsidR="006B07CA" w:rsidRPr="00511005" w:rsidRDefault="007B2628" w:rsidP="003A292D">
      <w:pPr>
        <w:spacing w:line="264" w:lineRule="auto"/>
        <w:ind w:firstLine="0"/>
        <w:rPr>
          <w:rFonts w:ascii="Arial" w:eastAsia="Times New Roman" w:hAnsi="Arial" w:cs="Arial"/>
          <w:b/>
          <w:bCs/>
          <w:szCs w:val="28"/>
          <w:lang w:eastAsia="ru-RU"/>
        </w:rPr>
      </w:pPr>
      <w:r w:rsidRPr="00511005">
        <w:rPr>
          <w:rFonts w:ascii="Arial" w:eastAsia="Times New Roman" w:hAnsi="Arial" w:cs="Arial"/>
          <w:b/>
          <w:i/>
          <w:iCs/>
          <w:szCs w:val="28"/>
          <w:lang w:eastAsia="ru-RU"/>
        </w:rPr>
        <w:t xml:space="preserve">Науковий керівник: </w:t>
      </w:r>
      <w:r w:rsidR="006B07CA" w:rsidRPr="00511005">
        <w:rPr>
          <w:rFonts w:ascii="Arial" w:eastAsia="Times New Roman" w:hAnsi="Arial" w:cs="Arial"/>
          <w:i/>
          <w:iCs/>
          <w:szCs w:val="28"/>
          <w:lang w:eastAsia="ru-RU"/>
        </w:rPr>
        <w:t>к.ю.н., доцент Ковбасюк С.В.</w:t>
      </w:r>
    </w:p>
    <w:p w14:paraId="01345F19" w14:textId="77777777" w:rsidR="006B07CA" w:rsidRPr="00511005" w:rsidRDefault="006B07CA" w:rsidP="003A292D">
      <w:pPr>
        <w:spacing w:line="264" w:lineRule="auto"/>
        <w:ind w:firstLine="0"/>
        <w:rPr>
          <w:rFonts w:ascii="Arial" w:eastAsia="Times New Roman" w:hAnsi="Arial" w:cs="Arial"/>
          <w:i/>
          <w:szCs w:val="28"/>
          <w:lang w:eastAsia="ru-RU"/>
        </w:rPr>
      </w:pPr>
    </w:p>
    <w:p w14:paraId="5130F795" w14:textId="77777777" w:rsidR="006B07CA" w:rsidRPr="00511005" w:rsidRDefault="006B07CA" w:rsidP="003A292D">
      <w:pPr>
        <w:spacing w:line="264" w:lineRule="auto"/>
        <w:ind w:firstLine="0"/>
        <w:rPr>
          <w:rFonts w:ascii="Arial" w:eastAsia="Times New Roman" w:hAnsi="Arial" w:cs="Arial"/>
          <w:i/>
          <w:szCs w:val="28"/>
          <w:lang w:val="uk-UA" w:eastAsia="ru-RU"/>
        </w:rPr>
      </w:pPr>
    </w:p>
    <w:p w14:paraId="5E96DD21" w14:textId="77777777" w:rsidR="006B07CA" w:rsidRPr="00511005" w:rsidRDefault="006B07CA" w:rsidP="003A292D">
      <w:pPr>
        <w:spacing w:line="264" w:lineRule="auto"/>
        <w:ind w:firstLine="0"/>
        <w:jc w:val="center"/>
        <w:rPr>
          <w:rFonts w:ascii="Arial" w:eastAsia="Aptos" w:hAnsi="Arial" w:cs="Arial"/>
          <w:b/>
          <w:bCs/>
          <w:i/>
          <w:iCs/>
          <w:kern w:val="2"/>
          <w:szCs w:val="28"/>
          <w:lang w:val="uk-UA"/>
        </w:rPr>
      </w:pPr>
      <w:r w:rsidRPr="00511005">
        <w:rPr>
          <w:rFonts w:ascii="Arial" w:eastAsia="Aptos" w:hAnsi="Arial" w:cs="Arial"/>
          <w:b/>
          <w:bCs/>
          <w:i/>
          <w:iCs/>
          <w:kern w:val="2"/>
          <w:szCs w:val="28"/>
          <w:lang w:val="uk-UA"/>
        </w:rPr>
        <w:t xml:space="preserve">Дударчук Катерина Михайлівна </w:t>
      </w:r>
    </w:p>
    <w:p w14:paraId="5CAE23A9" w14:textId="588C845A" w:rsidR="006B07CA" w:rsidRPr="00511005" w:rsidRDefault="007B2628" w:rsidP="003A292D">
      <w:pPr>
        <w:spacing w:line="264" w:lineRule="auto"/>
        <w:ind w:firstLine="0"/>
        <w:jc w:val="center"/>
        <w:rPr>
          <w:rFonts w:ascii="Arial" w:eastAsia="Aptos" w:hAnsi="Arial" w:cs="Arial"/>
          <w:kern w:val="2"/>
          <w:szCs w:val="28"/>
          <w:lang w:val="uk-UA"/>
        </w:rPr>
      </w:pPr>
      <w:r w:rsidRPr="00511005">
        <w:rPr>
          <w:rFonts w:ascii="Arial" w:eastAsia="Aptos" w:hAnsi="Arial" w:cs="Arial"/>
          <w:kern w:val="2"/>
          <w:szCs w:val="28"/>
          <w:lang w:val="uk-UA"/>
        </w:rPr>
        <w:t>студентка 1-го курсу факультету цивільної та господарської юстиції</w:t>
      </w:r>
      <w:r w:rsidR="006B07CA" w:rsidRPr="00511005">
        <w:rPr>
          <w:rFonts w:ascii="Arial" w:eastAsia="Aptos" w:hAnsi="Arial" w:cs="Arial"/>
          <w:kern w:val="2"/>
          <w:szCs w:val="28"/>
          <w:lang w:val="uk-UA"/>
        </w:rPr>
        <w:t xml:space="preserve"> </w:t>
      </w:r>
    </w:p>
    <w:p w14:paraId="1F9B0115" w14:textId="5283961B" w:rsidR="006B07CA" w:rsidRPr="00511005" w:rsidRDefault="007B2628" w:rsidP="003A292D">
      <w:pPr>
        <w:spacing w:line="264" w:lineRule="auto"/>
        <w:ind w:firstLine="0"/>
        <w:jc w:val="center"/>
        <w:rPr>
          <w:rFonts w:ascii="Arial" w:eastAsia="Aptos" w:hAnsi="Arial" w:cs="Arial"/>
          <w:kern w:val="2"/>
          <w:szCs w:val="28"/>
          <w:lang w:val="uk-UA"/>
        </w:rPr>
      </w:pPr>
      <w:r w:rsidRPr="00511005">
        <w:rPr>
          <w:rFonts w:ascii="Arial" w:eastAsia="Aptos" w:hAnsi="Arial" w:cs="Arial"/>
          <w:kern w:val="2"/>
          <w:szCs w:val="28"/>
          <w:lang w:val="uk-UA"/>
        </w:rPr>
        <w:t>Національного університету «Одеська юридична академія»</w:t>
      </w:r>
    </w:p>
    <w:p w14:paraId="188551AE" w14:textId="77777777" w:rsidR="006B07CA" w:rsidRPr="00511005" w:rsidRDefault="006B07CA" w:rsidP="003A292D">
      <w:pPr>
        <w:spacing w:line="264" w:lineRule="auto"/>
        <w:ind w:firstLine="0"/>
        <w:jc w:val="center"/>
        <w:rPr>
          <w:rFonts w:ascii="Arial" w:eastAsia="Aptos" w:hAnsi="Arial" w:cs="Arial"/>
          <w:kern w:val="2"/>
          <w:szCs w:val="28"/>
          <w:lang w:val="uk-UA"/>
        </w:rPr>
      </w:pPr>
    </w:p>
    <w:p w14:paraId="4D9B4BE3" w14:textId="77777777" w:rsidR="006B07CA" w:rsidRPr="00511005" w:rsidRDefault="006B07CA" w:rsidP="003A292D">
      <w:pPr>
        <w:spacing w:line="264" w:lineRule="auto"/>
        <w:ind w:firstLine="0"/>
        <w:jc w:val="center"/>
        <w:rPr>
          <w:rFonts w:ascii="Arial" w:eastAsia="Aptos" w:hAnsi="Arial" w:cs="Arial"/>
          <w:b/>
          <w:bCs/>
          <w:kern w:val="2"/>
          <w:szCs w:val="28"/>
          <w:lang w:val="uk-UA"/>
        </w:rPr>
      </w:pPr>
      <w:r w:rsidRPr="00511005">
        <w:rPr>
          <w:rFonts w:ascii="Arial" w:eastAsia="Aptos" w:hAnsi="Arial" w:cs="Arial"/>
          <w:b/>
          <w:bCs/>
          <w:kern w:val="2"/>
          <w:szCs w:val="28"/>
          <w:lang w:val="uk-UA"/>
        </w:rPr>
        <w:lastRenderedPageBreak/>
        <w:t>КОМПЕНСАЦІЙНА ФУНКЦІЯ СУЧАСНОГО ПРАВА</w:t>
      </w:r>
    </w:p>
    <w:p w14:paraId="59BB2ED6" w14:textId="77777777" w:rsidR="006B07CA" w:rsidRPr="00511005" w:rsidRDefault="006B07CA" w:rsidP="00383DE9">
      <w:pPr>
        <w:spacing w:line="264" w:lineRule="auto"/>
        <w:rPr>
          <w:rFonts w:ascii="Arial" w:eastAsia="Aptos" w:hAnsi="Arial" w:cs="Arial"/>
          <w:kern w:val="2"/>
          <w:szCs w:val="28"/>
          <w:lang w:val="uk-UA"/>
        </w:rPr>
      </w:pPr>
      <w:r w:rsidRPr="00511005">
        <w:rPr>
          <w:rFonts w:ascii="Arial" w:eastAsia="Aptos" w:hAnsi="Arial" w:cs="Arial"/>
          <w:kern w:val="2"/>
          <w:szCs w:val="28"/>
          <w:lang w:val="uk-UA"/>
        </w:rPr>
        <w:t xml:space="preserve">Розгляд компенсаційної функції права посідає важливе місце в системі функціонального аналізу правової дійсності. Її сутність полягає в забезпеченні відновлення порушених прав суб'єктів правовідносин, відшкодуванні завданих збитків та усуненні негативних наслідків правопорушень. Це напрям правового впливу, спрямований на відновлення порушених прав та законних інтересів суб'єктів правовідносин шляхом відшкодування завданої шкоди (майнової або немайнової) та встановлення справедливого балансу між сторонами правовідносин. З теоретико-правової точки зору компенсаційна функція виступає одним із ключових елементів регулятивного впливу права на суспільні відносини, забезпечуючи баланс інтересів учасників правовідносин у випадках порушення їхніх прав. </w:t>
      </w:r>
    </w:p>
    <w:p w14:paraId="7D00ACBE" w14:textId="77777777" w:rsidR="006B07CA" w:rsidRPr="00511005" w:rsidRDefault="006B07CA" w:rsidP="00383DE9">
      <w:pPr>
        <w:spacing w:line="264" w:lineRule="auto"/>
        <w:rPr>
          <w:rFonts w:ascii="Arial" w:eastAsia="Aptos" w:hAnsi="Arial" w:cs="Arial"/>
          <w:kern w:val="2"/>
          <w:szCs w:val="28"/>
          <w:lang w:val="uk-UA"/>
        </w:rPr>
      </w:pPr>
      <w:r w:rsidRPr="00511005">
        <w:rPr>
          <w:rFonts w:ascii="Arial" w:eastAsia="Aptos" w:hAnsi="Arial" w:cs="Arial"/>
          <w:kern w:val="2"/>
          <w:szCs w:val="28"/>
          <w:lang w:val="uk-UA"/>
        </w:rPr>
        <w:t xml:space="preserve">Варто зазначити, що компенсаційна функція реалізується передусім у галузях приватного права, хоча певні її елементи простежуються і в публічно-правовій сфері. Її основним призначенням виступає відновлення справедливості шляхом еквівалентного заміщення втраченого блага або його грошового еквіваленту. На думку багатьох вчених-правознавців, саме ця функція допомагає зберігати баланс інтересів у суспільстві та захищати порушені права громадян [7, с. 169]. </w:t>
      </w:r>
    </w:p>
    <w:p w14:paraId="1DEFEF89" w14:textId="77777777" w:rsidR="006B07CA" w:rsidRPr="00511005" w:rsidRDefault="006B07CA" w:rsidP="00383DE9">
      <w:pPr>
        <w:spacing w:line="264" w:lineRule="auto"/>
        <w:rPr>
          <w:rFonts w:ascii="Arial" w:eastAsia="Aptos" w:hAnsi="Arial" w:cs="Arial"/>
          <w:kern w:val="2"/>
          <w:szCs w:val="28"/>
          <w:lang w:val="uk-UA"/>
        </w:rPr>
      </w:pPr>
      <w:r w:rsidRPr="00511005">
        <w:rPr>
          <w:rFonts w:ascii="Arial" w:eastAsia="Aptos" w:hAnsi="Arial" w:cs="Arial"/>
          <w:kern w:val="2"/>
          <w:szCs w:val="28"/>
          <w:lang w:val="uk-UA"/>
        </w:rPr>
        <w:t>За своєю природою компенсаційна функція тісно пов'язана з відновлювальною, проте має певні специфічні риси. Головною відмінністю є те, що відновлювальна функція спрямована на повернення до попереднього стану правовідносин, натомість компенсаційна – на заміщення втраченого блага іншим, найчастіше – матеріальним [3, с. 242]. Ця відмінність має важливе практичне значення, особливо в ситуаціях, коли безпосереднє відновлення порушеного права є неможливим через незворотний характер наслідків правопорушення. Наприклад, у випадках завдання шкоди здоров'ю або життю особи відновлення початкового стану є об'єктивно неможливим, тому компенсаційні механізми набувають першочергового значення.</w:t>
      </w:r>
    </w:p>
    <w:p w14:paraId="18C50DA6" w14:textId="77777777" w:rsidR="006B07CA" w:rsidRPr="00511005" w:rsidRDefault="006B07CA" w:rsidP="00383DE9">
      <w:pPr>
        <w:spacing w:line="264" w:lineRule="auto"/>
        <w:rPr>
          <w:rFonts w:ascii="Arial" w:eastAsia="Aptos" w:hAnsi="Arial" w:cs="Arial"/>
          <w:kern w:val="2"/>
          <w:szCs w:val="28"/>
          <w:lang w:val="uk-UA"/>
        </w:rPr>
      </w:pPr>
      <w:r w:rsidRPr="00511005">
        <w:rPr>
          <w:rFonts w:ascii="Arial" w:eastAsia="Aptos" w:hAnsi="Arial" w:cs="Arial"/>
          <w:kern w:val="2"/>
          <w:szCs w:val="28"/>
          <w:lang w:val="uk-UA"/>
        </w:rPr>
        <w:t>У цивільному праві, наприклад, компенсаційна функція найбільш яскраво виявляється через інститут відшкодування шкоди. Так, відповідно до статті 1166 Цивільного кодексу України, майнова шкода, завдана неправомірними рішеннями, діями чи бездіяльністю особистим немайновим правам фізичної або юридичної особи, підлягає відшкодуванню в повному обсязі особою, яка її завдала [8]. Передбачені законодавством механізми дають змогу постраждалій стороні отримати матеріальну компенсацію як за майнову, так і за моральну шкоду. Слід зауважити, що в цивільно-правових відносинах компенсаційна функція реалізується також через інститути неустойки, завдатку, поруки та інші забезпечувальні механізми, які стимулюють учасників правовідносин до належного виконання своїх зобов'язань.</w:t>
      </w:r>
    </w:p>
    <w:p w14:paraId="5AA95998" w14:textId="77777777" w:rsidR="006B07CA" w:rsidRPr="00511005" w:rsidRDefault="006B07CA" w:rsidP="00383DE9">
      <w:pPr>
        <w:spacing w:line="264" w:lineRule="auto"/>
        <w:rPr>
          <w:rFonts w:ascii="Arial" w:eastAsia="Aptos" w:hAnsi="Arial" w:cs="Arial"/>
          <w:kern w:val="2"/>
          <w:szCs w:val="28"/>
          <w:lang w:val="uk-UA"/>
        </w:rPr>
      </w:pPr>
      <w:r w:rsidRPr="00511005">
        <w:rPr>
          <w:rFonts w:ascii="Arial" w:eastAsia="Aptos" w:hAnsi="Arial" w:cs="Arial"/>
          <w:kern w:val="2"/>
          <w:szCs w:val="28"/>
          <w:lang w:val="uk-UA"/>
        </w:rPr>
        <w:lastRenderedPageBreak/>
        <w:t>З іншого боку, навіть у кримінальному праві простежуються елементи компенсаційної функції. Йдеться насамперед про інститут примирення з потерпілим, який передбачає відшкодування завданої шкоди як підставу для звільнення від кримінальної відповідальності. Згідно зі статтею 46 Кримінального кодексу України, особа, яка вперше вчинила кримінальний проступок або необережний нетяжкий злочин, може бути звільнена від кримінальної відповідальності, якщо вона примирилася з потерпілим та відшкодувала завдані нею збитки або усунула заподіяну шкоду [2]. Варто додати, що в кримінальному процесі України поступово зростає значення інституту угод про примирення між потерпілим та підозрюваним чи обвинуваченим, який також передбачає компенсаційний компонент. Цікаво, що подібна тенденція відображає загальносвітову практику розвитку відновного правосуддя, яке значною мірою ґрунтується на компенсаційних механізмах.</w:t>
      </w:r>
    </w:p>
    <w:p w14:paraId="2DDEF037" w14:textId="77777777" w:rsidR="006B07CA" w:rsidRPr="00511005" w:rsidRDefault="006B07CA" w:rsidP="00383DE9">
      <w:pPr>
        <w:spacing w:line="264" w:lineRule="auto"/>
        <w:rPr>
          <w:rFonts w:ascii="Arial" w:eastAsia="Aptos" w:hAnsi="Arial" w:cs="Arial"/>
          <w:kern w:val="2"/>
          <w:szCs w:val="28"/>
          <w:lang w:val="uk-UA"/>
        </w:rPr>
      </w:pPr>
      <w:r w:rsidRPr="00511005">
        <w:rPr>
          <w:rFonts w:ascii="Arial" w:eastAsia="Aptos" w:hAnsi="Arial" w:cs="Arial"/>
          <w:kern w:val="2"/>
          <w:szCs w:val="28"/>
          <w:lang w:val="uk-UA"/>
        </w:rPr>
        <w:t>У трудовому праві компенсаційна функція проявляється через інститут матеріальної відповідальності, згідно з яким роботодавець зобов'язаний відшкодувати шкоду, заподіяну працівникові внаслідок порушення його права на працю, а працівник, у свою чергу, несе відповідальність за шкоду, заподіяну підприємству, установі або організації. При цьому важливо, що компенсаційні механізми в трудовому праві враховують специфіку трудових відносин, зокрема, економічно слабше становище працівника порівняно з роботодавцем.</w:t>
      </w:r>
    </w:p>
    <w:p w14:paraId="5CB23935" w14:textId="77777777" w:rsidR="006B07CA" w:rsidRPr="00511005" w:rsidRDefault="006B07CA" w:rsidP="00383DE9">
      <w:pPr>
        <w:spacing w:line="264" w:lineRule="auto"/>
        <w:rPr>
          <w:rFonts w:ascii="Arial" w:eastAsia="Aptos" w:hAnsi="Arial" w:cs="Arial"/>
          <w:kern w:val="2"/>
          <w:szCs w:val="28"/>
          <w:lang w:val="uk-UA"/>
        </w:rPr>
      </w:pPr>
      <w:r w:rsidRPr="00511005">
        <w:rPr>
          <w:rFonts w:ascii="Arial" w:eastAsia="Aptos" w:hAnsi="Arial" w:cs="Arial"/>
          <w:kern w:val="2"/>
          <w:szCs w:val="28"/>
          <w:lang w:val="uk-UA"/>
        </w:rPr>
        <w:t>Розвиток компенсаційної функції в сучасному українському праві характеризується поступовим розширенням сфери її застосування. Закон України «Про медіацію» від 16.11.2021 року сприяв впровадженню інституту медіації, спрямованого на мирне врегулювання спорів, включаючи компенсацію шкоди [5]. Зростання значення третейських судів, регульованих Законом України «Про третейські суди», розвиток альтернативних способів вирішення спорів – усе це свідчить про зміщення акцентів правової системи з покарання на компенсацію та відновлення [6]. Особливо помітним цей тренд стає у сфері господарських відносин, де альтернативні способи вирішення спорів дозволяють зберегти діловий партнерський зв'язок між суб'єктами господарювання, що є економічно доцільним у довгостроковій перспективі.</w:t>
      </w:r>
    </w:p>
    <w:p w14:paraId="3C498E2E" w14:textId="77777777" w:rsidR="006B07CA" w:rsidRPr="00511005" w:rsidRDefault="006B07CA" w:rsidP="00383DE9">
      <w:pPr>
        <w:spacing w:line="264" w:lineRule="auto"/>
        <w:rPr>
          <w:rFonts w:ascii="Arial" w:eastAsia="Aptos" w:hAnsi="Arial" w:cs="Arial"/>
          <w:kern w:val="2"/>
          <w:szCs w:val="28"/>
          <w:lang w:val="uk-UA"/>
        </w:rPr>
      </w:pPr>
      <w:r w:rsidRPr="00511005">
        <w:rPr>
          <w:rFonts w:ascii="Arial" w:eastAsia="Aptos" w:hAnsi="Arial" w:cs="Arial"/>
          <w:kern w:val="2"/>
          <w:szCs w:val="28"/>
          <w:lang w:val="uk-UA"/>
        </w:rPr>
        <w:t xml:space="preserve">Водночас аналіз судової практики засвідчує існування певних проблем у реалізації компенсаційної функції права. Зокрема, нерідко спостерігається недостатня ефективність механізмів стягнення присуджених компенсацій, що значно знижує практичну цінність відповідних правових норм. Закон України «Про виконавче провадження» містить норми щодо примусового виконання рішень, проте їх практична реалізація не завжди є ефективною [4]. Навіть більше – нині продовжує існувати проблема визначення адекватного розміру компенсації, особливо коли йдеться про відшкодування </w:t>
      </w:r>
      <w:r w:rsidRPr="00511005">
        <w:rPr>
          <w:rFonts w:ascii="Arial" w:eastAsia="Aptos" w:hAnsi="Arial" w:cs="Arial"/>
          <w:kern w:val="2"/>
          <w:szCs w:val="28"/>
          <w:lang w:val="uk-UA"/>
        </w:rPr>
        <w:lastRenderedPageBreak/>
        <w:t>моральної шкоди. Відсутність чітких критеріїв її обчислення призводить до неоднакової судової практики та, як наслідок, до порушення принципу правової визначеності.</w:t>
      </w:r>
    </w:p>
    <w:p w14:paraId="6CE05213" w14:textId="77777777" w:rsidR="006B07CA" w:rsidRPr="00511005" w:rsidRDefault="006B07CA" w:rsidP="00383DE9">
      <w:pPr>
        <w:spacing w:line="264" w:lineRule="auto"/>
        <w:rPr>
          <w:rFonts w:ascii="Arial" w:eastAsia="Aptos" w:hAnsi="Arial" w:cs="Arial"/>
          <w:kern w:val="2"/>
          <w:szCs w:val="28"/>
          <w:lang w:val="uk-UA"/>
        </w:rPr>
      </w:pPr>
      <w:r w:rsidRPr="00511005">
        <w:rPr>
          <w:rFonts w:ascii="Arial" w:eastAsia="Aptos" w:hAnsi="Arial" w:cs="Arial"/>
          <w:kern w:val="2"/>
          <w:szCs w:val="28"/>
          <w:lang w:val="uk-UA"/>
        </w:rPr>
        <w:t>Окрему увагу варто приділити проблемі компенсації шкоди, завданої державою. Стаття 56 Конституції України гарантує право кожного на відшкодування за рахунок держави чи органів місцевого самоврядування матеріальної та моральної шкоди, завданої незаконними рішеннями, діями чи бездіяльністю органів державної влади, органів місцевого самоврядування, їх посадових і службових осіб при здійсненні ними своїх повноважень. Проте механізм реалізації цього конституційного права часто стикається з процедурними та бюджетними обмеженнями, що ускладнює отримання громадянами належної компенсації.</w:t>
      </w:r>
    </w:p>
    <w:p w14:paraId="74B99B29" w14:textId="77777777" w:rsidR="006B07CA" w:rsidRPr="00511005" w:rsidRDefault="006B07CA" w:rsidP="00383DE9">
      <w:pPr>
        <w:spacing w:line="264" w:lineRule="auto"/>
        <w:rPr>
          <w:rFonts w:ascii="Arial" w:eastAsia="Aptos" w:hAnsi="Arial" w:cs="Arial"/>
          <w:kern w:val="2"/>
          <w:szCs w:val="28"/>
          <w:lang w:val="uk-UA"/>
        </w:rPr>
      </w:pPr>
      <w:r w:rsidRPr="00511005">
        <w:rPr>
          <w:rFonts w:ascii="Arial" w:eastAsia="Aptos" w:hAnsi="Arial" w:cs="Arial"/>
          <w:kern w:val="2"/>
          <w:szCs w:val="28"/>
          <w:lang w:val="uk-UA"/>
        </w:rPr>
        <w:t>Можна припустити, що подальший розвиток компенсаційної функції сучасного права відбуватиметься шляхом удосконалення чинних та запровадження нових механізмів відшкодування шкоди, а також посилення гарантій реального виконання рішень про стягнення компенсацій. Доцільно розглянути можливість створення спеціальних компенсаційних фондів для відшкодування шкоди у випадках, коли безпосередній заподіювач шкоди не може її відшкодувати через відсутність коштів або з інших причин. Подібні механізми успішно функціонують у багатьох розвинених країнах та могли б суттєво підвищити ефективність реалізації компенсаційної функції права в Україні.</w:t>
      </w:r>
    </w:p>
    <w:p w14:paraId="0F826244" w14:textId="77777777" w:rsidR="006B07CA" w:rsidRPr="00511005" w:rsidRDefault="006B07CA" w:rsidP="00383DE9">
      <w:pPr>
        <w:spacing w:line="264" w:lineRule="auto"/>
        <w:rPr>
          <w:rFonts w:ascii="Arial" w:eastAsia="Aptos" w:hAnsi="Arial" w:cs="Arial"/>
          <w:kern w:val="2"/>
          <w:szCs w:val="28"/>
          <w:lang w:val="uk-UA"/>
        </w:rPr>
      </w:pPr>
      <w:r w:rsidRPr="00511005">
        <w:rPr>
          <w:rFonts w:ascii="Arial" w:eastAsia="Aptos" w:hAnsi="Arial" w:cs="Arial"/>
          <w:kern w:val="2"/>
          <w:szCs w:val="28"/>
          <w:lang w:val="uk-UA"/>
        </w:rPr>
        <w:t>Компенсаційна функція постає невід'ємною властивістю сучасного права, що забезпечує реалізацію принципу справедливості через матеріальне відшкодування завданої шкоди. Її належне функціонування є необхідною умовою розбудови правової держави та громадянського суспільства, в якому людина, її права та свободи визнаються найвищою цінністю, як це закріплено у статті 3 Конституції України. Подальші наукові дослідження та законодавчі вдосконалення у цій сфері мають спрямовуватися на посилення ефективності компенсаційних механізмів та забезпечення їх доступності для всіх суб'єктів правовідносин.</w:t>
      </w:r>
    </w:p>
    <w:p w14:paraId="1800939C" w14:textId="77777777" w:rsidR="006B07CA" w:rsidRPr="00511005" w:rsidRDefault="006B07CA" w:rsidP="003A292D">
      <w:pPr>
        <w:spacing w:line="264" w:lineRule="auto"/>
        <w:ind w:firstLine="0"/>
        <w:rPr>
          <w:rFonts w:ascii="Arial" w:eastAsia="Aptos" w:hAnsi="Arial" w:cs="Arial"/>
          <w:kern w:val="2"/>
          <w:szCs w:val="28"/>
          <w:lang w:val="uk-UA"/>
        </w:rPr>
      </w:pPr>
    </w:p>
    <w:p w14:paraId="692B9765" w14:textId="1D4F74E0" w:rsidR="006B07CA" w:rsidRPr="00511005" w:rsidRDefault="007B2628" w:rsidP="007B2628">
      <w:pPr>
        <w:spacing w:line="264" w:lineRule="auto"/>
        <w:ind w:firstLine="0"/>
        <w:jc w:val="center"/>
        <w:rPr>
          <w:rFonts w:ascii="Arial" w:eastAsia="Aptos" w:hAnsi="Arial" w:cs="Arial"/>
          <w:b/>
          <w:bCs/>
          <w:kern w:val="2"/>
          <w:szCs w:val="28"/>
          <w:lang w:val="uk-UA"/>
        </w:rPr>
      </w:pPr>
      <w:r w:rsidRPr="00511005">
        <w:rPr>
          <w:rFonts w:ascii="Arial" w:eastAsia="Aptos" w:hAnsi="Arial" w:cs="Arial"/>
          <w:b/>
          <w:bCs/>
          <w:kern w:val="2"/>
          <w:szCs w:val="28"/>
          <w:lang w:val="uk-UA"/>
        </w:rPr>
        <w:t>Список використаних джерел</w:t>
      </w:r>
    </w:p>
    <w:p w14:paraId="485BE1B8" w14:textId="77777777" w:rsidR="006B07CA" w:rsidRPr="00511005" w:rsidRDefault="006B07CA" w:rsidP="00383DE9">
      <w:pPr>
        <w:numPr>
          <w:ilvl w:val="0"/>
          <w:numId w:val="21"/>
        </w:numPr>
        <w:spacing w:line="264" w:lineRule="auto"/>
        <w:ind w:left="0" w:firstLine="709"/>
        <w:rPr>
          <w:rFonts w:ascii="Arial" w:eastAsia="Aptos" w:hAnsi="Arial" w:cs="Arial"/>
          <w:kern w:val="2"/>
          <w:szCs w:val="28"/>
          <w:lang w:val="uk-UA"/>
        </w:rPr>
      </w:pPr>
      <w:r w:rsidRPr="00511005">
        <w:rPr>
          <w:rFonts w:ascii="Arial" w:eastAsia="Aptos" w:hAnsi="Arial" w:cs="Arial"/>
          <w:kern w:val="2"/>
          <w:szCs w:val="28"/>
          <w:lang w:val="uk-UA"/>
        </w:rPr>
        <w:t>Конституція України : Закон України від 28.06.1996 № 254к/96-ВР. Відомості Верховної Ради України. 1996. № 30. Ст. 141. URL: https://zakon.rada.gov.ua/laws/show/254к/96-вр (дата звернення: 10.04.2025).</w:t>
      </w:r>
    </w:p>
    <w:p w14:paraId="07EF3C7E" w14:textId="77777777" w:rsidR="006B07CA" w:rsidRPr="00511005" w:rsidRDefault="006B07CA" w:rsidP="00383DE9">
      <w:pPr>
        <w:numPr>
          <w:ilvl w:val="0"/>
          <w:numId w:val="21"/>
        </w:numPr>
        <w:spacing w:line="264" w:lineRule="auto"/>
        <w:ind w:left="0" w:firstLine="709"/>
        <w:rPr>
          <w:rFonts w:ascii="Arial" w:eastAsia="Aptos" w:hAnsi="Arial" w:cs="Arial"/>
          <w:kern w:val="2"/>
          <w:szCs w:val="28"/>
          <w:lang w:val="uk-UA"/>
        </w:rPr>
      </w:pPr>
      <w:r w:rsidRPr="00511005">
        <w:rPr>
          <w:rFonts w:ascii="Arial" w:eastAsia="Aptos" w:hAnsi="Arial" w:cs="Arial"/>
          <w:kern w:val="2"/>
          <w:szCs w:val="28"/>
          <w:lang w:val="uk-UA"/>
        </w:rPr>
        <w:t>Кримінальний кодекс України : Закон України від 05.04.2001 № 2341-III. Відомості Верховної Ради України. 2001. № 25-26. Ст. 131. URL: https://zakon.rada.gov.ua/laws/show/2341-14 (дата звернення: 10.04.2025).</w:t>
      </w:r>
    </w:p>
    <w:p w14:paraId="7FF06FC8" w14:textId="77777777" w:rsidR="006B07CA" w:rsidRPr="00511005" w:rsidRDefault="006B07CA" w:rsidP="00383DE9">
      <w:pPr>
        <w:numPr>
          <w:ilvl w:val="0"/>
          <w:numId w:val="21"/>
        </w:numPr>
        <w:spacing w:line="264" w:lineRule="auto"/>
        <w:ind w:left="0" w:firstLine="709"/>
        <w:rPr>
          <w:rFonts w:ascii="Arial" w:eastAsia="Aptos" w:hAnsi="Arial" w:cs="Arial"/>
          <w:kern w:val="2"/>
          <w:szCs w:val="28"/>
          <w:lang w:val="uk-UA"/>
        </w:rPr>
      </w:pPr>
      <w:r w:rsidRPr="00511005">
        <w:rPr>
          <w:rFonts w:ascii="Arial" w:eastAsia="Aptos" w:hAnsi="Arial" w:cs="Arial"/>
          <w:kern w:val="2"/>
          <w:szCs w:val="28"/>
          <w:lang w:val="uk-UA"/>
        </w:rPr>
        <w:t xml:space="preserve">Майданик Р. А. Проблеми правового регулювання відносин із відшкодування шкоди. Актуальні проблеми приватного права України : збірник статей до ювілею доктора юридичних наук, професора Наталії </w:t>
      </w:r>
      <w:r w:rsidRPr="00511005">
        <w:rPr>
          <w:rFonts w:ascii="Arial" w:eastAsia="Aptos" w:hAnsi="Arial" w:cs="Arial"/>
          <w:kern w:val="2"/>
          <w:szCs w:val="28"/>
          <w:lang w:val="uk-UA"/>
        </w:rPr>
        <w:lastRenderedPageBreak/>
        <w:t>Семенівни Кузнєцової / відп. ред. Р. А. Майданик та О. В. Кохановська. Київ : ПрАТ «Юридична практика», 2014. С. 242-255.</w:t>
      </w:r>
    </w:p>
    <w:p w14:paraId="45FD4CD5" w14:textId="77777777" w:rsidR="006B07CA" w:rsidRPr="00511005" w:rsidRDefault="006B07CA" w:rsidP="00383DE9">
      <w:pPr>
        <w:numPr>
          <w:ilvl w:val="0"/>
          <w:numId w:val="21"/>
        </w:numPr>
        <w:spacing w:line="264" w:lineRule="auto"/>
        <w:ind w:left="0" w:firstLine="709"/>
        <w:rPr>
          <w:rFonts w:ascii="Arial" w:eastAsia="Aptos" w:hAnsi="Arial" w:cs="Arial"/>
          <w:kern w:val="2"/>
          <w:szCs w:val="28"/>
          <w:lang w:val="uk-UA"/>
        </w:rPr>
      </w:pPr>
      <w:r w:rsidRPr="00511005">
        <w:rPr>
          <w:rFonts w:ascii="Arial" w:eastAsia="Aptos" w:hAnsi="Arial" w:cs="Arial"/>
          <w:kern w:val="2"/>
          <w:szCs w:val="28"/>
          <w:lang w:val="uk-UA"/>
        </w:rPr>
        <w:t>Про виконавче провадження : Закон України від 02.06.2016 № 1404-VIII. Відомості Верховної Ради України. 2016. № 30. Ст. 542. URL: https://zakon.rada.gov.ua/laws/show/1404-19 (дата звернення: 10.04.2025).</w:t>
      </w:r>
    </w:p>
    <w:p w14:paraId="217966EA" w14:textId="77777777" w:rsidR="006B07CA" w:rsidRPr="00511005" w:rsidRDefault="006B07CA" w:rsidP="00383DE9">
      <w:pPr>
        <w:numPr>
          <w:ilvl w:val="0"/>
          <w:numId w:val="21"/>
        </w:numPr>
        <w:spacing w:line="264" w:lineRule="auto"/>
        <w:ind w:left="0" w:firstLine="709"/>
        <w:rPr>
          <w:rFonts w:ascii="Arial" w:eastAsia="Aptos" w:hAnsi="Arial" w:cs="Arial"/>
          <w:kern w:val="2"/>
          <w:szCs w:val="28"/>
          <w:lang w:val="uk-UA"/>
        </w:rPr>
      </w:pPr>
      <w:r w:rsidRPr="00511005">
        <w:rPr>
          <w:rFonts w:ascii="Arial" w:eastAsia="Aptos" w:hAnsi="Arial" w:cs="Arial"/>
          <w:kern w:val="2"/>
          <w:szCs w:val="28"/>
          <w:lang w:val="uk-UA"/>
        </w:rPr>
        <w:t>Про медіацію : Закон України від 16.11.2021 № 1875-IX. Відомості Верховної Ради України. 2022. № 7. Ст. 51. URL: https://zakon.rada.gov.ua/laws/show/1875-20 (дата звернення: 10.04.2025).</w:t>
      </w:r>
    </w:p>
    <w:p w14:paraId="496DE930" w14:textId="77777777" w:rsidR="006B07CA" w:rsidRPr="00511005" w:rsidRDefault="006B07CA" w:rsidP="00383DE9">
      <w:pPr>
        <w:numPr>
          <w:ilvl w:val="0"/>
          <w:numId w:val="21"/>
        </w:numPr>
        <w:spacing w:line="264" w:lineRule="auto"/>
        <w:ind w:left="0" w:firstLine="709"/>
        <w:rPr>
          <w:rFonts w:ascii="Arial" w:eastAsia="Aptos" w:hAnsi="Arial" w:cs="Arial"/>
          <w:kern w:val="2"/>
          <w:szCs w:val="28"/>
          <w:lang w:val="uk-UA"/>
        </w:rPr>
      </w:pPr>
      <w:r w:rsidRPr="00511005">
        <w:rPr>
          <w:rFonts w:ascii="Arial" w:eastAsia="Aptos" w:hAnsi="Arial" w:cs="Arial"/>
          <w:kern w:val="2"/>
          <w:szCs w:val="28"/>
          <w:lang w:val="uk-UA"/>
        </w:rPr>
        <w:t>Про третейські суди : Закон України від 11.05.2004 № 1701-IV. Відомості Верховної Ради України. 2004. № 35. Ст. 412. URL: https://zakon.rada.gov.ua/laws/show/1701-15 (дата звернення: 10.04.2025).</w:t>
      </w:r>
    </w:p>
    <w:p w14:paraId="1897A989" w14:textId="4C60FCF3" w:rsidR="006B07CA" w:rsidRPr="00511005" w:rsidRDefault="006B07CA" w:rsidP="00383DE9">
      <w:pPr>
        <w:numPr>
          <w:ilvl w:val="0"/>
          <w:numId w:val="21"/>
        </w:numPr>
        <w:spacing w:line="264" w:lineRule="auto"/>
        <w:ind w:left="0" w:firstLine="709"/>
        <w:rPr>
          <w:rFonts w:ascii="Arial" w:eastAsia="Aptos" w:hAnsi="Arial" w:cs="Arial"/>
          <w:kern w:val="2"/>
          <w:szCs w:val="28"/>
          <w:lang w:val="uk-UA"/>
        </w:rPr>
      </w:pPr>
      <w:r w:rsidRPr="00511005">
        <w:rPr>
          <w:rFonts w:ascii="Arial" w:eastAsia="Aptos" w:hAnsi="Arial" w:cs="Arial"/>
          <w:kern w:val="2"/>
          <w:szCs w:val="28"/>
          <w:lang w:val="uk-UA"/>
        </w:rPr>
        <w:t xml:space="preserve">Харитонов Є. О. Категорія «Інтернет речей» та цивільні правовідносини / Є. О. Харитонов, О. І. Харитонова. </w:t>
      </w:r>
      <w:r w:rsidRPr="00511005">
        <w:rPr>
          <w:rFonts w:ascii="Arial" w:eastAsia="Aptos" w:hAnsi="Arial" w:cs="Arial"/>
          <w:i/>
          <w:iCs/>
          <w:kern w:val="2"/>
          <w:szCs w:val="28"/>
          <w:lang w:val="uk-UA"/>
        </w:rPr>
        <w:t xml:space="preserve">Наукові праці </w:t>
      </w:r>
      <w:r w:rsidR="007B2628" w:rsidRPr="00511005">
        <w:rPr>
          <w:rFonts w:ascii="Arial" w:eastAsia="Aptos" w:hAnsi="Arial" w:cs="Arial"/>
          <w:i/>
          <w:iCs/>
          <w:kern w:val="2"/>
          <w:szCs w:val="28"/>
          <w:lang w:val="uk-UA"/>
        </w:rPr>
        <w:t>Національного університету «Одеська юридична академія»</w:t>
      </w:r>
      <w:r w:rsidRPr="00511005">
        <w:rPr>
          <w:rFonts w:ascii="Arial" w:eastAsia="Aptos" w:hAnsi="Arial" w:cs="Arial"/>
          <w:i/>
          <w:iCs/>
          <w:kern w:val="2"/>
          <w:szCs w:val="28"/>
          <w:lang w:val="uk-UA"/>
        </w:rPr>
        <w:t>.</w:t>
      </w:r>
      <w:r w:rsidRPr="00511005">
        <w:rPr>
          <w:rFonts w:ascii="Arial" w:eastAsia="Aptos" w:hAnsi="Arial" w:cs="Arial"/>
          <w:kern w:val="2"/>
          <w:szCs w:val="28"/>
          <w:lang w:val="uk-UA"/>
        </w:rPr>
        <w:t xml:space="preserve"> МОН України, НУ «ОЮА». Одеса : Гельветика, 2017. C. 169-177.</w:t>
      </w:r>
    </w:p>
    <w:p w14:paraId="0D4FB11C" w14:textId="77777777" w:rsidR="006B07CA" w:rsidRPr="00511005" w:rsidRDefault="006B07CA" w:rsidP="00383DE9">
      <w:pPr>
        <w:numPr>
          <w:ilvl w:val="0"/>
          <w:numId w:val="21"/>
        </w:numPr>
        <w:spacing w:line="264" w:lineRule="auto"/>
        <w:ind w:left="0" w:firstLine="709"/>
        <w:rPr>
          <w:rFonts w:ascii="Arial" w:eastAsia="Aptos" w:hAnsi="Arial" w:cs="Arial"/>
          <w:kern w:val="2"/>
          <w:szCs w:val="28"/>
          <w:lang w:val="uk-UA"/>
        </w:rPr>
      </w:pPr>
      <w:r w:rsidRPr="00511005">
        <w:rPr>
          <w:rFonts w:ascii="Arial" w:eastAsia="Aptos" w:hAnsi="Arial" w:cs="Arial"/>
          <w:kern w:val="2"/>
          <w:szCs w:val="28"/>
          <w:lang w:val="uk-UA"/>
        </w:rPr>
        <w:t>Цивільний кодекс України : Закон України від 16.01.2003 № 435-IV. Відомості Верховної Ради України. 2003. №№ 40-44. Ст. 356. URL: https://zakon.rada.gov.ua/laws/show/435-15 (дата звернення: 10.04.2025).</w:t>
      </w:r>
    </w:p>
    <w:p w14:paraId="454A2576" w14:textId="77777777" w:rsidR="006B07CA" w:rsidRPr="00511005" w:rsidRDefault="006B07CA" w:rsidP="00383DE9">
      <w:pPr>
        <w:spacing w:line="264" w:lineRule="auto"/>
        <w:ind w:firstLine="0"/>
        <w:rPr>
          <w:rFonts w:ascii="Arial" w:eastAsia="Aptos" w:hAnsi="Arial" w:cs="Arial"/>
          <w:kern w:val="2"/>
          <w:szCs w:val="28"/>
          <w:lang w:val="uk-UA"/>
        </w:rPr>
      </w:pPr>
    </w:p>
    <w:p w14:paraId="488BF2BD" w14:textId="22A2E77B" w:rsidR="006B07CA" w:rsidRPr="00511005" w:rsidRDefault="007B2628" w:rsidP="00383DE9">
      <w:pPr>
        <w:spacing w:line="264" w:lineRule="auto"/>
        <w:ind w:firstLine="0"/>
        <w:rPr>
          <w:rFonts w:ascii="Arial" w:eastAsia="Aptos" w:hAnsi="Arial" w:cs="Arial"/>
          <w:kern w:val="2"/>
          <w:szCs w:val="28"/>
          <w:lang w:val="uk-UA"/>
        </w:rPr>
      </w:pPr>
      <w:r w:rsidRPr="00511005">
        <w:rPr>
          <w:rFonts w:ascii="Arial" w:eastAsia="Aptos" w:hAnsi="Arial" w:cs="Arial"/>
          <w:b/>
          <w:bCs/>
          <w:i/>
          <w:kern w:val="2"/>
          <w:szCs w:val="28"/>
          <w:lang w:val="uk-UA"/>
        </w:rPr>
        <w:t xml:space="preserve">Ключові слова: </w:t>
      </w:r>
      <w:r w:rsidR="006B07CA" w:rsidRPr="00511005">
        <w:rPr>
          <w:rFonts w:ascii="Arial" w:eastAsia="Aptos" w:hAnsi="Arial" w:cs="Arial"/>
          <w:kern w:val="2"/>
          <w:szCs w:val="28"/>
          <w:lang w:val="uk-UA"/>
        </w:rPr>
        <w:t>компенсаційна функція права; відшкодування шкоди; відновлення порушених прав; справедливість; альтернативне вирішення спорів; медіація.</w:t>
      </w:r>
    </w:p>
    <w:p w14:paraId="3BEC1274" w14:textId="7407C653" w:rsidR="006B07CA" w:rsidRPr="00511005" w:rsidRDefault="007B2628" w:rsidP="00383DE9">
      <w:pPr>
        <w:spacing w:line="264" w:lineRule="auto"/>
        <w:ind w:firstLine="0"/>
        <w:rPr>
          <w:rFonts w:ascii="Arial" w:eastAsia="Aptos" w:hAnsi="Arial" w:cs="Arial"/>
          <w:kern w:val="2"/>
          <w:szCs w:val="28"/>
          <w:lang w:val="uk-UA"/>
        </w:rPr>
      </w:pPr>
      <w:r w:rsidRPr="00511005">
        <w:rPr>
          <w:rFonts w:ascii="Arial" w:eastAsia="Aptos" w:hAnsi="Arial" w:cs="Arial"/>
          <w:b/>
          <w:bCs/>
          <w:i/>
          <w:kern w:val="2"/>
          <w:szCs w:val="28"/>
          <w:lang w:val="uk-UA"/>
        </w:rPr>
        <w:t xml:space="preserve">Key words: </w:t>
      </w:r>
      <w:r w:rsidR="006B07CA" w:rsidRPr="00511005">
        <w:rPr>
          <w:rFonts w:ascii="Arial" w:eastAsia="Aptos" w:hAnsi="Arial" w:cs="Arial"/>
          <w:kern w:val="2"/>
          <w:szCs w:val="28"/>
          <w:lang w:val="uk-UA"/>
        </w:rPr>
        <w:t>compensatory function of law; damages; restoration of violated rights; justice; alternative dispute resolution; mediation.</w:t>
      </w:r>
    </w:p>
    <w:p w14:paraId="6A8CC527" w14:textId="261DC840" w:rsidR="006B07CA" w:rsidRPr="00511005" w:rsidRDefault="007B2628" w:rsidP="00383DE9">
      <w:pPr>
        <w:spacing w:line="264" w:lineRule="auto"/>
        <w:ind w:firstLine="0"/>
        <w:rPr>
          <w:rFonts w:ascii="Arial" w:eastAsia="Aptos" w:hAnsi="Arial" w:cs="Arial"/>
          <w:i/>
          <w:iCs/>
          <w:kern w:val="2"/>
          <w:szCs w:val="28"/>
          <w:lang w:val="uk-UA"/>
        </w:rPr>
      </w:pPr>
      <w:r w:rsidRPr="00511005">
        <w:rPr>
          <w:rFonts w:ascii="Arial" w:eastAsia="Aptos" w:hAnsi="Arial" w:cs="Arial"/>
          <w:b/>
          <w:i/>
          <w:iCs/>
          <w:kern w:val="2"/>
          <w:szCs w:val="28"/>
          <w:lang w:val="uk-UA"/>
        </w:rPr>
        <w:t xml:space="preserve">Науковий керівник: </w:t>
      </w:r>
      <w:r w:rsidR="006B07CA" w:rsidRPr="00511005">
        <w:rPr>
          <w:rFonts w:ascii="Arial" w:eastAsia="Aptos" w:hAnsi="Arial" w:cs="Arial"/>
          <w:i/>
          <w:iCs/>
          <w:kern w:val="2"/>
          <w:szCs w:val="28"/>
          <w:lang w:val="uk-UA"/>
        </w:rPr>
        <w:t>к.ю.н., доцент Ковбасюк С.В.</w:t>
      </w:r>
    </w:p>
    <w:p w14:paraId="35746147" w14:textId="77777777" w:rsidR="006B07CA" w:rsidRPr="00511005" w:rsidRDefault="006B07CA" w:rsidP="003A292D">
      <w:pPr>
        <w:spacing w:line="264" w:lineRule="auto"/>
        <w:ind w:firstLine="0"/>
        <w:jc w:val="center"/>
        <w:rPr>
          <w:rFonts w:ascii="Arial" w:eastAsia="Times New Roman" w:hAnsi="Arial" w:cs="Arial"/>
          <w:i/>
          <w:szCs w:val="28"/>
          <w:lang w:val="uk-UA" w:eastAsia="ru-RU"/>
        </w:rPr>
      </w:pPr>
    </w:p>
    <w:p w14:paraId="4CC4C126" w14:textId="77777777" w:rsidR="006B07CA" w:rsidRPr="00511005" w:rsidRDefault="006B07CA" w:rsidP="003A292D">
      <w:pPr>
        <w:spacing w:line="264" w:lineRule="auto"/>
        <w:ind w:firstLine="0"/>
        <w:jc w:val="center"/>
        <w:rPr>
          <w:rFonts w:ascii="Arial" w:eastAsia="Times New Roman" w:hAnsi="Arial" w:cs="Arial"/>
          <w:i/>
          <w:szCs w:val="28"/>
          <w:lang w:val="uk-UA" w:eastAsia="ru-RU"/>
        </w:rPr>
      </w:pPr>
    </w:p>
    <w:p w14:paraId="3332BF46" w14:textId="77777777" w:rsidR="006B07CA" w:rsidRPr="00511005" w:rsidRDefault="006B07CA" w:rsidP="003A292D">
      <w:pPr>
        <w:spacing w:line="264" w:lineRule="auto"/>
        <w:ind w:firstLine="0"/>
        <w:jc w:val="center"/>
        <w:rPr>
          <w:rFonts w:ascii="Arial" w:eastAsia="Times New Roman" w:hAnsi="Arial" w:cs="Arial"/>
          <w:b/>
          <w:bCs/>
          <w:i/>
          <w:szCs w:val="28"/>
          <w:lang w:val="uk-UA" w:eastAsia="ru-RU"/>
        </w:rPr>
      </w:pPr>
      <w:r w:rsidRPr="00511005">
        <w:rPr>
          <w:rFonts w:ascii="Arial" w:eastAsia="Times New Roman" w:hAnsi="Arial" w:cs="Arial"/>
          <w:b/>
          <w:bCs/>
          <w:i/>
          <w:szCs w:val="28"/>
          <w:lang w:val="uk-UA" w:eastAsia="ru-RU"/>
        </w:rPr>
        <w:t>Дудник Віра Юріївна</w:t>
      </w:r>
    </w:p>
    <w:p w14:paraId="5E755376" w14:textId="30791DBA" w:rsidR="00383DE9" w:rsidRPr="00511005" w:rsidRDefault="00383DE9" w:rsidP="00383DE9">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1-го курсу </w:t>
      </w:r>
      <w:r w:rsidR="00536AAB" w:rsidRPr="00511005">
        <w:rPr>
          <w:rFonts w:ascii="Arial" w:eastAsia="Times New Roman" w:hAnsi="Arial" w:cs="Arial"/>
          <w:szCs w:val="28"/>
          <w:lang w:val="uk-UA" w:eastAsia="ru-RU"/>
        </w:rPr>
        <w:t>факультету адвокатури та антикорупційної діяльності</w:t>
      </w:r>
    </w:p>
    <w:p w14:paraId="2B06438E" w14:textId="77777777" w:rsidR="00383DE9" w:rsidRPr="00511005" w:rsidRDefault="00383DE9" w:rsidP="00383DE9">
      <w:pPr>
        <w:spacing w:line="264" w:lineRule="auto"/>
        <w:ind w:firstLine="0"/>
        <w:jc w:val="center"/>
        <w:rPr>
          <w:rFonts w:ascii="Arial" w:eastAsia="Aptos" w:hAnsi="Arial" w:cs="Arial"/>
          <w:kern w:val="2"/>
          <w:szCs w:val="28"/>
          <w:lang w:val="uk-UA"/>
        </w:rPr>
      </w:pPr>
      <w:r w:rsidRPr="00511005">
        <w:rPr>
          <w:rFonts w:ascii="Arial" w:eastAsia="Aptos" w:hAnsi="Arial" w:cs="Arial"/>
          <w:kern w:val="2"/>
          <w:szCs w:val="28"/>
          <w:lang w:val="uk-UA"/>
        </w:rPr>
        <w:t>Національного університету «Одеська юридична академія»</w:t>
      </w:r>
    </w:p>
    <w:p w14:paraId="09F10C10" w14:textId="77777777" w:rsidR="006B07CA" w:rsidRPr="00511005" w:rsidRDefault="006B07CA" w:rsidP="003A292D">
      <w:pPr>
        <w:spacing w:line="264" w:lineRule="auto"/>
        <w:ind w:firstLine="0"/>
        <w:jc w:val="left"/>
        <w:rPr>
          <w:rFonts w:ascii="Arial" w:eastAsia="Times New Roman" w:hAnsi="Arial" w:cs="Arial"/>
          <w:b/>
          <w:bCs/>
          <w:szCs w:val="28"/>
          <w:lang w:val="uk-UA" w:eastAsia="ru-RU"/>
        </w:rPr>
      </w:pPr>
    </w:p>
    <w:p w14:paraId="7F6871D7" w14:textId="77777777" w:rsidR="006B07CA" w:rsidRPr="00511005" w:rsidRDefault="006B07CA"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ШЛЯХИ</w:t>
      </w:r>
      <w:r w:rsidRPr="00511005">
        <w:rPr>
          <w:rFonts w:ascii="Arial" w:eastAsia="Times New Roman" w:hAnsi="Arial" w:cs="Arial"/>
          <w:szCs w:val="28"/>
          <w:lang w:val="uk-UA" w:eastAsia="ru-RU"/>
        </w:rPr>
        <w:t xml:space="preserve"> </w:t>
      </w:r>
      <w:r w:rsidRPr="00511005">
        <w:rPr>
          <w:rFonts w:ascii="Arial" w:eastAsia="Times New Roman" w:hAnsi="Arial" w:cs="Arial"/>
          <w:b/>
          <w:szCs w:val="28"/>
          <w:lang w:val="uk-UA" w:eastAsia="ru-RU"/>
        </w:rPr>
        <w:t>ПІДВИЩЕННЯ ПРАВОВОЇ СВІДОМОСТІ ГРОМАДЯН</w:t>
      </w:r>
    </w:p>
    <w:p w14:paraId="64E42F80"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Питання підвищення правової свідомості завжди було надзвичайно важливим для розвитку правової держави. Ще в часи античності мислителі наголошували на тому, що право не може існувати окремо від свідомості громадян. Так, Платон і Арістотель стверджували, що для забезпечення справедливості у суспільстві необхідно не лише мати закони, а й формувати у громадян повагу до них. У різні історичні епохи розвиток правової свідомості здійснювався через релігійне виховання, освітні реформи, суспільно-політичну діяльність.</w:t>
      </w:r>
    </w:p>
    <w:p w14:paraId="20FF3F02"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Сьогодні підвищення правової свідомості набуває особливого значення в умовах демократизації суспільних процесів та активізації </w:t>
      </w:r>
      <w:r w:rsidRPr="00511005">
        <w:rPr>
          <w:rFonts w:ascii="Arial" w:eastAsia="Times New Roman" w:hAnsi="Arial" w:cs="Arial"/>
          <w:szCs w:val="28"/>
          <w:lang w:val="uk-UA" w:eastAsia="ru-RU"/>
        </w:rPr>
        <w:lastRenderedPageBreak/>
        <w:t>громадянської участі. Від рівня правової культури залежить не лише ефективність дії законодавства, а й стабільність суспільних відносин та захищеність прав і свобод людини.</w:t>
      </w:r>
    </w:p>
    <w:p w14:paraId="7B20ECB7"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Правова свідомість громадян є фундаментом для побудови демократичної, правової держави, де права людини визнаються найвищою соціальною цінністю. Від рівня правової культури залежить не лише дотримання законності, але й стабільність інституцій держави, розвиток громадянського суспільства. Розвиток високого рівня правової свідомості громадян є необхідною умовою становлення демократичної, правової держави, у якій права і свободи людини визнаються найвищою соціальною цінністю. Конституція України закріплює принцип верховенства права (стаття 8) та визначає, що людина, її життя і гідність, права і свободи є найвищою цінністю (стаття 3) [1]. Реалізація цих конституційних положень можлива лише за умови, коли громадяни добре обізнані з основами права, розуміють свої права та обов’язки і свідомо дотримуються встановлених норм.</w:t>
      </w:r>
    </w:p>
    <w:p w14:paraId="39262324"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На думку А. І. Луцького, «правосвідомість – різновид свідомості, що дозволяє створювати суб’єктивний образ чинного або бажаного права; суб’єктивна основа права, умова його існування та розвитку. Структура правосвідомості – сукупність її елементів та їх взаємозв’язків, що відображає внутрішню організацію цілісної системи, взаємодію утворюючих її компонентів. Вирізнення структурних елементів правосвідомості не означає їх відокремленості, навпаки, будь-яка теоретична конструкція структури правосвідомості є результатом мисленнєвої діяльності автора та його методологічних уподобань, а на практиці всі її елементи взаємно пов’язані, не можуть існувати автономно, самостійно. У той же час не слід ігнорувати відмінностей, що між ними існують» [2, с. 52].</w:t>
      </w:r>
    </w:p>
    <w:p w14:paraId="071EDCE5"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Формування правової свідомості громадян включає не лише інформування про їхні права та обов'язки, а й розвиток внутрішньої установки на дотримання правових норм, відповідальності та поваги до права як соціальної цінності. Як влучно зазначає О.Ф. Скакун, правова свідомість виконує функції, що забезпечують інтеграцію правових норм у системі соціальної поведінки особи. Такими функціями є:</w:t>
      </w:r>
    </w:p>
    <w:p w14:paraId="460CF53D"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1. пізнавальна функція — полягає у відображенні та усвідомленні правових явищ, процесів, норм і цінностей; правосвідомість дає змогу людині зрозуміти сутність права і законодавства.</w:t>
      </w:r>
    </w:p>
    <w:p w14:paraId="7A28F9E7"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2. оцінювальна функція — виявляється у формуванні ставлення до правових норм, юридичних дій та явищ, у виробленні позитивних або негативних оцінок.</w:t>
      </w:r>
    </w:p>
    <w:p w14:paraId="1107FD78"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3. регулятивна функція — забезпечує спрямування поведінки особи відповідно до правових вимог; правосвідомість визначає готовність діяти у межах права, дотримуватися норм та правил [3, с. 436].</w:t>
      </w:r>
    </w:p>
    <w:p w14:paraId="7A93A375"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Одним із провідних шляхів підвищення правової свідомості є правова освіта, яка має бути спрямована на всі верстви населення — від дітей до людей похилого віку. Забезпечення права кожного на освіту, включно з правовою, закріплено у Законі України “Про освіту”, що визначає виховання поваги до прав і свобод людини одним із головних завдань освітньої системи. Сучасний підхід передбачає не тільки вивчення теоретичних основ права у закладах освіти, але й практичне залучення молоді до правових проєктів, тренінгів, дебатів, що сприяє формуванню активної громадянської позиції.</w:t>
      </w:r>
    </w:p>
    <w:p w14:paraId="0CF2A88F"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Підвищення рівня правової свідомості громадян не може обмежуватися лише передачею юридичної інформації. Цей процес має бути спрямований на формування глибоких правових переконань, розвиток уміння критично осмислювати правову реальність, аналізувати правові ситуації та самостійно застосовувати механізми захисту своїх прав і свобод.</w:t>
      </w:r>
    </w:p>
    <w:p w14:paraId="54391C89"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Правова свідомість повинна стати органічною складовою загальної культури особистості, проявляючись у свідомому дотриманні законів, активній громадянській позиції та нетерпимості до будь-яких порушень правопорядку.</w:t>
      </w:r>
    </w:p>
    <w:p w14:paraId="2E08A284"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Доступ громадян до актуальної правової інформації є ще одним важливим аспектом формування правосвідомості. Стаття 34 Конституції України гарантує право на вільний доступ до інформації, що знаходить подальший розвиток у Законі “Про доступ до публічної інформації”. Завдяки електронним платформам, державним сайтам, системам безоплатної правової допомоги громадяни отримують можливість самостійно орієнтуватися у чинному законодавстві. Такі інструменти не лише інформують, а й підвищують рівень правової грамотності, дозволяючи особі більш упевнено захищати свої інтереси.</w:t>
      </w:r>
    </w:p>
    <w:p w14:paraId="1C4F6744"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Не менш важливу роль відіграє розвиток правової культури через засоби масової інформації та громадські ініціативи. Поширення знань про права людини через телебачення, соціальні мережі, громадські кампанії допомагає формувати суспільне сприйняття права як вищої цінності. Згідно з Національною стратегією у сфері прав людини, затвердженою Указом Президента України, одним із завдань держави є підтримка просвітницьких проєктів, спрямованих на підвищення рівня обізнаності громадян у сфері прав людини.</w:t>
      </w:r>
    </w:p>
    <w:p w14:paraId="2D394FDB"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Однак підвищення правової свідомості не буде ефективним без реальної можливості захистити свої права. Конституція України гарантує кожному право на судовий захист (стаття 55), а Європейська конвенція з прав людини встановлює право на справедливий судовий розгляд. Лише тоді, коли громадянин бачить, що його права реально захищаються через справедливий і доступний суд, зростає довіра до державних інституцій і право починає сприйматися як реальний механізм, а не суто декларація.</w:t>
      </w:r>
    </w:p>
    <w:p w14:paraId="0AB94839"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Таким чином, підвищення правової свідомості громадян передбачає комплекс заходів: системну правову освіту на всіх рівнях, створення умов для вільного доступу до актуальної правової інформації, розвиток культури правового діалогу в суспільстві та забезпечення реальної ефективності механізмів правового захисту. Лише за умови послідовної роботи у цьому напрямі можна досягти того рівня правової культури, який стане запорукою побудови справді демократичної, соціальної та правової держави, де права і свободи людини визнаються і реально гарантуються.</w:t>
      </w:r>
    </w:p>
    <w:p w14:paraId="01146703" w14:textId="77777777"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Перспективи подальшого розвитку у цій сфері пов’язані з цифровізацією правової освіти та послуг, широким впровадженням інтерактивних методів навчання, розвитком мережі безоплатної правової допомоги, а також активним залученням громадян до процесів правотворення через електронні петиції, громадські обговорення і просвітницькі кампанії. В умовах цифрової епохи особливої важливості набуває формування у громадян критичного мислення і навичок аналізу правової інформації. Це дозволить створити міцне громадянське суспільство, здатне ефективно взаємодіяти з державою на основі принципів демократії і права.</w:t>
      </w:r>
    </w:p>
    <w:p w14:paraId="06C08954" w14:textId="1D73F3A5" w:rsidR="006B07CA" w:rsidRPr="00511005" w:rsidRDefault="006B07CA" w:rsidP="00383DE9">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Отже, підвищення правової свідомості є невід'ємною частиною розвитку правової держави та демократичного суспільства. Воно впливає на ефективність функціонування правової системи, захист прав і свобод людини, а також на стабільність суспільних відносин. У процесі формування правової свідомості важливо поєднувати теоретичну освіту з практичними заходами, спрямованими на забезпечення доступу громадян до правової інформації та механізмів захисту своїх прав. Враховуючи значення правової культури для стабільності інститутів держави та розвитку громадянського суспільства, особлива увага має бути приділена правовій освіті на всіх рівнях — від дитячого до дорослого населення. Реалізація цього підходу можлива завдяки інтеграції цифрових технологій, розвитку правової допомоги та активізації громадянської участі у процесах правотворення. У майбутньому, завдяки впровадженню інноваційних форм навчання та просвітницької роботи, можливо буде досягнути значного покращення рівня правової свідомості населення, що є основою для процвітання правової держави.</w:t>
      </w:r>
    </w:p>
    <w:p w14:paraId="0456D35E" w14:textId="77777777" w:rsidR="00383DE9" w:rsidRPr="00511005" w:rsidRDefault="00383DE9" w:rsidP="00383DE9">
      <w:pPr>
        <w:spacing w:line="264" w:lineRule="auto"/>
        <w:ind w:right="57"/>
        <w:rPr>
          <w:rFonts w:ascii="Arial" w:eastAsia="Times New Roman" w:hAnsi="Arial" w:cs="Arial"/>
          <w:szCs w:val="28"/>
          <w:lang w:val="uk-UA" w:eastAsia="ru-RU"/>
        </w:rPr>
      </w:pPr>
    </w:p>
    <w:p w14:paraId="23610794" w14:textId="142DE16F" w:rsidR="006B07CA" w:rsidRPr="00511005" w:rsidRDefault="007B2628" w:rsidP="007B2628">
      <w:pPr>
        <w:spacing w:line="264" w:lineRule="auto"/>
        <w:ind w:right="57"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5C6C7040"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1. Конституція України : від 28.06.1996 р. № 254к/96-ВР : станом на 1 січ. 2020 р. URL: https://zakon.rada.gov.ua/laws/show/254к/96-вр</w:t>
      </w:r>
    </w:p>
    <w:p w14:paraId="471B2147"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2. Луцький А. І. Правосвідомість юриста як суб’єктивне відображення чинної правової ідеології. Юридичний часопис Національної академії внутрішніх справ. 2014. № 2. С.50–60.</w:t>
      </w:r>
    </w:p>
    <w:p w14:paraId="76D870AA"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3. Скакун О.Ф. Теорія держави і права: підручник. — Харків: Еспада, 2009.— 520с.</w:t>
      </w:r>
    </w:p>
    <w:p w14:paraId="68671BB9"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4. Про освіту : Закон України від 05.09.2017 № 2145-VIII : станом на 27 берез. 2025 р. URL: https://zakon.rada.gov.ua/laws/show/2145-19#Text</w:t>
      </w:r>
    </w:p>
    <w:p w14:paraId="569F6CAF"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5. Про доступ до публічної інформації : Закон України від 13.01.2011 № 2939-VI : станом на 8 жовт. 2023 р. URL: https://zakon.rada.gov.ua/laws/show/2939-17#Text</w:t>
      </w:r>
    </w:p>
    <w:p w14:paraId="3D1965AB"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6. Про безоплатну правову допомогу : Закон України від 02.06.2011 № 3460-VI : станом на 31 груд. 2024 р. URL: https://zakon.rada.gov.ua/laws/show/3460-17#Text</w:t>
      </w:r>
    </w:p>
    <w:p w14:paraId="125E20C6"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7. Про Національну стратегію у сфері прав людини : Указ Президента України від 24.03.2021 № 119/2021. URL: https://zakon.rada.gov.ua/laws/show/119/2021#Text</w:t>
      </w:r>
    </w:p>
    <w:p w14:paraId="0B9383DA" w14:textId="77777777" w:rsidR="007B2628"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8. Конвенція про захист прав людини і основоположних свобод : Конвенція Ради Європи від 04.11.1950 : станом на 1 серп. 2021 р. URL: https://zakon.rada.gov.ua/laws/show/995_004#Text</w:t>
      </w:r>
    </w:p>
    <w:p w14:paraId="0D9DA4E5" w14:textId="100E31A7" w:rsidR="006B07CA" w:rsidRPr="00511005" w:rsidRDefault="006B07CA" w:rsidP="003A292D">
      <w:pPr>
        <w:spacing w:line="264" w:lineRule="auto"/>
        <w:ind w:right="57" w:firstLine="0"/>
        <w:rPr>
          <w:rFonts w:ascii="Arial" w:eastAsia="Times New Roman" w:hAnsi="Arial" w:cs="Arial"/>
          <w:szCs w:val="28"/>
          <w:lang w:val="uk-UA" w:eastAsia="ru-RU"/>
        </w:rPr>
      </w:pPr>
    </w:p>
    <w:p w14:paraId="73CBA6D3" w14:textId="67D4820B" w:rsidR="006B07CA" w:rsidRPr="00511005" w:rsidRDefault="007B2628"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6B07CA" w:rsidRPr="00511005">
        <w:rPr>
          <w:rFonts w:ascii="Arial" w:eastAsia="Times New Roman" w:hAnsi="Arial" w:cs="Arial"/>
          <w:szCs w:val="28"/>
          <w:lang w:val="uk-UA" w:eastAsia="ru-RU"/>
        </w:rPr>
        <w:t>правова свідомість, правова культура, правова держава, права людини, правова освіта, законодавство, громадянське суспільство, правова інформація, судовий захист, демократія, правова допомога, цифровізація, громадянська участь.</w:t>
      </w:r>
    </w:p>
    <w:p w14:paraId="66CBF159" w14:textId="4A2CA738" w:rsidR="006B07CA" w:rsidRPr="00511005" w:rsidRDefault="007B2628"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6B07CA" w:rsidRPr="00511005">
        <w:rPr>
          <w:rFonts w:ascii="Arial" w:eastAsia="Times New Roman" w:hAnsi="Arial" w:cs="Arial"/>
          <w:szCs w:val="28"/>
          <w:lang w:val="uk-UA" w:eastAsia="ru-RU"/>
        </w:rPr>
        <w:t>legal consciousness, legal culture, rule of law, human rights, legal education, legislation, civil society, legal information, judicial protection, democracy, legal aid, digitalization, civic participation.</w:t>
      </w:r>
    </w:p>
    <w:p w14:paraId="38F6D78C" w14:textId="679489B5" w:rsidR="006B07CA" w:rsidRPr="00511005" w:rsidRDefault="007B2628" w:rsidP="003A292D">
      <w:pPr>
        <w:spacing w:line="264" w:lineRule="auto"/>
        <w:ind w:right="57" w:firstLine="0"/>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6B07CA" w:rsidRPr="00511005">
        <w:rPr>
          <w:rFonts w:ascii="Arial" w:eastAsia="Times New Roman" w:hAnsi="Arial" w:cs="Arial"/>
          <w:i/>
          <w:szCs w:val="28"/>
          <w:lang w:val="uk-UA" w:eastAsia="ru-RU"/>
        </w:rPr>
        <w:t>PhD, ст. викладач В.Є. Іванчук</w:t>
      </w:r>
    </w:p>
    <w:p w14:paraId="70B7E522" w14:textId="77777777" w:rsidR="006B07CA" w:rsidRPr="00511005" w:rsidRDefault="006B07CA" w:rsidP="003A292D">
      <w:pPr>
        <w:spacing w:line="264" w:lineRule="auto"/>
        <w:ind w:right="57" w:firstLine="0"/>
        <w:rPr>
          <w:rFonts w:ascii="Arial" w:eastAsia="Times New Roman" w:hAnsi="Arial" w:cs="Arial"/>
          <w:i/>
          <w:szCs w:val="28"/>
          <w:lang w:val="uk-UA" w:eastAsia="ru-RU"/>
        </w:rPr>
      </w:pPr>
    </w:p>
    <w:p w14:paraId="59DE29EF" w14:textId="77777777" w:rsidR="006B07CA" w:rsidRPr="00511005" w:rsidRDefault="006B07CA" w:rsidP="003A292D">
      <w:pPr>
        <w:spacing w:line="264" w:lineRule="auto"/>
        <w:ind w:right="57" w:firstLine="0"/>
        <w:rPr>
          <w:rFonts w:ascii="Arial" w:eastAsia="Times New Roman" w:hAnsi="Arial" w:cs="Arial"/>
          <w:i/>
          <w:szCs w:val="28"/>
          <w:lang w:val="uk-UA" w:eastAsia="ru-RU"/>
        </w:rPr>
      </w:pPr>
    </w:p>
    <w:p w14:paraId="3AFB94E9" w14:textId="77777777" w:rsidR="006B07CA" w:rsidRPr="00511005" w:rsidRDefault="006B07CA" w:rsidP="003A292D">
      <w:pPr>
        <w:spacing w:line="264" w:lineRule="auto"/>
        <w:ind w:firstLine="0"/>
        <w:jc w:val="center"/>
        <w:rPr>
          <w:rFonts w:ascii="Arial" w:eastAsia="Times New Roman" w:hAnsi="Arial" w:cs="Arial"/>
          <w:b/>
          <w:i/>
          <w:iCs/>
          <w:szCs w:val="28"/>
          <w:lang w:val="uk-UA" w:eastAsia="ru-RU"/>
        </w:rPr>
      </w:pPr>
      <w:r w:rsidRPr="00511005">
        <w:rPr>
          <w:rFonts w:ascii="Arial" w:eastAsia="Times New Roman" w:hAnsi="Arial" w:cs="Arial"/>
          <w:b/>
          <w:i/>
          <w:iCs/>
          <w:szCs w:val="28"/>
          <w:lang w:val="uk-UA" w:eastAsia="ru-RU"/>
        </w:rPr>
        <w:t>Журило Євгенія Сергіївна</w:t>
      </w:r>
    </w:p>
    <w:p w14:paraId="5B8908BA" w14:textId="77777777" w:rsidR="00383DE9" w:rsidRPr="00511005" w:rsidRDefault="00383DE9" w:rsidP="00383DE9">
      <w:pPr>
        <w:spacing w:line="264" w:lineRule="auto"/>
        <w:ind w:firstLine="0"/>
        <w:jc w:val="center"/>
        <w:rPr>
          <w:rFonts w:ascii="Arial" w:eastAsia="Aptos" w:hAnsi="Arial" w:cs="Arial"/>
          <w:kern w:val="2"/>
          <w:szCs w:val="28"/>
          <w:lang w:val="uk-UA"/>
        </w:rPr>
      </w:pPr>
      <w:r w:rsidRPr="00511005">
        <w:rPr>
          <w:rFonts w:ascii="Arial" w:eastAsia="Aptos" w:hAnsi="Arial" w:cs="Arial"/>
          <w:kern w:val="2"/>
          <w:szCs w:val="28"/>
          <w:lang w:val="uk-UA"/>
        </w:rPr>
        <w:t xml:space="preserve">студентка 1-го курсу факультету цивільної та господарської юстиції </w:t>
      </w:r>
    </w:p>
    <w:p w14:paraId="077FCFB3" w14:textId="623E00B3" w:rsidR="006B07CA" w:rsidRPr="00511005" w:rsidRDefault="007B2628" w:rsidP="003A292D">
      <w:pPr>
        <w:spacing w:line="264" w:lineRule="auto"/>
        <w:ind w:firstLine="0"/>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p>
    <w:p w14:paraId="4D4FC81D" w14:textId="77777777" w:rsidR="006B07CA" w:rsidRPr="00511005" w:rsidRDefault="006B07CA" w:rsidP="003A292D">
      <w:pPr>
        <w:spacing w:line="264" w:lineRule="auto"/>
        <w:ind w:firstLine="0"/>
        <w:jc w:val="center"/>
        <w:rPr>
          <w:rFonts w:ascii="Arial" w:eastAsia="Times New Roman" w:hAnsi="Arial" w:cs="Arial"/>
          <w:b/>
          <w:szCs w:val="28"/>
          <w:lang w:val="uk-UA" w:eastAsia="ru-RU"/>
        </w:rPr>
      </w:pPr>
    </w:p>
    <w:p w14:paraId="08BCE252" w14:textId="77777777" w:rsidR="006B07CA" w:rsidRPr="00511005" w:rsidRDefault="006B07CA"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УМОВИ ЗАСТОСУВАННЯ АНАЛОГІЇ ЗАКОНУ</w:t>
      </w:r>
    </w:p>
    <w:p w14:paraId="514318D6"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Аналогія закону є важливим механізмом у правозастосовній діяльності, що дозволяє вирішувати справи за відсутності норми права або її частини. У правовій системі України вона має особливе значення, оскільки забезпечує повноту правового регулювання. Проблема застосування аналогії в праві зумовлена тим, що правова система не завжди встигає за розвитком суспільних відносин </w:t>
      </w:r>
      <w:r w:rsidRPr="00511005">
        <w:rPr>
          <w:rFonts w:ascii="Arial" w:eastAsia="Times New Roman" w:hAnsi="Arial" w:cs="Arial"/>
          <w:szCs w:val="28"/>
          <w:lang w:eastAsia="ru-RU"/>
        </w:rPr>
        <w:t>[1, с. 83]</w:t>
      </w:r>
      <w:r w:rsidRPr="00511005">
        <w:rPr>
          <w:rFonts w:ascii="Arial" w:eastAsia="Times New Roman" w:hAnsi="Arial" w:cs="Arial"/>
          <w:szCs w:val="28"/>
          <w:lang w:val="uk-UA" w:eastAsia="ru-RU"/>
        </w:rPr>
        <w:t>. Це породжує прогалини, які необхідно заповнювати правозастосовчими методами — зокрема, аналогією закону чи аналогією права.</w:t>
      </w:r>
    </w:p>
    <w:p w14:paraId="161CBAA9"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Аналогія закону — це один зі способів прийняття юридично значущого рішення у разі прогалин у законодавстві, що стосуються конкретного </w:t>
      </w:r>
      <w:r w:rsidRPr="00511005">
        <w:rPr>
          <w:rFonts w:ascii="Arial" w:eastAsia="Times New Roman" w:hAnsi="Arial" w:cs="Arial"/>
          <w:szCs w:val="28"/>
          <w:lang w:val="uk-UA" w:eastAsia="ru-RU"/>
        </w:rPr>
        <w:lastRenderedPageBreak/>
        <w:t xml:space="preserve">випадку. Аналогія застосовується у разі наявності правової прогалини, тобто ситуації, коли певні правовідносини не врегульовані чинним законодавством, але потребують правового регулювання. Механізм застосування аналогії передбачений нормами чинного законодавства України </w:t>
      </w:r>
      <w:r w:rsidRPr="00511005">
        <w:rPr>
          <w:rFonts w:ascii="Arial" w:eastAsia="Times New Roman" w:hAnsi="Arial" w:cs="Arial"/>
          <w:szCs w:val="28"/>
          <w:lang w:eastAsia="ru-RU"/>
        </w:rPr>
        <w:t>[2, с. 145]</w:t>
      </w:r>
      <w:r w:rsidRPr="00511005">
        <w:rPr>
          <w:rFonts w:ascii="Arial" w:eastAsia="Times New Roman" w:hAnsi="Arial" w:cs="Arial"/>
          <w:szCs w:val="28"/>
          <w:lang w:val="uk-UA" w:eastAsia="ru-RU"/>
        </w:rPr>
        <w:t xml:space="preserve">. Зокрема, частина перша статті 8 Цивільного кодексу України встановлює, що у випадках, коли цивільні правовідносини не врегульовані положеннями цього Кодексу, іншими нормативно-правовими актами цивільного законодавства або умовами договору, до них можуть бути застосовані норми, які регулюють подібні за характером правовідносини </w:t>
      </w:r>
      <w:r w:rsidRPr="00511005">
        <w:rPr>
          <w:rFonts w:ascii="Arial" w:eastAsia="Times New Roman" w:hAnsi="Arial" w:cs="Arial"/>
          <w:szCs w:val="28"/>
          <w:lang w:eastAsia="ru-RU"/>
        </w:rPr>
        <w:t>[3]</w:t>
      </w:r>
      <w:r w:rsidRPr="00511005">
        <w:rPr>
          <w:rFonts w:ascii="Arial" w:eastAsia="Times New Roman" w:hAnsi="Arial" w:cs="Arial"/>
          <w:szCs w:val="28"/>
          <w:lang w:val="uk-UA" w:eastAsia="ru-RU"/>
        </w:rPr>
        <w:t>. У Сімейному кодексі України передбачено можливість застосування аналогії закону у випадках, коли конкретні сімейні правовідносини не врегульовані чинними нормами. Згідно з частиною другою статті 10 Сімейного кодексу України, якщо певні відносини не регулюються цим Кодексом, іншими нормативно-правовими актами або договором, до них застосовуються норми, що регулюють подібні за змістом правовідносини у сфері сімейного права. Це положення дає змогу суду або іншому органу, що вирішує сімейно-правові спори, використовувати норми, які прямо не стосуються конкретного випадку, але регулюють подібні ситуації. Таким чином забезпечується справедливість і цілісність правозастосування навіть у разі наявності прогалин у законодавстві. При цьому аналогія повинна відповідати загальним принципам сімейного права, зокрема захисту прав та інтересів дитини, рівності сторін та добросовісності [4].</w:t>
      </w:r>
    </w:p>
    <w:p w14:paraId="6731B4F7"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Аналогія в кримінальному процесуальному праві може застосовуватися лише з дотриманням встановленої кримінальної процесуальної форми, на основі загальних засад, передбачених статтею 7 КПК України, і повинна бути спрямована на досягнення цілей кримінального провадження [5]. . Застосування норм кримінального процесуального законодавства за аналогією допускається лише за умови неухильного дотримання завдань і основних принципів кримінального провадження. Зокрема, якщо внаслідок такого застосування було порушено право особи на захист, відповідно до статті 370 КПК України, винесене рішення підлягає скасуванню </w:t>
      </w:r>
      <w:r w:rsidRPr="00511005">
        <w:rPr>
          <w:rFonts w:ascii="Arial" w:eastAsia="Times New Roman" w:hAnsi="Arial" w:cs="Arial"/>
          <w:szCs w:val="28"/>
          <w:lang w:eastAsia="ru-RU"/>
        </w:rPr>
        <w:t>[6, с. 109]</w:t>
      </w:r>
      <w:r w:rsidRPr="00511005">
        <w:rPr>
          <w:rFonts w:ascii="Arial" w:eastAsia="Times New Roman" w:hAnsi="Arial" w:cs="Arial"/>
          <w:szCs w:val="28"/>
          <w:lang w:val="uk-UA" w:eastAsia="ru-RU"/>
        </w:rPr>
        <w:t xml:space="preserve">. </w:t>
      </w:r>
    </w:p>
    <w:p w14:paraId="78F8642F"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Застосвання аналогії у сфері конституційного права, може використовуватись за умови дотримання загальнотеоретичних підходів та відповідних нормативних обмежень. Особливістю конституційного права є його фундаментальний характер і підвищені вимоги до юридичної визначеності, що зумовлює обмежене використання аналогії. У певних ситуаціях самі норми Конституції України унеможливлюють заповнення правових прогалин шляхом аналогії, створюючи так звані «правові вакууми». У таких випадках єдиним механізмом усунення прогалин стає внесення змін до чинного законодавства, або — у разі змін до Конституції — </w:t>
      </w:r>
      <w:r w:rsidRPr="00511005">
        <w:rPr>
          <w:rFonts w:ascii="Arial" w:eastAsia="Times New Roman" w:hAnsi="Arial" w:cs="Arial"/>
          <w:szCs w:val="28"/>
          <w:lang w:val="uk-UA" w:eastAsia="ru-RU"/>
        </w:rPr>
        <w:lastRenderedPageBreak/>
        <w:t xml:space="preserve">відповідна складна процедура конституційної реформи. Водночас застосування аналогії у межах конституційного права може бути реалізоване Конституційним Судом України, зокрема під час здійснення конкретного конституційного контролю або розгляду конституційної скарги. У таких випадках необхідно не лише формально обґрунтовувати правову аналогію, але й виходити з пріоритету конституційних цінностей, принципів верховенства права, поваги до прав і свобод людини та громадянина </w:t>
      </w:r>
      <w:r w:rsidRPr="00511005">
        <w:rPr>
          <w:rFonts w:ascii="Arial" w:eastAsia="Times New Roman" w:hAnsi="Arial" w:cs="Arial"/>
          <w:szCs w:val="28"/>
          <w:lang w:eastAsia="ru-RU"/>
        </w:rPr>
        <w:t>[7, с. 95-96]</w:t>
      </w:r>
      <w:r w:rsidRPr="00511005">
        <w:rPr>
          <w:rFonts w:ascii="Arial" w:eastAsia="Times New Roman" w:hAnsi="Arial" w:cs="Arial"/>
          <w:szCs w:val="28"/>
          <w:lang w:val="uk-UA" w:eastAsia="ru-RU"/>
        </w:rPr>
        <w:t>.</w:t>
      </w:r>
    </w:p>
    <w:p w14:paraId="6C2853F6"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Застосування аналогії закону в трудовому праві України є важливим інструментом для подолання прогалин у правовому регулюванні трудових відносин. Хоча Кодекс законів про працю України (КЗпП) не містить прямої норми про застосування аналогії, судова практика та наукові дослідження визнають можливість її використання у випадках, коли трудові відносини не врегульовані чинним законодавством. Науковці, такі як А. І. Дрішлюк, зазначають, що аналогія закону в трудовому праві може бути використана для заповнення прогалин, за умови дотримання принципів трудового законодавства та загальних засад права </w:t>
      </w:r>
      <w:r w:rsidRPr="00511005">
        <w:rPr>
          <w:rFonts w:ascii="Arial" w:eastAsia="Times New Roman" w:hAnsi="Arial" w:cs="Arial"/>
          <w:szCs w:val="28"/>
          <w:lang w:eastAsia="ru-RU"/>
        </w:rPr>
        <w:t>[8, с. 10-12]</w:t>
      </w:r>
      <w:r w:rsidRPr="00511005">
        <w:rPr>
          <w:rFonts w:ascii="Arial" w:eastAsia="Times New Roman" w:hAnsi="Arial" w:cs="Arial"/>
          <w:szCs w:val="28"/>
          <w:lang w:val="uk-UA" w:eastAsia="ru-RU"/>
        </w:rPr>
        <w:t>.</w:t>
      </w:r>
    </w:p>
    <w:p w14:paraId="6229EBFE"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 кримінальному праві використання аналогії для подолання прогалин є недопустимим. Така заборона має бути чітко закріплена в законодавстві. Так, згідно з частиною четвертою статті 3 Кримінального кодексу України, заборонено притягнення до кримінальної відповідальності за аналогією. Це означає, що злочином може вважатися лише діяння, прямо передбачене нормою Кримінального кодексу. Такий підхід відповідає загальновизнаному принципу юридичної визначеності та гарантує захист прав і свобод особи, що є фундаментом демократичних правових систем </w:t>
      </w:r>
      <w:r w:rsidRPr="00511005">
        <w:rPr>
          <w:rFonts w:ascii="Arial" w:eastAsia="Times New Roman" w:hAnsi="Arial" w:cs="Arial"/>
          <w:szCs w:val="28"/>
          <w:lang w:eastAsia="ru-RU"/>
        </w:rPr>
        <w:t>[9]</w:t>
      </w:r>
      <w:r w:rsidRPr="00511005">
        <w:rPr>
          <w:rFonts w:ascii="Arial" w:eastAsia="Times New Roman" w:hAnsi="Arial" w:cs="Arial"/>
          <w:szCs w:val="28"/>
          <w:lang w:val="uk-UA" w:eastAsia="ru-RU"/>
        </w:rPr>
        <w:t>.</w:t>
      </w:r>
    </w:p>
    <w:p w14:paraId="7D4F5134" w14:textId="77777777" w:rsidR="006B07CA" w:rsidRPr="00511005" w:rsidRDefault="006B07CA" w:rsidP="00383DE9">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Отже, Аналогія закону є важливим механізмом подолання прогалин у законодавстві, що дозволяє забезпечити безперервність правового регулювання навіть за відсутності конкретної норми. Її застосування ґрунтується на ідеї справедливості та принципі неможливості відмови у правосудді. Проте використання аналогії потребує обережного та зваженого підходу, особливо у публічно-правових галузях, де її застосування може бути обмеженим або прямо забороненим, як у кримінальному праві. Ключовими умовами використання аналогії є наявність прогалини в законодавстві, неможливість врегулювання ситуації іншими правовими засобами, а також схожість правовідносин, які регулюються застосовуваною нормою. При цьому правозастосовні органи мають дотримуватись принципу законності, забезпечуючи правову визначеність та дотримання основних засад відповідної галузі права.</w:t>
      </w:r>
    </w:p>
    <w:p w14:paraId="66EB213D" w14:textId="77777777" w:rsidR="006B07CA" w:rsidRPr="00511005" w:rsidRDefault="006B07CA" w:rsidP="003A292D">
      <w:pPr>
        <w:spacing w:line="264" w:lineRule="auto"/>
        <w:ind w:firstLine="0"/>
        <w:rPr>
          <w:rFonts w:ascii="Arial" w:eastAsia="Times New Roman" w:hAnsi="Arial" w:cs="Arial"/>
          <w:szCs w:val="28"/>
          <w:shd w:val="clear" w:color="auto" w:fill="FFFFFF"/>
          <w:lang w:val="uk-UA" w:eastAsia="ru-RU"/>
        </w:rPr>
      </w:pPr>
    </w:p>
    <w:p w14:paraId="656709FC" w14:textId="68C46F6A" w:rsidR="006B07CA" w:rsidRPr="00511005" w:rsidRDefault="007B2628" w:rsidP="007B2628">
      <w:pPr>
        <w:spacing w:line="264" w:lineRule="auto"/>
        <w:ind w:firstLine="0"/>
        <w:jc w:val="center"/>
        <w:rPr>
          <w:rFonts w:ascii="Arial" w:eastAsia="Times New Roman" w:hAnsi="Arial" w:cs="Arial"/>
          <w:b/>
          <w:szCs w:val="28"/>
          <w:shd w:val="clear" w:color="auto" w:fill="FFFFFF"/>
          <w:lang w:val="uk-UA" w:eastAsia="ru-RU"/>
        </w:rPr>
      </w:pPr>
      <w:r w:rsidRPr="00511005">
        <w:rPr>
          <w:rFonts w:ascii="Arial" w:eastAsia="Times New Roman" w:hAnsi="Arial" w:cs="Arial"/>
          <w:b/>
          <w:szCs w:val="28"/>
          <w:shd w:val="clear" w:color="auto" w:fill="FFFFFF"/>
          <w:lang w:val="uk-UA" w:eastAsia="ru-RU"/>
        </w:rPr>
        <w:t>Список використаних джерел</w:t>
      </w:r>
    </w:p>
    <w:p w14:paraId="3CF6E6CF" w14:textId="4AB99876" w:rsidR="006B07CA" w:rsidRPr="00511005" w:rsidRDefault="006B07CA" w:rsidP="00383DE9">
      <w:pPr>
        <w:numPr>
          <w:ilvl w:val="0"/>
          <w:numId w:val="22"/>
        </w:numPr>
        <w:spacing w:line="264" w:lineRule="auto"/>
        <w:ind w:left="0" w:firstLine="709"/>
        <w:rPr>
          <w:rFonts w:ascii="Arial" w:eastAsia="Calibri" w:hAnsi="Arial" w:cs="Arial"/>
          <w:szCs w:val="28"/>
          <w:shd w:val="clear" w:color="auto" w:fill="FFFFFF"/>
          <w:lang w:val="uk-UA"/>
        </w:rPr>
      </w:pPr>
      <w:r w:rsidRPr="00511005">
        <w:rPr>
          <w:rFonts w:ascii="Arial" w:eastAsia="Calibri" w:hAnsi="Arial" w:cs="Arial"/>
          <w:szCs w:val="28"/>
          <w:lang w:val="uk-UA"/>
        </w:rPr>
        <w:t xml:space="preserve">Орзіх В. Поняття Аналогії Закону Й Аналогії Права В Цивільному Праві України. </w:t>
      </w:r>
      <w:r w:rsidRPr="00511005">
        <w:rPr>
          <w:rFonts w:ascii="Arial" w:eastAsia="Calibri" w:hAnsi="Arial" w:cs="Arial"/>
          <w:iCs/>
          <w:szCs w:val="28"/>
          <w:lang w:val="uk-UA"/>
        </w:rPr>
        <w:t>Науковий вісник Ужгородського національного університету</w:t>
      </w:r>
      <w:r w:rsidRPr="00511005">
        <w:rPr>
          <w:rFonts w:ascii="Arial" w:eastAsia="Calibri" w:hAnsi="Arial" w:cs="Arial"/>
          <w:szCs w:val="28"/>
          <w:lang w:val="uk-UA"/>
        </w:rPr>
        <w:t xml:space="preserve">. </w:t>
      </w:r>
      <w:r w:rsidRPr="00511005">
        <w:rPr>
          <w:rFonts w:ascii="Arial" w:eastAsia="Calibri" w:hAnsi="Arial" w:cs="Arial"/>
          <w:szCs w:val="28"/>
          <w:lang w:val="uk-UA"/>
        </w:rPr>
        <w:lastRenderedPageBreak/>
        <w:t>2019.</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Ст.83-86.URL: </w:t>
      </w:r>
      <w:hyperlink r:id="rId23" w:tgtFrame="_blank" w:history="1">
        <w:r w:rsidRPr="00511005">
          <w:rPr>
            <w:rFonts w:ascii="Arial" w:eastAsia="Calibri" w:hAnsi="Arial" w:cs="Arial"/>
            <w:szCs w:val="28"/>
            <w:lang w:val="uk-UA"/>
          </w:rPr>
          <w:t>https://dspace.uzhnu.edu.ua/jspui/bitstream/lib/31554/1/понЯттЯ%20аналогіЇ%20Закону%20й%20аналогіЇ%20права.pdf</w:t>
        </w:r>
      </w:hyperlink>
      <w:r w:rsidRPr="00511005">
        <w:rPr>
          <w:rFonts w:ascii="Arial" w:eastAsia="Calibri" w:hAnsi="Arial" w:cs="Arial"/>
          <w:szCs w:val="28"/>
          <w:lang w:val="uk-UA"/>
        </w:rPr>
        <w:t> </w:t>
      </w:r>
    </w:p>
    <w:p w14:paraId="67015A01" w14:textId="77777777" w:rsidR="006B07CA" w:rsidRPr="00511005" w:rsidRDefault="006B07CA" w:rsidP="00383DE9">
      <w:pPr>
        <w:numPr>
          <w:ilvl w:val="0"/>
          <w:numId w:val="22"/>
        </w:numPr>
        <w:spacing w:line="264" w:lineRule="auto"/>
        <w:ind w:left="0" w:firstLine="709"/>
        <w:contextualSpacing/>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Орзіх В. Умови та механізм застосування аналогії закону та анології права в цивільному праві України. Національний юридичний журнал: теорія і практика. 2019. Ст. 144-147 URL: https://journals.indexcopernicus.com/api/file/viewByFileId/965442.</w:t>
      </w:r>
    </w:p>
    <w:p w14:paraId="39E6CB27" w14:textId="77777777" w:rsidR="006B07CA" w:rsidRPr="00511005" w:rsidRDefault="006B07CA" w:rsidP="00383DE9">
      <w:pPr>
        <w:numPr>
          <w:ilvl w:val="0"/>
          <w:numId w:val="22"/>
        </w:numPr>
        <w:shd w:val="clear" w:color="auto" w:fill="FFFFFF"/>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Цивільний кодекс України: Закон України від 16 січ. 2003 р. № 435- IV Відомості Верховної Ради України. 2003. № 40–44. Ст. 356. </w:t>
      </w:r>
    </w:p>
    <w:p w14:paraId="660C7B7F" w14:textId="77777777" w:rsidR="006B07CA" w:rsidRPr="00511005" w:rsidRDefault="006B07CA" w:rsidP="00383DE9">
      <w:pPr>
        <w:numPr>
          <w:ilvl w:val="0"/>
          <w:numId w:val="22"/>
        </w:numPr>
        <w:spacing w:line="264" w:lineRule="auto"/>
        <w:ind w:left="0" w:firstLine="709"/>
        <w:rPr>
          <w:rFonts w:ascii="Arial" w:eastAsia="Times New Roman" w:hAnsi="Arial" w:cs="Arial"/>
          <w:szCs w:val="28"/>
          <w:lang w:val="uk-UA"/>
        </w:rPr>
      </w:pPr>
      <w:r w:rsidRPr="00511005">
        <w:rPr>
          <w:rFonts w:ascii="Arial" w:eastAsia="Times New Roman" w:hAnsi="Arial" w:cs="Arial"/>
          <w:szCs w:val="28"/>
          <w:lang w:val="uk-UA"/>
        </w:rPr>
        <w:t>Сімейник кодекс України: Закон України від 10 січня 2002 р. № 2947-III Відомості Верховної Ради України. 2002. № 21–22. Ст. 135.</w:t>
      </w:r>
    </w:p>
    <w:p w14:paraId="07EA994C" w14:textId="179063B8" w:rsidR="006B07CA" w:rsidRPr="00511005" w:rsidRDefault="006B07CA" w:rsidP="00383DE9">
      <w:pPr>
        <w:numPr>
          <w:ilvl w:val="0"/>
          <w:numId w:val="22"/>
        </w:numPr>
        <w:shd w:val="clear" w:color="auto" w:fill="FFFFFF"/>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Кримінальний процесуальний кодекс України : Закон України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від 13 квітня 2012 року № 4651-VI. Відомості Верховної Ради України. 2013. № 9–10, № 11–12, № 13. Ст.88.</w:t>
      </w:r>
    </w:p>
    <w:p w14:paraId="4E07AA23" w14:textId="77777777" w:rsidR="006B07CA" w:rsidRPr="00511005" w:rsidRDefault="006B07CA" w:rsidP="00383DE9">
      <w:pPr>
        <w:numPr>
          <w:ilvl w:val="0"/>
          <w:numId w:val="22"/>
        </w:numPr>
        <w:shd w:val="clear" w:color="auto" w:fill="FFFFFF"/>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Забарний М. Аналогія закону та аналогія права як способи усунення прогалин у кримінальному процесуальному праві. </w:t>
      </w:r>
      <w:r w:rsidRPr="00511005">
        <w:rPr>
          <w:rFonts w:ascii="Arial" w:eastAsia="Times New Roman" w:hAnsi="Arial" w:cs="Arial"/>
          <w:i/>
          <w:iCs/>
          <w:szCs w:val="28"/>
          <w:lang w:val="uk-UA" w:eastAsia="ru-RU"/>
        </w:rPr>
        <w:t>Актуальні проблеми вітчизняної юриспруденції</w:t>
      </w:r>
      <w:r w:rsidRPr="00511005">
        <w:rPr>
          <w:rFonts w:ascii="Arial" w:eastAsia="Times New Roman" w:hAnsi="Arial" w:cs="Arial"/>
          <w:szCs w:val="28"/>
          <w:lang w:val="uk-UA" w:eastAsia="ru-RU"/>
        </w:rPr>
        <w:t xml:space="preserve">. 2016. Вип. 5. С. 106–110. </w:t>
      </w:r>
      <w:hyperlink r:id="rId24" w:history="1">
        <w:r w:rsidRPr="00511005">
          <w:rPr>
            <w:rFonts w:ascii="Arial" w:eastAsia="Times New Roman" w:hAnsi="Arial" w:cs="Arial"/>
            <w:szCs w:val="28"/>
            <w:lang w:val="uk-UA" w:eastAsia="ru-RU"/>
          </w:rPr>
          <w:t>URL:http://apnl.dnu.in.ua/5_2016/25.pdf</w:t>
        </w:r>
      </w:hyperlink>
    </w:p>
    <w:p w14:paraId="1716DD08" w14:textId="77777777" w:rsidR="006B07CA" w:rsidRPr="00511005" w:rsidRDefault="006B07CA" w:rsidP="00383DE9">
      <w:pPr>
        <w:numPr>
          <w:ilvl w:val="0"/>
          <w:numId w:val="22"/>
        </w:numPr>
        <w:shd w:val="clear" w:color="auto" w:fill="FFFFFF"/>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Москалюк О. Подолання прогалин у Конституційному праві. 2018. Ст. 95-98 URL: </w:t>
      </w:r>
      <w:hyperlink r:id="rId25" w:history="1">
        <w:r w:rsidRPr="00511005">
          <w:rPr>
            <w:rFonts w:ascii="Arial" w:eastAsia="Times New Roman" w:hAnsi="Arial" w:cs="Arial"/>
            <w:szCs w:val="28"/>
            <w:lang w:val="uk-UA" w:eastAsia="ru-RU"/>
          </w:rPr>
          <w:t>http://jnas.nbuv.gov.ua/j-pdf/Chkup_2018_4_23.pdf</w:t>
        </w:r>
      </w:hyperlink>
      <w:r w:rsidRPr="00511005">
        <w:rPr>
          <w:rFonts w:ascii="Arial" w:eastAsia="Times New Roman" w:hAnsi="Arial" w:cs="Arial"/>
          <w:szCs w:val="28"/>
          <w:lang w:val="uk-UA" w:eastAsia="ru-RU"/>
        </w:rPr>
        <w:t>.</w:t>
      </w:r>
    </w:p>
    <w:p w14:paraId="632A26FD" w14:textId="77777777" w:rsidR="006B07CA" w:rsidRPr="00511005" w:rsidRDefault="006B07CA" w:rsidP="00383DE9">
      <w:pPr>
        <w:numPr>
          <w:ilvl w:val="0"/>
          <w:numId w:val="22"/>
        </w:numPr>
        <w:shd w:val="clear" w:color="auto" w:fill="FFFFFF"/>
        <w:spacing w:line="264" w:lineRule="auto"/>
        <w:ind w:left="0" w:firstLine="709"/>
        <w:contextualSpacing/>
        <w:rPr>
          <w:rFonts w:ascii="Arial" w:eastAsia="Times New Roman" w:hAnsi="Arial" w:cs="Arial"/>
          <w:szCs w:val="28"/>
          <w:lang w:val="uk-UA"/>
        </w:rPr>
      </w:pPr>
      <w:r w:rsidRPr="00511005">
        <w:rPr>
          <w:rFonts w:ascii="Arial" w:eastAsia="Times New Roman" w:hAnsi="Arial" w:cs="Arial"/>
          <w:szCs w:val="28"/>
          <w:lang w:val="uk-UA"/>
        </w:rPr>
        <w:t>Дрішлюк А. І. Аналогія закону та аналогія права: динаміка наукового дослідження (сучасний період) // Науковий вісник Ужгородського національного університету. Серія: Право. – 2011. – Вип. 17. – С. 9–14.</w:t>
      </w:r>
    </w:p>
    <w:p w14:paraId="6326A2C2" w14:textId="77777777" w:rsidR="006B07CA" w:rsidRPr="00511005" w:rsidRDefault="006B07CA" w:rsidP="00383DE9">
      <w:pPr>
        <w:numPr>
          <w:ilvl w:val="0"/>
          <w:numId w:val="22"/>
        </w:numPr>
        <w:shd w:val="clear" w:color="auto" w:fill="FFFFFF"/>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Кримінальний кодекс України: Закон України від 05 квітня 2001 р. № 2341-III Відомості Верховної Ради України. 2001. № 25–26. Ст. 131.</w:t>
      </w:r>
    </w:p>
    <w:p w14:paraId="5C3EC710" w14:textId="77777777" w:rsidR="006B07CA" w:rsidRPr="00511005" w:rsidRDefault="006B07CA" w:rsidP="003A292D">
      <w:pPr>
        <w:shd w:val="clear" w:color="auto" w:fill="FFFFFF"/>
        <w:spacing w:line="264" w:lineRule="auto"/>
        <w:ind w:firstLine="0"/>
        <w:jc w:val="left"/>
        <w:rPr>
          <w:rFonts w:ascii="Arial" w:eastAsia="Times New Roman" w:hAnsi="Arial" w:cs="Arial"/>
          <w:szCs w:val="28"/>
          <w:lang w:val="uk-UA" w:eastAsia="ru-RU"/>
        </w:rPr>
      </w:pPr>
    </w:p>
    <w:p w14:paraId="6F67A1CD" w14:textId="7F21CCC5" w:rsidR="006B07CA" w:rsidRPr="00511005" w:rsidRDefault="007B2628" w:rsidP="003A292D">
      <w:pPr>
        <w:spacing w:line="264" w:lineRule="auto"/>
        <w:ind w:firstLine="0"/>
        <w:rPr>
          <w:rFonts w:ascii="Arial" w:eastAsia="Times New Roman" w:hAnsi="Arial" w:cs="Arial"/>
          <w:szCs w:val="28"/>
          <w:shd w:val="clear" w:color="auto" w:fill="FFFFFF"/>
          <w:lang w:val="uk-UA" w:eastAsia="ru-RU"/>
        </w:rPr>
      </w:pPr>
      <w:r w:rsidRPr="00511005">
        <w:rPr>
          <w:rFonts w:ascii="Arial" w:eastAsia="Times New Roman" w:hAnsi="Arial" w:cs="Arial"/>
          <w:b/>
          <w:bCs/>
          <w:i/>
          <w:szCs w:val="28"/>
          <w:shd w:val="clear" w:color="auto" w:fill="FFFFFF"/>
          <w:lang w:val="uk-UA" w:eastAsia="ru-RU"/>
        </w:rPr>
        <w:t xml:space="preserve">Ключові слова: </w:t>
      </w:r>
      <w:r w:rsidR="006B07CA" w:rsidRPr="00511005">
        <w:rPr>
          <w:rFonts w:ascii="Arial" w:eastAsia="Times New Roman" w:hAnsi="Arial" w:cs="Arial"/>
          <w:szCs w:val="28"/>
          <w:shd w:val="clear" w:color="auto" w:fill="FFFFFF"/>
          <w:lang w:val="uk-UA" w:eastAsia="ru-RU"/>
        </w:rPr>
        <w:t>прогалини в праві, аналогія права, аналогія закону, застосування права, принципи права.</w:t>
      </w:r>
    </w:p>
    <w:p w14:paraId="75B73260" w14:textId="691F81CD" w:rsidR="006B07CA" w:rsidRPr="00511005" w:rsidRDefault="007B2628" w:rsidP="003A292D">
      <w:pPr>
        <w:spacing w:line="264" w:lineRule="auto"/>
        <w:ind w:firstLine="0"/>
        <w:rPr>
          <w:rFonts w:ascii="Arial" w:eastAsia="Times New Roman" w:hAnsi="Arial" w:cs="Arial"/>
          <w:szCs w:val="28"/>
          <w:shd w:val="clear" w:color="auto" w:fill="FFFFFF"/>
          <w:lang w:val="en-US" w:eastAsia="ru-RU"/>
        </w:rPr>
      </w:pPr>
      <w:r w:rsidRPr="00511005">
        <w:rPr>
          <w:rFonts w:ascii="Arial" w:eastAsia="Times New Roman" w:hAnsi="Arial" w:cs="Arial"/>
          <w:b/>
          <w:bCs/>
          <w:i/>
          <w:szCs w:val="28"/>
          <w:shd w:val="clear" w:color="auto" w:fill="FFFFFF"/>
          <w:lang w:val="en-US" w:eastAsia="ru-RU"/>
        </w:rPr>
        <w:t xml:space="preserve">Key words: </w:t>
      </w:r>
      <w:r w:rsidR="006B07CA" w:rsidRPr="00511005">
        <w:rPr>
          <w:rFonts w:ascii="Arial" w:eastAsia="Times New Roman" w:hAnsi="Arial" w:cs="Arial"/>
          <w:szCs w:val="28"/>
          <w:shd w:val="clear" w:color="auto" w:fill="FFFFFF"/>
          <w:lang w:val="en-US" w:eastAsia="ru-RU"/>
        </w:rPr>
        <w:t>gaps in the law, analogy of law, analogy of statute, application of law, principles of law</w:t>
      </w:r>
      <w:r w:rsidR="006B07CA" w:rsidRPr="00511005">
        <w:rPr>
          <w:rFonts w:ascii="Arial" w:eastAsia="Times New Roman" w:hAnsi="Arial" w:cs="Arial"/>
          <w:szCs w:val="28"/>
          <w:shd w:val="clear" w:color="auto" w:fill="FFFFFF"/>
          <w:lang w:val="uk-UA" w:eastAsia="ru-RU"/>
        </w:rPr>
        <w:t>.</w:t>
      </w:r>
    </w:p>
    <w:p w14:paraId="70F0C6BC" w14:textId="27F0DB8B" w:rsidR="007B2628" w:rsidRPr="00511005" w:rsidRDefault="00383DE9" w:rsidP="003A292D">
      <w:pPr>
        <w:spacing w:line="264" w:lineRule="auto"/>
        <w:ind w:firstLine="0"/>
        <w:rPr>
          <w:rFonts w:ascii="Arial" w:eastAsia="Times New Roman" w:hAnsi="Arial" w:cs="Arial"/>
          <w:i/>
          <w:iCs/>
          <w:szCs w:val="28"/>
          <w:shd w:val="clear" w:color="auto" w:fill="FFFFFF"/>
          <w:lang w:val="uk-UA" w:eastAsia="ru-RU"/>
        </w:rPr>
      </w:pPr>
      <w:r w:rsidRPr="00511005">
        <w:rPr>
          <w:rFonts w:ascii="Arial" w:eastAsia="Times New Roman" w:hAnsi="Arial" w:cs="Arial"/>
          <w:b/>
          <w:i/>
          <w:szCs w:val="28"/>
          <w:lang w:val="uk-UA" w:eastAsia="ru-RU"/>
        </w:rPr>
        <w:t xml:space="preserve">Науковий керівник: </w:t>
      </w:r>
      <w:r w:rsidR="006B07CA" w:rsidRPr="00511005">
        <w:rPr>
          <w:rFonts w:ascii="Arial" w:eastAsia="Times New Roman" w:hAnsi="Arial" w:cs="Arial"/>
          <w:i/>
          <w:iCs/>
          <w:szCs w:val="28"/>
          <w:shd w:val="clear" w:color="auto" w:fill="FFFFFF"/>
          <w:lang w:val="uk-UA" w:eastAsia="ru-RU"/>
        </w:rPr>
        <w:t>к.ю.н., доцент Ковбасюк С.В.</w:t>
      </w:r>
    </w:p>
    <w:p w14:paraId="7E4A1775" w14:textId="3535EDCE" w:rsidR="006B07CA" w:rsidRPr="00511005" w:rsidRDefault="006B07CA" w:rsidP="003A292D">
      <w:pPr>
        <w:spacing w:line="264" w:lineRule="auto"/>
        <w:ind w:firstLine="0"/>
        <w:contextualSpacing/>
        <w:rPr>
          <w:rFonts w:ascii="Arial" w:eastAsia="Times New Roman" w:hAnsi="Arial" w:cs="Arial"/>
          <w:i/>
          <w:iCs/>
          <w:szCs w:val="28"/>
          <w:lang w:eastAsia="ru-RU"/>
        </w:rPr>
      </w:pPr>
    </w:p>
    <w:p w14:paraId="7B72F0D1" w14:textId="77777777" w:rsidR="006B07CA" w:rsidRPr="00511005" w:rsidRDefault="006B07CA" w:rsidP="003A292D">
      <w:pPr>
        <w:spacing w:line="264" w:lineRule="auto"/>
        <w:ind w:firstLine="0"/>
        <w:contextualSpacing/>
        <w:rPr>
          <w:rFonts w:ascii="Arial" w:eastAsia="Times New Roman" w:hAnsi="Arial" w:cs="Arial"/>
          <w:i/>
          <w:iCs/>
          <w:szCs w:val="28"/>
          <w:lang w:eastAsia="ru-RU"/>
        </w:rPr>
      </w:pPr>
    </w:p>
    <w:p w14:paraId="038D71F3" w14:textId="77777777" w:rsidR="006B07CA" w:rsidRPr="00511005" w:rsidRDefault="006B07CA"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Ільницька Вікторія Віталіївна</w:t>
      </w:r>
    </w:p>
    <w:p w14:paraId="645919AB" w14:textId="47D379AE" w:rsidR="006B07CA" w:rsidRPr="00511005" w:rsidRDefault="00BE3972"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1-го курсу </w:t>
      </w:r>
      <w:r w:rsidR="001B7B25" w:rsidRPr="00511005">
        <w:rPr>
          <w:rFonts w:ascii="Arial" w:eastAsia="Times New Roman" w:hAnsi="Arial" w:cs="Arial"/>
          <w:szCs w:val="28"/>
          <w:lang w:val="uk-UA" w:eastAsia="ru-RU"/>
        </w:rPr>
        <w:t>факультету судового та міжнародного права</w:t>
      </w:r>
    </w:p>
    <w:p w14:paraId="493A9D45" w14:textId="455A6BFC" w:rsidR="006B07CA"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3AA082AB" w14:textId="77777777" w:rsidR="007B2628" w:rsidRPr="00511005" w:rsidRDefault="007B2628" w:rsidP="003A292D">
      <w:pPr>
        <w:spacing w:line="264" w:lineRule="auto"/>
        <w:ind w:firstLine="0"/>
        <w:jc w:val="center"/>
        <w:rPr>
          <w:rFonts w:ascii="Arial" w:eastAsia="Times New Roman" w:hAnsi="Arial" w:cs="Arial"/>
          <w:szCs w:val="28"/>
          <w:lang w:val="uk-UA" w:eastAsia="ru-RU"/>
        </w:rPr>
      </w:pPr>
    </w:p>
    <w:p w14:paraId="4E6D6B23" w14:textId="6004FE66" w:rsidR="006B07CA" w:rsidRPr="00511005" w:rsidRDefault="006B07CA"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ПРАВОВИЙ СТАТУС КРИПТОВАЛЮТИ В КОНТЕКСТІ ПУБЛІЧНОГО ІНТЕРЕСУ ТА ФІНАНСОВОЇ БЕЗПЕКИ</w:t>
      </w:r>
    </w:p>
    <w:p w14:paraId="56B40D22"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сучасному світі цифровізація економічних відносин стрімко змінює традиційні підходи до обігу фінансових інструментів. Однією з найрезонансніших інновацій останнього десятиліття є криптовалюта — </w:t>
      </w:r>
      <w:r w:rsidRPr="00511005">
        <w:rPr>
          <w:rFonts w:ascii="Arial" w:eastAsia="Times New Roman" w:hAnsi="Arial" w:cs="Arial"/>
          <w:szCs w:val="28"/>
          <w:lang w:val="uk-UA" w:eastAsia="ru-RU"/>
        </w:rPr>
        <w:lastRenderedPageBreak/>
        <w:t>цифровий актив, який використовує криптографічні алгоритми для забезпечення безпеки транзакцій. Однак її швидке поширення викликало численні запитання щодо правового регулювання, захисту публічного інтересу та фінансової безпеки.</w:t>
      </w:r>
    </w:p>
    <w:p w14:paraId="5468AF03" w14:textId="6D089CA0"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Правова кваліфікація криптовалюти досі викликає дискусії. В одних юрисдикціях її розглядають як засіб платежу, в інших — як інвестиційний актив або цифрове майно. Наприклад, Європейський суд у справі Hedqvist (2015) визнав Bitcoin як платіжний засіб, що звільняється від ПДВ [1]. У США позиції різних відомств відрізняються: Податкова служба (IRS) класифікує криптовалюту як власність [2, с.2], тоді як Комісія з цінних паперів і бірж (SEC) може розглядати її як цінний папір залежно від</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критерій [3, с.32-33].</w:t>
      </w:r>
    </w:p>
    <w:p w14:paraId="4F0EE1E0"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 Україні ситуація подібна. Відповідно до ч. 7 ст. 4 Закону України «Про віртуальні активи», криптовалюта визначається як різновид віртуального активу, що має вартість, проте не є законним платіжним засобом [4]. Таке формулювання закладає правову основу для її регулювання, однак потребує подальшого нормативного уточнення та розвитку. </w:t>
      </w:r>
    </w:p>
    <w:p w14:paraId="08FC3BC6"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Криптовалюти перетворилися з технічної інновації на серйозний виклик для державного регулювання, фінансової стабільності та публічного інтересу. Їх популярність зростає, однак правовий статус у багатьох країнах залишається нечітким або неповно врегульованим .</w:t>
      </w:r>
    </w:p>
    <w:p w14:paraId="4F8DD5E6"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одного боку, цифрові валюти створюють можливості для фінансової інклюзії: вони дозволяють швидко здійснювати перекази, обходити традиційні банківські бар’єри й знижувати транзакційні витрати. Проте водночас ці переваги супроводжуються значними ризиками — від відсутності контролю з боку держави до зростання обсягів шахрайства та тіньових операцій.</w:t>
      </w:r>
    </w:p>
    <w:p w14:paraId="0F53B086"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Один із найгучніших прикладів — крах біржі FTX у 2022 році. Компанія, яка колись оцінювалась у десятки мільярдів доларів, збанкрутувала через фінансові махінації та неналежне управління активами. За даними Міністерства юстиції США, понад 10 мільярдів доларів інвесторських коштів були втрачені, а засновника — Сема Бенкмана-Фріда — було засуджено за шахрайство [5].</w:t>
      </w:r>
    </w:p>
    <w:p w14:paraId="35B14410" w14:textId="77777777" w:rsidR="007B2628"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Відсутність законодавчого регулювання криптобірж та недостатній контроль за фінансовими потоками створюють загрозу не лише для інвесторів, але й для фінансової системи загалом. Це ставить перед державами завдання — розробити механізми правового контролю, які збережуть баланс між інновацією і безпекою.</w:t>
      </w:r>
    </w:p>
    <w:p w14:paraId="76BAD7E8" w14:textId="3AC1BE60"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Таким чином, визначення правового статусу криптовалют є ключовим кроком для захисту публічного інтересу. Ефективне регулювання має забезпечити прозорість, знизити ризики для громадян та запобігти фінансовим кризам, пов’язаним з нестабільністю цифрових активів. Для забезпечення публічного блага та захисту фінансової стабільності, держава </w:t>
      </w:r>
      <w:r w:rsidRPr="00511005">
        <w:rPr>
          <w:rFonts w:ascii="Arial" w:eastAsia="Times New Roman" w:hAnsi="Arial" w:cs="Arial"/>
          <w:szCs w:val="28"/>
          <w:lang w:val="uk-UA" w:eastAsia="ru-RU"/>
        </w:rPr>
        <w:lastRenderedPageBreak/>
        <w:t>має впровадити чітко визначені правові механізми контролю над обігом криптовалют. Основні напрями такого регулювання можуть включати:</w:t>
      </w:r>
    </w:p>
    <w:p w14:paraId="78F9CA80"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 офіційне ліцензування та реєстрацію платформ: діяльність з обміну та зберігання криптоактивів повинна здійснюватися виключно через суб’єкти, які пройшли державну реєстрацію та отримали відповідну ліцензію; </w:t>
      </w:r>
    </w:p>
    <w:p w14:paraId="21DA8E02"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ідентифікацію користувачів (KYC): усі учасники ринку мають проходити перевірку особи, що унеможливлює проведення анонімних фінансових операцій, які можуть бути використані для відмивання коштів або фінансування незаконної діяльності;</w:t>
      </w:r>
    </w:p>
    <w:p w14:paraId="58869FCB"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регулювання оподаткування: необхідно створити прозорі правові засади для оподаткування доходів, отриманих від криптовалютних операцій, з урахуванням природи цифрових активів;</w:t>
      </w:r>
    </w:p>
    <w:p w14:paraId="3FAD0A02"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систему запобігання відмиванню грошей: криптовалютні транзакції мають бути інтегровані у національну систему фінансового моніторингу для виявлення сумнівної активності;</w:t>
      </w:r>
    </w:p>
    <w:p w14:paraId="76BF7B96" w14:textId="77777777" w:rsidR="007B2628"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гарантії захисту користувачів: потрібно встановити мінімальні технічні та правові стандарти безпеки для цифрових гаманців, торгових платформ і сервісів, які працюють з криптовалютою.</w:t>
      </w:r>
    </w:p>
    <w:p w14:paraId="192AE493" w14:textId="6C8CF5D2"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Водночас надмірна зарегульованість або заборони у сфері криптовалют можуть мати зворотний ефект: сповільнення інновацій, відтік капіталу та зменшення інтересу інвесторів. Саме тому сучасне регулювання має базуватись на принципах адаптивності, з урахуванням реальних ризиків та потреб ринку.</w:t>
      </w:r>
    </w:p>
    <w:p w14:paraId="1D8F8A63"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 сьогодні правове регулювання криптовалют в Україні перебуває на стадії становлення. Прийняття Закону України «Про віртуальні активи» у 2022 році стало першим кроком до формалізації цифрового активу як об’єкта правовідносин. У документі криптовалюта трактується як віртуальний актив, що має економічну цінність і може бути предметом цивільно-правових договорів.</w:t>
      </w:r>
    </w:p>
    <w:p w14:paraId="26BCA72C" w14:textId="77777777" w:rsidR="006B07CA"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Однак, незважаючи на законодавчу ініціативу, на 2025 рік повноцінна імплементація нормативної бази залишається незавершеною. Не ухвалено ключових підзаконних актів, не налагоджено ефективного оподаткування операцій з криптовалютою, а діяльність регуляторних органів досі є обмеженою.</w:t>
      </w:r>
    </w:p>
    <w:p w14:paraId="19956BB1" w14:textId="77777777" w:rsidR="007B2628" w:rsidRPr="00511005" w:rsidRDefault="006B07CA" w:rsidP="00383DE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 умовах триваючої війни та складної економічної ситуації особливо важливо розробити гнучке, але водночас ефективне правове середовище для криптовалютного ринку, чітко визначити правовий статус криптовалюти. Це дозволить державі не лише гарантувати фінансову безпеку, а й зберегти інноваційний потенціал, зокрема у контексті активного використання криптовалют для підтримки волонтерських ініціатив і гуманітарної допомоги під час воєнного конфлікту.</w:t>
      </w:r>
    </w:p>
    <w:p w14:paraId="1B2B01D5" w14:textId="2AF524E7" w:rsidR="006B07CA" w:rsidRPr="00511005" w:rsidRDefault="006B07CA" w:rsidP="003A292D">
      <w:pPr>
        <w:spacing w:line="264" w:lineRule="auto"/>
        <w:ind w:firstLine="0"/>
        <w:rPr>
          <w:rFonts w:ascii="Arial" w:eastAsia="Times New Roman" w:hAnsi="Arial" w:cs="Arial"/>
          <w:szCs w:val="28"/>
          <w:lang w:val="uk-UA" w:eastAsia="ru-RU"/>
        </w:rPr>
      </w:pPr>
    </w:p>
    <w:p w14:paraId="5BF20140" w14:textId="5463BB30" w:rsidR="006B07CA" w:rsidRPr="00511005" w:rsidRDefault="007B2628" w:rsidP="007B2628">
      <w:pPr>
        <w:spacing w:line="264" w:lineRule="auto"/>
        <w:ind w:firstLine="0"/>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lastRenderedPageBreak/>
        <w:t>Список використаних джерел</w:t>
      </w:r>
    </w:p>
    <w:p w14:paraId="6E26C8EB" w14:textId="77777777" w:rsidR="006B07CA" w:rsidRPr="00511005" w:rsidRDefault="006B07CA" w:rsidP="003A292D">
      <w:pPr>
        <w:spacing w:line="264" w:lineRule="auto"/>
        <w:ind w:firstLine="0"/>
        <w:contextualSpacing/>
        <w:rPr>
          <w:rFonts w:ascii="Arial" w:eastAsia="Calibri" w:hAnsi="Arial" w:cs="Arial"/>
          <w:iCs/>
          <w:szCs w:val="28"/>
          <w:lang w:val="uk-UA"/>
        </w:rPr>
      </w:pPr>
      <w:r w:rsidRPr="00511005">
        <w:rPr>
          <w:rFonts w:ascii="Arial" w:eastAsia="Calibri" w:hAnsi="Arial" w:cs="Arial"/>
          <w:iCs/>
          <w:szCs w:val="28"/>
          <w:lang w:val="en-US"/>
        </w:rPr>
        <w:t xml:space="preserve">1. </w:t>
      </w:r>
      <w:r w:rsidRPr="00511005">
        <w:rPr>
          <w:rFonts w:ascii="Arial" w:eastAsia="Calibri" w:hAnsi="Arial" w:cs="Arial"/>
          <w:iCs/>
          <w:szCs w:val="28"/>
          <w:lang w:val="uk-UA"/>
        </w:rPr>
        <w:t>Judgment of the Court (Fifth Chamber) of 22 October 2015. Skatteverket v David Hedqvist.</w:t>
      </w:r>
      <w:r w:rsidRPr="00511005">
        <w:rPr>
          <w:rFonts w:ascii="Arial" w:eastAsia="Times New Roman" w:hAnsi="Arial" w:cs="Arial"/>
          <w:szCs w:val="28"/>
          <w:lang w:val="uk-UA" w:eastAsia="ru-RU"/>
        </w:rPr>
        <w:t xml:space="preserve"> </w:t>
      </w:r>
      <w:r w:rsidRPr="00511005">
        <w:rPr>
          <w:rFonts w:ascii="Arial" w:eastAsia="Calibri" w:hAnsi="Arial" w:cs="Arial"/>
          <w:iCs/>
          <w:szCs w:val="28"/>
          <w:lang w:val="en-US"/>
        </w:rPr>
        <w:t>URL</w:t>
      </w:r>
      <w:r w:rsidRPr="00511005">
        <w:rPr>
          <w:rFonts w:ascii="Arial" w:eastAsia="Calibri" w:hAnsi="Arial" w:cs="Arial"/>
          <w:iCs/>
          <w:szCs w:val="28"/>
          <w:lang w:val="uk-UA"/>
        </w:rPr>
        <w:t>:</w:t>
      </w:r>
      <w:r w:rsidRPr="00511005">
        <w:rPr>
          <w:rFonts w:ascii="Arial" w:eastAsia="Calibri" w:hAnsi="Arial" w:cs="Arial"/>
          <w:szCs w:val="28"/>
          <w:lang w:val="en-US"/>
        </w:rPr>
        <w:t xml:space="preserve"> </w:t>
      </w:r>
      <w:hyperlink r:id="rId26" w:history="1">
        <w:r w:rsidRPr="00511005">
          <w:rPr>
            <w:rFonts w:ascii="Arial" w:eastAsia="Calibri" w:hAnsi="Arial" w:cs="Arial"/>
            <w:iCs/>
            <w:szCs w:val="28"/>
            <w:lang w:val="uk-UA"/>
          </w:rPr>
          <w:t>https://eur-lex.europa.eu/legalcontent/EN/TXT/?uri=</w:t>
        </w:r>
        <w:r w:rsidRPr="00511005">
          <w:rPr>
            <w:rFonts w:ascii="Arial" w:eastAsia="Calibri" w:hAnsi="Arial" w:cs="Arial"/>
            <w:iCs/>
            <w:szCs w:val="28"/>
            <w:lang w:val="en-US"/>
          </w:rPr>
          <w:t xml:space="preserve"> </w:t>
        </w:r>
        <w:r w:rsidRPr="00511005">
          <w:rPr>
            <w:rFonts w:ascii="Arial" w:eastAsia="Calibri" w:hAnsi="Arial" w:cs="Arial"/>
            <w:iCs/>
            <w:szCs w:val="28"/>
            <w:lang w:val="uk-UA"/>
          </w:rPr>
          <w:t>CELEX%3A62014CJ0264</w:t>
        </w:r>
      </w:hyperlink>
      <w:r w:rsidRPr="00511005">
        <w:rPr>
          <w:rFonts w:ascii="Arial" w:eastAsia="Calibri" w:hAnsi="Arial" w:cs="Arial"/>
          <w:iCs/>
          <w:szCs w:val="28"/>
          <w:lang w:val="uk-UA"/>
        </w:rPr>
        <w:t>.</w:t>
      </w:r>
    </w:p>
    <w:p w14:paraId="60F6C2F3" w14:textId="77777777" w:rsidR="006B07CA" w:rsidRPr="00511005" w:rsidRDefault="006B07CA" w:rsidP="003A292D">
      <w:pPr>
        <w:spacing w:line="264" w:lineRule="auto"/>
        <w:ind w:firstLine="0"/>
        <w:contextualSpacing/>
        <w:rPr>
          <w:rFonts w:ascii="Arial" w:eastAsia="Calibri" w:hAnsi="Arial" w:cs="Arial"/>
          <w:szCs w:val="28"/>
          <w:lang w:val="uk-UA"/>
        </w:rPr>
      </w:pPr>
      <w:r w:rsidRPr="00511005">
        <w:rPr>
          <w:rFonts w:ascii="Arial" w:eastAsia="Calibri" w:hAnsi="Arial" w:cs="Arial"/>
          <w:iCs/>
          <w:szCs w:val="28"/>
          <w:lang w:val="en-US"/>
        </w:rPr>
        <w:t>2. IRS Notice 2014-21.URL:</w:t>
      </w:r>
      <w:r w:rsidRPr="00511005">
        <w:rPr>
          <w:rFonts w:ascii="Arial" w:eastAsia="Calibri" w:hAnsi="Arial" w:cs="Arial"/>
          <w:szCs w:val="28"/>
          <w:lang w:val="en-US"/>
        </w:rPr>
        <w:t xml:space="preserve"> </w:t>
      </w:r>
      <w:hyperlink r:id="rId27" w:history="1">
        <w:r w:rsidRPr="00511005">
          <w:rPr>
            <w:rFonts w:ascii="Arial" w:eastAsia="Calibri" w:hAnsi="Arial" w:cs="Arial"/>
            <w:szCs w:val="28"/>
            <w:lang w:val="en-US"/>
          </w:rPr>
          <w:t>https://www.irs.gov/pub/irs-drop/n-14-21.pdf</w:t>
        </w:r>
      </w:hyperlink>
      <w:r w:rsidRPr="00511005">
        <w:rPr>
          <w:rFonts w:ascii="Arial" w:eastAsia="Calibri" w:hAnsi="Arial" w:cs="Arial"/>
          <w:szCs w:val="28"/>
          <w:lang w:val="uk-UA"/>
        </w:rPr>
        <w:t>.</w:t>
      </w:r>
    </w:p>
    <w:p w14:paraId="75A1CD8C" w14:textId="48E0BADD" w:rsidR="006B07CA" w:rsidRPr="00511005" w:rsidRDefault="006B07CA" w:rsidP="003A292D">
      <w:pPr>
        <w:spacing w:line="264" w:lineRule="auto"/>
        <w:ind w:firstLine="0"/>
        <w:contextualSpacing/>
        <w:rPr>
          <w:rFonts w:ascii="Arial" w:eastAsia="Calibri" w:hAnsi="Arial" w:cs="Arial"/>
          <w:iCs/>
          <w:szCs w:val="28"/>
        </w:rPr>
      </w:pPr>
      <w:r w:rsidRPr="00511005">
        <w:rPr>
          <w:rFonts w:ascii="Arial" w:eastAsia="Calibri" w:hAnsi="Arial" w:cs="Arial"/>
          <w:szCs w:val="28"/>
          <w:lang w:val="en-US"/>
        </w:rPr>
        <w:t xml:space="preserve">3. </w:t>
      </w:r>
      <w:r w:rsidRPr="00511005">
        <w:rPr>
          <w:rFonts w:ascii="Arial" w:eastAsia="Calibri" w:hAnsi="Arial" w:cs="Arial"/>
          <w:iCs/>
          <w:szCs w:val="28"/>
          <w:lang w:val="en-US"/>
        </w:rPr>
        <w:t>Youvan D.</w:t>
      </w:r>
      <w:r w:rsidR="007B2628" w:rsidRPr="00511005">
        <w:rPr>
          <w:rFonts w:ascii="Arial" w:eastAsia="Calibri" w:hAnsi="Arial" w:cs="Arial"/>
          <w:iCs/>
          <w:szCs w:val="28"/>
          <w:lang w:val="en-US"/>
        </w:rPr>
        <w:t xml:space="preserve"> </w:t>
      </w:r>
      <w:r w:rsidRPr="00511005">
        <w:rPr>
          <w:rFonts w:ascii="Arial" w:eastAsia="Calibri" w:hAnsi="Arial" w:cs="Arial"/>
          <w:iCs/>
          <w:szCs w:val="28"/>
          <w:lang w:val="en-US"/>
        </w:rPr>
        <w:t xml:space="preserve">The Significance of Cryptocurrency Classification: Commodity vs. Security. </w:t>
      </w:r>
      <w:r w:rsidRPr="00511005">
        <w:rPr>
          <w:rFonts w:ascii="Arial" w:eastAsia="Calibri" w:hAnsi="Arial" w:cs="Arial"/>
          <w:iCs/>
          <w:szCs w:val="28"/>
        </w:rPr>
        <w:t>2024.</w:t>
      </w:r>
      <w:r w:rsidRPr="00511005">
        <w:rPr>
          <w:rFonts w:ascii="Arial" w:eastAsia="Calibri" w:hAnsi="Arial" w:cs="Arial"/>
          <w:iCs/>
          <w:szCs w:val="28"/>
          <w:lang w:val="uk-UA"/>
        </w:rPr>
        <w:t xml:space="preserve"> </w:t>
      </w:r>
      <w:r w:rsidRPr="00511005">
        <w:rPr>
          <w:rFonts w:ascii="Arial" w:eastAsia="Calibri" w:hAnsi="Arial" w:cs="Arial"/>
          <w:iCs/>
          <w:szCs w:val="28"/>
          <w:lang w:val="en-US"/>
        </w:rPr>
        <w:t>DOI</w:t>
      </w:r>
      <w:r w:rsidRPr="00511005">
        <w:rPr>
          <w:rFonts w:ascii="Arial" w:eastAsia="Calibri" w:hAnsi="Arial" w:cs="Arial"/>
          <w:iCs/>
          <w:szCs w:val="28"/>
          <w:lang w:val="uk-UA"/>
        </w:rPr>
        <w:t xml:space="preserve">: </w:t>
      </w:r>
      <w:r w:rsidRPr="00511005">
        <w:rPr>
          <w:rFonts w:ascii="Arial" w:eastAsia="Calibri" w:hAnsi="Arial" w:cs="Arial"/>
          <w:iCs/>
          <w:szCs w:val="28"/>
        </w:rPr>
        <w:t>10.13140/</w:t>
      </w:r>
      <w:r w:rsidRPr="00511005">
        <w:rPr>
          <w:rFonts w:ascii="Arial" w:eastAsia="Calibri" w:hAnsi="Arial" w:cs="Arial"/>
          <w:iCs/>
          <w:szCs w:val="28"/>
          <w:lang w:val="en-US"/>
        </w:rPr>
        <w:t>RG</w:t>
      </w:r>
      <w:r w:rsidRPr="00511005">
        <w:rPr>
          <w:rFonts w:ascii="Arial" w:eastAsia="Calibri" w:hAnsi="Arial" w:cs="Arial"/>
          <w:iCs/>
          <w:szCs w:val="28"/>
        </w:rPr>
        <w:t>.2.2.10638.57925.</w:t>
      </w:r>
    </w:p>
    <w:p w14:paraId="5B577BEE" w14:textId="77777777" w:rsidR="006B07CA" w:rsidRPr="00511005" w:rsidRDefault="006B07CA" w:rsidP="003A292D">
      <w:pPr>
        <w:spacing w:line="264" w:lineRule="auto"/>
        <w:ind w:firstLine="0"/>
        <w:contextualSpacing/>
        <w:rPr>
          <w:rFonts w:ascii="Arial" w:eastAsia="Calibri" w:hAnsi="Arial" w:cs="Arial"/>
          <w:iCs/>
          <w:szCs w:val="28"/>
          <w:lang w:val="uk-UA"/>
        </w:rPr>
      </w:pPr>
      <w:r w:rsidRPr="00511005">
        <w:rPr>
          <w:rFonts w:ascii="Arial" w:eastAsia="Calibri" w:hAnsi="Arial" w:cs="Arial"/>
          <w:iCs/>
          <w:szCs w:val="28"/>
        </w:rPr>
        <w:t xml:space="preserve">4. </w:t>
      </w:r>
      <w:r w:rsidRPr="00511005">
        <w:rPr>
          <w:rFonts w:ascii="Arial" w:eastAsia="Calibri" w:hAnsi="Arial" w:cs="Arial"/>
          <w:bCs/>
          <w:iCs/>
          <w:szCs w:val="28"/>
          <w:lang w:val="uk-UA"/>
        </w:rPr>
        <w:t xml:space="preserve">Про віртуальні </w:t>
      </w:r>
      <w:proofErr w:type="gramStart"/>
      <w:r w:rsidRPr="00511005">
        <w:rPr>
          <w:rFonts w:ascii="Arial" w:eastAsia="Calibri" w:hAnsi="Arial" w:cs="Arial"/>
          <w:bCs/>
          <w:iCs/>
          <w:szCs w:val="28"/>
          <w:lang w:val="uk-UA"/>
        </w:rPr>
        <w:t>активи</w:t>
      </w:r>
      <w:r w:rsidRPr="00511005">
        <w:rPr>
          <w:rFonts w:ascii="Arial" w:eastAsia="Calibri" w:hAnsi="Arial" w:cs="Arial"/>
          <w:iCs/>
          <w:szCs w:val="28"/>
          <w:lang w:val="uk-UA"/>
        </w:rPr>
        <w:t xml:space="preserve"> :</w:t>
      </w:r>
      <w:proofErr w:type="gramEnd"/>
      <w:r w:rsidRPr="00511005">
        <w:rPr>
          <w:rFonts w:ascii="Arial" w:eastAsia="Calibri" w:hAnsi="Arial" w:cs="Arial"/>
          <w:iCs/>
          <w:szCs w:val="28"/>
          <w:lang w:val="uk-UA"/>
        </w:rPr>
        <w:t xml:space="preserve"> Закон України від 17.02.2022 р. № 2074-IX : станом на 01.05.2025 р. / Офіційний сайт Верховної Ради України. </w:t>
      </w:r>
      <w:r w:rsidRPr="00511005">
        <w:rPr>
          <w:rFonts w:ascii="Arial" w:eastAsia="Calibri" w:hAnsi="Arial" w:cs="Arial"/>
          <w:iCs/>
          <w:szCs w:val="28"/>
          <w:lang w:val="pl-PL"/>
        </w:rPr>
        <w:t>URL</w:t>
      </w:r>
      <w:r w:rsidRPr="00511005">
        <w:rPr>
          <w:rFonts w:ascii="Arial" w:eastAsia="Calibri" w:hAnsi="Arial" w:cs="Arial"/>
          <w:iCs/>
          <w:szCs w:val="28"/>
          <w:lang w:val="uk-UA"/>
        </w:rPr>
        <w:t xml:space="preserve">: </w:t>
      </w:r>
      <w:hyperlink r:id="rId28" w:history="1">
        <w:r w:rsidRPr="00511005">
          <w:rPr>
            <w:rFonts w:ascii="Arial" w:eastAsia="Calibri" w:hAnsi="Arial" w:cs="Arial"/>
            <w:iCs/>
            <w:szCs w:val="28"/>
            <w:lang w:val="pl-PL"/>
          </w:rPr>
          <w:t>https</w:t>
        </w:r>
        <w:r w:rsidRPr="00511005">
          <w:rPr>
            <w:rFonts w:ascii="Arial" w:eastAsia="Calibri" w:hAnsi="Arial" w:cs="Arial"/>
            <w:iCs/>
            <w:szCs w:val="28"/>
            <w:lang w:val="uk-UA"/>
          </w:rPr>
          <w:t>://</w:t>
        </w:r>
        <w:r w:rsidRPr="00511005">
          <w:rPr>
            <w:rFonts w:ascii="Arial" w:eastAsia="Calibri" w:hAnsi="Arial" w:cs="Arial"/>
            <w:iCs/>
            <w:szCs w:val="28"/>
            <w:lang w:val="pl-PL"/>
          </w:rPr>
          <w:t>zakon</w:t>
        </w:r>
        <w:r w:rsidRPr="00511005">
          <w:rPr>
            <w:rFonts w:ascii="Arial" w:eastAsia="Calibri" w:hAnsi="Arial" w:cs="Arial"/>
            <w:iCs/>
            <w:szCs w:val="28"/>
            <w:lang w:val="uk-UA"/>
          </w:rPr>
          <w:t>.</w:t>
        </w:r>
        <w:r w:rsidRPr="00511005">
          <w:rPr>
            <w:rFonts w:ascii="Arial" w:eastAsia="Calibri" w:hAnsi="Arial" w:cs="Arial"/>
            <w:iCs/>
            <w:szCs w:val="28"/>
            <w:lang w:val="pl-PL"/>
          </w:rPr>
          <w:t>rada</w:t>
        </w:r>
        <w:r w:rsidRPr="00511005">
          <w:rPr>
            <w:rFonts w:ascii="Arial" w:eastAsia="Calibri" w:hAnsi="Arial" w:cs="Arial"/>
            <w:iCs/>
            <w:szCs w:val="28"/>
            <w:lang w:val="uk-UA"/>
          </w:rPr>
          <w:t>.</w:t>
        </w:r>
        <w:r w:rsidRPr="00511005">
          <w:rPr>
            <w:rFonts w:ascii="Arial" w:eastAsia="Calibri" w:hAnsi="Arial" w:cs="Arial"/>
            <w:iCs/>
            <w:szCs w:val="28"/>
            <w:lang w:val="pl-PL"/>
          </w:rPr>
          <w:t>gov</w:t>
        </w:r>
        <w:r w:rsidRPr="00511005">
          <w:rPr>
            <w:rFonts w:ascii="Arial" w:eastAsia="Calibri" w:hAnsi="Arial" w:cs="Arial"/>
            <w:iCs/>
            <w:szCs w:val="28"/>
            <w:lang w:val="uk-UA"/>
          </w:rPr>
          <w:t>.</w:t>
        </w:r>
        <w:r w:rsidRPr="00511005">
          <w:rPr>
            <w:rFonts w:ascii="Arial" w:eastAsia="Calibri" w:hAnsi="Arial" w:cs="Arial"/>
            <w:iCs/>
            <w:szCs w:val="28"/>
            <w:lang w:val="pl-PL"/>
          </w:rPr>
          <w:t>ua</w:t>
        </w:r>
        <w:r w:rsidRPr="00511005">
          <w:rPr>
            <w:rFonts w:ascii="Arial" w:eastAsia="Calibri" w:hAnsi="Arial" w:cs="Arial"/>
            <w:iCs/>
            <w:szCs w:val="28"/>
            <w:lang w:val="uk-UA"/>
          </w:rPr>
          <w:t>/</w:t>
        </w:r>
        <w:r w:rsidRPr="00511005">
          <w:rPr>
            <w:rFonts w:ascii="Arial" w:eastAsia="Calibri" w:hAnsi="Arial" w:cs="Arial"/>
            <w:iCs/>
            <w:szCs w:val="28"/>
            <w:lang w:val="pl-PL"/>
          </w:rPr>
          <w:t>laws</w:t>
        </w:r>
        <w:r w:rsidRPr="00511005">
          <w:rPr>
            <w:rFonts w:ascii="Arial" w:eastAsia="Calibri" w:hAnsi="Arial" w:cs="Arial"/>
            <w:iCs/>
            <w:szCs w:val="28"/>
            <w:lang w:val="uk-UA"/>
          </w:rPr>
          <w:t>/</w:t>
        </w:r>
        <w:r w:rsidRPr="00511005">
          <w:rPr>
            <w:rFonts w:ascii="Arial" w:eastAsia="Calibri" w:hAnsi="Arial" w:cs="Arial"/>
            <w:iCs/>
            <w:szCs w:val="28"/>
            <w:lang w:val="pl-PL"/>
          </w:rPr>
          <w:t>show</w:t>
        </w:r>
        <w:r w:rsidRPr="00511005">
          <w:rPr>
            <w:rFonts w:ascii="Arial" w:eastAsia="Calibri" w:hAnsi="Arial" w:cs="Arial"/>
            <w:iCs/>
            <w:szCs w:val="28"/>
            <w:lang w:val="uk-UA"/>
          </w:rPr>
          <w:t>/2074-20/</w:t>
        </w:r>
        <w:r w:rsidRPr="00511005">
          <w:rPr>
            <w:rFonts w:ascii="Arial" w:eastAsia="Calibri" w:hAnsi="Arial" w:cs="Arial"/>
            <w:iCs/>
            <w:szCs w:val="28"/>
            <w:lang w:val="pl-PL"/>
          </w:rPr>
          <w:t>ed</w:t>
        </w:r>
        <w:r w:rsidRPr="00511005">
          <w:rPr>
            <w:rFonts w:ascii="Arial" w:eastAsia="Calibri" w:hAnsi="Arial" w:cs="Arial"/>
            <w:iCs/>
            <w:szCs w:val="28"/>
            <w:lang w:val="uk-UA"/>
          </w:rPr>
          <w:t>20220217#</w:t>
        </w:r>
        <w:r w:rsidRPr="00511005">
          <w:rPr>
            <w:rFonts w:ascii="Arial" w:eastAsia="Calibri" w:hAnsi="Arial" w:cs="Arial"/>
            <w:iCs/>
            <w:szCs w:val="28"/>
            <w:lang w:val="pl-PL"/>
          </w:rPr>
          <w:t>Text</w:t>
        </w:r>
      </w:hyperlink>
      <w:r w:rsidRPr="00511005">
        <w:rPr>
          <w:rFonts w:ascii="Arial" w:eastAsia="Calibri" w:hAnsi="Arial" w:cs="Arial"/>
          <w:iCs/>
          <w:szCs w:val="28"/>
          <w:lang w:val="uk-UA"/>
        </w:rPr>
        <w:t>.</w:t>
      </w:r>
    </w:p>
    <w:p w14:paraId="463A2DE8" w14:textId="77777777" w:rsidR="006B07CA" w:rsidRPr="00511005" w:rsidRDefault="006B07CA" w:rsidP="003A292D">
      <w:pPr>
        <w:spacing w:line="264" w:lineRule="auto"/>
        <w:ind w:firstLine="0"/>
        <w:contextualSpacing/>
        <w:rPr>
          <w:rFonts w:ascii="Arial" w:eastAsia="Calibri" w:hAnsi="Arial" w:cs="Arial"/>
          <w:iCs/>
          <w:szCs w:val="28"/>
          <w:lang w:val="uk-UA"/>
        </w:rPr>
      </w:pPr>
      <w:r w:rsidRPr="00511005">
        <w:rPr>
          <w:rFonts w:ascii="Arial" w:eastAsia="Calibri" w:hAnsi="Arial" w:cs="Arial"/>
          <w:iCs/>
          <w:szCs w:val="28"/>
        </w:rPr>
        <w:t xml:space="preserve">5. </w:t>
      </w:r>
      <w:r w:rsidRPr="00511005">
        <w:rPr>
          <w:rFonts w:ascii="Arial" w:eastAsia="Calibri" w:hAnsi="Arial" w:cs="Arial"/>
          <w:iCs/>
          <w:szCs w:val="28"/>
          <w:lang w:val="uk-UA"/>
        </w:rPr>
        <w:t xml:space="preserve">Лавришин Ю. Засновника збанкрутілої криптобіржі FTX у США визнали винним у шахрайстві на $10 млрд. </w:t>
      </w:r>
      <w:r w:rsidRPr="00511005">
        <w:rPr>
          <w:rFonts w:ascii="Arial" w:eastAsia="Calibri" w:hAnsi="Arial" w:cs="Arial"/>
          <w:iCs/>
          <w:szCs w:val="28"/>
          <w:lang w:val="de-AT"/>
        </w:rPr>
        <w:t>MediaSapiens</w:t>
      </w:r>
      <w:r w:rsidRPr="00511005">
        <w:rPr>
          <w:rFonts w:ascii="Arial" w:eastAsia="Calibri" w:hAnsi="Arial" w:cs="Arial"/>
          <w:iCs/>
          <w:szCs w:val="28"/>
          <w:lang w:val="uk-UA"/>
        </w:rPr>
        <w:t>.</w:t>
      </w:r>
      <w:r w:rsidRPr="00511005">
        <w:rPr>
          <w:rFonts w:ascii="Arial" w:eastAsia="Calibri" w:hAnsi="Arial" w:cs="Arial"/>
          <w:iCs/>
          <w:szCs w:val="28"/>
          <w:lang w:val="de-AT"/>
        </w:rPr>
        <w:t xml:space="preserve"> URL:</w:t>
      </w:r>
      <w:r w:rsidRPr="00511005">
        <w:rPr>
          <w:rFonts w:ascii="Arial" w:eastAsia="Calibri" w:hAnsi="Arial" w:cs="Arial"/>
          <w:szCs w:val="28"/>
          <w:lang w:val="de-AT"/>
        </w:rPr>
        <w:t xml:space="preserve"> </w:t>
      </w:r>
      <w:hyperlink r:id="rId29" w:history="1">
        <w:r w:rsidRPr="00511005">
          <w:rPr>
            <w:rFonts w:ascii="Arial" w:eastAsia="Calibri" w:hAnsi="Arial" w:cs="Arial"/>
            <w:iCs/>
            <w:szCs w:val="28"/>
            <w:lang w:val="de-AT"/>
          </w:rPr>
          <w:t>https://ms.detector.media/it-kompanii/post/33388/2023-11-03-zasnovnykazbankrutiloi-kryptobirzhi-ftx-u-ssha-vyzn</w:t>
        </w:r>
        <w:r w:rsidRPr="00511005">
          <w:rPr>
            <w:rFonts w:ascii="Arial" w:eastAsia="Calibri" w:hAnsi="Arial" w:cs="Arial"/>
            <w:iCs/>
            <w:szCs w:val="28"/>
            <w:lang w:val="pl-PL"/>
          </w:rPr>
          <w:t xml:space="preserve"> </w:t>
        </w:r>
        <w:r w:rsidRPr="00511005">
          <w:rPr>
            <w:rFonts w:ascii="Arial" w:eastAsia="Calibri" w:hAnsi="Arial" w:cs="Arial"/>
            <w:iCs/>
            <w:szCs w:val="28"/>
            <w:lang w:val="de-AT"/>
          </w:rPr>
          <w:t>aly-vynnym-u-shakhraystvi-na-10-mlrd/</w:t>
        </w:r>
      </w:hyperlink>
      <w:r w:rsidRPr="00511005">
        <w:rPr>
          <w:rFonts w:ascii="Arial" w:eastAsia="Calibri" w:hAnsi="Arial" w:cs="Arial"/>
          <w:iCs/>
          <w:szCs w:val="28"/>
          <w:lang w:val="uk-UA"/>
        </w:rPr>
        <w:t>.</w:t>
      </w:r>
    </w:p>
    <w:p w14:paraId="40FFEBF5" w14:textId="77777777" w:rsidR="006B07CA" w:rsidRPr="00511005" w:rsidRDefault="006B07CA" w:rsidP="003A292D">
      <w:pPr>
        <w:spacing w:line="264" w:lineRule="auto"/>
        <w:ind w:firstLine="0"/>
        <w:contextualSpacing/>
        <w:rPr>
          <w:rFonts w:ascii="Arial" w:eastAsia="Calibri" w:hAnsi="Arial" w:cs="Arial"/>
          <w:iCs/>
          <w:szCs w:val="28"/>
          <w:lang w:val="uk-UA"/>
        </w:rPr>
      </w:pPr>
    </w:p>
    <w:p w14:paraId="350BE534" w14:textId="44573F1B" w:rsidR="006B07CA" w:rsidRPr="00511005" w:rsidRDefault="007B2628" w:rsidP="003A292D">
      <w:pPr>
        <w:spacing w:line="264" w:lineRule="auto"/>
        <w:ind w:firstLine="0"/>
        <w:contextualSpacing/>
        <w:rPr>
          <w:rFonts w:ascii="Arial" w:eastAsia="Calibri" w:hAnsi="Arial" w:cs="Arial"/>
          <w:iCs/>
          <w:szCs w:val="28"/>
          <w:lang w:val="uk-UA"/>
        </w:rPr>
      </w:pPr>
      <w:r w:rsidRPr="00511005">
        <w:rPr>
          <w:rFonts w:ascii="Arial" w:eastAsia="Calibri" w:hAnsi="Arial" w:cs="Arial"/>
          <w:b/>
          <w:bCs/>
          <w:i/>
          <w:iCs/>
          <w:szCs w:val="28"/>
          <w:lang w:val="uk-UA"/>
        </w:rPr>
        <w:t xml:space="preserve">Ключові слова: </w:t>
      </w:r>
      <w:r w:rsidR="006B07CA" w:rsidRPr="00511005">
        <w:rPr>
          <w:rFonts w:ascii="Arial" w:eastAsia="Calibri" w:hAnsi="Arial" w:cs="Arial"/>
          <w:iCs/>
          <w:szCs w:val="28"/>
          <w:lang w:val="uk-UA"/>
        </w:rPr>
        <w:t>криптовалюта, правовий статус, правове регулювання, публічний інтерес, фінансова безпека, віртуальні активи, державна політика, цифрова економіка.</w:t>
      </w:r>
    </w:p>
    <w:p w14:paraId="2464D582" w14:textId="7F2FE399" w:rsidR="006B07CA" w:rsidRPr="00511005" w:rsidRDefault="007B2628" w:rsidP="003A292D">
      <w:pPr>
        <w:spacing w:line="264" w:lineRule="auto"/>
        <w:ind w:firstLine="0"/>
        <w:contextualSpacing/>
        <w:rPr>
          <w:rFonts w:ascii="Arial" w:eastAsia="Calibri" w:hAnsi="Arial" w:cs="Arial"/>
          <w:iCs/>
          <w:szCs w:val="28"/>
          <w:lang w:val="en-US"/>
        </w:rPr>
      </w:pPr>
      <w:r w:rsidRPr="00511005">
        <w:rPr>
          <w:rFonts w:ascii="Arial" w:eastAsia="Calibri" w:hAnsi="Arial" w:cs="Arial"/>
          <w:b/>
          <w:bCs/>
          <w:i/>
          <w:iCs/>
          <w:szCs w:val="28"/>
          <w:lang w:val="en-US"/>
        </w:rPr>
        <w:t xml:space="preserve">Key words: </w:t>
      </w:r>
      <w:r w:rsidR="006B07CA" w:rsidRPr="00511005">
        <w:rPr>
          <w:rFonts w:ascii="Arial" w:eastAsia="Calibri" w:hAnsi="Arial" w:cs="Arial"/>
          <w:iCs/>
          <w:szCs w:val="28"/>
          <w:lang w:val="en-US"/>
        </w:rPr>
        <w:t>cryptocurrency, legal</w:t>
      </w:r>
      <w:r w:rsidR="006B07CA" w:rsidRPr="00511005">
        <w:rPr>
          <w:rFonts w:ascii="Arial" w:eastAsia="Calibri" w:hAnsi="Arial" w:cs="Arial"/>
          <w:iCs/>
          <w:szCs w:val="28"/>
          <w:lang w:val="uk-UA"/>
        </w:rPr>
        <w:t xml:space="preserve"> </w:t>
      </w:r>
      <w:r w:rsidR="006B07CA" w:rsidRPr="00511005">
        <w:rPr>
          <w:rFonts w:ascii="Arial" w:eastAsia="Calibri" w:hAnsi="Arial" w:cs="Arial"/>
          <w:iCs/>
          <w:szCs w:val="28"/>
          <w:lang w:val="en-US"/>
        </w:rPr>
        <w:t>status, legal regulation, public interest, financial security, virtual assets, state policy, digital economy.</w:t>
      </w:r>
    </w:p>
    <w:p w14:paraId="4B5F98FE" w14:textId="204046E5" w:rsidR="006B07CA" w:rsidRPr="00511005" w:rsidRDefault="007B2628" w:rsidP="003A292D">
      <w:pPr>
        <w:spacing w:line="264" w:lineRule="auto"/>
        <w:ind w:firstLine="0"/>
        <w:contextualSpacing/>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6B07CA" w:rsidRPr="00511005">
        <w:rPr>
          <w:rFonts w:ascii="Arial" w:eastAsia="Calibri" w:hAnsi="Arial" w:cs="Arial"/>
          <w:i/>
          <w:iCs/>
          <w:szCs w:val="28"/>
          <w:lang w:val="uk-UA"/>
        </w:rPr>
        <w:t>д.ю.н., професор</w:t>
      </w:r>
      <w:r w:rsidR="006B07CA" w:rsidRPr="00511005">
        <w:rPr>
          <w:rFonts w:ascii="Arial" w:eastAsia="Calibri" w:hAnsi="Arial" w:cs="Arial"/>
          <w:i/>
          <w:iCs/>
          <w:szCs w:val="28"/>
        </w:rPr>
        <w:t xml:space="preserve"> </w:t>
      </w:r>
      <w:r w:rsidR="006B07CA" w:rsidRPr="00511005">
        <w:rPr>
          <w:rFonts w:ascii="Arial" w:eastAsia="Calibri" w:hAnsi="Arial" w:cs="Arial"/>
          <w:i/>
          <w:iCs/>
          <w:szCs w:val="28"/>
          <w:lang w:val="uk-UA"/>
        </w:rPr>
        <w:t xml:space="preserve">Мельничук О.С. </w:t>
      </w:r>
    </w:p>
    <w:p w14:paraId="2D7D2E07" w14:textId="77777777" w:rsidR="006B07CA" w:rsidRPr="00511005" w:rsidRDefault="006B07CA" w:rsidP="003A292D">
      <w:pPr>
        <w:spacing w:line="264" w:lineRule="auto"/>
        <w:ind w:firstLine="0"/>
        <w:contextualSpacing/>
        <w:rPr>
          <w:rFonts w:ascii="Arial" w:eastAsia="Calibri" w:hAnsi="Arial" w:cs="Arial"/>
          <w:i/>
          <w:iCs/>
          <w:szCs w:val="28"/>
          <w:lang w:val="uk-UA"/>
        </w:rPr>
      </w:pPr>
    </w:p>
    <w:p w14:paraId="365B8FA5" w14:textId="77777777" w:rsidR="006B07CA" w:rsidRPr="00511005" w:rsidRDefault="006B07CA" w:rsidP="003A292D">
      <w:pPr>
        <w:spacing w:line="264" w:lineRule="auto"/>
        <w:ind w:firstLine="0"/>
        <w:contextualSpacing/>
        <w:rPr>
          <w:rFonts w:ascii="Arial" w:eastAsia="Calibri" w:hAnsi="Arial" w:cs="Arial"/>
          <w:i/>
          <w:iCs/>
          <w:szCs w:val="28"/>
          <w:lang w:val="uk-UA"/>
        </w:rPr>
      </w:pPr>
    </w:p>
    <w:p w14:paraId="71A28342" w14:textId="77777777" w:rsidR="006B07CA" w:rsidRPr="00511005" w:rsidRDefault="006B07CA" w:rsidP="003A292D">
      <w:pPr>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Казарян Ліліт Романівна</w:t>
      </w:r>
    </w:p>
    <w:p w14:paraId="63CE7ABB" w14:textId="77777777" w:rsidR="00383DE9"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студентка 1-го курсу факультету цивільної та господарської юстиції</w:t>
      </w:r>
      <w:r w:rsidR="006B07CA" w:rsidRPr="00511005">
        <w:rPr>
          <w:rFonts w:ascii="Arial" w:eastAsia="Times New Roman" w:hAnsi="Arial" w:cs="Arial"/>
          <w:szCs w:val="28"/>
          <w:lang w:eastAsia="ru-RU"/>
        </w:rPr>
        <w:t xml:space="preserve"> </w:t>
      </w:r>
    </w:p>
    <w:p w14:paraId="02925E69" w14:textId="624A9F4F" w:rsidR="006B07CA"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43C971E" w14:textId="77777777" w:rsidR="006B07CA" w:rsidRPr="00511005" w:rsidRDefault="006B07CA" w:rsidP="003A292D">
      <w:pPr>
        <w:spacing w:line="264" w:lineRule="auto"/>
        <w:ind w:firstLine="0"/>
        <w:jc w:val="center"/>
        <w:rPr>
          <w:rFonts w:ascii="Arial" w:eastAsia="Times New Roman" w:hAnsi="Arial" w:cs="Arial"/>
          <w:bCs/>
          <w:szCs w:val="28"/>
          <w:lang w:eastAsia="ru-RU"/>
        </w:rPr>
      </w:pPr>
    </w:p>
    <w:p w14:paraId="637E43D9" w14:textId="77777777" w:rsidR="006B07CA" w:rsidRPr="00511005" w:rsidRDefault="006B07CA" w:rsidP="003A292D">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АКТИ ТЛУМАЧЕННЯ ПРАВА В СИСТЕМІ ПРАВОВИХ АКТІВ</w:t>
      </w:r>
    </w:p>
    <w:p w14:paraId="7DFDC687"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Правові акти відіграють ключову роль в механізмі правого регулювання у зв’язку з тим, що правові акти виступають основою правоутворення, а також реалізації та застосування права. В юридичній літературі правовий акт пов’язується з волевиявленням уповноваженого суб’єкта і визначається як виражений у певній формі відповідно до законодавства результат дії компетентного суб’єкта права, орієнтований на регулювання суспільних відносин. Він має офіційний характер і спрямований на регулювання суспільних відносин [1, с. 4]. Роль нормативно-правових актів та актів застосування права доволі ґрунтовно досліджена в юридичній літературі, в той час як роль актів тлумачення права в механізмі дії права та системі правових актів залишається недостатньо дослідженою. </w:t>
      </w:r>
    </w:p>
    <w:p w14:paraId="0BB61C10"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 науковій літературі акти тлумачення норм права визначаються як офіційний документ уповноваженого державного органу або посадової </w:t>
      </w:r>
      <w:r w:rsidRPr="00511005">
        <w:rPr>
          <w:rFonts w:ascii="Arial" w:eastAsia="Times New Roman" w:hAnsi="Arial" w:cs="Arial"/>
          <w:szCs w:val="28"/>
          <w:lang w:eastAsia="ru-RU"/>
        </w:rPr>
        <w:lastRenderedPageBreak/>
        <w:t>особи, а також міжнародної організації, який містить детальні пояснення змісту правових норм. Або під інтерпретаційними актами розуміються акти-документи, які містять конкретизуючи нормативні приписи, які виражають роз’яснення юридичних норм, додаток до нормативного акту, положення якого тлумачаться [2, с. 44].</w:t>
      </w:r>
    </w:p>
    <w:p w14:paraId="645F3E65"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Варто відзначити, що акти тлумачення права не слід розглядати лише як додаток до нормативно-правого акту. Їх природа пов’язана перш за все з нормами які вони тлумачать. Відповідно варто погодитись з підходом, згідно з яким інтерпретаційно-правові акти визначаються як правові акти, спрямований на розкриття дійсного змісту і порядку реалізації норм права з метою забезпечення їх однакового розуміння і застосування [5, с. 183].</w:t>
      </w:r>
    </w:p>
    <w:p w14:paraId="34E98574"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Значення актів тлумачення права в системі правових актів зумовлене </w:t>
      </w:r>
      <w:proofErr w:type="gramStart"/>
      <w:r w:rsidRPr="00511005">
        <w:rPr>
          <w:rFonts w:ascii="Arial" w:eastAsia="Times New Roman" w:hAnsi="Arial" w:cs="Arial"/>
          <w:szCs w:val="28"/>
          <w:lang w:eastAsia="ru-RU"/>
        </w:rPr>
        <w:t>в першу</w:t>
      </w:r>
      <w:proofErr w:type="gramEnd"/>
      <w:r w:rsidRPr="00511005">
        <w:rPr>
          <w:rFonts w:ascii="Arial" w:eastAsia="Times New Roman" w:hAnsi="Arial" w:cs="Arial"/>
          <w:szCs w:val="28"/>
          <w:lang w:eastAsia="ru-RU"/>
        </w:rPr>
        <w:t xml:space="preserve"> чергу тими функціями які вони виконують. До них належать : 1) конкретизації та уточнень нормативних приписів; 2) забезпечення єдності застосування нормативно-правових актів, єдине розуміння законодавчих норм по всій країні; 3) запобігання довільному застосуванню нормативних приписів та можливим зловживанням на цій основі; 4) забезпечення безперервності та стабільності правого регулювання (інтерпретаційний акт, усуваючи неоднозначності в нормативних положеннях, сприяє ефективному функціонуванню правового механізму); 5) аналізу та виявлення проблем у поточному законодавстві, адже процес тлумачення права передбачає ретельне вивчення текстів законів, оцінювання їхньої відповідності сучасним суспільним умовам, а також аналіз ефективності їх практичного застосування.</w:t>
      </w:r>
    </w:p>
    <w:p w14:paraId="7DB18808"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До прикладу, Рішення Конституційного Суду України № 11-р/2019 представляє офіційне тлумачення статті 151-2 Конституції, уточнюючи, що всі рішення Суду є обов’язковими та не можуть бути оскаржені, незалежно від форми (виду). Це тлумачення має системний ефект, поширюючись на конституційне провадження та діяльність Суду. Юридична сила такого акта виникає не тільки з його авторитетності, але й з того, що всі суб’єкти правозастосування після прийняття рішення повинні керуватися саме цим тлумаченням норми. У цьому аспекті, інтерпретаційний акт виступає як функціональна складова системи джерел права, оскільки, хоча він і не є джерелом в класичному сенсі, він впливає на юридичну реальність аналогічно до норми права. Тому, це Рішення КСУ створює основу для сприйняття інтерпретаційних актів як самостійних інструментів, що сприяють підтримуванню стабільності та неперервності конституційної практики.</w:t>
      </w:r>
    </w:p>
    <w:p w14:paraId="1EBC9365"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Інтерпретаційно-правові акти оформлюються письмово та публікуються в офіційних джерелах. Так, наприклад, постанови Пленуму Верховного Суду України, які слугують актами тлумачення, друкуються в бюлетенях Верховного Суду України. Щодо Конституційного Суду, його акти </w:t>
      </w:r>
      <w:r w:rsidRPr="00511005">
        <w:rPr>
          <w:rFonts w:ascii="Arial" w:eastAsia="Times New Roman" w:hAnsi="Arial" w:cs="Arial"/>
          <w:szCs w:val="28"/>
          <w:lang w:eastAsia="ru-RU"/>
        </w:rPr>
        <w:lastRenderedPageBreak/>
        <w:t xml:space="preserve">виражаються у формі висновків і рішень, які розміщуються у "Віснику Конституційного Суду України". </w:t>
      </w:r>
    </w:p>
    <w:p w14:paraId="436F402A" w14:textId="3610B705"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Інтерпретаційні акти можна класифікувати за різними критеріями. Зокрема, за юридичною значимістю розрізняють акти нормативного тлумачення, які мають загальнообов’язковий характер і поширюють свою дію на невизначене коло суб’єктів,</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застосовуючись щоразу, коли реалізується норма,</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яка підлягає тлумаченню, та акти казуального тлумачення, які відрізняються від попередніх тим, що стосуються конкретних випадків і осіб, тому їх можна вважати індивідуальними. </w:t>
      </w:r>
    </w:p>
    <w:p w14:paraId="1DFD671F"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Також акти тлумачення можуть бути аутентичними або легальними, залежно від суб’єкту видання. Якщо акт приймає та тлумачить один і той самий суб’єкт, то це вважається аутентичним (авторським) тлумаченням. У випадку, коли норму права тлумачить уповноважений суб’єкт, якому це право надано законом (наприклад, Конституційний Суд України надає офіційне тлумачення Конституції України), таке тлумачення є легальним. </w:t>
      </w:r>
    </w:p>
    <w:p w14:paraId="1D69DE44"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Залежно від галузевої приналежності, норми, що підлягають тлумаченню, поділяються на акти тлумачення кримінального, конституційного, адміністративного, цивільного права та інших. Серед них: акти про скасування незаконних рішень або актів, прийнятих підвідомчими органами чи організаціями, а також листи-роз’яснення щодо певних норм законодавства, які надаються у відповідь на запити [4, с. 245].</w:t>
      </w:r>
    </w:p>
    <w:p w14:paraId="01808D8E"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Вельми актуальним видається питання дії актів тлумачення права. Найбільш розповсюдженим є підхід, відповідно до якого їх дія прив’язана до дії нормативних положень які вони тлумачать, що означає, що їхня юридична сила залежить від чинності відповідних норм права, а зокрема тлумачення, не створює нових норм, а лише розкриває справжній зміст уже існуючих та акти офіційного тлумачення, до яких належать і рішення Конституційного Суду України, застосовуються до всіх правовідносин, що виникли з моменту, коли відповідна норма набула чинності. Це залишається незмінним незалежно від того, коли саме було ухвалено таке тлумачення. Крім того, акти тлумачення можуть мати загальнодержавну дію або локальну, обмежуючись певною територією.</w:t>
      </w:r>
    </w:p>
    <w:p w14:paraId="3BC33290"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 основі аналізу існуючих наукових підходів до розуміння природи актів тлумачення права, встановлено, що ці акти функціонують у часі відповідно до загальних правил, які регулюють дію нормативних правових актів. Проте питання зворотної сили має бути врегульоване на нормативному рівні, оскільки чинне законодавство не містить правових приписів з цього питання. </w:t>
      </w:r>
    </w:p>
    <w:p w14:paraId="4A779E12"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Дослідження показало, що акти тлумачення права, не створюючи нових правових норм, відіграють важливу роль у деталізації, уточненні та забезпеченні єдиного розуміння та застосування чинних нормативних положень. Вони запобігають довільному застосуванню законів, </w:t>
      </w:r>
      <w:r w:rsidRPr="00511005">
        <w:rPr>
          <w:rFonts w:ascii="Arial" w:eastAsia="Times New Roman" w:hAnsi="Arial" w:cs="Arial"/>
          <w:szCs w:val="28"/>
          <w:lang w:eastAsia="ru-RU"/>
        </w:rPr>
        <w:lastRenderedPageBreak/>
        <w:t xml:space="preserve">забезпечують стабільність правового регулювання, а також можуть бути корисними для аналізу проблем у чинному законодавстві та підвищення правової свідомості населення. </w:t>
      </w:r>
    </w:p>
    <w:p w14:paraId="69F80316"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усе вищезазначене дає підстави стверджувати, що акти тлумачення права та наслідки відповідного тлумачення мають суттєве значення в процесі реалізації правових актів та норм у діяльності суб’єктів права через дотримання заборон, використання суб’єктивних прав та виконання юридичних обов’язків. Це завершує етап правового регулювання суспільних відносин і готовність правових норм до впровадження їх у дію різними суб’єктами.</w:t>
      </w:r>
    </w:p>
    <w:p w14:paraId="6A9B4811" w14:textId="77777777" w:rsidR="006B07CA" w:rsidRPr="00511005" w:rsidRDefault="006B07CA" w:rsidP="003A292D">
      <w:pPr>
        <w:spacing w:line="264" w:lineRule="auto"/>
        <w:ind w:firstLine="0"/>
        <w:rPr>
          <w:rFonts w:ascii="Arial" w:eastAsia="Times New Roman" w:hAnsi="Arial" w:cs="Arial"/>
          <w:szCs w:val="28"/>
          <w:lang w:eastAsia="ru-RU"/>
        </w:rPr>
      </w:pPr>
    </w:p>
    <w:p w14:paraId="6228B5A6" w14:textId="569A2238" w:rsidR="006B07CA" w:rsidRPr="00511005" w:rsidRDefault="007B2628" w:rsidP="007B2628">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4ECD9CB6" w14:textId="77777777" w:rsidR="006B07CA" w:rsidRPr="00511005" w:rsidRDefault="006B07CA" w:rsidP="00383DE9">
      <w:pPr>
        <w:numPr>
          <w:ilvl w:val="0"/>
          <w:numId w:val="23"/>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Гриневич Т. П., Панасюк О. І. Акти офіційного тлумачення як засіб встановлення змісту норм права. URL: </w:t>
      </w:r>
      <w:hyperlink r:id="rId30" w:history="1">
        <w:r w:rsidRPr="00511005">
          <w:rPr>
            <w:rFonts w:ascii="Arial" w:eastAsia="Calibri" w:hAnsi="Arial" w:cs="Arial"/>
            <w:szCs w:val="28"/>
            <w:lang w:val="uk-UA"/>
          </w:rPr>
          <w:t>https://conf.ztu.edu.ua/wp-content/uploads/2021/10/84.pdf</w:t>
        </w:r>
      </w:hyperlink>
      <w:r w:rsidRPr="00511005">
        <w:rPr>
          <w:rFonts w:ascii="Arial" w:eastAsia="Calibri" w:hAnsi="Arial" w:cs="Arial"/>
          <w:szCs w:val="28"/>
          <w:lang w:val="uk-UA"/>
        </w:rPr>
        <w:t xml:space="preserve"> </w:t>
      </w:r>
    </w:p>
    <w:p w14:paraId="4101D22D" w14:textId="77777777" w:rsidR="006B07CA" w:rsidRPr="00511005" w:rsidRDefault="006B07CA" w:rsidP="00383DE9">
      <w:pPr>
        <w:numPr>
          <w:ilvl w:val="0"/>
          <w:numId w:val="23"/>
        </w:numPr>
        <w:spacing w:line="264" w:lineRule="auto"/>
        <w:ind w:left="0" w:firstLine="709"/>
        <w:contextualSpacing/>
        <w:rPr>
          <w:rFonts w:ascii="Arial" w:eastAsia="Calibri" w:hAnsi="Arial" w:cs="Arial"/>
          <w:bCs/>
          <w:szCs w:val="28"/>
          <w:lang w:val="uk-UA"/>
        </w:rPr>
      </w:pPr>
      <w:r w:rsidRPr="00511005">
        <w:rPr>
          <w:rFonts w:ascii="Arial" w:eastAsia="Calibri" w:hAnsi="Arial" w:cs="Arial"/>
          <w:szCs w:val="28"/>
          <w:lang w:val="uk-UA"/>
        </w:rPr>
        <w:t>Лепіш Н.Я., Акти тлумачення норм права: питання теорії та практика. URL:</w:t>
      </w:r>
      <w:hyperlink r:id="rId31" w:history="1">
        <w:r w:rsidRPr="00511005">
          <w:rPr>
            <w:rFonts w:ascii="Arial" w:eastAsia="Calibri" w:hAnsi="Arial" w:cs="Arial"/>
            <w:szCs w:val="28"/>
            <w:lang w:val="uk-UA"/>
          </w:rPr>
          <w:t>https://dspace.lvduvs.edu.ua/bitstream/1234567890/3561/1/%D0%9B%D0%B5%D0%BF%D1%96%D1%88%20%D0%90%D0%BA%D1%82%D0%B8%20%D1%82%D0%BB%D1%83%D0%BC%D0%B0%D1%87%D0%B5%D0%BD%D0%BD%D1%8F%20%D0%9C%D0%9E%D0%9D%D0%9E%D0%93%D0%A0%D0%90%D0%A4%D0%86%D0%AF.pdf</w:t>
        </w:r>
      </w:hyperlink>
    </w:p>
    <w:p w14:paraId="7DE8DCF0" w14:textId="77777777" w:rsidR="006B07CA" w:rsidRPr="00511005" w:rsidRDefault="006B07CA" w:rsidP="00383DE9">
      <w:pPr>
        <w:numPr>
          <w:ilvl w:val="0"/>
          <w:numId w:val="23"/>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Настасяк І. Ю. Тлумачення правових норм: навч. посібник. Львів: ЛьвДУВС, 2009. 336 с.</w:t>
      </w:r>
    </w:p>
    <w:p w14:paraId="6970E629" w14:textId="77777777" w:rsidR="006B07CA" w:rsidRPr="00511005" w:rsidRDefault="006B07CA" w:rsidP="00383DE9">
      <w:pPr>
        <w:numPr>
          <w:ilvl w:val="0"/>
          <w:numId w:val="23"/>
        </w:numPr>
        <w:spacing w:line="264" w:lineRule="auto"/>
        <w:ind w:left="0" w:firstLine="709"/>
        <w:contextualSpacing/>
        <w:rPr>
          <w:rFonts w:ascii="Arial" w:eastAsia="Calibri" w:hAnsi="Arial" w:cs="Arial"/>
          <w:bCs/>
          <w:szCs w:val="28"/>
          <w:lang w:val="uk-UA"/>
        </w:rPr>
      </w:pPr>
      <w:r w:rsidRPr="00511005">
        <w:rPr>
          <w:rFonts w:ascii="Arial" w:eastAsia="Calibri" w:hAnsi="Arial" w:cs="Arial"/>
          <w:szCs w:val="28"/>
          <w:lang w:val="uk-UA"/>
        </w:rPr>
        <w:t>Рішення Конституційного Суду України № 11-р</w:t>
      </w:r>
      <w:r w:rsidRPr="00511005">
        <w:rPr>
          <w:rFonts w:ascii="Arial" w:eastAsia="Calibri" w:hAnsi="Arial" w:cs="Arial"/>
          <w:szCs w:val="28"/>
        </w:rPr>
        <w:t>/</w:t>
      </w:r>
      <w:r w:rsidRPr="00511005">
        <w:rPr>
          <w:rFonts w:ascii="Arial" w:eastAsia="Calibri" w:hAnsi="Arial" w:cs="Arial"/>
          <w:szCs w:val="28"/>
          <w:lang w:val="uk-UA"/>
        </w:rPr>
        <w:t xml:space="preserve">2019 від 2 грудня 2019 р. У справі № 1-1822019(4165/19) URL: </w:t>
      </w:r>
      <w:hyperlink r:id="rId32" w:history="1">
        <w:r w:rsidRPr="00511005">
          <w:rPr>
            <w:rFonts w:ascii="Arial" w:eastAsia="Calibri" w:hAnsi="Arial" w:cs="Arial"/>
            <w:szCs w:val="28"/>
            <w:lang w:val="uk-UA"/>
          </w:rPr>
          <w:t>11_p_2019.pdf</w:t>
        </w:r>
      </w:hyperlink>
      <w:r w:rsidRPr="00511005">
        <w:rPr>
          <w:rFonts w:ascii="Arial" w:eastAsia="Calibri" w:hAnsi="Arial" w:cs="Arial"/>
          <w:szCs w:val="28"/>
          <w:lang w:val="uk-UA"/>
        </w:rPr>
        <w:t xml:space="preserve"> </w:t>
      </w:r>
    </w:p>
    <w:p w14:paraId="2B3AA037" w14:textId="77777777" w:rsidR="006B07CA" w:rsidRPr="00511005" w:rsidRDefault="006B07CA" w:rsidP="00383DE9">
      <w:pPr>
        <w:numPr>
          <w:ilvl w:val="0"/>
          <w:numId w:val="23"/>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Теорія держави і права: підручник / О. В. Петришин, С. П. Погребняк, В. С. Смородинський та ін.; за ред. О. В. Петришина. Х.: Право, 2015. 368 с.</w:t>
      </w:r>
    </w:p>
    <w:p w14:paraId="03213859" w14:textId="77777777" w:rsidR="006B07CA" w:rsidRPr="00511005" w:rsidRDefault="006B07CA" w:rsidP="003A292D">
      <w:pPr>
        <w:spacing w:line="264" w:lineRule="auto"/>
        <w:ind w:firstLine="0"/>
        <w:contextualSpacing/>
        <w:jc w:val="left"/>
        <w:rPr>
          <w:rFonts w:ascii="Arial" w:eastAsia="Calibri" w:hAnsi="Arial" w:cs="Arial"/>
          <w:bCs/>
          <w:szCs w:val="28"/>
          <w:lang w:val="uk-UA"/>
        </w:rPr>
      </w:pPr>
    </w:p>
    <w:p w14:paraId="2C7B640F" w14:textId="02B81799" w:rsidR="006B07CA" w:rsidRPr="00511005" w:rsidRDefault="007B2628" w:rsidP="003A292D">
      <w:pPr>
        <w:spacing w:line="264" w:lineRule="auto"/>
        <w:ind w:firstLine="0"/>
        <w:jc w:val="left"/>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6B07CA" w:rsidRPr="00511005">
        <w:rPr>
          <w:rFonts w:ascii="Arial" w:eastAsia="Times New Roman" w:hAnsi="Arial" w:cs="Arial"/>
          <w:szCs w:val="28"/>
          <w:lang w:eastAsia="ru-RU"/>
        </w:rPr>
        <w:t>акти тлумачення права, тлумачення права, правове регулювання, правові норми, правовий акт.</w:t>
      </w:r>
    </w:p>
    <w:p w14:paraId="14BA4FFF" w14:textId="605CC75A" w:rsidR="006B07CA" w:rsidRPr="00511005" w:rsidRDefault="007B2628" w:rsidP="003A292D">
      <w:pPr>
        <w:spacing w:line="264" w:lineRule="auto"/>
        <w:ind w:firstLine="0"/>
        <w:jc w:val="left"/>
        <w:rPr>
          <w:rFonts w:ascii="Arial" w:eastAsia="Times New Roman" w:hAnsi="Arial" w:cs="Arial"/>
          <w:bCs/>
          <w:szCs w:val="28"/>
          <w:lang w:val="uk-UA" w:eastAsia="ru-RU"/>
        </w:rPr>
      </w:pPr>
      <w:r w:rsidRPr="00511005">
        <w:rPr>
          <w:rFonts w:ascii="Arial" w:eastAsia="Times New Roman" w:hAnsi="Arial" w:cs="Arial"/>
          <w:b/>
          <w:i/>
          <w:szCs w:val="28"/>
          <w:lang w:val="en-US" w:eastAsia="ru-RU"/>
        </w:rPr>
        <w:t xml:space="preserve">Key words: </w:t>
      </w:r>
      <w:r w:rsidR="006B07CA" w:rsidRPr="00511005">
        <w:rPr>
          <w:rFonts w:ascii="Arial" w:eastAsia="Times New Roman" w:hAnsi="Arial" w:cs="Arial"/>
          <w:szCs w:val="28"/>
          <w:lang w:val="en-US" w:eastAsia="ru-RU"/>
        </w:rPr>
        <w:t>acts of interpretation of law, interpretatation of law, legal regulation, legal norms, legal act.</w:t>
      </w:r>
    </w:p>
    <w:p w14:paraId="4A9BAB20" w14:textId="78B25C5D" w:rsidR="006B07CA" w:rsidRPr="00511005" w:rsidRDefault="007B2628" w:rsidP="003A292D">
      <w:pPr>
        <w:spacing w:line="264" w:lineRule="auto"/>
        <w:ind w:firstLine="0"/>
        <w:jc w:val="left"/>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006B07CA" w:rsidRPr="00511005">
        <w:rPr>
          <w:rFonts w:ascii="Arial" w:eastAsia="Times New Roman" w:hAnsi="Arial" w:cs="Arial"/>
          <w:i/>
          <w:iCs/>
          <w:szCs w:val="28"/>
          <w:lang w:eastAsia="ru-RU"/>
        </w:rPr>
        <w:t>к. ю. н., доцент Ковбасюк С. В.</w:t>
      </w:r>
    </w:p>
    <w:p w14:paraId="5100BB06" w14:textId="77777777" w:rsidR="006B07CA" w:rsidRPr="00511005" w:rsidRDefault="006B07CA" w:rsidP="003A292D">
      <w:pPr>
        <w:spacing w:line="264" w:lineRule="auto"/>
        <w:ind w:firstLine="0"/>
        <w:contextualSpacing/>
        <w:rPr>
          <w:rFonts w:ascii="Arial" w:eastAsia="Calibri" w:hAnsi="Arial" w:cs="Arial"/>
          <w:i/>
          <w:iCs/>
          <w:szCs w:val="28"/>
        </w:rPr>
      </w:pPr>
    </w:p>
    <w:p w14:paraId="2413AB33" w14:textId="77777777" w:rsidR="006B07CA" w:rsidRPr="00511005" w:rsidRDefault="006B07CA" w:rsidP="003A292D">
      <w:pPr>
        <w:spacing w:line="264" w:lineRule="auto"/>
        <w:ind w:firstLine="0"/>
        <w:contextualSpacing/>
        <w:rPr>
          <w:rFonts w:ascii="Arial" w:eastAsia="Calibri" w:hAnsi="Arial" w:cs="Arial"/>
          <w:i/>
          <w:iCs/>
          <w:szCs w:val="28"/>
        </w:rPr>
      </w:pPr>
    </w:p>
    <w:p w14:paraId="219B8B16" w14:textId="77777777" w:rsidR="006B07CA" w:rsidRPr="00511005" w:rsidRDefault="006B07CA" w:rsidP="003A292D">
      <w:pPr>
        <w:spacing w:line="264" w:lineRule="auto"/>
        <w:ind w:firstLine="0"/>
        <w:jc w:val="center"/>
        <w:rPr>
          <w:rFonts w:ascii="Arial" w:eastAsia="Times New Roman" w:hAnsi="Arial" w:cs="Arial"/>
          <w:b/>
          <w:bCs/>
          <w:i/>
          <w:szCs w:val="28"/>
          <w:lang w:eastAsia="ru-RU"/>
        </w:rPr>
      </w:pPr>
      <w:bookmarkStart w:id="9" w:name="_Hlk197177802"/>
      <w:r w:rsidRPr="00511005">
        <w:rPr>
          <w:rFonts w:ascii="Arial" w:eastAsia="Times New Roman" w:hAnsi="Arial" w:cs="Arial"/>
          <w:b/>
          <w:bCs/>
          <w:i/>
          <w:szCs w:val="28"/>
          <w:lang w:eastAsia="ru-RU"/>
        </w:rPr>
        <w:t>Клапоущак Дар’я Сергіївна</w:t>
      </w:r>
    </w:p>
    <w:p w14:paraId="067278FF" w14:textId="5554A2EA" w:rsidR="007B2628" w:rsidRPr="00511005" w:rsidRDefault="00536AAB" w:rsidP="003A292D">
      <w:pPr>
        <w:spacing w:line="264" w:lineRule="auto"/>
        <w:ind w:firstLine="0"/>
        <w:jc w:val="center"/>
        <w:rPr>
          <w:rFonts w:ascii="Arial" w:eastAsia="Times New Roman" w:hAnsi="Arial" w:cs="Arial"/>
          <w:bCs/>
          <w:szCs w:val="28"/>
          <w:lang w:val="uk-UA" w:eastAsia="ru-RU"/>
        </w:rPr>
      </w:pPr>
      <w:r w:rsidRPr="00511005">
        <w:rPr>
          <w:rFonts w:ascii="Arial" w:eastAsia="Times New Roman" w:hAnsi="Arial" w:cs="Arial"/>
          <w:bCs/>
          <w:szCs w:val="28"/>
          <w:lang w:eastAsia="ru-RU"/>
        </w:rPr>
        <w:t>студентка 1-го курсу магістратури</w:t>
      </w:r>
      <w:r w:rsidR="00383DE9" w:rsidRPr="00511005">
        <w:rPr>
          <w:rFonts w:ascii="Arial" w:eastAsia="Times New Roman" w:hAnsi="Arial" w:cs="Arial"/>
          <w:bCs/>
          <w:szCs w:val="28"/>
          <w:lang w:val="uk-UA" w:eastAsia="ru-RU"/>
        </w:rPr>
        <w:t xml:space="preserve"> </w:t>
      </w:r>
    </w:p>
    <w:p w14:paraId="4036945B" w14:textId="09EB537A" w:rsidR="006B07CA" w:rsidRPr="00511005" w:rsidRDefault="001B7B25" w:rsidP="003A292D">
      <w:pPr>
        <w:spacing w:line="264" w:lineRule="auto"/>
        <w:ind w:firstLine="0"/>
        <w:jc w:val="center"/>
        <w:rPr>
          <w:rFonts w:ascii="Arial" w:eastAsia="Times New Roman" w:hAnsi="Arial" w:cs="Arial"/>
          <w:bCs/>
          <w:szCs w:val="28"/>
          <w:lang w:eastAsia="ru-RU"/>
        </w:rPr>
      </w:pPr>
      <w:r w:rsidRPr="00511005">
        <w:rPr>
          <w:rFonts w:ascii="Arial" w:eastAsia="Times New Roman" w:hAnsi="Arial" w:cs="Arial"/>
          <w:bCs/>
          <w:szCs w:val="28"/>
          <w:lang w:eastAsia="ru-RU"/>
        </w:rPr>
        <w:t>факультету судового та міжнародного права</w:t>
      </w:r>
    </w:p>
    <w:p w14:paraId="08E64CF7" w14:textId="57DB2525" w:rsidR="006B07CA" w:rsidRPr="00511005" w:rsidRDefault="007B2628" w:rsidP="003A292D">
      <w:pPr>
        <w:spacing w:line="264" w:lineRule="auto"/>
        <w:ind w:firstLine="0"/>
        <w:jc w:val="center"/>
        <w:rPr>
          <w:rFonts w:ascii="Arial" w:eastAsia="Times New Roman" w:hAnsi="Arial" w:cs="Arial"/>
          <w:bCs/>
          <w:szCs w:val="28"/>
          <w:lang w:eastAsia="ru-RU"/>
        </w:rPr>
      </w:pPr>
      <w:r w:rsidRPr="00511005">
        <w:rPr>
          <w:rFonts w:ascii="Arial" w:eastAsia="Times New Roman" w:hAnsi="Arial" w:cs="Arial"/>
          <w:bCs/>
          <w:szCs w:val="28"/>
          <w:lang w:eastAsia="ru-RU"/>
        </w:rPr>
        <w:t>Національного університету «Одеська юридична академія»</w:t>
      </w:r>
      <w:r w:rsidR="006B07CA" w:rsidRPr="00511005">
        <w:rPr>
          <w:rFonts w:ascii="Arial" w:eastAsia="Times New Roman" w:hAnsi="Arial" w:cs="Arial"/>
          <w:bCs/>
          <w:szCs w:val="28"/>
          <w:lang w:eastAsia="ru-RU"/>
        </w:rPr>
        <w:t xml:space="preserve"> </w:t>
      </w:r>
    </w:p>
    <w:p w14:paraId="06235469" w14:textId="77777777" w:rsidR="006B07CA" w:rsidRPr="00511005" w:rsidRDefault="006B07CA" w:rsidP="003A292D">
      <w:pPr>
        <w:spacing w:line="264" w:lineRule="auto"/>
        <w:ind w:firstLine="0"/>
        <w:jc w:val="center"/>
        <w:rPr>
          <w:rFonts w:ascii="Arial" w:eastAsia="Times New Roman" w:hAnsi="Arial" w:cs="Arial"/>
          <w:b/>
          <w:bCs/>
          <w:szCs w:val="28"/>
          <w:lang w:eastAsia="ru-RU"/>
        </w:rPr>
      </w:pPr>
    </w:p>
    <w:p w14:paraId="1469E7DC" w14:textId="77777777" w:rsidR="006B07CA" w:rsidRPr="00511005" w:rsidRDefault="006B07CA" w:rsidP="003A292D">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eastAsia="ru-RU"/>
        </w:rPr>
        <w:lastRenderedPageBreak/>
        <w:t>ПОЗИТИВІЗМ І НАДНАЦІОНАЛЬНЕ ПРАВО В КОНТЕКСТІ ЗБЕРЕЖЕННЯ НАЦІОНАЛЬНОЇ ПРАВОВОЇ ІДЕНТИЧНОСТІ</w:t>
      </w:r>
    </w:p>
    <w:p w14:paraId="3DF0A0BD"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Питання співвідношення національного права й наднаціонального законодавства стає дедалі актуальнішим для України, особливо в умовах європейської інтеграції та викликів, пов’язаних з російсько-українською війною. З одного боку – прагнення приєднатися до спільноти країн, які поділяють демократичні цінності, верховенство права та захист прав людини. З іншого –зберегти власну правову ідентичність, яка формувалася під впливом історичних обставин, ментальності та державної традиції. </w:t>
      </w:r>
    </w:p>
    <w:p w14:paraId="535346E1"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цьому контексті постає потреба по-новому осмислити роль юридичного позитивізму – як наукової доктрини, що трактує право як систему норм, встановлену державою, незалежно від її морального чи культурного змісту.</w:t>
      </w:r>
    </w:p>
    <w:p w14:paraId="3CD305DF"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Насамперед визначимо основні дефініції у нашому дослідженні. Юридичний позитивізм відігравав і досі відіграє значну роль у формуванні національних правових систем. </w:t>
      </w:r>
    </w:p>
    <w:p w14:paraId="06951794"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Для країн, які пережили довготривалий період колоніального тиску або авторитарного управління, ця теорія була способом упорядкування правових норм, зменшення ролі суб’єктивного судження та утвердження чітких критеріїв правомірності. </w:t>
      </w:r>
    </w:p>
    <w:p w14:paraId="20B63AE5"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 Україні позитивізм особливо вплинув на правову освіту, судову практику та нормотворчість після здобуття незалежності. Він дозволив вибудовувати юридичну систему на зрозумілих і формалізованих засадах. Однак сьогодні, коли Україна перебуває </w:t>
      </w:r>
      <w:proofErr w:type="gramStart"/>
      <w:r w:rsidRPr="00511005">
        <w:rPr>
          <w:rFonts w:ascii="Arial" w:eastAsia="Times New Roman" w:hAnsi="Arial" w:cs="Arial"/>
          <w:szCs w:val="28"/>
          <w:lang w:eastAsia="ru-RU"/>
        </w:rPr>
        <w:t>на шляху</w:t>
      </w:r>
      <w:proofErr w:type="gramEnd"/>
      <w:r w:rsidRPr="00511005">
        <w:rPr>
          <w:rFonts w:ascii="Arial" w:eastAsia="Times New Roman" w:hAnsi="Arial" w:cs="Arial"/>
          <w:szCs w:val="28"/>
          <w:lang w:eastAsia="ru-RU"/>
        </w:rPr>
        <w:t xml:space="preserve"> до Європейського Союзу, виникає потреба осмислити межі позитивістського підходу.</w:t>
      </w:r>
    </w:p>
    <w:p w14:paraId="09FE2A87"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Наднаціональне право – це особлива форма права, що виникає не просто як домовленість між державами, а як автономне джерело норм, що можуть мати пряму дію на території країн-членів [1, с. 119].</w:t>
      </w:r>
    </w:p>
    <w:bookmarkEnd w:id="9"/>
    <w:p w14:paraId="76B22D85"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Як юридичний термін наднаціональність з’явилася у Договорі про створення Європейського співтовариства вугілля та сталі, підписаному у Парижі 19 квітня 1951 р., де зазначалось (ст. 9): «Члени Верховного органу виконують свої функції, будучи повністю незалежними, в загальних інтересах Співтовариства [4].</w:t>
      </w:r>
    </w:p>
    <w:p w14:paraId="2C89352A"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Європейське право дедалі більше фіксує проблему національних ідентичностей. Наприклад, в преамбулі Хартії основоположних прав (2000) та в Третій преамбулі договору, що мав стати Конституцією ЄС (2004), прямо згадується збереження «національної ідентичності» держав-членів. </w:t>
      </w:r>
    </w:p>
    <w:p w14:paraId="26C94AD3"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Після Лісабонського договору (2007) ця ідея оформилася в статті 4(2) Договору про ЄС: «Союз шанує національну ідентичність держав – членів, яка полягає в невід’ємному наборі їх основоположних структур, політичних і конституційних» [2].</w:t>
      </w:r>
    </w:p>
    <w:p w14:paraId="13484DD5"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Для України ж це – шанс не тільки на європейську інтеграцію, але й на збереження власної правової специфіки. В Україні питання національної ідентичності тісно пов’язане із конституційним ладом. Конституція визначає найвищими цінностями держави суверенітет, територіальну цілісність, національну ідентичність та суверенне право народу на самовизначення. </w:t>
      </w:r>
    </w:p>
    <w:p w14:paraId="22FE6427" w14:textId="77777777" w:rsidR="007B2628"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Пункт 2 статті 9 Конституції прямо зазначає: «Чинні міжнародні договори, згода на обов'язковість яких надана Верховною Радою України, є частиною національного законодавства України. Укладення міжнародних договорів, які суперечать Конституції України, можливе лише після внесення відповідних змін до Конституції України» [3]</w:t>
      </w:r>
    </w:p>
    <w:p w14:paraId="11F8B849" w14:textId="70986F9A"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Це вказує на подвійний підхід: Україна готова виконувати свої міжнародні зобов’язання, але не допускає, щоб іноземні норми «підмінили» саму основу конституційного ладу. Українське законодавство на етапі реформ (судова, антикорупційна, енергетична) інтегрує європейські стандарти, проте кожен крок супроводжується спробами зберегти національну специфіку (наприклад, мовне законодавство, принципи амністії). </w:t>
      </w:r>
    </w:p>
    <w:p w14:paraId="0DC27DCC"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Нещодавні зміни до Основного Закону (включення перспективи членства в ЄС і НАТО) вже супроводжуються обіцянками зберігати «державницьку суверенність». Таким чином, в Україні формується баланс: законодавство адаптується до наднаціональних стандартів, але остаточна межа інтеграції обумовлена самою Конституцією (з урахуванням практики тлумачення статей про верховенство конституції).</w:t>
      </w:r>
    </w:p>
    <w:p w14:paraId="7960B434"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Головним викликом є потенційний конфлікт наднаціонального і конституційного: що робити, якщо рішення органів ЄС суперечать незмінним конституційним цінностям України? В Європейському Союзі ця проблема вирішується через інститут національної ідентичності (ст. 4(2) ДЄС) та національні обмеження. В Україні існують конституційні засади: ст. 157 Основного Закону закріплює «основи конституційного ладу», змінити які практично неможливо [3].</w:t>
      </w:r>
    </w:p>
    <w:p w14:paraId="0DEE1878"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Втім, наднаціональне право не має бути сприйняте як загроза. Навпаки, воно може стати каталізатором розвитку. Його функція – не замістити національне право, а гармонізувати його з універсальними стандартами. Україна має всі можливості для того, щоби в процесі євроінтеграції не втратити, а навпаки – чіткіше усвідомити свою правову ідентичність.</w:t>
      </w:r>
    </w:p>
    <w:p w14:paraId="022D6487"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Отже, правовий позитивізм дає нам зрозуміти, що наднаціональні норми сприймаються як право, тільки якщо вони узаконені компетентним органом. Україна, як демократична держава, добровільно обирає інтегруватися з європейськими структурами, отже їхні рішення стають частиною «позитивного права» України. </w:t>
      </w:r>
    </w:p>
    <w:p w14:paraId="2276339C"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Для України практика демонструє тлумачення «міжнародного позитивізму» через призму конституційних обмежень: міжнародні договори виконуються, але не в обхід Конституції. </w:t>
      </w:r>
    </w:p>
    <w:p w14:paraId="2BA6B3BA"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Суміщення позитивізму та конституційної ідентичності означає: Україна сприймає міжнародні зобов’язання (у тому числі європейські), але одночасно зберігає за собою право вето на будь-які зміни «фундаментальних структур» конституції.</w:t>
      </w:r>
    </w:p>
    <w:p w14:paraId="3549BF10" w14:textId="77777777" w:rsidR="006B07CA" w:rsidRPr="00511005" w:rsidRDefault="006B07CA" w:rsidP="00383DE9">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зберігання правової ідентичності можливе через системний баланс: процес гармонізації законодавства з наднаціональним правом супроводжується надійним конституційним контролем, що гарантує, що будь-які запозичення з міжнародних норм або європейських стандартів будуть адаптовані відповідно до вимог національної правової культури та не порушуватимуть основні принципи конституційного ладу України.</w:t>
      </w:r>
    </w:p>
    <w:p w14:paraId="69339024" w14:textId="77777777" w:rsidR="006B07CA" w:rsidRPr="00511005" w:rsidRDefault="006B07CA" w:rsidP="003A292D">
      <w:pPr>
        <w:spacing w:line="264" w:lineRule="auto"/>
        <w:ind w:firstLine="0"/>
        <w:jc w:val="center"/>
        <w:rPr>
          <w:rFonts w:ascii="Arial" w:eastAsia="Times New Roman" w:hAnsi="Arial" w:cs="Arial"/>
          <w:b/>
          <w:bCs/>
          <w:szCs w:val="28"/>
          <w:lang w:eastAsia="ru-RU"/>
        </w:rPr>
      </w:pPr>
    </w:p>
    <w:p w14:paraId="7A2DB248" w14:textId="4168D162" w:rsidR="006B07CA" w:rsidRPr="00511005" w:rsidRDefault="007B2628" w:rsidP="007B2628">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461D6200" w14:textId="77777777" w:rsidR="006B07CA" w:rsidRPr="00511005" w:rsidRDefault="006B07CA" w:rsidP="00383DE9">
      <w:pPr>
        <w:numPr>
          <w:ilvl w:val="0"/>
          <w:numId w:val="24"/>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Вишняков О. К. Наднаціональне право як феномен. Наукові праці Національного університету "Одеська юридична академія" : зб. наук. праць редкол.: С. В. Ківалов (голов. ред.), В. М. Дрьомін (заст. голов. ред.), Ю. П. Аленін [та ін] ; відп. за вип. В. М. Дрьомін ; МОН України, НУ "ОЮА". Одеса : Юрид. л-ра, 2014. Т. 14. С. 119–124.</w:t>
      </w:r>
    </w:p>
    <w:p w14:paraId="70457EED" w14:textId="77777777" w:rsidR="006B07CA" w:rsidRPr="00511005" w:rsidRDefault="006B07CA" w:rsidP="00383DE9">
      <w:pPr>
        <w:numPr>
          <w:ilvl w:val="0"/>
          <w:numId w:val="24"/>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Договір про заснування Європейської Спільноти (Договір про заснування Європейського економічного співтовариства) ЄЕС, ЄС; Договір, Перелік, Міжнародний документ від 25.03.1957.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33" w:anchor="Text" w:history="1">
        <w:r w:rsidRPr="00511005">
          <w:rPr>
            <w:rFonts w:ascii="Arial" w:eastAsia="Calibri" w:hAnsi="Arial" w:cs="Arial"/>
            <w:szCs w:val="28"/>
            <w:lang w:val="uk-UA"/>
          </w:rPr>
          <w:t>https://zakon.rada.gov.ua/laws/show/994_017#Text</w:t>
        </w:r>
      </w:hyperlink>
      <w:r w:rsidRPr="00511005">
        <w:rPr>
          <w:rFonts w:ascii="Arial" w:eastAsia="Calibri" w:hAnsi="Arial" w:cs="Arial"/>
          <w:szCs w:val="28"/>
          <w:lang w:val="uk-UA"/>
        </w:rPr>
        <w:t xml:space="preserve"> (дата звернення: 03.05.2025)</w:t>
      </w:r>
    </w:p>
    <w:p w14:paraId="35233DA3" w14:textId="77777777" w:rsidR="006B07CA" w:rsidRPr="00511005" w:rsidRDefault="006B07CA" w:rsidP="00383DE9">
      <w:pPr>
        <w:numPr>
          <w:ilvl w:val="0"/>
          <w:numId w:val="24"/>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Конституція України. Верховна Рада України; Конституція України, Конституція, Закон від 28.06.1996 № 254к/96-ВР.</w:t>
      </w:r>
      <w:r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34" w:anchor="Text" w:history="1">
        <w:r w:rsidRPr="00511005">
          <w:rPr>
            <w:rFonts w:ascii="Arial" w:eastAsia="Calibri" w:hAnsi="Arial" w:cs="Arial"/>
            <w:szCs w:val="28"/>
            <w:lang w:val="uk-UA"/>
          </w:rPr>
          <w:t>https://zakon.rada.gov.ua/laws/show/254%D0%BA/96-%D0%B2%D1%80#Text</w:t>
        </w:r>
      </w:hyperlink>
      <w:r w:rsidRPr="00511005">
        <w:rPr>
          <w:rFonts w:ascii="Arial" w:eastAsia="Calibri" w:hAnsi="Arial" w:cs="Arial"/>
          <w:szCs w:val="28"/>
          <w:lang w:val="uk-UA"/>
        </w:rPr>
        <w:t xml:space="preserve"> (дата звернення: 03.05.2025)</w:t>
      </w:r>
    </w:p>
    <w:p w14:paraId="240073A7" w14:textId="77777777" w:rsidR="006B07CA" w:rsidRPr="00511005" w:rsidRDefault="006B07CA" w:rsidP="00383DE9">
      <w:pPr>
        <w:numPr>
          <w:ilvl w:val="0"/>
          <w:numId w:val="24"/>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Traité instituant la Communauté européenne du charbon et de l'acier (Paris, 18 avril 1951).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35" w:history="1">
        <w:r w:rsidRPr="00511005">
          <w:rPr>
            <w:rFonts w:ascii="Arial" w:eastAsia="Calibri" w:hAnsi="Arial" w:cs="Arial"/>
            <w:szCs w:val="28"/>
            <w:lang w:val="uk-UA"/>
          </w:rPr>
          <w:t>https://www.cvce.eu/obj/traite_instituant_la_communaute_europeenne_du_charbon_et_de_l_acier_paris_18_avril_1951-fr-11a21305-941e-49d7-a171-ed5be548cd58.html</w:t>
        </w:r>
      </w:hyperlink>
      <w:r w:rsidRPr="00511005">
        <w:rPr>
          <w:rFonts w:ascii="Arial" w:eastAsia="Calibri" w:hAnsi="Arial" w:cs="Arial"/>
          <w:szCs w:val="28"/>
          <w:lang w:val="uk-UA"/>
        </w:rPr>
        <w:t xml:space="preserve"> (дата звернення: 03.05.2025)</w:t>
      </w:r>
    </w:p>
    <w:p w14:paraId="4061948D" w14:textId="77777777" w:rsidR="006B07CA" w:rsidRPr="00511005" w:rsidRDefault="006B07CA" w:rsidP="003A292D">
      <w:pPr>
        <w:spacing w:line="264" w:lineRule="auto"/>
        <w:ind w:firstLine="0"/>
        <w:contextualSpacing/>
        <w:rPr>
          <w:rFonts w:ascii="Arial" w:eastAsia="Calibri" w:hAnsi="Arial" w:cs="Arial"/>
          <w:szCs w:val="28"/>
          <w:lang w:val="uk-UA"/>
        </w:rPr>
      </w:pPr>
    </w:p>
    <w:p w14:paraId="7A8CB89D" w14:textId="730D1869" w:rsidR="006B07CA"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6B07CA" w:rsidRPr="00511005">
        <w:rPr>
          <w:rFonts w:ascii="Arial" w:eastAsia="Calibri" w:hAnsi="Arial" w:cs="Arial"/>
          <w:szCs w:val="28"/>
          <w:lang w:val="uk-UA"/>
        </w:rPr>
        <w:t>позитивізм, ідентичність, право, інтеграція, суверенітет, гармонізація, нація.</w:t>
      </w:r>
    </w:p>
    <w:p w14:paraId="0393659C" w14:textId="14D06126" w:rsidR="006B07CA"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bCs/>
          <w:i/>
          <w:szCs w:val="28"/>
          <w:lang w:val="uk-UA"/>
        </w:rPr>
        <w:t xml:space="preserve">Key words: </w:t>
      </w:r>
      <w:r w:rsidR="006B07CA" w:rsidRPr="00511005">
        <w:rPr>
          <w:rFonts w:ascii="Arial" w:eastAsia="Calibri" w:hAnsi="Arial" w:cs="Arial"/>
          <w:szCs w:val="28"/>
          <w:lang w:val="uk-UA"/>
        </w:rPr>
        <w:t>positivism, identity, law, integration, sovereignty, harmonization, nation.</w:t>
      </w:r>
    </w:p>
    <w:p w14:paraId="48ADCDD7" w14:textId="08C23237" w:rsidR="006B07CA" w:rsidRPr="00511005" w:rsidRDefault="007B2628" w:rsidP="003A292D">
      <w:pPr>
        <w:spacing w:line="264" w:lineRule="auto"/>
        <w:ind w:firstLine="0"/>
        <w:contextualSpacing/>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6B07CA" w:rsidRPr="00511005">
        <w:rPr>
          <w:rFonts w:ascii="Arial" w:eastAsia="Calibri" w:hAnsi="Arial" w:cs="Arial"/>
          <w:i/>
          <w:iCs/>
          <w:szCs w:val="28"/>
          <w:lang w:val="uk-UA"/>
        </w:rPr>
        <w:t>к.ю.н., доцент Рязанов М.Ю.</w:t>
      </w:r>
    </w:p>
    <w:p w14:paraId="4EBE8579" w14:textId="77777777" w:rsidR="006B07CA" w:rsidRPr="00511005" w:rsidRDefault="006B07CA" w:rsidP="003A292D">
      <w:pPr>
        <w:spacing w:line="264" w:lineRule="auto"/>
        <w:ind w:firstLine="0"/>
        <w:contextualSpacing/>
        <w:rPr>
          <w:rFonts w:ascii="Arial" w:eastAsia="Calibri" w:hAnsi="Arial" w:cs="Arial"/>
          <w:i/>
          <w:iCs/>
          <w:szCs w:val="28"/>
          <w:lang w:val="uk-UA"/>
        </w:rPr>
      </w:pPr>
    </w:p>
    <w:p w14:paraId="7E136106" w14:textId="77777777" w:rsidR="006B07CA" w:rsidRPr="00511005" w:rsidRDefault="006B07CA" w:rsidP="003A292D">
      <w:pPr>
        <w:spacing w:line="264" w:lineRule="auto"/>
        <w:ind w:firstLine="0"/>
        <w:contextualSpacing/>
        <w:rPr>
          <w:rFonts w:ascii="Arial" w:eastAsia="Calibri" w:hAnsi="Arial" w:cs="Arial"/>
          <w:i/>
          <w:iCs/>
          <w:szCs w:val="28"/>
          <w:lang w:val="uk-UA"/>
        </w:rPr>
      </w:pPr>
    </w:p>
    <w:p w14:paraId="487E1CDD" w14:textId="77777777" w:rsidR="006B07CA" w:rsidRPr="00511005" w:rsidRDefault="006B07CA" w:rsidP="003A292D">
      <w:pPr>
        <w:spacing w:line="264" w:lineRule="auto"/>
        <w:ind w:firstLine="0"/>
        <w:jc w:val="center"/>
        <w:rPr>
          <w:rFonts w:ascii="Arial" w:eastAsia="Times New Roman" w:hAnsi="Arial" w:cs="Arial"/>
          <w:b/>
          <w:bCs/>
          <w:i/>
          <w:iCs/>
          <w:noProof/>
          <w:szCs w:val="28"/>
          <w:lang w:val="uk-UA" w:eastAsia="ru-RU"/>
        </w:rPr>
      </w:pPr>
      <w:r w:rsidRPr="00511005">
        <w:rPr>
          <w:rFonts w:ascii="Arial" w:eastAsia="Times New Roman" w:hAnsi="Arial" w:cs="Arial"/>
          <w:b/>
          <w:bCs/>
          <w:i/>
          <w:iCs/>
          <w:noProof/>
          <w:szCs w:val="28"/>
          <w:lang w:val="uk-UA" w:eastAsia="ru-RU"/>
        </w:rPr>
        <w:lastRenderedPageBreak/>
        <w:t>Коваленко Ростислав Русланович</w:t>
      </w:r>
    </w:p>
    <w:p w14:paraId="1D8390A8" w14:textId="56488B2E" w:rsidR="00383DE9" w:rsidRPr="00511005" w:rsidRDefault="00383DE9" w:rsidP="00383DE9">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 1-го курсу факультету цивільної та господарської юстиції </w:t>
      </w:r>
    </w:p>
    <w:p w14:paraId="372DB255" w14:textId="04F6DAFE" w:rsidR="006B07CA" w:rsidRPr="00511005" w:rsidRDefault="007B2628" w:rsidP="003A292D">
      <w:pPr>
        <w:spacing w:line="264" w:lineRule="auto"/>
        <w:ind w:firstLine="0"/>
        <w:jc w:val="center"/>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Національного університету «Одеська юридична академія»</w:t>
      </w:r>
    </w:p>
    <w:p w14:paraId="6F1F3ADF" w14:textId="77777777" w:rsidR="006B07CA" w:rsidRPr="00511005" w:rsidRDefault="006B07CA" w:rsidP="003A292D">
      <w:pPr>
        <w:spacing w:line="264" w:lineRule="auto"/>
        <w:ind w:firstLine="0"/>
        <w:jc w:val="center"/>
        <w:rPr>
          <w:rFonts w:ascii="Arial" w:eastAsia="Times New Roman" w:hAnsi="Arial" w:cs="Arial"/>
          <w:b/>
          <w:bCs/>
          <w:noProof/>
          <w:szCs w:val="28"/>
          <w:lang w:val="uk-UA" w:eastAsia="ru-RU"/>
        </w:rPr>
      </w:pPr>
    </w:p>
    <w:p w14:paraId="1C226E9B" w14:textId="77777777" w:rsidR="006B07CA" w:rsidRPr="00511005" w:rsidRDefault="006B07CA" w:rsidP="003A292D">
      <w:pPr>
        <w:spacing w:line="264" w:lineRule="auto"/>
        <w:ind w:firstLine="0"/>
        <w:jc w:val="center"/>
        <w:rPr>
          <w:rFonts w:ascii="Arial" w:eastAsia="Times New Roman" w:hAnsi="Arial" w:cs="Arial"/>
          <w:b/>
          <w:bCs/>
          <w:noProof/>
          <w:szCs w:val="28"/>
          <w:lang w:val="uk-UA" w:eastAsia="ru-RU"/>
        </w:rPr>
      </w:pPr>
      <w:r w:rsidRPr="00511005">
        <w:rPr>
          <w:rFonts w:ascii="Arial" w:eastAsia="Times New Roman" w:hAnsi="Arial" w:cs="Arial"/>
          <w:b/>
          <w:bCs/>
          <w:noProof/>
          <w:szCs w:val="28"/>
          <w:lang w:val="uk-UA" w:eastAsia="ru-RU"/>
        </w:rPr>
        <w:t>CУЧАСНА КОНЦЕПЦІЯ КОНСТИТУЦІЙНОЇ ДЕРЖАВИ</w:t>
      </w:r>
    </w:p>
    <w:p w14:paraId="6FF9F1DE"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У модерному світі ідея конституційної держави є одним з базисів демократичного ладу. Вона втілює концепцію правової організації суспільства, де функції та діяльність держави обмежується нормами права, а права і свободи людини є найвищою цінністю. Конституційна держава передбачає діяльність системи влади, яка ґрунтується на верховенстві права, ефективному розподілі владних повноважень, судовому контролі та існування писаної Конституції як основного закону з найвищою юридичною силою. Сенс такої держави полягає не тільки в простому створенні формальних інституцій, а у дотриманні справедливих і відкритих правил взаємодії між владою та суспільством. </w:t>
      </w:r>
    </w:p>
    <w:p w14:paraId="62C0CF60"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Помилково вважати, що конституційна та правова держави є ідентичними поняттями. Історично поняття «правова держава» виникло саме як реакція на самодержавство: це вимога обмежити владу загальними правовими актами, затвердженими представницькими органами. Отже в класичному розумінні правова держава фактично тотожна конституційній. Проте сучасна доктрина розрізняє акценти: «правова держава» підкреслює загальне панування права, а «конституційна держава» – передусім верховенство Конституції як основного закону. За визначенням Є.В. Спекторського, «конституційна держава – це держава, де влада не лише організована, а й юридично обмежена шляхом визнання за населенням публічних прав і політичної свободи»[1, ст. 83]. Таким чином, відмінність конституційної держави від просто правової полягає в тому, що вона об’єднує принципи правової держави з особливим акцентом на інституційну основу влади (Конституцію, поділ влади, незалежні суди) та рівновагу між державою і суспільством.</w:t>
      </w:r>
    </w:p>
    <w:p w14:paraId="19E08E4A"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Найхарактернішою рисою конституційної держави є баланс між владою та свободою. З одного боку, встановлюється строгий правовий порядок – усі органи влади утворюються і функціонують виключно на підставі законів, створених відповідно до Конституції. Це означає, що жодна особа чи посадовець не стоїть вище закону. З іншого боку, громадянам гарантовано широкий спектр публічних прав і свобод – наприклад, свободу слова, об’єднань, вільні вибори і доступ до правосуддя. Конституційна держава стимулює активну громадянську позицію: завдяки закріпленим правам людина не просто слухняно виконує накази, а бере участь у формуванні влади та контролі над нею. Позитивні наслідки такої моделі очевидні: влада стає підзвітною народу і праву, зменшується ризик узурпації державного апарату, а громадськість отримує інструменти для самозахисту. </w:t>
      </w:r>
    </w:p>
    <w:p w14:paraId="56BF5C63"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lastRenderedPageBreak/>
        <w:t>Основними ознаками конституційної держави вважаються забезпечення ефективного правового порядку і політичної свободи</w:t>
      </w:r>
      <w:r w:rsidRPr="00511005">
        <w:rPr>
          <w:rFonts w:ascii="Arial" w:eastAsia="Times New Roman" w:hAnsi="Arial" w:cs="Arial"/>
          <w:noProof/>
          <w:szCs w:val="28"/>
          <w:shd w:val="clear" w:color="auto" w:fill="FFFFFF"/>
          <w:lang w:val="uk-UA" w:eastAsia="ru-RU"/>
        </w:rPr>
        <w:t xml:space="preserve"> </w:t>
      </w:r>
      <w:r w:rsidRPr="00511005">
        <w:rPr>
          <w:rFonts w:ascii="Arial" w:eastAsia="Times New Roman" w:hAnsi="Arial" w:cs="Arial"/>
          <w:noProof/>
          <w:szCs w:val="28"/>
          <w:lang w:val="uk-UA" w:eastAsia="ru-RU"/>
        </w:rPr>
        <w:t>[2, ст. 33]. Правовий порядок забезпечує стабільність і передбачуваність управління, захист приватної власності та договорів, тоді як політична свобода – це гарантія плюралізму поглядів, періодичної зміни влади на виборах і колективної участі у державотворенні. Завдяки цій моделі суспільство уникає хаосу й тиранії: конфлікти вирішуються не силовими методами, а в правовому полі, що дозволяє підвищувати рівень довіри до інститутів і сприяє соціальному розвитку. Конституційна держава також передбачає механізми стримувань і противаг, які перешкоджають зловживанню владою, – наприклад, систему взаємоконтролю між парламентом, урядом і судами, незалежність суддів та конституційне правосуддя.</w:t>
      </w:r>
    </w:p>
    <w:p w14:paraId="064821F4"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В Україні основні компоненти конституційної держави реалізовано через текст і практику Конституції 1996 р. Зокрема, стаття 6 закріплює розподіл державної влади на законодавчу, виконавчу та судову. Завдяки цьому жоден орган не може повністю узурпувати владу – існує система стримувань: парламент приймає закони, уряд ними керується, а суди контролюють конституційність і законність рішень. Стаття 8 Конституції проголошує принцип верховенства права: «Конституція України має найвищу юридичну силу. Закони та інші нормативно-правові акти приймаються на основі Конституції і повинні відповідати їй». Стаття 3 Констітуції проголошує людину, її життя і гідність найвищою соціальною цінністю і закріплює, що «права і свободи людини та їх гарантії визначають зміст і спрямованість діяльності держави»[3]. Ці конституційні положення супроводжуються створенням відповідних інститутів: існує Конституційний Суд (для перевірки відповідності законів Основному Закону), незалежні суди загальної юрисдикції, прокуратура, омбудсмен тощо. У сукупності названі положення та інституції формують конституційний ландшафт України – систему, де пильнується верховенство Конституції, чітко розподілені повноваження та гарантується захист основних прав громадян.</w:t>
      </w:r>
    </w:p>
    <w:p w14:paraId="184B34E8"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Сучасна конституційна держава має справу з рядом серйозних викликів. Популізм є одним із таких. Політичні лідери часто використовують риторику "волі народу" для виправдання антиконституційних вчинків та дій. У такому випадку право поступається політичній доцільності, що може зруйнувати основи конституційної держави. Іншою проблемою є формалізм. У багатьох державах конституції наявні, але їхні завдання та принципи не виконуються. Їхні норми залишаються лише на папері, адже бракує таких механізмів, що зможуть забезпечити контроль та відповідальність за порушення правил.</w:t>
      </w:r>
    </w:p>
    <w:p w14:paraId="183962A7"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Також країни часто прагнуть обмежити права людини в ім’я безпеки. У контексті масових заворушень, терористичних загроз, війн влада може </w:t>
      </w:r>
      <w:r w:rsidRPr="00511005">
        <w:rPr>
          <w:rFonts w:ascii="Arial" w:eastAsia="Times New Roman" w:hAnsi="Arial" w:cs="Arial"/>
          <w:noProof/>
          <w:szCs w:val="28"/>
          <w:lang w:val="uk-UA" w:eastAsia="ru-RU"/>
        </w:rPr>
        <w:lastRenderedPageBreak/>
        <w:t>приймати рішення надмірних заходів, що можуть зменшити свободи громадян. Це викликає небезпеку для забезпечення демократичного балансу [2, с. 21</w:t>
      </w:r>
      <w:r w:rsidRPr="00511005">
        <w:rPr>
          <w:rFonts w:ascii="Arial" w:eastAsia="Times New Roman" w:hAnsi="Arial" w:cs="Arial"/>
          <w:noProof/>
          <w:szCs w:val="28"/>
          <w:lang w:eastAsia="ru-RU"/>
        </w:rPr>
        <w:t>]</w:t>
      </w:r>
      <w:r w:rsidRPr="00511005">
        <w:rPr>
          <w:rFonts w:ascii="Arial" w:eastAsia="Times New Roman" w:hAnsi="Arial" w:cs="Arial"/>
          <w:noProof/>
          <w:szCs w:val="28"/>
          <w:lang w:val="uk-UA" w:eastAsia="ru-RU"/>
        </w:rPr>
        <w:t>. Також слабкість судової влади та низький ступінь довіри до неї нерідко призводять до того, що громадяни перестають вірити у справедливість і не вбачають у суддях та суді захисника особистих прав [4, с. 18]. Бар’єрами на шляху до повноцінного функціонування конституційної держави є корупція неефективність інституцій, політична залежність.</w:t>
      </w:r>
    </w:p>
    <w:p w14:paraId="6C8A673F"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Не можна нехтувати впливом цифрових та інформаційних технологій. З одного боку, вони створюють небезпеку, пов’язану з обмеженням приватності, збором персональних даних і посиленням контролю за поведінкою особистості, з іншого - відкривають нові можливості для прозорості та участі громадян в ухваленні рішень. </w:t>
      </w:r>
    </w:p>
    <w:p w14:paraId="14A7E023"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Додатковою проблемою для України є війна. Умови збройного конфлікту вимагають швидких рішень, посилення значущості виконавчої влади, що часто призводить до зменшення та обмеження окремих свобод. Водночас саме за таких обставин особливо важливо зберегти головні принципи конституційної держави, щоб не допустити деградації правової системи. Українське суспільство поетапно формує правову культуру, активізує громадянський контроль, розвиває інструменти впливу на державу, що є властивостями справжнього конституціоналізму.</w:t>
      </w:r>
    </w:p>
    <w:p w14:paraId="074E691F"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Можливості розвитку конституційної держави в Україні та у світі залежать від здатності закріпити верховенство права, підвищити правосвідомість, розвивати механізми контролю влади та захисту прав громадян. Не менш вагомим є забезпечення реальної участі громадян в управлінні державою. Також велике значення має і міжнародна інтеграція -пристосування національного законодавства до європейських стандартів, імплементація рішень ЄСПЛ, дотримання міжнародних договорів у сфері прав людини.</w:t>
      </w:r>
    </w:p>
    <w:p w14:paraId="66238BE6"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Отже, у сучасному розумінні конституційна держава – це не лише формальна конструкція, а й живий, динамічний процес. Основою залишається принцип верховенства права, але разом з тим акцентується реальна здатність держави забезпечувати соціальну справедливість, економічні та екологічні права, а також постійне оновлення нормативної бази. Особлива увага приділяється народовладдю та широкому залученню громадян до управління (через вибори, референдуми, громадські ради), що робить конституційну державу ближчою до ідеалів демократії. Сучасний підхід передбачає, що держава має бути прозорою, підзвітною суспільству та толерантною до різноманіття думок і рухів (плюралізм думок). Також визначальними є принципи гендерної рівності та соціального захисту, оскільки сучасна конституційна держава прагне гарантувати гідні умови життя для всіх груп населення.</w:t>
      </w:r>
    </w:p>
    <w:p w14:paraId="7CBAD4E3" w14:textId="77777777" w:rsidR="006B07CA" w:rsidRPr="00511005" w:rsidRDefault="006B07CA" w:rsidP="00383DE9">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lastRenderedPageBreak/>
        <w:t>Таким чином, сутність сучасної концепції конституційної держави полягає у поєднанні демократичних цінностей, верховенства права і прав людини в єдиній системі державного устрою. Це система, в якій конституція відіграє роль гаранта балансу між владою та особою, а проголошені у ній норми реалізуються через незалежні інституції та громадянську активність. Конституційна держава в сучасному розумінні – це передусім постійне вдосконалення державних інститутів, удосконалення законодавства й судочинства відповідно до міжнародних стандартів, а також розбудова політичної культури поваги до Конституції. Вона сприяє стабільності та розвитку, охороняє людину від свавілля та створює передумови для прогресу суспільства загалом.</w:t>
      </w:r>
    </w:p>
    <w:p w14:paraId="2685FC9B" w14:textId="77777777" w:rsidR="006B07CA" w:rsidRPr="00511005" w:rsidRDefault="006B07CA" w:rsidP="003A292D">
      <w:pPr>
        <w:spacing w:line="264" w:lineRule="auto"/>
        <w:ind w:firstLine="0"/>
        <w:rPr>
          <w:rFonts w:ascii="Arial" w:eastAsia="Times New Roman" w:hAnsi="Arial" w:cs="Arial"/>
          <w:noProof/>
          <w:szCs w:val="28"/>
          <w:lang w:val="uk-UA" w:eastAsia="ru-RU"/>
        </w:rPr>
      </w:pPr>
    </w:p>
    <w:p w14:paraId="7D388EC3" w14:textId="0A7442AC" w:rsidR="006B07CA" w:rsidRPr="00511005" w:rsidRDefault="006B07CA" w:rsidP="003A292D">
      <w:pPr>
        <w:spacing w:line="264" w:lineRule="auto"/>
        <w:ind w:firstLine="0"/>
        <w:jc w:val="center"/>
        <w:rPr>
          <w:rFonts w:ascii="Arial" w:eastAsia="Times New Roman" w:hAnsi="Arial" w:cs="Arial"/>
          <w:b/>
          <w:bCs/>
          <w:noProof/>
          <w:szCs w:val="28"/>
          <w:lang w:val="uk-UA" w:eastAsia="ru-RU"/>
        </w:rPr>
      </w:pPr>
      <w:r w:rsidRPr="00511005">
        <w:rPr>
          <w:rFonts w:ascii="Arial" w:eastAsia="Times New Roman" w:hAnsi="Arial" w:cs="Arial"/>
          <w:b/>
          <w:bCs/>
          <w:noProof/>
          <w:szCs w:val="28"/>
          <w:lang w:val="uk-UA" w:eastAsia="ru-RU"/>
        </w:rPr>
        <w:t xml:space="preserve">Список </w:t>
      </w:r>
      <w:r w:rsidR="00875A11">
        <w:rPr>
          <w:rFonts w:ascii="Arial" w:eastAsia="Times New Roman" w:hAnsi="Arial" w:cs="Arial"/>
          <w:b/>
          <w:bCs/>
          <w:noProof/>
          <w:szCs w:val="28"/>
          <w:lang w:val="uk-UA" w:eastAsia="ru-RU"/>
        </w:rPr>
        <w:t>використаних джерел</w:t>
      </w:r>
    </w:p>
    <w:p w14:paraId="7DC9C17A" w14:textId="77777777" w:rsidR="006B07CA" w:rsidRPr="00511005" w:rsidRDefault="006B07CA" w:rsidP="00383DE9">
      <w:pPr>
        <w:numPr>
          <w:ilvl w:val="0"/>
          <w:numId w:val="25"/>
        </w:numPr>
        <w:spacing w:line="264" w:lineRule="auto"/>
        <w:ind w:left="0" w:firstLine="709"/>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Чернік С.Д. Правова держава у поглядах Є.В. Спекторського. </w:t>
      </w:r>
      <w:r w:rsidRPr="00511005">
        <w:rPr>
          <w:rFonts w:ascii="Arial" w:eastAsia="Times New Roman" w:hAnsi="Arial" w:cs="Arial"/>
          <w:i/>
          <w:iCs/>
          <w:noProof/>
          <w:szCs w:val="28"/>
          <w:lang w:val="uk-UA" w:eastAsia="ru-RU"/>
        </w:rPr>
        <w:t>Порівняльно-аналітичне право. Електронне наукове фахове видання юридичного факультету Ужгородського національного університету</w:t>
      </w:r>
      <w:r w:rsidRPr="00511005">
        <w:rPr>
          <w:rFonts w:ascii="Arial" w:eastAsia="Times New Roman" w:hAnsi="Arial" w:cs="Arial"/>
          <w:noProof/>
          <w:szCs w:val="28"/>
          <w:lang w:val="uk-UA" w:eastAsia="ru-RU"/>
        </w:rPr>
        <w:t xml:space="preserve">. 2020. № 1. С. 82–84. </w:t>
      </w:r>
    </w:p>
    <w:p w14:paraId="4010623A" w14:textId="77777777" w:rsidR="006B07CA" w:rsidRPr="00511005" w:rsidRDefault="006B07CA" w:rsidP="00383DE9">
      <w:pPr>
        <w:numPr>
          <w:ilvl w:val="0"/>
          <w:numId w:val="25"/>
        </w:numPr>
        <w:spacing w:line="264" w:lineRule="auto"/>
        <w:ind w:left="0" w:firstLine="709"/>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Федоренко В.Л. Конституція і конституційна держава: питання теорії та практики. </w:t>
      </w:r>
      <w:r w:rsidRPr="00511005">
        <w:rPr>
          <w:rFonts w:ascii="Arial" w:eastAsia="Times New Roman" w:hAnsi="Arial" w:cs="Arial"/>
          <w:i/>
          <w:iCs/>
          <w:noProof/>
          <w:szCs w:val="28"/>
          <w:lang w:val="uk-UA" w:eastAsia="ru-RU"/>
        </w:rPr>
        <w:t>Експерт: парадигми юридичних наук і державного управління</w:t>
      </w:r>
      <w:r w:rsidRPr="00511005">
        <w:rPr>
          <w:rFonts w:ascii="Arial" w:eastAsia="Times New Roman" w:hAnsi="Arial" w:cs="Arial"/>
          <w:noProof/>
          <w:szCs w:val="28"/>
          <w:lang w:val="uk-UA" w:eastAsia="ru-RU"/>
        </w:rPr>
        <w:t xml:space="preserve">. 2020. № 3(9). С. 13–29. URL: </w:t>
      </w:r>
      <w:hyperlink r:id="rId36" w:tgtFrame="_new" w:history="1">
        <w:r w:rsidRPr="00511005">
          <w:rPr>
            <w:rFonts w:ascii="Arial" w:eastAsia="Times New Roman" w:hAnsi="Arial" w:cs="Arial"/>
            <w:noProof/>
            <w:szCs w:val="28"/>
            <w:lang w:val="uk-UA" w:eastAsia="ru-RU"/>
          </w:rPr>
          <w:t>https://doi.org/10.32689/2617-9660-2020-3(9)-13-29</w:t>
        </w:r>
      </w:hyperlink>
    </w:p>
    <w:p w14:paraId="4F951D1E" w14:textId="77777777" w:rsidR="006B07CA" w:rsidRPr="00511005" w:rsidRDefault="006B07CA" w:rsidP="00383DE9">
      <w:pPr>
        <w:numPr>
          <w:ilvl w:val="0"/>
          <w:numId w:val="25"/>
        </w:numPr>
        <w:spacing w:line="264" w:lineRule="auto"/>
        <w:ind w:left="0" w:firstLine="709"/>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Конституція України: Прийнята на п’ятій сесії Верховної Ради України 28 червня 1996 р. </w:t>
      </w:r>
      <w:r w:rsidRPr="00511005">
        <w:rPr>
          <w:rFonts w:ascii="Arial" w:eastAsia="Times New Roman" w:hAnsi="Arial" w:cs="Arial"/>
          <w:i/>
          <w:iCs/>
          <w:noProof/>
          <w:szCs w:val="28"/>
          <w:lang w:val="uk-UA" w:eastAsia="ru-RU"/>
        </w:rPr>
        <w:t>Відомості Верховної Ради України.</w:t>
      </w:r>
      <w:r w:rsidRPr="00511005">
        <w:rPr>
          <w:rFonts w:ascii="Arial" w:eastAsia="Times New Roman" w:hAnsi="Arial" w:cs="Arial"/>
          <w:noProof/>
          <w:szCs w:val="28"/>
          <w:lang w:val="uk-UA" w:eastAsia="ru-RU"/>
        </w:rPr>
        <w:t xml:space="preserve"> 1996. № 30. Ст. 141.</w:t>
      </w:r>
    </w:p>
    <w:p w14:paraId="268ADDC5" w14:textId="77777777" w:rsidR="006B07CA" w:rsidRPr="00511005" w:rsidRDefault="006B07CA" w:rsidP="00383DE9">
      <w:pPr>
        <w:numPr>
          <w:ilvl w:val="0"/>
          <w:numId w:val="25"/>
        </w:numPr>
        <w:spacing w:line="264" w:lineRule="auto"/>
        <w:ind w:left="0" w:firstLine="709"/>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Радченко О.І. Концепція конституційної держави: історико-правовий вимір. </w:t>
      </w:r>
      <w:r w:rsidRPr="00511005">
        <w:rPr>
          <w:rFonts w:ascii="Arial" w:eastAsia="Times New Roman" w:hAnsi="Arial" w:cs="Arial"/>
          <w:i/>
          <w:iCs/>
          <w:noProof/>
          <w:szCs w:val="28"/>
          <w:lang w:val="uk-UA" w:eastAsia="ru-RU"/>
        </w:rPr>
        <w:t>Право і безпека</w:t>
      </w:r>
      <w:r w:rsidRPr="00511005">
        <w:rPr>
          <w:rFonts w:ascii="Arial" w:eastAsia="Times New Roman" w:hAnsi="Arial" w:cs="Arial"/>
          <w:noProof/>
          <w:szCs w:val="28"/>
          <w:lang w:val="uk-UA" w:eastAsia="ru-RU"/>
        </w:rPr>
        <w:t>. 2010. С. 29-33.</w:t>
      </w:r>
    </w:p>
    <w:p w14:paraId="386A8830" w14:textId="77777777" w:rsidR="006B07CA" w:rsidRPr="00511005" w:rsidRDefault="006B07CA" w:rsidP="003A292D">
      <w:pPr>
        <w:spacing w:line="264" w:lineRule="auto"/>
        <w:ind w:firstLine="0"/>
        <w:contextualSpacing/>
        <w:rPr>
          <w:rFonts w:ascii="Arial" w:eastAsia="Times New Roman" w:hAnsi="Arial" w:cs="Arial"/>
          <w:noProof/>
          <w:szCs w:val="28"/>
          <w:lang w:val="uk-UA" w:eastAsia="ru-RU"/>
        </w:rPr>
      </w:pPr>
    </w:p>
    <w:p w14:paraId="69F76710" w14:textId="1C283D7C" w:rsidR="006B07CA" w:rsidRPr="00511005" w:rsidRDefault="007B2628" w:rsidP="003A292D">
      <w:pPr>
        <w:spacing w:line="264" w:lineRule="auto"/>
        <w:ind w:firstLine="0"/>
        <w:rPr>
          <w:rFonts w:ascii="Arial" w:eastAsia="Times New Roman" w:hAnsi="Arial" w:cs="Arial"/>
          <w:noProof/>
          <w:szCs w:val="28"/>
          <w:lang w:val="uk-UA" w:eastAsia="ru-RU"/>
        </w:rPr>
      </w:pPr>
      <w:r w:rsidRPr="00511005">
        <w:rPr>
          <w:rFonts w:ascii="Arial" w:eastAsia="Times New Roman" w:hAnsi="Arial" w:cs="Arial"/>
          <w:b/>
          <w:bCs/>
          <w:i/>
          <w:noProof/>
          <w:kern w:val="2"/>
          <w:szCs w:val="28"/>
          <w:lang w:val="uk-UA" w:eastAsia="ru-RU"/>
        </w:rPr>
        <w:t xml:space="preserve">Ключові слова: </w:t>
      </w:r>
      <w:r w:rsidR="006B07CA" w:rsidRPr="00511005">
        <w:rPr>
          <w:rFonts w:ascii="Arial" w:eastAsia="Times New Roman" w:hAnsi="Arial" w:cs="Arial"/>
          <w:noProof/>
          <w:kern w:val="2"/>
          <w:szCs w:val="28"/>
          <w:lang w:val="uk-UA" w:eastAsia="ru-RU"/>
        </w:rPr>
        <w:t>констититуційна держава,</w:t>
      </w:r>
      <w:r w:rsidR="006B07CA" w:rsidRPr="00511005">
        <w:rPr>
          <w:rFonts w:ascii="Arial" w:eastAsia="Times New Roman" w:hAnsi="Arial" w:cs="Arial"/>
          <w:b/>
          <w:bCs/>
          <w:noProof/>
          <w:kern w:val="2"/>
          <w:szCs w:val="28"/>
          <w:lang w:val="uk-UA" w:eastAsia="ru-RU"/>
        </w:rPr>
        <w:t xml:space="preserve"> </w:t>
      </w:r>
      <w:r w:rsidR="006B07CA" w:rsidRPr="00511005">
        <w:rPr>
          <w:rFonts w:ascii="Arial" w:eastAsia="Times New Roman" w:hAnsi="Arial" w:cs="Arial"/>
          <w:noProof/>
          <w:szCs w:val="28"/>
          <w:lang w:val="uk-UA" w:eastAsia="ru-RU"/>
        </w:rPr>
        <w:t>конституція, верховенство права, права людини, поділ влади.</w:t>
      </w:r>
    </w:p>
    <w:p w14:paraId="5339B18B" w14:textId="7F11413A" w:rsidR="006B07CA" w:rsidRPr="00511005" w:rsidRDefault="007B2628" w:rsidP="003A292D">
      <w:pPr>
        <w:spacing w:line="264" w:lineRule="auto"/>
        <w:ind w:firstLine="0"/>
        <w:rPr>
          <w:rFonts w:ascii="Arial" w:eastAsia="Times New Roman" w:hAnsi="Arial" w:cs="Arial"/>
          <w:noProof/>
          <w:kern w:val="2"/>
          <w:szCs w:val="28"/>
          <w:lang w:val="uk-UA" w:eastAsia="ru-RU"/>
        </w:rPr>
      </w:pPr>
      <w:r w:rsidRPr="00511005">
        <w:rPr>
          <w:rFonts w:ascii="Arial" w:eastAsia="Times New Roman" w:hAnsi="Arial" w:cs="Arial"/>
          <w:b/>
          <w:bCs/>
          <w:i/>
          <w:noProof/>
          <w:kern w:val="2"/>
          <w:szCs w:val="28"/>
          <w:lang w:val="uk-UA" w:eastAsia="ru-RU"/>
        </w:rPr>
        <w:t xml:space="preserve">Key words: </w:t>
      </w:r>
      <w:r w:rsidR="006B07CA" w:rsidRPr="00511005">
        <w:rPr>
          <w:rFonts w:ascii="Arial" w:eastAsia="Times New Roman" w:hAnsi="Arial" w:cs="Arial"/>
          <w:noProof/>
          <w:kern w:val="2"/>
          <w:szCs w:val="28"/>
          <w:lang w:val="en-US" w:eastAsia="ru-RU"/>
        </w:rPr>
        <w:t>constitutional state,</w:t>
      </w:r>
      <w:r w:rsidR="006B07CA" w:rsidRPr="00511005">
        <w:rPr>
          <w:rFonts w:ascii="Arial" w:eastAsia="Times New Roman" w:hAnsi="Arial" w:cs="Arial"/>
          <w:b/>
          <w:bCs/>
          <w:noProof/>
          <w:kern w:val="2"/>
          <w:szCs w:val="28"/>
          <w:lang w:val="en-US" w:eastAsia="ru-RU"/>
        </w:rPr>
        <w:t xml:space="preserve"> </w:t>
      </w:r>
      <w:r w:rsidR="006B07CA" w:rsidRPr="00511005">
        <w:rPr>
          <w:rFonts w:ascii="Arial" w:eastAsia="Times New Roman" w:hAnsi="Arial" w:cs="Arial"/>
          <w:noProof/>
          <w:kern w:val="2"/>
          <w:szCs w:val="28"/>
          <w:lang w:val="uk-UA" w:eastAsia="ru-RU"/>
        </w:rPr>
        <w:t>constitution, rule of law, human rights, separation of powers.</w:t>
      </w:r>
    </w:p>
    <w:p w14:paraId="675D0E71" w14:textId="4AED61E5" w:rsidR="006B07CA" w:rsidRPr="00511005" w:rsidRDefault="007B2628" w:rsidP="003A292D">
      <w:pPr>
        <w:tabs>
          <w:tab w:val="left" w:pos="5475"/>
        </w:tabs>
        <w:spacing w:line="264" w:lineRule="auto"/>
        <w:ind w:firstLine="0"/>
        <w:rPr>
          <w:rFonts w:ascii="Arial" w:eastAsia="Times New Roman" w:hAnsi="Arial" w:cs="Arial"/>
          <w:i/>
          <w:iCs/>
          <w:noProof/>
          <w:szCs w:val="28"/>
          <w:lang w:val="uk-UA" w:eastAsia="ru-RU"/>
        </w:rPr>
      </w:pPr>
      <w:r w:rsidRPr="00511005">
        <w:rPr>
          <w:rFonts w:ascii="Arial" w:eastAsia="Times New Roman" w:hAnsi="Arial" w:cs="Arial"/>
          <w:b/>
          <w:i/>
          <w:iCs/>
          <w:noProof/>
          <w:szCs w:val="28"/>
          <w:lang w:val="uk-UA" w:eastAsia="ru-RU"/>
        </w:rPr>
        <w:t xml:space="preserve">Науковий керівник: </w:t>
      </w:r>
      <w:r w:rsidR="00383DE9" w:rsidRPr="00511005">
        <w:rPr>
          <w:rFonts w:ascii="Arial" w:eastAsia="Times New Roman" w:hAnsi="Arial" w:cs="Arial"/>
          <w:i/>
          <w:iCs/>
          <w:noProof/>
          <w:szCs w:val="28"/>
          <w:lang w:val="uk-UA" w:eastAsia="ru-RU"/>
        </w:rPr>
        <w:t xml:space="preserve">к.ю.н., </w:t>
      </w:r>
      <w:r w:rsidR="006B07CA" w:rsidRPr="00511005">
        <w:rPr>
          <w:rFonts w:ascii="Arial" w:eastAsia="Times New Roman" w:hAnsi="Arial" w:cs="Arial"/>
          <w:i/>
          <w:iCs/>
          <w:noProof/>
          <w:szCs w:val="28"/>
          <w:lang w:val="uk-UA" w:eastAsia="ru-RU"/>
        </w:rPr>
        <w:t>доцент Ковбасюк С.В.</w:t>
      </w:r>
    </w:p>
    <w:p w14:paraId="77FFE2EF" w14:textId="77777777" w:rsidR="006B07CA" w:rsidRPr="00511005" w:rsidRDefault="006B07CA" w:rsidP="003A292D">
      <w:pPr>
        <w:tabs>
          <w:tab w:val="left" w:pos="5475"/>
        </w:tabs>
        <w:spacing w:line="264" w:lineRule="auto"/>
        <w:ind w:firstLine="0"/>
        <w:rPr>
          <w:rFonts w:ascii="Arial" w:eastAsia="Times New Roman" w:hAnsi="Arial" w:cs="Arial"/>
          <w:iCs/>
          <w:noProof/>
          <w:szCs w:val="28"/>
          <w:lang w:val="uk-UA" w:eastAsia="ru-RU"/>
        </w:rPr>
      </w:pPr>
    </w:p>
    <w:p w14:paraId="2EB1DB85" w14:textId="77777777" w:rsidR="006B07CA" w:rsidRPr="00511005" w:rsidRDefault="006B07CA" w:rsidP="003A292D">
      <w:pPr>
        <w:tabs>
          <w:tab w:val="left" w:pos="5475"/>
        </w:tabs>
        <w:spacing w:line="264" w:lineRule="auto"/>
        <w:ind w:firstLine="0"/>
        <w:rPr>
          <w:rFonts w:ascii="Arial" w:eastAsia="Times New Roman" w:hAnsi="Arial" w:cs="Arial"/>
          <w:iCs/>
          <w:noProof/>
          <w:szCs w:val="28"/>
          <w:lang w:val="uk-UA" w:eastAsia="ru-RU"/>
        </w:rPr>
      </w:pPr>
    </w:p>
    <w:p w14:paraId="783F37FB" w14:textId="77777777" w:rsidR="006B07CA" w:rsidRPr="00511005" w:rsidRDefault="006B07CA" w:rsidP="003A292D">
      <w:pPr>
        <w:tabs>
          <w:tab w:val="left" w:pos="5475"/>
        </w:tabs>
        <w:spacing w:line="264" w:lineRule="auto"/>
        <w:ind w:firstLine="0"/>
        <w:jc w:val="center"/>
        <w:rPr>
          <w:rFonts w:ascii="Arial" w:eastAsia="Times New Roman" w:hAnsi="Arial" w:cs="Arial"/>
          <w:b/>
          <w:bCs/>
          <w:i/>
          <w:iCs/>
          <w:noProof/>
          <w:szCs w:val="28"/>
          <w:lang w:val="uk-UA" w:eastAsia="ru-RU"/>
        </w:rPr>
      </w:pPr>
      <w:r w:rsidRPr="00511005">
        <w:rPr>
          <w:rFonts w:ascii="Arial" w:eastAsia="Times New Roman" w:hAnsi="Arial" w:cs="Arial"/>
          <w:b/>
          <w:bCs/>
          <w:i/>
          <w:iCs/>
          <w:noProof/>
          <w:szCs w:val="28"/>
          <w:lang w:val="uk-UA" w:eastAsia="ru-RU"/>
        </w:rPr>
        <w:t>Кондратенко Олена Олександрівна</w:t>
      </w:r>
    </w:p>
    <w:p w14:paraId="2C53A101" w14:textId="52D09B95" w:rsidR="006B07CA" w:rsidRPr="00511005" w:rsidRDefault="007B2628" w:rsidP="003A292D">
      <w:pPr>
        <w:tabs>
          <w:tab w:val="left" w:pos="5475"/>
        </w:tabs>
        <w:spacing w:line="264" w:lineRule="auto"/>
        <w:ind w:firstLine="0"/>
        <w:jc w:val="center"/>
        <w:rPr>
          <w:rFonts w:ascii="Arial" w:eastAsia="Times New Roman" w:hAnsi="Arial" w:cs="Arial"/>
          <w:i/>
          <w:iCs/>
          <w:noProof/>
          <w:szCs w:val="28"/>
          <w:lang w:val="uk-UA" w:eastAsia="ru-RU"/>
        </w:rPr>
      </w:pPr>
      <w:r w:rsidRPr="00511005">
        <w:rPr>
          <w:rFonts w:ascii="Arial" w:eastAsia="Times New Roman" w:hAnsi="Arial" w:cs="Arial"/>
          <w:i/>
          <w:iCs/>
          <w:noProof/>
          <w:szCs w:val="28"/>
          <w:lang w:val="uk-UA" w:eastAsia="ru-RU"/>
        </w:rPr>
        <w:t>студентка 1-го курсу факультету цивільної та господарської юстиції</w:t>
      </w:r>
      <w:r w:rsidR="006B07CA" w:rsidRPr="00511005">
        <w:rPr>
          <w:rFonts w:ascii="Arial" w:eastAsia="Times New Roman" w:hAnsi="Arial" w:cs="Arial"/>
          <w:i/>
          <w:iCs/>
          <w:noProof/>
          <w:szCs w:val="28"/>
          <w:lang w:val="uk-UA" w:eastAsia="ru-RU"/>
        </w:rPr>
        <w:t xml:space="preserve"> </w:t>
      </w:r>
      <w:r w:rsidRPr="00511005">
        <w:rPr>
          <w:rFonts w:ascii="Arial" w:eastAsia="Times New Roman" w:hAnsi="Arial" w:cs="Arial"/>
          <w:i/>
          <w:iCs/>
          <w:noProof/>
          <w:szCs w:val="28"/>
          <w:lang w:val="uk-UA" w:eastAsia="ru-RU"/>
        </w:rPr>
        <w:t>Національного університету «Одеська юридична академія»</w:t>
      </w:r>
    </w:p>
    <w:p w14:paraId="1F5470EB" w14:textId="77777777" w:rsidR="006B07CA" w:rsidRPr="00511005" w:rsidRDefault="006B07CA" w:rsidP="003A292D">
      <w:pPr>
        <w:tabs>
          <w:tab w:val="left" w:pos="5475"/>
        </w:tabs>
        <w:spacing w:line="264" w:lineRule="auto"/>
        <w:ind w:firstLine="0"/>
        <w:jc w:val="center"/>
        <w:rPr>
          <w:rFonts w:ascii="Arial" w:eastAsia="Times New Roman" w:hAnsi="Arial" w:cs="Arial"/>
          <w:i/>
          <w:iCs/>
          <w:noProof/>
          <w:szCs w:val="28"/>
          <w:lang w:val="uk-UA" w:eastAsia="ru-RU"/>
        </w:rPr>
      </w:pPr>
    </w:p>
    <w:p w14:paraId="057C9AC7" w14:textId="77777777" w:rsidR="006B07CA" w:rsidRPr="00511005" w:rsidRDefault="006B07CA" w:rsidP="003A292D">
      <w:pPr>
        <w:tabs>
          <w:tab w:val="left" w:pos="5475"/>
        </w:tabs>
        <w:spacing w:line="264" w:lineRule="auto"/>
        <w:ind w:firstLine="0"/>
        <w:jc w:val="center"/>
        <w:rPr>
          <w:rFonts w:ascii="Arial" w:eastAsia="Times New Roman" w:hAnsi="Arial" w:cs="Arial"/>
          <w:b/>
          <w:bCs/>
          <w:iCs/>
          <w:noProof/>
          <w:szCs w:val="28"/>
          <w:lang w:val="uk-UA" w:eastAsia="ru-RU"/>
        </w:rPr>
      </w:pPr>
      <w:r w:rsidRPr="00511005">
        <w:rPr>
          <w:rFonts w:ascii="Arial" w:eastAsia="Times New Roman" w:hAnsi="Arial" w:cs="Arial"/>
          <w:b/>
          <w:bCs/>
          <w:iCs/>
          <w:noProof/>
          <w:szCs w:val="28"/>
          <w:lang w:val="uk-UA" w:eastAsia="ru-RU"/>
        </w:rPr>
        <w:t xml:space="preserve">ПРАВО ЯК НОСІЙ ЦІННОСТЕЙ: ПРОБЛЕМА ВІДПОВІДНОСТІ ПРАВОВИХ НОРМ СУСПІЛЬНИМ ІДЕАЛАМ </w:t>
      </w:r>
    </w:p>
    <w:p w14:paraId="184A68A3"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У сучасному світі право не тільки виконує регуляторну функцію, але й слугує засобом втілення суспільних цінностей. Однак часто виникає </w:t>
      </w:r>
      <w:r w:rsidRPr="00511005">
        <w:rPr>
          <w:rFonts w:ascii="Arial" w:eastAsia="Times New Roman" w:hAnsi="Arial" w:cs="Arial"/>
          <w:iCs/>
          <w:noProof/>
          <w:szCs w:val="28"/>
          <w:lang w:val="uk-UA" w:eastAsia="ru-RU"/>
        </w:rPr>
        <w:lastRenderedPageBreak/>
        <w:t xml:space="preserve">проблема, коли правові норми не відповідають справжнім очікуванням громадян, що породжує правовий нігілізм, недовіру до судової та правоохоронної системи, а іноді – навіть соціальні протести. Це явище можна спостерігати як на глобальному рівні, так і в Україні, де багато законодавчих ініціатив викликають публічний резонанс та дискусії щодо їхньої справедливості. </w:t>
      </w:r>
    </w:p>
    <w:p w14:paraId="799CEC5C" w14:textId="47B3BAF2"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Важливість цінностей в праві зумовлена тим, що право не можна редукувати до системи норм виражених в законодавстві. Це важливо, оскільки такі цінності, як справедливість, рівність та свобода, впливають на функціонування правової системи та взаємодію держави і громадян. Аналіз цього питання необхідний для того, щоб зрозуміти, як закони можуть відповідати чи</w:t>
      </w:r>
      <w:r w:rsidR="007B2628"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uk-UA" w:eastAsia="ru-RU"/>
        </w:rPr>
        <w:t xml:space="preserve">не відповідати очікуванням суспільства, і як це впливає на довіру до правових інститутів. </w:t>
      </w:r>
    </w:p>
    <w:p w14:paraId="142479A3"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Метою даної роботи є дослідження відповідності правових норм суспільним ідеалам та визначення шляхів гармонізації закону з потребами громадян. Для досягнення мети необхідно проаналізувати цінності, зазначені в нормативних актах, вивчити вплив їх невідповідності на соціальну стабільність, дослідити приклади розбіжностей у контексті України та запропонувати засоби для покращення правової системи.</w:t>
      </w:r>
    </w:p>
    <w:p w14:paraId="565B3190" w14:textId="061DAF0D"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Щоб висвітлити дану тему, потрібно зрозуміти те, що цінності в праві становлять фундамент правової системи, адже саме вони визначають як право повинно взаємодіяти з потребами суспільства та його ідеалами. Правові норми не виникають у вакуумі, вони є результатом складної взаємодії багатьох факторів, зокрема моральних переконань, культурних традицій, соціальної орієнтації та історичних умов, які формуються в кожному конкретному суспільстві на різних етапах розвитку. Право відображає не лише юридичні вимоги, але й те, що суспільство вважає важливим, справедливим та необхідним для забезпечення порядку та стабільності в державі. Ось чому правові норми повинні відповідати тим цінностям, що панують в суспільстві, оскільки вони визначають межі допустимої поведінки, захищають права</w:t>
      </w:r>
      <w:r w:rsidR="007B2628"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uk-UA" w:eastAsia="ru-RU"/>
        </w:rPr>
        <w:t xml:space="preserve">індивідів та сприяють гармонії між різними соціальними групами. </w:t>
      </w:r>
    </w:p>
    <w:p w14:paraId="038948DE" w14:textId="654422EC" w:rsidR="006B07CA" w:rsidRPr="00511005" w:rsidRDefault="006B07CA" w:rsidP="00383DE9">
      <w:pPr>
        <w:tabs>
          <w:tab w:val="left" w:pos="5475"/>
        </w:tabs>
        <w:spacing w:line="264" w:lineRule="auto"/>
        <w:rPr>
          <w:rFonts w:ascii="Arial" w:eastAsia="Times New Roman" w:hAnsi="Arial" w:cs="Arial"/>
          <w:iCs/>
          <w:noProof/>
          <w:szCs w:val="28"/>
          <w:lang w:eastAsia="ru-RU"/>
        </w:rPr>
      </w:pPr>
      <w:r w:rsidRPr="00511005">
        <w:rPr>
          <w:rFonts w:ascii="Arial" w:eastAsia="Times New Roman" w:hAnsi="Arial" w:cs="Arial"/>
          <w:iCs/>
          <w:noProof/>
          <w:szCs w:val="28"/>
          <w:lang w:val="uk-UA" w:eastAsia="ru-RU"/>
        </w:rPr>
        <w:t>Цінності формуються під впливом багатьох факторів, включаючи</w:t>
      </w:r>
      <w:r w:rsidR="007B2628"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uk-UA" w:eastAsia="ru-RU"/>
        </w:rPr>
        <w:t xml:space="preserve">внутрішні соціально-політичні процеси, так і зовнішні, міжнародні впливи. Зокрема, історичні події, культурні та релігійні традиції, соціально-економічні зміни, а також розвиток загальнолюдських принципів, таких як права людини, гідність, свобода та рівність, здатні кардинально змінити уявлення про правові норми та їх зміст. Наприклад, в умовах демократії та глобалізації ці цінності часто знаходять своє закріплення в міжнародних правових актах, що є своєрідною гарантією їх дотримання на міжнародному рівні. Одним з найважливіших документів, що закріплює основоположні права людини, є Загальна декларація з прав людини, прийнята Генеральною асамблеєю </w:t>
      </w:r>
      <w:r w:rsidRPr="00511005">
        <w:rPr>
          <w:rFonts w:ascii="Arial" w:eastAsia="Times New Roman" w:hAnsi="Arial" w:cs="Arial"/>
          <w:iCs/>
          <w:noProof/>
          <w:szCs w:val="28"/>
          <w:lang w:val="uk-UA" w:eastAsia="ru-RU"/>
        </w:rPr>
        <w:lastRenderedPageBreak/>
        <w:t xml:space="preserve">ООН у 1948 році, яка стала основою для багатьох національних та міжнародних законів. Крім того, Європейська конвенція про права людини, затверджена радою Європи, також є важливим нормативним актом , який впливає на розвиток юридичної галузі багатьох країн. </w:t>
      </w:r>
    </w:p>
    <w:p w14:paraId="44BD212C"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Ці документи та принципи визначають не лише основні права кожної людини, але й створюють правову основу для розвитку сучасних демократичних суспільств. Формування таких цінностей через юридичну систему дозволяє суспільствам уникати авторитаризму, забезпечити стабільність правопорядку, забезпечувати прогрес в праві. З розвитком глобальних процесів та міжнародних відносин правові норми також повинні бути адаптовані до сучасних викликів, таких як боротьба з тероризмом, зміна клімату, глобальні економічні нерівності, що висуває нові вимоги до правової системи і потребує постійного оновлення ціннісних орієнтирів у праві. </w:t>
      </w:r>
    </w:p>
    <w:p w14:paraId="26AE7B7D"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Коли правові норми не відповідають громадським ідеалам, виникають серйозні проблеми, які впливають не лише на правову систему, а й на суспільство в цілому. Закони повинні відображати людські цінності, ідеали та потреби, однак нерідко вони відстають від реального життя, що породжує напруження та недовіру. У таких випадках суспільство починає сумніватися в справедливості та ефективності правової системи, що може спричинити правовий нігілізм. Люди перестають сприймати закон як авторитет, уникають його виконання або навіть протестують проти нього, це особливо помітно в кризових ситуаціях. </w:t>
      </w:r>
    </w:p>
    <w:p w14:paraId="0EC43079"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В Україні проблема невідповідності правових норм суспільним ідеалам особливо гостра в деяких ключових сферах. Однією з найболючіших проблем є довіра до судової системи, яка часто сприймається як корумпована і неспроможна забезпечити справедливість. Це помітно у багатьох резонансних справах, де рішення судів викликають обурення громадськості, наприклад, через виправдання державних службовців, підозрюваних у корупції. Іншим прикладом є зміни в податковому законодавстві, які впливають на малий і середній бізнес, що нерідко скаржиться на непрозорість та складність нововведень. Така ситуація породжує не лише недовіру до закону, а й викликає гострі дискусії та серйозне невдоволення громадян. </w:t>
      </w:r>
    </w:p>
    <w:p w14:paraId="17843F11"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Ця проблема не обмежується лише Україною. Аналогічно, у США нещодавнє рішення Верховного Суду змінило законодавче регулювання права на аборт, викликало масові демонстрації та загострення соціального діалогу. Коли закони суперечать цінностям суспільства, це завжди спричиняє дисбаланс і провокує протест. </w:t>
      </w:r>
    </w:p>
    <w:p w14:paraId="47742FFD"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Невідповідність між правовими нормами та суспільними ідеалами завжди є дзвінком для реформ. Правова система повинна бути гнучкою, враховувати зміни в суспільстві та прагнути відновлювати довіру громадян. </w:t>
      </w:r>
      <w:r w:rsidRPr="00511005">
        <w:rPr>
          <w:rFonts w:ascii="Arial" w:eastAsia="Times New Roman" w:hAnsi="Arial" w:cs="Arial"/>
          <w:iCs/>
          <w:noProof/>
          <w:szCs w:val="28"/>
          <w:lang w:val="uk-UA" w:eastAsia="ru-RU"/>
        </w:rPr>
        <w:lastRenderedPageBreak/>
        <w:t xml:space="preserve">Без цього закони стають порожньою формальністю, а правова держава ризикує втратити свій фундамент. </w:t>
      </w:r>
    </w:p>
    <w:p w14:paraId="4F61DB52"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Гармонізація правових норм із суспільними цінностями є складним, але надзвичайно важливим завданням для будь-якої правової системи. Перш за все, це потребує чіткого розуміння пріоритетних цінностей для конкретного суспільства, оскільки вони можуть змінюватися під впливом історичних, соціальних та економічних обставин. Наприклад, в Україні важливість справедливості, рівності та свободи особливо позначається на постійних викликах у сфері прав людини, боротьби з корупцією та демократичними реформами. </w:t>
      </w:r>
    </w:p>
    <w:p w14:paraId="7827AD88"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Головними механізмами вдосконалення правової системи є: по-перше, регулярний перегляд і оновлення законодавства з урахуванням очікуванням громадськості. Це може включати проведення консультацій із громадськістю, експертами та представниками різних соціальних груп. По-друге, забезпечення ефективної роботи правозастосовних органів, оскільки навіть найкращий закон не матиме впливу, якщо його виконання буде вибірковим чи упередженим. По-третє, розвиток освіти та правової культури створює свідоме ставлення громадянина до закону та їх волю до захисту своїх прав у юридичній галузі. </w:t>
      </w:r>
    </w:p>
    <w:p w14:paraId="253924F5"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Міжнародні стандарти відіграють ключову роль у гармонізації національного права із загальнолюдськими цінностями. Наприклад, Україна ратифікувала Європейську конвенцію з прав людини, взявши тим самим зобов’язання дотримуватися принципів рівності, справедливості та свободи. Реалізація цих стандартів часто вимагає змін у національному законодавстві, як це було, наприклад, із реформою судової системи, спрямованої на її прозорість та незалежність. </w:t>
      </w:r>
    </w:p>
    <w:p w14:paraId="1C4B89DF"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Також є важливим способом покращення адаптації найкращих практик інших країн, які успішно вирішили подібні проблеми. Водночас потрібно враховувати, що механічне перенесення норм може бути неефективним, якщо воно не врахує національних особливостей. Гармонізація закону – це завжди діалог між міжнародними стандартами, національною ідентичністю та реальними суспільними потребами. </w:t>
      </w:r>
    </w:p>
    <w:p w14:paraId="18F4F2B3"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У результаті дослідження було зв’ясовано, що право як носій цінностей є важливим інструментом для забезпечення стабільності та справедливості в суспільстві. Правові норми не можуть існувати у відриві від суспільних ідеалів та цінностей, оскільки саме вони формують основу правової системи. Відповідність між правом та суспільними потребами є критично важливою для забезпечення довіри до правових інститутів та запобігання правовому нігілізму. </w:t>
      </w:r>
    </w:p>
    <w:p w14:paraId="080F89D5"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Виявлено, що недотримання цієї відповідності призводить до виникнення соціальних протестів та кризи в правовій системі, що підтверджується актуальними прикладами з України. Розрив між законом і </w:t>
      </w:r>
      <w:r w:rsidRPr="00511005">
        <w:rPr>
          <w:rFonts w:ascii="Arial" w:eastAsia="Times New Roman" w:hAnsi="Arial" w:cs="Arial"/>
          <w:iCs/>
          <w:noProof/>
          <w:szCs w:val="28"/>
          <w:lang w:val="uk-UA" w:eastAsia="ru-RU"/>
        </w:rPr>
        <w:lastRenderedPageBreak/>
        <w:t xml:space="preserve">реальними потребами громадян задає питання про ефективність правової системи, що потребує системного вдосконалення. </w:t>
      </w:r>
    </w:p>
    <w:p w14:paraId="57276AD2"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 xml:space="preserve">Гармонізація правових норм з суспільними цінностями можлива через впровадження механізмів активного громадського контролю за процесом створення законодавства, а також за постійною адаптацією національного права з міжнародними стандартами, орієнтованими на справедливість та рівність. </w:t>
      </w:r>
    </w:p>
    <w:p w14:paraId="1E39EE35" w14:textId="77777777" w:rsidR="006B07CA" w:rsidRPr="00511005" w:rsidRDefault="006B07CA" w:rsidP="00383DE9">
      <w:pPr>
        <w:tabs>
          <w:tab w:val="left" w:pos="5475"/>
        </w:tabs>
        <w:spacing w:line="264" w:lineRule="auto"/>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Отже, важливими шляхами вдосконалення правової системи є забезпечення більшої прозорості та участі громадян у правотворчому процесі, а також адаптація національного законодавства до універсальних правових стандартів, що допоможе досягти гармонії між правом та суспільними цінностями.</w:t>
      </w:r>
    </w:p>
    <w:p w14:paraId="2F741AA8" w14:textId="77777777" w:rsidR="006B07CA" w:rsidRPr="00511005" w:rsidRDefault="006B07CA" w:rsidP="003A292D">
      <w:pPr>
        <w:tabs>
          <w:tab w:val="left" w:pos="5475"/>
        </w:tabs>
        <w:spacing w:line="264" w:lineRule="auto"/>
        <w:ind w:firstLine="0"/>
        <w:rPr>
          <w:rFonts w:ascii="Arial" w:eastAsia="Times New Roman" w:hAnsi="Arial" w:cs="Arial"/>
          <w:b/>
          <w:bCs/>
          <w:iCs/>
          <w:noProof/>
          <w:szCs w:val="28"/>
          <w:lang w:val="uk-UA" w:eastAsia="ru-RU"/>
        </w:rPr>
      </w:pPr>
    </w:p>
    <w:p w14:paraId="142F69BD" w14:textId="382D11CA" w:rsidR="006B07CA" w:rsidRPr="00511005" w:rsidRDefault="007B2628" w:rsidP="007B2628">
      <w:pPr>
        <w:tabs>
          <w:tab w:val="left" w:pos="5475"/>
        </w:tabs>
        <w:spacing w:line="264" w:lineRule="auto"/>
        <w:ind w:firstLine="0"/>
        <w:jc w:val="center"/>
        <w:rPr>
          <w:rFonts w:ascii="Arial" w:eastAsia="Times New Roman" w:hAnsi="Arial" w:cs="Arial"/>
          <w:b/>
          <w:bCs/>
          <w:iCs/>
          <w:noProof/>
          <w:szCs w:val="28"/>
          <w:lang w:val="uk-UA" w:eastAsia="ru-RU"/>
        </w:rPr>
      </w:pPr>
      <w:r w:rsidRPr="00511005">
        <w:rPr>
          <w:rFonts w:ascii="Arial" w:eastAsia="Times New Roman" w:hAnsi="Arial" w:cs="Arial"/>
          <w:b/>
          <w:bCs/>
          <w:iCs/>
          <w:noProof/>
          <w:szCs w:val="28"/>
          <w:lang w:val="uk-UA" w:eastAsia="ru-RU"/>
        </w:rPr>
        <w:t>Список використаних джерел</w:t>
      </w:r>
    </w:p>
    <w:p w14:paraId="79F82ECE" w14:textId="77777777" w:rsidR="006B07CA" w:rsidRPr="00511005" w:rsidRDefault="006B07CA" w:rsidP="003A292D">
      <w:pPr>
        <w:tabs>
          <w:tab w:val="left" w:pos="5475"/>
        </w:tabs>
        <w:spacing w:line="264" w:lineRule="auto"/>
        <w:ind w:firstLine="0"/>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1. Філософія права: проблеми та підходи: навч. пос. / П. М. Рабінович, С. П. Добрянський, Д.А. Гудима та ін. ; за заг. ред. П. М. Рабіновича. Львів: Льв. нац. ун-т ім. І. Франка, 2005. 332 с.</w:t>
      </w:r>
    </w:p>
    <w:p w14:paraId="4128890D" w14:textId="77777777" w:rsidR="006B07CA" w:rsidRPr="00511005" w:rsidRDefault="006B07CA" w:rsidP="003A292D">
      <w:pPr>
        <w:tabs>
          <w:tab w:val="left" w:pos="5475"/>
        </w:tabs>
        <w:spacing w:line="264" w:lineRule="auto"/>
        <w:ind w:firstLine="0"/>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2. Філософія права: навчальний посібник / під ред. М. В. Костицького, Б. Ф. Чміля. К .:Юрінком Інтер, 2000. 334 с</w:t>
      </w:r>
    </w:p>
    <w:p w14:paraId="4B1E8712" w14:textId="77777777" w:rsidR="006B07CA" w:rsidRPr="00511005" w:rsidRDefault="006B07CA" w:rsidP="003A292D">
      <w:pPr>
        <w:tabs>
          <w:tab w:val="left" w:pos="5475"/>
        </w:tabs>
        <w:spacing w:line="264" w:lineRule="auto"/>
        <w:ind w:firstLine="0"/>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3. Бандура О. О. Єдність цінностей та істини у праві. К .: НАВСУ, 2000. 200 с.</w:t>
      </w:r>
    </w:p>
    <w:p w14:paraId="6D30A516" w14:textId="77777777" w:rsidR="006B07CA" w:rsidRPr="00511005" w:rsidRDefault="006B07CA" w:rsidP="003A292D">
      <w:pPr>
        <w:tabs>
          <w:tab w:val="left" w:pos="5475"/>
        </w:tabs>
        <w:spacing w:line="264" w:lineRule="auto"/>
        <w:ind w:firstLine="0"/>
        <w:rPr>
          <w:rFonts w:ascii="Arial" w:eastAsia="Times New Roman" w:hAnsi="Arial" w:cs="Arial"/>
          <w:b/>
          <w:bCs/>
          <w:iCs/>
          <w:noProof/>
          <w:szCs w:val="28"/>
          <w:lang w:val="uk-UA" w:eastAsia="ru-RU"/>
        </w:rPr>
      </w:pPr>
    </w:p>
    <w:p w14:paraId="7E3A3E3D" w14:textId="6EFCC5C5" w:rsidR="006B07CA" w:rsidRPr="00511005" w:rsidRDefault="007B2628" w:rsidP="003A292D">
      <w:pPr>
        <w:tabs>
          <w:tab w:val="left" w:pos="5475"/>
        </w:tabs>
        <w:spacing w:line="264" w:lineRule="auto"/>
        <w:ind w:firstLine="0"/>
        <w:rPr>
          <w:rFonts w:ascii="Arial" w:eastAsia="Times New Roman" w:hAnsi="Arial" w:cs="Arial"/>
          <w:iCs/>
          <w:noProof/>
          <w:szCs w:val="28"/>
          <w:lang w:val="uk-UA" w:eastAsia="ru-RU"/>
        </w:rPr>
      </w:pPr>
      <w:r w:rsidRPr="00511005">
        <w:rPr>
          <w:rFonts w:ascii="Arial" w:eastAsia="Times New Roman" w:hAnsi="Arial" w:cs="Arial"/>
          <w:b/>
          <w:bCs/>
          <w:i/>
          <w:iCs/>
          <w:noProof/>
          <w:szCs w:val="28"/>
          <w:lang w:val="uk-UA" w:eastAsia="ru-RU"/>
        </w:rPr>
        <w:t xml:space="preserve">Ключові слова: </w:t>
      </w:r>
      <w:r w:rsidR="006B07CA" w:rsidRPr="00511005">
        <w:rPr>
          <w:rFonts w:ascii="Arial" w:eastAsia="Times New Roman" w:hAnsi="Arial" w:cs="Arial"/>
          <w:iCs/>
          <w:noProof/>
          <w:szCs w:val="28"/>
          <w:lang w:val="uk-UA" w:eastAsia="ru-RU"/>
        </w:rPr>
        <w:t>право, цінності, принципи права, гармонізація, правова система.</w:t>
      </w:r>
    </w:p>
    <w:p w14:paraId="1B72B71A" w14:textId="2CE9CC9B" w:rsidR="006B07CA" w:rsidRPr="00511005" w:rsidRDefault="007B2628" w:rsidP="003A292D">
      <w:pPr>
        <w:tabs>
          <w:tab w:val="left" w:pos="5475"/>
        </w:tabs>
        <w:spacing w:line="264" w:lineRule="auto"/>
        <w:ind w:firstLine="0"/>
        <w:rPr>
          <w:rFonts w:ascii="Arial" w:eastAsia="Times New Roman" w:hAnsi="Arial" w:cs="Arial"/>
          <w:iCs/>
          <w:noProof/>
          <w:szCs w:val="28"/>
          <w:lang w:val="uk-UA" w:eastAsia="ru-RU"/>
        </w:rPr>
      </w:pPr>
      <w:r w:rsidRPr="00511005">
        <w:rPr>
          <w:rFonts w:ascii="Arial" w:eastAsia="Times New Roman" w:hAnsi="Arial" w:cs="Arial"/>
          <w:b/>
          <w:bCs/>
          <w:i/>
          <w:iCs/>
          <w:noProof/>
          <w:szCs w:val="28"/>
          <w:lang w:val="en-US" w:eastAsia="ru-RU"/>
        </w:rPr>
        <w:t xml:space="preserve">Key words: </w:t>
      </w:r>
      <w:r w:rsidR="006B07CA" w:rsidRPr="00511005">
        <w:rPr>
          <w:rFonts w:ascii="Arial" w:eastAsia="Times New Roman" w:hAnsi="Arial" w:cs="Arial"/>
          <w:iCs/>
          <w:noProof/>
          <w:szCs w:val="28"/>
          <w:lang w:val="en-US" w:eastAsia="ru-RU"/>
        </w:rPr>
        <w:t>law, values, principles of law, harmonization, legal system.</w:t>
      </w:r>
      <w:r w:rsidR="006B07CA" w:rsidRPr="00511005">
        <w:rPr>
          <w:rFonts w:ascii="Arial" w:eastAsia="Times New Roman" w:hAnsi="Arial" w:cs="Arial"/>
          <w:iCs/>
          <w:noProof/>
          <w:szCs w:val="28"/>
          <w:lang w:val="uk-UA" w:eastAsia="ru-RU"/>
        </w:rPr>
        <w:t xml:space="preserve"> </w:t>
      </w:r>
    </w:p>
    <w:p w14:paraId="1AE72D8D" w14:textId="6AE8669B" w:rsidR="006B07CA" w:rsidRPr="00511005" w:rsidRDefault="00F5639C" w:rsidP="003A292D">
      <w:pPr>
        <w:tabs>
          <w:tab w:val="left" w:pos="5475"/>
        </w:tabs>
        <w:spacing w:line="264" w:lineRule="auto"/>
        <w:ind w:firstLine="0"/>
        <w:rPr>
          <w:rFonts w:ascii="Arial" w:eastAsia="Times New Roman" w:hAnsi="Arial" w:cs="Arial"/>
          <w:i/>
          <w:iCs/>
          <w:noProof/>
          <w:szCs w:val="28"/>
          <w:lang w:val="uk-UA" w:eastAsia="ru-RU"/>
        </w:rPr>
      </w:pPr>
      <w:r w:rsidRPr="00511005">
        <w:rPr>
          <w:rFonts w:ascii="Arial" w:eastAsia="Times New Roman" w:hAnsi="Arial" w:cs="Arial"/>
          <w:b/>
          <w:i/>
          <w:iCs/>
          <w:noProof/>
          <w:szCs w:val="28"/>
          <w:lang w:val="uk-UA" w:eastAsia="ru-RU"/>
        </w:rPr>
        <w:t xml:space="preserve">Науковий керівник: </w:t>
      </w:r>
      <w:r w:rsidR="006B07CA" w:rsidRPr="00511005">
        <w:rPr>
          <w:rFonts w:ascii="Arial" w:eastAsia="Times New Roman" w:hAnsi="Arial" w:cs="Arial"/>
          <w:i/>
          <w:iCs/>
          <w:noProof/>
          <w:szCs w:val="28"/>
          <w:lang w:val="uk-UA" w:eastAsia="ru-RU"/>
        </w:rPr>
        <w:t>к.ю.н., доцент Ковбасюк С. В.</w:t>
      </w:r>
    </w:p>
    <w:p w14:paraId="31CB2A2E" w14:textId="77777777" w:rsidR="006B07CA" w:rsidRPr="00511005" w:rsidRDefault="006B07CA" w:rsidP="003A292D">
      <w:pPr>
        <w:tabs>
          <w:tab w:val="left" w:pos="5475"/>
        </w:tabs>
        <w:spacing w:line="264" w:lineRule="auto"/>
        <w:ind w:firstLine="0"/>
        <w:rPr>
          <w:rFonts w:ascii="Arial" w:eastAsia="Times New Roman" w:hAnsi="Arial" w:cs="Arial"/>
          <w:i/>
          <w:iCs/>
          <w:noProof/>
          <w:szCs w:val="28"/>
          <w:lang w:val="uk-UA" w:eastAsia="ru-RU"/>
        </w:rPr>
      </w:pPr>
    </w:p>
    <w:p w14:paraId="5A1DE3C7" w14:textId="77777777" w:rsidR="006B07CA" w:rsidRPr="00511005" w:rsidRDefault="006B07CA" w:rsidP="003A292D">
      <w:pPr>
        <w:tabs>
          <w:tab w:val="left" w:pos="5475"/>
        </w:tabs>
        <w:spacing w:line="264" w:lineRule="auto"/>
        <w:ind w:firstLine="0"/>
        <w:rPr>
          <w:rFonts w:ascii="Arial" w:eastAsia="Times New Roman" w:hAnsi="Arial" w:cs="Arial"/>
          <w:iCs/>
          <w:noProof/>
          <w:szCs w:val="28"/>
          <w:lang w:val="uk-UA" w:eastAsia="ru-RU"/>
        </w:rPr>
      </w:pPr>
    </w:p>
    <w:p w14:paraId="47B8248E" w14:textId="77777777" w:rsidR="006B07CA" w:rsidRPr="00511005" w:rsidRDefault="006B07CA" w:rsidP="003A292D">
      <w:pPr>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Кравчук Катерина Григорівна</w:t>
      </w:r>
    </w:p>
    <w:p w14:paraId="7E5F3E90" w14:textId="697C4489" w:rsidR="006B07CA" w:rsidRPr="00511005" w:rsidRDefault="00F5639C"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val="uk-UA" w:eastAsia="ru-RU"/>
        </w:rPr>
        <w:t>с</w:t>
      </w:r>
      <w:r w:rsidR="006B07CA" w:rsidRPr="00511005">
        <w:rPr>
          <w:rFonts w:ascii="Arial" w:eastAsia="Times New Roman" w:hAnsi="Arial" w:cs="Arial"/>
          <w:szCs w:val="28"/>
          <w:lang w:eastAsia="ru-RU"/>
        </w:rPr>
        <w:t xml:space="preserve">тудентка 1-го курсу </w:t>
      </w:r>
      <w:r w:rsidRPr="00511005">
        <w:rPr>
          <w:rFonts w:ascii="Arial" w:eastAsia="Times New Roman" w:hAnsi="Arial" w:cs="Arial"/>
          <w:szCs w:val="28"/>
          <w:lang w:eastAsia="ru-RU"/>
        </w:rPr>
        <w:br/>
      </w:r>
      <w:r w:rsidR="006B07CA" w:rsidRPr="00511005">
        <w:rPr>
          <w:rFonts w:ascii="Arial" w:eastAsia="Times New Roman" w:hAnsi="Arial" w:cs="Arial"/>
          <w:szCs w:val="28"/>
          <w:lang w:eastAsia="ru-RU"/>
        </w:rPr>
        <w:t>факультету прокуратури та слідства</w:t>
      </w:r>
      <w:r w:rsidRPr="00511005">
        <w:rPr>
          <w:rFonts w:ascii="Arial" w:eastAsia="Times New Roman" w:hAnsi="Arial" w:cs="Arial"/>
          <w:szCs w:val="28"/>
          <w:lang w:eastAsia="ru-RU"/>
        </w:rPr>
        <w:t xml:space="preserve"> (кримінальна юстиція)</w:t>
      </w:r>
    </w:p>
    <w:p w14:paraId="26F0187E" w14:textId="5D10E591" w:rsidR="006B07CA"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3E86F1D" w14:textId="77777777" w:rsidR="006B07CA" w:rsidRPr="00511005" w:rsidRDefault="006B07CA" w:rsidP="003A292D">
      <w:pPr>
        <w:spacing w:line="264" w:lineRule="auto"/>
        <w:ind w:firstLine="0"/>
        <w:jc w:val="center"/>
        <w:rPr>
          <w:rFonts w:ascii="Arial" w:eastAsia="Times New Roman" w:hAnsi="Arial" w:cs="Arial"/>
          <w:szCs w:val="28"/>
          <w:lang w:eastAsia="ru-RU"/>
        </w:rPr>
      </w:pPr>
    </w:p>
    <w:p w14:paraId="66FBA777" w14:textId="77777777" w:rsidR="006B07CA" w:rsidRPr="00511005" w:rsidRDefault="006B07CA" w:rsidP="003A292D">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ПРАВОВІ ВІДНОСИНИ У РІЗНИХ ГАЛУЗЕЙ ПРАВА</w:t>
      </w:r>
    </w:p>
    <w:p w14:paraId="5F546AB4" w14:textId="77777777" w:rsidR="006B07CA" w:rsidRPr="00511005" w:rsidRDefault="006B07CA" w:rsidP="00F5639C">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Дослідження правових відносин є надзвичайно важливим для розуміння механізмів реалізації права в суспільстві, адже саме через них норми права набувають практичного змісту та стають чинниками регулювання суспільних відносин [1, с. 12]. Правові відносини відображають динаміку правового регулювання та забезпечують узгодження інтересів суб’єктів права на основі норм права, що визначають їх права та обов’язки [1, с. 45]. У сучасних умовах трансформації правової системи України особливого значення набуває аналіз співвідношення юридичних фактів і </w:t>
      </w:r>
      <w:r w:rsidRPr="00511005">
        <w:rPr>
          <w:rFonts w:ascii="Arial" w:eastAsia="Times New Roman" w:hAnsi="Arial" w:cs="Arial"/>
          <w:szCs w:val="28"/>
          <w:lang w:eastAsia="uk-UA"/>
        </w:rPr>
        <w:lastRenderedPageBreak/>
        <w:t>суб’єктного складу правовідносин, що дає змогу точніше окреслити межі юридичної відповідальності та правозастосування [1, с. 88].</w:t>
      </w:r>
    </w:p>
    <w:p w14:paraId="448E5980" w14:textId="77777777" w:rsidR="006B07CA" w:rsidRPr="00511005" w:rsidRDefault="006B07CA" w:rsidP="00F5639C">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Сучасне правознавство приділяє особливу увагу структурі правовідносин, </w:t>
      </w:r>
      <w:proofErr w:type="gramStart"/>
      <w:r w:rsidRPr="00511005">
        <w:rPr>
          <w:rFonts w:ascii="Arial" w:eastAsia="Times New Roman" w:hAnsi="Arial" w:cs="Arial"/>
          <w:szCs w:val="28"/>
          <w:lang w:eastAsia="uk-UA"/>
        </w:rPr>
        <w:t>до складу</w:t>
      </w:r>
      <w:proofErr w:type="gramEnd"/>
      <w:r w:rsidRPr="00511005">
        <w:rPr>
          <w:rFonts w:ascii="Arial" w:eastAsia="Times New Roman" w:hAnsi="Arial" w:cs="Arial"/>
          <w:szCs w:val="28"/>
          <w:lang w:eastAsia="uk-UA"/>
        </w:rPr>
        <w:t xml:space="preserve"> яких входять суб’єкти, об’єкти, суб’єктивні права, юридичні обов’язки та юридичні факти [2, с. 59].</w:t>
      </w:r>
    </w:p>
    <w:p w14:paraId="240C62BC" w14:textId="77777777" w:rsidR="006B07CA" w:rsidRPr="00511005" w:rsidRDefault="006B07CA" w:rsidP="00F5639C">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Наприклад, у цивільно-правовій сфері типові правовідносини виникають під час укладення договорів — купівлі-продажу, оренди, дарування — які врегульовані нормами Цивільного кодексу України. Відповідно до ч. 1 ст. 655 ЦК України, договір купівлі-продажу встановлює обов’язок продавця передати майно у власність покупцеві, а покупця — прийняти майно і сплатити за нього певну грошову суму [2, с. 77].</w:t>
      </w:r>
    </w:p>
    <w:p w14:paraId="0A349AF8" w14:textId="77777777" w:rsidR="006B07CA" w:rsidRPr="00511005" w:rsidRDefault="006B07CA" w:rsidP="00F5639C">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У трудовому праві характерним прикладом є укладення трудового договору між працівником і роботодавцем (ст. 21 Кодексу законів про працю України). Тут суб’єктами є працівник і роботодавець, а об’єктом — трудова функція працівника [2, с. 91].</w:t>
      </w:r>
    </w:p>
    <w:p w14:paraId="1F29D950" w14:textId="77777777" w:rsidR="006B07CA" w:rsidRPr="00511005" w:rsidRDefault="006B07CA" w:rsidP="00F5639C">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На практиці значне поширення мають деліктні правовідносини, які виникають у разі заподіяння шкоди іншій особі. Наприклад, за ст. 1166 ЦК України особа, яка завдала майнової шкоди, зобов’язана її відшкодувати у повному обсязі [2, с. 80].</w:t>
      </w:r>
    </w:p>
    <w:p w14:paraId="238294E7" w14:textId="77777777" w:rsidR="006B07CA" w:rsidRPr="00511005" w:rsidRDefault="006B07CA" w:rsidP="00F5639C">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Таким чином, правові відносини є універсальним інструментом реалізації норм права в усіх сферах правового регулювання, забезпечуючи збалансування прав та обов’язків суб’єктів.</w:t>
      </w:r>
    </w:p>
    <w:p w14:paraId="6397164A" w14:textId="77777777" w:rsidR="006B07CA" w:rsidRPr="00511005" w:rsidRDefault="006B07CA" w:rsidP="00F5639C">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У конституційно-правових відносинах прикладом є реалізація права громадян на участь у виборах. Так, відповідно до ст. 38 Конституції України, громадяни мають право брати участь в управлінні державними справами, що опосередковується виборчими правовідносинами між виборцями, виборчими комісіями та кандидатами [3, с. 34].</w:t>
      </w:r>
    </w:p>
    <w:p w14:paraId="363F13D0" w14:textId="77777777" w:rsidR="006B07CA" w:rsidRPr="00511005" w:rsidRDefault="006B07CA" w:rsidP="00F5639C">
      <w:pPr>
        <w:spacing w:line="264" w:lineRule="auto"/>
        <w:rPr>
          <w:rFonts w:ascii="Arial" w:eastAsia="Times New Roman" w:hAnsi="Arial" w:cs="Arial"/>
          <w:szCs w:val="28"/>
          <w:lang w:eastAsia="uk-UA"/>
        </w:rPr>
      </w:pPr>
      <w:r w:rsidRPr="00511005">
        <w:rPr>
          <w:rFonts w:ascii="Arial" w:eastAsia="Times New Roman" w:hAnsi="Arial" w:cs="Arial"/>
          <w:szCs w:val="28"/>
          <w:lang w:eastAsia="ru-RU"/>
        </w:rPr>
        <w:t xml:space="preserve">У </w:t>
      </w:r>
      <w:r w:rsidRPr="00511005">
        <w:rPr>
          <w:rFonts w:ascii="Arial" w:eastAsia="Times New Roman" w:hAnsi="Arial" w:cs="Arial"/>
          <w:b/>
          <w:bCs/>
          <w:szCs w:val="28"/>
          <w:lang w:eastAsia="ru-RU"/>
        </w:rPr>
        <w:t>конституційно-правовій сфері</w:t>
      </w:r>
      <w:r w:rsidRPr="00511005">
        <w:rPr>
          <w:rFonts w:ascii="Arial" w:eastAsia="Times New Roman" w:hAnsi="Arial" w:cs="Arial"/>
          <w:szCs w:val="28"/>
          <w:lang w:eastAsia="ru-RU"/>
        </w:rPr>
        <w:t>, Конституційний Суд України у рішенні від 20 грудня 2016 р. № 7-рп/2016 роз’яснив, що правовідносини, пов’язані з реалізацією права на свободу об’єднання у політичні партії та громадські організації, є конституційними і не можуть бути обмежені інакше як на підставі закону [4, с. 42].</w:t>
      </w:r>
    </w:p>
    <w:p w14:paraId="2CE7E0DD" w14:textId="77777777" w:rsidR="006B07CA" w:rsidRPr="00511005" w:rsidRDefault="006B07CA" w:rsidP="00F5639C">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У адміністративно-правових відносинах прикладом є провадження </w:t>
      </w:r>
      <w:proofErr w:type="gramStart"/>
      <w:r w:rsidRPr="00511005">
        <w:rPr>
          <w:rFonts w:ascii="Arial" w:eastAsia="Times New Roman" w:hAnsi="Arial" w:cs="Arial"/>
          <w:szCs w:val="28"/>
          <w:lang w:eastAsia="uk-UA"/>
        </w:rPr>
        <w:t>у справах</w:t>
      </w:r>
      <w:proofErr w:type="gramEnd"/>
      <w:r w:rsidRPr="00511005">
        <w:rPr>
          <w:rFonts w:ascii="Arial" w:eastAsia="Times New Roman" w:hAnsi="Arial" w:cs="Arial"/>
          <w:szCs w:val="28"/>
          <w:lang w:eastAsia="uk-UA"/>
        </w:rPr>
        <w:t xml:space="preserve"> про адміністративні правопорушення (ст. 221 Кодексу України про адміністративні правопорушення), коли уповноважені органи накладають адміністративні стягнення за порушення правил дорожнього руху або громадського порядку [2, с. 51].</w:t>
      </w:r>
    </w:p>
    <w:p w14:paraId="56AA5101" w14:textId="6B71255C" w:rsidR="006B07CA" w:rsidRPr="00511005" w:rsidRDefault="006B07CA" w:rsidP="00F5639C">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У міжнародно-правовій сфері правовідносини виникають між державами та міжнародними організаціями. Наприклад, участь України в Організації Об’єднаних Націй передбачає виконання міжнародно-правових зобов’язань за Статутом ООН, а також правовідносини, пов’язані із захистом </w:t>
      </w:r>
      <w:r w:rsidRPr="00511005">
        <w:rPr>
          <w:rFonts w:ascii="Arial" w:eastAsia="Times New Roman" w:hAnsi="Arial" w:cs="Arial"/>
          <w:szCs w:val="28"/>
          <w:lang w:eastAsia="uk-UA"/>
        </w:rPr>
        <w:lastRenderedPageBreak/>
        <w:t>прав людини згідно з міжнародними договорами (Європейська конвенція з прав людини) [1, с. 95].</w:t>
      </w:r>
    </w:p>
    <w:p w14:paraId="6EB32D0F" w14:textId="77777777" w:rsidR="00F5639C" w:rsidRPr="00511005" w:rsidRDefault="00F5639C" w:rsidP="00F5639C">
      <w:pPr>
        <w:spacing w:line="264" w:lineRule="auto"/>
        <w:rPr>
          <w:rFonts w:ascii="Arial" w:eastAsia="Times New Roman" w:hAnsi="Arial" w:cs="Arial"/>
          <w:szCs w:val="28"/>
          <w:lang w:eastAsia="uk-UA"/>
        </w:rPr>
      </w:pPr>
    </w:p>
    <w:p w14:paraId="5EF28195" w14:textId="71B8E7D3" w:rsidR="006B07CA" w:rsidRPr="00511005" w:rsidRDefault="007B2628" w:rsidP="007B2628">
      <w:pPr>
        <w:spacing w:line="264" w:lineRule="auto"/>
        <w:ind w:firstLine="0"/>
        <w:jc w:val="center"/>
        <w:rPr>
          <w:rFonts w:ascii="Arial" w:eastAsia="Times New Roman" w:hAnsi="Arial" w:cs="Arial"/>
          <w:b/>
          <w:szCs w:val="28"/>
          <w:lang w:eastAsia="uk-UA"/>
        </w:rPr>
      </w:pPr>
      <w:r w:rsidRPr="00511005">
        <w:rPr>
          <w:rFonts w:ascii="Arial" w:eastAsia="Times New Roman" w:hAnsi="Arial" w:cs="Arial"/>
          <w:b/>
          <w:szCs w:val="28"/>
          <w:lang w:val="uk-UA" w:eastAsia="uk-UA"/>
        </w:rPr>
        <w:t>Список використаних джерел</w:t>
      </w:r>
    </w:p>
    <w:p w14:paraId="18621263" w14:textId="77777777" w:rsidR="006B07CA" w:rsidRPr="00511005" w:rsidRDefault="006B07CA" w:rsidP="00F5639C">
      <w:pPr>
        <w:numPr>
          <w:ilvl w:val="0"/>
          <w:numId w:val="26"/>
        </w:numPr>
        <w:spacing w:line="264" w:lineRule="auto"/>
        <w:ind w:left="0" w:firstLine="851"/>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Holovkin B. M. </w:t>
      </w:r>
      <w:r w:rsidRPr="00511005">
        <w:rPr>
          <w:rFonts w:ascii="Arial" w:eastAsia="Times New Roman" w:hAnsi="Arial" w:cs="Arial"/>
          <w:i/>
          <w:iCs/>
          <w:szCs w:val="28"/>
          <w:lang w:val="uk-UA" w:eastAsia="uk-UA"/>
        </w:rPr>
        <w:t>Theory of law: legal relations and their significance</w:t>
      </w:r>
      <w:r w:rsidRPr="00511005">
        <w:rPr>
          <w:rFonts w:ascii="Arial" w:eastAsia="Times New Roman" w:hAnsi="Arial" w:cs="Arial"/>
          <w:szCs w:val="28"/>
          <w:lang w:val="uk-UA" w:eastAsia="uk-UA"/>
        </w:rPr>
        <w:t xml:space="preserve">. Kharkiv: Pravo, 2021. 140 p. URL: </w:t>
      </w:r>
      <w:hyperlink r:id="rId37" w:history="1">
        <w:r w:rsidRPr="00511005">
          <w:rPr>
            <w:rFonts w:ascii="Arial" w:eastAsia="Times New Roman" w:hAnsi="Arial" w:cs="Arial"/>
            <w:szCs w:val="28"/>
            <w:lang w:val="uk-UA" w:eastAsia="uk-UA"/>
          </w:rPr>
          <w:t>https://doi.org/10.32782/tlr2021</w:t>
        </w:r>
      </w:hyperlink>
    </w:p>
    <w:p w14:paraId="056830F7" w14:textId="77777777" w:rsidR="006B07CA" w:rsidRPr="00511005" w:rsidRDefault="006B07CA" w:rsidP="00F5639C">
      <w:pPr>
        <w:numPr>
          <w:ilvl w:val="0"/>
          <w:numId w:val="26"/>
        </w:numPr>
        <w:spacing w:line="264" w:lineRule="auto"/>
        <w:ind w:left="0" w:firstLine="851"/>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Melnyk R. S. </w:t>
      </w:r>
      <w:r w:rsidRPr="00511005">
        <w:rPr>
          <w:rFonts w:ascii="Arial" w:eastAsia="Times New Roman" w:hAnsi="Arial" w:cs="Arial"/>
          <w:i/>
          <w:iCs/>
          <w:szCs w:val="28"/>
          <w:lang w:val="uk-UA" w:eastAsia="uk-UA"/>
        </w:rPr>
        <w:t>Legal relations in the system of legal regulation: monograph</w:t>
      </w:r>
      <w:r w:rsidRPr="00511005">
        <w:rPr>
          <w:rFonts w:ascii="Arial" w:eastAsia="Times New Roman" w:hAnsi="Arial" w:cs="Arial"/>
          <w:szCs w:val="28"/>
          <w:lang w:val="uk-UA" w:eastAsia="uk-UA"/>
        </w:rPr>
        <w:t xml:space="preserve">. Lviv: Lviv University Press, 2020. 230 p. URL: </w:t>
      </w:r>
      <w:hyperlink r:id="rId38" w:history="1">
        <w:r w:rsidRPr="00511005">
          <w:rPr>
            <w:rFonts w:ascii="Arial" w:eastAsia="Times New Roman" w:hAnsi="Arial" w:cs="Arial"/>
            <w:szCs w:val="28"/>
            <w:lang w:val="uk-UA" w:eastAsia="uk-UA"/>
          </w:rPr>
          <w:t>https://doi.org/10.23939/2020.legalrelations</w:t>
        </w:r>
      </w:hyperlink>
    </w:p>
    <w:p w14:paraId="092B34C6" w14:textId="77777777" w:rsidR="006B07CA" w:rsidRPr="00511005" w:rsidRDefault="006B07CA" w:rsidP="00F5639C">
      <w:pPr>
        <w:numPr>
          <w:ilvl w:val="0"/>
          <w:numId w:val="26"/>
        </w:numPr>
        <w:spacing w:line="264" w:lineRule="auto"/>
        <w:ind w:left="0" w:firstLine="851"/>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Tymoshenko L. P. </w:t>
      </w:r>
      <w:r w:rsidRPr="00511005">
        <w:rPr>
          <w:rFonts w:ascii="Arial" w:eastAsia="Times New Roman" w:hAnsi="Arial" w:cs="Arial"/>
          <w:i/>
          <w:iCs/>
          <w:szCs w:val="28"/>
          <w:lang w:val="uk-UA" w:eastAsia="uk-UA"/>
        </w:rPr>
        <w:t>Labour and international legal relations: textbook</w:t>
      </w:r>
      <w:r w:rsidRPr="00511005">
        <w:rPr>
          <w:rFonts w:ascii="Arial" w:eastAsia="Times New Roman" w:hAnsi="Arial" w:cs="Arial"/>
          <w:szCs w:val="28"/>
          <w:lang w:val="uk-UA" w:eastAsia="uk-UA"/>
        </w:rPr>
        <w:t xml:space="preserve">. Kyiv: KNEU, 2023. 288 p. URL: </w:t>
      </w:r>
      <w:hyperlink r:id="rId39" w:history="1">
        <w:r w:rsidRPr="00511005">
          <w:rPr>
            <w:rFonts w:ascii="Arial" w:eastAsia="Times New Roman" w:hAnsi="Arial" w:cs="Arial"/>
            <w:szCs w:val="28"/>
            <w:lang w:val="uk-UA" w:eastAsia="uk-UA"/>
          </w:rPr>
          <w:t>https://doi.org/10.36950/laborlaw2023</w:t>
        </w:r>
      </w:hyperlink>
    </w:p>
    <w:p w14:paraId="59943684" w14:textId="77777777" w:rsidR="006B07CA" w:rsidRPr="00511005" w:rsidRDefault="006B07CA" w:rsidP="00F5639C">
      <w:pPr>
        <w:numPr>
          <w:ilvl w:val="0"/>
          <w:numId w:val="26"/>
        </w:numPr>
        <w:spacing w:line="264" w:lineRule="auto"/>
        <w:ind w:left="0" w:firstLine="851"/>
        <w:contextualSpacing/>
        <w:rPr>
          <w:rFonts w:ascii="Arial" w:eastAsia="Calibri" w:hAnsi="Arial" w:cs="Arial"/>
          <w:szCs w:val="28"/>
          <w:lang w:val="uk-UA"/>
        </w:rPr>
      </w:pPr>
      <w:r w:rsidRPr="00511005">
        <w:rPr>
          <w:rFonts w:ascii="Arial" w:eastAsia="Calibri" w:hAnsi="Arial" w:cs="Arial"/>
          <w:szCs w:val="28"/>
          <w:lang w:val="uk-UA"/>
        </w:rPr>
        <w:t xml:space="preserve">Holovkin B. M. [1, с. 42] та Рішення Конституційного Суду України від 20.12.2016 р. № 7-рп/2016. </w:t>
      </w:r>
      <w:r w:rsidRPr="00511005">
        <w:rPr>
          <w:rFonts w:ascii="Arial" w:eastAsia="Times New Roman" w:hAnsi="Arial" w:cs="Arial"/>
          <w:szCs w:val="28"/>
          <w:lang w:val="uk-UA" w:eastAsia="uk-UA"/>
        </w:rPr>
        <w:t xml:space="preserve">URL: </w:t>
      </w:r>
      <w:hyperlink r:id="rId40" w:history="1">
        <w:r w:rsidRPr="00511005">
          <w:rPr>
            <w:rFonts w:ascii="Arial" w:eastAsia="Times New Roman" w:hAnsi="Arial" w:cs="Arial"/>
            <w:szCs w:val="28"/>
            <w:lang w:val="uk-UA" w:eastAsia="uk-UA"/>
          </w:rPr>
          <w:t>https://doi.org/10.32782/tlr2021</w:t>
        </w:r>
      </w:hyperlink>
    </w:p>
    <w:p w14:paraId="7872961A" w14:textId="77777777" w:rsidR="00F5639C" w:rsidRPr="00511005" w:rsidRDefault="00F5639C" w:rsidP="003A29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ind w:firstLine="0"/>
        <w:rPr>
          <w:rFonts w:ascii="Arial" w:eastAsia="Times New Roman" w:hAnsi="Arial" w:cs="Arial"/>
          <w:b/>
          <w:szCs w:val="28"/>
          <w:lang w:val="uk-UA" w:eastAsia="uk-UA"/>
        </w:rPr>
      </w:pPr>
    </w:p>
    <w:p w14:paraId="25FC54B3" w14:textId="5EF55FC0" w:rsidR="006B07CA" w:rsidRPr="00511005" w:rsidRDefault="007B2628" w:rsidP="003A29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6B07CA" w:rsidRPr="00511005">
        <w:rPr>
          <w:rFonts w:ascii="Arial" w:eastAsia="Times New Roman" w:hAnsi="Arial" w:cs="Arial"/>
          <w:szCs w:val="28"/>
          <w:lang w:val="uk-UA" w:eastAsia="uk-UA"/>
        </w:rPr>
        <w:t>структура правовідносин, реалізація прав, рішення,суб’єкти, об’єкти, юридичні факти, права, обов’язки</w:t>
      </w:r>
    </w:p>
    <w:p w14:paraId="5C4A1C56" w14:textId="06672FC8" w:rsidR="006B07CA" w:rsidRPr="00511005" w:rsidRDefault="007B2628" w:rsidP="003A29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6B07CA" w:rsidRPr="00511005">
        <w:rPr>
          <w:rFonts w:ascii="Arial" w:eastAsia="Times New Roman" w:hAnsi="Arial" w:cs="Arial"/>
          <w:szCs w:val="28"/>
          <w:lang w:val="uk-UA" w:eastAsia="uk-UA"/>
        </w:rPr>
        <w:t>structure of legal relations,</w:t>
      </w:r>
      <w:r w:rsidR="006B07CA" w:rsidRPr="00511005">
        <w:rPr>
          <w:rFonts w:ascii="Arial" w:eastAsia="Calibri" w:hAnsi="Arial" w:cs="Arial"/>
          <w:b/>
          <w:bCs/>
          <w:szCs w:val="28"/>
          <w:lang w:val="uk-UA" w:eastAsia="uk-UA"/>
        </w:rPr>
        <w:t xml:space="preserve"> </w:t>
      </w:r>
      <w:r w:rsidR="006B07CA" w:rsidRPr="00511005">
        <w:rPr>
          <w:rFonts w:ascii="Arial" w:eastAsia="Times New Roman" w:hAnsi="Arial" w:cs="Arial"/>
          <w:szCs w:val="28"/>
          <w:lang w:val="uk-UA" w:eastAsia="uk-UA"/>
        </w:rPr>
        <w:t>realization of rights, decision, subjects, objects, legal facts, rights, duties</w:t>
      </w:r>
    </w:p>
    <w:p w14:paraId="222DE9C2" w14:textId="1369FD31" w:rsidR="006B07CA" w:rsidRPr="00511005" w:rsidRDefault="007B2628" w:rsidP="003A29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ind w:firstLine="0"/>
        <w:rPr>
          <w:rFonts w:ascii="Arial" w:eastAsia="Times New Roman" w:hAnsi="Arial" w:cs="Arial"/>
          <w:bCs/>
          <w:iCs/>
          <w:szCs w:val="28"/>
          <w:lang w:val="uk-UA" w:eastAsia="uk-UA"/>
        </w:rPr>
      </w:pPr>
      <w:r w:rsidRPr="00511005">
        <w:rPr>
          <w:rFonts w:ascii="Arial" w:eastAsia="Times New Roman" w:hAnsi="Arial" w:cs="Arial"/>
          <w:b/>
          <w:bCs/>
          <w:i/>
          <w:szCs w:val="28"/>
          <w:lang w:val="uk-UA" w:eastAsia="uk-UA"/>
        </w:rPr>
        <w:t xml:space="preserve">Науковий керівник: </w:t>
      </w:r>
      <w:r w:rsidR="006B07CA" w:rsidRPr="00511005">
        <w:rPr>
          <w:rFonts w:ascii="Arial" w:eastAsia="Times New Roman" w:hAnsi="Arial" w:cs="Arial"/>
          <w:bCs/>
          <w:iCs/>
          <w:szCs w:val="28"/>
          <w:lang w:val="en-US" w:eastAsia="uk-UA"/>
        </w:rPr>
        <w:t>PhD</w:t>
      </w:r>
      <w:r w:rsidR="006B07CA" w:rsidRPr="00511005">
        <w:rPr>
          <w:rFonts w:ascii="Arial" w:eastAsia="Times New Roman" w:hAnsi="Arial" w:cs="Arial"/>
          <w:iCs/>
          <w:szCs w:val="28"/>
          <w:lang w:val="uk-UA" w:eastAsia="uk-UA"/>
        </w:rPr>
        <w:t>,</w:t>
      </w:r>
      <w:r w:rsidR="006B07CA" w:rsidRPr="00511005">
        <w:rPr>
          <w:rFonts w:ascii="Arial" w:eastAsia="Times New Roman" w:hAnsi="Arial" w:cs="Arial"/>
          <w:b/>
          <w:bCs/>
          <w:iCs/>
          <w:szCs w:val="28"/>
          <w:shd w:val="clear" w:color="auto" w:fill="FFFFFF"/>
          <w:lang w:val="uk-UA" w:eastAsia="uk-UA"/>
        </w:rPr>
        <w:t xml:space="preserve"> </w:t>
      </w:r>
      <w:r w:rsidR="006B07CA" w:rsidRPr="00511005">
        <w:rPr>
          <w:rFonts w:ascii="Arial" w:eastAsia="Times New Roman" w:hAnsi="Arial" w:cs="Arial"/>
          <w:iCs/>
          <w:szCs w:val="28"/>
          <w:shd w:val="clear" w:color="auto" w:fill="FFFFFF"/>
          <w:lang w:val="uk-UA" w:eastAsia="uk-UA"/>
        </w:rPr>
        <w:t>старший викладач</w:t>
      </w:r>
      <w:r w:rsidR="006B07CA" w:rsidRPr="00511005">
        <w:rPr>
          <w:rFonts w:ascii="Arial" w:eastAsia="Times New Roman" w:hAnsi="Arial" w:cs="Arial"/>
          <w:b/>
          <w:bCs/>
          <w:iCs/>
          <w:szCs w:val="28"/>
          <w:shd w:val="clear" w:color="auto" w:fill="FFFFFF"/>
          <w:lang w:val="uk-UA" w:eastAsia="uk-UA"/>
        </w:rPr>
        <w:t xml:space="preserve"> </w:t>
      </w:r>
      <w:r w:rsidR="006B07CA" w:rsidRPr="00511005">
        <w:rPr>
          <w:rFonts w:ascii="Arial" w:eastAsia="Times New Roman" w:hAnsi="Arial" w:cs="Arial"/>
          <w:iCs/>
          <w:szCs w:val="28"/>
          <w:lang w:val="uk-UA" w:eastAsia="uk-UA"/>
        </w:rPr>
        <w:t>Іванчук В.Є</w:t>
      </w:r>
      <w:r w:rsidR="006B07CA" w:rsidRPr="00511005">
        <w:rPr>
          <w:rFonts w:ascii="Arial" w:eastAsia="Times New Roman" w:hAnsi="Arial" w:cs="Arial"/>
          <w:bCs/>
          <w:iCs/>
          <w:szCs w:val="28"/>
          <w:lang w:eastAsia="uk-UA"/>
        </w:rPr>
        <w:t>.</w:t>
      </w:r>
    </w:p>
    <w:p w14:paraId="566D7B23" w14:textId="77777777" w:rsidR="006B07CA" w:rsidRPr="00511005" w:rsidRDefault="006B07CA" w:rsidP="003A292D">
      <w:pPr>
        <w:spacing w:line="264" w:lineRule="auto"/>
        <w:ind w:firstLine="0"/>
        <w:contextualSpacing/>
        <w:jc w:val="center"/>
        <w:rPr>
          <w:rFonts w:ascii="Arial" w:eastAsia="Times New Roman" w:hAnsi="Arial" w:cs="Arial"/>
          <w:szCs w:val="28"/>
          <w:lang w:val="uk-UA" w:eastAsia="uk-UA"/>
        </w:rPr>
      </w:pPr>
    </w:p>
    <w:p w14:paraId="4119C861" w14:textId="77777777" w:rsidR="006B07CA" w:rsidRPr="00511005" w:rsidRDefault="006B07CA" w:rsidP="003A292D">
      <w:pPr>
        <w:spacing w:line="264" w:lineRule="auto"/>
        <w:ind w:firstLine="0"/>
        <w:jc w:val="center"/>
        <w:rPr>
          <w:rFonts w:ascii="Arial" w:eastAsia="Times New Roman" w:hAnsi="Arial" w:cs="Arial"/>
          <w:b/>
          <w:i/>
          <w:szCs w:val="28"/>
          <w:lang w:val="en-US" w:eastAsia="ru-RU"/>
        </w:rPr>
      </w:pPr>
      <w:r w:rsidRPr="00511005">
        <w:rPr>
          <w:rFonts w:ascii="Arial" w:eastAsia="Times New Roman" w:hAnsi="Arial" w:cs="Arial"/>
          <w:b/>
          <w:i/>
          <w:szCs w:val="28"/>
          <w:lang w:val="en-US" w:eastAsia="ru-RU"/>
        </w:rPr>
        <w:t>Krotova Emilia Oleksandrivna</w:t>
      </w:r>
    </w:p>
    <w:p w14:paraId="152902D7" w14:textId="77777777" w:rsidR="006B07CA" w:rsidRPr="00511005" w:rsidRDefault="006B07CA" w:rsidP="003A292D">
      <w:pPr>
        <w:spacing w:line="264" w:lineRule="auto"/>
        <w:ind w:firstLine="0"/>
        <w:jc w:val="center"/>
        <w:rPr>
          <w:rFonts w:ascii="Arial" w:eastAsia="Times New Roman" w:hAnsi="Arial" w:cs="Arial"/>
          <w:szCs w:val="28"/>
          <w:lang w:val="en-US" w:eastAsia="ru-RU"/>
        </w:rPr>
      </w:pPr>
      <w:r w:rsidRPr="00511005">
        <w:rPr>
          <w:rFonts w:ascii="Arial" w:eastAsia="Times New Roman" w:hAnsi="Arial" w:cs="Arial"/>
          <w:szCs w:val="28"/>
          <w:lang w:val="en-US" w:eastAsia="ru-RU"/>
        </w:rPr>
        <w:t>1st year student of the Faculty of Judicial and International Law</w:t>
      </w:r>
    </w:p>
    <w:p w14:paraId="615E9E29" w14:textId="542D7926" w:rsidR="006B07CA" w:rsidRPr="00511005" w:rsidRDefault="006B07CA" w:rsidP="003A292D">
      <w:pPr>
        <w:spacing w:line="264" w:lineRule="auto"/>
        <w:ind w:firstLine="0"/>
        <w:jc w:val="center"/>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National University </w:t>
      </w:r>
      <w:r w:rsidR="00F5639C" w:rsidRPr="00511005">
        <w:rPr>
          <w:rFonts w:ascii="Arial" w:eastAsia="Times New Roman" w:hAnsi="Arial" w:cs="Arial"/>
          <w:szCs w:val="28"/>
          <w:lang w:val="en-US" w:eastAsia="ru-RU"/>
        </w:rPr>
        <w:t>“</w:t>
      </w:r>
      <w:r w:rsidRPr="00511005">
        <w:rPr>
          <w:rFonts w:ascii="Arial" w:eastAsia="Times New Roman" w:hAnsi="Arial" w:cs="Arial"/>
          <w:szCs w:val="28"/>
          <w:lang w:val="en-US" w:eastAsia="ru-RU"/>
        </w:rPr>
        <w:t>Odesa Law Academy</w:t>
      </w:r>
      <w:r w:rsidR="00F5639C" w:rsidRPr="00511005">
        <w:rPr>
          <w:rFonts w:ascii="Arial" w:eastAsia="Times New Roman" w:hAnsi="Arial" w:cs="Arial"/>
          <w:szCs w:val="28"/>
          <w:lang w:val="en-US" w:eastAsia="ru-RU"/>
        </w:rPr>
        <w:t>”</w:t>
      </w:r>
    </w:p>
    <w:p w14:paraId="05E6839C" w14:textId="77777777" w:rsidR="006B07CA" w:rsidRPr="00511005" w:rsidRDefault="006B07CA" w:rsidP="003A292D">
      <w:pPr>
        <w:spacing w:line="264" w:lineRule="auto"/>
        <w:ind w:firstLine="0"/>
        <w:rPr>
          <w:rFonts w:ascii="Arial" w:eastAsia="Times New Roman" w:hAnsi="Arial" w:cs="Arial"/>
          <w:szCs w:val="28"/>
          <w:lang w:val="en-US" w:eastAsia="ru-RU"/>
        </w:rPr>
      </w:pPr>
    </w:p>
    <w:p w14:paraId="77539CAF" w14:textId="77777777" w:rsidR="006B07CA" w:rsidRPr="00511005" w:rsidRDefault="006B07CA" w:rsidP="003A292D">
      <w:pPr>
        <w:spacing w:line="264" w:lineRule="auto"/>
        <w:ind w:firstLine="0"/>
        <w:jc w:val="center"/>
        <w:rPr>
          <w:rFonts w:ascii="Arial" w:eastAsia="Times New Roman" w:hAnsi="Arial" w:cs="Arial"/>
          <w:b/>
          <w:szCs w:val="28"/>
          <w:lang w:val="en-US" w:eastAsia="ru-RU"/>
        </w:rPr>
      </w:pPr>
      <w:r w:rsidRPr="00511005">
        <w:rPr>
          <w:rFonts w:ascii="Arial" w:eastAsia="Times New Roman" w:hAnsi="Arial" w:cs="Arial"/>
          <w:b/>
          <w:szCs w:val="28"/>
          <w:lang w:val="en-US" w:eastAsia="ru-RU"/>
        </w:rPr>
        <w:t>TRANSCENDENT SOVEREIGNTY IN THE ERA OF GLOBALIZATION</w:t>
      </w:r>
    </w:p>
    <w:p w14:paraId="5DAEDB6F" w14:textId="77777777" w:rsidR="006B07CA" w:rsidRPr="00511005" w:rsidRDefault="006B07CA" w:rsidP="00F5639C">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The topic of transcendent sovereignty is extremely relevant in the context of modern globalization, growing interdependence of states and the need for effective interaction in the international arena. The traditional understanding of sovereignty as the absolute power of a state over its territory and population, which has been relevant for many centuries, is gradually changing in the context of modern global challenges. Modern world trends, such as climate change, international terrorist threat, pandemics, human rights violations and other global problems, require states not only to preserve their own sovereignty, but also to actively participate in international processes and interaction with other countries. In this context, transcendent sovereignty, as a concept that involves the partial delegation of sovereignty to the supranational level in order to achieve common interests, becomes an important element of legal and political discourse. </w:t>
      </w:r>
    </w:p>
    <w:p w14:paraId="182526E4" w14:textId="77777777" w:rsidR="006B07CA" w:rsidRPr="00511005" w:rsidRDefault="006B07CA" w:rsidP="00F5639C">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This issue is especially relevant for states that seek integration into international organizations and participation in global initiatives, such as the European Union, the UN, the World Trade Organization, etc. Such interaction allows solving urgent global problems, but it also requires a revision of traditional ideas about sovereignty. In such conditions, transcendent sovereignty acts as an </w:t>
      </w:r>
      <w:r w:rsidRPr="00511005">
        <w:rPr>
          <w:rFonts w:ascii="Arial" w:eastAsia="Times New Roman" w:hAnsi="Arial" w:cs="Arial"/>
          <w:szCs w:val="28"/>
          <w:lang w:val="en-US" w:eastAsia="ru-RU"/>
        </w:rPr>
        <w:lastRenderedPageBreak/>
        <w:t xml:space="preserve">opportunity to ensure national interests in a globalized world, which requires new approaches to public administration, diplomacy and international relations. The concept of sovereignty is fundamental in political and legal theory, as it reflects the principles of supremacy and independence of state power. Traditionally, sovereignty is considered as a legal category that defines the unity, indivisibility and supremacy of state power within the country and its independence in international relations, ensuring the legal, political, economic and social independence of the state [1]. </w:t>
      </w:r>
    </w:p>
    <w:p w14:paraId="6451AC14" w14:textId="77777777" w:rsidR="006B07CA" w:rsidRPr="00511005" w:rsidRDefault="006B07CA" w:rsidP="00F5639C">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However, in the conditions of modern globalization and international integration, there is a need to revise this concept, since the traditional understanding of sovereignty no longer corresponds to the realities of the modern world. One of the innovative approaches is the concept of transcendent sovereignty, which offers a new view of state power and its relationship with the international environment. The concept of transcendent sovereignty in feudal Europe was closely related to the theory of the divine right of kings. This political-religious doctrine claimed that monarchs receive their power directly from God and are not accountable to any earthly authority, in particular parliament or church. According to this theory, kings were not subject to trial by any secular or spiritual authority, since their right to rule came from divine appointment. In this context, the state was seen as an instrument implementing the will of the monarch, and its lands were considered the personal property of the king. The theory of divine right was often combined with the principle of primogeniture - the right of the eldest son of the monarch to inherit the throne. In particular, in the context of globalization, states are forced to adapt their traditional sovereign rights to new international realities, which entails significant changes in the functioning of national and international legal systems [2]. </w:t>
      </w:r>
    </w:p>
    <w:p w14:paraId="2C435E66" w14:textId="77777777" w:rsidR="006B07CA" w:rsidRPr="00511005" w:rsidRDefault="006B07CA" w:rsidP="00F5639C">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Traditionally, sovereignty is not something transcendent, imposed from the outside, but, on the contrary, it has an immanent nature, which determines its basis in the very organization of human society. This implies that sovereignty, being a fundamental principle, is very dynamic and subject to change, because it is able to adapt to new realities that are constantly changing. Sovereignty is manifested through the law, which, according to some theorists, is a kind of “declaration of the will of the supreme ruler” [3]. Of particular importance is the role of globalization as a civilizational model that combines economic, socio-cultural and normative components of world integration. Globalization is also considered as a process of extrapolation of relations that have arisen between the most developed states to a wider range of international relations [4]. </w:t>
      </w:r>
    </w:p>
    <w:p w14:paraId="2F892E72" w14:textId="77777777" w:rsidR="006B07CA" w:rsidRPr="00511005" w:rsidRDefault="006B07CA" w:rsidP="00F5639C">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It contributes to the strengthening of interdependence of countries in various areas, which significantly limits their ability to act autonomously. On the one hand, this process opens up new opportunities for economic growth and the development of international cooperation. On the other hand, it can lead to the loss of political autonomy, in particular due to the growing dependence on global </w:t>
      </w:r>
      <w:r w:rsidRPr="00511005">
        <w:rPr>
          <w:rFonts w:ascii="Arial" w:eastAsia="Times New Roman" w:hAnsi="Arial" w:cs="Arial"/>
          <w:szCs w:val="28"/>
          <w:lang w:val="en-US" w:eastAsia="ru-RU"/>
        </w:rPr>
        <w:lastRenderedPageBreak/>
        <w:t>markets and international organizations. Therefore, states, seeking to preserve their sovereignty, are forced to balance between maintaining their own independence and adapting to the new challenges of the globalized world [5]. The concept of transcendent sovereignty assumes that states can preserve their sovereignty by actively interacting with international processes and cooperating with other participants on the basis of common values and norms. In this context, transcendent sovereignty takes state power beyond the boundaries of traditional territorial sovereignty, emphasizing the importance of a country's ability to influence international processes and participate in the formation of global standards and norms. Thus, transcendental sovereignty becomes an important tool for harmonizing national interests with global trends [6].</w:t>
      </w:r>
    </w:p>
    <w:p w14:paraId="3CC79884" w14:textId="77777777" w:rsidR="006B07CA" w:rsidRPr="00511005" w:rsidRDefault="006B07CA" w:rsidP="00F5639C">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Transcendental horizons of freedom, as noted by V.M. Shapoval, require consideration of not only formal, but also spiritual aspects of freedom of a higher order, going beyond the simple legal or political dimension. In this context, transcendental freedom appears as an integration of all its levels and modifications, which allows achieving the integrity to which modern man aspires. Shapoval emphasizes that this form of freedom is important for understanding the deeper, metaphysical aspects of human existence and civilization as a whole [7].</w:t>
      </w:r>
    </w:p>
    <w:p w14:paraId="5032D645" w14:textId="77777777" w:rsidR="006B07CA" w:rsidRPr="00511005" w:rsidRDefault="006B07CA" w:rsidP="00F5639C">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implementation of the concept of transcendental sovereignty requires states to be able to effectively adapt their internal and external policies to the modern requirements of the globalized world. In particular, states must demonstrate flexibility in the implementation of national laws, which allows them to comply with international standards and norms, thus ensuring the integration of national legislation into the global context. One of the important aspects is the active participation of countries in international organizations, which allows them to directly influence the formation of global rules and standards that should meet the interests of the state in the international arena. In addition, the preservation of national identity remains important, which involves supporting the cultural and social characteristics of the state that distinguish it from other participants in the world community and allow it to maintain its uniqueness within the global community [4].</w:t>
      </w:r>
    </w:p>
    <w:p w14:paraId="4952F87F" w14:textId="77777777" w:rsidR="006B07CA" w:rsidRPr="00511005" w:rsidRDefault="006B07CA" w:rsidP="00F5639C">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Thus, in modern conditions of globalization, the traditional understanding of sovereignty needs to be revised, since the interdependence between states and integration at the international level necessitate the adaptation of sovereign rights to new realities. The concept of transcendent sovereignty offers a new perspective on the role of state power, going beyond the boundaries of classical territorial sovereignty. It emphasizes the importance of the state's ability to participate in the formation of global norms and standards, harmonizing national interests with global trends. In this context, the key aspects are flexibility in politics, active participation in international organizations, and the preservation of national identity.</w:t>
      </w:r>
    </w:p>
    <w:p w14:paraId="0F13FB67" w14:textId="77777777" w:rsidR="006B07CA" w:rsidRPr="00511005" w:rsidRDefault="006B07CA" w:rsidP="003A292D">
      <w:pPr>
        <w:spacing w:line="264" w:lineRule="auto"/>
        <w:ind w:firstLine="0"/>
        <w:jc w:val="center"/>
        <w:rPr>
          <w:rFonts w:ascii="Arial" w:eastAsia="Times New Roman" w:hAnsi="Arial" w:cs="Arial"/>
          <w:b/>
          <w:bCs/>
          <w:szCs w:val="28"/>
          <w:lang w:val="en-US" w:eastAsia="zh-CN"/>
        </w:rPr>
      </w:pPr>
    </w:p>
    <w:p w14:paraId="0CA05B0A" w14:textId="77777777" w:rsidR="006B07CA" w:rsidRPr="00511005" w:rsidRDefault="006B07CA" w:rsidP="003A292D">
      <w:pPr>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bCs/>
          <w:szCs w:val="28"/>
          <w:lang w:val="en-US" w:eastAsia="zh-CN"/>
        </w:rPr>
        <w:t>References</w:t>
      </w:r>
    </w:p>
    <w:p w14:paraId="7ED14015" w14:textId="77777777" w:rsidR="006B07CA" w:rsidRPr="00511005" w:rsidRDefault="006B07CA"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eastAsia="ru-RU"/>
        </w:rPr>
        <w:t>1. Рябовол Л.</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Т. Державний суверенітет: наукові підходи до визначення поняття і ступеня обмежень в умовах глобалізації. </w:t>
      </w:r>
      <w:r w:rsidRPr="00511005">
        <w:rPr>
          <w:rFonts w:ascii="Arial" w:eastAsia="Times New Roman" w:hAnsi="Arial" w:cs="Arial"/>
          <w:i/>
          <w:iCs/>
          <w:szCs w:val="28"/>
          <w:lang w:eastAsia="ru-RU"/>
        </w:rPr>
        <w:t>Вісник НТУУ «КПІ». Політологія. Соціологія. Право</w:t>
      </w:r>
      <w:r w:rsidRPr="00511005">
        <w:rPr>
          <w:rFonts w:ascii="Arial" w:eastAsia="Times New Roman" w:hAnsi="Arial" w:cs="Arial"/>
          <w:i/>
          <w:iCs/>
          <w:szCs w:val="28"/>
          <w:lang w:val="uk-UA" w:eastAsia="ru-RU"/>
        </w:rPr>
        <w:t>.</w:t>
      </w:r>
      <w:r w:rsidRPr="00511005">
        <w:rPr>
          <w:rFonts w:ascii="Arial" w:eastAsia="Times New Roman" w:hAnsi="Arial" w:cs="Arial"/>
          <w:szCs w:val="28"/>
          <w:lang w:eastAsia="ru-RU"/>
        </w:rPr>
        <w:t xml:space="preserve"> 2019</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Вип</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3 (43)</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С</w:t>
      </w:r>
      <w:r w:rsidRPr="00511005">
        <w:rPr>
          <w:rFonts w:ascii="Arial" w:eastAsia="Times New Roman" w:hAnsi="Arial" w:cs="Arial"/>
          <w:szCs w:val="28"/>
          <w:lang w:eastAsia="ru-RU"/>
        </w:rPr>
        <w:t>. 262–266. DOI: https://doi.org/10.20535/2308-5053.2019.3(43).198484</w:t>
      </w:r>
      <w:r w:rsidRPr="00511005">
        <w:rPr>
          <w:rFonts w:ascii="Arial" w:eastAsia="Times New Roman" w:hAnsi="Arial" w:cs="Arial"/>
          <w:szCs w:val="28"/>
          <w:lang w:val="uk-UA" w:eastAsia="ru-RU"/>
        </w:rPr>
        <w:t>.</w:t>
      </w:r>
    </w:p>
    <w:p w14:paraId="3C946156" w14:textId="52103E93" w:rsidR="006B07CA" w:rsidRPr="00511005" w:rsidRDefault="006B07CA"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2. Mohammed Saaida. The Controversial Relation between Globalization and National Sovereignty. </w:t>
      </w:r>
      <w:r w:rsidRPr="00511005">
        <w:rPr>
          <w:rFonts w:ascii="Arial" w:eastAsia="Times New Roman" w:hAnsi="Arial" w:cs="Arial"/>
          <w:i/>
          <w:iCs/>
          <w:szCs w:val="28"/>
          <w:lang w:val="en-US" w:eastAsia="ru-RU"/>
        </w:rPr>
        <w:t>European Journal of Science, Innovation and Technology</w:t>
      </w:r>
      <w:r w:rsidRPr="00511005">
        <w:rPr>
          <w:rFonts w:ascii="Arial" w:eastAsia="Times New Roman" w:hAnsi="Arial" w:cs="Arial"/>
          <w:szCs w:val="28"/>
          <w:lang w:val="en-US" w:eastAsia="ru-RU"/>
        </w:rPr>
        <w:t>. 2023.</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Vol. 3(5).</w:t>
      </w:r>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P. 94–109. URL: https://ejsit-journal.com/index.php/ejsit/article/view/291</w:t>
      </w:r>
      <w:r w:rsidRPr="00511005">
        <w:rPr>
          <w:rFonts w:ascii="Arial" w:eastAsia="Times New Roman" w:hAnsi="Arial" w:cs="Arial"/>
          <w:szCs w:val="28"/>
          <w:lang w:val="uk-UA" w:eastAsia="ru-RU"/>
        </w:rPr>
        <w:t>.</w:t>
      </w:r>
    </w:p>
    <w:p w14:paraId="2366F5E3" w14:textId="77777777" w:rsidR="006B07CA" w:rsidRPr="00511005" w:rsidRDefault="006B07CA"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 Севрюков Д. </w:t>
      </w:r>
      <w:r w:rsidRPr="00511005">
        <w:rPr>
          <w:rFonts w:ascii="Arial" w:eastAsia="Times New Roman" w:hAnsi="Arial" w:cs="Arial"/>
          <w:iCs/>
          <w:szCs w:val="28"/>
          <w:lang w:val="uk-UA" w:eastAsia="ru-RU"/>
        </w:rPr>
        <w:t>Суверенітет. Генеалогія ідеї в контексті політичної та правової історії:</w:t>
      </w:r>
      <w:r w:rsidRPr="00511005">
        <w:rPr>
          <w:rFonts w:ascii="Arial" w:eastAsia="Times New Roman" w:hAnsi="Arial" w:cs="Arial"/>
          <w:szCs w:val="28"/>
          <w:lang w:val="uk-UA" w:eastAsia="ru-RU"/>
        </w:rPr>
        <w:t xml:space="preserve"> монографія. </w:t>
      </w:r>
      <w:r w:rsidRPr="00511005">
        <w:rPr>
          <w:rFonts w:ascii="Arial" w:eastAsia="Times New Roman" w:hAnsi="Arial" w:cs="Arial"/>
          <w:szCs w:val="28"/>
          <w:lang w:eastAsia="ru-RU"/>
        </w:rPr>
        <w:t>К.: Талком, 2018. 234 с.</w:t>
      </w:r>
    </w:p>
    <w:p w14:paraId="3FF3D08B" w14:textId="77777777" w:rsidR="006B07CA" w:rsidRPr="00511005" w:rsidRDefault="006B07CA"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eastAsia="ru-RU"/>
        </w:rPr>
        <w:t>4. Магновський І.</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Й. Теоретико-правове осмислення сутності розвитку держави у контексті глобалізації. </w:t>
      </w:r>
      <w:r w:rsidRPr="00511005">
        <w:rPr>
          <w:rFonts w:ascii="Arial" w:eastAsia="Times New Roman" w:hAnsi="Arial" w:cs="Arial"/>
          <w:i/>
          <w:szCs w:val="28"/>
          <w:lang w:eastAsia="ru-RU"/>
        </w:rPr>
        <w:t>Науково-інформаційний вісник Івано-Франківського університету права імені Короля Данила Галицького: Журнал. Серія</w:t>
      </w:r>
      <w:r w:rsidRPr="00511005">
        <w:rPr>
          <w:rFonts w:ascii="Arial" w:eastAsia="Times New Roman" w:hAnsi="Arial" w:cs="Arial"/>
          <w:i/>
          <w:szCs w:val="28"/>
          <w:lang w:val="en-US" w:eastAsia="ru-RU"/>
        </w:rPr>
        <w:t xml:space="preserve"> </w:t>
      </w:r>
      <w:r w:rsidRPr="00511005">
        <w:rPr>
          <w:rFonts w:ascii="Arial" w:eastAsia="Times New Roman" w:hAnsi="Arial" w:cs="Arial"/>
          <w:i/>
          <w:szCs w:val="28"/>
          <w:lang w:eastAsia="ru-RU"/>
        </w:rPr>
        <w:t>Право</w:t>
      </w:r>
      <w:r w:rsidRPr="00511005">
        <w:rPr>
          <w:rFonts w:ascii="Arial" w:eastAsia="Times New Roman" w:hAnsi="Arial" w:cs="Arial"/>
          <w:i/>
          <w:szCs w:val="28"/>
          <w:lang w:val="uk-UA" w:eastAsia="ru-RU"/>
        </w:rPr>
        <w:t>.</w:t>
      </w:r>
      <w:r w:rsidRPr="00511005">
        <w:rPr>
          <w:rFonts w:ascii="Arial" w:eastAsia="Times New Roman" w:hAnsi="Arial" w:cs="Arial"/>
          <w:szCs w:val="28"/>
          <w:lang w:val="en-US" w:eastAsia="ru-RU"/>
        </w:rPr>
        <w:t xml:space="preserve"> 2022</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14(26)</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val="uk-UA" w:eastAsia="ru-RU"/>
        </w:rPr>
        <w:t>С</w:t>
      </w:r>
      <w:r w:rsidRPr="00511005">
        <w:rPr>
          <w:rFonts w:ascii="Arial" w:eastAsia="Times New Roman" w:hAnsi="Arial" w:cs="Arial"/>
          <w:szCs w:val="28"/>
          <w:lang w:val="en-US" w:eastAsia="ru-RU"/>
        </w:rPr>
        <w:t>. 46–57. DOI: 10.33098/2078-6670.2022.14.26.46-57</w:t>
      </w:r>
      <w:r w:rsidRPr="00511005">
        <w:rPr>
          <w:rFonts w:ascii="Arial" w:eastAsia="Times New Roman" w:hAnsi="Arial" w:cs="Arial"/>
          <w:szCs w:val="28"/>
          <w:lang w:val="uk-UA" w:eastAsia="ru-RU"/>
        </w:rPr>
        <w:t>.</w:t>
      </w:r>
    </w:p>
    <w:p w14:paraId="07943E7D" w14:textId="77777777" w:rsidR="006B07CA" w:rsidRPr="00511005" w:rsidRDefault="006B07CA" w:rsidP="003A292D">
      <w:pPr>
        <w:spacing w:line="264" w:lineRule="auto"/>
        <w:ind w:firstLine="0"/>
        <w:rPr>
          <w:rFonts w:ascii="Arial" w:eastAsia="Times New Roman" w:hAnsi="Arial" w:cs="Arial"/>
          <w:szCs w:val="28"/>
          <w:lang w:val="en-US" w:eastAsia="ru-RU"/>
        </w:rPr>
      </w:pPr>
      <w:r w:rsidRPr="00511005">
        <w:rPr>
          <w:rFonts w:ascii="Arial" w:eastAsia="Times New Roman" w:hAnsi="Arial" w:cs="Arial"/>
          <w:szCs w:val="28"/>
          <w:lang w:val="en-US" w:eastAsia="ru-RU"/>
        </w:rPr>
        <w:t>5. Volk</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C. The Problem of Sovereignty in Globalized Times. </w:t>
      </w:r>
      <w:r w:rsidRPr="00511005">
        <w:rPr>
          <w:rFonts w:ascii="Arial" w:eastAsia="Times New Roman" w:hAnsi="Arial" w:cs="Arial"/>
          <w:i/>
          <w:iCs/>
          <w:szCs w:val="28"/>
          <w:lang w:val="en-US" w:eastAsia="ru-RU"/>
        </w:rPr>
        <w:t>Law, Culture and the Humanities.</w:t>
      </w:r>
      <w:r w:rsidRPr="00511005">
        <w:rPr>
          <w:rFonts w:ascii="Arial" w:eastAsia="Times New Roman" w:hAnsi="Arial" w:cs="Arial"/>
          <w:szCs w:val="28"/>
          <w:lang w:val="en-US" w:eastAsia="ru-RU"/>
        </w:rPr>
        <w:t xml:space="preserve"> 2019. Vol. 18 (3). P. 716–738. URL: https://journals.sagepub.com/doi/10.1177/1743872119828010</w:t>
      </w:r>
      <w:r w:rsidRPr="00511005">
        <w:rPr>
          <w:rFonts w:ascii="Arial" w:eastAsia="Times New Roman" w:hAnsi="Arial" w:cs="Arial"/>
          <w:szCs w:val="28"/>
          <w:lang w:val="uk-UA" w:eastAsia="ru-RU"/>
        </w:rPr>
        <w:t>.</w:t>
      </w:r>
    </w:p>
    <w:p w14:paraId="5D2DFAA7" w14:textId="77777777" w:rsidR="006B07CA" w:rsidRPr="00511005" w:rsidRDefault="006B07CA"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val="en-US" w:eastAsia="ru-RU"/>
        </w:rPr>
        <w:t xml:space="preserve">6. Khodanych I. "Religion" in the Philosophy of I. Kant. The journal is registered with the Ministry of Justice of Ukraine. Certificate of state registration of printed mass media KV 24527-14467R, of June 12. </w:t>
      </w:r>
      <w:r w:rsidRPr="00511005">
        <w:rPr>
          <w:rFonts w:ascii="Arial" w:eastAsia="Times New Roman" w:hAnsi="Arial" w:cs="Arial"/>
          <w:szCs w:val="28"/>
          <w:lang w:eastAsia="ru-RU"/>
        </w:rPr>
        <w:t>2020. P. 7–17.</w:t>
      </w:r>
    </w:p>
    <w:p w14:paraId="47F5D02E" w14:textId="77777777" w:rsidR="006B07CA" w:rsidRPr="00511005" w:rsidRDefault="006B07CA"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eastAsia="ru-RU"/>
        </w:rPr>
        <w:t>7. Поцюрко О.</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Ю. Свобода та відповідальність як філософсько-правові цінності. </w:t>
      </w:r>
      <w:r w:rsidRPr="00511005">
        <w:rPr>
          <w:rFonts w:ascii="Arial" w:eastAsia="Times New Roman" w:hAnsi="Arial" w:cs="Arial"/>
          <w:i/>
          <w:szCs w:val="28"/>
          <w:lang w:eastAsia="ru-RU"/>
        </w:rPr>
        <w:t>Науковий вісник Львівського державного університету внутрішніх справ</w:t>
      </w:r>
      <w:r w:rsidRPr="00511005">
        <w:rPr>
          <w:rFonts w:ascii="Arial" w:eastAsia="Times New Roman" w:hAnsi="Arial" w:cs="Arial"/>
          <w:i/>
          <w:szCs w:val="28"/>
          <w:lang w:val="uk-UA" w:eastAsia="ru-RU"/>
        </w:rPr>
        <w:t>.</w:t>
      </w:r>
      <w:r w:rsidRPr="00511005">
        <w:rPr>
          <w:rFonts w:ascii="Arial" w:eastAsia="Times New Roman" w:hAnsi="Arial" w:cs="Arial"/>
          <w:szCs w:val="28"/>
          <w:lang w:eastAsia="ru-RU"/>
        </w:rPr>
        <w:t xml:space="preserve"> 2023</w:t>
      </w:r>
      <w:r w:rsidRPr="00511005">
        <w:rPr>
          <w:rFonts w:ascii="Arial" w:eastAsia="Times New Roman" w:hAnsi="Arial" w:cs="Arial"/>
          <w:szCs w:val="28"/>
          <w:lang w:val="uk-UA" w:eastAsia="ru-RU"/>
        </w:rPr>
        <w:t>. № 1.</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С</w:t>
      </w:r>
      <w:r w:rsidRPr="00511005">
        <w:rPr>
          <w:rFonts w:ascii="Arial" w:eastAsia="Times New Roman" w:hAnsi="Arial" w:cs="Arial"/>
          <w:szCs w:val="28"/>
          <w:lang w:eastAsia="ru-RU"/>
        </w:rPr>
        <w:t>. 86–93. URL: https://dspace.lvduvs.edu.ua/bitstream/1234567890/5643/1/11.pdf</w:t>
      </w:r>
      <w:r w:rsidRPr="00511005">
        <w:rPr>
          <w:rFonts w:ascii="Arial" w:eastAsia="Times New Roman" w:hAnsi="Arial" w:cs="Arial"/>
          <w:szCs w:val="28"/>
          <w:lang w:val="uk-UA" w:eastAsia="ru-RU"/>
        </w:rPr>
        <w:t>.</w:t>
      </w:r>
    </w:p>
    <w:p w14:paraId="3C4043B0" w14:textId="77777777" w:rsidR="006B07CA" w:rsidRPr="00511005" w:rsidRDefault="006B07CA" w:rsidP="003A292D">
      <w:pPr>
        <w:spacing w:line="264" w:lineRule="auto"/>
        <w:ind w:firstLine="0"/>
        <w:rPr>
          <w:rFonts w:ascii="Arial" w:eastAsia="Times New Roman" w:hAnsi="Arial" w:cs="Arial"/>
          <w:b/>
          <w:szCs w:val="28"/>
          <w:lang w:val="uk-UA" w:eastAsia="ru-RU"/>
        </w:rPr>
      </w:pPr>
    </w:p>
    <w:p w14:paraId="08717BA7" w14:textId="74A79AE2"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6B07CA" w:rsidRPr="00511005">
        <w:rPr>
          <w:rFonts w:ascii="Arial" w:eastAsia="Times New Roman" w:hAnsi="Arial" w:cs="Arial"/>
          <w:szCs w:val="28"/>
          <w:lang w:val="uk-UA" w:eastAsia="ru-RU"/>
        </w:rPr>
        <w:t>трансцендентний суверенітет, глобалізація, міжнародне право, державний суверенітет, національна ідентичність, міжнародні організації, політична автономія, глобальні виклики.</w:t>
      </w:r>
    </w:p>
    <w:p w14:paraId="04A15870" w14:textId="173A5368" w:rsidR="006B07CA" w:rsidRPr="00511005" w:rsidRDefault="007B2628" w:rsidP="003A292D">
      <w:pPr>
        <w:spacing w:line="264" w:lineRule="auto"/>
        <w:ind w:firstLine="0"/>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6B07CA" w:rsidRPr="00511005">
        <w:rPr>
          <w:rFonts w:ascii="Arial" w:eastAsia="Times New Roman" w:hAnsi="Arial" w:cs="Arial"/>
          <w:szCs w:val="28"/>
          <w:lang w:val="en-US" w:eastAsia="ru-RU"/>
        </w:rPr>
        <w:t>transcendental sovereignty, globalization, international law, state sovereignty, national identity, international organizations, political autonomy, global challenges.</w:t>
      </w:r>
    </w:p>
    <w:p w14:paraId="3CCA7EF4" w14:textId="0F59AD8C" w:rsidR="006B07CA" w:rsidRPr="00511005" w:rsidRDefault="006C2EDA" w:rsidP="003A292D">
      <w:pPr>
        <w:spacing w:line="264" w:lineRule="auto"/>
        <w:ind w:firstLine="0"/>
        <w:rPr>
          <w:rFonts w:ascii="Arial" w:eastAsia="Times New Roman" w:hAnsi="Arial" w:cs="Arial"/>
          <w:i/>
          <w:szCs w:val="28"/>
          <w:lang w:val="en-US" w:eastAsia="ru-RU"/>
        </w:rPr>
      </w:pPr>
      <w:r w:rsidRPr="006C2EDA">
        <w:rPr>
          <w:rFonts w:ascii="Arial" w:eastAsia="Times New Roman" w:hAnsi="Arial" w:cs="Arial"/>
          <w:b/>
          <w:bCs/>
          <w:i/>
          <w:iCs/>
          <w:szCs w:val="28"/>
          <w:lang w:val="en-US" w:eastAsia="ru-RU"/>
        </w:rPr>
        <w:t xml:space="preserve">Academic supervisor: </w:t>
      </w:r>
      <w:r w:rsidR="006B07CA" w:rsidRPr="00511005">
        <w:rPr>
          <w:rFonts w:ascii="Arial" w:eastAsia="Times New Roman" w:hAnsi="Arial" w:cs="Arial"/>
          <w:i/>
          <w:szCs w:val="28"/>
          <w:lang w:val="en-US" w:eastAsia="ru-RU"/>
        </w:rPr>
        <w:t>Doctor of Law, Professor Melnychuk O.S.</w:t>
      </w:r>
    </w:p>
    <w:p w14:paraId="3F752E4F" w14:textId="77777777" w:rsidR="006B07CA" w:rsidRPr="00511005" w:rsidRDefault="006B07CA" w:rsidP="003A292D">
      <w:pPr>
        <w:spacing w:line="264" w:lineRule="auto"/>
        <w:ind w:firstLine="0"/>
        <w:contextualSpacing/>
        <w:jc w:val="center"/>
        <w:rPr>
          <w:rFonts w:ascii="Arial" w:eastAsia="Times New Roman" w:hAnsi="Arial" w:cs="Arial"/>
          <w:szCs w:val="28"/>
          <w:lang w:val="uk-UA" w:eastAsia="uk-UA"/>
        </w:rPr>
      </w:pPr>
    </w:p>
    <w:p w14:paraId="0D7E541C" w14:textId="77777777" w:rsidR="006B07CA" w:rsidRPr="00511005" w:rsidRDefault="006B07CA" w:rsidP="003A292D">
      <w:pPr>
        <w:spacing w:line="264" w:lineRule="auto"/>
        <w:ind w:firstLine="0"/>
        <w:contextualSpacing/>
        <w:jc w:val="center"/>
        <w:rPr>
          <w:rFonts w:ascii="Arial" w:eastAsia="Times New Roman" w:hAnsi="Arial" w:cs="Arial"/>
          <w:szCs w:val="28"/>
          <w:lang w:val="uk-UA" w:eastAsia="uk-UA"/>
        </w:rPr>
      </w:pPr>
    </w:p>
    <w:p w14:paraId="426D6D9E" w14:textId="77777777" w:rsidR="006B07CA" w:rsidRPr="00511005" w:rsidRDefault="006B07CA" w:rsidP="003A292D">
      <w:pPr>
        <w:keepNext/>
        <w:spacing w:line="264" w:lineRule="auto"/>
        <w:ind w:firstLine="0"/>
        <w:jc w:val="center"/>
        <w:rPr>
          <w:rFonts w:ascii="Arial" w:eastAsia="Times New Roman" w:hAnsi="Arial" w:cs="Arial"/>
          <w:b/>
          <w:i/>
          <w:szCs w:val="28"/>
          <w:lang w:val="en-US" w:eastAsia="ru-RU"/>
        </w:rPr>
      </w:pPr>
      <w:r w:rsidRPr="00511005">
        <w:rPr>
          <w:rFonts w:ascii="Arial" w:eastAsia="Times New Roman" w:hAnsi="Arial" w:cs="Arial"/>
          <w:b/>
          <w:i/>
          <w:szCs w:val="28"/>
          <w:lang w:val="en-US" w:eastAsia="ru-RU"/>
        </w:rPr>
        <w:t>Kukuruza </w:t>
      </w:r>
      <w:r w:rsidRPr="00511005">
        <w:rPr>
          <w:rFonts w:ascii="Arial" w:eastAsia="Times New Roman" w:hAnsi="Arial" w:cs="Arial"/>
          <w:b/>
          <w:i/>
          <w:szCs w:val="28"/>
          <w:lang w:val="uk-UA" w:eastAsia="ru-RU"/>
        </w:rPr>
        <w:t>Anastasiia Victorivna</w:t>
      </w:r>
    </w:p>
    <w:p w14:paraId="7B13301E" w14:textId="77777777" w:rsidR="006B07CA" w:rsidRPr="00511005" w:rsidRDefault="006B07CA" w:rsidP="003A292D">
      <w:pPr>
        <w:keepNext/>
        <w:spacing w:line="264" w:lineRule="auto"/>
        <w:ind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1st year student of the Faculty of Judicial and International Law</w:t>
      </w:r>
    </w:p>
    <w:p w14:paraId="2A29FA6B" w14:textId="3DB8D568" w:rsidR="006B07CA" w:rsidRPr="00511005" w:rsidRDefault="006B07CA" w:rsidP="003A292D">
      <w:pPr>
        <w:keepNext/>
        <w:spacing w:line="264" w:lineRule="auto"/>
        <w:ind w:firstLine="0"/>
        <w:jc w:val="center"/>
        <w:rPr>
          <w:rFonts w:ascii="Arial" w:eastAsia="Times New Roman" w:hAnsi="Arial" w:cs="Arial"/>
          <w:bCs/>
          <w:iCs/>
          <w:szCs w:val="28"/>
          <w:lang w:val="en-US" w:eastAsia="ru-RU"/>
        </w:rPr>
      </w:pPr>
      <w:r w:rsidRPr="00511005">
        <w:rPr>
          <w:rFonts w:ascii="Arial" w:eastAsia="Times New Roman" w:hAnsi="Arial" w:cs="Arial"/>
          <w:bCs/>
          <w:iCs/>
          <w:szCs w:val="28"/>
          <w:lang w:val="en-US" w:eastAsia="ru-RU"/>
        </w:rPr>
        <w:t xml:space="preserve">of the </w:t>
      </w:r>
      <w:r w:rsidRPr="00511005">
        <w:rPr>
          <w:rFonts w:ascii="Arial" w:eastAsia="Times New Roman" w:hAnsi="Arial" w:cs="Arial"/>
          <w:bCs/>
          <w:iCs/>
          <w:szCs w:val="28"/>
          <w:lang w:val="uk-UA" w:eastAsia="ru-RU"/>
        </w:rPr>
        <w:t xml:space="preserve">National University </w:t>
      </w:r>
      <w:r w:rsidR="00F5639C" w:rsidRPr="00511005">
        <w:rPr>
          <w:rFonts w:ascii="Arial" w:eastAsia="Times New Roman" w:hAnsi="Arial" w:cs="Arial"/>
          <w:bCs/>
          <w:iCs/>
          <w:szCs w:val="28"/>
          <w:lang w:val="en-US" w:eastAsia="ru-RU"/>
        </w:rPr>
        <w:t>“</w:t>
      </w:r>
      <w:r w:rsidRPr="00511005">
        <w:rPr>
          <w:rFonts w:ascii="Arial" w:eastAsia="Times New Roman" w:hAnsi="Arial" w:cs="Arial"/>
          <w:bCs/>
          <w:iCs/>
          <w:szCs w:val="28"/>
          <w:lang w:val="uk-UA" w:eastAsia="ru-RU"/>
        </w:rPr>
        <w:t>Odesa Law Academy</w:t>
      </w:r>
      <w:r w:rsidR="00F5639C" w:rsidRPr="00511005">
        <w:rPr>
          <w:rFonts w:ascii="Arial" w:eastAsia="Times New Roman" w:hAnsi="Arial" w:cs="Arial"/>
          <w:bCs/>
          <w:iCs/>
          <w:szCs w:val="28"/>
          <w:lang w:val="en-US" w:eastAsia="ru-RU"/>
        </w:rPr>
        <w:t>”</w:t>
      </w:r>
    </w:p>
    <w:p w14:paraId="277896BE" w14:textId="77777777" w:rsidR="006B07CA" w:rsidRPr="00511005" w:rsidRDefault="006B07CA" w:rsidP="003A292D">
      <w:pPr>
        <w:keepNext/>
        <w:spacing w:line="264" w:lineRule="auto"/>
        <w:ind w:firstLine="0"/>
        <w:jc w:val="center"/>
        <w:rPr>
          <w:rFonts w:ascii="Arial" w:eastAsia="Times New Roman" w:hAnsi="Arial" w:cs="Arial"/>
          <w:i/>
          <w:szCs w:val="28"/>
          <w:lang w:val="uk-UA" w:eastAsia="ru-RU"/>
        </w:rPr>
      </w:pPr>
    </w:p>
    <w:p w14:paraId="583BAF85" w14:textId="77777777" w:rsidR="006B07CA" w:rsidRPr="00511005" w:rsidRDefault="006B07CA" w:rsidP="003A292D">
      <w:pPr>
        <w:keepNext/>
        <w:widowControl w:val="0"/>
        <w:spacing w:line="264" w:lineRule="auto"/>
        <w:ind w:firstLine="0"/>
        <w:jc w:val="center"/>
        <w:rPr>
          <w:rFonts w:ascii="Arial" w:eastAsia="Times New Roman" w:hAnsi="Arial" w:cs="Arial"/>
          <w:b/>
          <w:bCs/>
          <w:szCs w:val="28"/>
          <w:lang w:val="en-US" w:eastAsia="ru-RU"/>
        </w:rPr>
      </w:pPr>
      <w:r w:rsidRPr="00511005">
        <w:rPr>
          <w:rFonts w:ascii="Arial" w:eastAsia="Times New Roman" w:hAnsi="Arial" w:cs="Arial"/>
          <w:b/>
          <w:szCs w:val="28"/>
          <w:lang w:val="en-US" w:eastAsia="ru-RU"/>
        </w:rPr>
        <w:t xml:space="preserve">FORMATIONAL AND </w:t>
      </w:r>
      <w:r w:rsidRPr="00511005">
        <w:rPr>
          <w:rFonts w:ascii="Arial" w:eastAsia="Times New Roman" w:hAnsi="Arial" w:cs="Arial"/>
          <w:b/>
          <w:szCs w:val="28"/>
          <w:lang w:val="uk-UA" w:eastAsia="ru-RU"/>
        </w:rPr>
        <w:t>CIVILIZATIONAL</w:t>
      </w:r>
      <w:r w:rsidRPr="00511005">
        <w:rPr>
          <w:rFonts w:ascii="Arial" w:eastAsia="Times New Roman" w:hAnsi="Arial" w:cs="Arial"/>
          <w:b/>
          <w:szCs w:val="28"/>
          <w:lang w:val="en-US" w:eastAsia="ru-RU"/>
        </w:rPr>
        <w:t xml:space="preserve"> APPROACHES TO THE TYPOLOGY </w:t>
      </w:r>
      <w:r w:rsidRPr="00511005">
        <w:rPr>
          <w:rFonts w:ascii="Arial" w:eastAsia="Times New Roman" w:hAnsi="Arial" w:cs="Arial"/>
          <w:b/>
          <w:szCs w:val="28"/>
          <w:lang w:val="en-US" w:eastAsia="ru-RU"/>
        </w:rPr>
        <w:lastRenderedPageBreak/>
        <w:t>OF STATES: COMPARATIVE ANALYSIS</w:t>
      </w:r>
    </w:p>
    <w:p w14:paraId="04C95983"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typology of states is an important tool for the analysis of legal systems, allowing for classification based on characteristics such as government form, institutions, and socio-cultural features. Two of the most significant approaches in this regard are the formational and civilizational approaches. While the formational approach emphasizes historical types of the state, the civilizational approach focuses on historical, cultural, and religious elements that define the state’s identity within a broader civilizational context. This comparative analysis aims to highlight the theoretical roots, key figures, historical evolution, and practical implications of each approach.</w:t>
      </w:r>
    </w:p>
    <w:p w14:paraId="3B7BA20D"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formational approach emphasizes that the type of socio-economic relations is the main determinant of the historical type of the state. According to Marxist theory, Marx distinguishes such historical types of the state as: slave-owning, feudal, and bourgeois states.</w:t>
      </w:r>
    </w:p>
    <w:p w14:paraId="11048DB0"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Key intellectual figures of the formational approach include Montesquieu, Rousseau, and Marx, each contributing foundational ideas to the understanding of state structures. Montesquieu proposed the separation of powers as a structural necessity for the rule of law; Rousseau emphasized the social contract and the general will as foundations of legitimate governance; Marx critiqued the state as an instrument of class domination and contributed to the theory of historical materialism</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Marxist approach assumes that the type of the socio-economic relations is the main determinant of the historical type of the state. Marx distinguishes such historical types of the state as: slave-owning, feudal, bourgeois state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[1, p. 5-6].</w:t>
      </w:r>
    </w:p>
    <w:p w14:paraId="76BC5EEB"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In contrast, the civilizational approach developed from the fields of history, anthropology, and cultural studies. It emphasizes the cultural matrix within which political institutions function, asserting that states are deeply embedded in civilizational frameworks shaped by enduring traditions, religious beliefs, linguistic heritage, and collective historical experiences. Prominent contributors to the civilizational approach are Toynbee, Huntington, and others, who developed the idea that civilizations shape states based on cultural and religious foundations [1, p. 7-8].</w:t>
      </w:r>
    </w:p>
    <w:p w14:paraId="3392503D"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From the point of civilization view (Nikolay Danilevsky, Arnold Toynbee, Oswald Spengler), the history of humanity is the history of birth, development, and fading of reserved, local civilizations. Each civilization is based on a certain spiritual basis ("great idea," according to Toynbee): original religion and culture, national psychology. Each civilization has characteristics unique to its type of state [2, p. 6-7].</w:t>
      </w:r>
    </w:p>
    <w:p w14:paraId="0F1CF92C"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The formational approach concentrates on the legal-institutional features of states – political regimes (e.g., democracies, monarchies, authoritarian systems), forms of government (parliamentary, presidential, mixed), and governance mechanisms. It is particularly useful in studying state functions, policy </w:t>
      </w:r>
      <w:r w:rsidRPr="00511005">
        <w:rPr>
          <w:rFonts w:ascii="Arial" w:eastAsia="Times New Roman" w:hAnsi="Arial" w:cs="Arial"/>
          <w:szCs w:val="28"/>
          <w:lang w:val="en-US" w:eastAsia="ru-RU"/>
        </w:rPr>
        <w:lastRenderedPageBreak/>
        <w:t>implementation, and administrative efficiency. The civilizational approach, on the other hand, offers a deeper understanding of why certain institutional models are adopted and how cultural values shape governance. It highlights factors such as religion, language, historical memory, and social customs.</w:t>
      </w:r>
    </w:p>
    <w:p w14:paraId="658FCB9F"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Formational Approach:</w:t>
      </w:r>
    </w:p>
    <w:p w14:paraId="58838D45"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Strengths: allows structured classification of legal systems, which helps in building clear typologies and models of governance. This approach is particularly effective for analyzing formal political institutions, legal systems, and administrative frameworks, providing a solid foundation for comparative political studies and institutional reform assessments.</w:t>
      </w:r>
    </w:p>
    <w:p w14:paraId="49CF693B"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Weaknesses: may overlook the deeper socio-cultural contexts and historical legacies that influence state behavior and legitimacy. It tends to prioritize the surface-level mechanics of governance while potentially neglecting the cultural and ideological forces that shape institutional design and public trust [3, p. 624-625].</w:t>
      </w:r>
    </w:p>
    <w:p w14:paraId="3504DC1E"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Civilizational Approach:</w:t>
      </w:r>
    </w:p>
    <w:p w14:paraId="167D4304"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Strengths: provides rich insight into national identity, social cohesion, and long-term historical and religious traditions that shape political values and behavior. It offers a broader contextual understanding of why certain governance forms are embraced and how civilizations influence policymaking and international relations.</w:t>
      </w:r>
    </w:p>
    <w:p w14:paraId="5E80BB4E"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Weaknesses: less precise in terms of institutional analysis and formal classification. There is also a risk of overgeneralization or romanticization of civilizations, potentially leading to cultural determinism or neglecting internal diversity and change within civilizations [4, p. 205-208].</w:t>
      </w:r>
    </w:p>
    <w:p w14:paraId="0B9E8AC9" w14:textId="77777777"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While the formational approach might describe France as a semi-presidential republic with a civil law system, the civilizational perspective would emphasize its Enlightenment heritage, Catholic tradition, and Western European identity. Similarly, Saudi Arabia could be classified formationally as an absolute monarchy, but civilizationally as an Islamic state deeply rooted in Sharia law and tribal traditions.</w:t>
      </w:r>
    </w:p>
    <w:p w14:paraId="5C3F06A0" w14:textId="72DBA2B1" w:rsidR="006B07CA" w:rsidRPr="00511005" w:rsidRDefault="006B07CA" w:rsidP="00F5639C">
      <w:pPr>
        <w:keepNext/>
        <w:widowControl w:val="0"/>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Both approaches offer valuable lenses for understanding state typology. The formational approach enables precise classification based on institutions and legal frameworks, essential for governance analysis. Meanwhile, the civilizational approach enriches this understanding by embedding states in their historical and cultural narratives. A comprehensive legal analysis benefits from the integration of both perspectives – structural and civilizational – thus offering a holistic view of state formation and function. Such integration is increasingly important in a globalized world where legal structures and cultural identities often intersect and influence each other. Therefore, rather than choosing one approach over the other, scholars and analysts should consider their complementarity in analyzing </w:t>
      </w:r>
      <w:r w:rsidRPr="00511005">
        <w:rPr>
          <w:rFonts w:ascii="Arial" w:eastAsia="Times New Roman" w:hAnsi="Arial" w:cs="Arial"/>
          <w:szCs w:val="28"/>
          <w:lang w:val="en-US" w:eastAsia="ru-RU"/>
        </w:rPr>
        <w:lastRenderedPageBreak/>
        <w:t>both modern and historical state systems.</w:t>
      </w:r>
    </w:p>
    <w:p w14:paraId="6EFD56D6" w14:textId="77777777" w:rsidR="00F5639C" w:rsidRPr="00511005" w:rsidRDefault="00F5639C" w:rsidP="00F5639C">
      <w:pPr>
        <w:keepNext/>
        <w:widowControl w:val="0"/>
        <w:spacing w:line="264" w:lineRule="auto"/>
        <w:rPr>
          <w:rFonts w:ascii="Arial" w:eastAsia="Times New Roman" w:hAnsi="Arial" w:cs="Arial"/>
          <w:b/>
          <w:iCs/>
          <w:szCs w:val="28"/>
          <w:lang w:val="en-US" w:eastAsia="ru-RU"/>
        </w:rPr>
      </w:pPr>
    </w:p>
    <w:p w14:paraId="78EE1E82" w14:textId="77777777" w:rsidR="006B07CA" w:rsidRPr="00511005" w:rsidRDefault="006B07CA" w:rsidP="003A292D">
      <w:pPr>
        <w:keepNext/>
        <w:widowControl w:val="0"/>
        <w:spacing w:line="264" w:lineRule="auto"/>
        <w:ind w:firstLine="0"/>
        <w:jc w:val="center"/>
        <w:rPr>
          <w:rFonts w:ascii="Arial" w:eastAsia="Times New Roman" w:hAnsi="Arial" w:cs="Arial"/>
          <w:b/>
          <w:iCs/>
          <w:szCs w:val="28"/>
          <w:lang w:val="en-US" w:eastAsia="ru-RU"/>
        </w:rPr>
      </w:pPr>
      <w:r w:rsidRPr="00511005">
        <w:rPr>
          <w:rFonts w:ascii="Arial" w:eastAsia="Times New Roman" w:hAnsi="Arial" w:cs="Arial"/>
          <w:b/>
          <w:iCs/>
          <w:szCs w:val="28"/>
          <w:lang w:val="en-US" w:eastAsia="ru-RU"/>
        </w:rPr>
        <w:t>References</w:t>
      </w:r>
    </w:p>
    <w:p w14:paraId="62156121" w14:textId="77777777" w:rsidR="006B07CA" w:rsidRPr="00511005" w:rsidRDefault="006B07CA"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Cs/>
          <w:szCs w:val="28"/>
          <w:lang w:val="uk-UA" w:eastAsia="ru-RU"/>
        </w:rPr>
        <w:t>1. Соболь</w:t>
      </w:r>
      <w:r w:rsidRPr="00511005">
        <w:rPr>
          <w:rFonts w:ascii="Arial" w:eastAsia="Times New Roman" w:hAnsi="Arial" w:cs="Arial"/>
          <w:bCs/>
          <w:szCs w:val="28"/>
          <w:lang w:val="en-US" w:eastAsia="ru-RU"/>
        </w:rPr>
        <w:t xml:space="preserve"> </w:t>
      </w:r>
      <w:r w:rsidRPr="00511005">
        <w:rPr>
          <w:rFonts w:ascii="Arial" w:eastAsia="Times New Roman" w:hAnsi="Arial" w:cs="Arial"/>
          <w:bCs/>
          <w:szCs w:val="28"/>
          <w:lang w:val="uk-UA" w:eastAsia="ru-RU"/>
        </w:rPr>
        <w:t>Є. Ю</w:t>
      </w:r>
      <w:r w:rsidRPr="00511005">
        <w:rPr>
          <w:rFonts w:ascii="Arial" w:eastAsia="Times New Roman" w:hAnsi="Arial" w:cs="Arial"/>
          <w:bCs/>
          <w:szCs w:val="28"/>
          <w:lang w:val="en-US" w:eastAsia="ru-RU"/>
        </w:rPr>
        <w:t>.</w:t>
      </w:r>
      <w:r w:rsidRPr="00511005">
        <w:rPr>
          <w:rFonts w:ascii="Arial" w:eastAsia="Times New Roman" w:hAnsi="Arial" w:cs="Arial"/>
          <w:bCs/>
          <w:szCs w:val="28"/>
          <w:lang w:val="uk-UA" w:eastAsia="ru-RU"/>
        </w:rPr>
        <w:t xml:space="preserve">, Габелко В. О. Суспільний розвиток: співвідношення формаційного та цивілізаційного підходів. </w:t>
      </w:r>
      <w:r w:rsidRPr="00511005">
        <w:rPr>
          <w:rFonts w:ascii="Arial" w:eastAsia="Times New Roman" w:hAnsi="Arial" w:cs="Arial"/>
          <w:bCs/>
          <w:i/>
          <w:iCs/>
          <w:szCs w:val="28"/>
          <w:lang w:val="uk-UA" w:eastAsia="ru-RU"/>
        </w:rPr>
        <w:t>Наукові записки. Серія: Право</w:t>
      </w:r>
      <w:r w:rsidRPr="00511005">
        <w:rPr>
          <w:rFonts w:ascii="Arial" w:eastAsia="Times New Roman" w:hAnsi="Arial" w:cs="Arial"/>
          <w:bCs/>
          <w:szCs w:val="28"/>
          <w:lang w:val="uk-UA" w:eastAsia="ru-RU"/>
        </w:rPr>
        <w:t>.</w:t>
      </w:r>
      <w:r w:rsidRPr="00511005">
        <w:rPr>
          <w:rFonts w:ascii="Arial" w:eastAsia="Times New Roman" w:hAnsi="Arial" w:cs="Arial"/>
          <w:bCs/>
          <w:szCs w:val="28"/>
          <w:lang w:val="en-US" w:eastAsia="ru-RU"/>
        </w:rPr>
        <w:t xml:space="preserve"> 2022. </w:t>
      </w:r>
      <w:r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val="en-US" w:eastAsia="ru-RU"/>
        </w:rPr>
        <w:t xml:space="preserve">12. </w:t>
      </w:r>
      <w:r w:rsidRPr="00511005">
        <w:rPr>
          <w:rFonts w:ascii="Arial" w:eastAsia="Times New Roman" w:hAnsi="Arial" w:cs="Arial"/>
          <w:bCs/>
          <w:szCs w:val="28"/>
          <w:lang w:val="uk-UA" w:eastAsia="ru-RU"/>
        </w:rPr>
        <w:t>С</w:t>
      </w:r>
      <w:r w:rsidRPr="00511005">
        <w:rPr>
          <w:rFonts w:ascii="Arial" w:eastAsia="Times New Roman" w:hAnsi="Arial" w:cs="Arial"/>
          <w:bCs/>
          <w:szCs w:val="28"/>
          <w:lang w:val="en-US" w:eastAsia="ru-RU"/>
        </w:rPr>
        <w:t>. 4-9.</w:t>
      </w:r>
    </w:p>
    <w:p w14:paraId="693C0B39" w14:textId="77777777" w:rsidR="006B07CA" w:rsidRPr="00511005" w:rsidRDefault="006B07CA"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en-US" w:eastAsia="ru-RU"/>
        </w:rPr>
        <w:t xml:space="preserve">2. Geryliv D. The general theoretical characteristic of the integrative approach to the typology of the state. </w:t>
      </w:r>
      <w:r w:rsidRPr="00511005">
        <w:rPr>
          <w:rFonts w:ascii="Arial" w:eastAsia="Times New Roman" w:hAnsi="Arial" w:cs="Arial"/>
          <w:bCs/>
          <w:i/>
          <w:iCs/>
          <w:szCs w:val="28"/>
          <w:lang w:val="en-US" w:eastAsia="ru-RU"/>
        </w:rPr>
        <w:t>Scientific Gerald of international humanitarian university.</w:t>
      </w:r>
      <w:r w:rsidRPr="00511005">
        <w:rPr>
          <w:rFonts w:ascii="Arial" w:eastAsia="Times New Roman" w:hAnsi="Arial" w:cs="Arial"/>
          <w:bCs/>
          <w:szCs w:val="28"/>
          <w:lang w:val="en-US" w:eastAsia="ru-RU"/>
        </w:rPr>
        <w:t xml:space="preserve"> 2013. Vol. 6(1). P. 6-7. URL: </w:t>
      </w:r>
      <w:hyperlink r:id="rId41" w:history="1">
        <w:r w:rsidRPr="00511005">
          <w:rPr>
            <w:rFonts w:ascii="Arial" w:eastAsia="Times New Roman" w:hAnsi="Arial" w:cs="Arial"/>
            <w:bCs/>
            <w:szCs w:val="28"/>
            <w:lang w:val="en-US" w:eastAsia="ru-RU"/>
          </w:rPr>
          <w:t>https://www.vestnik-pravo.mgu.od.ua/archive/juspradenc6-1-1eng/03.pdf</w:t>
        </w:r>
      </w:hyperlink>
      <w:r w:rsidRPr="00511005">
        <w:rPr>
          <w:rFonts w:ascii="Arial" w:eastAsia="Times New Roman" w:hAnsi="Arial" w:cs="Arial"/>
          <w:bCs/>
          <w:szCs w:val="28"/>
          <w:lang w:val="uk-UA" w:eastAsia="ru-RU"/>
        </w:rPr>
        <w:t>.</w:t>
      </w:r>
    </w:p>
    <w:p w14:paraId="3F877A8D" w14:textId="77777777" w:rsidR="006B07CA" w:rsidRPr="00511005" w:rsidRDefault="006B07CA" w:rsidP="003A292D">
      <w:pPr>
        <w:spacing w:line="264" w:lineRule="auto"/>
        <w:ind w:firstLine="0"/>
        <w:rPr>
          <w:rFonts w:ascii="Arial" w:eastAsia="Times New Roman" w:hAnsi="Arial" w:cs="Arial"/>
          <w:bCs/>
          <w:szCs w:val="28"/>
          <w:lang w:val="en-US" w:eastAsia="ru-RU"/>
        </w:rPr>
      </w:pPr>
      <w:r w:rsidRPr="00511005">
        <w:rPr>
          <w:rFonts w:ascii="Arial" w:eastAsia="Times New Roman" w:hAnsi="Arial" w:cs="Arial"/>
          <w:bCs/>
          <w:szCs w:val="28"/>
          <w:lang w:val="en-US" w:eastAsia="ru-RU"/>
        </w:rPr>
        <w:t xml:space="preserve">3. Eisenstadt Sh. N. Comparative analysis of state formation in historical contexts. </w:t>
      </w:r>
      <w:r w:rsidRPr="00511005">
        <w:rPr>
          <w:rFonts w:ascii="Arial" w:eastAsia="Times New Roman" w:hAnsi="Arial" w:cs="Arial"/>
          <w:bCs/>
          <w:i/>
          <w:iCs/>
          <w:szCs w:val="28"/>
          <w:lang w:val="en-US" w:eastAsia="ru-RU"/>
        </w:rPr>
        <w:t>International social science journal.</w:t>
      </w:r>
      <w:r w:rsidRPr="00511005">
        <w:rPr>
          <w:rFonts w:ascii="Arial" w:eastAsia="Times New Roman" w:hAnsi="Arial" w:cs="Arial"/>
          <w:bCs/>
          <w:szCs w:val="28"/>
          <w:lang w:val="en-US" w:eastAsia="ru-RU"/>
        </w:rPr>
        <w:t xml:space="preserve"> 1980. Vol. 32(4). P. 624-654. URL: </w:t>
      </w:r>
      <w:hyperlink r:id="rId42" w:history="1">
        <w:r w:rsidRPr="00511005">
          <w:rPr>
            <w:rFonts w:ascii="Arial" w:eastAsia="Times New Roman" w:hAnsi="Arial" w:cs="Arial"/>
            <w:bCs/>
            <w:szCs w:val="28"/>
            <w:lang w:val="en-US" w:eastAsia="ru-RU"/>
          </w:rPr>
          <w:t>https://unesdoc.unesco.org/ark:/48223/pf0000043599</w:t>
        </w:r>
      </w:hyperlink>
      <w:r w:rsidRPr="00511005">
        <w:rPr>
          <w:rFonts w:ascii="Arial" w:eastAsia="Times New Roman" w:hAnsi="Arial" w:cs="Arial"/>
          <w:bCs/>
          <w:szCs w:val="28"/>
          <w:lang w:val="en-US" w:eastAsia="ru-RU"/>
        </w:rPr>
        <w:t>.</w:t>
      </w:r>
    </w:p>
    <w:p w14:paraId="4B753BD4" w14:textId="77777777" w:rsidR="006B07CA" w:rsidRPr="00511005" w:rsidRDefault="006B07CA" w:rsidP="003A292D">
      <w:pPr>
        <w:spacing w:line="264" w:lineRule="auto"/>
        <w:ind w:firstLine="0"/>
        <w:rPr>
          <w:rFonts w:ascii="Arial" w:eastAsia="Times New Roman" w:hAnsi="Arial" w:cs="Arial"/>
          <w:bCs/>
          <w:szCs w:val="28"/>
          <w:lang w:val="en-US" w:eastAsia="ru-RU"/>
        </w:rPr>
      </w:pPr>
      <w:r w:rsidRPr="00511005">
        <w:rPr>
          <w:rFonts w:ascii="Arial" w:eastAsia="Times New Roman" w:hAnsi="Arial" w:cs="Arial"/>
          <w:bCs/>
          <w:szCs w:val="28"/>
          <w:lang w:val="en-US" w:eastAsia="ru-RU"/>
        </w:rPr>
        <w:t xml:space="preserve">4. Asratyan N. Categories and methods of civilizational approach in modern philosophical and historical discourse. 2023. Vol. 12(61). P. 202-211. URL: </w:t>
      </w:r>
      <w:hyperlink r:id="rId43" w:history="1">
        <w:r w:rsidRPr="00511005">
          <w:rPr>
            <w:rFonts w:ascii="Arial" w:eastAsia="Times New Roman" w:hAnsi="Arial" w:cs="Arial"/>
            <w:bCs/>
            <w:szCs w:val="28"/>
            <w:lang w:val="en-US" w:eastAsia="ru-RU"/>
          </w:rPr>
          <w:t>https://amazoniainvestiga.info/index.php/amazonia/article/view/2255/3220</w:t>
        </w:r>
      </w:hyperlink>
      <w:r w:rsidRPr="00511005">
        <w:rPr>
          <w:rFonts w:ascii="Arial" w:eastAsia="Times New Roman" w:hAnsi="Arial" w:cs="Arial"/>
          <w:bCs/>
          <w:szCs w:val="28"/>
          <w:lang w:val="en-US" w:eastAsia="ru-RU"/>
        </w:rPr>
        <w:t>.</w:t>
      </w:r>
    </w:p>
    <w:p w14:paraId="6B850E3A" w14:textId="77777777" w:rsidR="006B07CA" w:rsidRPr="00511005" w:rsidRDefault="006B07CA" w:rsidP="003A292D">
      <w:pPr>
        <w:spacing w:line="264" w:lineRule="auto"/>
        <w:ind w:firstLine="0"/>
        <w:rPr>
          <w:rFonts w:ascii="Arial" w:eastAsia="Times New Roman" w:hAnsi="Arial" w:cs="Arial"/>
          <w:bCs/>
          <w:szCs w:val="28"/>
          <w:lang w:val="en-US" w:eastAsia="ru-RU"/>
        </w:rPr>
      </w:pPr>
    </w:p>
    <w:p w14:paraId="6A7FBB95" w14:textId="2BA4C357" w:rsidR="006B07CA" w:rsidRPr="00511005" w:rsidRDefault="007B2628" w:rsidP="003A292D">
      <w:pPr>
        <w:keepNext/>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6B07CA" w:rsidRPr="00511005">
        <w:rPr>
          <w:rFonts w:ascii="Arial" w:eastAsia="Times New Roman" w:hAnsi="Arial" w:cs="Arial"/>
          <w:szCs w:val="28"/>
          <w:lang w:val="uk-UA" w:eastAsia="ru-RU"/>
        </w:rPr>
        <w:t>типологія держав, формаційний підхід, цивілізаційний підхід, правові системи, правова культура, компаративний аналіз.</w:t>
      </w:r>
    </w:p>
    <w:p w14:paraId="414C2E5A" w14:textId="5FD54AB1" w:rsidR="006B07CA" w:rsidRPr="00511005" w:rsidRDefault="007B2628" w:rsidP="003A292D">
      <w:pPr>
        <w:keepNext/>
        <w:spacing w:line="264" w:lineRule="auto"/>
        <w:ind w:firstLine="0"/>
        <w:rPr>
          <w:rFonts w:ascii="Arial" w:eastAsia="Times New Roman" w:hAnsi="Arial" w:cs="Arial"/>
          <w:bCs/>
          <w:szCs w:val="28"/>
          <w:lang w:val="en-US" w:eastAsia="ru-RU"/>
        </w:rPr>
      </w:pPr>
      <w:r w:rsidRPr="00511005">
        <w:rPr>
          <w:rFonts w:ascii="Arial" w:eastAsia="Times New Roman" w:hAnsi="Arial" w:cs="Arial"/>
          <w:b/>
          <w:i/>
          <w:szCs w:val="28"/>
          <w:lang w:val="en-US" w:eastAsia="ru-RU"/>
        </w:rPr>
        <w:t xml:space="preserve">Key words: </w:t>
      </w:r>
      <w:r w:rsidR="006B07CA" w:rsidRPr="00511005">
        <w:rPr>
          <w:rFonts w:ascii="Arial" w:eastAsia="Times New Roman" w:hAnsi="Arial" w:cs="Arial"/>
          <w:bCs/>
          <w:szCs w:val="28"/>
          <w:lang w:val="en-US" w:eastAsia="ru-RU"/>
        </w:rPr>
        <w:t>typology of states, formational approach, civilizational approach, legal systems, legal culture, comparative analysis.</w:t>
      </w:r>
    </w:p>
    <w:p w14:paraId="229B09C4" w14:textId="4E485D83" w:rsidR="006B07CA" w:rsidRPr="00511005" w:rsidRDefault="006C2EDA" w:rsidP="003A292D">
      <w:pPr>
        <w:spacing w:line="264" w:lineRule="auto"/>
        <w:ind w:firstLine="0"/>
        <w:rPr>
          <w:rFonts w:ascii="Arial" w:eastAsia="Times New Roman" w:hAnsi="Arial" w:cs="Arial"/>
          <w:bCs/>
          <w:i/>
          <w:iCs/>
          <w:szCs w:val="28"/>
          <w:lang w:val="uk-UA" w:eastAsia="ru-RU"/>
        </w:rPr>
      </w:pPr>
      <w:r w:rsidRPr="006C2EDA">
        <w:rPr>
          <w:rFonts w:ascii="Arial" w:eastAsia="Times New Roman" w:hAnsi="Arial" w:cs="Arial"/>
          <w:b/>
          <w:bCs/>
          <w:i/>
          <w:iCs/>
          <w:szCs w:val="28"/>
          <w:lang w:val="en-US" w:eastAsia="ru-RU"/>
        </w:rPr>
        <w:t xml:space="preserve">Academic supervisor: </w:t>
      </w:r>
      <w:r w:rsidR="006B07CA" w:rsidRPr="00511005">
        <w:rPr>
          <w:rFonts w:ascii="Arial" w:eastAsia="Times New Roman" w:hAnsi="Arial" w:cs="Arial"/>
          <w:bCs/>
          <w:i/>
          <w:iCs/>
          <w:szCs w:val="28"/>
          <w:lang w:val="uk-UA" w:eastAsia="ru-RU"/>
        </w:rPr>
        <w:t xml:space="preserve">Doctor of Law, Professor </w:t>
      </w:r>
      <w:r w:rsidR="006B07CA" w:rsidRPr="00511005">
        <w:rPr>
          <w:rFonts w:ascii="Arial" w:eastAsia="Times New Roman" w:hAnsi="Arial" w:cs="Arial"/>
          <w:bCs/>
          <w:i/>
          <w:iCs/>
          <w:szCs w:val="28"/>
          <w:lang w:val="en-US" w:eastAsia="ru-RU"/>
        </w:rPr>
        <w:t>Melnychuk O</w:t>
      </w:r>
      <w:r w:rsidR="006B07CA" w:rsidRPr="00511005">
        <w:rPr>
          <w:rFonts w:ascii="Arial" w:eastAsia="Times New Roman" w:hAnsi="Arial" w:cs="Arial"/>
          <w:bCs/>
          <w:i/>
          <w:iCs/>
          <w:szCs w:val="28"/>
          <w:lang w:val="uk-UA" w:eastAsia="ru-RU"/>
        </w:rPr>
        <w:t>.</w:t>
      </w:r>
      <w:r w:rsidR="006B07CA" w:rsidRPr="00511005">
        <w:rPr>
          <w:rFonts w:ascii="Arial" w:eastAsia="Times New Roman" w:hAnsi="Arial" w:cs="Arial"/>
          <w:bCs/>
          <w:i/>
          <w:iCs/>
          <w:szCs w:val="28"/>
          <w:lang w:val="en-US" w:eastAsia="ru-RU"/>
        </w:rPr>
        <w:t>S.</w:t>
      </w:r>
    </w:p>
    <w:p w14:paraId="30D25A3A" w14:textId="77777777" w:rsidR="006B07CA" w:rsidRPr="00511005" w:rsidRDefault="006B07CA" w:rsidP="003A292D">
      <w:pPr>
        <w:spacing w:line="264" w:lineRule="auto"/>
        <w:ind w:firstLine="0"/>
        <w:rPr>
          <w:rFonts w:ascii="Arial" w:eastAsia="Times New Roman" w:hAnsi="Arial" w:cs="Arial"/>
          <w:bCs/>
          <w:i/>
          <w:iCs/>
          <w:szCs w:val="28"/>
          <w:lang w:val="uk-UA" w:eastAsia="ru-RU"/>
        </w:rPr>
      </w:pPr>
    </w:p>
    <w:p w14:paraId="10DC3B7D" w14:textId="77777777" w:rsidR="006B07CA" w:rsidRPr="00511005" w:rsidRDefault="006B07CA" w:rsidP="003A292D">
      <w:pPr>
        <w:spacing w:line="264" w:lineRule="auto"/>
        <w:ind w:firstLine="0"/>
        <w:rPr>
          <w:rFonts w:ascii="Arial" w:eastAsia="Times New Roman" w:hAnsi="Arial" w:cs="Arial"/>
          <w:bCs/>
          <w:i/>
          <w:iCs/>
          <w:szCs w:val="28"/>
          <w:lang w:val="uk-UA" w:eastAsia="ru-RU"/>
        </w:rPr>
      </w:pPr>
    </w:p>
    <w:p w14:paraId="776DA11B" w14:textId="77777777" w:rsidR="006B07CA" w:rsidRPr="00511005" w:rsidRDefault="006B07CA" w:rsidP="003A292D">
      <w:pPr>
        <w:spacing w:line="264" w:lineRule="auto"/>
        <w:ind w:firstLine="0"/>
        <w:jc w:val="center"/>
        <w:rPr>
          <w:rFonts w:ascii="Arial" w:eastAsia="Times New Roman" w:hAnsi="Arial" w:cs="Arial"/>
          <w:b/>
          <w:bCs/>
          <w:i/>
          <w:iCs/>
          <w:szCs w:val="28"/>
          <w:lang w:val="en-US" w:eastAsia="ru-RU"/>
        </w:rPr>
      </w:pPr>
      <w:r w:rsidRPr="00511005">
        <w:rPr>
          <w:rFonts w:ascii="Arial" w:eastAsia="Times New Roman" w:hAnsi="Arial" w:cs="Arial"/>
          <w:b/>
          <w:bCs/>
          <w:i/>
          <w:iCs/>
          <w:szCs w:val="28"/>
          <w:lang w:val="en-US" w:eastAsia="zh-CN"/>
        </w:rPr>
        <w:t>Kutserubova</w:t>
      </w:r>
      <w:r w:rsidRPr="00511005">
        <w:rPr>
          <w:rFonts w:ascii="Arial" w:eastAsia="Times New Roman" w:hAnsi="Arial" w:cs="Arial"/>
          <w:b/>
          <w:bCs/>
          <w:i/>
          <w:iCs/>
          <w:szCs w:val="28"/>
          <w:lang w:val="uk-UA" w:eastAsia="zh-CN"/>
        </w:rPr>
        <w:t xml:space="preserve"> </w:t>
      </w:r>
      <w:r w:rsidRPr="00511005">
        <w:rPr>
          <w:rFonts w:ascii="Arial" w:eastAsia="Times New Roman" w:hAnsi="Arial" w:cs="Arial"/>
          <w:b/>
          <w:bCs/>
          <w:i/>
          <w:iCs/>
          <w:szCs w:val="28"/>
          <w:lang w:val="en-US" w:eastAsia="zh-CN"/>
        </w:rPr>
        <w:t xml:space="preserve">Sofia </w:t>
      </w:r>
      <w:r w:rsidRPr="00511005">
        <w:rPr>
          <w:rFonts w:ascii="Arial" w:eastAsia="Times New Roman" w:hAnsi="Arial" w:cs="Arial"/>
          <w:b/>
          <w:i/>
          <w:szCs w:val="28"/>
          <w:lang w:val="en-US" w:eastAsia="ru-RU"/>
        </w:rPr>
        <w:t>Evhenivna</w:t>
      </w:r>
    </w:p>
    <w:p w14:paraId="43CA7EE5" w14:textId="45E2290F" w:rsidR="006B07CA" w:rsidRPr="00511005" w:rsidRDefault="00C31440" w:rsidP="003A292D">
      <w:pPr>
        <w:spacing w:line="264" w:lineRule="auto"/>
        <w:ind w:firstLine="0"/>
        <w:jc w:val="center"/>
        <w:rPr>
          <w:rFonts w:ascii="Arial" w:eastAsia="Times New Roman" w:hAnsi="Arial" w:cs="Arial"/>
          <w:szCs w:val="28"/>
          <w:lang w:val="en-US" w:eastAsia="ru-RU"/>
        </w:rPr>
      </w:pPr>
      <w:r w:rsidRPr="00511005">
        <w:rPr>
          <w:rFonts w:ascii="Arial" w:eastAsia="Times New Roman" w:hAnsi="Arial" w:cs="Arial"/>
          <w:bCs/>
          <w:iCs/>
          <w:szCs w:val="28"/>
          <w:lang w:val="uk-UA" w:eastAsia="ru-RU"/>
        </w:rPr>
        <w:t>1st year student of the Faculty of Judicial and International Law</w:t>
      </w:r>
    </w:p>
    <w:p w14:paraId="4A72FB38" w14:textId="77777777" w:rsidR="006B07CA" w:rsidRPr="00511005" w:rsidRDefault="006B07CA" w:rsidP="003A292D">
      <w:pPr>
        <w:spacing w:line="264" w:lineRule="auto"/>
        <w:ind w:firstLine="0"/>
        <w:jc w:val="center"/>
        <w:rPr>
          <w:rFonts w:ascii="Arial" w:eastAsia="Times New Roman" w:hAnsi="Arial" w:cs="Arial"/>
          <w:szCs w:val="28"/>
          <w:lang w:val="en-US" w:eastAsia="ru-RU"/>
        </w:rPr>
      </w:pPr>
      <w:r w:rsidRPr="00511005">
        <w:rPr>
          <w:rFonts w:ascii="Arial" w:eastAsia="Times New Roman" w:hAnsi="Arial" w:cs="Arial"/>
          <w:szCs w:val="28"/>
          <w:lang w:val="en-US" w:eastAsia="zh-CN"/>
        </w:rPr>
        <w:t>of the National University “Odesa Law Academy”</w:t>
      </w:r>
    </w:p>
    <w:p w14:paraId="381C7FFE" w14:textId="77777777" w:rsidR="006B07CA" w:rsidRPr="00511005" w:rsidRDefault="006B07CA" w:rsidP="003A292D">
      <w:pPr>
        <w:spacing w:line="264" w:lineRule="auto"/>
        <w:ind w:firstLine="0"/>
        <w:jc w:val="center"/>
        <w:rPr>
          <w:rFonts w:ascii="Arial" w:eastAsia="Times New Roman" w:hAnsi="Arial" w:cs="Arial"/>
          <w:szCs w:val="28"/>
          <w:lang w:val="en-US" w:eastAsia="ru-RU"/>
        </w:rPr>
      </w:pPr>
    </w:p>
    <w:p w14:paraId="3866F549" w14:textId="77777777" w:rsidR="006B07CA" w:rsidRPr="00511005" w:rsidRDefault="006B07CA"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en-US" w:eastAsia="zh-CN"/>
        </w:rPr>
        <w:t>INFLUENCE OF FEMINIST LEGAL THEORY ON THE DEVELOPMENT OF LEGAL SYSTEMS</w:t>
      </w:r>
    </w:p>
    <w:p w14:paraId="60DCCC55" w14:textId="77777777" w:rsidR="006B07CA" w:rsidRPr="00511005" w:rsidRDefault="006B07CA" w:rsidP="00C31440">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zh-CN"/>
        </w:rPr>
        <w:t xml:space="preserve">Despite the rapid progress of society, gender inequality remains a pressing issue in many legal </w:t>
      </w:r>
      <w:r w:rsidRPr="00511005">
        <w:rPr>
          <w:rFonts w:ascii="Arial" w:eastAsia="Times New Roman" w:hAnsi="Arial" w:cs="Arial"/>
          <w:szCs w:val="28"/>
          <w:lang w:val="en-US" w:eastAsia="zh-CN"/>
        </w:rPr>
        <w:t>systems</w:t>
      </w:r>
      <w:r w:rsidRPr="00511005">
        <w:rPr>
          <w:rFonts w:ascii="Arial" w:eastAsia="Times New Roman" w:hAnsi="Arial" w:cs="Arial"/>
          <w:szCs w:val="28"/>
          <w:lang w:val="uk-UA" w:eastAsia="zh-CN"/>
        </w:rPr>
        <w:t xml:space="preserve"> around the world, even in the 21st century. Feminist legal theory looks at law from the perspective of political, economic and social aspects of equality. The women's movement initially focused on political rights, including voting and being elected to parliament. Feminist legal theory highlights historical inequalities due to male dominance and aims for equal rights for all genders. Legislative acts on employment, divorce, reproductive rights, and related issues have been improved for greater equity.</w:t>
      </w:r>
    </w:p>
    <w:p w14:paraId="1197B86A" w14:textId="77777777" w:rsidR="006B07CA" w:rsidRPr="00511005" w:rsidRDefault="006B07CA" w:rsidP="00C31440">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zh-CN"/>
        </w:rPr>
        <w:t xml:space="preserve">Thus, the relevance of studying the impact of feminist legal theory on the development of legal systems is due to several factors. First, this approach promotes a new understanding of traditional legal concepts such as equality, justice and human rights. Secondly, feminist jurisprudence emphasizes that </w:t>
      </w:r>
      <w:r w:rsidRPr="00511005">
        <w:rPr>
          <w:rFonts w:ascii="Arial" w:eastAsia="Times New Roman" w:hAnsi="Arial" w:cs="Arial"/>
          <w:szCs w:val="28"/>
          <w:lang w:val="uk-UA" w:eastAsia="zh-CN"/>
        </w:rPr>
        <w:lastRenderedPageBreak/>
        <w:t>equality cannot be reduced to a simple formal equation, but requires taking into account the real differences in the experiences and situation of men and women. Thirdly, the feminist movement has influenced the adoption of a number of legislative acts aimed at protecting women's rights in various areas.</w:t>
      </w:r>
    </w:p>
    <w:p w14:paraId="048A84B1" w14:textId="77777777" w:rsidR="006B07CA" w:rsidRPr="00511005" w:rsidRDefault="006B07CA" w:rsidP="00C31440">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zh-CN"/>
        </w:rPr>
        <w:t>The concept of equality is key to feminist jurisprudence. Supporters argue that legal systems, meant to be neutral, are actually grounded in men's experiences and values, challenging the fairness of the law. Rosemary Hunter notes that equality and inequality are important starting points for discussing women's rights but do not explain the reasons for women's oppression or provide solutions to it. [</w:t>
      </w:r>
      <w:r w:rsidRPr="00511005">
        <w:rPr>
          <w:rFonts w:ascii="Arial" w:eastAsia="Times New Roman" w:hAnsi="Arial" w:cs="Arial"/>
          <w:szCs w:val="28"/>
          <w:lang w:val="en-US" w:eastAsia="zh-CN"/>
        </w:rPr>
        <w:t>1</w:t>
      </w:r>
      <w:r w:rsidRPr="00511005">
        <w:rPr>
          <w:rFonts w:ascii="Arial" w:eastAsia="Times New Roman" w:hAnsi="Arial" w:cs="Arial"/>
          <w:szCs w:val="28"/>
          <w:lang w:val="uk-UA" w:eastAsia="zh-CN"/>
        </w:rPr>
        <w:t xml:space="preserve">, p. 100]. Feminist legal theory offers several approaches, such as social justice, citizenship and empowerment. </w:t>
      </w:r>
      <w:r w:rsidRPr="00511005">
        <w:rPr>
          <w:rFonts w:ascii="Arial" w:eastAsia="Times New Roman" w:hAnsi="Arial" w:cs="Arial"/>
          <w:szCs w:val="28"/>
          <w:lang w:val="en-US" w:eastAsia="zh-CN"/>
        </w:rPr>
        <w:t xml:space="preserve">However, </w:t>
      </w:r>
      <w:r w:rsidRPr="00511005">
        <w:rPr>
          <w:rFonts w:ascii="Arial" w:eastAsia="Times New Roman" w:hAnsi="Arial" w:cs="Arial"/>
          <w:szCs w:val="28"/>
          <w:lang w:val="uk-UA" w:eastAsia="zh-CN"/>
        </w:rPr>
        <w:t>Vanessa Murno argues that these concepts are not true alternatives to equality. They expand the understanding of equality beyond legal aspects, but cannot replace it as a legal goal or value. [</w:t>
      </w:r>
      <w:r w:rsidRPr="00511005">
        <w:rPr>
          <w:rFonts w:ascii="Arial" w:eastAsia="Times New Roman" w:hAnsi="Arial" w:cs="Arial"/>
          <w:szCs w:val="28"/>
          <w:lang w:val="en-US" w:eastAsia="zh-CN"/>
        </w:rPr>
        <w:t>2</w:t>
      </w:r>
      <w:r w:rsidRPr="00511005">
        <w:rPr>
          <w:rFonts w:ascii="Arial" w:eastAsia="Times New Roman" w:hAnsi="Arial" w:cs="Arial"/>
          <w:szCs w:val="28"/>
          <w:lang w:val="uk-UA" w:eastAsia="zh-CN"/>
        </w:rPr>
        <w:t>, p. 89].</w:t>
      </w:r>
    </w:p>
    <w:p w14:paraId="51112708" w14:textId="77777777" w:rsidR="006B07CA" w:rsidRPr="00511005" w:rsidRDefault="006B07CA" w:rsidP="00C31440">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zh-CN"/>
        </w:rPr>
        <w:t xml:space="preserve">This theory </w:t>
      </w:r>
      <w:r w:rsidRPr="00511005">
        <w:rPr>
          <w:rFonts w:ascii="Arial" w:eastAsia="Times New Roman" w:hAnsi="Arial" w:cs="Arial"/>
          <w:szCs w:val="28"/>
          <w:lang w:val="en-US" w:eastAsia="zh-CN"/>
        </w:rPr>
        <w:t xml:space="preserve">also </w:t>
      </w:r>
      <w:r w:rsidRPr="00511005">
        <w:rPr>
          <w:rFonts w:ascii="Arial" w:eastAsia="Times New Roman" w:hAnsi="Arial" w:cs="Arial"/>
          <w:szCs w:val="28"/>
          <w:lang w:val="uk-UA" w:eastAsia="zh-CN"/>
        </w:rPr>
        <w:t>highlights the differences between men and women, recognizing their unique experiences and values. Legal systems using a male standard are critiqued, as noted by Painter, who emphasizes the importance of gender, class, and race in shaping these differences [</w:t>
      </w:r>
      <w:r w:rsidRPr="00511005">
        <w:rPr>
          <w:rFonts w:ascii="Arial" w:eastAsia="Times New Roman" w:hAnsi="Arial" w:cs="Arial"/>
          <w:szCs w:val="28"/>
          <w:lang w:val="en-US" w:eastAsia="zh-CN"/>
        </w:rPr>
        <w:t>3</w:t>
      </w:r>
      <w:r w:rsidRPr="00511005">
        <w:rPr>
          <w:rFonts w:ascii="Arial" w:eastAsia="Times New Roman" w:hAnsi="Arial" w:cs="Arial"/>
          <w:szCs w:val="28"/>
          <w:lang w:val="uk-UA" w:eastAsia="zh-CN"/>
        </w:rPr>
        <w:t>].</w:t>
      </w:r>
    </w:p>
    <w:p w14:paraId="1A13489B" w14:textId="77777777" w:rsidR="006B07CA" w:rsidRPr="00511005" w:rsidRDefault="006B07CA" w:rsidP="00C31440">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zh-CN"/>
        </w:rPr>
        <w:t>The concepts of feminist legal theory have greatly influenced international legal systems, leading to laws that protect women's rights in labor, family, and domestic violence. This change followed the ratification of the UN Convention on the Elimination of All Forms of Discrimination against Women. Article 13 highlights the importance of eliminating discrimination in economic and social areas, ensuring equal rights for women, including family allowances, loans, and permits [</w:t>
      </w:r>
      <w:r w:rsidRPr="00511005">
        <w:rPr>
          <w:rFonts w:ascii="Arial" w:eastAsia="Times New Roman" w:hAnsi="Arial" w:cs="Arial"/>
          <w:szCs w:val="28"/>
          <w:lang w:val="en-US" w:eastAsia="zh-CN"/>
        </w:rPr>
        <w:t>4</w:t>
      </w:r>
      <w:r w:rsidRPr="00511005">
        <w:rPr>
          <w:rFonts w:ascii="Arial" w:eastAsia="Times New Roman" w:hAnsi="Arial" w:cs="Arial"/>
          <w:szCs w:val="28"/>
          <w:lang w:val="uk-UA" w:eastAsia="zh-CN"/>
        </w:rPr>
        <w:t>].</w:t>
      </w:r>
    </w:p>
    <w:p w14:paraId="70D52EF5" w14:textId="77777777" w:rsidR="006B07CA" w:rsidRPr="00511005" w:rsidRDefault="006B07CA" w:rsidP="00C31440">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zh-CN"/>
        </w:rPr>
        <w:t>The feminist concept of legal equality is reflected in labour law. The Beijing Declarations, adopted in 1995, emphasize the importance of promoting women's economic independence, in particular through employment (paragraph 26) [</w:t>
      </w:r>
      <w:r w:rsidRPr="00511005">
        <w:rPr>
          <w:rFonts w:ascii="Arial" w:eastAsia="Times New Roman" w:hAnsi="Arial" w:cs="Arial"/>
          <w:szCs w:val="28"/>
          <w:lang w:val="en-US" w:eastAsia="zh-CN"/>
        </w:rPr>
        <w:t>5</w:t>
      </w:r>
      <w:r w:rsidRPr="00511005">
        <w:rPr>
          <w:rFonts w:ascii="Arial" w:eastAsia="Times New Roman" w:hAnsi="Arial" w:cs="Arial"/>
          <w:szCs w:val="28"/>
          <w:lang w:val="uk-UA" w:eastAsia="zh-CN"/>
        </w:rPr>
        <w:t>].</w:t>
      </w:r>
      <w:r w:rsidRPr="00511005">
        <w:rPr>
          <w:rFonts w:ascii="Arial" w:eastAsia="Times New Roman" w:hAnsi="Arial" w:cs="Arial"/>
          <w:szCs w:val="28"/>
          <w:lang w:val="en-US" w:eastAsia="zh-CN"/>
        </w:rPr>
        <w:t xml:space="preserve"> This conference aimed to impact international legal system. This is shown in laws like Germany's Equal Opportunities Law, Spain's law on gender-based violence, and Ukraine’s law for equal rights opportunities for women and men. [6]</w:t>
      </w:r>
      <w:r w:rsidRPr="00511005">
        <w:rPr>
          <w:rFonts w:ascii="Arial" w:eastAsia="Times New Roman" w:hAnsi="Arial" w:cs="Arial"/>
          <w:szCs w:val="28"/>
          <w:lang w:val="uk-UA" w:eastAsia="zh-CN"/>
        </w:rPr>
        <w:t>.</w:t>
      </w:r>
      <w:r w:rsidRPr="00511005">
        <w:rPr>
          <w:rFonts w:ascii="Arial" w:eastAsia="Times New Roman" w:hAnsi="Arial" w:cs="Arial"/>
          <w:szCs w:val="28"/>
          <w:lang w:val="en-US" w:eastAsia="zh-CN"/>
        </w:rPr>
        <w:t xml:space="preserve"> The ideas presented in the Beijing Declaration have been incorporated into various legal documents in countries with an Anglo-American legal system, including Australia's Sex Discrimination Act and the Domestic Violence, Crime and Victims Act in the UK. Nonetheless, it is crucial to highlight that the Declaration did not exert a direct influence on religious legal systems or common law. In countries such as Saudi Arabia and Grenada, which did not participate in the conference, significant gender inequality persists, characterized by unequal marriage ages, divorce and custody rights, and restrictions on women holding leadership or public roles.</w:t>
      </w:r>
      <w:r w:rsidRPr="00511005">
        <w:rPr>
          <w:rFonts w:ascii="Arial" w:eastAsia="Times New Roman" w:hAnsi="Arial" w:cs="Arial"/>
          <w:szCs w:val="28"/>
          <w:lang w:val="uk-UA" w:eastAsia="zh-CN"/>
        </w:rPr>
        <w:t xml:space="preserve"> However, when discussing religious and mixed legal systems, it is important to note that the perspectives of proponents of feminist legal theory, while not as influential as in the Romano-Germanic and Anglo-</w:t>
      </w:r>
      <w:r w:rsidRPr="00511005">
        <w:rPr>
          <w:rFonts w:ascii="Arial" w:eastAsia="Times New Roman" w:hAnsi="Arial" w:cs="Arial"/>
          <w:szCs w:val="28"/>
          <w:lang w:val="en-US" w:eastAsia="zh-CN"/>
        </w:rPr>
        <w:t>America</w:t>
      </w:r>
      <w:r w:rsidRPr="00511005">
        <w:rPr>
          <w:rFonts w:ascii="Arial" w:eastAsia="Times New Roman" w:hAnsi="Arial" w:cs="Arial"/>
          <w:szCs w:val="28"/>
          <w:lang w:val="uk-UA" w:eastAsia="zh-CN"/>
        </w:rPr>
        <w:t xml:space="preserve">n systems, </w:t>
      </w:r>
      <w:r w:rsidRPr="00511005">
        <w:rPr>
          <w:rFonts w:ascii="Arial" w:eastAsia="Times New Roman" w:hAnsi="Arial" w:cs="Arial"/>
          <w:szCs w:val="28"/>
          <w:lang w:val="uk-UA" w:eastAsia="zh-CN"/>
        </w:rPr>
        <w:lastRenderedPageBreak/>
        <w:t>have nonetheless been reflected in significant changes. In countries governed by Islamic law, such as Morocco and Algeria, substantial amendments have been made to family codes, greatly enhancing the rights of women in marriage, divorce, and child custody, although certain inequalities still persist. In Israel, feminist organizations are actively advocating for reforms in Jewish religious courts, where women face challenges during divorce proceedings, although efforts in this area are still ongoing.</w:t>
      </w:r>
    </w:p>
    <w:p w14:paraId="3D77663D" w14:textId="77777777" w:rsidR="006B07CA" w:rsidRPr="00511005" w:rsidRDefault="006B07CA" w:rsidP="00C31440">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zh-CN"/>
        </w:rPr>
        <w:t>Other important areas of influence include the anti-violence movement and women's rights in reproductive health. Ge</w:t>
      </w:r>
      <w:r w:rsidRPr="00511005">
        <w:rPr>
          <w:rFonts w:ascii="Arial" w:eastAsia="Times New Roman" w:hAnsi="Arial" w:cs="Arial"/>
          <w:szCs w:val="28"/>
          <w:lang w:val="en-US" w:eastAsia="zh-CN"/>
        </w:rPr>
        <w:t>n</w:t>
      </w:r>
      <w:r w:rsidRPr="00511005">
        <w:rPr>
          <w:rFonts w:ascii="Arial" w:eastAsia="Times New Roman" w:hAnsi="Arial" w:cs="Arial"/>
          <w:szCs w:val="28"/>
          <w:lang w:val="uk-UA" w:eastAsia="zh-CN"/>
        </w:rPr>
        <w:t>enieve R. Painter notes that feminist legal theorists criticize the public-private distinction that hides gender inequality. Therefore, American feminists aimed to remove privacy protections in family life to encourage state intervention in domestic violence case</w:t>
      </w:r>
      <w:r w:rsidRPr="00511005">
        <w:rPr>
          <w:rFonts w:ascii="Arial" w:eastAsia="Times New Roman" w:hAnsi="Arial" w:cs="Arial"/>
          <w:szCs w:val="28"/>
          <w:lang w:val="en-US" w:eastAsia="zh-CN"/>
        </w:rPr>
        <w:t>s</w:t>
      </w:r>
      <w:r w:rsidRPr="00511005">
        <w:rPr>
          <w:rFonts w:ascii="Arial" w:eastAsia="Times New Roman" w:hAnsi="Arial" w:cs="Arial"/>
          <w:szCs w:val="28"/>
          <w:lang w:val="uk-UA" w:eastAsia="zh-CN"/>
        </w:rPr>
        <w:t xml:space="preserve"> [</w:t>
      </w:r>
      <w:r w:rsidRPr="00511005">
        <w:rPr>
          <w:rFonts w:ascii="Arial" w:eastAsia="Times New Roman" w:hAnsi="Arial" w:cs="Arial"/>
          <w:szCs w:val="28"/>
          <w:lang w:val="en-US" w:eastAsia="zh-CN"/>
        </w:rPr>
        <w:t>7</w:t>
      </w:r>
      <w:r w:rsidRPr="00511005">
        <w:rPr>
          <w:rFonts w:ascii="Arial" w:eastAsia="Times New Roman" w:hAnsi="Arial" w:cs="Arial"/>
          <w:szCs w:val="28"/>
          <w:lang w:val="uk-UA" w:eastAsia="zh-CN"/>
        </w:rPr>
        <w:t xml:space="preserve">]. In this context, it is worth paying attention </w:t>
      </w:r>
      <w:r w:rsidRPr="00511005">
        <w:rPr>
          <w:rFonts w:ascii="Arial" w:eastAsia="Times New Roman" w:hAnsi="Arial" w:cs="Arial"/>
          <w:szCs w:val="28"/>
          <w:lang w:val="en-US" w:eastAsia="zh-CN"/>
        </w:rPr>
        <w:t>that t</w:t>
      </w:r>
      <w:r w:rsidRPr="00511005">
        <w:rPr>
          <w:rFonts w:ascii="Arial" w:eastAsia="Times New Roman" w:hAnsi="Arial" w:cs="Arial"/>
          <w:szCs w:val="28"/>
          <w:lang w:val="uk-UA" w:eastAsia="zh-CN"/>
        </w:rPr>
        <w:t>he laws against domestic violence and sexual harassment were influenced by the feminist movement to protect women's rights. Ukraine's Law ‘On Combating Domestic Violence’ acknowledges key terms like ‘domestic violence’ and includes measures for prevention. (Article 4) [</w:t>
      </w:r>
      <w:r w:rsidRPr="00511005">
        <w:rPr>
          <w:rFonts w:ascii="Arial" w:eastAsia="Times New Roman" w:hAnsi="Arial" w:cs="Arial"/>
          <w:szCs w:val="28"/>
          <w:lang w:val="en-US" w:eastAsia="zh-CN"/>
        </w:rPr>
        <w:t>8</w:t>
      </w:r>
      <w:r w:rsidRPr="00511005">
        <w:rPr>
          <w:rFonts w:ascii="Arial" w:eastAsia="Times New Roman" w:hAnsi="Arial" w:cs="Arial"/>
          <w:szCs w:val="28"/>
          <w:lang w:val="uk-UA" w:eastAsia="zh-CN"/>
        </w:rPr>
        <w:t>]. Louise Francis highlights that feminists believe women's reproductive choices are restricted not just by laws, but also by patriarchal norms and social issues like coercion and economic problems. She points out that abortion involves complex moral dilemmas, especially about the status of the fetus and religion, which should be governed by law [</w:t>
      </w:r>
      <w:r w:rsidRPr="00511005">
        <w:rPr>
          <w:rFonts w:ascii="Arial" w:eastAsia="Times New Roman" w:hAnsi="Arial" w:cs="Arial"/>
          <w:szCs w:val="28"/>
          <w:lang w:val="en-US" w:eastAsia="zh-CN"/>
        </w:rPr>
        <w:t>9</w:t>
      </w:r>
      <w:r w:rsidRPr="00511005">
        <w:rPr>
          <w:rFonts w:ascii="Arial" w:eastAsia="Times New Roman" w:hAnsi="Arial" w:cs="Arial"/>
          <w:szCs w:val="28"/>
          <w:lang w:val="uk-UA" w:eastAsia="zh-CN"/>
        </w:rPr>
        <w:t>]. Taking into account this approach and legal feminist concepts, it can be argued that restricting access to contraception, abortion and other reproductive health services is a form of gender discrimination. The impact of this idea is limited in the Romano-Germanic legal system, largely because of the negative attitudes of the Catholic and Orthodox churches towards abortion and contraception, which are mainly prohibited</w:t>
      </w:r>
      <w:r w:rsidRPr="00511005">
        <w:rPr>
          <w:rFonts w:ascii="Arial" w:eastAsia="Times New Roman" w:hAnsi="Arial" w:cs="Arial"/>
          <w:szCs w:val="28"/>
          <w:lang w:val="en-US" w:eastAsia="zh-CN"/>
        </w:rPr>
        <w:t xml:space="preserve"> [10]</w:t>
      </w:r>
      <w:r w:rsidRPr="00511005">
        <w:rPr>
          <w:rFonts w:ascii="Arial" w:eastAsia="Times New Roman" w:hAnsi="Arial" w:cs="Arial"/>
          <w:szCs w:val="28"/>
          <w:lang w:val="uk-UA" w:eastAsia="zh-CN"/>
        </w:rPr>
        <w:t>. In contrast, countries with religious legal systems, especially those where Islam and Judaism are practiced, tend to have a more lenient perspective on these issues. Most Islamic schools of thought restrict abortions after the first trimester but accept contraception with the consent of both spouses. In Judaism, abortion may be permitted and, in certain situations, even required, although it is not typically encouraged. In countries with a religious legal system, the issue of women's bodily autonomy arises, as religious or traditional doctrines often diminish the importance of a woman's voice concerning her reproductive health. In many instances, decisions regarding abortion may be made by a man, family members, or a religious leader rather than the woman herself.</w:t>
      </w:r>
      <w:r w:rsidRPr="00511005">
        <w:rPr>
          <w:rFonts w:ascii="Arial" w:eastAsia="Times New Roman" w:hAnsi="Arial" w:cs="Arial"/>
          <w:szCs w:val="28"/>
          <w:lang w:val="en-US" w:eastAsia="zh-CN"/>
        </w:rPr>
        <w:t xml:space="preserve"> [11]</w:t>
      </w:r>
      <w:r w:rsidRPr="00511005">
        <w:rPr>
          <w:rFonts w:ascii="Arial" w:eastAsia="Times New Roman" w:hAnsi="Arial" w:cs="Arial"/>
          <w:szCs w:val="28"/>
          <w:lang w:val="uk-UA" w:eastAsia="zh-CN"/>
        </w:rPr>
        <w:t>. The impact of feminist views has been profound on the Anglo-</w:t>
      </w:r>
      <w:r w:rsidRPr="00511005">
        <w:rPr>
          <w:rFonts w:ascii="Arial" w:eastAsia="Times New Roman" w:hAnsi="Arial" w:cs="Arial"/>
          <w:szCs w:val="28"/>
          <w:lang w:val="en-US" w:eastAsia="zh-CN"/>
        </w:rPr>
        <w:t>America</w:t>
      </w:r>
      <w:r w:rsidRPr="00511005">
        <w:rPr>
          <w:rFonts w:ascii="Arial" w:eastAsia="Times New Roman" w:hAnsi="Arial" w:cs="Arial"/>
          <w:szCs w:val="28"/>
          <w:lang w:val="uk-UA" w:eastAsia="zh-CN"/>
        </w:rPr>
        <w:t xml:space="preserve">n legal </w:t>
      </w:r>
      <w:r w:rsidRPr="00511005">
        <w:rPr>
          <w:rFonts w:ascii="Arial" w:eastAsia="Times New Roman" w:hAnsi="Arial" w:cs="Arial"/>
          <w:szCs w:val="28"/>
          <w:lang w:val="en-US" w:eastAsia="zh-CN"/>
        </w:rPr>
        <w:t>system</w:t>
      </w:r>
      <w:r w:rsidRPr="00511005">
        <w:rPr>
          <w:rFonts w:ascii="Arial" w:eastAsia="Times New Roman" w:hAnsi="Arial" w:cs="Arial"/>
          <w:szCs w:val="28"/>
          <w:lang w:val="uk-UA" w:eastAsia="zh-CN"/>
        </w:rPr>
        <w:t>. In the United States (</w:t>
      </w:r>
      <w:r w:rsidRPr="00511005">
        <w:rPr>
          <w:rFonts w:ascii="Arial" w:eastAsia="Times New Roman" w:hAnsi="Arial" w:cs="Arial"/>
          <w:szCs w:val="28"/>
          <w:lang w:val="en-US" w:eastAsia="zh-CN"/>
        </w:rPr>
        <w:t>prior to</w:t>
      </w:r>
      <w:r w:rsidRPr="00511005">
        <w:rPr>
          <w:rFonts w:ascii="Arial" w:eastAsia="Times New Roman" w:hAnsi="Arial" w:cs="Arial"/>
          <w:szCs w:val="28"/>
          <w:lang w:val="uk-UA" w:eastAsia="zh-CN"/>
        </w:rPr>
        <w:t xml:space="preserve"> 2022), the United Kingdom, Canada, and certain Australian states, abortion is legally sanctioned, with the woman's consent being a critical factor. Furthermore, access to a range of contraceptive options is extensive. It is noteworthy that these countries generally feature advanced healthcare systems </w:t>
      </w:r>
      <w:r w:rsidRPr="00511005">
        <w:rPr>
          <w:rFonts w:ascii="Arial" w:eastAsia="Times New Roman" w:hAnsi="Arial" w:cs="Arial"/>
          <w:szCs w:val="28"/>
          <w:lang w:val="uk-UA" w:eastAsia="zh-CN"/>
        </w:rPr>
        <w:lastRenderedPageBreak/>
        <w:t>that provide family planning services, assisted reproductive technologies (ART), maternal care, and gynecological assistance.</w:t>
      </w:r>
    </w:p>
    <w:p w14:paraId="289A081B" w14:textId="77777777" w:rsidR="006B07CA" w:rsidRPr="00511005" w:rsidRDefault="006B07CA" w:rsidP="00C31440">
      <w:pPr>
        <w:spacing w:line="264" w:lineRule="auto"/>
        <w:rPr>
          <w:rFonts w:ascii="Arial" w:eastAsia="Times New Roman" w:hAnsi="Arial" w:cs="Arial"/>
          <w:szCs w:val="28"/>
          <w:lang w:val="en-US" w:eastAsia="ru-RU"/>
        </w:rPr>
      </w:pPr>
      <w:r w:rsidRPr="00511005">
        <w:rPr>
          <w:rFonts w:ascii="Arial" w:eastAsia="Times New Roman" w:hAnsi="Arial" w:cs="Arial"/>
          <w:szCs w:val="28"/>
          <w:lang w:val="uk-UA" w:eastAsia="zh-CN"/>
        </w:rPr>
        <w:t>Given that feminist legal theory has contributed to the expansion of the concept of reproductive rights to include not only the right to access healthcare, but also the right to reproductive autonomy, sexual freedom and freedom from reproductive coercion, it is important to note that a significant number of women still face difficulties in accessing reproductive services. This issue remains relevant for further study and resolution.</w:t>
      </w:r>
      <w:r w:rsidRPr="00511005">
        <w:rPr>
          <w:rFonts w:ascii="Arial" w:eastAsia="Times New Roman" w:hAnsi="Arial" w:cs="Arial"/>
          <w:szCs w:val="28"/>
          <w:lang w:val="en-US" w:eastAsia="zh-CN"/>
        </w:rPr>
        <w:t xml:space="preserve"> </w:t>
      </w:r>
    </w:p>
    <w:p w14:paraId="3835B466" w14:textId="77777777" w:rsidR="006B07CA" w:rsidRPr="00511005" w:rsidRDefault="006B07CA" w:rsidP="00C31440">
      <w:pPr>
        <w:spacing w:line="264" w:lineRule="auto"/>
        <w:rPr>
          <w:rFonts w:ascii="Arial" w:eastAsia="Times New Roman" w:hAnsi="Arial" w:cs="Arial"/>
          <w:szCs w:val="28"/>
          <w:lang w:val="uk-UA" w:eastAsia="zh-CN"/>
        </w:rPr>
      </w:pPr>
      <w:r w:rsidRPr="00511005">
        <w:rPr>
          <w:rFonts w:ascii="Arial" w:eastAsia="Times New Roman" w:hAnsi="Arial" w:cs="Arial"/>
          <w:szCs w:val="28"/>
          <w:lang w:val="en-US" w:eastAsia="zh-CN"/>
        </w:rPr>
        <w:t>The feminist legal approach grew significantly in the 60s and 80s, leading to important advancements in legal systems, including reducing gender inequalities and protecting women from violence. Feminist legal theory has increased awareness of gender issues among the community, lawyers, judges, and policymakers. As a result, judges are beginning to take gender aspects into account in their decisions, and the state is adopting laws that ensure equal rights for men and women. In Ukraine, following the example of other developed European countries, important steps have been taken to ensure equal employment opportunities and protect women from violence. However, it is worth noting that these issues remain relevant in our country.</w:t>
      </w:r>
    </w:p>
    <w:p w14:paraId="7F56768E"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330F2D0F" w14:textId="77777777" w:rsidR="006B07CA" w:rsidRPr="00511005" w:rsidRDefault="006B07CA" w:rsidP="003A292D">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val="en-US" w:eastAsia="zh-CN"/>
        </w:rPr>
        <w:t>References</w:t>
      </w:r>
    </w:p>
    <w:p w14:paraId="68405B82" w14:textId="77777777" w:rsidR="006B07CA" w:rsidRPr="00511005" w:rsidRDefault="006B07CA" w:rsidP="00C31440">
      <w:pPr>
        <w:numPr>
          <w:ilvl w:val="0"/>
          <w:numId w:val="27"/>
        </w:numPr>
        <w:spacing w:line="264" w:lineRule="auto"/>
        <w:ind w:firstLine="560"/>
        <w:rPr>
          <w:rFonts w:ascii="Arial" w:eastAsia="Times New Roman" w:hAnsi="Arial" w:cs="Arial"/>
          <w:szCs w:val="28"/>
          <w:lang w:eastAsia="ru-RU"/>
        </w:rPr>
      </w:pPr>
      <w:r w:rsidRPr="00511005">
        <w:rPr>
          <w:rFonts w:ascii="Arial" w:eastAsia="Times New Roman" w:hAnsi="Arial" w:cs="Arial"/>
          <w:szCs w:val="28"/>
          <w:lang w:val="en-US" w:eastAsia="zh-CN"/>
        </w:rPr>
        <w:t>Feminist Judgments: From Theory to Practice. Bloomsbury Publishing Plc, 2010.</w:t>
      </w:r>
    </w:p>
    <w:p w14:paraId="080379E0" w14:textId="77777777" w:rsidR="006B07CA" w:rsidRPr="00511005" w:rsidRDefault="006B07CA" w:rsidP="00C31440">
      <w:pPr>
        <w:numPr>
          <w:ilvl w:val="0"/>
          <w:numId w:val="27"/>
        </w:numPr>
        <w:spacing w:line="264" w:lineRule="auto"/>
        <w:ind w:firstLine="560"/>
        <w:rPr>
          <w:rFonts w:ascii="Arial" w:eastAsia="Times New Roman" w:hAnsi="Arial" w:cs="Arial"/>
          <w:szCs w:val="28"/>
          <w:lang w:eastAsia="ru-RU"/>
        </w:rPr>
      </w:pPr>
      <w:r w:rsidRPr="00511005">
        <w:rPr>
          <w:rFonts w:ascii="Arial" w:eastAsia="Times New Roman" w:hAnsi="Arial" w:cs="Arial"/>
          <w:szCs w:val="28"/>
          <w:lang w:val="en-US" w:eastAsia="zh-CN"/>
        </w:rPr>
        <w:t xml:space="preserve">The Ashgate Research Companion </w:t>
      </w:r>
      <w:proofErr w:type="gramStart"/>
      <w:r w:rsidRPr="00511005">
        <w:rPr>
          <w:rFonts w:ascii="Arial" w:eastAsia="Times New Roman" w:hAnsi="Arial" w:cs="Arial"/>
          <w:szCs w:val="28"/>
          <w:lang w:val="en-US" w:eastAsia="zh-CN"/>
        </w:rPr>
        <w:t>To</w:t>
      </w:r>
      <w:proofErr w:type="gramEnd"/>
      <w:r w:rsidRPr="00511005">
        <w:rPr>
          <w:rFonts w:ascii="Arial" w:eastAsia="Times New Roman" w:hAnsi="Arial" w:cs="Arial"/>
          <w:szCs w:val="28"/>
          <w:lang w:val="en-US" w:eastAsia="zh-CN"/>
        </w:rPr>
        <w:t xml:space="preserve"> Feminist Legal Theory. Ashgate Publishing Group, 2013. 436 p.</w:t>
      </w:r>
    </w:p>
    <w:p w14:paraId="08672C38" w14:textId="77777777" w:rsidR="006B07CA" w:rsidRPr="00511005" w:rsidRDefault="006B07CA" w:rsidP="00C31440">
      <w:pPr>
        <w:numPr>
          <w:ilvl w:val="0"/>
          <w:numId w:val="27"/>
        </w:numPr>
        <w:spacing w:line="264" w:lineRule="auto"/>
        <w:ind w:firstLine="560"/>
        <w:rPr>
          <w:rFonts w:ascii="Arial" w:eastAsia="Times New Roman" w:hAnsi="Arial" w:cs="Arial"/>
          <w:szCs w:val="28"/>
          <w:lang w:eastAsia="ru-RU"/>
        </w:rPr>
      </w:pPr>
      <w:r w:rsidRPr="00511005">
        <w:rPr>
          <w:rFonts w:ascii="Arial" w:eastAsia="Times New Roman" w:hAnsi="Arial" w:cs="Arial"/>
          <w:szCs w:val="28"/>
          <w:lang w:val="en-US" w:eastAsia="zh-CN"/>
        </w:rPr>
        <w:t>Genevieve R. Painter. Feminist Legal Theory. University of California, Berkeley. 2015. No. 8. P. 919–925.</w:t>
      </w:r>
    </w:p>
    <w:p w14:paraId="79180967" w14:textId="77777777" w:rsidR="006B07CA" w:rsidRPr="00511005" w:rsidRDefault="006B07CA" w:rsidP="00C31440">
      <w:pPr>
        <w:numPr>
          <w:ilvl w:val="0"/>
          <w:numId w:val="27"/>
        </w:numPr>
        <w:spacing w:line="264" w:lineRule="auto"/>
        <w:ind w:firstLine="560"/>
        <w:rPr>
          <w:rFonts w:ascii="Arial" w:eastAsia="Times New Roman" w:hAnsi="Arial" w:cs="Arial"/>
          <w:szCs w:val="28"/>
          <w:lang w:eastAsia="ru-RU"/>
        </w:rPr>
      </w:pPr>
      <w:r w:rsidRPr="00511005">
        <w:rPr>
          <w:rFonts w:ascii="Arial" w:eastAsia="Times New Roman" w:hAnsi="Arial" w:cs="Arial"/>
          <w:szCs w:val="28"/>
          <w:lang w:eastAsia="zh-CN"/>
        </w:rPr>
        <w:t>Конвенція Організації Об'єднаних Націй про ліквідацію всіх форм дискримінації щодо жінок (укр/рос</w:t>
      </w:r>
      <w:proofErr w:type="gramStart"/>
      <w:r w:rsidRPr="00511005">
        <w:rPr>
          <w:rFonts w:ascii="Arial" w:eastAsia="Times New Roman" w:hAnsi="Arial" w:cs="Arial"/>
          <w:szCs w:val="28"/>
          <w:lang w:eastAsia="zh-CN"/>
        </w:rPr>
        <w:t>)</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w:t>
      </w:r>
      <w:proofErr w:type="gramEnd"/>
      <w:r w:rsidRPr="00511005">
        <w:rPr>
          <w:rFonts w:ascii="Arial" w:eastAsia="Times New Roman" w:hAnsi="Arial" w:cs="Arial"/>
          <w:szCs w:val="28"/>
          <w:lang w:eastAsia="zh-CN"/>
        </w:rPr>
        <w:t xml:space="preserve"> Конвенція Орг. Об'єдн. Націй від </w:t>
      </w:r>
      <w:proofErr w:type="gramStart"/>
      <w:r w:rsidRPr="00511005">
        <w:rPr>
          <w:rFonts w:ascii="Arial" w:eastAsia="Times New Roman" w:hAnsi="Arial" w:cs="Arial"/>
          <w:szCs w:val="28"/>
          <w:lang w:eastAsia="zh-CN"/>
        </w:rPr>
        <w:t>18.12.1979</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w:t>
      </w:r>
      <w:proofErr w:type="gramEnd"/>
      <w:r w:rsidRPr="00511005">
        <w:rPr>
          <w:rFonts w:ascii="Arial" w:eastAsia="Times New Roman" w:hAnsi="Arial" w:cs="Arial"/>
          <w:szCs w:val="28"/>
          <w:lang w:eastAsia="zh-CN"/>
        </w:rPr>
        <w:t xml:space="preserve"> станом на 6</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жовт. 1999</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 xml:space="preserve">р. </w:t>
      </w:r>
      <w:r w:rsidRPr="00511005">
        <w:rPr>
          <w:rFonts w:ascii="Arial" w:eastAsia="Times New Roman" w:hAnsi="Arial" w:cs="Arial"/>
          <w:szCs w:val="28"/>
          <w:lang w:val="en-US" w:eastAsia="zh-CN"/>
        </w:rPr>
        <w:t>URL</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 </w:t>
      </w:r>
      <w:hyperlink r:id="rId44" w:anchor="Text" w:tgtFrame="https://www.grafiati.com/uk/_blank" w:history="1">
        <w:r w:rsidRPr="00511005">
          <w:rPr>
            <w:rFonts w:ascii="Arial" w:eastAsia="Times New Roman" w:hAnsi="Arial" w:cs="Arial"/>
            <w:szCs w:val="28"/>
            <w:lang w:val="en-US" w:eastAsia="zh-CN"/>
          </w:rPr>
          <w:t>https</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zakon</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rada</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gov</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ua</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laws</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show</w:t>
        </w:r>
        <w:r w:rsidRPr="00511005">
          <w:rPr>
            <w:rFonts w:ascii="Arial" w:eastAsia="Times New Roman" w:hAnsi="Arial" w:cs="Arial"/>
            <w:szCs w:val="28"/>
            <w:lang w:eastAsia="zh-CN"/>
          </w:rPr>
          <w:t>/995_207#</w:t>
        </w:r>
        <w:r w:rsidRPr="00511005">
          <w:rPr>
            <w:rFonts w:ascii="Arial" w:eastAsia="Times New Roman" w:hAnsi="Arial" w:cs="Arial"/>
            <w:szCs w:val="28"/>
            <w:lang w:val="en-US" w:eastAsia="zh-CN"/>
          </w:rPr>
          <w:t>Text</w:t>
        </w:r>
      </w:hyperlink>
      <w:r w:rsidRPr="00511005">
        <w:rPr>
          <w:rFonts w:ascii="Arial" w:eastAsia="Times New Roman" w:hAnsi="Arial" w:cs="Arial"/>
          <w:szCs w:val="28"/>
          <w:lang w:val="en-US" w:eastAsia="zh-CN"/>
        </w:rPr>
        <w:t> </w:t>
      </w:r>
      <w:r w:rsidRPr="00511005">
        <w:rPr>
          <w:rFonts w:ascii="Arial" w:eastAsia="Times New Roman" w:hAnsi="Arial" w:cs="Arial"/>
          <w:szCs w:val="28"/>
          <w:lang w:eastAsia="zh-CN"/>
        </w:rPr>
        <w:t>(дата звернення: 12.03.2025).</w:t>
      </w:r>
    </w:p>
    <w:p w14:paraId="2A2DA2F0" w14:textId="77777777" w:rsidR="006B07CA" w:rsidRPr="00511005" w:rsidRDefault="006B07CA" w:rsidP="00C31440">
      <w:pPr>
        <w:numPr>
          <w:ilvl w:val="0"/>
          <w:numId w:val="27"/>
        </w:numPr>
        <w:spacing w:line="264" w:lineRule="auto"/>
        <w:ind w:firstLine="560"/>
        <w:rPr>
          <w:rFonts w:ascii="Arial" w:eastAsia="Times New Roman" w:hAnsi="Arial" w:cs="Arial"/>
          <w:szCs w:val="28"/>
          <w:lang w:eastAsia="ru-RU"/>
        </w:rPr>
      </w:pPr>
      <w:r w:rsidRPr="00511005">
        <w:rPr>
          <w:rFonts w:ascii="Arial" w:eastAsia="Times New Roman" w:hAnsi="Arial" w:cs="Arial"/>
          <w:szCs w:val="28"/>
          <w:lang w:eastAsia="zh-CN"/>
        </w:rPr>
        <w:t xml:space="preserve">Пекінська декларація: Декларація Орг. Об'єдн. Націй від 15.09.1995. </w:t>
      </w:r>
      <w:r w:rsidRPr="00511005">
        <w:rPr>
          <w:rFonts w:ascii="Arial" w:eastAsia="Times New Roman" w:hAnsi="Arial" w:cs="Arial"/>
          <w:szCs w:val="28"/>
          <w:lang w:val="en-US" w:eastAsia="zh-CN"/>
        </w:rPr>
        <w:t>URL</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 </w:t>
      </w:r>
      <w:hyperlink r:id="rId45" w:anchor="Text" w:tgtFrame="https://www.grafiati.com/uk/_blank" w:history="1">
        <w:r w:rsidRPr="00511005">
          <w:rPr>
            <w:rFonts w:ascii="Arial" w:eastAsia="Times New Roman" w:hAnsi="Arial" w:cs="Arial"/>
            <w:szCs w:val="28"/>
            <w:lang w:val="en-US" w:eastAsia="zh-CN"/>
          </w:rPr>
          <w:t>https</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zakon</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rada</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gov</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ua</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laws</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show</w:t>
        </w:r>
        <w:r w:rsidRPr="00511005">
          <w:rPr>
            <w:rFonts w:ascii="Arial" w:eastAsia="Times New Roman" w:hAnsi="Arial" w:cs="Arial"/>
            <w:szCs w:val="28"/>
            <w:lang w:eastAsia="zh-CN"/>
          </w:rPr>
          <w:t>/995_507#</w:t>
        </w:r>
        <w:r w:rsidRPr="00511005">
          <w:rPr>
            <w:rFonts w:ascii="Arial" w:eastAsia="Times New Roman" w:hAnsi="Arial" w:cs="Arial"/>
            <w:szCs w:val="28"/>
            <w:lang w:val="en-US" w:eastAsia="zh-CN"/>
          </w:rPr>
          <w:t>Text</w:t>
        </w:r>
      </w:hyperlink>
      <w:r w:rsidRPr="00511005">
        <w:rPr>
          <w:rFonts w:ascii="Arial" w:eastAsia="Times New Roman" w:hAnsi="Arial" w:cs="Arial"/>
          <w:szCs w:val="28"/>
          <w:lang w:val="en-US" w:eastAsia="zh-CN"/>
        </w:rPr>
        <w:t> </w:t>
      </w:r>
      <w:r w:rsidRPr="00511005">
        <w:rPr>
          <w:rFonts w:ascii="Arial" w:eastAsia="Times New Roman" w:hAnsi="Arial" w:cs="Arial"/>
          <w:szCs w:val="28"/>
          <w:lang w:eastAsia="zh-CN"/>
        </w:rPr>
        <w:t>(дата звернення: 12.03.2025).</w:t>
      </w:r>
    </w:p>
    <w:p w14:paraId="33D0A808" w14:textId="77777777" w:rsidR="006B07CA" w:rsidRPr="00511005" w:rsidRDefault="006B07CA" w:rsidP="00C31440">
      <w:pPr>
        <w:numPr>
          <w:ilvl w:val="0"/>
          <w:numId w:val="27"/>
        </w:numPr>
        <w:spacing w:line="264" w:lineRule="auto"/>
        <w:ind w:firstLine="560"/>
        <w:rPr>
          <w:rFonts w:ascii="Arial" w:eastAsia="Times New Roman" w:hAnsi="Arial" w:cs="Arial"/>
          <w:szCs w:val="28"/>
          <w:lang w:eastAsia="ru-RU"/>
        </w:rPr>
      </w:pPr>
      <w:r w:rsidRPr="00511005">
        <w:rPr>
          <w:rFonts w:ascii="Arial" w:eastAsia="Times New Roman" w:hAnsi="Arial" w:cs="Arial"/>
          <w:szCs w:val="28"/>
          <w:lang w:eastAsia="zh-CN"/>
        </w:rPr>
        <w:t xml:space="preserve">Про забезпечення рівних прав та можливостей жінок і </w:t>
      </w:r>
      <w:proofErr w:type="gramStart"/>
      <w:r w:rsidRPr="00511005">
        <w:rPr>
          <w:rFonts w:ascii="Arial" w:eastAsia="Times New Roman" w:hAnsi="Arial" w:cs="Arial"/>
          <w:szCs w:val="28"/>
          <w:lang w:eastAsia="zh-CN"/>
        </w:rPr>
        <w:t>чоловіків</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w:t>
      </w:r>
      <w:proofErr w:type="gramEnd"/>
      <w:r w:rsidRPr="00511005">
        <w:rPr>
          <w:rFonts w:ascii="Arial" w:eastAsia="Times New Roman" w:hAnsi="Arial" w:cs="Arial"/>
          <w:szCs w:val="28"/>
          <w:lang w:eastAsia="zh-CN"/>
        </w:rPr>
        <w:t xml:space="preserve"> Закон України від 08.09.2005 №</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2866-</w:t>
      </w:r>
      <w:r w:rsidRPr="00511005">
        <w:rPr>
          <w:rFonts w:ascii="Arial" w:eastAsia="Times New Roman" w:hAnsi="Arial" w:cs="Arial"/>
          <w:szCs w:val="28"/>
          <w:lang w:val="en-US" w:eastAsia="zh-CN"/>
        </w:rPr>
        <w:t>IV </w:t>
      </w:r>
      <w:r w:rsidRPr="00511005">
        <w:rPr>
          <w:rFonts w:ascii="Arial" w:eastAsia="Times New Roman" w:hAnsi="Arial" w:cs="Arial"/>
          <w:szCs w:val="28"/>
          <w:lang w:eastAsia="zh-CN"/>
        </w:rPr>
        <w:t>: станом на 19</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груд. 2024</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 xml:space="preserve">р. </w:t>
      </w:r>
      <w:r w:rsidRPr="00511005">
        <w:rPr>
          <w:rFonts w:ascii="Arial" w:eastAsia="Times New Roman" w:hAnsi="Arial" w:cs="Arial"/>
          <w:szCs w:val="28"/>
          <w:lang w:val="en-US" w:eastAsia="zh-CN"/>
        </w:rPr>
        <w:t>URL</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 </w:t>
      </w:r>
      <w:hyperlink r:id="rId46" w:anchor="Text" w:tgtFrame="https://www.grafiati.com/uk/_blank" w:history="1">
        <w:r w:rsidRPr="00511005">
          <w:rPr>
            <w:rFonts w:ascii="Arial" w:eastAsia="Times New Roman" w:hAnsi="Arial" w:cs="Arial"/>
            <w:szCs w:val="28"/>
            <w:lang w:val="en-US" w:eastAsia="zh-CN"/>
          </w:rPr>
          <w:t>https</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zakon</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rada</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gov</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ua</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laws</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show</w:t>
        </w:r>
        <w:r w:rsidRPr="00511005">
          <w:rPr>
            <w:rFonts w:ascii="Arial" w:eastAsia="Times New Roman" w:hAnsi="Arial" w:cs="Arial"/>
            <w:szCs w:val="28"/>
            <w:lang w:eastAsia="zh-CN"/>
          </w:rPr>
          <w:t>/2866-15#</w:t>
        </w:r>
        <w:r w:rsidRPr="00511005">
          <w:rPr>
            <w:rFonts w:ascii="Arial" w:eastAsia="Times New Roman" w:hAnsi="Arial" w:cs="Arial"/>
            <w:szCs w:val="28"/>
            <w:lang w:val="en-US" w:eastAsia="zh-CN"/>
          </w:rPr>
          <w:t>Text</w:t>
        </w:r>
      </w:hyperlink>
      <w:r w:rsidRPr="00511005">
        <w:rPr>
          <w:rFonts w:ascii="Arial" w:eastAsia="Times New Roman" w:hAnsi="Arial" w:cs="Arial"/>
          <w:szCs w:val="28"/>
          <w:lang w:val="en-US" w:eastAsia="zh-CN"/>
        </w:rPr>
        <w:t> </w:t>
      </w:r>
      <w:r w:rsidRPr="00511005">
        <w:rPr>
          <w:rFonts w:ascii="Arial" w:eastAsia="Times New Roman" w:hAnsi="Arial" w:cs="Arial"/>
          <w:szCs w:val="28"/>
          <w:lang w:eastAsia="zh-CN"/>
        </w:rPr>
        <w:t>(дата звернення: 12.03.2025).</w:t>
      </w:r>
    </w:p>
    <w:p w14:paraId="66CB0263" w14:textId="77777777" w:rsidR="006B07CA" w:rsidRPr="00511005" w:rsidRDefault="006B07CA" w:rsidP="00C31440">
      <w:pPr>
        <w:numPr>
          <w:ilvl w:val="0"/>
          <w:numId w:val="27"/>
        </w:numPr>
        <w:spacing w:line="264" w:lineRule="auto"/>
        <w:ind w:firstLine="560"/>
        <w:rPr>
          <w:rFonts w:ascii="Arial" w:eastAsia="Times New Roman" w:hAnsi="Arial" w:cs="Arial"/>
          <w:szCs w:val="28"/>
          <w:lang w:eastAsia="ru-RU"/>
        </w:rPr>
      </w:pPr>
      <w:r w:rsidRPr="00511005">
        <w:rPr>
          <w:rFonts w:ascii="Arial" w:eastAsia="Times New Roman" w:hAnsi="Arial" w:cs="Arial"/>
          <w:szCs w:val="28"/>
          <w:lang w:val="en-US" w:eastAsia="zh-CN"/>
        </w:rPr>
        <w:t>Levit N., Verchick R. R. M., Minow M. Feminist legal theory: a primer. New York University Press, 2015. 304 p.</w:t>
      </w:r>
    </w:p>
    <w:p w14:paraId="152774BF" w14:textId="77777777" w:rsidR="006B07CA" w:rsidRPr="00511005" w:rsidRDefault="006B07CA" w:rsidP="00C31440">
      <w:pPr>
        <w:numPr>
          <w:ilvl w:val="0"/>
          <w:numId w:val="27"/>
        </w:numPr>
        <w:spacing w:line="264" w:lineRule="auto"/>
        <w:ind w:firstLine="560"/>
        <w:rPr>
          <w:rFonts w:ascii="Arial" w:eastAsia="Times New Roman" w:hAnsi="Arial" w:cs="Arial"/>
          <w:szCs w:val="28"/>
          <w:lang w:eastAsia="ru-RU"/>
        </w:rPr>
      </w:pPr>
      <w:r w:rsidRPr="00511005">
        <w:rPr>
          <w:rFonts w:ascii="Arial" w:eastAsia="Times New Roman" w:hAnsi="Arial" w:cs="Arial"/>
          <w:szCs w:val="28"/>
          <w:lang w:eastAsia="zh-CN"/>
        </w:rPr>
        <w:t xml:space="preserve">Про запобігання та протидію домашньому </w:t>
      </w:r>
      <w:proofErr w:type="gramStart"/>
      <w:r w:rsidRPr="00511005">
        <w:rPr>
          <w:rFonts w:ascii="Arial" w:eastAsia="Times New Roman" w:hAnsi="Arial" w:cs="Arial"/>
          <w:szCs w:val="28"/>
          <w:lang w:eastAsia="zh-CN"/>
        </w:rPr>
        <w:t>насильству</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w:t>
      </w:r>
      <w:proofErr w:type="gramEnd"/>
      <w:r w:rsidRPr="00511005">
        <w:rPr>
          <w:rFonts w:ascii="Arial" w:eastAsia="Times New Roman" w:hAnsi="Arial" w:cs="Arial"/>
          <w:szCs w:val="28"/>
          <w:lang w:eastAsia="zh-CN"/>
        </w:rPr>
        <w:t xml:space="preserve"> Закон України від 07.12.2017 №</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2229-</w:t>
      </w:r>
      <w:r w:rsidRPr="00511005">
        <w:rPr>
          <w:rFonts w:ascii="Arial" w:eastAsia="Times New Roman" w:hAnsi="Arial" w:cs="Arial"/>
          <w:szCs w:val="28"/>
          <w:lang w:val="en-US" w:eastAsia="zh-CN"/>
        </w:rPr>
        <w:t>VIII </w:t>
      </w:r>
      <w:r w:rsidRPr="00511005">
        <w:rPr>
          <w:rFonts w:ascii="Arial" w:eastAsia="Times New Roman" w:hAnsi="Arial" w:cs="Arial"/>
          <w:szCs w:val="28"/>
          <w:lang w:eastAsia="zh-CN"/>
        </w:rPr>
        <w:t>: станом на 19</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груд. 2024</w:t>
      </w:r>
      <w:r w:rsidRPr="00511005">
        <w:rPr>
          <w:rFonts w:ascii="Arial" w:eastAsia="Times New Roman" w:hAnsi="Arial" w:cs="Arial"/>
          <w:szCs w:val="28"/>
          <w:lang w:val="en-US" w:eastAsia="zh-CN"/>
        </w:rPr>
        <w:t> </w:t>
      </w:r>
      <w:r w:rsidRPr="00511005">
        <w:rPr>
          <w:rFonts w:ascii="Arial" w:eastAsia="Times New Roman" w:hAnsi="Arial" w:cs="Arial"/>
          <w:szCs w:val="28"/>
          <w:lang w:eastAsia="zh-CN"/>
        </w:rPr>
        <w:t xml:space="preserve">р. </w:t>
      </w:r>
      <w:r w:rsidRPr="00511005">
        <w:rPr>
          <w:rFonts w:ascii="Arial" w:eastAsia="Times New Roman" w:hAnsi="Arial" w:cs="Arial"/>
          <w:szCs w:val="28"/>
          <w:lang w:val="en-US" w:eastAsia="zh-CN"/>
        </w:rPr>
        <w:lastRenderedPageBreak/>
        <w:t>URL</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 </w:t>
      </w:r>
      <w:hyperlink r:id="rId47" w:anchor="Text" w:tgtFrame="https://www.grafiati.com/uk/_blank" w:history="1">
        <w:r w:rsidRPr="00511005">
          <w:rPr>
            <w:rFonts w:ascii="Arial" w:eastAsia="Times New Roman" w:hAnsi="Arial" w:cs="Arial"/>
            <w:szCs w:val="28"/>
            <w:lang w:val="en-US" w:eastAsia="zh-CN"/>
          </w:rPr>
          <w:t>https</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zakon</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rada</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gov</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ua</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laws</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show</w:t>
        </w:r>
        <w:r w:rsidRPr="00511005">
          <w:rPr>
            <w:rFonts w:ascii="Arial" w:eastAsia="Times New Roman" w:hAnsi="Arial" w:cs="Arial"/>
            <w:szCs w:val="28"/>
            <w:lang w:eastAsia="zh-CN"/>
          </w:rPr>
          <w:t>/2229-19#</w:t>
        </w:r>
        <w:r w:rsidRPr="00511005">
          <w:rPr>
            <w:rFonts w:ascii="Arial" w:eastAsia="Times New Roman" w:hAnsi="Arial" w:cs="Arial"/>
            <w:szCs w:val="28"/>
            <w:lang w:val="en-US" w:eastAsia="zh-CN"/>
          </w:rPr>
          <w:t>Text</w:t>
        </w:r>
      </w:hyperlink>
      <w:r w:rsidRPr="00511005">
        <w:rPr>
          <w:rFonts w:ascii="Arial" w:eastAsia="Times New Roman" w:hAnsi="Arial" w:cs="Arial"/>
          <w:szCs w:val="28"/>
          <w:lang w:val="en-US" w:eastAsia="zh-CN"/>
        </w:rPr>
        <w:t> </w:t>
      </w:r>
      <w:r w:rsidRPr="00511005">
        <w:rPr>
          <w:rFonts w:ascii="Arial" w:eastAsia="Times New Roman" w:hAnsi="Arial" w:cs="Arial"/>
          <w:szCs w:val="28"/>
          <w:lang w:eastAsia="zh-CN"/>
        </w:rPr>
        <w:t>(дата звернення: 12.03.2025).</w:t>
      </w:r>
    </w:p>
    <w:p w14:paraId="25B682A1" w14:textId="77777777" w:rsidR="006B07CA" w:rsidRPr="00511005" w:rsidRDefault="006B07CA" w:rsidP="00C31440">
      <w:pPr>
        <w:numPr>
          <w:ilvl w:val="0"/>
          <w:numId w:val="27"/>
        </w:numPr>
        <w:spacing w:line="264" w:lineRule="auto"/>
        <w:ind w:firstLine="560"/>
        <w:rPr>
          <w:rFonts w:ascii="Arial" w:eastAsia="Times New Roman" w:hAnsi="Arial" w:cs="Arial"/>
          <w:szCs w:val="28"/>
          <w:lang w:val="en-US" w:eastAsia="ru-RU"/>
        </w:rPr>
      </w:pPr>
      <w:r w:rsidRPr="00511005">
        <w:rPr>
          <w:rFonts w:ascii="Arial" w:eastAsia="Times New Roman" w:hAnsi="Arial" w:cs="Arial"/>
          <w:szCs w:val="28"/>
          <w:lang w:val="en-US" w:eastAsia="zh-CN"/>
        </w:rPr>
        <w:t>Feminist Philosophy of Law (Stanford Encyclopedia of Philosophy). Stanford Encyclopedia of Philosophy. URL: </w:t>
      </w:r>
      <w:hyperlink r:id="rId48" w:anchor="HumRigCitPolEqu" w:tgtFrame="https://www.grafiati.com/uk/_blank" w:history="1">
        <w:r w:rsidRPr="00511005">
          <w:rPr>
            <w:rFonts w:ascii="Arial" w:eastAsia="Times New Roman" w:hAnsi="Arial" w:cs="Arial"/>
            <w:szCs w:val="28"/>
            <w:lang w:val="en-US" w:eastAsia="zh-CN"/>
          </w:rPr>
          <w:t>https://plato.stanford.edu/entries/feminism-law/#HumRigCitPolEqu</w:t>
        </w:r>
      </w:hyperlink>
      <w:r w:rsidRPr="00511005">
        <w:rPr>
          <w:rFonts w:ascii="Arial" w:eastAsia="Times New Roman" w:hAnsi="Arial" w:cs="Arial"/>
          <w:szCs w:val="28"/>
          <w:lang w:val="en-US" w:eastAsia="zh-CN"/>
        </w:rPr>
        <w:t> (date of access: 12.03.2025).</w:t>
      </w:r>
    </w:p>
    <w:p w14:paraId="65BE19A7" w14:textId="77777777" w:rsidR="006B07CA" w:rsidRPr="00511005" w:rsidRDefault="006B07CA" w:rsidP="00C31440">
      <w:pPr>
        <w:numPr>
          <w:ilvl w:val="0"/>
          <w:numId w:val="27"/>
        </w:numPr>
        <w:spacing w:line="264" w:lineRule="auto"/>
        <w:ind w:firstLine="560"/>
        <w:rPr>
          <w:rFonts w:ascii="Arial" w:eastAsia="Times New Roman" w:hAnsi="Arial" w:cs="Arial"/>
          <w:szCs w:val="28"/>
          <w:lang w:eastAsia="ru-RU"/>
        </w:rPr>
      </w:pPr>
      <w:r w:rsidRPr="00511005">
        <w:rPr>
          <w:rFonts w:ascii="Arial" w:eastAsia="Times New Roman" w:hAnsi="Arial" w:cs="Arial"/>
          <w:szCs w:val="28"/>
          <w:lang w:val="en-US" w:eastAsia="zh-CN"/>
        </w:rPr>
        <w:t>Jan Greguš. Catholicism and contraception. </w:t>
      </w:r>
      <w:r w:rsidRPr="00511005">
        <w:rPr>
          <w:rFonts w:ascii="Arial" w:eastAsia="Times New Roman" w:hAnsi="Arial" w:cs="Arial"/>
          <w:i/>
          <w:iCs/>
          <w:szCs w:val="28"/>
          <w:lang w:val="en-US" w:eastAsia="zh-CN"/>
        </w:rPr>
        <w:t>Česka Gynekollogie.</w:t>
      </w:r>
      <w:r w:rsidRPr="00511005">
        <w:rPr>
          <w:rFonts w:ascii="Arial" w:eastAsia="Times New Roman" w:hAnsi="Arial" w:cs="Arial"/>
          <w:szCs w:val="28"/>
          <w:lang w:val="en-US" w:eastAsia="zh-CN"/>
        </w:rPr>
        <w:t xml:space="preserve"> 2019. </w:t>
      </w:r>
      <w:r w:rsidRPr="00511005">
        <w:rPr>
          <w:rFonts w:ascii="Arial" w:eastAsia="Times New Roman" w:hAnsi="Arial" w:cs="Arial"/>
          <w:szCs w:val="28"/>
          <w:lang w:val="uk-UA" w:eastAsia="zh-CN"/>
        </w:rPr>
        <w:t xml:space="preserve">№ 6 (84). </w:t>
      </w:r>
      <w:r w:rsidRPr="00511005">
        <w:rPr>
          <w:rFonts w:ascii="Arial" w:eastAsia="Times New Roman" w:hAnsi="Arial" w:cs="Arial"/>
          <w:szCs w:val="28"/>
          <w:lang w:val="en-US" w:eastAsia="zh-CN"/>
        </w:rPr>
        <w:t>P. 468–474.</w:t>
      </w:r>
    </w:p>
    <w:p w14:paraId="48EAFA3A" w14:textId="77777777" w:rsidR="006B07CA" w:rsidRPr="00511005" w:rsidRDefault="006B07CA" w:rsidP="00C31440">
      <w:pPr>
        <w:numPr>
          <w:ilvl w:val="0"/>
          <w:numId w:val="27"/>
        </w:numPr>
        <w:spacing w:line="264" w:lineRule="auto"/>
        <w:ind w:firstLine="560"/>
        <w:rPr>
          <w:rFonts w:ascii="Arial" w:eastAsia="Times New Roman" w:hAnsi="Arial" w:cs="Arial"/>
          <w:szCs w:val="28"/>
          <w:lang w:eastAsia="ru-RU"/>
        </w:rPr>
      </w:pPr>
      <w:r w:rsidRPr="00511005">
        <w:rPr>
          <w:rFonts w:ascii="Arial" w:eastAsia="Times New Roman" w:hAnsi="Arial" w:cs="Arial"/>
          <w:szCs w:val="28"/>
          <w:lang w:val="en-US" w:eastAsia="zh-CN"/>
        </w:rPr>
        <w:t xml:space="preserve">Shah P. Religion and reproductive rights: Global trends. </w:t>
      </w:r>
      <w:r w:rsidRPr="00511005">
        <w:rPr>
          <w:rFonts w:ascii="Arial" w:eastAsia="Times New Roman" w:hAnsi="Arial" w:cs="Arial"/>
          <w:i/>
          <w:iCs/>
          <w:szCs w:val="28"/>
          <w:lang w:val="en-US" w:eastAsia="zh-CN"/>
        </w:rPr>
        <w:t>Reproductive Health Matters.</w:t>
      </w:r>
      <w:r w:rsidRPr="00511005">
        <w:rPr>
          <w:rFonts w:ascii="Arial" w:eastAsia="Times New Roman" w:hAnsi="Arial" w:cs="Arial"/>
          <w:szCs w:val="28"/>
          <w:lang w:val="en-US" w:eastAsia="zh-CN"/>
        </w:rPr>
        <w:t xml:space="preserve"> 2012. </w:t>
      </w:r>
      <w:r w:rsidRPr="00511005">
        <w:rPr>
          <w:rFonts w:ascii="Arial" w:eastAsia="Times New Roman" w:hAnsi="Arial" w:cs="Arial"/>
          <w:szCs w:val="28"/>
          <w:lang w:val="uk-UA" w:eastAsia="zh-CN"/>
        </w:rPr>
        <w:t xml:space="preserve">№ </w:t>
      </w:r>
      <w:r w:rsidRPr="00511005">
        <w:rPr>
          <w:rFonts w:ascii="Arial" w:eastAsia="Times New Roman" w:hAnsi="Arial" w:cs="Arial"/>
          <w:szCs w:val="28"/>
          <w:lang w:val="en-US" w:eastAsia="zh-CN"/>
        </w:rPr>
        <w:t>20(39)</w:t>
      </w:r>
      <w:r w:rsidRPr="00511005">
        <w:rPr>
          <w:rFonts w:ascii="Arial" w:eastAsia="Times New Roman" w:hAnsi="Arial" w:cs="Arial"/>
          <w:szCs w:val="28"/>
          <w:lang w:val="uk-UA" w:eastAsia="zh-CN"/>
        </w:rPr>
        <w:t xml:space="preserve">. </w:t>
      </w:r>
      <w:r w:rsidRPr="00511005">
        <w:rPr>
          <w:rFonts w:ascii="Arial" w:eastAsia="Times New Roman" w:hAnsi="Arial" w:cs="Arial"/>
          <w:szCs w:val="28"/>
          <w:lang w:val="en-US" w:eastAsia="zh-CN"/>
        </w:rPr>
        <w:t>P. 17-25.</w:t>
      </w:r>
    </w:p>
    <w:p w14:paraId="798E65BF" w14:textId="77777777" w:rsidR="006B07CA" w:rsidRPr="00511005" w:rsidRDefault="006B07CA" w:rsidP="003A292D">
      <w:pPr>
        <w:spacing w:line="264" w:lineRule="auto"/>
        <w:ind w:firstLine="0"/>
        <w:rPr>
          <w:rFonts w:ascii="Arial" w:eastAsia="Times New Roman" w:hAnsi="Arial" w:cs="Arial"/>
          <w:szCs w:val="28"/>
          <w:lang w:eastAsia="ru-RU"/>
        </w:rPr>
      </w:pPr>
    </w:p>
    <w:p w14:paraId="66E2590E" w14:textId="301B5E22" w:rsidR="006B07CA" w:rsidRPr="00511005" w:rsidRDefault="007B2628" w:rsidP="003A292D">
      <w:pPr>
        <w:spacing w:line="264" w:lineRule="auto"/>
        <w:ind w:firstLine="0"/>
        <w:rPr>
          <w:rFonts w:ascii="Arial" w:eastAsia="Times New Roman" w:hAnsi="Arial" w:cs="Arial"/>
          <w:szCs w:val="28"/>
          <w:lang w:eastAsia="ru-RU"/>
        </w:rPr>
      </w:pPr>
      <w:r w:rsidRPr="00511005">
        <w:rPr>
          <w:rFonts w:ascii="Arial" w:eastAsia="Times New Roman" w:hAnsi="Arial" w:cs="Arial"/>
          <w:b/>
          <w:bCs/>
          <w:i/>
          <w:szCs w:val="28"/>
          <w:lang w:eastAsia="zh-CN"/>
        </w:rPr>
        <w:t xml:space="preserve">Ключові слова: </w:t>
      </w:r>
      <w:r w:rsidR="006B07CA" w:rsidRPr="00511005">
        <w:rPr>
          <w:rFonts w:ascii="Arial" w:eastAsia="Times New Roman" w:hAnsi="Arial" w:cs="Arial"/>
          <w:szCs w:val="28"/>
          <w:lang w:eastAsia="zh-CN"/>
        </w:rPr>
        <w:t>гендерна нерівність, правові системи, феміністична правова теорія, рівні права, права жінок, гендер, міжнародна правова система, релігійна правова система, загальне право, романо-германська правова система, англо-</w:t>
      </w:r>
      <w:r w:rsidR="006B07CA" w:rsidRPr="00511005">
        <w:rPr>
          <w:rFonts w:ascii="Arial" w:eastAsia="Times New Roman" w:hAnsi="Arial" w:cs="Arial"/>
          <w:szCs w:val="28"/>
          <w:lang w:val="uk-UA" w:eastAsia="zh-CN"/>
        </w:rPr>
        <w:t>америка</w:t>
      </w:r>
      <w:r w:rsidR="006B07CA" w:rsidRPr="00511005">
        <w:rPr>
          <w:rFonts w:ascii="Arial" w:eastAsia="Times New Roman" w:hAnsi="Arial" w:cs="Arial"/>
          <w:szCs w:val="28"/>
          <w:lang w:eastAsia="zh-CN"/>
        </w:rPr>
        <w:t>нська правова система.</w:t>
      </w:r>
    </w:p>
    <w:p w14:paraId="147F53EB" w14:textId="3DBEC4FB" w:rsidR="006B07CA" w:rsidRPr="00511005" w:rsidRDefault="007B2628" w:rsidP="003A292D">
      <w:pPr>
        <w:spacing w:line="264" w:lineRule="auto"/>
        <w:ind w:firstLine="0"/>
        <w:rPr>
          <w:rFonts w:ascii="Arial" w:eastAsia="Times New Roman" w:hAnsi="Arial" w:cs="Arial"/>
          <w:i/>
          <w:iCs/>
          <w:szCs w:val="28"/>
          <w:lang w:val="en-US" w:eastAsia="ru-RU"/>
        </w:rPr>
      </w:pPr>
      <w:r w:rsidRPr="00511005">
        <w:rPr>
          <w:rFonts w:ascii="Arial" w:eastAsia="Times New Roman" w:hAnsi="Arial" w:cs="Arial"/>
          <w:b/>
          <w:bCs/>
          <w:i/>
          <w:szCs w:val="28"/>
          <w:lang w:val="en-US" w:eastAsia="zh-CN"/>
        </w:rPr>
        <w:t xml:space="preserve">Key words: </w:t>
      </w:r>
      <w:r w:rsidR="006B07CA" w:rsidRPr="00511005">
        <w:rPr>
          <w:rFonts w:ascii="Arial" w:eastAsia="Times New Roman" w:hAnsi="Arial" w:cs="Arial"/>
          <w:szCs w:val="28"/>
          <w:lang w:val="en-US" w:eastAsia="zh-CN"/>
        </w:rPr>
        <w:t>gender inequality, legal systems, feminist legal theory, equal rights, women’s rights, gender, international legal system, religious legal system, common law, Romano-Germanic legal system, Anglo-American legal system.</w:t>
      </w:r>
    </w:p>
    <w:p w14:paraId="73C30C13" w14:textId="1CBEC8BB" w:rsidR="006B07CA" w:rsidRPr="00511005" w:rsidRDefault="006C2EDA" w:rsidP="003A292D">
      <w:pPr>
        <w:spacing w:line="264" w:lineRule="auto"/>
        <w:ind w:firstLine="0"/>
        <w:rPr>
          <w:rFonts w:ascii="Arial" w:eastAsia="Times New Roman" w:hAnsi="Arial" w:cs="Arial"/>
          <w:i/>
          <w:iCs/>
          <w:szCs w:val="28"/>
          <w:lang w:val="uk-UA" w:eastAsia="zh-CN"/>
        </w:rPr>
      </w:pPr>
      <w:r w:rsidRPr="006C2EDA">
        <w:rPr>
          <w:rFonts w:ascii="Arial" w:eastAsia="Times New Roman" w:hAnsi="Arial" w:cs="Arial"/>
          <w:b/>
          <w:bCs/>
          <w:i/>
          <w:iCs/>
          <w:szCs w:val="28"/>
          <w:lang w:val="en-US" w:eastAsia="ru-RU"/>
        </w:rPr>
        <w:t>Academic supervisor:</w:t>
      </w:r>
      <w:r>
        <w:rPr>
          <w:rFonts w:ascii="Arial" w:eastAsia="Times New Roman" w:hAnsi="Arial" w:cs="Arial"/>
          <w:b/>
          <w:bCs/>
          <w:i/>
          <w:iCs/>
          <w:szCs w:val="28"/>
          <w:lang w:val="en-US" w:eastAsia="ru-RU"/>
        </w:rPr>
        <w:t xml:space="preserve"> </w:t>
      </w:r>
      <w:r w:rsidR="006B07CA" w:rsidRPr="00511005">
        <w:rPr>
          <w:rFonts w:ascii="Arial" w:eastAsia="Times New Roman" w:hAnsi="Arial" w:cs="Arial"/>
          <w:i/>
          <w:iCs/>
          <w:szCs w:val="28"/>
          <w:lang w:val="en-US" w:eastAsia="zh-CN"/>
        </w:rPr>
        <w:t>doctor of Law, professor Melnychuk O.S.</w:t>
      </w:r>
    </w:p>
    <w:p w14:paraId="1CB32D77" w14:textId="77777777" w:rsidR="006B07CA" w:rsidRPr="00511005" w:rsidRDefault="006B07CA" w:rsidP="003A292D">
      <w:pPr>
        <w:spacing w:line="264" w:lineRule="auto"/>
        <w:ind w:firstLine="0"/>
        <w:rPr>
          <w:rFonts w:ascii="Arial" w:eastAsia="Times New Roman" w:hAnsi="Arial" w:cs="Arial"/>
          <w:i/>
          <w:iCs/>
          <w:szCs w:val="28"/>
          <w:lang w:val="uk-UA" w:eastAsia="zh-CN"/>
        </w:rPr>
      </w:pPr>
    </w:p>
    <w:p w14:paraId="20E3EBC0" w14:textId="77777777" w:rsidR="006B07CA" w:rsidRPr="00511005" w:rsidRDefault="006B07CA" w:rsidP="003A292D">
      <w:pPr>
        <w:spacing w:line="264" w:lineRule="auto"/>
        <w:ind w:firstLine="0"/>
        <w:rPr>
          <w:rFonts w:ascii="Arial" w:eastAsia="Times New Roman" w:hAnsi="Arial" w:cs="Arial"/>
          <w:i/>
          <w:iCs/>
          <w:szCs w:val="28"/>
          <w:lang w:val="uk-UA" w:eastAsia="zh-CN"/>
        </w:rPr>
      </w:pPr>
    </w:p>
    <w:p w14:paraId="2B8021EA" w14:textId="2E324925" w:rsidR="006B07CA" w:rsidRPr="00511005" w:rsidRDefault="006B07CA" w:rsidP="003A292D">
      <w:pPr>
        <w:spacing w:line="264" w:lineRule="auto"/>
        <w:ind w:firstLine="0"/>
        <w:jc w:val="center"/>
        <w:rPr>
          <w:rFonts w:ascii="Arial" w:eastAsia="Helvetica Neue" w:hAnsi="Arial" w:cs="Arial"/>
          <w:szCs w:val="28"/>
          <w:lang w:val="uk-UA" w:eastAsia="zh-CN"/>
        </w:rPr>
      </w:pPr>
      <w:r w:rsidRPr="00511005">
        <w:rPr>
          <w:rFonts w:ascii="Arial" w:eastAsia="Helvetica Neue" w:hAnsi="Arial" w:cs="Arial"/>
          <w:b/>
          <w:i/>
          <w:iCs/>
          <w:szCs w:val="28"/>
          <w:lang w:val="uk-UA" w:eastAsia="zh-CN"/>
        </w:rPr>
        <w:t>Кучерява Олена Анатоліївна</w:t>
      </w:r>
      <w:r w:rsidRPr="00511005">
        <w:rPr>
          <w:rFonts w:ascii="Arial" w:eastAsia="Helvetica Neue" w:hAnsi="Arial" w:cs="Arial"/>
          <w:i/>
          <w:iCs/>
          <w:szCs w:val="28"/>
          <w:lang w:val="uk-UA" w:eastAsia="zh-CN"/>
        </w:rPr>
        <w:t xml:space="preserve"> </w:t>
      </w:r>
      <w:r w:rsidRPr="00511005">
        <w:rPr>
          <w:rFonts w:ascii="Arial" w:eastAsia="Helvetica Neue" w:hAnsi="Arial" w:cs="Arial"/>
          <w:i/>
          <w:iCs/>
          <w:szCs w:val="28"/>
          <w:lang w:val="uk-UA" w:eastAsia="zh-CN"/>
        </w:rPr>
        <w:br/>
      </w:r>
      <w:r w:rsidR="007B2628" w:rsidRPr="00511005">
        <w:rPr>
          <w:rFonts w:ascii="Arial" w:eastAsia="Helvetica Neue" w:hAnsi="Arial" w:cs="Arial"/>
          <w:szCs w:val="28"/>
          <w:lang w:val="uk-UA" w:eastAsia="zh-CN"/>
        </w:rPr>
        <w:t>студентка 1-го курсу факультету цивільної та господарської юстиції</w:t>
      </w:r>
      <w:r w:rsidRPr="00511005">
        <w:rPr>
          <w:rFonts w:ascii="Arial" w:eastAsia="Helvetica Neue" w:hAnsi="Arial" w:cs="Arial"/>
          <w:szCs w:val="28"/>
          <w:lang w:val="uk-UA" w:eastAsia="zh-CN"/>
        </w:rPr>
        <w:t xml:space="preserve"> </w:t>
      </w:r>
      <w:r w:rsidR="00BE3972" w:rsidRPr="00511005">
        <w:rPr>
          <w:rFonts w:ascii="Arial" w:eastAsia="Helvetica Neue" w:hAnsi="Arial" w:cs="Arial"/>
          <w:szCs w:val="28"/>
          <w:lang w:val="uk-UA" w:eastAsia="zh-CN"/>
        </w:rPr>
        <w:t>Національного університету «Одеська юридична академія»</w:t>
      </w:r>
      <w:r w:rsidRPr="00511005">
        <w:rPr>
          <w:rFonts w:ascii="Arial" w:eastAsia="Helvetica Neue" w:hAnsi="Arial" w:cs="Arial"/>
          <w:szCs w:val="28"/>
          <w:lang w:val="uk-UA" w:eastAsia="zh-CN"/>
        </w:rPr>
        <w:br/>
      </w:r>
    </w:p>
    <w:p w14:paraId="6DA1DB08" w14:textId="77777777" w:rsidR="006B07CA" w:rsidRPr="00511005" w:rsidRDefault="006B07CA" w:rsidP="003A292D">
      <w:pPr>
        <w:spacing w:line="264" w:lineRule="auto"/>
        <w:ind w:firstLine="0"/>
        <w:jc w:val="center"/>
        <w:rPr>
          <w:rFonts w:ascii="Arial" w:eastAsia="Helvetica Neue" w:hAnsi="Arial" w:cs="Arial"/>
          <w:szCs w:val="28"/>
          <w:lang w:val="uk-UA" w:eastAsia="zh-CN"/>
        </w:rPr>
      </w:pPr>
      <w:r w:rsidRPr="00511005">
        <w:rPr>
          <w:rFonts w:ascii="Arial" w:eastAsia="Helvetica Neue" w:hAnsi="Arial" w:cs="Arial"/>
          <w:b/>
          <w:bCs/>
          <w:szCs w:val="28"/>
          <w:lang w:val="uk-UA" w:eastAsia="zh-CN"/>
        </w:rPr>
        <w:t>ДО ПИТАННЯ ІЄРАРХІЇ НОРМАТИВНО-ПРАВОВИХ АКТІВ</w:t>
      </w:r>
    </w:p>
    <w:p w14:paraId="755CB79E" w14:textId="77777777" w:rsidR="006B07CA" w:rsidRPr="00511005" w:rsidRDefault="006B07CA" w:rsidP="00C31440">
      <w:p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У правозастосовній практиці одним із найбільш актуальних та водночас складних є питання визначення належного нормативно-правового акта у разі наявності суперечностей між різними правовими приписами. Така ситуація виникає досить часто, з огляду на велику кількість нормативно-правових актів, що регулюють одні й ті ж або суміжні правовідносини, а також унаслідок динамічного характеру правового регулювання.</w:t>
      </w:r>
    </w:p>
    <w:p w14:paraId="00FD1007" w14:textId="77777777" w:rsidR="006B07CA" w:rsidRPr="00511005" w:rsidRDefault="006B07CA" w:rsidP="00C31440">
      <w:p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Зважаючи на розгалужену систему нормативного регулювання та значну кількість підзаконних нормативно-правових актів, які видаються різними суб'єктами державної влади, зокрема Президентом України, Кабінетом Міністрів, міністерствами та іншими центральними органами виконавчої влади, виникає необхідність чіткого дотримання принципу ієрархії актів. Недотримання цього принципу здатне спричинити серйозні юридичні наслідки, у тому числі визнання правозастосування неконституційним.</w:t>
      </w:r>
    </w:p>
    <w:p w14:paraId="075C981D" w14:textId="77777777" w:rsidR="006B07CA" w:rsidRPr="00511005" w:rsidRDefault="006B07CA" w:rsidP="00C31440">
      <w:p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 xml:space="preserve">Юридична сила нормативно-правового акта, що визначається його місцем у системі джерел права, виступає ключовим критерієм у випадках </w:t>
      </w:r>
      <w:r w:rsidRPr="00511005">
        <w:rPr>
          <w:rFonts w:ascii="Arial" w:eastAsia="Helvetica Neue" w:hAnsi="Arial" w:cs="Arial"/>
          <w:szCs w:val="28"/>
          <w:lang w:val="uk-UA" w:eastAsia="zh-CN"/>
        </w:rPr>
        <w:lastRenderedPageBreak/>
        <w:t>колізій правових норм. Саме через це ієрархія нормативно-правових актів є не лише формальною конструкцією, а важливим інструментом забезпечення законності, правової визначеності та єдності правозастосовної практики. Пріоритет має надаватися тим нормативним актам, які займають вищу сходинку в системі нормативного регулювання, зокрема законам і Конституції України як Основному Закону.</w:t>
      </w:r>
    </w:p>
    <w:p w14:paraId="06445387" w14:textId="77777777" w:rsidR="006B07CA" w:rsidRPr="00511005" w:rsidRDefault="006B07CA" w:rsidP="00C31440">
      <w:p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Відповідно до положень Закону України «Про правотворчу діяльність» [1], система нормативно-правових актів в Україні є чітко ієрархізованою, що ґрунтується на юридичній силі кожного виду акта. Основу правової системи становить Конституція України [2], яка має найвищу юридичну силу і є обов’язковою до виконання на всій території держави. Це підтверджено Рішенням Конституційного Суду України від 17 жовтня 2002 року № 17-рп [3]. Водночас статтею 92 Конституції України визначено перелік питань, які можуть регулюватися лише законами.</w:t>
      </w:r>
    </w:p>
    <w:p w14:paraId="0645097F" w14:textId="77777777" w:rsidR="006B07CA" w:rsidRPr="00511005" w:rsidRDefault="006B07CA" w:rsidP="00C31440">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Наступними в ієрархії розташовуються міжнародні договори, ратифіковані Верховною Радою України, потім – закони, включаючи кодекси, первинні закони, закони про внесення змін, закони про затвердження чи схвалення. Важливо, що законодавець передбачив чітку класифікацію законів за їх функціональним призначенням, що дозволяє системно врегульовувати окремі сфери суспільних відносин, а також формалізувати відносини між різними суб’єктами правотворчої діяльності. </w:t>
      </w:r>
    </w:p>
    <w:p w14:paraId="218A05BF" w14:textId="77777777" w:rsidR="006B07CA" w:rsidRPr="00511005" w:rsidRDefault="006B07CA" w:rsidP="00C31440">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w:t>
      </w:r>
      <w:r w:rsidRPr="00511005">
        <w:rPr>
          <w:rFonts w:ascii="Arial" w:eastAsia="-webkit-standard" w:hAnsi="Arial" w:cs="Arial"/>
          <w:szCs w:val="28"/>
          <w:lang w:val="uk-UA" w:eastAsia="ru-RU"/>
        </w:rPr>
        <w:t xml:space="preserve">таття 17 </w:t>
      </w:r>
      <w:r w:rsidRPr="00511005">
        <w:rPr>
          <w:rFonts w:ascii="Arial" w:eastAsia="Times New Roman" w:hAnsi="Arial" w:cs="Arial"/>
          <w:szCs w:val="28"/>
          <w:lang w:val="uk-UA" w:eastAsia="ru-RU"/>
        </w:rPr>
        <w:t>Закону України «Про правотворчу діяльність» [1]</w:t>
      </w:r>
      <w:r w:rsidRPr="00511005">
        <w:rPr>
          <w:rFonts w:ascii="Arial" w:eastAsia="-webkit-standard" w:hAnsi="Arial" w:cs="Arial"/>
          <w:szCs w:val="28"/>
          <w:lang w:val="uk-UA" w:eastAsia="ru-RU"/>
        </w:rPr>
        <w:t>, в свою чергу, надає визначення підзаконного нормативно-правового акта як акта, що видається на виконання законів і має бути з ними узгодженим. Таким чином, законодавець заклав правові основи для послідовного, логічного та структурованого правового регулювання, що сприяє уникненню колізій і посиленню правової визначеності.</w:t>
      </w:r>
    </w:p>
    <w:p w14:paraId="470B3FD9" w14:textId="77777777" w:rsidR="006B07CA" w:rsidRPr="00511005" w:rsidRDefault="006B07CA" w:rsidP="00C31440">
      <w:p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У листі Міністерства юстиції України від 30.01.2009 № Н-35267-18 [4] прямо вказано, що в умовах суперечності між нормами підзаконного акта і законом застосовуються норми закону. Це є наслідком дії принципу верховенства закону у правовій системі. Таким чином, у разі розбіжностей між законом і підзаконним актом пріоритет має закон.</w:t>
      </w:r>
    </w:p>
    <w:p w14:paraId="159D46A8" w14:textId="77777777" w:rsidR="006B07CA" w:rsidRPr="00511005" w:rsidRDefault="006B07CA" w:rsidP="00C31440">
      <w:p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У ситуаціях, коли має місце суперечність між двома підзаконними актами, застосовується акт вищої юридичної сили. Наприклад, якщо наказ міністерства суперечить постанові Кабінету Міністрів України, застосовуватиметься остання. Такі підходи закріплені в листі Мін'юсту від 26.12.2008 № 758-0-2-08-19 [5]. У цьому ж листі також наголошується, що при колізії актів одного і того ж органу, перевага надається новішому актові.</w:t>
      </w:r>
    </w:p>
    <w:p w14:paraId="4DAC5C85" w14:textId="77777777" w:rsidR="006B07CA" w:rsidRPr="00511005" w:rsidRDefault="006B07CA" w:rsidP="00C31440">
      <w:p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 xml:space="preserve">Водночас слід зважати на складніші випадки визначення юридичної сили актів, зокрема співвідношення указів Президента України та постанов Верховної Ради України нормативного характеру. У чинному законодавстві існують колізії щодо їх взаємного ієрархічного розміщення, що </w:t>
      </w:r>
      <w:r w:rsidRPr="00511005">
        <w:rPr>
          <w:rFonts w:ascii="Arial" w:eastAsia="Helvetica Neue" w:hAnsi="Arial" w:cs="Arial"/>
          <w:szCs w:val="28"/>
          <w:lang w:val="uk-UA" w:eastAsia="zh-CN"/>
        </w:rPr>
        <w:lastRenderedPageBreak/>
        <w:t>підтверджується аналізом статті 113 Конституції України та низки галузевих законів, зокрема Закону України «Про державну службу» та Закону України «Про Кабінет Міністрів України». Ці нормативні джерела по-різному розміщують зазначені акти, внаслідок чого ускладнюється визначення їх юридичної сили.</w:t>
      </w:r>
    </w:p>
    <w:p w14:paraId="68662AB6" w14:textId="77777777" w:rsidR="006B07CA" w:rsidRPr="00511005" w:rsidRDefault="006B07CA" w:rsidP="00C31440">
      <w:p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У випадках, коли між загальним і спеціальним актом виникає суперечність, пріоритет надається спеціальному нормативно-правовому акту. Це узгоджується з принципом спеціального регулювання, що забезпечує більш детальне і предметне врегулювання відносин. Такий підхід схвалюється також щодо колізій законів: у прикладі з Законом України «Про основні засади державного нагляду (контролю) у сфері господарської діяльності» від 05.04.2007 [6], у випадку колізії з іншими законами, прийнятими раніше, застосовується спеціальний, новіший закон.</w:t>
      </w:r>
    </w:p>
    <w:p w14:paraId="32818480" w14:textId="77777777" w:rsidR="006B07CA" w:rsidRPr="00511005" w:rsidRDefault="006B07CA" w:rsidP="00C31440">
      <w:p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Однак у правозастосовній практиці наявні і зворотні підходи. Так, Бюджетний кодекс України, попри те, що має характер загального закону в галузі бюджетного права, у ч. 2 ст. 4 [7] встановлює власну пріоритетність над іншими нормативно-правовими актами у випадку розбіжностей. Це викликає обґрунтовані сумніви щодо автоматичного визнання спеціальних законів такими, що завжди мають вищу юридичну силу.</w:t>
      </w:r>
    </w:p>
    <w:p w14:paraId="2DC4EA0F" w14:textId="77777777" w:rsidR="006B07CA" w:rsidRPr="00511005" w:rsidRDefault="006B07CA" w:rsidP="00C31440">
      <w:p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Крім того, важливим етапом у врегулюванні питання ієрархії нормативно-правових актів є прийняття Закону України «Про правотворчу діяльність» [1], який уперше на законодавчому рівні визначає систему нормативно-правових актів, їх види та місце у правовій системі України. Закон встановлює критерії визначення юридичної сили, включаючи правову форму, суб’єкта правотворення, предмет регулювання та процедури ухвалення. Згідно з цим документом, ієрархія нормативних актів повинна відповідати принципу верховенства Конституції, а також передбачати послідовність: Конституція – закон – підзаконний акт, при цьому закони можуть мати однакову юридичну силу незалежно від того, чи є вони кодифікованими, чи поточними.</w:t>
      </w:r>
    </w:p>
    <w:p w14:paraId="765406D4" w14:textId="77777777" w:rsidR="006B07CA" w:rsidRPr="00511005" w:rsidRDefault="006B07CA" w:rsidP="00C31440">
      <w:p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Отже, питання ієрархії нормативно-правових актів визначається принципом юридичної сили, згідно з яким пріоритет має акт, що займає вищу сходинку в системі джерел права. У разі колізій застосовуються акти вищої юридичної сили або новіші за часом ухвалення, якщо вони мають однакову силу. Спеціальні норми мають перевагу над загальними у межах однієї правової галузі. За наявності прогалин допускається застосування аналогії закону чи права, окрім випадків, де це прямо заборонено законом. Такий підхід забезпечує стабільність, логічність і узгодженість правозастосування, а також підтримує ефективне функціонування правової системи.</w:t>
      </w:r>
    </w:p>
    <w:p w14:paraId="1096FADD" w14:textId="77777777" w:rsidR="006B07CA" w:rsidRPr="00511005" w:rsidRDefault="006B07CA" w:rsidP="003A292D">
      <w:pPr>
        <w:spacing w:line="264" w:lineRule="auto"/>
        <w:ind w:firstLine="0"/>
        <w:rPr>
          <w:rFonts w:ascii="Arial" w:eastAsia="Helvetica Neue" w:hAnsi="Arial" w:cs="Arial"/>
          <w:szCs w:val="28"/>
          <w:lang w:val="uk-UA" w:eastAsia="zh-CN"/>
        </w:rPr>
      </w:pPr>
    </w:p>
    <w:p w14:paraId="0B22AFE7" w14:textId="77777777" w:rsidR="006B07CA" w:rsidRPr="00511005" w:rsidRDefault="006B07CA" w:rsidP="003A292D">
      <w:pPr>
        <w:spacing w:line="264" w:lineRule="auto"/>
        <w:ind w:firstLine="0"/>
        <w:jc w:val="center"/>
        <w:rPr>
          <w:rFonts w:ascii="Arial" w:eastAsia="Helvetica Neue" w:hAnsi="Arial" w:cs="Arial"/>
          <w:b/>
          <w:bCs/>
          <w:szCs w:val="28"/>
          <w:lang w:val="uk-UA" w:eastAsia="zh-CN"/>
        </w:rPr>
      </w:pPr>
      <w:r w:rsidRPr="00511005">
        <w:rPr>
          <w:rFonts w:ascii="Arial" w:eastAsia="Helvetica Neue" w:hAnsi="Arial" w:cs="Arial"/>
          <w:b/>
          <w:bCs/>
          <w:szCs w:val="28"/>
          <w:lang w:val="uk-UA" w:eastAsia="zh-CN"/>
        </w:rPr>
        <w:t>Cписок використаних джерел</w:t>
      </w:r>
    </w:p>
    <w:p w14:paraId="4CC2EC8F" w14:textId="77777777" w:rsidR="006B07CA" w:rsidRPr="00511005" w:rsidRDefault="006B07CA" w:rsidP="00C31440">
      <w:pPr>
        <w:numPr>
          <w:ilvl w:val="0"/>
          <w:numId w:val="28"/>
        </w:num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Закон України "Про правотворчу діяльність" від 20 червня 2023 р. № 3354-IX. </w:t>
      </w:r>
      <w:r w:rsidRPr="00511005">
        <w:rPr>
          <w:rFonts w:ascii="Arial" w:eastAsia="Times New Roman" w:hAnsi="Arial" w:cs="Arial"/>
          <w:i/>
          <w:iCs/>
          <w:szCs w:val="28"/>
          <w:lang w:val="uk-UA" w:eastAsia="ru-RU"/>
        </w:rPr>
        <w:t>Відомості Верховної Ради України</w:t>
      </w:r>
      <w:r w:rsidRPr="00511005">
        <w:rPr>
          <w:rFonts w:ascii="Arial" w:eastAsia="Times New Roman" w:hAnsi="Arial" w:cs="Arial"/>
          <w:szCs w:val="28"/>
          <w:lang w:val="uk-UA" w:eastAsia="ru-RU"/>
        </w:rPr>
        <w:t>. № 34. Ст. 447.</w:t>
      </w:r>
    </w:p>
    <w:p w14:paraId="6CFA1A44" w14:textId="77777777" w:rsidR="006B07CA" w:rsidRPr="00511005" w:rsidRDefault="006B07CA" w:rsidP="00C31440">
      <w:pPr>
        <w:numPr>
          <w:ilvl w:val="0"/>
          <w:numId w:val="28"/>
        </w:num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 xml:space="preserve">Конституція України від 28.06.1996 № 254к/96-ВР. </w:t>
      </w:r>
      <w:r w:rsidRPr="00511005">
        <w:rPr>
          <w:rFonts w:ascii="Arial" w:eastAsia="Helvetica Neue" w:hAnsi="Arial" w:cs="Arial"/>
          <w:i/>
          <w:iCs/>
          <w:szCs w:val="28"/>
          <w:lang w:val="uk-UA" w:eastAsia="zh-CN"/>
        </w:rPr>
        <w:t>Відомості Верховної Ради України</w:t>
      </w:r>
      <w:r w:rsidRPr="00511005">
        <w:rPr>
          <w:rFonts w:ascii="Arial" w:eastAsia="Helvetica Neue" w:hAnsi="Arial" w:cs="Arial"/>
          <w:szCs w:val="28"/>
          <w:lang w:val="uk-UA" w:eastAsia="zh-CN"/>
        </w:rPr>
        <w:t>. 1996. № 30. Ст. 141.</w:t>
      </w:r>
    </w:p>
    <w:p w14:paraId="51CE8742" w14:textId="77777777" w:rsidR="006B07CA" w:rsidRPr="00511005" w:rsidRDefault="006B07CA" w:rsidP="00C31440">
      <w:pPr>
        <w:numPr>
          <w:ilvl w:val="0"/>
          <w:numId w:val="28"/>
        </w:num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Рішення Конституційного Суду України у справі за конституційним поданням 48 народних депутатів України щодо офіційного тлумачення положення частини першої статті 85 Конституції України від 17.10.2002 № 17-рп/2002.</w:t>
      </w:r>
    </w:p>
    <w:p w14:paraId="7B27BFD2" w14:textId="77777777" w:rsidR="006B07CA" w:rsidRPr="00511005" w:rsidRDefault="006B07CA" w:rsidP="00C31440">
      <w:pPr>
        <w:numPr>
          <w:ilvl w:val="0"/>
          <w:numId w:val="28"/>
        </w:num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Лист Міністерства юстиції України від 30.01.2009 № Н-35267-18 «Щодо порядку застосування нормативно-правових актів».</w:t>
      </w:r>
    </w:p>
    <w:p w14:paraId="3EF6DB1E" w14:textId="77777777" w:rsidR="006B07CA" w:rsidRPr="00511005" w:rsidRDefault="006B07CA" w:rsidP="00C31440">
      <w:pPr>
        <w:numPr>
          <w:ilvl w:val="0"/>
          <w:numId w:val="28"/>
        </w:numPr>
        <w:spacing w:line="264" w:lineRule="auto"/>
        <w:rPr>
          <w:rFonts w:ascii="Arial" w:eastAsia="Helvetica Neue" w:hAnsi="Arial" w:cs="Arial"/>
          <w:szCs w:val="28"/>
          <w:lang w:val="uk-UA" w:eastAsia="zh-CN"/>
        </w:rPr>
      </w:pPr>
      <w:r w:rsidRPr="00511005">
        <w:rPr>
          <w:rFonts w:ascii="Arial" w:eastAsia="Helvetica Neue" w:hAnsi="Arial" w:cs="Arial"/>
          <w:szCs w:val="28"/>
          <w:lang w:val="uk-UA" w:eastAsia="zh-CN"/>
        </w:rPr>
        <w:t>Лист Міністерства юстиції України від 26.12.2008 № 758-0-2-08-19 «Щодо практики застосування норм права у випадку колізії».</w:t>
      </w:r>
    </w:p>
    <w:p w14:paraId="1F40E33E" w14:textId="77777777" w:rsidR="006B07CA" w:rsidRPr="00511005" w:rsidRDefault="006B07CA" w:rsidP="00C31440">
      <w:pPr>
        <w:numPr>
          <w:ilvl w:val="0"/>
          <w:numId w:val="28"/>
        </w:numPr>
        <w:spacing w:line="264" w:lineRule="auto"/>
        <w:rPr>
          <w:rFonts w:ascii="Arial" w:eastAsia="Times New Roman" w:hAnsi="Arial" w:cs="Arial"/>
          <w:i/>
          <w:iCs/>
          <w:szCs w:val="28"/>
          <w:lang w:val="uk-UA" w:eastAsia="ru-RU"/>
        </w:rPr>
      </w:pPr>
      <w:r w:rsidRPr="00511005">
        <w:rPr>
          <w:rFonts w:ascii="Arial" w:eastAsia="Times New Roman" w:hAnsi="Arial" w:cs="Arial"/>
          <w:szCs w:val="28"/>
          <w:lang w:val="uk-UA" w:eastAsia="ru-RU"/>
        </w:rPr>
        <w:t xml:space="preserve">Закон України "Про основні засади державного нагляду (контролю) у сфері господарської діяльності" від 05.04.2007 № 877-V. </w:t>
      </w:r>
      <w:r w:rsidRPr="00511005">
        <w:rPr>
          <w:rFonts w:ascii="Arial" w:eastAsia="Times New Roman" w:hAnsi="Arial" w:cs="Arial"/>
          <w:i/>
          <w:iCs/>
          <w:szCs w:val="28"/>
          <w:lang w:val="uk-UA" w:eastAsia="ru-RU"/>
        </w:rPr>
        <w:t>Відомості Верховної Ради України</w:t>
      </w:r>
      <w:r w:rsidRPr="00511005">
        <w:rPr>
          <w:rFonts w:ascii="Arial" w:eastAsia="Times New Roman" w:hAnsi="Arial" w:cs="Arial"/>
          <w:szCs w:val="28"/>
          <w:lang w:val="uk-UA" w:eastAsia="ru-RU"/>
        </w:rPr>
        <w:t>. 2007. № 29. Ст. 389.</w:t>
      </w:r>
    </w:p>
    <w:p w14:paraId="175A9718" w14:textId="77777777" w:rsidR="006B07CA" w:rsidRPr="00511005" w:rsidRDefault="006B07CA" w:rsidP="00C31440">
      <w:pPr>
        <w:numPr>
          <w:ilvl w:val="0"/>
          <w:numId w:val="28"/>
        </w:num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Бюджетний кодекс України від 8 липня 2010 р. № 2456-VI. </w:t>
      </w:r>
      <w:r w:rsidRPr="00511005">
        <w:rPr>
          <w:rFonts w:ascii="Arial" w:eastAsia="Times New Roman" w:hAnsi="Arial" w:cs="Arial"/>
          <w:i/>
          <w:iCs/>
          <w:szCs w:val="28"/>
          <w:lang w:val="uk-UA" w:eastAsia="ru-RU"/>
        </w:rPr>
        <w:t>Відомості Верховної Ради України</w:t>
      </w:r>
      <w:r w:rsidRPr="00511005">
        <w:rPr>
          <w:rFonts w:ascii="Arial" w:eastAsia="Times New Roman" w:hAnsi="Arial" w:cs="Arial"/>
          <w:szCs w:val="28"/>
          <w:lang w:val="uk-UA" w:eastAsia="ru-RU"/>
        </w:rPr>
        <w:t>. 2010. № 50–51. Ст. 572.</w:t>
      </w:r>
    </w:p>
    <w:p w14:paraId="096337D5"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3E619E20" w14:textId="31B097CA" w:rsidR="006B07CA" w:rsidRPr="00511005" w:rsidRDefault="007B2628" w:rsidP="003A292D">
      <w:pPr>
        <w:spacing w:line="264" w:lineRule="auto"/>
        <w:ind w:firstLine="0"/>
        <w:rPr>
          <w:rFonts w:ascii="Arial" w:eastAsia="Helvetica Neue" w:hAnsi="Arial" w:cs="Arial"/>
          <w:szCs w:val="28"/>
          <w:lang w:val="uk-UA" w:eastAsia="uk-UA"/>
        </w:rPr>
      </w:pPr>
      <w:r w:rsidRPr="00511005">
        <w:rPr>
          <w:rFonts w:ascii="Arial" w:eastAsia="Helvetica Neue" w:hAnsi="Arial" w:cs="Arial"/>
          <w:b/>
          <w:bCs/>
          <w:i/>
          <w:szCs w:val="28"/>
          <w:lang w:val="uk-UA" w:eastAsia="uk-UA"/>
        </w:rPr>
        <w:t xml:space="preserve">Ключові слова: </w:t>
      </w:r>
      <w:r w:rsidR="006B07CA" w:rsidRPr="00511005">
        <w:rPr>
          <w:rFonts w:ascii="Arial" w:eastAsia="Helvetica Neue" w:hAnsi="Arial" w:cs="Arial"/>
          <w:szCs w:val="28"/>
          <w:lang w:val="uk-UA" w:eastAsia="uk-UA"/>
        </w:rPr>
        <w:t>нормативно-правовий акт, закон, підзаконний нормативно-правовий акт, ієрархія нормативно-правових актів, колізія підзаконних нормативно-правових актів</w:t>
      </w:r>
    </w:p>
    <w:p w14:paraId="41FC10DC" w14:textId="08C228C2" w:rsidR="006B07CA"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Key words: </w:t>
      </w:r>
      <w:r w:rsidR="006B07CA" w:rsidRPr="00511005">
        <w:rPr>
          <w:rFonts w:ascii="Arial" w:eastAsia="Times New Roman" w:hAnsi="Arial" w:cs="Arial"/>
          <w:szCs w:val="28"/>
          <w:lang w:val="uk-UA" w:eastAsia="uk-UA"/>
        </w:rPr>
        <w:t>regulatory act, law, subordinate regulatory act, hierarchy of regulatory acts, conflict of subordinate regulatory acts</w:t>
      </w:r>
    </w:p>
    <w:p w14:paraId="7E1F9C96" w14:textId="444A34AE" w:rsidR="006B07CA"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Науковий керівник: </w:t>
      </w:r>
      <w:r w:rsidR="006B07CA" w:rsidRPr="00511005">
        <w:rPr>
          <w:rFonts w:ascii="Arial" w:eastAsia="Times New Roman" w:hAnsi="Arial" w:cs="Arial"/>
          <w:szCs w:val="28"/>
          <w:lang w:val="uk-UA" w:eastAsia="uk-UA"/>
        </w:rPr>
        <w:t>к.ю.н., доцент Ковбасюк С.В.</w:t>
      </w:r>
    </w:p>
    <w:p w14:paraId="1DC73070" w14:textId="77777777" w:rsidR="006B07CA" w:rsidRPr="00511005" w:rsidRDefault="006B07CA" w:rsidP="003A292D">
      <w:pPr>
        <w:spacing w:line="264" w:lineRule="auto"/>
        <w:ind w:firstLine="0"/>
        <w:rPr>
          <w:rFonts w:ascii="Arial" w:eastAsia="Times New Roman" w:hAnsi="Arial" w:cs="Arial"/>
          <w:i/>
          <w:iCs/>
          <w:szCs w:val="28"/>
          <w:lang w:val="uk-UA" w:eastAsia="ru-RU"/>
        </w:rPr>
      </w:pPr>
    </w:p>
    <w:p w14:paraId="59093153" w14:textId="77777777" w:rsidR="006B07CA" w:rsidRPr="00511005" w:rsidRDefault="006B07CA" w:rsidP="003A292D">
      <w:pPr>
        <w:spacing w:line="264" w:lineRule="auto"/>
        <w:ind w:firstLine="0"/>
        <w:jc w:val="left"/>
        <w:rPr>
          <w:rFonts w:ascii="Arial" w:eastAsia="Times New Roman" w:hAnsi="Arial" w:cs="Arial"/>
          <w:szCs w:val="28"/>
          <w:lang w:val="uk-UA" w:eastAsia="ru-RU"/>
        </w:rPr>
      </w:pPr>
    </w:p>
    <w:p w14:paraId="50B63231" w14:textId="77777777" w:rsidR="006B07CA" w:rsidRPr="00511005" w:rsidRDefault="006B07CA" w:rsidP="003A292D">
      <w:pPr>
        <w:spacing w:line="264" w:lineRule="auto"/>
        <w:ind w:firstLine="0"/>
        <w:contextualSpacing/>
        <w:jc w:val="center"/>
        <w:rPr>
          <w:rFonts w:ascii="Arial" w:eastAsia="Calibri" w:hAnsi="Arial" w:cs="Arial"/>
          <w:b/>
          <w:i/>
          <w:szCs w:val="28"/>
          <w:lang w:val="uk-UA"/>
        </w:rPr>
      </w:pPr>
      <w:r w:rsidRPr="00511005">
        <w:rPr>
          <w:rFonts w:ascii="Arial" w:eastAsia="Calibri" w:hAnsi="Arial" w:cs="Arial"/>
          <w:b/>
          <w:i/>
          <w:szCs w:val="28"/>
          <w:lang w:val="uk-UA"/>
        </w:rPr>
        <w:t>Маркасова Лілія Вячеславівна</w:t>
      </w:r>
    </w:p>
    <w:p w14:paraId="78B050FF" w14:textId="1EA8414C" w:rsidR="006B07CA" w:rsidRPr="00511005" w:rsidRDefault="00BE3972" w:rsidP="003A292D">
      <w:pPr>
        <w:spacing w:line="264" w:lineRule="auto"/>
        <w:ind w:firstLine="0"/>
        <w:contextualSpacing/>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536AAB" w:rsidRPr="00511005">
        <w:rPr>
          <w:rFonts w:ascii="Arial" w:eastAsia="Calibri" w:hAnsi="Arial" w:cs="Arial"/>
          <w:szCs w:val="28"/>
          <w:lang w:val="uk-UA"/>
        </w:rPr>
        <w:t>факультету адвокатури та антикорупційної діяльності</w:t>
      </w:r>
    </w:p>
    <w:p w14:paraId="1F20469E" w14:textId="7FEBBFE3" w:rsidR="006B07CA" w:rsidRPr="00511005" w:rsidRDefault="007B2628" w:rsidP="003A292D">
      <w:pPr>
        <w:spacing w:line="264" w:lineRule="auto"/>
        <w:ind w:firstLine="0"/>
        <w:contextualSpacing/>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441D82B" w14:textId="77777777" w:rsidR="006B07CA" w:rsidRPr="00511005" w:rsidRDefault="006B07CA" w:rsidP="003A292D">
      <w:pPr>
        <w:spacing w:line="264" w:lineRule="auto"/>
        <w:ind w:firstLine="0"/>
        <w:contextualSpacing/>
        <w:jc w:val="center"/>
        <w:rPr>
          <w:rFonts w:ascii="Arial" w:eastAsia="Calibri" w:hAnsi="Arial" w:cs="Arial"/>
          <w:szCs w:val="28"/>
          <w:lang w:val="uk-UA"/>
        </w:rPr>
      </w:pPr>
    </w:p>
    <w:p w14:paraId="5D0EA902" w14:textId="77777777" w:rsidR="006B07CA" w:rsidRPr="00511005" w:rsidRDefault="006B07CA" w:rsidP="003A292D">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ВПЛИВ СОЦІАЛЬНИХ МЕРЕЖ ТА ШТУЧНОГО ІНТЕЛЕКТУ НА ПРАВОСВІДОМІСТЬ ТА ПРАВОВУ КУЛЬТУРУ СУСПІЛЬСТВА</w:t>
      </w:r>
    </w:p>
    <w:p w14:paraId="1676A532" w14:textId="77777777"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Стрімкий розвиток цифрових технологій, зокрема соціальних мереж і штучного інтелекту (ШІ), суттєво трансформує соціальні, економічні та правові процеси в сучасному суспільстві. У новій інформаційній реальності змінюється не лише характер комунікації між індивідами, але й механізми впливу на формування правосвідомості та правової культури. Громадяни все частіше отримують інформацію про свої права, обов’язки, правові події та законодавчі зміни саме через цифрові платформи, що формує нові моделі поведінки у правовому полі.</w:t>
      </w:r>
    </w:p>
    <w:p w14:paraId="60AC1F1E" w14:textId="77777777"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Соціальні мережі стали не лише засобом розваги чи соціального обміну, а й могутнім інструментом впливу на масову свідомість. У цьому </w:t>
      </w:r>
      <w:r w:rsidRPr="00511005">
        <w:rPr>
          <w:rFonts w:ascii="Arial" w:eastAsia="Calibri" w:hAnsi="Arial" w:cs="Arial"/>
          <w:szCs w:val="28"/>
          <w:lang w:val="uk-UA"/>
        </w:rPr>
        <w:lastRenderedPageBreak/>
        <w:t>контексті правова інформація, яка поширюється в медіапросторі, може як підвищувати рівень правової обізнаності громадян, так і спотворювати уявлення про право, породжуючи правовий нігілізм чи недовіру до інституцій. Водночас поява та активне застосування технологій штучного інтелекту відкриває нові можливості для автоматизації правових процесів, прогнозування правопорушень, цифрового навчання праву, але й несе певні ризики, пов’язані з етикою, приватністю та обмеженням прав людини.</w:t>
      </w:r>
    </w:p>
    <w:p w14:paraId="4632A554" w14:textId="77777777"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Згідно з положеннями Концепції розвитку штучного інтелекту в Україні, одним із головних завдань її реалізації є формування сприятливих умов для налагодження ефективної взаємодії між державними інституціями та громадянами [1]. У науковій доктрині поняття «штучний інтелект» зазвичай трактується як сукупність функціональних характеристик, що є продуктом людської науково-технічної діяльності. З філософської точки зору, зокрема в межах онтологічного підходу, штучний інтелект розглядається як «машинний розум», який моделює людські пізнавальні процеси, хоча сам не володіє такими ж когнітивними та інтелектуальними здібностями. </w:t>
      </w:r>
    </w:p>
    <w:p w14:paraId="1FFD62C8" w14:textId="77777777"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Вперше термін artificial intelligence («штучний інтелект») був запропонований Джоном Маккарті. Станом на сьогодні універсального, загальновизнаного визначення цього поняття не існує, а його юридичне трактування формується в межах окремих національних правових систем [2, с. 409].</w:t>
      </w:r>
    </w:p>
    <w:p w14:paraId="56C34F46" w14:textId="77777777"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Правосвідомість становить фундамент правової культури та охоплює систему уявлень, переконань, емоцій і настроїв, що формуються навколо уявлення про право. Вона включає в себе праворозуміння, ставлення до ролі права в житті суспільства й держави, бачення функціонування правових інституцій, ідеї щодо прав людини, а також усвідомлення відповідальності особи перед іншими, державою та суспільством у цілому. Як ідеологічна складова, правосвідомість виступає духовною гарантією реалізації прав та дотримання обов’язків. Її формування сприяє зміцненню законності, забезпечуючи кожному громадянину впевненість у тому, що порядок у державі буде підтримано, права та законні інтереси - захищені, а порушники - притягнуті до відповідальності, з відновленням порушених прав [3, с. 59].</w:t>
      </w:r>
    </w:p>
    <w:p w14:paraId="1DC50840" w14:textId="77777777"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На думку А. І. Луцького, правосвідомість є специфічним видом свідомості, що дозволяє особі формувати суб’єктивний образ чинного або бажаного права, виступаючи при цьому внутрішньою основою його існування та подальшого розвитку. Структура правосвідомості охоплює систему її складових елементів і взаємозв’язків між ними, що відображає її цілісну організацію. Водночас виділення структурних компонентів не слід сприймати як їхню ізольованість - вони взаємопов’язані, інтегровані в загальну систему й не можуть функціонувати автономно. При цьому важливо не нехтувати специфікою кожного з цих елементів, адже між ними </w:t>
      </w:r>
      <w:r w:rsidRPr="00511005">
        <w:rPr>
          <w:rFonts w:ascii="Arial" w:eastAsia="Calibri" w:hAnsi="Arial" w:cs="Arial"/>
          <w:szCs w:val="28"/>
          <w:lang w:val="uk-UA"/>
        </w:rPr>
        <w:lastRenderedPageBreak/>
        <w:t>існують суттєві відмінності, які мають значення як у теоретичному, так і в практичному аспекті [3, с. 52].</w:t>
      </w:r>
    </w:p>
    <w:p w14:paraId="2ADA2E3B" w14:textId="77777777"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Штучний інтелект (ШІ) дедалі активніше інтегрується в різні сфери суспільного життя, зокрема в юридичну практику, управління, освіту та навіть судову систему. Його застосування у правовій сфері має потенціал докорінно змінити не лише інструменти правозастосування, а й загальні уявлення про право, його функції та місце в житті суспільства. Завдяки алгоритмам, що здатні аналізувати великі обсяги правової інформації, ШІ може допомогти у швидкому прийнятті рішень, оцінці судової практики, прогнозуванні результатів справ, виявленні порушень законодавства. Такі зміни зумовлюють перегляд традиційного уявлення про роль юриста, посилюючи технократичний підхід до права.</w:t>
      </w:r>
    </w:p>
    <w:p w14:paraId="0F2C6301" w14:textId="77777777"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Разом із цим, виникають і нові етичні виклики, пов’язані з обмеженою здатністю штучного інтелекту розуміти контекст, морально-правову складову людських вчинків, а також з проблемами відповідальності за помилкові рішення, прийняті за участю алгоритмічних систем. Правова культура в умовах впровадження ШІ вимагає високого рівня цифрової грамотності від юристів та громадян, адже не лише доступ до інновацій, а й здатність їх усвідомлено використовувати є ознакою зрілого правового суспільства.</w:t>
      </w:r>
    </w:p>
    <w:p w14:paraId="34DEE179" w14:textId="77777777"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Варто підкреслити, що ШІ не просто змінює способи реалізації права </w:t>
      </w:r>
      <w:r w:rsidRPr="00511005">
        <w:rPr>
          <w:rFonts w:ascii="Arial" w:eastAsia="Calibri" w:hAnsi="Arial" w:cs="Arial"/>
          <w:szCs w:val="28"/>
        </w:rPr>
        <w:t>-</w:t>
      </w:r>
      <w:r w:rsidRPr="00511005">
        <w:rPr>
          <w:rFonts w:ascii="Arial" w:eastAsia="Calibri" w:hAnsi="Arial" w:cs="Arial"/>
          <w:szCs w:val="28"/>
          <w:lang w:val="uk-UA"/>
        </w:rPr>
        <w:t xml:space="preserve"> він змінює ставлення до нього. У сучасному суспільстві виникає потреба в переосмисленні основних понять, таких як юридична відповідальність, автономія волі, свобода вибору, коли частина правових дій здійснюється або опосередковується розумними алгоритмами. У зв’язку з цим важливим завданням є розробка чітких нормативних меж застосування ШІ у правовій діяльності, що має супроводжуватися формуванням нової етики взаємодії людини з технологією в правовому полі.</w:t>
      </w:r>
    </w:p>
    <w:p w14:paraId="657CBD11" w14:textId="77777777"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Поєднання можливостей соціальних мереж і штучного інтелекту створює новий соціокомунікативний простір, у якому формуються сучасні уявлення про право, справедливість, свободу та відповідальність. Така взаємодія породжує нову якість впливу на правосвідомість індивіда, оскільки інформація, яку споживає користувач, дедалі частіше фільтрується та персоналізується за допомогою алгоритмів. Це означає, що правова інформація більше не є нейтральною або універсально доступною - її зміст і форма залежать від налаштувань, вподобань і попередніх дій користувача, що створює ризик формування викривленої або фрагментарної правової картини світу.</w:t>
      </w:r>
    </w:p>
    <w:p w14:paraId="7D6E1468" w14:textId="514A2E3C" w:rsidR="006B07CA" w:rsidRPr="00511005" w:rsidRDefault="006B07CA" w:rsidP="00C31440">
      <w:pPr>
        <w:spacing w:line="264" w:lineRule="auto"/>
        <w:contextualSpacing/>
        <w:rPr>
          <w:rFonts w:ascii="Arial" w:eastAsia="Calibri" w:hAnsi="Arial" w:cs="Arial"/>
          <w:szCs w:val="28"/>
        </w:rPr>
      </w:pPr>
      <w:r w:rsidRPr="00511005">
        <w:rPr>
          <w:rFonts w:ascii="Arial" w:eastAsia="Calibri" w:hAnsi="Arial" w:cs="Arial"/>
          <w:szCs w:val="28"/>
          <w:lang w:val="uk-UA"/>
        </w:rPr>
        <w:t xml:space="preserve">Як підкреслюють Б. П. Ганьба та О. Б. Ганьба, правосвідомість, будучи невід’ємною складовою частиною як правової культури, так і правової системи загалом, відіграє важливу роль у функціонуванні всіх правових механізмів. Вона чинить істотний вплив на такі сфери, як законотворча </w:t>
      </w:r>
      <w:r w:rsidRPr="00511005">
        <w:rPr>
          <w:rFonts w:ascii="Arial" w:eastAsia="Calibri" w:hAnsi="Arial" w:cs="Arial"/>
          <w:szCs w:val="28"/>
          <w:lang w:val="uk-UA"/>
        </w:rPr>
        <w:lastRenderedPageBreak/>
        <w:t>діяльність, реалізація норм права, їх застосування та інтерпретація. Проте сама правосвідомість не є сталим явищем</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вона перебуває під постійним впливом як зовнішніх (об’єктивних), так і внутрішніх (суб’єктивних) чинників, які не завжди сприяють її позитивному розвитку. Навпаки, за певних умов можуть виникати відхилення у формуванні правової свідомості, що виявляється у викривленні правових уявлень у певних індивідів або соціальних груп. Це, своєю чергою, ускладнює становлення в них конструктивної правової позиції </w:t>
      </w:r>
      <w:r w:rsidRPr="00511005">
        <w:rPr>
          <w:rFonts w:ascii="Arial" w:eastAsia="Calibri" w:hAnsi="Arial" w:cs="Arial"/>
          <w:szCs w:val="28"/>
        </w:rPr>
        <w:t>[4,</w:t>
      </w:r>
      <w:r w:rsidRPr="00511005">
        <w:rPr>
          <w:rFonts w:ascii="Arial" w:eastAsia="Calibri" w:hAnsi="Arial" w:cs="Arial"/>
          <w:szCs w:val="28"/>
          <w:lang w:val="en-US"/>
        </w:rPr>
        <w:t>c</w:t>
      </w:r>
      <w:r w:rsidRPr="00511005">
        <w:rPr>
          <w:rFonts w:ascii="Arial" w:eastAsia="Calibri" w:hAnsi="Arial" w:cs="Arial"/>
          <w:szCs w:val="28"/>
        </w:rPr>
        <w:t>.7].</w:t>
      </w:r>
    </w:p>
    <w:p w14:paraId="0311D4D1" w14:textId="77777777"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До проявів такої деформації правосвідомості належать явища, що характеризуються відхиленням від адекватного сприйняття права та його функцій. Зокрема, йдеться про правовий нігілізм, який заперечує цінність права; правовий ідеалізм, що створює надмірно романтизовані уявлення про правову реальність; дилетантизм, який виявляється в поверхневому, непрофесійному підході до правових питань; демагогію, що спотворює правові принципи задля маніпулятивних цілей; та інфантилізм, який свідчить про неспроможність особи усвідомити власну правову відповідальність. Усі ці форми є негативними і становлять серйозну загрозу для формування зрілої правової культури.</w:t>
      </w:r>
    </w:p>
    <w:p w14:paraId="5E1E134A" w14:textId="199CD31B" w:rsidR="006B07CA" w:rsidRPr="00511005" w:rsidRDefault="006B07CA" w:rsidP="00C31440">
      <w:pPr>
        <w:spacing w:line="264" w:lineRule="auto"/>
        <w:contextualSpacing/>
        <w:rPr>
          <w:rFonts w:ascii="Arial" w:eastAsia="Calibri" w:hAnsi="Arial" w:cs="Arial"/>
          <w:szCs w:val="28"/>
          <w:lang w:val="uk-UA"/>
        </w:rPr>
      </w:pPr>
      <w:r w:rsidRPr="00511005">
        <w:rPr>
          <w:rFonts w:ascii="Arial" w:eastAsia="Calibri" w:hAnsi="Arial" w:cs="Arial"/>
          <w:szCs w:val="28"/>
          <w:lang w:val="uk-UA"/>
        </w:rPr>
        <w:t>Отже, інформаційна епоха потребує нових підходів до формування правосвідомості та правової культури. Соціальні мережі та штучний інтелект це не лише виклики, але й інструменти для підвищення правової грамотності населення. Головне завдання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забезпечити баланс між інноваціями та правовими гарантіями, зберігаючи гуманістичний характер права.</w:t>
      </w:r>
    </w:p>
    <w:p w14:paraId="42D6F505" w14:textId="77777777" w:rsidR="006B07CA" w:rsidRPr="00511005" w:rsidRDefault="006B07CA" w:rsidP="003A292D">
      <w:pPr>
        <w:spacing w:line="264" w:lineRule="auto"/>
        <w:ind w:firstLine="0"/>
        <w:contextualSpacing/>
        <w:rPr>
          <w:rFonts w:ascii="Arial" w:eastAsia="Calibri" w:hAnsi="Arial" w:cs="Arial"/>
          <w:szCs w:val="28"/>
          <w:lang w:val="uk-UA"/>
        </w:rPr>
      </w:pPr>
    </w:p>
    <w:p w14:paraId="4B82AA51" w14:textId="3B2E5ABE" w:rsidR="006B07CA" w:rsidRPr="00511005" w:rsidRDefault="007B2628" w:rsidP="007B2628">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6ECCB5AC" w14:textId="4A8116EF" w:rsidR="006B07CA" w:rsidRPr="00511005" w:rsidRDefault="006B07CA" w:rsidP="003A292D">
      <w:pPr>
        <w:shd w:val="clear" w:color="auto" w:fill="FFFFFF"/>
        <w:spacing w:line="264" w:lineRule="auto"/>
        <w:ind w:firstLine="0"/>
        <w:contextualSpacing/>
        <w:rPr>
          <w:rFonts w:ascii="Arial" w:eastAsia="Times New Roman" w:hAnsi="Arial" w:cs="Arial"/>
          <w:szCs w:val="28"/>
          <w:lang w:val="uk-UA" w:eastAsia="uk-UA"/>
        </w:rPr>
      </w:pPr>
      <w:r w:rsidRPr="00511005">
        <w:rPr>
          <w:rFonts w:ascii="Arial" w:eastAsia="Calibri" w:hAnsi="Arial" w:cs="Arial"/>
          <w:szCs w:val="28"/>
          <w:lang w:val="uk-UA"/>
        </w:rPr>
        <w:t xml:space="preserve">1. </w:t>
      </w:r>
      <w:r w:rsidRPr="00511005">
        <w:rPr>
          <w:rFonts w:ascii="Arial" w:eastAsia="Times New Roman" w:hAnsi="Arial" w:cs="Arial"/>
          <w:szCs w:val="28"/>
          <w:lang w:val="uk-UA" w:eastAsia="uk-UA"/>
        </w:rPr>
        <w:t>Про схвалення Концепції розвитку штучного інтелекту в Україні Розпорядження Кабінету Міністрів України від</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02.12.2020 р. No</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1556-р.</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URL.</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https://zakon.rada.gov.ua/laws/show/1556-2020-%D1%80#Text</w:t>
      </w:r>
    </w:p>
    <w:p w14:paraId="3E6275EE" w14:textId="6AA59F11" w:rsidR="006B07CA" w:rsidRPr="00511005" w:rsidRDefault="006B07CA" w:rsidP="003A292D">
      <w:pPr>
        <w:shd w:val="clear" w:color="auto" w:fill="FFFFFF"/>
        <w:spacing w:line="264" w:lineRule="auto"/>
        <w:ind w:firstLine="0"/>
        <w:contextualSpacing/>
        <w:rPr>
          <w:rFonts w:ascii="Arial" w:eastAsia="Times New Roman" w:hAnsi="Arial" w:cs="Arial"/>
          <w:szCs w:val="28"/>
          <w:lang w:val="uk-UA" w:eastAsia="uk-UA"/>
        </w:rPr>
      </w:pPr>
      <w:r w:rsidRPr="00511005">
        <w:rPr>
          <w:rFonts w:ascii="Arial" w:eastAsia="Calibri" w:hAnsi="Arial" w:cs="Arial"/>
          <w:szCs w:val="28"/>
          <w:lang w:val="uk-UA"/>
        </w:rPr>
        <w:t xml:space="preserve">2. </w:t>
      </w:r>
      <w:r w:rsidRPr="00511005">
        <w:rPr>
          <w:rFonts w:ascii="Arial" w:eastAsia="Times New Roman" w:hAnsi="Arial" w:cs="Arial"/>
          <w:szCs w:val="28"/>
          <w:lang w:val="uk-UA" w:eastAsia="uk-UA"/>
        </w:rPr>
        <w:t>Ковалів М. В., Єсімов С. С., Ярема О. Г. Інформаційне право України: навчальний посібник. Львів: Львівський державний університет</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внутрішніх справ, 2022. 416 с</w:t>
      </w:r>
    </w:p>
    <w:p w14:paraId="6252FB68" w14:textId="255F42B6" w:rsidR="006B07CA" w:rsidRPr="00511005" w:rsidRDefault="006B07CA"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3. Луцький А. І. Правосвідомість юриста як суб’єктивне відображення чинної правової ідеології. Юридичний часопис Національної академії внутрішніх справ.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2014.</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No</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С. 50–60. </w:t>
      </w:r>
    </w:p>
    <w:p w14:paraId="2483BDB8" w14:textId="77777777" w:rsidR="006B07CA" w:rsidRPr="00511005" w:rsidRDefault="006B07CA"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4. Ганьба Б.П., Ганьба О.Б. Фактори, що спричиняють формування дефектної</w:t>
      </w:r>
    </w:p>
    <w:p w14:paraId="6D11F5C3" w14:textId="77777777" w:rsidR="006B07CA" w:rsidRPr="00511005" w:rsidRDefault="006B07CA"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Правосвідомості</w:t>
      </w:r>
      <w:r w:rsidRPr="00511005">
        <w:rPr>
          <w:rFonts w:ascii="Arial" w:eastAsia="Calibri" w:hAnsi="Arial" w:cs="Arial"/>
          <w:szCs w:val="28"/>
        </w:rPr>
        <w:t xml:space="preserve"> </w:t>
      </w:r>
      <w:r w:rsidRPr="00511005">
        <w:rPr>
          <w:rFonts w:ascii="Arial" w:eastAsia="Calibri" w:hAnsi="Arial" w:cs="Arial"/>
          <w:szCs w:val="28"/>
          <w:lang w:val="uk-UA"/>
        </w:rPr>
        <w:t>у</w:t>
      </w:r>
      <w:r w:rsidRPr="00511005">
        <w:rPr>
          <w:rFonts w:ascii="Arial" w:eastAsia="Calibri" w:hAnsi="Arial" w:cs="Arial"/>
          <w:szCs w:val="28"/>
        </w:rPr>
        <w:t xml:space="preserve"> </w:t>
      </w:r>
      <w:r w:rsidRPr="00511005">
        <w:rPr>
          <w:rFonts w:ascii="Arial" w:eastAsia="Calibri" w:hAnsi="Arial" w:cs="Arial"/>
          <w:szCs w:val="28"/>
          <w:lang w:val="uk-UA"/>
        </w:rPr>
        <w:t>суспільствах</w:t>
      </w:r>
      <w:r w:rsidRPr="00511005">
        <w:rPr>
          <w:rFonts w:ascii="Arial" w:eastAsia="Calibri" w:hAnsi="Arial" w:cs="Arial"/>
          <w:szCs w:val="28"/>
        </w:rPr>
        <w:t xml:space="preserve"> </w:t>
      </w:r>
      <w:r w:rsidRPr="00511005">
        <w:rPr>
          <w:rFonts w:ascii="Arial" w:eastAsia="Calibri" w:hAnsi="Arial" w:cs="Arial"/>
          <w:szCs w:val="28"/>
          <w:lang w:val="uk-UA"/>
        </w:rPr>
        <w:t>перехідного</w:t>
      </w:r>
      <w:r w:rsidRPr="00511005">
        <w:rPr>
          <w:rFonts w:ascii="Arial" w:eastAsia="Calibri" w:hAnsi="Arial" w:cs="Arial"/>
          <w:szCs w:val="28"/>
        </w:rPr>
        <w:t xml:space="preserve"> </w:t>
      </w:r>
      <w:r w:rsidRPr="00511005">
        <w:rPr>
          <w:rFonts w:ascii="Arial" w:eastAsia="Calibri" w:hAnsi="Arial" w:cs="Arial"/>
          <w:szCs w:val="28"/>
          <w:lang w:val="uk-UA"/>
        </w:rPr>
        <w:t>типу. Прикарпатський</w:t>
      </w:r>
      <w:r w:rsidRPr="00511005">
        <w:rPr>
          <w:rFonts w:ascii="Arial" w:eastAsia="Calibri" w:hAnsi="Arial" w:cs="Arial"/>
          <w:szCs w:val="28"/>
        </w:rPr>
        <w:t xml:space="preserve"> </w:t>
      </w:r>
      <w:r w:rsidRPr="00511005">
        <w:rPr>
          <w:rFonts w:ascii="Arial" w:eastAsia="Calibri" w:hAnsi="Arial" w:cs="Arial"/>
          <w:szCs w:val="28"/>
          <w:lang w:val="uk-UA"/>
        </w:rPr>
        <w:t>юридичний</w:t>
      </w:r>
      <w:r w:rsidRPr="00511005">
        <w:rPr>
          <w:rFonts w:ascii="Arial" w:eastAsia="Calibri" w:hAnsi="Arial" w:cs="Arial"/>
          <w:szCs w:val="28"/>
        </w:rPr>
        <w:t xml:space="preserve"> </w:t>
      </w:r>
      <w:r w:rsidRPr="00511005">
        <w:rPr>
          <w:rFonts w:ascii="Arial" w:eastAsia="Calibri" w:hAnsi="Arial" w:cs="Arial"/>
          <w:szCs w:val="28"/>
          <w:lang w:val="uk-UA"/>
        </w:rPr>
        <w:t>вісник.</w:t>
      </w:r>
      <w:r w:rsidRPr="00511005">
        <w:rPr>
          <w:rFonts w:ascii="Arial" w:eastAsia="Calibri" w:hAnsi="Arial" w:cs="Arial"/>
          <w:szCs w:val="28"/>
        </w:rPr>
        <w:t xml:space="preserve"> </w:t>
      </w:r>
      <w:r w:rsidRPr="00511005">
        <w:rPr>
          <w:rFonts w:ascii="Arial" w:eastAsia="Calibri" w:hAnsi="Arial" w:cs="Arial"/>
          <w:szCs w:val="28"/>
          <w:lang w:val="uk-UA"/>
        </w:rPr>
        <w:t>2012. Вип. 2. С. 6–15.</w:t>
      </w:r>
    </w:p>
    <w:p w14:paraId="650E2356" w14:textId="77777777" w:rsidR="006B07CA" w:rsidRPr="00511005" w:rsidRDefault="006B07CA" w:rsidP="003A292D">
      <w:pPr>
        <w:spacing w:line="264" w:lineRule="auto"/>
        <w:ind w:firstLine="0"/>
        <w:contextualSpacing/>
        <w:rPr>
          <w:rFonts w:ascii="Arial" w:eastAsia="Calibri" w:hAnsi="Arial" w:cs="Arial"/>
          <w:szCs w:val="28"/>
          <w:lang w:val="uk-UA"/>
        </w:rPr>
      </w:pPr>
    </w:p>
    <w:p w14:paraId="6A6E90DA" w14:textId="10220848" w:rsidR="006B07CA" w:rsidRPr="00511005" w:rsidRDefault="006B07CA" w:rsidP="003A292D">
      <w:pPr>
        <w:spacing w:line="264" w:lineRule="auto"/>
        <w:ind w:firstLine="0"/>
        <w:contextualSpacing/>
        <w:rPr>
          <w:rFonts w:ascii="Arial" w:eastAsia="Calibri" w:hAnsi="Arial" w:cs="Arial"/>
          <w:szCs w:val="28"/>
          <w:lang w:val="uk-UA"/>
        </w:rPr>
      </w:pPr>
      <w:r w:rsidRPr="00511005">
        <w:rPr>
          <w:rFonts w:ascii="Arial" w:eastAsia="Calibri" w:hAnsi="Arial" w:cs="Arial"/>
          <w:b/>
          <w:i/>
          <w:iCs/>
          <w:szCs w:val="28"/>
          <w:lang w:val="uk-UA"/>
        </w:rPr>
        <w:t>Ключові слова:</w:t>
      </w:r>
      <w:r w:rsidRPr="00511005">
        <w:rPr>
          <w:rFonts w:ascii="Arial" w:eastAsia="Calibri" w:hAnsi="Arial" w:cs="Arial"/>
          <w:szCs w:val="28"/>
          <w:lang w:val="uk-UA"/>
        </w:rPr>
        <w:t xml:space="preserve"> соціальні мережі, штучний інтелект, правосвідомість, правова культура, цифрові технології, інформаційне суспільство, правова освіта.</w:t>
      </w:r>
    </w:p>
    <w:p w14:paraId="2EB7E9A4" w14:textId="04A47200" w:rsidR="006B07CA" w:rsidRPr="00511005" w:rsidRDefault="006B07CA" w:rsidP="003A292D">
      <w:pPr>
        <w:spacing w:line="264" w:lineRule="auto"/>
        <w:ind w:firstLine="0"/>
        <w:contextualSpacing/>
        <w:rPr>
          <w:rFonts w:ascii="Arial" w:eastAsia="Calibri" w:hAnsi="Arial" w:cs="Arial"/>
          <w:szCs w:val="28"/>
          <w:lang w:val="uk-UA"/>
        </w:rPr>
      </w:pPr>
      <w:r w:rsidRPr="00511005">
        <w:rPr>
          <w:rFonts w:ascii="Arial" w:eastAsia="Calibri" w:hAnsi="Arial" w:cs="Arial"/>
          <w:b/>
          <w:i/>
          <w:iCs/>
          <w:szCs w:val="28"/>
          <w:lang w:val="en-US"/>
        </w:rPr>
        <w:lastRenderedPageBreak/>
        <w:t>Key</w:t>
      </w:r>
      <w:r w:rsidRPr="00511005">
        <w:rPr>
          <w:rFonts w:ascii="Arial" w:eastAsia="Calibri" w:hAnsi="Arial" w:cs="Arial"/>
          <w:b/>
          <w:i/>
          <w:iCs/>
          <w:szCs w:val="28"/>
          <w:lang w:val="uk-UA"/>
        </w:rPr>
        <w:t xml:space="preserve"> </w:t>
      </w:r>
      <w:r w:rsidRPr="00511005">
        <w:rPr>
          <w:rFonts w:ascii="Arial" w:eastAsia="Calibri" w:hAnsi="Arial" w:cs="Arial"/>
          <w:b/>
          <w:i/>
          <w:iCs/>
          <w:szCs w:val="28"/>
          <w:lang w:val="en-US"/>
        </w:rPr>
        <w:t>words</w:t>
      </w:r>
      <w:r w:rsidRPr="00511005">
        <w:rPr>
          <w:rFonts w:ascii="Arial" w:eastAsia="Calibri" w:hAnsi="Arial" w:cs="Arial"/>
          <w:b/>
          <w:i/>
          <w:iCs/>
          <w:szCs w:val="28"/>
          <w:lang w:val="uk-UA"/>
        </w:rPr>
        <w:t>:</w:t>
      </w:r>
      <w:r w:rsidRPr="00511005">
        <w:rPr>
          <w:rFonts w:ascii="Arial" w:eastAsia="Calibri" w:hAnsi="Arial" w:cs="Arial"/>
          <w:b/>
          <w:szCs w:val="28"/>
          <w:lang w:val="uk-UA"/>
        </w:rPr>
        <w:t xml:space="preserve"> </w:t>
      </w:r>
      <w:r w:rsidRPr="00511005">
        <w:rPr>
          <w:rFonts w:ascii="Arial" w:eastAsia="Calibri" w:hAnsi="Arial" w:cs="Arial"/>
          <w:szCs w:val="28"/>
          <w:lang w:val="uk-UA"/>
        </w:rPr>
        <w:t>social networks, artificial intelligence, legal consciousness, legal culture, digital technologies, information society, legal education.</w:t>
      </w:r>
    </w:p>
    <w:p w14:paraId="608B0860" w14:textId="33B61430" w:rsidR="006B07CA"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i/>
          <w:szCs w:val="28"/>
          <w:lang w:val="uk-UA"/>
        </w:rPr>
        <w:t xml:space="preserve">Науковий керівник: </w:t>
      </w:r>
      <w:r w:rsidR="006B07CA" w:rsidRPr="00511005">
        <w:rPr>
          <w:rFonts w:ascii="Arial" w:eastAsia="Calibri" w:hAnsi="Arial" w:cs="Arial"/>
          <w:szCs w:val="28"/>
          <w:lang w:val="uk-UA"/>
        </w:rPr>
        <w:t>доктор філософії в галузі права, старший викладач Іванчук В.Є.</w:t>
      </w:r>
    </w:p>
    <w:p w14:paraId="50CD35DF" w14:textId="77777777" w:rsidR="006B07CA" w:rsidRPr="00511005" w:rsidRDefault="006B07CA" w:rsidP="003A292D">
      <w:pPr>
        <w:spacing w:line="264" w:lineRule="auto"/>
        <w:ind w:firstLine="0"/>
        <w:contextualSpacing/>
        <w:rPr>
          <w:rFonts w:ascii="Arial" w:eastAsia="Calibri" w:hAnsi="Arial" w:cs="Arial"/>
          <w:szCs w:val="28"/>
          <w:lang w:val="uk-UA"/>
        </w:rPr>
      </w:pPr>
    </w:p>
    <w:p w14:paraId="6B989489" w14:textId="77777777" w:rsidR="006B07CA" w:rsidRPr="00511005" w:rsidRDefault="006B07CA" w:rsidP="003A292D">
      <w:pPr>
        <w:spacing w:line="264" w:lineRule="auto"/>
        <w:ind w:firstLine="0"/>
        <w:contextualSpacing/>
        <w:rPr>
          <w:rFonts w:ascii="Arial" w:eastAsia="Calibri" w:hAnsi="Arial" w:cs="Arial"/>
          <w:szCs w:val="28"/>
          <w:lang w:val="uk-UA"/>
        </w:rPr>
      </w:pPr>
    </w:p>
    <w:p w14:paraId="57873485" w14:textId="77777777" w:rsidR="006B07CA" w:rsidRPr="00511005" w:rsidRDefault="006B07CA" w:rsidP="003A292D">
      <w:pPr>
        <w:spacing w:line="264" w:lineRule="auto"/>
        <w:ind w:firstLine="0"/>
        <w:jc w:val="center"/>
        <w:rPr>
          <w:rFonts w:ascii="Arial" w:eastAsia="Times New Roman" w:hAnsi="Arial" w:cs="Arial"/>
          <w:b/>
          <w:bCs/>
          <w:i/>
          <w:iCs/>
          <w:szCs w:val="28"/>
          <w:lang w:val="en-GB" w:eastAsia="ru-RU"/>
        </w:rPr>
      </w:pPr>
      <w:r w:rsidRPr="00511005">
        <w:rPr>
          <w:rFonts w:ascii="Arial" w:eastAsia="Times New Roman" w:hAnsi="Arial" w:cs="Arial"/>
          <w:b/>
          <w:bCs/>
          <w:i/>
          <w:iCs/>
          <w:szCs w:val="28"/>
          <w:lang w:val="en-GB" w:eastAsia="ru-RU"/>
        </w:rPr>
        <w:t>Malovana Anna Olehivna</w:t>
      </w:r>
    </w:p>
    <w:p w14:paraId="78F6A9C1" w14:textId="77777777" w:rsidR="006B07CA" w:rsidRPr="00511005" w:rsidRDefault="006B07CA" w:rsidP="003A292D">
      <w:pPr>
        <w:spacing w:line="264" w:lineRule="auto"/>
        <w:ind w:firstLine="0"/>
        <w:jc w:val="center"/>
        <w:rPr>
          <w:rFonts w:ascii="Arial" w:eastAsia="Times New Roman" w:hAnsi="Arial" w:cs="Arial"/>
          <w:szCs w:val="28"/>
          <w:lang w:val="en-GB" w:eastAsia="ru-RU"/>
        </w:rPr>
      </w:pPr>
      <w:r w:rsidRPr="00511005">
        <w:rPr>
          <w:rFonts w:ascii="Arial" w:eastAsia="Times New Roman" w:hAnsi="Arial" w:cs="Arial"/>
          <w:szCs w:val="28"/>
          <w:lang w:val="en-GB" w:eastAsia="ru-RU"/>
        </w:rPr>
        <w:t>1st year student of the Faculty of Judicial and International Law</w:t>
      </w:r>
    </w:p>
    <w:p w14:paraId="29DB5058" w14:textId="77777777" w:rsidR="006B07CA" w:rsidRPr="00511005" w:rsidRDefault="006B07CA" w:rsidP="003A292D">
      <w:pPr>
        <w:spacing w:line="264" w:lineRule="auto"/>
        <w:ind w:firstLine="0"/>
        <w:jc w:val="center"/>
        <w:rPr>
          <w:rFonts w:ascii="Arial" w:eastAsia="Times New Roman" w:hAnsi="Arial" w:cs="Arial"/>
          <w:szCs w:val="28"/>
          <w:lang w:val="en-GB" w:eastAsia="ru-RU"/>
        </w:rPr>
      </w:pPr>
      <w:r w:rsidRPr="00511005">
        <w:rPr>
          <w:rFonts w:ascii="Arial" w:eastAsia="Times New Roman" w:hAnsi="Arial" w:cs="Arial"/>
          <w:szCs w:val="28"/>
          <w:lang w:val="en-GB" w:eastAsia="ru-RU"/>
        </w:rPr>
        <w:t>National University “Odesa Law Academy”</w:t>
      </w:r>
    </w:p>
    <w:p w14:paraId="5DA603ED" w14:textId="77777777" w:rsidR="006B07CA" w:rsidRPr="00511005" w:rsidRDefault="006B07CA" w:rsidP="003A292D">
      <w:pPr>
        <w:spacing w:line="264" w:lineRule="auto"/>
        <w:ind w:firstLine="0"/>
        <w:jc w:val="center"/>
        <w:rPr>
          <w:rFonts w:ascii="Arial" w:eastAsia="Times New Roman" w:hAnsi="Arial" w:cs="Arial"/>
          <w:szCs w:val="28"/>
          <w:lang w:val="en-GB" w:eastAsia="ru-RU"/>
        </w:rPr>
      </w:pPr>
    </w:p>
    <w:p w14:paraId="44F191A2" w14:textId="77777777" w:rsidR="006B07CA" w:rsidRPr="00511005" w:rsidRDefault="006B07CA" w:rsidP="003A292D">
      <w:pPr>
        <w:spacing w:line="264" w:lineRule="auto"/>
        <w:ind w:firstLine="0"/>
        <w:jc w:val="center"/>
        <w:rPr>
          <w:rFonts w:ascii="Arial" w:eastAsia="Times New Roman" w:hAnsi="Arial" w:cs="Arial"/>
          <w:b/>
          <w:bCs/>
          <w:szCs w:val="28"/>
          <w:lang w:val="en-GB" w:eastAsia="ru-RU"/>
        </w:rPr>
      </w:pPr>
      <w:r w:rsidRPr="00511005">
        <w:rPr>
          <w:rFonts w:ascii="Arial" w:eastAsia="Times New Roman" w:hAnsi="Arial" w:cs="Arial"/>
          <w:b/>
          <w:bCs/>
          <w:szCs w:val="28"/>
          <w:lang w:val="en-GB" w:eastAsia="ru-RU"/>
        </w:rPr>
        <w:t xml:space="preserve">LAW AND MORALITY IN THE CONTEXT OF THE DOCTRINE </w:t>
      </w:r>
    </w:p>
    <w:p w14:paraId="026CDB55" w14:textId="77777777" w:rsidR="006B07CA" w:rsidRPr="00511005" w:rsidRDefault="006B07CA" w:rsidP="003A292D">
      <w:pPr>
        <w:spacing w:line="264" w:lineRule="auto"/>
        <w:ind w:firstLine="0"/>
        <w:jc w:val="center"/>
        <w:rPr>
          <w:rFonts w:ascii="Arial" w:eastAsia="Times New Roman" w:hAnsi="Arial" w:cs="Arial"/>
          <w:b/>
          <w:bCs/>
          <w:szCs w:val="28"/>
          <w:lang w:val="en-GB" w:eastAsia="ru-RU"/>
        </w:rPr>
      </w:pPr>
      <w:r w:rsidRPr="00511005">
        <w:rPr>
          <w:rFonts w:ascii="Arial" w:eastAsia="Times New Roman" w:hAnsi="Arial" w:cs="Arial"/>
          <w:b/>
          <w:bCs/>
          <w:szCs w:val="28"/>
          <w:lang w:val="en-GB" w:eastAsia="ru-RU"/>
        </w:rPr>
        <w:t>OF HUMAN RIGHTS</w:t>
      </w:r>
    </w:p>
    <w:p w14:paraId="2526F970" w14:textId="77777777" w:rsidR="006B07CA" w:rsidRPr="00511005" w:rsidRDefault="006B07CA" w:rsidP="00C31440">
      <w:pPr>
        <w:spacing w:line="264" w:lineRule="auto"/>
        <w:rPr>
          <w:rFonts w:ascii="Arial" w:eastAsia="Helvetica Neue" w:hAnsi="Arial" w:cs="Arial"/>
          <w:szCs w:val="28"/>
          <w:lang w:val="en-US" w:eastAsia="zh-CN"/>
        </w:rPr>
      </w:pPr>
      <w:r w:rsidRPr="00511005">
        <w:rPr>
          <w:rFonts w:ascii="Arial" w:eastAsia="Helvetica Neue" w:hAnsi="Arial" w:cs="Arial"/>
          <w:szCs w:val="28"/>
          <w:lang w:val="en-GB" w:eastAsia="zh-CN"/>
        </w:rPr>
        <w:t xml:space="preserve">The problem of the relationship </w:t>
      </w:r>
      <w:r w:rsidRPr="00511005">
        <w:rPr>
          <w:rFonts w:ascii="Arial" w:eastAsia="Helvetica Neue" w:hAnsi="Arial" w:cs="Arial"/>
          <w:szCs w:val="28"/>
          <w:lang w:val="en-US" w:eastAsia="zh-CN"/>
        </w:rPr>
        <w:t>between law and morality is one of the central issues in the philosophy of law, legal theory and jurisprudence in general. In modern society, which is increasingly oriented towards the values of democracy, human rights, social justice and humanism, the issue of the relationship between these two regulators of social life is of particular importance. This is especially important in the context of the realisation and protection of human rights, since it is at the junction of legal norms and moral beliefs that a system is formed that ensures dignity, freedom and justice for every person.</w:t>
      </w:r>
    </w:p>
    <w:p w14:paraId="633C01F3" w14:textId="77777777" w:rsidR="006B07CA" w:rsidRPr="00511005" w:rsidRDefault="006B07CA" w:rsidP="00C31440">
      <w:pPr>
        <w:spacing w:line="264" w:lineRule="auto"/>
        <w:rPr>
          <w:rFonts w:ascii="Arial" w:eastAsia="Helvetica Neue" w:hAnsi="Arial" w:cs="Arial"/>
          <w:szCs w:val="28"/>
          <w:lang w:val="en-US" w:eastAsia="zh-CN"/>
        </w:rPr>
      </w:pPr>
      <w:r w:rsidRPr="00511005">
        <w:rPr>
          <w:rFonts w:ascii="Arial" w:eastAsia="Helvetica Neue" w:hAnsi="Arial" w:cs="Arial"/>
          <w:szCs w:val="28"/>
          <w:lang w:val="en-US" w:eastAsia="zh-CN"/>
        </w:rPr>
        <w:t>Law as a social regulator is external in nature, its effect is ensured by the coercive power of the state. It clearly sets out the rules of behaviour in the form of binding norms. Morality, in its turn, is an internal regulator based on social perceptions of good and evil, justice, dignity, and responsibility. While law requires compliance with a certain form of behaviour under the threat of sanctions, morality appeals to a person's conscience, to his or her inner need to act in accordance with convictions [2, p. 308].</w:t>
      </w:r>
    </w:p>
    <w:p w14:paraId="1023A3F8" w14:textId="77777777" w:rsidR="006B07CA" w:rsidRPr="00511005" w:rsidRDefault="006B07CA" w:rsidP="00C31440">
      <w:pPr>
        <w:spacing w:line="264" w:lineRule="auto"/>
        <w:rPr>
          <w:rFonts w:ascii="Arial" w:eastAsia="Helvetica Neue" w:hAnsi="Arial" w:cs="Arial"/>
          <w:szCs w:val="28"/>
          <w:lang w:val="en-US" w:eastAsia="zh-CN"/>
        </w:rPr>
      </w:pPr>
      <w:r w:rsidRPr="00511005">
        <w:rPr>
          <w:rFonts w:ascii="Arial" w:eastAsia="Helvetica Neue" w:hAnsi="Arial" w:cs="Arial"/>
          <w:szCs w:val="28"/>
          <w:lang w:val="en-US" w:eastAsia="zh-CN"/>
        </w:rPr>
        <w:t>In the modern human rights doctrine, both of these elements - law and morality - not only coexist, but also interact closely. Human rights, although enshrined in legal acts such as the Universal Declaration of Human Rights of 1948, the International Covenant on Civil and Political Rights of 1966 or the European Convention on Human Rights of 1950, have a deep moral foundation. These documents recognise human rights as inalienable and inherent to everyone from birth. Such an approach cannot be explained solely in terms of legal categories - it is based on the idea of human dignity, which is a moral category [4, p. 22].</w:t>
      </w:r>
    </w:p>
    <w:p w14:paraId="425608A8" w14:textId="77777777" w:rsidR="006B07CA" w:rsidRPr="00511005" w:rsidRDefault="006B07CA" w:rsidP="00C31440">
      <w:pPr>
        <w:spacing w:line="264" w:lineRule="auto"/>
        <w:rPr>
          <w:rFonts w:ascii="Arial" w:eastAsia="Helvetica Neue" w:hAnsi="Arial" w:cs="Arial"/>
          <w:szCs w:val="28"/>
          <w:lang w:val="en-US" w:eastAsia="zh-CN"/>
        </w:rPr>
      </w:pPr>
      <w:r w:rsidRPr="00511005">
        <w:rPr>
          <w:rFonts w:ascii="Arial" w:eastAsia="Helvetica Neue" w:hAnsi="Arial" w:cs="Arial"/>
          <w:szCs w:val="28"/>
          <w:lang w:val="en-US" w:eastAsia="zh-CN"/>
        </w:rPr>
        <w:t xml:space="preserve">In everyday legal practice, situations often arise when law and morality do not coincide. For example, formally, the law may or may not permit certain behaviour that is morally outrageous or unacceptable. On the other hand, there may be a moral obligation to help another that has no direct legal sanction. These contradictions are particularly evident in areas where the most important human </w:t>
      </w:r>
      <w:r w:rsidRPr="00511005">
        <w:rPr>
          <w:rFonts w:ascii="Arial" w:eastAsia="Helvetica Neue" w:hAnsi="Arial" w:cs="Arial"/>
          <w:szCs w:val="28"/>
          <w:lang w:val="en-US" w:eastAsia="zh-CN"/>
        </w:rPr>
        <w:lastRenderedPageBreak/>
        <w:t>rights and freedoms are concerned - the right to life, liberty, equality, freedom of conscience, freedom of expression, and protection from torture.</w:t>
      </w:r>
    </w:p>
    <w:p w14:paraId="7996EB45" w14:textId="54DE34F4" w:rsidR="006B07CA" w:rsidRPr="00511005" w:rsidRDefault="006B07CA" w:rsidP="00C31440">
      <w:pPr>
        <w:spacing w:line="264" w:lineRule="auto"/>
        <w:rPr>
          <w:rFonts w:ascii="Arial" w:eastAsia="Helvetica Neue" w:hAnsi="Arial" w:cs="Arial"/>
          <w:szCs w:val="28"/>
          <w:lang w:val="en-US" w:eastAsia="zh-CN"/>
        </w:rPr>
      </w:pPr>
      <w:r w:rsidRPr="00511005">
        <w:rPr>
          <w:rFonts w:ascii="Arial" w:eastAsia="Helvetica Neue" w:hAnsi="Arial" w:cs="Arial"/>
          <w:szCs w:val="28"/>
          <w:lang w:val="en-US" w:eastAsia="zh-CN"/>
        </w:rPr>
        <w:t>There are many examples in human history when legislation was officially recognised, but was morally unacceptable. Laws that allowed slavery, racial discrimination, restrictions on women's rights or criminalisation of homosexuality provide an example of how the absence of a moral basis in law leads to violations of fundamental human rights. Even in the face of formal legality, such systems violated ethical principles, which shows that without a moral foundation, law can become an instrument of injustice [1,</w:t>
      </w:r>
      <w:r w:rsidR="007B2628" w:rsidRPr="00511005">
        <w:rPr>
          <w:rFonts w:ascii="Arial" w:eastAsia="Helvetica Neue" w:hAnsi="Arial" w:cs="Arial"/>
          <w:szCs w:val="28"/>
          <w:lang w:val="en-US" w:eastAsia="zh-CN"/>
        </w:rPr>
        <w:t xml:space="preserve"> </w:t>
      </w:r>
      <w:r w:rsidRPr="00511005">
        <w:rPr>
          <w:rFonts w:ascii="Arial" w:eastAsia="Helvetica Neue" w:hAnsi="Arial" w:cs="Arial"/>
          <w:szCs w:val="28"/>
          <w:lang w:val="en-US" w:eastAsia="zh-CN"/>
        </w:rPr>
        <w:t>p. 141-145].</w:t>
      </w:r>
    </w:p>
    <w:p w14:paraId="2DCCB8E5" w14:textId="77777777" w:rsidR="006B07CA" w:rsidRPr="00511005" w:rsidRDefault="006B07CA" w:rsidP="00C31440">
      <w:pPr>
        <w:spacing w:line="264" w:lineRule="auto"/>
        <w:rPr>
          <w:rFonts w:ascii="Arial" w:eastAsia="Helvetica Neue" w:hAnsi="Arial" w:cs="Arial"/>
          <w:szCs w:val="28"/>
          <w:lang w:val="en-US" w:eastAsia="zh-CN"/>
        </w:rPr>
      </w:pPr>
      <w:r w:rsidRPr="00511005">
        <w:rPr>
          <w:rFonts w:ascii="Arial" w:eastAsia="Helvetica Neue" w:hAnsi="Arial" w:cs="Arial"/>
          <w:szCs w:val="28"/>
          <w:lang w:val="en-US" w:eastAsia="zh-CN"/>
        </w:rPr>
        <w:t>At the same time, morality is not always a reliable guarantor of human rights. In different cultures, moral norms can differ significantly, leading to a conflict between local moral perceptions and universal human rights. For example, in a number of traditional societies, women are considered subordinate to men, which may be morally justified in a particular culture but contradicts the universally recognised principles of equal rights. Thus, morality is not always universal, unlike human rights, which claim to be universal.</w:t>
      </w:r>
    </w:p>
    <w:p w14:paraId="21DDE25D" w14:textId="77777777" w:rsidR="006B07CA" w:rsidRPr="00511005" w:rsidRDefault="006B07CA" w:rsidP="00C31440">
      <w:pPr>
        <w:spacing w:line="264" w:lineRule="auto"/>
        <w:rPr>
          <w:rFonts w:ascii="Arial" w:eastAsia="Helvetica Neue" w:hAnsi="Arial" w:cs="Arial"/>
          <w:szCs w:val="28"/>
          <w:lang w:val="en-US" w:eastAsia="zh-CN"/>
        </w:rPr>
      </w:pPr>
      <w:r w:rsidRPr="00511005">
        <w:rPr>
          <w:rFonts w:ascii="Arial" w:eastAsia="Helvetica Neue" w:hAnsi="Arial" w:cs="Arial"/>
          <w:szCs w:val="28"/>
          <w:lang w:val="en-US" w:eastAsia="zh-CN"/>
        </w:rPr>
        <w:t>In a democratic state, legal norms should be based on moral principles that are recognised by the majority of society. In this context, the principle of justice plays an extremely important role. A law that does not reflect fair moral concepts loses its legitimacy in the eyes of citizens. Even if it is formally valid, it can be challenged, cancelled or amended in the event of widespread moral rejection. This is exactly how legal reforms aimed at prohibiting discrimination, expanding the rights of minorities, protecting people with disabilities, etc. [3, p. 20-29].</w:t>
      </w:r>
    </w:p>
    <w:p w14:paraId="5841D3F7" w14:textId="77777777" w:rsidR="006B07CA" w:rsidRPr="00511005" w:rsidRDefault="006B07CA" w:rsidP="00C31440">
      <w:pPr>
        <w:spacing w:line="264" w:lineRule="auto"/>
        <w:rPr>
          <w:rFonts w:ascii="Arial" w:eastAsia="Helvetica Neue" w:hAnsi="Arial" w:cs="Arial"/>
          <w:szCs w:val="28"/>
          <w:lang w:val="en-US" w:eastAsia="zh-CN"/>
        </w:rPr>
      </w:pPr>
      <w:r w:rsidRPr="00511005">
        <w:rPr>
          <w:rFonts w:ascii="Arial" w:eastAsia="Helvetica Neue" w:hAnsi="Arial" w:cs="Arial"/>
          <w:szCs w:val="28"/>
          <w:lang w:val="en-US" w:eastAsia="zh-CN"/>
        </w:rPr>
        <w:t>The modern concept of human rights envisages not only enshrining rights in legislation, but also creating conditions under which these rights can be exercised in practice. This includes effective justice, independent courts, the right to defence, equal access to education and healthcare, and the ability to influence public policy. But even with all the legal mechanisms in place, without the moral responsibility of government officials, judges and citizens, human rights will not be sufficient. This is where morality comes into play again as a driving force that makes you act honestly, humanely, and with respect for another person.</w:t>
      </w:r>
    </w:p>
    <w:p w14:paraId="706D7DD3" w14:textId="77777777" w:rsidR="006B07CA" w:rsidRPr="00511005" w:rsidRDefault="006B07CA" w:rsidP="00C31440">
      <w:pPr>
        <w:spacing w:line="264" w:lineRule="auto"/>
        <w:rPr>
          <w:rFonts w:ascii="Arial" w:eastAsia="Helvetica Neue" w:hAnsi="Arial" w:cs="Arial"/>
          <w:szCs w:val="28"/>
          <w:lang w:val="en-US" w:eastAsia="zh-CN"/>
        </w:rPr>
      </w:pPr>
      <w:r w:rsidRPr="00511005">
        <w:rPr>
          <w:rFonts w:ascii="Arial" w:eastAsia="Helvetica Neue" w:hAnsi="Arial" w:cs="Arial"/>
          <w:szCs w:val="28"/>
          <w:lang w:val="en-US" w:eastAsia="zh-CN"/>
        </w:rPr>
        <w:t>Civil society institutions, media, education, and religious organisations play an important role in shaping the moral dimension of human rights. They influence the public consciousness, form an understanding of the value of the human person, develop empathy, and teach people to stand up to injustice. For example, campaigns against domestic violence or for children's rights are successful only when changes occur not only at the level of laws, but also in people's attitudes towards these problems [5, p.</w:t>
      </w:r>
      <w:r w:rsidRPr="00511005">
        <w:rPr>
          <w:rFonts w:ascii="Arial" w:eastAsia="Helvetica Neue" w:hAnsi="Arial" w:cs="Arial"/>
          <w:szCs w:val="28"/>
          <w:lang w:val="uk-UA" w:eastAsia="zh-CN"/>
        </w:rPr>
        <w:t xml:space="preserve"> </w:t>
      </w:r>
      <w:r w:rsidRPr="00511005">
        <w:rPr>
          <w:rFonts w:ascii="Arial" w:eastAsia="Helvetica Neue" w:hAnsi="Arial" w:cs="Arial"/>
          <w:szCs w:val="28"/>
          <w:lang w:val="en-US" w:eastAsia="zh-CN"/>
        </w:rPr>
        <w:t>99-103].</w:t>
      </w:r>
    </w:p>
    <w:p w14:paraId="3380F25A" w14:textId="77777777" w:rsidR="006B07CA" w:rsidRPr="00511005" w:rsidRDefault="006B07CA" w:rsidP="00C31440">
      <w:pPr>
        <w:spacing w:line="264" w:lineRule="auto"/>
        <w:rPr>
          <w:rFonts w:ascii="Arial" w:eastAsia="Helvetica Neue" w:hAnsi="Arial" w:cs="Arial"/>
          <w:szCs w:val="28"/>
          <w:lang w:val="en-US" w:eastAsia="zh-CN"/>
        </w:rPr>
      </w:pPr>
      <w:r w:rsidRPr="00511005">
        <w:rPr>
          <w:rFonts w:ascii="Arial" w:eastAsia="Helvetica Neue" w:hAnsi="Arial" w:cs="Arial"/>
          <w:szCs w:val="28"/>
          <w:lang w:val="en-US" w:eastAsia="zh-CN"/>
        </w:rPr>
        <w:t xml:space="preserve">It is also worth noting that in today's globalised world, human rights are increasingly seen as moral imperatives that should stand above political or economic interests. International organisations such as the UN, the Council of Europe, and the OSCE constantly emphasise that states must not only comply </w:t>
      </w:r>
      <w:r w:rsidRPr="00511005">
        <w:rPr>
          <w:rFonts w:ascii="Arial" w:eastAsia="Helvetica Neue" w:hAnsi="Arial" w:cs="Arial"/>
          <w:szCs w:val="28"/>
          <w:lang w:val="en-US" w:eastAsia="zh-CN"/>
        </w:rPr>
        <w:lastRenderedPageBreak/>
        <w:t>with legal norms but also be guided by moral principles, particularly in the areas of humanitarian policy, migration, warfare, and poverty alleviation.</w:t>
      </w:r>
    </w:p>
    <w:p w14:paraId="74DE3358" w14:textId="77777777" w:rsidR="006B07CA" w:rsidRPr="00511005" w:rsidRDefault="006B07CA" w:rsidP="00C31440">
      <w:pPr>
        <w:spacing w:line="264" w:lineRule="auto"/>
        <w:rPr>
          <w:rFonts w:ascii="Arial" w:eastAsia="Helvetica Neue" w:hAnsi="Arial" w:cs="Arial"/>
          <w:szCs w:val="28"/>
          <w:lang w:val="en-US" w:eastAsia="zh-CN"/>
        </w:rPr>
      </w:pPr>
      <w:r w:rsidRPr="00511005">
        <w:rPr>
          <w:rFonts w:ascii="Arial" w:eastAsia="Helvetica Neue" w:hAnsi="Arial" w:cs="Arial"/>
          <w:szCs w:val="28"/>
          <w:lang w:val="en-US" w:eastAsia="zh-CN"/>
        </w:rPr>
        <w:t>Thus, law and morality should not conflict, but complement each other. Law should have a moral basis, and morality, in turn, should be supported by legal mechanisms. This approach allows us to build a just society in which human rights are not just declared, but are a real value.</w:t>
      </w:r>
    </w:p>
    <w:p w14:paraId="0B64B035" w14:textId="77777777" w:rsidR="006B07CA" w:rsidRPr="00511005" w:rsidRDefault="006B07CA" w:rsidP="003A292D">
      <w:pPr>
        <w:spacing w:line="264" w:lineRule="auto"/>
        <w:ind w:firstLine="0"/>
        <w:rPr>
          <w:rFonts w:ascii="Arial" w:eastAsia="Helvetica Neue" w:hAnsi="Arial" w:cs="Arial"/>
          <w:szCs w:val="28"/>
          <w:lang w:val="en-US" w:eastAsia="zh-CN"/>
        </w:rPr>
      </w:pPr>
    </w:p>
    <w:p w14:paraId="30C890D6" w14:textId="77777777" w:rsidR="006B07CA" w:rsidRPr="00511005" w:rsidRDefault="006B07CA" w:rsidP="003A292D">
      <w:pPr>
        <w:spacing w:line="264" w:lineRule="auto"/>
        <w:ind w:firstLine="0"/>
        <w:jc w:val="center"/>
        <w:rPr>
          <w:rFonts w:ascii="Arial" w:eastAsia="Helvetica Neue" w:hAnsi="Arial" w:cs="Arial"/>
          <w:b/>
          <w:bCs/>
          <w:szCs w:val="28"/>
          <w:lang w:val="en-US" w:eastAsia="zh-CN"/>
        </w:rPr>
      </w:pPr>
      <w:r w:rsidRPr="00511005">
        <w:rPr>
          <w:rFonts w:ascii="Arial" w:eastAsia="Helvetica Neue" w:hAnsi="Arial" w:cs="Arial"/>
          <w:b/>
          <w:bCs/>
          <w:szCs w:val="28"/>
          <w:lang w:val="en-US" w:eastAsia="zh-CN"/>
        </w:rPr>
        <w:t>References</w:t>
      </w:r>
    </w:p>
    <w:p w14:paraId="19692255" w14:textId="77777777" w:rsidR="006B07CA" w:rsidRPr="00511005" w:rsidRDefault="006B07CA" w:rsidP="000C392A">
      <w:pPr>
        <w:numPr>
          <w:ilvl w:val="0"/>
          <w:numId w:val="29"/>
        </w:numPr>
        <w:spacing w:line="264" w:lineRule="auto"/>
        <w:ind w:firstLine="700"/>
        <w:jc w:val="left"/>
        <w:rPr>
          <w:rFonts w:ascii="Arial" w:eastAsia="Helvetica Neue" w:hAnsi="Arial" w:cs="Arial"/>
          <w:szCs w:val="28"/>
          <w:lang w:eastAsia="zh-CN"/>
        </w:rPr>
      </w:pPr>
      <w:r w:rsidRPr="00511005">
        <w:rPr>
          <w:rFonts w:ascii="Arial" w:eastAsia="Helvetica Neue" w:hAnsi="Arial" w:cs="Arial"/>
          <w:szCs w:val="28"/>
          <w:lang w:val="uk-UA" w:eastAsia="zh-CN"/>
        </w:rPr>
        <w:t xml:space="preserve">Розумовський О. С. </w:t>
      </w:r>
      <w:r w:rsidRPr="00511005">
        <w:rPr>
          <w:rFonts w:ascii="Arial" w:eastAsia="Times New Roman" w:hAnsi="Arial" w:cs="Arial"/>
          <w:szCs w:val="28"/>
          <w:lang w:eastAsia="zh-CN"/>
        </w:rPr>
        <w:t>Захист прав людини, пов’язаного з порушенням ст. 2 Конвенції про захист прав людини і основоположних свобод (1950 р.) в умовах збройного конфлікту</w:t>
      </w:r>
      <w:r w:rsidRPr="00511005">
        <w:rPr>
          <w:rFonts w:ascii="Arial" w:eastAsia="Times New Roman" w:hAnsi="Arial" w:cs="Arial"/>
          <w:szCs w:val="28"/>
          <w:lang w:val="uk-UA" w:eastAsia="zh-CN"/>
        </w:rPr>
        <w:t xml:space="preserve">. </w:t>
      </w:r>
      <w:r w:rsidRPr="00511005">
        <w:rPr>
          <w:rFonts w:ascii="Arial" w:eastAsia="Times New Roman" w:hAnsi="Arial" w:cs="Arial"/>
          <w:i/>
          <w:iCs/>
          <w:szCs w:val="28"/>
          <w:lang w:eastAsia="zh-CN"/>
        </w:rPr>
        <w:t>Науковий вісник Ужгородського Національного Університету.</w:t>
      </w:r>
      <w:r w:rsidRPr="00511005">
        <w:rPr>
          <w:rFonts w:ascii="Arial" w:eastAsia="Times New Roman" w:hAnsi="Arial" w:cs="Arial"/>
          <w:i/>
          <w:iCs/>
          <w:szCs w:val="28"/>
          <w:lang w:val="uk-UA" w:eastAsia="zh-CN"/>
        </w:rPr>
        <w:t xml:space="preserve"> </w:t>
      </w:r>
      <w:r w:rsidRPr="00511005">
        <w:rPr>
          <w:rFonts w:ascii="Arial" w:eastAsia="Times New Roman" w:hAnsi="Arial" w:cs="Arial"/>
          <w:szCs w:val="28"/>
          <w:lang w:val="uk-UA" w:eastAsia="zh-CN"/>
        </w:rPr>
        <w:t xml:space="preserve">2022. </w:t>
      </w:r>
      <w:r w:rsidRPr="00511005">
        <w:rPr>
          <w:rFonts w:ascii="Arial" w:eastAsia="Times New Roman" w:hAnsi="Arial" w:cs="Arial"/>
          <w:szCs w:val="28"/>
          <w:lang w:eastAsia="zh-CN"/>
        </w:rPr>
        <w:t>Вип. 70. С. 141-145.</w:t>
      </w:r>
      <w:r w:rsidRPr="00511005">
        <w:rPr>
          <w:rFonts w:ascii="Arial" w:eastAsia="Times New Roman" w:hAnsi="Arial" w:cs="Arial"/>
          <w:szCs w:val="28"/>
          <w:lang w:val="uk-UA" w:eastAsia="zh-CN"/>
        </w:rPr>
        <w:t xml:space="preserve"> </w:t>
      </w:r>
      <w:r w:rsidRPr="00511005">
        <w:rPr>
          <w:rFonts w:ascii="Arial" w:eastAsia="Times New Roman" w:hAnsi="Arial" w:cs="Arial"/>
          <w:szCs w:val="28"/>
          <w:lang w:val="en-GB" w:eastAsia="zh-CN"/>
        </w:rPr>
        <w:t>URL</w:t>
      </w:r>
      <w:r w:rsidRPr="00511005">
        <w:rPr>
          <w:rFonts w:ascii="Arial" w:eastAsia="Times New Roman" w:hAnsi="Arial" w:cs="Arial"/>
          <w:szCs w:val="28"/>
          <w:lang w:eastAsia="zh-CN"/>
        </w:rPr>
        <w:t xml:space="preserve">: </w:t>
      </w:r>
      <w:hyperlink r:id="rId49" w:history="1">
        <w:r w:rsidRPr="00511005">
          <w:rPr>
            <w:rFonts w:ascii="Arial" w:eastAsia="Times New Roman" w:hAnsi="Arial" w:cs="Arial"/>
            <w:szCs w:val="28"/>
            <w:lang w:val="en-GB" w:eastAsia="zh-CN"/>
          </w:rPr>
          <w:t>https</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visnyk</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juris</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uzhnu</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com</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wp</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content</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uploads</w:t>
        </w:r>
        <w:r w:rsidRPr="00511005">
          <w:rPr>
            <w:rFonts w:ascii="Arial" w:eastAsia="Times New Roman" w:hAnsi="Arial" w:cs="Arial"/>
            <w:szCs w:val="28"/>
            <w:lang w:eastAsia="zh-CN"/>
          </w:rPr>
          <w:t>/2022/05/22.</w:t>
        </w:r>
        <w:r w:rsidRPr="00511005">
          <w:rPr>
            <w:rFonts w:ascii="Arial" w:eastAsia="Times New Roman" w:hAnsi="Arial" w:cs="Arial"/>
            <w:szCs w:val="28"/>
            <w:lang w:val="en-GB" w:eastAsia="zh-CN"/>
          </w:rPr>
          <w:t>pdf</w:t>
        </w:r>
      </w:hyperlink>
    </w:p>
    <w:p w14:paraId="7156E062" w14:textId="77777777" w:rsidR="006B07CA" w:rsidRPr="00511005" w:rsidRDefault="006B07CA" w:rsidP="000C392A">
      <w:pPr>
        <w:numPr>
          <w:ilvl w:val="0"/>
          <w:numId w:val="29"/>
        </w:numPr>
        <w:spacing w:line="264" w:lineRule="auto"/>
        <w:ind w:firstLine="700"/>
        <w:jc w:val="left"/>
        <w:rPr>
          <w:rFonts w:ascii="Arial" w:eastAsia="Helvetica Neue" w:hAnsi="Arial" w:cs="Arial"/>
          <w:szCs w:val="28"/>
          <w:lang w:eastAsia="zh-CN"/>
        </w:rPr>
      </w:pPr>
      <w:r w:rsidRPr="00511005">
        <w:rPr>
          <w:rFonts w:ascii="Arial" w:eastAsia="Times New Roman" w:hAnsi="Arial" w:cs="Arial"/>
          <w:szCs w:val="28"/>
          <w:lang w:eastAsia="zh-CN"/>
        </w:rPr>
        <w:t xml:space="preserve">Барабаш О. О. Європейські стандарти захисту прав людини в умовах цифровізації судочинства. </w:t>
      </w:r>
      <w:r w:rsidRPr="00511005">
        <w:rPr>
          <w:rFonts w:ascii="Arial" w:eastAsia="Times New Roman" w:hAnsi="Arial" w:cs="Arial"/>
          <w:i/>
          <w:iCs/>
          <w:szCs w:val="28"/>
          <w:lang w:eastAsia="zh-CN"/>
        </w:rPr>
        <w:t>Юридичний науковий електронний журнал.</w:t>
      </w:r>
      <w:r w:rsidRPr="00511005">
        <w:rPr>
          <w:rFonts w:ascii="Arial" w:eastAsia="Times New Roman" w:hAnsi="Arial" w:cs="Arial"/>
          <w:szCs w:val="28"/>
          <w:lang w:eastAsia="zh-CN"/>
        </w:rPr>
        <w:t xml:space="preserve"> 2023. № 4. С. 308. </w:t>
      </w:r>
      <w:r w:rsidRPr="00511005">
        <w:rPr>
          <w:rFonts w:ascii="Arial" w:eastAsia="Times New Roman" w:hAnsi="Arial" w:cs="Arial"/>
          <w:szCs w:val="28"/>
          <w:lang w:val="en-US" w:eastAsia="zh-CN"/>
        </w:rPr>
        <w:t>URL</w:t>
      </w:r>
      <w:r w:rsidRPr="00511005">
        <w:rPr>
          <w:rFonts w:ascii="Arial" w:eastAsia="Times New Roman" w:hAnsi="Arial" w:cs="Arial"/>
          <w:szCs w:val="28"/>
          <w:lang w:eastAsia="zh-CN"/>
        </w:rPr>
        <w:t xml:space="preserve">: </w:t>
      </w:r>
      <w:hyperlink r:id="rId50" w:history="1">
        <w:r w:rsidRPr="00511005">
          <w:rPr>
            <w:rFonts w:ascii="Arial" w:eastAsia="Times New Roman" w:hAnsi="Arial" w:cs="Arial"/>
            <w:szCs w:val="28"/>
            <w:lang w:val="en-US" w:eastAsia="zh-CN"/>
          </w:rPr>
          <w:t>https</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dspace</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lvduvs</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edu</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ua</w:t>
        </w:r>
        <w:r w:rsidRPr="00511005">
          <w:rPr>
            <w:rFonts w:ascii="Arial" w:eastAsia="Times New Roman" w:hAnsi="Arial" w:cs="Arial"/>
            <w:szCs w:val="28"/>
            <w:lang w:eastAsia="zh-CN"/>
          </w:rPr>
          <w:t>/</w:t>
        </w:r>
        <w:r w:rsidRPr="00511005">
          <w:rPr>
            <w:rFonts w:ascii="Arial" w:eastAsia="Times New Roman" w:hAnsi="Arial" w:cs="Arial"/>
            <w:szCs w:val="28"/>
            <w:lang w:val="en-US" w:eastAsia="zh-CN"/>
          </w:rPr>
          <w:t>bitstream</w:t>
        </w:r>
        <w:r w:rsidRPr="00511005">
          <w:rPr>
            <w:rFonts w:ascii="Arial" w:eastAsia="Times New Roman" w:hAnsi="Arial" w:cs="Arial"/>
            <w:szCs w:val="28"/>
            <w:lang w:eastAsia="zh-CN"/>
          </w:rPr>
          <w:t>/1234567890/6295/1/%</w:t>
        </w:r>
        <w:r w:rsidRPr="00511005">
          <w:rPr>
            <w:rFonts w:ascii="Arial" w:eastAsia="Times New Roman" w:hAnsi="Arial" w:cs="Arial"/>
            <w:szCs w:val="28"/>
            <w:lang w:val="en-US" w:eastAsia="zh-CN"/>
          </w:rPr>
          <w:t>d</w:t>
        </w:r>
        <w:r w:rsidRPr="00511005">
          <w:rPr>
            <w:rFonts w:ascii="Arial" w:eastAsia="Times New Roman" w:hAnsi="Arial" w:cs="Arial"/>
            <w:szCs w:val="28"/>
            <w:lang w:eastAsia="zh-CN"/>
          </w:rPr>
          <w:t>0%</w:t>
        </w:r>
        <w:r w:rsidRPr="00511005">
          <w:rPr>
            <w:rFonts w:ascii="Arial" w:eastAsia="Times New Roman" w:hAnsi="Arial" w:cs="Arial"/>
            <w:szCs w:val="28"/>
            <w:lang w:val="en-US" w:eastAsia="zh-CN"/>
          </w:rPr>
          <w:t>b</w:t>
        </w:r>
        <w:r w:rsidRPr="00511005">
          <w:rPr>
            <w:rFonts w:ascii="Arial" w:eastAsia="Times New Roman" w:hAnsi="Arial" w:cs="Arial"/>
            <w:szCs w:val="28"/>
            <w:lang w:eastAsia="zh-CN"/>
          </w:rPr>
          <w:t>1%</w:t>
        </w:r>
        <w:r w:rsidRPr="00511005">
          <w:rPr>
            <w:rFonts w:ascii="Arial" w:eastAsia="Times New Roman" w:hAnsi="Arial" w:cs="Arial"/>
            <w:szCs w:val="28"/>
            <w:lang w:val="uk-UA" w:eastAsia="zh-CN"/>
          </w:rPr>
          <w:t xml:space="preserve"> </w:t>
        </w:r>
        <w:r w:rsidRPr="00511005">
          <w:rPr>
            <w:rFonts w:ascii="Arial" w:eastAsia="Times New Roman" w:hAnsi="Arial" w:cs="Arial"/>
            <w:szCs w:val="28"/>
            <w:lang w:val="en-US" w:eastAsia="zh-CN"/>
          </w:rPr>
          <w:t>d</w:t>
        </w:r>
        <w:r w:rsidRPr="00511005">
          <w:rPr>
            <w:rFonts w:ascii="Arial" w:eastAsia="Times New Roman" w:hAnsi="Arial" w:cs="Arial"/>
            <w:szCs w:val="28"/>
            <w:lang w:eastAsia="zh-CN"/>
          </w:rPr>
          <w:t>0%</w:t>
        </w:r>
        <w:r w:rsidRPr="00511005">
          <w:rPr>
            <w:rFonts w:ascii="Arial" w:eastAsia="Times New Roman" w:hAnsi="Arial" w:cs="Arial"/>
            <w:szCs w:val="28"/>
            <w:lang w:val="en-US" w:eastAsia="zh-CN"/>
          </w:rPr>
          <w:t>b</w:t>
        </w:r>
        <w:r w:rsidRPr="00511005">
          <w:rPr>
            <w:rFonts w:ascii="Arial" w:eastAsia="Times New Roman" w:hAnsi="Arial" w:cs="Arial"/>
            <w:szCs w:val="28"/>
            <w:lang w:eastAsia="zh-CN"/>
          </w:rPr>
          <w:t>0%</w:t>
        </w:r>
        <w:r w:rsidRPr="00511005">
          <w:rPr>
            <w:rFonts w:ascii="Arial" w:eastAsia="Times New Roman" w:hAnsi="Arial" w:cs="Arial"/>
            <w:szCs w:val="28"/>
            <w:lang w:val="en-US" w:eastAsia="zh-CN"/>
          </w:rPr>
          <w:t>d</w:t>
        </w:r>
        <w:r w:rsidRPr="00511005">
          <w:rPr>
            <w:rFonts w:ascii="Arial" w:eastAsia="Times New Roman" w:hAnsi="Arial" w:cs="Arial"/>
            <w:szCs w:val="28"/>
            <w:lang w:eastAsia="zh-CN"/>
          </w:rPr>
          <w:t>1%80%</w:t>
        </w:r>
        <w:r w:rsidRPr="00511005">
          <w:rPr>
            <w:rFonts w:ascii="Arial" w:eastAsia="Times New Roman" w:hAnsi="Arial" w:cs="Arial"/>
            <w:szCs w:val="28"/>
            <w:lang w:val="en-US" w:eastAsia="zh-CN"/>
          </w:rPr>
          <w:t>d</w:t>
        </w:r>
        <w:r w:rsidRPr="00511005">
          <w:rPr>
            <w:rFonts w:ascii="Arial" w:eastAsia="Times New Roman" w:hAnsi="Arial" w:cs="Arial"/>
            <w:szCs w:val="28"/>
            <w:lang w:eastAsia="zh-CN"/>
          </w:rPr>
          <w:t>0%</w:t>
        </w:r>
        <w:r w:rsidRPr="00511005">
          <w:rPr>
            <w:rFonts w:ascii="Arial" w:eastAsia="Times New Roman" w:hAnsi="Arial" w:cs="Arial"/>
            <w:szCs w:val="28"/>
            <w:lang w:val="en-US" w:eastAsia="zh-CN"/>
          </w:rPr>
          <w:t>b</w:t>
        </w:r>
        <w:r w:rsidRPr="00511005">
          <w:rPr>
            <w:rFonts w:ascii="Arial" w:eastAsia="Times New Roman" w:hAnsi="Arial" w:cs="Arial"/>
            <w:szCs w:val="28"/>
            <w:lang w:eastAsia="zh-CN"/>
          </w:rPr>
          <w:t>0%</w:t>
        </w:r>
        <w:r w:rsidRPr="00511005">
          <w:rPr>
            <w:rFonts w:ascii="Arial" w:eastAsia="Times New Roman" w:hAnsi="Arial" w:cs="Arial"/>
            <w:szCs w:val="28"/>
            <w:lang w:val="en-US" w:eastAsia="zh-CN"/>
          </w:rPr>
          <w:t>d</w:t>
        </w:r>
        <w:r w:rsidRPr="00511005">
          <w:rPr>
            <w:rFonts w:ascii="Arial" w:eastAsia="Times New Roman" w:hAnsi="Arial" w:cs="Arial"/>
            <w:szCs w:val="28"/>
            <w:lang w:eastAsia="zh-CN"/>
          </w:rPr>
          <w:t>0%</w:t>
        </w:r>
        <w:r w:rsidRPr="00511005">
          <w:rPr>
            <w:rFonts w:ascii="Arial" w:eastAsia="Times New Roman" w:hAnsi="Arial" w:cs="Arial"/>
            <w:szCs w:val="28"/>
            <w:lang w:val="en-US" w:eastAsia="zh-CN"/>
          </w:rPr>
          <w:t>b</w:t>
        </w:r>
        <w:r w:rsidRPr="00511005">
          <w:rPr>
            <w:rFonts w:ascii="Arial" w:eastAsia="Times New Roman" w:hAnsi="Arial" w:cs="Arial"/>
            <w:szCs w:val="28"/>
            <w:lang w:eastAsia="zh-CN"/>
          </w:rPr>
          <w:t>1%</w:t>
        </w:r>
        <w:r w:rsidRPr="00511005">
          <w:rPr>
            <w:rFonts w:ascii="Arial" w:eastAsia="Times New Roman" w:hAnsi="Arial" w:cs="Arial"/>
            <w:szCs w:val="28"/>
            <w:lang w:val="en-US" w:eastAsia="zh-CN"/>
          </w:rPr>
          <w:t>d</w:t>
        </w:r>
        <w:r w:rsidRPr="00511005">
          <w:rPr>
            <w:rFonts w:ascii="Arial" w:eastAsia="Times New Roman" w:hAnsi="Arial" w:cs="Arial"/>
            <w:szCs w:val="28"/>
            <w:lang w:eastAsia="zh-CN"/>
          </w:rPr>
          <w:t>0%</w:t>
        </w:r>
        <w:r w:rsidRPr="00511005">
          <w:rPr>
            <w:rFonts w:ascii="Arial" w:eastAsia="Times New Roman" w:hAnsi="Arial" w:cs="Arial"/>
            <w:szCs w:val="28"/>
            <w:lang w:val="en-US" w:eastAsia="zh-CN"/>
          </w:rPr>
          <w:t>b</w:t>
        </w:r>
        <w:r w:rsidRPr="00511005">
          <w:rPr>
            <w:rFonts w:ascii="Arial" w:eastAsia="Times New Roman" w:hAnsi="Arial" w:cs="Arial"/>
            <w:szCs w:val="28"/>
            <w:lang w:eastAsia="zh-CN"/>
          </w:rPr>
          <w:t>0%</w:t>
        </w:r>
        <w:r w:rsidRPr="00511005">
          <w:rPr>
            <w:rFonts w:ascii="Arial" w:eastAsia="Times New Roman" w:hAnsi="Arial" w:cs="Arial"/>
            <w:szCs w:val="28"/>
            <w:lang w:val="en-US" w:eastAsia="zh-CN"/>
          </w:rPr>
          <w:t>d</w:t>
        </w:r>
        <w:r w:rsidRPr="00511005">
          <w:rPr>
            <w:rFonts w:ascii="Arial" w:eastAsia="Times New Roman" w:hAnsi="Arial" w:cs="Arial"/>
            <w:szCs w:val="28"/>
            <w:lang w:eastAsia="zh-CN"/>
          </w:rPr>
          <w:t>1%882.</w:t>
        </w:r>
        <w:r w:rsidRPr="00511005">
          <w:rPr>
            <w:rFonts w:ascii="Arial" w:eastAsia="Times New Roman" w:hAnsi="Arial" w:cs="Arial"/>
            <w:szCs w:val="28"/>
            <w:lang w:val="en-US" w:eastAsia="zh-CN"/>
          </w:rPr>
          <w:t>pdf</w:t>
        </w:r>
      </w:hyperlink>
      <w:r w:rsidRPr="00511005">
        <w:rPr>
          <w:rFonts w:ascii="Arial" w:eastAsia="Times New Roman" w:hAnsi="Arial" w:cs="Arial"/>
          <w:szCs w:val="28"/>
          <w:lang w:val="uk-UA" w:eastAsia="zh-CN"/>
        </w:rPr>
        <w:t>.</w:t>
      </w:r>
    </w:p>
    <w:p w14:paraId="2CEAF0B6" w14:textId="77777777" w:rsidR="006B07CA" w:rsidRPr="00511005" w:rsidRDefault="006B07CA" w:rsidP="000C392A">
      <w:pPr>
        <w:numPr>
          <w:ilvl w:val="0"/>
          <w:numId w:val="29"/>
        </w:numPr>
        <w:spacing w:line="264" w:lineRule="auto"/>
        <w:ind w:firstLine="700"/>
        <w:jc w:val="left"/>
        <w:rPr>
          <w:rFonts w:ascii="Arial" w:eastAsia="Helvetica Neue" w:hAnsi="Arial" w:cs="Arial"/>
          <w:szCs w:val="28"/>
          <w:lang w:eastAsia="zh-CN"/>
        </w:rPr>
      </w:pPr>
      <w:r w:rsidRPr="00511005">
        <w:rPr>
          <w:rFonts w:ascii="Arial" w:eastAsia="Times New Roman" w:hAnsi="Arial" w:cs="Arial"/>
          <w:szCs w:val="28"/>
          <w:lang w:val="uk-UA" w:eastAsia="zh-CN"/>
        </w:rPr>
        <w:t xml:space="preserve">Орєшкова А. Ф. Організаційно-правові (інституційні) гарантії прав і свобод внутрішньо переміщених осіб: теоретико-правовий аспект. </w:t>
      </w:r>
      <w:r w:rsidRPr="00511005">
        <w:rPr>
          <w:rFonts w:ascii="Arial" w:eastAsia="Times New Roman" w:hAnsi="Arial" w:cs="Arial"/>
          <w:i/>
          <w:iCs/>
          <w:szCs w:val="28"/>
          <w:lang w:val="uk-UA" w:eastAsia="zh-CN"/>
        </w:rPr>
        <w:t xml:space="preserve">Конституційно-правові академічні студії. </w:t>
      </w:r>
      <w:r w:rsidRPr="00511005">
        <w:rPr>
          <w:rFonts w:ascii="Arial" w:eastAsia="Times New Roman" w:hAnsi="Arial" w:cs="Arial"/>
          <w:szCs w:val="28"/>
          <w:lang w:val="uk-UA" w:eastAsia="zh-CN"/>
        </w:rPr>
        <w:t xml:space="preserve">2020. №1. С. 20-29. </w:t>
      </w:r>
      <w:r w:rsidRPr="00511005">
        <w:rPr>
          <w:rFonts w:ascii="Arial" w:eastAsia="Times New Roman" w:hAnsi="Arial" w:cs="Arial"/>
          <w:szCs w:val="28"/>
          <w:lang w:val="en-GB" w:eastAsia="zh-CN"/>
        </w:rPr>
        <w:t>URL</w:t>
      </w:r>
      <w:r w:rsidRPr="00511005">
        <w:rPr>
          <w:rFonts w:ascii="Arial" w:eastAsia="Times New Roman" w:hAnsi="Arial" w:cs="Arial"/>
          <w:szCs w:val="28"/>
          <w:lang w:eastAsia="zh-CN"/>
        </w:rPr>
        <w:t xml:space="preserve">: </w:t>
      </w:r>
      <w:hyperlink r:id="rId51" w:history="1">
        <w:r w:rsidRPr="00511005">
          <w:rPr>
            <w:rFonts w:ascii="Arial" w:eastAsia="Times New Roman" w:hAnsi="Arial" w:cs="Arial"/>
            <w:szCs w:val="28"/>
            <w:lang w:val="en-GB" w:eastAsia="zh-CN"/>
          </w:rPr>
          <w:t>http</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irbis</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nbuv</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gov</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ua</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cgibin</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irbis</w:t>
        </w:r>
        <w:r w:rsidRPr="00511005">
          <w:rPr>
            <w:rFonts w:ascii="Arial" w:eastAsia="Times New Roman" w:hAnsi="Arial" w:cs="Arial"/>
            <w:szCs w:val="28"/>
            <w:lang w:eastAsia="zh-CN"/>
          </w:rPr>
          <w:t>_</w:t>
        </w:r>
        <w:r w:rsidRPr="00511005">
          <w:rPr>
            <w:rFonts w:ascii="Arial" w:eastAsia="Times New Roman" w:hAnsi="Arial" w:cs="Arial"/>
            <w:szCs w:val="28"/>
            <w:lang w:val="en-GB" w:eastAsia="zh-CN"/>
          </w:rPr>
          <w:t>nbuv</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cgiirbis</w:t>
        </w:r>
        <w:r w:rsidRPr="00511005">
          <w:rPr>
            <w:rFonts w:ascii="Arial" w:eastAsia="Times New Roman" w:hAnsi="Arial" w:cs="Arial"/>
            <w:szCs w:val="28"/>
            <w:lang w:eastAsia="zh-CN"/>
          </w:rPr>
          <w:t>_64.</w:t>
        </w:r>
        <w:r w:rsidRPr="00511005">
          <w:rPr>
            <w:rFonts w:ascii="Arial" w:eastAsia="Times New Roman" w:hAnsi="Arial" w:cs="Arial"/>
            <w:szCs w:val="28"/>
            <w:lang w:val="en-GB" w:eastAsia="zh-CN"/>
          </w:rPr>
          <w:t>exe</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C</w:t>
        </w:r>
        <w:r w:rsidRPr="00511005">
          <w:rPr>
            <w:rFonts w:ascii="Arial" w:eastAsia="Times New Roman" w:hAnsi="Arial" w:cs="Arial"/>
            <w:szCs w:val="28"/>
            <w:lang w:eastAsia="zh-CN"/>
          </w:rPr>
          <w:t>21</w:t>
        </w:r>
        <w:r w:rsidRPr="00511005">
          <w:rPr>
            <w:rFonts w:ascii="Arial" w:eastAsia="Times New Roman" w:hAnsi="Arial" w:cs="Arial"/>
            <w:szCs w:val="28"/>
            <w:lang w:val="en-GB" w:eastAsia="zh-CN"/>
          </w:rPr>
          <w:t>COM</w:t>
        </w:r>
        <w:r w:rsidRPr="00511005">
          <w:rPr>
            <w:rFonts w:ascii="Arial" w:eastAsia="Times New Roman" w:hAnsi="Arial" w:cs="Arial"/>
            <w:szCs w:val="28"/>
            <w:lang w:eastAsia="zh-CN"/>
          </w:rPr>
          <w:t>=2&amp;</w:t>
        </w:r>
        <w:r w:rsidRPr="00511005">
          <w:rPr>
            <w:rFonts w:ascii="Arial" w:eastAsia="Times New Roman" w:hAnsi="Arial" w:cs="Arial"/>
            <w:szCs w:val="28"/>
            <w:lang w:val="en-GB" w:eastAsia="zh-CN"/>
          </w:rPr>
          <w:t>I</w:t>
        </w:r>
        <w:r w:rsidRPr="00511005">
          <w:rPr>
            <w:rFonts w:ascii="Arial" w:eastAsia="Times New Roman" w:hAnsi="Arial" w:cs="Arial"/>
            <w:szCs w:val="28"/>
            <w:lang w:eastAsia="zh-CN"/>
          </w:rPr>
          <w:t>21</w:t>
        </w:r>
        <w:r w:rsidRPr="00511005">
          <w:rPr>
            <w:rFonts w:ascii="Arial" w:eastAsia="Times New Roman" w:hAnsi="Arial" w:cs="Arial"/>
            <w:szCs w:val="28"/>
            <w:lang w:val="en-GB" w:eastAsia="zh-CN"/>
          </w:rPr>
          <w:t>DBN</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UJRN</w:t>
        </w:r>
        <w:r w:rsidRPr="00511005">
          <w:rPr>
            <w:rFonts w:ascii="Arial" w:eastAsia="Times New Roman" w:hAnsi="Arial" w:cs="Arial"/>
            <w:szCs w:val="28"/>
            <w:lang w:eastAsia="zh-CN"/>
          </w:rPr>
          <w:t>&amp;</w:t>
        </w:r>
        <w:r w:rsidRPr="00511005">
          <w:rPr>
            <w:rFonts w:ascii="Arial" w:eastAsia="Times New Roman" w:hAnsi="Arial" w:cs="Arial"/>
            <w:szCs w:val="28"/>
            <w:lang w:val="en-GB" w:eastAsia="zh-CN"/>
          </w:rPr>
          <w:t>P</w:t>
        </w:r>
        <w:r w:rsidRPr="00511005">
          <w:rPr>
            <w:rFonts w:ascii="Arial" w:eastAsia="Times New Roman" w:hAnsi="Arial" w:cs="Arial"/>
            <w:szCs w:val="28"/>
            <w:lang w:eastAsia="zh-CN"/>
          </w:rPr>
          <w:t>21</w:t>
        </w:r>
        <w:r w:rsidRPr="00511005">
          <w:rPr>
            <w:rFonts w:ascii="Arial" w:eastAsia="Times New Roman" w:hAnsi="Arial" w:cs="Arial"/>
            <w:szCs w:val="28"/>
            <w:lang w:val="en-GB" w:eastAsia="zh-CN"/>
          </w:rPr>
          <w:t>DBN</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UJRN</w:t>
        </w:r>
        <w:r w:rsidRPr="00511005">
          <w:rPr>
            <w:rFonts w:ascii="Arial" w:eastAsia="Times New Roman" w:hAnsi="Arial" w:cs="Arial"/>
            <w:szCs w:val="28"/>
            <w:lang w:eastAsia="zh-CN"/>
          </w:rPr>
          <w:t>&amp;</w:t>
        </w:r>
        <w:r w:rsidRPr="00511005">
          <w:rPr>
            <w:rFonts w:ascii="Arial" w:eastAsia="Times New Roman" w:hAnsi="Arial" w:cs="Arial"/>
            <w:szCs w:val="28"/>
            <w:lang w:val="en-GB" w:eastAsia="zh-CN"/>
          </w:rPr>
          <w:t>IMAGE</w:t>
        </w:r>
        <w:r w:rsidRPr="00511005">
          <w:rPr>
            <w:rFonts w:ascii="Arial" w:eastAsia="Times New Roman" w:hAnsi="Arial" w:cs="Arial"/>
            <w:szCs w:val="28"/>
            <w:lang w:eastAsia="zh-CN"/>
          </w:rPr>
          <w:t>_</w:t>
        </w:r>
        <w:r w:rsidRPr="00511005">
          <w:rPr>
            <w:rFonts w:ascii="Arial" w:eastAsia="Times New Roman" w:hAnsi="Arial" w:cs="Arial"/>
            <w:szCs w:val="28"/>
            <w:lang w:val="en-GB" w:eastAsia="zh-CN"/>
          </w:rPr>
          <w:t>FILE</w:t>
        </w:r>
        <w:r w:rsidRPr="00511005">
          <w:rPr>
            <w:rFonts w:ascii="Arial" w:eastAsia="Times New Roman" w:hAnsi="Arial" w:cs="Arial"/>
            <w:szCs w:val="28"/>
            <w:lang w:eastAsia="zh-CN"/>
          </w:rPr>
          <w:t>_</w:t>
        </w:r>
        <w:r w:rsidRPr="00511005">
          <w:rPr>
            <w:rFonts w:ascii="Arial" w:eastAsia="Times New Roman" w:hAnsi="Arial" w:cs="Arial"/>
            <w:szCs w:val="28"/>
            <w:lang w:val="en-GB" w:eastAsia="zh-CN"/>
          </w:rPr>
          <w:t>DOWNLOAD</w:t>
        </w:r>
        <w:r w:rsidRPr="00511005">
          <w:rPr>
            <w:rFonts w:ascii="Arial" w:eastAsia="Times New Roman" w:hAnsi="Arial" w:cs="Arial"/>
            <w:szCs w:val="28"/>
            <w:lang w:eastAsia="zh-CN"/>
          </w:rPr>
          <w:t>=1&amp;</w:t>
        </w:r>
        <w:r w:rsidRPr="00511005">
          <w:rPr>
            <w:rFonts w:ascii="Arial" w:eastAsia="Times New Roman" w:hAnsi="Arial" w:cs="Arial"/>
            <w:szCs w:val="28"/>
            <w:lang w:val="en-GB" w:eastAsia="zh-CN"/>
          </w:rPr>
          <w:t>Image</w:t>
        </w:r>
        <w:r w:rsidRPr="00511005">
          <w:rPr>
            <w:rFonts w:ascii="Arial" w:eastAsia="Times New Roman" w:hAnsi="Arial" w:cs="Arial"/>
            <w:szCs w:val="28"/>
            <w:lang w:eastAsia="zh-CN"/>
          </w:rPr>
          <w:t>_</w:t>
        </w:r>
        <w:r w:rsidRPr="00511005">
          <w:rPr>
            <w:rFonts w:ascii="Arial" w:eastAsia="Times New Roman" w:hAnsi="Arial" w:cs="Arial"/>
            <w:szCs w:val="28"/>
            <w:lang w:val="en-GB" w:eastAsia="zh-CN"/>
          </w:rPr>
          <w:t>file</w:t>
        </w:r>
        <w:r w:rsidRPr="00511005">
          <w:rPr>
            <w:rFonts w:ascii="Arial" w:eastAsia="Times New Roman" w:hAnsi="Arial" w:cs="Arial"/>
            <w:szCs w:val="28"/>
            <w:lang w:eastAsia="zh-CN"/>
          </w:rPr>
          <w:t>_</w:t>
        </w:r>
        <w:r w:rsidRPr="00511005">
          <w:rPr>
            <w:rFonts w:ascii="Arial" w:eastAsia="Times New Roman" w:hAnsi="Arial" w:cs="Arial"/>
            <w:szCs w:val="28"/>
            <w:lang w:val="en-GB" w:eastAsia="zh-CN"/>
          </w:rPr>
          <w:t>name</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PDF</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kpac</w:t>
        </w:r>
        <w:r w:rsidRPr="00511005">
          <w:rPr>
            <w:rFonts w:ascii="Arial" w:eastAsia="Times New Roman" w:hAnsi="Arial" w:cs="Arial"/>
            <w:szCs w:val="28"/>
            <w:lang w:eastAsia="zh-CN"/>
          </w:rPr>
          <w:t>_2020_1_5.</w:t>
        </w:r>
        <w:r w:rsidRPr="00511005">
          <w:rPr>
            <w:rFonts w:ascii="Arial" w:eastAsia="Times New Roman" w:hAnsi="Arial" w:cs="Arial"/>
            <w:szCs w:val="28"/>
            <w:lang w:val="en-GB" w:eastAsia="zh-CN"/>
          </w:rPr>
          <w:t>pdf</w:t>
        </w:r>
      </w:hyperlink>
      <w:r w:rsidRPr="00511005">
        <w:rPr>
          <w:rFonts w:ascii="Arial" w:eastAsia="Times New Roman" w:hAnsi="Arial" w:cs="Arial"/>
          <w:szCs w:val="28"/>
          <w:lang w:val="uk-UA" w:eastAsia="zh-CN"/>
        </w:rPr>
        <w:t>.</w:t>
      </w:r>
    </w:p>
    <w:p w14:paraId="4C21392D" w14:textId="77777777" w:rsidR="006B07CA" w:rsidRPr="00511005" w:rsidRDefault="006B07CA" w:rsidP="000C392A">
      <w:pPr>
        <w:numPr>
          <w:ilvl w:val="0"/>
          <w:numId w:val="29"/>
        </w:numPr>
        <w:spacing w:line="264" w:lineRule="auto"/>
        <w:ind w:firstLine="700"/>
        <w:jc w:val="left"/>
        <w:rPr>
          <w:rFonts w:ascii="Arial" w:eastAsia="Helvetica Neue" w:hAnsi="Arial" w:cs="Arial"/>
          <w:szCs w:val="28"/>
          <w:lang w:val="en-US" w:eastAsia="zh-CN"/>
        </w:rPr>
      </w:pPr>
      <w:r w:rsidRPr="00511005">
        <w:rPr>
          <w:rFonts w:ascii="Arial" w:eastAsia="Times New Roman" w:hAnsi="Arial" w:cs="Arial"/>
          <w:szCs w:val="28"/>
          <w:lang w:eastAsia="zh-CN"/>
        </w:rPr>
        <w:t xml:space="preserve">Магновський І. Й. Гарантії прав і свобод людини та громадянина в праві України (теоретико-правовий аспект): автореф. дис. канд. юрид. наук. </w:t>
      </w:r>
      <w:r w:rsidRPr="00511005">
        <w:rPr>
          <w:rFonts w:ascii="Arial" w:eastAsia="Times New Roman" w:hAnsi="Arial" w:cs="Arial"/>
          <w:szCs w:val="28"/>
          <w:lang w:val="en-US" w:eastAsia="zh-CN"/>
        </w:rPr>
        <w:t xml:space="preserve">2003. К., 22 с. URL: </w:t>
      </w:r>
      <w:hyperlink r:id="rId52" w:history="1">
        <w:r w:rsidRPr="00511005">
          <w:rPr>
            <w:rFonts w:ascii="Arial" w:eastAsia="Helvetica Neue" w:hAnsi="Arial" w:cs="Arial"/>
            <w:szCs w:val="28"/>
            <w:lang w:val="en-US" w:eastAsia="zh-CN"/>
          </w:rPr>
          <w:t>https://drive.google.com/file/d/1qtr7KACO1E6Y_CYyPwUYAhaUNqHtRExs</w:t>
        </w:r>
        <w:r w:rsidRPr="00511005">
          <w:rPr>
            <w:rFonts w:ascii="Arial" w:eastAsia="Helvetica Neue" w:hAnsi="Arial" w:cs="Arial"/>
            <w:szCs w:val="28"/>
            <w:lang w:val="uk-UA" w:eastAsia="zh-CN"/>
          </w:rPr>
          <w:t xml:space="preserve"> </w:t>
        </w:r>
        <w:r w:rsidRPr="00511005">
          <w:rPr>
            <w:rFonts w:ascii="Arial" w:eastAsia="Helvetica Neue" w:hAnsi="Arial" w:cs="Arial"/>
            <w:szCs w:val="28"/>
            <w:lang w:val="en-US" w:eastAsia="zh-CN"/>
          </w:rPr>
          <w:t>/view?usp=drivesdk</w:t>
        </w:r>
      </w:hyperlink>
      <w:r w:rsidRPr="00511005">
        <w:rPr>
          <w:rFonts w:ascii="Arial" w:eastAsia="Helvetica Neue" w:hAnsi="Arial" w:cs="Arial"/>
          <w:szCs w:val="28"/>
          <w:lang w:val="uk-UA" w:eastAsia="zh-CN"/>
        </w:rPr>
        <w:t>.</w:t>
      </w:r>
    </w:p>
    <w:p w14:paraId="319B62FE" w14:textId="77777777" w:rsidR="006B07CA" w:rsidRPr="00511005" w:rsidRDefault="006B07CA" w:rsidP="000C392A">
      <w:pPr>
        <w:numPr>
          <w:ilvl w:val="0"/>
          <w:numId w:val="29"/>
        </w:numPr>
        <w:spacing w:line="264" w:lineRule="auto"/>
        <w:ind w:firstLine="700"/>
        <w:jc w:val="left"/>
        <w:rPr>
          <w:rFonts w:ascii="Arial" w:eastAsia="Helvetica Neue" w:hAnsi="Arial" w:cs="Arial"/>
          <w:szCs w:val="28"/>
          <w:lang w:eastAsia="zh-CN"/>
        </w:rPr>
      </w:pPr>
      <w:r w:rsidRPr="00511005">
        <w:rPr>
          <w:rFonts w:ascii="Arial" w:eastAsia="Times New Roman" w:hAnsi="Arial" w:cs="Arial"/>
          <w:szCs w:val="28"/>
          <w:lang w:eastAsia="zh-CN"/>
        </w:rPr>
        <w:t>Швець Я. І., Соколова І. О. Порушення прав дітей під час війни Російською Федерацією.</w:t>
      </w:r>
      <w:r w:rsidRPr="00511005">
        <w:rPr>
          <w:rFonts w:ascii="Arial" w:eastAsia="Times New Roman" w:hAnsi="Arial" w:cs="Arial"/>
          <w:i/>
          <w:iCs/>
          <w:szCs w:val="28"/>
          <w:lang w:eastAsia="zh-CN"/>
        </w:rPr>
        <w:t xml:space="preserve"> Науковий вісник Ужгородського національного університету. </w:t>
      </w:r>
      <w:r w:rsidRPr="00511005">
        <w:rPr>
          <w:rFonts w:ascii="Arial" w:eastAsia="Times New Roman" w:hAnsi="Arial" w:cs="Arial"/>
          <w:szCs w:val="28"/>
          <w:lang w:eastAsia="zh-CN"/>
        </w:rPr>
        <w:t xml:space="preserve">2022. Випуск 71. С. 99–103. </w:t>
      </w:r>
      <w:r w:rsidRPr="00511005">
        <w:rPr>
          <w:rFonts w:ascii="Arial" w:eastAsia="Times New Roman" w:hAnsi="Arial" w:cs="Arial"/>
          <w:szCs w:val="28"/>
          <w:lang w:val="en-GB" w:eastAsia="zh-CN"/>
        </w:rPr>
        <w:t>URL</w:t>
      </w:r>
      <w:r w:rsidRPr="00511005">
        <w:rPr>
          <w:rFonts w:ascii="Arial" w:eastAsia="Times New Roman" w:hAnsi="Arial" w:cs="Arial"/>
          <w:szCs w:val="28"/>
          <w:lang w:eastAsia="zh-CN"/>
        </w:rPr>
        <w:t xml:space="preserve">: </w:t>
      </w:r>
      <w:hyperlink r:id="rId53" w:history="1">
        <w:r w:rsidRPr="00511005">
          <w:rPr>
            <w:rFonts w:ascii="Arial" w:eastAsia="Times New Roman" w:hAnsi="Arial" w:cs="Arial"/>
            <w:szCs w:val="28"/>
            <w:lang w:val="en-GB" w:eastAsia="zh-CN"/>
          </w:rPr>
          <w:t>https</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visnyk</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juris</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uzhnu</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com</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wp</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content</w:t>
        </w:r>
        <w:r w:rsidRPr="00511005">
          <w:rPr>
            <w:rFonts w:ascii="Arial" w:eastAsia="Times New Roman" w:hAnsi="Arial" w:cs="Arial"/>
            <w:szCs w:val="28"/>
            <w:lang w:eastAsia="zh-CN"/>
          </w:rPr>
          <w:t>/</w:t>
        </w:r>
        <w:r w:rsidRPr="00511005">
          <w:rPr>
            <w:rFonts w:ascii="Arial" w:eastAsia="Times New Roman" w:hAnsi="Arial" w:cs="Arial"/>
            <w:szCs w:val="28"/>
            <w:lang w:val="en-GB" w:eastAsia="zh-CN"/>
          </w:rPr>
          <w:t>uploads</w:t>
        </w:r>
        <w:r w:rsidRPr="00511005">
          <w:rPr>
            <w:rFonts w:ascii="Arial" w:eastAsia="Times New Roman" w:hAnsi="Arial" w:cs="Arial"/>
            <w:szCs w:val="28"/>
            <w:lang w:eastAsia="zh-CN"/>
          </w:rPr>
          <w:t>/2022/08/16.</w:t>
        </w:r>
        <w:r w:rsidRPr="00511005">
          <w:rPr>
            <w:rFonts w:ascii="Arial" w:eastAsia="Times New Roman" w:hAnsi="Arial" w:cs="Arial"/>
            <w:szCs w:val="28"/>
            <w:lang w:val="en-GB" w:eastAsia="zh-CN"/>
          </w:rPr>
          <w:t>pdf</w:t>
        </w:r>
      </w:hyperlink>
      <w:r w:rsidRPr="00511005">
        <w:rPr>
          <w:rFonts w:ascii="Arial" w:eastAsia="Times New Roman" w:hAnsi="Arial" w:cs="Arial"/>
          <w:szCs w:val="28"/>
          <w:lang w:val="uk-UA" w:eastAsia="zh-CN"/>
        </w:rPr>
        <w:t>.</w:t>
      </w:r>
    </w:p>
    <w:p w14:paraId="3131767A" w14:textId="77777777" w:rsidR="006B07CA" w:rsidRPr="00511005" w:rsidRDefault="006B07CA" w:rsidP="003A292D">
      <w:pPr>
        <w:spacing w:line="264" w:lineRule="auto"/>
        <w:ind w:firstLine="0"/>
        <w:rPr>
          <w:rFonts w:ascii="Arial" w:eastAsia="Times New Roman" w:hAnsi="Arial" w:cs="Arial"/>
          <w:szCs w:val="28"/>
          <w:lang w:eastAsia="zh-CN"/>
        </w:rPr>
      </w:pPr>
    </w:p>
    <w:p w14:paraId="519AF5BE" w14:textId="6D166765" w:rsidR="006B07CA" w:rsidRPr="00511005" w:rsidRDefault="007B2628" w:rsidP="003A292D">
      <w:pPr>
        <w:spacing w:line="264" w:lineRule="auto"/>
        <w:ind w:firstLine="0"/>
        <w:rPr>
          <w:rFonts w:ascii="Arial" w:eastAsia="Times New Roman" w:hAnsi="Arial" w:cs="Arial"/>
          <w:szCs w:val="28"/>
          <w:lang w:val="uk-UA" w:eastAsia="zh-CN"/>
        </w:rPr>
      </w:pPr>
      <w:r w:rsidRPr="00511005">
        <w:rPr>
          <w:rFonts w:ascii="Arial" w:eastAsia="Times New Roman" w:hAnsi="Arial" w:cs="Arial"/>
          <w:b/>
          <w:bCs/>
          <w:i/>
          <w:szCs w:val="28"/>
          <w:lang w:val="uk-UA" w:eastAsia="zh-CN"/>
        </w:rPr>
        <w:t xml:space="preserve">Ключові слова: </w:t>
      </w:r>
      <w:r w:rsidR="006B07CA" w:rsidRPr="00511005">
        <w:rPr>
          <w:rFonts w:ascii="Arial" w:eastAsia="Times New Roman" w:hAnsi="Arial" w:cs="Arial"/>
          <w:szCs w:val="28"/>
          <w:lang w:val="uk-UA" w:eastAsia="zh-CN"/>
        </w:rPr>
        <w:t>право, мораль, права людини, справедливість, гідність, свобода, рівність, відповідальність, легітимність.</w:t>
      </w:r>
    </w:p>
    <w:p w14:paraId="40D2688B" w14:textId="3E3068D2" w:rsidR="006B07CA" w:rsidRPr="00511005" w:rsidRDefault="007B2628" w:rsidP="003A292D">
      <w:pPr>
        <w:spacing w:line="264" w:lineRule="auto"/>
        <w:ind w:firstLine="0"/>
        <w:rPr>
          <w:rFonts w:ascii="Arial" w:eastAsia="Times New Roman" w:hAnsi="Arial" w:cs="Arial"/>
          <w:szCs w:val="28"/>
          <w:lang w:val="en-GB" w:eastAsia="zh-CN"/>
        </w:rPr>
      </w:pPr>
      <w:r w:rsidRPr="00511005">
        <w:rPr>
          <w:rFonts w:ascii="Arial" w:eastAsia="Times New Roman" w:hAnsi="Arial" w:cs="Arial"/>
          <w:b/>
          <w:bCs/>
          <w:i/>
          <w:szCs w:val="28"/>
          <w:lang w:val="en-GB" w:eastAsia="zh-CN"/>
        </w:rPr>
        <w:t xml:space="preserve">Key words: </w:t>
      </w:r>
      <w:r w:rsidR="006B07CA" w:rsidRPr="00511005">
        <w:rPr>
          <w:rFonts w:ascii="Arial" w:eastAsia="Times New Roman" w:hAnsi="Arial" w:cs="Arial"/>
          <w:szCs w:val="28"/>
          <w:lang w:val="en-GB" w:eastAsia="zh-CN"/>
        </w:rPr>
        <w:t xml:space="preserve">law, morality, human rights, justice, dignity, freedom, equality, responsibility, legitimacy. </w:t>
      </w:r>
    </w:p>
    <w:p w14:paraId="63017343" w14:textId="2C4037BC" w:rsidR="006B07CA" w:rsidRPr="00511005" w:rsidRDefault="006C2EDA" w:rsidP="003A292D">
      <w:pPr>
        <w:spacing w:line="264" w:lineRule="auto"/>
        <w:ind w:firstLine="0"/>
        <w:rPr>
          <w:rFonts w:ascii="Arial" w:eastAsia="Helvetica Neue" w:hAnsi="Arial" w:cs="Arial"/>
          <w:szCs w:val="28"/>
          <w:lang w:val="en-US" w:eastAsia="zh-CN"/>
        </w:rPr>
      </w:pPr>
      <w:r w:rsidRPr="006C2EDA">
        <w:rPr>
          <w:rFonts w:ascii="Arial" w:eastAsia="Times New Roman" w:hAnsi="Arial" w:cs="Arial"/>
          <w:b/>
          <w:bCs/>
          <w:i/>
          <w:iCs/>
          <w:szCs w:val="28"/>
          <w:lang w:val="en-US" w:eastAsia="ru-RU"/>
        </w:rPr>
        <w:t xml:space="preserve">Academic supervisor: </w:t>
      </w:r>
      <w:r w:rsidR="006B07CA" w:rsidRPr="00511005">
        <w:rPr>
          <w:rFonts w:ascii="Arial" w:eastAsia="Helvetica Neue" w:hAnsi="Arial" w:cs="Arial"/>
          <w:i/>
          <w:iCs/>
          <w:szCs w:val="28"/>
          <w:lang w:val="en-GB" w:eastAsia="zh-CN"/>
        </w:rPr>
        <w:t>Doctor of Law, Professor</w:t>
      </w:r>
      <w:r w:rsidR="006B07CA" w:rsidRPr="00511005">
        <w:rPr>
          <w:rFonts w:ascii="Arial" w:eastAsia="Helvetica Neue" w:hAnsi="Arial" w:cs="Arial"/>
          <w:i/>
          <w:iCs/>
          <w:szCs w:val="28"/>
          <w:lang w:val="uk-UA" w:eastAsia="zh-CN"/>
        </w:rPr>
        <w:t xml:space="preserve"> </w:t>
      </w:r>
      <w:r w:rsidR="006B07CA" w:rsidRPr="00511005">
        <w:rPr>
          <w:rFonts w:ascii="Arial" w:eastAsia="Helvetica Neue" w:hAnsi="Arial" w:cs="Arial"/>
          <w:i/>
          <w:iCs/>
          <w:szCs w:val="28"/>
          <w:lang w:val="en-GB" w:eastAsia="zh-CN"/>
        </w:rPr>
        <w:t xml:space="preserve">Melnychuk O. S. </w:t>
      </w:r>
    </w:p>
    <w:p w14:paraId="49AFB837" w14:textId="77777777" w:rsidR="006B07CA" w:rsidRPr="00511005" w:rsidRDefault="006B07CA" w:rsidP="003A292D">
      <w:pPr>
        <w:spacing w:line="264" w:lineRule="auto"/>
        <w:ind w:firstLine="0"/>
        <w:contextualSpacing/>
        <w:rPr>
          <w:rFonts w:ascii="Arial" w:eastAsia="Calibri" w:hAnsi="Arial" w:cs="Arial"/>
          <w:szCs w:val="28"/>
          <w:lang w:val="uk-UA"/>
        </w:rPr>
      </w:pPr>
    </w:p>
    <w:p w14:paraId="753AFEE1" w14:textId="77777777" w:rsidR="006B07CA" w:rsidRPr="00511005" w:rsidRDefault="006B07CA" w:rsidP="003A292D">
      <w:pPr>
        <w:spacing w:line="264" w:lineRule="auto"/>
        <w:ind w:firstLine="0"/>
        <w:contextualSpacing/>
        <w:rPr>
          <w:rFonts w:ascii="Arial" w:eastAsia="Calibri" w:hAnsi="Arial" w:cs="Arial"/>
          <w:szCs w:val="28"/>
          <w:lang w:val="uk-UA"/>
        </w:rPr>
      </w:pPr>
    </w:p>
    <w:p w14:paraId="7350E2F7" w14:textId="77777777" w:rsidR="006B07CA" w:rsidRPr="00511005" w:rsidRDefault="006B07CA" w:rsidP="003A292D">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lastRenderedPageBreak/>
        <w:t>Мороз Ірина Романівна</w:t>
      </w:r>
    </w:p>
    <w:p w14:paraId="2A3893C9" w14:textId="502FD7B5" w:rsidR="00176B4E" w:rsidRPr="00511005" w:rsidRDefault="00176B4E"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w:t>
      </w:r>
      <w:r w:rsidR="00BE3972" w:rsidRPr="00511005">
        <w:rPr>
          <w:rFonts w:ascii="Arial" w:eastAsia="Times New Roman" w:hAnsi="Arial" w:cs="Arial"/>
          <w:szCs w:val="28"/>
          <w:lang w:val="uk-UA" w:eastAsia="ru-RU"/>
        </w:rPr>
        <w:t xml:space="preserve">тудентка 1-го курсу </w:t>
      </w:r>
      <w:r w:rsidR="00536AAB" w:rsidRPr="00511005">
        <w:rPr>
          <w:rFonts w:ascii="Arial" w:eastAsia="Times New Roman" w:hAnsi="Arial" w:cs="Arial"/>
          <w:szCs w:val="28"/>
          <w:lang w:val="uk-UA" w:eastAsia="ru-RU"/>
        </w:rPr>
        <w:t>факультету адвокатури та антикорупційної діяльності</w:t>
      </w:r>
      <w:r w:rsidR="006B07CA" w:rsidRPr="00511005">
        <w:rPr>
          <w:rFonts w:ascii="Arial" w:eastAsia="Times New Roman" w:hAnsi="Arial" w:cs="Arial"/>
          <w:szCs w:val="28"/>
          <w:lang w:val="uk-UA" w:eastAsia="ru-RU"/>
        </w:rPr>
        <w:t xml:space="preserve"> </w:t>
      </w:r>
    </w:p>
    <w:p w14:paraId="012006DC" w14:textId="4FC0959D" w:rsidR="006B07CA"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44B3D367" w14:textId="77777777" w:rsidR="006B07CA" w:rsidRPr="00511005" w:rsidRDefault="006B07CA" w:rsidP="003A292D">
      <w:pPr>
        <w:spacing w:line="264" w:lineRule="auto"/>
        <w:ind w:firstLine="0"/>
        <w:jc w:val="center"/>
        <w:rPr>
          <w:rFonts w:ascii="Arial" w:eastAsia="Times New Roman" w:hAnsi="Arial" w:cs="Arial"/>
          <w:szCs w:val="28"/>
          <w:lang w:val="uk-UA" w:eastAsia="ru-RU"/>
        </w:rPr>
      </w:pPr>
    </w:p>
    <w:p w14:paraId="41C1FA13" w14:textId="77777777" w:rsidR="006B07CA" w:rsidRPr="00511005" w:rsidRDefault="006B07CA"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ПРОБЛЕМИ ЗАСТОСУВАННЯ ПРИНЦИПІВ ЮРИДИЧНОЇ ВІДПОВІДАЛЬНОСТІ</w:t>
      </w:r>
    </w:p>
    <w:p w14:paraId="49A3802C" w14:textId="77777777" w:rsidR="006B07CA" w:rsidRPr="00511005" w:rsidRDefault="006B07CA" w:rsidP="00176B4E">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Дослідження теми проблем застосування принципів юридичної відповідальності є дуже важливим у сучасному світі, оскільки застосуванню принципів юридичної відповідальності можуть заважати різні фактори.</w:t>
      </w:r>
    </w:p>
    <w:p w14:paraId="2078E696" w14:textId="77777777" w:rsidR="006B07CA" w:rsidRPr="00511005" w:rsidRDefault="006B07CA" w:rsidP="00176B4E">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Насамперед варто зазначити, що більшість науковців у галузі юриспруденції трактують принципи юридичної відповідальності як фундаментальні засадничі ідеї, кодифіковані у чинному законодавстві, котрі відображають есенцію та змістовну складову юридичної відповідальності, а також детермінують її подальшу законодавчу еволюцію та практичну реалізацію. [1]</w:t>
      </w:r>
    </w:p>
    <w:p w14:paraId="5932D0B9" w14:textId="77777777" w:rsidR="006B07CA" w:rsidRPr="00511005" w:rsidRDefault="006B07CA" w:rsidP="00176B4E">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варто звернути увагу на сутність принципів юридичної відповідальності. О. Болсунова визначає сутність цих принципів у декількох аспектах: по-перше, вони постають як вихідні засади та ідеї, що визначають функціонування й реалізацію юридичної відповідальності (функціональний аспект). По-друге, вони слугують необхідними умовами для ініціювання процедури притягнення правопорушників до юридичної відповідальності (засадничий аспект). По-третє, принципи виступають критеріями для подальшого розвитку та вдосконалення інституту юридичної відповідальності (перспективний аспект). Насамкінець, вони являють собою фундаментальні положення прямої дії, спрямовані на запобігання порушенням законності та забезпечення справедливості у процесі притягнення осіб до юридичної відповідальності (ціннісний аспект). [2, с. 50]</w:t>
      </w:r>
    </w:p>
    <w:p w14:paraId="0D7E26F2" w14:textId="77777777" w:rsidR="006B07CA" w:rsidRPr="00511005" w:rsidRDefault="006B07CA" w:rsidP="00176B4E">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Значна частина наукової спільноти у сфері юриспруденції схиляється до виокремлення наступних фундаментальних принципів юридичної відповідальності: законності, обґрунтованості, справедливості, невідворотності юридичної відповідальності, презумпції невинуватості, забезпечення права на захист особи, яка притягається до відповідальності, та на кваліфіковану правничу допомогу, недопустимості подвійного або множинного притягнення до відповідальності за одне й те саме правопорушення, гуманізму, індивідуалізації та своєчасності. [</w:t>
      </w:r>
      <w:r w:rsidRPr="00511005">
        <w:rPr>
          <w:rFonts w:ascii="Arial" w:eastAsia="Times New Roman" w:hAnsi="Arial" w:cs="Arial"/>
          <w:szCs w:val="28"/>
          <w:lang w:eastAsia="ru-RU"/>
        </w:rPr>
        <w:t xml:space="preserve">3, </w:t>
      </w:r>
      <w:r w:rsidRPr="00511005">
        <w:rPr>
          <w:rFonts w:ascii="Arial" w:eastAsia="Times New Roman" w:hAnsi="Arial" w:cs="Arial"/>
          <w:szCs w:val="28"/>
          <w:lang w:val="uk-UA" w:eastAsia="ru-RU"/>
        </w:rPr>
        <w:t>с. 284-285]</w:t>
      </w:r>
    </w:p>
    <w:p w14:paraId="3BA8CE4F" w14:textId="77777777" w:rsidR="006B07CA" w:rsidRPr="00511005" w:rsidRDefault="006B07CA" w:rsidP="00176B4E">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Проблеми застосування принципів юридичної відповідальності можуть зумовити декілька факторів. Серед них можна виокремити: </w:t>
      </w:r>
    </w:p>
    <w:p w14:paraId="55FF6F9C" w14:textId="77777777" w:rsidR="006B07CA" w:rsidRPr="00511005" w:rsidRDefault="006B07CA" w:rsidP="00176B4E">
      <w:pPr>
        <w:numPr>
          <w:ilvl w:val="0"/>
          <w:numId w:val="30"/>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Неоднозначність законодавства та його тлумачення. Нечітке формулювання законодавчих норм може зумовлювати різну інтерпретацію закону та ускладнювати практичну реалізацію принципів справедливості, законності й обґрунтованості у процесі притягнення до юридичної відповідальності.</w:t>
      </w:r>
    </w:p>
    <w:p w14:paraId="43699561" w14:textId="77777777" w:rsidR="006B07CA" w:rsidRPr="00511005" w:rsidRDefault="006B07CA" w:rsidP="00176B4E">
      <w:pPr>
        <w:numPr>
          <w:ilvl w:val="0"/>
          <w:numId w:val="30"/>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lastRenderedPageBreak/>
        <w:t>Корупція та зловживання владою. Корупційні дії здатні деформувати процес притягнення до юридичної відповідальності, нівелюючи принципи рівності всіх перед законом та невідворотності покарання.</w:t>
      </w:r>
    </w:p>
    <w:p w14:paraId="44947EAF" w14:textId="77777777" w:rsidR="006B07CA" w:rsidRPr="00511005" w:rsidRDefault="006B07CA" w:rsidP="00176B4E">
      <w:pPr>
        <w:numPr>
          <w:ilvl w:val="0"/>
          <w:numId w:val="30"/>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Процесуальні перешкоди та затягування справ. Недоліки процесуального законодавства або недобросовісне використання процесуальних прав учасниками судового процесу можуть спричиняти необґрунтоване затягування розгляду справ та створювати умови для уникнення юридичної відповідальності.</w:t>
      </w:r>
    </w:p>
    <w:p w14:paraId="0FCCCE41" w14:textId="77777777" w:rsidR="006B07CA" w:rsidRPr="00511005" w:rsidRDefault="006B07CA" w:rsidP="00176B4E">
      <w:pPr>
        <w:numPr>
          <w:ilvl w:val="0"/>
          <w:numId w:val="30"/>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Проблема доказування вини. За умови недостатності належної доказової бази ускладнюється встановлення вини особи, що створює перешкоди для реалізації принципу винуватості як фундаментальної підстави юридичної відповідальності.</w:t>
      </w:r>
    </w:p>
    <w:p w14:paraId="3F113C73" w14:textId="77777777" w:rsidR="006B07CA" w:rsidRPr="00511005" w:rsidRDefault="006B07CA" w:rsidP="00176B4E">
      <w:pPr>
        <w:numPr>
          <w:ilvl w:val="0"/>
          <w:numId w:val="30"/>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Неможливість дотримання способу пропорційності. Не завжди вдається досягти відповідності між характером вчиненого правопорушення та застосованою мірою юридичної відповідальності, що може зумовлювати настання несправедливих наслідків.</w:t>
      </w:r>
    </w:p>
    <w:p w14:paraId="49EA50C8" w14:textId="77777777" w:rsidR="00176B4E" w:rsidRPr="00511005" w:rsidRDefault="006B07CA" w:rsidP="00176B4E">
      <w:pPr>
        <w:numPr>
          <w:ilvl w:val="0"/>
          <w:numId w:val="30"/>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Обмеженість ресурсів правоохоронних органів. Недостатнє фінансове забезпечення та дефіцит кваліфікованих кадрів можуть створювати перешкоди для своєчасного й ефективного розслідування правопорушень та ускладнювати процес притягнення винних осіб до юридичної відповідальності.</w:t>
      </w:r>
    </w:p>
    <w:p w14:paraId="6DFB9C75" w14:textId="6A834B3D" w:rsidR="006B07CA" w:rsidRPr="00511005" w:rsidRDefault="006B07CA" w:rsidP="00176B4E">
      <w:pPr>
        <w:numPr>
          <w:ilvl w:val="0"/>
          <w:numId w:val="30"/>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Низький рівень правової культури та обізнаності громадян. Юридична необізнаність щодо чинного законодавства та власних прав може зумовлювати недостатнє усвідомлення особами наслідків своєї поведінки або унеможливлювати ефективний захист їхніх прав у процесі притягнення до юридичної відповідальності.</w:t>
      </w:r>
    </w:p>
    <w:p w14:paraId="68AE1A41" w14:textId="77777777" w:rsidR="006B07CA" w:rsidRPr="00511005" w:rsidRDefault="006B07CA" w:rsidP="00176B4E">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Проведений аналіз проблем застосування принципів юридичної відповідальності виявив низку факторів, що ускладнюють їхню повноцінну реалізацію. Нечіткість законодавчих формулювань, корупційні прояви, недоліки процесуального законодавства, складнощі у встановленні вини, диспропорційність між правопорушенням та відповідальністю, недостатнє ресурсне забезпечення правоохоронних органів та юридична некомпетентність громадян є суттєвими перешкодами на шляху до забезпечення законності, обґрунтованості, справедливості та невідворотності юридичної відповідальності. Подолання зазначених проблем потребує комплексного підходу, включаючи вдосконалення законодавства, посилення боротьби з корупцією, оптимізацію процесуальних механізмів, підвищення якості доказової бази, забезпечення пропорційності покарань, належне фінансування правоохоронної системи та підвищення рівня правової свідомості суспільства. Ефективне </w:t>
      </w:r>
      <w:r w:rsidRPr="00511005">
        <w:rPr>
          <w:rFonts w:ascii="Arial" w:eastAsia="Calibri" w:hAnsi="Arial" w:cs="Arial"/>
          <w:szCs w:val="28"/>
          <w:lang w:val="uk-UA"/>
        </w:rPr>
        <w:lastRenderedPageBreak/>
        <w:t>функціонування принципів юридичної відповідальності є ключовою умовою для побудови правової держави та забезпечення верховенства права.</w:t>
      </w:r>
    </w:p>
    <w:p w14:paraId="7A322339" w14:textId="77777777" w:rsidR="006B07CA" w:rsidRPr="00511005" w:rsidRDefault="006B07CA" w:rsidP="003A292D">
      <w:pPr>
        <w:spacing w:line="264" w:lineRule="auto"/>
        <w:ind w:firstLine="0"/>
        <w:contextualSpacing/>
        <w:rPr>
          <w:rFonts w:ascii="Arial" w:eastAsia="Calibri" w:hAnsi="Arial" w:cs="Arial"/>
          <w:szCs w:val="28"/>
          <w:lang w:val="uk-UA"/>
        </w:rPr>
      </w:pPr>
    </w:p>
    <w:p w14:paraId="707E4C52" w14:textId="71923FB0" w:rsidR="006B07CA" w:rsidRPr="00511005" w:rsidRDefault="007B2628" w:rsidP="007B2628">
      <w:pPr>
        <w:spacing w:line="264" w:lineRule="auto"/>
        <w:ind w:firstLine="0"/>
        <w:contextualSpacing/>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3842E77E" w14:textId="77777777" w:rsidR="006B07CA" w:rsidRPr="00511005" w:rsidRDefault="006B07CA" w:rsidP="000C392A">
      <w:pPr>
        <w:numPr>
          <w:ilvl w:val="0"/>
          <w:numId w:val="31"/>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Принципи юридичної відповідальності: зміст та основні критерії класифікації Подковенко Т.О., Павелко Л.В.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54" w:history="1">
        <w:r w:rsidRPr="00511005">
          <w:rPr>
            <w:rFonts w:ascii="Arial" w:eastAsia="Calibri" w:hAnsi="Arial" w:cs="Arial"/>
            <w:szCs w:val="28"/>
            <w:lang w:val="uk-UA"/>
          </w:rPr>
          <w:t>http://dspace.wunu.edu.ua/bitstream/316497/6969/1/%D0%9F%D0%A0%D0%98%D0%9D%D0%A6%D0%98%D0%9F%D0%98%20%D0%AE%D0%A0%D0%98%D0%94%D0%98%D0%A7%D0%9D%D0%9E%D0%87%20%D0%92%D0%86%D0%94%D0%9F%D0%9E%D0%92%D0%86%D0%94%D0%90%D0%9B%D0%AC%D0%9D%D0%9E%D0%A1%D0%A2%D0%86.pdf</w:t>
        </w:r>
      </w:hyperlink>
    </w:p>
    <w:p w14:paraId="79B7906E" w14:textId="77777777" w:rsidR="006B07CA" w:rsidRPr="00511005" w:rsidRDefault="006B07CA" w:rsidP="000C392A">
      <w:pPr>
        <w:numPr>
          <w:ilvl w:val="0"/>
          <w:numId w:val="31"/>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Болсунова О.М. Сутнісні засади принципів юридичної відповідальності. Часопис Київського університету права. 2010. № 4. </w:t>
      </w:r>
      <w:r w:rsidRPr="00511005">
        <w:rPr>
          <w:rFonts w:ascii="Arial" w:eastAsia="Calibri" w:hAnsi="Arial" w:cs="Arial"/>
          <w:szCs w:val="28"/>
          <w:lang w:val="en-US"/>
        </w:rPr>
        <w:t>URL</w:t>
      </w:r>
      <w:r w:rsidRPr="00511005">
        <w:rPr>
          <w:rFonts w:ascii="Arial" w:eastAsia="Calibri" w:hAnsi="Arial" w:cs="Arial"/>
          <w:szCs w:val="28"/>
        </w:rPr>
        <w:t xml:space="preserve">: </w:t>
      </w:r>
      <w:hyperlink r:id="rId55" w:history="1">
        <w:r w:rsidRPr="00511005">
          <w:rPr>
            <w:rFonts w:ascii="Arial" w:eastAsia="Calibri" w:hAnsi="Arial" w:cs="Arial"/>
            <w:szCs w:val="28"/>
            <w:lang w:val="en-US"/>
          </w:rPr>
          <w:t>http</w:t>
        </w:r>
        <w:r w:rsidRPr="00511005">
          <w:rPr>
            <w:rFonts w:ascii="Arial" w:eastAsia="Calibri" w:hAnsi="Arial" w:cs="Arial"/>
            <w:szCs w:val="28"/>
          </w:rPr>
          <w:t>://</w:t>
        </w:r>
        <w:r w:rsidRPr="00511005">
          <w:rPr>
            <w:rFonts w:ascii="Arial" w:eastAsia="Calibri" w:hAnsi="Arial" w:cs="Arial"/>
            <w:szCs w:val="28"/>
            <w:lang w:val="en-US"/>
          </w:rPr>
          <w:t>dspace</w:t>
        </w:r>
        <w:r w:rsidRPr="00511005">
          <w:rPr>
            <w:rFonts w:ascii="Arial" w:eastAsia="Calibri" w:hAnsi="Arial" w:cs="Arial"/>
            <w:szCs w:val="28"/>
          </w:rPr>
          <w:t>.</w:t>
        </w:r>
        <w:r w:rsidRPr="00511005">
          <w:rPr>
            <w:rFonts w:ascii="Arial" w:eastAsia="Calibri" w:hAnsi="Arial" w:cs="Arial"/>
            <w:szCs w:val="28"/>
            <w:lang w:val="en-US"/>
          </w:rPr>
          <w:t>nbuv</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bitstream</w:t>
        </w:r>
        <w:r w:rsidRPr="00511005">
          <w:rPr>
            <w:rFonts w:ascii="Arial" w:eastAsia="Calibri" w:hAnsi="Arial" w:cs="Arial"/>
            <w:szCs w:val="28"/>
          </w:rPr>
          <w:t>/</w:t>
        </w:r>
        <w:r w:rsidRPr="00511005">
          <w:rPr>
            <w:rFonts w:ascii="Arial" w:eastAsia="Calibri" w:hAnsi="Arial" w:cs="Arial"/>
            <w:szCs w:val="28"/>
            <w:lang w:val="en-US"/>
          </w:rPr>
          <w:t>handle</w:t>
        </w:r>
        <w:r w:rsidRPr="00511005">
          <w:rPr>
            <w:rFonts w:ascii="Arial" w:eastAsia="Calibri" w:hAnsi="Arial" w:cs="Arial"/>
            <w:szCs w:val="28"/>
          </w:rPr>
          <w:t>/123456789/23640/10-</w:t>
        </w:r>
        <w:r w:rsidRPr="00511005">
          <w:rPr>
            <w:rFonts w:ascii="Arial" w:eastAsia="Calibri" w:hAnsi="Arial" w:cs="Arial"/>
            <w:szCs w:val="28"/>
            <w:lang w:val="en-US"/>
          </w:rPr>
          <w:t>Bolsunova</w:t>
        </w:r>
        <w:r w:rsidRPr="00511005">
          <w:rPr>
            <w:rFonts w:ascii="Arial" w:eastAsia="Calibri" w:hAnsi="Arial" w:cs="Arial"/>
            <w:szCs w:val="28"/>
          </w:rPr>
          <w:t>.</w:t>
        </w:r>
        <w:r w:rsidRPr="00511005">
          <w:rPr>
            <w:rFonts w:ascii="Arial" w:eastAsia="Calibri" w:hAnsi="Arial" w:cs="Arial"/>
            <w:szCs w:val="28"/>
            <w:lang w:val="en-US"/>
          </w:rPr>
          <w:t>pdf</w:t>
        </w:r>
        <w:r w:rsidRPr="00511005">
          <w:rPr>
            <w:rFonts w:ascii="Arial" w:eastAsia="Calibri" w:hAnsi="Arial" w:cs="Arial"/>
            <w:szCs w:val="28"/>
          </w:rPr>
          <w:t>?</w:t>
        </w:r>
        <w:r w:rsidRPr="00511005">
          <w:rPr>
            <w:rFonts w:ascii="Arial" w:eastAsia="Calibri" w:hAnsi="Arial" w:cs="Arial"/>
            <w:szCs w:val="28"/>
            <w:lang w:val="en-US"/>
          </w:rPr>
          <w:t>sequence</w:t>
        </w:r>
        <w:r w:rsidRPr="00511005">
          <w:rPr>
            <w:rFonts w:ascii="Arial" w:eastAsia="Calibri" w:hAnsi="Arial" w:cs="Arial"/>
            <w:szCs w:val="28"/>
          </w:rPr>
          <w:t>=1</w:t>
        </w:r>
      </w:hyperlink>
    </w:p>
    <w:p w14:paraId="122CCCFE" w14:textId="77777777" w:rsidR="006B07CA" w:rsidRPr="00511005" w:rsidRDefault="006B07CA" w:rsidP="000C392A">
      <w:pPr>
        <w:numPr>
          <w:ilvl w:val="0"/>
          <w:numId w:val="31"/>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Тарахонич Т.І. Принципи юридичної відповідальності в системі принципів права. Альманах права. Свобода, рівність та гідність особи в правовій теорії та юридичній практиці. Випуск 4. К. : Ін-т держави і права ім. В.М. Корецького НАН України, 2013.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56" w:history="1">
        <w:r w:rsidRPr="00511005">
          <w:rPr>
            <w:rFonts w:ascii="Arial" w:eastAsia="Calibri" w:hAnsi="Arial" w:cs="Arial"/>
            <w:szCs w:val="28"/>
            <w:lang w:val="en-US"/>
          </w:rPr>
          <w:t>http</w:t>
        </w:r>
        <w:r w:rsidRPr="00511005">
          <w:rPr>
            <w:rFonts w:ascii="Arial" w:eastAsia="Calibri" w:hAnsi="Arial" w:cs="Arial"/>
            <w:szCs w:val="28"/>
            <w:lang w:val="uk-UA"/>
          </w:rPr>
          <w:t>://</w:t>
        </w:r>
        <w:r w:rsidRPr="00511005">
          <w:rPr>
            <w:rFonts w:ascii="Arial" w:eastAsia="Calibri" w:hAnsi="Arial" w:cs="Arial"/>
            <w:szCs w:val="28"/>
            <w:lang w:val="en-US"/>
          </w:rPr>
          <w:t>dspace</w:t>
        </w:r>
        <w:r w:rsidRPr="00511005">
          <w:rPr>
            <w:rFonts w:ascii="Arial" w:eastAsia="Calibri" w:hAnsi="Arial" w:cs="Arial"/>
            <w:szCs w:val="28"/>
            <w:lang w:val="uk-UA"/>
          </w:rPr>
          <w:t>.</w:t>
        </w:r>
        <w:r w:rsidRPr="00511005">
          <w:rPr>
            <w:rFonts w:ascii="Arial" w:eastAsia="Calibri" w:hAnsi="Arial" w:cs="Arial"/>
            <w:szCs w:val="28"/>
            <w:lang w:val="en-US"/>
          </w:rPr>
          <w:t>nbuv</w:t>
        </w:r>
        <w:r w:rsidRPr="00511005">
          <w:rPr>
            <w:rFonts w:ascii="Arial" w:eastAsia="Calibri" w:hAnsi="Arial" w:cs="Arial"/>
            <w:szCs w:val="28"/>
            <w:lang w:val="uk-UA"/>
          </w:rPr>
          <w:t>.</w:t>
        </w:r>
        <w:r w:rsidRPr="00511005">
          <w:rPr>
            <w:rFonts w:ascii="Arial" w:eastAsia="Calibri" w:hAnsi="Arial" w:cs="Arial"/>
            <w:szCs w:val="28"/>
            <w:lang w:val="en-US"/>
          </w:rPr>
          <w:t>gov</w:t>
        </w:r>
        <w:r w:rsidRPr="00511005">
          <w:rPr>
            <w:rFonts w:ascii="Arial" w:eastAsia="Calibri" w:hAnsi="Arial" w:cs="Arial"/>
            <w:szCs w:val="28"/>
            <w:lang w:val="uk-UA"/>
          </w:rPr>
          <w:t>.</w:t>
        </w:r>
        <w:r w:rsidRPr="00511005">
          <w:rPr>
            <w:rFonts w:ascii="Arial" w:eastAsia="Calibri" w:hAnsi="Arial" w:cs="Arial"/>
            <w:szCs w:val="28"/>
            <w:lang w:val="en-US"/>
          </w:rPr>
          <w:t>ua</w:t>
        </w:r>
        <w:r w:rsidRPr="00511005">
          <w:rPr>
            <w:rFonts w:ascii="Arial" w:eastAsia="Calibri" w:hAnsi="Arial" w:cs="Arial"/>
            <w:szCs w:val="28"/>
            <w:lang w:val="uk-UA"/>
          </w:rPr>
          <w:t>/</w:t>
        </w:r>
        <w:r w:rsidRPr="00511005">
          <w:rPr>
            <w:rFonts w:ascii="Arial" w:eastAsia="Calibri" w:hAnsi="Arial" w:cs="Arial"/>
            <w:szCs w:val="28"/>
            <w:lang w:val="en-US"/>
          </w:rPr>
          <w:t>bitstream</w:t>
        </w:r>
        <w:r w:rsidRPr="00511005">
          <w:rPr>
            <w:rFonts w:ascii="Arial" w:eastAsia="Calibri" w:hAnsi="Arial" w:cs="Arial"/>
            <w:szCs w:val="28"/>
            <w:lang w:val="uk-UA"/>
          </w:rPr>
          <w:t>/</w:t>
        </w:r>
        <w:r w:rsidRPr="00511005">
          <w:rPr>
            <w:rFonts w:ascii="Arial" w:eastAsia="Calibri" w:hAnsi="Arial" w:cs="Arial"/>
            <w:szCs w:val="28"/>
            <w:lang w:val="en-US"/>
          </w:rPr>
          <w:t>handle</w:t>
        </w:r>
        <w:r w:rsidRPr="00511005">
          <w:rPr>
            <w:rFonts w:ascii="Arial" w:eastAsia="Calibri" w:hAnsi="Arial" w:cs="Arial"/>
            <w:szCs w:val="28"/>
            <w:lang w:val="uk-UA"/>
          </w:rPr>
          <w:t>/123456789/63924/59-</w:t>
        </w:r>
        <w:r w:rsidRPr="00511005">
          <w:rPr>
            <w:rFonts w:ascii="Arial" w:eastAsia="Calibri" w:hAnsi="Arial" w:cs="Arial"/>
            <w:szCs w:val="28"/>
            <w:lang w:val="en-US"/>
          </w:rPr>
          <w:t>Tarahonich</w:t>
        </w:r>
        <w:r w:rsidRPr="00511005">
          <w:rPr>
            <w:rFonts w:ascii="Arial" w:eastAsia="Calibri" w:hAnsi="Arial" w:cs="Arial"/>
            <w:szCs w:val="28"/>
            <w:lang w:val="uk-UA"/>
          </w:rPr>
          <w:t>.</w:t>
        </w:r>
        <w:r w:rsidRPr="00511005">
          <w:rPr>
            <w:rFonts w:ascii="Arial" w:eastAsia="Calibri" w:hAnsi="Arial" w:cs="Arial"/>
            <w:szCs w:val="28"/>
            <w:lang w:val="en-US"/>
          </w:rPr>
          <w:t>pdf</w:t>
        </w:r>
      </w:hyperlink>
    </w:p>
    <w:p w14:paraId="5BC0D7A8" w14:textId="77777777" w:rsidR="006B07CA" w:rsidRPr="00511005" w:rsidRDefault="006B07CA" w:rsidP="003A292D">
      <w:pPr>
        <w:spacing w:line="264" w:lineRule="auto"/>
        <w:ind w:firstLine="0"/>
        <w:contextualSpacing/>
        <w:rPr>
          <w:rFonts w:ascii="Arial" w:eastAsia="Calibri" w:hAnsi="Arial" w:cs="Arial"/>
          <w:b/>
          <w:bCs/>
          <w:szCs w:val="28"/>
          <w:lang w:val="uk-UA"/>
        </w:rPr>
      </w:pPr>
    </w:p>
    <w:p w14:paraId="101E2864" w14:textId="266991BD" w:rsidR="006B07CA"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6B07CA" w:rsidRPr="00511005">
        <w:rPr>
          <w:rFonts w:ascii="Arial" w:eastAsia="Calibri" w:hAnsi="Arial" w:cs="Arial"/>
          <w:szCs w:val="28"/>
          <w:lang w:val="uk-UA"/>
        </w:rPr>
        <w:t>принципи юридичної відповідальності, застосування, проблеми, законність, обґрунтованість, справедливість, невідворотність, корупція, законодавство, процесуальні недоліки, доказова база, вина, пропорційність, ресурсне забезпечення, правова обізнаність.</w:t>
      </w:r>
    </w:p>
    <w:p w14:paraId="70004E6E" w14:textId="34FC2E5D" w:rsidR="006B07CA" w:rsidRPr="00511005" w:rsidRDefault="007B2628" w:rsidP="003A292D">
      <w:pPr>
        <w:spacing w:line="264" w:lineRule="auto"/>
        <w:ind w:firstLine="0"/>
        <w:contextualSpacing/>
        <w:rPr>
          <w:rFonts w:ascii="Arial" w:eastAsia="Calibri" w:hAnsi="Arial" w:cs="Arial"/>
          <w:szCs w:val="28"/>
          <w:lang w:val="en-US"/>
        </w:rPr>
      </w:pPr>
      <w:r w:rsidRPr="00511005">
        <w:rPr>
          <w:rFonts w:ascii="Arial" w:eastAsia="Calibri" w:hAnsi="Arial" w:cs="Arial"/>
          <w:b/>
          <w:bCs/>
          <w:i/>
          <w:szCs w:val="28"/>
          <w:lang w:val="en-US"/>
        </w:rPr>
        <w:t xml:space="preserve">Key words: </w:t>
      </w:r>
      <w:r w:rsidR="006B07CA" w:rsidRPr="00511005">
        <w:rPr>
          <w:rFonts w:ascii="Arial" w:eastAsia="Calibri" w:hAnsi="Arial" w:cs="Arial"/>
          <w:szCs w:val="28"/>
          <w:lang w:val="en-US"/>
        </w:rPr>
        <w:t>principles of legal responsibility, application, problems, legality, justification, justice, inevitability, corruption, legislation, procedural shortcomings, evidentiary base, guilt, proportionality, resource provision, legal awareness.</w:t>
      </w:r>
    </w:p>
    <w:p w14:paraId="56CDC473" w14:textId="4BF686BE" w:rsidR="006B07CA" w:rsidRPr="00511005" w:rsidRDefault="007B2628" w:rsidP="003A292D">
      <w:pPr>
        <w:spacing w:line="264" w:lineRule="auto"/>
        <w:ind w:firstLine="0"/>
        <w:contextualSpacing/>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6B07CA" w:rsidRPr="00511005">
        <w:rPr>
          <w:rFonts w:ascii="Arial" w:eastAsia="Calibri" w:hAnsi="Arial" w:cs="Arial"/>
          <w:i/>
          <w:iCs/>
          <w:szCs w:val="28"/>
          <w:lang w:val="uk-UA"/>
        </w:rPr>
        <w:t>доктор філософії в галузі права, старший викладач Іванчук В</w:t>
      </w:r>
      <w:r w:rsidR="00176B4E" w:rsidRPr="00511005">
        <w:rPr>
          <w:rFonts w:ascii="Arial" w:eastAsia="Calibri" w:hAnsi="Arial" w:cs="Arial"/>
          <w:i/>
          <w:iCs/>
          <w:szCs w:val="28"/>
          <w:lang w:val="uk-UA"/>
        </w:rPr>
        <w:t>.</w:t>
      </w:r>
      <w:r w:rsidR="006B07CA" w:rsidRPr="00511005">
        <w:rPr>
          <w:rFonts w:ascii="Arial" w:eastAsia="Calibri" w:hAnsi="Arial" w:cs="Arial"/>
          <w:i/>
          <w:iCs/>
          <w:szCs w:val="28"/>
          <w:lang w:val="uk-UA"/>
        </w:rPr>
        <w:t xml:space="preserve"> Є.</w:t>
      </w:r>
    </w:p>
    <w:p w14:paraId="2EF65E99" w14:textId="77777777" w:rsidR="006B07CA" w:rsidRPr="00511005" w:rsidRDefault="006B07CA" w:rsidP="003A292D">
      <w:pPr>
        <w:spacing w:line="264" w:lineRule="auto"/>
        <w:ind w:firstLine="0"/>
        <w:contextualSpacing/>
        <w:rPr>
          <w:rFonts w:ascii="Arial" w:eastAsia="Calibri" w:hAnsi="Arial" w:cs="Arial"/>
          <w:szCs w:val="28"/>
          <w:lang w:val="uk-UA"/>
        </w:rPr>
      </w:pPr>
    </w:p>
    <w:p w14:paraId="3C97DFDC"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2973D151" w14:textId="77777777" w:rsidR="006B07CA" w:rsidRPr="00511005" w:rsidRDefault="006B07CA" w:rsidP="003A292D">
      <w:pPr>
        <w:widowControl w:val="0"/>
        <w:tabs>
          <w:tab w:val="left" w:pos="7088"/>
        </w:tabs>
        <w:autoSpaceDE w:val="0"/>
        <w:autoSpaceDN w:val="0"/>
        <w:adjustRightInd w:val="0"/>
        <w:spacing w:line="264" w:lineRule="auto"/>
        <w:ind w:firstLine="0"/>
        <w:jc w:val="center"/>
        <w:rPr>
          <w:rFonts w:ascii="Arial" w:eastAsia="Times New Roman" w:hAnsi="Arial" w:cs="Arial"/>
          <w:b/>
          <w:i/>
          <w:iCs/>
          <w:szCs w:val="28"/>
          <w:lang w:val="uk-UA" w:eastAsia="ru-RU" w:bidi="uk-UA"/>
        </w:rPr>
      </w:pPr>
      <w:r w:rsidRPr="00511005">
        <w:rPr>
          <w:rFonts w:ascii="Arial" w:eastAsia="Times New Roman" w:hAnsi="Arial" w:cs="Arial"/>
          <w:b/>
          <w:i/>
          <w:iCs/>
          <w:szCs w:val="28"/>
          <w:lang w:val="uk-UA" w:eastAsia="ru-RU" w:bidi="uk-UA"/>
        </w:rPr>
        <w:t xml:space="preserve">Муллазянова Анна Андріївна </w:t>
      </w:r>
    </w:p>
    <w:p w14:paraId="2DAC258F" w14:textId="16490FA5" w:rsidR="00176B4E" w:rsidRPr="00511005" w:rsidRDefault="00176B4E" w:rsidP="003A292D">
      <w:pPr>
        <w:widowControl w:val="0"/>
        <w:tabs>
          <w:tab w:val="left" w:pos="7088"/>
        </w:tabs>
        <w:autoSpaceDE w:val="0"/>
        <w:autoSpaceDN w:val="0"/>
        <w:adjustRightInd w:val="0"/>
        <w:spacing w:line="264" w:lineRule="auto"/>
        <w:ind w:firstLine="0"/>
        <w:jc w:val="center"/>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с</w:t>
      </w:r>
      <w:r w:rsidR="00BE3972" w:rsidRPr="00511005">
        <w:rPr>
          <w:rFonts w:ascii="Arial" w:eastAsia="Times New Roman" w:hAnsi="Arial" w:cs="Arial"/>
          <w:bCs/>
          <w:szCs w:val="28"/>
          <w:lang w:val="uk-UA" w:eastAsia="ru-RU" w:bidi="uk-UA"/>
        </w:rPr>
        <w:t xml:space="preserve">тудентка 1-го курсу </w:t>
      </w:r>
      <w:r w:rsidR="00536AAB" w:rsidRPr="00511005">
        <w:rPr>
          <w:rFonts w:ascii="Arial" w:eastAsia="Times New Roman" w:hAnsi="Arial" w:cs="Arial"/>
          <w:bCs/>
          <w:szCs w:val="28"/>
          <w:lang w:val="uk-UA" w:eastAsia="ru-RU" w:bidi="uk-UA"/>
        </w:rPr>
        <w:t>факультету адвокатури та антикорупційної діяльності</w:t>
      </w:r>
      <w:r w:rsidR="006B07CA" w:rsidRPr="00511005">
        <w:rPr>
          <w:rFonts w:ascii="Arial" w:eastAsia="Times New Roman" w:hAnsi="Arial" w:cs="Arial"/>
          <w:bCs/>
          <w:szCs w:val="28"/>
          <w:lang w:val="uk-UA" w:eastAsia="ru-RU" w:bidi="uk-UA"/>
        </w:rPr>
        <w:t xml:space="preserve"> </w:t>
      </w:r>
    </w:p>
    <w:p w14:paraId="5B31D476" w14:textId="49752228" w:rsidR="006B07CA" w:rsidRPr="00511005" w:rsidRDefault="007B2628" w:rsidP="003A292D">
      <w:pPr>
        <w:widowControl w:val="0"/>
        <w:tabs>
          <w:tab w:val="left" w:pos="7088"/>
        </w:tabs>
        <w:autoSpaceDE w:val="0"/>
        <w:autoSpaceDN w:val="0"/>
        <w:adjustRightInd w:val="0"/>
        <w:spacing w:line="264" w:lineRule="auto"/>
        <w:ind w:firstLine="0"/>
        <w:jc w:val="center"/>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Національного університету «Одеська юридична академія»</w:t>
      </w:r>
    </w:p>
    <w:p w14:paraId="21B08A03" w14:textId="77777777" w:rsidR="006B07CA" w:rsidRPr="00511005" w:rsidRDefault="006B07CA" w:rsidP="003A292D">
      <w:pPr>
        <w:widowControl w:val="0"/>
        <w:tabs>
          <w:tab w:val="left" w:pos="7088"/>
        </w:tabs>
        <w:autoSpaceDE w:val="0"/>
        <w:autoSpaceDN w:val="0"/>
        <w:adjustRightInd w:val="0"/>
        <w:spacing w:line="264" w:lineRule="auto"/>
        <w:ind w:firstLine="0"/>
        <w:jc w:val="center"/>
        <w:rPr>
          <w:rFonts w:ascii="Arial" w:eastAsia="Times New Roman" w:hAnsi="Arial" w:cs="Arial"/>
          <w:bCs/>
          <w:szCs w:val="28"/>
          <w:lang w:val="uk-UA" w:eastAsia="ru-RU" w:bidi="uk-UA"/>
        </w:rPr>
      </w:pPr>
    </w:p>
    <w:p w14:paraId="0CAB5216" w14:textId="77777777" w:rsidR="006B07CA" w:rsidRPr="00511005" w:rsidRDefault="006B07CA"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eastAsia="ru-RU" w:bidi="uk-UA"/>
        </w:rPr>
      </w:pPr>
      <w:r w:rsidRPr="00511005">
        <w:rPr>
          <w:rFonts w:ascii="Arial" w:eastAsia="Times New Roman" w:hAnsi="Arial" w:cs="Arial"/>
          <w:b/>
          <w:szCs w:val="28"/>
          <w:lang w:eastAsia="ru-RU" w:bidi="uk-UA"/>
        </w:rPr>
        <w:t>ПРОГАЛИНИ В ПРАВІ ТА СПОСОБИ ЇХ ПОДОЛАННЯ</w:t>
      </w:r>
    </w:p>
    <w:p w14:paraId="2378C3ED" w14:textId="77777777" w:rsidR="006B07CA" w:rsidRPr="00511005" w:rsidRDefault="006B07CA" w:rsidP="00176B4E">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Прогалини в праві — це явище, яке виникає внаслідок недосконалості правової системи, коли певні правовідносини не регулюються або регулюються недостатньо чітко. Вони можуть бути результатом розвитку суспільства, змін у соціальних, політичних або економічних умовах, що </w:t>
      </w:r>
      <w:r w:rsidRPr="00511005">
        <w:rPr>
          <w:rFonts w:ascii="Arial" w:eastAsia="Times New Roman" w:hAnsi="Arial" w:cs="Arial"/>
          <w:bCs/>
          <w:szCs w:val="28"/>
          <w:lang w:val="uk-UA" w:eastAsia="ru-RU" w:bidi="uk-UA"/>
        </w:rPr>
        <w:lastRenderedPageBreak/>
        <w:t>призводять до появи нових, раніше не передбачених правових ситуацій. Прогалини можуть також виникати через неповноту правових норм або їх неправильне застосування. Незважаючи на те, що право є динамічним інструментом, здатним адаптуватися до нових умов, відсутність своєчасних змін і доповнень може спричиняти серйозні труднощі в правозастосуванні.</w:t>
      </w:r>
    </w:p>
    <w:p w14:paraId="6B011BD5" w14:textId="77777777" w:rsidR="006B07CA" w:rsidRPr="00511005" w:rsidRDefault="006B07CA" w:rsidP="00176B4E">
      <w:pPr>
        <w:widowControl w:val="0"/>
        <w:tabs>
          <w:tab w:val="left" w:pos="7088"/>
        </w:tabs>
        <w:autoSpaceDE w:val="0"/>
        <w:autoSpaceDN w:val="0"/>
        <w:adjustRightInd w:val="0"/>
        <w:spacing w:line="264" w:lineRule="auto"/>
        <w:rPr>
          <w:rFonts w:ascii="Arial" w:eastAsia="Times New Roman" w:hAnsi="Arial" w:cs="Arial"/>
          <w:bCs/>
          <w:szCs w:val="28"/>
          <w:lang w:eastAsia="ru-RU" w:bidi="uk-UA"/>
        </w:rPr>
      </w:pPr>
      <w:r w:rsidRPr="00511005">
        <w:rPr>
          <w:rFonts w:ascii="Arial" w:eastAsia="Times New Roman" w:hAnsi="Arial" w:cs="Arial"/>
          <w:bCs/>
          <w:szCs w:val="28"/>
          <w:lang w:val="uk-UA" w:eastAsia="ru-RU" w:bidi="uk-UA"/>
        </w:rPr>
        <w:t>Однією з основних причин виникнення прогалин є швидкість змін у суспільстві. Технологічний прогрес, нові форми економічної діяльності, глобалізація та інші фактори змінюють звичні соціальні відносини, вимагаючи відповідних змін у правовому регулюванні. Проте правова система, яка здебільшого характеризується повільністю та інерцією в процесі прийняття рішень, не завжди встигає адекватно реагувати на ці зміни. Таким чином, право не завжди встигає вчасно адаптуватися до нових умов, що призводить до виникнення правових прогалин</w:t>
      </w:r>
      <w:r w:rsidRPr="00511005">
        <w:rPr>
          <w:rFonts w:ascii="Arial" w:eastAsia="Times New Roman" w:hAnsi="Arial" w:cs="Arial"/>
          <w:bCs/>
          <w:szCs w:val="28"/>
          <w:lang w:eastAsia="ru-RU" w:bidi="uk-UA"/>
        </w:rPr>
        <w:t xml:space="preserve"> [2, </w:t>
      </w:r>
      <w:r w:rsidRPr="00511005">
        <w:rPr>
          <w:rFonts w:ascii="Arial" w:eastAsia="Times New Roman" w:hAnsi="Arial" w:cs="Arial"/>
          <w:bCs/>
          <w:szCs w:val="28"/>
          <w:lang w:val="en-US" w:eastAsia="ru-RU" w:bidi="uk-UA"/>
        </w:rPr>
        <w:t>c</w:t>
      </w:r>
      <w:r w:rsidRPr="00511005">
        <w:rPr>
          <w:rFonts w:ascii="Arial" w:eastAsia="Times New Roman" w:hAnsi="Arial" w:cs="Arial"/>
          <w:bCs/>
          <w:szCs w:val="28"/>
          <w:lang w:eastAsia="ru-RU" w:bidi="uk-UA"/>
        </w:rPr>
        <w:t>.47].</w:t>
      </w:r>
    </w:p>
    <w:p w14:paraId="2495B82F" w14:textId="77777777" w:rsidR="006B07CA" w:rsidRPr="00511005" w:rsidRDefault="006B07CA" w:rsidP="00176B4E">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Прогалини можуть виникати також через неточності або нечіткість правових норм. Закони, які недостатньо ясно формулюють свої положення, можуть створювати простір для різних тлумачень. Це особливо стосується тих норм, які застосовуються в специфічних ситуаціях, коли з'являються нові соціальні чи технічні явища, які не були передбачені під час їх прийняття. Крім того, прогалини можуть виникати внаслідок помилок законодавця або неповного аналізу ситуацій, які виникають у реальному житті.</w:t>
      </w:r>
    </w:p>
    <w:p w14:paraId="1EC7BC04" w14:textId="77777777" w:rsidR="006B07CA" w:rsidRPr="00511005" w:rsidRDefault="006B07CA" w:rsidP="00176B4E">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Нерідко прогалини стають результатом відсутності комплексного підходу до правового регулювання. Багато законів і нормативних актів ухвалюються без врахування всіх аспектів життя суспільства, що може призвести до недоцільних і непродуманих змін. У таких випадках необхідні закони можуть бути недосконалими або занадто загальними, що дає простір для виникнення прогалин. У таких ситуаціях регулювання правовідносин виявляється неповним, а це, у свою чергу, ускладнює правозастосовчий процес і створює додаткові труднощі для судових та інших органів, які мають працювати з правовими нормами.</w:t>
      </w:r>
    </w:p>
    <w:p w14:paraId="6F84B03B" w14:textId="77777777" w:rsidR="006B07CA" w:rsidRPr="00511005" w:rsidRDefault="006B07CA" w:rsidP="00176B4E">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Подолання прогалин у праві є важливим завданням для розвитку правової системи і забезпечення ефективності правового регулювання. Важливою умовою для усунення прогалин є постійний моніторинг чинного законодавства, який дозволяє своєчасно виявляти прогалини та вживати необхідні заходи для їх усунення. Одним з таких заходів є удосконалення правотворчого процесу, що включає в себе не лише прийняття нових законів, але й періодичне оновлення чинних нормативних актів з урахуванням нових реалій</w:t>
      </w:r>
      <w:r w:rsidRPr="00511005">
        <w:rPr>
          <w:rFonts w:ascii="Arial" w:eastAsia="Times New Roman" w:hAnsi="Arial" w:cs="Arial"/>
          <w:bCs/>
          <w:szCs w:val="28"/>
          <w:lang w:eastAsia="ru-RU" w:bidi="uk-UA"/>
        </w:rPr>
        <w:t xml:space="preserve"> [1]</w:t>
      </w:r>
      <w:r w:rsidRPr="00511005">
        <w:rPr>
          <w:rFonts w:ascii="Arial" w:eastAsia="Times New Roman" w:hAnsi="Arial" w:cs="Arial"/>
          <w:bCs/>
          <w:szCs w:val="28"/>
          <w:lang w:val="uk-UA" w:eastAsia="ru-RU" w:bidi="uk-UA"/>
        </w:rPr>
        <w:t>.</w:t>
      </w:r>
    </w:p>
    <w:p w14:paraId="5069ABE9" w14:textId="77777777" w:rsidR="006B07CA" w:rsidRPr="00511005" w:rsidRDefault="006B07CA" w:rsidP="00176B4E">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Одним з методів подолання прогалин є правовий аналіз і доктринальний підхід. Це означає, що суди та правозастосовчі органи мають право, а іноді й обов</w:t>
      </w:r>
      <w:r w:rsidRPr="00511005">
        <w:rPr>
          <w:rFonts w:ascii="Arial" w:eastAsia="Times New Roman" w:hAnsi="Arial" w:cs="Arial"/>
          <w:bCs/>
          <w:szCs w:val="28"/>
          <w:lang w:eastAsia="ru-RU" w:bidi="uk-UA"/>
        </w:rPr>
        <w:t>’</w:t>
      </w:r>
      <w:r w:rsidRPr="00511005">
        <w:rPr>
          <w:rFonts w:ascii="Arial" w:eastAsia="Times New Roman" w:hAnsi="Arial" w:cs="Arial"/>
          <w:bCs/>
          <w:szCs w:val="28"/>
          <w:lang w:val="uk-UA" w:eastAsia="ru-RU" w:bidi="uk-UA"/>
        </w:rPr>
        <w:t xml:space="preserve">язок, на основі загальних принципів права, юридичних прецедентів та наукових досліджень застосовувати норми, яких безпосередньо не вистачає в чинному законодавстві. Таким чином, судова </w:t>
      </w:r>
      <w:r w:rsidRPr="00511005">
        <w:rPr>
          <w:rFonts w:ascii="Arial" w:eastAsia="Times New Roman" w:hAnsi="Arial" w:cs="Arial"/>
          <w:bCs/>
          <w:szCs w:val="28"/>
          <w:lang w:val="uk-UA" w:eastAsia="ru-RU" w:bidi="uk-UA"/>
        </w:rPr>
        <w:lastRenderedPageBreak/>
        <w:t>практика, а саме рішення суддів, може заповнювати прогалини, забезпечуючи правову визначеність у випадках, коли законодавець не врахував певні аспекти правовідносин. Такий підхід, зокрема, застосовується в країнах, де існує система прецедентного права, але також активно використовується в континентальній системі права через методи аналогії та догм юридичних принципів.</w:t>
      </w:r>
    </w:p>
    <w:p w14:paraId="00F4F9D1" w14:textId="77777777" w:rsidR="006B07CA" w:rsidRPr="00511005" w:rsidRDefault="006B07CA" w:rsidP="00176B4E">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Аналогія закону є ще одним інструментом подолання прогалин, що полягає у застосуванні норм, що регулюють схожі правовідносини до тих випадків, де прямо не передбачена відповідна норма. При цьому важливо, щоб норма, що застосовується, була якомога ближчою до тих правових відносин, які потребують регулювання. У разі відсутності відповідної норми в законодавстві, можливе застосування аналогії права — застосування загальних принципів права для регулювання конкретної ситуації, коли немає прямого нормативного забезпечення.</w:t>
      </w:r>
    </w:p>
    <w:p w14:paraId="5120772E" w14:textId="77777777" w:rsidR="006B07CA" w:rsidRPr="00511005" w:rsidRDefault="006B07CA" w:rsidP="00176B4E">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Ще одним способом подолання прогалин є правова інтерпретація. Вона включає в себе роз'яснення змісту правових норм для їх застосування в нових умовах. Зокрема, юридичні органи, такі як Верховний Суд, можуть видавати постанови, що пояснюють, як застосовувати певні норми права в тих випадках, коли вони не дають чіткої відповіді на конкретні питання. Правова інтерпретація є важливим інструментом, оскільки дозволяє зберегти стабільність правового регулювання, при цьому даючи можливість адаптуватися до нових умов [3].</w:t>
      </w:r>
    </w:p>
    <w:p w14:paraId="6588F8A6" w14:textId="77777777" w:rsidR="006B07CA" w:rsidRPr="00511005" w:rsidRDefault="006B07CA" w:rsidP="00176B4E">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Таким чином, прогалини в праві є неминучим і природним явищем, яке виникає в процесі розвитку суспільства та його правової системи. Однак їх існування не означає кризу правової системи. Шляхи подолання прогалин є достатньо ефективними, і їх вчасне виявлення та усунення є важливим етапом у розвитку правової системи та забезпеченні правової визначеності в суспільстві. За допомогою юридичних інструментів, таких як інтерпретація, аналогія та правова доктрина, а також з підтримкою наукових досліджень і правозастосовчої практики, прогалини можуть бути успішно усунуті, що забезпечить стабільність і ефективність правового регулювання в країні.</w:t>
      </w:r>
    </w:p>
    <w:p w14:paraId="52B7F4E9" w14:textId="77777777" w:rsidR="006B07CA" w:rsidRPr="00511005" w:rsidRDefault="006B07CA" w:rsidP="003A292D">
      <w:pPr>
        <w:widowControl w:val="0"/>
        <w:tabs>
          <w:tab w:val="left" w:pos="7088"/>
        </w:tabs>
        <w:autoSpaceDE w:val="0"/>
        <w:autoSpaceDN w:val="0"/>
        <w:adjustRightInd w:val="0"/>
        <w:spacing w:line="264" w:lineRule="auto"/>
        <w:ind w:firstLine="0"/>
        <w:rPr>
          <w:rFonts w:ascii="Arial" w:eastAsia="Times New Roman" w:hAnsi="Arial" w:cs="Arial"/>
          <w:bCs/>
          <w:szCs w:val="28"/>
          <w:lang w:val="uk-UA" w:eastAsia="ru-RU" w:bidi="uk-UA"/>
        </w:rPr>
      </w:pPr>
    </w:p>
    <w:p w14:paraId="0AD5D873" w14:textId="77777777" w:rsidR="00176B4E" w:rsidRPr="00511005" w:rsidRDefault="00176B4E" w:rsidP="00176B4E">
      <w:pPr>
        <w:pStyle w:val="af0"/>
        <w:spacing w:line="264" w:lineRule="auto"/>
        <w:ind w:left="0"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6088CA31" w14:textId="1454F3BA" w:rsidR="006B07CA" w:rsidRPr="00511005" w:rsidRDefault="006B07CA" w:rsidP="00176B4E">
      <w:pPr>
        <w:widowControl w:val="0"/>
        <w:numPr>
          <w:ilvl w:val="0"/>
          <w:numId w:val="32"/>
        </w:numPr>
        <w:tabs>
          <w:tab w:val="left" w:pos="993"/>
          <w:tab w:val="left" w:pos="7088"/>
        </w:tabs>
        <w:autoSpaceDE w:val="0"/>
        <w:autoSpaceDN w:val="0"/>
        <w:adjustRightInd w:val="0"/>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bCs/>
          <w:szCs w:val="28"/>
          <w:lang w:eastAsia="ru-RU" w:bidi="uk-UA"/>
        </w:rPr>
        <w:t>Матат Ю. І. Прогалини в законодавстві та засоби їх подолання</w:t>
      </w:r>
      <w:r w:rsidRPr="00511005">
        <w:rPr>
          <w:rFonts w:ascii="Arial" w:eastAsia="Times New Roman" w:hAnsi="Arial" w:cs="Arial"/>
          <w:bCs/>
          <w:szCs w:val="28"/>
          <w:lang w:val="uk-UA" w:eastAsia="ru-RU" w:bidi="uk-UA"/>
        </w:rPr>
        <w:t>.</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i/>
          <w:iCs/>
          <w:szCs w:val="28"/>
          <w:lang w:eastAsia="ru-RU" w:bidi="uk-UA"/>
        </w:rPr>
        <w:t>Право</w:t>
      </w:r>
      <w:r w:rsidRPr="00511005">
        <w:rPr>
          <w:rFonts w:ascii="Arial" w:eastAsia="Times New Roman" w:hAnsi="Arial" w:cs="Arial"/>
          <w:bCs/>
          <w:szCs w:val="28"/>
          <w:lang w:eastAsia="ru-RU" w:bidi="uk-UA"/>
        </w:rPr>
        <w:t>, 2015.</w:t>
      </w:r>
      <w:r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eastAsia="ru-RU" w:bidi="uk-UA"/>
        </w:rPr>
        <w:t xml:space="preserve">URL: </w:t>
      </w:r>
      <w:hyperlink r:id="rId57" w:history="1">
        <w:r w:rsidRPr="00511005">
          <w:rPr>
            <w:rFonts w:ascii="Arial" w:eastAsia="Times New Roman" w:hAnsi="Arial" w:cs="Arial"/>
            <w:bCs/>
            <w:szCs w:val="28"/>
            <w:lang w:eastAsia="ru-RU" w:bidi="uk-UA"/>
          </w:rPr>
          <w:t>https://pravo-izdat.com.ua/image/data/Files/131/1-20.pdf</w:t>
        </w:r>
      </w:hyperlink>
      <w:r w:rsidRPr="00511005">
        <w:rPr>
          <w:rFonts w:ascii="Arial" w:eastAsia="Times New Roman" w:hAnsi="Arial" w:cs="Arial"/>
          <w:bCs/>
          <w:szCs w:val="28"/>
          <w:lang w:val="uk-UA" w:eastAsia="ru-RU" w:bidi="uk-UA"/>
        </w:rPr>
        <w:t xml:space="preserve"> </w:t>
      </w:r>
    </w:p>
    <w:p w14:paraId="7AC19C7A" w14:textId="623B2982" w:rsidR="006B07CA" w:rsidRPr="00511005" w:rsidRDefault="006B07CA" w:rsidP="00176B4E">
      <w:pPr>
        <w:widowControl w:val="0"/>
        <w:numPr>
          <w:ilvl w:val="0"/>
          <w:numId w:val="32"/>
        </w:numPr>
        <w:tabs>
          <w:tab w:val="left" w:pos="993"/>
          <w:tab w:val="left" w:pos="7088"/>
        </w:tabs>
        <w:autoSpaceDE w:val="0"/>
        <w:autoSpaceDN w:val="0"/>
        <w:adjustRightInd w:val="0"/>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bCs/>
          <w:szCs w:val="28"/>
          <w:lang w:eastAsia="ru-RU" w:bidi="uk-UA"/>
        </w:rPr>
        <w:t>Погребняк С.</w:t>
      </w:r>
      <w:r w:rsidRPr="00511005">
        <w:rPr>
          <w:rFonts w:ascii="Arial" w:eastAsia="Times New Roman" w:hAnsi="Arial" w:cs="Arial"/>
          <w:bCs/>
          <w:szCs w:val="28"/>
          <w:lang w:val="uk-UA" w:eastAsia="ru-RU" w:bidi="uk-UA"/>
        </w:rPr>
        <w:t>П.</w:t>
      </w:r>
      <w:r w:rsidRPr="00511005">
        <w:rPr>
          <w:rFonts w:ascii="Arial" w:eastAsia="Times New Roman" w:hAnsi="Arial" w:cs="Arial"/>
          <w:bCs/>
          <w:szCs w:val="28"/>
          <w:lang w:eastAsia="ru-RU" w:bidi="uk-UA"/>
        </w:rPr>
        <w:t xml:space="preserve"> Прогалини в законодавстві та засоби їх подолання. </w:t>
      </w:r>
      <w:r w:rsidRPr="00511005">
        <w:rPr>
          <w:rFonts w:ascii="Arial" w:eastAsia="Times New Roman" w:hAnsi="Arial" w:cs="Arial"/>
          <w:bCs/>
          <w:i/>
          <w:iCs/>
          <w:szCs w:val="28"/>
          <w:lang w:eastAsia="ru-RU" w:bidi="uk-UA"/>
        </w:rPr>
        <w:t>Вісник №1Загальні проблеми правової науки</w:t>
      </w:r>
      <w:r w:rsidRPr="00511005">
        <w:rPr>
          <w:rFonts w:ascii="Arial" w:eastAsia="Times New Roman" w:hAnsi="Arial" w:cs="Arial"/>
          <w:bCs/>
          <w:szCs w:val="28"/>
          <w:lang w:eastAsia="ru-RU" w:bidi="uk-UA"/>
        </w:rPr>
        <w:t>, 2013. С. 44–56.</w:t>
      </w:r>
      <w:r w:rsidRPr="00511005">
        <w:rPr>
          <w:rFonts w:ascii="Arial" w:eastAsia="Times New Roman" w:hAnsi="Arial" w:cs="Arial"/>
          <w:bCs/>
          <w:szCs w:val="28"/>
          <w:lang w:eastAsia="ru-RU" w:bidi="uk-UA"/>
        </w:rPr>
        <w:br/>
        <w:t xml:space="preserve">URL: </w:t>
      </w:r>
      <w:hyperlink r:id="rId58" w:history="1">
        <w:r w:rsidRPr="00511005">
          <w:rPr>
            <w:rFonts w:ascii="Arial" w:eastAsia="Times New Roman" w:hAnsi="Arial" w:cs="Arial"/>
            <w:bCs/>
            <w:szCs w:val="28"/>
            <w:lang w:eastAsia="ru-RU" w:bidi="uk-UA"/>
          </w:rPr>
          <w:t>https://visnyk.kh.ua/web/uploads/pdf/1_2013-44-56.pdf</w:t>
        </w:r>
      </w:hyperlink>
      <w:r w:rsidRPr="00511005">
        <w:rPr>
          <w:rFonts w:ascii="Arial" w:eastAsia="Times New Roman" w:hAnsi="Arial" w:cs="Arial"/>
          <w:bCs/>
          <w:szCs w:val="28"/>
          <w:lang w:val="uk-UA" w:eastAsia="ru-RU" w:bidi="uk-UA"/>
        </w:rPr>
        <w:t xml:space="preserve"> </w:t>
      </w:r>
    </w:p>
    <w:p w14:paraId="709CFCFD" w14:textId="392A5358" w:rsidR="006B07CA" w:rsidRPr="00511005" w:rsidRDefault="006B07CA" w:rsidP="00176B4E">
      <w:pPr>
        <w:widowControl w:val="0"/>
        <w:numPr>
          <w:ilvl w:val="0"/>
          <w:numId w:val="32"/>
        </w:numPr>
        <w:tabs>
          <w:tab w:val="left" w:pos="993"/>
          <w:tab w:val="left" w:pos="7088"/>
        </w:tabs>
        <w:autoSpaceDE w:val="0"/>
        <w:autoSpaceDN w:val="0"/>
        <w:adjustRightInd w:val="0"/>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eastAsia="ru-RU"/>
        </w:rPr>
        <w:t>Лукомська, А. А.,</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Сердюк, І. А. (2024). </w:t>
      </w:r>
      <w:r w:rsidRPr="00511005">
        <w:rPr>
          <w:rFonts w:ascii="Arial" w:eastAsia="Times New Roman" w:hAnsi="Arial" w:cs="Arial"/>
          <w:szCs w:val="28"/>
          <w:lang w:val="uk-UA" w:eastAsia="ru-RU"/>
        </w:rPr>
        <w:t>З</w:t>
      </w:r>
      <w:r w:rsidRPr="00511005">
        <w:rPr>
          <w:rFonts w:ascii="Arial" w:eastAsia="Times New Roman" w:hAnsi="Arial" w:cs="Arial"/>
          <w:szCs w:val="28"/>
          <w:lang w:eastAsia="ru-RU"/>
        </w:rPr>
        <w:t>міст поняття прогалини в законодавстві у сучасному вимірі. </w:t>
      </w:r>
      <w:r w:rsidRPr="00511005">
        <w:rPr>
          <w:rFonts w:ascii="Arial" w:eastAsia="Times New Roman" w:hAnsi="Arial" w:cs="Arial"/>
          <w:i/>
          <w:iCs/>
          <w:szCs w:val="28"/>
          <w:lang w:eastAsia="ru-RU"/>
        </w:rPr>
        <w:t>Редакційна колегія</w:t>
      </w:r>
      <w:r w:rsidRPr="00511005">
        <w:rPr>
          <w:rFonts w:ascii="Arial" w:eastAsia="Times New Roman" w:hAnsi="Arial" w:cs="Arial"/>
          <w:szCs w:val="28"/>
          <w:lang w:eastAsia="ru-RU"/>
        </w:rPr>
        <w:t>, 223.</w:t>
      </w:r>
      <w:r w:rsidRPr="00511005">
        <w:rPr>
          <w:rFonts w:ascii="Arial" w:eastAsia="Times New Roman" w:hAnsi="Arial" w:cs="Arial"/>
          <w:szCs w:val="28"/>
          <w:lang w:val="uk-UA" w:eastAsia="ru-RU"/>
        </w:rPr>
        <w:t xml:space="preserve"> </w:t>
      </w:r>
      <w:r w:rsidRPr="00511005">
        <w:rPr>
          <w:rFonts w:ascii="Arial" w:eastAsia="Times New Roman" w:hAnsi="Arial" w:cs="Arial"/>
          <w:bCs/>
          <w:szCs w:val="28"/>
          <w:lang w:val="en-US" w:eastAsia="ru-RU" w:bidi="uk-UA"/>
        </w:rPr>
        <w:t>URL</w:t>
      </w:r>
      <w:r w:rsidRPr="00511005">
        <w:rPr>
          <w:rFonts w:ascii="Arial" w:eastAsia="Times New Roman" w:hAnsi="Arial" w:cs="Arial"/>
          <w:bCs/>
          <w:szCs w:val="28"/>
          <w:lang w:eastAsia="ru-RU" w:bidi="uk-UA"/>
        </w:rPr>
        <w:t>:</w:t>
      </w:r>
      <w:r w:rsidR="007B2628" w:rsidRPr="00511005">
        <w:rPr>
          <w:rFonts w:ascii="Arial" w:eastAsia="Times New Roman" w:hAnsi="Arial" w:cs="Arial"/>
          <w:bCs/>
          <w:szCs w:val="28"/>
          <w:lang w:eastAsia="ru-RU" w:bidi="uk-UA"/>
        </w:rPr>
        <w:t xml:space="preserve"> </w:t>
      </w:r>
      <w:hyperlink r:id="rId59" w:anchor="page=224" w:history="1">
        <w:r w:rsidRPr="00511005">
          <w:rPr>
            <w:rFonts w:ascii="Arial" w:eastAsia="Times New Roman" w:hAnsi="Arial" w:cs="Arial"/>
            <w:szCs w:val="28"/>
            <w:lang w:val="uk-UA" w:eastAsia="ru-RU"/>
          </w:rPr>
          <w:t>https://sspu.edu.ua/images/2024/docs/nauka/konf/31.05/Book_Tom_1_1a7c4.pdf#page=224</w:t>
        </w:r>
      </w:hyperlink>
      <w:r w:rsidRPr="00511005">
        <w:rPr>
          <w:rFonts w:ascii="Arial" w:eastAsia="Times New Roman" w:hAnsi="Arial" w:cs="Arial"/>
          <w:szCs w:val="28"/>
          <w:lang w:val="uk-UA" w:eastAsia="ru-RU"/>
        </w:rPr>
        <w:t xml:space="preserve"> </w:t>
      </w:r>
    </w:p>
    <w:p w14:paraId="51A25BBD" w14:textId="77777777" w:rsidR="006B07CA" w:rsidRPr="00511005" w:rsidRDefault="006B07CA"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szCs w:val="28"/>
          <w:lang w:val="uk-UA" w:eastAsia="ru-RU"/>
        </w:rPr>
      </w:pPr>
    </w:p>
    <w:p w14:paraId="5CA635CE" w14:textId="5CBAFE9C" w:rsidR="006B07CA" w:rsidRPr="00511005" w:rsidRDefault="007B2628" w:rsidP="003A292D">
      <w:pPr>
        <w:tabs>
          <w:tab w:val="left" w:pos="993"/>
          <w:tab w:val="left" w:pos="7088"/>
        </w:tabs>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6B07CA" w:rsidRPr="00511005">
        <w:rPr>
          <w:rFonts w:ascii="Arial" w:eastAsia="Times New Roman" w:hAnsi="Arial" w:cs="Arial"/>
          <w:szCs w:val="28"/>
          <w:lang w:val="uk-UA" w:eastAsia="ru-RU"/>
        </w:rPr>
        <w:t>прогалини в праві, судова практика, моніторинг законодавства, правова система, правове регулювання, соціальні зміни, юридичні прецеденти, глобалізація,</w:t>
      </w:r>
      <w:r w:rsidR="006B07CA" w:rsidRPr="00511005">
        <w:rPr>
          <w:rFonts w:ascii="Arial" w:eastAsia="Times New Roman" w:hAnsi="Arial" w:cs="Arial"/>
          <w:szCs w:val="28"/>
          <w:lang w:eastAsia="ru-RU"/>
        </w:rPr>
        <w:t xml:space="preserve"> </w:t>
      </w:r>
      <w:r w:rsidR="006B07CA" w:rsidRPr="00511005">
        <w:rPr>
          <w:rFonts w:ascii="Arial" w:eastAsia="Times New Roman" w:hAnsi="Arial" w:cs="Arial"/>
          <w:szCs w:val="28"/>
          <w:lang w:val="uk-UA" w:eastAsia="ru-RU"/>
        </w:rPr>
        <w:t>аналогія закону.</w:t>
      </w:r>
    </w:p>
    <w:p w14:paraId="6F6AF8FF" w14:textId="04D4AF85" w:rsidR="006B07CA" w:rsidRPr="00511005" w:rsidRDefault="007B2628" w:rsidP="003A292D">
      <w:pPr>
        <w:tabs>
          <w:tab w:val="left" w:pos="993"/>
          <w:tab w:val="left" w:pos="7088"/>
        </w:tabs>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6B07CA" w:rsidRPr="00511005">
        <w:rPr>
          <w:rFonts w:ascii="Arial" w:eastAsia="Times New Roman" w:hAnsi="Arial" w:cs="Arial"/>
          <w:szCs w:val="28"/>
          <w:lang w:val="uk-UA" w:eastAsia="ru-RU"/>
        </w:rPr>
        <w:t>gaps in the law, case law, monitoring of legislation, legal system, legal regulation, social changes, legal precedents, globalization, analogy of law.</w:t>
      </w:r>
    </w:p>
    <w:p w14:paraId="75DF54AE" w14:textId="1973B954" w:rsidR="006B07CA" w:rsidRPr="00511005" w:rsidRDefault="007B2628" w:rsidP="003A292D">
      <w:pPr>
        <w:tabs>
          <w:tab w:val="left" w:pos="993"/>
          <w:tab w:val="left" w:pos="7088"/>
        </w:tabs>
        <w:spacing w:line="264" w:lineRule="auto"/>
        <w:ind w:firstLine="0"/>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6B07CA" w:rsidRPr="00511005">
        <w:rPr>
          <w:rFonts w:ascii="Arial" w:eastAsia="Times New Roman" w:hAnsi="Arial" w:cs="Arial"/>
          <w:i/>
          <w:iCs/>
          <w:szCs w:val="28"/>
          <w:lang w:val="uk-UA" w:eastAsia="ru-RU"/>
        </w:rPr>
        <w:t>старший викладач, доктор філософії в галузі права Іванчук В.Є.</w:t>
      </w:r>
    </w:p>
    <w:p w14:paraId="13C095C5"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5E3E5219"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6B57B11A" w14:textId="77777777" w:rsidR="006B07CA" w:rsidRPr="00511005" w:rsidRDefault="006B07CA" w:rsidP="003A292D">
      <w:pPr>
        <w:spacing w:line="264" w:lineRule="auto"/>
        <w:ind w:firstLine="0"/>
        <w:contextualSpacing/>
        <w:jc w:val="center"/>
        <w:rPr>
          <w:rFonts w:ascii="Arial" w:eastAsia="Calibri" w:hAnsi="Arial" w:cs="Arial"/>
          <w:b/>
          <w:i/>
          <w:szCs w:val="28"/>
          <w:lang w:val="uk-UA"/>
        </w:rPr>
      </w:pPr>
      <w:r w:rsidRPr="00511005">
        <w:rPr>
          <w:rFonts w:ascii="Arial" w:eastAsia="Calibri" w:hAnsi="Arial" w:cs="Arial"/>
          <w:b/>
          <w:i/>
          <w:szCs w:val="28"/>
          <w:lang w:val="uk-UA"/>
        </w:rPr>
        <w:t>Нестерчук Амалія Володимирівна</w:t>
      </w:r>
    </w:p>
    <w:p w14:paraId="1E3232F3" w14:textId="77893190" w:rsidR="006B07CA" w:rsidRPr="00511005" w:rsidRDefault="00536AAB" w:rsidP="003A292D">
      <w:pPr>
        <w:spacing w:line="264" w:lineRule="auto"/>
        <w:ind w:firstLine="0"/>
        <w:contextualSpacing/>
        <w:jc w:val="center"/>
        <w:rPr>
          <w:rFonts w:ascii="Arial" w:eastAsia="Calibri" w:hAnsi="Arial" w:cs="Arial"/>
          <w:szCs w:val="28"/>
          <w:lang w:val="uk-UA"/>
        </w:rPr>
      </w:pPr>
      <w:r w:rsidRPr="00511005">
        <w:rPr>
          <w:rFonts w:ascii="Arial" w:eastAsia="Calibri" w:hAnsi="Arial" w:cs="Arial"/>
          <w:szCs w:val="28"/>
          <w:lang w:val="uk-UA"/>
        </w:rPr>
        <w:t xml:space="preserve">студентка 2-го курсу </w:t>
      </w:r>
      <w:r w:rsidR="006B07CA" w:rsidRPr="00511005">
        <w:rPr>
          <w:rFonts w:ascii="Arial" w:eastAsia="Calibri" w:hAnsi="Arial" w:cs="Arial"/>
          <w:szCs w:val="28"/>
          <w:lang w:val="uk-UA"/>
        </w:rPr>
        <w:t>Фахового коледжу</w:t>
      </w:r>
    </w:p>
    <w:p w14:paraId="06D95B8A" w14:textId="308F4821" w:rsidR="006B07CA" w:rsidRPr="00511005" w:rsidRDefault="007B2628" w:rsidP="003A292D">
      <w:pPr>
        <w:spacing w:line="264" w:lineRule="auto"/>
        <w:ind w:firstLine="0"/>
        <w:contextualSpacing/>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B9966A4" w14:textId="77777777" w:rsidR="006B07CA" w:rsidRPr="00511005" w:rsidRDefault="006B07CA" w:rsidP="003A292D">
      <w:pPr>
        <w:spacing w:line="264" w:lineRule="auto"/>
        <w:ind w:firstLine="0"/>
        <w:contextualSpacing/>
        <w:jc w:val="center"/>
        <w:rPr>
          <w:rFonts w:ascii="Arial" w:eastAsia="Calibri" w:hAnsi="Arial" w:cs="Arial"/>
          <w:szCs w:val="28"/>
          <w:lang w:val="uk-UA"/>
        </w:rPr>
      </w:pPr>
    </w:p>
    <w:p w14:paraId="2703938C" w14:textId="07998E48" w:rsidR="006B07CA" w:rsidRPr="00511005" w:rsidRDefault="006B07CA" w:rsidP="003A292D">
      <w:pPr>
        <w:spacing w:line="264" w:lineRule="auto"/>
        <w:ind w:firstLine="0"/>
        <w:contextualSpacing/>
        <w:jc w:val="center"/>
        <w:rPr>
          <w:rFonts w:ascii="Arial" w:eastAsia="Calibri" w:hAnsi="Arial" w:cs="Arial"/>
          <w:b/>
          <w:szCs w:val="28"/>
          <w:shd w:val="clear" w:color="auto" w:fill="FFFFFF"/>
          <w:lang w:val="uk-UA"/>
        </w:rPr>
      </w:pPr>
      <w:r w:rsidRPr="00511005">
        <w:rPr>
          <w:rFonts w:ascii="Arial" w:eastAsia="Calibri" w:hAnsi="Arial" w:cs="Arial"/>
          <w:b/>
          <w:szCs w:val="28"/>
          <w:shd w:val="clear" w:color="auto" w:fill="FFFFFF"/>
          <w:lang w:val="uk-UA"/>
        </w:rPr>
        <w:t xml:space="preserve">ПРАВОВА СВІДОМІСТЬ УКРАЇНСЬКОГО НАРОДУ: </w:t>
      </w:r>
      <w:r w:rsidR="00176B4E" w:rsidRPr="00511005">
        <w:rPr>
          <w:rFonts w:ascii="Arial" w:eastAsia="Calibri" w:hAnsi="Arial" w:cs="Arial"/>
          <w:b/>
          <w:szCs w:val="28"/>
          <w:shd w:val="clear" w:color="auto" w:fill="FFFFFF"/>
          <w:lang w:val="uk-UA"/>
        </w:rPr>
        <w:br/>
      </w:r>
      <w:r w:rsidRPr="00511005">
        <w:rPr>
          <w:rFonts w:ascii="Arial" w:eastAsia="Calibri" w:hAnsi="Arial" w:cs="Arial"/>
          <w:b/>
          <w:szCs w:val="28"/>
          <w:shd w:val="clear" w:color="auto" w:fill="FFFFFF"/>
          <w:lang w:val="uk-UA"/>
        </w:rPr>
        <w:t>СУЧАСНІ ТЕНДЕНЦІЇ ТА ПРОБЛЕМНІ АСПЕКТИ</w:t>
      </w:r>
    </w:p>
    <w:p w14:paraId="4F401FE6" w14:textId="77777777" w:rsidR="006B07CA" w:rsidRPr="00511005" w:rsidRDefault="006B07CA" w:rsidP="00176B4E">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сучасному українському суспільстві, яке характеризується глибокими соціально-політичними трансформаціями, активізацією громадянської активності та одночасним посиленням внутрішньої й зовнішньої нестабільності, питання формування та розвитку правової свідомості набуває ключового значення не лише у контексті демократизації політичної системи, а й як основоположний чинник ствердження правової держави та громадянського суспільства. </w:t>
      </w:r>
    </w:p>
    <w:p w14:paraId="6A14A3AD" w14:textId="77777777" w:rsidR="006B07CA" w:rsidRPr="00511005" w:rsidRDefault="006B07CA" w:rsidP="00176B4E">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Від рівня сформованості правової свідомості залежать глибина правової культури, ефективність реалізації норм права, ступінь довіри до інституцій та, зрештою, здатність держави забезпечити сталість правопорядку.</w:t>
      </w:r>
    </w:p>
    <w:p w14:paraId="34D81DFB"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За концепцією Волковицької Н., </w:t>
      </w:r>
      <w:r w:rsidRPr="00511005">
        <w:rPr>
          <w:rFonts w:ascii="Arial" w:eastAsia="Times New Roman" w:hAnsi="Arial" w:cs="Arial"/>
          <w:b/>
          <w:bCs/>
          <w:i/>
          <w:szCs w:val="28"/>
          <w:lang w:val="uk-UA" w:eastAsia="ru-RU"/>
        </w:rPr>
        <w:t>правова свідомість</w:t>
      </w:r>
      <w:r w:rsidRPr="00511005">
        <w:rPr>
          <w:rFonts w:ascii="Arial" w:eastAsia="Times New Roman" w:hAnsi="Arial" w:cs="Arial"/>
          <w:szCs w:val="28"/>
          <w:lang w:val="uk-UA" w:eastAsia="ru-RU"/>
        </w:rPr>
        <w:t xml:space="preserve"> становить один із фундаментальних компонентів правової системи, що характеризується складною ієрархічною структурою та функціонує як нормативно релевантна форма суб’єктивного осмислення правової дійсності, що проявляється у системі юридично значущих знань, ціннісних орієнтацій, оцінок і установок, які формуються під впливом як раціонального мислення, так і емоційно-вольових чинників. </w:t>
      </w:r>
      <w:r w:rsidRPr="00511005">
        <w:rPr>
          <w:rFonts w:ascii="Arial" w:eastAsia="Times New Roman" w:hAnsi="Arial" w:cs="Arial"/>
          <w:szCs w:val="28"/>
          <w:lang w:eastAsia="ru-RU"/>
        </w:rPr>
        <w:t>Ці елементи зумовлюють ретроспективне, актуальне та прогностичне сприйняття права, перетворюючи правову свідомість на невід’ємну об’єктивовану частину правової реальності та інструмент правового регулювання [</w:t>
      </w:r>
      <w:r w:rsidRPr="00511005">
        <w:rPr>
          <w:rFonts w:ascii="Arial" w:eastAsia="Times New Roman" w:hAnsi="Arial" w:cs="Arial"/>
          <w:szCs w:val="28"/>
          <w:shd w:val="clear" w:color="auto" w:fill="FFFFFF"/>
          <w:lang w:eastAsia="ru-RU"/>
        </w:rPr>
        <w:t>1. С. 33–34</w:t>
      </w:r>
      <w:r w:rsidRPr="00511005">
        <w:rPr>
          <w:rFonts w:ascii="Arial" w:eastAsia="Times New Roman" w:hAnsi="Arial" w:cs="Arial"/>
          <w:szCs w:val="28"/>
          <w:lang w:eastAsia="ru-RU"/>
        </w:rPr>
        <w:t>].</w:t>
      </w:r>
    </w:p>
    <w:p w14:paraId="620302DE"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 думку Шаравари І., ключовим чинником у процесі формування правосвідомості суспільства, зокрема українського, виступає система виховання, орієнтована на підготовку особистості до свідомого громадянства у правовій державі. Саме індивід, який діє відповідно до встановлених правових норм, здатен сприяти сталому розвитку </w:t>
      </w:r>
      <w:r w:rsidRPr="00511005">
        <w:rPr>
          <w:rFonts w:ascii="Arial" w:eastAsia="Times New Roman" w:hAnsi="Arial" w:cs="Arial"/>
          <w:szCs w:val="28"/>
          <w:lang w:eastAsia="ru-RU"/>
        </w:rPr>
        <w:lastRenderedPageBreak/>
        <w:t>демократичної правової держави та підтриманню її інституційної стабільності [</w:t>
      </w:r>
      <w:r w:rsidRPr="00511005">
        <w:rPr>
          <w:rFonts w:ascii="Arial" w:eastAsia="Times New Roman" w:hAnsi="Arial" w:cs="Arial"/>
          <w:szCs w:val="28"/>
          <w:shd w:val="clear" w:color="auto" w:fill="FFFFFF"/>
          <w:lang w:eastAsia="ru-RU"/>
        </w:rPr>
        <w:t>5. С. 12</w:t>
      </w:r>
      <w:r w:rsidRPr="00511005">
        <w:rPr>
          <w:rFonts w:ascii="Arial" w:eastAsia="Times New Roman" w:hAnsi="Arial" w:cs="Arial"/>
          <w:szCs w:val="28"/>
          <w:lang w:eastAsia="ru-RU"/>
        </w:rPr>
        <w:t>].</w:t>
      </w:r>
    </w:p>
    <w:p w14:paraId="2891F2F0"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 міркуваннями Пінської О., рівень правової свідомості громадян значною мірою визначає ступінь соціального прогресу. Лише суспільство, члени якого володіють правовими знаннями, усвідомлюють їх значення та застосовують норми права належним чином, здатне забезпечити стабільне функціонування правової держави [</w:t>
      </w:r>
      <w:r w:rsidRPr="00511005">
        <w:rPr>
          <w:rFonts w:ascii="Arial" w:eastAsia="Times New Roman" w:hAnsi="Arial" w:cs="Arial"/>
          <w:szCs w:val="28"/>
          <w:shd w:val="clear" w:color="auto" w:fill="FFFFFF"/>
          <w:lang w:eastAsia="ru-RU"/>
        </w:rPr>
        <w:t>3. С. 787</w:t>
      </w:r>
      <w:r w:rsidRPr="00511005">
        <w:rPr>
          <w:rFonts w:ascii="Arial" w:eastAsia="Times New Roman" w:hAnsi="Arial" w:cs="Arial"/>
          <w:szCs w:val="28"/>
          <w:lang w:eastAsia="ru-RU"/>
        </w:rPr>
        <w:t xml:space="preserve">]. </w:t>
      </w:r>
    </w:p>
    <w:p w14:paraId="0221B76F" w14:textId="77777777" w:rsidR="006B07CA" w:rsidRPr="00511005" w:rsidRDefault="006B07CA" w:rsidP="00176B4E">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Аналізуючи сучасні тенденції розвитку правової свідомості українського суспільства, доцільно зауважити, що на тлі зростання доступу до інформаційних ресурсів, збільшення кількості правопросвітницьких ініціатив, впровадження інноваційних технологій у сфері освіти, а також активізації діяльності інститутів громадянського суспільства спостерігається поступове зростання правової свідомості населення. </w:t>
      </w:r>
    </w:p>
    <w:p w14:paraId="6286D36C" w14:textId="77777777" w:rsidR="006B07CA" w:rsidRPr="00511005" w:rsidRDefault="006B07CA" w:rsidP="00176B4E">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Водночас простежується тенденція до зростання рівня правового інтересу серед молоді, що свідчить про поступову зміну парадигми від пасивного сприйняття норм права до усвідомленої участі в правовому житті.</w:t>
      </w:r>
    </w:p>
    <w:p w14:paraId="6969B59E" w14:textId="77777777" w:rsidR="006B07CA" w:rsidRPr="00511005" w:rsidRDefault="006B07CA" w:rsidP="00176B4E">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Разом із тим, дослідження проблемних аспектів функціонування правової свідомості вказує на низку негативних чинників, серед яких домінують:</w:t>
      </w:r>
    </w:p>
    <w:p w14:paraId="17696803" w14:textId="77777777" w:rsidR="006B07CA" w:rsidRPr="00511005" w:rsidRDefault="006B07CA" w:rsidP="00176B4E">
      <w:pPr>
        <w:numPr>
          <w:ilvl w:val="0"/>
          <w:numId w:val="34"/>
        </w:numPr>
        <w:spacing w:line="264" w:lineRule="auto"/>
        <w:ind w:left="0" w:firstLine="709"/>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фрагментарність правових знань, особливо серед населення середнього та старшого віку, яке не охоплене сучасними формами правової освіти;</w:t>
      </w:r>
    </w:p>
    <w:p w14:paraId="41C7E6FF" w14:textId="77777777" w:rsidR="006B07CA" w:rsidRPr="00511005" w:rsidRDefault="006B07CA" w:rsidP="00176B4E">
      <w:pPr>
        <w:numPr>
          <w:ilvl w:val="0"/>
          <w:numId w:val="34"/>
        </w:numPr>
        <w:spacing w:line="264" w:lineRule="auto"/>
        <w:ind w:left="0" w:firstLine="709"/>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збереження елементів правового нігілізму, що виражається в ігноруванні або нехтуванні нормами права в повсякденному житті;</w:t>
      </w:r>
    </w:p>
    <w:p w14:paraId="2CF5AF69" w14:textId="77777777" w:rsidR="006B07CA" w:rsidRPr="00511005" w:rsidRDefault="006B07CA" w:rsidP="00176B4E">
      <w:pPr>
        <w:numPr>
          <w:ilvl w:val="0"/>
          <w:numId w:val="34"/>
        </w:numPr>
        <w:spacing w:line="264" w:lineRule="auto"/>
        <w:ind w:left="0" w:firstLine="709"/>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недостатній рівень довіри до судової системи та правоохоронних органів, що формує стійку установку на неефективність правових інструментів захисту;</w:t>
      </w:r>
    </w:p>
    <w:p w14:paraId="685722C3" w14:textId="77777777" w:rsidR="006B07CA" w:rsidRPr="00511005" w:rsidRDefault="006B07CA" w:rsidP="00176B4E">
      <w:pPr>
        <w:numPr>
          <w:ilvl w:val="0"/>
          <w:numId w:val="34"/>
        </w:numPr>
        <w:spacing w:line="264" w:lineRule="auto"/>
        <w:ind w:left="0" w:firstLine="709"/>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слабкість правових традицій та відсутність сталої правової культури в окремих регіонах країни </w:t>
      </w:r>
      <w:r w:rsidRPr="00511005">
        <w:rPr>
          <w:rFonts w:ascii="Arial" w:eastAsia="Times New Roman" w:hAnsi="Arial" w:cs="Arial"/>
          <w:szCs w:val="28"/>
          <w:lang w:eastAsia="uk-UA"/>
        </w:rPr>
        <w:t>[</w:t>
      </w:r>
      <w:r w:rsidRPr="00511005">
        <w:rPr>
          <w:rFonts w:ascii="Arial" w:eastAsia="Calibri" w:hAnsi="Arial" w:cs="Arial"/>
          <w:szCs w:val="28"/>
          <w:lang w:val="uk-UA"/>
        </w:rPr>
        <w:t>4</w:t>
      </w:r>
      <w:r w:rsidRPr="00511005">
        <w:rPr>
          <w:rFonts w:ascii="Arial" w:eastAsia="Times New Roman" w:hAnsi="Arial" w:cs="Arial"/>
          <w:szCs w:val="28"/>
          <w:lang w:eastAsia="uk-UA"/>
        </w:rPr>
        <w:t>]</w:t>
      </w:r>
      <w:r w:rsidRPr="00511005">
        <w:rPr>
          <w:rFonts w:ascii="Arial" w:eastAsia="Times New Roman" w:hAnsi="Arial" w:cs="Arial"/>
          <w:szCs w:val="28"/>
          <w:lang w:val="uk-UA" w:eastAsia="uk-UA"/>
        </w:rPr>
        <w:t>.</w:t>
      </w:r>
    </w:p>
    <w:p w14:paraId="71DD87F3" w14:textId="77777777" w:rsidR="006B07CA" w:rsidRPr="00511005" w:rsidRDefault="006B07CA" w:rsidP="00176B4E">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Враховуючи зазначене, доцільною є необхідність формування цілісної державної політики, спрямованої на підвищення рівня правової свідомості шляхом:</w:t>
      </w:r>
    </w:p>
    <w:p w14:paraId="0F71782B" w14:textId="77777777" w:rsidR="007B2628" w:rsidRPr="00511005" w:rsidRDefault="006B07CA" w:rsidP="00176B4E">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інституціоналізації правової освіти в усіх сферах суспільного життя;</w:t>
      </w:r>
    </w:p>
    <w:p w14:paraId="7DDBE7D7" w14:textId="7C66D11E" w:rsidR="006B07CA" w:rsidRPr="00511005" w:rsidRDefault="006B07CA" w:rsidP="00176B4E">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 системної підтримки громадських правопросвітницьких ініціатив; </w:t>
      </w:r>
    </w:p>
    <w:p w14:paraId="785A148B" w14:textId="77777777" w:rsidR="006B07CA" w:rsidRPr="00511005" w:rsidRDefault="006B07CA" w:rsidP="00176B4E">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 створення інтерактивних платформ правового навчання; </w:t>
      </w:r>
    </w:p>
    <w:p w14:paraId="32D31900" w14:textId="77777777" w:rsidR="006B07CA" w:rsidRPr="00511005" w:rsidRDefault="006B07CA" w:rsidP="00176B4E">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активного залучення засобів масової інформації до формування позитивного правового іміджу держави [</w:t>
      </w:r>
      <w:r w:rsidRPr="00511005">
        <w:rPr>
          <w:rFonts w:ascii="Arial" w:eastAsia="Times New Roman" w:hAnsi="Arial" w:cs="Arial"/>
          <w:szCs w:val="28"/>
          <w:shd w:val="clear" w:color="auto" w:fill="FFFFFF"/>
          <w:lang w:eastAsia="ru-RU"/>
        </w:rPr>
        <w:t>2</w:t>
      </w:r>
      <w:r w:rsidRPr="00511005">
        <w:rPr>
          <w:rFonts w:ascii="Arial" w:eastAsia="Times New Roman" w:hAnsi="Arial" w:cs="Arial"/>
          <w:szCs w:val="28"/>
          <w:lang w:eastAsia="uk-UA"/>
        </w:rPr>
        <w:t>].</w:t>
      </w:r>
    </w:p>
    <w:p w14:paraId="6772DC41" w14:textId="77777777" w:rsidR="006B07CA" w:rsidRPr="00511005" w:rsidRDefault="006B07CA" w:rsidP="00176B4E">
      <w:pPr>
        <w:spacing w:line="264" w:lineRule="auto"/>
        <w:rPr>
          <w:rFonts w:ascii="Arial" w:eastAsia="Times New Roman" w:hAnsi="Arial" w:cs="Arial"/>
          <w:szCs w:val="28"/>
          <w:lang w:val="uk-UA" w:eastAsia="uk-UA"/>
        </w:rPr>
      </w:pPr>
      <w:r w:rsidRPr="00511005">
        <w:rPr>
          <w:rFonts w:ascii="Arial" w:eastAsia="Times New Roman" w:hAnsi="Arial" w:cs="Arial"/>
          <w:szCs w:val="28"/>
          <w:lang w:eastAsia="uk-UA"/>
        </w:rPr>
        <w:t xml:space="preserve">Отже, правова свідомість українського народу є надзвичайно чутливою до соціально-політичних коливань та потребує системного і міждисциплінарного підходу до її формування й розвитку. Саме наявність високого рівня правової самосвідомості громадян є запорукою легітимності </w:t>
      </w:r>
      <w:r w:rsidRPr="00511005">
        <w:rPr>
          <w:rFonts w:ascii="Arial" w:eastAsia="Times New Roman" w:hAnsi="Arial" w:cs="Arial"/>
          <w:szCs w:val="28"/>
          <w:lang w:eastAsia="uk-UA"/>
        </w:rPr>
        <w:lastRenderedPageBreak/>
        <w:t>правових норм, ефективності їх реалізації та зміцнення основ демократичного правопорядку.</w:t>
      </w:r>
    </w:p>
    <w:p w14:paraId="3C789FDA" w14:textId="77777777" w:rsidR="006B07CA" w:rsidRPr="00511005" w:rsidRDefault="006B07CA" w:rsidP="003A292D">
      <w:pPr>
        <w:spacing w:line="264" w:lineRule="auto"/>
        <w:ind w:firstLine="0"/>
        <w:rPr>
          <w:rFonts w:ascii="Arial" w:eastAsia="Times New Roman" w:hAnsi="Arial" w:cs="Arial"/>
          <w:szCs w:val="28"/>
          <w:lang w:val="uk-UA" w:eastAsia="uk-UA"/>
        </w:rPr>
      </w:pPr>
    </w:p>
    <w:p w14:paraId="7A9939CB" w14:textId="72C6328D" w:rsidR="006B07CA" w:rsidRPr="00511005" w:rsidRDefault="007B2628" w:rsidP="007B2628">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634B2B83" w14:textId="77777777" w:rsidR="006B07CA" w:rsidRPr="00511005" w:rsidRDefault="006B07CA" w:rsidP="00176B4E">
      <w:pPr>
        <w:numPr>
          <w:ilvl w:val="0"/>
          <w:numId w:val="33"/>
        </w:numPr>
        <w:tabs>
          <w:tab w:val="left" w:pos="993"/>
        </w:tabs>
        <w:spacing w:line="264" w:lineRule="auto"/>
        <w:ind w:left="0" w:firstLine="567"/>
        <w:contextualSpacing/>
        <w:rPr>
          <w:rFonts w:ascii="Arial" w:eastAsia="Calibri" w:hAnsi="Arial" w:cs="Arial"/>
          <w:szCs w:val="28"/>
          <w:lang w:val="uk-UA"/>
        </w:rPr>
      </w:pPr>
      <w:r w:rsidRPr="00511005">
        <w:rPr>
          <w:rFonts w:ascii="Arial" w:eastAsia="Calibri" w:hAnsi="Arial" w:cs="Arial"/>
          <w:szCs w:val="28"/>
          <w:shd w:val="clear" w:color="auto" w:fill="FFFFFF"/>
          <w:lang w:val="uk-UA"/>
        </w:rPr>
        <w:t xml:space="preserve">Волковицька Н. Поняття правової свідомості та її структури: теоретичні і методологійні проблеми дослідження. </w:t>
      </w:r>
      <w:r w:rsidRPr="00511005">
        <w:rPr>
          <w:rFonts w:ascii="Arial" w:eastAsia="Calibri" w:hAnsi="Arial" w:cs="Arial"/>
          <w:i/>
          <w:iCs/>
          <w:szCs w:val="28"/>
          <w:shd w:val="clear" w:color="auto" w:fill="FFFFFF"/>
          <w:lang w:val="uk-UA"/>
        </w:rPr>
        <w:t xml:space="preserve">Юридична Україна. </w:t>
      </w:r>
      <w:r w:rsidRPr="00511005">
        <w:rPr>
          <w:rFonts w:ascii="Arial" w:eastAsia="Calibri" w:hAnsi="Arial" w:cs="Arial"/>
          <w:iCs/>
          <w:szCs w:val="28"/>
          <w:shd w:val="clear" w:color="auto" w:fill="FFFFFF"/>
          <w:lang w:val="uk-UA"/>
        </w:rPr>
        <w:t xml:space="preserve">№ </w:t>
      </w:r>
      <w:r w:rsidRPr="00511005">
        <w:rPr>
          <w:rFonts w:ascii="Arial" w:eastAsia="Calibri" w:hAnsi="Arial" w:cs="Arial"/>
          <w:szCs w:val="28"/>
          <w:shd w:val="clear" w:color="auto" w:fill="FFFFFF"/>
          <w:lang w:val="uk-UA"/>
        </w:rPr>
        <w:t>2. 2010. С. 28–34.</w:t>
      </w:r>
    </w:p>
    <w:p w14:paraId="55D129B7" w14:textId="77777777" w:rsidR="006B07CA" w:rsidRPr="00511005" w:rsidRDefault="006B07CA" w:rsidP="00176B4E">
      <w:pPr>
        <w:numPr>
          <w:ilvl w:val="0"/>
          <w:numId w:val="33"/>
        </w:numPr>
        <w:tabs>
          <w:tab w:val="left" w:pos="993"/>
        </w:tabs>
        <w:spacing w:line="264" w:lineRule="auto"/>
        <w:ind w:left="0" w:firstLine="567"/>
        <w:contextualSpacing/>
        <w:rPr>
          <w:rFonts w:ascii="Arial" w:eastAsia="Calibri" w:hAnsi="Arial" w:cs="Arial"/>
          <w:szCs w:val="28"/>
          <w:lang w:val="uk-UA"/>
        </w:rPr>
      </w:pPr>
      <w:r w:rsidRPr="00511005">
        <w:rPr>
          <w:rFonts w:ascii="Arial" w:eastAsia="Calibri" w:hAnsi="Arial" w:cs="Arial"/>
          <w:szCs w:val="28"/>
          <w:shd w:val="clear" w:color="auto" w:fill="FFFFFF"/>
          <w:lang w:val="uk-UA"/>
        </w:rPr>
        <w:t xml:space="preserve">Магась-Демидас Ю. Правова свідомість: еволюція та роль у сучасному суспільстві. </w:t>
      </w:r>
      <w:r w:rsidRPr="00511005">
        <w:rPr>
          <w:rFonts w:ascii="Arial" w:eastAsia="Calibri" w:hAnsi="Arial" w:cs="Arial"/>
          <w:i/>
          <w:iCs/>
          <w:szCs w:val="28"/>
          <w:shd w:val="clear" w:color="auto" w:fill="FFFFFF"/>
          <w:lang w:val="uk-UA"/>
        </w:rPr>
        <w:t>Літописець</w:t>
      </w:r>
      <w:r w:rsidRPr="00511005">
        <w:rPr>
          <w:rFonts w:ascii="Arial" w:eastAsia="Calibri" w:hAnsi="Arial" w:cs="Arial"/>
          <w:szCs w:val="28"/>
          <w:shd w:val="clear" w:color="auto" w:fill="FFFFFF"/>
          <w:lang w:val="uk-UA"/>
        </w:rPr>
        <w:t>. 2025 № 20. С. 139–143.</w:t>
      </w:r>
    </w:p>
    <w:p w14:paraId="543A2540" w14:textId="77777777" w:rsidR="006B07CA" w:rsidRPr="00511005" w:rsidRDefault="006B07CA" w:rsidP="00176B4E">
      <w:pPr>
        <w:numPr>
          <w:ilvl w:val="0"/>
          <w:numId w:val="33"/>
        </w:numPr>
        <w:tabs>
          <w:tab w:val="left" w:pos="993"/>
        </w:tabs>
        <w:spacing w:line="264" w:lineRule="auto"/>
        <w:ind w:left="0" w:firstLine="567"/>
        <w:contextualSpacing/>
        <w:rPr>
          <w:rFonts w:ascii="Arial" w:eastAsia="Calibri" w:hAnsi="Arial" w:cs="Arial"/>
          <w:szCs w:val="28"/>
          <w:lang w:val="uk-UA"/>
        </w:rPr>
      </w:pPr>
      <w:r w:rsidRPr="00511005">
        <w:rPr>
          <w:rFonts w:ascii="Arial" w:eastAsia="Calibri" w:hAnsi="Arial" w:cs="Arial"/>
          <w:szCs w:val="28"/>
          <w:shd w:val="clear" w:color="auto" w:fill="FFFFFF"/>
          <w:lang w:val="uk-UA"/>
        </w:rPr>
        <w:t>Пінська О. Правова свідомість: загальна характеристика, основні риси та структура. </w:t>
      </w:r>
      <w:r w:rsidRPr="00511005">
        <w:rPr>
          <w:rFonts w:ascii="Arial" w:eastAsia="Calibri" w:hAnsi="Arial" w:cs="Arial"/>
          <w:i/>
          <w:iCs/>
          <w:szCs w:val="28"/>
          <w:shd w:val="clear" w:color="auto" w:fill="FFFFFF"/>
          <w:lang w:val="uk-UA"/>
        </w:rPr>
        <w:t>Форум права</w:t>
      </w:r>
      <w:r w:rsidRPr="00511005">
        <w:rPr>
          <w:rFonts w:ascii="Arial" w:eastAsia="Calibri" w:hAnsi="Arial" w:cs="Arial"/>
          <w:i/>
          <w:iCs/>
          <w:szCs w:val="28"/>
          <w:shd w:val="clear" w:color="auto" w:fill="FFFFFF"/>
        </w:rPr>
        <w:t xml:space="preserve">. </w:t>
      </w:r>
      <w:r w:rsidRPr="00511005">
        <w:rPr>
          <w:rFonts w:ascii="Arial" w:eastAsia="Calibri" w:hAnsi="Arial" w:cs="Arial"/>
          <w:iCs/>
          <w:szCs w:val="28"/>
          <w:shd w:val="clear" w:color="auto" w:fill="FFFFFF"/>
        </w:rPr>
        <w:t>2011</w:t>
      </w:r>
      <w:r w:rsidRPr="00511005">
        <w:rPr>
          <w:rFonts w:ascii="Arial" w:eastAsia="Calibri" w:hAnsi="Arial" w:cs="Arial"/>
          <w:i/>
          <w:iCs/>
          <w:szCs w:val="28"/>
          <w:shd w:val="clear" w:color="auto" w:fill="FFFFFF"/>
        </w:rPr>
        <w:t xml:space="preserve">. </w:t>
      </w:r>
      <w:r w:rsidRPr="00511005">
        <w:rPr>
          <w:rFonts w:ascii="Arial" w:eastAsia="Calibri" w:hAnsi="Arial" w:cs="Arial"/>
          <w:iCs/>
          <w:szCs w:val="28"/>
          <w:shd w:val="clear" w:color="auto" w:fill="FFFFFF"/>
          <w:lang w:val="uk-UA"/>
        </w:rPr>
        <w:t>№</w:t>
      </w:r>
      <w:r w:rsidRPr="00511005">
        <w:rPr>
          <w:rFonts w:ascii="Arial" w:eastAsia="Calibri" w:hAnsi="Arial" w:cs="Arial"/>
          <w:szCs w:val="28"/>
          <w:shd w:val="clear" w:color="auto" w:fill="FFFFFF"/>
          <w:lang w:val="uk-UA"/>
        </w:rPr>
        <w:t> 1. С. 784–788</w:t>
      </w:r>
      <w:r w:rsidRPr="00511005">
        <w:rPr>
          <w:rFonts w:ascii="Arial" w:eastAsia="Calibri" w:hAnsi="Arial" w:cs="Arial"/>
          <w:szCs w:val="28"/>
          <w:shd w:val="clear" w:color="auto" w:fill="FFFFFF"/>
        </w:rPr>
        <w:t>/.</w:t>
      </w:r>
    </w:p>
    <w:p w14:paraId="55B3E4EF" w14:textId="77777777" w:rsidR="006B07CA" w:rsidRPr="00511005" w:rsidRDefault="006B07CA" w:rsidP="00176B4E">
      <w:pPr>
        <w:numPr>
          <w:ilvl w:val="0"/>
          <w:numId w:val="33"/>
        </w:numPr>
        <w:tabs>
          <w:tab w:val="left" w:pos="993"/>
        </w:tabs>
        <w:spacing w:line="264" w:lineRule="auto"/>
        <w:ind w:left="0" w:firstLine="567"/>
        <w:contextualSpacing/>
        <w:rPr>
          <w:rFonts w:ascii="Arial" w:eastAsia="Calibri" w:hAnsi="Arial" w:cs="Arial"/>
          <w:szCs w:val="28"/>
          <w:lang w:val="uk-UA"/>
        </w:rPr>
      </w:pPr>
      <w:r w:rsidRPr="00511005">
        <w:rPr>
          <w:rFonts w:ascii="Arial" w:eastAsia="Calibri" w:hAnsi="Arial" w:cs="Arial"/>
          <w:szCs w:val="28"/>
          <w:lang w:val="uk-UA"/>
        </w:rPr>
        <w:t xml:space="preserve">Черкас М. Є. Правовий менталітет як складова правосвідомості: особливості становлення та розвитку в Україні. </w:t>
      </w:r>
      <w:r w:rsidRPr="00511005">
        <w:rPr>
          <w:rFonts w:ascii="Arial" w:eastAsia="Calibri" w:hAnsi="Arial" w:cs="Arial"/>
          <w:i/>
          <w:szCs w:val="28"/>
          <w:lang w:val="uk-UA"/>
        </w:rPr>
        <w:t>Право та інновації</w:t>
      </w:r>
      <w:r w:rsidRPr="00511005">
        <w:rPr>
          <w:rFonts w:ascii="Arial" w:eastAsia="Calibri" w:hAnsi="Arial" w:cs="Arial"/>
          <w:szCs w:val="28"/>
          <w:lang w:val="uk-UA"/>
        </w:rPr>
        <w:t>. 2018. №3</w:t>
      </w:r>
      <w:r w:rsidRPr="00511005">
        <w:rPr>
          <w:rFonts w:ascii="Arial" w:eastAsia="Calibri" w:hAnsi="Arial" w:cs="Arial"/>
          <w:szCs w:val="28"/>
          <w:lang w:val="en-US"/>
        </w:rPr>
        <w:t xml:space="preserve"> </w:t>
      </w:r>
      <w:r w:rsidRPr="00511005">
        <w:rPr>
          <w:rFonts w:ascii="Arial" w:eastAsia="Calibri" w:hAnsi="Arial" w:cs="Arial"/>
          <w:szCs w:val="28"/>
          <w:lang w:val="uk-UA"/>
        </w:rPr>
        <w:t>(23). С. 92–97.</w:t>
      </w:r>
    </w:p>
    <w:p w14:paraId="7162991C" w14:textId="77777777" w:rsidR="006B07CA" w:rsidRPr="00511005" w:rsidRDefault="006B07CA" w:rsidP="00176B4E">
      <w:pPr>
        <w:numPr>
          <w:ilvl w:val="0"/>
          <w:numId w:val="33"/>
        </w:numPr>
        <w:tabs>
          <w:tab w:val="left" w:pos="993"/>
        </w:tabs>
        <w:spacing w:line="264" w:lineRule="auto"/>
        <w:ind w:left="0" w:firstLine="567"/>
        <w:contextualSpacing/>
        <w:rPr>
          <w:rFonts w:ascii="Arial" w:eastAsia="Calibri" w:hAnsi="Arial" w:cs="Arial"/>
          <w:szCs w:val="28"/>
          <w:lang w:val="uk-UA"/>
        </w:rPr>
      </w:pPr>
      <w:r w:rsidRPr="00511005">
        <w:rPr>
          <w:rFonts w:ascii="Arial" w:eastAsia="Calibri" w:hAnsi="Arial" w:cs="Arial"/>
          <w:szCs w:val="28"/>
          <w:shd w:val="clear" w:color="auto" w:fill="FFFFFF"/>
          <w:lang w:val="uk-UA"/>
        </w:rPr>
        <w:t xml:space="preserve">Шаравара І. Правова свідомість та правова культура в Україні: проблеми їх формування. </w:t>
      </w:r>
      <w:r w:rsidRPr="00511005">
        <w:rPr>
          <w:rFonts w:ascii="Arial" w:eastAsia="Calibri" w:hAnsi="Arial" w:cs="Arial"/>
          <w:i/>
          <w:iCs/>
          <w:szCs w:val="28"/>
          <w:shd w:val="clear" w:color="auto" w:fill="FFFFFF"/>
          <w:lang w:val="uk-UA"/>
        </w:rPr>
        <w:t>Jurnalul juridic national: teorie şi practică</w:t>
      </w:r>
      <w:r w:rsidRPr="00511005">
        <w:rPr>
          <w:rFonts w:ascii="Arial" w:eastAsia="Calibri" w:hAnsi="Arial" w:cs="Arial"/>
          <w:szCs w:val="28"/>
          <w:shd w:val="clear" w:color="auto" w:fill="FFFFFF"/>
          <w:lang w:val="uk-UA"/>
        </w:rPr>
        <w:t>. 2015. № 13.3/1. С. 9</w:t>
      </w:r>
      <w:r w:rsidRPr="00511005">
        <w:rPr>
          <w:rFonts w:ascii="Arial" w:eastAsia="Calibri" w:hAnsi="Arial" w:cs="Arial"/>
          <w:szCs w:val="28"/>
          <w:lang w:val="uk-UA"/>
        </w:rPr>
        <w:t>–</w:t>
      </w:r>
      <w:r w:rsidRPr="00511005">
        <w:rPr>
          <w:rFonts w:ascii="Arial" w:eastAsia="Calibri" w:hAnsi="Arial" w:cs="Arial"/>
          <w:szCs w:val="28"/>
          <w:shd w:val="clear" w:color="auto" w:fill="FFFFFF"/>
          <w:lang w:val="uk-UA"/>
        </w:rPr>
        <w:t xml:space="preserve">12. </w:t>
      </w:r>
      <w:hyperlink r:id="rId60" w:history="1">
        <w:r w:rsidRPr="00511005">
          <w:rPr>
            <w:rFonts w:ascii="Arial" w:eastAsia="Calibri" w:hAnsi="Arial" w:cs="Arial"/>
            <w:szCs w:val="28"/>
            <w:shd w:val="clear" w:color="auto" w:fill="FFFFFF"/>
            <w:lang w:val="uk-UA"/>
          </w:rPr>
          <w:t>https://ibn.idsi.md/sites/default/files/imag_file/9_12_Pravova%ormuvannya.pdf</w:t>
        </w:r>
      </w:hyperlink>
      <w:r w:rsidRPr="00511005">
        <w:rPr>
          <w:rFonts w:ascii="Arial" w:eastAsia="Calibri" w:hAnsi="Arial" w:cs="Arial"/>
          <w:szCs w:val="28"/>
          <w:shd w:val="clear" w:color="auto" w:fill="FFFFFF"/>
          <w:lang w:val="uk-UA"/>
        </w:rPr>
        <w:t>.</w:t>
      </w:r>
    </w:p>
    <w:p w14:paraId="6E98C3C6" w14:textId="77777777" w:rsidR="006B07CA" w:rsidRPr="00511005" w:rsidRDefault="006B07CA" w:rsidP="003A292D">
      <w:pPr>
        <w:spacing w:line="264" w:lineRule="auto"/>
        <w:ind w:firstLine="0"/>
        <w:contextualSpacing/>
        <w:jc w:val="left"/>
        <w:rPr>
          <w:rFonts w:ascii="Arial" w:eastAsia="Calibri" w:hAnsi="Arial" w:cs="Arial"/>
          <w:szCs w:val="28"/>
          <w:lang w:val="uk-UA"/>
        </w:rPr>
      </w:pPr>
    </w:p>
    <w:p w14:paraId="759B85D4" w14:textId="3B029C4C" w:rsidR="006B07CA" w:rsidRPr="00511005" w:rsidRDefault="007B2628" w:rsidP="003A292D">
      <w:pPr>
        <w:spacing w:line="264" w:lineRule="auto"/>
        <w:ind w:firstLine="0"/>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6B07CA" w:rsidRPr="00511005">
        <w:rPr>
          <w:rFonts w:ascii="Arial" w:eastAsia="Times New Roman" w:hAnsi="Arial" w:cs="Arial"/>
          <w:szCs w:val="28"/>
          <w:lang w:eastAsia="ru-RU"/>
        </w:rPr>
        <w:t>правова свідомість, правова культура, право, держава, українське суспільство</w:t>
      </w:r>
    </w:p>
    <w:p w14:paraId="6A69FC71" w14:textId="3010766D" w:rsidR="006B07CA" w:rsidRPr="00511005" w:rsidRDefault="007B2628" w:rsidP="003A292D">
      <w:pPr>
        <w:spacing w:line="264" w:lineRule="auto"/>
        <w:ind w:firstLine="0"/>
        <w:rPr>
          <w:rFonts w:ascii="Arial" w:eastAsia="Times New Roman" w:hAnsi="Arial" w:cs="Arial"/>
          <w:b/>
          <w:szCs w:val="28"/>
          <w:lang w:val="en-US" w:eastAsia="ru-RU"/>
        </w:rPr>
      </w:pPr>
      <w:r w:rsidRPr="00511005">
        <w:rPr>
          <w:rFonts w:ascii="Arial" w:eastAsia="Times New Roman" w:hAnsi="Arial" w:cs="Arial"/>
          <w:b/>
          <w:i/>
          <w:szCs w:val="28"/>
          <w:lang w:val="en-US" w:eastAsia="ru-RU"/>
        </w:rPr>
        <w:t xml:space="preserve">Key words: </w:t>
      </w:r>
      <w:r w:rsidR="006B07CA" w:rsidRPr="00511005">
        <w:rPr>
          <w:rFonts w:ascii="Arial" w:eastAsia="Times New Roman" w:hAnsi="Arial" w:cs="Arial"/>
          <w:i/>
          <w:iCs/>
          <w:szCs w:val="28"/>
          <w:lang w:val="en-US" w:eastAsia="ru-RU"/>
        </w:rPr>
        <w:t>legal consciousness</w:t>
      </w:r>
      <w:r w:rsidR="006B07CA" w:rsidRPr="00511005">
        <w:rPr>
          <w:rFonts w:ascii="Arial" w:eastAsia="Times New Roman" w:hAnsi="Arial" w:cs="Arial"/>
          <w:szCs w:val="28"/>
          <w:lang w:val="en-US" w:eastAsia="ru-RU"/>
        </w:rPr>
        <w:t>, legal culture, law, state, Ukrainian society</w:t>
      </w:r>
    </w:p>
    <w:p w14:paraId="7F066093" w14:textId="5B1E7905" w:rsidR="006B07CA" w:rsidRPr="00511005" w:rsidRDefault="007B2628" w:rsidP="003A292D">
      <w:pPr>
        <w:spacing w:line="264" w:lineRule="auto"/>
        <w:ind w:firstLine="0"/>
        <w:rPr>
          <w:rFonts w:ascii="Arial" w:eastAsia="Times New Roman" w:hAnsi="Arial" w:cs="Arial"/>
          <w:i/>
          <w:szCs w:val="28"/>
          <w:lang w:eastAsia="uk-UA"/>
        </w:rPr>
      </w:pPr>
      <w:r w:rsidRPr="00511005">
        <w:rPr>
          <w:rFonts w:ascii="Arial" w:eastAsia="Times New Roman" w:hAnsi="Arial" w:cs="Arial"/>
          <w:b/>
          <w:bCs/>
          <w:i/>
          <w:iCs/>
          <w:szCs w:val="28"/>
          <w:lang w:eastAsia="ru-RU"/>
        </w:rPr>
        <w:t xml:space="preserve">Науковий керівник: </w:t>
      </w:r>
      <w:r w:rsidR="006B07CA" w:rsidRPr="00511005">
        <w:rPr>
          <w:rFonts w:ascii="Arial" w:eastAsia="Times New Roman" w:hAnsi="Arial" w:cs="Arial"/>
          <w:bCs/>
          <w:i/>
          <w:iCs/>
          <w:szCs w:val="28"/>
          <w:lang w:eastAsia="ru-RU"/>
        </w:rPr>
        <w:t>доктор філософії в галузі права, старший викладач Іванчук В.Є.</w:t>
      </w:r>
    </w:p>
    <w:p w14:paraId="32B3EC54" w14:textId="77777777" w:rsidR="006B07CA" w:rsidRPr="00511005" w:rsidRDefault="006B07CA" w:rsidP="003A292D">
      <w:pPr>
        <w:spacing w:line="264" w:lineRule="auto"/>
        <w:ind w:firstLine="0"/>
        <w:contextualSpacing/>
        <w:jc w:val="left"/>
        <w:rPr>
          <w:rFonts w:ascii="Arial" w:eastAsia="Calibri" w:hAnsi="Arial" w:cs="Arial"/>
          <w:szCs w:val="28"/>
          <w:lang w:val="uk-UA"/>
        </w:rPr>
      </w:pPr>
    </w:p>
    <w:p w14:paraId="3B7E0EFC" w14:textId="77777777" w:rsidR="006B07CA" w:rsidRPr="00511005" w:rsidRDefault="006B07CA" w:rsidP="003A292D">
      <w:pPr>
        <w:spacing w:line="264" w:lineRule="auto"/>
        <w:ind w:firstLine="0"/>
        <w:contextualSpacing/>
        <w:jc w:val="left"/>
        <w:rPr>
          <w:rFonts w:ascii="Arial" w:eastAsia="Calibri" w:hAnsi="Arial" w:cs="Arial"/>
          <w:szCs w:val="28"/>
          <w:lang w:val="uk-UA"/>
        </w:rPr>
      </w:pPr>
    </w:p>
    <w:p w14:paraId="19FC60CA" w14:textId="77777777" w:rsidR="006B07CA" w:rsidRPr="00511005" w:rsidRDefault="006B07CA"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Носалюк Даніїл Артемович</w:t>
      </w:r>
    </w:p>
    <w:p w14:paraId="0219F38A" w14:textId="328FDEAB" w:rsidR="006B07CA" w:rsidRPr="00511005" w:rsidRDefault="006B07CA"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 1-го курсу факультету цивільної та господарської юстиції</w:t>
      </w:r>
      <w:r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38A0938E" w14:textId="77777777" w:rsidR="006B07CA" w:rsidRPr="00511005" w:rsidRDefault="006B07CA" w:rsidP="003A292D">
      <w:pPr>
        <w:spacing w:line="264" w:lineRule="auto"/>
        <w:ind w:firstLine="0"/>
        <w:jc w:val="center"/>
        <w:rPr>
          <w:rFonts w:ascii="Arial" w:eastAsia="Times New Roman" w:hAnsi="Arial" w:cs="Arial"/>
          <w:szCs w:val="28"/>
          <w:lang w:val="uk-UA" w:eastAsia="ru-RU"/>
        </w:rPr>
      </w:pPr>
    </w:p>
    <w:p w14:paraId="03497EB1" w14:textId="77777777" w:rsidR="006B07CA" w:rsidRPr="00511005" w:rsidRDefault="006B07CA" w:rsidP="003A292D">
      <w:pPr>
        <w:spacing w:line="264" w:lineRule="auto"/>
        <w:ind w:firstLine="0"/>
        <w:jc w:val="center"/>
        <w:rPr>
          <w:rFonts w:ascii="Arial" w:eastAsia="Times New Roman" w:hAnsi="Arial" w:cs="Arial"/>
          <w:caps/>
          <w:szCs w:val="28"/>
          <w:lang w:val="uk-UA" w:eastAsia="ru-RU"/>
        </w:rPr>
      </w:pPr>
      <w:r w:rsidRPr="00511005">
        <w:rPr>
          <w:rFonts w:ascii="Arial" w:eastAsia="Times New Roman" w:hAnsi="Arial" w:cs="Arial"/>
          <w:b/>
          <w:bCs/>
          <w:caps/>
          <w:szCs w:val="28"/>
          <w:lang w:val="uk-UA" w:eastAsia="ru-RU"/>
        </w:rPr>
        <w:t>Механізм реалізації інформаційної функції права</w:t>
      </w:r>
    </w:p>
    <w:p w14:paraId="358DF716"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Відомо, що категорія «функція» була введена німецьким дослідником Г. Лейбніцем для визначення залежності одного процесу або його зміни від іншого (в математиці це розуміється як залежність однієї величини від іншої). </w:t>
      </w:r>
      <w:r w:rsidRPr="00511005">
        <w:rPr>
          <w:rFonts w:ascii="Arial" w:eastAsia="Times New Roman" w:hAnsi="Arial" w:cs="Arial"/>
          <w:szCs w:val="28"/>
          <w:lang w:eastAsia="ru-RU"/>
        </w:rPr>
        <w:t>У юриспруденції поняття «функція» характеризує соціальну роль права і держави. Концепція функцій права почала розвиватися з початку XX століття і пов'язана з дослідженнями Л. Дюгі, М. Коркунова, Л. Петражицького, А. Горовцева та К. Реннері. Під функціями права розуміють або соціальне призначення права або сферу впливу права на суспільні відносини, або і те, і інше [1, c. 3]. Ми будемо виходити саме з розуміння функцій права як основних напрямів реалізації його соціального призначення.</w:t>
      </w:r>
    </w:p>
    <w:p w14:paraId="224CD5F9"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Сьогодні однією з найважливіших загальносоціальних функцій права стає інформаційна функція. Сам термін «інформація» з'явився нещодавно, тому інформаційна функція права є відносно молодим об`єктом наукового дослідження. Переважна більшість вчених та спеціалістів називають цю функцію по-різному – </w:t>
      </w:r>
      <w:proofErr w:type="gramStart"/>
      <w:r w:rsidRPr="00511005">
        <w:rPr>
          <w:rFonts w:ascii="Arial" w:eastAsia="Times New Roman" w:hAnsi="Arial" w:cs="Arial"/>
          <w:szCs w:val="28"/>
          <w:lang w:eastAsia="ru-RU"/>
        </w:rPr>
        <w:t>інформаційна(</w:t>
      </w:r>
      <w:proofErr w:type="gramEnd"/>
      <w:r w:rsidRPr="00511005">
        <w:rPr>
          <w:rFonts w:ascii="Arial" w:eastAsia="Times New Roman" w:hAnsi="Arial" w:cs="Arial"/>
          <w:szCs w:val="28"/>
          <w:lang w:eastAsia="ru-RU"/>
        </w:rPr>
        <w:t>О. М. Макеєва, І. В. Антошина, О. В. Шмоткін), інформаційно-пізнавальна(О. Ф. Скакун.), інформаційно-комунікативна. О. М. Макеєва зазначає, що право, поряд зі своїм суто юридичними завданнями, виконує інформаційну функцію і набуває інформаційної якості. Це є проявом його соціальної природи, здатності впливати на волю, свідомість і психіку людей [2, с. 48].</w:t>
      </w:r>
    </w:p>
    <w:p w14:paraId="78B966CE"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Інформаційна функція права - це функція, яка забезпечує доведення до відома громадян правових норм, правил поведінки, а також їхніх прав і обов’язків. Тобто, головна мета цієї функції полягає у інформуванні суб`єкта права про його права та обов`язки, дозвільні та заборонні правила поведінки. </w:t>
      </w:r>
    </w:p>
    <w:p w14:paraId="7BA9D342"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Як зазначає І. В. Антошина, сьогодні потреба в правовому інформуванні українського суспільства актуалізує та підкреслює важливість інформаційної функції права. Правова інформованість громадян та суспільства, яка є результатом реалізації інформаційної функції, стає основою правового впливу через формування моделей поведінки в суспільстві</w:t>
      </w:r>
      <w:r w:rsidRPr="00511005">
        <w:rPr>
          <w:rFonts w:ascii="Arial" w:eastAsia="Times New Roman" w:hAnsi="Arial" w:cs="Arial"/>
          <w:szCs w:val="28"/>
          <w:lang w:val="uk-UA" w:eastAsia="ru-RU"/>
        </w:rPr>
        <w:t xml:space="preserve"> [3, с. 138].</w:t>
      </w:r>
    </w:p>
    <w:p w14:paraId="3D1A96DE"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При розгляді механізму реалізації інформаційної функції варто відзначити системний підхід до визначення механізму реалізації інформаційної функції, запропонований Є. М. Коржом, що визначає його як систему правової інформації, суб’єктів, об’єктів і юридичних засобів правового інформування що взаємодіють задля досягнення мети правового регулювання. Відповідно елементами механізму реалізації інформаційної функції права є: система правової інформації; суб’єкти здійснення інформаційної функції; об’єкти інформаційного впливу; юридичні засоби правового інформування [4, c. 65-66]. </w:t>
      </w:r>
    </w:p>
    <w:p w14:paraId="401AA148"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Варто виділити такі види суб’єктів реалізації інформаційної функції:</w:t>
      </w:r>
    </w:p>
    <w:p w14:paraId="58AA30CE"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1. Найважливішим суб'єктом реалізації інформаційної функції права є держава, державні органи та органи місцевого самоврядування. Вони встановлюють правові засади реалізації інформаційної функції права, визначають основні форми інформаційного впливу.</w:t>
      </w:r>
    </w:p>
    <w:p w14:paraId="141F2D06"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2. Фізичні та юридичні особи, об’єднання </w:t>
      </w:r>
      <w:proofErr w:type="gramStart"/>
      <w:r w:rsidRPr="00511005">
        <w:rPr>
          <w:rFonts w:ascii="Arial" w:eastAsia="Times New Roman" w:hAnsi="Arial" w:cs="Arial"/>
          <w:szCs w:val="28"/>
          <w:lang w:eastAsia="ru-RU"/>
        </w:rPr>
        <w:t>громадян(</w:t>
      </w:r>
      <w:proofErr w:type="gramEnd"/>
      <w:r w:rsidRPr="00511005">
        <w:rPr>
          <w:rFonts w:ascii="Arial" w:eastAsia="Times New Roman" w:hAnsi="Arial" w:cs="Arial"/>
          <w:szCs w:val="28"/>
          <w:lang w:eastAsia="ru-RU"/>
        </w:rPr>
        <w:t>спілки, політичні партії, релігійні організації та ін.).</w:t>
      </w:r>
    </w:p>
    <w:p w14:paraId="0B0EFF06"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3. специфічною групоб суб’єктів реалізації інформаційної функції є інформаційні агенства. інформаційні агентства. Інформаційними агентствами визнаються суб'єкти інформаційної діяльності, які пройшли реєстрацію у статусі юридичних осіб та здійснюють діяльність, спрямовану </w:t>
      </w:r>
      <w:r w:rsidRPr="00511005">
        <w:rPr>
          <w:rFonts w:ascii="Arial" w:eastAsia="Times New Roman" w:hAnsi="Arial" w:cs="Arial"/>
          <w:szCs w:val="28"/>
          <w:lang w:eastAsia="ru-RU"/>
        </w:rPr>
        <w:lastRenderedPageBreak/>
        <w:t>на надання інформаційних послуг. Існують державні та недержавні інформаційні агентства.</w:t>
      </w:r>
    </w:p>
    <w:p w14:paraId="595A335D"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Відповідно об’єктом реалізації інформаційної функції є інформація. Як зазначається у ст. 17 Закону України «Про інформацію», “правова інформація - будь-які відомості про право, його систему, джерела, реалізацію, юридичні факти, правовідносини, правопорядок, правопорушення і боротьбу з ними та їх профілактику тощо. Також у законі прописано, що джерелами правової інформації є Конституція України, інші законодавчі і підзаконні нормативно-правові акти, міжнародні договори та угоди, норми і принципи міжнародного права, а також ненормативні правові акти, повідомлення медіа, публічні виступи, інші джерела інформації з правових </w:t>
      </w:r>
      <w:proofErr w:type="gramStart"/>
      <w:r w:rsidRPr="00511005">
        <w:rPr>
          <w:rFonts w:ascii="Arial" w:eastAsia="Times New Roman" w:hAnsi="Arial" w:cs="Arial"/>
          <w:szCs w:val="28"/>
          <w:lang w:eastAsia="ru-RU"/>
        </w:rPr>
        <w:t>питань”[</w:t>
      </w:r>
      <w:proofErr w:type="gramEnd"/>
      <w:r w:rsidRPr="00511005">
        <w:rPr>
          <w:rFonts w:ascii="Arial" w:eastAsia="Times New Roman" w:hAnsi="Arial" w:cs="Arial"/>
          <w:szCs w:val="28"/>
          <w:lang w:eastAsia="ru-RU"/>
        </w:rPr>
        <w:t>5].</w:t>
      </w:r>
    </w:p>
    <w:p w14:paraId="74715ABD"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Розвиток інформаційних технологій сприяє розвитку системи засобів інформування. Сьогодні до них належать: </w:t>
      </w:r>
    </w:p>
    <w:p w14:paraId="3BB2EA57"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1. Засоби масової інформації. Вони виконують ключову роль у поширенні правових знань, забезпеченні доступу до інформації та формуванні </w:t>
      </w:r>
      <w:proofErr w:type="gramStart"/>
      <w:r w:rsidRPr="00511005">
        <w:rPr>
          <w:rFonts w:ascii="Arial" w:eastAsia="Times New Roman" w:hAnsi="Arial" w:cs="Arial"/>
          <w:szCs w:val="28"/>
          <w:lang w:eastAsia="ru-RU"/>
        </w:rPr>
        <w:t>правосвідомості(</w:t>
      </w:r>
      <w:proofErr w:type="gramEnd"/>
      <w:r w:rsidRPr="00511005">
        <w:rPr>
          <w:rFonts w:ascii="Arial" w:eastAsia="Times New Roman" w:hAnsi="Arial" w:cs="Arial"/>
          <w:szCs w:val="28"/>
          <w:lang w:eastAsia="ru-RU"/>
        </w:rPr>
        <w:t xml:space="preserve">телебачення, радіомовлення тощо). Також можна сказати про друковані засоби масової інформації (преса), під ними маються на увазі періодичні виданнями та видання, які продовжуються, що публікуються під стабільною назвою, виходять із регулярністю від одного випуску на рік та на підставі офіційно зареєстрованого державного свідоцтва. Тобто це можуть бути </w:t>
      </w:r>
      <w:proofErr w:type="gramStart"/>
      <w:r w:rsidRPr="00511005">
        <w:rPr>
          <w:rFonts w:ascii="Arial" w:eastAsia="Times New Roman" w:hAnsi="Arial" w:cs="Arial"/>
          <w:szCs w:val="28"/>
          <w:lang w:eastAsia="ru-RU"/>
        </w:rPr>
        <w:t>газети(</w:t>
      </w:r>
      <w:proofErr w:type="gramEnd"/>
      <w:r w:rsidRPr="00511005">
        <w:rPr>
          <w:rFonts w:ascii="Arial" w:eastAsia="Times New Roman" w:hAnsi="Arial" w:cs="Arial"/>
          <w:szCs w:val="28"/>
          <w:lang w:eastAsia="ru-RU"/>
        </w:rPr>
        <w:t xml:space="preserve">Юридичний вісник України) або журнали, нормативні бюлетені(Відомості Верховної Ради України) та ін. </w:t>
      </w:r>
    </w:p>
    <w:p w14:paraId="59D4D1D0"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2. Важливим засобом інформування виступають цифрові сервіси, наприклад, Дія чи Електронні петиції тощо. </w:t>
      </w:r>
    </w:p>
    <w:p w14:paraId="5481F9F8"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Виділяють три основні форми реалізації інформаційної функції права: 1) нормотворчість – діяльність з удосконалення правової інформаційної системи шляхом прийняття, зміни чи скасування норм права, важливу роль в реалізації інформаційної функції відіграє відомча нормотворчість; правова інформатизація – створення та розвиток системи обміну правовою інформацією між органами публічної влади; правове інформування населення органами державної влади та місцевого самоврядування – зовнішньо виражена реалізація інформаційної функції права [6, с. 152]. </w:t>
      </w:r>
    </w:p>
    <w:p w14:paraId="195F7E08"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Додатковими формами можуть виступати такі: правове інформування через засоби масової інформації та комунікації; правове інформування через юридичну практику; правове інформування в рамках консультативної діяльності юристів-професоналів; правове інформування за допомогою правої пропаганди та навчання [7, с. 320]. </w:t>
      </w:r>
    </w:p>
    <w:p w14:paraId="7F72B1B3" w14:textId="6122B3BB"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підсумку можна сказати, що ефективна реалізація інформаційної функції права сприяє підвищенню рівня правової інформованості та правосвідомості громадян, що, у свою чергу, допомагає формувати відповідальну правову поведінку та запобігати правопорушенням. В умовах </w:t>
      </w:r>
      <w:r w:rsidRPr="00511005">
        <w:rPr>
          <w:rFonts w:ascii="Arial" w:eastAsia="Times New Roman" w:hAnsi="Arial" w:cs="Arial"/>
          <w:szCs w:val="28"/>
          <w:lang w:eastAsia="ru-RU"/>
        </w:rPr>
        <w:lastRenderedPageBreak/>
        <w:t xml:space="preserve">розвитку інформаційного суспільства та впливу глобалізації ця функція набуває особливої актуальності. Важливим є й те, що інформаційна функція права тісно пов’язана з використанням сучасних технологій – електронних сервісів, онлайн-ресурсів, цифрових платформ, що розширює можливості для правового інформування та підвищує ефективність взаємодії між державою і громадянами. Щодо засобів і форм правового інформування, то вони дещо збігаються. Однак, засоби – це інструменти, за допомогою яких здійснюється передача правової інформації до громадян. Тобто, можна зазначити, що засоби відповідають на питання: чим саме, за допомогою чого здійснюється правове </w:t>
      </w:r>
      <w:proofErr w:type="gramStart"/>
      <w:r w:rsidRPr="00511005">
        <w:rPr>
          <w:rFonts w:ascii="Arial" w:eastAsia="Times New Roman" w:hAnsi="Arial" w:cs="Arial"/>
          <w:szCs w:val="28"/>
          <w:lang w:eastAsia="ru-RU"/>
        </w:rPr>
        <w:t>інформування?.</w:t>
      </w:r>
      <w:proofErr w:type="gramEnd"/>
      <w:r w:rsidRPr="00511005">
        <w:rPr>
          <w:rFonts w:ascii="Arial" w:eastAsia="Times New Roman" w:hAnsi="Arial" w:cs="Arial"/>
          <w:szCs w:val="28"/>
          <w:lang w:eastAsia="ru-RU"/>
        </w:rPr>
        <w:t xml:space="preserve"> Форми –</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це конкретні способи організації та реалізації процесу інформування, тобто як саме здійснюється донесення правової інформації до аудиторії. Тож форми відповідають на питання: «яким чином, у якій організаційній або процесуальній формі здійснюється правове інформування?».</w:t>
      </w:r>
    </w:p>
    <w:p w14:paraId="6E181417" w14:textId="77777777" w:rsidR="006B07CA" w:rsidRPr="00511005" w:rsidRDefault="006B07CA" w:rsidP="00176B4E">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Сучасне право характеризується доступністю, прозорістю та використанням технологій. Водночас, суспільна думка про право є суперечливою, поєднуючи віру в справедливість із сумнівами щодо ефективності системи.</w:t>
      </w:r>
    </w:p>
    <w:p w14:paraId="2CC79E22" w14:textId="77777777" w:rsidR="006B07CA" w:rsidRPr="00511005" w:rsidRDefault="006B07CA" w:rsidP="003A292D">
      <w:pPr>
        <w:spacing w:line="264" w:lineRule="auto"/>
        <w:ind w:firstLine="0"/>
        <w:jc w:val="center"/>
        <w:rPr>
          <w:rFonts w:ascii="Arial" w:eastAsia="Times New Roman" w:hAnsi="Arial" w:cs="Arial"/>
          <w:b/>
          <w:bCs/>
          <w:szCs w:val="28"/>
          <w:lang w:eastAsia="ru-RU"/>
        </w:rPr>
      </w:pPr>
    </w:p>
    <w:p w14:paraId="010A47DC" w14:textId="44161BC2" w:rsidR="006B07CA" w:rsidRPr="00511005" w:rsidRDefault="007B2628" w:rsidP="007B2628">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02737DAB" w14:textId="77777777" w:rsidR="006B07CA" w:rsidRPr="00511005" w:rsidRDefault="006B07CA" w:rsidP="00176B4E">
      <w:pPr>
        <w:numPr>
          <w:ilvl w:val="0"/>
          <w:numId w:val="35"/>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Заморська Л. І. Функції права: змістовно-теоретичний аналіз. </w:t>
      </w:r>
      <w:r w:rsidRPr="00511005">
        <w:rPr>
          <w:rFonts w:ascii="Arial" w:eastAsia="Calibri" w:hAnsi="Arial" w:cs="Arial"/>
          <w:i/>
          <w:iCs/>
          <w:szCs w:val="28"/>
          <w:lang w:val="uk-UA"/>
        </w:rPr>
        <w:t>Актуальні проблеми вітчизняної юриспруденції.</w:t>
      </w:r>
      <w:r w:rsidRPr="00511005">
        <w:rPr>
          <w:rFonts w:ascii="Arial" w:eastAsia="Calibri" w:hAnsi="Arial" w:cs="Arial"/>
          <w:szCs w:val="28"/>
          <w:lang w:val="uk-UA"/>
        </w:rPr>
        <w:t xml:space="preserve"> 2015. Вип. 6. С. 3-9</w:t>
      </w:r>
    </w:p>
    <w:p w14:paraId="23A8CC2F" w14:textId="77777777" w:rsidR="006B07CA" w:rsidRPr="00511005" w:rsidRDefault="006B07CA" w:rsidP="00176B4E">
      <w:pPr>
        <w:numPr>
          <w:ilvl w:val="0"/>
          <w:numId w:val="35"/>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Макеєва О. М. Інформаційна функція права та її вплив на правову культуру суспільства. </w:t>
      </w:r>
      <w:r w:rsidRPr="00511005">
        <w:rPr>
          <w:rFonts w:ascii="Arial" w:eastAsia="Calibri" w:hAnsi="Arial" w:cs="Arial"/>
          <w:i/>
          <w:iCs/>
          <w:szCs w:val="28"/>
          <w:lang w:val="uk-UA"/>
        </w:rPr>
        <w:t>Юридичний вісник. Повітряне і космічне право</w:t>
      </w:r>
      <w:r w:rsidRPr="00511005">
        <w:rPr>
          <w:rFonts w:ascii="Arial" w:eastAsia="Calibri" w:hAnsi="Arial" w:cs="Arial"/>
          <w:szCs w:val="28"/>
          <w:lang w:val="uk-UA"/>
        </w:rPr>
        <w:t>. 2015. № 3. С. 47-51</w:t>
      </w:r>
    </w:p>
    <w:p w14:paraId="1DADFBDB" w14:textId="77777777" w:rsidR="006B07CA" w:rsidRPr="00511005" w:rsidRDefault="006B07CA" w:rsidP="00176B4E">
      <w:pPr>
        <w:numPr>
          <w:ilvl w:val="0"/>
          <w:numId w:val="35"/>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Антошина І. В. Інформаційна функція права як основа правової інформованості в Україні. </w:t>
      </w:r>
      <w:r w:rsidRPr="00511005">
        <w:rPr>
          <w:rFonts w:ascii="Arial" w:eastAsia="Calibri" w:hAnsi="Arial" w:cs="Arial"/>
          <w:i/>
          <w:iCs/>
          <w:szCs w:val="28"/>
          <w:lang w:val="uk-UA"/>
        </w:rPr>
        <w:t>Lex portus</w:t>
      </w:r>
      <w:r w:rsidRPr="00511005">
        <w:rPr>
          <w:rFonts w:ascii="Arial" w:eastAsia="Calibri" w:hAnsi="Arial" w:cs="Arial"/>
          <w:szCs w:val="28"/>
          <w:lang w:val="uk-UA"/>
        </w:rPr>
        <w:t>. 2017. № 1. С. 134-146.</w:t>
      </w:r>
    </w:p>
    <w:p w14:paraId="36A3C468" w14:textId="77777777" w:rsidR="006B07CA" w:rsidRPr="00511005" w:rsidRDefault="006B07CA" w:rsidP="00176B4E">
      <w:pPr>
        <w:numPr>
          <w:ilvl w:val="0"/>
          <w:numId w:val="35"/>
        </w:numPr>
        <w:spacing w:line="264" w:lineRule="auto"/>
        <w:ind w:left="0" w:firstLine="709"/>
        <w:rPr>
          <w:rFonts w:ascii="Arial" w:eastAsia="Calibri" w:hAnsi="Arial" w:cs="Arial"/>
          <w:szCs w:val="28"/>
          <w:lang w:val="uk-UA"/>
        </w:rPr>
      </w:pPr>
      <w:r w:rsidRPr="00511005">
        <w:rPr>
          <w:rFonts w:ascii="Arial" w:eastAsia="Times New Roman" w:hAnsi="Arial" w:cs="Arial"/>
          <w:szCs w:val="28"/>
          <w:lang w:val="uk-UA"/>
        </w:rPr>
        <w:t>Корж Є. М.</w:t>
      </w:r>
      <w:r w:rsidRPr="00511005">
        <w:rPr>
          <w:rFonts w:ascii="Arial" w:eastAsia="Times New Roman" w:hAnsi="Arial" w:cs="Arial"/>
          <w:i/>
          <w:iCs/>
          <w:szCs w:val="28"/>
          <w:lang w:val="uk-UA"/>
        </w:rPr>
        <w:t xml:space="preserve"> </w:t>
      </w:r>
      <w:r w:rsidRPr="00511005">
        <w:rPr>
          <w:rFonts w:ascii="Arial" w:eastAsia="Times New Roman" w:hAnsi="Arial" w:cs="Arial"/>
          <w:szCs w:val="28"/>
          <w:lang w:val="uk-UA"/>
        </w:rPr>
        <w:t>Реалізація інформаційної функції права в діяльності органів внутрішніх справ: автореф. дис. ... канд. юрид. наук Х.: Б.в., 2010. 20 с.</w:t>
      </w:r>
    </w:p>
    <w:p w14:paraId="43B2A2AF" w14:textId="77777777" w:rsidR="006B07CA" w:rsidRPr="00511005" w:rsidRDefault="006B07CA" w:rsidP="00176B4E">
      <w:pPr>
        <w:numPr>
          <w:ilvl w:val="0"/>
          <w:numId w:val="35"/>
        </w:numPr>
        <w:spacing w:line="264" w:lineRule="auto"/>
        <w:ind w:left="0" w:firstLine="709"/>
        <w:rPr>
          <w:rFonts w:ascii="Arial" w:eastAsia="Calibri" w:hAnsi="Arial" w:cs="Arial"/>
          <w:szCs w:val="28"/>
          <w:lang w:val="uk-UA"/>
        </w:rPr>
      </w:pPr>
      <w:r w:rsidRPr="00511005">
        <w:rPr>
          <w:rFonts w:ascii="Arial" w:eastAsia="Times New Roman" w:hAnsi="Arial" w:cs="Arial"/>
          <w:szCs w:val="28"/>
          <w:lang w:val="uk-UA"/>
        </w:rPr>
        <w:t>Про інформацію: Закон України від 02.10.1992 № 2657-XII (із змінами та доповненнями). Відомості Верховної Ради України. 1992. № 48. Ст. 17</w:t>
      </w:r>
    </w:p>
    <w:p w14:paraId="3717EE17" w14:textId="77777777" w:rsidR="006B07CA" w:rsidRPr="00511005" w:rsidRDefault="006B07CA" w:rsidP="00176B4E">
      <w:pPr>
        <w:numPr>
          <w:ilvl w:val="0"/>
          <w:numId w:val="35"/>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Корж Є. М. Форми та способи реалізації інформаційної функції права в діяльності органів державної влади: український і зарубіжний досвід. </w:t>
      </w:r>
      <w:r w:rsidRPr="00511005">
        <w:rPr>
          <w:rFonts w:ascii="Arial" w:eastAsia="Calibri" w:hAnsi="Arial" w:cs="Arial"/>
          <w:i/>
          <w:iCs/>
          <w:szCs w:val="28"/>
          <w:lang w:val="uk-UA"/>
        </w:rPr>
        <w:t>Науковий вісник Дипломатичної академії України</w:t>
      </w:r>
      <w:r w:rsidRPr="00511005">
        <w:rPr>
          <w:rFonts w:ascii="Arial" w:eastAsia="Calibri" w:hAnsi="Arial" w:cs="Arial"/>
          <w:szCs w:val="28"/>
          <w:lang w:val="uk-UA"/>
        </w:rPr>
        <w:t>. 2007. Вип. 13. С. 150-154</w:t>
      </w:r>
    </w:p>
    <w:p w14:paraId="2C15AC04" w14:textId="77777777" w:rsidR="006B07CA" w:rsidRPr="00511005" w:rsidRDefault="006B07CA" w:rsidP="00176B4E">
      <w:pPr>
        <w:numPr>
          <w:ilvl w:val="0"/>
          <w:numId w:val="35"/>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Правосвідомість і правова культура як базові чинники державотворчого процесу в Україні: моногр. / Л. М. Герасіна, О. Г. Данильян, О. П. Дзьобань та ін. Х. : Право, 2009. 358 с.</w:t>
      </w:r>
    </w:p>
    <w:p w14:paraId="5674F01E" w14:textId="77777777" w:rsidR="006B07CA" w:rsidRPr="00511005" w:rsidRDefault="006B07CA" w:rsidP="00176B4E">
      <w:pPr>
        <w:numPr>
          <w:ilvl w:val="0"/>
          <w:numId w:val="35"/>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Шемчук В.В. Інформаційна функція та її місце в системі функцій сучасної держави. </w:t>
      </w:r>
      <w:r w:rsidRPr="00511005">
        <w:rPr>
          <w:rFonts w:ascii="Arial" w:eastAsia="Calibri" w:hAnsi="Arial" w:cs="Arial"/>
          <w:i/>
          <w:iCs/>
          <w:szCs w:val="28"/>
          <w:lang w:val="uk-UA"/>
        </w:rPr>
        <w:t xml:space="preserve">Вчені записки Таврійського національного університету </w:t>
      </w:r>
      <w:r w:rsidRPr="00511005">
        <w:rPr>
          <w:rFonts w:ascii="Arial" w:eastAsia="Calibri" w:hAnsi="Arial" w:cs="Arial"/>
          <w:i/>
          <w:iCs/>
          <w:szCs w:val="28"/>
          <w:lang w:val="uk-UA"/>
        </w:rPr>
        <w:lastRenderedPageBreak/>
        <w:t>імені В.І. Вернадського.</w:t>
      </w:r>
      <w:r w:rsidRPr="00511005">
        <w:rPr>
          <w:rFonts w:ascii="Arial" w:eastAsia="Calibri" w:hAnsi="Arial" w:cs="Arial"/>
          <w:szCs w:val="28"/>
          <w:lang w:val="uk-UA"/>
        </w:rPr>
        <w:t xml:space="preserve"> Серія: «Юридичні науки». 2018. Т. 29(68). № 4. С. 39-45</w:t>
      </w:r>
    </w:p>
    <w:p w14:paraId="5F2C807E" w14:textId="77777777" w:rsidR="006B07CA" w:rsidRPr="00511005" w:rsidRDefault="006B07CA" w:rsidP="003A292D">
      <w:pPr>
        <w:spacing w:line="264" w:lineRule="auto"/>
        <w:ind w:firstLine="0"/>
        <w:rPr>
          <w:rFonts w:ascii="Arial" w:eastAsia="Times New Roman" w:hAnsi="Arial" w:cs="Arial"/>
          <w:szCs w:val="28"/>
          <w:lang w:eastAsia="ru-RU"/>
        </w:rPr>
      </w:pPr>
    </w:p>
    <w:p w14:paraId="494A5A8F" w14:textId="341E3C56" w:rsidR="006B07CA" w:rsidRPr="00511005" w:rsidRDefault="007B2628" w:rsidP="003A292D">
      <w:pPr>
        <w:spacing w:line="264" w:lineRule="auto"/>
        <w:ind w:firstLine="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6B07CA" w:rsidRPr="00511005">
        <w:rPr>
          <w:rFonts w:ascii="Arial" w:eastAsia="Times New Roman" w:hAnsi="Arial" w:cs="Arial"/>
          <w:szCs w:val="28"/>
          <w:lang w:eastAsia="ru-RU"/>
        </w:rPr>
        <w:t>функції права, інформація, інформаційна функція права, правова інформованість, механізм реалізації інформаційної функції.</w:t>
      </w:r>
    </w:p>
    <w:p w14:paraId="4480F24C" w14:textId="36ED5CAC"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6B07CA" w:rsidRPr="00511005">
        <w:rPr>
          <w:rFonts w:ascii="Arial" w:eastAsia="Times New Roman" w:hAnsi="Arial" w:cs="Arial"/>
          <w:szCs w:val="28"/>
          <w:lang w:val="en-US" w:eastAsia="ru-RU"/>
        </w:rPr>
        <w:t>functions of law, information, information function of law, legal awareness, mechanism for implementing the information function.</w:t>
      </w:r>
    </w:p>
    <w:p w14:paraId="21DC18FD" w14:textId="450BB4D5" w:rsidR="006B07CA" w:rsidRPr="00511005" w:rsidRDefault="007B2628" w:rsidP="003A292D">
      <w:pPr>
        <w:spacing w:line="264" w:lineRule="auto"/>
        <w:ind w:firstLine="0"/>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6B07CA" w:rsidRPr="00511005">
        <w:rPr>
          <w:rFonts w:ascii="Arial" w:eastAsia="Calibri" w:hAnsi="Arial" w:cs="Arial"/>
          <w:i/>
          <w:iCs/>
          <w:szCs w:val="28"/>
          <w:lang w:val="uk-UA"/>
        </w:rPr>
        <w:t>к.ю.н., доцент Ковбасюк С. В.</w:t>
      </w:r>
    </w:p>
    <w:p w14:paraId="13B77169" w14:textId="77777777" w:rsidR="006B07CA" w:rsidRPr="00511005" w:rsidRDefault="006B07CA" w:rsidP="003A292D">
      <w:pPr>
        <w:spacing w:line="264" w:lineRule="auto"/>
        <w:ind w:firstLine="0"/>
        <w:jc w:val="left"/>
        <w:rPr>
          <w:rFonts w:ascii="Arial" w:eastAsia="Calibri" w:hAnsi="Arial" w:cs="Arial"/>
          <w:i/>
          <w:iCs/>
          <w:szCs w:val="28"/>
          <w:lang w:val="uk-UA"/>
        </w:rPr>
      </w:pPr>
    </w:p>
    <w:p w14:paraId="7F869844" w14:textId="77777777" w:rsidR="006B07CA" w:rsidRPr="00511005" w:rsidRDefault="006B07CA" w:rsidP="003A292D">
      <w:pPr>
        <w:spacing w:line="264" w:lineRule="auto"/>
        <w:ind w:firstLine="0"/>
        <w:jc w:val="left"/>
        <w:rPr>
          <w:rFonts w:ascii="Arial" w:eastAsia="Calibri" w:hAnsi="Arial" w:cs="Arial"/>
          <w:i/>
          <w:iCs/>
          <w:szCs w:val="28"/>
          <w:lang w:val="uk-UA"/>
        </w:rPr>
      </w:pPr>
    </w:p>
    <w:p w14:paraId="698C61B6" w14:textId="77777777" w:rsidR="006B07CA" w:rsidRPr="00511005" w:rsidRDefault="006B07CA" w:rsidP="003A292D">
      <w:pPr>
        <w:spacing w:line="264" w:lineRule="auto"/>
        <w:ind w:right="57" w:firstLine="0"/>
        <w:jc w:val="center"/>
        <w:rPr>
          <w:rFonts w:ascii="Arial" w:eastAsia="Times New Roman" w:hAnsi="Arial" w:cs="Arial"/>
          <w:b/>
          <w:bCs/>
          <w:i/>
          <w:szCs w:val="28"/>
          <w:lang w:val="uk-UA" w:eastAsia="ru-RU"/>
        </w:rPr>
      </w:pPr>
      <w:r w:rsidRPr="00511005">
        <w:rPr>
          <w:rFonts w:ascii="Arial" w:eastAsia="Times New Roman" w:hAnsi="Arial" w:cs="Arial"/>
          <w:b/>
          <w:bCs/>
          <w:i/>
          <w:szCs w:val="28"/>
          <w:lang w:val="uk-UA" w:eastAsia="ru-RU"/>
        </w:rPr>
        <w:t>Панчошенко Олександр Сергійович</w:t>
      </w:r>
    </w:p>
    <w:p w14:paraId="498D6A71" w14:textId="2991F52B" w:rsidR="006B07CA" w:rsidRPr="00511005" w:rsidRDefault="006B07CA" w:rsidP="003A292D">
      <w:pPr>
        <w:spacing w:line="264" w:lineRule="auto"/>
        <w:ind w:right="57"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 1-го курсу</w:t>
      </w:r>
      <w:r w:rsidR="00176B4E" w:rsidRPr="00511005">
        <w:rPr>
          <w:rFonts w:ascii="Arial" w:eastAsia="Times New Roman" w:hAnsi="Arial" w:cs="Arial"/>
          <w:szCs w:val="28"/>
          <w:lang w:val="uk-UA" w:eastAsia="ru-RU"/>
        </w:rPr>
        <w:t xml:space="preserve"> </w:t>
      </w:r>
      <w:r w:rsidR="00536AAB" w:rsidRPr="00511005">
        <w:rPr>
          <w:rFonts w:ascii="Arial" w:eastAsia="Times New Roman" w:hAnsi="Arial" w:cs="Arial"/>
          <w:szCs w:val="28"/>
          <w:lang w:val="uk-UA" w:eastAsia="ru-RU"/>
        </w:rPr>
        <w:t>факультету адвокатури та антикорупційної діяльності</w:t>
      </w:r>
    </w:p>
    <w:p w14:paraId="51395D65" w14:textId="6CB9663E" w:rsidR="006B07CA" w:rsidRPr="00511005" w:rsidRDefault="006B07CA" w:rsidP="003A292D">
      <w:pPr>
        <w:spacing w:line="264" w:lineRule="auto"/>
        <w:ind w:right="57"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w:t>
      </w:r>
      <w:r w:rsidR="00176B4E" w:rsidRPr="00511005">
        <w:rPr>
          <w:rFonts w:ascii="Arial" w:eastAsia="Times New Roman" w:hAnsi="Arial" w:cs="Arial"/>
          <w:szCs w:val="28"/>
          <w:lang w:val="uk-UA" w:eastAsia="ru-RU"/>
        </w:rPr>
        <w:t>ого</w:t>
      </w:r>
      <w:r w:rsidRPr="00511005">
        <w:rPr>
          <w:rFonts w:ascii="Arial" w:eastAsia="Times New Roman" w:hAnsi="Arial" w:cs="Arial"/>
          <w:szCs w:val="28"/>
          <w:lang w:val="uk-UA" w:eastAsia="ru-RU"/>
        </w:rPr>
        <w:t xml:space="preserve"> університет</w:t>
      </w:r>
      <w:r w:rsidR="00176B4E" w:rsidRPr="00511005">
        <w:rPr>
          <w:rFonts w:ascii="Arial" w:eastAsia="Times New Roman" w:hAnsi="Arial" w:cs="Arial"/>
          <w:szCs w:val="28"/>
          <w:lang w:val="uk-UA" w:eastAsia="ru-RU"/>
        </w:rPr>
        <w:t>у</w:t>
      </w:r>
      <w:r w:rsidRPr="00511005">
        <w:rPr>
          <w:rFonts w:ascii="Arial" w:eastAsia="Times New Roman" w:hAnsi="Arial" w:cs="Arial"/>
          <w:szCs w:val="28"/>
          <w:lang w:val="uk-UA" w:eastAsia="ru-RU"/>
        </w:rPr>
        <w:t xml:space="preserve"> «Одеська юридична академія»</w:t>
      </w:r>
    </w:p>
    <w:p w14:paraId="20C0DE8F" w14:textId="77777777" w:rsidR="006B07CA" w:rsidRPr="00511005" w:rsidRDefault="006B07CA" w:rsidP="003A292D">
      <w:pPr>
        <w:spacing w:line="264" w:lineRule="auto"/>
        <w:ind w:right="57" w:firstLine="0"/>
        <w:jc w:val="left"/>
        <w:rPr>
          <w:rFonts w:ascii="Arial" w:eastAsia="Times New Roman" w:hAnsi="Arial" w:cs="Arial"/>
          <w:b/>
          <w:szCs w:val="28"/>
          <w:lang w:val="uk-UA" w:eastAsia="ru-RU"/>
        </w:rPr>
      </w:pPr>
    </w:p>
    <w:p w14:paraId="2226D8E3" w14:textId="77777777" w:rsidR="006B07CA" w:rsidRPr="00511005" w:rsidRDefault="006B07CA" w:rsidP="003A292D">
      <w:pPr>
        <w:spacing w:line="264" w:lineRule="auto"/>
        <w:ind w:right="57"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ВИКОРИСТАННЯ ПРИНЦИПУ ВЕРХОВЕНСТВА ПРАВА У ЗАКОНОДАВСТВІ</w:t>
      </w:r>
    </w:p>
    <w:p w14:paraId="475B3423" w14:textId="77777777" w:rsidR="006B07CA" w:rsidRPr="00511005" w:rsidRDefault="006B07CA" w:rsidP="00176B4E">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Верховенство права (rule of law) є фундаментом демократичного суспільства, що забезпечує стабільність, справедливість і захист прав та свобод людини. Цей принцип передбачає, що всі особи є рівними перед законом, і притягнення до юридичної відповідальності можливе виключно згідно з порядком встановленим чинними правовими нормами. Україна є однією з країн, у конституційному правопорядку де чітко встановлено, що верховенство права відповідно до частини першої статі 8 Конституції України є базовим принципом, що має безпосередню дію. Згідно з цією нормою всі органи влади, посадові особи та громадяни зобов’язані дотримуватися цього принципу в своїй діяльності.</w:t>
      </w:r>
    </w:p>
    <w:p w14:paraId="10EBFAFC" w14:textId="77777777" w:rsidR="006B07CA" w:rsidRPr="00511005" w:rsidRDefault="006B07CA" w:rsidP="00176B4E">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Особливої уваги потребує позиція Конституційного Суду України, де детально тлумачиться зміст принципу верховенства права – це панування права в суспільстві, що передбачає, перш за все, пріоритетність прав і свобод людини над державними інтересами. </w:t>
      </w:r>
    </w:p>
    <w:p w14:paraId="480847F9"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Принцип верховенства права потребує від держави забезпечення його втілення як у процесі правотворення, так і при застосуванні норм права, зокрема шляхом ухвалення законів, зміст яких має ґрунтуватися на засадах соціальної справедливості, волі, рівності тощо. Однією з форм прояву цього принципу є визнання того, що правова система не зводиться виключно до нормативно-правових актів, включає також інші соціальні регулятори - моральні норми, традиції, звичаї та інші, що отримали суспільне схвалення та сформувалися відповідно до культурно-історичних особливостей розвитку суспільства.</w:t>
      </w:r>
    </w:p>
    <w:p w14:paraId="00BDFEAB" w14:textId="7A0745A6"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Ідеї верховенства права, як і чимало інших</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ідей, сягають ще часів античності Платона і Аристотеля, Цицерона і Юстиніана. Подальший розвиток ідеї верховенства права відбувався під впливом таких історичних </w:t>
      </w:r>
      <w:r w:rsidRPr="00511005">
        <w:rPr>
          <w:rFonts w:ascii="Arial" w:eastAsia="Times New Roman" w:hAnsi="Arial" w:cs="Arial"/>
          <w:szCs w:val="28"/>
          <w:lang w:val="uk-UA" w:eastAsia="ru-RU"/>
        </w:rPr>
        <w:lastRenderedPageBreak/>
        <w:t xml:space="preserve">подій, як прийняття Великої хартії вольностей 1215 році, Реформація XVI століття і Просвітництва XVIII століття. Термін "Rule of Law", сьогодні офіційно перекладається українською мовою як "верховенство права", вперше з’явився в наукових працях англійського мислителя Дж. Гаррінгтон. Подальший розвиток теоретичного обґрунтування цього поняття належить А. Дайсі та його послідовникам, які сформували концепції верховенства права. Концепція верховенства права постала за умов панування монархічних режимів, котрі домінували в Європі того часу, й була спрямована насамперед на протидію сваволі влади, зокрема й законодавчої, з метою захисту природних та невідчужуваних прав і свобод людини. Отже, хоча ця концепція формувалася в контексті неліберального суспільного устрою, її ідеологічним підґрунтям стали ліберальні цінності, які надихали ліберально-демократичні (буржуазні) революції - воля, природні права людини, рівність перед законом, справедливість та інші фундаментальні засади. </w:t>
      </w:r>
      <w:r w:rsidRPr="00511005">
        <w:rPr>
          <w:rFonts w:ascii="Arial" w:eastAsia="Times New Roman" w:hAnsi="Arial" w:cs="Arial"/>
          <w:szCs w:val="28"/>
          <w:lang w:eastAsia="ru-RU"/>
        </w:rPr>
        <w:t xml:space="preserve">[2, </w:t>
      </w:r>
      <w:r w:rsidRPr="00511005">
        <w:rPr>
          <w:rFonts w:ascii="Arial" w:eastAsia="Times New Roman" w:hAnsi="Arial" w:cs="Arial"/>
          <w:szCs w:val="28"/>
          <w:lang w:val="uk-UA" w:eastAsia="ru-RU"/>
        </w:rPr>
        <w:t>с. 358</w:t>
      </w:r>
      <w:r w:rsidRPr="00511005">
        <w:rPr>
          <w:rFonts w:ascii="Arial" w:eastAsia="Times New Roman" w:hAnsi="Arial" w:cs="Arial"/>
          <w:szCs w:val="28"/>
          <w:lang w:eastAsia="ru-RU"/>
        </w:rPr>
        <w:t>].</w:t>
      </w:r>
    </w:p>
    <w:p w14:paraId="13DF861E"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Основні складові верховенства права охоплюють:</w:t>
      </w:r>
    </w:p>
    <w:p w14:paraId="0128F5E2"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повага до прав і свобод людини, які є невід’ємними, виступає засадою обмеження державної влади, адже такі права не підлягають скасуванню жодним державним органом. Основним орієнтиром для функціонування держави є забезпечення та захист права і свобод людини, що прямо закріплено в Конституції України.</w:t>
      </w:r>
    </w:p>
    <w:p w14:paraId="1B6D9AEF"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верховенство конституції – конституційні положення мають найвищу юридичну силу у правовій системі та є обов’язковими до виконання всіма органами влади, адже вони діють без потреби в додатковому законодавчому регулюванні.</w:t>
      </w:r>
    </w:p>
    <w:p w14:paraId="56DD8B05"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законність - дотримання законів має ґрунтуватися на визнанні найвищої цінності людини та недопущенні свавілля влади. Вона зобов'язує органи публічної влади, зокрема парламент, діяти згідно із законом, який не суперечить принципу верховенства права. Правова система повинна гарантувати захист особи від незаконних дій з боку держави, що також відповідає стандартам, сформованим Європейським судом з прав людини. Її вимога стосується насамперед діяльності органів публічної влади, адже порушення закону посадовцями є особливо небезпечним. Закони обов'язкові для всіх органів влади до їх зміни чи скасування.</w:t>
      </w:r>
    </w:p>
    <w:p w14:paraId="0C2B1164"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розподіл влади передбачає три самостійні гілки: законодавчу, виконавчу та судову, з взаємними відносинами, які запобігають узурпації влади. У Конституції України (ч. 1 ст. 6) цей принцип реалізується через збалансування та взаємний контроль гілок, а не повне відокремлення. Жодна гілка не повинна домінувати або бути позбавлена необхідних повноважень, що гарантує захист прав людини та верховенство права.</w:t>
      </w:r>
    </w:p>
    <w:p w14:paraId="6B46E33F"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 обмеження дискреційних повноважень - полягає в тому, що виконання владних функцій дозволяється лише в межах повноважень, </w:t>
      </w:r>
      <w:r w:rsidRPr="00511005">
        <w:rPr>
          <w:rFonts w:ascii="Arial" w:eastAsia="Times New Roman" w:hAnsi="Arial" w:cs="Arial"/>
          <w:szCs w:val="28"/>
          <w:lang w:val="uk-UA" w:eastAsia="ru-RU"/>
        </w:rPr>
        <w:lastRenderedPageBreak/>
        <w:t xml:space="preserve">визначених Конституцією і законами України. Дискреційні повноваження допустимі, але їх межі і характер повинні бути визначені законом. </w:t>
      </w:r>
    </w:p>
    <w:p w14:paraId="1988D163" w14:textId="400DD6DF"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рівність у правах і перед законом - усі громадяни мають рівні права і свободи, незалежно від будь-яких ознак. Закон має однаково застосовуватися до всіх, без привілеїв або обмежень (ч. 1 ст. 24 Конституції України). Це передбачає, що громадяни користуються рівними правами,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незалежно від походження, місця проживання, раси, статі, релігії, політичних поглядів чи інших ознак. </w:t>
      </w:r>
    </w:p>
    <w:p w14:paraId="30D59337"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юридичної визначеності передбачає, передусім, необхідність чіткого формулювання правових норм, зокрема тих, що безпосередньо стосуються громадян, аби особа мала змогу заздалегідь розуміти зміст, мету та підстави цих норм і, відповідно, передбачати правові наслідки своїх дій.</w:t>
      </w:r>
    </w:p>
    <w:p w14:paraId="0C7D6D11"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 принцип захисту довіри передбачає забезпечення стабільності правового становища громадян і впевненості в його непогіршені в майбутньому. Він охоплює публічність діяльності держави, стабільність і передбачуваність законодавства, захист від свавільних рішень державних органів та повагу до легітимних очікувань громадян, зокрема у сфері трудових відносин і кримінальної відповідальності. </w:t>
      </w:r>
    </w:p>
    <w:p w14:paraId="42CDCE9C" w14:textId="77777777" w:rsidR="006B07CA" w:rsidRPr="00511005" w:rsidRDefault="006B07CA" w:rsidP="00176B4E">
      <w:pPr>
        <w:spacing w:line="264" w:lineRule="auto"/>
        <w:ind w:right="57"/>
        <w:rPr>
          <w:rFonts w:ascii="Arial" w:eastAsia="Times New Roman" w:hAnsi="Arial" w:cs="Arial"/>
          <w:szCs w:val="28"/>
          <w:lang w:eastAsia="ru-RU"/>
        </w:rPr>
      </w:pPr>
      <w:r w:rsidRPr="00511005">
        <w:rPr>
          <w:rFonts w:ascii="Arial" w:eastAsia="Times New Roman" w:hAnsi="Arial" w:cs="Arial"/>
          <w:szCs w:val="28"/>
          <w:lang w:val="uk-UA" w:eastAsia="ru-RU"/>
        </w:rPr>
        <w:t>- принцип пропорційності означає, що загальний інтерес держави не повинен придушувати свободу особи.</w:t>
      </w:r>
      <w:r w:rsidRPr="00511005">
        <w:rPr>
          <w:rFonts w:ascii="Arial" w:eastAsia="Times New Roman" w:hAnsi="Arial" w:cs="Arial"/>
          <w:szCs w:val="28"/>
          <w:lang w:eastAsia="ru-RU"/>
        </w:rPr>
        <w:t xml:space="preserve"> Обмеження прав можливі лише за законом, у цілях, визначених Конституцією чи міжнародними документами</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p>
    <w:p w14:paraId="6C7C21AB"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прозорість і передбачуваність - закони повинні бути доступними, зрозумілими та стабільними, забезпечуючи передбачуваність їх застосування.</w:t>
      </w:r>
    </w:p>
    <w:p w14:paraId="712485A5"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 незалежність суду і суддів реалізується у щоденній правозастосовній практиці та забезпечується через діяльність низки суспільних і державних інституцій, які покликані гарантувати дотримання правових засад у процесі здійснення правосуддя. Цей принцип реалізується через діяльність органів судової влади, чия організація ґрунтується на принципах, закріплених у конституціях. Судова гілка влади має ключове значення для забезпечення верховенства права в демократичному суспільстві. </w:t>
      </w:r>
    </w:p>
    <w:p w14:paraId="2127F3C5"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Принцип верховенства права вважається універсальним. Забезпечення панування права повинно відбуватися як у внутрішньодержавному, так і в міжнародному правовому порядку, відповідно до зобов’язань, які взяли на себе держави-члени ООН.</w:t>
      </w:r>
    </w:p>
    <w:p w14:paraId="14BF848A"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Вперше принцип верховенства права був закріплений у Європейській конвенції про захист прав людини і основоположних свобод 1950 року, яка передбачає гарантії права на справедливий суд (ст. 6), заборону дискримінації (ст. 14), право на ефективний засіб правового захисту (ст. 13) тощо. Важливо зазначити, що тлумачення цього принципу здійснюється у практиці Європейського суду з прав людини, рішення якого мають обов’язкову силу для держав-учасниць, що прямо зазначено в ч.1 ст. 46 </w:t>
      </w:r>
      <w:r w:rsidRPr="00511005">
        <w:rPr>
          <w:rFonts w:ascii="Arial" w:eastAsia="Times New Roman" w:hAnsi="Arial" w:cs="Arial"/>
          <w:szCs w:val="28"/>
          <w:lang w:val="uk-UA" w:eastAsia="ru-RU"/>
        </w:rPr>
        <w:lastRenderedPageBreak/>
        <w:t xml:space="preserve">Європейської конвенції з прав людини, відповідно до якої: Високі Договірні Сторони зобов'язуються виконувати остаточні рішення Суду в будь-яких справах, у яких вони є сторонами. </w:t>
      </w:r>
    </w:p>
    <w:p w14:paraId="124C6FE9" w14:textId="029671E6"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Принцип верховенства права важливий у різних галузях права, але його реалізація має свої особливості залежно від сфери. У конституційному праві він встановлює основи конституційного ладу та забезпечуючи дотримання прав людини шляхом конституційного контролю судів, які перевіряють відповідність законів до Конституції України (ст. 8, 147 Конституції України).У кримінальному праві гарантує законність, заборону зворотної дії закону (крім випадків пом’якшення відповідальності),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презумпцію невинуватості та покарання лише за діяння, що були злочином на момент скоєння та мають склад кримінального правопорушення (ст. 2, 8 КК України). В адміністративному праві він забезпечує право особи на оскарження дій державних органів (ст. 2 КАС України). У цивільному праві верховенство права забезпечує рівність учасників правовідносин (ст. 1 ЦК України), захист права власності, свободу договору, судовий захист прав. </w:t>
      </w:r>
    </w:p>
    <w:p w14:paraId="196E05F4" w14:textId="77777777" w:rsidR="006B07CA" w:rsidRPr="00511005" w:rsidRDefault="006B07CA" w:rsidP="00176B4E">
      <w:pPr>
        <w:spacing w:line="264" w:lineRule="auto"/>
        <w:ind w:right="5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Таким чином, принцип верховенства права є основою стабільності демократичного правопорядку, забезпечуючи баланс між державними інтересами та правами громадян. Він виявляється у всіх сферах права - від конституційного до міжнародного, де особливу роль відіграють дотримання Конституції, законів та виконання міжнародних зобов’язань. </w:t>
      </w:r>
    </w:p>
    <w:p w14:paraId="2CE71FFC" w14:textId="77777777" w:rsidR="006B07CA" w:rsidRPr="00511005" w:rsidRDefault="006B07CA" w:rsidP="003A292D">
      <w:pPr>
        <w:spacing w:line="264" w:lineRule="auto"/>
        <w:ind w:right="57" w:firstLine="0"/>
        <w:jc w:val="center"/>
        <w:rPr>
          <w:rFonts w:ascii="Arial" w:eastAsia="Times New Roman" w:hAnsi="Arial" w:cs="Arial"/>
          <w:b/>
          <w:szCs w:val="28"/>
          <w:lang w:val="uk-UA" w:eastAsia="ru-RU"/>
        </w:rPr>
      </w:pPr>
    </w:p>
    <w:p w14:paraId="39C2BED2" w14:textId="1F15FF0E" w:rsidR="006B07CA" w:rsidRPr="00511005" w:rsidRDefault="007B2628" w:rsidP="007B2628">
      <w:pPr>
        <w:spacing w:line="264" w:lineRule="auto"/>
        <w:ind w:right="57" w:firstLine="0"/>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Список використаних джерел</w:t>
      </w:r>
    </w:p>
    <w:p w14:paraId="7F1F4192"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1. Конституція України : від 28.06.1996 № 254к/96-ВР : станом на 1 січ. 2020 р. URL: https://zakon.rada.gov.ua/laws/show/254к/96-вр#Text</w:t>
      </w:r>
    </w:p>
    <w:p w14:paraId="6D238296"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2. Загальна теорія права: Підручник / За заг. ред. М.І. Козюбри. К.: Ваіте, 2015. – 392 с.</w:t>
      </w:r>
    </w:p>
    <w:p w14:paraId="06559AC6"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 Рішення Конституційного Суду України від 2 листопада 2004 року № 15- URL: https://рп/2004 https://ccu.gov.ua/storinka-knygy/34-verhovenstvo-prava#:~:text </w:t>
      </w:r>
    </w:p>
    <w:p w14:paraId="1D1F4F29"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4. Конвенція про захист прав людини і основоположних свобод : Конвенція Ради Європи від 04.11.1950 : станом на 1 серп. 2021 р. URL: https://zakon.rada.gov.ua/laws/show/995_004#Text </w:t>
      </w:r>
    </w:p>
    <w:p w14:paraId="552C9855"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 Кримінальний кодекс України : Кодекс України від 05.04.2001 № 2341-III : станом на 9 трав. 2025 р. URL: https://zakon.rada.gov.ua/laws/show/2341-14#Text </w:t>
      </w:r>
    </w:p>
    <w:p w14:paraId="2ADCD6D0"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4. Кодекс адміністративного судочинства України : Кодекс України від 06.07.2005 № 2747-IV : станом на 9 квіт. 2025 р. URL: https://zakon.rada.gov.ua/laws/show/2747-15#Text</w:t>
      </w:r>
    </w:p>
    <w:p w14:paraId="7529AC8C" w14:textId="77777777" w:rsidR="006B07CA" w:rsidRPr="00511005" w:rsidRDefault="006B07CA"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5. Цивільний кодекс України : Кодекс України від 16.01.2003 № 435-IV : станом на 9 квіт. 2025 р. URL: https://zakon.rada.gov.ua/laws/show/435-15#Text </w:t>
      </w:r>
    </w:p>
    <w:p w14:paraId="5ACD5F88" w14:textId="77777777" w:rsidR="006B07CA" w:rsidRPr="00511005" w:rsidRDefault="006B07CA" w:rsidP="003A292D">
      <w:pPr>
        <w:spacing w:line="264" w:lineRule="auto"/>
        <w:ind w:right="57" w:firstLine="0"/>
        <w:jc w:val="left"/>
        <w:rPr>
          <w:rFonts w:ascii="Arial" w:eastAsia="Times New Roman" w:hAnsi="Arial" w:cs="Arial"/>
          <w:szCs w:val="28"/>
          <w:lang w:val="uk-UA" w:eastAsia="ru-RU"/>
        </w:rPr>
      </w:pPr>
    </w:p>
    <w:p w14:paraId="13D6DB2C" w14:textId="45531564" w:rsidR="006B07CA" w:rsidRPr="00511005" w:rsidRDefault="007B2628"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6B07CA" w:rsidRPr="00511005">
        <w:rPr>
          <w:rFonts w:ascii="Arial" w:eastAsia="Times New Roman" w:hAnsi="Arial" w:cs="Arial"/>
          <w:szCs w:val="28"/>
          <w:lang w:val="uk-UA" w:eastAsia="ru-RU"/>
        </w:rPr>
        <w:t>верховенство права, права людини, законність, справедливість, судова влада, юридична визначеність, пропорційність, розподіл влади, Європейський суд з прав людини, міжнародне право, правова держава, демократичне суспільство</w:t>
      </w:r>
    </w:p>
    <w:p w14:paraId="34A2D6A4" w14:textId="33928731" w:rsidR="006B07CA" w:rsidRPr="00511005" w:rsidRDefault="007B2628" w:rsidP="003A292D">
      <w:pPr>
        <w:spacing w:line="264" w:lineRule="auto"/>
        <w:ind w:right="57"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6B07CA" w:rsidRPr="00511005">
        <w:rPr>
          <w:rFonts w:ascii="Arial" w:eastAsia="Times New Roman" w:hAnsi="Arial" w:cs="Arial"/>
          <w:szCs w:val="28"/>
          <w:lang w:val="uk-UA" w:eastAsia="ru-RU"/>
        </w:rPr>
        <w:t>rule of law, human rights, legality, justice, judiciary, legal certainty, proportionality, separation of powers, European Court of Human Rights, international law, legal state, democratic society.</w:t>
      </w:r>
    </w:p>
    <w:p w14:paraId="66111922" w14:textId="4637F4AE" w:rsidR="006B07CA" w:rsidRPr="00511005" w:rsidRDefault="007B2628" w:rsidP="003A292D">
      <w:pPr>
        <w:spacing w:line="264" w:lineRule="auto"/>
        <w:ind w:right="57" w:firstLine="0"/>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6B07CA" w:rsidRPr="00511005">
        <w:rPr>
          <w:rFonts w:ascii="Arial" w:eastAsia="Times New Roman" w:hAnsi="Arial" w:cs="Arial"/>
          <w:i/>
          <w:szCs w:val="28"/>
          <w:lang w:val="uk-UA" w:eastAsia="ru-RU"/>
        </w:rPr>
        <w:t>PhD, ст. викладач Іванчук В.Є.</w:t>
      </w:r>
    </w:p>
    <w:p w14:paraId="38FE1919" w14:textId="77777777" w:rsidR="006B07CA" w:rsidRPr="00511005" w:rsidRDefault="006B07CA" w:rsidP="003A292D">
      <w:pPr>
        <w:spacing w:line="264" w:lineRule="auto"/>
        <w:ind w:firstLine="0"/>
        <w:jc w:val="left"/>
        <w:rPr>
          <w:rFonts w:ascii="Arial" w:eastAsia="Calibri" w:hAnsi="Arial" w:cs="Arial"/>
          <w:szCs w:val="28"/>
          <w:lang w:val="uk-UA"/>
        </w:rPr>
      </w:pPr>
    </w:p>
    <w:p w14:paraId="0715B591" w14:textId="77777777" w:rsidR="006B07CA" w:rsidRPr="00511005" w:rsidRDefault="006B07CA" w:rsidP="003A292D">
      <w:pPr>
        <w:spacing w:line="264" w:lineRule="auto"/>
        <w:ind w:firstLine="0"/>
        <w:jc w:val="left"/>
        <w:rPr>
          <w:rFonts w:ascii="Arial" w:eastAsia="Calibri" w:hAnsi="Arial" w:cs="Arial"/>
          <w:szCs w:val="28"/>
          <w:lang w:val="uk-UA"/>
        </w:rPr>
      </w:pPr>
    </w:p>
    <w:p w14:paraId="66E33B37" w14:textId="77777777" w:rsidR="006B07CA" w:rsidRPr="00511005" w:rsidRDefault="006B07CA" w:rsidP="003A292D">
      <w:pPr>
        <w:spacing w:line="264" w:lineRule="auto"/>
        <w:ind w:right="-1" w:firstLine="0"/>
        <w:jc w:val="center"/>
        <w:rPr>
          <w:rFonts w:ascii="Arial" w:eastAsia="Times New Roman" w:hAnsi="Arial" w:cs="Arial"/>
          <w:b/>
          <w:i/>
          <w:szCs w:val="28"/>
          <w:lang w:val="uk-UA" w:eastAsia="ru-RU"/>
        </w:rPr>
      </w:pPr>
      <w:r w:rsidRPr="00511005">
        <w:rPr>
          <w:rFonts w:ascii="Arial" w:eastAsia="Times New Roman" w:hAnsi="Arial" w:cs="Arial"/>
          <w:b/>
          <w:bCs/>
          <w:i/>
          <w:szCs w:val="28"/>
          <w:lang w:val="uk-UA" w:eastAsia="ru-RU"/>
        </w:rPr>
        <w:t>Півторак Анастасія Олександрівна</w:t>
      </w:r>
    </w:p>
    <w:p w14:paraId="6B082E9D" w14:textId="77777777" w:rsidR="00176B4E" w:rsidRPr="00511005" w:rsidRDefault="006B07CA" w:rsidP="003A292D">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1-го курсу </w:t>
      </w:r>
    </w:p>
    <w:p w14:paraId="36638805" w14:textId="49B9769D" w:rsidR="006B07CA" w:rsidRPr="00511005" w:rsidRDefault="006B07CA" w:rsidP="003A292D">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w:t>
      </w:r>
      <w:r w:rsidR="00176B4E" w:rsidRPr="00511005">
        <w:rPr>
          <w:rFonts w:ascii="Arial" w:eastAsia="Times New Roman" w:hAnsi="Arial" w:cs="Arial"/>
          <w:bCs/>
          <w:iCs/>
          <w:szCs w:val="28"/>
          <w:lang w:val="uk-UA" w:eastAsia="ru-RU"/>
        </w:rPr>
        <w:t xml:space="preserve"> (кримінальна юстиція)</w:t>
      </w:r>
    </w:p>
    <w:p w14:paraId="2365F5E5" w14:textId="366DBB09" w:rsidR="006B07CA" w:rsidRPr="00511005" w:rsidRDefault="007B2628" w:rsidP="003A292D">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Національного університету «Одеська юридична академія»</w:t>
      </w:r>
    </w:p>
    <w:p w14:paraId="19971003" w14:textId="77777777" w:rsidR="006B07CA" w:rsidRPr="00511005" w:rsidRDefault="006B07CA" w:rsidP="003A292D">
      <w:pPr>
        <w:spacing w:line="264" w:lineRule="auto"/>
        <w:ind w:right="-1" w:firstLine="0"/>
        <w:jc w:val="center"/>
        <w:rPr>
          <w:rFonts w:ascii="Arial" w:eastAsia="Times New Roman" w:hAnsi="Arial" w:cs="Arial"/>
          <w:bCs/>
          <w:iCs/>
          <w:szCs w:val="28"/>
          <w:lang w:val="uk-UA" w:eastAsia="ru-RU"/>
        </w:rPr>
      </w:pPr>
    </w:p>
    <w:p w14:paraId="7021540B" w14:textId="683E5AE3" w:rsidR="006B07CA" w:rsidRPr="00511005" w:rsidRDefault="006B07CA" w:rsidP="003A292D">
      <w:pPr>
        <w:spacing w:line="264" w:lineRule="auto"/>
        <w:ind w:right="-1" w:firstLine="0"/>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ФОРМУВАННЯ МОДЕЛІ ПРАВОВОЇ ДЕРЖАВИ: ТЕОРІЯ ТА ПРАКТИКА</w:t>
      </w:r>
    </w:p>
    <w:p w14:paraId="49A22BEC" w14:textId="77777777" w:rsidR="006B07CA" w:rsidRPr="00511005" w:rsidRDefault="006B07CA" w:rsidP="003A292D">
      <w:pPr>
        <w:spacing w:line="264" w:lineRule="auto"/>
        <w:ind w:right="-1" w:firstLine="0"/>
        <w:jc w:val="center"/>
        <w:rPr>
          <w:rFonts w:ascii="Arial" w:eastAsia="Times New Roman" w:hAnsi="Arial" w:cs="Arial"/>
          <w:b/>
          <w:iCs/>
          <w:szCs w:val="28"/>
          <w:lang w:val="uk-UA" w:eastAsia="ru-RU"/>
        </w:rPr>
      </w:pPr>
    </w:p>
    <w:p w14:paraId="6D7BD55F"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b/>
          <w:bCs/>
          <w:szCs w:val="28"/>
          <w:lang w:val="uk-UA" w:eastAsia="ru-RU"/>
        </w:rPr>
        <w:t xml:space="preserve">Актуальність теми </w:t>
      </w:r>
      <w:r w:rsidRPr="00511005">
        <w:rPr>
          <w:rFonts w:ascii="Arial" w:eastAsia="Times New Roman" w:hAnsi="Arial" w:cs="Arial"/>
          <w:szCs w:val="28"/>
          <w:lang w:val="uk-UA" w:eastAsia="ru-RU"/>
        </w:rPr>
        <w:t xml:space="preserve">щодо формування та реалізації моделі правової держави на сьогодні полягає в тому, що більшість сучасних країн світу вже характеризують модель своєї держави як правову, не зважаючи на її декларативність. Це, зокрема, пов’язано із основними засадами правової моделі держави, таких як демократичні засади, свобода тощо. </w:t>
      </w:r>
    </w:p>
    <w:p w14:paraId="42B59925"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Протягом довгого історичного періоду формувалась концепція правової держави, суспільство намагалось створити таку модель держави, в якій можливо було б підтримувати баланс прав та свобод громадян, вдосконалити суспільний лад, тощо. Вже у 18 ст. під впливом різних чинників буржуазних революцій, гуманістичної ідеології повноцінно сформувалась концепція правової держави. На сьогодні поняття правової держави є одним з основних серед таких наук, як юриспруденція, політологія, філософія права тощо. </w:t>
      </w:r>
    </w:p>
    <w:p w14:paraId="4BC0EF31" w14:textId="77777777" w:rsidR="006B07CA" w:rsidRPr="00511005" w:rsidRDefault="006B07CA" w:rsidP="006E394F">
      <w:pPr>
        <w:spacing w:line="264" w:lineRule="auto"/>
        <w:rPr>
          <w:rFonts w:ascii="Arial" w:eastAsia="Times New Roman" w:hAnsi="Arial" w:cs="Arial"/>
          <w:caps/>
          <w:szCs w:val="28"/>
          <w:lang w:val="uk-UA" w:eastAsia="ru-RU"/>
        </w:rPr>
      </w:pPr>
      <w:r w:rsidRPr="00511005">
        <w:rPr>
          <w:rFonts w:ascii="Arial" w:eastAsia="Times New Roman" w:hAnsi="Arial" w:cs="Arial"/>
          <w:b/>
          <w:bCs/>
          <w:szCs w:val="28"/>
          <w:lang w:val="uk-UA" w:eastAsia="ru-RU"/>
        </w:rPr>
        <w:t>Виклад основного матеріалу.</w:t>
      </w:r>
      <w:r w:rsidRPr="00511005">
        <w:rPr>
          <w:rFonts w:ascii="Arial" w:eastAsia="Times New Roman" w:hAnsi="Arial" w:cs="Arial"/>
          <w:szCs w:val="28"/>
          <w:lang w:val="uk-UA" w:eastAsia="ru-RU"/>
        </w:rPr>
        <w:t xml:space="preserve"> Становлення концепції правової держави ще з античних часів бере свій початок у працях філософів, юристів таких як: Аристотель, Цицерон, Аврелій Августин, І. Кант, Р. Моль, І. Котляревський тощо. Згодом з цього приводу писали європейські представники суспільно-політичної думки – Дж. Локк та Ш.-Л. Монтеск’є [1, с. 29]. </w:t>
      </w:r>
    </w:p>
    <w:p w14:paraId="43A500F8" w14:textId="2E441AC8"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Аристотель окреслюючи правове середовище у рамках верховенства права у суспільстві наголошував на тому, що «закон повинен владарювати над усім». Марк Тулій Цицерон визначав правовий аспект за народною ініціативою, за прагненням до об’єднання заради спільних інтересів, а також роль держави у забезпеченні свобод людини за об’єктивними, загально </w:t>
      </w:r>
      <w:r w:rsidRPr="00511005">
        <w:rPr>
          <w:rFonts w:ascii="Arial" w:eastAsia="Times New Roman" w:hAnsi="Arial" w:cs="Arial"/>
          <w:szCs w:val="28"/>
          <w:lang w:val="uk-UA" w:eastAsia="ru-RU"/>
        </w:rPr>
        <w:lastRenderedPageBreak/>
        <w:t xml:space="preserve">орієнтованими цілями держави, тобто «Закон – опора того високого становища, яким ми користуємося у державі, основа свободи, джерело правосуддя: розум, душа, мудрість та сутність держави зосереджена у законах». Аврелій Августин критикував рабовласницький стан права стародавнього Риму через зазначення «божественної благодаті», за якої такий стан є неправовим. Іммануїл Кант серед багатьох філософів, за думкою вчених, найширше окреслив основні риси концепції правової держави. Він наголошував на двох умовах існування правового суспільства: наявність закону, якому характерний всезагальний зовнішній примус, а також присутність повної особистої свободи людини. Філософ вказав рамки правової держави зосередженні у взаємодії та залежності громадянського суспільства від правової держави. Вперше термін «правової держави» було згадано у працях німецького вченого Карла Теодора Велькера у 1813 році, а згодом у 1829 році Роберт фон Моль посприяв введенню в обіг зазначеного поняття через працю «Енциклопедія державних наук». Р. Моль виокремлював основоположну ідею права, закладену в концепцію правової держави, через спрямування держави: на забезпечення правопорядку у суспільстві у межах території країни; вплив на реалізацію громадянських прав [1, с. 29]. </w:t>
      </w:r>
    </w:p>
    <w:p w14:paraId="2C22FF97" w14:textId="06596353"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Тобто, саме з філософських витоків починає формуватись поняття «правової держави», що має вияв у її характеристиках. Вчений Самофалов виокремлює взаємозв’язок із законом виконавчих, законодавчих та судових органів. Тобто наголошується на систематизації зв’язків правової, нормативної бази законодавства та суб’єктів правовідносин. П. Рабінович визначає правову державу за механізмом захисту природних прав людини та регуляцію людських прав у функціонуванні із державою. А. Колодій виокремлює принципи, що притаманні правовій державі та вбачає в цьому її сутність, тобто вплив. Виділяються принципи: верховенства права, поділу влади, визнання законних інтересів, притаманних представникам суспільства. Можна дійти висновку, що «правова держава» згідно з підходами різних вчених та філософів становить певну «ідеальну модель» формування, функціонування держави та існування в ній громадянського суспільства, або гармонічної взаємодії держави та суспільства, що ґрунтуються на принципах верховенства права, закону, визнання та гарантування прав людини тощо [2, с. 31]. </w:t>
      </w:r>
    </w:p>
    <w:p w14:paraId="55B400FF"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Щоб зрозуміти сутність моделі правової держави, слід зазначити її основні принципи. До основних принципів, зокрема, відносять «принцип верховенства права», який увів ще британський правник-конституціоналіст А.В. Дайсі у праці «Introduction to the Study of the Law of the Constitution» від 1885 року. За його вченням є два фундаментальні принципи: перший закріплює основи представницької влади, що втілюються через суверенітет </w:t>
      </w:r>
      <w:r w:rsidRPr="00511005">
        <w:rPr>
          <w:rFonts w:ascii="Arial" w:eastAsia="Times New Roman" w:hAnsi="Arial" w:cs="Arial"/>
          <w:szCs w:val="28"/>
          <w:lang w:val="uk-UA" w:eastAsia="ru-RU"/>
        </w:rPr>
        <w:lastRenderedPageBreak/>
        <w:t xml:space="preserve">парламенту у правовій системі Великобританії; другий полягає у верховенстві права, який стримує перший, але не переважає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3, с. 185</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p>
    <w:p w14:paraId="759718DD"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 Козюбра – вітчизняний український вчений, зазначав, що фундаментальним принципом концепції правової держави є підпорядкування правовим засадам державної влади з метою забезпечити захист прав та свобод людини. Тобто повинен існувати механізм обмеження державної влади на користь суспільства, для уникнення всевладдя у державі, що негативно впливає на обсяг прав і свобод людини. У різних країнах зазначений механізм має свої межі впливу та функціонування, що обумовлено багатьма факторами правової системи певної країни. До основних ознак правової держави належать: відповідальність перед законами усіх суб’єктів суспільства в державі, підзвітність державної влади щодо суспільно значущих питань перед громадянами країни; пріоритетність прав людини, рівність усіх перед законом, відкритість, гласність, непорушність честі та гідності, поділ влади, демократичні основи тощо. </w:t>
      </w:r>
    </w:p>
    <w:p w14:paraId="40A1DB82" w14:textId="38393956"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 сьогодні втіленням основних засад моделі правової держави є її визначення та закріплення в нормативних базах країн. Правові держави часто мають демократичний базис функціонування. Тобто, у наданні обсягу прав та свобод людині існує грань, що регулюється відповідними нормами законодавства. Повинен відбуватися баланс між автономною саморегуляцією суспільства та правовими інститутами держави, наприклад, в діяльності органів виконавчої, судової влади відносно громадян держави. Отже, відбувається процес звуження державної влади громадянським суспільством з плином часу та сучасними тенденціями розвитку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4, с. 42</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1C6EE292" w14:textId="413AF796"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Аналізуючи основні концепції «правової держави» визначені вченими, та фактично закріплені у законодавчих базах сучасних розвинутих країн світу, які позиціонують себе як «правові держави», зокрема Швейцарія, Норвегія, Нова Зеландія тощо, потрібно відмітити, що вчені ототожнюють демократичний рівень країни із ступенем розвитку її як «правової держави». Демократизм, що притаманний для концепції правової держави, часто розкривається через принцип «верховенства права» або «верховенства закону». Де факто недосконалість державного механізму має вияв у: зростанні корупції, кількості злочинів та скоєнні інших неправомірних дій окремих частин громадянського суспільства. А також, відсутній баланс між державною владою, правами та свободами суспільства. Реалізація державними органами умов правопорядку та захист прав людини та громадянина в повній мірі не здійснюється. Причиною може бути недостатній контроль за діяльністю посадових осіб наглядових органів, недосконала систематизація роботи правоохоронних органів та інших суб’єктів забезпечення правопорядку.</w:t>
      </w:r>
      <w:r w:rsidR="007B2628" w:rsidRPr="00511005">
        <w:rPr>
          <w:rFonts w:ascii="Arial" w:eastAsia="Times New Roman" w:hAnsi="Arial" w:cs="Arial"/>
          <w:szCs w:val="28"/>
          <w:lang w:val="uk-UA" w:eastAsia="ru-RU"/>
        </w:rPr>
        <w:t xml:space="preserve"> </w:t>
      </w:r>
    </w:p>
    <w:p w14:paraId="64F6B46F" w14:textId="0E391661"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Досі не існує країни, яке відповідає усім вимогам для визначення її, як абсолютно правової держави. Тому що «правова держава» - це ідеальна </w:t>
      </w:r>
      <w:r w:rsidRPr="00511005">
        <w:rPr>
          <w:rFonts w:ascii="Arial" w:eastAsia="Times New Roman" w:hAnsi="Arial" w:cs="Arial"/>
          <w:szCs w:val="28"/>
          <w:lang w:val="uk-UA" w:eastAsia="ru-RU"/>
        </w:rPr>
        <w:lastRenderedPageBreak/>
        <w:t xml:space="preserve">модель побудови механізму, за якою держава взаємодіє із суспільством. Тобто, можна зазначити, що є певний рівень розвитку суспільно-правових відносин, та правової системи країн, до якого прагне суспільство за допомогою постійного вдосконалення правової системи. </w:t>
      </w:r>
    </w:p>
    <w:p w14:paraId="6774E568" w14:textId="3F1C3565" w:rsidR="006B07CA" w:rsidRPr="00511005" w:rsidRDefault="006B07CA" w:rsidP="006E394F">
      <w:pPr>
        <w:spacing w:line="264" w:lineRule="auto"/>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 xml:space="preserve">Висновок. </w:t>
      </w:r>
      <w:r w:rsidRPr="00511005">
        <w:rPr>
          <w:rFonts w:ascii="Arial" w:eastAsia="Times New Roman" w:hAnsi="Arial" w:cs="Arial"/>
          <w:szCs w:val="28"/>
          <w:lang w:val="uk-UA" w:eastAsia="ru-RU"/>
        </w:rPr>
        <w:t>Отже, модель правової держави формується ще з античних часів. Багато філософів та вчених, вивчаючи правові аспекти такої держави вносили доповнення до принципів, вимог та інших елементів зазначеної моделі. Але, фактично, модель «правової держави» носить ідеальний характер, що на теренах практики у повній мірі досі не діє. Із розвитком суспільства, суспільно-правових відносин у державах юристи та компетентні органи намагаються вдосконалити правову систему та створити сприятливі умови до прогресу в усіх сферах життя, зокрема в: економічній, політичній, соціальній, екологічній, тощо. Як наслідок, сучасні країни світу знаходяться у стадії процесу до створення ідеальної моделі «правової держави».</w:t>
      </w:r>
    </w:p>
    <w:p w14:paraId="0A91B3E1" w14:textId="77777777" w:rsidR="006B07CA" w:rsidRPr="00511005" w:rsidRDefault="006B07CA" w:rsidP="003A292D">
      <w:pPr>
        <w:spacing w:line="264" w:lineRule="auto"/>
        <w:ind w:firstLine="0"/>
        <w:rPr>
          <w:rFonts w:ascii="Arial" w:eastAsia="Times New Roman" w:hAnsi="Arial" w:cs="Arial"/>
          <w:b/>
          <w:bCs/>
          <w:szCs w:val="28"/>
          <w:lang w:val="uk-UA" w:eastAsia="ru-RU"/>
        </w:rPr>
      </w:pPr>
    </w:p>
    <w:p w14:paraId="12AE8433" w14:textId="0CEA6418" w:rsidR="006B07CA"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4C125A9D" w14:textId="77777777" w:rsidR="006B07CA" w:rsidRPr="00511005" w:rsidRDefault="006B07CA" w:rsidP="000C392A">
      <w:pPr>
        <w:numPr>
          <w:ilvl w:val="0"/>
          <w:numId w:val="36"/>
        </w:numPr>
        <w:spacing w:line="264" w:lineRule="auto"/>
        <w:ind w:firstLine="700"/>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Касинюк Л.А., Мельник Е.А. Правова держава та проблеми становлення її в Україні. </w:t>
      </w:r>
      <w:r w:rsidRPr="00511005">
        <w:rPr>
          <w:rFonts w:ascii="Arial" w:eastAsia="Times New Roman" w:hAnsi="Arial" w:cs="Arial"/>
          <w:i/>
          <w:iCs/>
          <w:szCs w:val="28"/>
          <w:lang w:val="uk-UA" w:eastAsia="ru-RU"/>
        </w:rPr>
        <w:t>Юридичний науковий електронний журнал</w:t>
      </w:r>
      <w:r w:rsidRPr="00511005">
        <w:rPr>
          <w:rFonts w:ascii="Arial" w:eastAsia="Times New Roman" w:hAnsi="Arial" w:cs="Arial"/>
          <w:szCs w:val="28"/>
          <w:lang w:val="uk-UA" w:eastAsia="ru-RU"/>
        </w:rPr>
        <w:t xml:space="preserve">. 2019. № 6. С. 28-32.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61" w:history="1">
        <w:r w:rsidRPr="00511005">
          <w:rPr>
            <w:rFonts w:ascii="Arial" w:eastAsia="Times New Roman" w:hAnsi="Arial" w:cs="Arial"/>
            <w:szCs w:val="28"/>
            <w:lang w:val="uk-UA" w:eastAsia="ru-RU"/>
          </w:rPr>
          <w:t>http://www.lsej.org.ua/6_2019/6.pdf</w:t>
        </w:r>
      </w:hyperlink>
      <w:r w:rsidRPr="00511005">
        <w:rPr>
          <w:rFonts w:ascii="Arial" w:eastAsia="Times New Roman" w:hAnsi="Arial" w:cs="Arial"/>
          <w:szCs w:val="28"/>
          <w:lang w:val="uk-UA" w:eastAsia="ru-RU"/>
        </w:rPr>
        <w:t>.</w:t>
      </w:r>
    </w:p>
    <w:p w14:paraId="366037B0" w14:textId="77777777" w:rsidR="007B2628" w:rsidRPr="00511005" w:rsidRDefault="006B07CA" w:rsidP="000C392A">
      <w:pPr>
        <w:numPr>
          <w:ilvl w:val="0"/>
          <w:numId w:val="36"/>
        </w:numPr>
        <w:spacing w:line="264" w:lineRule="auto"/>
        <w:ind w:firstLine="700"/>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Сидоркіна Р.Д., Соколов С.А. Правова держава як інструмент втілення інтересів громадянського суспільства в життя. </w:t>
      </w:r>
      <w:r w:rsidRPr="00511005">
        <w:rPr>
          <w:rFonts w:ascii="Arial" w:eastAsia="Times New Roman" w:hAnsi="Arial" w:cs="Arial"/>
          <w:i/>
          <w:iCs/>
          <w:szCs w:val="28"/>
          <w:lang w:val="uk-UA" w:eastAsia="ru-RU"/>
        </w:rPr>
        <w:t>Юридичний електронний журнал</w:t>
      </w:r>
      <w:r w:rsidRPr="00511005">
        <w:rPr>
          <w:rFonts w:ascii="Arial" w:eastAsia="Times New Roman" w:hAnsi="Arial" w:cs="Arial"/>
          <w:szCs w:val="28"/>
          <w:lang w:val="uk-UA" w:eastAsia="ru-RU"/>
        </w:rPr>
        <w:t xml:space="preserve">. 2024. № 9. С. 30-33.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62" w:history="1">
        <w:r w:rsidRPr="00511005">
          <w:rPr>
            <w:rFonts w:ascii="Arial" w:eastAsia="Times New Roman" w:hAnsi="Arial" w:cs="Arial"/>
            <w:szCs w:val="28"/>
            <w:lang w:val="uk-UA" w:eastAsia="ru-RU"/>
          </w:rPr>
          <w:t>http://www.lsej.org.ua/9_2024/8.pdf</w:t>
        </w:r>
      </w:hyperlink>
      <w:r w:rsidRPr="00511005">
        <w:rPr>
          <w:rFonts w:ascii="Arial" w:eastAsia="Times New Roman" w:hAnsi="Arial" w:cs="Arial"/>
          <w:szCs w:val="28"/>
          <w:lang w:val="uk-UA" w:eastAsia="ru-RU"/>
        </w:rPr>
        <w:t xml:space="preserve">. </w:t>
      </w:r>
    </w:p>
    <w:p w14:paraId="4BB09F57" w14:textId="0F1BBE4D" w:rsidR="006B07CA" w:rsidRPr="00511005" w:rsidRDefault="006B07CA" w:rsidP="000C392A">
      <w:pPr>
        <w:numPr>
          <w:ilvl w:val="0"/>
          <w:numId w:val="36"/>
        </w:numPr>
        <w:spacing w:line="264" w:lineRule="auto"/>
        <w:ind w:firstLine="700"/>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Яковлєв А.А. Принципи правової держави та їх забезпечення у розвитку конституційного процесу.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63" w:history="1">
        <w:r w:rsidRPr="00511005">
          <w:rPr>
            <w:rFonts w:ascii="Arial" w:eastAsia="Times New Roman" w:hAnsi="Arial" w:cs="Arial"/>
            <w:szCs w:val="28"/>
            <w:lang w:val="uk-UA" w:eastAsia="ru-RU"/>
          </w:rPr>
          <w:t>https://ndipzir.org.ua/wp-content/uploads/2020/16.11.2020/16.11.2020_35.pdf</w:t>
        </w:r>
      </w:hyperlink>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p>
    <w:p w14:paraId="51DD9729" w14:textId="77777777" w:rsidR="006B07CA" w:rsidRPr="00511005" w:rsidRDefault="006B07CA" w:rsidP="000C392A">
      <w:pPr>
        <w:numPr>
          <w:ilvl w:val="0"/>
          <w:numId w:val="36"/>
        </w:numPr>
        <w:spacing w:line="264" w:lineRule="auto"/>
        <w:ind w:firstLine="700"/>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Косілова О.І. Особливості формування правової держави і громадянського суспільства в сучасній Україні. </w:t>
      </w:r>
      <w:r w:rsidRPr="00511005">
        <w:rPr>
          <w:rFonts w:ascii="Arial" w:eastAsia="Times New Roman" w:hAnsi="Arial" w:cs="Arial"/>
          <w:i/>
          <w:iCs/>
          <w:szCs w:val="28"/>
          <w:lang w:val="uk-UA" w:eastAsia="ru-RU"/>
        </w:rPr>
        <w:t>Інформація і право</w:t>
      </w:r>
      <w:r w:rsidRPr="00511005">
        <w:rPr>
          <w:rFonts w:ascii="Arial" w:eastAsia="Times New Roman" w:hAnsi="Arial" w:cs="Arial"/>
          <w:szCs w:val="28"/>
          <w:lang w:val="uk-UA" w:eastAsia="ru-RU"/>
        </w:rPr>
        <w:t xml:space="preserve">. 2012. Вип. №3(6). С. 40-46.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64" w:history="1">
        <w:r w:rsidRPr="00511005">
          <w:rPr>
            <w:rFonts w:ascii="Arial" w:eastAsia="Times New Roman" w:hAnsi="Arial" w:cs="Arial"/>
            <w:szCs w:val="28"/>
            <w:lang w:val="uk-UA" w:eastAsia="ru-RU"/>
          </w:rPr>
          <w:t>https://ippi.org.ua/sites/default/files/12koissu.pdf</w:t>
        </w:r>
      </w:hyperlink>
      <w:r w:rsidRPr="00511005">
        <w:rPr>
          <w:rFonts w:ascii="Arial" w:eastAsia="Times New Roman" w:hAnsi="Arial" w:cs="Arial"/>
          <w:szCs w:val="28"/>
          <w:lang w:val="uk-UA" w:eastAsia="ru-RU"/>
        </w:rPr>
        <w:t xml:space="preserve">. </w:t>
      </w:r>
    </w:p>
    <w:p w14:paraId="3CFCCF78" w14:textId="77777777" w:rsidR="006B07CA" w:rsidRPr="00511005" w:rsidRDefault="006B07CA" w:rsidP="003A292D">
      <w:pPr>
        <w:spacing w:line="264" w:lineRule="auto"/>
        <w:ind w:firstLine="0"/>
        <w:rPr>
          <w:rFonts w:ascii="Arial" w:eastAsia="Times New Roman" w:hAnsi="Arial" w:cs="Arial"/>
          <w:b/>
          <w:bCs/>
          <w:szCs w:val="28"/>
          <w:lang w:val="uk-UA" w:eastAsia="ru-RU"/>
        </w:rPr>
      </w:pPr>
    </w:p>
    <w:p w14:paraId="49B004B0" w14:textId="04B389AD" w:rsidR="006B07CA" w:rsidRPr="00511005" w:rsidRDefault="007B2628" w:rsidP="003A292D">
      <w:pPr>
        <w:spacing w:line="264" w:lineRule="auto"/>
        <w:ind w:firstLine="0"/>
        <w:rPr>
          <w:rFonts w:ascii="Arial" w:eastAsia="Times New Roman" w:hAnsi="Arial" w:cs="Arial"/>
          <w:b/>
          <w:bCs/>
          <w:szCs w:val="28"/>
          <w:lang w:val="uk-UA" w:eastAsia="ru-RU"/>
        </w:rPr>
      </w:pPr>
      <w:r w:rsidRPr="00511005">
        <w:rPr>
          <w:rFonts w:ascii="Arial" w:eastAsia="Times New Roman" w:hAnsi="Arial" w:cs="Arial"/>
          <w:b/>
          <w:bCs/>
          <w:i/>
          <w:szCs w:val="28"/>
          <w:lang w:val="uk-UA" w:eastAsia="ru-RU"/>
        </w:rPr>
        <w:t xml:space="preserve">Ключові слова: </w:t>
      </w:r>
      <w:r w:rsidR="006B07CA" w:rsidRPr="00511005">
        <w:rPr>
          <w:rFonts w:ascii="Arial" w:eastAsia="Times New Roman" w:hAnsi="Arial" w:cs="Arial"/>
          <w:szCs w:val="28"/>
          <w:lang w:val="uk-UA" w:eastAsia="ru-RU"/>
        </w:rPr>
        <w:t>модель правової держави, верховенство права, верховенство закону, громадянське суспільство, поділ влади, права і свободи людини, правопорядок, законність.</w:t>
      </w:r>
    </w:p>
    <w:p w14:paraId="00B0A277" w14:textId="779B2926" w:rsidR="006B07CA" w:rsidRPr="00511005" w:rsidRDefault="006E394F" w:rsidP="003A292D">
      <w:pPr>
        <w:spacing w:line="264" w:lineRule="auto"/>
        <w:ind w:firstLine="0"/>
        <w:rPr>
          <w:rFonts w:ascii="Arial" w:eastAsia="Times New Roman" w:hAnsi="Arial" w:cs="Arial"/>
          <w:szCs w:val="28"/>
          <w:lang w:val="zh-CN" w:eastAsia="ru-RU"/>
        </w:rPr>
      </w:pPr>
      <w:r w:rsidRPr="00511005">
        <w:rPr>
          <w:rFonts w:ascii="Arial" w:eastAsia="Times New Roman" w:hAnsi="Arial" w:cs="Arial"/>
          <w:b/>
          <w:i/>
          <w:szCs w:val="28"/>
          <w:lang w:val="en-US" w:eastAsia="ru-RU"/>
        </w:rPr>
        <w:t xml:space="preserve">Key words: </w:t>
      </w:r>
      <w:r w:rsidR="006B07CA" w:rsidRPr="00511005">
        <w:rPr>
          <w:rFonts w:ascii="Arial" w:eastAsia="Times New Roman" w:hAnsi="Arial" w:cs="Arial"/>
          <w:szCs w:val="28"/>
          <w:lang w:val="en-US" w:eastAsia="ru-RU"/>
        </w:rPr>
        <w:t>model of the legal state, rule of law, supremacy of the law, civil society, separation of power, human rights and freedoms, legal order, legality</w:t>
      </w:r>
      <w:r w:rsidR="006B07CA" w:rsidRPr="00511005">
        <w:rPr>
          <w:rFonts w:ascii="Arial" w:eastAsia="Times New Roman" w:hAnsi="Arial" w:cs="Arial"/>
          <w:szCs w:val="28"/>
          <w:lang w:val="zh-CN" w:eastAsia="ru-RU"/>
        </w:rPr>
        <w:t>.</w:t>
      </w:r>
    </w:p>
    <w:p w14:paraId="1355707F" w14:textId="3AE10380" w:rsidR="006B07CA" w:rsidRPr="00511005" w:rsidRDefault="007B2628" w:rsidP="003A292D">
      <w:pPr>
        <w:spacing w:line="264" w:lineRule="auto"/>
        <w:ind w:firstLine="0"/>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6B07CA" w:rsidRPr="00511005">
        <w:rPr>
          <w:rFonts w:ascii="Arial" w:eastAsia="Times New Roman" w:hAnsi="Arial" w:cs="Arial"/>
          <w:i/>
          <w:iCs/>
          <w:szCs w:val="28"/>
          <w:lang w:val="uk-UA" w:eastAsia="ru-RU"/>
        </w:rPr>
        <w:t>д.ю.н., професор Мельничук О.С.</w:t>
      </w:r>
    </w:p>
    <w:p w14:paraId="4FC973A1" w14:textId="77777777" w:rsidR="006B07CA" w:rsidRPr="00511005" w:rsidRDefault="006B07CA" w:rsidP="003A292D">
      <w:pPr>
        <w:spacing w:line="264" w:lineRule="auto"/>
        <w:ind w:firstLine="0"/>
        <w:jc w:val="left"/>
        <w:rPr>
          <w:rFonts w:ascii="Arial" w:eastAsia="Times New Roman" w:hAnsi="Arial" w:cs="Arial"/>
          <w:szCs w:val="28"/>
          <w:lang w:val="uk-UA" w:eastAsia="ru-RU"/>
        </w:rPr>
      </w:pPr>
    </w:p>
    <w:p w14:paraId="7E65D55E" w14:textId="77777777" w:rsidR="006B07CA" w:rsidRPr="00511005" w:rsidRDefault="006B07CA" w:rsidP="003A292D">
      <w:pPr>
        <w:spacing w:line="264" w:lineRule="auto"/>
        <w:ind w:firstLine="0"/>
        <w:jc w:val="left"/>
        <w:rPr>
          <w:rFonts w:ascii="Arial" w:eastAsia="Times New Roman" w:hAnsi="Arial" w:cs="Arial"/>
          <w:szCs w:val="28"/>
          <w:lang w:val="uk-UA" w:eastAsia="ru-RU"/>
        </w:rPr>
      </w:pPr>
    </w:p>
    <w:p w14:paraId="23B772A2" w14:textId="77777777" w:rsidR="006B07CA" w:rsidRPr="00511005" w:rsidRDefault="006B07CA"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Півторак Анна Мирославівна</w:t>
      </w:r>
    </w:p>
    <w:p w14:paraId="4FB57184" w14:textId="0496BCCF" w:rsidR="006B07CA" w:rsidRPr="00511005" w:rsidRDefault="00BE3972"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1-го курсу </w:t>
      </w:r>
      <w:r w:rsidR="001B7B25" w:rsidRPr="00511005">
        <w:rPr>
          <w:rFonts w:ascii="Arial" w:eastAsia="Times New Roman" w:hAnsi="Arial" w:cs="Arial"/>
          <w:szCs w:val="28"/>
          <w:lang w:val="uk-UA" w:eastAsia="ru-RU"/>
        </w:rPr>
        <w:t>факультету судового та міжнародного права</w:t>
      </w:r>
      <w:r w:rsidR="006B07CA"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7ED0A56C" w14:textId="77777777" w:rsidR="006B07CA" w:rsidRPr="00511005" w:rsidRDefault="006B07CA" w:rsidP="003A292D">
      <w:pPr>
        <w:keepNext/>
        <w:spacing w:line="264" w:lineRule="auto"/>
        <w:ind w:firstLine="0"/>
        <w:jc w:val="center"/>
        <w:rPr>
          <w:rFonts w:ascii="Arial" w:eastAsia="Times New Roman" w:hAnsi="Arial" w:cs="Arial"/>
          <w:i/>
          <w:szCs w:val="28"/>
          <w:lang w:val="uk-UA" w:eastAsia="ru-RU"/>
        </w:rPr>
      </w:pPr>
    </w:p>
    <w:p w14:paraId="25672396" w14:textId="77777777" w:rsidR="006B07CA" w:rsidRPr="00511005" w:rsidRDefault="006B07CA" w:rsidP="003A292D">
      <w:pPr>
        <w:keepNext/>
        <w:widowControl w:val="0"/>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 xml:space="preserve">ПОГЛЯД НА ФУНКЦІЇ ДЕРЖАВИ </w:t>
      </w:r>
    </w:p>
    <w:p w14:paraId="00CCF502" w14:textId="77777777" w:rsidR="006B07CA" w:rsidRPr="00511005" w:rsidRDefault="006B07CA" w:rsidP="003A292D">
      <w:pPr>
        <w:keepNext/>
        <w:widowControl w:val="0"/>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КРІЗЬ ПРИЗМУ ВОЄННОГО СТАНУ</w:t>
      </w:r>
    </w:p>
    <w:p w14:paraId="51DFF417"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Сучасна реальність, яка передбачає воєнний стан, значно впливає уявлення на процеси функціонування держави. В умовах сучасності держава трансформується, адаптуючи свої механізми до викликів війни, що впливає на її економічні, соціальні, політичні та правові функції. Аналіз функцій держави крізь призму воєнного стану дозволяє розкрити, як вона балансує між забезпеченням стабільності, захистом території, національних інтересів і збереженням демократичних принципів в даних обставинах, невід’ємністю яких є воєнний стан.</w:t>
      </w:r>
    </w:p>
    <w:p w14:paraId="17A3F033"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Для того, щоб розглянути функції держави крізь призму воєнного часу та проаналізувати їх трансформацію слід надати узагальнене визначення терміну «функції держави» та їх перелік. У юридичній науці категорія функцій держави є однією з основоположних, хоч і неоднозначних у своєму визначення. [2, с. 104-105].</w:t>
      </w:r>
    </w:p>
    <w:p w14:paraId="07428B4E"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 загальному розумінні, беручи до уваги плюралізм визначень, функції держави – це сукупність дій, обов’язків та їх реалізації державою, відповідно до її цінностей та прагнень, які докладно характеризують її сутність та орієнтири у її подальшому розвитку. [3, с. 18].</w:t>
      </w:r>
    </w:p>
    <w:p w14:paraId="1EE6DA59"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Функції держави, у своїй суті, постійно змінюються і трансформуються, як природна відповідь на зміни суспільства, його потреб та вимог до держави, та саме значення держави, в цілому, є змінним. «..можемо визначити функції держави як динамічні, властиві конкретному історичному етапу основні напрями діяльності держави, які виражають її сутність і соціальне призначення, покликані реалізовувати управління суспільством і поставлені перед нею цілі та задачі.».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3, с. 20</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195345DA"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для поглиблення розуміння категорії, слід надати їх узагальнену класифікацію. Серед функцій держави можна виділити такий їх перелік: політичну, економічну, соціальну, екологічну, культурну, інформаційну та правоохоронну функції.</w:t>
      </w:r>
    </w:p>
    <w:p w14:paraId="2AAB748B"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Надавши функціям держави базову класифікацію, слід вже враховувати той темп та контекст, у якому вони існують та реалізуються на даний момент, тобто в умовах та крізь призму воєнного стану. Воєнний стан кардинально впливає як на суспільство, та процеси у ньому, він впливає та/або докорінно змінює, низку суспільних відносин, в тому числі і тих, що існують та функціонують у правовому вимірі. </w:t>
      </w:r>
    </w:p>
    <w:p w14:paraId="0EA2C2C1"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Почнемо характеристику та порівняння з політичної функції держави, яка полягає у забезпечення стабільності влади, політичного порядку, управління та контролю державних інститутів. У контексті воєнного стану державна діяльність, яка підпадає під цю функцію, є ускладненою або обмеженою з декількох причин. Для початку слід зазначити неможливість </w:t>
      </w:r>
      <w:r w:rsidRPr="00511005">
        <w:rPr>
          <w:rFonts w:ascii="Arial" w:eastAsia="Times New Roman" w:hAnsi="Arial" w:cs="Arial"/>
          <w:szCs w:val="28"/>
          <w:lang w:val="uk-UA" w:eastAsia="ru-RU"/>
        </w:rPr>
        <w:lastRenderedPageBreak/>
        <w:t>реалізації прямої демократії, тобто виборів, як відповідного інституту народовладдя, через наявність територій зі статусом тимчасово окупованих, та відповідних положень чинного законодавства, ст. 64 Конституції України, що зазначає виборчі права громадян, як ті, які можуть бути обмежені під час воєнного стану. Також забезпечення стабільності влади, політичного порядку та стабільного управління є складним процесом, особливо в умовах наявних загроз національній безпеці.</w:t>
      </w:r>
    </w:p>
    <w:p w14:paraId="151619D1" w14:textId="3916A4E9"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Наступна, не менш важлива у контексті для функціонування держави, економічна функція, що реалізується через регулювання економічних процесів, управління ресурсами, підтримку господарської діяльності та забезпечення фінансової стабільності держави шляхом вдосконалення її економічної політики. У умовах воєнного стану незбіжним наслідком постає економічна криза, яка проявляється багатобічно та впливає на усі сфери життя, відповідно ускладнюючи загальне економічне становище країни та практично унеможливлює його стабілізацію за умов сучасності. Не дивлячись на це, економічна функція є однією з найважливіших в умовах, як воєнного стану, так і мирного часу та потребує особливої уваги, як від держави, так і від суспільства. «Однією</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із</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найвищих</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функцій</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держави, що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визначені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статті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17</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[1],</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разом</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із</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з захистом</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суверенітету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територіальної цілісності України, інформаційної безпеки є забезпечення її економічної безпеки.».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4, с. 41</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0BE92725"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Наступні функції – соціальну та культурну, можна об’єднати за рівнем ускладнення їх забезпечення в умовах воєнного стану. Соціальна функція, що характеризується захистом прав і свобод громадян, надання соціальних послуг, підтримка вразливих верств населення та забезпечення соціальної справедливості, у умовах воєнного стану та нестабільної системи національної безпеки, є однією з найбільш вразливих. Не дивлячись на те, що в умовах сучасності, вона є однією з пріоритетних, але у умовах воєнного стану одночасно різко збільшується потреба її реалізації та ускладнення цієї самої реалізації. Культурна ж функція, характеризується сприянням розвитку культури, збереженням національної ідентичності, підтримкою освіти та мистецтва, їх розвитком та вдосконаленням. Вона, посідає важливе місце у системі функцій держави, але в умовах воєнного стану її реалізація є ускладненою, причиною цього, як і у випадку з соціальною функцією, є загроза безпеці усіх тих, що приймають участь у її реалізації, наприклад, багато викликів постають щодо забезпечення якісного та безперервного навчального процесу у багатьох освітніх закладах України.</w:t>
      </w:r>
    </w:p>
    <w:p w14:paraId="0A8F5D1C"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Екологічна функція, у рамках якої держава забезпечує охорону довкілля, регулювання використання природних ресурсів, запобігання екологічним загрозам. У умовах воєнного стану вже неодноразово було завдано шкоди довколишньому середовищу та природним резервам на території України, що створює потребу їх усунення та фіксації їх, відповідно </w:t>
      </w:r>
      <w:r w:rsidRPr="00511005">
        <w:rPr>
          <w:rFonts w:ascii="Arial" w:eastAsia="Times New Roman" w:hAnsi="Arial" w:cs="Arial"/>
          <w:szCs w:val="28"/>
          <w:lang w:val="uk-UA" w:eastAsia="ru-RU"/>
        </w:rPr>
        <w:lastRenderedPageBreak/>
        <w:t>як екоцид. «Масове знищення рослинного або тваринного світу, отруєння атмосфери або водних ресурсів, а також вчинення інших дій, що можуть спричинити екологічну катастрофу…». [1, стаття 441].</w:t>
      </w:r>
    </w:p>
    <w:p w14:paraId="38F3A429"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Інформаційна функція держави в умовах війни зазнає значних трансформацій, оскільки інформація стає одним із ключових інструментів впливу, мобілізації суспільства та протидії ворожій пропаганді. Ця функція охоплює управління інформаційними потоками, забезпечення інформаційної безпеки, формування наративів, підтримку суспільної єдності та протидію дезінформації. У воєнний час держава адаптує свої інформаційні стратегії, щоб відповідати викликам гібридної війни, кібератак та інформаційно-психологічних операцій. Також дуже важливим елементом забезпечення інформаційної функції в умовах війни є адаптація та активне використання соціальних мереж (Instagram, Telegram, Facebook, </w:t>
      </w:r>
      <w:r w:rsidRPr="00511005">
        <w:rPr>
          <w:rFonts w:ascii="Arial" w:eastAsia="Times New Roman" w:hAnsi="Arial" w:cs="Arial"/>
          <w:szCs w:val="28"/>
          <w:lang w:val="en-US" w:eastAsia="ru-RU"/>
        </w:rPr>
        <w:t>TikTok</w:t>
      </w:r>
      <w:r w:rsidRPr="00511005">
        <w:rPr>
          <w:rFonts w:ascii="Arial" w:eastAsia="Times New Roman" w:hAnsi="Arial" w:cs="Arial"/>
          <w:szCs w:val="28"/>
          <w:lang w:val="uk-UA" w:eastAsia="ru-RU"/>
        </w:rPr>
        <w:t>) для інформування стало унікальним феноменом воєнного стану, що забезпечує пряму комунікацію, оперативне інформування, наприклад, про повітряні тривоги. Але разом з тим інформаційний простір в умовах воєнного стану є вкрай небезпечним через велику кількість недостовірної та спотвореної інформації, яка впливає та вводить в оману велику кількість людей. [5, с. 21].</w:t>
      </w:r>
    </w:p>
    <w:p w14:paraId="75ED7A14"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Правоохоронна функція держави в умовах війни зазнає значних трансформацій, оскільки держава змушена адаптувати свою діяльність до нових викликів, пов’язаних із безпекою, підтримкою правопорядку та захистом національних інтересів. Війна створює умови, які призводять до зростання злочинності, загрози внутрішньої дестабілізації, гібридні атаки та необхідність координації з військовими структурами. У цьому контексті правоохоронна функція держави трансформується в напрямах реорганізації структур, адаптації законодавства, посилення боротьби з внутрішніми та зовнішніми загрозами, а також забезпечення гуманітарної безпеки. [6, с. 83].</w:t>
      </w:r>
    </w:p>
    <w:p w14:paraId="32715285"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Підбиваючи підсумки, можна зі впевненістю сказати, що воєнний стан кардинально трансформує діяльність держави, адаптуючи її до викликів війни. Ця трансформація охоплює політичну, економічну, соціальну, культурну, екологічну, інформаційну та правоохоронну функції, які зазнають змін під впливом зовнішніх і внутрішніх факторів, таких як обмеження конституційних прав, інституційні проблеми та загрози національній безпеці. У воєнний час ці функції зазнають модифікацій через введення правового режиму воєнного стану, що обмежує права громадян і юридичних осіб, а також вимагає адаптації до нових викликів, таких як економічна криза, зростання злочинності чи інформаційні атаки. [7, с. 28-29].</w:t>
      </w:r>
    </w:p>
    <w:p w14:paraId="40777888" w14:textId="77777777" w:rsidR="006B07CA" w:rsidRPr="00511005" w:rsidRDefault="006B07CA" w:rsidP="006E394F">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Трансформація функцій держави в умовах війни є процесом, який відображає її здатність змінюватися у кризових умовах, зберігаючи при цьому свою сутність як соціального та правового інституту, спрямованого на </w:t>
      </w:r>
      <w:r w:rsidRPr="00511005">
        <w:rPr>
          <w:rFonts w:ascii="Arial" w:eastAsia="Times New Roman" w:hAnsi="Arial" w:cs="Arial"/>
          <w:szCs w:val="28"/>
          <w:lang w:val="uk-UA" w:eastAsia="ru-RU"/>
        </w:rPr>
        <w:lastRenderedPageBreak/>
        <w:t>збереження суспільства.</w:t>
      </w:r>
    </w:p>
    <w:p w14:paraId="4257C66F" w14:textId="77777777" w:rsidR="006B07CA" w:rsidRPr="00511005" w:rsidRDefault="006B07CA" w:rsidP="003A292D">
      <w:pPr>
        <w:keepNext/>
        <w:widowControl w:val="0"/>
        <w:spacing w:line="264" w:lineRule="auto"/>
        <w:ind w:firstLine="0"/>
        <w:rPr>
          <w:rFonts w:ascii="Arial" w:eastAsia="Times New Roman" w:hAnsi="Arial" w:cs="Arial"/>
          <w:szCs w:val="28"/>
          <w:lang w:val="uk-UA" w:eastAsia="ru-RU"/>
        </w:rPr>
      </w:pPr>
    </w:p>
    <w:p w14:paraId="3C645FAC" w14:textId="27720C59" w:rsidR="006B07CA" w:rsidRPr="00511005" w:rsidRDefault="007B2628" w:rsidP="007B2628">
      <w:pPr>
        <w:keepNext/>
        <w:widowControl w:val="0"/>
        <w:spacing w:line="264" w:lineRule="auto"/>
        <w:ind w:firstLine="0"/>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71B73108" w14:textId="77777777" w:rsidR="006B07CA" w:rsidRPr="00511005" w:rsidRDefault="006B07CA" w:rsidP="006E394F">
      <w:pPr>
        <w:numPr>
          <w:ilvl w:val="0"/>
          <w:numId w:val="37"/>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Кримінальний кодекс України: станом на 01 лютого 2025 р. Відомості Верховної Ради України. 2001. № 25–26. Ст. 441. URL: </w:t>
      </w:r>
      <w:hyperlink r:id="rId65" w:anchor="Text" w:history="1">
        <w:r w:rsidRPr="00511005">
          <w:rPr>
            <w:rFonts w:ascii="Arial" w:eastAsia="Times New Roman" w:hAnsi="Arial" w:cs="Arial"/>
            <w:szCs w:val="28"/>
            <w:lang w:val="uk-UA" w:eastAsia="ru-RU"/>
          </w:rPr>
          <w:t>https://zakon.rada.gov.ua/laws/show/2341-14#Text</w:t>
        </w:r>
      </w:hyperlink>
    </w:p>
    <w:p w14:paraId="1BE10129" w14:textId="77777777" w:rsidR="006B07CA" w:rsidRPr="00511005" w:rsidRDefault="006B07CA" w:rsidP="006E394F">
      <w:pPr>
        <w:numPr>
          <w:ilvl w:val="0"/>
          <w:numId w:val="37"/>
        </w:numPr>
        <w:spacing w:line="264" w:lineRule="auto"/>
        <w:ind w:left="0" w:firstLine="709"/>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Ткаченко І. Функції держави: проблеми визначення. </w:t>
      </w:r>
      <w:r w:rsidRPr="00511005">
        <w:rPr>
          <w:rFonts w:ascii="Arial" w:eastAsia="Times New Roman" w:hAnsi="Arial" w:cs="Arial"/>
          <w:bCs/>
          <w:i/>
          <w:szCs w:val="28"/>
          <w:lang w:val="uk-UA" w:eastAsia="ru-RU"/>
        </w:rPr>
        <w:t xml:space="preserve">Актуальні проблеми правознавства. </w:t>
      </w:r>
      <w:r w:rsidRPr="00511005">
        <w:rPr>
          <w:rFonts w:ascii="Arial" w:eastAsia="Times New Roman" w:hAnsi="Arial" w:cs="Arial"/>
          <w:bCs/>
          <w:szCs w:val="28"/>
          <w:lang w:val="uk-UA" w:eastAsia="ru-RU"/>
        </w:rPr>
        <w:t xml:space="preserve">2020. № 3(23). С. 102–107. URL: </w:t>
      </w:r>
      <w:hyperlink r:id="rId66" w:history="1">
        <w:r w:rsidRPr="00511005">
          <w:rPr>
            <w:rFonts w:ascii="Arial" w:eastAsia="Times New Roman" w:hAnsi="Arial" w:cs="Arial"/>
            <w:bCs/>
            <w:szCs w:val="28"/>
            <w:lang w:val="uk-UA" w:eastAsia="ru-RU"/>
          </w:rPr>
          <w:t>https://doi.org/10.35774/app2020.03.102</w:t>
        </w:r>
      </w:hyperlink>
    </w:p>
    <w:p w14:paraId="21F6421C" w14:textId="77777777" w:rsidR="006B07CA" w:rsidRPr="00511005" w:rsidRDefault="006B07CA" w:rsidP="006E394F">
      <w:pPr>
        <w:numPr>
          <w:ilvl w:val="0"/>
          <w:numId w:val="37"/>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Марущак О. А. Функції держави: визначення поняття. Держава та регіони. Серія: Право. 2019. № 3(65). С. 17–21. URL: </w:t>
      </w:r>
      <w:hyperlink r:id="rId67" w:history="1">
        <w:r w:rsidRPr="00511005">
          <w:rPr>
            <w:rFonts w:ascii="Arial" w:eastAsia="Times New Roman" w:hAnsi="Arial" w:cs="Arial"/>
            <w:szCs w:val="28"/>
            <w:lang w:val="uk-UA" w:eastAsia="ru-RU"/>
          </w:rPr>
          <w:t>https://doi.org/10.32840/1813-338X-2019-3-3</w:t>
        </w:r>
      </w:hyperlink>
    </w:p>
    <w:p w14:paraId="7F52F932" w14:textId="77777777" w:rsidR="006B07CA" w:rsidRPr="00511005" w:rsidRDefault="006B07CA" w:rsidP="006E394F">
      <w:pPr>
        <w:numPr>
          <w:ilvl w:val="0"/>
          <w:numId w:val="37"/>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rPr>
        <w:t xml:space="preserve">Правдивець О. М. Економічна безпека, як найвища функція держави. </w:t>
      </w:r>
      <w:r w:rsidRPr="00511005">
        <w:rPr>
          <w:rFonts w:ascii="Arial" w:eastAsia="Times New Roman" w:hAnsi="Arial" w:cs="Arial"/>
          <w:i/>
          <w:szCs w:val="28"/>
          <w:lang w:val="en-US"/>
        </w:rPr>
        <w:t>Вчені записки Університету «КРОК»</w:t>
      </w:r>
      <w:r w:rsidRPr="00511005">
        <w:rPr>
          <w:rFonts w:ascii="Arial" w:eastAsia="Times New Roman" w:hAnsi="Arial" w:cs="Arial"/>
          <w:szCs w:val="28"/>
          <w:lang w:val="en-US"/>
        </w:rPr>
        <w:t>. 2022. № 2(66). С. 40–43. URL:</w:t>
      </w:r>
      <w:r w:rsidRPr="00511005">
        <w:rPr>
          <w:rFonts w:ascii="Arial" w:eastAsia="Times New Roman" w:hAnsi="Arial" w:cs="Arial"/>
          <w:szCs w:val="28"/>
          <w:lang w:val="uk-UA"/>
        </w:rPr>
        <w:t xml:space="preserve"> </w:t>
      </w:r>
      <w:hyperlink r:id="rId68" w:history="1">
        <w:r w:rsidRPr="00511005">
          <w:rPr>
            <w:rFonts w:ascii="Arial" w:eastAsia="Times New Roman" w:hAnsi="Arial" w:cs="Arial"/>
            <w:szCs w:val="28"/>
            <w:lang w:val="en-US"/>
          </w:rPr>
          <w:t>https://doi.org/10.31732/2663-2209-2022-66-40-43</w:t>
        </w:r>
      </w:hyperlink>
    </w:p>
    <w:p w14:paraId="2D2EE8E1" w14:textId="77777777" w:rsidR="006B07CA" w:rsidRPr="00511005" w:rsidRDefault="006B07CA" w:rsidP="006E394F">
      <w:pPr>
        <w:numPr>
          <w:ilvl w:val="0"/>
          <w:numId w:val="37"/>
        </w:numPr>
        <w:spacing w:line="264" w:lineRule="auto"/>
        <w:ind w:left="0" w:firstLine="709"/>
        <w:contextualSpacing/>
        <w:rPr>
          <w:rFonts w:ascii="Arial" w:eastAsia="Times New Roman" w:hAnsi="Arial" w:cs="Arial"/>
          <w:bCs/>
          <w:szCs w:val="28"/>
          <w:lang w:val="uk-UA" w:eastAsia="ru-RU"/>
        </w:rPr>
      </w:pPr>
      <w:r w:rsidRPr="00511005">
        <w:rPr>
          <w:rFonts w:ascii="Arial" w:eastAsia="Times New Roman" w:hAnsi="Arial" w:cs="Arial"/>
          <w:szCs w:val="28"/>
          <w:lang w:val="en-US" w:eastAsia="ru-RU"/>
        </w:rPr>
        <w:t xml:space="preserve">Zoska Y., Khomeriki O., Skurtul G., Panchenko S., Gladkykh V., Ostrovska N. Phenomenon of social media during the Russian-Ukrainian war. </w:t>
      </w:r>
      <w:r w:rsidRPr="00511005">
        <w:rPr>
          <w:rFonts w:ascii="Arial" w:eastAsia="Times New Roman" w:hAnsi="Arial" w:cs="Arial"/>
          <w:szCs w:val="28"/>
          <w:lang w:eastAsia="ru-RU"/>
        </w:rPr>
        <w:t xml:space="preserve">AD ALTA: Journal of Interdisciplinary Research. 2023. Vol. 14/01-XLI. 20–23 </w:t>
      </w:r>
      <w:r w:rsidRPr="00511005">
        <w:rPr>
          <w:rFonts w:ascii="Arial" w:eastAsia="Times New Roman" w:hAnsi="Arial" w:cs="Arial"/>
          <w:szCs w:val="28"/>
          <w:lang w:val="en-US" w:eastAsia="ru-RU"/>
        </w:rPr>
        <w:t>p</w:t>
      </w:r>
      <w:r w:rsidRPr="00511005">
        <w:rPr>
          <w:rFonts w:ascii="Arial" w:eastAsia="Times New Roman" w:hAnsi="Arial" w:cs="Arial"/>
          <w:szCs w:val="28"/>
          <w:lang w:eastAsia="ru-RU"/>
        </w:rPr>
        <w:t>.</w:t>
      </w:r>
    </w:p>
    <w:p w14:paraId="7BA8C0FF" w14:textId="77777777" w:rsidR="006B07CA" w:rsidRPr="00511005" w:rsidRDefault="006B07CA" w:rsidP="006E394F">
      <w:pPr>
        <w:numPr>
          <w:ilvl w:val="0"/>
          <w:numId w:val="37"/>
        </w:numPr>
        <w:spacing w:line="264" w:lineRule="auto"/>
        <w:ind w:left="0" w:firstLine="709"/>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Кобзар О. Ф., Романов М. Ю. Особливості реалізації правоохоронної функції держави в умовах дії правового режиму воєнного стану в Україні. </w:t>
      </w:r>
      <w:r w:rsidRPr="00511005">
        <w:rPr>
          <w:rFonts w:ascii="Arial" w:eastAsia="Times New Roman" w:hAnsi="Arial" w:cs="Arial"/>
          <w:bCs/>
          <w:i/>
          <w:szCs w:val="28"/>
          <w:lang w:val="uk-UA" w:eastAsia="ru-RU"/>
        </w:rPr>
        <w:t>Науковий вісник Київського інституту національної гвардії України</w:t>
      </w:r>
      <w:r w:rsidRPr="00511005">
        <w:rPr>
          <w:rFonts w:ascii="Arial" w:eastAsia="Times New Roman" w:hAnsi="Arial" w:cs="Arial"/>
          <w:bCs/>
          <w:szCs w:val="28"/>
          <w:lang w:val="uk-UA" w:eastAsia="ru-RU"/>
        </w:rPr>
        <w:t xml:space="preserve">. 2023. № 2. С. 79–86. URL: </w:t>
      </w:r>
      <w:hyperlink r:id="rId69" w:history="1">
        <w:r w:rsidRPr="00511005">
          <w:rPr>
            <w:rFonts w:ascii="Arial" w:eastAsia="Times New Roman" w:hAnsi="Arial" w:cs="Arial"/>
            <w:bCs/>
            <w:szCs w:val="28"/>
            <w:lang w:val="uk-UA" w:eastAsia="ru-RU"/>
          </w:rPr>
          <w:t>https://doi.org/10.59226/2786-6920.2.2023.79-86</w:t>
        </w:r>
      </w:hyperlink>
    </w:p>
    <w:p w14:paraId="1400FEDC" w14:textId="77777777" w:rsidR="006B07CA" w:rsidRPr="00511005" w:rsidRDefault="006B07CA" w:rsidP="006E394F">
      <w:pPr>
        <w:numPr>
          <w:ilvl w:val="0"/>
          <w:numId w:val="37"/>
        </w:numPr>
        <w:spacing w:line="264" w:lineRule="auto"/>
        <w:ind w:left="0" w:firstLine="709"/>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Мельничук С. М. Функції сучасної держави в умовах воєнного стану. </w:t>
      </w:r>
      <w:r w:rsidRPr="00511005">
        <w:rPr>
          <w:rFonts w:ascii="Arial" w:eastAsia="Times New Roman" w:hAnsi="Arial" w:cs="Arial"/>
          <w:bCs/>
          <w:i/>
          <w:szCs w:val="28"/>
          <w:lang w:val="uk-UA" w:eastAsia="ru-RU"/>
        </w:rPr>
        <w:t>Вісник Луганського навчально-наукового інституту імені Е.О. Дідоренка</w:t>
      </w:r>
      <w:r w:rsidRPr="00511005">
        <w:rPr>
          <w:rFonts w:ascii="Arial" w:eastAsia="Times New Roman" w:hAnsi="Arial" w:cs="Arial"/>
          <w:bCs/>
          <w:szCs w:val="28"/>
          <w:lang w:val="uk-UA" w:eastAsia="ru-RU"/>
        </w:rPr>
        <w:t xml:space="preserve">. 2023. № 1. С. 23–35. URL: </w:t>
      </w:r>
      <w:hyperlink r:id="rId70" w:history="1">
        <w:r w:rsidRPr="00511005">
          <w:rPr>
            <w:rFonts w:ascii="Arial" w:eastAsia="Times New Roman" w:hAnsi="Arial" w:cs="Arial"/>
            <w:bCs/>
            <w:szCs w:val="28"/>
            <w:lang w:val="uk-UA" w:eastAsia="ru-RU"/>
          </w:rPr>
          <w:t>https://doi.org/10.33766/2524-0323.101.23-35</w:t>
        </w:r>
      </w:hyperlink>
    </w:p>
    <w:p w14:paraId="053DFA18" w14:textId="77777777" w:rsidR="006B07CA" w:rsidRPr="00511005" w:rsidRDefault="006B07CA" w:rsidP="003A292D">
      <w:pPr>
        <w:spacing w:line="264" w:lineRule="auto"/>
        <w:ind w:firstLine="0"/>
        <w:contextualSpacing/>
        <w:rPr>
          <w:rFonts w:ascii="Arial" w:eastAsia="Times New Roman" w:hAnsi="Arial" w:cs="Arial"/>
          <w:bCs/>
          <w:szCs w:val="28"/>
          <w:lang w:val="uk-UA" w:eastAsia="ru-RU"/>
        </w:rPr>
      </w:pPr>
    </w:p>
    <w:p w14:paraId="35B018BA" w14:textId="2A869599" w:rsidR="006B07CA" w:rsidRPr="00511005" w:rsidRDefault="007B2628" w:rsidP="003A292D">
      <w:pPr>
        <w:keepNext/>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6B07CA" w:rsidRPr="00511005">
        <w:rPr>
          <w:rFonts w:ascii="Arial" w:eastAsia="Times New Roman" w:hAnsi="Arial" w:cs="Arial"/>
          <w:szCs w:val="28"/>
          <w:lang w:val="uk-UA" w:eastAsia="ru-RU"/>
        </w:rPr>
        <w:t xml:space="preserve">війна, воєнний стан, загальна теорія держави, теорія держави, держава, функції держави, трансформація, суспільні потреби, міжнародні відносини, безпека. </w:t>
      </w:r>
    </w:p>
    <w:p w14:paraId="3FB15F47" w14:textId="5580D0DC" w:rsidR="006B07CA" w:rsidRPr="00511005" w:rsidRDefault="007B2628" w:rsidP="003A292D">
      <w:pPr>
        <w:keepNext/>
        <w:spacing w:line="264" w:lineRule="auto"/>
        <w:ind w:firstLine="0"/>
        <w:rPr>
          <w:rFonts w:ascii="Arial" w:eastAsia="Times New Roman" w:hAnsi="Arial" w:cs="Arial"/>
          <w:bCs/>
          <w:szCs w:val="28"/>
          <w:lang w:val="en-US" w:eastAsia="ru-RU"/>
        </w:rPr>
      </w:pPr>
      <w:r w:rsidRPr="00511005">
        <w:rPr>
          <w:rFonts w:ascii="Arial" w:eastAsia="Times New Roman" w:hAnsi="Arial" w:cs="Arial"/>
          <w:b/>
          <w:i/>
          <w:szCs w:val="28"/>
          <w:lang w:val="en-US" w:eastAsia="ru-RU"/>
        </w:rPr>
        <w:t xml:space="preserve">Key words: </w:t>
      </w:r>
      <w:r w:rsidR="006B07CA" w:rsidRPr="00511005">
        <w:rPr>
          <w:rFonts w:ascii="Arial" w:eastAsia="Times New Roman" w:hAnsi="Arial" w:cs="Arial"/>
          <w:bCs/>
          <w:szCs w:val="28"/>
          <w:lang w:val="en-US" w:eastAsia="ru-RU"/>
        </w:rPr>
        <w:t>war</w:t>
      </w:r>
      <w:r w:rsidR="006B07CA" w:rsidRPr="00511005">
        <w:rPr>
          <w:rFonts w:ascii="Arial" w:eastAsia="Times New Roman" w:hAnsi="Arial" w:cs="Arial"/>
          <w:bCs/>
          <w:szCs w:val="28"/>
          <w:lang w:val="uk-UA" w:eastAsia="ru-RU"/>
        </w:rPr>
        <w:t xml:space="preserve">, </w:t>
      </w:r>
      <w:r w:rsidR="006B07CA" w:rsidRPr="00511005">
        <w:rPr>
          <w:rFonts w:ascii="Arial" w:eastAsia="Times New Roman" w:hAnsi="Arial" w:cs="Arial"/>
          <w:bCs/>
          <w:szCs w:val="28"/>
          <w:lang w:val="en-US" w:eastAsia="ru-RU"/>
        </w:rPr>
        <w:t>martial law, general theory of the state, theory of the state, state, functions of the state, transformation, societal needs, international relations, security.</w:t>
      </w:r>
    </w:p>
    <w:p w14:paraId="12A0FA1E" w14:textId="4DFD1C35" w:rsidR="006B07CA" w:rsidRPr="00511005" w:rsidRDefault="007B2628" w:rsidP="003A292D">
      <w:pPr>
        <w:keepNext/>
        <w:spacing w:line="264" w:lineRule="auto"/>
        <w:ind w:firstLine="0"/>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6B07CA" w:rsidRPr="00511005">
        <w:rPr>
          <w:rFonts w:ascii="Arial" w:eastAsia="Times New Roman" w:hAnsi="Arial" w:cs="Arial"/>
          <w:bCs/>
          <w:i/>
          <w:iCs/>
          <w:szCs w:val="28"/>
          <w:lang w:val="uk-UA" w:eastAsia="ru-RU"/>
        </w:rPr>
        <w:t>к.ю.н., доцент Чувакова Г.М.</w:t>
      </w:r>
    </w:p>
    <w:p w14:paraId="44A803C6" w14:textId="77777777" w:rsidR="006B07CA" w:rsidRPr="00511005" w:rsidRDefault="006B07CA" w:rsidP="003A292D">
      <w:pPr>
        <w:keepNext/>
        <w:spacing w:line="264" w:lineRule="auto"/>
        <w:ind w:firstLine="0"/>
        <w:rPr>
          <w:rFonts w:ascii="Arial" w:eastAsia="Times New Roman" w:hAnsi="Arial" w:cs="Arial"/>
          <w:bCs/>
          <w:i/>
          <w:iCs/>
          <w:szCs w:val="28"/>
          <w:lang w:val="uk-UA" w:eastAsia="ru-RU"/>
        </w:rPr>
      </w:pPr>
    </w:p>
    <w:p w14:paraId="7CA5A994" w14:textId="77777777" w:rsidR="006B07CA" w:rsidRPr="00511005" w:rsidRDefault="006B07CA" w:rsidP="003A292D">
      <w:pPr>
        <w:keepNext/>
        <w:spacing w:line="264" w:lineRule="auto"/>
        <w:ind w:firstLine="0"/>
        <w:rPr>
          <w:rFonts w:ascii="Arial" w:eastAsia="Times New Roman" w:hAnsi="Arial" w:cs="Arial"/>
          <w:bCs/>
          <w:iCs/>
          <w:szCs w:val="28"/>
          <w:lang w:val="uk-UA" w:eastAsia="ru-RU"/>
        </w:rPr>
      </w:pPr>
    </w:p>
    <w:p w14:paraId="7A678D1F" w14:textId="77777777" w:rsidR="006B07CA" w:rsidRPr="00511005" w:rsidRDefault="006B07CA"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Прокопчук Вікторія Сергіївна</w:t>
      </w:r>
    </w:p>
    <w:p w14:paraId="719DCFED" w14:textId="69825D34" w:rsidR="006B07CA"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1-го курсу факультету цивільної та господарської юстиції</w:t>
      </w:r>
    </w:p>
    <w:p w14:paraId="4E3EA611" w14:textId="07B1A301" w:rsidR="006B07CA" w:rsidRPr="00511005" w:rsidRDefault="00BE3972"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475B477" w14:textId="77777777" w:rsidR="006B07CA" w:rsidRPr="00511005" w:rsidRDefault="006B07CA" w:rsidP="003A292D">
      <w:pPr>
        <w:spacing w:line="264" w:lineRule="auto"/>
        <w:ind w:firstLine="0"/>
        <w:jc w:val="center"/>
        <w:rPr>
          <w:rFonts w:ascii="Arial" w:eastAsia="Calibri" w:hAnsi="Arial" w:cs="Arial"/>
          <w:b/>
          <w:caps/>
          <w:szCs w:val="28"/>
          <w:lang w:val="uk-UA"/>
        </w:rPr>
      </w:pPr>
    </w:p>
    <w:p w14:paraId="42990E59" w14:textId="77777777" w:rsidR="006B07CA" w:rsidRPr="00511005" w:rsidRDefault="006B07CA" w:rsidP="003A292D">
      <w:pPr>
        <w:spacing w:line="264" w:lineRule="auto"/>
        <w:ind w:firstLine="0"/>
        <w:jc w:val="center"/>
        <w:rPr>
          <w:rFonts w:ascii="Arial" w:eastAsia="Calibri" w:hAnsi="Arial" w:cs="Arial"/>
          <w:b/>
          <w:caps/>
          <w:szCs w:val="28"/>
          <w:lang w:val="uk-UA"/>
        </w:rPr>
      </w:pPr>
      <w:r w:rsidRPr="00511005">
        <w:rPr>
          <w:rFonts w:ascii="Arial" w:eastAsia="Calibri" w:hAnsi="Arial" w:cs="Arial"/>
          <w:b/>
          <w:caps/>
          <w:szCs w:val="28"/>
          <w:lang w:val="uk-UA"/>
        </w:rPr>
        <w:lastRenderedPageBreak/>
        <w:t>Естетичне буття сучасної держави: правове регулювання державних символів України</w:t>
      </w:r>
    </w:p>
    <w:p w14:paraId="04C8535D" w14:textId="77777777"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Державна символіка є невід’ємною складовою національної ідентичності та суверенітету держави. Державні символи мають глибоке значення для кожної нації, бо вони є уособленням її історії, національної гідності, культурної спадщини та суверенітету. Це не просто офіційні атрибути, а символізація єдності народу, його прагнення до свободи, державного самовизначення та незалежності. Вони мають суттєве значення не лише всередині країни, а й на міжнародній арені, де вони виконують роль офіційних маркерів суверенітету та визнання держави. Національні символи використовуються у дипломатичних відносинах, міждержавних документах, на міжнародних заходах як візуальні прояви державної ідентичності.</w:t>
      </w:r>
    </w:p>
    <w:p w14:paraId="1432C0E6" w14:textId="77777777"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 xml:space="preserve">Суддя Конституційного суду України Н. Шаптала даючи визначення поняттю </w:t>
      </w:r>
      <w:r w:rsidRPr="00511005">
        <w:rPr>
          <w:rFonts w:ascii="Arial" w:eastAsia="Calibri" w:hAnsi="Arial" w:cs="Arial"/>
          <w:szCs w:val="28"/>
        </w:rPr>
        <w:t>“</w:t>
      </w:r>
      <w:r w:rsidRPr="00511005">
        <w:rPr>
          <w:rFonts w:ascii="Arial" w:eastAsia="Calibri" w:hAnsi="Arial" w:cs="Arial"/>
          <w:szCs w:val="28"/>
          <w:lang w:val="uk-UA"/>
        </w:rPr>
        <w:t>державні символи</w:t>
      </w:r>
      <w:r w:rsidRPr="00511005">
        <w:rPr>
          <w:rFonts w:ascii="Arial" w:eastAsia="Calibri" w:hAnsi="Arial" w:cs="Arial"/>
          <w:szCs w:val="28"/>
        </w:rPr>
        <w:t>”</w:t>
      </w:r>
      <w:r w:rsidRPr="00511005">
        <w:rPr>
          <w:rFonts w:ascii="Arial" w:eastAsia="Calibri" w:hAnsi="Arial" w:cs="Arial"/>
          <w:szCs w:val="28"/>
          <w:lang w:val="uk-UA"/>
        </w:rPr>
        <w:t xml:space="preserve"> зазначає, що науковці розуміють це поняття по різному. Одні розуміють його як закріплені в конституційному праві офіційні знаки (зображення, предмети) чи звукові вираження, що в лаконічній формі відображають національно-державні та історико-культурні ідеї українського народу, символізують суверенітет його держави. Інші в свою чергу визначають “державні символи” як спеціальні позначення, що є засобом офіційного представництва держави у внутрішніх і зовнішніх відносинах, у зв’язку з чим перебувають під особливою охороною держави. [</w:t>
      </w:r>
      <w:r w:rsidRPr="00511005">
        <w:rPr>
          <w:rFonts w:ascii="Arial" w:eastAsia="Calibri" w:hAnsi="Arial" w:cs="Arial"/>
          <w:szCs w:val="28"/>
        </w:rPr>
        <w:t>1</w:t>
      </w:r>
      <w:r w:rsidRPr="00511005">
        <w:rPr>
          <w:rFonts w:ascii="Arial" w:eastAsia="Calibri" w:hAnsi="Arial" w:cs="Arial"/>
          <w:szCs w:val="28"/>
          <w:lang w:val="uk-UA"/>
        </w:rPr>
        <w:t xml:space="preserve">, </w:t>
      </w:r>
      <w:r w:rsidRPr="00511005">
        <w:rPr>
          <w:rFonts w:ascii="Arial" w:eastAsia="Calibri" w:hAnsi="Arial" w:cs="Arial"/>
          <w:szCs w:val="28"/>
          <w:lang w:val="en-US"/>
        </w:rPr>
        <w:t>c</w:t>
      </w:r>
      <w:r w:rsidRPr="00511005">
        <w:rPr>
          <w:rFonts w:ascii="Arial" w:eastAsia="Calibri" w:hAnsi="Arial" w:cs="Arial"/>
          <w:szCs w:val="28"/>
          <w:lang w:val="uk-UA"/>
        </w:rPr>
        <w:t>.110-111].</w:t>
      </w:r>
    </w:p>
    <w:p w14:paraId="7A1EEE2D" w14:textId="77777777"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Професорка Елла Мамонтова у своїй праці сукупність державних символів пропонує використовувати для позначення системи державних символів термін “символічний комплекс атрибуції”. [</w:t>
      </w:r>
      <w:r w:rsidRPr="00511005">
        <w:rPr>
          <w:rFonts w:ascii="Arial" w:eastAsia="Calibri" w:hAnsi="Arial" w:cs="Arial"/>
          <w:szCs w:val="28"/>
        </w:rPr>
        <w:t>2</w:t>
      </w:r>
      <w:r w:rsidRPr="00511005">
        <w:rPr>
          <w:rFonts w:ascii="Arial" w:eastAsia="Calibri" w:hAnsi="Arial" w:cs="Arial"/>
          <w:szCs w:val="28"/>
          <w:lang w:val="uk-UA"/>
        </w:rPr>
        <w:t>, c.19]. Авторка відносить до нього державні прапор, герб та гімн. Вважаю, що цей список доречно доповнити Конституцією, яка є Основним Законом держави і становить її правову основу існування; офіційною мовою, бо вона є важливим елементом культурної ідентичності. Також можна додати грошову одиницю, як економічний символ державної самостійності, державні свята, військову символіку, офіційні документи та печатки. Усі вище зазначені елементи уособлюють ідентичність, суверенітет та правову цілісність держави, зміцнюють її авторитет як серед свого народу, так і на міжнародному рівні.</w:t>
      </w:r>
    </w:p>
    <w:p w14:paraId="0FA41E26" w14:textId="77777777"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 xml:space="preserve">Одним з основних державних символів є Державний Прапор. Сучасний вигляд українського прапора, із його глибоким історичним корінням, символізує чисте блакитне небо та безкраї пшеничні поля, що є невід’ємною частиною національної ідентичності українців. Офіційне затвердження Державного Прапора України відбулося відповідно до Постанови Верховної Ради України від 28 січня 1992 року. </w:t>
      </w:r>
    </w:p>
    <w:p w14:paraId="26255D91" w14:textId="748CAB55"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 xml:space="preserve">Герб України – славнозвісний тризуб – бере свій початок ще з княжої епохи. Знак Княжої Держави Володимира Великого став тим фундаментом, на якому базується малий Державний Герб України, а також є елементом </w:t>
      </w:r>
      <w:r w:rsidRPr="00511005">
        <w:rPr>
          <w:rFonts w:ascii="Arial" w:eastAsia="Calibri" w:hAnsi="Arial" w:cs="Arial"/>
          <w:szCs w:val="28"/>
          <w:lang w:val="uk-UA"/>
        </w:rPr>
        <w:lastRenderedPageBreak/>
        <w:t>великого герба нашої країни. Стаття 20 Конституції України закріплює, що Великий Державний герб України</w:t>
      </w:r>
      <w:r w:rsidR="007B2628" w:rsidRPr="00511005">
        <w:rPr>
          <w:rFonts w:ascii="Arial" w:eastAsia="Calibri" w:hAnsi="Arial" w:cs="Arial"/>
          <w:szCs w:val="28"/>
          <w:lang w:val="uk-UA"/>
        </w:rPr>
        <w:t xml:space="preserve"> </w:t>
      </w:r>
      <w:r w:rsidRPr="00511005">
        <w:rPr>
          <w:rFonts w:ascii="Arial" w:eastAsia="Calibri" w:hAnsi="Arial" w:cs="Arial"/>
          <w:szCs w:val="28"/>
          <w:shd w:val="clear" w:color="auto" w:fill="FFFFFF"/>
          <w:lang w:val="uk-UA"/>
        </w:rPr>
        <w:t xml:space="preserve">встановлюється з урахуванням малого Державного Герба України та герба Війська Запорізького законом. </w:t>
      </w:r>
      <w:r w:rsidRPr="00511005">
        <w:rPr>
          <w:rFonts w:ascii="Arial" w:eastAsia="Calibri" w:hAnsi="Arial" w:cs="Arial"/>
          <w:szCs w:val="28"/>
          <w:shd w:val="clear" w:color="auto" w:fill="FFFFFF"/>
        </w:rPr>
        <w:t>[3].</w:t>
      </w:r>
      <w:r w:rsidRPr="00511005">
        <w:rPr>
          <w:rFonts w:ascii="Arial" w:eastAsia="Calibri" w:hAnsi="Arial" w:cs="Arial"/>
          <w:szCs w:val="28"/>
          <w:shd w:val="clear" w:color="auto" w:fill="FFFFFF"/>
          <w:lang w:val="uk-UA"/>
        </w:rPr>
        <w:t xml:space="preserve"> У 2021 році була остання на сьогодні спроба на законодавчому рівні закріпити Великий Державний герб. Президентом України було внесено Проект Закону України про Великий Державний герб, який </w:t>
      </w:r>
      <w:r w:rsidRPr="00511005">
        <w:rPr>
          <w:rFonts w:ascii="Arial" w:eastAsia="Calibri" w:hAnsi="Arial" w:cs="Arial"/>
          <w:szCs w:val="28"/>
          <w:lang w:val="uk-UA"/>
        </w:rPr>
        <w:t>відповідно до Конституції України встановлював би опис великого Державного Герба України та визначав би порядок його використання. Закон не був прийнятий через дискусії щодо доцільності створення Великого Герба при наявності усталеного малого(тризуба), що вже сприймається суспільством як повноцінний державний символ. Малий Державний Герб України було офіційно затверджено Постановою Верховної Ради України від 19 лютого 1992 року.</w:t>
      </w:r>
    </w:p>
    <w:p w14:paraId="02833B47" w14:textId="77777777"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Національним гімном України є пісня "Ще не вмерла Україна", музику до якої написав Михайло Вербицький, а слова – Павло Чубинський. Уперше цей твір було опубліковано у 1863 році, і він швидко здобув широку популярність та визнання серед українців. З плином часу гімн став символом боротьби за незалежність та уособленням національної єдності. Закон України "Про Державний Гімн України" було ухвалено 6 березня 2003 року, в якому зафіксовано музичну редакцію та офіційний текст гімну. На думку П. Стецюка, прийняттям цього закону, в основному завершено процес установлення державних символів України. [</w:t>
      </w:r>
      <w:r w:rsidRPr="00511005">
        <w:rPr>
          <w:rFonts w:ascii="Arial" w:eastAsia="Calibri" w:hAnsi="Arial" w:cs="Arial"/>
          <w:szCs w:val="28"/>
        </w:rPr>
        <w:t>4</w:t>
      </w:r>
      <w:r w:rsidRPr="00511005">
        <w:rPr>
          <w:rFonts w:ascii="Arial" w:eastAsia="Calibri" w:hAnsi="Arial" w:cs="Arial"/>
          <w:szCs w:val="28"/>
          <w:lang w:val="uk-UA"/>
        </w:rPr>
        <w:t>, c.108].</w:t>
      </w:r>
    </w:p>
    <w:p w14:paraId="7F85BDB9" w14:textId="3770C012"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Стаття 20 Конституції України визначає як державні символи України Державний Прапор, Державний Герб та Державний Гімн. [3]. Проте,</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Головченко В. В. та Потьомкін А. О. зазначають, що незважаючи на це конституційне закріплення, в Україні досі відсутні спеціальні закони, які б регулювали порядок використання та захисту цих символів. [</w:t>
      </w:r>
      <w:r w:rsidRPr="00511005">
        <w:rPr>
          <w:rFonts w:ascii="Arial" w:eastAsia="Calibri" w:hAnsi="Arial" w:cs="Arial"/>
          <w:szCs w:val="28"/>
        </w:rPr>
        <w:t>5</w:t>
      </w:r>
      <w:r w:rsidRPr="00511005">
        <w:rPr>
          <w:rFonts w:ascii="Arial" w:eastAsia="Calibri" w:hAnsi="Arial" w:cs="Arial"/>
          <w:szCs w:val="28"/>
          <w:lang w:val="uk-UA"/>
        </w:rPr>
        <w:t>, с. 150]. У 2016 році депутатами Верховної Ради України була здійснена спроба створити повністю присвячений державним символам України закон. До Верховної Ради був внесений Проект Закону про державні символи України, порядок їх використання та захисту. Законопроект детально та чітко регулював абсолютно всі аспекти щодо державних символів у багатьох сферах суспільного життя, починаючи від опису державних символів, закінчуючи особливостями процедури трансляції Державного гімну України телерадіоорганізаціями. Проте, нажаль, законопроект було знято з розгляду. Варто наголосити, що ігнорування створення подібного закону законодавцями протягом багатьох років призводить до проявів неповаги до державних символів з боку певних громадян, що є неприпустимим у правовій державі.</w:t>
      </w:r>
    </w:p>
    <w:p w14:paraId="48CC657C" w14:textId="3FCDC514"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 xml:space="preserve">Якщо казати про проблеми правового регулювання державних символів, тобто їх використання та захист, то їх достатньо багато. До прикладу, наявні Постанови Верховної Ради щодо затвердження прапора та </w:t>
      </w:r>
      <w:r w:rsidRPr="00511005">
        <w:rPr>
          <w:rFonts w:ascii="Arial" w:eastAsia="Calibri" w:hAnsi="Arial" w:cs="Arial"/>
          <w:szCs w:val="28"/>
          <w:lang w:val="uk-UA"/>
        </w:rPr>
        <w:lastRenderedPageBreak/>
        <w:t>герба носять переважно описовий характер, і не містять норм, які регулюють порядок їх використання чи встановлюють механізми правового захисту. [6, c.89]. Схожа ситуація і з Законом України "Про Державний Гімн України", який хоч і відповідає вимогам Конституції щодо форми, проте не вирішує питань, пов’язаних з його використанням, виконанням та правовим захистом від наруги. Проте, якщо ми звернемось до Кримінального кодексу України, то побачимо, що в частині 1 статті 338 передбачена кримінальна відповідальність лише за публічну наругу над Державним Прапором України та Державним Гімном України. [6, с.90]. Проблемою є</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невизначеність дій, які можуть бути кваліфіковані як наруга, що, ускладнює процес застосування цієї норми та притягнення винних осіб до відповідальності. </w:t>
      </w:r>
    </w:p>
    <w:p w14:paraId="645E1997" w14:textId="77777777"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 xml:space="preserve">Суттєвим викликом є також цифрова трансформація простору. Наруга над державними символами часто набуває форми сатиричних зображень чи відео в соцмережах. Цифрове середовище створює додаткові проблеми: анонімність користувачів, розміщення контенту на закордонних платформах, технічна складність ідентифікації правопорушників. Звичні всім механізми правового захисту в таких умовах є малоефективними, а українське законодавство потребує адаптації до сьогодення. </w:t>
      </w:r>
    </w:p>
    <w:p w14:paraId="0908A401" w14:textId="77777777"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Окремої уваги потребує сфера їхнього комерційного та публічного використання. В Україні фактично не існує чітких правил, які б регулювали застосування символів на товарах, у рекламі тощо. Це призводить до принижуючого чи недоречного використання, що знецінює їх сакральне значення.</w:t>
      </w:r>
    </w:p>
    <w:p w14:paraId="2B886E4A" w14:textId="77777777"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Проблемою лишається низький рівень правової та патріотичної культури. Частіше за все громадяни навіть не знають елементарних правил поводження з символікою. До прикладу, як правильно виконувати гімн, що робити при підняття прапора чи як утилізувати пошкоджений символ. Можна сказати, що у навчальних закладах відсутня робота щодо виховання поваги до національних символів. Через це символи часто сприймаються як щось повсякденне чи навіть непотрібне.</w:t>
      </w:r>
    </w:p>
    <w:p w14:paraId="2BFBE201" w14:textId="77777777"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Відсутність чіткого законодавства щодо порядку використання державних символів призводить до правової невизначеності та ускладнює процес їх належного захисту. Як вказують Головченко В. В. та Потьомкін А. О., за відсутності чіткої диспозиції та роз'яснень, неможливо кваліфікувати певні дії як правопорушення. [</w:t>
      </w:r>
      <w:r w:rsidRPr="00511005">
        <w:rPr>
          <w:rFonts w:ascii="Arial" w:eastAsia="Calibri" w:hAnsi="Arial" w:cs="Arial"/>
          <w:szCs w:val="28"/>
        </w:rPr>
        <w:t>5</w:t>
      </w:r>
      <w:r w:rsidRPr="00511005">
        <w:rPr>
          <w:rFonts w:ascii="Arial" w:eastAsia="Calibri" w:hAnsi="Arial" w:cs="Arial"/>
          <w:szCs w:val="28"/>
          <w:lang w:val="uk-UA"/>
        </w:rPr>
        <w:t xml:space="preserve">, с. 151]. Слід також вказати на те, що в українському законодавстві і досі не прийнято закони, які б чітко визначали порядок використання державних символів, місця їх розміщення, правила відтворення, а також встановлювали б відповідальність за порушення встановлених правил та зловживання державними символами. </w:t>
      </w:r>
    </w:p>
    <w:p w14:paraId="791A0106" w14:textId="77777777" w:rsidR="006B07CA" w:rsidRPr="00511005" w:rsidRDefault="006B07CA" w:rsidP="006E394F">
      <w:pPr>
        <w:spacing w:line="264" w:lineRule="auto"/>
        <w:rPr>
          <w:rFonts w:ascii="Arial" w:eastAsia="Calibri" w:hAnsi="Arial" w:cs="Arial"/>
          <w:szCs w:val="28"/>
          <w:lang w:val="uk-UA"/>
        </w:rPr>
      </w:pPr>
      <w:r w:rsidRPr="00511005">
        <w:rPr>
          <w:rFonts w:ascii="Arial" w:eastAsia="Calibri" w:hAnsi="Arial" w:cs="Arial"/>
          <w:szCs w:val="28"/>
          <w:lang w:val="uk-UA"/>
        </w:rPr>
        <w:t xml:space="preserve">Отже, з вище сказаного можна зробити висновок, що державні символи мають надзвичайно важливе значення для формування національної ідентичності, зміцнення єдності українського суспільства. Їх </w:t>
      </w:r>
      <w:r w:rsidRPr="00511005">
        <w:rPr>
          <w:rFonts w:ascii="Arial" w:eastAsia="Calibri" w:hAnsi="Arial" w:cs="Arial"/>
          <w:szCs w:val="28"/>
          <w:lang w:val="uk-UA"/>
        </w:rPr>
        <w:lastRenderedPageBreak/>
        <w:t>юридичне закріплення та належний правовий захист є необхідною умовою для забезпечення шанобливого ставлення до них. На думку багатьох науковців тільки ефективне правове регулювання здатне гарантувати захист державних символів від наруги та сприятиме вихованню патріотичності у громадян.</w:t>
      </w:r>
    </w:p>
    <w:p w14:paraId="75A63A03" w14:textId="77777777" w:rsidR="006B07CA" w:rsidRPr="00511005" w:rsidRDefault="006B07CA" w:rsidP="003A292D">
      <w:pPr>
        <w:spacing w:line="264" w:lineRule="auto"/>
        <w:ind w:firstLine="0"/>
        <w:rPr>
          <w:rFonts w:ascii="Arial" w:eastAsia="Calibri" w:hAnsi="Arial" w:cs="Arial"/>
          <w:szCs w:val="28"/>
          <w:lang w:val="uk-UA"/>
        </w:rPr>
      </w:pPr>
    </w:p>
    <w:p w14:paraId="050C8898" w14:textId="70DFE20C" w:rsidR="006B07CA"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4CE0DA4D" w14:textId="77777777" w:rsidR="006B07CA" w:rsidRPr="00511005" w:rsidRDefault="006B07CA" w:rsidP="006E394F">
      <w:pPr>
        <w:numPr>
          <w:ilvl w:val="0"/>
          <w:numId w:val="38"/>
        </w:numPr>
        <w:tabs>
          <w:tab w:val="clear" w:pos="720"/>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noProof/>
          <w:szCs w:val="28"/>
          <w:lang w:val="uk-UA" w:eastAsia="ru-RU"/>
        </w:rPr>
        <w:t>Шаптала</w:t>
      </w:r>
      <w:r w:rsidRPr="00511005">
        <w:rPr>
          <w:rFonts w:ascii="Arial" w:eastAsia="Times New Roman" w:hAnsi="Arial" w:cs="Arial"/>
          <w:szCs w:val="28"/>
          <w:lang w:val="uk-UA" w:eastAsia="ru-RU"/>
        </w:rPr>
        <w:t xml:space="preserve"> Н. До питання про конституційно-правове регулювання державних символів України // </w:t>
      </w:r>
      <w:r w:rsidRPr="00511005">
        <w:rPr>
          <w:rFonts w:ascii="Arial" w:eastAsia="Times New Roman" w:hAnsi="Arial" w:cs="Arial"/>
          <w:i/>
          <w:iCs/>
          <w:szCs w:val="28"/>
          <w:lang w:val="uk-UA" w:eastAsia="ru-RU"/>
        </w:rPr>
        <w:t>Вісник Конституційного Суду України</w:t>
      </w:r>
      <w:r w:rsidRPr="00511005">
        <w:rPr>
          <w:rFonts w:ascii="Arial" w:eastAsia="Times New Roman" w:hAnsi="Arial" w:cs="Arial"/>
          <w:szCs w:val="28"/>
          <w:lang w:val="uk-UA" w:eastAsia="ru-RU"/>
        </w:rPr>
        <w:t>. – 2012. – № 2. – С. 110–111.</w:t>
      </w:r>
    </w:p>
    <w:p w14:paraId="6923A6D1" w14:textId="77777777" w:rsidR="006B07CA" w:rsidRPr="00511005" w:rsidRDefault="006B07CA" w:rsidP="006E394F">
      <w:pPr>
        <w:numPr>
          <w:ilvl w:val="0"/>
          <w:numId w:val="38"/>
        </w:numPr>
        <w:tabs>
          <w:tab w:val="clear" w:pos="720"/>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Мамонтова Е. Символічний комплекс атрибуції державного суверенітету // </w:t>
      </w:r>
      <w:r w:rsidRPr="00511005">
        <w:rPr>
          <w:rFonts w:ascii="Arial" w:eastAsia="Times New Roman" w:hAnsi="Arial" w:cs="Arial"/>
          <w:i/>
          <w:iCs/>
          <w:szCs w:val="28"/>
          <w:lang w:val="uk-UA" w:eastAsia="ru-RU"/>
        </w:rPr>
        <w:t>Політичний менеджмент</w:t>
      </w:r>
      <w:r w:rsidRPr="00511005">
        <w:rPr>
          <w:rFonts w:ascii="Arial" w:eastAsia="Times New Roman" w:hAnsi="Arial" w:cs="Arial"/>
          <w:szCs w:val="28"/>
          <w:lang w:val="uk-UA" w:eastAsia="ru-RU"/>
        </w:rPr>
        <w:t>. – 2011. – № 1. – С. 19.</w:t>
      </w:r>
    </w:p>
    <w:p w14:paraId="17C3A0E1" w14:textId="77777777" w:rsidR="006B07CA" w:rsidRPr="00511005" w:rsidRDefault="006B07CA" w:rsidP="006E394F">
      <w:pPr>
        <w:numPr>
          <w:ilvl w:val="0"/>
          <w:numId w:val="38"/>
        </w:numPr>
        <w:tabs>
          <w:tab w:val="clear" w:pos="720"/>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Конституція України: Закон України від 28 червня 1996 р. № 254к/96-ВР // </w:t>
      </w:r>
      <w:r w:rsidRPr="00511005">
        <w:rPr>
          <w:rFonts w:ascii="Arial" w:eastAsia="Times New Roman" w:hAnsi="Arial" w:cs="Arial"/>
          <w:i/>
          <w:iCs/>
          <w:szCs w:val="28"/>
          <w:lang w:val="uk-UA" w:eastAsia="ru-RU"/>
        </w:rPr>
        <w:t>Відомості Верховної Ради України</w:t>
      </w:r>
      <w:r w:rsidRPr="00511005">
        <w:rPr>
          <w:rFonts w:ascii="Arial" w:eastAsia="Times New Roman" w:hAnsi="Arial" w:cs="Arial"/>
          <w:szCs w:val="28"/>
          <w:lang w:val="uk-UA" w:eastAsia="ru-RU"/>
        </w:rPr>
        <w:t>. – 1996. – № 30. – Ст. 141.</w:t>
      </w:r>
    </w:p>
    <w:p w14:paraId="46FFA25E" w14:textId="77777777" w:rsidR="006B07CA" w:rsidRPr="00511005" w:rsidRDefault="006B07CA" w:rsidP="006E394F">
      <w:pPr>
        <w:numPr>
          <w:ilvl w:val="0"/>
          <w:numId w:val="38"/>
        </w:numPr>
        <w:tabs>
          <w:tab w:val="clear" w:pos="720"/>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Стецюк П. Б. Державні символи України: конституційно-правова характеристика // </w:t>
      </w:r>
      <w:r w:rsidRPr="00511005">
        <w:rPr>
          <w:rFonts w:ascii="Arial" w:eastAsia="Times New Roman" w:hAnsi="Arial" w:cs="Arial"/>
          <w:i/>
          <w:iCs/>
          <w:szCs w:val="28"/>
          <w:lang w:val="uk-UA" w:eastAsia="ru-RU"/>
        </w:rPr>
        <w:t>Вісник Конституційного Суду України</w:t>
      </w:r>
      <w:r w:rsidRPr="00511005">
        <w:rPr>
          <w:rFonts w:ascii="Arial" w:eastAsia="Times New Roman" w:hAnsi="Arial" w:cs="Arial"/>
          <w:szCs w:val="28"/>
          <w:lang w:val="uk-UA" w:eastAsia="ru-RU"/>
        </w:rPr>
        <w:t>. – 2004. – № 6. – С. 108–109.</w:t>
      </w:r>
    </w:p>
    <w:p w14:paraId="5804C6B1" w14:textId="77777777" w:rsidR="006B07CA" w:rsidRPr="00511005" w:rsidRDefault="006B07CA" w:rsidP="006E394F">
      <w:pPr>
        <w:numPr>
          <w:ilvl w:val="0"/>
          <w:numId w:val="38"/>
        </w:numPr>
        <w:tabs>
          <w:tab w:val="clear" w:pos="720"/>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Головченко В. В., Потьомкін А. О. Правовий статус державної символіки України: проблеми законодавчого регулювання та застосування // </w:t>
      </w:r>
      <w:r w:rsidRPr="00511005">
        <w:rPr>
          <w:rFonts w:ascii="Arial" w:eastAsia="Times New Roman" w:hAnsi="Arial" w:cs="Arial"/>
          <w:i/>
          <w:iCs/>
          <w:szCs w:val="28"/>
          <w:lang w:val="uk-UA" w:eastAsia="ru-RU"/>
        </w:rPr>
        <w:t>Наукові праці Міжрегіональної Академії управління персоналом. Юридичні науки</w:t>
      </w:r>
      <w:r w:rsidRPr="00511005">
        <w:rPr>
          <w:rFonts w:ascii="Arial" w:eastAsia="Times New Roman" w:hAnsi="Arial" w:cs="Arial"/>
          <w:szCs w:val="28"/>
          <w:lang w:val="uk-UA" w:eastAsia="ru-RU"/>
        </w:rPr>
        <w:t xml:space="preserve">. – 2006. – </w:t>
      </w:r>
      <w:r w:rsidRPr="00511005">
        <w:rPr>
          <w:rFonts w:ascii="Arial" w:eastAsia="Times New Roman" w:hAnsi="Arial" w:cs="Arial"/>
          <w:noProof/>
          <w:szCs w:val="28"/>
          <w:lang w:val="uk-UA" w:eastAsia="ru-RU"/>
        </w:rPr>
        <w:t>Вип.</w:t>
      </w:r>
      <w:r w:rsidRPr="00511005">
        <w:rPr>
          <w:rFonts w:ascii="Arial" w:eastAsia="Times New Roman" w:hAnsi="Arial" w:cs="Arial"/>
          <w:szCs w:val="28"/>
          <w:lang w:val="uk-UA" w:eastAsia="ru-RU"/>
        </w:rPr>
        <w:t xml:space="preserve"> 1(13). – С. 149–151.</w:t>
      </w:r>
    </w:p>
    <w:p w14:paraId="4A474646" w14:textId="77777777" w:rsidR="006B07CA" w:rsidRPr="00511005" w:rsidRDefault="006B07CA" w:rsidP="006E394F">
      <w:pPr>
        <w:numPr>
          <w:ilvl w:val="0"/>
          <w:numId w:val="38"/>
        </w:numPr>
        <w:tabs>
          <w:tab w:val="clear" w:pos="720"/>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noProof/>
          <w:szCs w:val="28"/>
          <w:lang w:val="uk-UA" w:eastAsia="ru-RU"/>
        </w:rPr>
        <w:t>Кушніренок</w:t>
      </w:r>
      <w:r w:rsidRPr="00511005">
        <w:rPr>
          <w:rFonts w:ascii="Arial" w:eastAsia="Times New Roman" w:hAnsi="Arial" w:cs="Arial"/>
          <w:szCs w:val="28"/>
          <w:lang w:val="uk-UA" w:eastAsia="ru-RU"/>
        </w:rPr>
        <w:t xml:space="preserve"> О. Г., Кузнєцова І. А. Проблеми законодавчого закріплення та використання державних символів України: конституційно-правовий аспект. – 2015. – С. 89–90.</w:t>
      </w:r>
    </w:p>
    <w:p w14:paraId="2B5FBA55" w14:textId="77777777" w:rsidR="006B07CA" w:rsidRPr="00511005" w:rsidRDefault="006B07CA" w:rsidP="003A292D">
      <w:pPr>
        <w:spacing w:line="264" w:lineRule="auto"/>
        <w:ind w:firstLine="0"/>
        <w:rPr>
          <w:rFonts w:ascii="Arial" w:eastAsia="Calibri" w:hAnsi="Arial" w:cs="Arial"/>
          <w:b/>
          <w:bCs/>
          <w:szCs w:val="28"/>
          <w:lang w:val="uk-UA"/>
        </w:rPr>
      </w:pPr>
    </w:p>
    <w:p w14:paraId="127C0C9F" w14:textId="2FA8DC0C" w:rsidR="006B07CA"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6B07CA" w:rsidRPr="00511005">
        <w:rPr>
          <w:rFonts w:ascii="Arial" w:eastAsia="Calibri" w:hAnsi="Arial" w:cs="Arial"/>
          <w:szCs w:val="28"/>
          <w:lang w:val="uk-UA"/>
        </w:rPr>
        <w:t xml:space="preserve">державна символіка, національна ідентичність, Державний Прапор, Державний Герб, Державний Гімн. </w:t>
      </w:r>
    </w:p>
    <w:p w14:paraId="3BFCFD03" w14:textId="375C7B6A" w:rsidR="006B07CA"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en-US"/>
        </w:rPr>
        <w:t xml:space="preserve">Key words: </w:t>
      </w:r>
      <w:r w:rsidR="006B07CA" w:rsidRPr="00511005">
        <w:rPr>
          <w:rFonts w:ascii="Arial" w:eastAsia="Calibri" w:hAnsi="Arial" w:cs="Arial"/>
          <w:szCs w:val="28"/>
          <w:lang w:val="en-US"/>
        </w:rPr>
        <w:t>state symbols, national identity, State Flag, State Emblem, State Anthem.</w:t>
      </w:r>
    </w:p>
    <w:p w14:paraId="73834057" w14:textId="06B3D38C" w:rsidR="006B07CA"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iCs/>
          <w:szCs w:val="28"/>
          <w:lang w:val="uk-UA"/>
        </w:rPr>
        <w:t xml:space="preserve">Науковий керівник: </w:t>
      </w:r>
      <w:r w:rsidR="006B07CA" w:rsidRPr="00511005">
        <w:rPr>
          <w:rFonts w:ascii="Arial" w:eastAsia="Calibri" w:hAnsi="Arial" w:cs="Arial"/>
          <w:i/>
          <w:iCs/>
          <w:szCs w:val="28"/>
          <w:lang w:val="uk-UA"/>
        </w:rPr>
        <w:t>к.ю.н., доцент Ковбасюк С. В.</w:t>
      </w:r>
    </w:p>
    <w:p w14:paraId="0D484B29" w14:textId="77777777" w:rsidR="006B07CA" w:rsidRPr="00511005" w:rsidRDefault="006B07CA" w:rsidP="003A292D">
      <w:pPr>
        <w:keepNext/>
        <w:spacing w:line="264" w:lineRule="auto"/>
        <w:ind w:firstLine="0"/>
        <w:rPr>
          <w:rFonts w:ascii="Arial" w:eastAsia="Times New Roman" w:hAnsi="Arial" w:cs="Arial"/>
          <w:bCs/>
          <w:iCs/>
          <w:szCs w:val="28"/>
          <w:lang w:val="uk-UA" w:eastAsia="ru-RU"/>
        </w:rPr>
      </w:pPr>
    </w:p>
    <w:p w14:paraId="2978199F" w14:textId="77777777" w:rsidR="006B07CA" w:rsidRPr="00511005" w:rsidRDefault="006B07CA" w:rsidP="003A292D">
      <w:pPr>
        <w:keepNext/>
        <w:spacing w:line="264" w:lineRule="auto"/>
        <w:ind w:firstLine="0"/>
        <w:rPr>
          <w:rFonts w:ascii="Arial" w:eastAsia="Times New Roman" w:hAnsi="Arial" w:cs="Arial"/>
          <w:bCs/>
          <w:iCs/>
          <w:szCs w:val="28"/>
          <w:lang w:val="uk-UA" w:eastAsia="ru-RU"/>
        </w:rPr>
      </w:pPr>
    </w:p>
    <w:p w14:paraId="7F7BA54D" w14:textId="77777777" w:rsidR="006B07CA" w:rsidRPr="00511005" w:rsidRDefault="006B07CA" w:rsidP="003A292D">
      <w:pPr>
        <w:spacing w:line="264" w:lineRule="auto"/>
        <w:ind w:firstLine="0"/>
        <w:jc w:val="center"/>
        <w:rPr>
          <w:rFonts w:ascii="Arial" w:eastAsia="Times New Roman" w:hAnsi="Arial" w:cs="Arial"/>
          <w:b/>
          <w:i/>
          <w:szCs w:val="28"/>
          <w:lang w:val="en-GB" w:eastAsia="ru-RU"/>
        </w:rPr>
      </w:pPr>
      <w:r w:rsidRPr="00511005">
        <w:rPr>
          <w:rFonts w:ascii="Arial" w:eastAsia="Times New Roman" w:hAnsi="Arial" w:cs="Arial"/>
          <w:b/>
          <w:i/>
          <w:szCs w:val="28"/>
          <w:lang w:val="en-US" w:eastAsia="ru-RU"/>
        </w:rPr>
        <w:t xml:space="preserve">Suvertak </w:t>
      </w:r>
      <w:r w:rsidRPr="00511005">
        <w:rPr>
          <w:rFonts w:ascii="Arial" w:eastAsia="Times New Roman" w:hAnsi="Arial" w:cs="Arial"/>
          <w:b/>
          <w:i/>
          <w:szCs w:val="28"/>
          <w:lang w:val="en-GB" w:eastAsia="ru-RU"/>
        </w:rPr>
        <w:t>Zlata Olegivna</w:t>
      </w:r>
    </w:p>
    <w:p w14:paraId="4581722F" w14:textId="4E29A8CA" w:rsidR="006B07CA" w:rsidRPr="00511005" w:rsidRDefault="006B07CA" w:rsidP="003A292D">
      <w:pPr>
        <w:spacing w:line="264" w:lineRule="auto"/>
        <w:ind w:firstLine="0"/>
        <w:jc w:val="center"/>
        <w:rPr>
          <w:rFonts w:ascii="Arial" w:eastAsia="Times New Roman" w:hAnsi="Arial" w:cs="Arial"/>
          <w:szCs w:val="28"/>
          <w:lang w:val="en-US" w:eastAsia="ru-RU"/>
        </w:rPr>
      </w:pPr>
      <w:r w:rsidRPr="00511005">
        <w:rPr>
          <w:rFonts w:ascii="Arial" w:eastAsia="Times New Roman" w:hAnsi="Arial" w:cs="Arial"/>
          <w:szCs w:val="28"/>
          <w:lang w:val="en-US" w:eastAsia="ru-RU"/>
        </w:rPr>
        <w:t>1</w:t>
      </w:r>
      <w:r w:rsidRPr="00511005">
        <w:rPr>
          <w:rFonts w:ascii="Arial" w:eastAsia="Times New Roman" w:hAnsi="Arial" w:cs="Arial"/>
          <w:szCs w:val="28"/>
          <w:lang w:val="en-GB" w:eastAsia="ru-RU"/>
        </w:rPr>
        <w:t>st</w:t>
      </w:r>
      <w:r w:rsidR="006E394F" w:rsidRPr="00511005">
        <w:rPr>
          <w:rFonts w:ascii="Arial" w:eastAsia="Times New Roman" w:hAnsi="Arial" w:cs="Arial"/>
          <w:szCs w:val="28"/>
          <w:lang w:val="uk-UA" w:eastAsia="ru-RU"/>
        </w:rPr>
        <w:t xml:space="preserve"> </w:t>
      </w:r>
      <w:r w:rsidRPr="00511005">
        <w:rPr>
          <w:rFonts w:ascii="Arial" w:eastAsia="Times New Roman" w:hAnsi="Arial" w:cs="Arial"/>
          <w:szCs w:val="28"/>
          <w:lang w:val="en-GB" w:eastAsia="ru-RU"/>
        </w:rPr>
        <w:t>year</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val="en-GB" w:eastAsia="ru-RU"/>
        </w:rPr>
        <w:t>student</w:t>
      </w:r>
      <w:r w:rsidRPr="00511005">
        <w:rPr>
          <w:rFonts w:ascii="Arial" w:eastAsia="Times New Roman" w:hAnsi="Arial" w:cs="Arial"/>
          <w:szCs w:val="28"/>
          <w:lang w:val="en-US" w:eastAsia="ru-RU"/>
        </w:rPr>
        <w:t xml:space="preserve"> of the Faculty of Judicial and International Law of</w:t>
      </w:r>
    </w:p>
    <w:p w14:paraId="12064E9E" w14:textId="77777777" w:rsidR="006B07CA" w:rsidRPr="00511005" w:rsidRDefault="006B07CA"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szCs w:val="28"/>
          <w:lang w:val="en-US" w:eastAsia="ru-RU"/>
        </w:rPr>
        <w:t>National University ‘Odesa Law Academy’</w:t>
      </w:r>
    </w:p>
    <w:p w14:paraId="1702B933" w14:textId="77777777" w:rsidR="006B07CA" w:rsidRPr="00511005" w:rsidRDefault="006B07CA" w:rsidP="003A292D">
      <w:pPr>
        <w:spacing w:line="264" w:lineRule="auto"/>
        <w:ind w:firstLine="0"/>
        <w:jc w:val="center"/>
        <w:rPr>
          <w:rFonts w:ascii="Arial" w:eastAsia="Times New Roman" w:hAnsi="Arial" w:cs="Arial"/>
          <w:szCs w:val="28"/>
          <w:lang w:val="uk-UA" w:eastAsia="ru-RU"/>
        </w:rPr>
      </w:pPr>
    </w:p>
    <w:p w14:paraId="5E879D09" w14:textId="77777777" w:rsidR="006B07CA" w:rsidRPr="00511005" w:rsidRDefault="006B07CA" w:rsidP="003A292D">
      <w:pPr>
        <w:spacing w:line="264" w:lineRule="auto"/>
        <w:ind w:firstLine="0"/>
        <w:jc w:val="center"/>
        <w:rPr>
          <w:rFonts w:ascii="Arial" w:eastAsia="Times New Roman" w:hAnsi="Arial" w:cs="Arial"/>
          <w:b/>
          <w:szCs w:val="28"/>
          <w:lang w:val="en-US" w:eastAsia="ru-RU"/>
        </w:rPr>
      </w:pPr>
      <w:r w:rsidRPr="00511005">
        <w:rPr>
          <w:rFonts w:ascii="Arial" w:eastAsia="Times New Roman" w:hAnsi="Arial" w:cs="Arial"/>
          <w:b/>
          <w:szCs w:val="28"/>
          <w:lang w:val="en-GB" w:eastAsia="ru-RU"/>
        </w:rPr>
        <w:t>T</w:t>
      </w:r>
      <w:r w:rsidRPr="00511005">
        <w:rPr>
          <w:rFonts w:ascii="Arial" w:eastAsia="Times New Roman" w:hAnsi="Arial" w:cs="Arial"/>
          <w:b/>
          <w:szCs w:val="28"/>
          <w:lang w:val="en-US" w:eastAsia="ru-RU"/>
        </w:rPr>
        <w:t>HE IMPACT OF GLOBALIZATION ON THEORY OF LAW</w:t>
      </w:r>
    </w:p>
    <w:p w14:paraId="09D37856" w14:textId="77777777" w:rsidR="007B2628" w:rsidRPr="00511005" w:rsidRDefault="006B07CA"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en-US" w:eastAsia="ru-RU"/>
        </w:rPr>
        <w:t>IN THE POSTMODERN ERA</w:t>
      </w:r>
    </w:p>
    <w:p w14:paraId="08F78444" w14:textId="244518C1" w:rsidR="006B07CA" w:rsidRPr="00511005" w:rsidRDefault="006B07CA" w:rsidP="006E394F">
      <w:pPr>
        <w:spacing w:line="264" w:lineRule="auto"/>
        <w:rPr>
          <w:rFonts w:ascii="Arial" w:eastAsia="Times New Roman" w:hAnsi="Arial" w:cs="Arial"/>
          <w:szCs w:val="28"/>
          <w:lang w:val="en-GB" w:eastAsia="ru-RU"/>
        </w:rPr>
      </w:pPr>
      <w:r w:rsidRPr="00511005">
        <w:rPr>
          <w:rFonts w:ascii="Arial" w:eastAsia="Times New Roman" w:hAnsi="Arial" w:cs="Arial"/>
          <w:szCs w:val="28"/>
          <w:lang w:val="en-GB" w:eastAsia="ru-RU"/>
        </w:rPr>
        <w:t xml:space="preserve">The notion of globalization includes the acts by means of which global interconnectedness, cooperation together with unification that come through diversified areas such as politics, legal systems, economy, markets, societies and culture across the globe. </w:t>
      </w:r>
    </w:p>
    <w:p w14:paraId="1A99D004" w14:textId="77777777" w:rsidR="006B07CA" w:rsidRPr="00511005" w:rsidRDefault="006B07CA" w:rsidP="006E394F">
      <w:pPr>
        <w:spacing w:line="264" w:lineRule="auto"/>
        <w:rPr>
          <w:rFonts w:ascii="Arial" w:eastAsia="Times New Roman" w:hAnsi="Arial" w:cs="Arial"/>
          <w:szCs w:val="28"/>
          <w:lang w:val="en-GB" w:eastAsia="ru-RU"/>
        </w:rPr>
      </w:pPr>
      <w:r w:rsidRPr="00511005">
        <w:rPr>
          <w:rFonts w:ascii="Arial" w:eastAsia="Times New Roman" w:hAnsi="Arial" w:cs="Arial"/>
          <w:szCs w:val="28"/>
          <w:lang w:val="en-GB" w:eastAsia="ru-RU"/>
        </w:rPr>
        <w:lastRenderedPageBreak/>
        <w:t>The impact of globalization on theory of law has started to be notably proclaimed in today’s postmodern era that is marked by scepticism in the direction of principal narratives along with accent on pluralism that states uncommon summons and capacities for legal theory and recognizes the coexistence of multiple legal regimes inside of unified community-based field.</w:t>
      </w:r>
    </w:p>
    <w:p w14:paraId="19CDDC7B" w14:textId="77777777" w:rsidR="006B07CA" w:rsidRPr="00511005" w:rsidRDefault="006B07CA" w:rsidP="006E394F">
      <w:pPr>
        <w:spacing w:line="264" w:lineRule="auto"/>
        <w:rPr>
          <w:rFonts w:ascii="Arial" w:eastAsia="Times New Roman" w:hAnsi="Arial" w:cs="Arial"/>
          <w:szCs w:val="28"/>
          <w:lang w:val="en-GB" w:eastAsia="ru-RU"/>
        </w:rPr>
      </w:pPr>
      <w:r w:rsidRPr="00511005">
        <w:rPr>
          <w:rFonts w:ascii="Arial" w:eastAsia="Times New Roman" w:hAnsi="Arial" w:cs="Arial"/>
          <w:szCs w:val="28"/>
          <w:lang w:val="en-GB" w:eastAsia="ru-RU"/>
        </w:rPr>
        <w:t>State legal structure by virtue of defying traditional, historical image of sovereignty and judicature is expressively affected by globalization. It`s chronicled that law was principally the nation-state scope albeit this notion is complicated by an introducing of a multinational value of globalization.</w:t>
      </w:r>
    </w:p>
    <w:p w14:paraId="099028EA" w14:textId="77777777" w:rsidR="006B07CA" w:rsidRPr="00511005" w:rsidRDefault="006B07CA" w:rsidP="006E394F">
      <w:pPr>
        <w:spacing w:line="264" w:lineRule="auto"/>
        <w:rPr>
          <w:rFonts w:ascii="Arial" w:eastAsia="Times New Roman" w:hAnsi="Arial" w:cs="Arial"/>
          <w:szCs w:val="28"/>
          <w:lang w:val="en-US" w:eastAsia="ru-RU"/>
        </w:rPr>
      </w:pPr>
      <w:r w:rsidRPr="00511005">
        <w:rPr>
          <w:rFonts w:ascii="Arial" w:eastAsia="Times New Roman" w:hAnsi="Arial" w:cs="Arial"/>
          <w:szCs w:val="28"/>
          <w:lang w:val="en-GB" w:eastAsia="ru-RU"/>
        </w:rPr>
        <w:t xml:space="preserve">Countries often adopt and adjust external legislative framework with the view to correspond their regional situation on account of the fact that </w:t>
      </w:r>
      <w:r w:rsidRPr="00511005">
        <w:rPr>
          <w:rFonts w:ascii="Arial" w:eastAsia="Times New Roman" w:hAnsi="Arial" w:cs="Arial"/>
          <w:szCs w:val="28"/>
          <w:lang w:val="en-US" w:eastAsia="ru-RU"/>
        </w:rPr>
        <w:t>states are engaged in cross-boundary trade together with cultural interchange. For example, there is the integration of international civil liberties standards into inner legal systems that has been a substantial development in a quantity of countries [1, p.109-110]. Such blending of regional and global legal principles can</w:t>
      </w:r>
      <w:r w:rsidRPr="00511005">
        <w:rPr>
          <w:rFonts w:ascii="Arial" w:eastAsia="Times New Roman" w:hAnsi="Arial" w:cs="Arial"/>
          <w:b/>
          <w:szCs w:val="28"/>
          <w:lang w:val="en-US" w:eastAsia="ru-RU"/>
        </w:rPr>
        <w:t xml:space="preserve"> </w:t>
      </w:r>
      <w:r w:rsidRPr="00511005">
        <w:rPr>
          <w:rFonts w:ascii="Arial" w:eastAsia="Times New Roman" w:hAnsi="Arial" w:cs="Arial"/>
          <w:szCs w:val="28"/>
          <w:lang w:val="en-US" w:eastAsia="ru-RU"/>
        </w:rPr>
        <w:t>bring progressive legal practices</w:t>
      </w:r>
      <w:r w:rsidRPr="00511005">
        <w:rPr>
          <w:rFonts w:ascii="Arial" w:eastAsia="Times New Roman" w:hAnsi="Arial" w:cs="Arial"/>
          <w:b/>
          <w:szCs w:val="28"/>
          <w:lang w:val="en-US" w:eastAsia="ru-RU"/>
        </w:rPr>
        <w:t xml:space="preserve"> </w:t>
      </w:r>
      <w:r w:rsidRPr="00511005">
        <w:rPr>
          <w:rFonts w:ascii="Arial" w:eastAsia="Times New Roman" w:hAnsi="Arial" w:cs="Arial"/>
          <w:szCs w:val="28"/>
          <w:lang w:val="en-US" w:eastAsia="ru-RU"/>
        </w:rPr>
        <w:t xml:space="preserve">although, in addition, may call into legality and leadership questions. </w:t>
      </w:r>
    </w:p>
    <w:p w14:paraId="7A7E3E65" w14:textId="49FD88FA" w:rsidR="006B07CA" w:rsidRPr="00511005" w:rsidRDefault="006B07CA" w:rsidP="006E394F">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w:t>
      </w:r>
      <w:r w:rsidRPr="00511005">
        <w:rPr>
          <w:rFonts w:ascii="Arial" w:eastAsia="Times New Roman" w:hAnsi="Arial" w:cs="Arial"/>
          <w:b/>
          <w:szCs w:val="28"/>
          <w:lang w:val="en-US" w:eastAsia="ru-RU"/>
        </w:rPr>
        <w:t xml:space="preserve"> </w:t>
      </w:r>
      <w:r w:rsidRPr="00511005">
        <w:rPr>
          <w:rFonts w:ascii="Arial" w:eastAsia="Times New Roman" w:hAnsi="Arial" w:cs="Arial"/>
          <w:szCs w:val="28"/>
          <w:lang w:val="en-US" w:eastAsia="ru-RU"/>
        </w:rPr>
        <w:t>historical idea of a unified and consecutive legal system is questioned in postmodern legal theory, notwithstanding there is an acceptance of the matter of fact that law is dynamical, effective frame lined up by historic, cultural and public scope but not just a body of rules imposed by sovereign, supreme commonwealth.</w:t>
      </w:r>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The spread of international and trading agreements, further supranational legal entity as the European Union illustrates the multiplicity of legal pluralism in the world perspective thereby internationalization makes law theoreticians think over fundamental speculations about law’s disposition and function [2, p. 7].</w:t>
      </w:r>
    </w:p>
    <w:p w14:paraId="582C9B08" w14:textId="77777777" w:rsidR="006B07CA" w:rsidRPr="00511005" w:rsidRDefault="006B07CA" w:rsidP="006E394F">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Globalization has resulted in the dominance of international law challenging traditional state-driven prospects. The postmodern criticism of the realm as the only starting point of legal authority motivate legal experts to explore the role of international rule of law and legal systems in describing justice and administration.</w:t>
      </w:r>
      <w:r w:rsidRPr="00511005">
        <w:rPr>
          <w:rFonts w:ascii="Arial" w:eastAsia="Times New Roman" w:hAnsi="Arial" w:cs="Arial"/>
          <w:b/>
          <w:szCs w:val="28"/>
          <w:lang w:val="en-US" w:eastAsia="ru-RU"/>
        </w:rPr>
        <w:t xml:space="preserve"> </w:t>
      </w:r>
      <w:r w:rsidRPr="00511005">
        <w:rPr>
          <w:rFonts w:ascii="Arial" w:eastAsia="Times New Roman" w:hAnsi="Arial" w:cs="Arial"/>
          <w:szCs w:val="28"/>
          <w:lang w:val="en-US" w:eastAsia="ru-RU"/>
        </w:rPr>
        <w:t>For instance, the International Criminal Court</w:t>
      </w:r>
      <w:r w:rsidRPr="00511005">
        <w:rPr>
          <w:rFonts w:ascii="Arial" w:eastAsia="Times New Roman" w:hAnsi="Arial" w:cs="Arial"/>
          <w:b/>
          <w:szCs w:val="28"/>
          <w:lang w:val="en-US" w:eastAsia="ru-RU"/>
        </w:rPr>
        <w:t xml:space="preserve"> </w:t>
      </w:r>
      <w:r w:rsidRPr="00511005">
        <w:rPr>
          <w:rFonts w:ascii="Arial" w:eastAsia="Times New Roman" w:hAnsi="Arial" w:cs="Arial"/>
          <w:szCs w:val="28"/>
          <w:lang w:val="en-US" w:eastAsia="ru-RU"/>
        </w:rPr>
        <w:t>embodies a transit to responsibility on a world measure, where persons can be brought to justice for crimes regardless of their citizenship and the legislation of their country of residence</w:t>
      </w:r>
      <w:r w:rsidRPr="00511005">
        <w:rPr>
          <w:rFonts w:ascii="Arial" w:eastAsia="Times New Roman" w:hAnsi="Arial" w:cs="Arial"/>
          <w:b/>
          <w:szCs w:val="28"/>
          <w:lang w:val="en-US" w:eastAsia="ru-RU"/>
        </w:rPr>
        <w:t xml:space="preserve"> </w:t>
      </w:r>
      <w:r w:rsidRPr="00511005">
        <w:rPr>
          <w:rFonts w:ascii="Arial" w:eastAsia="Times New Roman" w:hAnsi="Arial" w:cs="Arial"/>
          <w:szCs w:val="28"/>
          <w:lang w:val="en-US" w:eastAsia="ru-RU"/>
        </w:rPr>
        <w:t>[3, p. 2].</w:t>
      </w:r>
    </w:p>
    <w:p w14:paraId="424462F0" w14:textId="77777777" w:rsidR="006B07CA" w:rsidRPr="00511005" w:rsidRDefault="006B07CA" w:rsidP="006E394F">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enlargement of international law raises such crucial matters such as sovereignty and the legitimacy of global power issues. Critics claim that international law is constantly based on high-powered states’ benefits wherewith the global community’s demands [4, p. 311-317], repeating the postmodern theory of law that claims that awareness, knowledge and rule are interconnected therefore upholding a fuller discussion about moral consequences of external legal norms’ imposition on different population groups [5, p. 32].</w:t>
      </w:r>
    </w:p>
    <w:p w14:paraId="549473A4" w14:textId="77777777" w:rsidR="006B07CA" w:rsidRPr="00511005" w:rsidRDefault="006B07CA" w:rsidP="006E394F">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The technological progression has contributed the spreading of legal structure and developing of legal science, in this way effecting the legal theory in the postmodern era. The expansion of digital platforms, global connection chains and social media has changed the way law information spreads and can be acquired [6, p. 64-65]. In addition, modern shapes of legal disputes and management instancing the cybercrime, data privacy and rights, concerning intellectual property, invocations have been empowered by technology.</w:t>
      </w:r>
    </w:p>
    <w:p w14:paraId="5E254E57" w14:textId="77777777" w:rsidR="006B07CA" w:rsidRPr="00511005" w:rsidRDefault="006B07CA" w:rsidP="006E394F">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In these circumstances, lines between regional and global, common, law growingly become less sharp, hereby calling legal scholars for adjusting their structures to solve difficulties raised from technology [7, p. 8-11, 46-51]. The globalization influence of law is obvious in the cooperative efforts on recent technologies regulation as in international cybersecurity and electronic commence conventions. The legal </w:t>
      </w:r>
      <w:proofErr w:type="gramStart"/>
      <w:r w:rsidRPr="00511005">
        <w:rPr>
          <w:rFonts w:ascii="Arial" w:eastAsia="Times New Roman" w:hAnsi="Arial" w:cs="Arial"/>
          <w:szCs w:val="28"/>
          <w:lang w:val="en-US" w:eastAsia="ru-RU"/>
        </w:rPr>
        <w:t>principles’</w:t>
      </w:r>
      <w:proofErr w:type="gramEnd"/>
      <w:r w:rsidRPr="00511005">
        <w:rPr>
          <w:rFonts w:ascii="Arial" w:eastAsia="Times New Roman" w:hAnsi="Arial" w:cs="Arial"/>
          <w:szCs w:val="28"/>
          <w:lang w:val="en-US" w:eastAsia="ru-RU"/>
        </w:rPr>
        <w:t xml:space="preserve"> skillfully exemplifies the postmodern opinion that law is not static but progress in answer to ever-changing conditions.</w:t>
      </w:r>
    </w:p>
    <w:p w14:paraId="583B51CC" w14:textId="77777777" w:rsidR="006B07CA" w:rsidRPr="00511005" w:rsidRDefault="006B07CA" w:rsidP="006E394F">
      <w:pPr>
        <w:spacing w:line="264" w:lineRule="auto"/>
        <w:rPr>
          <w:rFonts w:ascii="Arial" w:eastAsia="Times New Roman" w:hAnsi="Arial" w:cs="Arial"/>
          <w:szCs w:val="28"/>
          <w:lang w:val="en-US" w:eastAsia="ru-RU"/>
        </w:rPr>
      </w:pPr>
      <w:r w:rsidRPr="00511005">
        <w:rPr>
          <w:rFonts w:ascii="Arial" w:eastAsia="Times New Roman" w:hAnsi="Arial" w:cs="Arial"/>
          <w:b/>
          <w:bCs/>
          <w:szCs w:val="28"/>
          <w:lang w:val="en-US" w:eastAsia="ru-RU"/>
        </w:rPr>
        <w:t xml:space="preserve">Conclusion. </w:t>
      </w:r>
      <w:r w:rsidRPr="00511005">
        <w:rPr>
          <w:rFonts w:ascii="Arial" w:eastAsia="Times New Roman" w:hAnsi="Arial" w:cs="Arial"/>
          <w:szCs w:val="28"/>
          <w:lang w:val="en-US" w:eastAsia="ru-RU"/>
        </w:rPr>
        <w:t xml:space="preserve">Globalization has a solid effect on the theory of law in the postmodern era. The legal pluralism appearance has a confrontation with conventional legal authority statement whereas the impact of international law </w:t>
      </w:r>
      <w:proofErr w:type="gramStart"/>
      <w:r w:rsidRPr="00511005">
        <w:rPr>
          <w:rFonts w:ascii="Arial" w:eastAsia="Times New Roman" w:hAnsi="Arial" w:cs="Arial"/>
          <w:szCs w:val="28"/>
          <w:lang w:val="en-US" w:eastAsia="ru-RU"/>
        </w:rPr>
        <w:t>motivate</w:t>
      </w:r>
      <w:proofErr w:type="gramEnd"/>
      <w:r w:rsidRPr="00511005">
        <w:rPr>
          <w:rFonts w:ascii="Arial" w:eastAsia="Times New Roman" w:hAnsi="Arial" w:cs="Arial"/>
          <w:szCs w:val="28"/>
          <w:lang w:val="en-US" w:eastAsia="ru-RU"/>
        </w:rPr>
        <w:t xml:space="preserve"> pointed research of sovereignty and legality. At the same time, technological progress builds innovated realm of law showing the capacity for adjustments that are necessary for legal regimes. The switching from a state-centric law position to a more interrelated and pluralistic comprehension represent the sophisticated substantiality of today’s globalized world. </w:t>
      </w:r>
    </w:p>
    <w:p w14:paraId="76BDD20D" w14:textId="77777777" w:rsidR="006B07CA" w:rsidRPr="00511005" w:rsidRDefault="006B07CA" w:rsidP="006E394F">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At this point, theory of law must cover such complications to solve the problems and use chances that rise nowadays relatively. </w:t>
      </w:r>
    </w:p>
    <w:p w14:paraId="6B303FD8" w14:textId="77777777" w:rsidR="006B07CA" w:rsidRPr="00511005" w:rsidRDefault="006B07CA" w:rsidP="003A292D">
      <w:pPr>
        <w:spacing w:line="264" w:lineRule="auto"/>
        <w:ind w:firstLine="0"/>
        <w:rPr>
          <w:rFonts w:ascii="Arial" w:eastAsia="Times New Roman" w:hAnsi="Arial" w:cs="Arial"/>
          <w:szCs w:val="28"/>
          <w:lang w:val="es-ES" w:eastAsia="ru-RU"/>
        </w:rPr>
      </w:pPr>
    </w:p>
    <w:p w14:paraId="1F4A8FA8" w14:textId="77777777" w:rsidR="007B2628" w:rsidRPr="00511005" w:rsidRDefault="006B07CA" w:rsidP="003A292D">
      <w:pPr>
        <w:spacing w:line="264" w:lineRule="auto"/>
        <w:ind w:firstLine="0"/>
        <w:jc w:val="center"/>
        <w:rPr>
          <w:rFonts w:ascii="Arial" w:eastAsia="Times New Roman" w:hAnsi="Arial" w:cs="Arial"/>
          <w:szCs w:val="28"/>
          <w:lang w:val="es-ES" w:eastAsia="ru-RU"/>
        </w:rPr>
      </w:pPr>
      <w:r w:rsidRPr="00511005">
        <w:rPr>
          <w:rFonts w:ascii="Arial" w:eastAsia="Times New Roman" w:hAnsi="Arial" w:cs="Arial"/>
          <w:b/>
          <w:bCs/>
          <w:szCs w:val="28"/>
          <w:lang w:val="es-ES" w:eastAsia="ru-RU"/>
        </w:rPr>
        <w:t>References</w:t>
      </w:r>
    </w:p>
    <w:p w14:paraId="7E423D81" w14:textId="10BC3504" w:rsidR="006B07CA" w:rsidRPr="00511005" w:rsidRDefault="006B07CA" w:rsidP="006E394F">
      <w:pPr>
        <w:numPr>
          <w:ilvl w:val="0"/>
          <w:numId w:val="39"/>
        </w:numPr>
        <w:spacing w:line="264" w:lineRule="auto"/>
        <w:ind w:firstLine="560"/>
        <w:rPr>
          <w:rFonts w:ascii="Arial" w:eastAsia="Times New Roman" w:hAnsi="Arial" w:cs="Arial"/>
          <w:szCs w:val="28"/>
          <w:lang w:val="en-US" w:eastAsia="ru-RU"/>
        </w:rPr>
      </w:pPr>
      <w:r w:rsidRPr="00511005">
        <w:rPr>
          <w:rFonts w:ascii="Arial" w:eastAsia="Times New Roman" w:hAnsi="Arial" w:cs="Arial"/>
          <w:szCs w:val="28"/>
          <w:lang w:val="es-ES" w:eastAsia="ru-RU"/>
        </w:rPr>
        <w:t>Santos</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val="es-ES" w:eastAsia="ru-RU"/>
        </w:rPr>
        <w:t xml:space="preserve">B. de Sousa. </w:t>
      </w:r>
      <w:r w:rsidRPr="00511005">
        <w:rPr>
          <w:rFonts w:ascii="Arial" w:eastAsia="Times New Roman" w:hAnsi="Arial" w:cs="Arial"/>
          <w:szCs w:val="28"/>
          <w:lang w:val="en-US" w:eastAsia="ru-RU"/>
        </w:rPr>
        <w:t xml:space="preserve">Towards a new common sense: law, science and politics in the paradigmatic transition. New York: Routledge. 1995. 614 p. URL: </w:t>
      </w:r>
      <w:r w:rsidRPr="00511005">
        <w:rPr>
          <w:rFonts w:ascii="Arial" w:eastAsia="Times New Roman" w:hAnsi="Arial" w:cs="Arial"/>
          <w:szCs w:val="28"/>
          <w:shd w:val="clear" w:color="auto" w:fill="FFFFFF"/>
          <w:lang w:val="en-US" w:eastAsia="ru-RU"/>
        </w:rPr>
        <w:t>https://doi.org/10.1007/BF02440175.</w:t>
      </w:r>
      <w:r w:rsidR="007B2628" w:rsidRPr="00511005">
        <w:rPr>
          <w:rFonts w:ascii="Arial" w:eastAsia="Times New Roman" w:hAnsi="Arial" w:cs="Arial"/>
          <w:szCs w:val="28"/>
          <w:lang w:val="en-US" w:eastAsia="ru-RU"/>
        </w:rPr>
        <w:t xml:space="preserve"> </w:t>
      </w:r>
    </w:p>
    <w:p w14:paraId="4E3E7FCA" w14:textId="77777777" w:rsidR="006B07CA" w:rsidRPr="00511005" w:rsidRDefault="006B07CA" w:rsidP="006E394F">
      <w:pPr>
        <w:numPr>
          <w:ilvl w:val="0"/>
          <w:numId w:val="39"/>
        </w:numPr>
        <w:spacing w:line="264" w:lineRule="auto"/>
        <w:ind w:firstLine="560"/>
        <w:rPr>
          <w:rFonts w:ascii="Arial" w:eastAsia="Times New Roman" w:hAnsi="Arial" w:cs="Arial"/>
          <w:szCs w:val="28"/>
          <w:lang w:val="en-US" w:eastAsia="ru-RU"/>
        </w:rPr>
      </w:pPr>
      <w:r w:rsidRPr="00511005">
        <w:rPr>
          <w:rFonts w:ascii="Arial" w:eastAsia="Times New Roman" w:hAnsi="Arial" w:cs="Arial"/>
          <w:szCs w:val="28"/>
          <w:lang w:val="en-US" w:eastAsia="ru-RU"/>
        </w:rPr>
        <w:t>Snyder F. Globalization and the law in the 21</w:t>
      </w:r>
      <w:r w:rsidRPr="00511005">
        <w:rPr>
          <w:rFonts w:ascii="Arial" w:eastAsia="Times New Roman" w:hAnsi="Arial" w:cs="Arial"/>
          <w:szCs w:val="28"/>
          <w:vertAlign w:val="superscript"/>
          <w:lang w:val="en-US" w:eastAsia="ru-RU"/>
        </w:rPr>
        <w:t>st</w:t>
      </w:r>
      <w:r w:rsidRPr="00511005">
        <w:rPr>
          <w:rFonts w:ascii="Arial" w:eastAsia="Times New Roman" w:hAnsi="Arial" w:cs="Arial"/>
          <w:szCs w:val="28"/>
          <w:lang w:val="en-US" w:eastAsia="ru-RU"/>
        </w:rPr>
        <w:t xml:space="preserve"> century. Peking University. January 2004 18 p. URL: </w:t>
      </w:r>
      <w:hyperlink r:id="rId71" w:history="1">
        <w:r w:rsidRPr="00511005">
          <w:rPr>
            <w:rFonts w:ascii="Arial" w:eastAsia="Times New Roman" w:hAnsi="Arial" w:cs="Arial"/>
            <w:szCs w:val="28"/>
            <w:lang w:val="en-US" w:eastAsia="ru-RU"/>
          </w:rPr>
          <w:t>file:///C:/Users/Admin/Downloads/Economic_Globalisation _and_ the_Law_in _the_21st_Century_fin%20(1).pdf</w:t>
        </w:r>
      </w:hyperlink>
      <w:r w:rsidRPr="00511005">
        <w:rPr>
          <w:rFonts w:ascii="Arial" w:eastAsia="Times New Roman" w:hAnsi="Arial" w:cs="Arial"/>
          <w:szCs w:val="28"/>
          <w:lang w:val="en-US" w:eastAsia="ru-RU"/>
        </w:rPr>
        <w:t>.</w:t>
      </w:r>
    </w:p>
    <w:p w14:paraId="4EB94106" w14:textId="77777777" w:rsidR="006B07CA" w:rsidRPr="00511005" w:rsidRDefault="006B07CA" w:rsidP="006E394F">
      <w:pPr>
        <w:numPr>
          <w:ilvl w:val="0"/>
          <w:numId w:val="39"/>
        </w:numPr>
        <w:spacing w:line="264" w:lineRule="auto"/>
        <w:ind w:firstLine="560"/>
        <w:rPr>
          <w:rFonts w:ascii="Arial" w:eastAsia="Times New Roman" w:hAnsi="Arial" w:cs="Arial"/>
          <w:szCs w:val="28"/>
          <w:lang w:val="en-US" w:eastAsia="ru-RU"/>
        </w:rPr>
      </w:pPr>
      <w:r w:rsidRPr="00511005">
        <w:rPr>
          <w:rFonts w:ascii="Arial" w:eastAsia="Times New Roman" w:hAnsi="Arial" w:cs="Arial"/>
          <w:szCs w:val="28"/>
          <w:lang w:val="en-US" w:eastAsia="ru-RU"/>
        </w:rPr>
        <w:t>Byron D. The impact of international criminal law on domestic jurisdictions. Madibeng Council of Chambers University of Johannesburg, South Africa. 1</w:t>
      </w:r>
      <w:r w:rsidRPr="00511005">
        <w:rPr>
          <w:rFonts w:ascii="Arial" w:eastAsia="Times New Roman" w:hAnsi="Arial" w:cs="Arial"/>
          <w:szCs w:val="28"/>
          <w:vertAlign w:val="superscript"/>
          <w:lang w:val="en-US" w:eastAsia="ru-RU"/>
        </w:rPr>
        <w:t>st</w:t>
      </w:r>
      <w:r w:rsidRPr="00511005">
        <w:rPr>
          <w:rFonts w:ascii="Arial" w:eastAsia="Times New Roman" w:hAnsi="Arial" w:cs="Arial"/>
          <w:szCs w:val="28"/>
          <w:lang w:val="en-US" w:eastAsia="ru-RU"/>
        </w:rPr>
        <w:t xml:space="preserve"> November 2013. 21 p. URL: </w:t>
      </w:r>
      <w:hyperlink r:id="rId72" w:history="1">
        <w:r w:rsidRPr="00511005">
          <w:rPr>
            <w:rFonts w:ascii="Arial" w:eastAsia="Times New Roman" w:hAnsi="Arial" w:cs="Arial"/>
            <w:szCs w:val="28"/>
            <w:lang w:val="en-US" w:eastAsia="ru-RU"/>
          </w:rPr>
          <w:t>https://ccj.org/wp-content/uploads/2021/03/Remarks-by-the-Right-Honourable-Sir-Dennis-Byron-at-the-International-Conference-on-the-Legac y -of-the-ICTR_20131101.pdf</w:t>
        </w:r>
      </w:hyperlink>
      <w:r w:rsidRPr="00511005">
        <w:rPr>
          <w:rFonts w:ascii="Arial" w:eastAsia="Times New Roman" w:hAnsi="Arial" w:cs="Arial"/>
          <w:szCs w:val="28"/>
          <w:lang w:val="en-US" w:eastAsia="ru-RU"/>
        </w:rPr>
        <w:t>.</w:t>
      </w:r>
    </w:p>
    <w:p w14:paraId="34005873" w14:textId="77777777" w:rsidR="006B07CA" w:rsidRPr="00511005" w:rsidRDefault="006B07CA" w:rsidP="006E394F">
      <w:pPr>
        <w:numPr>
          <w:ilvl w:val="0"/>
          <w:numId w:val="39"/>
        </w:numPr>
        <w:spacing w:line="264" w:lineRule="auto"/>
        <w:ind w:firstLine="560"/>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Anghie A. Imperialism, sovereignty and the making of international law. University of Utah. Cambridge University Press. Print publication year: 2005. Online publication date: August 2012. 319 p. URL: </w:t>
      </w:r>
      <w:hyperlink r:id="rId73" w:history="1">
        <w:r w:rsidRPr="00511005">
          <w:rPr>
            <w:rFonts w:ascii="Arial" w:eastAsia="Times New Roman" w:hAnsi="Arial" w:cs="Arial"/>
            <w:szCs w:val="28"/>
            <w:lang w:val="en-US" w:eastAsia="ru-RU"/>
          </w:rPr>
          <w:t xml:space="preserve">https://www.google.com.ua </w:t>
        </w:r>
        <w:r w:rsidRPr="00511005">
          <w:rPr>
            <w:rFonts w:ascii="Arial" w:eastAsia="Times New Roman" w:hAnsi="Arial" w:cs="Arial"/>
            <w:szCs w:val="28"/>
            <w:lang w:val="en-US" w:eastAsia="ru-RU"/>
          </w:rPr>
          <w:lastRenderedPageBreak/>
          <w:t>/books/edition/Imperialism_Sovereignty_and_the_Making_o/VJuHlZ1_fbEC?hl=ru&amp;gbpv=1&amp;dq=Antony+Anghie.+Imperialism,+sovereignty+and+the+making+of+international+law&amp;pg=PA313&amp;printsec=frontcover</w:t>
        </w:r>
      </w:hyperlink>
      <w:r w:rsidRPr="00511005">
        <w:rPr>
          <w:rFonts w:ascii="Arial" w:eastAsia="Times New Roman" w:hAnsi="Arial" w:cs="Arial"/>
          <w:szCs w:val="28"/>
          <w:lang w:val="en-US" w:eastAsia="ru-RU"/>
        </w:rPr>
        <w:t>.</w:t>
      </w:r>
    </w:p>
    <w:p w14:paraId="0C4E0261" w14:textId="77777777" w:rsidR="006B07CA" w:rsidRPr="00511005" w:rsidRDefault="006B07CA" w:rsidP="006E394F">
      <w:pPr>
        <w:numPr>
          <w:ilvl w:val="0"/>
          <w:numId w:val="39"/>
        </w:numPr>
        <w:spacing w:line="264" w:lineRule="auto"/>
        <w:ind w:firstLine="560"/>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Cheah P., Robbins B. Cosmopolitics: Thinking and feeling beyond the nation (Cultural politics). University of Minnesota Press. April 1, 1998. 392 p. URL: </w:t>
      </w:r>
      <w:hyperlink r:id="rId74" w:history="1">
        <w:r w:rsidRPr="00511005">
          <w:rPr>
            <w:rFonts w:ascii="Arial" w:eastAsia="Times New Roman" w:hAnsi="Arial" w:cs="Arial"/>
            <w:szCs w:val="28"/>
            <w:lang w:val="en-US" w:eastAsia="ru-RU"/>
          </w:rPr>
          <w:t>https://www.google.com.ua/books/edition/Cosmopolitics/4EmqLCWUFvEC?hl=ru&amp;gbpv=1&amp;dq=Cosmopolitics:+Thinking+and+feeling+beyond+the+nation+(Cultural+politics).&amp;printsec=frontcover</w:t>
        </w:r>
      </w:hyperlink>
      <w:r w:rsidRPr="00511005">
        <w:rPr>
          <w:rFonts w:ascii="Arial" w:eastAsia="Times New Roman" w:hAnsi="Arial" w:cs="Arial"/>
          <w:szCs w:val="28"/>
          <w:lang w:val="en-US" w:eastAsia="ru-RU"/>
        </w:rPr>
        <w:t>.</w:t>
      </w:r>
    </w:p>
    <w:p w14:paraId="27BE0B79" w14:textId="77777777" w:rsidR="006B07CA" w:rsidRPr="00511005" w:rsidRDefault="006B07CA" w:rsidP="006E394F">
      <w:pPr>
        <w:numPr>
          <w:ilvl w:val="0"/>
          <w:numId w:val="39"/>
        </w:numPr>
        <w:spacing w:line="264" w:lineRule="auto"/>
        <w:ind w:firstLine="560"/>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Lessig L. Code: And other laws of cyberspace. Cambridge, Massachusetts: Harvard College. December 5, 2006. 410 p. URL: </w:t>
      </w:r>
      <w:hyperlink r:id="rId75" w:history="1">
        <w:r w:rsidRPr="00511005">
          <w:rPr>
            <w:rFonts w:ascii="Arial" w:eastAsia="Times New Roman" w:hAnsi="Arial" w:cs="Arial"/>
            <w:szCs w:val="28"/>
            <w:lang w:val="en-US" w:eastAsia="ru-RU"/>
          </w:rPr>
          <w:t>https://commons.wikimedia. org/w/index.php?title=File:Code_v2.pdf&amp;page=6</w:t>
        </w:r>
      </w:hyperlink>
      <w:r w:rsidRPr="00511005">
        <w:rPr>
          <w:rFonts w:ascii="Arial" w:eastAsia="Times New Roman" w:hAnsi="Arial" w:cs="Arial"/>
          <w:szCs w:val="28"/>
          <w:lang w:val="en-US" w:eastAsia="ru-RU"/>
        </w:rPr>
        <w:t>.</w:t>
      </w:r>
    </w:p>
    <w:p w14:paraId="40CAD854" w14:textId="77777777" w:rsidR="006B07CA" w:rsidRPr="00511005" w:rsidRDefault="006B07CA" w:rsidP="006E394F">
      <w:pPr>
        <w:numPr>
          <w:ilvl w:val="0"/>
          <w:numId w:val="39"/>
        </w:numPr>
        <w:spacing w:line="264" w:lineRule="auto"/>
        <w:ind w:firstLine="560"/>
        <w:rPr>
          <w:rFonts w:ascii="Arial" w:eastAsia="Times New Roman" w:hAnsi="Arial" w:cs="Arial"/>
          <w:szCs w:val="28"/>
          <w:lang w:val="en-US" w:eastAsia="ru-RU"/>
        </w:rPr>
      </w:pPr>
      <w:r w:rsidRPr="00511005">
        <w:rPr>
          <w:rFonts w:ascii="Arial" w:eastAsia="Times New Roman" w:hAnsi="Arial" w:cs="Arial"/>
          <w:szCs w:val="28"/>
          <w:lang w:val="en-US" w:eastAsia="ru-RU"/>
        </w:rPr>
        <w:t>House of lords. Justice and home affairs committee. Technology rules? The advent of new technologies in the justice system. 1</w:t>
      </w:r>
      <w:r w:rsidRPr="00511005">
        <w:rPr>
          <w:rFonts w:ascii="Arial" w:eastAsia="Times New Roman" w:hAnsi="Arial" w:cs="Arial"/>
          <w:szCs w:val="28"/>
          <w:vertAlign w:val="superscript"/>
          <w:lang w:val="en-US" w:eastAsia="ru-RU"/>
        </w:rPr>
        <w:t>st</w:t>
      </w:r>
      <w:r w:rsidRPr="00511005">
        <w:rPr>
          <w:rFonts w:ascii="Arial" w:eastAsia="Times New Roman" w:hAnsi="Arial" w:cs="Arial"/>
          <w:szCs w:val="28"/>
          <w:lang w:val="en-US" w:eastAsia="ru-RU"/>
        </w:rPr>
        <w:t xml:space="preserve"> report of session 2021-22. 93 p. URL: https://publications.parliament.uk/pa/ld5802/ldselect/ldjusthom/180/180.p.</w:t>
      </w:r>
    </w:p>
    <w:p w14:paraId="40D9F145" w14:textId="77777777" w:rsidR="006B07CA" w:rsidRPr="00511005" w:rsidRDefault="006B07CA" w:rsidP="003A292D">
      <w:pPr>
        <w:spacing w:line="264" w:lineRule="auto"/>
        <w:ind w:firstLine="0"/>
        <w:rPr>
          <w:rFonts w:ascii="Arial" w:eastAsia="Times New Roman" w:hAnsi="Arial" w:cs="Arial"/>
          <w:b/>
          <w:szCs w:val="28"/>
          <w:lang w:val="en-US" w:eastAsia="ru-RU"/>
        </w:rPr>
      </w:pPr>
    </w:p>
    <w:p w14:paraId="0409CD58" w14:textId="5564C7B3" w:rsidR="006B07CA" w:rsidRPr="00511005" w:rsidRDefault="007B2628" w:rsidP="003A292D">
      <w:pPr>
        <w:spacing w:line="264" w:lineRule="auto"/>
        <w:ind w:firstLine="0"/>
        <w:rPr>
          <w:rFonts w:ascii="Arial" w:eastAsia="Times New Roman" w:hAnsi="Arial" w:cs="Arial"/>
          <w:b/>
          <w:szCs w:val="28"/>
          <w:lang w:val="uk-UA" w:eastAsia="ru-RU"/>
        </w:rPr>
      </w:pPr>
      <w:r w:rsidRPr="00511005">
        <w:rPr>
          <w:rFonts w:ascii="Arial" w:eastAsia="Times New Roman" w:hAnsi="Arial" w:cs="Arial"/>
          <w:b/>
          <w:i/>
          <w:szCs w:val="28"/>
          <w:lang w:val="uk-UA" w:eastAsia="ru-RU"/>
        </w:rPr>
        <w:t xml:space="preserve">Ключові слова: </w:t>
      </w:r>
      <w:r w:rsidR="006B07CA" w:rsidRPr="00511005">
        <w:rPr>
          <w:rFonts w:ascii="Arial" w:eastAsia="Times New Roman" w:hAnsi="Arial" w:cs="Arial"/>
          <w:szCs w:val="28"/>
          <w:lang w:val="uk-UA" w:eastAsia="ru-RU"/>
        </w:rPr>
        <w:t>глобалізація, теорія права, правовий плюралізм, правова система, суверенітет, міжнародне право, постмодерн, технічний прогрес, кібербезпека.</w:t>
      </w:r>
      <w:r w:rsidR="006B07CA" w:rsidRPr="00511005">
        <w:rPr>
          <w:rFonts w:ascii="Arial" w:eastAsia="Times New Roman" w:hAnsi="Arial" w:cs="Arial"/>
          <w:b/>
          <w:szCs w:val="28"/>
          <w:lang w:val="uk-UA" w:eastAsia="ru-RU"/>
        </w:rPr>
        <w:t xml:space="preserve"> </w:t>
      </w:r>
    </w:p>
    <w:p w14:paraId="07176451" w14:textId="382C518E" w:rsidR="006B07CA" w:rsidRPr="00511005" w:rsidRDefault="007B2628" w:rsidP="003A292D">
      <w:pPr>
        <w:spacing w:line="264" w:lineRule="auto"/>
        <w:ind w:firstLine="0"/>
        <w:rPr>
          <w:rFonts w:ascii="Arial" w:eastAsia="Times New Roman" w:hAnsi="Arial" w:cs="Arial"/>
          <w:szCs w:val="28"/>
          <w:lang w:val="en-GB" w:eastAsia="ru-RU"/>
        </w:rPr>
      </w:pPr>
      <w:r w:rsidRPr="00511005">
        <w:rPr>
          <w:rFonts w:ascii="Arial" w:eastAsia="Times New Roman" w:hAnsi="Arial" w:cs="Arial"/>
          <w:b/>
          <w:i/>
          <w:szCs w:val="28"/>
          <w:lang w:val="en-GB" w:eastAsia="ru-RU"/>
        </w:rPr>
        <w:t xml:space="preserve">Key words: </w:t>
      </w:r>
      <w:r w:rsidR="006B07CA" w:rsidRPr="00511005">
        <w:rPr>
          <w:rFonts w:ascii="Arial" w:eastAsia="Times New Roman" w:hAnsi="Arial" w:cs="Arial"/>
          <w:szCs w:val="28"/>
          <w:lang w:val="en-GB" w:eastAsia="ru-RU"/>
        </w:rPr>
        <w:t>globalization, theory of law, legal pluralism, legal system, sovereignty, international law, postmodern, technological progress, cybersecurity.</w:t>
      </w:r>
    </w:p>
    <w:p w14:paraId="27702582" w14:textId="3D56EABF" w:rsidR="006B07CA" w:rsidRPr="00511005" w:rsidRDefault="006C2EDA" w:rsidP="003A292D">
      <w:pPr>
        <w:spacing w:line="264" w:lineRule="auto"/>
        <w:ind w:firstLine="0"/>
        <w:rPr>
          <w:rFonts w:ascii="Arial" w:eastAsia="Times New Roman" w:hAnsi="Arial" w:cs="Arial"/>
          <w:i/>
          <w:szCs w:val="28"/>
          <w:lang w:val="en-US" w:eastAsia="ru-RU"/>
        </w:rPr>
      </w:pPr>
      <w:r w:rsidRPr="006C2EDA">
        <w:rPr>
          <w:rFonts w:ascii="Arial" w:eastAsia="Times New Roman" w:hAnsi="Arial" w:cs="Arial"/>
          <w:b/>
          <w:bCs/>
          <w:i/>
          <w:iCs/>
          <w:szCs w:val="28"/>
          <w:lang w:val="en-US" w:eastAsia="ru-RU"/>
        </w:rPr>
        <w:t xml:space="preserve">Academic supervisor: </w:t>
      </w:r>
      <w:r w:rsidR="006B07CA" w:rsidRPr="00511005">
        <w:rPr>
          <w:rFonts w:ascii="Arial" w:eastAsia="Times New Roman" w:hAnsi="Arial" w:cs="Arial"/>
          <w:i/>
          <w:szCs w:val="28"/>
          <w:lang w:val="en-GB" w:eastAsia="ru-RU"/>
        </w:rPr>
        <w:t>Doctor of Law, Professo</w:t>
      </w:r>
      <w:r w:rsidR="006B07CA" w:rsidRPr="00511005">
        <w:rPr>
          <w:rFonts w:ascii="Arial" w:eastAsia="Times New Roman" w:hAnsi="Arial" w:cs="Arial"/>
          <w:i/>
          <w:szCs w:val="28"/>
          <w:lang w:val="en-US" w:eastAsia="ru-RU"/>
        </w:rPr>
        <w:t>r</w:t>
      </w:r>
      <w:r w:rsidR="006B07CA" w:rsidRPr="00511005">
        <w:rPr>
          <w:rFonts w:ascii="Arial" w:eastAsia="Times New Roman" w:hAnsi="Arial" w:cs="Arial"/>
          <w:i/>
          <w:szCs w:val="28"/>
          <w:lang w:val="en-GB" w:eastAsia="ru-RU"/>
        </w:rPr>
        <w:t xml:space="preserve"> Meln</w:t>
      </w:r>
      <w:r w:rsidR="006B07CA" w:rsidRPr="00511005">
        <w:rPr>
          <w:rFonts w:ascii="Arial" w:eastAsia="Times New Roman" w:hAnsi="Arial" w:cs="Arial"/>
          <w:i/>
          <w:szCs w:val="28"/>
          <w:lang w:val="en-US" w:eastAsia="ru-RU"/>
        </w:rPr>
        <w:t>y</w:t>
      </w:r>
      <w:r w:rsidR="006B07CA" w:rsidRPr="00511005">
        <w:rPr>
          <w:rFonts w:ascii="Arial" w:eastAsia="Times New Roman" w:hAnsi="Arial" w:cs="Arial"/>
          <w:i/>
          <w:szCs w:val="28"/>
          <w:lang w:val="en-GB" w:eastAsia="ru-RU"/>
        </w:rPr>
        <w:t>chuk O</w:t>
      </w:r>
      <w:r w:rsidR="006B07CA" w:rsidRPr="00511005">
        <w:rPr>
          <w:rFonts w:ascii="Arial" w:eastAsia="Times New Roman" w:hAnsi="Arial" w:cs="Arial"/>
          <w:i/>
          <w:szCs w:val="28"/>
          <w:lang w:val="en-US" w:eastAsia="ru-RU"/>
        </w:rPr>
        <w:t>.</w:t>
      </w:r>
      <w:r w:rsidR="006B07CA" w:rsidRPr="00511005">
        <w:rPr>
          <w:rFonts w:ascii="Arial" w:eastAsia="Times New Roman" w:hAnsi="Arial" w:cs="Arial"/>
          <w:i/>
          <w:szCs w:val="28"/>
          <w:lang w:val="en-GB" w:eastAsia="ru-RU"/>
        </w:rPr>
        <w:t xml:space="preserve"> S</w:t>
      </w:r>
      <w:r w:rsidR="006B07CA" w:rsidRPr="00511005">
        <w:rPr>
          <w:rFonts w:ascii="Arial" w:eastAsia="Times New Roman" w:hAnsi="Arial" w:cs="Arial"/>
          <w:i/>
          <w:szCs w:val="28"/>
          <w:lang w:val="en-US" w:eastAsia="ru-RU"/>
        </w:rPr>
        <w:t>.</w:t>
      </w:r>
    </w:p>
    <w:p w14:paraId="145BBAE7" w14:textId="77777777" w:rsidR="006B07CA" w:rsidRPr="00511005" w:rsidRDefault="006B07CA" w:rsidP="003A292D">
      <w:pPr>
        <w:spacing w:line="264" w:lineRule="auto"/>
        <w:ind w:firstLine="0"/>
        <w:jc w:val="center"/>
        <w:rPr>
          <w:rFonts w:ascii="Arial" w:eastAsia="Times New Roman" w:hAnsi="Arial" w:cs="Arial"/>
          <w:bCs/>
          <w:iCs/>
          <w:szCs w:val="28"/>
          <w:lang w:val="uk-UA" w:eastAsia="ru-RU"/>
        </w:rPr>
      </w:pPr>
    </w:p>
    <w:p w14:paraId="1E1DFF1F" w14:textId="77777777" w:rsidR="006B07CA" w:rsidRPr="00511005" w:rsidRDefault="006B07CA" w:rsidP="003A292D">
      <w:pPr>
        <w:spacing w:line="264" w:lineRule="auto"/>
        <w:ind w:firstLine="0"/>
        <w:jc w:val="center"/>
        <w:rPr>
          <w:rFonts w:ascii="Arial" w:eastAsia="Times New Roman" w:hAnsi="Arial" w:cs="Arial"/>
          <w:bCs/>
          <w:iCs/>
          <w:szCs w:val="28"/>
          <w:lang w:val="uk-UA" w:eastAsia="ru-RU"/>
        </w:rPr>
      </w:pPr>
    </w:p>
    <w:p w14:paraId="68D2BD8D" w14:textId="77777777" w:rsidR="006B07CA" w:rsidRPr="006C2EDA" w:rsidRDefault="006B07CA" w:rsidP="003A292D">
      <w:pPr>
        <w:spacing w:line="264" w:lineRule="auto"/>
        <w:ind w:firstLine="0"/>
        <w:jc w:val="center"/>
        <w:rPr>
          <w:rFonts w:ascii="Arial" w:eastAsia="Times New Roman" w:hAnsi="Arial" w:cs="Arial"/>
          <w:b/>
          <w:bCs/>
          <w:i/>
          <w:iCs/>
          <w:kern w:val="2"/>
          <w:szCs w:val="28"/>
          <w:lang w:val="uk-UA" w:eastAsia="ru-RU"/>
        </w:rPr>
      </w:pPr>
      <w:r w:rsidRPr="006C2EDA">
        <w:rPr>
          <w:rFonts w:ascii="Arial" w:eastAsia="Times New Roman" w:hAnsi="Arial" w:cs="Arial"/>
          <w:b/>
          <w:bCs/>
          <w:i/>
          <w:iCs/>
          <w:kern w:val="2"/>
          <w:szCs w:val="28"/>
          <w:lang w:eastAsia="ru-RU"/>
        </w:rPr>
        <w:t>Тарасенко Альб</w:t>
      </w:r>
      <w:r w:rsidRPr="006C2EDA">
        <w:rPr>
          <w:rFonts w:ascii="Arial" w:eastAsia="Times New Roman" w:hAnsi="Arial" w:cs="Arial"/>
          <w:b/>
          <w:bCs/>
          <w:i/>
          <w:iCs/>
          <w:kern w:val="2"/>
          <w:szCs w:val="28"/>
          <w:lang w:val="uk-UA" w:eastAsia="ru-RU"/>
        </w:rPr>
        <w:t>іна Владиславівна</w:t>
      </w:r>
    </w:p>
    <w:p w14:paraId="77BEC2C7" w14:textId="7E69C049" w:rsidR="006B07CA" w:rsidRPr="00511005" w:rsidRDefault="006E394F" w:rsidP="003A292D">
      <w:pPr>
        <w:spacing w:line="264" w:lineRule="auto"/>
        <w:ind w:firstLine="0"/>
        <w:jc w:val="center"/>
        <w:rPr>
          <w:rFonts w:ascii="Arial" w:eastAsia="Times New Roman" w:hAnsi="Arial" w:cs="Arial"/>
          <w:kern w:val="2"/>
          <w:szCs w:val="28"/>
          <w:lang w:val="uk-UA" w:eastAsia="ru-RU"/>
        </w:rPr>
      </w:pPr>
      <w:r w:rsidRPr="00511005">
        <w:rPr>
          <w:rFonts w:ascii="Arial" w:eastAsia="Times New Roman" w:hAnsi="Arial" w:cs="Arial"/>
          <w:kern w:val="2"/>
          <w:szCs w:val="28"/>
          <w:lang w:val="uk-UA" w:eastAsia="ru-RU"/>
        </w:rPr>
        <w:t>с</w:t>
      </w:r>
      <w:r w:rsidR="00BE3972" w:rsidRPr="00511005">
        <w:rPr>
          <w:rFonts w:ascii="Arial" w:eastAsia="Times New Roman" w:hAnsi="Arial" w:cs="Arial"/>
          <w:kern w:val="2"/>
          <w:szCs w:val="28"/>
          <w:lang w:val="uk-UA" w:eastAsia="ru-RU"/>
        </w:rPr>
        <w:t>тудент</w:t>
      </w:r>
      <w:r w:rsidRPr="00511005">
        <w:rPr>
          <w:rFonts w:ascii="Arial" w:eastAsia="Times New Roman" w:hAnsi="Arial" w:cs="Arial"/>
          <w:kern w:val="2"/>
          <w:szCs w:val="28"/>
          <w:lang w:val="uk-UA" w:eastAsia="ru-RU"/>
        </w:rPr>
        <w:t>ка</w:t>
      </w:r>
      <w:r w:rsidR="00BE3972" w:rsidRPr="00511005">
        <w:rPr>
          <w:rFonts w:ascii="Arial" w:eastAsia="Times New Roman" w:hAnsi="Arial" w:cs="Arial"/>
          <w:kern w:val="2"/>
          <w:szCs w:val="28"/>
          <w:lang w:val="uk-UA" w:eastAsia="ru-RU"/>
        </w:rPr>
        <w:t xml:space="preserve"> 1-го курсу </w:t>
      </w:r>
      <w:r w:rsidR="00536AAB" w:rsidRPr="00511005">
        <w:rPr>
          <w:rFonts w:ascii="Arial" w:eastAsia="Times New Roman" w:hAnsi="Arial" w:cs="Arial"/>
          <w:kern w:val="2"/>
          <w:szCs w:val="28"/>
          <w:lang w:val="uk-UA" w:eastAsia="ru-RU"/>
        </w:rPr>
        <w:t>факультету адвокатури та антикорупційної діяльності</w:t>
      </w:r>
    </w:p>
    <w:p w14:paraId="6C435675" w14:textId="346463B2" w:rsidR="006B07CA"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E58C49B" w14:textId="77777777" w:rsidR="006B07CA" w:rsidRPr="00511005" w:rsidRDefault="006B07CA" w:rsidP="003A292D">
      <w:pPr>
        <w:spacing w:line="264" w:lineRule="auto"/>
        <w:ind w:firstLine="0"/>
        <w:jc w:val="center"/>
        <w:rPr>
          <w:rFonts w:ascii="Arial" w:eastAsia="Times New Roman" w:hAnsi="Arial" w:cs="Arial"/>
          <w:kern w:val="2"/>
          <w:szCs w:val="28"/>
          <w:lang w:eastAsia="ru-RU"/>
        </w:rPr>
      </w:pPr>
    </w:p>
    <w:p w14:paraId="5E7B631F" w14:textId="77777777" w:rsidR="006B07CA" w:rsidRPr="00511005" w:rsidRDefault="006B07CA" w:rsidP="003A292D">
      <w:pPr>
        <w:spacing w:line="264" w:lineRule="auto"/>
        <w:ind w:firstLine="0"/>
        <w:jc w:val="center"/>
        <w:rPr>
          <w:rFonts w:ascii="Arial" w:eastAsia="Times New Roman" w:hAnsi="Arial" w:cs="Arial"/>
          <w:b/>
          <w:bCs/>
          <w:kern w:val="2"/>
          <w:szCs w:val="28"/>
          <w:lang w:val="uk-UA" w:eastAsia="ru-RU"/>
        </w:rPr>
      </w:pPr>
      <w:r w:rsidRPr="00511005">
        <w:rPr>
          <w:rFonts w:ascii="Arial" w:eastAsia="Times New Roman" w:hAnsi="Arial" w:cs="Arial"/>
          <w:b/>
          <w:bCs/>
          <w:kern w:val="2"/>
          <w:szCs w:val="28"/>
          <w:lang w:val="uk-UA" w:eastAsia="ru-RU"/>
        </w:rPr>
        <w:t xml:space="preserve">ПРАВО І ДЕРЖАВА В УМОВАХ ГЛОБАЛІЗАЦІЇ СВІТУ </w:t>
      </w:r>
    </w:p>
    <w:p w14:paraId="3E967CFF" w14:textId="77777777" w:rsidR="006B07CA" w:rsidRPr="00511005" w:rsidRDefault="006B07CA" w:rsidP="006E394F">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У сучасному світі глобалізація стала однією з провідних тенденцій розвитку людства. Вона охоплює економіку, політику, культуру, інформаційні технології та, безумовно, правову сферу. </w:t>
      </w:r>
      <w:r w:rsidRPr="00511005">
        <w:rPr>
          <w:rFonts w:ascii="Arial" w:eastAsia="Times New Roman" w:hAnsi="Arial" w:cs="Arial"/>
          <w:szCs w:val="28"/>
          <w:lang w:eastAsia="ru-RU"/>
        </w:rPr>
        <w:t xml:space="preserve">Під її впливом відбуваються суттєві зміни в діяльності держав, </w:t>
      </w:r>
      <w:proofErr w:type="gramStart"/>
      <w:r w:rsidRPr="00511005">
        <w:rPr>
          <w:rFonts w:ascii="Arial" w:eastAsia="Times New Roman" w:hAnsi="Arial" w:cs="Arial"/>
          <w:szCs w:val="28"/>
          <w:lang w:eastAsia="ru-RU"/>
        </w:rPr>
        <w:t>у способах</w:t>
      </w:r>
      <w:proofErr w:type="gramEnd"/>
      <w:r w:rsidRPr="00511005">
        <w:rPr>
          <w:rFonts w:ascii="Arial" w:eastAsia="Times New Roman" w:hAnsi="Arial" w:cs="Arial"/>
          <w:szCs w:val="28"/>
          <w:lang w:eastAsia="ru-RU"/>
        </w:rPr>
        <w:t xml:space="preserve"> реалізації влади, у функціонуванні національних правових систем. Глобалізація створює нові виклики для державного суверенітету, потребує адаптації національного права до міжнародних стандартів, а також посилення співпраці між країнами. У цьому контексті особливо актуальним стає питання ролі права як регулятора суспільних відносин у глобалізованому </w:t>
      </w:r>
      <w:proofErr w:type="gramStart"/>
      <w:r w:rsidRPr="00511005">
        <w:rPr>
          <w:rFonts w:ascii="Arial" w:eastAsia="Times New Roman" w:hAnsi="Arial" w:cs="Arial"/>
          <w:szCs w:val="28"/>
          <w:lang w:eastAsia="ru-RU"/>
        </w:rPr>
        <w:t>світі</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З</w:t>
      </w:r>
      <w:proofErr w:type="gramEnd"/>
      <w:r w:rsidRPr="00511005">
        <w:rPr>
          <w:rFonts w:ascii="Arial" w:eastAsia="Times New Roman" w:hAnsi="Arial" w:cs="Arial"/>
          <w:szCs w:val="28"/>
          <w:lang w:eastAsia="ru-RU"/>
        </w:rPr>
        <w:t xml:space="preserve"> одного боку, глобалізація сприяє уніфікації правових норм, розвитку міжнародного права та створенню спільних стандартів у сфері прав людини, екології, торгівлі </w:t>
      </w:r>
      <w:r w:rsidRPr="00511005">
        <w:rPr>
          <w:rFonts w:ascii="Arial" w:eastAsia="Times New Roman" w:hAnsi="Arial" w:cs="Arial"/>
          <w:szCs w:val="28"/>
          <w:lang w:eastAsia="ru-RU"/>
        </w:rPr>
        <w:lastRenderedPageBreak/>
        <w:t>тощо. З іншого боку, вона загострює проблему збереження національної правової ідентичності та самобутності. Усе це вимагає від держав гнучкості, здатності до правової адаптації й активної участі в міжнародному правотворчому процесі.</w:t>
      </w:r>
    </w:p>
    <w:p w14:paraId="2E460938" w14:textId="77777777" w:rsidR="006B07CA" w:rsidRPr="00511005" w:rsidRDefault="006B07CA" w:rsidP="006E394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Виявлено, що процес глобалізації права включає взаємодію сучасних правових систем шляхом конвергенції, асиміляції та інтеграції, що в підсумку призводить до інтернаціоналізації національного права незалежних держав. Рівень глобалізованості правової системи тієї чи іншої країни залежить від завдань і пріоритетів її конституційно-правової політики, яка є ключовим напрямом загальної правової стратегії держави.[1]</w:t>
      </w:r>
    </w:p>
    <w:p w14:paraId="4FDC873A" w14:textId="77777777" w:rsidR="006B07CA" w:rsidRPr="00511005" w:rsidRDefault="006B07CA" w:rsidP="006E394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Доведено, що чинники, які визначають існування й розвиток права на сучасному етапі, набувають нових відтінків і змісту, що зумовлено особливостями глобалізаційних процесів. Зроблено висновок, що немає достатніх підстав стверджувати про загрозу краху національних держав унаслідок глобалізації. Аргументовано, що під впливом глобалізації спостерігається обмеження державного суверенітету, поява процесів інтерналізації державних функцій та модернізація механізмів державного управління. Право розглядається як соціальний регулятор, що об’єднує загальнолюдські цінності з національно-специфічними особливостями певного суспільства. Завершеності своєму існуванню право набуває через його практичне застосування. Регіоналізація не заперечує глобалізаційних процесів інтеграції та уніфікації на світовому рівні, а навпаки — виступає необхідною умовою для їх </w:t>
      </w:r>
      <w:proofErr w:type="gramStart"/>
      <w:r w:rsidRPr="00511005">
        <w:rPr>
          <w:rFonts w:ascii="Arial" w:eastAsia="Times New Roman" w:hAnsi="Arial" w:cs="Arial"/>
          <w:szCs w:val="28"/>
          <w:lang w:eastAsia="ru-RU"/>
        </w:rPr>
        <w:t>реалізації.Глобалізація</w:t>
      </w:r>
      <w:proofErr w:type="gramEnd"/>
      <w:r w:rsidRPr="00511005">
        <w:rPr>
          <w:rFonts w:ascii="Arial" w:eastAsia="Times New Roman" w:hAnsi="Arial" w:cs="Arial"/>
          <w:szCs w:val="28"/>
          <w:lang w:eastAsia="ru-RU"/>
        </w:rPr>
        <w:t xml:space="preserve">, яка зумовила зміну парадигми економічного розвитку, справила глибокий вплив як на глобальні, так і на внутрішньодержавні процеси. Сучасне право, а також усі соціальні явища та механізми, що впливають на його розвиток та функціонування, перебувають під визначальним впливом глобалізації. Щоб уникнути авторитарно-насильницького характеру глобалізації стосовно людини як найвищої соціальної цінності, національні держави повинні самостійно знаходити «точки перетину», формуючи оптимальні механізми міжцивілізаційного діалогу на основі діалогічності, співпраці та рівноправного партнерства. </w:t>
      </w:r>
    </w:p>
    <w:p w14:paraId="5A3CACC3" w14:textId="77777777" w:rsidR="006B07CA" w:rsidRPr="00511005" w:rsidRDefault="006B07CA" w:rsidP="006E394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цьому контексті актуальною є ідея створення Кодексу взаємовідносин держав, який регламентуватиме їхню поведінку в умовах спільної інтеграційної політики. Такі відносини можуть мати ліберальний характер, коли держава зберігає суверенітет та автономію у прийнятті управлінських рішень, або авторитарний, коли в межах інтеграційного об’єднання держави керуються переважно власними інтересами. Саме така прагматична позиція відповідає логіці глобалізації, оскільки надає національним державам змогу реалізовувати свої інтереси, використовуючи історичні можливості. </w:t>
      </w:r>
    </w:p>
    <w:p w14:paraId="64BC95DF" w14:textId="77777777" w:rsidR="006B07CA" w:rsidRPr="00511005" w:rsidRDefault="006B07CA" w:rsidP="006E394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У результаті кожне суспільство або регіональне утворення постає перед неминучим вибором, що вимагає вироблення нових підходів, мови та способів мислення, які відповідали б природі й структурі сучасних </w:t>
      </w:r>
      <w:proofErr w:type="gramStart"/>
      <w:r w:rsidRPr="00511005">
        <w:rPr>
          <w:rFonts w:ascii="Arial" w:eastAsia="Times New Roman" w:hAnsi="Arial" w:cs="Arial"/>
          <w:szCs w:val="28"/>
          <w:lang w:eastAsia="ru-RU"/>
        </w:rPr>
        <w:t>загроз.Необхідність</w:t>
      </w:r>
      <w:proofErr w:type="gramEnd"/>
      <w:r w:rsidRPr="00511005">
        <w:rPr>
          <w:rFonts w:ascii="Arial" w:eastAsia="Times New Roman" w:hAnsi="Arial" w:cs="Arial"/>
          <w:szCs w:val="28"/>
          <w:lang w:eastAsia="ru-RU"/>
        </w:rPr>
        <w:t xml:space="preserve"> створення такого кодексу взаємин між державами найбільш актуальна в контексті розробки європейської конституції, що виявила значні суперечності між країнами Європи. Запровадження такого документа дозволить зберегти національну ідентичність держав в умовах глобального середовища. У ситуації глобалізації першочерговим завданням є пошук оптимального співвідношення інтересів між державами, тобто визначення ступеня кореляції їхніх економічних і політичних цілей. Економічні інтереси, як правило, просуваються окремими лобістськими групами, що закономірно впливає на політику держав.</w:t>
      </w:r>
    </w:p>
    <w:p w14:paraId="31CE6E78"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Глобалізація повинна тлумачитися як об’єктивний процес сучасності, що базується на формуванні якісно нових форм взаємодії між країнами та народами, зростаючій взаємозалежності в усіх сферах життя. Вона зумовлює потребу у створенні належного правового підґрунтя для забезпечення гармонійного співіснування націй та вирішення глобальних проблем людства. Право в цьому процесі відіграє ключову роль як нормативна основа глобалізації. Особливості глобалізації, її проблематика й перспективи визначають особливості розвитку права та його місце в сучасному світі. </w:t>
      </w:r>
      <w:r w:rsidRPr="00511005">
        <w:rPr>
          <w:rFonts w:ascii="Arial" w:eastAsia="Times New Roman" w:hAnsi="Arial" w:cs="Arial"/>
          <w:szCs w:val="28"/>
          <w:lang w:val="uk-UA" w:eastAsia="ru-RU"/>
        </w:rPr>
        <w:t>[3]</w:t>
      </w:r>
    </w:p>
    <w:p w14:paraId="5770BEFE" w14:textId="77777777" w:rsidR="006B07CA" w:rsidRPr="00511005" w:rsidRDefault="006B07CA" w:rsidP="006E394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Глобалізація трансформує всі форми суспільного життя, змінює їхнє призначення та функціональність. Її вплив на антропологічні чинники веде до зміни змісту прав людини, форм і способів їх реалізації. Що ж до юридичних аспектів, глобалізація посилює взаємозв’язок і взаємовплив міжнародного й національного правопорядків.</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 xml:space="preserve"> Як окремий чинник, вона вимагає створення єдиних правових стандартів, що сприятимуть гуманістичному співіснуванню націй у глобальному середовищі. </w:t>
      </w:r>
    </w:p>
    <w:p w14:paraId="1B5C0877" w14:textId="77777777" w:rsidR="006B07CA" w:rsidRPr="00511005" w:rsidRDefault="006B07CA" w:rsidP="006E394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Через ускладнення економічних, культурних та соціальних зв’язків, а також зростання соціальної свободи, спостерігається плюралізація суб’єктів, які формують право поза межами держави. Унаслідок цього формується складна багаторівнева система правового регулювання на національному, міжнародному й наднаціональному рівнях. В умовах глобалізації відбувається поступовий перехід від домінування національного права до пріоритету міжнародного. Якщо раніше держави відігравали провідну роль у створенні норм міжнародного права, то нині вони частіше змушені враховувати вже сформовані міжнародні правові норми.</w:t>
      </w:r>
      <w:r w:rsidRPr="00511005">
        <w:rPr>
          <w:rFonts w:ascii="Arial" w:eastAsia="Times New Roman" w:hAnsi="Arial" w:cs="Arial"/>
          <w:szCs w:val="28"/>
          <w:lang w:val="uk-UA" w:eastAsia="ru-RU"/>
        </w:rPr>
        <w:t>[4]</w:t>
      </w:r>
      <w:r w:rsidRPr="00511005">
        <w:rPr>
          <w:rFonts w:ascii="Arial" w:eastAsia="Times New Roman" w:hAnsi="Arial" w:cs="Arial"/>
          <w:szCs w:val="28"/>
          <w:lang w:eastAsia="ru-RU"/>
        </w:rPr>
        <w:t xml:space="preserve"> Водночас така взаємодія має великий потенціал для нормативного та інституційного розвитку обох правових систем. Право вдосконалюється в процесі спільного регулювання. Глобалізація породжує тенденції до універсалізації права, які проявляються у формі правової інтерналізації та правової конвергенції.</w:t>
      </w:r>
    </w:p>
    <w:p w14:paraId="34BD902D" w14:textId="77777777" w:rsidR="006B07CA" w:rsidRPr="00511005" w:rsidRDefault="006B07CA" w:rsidP="006E394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Глобалізація суттєво впливає на право та державу, викликаючи потребу в адаптації національних правових систем до міжнародних стандартів. Право стає інструментом узгодження глобальних і національних інтересів, зберігаючи баланс між інтеграцією та суверенітетом. Необхідним є створення загальних правових норм і механізмів міждержавної взаємодії для гармонійного співіснування у глобальному середовищі.</w:t>
      </w:r>
    </w:p>
    <w:p w14:paraId="6750EB1B" w14:textId="77777777" w:rsidR="006B07CA" w:rsidRPr="00511005" w:rsidRDefault="006B07CA" w:rsidP="003A292D">
      <w:pPr>
        <w:spacing w:line="264" w:lineRule="auto"/>
        <w:ind w:firstLine="0"/>
        <w:rPr>
          <w:rFonts w:ascii="Arial" w:eastAsia="Times New Roman" w:hAnsi="Arial" w:cs="Arial"/>
          <w:szCs w:val="28"/>
          <w:lang w:eastAsia="ru-RU"/>
        </w:rPr>
      </w:pPr>
    </w:p>
    <w:p w14:paraId="26586611" w14:textId="2A5009EB" w:rsidR="006B07CA"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28506C4D" w14:textId="77777777" w:rsidR="006B07CA" w:rsidRPr="00511005" w:rsidRDefault="006B07CA" w:rsidP="006E394F">
      <w:pPr>
        <w:numPr>
          <w:ilvl w:val="0"/>
          <w:numId w:val="40"/>
        </w:numPr>
        <w:spacing w:line="264" w:lineRule="auto"/>
        <w:ind w:left="0" w:firstLine="709"/>
        <w:rPr>
          <w:rFonts w:ascii="Arial" w:eastAsia="Times New Roman" w:hAnsi="Arial" w:cs="Arial"/>
          <w:szCs w:val="28"/>
          <w:lang w:eastAsia="ru-RU"/>
        </w:rPr>
      </w:pPr>
      <w:r w:rsidRPr="00511005">
        <w:rPr>
          <w:rFonts w:ascii="Arial" w:eastAsia="Times New Roman" w:hAnsi="Arial" w:cs="Arial"/>
          <w:szCs w:val="28"/>
          <w:lang w:eastAsia="ru-RU"/>
        </w:rPr>
        <w:t>Бірюкова А. Трансформація національної правової системи в умовах глобалізації. Підприємництво, господарство і право. 2018. № 5. С. 198–202.</w:t>
      </w:r>
    </w:p>
    <w:p w14:paraId="30577C72" w14:textId="77777777" w:rsidR="006B07CA" w:rsidRPr="00511005" w:rsidRDefault="006B07CA" w:rsidP="006E394F">
      <w:pPr>
        <w:numPr>
          <w:ilvl w:val="0"/>
          <w:numId w:val="40"/>
        </w:numPr>
        <w:spacing w:line="264" w:lineRule="auto"/>
        <w:ind w:left="0" w:firstLine="709"/>
        <w:rPr>
          <w:rFonts w:ascii="Arial" w:eastAsia="Times New Roman" w:hAnsi="Arial" w:cs="Arial"/>
          <w:szCs w:val="28"/>
          <w:lang w:eastAsia="ru-RU"/>
        </w:rPr>
      </w:pPr>
      <w:r w:rsidRPr="00511005">
        <w:rPr>
          <w:rFonts w:ascii="Arial" w:eastAsia="Times New Roman" w:hAnsi="Arial" w:cs="Arial"/>
          <w:szCs w:val="28"/>
          <w:lang w:eastAsia="ru-RU"/>
        </w:rPr>
        <w:t>Бірюков Р.М. Глобалізації та її вплив на правову сферу. Порівняльно-правові дослідження. 2009. № 2. С. 36–40.</w:t>
      </w:r>
    </w:p>
    <w:p w14:paraId="274DFD47" w14:textId="77777777" w:rsidR="006B07CA" w:rsidRPr="00511005" w:rsidRDefault="006B07CA" w:rsidP="006E394F">
      <w:pPr>
        <w:numPr>
          <w:ilvl w:val="0"/>
          <w:numId w:val="40"/>
        </w:numPr>
        <w:spacing w:line="264" w:lineRule="auto"/>
        <w:ind w:left="0" w:firstLine="709"/>
        <w:rPr>
          <w:rFonts w:ascii="Arial" w:eastAsia="Times New Roman" w:hAnsi="Arial" w:cs="Arial"/>
          <w:szCs w:val="28"/>
          <w:lang w:eastAsia="ru-RU"/>
        </w:rPr>
      </w:pPr>
      <w:r w:rsidRPr="00511005">
        <w:rPr>
          <w:rFonts w:ascii="Arial" w:eastAsia="Times New Roman" w:hAnsi="Arial" w:cs="Arial"/>
          <w:szCs w:val="28"/>
          <w:lang w:eastAsia="ru-RU"/>
        </w:rPr>
        <w:t xml:space="preserve">Войтович Р. Ідеологія глобалізації та її вплив на систему державного </w:t>
      </w:r>
      <w:proofErr w:type="gramStart"/>
      <w:r w:rsidRPr="00511005">
        <w:rPr>
          <w:rFonts w:ascii="Arial" w:eastAsia="Times New Roman" w:hAnsi="Arial" w:cs="Arial"/>
          <w:szCs w:val="28"/>
          <w:lang w:eastAsia="ru-RU"/>
        </w:rPr>
        <w:t>управління:теоретико</w:t>
      </w:r>
      <w:proofErr w:type="gramEnd"/>
      <w:r w:rsidRPr="00511005">
        <w:rPr>
          <w:rFonts w:ascii="Arial" w:eastAsia="Times New Roman" w:hAnsi="Arial" w:cs="Arial"/>
          <w:szCs w:val="28"/>
          <w:lang w:eastAsia="ru-RU"/>
        </w:rPr>
        <w:t>-методологічний аналіз</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збірник наук. праць НАДУ при Президентові України. - 2005. - Nº 2. - С. 29-</w:t>
      </w:r>
      <w:r w:rsidRPr="00511005">
        <w:rPr>
          <w:rFonts w:ascii="Arial" w:eastAsia="Times New Roman" w:hAnsi="Arial" w:cs="Arial"/>
          <w:szCs w:val="28"/>
          <w:lang w:val="uk-UA" w:eastAsia="ru-RU"/>
        </w:rPr>
        <w:t>41.</w:t>
      </w:r>
    </w:p>
    <w:p w14:paraId="75FA5ACA" w14:textId="77777777" w:rsidR="006B07CA" w:rsidRPr="00511005" w:rsidRDefault="006B07CA" w:rsidP="006E394F">
      <w:pPr>
        <w:numPr>
          <w:ilvl w:val="0"/>
          <w:numId w:val="40"/>
        </w:numPr>
        <w:spacing w:line="264" w:lineRule="auto"/>
        <w:ind w:left="0" w:firstLine="709"/>
        <w:rPr>
          <w:rFonts w:ascii="Arial" w:eastAsia="Times New Roman" w:hAnsi="Arial" w:cs="Arial"/>
          <w:szCs w:val="28"/>
          <w:lang w:eastAsia="ru-RU"/>
        </w:rPr>
      </w:pPr>
      <w:r w:rsidRPr="00511005">
        <w:rPr>
          <w:rFonts w:ascii="Arial" w:eastAsia="Times New Roman" w:hAnsi="Arial" w:cs="Arial"/>
          <w:szCs w:val="28"/>
          <w:lang w:eastAsia="ru-RU"/>
        </w:rPr>
        <w:t>Плавич В. П. Теоретико-методологічний та філософсько-правовий аналіз правотворчості: наукові реалії сучасності: [Монографія] В. П. Плавич. Одеса: Астропринт, 2017. – 432 с</w:t>
      </w:r>
    </w:p>
    <w:p w14:paraId="650C3639" w14:textId="77777777" w:rsidR="007B2628" w:rsidRPr="00511005" w:rsidRDefault="007B2628" w:rsidP="003A292D">
      <w:pPr>
        <w:spacing w:line="264" w:lineRule="auto"/>
        <w:ind w:firstLine="0"/>
        <w:rPr>
          <w:rFonts w:ascii="Arial" w:eastAsia="Times New Roman" w:hAnsi="Arial" w:cs="Arial"/>
          <w:szCs w:val="28"/>
          <w:lang w:eastAsia="ru-RU"/>
        </w:rPr>
      </w:pPr>
    </w:p>
    <w:p w14:paraId="4880497D" w14:textId="496CC2D6" w:rsidR="007B262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6B07CA" w:rsidRPr="00511005">
        <w:rPr>
          <w:rFonts w:ascii="Arial" w:eastAsia="Times New Roman" w:hAnsi="Arial" w:cs="Arial"/>
          <w:szCs w:val="28"/>
          <w:lang w:eastAsia="ru-RU"/>
        </w:rPr>
        <w:t>глобалізація, право, держава, правова система, національне право, інтернаціоналізація, правові стандарти, міждержавна взаємодія, правотворчість, регіоналізація, правовий порядок</w:t>
      </w:r>
      <w:r w:rsidR="006B07CA" w:rsidRPr="00511005">
        <w:rPr>
          <w:rFonts w:ascii="Arial" w:eastAsia="Times New Roman" w:hAnsi="Arial" w:cs="Arial"/>
          <w:szCs w:val="28"/>
          <w:lang w:val="uk-UA" w:eastAsia="ru-RU"/>
        </w:rPr>
        <w:t>.</w:t>
      </w:r>
    </w:p>
    <w:p w14:paraId="40EF880A" w14:textId="452AA980" w:rsidR="007B2628" w:rsidRPr="00511005" w:rsidRDefault="007B2628" w:rsidP="003A292D">
      <w:pPr>
        <w:spacing w:line="264" w:lineRule="auto"/>
        <w:ind w:firstLine="0"/>
        <w:rPr>
          <w:rFonts w:ascii="Arial" w:eastAsia="Times New Roman" w:hAnsi="Arial" w:cs="Arial"/>
          <w:b/>
          <w:bCs/>
          <w:szCs w:val="28"/>
          <w:lang w:val="uk-UA" w:eastAsia="ru-RU"/>
        </w:rPr>
      </w:pPr>
      <w:r w:rsidRPr="00511005">
        <w:rPr>
          <w:rFonts w:ascii="Arial" w:eastAsia="Times New Roman" w:hAnsi="Arial" w:cs="Arial"/>
          <w:b/>
          <w:bCs/>
          <w:i/>
          <w:szCs w:val="28"/>
          <w:lang w:val="en-GB" w:eastAsia="ru-RU"/>
        </w:rPr>
        <w:t xml:space="preserve">Key words: </w:t>
      </w:r>
      <w:r w:rsidR="006B07CA" w:rsidRPr="00511005">
        <w:rPr>
          <w:rFonts w:ascii="Arial" w:eastAsia="Times New Roman" w:hAnsi="Arial" w:cs="Arial"/>
          <w:szCs w:val="28"/>
          <w:lang w:val="en-US" w:eastAsia="ru-RU"/>
        </w:rPr>
        <w:t>globalization, law, state, legal system, national law, internationalization, legal standards, interstate interaction, law-making, regionalization, legal order</w:t>
      </w:r>
      <w:r w:rsidR="006B07CA" w:rsidRPr="00511005">
        <w:rPr>
          <w:rFonts w:ascii="Arial" w:eastAsia="Times New Roman" w:hAnsi="Arial" w:cs="Arial"/>
          <w:szCs w:val="28"/>
          <w:lang w:val="uk-UA" w:eastAsia="ru-RU"/>
        </w:rPr>
        <w:t>.</w:t>
      </w:r>
    </w:p>
    <w:p w14:paraId="6F085AA7" w14:textId="6A13220B" w:rsidR="006B07CA" w:rsidRPr="00511005" w:rsidRDefault="007B2628" w:rsidP="003A292D">
      <w:pPr>
        <w:spacing w:line="264" w:lineRule="auto"/>
        <w:ind w:firstLine="0"/>
        <w:jc w:val="left"/>
        <w:rPr>
          <w:rFonts w:ascii="Arial" w:eastAsia="Times New Roman" w:hAnsi="Arial" w:cs="Arial"/>
          <w:szCs w:val="28"/>
          <w:lang w:eastAsia="ru-RU"/>
        </w:rPr>
      </w:pPr>
      <w:r w:rsidRPr="00511005">
        <w:rPr>
          <w:rFonts w:ascii="Arial" w:eastAsia="Times New Roman" w:hAnsi="Arial" w:cs="Arial"/>
          <w:b/>
          <w:i/>
          <w:iCs/>
          <w:szCs w:val="28"/>
          <w:lang w:eastAsia="ru-RU"/>
        </w:rPr>
        <w:t xml:space="preserve">Науковий керівник: </w:t>
      </w:r>
      <w:r w:rsidR="006B07CA" w:rsidRPr="00511005">
        <w:rPr>
          <w:rFonts w:ascii="Arial" w:eastAsia="Times New Roman" w:hAnsi="Arial" w:cs="Arial"/>
          <w:szCs w:val="28"/>
          <w:lang w:val="en-US" w:eastAsia="ru-RU"/>
        </w:rPr>
        <w:t>PhD</w:t>
      </w:r>
      <w:r w:rsidR="006B07CA" w:rsidRPr="00511005">
        <w:rPr>
          <w:rFonts w:ascii="Arial" w:eastAsia="Times New Roman" w:hAnsi="Arial" w:cs="Arial"/>
          <w:szCs w:val="28"/>
          <w:lang w:val="uk-UA" w:eastAsia="ru-RU"/>
        </w:rPr>
        <w:t xml:space="preserve">, </w:t>
      </w:r>
      <w:r w:rsidR="006B07CA" w:rsidRPr="00511005">
        <w:rPr>
          <w:rFonts w:ascii="Arial" w:eastAsia="Times New Roman" w:hAnsi="Arial" w:cs="Arial"/>
          <w:szCs w:val="28"/>
          <w:lang w:eastAsia="ru-RU"/>
        </w:rPr>
        <w:t>ст. викладач В.Є. Іванчук</w:t>
      </w:r>
    </w:p>
    <w:p w14:paraId="2E8ABCC5" w14:textId="77777777" w:rsidR="006B07CA" w:rsidRPr="00511005" w:rsidRDefault="006B07CA" w:rsidP="003A292D">
      <w:pPr>
        <w:spacing w:line="264" w:lineRule="auto"/>
        <w:ind w:firstLine="0"/>
        <w:jc w:val="left"/>
        <w:rPr>
          <w:rFonts w:ascii="Arial" w:eastAsia="Times New Roman" w:hAnsi="Arial" w:cs="Arial"/>
          <w:szCs w:val="28"/>
          <w:lang w:val="uk-UA" w:eastAsia="ru-RU"/>
        </w:rPr>
      </w:pPr>
    </w:p>
    <w:p w14:paraId="1B788E09" w14:textId="77777777" w:rsidR="006B07CA" w:rsidRPr="00511005" w:rsidRDefault="006B07CA" w:rsidP="003A292D">
      <w:pPr>
        <w:spacing w:line="264" w:lineRule="auto"/>
        <w:ind w:firstLine="0"/>
        <w:jc w:val="left"/>
        <w:rPr>
          <w:rFonts w:ascii="Arial" w:eastAsia="Times New Roman" w:hAnsi="Arial" w:cs="Arial"/>
          <w:szCs w:val="28"/>
          <w:lang w:val="uk-UA" w:eastAsia="ru-RU"/>
        </w:rPr>
      </w:pPr>
    </w:p>
    <w:p w14:paraId="0E04B303" w14:textId="77777777" w:rsidR="006B07CA" w:rsidRPr="00511005" w:rsidRDefault="006B07CA" w:rsidP="003A292D">
      <w:pPr>
        <w:spacing w:line="264" w:lineRule="auto"/>
        <w:ind w:firstLine="0"/>
        <w:jc w:val="left"/>
        <w:rPr>
          <w:rFonts w:ascii="Arial" w:eastAsia="Times New Roman" w:hAnsi="Arial" w:cs="Arial"/>
          <w:szCs w:val="28"/>
          <w:lang w:val="uk-UA" w:eastAsia="ru-RU"/>
        </w:rPr>
      </w:pPr>
    </w:p>
    <w:p w14:paraId="655432CF" w14:textId="77777777" w:rsidR="006B07CA" w:rsidRPr="00511005" w:rsidRDefault="006B07CA" w:rsidP="003A292D">
      <w:pPr>
        <w:spacing w:line="264" w:lineRule="auto"/>
        <w:ind w:firstLine="0"/>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Chepoi Maryanna Ivanivna</w:t>
      </w:r>
    </w:p>
    <w:p w14:paraId="6A2E1C4B" w14:textId="77777777" w:rsidR="006B07CA" w:rsidRPr="00511005" w:rsidRDefault="006B07CA" w:rsidP="003A292D">
      <w:pPr>
        <w:spacing w:line="264" w:lineRule="auto"/>
        <w:ind w:firstLine="0"/>
        <w:jc w:val="center"/>
        <w:rPr>
          <w:rFonts w:ascii="Arial" w:eastAsia="Times New Roman" w:hAnsi="Arial" w:cs="Arial"/>
          <w:szCs w:val="28"/>
          <w:lang w:val="en-US" w:eastAsia="ru-RU"/>
        </w:rPr>
      </w:pPr>
      <w:r w:rsidRPr="00511005">
        <w:rPr>
          <w:rFonts w:ascii="Arial" w:eastAsia="Times New Roman" w:hAnsi="Arial" w:cs="Arial"/>
          <w:szCs w:val="28"/>
          <w:lang w:val="en-US" w:eastAsia="ru-RU"/>
        </w:rPr>
        <w:t>1st year student of the Faculty of the Judicial and International Law of</w:t>
      </w:r>
    </w:p>
    <w:p w14:paraId="06005512" w14:textId="77777777" w:rsidR="006B07CA" w:rsidRPr="00511005" w:rsidRDefault="006B07CA" w:rsidP="003A292D">
      <w:pPr>
        <w:spacing w:line="264" w:lineRule="auto"/>
        <w:ind w:firstLine="0"/>
        <w:jc w:val="center"/>
        <w:rPr>
          <w:rFonts w:ascii="Arial" w:eastAsia="Times New Roman" w:hAnsi="Arial" w:cs="Arial"/>
          <w:szCs w:val="28"/>
          <w:lang w:val="en-US" w:eastAsia="ru-RU"/>
        </w:rPr>
      </w:pPr>
      <w:r w:rsidRPr="00511005">
        <w:rPr>
          <w:rFonts w:ascii="Arial" w:eastAsia="Times New Roman" w:hAnsi="Arial" w:cs="Arial"/>
          <w:szCs w:val="28"/>
          <w:lang w:val="en-US" w:eastAsia="ru-RU"/>
        </w:rPr>
        <w:t>National University “Odesa Law Academy”</w:t>
      </w:r>
    </w:p>
    <w:p w14:paraId="55CC55A0" w14:textId="77777777" w:rsidR="006B07CA" w:rsidRPr="00511005" w:rsidRDefault="006B07CA" w:rsidP="003A292D">
      <w:pPr>
        <w:spacing w:line="264" w:lineRule="auto"/>
        <w:ind w:firstLine="0"/>
        <w:jc w:val="center"/>
        <w:rPr>
          <w:rFonts w:ascii="Arial" w:eastAsia="Times New Roman" w:hAnsi="Arial" w:cs="Arial"/>
          <w:szCs w:val="28"/>
          <w:lang w:val="en-US" w:eastAsia="ru-RU"/>
        </w:rPr>
      </w:pPr>
    </w:p>
    <w:p w14:paraId="1AFDBCE9" w14:textId="77777777" w:rsidR="006B07CA" w:rsidRPr="00511005" w:rsidRDefault="006B07CA"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en-US" w:eastAsia="ru-RU"/>
        </w:rPr>
        <w:t>THE SOURCES OF LAW IN ROMANO-GERMANIC AND ANGLO-AMERICAN LEGAL FAMILIES: COMPARATIVE ANALYSIS</w:t>
      </w:r>
    </w:p>
    <w:p w14:paraId="1344EBB2" w14:textId="77777777" w:rsidR="006B07CA" w:rsidRPr="00511005" w:rsidRDefault="006B07CA" w:rsidP="006E394F">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Modern legal systems play a crucial role in shaping the legal framework that reflects the historical, political, and social characteristics of each state. The classification of legal families has long been a cornerstone of comparative law. Traditionally, legal scholars have grouped legal systems into distinct families based on their historical evolution, structural characteristics, and sources of law. The two most prominent legal families—the Romano-Germanic (or civil law) and </w:t>
      </w:r>
      <w:r w:rsidRPr="00511005">
        <w:rPr>
          <w:rFonts w:ascii="Arial" w:eastAsia="Times New Roman" w:hAnsi="Arial" w:cs="Arial"/>
          <w:szCs w:val="28"/>
          <w:lang w:val="en-US" w:eastAsia="ru-RU"/>
        </w:rPr>
        <w:lastRenderedPageBreak/>
        <w:t xml:space="preserve">the Anglo-American (or common law) systems—have shaped the legal traditions of many nations worldwide. Each of these families possesses unique sources of law that influence legal reasoning, judicial decision-making, and statutory interpretation. Analyzing the sources of law and their evolution allows for forecasting potential improvements in national legislations, making this topic highly relevant in modern legal studies. </w:t>
      </w:r>
    </w:p>
    <w:p w14:paraId="5612D637" w14:textId="77777777" w:rsidR="006B07CA" w:rsidRPr="00511005" w:rsidRDefault="006B07CA" w:rsidP="006E394F">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Before discussing the main subject of the report, it is necessary to define the concept of a “legal system”. A legal system is a structured set of legal phenomena that consists framework of rules, influenced by historical, political and social factors. The term "legal system" encompasses the fundamental nature and substance of law, as well as the frameworks and procedures through which it is enacted, interpreted, and enforced within a specific jurisdiction [2, p. 168]. In 1964 David Rene in his book “Major Legal Systems in the World Today” firstly classified the world’s legal systems into legal families based on their historical origins, fundamental principles, and methods of legal reasoning. He classified legal systems into four major “legal families”: Romano-Germanic (civil law), Anglo-American (common law), Socialistic and the last one – Religious. In this research first two legal families will be compared, which nowadays are the most important and popular in the world. By Dmytro Lukyanov, “legal family is a certain set of legal systems, which are united by common most important traits that indicate substantial similarity of these systems” [2, p. 171]. </w:t>
      </w:r>
      <w:proofErr w:type="gramStart"/>
      <w:r w:rsidRPr="00511005">
        <w:rPr>
          <w:rFonts w:ascii="Arial" w:eastAsia="Times New Roman" w:hAnsi="Arial" w:cs="Arial"/>
          <w:szCs w:val="28"/>
          <w:lang w:val="en-US" w:eastAsia="ru-RU"/>
        </w:rPr>
        <w:t>So</w:t>
      </w:r>
      <w:proofErr w:type="gramEnd"/>
      <w:r w:rsidRPr="00511005">
        <w:rPr>
          <w:rFonts w:ascii="Arial" w:eastAsia="Times New Roman" w:hAnsi="Arial" w:cs="Arial"/>
          <w:szCs w:val="28"/>
          <w:lang w:val="en-US" w:eastAsia="ru-RU"/>
        </w:rPr>
        <w:t xml:space="preserve"> let’s find out the general traits of these families. </w:t>
      </w:r>
    </w:p>
    <w:p w14:paraId="2BB0F1EB" w14:textId="77777777" w:rsidR="006B07CA" w:rsidRPr="00511005" w:rsidRDefault="006B07CA" w:rsidP="006E394F">
      <w:pPr>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Let us begin with Romano-Germanic legal family or as it is also called civil law family or continental (as the center of its development is considered to be Continental Europe). The continental legal system operates as a closed system in which legal norms are formulated exclusively by the legislative authority. Within this system, the source of law is understood not only as the formal expression of the state's will through universally binding rules of conduct but also as a reflection of the material, spiritual, and cultural conditions shaping societal life [1, p. 123]. </w:t>
      </w:r>
      <w:proofErr w:type="gramStart"/>
      <w:r w:rsidRPr="00511005">
        <w:rPr>
          <w:rFonts w:ascii="Arial" w:eastAsia="Times New Roman" w:hAnsi="Arial" w:cs="Arial"/>
          <w:szCs w:val="28"/>
          <w:lang w:val="en-US" w:eastAsia="ru-RU"/>
        </w:rPr>
        <w:t>So</w:t>
      </w:r>
      <w:proofErr w:type="gramEnd"/>
      <w:r w:rsidRPr="00511005">
        <w:rPr>
          <w:rFonts w:ascii="Arial" w:eastAsia="Times New Roman" w:hAnsi="Arial" w:cs="Arial"/>
          <w:szCs w:val="28"/>
          <w:lang w:val="en-US" w:eastAsia="ru-RU"/>
        </w:rPr>
        <w:t xml:space="preserve"> the main sources of law in Romano-Germanic system are normative legal act and normative contract. A legal norm, as a structured element of legal act, is elevated to the highest level and is understood as a universally binding rule of conduct, formed within society in accordance with a recognized standard of justice, freedom and equality. A relatively new phenomenon is the legal custom as a source of law. </w:t>
      </w:r>
    </w:p>
    <w:p w14:paraId="3E3D9A77" w14:textId="77777777" w:rsidR="006B07CA" w:rsidRPr="00511005" w:rsidRDefault="006B07CA" w:rsidP="006E394F">
      <w:pPr>
        <w:spacing w:line="264" w:lineRule="auto"/>
        <w:rPr>
          <w:rFonts w:ascii="Arial" w:eastAsia="Times New Roman" w:hAnsi="Arial" w:cs="Arial"/>
          <w:szCs w:val="28"/>
          <w:lang w:val="en-US" w:eastAsia="uk-UA"/>
        </w:rPr>
      </w:pPr>
      <w:r w:rsidRPr="00511005">
        <w:rPr>
          <w:rFonts w:ascii="Arial" w:eastAsia="Times New Roman" w:hAnsi="Arial" w:cs="Arial"/>
          <w:szCs w:val="28"/>
          <w:lang w:val="en-US" w:eastAsia="ru-RU"/>
        </w:rPr>
        <w:t>Another characteristic of Romano-Germanic law is the predominance of individual rights and freedoms over obligations. The legal systems of continental European countries are among the most humanistically oriented in the world, as evidenced by the validity of relevant regional international legal documents, particularly the European Convention on Human Rights and Fundamental Freedoms of November 4, 1950 [3, p. 27]. Evidence of this can be found in the Article 3 of the Constitution of Ukraine: “</w:t>
      </w:r>
      <w:r w:rsidRPr="00511005">
        <w:rPr>
          <w:rFonts w:ascii="Arial" w:eastAsia="Times New Roman" w:hAnsi="Arial" w:cs="Arial"/>
          <w:szCs w:val="28"/>
          <w:lang w:val="en-US" w:eastAsia="uk-UA"/>
        </w:rPr>
        <w:t xml:space="preserve">The human being, his or her life and </w:t>
      </w:r>
      <w:r w:rsidRPr="00511005">
        <w:rPr>
          <w:rFonts w:ascii="Arial" w:eastAsia="Times New Roman" w:hAnsi="Arial" w:cs="Arial"/>
          <w:szCs w:val="28"/>
          <w:lang w:val="en-US" w:eastAsia="uk-UA"/>
        </w:rPr>
        <w:lastRenderedPageBreak/>
        <w:t>health, honour and dignity, inviolability and security are recognised in Ukraine as the highest social value” [6, art. 3].</w:t>
      </w:r>
    </w:p>
    <w:p w14:paraId="5C5B95C1" w14:textId="77777777" w:rsidR="006B07CA" w:rsidRPr="00511005" w:rsidRDefault="006B07CA" w:rsidP="006E394F">
      <w:pPr>
        <w:spacing w:line="264" w:lineRule="auto"/>
        <w:rPr>
          <w:rFonts w:ascii="Arial" w:eastAsia="Times New Roman" w:hAnsi="Arial" w:cs="Arial"/>
          <w:szCs w:val="28"/>
          <w:lang w:val="en-US" w:eastAsia="uk-UA"/>
        </w:rPr>
      </w:pPr>
      <w:r w:rsidRPr="00511005">
        <w:rPr>
          <w:rFonts w:ascii="Arial" w:eastAsia="Times New Roman" w:hAnsi="Arial" w:cs="Arial"/>
          <w:szCs w:val="28"/>
          <w:lang w:val="en-US" w:eastAsia="uk-UA"/>
        </w:rPr>
        <w:t xml:space="preserve">As Demchenko notes, one of the features of the legal system in Romano-Germanic countries is its dualism, meaning the division into public law (a set of legal norms regulating relations in the sphere of public (statewide) interest of citizens) and private law (a set of legal norms regulating the interests of citizens in the sphere of private interest). In public law, imperative norms dominate, while in private law, dispositive norms prevail [5, p. 69]. Public and private law are divided into the same core branches: administrative law, constitutional law, criminal law, criminal procedural law, international public law. The similarity of the institutions and branches of private law is linked to the fact that its foundation is rooted in Roman Law. </w:t>
      </w:r>
    </w:p>
    <w:p w14:paraId="408CF4BD" w14:textId="77777777" w:rsidR="006B07CA" w:rsidRPr="00511005" w:rsidRDefault="006B07CA" w:rsidP="006E394F">
      <w:pPr>
        <w:spacing w:line="264" w:lineRule="auto"/>
        <w:rPr>
          <w:rFonts w:ascii="Arial" w:eastAsia="Times New Roman" w:hAnsi="Arial" w:cs="Arial"/>
          <w:szCs w:val="28"/>
          <w:lang w:val="en-US" w:eastAsia="uk-UA"/>
        </w:rPr>
      </w:pPr>
      <w:r w:rsidRPr="00511005">
        <w:rPr>
          <w:rFonts w:ascii="Arial" w:eastAsia="Times New Roman" w:hAnsi="Arial" w:cs="Arial"/>
          <w:szCs w:val="28"/>
          <w:lang w:val="en-US" w:eastAsia="uk-UA"/>
        </w:rPr>
        <w:t>A notable characteristic of the continental legal family is its organization into legal institutions (such as citizenship and property rights), sub-branches (for example, electoral and parliamentary law within constitutional law, or obligations, copyright, and inheritance law within civil law), and main branches of law (including constitutional, administrative, criminal, civil, and labor law).</w:t>
      </w:r>
    </w:p>
    <w:p w14:paraId="7A95D883" w14:textId="77777777" w:rsidR="006B07CA" w:rsidRPr="00511005" w:rsidRDefault="006B07CA" w:rsidP="006E394F">
      <w:pPr>
        <w:spacing w:line="264" w:lineRule="auto"/>
        <w:rPr>
          <w:rFonts w:ascii="Arial" w:eastAsia="Times New Roman" w:hAnsi="Arial" w:cs="Arial"/>
          <w:szCs w:val="28"/>
          <w:lang w:val="en-US" w:eastAsia="uk-UA"/>
        </w:rPr>
      </w:pPr>
      <w:r w:rsidRPr="00511005">
        <w:rPr>
          <w:rFonts w:ascii="Arial" w:eastAsia="Times New Roman" w:hAnsi="Arial" w:cs="Arial"/>
          <w:szCs w:val="28"/>
          <w:lang w:val="en-US" w:eastAsia="uk-UA"/>
        </w:rPr>
        <w:t>Anglo-American legal system, in its turn, is an</w:t>
      </w:r>
      <w:r w:rsidRPr="00511005">
        <w:rPr>
          <w:rFonts w:ascii="Arial" w:eastAsia="Times New Roman" w:hAnsi="Arial" w:cs="Arial"/>
          <w:szCs w:val="28"/>
          <w:lang w:val="zh-CN" w:eastAsia="uk-UA"/>
        </w:rPr>
        <w:t xml:space="preserve"> </w:t>
      </w:r>
      <w:r w:rsidRPr="00511005">
        <w:rPr>
          <w:rFonts w:ascii="Arial" w:eastAsia="Times New Roman" w:hAnsi="Arial" w:cs="Arial"/>
          <w:szCs w:val="28"/>
          <w:lang w:val="en-US" w:eastAsia="uk-UA"/>
        </w:rPr>
        <w:t xml:space="preserve">effective implement in achieving justice. This system is distinguished into common law and the rules of equity. Common law is based on court decisions that establish judicial precedents binding for future cases when the rule of equity emerged as a response to the rigidity of common law. After the 1863–1875 reform, equity was formally merged with common law, but in practice, its rules continue to apply to several key areas of civil law [5, p. 68]. The Judicature Acts (1873–1875) contributed to the development of statutory law. So now Anglo-American law consists of common law, equity, and statutory law. </w:t>
      </w:r>
    </w:p>
    <w:p w14:paraId="61A02255" w14:textId="77777777" w:rsidR="006B07CA" w:rsidRPr="00511005" w:rsidRDefault="006B07CA" w:rsidP="006E394F">
      <w:pPr>
        <w:spacing w:line="264" w:lineRule="auto"/>
        <w:rPr>
          <w:rFonts w:ascii="Arial" w:eastAsia="Times New Roman" w:hAnsi="Arial" w:cs="Arial"/>
          <w:szCs w:val="28"/>
          <w:lang w:val="en-US" w:eastAsia="uk-UA"/>
        </w:rPr>
      </w:pPr>
      <w:r w:rsidRPr="00511005">
        <w:rPr>
          <w:rFonts w:ascii="Arial" w:eastAsia="Times New Roman" w:hAnsi="Arial" w:cs="Arial"/>
          <w:szCs w:val="28"/>
          <w:lang w:val="en-US" w:eastAsia="uk-UA"/>
        </w:rPr>
        <w:t xml:space="preserve">If statutory law is the primary source of law for the Romano-Germanic legal family, then precedent – judicial decision – is the primary source for the common legal family. Judicial rulings are not only taken into account in the lawmaking process but often serve as the basis for legislative decisions, playing a crucial role in the development of common law. This function is primarily carried out by the Supreme Court. Decisions made by other courts do not have precedent status (or, more precisely, are not legally binding), though they can be used as a reference for resolving similar cases [1, p. 123]. </w:t>
      </w:r>
      <w:proofErr w:type="gramStart"/>
      <w:r w:rsidRPr="00511005">
        <w:rPr>
          <w:rFonts w:ascii="Arial" w:eastAsia="Times New Roman" w:hAnsi="Arial" w:cs="Arial"/>
          <w:szCs w:val="28"/>
          <w:lang w:val="en-US" w:eastAsia="uk-UA"/>
        </w:rPr>
        <w:t>So</w:t>
      </w:r>
      <w:proofErr w:type="gramEnd"/>
      <w:r w:rsidRPr="00511005">
        <w:rPr>
          <w:rFonts w:ascii="Arial" w:eastAsia="Times New Roman" w:hAnsi="Arial" w:cs="Arial"/>
          <w:szCs w:val="28"/>
          <w:lang w:val="en-US" w:eastAsia="uk-UA"/>
        </w:rPr>
        <w:t xml:space="preserve"> considering the above-mentioned, we can say that this system has a distinctly case-based character and legal norms have a less abstract nature. </w:t>
      </w:r>
    </w:p>
    <w:p w14:paraId="5DC57C74" w14:textId="77777777" w:rsidR="007B2628" w:rsidRPr="00511005" w:rsidRDefault="006B07CA" w:rsidP="006E394F">
      <w:pPr>
        <w:spacing w:line="264" w:lineRule="auto"/>
        <w:rPr>
          <w:rFonts w:ascii="Arial" w:eastAsia="Times New Roman" w:hAnsi="Arial" w:cs="Arial"/>
          <w:szCs w:val="28"/>
          <w:lang w:val="en-US" w:eastAsia="uk-UA"/>
        </w:rPr>
      </w:pPr>
      <w:r w:rsidRPr="00511005">
        <w:rPr>
          <w:rFonts w:ascii="Arial" w:eastAsia="Times New Roman" w:hAnsi="Arial" w:cs="Arial"/>
          <w:szCs w:val="28"/>
          <w:lang w:val="en-US" w:eastAsia="uk-UA"/>
        </w:rPr>
        <w:t xml:space="preserve">One more feature of the Anglo-American system is the lack of differentiation between public and private law. This feature is determined by the principle of the rule of law, according to which everyone is equal before the law, and the state acts in the legal field only as one of the subjects of law along with private individuals [4, p. 72]. Both the state, protecting public interests, and individuals, pursuing private interests, must prove their case in court on equal terms. There </w:t>
      </w:r>
      <w:r w:rsidRPr="00511005">
        <w:rPr>
          <w:rFonts w:ascii="Arial" w:eastAsia="Times New Roman" w:hAnsi="Arial" w:cs="Arial"/>
          <w:szCs w:val="28"/>
          <w:lang w:val="en-US" w:eastAsia="uk-UA"/>
        </w:rPr>
        <w:lastRenderedPageBreak/>
        <w:t>is no clear division into branches of law, but exist division into institutes. Now this legal system is divided into: criminal and civil law, substantial and procedural, public and private, municipal and international law.</w:t>
      </w:r>
    </w:p>
    <w:p w14:paraId="0066B3AC" w14:textId="4042CD29" w:rsidR="006B07CA" w:rsidRPr="00511005" w:rsidRDefault="006B07CA" w:rsidP="006E394F">
      <w:pPr>
        <w:spacing w:line="264" w:lineRule="auto"/>
        <w:rPr>
          <w:rFonts w:ascii="Arial" w:eastAsia="Times New Roman" w:hAnsi="Arial" w:cs="Arial"/>
          <w:szCs w:val="28"/>
          <w:lang w:val="en-US" w:eastAsia="uk-UA"/>
        </w:rPr>
      </w:pPr>
      <w:r w:rsidRPr="00511005">
        <w:rPr>
          <w:rFonts w:ascii="Arial" w:eastAsia="Times New Roman" w:hAnsi="Arial" w:cs="Arial"/>
          <w:szCs w:val="28"/>
          <w:lang w:val="en-US" w:eastAsia="uk-UA"/>
        </w:rPr>
        <w:t xml:space="preserve">Another source of law in Anglo-American system is statutory law – laws and normative acts, which make amendments and additions to the law created by judicial practice. Custom and legal doctrine are also recognized as sources of Anglo-American law. </w:t>
      </w:r>
      <w:proofErr w:type="gramStart"/>
      <w:r w:rsidRPr="00511005">
        <w:rPr>
          <w:rFonts w:ascii="Arial" w:eastAsia="Times New Roman" w:hAnsi="Arial" w:cs="Arial"/>
          <w:szCs w:val="28"/>
          <w:lang w:val="en-US" w:eastAsia="uk-UA"/>
        </w:rPr>
        <w:t>So</w:t>
      </w:r>
      <w:proofErr w:type="gramEnd"/>
      <w:r w:rsidRPr="00511005">
        <w:rPr>
          <w:rFonts w:ascii="Arial" w:eastAsia="Times New Roman" w:hAnsi="Arial" w:cs="Arial"/>
          <w:szCs w:val="28"/>
          <w:lang w:val="en-US" w:eastAsia="uk-UA"/>
        </w:rPr>
        <w:t xml:space="preserve"> the comparative analysis shows that the main distinction of these legal families is in their sources of law. Romano-Germanic legal family is more doctrinal in terms of adopting and absorbing legal theories and doctrines than the Anglo-American family. When countries of general law are more flexible and democratic, cause have case-based character.</w:t>
      </w:r>
    </w:p>
    <w:p w14:paraId="7F077591" w14:textId="77777777" w:rsidR="006B07CA" w:rsidRPr="00511005" w:rsidRDefault="006B07CA" w:rsidP="006E394F">
      <w:pPr>
        <w:spacing w:line="264" w:lineRule="auto"/>
        <w:rPr>
          <w:rFonts w:ascii="Arial" w:eastAsia="Times New Roman" w:hAnsi="Arial" w:cs="Arial"/>
          <w:szCs w:val="28"/>
          <w:lang w:val="en-US" w:eastAsia="uk-UA"/>
        </w:rPr>
      </w:pPr>
      <w:r w:rsidRPr="00511005">
        <w:rPr>
          <w:rFonts w:ascii="Arial" w:eastAsia="Times New Roman" w:hAnsi="Arial" w:cs="Arial"/>
          <w:szCs w:val="28"/>
          <w:lang w:val="en-US" w:eastAsia="uk-UA"/>
        </w:rPr>
        <w:t>At the current stage of the development of legal science, we can observe a certain synthesis of legal families that is caused by a global movement toward freedom, complex processes of life, scientific and technological revolutions. In the Romano-Germanic family, the role of the law and general norms of codification is strengthened: decisions of higher courts play a key role in the formation of judicial practice, as they can serve as a guide for lower courts, similar to persuasive precedents; a special place is occupied by the extension of the jurisdiction of international organizations to such countries: the European Court of Human Rights, the International Court of Justice and so on. In the Anglo-American family, on contrary, the role of normative legal act increased. It is encountered in the sphere of social security, education, and healthcare.</w:t>
      </w:r>
    </w:p>
    <w:p w14:paraId="5C3642B2" w14:textId="77777777" w:rsidR="006B07CA" w:rsidRPr="00511005" w:rsidRDefault="006B07CA" w:rsidP="006E394F">
      <w:pPr>
        <w:spacing w:line="264" w:lineRule="auto"/>
        <w:rPr>
          <w:rFonts w:ascii="Arial" w:eastAsia="Times New Roman" w:hAnsi="Arial" w:cs="Arial"/>
          <w:szCs w:val="28"/>
          <w:lang w:val="en-US" w:eastAsia="uk-UA"/>
        </w:rPr>
      </w:pPr>
      <w:r w:rsidRPr="00511005">
        <w:rPr>
          <w:rFonts w:ascii="Arial" w:eastAsia="Times New Roman" w:hAnsi="Arial" w:cs="Arial"/>
          <w:szCs w:val="28"/>
          <w:lang w:val="en-US" w:eastAsia="uk-UA"/>
        </w:rPr>
        <w:t>Summarizing the above, we can say that the main distinction lies in the sources of law: Romano-Germanic law is more doctrinal, relying heavily on codified statutes and legal theory, while Anglo-American law is more flexible, evolving through judicial precedents and case law. However modern legal trends show a synthesis of both systems, with civil law countries adopting judicial decisions as guides (similar to precedents) and common law countries increasingly using statutory law in areas like social security, healthcare, and education.</w:t>
      </w:r>
    </w:p>
    <w:p w14:paraId="28A99B08" w14:textId="77777777" w:rsidR="006B07CA" w:rsidRPr="00511005" w:rsidRDefault="006B07CA" w:rsidP="003A292D">
      <w:pPr>
        <w:spacing w:line="264" w:lineRule="auto"/>
        <w:ind w:firstLine="0"/>
        <w:rPr>
          <w:rFonts w:ascii="Arial" w:eastAsia="Times New Roman" w:hAnsi="Arial" w:cs="Arial"/>
          <w:b/>
          <w:bCs/>
          <w:szCs w:val="28"/>
          <w:lang w:val="en-US" w:eastAsia="zh-CN"/>
        </w:rPr>
      </w:pPr>
    </w:p>
    <w:p w14:paraId="0DAD38C2" w14:textId="77777777" w:rsidR="006B07CA" w:rsidRPr="00511005" w:rsidRDefault="006B07CA" w:rsidP="003A292D">
      <w:pPr>
        <w:spacing w:line="264" w:lineRule="auto"/>
        <w:ind w:firstLine="0"/>
        <w:jc w:val="center"/>
        <w:rPr>
          <w:rFonts w:ascii="Arial" w:eastAsia="Times New Roman" w:hAnsi="Arial" w:cs="Arial"/>
          <w:b/>
          <w:bCs/>
          <w:szCs w:val="28"/>
          <w:lang w:val="en-US" w:eastAsia="zh-CN"/>
        </w:rPr>
      </w:pPr>
      <w:r w:rsidRPr="00511005">
        <w:rPr>
          <w:rFonts w:ascii="Arial" w:eastAsia="Times New Roman" w:hAnsi="Arial" w:cs="Arial"/>
          <w:b/>
          <w:bCs/>
          <w:szCs w:val="28"/>
          <w:lang w:val="en-US" w:eastAsia="zh-CN"/>
        </w:rPr>
        <w:t>References</w:t>
      </w:r>
    </w:p>
    <w:p w14:paraId="49671C74" w14:textId="77777777" w:rsidR="006B07CA" w:rsidRPr="00511005" w:rsidRDefault="006B07CA" w:rsidP="006E394F">
      <w:pPr>
        <w:numPr>
          <w:ilvl w:val="0"/>
          <w:numId w:val="41"/>
        </w:numPr>
        <w:spacing w:line="264" w:lineRule="auto"/>
        <w:ind w:firstLine="700"/>
        <w:rPr>
          <w:rFonts w:ascii="Arial" w:eastAsia="Times New Roman" w:hAnsi="Arial" w:cs="Arial"/>
          <w:szCs w:val="28"/>
          <w:lang w:eastAsia="ru-RU"/>
        </w:rPr>
      </w:pPr>
      <w:r w:rsidRPr="00511005">
        <w:rPr>
          <w:rFonts w:ascii="Arial" w:eastAsia="Times New Roman" w:hAnsi="Arial" w:cs="Arial"/>
          <w:szCs w:val="28"/>
          <w:lang w:val="uk-UA" w:eastAsia="ru-RU"/>
        </w:rPr>
        <w:t>Білозьоров Є</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В. Джерела права в державах континентального і загального права: проблеми їх детермінації. </w:t>
      </w:r>
      <w:r w:rsidRPr="00511005">
        <w:rPr>
          <w:rFonts w:ascii="Arial" w:eastAsia="Times New Roman" w:hAnsi="Arial" w:cs="Arial"/>
          <w:i/>
          <w:iCs/>
          <w:szCs w:val="28"/>
          <w:lang w:val="uk-UA" w:eastAsia="ru-RU"/>
        </w:rPr>
        <w:t xml:space="preserve">Економіка та право. </w:t>
      </w:r>
      <w:r w:rsidRPr="00511005">
        <w:rPr>
          <w:rFonts w:ascii="Arial" w:eastAsia="Times New Roman" w:hAnsi="Arial" w:cs="Arial"/>
          <w:szCs w:val="28"/>
          <w:lang w:val="uk-UA" w:eastAsia="ru-RU"/>
        </w:rPr>
        <w:t>Серія 18</w:t>
      </w:r>
      <w:r w:rsidRPr="00511005">
        <w:rPr>
          <w:rFonts w:ascii="Arial" w:eastAsia="Times New Roman" w:hAnsi="Arial" w:cs="Arial"/>
          <w:szCs w:val="28"/>
          <w:lang w:eastAsia="ru-RU"/>
        </w:rPr>
        <w:t xml:space="preserve">. 2013. </w:t>
      </w:r>
      <w:r w:rsidRPr="00511005">
        <w:rPr>
          <w:rFonts w:ascii="Arial" w:eastAsia="Times New Roman" w:hAnsi="Arial" w:cs="Arial"/>
          <w:szCs w:val="28"/>
          <w:lang w:val="uk-UA" w:eastAsia="ru-RU"/>
        </w:rPr>
        <w:t>Вип. 22. С</w:t>
      </w:r>
      <w:r w:rsidRPr="00511005">
        <w:rPr>
          <w:rFonts w:ascii="Arial" w:eastAsia="Times New Roman" w:hAnsi="Arial" w:cs="Arial"/>
          <w:szCs w:val="28"/>
          <w:lang w:eastAsia="ru-RU"/>
        </w:rPr>
        <w:t>. 120-127</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76"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chasopys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law</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npu</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kiev</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archive</w:t>
        </w:r>
        <w:r w:rsidRPr="00511005">
          <w:rPr>
            <w:rFonts w:ascii="Arial" w:eastAsia="Times New Roman" w:hAnsi="Arial" w:cs="Arial"/>
            <w:szCs w:val="28"/>
            <w:lang w:eastAsia="ru-RU"/>
          </w:rPr>
          <w:t>/22/18.</w:t>
        </w:r>
        <w:r w:rsidRPr="00511005">
          <w:rPr>
            <w:rFonts w:ascii="Arial" w:eastAsia="Times New Roman" w:hAnsi="Arial" w:cs="Arial"/>
            <w:szCs w:val="28"/>
            <w:lang w:val="en-US" w:eastAsia="ru-RU"/>
          </w:rPr>
          <w:t>pdf</w:t>
        </w:r>
      </w:hyperlink>
      <w:r w:rsidRPr="00511005">
        <w:rPr>
          <w:rFonts w:ascii="Arial" w:eastAsia="Times New Roman" w:hAnsi="Arial" w:cs="Arial"/>
          <w:szCs w:val="28"/>
          <w:lang w:eastAsia="ru-RU"/>
        </w:rPr>
        <w:t>.</w:t>
      </w:r>
    </w:p>
    <w:p w14:paraId="13BB6DE7" w14:textId="77777777" w:rsidR="006B07CA" w:rsidRPr="00511005" w:rsidRDefault="006B07CA" w:rsidP="006E394F">
      <w:pPr>
        <w:numPr>
          <w:ilvl w:val="0"/>
          <w:numId w:val="41"/>
        </w:numPr>
        <w:spacing w:line="264" w:lineRule="auto"/>
        <w:ind w:firstLine="700"/>
        <w:rPr>
          <w:rFonts w:ascii="Arial" w:eastAsia="Times New Roman" w:hAnsi="Arial" w:cs="Arial"/>
          <w:szCs w:val="28"/>
          <w:lang w:val="en-US" w:eastAsia="ru-RU"/>
        </w:rPr>
      </w:pPr>
      <w:r w:rsidRPr="00511005">
        <w:rPr>
          <w:rFonts w:ascii="Arial" w:eastAsia="Times New Roman" w:hAnsi="Arial" w:cs="Arial"/>
          <w:szCs w:val="28"/>
          <w:lang w:val="en-US" w:eastAsia="ru-RU"/>
        </w:rPr>
        <w:t>Lukianov</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D. Legal </w:t>
      </w:r>
      <w:proofErr w:type="gramStart"/>
      <w:r w:rsidRPr="00511005">
        <w:rPr>
          <w:rFonts w:ascii="Arial" w:eastAsia="Times New Roman" w:hAnsi="Arial" w:cs="Arial"/>
          <w:szCs w:val="28"/>
          <w:lang w:val="en-US" w:eastAsia="ru-RU"/>
        </w:rPr>
        <w:t>families</w:t>
      </w:r>
      <w:proofErr w:type="gramEnd"/>
      <w:r w:rsidRPr="00511005">
        <w:rPr>
          <w:rFonts w:ascii="Arial" w:eastAsia="Times New Roman" w:hAnsi="Arial" w:cs="Arial"/>
          <w:szCs w:val="28"/>
          <w:lang w:val="en-US" w:eastAsia="ru-RU"/>
        </w:rPr>
        <w:t xml:space="preserve"> approach: consistent patterns and trends. </w:t>
      </w:r>
      <w:r w:rsidRPr="00511005">
        <w:rPr>
          <w:rFonts w:ascii="Arial" w:eastAsia="Times New Roman" w:hAnsi="Arial" w:cs="Arial"/>
          <w:i/>
          <w:iCs/>
          <w:szCs w:val="28"/>
          <w:lang w:val="en-US" w:eastAsia="ru-RU"/>
        </w:rPr>
        <w:t>European political and law discourse.</w:t>
      </w:r>
      <w:r w:rsidRPr="00511005">
        <w:rPr>
          <w:rFonts w:ascii="Arial" w:eastAsia="Times New Roman" w:hAnsi="Arial" w:cs="Arial"/>
          <w:szCs w:val="28"/>
          <w:lang w:val="en-US" w:eastAsia="ru-RU"/>
        </w:rPr>
        <w:t xml:space="preserve"> 2015. Vol. 2(1). P. 168-185</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URL: </w:t>
      </w:r>
      <w:hyperlink r:id="rId77" w:history="1">
        <w:r w:rsidRPr="00511005">
          <w:rPr>
            <w:rFonts w:ascii="Arial" w:eastAsia="Times New Roman" w:hAnsi="Arial" w:cs="Arial"/>
            <w:szCs w:val="28"/>
            <w:lang w:val="en-US" w:eastAsia="ru-RU"/>
          </w:rPr>
          <w:t>https://eppd13.cz/wp-content/uploads/2015/2015-2-1/25.pdf</w:t>
        </w:r>
      </w:hyperlink>
      <w:r w:rsidRPr="00511005">
        <w:rPr>
          <w:rFonts w:ascii="Arial" w:eastAsia="Times New Roman" w:hAnsi="Arial" w:cs="Arial"/>
          <w:szCs w:val="28"/>
          <w:lang w:val="uk-UA" w:eastAsia="ru-RU"/>
        </w:rPr>
        <w:t>.</w:t>
      </w:r>
    </w:p>
    <w:p w14:paraId="1873EFA4" w14:textId="77777777" w:rsidR="006B07CA" w:rsidRPr="00511005" w:rsidRDefault="006B07CA" w:rsidP="006E394F">
      <w:pPr>
        <w:numPr>
          <w:ilvl w:val="0"/>
          <w:numId w:val="41"/>
        </w:numPr>
        <w:spacing w:line="264" w:lineRule="auto"/>
        <w:ind w:firstLine="700"/>
        <w:rPr>
          <w:rFonts w:ascii="Arial" w:eastAsia="Times New Roman" w:hAnsi="Arial" w:cs="Arial"/>
          <w:szCs w:val="28"/>
          <w:lang w:val="uk-UA" w:eastAsia="ru-RU"/>
        </w:rPr>
      </w:pPr>
      <w:r w:rsidRPr="00511005">
        <w:rPr>
          <w:rFonts w:ascii="Arial" w:eastAsia="Times New Roman" w:hAnsi="Arial" w:cs="Arial"/>
          <w:szCs w:val="28"/>
          <w:lang w:eastAsia="ru-RU"/>
        </w:rPr>
        <w:t>Корнелюк</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Ю., Дуда</w:t>
      </w:r>
      <w:r w:rsidRPr="00511005">
        <w:rPr>
          <w:rFonts w:ascii="Arial" w:eastAsia="Times New Roman" w:hAnsi="Arial" w:cs="Arial"/>
          <w:szCs w:val="28"/>
          <w:lang w:val="uk-UA" w:eastAsia="ru-RU"/>
        </w:rPr>
        <w:t xml:space="preserve"> С</w:t>
      </w:r>
      <w:r w:rsidRPr="00511005">
        <w:rPr>
          <w:rFonts w:ascii="Arial" w:eastAsia="Times New Roman" w:hAnsi="Arial" w:cs="Arial"/>
          <w:szCs w:val="28"/>
          <w:lang w:eastAsia="ru-RU"/>
        </w:rPr>
        <w:t>. Особливості романо-германської правової сім’ї в умовах сучасності. Видавництво Львівської політехніки. 2020. С. 27-</w:t>
      </w:r>
      <w:r w:rsidRPr="00511005">
        <w:rPr>
          <w:rFonts w:ascii="Arial" w:eastAsia="Times New Roman" w:hAnsi="Arial" w:cs="Arial"/>
          <w:szCs w:val="28"/>
          <w:lang w:eastAsia="ru-RU"/>
        </w:rPr>
        <w:lastRenderedPageBreak/>
        <w:t xml:space="preserve">28.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78" w:history="1">
        <w:r w:rsidRPr="00511005">
          <w:rPr>
            <w:rFonts w:ascii="Arial" w:eastAsia="Times New Roman" w:hAnsi="Arial" w:cs="Arial"/>
            <w:szCs w:val="28"/>
            <w:lang w:val="en-US" w:eastAsia="ru-RU"/>
          </w:rPr>
          <w:t>https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ena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lpnu</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val="uk-UA" w:eastAsia="ru-RU"/>
          </w:rPr>
          <w:t>:8443/</w:t>
        </w:r>
        <w:r w:rsidRPr="00511005">
          <w:rPr>
            <w:rFonts w:ascii="Arial" w:eastAsia="Times New Roman" w:hAnsi="Arial" w:cs="Arial"/>
            <w:szCs w:val="28"/>
            <w:lang w:val="en-US" w:eastAsia="ru-RU"/>
          </w:rPr>
          <w:t>server</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api</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core</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bitstreams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f</w:t>
        </w:r>
        <w:r w:rsidRPr="00511005">
          <w:rPr>
            <w:rFonts w:ascii="Arial" w:eastAsia="Times New Roman" w:hAnsi="Arial" w:cs="Arial"/>
            <w:szCs w:val="28"/>
            <w:lang w:val="uk-UA" w:eastAsia="ru-RU"/>
          </w:rPr>
          <w:t>2</w:t>
        </w:r>
        <w:r w:rsidRPr="00511005">
          <w:rPr>
            <w:rFonts w:ascii="Arial" w:eastAsia="Times New Roman" w:hAnsi="Arial" w:cs="Arial"/>
            <w:szCs w:val="28"/>
            <w:lang w:val="en-US" w:eastAsia="ru-RU"/>
          </w:rPr>
          <w:t>f</w:t>
        </w:r>
        <w:r w:rsidRPr="00511005">
          <w:rPr>
            <w:rFonts w:ascii="Arial" w:eastAsia="Times New Roman" w:hAnsi="Arial" w:cs="Arial"/>
            <w:szCs w:val="28"/>
            <w:lang w:val="uk-UA" w:eastAsia="ru-RU"/>
          </w:rPr>
          <w:t>1</w:t>
        </w:r>
        <w:r w:rsidRPr="00511005">
          <w:rPr>
            <w:rFonts w:ascii="Arial" w:eastAsia="Times New Roman" w:hAnsi="Arial" w:cs="Arial"/>
            <w:szCs w:val="28"/>
            <w:lang w:val="en-US" w:eastAsia="ru-RU"/>
          </w:rPr>
          <w:t>d</w:t>
        </w:r>
        <w:r w:rsidRPr="00511005">
          <w:rPr>
            <w:rFonts w:ascii="Arial" w:eastAsia="Times New Roman" w:hAnsi="Arial" w:cs="Arial"/>
            <w:szCs w:val="28"/>
            <w:lang w:val="uk-UA" w:eastAsia="ru-RU"/>
          </w:rPr>
          <w:t>969-6279-4367-9</w:t>
        </w:r>
        <w:r w:rsidRPr="00511005">
          <w:rPr>
            <w:rFonts w:ascii="Arial" w:eastAsia="Times New Roman" w:hAnsi="Arial" w:cs="Arial"/>
            <w:szCs w:val="28"/>
            <w:lang w:val="en-US" w:eastAsia="ru-RU"/>
          </w:rPr>
          <w:t>a</w:t>
        </w:r>
        <w:r w:rsidRPr="00511005">
          <w:rPr>
            <w:rFonts w:ascii="Arial" w:eastAsia="Times New Roman" w:hAnsi="Arial" w:cs="Arial"/>
            <w:szCs w:val="28"/>
            <w:lang w:val="uk-UA" w:eastAsia="ru-RU"/>
          </w:rPr>
          <w:t>641</w:t>
        </w:r>
        <w:r w:rsidRPr="00511005">
          <w:rPr>
            <w:rFonts w:ascii="Arial" w:eastAsia="Times New Roman" w:hAnsi="Arial" w:cs="Arial"/>
            <w:szCs w:val="28"/>
            <w:lang w:val="en-US" w:eastAsia="ru-RU"/>
          </w:rPr>
          <w:t>bd</w:t>
        </w:r>
        <w:r w:rsidRPr="00511005">
          <w:rPr>
            <w:rFonts w:ascii="Arial" w:eastAsia="Times New Roman" w:hAnsi="Arial" w:cs="Arial"/>
            <w:szCs w:val="28"/>
            <w:lang w:val="uk-UA" w:eastAsia="ru-RU"/>
          </w:rPr>
          <w:t>57</w:t>
        </w:r>
        <w:r w:rsidRPr="00511005">
          <w:rPr>
            <w:rFonts w:ascii="Arial" w:eastAsia="Times New Roman" w:hAnsi="Arial" w:cs="Arial"/>
            <w:szCs w:val="28"/>
            <w:lang w:val="en-US" w:eastAsia="ru-RU"/>
          </w:rPr>
          <w:t>d</w:t>
        </w:r>
        <w:r w:rsidRPr="00511005">
          <w:rPr>
            <w:rFonts w:ascii="Arial" w:eastAsia="Times New Roman" w:hAnsi="Arial" w:cs="Arial"/>
            <w:szCs w:val="28"/>
            <w:lang w:val="uk-UA" w:eastAsia="ru-RU"/>
          </w:rPr>
          <w:t xml:space="preserve">80 </w:t>
        </w:r>
        <w:r w:rsidRPr="00511005">
          <w:rPr>
            <w:rFonts w:ascii="Arial" w:eastAsia="Times New Roman" w:hAnsi="Arial" w:cs="Arial"/>
            <w:szCs w:val="28"/>
            <w:lang w:val="en-US" w:eastAsia="ru-RU"/>
          </w:rPr>
          <w:t>d</w:t>
        </w:r>
        <w:r w:rsidRPr="00511005">
          <w:rPr>
            <w:rFonts w:ascii="Arial" w:eastAsia="Times New Roman" w:hAnsi="Arial" w:cs="Arial"/>
            <w:szCs w:val="28"/>
            <w:lang w:val="uk-UA" w:eastAsia="ru-RU"/>
          </w:rPr>
          <w:t>572/</w:t>
        </w:r>
        <w:r w:rsidRPr="00511005">
          <w:rPr>
            <w:rFonts w:ascii="Arial" w:eastAsia="Times New Roman" w:hAnsi="Arial" w:cs="Arial"/>
            <w:szCs w:val="28"/>
            <w:lang w:val="en-US" w:eastAsia="ru-RU"/>
          </w:rPr>
          <w:t>content</w:t>
        </w:r>
      </w:hyperlink>
      <w:r w:rsidRPr="00511005">
        <w:rPr>
          <w:rFonts w:ascii="Arial" w:eastAsia="Times New Roman" w:hAnsi="Arial" w:cs="Arial"/>
          <w:szCs w:val="28"/>
          <w:lang w:val="uk-UA" w:eastAsia="ru-RU"/>
        </w:rPr>
        <w:t xml:space="preserve">. </w:t>
      </w:r>
    </w:p>
    <w:p w14:paraId="32BD2D50" w14:textId="77777777" w:rsidR="006B07CA" w:rsidRPr="00511005" w:rsidRDefault="006B07CA" w:rsidP="006E394F">
      <w:pPr>
        <w:numPr>
          <w:ilvl w:val="0"/>
          <w:numId w:val="41"/>
        </w:numPr>
        <w:spacing w:line="264" w:lineRule="auto"/>
        <w:ind w:firstLine="700"/>
        <w:rPr>
          <w:rFonts w:ascii="Arial" w:eastAsia="Times New Roman" w:hAnsi="Arial" w:cs="Arial"/>
          <w:szCs w:val="28"/>
          <w:lang w:eastAsia="ru-RU"/>
        </w:rPr>
      </w:pPr>
      <w:r w:rsidRPr="00511005">
        <w:rPr>
          <w:rFonts w:ascii="Arial" w:eastAsia="Times New Roman" w:hAnsi="Arial" w:cs="Arial"/>
          <w:szCs w:val="28"/>
          <w:lang w:eastAsia="ru-RU"/>
        </w:rPr>
        <w:t>Корнелюк</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Ю., Кратко</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Т. Особливості становлення англо-американської правової системи. </w:t>
      </w:r>
      <w:r w:rsidRPr="00511005">
        <w:rPr>
          <w:rFonts w:ascii="Arial" w:eastAsia="Times New Roman" w:hAnsi="Arial" w:cs="Arial"/>
          <w:i/>
          <w:iCs/>
          <w:szCs w:val="28"/>
          <w:lang w:eastAsia="ru-RU"/>
        </w:rPr>
        <w:t xml:space="preserve">Вісник Національного університету «Львівська політехніка». </w:t>
      </w:r>
      <w:r w:rsidRPr="00511005">
        <w:rPr>
          <w:rFonts w:ascii="Arial" w:eastAsia="Times New Roman" w:hAnsi="Arial" w:cs="Arial"/>
          <w:szCs w:val="28"/>
          <w:lang w:eastAsia="ru-RU"/>
        </w:rPr>
        <w:t>Серія: «Юридичні науки». 2020.</w:t>
      </w:r>
      <w:r w:rsidRPr="00511005">
        <w:rPr>
          <w:rFonts w:ascii="Arial" w:eastAsia="Times New Roman" w:hAnsi="Arial" w:cs="Arial"/>
          <w:szCs w:val="28"/>
          <w:lang w:val="uk-UA" w:eastAsia="ru-RU"/>
        </w:rPr>
        <w:t xml:space="preserve"> № 4 (28).</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 xml:space="preserve">. 69-76.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79"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science</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lpnu</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sites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default</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files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journal</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paper</w:t>
        </w:r>
        <w:r w:rsidRPr="00511005">
          <w:rPr>
            <w:rFonts w:ascii="Arial" w:eastAsia="Times New Roman" w:hAnsi="Arial" w:cs="Arial"/>
            <w:szCs w:val="28"/>
            <w:lang w:eastAsia="ru-RU"/>
          </w:rPr>
          <w:t>/2020/</w:t>
        </w:r>
        <w:r w:rsidRPr="00511005">
          <w:rPr>
            <w:rFonts w:ascii="Arial" w:eastAsia="Times New Roman" w:hAnsi="Arial" w:cs="Arial"/>
            <w:szCs w:val="28"/>
            <w:lang w:val="en-US" w:eastAsia="ru-RU"/>
          </w:rPr>
          <w:t>dec</w:t>
        </w:r>
        <w:r w:rsidRPr="00511005">
          <w:rPr>
            <w:rFonts w:ascii="Arial" w:eastAsia="Times New Roman" w:hAnsi="Arial" w:cs="Arial"/>
            <w:szCs w:val="28"/>
            <w:lang w:eastAsia="ru-RU"/>
          </w:rPr>
          <w:t>/22767/13.</w:t>
        </w:r>
        <w:r w:rsidRPr="00511005">
          <w:rPr>
            <w:rFonts w:ascii="Arial" w:eastAsia="Times New Roman" w:hAnsi="Arial" w:cs="Arial"/>
            <w:szCs w:val="28"/>
            <w:lang w:val="en-US" w:eastAsia="ru-RU"/>
          </w:rPr>
          <w:t>pdf</w:t>
        </w:r>
      </w:hyperlink>
      <w:r w:rsidRPr="00511005">
        <w:rPr>
          <w:rFonts w:ascii="Arial" w:eastAsia="Times New Roman" w:hAnsi="Arial" w:cs="Arial"/>
          <w:szCs w:val="28"/>
          <w:lang w:val="uk-UA" w:eastAsia="ru-RU"/>
        </w:rPr>
        <w:t>.</w:t>
      </w:r>
    </w:p>
    <w:p w14:paraId="1E801B86" w14:textId="77777777" w:rsidR="006B07CA" w:rsidRPr="00511005" w:rsidRDefault="006B07CA" w:rsidP="006E394F">
      <w:pPr>
        <w:numPr>
          <w:ilvl w:val="0"/>
          <w:numId w:val="41"/>
        </w:numPr>
        <w:spacing w:line="264" w:lineRule="auto"/>
        <w:ind w:firstLine="700"/>
        <w:rPr>
          <w:rFonts w:ascii="Arial" w:eastAsia="Times New Roman" w:hAnsi="Arial" w:cs="Arial"/>
          <w:szCs w:val="28"/>
          <w:lang w:val="en-US" w:eastAsia="ru-RU"/>
        </w:rPr>
      </w:pPr>
      <w:r w:rsidRPr="00511005">
        <w:rPr>
          <w:rFonts w:ascii="Arial" w:eastAsia="Times New Roman" w:hAnsi="Arial" w:cs="Arial"/>
          <w:szCs w:val="28"/>
          <w:lang w:eastAsia="ru-RU"/>
        </w:rPr>
        <w:t>Демченко Ю.</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О. Система права англосаксонської правової сім’ї</w:t>
      </w:r>
      <w:r w:rsidRPr="00511005">
        <w:rPr>
          <w:rFonts w:ascii="Arial" w:eastAsia="Times New Roman" w:hAnsi="Arial" w:cs="Arial"/>
          <w:szCs w:val="28"/>
          <w:lang w:val="zh-CN" w:eastAsia="ru-RU"/>
        </w:rPr>
        <w:t xml:space="preserve"> та романо-г</w:t>
      </w:r>
      <w:r w:rsidRPr="00511005">
        <w:rPr>
          <w:rFonts w:ascii="Arial" w:eastAsia="Times New Roman" w:hAnsi="Arial" w:cs="Arial"/>
          <w:szCs w:val="28"/>
          <w:lang w:eastAsia="ru-RU"/>
        </w:rPr>
        <w:t xml:space="preserve">ерманської правової сім’ї: порівняльний аналіз. Матеріали ІІ Міжнародної науково-практичної конференції «Молодіжний науковий юридичний форум». </w:t>
      </w:r>
      <w:r w:rsidRPr="00511005">
        <w:rPr>
          <w:rFonts w:ascii="Arial" w:eastAsia="Times New Roman" w:hAnsi="Arial" w:cs="Arial"/>
          <w:szCs w:val="28"/>
          <w:lang w:val="en-US" w:eastAsia="ru-RU"/>
        </w:rPr>
        <w:t xml:space="preserve">2019. </w:t>
      </w:r>
      <w:r w:rsidRPr="00511005">
        <w:rPr>
          <w:rFonts w:ascii="Arial" w:eastAsia="Times New Roman" w:hAnsi="Arial" w:cs="Arial"/>
          <w:szCs w:val="28"/>
          <w:lang w:eastAsia="ru-RU"/>
        </w:rPr>
        <w:t>С</w:t>
      </w:r>
      <w:r w:rsidRPr="00511005">
        <w:rPr>
          <w:rFonts w:ascii="Arial" w:eastAsia="Times New Roman" w:hAnsi="Arial" w:cs="Arial"/>
          <w:szCs w:val="28"/>
          <w:lang w:val="en-US" w:eastAsia="ru-RU"/>
        </w:rPr>
        <w:t xml:space="preserve">. 68-70. URL: </w:t>
      </w:r>
      <w:hyperlink r:id="rId80" w:history="1">
        <w:r w:rsidRPr="00511005">
          <w:rPr>
            <w:rFonts w:ascii="Arial" w:eastAsia="Times New Roman" w:hAnsi="Arial" w:cs="Arial"/>
            <w:szCs w:val="28"/>
            <w:lang w:val="en-US" w:eastAsia="ru-RU"/>
          </w:rPr>
          <w:t>https://er.nau.edu.ua/server/api/core/bitstreams/bdc342d9-ab5c-43c6-819d-b34052847e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84/content</w:t>
        </w:r>
      </w:hyperlink>
      <w:r w:rsidRPr="00511005">
        <w:rPr>
          <w:rFonts w:ascii="Arial" w:eastAsia="Times New Roman" w:hAnsi="Arial" w:cs="Arial"/>
          <w:szCs w:val="28"/>
          <w:lang w:val="uk-UA" w:eastAsia="ru-RU"/>
        </w:rPr>
        <w:t>.</w:t>
      </w:r>
    </w:p>
    <w:p w14:paraId="33ACA5C4" w14:textId="77777777" w:rsidR="006B07CA" w:rsidRPr="00511005" w:rsidRDefault="006B07CA" w:rsidP="006E394F">
      <w:pPr>
        <w:numPr>
          <w:ilvl w:val="0"/>
          <w:numId w:val="41"/>
        </w:numPr>
        <w:spacing w:line="264" w:lineRule="auto"/>
        <w:ind w:firstLine="700"/>
        <w:rPr>
          <w:rFonts w:ascii="Arial" w:eastAsia="Times New Roman" w:hAnsi="Arial" w:cs="Arial"/>
          <w:szCs w:val="28"/>
          <w:lang w:eastAsia="ru-RU"/>
        </w:rPr>
      </w:pPr>
      <w:r w:rsidRPr="00511005">
        <w:rPr>
          <w:rFonts w:ascii="Arial" w:eastAsia="Times New Roman" w:hAnsi="Arial" w:cs="Arial"/>
          <w:szCs w:val="28"/>
          <w:lang w:eastAsia="ru-RU"/>
        </w:rPr>
        <w:t xml:space="preserve">Конституція України, прийнята на 5 сесії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28 червня 1996. Дата звернення: 28.03.2025</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81"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rm</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coe</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int</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constitution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of</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ukraine</w:t>
        </w:r>
        <w:r w:rsidRPr="00511005">
          <w:rPr>
            <w:rFonts w:ascii="Arial" w:eastAsia="Times New Roman" w:hAnsi="Arial" w:cs="Arial"/>
            <w:szCs w:val="28"/>
            <w:lang w:eastAsia="ru-RU"/>
          </w:rPr>
          <w:t>/168071</w:t>
        </w:r>
        <w:r w:rsidRPr="00511005">
          <w:rPr>
            <w:rFonts w:ascii="Arial" w:eastAsia="Times New Roman" w:hAnsi="Arial" w:cs="Arial"/>
            <w:szCs w:val="28"/>
            <w:lang w:val="en-US" w:eastAsia="ru-RU"/>
          </w:rPr>
          <w:t>f</w:t>
        </w:r>
        <w:r w:rsidRPr="00511005">
          <w:rPr>
            <w:rFonts w:ascii="Arial" w:eastAsia="Times New Roman" w:hAnsi="Arial" w:cs="Arial"/>
            <w:szCs w:val="28"/>
            <w:lang w:eastAsia="ru-RU"/>
          </w:rPr>
          <w:t>58</w:t>
        </w:r>
        <w:r w:rsidRPr="00511005">
          <w:rPr>
            <w:rFonts w:ascii="Arial" w:eastAsia="Times New Roman" w:hAnsi="Arial" w:cs="Arial"/>
            <w:szCs w:val="28"/>
            <w:lang w:val="en-US" w:eastAsia="ru-RU"/>
          </w:rPr>
          <w:t>b</w:t>
        </w:r>
      </w:hyperlink>
      <w:r w:rsidRPr="00511005">
        <w:rPr>
          <w:rFonts w:ascii="Arial" w:eastAsia="Times New Roman" w:hAnsi="Arial" w:cs="Arial"/>
          <w:szCs w:val="28"/>
          <w:lang w:val="uk-UA" w:eastAsia="ru-RU"/>
        </w:rPr>
        <w:t>.</w:t>
      </w:r>
    </w:p>
    <w:p w14:paraId="016031FD" w14:textId="77777777" w:rsidR="006B07CA" w:rsidRPr="00511005" w:rsidRDefault="006B07CA" w:rsidP="003A292D">
      <w:pPr>
        <w:spacing w:line="264" w:lineRule="auto"/>
        <w:ind w:firstLine="0"/>
        <w:rPr>
          <w:rFonts w:ascii="Arial" w:eastAsia="Times New Roman" w:hAnsi="Arial" w:cs="Arial"/>
          <w:szCs w:val="28"/>
          <w:lang w:eastAsia="ru-RU"/>
        </w:rPr>
      </w:pPr>
    </w:p>
    <w:p w14:paraId="626A6BF5" w14:textId="54B599A5" w:rsidR="006B07CA" w:rsidRPr="00511005" w:rsidRDefault="007B2628" w:rsidP="003A292D">
      <w:pPr>
        <w:spacing w:line="264" w:lineRule="auto"/>
        <w:ind w:firstLine="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6B07CA" w:rsidRPr="00511005">
        <w:rPr>
          <w:rFonts w:ascii="Arial" w:eastAsia="Times New Roman" w:hAnsi="Arial" w:cs="Arial"/>
          <w:szCs w:val="28"/>
          <w:lang w:eastAsia="ru-RU"/>
        </w:rPr>
        <w:t>правова система, джерела права, романо-германська правова сім'я, англо-американська правова сім'я, порівняльне правознавство, судовий прецедент, нормативно-правовий акт, судова практика, інститути права, публічне та приватне право.</w:t>
      </w:r>
    </w:p>
    <w:p w14:paraId="27BC86EC" w14:textId="199E0663" w:rsidR="006B07CA" w:rsidRPr="00511005" w:rsidRDefault="007B2628" w:rsidP="003A292D">
      <w:pPr>
        <w:spacing w:line="264" w:lineRule="auto"/>
        <w:ind w:firstLine="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6B07CA" w:rsidRPr="00511005">
        <w:rPr>
          <w:rFonts w:ascii="Arial" w:eastAsia="Times New Roman" w:hAnsi="Arial" w:cs="Arial"/>
          <w:szCs w:val="28"/>
          <w:lang w:val="en-US" w:eastAsia="ru-RU"/>
        </w:rPr>
        <w:t>legal system, sources of law, Romano-Germanic legal family, Anglo-American legal family, comparative law, judicial precedent, statutory act, judicial practice, legal institutions, public and private law.</w:t>
      </w:r>
    </w:p>
    <w:p w14:paraId="0690E6C7" w14:textId="5F50828E" w:rsidR="006B07CA" w:rsidRPr="00511005" w:rsidRDefault="007B2628" w:rsidP="003A292D">
      <w:pPr>
        <w:spacing w:line="264" w:lineRule="auto"/>
        <w:ind w:firstLine="0"/>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006B07CA" w:rsidRPr="00511005">
        <w:rPr>
          <w:rFonts w:ascii="Arial" w:eastAsia="Times New Roman" w:hAnsi="Arial" w:cs="Arial"/>
          <w:i/>
          <w:iCs/>
          <w:szCs w:val="28"/>
          <w:lang w:eastAsia="ru-RU"/>
        </w:rPr>
        <w:t xml:space="preserve">д.ю.н., професор Мельничук О.С. </w:t>
      </w:r>
    </w:p>
    <w:p w14:paraId="7FF20800" w14:textId="77777777" w:rsidR="006B07CA" w:rsidRPr="00511005" w:rsidRDefault="006B07CA" w:rsidP="003A292D">
      <w:pPr>
        <w:spacing w:line="264" w:lineRule="auto"/>
        <w:ind w:firstLine="0"/>
        <w:jc w:val="left"/>
        <w:rPr>
          <w:rFonts w:ascii="Arial" w:eastAsia="Times New Roman" w:hAnsi="Arial" w:cs="Arial"/>
          <w:szCs w:val="28"/>
          <w:lang w:eastAsia="ru-RU"/>
        </w:rPr>
      </w:pPr>
    </w:p>
    <w:p w14:paraId="0329F28C" w14:textId="77777777" w:rsidR="006B07CA" w:rsidRPr="00511005" w:rsidRDefault="006B07CA" w:rsidP="003A292D">
      <w:pPr>
        <w:spacing w:line="264" w:lineRule="auto"/>
        <w:ind w:firstLine="0"/>
        <w:jc w:val="left"/>
        <w:rPr>
          <w:rFonts w:ascii="Arial" w:eastAsia="Times New Roman" w:hAnsi="Arial" w:cs="Arial"/>
          <w:szCs w:val="28"/>
          <w:lang w:val="uk-UA" w:eastAsia="ru-RU"/>
        </w:rPr>
      </w:pPr>
    </w:p>
    <w:p w14:paraId="2BED8E85" w14:textId="77777777" w:rsidR="006B07CA" w:rsidRPr="00511005" w:rsidRDefault="006B07CA" w:rsidP="003A292D">
      <w:pPr>
        <w:spacing w:line="264" w:lineRule="auto"/>
        <w:ind w:firstLine="0"/>
        <w:jc w:val="left"/>
        <w:rPr>
          <w:rFonts w:ascii="Arial" w:eastAsia="Times New Roman" w:hAnsi="Arial" w:cs="Arial"/>
          <w:szCs w:val="28"/>
          <w:lang w:val="uk-UA" w:eastAsia="ru-RU"/>
        </w:rPr>
      </w:pPr>
    </w:p>
    <w:p w14:paraId="53814BCC" w14:textId="77777777" w:rsidR="006B07CA" w:rsidRPr="00511005" w:rsidRDefault="006B07CA" w:rsidP="003A292D">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Шарко Світлана Василівна</w:t>
      </w:r>
    </w:p>
    <w:p w14:paraId="656859D8"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1-го курсу </w:t>
      </w:r>
    </w:p>
    <w:p w14:paraId="6F4B9E64"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75FAB11" w14:textId="401C95F6" w:rsidR="006B07CA"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5C3290B4" w14:textId="77777777" w:rsidR="006B07CA" w:rsidRPr="00511005" w:rsidRDefault="006B07CA" w:rsidP="003A292D">
      <w:pPr>
        <w:spacing w:line="264" w:lineRule="auto"/>
        <w:ind w:firstLine="0"/>
        <w:jc w:val="center"/>
        <w:rPr>
          <w:rFonts w:ascii="Arial" w:eastAsia="Times New Roman" w:hAnsi="Arial" w:cs="Arial"/>
          <w:szCs w:val="28"/>
          <w:lang w:val="uk-UA"/>
        </w:rPr>
      </w:pPr>
    </w:p>
    <w:p w14:paraId="1AE627F4" w14:textId="77777777" w:rsidR="006B07CA" w:rsidRPr="00511005" w:rsidRDefault="006B07CA"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ПРАВОВА ПОЛІТИКА ЯК ІНСТРУМЕНТ ЗАБЕЗПЕЧЕННЯ ВЕРХОВЕНСТВА ПРАВА</w:t>
      </w:r>
    </w:p>
    <w:p w14:paraId="0A9777F6" w14:textId="7ECE16D3" w:rsidR="006B07CA" w:rsidRPr="00511005" w:rsidRDefault="006B07CA" w:rsidP="006E394F">
      <w:pPr>
        <w:spacing w:line="264" w:lineRule="auto"/>
        <w:rPr>
          <w:rFonts w:ascii="Arial" w:eastAsia="Times New Roman" w:hAnsi="Arial" w:cs="Arial"/>
          <w:szCs w:val="28"/>
          <w:lang w:val="uk-UA"/>
        </w:rPr>
      </w:pPr>
      <w:r w:rsidRPr="00511005">
        <w:rPr>
          <w:rFonts w:ascii="Arial" w:eastAsia="Times New Roman" w:hAnsi="Arial" w:cs="Arial"/>
          <w:szCs w:val="28"/>
          <w:lang w:val="uk-UA"/>
        </w:rPr>
        <w:t>Обравши шлях розвитку суверенної, правової держави та формування демократичного, громадянського суспільства, Україна, опираючись на схвалені міжнародною спільнотою гуманітарні стандарти та стандарти народовладдя, поставила перед собою мету - створення та реалізацію</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цілісної та неподільної</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правової політики. Правова політика - є ключовою ланкою у формуванні та підтримці верховенства права в суспільстві. Це поняття охоплює сукупність державних заходів, спрямованих на </w:t>
      </w:r>
      <w:r w:rsidRPr="00511005">
        <w:rPr>
          <w:rFonts w:ascii="Arial" w:eastAsia="Times New Roman" w:hAnsi="Arial" w:cs="Arial"/>
          <w:szCs w:val="28"/>
          <w:lang w:val="uk-UA"/>
        </w:rPr>
        <w:lastRenderedPageBreak/>
        <w:t xml:space="preserve">встановлення та розвиток правових норм, їх захист та забезпечення принципів свободи, демократизму, гуманізму, рівності та справедливості. </w:t>
      </w:r>
    </w:p>
    <w:p w14:paraId="6FE1D44F" w14:textId="37D3671A" w:rsidR="006B07CA" w:rsidRPr="00511005" w:rsidRDefault="006B07CA" w:rsidP="006E394F">
      <w:pPr>
        <w:spacing w:line="264" w:lineRule="auto"/>
        <w:rPr>
          <w:rFonts w:ascii="Arial" w:eastAsia="Times New Roman" w:hAnsi="Arial" w:cs="Arial"/>
          <w:szCs w:val="28"/>
          <w:lang w:val="uk-UA"/>
        </w:rPr>
      </w:pPr>
      <w:r w:rsidRPr="00511005">
        <w:rPr>
          <w:rFonts w:ascii="Arial" w:eastAsia="Times New Roman" w:hAnsi="Arial" w:cs="Arial"/>
          <w:szCs w:val="28"/>
          <w:lang w:val="uk-UA"/>
        </w:rPr>
        <w:t>Верховенство права, у свою чергу, виступає основоположним принципом демократичної держави. Конституційний Суд України в абзаці другому підпункту 4.1 пункту 4 мотивувальної частини Рішення від 2 листопада 2004 року № 15-рп/2004 зазначив, що верховенство права - це панування права в суспільстві; верховенство права вимагає від держави його втілення у правотворчу та правозастосовну діяльність, зокрема у закони, які за своїм змістом мають бути проникнуті передусім ідеями соціальної справедливості, свободи, рівності тощо [1, c. 4]. Варто зазначити, що вивчення впливу правової політики на забезпечення верховенства права є надзвичайно актуальним, особливо в контексті реформування української правової системи в умовах інтеграції до Європейського Союзу. Отже, завданнями даного дослідження є: розгляд теоретичних засад правової політики та верховенства права;</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аналіз механізмів правової політики, спрямованих на забезпечення верховенства права; дослідження особливості правової політики України у контексті забезпечення верховенства права. </w:t>
      </w:r>
    </w:p>
    <w:p w14:paraId="459AC087" w14:textId="2D2F2876" w:rsidR="006B07CA" w:rsidRPr="00511005" w:rsidRDefault="006B07CA" w:rsidP="006E394F">
      <w:pPr>
        <w:spacing w:line="264" w:lineRule="auto"/>
        <w:rPr>
          <w:rFonts w:ascii="Arial" w:eastAsia="Times New Roman" w:hAnsi="Arial" w:cs="Arial"/>
          <w:szCs w:val="28"/>
          <w:lang w:val="uk-UA"/>
        </w:rPr>
      </w:pPr>
      <w:r w:rsidRPr="00511005">
        <w:rPr>
          <w:rFonts w:ascii="Arial" w:eastAsia="Times New Roman" w:hAnsi="Arial" w:cs="Arial"/>
          <w:szCs w:val="28"/>
          <w:lang w:val="uk-UA"/>
        </w:rPr>
        <w:t>В умовах незалежної України правова політика є сучасним важливим компонентом процесів демократичної трансформації суспільних відносин</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та формування і функціонування ефективної правової системи суспільства зокрема [4, с. 6]. Правова політика – це сукупність ідей стратегічного характеру, що вироблені органами державної влади та органами місцевого самоврядування за участі інститутів громадянського суспільства і втілені у конкретні програми розвитку правового життя суспільства та держави [4, с. 3]. </w:t>
      </w:r>
    </w:p>
    <w:p w14:paraId="5CD8CF30" w14:textId="408FEBF0" w:rsidR="006B07CA" w:rsidRPr="00511005" w:rsidRDefault="006B07CA" w:rsidP="006E394F">
      <w:pPr>
        <w:spacing w:line="264" w:lineRule="auto"/>
        <w:rPr>
          <w:rFonts w:ascii="Arial" w:eastAsia="Times New Roman" w:hAnsi="Arial" w:cs="Arial"/>
          <w:szCs w:val="28"/>
          <w:lang w:val="uk-UA"/>
        </w:rPr>
      </w:pPr>
      <w:r w:rsidRPr="00511005">
        <w:rPr>
          <w:rFonts w:ascii="Arial" w:eastAsia="Times New Roman" w:hAnsi="Arial" w:cs="Arial"/>
          <w:szCs w:val="28"/>
          <w:lang w:val="uk-UA"/>
        </w:rPr>
        <w:t>Правова політика в державі має місце лише тоді, коли суспільство розвивається демократично, без порушення владою кордонів громадськості, без свавілля, насильства та хаосу в країні. Багато вчених та науковців розглядають правову політику як суспільний феномен у двох аспектах - об’єктивному та суб’єктивному. Правова політика у об’єктивному аспекті - це сфера відносин у суспільстві, яка не підлягає впливу окремих осіб конкретних суб’єктів, а у суб’єктивному - це комплекс внутрішніх переконань та факторів поведінки, які визначають справедливість і ефективність дій конкретних учасників політико-правових відносин влади та підпорядкування. Можна виділити два напрями правової політики: зовнішній і внутрішній. Правова політика у зовнішній сфері орієнтована на забезпечення суверенітету, незалежності та територіальної цілісності країни. Внутрішня політика, в свою чергу, пов'язана з демократичними принципами розвитку держави, з акцентом на гарантування прав і свобод людини [2, с.1].</w:t>
      </w:r>
      <w:r w:rsidR="007B2628" w:rsidRPr="00511005">
        <w:rPr>
          <w:rFonts w:ascii="Arial" w:eastAsia="Times New Roman" w:hAnsi="Arial" w:cs="Arial"/>
          <w:szCs w:val="28"/>
          <w:lang w:val="uk-UA"/>
        </w:rPr>
        <w:t xml:space="preserve"> </w:t>
      </w:r>
    </w:p>
    <w:p w14:paraId="04913D9B" w14:textId="1D4EC056" w:rsidR="006B07CA" w:rsidRPr="00511005" w:rsidRDefault="006B07CA" w:rsidP="006E394F">
      <w:pPr>
        <w:spacing w:line="264" w:lineRule="auto"/>
        <w:rPr>
          <w:rFonts w:ascii="Arial" w:eastAsia="Times New Roman" w:hAnsi="Arial" w:cs="Arial"/>
          <w:szCs w:val="28"/>
          <w:lang w:val="uk-UA"/>
        </w:rPr>
      </w:pPr>
      <w:r w:rsidRPr="00511005">
        <w:rPr>
          <w:rFonts w:ascii="Arial" w:eastAsia="Times New Roman" w:hAnsi="Arial" w:cs="Arial"/>
          <w:szCs w:val="28"/>
          <w:lang w:val="uk-UA"/>
        </w:rPr>
        <w:lastRenderedPageBreak/>
        <w:t>Звернемо увагу на те, що в жодному чинному нормативно-правовому акті України не згадується такий термін як правова політика, адже, однозначного визначення даного поняття у науковій літературі ще не має, але існують безліч обґрунтувань та суджень щодо цього явища.</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Ефективна правова політика є не просто складовою загальної державної політики, а й засобом досягнення та підтримки верховенства права в державі. Слід підкреслити, що правова політика спирається на примус, тобто, держава впливає на особу, індивіда, суспільство, їх свідомість та поведінку, з метою примусити належно виконувати та реалізовувати норми права. Через правову політику легітимізується державно-владна діяльність, набувають реальної спрямованості нормативно правові акти та забезпечується політичний курс та вектор розвитку. </w:t>
      </w:r>
    </w:p>
    <w:p w14:paraId="52F51CA1" w14:textId="2A1B16AD" w:rsidR="006B07CA" w:rsidRPr="00511005" w:rsidRDefault="006B07CA" w:rsidP="006E394F">
      <w:pPr>
        <w:spacing w:line="264" w:lineRule="auto"/>
        <w:rPr>
          <w:rFonts w:ascii="Arial" w:eastAsia="Times New Roman" w:hAnsi="Arial" w:cs="Arial"/>
          <w:szCs w:val="28"/>
          <w:lang w:val="uk-UA"/>
        </w:rPr>
      </w:pPr>
      <w:r w:rsidRPr="00511005">
        <w:rPr>
          <w:rFonts w:ascii="Arial" w:eastAsia="Times New Roman" w:hAnsi="Arial" w:cs="Arial"/>
          <w:szCs w:val="28"/>
          <w:lang w:val="uk-UA"/>
        </w:rPr>
        <w:t>Верховенство права є фундаментальним принципом сучасної правової держави, що забезпечує панування закону в усіх сферах суспільного життя. Досягнення цього принципу неможливе без ефективної правової політики, яка виступає засобом формування та реалізації правових норм, що відповідають потребам суспільства та держави. Правова політика держави реалізується через комплекс механізмів, які охоплюють як законодавчий процес, так і практичне застосування правових норм.</w:t>
      </w:r>
      <w:r w:rsidR="007B2628" w:rsidRPr="00511005">
        <w:rPr>
          <w:rFonts w:ascii="Arial" w:eastAsia="Times New Roman" w:hAnsi="Arial" w:cs="Arial"/>
          <w:szCs w:val="28"/>
          <w:lang w:val="uk-UA"/>
        </w:rPr>
        <w:t xml:space="preserve"> </w:t>
      </w:r>
    </w:p>
    <w:p w14:paraId="2058249B" w14:textId="2FB0C1CE" w:rsidR="006B07CA" w:rsidRPr="00511005" w:rsidRDefault="006B07CA" w:rsidP="006E394F">
      <w:pPr>
        <w:spacing w:line="264" w:lineRule="auto"/>
        <w:rPr>
          <w:rFonts w:ascii="Arial" w:eastAsia="Times New Roman" w:hAnsi="Arial" w:cs="Arial"/>
          <w:szCs w:val="28"/>
          <w:lang w:val="uk-UA"/>
        </w:rPr>
      </w:pPr>
      <w:r w:rsidRPr="00511005">
        <w:rPr>
          <w:rFonts w:ascii="Arial" w:eastAsia="Times New Roman" w:hAnsi="Arial" w:cs="Arial"/>
          <w:szCs w:val="28"/>
          <w:lang w:val="uk-UA"/>
        </w:rPr>
        <w:t>Завдяки механізму нормотворчості, створюється нормативно-правова база держави, здійснюється гармонізація законодавства з міжнародними стандартами. Правозастосовний механізм включає діяльність органів державної влади, судових та правоохоронних структур, спрямовану на забезпечення справедливого та неупередженого виконання законів даними органами. Правова політика у сфері судочинства стосується організації та функціонування судової системи, а також, повинна гарантувати незалежність судової влади та доступність правосуддя для всіх громадян. Щодо механізму контролю та нагляду, забезпечується дотримання законодавства всіма суб’єктами суспільних відносин, здійснюється моніторинг порушень прав людини та звернення до відповідних органів влади тощо. Механізм правового виховання</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спрямований на формування правосвідомості громадян і підвищення рівня правової культури. Це може втілюватись через викладання правових дисциплін у школах та вищих навчальних закладах, виховання поваги до права, проведення тренінгів та семінарів, освітні програми та інформаційні кампанії, доступ до правової допомоги.</w:t>
      </w:r>
    </w:p>
    <w:p w14:paraId="70811929" w14:textId="633346D5" w:rsidR="006B07CA" w:rsidRPr="00511005" w:rsidRDefault="006B07CA" w:rsidP="006E394F">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Дослідження правової політики в Україні свідчить про її активний розвиток, проте існують проблеми, зокрема, правова невизначеність окремих норм, недостатня ефективність антикорупційних заходів, а також низький рівень правової культури населення. Реалізація принципу верховенства права вимагає комплексного підходу, що включає реформування правової системи, підвищення професійного рівня </w:t>
      </w:r>
      <w:r w:rsidRPr="00511005">
        <w:rPr>
          <w:rFonts w:ascii="Arial" w:eastAsia="Times New Roman" w:hAnsi="Arial" w:cs="Arial"/>
          <w:szCs w:val="28"/>
          <w:lang w:val="uk-UA"/>
        </w:rPr>
        <w:lastRenderedPageBreak/>
        <w:t>працівників правоохоронних органів та судової системи, а також забезпечення прозорості та чесності правотворчої діяльності. Правова політика України формується з урахуванням національних традицій та міжнародних зобов’язань, також, визначає стратегію розвитку правової системи, спрямовану на утвердження принципів законності, правосуддя та захисту прав людини. Закон України «Про засади внутрішньої і зовнішньої політики» підкреслює, що державна політика має базуватися на принципах верховенства права та демократії [2, c. 1].</w:t>
      </w:r>
      <w:r w:rsidR="007B2628" w:rsidRPr="00511005">
        <w:rPr>
          <w:rFonts w:ascii="Arial" w:eastAsia="Times New Roman" w:hAnsi="Arial" w:cs="Arial"/>
          <w:szCs w:val="28"/>
          <w:lang w:val="uk-UA"/>
        </w:rPr>
        <w:t xml:space="preserve"> </w:t>
      </w:r>
    </w:p>
    <w:p w14:paraId="23AF2558" w14:textId="77777777" w:rsidR="006B07CA" w:rsidRPr="00511005" w:rsidRDefault="006B07CA" w:rsidP="006E394F">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Однією з ключових особливостей правової політики України є інтеграція національного законодавства з європейськими стандартами. Це передбачає адаптацію правових норм до </w:t>
      </w:r>
      <w:r w:rsidRPr="00511005">
        <w:rPr>
          <w:rFonts w:ascii="Arial" w:eastAsia="Times New Roman" w:hAnsi="Arial" w:cs="Arial"/>
          <w:szCs w:val="28"/>
        </w:rPr>
        <w:t>норм</w:t>
      </w:r>
      <w:r w:rsidRPr="00511005">
        <w:rPr>
          <w:rFonts w:ascii="Arial" w:eastAsia="Times New Roman" w:hAnsi="Arial" w:cs="Arial"/>
          <w:szCs w:val="28"/>
          <w:lang w:val="uk-UA"/>
        </w:rPr>
        <w:t xml:space="preserve"> Європейського Союзу, що сприяє підвищенню якості законодавства та правозастосування. Крім того, правова політика України акцентує увагу на захисті прав людини та основоположних свобод. Це відображено у впровадженні національних стратегій у сфері прав людини, які передбачають комплекс заходів, спрямованих на запобігання порушення прав та відновлення справедливості. </w:t>
      </w:r>
    </w:p>
    <w:p w14:paraId="113866BB" w14:textId="77777777" w:rsidR="006B07CA" w:rsidRPr="00511005" w:rsidRDefault="006B07CA" w:rsidP="006E394F">
      <w:pPr>
        <w:spacing w:line="264" w:lineRule="auto"/>
        <w:rPr>
          <w:rFonts w:ascii="Arial" w:eastAsia="Times New Roman" w:hAnsi="Arial" w:cs="Arial"/>
          <w:szCs w:val="28"/>
          <w:lang w:val="uk-UA"/>
        </w:rPr>
      </w:pPr>
      <w:r w:rsidRPr="00511005">
        <w:rPr>
          <w:rFonts w:ascii="Arial" w:eastAsia="Times New Roman" w:hAnsi="Arial" w:cs="Arial"/>
          <w:szCs w:val="28"/>
          <w:lang w:val="uk-UA"/>
        </w:rPr>
        <w:t>Отже, правова політика є невід'ємною складовою механізму забезпечення верховенства права. Через різні напрями та механізми реалізації вона сприяє формуванню правової держави, де невід’ємні права та свободи людини є найвищою цінністю, а законність, чесність, прозорість та справедливість – основними принципами функціонування суспільства. Особливості правової політики України визначаються прагненням до інтеграції з європейським правовим простором, захистом прав людини та забезпеченням справедливого правосуддя. Реалізація цих напрямів сприяє утвердженню в Україні правової держави та зміцненню демократичних цінностей.</w:t>
      </w:r>
    </w:p>
    <w:p w14:paraId="3BC9CB88" w14:textId="77777777" w:rsidR="006B07CA" w:rsidRPr="00511005" w:rsidRDefault="006B07CA" w:rsidP="003A292D">
      <w:pPr>
        <w:spacing w:line="264" w:lineRule="auto"/>
        <w:ind w:firstLine="0"/>
        <w:rPr>
          <w:rFonts w:ascii="Arial" w:eastAsia="Times New Roman" w:hAnsi="Arial" w:cs="Arial"/>
          <w:szCs w:val="28"/>
          <w:lang w:val="uk-UA"/>
        </w:rPr>
      </w:pPr>
    </w:p>
    <w:p w14:paraId="4791F1B4" w14:textId="23C6D037" w:rsidR="006B07CA"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44F2634D" w14:textId="77777777" w:rsidR="006B07CA" w:rsidRPr="00511005" w:rsidRDefault="006B07CA" w:rsidP="006E394F">
      <w:pPr>
        <w:numPr>
          <w:ilvl w:val="0"/>
          <w:numId w:val="42"/>
        </w:numPr>
        <w:spacing w:line="264" w:lineRule="auto"/>
        <w:ind w:firstLine="700"/>
        <w:rPr>
          <w:rFonts w:ascii="Arial" w:eastAsia="Times New Roman" w:hAnsi="Arial" w:cs="Arial"/>
          <w:szCs w:val="28"/>
          <w:lang w:val="uk-UA"/>
        </w:rPr>
      </w:pPr>
      <w:r w:rsidRPr="00511005">
        <w:rPr>
          <w:rFonts w:ascii="Arial" w:eastAsia="Times New Roman" w:hAnsi="Arial" w:cs="Arial"/>
          <w:szCs w:val="28"/>
          <w:lang w:val="uk-UA"/>
        </w:rPr>
        <w:t xml:space="preserve">Рішення Конституційного Суду України у справі за конституційним поданням Верховного Суду України щодо відповідності Конституції України (конституційності) положень статті 69 Кримінального кодексу України (справа про призначення судом більш м’якого покарання), 2 листопада 2004 р. № 15-рп/2004. URL: </w:t>
      </w:r>
      <w:hyperlink r:id="rId82" w:history="1">
        <w:r w:rsidRPr="00511005">
          <w:rPr>
            <w:rFonts w:ascii="Arial" w:eastAsia="Times New Roman" w:hAnsi="Arial" w:cs="Arial"/>
            <w:szCs w:val="28"/>
            <w:lang w:val="uk-UA"/>
          </w:rPr>
          <w:t>https://ccu.gov.ua/storinka-knygy/34-verhovenstvo-prava.</w:t>
        </w:r>
      </w:hyperlink>
    </w:p>
    <w:p w14:paraId="21D863CE" w14:textId="77777777" w:rsidR="006B07CA" w:rsidRPr="00511005" w:rsidRDefault="006B07CA" w:rsidP="006E394F">
      <w:pPr>
        <w:numPr>
          <w:ilvl w:val="0"/>
          <w:numId w:val="42"/>
        </w:numPr>
        <w:spacing w:line="264" w:lineRule="auto"/>
        <w:ind w:firstLine="700"/>
        <w:rPr>
          <w:rFonts w:ascii="Arial" w:eastAsia="Aptos" w:hAnsi="Arial" w:cs="Arial"/>
          <w:szCs w:val="28"/>
          <w:lang w:val="uk-UA"/>
        </w:rPr>
      </w:pPr>
      <w:r w:rsidRPr="00511005">
        <w:rPr>
          <w:rFonts w:ascii="Arial" w:eastAsia="Times New Roman" w:hAnsi="Arial" w:cs="Arial"/>
          <w:szCs w:val="28"/>
          <w:lang w:val="uk-UA"/>
        </w:rPr>
        <w:t xml:space="preserve">Про засади внутрішньої і зовнішньої політики: Закон України від 01.07.2010 р. № 2411-VI: станом на 31.03.2023 р. / Офіційний сайт Верховної Ради України. URL : </w:t>
      </w:r>
      <w:hyperlink r:id="rId83" w:history="1">
        <w:r w:rsidRPr="00511005">
          <w:rPr>
            <w:rFonts w:ascii="Arial" w:eastAsia="Times New Roman" w:hAnsi="Arial" w:cs="Arial"/>
            <w:szCs w:val="28"/>
            <w:lang w:val="uk-UA"/>
          </w:rPr>
          <w:t>https://zakon.rada.gov.ua/laws/show/241117?find</w:t>
        </w:r>
      </w:hyperlink>
      <w:r w:rsidRPr="00511005">
        <w:rPr>
          <w:rFonts w:ascii="Arial" w:eastAsia="Times New Roman" w:hAnsi="Arial" w:cs="Arial"/>
          <w:szCs w:val="28"/>
          <w:lang w:val="uk-UA"/>
        </w:rPr>
        <w:t>=1&amp;text</w:t>
      </w:r>
      <w:r w:rsidRPr="00511005">
        <w:rPr>
          <w:rFonts w:ascii="Arial" w:eastAsia="Times New Roman" w:hAnsi="Arial" w:cs="Arial"/>
          <w:szCs w:val="28"/>
          <w:lang w:val="pl-PL"/>
        </w:rPr>
        <w:t xml:space="preserve"> </w:t>
      </w:r>
      <w:r w:rsidRPr="00511005">
        <w:rPr>
          <w:rFonts w:ascii="Arial" w:eastAsia="Times New Roman" w:hAnsi="Arial" w:cs="Arial"/>
          <w:szCs w:val="28"/>
          <w:lang w:val="uk-UA"/>
        </w:rPr>
        <w:t>=%D0%BF%D1%80%D0%B0%D0%B2%D0%B0#w1_1.</w:t>
      </w:r>
    </w:p>
    <w:p w14:paraId="05799FB8" w14:textId="77777777" w:rsidR="006B07CA" w:rsidRPr="00511005" w:rsidRDefault="006B07CA" w:rsidP="006E394F">
      <w:pPr>
        <w:spacing w:line="264" w:lineRule="auto"/>
        <w:ind w:firstLine="0"/>
        <w:rPr>
          <w:rFonts w:ascii="Arial" w:eastAsia="Times New Roman" w:hAnsi="Arial" w:cs="Arial"/>
          <w:szCs w:val="28"/>
          <w:lang w:val="uk-UA"/>
        </w:rPr>
      </w:pPr>
      <w:r w:rsidRPr="00511005">
        <w:rPr>
          <w:rFonts w:ascii="Arial" w:eastAsia="Times New Roman" w:hAnsi="Arial" w:cs="Arial"/>
          <w:szCs w:val="28"/>
        </w:rPr>
        <w:t xml:space="preserve">3. </w:t>
      </w:r>
      <w:r w:rsidRPr="00511005">
        <w:rPr>
          <w:rFonts w:ascii="Arial" w:eastAsia="Times New Roman" w:hAnsi="Arial" w:cs="Arial"/>
          <w:szCs w:val="28"/>
          <w:lang w:val="uk-UA"/>
        </w:rPr>
        <w:t xml:space="preserve">Правова політика України: концептуальні засади та механізми </w:t>
      </w:r>
      <w:proofErr w:type="gramStart"/>
      <w:r w:rsidRPr="00511005">
        <w:rPr>
          <w:rFonts w:ascii="Arial" w:eastAsia="Times New Roman" w:hAnsi="Arial" w:cs="Arial"/>
          <w:szCs w:val="28"/>
          <w:lang w:val="uk-UA"/>
        </w:rPr>
        <w:t>формування :</w:t>
      </w:r>
      <w:proofErr w:type="gramEnd"/>
      <w:r w:rsidRPr="00511005">
        <w:rPr>
          <w:rFonts w:ascii="Arial" w:eastAsia="Times New Roman" w:hAnsi="Arial" w:cs="Arial"/>
          <w:szCs w:val="28"/>
          <w:lang w:val="uk-UA"/>
        </w:rPr>
        <w:t xml:space="preserve"> зб. матеріалів наук.-практ. конф. (Київ, 5 груд. 2012 р.) / за ред. </w:t>
      </w:r>
      <w:r w:rsidRPr="00511005">
        <w:rPr>
          <w:rFonts w:ascii="Arial" w:eastAsia="Times New Roman" w:hAnsi="Arial" w:cs="Arial"/>
          <w:szCs w:val="28"/>
          <w:lang w:val="uk-UA"/>
        </w:rPr>
        <w:lastRenderedPageBreak/>
        <w:t>О. М. Руднєвої. – Київ : НІСД, 2013. – 160 с. – URL: https://niss.gov.ua/sites/default/files/2013-09/Pravova_pol_new-b7252.pdf.</w:t>
      </w:r>
    </w:p>
    <w:p w14:paraId="25F10D11" w14:textId="77777777" w:rsidR="006B07CA" w:rsidRPr="00511005" w:rsidRDefault="006B07CA" w:rsidP="006E394F">
      <w:pPr>
        <w:spacing w:line="264" w:lineRule="auto"/>
        <w:ind w:firstLine="0"/>
        <w:rPr>
          <w:rFonts w:ascii="Arial" w:eastAsia="Aptos" w:hAnsi="Arial" w:cs="Arial"/>
          <w:szCs w:val="28"/>
          <w:lang w:val="uk-UA"/>
        </w:rPr>
      </w:pPr>
      <w:r w:rsidRPr="00511005">
        <w:rPr>
          <w:rFonts w:ascii="Arial" w:eastAsia="Times New Roman" w:hAnsi="Arial" w:cs="Arial"/>
          <w:szCs w:val="28"/>
        </w:rPr>
        <w:t xml:space="preserve">4. </w:t>
      </w:r>
      <w:r w:rsidRPr="00511005">
        <w:rPr>
          <w:rFonts w:ascii="Arial" w:eastAsia="Times New Roman" w:hAnsi="Arial" w:cs="Arial"/>
          <w:szCs w:val="28"/>
          <w:lang w:val="uk-UA"/>
        </w:rPr>
        <w:t xml:space="preserve">Тернавська В. М. Категорія </w:t>
      </w:r>
      <w:r w:rsidRPr="00511005">
        <w:rPr>
          <w:rFonts w:ascii="Arial" w:eastAsia="Times New Roman" w:hAnsi="Arial" w:cs="Arial"/>
          <w:szCs w:val="28"/>
        </w:rPr>
        <w:t>«</w:t>
      </w:r>
      <w:r w:rsidRPr="00511005">
        <w:rPr>
          <w:rFonts w:ascii="Arial" w:eastAsia="Times New Roman" w:hAnsi="Arial" w:cs="Arial"/>
          <w:szCs w:val="28"/>
          <w:lang w:val="uk-UA"/>
        </w:rPr>
        <w:t>Правова політика</w:t>
      </w:r>
      <w:r w:rsidRPr="00511005">
        <w:rPr>
          <w:rFonts w:ascii="Arial" w:eastAsia="Times New Roman" w:hAnsi="Arial" w:cs="Arial"/>
          <w:szCs w:val="28"/>
        </w:rPr>
        <w:t>»</w:t>
      </w:r>
      <w:r w:rsidRPr="00511005">
        <w:rPr>
          <w:rFonts w:ascii="Arial" w:eastAsia="Times New Roman" w:hAnsi="Arial" w:cs="Arial"/>
          <w:szCs w:val="28"/>
          <w:lang w:val="uk-UA"/>
        </w:rPr>
        <w:t xml:space="preserve"> (історико-правовий аналіз) // </w:t>
      </w:r>
      <w:r w:rsidRPr="00511005">
        <w:rPr>
          <w:rFonts w:ascii="Arial" w:eastAsia="Times New Roman" w:hAnsi="Arial" w:cs="Arial"/>
          <w:i/>
          <w:iCs/>
          <w:szCs w:val="28"/>
          <w:lang w:val="uk-UA"/>
        </w:rPr>
        <w:t xml:space="preserve">Науковий вісник Ужгородського національного </w:t>
      </w:r>
      <w:proofErr w:type="gramStart"/>
      <w:r w:rsidRPr="00511005">
        <w:rPr>
          <w:rFonts w:ascii="Arial" w:eastAsia="Times New Roman" w:hAnsi="Arial" w:cs="Arial"/>
          <w:i/>
          <w:iCs/>
          <w:szCs w:val="28"/>
          <w:lang w:val="uk-UA"/>
        </w:rPr>
        <w:t>університету :</w:t>
      </w:r>
      <w:proofErr w:type="gramEnd"/>
      <w:r w:rsidRPr="00511005">
        <w:rPr>
          <w:rFonts w:ascii="Arial" w:eastAsia="Times New Roman" w:hAnsi="Arial" w:cs="Arial"/>
          <w:i/>
          <w:iCs/>
          <w:szCs w:val="28"/>
          <w:lang w:val="uk-UA"/>
        </w:rPr>
        <w:t xml:space="preserve"> серія: Право.</w:t>
      </w:r>
      <w:r w:rsidRPr="00511005">
        <w:rPr>
          <w:rFonts w:ascii="Arial" w:eastAsia="Times New Roman" w:hAnsi="Arial" w:cs="Arial"/>
          <w:szCs w:val="28"/>
          <w:lang w:val="uk-UA"/>
        </w:rPr>
        <w:t xml:space="preserve"> 2018. Т. 1</w:t>
      </w:r>
      <w:r w:rsidRPr="00511005">
        <w:rPr>
          <w:rFonts w:ascii="Arial" w:eastAsia="Times New Roman" w:hAnsi="Arial" w:cs="Arial"/>
          <w:szCs w:val="28"/>
        </w:rPr>
        <w:t>.</w:t>
      </w:r>
      <w:r w:rsidRPr="00511005">
        <w:rPr>
          <w:rFonts w:ascii="Arial" w:eastAsia="Times New Roman" w:hAnsi="Arial" w:cs="Arial"/>
          <w:szCs w:val="28"/>
          <w:lang w:val="uk-UA"/>
        </w:rPr>
        <w:t xml:space="preserve"> </w:t>
      </w:r>
      <w:r w:rsidRPr="00511005">
        <w:rPr>
          <w:rFonts w:ascii="Arial" w:eastAsia="Times New Roman" w:hAnsi="Arial" w:cs="Arial"/>
          <w:szCs w:val="28"/>
        </w:rPr>
        <w:t>В</w:t>
      </w:r>
      <w:r w:rsidRPr="00511005">
        <w:rPr>
          <w:rFonts w:ascii="Arial" w:eastAsia="Times New Roman" w:hAnsi="Arial" w:cs="Arial"/>
          <w:szCs w:val="28"/>
          <w:lang w:val="uk-UA"/>
        </w:rPr>
        <w:t>ип. 52. С. 48–5</w:t>
      </w:r>
      <w:r w:rsidRPr="00511005">
        <w:rPr>
          <w:rFonts w:ascii="Arial" w:eastAsia="Times New Roman" w:hAnsi="Arial" w:cs="Arial"/>
          <w:szCs w:val="28"/>
        </w:rPr>
        <w:t>1</w:t>
      </w:r>
      <w:r w:rsidRPr="00511005">
        <w:rPr>
          <w:rFonts w:ascii="Arial" w:eastAsia="Times New Roman" w:hAnsi="Arial" w:cs="Arial"/>
          <w:szCs w:val="28"/>
          <w:lang w:val="uk-UA"/>
        </w:rPr>
        <w:t xml:space="preserve">. – URL : </w:t>
      </w:r>
      <w:hyperlink r:id="rId84">
        <w:r w:rsidRPr="00511005">
          <w:rPr>
            <w:rFonts w:ascii="Arial" w:eastAsia="Times New Roman" w:hAnsi="Arial" w:cs="Arial"/>
            <w:szCs w:val="28"/>
            <w:lang w:val="uk-UA"/>
          </w:rPr>
          <w:t>https://dspace.uzhnu.edu.ua/jspui/bitstream/lib/44798/1/%d0%9a%d0%90%d0%a2%d0%95%d0%93%d0%9e%d0%A0%d0%86%d0%af.pdf</w:t>
        </w:r>
      </w:hyperlink>
      <w:r w:rsidRPr="00511005">
        <w:rPr>
          <w:rFonts w:ascii="Arial" w:eastAsia="Times New Roman" w:hAnsi="Arial" w:cs="Arial"/>
          <w:szCs w:val="28"/>
          <w:lang w:val="uk-UA"/>
        </w:rPr>
        <w:t>.</w:t>
      </w:r>
    </w:p>
    <w:p w14:paraId="2B8F19FF" w14:textId="77777777" w:rsidR="006B07CA" w:rsidRPr="00511005" w:rsidRDefault="006B07CA" w:rsidP="003A292D">
      <w:pPr>
        <w:spacing w:line="264" w:lineRule="auto"/>
        <w:ind w:firstLine="0"/>
        <w:rPr>
          <w:rFonts w:ascii="Arial" w:eastAsia="Times New Roman" w:hAnsi="Arial" w:cs="Arial"/>
          <w:b/>
          <w:bCs/>
          <w:szCs w:val="28"/>
          <w:lang w:val="uk-UA"/>
        </w:rPr>
      </w:pPr>
    </w:p>
    <w:p w14:paraId="2BE516CB" w14:textId="4932BB0D" w:rsidR="006B07CA"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6B07CA" w:rsidRPr="00511005">
        <w:rPr>
          <w:rFonts w:ascii="Arial" w:eastAsia="Times New Roman" w:hAnsi="Arial" w:cs="Arial"/>
          <w:szCs w:val="28"/>
          <w:lang w:val="uk-UA"/>
        </w:rPr>
        <w:t>правова держава, правова політика, верховенство права, демократія, євроінтеграція, права людини.</w:t>
      </w:r>
    </w:p>
    <w:p w14:paraId="0EA82458" w14:textId="4C1D79E9" w:rsidR="006B07CA"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6B07CA" w:rsidRPr="00511005">
        <w:rPr>
          <w:rFonts w:ascii="Arial" w:eastAsia="Times New Roman" w:hAnsi="Arial" w:cs="Arial"/>
          <w:szCs w:val="28"/>
          <w:lang w:val="uk-UA"/>
        </w:rPr>
        <w:t>law-governed state, legal policy, rule of law, democracy, European integration</w:t>
      </w:r>
      <w:r w:rsidR="006B07CA" w:rsidRPr="00511005">
        <w:rPr>
          <w:rFonts w:ascii="Arial" w:eastAsia="Times New Roman" w:hAnsi="Arial" w:cs="Arial"/>
          <w:b/>
          <w:bCs/>
          <w:szCs w:val="28"/>
          <w:lang w:val="uk-UA"/>
        </w:rPr>
        <w:t xml:space="preserve">, </w:t>
      </w:r>
      <w:r w:rsidR="006B07CA" w:rsidRPr="00511005">
        <w:rPr>
          <w:rFonts w:ascii="Arial" w:eastAsia="Times New Roman" w:hAnsi="Arial" w:cs="Arial"/>
          <w:szCs w:val="28"/>
          <w:lang w:val="uk-UA"/>
        </w:rPr>
        <w:t>human rights.</w:t>
      </w:r>
    </w:p>
    <w:p w14:paraId="6386F917" w14:textId="50677EEB" w:rsidR="006B07CA"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iCs/>
          <w:szCs w:val="28"/>
          <w:lang w:val="uk-UA"/>
        </w:rPr>
        <w:t xml:space="preserve">Науковий керівник: </w:t>
      </w:r>
      <w:r w:rsidR="006B07CA" w:rsidRPr="00511005">
        <w:rPr>
          <w:rFonts w:ascii="Arial" w:eastAsia="Times New Roman" w:hAnsi="Arial" w:cs="Arial"/>
          <w:i/>
          <w:iCs/>
          <w:szCs w:val="28"/>
          <w:lang w:val="uk-UA"/>
        </w:rPr>
        <w:t>д</w:t>
      </w:r>
      <w:r w:rsidR="006B07CA" w:rsidRPr="00511005">
        <w:rPr>
          <w:rFonts w:ascii="Arial" w:eastAsia="Times New Roman" w:hAnsi="Arial" w:cs="Arial"/>
          <w:i/>
          <w:iCs/>
          <w:szCs w:val="28"/>
        </w:rPr>
        <w:t>.</w:t>
      </w:r>
      <w:r w:rsidR="006B07CA" w:rsidRPr="00511005">
        <w:rPr>
          <w:rFonts w:ascii="Arial" w:eastAsia="Times New Roman" w:hAnsi="Arial" w:cs="Arial"/>
          <w:i/>
          <w:iCs/>
          <w:szCs w:val="28"/>
          <w:lang w:val="uk-UA"/>
        </w:rPr>
        <w:t>ю</w:t>
      </w:r>
      <w:r w:rsidR="006B07CA" w:rsidRPr="00511005">
        <w:rPr>
          <w:rFonts w:ascii="Arial" w:eastAsia="Times New Roman" w:hAnsi="Arial" w:cs="Arial"/>
          <w:i/>
          <w:iCs/>
          <w:szCs w:val="28"/>
        </w:rPr>
        <w:t>.</w:t>
      </w:r>
      <w:r w:rsidR="006B07CA" w:rsidRPr="00511005">
        <w:rPr>
          <w:rFonts w:ascii="Arial" w:eastAsia="Times New Roman" w:hAnsi="Arial" w:cs="Arial"/>
          <w:i/>
          <w:iCs/>
          <w:szCs w:val="28"/>
          <w:lang w:val="uk-UA"/>
        </w:rPr>
        <w:t>н</w:t>
      </w:r>
      <w:r w:rsidR="006B07CA" w:rsidRPr="00511005">
        <w:rPr>
          <w:rFonts w:ascii="Arial" w:eastAsia="Times New Roman" w:hAnsi="Arial" w:cs="Arial"/>
          <w:i/>
          <w:iCs/>
          <w:szCs w:val="28"/>
        </w:rPr>
        <w:t>.</w:t>
      </w:r>
      <w:r w:rsidR="006B07CA" w:rsidRPr="00511005">
        <w:rPr>
          <w:rFonts w:ascii="Arial" w:eastAsia="Times New Roman" w:hAnsi="Arial" w:cs="Arial"/>
          <w:i/>
          <w:iCs/>
          <w:szCs w:val="28"/>
          <w:lang w:val="uk-UA"/>
        </w:rPr>
        <w:t>, професор Мельничук О.С.</w:t>
      </w:r>
    </w:p>
    <w:p w14:paraId="4C0EDF3E" w14:textId="77777777" w:rsidR="006B07CA" w:rsidRPr="00511005" w:rsidRDefault="006B07CA" w:rsidP="003A292D">
      <w:pPr>
        <w:spacing w:line="264" w:lineRule="auto"/>
        <w:ind w:firstLine="0"/>
        <w:rPr>
          <w:rFonts w:ascii="Arial" w:eastAsia="Times New Roman" w:hAnsi="Arial" w:cs="Arial"/>
          <w:szCs w:val="28"/>
          <w:lang w:val="uk-UA"/>
        </w:rPr>
      </w:pPr>
    </w:p>
    <w:p w14:paraId="719718F9" w14:textId="77777777" w:rsidR="006B07CA" w:rsidRPr="00511005" w:rsidRDefault="006B07CA" w:rsidP="003A292D">
      <w:pPr>
        <w:spacing w:line="264" w:lineRule="auto"/>
        <w:ind w:firstLine="0"/>
        <w:rPr>
          <w:rFonts w:ascii="Arial" w:eastAsia="Times New Roman" w:hAnsi="Arial" w:cs="Arial"/>
          <w:szCs w:val="28"/>
          <w:lang w:val="uk-UA"/>
        </w:rPr>
      </w:pPr>
    </w:p>
    <w:p w14:paraId="4CA6054A" w14:textId="77777777" w:rsidR="006B07CA" w:rsidRPr="00511005" w:rsidRDefault="006B07CA"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 xml:space="preserve">Щербань Софія Дмитрівна </w:t>
      </w:r>
    </w:p>
    <w:p w14:paraId="1825B30A" w14:textId="14DAD407" w:rsidR="006B07CA" w:rsidRPr="00511005" w:rsidRDefault="00BE3972"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1-го курсу </w:t>
      </w:r>
      <w:r w:rsidR="00536AAB" w:rsidRPr="00511005">
        <w:rPr>
          <w:rFonts w:ascii="Arial" w:eastAsia="Times New Roman" w:hAnsi="Arial" w:cs="Arial"/>
          <w:szCs w:val="28"/>
          <w:lang w:val="uk-UA" w:eastAsia="ru-RU"/>
        </w:rPr>
        <w:t>факультету адвокатури та антикорупційної діяльності</w:t>
      </w:r>
      <w:r w:rsidR="006B07CA"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79524139" w14:textId="77777777" w:rsidR="006B07CA" w:rsidRPr="00511005" w:rsidRDefault="006B07CA" w:rsidP="003A292D">
      <w:pPr>
        <w:spacing w:line="264" w:lineRule="auto"/>
        <w:ind w:firstLine="0"/>
        <w:jc w:val="center"/>
        <w:rPr>
          <w:rFonts w:ascii="Arial" w:eastAsia="Times New Roman" w:hAnsi="Arial" w:cs="Arial"/>
          <w:b/>
          <w:szCs w:val="28"/>
          <w:lang w:val="uk-UA" w:eastAsia="ru-RU"/>
        </w:rPr>
      </w:pPr>
    </w:p>
    <w:p w14:paraId="639D298E" w14:textId="6095AE45" w:rsidR="006B07CA" w:rsidRPr="00511005" w:rsidRDefault="006B07CA"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ПРАВОСУДДЯ ЯК ФОРМА РЕАЛІЗАЦІЇ СУД</w:t>
      </w:r>
      <w:r w:rsidR="006E394F" w:rsidRPr="00511005">
        <w:rPr>
          <w:rFonts w:ascii="Arial" w:eastAsia="Times New Roman" w:hAnsi="Arial" w:cs="Arial"/>
          <w:b/>
          <w:szCs w:val="28"/>
          <w:lang w:val="uk-UA" w:eastAsia="ru-RU"/>
        </w:rPr>
        <w:t>О</w:t>
      </w:r>
      <w:r w:rsidRPr="00511005">
        <w:rPr>
          <w:rFonts w:ascii="Arial" w:eastAsia="Times New Roman" w:hAnsi="Arial" w:cs="Arial"/>
          <w:b/>
          <w:szCs w:val="28"/>
          <w:lang w:val="uk-UA" w:eastAsia="ru-RU"/>
        </w:rPr>
        <w:t xml:space="preserve">ВОЇ ВЛАДИ: </w:t>
      </w:r>
      <w:r w:rsidR="006E394F" w:rsidRPr="00511005">
        <w:rPr>
          <w:rFonts w:ascii="Arial" w:eastAsia="Times New Roman" w:hAnsi="Arial" w:cs="Arial"/>
          <w:b/>
          <w:szCs w:val="28"/>
          <w:lang w:val="uk-UA" w:eastAsia="ru-RU"/>
        </w:rPr>
        <w:br/>
      </w:r>
      <w:r w:rsidRPr="00511005">
        <w:rPr>
          <w:rFonts w:ascii="Arial" w:eastAsia="Times New Roman" w:hAnsi="Arial" w:cs="Arial"/>
          <w:b/>
          <w:szCs w:val="28"/>
          <w:lang w:val="uk-UA" w:eastAsia="ru-RU"/>
        </w:rPr>
        <w:t>ТЕОРЕТИКО-ПРАВОВИЙ АСПЕКТ</w:t>
      </w:r>
      <w:r w:rsidR="007B2628" w:rsidRPr="00511005">
        <w:rPr>
          <w:rFonts w:ascii="Arial" w:eastAsia="Times New Roman" w:hAnsi="Arial" w:cs="Arial"/>
          <w:b/>
          <w:szCs w:val="28"/>
          <w:lang w:val="uk-UA" w:eastAsia="ru-RU"/>
        </w:rPr>
        <w:t xml:space="preserve"> </w:t>
      </w:r>
    </w:p>
    <w:p w14:paraId="1F50248C"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правовій демократичній державі правосуддя є фундаментальним інструментом підтримання законності, охорони прав і свобод людини та громадянина, а також формування довіри до органів державної влади. Судова влада, будучи самостійною гілкою державної влади, втілюється виключно через правосуддя — особливий вид діяльності, спрямований на вирішення правових спорів відповідно до встановлених норм права. Теоретико-правове осмислення правосуддя дає змогу глибше розкрити його природу, функціональні характеристики, основоположні принципи та механізми реалізації.</w:t>
      </w:r>
    </w:p>
    <w:p w14:paraId="6096E147"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законодавстві України немає чіткого визначення поняття «судова влада». Водночас Закон «Про судоустрій і статус суддів» визначає, що вона реалізується незалежними судами, створеними за законом, через здійснення правосуддя суддями або, у визначених випадках, присяжними [2].</w:t>
      </w:r>
    </w:p>
    <w:p w14:paraId="174D5981"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Судову владу визначають три ключові принципи, що відображають її природу, місце в системі поділу влади та механізми реалізації правосуддя:</w:t>
      </w:r>
    </w:p>
    <w:p w14:paraId="0D6F753F"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1)Інституціональні принципи — забезпечують взаємодію судової влади з іншими гілками. Серед них: рівноправність, справедливість, верховенство права, незалежність, неупередженість, відкритість, виключне право на здійснення правосуддя [3, с 28]. </w:t>
      </w:r>
    </w:p>
    <w:p w14:paraId="07F19B07"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2)Функціональні принципи — регулюють здійснення правосуддя у різних видах судочинства. Це: державна мова процесу, відкритість, змагальність, рівність сторін, право на захист, можливість оскарження, обов’язковість виконання рішень суду.</w:t>
      </w:r>
    </w:p>
    <w:p w14:paraId="5AD5044D"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3)Організаційні принципи — стосуються побудови судової системи, порядку її діяльності, правового статусу суддів та інших елементів організації судової влади.[3, с. 28].</w:t>
      </w:r>
    </w:p>
    <w:p w14:paraId="3912F6FC"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 числа функцій судової влади відносяться: здійснення правосуддя — це особлива форма здійснення державної влади, яка полягає в розгляді судових справ. Здійснення правосуддя полягає в реалізації діяльності, спрямованої на захист прав, свобод та законних інтересів фізичних і юридичних осіб. Така діяльність передбачає розгляд юридичних спорів у межах адміністративної, господарської та цивільної юрисдикції судами, відповідно до вимог процесуального законодавства [3, с. 106].</w:t>
      </w:r>
    </w:p>
    <w:p w14:paraId="2799E270"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Основу правосуддя складають ключові принципи, які забезпечують його ефективність і справедливість. Серед них основні це:</w:t>
      </w:r>
    </w:p>
    <w:p w14:paraId="5590A1B4"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1)принцип законності</w:t>
      </w:r>
    </w:p>
    <w:p w14:paraId="28984704"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2)здійснення правосуддя виключно судами</w:t>
      </w:r>
    </w:p>
    <w:p w14:paraId="74E92902"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3)рівність усіх учасників судового процесу перед законом і судом, </w:t>
      </w:r>
    </w:p>
    <w:p w14:paraId="2FD739A6"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4)незалежність суддів у прийнятті рішень. </w:t>
      </w:r>
    </w:p>
    <w:p w14:paraId="6ECB5BF6"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5)гласність судового розгляду та обов’язкова фіксація процесу технічними засобами</w:t>
      </w:r>
    </w:p>
    <w:p w14:paraId="0A93D139"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6)прагнення до встановлення об'єктивної істини</w:t>
      </w:r>
    </w:p>
    <w:p w14:paraId="63CE3E10" w14:textId="23AE5E9C"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7)змагальність сторін, обов’язковість виконання судових рішень,</w:t>
      </w:r>
      <w:r w:rsidR="007B2628" w:rsidRPr="00511005">
        <w:rPr>
          <w:rFonts w:ascii="Arial" w:eastAsia="Times New Roman" w:hAnsi="Arial" w:cs="Arial"/>
          <w:szCs w:val="28"/>
          <w:lang w:val="uk-UA" w:eastAsia="ru-RU"/>
        </w:rPr>
        <w:t xml:space="preserve"> </w:t>
      </w:r>
    </w:p>
    <w:p w14:paraId="7A2FDB27"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8)дотримання мовних норм судочинства та принцип справедливості [4, с. 91]</w:t>
      </w:r>
    </w:p>
    <w:p w14:paraId="18F7643A"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Конституція України забезпечує кожному громадянину право на справедливе судочинство, що є однією з ключових гарантій демократичного суспільства. Це право включає низку важливих положень, спрямованих на забезпечення ефективного функціонування судової влади. Зокрема, у ст. 55 Основного Закону закріплено право кожного на судовий захист своїх прав і свобод [1]. Це означає, що кожен має можливість звернутися до суду у разі порушення своїх законних інтересів, що є основою довіри до правосуддя та правової держави.</w:t>
      </w:r>
    </w:p>
    <w:p w14:paraId="65CCBEB0"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Важливим елементом є також незалежність суддів, яка гарантується ст. 126 Конституції України. Судді повинні бути вільними від будь-якого тиску чи впливу з боку інших гілок влади або зацікавлених сторін і підкорятися лише закону. Це гарантує об’єктивність та неупередженість у винесенні рішень. Ще одним фундаментальним принципом є верховенство права (ст. 8 Конституції України), що означає, що всі без винятку — як громадяни, так і державні органи — зобов’язані діяти у межах правового поля [1].</w:t>
      </w:r>
    </w:p>
    <w:p w14:paraId="7ABC59EC"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Крім того, міжнародні стандарти, зокрема Європейська конвенція з прав людини, доповнюють систему гарантій ефективного правосуддя. Стаття 6 цієї Конвенції закріплює право кожного на справедливий і публічний розгляд його справи незалежним і безстороннім судом, встановленим законом[5, ст. 6]. Це право охоплює не лише доступ до суду, але й вимоги до відкритості, рівності сторін та неупередженості суддів. Стаття 13 Конвенції передбачає право на ефективний засіб юридичного захисту у національному органі, якщо порушено права і свободи, гарантовані Конвенцією[5, ст. 13]. Ці міжнародно-правові норми мають пряме застосування в Україні і сприяють підвищенню якості національного правосуддя, створюючи додаткові гарантії для захисту прав людини.</w:t>
      </w:r>
    </w:p>
    <w:p w14:paraId="26D2B9D5" w14:textId="77777777" w:rsidR="006B07CA" w:rsidRPr="00511005" w:rsidRDefault="006B07CA" w:rsidP="006E394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правовій демократичній державі судова влада є основою забезпечення законності, прав і свобод громадян. В Україні вона реалізується через незалежні суди, що діють на підставі принципів законності, справедливості та рівності сторін. Конституція України та Європейська конвенція з прав людини гарантують право на справедливий суд і ефективний захист прав, забезпечуючи стабільність і легітимність судової діяльності. Ці гарантії сприяють розвитку правової держави, підвищуючи довіру до судової системи та забезпечуючи справедливість для кожного громадянина.</w:t>
      </w:r>
    </w:p>
    <w:p w14:paraId="7D2FE708" w14:textId="77777777" w:rsidR="006B07CA" w:rsidRPr="00511005" w:rsidRDefault="006B07CA" w:rsidP="003A292D">
      <w:pPr>
        <w:spacing w:line="264" w:lineRule="auto"/>
        <w:ind w:firstLine="0"/>
        <w:rPr>
          <w:rFonts w:ascii="Arial" w:eastAsia="Times New Roman" w:hAnsi="Arial" w:cs="Arial"/>
          <w:szCs w:val="28"/>
          <w:lang w:val="uk-UA" w:eastAsia="ru-RU"/>
        </w:rPr>
      </w:pPr>
    </w:p>
    <w:p w14:paraId="31BF2920" w14:textId="1E767CAB" w:rsidR="006B07CA" w:rsidRPr="00511005" w:rsidRDefault="007B2628" w:rsidP="007B2628">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Список використаних джерел</w:t>
      </w:r>
    </w:p>
    <w:p w14:paraId="0D9976FC" w14:textId="3567BEFA" w:rsidR="006B07CA" w:rsidRPr="00511005" w:rsidRDefault="006B07CA" w:rsidP="006E394F">
      <w:pPr>
        <w:numPr>
          <w:ilvl w:val="0"/>
          <w:numId w:val="10"/>
        </w:numPr>
        <w:spacing w:line="264" w:lineRule="auto"/>
        <w:ind w:left="0" w:firstLine="709"/>
        <w:rPr>
          <w:rFonts w:ascii="Arial" w:eastAsia="Times New Roman" w:hAnsi="Arial" w:cs="Arial"/>
          <w:szCs w:val="28"/>
          <w:lang w:val="uk-UA" w:eastAsia="ru-RU"/>
        </w:rPr>
      </w:pPr>
      <w:r w:rsidRPr="00511005">
        <w:rPr>
          <w:rFonts w:ascii="Arial" w:hAnsi="Arial" w:cs="Arial"/>
          <w:szCs w:val="28"/>
          <w:lang w:val="uk-UA" w:eastAsia="ru-RU"/>
        </w:rPr>
        <w:t xml:space="preserve">Конституція України [Електронний ресурс] // Відомості Верховної Ради України (ВВР). 1996. № 30. С. 141. </w:t>
      </w:r>
      <w:r w:rsidRPr="00511005">
        <w:rPr>
          <w:rFonts w:ascii="Arial" w:eastAsia="Times New Roman" w:hAnsi="Arial" w:cs="Arial"/>
          <w:szCs w:val="28"/>
          <w:lang w:val="uk-UA" w:eastAsia="ru-RU"/>
        </w:rPr>
        <w:t>URL</w:t>
      </w:r>
      <w:r w:rsidRPr="00511005">
        <w:rPr>
          <w:rFonts w:ascii="Arial" w:hAnsi="Arial" w:cs="Arial"/>
          <w:szCs w:val="28"/>
          <w:lang w:val="uk-UA" w:eastAsia="ru-RU"/>
        </w:rPr>
        <w:t>:</w:t>
      </w:r>
      <w:r w:rsidR="007B2628" w:rsidRPr="00511005">
        <w:rPr>
          <w:rFonts w:ascii="Arial" w:eastAsia="Times New Roman" w:hAnsi="Arial" w:cs="Arial"/>
          <w:szCs w:val="28"/>
          <w:lang w:val="uk-UA" w:eastAsia="ru-RU"/>
        </w:rPr>
        <w:t xml:space="preserve"> </w:t>
      </w:r>
      <w:hyperlink r:id="rId85" w:history="1">
        <w:r w:rsidRPr="00511005">
          <w:rPr>
            <w:rFonts w:ascii="Arial" w:hAnsi="Arial" w:cs="Arial"/>
            <w:szCs w:val="28"/>
            <w:lang w:val="uk-UA" w:eastAsia="ru-RU"/>
          </w:rPr>
          <w:t>http://zakon5.rada.gov.ua/laws/show/254%D0%BA/96-%D0%B2%D1%80</w:t>
        </w:r>
      </w:hyperlink>
      <w:r w:rsidRPr="00511005">
        <w:rPr>
          <w:rFonts w:ascii="Arial" w:hAnsi="Arial" w:cs="Arial"/>
          <w:szCs w:val="28"/>
          <w:lang w:val="uk-UA" w:eastAsia="ru-RU"/>
        </w:rPr>
        <w:t xml:space="preserve"> </w:t>
      </w:r>
    </w:p>
    <w:p w14:paraId="53766A87" w14:textId="24AE62C1" w:rsidR="006B07CA" w:rsidRPr="00511005" w:rsidRDefault="006B07CA" w:rsidP="006E394F">
      <w:pPr>
        <w:numPr>
          <w:ilvl w:val="0"/>
          <w:numId w:val="10"/>
        </w:numPr>
        <w:spacing w:line="264" w:lineRule="auto"/>
        <w:ind w:left="0" w:firstLine="709"/>
        <w:rPr>
          <w:rFonts w:ascii="Arial" w:eastAsia="Times New Roman" w:hAnsi="Arial" w:cs="Arial"/>
          <w:szCs w:val="28"/>
          <w:lang w:val="uk-UA" w:eastAsia="ru-RU"/>
        </w:rPr>
      </w:pPr>
      <w:r w:rsidRPr="00511005">
        <w:rPr>
          <w:rFonts w:ascii="Arial" w:hAnsi="Arial" w:cs="Arial"/>
          <w:szCs w:val="28"/>
          <w:lang w:val="uk-UA" w:eastAsia="ru-RU"/>
        </w:rPr>
        <w:t xml:space="preserve">Закон України «Про судоустрій і статус суддів»: Закон України від 02 черв. 2016 р. № 1402-VII. </w:t>
      </w:r>
      <w:r w:rsidRPr="00511005">
        <w:rPr>
          <w:rFonts w:ascii="Arial" w:eastAsia="Times New Roman" w:hAnsi="Arial" w:cs="Arial"/>
          <w:szCs w:val="28"/>
          <w:lang w:val="uk-UA" w:eastAsia="ru-RU"/>
        </w:rPr>
        <w:t>URL</w:t>
      </w:r>
      <w:r w:rsidRPr="00511005">
        <w:rPr>
          <w:rFonts w:ascii="Arial" w:hAnsi="Arial" w:cs="Arial"/>
          <w:szCs w:val="28"/>
          <w:lang w:val="uk-UA" w:eastAsia="ru-RU"/>
        </w:rPr>
        <w:t>:</w:t>
      </w:r>
      <w:r w:rsidRPr="00511005">
        <w:rPr>
          <w:rFonts w:ascii="Arial" w:eastAsia="Times New Roman" w:hAnsi="Arial" w:cs="Arial"/>
          <w:szCs w:val="28"/>
          <w:lang w:val="uk-UA" w:eastAsia="ru-RU"/>
        </w:rPr>
        <w:t xml:space="preserve"> </w:t>
      </w:r>
      <w:hyperlink r:id="rId86" w:anchor="Text" w:history="1">
        <w:r w:rsidRPr="00511005">
          <w:rPr>
            <w:rFonts w:ascii="Arial" w:hAnsi="Arial" w:cs="Arial"/>
            <w:szCs w:val="28"/>
            <w:lang w:val="uk-UA" w:eastAsia="ru-RU"/>
          </w:rPr>
          <w:t>https://zakon.rada.gov.ua/laws/show/1402-19#Text</w:t>
        </w:r>
      </w:hyperlink>
    </w:p>
    <w:p w14:paraId="63DD6A98" w14:textId="77777777" w:rsidR="007B2628" w:rsidRPr="00511005" w:rsidRDefault="006B07CA" w:rsidP="006E394F">
      <w:pPr>
        <w:numPr>
          <w:ilvl w:val="0"/>
          <w:numId w:val="10"/>
        </w:numPr>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Конвенція про захист прав людини і основоположних свобод (з протоколами) (Європейська конвенція з прав людини) URL</w:t>
      </w:r>
      <w:r w:rsidRPr="00511005">
        <w:rPr>
          <w:rFonts w:ascii="Arial" w:hAnsi="Arial" w:cs="Arial"/>
          <w:szCs w:val="28"/>
          <w:lang w:val="uk-UA" w:eastAsia="ru-RU"/>
        </w:rPr>
        <w:t>:</w:t>
      </w:r>
      <w:r w:rsidRPr="00511005">
        <w:rPr>
          <w:rFonts w:ascii="Arial" w:eastAsia="Times New Roman" w:hAnsi="Arial" w:cs="Arial"/>
          <w:szCs w:val="28"/>
          <w:lang w:val="uk-UA" w:eastAsia="ru-RU"/>
        </w:rPr>
        <w:t xml:space="preserve"> </w:t>
      </w:r>
      <w:hyperlink r:id="rId87" w:anchor="Text">
        <w:r w:rsidRPr="00511005">
          <w:rPr>
            <w:rFonts w:ascii="Arial" w:eastAsia="Times New Roman" w:hAnsi="Arial" w:cs="Arial"/>
            <w:szCs w:val="28"/>
            <w:lang w:val="uk-UA" w:eastAsia="ru-RU"/>
          </w:rPr>
          <w:t>https://zakon.rada.gov.ua/laws/show/995_004#Text</w:t>
        </w:r>
      </w:hyperlink>
    </w:p>
    <w:p w14:paraId="68ED7334" w14:textId="7C4450D1" w:rsidR="006B07CA" w:rsidRPr="00511005" w:rsidRDefault="006B07CA" w:rsidP="006E394F">
      <w:pPr>
        <w:numPr>
          <w:ilvl w:val="0"/>
          <w:numId w:val="10"/>
        </w:numPr>
        <w:spacing w:line="264" w:lineRule="auto"/>
        <w:ind w:left="0" w:firstLine="709"/>
        <w:rPr>
          <w:rFonts w:ascii="Arial" w:eastAsia="Times New Roman" w:hAnsi="Arial" w:cs="Arial"/>
          <w:szCs w:val="28"/>
          <w:lang w:val="uk-UA" w:eastAsia="ru-RU"/>
        </w:rPr>
      </w:pPr>
      <w:r w:rsidRPr="00511005">
        <w:rPr>
          <w:rFonts w:ascii="Arial" w:hAnsi="Arial" w:cs="Arial"/>
          <w:szCs w:val="28"/>
          <w:shd w:val="clear" w:color="auto" w:fill="FFFFFF"/>
          <w:lang w:val="uk-UA" w:eastAsia="ru-RU"/>
        </w:rPr>
        <w:t>Константий О.В. Захист прав людини як основне завдання правосуддя. </w:t>
      </w:r>
      <w:r w:rsidRPr="00511005">
        <w:rPr>
          <w:rFonts w:ascii="Arial" w:hAnsi="Arial" w:cs="Arial"/>
          <w:i/>
          <w:iCs/>
          <w:szCs w:val="28"/>
          <w:shd w:val="clear" w:color="auto" w:fill="FFFFFF"/>
          <w:lang w:val="uk-UA" w:eastAsia="ru-RU"/>
        </w:rPr>
        <w:t>Нове українське право.</w:t>
      </w:r>
      <w:r w:rsidRPr="00511005">
        <w:rPr>
          <w:rFonts w:ascii="Arial" w:hAnsi="Arial" w:cs="Arial"/>
          <w:szCs w:val="28"/>
          <w:shd w:val="clear" w:color="auto" w:fill="FFFFFF"/>
          <w:lang w:val="uk-UA" w:eastAsia="ru-RU"/>
        </w:rPr>
        <w:t> № 1 (2022). С. 103-108.</w:t>
      </w:r>
    </w:p>
    <w:p w14:paraId="78697EE9" w14:textId="2F150BEA" w:rsidR="006B07CA" w:rsidRPr="00511005" w:rsidRDefault="006B07CA" w:rsidP="006E394F">
      <w:pPr>
        <w:numPr>
          <w:ilvl w:val="0"/>
          <w:numId w:val="10"/>
        </w:numPr>
        <w:spacing w:line="264" w:lineRule="auto"/>
        <w:ind w:left="0" w:firstLine="709"/>
        <w:rPr>
          <w:rFonts w:ascii="Arial" w:eastAsia="Times New Roman" w:hAnsi="Arial" w:cs="Arial"/>
          <w:szCs w:val="28"/>
          <w:lang w:val="uk-UA" w:eastAsia="ru-RU"/>
        </w:rPr>
      </w:pPr>
      <w:r w:rsidRPr="00511005">
        <w:rPr>
          <w:rFonts w:ascii="Arial" w:hAnsi="Arial" w:cs="Arial"/>
          <w:szCs w:val="28"/>
          <w:shd w:val="clear" w:color="auto" w:fill="FFFFFF"/>
          <w:lang w:val="uk-UA" w:eastAsia="ru-RU"/>
        </w:rPr>
        <w:t>Пігарева Г. Загальновизнані принципи здійснення правосуддя: міжнародний та національний досвід. </w:t>
      </w:r>
      <w:r w:rsidRPr="00511005">
        <w:rPr>
          <w:rFonts w:ascii="Arial" w:hAnsi="Arial" w:cs="Arial"/>
          <w:i/>
          <w:iCs/>
          <w:szCs w:val="28"/>
          <w:shd w:val="clear" w:color="auto" w:fill="FFFFFF"/>
          <w:lang w:val="uk-UA" w:eastAsia="ru-RU"/>
        </w:rPr>
        <w:t>Підприємництво, господарство і право.</w:t>
      </w:r>
      <w:r w:rsidRPr="00511005">
        <w:rPr>
          <w:rFonts w:ascii="Arial" w:hAnsi="Arial" w:cs="Arial"/>
          <w:szCs w:val="28"/>
          <w:shd w:val="clear" w:color="auto" w:fill="FFFFFF"/>
          <w:lang w:val="uk-UA" w:eastAsia="ru-RU"/>
        </w:rPr>
        <w:t> № 3 (2017). С. 91-94.</w:t>
      </w:r>
    </w:p>
    <w:p w14:paraId="260A3CB1" w14:textId="77777777" w:rsidR="006E394F" w:rsidRPr="00511005" w:rsidRDefault="006E394F" w:rsidP="003A292D">
      <w:pPr>
        <w:spacing w:line="264" w:lineRule="auto"/>
        <w:ind w:firstLine="0"/>
        <w:rPr>
          <w:rFonts w:ascii="Arial" w:eastAsia="Times New Roman" w:hAnsi="Arial" w:cs="Arial"/>
          <w:bCs/>
          <w:iCs/>
          <w:szCs w:val="28"/>
          <w:lang w:val="uk-UA" w:eastAsia="ru-RU"/>
        </w:rPr>
      </w:pPr>
      <w:bookmarkStart w:id="10" w:name="_iuz30rejfacl" w:colFirst="0" w:colLast="0"/>
      <w:bookmarkEnd w:id="10"/>
    </w:p>
    <w:p w14:paraId="0236A0F7" w14:textId="4D32844C"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6B07CA" w:rsidRPr="00511005">
        <w:rPr>
          <w:rFonts w:ascii="Arial" w:eastAsia="Times New Roman" w:hAnsi="Arial" w:cs="Arial"/>
          <w:szCs w:val="28"/>
          <w:lang w:val="uk-UA" w:eastAsia="ru-RU"/>
        </w:rPr>
        <w:t>правосуддя, судова влада, справедливість, суд, закон, конституція, права людини, правовий захист, незалежність суддів, Європейська конвенція, ефективне правосуддя.</w:t>
      </w:r>
    </w:p>
    <w:p w14:paraId="04C9E200" w14:textId="61D37BA5"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6B07CA" w:rsidRPr="00511005">
        <w:rPr>
          <w:rFonts w:ascii="Arial" w:eastAsia="Times New Roman" w:hAnsi="Arial" w:cs="Arial"/>
          <w:szCs w:val="28"/>
          <w:lang w:val="uk-UA" w:eastAsia="ru-RU"/>
        </w:rPr>
        <w:t>justice, judiciary, fairness, court, law, constitution, human rights, legal protection, judicial independence, European Convention, effective justice.</w:t>
      </w:r>
    </w:p>
    <w:p w14:paraId="4FEFCB4E" w14:textId="296A4384" w:rsidR="006B07CA"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lastRenderedPageBreak/>
        <w:t xml:space="preserve">Науковий керівник: </w:t>
      </w:r>
      <w:r w:rsidR="006B07CA" w:rsidRPr="00511005">
        <w:rPr>
          <w:rFonts w:ascii="Arial" w:eastAsia="Times New Roman" w:hAnsi="Arial" w:cs="Arial"/>
          <w:i/>
          <w:szCs w:val="28"/>
          <w:lang w:val="en-US" w:eastAsia="ru-RU"/>
        </w:rPr>
        <w:t>PhD</w:t>
      </w:r>
      <w:r w:rsidR="006B07CA" w:rsidRPr="00511005">
        <w:rPr>
          <w:rFonts w:ascii="Arial" w:eastAsia="Times New Roman" w:hAnsi="Arial" w:cs="Arial"/>
          <w:i/>
          <w:szCs w:val="28"/>
          <w:lang w:val="uk-UA" w:eastAsia="ru-RU"/>
        </w:rPr>
        <w:t>, ст. викладач Іванчук В.Є.</w:t>
      </w:r>
    </w:p>
    <w:p w14:paraId="3D574DBD" w14:textId="77777777" w:rsidR="006B07CA" w:rsidRPr="00511005" w:rsidRDefault="006B07CA" w:rsidP="003A292D">
      <w:pPr>
        <w:spacing w:line="264" w:lineRule="auto"/>
        <w:ind w:firstLine="0"/>
        <w:rPr>
          <w:rFonts w:ascii="Arial" w:eastAsia="Times New Roman" w:hAnsi="Arial" w:cs="Arial"/>
          <w:szCs w:val="28"/>
          <w:lang w:val="uk-UA"/>
        </w:rPr>
      </w:pPr>
    </w:p>
    <w:p w14:paraId="594E111E" w14:textId="77777777" w:rsidR="006B07CA" w:rsidRPr="00511005" w:rsidRDefault="006B07CA" w:rsidP="003A292D">
      <w:pPr>
        <w:spacing w:line="264" w:lineRule="auto"/>
        <w:ind w:firstLine="0"/>
        <w:rPr>
          <w:rFonts w:ascii="Arial" w:eastAsia="Times New Roman" w:hAnsi="Arial" w:cs="Arial"/>
          <w:szCs w:val="28"/>
          <w:lang w:val="uk-UA"/>
        </w:rPr>
      </w:pPr>
    </w:p>
    <w:p w14:paraId="096ABFF4" w14:textId="77777777" w:rsidR="006B07CA" w:rsidRPr="00511005" w:rsidRDefault="006B07CA" w:rsidP="003A292D">
      <w:pPr>
        <w:spacing w:line="264" w:lineRule="auto"/>
        <w:ind w:firstLine="0"/>
        <w:jc w:val="center"/>
        <w:rPr>
          <w:rFonts w:ascii="Arial" w:eastAsia="Arial" w:hAnsi="Arial" w:cs="Arial"/>
          <w:b/>
          <w:bCs/>
          <w:i/>
          <w:iCs/>
          <w:szCs w:val="28"/>
          <w:lang w:val="en-US" w:eastAsia="ru-RU"/>
        </w:rPr>
      </w:pPr>
      <w:r w:rsidRPr="00511005">
        <w:rPr>
          <w:rFonts w:ascii="Arial" w:eastAsia="Arial" w:hAnsi="Arial" w:cs="Arial"/>
          <w:b/>
          <w:bCs/>
          <w:i/>
          <w:iCs/>
          <w:szCs w:val="28"/>
          <w:lang w:val="en-US" w:eastAsia="ru-RU"/>
        </w:rPr>
        <w:t>Yurash Sofia Vadymivna</w:t>
      </w:r>
    </w:p>
    <w:p w14:paraId="5F5297D4" w14:textId="77777777" w:rsidR="006B07CA" w:rsidRPr="00511005" w:rsidRDefault="006B07CA" w:rsidP="003A292D">
      <w:pPr>
        <w:spacing w:line="264" w:lineRule="auto"/>
        <w:ind w:firstLine="0"/>
        <w:jc w:val="center"/>
        <w:rPr>
          <w:rFonts w:ascii="Arial" w:eastAsia="Arial" w:hAnsi="Arial" w:cs="Arial"/>
          <w:szCs w:val="28"/>
          <w:lang w:val="en-US" w:eastAsia="ru-RU"/>
        </w:rPr>
      </w:pPr>
      <w:r w:rsidRPr="00511005">
        <w:rPr>
          <w:rFonts w:ascii="Arial" w:eastAsia="Arial" w:hAnsi="Arial" w:cs="Arial"/>
          <w:szCs w:val="28"/>
          <w:lang w:val="en-US" w:eastAsia="ru-RU"/>
        </w:rPr>
        <w:t>1st year student of the Faculty of Judicial and International Law</w:t>
      </w:r>
    </w:p>
    <w:p w14:paraId="7E9795F3" w14:textId="279DA5B3" w:rsidR="006B07CA" w:rsidRPr="00511005" w:rsidRDefault="006B07CA" w:rsidP="003A292D">
      <w:pPr>
        <w:spacing w:line="264" w:lineRule="auto"/>
        <w:ind w:firstLine="0"/>
        <w:jc w:val="center"/>
        <w:rPr>
          <w:rFonts w:ascii="Arial" w:eastAsia="Arial" w:hAnsi="Arial" w:cs="Arial"/>
          <w:szCs w:val="28"/>
          <w:lang w:val="uk-UA" w:eastAsia="ru-RU"/>
        </w:rPr>
      </w:pPr>
      <w:r w:rsidRPr="00511005">
        <w:rPr>
          <w:rFonts w:ascii="Arial" w:eastAsia="Arial" w:hAnsi="Arial" w:cs="Arial"/>
          <w:szCs w:val="28"/>
          <w:lang w:val="en-US" w:eastAsia="ru-RU"/>
        </w:rPr>
        <w:t xml:space="preserve">National University </w:t>
      </w:r>
      <w:r w:rsidR="006E394F" w:rsidRPr="00511005">
        <w:rPr>
          <w:rFonts w:ascii="Arial" w:eastAsia="Arial" w:hAnsi="Arial" w:cs="Arial"/>
          <w:szCs w:val="28"/>
          <w:lang w:val="en-US" w:eastAsia="ru-RU"/>
        </w:rPr>
        <w:t>“</w:t>
      </w:r>
      <w:r w:rsidRPr="00511005">
        <w:rPr>
          <w:rFonts w:ascii="Arial" w:eastAsia="Arial" w:hAnsi="Arial" w:cs="Arial"/>
          <w:szCs w:val="28"/>
          <w:lang w:val="en-US" w:eastAsia="ru-RU"/>
        </w:rPr>
        <w:t>Odesa Law Academy</w:t>
      </w:r>
      <w:r w:rsidR="006E394F" w:rsidRPr="00511005">
        <w:rPr>
          <w:rFonts w:ascii="Arial" w:eastAsia="Arial" w:hAnsi="Arial" w:cs="Arial"/>
          <w:szCs w:val="28"/>
          <w:lang w:val="en-US" w:eastAsia="ru-RU"/>
        </w:rPr>
        <w:t>”</w:t>
      </w:r>
    </w:p>
    <w:p w14:paraId="186087BC" w14:textId="77777777" w:rsidR="006B07CA" w:rsidRPr="00511005" w:rsidRDefault="006B07CA" w:rsidP="003A292D">
      <w:pPr>
        <w:spacing w:line="264" w:lineRule="auto"/>
        <w:ind w:firstLine="0"/>
        <w:jc w:val="center"/>
        <w:rPr>
          <w:rFonts w:ascii="Arial" w:eastAsia="Arial" w:hAnsi="Arial" w:cs="Arial"/>
          <w:szCs w:val="28"/>
          <w:lang w:val="en-US" w:eastAsia="ru-RU"/>
        </w:rPr>
      </w:pPr>
    </w:p>
    <w:p w14:paraId="4A4405E5" w14:textId="77777777" w:rsidR="006B07CA" w:rsidRPr="00511005" w:rsidRDefault="006B07CA" w:rsidP="003A292D">
      <w:pPr>
        <w:spacing w:line="264" w:lineRule="auto"/>
        <w:ind w:firstLine="0"/>
        <w:jc w:val="center"/>
        <w:rPr>
          <w:rFonts w:ascii="Arial" w:eastAsia="Arial" w:hAnsi="Arial" w:cs="Arial"/>
          <w:b/>
          <w:bCs/>
          <w:szCs w:val="28"/>
          <w:lang w:val="en-US" w:eastAsia="ru-RU"/>
        </w:rPr>
      </w:pPr>
      <w:r w:rsidRPr="00511005">
        <w:rPr>
          <w:rFonts w:ascii="Arial" w:eastAsia="Arial" w:hAnsi="Arial" w:cs="Arial"/>
          <w:b/>
          <w:bCs/>
          <w:szCs w:val="28"/>
          <w:lang w:val="en-US" w:eastAsia="ru-RU"/>
        </w:rPr>
        <w:t xml:space="preserve">RELIGIOUS AND LEGAL NORMS: INTERCONNECTIONS </w:t>
      </w:r>
    </w:p>
    <w:p w14:paraId="38CCB36E" w14:textId="77777777" w:rsidR="007B2628" w:rsidRPr="00511005" w:rsidRDefault="006B07CA" w:rsidP="003A292D">
      <w:pPr>
        <w:spacing w:line="264" w:lineRule="auto"/>
        <w:ind w:firstLine="0"/>
        <w:jc w:val="center"/>
        <w:rPr>
          <w:rFonts w:ascii="Arial" w:eastAsia="Arial" w:hAnsi="Arial" w:cs="Arial"/>
          <w:b/>
          <w:bCs/>
          <w:szCs w:val="28"/>
          <w:lang w:val="en-US" w:eastAsia="ru-RU"/>
        </w:rPr>
      </w:pPr>
      <w:r w:rsidRPr="00511005">
        <w:rPr>
          <w:rFonts w:ascii="Arial" w:eastAsia="Arial" w:hAnsi="Arial" w:cs="Arial"/>
          <w:b/>
          <w:bCs/>
          <w:szCs w:val="28"/>
          <w:lang w:val="en-US" w:eastAsia="ru-RU"/>
        </w:rPr>
        <w:t>IN DIFFERENT LEGAL SYSTEMS</w:t>
      </w:r>
    </w:p>
    <w:p w14:paraId="142BC357" w14:textId="77777777" w:rsidR="007B2628"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In today's world, where globalisation processes facilitate active cultural and legal exchange between nations, the problem of interaction between religious law and positive law is of particular relevance. The legal systems of the world have developed in close connection with religious traditions and ethical values that were formed within specific civilisations. Religious law, being a source and regulator of social relations in many countries, retains its significance both in countries with the dominance of religious norms and in secular states. This paper aims to study the relationship and communication between religious law and secular legal systems with a focus on a comparative analysis of selected examples.</w:t>
      </w:r>
    </w:p>
    <w:p w14:paraId="677A3EEB" w14:textId="77777777" w:rsidR="007B2628"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Law and religion are two of the oldest forms of regulation of human behaviour, shaping social institutions, moral beliefs and political structures in societies around the world for centuries. Ever since the first states emerged, legal systems have often been closely linked to religious teachings and sometimes based entirely on them. It is religious law that has become the basis for the development of many modern legal traditions, both civil and common law. In a number of countries, religion still retains the status of the main source of law governing social, family, economic and even criminal relations [1, p. 24-27].</w:t>
      </w:r>
    </w:p>
    <w:p w14:paraId="64918213" w14:textId="77777777" w:rsidR="007B2628"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In today's globalised world, where there is an increasing need to unify legal standards, in particular in the areas of human rights, gender equality or freedom of conscience, the issue of the relationship between religious law and secular law is becoming particularly relevant. In some countries, particularly those with a Muslim majority, religious law (e.g., Sharia) is closely integrated into the state legal system. In other states, such as Israel, India or Nigeria, there is a dualistic model where religious law is applied in certain areas (mainly family law) in parallel with secular law. In secular countries, religion is recognised as a private matter, and its legal prescriptions are valid only within religious communities.</w:t>
      </w:r>
    </w:p>
    <w:p w14:paraId="2570C779" w14:textId="77777777" w:rsidR="007B2628"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 xml:space="preserve">Despite the differences in approaches, religion plays an important role in shaping legal consciousness, moral guidelines and legislative policy in every society. An analysis of the relationship between religious law and different types of legal systems allows us to better understand how religion can influence legislation, what challenges and conflicts arise in such coexistence, and what </w:t>
      </w:r>
      <w:r w:rsidRPr="00511005">
        <w:rPr>
          <w:rFonts w:ascii="Arial" w:eastAsia="Arial" w:hAnsi="Arial" w:cs="Arial"/>
          <w:szCs w:val="28"/>
          <w:lang w:val="en-US" w:eastAsia="ru-RU"/>
        </w:rPr>
        <w:lastRenderedPageBreak/>
        <w:t>models of cooperation between religion and the state are the most effective and humane [2, p.</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42-48].</w:t>
      </w:r>
    </w:p>
    <w:p w14:paraId="2E096A19" w14:textId="77777777" w:rsidR="007B2628"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The purpose of this thesis is to examine the relationship between religious and legal norms and secular legal systems in a comparative context, to consider examples from the legal systems of Muslim, Jewish and Christian countries, and to outline the prospects for further evolution of this relationship in modern democratic and multicultural societies.</w:t>
      </w:r>
    </w:p>
    <w:p w14:paraId="10C1D735" w14:textId="77777777" w:rsidR="007B2628"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Religious legal norms are norms of behaviour enshrined in sacred texts or derived from religious doctrine that regulate both the spiritual and social life of believers. Unlike secular law, they are based on the tenets of faith and the authority of a divine source. In certain legal systems, religious norms are integrated into state law, while in others they exist in parallel or have an advisory value [3, p. 19-20].</w:t>
      </w:r>
    </w:p>
    <w:p w14:paraId="32CFCDDC" w14:textId="77777777" w:rsidR="007B2628"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Islamic law (Sharia) is an example of a system where religious and legal norms are closely intertwined. The main sources of sharia are the Qur'an, the Sunnah of the Prophet Muhammad, ijma (consensus of scholars) and qiyas (analogy). In countries such as Saudi Arabia, Iran or Sudan, Sharia is the basis of national legislation. At the same time, there are models of partial implementation of Shariah norms in systems with a mixed legal structure (for example, in Indonesia, Malaysia, Egypt).</w:t>
      </w:r>
    </w:p>
    <w:p w14:paraId="094D786A" w14:textId="77777777" w:rsidR="007B2628"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Halakha is a religious and legal system of Judaism that has a long history. It is based on the Torah (the Pentateuch of Moses), the Talmud, midrash, and rabbinic rulings. In the State of Israel, despite the secular nature of the legal system, some aspects of family and inheritance law are regulated through rabbinical courts in accordance with Halakhah.</w:t>
      </w:r>
    </w:p>
    <w:p w14:paraId="396036C1" w14:textId="77777777" w:rsidR="007B2628"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In Christianity, especially in the Catholic Church, canon law has an intra-church significance. The Code of Canon Law of the Catholic Church contains detailed rules on the organisation of church life, discipline, and worship. In some countries (for example, the Vatican), canon law is the only legal source. In others, such as Poland or Italy, the church has autonomy in internal affairs.</w:t>
      </w:r>
    </w:p>
    <w:p w14:paraId="7A0790D1" w14:textId="7C112909" w:rsidR="006B07CA"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In the modern world, there are three main models of coexistence between religious and secular law:</w:t>
      </w:r>
    </w:p>
    <w:p w14:paraId="0F4B9565" w14:textId="77777777" w:rsidR="006B07CA"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 The theocratic model (Iran, Saudi Arabia) - religion and law merge.</w:t>
      </w:r>
    </w:p>
    <w:p w14:paraId="61AEF3B8" w14:textId="77777777" w:rsidR="006B07CA"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 The model of legal dualism (Israel, Malaysia) - religious law regulates certain areas.</w:t>
      </w:r>
    </w:p>
    <w:p w14:paraId="0B775425" w14:textId="77777777" w:rsidR="007B2628"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 The secular model (France, Ukraine) - religious norms have an exclusively spiritual meaning.</w:t>
      </w:r>
    </w:p>
    <w:p w14:paraId="69F35779" w14:textId="77777777" w:rsidR="007B2628"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Such relationships are the subject of discussions on human rights, gender equality, freedom of conscience and religion.</w:t>
      </w:r>
    </w:p>
    <w:p w14:paraId="146C3E1E" w14:textId="7BE3B713" w:rsidR="006B07CA" w:rsidRPr="00511005" w:rsidRDefault="006B07CA" w:rsidP="006E394F">
      <w:pPr>
        <w:spacing w:line="264" w:lineRule="auto"/>
        <w:rPr>
          <w:rFonts w:ascii="Arial" w:eastAsia="Arial" w:hAnsi="Arial" w:cs="Arial"/>
          <w:szCs w:val="28"/>
          <w:lang w:val="en-US" w:eastAsia="ru-RU"/>
        </w:rPr>
      </w:pPr>
      <w:r w:rsidRPr="00511005">
        <w:rPr>
          <w:rFonts w:ascii="Arial" w:eastAsia="Arial" w:hAnsi="Arial" w:cs="Arial"/>
          <w:szCs w:val="28"/>
          <w:lang w:val="en-US" w:eastAsia="ru-RU"/>
        </w:rPr>
        <w:t xml:space="preserve">Religious legal norms, although having a specific origin and scope, continue to have a significant impact on the modern legal field in different countries of the world. Their relationship with positive law depends on the historical, cultural, </w:t>
      </w:r>
      <w:r w:rsidRPr="00511005">
        <w:rPr>
          <w:rFonts w:ascii="Arial" w:eastAsia="Arial" w:hAnsi="Arial" w:cs="Arial"/>
          <w:szCs w:val="28"/>
          <w:lang w:val="en-US" w:eastAsia="ru-RU"/>
        </w:rPr>
        <w:lastRenderedPageBreak/>
        <w:t>political and religious factors of a particular society. In the global context, it is extremely important to find a balance between preserving religious identity and ensuring universal human rights, especially in multicultural societies. Further research should contribute to the development of models of legal pluralism where religious and secular law can coexist without violating the fundamental principles of democracy.</w:t>
      </w:r>
    </w:p>
    <w:p w14:paraId="1797B2D5" w14:textId="77777777" w:rsidR="006B07CA" w:rsidRPr="00511005" w:rsidRDefault="006B07CA" w:rsidP="003A292D">
      <w:pPr>
        <w:spacing w:line="264" w:lineRule="auto"/>
        <w:ind w:firstLine="0"/>
        <w:rPr>
          <w:rFonts w:ascii="Arial" w:eastAsia="Arial" w:hAnsi="Arial" w:cs="Arial"/>
          <w:szCs w:val="28"/>
          <w:lang w:val="en-US" w:eastAsia="ru-RU"/>
        </w:rPr>
      </w:pPr>
    </w:p>
    <w:p w14:paraId="31B4561E" w14:textId="77777777" w:rsidR="006B07CA" w:rsidRPr="00511005" w:rsidRDefault="006B07CA" w:rsidP="003A292D">
      <w:pPr>
        <w:spacing w:line="264" w:lineRule="auto"/>
        <w:ind w:firstLine="0"/>
        <w:jc w:val="center"/>
        <w:rPr>
          <w:rFonts w:ascii="Arial" w:eastAsia="Arial" w:hAnsi="Arial" w:cs="Arial"/>
          <w:b/>
          <w:bCs/>
          <w:szCs w:val="28"/>
          <w:lang w:eastAsia="ru-RU"/>
        </w:rPr>
      </w:pPr>
      <w:r w:rsidRPr="00511005">
        <w:rPr>
          <w:rFonts w:ascii="Arial" w:eastAsia="Arial" w:hAnsi="Arial" w:cs="Arial"/>
          <w:b/>
          <w:bCs/>
          <w:szCs w:val="28"/>
          <w:lang w:val="en-US" w:eastAsia="ru-RU"/>
        </w:rPr>
        <w:t>R</w:t>
      </w:r>
      <w:r w:rsidRPr="00511005">
        <w:rPr>
          <w:rFonts w:ascii="Arial" w:eastAsia="Arial" w:hAnsi="Arial" w:cs="Arial"/>
          <w:b/>
          <w:bCs/>
          <w:szCs w:val="28"/>
          <w:lang w:eastAsia="ru-RU"/>
        </w:rPr>
        <w:t>eferences</w:t>
      </w:r>
    </w:p>
    <w:p w14:paraId="6E589456" w14:textId="77777777" w:rsidR="006B07CA" w:rsidRPr="00511005" w:rsidRDefault="006B07CA" w:rsidP="006E394F">
      <w:pPr>
        <w:numPr>
          <w:ilvl w:val="0"/>
          <w:numId w:val="43"/>
        </w:numPr>
        <w:spacing w:line="264" w:lineRule="auto"/>
        <w:ind w:firstLine="560"/>
        <w:rPr>
          <w:rFonts w:ascii="Arial" w:eastAsia="Arial" w:hAnsi="Arial" w:cs="Arial"/>
          <w:szCs w:val="28"/>
          <w:lang w:val="uk-UA" w:eastAsia="ru-RU"/>
        </w:rPr>
      </w:pPr>
      <w:r w:rsidRPr="00511005">
        <w:rPr>
          <w:rFonts w:ascii="Arial" w:eastAsia="Arial" w:hAnsi="Arial" w:cs="Arial"/>
          <w:szCs w:val="28"/>
          <w:lang w:eastAsia="ru-RU"/>
        </w:rPr>
        <w:t>Маймескулов Л. М., Тихоненков Д. А., Россіхін В. В., Власенко С. І. Історія держави і права зарубіжних країн. Харків. Право. 2013. 618</w:t>
      </w:r>
      <w:r w:rsidRPr="00511005">
        <w:rPr>
          <w:rFonts w:ascii="Arial" w:eastAsia="Arial" w:hAnsi="Arial" w:cs="Arial"/>
          <w:szCs w:val="28"/>
          <w:lang w:val="uk-UA" w:eastAsia="ru-RU"/>
        </w:rPr>
        <w:t xml:space="preserve"> </w:t>
      </w:r>
      <w:r w:rsidRPr="00511005">
        <w:rPr>
          <w:rFonts w:ascii="Arial" w:eastAsia="Arial" w:hAnsi="Arial" w:cs="Arial"/>
          <w:szCs w:val="28"/>
          <w:lang w:eastAsia="ru-RU"/>
        </w:rPr>
        <w:t>с.</w:t>
      </w:r>
      <w:r w:rsidRPr="00511005">
        <w:rPr>
          <w:rFonts w:ascii="Arial" w:eastAsia="Arial" w:hAnsi="Arial" w:cs="Arial"/>
          <w:szCs w:val="28"/>
          <w:lang w:val="uk-UA" w:eastAsia="ru-RU"/>
        </w:rPr>
        <w:t xml:space="preserve"> </w:t>
      </w:r>
      <w:r w:rsidRPr="00511005">
        <w:rPr>
          <w:rFonts w:ascii="Arial" w:eastAsia="Arial" w:hAnsi="Arial" w:cs="Arial"/>
          <w:szCs w:val="28"/>
          <w:lang w:eastAsia="ru-RU"/>
        </w:rPr>
        <w:t>URL:</w:t>
      </w:r>
      <w:r w:rsidRPr="00511005">
        <w:rPr>
          <w:rFonts w:ascii="Arial" w:eastAsia="Arial" w:hAnsi="Arial" w:cs="Arial"/>
          <w:szCs w:val="28"/>
          <w:lang w:val="uk-UA" w:eastAsia="ru-RU"/>
        </w:rPr>
        <w:t xml:space="preserve"> </w:t>
      </w:r>
      <w:hyperlink r:id="rId88">
        <w:r w:rsidRPr="00511005">
          <w:rPr>
            <w:rFonts w:ascii="Arial" w:eastAsia="Arial" w:hAnsi="Arial" w:cs="Arial"/>
            <w:szCs w:val="28"/>
            <w:lang w:eastAsia="ru-RU"/>
          </w:rPr>
          <w:t>https://core.ac.uk/download/pdf/344346655.pdf</w:t>
        </w:r>
      </w:hyperlink>
      <w:r w:rsidRPr="00511005">
        <w:rPr>
          <w:rFonts w:ascii="Arial" w:eastAsia="Arial" w:hAnsi="Arial" w:cs="Arial"/>
          <w:szCs w:val="28"/>
          <w:lang w:val="uk-UA" w:eastAsia="ru-RU"/>
        </w:rPr>
        <w:t>.</w:t>
      </w:r>
    </w:p>
    <w:p w14:paraId="573FA678" w14:textId="77777777" w:rsidR="006B07CA" w:rsidRPr="00511005" w:rsidRDefault="006B07CA" w:rsidP="006E394F">
      <w:pPr>
        <w:numPr>
          <w:ilvl w:val="0"/>
          <w:numId w:val="43"/>
        </w:numPr>
        <w:spacing w:line="264" w:lineRule="auto"/>
        <w:ind w:firstLine="560"/>
        <w:rPr>
          <w:rFonts w:ascii="Arial" w:eastAsia="Arial" w:hAnsi="Arial" w:cs="Arial"/>
          <w:szCs w:val="28"/>
          <w:lang w:val="en-US" w:eastAsia="ru-RU"/>
        </w:rPr>
      </w:pPr>
      <w:r w:rsidRPr="00511005">
        <w:rPr>
          <w:rFonts w:ascii="Arial" w:eastAsia="Arial" w:hAnsi="Arial" w:cs="Arial"/>
          <w:szCs w:val="28"/>
          <w:lang w:eastAsia="ru-RU"/>
        </w:rPr>
        <w:t>Лук’янов Д. В. Правова система: структура та фактори впливу на неї</w:t>
      </w:r>
      <w:r w:rsidRPr="00511005">
        <w:rPr>
          <w:rFonts w:ascii="Arial" w:eastAsia="Arial" w:hAnsi="Arial" w:cs="Arial"/>
          <w:szCs w:val="28"/>
          <w:lang w:val="uk-UA" w:eastAsia="ru-RU"/>
        </w:rPr>
        <w:t xml:space="preserve">. </w:t>
      </w:r>
      <w:r w:rsidRPr="00511005">
        <w:rPr>
          <w:rFonts w:ascii="Arial" w:eastAsia="Arial" w:hAnsi="Arial" w:cs="Arial"/>
          <w:i/>
          <w:iCs/>
          <w:szCs w:val="28"/>
          <w:lang w:eastAsia="ru-RU"/>
        </w:rPr>
        <w:t>Науковий вісник Ужгородського національного університету. Сер</w:t>
      </w:r>
      <w:proofErr w:type="gramStart"/>
      <w:r w:rsidRPr="00511005">
        <w:rPr>
          <w:rFonts w:ascii="Arial" w:eastAsia="Arial" w:hAnsi="Arial" w:cs="Arial"/>
          <w:i/>
          <w:iCs/>
          <w:szCs w:val="28"/>
          <w:lang w:eastAsia="ru-RU"/>
        </w:rPr>
        <w:t>. :</w:t>
      </w:r>
      <w:proofErr w:type="gramEnd"/>
      <w:r w:rsidRPr="00511005">
        <w:rPr>
          <w:rFonts w:ascii="Arial" w:eastAsia="Arial" w:hAnsi="Arial" w:cs="Arial"/>
          <w:i/>
          <w:iCs/>
          <w:szCs w:val="28"/>
          <w:lang w:eastAsia="ru-RU"/>
        </w:rPr>
        <w:t xml:space="preserve"> Право</w:t>
      </w:r>
      <w:r w:rsidRPr="00511005">
        <w:rPr>
          <w:rFonts w:ascii="Arial" w:eastAsia="Arial" w:hAnsi="Arial" w:cs="Arial"/>
          <w:szCs w:val="28"/>
          <w:lang w:eastAsia="ru-RU"/>
        </w:rPr>
        <w:t>. 2013. Вип. 2. Ч. II. Т. 1.</w:t>
      </w:r>
      <w:r w:rsidRPr="00511005">
        <w:rPr>
          <w:rFonts w:ascii="Arial" w:eastAsia="Arial" w:hAnsi="Arial" w:cs="Arial"/>
          <w:szCs w:val="28"/>
          <w:lang w:val="uk-UA" w:eastAsia="ru-RU"/>
        </w:rPr>
        <w:t xml:space="preserve"> С.</w:t>
      </w:r>
      <w:r w:rsidRPr="00511005">
        <w:rPr>
          <w:rFonts w:ascii="Arial" w:eastAsia="Arial" w:hAnsi="Arial" w:cs="Arial"/>
          <w:szCs w:val="28"/>
          <w:lang w:val="en-US" w:eastAsia="ru-RU"/>
        </w:rPr>
        <w:t xml:space="preserve"> 42-76</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URL:</w:t>
      </w:r>
      <w:r w:rsidRPr="00511005">
        <w:rPr>
          <w:rFonts w:ascii="Arial" w:eastAsia="Arial" w:hAnsi="Arial" w:cs="Arial"/>
          <w:szCs w:val="28"/>
          <w:lang w:val="uk-UA" w:eastAsia="ru-RU"/>
        </w:rPr>
        <w:t xml:space="preserve"> </w:t>
      </w:r>
      <w:hyperlink r:id="rId89">
        <w:r w:rsidRPr="00511005">
          <w:rPr>
            <w:rFonts w:ascii="Arial" w:eastAsia="Arial" w:hAnsi="Arial" w:cs="Arial"/>
            <w:szCs w:val="28"/>
            <w:lang w:val="en-US" w:eastAsia="ru-RU"/>
          </w:rPr>
          <w:t>https://library.nlu.edu.ua/POLN_</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TEXT/AVTOREF_2016/Lukiyanov_D_V_2016.pdf</w:t>
        </w:r>
      </w:hyperlink>
      <w:r w:rsidRPr="00511005">
        <w:rPr>
          <w:rFonts w:ascii="Arial" w:eastAsia="Arial" w:hAnsi="Arial" w:cs="Arial"/>
          <w:szCs w:val="28"/>
          <w:lang w:val="uk-UA" w:eastAsia="ru-RU"/>
        </w:rPr>
        <w:t>.</w:t>
      </w:r>
    </w:p>
    <w:p w14:paraId="3FE233EB" w14:textId="77777777" w:rsidR="006B07CA" w:rsidRPr="00511005" w:rsidRDefault="006B07CA" w:rsidP="006E394F">
      <w:pPr>
        <w:numPr>
          <w:ilvl w:val="0"/>
          <w:numId w:val="43"/>
        </w:numPr>
        <w:spacing w:line="264" w:lineRule="auto"/>
        <w:ind w:firstLine="560"/>
        <w:rPr>
          <w:rFonts w:ascii="Arial" w:eastAsia="Arial" w:hAnsi="Arial" w:cs="Arial"/>
          <w:szCs w:val="28"/>
          <w:lang w:eastAsia="ru-RU"/>
        </w:rPr>
      </w:pPr>
      <w:r w:rsidRPr="00511005">
        <w:rPr>
          <w:rFonts w:ascii="Arial" w:eastAsia="Arial" w:hAnsi="Arial" w:cs="Arial"/>
          <w:szCs w:val="28"/>
          <w:lang w:eastAsia="ru-RU"/>
        </w:rPr>
        <w:t xml:space="preserve">Попович Т. П., Бариська Я. О., Геревич М. О., Телеп Ю. В., Фрідманський Р. М. Історія вчень про державу і </w:t>
      </w:r>
      <w:proofErr w:type="gramStart"/>
      <w:r w:rsidRPr="00511005">
        <w:rPr>
          <w:rFonts w:ascii="Arial" w:eastAsia="Arial" w:hAnsi="Arial" w:cs="Arial"/>
          <w:szCs w:val="28"/>
          <w:lang w:eastAsia="ru-RU"/>
        </w:rPr>
        <w:t>право :</w:t>
      </w:r>
      <w:proofErr w:type="gramEnd"/>
      <w:r w:rsidRPr="00511005">
        <w:rPr>
          <w:rFonts w:ascii="Arial" w:eastAsia="Arial" w:hAnsi="Arial" w:cs="Arial"/>
          <w:szCs w:val="28"/>
          <w:lang w:eastAsia="ru-RU"/>
        </w:rPr>
        <w:t xml:space="preserve"> навчально-методичний посібник. Ужгород</w:t>
      </w:r>
      <w:r w:rsidRPr="00511005">
        <w:rPr>
          <w:rFonts w:ascii="Arial" w:eastAsia="Arial" w:hAnsi="Arial" w:cs="Arial"/>
          <w:szCs w:val="28"/>
          <w:lang w:val="uk-UA" w:eastAsia="ru-RU"/>
        </w:rPr>
        <w:t>.</w:t>
      </w:r>
      <w:r w:rsidRPr="00511005">
        <w:rPr>
          <w:rFonts w:ascii="Arial" w:eastAsia="Arial" w:hAnsi="Arial" w:cs="Arial"/>
          <w:szCs w:val="28"/>
          <w:lang w:eastAsia="ru-RU"/>
        </w:rPr>
        <w:t xml:space="preserve"> ДВНЗ «УжНУ»</w:t>
      </w:r>
      <w:r w:rsidRPr="00511005">
        <w:rPr>
          <w:rFonts w:ascii="Arial" w:eastAsia="Arial" w:hAnsi="Arial" w:cs="Arial"/>
          <w:szCs w:val="28"/>
          <w:lang w:val="uk-UA" w:eastAsia="ru-RU"/>
        </w:rPr>
        <w:t>.</w:t>
      </w:r>
      <w:r w:rsidRPr="00511005">
        <w:rPr>
          <w:rFonts w:ascii="Arial" w:eastAsia="Arial" w:hAnsi="Arial" w:cs="Arial"/>
          <w:szCs w:val="28"/>
          <w:lang w:eastAsia="ru-RU"/>
        </w:rPr>
        <w:t xml:space="preserve"> 2021. 43</w:t>
      </w:r>
      <w:r w:rsidRPr="00511005">
        <w:rPr>
          <w:rFonts w:ascii="Arial" w:eastAsia="Arial" w:hAnsi="Arial" w:cs="Arial"/>
          <w:szCs w:val="28"/>
          <w:lang w:val="uk-UA" w:eastAsia="ru-RU"/>
        </w:rPr>
        <w:t xml:space="preserve"> </w:t>
      </w:r>
      <w:r w:rsidRPr="00511005">
        <w:rPr>
          <w:rFonts w:ascii="Arial" w:eastAsia="Arial" w:hAnsi="Arial" w:cs="Arial"/>
          <w:szCs w:val="28"/>
          <w:lang w:eastAsia="ru-RU"/>
        </w:rPr>
        <w:t>с.</w:t>
      </w:r>
      <w:r w:rsidRPr="00511005">
        <w:rPr>
          <w:rFonts w:ascii="Arial" w:eastAsia="Arial" w:hAnsi="Arial" w:cs="Arial"/>
          <w:szCs w:val="28"/>
          <w:lang w:val="uk-UA" w:eastAsia="ru-RU"/>
        </w:rPr>
        <w:t xml:space="preserve"> </w:t>
      </w:r>
      <w:r w:rsidRPr="00511005">
        <w:rPr>
          <w:rFonts w:ascii="Arial" w:eastAsia="Arial" w:hAnsi="Arial" w:cs="Arial"/>
          <w:szCs w:val="28"/>
          <w:lang w:eastAsia="ru-RU"/>
        </w:rPr>
        <w:t>URL:</w:t>
      </w:r>
      <w:r w:rsidRPr="00511005">
        <w:rPr>
          <w:rFonts w:ascii="Arial" w:eastAsia="Arial" w:hAnsi="Arial" w:cs="Arial"/>
          <w:szCs w:val="28"/>
          <w:lang w:val="uk-UA" w:eastAsia="ru-RU"/>
        </w:rPr>
        <w:t xml:space="preserve"> </w:t>
      </w:r>
      <w:hyperlink r:id="rId90">
        <w:r w:rsidRPr="00511005">
          <w:rPr>
            <w:rFonts w:ascii="Arial" w:eastAsia="Arial" w:hAnsi="Arial" w:cs="Arial"/>
            <w:szCs w:val="28"/>
            <w:lang w:eastAsia="ru-RU"/>
          </w:rPr>
          <w:t>https://dspace.uzhnu.edu.ua/jspui/handle/lib/47398</w:t>
        </w:r>
      </w:hyperlink>
      <w:r w:rsidRPr="00511005">
        <w:rPr>
          <w:rFonts w:ascii="Arial" w:eastAsia="Arial" w:hAnsi="Arial" w:cs="Arial"/>
          <w:szCs w:val="28"/>
          <w:lang w:val="uk-UA" w:eastAsia="ru-RU"/>
        </w:rPr>
        <w:t>.</w:t>
      </w:r>
    </w:p>
    <w:p w14:paraId="63EE8E8B" w14:textId="77777777" w:rsidR="006B07CA" w:rsidRPr="00511005" w:rsidRDefault="006B07CA" w:rsidP="003A292D">
      <w:pPr>
        <w:spacing w:line="264" w:lineRule="auto"/>
        <w:ind w:firstLine="0"/>
        <w:rPr>
          <w:rFonts w:ascii="Arial" w:eastAsia="Arial" w:hAnsi="Arial" w:cs="Arial"/>
          <w:szCs w:val="28"/>
          <w:lang w:eastAsia="ru-RU"/>
        </w:rPr>
      </w:pPr>
    </w:p>
    <w:p w14:paraId="51DF51F9" w14:textId="088FA153" w:rsidR="006B07CA" w:rsidRPr="00511005" w:rsidRDefault="007B2628" w:rsidP="003A292D">
      <w:pPr>
        <w:spacing w:line="264" w:lineRule="auto"/>
        <w:ind w:firstLine="0"/>
        <w:rPr>
          <w:rFonts w:ascii="Arial" w:eastAsia="Arial" w:hAnsi="Arial" w:cs="Arial"/>
          <w:szCs w:val="28"/>
          <w:lang w:eastAsia="ru-RU"/>
        </w:rPr>
      </w:pPr>
      <w:r w:rsidRPr="00511005">
        <w:rPr>
          <w:rFonts w:ascii="Arial" w:eastAsia="Arial" w:hAnsi="Arial" w:cs="Arial"/>
          <w:b/>
          <w:bCs/>
          <w:i/>
          <w:szCs w:val="28"/>
          <w:lang w:eastAsia="ru-RU"/>
        </w:rPr>
        <w:t xml:space="preserve">Ключові слова: </w:t>
      </w:r>
      <w:r w:rsidR="006B07CA" w:rsidRPr="00511005">
        <w:rPr>
          <w:rFonts w:ascii="Arial" w:eastAsia="Arial" w:hAnsi="Arial" w:cs="Arial"/>
          <w:szCs w:val="28"/>
          <w:lang w:eastAsia="ru-RU"/>
        </w:rPr>
        <w:t>релігійні норми, правові норми, правові системи, релігійне право, шаріат, галаха, канонічне право, теократія, секуляризм, права людини, порівняльний аналіз.</w:t>
      </w:r>
    </w:p>
    <w:p w14:paraId="7F589160" w14:textId="437D6D4F" w:rsidR="006B07CA" w:rsidRPr="00511005" w:rsidRDefault="007B2628" w:rsidP="003A292D">
      <w:pPr>
        <w:spacing w:line="264" w:lineRule="auto"/>
        <w:ind w:firstLine="0"/>
        <w:rPr>
          <w:rFonts w:ascii="Arial" w:eastAsia="Arial" w:hAnsi="Arial" w:cs="Arial"/>
          <w:szCs w:val="28"/>
          <w:lang w:val="en-US" w:eastAsia="ru-RU"/>
        </w:rPr>
      </w:pPr>
      <w:r w:rsidRPr="00511005">
        <w:rPr>
          <w:rFonts w:ascii="Arial" w:eastAsia="Arial" w:hAnsi="Arial" w:cs="Arial"/>
          <w:b/>
          <w:bCs/>
          <w:i/>
          <w:szCs w:val="28"/>
          <w:lang w:val="en-US" w:eastAsia="ru-RU"/>
        </w:rPr>
        <w:t xml:space="preserve">Key words: </w:t>
      </w:r>
      <w:r w:rsidR="006B07CA" w:rsidRPr="00511005">
        <w:rPr>
          <w:rFonts w:ascii="Arial" w:eastAsia="Arial" w:hAnsi="Arial" w:cs="Arial"/>
          <w:szCs w:val="28"/>
          <w:lang w:val="en-US" w:eastAsia="ru-RU"/>
        </w:rPr>
        <w:t>religious norms, legal norms, legal systems, religious law, Sharia, Halakha, canon law, theocracy, secularism, human rights, comparative analysis.</w:t>
      </w:r>
    </w:p>
    <w:p w14:paraId="03CDFA81" w14:textId="07817B42" w:rsidR="006B07CA" w:rsidRPr="00511005" w:rsidRDefault="006C2EDA" w:rsidP="003A292D">
      <w:pPr>
        <w:spacing w:line="264" w:lineRule="auto"/>
        <w:ind w:firstLine="0"/>
        <w:rPr>
          <w:rFonts w:ascii="Arial" w:eastAsia="Arial" w:hAnsi="Arial" w:cs="Arial"/>
          <w:szCs w:val="28"/>
          <w:lang w:val="en-US" w:eastAsia="ru-RU"/>
        </w:rPr>
      </w:pPr>
      <w:r w:rsidRPr="006C2EDA">
        <w:rPr>
          <w:rFonts w:ascii="Arial" w:eastAsia="Times New Roman" w:hAnsi="Arial" w:cs="Arial"/>
          <w:b/>
          <w:bCs/>
          <w:i/>
          <w:iCs/>
          <w:szCs w:val="28"/>
          <w:lang w:val="en-US" w:eastAsia="ru-RU"/>
        </w:rPr>
        <w:t xml:space="preserve">Academic supervisor: </w:t>
      </w:r>
      <w:r w:rsidR="006B07CA" w:rsidRPr="00511005">
        <w:rPr>
          <w:rFonts w:ascii="Arial" w:eastAsia="Arial" w:hAnsi="Arial" w:cs="Arial"/>
          <w:szCs w:val="28"/>
          <w:lang w:val="en-US" w:eastAsia="ru-RU"/>
        </w:rPr>
        <w:t>Doctor of Law, Professor</w:t>
      </w:r>
      <w:r w:rsidR="006B07CA" w:rsidRPr="00511005">
        <w:rPr>
          <w:rFonts w:ascii="Arial" w:eastAsia="Arial" w:hAnsi="Arial" w:cs="Arial"/>
          <w:szCs w:val="28"/>
          <w:lang w:val="uk-UA" w:eastAsia="ru-RU"/>
        </w:rPr>
        <w:t xml:space="preserve"> </w:t>
      </w:r>
      <w:r w:rsidR="006B07CA" w:rsidRPr="00511005">
        <w:rPr>
          <w:rFonts w:ascii="Arial" w:eastAsia="Arial" w:hAnsi="Arial" w:cs="Arial"/>
          <w:szCs w:val="28"/>
          <w:lang w:val="en-US" w:eastAsia="ru-RU"/>
        </w:rPr>
        <w:t>Melnychuk O. S.</w:t>
      </w:r>
    </w:p>
    <w:p w14:paraId="100FC643" w14:textId="77777777" w:rsidR="006B07CA" w:rsidRPr="00511005" w:rsidRDefault="006B07CA" w:rsidP="003A292D">
      <w:pPr>
        <w:spacing w:line="264" w:lineRule="auto"/>
        <w:ind w:firstLine="0"/>
        <w:rPr>
          <w:rFonts w:ascii="Arial" w:eastAsia="Arial" w:hAnsi="Arial" w:cs="Arial"/>
          <w:szCs w:val="28"/>
          <w:lang w:val="en-US" w:eastAsia="ru-RU"/>
        </w:rPr>
      </w:pPr>
    </w:p>
    <w:p w14:paraId="08A84734" w14:textId="77777777" w:rsidR="00CF0E1B" w:rsidRPr="00511005" w:rsidRDefault="00CF0E1B" w:rsidP="003A292D">
      <w:pPr>
        <w:keepNext/>
        <w:spacing w:line="264" w:lineRule="auto"/>
        <w:ind w:firstLine="0"/>
        <w:jc w:val="left"/>
        <w:rPr>
          <w:rFonts w:ascii="Arial" w:eastAsia="Times New Roman" w:hAnsi="Arial" w:cs="Arial"/>
          <w:szCs w:val="28"/>
          <w:lang w:val="uk-UA" w:eastAsia="ru-RU"/>
        </w:rPr>
      </w:pPr>
      <w:r w:rsidRPr="00511005">
        <w:rPr>
          <w:rFonts w:ascii="Arial" w:eastAsia="Times New Roman" w:hAnsi="Arial" w:cs="Arial"/>
          <w:szCs w:val="28"/>
          <w:lang w:val="uk-UA" w:eastAsia="ru-RU"/>
        </w:rPr>
        <w:br w:type="page"/>
      </w:r>
    </w:p>
    <w:p w14:paraId="3AC05056" w14:textId="77777777" w:rsidR="00CF0E1B" w:rsidRPr="00511005" w:rsidRDefault="00CF0E1B" w:rsidP="003A292D">
      <w:pPr>
        <w:keepNext/>
        <w:spacing w:line="264" w:lineRule="auto"/>
        <w:ind w:firstLine="0"/>
        <w:rPr>
          <w:rFonts w:ascii="Arial" w:eastAsia="Times New Roman" w:hAnsi="Arial" w:cs="Arial"/>
          <w:szCs w:val="28"/>
          <w:lang w:val="uk-UA" w:eastAsia="ru-RU"/>
        </w:rPr>
      </w:pPr>
    </w:p>
    <w:p w14:paraId="247A1E9F" w14:textId="26CB15BB" w:rsidR="001B7B25" w:rsidRPr="00511005" w:rsidRDefault="001B7B25" w:rsidP="001B7B25">
      <w:pPr>
        <w:pStyle w:val="21"/>
      </w:pPr>
      <w:bookmarkStart w:id="11" w:name="_Toc208298988"/>
      <w:r w:rsidRPr="00511005">
        <w:t>Підсекція 1.2. Розвиток філософії</w:t>
      </w:r>
      <w:bookmarkEnd w:id="11"/>
    </w:p>
    <w:p w14:paraId="7BF57B2C" w14:textId="77777777" w:rsidR="001B7B25" w:rsidRPr="00511005" w:rsidRDefault="001B7B25" w:rsidP="001B7B25">
      <w:pPr>
        <w:keepNext/>
        <w:spacing w:line="264" w:lineRule="auto"/>
        <w:ind w:firstLine="0"/>
        <w:jc w:val="center"/>
        <w:rPr>
          <w:rFonts w:ascii="Arial" w:hAnsi="Arial" w:cs="Arial"/>
          <w:szCs w:val="28"/>
        </w:rPr>
      </w:pPr>
    </w:p>
    <w:p w14:paraId="0F2CEB85" w14:textId="77777777" w:rsidR="009C67AB" w:rsidRPr="00511005" w:rsidRDefault="009C67AB"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Дядюк Катерина Олегівна</w:t>
      </w:r>
    </w:p>
    <w:p w14:paraId="49541925" w14:textId="204C8B87" w:rsidR="009C67AB" w:rsidRPr="00511005" w:rsidRDefault="009C67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магістр права </w:t>
      </w:r>
      <w:r w:rsidR="007B2628" w:rsidRPr="00511005">
        <w:rPr>
          <w:rFonts w:ascii="Arial" w:eastAsia="Calibri" w:hAnsi="Arial" w:cs="Arial"/>
          <w:szCs w:val="28"/>
          <w:lang w:val="uk-UA"/>
        </w:rPr>
        <w:t>Національного університету «Одеська юридична академія»</w:t>
      </w:r>
    </w:p>
    <w:p w14:paraId="3A557363" w14:textId="77777777" w:rsidR="009C67AB" w:rsidRPr="00511005" w:rsidRDefault="009C67AB" w:rsidP="003A292D">
      <w:pPr>
        <w:spacing w:line="264" w:lineRule="auto"/>
        <w:ind w:firstLine="0"/>
        <w:jc w:val="center"/>
        <w:rPr>
          <w:rFonts w:ascii="Arial" w:eastAsia="Calibri" w:hAnsi="Arial" w:cs="Arial"/>
          <w:szCs w:val="28"/>
          <w:lang w:val="uk-UA"/>
        </w:rPr>
      </w:pPr>
    </w:p>
    <w:p w14:paraId="7B3879B9" w14:textId="54559BEF" w:rsidR="009C67AB"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3-го курсу факультету психології, політології та соціології</w:t>
      </w:r>
    </w:p>
    <w:p w14:paraId="40A2A977" w14:textId="7039D56C" w:rsidR="009C67AB"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B4C0C6D" w14:textId="77777777" w:rsidR="009C67AB" w:rsidRPr="00511005" w:rsidRDefault="009C67AB" w:rsidP="003A292D">
      <w:pPr>
        <w:spacing w:line="264" w:lineRule="auto"/>
        <w:ind w:firstLine="0"/>
        <w:jc w:val="center"/>
        <w:rPr>
          <w:rFonts w:ascii="Arial" w:eastAsia="Calibri" w:hAnsi="Arial" w:cs="Arial"/>
          <w:szCs w:val="28"/>
          <w:lang w:val="uk-UA"/>
        </w:rPr>
      </w:pPr>
    </w:p>
    <w:p w14:paraId="6F859566" w14:textId="334A87BB" w:rsidR="009C67AB" w:rsidRPr="00511005" w:rsidRDefault="009C67AB"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СВОБОДА ЯК ОНТОЛОГІЧНИЙ ВИКЛИК: ДІАЛОГ МІЖ Ж.-П.</w:t>
      </w:r>
      <w:r w:rsidR="00536AAB" w:rsidRPr="00511005">
        <w:rPr>
          <w:rFonts w:ascii="Arial" w:eastAsia="Calibri" w:hAnsi="Arial" w:cs="Arial"/>
          <w:b/>
          <w:bCs/>
          <w:szCs w:val="28"/>
          <w:lang w:val="uk-UA"/>
        </w:rPr>
        <w:t> </w:t>
      </w:r>
      <w:r w:rsidRPr="00511005">
        <w:rPr>
          <w:rFonts w:ascii="Arial" w:eastAsia="Calibri" w:hAnsi="Arial" w:cs="Arial"/>
          <w:b/>
          <w:bCs/>
          <w:szCs w:val="28"/>
          <w:lang w:val="uk-UA"/>
        </w:rPr>
        <w:t>САРТРОМ ТА Р.</w:t>
      </w:r>
      <w:r w:rsidR="00536AAB" w:rsidRPr="00511005">
        <w:rPr>
          <w:rFonts w:ascii="Arial" w:eastAsia="Calibri" w:hAnsi="Arial" w:cs="Arial"/>
          <w:b/>
          <w:bCs/>
          <w:szCs w:val="28"/>
          <w:lang w:val="uk-UA"/>
        </w:rPr>
        <w:t> </w:t>
      </w:r>
      <w:r w:rsidRPr="00511005">
        <w:rPr>
          <w:rFonts w:ascii="Arial" w:eastAsia="Calibri" w:hAnsi="Arial" w:cs="Arial"/>
          <w:b/>
          <w:bCs/>
          <w:szCs w:val="28"/>
          <w:lang w:val="uk-UA"/>
        </w:rPr>
        <w:t>ІНҐАРДЕНОМ</w:t>
      </w:r>
    </w:p>
    <w:p w14:paraId="00C5BB59"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Важливим питанням сьогодення є свобода. В умовах глобалізації перед людиною щодня постають нові виклики, які породжують головне завдання – не втратити ідентичність, зберегти своє реальне, а не удаване «Я». Пропонуємо розглянути питання свободи з різних ракурсів, вдаючись до екзистенціальної філософії Жана-Поля Сартра та феноменології Романа Вітольда Інґардена, оскільки погляди цих мислителів не втрачають свою актуальність, відкриваючи можливість зрозуміти з якими проблемами стикається людина сучасності.</w:t>
      </w:r>
    </w:p>
    <w:p w14:paraId="3CB0FFB4"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Інтерпретація свободи у поглядах Ж.-П.Сартра та Р.Інґардена суттєво відрізняється, проте мислителі однаково віддають провідну роль свободі як головній проблемі людського існування. Ж.-П.Сартр визначає свободу як акт, у якому людина діє вільно, не зважаючи на зовнішні чинники. У свою чергу, Р.Інґарден визначає шари реальності, які впливають на здійснення вибору людиною. Роблячи з цих двох думок основу наших роздумів, ми переконані, що між двома мислителями могла би бути палка дискусія: чи є таки свобода абсолютною, чи вона запроторена в онтологічні рамки?</w:t>
      </w:r>
    </w:p>
    <w:p w14:paraId="6D4E62F9"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Свобода – основоположна характеристика людського існування. Онтологічним розрізненням свободи Жана-Поля Сартра є поділ свободи на «буття-для-себе» та «буття-в-собі». Буття-для-себе – це одна із форм буття людини, де вона ні від кого не залежить та ні до чого не прив’язана [1, с.33]. Буття-в-собі – це форма існування, яка є незалежною від свідомості, його не можна змінити через суб’єктивне сприйняття. Однак, буття-для-себе – не просто буття, а неповторне існування кожної особистості самостійно [1, с.33]. Буття-для-себе можна визначити як відкриту можливість свідомості, допоки вона не заповниться вибором, а значить позбавить шансу виникнути будь-якій трансцендентальній передумові. Зважаючи на це, свобода реалізується не просто як властивість буття, а є його визначальною характеристикою.</w:t>
      </w:r>
    </w:p>
    <w:p w14:paraId="7337D3CE"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Феномен свободи є в тому, що вона породжує екзистенціальний тягар. Здійснюючи вибір, людина повинна нести відповідальність не лише за те, що вона обрала, а ще й за настання можливих наслідків. У своїй праці </w:t>
      </w:r>
      <w:r w:rsidRPr="00511005">
        <w:rPr>
          <w:rFonts w:ascii="Arial" w:eastAsia="Calibri" w:hAnsi="Arial" w:cs="Arial"/>
          <w:szCs w:val="28"/>
          <w:lang w:val="uk-UA"/>
        </w:rPr>
        <w:lastRenderedPageBreak/>
        <w:t>«Буття та Ніщо» Ж.П.Сартр вводить поняття «поганої віри». Погана віра означає стан, коли людина намагається уникнути власної свободи шляхом перекидання своєї свободи на зовнішні обставини. Можемо пояснити ще це як форму самообману з намаганням заперечити факт уже наявної свободи. Спроба створити ілюзію (не)свободи вибору уже саме по собі є вибором, тому акт свободи буде здійснено.</w:t>
      </w:r>
    </w:p>
    <w:p w14:paraId="3FC56EA9"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Проявляючи недобросовісність (у розумінні поганої віри) людина дотримується тих правил, які нав’язані суспільством, живучи усталеними кліше, втрачаючи свою унікальність. Життя за ярликами – внутрішнє зіткнення між справжнім та ілюзорним. Ж.-П.Сартр приводить це на прикладі офіціанта в кафе, який грає у свою професію та грає у буття офіціанта, намагаючись педантично виконувати свої обов’язки [3]. Ідеальний образ офіціанта є прикладом того, як людина через нав’язані стереотипи заперечує власну свободу, механічно відтворюючи соціальні моделі поведінки з наслідком втрати автентичності. Роблячи щоразу вибір, який передбачає певну роль, людина живе недобросовісно. Вибору уникнути неможливо, тому для збереження справжнього вибір повинен бути здійснений для себе. Взяти відповідальність – означає обрати свободу та вийти за межі усталених рамок. Людина ніби «архітектор» власного життя, а кожен вибір – це «цеглина», завдяки якій проявляється унікальність. Немає жодних креслень, лише переконання в тому, що людині свобода притаманна безумовно.</w:t>
      </w:r>
    </w:p>
    <w:p w14:paraId="143327BB"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Сартрівська концепція свободи змушує задуматися над питанням чи дійсно свобода є такою відкритою чи все ж таки людина взаємодіє з об’єктивною реальністю під впливом якої вона здійснює вибір. Саме тут у діалог вступає феноменолог Р.Інґарден. Проблема свободи у творчості Р.Інґардена відкривається нам з іншої сторони, що суттєво відрізняється від екзистенціальної концепції Ж.П.Сартра.</w:t>
      </w:r>
    </w:p>
    <w:p w14:paraId="0987FEB6"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Наукові пошуки Інґардена не зводяться лише до одного поняття свободи, однак мислитель розглядає свободу як онтологічну категорію у рамках феноменології. Р.Інґарден, на відміну від Ж.-П. Сартра розглядає свободу не як абсолютне, а як те, що існує у взаємодії з об’єктивними умовами, які впливають на реалізацію свободи. Як зазначає Р.Інґарден у своїй праці «Лекції з етики», що людина повинна знати об’єктивні умови, які гарантуватимуть, що я можу вільно приймати рішення або робити те, чи інше [2, с.222]. Із цього випливає, що людські вчинки мають відповідати певним умовам, наприклад, культурним чи соціальним, які мають можливість вплинути на вибір. Ось саме в цьому прослідковується розбіжність поглядів Р.Інґардена та Ж.-П.Сартра.</w:t>
      </w:r>
    </w:p>
    <w:p w14:paraId="4143546C"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Р.Інґарден відкидає детермінізм, який зводить свободу людини лише до індивідуального вибору. Свобода – це процес свідомого упорядкування світу, у якому людині варто не просто створити сенс, а й підігнати його під </w:t>
      </w:r>
      <w:r w:rsidRPr="00511005">
        <w:rPr>
          <w:rFonts w:ascii="Arial" w:eastAsia="Calibri" w:hAnsi="Arial" w:cs="Arial"/>
          <w:szCs w:val="28"/>
          <w:lang w:val="uk-UA"/>
        </w:rPr>
        <w:lastRenderedPageBreak/>
        <w:t>об’єктивні умови існування. Людське існування не триває у ізоляції, людина співставляє свої дії з онтологічними передумовами. Р.Інґарден визнає кореляцію свободи з її об’єктивними структурами буття. Тобто, свобода є відносною, вона не зводиться до суб’єктивності, а існує в межах можливого.</w:t>
      </w:r>
    </w:p>
    <w:p w14:paraId="4F0A97F0"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Ж.-П.Сартр визначає людину як творця самого себе, відкидаючи зовнішні рамки, які перешкоджають волі. Перед людиною постає безмежна відкритість до того моменту, поки людина сама не надасть внутрішнього змісту цьому. Свобода – це виклик, але в той час єдина справжня перспектива існування. Р.Інґарден як представник феноменології міг би підтримати Ж.-П.Сартра, проте з деякими уточненнями: світ – це не безкінечний «конвеєр» можливостей, де людина творить себе з нічого. Неможливо просто «взяти та кинути» себе у руки свободи, якщо при цьому відмовитися від реальної дійсності.</w:t>
      </w:r>
    </w:p>
    <w:p w14:paraId="6473B0D2"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Цей можливий «діалог» між Ж.-П.Сартром та Р.Інґарденом викликає напругу, яка перегукується з проблемами людини сьогодення. Зважаючи на зміну ставлення до свободи в сучасному світі, сучасна людина як ніколи прагне бути свобідною, незалежно від обставин. Однак зараз людство зіштовхується з циклічністю історії, яка несе певні екзистенціальні наслідки. Завдяки внутрішнім переконанням у людини є можливість створити себе, але не ігноруючи об’єктивну реальність, знаючи, що свобода – це не лише можливість здійснювати вибір, це існування, яке охоплює усі шари реальності, відкриваючи нові межі для розуміння феномену свободи.</w:t>
      </w:r>
    </w:p>
    <w:p w14:paraId="455351F0" w14:textId="77777777" w:rsidR="009C67AB" w:rsidRPr="00511005" w:rsidRDefault="009C67AB" w:rsidP="003A292D">
      <w:pPr>
        <w:spacing w:line="264" w:lineRule="auto"/>
        <w:jc w:val="center"/>
        <w:rPr>
          <w:rFonts w:ascii="Arial" w:eastAsia="Calibri" w:hAnsi="Arial" w:cs="Arial"/>
          <w:szCs w:val="28"/>
          <w:lang w:val="uk-UA"/>
        </w:rPr>
      </w:pPr>
    </w:p>
    <w:p w14:paraId="287B4260" w14:textId="34E54E24" w:rsidR="009C67AB" w:rsidRPr="00511005" w:rsidRDefault="007B2628" w:rsidP="007B2628">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1BAE1CB7" w14:textId="77777777" w:rsidR="009C67AB" w:rsidRPr="00511005" w:rsidRDefault="009C67AB"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1. Дядюк К. О. Свобода в онтології Ж.-П. Сартра / К. О. Дядюк // Українське суспільство в умовах воєнного стану: сучасні виклики та напрямки розвитку : матеріали Всеукр. наук. конф. молодих вчених (м. Одеса, 6 червня 2022 р.) / уклад.: Ю. Д. Батан, В. С. Кучерявенко, Л. С. Бондарчук та ін. ; за ред. М. Р. Аракеляна, К. І. Спасової. – Одеса : Фенікс, 2022. – С. 33-36.</w:t>
      </w:r>
    </w:p>
    <w:p w14:paraId="01906908" w14:textId="77777777" w:rsidR="009C67AB" w:rsidRPr="00511005" w:rsidRDefault="009C67AB"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2. Ingarden R. Wykłady z etyki. – Warszawa: PWN, 1989. – 353 s.</w:t>
      </w:r>
    </w:p>
    <w:p w14:paraId="1C1A1580" w14:textId="77777777" w:rsidR="009C67AB" w:rsidRPr="00511005" w:rsidRDefault="009C67AB"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3. Sartre J.-P. L'Être et le Néant. Paris: Gallimard, 1943. – 684 s.</w:t>
      </w:r>
    </w:p>
    <w:p w14:paraId="2FB78ED1" w14:textId="77777777" w:rsidR="009C67AB" w:rsidRPr="00511005" w:rsidRDefault="009C67AB" w:rsidP="003A292D">
      <w:pPr>
        <w:spacing w:line="264" w:lineRule="auto"/>
        <w:ind w:firstLine="0"/>
        <w:rPr>
          <w:rFonts w:ascii="Arial" w:eastAsia="Calibri" w:hAnsi="Arial" w:cs="Arial"/>
          <w:szCs w:val="28"/>
          <w:lang w:val="uk-UA"/>
        </w:rPr>
      </w:pPr>
    </w:p>
    <w:p w14:paraId="2FEEB990" w14:textId="4B45C32E" w:rsidR="009C67AB"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9C67AB" w:rsidRPr="00511005">
        <w:rPr>
          <w:rFonts w:ascii="Arial" w:eastAsia="Calibri" w:hAnsi="Arial" w:cs="Arial"/>
          <w:szCs w:val="28"/>
          <w:lang w:val="uk-UA"/>
        </w:rPr>
        <w:t>свобода, філософія, Ж.-П. Сартр, Р. Інґарден, вибір, відповідальність.</w:t>
      </w:r>
    </w:p>
    <w:p w14:paraId="74518C09" w14:textId="024E9C34" w:rsidR="009C67AB"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Key words: </w:t>
      </w:r>
      <w:r w:rsidR="009C67AB" w:rsidRPr="00511005">
        <w:rPr>
          <w:rFonts w:ascii="Arial" w:eastAsia="Calibri" w:hAnsi="Arial" w:cs="Arial"/>
          <w:szCs w:val="28"/>
          <w:lang w:val="uk-UA"/>
        </w:rPr>
        <w:t>freedom, philosophy, J.-P. Sartre, R. Ingarden, choice, responsibility.</w:t>
      </w:r>
    </w:p>
    <w:p w14:paraId="089FD644" w14:textId="289E5B13" w:rsidR="009C67AB"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9C67AB" w:rsidRPr="00511005">
        <w:rPr>
          <w:rFonts w:ascii="Arial" w:eastAsia="Calibri" w:hAnsi="Arial" w:cs="Arial"/>
          <w:i/>
          <w:iCs/>
          <w:szCs w:val="28"/>
          <w:lang w:val="uk-UA"/>
        </w:rPr>
        <w:t>в.о. завідувача, к.філос.н., доцент Шамша І</w:t>
      </w:r>
      <w:r w:rsidR="00536AAB" w:rsidRPr="00511005">
        <w:rPr>
          <w:rFonts w:ascii="Arial" w:eastAsia="Calibri" w:hAnsi="Arial" w:cs="Arial"/>
          <w:i/>
          <w:iCs/>
          <w:szCs w:val="28"/>
          <w:lang w:val="uk-UA"/>
        </w:rPr>
        <w:t>.</w:t>
      </w:r>
      <w:r w:rsidR="009C67AB" w:rsidRPr="00511005">
        <w:rPr>
          <w:rFonts w:ascii="Arial" w:eastAsia="Calibri" w:hAnsi="Arial" w:cs="Arial"/>
          <w:i/>
          <w:iCs/>
          <w:szCs w:val="28"/>
          <w:lang w:val="uk-UA"/>
        </w:rPr>
        <w:t xml:space="preserve"> В.</w:t>
      </w:r>
    </w:p>
    <w:p w14:paraId="76EBACD1" w14:textId="77777777" w:rsidR="009C67AB" w:rsidRPr="00511005" w:rsidRDefault="009C67AB" w:rsidP="003A292D">
      <w:pPr>
        <w:spacing w:line="264" w:lineRule="auto"/>
        <w:ind w:firstLine="0"/>
        <w:rPr>
          <w:rFonts w:ascii="Arial" w:eastAsia="Calibri" w:hAnsi="Arial" w:cs="Arial"/>
          <w:i/>
          <w:iCs/>
          <w:szCs w:val="28"/>
          <w:lang w:val="uk-UA"/>
        </w:rPr>
      </w:pPr>
    </w:p>
    <w:p w14:paraId="4A51BE05" w14:textId="77777777" w:rsidR="009C67AB" w:rsidRPr="00511005" w:rsidRDefault="009C67AB" w:rsidP="003A292D">
      <w:pPr>
        <w:spacing w:line="264" w:lineRule="auto"/>
        <w:ind w:firstLine="0"/>
        <w:rPr>
          <w:rFonts w:ascii="Arial" w:eastAsia="Calibri" w:hAnsi="Arial" w:cs="Arial"/>
          <w:szCs w:val="28"/>
          <w:lang w:val="uk-UA"/>
        </w:rPr>
      </w:pPr>
    </w:p>
    <w:p w14:paraId="3CF39577" w14:textId="77777777" w:rsidR="009C67AB" w:rsidRPr="00511005" w:rsidRDefault="009C67AB" w:rsidP="003A292D">
      <w:pPr>
        <w:spacing w:line="264" w:lineRule="auto"/>
        <w:ind w:firstLine="0"/>
        <w:jc w:val="center"/>
        <w:rPr>
          <w:rFonts w:ascii="Arial" w:eastAsia="Arial" w:hAnsi="Arial" w:cs="Arial"/>
          <w:szCs w:val="28"/>
          <w:lang w:val="uk" w:eastAsia="ru-RU"/>
        </w:rPr>
      </w:pPr>
      <w:r w:rsidRPr="00511005">
        <w:rPr>
          <w:rFonts w:ascii="Arial" w:eastAsia="Arial" w:hAnsi="Arial" w:cs="Arial"/>
          <w:b/>
          <w:bCs/>
          <w:i/>
          <w:iCs/>
          <w:szCs w:val="28"/>
          <w:lang w:val="uk" w:eastAsia="ru-RU"/>
        </w:rPr>
        <w:t>Єременко Ігор Олександрович</w:t>
      </w:r>
    </w:p>
    <w:p w14:paraId="67B9D34A" w14:textId="386447A6" w:rsidR="009C67AB" w:rsidRPr="00511005" w:rsidRDefault="00536AAB" w:rsidP="003A292D">
      <w:pPr>
        <w:spacing w:line="264" w:lineRule="auto"/>
        <w:ind w:firstLine="0"/>
        <w:jc w:val="center"/>
        <w:rPr>
          <w:rFonts w:ascii="Arial" w:eastAsia="Arial" w:hAnsi="Arial" w:cs="Arial"/>
          <w:szCs w:val="28"/>
          <w:lang w:val="uk" w:eastAsia="ru-RU"/>
        </w:rPr>
      </w:pPr>
      <w:r w:rsidRPr="00511005">
        <w:rPr>
          <w:rFonts w:ascii="Arial" w:eastAsia="Arial" w:hAnsi="Arial" w:cs="Arial"/>
          <w:szCs w:val="28"/>
          <w:lang w:val="uk" w:eastAsia="ru-RU"/>
        </w:rPr>
        <w:t>студент 1-го курсу магістратури</w:t>
      </w:r>
      <w:r w:rsidR="009C67AB" w:rsidRPr="00511005">
        <w:rPr>
          <w:rFonts w:ascii="Arial" w:eastAsia="Arial" w:hAnsi="Arial" w:cs="Arial"/>
          <w:szCs w:val="28"/>
          <w:lang w:val="uk" w:eastAsia="ru-RU"/>
        </w:rPr>
        <w:t xml:space="preserve"> </w:t>
      </w:r>
      <w:r w:rsidRPr="00511005">
        <w:rPr>
          <w:rFonts w:ascii="Arial" w:eastAsia="Arial" w:hAnsi="Arial" w:cs="Arial"/>
          <w:szCs w:val="28"/>
          <w:lang w:val="uk" w:eastAsia="ru-RU"/>
        </w:rPr>
        <w:t>факультету журналістики</w:t>
      </w:r>
    </w:p>
    <w:p w14:paraId="5EEBAEA6" w14:textId="012D6EF6" w:rsidR="009C67AB" w:rsidRPr="00511005" w:rsidRDefault="007B2628" w:rsidP="003A292D">
      <w:pPr>
        <w:spacing w:line="264" w:lineRule="auto"/>
        <w:ind w:firstLine="0"/>
        <w:jc w:val="center"/>
        <w:rPr>
          <w:rFonts w:ascii="Arial" w:eastAsia="Arial" w:hAnsi="Arial" w:cs="Arial"/>
          <w:szCs w:val="28"/>
          <w:lang w:val="uk" w:eastAsia="ru-RU"/>
        </w:rPr>
      </w:pPr>
      <w:r w:rsidRPr="00511005">
        <w:rPr>
          <w:rFonts w:ascii="Arial" w:eastAsia="Arial" w:hAnsi="Arial" w:cs="Arial"/>
          <w:szCs w:val="28"/>
          <w:lang w:val="uk" w:eastAsia="ru-RU"/>
        </w:rPr>
        <w:t>Національного університету «Одеська юридична академія»</w:t>
      </w:r>
    </w:p>
    <w:p w14:paraId="1297FE4F" w14:textId="77777777" w:rsidR="009C67AB" w:rsidRPr="00511005" w:rsidRDefault="009C67AB" w:rsidP="003A292D">
      <w:pPr>
        <w:spacing w:line="264" w:lineRule="auto"/>
        <w:ind w:firstLine="0"/>
        <w:jc w:val="center"/>
        <w:rPr>
          <w:rFonts w:ascii="Arial" w:eastAsia="Arial" w:hAnsi="Arial" w:cs="Arial"/>
          <w:szCs w:val="28"/>
          <w:lang w:val="uk" w:eastAsia="ru-RU"/>
        </w:rPr>
      </w:pPr>
    </w:p>
    <w:p w14:paraId="6C03D4AB" w14:textId="77777777" w:rsidR="009C67AB" w:rsidRPr="00511005" w:rsidRDefault="009C67AB" w:rsidP="003A292D">
      <w:pPr>
        <w:spacing w:line="264" w:lineRule="auto"/>
        <w:ind w:firstLine="0"/>
        <w:jc w:val="center"/>
        <w:rPr>
          <w:rFonts w:ascii="Arial" w:eastAsia="Arial" w:hAnsi="Arial" w:cs="Arial"/>
          <w:b/>
          <w:bCs/>
          <w:szCs w:val="28"/>
          <w:lang w:val="uk" w:eastAsia="ru-RU"/>
        </w:rPr>
      </w:pPr>
      <w:bookmarkStart w:id="12" w:name="_rphjno6nbdr9" w:colFirst="0" w:colLast="0"/>
      <w:bookmarkEnd w:id="12"/>
      <w:r w:rsidRPr="00511005">
        <w:rPr>
          <w:rFonts w:ascii="Arial" w:eastAsia="Arial" w:hAnsi="Arial" w:cs="Arial"/>
          <w:b/>
          <w:bCs/>
          <w:szCs w:val="28"/>
          <w:lang w:val="uk" w:eastAsia="ru-RU"/>
        </w:rPr>
        <w:t>ФАЛЬСИФІКОВАНІСТЬ ЯК КРИТЕРІЙ НАУКОВОГО ЗНАННЯ</w:t>
      </w:r>
    </w:p>
    <w:p w14:paraId="6A029842" w14:textId="77777777" w:rsidR="009C67AB" w:rsidRPr="00511005" w:rsidRDefault="009C67AB" w:rsidP="003A292D">
      <w:pPr>
        <w:spacing w:line="264" w:lineRule="auto"/>
        <w:ind w:firstLine="0"/>
        <w:jc w:val="center"/>
        <w:rPr>
          <w:rFonts w:ascii="Arial" w:eastAsia="Arial" w:hAnsi="Arial" w:cs="Arial"/>
          <w:szCs w:val="28"/>
          <w:lang w:val="uk" w:eastAsia="ru-RU"/>
        </w:rPr>
      </w:pPr>
    </w:p>
    <w:p w14:paraId="00980ACD" w14:textId="77777777" w:rsidR="009C67AB" w:rsidRPr="00511005" w:rsidRDefault="009C67AB" w:rsidP="003A292D">
      <w:pPr>
        <w:spacing w:line="264" w:lineRule="auto"/>
        <w:ind w:firstLineChars="250" w:firstLine="700"/>
        <w:rPr>
          <w:rFonts w:ascii="Arial" w:eastAsia="Arial" w:hAnsi="Arial" w:cs="Arial"/>
          <w:szCs w:val="28"/>
          <w:lang w:val="uk" w:eastAsia="ru-RU"/>
        </w:rPr>
      </w:pPr>
      <w:r w:rsidRPr="00511005">
        <w:rPr>
          <w:rFonts w:ascii="Arial" w:eastAsia="Arial" w:hAnsi="Arial" w:cs="Arial"/>
          <w:szCs w:val="28"/>
          <w:lang w:val="uk" w:eastAsia="ru-RU"/>
        </w:rPr>
        <w:t>Одним з ключових питань як філософської науки XX сторіччя, так і сучасної, залишається питання демаркації – розмежування науки й ненауки. Це – причина, чому дослідники приділяють особливу увагу критиці індуктивного методу та намаганням визначити чіткі критерії науковості. Одним із найважливіших та найвпливовіших підходів став принцип фальсифікованості, що був запропонований Карлом Поппером. На його думку, виключно лише такі твердження, які можуть бути спростовані в практиці, є науковими. Дана робота має за мету привернути увагу до цього критерію, оцінити його переваги, обмеження в інших контекстах сучасної науки.</w:t>
      </w:r>
    </w:p>
    <w:p w14:paraId="63E30062" w14:textId="77777777" w:rsidR="009C67AB" w:rsidRPr="00511005" w:rsidRDefault="009C67AB" w:rsidP="003A292D">
      <w:pPr>
        <w:spacing w:line="264" w:lineRule="auto"/>
        <w:ind w:firstLineChars="250" w:firstLine="700"/>
        <w:rPr>
          <w:rFonts w:ascii="Arial" w:eastAsia="Arial" w:hAnsi="Arial" w:cs="Arial"/>
          <w:szCs w:val="28"/>
          <w:lang w:val="uk" w:eastAsia="ru-RU"/>
        </w:rPr>
      </w:pPr>
      <w:r w:rsidRPr="00511005">
        <w:rPr>
          <w:rFonts w:ascii="Arial" w:eastAsia="Arial" w:hAnsi="Arial" w:cs="Arial"/>
          <w:szCs w:val="28"/>
          <w:lang w:val="uk" w:eastAsia="ru-RU"/>
        </w:rPr>
        <w:t>Фальсифікованість (від лат. falsificare – спростовувати) говорить нам про те, що твердження або теорія повинні допускати можливість бути спростованими на основі емпіричних даних, тобто науковою вважається така гіпотеза, яка потенційно може бути перевірена і доведена до хибності. Саме ця ідея закладена в основі праці К. Поппера The Logic of Scientific Discovery [1]. Принцип фальсифікованості передбачає, що наукові теорії не повинні бути побудовані таким чином, щоб жоден з можливих фактів не міг їх заперечити. Наприклад, висловлювання «Усі лебеді – білі» є фальсифікованим, оскільки поява одного чорного лебедя спростовує цю тезу. Таким чином, фальсифікованість вимагає не підтвердження, але потенційної можливості спростування, що робить її певною опозицією до принципу верифікації.</w:t>
      </w:r>
    </w:p>
    <w:p w14:paraId="1692AC5C" w14:textId="77777777" w:rsidR="009C67AB" w:rsidRPr="00511005" w:rsidRDefault="009C67AB" w:rsidP="003A292D">
      <w:pPr>
        <w:spacing w:line="264" w:lineRule="auto"/>
        <w:ind w:firstLineChars="250" w:firstLine="700"/>
        <w:rPr>
          <w:rFonts w:ascii="Arial" w:eastAsia="Arial" w:hAnsi="Arial" w:cs="Arial"/>
          <w:szCs w:val="28"/>
          <w:lang w:val="uk" w:eastAsia="ru-RU"/>
        </w:rPr>
      </w:pPr>
      <w:r w:rsidRPr="00511005">
        <w:rPr>
          <w:rFonts w:ascii="Arial" w:eastAsia="Arial" w:hAnsi="Arial" w:cs="Arial"/>
          <w:szCs w:val="28"/>
          <w:lang w:val="uk" w:eastAsia="ru-RU"/>
        </w:rPr>
        <w:t>Цей підхід був революційним саме у контексті боротьби з псевдонауковістю та псевдонаукою як такою, зокрема астрологією, марксизмом і фрейдизмом, які, на думку Поппера, були нефальсифікованими, а тому – ненауковими [1, 2</w:t>
      </w:r>
      <w:r w:rsidRPr="00511005">
        <w:rPr>
          <w:rFonts w:ascii="Arial" w:eastAsia="Arial" w:hAnsi="Arial" w:cs="Arial"/>
          <w:szCs w:val="28"/>
          <w:lang w:val="uk-UA" w:eastAsia="ru-RU"/>
        </w:rPr>
        <w:t>,</w:t>
      </w:r>
      <w:r w:rsidRPr="00511005">
        <w:rPr>
          <w:rFonts w:ascii="Arial" w:eastAsia="Arial" w:hAnsi="Arial" w:cs="Arial"/>
          <w:szCs w:val="28"/>
          <w:lang w:val="uk" w:eastAsia="ru-RU"/>
        </w:rPr>
        <w:t xml:space="preserve"> c. 27]. Він вважав, що головна чеснота науковця – не стільки підтвердження теорії, скільки намагання її спростувати. Саме тому, відповідно до його підходу, наукове знання має бути відкритим до критики, перевірки, і навіть в певних випадках відмовитись від усталених теорій. Такий підхід посприяв зміні уявлень про розвиток науки як постійно відкритого процесу, де жодна теорія не є остаточною і позбавленою сумніву.</w:t>
      </w:r>
    </w:p>
    <w:p w14:paraId="13EB14EC" w14:textId="77777777" w:rsidR="009C67AB" w:rsidRPr="00511005" w:rsidRDefault="009C67AB" w:rsidP="003A292D">
      <w:pPr>
        <w:spacing w:line="264" w:lineRule="auto"/>
        <w:ind w:firstLineChars="250" w:firstLine="700"/>
        <w:rPr>
          <w:rFonts w:ascii="Arial" w:eastAsia="Arial" w:hAnsi="Arial" w:cs="Arial"/>
          <w:szCs w:val="28"/>
          <w:lang w:val="uk" w:eastAsia="ru-RU"/>
        </w:rPr>
      </w:pPr>
      <w:r w:rsidRPr="00511005">
        <w:rPr>
          <w:rFonts w:ascii="Arial" w:eastAsia="Arial" w:hAnsi="Arial" w:cs="Arial"/>
          <w:szCs w:val="28"/>
          <w:lang w:val="uk" w:eastAsia="ru-RU"/>
        </w:rPr>
        <w:t xml:space="preserve">Щоправда, підхід Поппера був підданий критичному осмисленню та певній критиці з боку інших філософів. Томас Кун, автор праці The Structure of Scientific Revolutions, зазначав, що науковці рідко відмовляються від теорії після одного або кількох спростувань. Замість цього, вони шукають шляхи та засоби, щоб захистити парадигму, в межах якої працюють [4, с. 115]. На його думку, наукова революція відбувається не тоді, коли теорію спростовують, а тоді, коли стара парадигма перестає задовольняти </w:t>
      </w:r>
      <w:r w:rsidRPr="00511005">
        <w:rPr>
          <w:rFonts w:ascii="Arial" w:eastAsia="Arial" w:hAnsi="Arial" w:cs="Arial"/>
          <w:szCs w:val="28"/>
          <w:lang w:val="uk" w:eastAsia="ru-RU"/>
        </w:rPr>
        <w:lastRenderedPageBreak/>
        <w:t>дослідницьку спільноту і формується нова. Це поставило під сумнів універсальність критерію Поппера як такого, що регулює наукову практику на кожному з її етапів.</w:t>
      </w:r>
    </w:p>
    <w:p w14:paraId="3C8E70DC" w14:textId="77777777" w:rsidR="009C67AB" w:rsidRPr="00511005" w:rsidRDefault="009C67AB" w:rsidP="003A292D">
      <w:pPr>
        <w:spacing w:line="264" w:lineRule="auto"/>
        <w:ind w:firstLineChars="250" w:firstLine="700"/>
        <w:rPr>
          <w:rFonts w:ascii="Arial" w:eastAsia="Arial" w:hAnsi="Arial" w:cs="Arial"/>
          <w:szCs w:val="28"/>
          <w:lang w:val="uk" w:eastAsia="ru-RU"/>
        </w:rPr>
      </w:pPr>
      <w:r w:rsidRPr="00511005">
        <w:rPr>
          <w:rFonts w:ascii="Arial" w:eastAsia="Arial" w:hAnsi="Arial" w:cs="Arial"/>
          <w:szCs w:val="28"/>
          <w:lang w:val="uk" w:eastAsia="ru-RU"/>
        </w:rPr>
        <w:t>Ще далі пішов Імре Лакатос, який запропонував поняття «науково-дослідної програми» і стверджував, що наука розвивається не через тотальне заперечення попереднього знання, що трактувалось як наукове, але через поступову зміну допоміжних гіпотез [2, с. 4-5]. За його концепцією, важливішою є прогностична сила теорії, ніж її моментальне спростування. Це доповнює і уточнює попперівський підхід, вказуючи на складність наукового процесу, де фальсифікація є не кінцем теорії, а лише одним із етапів її адаптації чи оновлення.</w:t>
      </w:r>
    </w:p>
    <w:p w14:paraId="3F8C7A91" w14:textId="77777777" w:rsidR="009C67AB" w:rsidRPr="00511005" w:rsidRDefault="009C67AB" w:rsidP="003A292D">
      <w:pPr>
        <w:spacing w:line="264" w:lineRule="auto"/>
        <w:ind w:firstLineChars="250" w:firstLine="700"/>
        <w:rPr>
          <w:rFonts w:ascii="Arial" w:eastAsia="Arial" w:hAnsi="Arial" w:cs="Arial"/>
          <w:szCs w:val="28"/>
          <w:lang w:val="uk" w:eastAsia="ru-RU"/>
        </w:rPr>
      </w:pPr>
      <w:r w:rsidRPr="00511005">
        <w:rPr>
          <w:rFonts w:ascii="Arial" w:eastAsia="Arial" w:hAnsi="Arial" w:cs="Arial"/>
          <w:szCs w:val="28"/>
          <w:lang w:val="uk" w:eastAsia="ru-RU"/>
        </w:rPr>
        <w:t>Сучасні автори ж, такі як С. Окаша, підкреслюють, що жоден з можливих критеріїв, включно з фальсифікованістю, все ж не дає остаточної відповіді на питання про науковість. Натомість, філософія науки повинна працювати з сукупністю ознак, серед яких – емпірична перевірюваність, логічна послідовність, простота та продуктивність [3, с. 1-17]. Таким чином, критерій Поппера є корисним і для сучасної науки, але має обмеження при аналізі складних, міждисциплінарних або гуманітарних знань, які не завжди допускають можливість прямого спростування.</w:t>
      </w:r>
    </w:p>
    <w:p w14:paraId="0B46F3EE" w14:textId="77777777" w:rsidR="009C67AB" w:rsidRPr="00511005" w:rsidRDefault="009C67AB" w:rsidP="003A292D">
      <w:pPr>
        <w:spacing w:line="264" w:lineRule="auto"/>
        <w:ind w:firstLineChars="250" w:firstLine="700"/>
        <w:rPr>
          <w:rFonts w:ascii="Arial" w:eastAsia="Arial" w:hAnsi="Arial" w:cs="Arial"/>
          <w:szCs w:val="28"/>
          <w:lang w:val="uk" w:eastAsia="ru-RU"/>
        </w:rPr>
      </w:pPr>
      <w:r w:rsidRPr="00511005">
        <w:rPr>
          <w:rFonts w:ascii="Arial" w:eastAsia="Arial" w:hAnsi="Arial" w:cs="Arial"/>
          <w:szCs w:val="28"/>
          <w:lang w:val="uk" w:eastAsia="ru-RU"/>
        </w:rPr>
        <w:t>Таким чином, критерій фальсифікованості залишається надзвичайно впливовим і корисним для аналізу наукових теорій, але сучасна філософія науки схильна розглядати його лише як один з багатьох інструментів у методологічному арсеналі.</w:t>
      </w:r>
    </w:p>
    <w:p w14:paraId="3C08B07A" w14:textId="2BC1603E" w:rsidR="009C67AB" w:rsidRPr="00511005" w:rsidRDefault="009C67AB" w:rsidP="007B2628">
      <w:pPr>
        <w:spacing w:line="264" w:lineRule="auto"/>
        <w:ind w:firstLine="0"/>
        <w:jc w:val="center"/>
        <w:rPr>
          <w:rFonts w:ascii="Arial" w:eastAsia="Arial" w:hAnsi="Arial" w:cs="Arial"/>
          <w:b/>
          <w:bCs/>
          <w:szCs w:val="28"/>
          <w:lang w:val="uk" w:eastAsia="ru-RU"/>
        </w:rPr>
      </w:pPr>
      <w:r w:rsidRPr="00511005">
        <w:rPr>
          <w:rFonts w:ascii="Arial" w:eastAsia="Arial" w:hAnsi="Arial" w:cs="Arial"/>
          <w:szCs w:val="28"/>
          <w:lang w:val="uk" w:eastAsia="ru-RU"/>
        </w:rPr>
        <w:br/>
        <w:t xml:space="preserve"> </w:t>
      </w:r>
      <w:r w:rsidR="007B2628" w:rsidRPr="00511005">
        <w:rPr>
          <w:rFonts w:ascii="Arial" w:eastAsia="Arial" w:hAnsi="Arial" w:cs="Arial"/>
          <w:b/>
          <w:bCs/>
          <w:szCs w:val="28"/>
          <w:lang w:val="uk-UA" w:eastAsia="ru-RU"/>
        </w:rPr>
        <w:t>Список використаних джерел</w:t>
      </w:r>
    </w:p>
    <w:p w14:paraId="346708F2" w14:textId="77777777" w:rsidR="009C67AB" w:rsidRPr="00511005" w:rsidRDefault="009C67AB" w:rsidP="003A292D">
      <w:pPr>
        <w:spacing w:line="264" w:lineRule="auto"/>
        <w:ind w:firstLineChars="250" w:firstLine="700"/>
        <w:rPr>
          <w:rFonts w:ascii="Arial" w:eastAsia="Arial" w:hAnsi="Arial" w:cs="Arial"/>
          <w:szCs w:val="28"/>
          <w:lang w:val="uk" w:eastAsia="ru-RU"/>
        </w:rPr>
      </w:pPr>
      <w:r w:rsidRPr="00511005">
        <w:rPr>
          <w:rFonts w:ascii="Arial" w:eastAsia="Arial" w:hAnsi="Arial" w:cs="Arial"/>
          <w:szCs w:val="28"/>
          <w:lang w:val="uk" w:eastAsia="ru-RU"/>
        </w:rPr>
        <w:t xml:space="preserve">1. Popper K. The Logic of Scientific Discovery. </w:t>
      </w:r>
      <w:r w:rsidRPr="00511005">
        <w:rPr>
          <w:rFonts w:ascii="Arial" w:eastAsia="Arial" w:hAnsi="Arial" w:cs="Arial"/>
          <w:i/>
          <w:iCs/>
          <w:szCs w:val="28"/>
          <w:lang w:val="uk" w:eastAsia="ru-RU"/>
        </w:rPr>
        <w:t>London</w:t>
      </w:r>
      <w:r w:rsidRPr="00511005">
        <w:rPr>
          <w:rFonts w:ascii="Arial" w:eastAsia="Arial" w:hAnsi="Arial" w:cs="Arial"/>
          <w:i/>
          <w:iCs/>
          <w:szCs w:val="28"/>
          <w:lang w:val="en-US" w:eastAsia="ru-RU"/>
        </w:rPr>
        <w:t>.</w:t>
      </w:r>
      <w:r w:rsidRPr="00511005">
        <w:rPr>
          <w:rFonts w:ascii="Arial" w:eastAsia="Arial" w:hAnsi="Arial" w:cs="Arial"/>
          <w:i/>
          <w:iCs/>
          <w:szCs w:val="28"/>
          <w:lang w:val="uk" w:eastAsia="ru-RU"/>
        </w:rPr>
        <w:t xml:space="preserve"> Routledge</w:t>
      </w:r>
      <w:r w:rsidRPr="00511005">
        <w:rPr>
          <w:rFonts w:ascii="Arial" w:eastAsia="Arial" w:hAnsi="Arial" w:cs="Arial"/>
          <w:i/>
          <w:iCs/>
          <w:szCs w:val="28"/>
          <w:lang w:val="en-US" w:eastAsia="ru-RU"/>
        </w:rPr>
        <w:t>.</w:t>
      </w:r>
      <w:r w:rsidRPr="00511005">
        <w:rPr>
          <w:rFonts w:ascii="Arial" w:eastAsia="Arial" w:hAnsi="Arial" w:cs="Arial"/>
          <w:szCs w:val="28"/>
          <w:lang w:val="uk" w:eastAsia="ru-RU"/>
        </w:rPr>
        <w:t xml:space="preserve"> 2005. Vol. 13, No. 77. P. 159–169. URL: https://philotextes.info/spip/IMG/pdf/popper-logic-scientific-discovery.pdf.</w:t>
      </w:r>
    </w:p>
    <w:p w14:paraId="6FCEF079" w14:textId="77777777" w:rsidR="009C67AB" w:rsidRPr="00511005" w:rsidRDefault="009C67AB" w:rsidP="003A292D">
      <w:pPr>
        <w:spacing w:line="264" w:lineRule="auto"/>
        <w:ind w:firstLineChars="250" w:firstLine="700"/>
        <w:rPr>
          <w:rFonts w:ascii="Arial" w:eastAsia="Arial" w:hAnsi="Arial" w:cs="Arial"/>
          <w:szCs w:val="28"/>
          <w:lang w:val="uk" w:eastAsia="ru-RU"/>
        </w:rPr>
      </w:pPr>
      <w:r w:rsidRPr="00511005">
        <w:rPr>
          <w:rFonts w:ascii="Arial" w:eastAsia="Arial" w:hAnsi="Arial" w:cs="Arial"/>
          <w:szCs w:val="28"/>
          <w:lang w:val="uk" w:eastAsia="ru-RU"/>
        </w:rPr>
        <w:t xml:space="preserve">2. Lakatos I. Science and Pseudoscience. Milton Keynes : Open University Press, 1978. URL: </w:t>
      </w:r>
      <w:hyperlink r:id="rId91" w:history="1">
        <w:r w:rsidRPr="00511005">
          <w:rPr>
            <w:rFonts w:ascii="Arial" w:eastAsia="Arial" w:hAnsi="Arial" w:cs="Arial"/>
            <w:szCs w:val="28"/>
            <w:lang w:val="uk" w:eastAsia="ru-RU"/>
          </w:rPr>
          <w:t>https://www.podstawyekonomii.pl/metodologia/files/lakatos1977.pdf.</w:t>
        </w:r>
      </w:hyperlink>
    </w:p>
    <w:p w14:paraId="70EC3383" w14:textId="77777777" w:rsidR="009C67AB" w:rsidRPr="00511005" w:rsidRDefault="009C67AB" w:rsidP="003A292D">
      <w:pPr>
        <w:spacing w:line="264" w:lineRule="auto"/>
        <w:ind w:firstLineChars="250" w:firstLine="700"/>
        <w:rPr>
          <w:rFonts w:ascii="Arial" w:eastAsia="Arial" w:hAnsi="Arial" w:cs="Arial"/>
          <w:szCs w:val="28"/>
          <w:lang w:val="uk" w:eastAsia="ru-RU"/>
        </w:rPr>
      </w:pPr>
      <w:r w:rsidRPr="00511005">
        <w:rPr>
          <w:rFonts w:ascii="Arial" w:eastAsia="Arial" w:hAnsi="Arial" w:cs="Arial"/>
          <w:szCs w:val="28"/>
          <w:lang w:val="uk" w:eastAsia="ru-RU"/>
        </w:rPr>
        <w:t>3. Okasha S. Philosophy of Science: A Very Short Introduction. Oxford : Oxford University Press</w:t>
      </w:r>
      <w:r w:rsidRPr="00511005">
        <w:rPr>
          <w:rFonts w:ascii="Arial" w:eastAsia="Arial" w:hAnsi="Arial" w:cs="Arial"/>
          <w:szCs w:val="28"/>
          <w:lang w:val="en-US" w:eastAsia="ru-RU"/>
        </w:rPr>
        <w:t>.</w:t>
      </w:r>
      <w:r w:rsidRPr="00511005">
        <w:rPr>
          <w:rFonts w:ascii="Arial" w:eastAsia="Arial" w:hAnsi="Arial" w:cs="Arial"/>
          <w:szCs w:val="28"/>
          <w:lang w:val="uk" w:eastAsia="ru-RU"/>
        </w:rPr>
        <w:t xml:space="preserve"> 2002. URL: </w:t>
      </w:r>
      <w:hyperlink r:id="rId92" w:history="1">
        <w:r w:rsidRPr="00511005">
          <w:rPr>
            <w:rFonts w:ascii="Arial" w:eastAsia="Arial" w:hAnsi="Arial" w:cs="Arial"/>
            <w:szCs w:val="28"/>
            <w:lang w:val="uk" w:eastAsia="ru-RU"/>
          </w:rPr>
          <w:t>https://www.academia.edu/20792366/Okasha_Philosophy_of_Science.</w:t>
        </w:r>
      </w:hyperlink>
    </w:p>
    <w:p w14:paraId="3081159D" w14:textId="77777777" w:rsidR="009C67AB" w:rsidRPr="00511005" w:rsidRDefault="009C67AB" w:rsidP="003A292D">
      <w:pPr>
        <w:spacing w:line="264" w:lineRule="auto"/>
        <w:ind w:firstLineChars="250" w:firstLine="700"/>
        <w:rPr>
          <w:rFonts w:ascii="Arial" w:eastAsia="Arial" w:hAnsi="Arial" w:cs="Arial"/>
          <w:szCs w:val="28"/>
          <w:lang w:val="uk" w:eastAsia="ru-RU"/>
        </w:rPr>
      </w:pPr>
      <w:r w:rsidRPr="00511005">
        <w:rPr>
          <w:rFonts w:ascii="Arial" w:eastAsia="Arial" w:hAnsi="Arial" w:cs="Arial"/>
          <w:szCs w:val="28"/>
          <w:lang w:val="uk" w:eastAsia="ru-RU"/>
        </w:rPr>
        <w:t xml:space="preserve">4. Kuhn T. The Structure of Scientific Revolutions. 2nd ed. Chicago : </w:t>
      </w:r>
      <w:r w:rsidRPr="00511005">
        <w:rPr>
          <w:rFonts w:ascii="Arial" w:eastAsia="Arial" w:hAnsi="Arial" w:cs="Arial"/>
          <w:i/>
          <w:iCs/>
          <w:szCs w:val="28"/>
          <w:lang w:val="uk" w:eastAsia="ru-RU"/>
        </w:rPr>
        <w:t>University of Chicago Press</w:t>
      </w:r>
      <w:r w:rsidRPr="00511005">
        <w:rPr>
          <w:rFonts w:ascii="Arial" w:eastAsia="Arial" w:hAnsi="Arial" w:cs="Arial"/>
          <w:i/>
          <w:iCs/>
          <w:szCs w:val="28"/>
          <w:lang w:val="en-US" w:eastAsia="ru-RU"/>
        </w:rPr>
        <w:t>.</w:t>
      </w:r>
      <w:r w:rsidRPr="00511005">
        <w:rPr>
          <w:rFonts w:ascii="Arial" w:eastAsia="Arial" w:hAnsi="Arial" w:cs="Arial"/>
          <w:szCs w:val="28"/>
          <w:lang w:val="uk" w:eastAsia="ru-RU"/>
        </w:rPr>
        <w:t xml:space="preserve"> 2012. Vol. II, </w:t>
      </w:r>
      <w:r w:rsidRPr="00511005">
        <w:rPr>
          <w:rFonts w:ascii="Arial" w:eastAsia="Arial" w:hAnsi="Arial" w:cs="Arial"/>
          <w:szCs w:val="28"/>
          <w:lang w:val="en-US" w:eastAsia="ru-RU"/>
        </w:rPr>
        <w:t>№</w:t>
      </w:r>
      <w:r w:rsidRPr="00511005">
        <w:rPr>
          <w:rFonts w:ascii="Arial" w:eastAsia="Arial" w:hAnsi="Arial" w:cs="Arial"/>
          <w:szCs w:val="28"/>
          <w:lang w:val="uk" w:eastAsia="ru-RU"/>
        </w:rPr>
        <w:t xml:space="preserve"> 2. URL: </w:t>
      </w:r>
      <w:hyperlink r:id="rId93" w:history="1">
        <w:r w:rsidRPr="00511005">
          <w:rPr>
            <w:rFonts w:ascii="Arial" w:eastAsia="Arial" w:hAnsi="Arial" w:cs="Arial"/>
            <w:szCs w:val="28"/>
            <w:lang w:val="uk" w:eastAsia="ru-RU"/>
          </w:rPr>
          <w:t>https://www.lri.fr/~mbl/Stanford/CS477/papers/Kuhn-SSR-2ndEd.pdf.</w:t>
        </w:r>
      </w:hyperlink>
    </w:p>
    <w:p w14:paraId="6326E699" w14:textId="77777777" w:rsidR="009C67AB" w:rsidRPr="00511005" w:rsidRDefault="009C67AB" w:rsidP="003A292D">
      <w:pPr>
        <w:spacing w:line="264" w:lineRule="auto"/>
        <w:ind w:firstLineChars="250" w:firstLine="700"/>
        <w:rPr>
          <w:rFonts w:ascii="Arial" w:eastAsia="Arial" w:hAnsi="Arial" w:cs="Arial"/>
          <w:szCs w:val="28"/>
          <w:lang w:val="uk" w:eastAsia="ru-RU"/>
        </w:rPr>
      </w:pPr>
    </w:p>
    <w:p w14:paraId="66696F1F" w14:textId="74EEEE88" w:rsidR="009C67AB" w:rsidRPr="00511005" w:rsidRDefault="007B2628" w:rsidP="003A292D">
      <w:pPr>
        <w:spacing w:line="264" w:lineRule="auto"/>
        <w:ind w:firstLineChars="250" w:firstLine="703"/>
        <w:rPr>
          <w:rFonts w:ascii="Arial" w:eastAsia="Arial" w:hAnsi="Arial" w:cs="Arial"/>
          <w:szCs w:val="28"/>
          <w:lang w:val="uk" w:eastAsia="ru-RU"/>
        </w:rPr>
      </w:pPr>
      <w:r w:rsidRPr="00511005">
        <w:rPr>
          <w:rFonts w:ascii="Arial" w:eastAsia="Arial" w:hAnsi="Arial" w:cs="Arial"/>
          <w:b/>
          <w:bCs/>
          <w:i/>
          <w:szCs w:val="28"/>
          <w:lang w:val="uk" w:eastAsia="ru-RU"/>
        </w:rPr>
        <w:t xml:space="preserve">Ключові слова: </w:t>
      </w:r>
      <w:r w:rsidR="009C67AB" w:rsidRPr="00511005">
        <w:rPr>
          <w:rFonts w:ascii="Arial" w:eastAsia="Arial" w:hAnsi="Arial" w:cs="Arial"/>
          <w:szCs w:val="28"/>
          <w:lang w:val="uk" w:eastAsia="ru-RU"/>
        </w:rPr>
        <w:t xml:space="preserve">фальсифікованість, наукове знання, демаркація, </w:t>
      </w:r>
      <w:r w:rsidR="009C67AB" w:rsidRPr="00511005">
        <w:rPr>
          <w:rFonts w:ascii="Arial" w:eastAsia="Arial" w:hAnsi="Arial" w:cs="Arial"/>
          <w:szCs w:val="28"/>
          <w:lang w:val="uk-UA" w:eastAsia="ru-RU"/>
        </w:rPr>
        <w:t xml:space="preserve">К. </w:t>
      </w:r>
      <w:r w:rsidR="009C67AB" w:rsidRPr="00511005">
        <w:rPr>
          <w:rFonts w:ascii="Arial" w:eastAsia="Arial" w:hAnsi="Arial" w:cs="Arial"/>
          <w:szCs w:val="28"/>
          <w:lang w:val="uk" w:eastAsia="ru-RU"/>
        </w:rPr>
        <w:t>Поппер, наука, методологія, критика, псевдонаука.</w:t>
      </w:r>
    </w:p>
    <w:p w14:paraId="75D8D58B" w14:textId="396746D9" w:rsidR="009C67AB" w:rsidRPr="00511005" w:rsidRDefault="007B2628" w:rsidP="003A292D">
      <w:pPr>
        <w:spacing w:line="264" w:lineRule="auto"/>
        <w:ind w:firstLineChars="250" w:firstLine="703"/>
        <w:rPr>
          <w:rFonts w:ascii="Arial" w:eastAsia="Arial" w:hAnsi="Arial" w:cs="Arial"/>
          <w:szCs w:val="28"/>
          <w:lang w:val="uk" w:eastAsia="ru-RU"/>
        </w:rPr>
      </w:pPr>
      <w:r w:rsidRPr="00511005">
        <w:rPr>
          <w:rFonts w:ascii="Arial" w:eastAsia="Arial" w:hAnsi="Arial" w:cs="Arial"/>
          <w:b/>
          <w:bCs/>
          <w:i/>
          <w:szCs w:val="28"/>
          <w:lang w:val="uk" w:eastAsia="ru-RU"/>
        </w:rPr>
        <w:t xml:space="preserve">Key words: </w:t>
      </w:r>
      <w:r w:rsidR="009C67AB" w:rsidRPr="00511005">
        <w:rPr>
          <w:rFonts w:ascii="Arial" w:eastAsia="Arial" w:hAnsi="Arial" w:cs="Arial"/>
          <w:szCs w:val="28"/>
          <w:lang w:val="uk" w:eastAsia="ru-RU"/>
        </w:rPr>
        <w:t xml:space="preserve">falsifiability, scientific knowledge, demarcation, </w:t>
      </w:r>
      <w:r w:rsidR="009C67AB" w:rsidRPr="00511005">
        <w:rPr>
          <w:rFonts w:ascii="Arial" w:eastAsia="Arial" w:hAnsi="Arial" w:cs="Arial"/>
          <w:szCs w:val="28"/>
          <w:lang w:val="uk-UA" w:eastAsia="ru-RU"/>
        </w:rPr>
        <w:t xml:space="preserve">К. </w:t>
      </w:r>
      <w:r w:rsidR="009C67AB" w:rsidRPr="00511005">
        <w:rPr>
          <w:rFonts w:ascii="Arial" w:eastAsia="Arial" w:hAnsi="Arial" w:cs="Arial"/>
          <w:szCs w:val="28"/>
          <w:lang w:val="uk" w:eastAsia="ru-RU"/>
        </w:rPr>
        <w:t>Popper, science, methodology, critique, pseudoscience.</w:t>
      </w:r>
    </w:p>
    <w:p w14:paraId="043BBC43" w14:textId="1023AAE8" w:rsidR="009C67AB" w:rsidRPr="00511005" w:rsidRDefault="007B2628" w:rsidP="003A292D">
      <w:pPr>
        <w:spacing w:line="264" w:lineRule="auto"/>
        <w:ind w:firstLineChars="250" w:firstLine="703"/>
        <w:rPr>
          <w:rFonts w:ascii="Arial" w:eastAsia="Arial" w:hAnsi="Arial" w:cs="Arial"/>
          <w:szCs w:val="28"/>
          <w:lang w:val="uk" w:eastAsia="ru-RU"/>
        </w:rPr>
      </w:pPr>
      <w:r w:rsidRPr="00511005">
        <w:rPr>
          <w:rFonts w:ascii="Arial" w:eastAsia="Arial" w:hAnsi="Arial" w:cs="Arial"/>
          <w:b/>
          <w:i/>
          <w:iCs/>
          <w:szCs w:val="28"/>
          <w:lang w:val="uk" w:eastAsia="ru-RU"/>
        </w:rPr>
        <w:lastRenderedPageBreak/>
        <w:t xml:space="preserve">Науковий керівник: </w:t>
      </w:r>
      <w:r w:rsidR="009C67AB" w:rsidRPr="00511005">
        <w:rPr>
          <w:rFonts w:ascii="Arial" w:eastAsia="Arial" w:hAnsi="Arial" w:cs="Arial"/>
          <w:i/>
          <w:iCs/>
          <w:szCs w:val="28"/>
          <w:lang w:val="uk" w:eastAsia="ru-RU"/>
        </w:rPr>
        <w:t>д.ю.н., професор Мельничук О</w:t>
      </w:r>
      <w:r w:rsidR="00536AAB" w:rsidRPr="00511005">
        <w:rPr>
          <w:rFonts w:ascii="Arial" w:eastAsia="Arial" w:hAnsi="Arial" w:cs="Arial"/>
          <w:i/>
          <w:iCs/>
          <w:szCs w:val="28"/>
          <w:lang w:val="uk" w:eastAsia="ru-RU"/>
        </w:rPr>
        <w:t>.</w:t>
      </w:r>
      <w:r w:rsidR="009C67AB" w:rsidRPr="00511005">
        <w:rPr>
          <w:rFonts w:ascii="Arial" w:eastAsia="Arial" w:hAnsi="Arial" w:cs="Arial"/>
          <w:i/>
          <w:iCs/>
          <w:szCs w:val="28"/>
          <w:lang w:val="uk" w:eastAsia="ru-RU"/>
        </w:rPr>
        <w:t xml:space="preserve"> С.</w:t>
      </w:r>
    </w:p>
    <w:p w14:paraId="02B20F70" w14:textId="77777777" w:rsidR="009C67AB" w:rsidRPr="00511005" w:rsidRDefault="009C67AB" w:rsidP="003A292D">
      <w:pPr>
        <w:spacing w:line="264" w:lineRule="auto"/>
        <w:ind w:firstLine="0"/>
        <w:rPr>
          <w:rFonts w:ascii="Arial" w:eastAsia="Calibri" w:hAnsi="Arial" w:cs="Arial"/>
          <w:szCs w:val="28"/>
          <w:lang w:val="uk"/>
        </w:rPr>
      </w:pPr>
    </w:p>
    <w:p w14:paraId="0406FEE7" w14:textId="77777777" w:rsidR="009C67AB" w:rsidRPr="00511005" w:rsidRDefault="009C67AB" w:rsidP="003A292D">
      <w:pPr>
        <w:spacing w:line="264" w:lineRule="auto"/>
        <w:ind w:firstLine="0"/>
        <w:rPr>
          <w:rFonts w:ascii="Arial" w:eastAsia="Calibri" w:hAnsi="Arial" w:cs="Arial"/>
          <w:szCs w:val="28"/>
          <w:lang w:val="uk-UA"/>
        </w:rPr>
      </w:pPr>
    </w:p>
    <w:p w14:paraId="1B6D94C7" w14:textId="77777777" w:rsidR="009C67AB" w:rsidRPr="00511005" w:rsidRDefault="009C67AB" w:rsidP="003A292D">
      <w:pPr>
        <w:keepNext/>
        <w:spacing w:line="264" w:lineRule="auto"/>
        <w:ind w:firstLine="0"/>
        <w:jc w:val="center"/>
        <w:rPr>
          <w:rFonts w:ascii="Arial" w:eastAsia="Times New Roman" w:hAnsi="Arial" w:cs="Arial"/>
          <w:b/>
          <w:i/>
          <w:szCs w:val="28"/>
          <w:lang w:val="uk-UA" w:eastAsia="ru-RU"/>
        </w:rPr>
      </w:pPr>
      <w:bookmarkStart w:id="13" w:name="_Hlk34296481"/>
      <w:r w:rsidRPr="00511005">
        <w:rPr>
          <w:rFonts w:ascii="Arial" w:eastAsia="Times New Roman" w:hAnsi="Arial" w:cs="Arial"/>
          <w:b/>
          <w:i/>
          <w:szCs w:val="28"/>
          <w:lang w:val="uk-UA" w:eastAsia="ru-RU"/>
        </w:rPr>
        <w:t>Курносенко Софія Олександрівна</w:t>
      </w:r>
    </w:p>
    <w:bookmarkEnd w:id="13"/>
    <w:p w14:paraId="55F14AE2" w14:textId="1C2B2D4B" w:rsidR="009C67AB" w:rsidRPr="00511005" w:rsidRDefault="00287A9C" w:rsidP="003A292D">
      <w:pPr>
        <w:spacing w:line="264" w:lineRule="auto"/>
        <w:ind w:firstLine="0"/>
        <w:jc w:val="center"/>
        <w:rPr>
          <w:rFonts w:ascii="Arial" w:eastAsia="Times New Roman" w:hAnsi="Arial" w:cs="Arial"/>
          <w:szCs w:val="28"/>
          <w:lang w:val="uk-UA" w:eastAsia="ru-RU"/>
        </w:rPr>
      </w:pPr>
      <w:r w:rsidRPr="00511005">
        <w:rPr>
          <w:rFonts w:ascii="Arial" w:eastAsia="Arial" w:hAnsi="Arial" w:cs="Arial"/>
          <w:szCs w:val="28"/>
          <w:lang w:val="uk" w:eastAsia="ru-RU"/>
        </w:rPr>
        <w:t>студент</w:t>
      </w:r>
      <w:r w:rsidR="009C67AB" w:rsidRPr="00511005">
        <w:rPr>
          <w:rFonts w:ascii="Arial" w:eastAsia="Times New Roman" w:hAnsi="Arial" w:cs="Arial"/>
          <w:szCs w:val="28"/>
          <w:lang w:val="uk-UA" w:eastAsia="ru-RU"/>
        </w:rPr>
        <w:t xml:space="preserve">ка </w:t>
      </w:r>
      <w:r w:rsidR="007B2628" w:rsidRPr="00511005">
        <w:rPr>
          <w:rFonts w:ascii="Arial" w:eastAsia="Times New Roman" w:hAnsi="Arial" w:cs="Arial"/>
          <w:szCs w:val="28"/>
          <w:lang w:val="uk-UA" w:eastAsia="ru-RU"/>
        </w:rPr>
        <w:t>1-го курсу</w:t>
      </w:r>
      <w:r w:rsidR="009C67AB" w:rsidRPr="00511005">
        <w:rPr>
          <w:rFonts w:ascii="Arial" w:eastAsia="Times New Roman" w:hAnsi="Arial" w:cs="Arial"/>
          <w:szCs w:val="28"/>
          <w:lang w:val="uk-UA" w:eastAsia="ru-RU"/>
        </w:rPr>
        <w:t xml:space="preserve"> </w:t>
      </w:r>
      <w:r w:rsidR="001B7B25" w:rsidRPr="00511005">
        <w:rPr>
          <w:rFonts w:ascii="Arial" w:eastAsia="Times New Roman" w:hAnsi="Arial" w:cs="Arial"/>
          <w:szCs w:val="28"/>
          <w:lang w:val="uk-UA" w:eastAsia="ru-RU"/>
        </w:rPr>
        <w:t>факультету судового та міжнародного права</w:t>
      </w:r>
      <w:r w:rsidR="009C67AB" w:rsidRPr="00511005">
        <w:rPr>
          <w:rFonts w:ascii="Arial" w:eastAsia="Times New Roman" w:hAnsi="Arial" w:cs="Arial"/>
          <w:szCs w:val="28"/>
          <w:lang w:val="uk-UA" w:eastAsia="ru-RU"/>
        </w:rPr>
        <w:t xml:space="preserve"> </w:t>
      </w:r>
    </w:p>
    <w:p w14:paraId="24D29E53" w14:textId="62AEC446" w:rsidR="009C67AB"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3F10AC9F" w14:textId="77777777" w:rsidR="009C67AB" w:rsidRPr="00511005" w:rsidRDefault="009C67AB" w:rsidP="003A292D">
      <w:pPr>
        <w:spacing w:line="264" w:lineRule="auto"/>
        <w:ind w:firstLine="0"/>
        <w:jc w:val="left"/>
        <w:rPr>
          <w:rFonts w:ascii="Arial" w:eastAsia="Times New Roman" w:hAnsi="Arial" w:cs="Arial"/>
          <w:szCs w:val="28"/>
          <w:lang w:val="uk-UA" w:eastAsia="ru-RU"/>
        </w:rPr>
      </w:pPr>
    </w:p>
    <w:p w14:paraId="7DBB1AC3" w14:textId="77777777" w:rsidR="009C67AB" w:rsidRPr="00511005" w:rsidRDefault="009C67AB"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 xml:space="preserve">МОРАЛЬНІ ЗАСАДИ КОНФУЦІАНСТВА ТА ЇХНІЙ ВПЛИВ </w:t>
      </w:r>
    </w:p>
    <w:p w14:paraId="0DFEA43A" w14:textId="77777777" w:rsidR="009C67AB" w:rsidRPr="00511005" w:rsidRDefault="009C67AB"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НА КИТАЙСЬКЕ СУСПІЛЬСТВО</w:t>
      </w:r>
    </w:p>
    <w:p w14:paraId="7CEF026F" w14:textId="77777777" w:rsidR="009C67AB" w:rsidRPr="00511005" w:rsidRDefault="009C67AB"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Конфуціанство є однією з найвпливовіших філософських систем Китаю, яка протягом тисячоліть формувала моральні, соціальні та політичні засади китайського суспільства. Вивчення моральних принципів конфуціанства є актуальним, оскільки його етичні підходи до людських відносин, взаємоповаги та гармонії між державою та особистістю залишаються актуальними в сучасній культурі і навіть глобальних процесах. Проблема полягає в тому, що конфуціанство, хоча й стародавня філософія, має великий вплив на сучасні соціальні й політичні відносини, зокрема в східних країнах.</w:t>
      </w:r>
    </w:p>
    <w:p w14:paraId="783D5375" w14:textId="77777777" w:rsidR="009C67AB" w:rsidRPr="00511005" w:rsidRDefault="009C67AB"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Об’єктом дослідження є моральні засади конфуціанства, а предметом – їхній вплив на китайське суспільство. Метою дослідження є аналіз моральних принципів конфуціанства та їхнього впливу на суспільство Китаю з давнини до сьогодення. Завдання дослідження: – розглянути історію виникнення конфуціанства, погляди Конфуція, зрозуміти що він мав на увазі; - дати визначення основних понять конфуціанства; - вивчити моральні засади конфуціанської етики та їх переосмислення в неоконфуціанстві; - проаналізувати вплив конфуціанства на формування китайського суспільства; - виявити сучасні прояви конфуціанської етики в соціальних і політичних системах Китаю.</w:t>
      </w:r>
    </w:p>
    <w:p w14:paraId="63B7A883" w14:textId="77777777" w:rsidR="009C67AB" w:rsidRPr="00511005" w:rsidRDefault="009C67AB"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Конфуціанство – це етична і філософська система, заснована на вченні Конфуція (551–479 рр. до н. е.). Зародилося це вчення в період династії Чжоу, коли Китай переживав соціально-політичну кризу. Конфуцій прагнув встановити нові моральні засади, які могли б стабілізувати суспільство через систему взаємоповаги та гармонії. Його ідеї про «правильне правління» і необхідність моральних лідерів були відповіддю на політичну нестабільність того часу. Ідеї Конфуція про важливість моральності лідерів та послідовність у поведінці стали фундаментом для розвитку його вчення. В епоху Хань (206 р. до н. е. – 220 р. н. е.) конфуціанство було піднесене до статусу державної ідеології, що зміцнило його вплив на державне управління та соціальну структуру Китаю [3]. В основі конфуціанства лежать погляди щодо гармонії між людиною і суспільством, де кожен має свої обов’язки відповідно до свого соціального статусу. Ці принципи базуються на ідеї, що кожен індивід має свою роль у </w:t>
      </w:r>
      <w:r w:rsidRPr="00511005">
        <w:rPr>
          <w:rFonts w:ascii="Arial" w:eastAsia="Times New Roman" w:hAnsi="Arial" w:cs="Arial"/>
          <w:szCs w:val="28"/>
          <w:lang w:val="uk-UA"/>
        </w:rPr>
        <w:lastRenderedPageBreak/>
        <w:t>суспільстві і повинен виконувати свої обов’язки згідно із соціальним статусом. Для Конфуція важливим було не лише дотримання правил, але й внутрішня моральна сутність людини, що визначає її поведінку.</w:t>
      </w:r>
    </w:p>
    <w:p w14:paraId="17C890EB" w14:textId="77777777" w:rsidR="009C67AB" w:rsidRPr="00511005" w:rsidRDefault="009C67AB"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Твір «Лунь-Юй», тобто бесіди і висловлювання, які записували за Конфуцієм його учні, став каноном обрядовості, етикету та норм поведінки. Конфуціанці обстоювали принцип призначення на державні посади за особистими здібностями та здобутою освітою (а не на основі спадковості); це сприяло формуванню в Китаї системи відбору молодих талантів, їх навчання та складання іспитів [3]. Замітимо, що у конфуціанській системі освіти і виховання вченого чиновника важливе місце займав ритуал.</w:t>
      </w:r>
    </w:p>
    <w:p w14:paraId="046C4D5C" w14:textId="77777777" w:rsidR="009C67AB" w:rsidRPr="00511005" w:rsidRDefault="009C67AB"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Основні поняття, на які спирається система конфуціанства включають «жень», або «рен» (гуманність), «сяо» (синівська шанобливість), «лі» (ритуал, поведінкова пристойність) та «і» (справедливість). Поняття «жень» означає гуманність або милосердя. Ця ідея охоплює поняття любові, доброзичливості, милосердя та відповідальності перед іншими членами суспільства. Інше важливе поняття – «сяо» – визначає синівську шанобливість і відображає важливість відносин між дітьми та батьками, наголошуючи на підкоренні старшим та виявленні поваги. «Лі» (ритуал) є також ключовим елементом, що встановлює соціальні правила поведінки, забезпечуючи стабільність та гармонію в суспільстві.</w:t>
      </w:r>
    </w:p>
    <w:p w14:paraId="49E0688F" w14:textId="77777777" w:rsidR="009C67AB" w:rsidRPr="00511005" w:rsidRDefault="009C67AB"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Але вся моральна система конфуціанства спирається на два з наведених нами понять, які є основними, а саме – «жень» і «лі». «Бідь-яке розуміння конфуціанської філософії спирається на те, як ми розуміємо ці два принципи та взаємодію між ними» [2, с. 19].</w:t>
      </w:r>
    </w:p>
    <w:p w14:paraId="4118213F" w14:textId="77777777" w:rsidR="009C67AB" w:rsidRPr="00511005" w:rsidRDefault="009C67AB"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У конфуціанстві взаємодія між принципами «жень» (гуманність) і «лі» (ритуал) є центральною для формування етичної особистості та соціальної гармонії. «Принципи гуманності й ритуалу пов’язані між собою як внутрішньо, так і зовнішньо. Тому виникає запитання, що є важливішим для конфуціанської практичної філософії: природні (внутрішні) моральні якості або їх зовнішнє культивування. Гуманність як вищий моральний принцип надає сенс ритуалу. Проте гуманність як принцип вищого порядку не зменшує значущість ритуалу в конфуціанській традиції» [2, с. 14]. «Жень» відповідає за внутрішню чесноту співчуття, і доброзичливість, яка, за Конфуцієм, притаманна кожній людині. Це основа моральної поведінки, де людина діє враховуючи потреби та інтереси інших. «Поняття гуманності у конфуціанському трактуванні є більш ніж широким. Воно охоплює такі моральні риси людини, як скромність, справедливість, стриманість, безкорисливість, любов до людей тощо. Широке коло чеснот робили жень практично недосяжним. Про це говорить і сам Конфуцій» [1, с. 582]. Натомість, «лі» регламентує соціальні норми, зовнішню структурованість і стабільність суспільства, забезпечуючи порядок через ритуали, які конкретизують гуманність у соціальній взаємодії. На підставі нього </w:t>
      </w:r>
      <w:r w:rsidRPr="00511005">
        <w:rPr>
          <w:rFonts w:ascii="Arial" w:eastAsia="Times New Roman" w:hAnsi="Arial" w:cs="Arial"/>
          <w:szCs w:val="28"/>
          <w:lang w:val="uk-UA"/>
        </w:rPr>
        <w:lastRenderedPageBreak/>
        <w:t>розроблені чіткі стандарти для певного типу поведінки відповідно до конкретного місця й часу. Ці принципи доповнюють один одного: «лі» формує і впорядковує «жень» у реальних соціальних практиках, створюючи гармонійну етичну систему, де внутрішнє підкріплюється зовнішнім, наближаючи до конфуціанського ідеалу цивілізованої людини.</w:t>
      </w:r>
    </w:p>
    <w:p w14:paraId="55C04BEC" w14:textId="77777777" w:rsidR="009C67AB" w:rsidRPr="00511005" w:rsidRDefault="009C67AB"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Неоконфуціанство, що виникло в епоху династії Сун (960–1279 рр.) як відповідь на критику буддизму та даосизму, стало еволюцією конфуціанської думки, зосереджуючи увагу на моральній гармонії між людиною, суспільством і космосом. Основоположники неоконфуціанства, як-от Чжу Сі, підкреслювали важливість пізнання загальних принципів буття (</w:t>
      </w:r>
      <w:r w:rsidRPr="00511005">
        <w:rPr>
          <w:rFonts w:ascii="Arial" w:eastAsia="Times New Roman" w:hAnsi="Arial" w:cs="Arial"/>
          <w:i/>
          <w:iCs/>
          <w:szCs w:val="28"/>
          <w:lang w:val="uk-UA"/>
        </w:rPr>
        <w:t>лі</w:t>
      </w:r>
      <w:r w:rsidRPr="00511005">
        <w:rPr>
          <w:rFonts w:ascii="Arial" w:eastAsia="Times New Roman" w:hAnsi="Arial" w:cs="Arial"/>
          <w:szCs w:val="28"/>
          <w:lang w:val="uk-UA"/>
        </w:rPr>
        <w:t>), що є основною людською природою, яка є однаковою для всіх, правильного використання та контролю над матеріальною енергією (</w:t>
      </w:r>
      <w:r w:rsidRPr="00511005">
        <w:rPr>
          <w:rFonts w:ascii="Arial" w:eastAsia="Times New Roman" w:hAnsi="Arial" w:cs="Arial"/>
          <w:i/>
          <w:iCs/>
          <w:szCs w:val="28"/>
          <w:lang w:val="uk-UA"/>
        </w:rPr>
        <w:t>ци</w:t>
      </w:r>
      <w:r w:rsidRPr="00511005">
        <w:rPr>
          <w:rFonts w:ascii="Arial" w:eastAsia="Times New Roman" w:hAnsi="Arial" w:cs="Arial"/>
          <w:szCs w:val="28"/>
          <w:lang w:val="uk-UA"/>
        </w:rPr>
        <w:t>), зазначивши, що відмінності між людьми зумовлені її властивостями [6]. Тому, людина з «каламутним» «ци» повинна працювати над своєю природою, щоб повернути їй початкову чистоту, шляхом глибокого пізнання, а «мудрецем» стає та людина, яка пізнала універсальне «лі», що веде до духовного очищення і моральної гармонії [5]. У цьому він бачив шлях до моральної досконалості. Інші мислителі, як Ван Янмін, стверджували, що моральні знання й практика є нерозривними, що моральна істина досягається через внутрішнє самопізнання, медитацію та розвиток «інтуїтивного знання», а не лише через зовнішнє вивчення.</w:t>
      </w:r>
    </w:p>
    <w:p w14:paraId="4D2D7500" w14:textId="77777777" w:rsidR="009C67AB" w:rsidRPr="00511005" w:rsidRDefault="009C67AB"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Від Конфуція неоконфуціанці зберегли ідею самовдосконалення та етичних обов’язків перед суспільством, але додали важливу філософську основу: мораль тепер стала питанням космічної відповідності, а не тільки суспільного обов’язку. Це відкривало нові смисли у розумінні світу, де шлях до морального ідеалу починається з внутрішньої дисципліни і пізнання себе як відображення універсальних принципів. Тому неоконфуціанство стало синтезом соціальної етики Конфуція і більш глибоких онтологічних принципів, завдяки чому стало потужною духовною течією в Східній Азії. Неоконфуціанство додало конфуціанській етиці метафізичну основу, де мораль стала питанням космічного порядку. У династію Цін (1644–1911 рр.) воно зазнало критики за метафізику, однак в кінці XIX століття реформатори адаптували його для нових політичних умов, навіть спробувавши зробити національною релігією.</w:t>
      </w:r>
    </w:p>
    <w:p w14:paraId="63EE59CA" w14:textId="77777777" w:rsidR="009C67AB" w:rsidRPr="00511005" w:rsidRDefault="009C67AB"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Цей рух вплинув на управління державою: ідея «праведного правителя». Правителі та чиновники мали бути моральними взірцями, а система іспитів забезпечувала їхній етичний рівень, що стало основою для сучасної соціальної стабільності в Китаї. Важливим елементом системи державного управління сучасного Китаю є «уявлення про формування «соціальних ліфтів» у партійній чи державній ієрархії на основі їх професійних компетентностей, моральних якостей, незалежно від їхнього походження» [4, с. 83]. Конфуціанський принцип шанобливості (сяо) – поваги </w:t>
      </w:r>
      <w:r w:rsidRPr="00511005">
        <w:rPr>
          <w:rFonts w:ascii="Arial" w:eastAsia="Times New Roman" w:hAnsi="Arial" w:cs="Arial"/>
          <w:szCs w:val="28"/>
          <w:lang w:val="uk-UA"/>
        </w:rPr>
        <w:lastRenderedPageBreak/>
        <w:t>до старших, колективізму та етики управління продовжує зміцнювати китайське суспільство, де шанобливе ставлення до старших, підтримка літніх, що є обов’язком дітей, та висока роль сім’ї в суспільстві підтримують соціальну стабільність. Неоконфуціанське уявлення про самовдосконалення формує концепцію державного управління в Китаї, відображену у політиці «гармонійного суспільства». Отже, конфуціанські ідеали, інтегровані в сучасні інститути, продовжують служити основою моральності та єдності китайського суспільства.</w:t>
      </w:r>
    </w:p>
    <w:p w14:paraId="49F77D96" w14:textId="77777777" w:rsidR="009C67AB" w:rsidRPr="00511005" w:rsidRDefault="009C67AB"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Підсумовуючи, можемо зазначити, що, конфуціанство, засноване на принципах гуманності, справедливості, ритуалу та синовньої шанобливості, глибоко вплинуло на формування етичних та соціальних норм у Китаї, створивши основи для гармонійного суспільства і системи управління. Історично переосмислене у неоконфуціанстві, воно продовжує відігравати важливу роль у сучасному китайському суспільстві, де його цінності відображаються в державній політиці, освіті та соціальних нормах, підтримуючи стабільність і культурну ідентичність нації в умовах глобалізації.</w:t>
      </w:r>
    </w:p>
    <w:p w14:paraId="3699D037" w14:textId="77777777" w:rsidR="009C67AB" w:rsidRPr="00511005" w:rsidRDefault="009C67AB" w:rsidP="003A292D">
      <w:pPr>
        <w:spacing w:line="264" w:lineRule="auto"/>
        <w:ind w:firstLine="708"/>
        <w:rPr>
          <w:rFonts w:ascii="Arial" w:eastAsia="Times New Roman" w:hAnsi="Arial" w:cs="Arial"/>
          <w:szCs w:val="28"/>
          <w:lang w:val="uk-UA"/>
        </w:rPr>
      </w:pPr>
    </w:p>
    <w:p w14:paraId="45D596F6" w14:textId="767AC043" w:rsidR="009C67AB" w:rsidRPr="00511005" w:rsidRDefault="007B2628" w:rsidP="007B2628">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2E0D3210" w14:textId="77777777" w:rsidR="009C67AB" w:rsidRPr="00511005" w:rsidRDefault="009C67AB"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1. Кондратенко Д. Співвідношення особистого та суспільного в конфуціанській етиці. </w:t>
      </w:r>
      <w:r w:rsidRPr="00511005">
        <w:rPr>
          <w:rFonts w:ascii="Arial" w:eastAsia="Times New Roman" w:hAnsi="Arial" w:cs="Arial"/>
          <w:i/>
          <w:iCs/>
          <w:szCs w:val="28"/>
          <w:lang w:val="uk-UA"/>
        </w:rPr>
        <w:t>Наукові записки</w:t>
      </w:r>
      <w:r w:rsidRPr="00511005">
        <w:rPr>
          <w:rFonts w:ascii="Arial" w:eastAsia="Aptos" w:hAnsi="Arial" w:cs="Arial"/>
          <w:i/>
          <w:iCs/>
          <w:szCs w:val="28"/>
          <w:lang w:val="uk-UA"/>
        </w:rPr>
        <w:t xml:space="preserve"> </w:t>
      </w:r>
      <w:r w:rsidRPr="00511005">
        <w:rPr>
          <w:rFonts w:ascii="Arial" w:eastAsia="Times New Roman" w:hAnsi="Arial" w:cs="Arial"/>
          <w:i/>
          <w:iCs/>
          <w:szCs w:val="28"/>
          <w:lang w:val="uk-UA"/>
        </w:rPr>
        <w:t>ІПіЕНД ім. І. Ф. Кураса НАН України.</w:t>
      </w:r>
      <w:r w:rsidRPr="00511005">
        <w:rPr>
          <w:rFonts w:ascii="Arial" w:eastAsia="Times New Roman" w:hAnsi="Arial" w:cs="Arial"/>
          <w:szCs w:val="28"/>
          <w:lang w:val="uk-UA"/>
        </w:rPr>
        <w:t xml:space="preserve"> 2018. Вип. 40. С. 476–587. URL: https://ipiend.gov.ua/wp-content/uploads/2018/07/kondratenko_spivvidnoshennia.pdf</w:t>
      </w:r>
    </w:p>
    <w:p w14:paraId="4B46495B" w14:textId="77777777" w:rsidR="009C67AB" w:rsidRPr="00511005" w:rsidRDefault="009C67AB"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2. Кудря І. Г. Практична філософія конфуціанства. </w:t>
      </w:r>
      <w:r w:rsidRPr="00511005">
        <w:rPr>
          <w:rFonts w:ascii="Arial" w:eastAsia="Times New Roman" w:hAnsi="Arial" w:cs="Arial"/>
          <w:i/>
          <w:iCs/>
          <w:szCs w:val="28"/>
          <w:lang w:val="uk-UA"/>
        </w:rPr>
        <w:t>Актуальні питання гуманітарних наук.</w:t>
      </w:r>
      <w:r w:rsidRPr="00511005">
        <w:rPr>
          <w:rFonts w:ascii="Arial" w:eastAsia="Times New Roman" w:hAnsi="Arial" w:cs="Arial"/>
          <w:szCs w:val="28"/>
          <w:lang w:val="uk-UA"/>
        </w:rPr>
        <w:t xml:space="preserve"> 2018. Вип. 22, т. 1. URL: </w:t>
      </w:r>
      <w:hyperlink r:id="rId94" w:history="1">
        <w:r w:rsidRPr="00511005">
          <w:rPr>
            <w:rFonts w:ascii="Arial" w:eastAsia="Times New Roman" w:hAnsi="Arial" w:cs="Arial"/>
            <w:szCs w:val="28"/>
            <w:lang w:val="uk-UA"/>
          </w:rPr>
          <w:t>http://www.aphn-journal.in.ua/archive/22_2018/part_1/4.pdf</w:t>
        </w:r>
      </w:hyperlink>
    </w:p>
    <w:p w14:paraId="62791514" w14:textId="77777777" w:rsidR="009C67AB" w:rsidRPr="00511005" w:rsidRDefault="009C67AB"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 xml:space="preserve">3. Хавроненко В.Д. Конфуціанство / Енциклопедія Сучасної України [Електронний ресурс] / Редкол. : І. М. Дзюба, А. І. Жуковський, М. Г. Железняк [та ін.] ; НАН України, НТШ. К. : Інститут енциклопедичних досліджень НАН України, 2014. URL : </w:t>
      </w:r>
      <w:hyperlink r:id="rId95" w:history="1">
        <w:r w:rsidRPr="00511005">
          <w:rPr>
            <w:rFonts w:ascii="Arial" w:eastAsia="Times New Roman" w:hAnsi="Arial" w:cs="Arial"/>
            <w:szCs w:val="28"/>
            <w:lang w:val="uk-UA"/>
          </w:rPr>
          <w:t>https://esu.com.ua/article-3241</w:t>
        </w:r>
      </w:hyperlink>
    </w:p>
    <w:p w14:paraId="5A2A851E" w14:textId="77777777" w:rsidR="009C67AB" w:rsidRPr="00511005" w:rsidRDefault="009C67AB"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 xml:space="preserve">4. Шуліка А. А., Тимченко М. М. Роль конфуціанства в політичній сфері сучасного КНР. </w:t>
      </w:r>
      <w:r w:rsidRPr="00511005">
        <w:rPr>
          <w:rFonts w:ascii="Arial" w:eastAsia="Times New Roman" w:hAnsi="Arial" w:cs="Arial"/>
          <w:i/>
          <w:iCs/>
          <w:szCs w:val="28"/>
          <w:lang w:val="uk-UA"/>
        </w:rPr>
        <w:t>Політікус : науковий журнал.</w:t>
      </w:r>
      <w:r w:rsidRPr="00511005">
        <w:rPr>
          <w:rFonts w:ascii="Arial" w:eastAsia="Times New Roman" w:hAnsi="Arial" w:cs="Arial"/>
          <w:szCs w:val="28"/>
          <w:lang w:val="uk-UA"/>
        </w:rPr>
        <w:t xml:space="preserve"> 2022. Вип. 2. С. 80–85. URL: </w:t>
      </w:r>
      <w:hyperlink r:id="rId96" w:history="1">
        <w:r w:rsidRPr="00511005">
          <w:rPr>
            <w:rFonts w:ascii="Arial" w:eastAsia="Times New Roman" w:hAnsi="Arial" w:cs="Arial"/>
            <w:szCs w:val="28"/>
            <w:lang w:val="uk-UA"/>
          </w:rPr>
          <w:t>http://politicus.od.ua/2_2022/14.pdf</w:t>
        </w:r>
      </w:hyperlink>
    </w:p>
    <w:p w14:paraId="2C41BC79" w14:textId="77777777" w:rsidR="009C67AB" w:rsidRPr="00511005" w:rsidRDefault="009C67AB"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5. Philip A. Neo-Confucianism. Pecorino Queensborough Community College. Oct 27, 2022. URL: https://is.gd/kMGFLC</w:t>
      </w:r>
    </w:p>
    <w:p w14:paraId="70E828FF" w14:textId="77777777" w:rsidR="009C67AB" w:rsidRPr="00511005" w:rsidRDefault="009C67AB"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6. Wong, David B. Confucian Ethics / Stanford Encyclopedia of Philosophy. 2013. URL: </w:t>
      </w:r>
      <w:hyperlink r:id="rId97" w:history="1">
        <w:r w:rsidRPr="00511005">
          <w:rPr>
            <w:rFonts w:ascii="Arial" w:eastAsia="Times New Roman" w:hAnsi="Arial" w:cs="Arial"/>
            <w:szCs w:val="28"/>
            <w:lang w:val="uk-UA"/>
          </w:rPr>
          <w:t>https://plato.stanford.edu/entries/ethics-chinese/</w:t>
        </w:r>
      </w:hyperlink>
    </w:p>
    <w:p w14:paraId="1579C3F0" w14:textId="77777777" w:rsidR="009C67AB" w:rsidRPr="00511005" w:rsidRDefault="009C67AB" w:rsidP="003A292D">
      <w:pPr>
        <w:spacing w:line="264" w:lineRule="auto"/>
        <w:ind w:firstLine="0"/>
        <w:rPr>
          <w:rFonts w:ascii="Arial" w:eastAsia="Times New Roman" w:hAnsi="Arial" w:cs="Arial"/>
          <w:szCs w:val="28"/>
          <w:lang w:val="uk-UA"/>
        </w:rPr>
      </w:pPr>
    </w:p>
    <w:p w14:paraId="7B5E870E" w14:textId="32A5C5A9" w:rsidR="009C67AB" w:rsidRPr="00511005" w:rsidRDefault="007B262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
          <w:i/>
          <w:szCs w:val="28"/>
          <w:lang w:val="uk-UA" w:eastAsia="ru-RU"/>
        </w:rPr>
        <w:t xml:space="preserve">Ключові слова: </w:t>
      </w:r>
      <w:r w:rsidR="009C67AB" w:rsidRPr="00511005">
        <w:rPr>
          <w:rFonts w:ascii="Arial" w:eastAsia="Times New Roman" w:hAnsi="Arial" w:cs="Arial"/>
          <w:bCs/>
          <w:szCs w:val="28"/>
          <w:lang w:val="uk-UA" w:eastAsia="ru-RU"/>
        </w:rPr>
        <w:t>конфуціанство, мораль, гармонія, гуманність (жень), ритуал (лі), синовня шанобливість (сяо), самовдосконалення, суспільство.</w:t>
      </w:r>
    </w:p>
    <w:p w14:paraId="74701F1E" w14:textId="42062C66" w:rsidR="009C67AB" w:rsidRPr="00511005" w:rsidRDefault="007B262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
          <w:i/>
          <w:szCs w:val="28"/>
          <w:lang w:val="uk-UA" w:eastAsia="ru-RU"/>
        </w:rPr>
        <w:t xml:space="preserve">Key words: </w:t>
      </w:r>
      <w:r w:rsidR="009C67AB" w:rsidRPr="00511005">
        <w:rPr>
          <w:rFonts w:ascii="Arial" w:eastAsia="Times New Roman" w:hAnsi="Arial" w:cs="Arial"/>
          <w:bCs/>
          <w:szCs w:val="28"/>
          <w:lang w:val="uk-UA" w:eastAsia="ru-RU"/>
        </w:rPr>
        <w:t>confucianism, morality, harmony, humaneness (ren), ritual (li), filial piety (xiao), self-cultivation, society.</w:t>
      </w:r>
    </w:p>
    <w:p w14:paraId="58ECE256" w14:textId="6E9AEED4" w:rsidR="009C67AB" w:rsidRPr="00511005" w:rsidRDefault="007B2628" w:rsidP="003A292D">
      <w:pPr>
        <w:spacing w:line="264" w:lineRule="auto"/>
        <w:ind w:firstLine="0"/>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lastRenderedPageBreak/>
        <w:t xml:space="preserve">Науковий керівник: </w:t>
      </w:r>
      <w:r w:rsidR="009C67AB" w:rsidRPr="00511005">
        <w:rPr>
          <w:rFonts w:ascii="Arial" w:eastAsia="Times New Roman" w:hAnsi="Arial" w:cs="Arial"/>
          <w:bCs/>
          <w:i/>
          <w:iCs/>
          <w:szCs w:val="28"/>
          <w:lang w:val="uk-UA" w:eastAsia="ru-RU"/>
        </w:rPr>
        <w:t>к.філос.н., доцент Крижановська Т</w:t>
      </w:r>
      <w:r w:rsidR="00536AAB" w:rsidRPr="00511005">
        <w:rPr>
          <w:rFonts w:ascii="Arial" w:eastAsia="Times New Roman" w:hAnsi="Arial" w:cs="Arial"/>
          <w:bCs/>
          <w:i/>
          <w:iCs/>
          <w:szCs w:val="28"/>
          <w:lang w:val="uk-UA" w:eastAsia="ru-RU"/>
        </w:rPr>
        <w:t>.</w:t>
      </w:r>
      <w:r w:rsidR="009C67AB" w:rsidRPr="00511005">
        <w:rPr>
          <w:rFonts w:ascii="Arial" w:eastAsia="Times New Roman" w:hAnsi="Arial" w:cs="Arial"/>
          <w:bCs/>
          <w:i/>
          <w:iCs/>
          <w:szCs w:val="28"/>
          <w:lang w:val="uk-UA" w:eastAsia="ru-RU"/>
        </w:rPr>
        <w:t xml:space="preserve"> О.</w:t>
      </w:r>
    </w:p>
    <w:p w14:paraId="12B3D6B6" w14:textId="77777777" w:rsidR="009C67AB" w:rsidRPr="00511005" w:rsidRDefault="009C67AB" w:rsidP="003A292D">
      <w:pPr>
        <w:spacing w:line="264" w:lineRule="auto"/>
        <w:ind w:firstLine="0"/>
        <w:rPr>
          <w:rFonts w:ascii="Arial" w:eastAsia="Times New Roman" w:hAnsi="Arial" w:cs="Arial"/>
          <w:bCs/>
          <w:i/>
          <w:iCs/>
          <w:szCs w:val="28"/>
          <w:lang w:val="uk-UA" w:eastAsia="ru-RU"/>
        </w:rPr>
      </w:pPr>
    </w:p>
    <w:p w14:paraId="1840B2F3" w14:textId="77777777" w:rsidR="009C67AB" w:rsidRPr="00511005" w:rsidRDefault="009C67AB" w:rsidP="003A292D">
      <w:pPr>
        <w:spacing w:line="264" w:lineRule="auto"/>
        <w:ind w:firstLine="0"/>
        <w:rPr>
          <w:rFonts w:ascii="Arial" w:eastAsia="Times New Roman" w:hAnsi="Arial" w:cs="Arial"/>
          <w:bCs/>
          <w:i/>
          <w:iCs/>
          <w:szCs w:val="28"/>
          <w:lang w:val="uk-UA" w:eastAsia="ru-RU"/>
        </w:rPr>
      </w:pPr>
    </w:p>
    <w:p w14:paraId="051DDBEA" w14:textId="77777777" w:rsidR="009C67AB" w:rsidRPr="00511005" w:rsidRDefault="009C67AB"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Мальована Анна Олегівна</w:t>
      </w:r>
    </w:p>
    <w:p w14:paraId="658A45FF" w14:textId="12E4A102" w:rsidR="009C67AB" w:rsidRPr="00511005" w:rsidRDefault="00287A9C" w:rsidP="003A292D">
      <w:pPr>
        <w:keepNext/>
        <w:spacing w:line="264" w:lineRule="auto"/>
        <w:ind w:firstLine="0"/>
        <w:jc w:val="center"/>
        <w:rPr>
          <w:rFonts w:ascii="Arial" w:eastAsia="Times New Roman" w:hAnsi="Arial" w:cs="Arial"/>
          <w:bCs/>
          <w:iCs/>
          <w:szCs w:val="28"/>
          <w:lang w:val="uk-UA" w:eastAsia="ru-RU"/>
        </w:rPr>
      </w:pPr>
      <w:r w:rsidRPr="00511005">
        <w:rPr>
          <w:rFonts w:ascii="Arial" w:eastAsia="Arial" w:hAnsi="Arial" w:cs="Arial"/>
          <w:szCs w:val="28"/>
          <w:lang w:val="uk" w:eastAsia="ru-RU"/>
        </w:rPr>
        <w:t>студент</w:t>
      </w:r>
      <w:r w:rsidR="009C67AB" w:rsidRPr="00511005">
        <w:rPr>
          <w:rFonts w:ascii="Arial" w:eastAsia="Times New Roman" w:hAnsi="Arial" w:cs="Arial"/>
          <w:bCs/>
          <w:iCs/>
          <w:szCs w:val="28"/>
          <w:lang w:val="uk-UA" w:eastAsia="ru-RU"/>
        </w:rPr>
        <w:t xml:space="preserve">ка </w:t>
      </w:r>
      <w:r w:rsidR="007B2628" w:rsidRPr="00511005">
        <w:rPr>
          <w:rFonts w:ascii="Arial" w:eastAsia="Times New Roman" w:hAnsi="Arial" w:cs="Arial"/>
          <w:bCs/>
          <w:iCs/>
          <w:szCs w:val="28"/>
          <w:lang w:val="uk-UA" w:eastAsia="ru-RU"/>
        </w:rPr>
        <w:t>1-го курсу</w:t>
      </w:r>
      <w:r w:rsidR="009C67AB" w:rsidRPr="00511005">
        <w:rPr>
          <w:rFonts w:ascii="Arial" w:eastAsia="Times New Roman" w:hAnsi="Arial" w:cs="Arial"/>
          <w:bCs/>
          <w:iCs/>
          <w:szCs w:val="28"/>
          <w:lang w:val="uk-UA" w:eastAsia="ru-RU"/>
        </w:rPr>
        <w:t xml:space="preserve"> </w:t>
      </w:r>
      <w:r w:rsidR="001B7B25" w:rsidRPr="00511005">
        <w:rPr>
          <w:rFonts w:ascii="Arial" w:eastAsia="Calibri" w:hAnsi="Arial" w:cs="Arial"/>
          <w:szCs w:val="28"/>
          <w:lang w:val="uk-UA"/>
        </w:rPr>
        <w:t>факультету судового та міжнародного права</w:t>
      </w:r>
    </w:p>
    <w:p w14:paraId="04AC2500" w14:textId="2C051296" w:rsidR="009C67AB" w:rsidRPr="00511005" w:rsidRDefault="007B2628" w:rsidP="003A292D">
      <w:pPr>
        <w:keepNext/>
        <w:spacing w:line="264" w:lineRule="auto"/>
        <w:ind w:firstLine="0"/>
        <w:jc w:val="center"/>
        <w:rPr>
          <w:rFonts w:ascii="Arial" w:eastAsia="Times New Roman" w:hAnsi="Arial" w:cs="Arial"/>
          <w:b/>
          <w:szCs w:val="28"/>
          <w:lang w:val="uk-UA"/>
        </w:rPr>
      </w:pPr>
      <w:r w:rsidRPr="00511005">
        <w:rPr>
          <w:rFonts w:ascii="Arial" w:eastAsia="Times New Roman" w:hAnsi="Arial" w:cs="Arial"/>
          <w:szCs w:val="28"/>
          <w:lang w:val="uk-UA" w:eastAsia="ru-RU"/>
        </w:rPr>
        <w:t>Національного університету «Одеська юридична академія»</w:t>
      </w:r>
    </w:p>
    <w:p w14:paraId="5B1430EA" w14:textId="77777777" w:rsidR="009C67AB" w:rsidRPr="00511005" w:rsidRDefault="009C67AB" w:rsidP="003A292D">
      <w:pPr>
        <w:spacing w:line="264" w:lineRule="auto"/>
        <w:ind w:firstLine="567"/>
        <w:jc w:val="center"/>
        <w:rPr>
          <w:rFonts w:ascii="Arial" w:eastAsia="Times New Roman" w:hAnsi="Arial" w:cs="Arial"/>
          <w:b/>
          <w:szCs w:val="28"/>
          <w:lang w:val="uk-UA"/>
        </w:rPr>
      </w:pPr>
    </w:p>
    <w:p w14:paraId="30A55886" w14:textId="77777777" w:rsidR="009C67AB" w:rsidRPr="00511005" w:rsidRDefault="009C67AB"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ГЕНДЕР І ВЛАДА: КРИТИЧНИЙ АНАЛІЗ ФЕМІНІСТСЬКОЇ ФІЛОСОФІЇ У КОНТЕКСТІ ПОЛІТИЧНИХ І СОЦІАЛЬНИХ ВІДНОСИН</w:t>
      </w:r>
    </w:p>
    <w:p w14:paraId="547F2227" w14:textId="77777777" w:rsidR="007B2628" w:rsidRPr="00511005" w:rsidRDefault="007B2628" w:rsidP="003A292D">
      <w:pPr>
        <w:spacing w:line="264" w:lineRule="auto"/>
        <w:ind w:firstLine="0"/>
        <w:jc w:val="center"/>
        <w:rPr>
          <w:rFonts w:ascii="Arial" w:eastAsia="Calibri" w:hAnsi="Arial" w:cs="Arial"/>
          <w:b/>
          <w:bCs/>
          <w:szCs w:val="28"/>
          <w:lang w:val="uk-UA"/>
        </w:rPr>
      </w:pPr>
    </w:p>
    <w:p w14:paraId="461B43A4" w14:textId="376FBBA9" w:rsidR="009C67AB" w:rsidRPr="00511005" w:rsidRDefault="009C67AB"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У сучасному суспільстві питання гендера та влади набувають особливої актуальності, оскільки політичні й соціальні структури продовжують демонструвати вплив нерівності, заснованої на гендерних відмінностях. Відсутність рівного доступу до ресурсів, влади та можливостей для жінок і маргіналізованих груп залишається проблемою як у розвинених, так і в країнах, що розвиваються. Це спричиняє необхідність переосмислення гендерних відносин і їхнього впливу на соціальні та політичні інститути. У цьому контексті феміністська філософія пропонує нові підходи до розуміння влади, справедливості та свободи, ставлячи під сумнів традиційні ієрархії та механізми підпорядкування. Традиційні політичні та соціальні структури історично базувалися на асиметричних відносинах влади, де домінували патріархальні цінності. Феміністські дослідження підкреслюють, що влада не лише концентрується у політичних інституціях, а й пронизує всі рівні повсякденного життя – від родинних взаємин до культурних та економічних сфер.</w:t>
      </w:r>
    </w:p>
    <w:p w14:paraId="1EFED38E" w14:textId="77777777" w:rsidR="009C67AB" w:rsidRPr="00511005" w:rsidRDefault="009C67AB"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Об’єктом цього дослідження є політичні та соціальні відносини в суспільстві, в яких відбувається розподіл влади та формування гендерних ролей.</w:t>
      </w:r>
    </w:p>
    <w:p w14:paraId="3106B46C" w14:textId="77777777" w:rsidR="009C67AB" w:rsidRPr="00511005" w:rsidRDefault="009C67AB"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Предметом дослідження виступає концептуалізація влади та гендера у феміністській філософії та її критичні підходи до традиційних моделей влади, ієрархій та суспільних інститутів.</w:t>
      </w:r>
    </w:p>
    <w:p w14:paraId="694451CC" w14:textId="77777777" w:rsidR="009C67AB" w:rsidRPr="00511005" w:rsidRDefault="009C67AB"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Метою дослідження є аналіз та критична оцінка того, як феміністська філософія осмислює взаємозв’язок гендера і влади, та визначення, яким чином ці підходи сприяють трансформації соціальних і політичних відносин для досягнення більшої справедливості й рівності в сучасному суспільстві.</w:t>
      </w:r>
    </w:p>
    <w:p w14:paraId="7D02F2A5" w14:textId="77777777" w:rsidR="009C67AB" w:rsidRPr="00511005" w:rsidRDefault="009C67AB"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Завданнями роботи є: - прослідкувати розвиток фемфілософії у Європі та США (XX–XXIст.); - проаналізувати ключові концепції гендера та влади у феміністській філософії; - визначити значення критичного аналізу гендера і влади для сучасних соціально-політичних відносин.</w:t>
      </w:r>
    </w:p>
    <w:p w14:paraId="49F8B158" w14:textId="77777777" w:rsidR="007B2628" w:rsidRPr="00511005" w:rsidRDefault="009C67AB" w:rsidP="003A292D">
      <w:pPr>
        <w:spacing w:line="264" w:lineRule="auto"/>
        <w:ind w:firstLine="567"/>
        <w:rPr>
          <w:rFonts w:ascii="Arial" w:eastAsia="Times New Roman" w:hAnsi="Arial" w:cs="Arial"/>
          <w:szCs w:val="28"/>
          <w:lang w:val="uk-UA" w:eastAsia="uk-UA"/>
        </w:rPr>
      </w:pPr>
      <w:r w:rsidRPr="00511005">
        <w:rPr>
          <w:rFonts w:ascii="Arial" w:eastAsia="Calibri" w:hAnsi="Arial" w:cs="Arial"/>
          <w:szCs w:val="28"/>
          <w:lang w:val="uk-UA"/>
        </w:rPr>
        <w:t xml:space="preserve">«Гендер» – поняття не біологічне, а культурне і соціальне, тобто воно визначає риси характеру та особливості поведінки, які певне суспільство вважає належними для чоловіків і жінок. Риси можуть з часом змінюватися, </w:t>
      </w:r>
      <w:r w:rsidRPr="00511005">
        <w:rPr>
          <w:rFonts w:ascii="Arial" w:eastAsia="Calibri" w:hAnsi="Arial" w:cs="Arial"/>
          <w:szCs w:val="28"/>
          <w:lang w:val="uk-UA"/>
        </w:rPr>
        <w:lastRenderedPageBreak/>
        <w:t>вони істотно різняться навіть в одній і тій самій країні. Наприклад, бути жінкою зараз та сто років тому – абсолютно різні речі.</w:t>
      </w:r>
    </w:p>
    <w:p w14:paraId="73E12B3D" w14:textId="2C4E1141" w:rsidR="009C67AB" w:rsidRPr="00511005" w:rsidRDefault="009C67AB"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Серед багатьох напрямків феміністських думок можна виділити декілька основних: ліберальний, радикальний, постструктуралістський, інтерсекційний.</w:t>
      </w:r>
    </w:p>
    <w:p w14:paraId="2044A5D8" w14:textId="77777777" w:rsidR="009C67AB" w:rsidRPr="00511005" w:rsidRDefault="009C67AB"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Головною метою ліберального фемінізму є прагнення жінок отримати рівні права з чоловіками в різних сферах життєдіяльності, доступ до державного апарату. Ці ідеї виражені в працях Симони де Бовуар, французької письменниці, екзистенціалістської філософині, теоретика фемінізму.</w:t>
      </w:r>
      <w:r w:rsidRPr="00511005">
        <w:rPr>
          <w:rFonts w:ascii="Arial" w:eastAsia="Calibri" w:hAnsi="Arial" w:cs="Arial"/>
          <w:szCs w:val="28"/>
          <w:shd w:val="clear" w:color="auto" w:fill="FFFFFF"/>
          <w:lang w:val="uk-UA"/>
        </w:rPr>
        <w:t xml:space="preserve"> </w:t>
      </w:r>
      <w:r w:rsidRPr="00511005">
        <w:rPr>
          <w:rFonts w:ascii="Arial" w:eastAsia="Calibri" w:hAnsi="Arial" w:cs="Arial"/>
          <w:szCs w:val="28"/>
          <w:lang w:val="uk-UA"/>
        </w:rPr>
        <w:t>У книзі «Друга стать» (фр. Le deuxième sexe) Де Бовуар стверджує, що «</w:t>
      </w:r>
      <w:r w:rsidRPr="00511005">
        <w:rPr>
          <w:rFonts w:ascii="Arial" w:eastAsia="Calibri" w:hAnsi="Arial" w:cs="Arial"/>
          <w:szCs w:val="28"/>
          <w:shd w:val="clear" w:color="auto" w:fill="FFFFFF"/>
          <w:lang w:val="uk-UA"/>
        </w:rPr>
        <w:t>жінкою не народжуються: нею стають. Її становлення в суспільстві як людської особини жіночої статі не визначають ні біологічні, ні психічні, ні економічні чинники зокрема» [1, с. 260].</w:t>
      </w:r>
      <w:r w:rsidRPr="00511005">
        <w:rPr>
          <w:rFonts w:ascii="Arial" w:eastAsia="Calibri" w:hAnsi="Arial" w:cs="Arial"/>
          <w:szCs w:val="28"/>
          <w:lang w:val="uk-UA"/>
        </w:rPr>
        <w:t xml:space="preserve"> Філософиня впевнена: якщо жінки будуть повторювати за чоловіками «</w:t>
      </w:r>
      <w:r w:rsidRPr="00511005">
        <w:rPr>
          <w:rFonts w:ascii="Arial" w:eastAsia="Times New Roman" w:hAnsi="Arial" w:cs="Arial"/>
          <w:szCs w:val="28"/>
          <w:lang w:val="uk-UA" w:eastAsia="uk-UA"/>
        </w:rPr>
        <w:t xml:space="preserve">загально вживане слово «жінки», вони аж ніяк не претендують на роль повноправного Суб'єкта» [1, с. 36]. Жінка повинна </w:t>
      </w:r>
      <w:r w:rsidRPr="00511005">
        <w:rPr>
          <w:rFonts w:ascii="Arial" w:eastAsia="Calibri" w:hAnsi="Arial" w:cs="Arial"/>
          <w:szCs w:val="28"/>
          <w:lang w:val="uk-UA"/>
        </w:rPr>
        <w:t>усвідоміти своє існування через трансценденцію. Філософія Симони де Бовуар ґрунтується на екзистенціалістському принципі, що людина має свободу вибору і здатна визначати себе через свої дії та рішення. У контексті гендеру це означає, що жінка повинна відмовитися від ролі «Іншого», нав’язаної патріархальним суспільством, і стати самостійним суб’єктом, який діє в світі на власних умовах. Трансценденція, за Де Бовуар, означає вихід за межі соціальних обмежень і стереотипів, які зводять жінку до об’єкта, обмеженого біологічними та соціальними ролями. Її метою є розширення простору жіночої свободи та участі в суспільному житті нарівні з чоловіками, що є суттю ліберального фемінізму.</w:t>
      </w:r>
    </w:p>
    <w:p w14:paraId="049B0B7E" w14:textId="77777777" w:rsidR="009C67AB" w:rsidRPr="00511005" w:rsidRDefault="009C67AB"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Особливо інтенсивно виникали феміністські ідеї у США, наприклад, радикальний фемінізм, представники якого закликають до глобальних реформ у суспільстві з метою усунення чоловічого панування та мізогінії у всіх соціальних та економічних аспектах.</w:t>
      </w:r>
    </w:p>
    <w:p w14:paraId="4B1480D8" w14:textId="77777777" w:rsidR="009C67AB" w:rsidRPr="00511005" w:rsidRDefault="009C67AB" w:rsidP="003A292D">
      <w:pPr>
        <w:spacing w:line="264" w:lineRule="auto"/>
        <w:ind w:firstLine="567"/>
        <w:contextualSpacing/>
        <w:rPr>
          <w:rFonts w:ascii="Arial" w:eastAsia="Times New Roman" w:hAnsi="Arial" w:cs="Arial"/>
          <w:szCs w:val="28"/>
          <w:lang w:val="uk-UA" w:eastAsia="uk-UA"/>
        </w:rPr>
      </w:pPr>
      <w:r w:rsidRPr="00511005">
        <w:rPr>
          <w:rFonts w:ascii="Arial" w:eastAsia="Calibri" w:hAnsi="Arial" w:cs="Arial"/>
          <w:szCs w:val="28"/>
          <w:lang w:val="uk-UA"/>
        </w:rPr>
        <w:t xml:space="preserve">Американка Джин Бетке Елінштайн, представниця радикального фемінізму, є теоретиком послаблення «залізного контуру суверенітету», тому що він «служить побудові ідентичності чоловіків» [5, с. 262]. Її послідовники наголошують на тому, що природа держави – патріархальна, а оскільки державу змінити неможливо, треба знищити структуру, що підтримує «чоловічу домінацію» [5, с. 261]. Дж. Елінштайн підкреслює, що патріархальні структури вкорінені в самій основі державної влади, і вони спрямовані на підтримку і збереження чоловічого домінування. З її точки зору, політична система, яка існує сьогодні, є інструментом контролю, що не лише обмежує жінок, але й конструює чоловічу ідентичність як домінуючу. Її критика спрямована на викриття тих механізмів, через які державні інститути закріплюють владу чоловіків та маргіналізують жінок. Радикальні </w:t>
      </w:r>
      <w:r w:rsidRPr="00511005">
        <w:rPr>
          <w:rFonts w:ascii="Arial" w:eastAsia="Calibri" w:hAnsi="Arial" w:cs="Arial"/>
          <w:szCs w:val="28"/>
          <w:lang w:val="uk-UA"/>
        </w:rPr>
        <w:lastRenderedPageBreak/>
        <w:t>феміністки, слідуючи за її ідеями, вважають, що справжнє звільнення можливе лише через радикальну трансформацію соціальних і політичних структур, які закріплюють патріархат. Вони виступають за побудову альтернативних форм соціальної організації, що не підкоряються традиційним державним ієрархіям і гарантують рівність жінок.</w:t>
      </w:r>
    </w:p>
    <w:p w14:paraId="6C9FAE6A" w14:textId="77777777" w:rsidR="009C67AB" w:rsidRPr="00511005" w:rsidRDefault="009C67AB" w:rsidP="003A292D">
      <w:pPr>
        <w:spacing w:line="264" w:lineRule="auto"/>
        <w:ind w:firstLine="567"/>
        <w:contextualSpacing/>
        <w:rPr>
          <w:rFonts w:ascii="Arial" w:eastAsia="Calibri" w:hAnsi="Arial" w:cs="Arial"/>
          <w:szCs w:val="28"/>
          <w:lang w:val="uk-UA"/>
        </w:rPr>
      </w:pPr>
      <w:r w:rsidRPr="00511005">
        <w:rPr>
          <w:rFonts w:ascii="Arial" w:eastAsia="Calibri" w:hAnsi="Arial" w:cs="Arial"/>
          <w:szCs w:val="28"/>
          <w:lang w:val="uk-UA"/>
        </w:rPr>
        <w:t>Суламіф Файєрстоун у своїй книзі «Діалектика статі: доводи феміністської революції» дала теоретичне обґрунтування радикальної позиції з питань сім’ї. Вона стверджувала, що причиною тотального гноблення жінок є патріархат через контроль над репродуктивними функціями жінок, а тому «забезпечення усунення полових класів потребує повстання пригніченого класу (жінок) і захоплення контролю над відтворенням…» [2, с. 10]. С. Файєрстоун пропонувала виключити інститут сім’ї як порочний, а репродуктивну функцію віддати біотехнологіям, тобто з коренем вирвати «біологічну сім’ю – вуздечку, через яку психологія влади завжди може бути таємно пронесена…» [4, с. 12]. Ці погляди розділяє й американська квір-феміністка Джудіт Батлер, яка є представницею постструктуралізму, – течії, що руйнує загальноприйняте бінарне мислення. Дж. Батлер виступає за перформативність гендера, тобто право виражати свою ідентичність «у відмінний від соціально сконструйований спосіб» [6, с. 1], тому «відтворення гендера завжди є результатом узгодження з владою» [5, с. 92]. Філософиня поєднує з терміном «перформативність» термін «прекарність», пояснює тим, що завжди людям даної категорії загрожує небезпека у суспільстві. Вона стурбована тим, що зростають антигендерні настрої, а «гендер, який тепер міцно утвердився як екзистенційна загроза, стає об’єктом знищення» [3, с. 117].</w:t>
      </w:r>
    </w:p>
    <w:p w14:paraId="44F31171" w14:textId="77777777" w:rsidR="009C67AB" w:rsidRPr="00511005" w:rsidRDefault="009C67AB"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Інтерсекційний фемінізм грунтується на тому, що «різні форми дискримінації перетинаються з дискримінацією за ознаками статі та підсилюють її» [7]. Цей термін ввела Кімберлі Вільямс Креншоу, американська вчена, коли досліджувала соціальний стан кольорових жінок. Вона в першу чергу розглядала нагальне питання: як закон реагує на гендерну та расову дискримінацію. К. В. Креншоу зробила вагомий внесок в розвиток інтерсекційного фемінізму. Сьогодні він не обмежується перетином дискримінації за ознаками раси і статі. Це можуть бути взаємодії між будь-якими видами дискримінації: гендеру і сексуальної ідентичності, віку і класу, етнічної приналежності і релігії та інших відносин.</w:t>
      </w:r>
    </w:p>
    <w:p w14:paraId="3BF0FC7C" w14:textId="77777777" w:rsidR="009C67AB" w:rsidRPr="00511005" w:rsidRDefault="009C67AB"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Можемо зробити висновок, що філософське осмислення гендеру і влади, яке пропонує феміністська філософія, розкриває глибинні механізми соціальної і політичної нерівності, що виходять за межі біологічних характеристик і охоплюють культурні, соціальні й економічні чинники. Гендер, як концепт, виявляється не лише інструментом організації соціальних ролей, але й механізмом закріплення влади, через який патріархальні структури відтворюють свою домінуючу позицію. Феміністська </w:t>
      </w:r>
      <w:r w:rsidRPr="00511005">
        <w:rPr>
          <w:rFonts w:ascii="Arial" w:eastAsia="Calibri" w:hAnsi="Arial" w:cs="Arial"/>
          <w:szCs w:val="28"/>
          <w:lang w:val="uk-UA"/>
        </w:rPr>
        <w:lastRenderedPageBreak/>
        <w:t>критика цих структур пропонує альтернативні моделі суспільного розвитку, засновані на принципах рівності й справедливості, де влада не зводиться до контролю і підкорення, а стає інструментом емансипації та самореалізації.</w:t>
      </w:r>
    </w:p>
    <w:p w14:paraId="2712F21F" w14:textId="77777777" w:rsidR="009C67AB" w:rsidRPr="00511005" w:rsidRDefault="009C67AB"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Основна ідея полягає в тому, що влада, як фундаментальна категорія суспільних відносин, повинна бути переосмислена в напрямі усунення асиметрії, що виникає внаслідок гендерних ієрархій. Філософські пошуки альтернативних форм взаємодії, спрямовані на трансформацію соціальних структур, ставлять під питання глибинні уявлення про те, що означає бути чоловіком чи жінкою в суспільстві, створюючи підґрунтя для нової, більш інклюзивної соціальної реальності.</w:t>
      </w:r>
    </w:p>
    <w:p w14:paraId="1CDF5745" w14:textId="77777777" w:rsidR="009C67AB" w:rsidRPr="00511005" w:rsidRDefault="009C67AB" w:rsidP="003A292D">
      <w:pPr>
        <w:spacing w:line="264" w:lineRule="auto"/>
        <w:ind w:firstLine="567"/>
        <w:jc w:val="center"/>
        <w:rPr>
          <w:rFonts w:ascii="Arial" w:eastAsia="Calibri" w:hAnsi="Arial" w:cs="Arial"/>
          <w:b/>
          <w:bCs/>
          <w:szCs w:val="28"/>
          <w:lang w:val="uk-UA"/>
        </w:rPr>
      </w:pPr>
    </w:p>
    <w:p w14:paraId="3F23BAE6" w14:textId="417F4673" w:rsidR="009C67AB" w:rsidRPr="00511005" w:rsidRDefault="007B2628" w:rsidP="007B2628">
      <w:pPr>
        <w:spacing w:line="264" w:lineRule="auto"/>
        <w:ind w:firstLine="567"/>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8C5D24F" w14:textId="77777777" w:rsidR="009C67AB" w:rsidRPr="00511005" w:rsidRDefault="009C67AB"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1. Бовуар, Симона де. Друга стать. Том 1 / пер з фр. Н. Воробйова, П. Воробйов, Я. Собко. 1949. 511 с. URL: </w:t>
      </w:r>
      <w:hyperlink r:id="rId98" w:history="1">
        <w:r w:rsidRPr="00511005">
          <w:rPr>
            <w:rFonts w:ascii="Arial" w:eastAsia="Calibri" w:hAnsi="Arial" w:cs="Arial"/>
            <w:szCs w:val="28"/>
            <w:lang w:val="uk-UA"/>
          </w:rPr>
          <w:t>https://javalibre.com.ua/java-book/book/2917396</w:t>
        </w:r>
      </w:hyperlink>
    </w:p>
    <w:p w14:paraId="382208DA" w14:textId="77777777" w:rsidR="009C67AB" w:rsidRPr="00511005" w:rsidRDefault="009C67AB"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2.S hulamith Firestone. The dialectic of sex: The case for feminist revolution. 1970. 246 p. URL: </w:t>
      </w:r>
      <w:hyperlink r:id="rId99" w:history="1">
        <w:r w:rsidRPr="00511005">
          <w:rPr>
            <w:rFonts w:ascii="Arial" w:eastAsia="Calibri" w:hAnsi="Arial" w:cs="Arial"/>
            <w:szCs w:val="28"/>
            <w:lang w:val="uk-UA"/>
          </w:rPr>
          <w:t>https://teoriaevolutiva.wordpress.com/wp-content/uploads/2013/10/firestone-shulamith-dialectic-sex-case-feminist-revolution.pdf</w:t>
        </w:r>
      </w:hyperlink>
    </w:p>
    <w:p w14:paraId="0CBA591B" w14:textId="77777777" w:rsidR="009C67AB" w:rsidRPr="00511005" w:rsidRDefault="009C67AB"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3. Judith Butler. Who’s afraid of gender? 2024. URL: https://cdn.penguin.co.uk/dam-assets/books/9780241595824/9780241595824-sample.pdf</w:t>
      </w:r>
    </w:p>
    <w:p w14:paraId="63F92657" w14:textId="77777777" w:rsidR="009C67AB" w:rsidRPr="00511005" w:rsidRDefault="009C67AB"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4. Семчишин С. І. Феміністський аналіз ролі держави та суверенітету в міжнародних відносинах. </w:t>
      </w:r>
      <w:r w:rsidRPr="00511005">
        <w:rPr>
          <w:rFonts w:ascii="Arial" w:eastAsia="Calibri" w:hAnsi="Arial" w:cs="Arial"/>
          <w:i/>
          <w:iCs/>
          <w:szCs w:val="28"/>
          <w:lang w:val="uk-UA"/>
        </w:rPr>
        <w:t>Філософія і політологія в контексті сучасної культури.</w:t>
      </w:r>
      <w:r w:rsidRPr="00511005">
        <w:rPr>
          <w:rFonts w:ascii="Arial" w:eastAsia="Calibri" w:hAnsi="Arial" w:cs="Arial"/>
          <w:szCs w:val="28"/>
          <w:lang w:val="uk-UA"/>
        </w:rPr>
        <w:t xml:space="preserve"> 2014. Вип. 8. С. 260–263. URL: </w:t>
      </w:r>
      <w:hyperlink r:id="rId100" w:history="1">
        <w:r w:rsidRPr="00511005">
          <w:rPr>
            <w:rFonts w:ascii="Arial" w:eastAsia="Calibri" w:hAnsi="Arial" w:cs="Arial"/>
            <w:szCs w:val="28"/>
            <w:lang w:val="uk-UA"/>
          </w:rPr>
          <w:t>http://nbuv.gov.ua/UJRN/filipol_2014_8_66</w:t>
        </w:r>
      </w:hyperlink>
    </w:p>
    <w:p w14:paraId="6840C706" w14:textId="77777777" w:rsidR="009C67AB" w:rsidRPr="00511005" w:rsidRDefault="009C67AB"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5. Образ, тіло, порядок. Гендерні дослідження в міждисциплінарному спектрі / За редакцією Катерини Міщенко та Сюзанне Штретлінг. К.: Медуза, 2014. 220 с. URL: </w:t>
      </w:r>
      <w:hyperlink r:id="rId101" w:history="1">
        <w:r w:rsidRPr="00511005">
          <w:rPr>
            <w:rFonts w:ascii="Arial" w:eastAsia="Calibri" w:hAnsi="Arial" w:cs="Arial"/>
            <w:szCs w:val="28"/>
            <w:lang w:val="uk-UA"/>
          </w:rPr>
          <w:t>https://ua.boell.org/sites/default/files/antologiya-dlya-bollya.pdf</w:t>
        </w:r>
      </w:hyperlink>
    </w:p>
    <w:p w14:paraId="18200ED8" w14:textId="77777777" w:rsidR="009C67AB" w:rsidRPr="00511005" w:rsidRDefault="009C67AB" w:rsidP="003A292D">
      <w:pPr>
        <w:shd w:val="clear" w:color="auto" w:fill="FFFFFF"/>
        <w:spacing w:line="264" w:lineRule="auto"/>
        <w:ind w:firstLine="0"/>
        <w:contextualSpacing/>
        <w:rPr>
          <w:rFonts w:ascii="Arial" w:eastAsia="Times New Roman" w:hAnsi="Arial" w:cs="Arial"/>
          <w:szCs w:val="28"/>
          <w:lang w:val="uk-UA" w:eastAsia="uk-UA"/>
        </w:rPr>
      </w:pPr>
      <w:r w:rsidRPr="00511005">
        <w:rPr>
          <w:rFonts w:ascii="Arial" w:eastAsia="Calibri" w:hAnsi="Arial" w:cs="Arial"/>
          <w:szCs w:val="28"/>
          <w:lang w:val="uk-UA"/>
        </w:rPr>
        <w:t xml:space="preserve">6. Селезньова Є. Знати: Джудіт Батлер / </w:t>
      </w:r>
      <w:r w:rsidRPr="00511005">
        <w:rPr>
          <w:rFonts w:ascii="Arial" w:eastAsia="Calibri" w:hAnsi="Arial" w:cs="Arial"/>
          <w:iCs/>
          <w:szCs w:val="28"/>
          <w:lang w:val="uk-UA"/>
        </w:rPr>
        <w:t>Your art.</w:t>
      </w:r>
      <w:r w:rsidRPr="00511005">
        <w:rPr>
          <w:rFonts w:ascii="Arial" w:eastAsia="Calibri" w:hAnsi="Arial" w:cs="Arial"/>
          <w:szCs w:val="28"/>
          <w:lang w:val="uk-UA"/>
        </w:rPr>
        <w:t xml:space="preserve"> 07.08.2020. URL: </w:t>
      </w:r>
      <w:hyperlink r:id="rId102" w:history="1">
        <w:r w:rsidRPr="00511005">
          <w:rPr>
            <w:rFonts w:ascii="Arial" w:eastAsia="Times New Roman" w:hAnsi="Arial" w:cs="Arial"/>
            <w:szCs w:val="28"/>
            <w:lang w:val="uk-UA" w:eastAsia="uk-UA"/>
          </w:rPr>
          <w:t>https://supportyourart.com/stories/judith-butler/</w:t>
        </w:r>
      </w:hyperlink>
    </w:p>
    <w:p w14:paraId="20E629E5" w14:textId="77777777" w:rsidR="009C67AB" w:rsidRPr="00511005" w:rsidRDefault="009C67AB" w:rsidP="003A292D">
      <w:pPr>
        <w:shd w:val="clear" w:color="auto" w:fill="FFFFFF"/>
        <w:spacing w:line="264" w:lineRule="auto"/>
        <w:ind w:firstLine="0"/>
        <w:contextualSpacing/>
        <w:rPr>
          <w:rFonts w:ascii="Arial" w:eastAsia="Times New Roman" w:hAnsi="Arial" w:cs="Arial"/>
          <w:szCs w:val="28"/>
          <w:lang w:val="uk-UA" w:eastAsia="uk-UA"/>
        </w:rPr>
      </w:pPr>
      <w:r w:rsidRPr="00511005">
        <w:rPr>
          <w:rFonts w:ascii="Arial" w:eastAsia="Calibri" w:hAnsi="Arial" w:cs="Arial"/>
          <w:szCs w:val="28"/>
          <w:lang w:val="uk-UA"/>
        </w:rPr>
        <w:t xml:space="preserve">7. Словник гендерних термінів : електронний ресурс. URL: </w:t>
      </w:r>
      <w:hyperlink r:id="rId103" w:history="1">
        <w:r w:rsidRPr="00511005">
          <w:rPr>
            <w:rFonts w:ascii="Arial" w:eastAsia="Calibri" w:hAnsi="Arial" w:cs="Arial"/>
            <w:szCs w:val="28"/>
            <w:lang w:val="uk-UA"/>
          </w:rPr>
          <w:t>https://a-z-gender.net/ua/intersekcijnij-feminizm.html</w:t>
        </w:r>
      </w:hyperlink>
    </w:p>
    <w:p w14:paraId="38E1FD39" w14:textId="77777777" w:rsidR="009C67AB" w:rsidRPr="00511005" w:rsidRDefault="009C67AB" w:rsidP="003A292D">
      <w:pPr>
        <w:spacing w:line="264" w:lineRule="auto"/>
        <w:ind w:firstLine="567"/>
        <w:jc w:val="left"/>
        <w:rPr>
          <w:rFonts w:ascii="Arial" w:eastAsia="Times New Roman" w:hAnsi="Arial" w:cs="Arial"/>
          <w:b/>
          <w:szCs w:val="28"/>
          <w:lang w:val="uk-UA" w:eastAsia="ru-RU"/>
        </w:rPr>
      </w:pPr>
    </w:p>
    <w:p w14:paraId="50BC550A" w14:textId="42A587B4" w:rsidR="009C67AB" w:rsidRPr="00511005" w:rsidRDefault="007B2628" w:rsidP="003A292D">
      <w:pPr>
        <w:spacing w:line="264" w:lineRule="auto"/>
        <w:ind w:firstLine="0"/>
        <w:jc w:val="left"/>
        <w:rPr>
          <w:rFonts w:ascii="Arial" w:eastAsia="Times New Roman" w:hAnsi="Arial" w:cs="Arial"/>
          <w:b/>
          <w:szCs w:val="28"/>
          <w:lang w:val="uk-UA" w:eastAsia="ru-RU"/>
        </w:rPr>
      </w:pPr>
      <w:r w:rsidRPr="00511005">
        <w:rPr>
          <w:rFonts w:ascii="Arial" w:eastAsia="Times New Roman" w:hAnsi="Arial" w:cs="Arial"/>
          <w:b/>
          <w:i/>
          <w:szCs w:val="28"/>
          <w:lang w:val="uk-UA" w:eastAsia="ru-RU"/>
        </w:rPr>
        <w:t xml:space="preserve">Ключові слова: </w:t>
      </w:r>
      <w:r w:rsidR="009C67AB" w:rsidRPr="00511005">
        <w:rPr>
          <w:rFonts w:ascii="Arial" w:eastAsia="Times New Roman" w:hAnsi="Arial" w:cs="Arial"/>
          <w:bCs/>
          <w:szCs w:val="28"/>
          <w:lang w:val="uk-UA" w:eastAsia="ru-RU"/>
        </w:rPr>
        <w:t>гендер, влада, феміністська філософія, патріархат, справедливість, рівність, дискримінація, емансипація.</w:t>
      </w:r>
    </w:p>
    <w:p w14:paraId="64173899" w14:textId="58276720" w:rsidR="009C67AB" w:rsidRPr="00511005" w:rsidRDefault="007B262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
          <w:i/>
          <w:szCs w:val="28"/>
          <w:lang w:val="uk-UA" w:eastAsia="ru-RU"/>
        </w:rPr>
        <w:t xml:space="preserve">Key words: </w:t>
      </w:r>
      <w:r w:rsidR="009C67AB" w:rsidRPr="00511005">
        <w:rPr>
          <w:rFonts w:ascii="Arial" w:eastAsia="Times New Roman" w:hAnsi="Arial" w:cs="Arial"/>
          <w:bCs/>
          <w:szCs w:val="28"/>
          <w:lang w:val="uk-UA" w:eastAsia="ru-RU"/>
        </w:rPr>
        <w:t>gender, power, feminist philosophy, patriarchy, justice, equality, discrimination, emancipation.</w:t>
      </w:r>
    </w:p>
    <w:p w14:paraId="4AA3739C" w14:textId="54DECF2F" w:rsidR="009C67AB" w:rsidRPr="00511005" w:rsidRDefault="007B2628" w:rsidP="003A292D">
      <w:pPr>
        <w:spacing w:line="264" w:lineRule="auto"/>
        <w:ind w:firstLine="0"/>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9C67AB" w:rsidRPr="00511005">
        <w:rPr>
          <w:rFonts w:ascii="Arial" w:eastAsia="Times New Roman" w:hAnsi="Arial" w:cs="Arial"/>
          <w:bCs/>
          <w:i/>
          <w:iCs/>
          <w:szCs w:val="28"/>
          <w:lang w:val="uk-UA" w:eastAsia="ru-RU"/>
        </w:rPr>
        <w:t>к.філос.н., доцент Крижановська Т</w:t>
      </w:r>
      <w:r w:rsidR="00536AAB" w:rsidRPr="00511005">
        <w:rPr>
          <w:rFonts w:ascii="Arial" w:eastAsia="Times New Roman" w:hAnsi="Arial" w:cs="Arial"/>
          <w:bCs/>
          <w:i/>
          <w:iCs/>
          <w:szCs w:val="28"/>
          <w:lang w:val="uk-UA" w:eastAsia="ru-RU"/>
        </w:rPr>
        <w:t>.</w:t>
      </w:r>
      <w:r w:rsidR="009C67AB" w:rsidRPr="00511005">
        <w:rPr>
          <w:rFonts w:ascii="Arial" w:eastAsia="Times New Roman" w:hAnsi="Arial" w:cs="Arial"/>
          <w:bCs/>
          <w:i/>
          <w:iCs/>
          <w:szCs w:val="28"/>
          <w:lang w:val="uk-UA" w:eastAsia="ru-RU"/>
        </w:rPr>
        <w:t xml:space="preserve"> О.</w:t>
      </w:r>
    </w:p>
    <w:p w14:paraId="7B9712E4" w14:textId="77777777" w:rsidR="009C67AB" w:rsidRPr="00511005" w:rsidRDefault="009C67AB" w:rsidP="003A292D">
      <w:pPr>
        <w:spacing w:line="264" w:lineRule="auto"/>
        <w:ind w:firstLine="0"/>
        <w:rPr>
          <w:rFonts w:ascii="Arial" w:eastAsia="Times New Roman" w:hAnsi="Arial" w:cs="Arial"/>
          <w:szCs w:val="28"/>
          <w:lang w:val="uk-UA"/>
        </w:rPr>
      </w:pPr>
    </w:p>
    <w:p w14:paraId="6DBCB241" w14:textId="77777777" w:rsidR="009C67AB" w:rsidRPr="00511005" w:rsidRDefault="009C67AB" w:rsidP="003A292D">
      <w:pPr>
        <w:spacing w:line="264" w:lineRule="auto"/>
        <w:ind w:firstLine="0"/>
        <w:rPr>
          <w:rFonts w:ascii="Arial" w:eastAsia="Times New Roman" w:hAnsi="Arial" w:cs="Arial"/>
          <w:szCs w:val="28"/>
          <w:lang w:val="uk-UA"/>
        </w:rPr>
      </w:pPr>
    </w:p>
    <w:p w14:paraId="7B0F6A82" w14:textId="77777777" w:rsidR="009C67AB" w:rsidRPr="00511005" w:rsidRDefault="009C67AB" w:rsidP="003A292D">
      <w:pPr>
        <w:spacing w:line="264" w:lineRule="auto"/>
        <w:ind w:firstLine="567"/>
        <w:jc w:val="center"/>
        <w:rPr>
          <w:rFonts w:ascii="Arial" w:eastAsia="Times New Roman" w:hAnsi="Arial" w:cs="Arial"/>
          <w:szCs w:val="28"/>
          <w:lang w:val="uk-UA"/>
        </w:rPr>
      </w:pPr>
      <w:r w:rsidRPr="00511005">
        <w:rPr>
          <w:rFonts w:ascii="Arial" w:eastAsia="Times New Roman" w:hAnsi="Arial" w:cs="Arial"/>
          <w:b/>
          <w:i/>
          <w:szCs w:val="28"/>
          <w:lang w:val="uk-UA"/>
        </w:rPr>
        <w:t>Поплавський Владислав Вадимович</w:t>
      </w:r>
    </w:p>
    <w:p w14:paraId="19760A05" w14:textId="4B9FD979" w:rsidR="009C67AB" w:rsidRPr="00511005" w:rsidRDefault="00287A9C" w:rsidP="003A292D">
      <w:pPr>
        <w:keepNext/>
        <w:spacing w:line="264" w:lineRule="auto"/>
        <w:ind w:firstLine="0"/>
        <w:jc w:val="center"/>
        <w:rPr>
          <w:rFonts w:ascii="Arial" w:eastAsia="Times New Roman" w:hAnsi="Arial" w:cs="Arial"/>
          <w:bCs/>
          <w:iCs/>
          <w:szCs w:val="28"/>
          <w:lang w:val="uk-UA" w:eastAsia="ru-RU"/>
        </w:rPr>
      </w:pPr>
      <w:r w:rsidRPr="00511005">
        <w:rPr>
          <w:rFonts w:ascii="Arial" w:eastAsia="Arial" w:hAnsi="Arial" w:cs="Arial"/>
          <w:szCs w:val="28"/>
          <w:lang w:val="uk" w:eastAsia="ru-RU"/>
        </w:rPr>
        <w:lastRenderedPageBreak/>
        <w:t xml:space="preserve">студент </w:t>
      </w:r>
      <w:r w:rsidR="007B2628" w:rsidRPr="00511005">
        <w:rPr>
          <w:rFonts w:ascii="Arial" w:eastAsia="Times New Roman" w:hAnsi="Arial" w:cs="Arial"/>
          <w:bCs/>
          <w:iCs/>
          <w:szCs w:val="28"/>
          <w:lang w:val="uk-UA" w:eastAsia="ru-RU"/>
        </w:rPr>
        <w:t>1-го курсу</w:t>
      </w:r>
      <w:r w:rsidR="009C67AB" w:rsidRPr="00511005">
        <w:rPr>
          <w:rFonts w:ascii="Arial" w:eastAsia="Times New Roman" w:hAnsi="Arial" w:cs="Arial"/>
          <w:bCs/>
          <w:iCs/>
          <w:szCs w:val="28"/>
          <w:lang w:val="uk-UA" w:eastAsia="ru-RU"/>
        </w:rPr>
        <w:t xml:space="preserve"> </w:t>
      </w:r>
      <w:r w:rsidR="00536AAB" w:rsidRPr="00511005">
        <w:rPr>
          <w:rFonts w:ascii="Arial" w:eastAsia="Times New Roman" w:hAnsi="Arial" w:cs="Arial"/>
          <w:bCs/>
          <w:iCs/>
          <w:szCs w:val="28"/>
          <w:lang w:val="uk-UA" w:eastAsia="ru-RU"/>
        </w:rPr>
        <w:t>факультету адвокатури та антикорупційної діяльності</w:t>
      </w:r>
    </w:p>
    <w:p w14:paraId="606B20FB" w14:textId="70BD9F48" w:rsidR="009C67AB" w:rsidRPr="00511005" w:rsidRDefault="007B2628" w:rsidP="003A292D">
      <w:pPr>
        <w:keepNext/>
        <w:spacing w:line="264" w:lineRule="auto"/>
        <w:ind w:firstLine="0"/>
        <w:jc w:val="center"/>
        <w:rPr>
          <w:rFonts w:ascii="Arial" w:eastAsia="Times New Roman" w:hAnsi="Arial" w:cs="Arial"/>
          <w:b/>
          <w:szCs w:val="28"/>
          <w:lang w:val="uk-UA"/>
        </w:rPr>
      </w:pPr>
      <w:r w:rsidRPr="00511005">
        <w:rPr>
          <w:rFonts w:ascii="Arial" w:eastAsia="Times New Roman" w:hAnsi="Arial" w:cs="Arial"/>
          <w:szCs w:val="28"/>
          <w:lang w:val="uk-UA" w:eastAsia="ru-RU"/>
        </w:rPr>
        <w:t>Національного університету «Одеська юридична академія»</w:t>
      </w:r>
    </w:p>
    <w:p w14:paraId="08DD1BBF" w14:textId="77777777" w:rsidR="009C67AB" w:rsidRPr="00511005" w:rsidRDefault="009C67AB" w:rsidP="003A292D">
      <w:pPr>
        <w:spacing w:line="264" w:lineRule="auto"/>
        <w:ind w:firstLine="567"/>
        <w:jc w:val="center"/>
        <w:rPr>
          <w:rFonts w:ascii="Arial" w:eastAsia="Times New Roman" w:hAnsi="Arial" w:cs="Arial"/>
          <w:b/>
          <w:szCs w:val="28"/>
          <w:lang w:val="uk-UA"/>
        </w:rPr>
      </w:pPr>
    </w:p>
    <w:p w14:paraId="257E2AB5" w14:textId="77777777" w:rsidR="009C67AB" w:rsidRPr="00511005" w:rsidRDefault="009C67AB" w:rsidP="003A292D">
      <w:pPr>
        <w:spacing w:line="264" w:lineRule="auto"/>
        <w:ind w:firstLine="567"/>
        <w:jc w:val="center"/>
        <w:rPr>
          <w:rFonts w:ascii="Arial" w:eastAsia="Times New Roman" w:hAnsi="Arial" w:cs="Arial"/>
          <w:szCs w:val="28"/>
          <w:lang w:val="uk-UA"/>
        </w:rPr>
      </w:pPr>
      <w:r w:rsidRPr="00511005">
        <w:rPr>
          <w:rFonts w:ascii="Arial" w:eastAsia="Times New Roman" w:hAnsi="Arial" w:cs="Arial"/>
          <w:b/>
          <w:szCs w:val="28"/>
          <w:lang w:val="uk-UA"/>
        </w:rPr>
        <w:t>ГЛОБАЛЬНА ВІДПОВІДАЛЬНІСТЬ: ФІЛОСОФСЬКО-ПРАВОВИЙ АНАЛІЗ ПРИНЦИПУ НЕВТРУЧАННЯ У ВНУТРІШНІ СПРАВИ ДЕРЖАВ</w:t>
      </w:r>
    </w:p>
    <w:p w14:paraId="74391DB2" w14:textId="77777777" w:rsidR="009C67AB" w:rsidRPr="00511005" w:rsidRDefault="009C67AB" w:rsidP="003A292D">
      <w:pPr>
        <w:spacing w:line="264" w:lineRule="auto"/>
        <w:ind w:firstLine="567"/>
        <w:jc w:val="center"/>
        <w:rPr>
          <w:rFonts w:ascii="Arial" w:eastAsia="Times New Roman" w:hAnsi="Arial" w:cs="Arial"/>
          <w:szCs w:val="28"/>
          <w:lang w:val="uk-UA"/>
        </w:rPr>
      </w:pPr>
    </w:p>
    <w:p w14:paraId="4E351B7E" w14:textId="77777777" w:rsidR="009C67AB" w:rsidRPr="00511005" w:rsidRDefault="009C67AB"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Тема глобальної відповідальності та принципу невтручання у внутрішні справи держав набуває особливого значення в умовах сучасного світу, де держави та міжнародні організації стикаються з низкою глобальних викликів – від порушення прав людини, етнічних конфліктів, економічної нерівності до відкритих порушень кордонів держав та вторгнень. Сучасна взаємозалежність між державами породжує питання, чи мають вони моральне і юридичне право втручатися у справи інших країн. Основною проблемою є напруженість між принципом суверенітету держав, закріпленим у міжнародному праві, та вимогою забезпечення глобальної відповідальності для захисту прав людини і запобігання серйозним порушенням.</w:t>
      </w:r>
    </w:p>
    <w:p w14:paraId="666C84EA" w14:textId="77777777" w:rsidR="009C67AB" w:rsidRPr="00511005" w:rsidRDefault="009C67AB"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Об’єктом нашого дослідження виступають філософсько-правові принципи міжнародних відносин, зокрема концепції суверенітету та невтручання. Предмет дослідження – філософські та правові підходи до обґрунтування глобальної відповідальності у контексті дотримання принципу невтручання. Метою є визначення основних аспектів глобальної відповідальності та її правового обґрунтування у світлі принципу невтручання, дослідження філософських концепцій, які заклали підвалини для сучасних підходів до цієї проблеми.</w:t>
      </w:r>
    </w:p>
    <w:p w14:paraId="6C340489" w14:textId="77777777" w:rsidR="009C67AB" w:rsidRPr="00511005" w:rsidRDefault="009C67AB"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Для початку варто зазначити, що термін глобальна відповідальність є досить широким і розповсюдженим у наш час. Із філософсько-правового погляду – це етичний і правовий, загально-обов</w:t>
      </w:r>
      <w:r w:rsidRPr="00511005">
        <w:rPr>
          <w:rFonts w:ascii="Arial" w:eastAsia="Times New Roman" w:hAnsi="Arial" w:cs="Arial"/>
          <w:szCs w:val="28"/>
        </w:rPr>
        <w:t>’</w:t>
      </w:r>
      <w:r w:rsidRPr="00511005">
        <w:rPr>
          <w:rFonts w:ascii="Arial" w:eastAsia="Times New Roman" w:hAnsi="Arial" w:cs="Arial"/>
          <w:szCs w:val="28"/>
          <w:lang w:val="uk-UA"/>
        </w:rPr>
        <w:t>яковий принцип діяти в інтересах захисту прав людини, забезпечення миру та відповідального ставлення до довкілля. Цей термін включає в себе такі аспекти: етичний – обов’язок жертвувати своїми інтересами за ради благ усього людства; правовий – концепція глобальної відповідальності, закріплена через принципи міжнародного права в правових джерелах; політичний аспект – відповідальність держав діяти в інтересах світової безпеки і стабільності, а також вирішувати глобальні проблеми. Тож глобальна відповідальність у філософсько-правовому вимірі – це мета де кожен суб’єкт суспільних відносин, від місцевого до міжнародного рівня, несе відповідальність за загальний мир та добробут, обмежуючи задля цього певні свої свободи.</w:t>
      </w:r>
    </w:p>
    <w:p w14:paraId="229EDB75" w14:textId="77777777" w:rsidR="009C67AB" w:rsidRPr="00511005" w:rsidRDefault="009C67AB"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Для філософського осмислення феномену глобальної відповідальності в контексті принципу невтручання у внутрішні справи держави, проаналізуємо погляди декількох філософів, які, на нашу думку, створили підвалини для оформлення ідеї глобальної відповідальності.</w:t>
      </w:r>
    </w:p>
    <w:p w14:paraId="4355C955" w14:textId="77777777" w:rsidR="009C67AB" w:rsidRPr="00511005" w:rsidRDefault="009C67AB"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lastRenderedPageBreak/>
        <w:t>Томас Гоббс зробив значний внесок у філософське розуміння держави та її ролі у забезпеченні суспільного порядку. Він визначав головну мету держави як гарантування безпеки, вказуючи, що люди створюють державну владу, аби «позбавитись од лиха війни». Як він писав: «Спільна влада, яка була б здатна захистити людей від вторгнення чужинців і від несправедливостей, завдаваних одне одному, і таким чином забезпечити їм умови, за яких вони могли б годуватися від рук своїх і від плодів землі й жити в достатку, може виникнути лише в один спосіб, а саме шляхом зосередження всієї влади і сили в руках однієї особи чи зібрання людей, яке більшістю голосів могло б звести волю всіх громадян водно» [1, с. 187]. Ця концепція закладає основу для розуміння суверенітету як ключового елементу державного устрою.</w:t>
      </w:r>
    </w:p>
    <w:p w14:paraId="4D1993B3" w14:textId="77777777" w:rsidR="009C67AB" w:rsidRPr="00511005" w:rsidRDefault="009C67AB"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Ідея «вічного миру» Іммануїла Канта є фундаментальною для філософського осмислення міжнародного права. У праці «До вічного миру» філософ формулює принципи, що сприяють забезпеченню миру між державами, наголошуючи на суверенітеті та невтручанні у внутрішні справи. І. Кант підкреслює, що прагнення до військової переваги породжує конфлікти та збройні суперечки. «Аналізуючи роль правителів (глав держав), Кант звертає увагу на їх відповідальність за розв’язання війни і воєнних конфліктів...» [4, с. 211]. У першій статті цієї праці І. Кант стверджує, що мирний договір не може містити прихованих задумів для нової війни, засуджуючи агресивну політику. Третя стаття закликає до скасування «стоячих армій» як засобу зниження міждержавної напруженості. П’ятий принцип філософа закріплює невтручання у внутрішні справи держав, підкреслюючи важливість взаємної поваги та справедливості. У «Таємній статті до вічного миру» І. Кант розвиває ідею морального підходу до політики, закликаючи будувати міжнародні відносини на основі взаємоповаги суверенітету, що є необхідною умовою тривалого миру.</w:t>
      </w:r>
    </w:p>
    <w:p w14:paraId="6944215A" w14:textId="77777777" w:rsidR="009C67AB" w:rsidRPr="00511005" w:rsidRDefault="009C67AB"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Джон Стюарт Міль, визначний мислитель лібералізму, у своєму есе «Про свободу» досліджує межі втручання держави й суспільства в життя індивідів, а також принцип невтручання у внутрішні справи інших спільнот. Він наголошує: «…я не вважаю, що будь-яка спільнота має право змушувати іншу бути цивілізованою. Доки люди, які страждають від поганих законів, не просять допомоги інших спільнот, я не можу припустити, що до них повинні приходити абсолютно з ними не пов’язані люди й вимагати зміни стану речей, який задовольняє всіх, кого він безпосередньо стосується» [3, с. 105–106]. Дж. Міль підкреслює, що втручання є виправданим лише у разі явних порушень прав людини або за проханням постраждалих. Він захищає автономність спільнот, визнаючи винятки, засновані на етичних принципах. Крім того, Міль розвиває ідею обмеження державної влади. Водночас і Дж. Міль, і Т. Гоббс визнають, що примус може бути виправданим для забезпечення безпеки. Проте Т. Гоббс пов’язує це з функцією держави як </w:t>
      </w:r>
      <w:r w:rsidRPr="00511005">
        <w:rPr>
          <w:rFonts w:ascii="Arial" w:eastAsia="Times New Roman" w:hAnsi="Arial" w:cs="Arial"/>
          <w:szCs w:val="28"/>
          <w:lang w:val="uk-UA"/>
        </w:rPr>
        <w:lastRenderedPageBreak/>
        <w:t>гаранта порядку, тоді як Міль обмежує втручання лише тими випадками, коли дії індивіда безпосередньо впливають на інших.</w:t>
      </w:r>
    </w:p>
    <w:p w14:paraId="75C0660A" w14:textId="77777777" w:rsidR="009C67AB" w:rsidRPr="00511005" w:rsidRDefault="009C67AB"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При аналізі проблем міжнародного права важливо звернутися до поглядів Ганса Кельзена, видатного юриста та філософа, який запропонував концепцію примату міжнародного права над національним. Г. Кельзен виходив із принципу глобальної відповідальності, підкреслюючи, що політика держав має відповідати універсальним правовим нормам. Г. Кельзен стверджував, що суверенітет держави слід розглядати в межах міжнародного правопорядку, який забезпечує баланс між незалежністю держав і дотриманням загальноприйнятих принципів. «Підпорядкування держави принципам міжнародного права є обов'язковим, і це необхідно враховувати при визначенні цієї дефініції» [2, с. 472–473]. Концепція Г. Кельзена пропонує переосмислення суверенітету як інструмента співпраці, а не ізоляції, що має особливу актуальність в умовах глобалізації.</w:t>
      </w:r>
    </w:p>
    <w:p w14:paraId="7117807F" w14:textId="77777777" w:rsidR="009C67AB" w:rsidRPr="00511005" w:rsidRDefault="009C67AB"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Принцип невтручання у внутрішні справи держав є ключовим елементом міжнародного права, що визначає межі суверенітету у глобалізованому світі. Його сучасна правова основа була закладена після Другої світової війни у Статуті ООН, ухваленому в 1945 році. Стаття 2, пункт 7 Статуту підкреслює: «Цей Статут жодною мірою не дає Організації Об’єднаних Націй права на втручання в справи, які належать до внутрішньої компетенції будь-якої держави; однак цей принцип не стосується використання примусових заходів на підставі Розділу VII» [5, ст. 2]. У 1970 році Декларація про принципи міжнародного права надала цьому принципу загальнообов'язкового характеру, зазначаючи, що жодна держава чи група держав не мають права втручатися у внутрішні справи інших, зокрема через політичний, економічний або військовий вплив [6]. У 1975 році Заключний акт НБСЄ остаточно закріпив принцип невтручання як стандарт міжнародних відносин. Водночас виключення, передбачені Статутом ООН, свідчать про складність цього принципу. Наприклад, розділ VII дозволяє втручання у випадках загрози миру, порушень миру або актів агресії, що передбачає застосування санкцій чи військових заходів за рішенням Ради Безпеки [5, ст. 41–42]. Тож, принцип невтручання залишається складним балансом між захистом суверенітету та глобальною відповідальністю, інтегрованою у контекст міжнародного права, що прагне забезпечити мир, справедливість і повагу до людських прав.</w:t>
      </w:r>
    </w:p>
    <w:p w14:paraId="2DA97383" w14:textId="77777777" w:rsidR="009C67AB" w:rsidRPr="00511005" w:rsidRDefault="009C67AB"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Висновки. Філософсько-правовий аналіз принципу невтручання у внутрішні справи держав демонструє його ключову роль у встановленні балансу між суверенітетом і глобальною відповідальністю. Цей принцип, закріплений у міжнародному праві, еволюціонував як механізм регулювання міжнародних відносин, одночасно зберігаючи права держав на автономність і відповідаючи на виклики глобалізованого світу. Філософське осмислення глобальної відповідальності вказує на важливість інтеграції етичних і </w:t>
      </w:r>
      <w:r w:rsidRPr="00511005">
        <w:rPr>
          <w:rFonts w:ascii="Arial" w:eastAsia="Times New Roman" w:hAnsi="Arial" w:cs="Arial"/>
          <w:szCs w:val="28"/>
          <w:lang w:val="uk-UA"/>
        </w:rPr>
        <w:lastRenderedPageBreak/>
        <w:t>правових підходів для розв’язання сучасних викликів, таких як порушення прав людини, екологічні проблеми та глобальні конфлікти. Принцип невтручання більше не може розглядатися як абсолютний; він має співвідноситися з необхідністю захисту людських цінностей та забезпечення миру. Тож, глобальна відповідальність у поєднанні з принципом невтручання створює нову парадигму міжнародного права, яка прагне досягти рівноваги між суверенітетом держав і їхнім етичним зобов’язанням перед світовою спільнотою.</w:t>
      </w:r>
    </w:p>
    <w:p w14:paraId="58C1274E" w14:textId="77777777" w:rsidR="009C67AB" w:rsidRPr="00511005" w:rsidRDefault="009C67AB" w:rsidP="003A292D">
      <w:pPr>
        <w:spacing w:line="264" w:lineRule="auto"/>
        <w:ind w:firstLine="567"/>
        <w:rPr>
          <w:rFonts w:ascii="Arial" w:eastAsia="Times New Roman" w:hAnsi="Arial" w:cs="Arial"/>
          <w:szCs w:val="28"/>
          <w:lang w:val="uk-UA"/>
        </w:rPr>
      </w:pPr>
    </w:p>
    <w:p w14:paraId="050DB674" w14:textId="0BFC9CDB" w:rsidR="009C67AB" w:rsidRPr="00511005" w:rsidRDefault="007B2628" w:rsidP="007B2628">
      <w:pPr>
        <w:spacing w:line="264" w:lineRule="auto"/>
        <w:ind w:firstLine="567"/>
        <w:jc w:val="center"/>
        <w:rPr>
          <w:rFonts w:ascii="Arial" w:eastAsia="Times New Roman" w:hAnsi="Arial" w:cs="Arial"/>
          <w:szCs w:val="28"/>
          <w:lang w:val="uk-UA"/>
        </w:rPr>
      </w:pPr>
      <w:r w:rsidRPr="00511005">
        <w:rPr>
          <w:rFonts w:ascii="Arial" w:eastAsia="Times New Roman" w:hAnsi="Arial" w:cs="Arial"/>
          <w:b/>
          <w:szCs w:val="28"/>
          <w:lang w:val="uk-UA"/>
        </w:rPr>
        <w:t>Список використаних джерел</w:t>
      </w:r>
    </w:p>
    <w:p w14:paraId="7A1D2ED1" w14:textId="77777777" w:rsidR="009C67AB" w:rsidRPr="00511005" w:rsidRDefault="009C67AB" w:rsidP="003A292D">
      <w:pPr>
        <w:spacing w:line="264" w:lineRule="auto"/>
        <w:ind w:firstLine="0"/>
        <w:contextualSpacing/>
        <w:rPr>
          <w:rFonts w:ascii="Arial" w:eastAsia="Times New Roman" w:hAnsi="Arial" w:cs="Arial"/>
          <w:spacing w:val="-12"/>
          <w:szCs w:val="28"/>
          <w:lang w:val="uk-UA"/>
        </w:rPr>
      </w:pPr>
      <w:r w:rsidRPr="00511005">
        <w:rPr>
          <w:rFonts w:ascii="Arial" w:eastAsia="Times New Roman" w:hAnsi="Arial" w:cs="Arial"/>
          <w:spacing w:val="-12"/>
          <w:szCs w:val="28"/>
          <w:lang w:val="uk-UA"/>
        </w:rPr>
        <w:t xml:space="preserve">1. Гоббс, Томас. Левіафан або суть, будова і повноваження держави церковної та цивільної / пер. з англ. Р. Димерець, В. Єрмоленко та ін. К. : Дух і Літера. 2002. 606 с. </w:t>
      </w:r>
    </w:p>
    <w:p w14:paraId="4C9A0E59" w14:textId="77777777" w:rsidR="009C67AB" w:rsidRPr="00511005" w:rsidRDefault="009C67AB" w:rsidP="003A292D">
      <w:pPr>
        <w:spacing w:line="264" w:lineRule="auto"/>
        <w:ind w:firstLine="0"/>
        <w:contextualSpacing/>
        <w:rPr>
          <w:rFonts w:ascii="Arial" w:eastAsia="Times New Roman" w:hAnsi="Arial" w:cs="Arial"/>
          <w:spacing w:val="-12"/>
          <w:szCs w:val="28"/>
          <w:lang w:val="uk-UA"/>
        </w:rPr>
      </w:pPr>
      <w:r w:rsidRPr="00511005">
        <w:rPr>
          <w:rFonts w:ascii="Arial" w:eastAsia="Times New Roman" w:hAnsi="Arial" w:cs="Arial"/>
          <w:spacing w:val="-12"/>
          <w:szCs w:val="28"/>
          <w:lang w:val="uk-UA"/>
        </w:rPr>
        <w:t xml:space="preserve">2. Коваль Д. Міжнародно-правові ідеї Ганса Кельзена та сучасні політико-правові процеси в Україні. </w:t>
      </w:r>
      <w:r w:rsidRPr="00511005">
        <w:rPr>
          <w:rFonts w:ascii="Arial" w:eastAsia="Times New Roman" w:hAnsi="Arial" w:cs="Arial"/>
          <w:i/>
          <w:iCs/>
          <w:spacing w:val="-12"/>
          <w:szCs w:val="28"/>
          <w:lang w:val="uk-UA"/>
        </w:rPr>
        <w:t>Філософія права і загальна теорія права.</w:t>
      </w:r>
      <w:r w:rsidRPr="00511005">
        <w:rPr>
          <w:rFonts w:ascii="Arial" w:eastAsia="Times New Roman" w:hAnsi="Arial" w:cs="Arial"/>
          <w:spacing w:val="-12"/>
          <w:szCs w:val="28"/>
          <w:lang w:val="uk-UA"/>
        </w:rPr>
        <w:t xml:space="preserve"> 2014. № 1–2. С. 471–476. URL: </w:t>
      </w:r>
      <w:hyperlink r:id="rId104" w:history="1">
        <w:r w:rsidRPr="00511005">
          <w:rPr>
            <w:rFonts w:ascii="Arial" w:eastAsia="Times New Roman" w:hAnsi="Arial" w:cs="Arial"/>
            <w:spacing w:val="-12"/>
            <w:szCs w:val="28"/>
            <w:lang w:val="uk-UA"/>
          </w:rPr>
          <w:t>https://dspace.onua.edu.ua/server/api/core/bitstreams/86da1b07-3a1d-4c92-b892-80a7991d70fe/content</w:t>
        </w:r>
      </w:hyperlink>
    </w:p>
    <w:p w14:paraId="4D254113" w14:textId="77777777" w:rsidR="009C67AB" w:rsidRPr="00511005" w:rsidRDefault="009C67AB" w:rsidP="003A292D">
      <w:pPr>
        <w:spacing w:line="264" w:lineRule="auto"/>
        <w:ind w:firstLine="0"/>
        <w:contextualSpacing/>
        <w:rPr>
          <w:rFonts w:ascii="Arial" w:eastAsia="Times New Roman" w:hAnsi="Arial" w:cs="Arial"/>
          <w:spacing w:val="-12"/>
          <w:szCs w:val="28"/>
          <w:lang w:val="uk-UA"/>
        </w:rPr>
      </w:pPr>
      <w:r w:rsidRPr="00511005">
        <w:rPr>
          <w:rFonts w:ascii="Arial" w:eastAsia="Times New Roman" w:hAnsi="Arial" w:cs="Arial"/>
          <w:spacing w:val="-12"/>
          <w:szCs w:val="28"/>
          <w:lang w:val="uk-UA"/>
        </w:rPr>
        <w:t>3. Міл, Джон Стюарт. Про свободу: Есе / пер. з англ. К: Основи, 2001.</w:t>
      </w:r>
    </w:p>
    <w:p w14:paraId="293E6074" w14:textId="77777777" w:rsidR="009C67AB" w:rsidRPr="00511005" w:rsidRDefault="009C67AB" w:rsidP="003A292D">
      <w:pPr>
        <w:spacing w:line="264" w:lineRule="auto"/>
        <w:ind w:firstLine="0"/>
        <w:contextualSpacing/>
        <w:rPr>
          <w:rFonts w:ascii="Arial" w:eastAsia="Times New Roman" w:hAnsi="Arial" w:cs="Arial"/>
          <w:spacing w:val="-12"/>
          <w:szCs w:val="28"/>
          <w:lang w:val="uk-UA"/>
        </w:rPr>
      </w:pPr>
      <w:r w:rsidRPr="00511005">
        <w:rPr>
          <w:rFonts w:ascii="Arial" w:eastAsia="Times New Roman" w:hAnsi="Arial" w:cs="Arial"/>
          <w:spacing w:val="-12"/>
          <w:szCs w:val="28"/>
          <w:lang w:val="uk-UA"/>
        </w:rPr>
        <w:t xml:space="preserve">4. Остапенко О. І., Ряшко В. І. Кант: війна і мир. Важкий шлях до вічного миру. </w:t>
      </w:r>
      <w:r w:rsidRPr="00511005">
        <w:rPr>
          <w:rFonts w:ascii="Arial" w:eastAsia="Times New Roman" w:hAnsi="Arial" w:cs="Arial"/>
          <w:i/>
          <w:iCs/>
          <w:spacing w:val="-12"/>
          <w:szCs w:val="28"/>
          <w:lang w:val="uk-UA"/>
        </w:rPr>
        <w:t xml:space="preserve">Вісник Національного університету «Львівська політехніка». Серія : Юридичні науки. </w:t>
      </w:r>
      <w:r w:rsidRPr="00511005">
        <w:rPr>
          <w:rFonts w:ascii="Arial" w:eastAsia="Times New Roman" w:hAnsi="Arial" w:cs="Arial"/>
          <w:spacing w:val="-12"/>
          <w:szCs w:val="28"/>
          <w:lang w:val="uk-UA"/>
        </w:rPr>
        <w:t xml:space="preserve">2015. № 813. С. 209–214. URL: </w:t>
      </w:r>
      <w:hyperlink r:id="rId105" w:history="1">
        <w:r w:rsidRPr="00511005">
          <w:rPr>
            <w:rFonts w:ascii="Arial" w:eastAsia="Times New Roman" w:hAnsi="Arial" w:cs="Arial"/>
            <w:spacing w:val="-12"/>
            <w:szCs w:val="28"/>
            <w:lang w:val="uk-UA"/>
          </w:rPr>
          <w:t>https://science.lpnu.ua/sites/default/files/journal-paper/2017/may/2517/vnulpurn201581333.pdf</w:t>
        </w:r>
      </w:hyperlink>
    </w:p>
    <w:p w14:paraId="590700DB" w14:textId="77777777" w:rsidR="009C67AB" w:rsidRPr="00511005" w:rsidRDefault="009C67AB" w:rsidP="003A292D">
      <w:pPr>
        <w:spacing w:line="264" w:lineRule="auto"/>
        <w:ind w:firstLine="0"/>
        <w:contextualSpacing/>
        <w:rPr>
          <w:rFonts w:ascii="Arial" w:eastAsia="Times New Roman" w:hAnsi="Arial" w:cs="Arial"/>
          <w:spacing w:val="-12"/>
          <w:szCs w:val="28"/>
          <w:lang w:val="uk-UA"/>
        </w:rPr>
      </w:pPr>
      <w:r w:rsidRPr="00511005">
        <w:rPr>
          <w:rFonts w:ascii="Arial" w:eastAsia="Times New Roman" w:hAnsi="Arial" w:cs="Arial"/>
          <w:spacing w:val="-12"/>
          <w:szCs w:val="28"/>
          <w:lang w:val="uk-UA"/>
        </w:rPr>
        <w:t xml:space="preserve">5. Статут ООН. Київ : Департамент громадської інформації ООН. 2008. 37 с. URL: </w:t>
      </w:r>
      <w:hyperlink r:id="rId106" w:history="1">
        <w:r w:rsidRPr="00511005">
          <w:rPr>
            <w:rFonts w:ascii="Arial" w:eastAsia="Times New Roman" w:hAnsi="Arial" w:cs="Arial"/>
            <w:spacing w:val="-12"/>
            <w:szCs w:val="28"/>
            <w:lang w:val="uk-UA"/>
          </w:rPr>
          <w:t>https://unic.un.org/aroundworld/unics/common/documents/publications/uncharter/UN%20Charter_Ukrainian.pdf</w:t>
        </w:r>
      </w:hyperlink>
    </w:p>
    <w:p w14:paraId="7CB8ACAB" w14:textId="77777777" w:rsidR="009C67AB" w:rsidRPr="00511005" w:rsidRDefault="009C67AB" w:rsidP="003A292D">
      <w:pPr>
        <w:spacing w:line="264" w:lineRule="auto"/>
        <w:ind w:firstLine="0"/>
        <w:contextualSpacing/>
        <w:rPr>
          <w:rFonts w:ascii="Arial" w:eastAsia="Times New Roman" w:hAnsi="Arial" w:cs="Arial"/>
          <w:spacing w:val="-12"/>
          <w:szCs w:val="28"/>
          <w:lang w:val="uk-UA"/>
        </w:rPr>
      </w:pPr>
      <w:r w:rsidRPr="00511005">
        <w:rPr>
          <w:rFonts w:ascii="Arial" w:eastAsia="Times New Roman" w:hAnsi="Arial" w:cs="Arial"/>
          <w:spacing w:val="-12"/>
          <w:szCs w:val="28"/>
          <w:lang w:val="uk-UA"/>
        </w:rPr>
        <w:t xml:space="preserve">6. </w:t>
      </w:r>
      <w:r w:rsidRPr="00511005">
        <w:rPr>
          <w:rFonts w:ascii="Arial" w:eastAsia="Times New Roman" w:hAnsi="Arial" w:cs="Arial"/>
          <w:spacing w:val="-12"/>
          <w:szCs w:val="28"/>
          <w:lang w:val="en-US"/>
        </w:rPr>
        <w:t>D</w:t>
      </w:r>
      <w:r w:rsidRPr="00511005">
        <w:rPr>
          <w:rFonts w:ascii="Arial" w:eastAsia="Times New Roman" w:hAnsi="Arial" w:cs="Arial"/>
          <w:spacing w:val="-12"/>
          <w:szCs w:val="28"/>
          <w:lang w:val="uk-UA"/>
        </w:rPr>
        <w:t xml:space="preserve">eclaration on Principles of International Law Concerning Friendly Relations and Cooperation among States in Accordance with the Charter of the United Nations / Об’єднані </w:t>
      </w:r>
      <w:proofErr w:type="gramStart"/>
      <w:r w:rsidRPr="00511005">
        <w:rPr>
          <w:rFonts w:ascii="Arial" w:eastAsia="Times New Roman" w:hAnsi="Arial" w:cs="Arial"/>
          <w:spacing w:val="-12"/>
          <w:szCs w:val="28"/>
          <w:lang w:val="uk-UA"/>
        </w:rPr>
        <w:t>нації :</w:t>
      </w:r>
      <w:proofErr w:type="gramEnd"/>
      <w:r w:rsidRPr="00511005">
        <w:rPr>
          <w:rFonts w:ascii="Arial" w:eastAsia="Times New Roman" w:hAnsi="Arial" w:cs="Arial"/>
          <w:spacing w:val="-12"/>
          <w:szCs w:val="28"/>
          <w:lang w:val="uk-UA"/>
        </w:rPr>
        <w:t xml:space="preserve"> цифрова бібліотека. 1971. URL: </w:t>
      </w:r>
      <w:hyperlink r:id="rId107" w:history="1">
        <w:r w:rsidRPr="00511005">
          <w:rPr>
            <w:rFonts w:ascii="Arial" w:eastAsia="Times New Roman" w:hAnsi="Arial" w:cs="Arial"/>
            <w:spacing w:val="-12"/>
            <w:szCs w:val="28"/>
            <w:lang w:val="uk-UA"/>
          </w:rPr>
          <w:t>https://digitallibrary.un.org/record/202170?v=pdf</w:t>
        </w:r>
      </w:hyperlink>
    </w:p>
    <w:p w14:paraId="53C51787" w14:textId="77777777" w:rsidR="009C67AB" w:rsidRPr="00511005" w:rsidRDefault="009C67AB" w:rsidP="003A292D">
      <w:pPr>
        <w:spacing w:line="264" w:lineRule="auto"/>
        <w:ind w:firstLine="0"/>
        <w:contextualSpacing/>
        <w:rPr>
          <w:rFonts w:ascii="Arial" w:eastAsia="Times New Roman" w:hAnsi="Arial" w:cs="Arial"/>
          <w:spacing w:val="-12"/>
          <w:szCs w:val="28"/>
          <w:lang w:val="uk-UA"/>
        </w:rPr>
      </w:pPr>
    </w:p>
    <w:p w14:paraId="4B24762D" w14:textId="2447A62F" w:rsidR="009C67AB" w:rsidRPr="00511005" w:rsidRDefault="007B2628" w:rsidP="003A292D">
      <w:pPr>
        <w:spacing w:line="264" w:lineRule="auto"/>
        <w:ind w:firstLine="0"/>
        <w:jc w:val="left"/>
        <w:rPr>
          <w:rFonts w:ascii="Arial" w:eastAsia="Times New Roman" w:hAnsi="Arial" w:cs="Arial"/>
          <w:b/>
          <w:szCs w:val="28"/>
          <w:lang w:val="uk-UA" w:eastAsia="ru-RU"/>
        </w:rPr>
      </w:pPr>
      <w:r w:rsidRPr="00511005">
        <w:rPr>
          <w:rFonts w:ascii="Arial" w:eastAsia="Times New Roman" w:hAnsi="Arial" w:cs="Arial"/>
          <w:b/>
          <w:i/>
          <w:szCs w:val="28"/>
          <w:lang w:val="uk-UA" w:eastAsia="ru-RU"/>
        </w:rPr>
        <w:t xml:space="preserve">Ключові слова: </w:t>
      </w:r>
      <w:r w:rsidR="009C67AB" w:rsidRPr="00511005">
        <w:rPr>
          <w:rFonts w:ascii="Arial" w:eastAsia="Times New Roman" w:hAnsi="Arial" w:cs="Arial"/>
          <w:bCs/>
          <w:szCs w:val="28"/>
          <w:lang w:val="uk-UA" w:eastAsia="ru-RU"/>
        </w:rPr>
        <w:t xml:space="preserve">глобальна відповідальність, невтручання, суверенітет, міжнародне право, права людини, філософія, безпека, конфлікт. </w:t>
      </w:r>
    </w:p>
    <w:p w14:paraId="50D677E9" w14:textId="36B885A1" w:rsidR="009C67AB" w:rsidRPr="00511005" w:rsidRDefault="007B262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
          <w:i/>
          <w:szCs w:val="28"/>
          <w:lang w:val="en-US" w:eastAsia="ru-RU"/>
        </w:rPr>
        <w:t xml:space="preserve">Key words: </w:t>
      </w:r>
      <w:r w:rsidR="009C67AB" w:rsidRPr="00511005">
        <w:rPr>
          <w:rFonts w:ascii="Arial" w:eastAsia="Times New Roman" w:hAnsi="Arial" w:cs="Arial"/>
          <w:bCs/>
          <w:szCs w:val="28"/>
          <w:lang w:val="uk-UA" w:eastAsia="ru-RU"/>
        </w:rPr>
        <w:t>global responsibility, non-intervention, sovereignty, international law, human rights, philosophy, security, conflict.</w:t>
      </w:r>
    </w:p>
    <w:p w14:paraId="299C4C0C" w14:textId="057E2683" w:rsidR="009C67AB" w:rsidRPr="00511005" w:rsidRDefault="007B2628" w:rsidP="003A292D">
      <w:pPr>
        <w:spacing w:line="264" w:lineRule="auto"/>
        <w:ind w:firstLine="0"/>
        <w:rPr>
          <w:rFonts w:ascii="Arial" w:eastAsia="Times New Roman" w:hAnsi="Arial" w:cs="Arial"/>
          <w:spacing w:val="-12"/>
          <w:szCs w:val="28"/>
          <w:lang w:val="uk-UA"/>
        </w:rPr>
      </w:pPr>
      <w:r w:rsidRPr="00511005">
        <w:rPr>
          <w:rFonts w:ascii="Arial" w:eastAsia="Times New Roman" w:hAnsi="Arial" w:cs="Arial"/>
          <w:b/>
          <w:bCs/>
          <w:i/>
          <w:iCs/>
          <w:szCs w:val="28"/>
          <w:lang w:val="uk-UA" w:eastAsia="ru-RU"/>
        </w:rPr>
        <w:t xml:space="preserve">Науковий керівник: </w:t>
      </w:r>
      <w:r w:rsidR="009C67AB" w:rsidRPr="00511005">
        <w:rPr>
          <w:rFonts w:ascii="Arial" w:eastAsia="Times New Roman" w:hAnsi="Arial" w:cs="Arial"/>
          <w:bCs/>
          <w:i/>
          <w:iCs/>
          <w:szCs w:val="28"/>
          <w:lang w:val="uk-UA" w:eastAsia="ru-RU"/>
        </w:rPr>
        <w:t>к.філос.н., доцент Крижановська Т</w:t>
      </w:r>
      <w:r w:rsidR="00536AAB" w:rsidRPr="00511005">
        <w:rPr>
          <w:rFonts w:ascii="Arial" w:eastAsia="Times New Roman" w:hAnsi="Arial" w:cs="Arial"/>
          <w:bCs/>
          <w:i/>
          <w:iCs/>
          <w:szCs w:val="28"/>
          <w:lang w:val="uk-UA" w:eastAsia="ru-RU"/>
        </w:rPr>
        <w:t>.</w:t>
      </w:r>
      <w:r w:rsidR="009C67AB" w:rsidRPr="00511005">
        <w:rPr>
          <w:rFonts w:ascii="Arial" w:eastAsia="Times New Roman" w:hAnsi="Arial" w:cs="Arial"/>
          <w:bCs/>
          <w:i/>
          <w:iCs/>
          <w:szCs w:val="28"/>
          <w:lang w:val="uk-UA" w:eastAsia="ru-RU"/>
        </w:rPr>
        <w:t xml:space="preserve"> О.</w:t>
      </w:r>
    </w:p>
    <w:p w14:paraId="6C1E3F33" w14:textId="77777777" w:rsidR="009C67AB" w:rsidRPr="00511005" w:rsidRDefault="009C67AB" w:rsidP="003A292D">
      <w:pPr>
        <w:spacing w:line="264" w:lineRule="auto"/>
        <w:ind w:firstLine="0"/>
        <w:rPr>
          <w:rFonts w:ascii="Arial" w:eastAsia="Times New Roman" w:hAnsi="Arial" w:cs="Arial"/>
          <w:spacing w:val="-12"/>
          <w:szCs w:val="28"/>
          <w:lang w:val="uk-UA"/>
        </w:rPr>
      </w:pPr>
    </w:p>
    <w:p w14:paraId="5F6B755F" w14:textId="77777777" w:rsidR="009C67AB" w:rsidRPr="00511005" w:rsidRDefault="009C67AB" w:rsidP="003A292D">
      <w:pPr>
        <w:spacing w:line="264" w:lineRule="auto"/>
        <w:ind w:firstLine="0"/>
        <w:rPr>
          <w:rFonts w:ascii="Arial" w:eastAsia="Times New Roman" w:hAnsi="Arial" w:cs="Arial"/>
          <w:spacing w:val="-12"/>
          <w:szCs w:val="28"/>
          <w:lang w:val="uk-UA"/>
        </w:rPr>
      </w:pPr>
    </w:p>
    <w:p w14:paraId="3882A271" w14:textId="77777777" w:rsidR="009C67AB" w:rsidRPr="00511005" w:rsidRDefault="009C67AB"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Слободян Уляна Сергіївна</w:t>
      </w:r>
    </w:p>
    <w:p w14:paraId="069E963B" w14:textId="572569A9" w:rsidR="009C67AB" w:rsidRPr="00511005" w:rsidRDefault="00536AAB" w:rsidP="003A292D">
      <w:pPr>
        <w:spacing w:line="264" w:lineRule="auto"/>
        <w:ind w:firstLine="0"/>
        <w:jc w:val="center"/>
        <w:rPr>
          <w:rFonts w:ascii="Arial" w:eastAsia="Calibri" w:hAnsi="Arial" w:cs="Arial"/>
          <w:szCs w:val="28"/>
          <w:lang w:val="uk-UA"/>
        </w:rPr>
      </w:pPr>
      <w:r w:rsidRPr="00511005">
        <w:rPr>
          <w:rFonts w:ascii="Arial" w:eastAsia="Arial" w:hAnsi="Arial" w:cs="Arial"/>
          <w:szCs w:val="28"/>
          <w:lang w:val="uk" w:eastAsia="ru-RU"/>
        </w:rPr>
        <w:t>студентка 1-го курсу магістратури</w:t>
      </w:r>
      <w:r w:rsidR="009C67AB" w:rsidRPr="00511005">
        <w:rPr>
          <w:rFonts w:ascii="Arial" w:eastAsia="Calibri" w:hAnsi="Arial" w:cs="Arial"/>
          <w:szCs w:val="28"/>
          <w:lang w:val="uk-UA"/>
        </w:rPr>
        <w:t xml:space="preserve"> </w:t>
      </w:r>
      <w:r w:rsidRPr="00511005">
        <w:rPr>
          <w:rFonts w:ascii="Arial" w:eastAsia="Calibri" w:hAnsi="Arial" w:cs="Arial"/>
          <w:szCs w:val="28"/>
          <w:lang w:val="uk-UA"/>
        </w:rPr>
        <w:t>факультету журналістики</w:t>
      </w:r>
    </w:p>
    <w:p w14:paraId="0CF60C5C" w14:textId="1E72FA95" w:rsidR="009C67AB"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644DE5E" w14:textId="77777777" w:rsidR="009C67AB" w:rsidRPr="00511005" w:rsidRDefault="009C67AB" w:rsidP="003A292D">
      <w:pPr>
        <w:spacing w:line="264" w:lineRule="auto"/>
        <w:ind w:firstLine="0"/>
        <w:jc w:val="center"/>
        <w:rPr>
          <w:rFonts w:ascii="Arial" w:eastAsia="Calibri" w:hAnsi="Arial" w:cs="Arial"/>
          <w:b/>
          <w:szCs w:val="28"/>
          <w:lang w:val="uk-UA"/>
        </w:rPr>
      </w:pPr>
    </w:p>
    <w:p w14:paraId="2B1397CA" w14:textId="37FC91A0" w:rsidR="009C67AB" w:rsidRPr="00511005" w:rsidRDefault="009C67AB"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ВПЛИВ РАЦІОНАЛІЗМУ ТА ЙОГО ЦІННІСТЬ</w:t>
      </w:r>
      <w:r w:rsidR="007B2628" w:rsidRPr="00511005">
        <w:rPr>
          <w:rFonts w:ascii="Arial" w:eastAsia="Calibri" w:hAnsi="Arial" w:cs="Arial"/>
          <w:b/>
          <w:szCs w:val="28"/>
          <w:lang w:val="uk-UA"/>
        </w:rPr>
        <w:t xml:space="preserve"> </w:t>
      </w:r>
      <w:r w:rsidRPr="00511005">
        <w:rPr>
          <w:rFonts w:ascii="Arial" w:eastAsia="Calibri" w:hAnsi="Arial" w:cs="Arial"/>
          <w:b/>
          <w:szCs w:val="28"/>
          <w:lang w:val="uk-UA"/>
        </w:rPr>
        <w:t>У СУЧАСНІЙ НАУЦІ</w:t>
      </w:r>
    </w:p>
    <w:p w14:paraId="29B2D97B" w14:textId="77777777" w:rsidR="009C67AB" w:rsidRPr="00511005" w:rsidRDefault="009C67AB" w:rsidP="003A292D">
      <w:pPr>
        <w:spacing w:line="264" w:lineRule="auto"/>
        <w:ind w:firstLine="0"/>
        <w:rPr>
          <w:rFonts w:ascii="Arial" w:eastAsia="Calibri" w:hAnsi="Arial" w:cs="Arial"/>
          <w:b/>
          <w:szCs w:val="28"/>
          <w:lang w:val="uk-UA"/>
        </w:rPr>
      </w:pPr>
    </w:p>
    <w:p w14:paraId="4D4E06E5" w14:textId="77777777" w:rsidR="009C67AB" w:rsidRPr="00511005" w:rsidRDefault="009C67AB"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Раціоналізм відіграв надзвичайно важливу роль у формуванні сучасної наукової парадигми. Цей філософський напрям, що ставив розум та логіку в центр пізнавального процесу, став основою для того способу мислення, яким ми послуговуємось у науці сьогодні. Саме завдяки раціоналізму наука набула тієї форми, в якій вона існує зараз – системної, логічної, об’єктивної.</w:t>
      </w:r>
    </w:p>
    <w:p w14:paraId="456B5668"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Особливого інтересу набуває звернення до теми раціональності як цінності та способу творення і розвитку європейської культури, наукової раціональності як своєрідної важливої складової частини пізнання та свідомості, науково-технічного прогресу. Адже проблеми раціоналізму як філософського принципу організації життєдіяльності людини і суспільства, пізнавальних та перетворювальних практик, раціональності знання були та залишаються важливими у філософії, пріоритетними у філософії науки [1, с. 63-64].</w:t>
      </w:r>
    </w:p>
    <w:p w14:paraId="41DEBE1B" w14:textId="77777777" w:rsidR="009C67AB" w:rsidRPr="00511005" w:rsidRDefault="009C67AB"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Цінність раціональності полягає не лише у логічності мислення, а й у здатності до критичного осмислення дійсності, обґрунтування висновків і прийняття рішень на основі доказів, а не віри чи інтуїції. У цьому сенсі раціональність виступає як культурний і цивілізаційний принцип, що формує європейський менталітет, визначає моделі соціального устрою, політичного управління, економічної ефективності та технологічного розвитку [2, с. 133-135].</w:t>
      </w:r>
    </w:p>
    <w:p w14:paraId="192FE1FC" w14:textId="77777777" w:rsidR="009C67AB" w:rsidRPr="00511005" w:rsidRDefault="009C67AB"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сучасну епоху, позначену стрімкими технологічними змінами, розвитком штучного інтелекту, біоетики, кібербезпеки та глобалізації, питання раціональності набуває нової гостроти. Виникає потреба у формуванні відповідного типу раціональності — такого, що поєднує логіку з етикою, технічну ефективність із гуманістичними цінностями. Це вже не просто інструмент для пізнання, а основа для гармонізації відносин людини з природою, суспільством і технологічним середовищем.</w:t>
      </w:r>
    </w:p>
    <w:p w14:paraId="5CFD41A8" w14:textId="77777777" w:rsidR="009C67AB" w:rsidRPr="00511005" w:rsidRDefault="009C67AB"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Раціональність як цінність стає ключовим фактором стійкого розвитку. Вона дозволяє уникати крайнощів і деструктивних сценаріїв, закликаючи до зваженості, передбачення наслідків та розумного використання ресурсів. Саме тому інтелектуальні дискусії навколо меж і форм раціональності не втрачають актуальності, а навпаки — стають дедалі більш значущими у світлі викликів ХХІ століття.</w:t>
      </w:r>
    </w:p>
    <w:p w14:paraId="7ACCC450" w14:textId="77777777" w:rsidR="009C67AB" w:rsidRPr="00511005" w:rsidRDefault="009C67AB"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Одним із найважливіших внесків раціоналізму є формування методологічних підходів, що й досі лежать в основі наукових досліджень. Ідеї дедукції, побудови гіпотез, логічного міркування й формалізованого мислення стали невід’ємною частиною наукового методу. Наука почала розвиватися не тільки як емпіричне спостереження за світом, а й як процес логічного осмислення того, що ми бачимо.</w:t>
      </w:r>
    </w:p>
    <w:p w14:paraId="1C941BB0" w14:textId="77777777" w:rsidR="009C67AB" w:rsidRPr="00511005" w:rsidRDefault="009C67AB"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Крім того, раціоналізм сприяв утвердженню переконання, що у світі існують об'єктивні закони, які можна пізнати завдяки розуму. Це стало </w:t>
      </w:r>
      <w:r w:rsidRPr="00511005">
        <w:rPr>
          <w:rFonts w:ascii="Arial" w:eastAsia="Times New Roman" w:hAnsi="Arial" w:cs="Arial"/>
          <w:szCs w:val="28"/>
          <w:lang w:val="uk-UA" w:eastAsia="ru-RU"/>
        </w:rPr>
        <w:lastRenderedPageBreak/>
        <w:t>основою для так званого позитивістського підходу, який панував у науці протягом ХІХ–ХХ століть і, хоча й зазнав змін, залишається актуальним у багатьох наукових галузях і сьогодні.</w:t>
      </w:r>
    </w:p>
    <w:p w14:paraId="78F6F4B1"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Найбільш яскраво співвідношення різних форм раціонального проявляється у взаємовідношенні науки й освіти, які з часів побудови гумбольдівської моделі університету є безпосередньо зв’язаними. Особливо відчутним цей зв’язок є в постіндустріальній моделі економіки, яка відмовляється фінансувати фундаментальні дослідження, якщо вони безпосередньо не впливають на покращення виробничого процесу чи створення інноваційної техніки [3, с. 17-18].</w:t>
      </w:r>
    </w:p>
    <w:p w14:paraId="35162EA0" w14:textId="77777777" w:rsidR="009C67AB" w:rsidRPr="00511005" w:rsidRDefault="009C67AB"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У такій ситуації раціональність науки поступово зміщується від класичної теоретичної моделі до прикладної, прагматичної. Знання все частіше оцінюється з позиції його «корисності», «окупності», «інвестиційної привабливості», що змінює не лише цілі наукової діяльності, а й сам підхід до організації освіти. Університети дедалі більше перетворюються на сервісні інституції, що надають знання як послугу, адаптовану під запити ринку праці та економіки.</w:t>
      </w:r>
    </w:p>
    <w:p w14:paraId="2F078193" w14:textId="77777777" w:rsidR="009C67AB" w:rsidRPr="00511005" w:rsidRDefault="009C67AB"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Цей процес, хоч і відповідає духу сучасності, ставить під загрозу фундаментальну функцію науки – пошук істини. Якщо раціональне знання оцінюється виключно з точки зору його негайної практичної вигоди, це може призвести до звуження наукового горизонту, знецінення гуманітарних і філософських дисциплін, які не завжди демонструють миттєвий економічний ефект, але формують світогляд, критичне мислення та етичну відповідальність.</w:t>
      </w:r>
    </w:p>
    <w:p w14:paraId="4E02A8E3" w14:textId="77777777" w:rsidR="009C67AB" w:rsidRPr="00511005" w:rsidRDefault="009C67AB"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сучасна ситуація вимагає переосмислення форм і меж наукової раціональності – необхідно зберігати баланс між прикладним та фундаментальним знанням, між технологічною ефективністю та гуманістичною складовою освіти і науки. Лише за умови гармонії цих складових можливо зберегти справжню цінність раціональності як основи розвитку людської культури та цивілізації.</w:t>
      </w:r>
    </w:p>
    <w:p w14:paraId="5715E70D" w14:textId="77777777" w:rsidR="009C67AB" w:rsidRPr="00511005" w:rsidRDefault="009C67AB"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Ще одним важливим аспектом стало підвищення ролі теоретичного знання</w:t>
      </w:r>
      <w:r w:rsidRPr="00511005">
        <w:rPr>
          <w:rFonts w:ascii="Arial" w:eastAsia="Times New Roman" w:hAnsi="Arial" w:cs="Arial"/>
          <w:szCs w:val="28"/>
          <w:lang w:eastAsia="ru-RU"/>
        </w:rPr>
        <w:t xml:space="preserve"> [3</w:t>
      </w:r>
      <w:r w:rsidRPr="00511005">
        <w:rPr>
          <w:rFonts w:ascii="Arial" w:eastAsia="Times New Roman" w:hAnsi="Arial" w:cs="Arial"/>
          <w:szCs w:val="28"/>
          <w:lang w:val="uk-UA" w:eastAsia="ru-RU"/>
        </w:rPr>
        <w:t>, с. 12-13</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У сучасній науці дедалі частіше теоретичні моделі створюються задовго до того, як з’являється можливість їх перевірити експериментально. Це добре видно, наприклад, у фізиці, де багато відкриттів спочатку були передбачені логічно та математично, а вже потім підтверджені дослідним шляхом. Така довіра до розумових конструкцій – прямий наслідок раціоналістичного підходу.</w:t>
      </w:r>
    </w:p>
    <w:p w14:paraId="7E4DCEB6" w14:textId="77777777" w:rsidR="009C67AB" w:rsidRPr="00511005" w:rsidRDefault="009C67AB"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Раціоналізм також зробив науку незалежною. Він заклав ідею, що людина здатна самостійно досліджувати світ – без опори на авторитети чи релігійні догми. Це дало поштовх до становлення науки як автономної сфери людської діяльності, яка розвивається за власними правилами та принципами.</w:t>
      </w:r>
    </w:p>
    <w:p w14:paraId="0A001907" w14:textId="77777777" w:rsidR="009C67AB" w:rsidRPr="00511005" w:rsidRDefault="009C67AB"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Насамкінець, варто згадати й про технократичний світогляд, який сформувався на основі раціоналістичного мислення. У сучасному суспільстві важливу роль відіграють технології, ефективність, оптимізація процесів. Це світогляд, що цілком відповідає ідеалам раціоналізму – прагнення до порядку, ясності, передбачуваності.</w:t>
      </w:r>
    </w:p>
    <w:p w14:paraId="40CCCD3A" w14:textId="77777777" w:rsidR="009C67AB" w:rsidRPr="00511005" w:rsidRDefault="009C67AB" w:rsidP="003A292D">
      <w:pPr>
        <w:spacing w:line="264" w:lineRule="auto"/>
        <w:rPr>
          <w:rFonts w:ascii="Arial" w:eastAsia="Calibri" w:hAnsi="Arial" w:cs="Arial"/>
          <w:b/>
          <w:szCs w:val="28"/>
        </w:rPr>
      </w:pPr>
      <w:r w:rsidRPr="00511005">
        <w:rPr>
          <w:rFonts w:ascii="Arial" w:eastAsia="Times New Roman" w:hAnsi="Arial" w:cs="Arial"/>
          <w:szCs w:val="28"/>
          <w:lang w:val="uk-UA" w:eastAsia="ru-RU"/>
        </w:rPr>
        <w:t>Отже, вплив раціоналізму на сучасну науку важко переоцінити. Він не тільки визначив її логічну й методологічну структуру, а й сформував той спосіб мислення, який дозволяє людині розуміти світ, впливати на нього й творити майбутнє.</w:t>
      </w:r>
    </w:p>
    <w:p w14:paraId="0BE9FFF1" w14:textId="77777777" w:rsidR="009C67AB" w:rsidRPr="00511005" w:rsidRDefault="009C67AB" w:rsidP="003A292D">
      <w:pPr>
        <w:spacing w:line="264" w:lineRule="auto"/>
        <w:ind w:firstLine="0"/>
        <w:rPr>
          <w:rFonts w:ascii="Arial" w:eastAsia="Calibri" w:hAnsi="Arial" w:cs="Arial"/>
          <w:b/>
          <w:szCs w:val="28"/>
          <w:lang w:val="uk-UA"/>
        </w:rPr>
      </w:pPr>
    </w:p>
    <w:p w14:paraId="2B0C7A2C" w14:textId="0914553B" w:rsidR="009C67AB"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18B7B79D" w14:textId="77777777" w:rsidR="009C67AB" w:rsidRPr="00511005" w:rsidRDefault="009C67AB" w:rsidP="003A292D">
      <w:pPr>
        <w:spacing w:line="264" w:lineRule="auto"/>
        <w:ind w:firstLine="0"/>
        <w:contextualSpacing/>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 xml:space="preserve">1. Ягодзінський С.М. Наукова раціональність і раціоналізм в освіті. </w:t>
      </w:r>
      <w:r w:rsidRPr="00511005">
        <w:rPr>
          <w:rFonts w:ascii="Arial" w:eastAsia="Calibri" w:hAnsi="Arial" w:cs="Arial"/>
          <w:i/>
          <w:iCs/>
          <w:szCs w:val="28"/>
          <w:shd w:val="clear" w:color="auto" w:fill="FFFFFF"/>
          <w:lang w:val="uk-UA"/>
        </w:rPr>
        <w:t xml:space="preserve">Практична філософія. </w:t>
      </w:r>
      <w:r w:rsidRPr="00511005">
        <w:rPr>
          <w:rFonts w:ascii="Arial" w:eastAsia="Calibri" w:hAnsi="Arial" w:cs="Arial"/>
          <w:szCs w:val="28"/>
          <w:shd w:val="clear" w:color="auto" w:fill="FFFFFF"/>
          <w:lang w:val="uk-UA"/>
        </w:rPr>
        <w:t>2010. № 2. С. 62-69.</w:t>
      </w:r>
    </w:p>
    <w:p w14:paraId="5B0BBC67" w14:textId="77777777" w:rsidR="009C67AB" w:rsidRPr="00511005" w:rsidRDefault="009C67AB"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2. Глушко Т.П. Ірраціональність європейського раціоналізму і деформована рецепція традиції: наслідки та перспективи. </w:t>
      </w:r>
      <w:r w:rsidRPr="00511005">
        <w:rPr>
          <w:rFonts w:ascii="Arial" w:eastAsia="Calibri" w:hAnsi="Arial" w:cs="Arial"/>
          <w:i/>
          <w:iCs/>
          <w:szCs w:val="28"/>
        </w:rPr>
        <w:t>Науковий часопис НПУ імені М.П. Драгоманова.</w:t>
      </w:r>
      <w:r w:rsidRPr="00511005">
        <w:rPr>
          <w:rFonts w:ascii="Arial" w:eastAsia="Calibri" w:hAnsi="Arial" w:cs="Arial"/>
          <w:i/>
          <w:iCs/>
          <w:szCs w:val="28"/>
          <w:lang w:val="uk-UA"/>
        </w:rPr>
        <w:t xml:space="preserve"> </w:t>
      </w:r>
      <w:r w:rsidRPr="00511005">
        <w:rPr>
          <w:rFonts w:ascii="Arial" w:eastAsia="Calibri" w:hAnsi="Arial" w:cs="Arial"/>
          <w:i/>
          <w:iCs/>
          <w:szCs w:val="28"/>
        </w:rPr>
        <w:t>Релігієзнавство. Культурологія. Філософія.</w:t>
      </w:r>
      <w:r w:rsidRPr="00511005">
        <w:rPr>
          <w:rFonts w:ascii="Arial" w:eastAsia="Calibri" w:hAnsi="Arial" w:cs="Arial"/>
          <w:i/>
          <w:iCs/>
          <w:szCs w:val="28"/>
          <w:lang w:val="uk-UA"/>
        </w:rPr>
        <w:t xml:space="preserve"> </w:t>
      </w:r>
      <w:r w:rsidRPr="00511005">
        <w:rPr>
          <w:rFonts w:ascii="Arial" w:eastAsia="Calibri" w:hAnsi="Arial" w:cs="Arial"/>
          <w:szCs w:val="28"/>
          <w:lang w:val="uk-UA"/>
        </w:rPr>
        <w:t>2013. № 29 (42). С. 130-140.</w:t>
      </w:r>
    </w:p>
    <w:p w14:paraId="6C47A85C" w14:textId="77777777" w:rsidR="009C67AB" w:rsidRPr="00511005" w:rsidRDefault="009C67AB" w:rsidP="003A292D">
      <w:pPr>
        <w:spacing w:line="264" w:lineRule="auto"/>
        <w:ind w:firstLine="0"/>
        <w:contextualSpacing/>
        <w:rPr>
          <w:rFonts w:ascii="Arial" w:eastAsia="Calibri" w:hAnsi="Arial" w:cs="Arial"/>
          <w:b/>
          <w:szCs w:val="28"/>
          <w:lang w:val="uk-UA"/>
        </w:rPr>
      </w:pPr>
      <w:r w:rsidRPr="00511005">
        <w:rPr>
          <w:rFonts w:ascii="Arial" w:eastAsia="Calibri" w:hAnsi="Arial" w:cs="Arial"/>
          <w:szCs w:val="28"/>
          <w:lang w:val="uk-UA"/>
        </w:rPr>
        <w:t xml:space="preserve">3. Мельник В. Науковий раціоналізм: філософські виміри. </w:t>
      </w:r>
      <w:r w:rsidRPr="00511005">
        <w:rPr>
          <w:rFonts w:ascii="Arial" w:eastAsia="Calibri" w:hAnsi="Arial" w:cs="Arial"/>
          <w:i/>
          <w:iCs/>
          <w:szCs w:val="28"/>
          <w:lang w:val="uk-UA"/>
        </w:rPr>
        <w:t>Вісник Львівського університету. Серія філос.-політолог. студії.</w:t>
      </w:r>
      <w:r w:rsidRPr="00511005">
        <w:rPr>
          <w:rFonts w:ascii="Arial" w:eastAsia="Calibri" w:hAnsi="Arial" w:cs="Arial"/>
          <w:szCs w:val="28"/>
          <w:lang w:val="uk-UA"/>
        </w:rPr>
        <w:t xml:space="preserve"> 2021. Вип. 38. С. 9-20.</w:t>
      </w:r>
    </w:p>
    <w:p w14:paraId="1412D5AC" w14:textId="77777777" w:rsidR="009C67AB" w:rsidRPr="00511005" w:rsidRDefault="009C67AB" w:rsidP="003A292D">
      <w:pPr>
        <w:spacing w:line="264" w:lineRule="auto"/>
        <w:ind w:firstLine="0"/>
        <w:rPr>
          <w:rFonts w:ascii="Arial" w:eastAsia="Calibri" w:hAnsi="Arial" w:cs="Arial"/>
          <w:b/>
          <w:szCs w:val="28"/>
          <w:lang w:val="uk-UA"/>
        </w:rPr>
      </w:pPr>
    </w:p>
    <w:p w14:paraId="319BF1E4" w14:textId="1EA148BF" w:rsidR="009C67AB" w:rsidRPr="00511005" w:rsidRDefault="007B2628" w:rsidP="003A292D">
      <w:pPr>
        <w:spacing w:line="264" w:lineRule="auto"/>
        <w:ind w:firstLine="0"/>
        <w:rPr>
          <w:rFonts w:ascii="Arial" w:eastAsia="Calibri" w:hAnsi="Arial" w:cs="Arial"/>
          <w:b/>
          <w:szCs w:val="28"/>
          <w:lang w:val="uk-UA"/>
        </w:rPr>
      </w:pPr>
      <w:r w:rsidRPr="00511005">
        <w:rPr>
          <w:rFonts w:ascii="Arial" w:eastAsia="Calibri" w:hAnsi="Arial" w:cs="Arial"/>
          <w:b/>
          <w:i/>
          <w:szCs w:val="28"/>
          <w:lang w:val="uk-UA"/>
        </w:rPr>
        <w:t xml:space="preserve">Ключові слова: </w:t>
      </w:r>
      <w:r w:rsidR="009C67AB" w:rsidRPr="00511005">
        <w:rPr>
          <w:rFonts w:ascii="Arial" w:eastAsia="Calibri" w:hAnsi="Arial" w:cs="Arial"/>
          <w:szCs w:val="28"/>
          <w:lang w:val="uk-UA"/>
        </w:rPr>
        <w:t>раціоналізм, цінність, наукове мислення, раціональність, філософія науки, критичне мислення, науковий метод.</w:t>
      </w:r>
    </w:p>
    <w:p w14:paraId="469B7977" w14:textId="6C02FD06" w:rsidR="009C67AB" w:rsidRPr="00511005" w:rsidRDefault="007B2628" w:rsidP="003A292D">
      <w:pPr>
        <w:spacing w:line="264" w:lineRule="auto"/>
        <w:ind w:firstLine="0"/>
        <w:rPr>
          <w:rFonts w:ascii="Arial" w:eastAsia="Calibri" w:hAnsi="Arial" w:cs="Arial"/>
          <w:szCs w:val="28"/>
          <w:shd w:val="clear" w:color="auto" w:fill="FFFFFF"/>
          <w:lang w:val="en-US"/>
        </w:rPr>
      </w:pPr>
      <w:r w:rsidRPr="00511005">
        <w:rPr>
          <w:rFonts w:ascii="Arial" w:eastAsia="Calibri" w:hAnsi="Arial" w:cs="Arial"/>
          <w:b/>
          <w:i/>
          <w:szCs w:val="28"/>
          <w:shd w:val="clear" w:color="auto" w:fill="FFFFFF"/>
          <w:lang w:val="en-US"/>
        </w:rPr>
        <w:t xml:space="preserve">Key words: </w:t>
      </w:r>
      <w:r w:rsidR="009C67AB" w:rsidRPr="00511005">
        <w:rPr>
          <w:rFonts w:ascii="Arial" w:eastAsia="Calibri" w:hAnsi="Arial" w:cs="Arial"/>
          <w:szCs w:val="28"/>
          <w:shd w:val="clear" w:color="auto" w:fill="FFFFFF"/>
          <w:lang w:val="en-US"/>
        </w:rPr>
        <w:t>rationalism, value, scientific thinking, rationality, philosophy of science, critical thinking, scientific method.</w:t>
      </w:r>
    </w:p>
    <w:p w14:paraId="03429075" w14:textId="14D327D1" w:rsidR="009C67AB"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shd w:val="clear" w:color="auto" w:fill="FFFFFF"/>
          <w:lang w:val="uk-UA"/>
        </w:rPr>
        <w:t xml:space="preserve">Науковий керівник: </w:t>
      </w:r>
      <w:r w:rsidR="009C67AB" w:rsidRPr="00511005">
        <w:rPr>
          <w:rFonts w:ascii="Arial" w:eastAsia="Calibri" w:hAnsi="Arial" w:cs="Arial"/>
          <w:i/>
          <w:szCs w:val="28"/>
          <w:shd w:val="clear" w:color="auto" w:fill="FFFFFF"/>
          <w:lang w:val="uk-UA"/>
        </w:rPr>
        <w:t>д.ю.н., професор Мельничук О</w:t>
      </w:r>
      <w:r w:rsidR="00536AAB" w:rsidRPr="00511005">
        <w:rPr>
          <w:rFonts w:ascii="Arial" w:eastAsia="Calibri" w:hAnsi="Arial" w:cs="Arial"/>
          <w:i/>
          <w:szCs w:val="28"/>
          <w:shd w:val="clear" w:color="auto" w:fill="FFFFFF"/>
          <w:lang w:val="uk-UA"/>
        </w:rPr>
        <w:t>.</w:t>
      </w:r>
      <w:r w:rsidR="009C67AB" w:rsidRPr="00511005">
        <w:rPr>
          <w:rFonts w:ascii="Arial" w:eastAsia="Calibri" w:hAnsi="Arial" w:cs="Arial"/>
          <w:i/>
          <w:szCs w:val="28"/>
          <w:shd w:val="clear" w:color="auto" w:fill="FFFFFF"/>
          <w:lang w:val="uk-UA"/>
        </w:rPr>
        <w:t xml:space="preserve"> С.</w:t>
      </w:r>
    </w:p>
    <w:p w14:paraId="2BAC7A73" w14:textId="77777777" w:rsidR="009C67AB" w:rsidRPr="00511005" w:rsidRDefault="009C67AB" w:rsidP="003A292D">
      <w:pPr>
        <w:spacing w:line="264" w:lineRule="auto"/>
        <w:ind w:firstLine="0"/>
        <w:rPr>
          <w:rFonts w:ascii="Arial" w:eastAsia="Times New Roman" w:hAnsi="Arial" w:cs="Arial"/>
          <w:spacing w:val="-12"/>
          <w:szCs w:val="28"/>
          <w:lang w:val="uk-UA"/>
        </w:rPr>
      </w:pPr>
    </w:p>
    <w:p w14:paraId="12E24C20" w14:textId="77777777" w:rsidR="009C67AB" w:rsidRPr="00511005" w:rsidRDefault="009C67AB"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Сморудов Денис Сергійович</w:t>
      </w:r>
    </w:p>
    <w:p w14:paraId="0E8F108A" w14:textId="03C8E202" w:rsidR="009C67AB"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 1-го курсу магістратури</w:t>
      </w:r>
      <w:r w:rsidR="009C67AB"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факультету журналістики</w:t>
      </w:r>
      <w:r w:rsidR="009C67AB"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217A385B" w14:textId="77777777" w:rsidR="009C67AB" w:rsidRPr="00511005" w:rsidRDefault="009C67AB" w:rsidP="003A292D">
      <w:pPr>
        <w:keepNext/>
        <w:spacing w:line="264" w:lineRule="auto"/>
        <w:ind w:firstLine="0"/>
        <w:jc w:val="center"/>
        <w:rPr>
          <w:rFonts w:ascii="Arial" w:eastAsia="Times New Roman" w:hAnsi="Arial" w:cs="Arial"/>
          <w:i/>
          <w:szCs w:val="28"/>
          <w:lang w:val="uk-UA" w:eastAsia="ru-RU"/>
        </w:rPr>
      </w:pPr>
    </w:p>
    <w:p w14:paraId="68D0B3B4" w14:textId="77777777" w:rsidR="009C67AB" w:rsidRPr="00511005" w:rsidRDefault="009C67AB" w:rsidP="003A292D">
      <w:pPr>
        <w:keepNext/>
        <w:widowControl w:val="0"/>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МІЖДИСЦИПЛІНАРНІСТЬ У КОНТЕКСТІ СУЧАСНОЇ НАУКИ</w:t>
      </w:r>
    </w:p>
    <w:p w14:paraId="298AE685" w14:textId="77777777" w:rsidR="009C67AB" w:rsidRPr="00511005" w:rsidRDefault="009C67AB" w:rsidP="003A292D">
      <w:pPr>
        <w:keepNext/>
        <w:widowControl w:val="0"/>
        <w:spacing w:line="264" w:lineRule="auto"/>
        <w:ind w:firstLine="0"/>
        <w:jc w:val="center"/>
        <w:rPr>
          <w:rFonts w:ascii="Arial" w:eastAsia="Times New Roman" w:hAnsi="Arial" w:cs="Arial"/>
          <w:b/>
          <w:szCs w:val="28"/>
          <w:lang w:val="uk-UA" w:eastAsia="ru-RU"/>
        </w:rPr>
      </w:pPr>
    </w:p>
    <w:p w14:paraId="50BA45E5"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b/>
          <w:szCs w:val="28"/>
          <w:lang w:val="uk-UA"/>
        </w:rPr>
        <w:t>Постановка проблеми.</w:t>
      </w:r>
      <w:r w:rsidRPr="00511005">
        <w:rPr>
          <w:rFonts w:ascii="Arial" w:eastAsia="Calibri" w:hAnsi="Arial" w:cs="Arial"/>
          <w:szCs w:val="28"/>
          <w:lang w:val="uk-UA"/>
        </w:rPr>
        <w:t xml:space="preserve"> Однією з ключових проблем сучасного розвитку наукового знання є питання однорідності та уніфікації наукової думки. «При порівнянні філософії та науки впадає у вічі факт наявності у філософії великої кількості напрямів, течій, шкіл, позицій, уявлень тощо» [4, с.119]. Тривалий час наука прагнула до встановлення єдиної, універсальної істини, що часто набувала рис догматизму – «це означало спрямованість на єдину та однозначну істину, а отже, майже повністю виключалась можливість різних позицій, точок зору, тобто плюралізму» [4, с.120]. Проте з розвитком епістемології та міждисциплінарних підходів дедалі очевиднішою стає потреба у плюралізмі - визнанні множинності методів, підходів та </w:t>
      </w:r>
      <w:r w:rsidRPr="00511005">
        <w:rPr>
          <w:rFonts w:ascii="Arial" w:eastAsia="Calibri" w:hAnsi="Arial" w:cs="Arial"/>
          <w:szCs w:val="28"/>
          <w:lang w:val="uk-UA"/>
        </w:rPr>
        <w:lastRenderedPageBreak/>
        <w:t>інтерпретацій «посткласична наука будується на визнанні суб’єктності всякого знання» [4, с.120].</w:t>
      </w:r>
    </w:p>
    <w:p w14:paraId="15184A45"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Сьогодні дедалі більше дослідників спираються у своїх наукових пошуках на унікальні парадигми та індивідуальні дослідницькі стратегії, які можуть істотно відрізнятися одні від одних, але водночас збагачують загальний науковий дискурс. Запорукою таких радикальних змін є наростаюча тенденція до все більшого використання міждисциплінарних методів в наукових дослідженнях.</w:t>
      </w:r>
    </w:p>
    <w:p w14:paraId="5FE5F801"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Педагогіка, як зазначає </w:t>
      </w:r>
      <w:r w:rsidRPr="00511005">
        <w:rPr>
          <w:rFonts w:ascii="Arial" w:eastAsia="Times New Roman" w:hAnsi="Arial" w:cs="Arial"/>
          <w:bCs/>
          <w:szCs w:val="28"/>
          <w:lang w:val="uk-UA" w:eastAsia="ru-RU"/>
        </w:rPr>
        <w:t>Сисоєва С. О.,</w:t>
      </w:r>
      <w:r w:rsidRPr="00511005">
        <w:rPr>
          <w:rFonts w:ascii="Arial" w:eastAsia="Calibri" w:hAnsi="Arial" w:cs="Arial"/>
          <w:szCs w:val="28"/>
          <w:lang w:val="uk-UA"/>
        </w:rPr>
        <w:t xml:space="preserve"> – «разом з тим розвиток сучасної педагогіки все більше спирається на дослідження, які виходять за межі дисциплінарних і набувають ознак міждисциплінарних» [3, с.119], також психологія, як доводить Васянович Г. П., – «сучасна психологія становить розгалужену систему наукових дисциплін, які перебувають на різних етапах формування, пов’язаних із різноманітними сферами практики» [1, с.19], соціологія та інші гуманітарні й соціальні дисципліни постійно звертаються до міждисциплінарного діалогу, розширюючи горизонти власних досліджень і включаючи дедалі більше зовнішніх факторів. Хоча характер таких взаємозв’язків є динамічним і змінним, вони залишаються принципово необхідними. Саме завдяки міждисциплінарності відкривається доступ до ширшого методологічного інструментарію та різноманітних дискурсів, що виникають у процесі наукового пошуку.</w:t>
      </w:r>
    </w:p>
    <w:p w14:paraId="14682E62"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Ця потреба є не просто даниною академічній моді, а відповіддю на складність створення релевантного, інноваційного й водночас академічно вивіреного дослідження без залучення міждисциплінарного підходу. «Значущість методологічного рівня полягає в інтеграції закономірностей і принципів, взаємодоповненні різних підходів і методів наукового пізнання сутності та джерел зародження, становлення й утвердження нового в освіті» [2, с.176]. Адже багато ключових проблем сучасності вже були осмислені в межах попередніх наукових парадигм, через що унікальність кожної нової роботи в межах лише однієї дисципліни обґрунтовувати все складніше.</w:t>
      </w:r>
    </w:p>
    <w:p w14:paraId="7BC82E47"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Ця проблема набуває особливої гостроти, якщо звернути увагу на те, що написання наукової роботи, яка відповідає встановленим академічним стандартам, передбачає використання певного усталеного мовленнєвого апарату. Процес його затвердження та зміни не є швидким, та має дуже комплексну структуру. «На теоретичному рівні міждисциплінарних досліджень вирішуються питання дифузії в педагогічну інноватику понять, концепцій, моделей, принципів, методів, онтологічних уявлень з інших наукових галузей, а також доцільності й правомірності їх застосування» [2, с.176]. У результаті виникає категоріально-понятійний бар’єр, який ускладнює як визначення предмета дослідження, так і формулювання його сутності.</w:t>
      </w:r>
    </w:p>
    <w:p w14:paraId="49A46157"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У прагненні до об'єктивності, зазвичай реалізованої через редукціоністський підхід, – «наука ж формувалась під лозунгом об’єктивності, абсолютної однозначності істини, виключення всього, що стосувалось суб’єкта», – [4, с.123] наука схильна передчасно звужувати межі можливих інтерпретацій, упереджуючи появу справді новаторських ідей, хоча одночасно й вимагає від дослідника інноваційності. Таким чином, у самій структурі академічного дискурсу виникає парадокс, де одночасно очікується прорив у знанні, який при цьому має бути сформульований у межах завчасно встановленої системи.</w:t>
      </w:r>
    </w:p>
    <w:p w14:paraId="423710B6"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Цей парадокс особливо помітний у випадках, коли дослідження виходить за межі традиційного. Якщо ми уявимо статтю на тему фізико-математичного аналізу квантової механіки, де враховується роль спостерігача у формуванні результату експерименту, суб’єкт дослідження фактично залишається «поза дужками» на рівні теоретичної моделі. Хоча його присутність є ключовою, вона не включається у дослідницьку формулу в силу обмежень методологічного апарату, що відкидає суб’єктивність як неформалізований компонент. «Так, Ейнштейн, формулюючи основні положення теорії відносності, відмічав, що фізична теорія описує фізичний процес не сам по собі, а результат взаємодії фізичного процесу із засобами дослідження» [4, с.121]. Це демонструє глибинне методологічне протиріччя в основі сучасного наукового підходу.</w:t>
      </w:r>
    </w:p>
    <w:p w14:paraId="5588E23E"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Для подолання зазначеного вище методологічного парадоксу на перший план виходить ідея наукового плюралізму. Важливо зазначити, що йдеться не стільки про нову методологічну пропозицію, скільки про своєрідну реабілітацію її, як інтелектуального прийому, що дозволяє забезпечити гнучкість пізнання за межами жорстких дисциплінарних рамок.</w:t>
      </w:r>
    </w:p>
    <w:p w14:paraId="7F5C5357"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У цьому контексті ключову роль відіграє міждисциплінарність: вона дозволяє інтегрувати різні наукові мови та методи, розширюючи простір допустимих формулювань і тлумачень. Наприклад, якщо дослідження позиціонується як фізико-психологічне, то проблема ідентифікації предмета або включення суб’єкта дослідження в саму структуру наукового аналізу значною мірою вирішується. Те, що є методологічно неприйнятним у фізиці, може бути допустимим, навіть очікуваним, у психології.</w:t>
      </w:r>
    </w:p>
    <w:p w14:paraId="13F62340"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Ця розбіжність у допустимих епістемологічних підходах систематизується на рівні поділу наук на точні та гуманітарні. Психологія, незважаючи на свою прикордонну природу, визнається академічною дисципліною, предмет дослідження якої відбувається одночасно в декількох розуміннях. «…В сучасній психологічній науці існують різні підходи щодо розуміння психології як науки» [1, с. 19] . І водночас психологія не зобов’язана це робити: її мовленнєвий апарат допускає значно більшу гнучкість, що може бути використано для методологічного обґрунтування складних міждисциплінарних досліджень.</w:t>
      </w:r>
    </w:p>
    <w:p w14:paraId="64B2FE6D"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Сучасна наука стикається з термінологічною кризою, що виникає внаслідок нестачі концептуального простору для вільного дискурсу, інтерпретації та творчого перевизначення понять. Наприклад філософська доктрина механіцизму знаходить своє відображення у такому сучасному напрямі психології як біхевіоризм: «На думку біхевіористів, поведінка є або результатом навчання – індивідуально набутого досвіду шляхом сліпих спроб і помилок, або завченого репертуару навичок» [1, с.14]. Біхевіоризм запозичує базові уявлення про людину як про механічну систему, реакції якої можна детерміновано пояснити зовнішніми стимулами, проте водночас не апелює відкрито до філософських витоків цієї позиції. Така редукція, хоч і методологічно вивірена, часто позбавлена чутливості до цілісного контексту людського буття, що й породжує потребу в ширшому, філософськи обґрунтованому просторі.</w:t>
      </w:r>
    </w:p>
    <w:p w14:paraId="41D793EF"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Показовим у цьому контексті є зростання кількості публікацій фізиків, економістів чи істориків поза межами традиційного академічного простору. Усе частіше науковці звертаються до форматів есеїстики, вільного викладення складних тем – від квантової теорії до антропології, від історії цивілізацій до ринкових механізмів, вже не як до академічного викладу, а як до філософської рефлексії. Такі тексти не можна назвати строго дисциплінарними чи навіть міждисциплінарними, бо вони є прикладами філософського дискурсу у його найширшому розумінні.</w:t>
      </w:r>
    </w:p>
    <w:p w14:paraId="065306BA"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У цьому сенсі філософія постає не як окрема дисципліна, а як простір, чи як методологічна рамка, що дозволяє не лише подолати термінологічну кризу, а й поставити під сумнів самі межі існуючого дискурсу.</w:t>
      </w:r>
    </w:p>
    <w:p w14:paraId="3A35CB50"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b/>
          <w:szCs w:val="28"/>
          <w:lang w:val="uk-UA"/>
        </w:rPr>
        <w:t>Висновок.</w:t>
      </w:r>
      <w:r w:rsidRPr="00511005">
        <w:rPr>
          <w:rFonts w:ascii="Arial" w:eastAsia="Calibri" w:hAnsi="Arial" w:cs="Arial"/>
          <w:szCs w:val="28"/>
          <w:lang w:val="uk-UA"/>
        </w:rPr>
        <w:t xml:space="preserve"> Просте слідування новітнім науковим тенденціям дійсно неминуче призводить до чергових радикальних зрушень, однак далеко не завжди в напрямі позитивних якісних змін. Популяризація міждисциплінарного підходу, хоч і виступає засобом подолання низки методологічних труднощів, у багатьох випадках радше маскує глибинні кризи, ніж вирішує їх. Іншими словами, така методика лікує симптоми, але не усуває першопричини.</w:t>
      </w:r>
    </w:p>
    <w:p w14:paraId="3CC58950"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Однією з найгостріших проблем залишається мовленнєво-категоріальний апарат науки. Сучасна академічна спільнота стикається з необхідністю чітко визначити, що саме становить «науковість», не маючи необхідного підґрунтя для дефініції. У такому контексті порушення або гнучке тлумачення встановлених критеріїв істинності, методології чи доказовості з боку самої наукової спільноти виглядає як концептуальна суперечність, «…у підсумку своєї еволюції наука стає схожою на філософію, в ній починає домінувати плюралізм ідей…» [4, с.123]. </w:t>
      </w:r>
    </w:p>
    <w:p w14:paraId="0131A652"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Проблема криється у відсутності відкритого простору для філософської рефлексії, де міждисциплінарне осмислення могло б відбуватися не на периферії, а в центрі наукового обговорення. Цей дефіцит </w:t>
      </w:r>
      <w:r w:rsidRPr="00511005">
        <w:rPr>
          <w:rFonts w:ascii="Arial" w:eastAsia="Calibri" w:hAnsi="Arial" w:cs="Arial"/>
          <w:szCs w:val="28"/>
          <w:lang w:val="uk-UA"/>
        </w:rPr>
        <w:lastRenderedPageBreak/>
        <w:t>критичного мислення всередині науки буде загострюватися до тих пір, поки залишається невирішеним ключове питання: яке місце посідає філософія у сучасній системі знання?</w:t>
      </w:r>
    </w:p>
    <w:p w14:paraId="68C64C9D"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Без виразної інтеграції філософії як методологічного фундаменту, наука ризикує залишатися заручником власних парадоксів, де прагнення до міждисциплінарності без філософської рефлексії перетворюється на інструментальну моду, позбавлену глибинного теоретичного обґрунтування.</w:t>
      </w:r>
    </w:p>
    <w:p w14:paraId="1A75FF0D" w14:textId="77777777" w:rsidR="009C67AB" w:rsidRPr="00511005" w:rsidRDefault="009C67AB" w:rsidP="003A292D">
      <w:pPr>
        <w:spacing w:line="264" w:lineRule="auto"/>
        <w:rPr>
          <w:rFonts w:ascii="Arial" w:eastAsia="Calibri" w:hAnsi="Arial" w:cs="Arial"/>
          <w:szCs w:val="28"/>
          <w:lang w:val="uk-UA"/>
        </w:rPr>
      </w:pPr>
    </w:p>
    <w:p w14:paraId="3BC656C3" w14:textId="31AFACE8" w:rsidR="009C67AB" w:rsidRPr="00511005" w:rsidRDefault="007B2628" w:rsidP="007B2628">
      <w:pPr>
        <w:keepNext/>
        <w:widowControl w:val="0"/>
        <w:spacing w:line="264" w:lineRule="auto"/>
        <w:ind w:firstLine="0"/>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42FB43CB" w14:textId="77777777" w:rsidR="009C67AB" w:rsidRPr="00511005" w:rsidRDefault="009C67AB" w:rsidP="003A292D">
      <w:pPr>
        <w:spacing w:line="264" w:lineRule="auto"/>
        <w:ind w:firstLineChars="250" w:firstLine="700"/>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1. Васянович Г. П. Основи психології. </w:t>
      </w:r>
      <w:r w:rsidRPr="00511005">
        <w:rPr>
          <w:rFonts w:ascii="Arial" w:eastAsia="Times New Roman" w:hAnsi="Arial" w:cs="Arial"/>
          <w:bCs/>
          <w:i/>
          <w:szCs w:val="28"/>
          <w:lang w:val="uk-UA" w:eastAsia="ru-RU"/>
        </w:rPr>
        <w:t>Педагогічна думка</w:t>
      </w:r>
      <w:r w:rsidRPr="00511005">
        <w:rPr>
          <w:rFonts w:ascii="Arial" w:eastAsia="Times New Roman" w:hAnsi="Arial" w:cs="Arial"/>
          <w:bCs/>
          <w:szCs w:val="28"/>
          <w:lang w:val="uk-UA" w:eastAsia="ru-RU"/>
        </w:rPr>
        <w:t>.</w:t>
      </w:r>
      <w:r w:rsidRPr="00511005">
        <w:rPr>
          <w:rFonts w:ascii="Arial" w:eastAsia="Times New Roman" w:hAnsi="Arial" w:cs="Arial"/>
          <w:bCs/>
          <w:i/>
          <w:szCs w:val="28"/>
          <w:lang w:val="uk-UA" w:eastAsia="ru-RU"/>
        </w:rPr>
        <w:t xml:space="preserve"> </w:t>
      </w:r>
      <w:r w:rsidRPr="00511005">
        <w:rPr>
          <w:rFonts w:ascii="Arial" w:eastAsia="Times New Roman" w:hAnsi="Arial" w:cs="Arial"/>
          <w:bCs/>
          <w:szCs w:val="28"/>
          <w:lang w:val="uk-UA" w:eastAsia="ru-RU"/>
        </w:rPr>
        <w:t>Навчальний посібник. 2012. 114 с.</w:t>
      </w:r>
    </w:p>
    <w:p w14:paraId="3C648B21" w14:textId="77777777" w:rsidR="009C67AB" w:rsidRPr="00511005" w:rsidRDefault="009C67AB" w:rsidP="003A292D">
      <w:pPr>
        <w:spacing w:line="264" w:lineRule="auto"/>
        <w:ind w:firstLineChars="250" w:firstLine="700"/>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2. Кузьменко О. С Міждисциплінарність як чинник розв'язання проблем упровадження інновацій у процесі навчання фізики в технічних ЗВО. </w:t>
      </w:r>
      <w:r w:rsidRPr="00511005">
        <w:rPr>
          <w:rFonts w:ascii="Arial" w:eastAsia="Times New Roman" w:hAnsi="Arial" w:cs="Arial"/>
          <w:bCs/>
          <w:i/>
          <w:szCs w:val="28"/>
          <w:lang w:val="uk-UA" w:eastAsia="ru-RU"/>
        </w:rPr>
        <w:t xml:space="preserve">Науковий часопис Національного педагогічного університету імені М. П. Драгоманова. </w:t>
      </w:r>
      <w:r w:rsidRPr="00511005">
        <w:rPr>
          <w:rFonts w:ascii="Arial" w:eastAsia="Times New Roman" w:hAnsi="Arial" w:cs="Arial"/>
          <w:bCs/>
          <w:szCs w:val="28"/>
          <w:lang w:val="uk-UA" w:eastAsia="ru-RU"/>
        </w:rPr>
        <w:t>2021 Вип. 79. С. 174-178.</w:t>
      </w:r>
    </w:p>
    <w:p w14:paraId="783A364B" w14:textId="77777777" w:rsidR="009C67AB" w:rsidRPr="00511005" w:rsidRDefault="009C67AB" w:rsidP="003A292D">
      <w:pPr>
        <w:spacing w:line="264" w:lineRule="auto"/>
        <w:ind w:firstLineChars="250" w:firstLine="700"/>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3. Сисоєва С. О. Міждисциплінарні педагогічні дослідження в контексті розвитку освітології. </w:t>
      </w:r>
      <w:r w:rsidRPr="00511005">
        <w:rPr>
          <w:rFonts w:ascii="Arial" w:eastAsia="Times New Roman" w:hAnsi="Arial" w:cs="Arial"/>
          <w:bCs/>
          <w:i/>
          <w:szCs w:val="28"/>
          <w:lang w:val="uk-UA" w:eastAsia="ru-RU"/>
        </w:rPr>
        <w:t>Освітологія</w:t>
      </w:r>
      <w:r w:rsidRPr="00511005">
        <w:rPr>
          <w:rFonts w:ascii="Arial" w:eastAsia="Times New Roman" w:hAnsi="Arial" w:cs="Arial"/>
          <w:bCs/>
          <w:szCs w:val="28"/>
          <w:lang w:val="uk-UA" w:eastAsia="ru-RU"/>
        </w:rPr>
        <w:t>.</w:t>
      </w:r>
      <w:r w:rsidRPr="00511005">
        <w:rPr>
          <w:rFonts w:ascii="Arial" w:eastAsia="Times New Roman" w:hAnsi="Arial" w:cs="Arial"/>
          <w:bCs/>
          <w:i/>
          <w:szCs w:val="28"/>
          <w:lang w:val="uk-UA" w:eastAsia="ru-RU"/>
        </w:rPr>
        <w:t xml:space="preserve"> </w:t>
      </w:r>
      <w:r w:rsidRPr="00511005">
        <w:rPr>
          <w:rFonts w:ascii="Arial" w:eastAsia="Times New Roman" w:hAnsi="Arial" w:cs="Arial"/>
          <w:bCs/>
          <w:szCs w:val="28"/>
          <w:lang w:val="uk-UA" w:eastAsia="ru-RU"/>
        </w:rPr>
        <w:t>2017. № 6. С. 26-30.</w:t>
      </w:r>
    </w:p>
    <w:p w14:paraId="6C41DC1F" w14:textId="77777777" w:rsidR="009C67AB" w:rsidRPr="00511005" w:rsidRDefault="009C67AB" w:rsidP="003A292D">
      <w:pPr>
        <w:spacing w:line="264" w:lineRule="auto"/>
        <w:ind w:firstLineChars="250" w:firstLine="700"/>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4. Шевчук С. Ф. Плюралізм у філософії та науці. </w:t>
      </w:r>
      <w:r w:rsidRPr="00511005">
        <w:rPr>
          <w:rFonts w:ascii="Arial" w:eastAsia="Times New Roman" w:hAnsi="Arial" w:cs="Arial"/>
          <w:bCs/>
          <w:i/>
          <w:szCs w:val="28"/>
          <w:lang w:val="uk-UA" w:eastAsia="ru-RU"/>
        </w:rPr>
        <w:t xml:space="preserve">Молодий вчений. </w:t>
      </w:r>
      <w:r w:rsidRPr="00511005">
        <w:rPr>
          <w:rFonts w:ascii="Arial" w:eastAsia="Times New Roman" w:hAnsi="Arial" w:cs="Arial"/>
          <w:bCs/>
          <w:szCs w:val="28"/>
          <w:lang w:val="uk-UA" w:eastAsia="ru-RU"/>
        </w:rPr>
        <w:t>2017. № 4. С. 119-124.</w:t>
      </w:r>
    </w:p>
    <w:p w14:paraId="35A67B49" w14:textId="77777777" w:rsidR="009C67AB" w:rsidRPr="00511005" w:rsidRDefault="009C67AB" w:rsidP="003A292D">
      <w:pPr>
        <w:spacing w:line="264" w:lineRule="auto"/>
        <w:ind w:firstLineChars="250" w:firstLine="700"/>
        <w:contextualSpacing/>
        <w:rPr>
          <w:rFonts w:ascii="Arial" w:eastAsia="Times New Roman" w:hAnsi="Arial" w:cs="Arial"/>
          <w:bCs/>
          <w:szCs w:val="28"/>
          <w:lang w:val="uk-UA" w:eastAsia="ru-RU"/>
        </w:rPr>
      </w:pPr>
    </w:p>
    <w:p w14:paraId="4ED47A42" w14:textId="73E0EE0A" w:rsidR="009C67AB" w:rsidRPr="00511005" w:rsidRDefault="007B2628" w:rsidP="003A292D">
      <w:pPr>
        <w:spacing w:line="264" w:lineRule="auto"/>
        <w:ind w:firstLine="0"/>
        <w:contextualSpacing/>
        <w:rPr>
          <w:rFonts w:ascii="Arial" w:eastAsia="Times New Roman" w:hAnsi="Arial" w:cs="Arial"/>
          <w:bCs/>
          <w:szCs w:val="28"/>
          <w:lang w:val="uk-UA" w:eastAsia="ru-RU"/>
        </w:rPr>
      </w:pPr>
      <w:r w:rsidRPr="00511005">
        <w:rPr>
          <w:rFonts w:ascii="Arial" w:eastAsia="Times New Roman" w:hAnsi="Arial" w:cs="Arial"/>
          <w:b/>
          <w:i/>
          <w:szCs w:val="28"/>
          <w:lang w:val="uk-UA" w:eastAsia="ru-RU"/>
        </w:rPr>
        <w:t xml:space="preserve">Ключові слова: </w:t>
      </w:r>
      <w:r w:rsidR="009C67AB" w:rsidRPr="00511005">
        <w:rPr>
          <w:rFonts w:ascii="Arial" w:eastAsia="Times New Roman" w:hAnsi="Arial" w:cs="Arial"/>
          <w:szCs w:val="28"/>
          <w:lang w:val="uk-UA" w:eastAsia="ru-RU"/>
        </w:rPr>
        <w:t>міждисциплінарність, сучасна наука, плюралізм, категоріальний апарат, філософія, епістемологія, наукове знання, метод, методологія.</w:t>
      </w:r>
    </w:p>
    <w:p w14:paraId="48630E8B" w14:textId="60036F34" w:rsidR="009C67AB" w:rsidRPr="00511005" w:rsidRDefault="007B2628" w:rsidP="003A292D">
      <w:pPr>
        <w:spacing w:line="264" w:lineRule="auto"/>
        <w:ind w:firstLine="0"/>
        <w:contextualSpacing/>
        <w:rPr>
          <w:rFonts w:ascii="Arial" w:eastAsia="Times New Roman" w:hAnsi="Arial" w:cs="Arial"/>
          <w:bCs/>
          <w:szCs w:val="28"/>
          <w:lang w:val="en-US" w:eastAsia="ru-RU"/>
        </w:rPr>
      </w:pPr>
      <w:r w:rsidRPr="00511005">
        <w:rPr>
          <w:rFonts w:ascii="Arial" w:eastAsia="Times New Roman" w:hAnsi="Arial" w:cs="Arial"/>
          <w:b/>
          <w:i/>
          <w:szCs w:val="28"/>
          <w:lang w:val="en-US" w:eastAsia="ru-RU"/>
        </w:rPr>
        <w:t xml:space="preserve">Key words: </w:t>
      </w:r>
      <w:r w:rsidR="009C67AB" w:rsidRPr="00511005">
        <w:rPr>
          <w:rFonts w:ascii="Arial" w:eastAsia="Times New Roman" w:hAnsi="Arial" w:cs="Arial"/>
          <w:bCs/>
          <w:szCs w:val="28"/>
          <w:lang w:val="en-US" w:eastAsia="ru-RU"/>
        </w:rPr>
        <w:t>interdisciplinarity, modern science, pluralism, categorical apparatus, philosophy, epistemology, scientific knowledge, method, methodology.</w:t>
      </w:r>
    </w:p>
    <w:p w14:paraId="1B31B8CC" w14:textId="03AB2E4F" w:rsidR="009C67AB" w:rsidRPr="00511005" w:rsidRDefault="007B2628" w:rsidP="003A292D">
      <w:pPr>
        <w:spacing w:line="264" w:lineRule="auto"/>
        <w:ind w:firstLine="0"/>
        <w:contextualSpacing/>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9C67AB" w:rsidRPr="00511005">
        <w:rPr>
          <w:rFonts w:ascii="Arial" w:eastAsia="Times New Roman" w:hAnsi="Arial" w:cs="Arial"/>
          <w:bCs/>
          <w:i/>
          <w:iCs/>
          <w:szCs w:val="28"/>
          <w:lang w:val="uk-UA" w:eastAsia="ru-RU"/>
        </w:rPr>
        <w:t>д.ю.н., професор Мельничук Ольга Степанівна</w:t>
      </w:r>
    </w:p>
    <w:p w14:paraId="591C34B6" w14:textId="2A1F03CF" w:rsidR="00536AAB" w:rsidRPr="00511005" w:rsidRDefault="00536AAB" w:rsidP="003A292D">
      <w:pPr>
        <w:spacing w:line="264" w:lineRule="auto"/>
        <w:ind w:firstLine="0"/>
        <w:contextualSpacing/>
        <w:rPr>
          <w:rFonts w:ascii="Arial" w:eastAsia="Times New Roman" w:hAnsi="Arial" w:cs="Arial"/>
          <w:bCs/>
          <w:i/>
          <w:iCs/>
          <w:szCs w:val="28"/>
          <w:lang w:val="uk-UA" w:eastAsia="ru-RU"/>
        </w:rPr>
      </w:pPr>
    </w:p>
    <w:p w14:paraId="02E1DFF0" w14:textId="77777777" w:rsidR="00536AAB" w:rsidRPr="00511005" w:rsidRDefault="00536AAB" w:rsidP="003A292D">
      <w:pPr>
        <w:spacing w:line="264" w:lineRule="auto"/>
        <w:ind w:firstLine="0"/>
        <w:contextualSpacing/>
        <w:rPr>
          <w:rFonts w:ascii="Arial" w:eastAsia="Times New Roman" w:hAnsi="Arial" w:cs="Arial"/>
          <w:bCs/>
          <w:szCs w:val="28"/>
          <w:lang w:val="uk-UA" w:eastAsia="ru-RU"/>
        </w:rPr>
      </w:pPr>
    </w:p>
    <w:p w14:paraId="5D8B3CD4" w14:textId="77777777" w:rsidR="009C67AB" w:rsidRPr="00511005" w:rsidRDefault="009C67AB"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Степашкін Сергій Станіславович</w:t>
      </w:r>
    </w:p>
    <w:p w14:paraId="41A97F3C" w14:textId="643E33EF" w:rsidR="009C67AB" w:rsidRPr="00511005" w:rsidRDefault="00287A9C" w:rsidP="003A292D">
      <w:pPr>
        <w:keepNext/>
        <w:spacing w:line="264" w:lineRule="auto"/>
        <w:ind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студент</w:t>
      </w:r>
      <w:r w:rsidR="009C67AB" w:rsidRPr="00511005">
        <w:rPr>
          <w:rFonts w:ascii="Arial" w:eastAsia="Times New Roman" w:hAnsi="Arial" w:cs="Arial"/>
          <w:bCs/>
          <w:iCs/>
          <w:szCs w:val="28"/>
          <w:lang w:val="uk-UA" w:eastAsia="ru-RU"/>
        </w:rPr>
        <w:t xml:space="preserve"> </w:t>
      </w:r>
      <w:r w:rsidR="007B2628" w:rsidRPr="00511005">
        <w:rPr>
          <w:rFonts w:ascii="Arial" w:eastAsia="Times New Roman" w:hAnsi="Arial" w:cs="Arial"/>
          <w:bCs/>
          <w:iCs/>
          <w:szCs w:val="28"/>
          <w:lang w:val="uk-UA" w:eastAsia="ru-RU"/>
        </w:rPr>
        <w:t>1-го курсу</w:t>
      </w:r>
      <w:r w:rsidR="009C67AB" w:rsidRPr="00511005">
        <w:rPr>
          <w:rFonts w:ascii="Arial" w:eastAsia="Times New Roman" w:hAnsi="Arial" w:cs="Arial"/>
          <w:bCs/>
          <w:iCs/>
          <w:szCs w:val="28"/>
          <w:lang w:val="uk-UA" w:eastAsia="ru-RU"/>
        </w:rPr>
        <w:t xml:space="preserve"> </w:t>
      </w:r>
      <w:r w:rsidR="001B7B25" w:rsidRPr="00511005">
        <w:rPr>
          <w:rFonts w:ascii="Arial" w:eastAsia="Times New Roman" w:hAnsi="Arial" w:cs="Arial"/>
          <w:bCs/>
          <w:iCs/>
          <w:szCs w:val="28"/>
          <w:lang w:val="uk-UA" w:eastAsia="ru-RU"/>
        </w:rPr>
        <w:t>факультету судового та міжнародного права</w:t>
      </w:r>
    </w:p>
    <w:p w14:paraId="1E83020E" w14:textId="31E94380" w:rsidR="009C67AB"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22F2A416" w14:textId="77777777" w:rsidR="009C67AB" w:rsidRPr="00511005" w:rsidRDefault="009C67AB" w:rsidP="003A292D">
      <w:pPr>
        <w:keepNext/>
        <w:spacing w:line="264" w:lineRule="auto"/>
        <w:ind w:firstLine="0"/>
        <w:jc w:val="center"/>
        <w:rPr>
          <w:rFonts w:ascii="Arial" w:eastAsia="Times New Roman" w:hAnsi="Arial" w:cs="Arial"/>
          <w:i/>
          <w:szCs w:val="28"/>
          <w:lang w:val="uk-UA" w:eastAsia="ru-RU"/>
        </w:rPr>
      </w:pPr>
    </w:p>
    <w:p w14:paraId="518DA107" w14:textId="77777777" w:rsidR="009C67AB" w:rsidRPr="00511005" w:rsidRDefault="009C67AB" w:rsidP="003A292D">
      <w:pPr>
        <w:spacing w:line="264" w:lineRule="auto"/>
        <w:ind w:firstLine="567"/>
        <w:jc w:val="center"/>
        <w:rPr>
          <w:rFonts w:ascii="Arial" w:eastAsia="Aptos" w:hAnsi="Arial" w:cs="Arial"/>
          <w:b/>
          <w:bCs/>
          <w:kern w:val="2"/>
          <w:szCs w:val="28"/>
          <w:lang w:val="uk-UA"/>
          <w14:ligatures w14:val="standardContextual"/>
        </w:rPr>
      </w:pPr>
      <w:r w:rsidRPr="00511005">
        <w:rPr>
          <w:rFonts w:ascii="Arial" w:eastAsia="Aptos" w:hAnsi="Arial" w:cs="Arial"/>
          <w:b/>
          <w:bCs/>
          <w:kern w:val="2"/>
          <w:szCs w:val="28"/>
          <w:lang w:val="uk-UA"/>
          <w14:ligatures w14:val="standardContextual"/>
        </w:rPr>
        <w:t>ІДЕЇ НІЦШЕ В КОНТЕКСТІ СУЧАСНОЇ КУЛЬТУРИ: ПОШУК СМИСЛУ В ЕПОХУ ПОСТМОДЕРНУ</w:t>
      </w:r>
    </w:p>
    <w:p w14:paraId="41677CDC" w14:textId="77777777" w:rsidR="009C67AB" w:rsidRPr="00511005" w:rsidRDefault="009C67AB" w:rsidP="003A292D">
      <w:pPr>
        <w:spacing w:line="264" w:lineRule="auto"/>
        <w:ind w:firstLine="567"/>
        <w:jc w:val="center"/>
        <w:rPr>
          <w:rFonts w:ascii="Arial" w:eastAsia="Aptos" w:hAnsi="Arial" w:cs="Arial"/>
          <w:i/>
          <w:iCs/>
          <w:kern w:val="2"/>
          <w:szCs w:val="28"/>
          <w:lang w:val="uk-UA"/>
          <w14:ligatures w14:val="standardContextual"/>
        </w:rPr>
      </w:pPr>
    </w:p>
    <w:p w14:paraId="3A2DCC4E"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Сучасна постмодерна культура, що панує в західному світі, постає як своєрідний синтез і одночасно як критичне переосмислення попередніх ідей, насміхаючись над абсолютами, які підтримував модерн. Постмодерн прагне до переоцінки усталених істин, відкидаючи прагматичність і науковість, замінюючи їх інтуїтивним, емоційним та іронічним підходами. Він підриває традиційні основи, залучаючи ірраціональне та суб’єктивне, і цим викликає потребу у нових формах сенсу в епоху глобальної невизначеності.</w:t>
      </w:r>
    </w:p>
    <w:p w14:paraId="0A0391A6"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lastRenderedPageBreak/>
        <w:t>Ідеї Фрідріха Ніцше – ірраціоналізм, песимізм, нігілізм і концепція «переоцінки всіх цінностей» – стали фундаментом для критичного духу постмодернізму, надаючи йому глибини й інтенсивності. Ф. Ніцше пропонував бачення культури, де індивід шукає власний сенс, не звертаючись до зовнішніх ідеалів, які, на думку філософа, є пастками слабкості. Дослідження його ідей у цьому контексті дозволяє краще зрозуміти як сучасний постмодерний стан, так і можливі траєкторії розвитку культурної свідомості у майбутньому.</w:t>
      </w:r>
    </w:p>
    <w:p w14:paraId="45F74174"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Об’єкт дослідження в цій роботі – сучасна постмодерна культура та її ціннісні основи. Предмет дослідження – ідеї Фрідріха Ніцше та їхній вплив на формування нових смислів і ціннісних орієнтирів у постмодерній культурі.</w:t>
      </w:r>
    </w:p>
    <w:p w14:paraId="3996E92A"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Мета дослідження – проаналізувати концепції Ніцше, зокрема ідеї нігілізму, ірраціоналізму та переоцінки цінностей, у контексті сучасної культури, визначити їх потенціал для пошуку нових сенсів у постмодерному суспільстві та їх вплив на процеси культурної трансформації.</w:t>
      </w:r>
    </w:p>
    <w:p w14:paraId="6D7BCAEB"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Ідеї Фрідріха Ніцше, яскраво виражені у творах «Людське, надто людське» (1878), «Так казав Заратустра» (1885), «По той бік добра і зла» та «Генеалогія моралі» (1886–1887), стали радикальним викликом усталеним нормам того часу. Філософ сміливо поставив під сумнів такі основи, як релігія, мораль, колективне підпорядкування та пошук об’єктивної істини, акцентуючи увагу на свободі особистості, сенсі життя та можливості соціокультурного розподілу за принципом сродної праці, подібно до Г. Сковороди.</w:t>
      </w:r>
    </w:p>
    <w:p w14:paraId="41249155"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Розглянемо ключові положення філософії Фрідріха Ніцше, які сприяють осмисленню сучасного постмодерну.</w:t>
      </w:r>
    </w:p>
    <w:p w14:paraId="32E83C60"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i/>
          <w:iCs/>
          <w:kern w:val="2"/>
          <w:szCs w:val="28"/>
          <w:lang w:val="uk-UA"/>
          <w14:ligatures w14:val="standardContextual"/>
        </w:rPr>
        <w:t>Погляди на релігію та Бога.</w:t>
      </w:r>
      <w:r w:rsidRPr="00511005">
        <w:rPr>
          <w:rFonts w:ascii="Arial" w:eastAsia="Aptos" w:hAnsi="Arial" w:cs="Arial"/>
          <w:kern w:val="2"/>
          <w:szCs w:val="28"/>
          <w:lang w:val="uk-UA"/>
          <w14:ligatures w14:val="standardContextual"/>
        </w:rPr>
        <w:t xml:space="preserve"> Ф. Ніцше пропонує радикальне переосмислення ролі сакрального в житті суспільства та індивіда. Фраза «Бог помер» у його філософії не просто висловлює факт зростання атеїзму; вона підкреслює глибоку кризу віри та втрату традиційних моральних і духовних орієнтирів, які впродовж століть підтримували суспільні цінності. Для Ф. Ніцше смерть Бога означала кінець уявлення про всесильну істоту, яка могла б регулювати та визначати моральні принципи поза людськими інтересами й амбіціями. У цій порожнечі, де більше немає абсолютного джерела моралі, філософ бачив можливість для людини взяти на себе відповідальність за створення власних цінностей. Ніцше розвинув ідею «переоцінки всіх цінностей», закликаючи до звільнення від догматичних переконань і до індивідуального пошуку сенсу. Такий підхід став провісником сучасної постмодерної кризи цінностей, де індивід має знайти сенс і моральний компас у світі, що вже не покладається на універсальні авторитети.</w:t>
      </w:r>
    </w:p>
    <w:p w14:paraId="12610831"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i/>
          <w:iCs/>
          <w:kern w:val="2"/>
          <w:szCs w:val="28"/>
          <w:lang w:val="uk-UA"/>
          <w14:ligatures w14:val="standardContextual"/>
        </w:rPr>
        <w:t>Погляди на мораль</w:t>
      </w:r>
      <w:r w:rsidRPr="00511005">
        <w:rPr>
          <w:rFonts w:ascii="Arial" w:eastAsia="Aptos" w:hAnsi="Arial" w:cs="Arial"/>
          <w:kern w:val="2"/>
          <w:szCs w:val="28"/>
          <w:lang w:val="uk-UA"/>
          <w14:ligatures w14:val="standardContextual"/>
        </w:rPr>
        <w:t xml:space="preserve"> Ф. Ніцше вирізняються радикальністю і викликом загальноприйнятим уявленням. «Дуже важливо, щоб про мораль </w:t>
      </w:r>
      <w:r w:rsidRPr="00511005">
        <w:rPr>
          <w:rFonts w:ascii="Arial" w:eastAsia="Aptos" w:hAnsi="Arial" w:cs="Arial"/>
          <w:kern w:val="2"/>
          <w:szCs w:val="28"/>
          <w:lang w:val="uk-UA"/>
          <w14:ligatures w14:val="standardContextual"/>
        </w:rPr>
        <w:lastRenderedPageBreak/>
        <w:t>роздумували якомога менше людей… І сьогодні ситуація така, як і завжди: я не бачу в Європі нікого, хто мав би (або склав би) уявлення, що роздуми про мораль можуть бути небезпечними, ризикованими, спокусливими, – містити в собі приреченість» [1, с. 120–121]. Він вважав моральну систему, якою керується більшість, виразом обмеженості й духовної слабкості. Мораль, за його думкою, є знаряддям для тих, хто не здатен до самостійного мислення, тих, хто прагне компенсувати свої недоліки, накладаючи обмеження на сильніших і вільніших. Для Ніцше мораль масової культури – це «мораль стадних тварин», призначена для контролю й підпорядкування, а не для розвитку індивідуальної сили та незалежності. «Жодна з цих … стадних тварин (котрі намагаються видавати егоїстичні інтереси за інтереси загального добра) не хоче ні знати, ні чути того, шо «загальне добро» – це ані ідеал, ані мета, ані якесь конкретне уявлення, а всього-на-всього блювотний засіб, шо слушне для одного не конче може бути слушним для когось іншого, шо вимога єдиної моралі для всіх шкодить передусім вищій людині, тобто існує ієрархія людей, а отже, ієрархія моралей» [1, с. 120–121]. Філософ відкидав ідею універсальної моралі, оскільки вона пригнічує індивідуальність і створює ілюзію рівності, що, на його думку, суперечить природній ієрархії людей. Універсальна мораль обмежує розвиток вищої людини, яка прагне до шляхетності, волі та самовдосконалення. Справжній моральний пошук, на думку Ніцше, має бути привілеєм небагатьох, здатних до глибоких роздумів і духовної незалежності.</w:t>
      </w:r>
    </w:p>
    <w:p w14:paraId="2F84070F"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i/>
          <w:iCs/>
          <w:kern w:val="2"/>
          <w:szCs w:val="28"/>
          <w:lang w:val="uk-UA"/>
          <w14:ligatures w14:val="standardContextual"/>
        </w:rPr>
        <w:t>Абсолютна неабсолютність. Неістинні істини та мінливе буття.</w:t>
      </w:r>
      <w:r w:rsidRPr="00511005">
        <w:rPr>
          <w:rFonts w:ascii="Arial" w:eastAsia="Aptos" w:hAnsi="Arial" w:cs="Arial"/>
          <w:kern w:val="2"/>
          <w:szCs w:val="28"/>
          <w:lang w:val="uk-UA"/>
          <w14:ligatures w14:val="standardContextual"/>
        </w:rPr>
        <w:t xml:space="preserve"> Ці ідеї у філософії Ніцше ставлять під сумнів звичні уявлення про істину і мораль. Згідно з його поглядами, релігія та мораль є лише лицемірними конвенціями, які обмежують людську свободу і здатність до творчого самовираження. Якщо ці цінності перестають бути основою людського життя, то зникає традиційний моральний компас, і кожна істина стає відносною, такою, що її можна оспорювати. Ф. Ніцше стверджує, що світ сам по собі не є добрим чи злим, найкращим чи найгіршим; поняття «добра» і «зла» мають сенс тільки у контексті людських відносин. Пошук абсолютного знання, за Ніцше, може призвести до глибокого розчарування, якого людство не готове сприйняти, якщо не подолає своєї звички до самозаспокоєння. Це розуміння відкриває шлях до філософії «логічного заперечення» – заперечення об’єктивної істини як такої. Водночас, це заперечення може гармонійно співіснувати з практичним прийняттям світу, і навіть живити його. Ф. Ніцше відкидає твердження, що річ є «істинною» лише тому, що вона існує. Він вказує на те, що людська оцінка та суб’єктивний досвід надають речам нової, більшої «істинності», що є, по суті, продуктом інтерпретації. Істина, на його думку, – це не статична величина, а процес, який постійно змінюється під впливом людської волі до пізнання та творчого осмислення буття.</w:t>
      </w:r>
    </w:p>
    <w:p w14:paraId="770F9A52"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i/>
          <w:iCs/>
          <w:kern w:val="2"/>
          <w:szCs w:val="28"/>
          <w:lang w:val="uk-UA"/>
          <w14:ligatures w14:val="standardContextual"/>
        </w:rPr>
        <w:lastRenderedPageBreak/>
        <w:t>Надлюдина, або уберменш.</w:t>
      </w:r>
      <w:r w:rsidRPr="00511005">
        <w:rPr>
          <w:rFonts w:ascii="Arial" w:eastAsia="Aptos" w:hAnsi="Arial" w:cs="Arial"/>
          <w:kern w:val="2"/>
          <w:szCs w:val="28"/>
          <w:lang w:val="uk-UA"/>
          <w14:ligatures w14:val="standardContextual"/>
        </w:rPr>
        <w:t xml:space="preserve"> Ф. Ніцше вважав доцільними розділення людства на еліту та чернь. Чернь мала б забезпечувати діяльність еліти, коли еліта – робити поступ у всіх сферах життя. І, звісно, еліта мала б пригнічувати чернь (такі собі спартіати та ілоти). Він висував тези, що несправедливість існує й має бути завжди, що через неї відбувається еволюція, як біологічна, так і соціальна. Таким чином мають утворитись умови задля виродження обидвох каст, та їх змішання в аморфну масу, з якої, як із попелу, має постати надлюдина. Вчинки уберменша – свідомі, ті які він сам виробив через панування своєю волею, а відповідальність лежить на ньому цілком. Його цінності – саме його, а не чиї-небудь інші, ті котрі вироблені ним самим. Не існуватиме держав, націй та інших об’єднуючих організацій та спільнот, бо вони обмежують волю, а як наслідок мають бути ним знищені. Надлюдина – не одна особа, радше новий вид. Новий виток еволюції, котрий має покрити земний шар, що стане місцем для анархічного розвитку кожного з них. Надлюдина зневажає те, що нижче її. Їй підвладне все, вона зробить усе можливим, бо для її розвитку не існує будь яких обмежень та перепон з точки зору нашої людської моралі [2].</w:t>
      </w:r>
    </w:p>
    <w:p w14:paraId="2CA02DC2"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Зазначимо, що постмодерн стикається з глибокою проблемою: виснаженням і надмірною переоцінкою минулих ідей, що, на жаль, не веде до істинного прогресу. Сучасне суспільство гостро потребує нового, незвичного і, можливо, радикального погляду, який зміг би надати нового сенсу. Нігілізм, екзистенціалізм та ірраціональність, навіть непомітно для багатьох, проникають у свідомість, незалежно від того, чи розуміють люди сутність цих течій. Особливо це явище помітне в суспільствах, що зазнали впливу тоталітаризму, як, наприклад, країни пострадянського простору, зокрема Україна. У цих країнах часто звучить ідея, що деякі думки й цінності, нав'язані колись зовні, заважають розвиткові особистості. Національна свідомість і демократичний дух, який інколи межує з анархізмом, тільки посилюють потребу в переоцінці й осмисленні власних цінностей. Вивчення ідей Ф. Ніцше у цьому контексті стає особливо актуальним. Його радикальні погляди на мораль, істину та природу індивіда можуть стати цінним інструментом для суспільств, що прагнуть самовизначення й розвитку на нових, самостійно осмислених засадах.</w:t>
      </w:r>
    </w:p>
    <w:p w14:paraId="18082998"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Підсумовуючи викладений матеріал, можна сказати, що ідеї Ф. Ніцше мають глибокий, хоча й часто неусвідомлений вплив на сучасне суспільство. Його концепції аморальності та нігілізму відкривають можливості для новаторських, хоч і суперечливих досягнень, як-от дослідження в області медицини чи технологій, що іноді порушують етичні норми, але водночас приводять до значного прогресу людства. Ідеї Ніцше про свободу індивіда і критичне переосмислення моралі підказують, що відмова від жорстких етичних обмежень може стимулювати небачений досі прогрес, звільняючи простір для інновацій та нових смислів. У світі, де «погане» є лише відбитком </w:t>
      </w:r>
      <w:r w:rsidRPr="00511005">
        <w:rPr>
          <w:rFonts w:ascii="Arial" w:eastAsia="Aptos" w:hAnsi="Arial" w:cs="Arial"/>
          <w:kern w:val="2"/>
          <w:szCs w:val="28"/>
          <w:lang w:val="uk-UA"/>
          <w14:ligatures w14:val="standardContextual"/>
        </w:rPr>
        <w:lastRenderedPageBreak/>
        <w:t>чиєїсь суб’єктивної думки, відкривається можливість для дискусії як засобу досягнення істини. Таке суспільство може об’єднати творчу свободу і мудрість, яка, за Ф. Ніцше, народжується в суперечці. Проваджуючи ідеї Ф. Ніцше в життя, можна уявити справжній розвиток культури, науки та побуту, а також початок нових великих звершень, як-от освоєння космосу. Література та фантастика, наприклад, всесвіт «Warhammer 40k», ілюструє можливий вплив ідей Ф. Ніцше на уявлення про надлюдину і домінування: людство стає космічною цивілізацією, що безупинно прагне до самовдосконалення, нових сенсів і прагнень. Це і є шлях, який, на думку Ф. Ніцше, може вивести людство на новий рівень існування і розуміння.</w:t>
      </w:r>
    </w:p>
    <w:p w14:paraId="0C3075F4" w14:textId="77777777" w:rsidR="009C67AB" w:rsidRPr="00511005" w:rsidRDefault="009C67AB" w:rsidP="003A292D">
      <w:pPr>
        <w:spacing w:line="264" w:lineRule="auto"/>
        <w:ind w:firstLine="567"/>
        <w:rPr>
          <w:rFonts w:ascii="Arial" w:eastAsia="Aptos" w:hAnsi="Arial" w:cs="Arial"/>
          <w:kern w:val="2"/>
          <w:szCs w:val="28"/>
          <w:lang w:val="uk-UA"/>
          <w14:ligatures w14:val="standardContextual"/>
        </w:rPr>
      </w:pPr>
    </w:p>
    <w:p w14:paraId="3A29BAED" w14:textId="13718352" w:rsidR="009C67AB" w:rsidRPr="00511005" w:rsidRDefault="007B2628" w:rsidP="007B2628">
      <w:pPr>
        <w:spacing w:line="264" w:lineRule="auto"/>
        <w:ind w:firstLine="567"/>
        <w:jc w:val="center"/>
        <w:rPr>
          <w:rFonts w:ascii="Arial" w:eastAsia="Aptos" w:hAnsi="Arial" w:cs="Arial"/>
          <w:kern w:val="2"/>
          <w:szCs w:val="28"/>
          <w:lang w:val="uk-UA"/>
          <w14:ligatures w14:val="standardContextual"/>
        </w:rPr>
      </w:pPr>
      <w:r w:rsidRPr="00511005">
        <w:rPr>
          <w:rFonts w:ascii="Arial" w:eastAsia="Aptos" w:hAnsi="Arial" w:cs="Arial"/>
          <w:b/>
          <w:bCs/>
          <w:kern w:val="2"/>
          <w:szCs w:val="28"/>
          <w:lang w:val="uk-UA"/>
          <w14:ligatures w14:val="standardContextual"/>
        </w:rPr>
        <w:t>Список використаних джерел</w:t>
      </w:r>
    </w:p>
    <w:p w14:paraId="6DF4F328" w14:textId="77777777" w:rsidR="009C67AB" w:rsidRPr="00511005" w:rsidRDefault="009C67AB"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1. Ніцше Ф. По той бік добра і зла. Генеалогія моралі / Пер. з нім. А. Онишко. Львів: Літопис, 2002. 320 с. URL: </w:t>
      </w:r>
      <w:hyperlink r:id="rId108" w:history="1">
        <w:r w:rsidRPr="00511005">
          <w:rPr>
            <w:rFonts w:ascii="Arial" w:eastAsia="Aptos" w:hAnsi="Arial" w:cs="Arial"/>
            <w:kern w:val="2"/>
            <w:szCs w:val="28"/>
            <w:lang w:val="uk-UA"/>
            <w14:ligatures w14:val="standardContextual"/>
          </w:rPr>
          <w:t>https://shron1.chtyvo.org.ua/Nietzsche_Friedrich/Po_toi_bik_dobra_i_zla_Henealohia_morali.pdf</w:t>
        </w:r>
      </w:hyperlink>
    </w:p>
    <w:p w14:paraId="6921364C" w14:textId="77777777" w:rsidR="009C67AB" w:rsidRPr="00511005" w:rsidRDefault="009C67AB"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2. Eva Cybulska. Nietzsche’s Übermensch: A Hero of Our Time? </w:t>
      </w:r>
      <w:r w:rsidRPr="00511005">
        <w:rPr>
          <w:rFonts w:ascii="Arial" w:eastAsia="Aptos" w:hAnsi="Arial" w:cs="Arial"/>
          <w:i/>
          <w:iCs/>
          <w:kern w:val="2"/>
          <w:szCs w:val="28"/>
          <w:lang w:val="uk-UA"/>
          <w14:ligatures w14:val="standardContextual"/>
        </w:rPr>
        <w:t>Philosophy Now.</w:t>
      </w:r>
      <w:r w:rsidRPr="00511005">
        <w:rPr>
          <w:rFonts w:ascii="Arial" w:eastAsia="Aptos" w:hAnsi="Arial" w:cs="Arial"/>
          <w:kern w:val="2"/>
          <w:szCs w:val="28"/>
          <w:lang w:val="uk-UA"/>
          <w14:ligatures w14:val="standardContextual"/>
        </w:rPr>
        <w:t xml:space="preserve"> 2012. URL: </w:t>
      </w:r>
      <w:hyperlink r:id="rId109" w:history="1">
        <w:r w:rsidRPr="00511005">
          <w:rPr>
            <w:rFonts w:ascii="Arial" w:eastAsia="Aptos" w:hAnsi="Arial" w:cs="Arial"/>
            <w:kern w:val="2"/>
            <w:szCs w:val="28"/>
            <w:lang w:val="uk-UA"/>
            <w14:ligatures w14:val="standardContextual"/>
          </w:rPr>
          <w:t>https://is.gd/H898w0</w:t>
        </w:r>
      </w:hyperlink>
    </w:p>
    <w:p w14:paraId="3A2CE9AF" w14:textId="77777777" w:rsidR="009C67AB" w:rsidRPr="00511005" w:rsidRDefault="009C67AB" w:rsidP="003A292D">
      <w:pPr>
        <w:spacing w:line="264" w:lineRule="auto"/>
        <w:ind w:left="284" w:hanging="284"/>
        <w:rPr>
          <w:rFonts w:ascii="Arial" w:eastAsia="Aptos" w:hAnsi="Arial" w:cs="Arial"/>
          <w:kern w:val="2"/>
          <w:szCs w:val="28"/>
          <w:lang w:val="uk-UA"/>
          <w14:ligatures w14:val="standardContextual"/>
        </w:rPr>
      </w:pPr>
    </w:p>
    <w:p w14:paraId="680DC3E0" w14:textId="306B8938" w:rsidR="009C67AB" w:rsidRPr="00511005" w:rsidRDefault="007B262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
          <w:i/>
          <w:szCs w:val="28"/>
          <w:lang w:val="uk-UA" w:eastAsia="ru-RU"/>
        </w:rPr>
        <w:t xml:space="preserve">Ключові слова: </w:t>
      </w:r>
      <w:r w:rsidR="009C67AB" w:rsidRPr="00511005">
        <w:rPr>
          <w:rFonts w:ascii="Arial" w:eastAsia="Times New Roman" w:hAnsi="Arial" w:cs="Arial"/>
          <w:bCs/>
          <w:szCs w:val="28"/>
          <w:lang w:val="uk-UA" w:eastAsia="ru-RU"/>
        </w:rPr>
        <w:t>постмодерн, сенс, нігілізм, переоцінка цінностей, мораль, індивід, надлюдина, свобода.</w:t>
      </w:r>
    </w:p>
    <w:p w14:paraId="73205864" w14:textId="425FE7AB" w:rsidR="009C67AB" w:rsidRPr="00511005" w:rsidRDefault="007B262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
          <w:i/>
          <w:szCs w:val="28"/>
          <w:lang w:val="en-US" w:eastAsia="ru-RU"/>
        </w:rPr>
        <w:t xml:space="preserve">Key words: </w:t>
      </w:r>
      <w:r w:rsidR="009C67AB" w:rsidRPr="00511005">
        <w:rPr>
          <w:rFonts w:ascii="Arial" w:eastAsia="Times New Roman" w:hAnsi="Arial" w:cs="Arial"/>
          <w:bCs/>
          <w:szCs w:val="28"/>
          <w:lang w:val="uk-UA" w:eastAsia="ru-RU"/>
        </w:rPr>
        <w:t>postmodernism, meaning, nihilism, revaluation of values, morality, individual, superman, freedom.</w:t>
      </w:r>
    </w:p>
    <w:p w14:paraId="067E94D9" w14:textId="0521ADCC" w:rsidR="009C67AB" w:rsidRPr="00511005" w:rsidRDefault="007B262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
          <w:bCs/>
          <w:i/>
          <w:iCs/>
          <w:szCs w:val="28"/>
          <w:lang w:val="uk-UA" w:eastAsia="ru-RU"/>
        </w:rPr>
        <w:t xml:space="preserve">Науковий керівник: </w:t>
      </w:r>
      <w:r w:rsidR="009C67AB" w:rsidRPr="00511005">
        <w:rPr>
          <w:rFonts w:ascii="Arial" w:eastAsia="Times New Roman" w:hAnsi="Arial" w:cs="Arial"/>
          <w:bCs/>
          <w:i/>
          <w:iCs/>
          <w:szCs w:val="28"/>
          <w:lang w:val="uk-UA" w:eastAsia="ru-RU"/>
        </w:rPr>
        <w:t>к.філос.н., доцент Крижановська Т</w:t>
      </w:r>
      <w:r w:rsidR="001B7B25" w:rsidRPr="00511005">
        <w:rPr>
          <w:rFonts w:ascii="Arial" w:eastAsia="Times New Roman" w:hAnsi="Arial" w:cs="Arial"/>
          <w:bCs/>
          <w:i/>
          <w:iCs/>
          <w:szCs w:val="28"/>
          <w:lang w:val="uk-UA" w:eastAsia="ru-RU"/>
        </w:rPr>
        <w:t>.</w:t>
      </w:r>
      <w:r w:rsidR="009C67AB" w:rsidRPr="00511005">
        <w:rPr>
          <w:rFonts w:ascii="Arial" w:eastAsia="Times New Roman" w:hAnsi="Arial" w:cs="Arial"/>
          <w:bCs/>
          <w:i/>
          <w:iCs/>
          <w:szCs w:val="28"/>
          <w:lang w:val="uk-UA" w:eastAsia="ru-RU"/>
        </w:rPr>
        <w:t xml:space="preserve"> О</w:t>
      </w:r>
      <w:r w:rsidR="001B7B25" w:rsidRPr="00511005">
        <w:rPr>
          <w:rFonts w:ascii="Arial" w:eastAsia="Times New Roman" w:hAnsi="Arial" w:cs="Arial"/>
          <w:bCs/>
          <w:i/>
          <w:iCs/>
          <w:szCs w:val="28"/>
          <w:lang w:val="uk-UA" w:eastAsia="ru-RU"/>
        </w:rPr>
        <w:t>.</w:t>
      </w:r>
    </w:p>
    <w:p w14:paraId="4120FA6F" w14:textId="77777777" w:rsidR="009C67AB" w:rsidRPr="00511005" w:rsidRDefault="009C67AB" w:rsidP="003A292D">
      <w:pPr>
        <w:spacing w:line="264" w:lineRule="auto"/>
        <w:ind w:firstLine="0"/>
        <w:rPr>
          <w:rFonts w:ascii="Arial" w:eastAsia="Times New Roman" w:hAnsi="Arial" w:cs="Arial"/>
          <w:spacing w:val="-12"/>
          <w:szCs w:val="28"/>
          <w:lang w:val="uk-UA"/>
        </w:rPr>
      </w:pPr>
    </w:p>
    <w:p w14:paraId="2934579B" w14:textId="77777777" w:rsidR="009C67AB" w:rsidRPr="00511005" w:rsidRDefault="009C67AB" w:rsidP="003A292D">
      <w:pPr>
        <w:spacing w:line="264" w:lineRule="auto"/>
        <w:ind w:firstLine="0"/>
        <w:rPr>
          <w:rFonts w:ascii="Arial" w:eastAsia="Times New Roman" w:hAnsi="Arial" w:cs="Arial"/>
          <w:spacing w:val="-12"/>
          <w:szCs w:val="28"/>
          <w:lang w:val="uk-UA"/>
        </w:rPr>
      </w:pPr>
    </w:p>
    <w:p w14:paraId="5811A2A2" w14:textId="77777777" w:rsidR="009C67AB" w:rsidRPr="00511005" w:rsidRDefault="009C67AB"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Чепой Маріанна Іванівна</w:t>
      </w:r>
    </w:p>
    <w:p w14:paraId="37990C13" w14:textId="62AF96E0" w:rsidR="009C67AB" w:rsidRPr="00511005" w:rsidRDefault="00287A9C" w:rsidP="003A292D">
      <w:pPr>
        <w:keepNext/>
        <w:spacing w:line="264" w:lineRule="auto"/>
        <w:ind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студент</w:t>
      </w:r>
      <w:r w:rsidR="009C67AB" w:rsidRPr="00511005">
        <w:rPr>
          <w:rFonts w:ascii="Arial" w:eastAsia="Times New Roman" w:hAnsi="Arial" w:cs="Arial"/>
          <w:bCs/>
          <w:iCs/>
          <w:szCs w:val="28"/>
          <w:lang w:val="uk-UA" w:eastAsia="ru-RU"/>
        </w:rPr>
        <w:t xml:space="preserve">ка </w:t>
      </w:r>
      <w:r w:rsidR="007B2628" w:rsidRPr="00511005">
        <w:rPr>
          <w:rFonts w:ascii="Arial" w:eastAsia="Times New Roman" w:hAnsi="Arial" w:cs="Arial"/>
          <w:bCs/>
          <w:iCs/>
          <w:szCs w:val="28"/>
          <w:lang w:val="uk-UA" w:eastAsia="ru-RU"/>
        </w:rPr>
        <w:t>1-го курсу</w:t>
      </w:r>
      <w:r w:rsidR="009C67AB" w:rsidRPr="00511005">
        <w:rPr>
          <w:rFonts w:ascii="Arial" w:eastAsia="Times New Roman" w:hAnsi="Arial" w:cs="Arial"/>
          <w:bCs/>
          <w:iCs/>
          <w:szCs w:val="28"/>
          <w:lang w:val="uk-UA" w:eastAsia="ru-RU"/>
        </w:rPr>
        <w:t xml:space="preserve"> </w:t>
      </w:r>
      <w:r w:rsidR="001B7B25" w:rsidRPr="00511005">
        <w:rPr>
          <w:rFonts w:ascii="Arial" w:eastAsia="Times New Roman" w:hAnsi="Arial" w:cs="Arial"/>
          <w:bCs/>
          <w:iCs/>
          <w:szCs w:val="28"/>
          <w:lang w:val="uk-UA" w:eastAsia="ru-RU"/>
        </w:rPr>
        <w:t>факультету судового та міжнародного права</w:t>
      </w:r>
    </w:p>
    <w:p w14:paraId="05710BF9" w14:textId="18E89108" w:rsidR="009C67AB"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5CE5057B" w14:textId="77777777" w:rsidR="009C67AB" w:rsidRPr="00511005" w:rsidRDefault="009C67AB" w:rsidP="003A292D">
      <w:pPr>
        <w:keepNext/>
        <w:spacing w:line="264" w:lineRule="auto"/>
        <w:ind w:firstLine="0"/>
        <w:jc w:val="center"/>
        <w:rPr>
          <w:rFonts w:ascii="Arial" w:eastAsia="Times New Roman" w:hAnsi="Arial" w:cs="Arial"/>
          <w:i/>
          <w:szCs w:val="28"/>
          <w:lang w:val="uk-UA" w:eastAsia="ru-RU"/>
        </w:rPr>
      </w:pPr>
    </w:p>
    <w:p w14:paraId="59101819" w14:textId="77777777" w:rsidR="009C67AB" w:rsidRPr="00511005" w:rsidRDefault="009C67AB" w:rsidP="003A292D">
      <w:pPr>
        <w:keepNext/>
        <w:widowControl w:val="0"/>
        <w:spacing w:line="264" w:lineRule="auto"/>
        <w:ind w:firstLine="567"/>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МІЖНАРОДНЕ ПРАВО І МОРАЛЬ:</w:t>
      </w:r>
    </w:p>
    <w:p w14:paraId="59795DCF" w14:textId="77777777" w:rsidR="009C67AB" w:rsidRPr="00511005" w:rsidRDefault="009C67AB" w:rsidP="003A292D">
      <w:pPr>
        <w:keepNext/>
        <w:widowControl w:val="0"/>
        <w:spacing w:line="264" w:lineRule="auto"/>
        <w:ind w:firstLine="567"/>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ДИЛЕМА ЛЕГІТИМНОСТІ ВІЙСЬКОВИХ ІНТЕРВЕНЦІЙ</w:t>
      </w:r>
    </w:p>
    <w:p w14:paraId="2010A92A" w14:textId="77777777" w:rsidR="009C67AB" w:rsidRPr="00511005" w:rsidRDefault="009C67AB" w:rsidP="003A292D">
      <w:pPr>
        <w:spacing w:line="264" w:lineRule="auto"/>
        <w:ind w:right="-1" w:firstLine="567"/>
        <w:jc w:val="center"/>
        <w:rPr>
          <w:rFonts w:ascii="Arial" w:eastAsia="Calibri" w:hAnsi="Arial" w:cs="Arial"/>
          <w:b/>
          <w:bCs/>
          <w:i/>
          <w:szCs w:val="28"/>
          <w:lang w:val="uk-UA"/>
        </w:rPr>
      </w:pPr>
    </w:p>
    <w:p w14:paraId="3A36775E" w14:textId="77777777" w:rsidR="009C67AB" w:rsidRPr="00511005" w:rsidRDefault="009C67AB" w:rsidP="003A292D">
      <w:pPr>
        <w:spacing w:line="264" w:lineRule="auto"/>
        <w:ind w:firstLine="708"/>
        <w:contextualSpacing/>
        <w:rPr>
          <w:rFonts w:ascii="Arial" w:eastAsia="Calibri" w:hAnsi="Arial" w:cs="Arial"/>
          <w:szCs w:val="28"/>
          <w:lang w:val="uk-UA"/>
        </w:rPr>
      </w:pPr>
      <w:r w:rsidRPr="00511005">
        <w:rPr>
          <w:rFonts w:ascii="Arial" w:eastAsia="Calibri" w:hAnsi="Arial" w:cs="Arial"/>
          <w:szCs w:val="28"/>
          <w:lang w:val="uk-UA"/>
        </w:rPr>
        <w:t xml:space="preserve">У сучасному світі, де мир декларується як найвища цінність, філософська проблема взаємодії міжнародного права та моралі постає особливо гостро. Попри проголошення принципів справедливості та людяності, військові конфлікти й досі залишаються реальністю. В епоху глобалізації мораль часто відходить на другий план, поступаючись місцем інтересам наддержав, які визначають легітимність військових дій, спираючись на власні геополітичні пріоритети. Ця ситуація вимагає переосмислення ролі моральних принципів у контексті міжнародного права, яке традиційно регулює взаємини між державами. Питання </w:t>
      </w:r>
      <w:r w:rsidRPr="00511005">
        <w:rPr>
          <w:rFonts w:ascii="Arial" w:eastAsia="Calibri" w:hAnsi="Arial" w:cs="Arial"/>
          <w:szCs w:val="28"/>
          <w:lang w:val="uk-UA"/>
        </w:rPr>
        <w:lastRenderedPageBreak/>
        <w:t>взаємовідношення між традиційними та ліберальними цивілізаціями відкриває нові вимоги до взаємодії права та моралі, зокрема в питаннях застосування сили. Чи здатне міжнародне право гарантувати справедливість у конфліктах, зважаючи на домінування геополітичних інтересів? Розв’язання цієї проблеми вимагає глибокого філософського аналізу, який може вказати шлях до етичного підходу у визначенні легітимності інтервенцій, підкреслюючи необхідність зміцнення ролі права та моралі в глобальному масштабі.</w:t>
      </w:r>
    </w:p>
    <w:p w14:paraId="568E1316" w14:textId="77777777" w:rsidR="009C67AB" w:rsidRPr="00511005" w:rsidRDefault="009C67AB" w:rsidP="003A292D">
      <w:pPr>
        <w:spacing w:line="264" w:lineRule="auto"/>
        <w:ind w:firstLine="567"/>
        <w:contextualSpacing/>
        <w:rPr>
          <w:rFonts w:ascii="Arial" w:eastAsia="Calibri" w:hAnsi="Arial" w:cs="Arial"/>
          <w:szCs w:val="28"/>
          <w:lang w:val="uk-UA"/>
        </w:rPr>
      </w:pPr>
      <w:r w:rsidRPr="00511005">
        <w:rPr>
          <w:rFonts w:ascii="Arial" w:eastAsia="Calibri" w:hAnsi="Arial" w:cs="Arial"/>
          <w:szCs w:val="28"/>
          <w:lang w:val="uk-UA"/>
        </w:rPr>
        <w:t>Об’єктом дослідження є міжнародне право і мораль як основні складові регулювання міжнародних відносин. Предмет дослідження – проблема легітимності військових інтервенцій у контексті взаємодії між міжнародним правом і моральними принципами. Мета – дослідити дилему легітимності військових інтервенцій, враховуючи вплив міжнародного права та моралі, і виявити можливості етичного підходу до регулювання міжнародних конфліктів в умовах сучасного геополітичного контексту.</w:t>
      </w:r>
    </w:p>
    <w:p w14:paraId="237F06D7" w14:textId="77777777" w:rsidR="009C67AB" w:rsidRPr="00511005" w:rsidRDefault="009C67AB" w:rsidP="003A292D">
      <w:pPr>
        <w:spacing w:line="264" w:lineRule="auto"/>
        <w:ind w:firstLine="708"/>
        <w:contextualSpacing/>
        <w:rPr>
          <w:rFonts w:ascii="Arial" w:eastAsia="Calibri" w:hAnsi="Arial" w:cs="Arial"/>
          <w:szCs w:val="28"/>
          <w:lang w:val="uk-UA"/>
        </w:rPr>
      </w:pPr>
      <w:r w:rsidRPr="00511005">
        <w:rPr>
          <w:rFonts w:ascii="Arial" w:eastAsia="Calibri" w:hAnsi="Arial" w:cs="Arial"/>
          <w:szCs w:val="28"/>
          <w:lang w:val="uk-UA"/>
        </w:rPr>
        <w:t>Ще з початку розвитку людських відносин певні ситуації спричиняли конфлікти, які мали бути вирішені в подальшому тільки мирним шляхом; тобто, можемо твердити про те, що питання військової інтервенцій поставало в історії неодноразово. Політичні трансформації, а разом і з тим незгасні міждержавні конфлікти, війни та протистояння мали значний вплив на еволюцію теорій філософії міжнародного права. Так, філософська ідея міжнародного права знаходила свій розвиток як відповідь на зростаючі різноманітні міжнародні конфлікти.</w:t>
      </w:r>
    </w:p>
    <w:p w14:paraId="5B362365" w14:textId="77777777" w:rsidR="009C67AB" w:rsidRPr="00511005" w:rsidRDefault="009C67AB" w:rsidP="003A292D">
      <w:pPr>
        <w:spacing w:line="264" w:lineRule="auto"/>
        <w:ind w:firstLine="567"/>
        <w:contextualSpacing/>
        <w:rPr>
          <w:rFonts w:ascii="Arial" w:eastAsia="Calibri" w:hAnsi="Arial" w:cs="Arial"/>
          <w:szCs w:val="28"/>
          <w:lang w:val="uk-UA"/>
        </w:rPr>
      </w:pPr>
      <w:r w:rsidRPr="00511005">
        <w:rPr>
          <w:rFonts w:ascii="Arial" w:eastAsia="Calibri" w:hAnsi="Arial" w:cs="Arial"/>
          <w:szCs w:val="28"/>
          <w:lang w:val="uk-UA"/>
        </w:rPr>
        <w:t>Необхідно зазначити, що проблематика легітимності військових інтервенцій не була першочерговою в історії філософської думки. До виникнення філософських концепцій міжнародного права філософи насамперед зосереджувалися на фундаментальних питаннях добра, справедливості, всезагального блага, співвідношення права і моралі. На основі філософії стоїцизму, ідею загального, вселенського громадянства послідовно відстоював Епіктет. Він переконував, що мир і гармонія між людьми та народами залежать від особистого, внутрішнього, морального самовдосконалення</w:t>
      </w:r>
      <w:r w:rsidRPr="00511005">
        <w:rPr>
          <w:rFonts w:ascii="Arial" w:eastAsia="Calibri" w:hAnsi="Arial" w:cs="Arial"/>
          <w:szCs w:val="28"/>
        </w:rPr>
        <w:t xml:space="preserve"> [1, </w:t>
      </w:r>
      <w:r w:rsidRPr="00511005">
        <w:rPr>
          <w:rFonts w:ascii="Arial" w:eastAsia="Calibri" w:hAnsi="Arial" w:cs="Arial"/>
          <w:szCs w:val="28"/>
          <w:lang w:val="en-US"/>
        </w:rPr>
        <w:t>c</w:t>
      </w:r>
      <w:r w:rsidRPr="00511005">
        <w:rPr>
          <w:rFonts w:ascii="Arial" w:eastAsia="Calibri" w:hAnsi="Arial" w:cs="Arial"/>
          <w:szCs w:val="28"/>
        </w:rPr>
        <w:t>.</w:t>
      </w:r>
      <w:r w:rsidRPr="00511005">
        <w:rPr>
          <w:rFonts w:ascii="Arial" w:eastAsia="Calibri" w:hAnsi="Arial" w:cs="Arial"/>
          <w:szCs w:val="28"/>
          <w:lang w:val="uk-UA"/>
        </w:rPr>
        <w:t xml:space="preserve"> </w:t>
      </w:r>
      <w:r w:rsidRPr="00511005">
        <w:rPr>
          <w:rFonts w:ascii="Arial" w:eastAsia="Calibri" w:hAnsi="Arial" w:cs="Arial"/>
          <w:szCs w:val="28"/>
        </w:rPr>
        <w:t>197]</w:t>
      </w:r>
      <w:r w:rsidRPr="00511005">
        <w:rPr>
          <w:rFonts w:ascii="Arial" w:eastAsia="Calibri" w:hAnsi="Arial" w:cs="Arial"/>
          <w:szCs w:val="28"/>
          <w:lang w:val="uk-UA"/>
        </w:rPr>
        <w:t xml:space="preserve">, оскільки кожна людина є частиною загального світопорядку, підпорядкованого божественному Логосу. Епіктет вважав, що лише через розвиток власної моральності та здатності жити відповідно до природи й розуму, люди можуть досягти істинної свободи й гармонії з іншими. Для стоїків, зокрема для Епіктета, людина не обмежена вузькими національними чи соціальними рамками. Ідея космополітизму, яку він відстоював, ґрунтується на переконанні, що всі люди належать до однієї вселенської громади, де кожен має свій обов’язок перед загальним благом. </w:t>
      </w:r>
    </w:p>
    <w:p w14:paraId="46F8C9DC" w14:textId="77777777" w:rsidR="009C67AB" w:rsidRPr="00511005" w:rsidRDefault="009C67AB" w:rsidP="003A292D">
      <w:pPr>
        <w:spacing w:line="264" w:lineRule="auto"/>
        <w:ind w:firstLine="567"/>
        <w:contextualSpacing/>
        <w:rPr>
          <w:rFonts w:ascii="Arial" w:eastAsia="Calibri" w:hAnsi="Arial" w:cs="Arial"/>
          <w:szCs w:val="28"/>
          <w:lang w:val="uk-UA"/>
        </w:rPr>
      </w:pPr>
      <w:r w:rsidRPr="00511005">
        <w:rPr>
          <w:rFonts w:ascii="Arial" w:eastAsia="Calibri" w:hAnsi="Arial" w:cs="Arial"/>
          <w:szCs w:val="28"/>
          <w:lang w:val="uk-UA"/>
        </w:rPr>
        <w:t xml:space="preserve">Вже пізніше Ґ. Геґель відстоював думку про те, що, міжнародне право походить зі взаємного визнання суверенної рівності держав </w:t>
      </w:r>
      <w:r w:rsidRPr="00511005">
        <w:rPr>
          <w:rFonts w:ascii="Arial" w:eastAsia="Calibri" w:hAnsi="Arial" w:cs="Arial"/>
          <w:szCs w:val="28"/>
        </w:rPr>
        <w:t>[</w:t>
      </w:r>
      <w:r w:rsidRPr="00511005">
        <w:rPr>
          <w:rFonts w:ascii="Arial" w:eastAsia="Calibri" w:hAnsi="Arial" w:cs="Arial"/>
          <w:szCs w:val="28"/>
          <w:lang w:val="uk-UA"/>
        </w:rPr>
        <w:t>2</w:t>
      </w:r>
      <w:r w:rsidRPr="00511005">
        <w:rPr>
          <w:rFonts w:ascii="Arial" w:eastAsia="Calibri" w:hAnsi="Arial" w:cs="Arial"/>
          <w:szCs w:val="28"/>
        </w:rPr>
        <w:t>, с.</w:t>
      </w:r>
      <w:r w:rsidRPr="00511005">
        <w:rPr>
          <w:rFonts w:ascii="Arial" w:eastAsia="Calibri" w:hAnsi="Arial" w:cs="Arial"/>
          <w:szCs w:val="28"/>
          <w:lang w:val="uk-UA"/>
        </w:rPr>
        <w:t xml:space="preserve"> </w:t>
      </w:r>
      <w:r w:rsidRPr="00511005">
        <w:rPr>
          <w:rFonts w:ascii="Arial" w:eastAsia="Calibri" w:hAnsi="Arial" w:cs="Arial"/>
          <w:szCs w:val="28"/>
        </w:rPr>
        <w:t>1</w:t>
      </w:r>
      <w:r w:rsidRPr="00511005">
        <w:rPr>
          <w:rFonts w:ascii="Arial" w:eastAsia="Calibri" w:hAnsi="Arial" w:cs="Arial"/>
          <w:szCs w:val="28"/>
          <w:lang w:val="uk-UA"/>
        </w:rPr>
        <w:t>18</w:t>
      </w:r>
      <w:r w:rsidRPr="00511005">
        <w:rPr>
          <w:rFonts w:ascii="Arial" w:eastAsia="Calibri" w:hAnsi="Arial" w:cs="Arial"/>
          <w:szCs w:val="28"/>
        </w:rPr>
        <w:t>]</w:t>
      </w:r>
      <w:r w:rsidRPr="00511005">
        <w:rPr>
          <w:rFonts w:ascii="Arial" w:eastAsia="Calibri" w:hAnsi="Arial" w:cs="Arial"/>
          <w:szCs w:val="28"/>
          <w:lang w:val="uk-UA"/>
        </w:rPr>
        <w:t xml:space="preserve">. Оскільки існує тотожність між мисленням і буттям, а також між розумним і </w:t>
      </w:r>
      <w:r w:rsidRPr="00511005">
        <w:rPr>
          <w:rFonts w:ascii="Arial" w:eastAsia="Calibri" w:hAnsi="Arial" w:cs="Arial"/>
          <w:szCs w:val="28"/>
          <w:lang w:val="uk-UA"/>
        </w:rPr>
        <w:lastRenderedPageBreak/>
        <w:t xml:space="preserve">дійсним, розумність природного права охоплює також міждержавні відносини. Отже, природне право є міжнародним, загальнонародним і загальнолюдським за своєю природою </w:t>
      </w:r>
      <w:r w:rsidRPr="00511005">
        <w:rPr>
          <w:rFonts w:ascii="Arial" w:eastAsia="Calibri" w:hAnsi="Arial" w:cs="Arial"/>
          <w:szCs w:val="28"/>
        </w:rPr>
        <w:t>[1, с.</w:t>
      </w:r>
      <w:r w:rsidRPr="00511005">
        <w:rPr>
          <w:rFonts w:ascii="Arial" w:eastAsia="Calibri" w:hAnsi="Arial" w:cs="Arial"/>
          <w:szCs w:val="28"/>
          <w:lang w:val="uk-UA"/>
        </w:rPr>
        <w:t xml:space="preserve"> </w:t>
      </w:r>
      <w:r w:rsidRPr="00511005">
        <w:rPr>
          <w:rFonts w:ascii="Arial" w:eastAsia="Calibri" w:hAnsi="Arial" w:cs="Arial"/>
          <w:szCs w:val="28"/>
        </w:rPr>
        <w:t>198]</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szCs w:val="28"/>
          <w:lang w:val="uk-UA"/>
        </w:rPr>
        <w:t>оскільки ґрунтується на раціональному принципі свободи та суверенності, який має універсальну значущість. З цієї позиції випливає, що держави, визнаючи одна одну як вільні і суверенні суб’єкти, повинні взаємодіяти в межах правових відносин, які базуються на взаємній повазі і дотриманні природного права. Для Ґ. Геґеля така форма міжнародного права є проявом об</w:t>
      </w:r>
      <w:r w:rsidRPr="00511005">
        <w:rPr>
          <w:rFonts w:ascii="Arial" w:eastAsia="Calibri" w:hAnsi="Arial" w:cs="Arial"/>
          <w:szCs w:val="28"/>
        </w:rPr>
        <w:t>’</w:t>
      </w:r>
      <w:r w:rsidRPr="00511005">
        <w:rPr>
          <w:rFonts w:ascii="Arial" w:eastAsia="Calibri" w:hAnsi="Arial" w:cs="Arial"/>
          <w:szCs w:val="28"/>
          <w:lang w:val="uk-UA"/>
        </w:rPr>
        <w:t xml:space="preserve">єктивного духу, через який людська свобода реалізується не лише на індивідуальному рівні, але й на рівні держав і народів. </w:t>
      </w:r>
    </w:p>
    <w:p w14:paraId="5164D38A" w14:textId="77777777" w:rsidR="009C67AB" w:rsidRPr="00511005" w:rsidRDefault="009C67AB" w:rsidP="003A292D">
      <w:pPr>
        <w:spacing w:line="264" w:lineRule="auto"/>
        <w:ind w:firstLine="708"/>
        <w:contextualSpacing/>
        <w:rPr>
          <w:rFonts w:ascii="Arial" w:eastAsia="Calibri" w:hAnsi="Arial" w:cs="Arial"/>
          <w:szCs w:val="28"/>
          <w:lang w:val="uk-UA"/>
        </w:rPr>
      </w:pPr>
      <w:r w:rsidRPr="00511005">
        <w:rPr>
          <w:rFonts w:ascii="Arial" w:eastAsia="Calibri" w:hAnsi="Arial" w:cs="Arial"/>
          <w:szCs w:val="28"/>
          <w:lang w:val="uk-UA"/>
        </w:rPr>
        <w:t xml:space="preserve">Війна як соціально-політичне явище та можливості досягнення вічного миру були предметом глибоких роздумів німецького філософа І. Канта. Водночас мислитель висловлював свої думки, що стосувалися і міжнародно-правових відносин, а разом з тим – і філософської дилеми легітимності військових інтервенцій. В контексті взаємовідносин між державами І. Кант наголошував на тому, що жодна країна не повинна втручатися в політичне життя та управління інших країн через насильство </w:t>
      </w:r>
      <w:r w:rsidRPr="00511005">
        <w:rPr>
          <w:rFonts w:ascii="Arial" w:eastAsia="Calibri" w:hAnsi="Arial" w:cs="Arial"/>
          <w:szCs w:val="28"/>
        </w:rPr>
        <w:t xml:space="preserve">[3, </w:t>
      </w:r>
      <w:r w:rsidRPr="00511005">
        <w:rPr>
          <w:rFonts w:ascii="Arial" w:eastAsia="Calibri" w:hAnsi="Arial" w:cs="Arial"/>
          <w:szCs w:val="28"/>
          <w:lang w:val="en-US"/>
        </w:rPr>
        <w:t>c</w:t>
      </w:r>
      <w:r w:rsidRPr="00511005">
        <w:rPr>
          <w:rFonts w:ascii="Arial" w:eastAsia="Calibri" w:hAnsi="Arial" w:cs="Arial"/>
          <w:szCs w:val="28"/>
        </w:rPr>
        <w:t xml:space="preserve">. 492]. </w:t>
      </w:r>
      <w:r w:rsidRPr="00511005">
        <w:rPr>
          <w:rFonts w:ascii="Arial" w:eastAsia="Calibri" w:hAnsi="Arial" w:cs="Arial"/>
          <w:szCs w:val="28"/>
          <w:lang w:val="uk-UA"/>
        </w:rPr>
        <w:t xml:space="preserve">Таким чином, можна стверджувати, що найзначніші міжнародно-правові теорії </w:t>
      </w:r>
      <w:r w:rsidRPr="00511005">
        <w:rPr>
          <w:rFonts w:ascii="Arial" w:eastAsia="Calibri" w:hAnsi="Arial" w:cs="Arial"/>
          <w:szCs w:val="28"/>
        </w:rPr>
        <w:t>XIX</w:t>
      </w:r>
      <w:r w:rsidRPr="00511005">
        <w:rPr>
          <w:rFonts w:ascii="Arial" w:eastAsia="Calibri" w:hAnsi="Arial" w:cs="Arial"/>
          <w:szCs w:val="28"/>
          <w:lang w:val="uk-UA"/>
        </w:rPr>
        <w:t>–</w:t>
      </w:r>
      <w:r w:rsidRPr="00511005">
        <w:rPr>
          <w:rFonts w:ascii="Arial" w:eastAsia="Calibri" w:hAnsi="Arial" w:cs="Arial"/>
          <w:szCs w:val="28"/>
        </w:rPr>
        <w:t>XX</w:t>
      </w:r>
      <w:r w:rsidRPr="00511005">
        <w:rPr>
          <w:rFonts w:ascii="Arial" w:eastAsia="Calibri" w:hAnsi="Arial" w:cs="Arial"/>
          <w:szCs w:val="28"/>
          <w:lang w:val="uk-UA"/>
        </w:rPr>
        <w:t xml:space="preserve"> століть сформувалися під впливом німецької класичної філософії, що призвело до вироблення сучасних концепцій міжнародного права.</w:t>
      </w:r>
    </w:p>
    <w:p w14:paraId="24142E13" w14:textId="77777777" w:rsidR="009C67AB" w:rsidRPr="00511005" w:rsidRDefault="009C67AB" w:rsidP="003A292D">
      <w:pPr>
        <w:spacing w:line="264" w:lineRule="auto"/>
        <w:ind w:firstLine="708"/>
        <w:contextualSpacing/>
        <w:rPr>
          <w:rFonts w:ascii="Arial" w:eastAsia="Calibri" w:hAnsi="Arial" w:cs="Arial"/>
          <w:szCs w:val="28"/>
          <w:lang w:val="uk-UA"/>
        </w:rPr>
      </w:pPr>
      <w:r w:rsidRPr="00511005">
        <w:rPr>
          <w:rFonts w:ascii="Arial" w:eastAsia="Calibri" w:hAnsi="Arial" w:cs="Arial"/>
          <w:szCs w:val="28"/>
          <w:lang w:val="uk-UA"/>
        </w:rPr>
        <w:t xml:space="preserve">Війна як крайня форма соціального насильства наділялася різним значенням в різні історичні періоди. Обмірковуючи цю проблему, різні філософи мали різний підхід щодо того, на кого саме буде покладатися відповідальність та повноваження у такому випадку. Таким чином, Т. Гоббс зауважував на тому, що це належить державі, і її діяльність повинна підпорядковуватися державницьким інтересам, а не приватним; Кант та Локк знаходили порозуміння, додаючи до цього також і закон, а Гегель та Руссо вважали, що врахування інтересів політичної нації є не менш важливим [4, </w:t>
      </w:r>
      <w:r w:rsidRPr="00511005">
        <w:rPr>
          <w:rFonts w:ascii="Arial" w:eastAsia="Calibri" w:hAnsi="Arial" w:cs="Arial"/>
          <w:szCs w:val="28"/>
          <w:lang w:val="en-US"/>
        </w:rPr>
        <w:t>c</w:t>
      </w:r>
      <w:r w:rsidRPr="00511005">
        <w:rPr>
          <w:rFonts w:ascii="Arial" w:eastAsia="Calibri" w:hAnsi="Arial" w:cs="Arial"/>
          <w:szCs w:val="28"/>
          <w:lang w:val="uk-UA"/>
        </w:rPr>
        <w:t>. 11].</w:t>
      </w:r>
    </w:p>
    <w:p w14:paraId="353859AF" w14:textId="77777777" w:rsidR="009C67AB" w:rsidRPr="00511005" w:rsidRDefault="009C67AB" w:rsidP="003A292D">
      <w:pPr>
        <w:spacing w:line="264" w:lineRule="auto"/>
        <w:ind w:firstLine="567"/>
        <w:contextualSpacing/>
        <w:rPr>
          <w:rFonts w:ascii="Arial" w:eastAsia="Calibri" w:hAnsi="Arial" w:cs="Arial"/>
          <w:szCs w:val="28"/>
          <w:lang w:val="uk-UA"/>
        </w:rPr>
      </w:pPr>
      <w:r w:rsidRPr="00511005">
        <w:rPr>
          <w:rFonts w:ascii="Arial" w:eastAsia="Calibri" w:hAnsi="Arial" w:cs="Arial"/>
          <w:szCs w:val="28"/>
          <w:lang w:val="uk-UA"/>
        </w:rPr>
        <w:t xml:space="preserve">У площині міжнародних відносин виміри війни та миру набувають більш гострого характеру. Концепція міжнародних відносин визнає війну і мир як чинники, що характеризують конкретний стан взаємодії між народами, що може проявлятися у вигляді військових дій між державами або ж у їх відсутності. І. Кант зазначав, що мир між сусідніми народами не є природним станом, натомість він вказував, що, скоріше, природним є стан війни, що включає в себе постійні ворожі дії або загрозу їх виникнення. За таких умов, мир можна охарактеризувати як сукупність правил і норм поведінки у взаємодії з іншими народами та межами їхніх територій, які були узгоджені через переговори </w:t>
      </w:r>
      <w:r w:rsidRPr="00511005">
        <w:rPr>
          <w:rFonts w:ascii="Arial" w:eastAsia="Calibri" w:hAnsi="Arial" w:cs="Arial"/>
          <w:szCs w:val="28"/>
        </w:rPr>
        <w:t>[</w:t>
      </w:r>
      <w:r w:rsidRPr="00511005">
        <w:rPr>
          <w:rFonts w:ascii="Arial" w:eastAsia="Calibri" w:hAnsi="Arial" w:cs="Arial"/>
          <w:szCs w:val="28"/>
          <w:lang w:val="uk-UA"/>
        </w:rPr>
        <w:t xml:space="preserve">4, </w:t>
      </w:r>
      <w:r w:rsidRPr="00511005">
        <w:rPr>
          <w:rFonts w:ascii="Arial" w:eastAsia="Calibri" w:hAnsi="Arial" w:cs="Arial"/>
          <w:szCs w:val="28"/>
          <w:lang w:val="en-US"/>
        </w:rPr>
        <w:t>c</w:t>
      </w:r>
      <w:r w:rsidRPr="00511005">
        <w:rPr>
          <w:rFonts w:ascii="Arial" w:eastAsia="Calibri" w:hAnsi="Arial" w:cs="Arial"/>
          <w:szCs w:val="28"/>
        </w:rPr>
        <w:t>.</w:t>
      </w:r>
      <w:r w:rsidRPr="00511005">
        <w:rPr>
          <w:rFonts w:ascii="Arial" w:eastAsia="Calibri" w:hAnsi="Arial" w:cs="Arial"/>
          <w:szCs w:val="28"/>
          <w:lang w:val="uk-UA"/>
        </w:rPr>
        <w:t xml:space="preserve"> 41</w:t>
      </w:r>
      <w:r w:rsidRPr="00511005">
        <w:rPr>
          <w:rFonts w:ascii="Arial" w:eastAsia="Calibri" w:hAnsi="Arial" w:cs="Arial"/>
          <w:szCs w:val="28"/>
        </w:rPr>
        <w:t>]</w:t>
      </w:r>
      <w:r w:rsidRPr="00511005">
        <w:rPr>
          <w:rFonts w:ascii="Arial" w:eastAsia="Calibri" w:hAnsi="Arial" w:cs="Arial"/>
          <w:szCs w:val="28"/>
          <w:lang w:val="uk-UA"/>
        </w:rPr>
        <w:t xml:space="preserve">. Однак, такий мир залишається крихким і тимчасовим, оскільки його збереження вимагає постійних зусиль зі сторони державних і міжнародних інституцій. І. Кант у своїй праці «До вічного миру» </w:t>
      </w:r>
      <w:r w:rsidRPr="00511005">
        <w:rPr>
          <w:rFonts w:ascii="Arial" w:eastAsia="Calibri" w:hAnsi="Arial" w:cs="Arial"/>
          <w:szCs w:val="28"/>
          <w:lang w:val="uk-UA"/>
        </w:rPr>
        <w:lastRenderedPageBreak/>
        <w:t>стверджував, що справжній, стійкий мир можливий лише за умови створення правового міжнародного порядку, який базується на взаємній довірі, справедливості та дотриманні міжнародних норм. Він вважав, що лише через утвердження республіканських форм правління, повагу до прав людини і розвиток глобальних правових інститутів можна досягти тривалого миру, оскільки демократичні держави, зазвичай, менш схильні вступати у війну одна з одною.</w:t>
      </w:r>
    </w:p>
    <w:p w14:paraId="4DD54CB0" w14:textId="77777777" w:rsidR="009C67AB" w:rsidRPr="00511005" w:rsidRDefault="009C67AB" w:rsidP="003A292D">
      <w:pPr>
        <w:spacing w:line="264" w:lineRule="auto"/>
        <w:ind w:firstLine="567"/>
        <w:contextualSpacing/>
        <w:rPr>
          <w:rFonts w:ascii="Arial" w:eastAsia="Calibri" w:hAnsi="Arial" w:cs="Arial"/>
          <w:szCs w:val="28"/>
          <w:lang w:val="uk-UA"/>
        </w:rPr>
      </w:pPr>
      <w:r w:rsidRPr="00511005">
        <w:rPr>
          <w:rFonts w:ascii="Arial" w:eastAsia="Calibri" w:hAnsi="Arial" w:cs="Arial"/>
          <w:szCs w:val="28"/>
          <w:lang w:val="uk-UA"/>
        </w:rPr>
        <w:t>Сучасна неопозитивістська філософія вважає концепцію «політичного реалізму» найбільш відомою та важливою в практичному сенсі, оскільки вона розглядає владу, державну політику та війну з системного підходу. Г. Моргентау зазначав, що міжнародні відносини ґрунтуються на об</w:t>
      </w:r>
      <w:r w:rsidRPr="00511005">
        <w:rPr>
          <w:rFonts w:ascii="Arial" w:eastAsia="Calibri" w:hAnsi="Arial" w:cs="Arial"/>
          <w:szCs w:val="28"/>
        </w:rPr>
        <w:t>’</w:t>
      </w:r>
      <w:r w:rsidRPr="00511005">
        <w:rPr>
          <w:rFonts w:ascii="Arial" w:eastAsia="Calibri" w:hAnsi="Arial" w:cs="Arial"/>
          <w:szCs w:val="28"/>
          <w:lang w:val="uk-UA"/>
        </w:rPr>
        <w:t>єктивних законах суспільного розвитку і є ареною активного протистояння між державами. За його думкою, стан миру слід розглядати як стан рівноваги сил між державами, при цьому важливо враховувати норми міжнародного права і моралі, але не варто їх надмірно ідеалізувати та покладатися на них безумовно</w:t>
      </w:r>
      <w:r w:rsidRPr="00511005">
        <w:rPr>
          <w:rFonts w:ascii="Arial" w:eastAsia="Calibri" w:hAnsi="Arial" w:cs="Arial"/>
          <w:szCs w:val="28"/>
        </w:rPr>
        <w:t xml:space="preserve"> [</w:t>
      </w:r>
      <w:r w:rsidRPr="00511005">
        <w:rPr>
          <w:rFonts w:ascii="Arial" w:eastAsia="Calibri" w:hAnsi="Arial" w:cs="Arial"/>
          <w:szCs w:val="28"/>
          <w:lang w:val="uk-UA"/>
        </w:rPr>
        <w:t>4</w:t>
      </w:r>
      <w:r w:rsidRPr="00511005">
        <w:rPr>
          <w:rFonts w:ascii="Arial" w:eastAsia="Calibri" w:hAnsi="Arial" w:cs="Arial"/>
          <w:szCs w:val="28"/>
        </w:rPr>
        <w:t xml:space="preserve">, </w:t>
      </w:r>
      <w:r w:rsidRPr="00511005">
        <w:rPr>
          <w:rFonts w:ascii="Arial" w:eastAsia="Calibri" w:hAnsi="Arial" w:cs="Arial"/>
          <w:szCs w:val="28"/>
          <w:lang w:val="en-US"/>
        </w:rPr>
        <w:t>c</w:t>
      </w:r>
      <w:r w:rsidRPr="00511005">
        <w:rPr>
          <w:rFonts w:ascii="Arial" w:eastAsia="Calibri" w:hAnsi="Arial" w:cs="Arial"/>
          <w:szCs w:val="28"/>
        </w:rPr>
        <w:t>. 40]</w:t>
      </w:r>
      <w:r w:rsidRPr="00511005">
        <w:rPr>
          <w:rFonts w:ascii="Arial" w:eastAsia="Calibri" w:hAnsi="Arial" w:cs="Arial"/>
          <w:szCs w:val="28"/>
          <w:lang w:val="uk-UA"/>
        </w:rPr>
        <w:t>. У вимірах сучасності ця концепція постає стрижнем розуміння міжнародного права як такого, а разом з тим, і осмислення легітимності військових інтервенцій. Сучасне розуміння базується на тому, що г</w:t>
      </w:r>
      <w:r w:rsidRPr="00511005">
        <w:rPr>
          <w:rFonts w:ascii="Arial" w:eastAsia="Calibri" w:hAnsi="Arial" w:cs="Arial"/>
          <w:szCs w:val="28"/>
        </w:rPr>
        <w:t>лобальний порядок залежить не тільки від балансу сил або міжнародних угод, але й від культури спілкування та можливості ведення діалогу.</w:t>
      </w:r>
    </w:p>
    <w:p w14:paraId="0AEBEC09" w14:textId="77777777" w:rsidR="009C67AB" w:rsidRPr="00511005" w:rsidRDefault="009C67AB" w:rsidP="003A292D">
      <w:pPr>
        <w:spacing w:line="264" w:lineRule="auto"/>
        <w:ind w:firstLine="708"/>
        <w:contextualSpacing/>
        <w:rPr>
          <w:rFonts w:ascii="Arial" w:eastAsia="Calibri" w:hAnsi="Arial" w:cs="Arial"/>
          <w:szCs w:val="28"/>
          <w:lang w:val="uk-UA"/>
        </w:rPr>
      </w:pPr>
      <w:r w:rsidRPr="00511005">
        <w:rPr>
          <w:rFonts w:ascii="Arial" w:eastAsia="Calibri" w:hAnsi="Arial" w:cs="Arial"/>
          <w:szCs w:val="28"/>
          <w:lang w:val="uk-UA"/>
        </w:rPr>
        <w:t>Беручі до уваги усе вищевикладене, надходимо наступного висновку: легітимність військових інтервенцій є однією з найважливіших проблем у сучасній філософії права. Можемо стверджувати, що філософи від античності до сучасності підкреслювали і підкреслюють нерозривний зв'язок між правом і мораллю в контексті міжнародних відносин. Легітимність військових дій визначається не лише юридичними нормами, але й моральними принципами. Філософський підхід до аналізу легітимності військових інтервенцій виходить за межі лише юридичних і політичних аспектів: це дозволяє заглянути в суть людської природи, моральних цінностей та суспільних систем, щоб з’ясувати, на яких підставах ми вважаємо війну справедливою або несправедливою.</w:t>
      </w:r>
    </w:p>
    <w:p w14:paraId="17CABE8F" w14:textId="77777777" w:rsidR="009C67AB" w:rsidRPr="00511005" w:rsidRDefault="009C67AB" w:rsidP="003A292D">
      <w:pPr>
        <w:spacing w:line="264" w:lineRule="auto"/>
        <w:ind w:firstLine="708"/>
        <w:contextualSpacing/>
        <w:rPr>
          <w:rFonts w:ascii="Arial" w:eastAsia="Calibri" w:hAnsi="Arial" w:cs="Arial"/>
          <w:szCs w:val="28"/>
          <w:lang w:val="uk-UA"/>
        </w:rPr>
      </w:pPr>
    </w:p>
    <w:p w14:paraId="57FD2AA5" w14:textId="77000CD7" w:rsidR="009C67AB" w:rsidRPr="00511005" w:rsidRDefault="007B2628" w:rsidP="007B2628">
      <w:pPr>
        <w:spacing w:line="264" w:lineRule="auto"/>
        <w:ind w:firstLine="0"/>
        <w:contextualSpacing/>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2659ECB6" w14:textId="77777777" w:rsidR="009C67AB" w:rsidRPr="00511005" w:rsidRDefault="009C67AB"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1. Чайковський Ю. Ідея міжнародного права в філософії стоїків</w:t>
      </w:r>
      <w:r w:rsidRPr="00511005">
        <w:rPr>
          <w:rFonts w:ascii="Arial" w:eastAsia="Calibri" w:hAnsi="Arial" w:cs="Arial"/>
          <w:i/>
          <w:iCs/>
          <w:szCs w:val="28"/>
          <w:lang w:val="uk-UA"/>
        </w:rPr>
        <w:t>. Актуальнi проблеми держави i права.</w:t>
      </w:r>
      <w:r w:rsidRPr="00511005">
        <w:rPr>
          <w:rFonts w:ascii="Arial" w:eastAsia="Calibri" w:hAnsi="Arial" w:cs="Arial"/>
          <w:szCs w:val="28"/>
          <w:lang w:val="uk-UA"/>
        </w:rPr>
        <w:t xml:space="preserve"> 2007. № 36. С.195–198.</w:t>
      </w:r>
      <w:r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hyperlink r:id="rId110" w:history="1">
        <w:r w:rsidRPr="00511005">
          <w:rPr>
            <w:rFonts w:ascii="Arial" w:eastAsia="Calibri" w:hAnsi="Arial" w:cs="Arial"/>
            <w:szCs w:val="28"/>
            <w:lang w:val="en-US"/>
          </w:rPr>
          <w:t>http</w:t>
        </w:r>
        <w:r w:rsidRPr="00511005">
          <w:rPr>
            <w:rFonts w:ascii="Arial" w:eastAsia="Calibri" w:hAnsi="Arial" w:cs="Arial"/>
            <w:szCs w:val="28"/>
          </w:rPr>
          <w:t>://</w:t>
        </w:r>
        <w:r w:rsidRPr="00511005">
          <w:rPr>
            <w:rFonts w:ascii="Arial" w:eastAsia="Calibri" w:hAnsi="Arial" w:cs="Arial"/>
            <w:szCs w:val="28"/>
            <w:lang w:val="en-US"/>
          </w:rPr>
          <w:t>www</w:t>
        </w:r>
        <w:r w:rsidRPr="00511005">
          <w:rPr>
            <w:rFonts w:ascii="Arial" w:eastAsia="Calibri" w:hAnsi="Arial" w:cs="Arial"/>
            <w:szCs w:val="28"/>
          </w:rPr>
          <w:t>.</w:t>
        </w:r>
        <w:r w:rsidRPr="00511005">
          <w:rPr>
            <w:rFonts w:ascii="Arial" w:eastAsia="Calibri" w:hAnsi="Arial" w:cs="Arial"/>
            <w:szCs w:val="28"/>
            <w:lang w:val="en-US"/>
          </w:rPr>
          <w:t>apdp</w:t>
        </w:r>
        <w:r w:rsidRPr="00511005">
          <w:rPr>
            <w:rFonts w:ascii="Arial" w:eastAsia="Calibri" w:hAnsi="Arial" w:cs="Arial"/>
            <w:szCs w:val="28"/>
          </w:rPr>
          <w:t>.</w:t>
        </w:r>
        <w:r w:rsidRPr="00511005">
          <w:rPr>
            <w:rFonts w:ascii="Arial" w:eastAsia="Calibri" w:hAnsi="Arial" w:cs="Arial"/>
            <w:szCs w:val="28"/>
            <w:lang w:val="en-US"/>
          </w:rPr>
          <w:t>in</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v</w:t>
        </w:r>
        <w:r w:rsidRPr="00511005">
          <w:rPr>
            <w:rFonts w:ascii="Arial" w:eastAsia="Calibri" w:hAnsi="Arial" w:cs="Arial"/>
            <w:szCs w:val="28"/>
          </w:rPr>
          <w:t>36/37.</w:t>
        </w:r>
        <w:r w:rsidRPr="00511005">
          <w:rPr>
            <w:rFonts w:ascii="Arial" w:eastAsia="Calibri" w:hAnsi="Arial" w:cs="Arial"/>
            <w:szCs w:val="28"/>
            <w:lang w:val="en-US"/>
          </w:rPr>
          <w:t>pdf</w:t>
        </w:r>
      </w:hyperlink>
    </w:p>
    <w:p w14:paraId="62DAC3C1" w14:textId="77777777" w:rsidR="009C67AB" w:rsidRPr="00511005" w:rsidRDefault="009C67AB" w:rsidP="003A292D">
      <w:pPr>
        <w:spacing w:line="264" w:lineRule="auto"/>
        <w:ind w:firstLine="0"/>
        <w:contextualSpacing/>
        <w:rPr>
          <w:rFonts w:ascii="Arial" w:eastAsia="Calibri" w:hAnsi="Arial" w:cs="Arial"/>
          <w:szCs w:val="28"/>
        </w:rPr>
      </w:pPr>
      <w:r w:rsidRPr="00511005">
        <w:rPr>
          <w:rFonts w:ascii="Arial" w:eastAsia="Calibri" w:hAnsi="Arial" w:cs="Arial"/>
          <w:szCs w:val="28"/>
          <w:lang w:val="uk-UA"/>
        </w:rPr>
        <w:t>2. Невідомський М. Філософсько-правова основа міжнародного права та перспективи її розвитку. </w:t>
      </w:r>
      <w:r w:rsidRPr="00511005">
        <w:rPr>
          <w:rFonts w:ascii="Arial" w:eastAsia="Calibri" w:hAnsi="Arial" w:cs="Arial"/>
          <w:i/>
          <w:iCs/>
          <w:szCs w:val="28"/>
          <w:lang w:val="uk-UA"/>
        </w:rPr>
        <w:t>Філософські та методологічні проблеми права.</w:t>
      </w:r>
      <w:r w:rsidRPr="00511005">
        <w:rPr>
          <w:rFonts w:ascii="Arial" w:eastAsia="Calibri" w:hAnsi="Arial" w:cs="Arial"/>
          <w:szCs w:val="28"/>
          <w:lang w:val="uk-UA"/>
        </w:rPr>
        <w:t xml:space="preserve"> 2024. Т.1, № 27. С. 117–124.</w:t>
      </w:r>
      <w:r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hyperlink r:id="rId111"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elar</w:t>
        </w:r>
        <w:r w:rsidRPr="00511005">
          <w:rPr>
            <w:rFonts w:ascii="Arial" w:eastAsia="Calibri" w:hAnsi="Arial" w:cs="Arial"/>
            <w:szCs w:val="28"/>
          </w:rPr>
          <w:t>.</w:t>
        </w:r>
        <w:r w:rsidRPr="00511005">
          <w:rPr>
            <w:rFonts w:ascii="Arial" w:eastAsia="Calibri" w:hAnsi="Arial" w:cs="Arial"/>
            <w:szCs w:val="28"/>
            <w:lang w:val="en-US"/>
          </w:rPr>
          <w:t>naiau</w:t>
        </w:r>
        <w:r w:rsidRPr="00511005">
          <w:rPr>
            <w:rFonts w:ascii="Arial" w:eastAsia="Calibri" w:hAnsi="Arial" w:cs="Arial"/>
            <w:szCs w:val="28"/>
          </w:rPr>
          <w:t>.</w:t>
        </w:r>
        <w:r w:rsidRPr="00511005">
          <w:rPr>
            <w:rFonts w:ascii="Arial" w:eastAsia="Calibri" w:hAnsi="Arial" w:cs="Arial"/>
            <w:szCs w:val="28"/>
            <w:lang w:val="en-US"/>
          </w:rPr>
          <w:t>kiev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server</w:t>
        </w:r>
        <w:r w:rsidRPr="00511005">
          <w:rPr>
            <w:rFonts w:ascii="Arial" w:eastAsia="Calibri" w:hAnsi="Arial" w:cs="Arial"/>
            <w:szCs w:val="28"/>
          </w:rPr>
          <w:t>/</w:t>
        </w:r>
        <w:r w:rsidRPr="00511005">
          <w:rPr>
            <w:rFonts w:ascii="Arial" w:eastAsia="Calibri" w:hAnsi="Arial" w:cs="Arial"/>
            <w:szCs w:val="28"/>
            <w:lang w:val="en-US"/>
          </w:rPr>
          <w:t>api</w:t>
        </w:r>
        <w:r w:rsidRPr="00511005">
          <w:rPr>
            <w:rFonts w:ascii="Arial" w:eastAsia="Calibri" w:hAnsi="Arial" w:cs="Arial"/>
            <w:szCs w:val="28"/>
          </w:rPr>
          <w:t>/</w:t>
        </w:r>
        <w:r w:rsidRPr="00511005">
          <w:rPr>
            <w:rFonts w:ascii="Arial" w:eastAsia="Calibri" w:hAnsi="Arial" w:cs="Arial"/>
            <w:szCs w:val="28"/>
            <w:lang w:val="en-US"/>
          </w:rPr>
          <w:t>core</w:t>
        </w:r>
        <w:r w:rsidRPr="00511005">
          <w:rPr>
            <w:rFonts w:ascii="Arial" w:eastAsia="Calibri" w:hAnsi="Arial" w:cs="Arial"/>
            <w:szCs w:val="28"/>
          </w:rPr>
          <w:t>/</w:t>
        </w:r>
        <w:r w:rsidRPr="00511005">
          <w:rPr>
            <w:rFonts w:ascii="Arial" w:eastAsia="Calibri" w:hAnsi="Arial" w:cs="Arial"/>
            <w:szCs w:val="28"/>
            <w:lang w:val="en-US"/>
          </w:rPr>
          <w:t>bitstreams</w:t>
        </w:r>
        <w:r w:rsidRPr="00511005">
          <w:rPr>
            <w:rFonts w:ascii="Arial" w:eastAsia="Calibri" w:hAnsi="Arial" w:cs="Arial"/>
            <w:szCs w:val="28"/>
          </w:rPr>
          <w:t>/</w:t>
        </w:r>
        <w:r w:rsidRPr="00511005">
          <w:rPr>
            <w:rFonts w:ascii="Arial" w:eastAsia="Calibri" w:hAnsi="Arial" w:cs="Arial"/>
            <w:szCs w:val="28"/>
            <w:lang w:val="en-US"/>
          </w:rPr>
          <w:t>af</w:t>
        </w:r>
        <w:r w:rsidRPr="00511005">
          <w:rPr>
            <w:rFonts w:ascii="Arial" w:eastAsia="Calibri" w:hAnsi="Arial" w:cs="Arial"/>
            <w:szCs w:val="28"/>
          </w:rPr>
          <w:t>320816-188</w:t>
        </w:r>
        <w:r w:rsidRPr="00511005">
          <w:rPr>
            <w:rFonts w:ascii="Arial" w:eastAsia="Calibri" w:hAnsi="Arial" w:cs="Arial"/>
            <w:szCs w:val="28"/>
            <w:lang w:val="en-US"/>
          </w:rPr>
          <w:t>d</w:t>
        </w:r>
        <w:r w:rsidRPr="00511005">
          <w:rPr>
            <w:rFonts w:ascii="Arial" w:eastAsia="Calibri" w:hAnsi="Arial" w:cs="Arial"/>
            <w:szCs w:val="28"/>
          </w:rPr>
          <w:t>-4332-</w:t>
        </w:r>
        <w:r w:rsidRPr="00511005">
          <w:rPr>
            <w:rFonts w:ascii="Arial" w:eastAsia="Calibri" w:hAnsi="Arial" w:cs="Arial"/>
            <w:szCs w:val="28"/>
            <w:lang w:val="en-US"/>
          </w:rPr>
          <w:t>a</w:t>
        </w:r>
        <w:r w:rsidRPr="00511005">
          <w:rPr>
            <w:rFonts w:ascii="Arial" w:eastAsia="Calibri" w:hAnsi="Arial" w:cs="Arial"/>
            <w:szCs w:val="28"/>
          </w:rPr>
          <w:t>57</w:t>
        </w:r>
        <w:r w:rsidRPr="00511005">
          <w:rPr>
            <w:rFonts w:ascii="Arial" w:eastAsia="Calibri" w:hAnsi="Arial" w:cs="Arial"/>
            <w:szCs w:val="28"/>
            <w:lang w:val="en-US"/>
          </w:rPr>
          <w:t>c</w:t>
        </w:r>
        <w:r w:rsidRPr="00511005">
          <w:rPr>
            <w:rFonts w:ascii="Arial" w:eastAsia="Calibri" w:hAnsi="Arial" w:cs="Arial"/>
            <w:szCs w:val="28"/>
          </w:rPr>
          <w:t>-308</w:t>
        </w:r>
        <w:r w:rsidRPr="00511005">
          <w:rPr>
            <w:rFonts w:ascii="Arial" w:eastAsia="Calibri" w:hAnsi="Arial" w:cs="Arial"/>
            <w:szCs w:val="28"/>
            <w:lang w:val="en-US"/>
          </w:rPr>
          <w:t>aed</w:t>
        </w:r>
        <w:r w:rsidRPr="00511005">
          <w:rPr>
            <w:rFonts w:ascii="Arial" w:eastAsia="Calibri" w:hAnsi="Arial" w:cs="Arial"/>
            <w:szCs w:val="28"/>
          </w:rPr>
          <w:t>3</w:t>
        </w:r>
        <w:r w:rsidRPr="00511005">
          <w:rPr>
            <w:rFonts w:ascii="Arial" w:eastAsia="Calibri" w:hAnsi="Arial" w:cs="Arial"/>
            <w:szCs w:val="28"/>
            <w:lang w:val="en-US"/>
          </w:rPr>
          <w:t>a</w:t>
        </w:r>
        <w:r w:rsidRPr="00511005">
          <w:rPr>
            <w:rFonts w:ascii="Arial" w:eastAsia="Calibri" w:hAnsi="Arial" w:cs="Arial"/>
            <w:szCs w:val="28"/>
          </w:rPr>
          <w:t>6</w:t>
        </w:r>
        <w:r w:rsidRPr="00511005">
          <w:rPr>
            <w:rFonts w:ascii="Arial" w:eastAsia="Calibri" w:hAnsi="Arial" w:cs="Arial"/>
            <w:szCs w:val="28"/>
            <w:lang w:val="en-US"/>
          </w:rPr>
          <w:t>cb</w:t>
        </w:r>
        <w:r w:rsidRPr="00511005">
          <w:rPr>
            <w:rFonts w:ascii="Arial" w:eastAsia="Calibri" w:hAnsi="Arial" w:cs="Arial"/>
            <w:szCs w:val="28"/>
          </w:rPr>
          <w:t>7/</w:t>
        </w:r>
        <w:r w:rsidRPr="00511005">
          <w:rPr>
            <w:rFonts w:ascii="Arial" w:eastAsia="Calibri" w:hAnsi="Arial" w:cs="Arial"/>
            <w:szCs w:val="28"/>
            <w:lang w:val="en-US"/>
          </w:rPr>
          <w:t>content</w:t>
        </w:r>
      </w:hyperlink>
    </w:p>
    <w:p w14:paraId="7D94A172" w14:textId="77777777" w:rsidR="009C67AB" w:rsidRPr="00511005" w:rsidRDefault="009C67AB" w:rsidP="003A292D">
      <w:pPr>
        <w:spacing w:line="264" w:lineRule="auto"/>
        <w:ind w:firstLine="0"/>
        <w:contextualSpacing/>
        <w:rPr>
          <w:rFonts w:ascii="Arial" w:eastAsia="Helvetica" w:hAnsi="Arial" w:cs="Arial"/>
          <w:szCs w:val="28"/>
          <w:shd w:val="clear" w:color="auto" w:fill="FFFFFF"/>
          <w:lang w:val="uk-UA"/>
        </w:rPr>
      </w:pPr>
      <w:r w:rsidRPr="00511005">
        <w:rPr>
          <w:rFonts w:ascii="Arial" w:eastAsia="Calibri" w:hAnsi="Arial" w:cs="Arial"/>
          <w:szCs w:val="28"/>
          <w:lang w:val="uk-UA"/>
        </w:rPr>
        <w:lastRenderedPageBreak/>
        <w:t>3. Ряшко О. В., Остапенко Л. О. Проблеми війни і миру у філософії Канта, Геґеля, Фіхте. </w:t>
      </w:r>
      <w:r w:rsidRPr="00511005">
        <w:rPr>
          <w:rFonts w:ascii="Arial" w:eastAsia="Calibri" w:hAnsi="Arial" w:cs="Arial"/>
          <w:i/>
          <w:iCs/>
          <w:szCs w:val="28"/>
          <w:lang w:val="uk-UA"/>
        </w:rPr>
        <w:t>Вісник Національного університету «Львівська політехніка». Серія : Юридичні науки.</w:t>
      </w:r>
      <w:r w:rsidRPr="00511005">
        <w:rPr>
          <w:rFonts w:ascii="Arial" w:eastAsia="Calibri" w:hAnsi="Arial" w:cs="Arial"/>
          <w:szCs w:val="28"/>
          <w:lang w:val="uk-UA"/>
        </w:rPr>
        <w:t xml:space="preserve"> 2016. № 845. С. 490–495.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12" w:history="1">
        <w:r w:rsidRPr="00511005">
          <w:rPr>
            <w:rFonts w:ascii="Arial" w:eastAsia="Helvetica" w:hAnsi="Arial" w:cs="Arial"/>
            <w:szCs w:val="28"/>
            <w:shd w:val="clear" w:color="auto" w:fill="FFFFFF"/>
          </w:rPr>
          <w:t>https</w:t>
        </w:r>
        <w:r w:rsidRPr="00511005">
          <w:rPr>
            <w:rFonts w:ascii="Arial" w:eastAsia="Helvetica" w:hAnsi="Arial" w:cs="Arial"/>
            <w:szCs w:val="28"/>
            <w:shd w:val="clear" w:color="auto" w:fill="FFFFFF"/>
            <w:lang w:val="uk-UA"/>
          </w:rPr>
          <w:t>://</w:t>
        </w:r>
        <w:r w:rsidRPr="00511005">
          <w:rPr>
            <w:rFonts w:ascii="Arial" w:eastAsia="Helvetica" w:hAnsi="Arial" w:cs="Arial"/>
            <w:szCs w:val="28"/>
            <w:shd w:val="clear" w:color="auto" w:fill="FFFFFF"/>
          </w:rPr>
          <w:t>dspace</w:t>
        </w:r>
        <w:r w:rsidRPr="00511005">
          <w:rPr>
            <w:rFonts w:ascii="Arial" w:eastAsia="Helvetica" w:hAnsi="Arial" w:cs="Arial"/>
            <w:szCs w:val="28"/>
            <w:shd w:val="clear" w:color="auto" w:fill="FFFFFF"/>
            <w:lang w:val="uk-UA"/>
          </w:rPr>
          <w:t>.</w:t>
        </w:r>
        <w:r w:rsidRPr="00511005">
          <w:rPr>
            <w:rFonts w:ascii="Arial" w:eastAsia="Helvetica" w:hAnsi="Arial" w:cs="Arial"/>
            <w:szCs w:val="28"/>
            <w:shd w:val="clear" w:color="auto" w:fill="FFFFFF"/>
          </w:rPr>
          <w:t>lvduvs</w:t>
        </w:r>
        <w:r w:rsidRPr="00511005">
          <w:rPr>
            <w:rFonts w:ascii="Arial" w:eastAsia="Helvetica" w:hAnsi="Arial" w:cs="Arial"/>
            <w:szCs w:val="28"/>
            <w:shd w:val="clear" w:color="auto" w:fill="FFFFFF"/>
            <w:lang w:val="uk-UA"/>
          </w:rPr>
          <w:t>.</w:t>
        </w:r>
        <w:r w:rsidRPr="00511005">
          <w:rPr>
            <w:rFonts w:ascii="Arial" w:eastAsia="Helvetica" w:hAnsi="Arial" w:cs="Arial"/>
            <w:szCs w:val="28"/>
            <w:shd w:val="clear" w:color="auto" w:fill="FFFFFF"/>
          </w:rPr>
          <w:t>edu</w:t>
        </w:r>
        <w:r w:rsidRPr="00511005">
          <w:rPr>
            <w:rFonts w:ascii="Arial" w:eastAsia="Helvetica" w:hAnsi="Arial" w:cs="Arial"/>
            <w:szCs w:val="28"/>
            <w:shd w:val="clear" w:color="auto" w:fill="FFFFFF"/>
            <w:lang w:val="uk-UA"/>
          </w:rPr>
          <w:t>.</w:t>
        </w:r>
        <w:r w:rsidRPr="00511005">
          <w:rPr>
            <w:rFonts w:ascii="Arial" w:eastAsia="Helvetica" w:hAnsi="Arial" w:cs="Arial"/>
            <w:szCs w:val="28"/>
            <w:shd w:val="clear" w:color="auto" w:fill="FFFFFF"/>
          </w:rPr>
          <w:t>ua</w:t>
        </w:r>
        <w:r w:rsidRPr="00511005">
          <w:rPr>
            <w:rFonts w:ascii="Arial" w:eastAsia="Helvetica" w:hAnsi="Arial" w:cs="Arial"/>
            <w:szCs w:val="28"/>
            <w:shd w:val="clear" w:color="auto" w:fill="FFFFFF"/>
            <w:lang w:val="uk-UA"/>
          </w:rPr>
          <w:t>/</w:t>
        </w:r>
        <w:r w:rsidRPr="00511005">
          <w:rPr>
            <w:rFonts w:ascii="Arial" w:eastAsia="Helvetica" w:hAnsi="Arial" w:cs="Arial"/>
            <w:szCs w:val="28"/>
            <w:shd w:val="clear" w:color="auto" w:fill="FFFFFF"/>
          </w:rPr>
          <w:t>handle</w:t>
        </w:r>
        <w:r w:rsidRPr="00511005">
          <w:rPr>
            <w:rFonts w:ascii="Arial" w:eastAsia="Helvetica" w:hAnsi="Arial" w:cs="Arial"/>
            <w:szCs w:val="28"/>
            <w:shd w:val="clear" w:color="auto" w:fill="FFFFFF"/>
            <w:lang w:val="uk-UA"/>
          </w:rPr>
          <w:t>/1234567890/5322</w:t>
        </w:r>
      </w:hyperlink>
    </w:p>
    <w:p w14:paraId="4A02868D" w14:textId="77777777" w:rsidR="009C67AB" w:rsidRPr="00511005" w:rsidRDefault="009C67AB" w:rsidP="003A292D">
      <w:pPr>
        <w:spacing w:line="264" w:lineRule="auto"/>
        <w:ind w:firstLine="0"/>
        <w:contextualSpacing/>
        <w:jc w:val="left"/>
        <w:rPr>
          <w:rFonts w:ascii="Arial" w:eastAsia="Calibri" w:hAnsi="Arial" w:cs="Arial"/>
          <w:szCs w:val="28"/>
        </w:rPr>
      </w:pPr>
      <w:r w:rsidRPr="00511005">
        <w:rPr>
          <w:rFonts w:ascii="Arial" w:eastAsia="Calibri" w:hAnsi="Arial" w:cs="Arial"/>
          <w:szCs w:val="28"/>
          <w:lang w:val="uk-UA"/>
        </w:rPr>
        <w:t xml:space="preserve">4. Ситник Г.П. Філософія війни та миру : курс лекцій. К: ТОВ «САК Лтд.», 2023. 118 с. </w:t>
      </w:r>
      <w:r w:rsidRPr="00511005">
        <w:rPr>
          <w:rFonts w:ascii="Arial" w:eastAsia="Calibri" w:hAnsi="Arial" w:cs="Arial"/>
          <w:szCs w:val="28"/>
        </w:rPr>
        <w:t xml:space="preserve">URL: </w:t>
      </w:r>
      <w:hyperlink r:id="rId113" w:history="1">
        <w:r w:rsidRPr="00511005">
          <w:rPr>
            <w:rFonts w:ascii="Arial" w:eastAsia="Calibri" w:hAnsi="Arial" w:cs="Arial"/>
            <w:szCs w:val="28"/>
          </w:rPr>
          <w:t>https://ipacs.knu.ua/pages/dop/336/files/15bf2766-7d67-41dc-8d14-49d0c0b9d714.pdf</w:t>
        </w:r>
      </w:hyperlink>
    </w:p>
    <w:p w14:paraId="5DF0BE0A" w14:textId="77777777" w:rsidR="009C67AB" w:rsidRPr="00511005" w:rsidRDefault="009C67AB" w:rsidP="003A292D">
      <w:pPr>
        <w:keepNext/>
        <w:spacing w:line="264" w:lineRule="auto"/>
        <w:ind w:firstLine="0"/>
        <w:rPr>
          <w:rFonts w:ascii="Arial" w:eastAsia="Calibri" w:hAnsi="Arial" w:cs="Arial"/>
          <w:szCs w:val="28"/>
        </w:rPr>
      </w:pPr>
    </w:p>
    <w:p w14:paraId="77B77845" w14:textId="36B8A916" w:rsidR="009C67AB" w:rsidRPr="00511005" w:rsidRDefault="007B2628" w:rsidP="003A292D">
      <w:pPr>
        <w:keepNext/>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9C67AB" w:rsidRPr="00511005">
        <w:rPr>
          <w:rFonts w:ascii="Arial" w:eastAsia="Times New Roman" w:hAnsi="Arial" w:cs="Arial"/>
          <w:bCs/>
          <w:szCs w:val="28"/>
          <w:lang w:val="uk-UA" w:eastAsia="ru-RU"/>
        </w:rPr>
        <w:t>мі</w:t>
      </w:r>
      <w:r w:rsidR="009C67AB" w:rsidRPr="00511005">
        <w:rPr>
          <w:rFonts w:ascii="Arial" w:eastAsia="Times New Roman" w:hAnsi="Arial" w:cs="Arial"/>
          <w:szCs w:val="28"/>
          <w:lang w:val="uk-UA" w:eastAsia="ru-RU"/>
        </w:rPr>
        <w:t>жнародне право, мораль, легітимність, військові інтервенції, справедливість, геополітика, філософія, мир.</w:t>
      </w:r>
    </w:p>
    <w:p w14:paraId="548DEBD2" w14:textId="73DBED4F" w:rsidR="009C67AB" w:rsidRPr="00511005" w:rsidRDefault="007B2628" w:rsidP="003A292D">
      <w:pPr>
        <w:keepNext/>
        <w:spacing w:line="264" w:lineRule="auto"/>
        <w:ind w:firstLine="0"/>
        <w:rPr>
          <w:rFonts w:ascii="Arial" w:eastAsia="Times New Roman" w:hAnsi="Arial" w:cs="Arial"/>
          <w:bCs/>
          <w:szCs w:val="28"/>
          <w:lang w:val="uk-UA" w:eastAsia="ru-RU"/>
        </w:rPr>
      </w:pPr>
      <w:r w:rsidRPr="00511005">
        <w:rPr>
          <w:rFonts w:ascii="Arial" w:eastAsia="Times New Roman" w:hAnsi="Arial" w:cs="Arial"/>
          <w:b/>
          <w:i/>
          <w:szCs w:val="28"/>
          <w:lang w:val="en-US" w:eastAsia="ru-RU"/>
        </w:rPr>
        <w:t xml:space="preserve">Key words: </w:t>
      </w:r>
      <w:r w:rsidR="009C67AB" w:rsidRPr="00511005">
        <w:rPr>
          <w:rFonts w:ascii="Arial" w:eastAsia="Times New Roman" w:hAnsi="Arial" w:cs="Arial"/>
          <w:bCs/>
          <w:szCs w:val="28"/>
          <w:lang w:val="en-US" w:eastAsia="ru-RU"/>
        </w:rPr>
        <w:t>international law, morality, legitimacy, military interventions, justice, geopolitics, philosophy, peace</w:t>
      </w:r>
      <w:r w:rsidR="009C67AB" w:rsidRPr="00511005">
        <w:rPr>
          <w:rFonts w:ascii="Arial" w:eastAsia="Times New Roman" w:hAnsi="Arial" w:cs="Arial"/>
          <w:bCs/>
          <w:szCs w:val="28"/>
          <w:lang w:val="uk-UA" w:eastAsia="ru-RU"/>
        </w:rPr>
        <w:t>.</w:t>
      </w:r>
    </w:p>
    <w:p w14:paraId="639CC1C3" w14:textId="77777777" w:rsidR="009C67AB" w:rsidRPr="00511005" w:rsidRDefault="009C67AB" w:rsidP="003A292D">
      <w:pPr>
        <w:keepNext/>
        <w:spacing w:line="264" w:lineRule="auto"/>
        <w:ind w:firstLine="0"/>
        <w:rPr>
          <w:rFonts w:ascii="Arial" w:eastAsia="Times New Roman" w:hAnsi="Arial" w:cs="Arial"/>
          <w:bCs/>
          <w:i/>
          <w:iCs/>
          <w:szCs w:val="28"/>
          <w:lang w:val="uk-UA" w:eastAsia="ru-RU"/>
        </w:rPr>
      </w:pPr>
    </w:p>
    <w:p w14:paraId="0FC233F4" w14:textId="5A22BFEB" w:rsidR="009C67AB" w:rsidRPr="00511005" w:rsidRDefault="007B2628" w:rsidP="003A292D">
      <w:pPr>
        <w:keepNext/>
        <w:spacing w:line="264" w:lineRule="auto"/>
        <w:ind w:firstLine="0"/>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9C67AB" w:rsidRPr="00511005">
        <w:rPr>
          <w:rFonts w:ascii="Arial" w:eastAsia="Times New Roman" w:hAnsi="Arial" w:cs="Arial"/>
          <w:bCs/>
          <w:i/>
          <w:iCs/>
          <w:szCs w:val="28"/>
          <w:lang w:val="uk-UA" w:eastAsia="ru-RU"/>
        </w:rPr>
        <w:t>к.філос.н., доцент Крижановська Т</w:t>
      </w:r>
      <w:r w:rsidR="001B7B25" w:rsidRPr="00511005">
        <w:rPr>
          <w:rFonts w:ascii="Arial" w:eastAsia="Times New Roman" w:hAnsi="Arial" w:cs="Arial"/>
          <w:bCs/>
          <w:i/>
          <w:iCs/>
          <w:szCs w:val="28"/>
          <w:lang w:val="uk-UA" w:eastAsia="ru-RU"/>
        </w:rPr>
        <w:t>.</w:t>
      </w:r>
      <w:r w:rsidR="009C67AB" w:rsidRPr="00511005">
        <w:rPr>
          <w:rFonts w:ascii="Arial" w:eastAsia="Times New Roman" w:hAnsi="Arial" w:cs="Arial"/>
          <w:bCs/>
          <w:i/>
          <w:iCs/>
          <w:szCs w:val="28"/>
          <w:lang w:val="uk-UA" w:eastAsia="ru-RU"/>
        </w:rPr>
        <w:t xml:space="preserve"> О.</w:t>
      </w:r>
    </w:p>
    <w:p w14:paraId="284FD083" w14:textId="77777777" w:rsidR="009C67AB" w:rsidRPr="00511005" w:rsidRDefault="009C67AB" w:rsidP="003A292D">
      <w:pPr>
        <w:keepNext/>
        <w:spacing w:line="264" w:lineRule="auto"/>
        <w:ind w:firstLine="0"/>
        <w:rPr>
          <w:rFonts w:ascii="Arial" w:eastAsia="Times New Roman" w:hAnsi="Arial" w:cs="Arial"/>
          <w:bCs/>
          <w:i/>
          <w:iCs/>
          <w:szCs w:val="28"/>
          <w:lang w:val="uk-UA" w:eastAsia="ru-RU"/>
        </w:rPr>
      </w:pPr>
    </w:p>
    <w:p w14:paraId="18FF0643" w14:textId="77777777" w:rsidR="009C67AB" w:rsidRPr="00511005" w:rsidRDefault="009C67AB" w:rsidP="003A292D">
      <w:pPr>
        <w:keepNext/>
        <w:spacing w:line="264" w:lineRule="auto"/>
        <w:ind w:firstLine="0"/>
        <w:rPr>
          <w:rFonts w:ascii="Arial" w:eastAsia="Times New Roman" w:hAnsi="Arial" w:cs="Arial"/>
          <w:bCs/>
          <w:i/>
          <w:iCs/>
          <w:szCs w:val="28"/>
          <w:lang w:val="uk-UA" w:eastAsia="ru-RU"/>
        </w:rPr>
      </w:pPr>
    </w:p>
    <w:p w14:paraId="0A9FF58F" w14:textId="77777777" w:rsidR="009C67AB" w:rsidRPr="00511005" w:rsidRDefault="009C67AB" w:rsidP="003A292D">
      <w:pPr>
        <w:spacing w:line="264" w:lineRule="auto"/>
        <w:ind w:firstLine="0"/>
        <w:jc w:val="center"/>
        <w:rPr>
          <w:rFonts w:ascii="Arial" w:eastAsia="Calibri" w:hAnsi="Arial" w:cs="Arial"/>
          <w:b/>
          <w:i/>
          <w:iCs/>
          <w:szCs w:val="28"/>
          <w:lang w:val="uk-UA"/>
        </w:rPr>
      </w:pPr>
      <w:r w:rsidRPr="00511005">
        <w:rPr>
          <w:rFonts w:ascii="Arial" w:eastAsia="Calibri" w:hAnsi="Arial" w:cs="Arial"/>
          <w:b/>
          <w:i/>
          <w:iCs/>
          <w:szCs w:val="28"/>
          <w:lang w:val="uk-UA"/>
        </w:rPr>
        <w:t>Чумак Єгор Олександрович</w:t>
      </w:r>
    </w:p>
    <w:p w14:paraId="359C31C9" w14:textId="42D40964" w:rsidR="009C67AB" w:rsidRPr="00511005" w:rsidRDefault="00536AAB" w:rsidP="003A292D">
      <w:pPr>
        <w:spacing w:line="264" w:lineRule="auto"/>
        <w:ind w:firstLine="0"/>
        <w:jc w:val="center"/>
        <w:rPr>
          <w:rFonts w:ascii="Arial" w:eastAsia="Calibri" w:hAnsi="Arial" w:cs="Arial"/>
          <w:szCs w:val="28"/>
        </w:rPr>
      </w:pPr>
      <w:r w:rsidRPr="00511005">
        <w:rPr>
          <w:rFonts w:ascii="Arial" w:eastAsia="Calibri" w:hAnsi="Arial" w:cs="Arial"/>
          <w:szCs w:val="28"/>
          <w:lang w:val="uk-UA"/>
        </w:rPr>
        <w:t>студент 1-го курсу магістратури</w:t>
      </w:r>
      <w:r w:rsidR="009C67AB" w:rsidRPr="00511005">
        <w:rPr>
          <w:rFonts w:ascii="Arial" w:eastAsia="Calibri" w:hAnsi="Arial" w:cs="Arial"/>
          <w:szCs w:val="28"/>
        </w:rPr>
        <w:t xml:space="preserve"> </w:t>
      </w:r>
      <w:r w:rsidRPr="00511005">
        <w:rPr>
          <w:rFonts w:ascii="Arial" w:eastAsia="Calibri" w:hAnsi="Arial" w:cs="Arial"/>
          <w:szCs w:val="28"/>
        </w:rPr>
        <w:t>факультету журналістики</w:t>
      </w:r>
    </w:p>
    <w:p w14:paraId="442EC6C2" w14:textId="7331A2E5" w:rsidR="009C67AB"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18BD90B" w14:textId="77777777" w:rsidR="009C67AB" w:rsidRPr="00511005" w:rsidRDefault="009C67AB" w:rsidP="003A292D">
      <w:pPr>
        <w:spacing w:line="264" w:lineRule="auto"/>
        <w:ind w:firstLine="0"/>
        <w:jc w:val="center"/>
        <w:rPr>
          <w:rFonts w:ascii="Arial" w:eastAsia="Calibri" w:hAnsi="Arial" w:cs="Arial"/>
          <w:szCs w:val="28"/>
        </w:rPr>
      </w:pPr>
    </w:p>
    <w:p w14:paraId="7D12494B" w14:textId="77777777" w:rsidR="009C67AB" w:rsidRPr="00511005" w:rsidRDefault="009C67AB"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МІЖДИСЦИПЛІНАРНИЙ ПОВОРОТ СУЧАСНОЇ НАУКИ ЯК</w:t>
      </w:r>
    </w:p>
    <w:p w14:paraId="4192BB55" w14:textId="77777777" w:rsidR="009C67AB" w:rsidRPr="00511005" w:rsidRDefault="009C67AB" w:rsidP="003A292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970"/>
        </w:tabs>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РЕАБІЛІТАЦІЯ ФІЛОСОФСЬКОГО ПІЗНАННЯ</w:t>
      </w:r>
    </w:p>
    <w:p w14:paraId="352973BC" w14:textId="77777777" w:rsidR="009C67AB" w:rsidRPr="00511005" w:rsidRDefault="009C67AB" w:rsidP="003A292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970"/>
        </w:tabs>
        <w:spacing w:line="264" w:lineRule="auto"/>
        <w:ind w:firstLine="0"/>
        <w:jc w:val="center"/>
        <w:rPr>
          <w:rFonts w:ascii="Arial" w:eastAsia="Calibri" w:hAnsi="Arial" w:cs="Arial"/>
          <w:b/>
          <w:szCs w:val="28"/>
        </w:rPr>
      </w:pPr>
    </w:p>
    <w:p w14:paraId="1249D48F"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Актуальність цієї теми обумовлена тим, що сучасна наука, починаючи з другої половини ХХ століття, все частіше стикається зі складними проблемами, які не можуть бути адекватно досліджені в межах однієї вузької дисципліни. Не дивлячись на запевнення позитивістів, що науки мають бути вузько спеціалізованими для отримання об’єктивного знання, і не зважаючи на те, що така практика дійсно стимулювала певний прогрес в окремих дослідницьких областях, тим не менш, це призвело до значної фрагментації загального знання та втрати цілісного погляду на світ. Однак саме осмислення світу в його тотальності і системності є головним завданням філософії. Філософське пізнання – це такий спосіб осягнення світу, згідно якого одиничні речі та предметні області досліджуються в нерозривній єдності з загальними принципами буття. Як стверджував видатний філософ Г.В.Ф. Гегель: «Істина – це ціле» [1, с. 28]. Хоч філософія протягом століть і займала центральне місце у пізнанні світу, проте з розвитком спеціалізованих наук її вплив дедалі слабшав.</w:t>
      </w:r>
    </w:p>
    <w:p w14:paraId="356C1C96"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Незважаючи на те, що останні двісті років філософія переживала кілька хвиль дискредитації з боку як марксистського, так і позитивістського таборів, наука, врешті–решт, була вимушена змиритися з тим, що редукціоністське пояснення не може адекватно відображати природу </w:t>
      </w:r>
      <w:r w:rsidRPr="00511005">
        <w:rPr>
          <w:rFonts w:ascii="Arial" w:eastAsia="Calibri" w:hAnsi="Arial" w:cs="Arial"/>
          <w:szCs w:val="28"/>
          <w:lang w:val="uk-UA"/>
        </w:rPr>
        <w:lastRenderedPageBreak/>
        <w:t>досліджуваних явищ і процесів. Саме тому виникла необхідність в міждисциплінарному підході, який передбачає активне філософське осмислення отриманих знань. Міждисциплінарне дослідження – це спосіб дослідження, що проводиться командами або окремими особами, що інтегрує інформацію, дані, методи, інструменти, перспективи, концепції та/або теорії з двох або більше дисциплін чи сукупностей спеціалізованих знань для просування фундаментального розуміння або розв’язання проблем, рішення яких виходять за межі однієї дисципліни чи галузі дослідницької практики [2].</w:t>
      </w:r>
    </w:p>
    <w:p w14:paraId="0F916789"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Сучасні філософські напрями, такі як аналітична філософія, герменевтика, феноменологія тощо, виконують роль мостів між дисциплінами. У фізиці інтерпретація квантової механіки потребує філософського аналізу категорій ймовірності, детермінізму та реальності; у когнітивних науках використовуються філософські концепції свідомості, що доповнюються даними психології та нейронауки. Американський вчений Роберт Дж. Шиллер зазначає: «У довгостроковій перспективі для широкомасштабних питань більш креативні рішення, як правило, виникають завдяки творчій міждисциплінарній співпраці» [3]. Замість того, аби розглядати філософію як окрему чи навіть застарілу область знання, вона може бути представлена в якості необхідного методологічного та концептуального ресурсу для сучасної науки.</w:t>
      </w:r>
      <w:r w:rsidRPr="00511005">
        <w:rPr>
          <w:rFonts w:ascii="Arial" w:eastAsia="Calibri" w:hAnsi="Arial" w:cs="Arial"/>
          <w:szCs w:val="28"/>
        </w:rPr>
        <w:t xml:space="preserve"> </w:t>
      </w:r>
      <w:r w:rsidRPr="00511005">
        <w:rPr>
          <w:rFonts w:ascii="Arial" w:eastAsia="Calibri" w:hAnsi="Arial" w:cs="Arial"/>
          <w:szCs w:val="28"/>
          <w:lang w:val="uk-UA"/>
        </w:rPr>
        <w:t>Так вважав американський вчений Е. Вілсон, засновник соціобіології, який писав: «Найбільшим підприємством розуму завжди була і завжди буде спроба поєднання наук та гуманітарних дисциплін</w:t>
      </w:r>
      <w:r w:rsidRPr="00511005">
        <w:rPr>
          <w:rFonts w:ascii="Arial" w:eastAsia="Calibri" w:hAnsi="Arial" w:cs="Arial"/>
          <w:szCs w:val="28"/>
        </w:rPr>
        <w:t xml:space="preserve"> […] </w:t>
      </w:r>
      <w:r w:rsidRPr="00511005">
        <w:rPr>
          <w:rFonts w:ascii="Arial" w:eastAsia="Calibri" w:hAnsi="Arial" w:cs="Arial"/>
          <w:szCs w:val="28"/>
          <w:lang w:val="uk-UA"/>
        </w:rPr>
        <w:t>Міст, що провалився, між ними збіднює обидві культури і робить марними багато зусиль щодо вирішення проблем»</w:t>
      </w:r>
      <w:r w:rsidRPr="00511005">
        <w:rPr>
          <w:rFonts w:ascii="Arial" w:eastAsia="Calibri" w:hAnsi="Arial" w:cs="Arial"/>
          <w:szCs w:val="28"/>
        </w:rPr>
        <w:t xml:space="preserve"> [4</w:t>
      </w:r>
      <w:r w:rsidRPr="00511005">
        <w:rPr>
          <w:rFonts w:ascii="Arial" w:eastAsia="Calibri" w:hAnsi="Arial" w:cs="Arial"/>
          <w:szCs w:val="28"/>
          <w:lang w:val="uk-UA"/>
        </w:rPr>
        <w:t>, с. 8</w:t>
      </w:r>
      <w:r w:rsidRPr="00511005">
        <w:rPr>
          <w:rFonts w:ascii="Arial" w:eastAsia="Calibri" w:hAnsi="Arial" w:cs="Arial"/>
          <w:szCs w:val="28"/>
        </w:rPr>
        <w:t>].</w:t>
      </w:r>
      <w:r w:rsidRPr="00511005">
        <w:rPr>
          <w:rFonts w:ascii="Arial" w:eastAsia="Calibri" w:hAnsi="Arial" w:cs="Arial"/>
          <w:szCs w:val="28"/>
          <w:lang w:val="uk-UA"/>
        </w:rPr>
        <w:t xml:space="preserve"> Сучасна наука перебуває в позиції, коли їй доводиться визнавати той факт, що об’єктивність досліджуваних явищ забезпечується не лише різностороннім поглядом в межах однієї дисципліни, але й, разом з цим, потребує врахування додаткових свідчень, забезпечених іншою дослідницькою областю. Як зауважує англійський вчений Гаоцин Макс Лу: «Оскільки наукові проблеми стають дедалі складнішими, потрібні командні зусилля з міждисциплінарним досвідом, щоб здійснити справжні прориви» [5].</w:t>
      </w:r>
    </w:p>
    <w:p w14:paraId="583D995B"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Міждисциплінарний поворот дозволяє сучасній науці знову звернутися до фундаментальних питань щодо природи реальності, моралі, цінностей, які традиційно перебували у сфері філософського осмислення. Міждисциплінарні підходи стають не просто бажаними, а й необхідними для прориву у розумінні таких актуальних феноменів, як штучний інтелект, зміна клімату, нейронауки, біоетика тощо. Міждисциплінарність, як і філософія, пропонує холістичний підхід, поєднуючи різні рівні аналізу. Наприклад, проблема свідомості не може бути зведена виключно до нейрофізіології; </w:t>
      </w:r>
      <w:r w:rsidRPr="00511005">
        <w:rPr>
          <w:rFonts w:ascii="Arial" w:eastAsia="Calibri" w:hAnsi="Arial" w:cs="Arial"/>
          <w:szCs w:val="28"/>
          <w:lang w:val="uk-UA"/>
        </w:rPr>
        <w:lastRenderedPageBreak/>
        <w:t>врахування філософського осмислення феномену свідомості (від Декарта до Хайдеггера) дає ширші перспективи щодо досліджень в цьому напрямі.</w:t>
      </w:r>
    </w:p>
    <w:p w14:paraId="4E3126CD" w14:textId="77777777" w:rsidR="009C67AB" w:rsidRPr="00511005" w:rsidRDefault="009C67AB" w:rsidP="003A292D">
      <w:pPr>
        <w:spacing w:line="264" w:lineRule="auto"/>
        <w:rPr>
          <w:rFonts w:ascii="Arial" w:eastAsia="Calibri" w:hAnsi="Arial" w:cs="Arial"/>
          <w:szCs w:val="28"/>
          <w:lang w:val="uk-UA"/>
        </w:rPr>
      </w:pPr>
      <w:r w:rsidRPr="00511005">
        <w:rPr>
          <w:rFonts w:ascii="Arial" w:eastAsia="Calibri" w:hAnsi="Arial" w:cs="Arial"/>
          <w:szCs w:val="28"/>
          <w:lang w:val="uk-UA"/>
        </w:rPr>
        <w:t>Минає час, коли наука, орієнтована на вузькі дисциплінарні рамки, розглядала філософію як щось архаїчне та ізольоване. Міждисциплінарний підхід відновлює пізнавальну роль філософії; він, по суті, реабілітує філософію, повертаючи їй статус не лише «служниці наук», а й методологічного орієнтиру. Взаємодія природничих, соціальних та гуманітарних наук дозволяє відновити цілісну картину світу, долаючи штучні межі між дисциплінами. Філософія, будучи спочатку інтегративним знанням, сьогодні отримує можливість знову зайняти провідну роль у процесі пізнання, поєднуючи розрізнені наукові галузі в єдину концептуальну систему.</w:t>
      </w:r>
    </w:p>
    <w:p w14:paraId="4EAA7225" w14:textId="77777777" w:rsidR="009C67AB" w:rsidRPr="00511005" w:rsidRDefault="009C67AB" w:rsidP="003A292D">
      <w:pPr>
        <w:spacing w:line="264" w:lineRule="auto"/>
        <w:ind w:firstLine="0"/>
        <w:rPr>
          <w:rFonts w:ascii="Arial" w:eastAsia="Calibri" w:hAnsi="Arial" w:cs="Arial"/>
          <w:b/>
          <w:szCs w:val="28"/>
          <w:lang w:val="uk-UA"/>
        </w:rPr>
      </w:pPr>
    </w:p>
    <w:p w14:paraId="7BE9CFF4" w14:textId="190C96DE" w:rsidR="009C67AB"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53DBADAA" w14:textId="77777777" w:rsidR="009C67AB" w:rsidRPr="00511005" w:rsidRDefault="009C67AB"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1. Геґель Г.В.Ф. Феноменологія духу / пер. з нім. П. Таращука. Київ: «Основи», 2004. 548 с.</w:t>
      </w:r>
    </w:p>
    <w:p w14:paraId="2DA22D7F" w14:textId="77777777" w:rsidR="009C67AB" w:rsidRPr="00511005" w:rsidRDefault="009C67AB" w:rsidP="003A292D">
      <w:pPr>
        <w:spacing w:line="264" w:lineRule="auto"/>
        <w:ind w:firstLine="0"/>
        <w:rPr>
          <w:rFonts w:ascii="Arial" w:eastAsia="Calibri" w:hAnsi="Arial" w:cs="Arial"/>
          <w:szCs w:val="28"/>
          <w:lang w:val="en-US"/>
        </w:rPr>
      </w:pPr>
      <w:r w:rsidRPr="00511005">
        <w:rPr>
          <w:rFonts w:ascii="Arial" w:eastAsia="Calibri" w:hAnsi="Arial" w:cs="Arial"/>
          <w:szCs w:val="28"/>
          <w:lang w:val="uk-UA"/>
        </w:rPr>
        <w:t>2. Vladova G., Haase J., Friesike S. Why, with whom, and how to conduct interdisciplinary research? A review from a researcher’s perspective. </w:t>
      </w:r>
      <w:r w:rsidRPr="00511005">
        <w:rPr>
          <w:rFonts w:ascii="Arial" w:eastAsia="Calibri" w:hAnsi="Arial" w:cs="Arial"/>
          <w:i/>
          <w:iCs/>
          <w:szCs w:val="28"/>
          <w:lang w:val="uk-UA"/>
        </w:rPr>
        <w:t xml:space="preserve">Science and Public Policy. </w:t>
      </w:r>
      <w:r w:rsidRPr="00511005">
        <w:rPr>
          <w:rFonts w:ascii="Arial" w:eastAsia="Calibri" w:hAnsi="Arial" w:cs="Arial"/>
          <w:szCs w:val="28"/>
          <w:lang w:val="uk-UA"/>
        </w:rPr>
        <w:t xml:space="preserve">2025. Vol. 52. Issue 2. P. 165-180. URL: </w:t>
      </w:r>
      <w:hyperlink r:id="rId114" w:history="1">
        <w:r w:rsidRPr="00511005">
          <w:rPr>
            <w:rFonts w:ascii="Arial" w:eastAsia="Calibri" w:hAnsi="Arial" w:cs="Arial"/>
            <w:szCs w:val="28"/>
            <w:lang w:val="uk-UA"/>
          </w:rPr>
          <w:t>https://doi.org/10.1093/scipol/scae070</w:t>
        </w:r>
      </w:hyperlink>
      <w:r w:rsidRPr="00511005">
        <w:rPr>
          <w:rFonts w:ascii="Arial" w:eastAsia="Calibri" w:hAnsi="Arial" w:cs="Arial"/>
          <w:szCs w:val="28"/>
          <w:lang w:val="en-US"/>
        </w:rPr>
        <w:t>.</w:t>
      </w:r>
    </w:p>
    <w:p w14:paraId="41B839B4" w14:textId="77777777" w:rsidR="009C67AB" w:rsidRPr="00511005" w:rsidRDefault="009C67AB" w:rsidP="003A292D">
      <w:pPr>
        <w:spacing w:line="264" w:lineRule="auto"/>
        <w:ind w:firstLine="0"/>
        <w:rPr>
          <w:rFonts w:ascii="Arial" w:eastAsia="Calibri" w:hAnsi="Arial" w:cs="Arial"/>
          <w:szCs w:val="28"/>
          <w:lang w:val="en-US"/>
        </w:rPr>
      </w:pPr>
      <w:r w:rsidRPr="00511005">
        <w:rPr>
          <w:rFonts w:ascii="Arial" w:eastAsia="Calibri" w:hAnsi="Arial" w:cs="Arial"/>
          <w:szCs w:val="28"/>
          <w:lang w:val="uk-UA"/>
        </w:rPr>
        <w:t>3.</w:t>
      </w:r>
      <w:r w:rsidRPr="00511005">
        <w:rPr>
          <w:rFonts w:ascii="Arial" w:eastAsia="Calibri" w:hAnsi="Arial" w:cs="Arial"/>
          <w:szCs w:val="28"/>
          <w:lang w:val="en-US"/>
        </w:rPr>
        <w:t xml:space="preserve"> Irrationality. The Eminents interview with Nobel Prize winner Robert Shiller</w:t>
      </w:r>
      <w:r w:rsidRPr="00511005">
        <w:rPr>
          <w:rFonts w:ascii="Arial" w:eastAsia="Calibri" w:hAnsi="Arial" w:cs="Arial"/>
          <w:szCs w:val="28"/>
          <w:lang w:val="uk-UA"/>
        </w:rPr>
        <w:t xml:space="preserve">. </w:t>
      </w:r>
      <w:r w:rsidRPr="00511005">
        <w:rPr>
          <w:rFonts w:ascii="Arial" w:eastAsia="Calibri" w:hAnsi="Arial" w:cs="Arial"/>
          <w:i/>
          <w:szCs w:val="28"/>
          <w:lang w:val="en-US"/>
        </w:rPr>
        <w:t>P</w:t>
      </w:r>
      <w:r w:rsidRPr="00511005">
        <w:rPr>
          <w:rFonts w:ascii="Arial" w:eastAsia="Calibri" w:hAnsi="Arial" w:cs="Arial"/>
          <w:i/>
          <w:szCs w:val="28"/>
          <w:lang w:val="uk-UA"/>
        </w:rPr>
        <w:t>sychology</w:t>
      </w:r>
      <w:r w:rsidRPr="00511005">
        <w:rPr>
          <w:rFonts w:ascii="Arial" w:eastAsia="Calibri" w:hAnsi="Arial" w:cs="Arial"/>
          <w:i/>
          <w:szCs w:val="28"/>
          <w:lang w:val="en-US"/>
        </w:rPr>
        <w:t xml:space="preserve"> </w:t>
      </w:r>
      <w:r w:rsidRPr="00511005">
        <w:rPr>
          <w:rFonts w:ascii="Arial" w:eastAsia="Calibri" w:hAnsi="Arial" w:cs="Arial"/>
          <w:i/>
          <w:szCs w:val="28"/>
          <w:lang w:val="uk-UA"/>
        </w:rPr>
        <w:t>today</w:t>
      </w:r>
      <w:r w:rsidRPr="00511005">
        <w:rPr>
          <w:rFonts w:ascii="Arial" w:eastAsia="Calibri" w:hAnsi="Arial" w:cs="Arial"/>
          <w:szCs w:val="28"/>
          <w:lang w:val="uk-UA"/>
        </w:rPr>
        <w:t xml:space="preserve"> </w:t>
      </w:r>
      <w:r w:rsidRPr="00511005">
        <w:rPr>
          <w:rFonts w:ascii="Arial" w:eastAsia="Calibri" w:hAnsi="Arial" w:cs="Arial"/>
          <w:szCs w:val="28"/>
          <w:lang w:val="en-US"/>
        </w:rPr>
        <w:t>URL: https://www.psychologytoday.com/us/blog/how–do–life/201610/irrationality.</w:t>
      </w:r>
    </w:p>
    <w:p w14:paraId="538A7CB1" w14:textId="77777777" w:rsidR="009C67AB" w:rsidRPr="00511005" w:rsidRDefault="009C67AB" w:rsidP="003A292D">
      <w:pPr>
        <w:spacing w:line="264" w:lineRule="auto"/>
        <w:ind w:firstLine="0"/>
        <w:rPr>
          <w:rFonts w:ascii="Arial" w:eastAsia="Calibri" w:hAnsi="Arial" w:cs="Arial"/>
          <w:szCs w:val="28"/>
          <w:lang w:val="en-US"/>
        </w:rPr>
      </w:pPr>
      <w:r w:rsidRPr="00511005">
        <w:rPr>
          <w:rFonts w:ascii="Arial" w:eastAsia="Calibri" w:hAnsi="Arial" w:cs="Arial"/>
          <w:szCs w:val="28"/>
          <w:lang w:val="uk-UA"/>
        </w:rPr>
        <w:t>4.</w:t>
      </w:r>
      <w:r w:rsidRPr="00511005">
        <w:rPr>
          <w:rFonts w:ascii="Arial" w:eastAsia="Calibri" w:hAnsi="Arial" w:cs="Arial"/>
          <w:szCs w:val="28"/>
          <w:lang w:val="en-US"/>
        </w:rPr>
        <w:t xml:space="preserve"> Wilson E. Consilience: The Unity of Knowledge. New York, 1998. 368 p.</w:t>
      </w:r>
    </w:p>
    <w:p w14:paraId="02DE6507" w14:textId="77777777" w:rsidR="009C67AB" w:rsidRPr="00511005" w:rsidRDefault="009C67AB" w:rsidP="003A292D">
      <w:pPr>
        <w:spacing w:line="264" w:lineRule="auto"/>
        <w:ind w:firstLine="0"/>
        <w:rPr>
          <w:rFonts w:ascii="Arial" w:eastAsia="Calibri" w:hAnsi="Arial" w:cs="Arial"/>
          <w:szCs w:val="28"/>
          <w:lang w:val="en-US"/>
        </w:rPr>
      </w:pPr>
      <w:r w:rsidRPr="00511005">
        <w:rPr>
          <w:rFonts w:ascii="Arial" w:eastAsia="Calibri" w:hAnsi="Arial" w:cs="Arial"/>
          <w:szCs w:val="28"/>
          <w:lang w:val="uk-UA"/>
        </w:rPr>
        <w:t>5.</w:t>
      </w:r>
      <w:r w:rsidRPr="00511005">
        <w:rPr>
          <w:rFonts w:ascii="Arial" w:eastAsia="Calibri" w:hAnsi="Arial" w:cs="Arial"/>
          <w:szCs w:val="28"/>
          <w:lang w:val="en-US"/>
        </w:rPr>
        <w:t xml:space="preserve"> Lu G. M. Science without boundary: interdisciplinary research. </w:t>
      </w:r>
      <w:r w:rsidRPr="00511005">
        <w:rPr>
          <w:rFonts w:ascii="Arial" w:eastAsia="Calibri" w:hAnsi="Arial" w:cs="Arial"/>
          <w:i/>
          <w:szCs w:val="28"/>
          <w:lang w:val="en-US"/>
        </w:rPr>
        <w:t>National Science Review</w:t>
      </w:r>
      <w:r w:rsidRPr="00511005">
        <w:rPr>
          <w:rFonts w:ascii="Arial" w:eastAsia="Calibri" w:hAnsi="Arial" w:cs="Arial"/>
          <w:szCs w:val="28"/>
          <w:lang w:val="en-US"/>
        </w:rPr>
        <w:t>. 2016. Vol. 3</w:t>
      </w:r>
      <w:r w:rsidRPr="00511005">
        <w:rPr>
          <w:rFonts w:ascii="Arial" w:eastAsia="Calibri" w:hAnsi="Arial" w:cs="Arial"/>
          <w:szCs w:val="28"/>
          <w:lang w:val="uk-UA"/>
        </w:rPr>
        <w:t>.</w:t>
      </w:r>
      <w:r w:rsidRPr="00511005">
        <w:rPr>
          <w:rFonts w:ascii="Arial" w:eastAsia="Calibri" w:hAnsi="Arial" w:cs="Arial"/>
          <w:szCs w:val="28"/>
          <w:lang w:val="en-US"/>
        </w:rPr>
        <w:t xml:space="preserve"> </w:t>
      </w:r>
      <w:r w:rsidRPr="00511005">
        <w:rPr>
          <w:rFonts w:ascii="Arial" w:eastAsia="Calibri" w:hAnsi="Arial" w:cs="Arial"/>
          <w:szCs w:val="28"/>
          <w:lang w:val="uk-UA"/>
        </w:rPr>
        <w:t>№</w:t>
      </w:r>
      <w:r w:rsidRPr="00511005">
        <w:rPr>
          <w:rFonts w:ascii="Arial" w:eastAsia="Calibri" w:hAnsi="Arial" w:cs="Arial"/>
          <w:szCs w:val="28"/>
          <w:lang w:val="en-US"/>
        </w:rPr>
        <w:t xml:space="preserve">. </w:t>
      </w:r>
      <w:r w:rsidRPr="00511005">
        <w:rPr>
          <w:rFonts w:ascii="Arial" w:eastAsia="Calibri" w:hAnsi="Arial" w:cs="Arial"/>
          <w:szCs w:val="28"/>
          <w:lang w:val="uk-UA"/>
        </w:rPr>
        <w:t>3</w:t>
      </w:r>
      <w:r w:rsidRPr="00511005">
        <w:rPr>
          <w:rFonts w:ascii="Arial" w:eastAsia="Calibri" w:hAnsi="Arial" w:cs="Arial"/>
          <w:szCs w:val="28"/>
          <w:lang w:val="en-US"/>
        </w:rPr>
        <w:t>. P. 263.</w:t>
      </w:r>
    </w:p>
    <w:p w14:paraId="28D65F0A" w14:textId="77777777" w:rsidR="009C67AB" w:rsidRPr="00511005" w:rsidRDefault="009C67AB" w:rsidP="003A292D">
      <w:pPr>
        <w:spacing w:line="264" w:lineRule="auto"/>
        <w:ind w:firstLine="0"/>
        <w:rPr>
          <w:rFonts w:ascii="Arial" w:eastAsia="Calibri" w:hAnsi="Arial" w:cs="Arial"/>
          <w:szCs w:val="28"/>
          <w:lang w:val="uk-UA"/>
        </w:rPr>
      </w:pPr>
    </w:p>
    <w:p w14:paraId="4308BD87" w14:textId="36A35210" w:rsidR="009C67AB"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iCs/>
          <w:szCs w:val="28"/>
          <w:lang w:val="uk-UA"/>
        </w:rPr>
        <w:t xml:space="preserve">Ключові слова: </w:t>
      </w:r>
      <w:r w:rsidR="009C67AB" w:rsidRPr="00511005">
        <w:rPr>
          <w:rFonts w:ascii="Arial" w:eastAsia="Calibri" w:hAnsi="Arial" w:cs="Arial"/>
          <w:szCs w:val="28"/>
          <w:lang w:val="uk-UA"/>
        </w:rPr>
        <w:t>міждисциплінарність, філософія, наука, методологія, пізнання, системність.</w:t>
      </w:r>
    </w:p>
    <w:p w14:paraId="415BCC0B" w14:textId="3FCB3DFD" w:rsidR="009C67AB"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iCs/>
          <w:szCs w:val="28"/>
          <w:lang w:val="uk-UA"/>
        </w:rPr>
        <w:t xml:space="preserve">Key words: </w:t>
      </w:r>
      <w:r w:rsidR="009C67AB" w:rsidRPr="00511005">
        <w:rPr>
          <w:rFonts w:ascii="Arial" w:eastAsia="Calibri" w:hAnsi="Arial" w:cs="Arial"/>
          <w:szCs w:val="28"/>
          <w:lang w:val="uk-UA"/>
        </w:rPr>
        <w:t>interdisciplinarity, philosophy, science, methodology, cognition, systematicity.</w:t>
      </w:r>
    </w:p>
    <w:p w14:paraId="61A6AAA7" w14:textId="11F98FE5" w:rsidR="009C67AB"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9C67AB" w:rsidRPr="00511005">
        <w:rPr>
          <w:rFonts w:ascii="Arial" w:eastAsia="Calibri" w:hAnsi="Arial" w:cs="Arial"/>
          <w:i/>
          <w:szCs w:val="28"/>
          <w:lang w:val="uk-UA"/>
        </w:rPr>
        <w:t>д.ю.н., професор Мельничук О</w:t>
      </w:r>
      <w:r w:rsidR="001B7B25" w:rsidRPr="00511005">
        <w:rPr>
          <w:rFonts w:ascii="Arial" w:eastAsia="Calibri" w:hAnsi="Arial" w:cs="Arial"/>
          <w:i/>
          <w:szCs w:val="28"/>
          <w:lang w:val="uk-UA"/>
        </w:rPr>
        <w:t>.</w:t>
      </w:r>
      <w:r w:rsidR="009C67AB" w:rsidRPr="00511005">
        <w:rPr>
          <w:rFonts w:ascii="Arial" w:eastAsia="Calibri" w:hAnsi="Arial" w:cs="Arial"/>
          <w:i/>
          <w:szCs w:val="28"/>
          <w:lang w:val="uk-UA"/>
        </w:rPr>
        <w:t xml:space="preserve"> С.</w:t>
      </w:r>
    </w:p>
    <w:p w14:paraId="51EDB77C" w14:textId="77777777" w:rsidR="009C67AB" w:rsidRPr="00511005" w:rsidRDefault="009C67AB" w:rsidP="003A292D">
      <w:pPr>
        <w:keepNext/>
        <w:spacing w:line="264" w:lineRule="auto"/>
        <w:ind w:firstLine="0"/>
        <w:rPr>
          <w:rFonts w:ascii="Arial" w:eastAsia="Times New Roman" w:hAnsi="Arial" w:cs="Arial"/>
          <w:bCs/>
          <w:szCs w:val="28"/>
          <w:lang w:val="uk-UA" w:eastAsia="ru-RU"/>
        </w:rPr>
      </w:pPr>
    </w:p>
    <w:p w14:paraId="27A502B0" w14:textId="77777777" w:rsidR="009C67AB" w:rsidRPr="00511005" w:rsidRDefault="009C67AB" w:rsidP="003A292D">
      <w:pPr>
        <w:spacing w:line="264" w:lineRule="auto"/>
        <w:ind w:firstLine="0"/>
        <w:rPr>
          <w:rFonts w:ascii="Arial" w:eastAsia="Times New Roman" w:hAnsi="Arial" w:cs="Arial"/>
          <w:spacing w:val="-12"/>
          <w:szCs w:val="28"/>
          <w:lang w:val="uk-UA"/>
        </w:rPr>
      </w:pPr>
    </w:p>
    <w:p w14:paraId="41A5298A" w14:textId="77777777" w:rsidR="009C67AB" w:rsidRPr="00511005" w:rsidRDefault="009C67AB" w:rsidP="003A292D">
      <w:pPr>
        <w:keepNext/>
        <w:spacing w:line="264" w:lineRule="auto"/>
        <w:ind w:firstLine="0"/>
        <w:jc w:val="left"/>
        <w:rPr>
          <w:rFonts w:ascii="Arial" w:eastAsia="Times New Roman" w:hAnsi="Arial" w:cs="Arial"/>
          <w:szCs w:val="28"/>
          <w:lang w:val="uk-UA" w:eastAsia="ru-RU"/>
        </w:rPr>
      </w:pPr>
    </w:p>
    <w:p w14:paraId="783767A6" w14:textId="77777777" w:rsidR="009C67AB" w:rsidRPr="00511005" w:rsidRDefault="009C67AB" w:rsidP="003A292D">
      <w:pPr>
        <w:keepNext/>
        <w:spacing w:line="264" w:lineRule="auto"/>
        <w:ind w:firstLine="0"/>
        <w:jc w:val="left"/>
        <w:rPr>
          <w:rFonts w:ascii="Arial" w:eastAsia="Times New Roman" w:hAnsi="Arial" w:cs="Arial"/>
          <w:szCs w:val="28"/>
          <w:lang w:val="uk-UA" w:eastAsia="ru-RU"/>
        </w:rPr>
      </w:pPr>
      <w:r w:rsidRPr="00511005">
        <w:rPr>
          <w:rFonts w:ascii="Arial" w:eastAsia="Times New Roman" w:hAnsi="Arial" w:cs="Arial"/>
          <w:szCs w:val="28"/>
          <w:lang w:val="uk-UA" w:eastAsia="ru-RU"/>
        </w:rPr>
        <w:br w:type="page"/>
      </w:r>
    </w:p>
    <w:p w14:paraId="75ECB2DE" w14:textId="08090380" w:rsidR="00AF7202" w:rsidRPr="00511005" w:rsidRDefault="00AF7202" w:rsidP="003A292D">
      <w:pPr>
        <w:pStyle w:val="aa"/>
        <w:spacing w:before="0" w:after="0" w:line="264" w:lineRule="auto"/>
        <w:rPr>
          <w:rFonts w:ascii="Arial" w:hAnsi="Arial" w:cs="Arial"/>
          <w:color w:val="auto"/>
          <w:sz w:val="28"/>
          <w:szCs w:val="28"/>
        </w:rPr>
      </w:pPr>
      <w:bookmarkStart w:id="14" w:name="_Toc208298989"/>
      <w:r w:rsidRPr="00511005">
        <w:rPr>
          <w:rFonts w:ascii="Arial" w:hAnsi="Arial" w:cs="Arial"/>
          <w:color w:val="auto"/>
          <w:sz w:val="28"/>
          <w:szCs w:val="28"/>
        </w:rPr>
        <w:lastRenderedPageBreak/>
        <w:t xml:space="preserve">СЕКЦІЯ </w:t>
      </w:r>
      <w:r w:rsidR="00CF0E1B" w:rsidRPr="00511005">
        <w:rPr>
          <w:rFonts w:ascii="Arial" w:hAnsi="Arial" w:cs="Arial"/>
          <w:color w:val="auto"/>
          <w:sz w:val="28"/>
          <w:szCs w:val="28"/>
        </w:rPr>
        <w:t>2</w:t>
      </w:r>
      <w:r w:rsidRPr="00511005">
        <w:rPr>
          <w:rFonts w:ascii="Arial" w:hAnsi="Arial" w:cs="Arial"/>
          <w:color w:val="auto"/>
          <w:sz w:val="28"/>
          <w:szCs w:val="28"/>
        </w:rPr>
        <w:t xml:space="preserve">. </w:t>
      </w:r>
      <w:bookmarkEnd w:id="0"/>
      <w:r w:rsidRPr="00511005">
        <w:rPr>
          <w:rFonts w:ascii="Arial" w:hAnsi="Arial" w:cs="Arial"/>
          <w:color w:val="auto"/>
          <w:sz w:val="28"/>
          <w:szCs w:val="28"/>
        </w:rPr>
        <w:t xml:space="preserve">ІСТОРІЯ </w:t>
      </w:r>
      <w:r w:rsidR="001249BE" w:rsidRPr="00511005">
        <w:rPr>
          <w:rFonts w:ascii="Arial" w:hAnsi="Arial" w:cs="Arial"/>
          <w:color w:val="auto"/>
          <w:sz w:val="28"/>
          <w:szCs w:val="28"/>
        </w:rPr>
        <w:t xml:space="preserve">РОЗВИТКУ </w:t>
      </w:r>
      <w:r w:rsidRPr="00511005">
        <w:rPr>
          <w:rFonts w:ascii="Arial" w:hAnsi="Arial" w:cs="Arial"/>
          <w:color w:val="auto"/>
          <w:sz w:val="28"/>
          <w:szCs w:val="28"/>
        </w:rPr>
        <w:t xml:space="preserve">ДЕРЖАВИ </w:t>
      </w:r>
      <w:r w:rsidR="00792C26" w:rsidRPr="00511005">
        <w:rPr>
          <w:rFonts w:ascii="Arial" w:hAnsi="Arial" w:cs="Arial"/>
          <w:color w:val="auto"/>
          <w:sz w:val="28"/>
          <w:szCs w:val="28"/>
        </w:rPr>
        <w:t>ТА</w:t>
      </w:r>
      <w:r w:rsidRPr="00511005">
        <w:rPr>
          <w:rFonts w:ascii="Arial" w:hAnsi="Arial" w:cs="Arial"/>
          <w:color w:val="auto"/>
          <w:sz w:val="28"/>
          <w:szCs w:val="28"/>
        </w:rPr>
        <w:t xml:space="preserve"> ПРАВА</w:t>
      </w:r>
      <w:bookmarkEnd w:id="1"/>
      <w:bookmarkEnd w:id="7"/>
      <w:bookmarkEnd w:id="14"/>
      <w:r w:rsidRPr="00511005">
        <w:rPr>
          <w:rFonts w:ascii="Arial" w:hAnsi="Arial" w:cs="Arial"/>
          <w:color w:val="auto"/>
          <w:sz w:val="28"/>
          <w:szCs w:val="28"/>
        </w:rPr>
        <w:t xml:space="preserve"> </w:t>
      </w:r>
    </w:p>
    <w:p w14:paraId="406FF42B" w14:textId="77777777" w:rsidR="0045769F" w:rsidRPr="00511005" w:rsidRDefault="0045769F" w:rsidP="003A292D">
      <w:pPr>
        <w:keepNext/>
        <w:spacing w:line="264" w:lineRule="auto"/>
        <w:ind w:firstLine="0"/>
        <w:jc w:val="left"/>
        <w:rPr>
          <w:rFonts w:ascii="Arial" w:hAnsi="Arial" w:cs="Arial"/>
          <w:szCs w:val="28"/>
        </w:rPr>
      </w:pPr>
    </w:p>
    <w:p w14:paraId="3A61C4E6" w14:textId="77777777" w:rsidR="00220D3E" w:rsidRPr="00511005" w:rsidRDefault="00220D3E"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b/>
          <w:bCs/>
          <w:i/>
          <w:iCs/>
          <w:szCs w:val="28"/>
          <w:lang w:val="uk-UA" w:eastAsia="ru-RU"/>
        </w:rPr>
        <w:t>Возняк Владислав Миколайович</w:t>
      </w:r>
      <w:r w:rsidRPr="00511005">
        <w:rPr>
          <w:rFonts w:ascii="Arial" w:eastAsia="Times New Roman" w:hAnsi="Arial" w:cs="Arial"/>
          <w:b/>
          <w:bCs/>
          <w:szCs w:val="28"/>
          <w:lang w:val="uk-UA" w:eastAsia="ru-RU"/>
        </w:rPr>
        <w:t xml:space="preserve"> </w:t>
      </w:r>
    </w:p>
    <w:p w14:paraId="53CB80D2" w14:textId="1DB3ECF8" w:rsidR="00220D3E" w:rsidRPr="00511005" w:rsidRDefault="00220D3E"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 1-го курсу </w:t>
      </w:r>
      <w:r w:rsidR="003C5E59" w:rsidRPr="00511005">
        <w:rPr>
          <w:rFonts w:ascii="Arial" w:eastAsia="Times New Roman" w:hAnsi="Arial" w:cs="Arial"/>
          <w:szCs w:val="28"/>
          <w:lang w:val="uk-UA" w:eastAsia="ru-RU"/>
        </w:rPr>
        <w:t>факультету судового та міжнародного права</w:t>
      </w:r>
      <w:r w:rsidRPr="00511005">
        <w:rPr>
          <w:rFonts w:ascii="Arial" w:eastAsia="Times New Roman" w:hAnsi="Arial" w:cs="Arial"/>
          <w:szCs w:val="28"/>
          <w:lang w:val="uk-UA" w:eastAsia="ru-RU"/>
        </w:rPr>
        <w:t xml:space="preserve"> </w:t>
      </w:r>
      <w:r w:rsidR="007B2628" w:rsidRPr="00511005">
        <w:rPr>
          <w:rFonts w:ascii="Arial" w:eastAsia="Times New Roman" w:hAnsi="Arial" w:cs="Arial"/>
          <w:szCs w:val="28"/>
          <w:lang w:val="uk-UA" w:eastAsia="ru-RU"/>
        </w:rPr>
        <w:t>Національного університету «Одеська юридична академія»</w:t>
      </w:r>
      <w:r w:rsidRPr="00511005">
        <w:rPr>
          <w:rFonts w:ascii="Arial" w:eastAsia="Times New Roman" w:hAnsi="Arial" w:cs="Arial"/>
          <w:szCs w:val="28"/>
          <w:lang w:val="uk-UA" w:eastAsia="ru-RU"/>
        </w:rPr>
        <w:t xml:space="preserve"> </w:t>
      </w:r>
    </w:p>
    <w:p w14:paraId="1A96AC01" w14:textId="77777777" w:rsidR="003C5E59" w:rsidRPr="00511005" w:rsidRDefault="003C5E59" w:rsidP="003A292D">
      <w:pPr>
        <w:spacing w:line="264" w:lineRule="auto"/>
        <w:ind w:firstLine="0"/>
        <w:jc w:val="center"/>
        <w:rPr>
          <w:rFonts w:ascii="Arial" w:eastAsia="Times New Roman" w:hAnsi="Arial" w:cs="Arial"/>
          <w:szCs w:val="28"/>
          <w:lang w:eastAsia="ru-RU"/>
        </w:rPr>
      </w:pPr>
    </w:p>
    <w:p w14:paraId="1198F5D6" w14:textId="77777777" w:rsidR="007B2628" w:rsidRPr="00511005" w:rsidRDefault="00220D3E"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b/>
          <w:bCs/>
          <w:szCs w:val="28"/>
          <w:lang w:val="uk-UA" w:eastAsia="ru-RU"/>
        </w:rPr>
        <w:t>ПОГЛЯДИ СТАНІСЛАВА ОРІХОВСЬКОГО НА ДЕРЖАВУ І ПРАВО</w:t>
      </w:r>
    </w:p>
    <w:p w14:paraId="1AAF9ED9" w14:textId="64B868CA" w:rsidR="00220D3E" w:rsidRPr="00511005" w:rsidRDefault="00220D3E" w:rsidP="003C5E5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ХVІ столітті, яке є важливим періодом для розвитку культури, зокрема науки, варто згадати постать, що народилася в одному з духовно-культурних центрів тодішньої польської Галичини — місті, розташованому над величною річкою Сян. Ця річка була не лише стратегічно важливою артерією, а й відігравала ключову роль у культурному, торгівельному та науковому обміні. Саме тут народився видатний письменник, канонік, релігійний діяч, історик і, насамперед, філософ Станіслав Оріховський, який часто називав себе латинською «Roxolanus» (Роксолан). Цей псевдонім відображав його походження, адже його батько був русинським (українським) шляхтичем. </w:t>
      </w:r>
    </w:p>
    <w:p w14:paraId="5E6DA234" w14:textId="77777777" w:rsidR="00220D3E" w:rsidRPr="00511005" w:rsidRDefault="00220D3E" w:rsidP="003C5E59">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Станіслав, людина яка зробила дуже великий вклад для тодішньої правової системи,про це свідчить те що - Оріховський займав чільне місце серед найвпливовіших політичних мислителів Польщі свого часу. Його п'ятитомна праця "De institutionibus rei publicae Poloniae libri quinque" ("П'ять книг про устрій Польської держави") стала знаковим внеском у розвиток політичної думки. Він аргументував необхідність сильної королівської влади, розглядаючи її як гарант стабільності та правопорядку в державі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1, с. 98–102</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Разом з тим, він наголошував на значущості прав та привілеїв шляхти, підтримуючи їхню участь у державному управлінні, але під контролем владного монарха. Його погляди часто характеризуються як синтез республіканських та монархічних ідей. Він заклав основи концепції правової держави, яка передбачає верховенство права, розмежування гілок влади та гарантії прав і свобод людини. Його ідеї випередили час і знайшли відображення в пізніших європейських конституціях. Верховенство закону: Оріховський відстоював пріоритетність закону над волею монарха чи інших посадових осіб. У трактаті «Політія» він наголошував, що закон є основою функціонування держави, а король має бути «гарантом права», а не абсолютним правителем. </w:t>
      </w:r>
    </w:p>
    <w:p w14:paraId="2EF487A6" w14:textId="77777777" w:rsidR="00220D3E" w:rsidRPr="00511005" w:rsidRDefault="00220D3E" w:rsidP="003C5E59">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Поділ влади: Мислитель одним із перших в Україні обґрунтував необхідність розмежування гілок влади, щоб уникнути узурпації та тиранії. Він порівнював державу з живою істотою, де народ (посполиті) — це тіло, шляхта — душа, а король — розум, який координує дії, але не домінує над іншими частинами. Права людини: Оріховський підкреслював, що держава є гарантом прав і свобод людини, але також має обов’язки перед </w:t>
      </w:r>
      <w:r w:rsidRPr="00511005">
        <w:rPr>
          <w:rFonts w:ascii="Arial" w:eastAsia="Times New Roman" w:hAnsi="Arial" w:cs="Arial"/>
          <w:szCs w:val="28"/>
          <w:lang w:val="uk-UA" w:eastAsia="ru-RU"/>
        </w:rPr>
        <w:lastRenderedPageBreak/>
        <w:t xml:space="preserve">громадянами. Він акцентував на принципах справедливості, рівності та невідчужуваності прав. </w:t>
      </w:r>
      <w:r w:rsidRPr="00511005">
        <w:rPr>
          <w:rFonts w:ascii="Arial" w:eastAsia="Times New Roman" w:hAnsi="Arial" w:cs="Arial"/>
          <w:szCs w:val="28"/>
          <w:lang w:eastAsia="ru-RU"/>
        </w:rPr>
        <w:t xml:space="preserve">[1,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.103–105]</w:t>
      </w:r>
    </w:p>
    <w:p w14:paraId="7604AE36" w14:textId="77777777" w:rsidR="00220D3E" w:rsidRPr="00511005" w:rsidRDefault="00220D3E" w:rsidP="003C5E59">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Незважаючи на все,погляди Станіслава не були завжди однозначними, якщо на початку своєї інтелектуальної кар’єри, приблизно в 1530–1540-х роках, Оріховський перебував під сильним впливом гуманістичних ідей, які він засвоїв під час навчання в європейських університетах, зокрема у Віттенберзі, Падуї та Болоньї</w:t>
      </w:r>
      <w:r w:rsidRPr="00511005">
        <w:rPr>
          <w:rFonts w:ascii="Arial" w:eastAsia="Times New Roman" w:hAnsi="Arial" w:cs="Arial"/>
          <w:szCs w:val="28"/>
          <w:lang w:eastAsia="ru-RU"/>
        </w:rPr>
        <w:t xml:space="preserve"> [2, с. 52]</w:t>
      </w:r>
      <w:r w:rsidRPr="00511005">
        <w:rPr>
          <w:rFonts w:ascii="Arial" w:eastAsia="Times New Roman" w:hAnsi="Arial" w:cs="Arial"/>
          <w:szCs w:val="28"/>
          <w:lang w:val="uk-UA" w:eastAsia="ru-RU"/>
        </w:rPr>
        <w:t xml:space="preserve">. Гуманізм, з його акцентом на античну спадщину, раціоналізм і критичне мислення, сформував його ранні погляди на державу, право та релігію. У цей період Оріховський симпатизував ідеям Реформації, що набирала обертів у Європі після виступів Мартіна Лютера та Жана Кальвіна. </w:t>
      </w:r>
    </w:p>
    <w:p w14:paraId="2C9C55B0" w14:textId="77777777" w:rsidR="00220D3E" w:rsidRPr="00511005" w:rsidRDefault="00220D3E" w:rsidP="003C5E59">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Після всіх описаних вище подій,він почав жорстко критикувати католицьке духовенство за моральну деградацію, корупцію та втручання в світські справи. У своїх ранніх творах, таких як «Про целібат» (1542), він виступав проти обов’язкового безшлюб’я священиків, стверджуючи, що воно суперечить природному праву та божественному задуму. Для нього шлюб був природною потребою людини, а целібат — штучним обмеженням, що призводило до лицемірства та аморальності серед духовенства, його критика папства була особливо гострою </w:t>
      </w:r>
      <w:r w:rsidRPr="00511005">
        <w:rPr>
          <w:rFonts w:ascii="Arial" w:eastAsia="Times New Roman" w:hAnsi="Arial" w:cs="Arial"/>
          <w:szCs w:val="28"/>
          <w:lang w:eastAsia="ru-RU"/>
        </w:rPr>
        <w:t>[1, с. 75–80]</w:t>
      </w:r>
      <w:r w:rsidRPr="00511005">
        <w:rPr>
          <w:rFonts w:ascii="Arial" w:eastAsia="Times New Roman" w:hAnsi="Arial" w:cs="Arial"/>
          <w:szCs w:val="28"/>
          <w:lang w:val="uk-UA" w:eastAsia="ru-RU"/>
        </w:rPr>
        <w:t xml:space="preserve">. Наприклад, у полеміці з папою Юлієм III він звинувачував Ватикан у прагненні до політичної влади, що, на його думку, суперечило духовній місії церкви. Оріховський вважав, що папські декрети не повинні мати переваги над природним правом чи законами держави. </w:t>
      </w:r>
    </w:p>
    <w:p w14:paraId="04901563" w14:textId="77777777" w:rsidR="00220D3E" w:rsidRPr="00511005" w:rsidRDefault="00220D3E" w:rsidP="003C5E59">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Хоча ніколи не перейшов до протестантизму, його ранні твори відображають симпатію до реформаторських ідей, зокрема до критики католицької церкви та її впливу на суспільство. Він поділяв протестантські погляди на необхідність повернення до простоти раннього християнства та зменшення ролі церкви в політичному житті. Водночас його позиція була радше поміркованою: він не закликав до радикального розриву з католицизмом, а радше до реформування церкви зсередини. Цей період характеризується оптимізмом Станіслава щодо можливості реформ у суспільстві та церкві, а також його вірою в силу розуму, гуманістичних ідеалів і природного права як основи справедливого суспільного устрою. </w:t>
      </w:r>
    </w:p>
    <w:p w14:paraId="26911F47" w14:textId="084B2BE9" w:rsidR="00220D3E" w:rsidRPr="00511005" w:rsidRDefault="00220D3E" w:rsidP="003C5E59">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Все ж до 1550–1560-х років погляди Оріховського почали змінюватися, що стало особливо помітним у його праці «Польські діалоги політичні» (1563). У цей період він відійшов від ранньої підтримки Реформації, концепції природного права як найвищого авторитету та ідеї верховенства світської влади, натомість визнаючи зверхність папської влади над світською </w:t>
      </w:r>
      <w:r w:rsidRPr="00511005">
        <w:rPr>
          <w:rFonts w:ascii="Arial" w:eastAsia="Times New Roman" w:hAnsi="Arial" w:cs="Arial"/>
          <w:szCs w:val="28"/>
          <w:lang w:eastAsia="ru-RU"/>
        </w:rPr>
        <w:t xml:space="preserve">[2, </w:t>
      </w:r>
      <w:r w:rsidRPr="00511005">
        <w:rPr>
          <w:rFonts w:ascii="Arial" w:eastAsia="Times New Roman" w:hAnsi="Arial" w:cs="Arial"/>
          <w:szCs w:val="28"/>
          <w:lang w:val="uk-UA" w:eastAsia="ru-RU"/>
        </w:rPr>
        <w:t>с. 54–55</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У середині XVI століття католицька церква розпочала активну Контрреформацію, спрямовану на зміцнення своєї позиції в Європі після протестантських реформ. Тридентський собор (1545–1563) затвердив </w:t>
      </w:r>
      <w:r w:rsidRPr="00511005">
        <w:rPr>
          <w:rFonts w:ascii="Arial" w:eastAsia="Times New Roman" w:hAnsi="Arial" w:cs="Arial"/>
          <w:szCs w:val="28"/>
          <w:lang w:val="uk-UA" w:eastAsia="ru-RU"/>
        </w:rPr>
        <w:lastRenderedPageBreak/>
        <w:t xml:space="preserve">низку реформ, спрямованих на виправлення зловживань у церкві, що частково відповідало ранній критиці нашого мислителя. </w:t>
      </w:r>
    </w:p>
    <w:p w14:paraId="29C0D64F" w14:textId="77777777" w:rsidR="007B2628" w:rsidRPr="00511005" w:rsidRDefault="00220D3E" w:rsidP="003C5E59">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Важливим фактором на зміну його поглядів стала політична ситуація в тодішній Польщі. У 1550–1560-х роках Річ Посполита переживала політичну нестабільність, пов’язану з боротьбою за владу між шляхтою, королем і церквою. Оріховський, який раніше виступав за сильну королівську владу, почав бачити в католицькій церкві стабілізуючу силу, здатну об’єднати суспільство. </w:t>
      </w:r>
      <w:r w:rsidRPr="00511005">
        <w:rPr>
          <w:rFonts w:ascii="Arial" w:eastAsia="Times New Roman" w:hAnsi="Arial" w:cs="Arial"/>
          <w:szCs w:val="28"/>
          <w:lang w:eastAsia="ru-RU"/>
        </w:rPr>
        <w:t xml:space="preserve">[3, </w:t>
      </w:r>
      <w:r w:rsidRPr="00511005">
        <w:rPr>
          <w:rFonts w:ascii="Arial" w:eastAsia="Times New Roman" w:hAnsi="Arial" w:cs="Arial"/>
          <w:szCs w:val="28"/>
          <w:lang w:val="uk-UA" w:eastAsia="ru-RU"/>
        </w:rPr>
        <w:t>с. 147–148</w:t>
      </w:r>
      <w:r w:rsidRPr="00511005">
        <w:rPr>
          <w:rFonts w:ascii="Arial" w:eastAsia="Times New Roman" w:hAnsi="Arial" w:cs="Arial"/>
          <w:szCs w:val="28"/>
          <w:lang w:eastAsia="ru-RU"/>
        </w:rPr>
        <w:t>].</w:t>
      </w:r>
    </w:p>
    <w:p w14:paraId="7A77AAE2" w14:textId="341BCE29" w:rsidR="00220D3E" w:rsidRPr="00511005" w:rsidRDefault="00220D3E" w:rsidP="003C5E59">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У «Польських діалогах політичних» він висловлював ідею, що церква, зокрема папство, має вищий моральний і духовний авторитет, ніж світська влада. Ця зміна поглядів також може бути пов’язана з його розчаруванням у світській владі, яка, на його думку, не змогла реалізувати ідеали справедливості та спільного блага, які він відстоював у молодості. </w:t>
      </w:r>
    </w:p>
    <w:p w14:paraId="5BE3A998" w14:textId="77777777" w:rsidR="00220D3E" w:rsidRPr="00511005" w:rsidRDefault="00220D3E" w:rsidP="003C5E5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віком Оріховський ставав більш релігійно орієнтованим, що могло вплинути на його повернення до католицької ортодоксії. Його пізні твори демонструють глибшу релігійну спрямованість і менший акцент на раціоналізмі та природному праві, які домінували в його ранніх працях. У «Польських діалогах політичних» він відступає від концепції природного права як універсального принципу, натомість наголошуючи на божественному походженні влади та ролі церкви як посередника між Богом і людьми. Це був значний відхід від його ранніх гуманістичних ідей, де природне право стояло вище за церковні декрети [4, с. 165–170].</w:t>
      </w:r>
    </w:p>
    <w:p w14:paraId="47EE120C" w14:textId="77777777" w:rsidR="00220D3E" w:rsidRPr="00511005" w:rsidRDefault="00220D3E" w:rsidP="003C5E5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Праця «Польські діалоги політичні» (1563) є кульмінацією еволюції поглядів Оріховського та ключовим текстом для розуміння його пізньої думки. У цьому творі він відходить від ранньої концепції природного права як основи державного устрою, натомість акцентуючи на ролі церкви та папської влади. Основні ідеї, викладені в «Діалогах»: </w:t>
      </w:r>
    </w:p>
    <w:p w14:paraId="13372A6F" w14:textId="77777777" w:rsidR="00220D3E" w:rsidRPr="00511005" w:rsidRDefault="00220D3E" w:rsidP="003C5E59">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Оріховський стверджує, що церква, як інститут, що діє від імені Бога, має вищий авторитет у питаннях моралі та суспільного порядку. Це контрастує з його ранніми ідеями про те, що світська влада та природне право є основою справедливого суспільства. Він визнає папу як верховного арбітра в релігійних і частково політичних питаннях, що було значним відходом від його попередньої критики папства як інституції, що узурпує владу. Якщо раніше Оріховський бачив короля як гаранта закону та справедливості, у «Діалогах» він підкреслює, що світська влада має підкорятися божественним і церковним принципам. Це відображає його розчарування в здатності монархів і шляхти реалізувати ідеали гуманістичного правління. У пізніх творах Оріховський більше уваги приділяє моральним і духовним аспектам правління, ніж суто правовим чи політичним. Він закликає до реформування суспільства через повернення до християнських цінностей, які, на його думку, найкраще втілює католицька церква. </w:t>
      </w:r>
    </w:p>
    <w:p w14:paraId="46639028" w14:textId="77777777" w:rsidR="00220D3E" w:rsidRPr="00511005" w:rsidRDefault="00220D3E" w:rsidP="003C5E59">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Ця праця, хоча й менш відома, ніж його ранні твори, є важливим джерелом для розуміння складності його світогляду. Вона демонструє, як Оріховський намагався адаптувати свої ідеї до нових реалій, але водночас втратив частину радикалізму та новаторства своїх молодих років. [3, с. 147–148]. </w:t>
      </w:r>
    </w:p>
    <w:p w14:paraId="6E4665FF" w14:textId="33AFCA22" w:rsidR="00220D3E" w:rsidRPr="00511005" w:rsidRDefault="007B2628" w:rsidP="007B2628">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r w:rsidR="00220D3E" w:rsidRPr="00511005">
        <w:rPr>
          <w:rFonts w:ascii="Arial" w:eastAsia="Times New Roman" w:hAnsi="Arial" w:cs="Arial"/>
          <w:b/>
          <w:bCs/>
          <w:szCs w:val="28"/>
          <w:lang w:val="uk-UA" w:eastAsia="ru-RU"/>
        </w:rPr>
        <w:t xml:space="preserve"> </w:t>
      </w:r>
    </w:p>
    <w:p w14:paraId="1DC3C85F" w14:textId="77777777" w:rsidR="00220D3E" w:rsidRPr="00511005" w:rsidRDefault="00220D3E" w:rsidP="003C5E59">
      <w:pPr>
        <w:numPr>
          <w:ilvl w:val="0"/>
          <w:numId w:val="45"/>
        </w:numPr>
        <w:suppressAutoHyphen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Sysyn, Frank E. Between Poland and the Ukraine: The Dilemma of Stanislaw Orzechowski, 1513–1566. Cambridge, MA: Harvard Ukrainian Research Institute, </w:t>
      </w:r>
    </w:p>
    <w:p w14:paraId="7AEAAB2A" w14:textId="77777777" w:rsidR="00220D3E" w:rsidRPr="00511005" w:rsidRDefault="00220D3E" w:rsidP="003C5E59">
      <w:pPr>
        <w:numPr>
          <w:ilvl w:val="0"/>
          <w:numId w:val="45"/>
        </w:numPr>
        <w:suppressAutoHyphen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1985. Левицький, О. Станіслав Оріховський як політичний мислитель. Журнал «Український історичний журнал», № 4, 1996, с. 45–56. </w:t>
      </w:r>
    </w:p>
    <w:p w14:paraId="17B5757A" w14:textId="77777777" w:rsidR="00220D3E" w:rsidRPr="00511005" w:rsidRDefault="00220D3E" w:rsidP="003C5E59">
      <w:pPr>
        <w:numPr>
          <w:ilvl w:val="0"/>
          <w:numId w:val="45"/>
        </w:numPr>
        <w:suppressAutoHyphen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Петришин, Г. П. Філософська думка в Україні: біобібліографічний словник. Львів: Літопис, 2002. </w:t>
      </w:r>
    </w:p>
    <w:p w14:paraId="27688FAE" w14:textId="77777777" w:rsidR="00220D3E" w:rsidRPr="00511005" w:rsidRDefault="00220D3E" w:rsidP="003C5E59">
      <w:pPr>
        <w:numPr>
          <w:ilvl w:val="0"/>
          <w:numId w:val="45"/>
        </w:numPr>
        <w:suppressAutoHyphen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Козак, С. І. Станіслав Оріховський-Роксолан: гуманіст і мислитель епохи Відродження. Київ: Видавничий дім «Альтернативи», 2000. </w:t>
      </w:r>
    </w:p>
    <w:p w14:paraId="73EBF9C8" w14:textId="77777777" w:rsidR="003C5E59" w:rsidRPr="00511005" w:rsidRDefault="003C5E59" w:rsidP="003A292D">
      <w:pPr>
        <w:spacing w:line="264" w:lineRule="auto"/>
        <w:ind w:firstLine="0"/>
        <w:rPr>
          <w:rFonts w:ascii="Arial" w:eastAsia="Times New Roman" w:hAnsi="Arial" w:cs="Arial"/>
          <w:b/>
          <w:i/>
          <w:iCs/>
          <w:szCs w:val="28"/>
          <w:lang w:val="uk-UA" w:eastAsia="ru-RU"/>
        </w:rPr>
      </w:pPr>
    </w:p>
    <w:p w14:paraId="233E2BE2" w14:textId="77777777" w:rsidR="003C5E59" w:rsidRPr="00511005" w:rsidRDefault="003C5E59" w:rsidP="003C5E59">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Pr="00511005">
        <w:rPr>
          <w:rFonts w:ascii="Arial" w:eastAsia="Times New Roman" w:hAnsi="Arial" w:cs="Arial"/>
          <w:szCs w:val="28"/>
          <w:lang w:val="uk-UA" w:eastAsia="ru-RU"/>
        </w:rPr>
        <w:t xml:space="preserve">Roxolanus (Роксолан), природне право, правова держава, верховенство закону, розмежування гілок влади, права людини, сильна королівська влада, шляхта гуманізм, Реформація Контрреформація,«Польські діалоги політичні», католицька церква папська влада </w:t>
      </w:r>
    </w:p>
    <w:p w14:paraId="23264243" w14:textId="77777777" w:rsidR="003C5E59" w:rsidRPr="00511005" w:rsidRDefault="003C5E59" w:rsidP="003C5E59">
      <w:pPr>
        <w:spacing w:line="264" w:lineRule="auto"/>
        <w:ind w:firstLine="0"/>
        <w:rPr>
          <w:rFonts w:ascii="Arial" w:eastAsia="Times New Roman" w:hAnsi="Arial" w:cs="Arial"/>
          <w:szCs w:val="28"/>
          <w:lang w:val="en-US" w:eastAsia="ru-RU"/>
        </w:rPr>
      </w:pPr>
      <w:r w:rsidRPr="00511005">
        <w:rPr>
          <w:rFonts w:ascii="Arial" w:eastAsia="Times New Roman" w:hAnsi="Arial" w:cs="Arial"/>
          <w:b/>
          <w:i/>
          <w:szCs w:val="28"/>
          <w:lang w:val="uk-UA" w:eastAsia="ru-RU"/>
        </w:rPr>
        <w:t xml:space="preserve">Key words: </w:t>
      </w:r>
      <w:r w:rsidRPr="00511005">
        <w:rPr>
          <w:rFonts w:ascii="Arial" w:eastAsia="Times New Roman" w:hAnsi="Arial" w:cs="Arial"/>
          <w:szCs w:val="28"/>
          <w:lang w:val="uk-UA" w:eastAsia="ru-RU"/>
        </w:rPr>
        <w:t xml:space="preserve">Roxolanus, natural law, constitutional state, rule of law, separation of powers, human rights, strong royal power, nobility, humanism, Reformation, Counter-Reformation, "Polish Political Dialogues", Catholic Church, papal power </w:t>
      </w:r>
    </w:p>
    <w:p w14:paraId="715CCF30" w14:textId="7DAF3148" w:rsidR="00220D3E"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iCs/>
          <w:szCs w:val="28"/>
          <w:lang w:val="uk-UA" w:eastAsia="ru-RU"/>
        </w:rPr>
        <w:t xml:space="preserve">Науковий керівник: </w:t>
      </w:r>
      <w:r w:rsidR="00383DE9" w:rsidRPr="00511005">
        <w:rPr>
          <w:rFonts w:ascii="Arial" w:eastAsia="Times New Roman" w:hAnsi="Arial" w:cs="Arial"/>
          <w:szCs w:val="28"/>
          <w:lang w:val="uk-UA" w:eastAsia="ru-RU"/>
        </w:rPr>
        <w:t xml:space="preserve">к.ю.н., </w:t>
      </w:r>
      <w:r w:rsidR="00220D3E" w:rsidRPr="00511005">
        <w:rPr>
          <w:rFonts w:ascii="Arial" w:eastAsia="Times New Roman" w:hAnsi="Arial" w:cs="Arial"/>
          <w:szCs w:val="28"/>
          <w:lang w:val="uk-UA" w:eastAsia="ru-RU"/>
        </w:rPr>
        <w:t>доц</w:t>
      </w:r>
      <w:r w:rsidR="006A67B3" w:rsidRPr="00511005">
        <w:rPr>
          <w:rFonts w:ascii="Arial" w:eastAsia="Times New Roman" w:hAnsi="Arial" w:cs="Arial"/>
          <w:szCs w:val="28"/>
          <w:lang w:val="uk-UA" w:eastAsia="ru-RU"/>
        </w:rPr>
        <w:t>ент</w:t>
      </w:r>
      <w:r w:rsidR="00220D3E" w:rsidRPr="00511005">
        <w:rPr>
          <w:rFonts w:ascii="Arial" w:eastAsia="Times New Roman" w:hAnsi="Arial" w:cs="Arial"/>
          <w:szCs w:val="28"/>
          <w:lang w:val="uk-UA" w:eastAsia="ru-RU"/>
        </w:rPr>
        <w:t xml:space="preserve"> Горяга О</w:t>
      </w:r>
      <w:r w:rsidR="006A67B3" w:rsidRPr="00511005">
        <w:rPr>
          <w:rFonts w:ascii="Arial" w:eastAsia="Times New Roman" w:hAnsi="Arial" w:cs="Arial"/>
          <w:szCs w:val="28"/>
          <w:lang w:val="uk-UA" w:eastAsia="ru-RU"/>
        </w:rPr>
        <w:t>.</w:t>
      </w:r>
      <w:r w:rsidR="00220D3E" w:rsidRPr="00511005">
        <w:rPr>
          <w:rFonts w:ascii="Arial" w:eastAsia="Times New Roman" w:hAnsi="Arial" w:cs="Arial"/>
          <w:szCs w:val="28"/>
          <w:lang w:val="uk-UA" w:eastAsia="ru-RU"/>
        </w:rPr>
        <w:t xml:space="preserve"> В.</w:t>
      </w:r>
    </w:p>
    <w:p w14:paraId="4E9FC0FD" w14:textId="61BB8B9D" w:rsidR="003C5E59" w:rsidRPr="00511005" w:rsidRDefault="003C5E59" w:rsidP="003A292D">
      <w:pPr>
        <w:spacing w:line="264" w:lineRule="auto"/>
        <w:ind w:firstLine="0"/>
        <w:rPr>
          <w:rFonts w:ascii="Arial" w:eastAsia="Times New Roman" w:hAnsi="Arial" w:cs="Arial"/>
          <w:i/>
          <w:iCs/>
          <w:szCs w:val="28"/>
          <w:lang w:val="uk-UA" w:eastAsia="ru-RU"/>
        </w:rPr>
      </w:pPr>
    </w:p>
    <w:p w14:paraId="72E800D7" w14:textId="77777777" w:rsidR="003C5E59" w:rsidRPr="00511005" w:rsidRDefault="003C5E59" w:rsidP="003A292D">
      <w:pPr>
        <w:spacing w:line="264" w:lineRule="auto"/>
        <w:ind w:firstLine="0"/>
        <w:rPr>
          <w:rFonts w:ascii="Arial" w:eastAsia="Times New Roman" w:hAnsi="Arial" w:cs="Arial"/>
          <w:i/>
          <w:iCs/>
          <w:szCs w:val="28"/>
          <w:lang w:eastAsia="ru-RU"/>
        </w:rPr>
      </w:pPr>
    </w:p>
    <w:p w14:paraId="1085617F" w14:textId="77777777" w:rsidR="00220D3E" w:rsidRPr="00511005" w:rsidRDefault="00220D3E" w:rsidP="003A292D">
      <w:pPr>
        <w:suppressAutoHyphens/>
        <w:spacing w:line="264" w:lineRule="auto"/>
        <w:ind w:firstLine="0"/>
        <w:jc w:val="center"/>
        <w:rPr>
          <w:rFonts w:ascii="Arial" w:eastAsia="Times New Roman" w:hAnsi="Arial" w:cs="Arial"/>
          <w:b/>
          <w:i/>
          <w:szCs w:val="28"/>
          <w:lang w:val="uk-UA" w:eastAsia="zh-CN" w:bidi="hi-IN"/>
        </w:rPr>
      </w:pPr>
      <w:bookmarkStart w:id="15" w:name="_98rm5jzbzdxe"/>
      <w:bookmarkEnd w:id="15"/>
      <w:r w:rsidRPr="00511005">
        <w:rPr>
          <w:rFonts w:ascii="Arial" w:eastAsia="Times New Roman" w:hAnsi="Arial" w:cs="Arial"/>
          <w:b/>
          <w:i/>
          <w:szCs w:val="28"/>
          <w:lang w:val="uk-UA" w:eastAsia="zh-CN" w:bidi="hi-IN"/>
        </w:rPr>
        <w:t>Горелік Вікторія Максимівна</w:t>
      </w:r>
    </w:p>
    <w:p w14:paraId="67F9FEC1" w14:textId="115580A6" w:rsidR="00220D3E" w:rsidRPr="00511005" w:rsidRDefault="00220D3E" w:rsidP="003A292D">
      <w:pPr>
        <w:suppressAutoHyphens/>
        <w:spacing w:line="264" w:lineRule="auto"/>
        <w:ind w:firstLine="0"/>
        <w:jc w:val="center"/>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студентк</w:t>
      </w:r>
      <w:r w:rsidR="006A67B3" w:rsidRPr="00511005">
        <w:rPr>
          <w:rFonts w:ascii="Arial" w:eastAsia="Times New Roman" w:hAnsi="Arial" w:cs="Arial"/>
          <w:szCs w:val="28"/>
          <w:lang w:val="uk-UA" w:eastAsia="zh-CN" w:bidi="hi-IN"/>
        </w:rPr>
        <w:t>а</w:t>
      </w:r>
      <w:r w:rsidRPr="00511005">
        <w:rPr>
          <w:rFonts w:ascii="Arial" w:eastAsia="Times New Roman" w:hAnsi="Arial" w:cs="Arial"/>
          <w:szCs w:val="28"/>
          <w:lang w:val="uk-UA" w:eastAsia="zh-CN" w:bidi="hi-IN"/>
        </w:rPr>
        <w:t xml:space="preserve"> 1-го курсу </w:t>
      </w:r>
      <w:r w:rsidR="00536AAB" w:rsidRPr="00511005">
        <w:rPr>
          <w:rFonts w:ascii="Arial" w:eastAsia="Times New Roman" w:hAnsi="Arial" w:cs="Arial"/>
          <w:szCs w:val="28"/>
          <w:lang w:val="uk-UA" w:eastAsia="zh-CN" w:bidi="hi-IN"/>
        </w:rPr>
        <w:t>факультету адвокатури та антикорупційної діяльності</w:t>
      </w:r>
      <w:r w:rsidRPr="00511005">
        <w:rPr>
          <w:rFonts w:ascii="Arial" w:eastAsia="Times New Roman" w:hAnsi="Arial" w:cs="Arial"/>
          <w:szCs w:val="28"/>
          <w:lang w:val="uk-UA" w:eastAsia="zh-CN" w:bidi="hi-IN"/>
        </w:rPr>
        <w:br/>
      </w:r>
      <w:r w:rsidR="007B2628" w:rsidRPr="00511005">
        <w:rPr>
          <w:rFonts w:ascii="Arial" w:eastAsia="Times New Roman" w:hAnsi="Arial" w:cs="Arial"/>
          <w:szCs w:val="28"/>
          <w:lang w:val="uk-UA" w:eastAsia="zh-CN" w:bidi="hi-IN"/>
        </w:rPr>
        <w:t>Національного університету «Одеська юридична академія»</w:t>
      </w:r>
    </w:p>
    <w:p w14:paraId="7CAF2619" w14:textId="77777777" w:rsidR="00220D3E" w:rsidRPr="00511005" w:rsidRDefault="00220D3E" w:rsidP="003A292D">
      <w:pPr>
        <w:suppressAutoHyphens/>
        <w:spacing w:line="264" w:lineRule="auto"/>
        <w:ind w:firstLine="0"/>
        <w:jc w:val="center"/>
        <w:rPr>
          <w:rFonts w:ascii="Arial" w:eastAsia="Times New Roman" w:hAnsi="Arial" w:cs="Arial"/>
          <w:szCs w:val="28"/>
          <w:lang w:val="uk-UA" w:eastAsia="zh-CN" w:bidi="hi-IN"/>
        </w:rPr>
      </w:pPr>
    </w:p>
    <w:p w14:paraId="6655942D" w14:textId="77777777" w:rsidR="00220D3E" w:rsidRPr="00511005" w:rsidRDefault="00220D3E" w:rsidP="003A292D">
      <w:pPr>
        <w:suppressAutoHyphens/>
        <w:spacing w:line="264" w:lineRule="auto"/>
        <w:ind w:firstLine="0"/>
        <w:jc w:val="center"/>
        <w:rPr>
          <w:rFonts w:ascii="Arial" w:eastAsia="Times New Roman" w:hAnsi="Arial" w:cs="Arial"/>
          <w:b/>
          <w:szCs w:val="28"/>
          <w:lang w:val="uk-UA" w:eastAsia="zh-CN" w:bidi="hi-IN"/>
        </w:rPr>
      </w:pPr>
      <w:r w:rsidRPr="00511005">
        <w:rPr>
          <w:rFonts w:ascii="Arial" w:eastAsia="Times New Roman" w:hAnsi="Arial" w:cs="Arial"/>
          <w:b/>
          <w:szCs w:val="28"/>
          <w:lang w:val="uk-UA" w:eastAsia="zh-CN" w:bidi="hi-IN"/>
        </w:rPr>
        <w:t>КОНСТИТУЦІЯ ПИЛИПА ОРЛИКА 1710 РОКУ ЯК ПЕРША УКРАЇНСЬКА КОНСТИТУЦІЙНА СПРОБА: ПРАВОВЕ ЗНАЧЕННЯ І ВПЛИВ</w:t>
      </w:r>
    </w:p>
    <w:p w14:paraId="7C226F5D" w14:textId="77777777" w:rsidR="00220D3E" w:rsidRPr="00511005" w:rsidRDefault="00220D3E" w:rsidP="003A292D">
      <w:pPr>
        <w:suppressAutoHyphens/>
        <w:spacing w:line="264" w:lineRule="auto"/>
        <w:ind w:firstLine="0"/>
        <w:jc w:val="left"/>
        <w:rPr>
          <w:rFonts w:ascii="Arial" w:eastAsia="Calibri" w:hAnsi="Arial" w:cs="Arial"/>
          <w:szCs w:val="28"/>
          <w:lang w:val="uk-UA" w:eastAsia="zh-CN" w:bidi="hi-IN"/>
        </w:rPr>
      </w:pPr>
    </w:p>
    <w:p w14:paraId="50174E00"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Конституція Пилипа Орлика 1710 року становить визначну пам'ятку політико-правової думки України початку XVIII століття. Цей документ, повна назва якого "Договори і Постановлення прав і вольностей військових між Ясновельможним Його Милістю паном Пилипом Орликом, новообраним гетьманом Війська Запорозького, і між генеральними особами, полковниками і тим же Військом Запорозьким з повною згодою з обох сторін", був укладений 5 квітня 1710 року в Бендерах (сучасна Молдова) [1].</w:t>
      </w:r>
    </w:p>
    <w:p w14:paraId="291842B9"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lastRenderedPageBreak/>
        <w:t>Виникнення цього документа безпосередньо пов'язане з драматичними подіями Північної війни та поразкою шведсько-українського війська в Полтавській битві 1709 року. Після смерті гетьмана Івана Мазепи козацька еміграція обрала новим гетьманом Пилипа Орлика, який на момент обрання мав скласти присягу дотримуватися визначених прав і вольностей Війська Запорозького.</w:t>
      </w:r>
    </w:p>
    <w:p w14:paraId="22C47C30"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Конституція, написана латиною, старою українською та польською мовами, складалася з преамбули та 16 статей, що регламентували державний устрій, адміністративну систему, соціально-економічні відносини, міжнародно-правові аспекти, судочинство та військові справи. Преамбула містила історичну довідку про козацтво і обґрунтування права України на незалежність від Московського царства [3].</w:t>
      </w:r>
    </w:p>
    <w:p w14:paraId="66DD1421"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Юридичний аналіз Конституції Пилипа Орлика дає підстави стверджувати, що документ передбачав формування республіканської форми правління з чітким розподілом влади. Законодавчі функції покладалися на Генеральну Раду, в якій мали брати участь полковники, генеральна старшина, полкові старшини, сотники та представники Запорозької Січі. Ця Рада мала скликатися тричі на рік – на Різдво, Великдень і Покрову.</w:t>
      </w:r>
    </w:p>
    <w:p w14:paraId="4A5A15E5"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 xml:space="preserve">Виконавча влада належала гетьману, але з суттєвими обмеженнями. У IV статті Конституції зазначалося: "Щоб Ясновельможний гетьман жодних листів не відправляв і не одержував від сторонніх держав без консультацій з Генеральною старшиною". Гетьман також не мав права самостійно розпоряджатися державними коштами, для чого запроваджувалася посада генерального підскарбія. </w:t>
      </w:r>
    </w:p>
    <w:p w14:paraId="7D06DF35"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 xml:space="preserve">Судова влада за Конституцією Орлика відокремлювалася від гетьманської адміністрації. Зокрема, стаття VII передбачала: "Якщо хтось із генеральних осіб, полковників, генеральних радників, знатних козаків та всіх інших урядників, а також із рядових козаків учинить злочин чи провину, гетьман не має права сам покарати його, а повинен передати справу до Генерального Суду" [1]. </w:t>
      </w:r>
    </w:p>
    <w:p w14:paraId="0BADFF79"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 xml:space="preserve">Територіальний устрій козацької держави за Конституцією базувався на полково-сотенній системі управління. При цьому передбачалося обмеження старшинського свавілля та захист прав рядового козацтва. Стаття Х зазначала: "Старшини всіх рівнів... не повинні залучати до панщини козаків та їхніх сімей, примушувати їх до приватних робіт, захоплювати їхні землі". </w:t>
      </w:r>
    </w:p>
    <w:p w14:paraId="2D2E8B51"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 xml:space="preserve">Правове становище Запорозької Січі, як автономної структури, детально регламентувалося в Конституції. Зокрема, гарантувалося повернення Січі контрольованих Московським царством територій, де мало зберігатися козацьке самоврядування. </w:t>
      </w:r>
    </w:p>
    <w:p w14:paraId="6DA36B67"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lastRenderedPageBreak/>
        <w:t>Соціально-економічні положення Конституції демонструють прагнення до встановлення справедливого суспільного устрою. У статті ХІ заборонялися надмірні побори з населення: "Вдови козаків, їхні діти-сироти, козацькі господарства та жінки козаків, що перебувають у військових походах, мають бути вільні від податків і повинностей" [2]. Запроваджувалася ревізія земельних володінь, отриманих старшиною, та передбачалося скасування багатьох непопулярних податків, що викликали соціальне невдоволення.</w:t>
      </w:r>
    </w:p>
    <w:p w14:paraId="315C4B79"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 xml:space="preserve">Міжнародно-правові аспекти посідають значне місце в Конституції Пилипа Орлика. Документ передбачав відновлення союзу з Кримським ханством, дружні відносини зі Швецією та Османською імперією. При цьому в статті ІІ чітко встановлювалося: "Територія України має бути звільнена від московських фортець і російських військ". </w:t>
      </w:r>
    </w:p>
    <w:p w14:paraId="3CC840F1"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Релігійні питання розглядалися в Конституції в контексті забезпечення релігійної свободи. Православна віра визнавалася державною, але водночас гарантувалося право на свободу віросповідання для представників інших конфесій. Важливим положенням була вимога відновлення підпорядкування Київської митрополії Константинопольському патріархату, що свідчило про прагнення послабити російський церковний вплив.</w:t>
      </w:r>
    </w:p>
    <w:p w14:paraId="69702B2D"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Конституція Пилипа Орлика не була впроваджена в життя через несприятливі історичні обставини. Однак її юридичне та історичне значення полягає в тому, що вона стала першою систематизованою спробою конституційного оформлення української державності. Документ з'явився в період, коли в Європі панував абсолютизм, а ідеї поділу влади та обмеження повноважень монарха лише починали формуватися в працях тогочасних філософів [5].</w:t>
      </w:r>
    </w:p>
    <w:p w14:paraId="0F353E15"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 xml:space="preserve">Порівняльний аналіз Конституції Пилипа Орлика з іншими конституційними документами тогочасної Європи демонструє її прогресивний характер. Конституція Пилипа Орлика містила такі демократичні ідеї, як поділ влади, обмеження повноважень правителя, виборність посадових осіб, що вперше були реалізовані в американській конституції 1787 року та французькій 1791 року [4]. </w:t>
      </w:r>
    </w:p>
    <w:p w14:paraId="089B7237"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Вплив Конституції Пилипа Орлика на подальший розвиток українського конституціоналізму проявився в тому, що закладені в ній ідеї стали частиною політичної культури українського суспільства. Принципи виборності влади, її підзвітності народу, федеративного устрою держави, закріплені в Конституції Орлика, знайшли відображення в програмних документах українських політичних рухів ХІХ-ХХ століть [6].</w:t>
      </w:r>
    </w:p>
    <w:p w14:paraId="4E795F80"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 xml:space="preserve">З точки зору міжнародного права, Конституція Пилипа Орлика мала велике значення як документ, що закріплював міжнародну правосуб'єктність України. У преамбулі та окремих статтях обґрунтовувалося право </w:t>
      </w:r>
      <w:r w:rsidRPr="00511005">
        <w:rPr>
          <w:rFonts w:ascii="Arial" w:eastAsia="Times New Roman" w:hAnsi="Arial" w:cs="Arial"/>
          <w:szCs w:val="28"/>
          <w:lang w:val="uk-UA" w:eastAsia="zh-CN" w:bidi="hi-IN"/>
        </w:rPr>
        <w:lastRenderedPageBreak/>
        <w:t xml:space="preserve">українського народу на власну державність, що спиралося на історичні традиції та міжнародні угоди. </w:t>
      </w:r>
    </w:p>
    <w:p w14:paraId="2151A232"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 xml:space="preserve">Аналізуючи юридичну техніку Конституції Пилипа Орлика, варто відзначити її структурованість та логічність. Кожна стаття документа містить чітке формулювання правових норм, обґрунтування їх необхідності та механізми реалізації. </w:t>
      </w:r>
    </w:p>
    <w:p w14:paraId="53C812D5"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У сучасному контексті Конституція Пилипа Орлика розглядається як важливий елемент національної правової спадщини. Вона демонструє давні традиції конституціоналізму в Україні та слугує аргументом на користь європейської ідентичності українського права. Конституція Пилипа Орлика є свідченням того, що українська політико-правова думка розвивалася в руслі загальноєвропейських тенденцій, а в деяких аспектах навіть випереджала свій час.</w:t>
      </w:r>
    </w:p>
    <w:p w14:paraId="3D8757D6"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 xml:space="preserve">Демократичний характер Конституції проявлявся не лише в декларуванні прав і свобод, а й у встановленні механізмів контролю за діяльністю влади. Зокрема, передбачалася регулярна звітність гетьмана та інших посадових осіб перед Генеральною Радою, а також процедура імпічменту в разі порушення ними своїх обов'язків. </w:t>
      </w:r>
    </w:p>
    <w:p w14:paraId="0C417A26"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Національна спрямованість Конституції Пилипа Орлика проявлялася в ії прагненні до збереження самобутності українського народу. Документ закріплював традиційні форми урядування, що сформувалися в козацькій державі, та водночас розвивав їх відповідно до нових суспільних реалій. Конституція Орлика стала спробою поєднати національні традиції з європейськими політичними ідеями.</w:t>
      </w:r>
    </w:p>
    <w:p w14:paraId="46F7A945"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 xml:space="preserve">Конституція Пилипа Орлика посідає особливе місце в історії світового конституціоналізму. Вона з'явилася у період, коли конституційне право як окрема галузь лише формувалося, і демонструвала розуміння українськими правниками основних принципів конституційного ладу. </w:t>
      </w:r>
    </w:p>
    <w:p w14:paraId="26258F04"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Незважаючи на те, що Конституція Пилипа Орлика не була реалізована на практиці, її правове значення полягає в тому, що вона стала першою спробою конституційного оформлення української державності на демократичних засадах. Документ відображав прагнення українського народу до створення незалежної держави і визначав основні принципи її організації.</w:t>
      </w:r>
    </w:p>
    <w:p w14:paraId="09EC42DB" w14:textId="77777777" w:rsidR="00220D3E" w:rsidRPr="00511005" w:rsidRDefault="00220D3E" w:rsidP="006A67B3">
      <w:pPr>
        <w:suppressAutoHyphens/>
        <w:spacing w:line="264" w:lineRule="auto"/>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 xml:space="preserve">Отже, Конституція Пилипа Орлика 1710 року, попри нереалізованість її положень у практичному державотворенні, залишається визначною пам'яткою української політико-правової думки та важливим етапом розвитку українського конституціоналізму. Ії створення засвідчило високий рівень політичної та правової культури українського суспільства початку XVIII століття та його здатність до сприйняття прогресивних конституційних ідей. </w:t>
      </w:r>
    </w:p>
    <w:p w14:paraId="47CD7A17" w14:textId="77777777" w:rsidR="00220D3E" w:rsidRPr="00511005" w:rsidRDefault="00220D3E" w:rsidP="003A292D">
      <w:pPr>
        <w:suppressAutoHyphens/>
        <w:spacing w:line="264" w:lineRule="auto"/>
        <w:ind w:firstLine="0"/>
        <w:jc w:val="left"/>
        <w:rPr>
          <w:rFonts w:ascii="Arial" w:eastAsia="Calibri" w:hAnsi="Arial" w:cs="Arial"/>
          <w:szCs w:val="28"/>
          <w:lang w:val="uk-UA" w:eastAsia="zh-CN" w:bidi="hi-IN"/>
        </w:rPr>
      </w:pPr>
    </w:p>
    <w:p w14:paraId="30D1967A" w14:textId="2EBAE151" w:rsidR="00220D3E" w:rsidRPr="00511005" w:rsidRDefault="007B2628" w:rsidP="007B2628">
      <w:pPr>
        <w:keepNext/>
        <w:widowControl w:val="0"/>
        <w:suppressAutoHyphens/>
        <w:spacing w:line="264" w:lineRule="auto"/>
        <w:ind w:firstLine="0"/>
        <w:jc w:val="center"/>
        <w:rPr>
          <w:rFonts w:ascii="Arial" w:eastAsia="Times New Roman" w:hAnsi="Arial" w:cs="Arial"/>
          <w:b/>
          <w:szCs w:val="28"/>
          <w:lang w:val="uk-UA" w:eastAsia="zh-CN" w:bidi="hi-IN"/>
        </w:rPr>
      </w:pPr>
      <w:r w:rsidRPr="00511005">
        <w:rPr>
          <w:rFonts w:ascii="Arial" w:eastAsia="Times New Roman" w:hAnsi="Arial" w:cs="Arial"/>
          <w:b/>
          <w:szCs w:val="28"/>
          <w:lang w:val="uk-UA" w:eastAsia="zh-CN" w:bidi="hi-IN"/>
        </w:rPr>
        <w:lastRenderedPageBreak/>
        <w:t>Список використаних джерел</w:t>
      </w:r>
    </w:p>
    <w:p w14:paraId="7386A327" w14:textId="77777777" w:rsidR="00220D3E" w:rsidRPr="00511005" w:rsidRDefault="00220D3E" w:rsidP="006A67B3">
      <w:pPr>
        <w:keepNext/>
        <w:widowControl w:val="0"/>
        <w:numPr>
          <w:ilvl w:val="0"/>
          <w:numId w:val="44"/>
        </w:numPr>
        <w:suppressAutoHyphens/>
        <w:spacing w:line="264" w:lineRule="auto"/>
        <w:ind w:left="357" w:hanging="357"/>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Pritsak O. The First Constitution of Ukraine (5 April 1710) // Harvard Ukrainian Studies. 1998. Vol. 22. P. 471-496.</w:t>
      </w:r>
    </w:p>
    <w:p w14:paraId="0F2E1166" w14:textId="77777777" w:rsidR="00220D3E" w:rsidRPr="00511005" w:rsidRDefault="00220D3E" w:rsidP="006A67B3">
      <w:pPr>
        <w:keepNext/>
        <w:widowControl w:val="0"/>
        <w:numPr>
          <w:ilvl w:val="0"/>
          <w:numId w:val="44"/>
        </w:numPr>
        <w:suppressAutoHyphens/>
        <w:spacing w:line="264" w:lineRule="auto"/>
        <w:ind w:left="357" w:hanging="357"/>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Subtelny O. The Mazepists: Ukrainian Separatism in the Early Eighteenth Century. Boulder: East European Monographs, 1981. 280 p.</w:t>
      </w:r>
    </w:p>
    <w:p w14:paraId="755E1DD7" w14:textId="77777777" w:rsidR="00220D3E" w:rsidRPr="00511005" w:rsidRDefault="00220D3E" w:rsidP="006A67B3">
      <w:pPr>
        <w:keepNext/>
        <w:widowControl w:val="0"/>
        <w:numPr>
          <w:ilvl w:val="0"/>
          <w:numId w:val="44"/>
        </w:numPr>
        <w:suppressAutoHyphens/>
        <w:spacing w:line="264" w:lineRule="auto"/>
        <w:ind w:left="357" w:hanging="357"/>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Мироненко О. Історія Конституції України. Київ: Ін Юре, 1997. 60 с.</w:t>
      </w:r>
    </w:p>
    <w:p w14:paraId="36ABAC41" w14:textId="77777777" w:rsidR="00220D3E" w:rsidRPr="00511005" w:rsidRDefault="00220D3E" w:rsidP="006A67B3">
      <w:pPr>
        <w:keepNext/>
        <w:widowControl w:val="0"/>
        <w:numPr>
          <w:ilvl w:val="0"/>
          <w:numId w:val="44"/>
        </w:numPr>
        <w:suppressAutoHyphens/>
        <w:spacing w:line="264" w:lineRule="auto"/>
        <w:ind w:left="357" w:hanging="357"/>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Lemkin R. Soviet Genocide in Ukraine // Journal of International Criminal Justice. 2009. Vol. 7(1). P. 123-130.</w:t>
      </w:r>
    </w:p>
    <w:p w14:paraId="72FC09DC" w14:textId="77777777" w:rsidR="00220D3E" w:rsidRPr="00511005" w:rsidRDefault="00220D3E" w:rsidP="006A67B3">
      <w:pPr>
        <w:keepNext/>
        <w:widowControl w:val="0"/>
        <w:numPr>
          <w:ilvl w:val="0"/>
          <w:numId w:val="44"/>
        </w:numPr>
        <w:suppressAutoHyphens/>
        <w:spacing w:line="264" w:lineRule="auto"/>
        <w:ind w:left="357" w:hanging="357"/>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Joffe O.S. Development of Civil Law Thinking in the USSR. Leiden: A. W. Sijthoff, 1985. 383 p.</w:t>
      </w:r>
    </w:p>
    <w:p w14:paraId="4A132B5E" w14:textId="77777777" w:rsidR="00220D3E" w:rsidRPr="00511005" w:rsidRDefault="00220D3E" w:rsidP="006A67B3">
      <w:pPr>
        <w:keepNext/>
        <w:widowControl w:val="0"/>
        <w:numPr>
          <w:ilvl w:val="0"/>
          <w:numId w:val="44"/>
        </w:numPr>
        <w:suppressAutoHyphens/>
        <w:spacing w:line="264" w:lineRule="auto"/>
        <w:ind w:left="357" w:hanging="357"/>
        <w:rPr>
          <w:rFonts w:ascii="Arial" w:eastAsia="Times New Roman" w:hAnsi="Arial" w:cs="Arial"/>
          <w:szCs w:val="28"/>
          <w:lang w:val="uk-UA" w:eastAsia="zh-CN" w:bidi="hi-IN"/>
        </w:rPr>
      </w:pPr>
      <w:r w:rsidRPr="00511005">
        <w:rPr>
          <w:rFonts w:ascii="Arial" w:eastAsia="Times New Roman" w:hAnsi="Arial" w:cs="Arial"/>
          <w:szCs w:val="28"/>
          <w:lang w:val="uk-UA" w:eastAsia="zh-CN" w:bidi="hi-IN"/>
        </w:rPr>
        <w:t>Joukovsky A. Histoire de l'Ukraine. Paris: Éditions du Dauphin, 1993. 291 p.</w:t>
      </w:r>
    </w:p>
    <w:p w14:paraId="5C738518" w14:textId="77777777" w:rsidR="00220D3E" w:rsidRPr="00511005" w:rsidRDefault="00220D3E" w:rsidP="003A292D">
      <w:pPr>
        <w:suppressAutoHyphens/>
        <w:spacing w:line="264" w:lineRule="auto"/>
        <w:ind w:firstLine="0"/>
        <w:jc w:val="left"/>
        <w:rPr>
          <w:rFonts w:ascii="Arial" w:eastAsia="Calibri" w:hAnsi="Arial" w:cs="Arial"/>
          <w:szCs w:val="28"/>
          <w:lang w:val="uk-UA" w:eastAsia="zh-CN" w:bidi="hi-IN"/>
        </w:rPr>
      </w:pPr>
    </w:p>
    <w:p w14:paraId="56C5E2A7" w14:textId="63502CCB" w:rsidR="00220D3E" w:rsidRPr="00511005" w:rsidRDefault="007B2628" w:rsidP="003A292D">
      <w:pPr>
        <w:suppressAutoHyphens/>
        <w:spacing w:line="264" w:lineRule="auto"/>
        <w:ind w:firstLine="0"/>
        <w:rPr>
          <w:rFonts w:ascii="Arial" w:eastAsia="Times New Roman" w:hAnsi="Arial" w:cs="Arial"/>
          <w:szCs w:val="28"/>
          <w:lang w:val="uk-UA" w:eastAsia="zh-CN" w:bidi="hi-IN"/>
        </w:rPr>
      </w:pPr>
      <w:r w:rsidRPr="00511005">
        <w:rPr>
          <w:rFonts w:ascii="Arial" w:eastAsia="Times New Roman" w:hAnsi="Arial" w:cs="Arial"/>
          <w:b/>
          <w:i/>
          <w:szCs w:val="28"/>
          <w:lang w:val="uk-UA" w:eastAsia="zh-CN" w:bidi="hi-IN"/>
        </w:rPr>
        <w:t xml:space="preserve">Ключові слова: </w:t>
      </w:r>
      <w:r w:rsidR="00220D3E" w:rsidRPr="00511005">
        <w:rPr>
          <w:rFonts w:ascii="Arial" w:eastAsia="Times New Roman" w:hAnsi="Arial" w:cs="Arial"/>
          <w:szCs w:val="28"/>
          <w:lang w:val="uk-UA" w:eastAsia="zh-CN" w:bidi="hi-IN"/>
        </w:rPr>
        <w:t>Конституція Пилипа Орлика, українська державність, поділ влади, козацька держава, конституціоналізм</w:t>
      </w:r>
    </w:p>
    <w:p w14:paraId="009500F4" w14:textId="4770FAAA" w:rsidR="00220D3E" w:rsidRPr="00511005" w:rsidRDefault="007B2628" w:rsidP="003A292D">
      <w:pPr>
        <w:suppressAutoHyphens/>
        <w:spacing w:line="264" w:lineRule="auto"/>
        <w:ind w:firstLine="0"/>
        <w:rPr>
          <w:rFonts w:ascii="Arial" w:eastAsia="Times New Roman" w:hAnsi="Arial" w:cs="Arial"/>
          <w:szCs w:val="28"/>
          <w:lang w:val="uk-UA" w:eastAsia="zh-CN" w:bidi="hi-IN"/>
        </w:rPr>
      </w:pPr>
      <w:r w:rsidRPr="00511005">
        <w:rPr>
          <w:rFonts w:ascii="Arial" w:eastAsia="Times New Roman" w:hAnsi="Arial" w:cs="Arial"/>
          <w:b/>
          <w:i/>
          <w:szCs w:val="28"/>
          <w:lang w:val="uk-UA" w:eastAsia="zh-CN" w:bidi="hi-IN"/>
        </w:rPr>
        <w:t xml:space="preserve">Key words: </w:t>
      </w:r>
      <w:r w:rsidR="00220D3E" w:rsidRPr="00511005">
        <w:rPr>
          <w:rFonts w:ascii="Arial" w:eastAsia="Times New Roman" w:hAnsi="Arial" w:cs="Arial"/>
          <w:szCs w:val="28"/>
          <w:lang w:val="uk-UA" w:eastAsia="zh-CN" w:bidi="hi-IN"/>
        </w:rPr>
        <w:t>Constitution of Pylyp Orlyk, Ukrainian statehood, separation of powers, Cossack state, constitutionalism</w:t>
      </w:r>
    </w:p>
    <w:p w14:paraId="6F5253C6" w14:textId="41250660" w:rsidR="00220D3E" w:rsidRPr="00511005" w:rsidRDefault="007B2628" w:rsidP="003A292D">
      <w:pPr>
        <w:spacing w:line="264" w:lineRule="auto"/>
        <w:ind w:firstLine="0"/>
        <w:rPr>
          <w:rFonts w:ascii="Arial" w:eastAsia="Times New Roman" w:hAnsi="Arial" w:cs="Arial"/>
          <w:i/>
          <w:szCs w:val="28"/>
          <w:lang w:val="uk-UA" w:eastAsia="ru-RU"/>
        </w:rPr>
      </w:pPr>
      <w:bookmarkStart w:id="16" w:name="_acm18hnprs7y"/>
      <w:bookmarkEnd w:id="16"/>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д.ю.н., завідувач кафедри, професор Аніщук Н.В.</w:t>
      </w:r>
    </w:p>
    <w:p w14:paraId="4464C98B" w14:textId="77777777" w:rsidR="00220D3E" w:rsidRPr="00511005" w:rsidRDefault="00220D3E" w:rsidP="003A292D">
      <w:pPr>
        <w:spacing w:line="264" w:lineRule="auto"/>
        <w:ind w:firstLine="0"/>
        <w:rPr>
          <w:rFonts w:ascii="Arial" w:eastAsia="Calibri" w:hAnsi="Arial" w:cs="Arial"/>
          <w:i/>
          <w:szCs w:val="28"/>
          <w:lang w:val="uk-UA" w:eastAsia="ru-RU"/>
        </w:rPr>
      </w:pPr>
    </w:p>
    <w:p w14:paraId="6994AD30" w14:textId="77777777" w:rsidR="00220D3E" w:rsidRPr="00511005" w:rsidRDefault="00220D3E" w:rsidP="003A292D">
      <w:pPr>
        <w:spacing w:line="264" w:lineRule="auto"/>
        <w:ind w:firstLine="0"/>
        <w:jc w:val="center"/>
        <w:rPr>
          <w:rFonts w:ascii="Arial" w:eastAsia="Calibri" w:hAnsi="Arial" w:cs="Arial"/>
          <w:b/>
          <w:bCs/>
          <w:i/>
          <w:iCs/>
          <w:szCs w:val="28"/>
          <w:lang w:val="uk-UA" w:eastAsia="ru-RU"/>
        </w:rPr>
      </w:pPr>
      <w:r w:rsidRPr="00511005">
        <w:rPr>
          <w:rFonts w:ascii="Arial" w:eastAsia="Calibri" w:hAnsi="Arial" w:cs="Arial"/>
          <w:b/>
          <w:bCs/>
          <w:i/>
          <w:iCs/>
          <w:szCs w:val="28"/>
          <w:lang w:val="uk-UA" w:eastAsia="ru-RU"/>
        </w:rPr>
        <w:t>Донець Софія Андріївна</w:t>
      </w:r>
    </w:p>
    <w:p w14:paraId="07C50686" w14:textId="77777777" w:rsidR="00220D3E" w:rsidRPr="00511005" w:rsidRDefault="00220D3E" w:rsidP="003A292D">
      <w:pPr>
        <w:spacing w:line="264" w:lineRule="auto"/>
        <w:ind w:firstLine="0"/>
        <w:jc w:val="center"/>
        <w:rPr>
          <w:rFonts w:ascii="Arial" w:eastAsia="Calibri" w:hAnsi="Arial" w:cs="Arial"/>
          <w:iCs/>
          <w:szCs w:val="28"/>
          <w:lang w:val="uk-UA" w:eastAsia="ru-RU"/>
        </w:rPr>
      </w:pPr>
      <w:r w:rsidRPr="00511005">
        <w:rPr>
          <w:rFonts w:ascii="Arial" w:eastAsia="Calibri" w:hAnsi="Arial" w:cs="Arial"/>
          <w:iCs/>
          <w:szCs w:val="28"/>
          <w:lang w:val="uk-UA" w:eastAsia="ru-RU"/>
        </w:rPr>
        <w:t>студентка 1-го курсу факультету прокуратури й слідства</w:t>
      </w:r>
    </w:p>
    <w:p w14:paraId="2C97EE5D" w14:textId="77777777" w:rsidR="00220D3E" w:rsidRPr="00511005" w:rsidRDefault="00220D3E" w:rsidP="003A292D">
      <w:pPr>
        <w:spacing w:line="264" w:lineRule="auto"/>
        <w:ind w:firstLine="0"/>
        <w:jc w:val="center"/>
        <w:rPr>
          <w:rFonts w:ascii="Arial" w:eastAsia="Calibri" w:hAnsi="Arial" w:cs="Arial"/>
          <w:iCs/>
          <w:szCs w:val="28"/>
          <w:lang w:val="uk-UA" w:eastAsia="ru-RU"/>
        </w:rPr>
      </w:pPr>
      <w:r w:rsidRPr="00511005">
        <w:rPr>
          <w:rFonts w:ascii="Arial" w:eastAsia="Calibri" w:hAnsi="Arial" w:cs="Arial"/>
          <w:iCs/>
          <w:szCs w:val="28"/>
          <w:lang w:val="uk-UA" w:eastAsia="ru-RU"/>
        </w:rPr>
        <w:t>(кримінальної юстиції)</w:t>
      </w:r>
    </w:p>
    <w:p w14:paraId="5BA03BA7" w14:textId="0D7E5822" w:rsidR="00220D3E" w:rsidRPr="00511005" w:rsidRDefault="00BE3972" w:rsidP="003A292D">
      <w:pPr>
        <w:spacing w:line="264" w:lineRule="auto"/>
        <w:ind w:firstLine="0"/>
        <w:jc w:val="center"/>
        <w:rPr>
          <w:rFonts w:ascii="Arial" w:eastAsia="Calibri" w:hAnsi="Arial" w:cs="Arial"/>
          <w:iCs/>
          <w:szCs w:val="28"/>
          <w:lang w:val="uk-UA" w:eastAsia="ru-RU"/>
        </w:rPr>
      </w:pPr>
      <w:r w:rsidRPr="00511005">
        <w:rPr>
          <w:rFonts w:ascii="Arial" w:eastAsia="Calibri" w:hAnsi="Arial" w:cs="Arial"/>
          <w:iCs/>
          <w:szCs w:val="28"/>
          <w:lang w:val="uk-UA" w:eastAsia="ru-RU"/>
        </w:rPr>
        <w:t>Національного університету «Одеська юридична академія»</w:t>
      </w:r>
    </w:p>
    <w:p w14:paraId="2D1D55A7" w14:textId="77777777" w:rsidR="00220D3E" w:rsidRPr="00511005" w:rsidRDefault="00220D3E" w:rsidP="003A292D">
      <w:pPr>
        <w:spacing w:line="264" w:lineRule="auto"/>
        <w:ind w:firstLine="0"/>
        <w:jc w:val="center"/>
        <w:rPr>
          <w:rFonts w:ascii="Arial" w:eastAsia="Calibri" w:hAnsi="Arial" w:cs="Arial"/>
          <w:iCs/>
          <w:szCs w:val="28"/>
          <w:lang w:val="uk-UA" w:eastAsia="ru-RU"/>
        </w:rPr>
      </w:pPr>
    </w:p>
    <w:p w14:paraId="596BB54B" w14:textId="77777777" w:rsidR="00220D3E" w:rsidRPr="00511005" w:rsidRDefault="00220D3E" w:rsidP="003A292D">
      <w:pPr>
        <w:spacing w:line="264" w:lineRule="auto"/>
        <w:ind w:firstLine="0"/>
        <w:jc w:val="center"/>
        <w:rPr>
          <w:rFonts w:ascii="Arial" w:eastAsia="Calibri" w:hAnsi="Arial" w:cs="Arial"/>
          <w:b/>
          <w:bCs/>
          <w:iCs/>
          <w:szCs w:val="28"/>
          <w:lang w:val="uk-UA" w:eastAsia="ru-RU"/>
        </w:rPr>
      </w:pPr>
      <w:r w:rsidRPr="00511005">
        <w:rPr>
          <w:rFonts w:ascii="Arial" w:eastAsia="Calibri" w:hAnsi="Arial" w:cs="Arial"/>
          <w:b/>
          <w:bCs/>
          <w:iCs/>
          <w:szCs w:val="28"/>
          <w:lang w:val="uk-UA" w:eastAsia="ru-RU"/>
        </w:rPr>
        <w:t>ЙОСИП ВЕРЕЩИНСЬКИЙ ТА ЙОГО ПРОЄКТ СТВОРЕННЯ УКРАЇНСЬКОЇ КОЗАЦЬКОЇ ДЕРЖАВИ</w:t>
      </w:r>
    </w:p>
    <w:p w14:paraId="1416DEFB" w14:textId="77777777"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Йосип Верещинський (бл. 1530–1598) — постать, яка посідає окреме місце в історії української політичної думки. Як київський римо-католицький єпископ, мислитель-гуманіст, теоретик та практик державотворення, він одним із перших в українській інтелектуальній традиції запропонував концепцію автономної української козацької держави. Його політична філософія постала у відповідь на глибокі соціально-політичні трансформації, що охопили українські землі в останній чверті XVI століття: наростання загроз з боку Кримського ханства, Московії, поширення протестантських ідей, поглиблення конфліктів із владою Речі Посполитої. У такому контексті проєкт Задніпровського князівства, сформульований у трактатах Верещинського, вирізнявся сміливістю і водночас реалістичністю [1; 3; 4].</w:t>
      </w:r>
    </w:p>
    <w:p w14:paraId="4C7509C4" w14:textId="77777777"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 xml:space="preserve">Серцем його ідеї була побудова політично-адміністративної автономії на Лівобережній Україні. Передбачалося створення Задніпровського князівства, що складалося б із 13 козацьких полків, прив’язаних до таких міст, як Переяслав, Лубни, Бориспіль, Остер, Любеч, Гомель, Чечерськ, Пропойськ, Кричев, Мстислав та інших [3]. Ці адміністративні одиниці </w:t>
      </w:r>
      <w:r w:rsidRPr="00511005">
        <w:rPr>
          <w:rFonts w:ascii="Arial" w:eastAsia="Calibri" w:hAnsi="Arial" w:cs="Arial"/>
          <w:iCs/>
          <w:szCs w:val="28"/>
          <w:lang w:val="uk-UA" w:eastAsia="ru-RU"/>
        </w:rPr>
        <w:lastRenderedPageBreak/>
        <w:t>повинні були мати характер військово-територіальних структур зі своєю внутрішньою самоврядністю. У трактаті «Publika» 1594 року Верещинський наголошував: «Порядок у державі не залежить від одного пана, а від добра і волі всього війська» [5, с. 103]. Така структура запроваджувала принцип децентралізації влади, проте в межах цілісної вертикалі управління.</w:t>
      </w:r>
    </w:p>
    <w:p w14:paraId="41048217" w14:textId="77777777"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Однією з інноваційних складових проєкту була концепція регулярного війська. Йшлося не про випадкове ополчення, а про формалізований військовий корпус чисельністю 5 тисяч осіб, який утримувався б з державної скарбниці й підпорядковувався винятково князеві чи гетьману [3]. Його бойова спроможність забезпечувалася як мобільністю козацтва, так і наявністю системи укріплень. Верещинський передбачав спорудження чотирьох бастіонів на стратегічних напрямах: на півдні — проти кримських набігів, на сході — для стримування московської загрози, вздовж Дніпра — як природного оборонного рубежу [4].</w:t>
      </w:r>
    </w:p>
    <w:p w14:paraId="64FF76AF" w14:textId="77777777"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Не менш важливим аспектом було питання влади. Верещинський прагнув поєднати елементи традиційного монархізму з козацькою демократією. У запропонованій моделі гетьман мав обиратися військовим загалом із-поміж найбільш гідних та досвідчених. Гетьман наділявся виконавчою владою, але підлягав раді старшин і мусив звітувати перед усім військом [8]. Такий підхід, за словами О. Донченка, виявляє «прагнення інтегрувати козацькі форми самоуправління в структуру державної влади, не руйнуючи їх демократичної природи» [5, с. 108].</w:t>
      </w:r>
    </w:p>
    <w:p w14:paraId="3778F89B" w14:textId="77777777"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Окрема увага приділялася соціальному складнику. На відміну від магнатських концепцій колонізації «диких полів», Верещинський пропонував осадникам — селянам, ремісникам і міщанам — доступ до землі та податкові пільги в обмін на службу або працю. Такий механізм соціальної мобільності та інтеграції населення передбачав перетворення порожніх територій на продуктивну економічну й оборонну зону [8].</w:t>
      </w:r>
    </w:p>
    <w:p w14:paraId="36E634C4" w14:textId="77777777"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Питання фінансів Верещинський вирішував через запровадження внутрішнього господарського механізму, незалежного від коронної скарбниці. Торгівля, мито, розвиток ремесел та самозабезпечення мали закріпити функціонування державного апарату й війська. Він наголошував на економічній автономії як запоруці політичної суб’єктності. «Народ, що живе з рук власних і не потребує подачок, має право на своє слово у великій справі держави» — зазначалося в одному з його політичних творів [6, с. 115].</w:t>
      </w:r>
    </w:p>
    <w:p w14:paraId="3883109B" w14:textId="77777777"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 xml:space="preserve">Інтелектуальна візія Верещинського включала також освітню реформу. Він пропонував створити навчальні заклади — «лицарські школи», у яких би готували не лише воїнів, але й управлінців, суддів, дипломатів і духовенство. У трактаті «Droga pewna» він підкреслює важливість виховання майбутньої еліти, яка би володіла не лише зброєю, а й словом і знанням [1]. Як зазначає Р. Радишевський, ідея «лицарських шкіл» </w:t>
      </w:r>
      <w:r w:rsidRPr="00511005">
        <w:rPr>
          <w:rFonts w:ascii="Arial" w:eastAsia="Calibri" w:hAnsi="Arial" w:cs="Arial"/>
          <w:iCs/>
          <w:szCs w:val="28"/>
          <w:lang w:val="uk-UA" w:eastAsia="ru-RU"/>
        </w:rPr>
        <w:lastRenderedPageBreak/>
        <w:t>Верещинського стала «однією з перших спроб формалізувати освітній ідеал в українській політичній думці» [6, с. 112].</w:t>
      </w:r>
    </w:p>
    <w:p w14:paraId="1720D624" w14:textId="77777777"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Релігійне питання у концепції Задніпровського князівства вирішувалося шляхом толерантності. Верещинський, сам католик, не лише визнавав легітимність православ’я, а й бачив у збереженні міжконфесійного миру необхідну передумову державної стабільності. Його підхід виглядав надзвичайно модерно для XVI століття, коли в Європі панували релігійні війни. Цей принцип релігійного компромісу, як слушно підкреслює Сас П. М., вирізняв українську політичну традицію доби з-поміж більшості західноєвропейських моделей [7, с. 85].</w:t>
      </w:r>
    </w:p>
    <w:p w14:paraId="61C3CFA9" w14:textId="77777777"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Верещинський також розумів важливість міжнародного визнання. Саме тому в його планах було звернення до Папи Римського щодо офіційного благословення та легітимації нової козацької держави. Це мало стати не лише кроком у напрямку визнання з боку католицької Європи, а й дипломатичним запобіжником перед агресією сусідів. Як відзначає Донченко, така дипломатична далекоглядність засвідчувала прагнення інтегрувати Задніпров’я у християнську політичну карту Європи без втрати національної ідентичності [5, с. 110].</w:t>
      </w:r>
    </w:p>
    <w:p w14:paraId="30026328" w14:textId="77777777"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Проєкт Задніпровського князівства не був утопією. Він мав чітку архітектоніку: територіальну (мережа полків і бастіонів), адміністративну (гетьман і рада старшин), соціальну (осадництво та податкові пільги), військову (регулярне військо), освітню (лицарські школи), духовну (релігійна терпимість), економічну (торгівля та ремесла) та міжнародну (дипломатичне визнання). Саме тому сучасні дослідники все частіше визнають його першим цілісним національним державотворчим проєктом ранньомодерної України [3; 5; 6; 7].</w:t>
      </w:r>
    </w:p>
    <w:p w14:paraId="66A2CA6C" w14:textId="77777777"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Хоча проєкт Верещинського не був реалізований за його життя, його ідеї вплинули на подальший розвиток українського політичного мислення. Гетьманщина, як форма політичної організації, багато в чому наслідувала структуру, запропоновану Верещинським. Його концепція гетьманської влади, підзвітної козацькій раді, нагадує пізнішу модель влади в часи Богдана Хмельницького. Крім того, національна ідея, що визначалася не за етнічним принципом, а за приналежністю до спільного соціального проєкту, уособлювала модерне розуміння політичної спільноти.</w:t>
      </w:r>
    </w:p>
    <w:p w14:paraId="0E3C89B9" w14:textId="7C9B1746" w:rsidR="00220D3E" w:rsidRPr="00511005" w:rsidRDefault="00220D3E" w:rsidP="006A67B3">
      <w:pPr>
        <w:spacing w:line="264" w:lineRule="auto"/>
        <w:rPr>
          <w:rFonts w:ascii="Arial" w:eastAsia="Calibri" w:hAnsi="Arial" w:cs="Arial"/>
          <w:iCs/>
          <w:szCs w:val="28"/>
          <w:lang w:val="uk-UA" w:eastAsia="ru-RU"/>
        </w:rPr>
      </w:pPr>
      <w:r w:rsidRPr="00511005">
        <w:rPr>
          <w:rFonts w:ascii="Arial" w:eastAsia="Calibri" w:hAnsi="Arial" w:cs="Arial"/>
          <w:iCs/>
          <w:szCs w:val="28"/>
          <w:lang w:val="uk-UA" w:eastAsia="ru-RU"/>
        </w:rPr>
        <w:t>Йосип Верещинський заслуговує на те, щоб його ім’я стояло поруч із найвідомішими політичними теоретиками ранньомодерної Європи. Його мислення базувалося не на міфологізованих уявленнях чи романтичних концептах, а на аналізі реальних можливостей. У цьому він був не лише мислителем, а й практиком державотворення, далекоглядним стратегом і людиною, яка здатна була поєднати традицію з модерністю.</w:t>
      </w:r>
    </w:p>
    <w:p w14:paraId="64D8D841" w14:textId="77777777" w:rsidR="006A67B3" w:rsidRPr="00511005" w:rsidRDefault="006A67B3" w:rsidP="006A67B3">
      <w:pPr>
        <w:spacing w:line="264" w:lineRule="auto"/>
        <w:rPr>
          <w:rFonts w:ascii="Arial" w:eastAsia="Calibri" w:hAnsi="Arial" w:cs="Arial"/>
          <w:iCs/>
          <w:szCs w:val="28"/>
          <w:lang w:val="uk-UA" w:eastAsia="ru-RU"/>
        </w:rPr>
      </w:pPr>
    </w:p>
    <w:p w14:paraId="437C34AE" w14:textId="2FEF9B9E" w:rsidR="00220D3E" w:rsidRPr="00511005" w:rsidRDefault="007B2628" w:rsidP="007B2628">
      <w:pPr>
        <w:spacing w:line="264" w:lineRule="auto"/>
        <w:ind w:firstLine="0"/>
        <w:jc w:val="center"/>
        <w:rPr>
          <w:rFonts w:ascii="Arial" w:eastAsia="Calibri" w:hAnsi="Arial" w:cs="Arial"/>
          <w:b/>
          <w:bCs/>
          <w:iCs/>
          <w:szCs w:val="28"/>
          <w:lang w:val="uk-UA" w:eastAsia="ru-RU"/>
        </w:rPr>
      </w:pPr>
      <w:r w:rsidRPr="00511005">
        <w:rPr>
          <w:rFonts w:ascii="Arial" w:eastAsia="Calibri" w:hAnsi="Arial" w:cs="Arial"/>
          <w:b/>
          <w:bCs/>
          <w:iCs/>
          <w:szCs w:val="28"/>
          <w:lang w:val="uk-UA" w:eastAsia="ru-RU"/>
        </w:rPr>
        <w:t>Список використаних джерел</w:t>
      </w:r>
    </w:p>
    <w:p w14:paraId="0EFDD314" w14:textId="77777777" w:rsidR="00220D3E" w:rsidRPr="00511005" w:rsidRDefault="00220D3E" w:rsidP="003A292D">
      <w:pPr>
        <w:spacing w:line="264" w:lineRule="auto"/>
        <w:ind w:firstLine="0"/>
        <w:rPr>
          <w:rFonts w:ascii="Arial" w:eastAsia="Calibri" w:hAnsi="Arial" w:cs="Arial"/>
          <w:iCs/>
          <w:szCs w:val="28"/>
          <w:lang w:val="uk-UA" w:eastAsia="ru-RU"/>
        </w:rPr>
      </w:pPr>
      <w:r w:rsidRPr="00511005">
        <w:rPr>
          <w:rFonts w:ascii="Arial" w:eastAsia="Calibri" w:hAnsi="Arial" w:cs="Arial"/>
          <w:iCs/>
          <w:szCs w:val="28"/>
          <w:lang w:val="uk-UA" w:eastAsia="ru-RU"/>
        </w:rPr>
        <w:lastRenderedPageBreak/>
        <w:t xml:space="preserve">1. Йосип Верещинський. Спосіб осади нового Києва... // Українська суспільно-політична думка. XVI–XVII ст. URL: </w:t>
      </w:r>
      <w:hyperlink r:id="rId115" w:history="1">
        <w:r w:rsidRPr="00511005">
          <w:rPr>
            <w:rFonts w:ascii="Arial" w:eastAsia="Calibri" w:hAnsi="Arial" w:cs="Arial"/>
            <w:iCs/>
            <w:szCs w:val="28"/>
            <w:lang w:val="uk-UA" w:eastAsia="ru-RU"/>
          </w:rPr>
          <w:t>http://litopys.org.ua/suspil/sus22.htm</w:t>
        </w:r>
      </w:hyperlink>
    </w:p>
    <w:p w14:paraId="3A974DE7" w14:textId="77777777" w:rsidR="00220D3E" w:rsidRPr="00511005" w:rsidRDefault="00220D3E" w:rsidP="003A292D">
      <w:pPr>
        <w:spacing w:line="264" w:lineRule="auto"/>
        <w:ind w:firstLine="0"/>
        <w:rPr>
          <w:rFonts w:ascii="Arial" w:eastAsia="Calibri" w:hAnsi="Arial" w:cs="Arial"/>
          <w:iCs/>
          <w:szCs w:val="28"/>
          <w:lang w:val="uk-UA" w:eastAsia="ru-RU"/>
        </w:rPr>
      </w:pPr>
      <w:r w:rsidRPr="00511005">
        <w:rPr>
          <w:rFonts w:ascii="Arial" w:eastAsia="Calibri" w:hAnsi="Arial" w:cs="Arial"/>
          <w:iCs/>
          <w:szCs w:val="28"/>
          <w:lang w:val="uk-UA" w:eastAsia="ru-RU"/>
        </w:rPr>
        <w:t xml:space="preserve">2. «Був то єпископ і гетьман одночасно...». </w:t>
      </w:r>
      <w:r w:rsidRPr="00511005">
        <w:rPr>
          <w:rFonts w:ascii="Arial" w:eastAsia="Calibri" w:hAnsi="Arial" w:cs="Arial"/>
          <w:i/>
          <w:iCs/>
          <w:szCs w:val="28"/>
          <w:lang w:val="uk-UA" w:eastAsia="ru-RU"/>
        </w:rPr>
        <w:t>Голос України</w:t>
      </w:r>
      <w:r w:rsidRPr="00511005">
        <w:rPr>
          <w:rFonts w:ascii="Arial" w:eastAsia="Calibri" w:hAnsi="Arial" w:cs="Arial"/>
          <w:iCs/>
          <w:szCs w:val="28"/>
          <w:lang w:val="uk-UA" w:eastAsia="ru-RU"/>
        </w:rPr>
        <w:t xml:space="preserve">. URL: </w:t>
      </w:r>
      <w:hyperlink r:id="rId116" w:history="1">
        <w:r w:rsidRPr="00511005">
          <w:rPr>
            <w:rFonts w:ascii="Arial" w:eastAsia="Calibri" w:hAnsi="Arial" w:cs="Arial"/>
            <w:iCs/>
            <w:szCs w:val="28"/>
            <w:lang w:val="uk-UA" w:eastAsia="ru-RU"/>
          </w:rPr>
          <w:t>https://www.golos.com.ua/article/275796</w:t>
        </w:r>
      </w:hyperlink>
    </w:p>
    <w:p w14:paraId="59947421" w14:textId="77777777" w:rsidR="00220D3E" w:rsidRPr="00511005" w:rsidRDefault="00220D3E" w:rsidP="003A292D">
      <w:pPr>
        <w:spacing w:line="264" w:lineRule="auto"/>
        <w:ind w:firstLine="0"/>
        <w:rPr>
          <w:rFonts w:ascii="Arial" w:eastAsia="Calibri" w:hAnsi="Arial" w:cs="Arial"/>
          <w:iCs/>
          <w:szCs w:val="28"/>
          <w:lang w:val="uk-UA" w:eastAsia="ru-RU"/>
        </w:rPr>
      </w:pPr>
      <w:r w:rsidRPr="00511005">
        <w:rPr>
          <w:rFonts w:ascii="Arial" w:eastAsia="Calibri" w:hAnsi="Arial" w:cs="Arial"/>
          <w:iCs/>
          <w:szCs w:val="28"/>
          <w:lang w:val="uk-UA" w:eastAsia="ru-RU"/>
        </w:rPr>
        <w:t xml:space="preserve">3. Вирський Д. Йосипа Верещинського проєкт реєстрового козацького полку 1594 р. // </w:t>
      </w:r>
      <w:r w:rsidRPr="00511005">
        <w:rPr>
          <w:rFonts w:ascii="Arial" w:eastAsia="Calibri" w:hAnsi="Arial" w:cs="Arial"/>
          <w:i/>
          <w:iCs/>
          <w:szCs w:val="28"/>
          <w:lang w:val="uk-UA" w:eastAsia="ru-RU"/>
        </w:rPr>
        <w:t>Історіографічні дослідження в Україні</w:t>
      </w:r>
      <w:r w:rsidRPr="00511005">
        <w:rPr>
          <w:rFonts w:ascii="Arial" w:eastAsia="Calibri" w:hAnsi="Arial" w:cs="Arial"/>
          <w:iCs/>
          <w:szCs w:val="28"/>
          <w:lang w:val="uk-UA" w:eastAsia="ru-RU"/>
        </w:rPr>
        <w:t xml:space="preserve">. 2016. URL: </w:t>
      </w:r>
      <w:hyperlink r:id="rId117" w:history="1">
        <w:r w:rsidRPr="00511005">
          <w:rPr>
            <w:rFonts w:ascii="Arial" w:eastAsia="Calibri" w:hAnsi="Arial" w:cs="Arial"/>
            <w:iCs/>
            <w:szCs w:val="28"/>
            <w:lang w:val="uk-UA" w:eastAsia="ru-RU"/>
          </w:rPr>
          <w:t>http://dspace.nbuv.gov.ua/bitstream/handle/123456789/104852/07Vyrskyy.pdf?sequence=1</w:t>
        </w:r>
      </w:hyperlink>
    </w:p>
    <w:p w14:paraId="2F37EE55" w14:textId="77777777" w:rsidR="00220D3E" w:rsidRPr="00511005" w:rsidRDefault="00220D3E" w:rsidP="003A292D">
      <w:pPr>
        <w:spacing w:line="264" w:lineRule="auto"/>
        <w:ind w:firstLine="0"/>
        <w:rPr>
          <w:rFonts w:ascii="Arial" w:eastAsia="Calibri" w:hAnsi="Arial" w:cs="Arial"/>
          <w:iCs/>
          <w:szCs w:val="28"/>
          <w:lang w:val="uk-UA" w:eastAsia="ru-RU"/>
        </w:rPr>
      </w:pPr>
      <w:r w:rsidRPr="00511005">
        <w:rPr>
          <w:rFonts w:ascii="Arial" w:eastAsia="Calibri" w:hAnsi="Arial" w:cs="Arial"/>
          <w:iCs/>
          <w:szCs w:val="28"/>
          <w:lang w:val="uk-UA" w:eastAsia="ru-RU"/>
        </w:rPr>
        <w:t xml:space="preserve">4. Йосип Верещинський. Війську запорозькому пресвітлий виказ... // Українська суспільно-політична думка. XVI–XVII ст. URL: </w:t>
      </w:r>
      <w:hyperlink r:id="rId118" w:history="1">
        <w:r w:rsidRPr="00511005">
          <w:rPr>
            <w:rFonts w:ascii="Arial" w:eastAsia="Calibri" w:hAnsi="Arial" w:cs="Arial"/>
            <w:iCs/>
            <w:szCs w:val="28"/>
            <w:lang w:val="uk-UA" w:eastAsia="ru-RU"/>
          </w:rPr>
          <w:t>http://litopys.org.ua/suspil/sus23.htm</w:t>
        </w:r>
      </w:hyperlink>
    </w:p>
    <w:p w14:paraId="0FBEEC47" w14:textId="77777777" w:rsidR="00220D3E" w:rsidRPr="00511005" w:rsidRDefault="00220D3E" w:rsidP="003A292D">
      <w:pPr>
        <w:spacing w:line="264" w:lineRule="auto"/>
        <w:ind w:firstLine="0"/>
        <w:rPr>
          <w:rFonts w:ascii="Arial" w:eastAsia="Calibri" w:hAnsi="Arial" w:cs="Arial"/>
          <w:iCs/>
          <w:szCs w:val="28"/>
          <w:lang w:val="uk-UA" w:eastAsia="ru-RU"/>
        </w:rPr>
      </w:pPr>
      <w:r w:rsidRPr="00511005">
        <w:rPr>
          <w:rFonts w:ascii="Arial" w:eastAsia="Calibri" w:hAnsi="Arial" w:cs="Arial"/>
          <w:iCs/>
          <w:szCs w:val="28"/>
          <w:lang w:val="uk-UA" w:eastAsia="ru-RU"/>
        </w:rPr>
        <w:t xml:space="preserve">5. Донченко О. І. </w:t>
      </w:r>
      <w:r w:rsidRPr="00511005">
        <w:rPr>
          <w:rFonts w:ascii="Arial" w:eastAsia="Calibri" w:hAnsi="Arial" w:cs="Arial"/>
          <w:i/>
          <w:iCs/>
          <w:szCs w:val="28"/>
          <w:lang w:val="uk-UA" w:eastAsia="ru-RU"/>
        </w:rPr>
        <w:t>Державотворчий проєкт Й. Верещинського: історико-правовий аналіз</w:t>
      </w:r>
      <w:r w:rsidRPr="00511005">
        <w:rPr>
          <w:rFonts w:ascii="Arial" w:eastAsia="Calibri" w:hAnsi="Arial" w:cs="Arial"/>
          <w:iCs/>
          <w:szCs w:val="28"/>
          <w:lang w:val="uk-UA" w:eastAsia="ru-RU"/>
        </w:rPr>
        <w:t xml:space="preserve">. </w:t>
      </w:r>
      <w:r w:rsidRPr="00511005">
        <w:rPr>
          <w:rFonts w:ascii="Arial" w:eastAsia="Calibri" w:hAnsi="Arial" w:cs="Arial"/>
          <w:i/>
          <w:iCs/>
          <w:szCs w:val="28"/>
          <w:lang w:val="uk-UA" w:eastAsia="ru-RU"/>
        </w:rPr>
        <w:t>Вісник Одеського національного університету. Серія: Правознавство</w:t>
      </w:r>
      <w:r w:rsidRPr="00511005">
        <w:rPr>
          <w:rFonts w:ascii="Arial" w:eastAsia="Calibri" w:hAnsi="Arial" w:cs="Arial"/>
          <w:iCs/>
          <w:szCs w:val="28"/>
          <w:lang w:val="uk-UA" w:eastAsia="ru-RU"/>
        </w:rPr>
        <w:t xml:space="preserve">. 2023. URL: </w:t>
      </w:r>
      <w:hyperlink r:id="rId119" w:history="1">
        <w:r w:rsidRPr="00511005">
          <w:rPr>
            <w:rFonts w:ascii="Arial" w:eastAsia="Calibri" w:hAnsi="Arial" w:cs="Arial"/>
            <w:iCs/>
            <w:szCs w:val="28"/>
            <w:lang w:val="uk-UA" w:eastAsia="ru-RU"/>
          </w:rPr>
          <w:t>https://journals.visnyk-onu.od.ua/index.php/law/article/view/3</w:t>
        </w:r>
      </w:hyperlink>
    </w:p>
    <w:p w14:paraId="2A7B1884" w14:textId="77777777" w:rsidR="00220D3E" w:rsidRPr="00511005" w:rsidRDefault="00220D3E" w:rsidP="003A292D">
      <w:pPr>
        <w:spacing w:line="264" w:lineRule="auto"/>
        <w:ind w:firstLine="0"/>
        <w:rPr>
          <w:rFonts w:ascii="Arial" w:eastAsia="Calibri" w:hAnsi="Arial" w:cs="Arial"/>
          <w:iCs/>
          <w:szCs w:val="28"/>
          <w:lang w:val="uk-UA" w:eastAsia="ru-RU"/>
        </w:rPr>
      </w:pPr>
      <w:r w:rsidRPr="00511005">
        <w:rPr>
          <w:rFonts w:ascii="Arial" w:eastAsia="Calibri" w:hAnsi="Arial" w:cs="Arial"/>
          <w:iCs/>
          <w:szCs w:val="28"/>
          <w:lang w:val="uk-UA" w:eastAsia="ru-RU"/>
        </w:rPr>
        <w:t xml:space="preserve">6. Радишевський Р. </w:t>
      </w:r>
      <w:r w:rsidRPr="00511005">
        <w:rPr>
          <w:rFonts w:ascii="Arial" w:eastAsia="Calibri" w:hAnsi="Arial" w:cs="Arial"/>
          <w:i/>
          <w:iCs/>
          <w:szCs w:val="28"/>
          <w:lang w:val="uk-UA" w:eastAsia="ru-RU"/>
        </w:rPr>
        <w:t>Політичні трактати Йосипа Верещинського про лицарські школи в Україні</w:t>
      </w:r>
      <w:r w:rsidRPr="00511005">
        <w:rPr>
          <w:rFonts w:ascii="Arial" w:eastAsia="Calibri" w:hAnsi="Arial" w:cs="Arial"/>
          <w:iCs/>
          <w:szCs w:val="28"/>
          <w:lang w:val="uk-UA" w:eastAsia="ru-RU"/>
        </w:rPr>
        <w:t xml:space="preserve">. </w:t>
      </w:r>
      <w:r w:rsidRPr="00511005">
        <w:rPr>
          <w:rFonts w:ascii="Arial" w:eastAsia="Calibri" w:hAnsi="Arial" w:cs="Arial"/>
          <w:i/>
          <w:iCs/>
          <w:szCs w:val="28"/>
          <w:lang w:val="uk-UA" w:eastAsia="ru-RU"/>
        </w:rPr>
        <w:t>Київські полоністичні студії</w:t>
      </w:r>
      <w:r w:rsidRPr="00511005">
        <w:rPr>
          <w:rFonts w:ascii="Arial" w:eastAsia="Calibri" w:hAnsi="Arial" w:cs="Arial"/>
          <w:iCs/>
          <w:szCs w:val="28"/>
          <w:lang w:val="uk-UA" w:eastAsia="ru-RU"/>
        </w:rPr>
        <w:t xml:space="preserve">. 2023. URL: </w:t>
      </w:r>
      <w:hyperlink r:id="rId120" w:history="1">
        <w:r w:rsidRPr="00511005">
          <w:rPr>
            <w:rFonts w:ascii="Arial" w:eastAsia="Calibri" w:hAnsi="Arial" w:cs="Arial"/>
            <w:iCs/>
            <w:szCs w:val="28"/>
            <w:lang w:val="uk-UA" w:eastAsia="ru-RU"/>
          </w:rPr>
          <w:t>https://kps.philology.knu.ua/article/download/3102/2610/11280</w:t>
        </w:r>
      </w:hyperlink>
    </w:p>
    <w:p w14:paraId="4F6846AF" w14:textId="77777777" w:rsidR="00220D3E" w:rsidRPr="00511005" w:rsidRDefault="00220D3E" w:rsidP="003A292D">
      <w:pPr>
        <w:spacing w:line="264" w:lineRule="auto"/>
        <w:ind w:firstLine="0"/>
        <w:rPr>
          <w:rFonts w:ascii="Arial" w:eastAsia="Calibri" w:hAnsi="Arial" w:cs="Arial"/>
          <w:iCs/>
          <w:szCs w:val="28"/>
          <w:lang w:val="uk-UA" w:eastAsia="ru-RU"/>
        </w:rPr>
      </w:pPr>
      <w:r w:rsidRPr="00511005">
        <w:rPr>
          <w:rFonts w:ascii="Arial" w:eastAsia="Calibri" w:hAnsi="Arial" w:cs="Arial"/>
          <w:iCs/>
          <w:szCs w:val="28"/>
          <w:lang w:val="uk-UA" w:eastAsia="ru-RU"/>
        </w:rPr>
        <w:t xml:space="preserve">7. Сас П. М. </w:t>
      </w:r>
      <w:r w:rsidRPr="00511005">
        <w:rPr>
          <w:rFonts w:ascii="Arial" w:eastAsia="Calibri" w:hAnsi="Arial" w:cs="Arial"/>
          <w:i/>
          <w:iCs/>
          <w:szCs w:val="28"/>
          <w:lang w:val="uk-UA" w:eastAsia="ru-RU"/>
        </w:rPr>
        <w:t>Проект Задніпровської козацької держави Йосипа Верещинського: політико-правовий аспект</w:t>
      </w:r>
      <w:r w:rsidRPr="00511005">
        <w:rPr>
          <w:rFonts w:ascii="Arial" w:eastAsia="Calibri" w:hAnsi="Arial" w:cs="Arial"/>
          <w:iCs/>
          <w:szCs w:val="28"/>
          <w:lang w:val="uk-UA" w:eastAsia="ru-RU"/>
        </w:rPr>
        <w:t xml:space="preserve"> // </w:t>
      </w:r>
      <w:r w:rsidRPr="00511005">
        <w:rPr>
          <w:rFonts w:ascii="Arial" w:eastAsia="Calibri" w:hAnsi="Arial" w:cs="Arial"/>
          <w:i/>
          <w:iCs/>
          <w:szCs w:val="28"/>
          <w:lang w:val="uk-UA" w:eastAsia="ru-RU"/>
        </w:rPr>
        <w:t>Українська козацька держава: витоки та шляхи історичного розвитку</w:t>
      </w:r>
      <w:r w:rsidRPr="00511005">
        <w:rPr>
          <w:rFonts w:ascii="Arial" w:eastAsia="Calibri" w:hAnsi="Arial" w:cs="Arial"/>
          <w:iCs/>
          <w:szCs w:val="28"/>
          <w:lang w:val="uk-UA" w:eastAsia="ru-RU"/>
        </w:rPr>
        <w:t xml:space="preserve">. Черкаси, 1992. URL: </w:t>
      </w:r>
      <w:hyperlink r:id="rId121" w:history="1">
        <w:r w:rsidRPr="00511005">
          <w:rPr>
            <w:rFonts w:ascii="Arial" w:eastAsia="Calibri" w:hAnsi="Arial" w:cs="Arial"/>
            <w:iCs/>
            <w:szCs w:val="28"/>
            <w:lang w:val="uk-UA" w:eastAsia="ru-RU"/>
          </w:rPr>
          <w:t>https://elibrary.kubg.edu.ua/27636/1/</w:t>
        </w:r>
      </w:hyperlink>
    </w:p>
    <w:p w14:paraId="6E6C9365" w14:textId="77777777" w:rsidR="00220D3E" w:rsidRPr="00511005" w:rsidRDefault="00220D3E" w:rsidP="003A292D">
      <w:pPr>
        <w:spacing w:line="264" w:lineRule="auto"/>
        <w:ind w:firstLine="0"/>
        <w:rPr>
          <w:rFonts w:ascii="Arial" w:eastAsia="Calibri" w:hAnsi="Arial" w:cs="Arial"/>
          <w:iCs/>
          <w:szCs w:val="28"/>
          <w:lang w:val="uk-UA" w:eastAsia="ru-RU"/>
        </w:rPr>
      </w:pPr>
      <w:r w:rsidRPr="00511005">
        <w:rPr>
          <w:rFonts w:ascii="Arial" w:eastAsia="Calibri" w:hAnsi="Arial" w:cs="Arial"/>
          <w:iCs/>
          <w:szCs w:val="28"/>
          <w:lang w:val="uk-UA" w:eastAsia="ru-RU"/>
        </w:rPr>
        <w:t>8. Єфремова Н.В. Ідея створення українсько-козацької держави в працях Йосипа Верещинського. Теоретичні та практичні проблеми забезпечення сталого розвитку державності та права Матеріали Міжн. наук-практ конф., присв. 15-річчю Н.У «Одеська юридична академія» та 165 річчю Одеської школи права, 30 лист. 2012 р. – Одеса: Фенікс, 2012. - T. 1. – C. 176-179.</w:t>
      </w:r>
    </w:p>
    <w:p w14:paraId="565F7224" w14:textId="77777777" w:rsidR="00220D3E" w:rsidRPr="00511005" w:rsidRDefault="00220D3E" w:rsidP="003A292D">
      <w:pPr>
        <w:spacing w:line="264" w:lineRule="auto"/>
        <w:ind w:firstLine="0"/>
        <w:rPr>
          <w:rFonts w:ascii="Arial" w:eastAsia="Calibri" w:hAnsi="Arial" w:cs="Arial"/>
          <w:iCs/>
          <w:szCs w:val="28"/>
          <w:lang w:val="uk-UA" w:eastAsia="ru-RU"/>
        </w:rPr>
      </w:pPr>
    </w:p>
    <w:p w14:paraId="26AAB103" w14:textId="6695F17F" w:rsidR="00220D3E" w:rsidRPr="00511005" w:rsidRDefault="007B2628" w:rsidP="003A292D">
      <w:pPr>
        <w:spacing w:line="264" w:lineRule="auto"/>
        <w:ind w:firstLine="0"/>
        <w:rPr>
          <w:rFonts w:ascii="Arial" w:eastAsia="Calibri" w:hAnsi="Arial" w:cs="Arial"/>
          <w:iCs/>
          <w:szCs w:val="28"/>
          <w:lang w:val="uk-UA" w:eastAsia="ru-RU"/>
        </w:rPr>
      </w:pPr>
      <w:r w:rsidRPr="00511005">
        <w:rPr>
          <w:rFonts w:ascii="Arial" w:eastAsia="Calibri" w:hAnsi="Arial" w:cs="Arial"/>
          <w:b/>
          <w:i/>
          <w:iCs/>
          <w:szCs w:val="28"/>
          <w:lang w:val="uk-UA" w:eastAsia="ru-RU"/>
        </w:rPr>
        <w:t xml:space="preserve">Ключові слова: </w:t>
      </w:r>
      <w:r w:rsidR="00220D3E" w:rsidRPr="00511005">
        <w:rPr>
          <w:rFonts w:ascii="Arial" w:eastAsia="Calibri" w:hAnsi="Arial" w:cs="Arial"/>
          <w:iCs/>
          <w:szCs w:val="28"/>
          <w:lang w:val="uk-UA" w:eastAsia="ru-RU"/>
        </w:rPr>
        <w:t>Йосип Верещинський, Задніпровське князівство, козацька держава, самоврядування, гетьманська влада, релігійна толерантність, соціальна мобільність.</w:t>
      </w:r>
    </w:p>
    <w:p w14:paraId="7D558313" w14:textId="2C8608D4" w:rsidR="00220D3E" w:rsidRPr="00511005" w:rsidRDefault="007B2628" w:rsidP="003A292D">
      <w:pPr>
        <w:spacing w:line="264" w:lineRule="auto"/>
        <w:ind w:firstLine="0"/>
        <w:rPr>
          <w:rFonts w:ascii="Arial" w:eastAsia="Calibri" w:hAnsi="Arial" w:cs="Arial"/>
          <w:iCs/>
          <w:szCs w:val="28"/>
          <w:lang w:val="en-US" w:eastAsia="ru-RU"/>
        </w:rPr>
      </w:pPr>
      <w:r w:rsidRPr="00511005">
        <w:rPr>
          <w:rFonts w:ascii="Arial" w:eastAsia="Calibri" w:hAnsi="Arial" w:cs="Arial"/>
          <w:b/>
          <w:i/>
          <w:iCs/>
          <w:szCs w:val="28"/>
          <w:lang w:val="en-US" w:eastAsia="ru-RU"/>
        </w:rPr>
        <w:t xml:space="preserve">Key words: </w:t>
      </w:r>
      <w:r w:rsidR="00220D3E" w:rsidRPr="00511005">
        <w:rPr>
          <w:rFonts w:ascii="Arial" w:eastAsia="Calibri" w:hAnsi="Arial" w:cs="Arial"/>
          <w:iCs/>
          <w:szCs w:val="28"/>
          <w:lang w:val="en-US" w:eastAsia="ru-RU"/>
        </w:rPr>
        <w:t>Joseph Vereshchynsky, Zadniprovske Principality, Cossack state, self-government, hetman's power, religious tolerance, social mobility.</w:t>
      </w:r>
    </w:p>
    <w:p w14:paraId="54925894" w14:textId="4254474B" w:rsidR="00220D3E" w:rsidRPr="00511005" w:rsidRDefault="007B2628" w:rsidP="003A292D">
      <w:pPr>
        <w:spacing w:line="264" w:lineRule="auto"/>
        <w:ind w:firstLine="0"/>
        <w:rPr>
          <w:rFonts w:ascii="Arial" w:eastAsia="Calibri" w:hAnsi="Arial" w:cs="Arial"/>
          <w:bCs/>
          <w:szCs w:val="28"/>
          <w:lang w:val="uk-UA" w:eastAsia="ru-RU"/>
        </w:rPr>
      </w:pPr>
      <w:r w:rsidRPr="00511005">
        <w:rPr>
          <w:rFonts w:ascii="Arial" w:eastAsia="Calibri" w:hAnsi="Arial" w:cs="Arial"/>
          <w:b/>
          <w:bCs/>
          <w:i/>
          <w:iCs/>
          <w:szCs w:val="28"/>
          <w:lang w:val="uk-UA" w:eastAsia="ru-RU"/>
        </w:rPr>
        <w:t xml:space="preserve">Науковий керівник: </w:t>
      </w:r>
      <w:r w:rsidR="006A67B3" w:rsidRPr="00511005">
        <w:rPr>
          <w:rFonts w:ascii="Arial" w:eastAsia="Calibri" w:hAnsi="Arial" w:cs="Arial"/>
          <w:szCs w:val="28"/>
          <w:lang w:val="uk-UA" w:eastAsia="ru-RU"/>
        </w:rPr>
        <w:t xml:space="preserve">к.ю.н., </w:t>
      </w:r>
      <w:r w:rsidR="00220D3E" w:rsidRPr="00511005">
        <w:rPr>
          <w:rFonts w:ascii="Arial" w:eastAsia="Calibri" w:hAnsi="Arial" w:cs="Arial"/>
          <w:szCs w:val="28"/>
          <w:lang w:val="uk-UA" w:eastAsia="ru-RU"/>
        </w:rPr>
        <w:t>доцент</w:t>
      </w:r>
      <w:r w:rsidR="006A67B3" w:rsidRPr="00511005">
        <w:rPr>
          <w:rFonts w:ascii="Arial" w:eastAsia="Calibri" w:hAnsi="Arial" w:cs="Arial"/>
          <w:bCs/>
          <w:szCs w:val="28"/>
          <w:lang w:val="uk-UA" w:eastAsia="ru-RU"/>
        </w:rPr>
        <w:t xml:space="preserve"> </w:t>
      </w:r>
      <w:r w:rsidR="00220D3E" w:rsidRPr="00511005">
        <w:rPr>
          <w:rFonts w:ascii="Arial" w:eastAsia="Calibri" w:hAnsi="Arial" w:cs="Arial"/>
          <w:bCs/>
          <w:szCs w:val="28"/>
          <w:lang w:val="uk-UA" w:eastAsia="ru-RU"/>
        </w:rPr>
        <w:t>Єфремова Н</w:t>
      </w:r>
      <w:r w:rsidR="006A67B3" w:rsidRPr="00511005">
        <w:rPr>
          <w:rFonts w:ascii="Arial" w:eastAsia="Calibri" w:hAnsi="Arial" w:cs="Arial"/>
          <w:bCs/>
          <w:szCs w:val="28"/>
          <w:lang w:val="uk-UA" w:eastAsia="ru-RU"/>
        </w:rPr>
        <w:t>.</w:t>
      </w:r>
      <w:r w:rsidR="00220D3E" w:rsidRPr="00511005">
        <w:rPr>
          <w:rFonts w:ascii="Arial" w:eastAsia="Calibri" w:hAnsi="Arial" w:cs="Arial"/>
          <w:bCs/>
          <w:szCs w:val="28"/>
          <w:lang w:val="uk-UA" w:eastAsia="ru-RU"/>
        </w:rPr>
        <w:t xml:space="preserve"> В</w:t>
      </w:r>
      <w:r w:rsidR="006A67B3" w:rsidRPr="00511005">
        <w:rPr>
          <w:rFonts w:ascii="Arial" w:eastAsia="Calibri" w:hAnsi="Arial" w:cs="Arial"/>
          <w:bCs/>
          <w:szCs w:val="28"/>
          <w:lang w:val="uk-UA" w:eastAsia="ru-RU"/>
        </w:rPr>
        <w:t>.</w:t>
      </w:r>
    </w:p>
    <w:p w14:paraId="0D5CF62B" w14:textId="363FD486" w:rsidR="00220D3E" w:rsidRPr="00511005" w:rsidRDefault="00220D3E" w:rsidP="003A292D">
      <w:pPr>
        <w:spacing w:line="264" w:lineRule="auto"/>
        <w:ind w:firstLine="0"/>
        <w:rPr>
          <w:rFonts w:ascii="Arial" w:eastAsia="Calibri" w:hAnsi="Arial" w:cs="Arial"/>
          <w:bCs/>
          <w:i/>
          <w:iCs/>
          <w:szCs w:val="28"/>
          <w:lang w:val="uk-UA" w:eastAsia="ru-RU"/>
        </w:rPr>
      </w:pPr>
    </w:p>
    <w:p w14:paraId="49C8EF12" w14:textId="77777777" w:rsidR="006A67B3" w:rsidRPr="00511005" w:rsidRDefault="006A67B3" w:rsidP="003A292D">
      <w:pPr>
        <w:spacing w:line="264" w:lineRule="auto"/>
        <w:ind w:firstLine="0"/>
        <w:rPr>
          <w:rFonts w:ascii="Arial" w:eastAsia="Calibri" w:hAnsi="Arial" w:cs="Arial"/>
          <w:bCs/>
          <w:i/>
          <w:iCs/>
          <w:szCs w:val="28"/>
          <w:lang w:val="uk-UA" w:eastAsia="ru-RU"/>
        </w:rPr>
      </w:pPr>
    </w:p>
    <w:p w14:paraId="425C7F47" w14:textId="77777777" w:rsidR="00220D3E" w:rsidRPr="00511005" w:rsidRDefault="00220D3E" w:rsidP="003A292D">
      <w:pPr>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Кротова Емілія Олександрівна</w:t>
      </w:r>
    </w:p>
    <w:p w14:paraId="718B8E59" w14:textId="6E80912B" w:rsidR="00220D3E" w:rsidRPr="00511005" w:rsidRDefault="00BE3972"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1-го курсу </w:t>
      </w:r>
      <w:r w:rsidR="001B7B25" w:rsidRPr="00511005">
        <w:rPr>
          <w:rFonts w:ascii="Arial" w:eastAsia="Times New Roman" w:hAnsi="Arial" w:cs="Arial"/>
          <w:szCs w:val="28"/>
          <w:lang w:eastAsia="ru-RU"/>
        </w:rPr>
        <w:t>факультету судового та міжнародного права</w:t>
      </w:r>
    </w:p>
    <w:p w14:paraId="11E0D815" w14:textId="37C57EFB" w:rsidR="00220D3E"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9CE58E5" w14:textId="77777777" w:rsidR="00220D3E" w:rsidRPr="00511005" w:rsidRDefault="00220D3E" w:rsidP="003A292D">
      <w:pPr>
        <w:spacing w:line="264" w:lineRule="auto"/>
        <w:ind w:firstLine="0"/>
        <w:jc w:val="left"/>
        <w:rPr>
          <w:rFonts w:ascii="Arial" w:eastAsia="Times New Roman" w:hAnsi="Arial" w:cs="Arial"/>
          <w:szCs w:val="28"/>
          <w:lang w:eastAsia="ru-RU"/>
        </w:rPr>
      </w:pPr>
    </w:p>
    <w:p w14:paraId="7C353D07" w14:textId="112F1D4F" w:rsidR="00220D3E" w:rsidRPr="00511005" w:rsidRDefault="00220D3E" w:rsidP="003A292D">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 xml:space="preserve">РУСЬКА ПРАВДА </w:t>
      </w:r>
      <w:r w:rsidR="006A67B3" w:rsidRPr="00511005">
        <w:rPr>
          <w:rFonts w:ascii="Arial" w:eastAsia="Times New Roman" w:hAnsi="Arial" w:cs="Arial"/>
          <w:b/>
          <w:szCs w:val="28"/>
          <w:lang w:eastAsia="ru-RU"/>
        </w:rPr>
        <w:t>–</w:t>
      </w:r>
      <w:r w:rsidRPr="00511005">
        <w:rPr>
          <w:rFonts w:ascii="Arial" w:eastAsia="Times New Roman" w:hAnsi="Arial" w:cs="Arial"/>
          <w:b/>
          <w:szCs w:val="28"/>
          <w:lang w:eastAsia="ru-RU"/>
        </w:rPr>
        <w:t xml:space="preserve"> ВИЗНАЧНИЙ</w:t>
      </w:r>
      <w:r w:rsidR="006A67B3" w:rsidRPr="00511005">
        <w:rPr>
          <w:rFonts w:ascii="Arial" w:eastAsia="Times New Roman" w:hAnsi="Arial" w:cs="Arial"/>
          <w:b/>
          <w:szCs w:val="28"/>
          <w:lang w:val="uk-UA" w:eastAsia="ru-RU"/>
        </w:rPr>
        <w:t xml:space="preserve"> </w:t>
      </w:r>
      <w:r w:rsidRPr="00511005">
        <w:rPr>
          <w:rFonts w:ascii="Arial" w:eastAsia="Times New Roman" w:hAnsi="Arial" w:cs="Arial"/>
          <w:b/>
          <w:szCs w:val="28"/>
          <w:lang w:eastAsia="ru-RU"/>
        </w:rPr>
        <w:t>ЗБІРНИК СТАРОДАВНЬОГО ПРАВА</w:t>
      </w:r>
    </w:p>
    <w:p w14:paraId="21732EDB" w14:textId="77777777" w:rsidR="00220D3E" w:rsidRPr="00511005" w:rsidRDefault="00220D3E" w:rsidP="006A67B3">
      <w:pPr>
        <w:keepNext/>
        <w:tabs>
          <w:tab w:val="left" w:pos="4836"/>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У контексті сучасного розвитку національної юридичної науки особливу увагу слід приділити формуванню цілісного уявлення про витоки української правової традиції. Важливо розглядати Україну не лише як незалежну державу, а як невід’ємну частину європейського історико-правового простору, що має глибоке коріння у спільному цивілізаційному минулому. В основі цього підходу лежить ідея виявлення джерел, на яких базувався процес формування українського права як системного явища, зокрема в його зв’язку з нормами і практиками давньоруського часу [с.3, 1].</w:t>
      </w:r>
    </w:p>
    <w:p w14:paraId="5AD93E08" w14:textId="77777777" w:rsidR="00220D3E" w:rsidRPr="00511005" w:rsidRDefault="00220D3E" w:rsidP="006A67B3">
      <w:pPr>
        <w:keepNext/>
        <w:tabs>
          <w:tab w:val="left" w:pos="4836"/>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Серед таких джерел особливе місце займає «Руська правда» — не просто збірник законодавчих актів Київської Русі, а визначна пам’ятка давньоукраїнської правової думки, що справила значний вплив на формування правових систем сусідніх народів. Вона була не лише юридичним орієнтиром для наступних поколінь українських законодавців, а й стала фундаментом, на якому будувалися правові традиції російського, білоруського, а частково й литовського середньовічного права [с.288, 2].</w:t>
      </w:r>
    </w:p>
    <w:p w14:paraId="5B2D94C4" w14:textId="77777777" w:rsidR="00220D3E" w:rsidRPr="00511005" w:rsidRDefault="00220D3E" w:rsidP="006A67B3">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Ініціатором укладення цього правового зводу був князь Ярослав Мудрий. Саме з його ім’ям пов’язується найдавніша редакція документа, що отримала назву «Правда Ярослава». Історики класифікують «Руську правду» на три редакції — Коротку, Велику та Скорочену, кожна з яких є свідченням еволюції правової думки та суспільних відносин свого часу. Перша редакція містила 18 статей, які відображали ключові аспекти регулювання суспільного життя в умовах ранньофеодальної держави. Щодо обставин появи «Правди Ярослава», у науковому середовищі не існує єдиної думки. Однак за свідченням першого Новгородського літопису, правовий акт було даровано новгородцям у 1016 році після переможного повернення Ярослава з походу проти Святополка. У згаданому літописі наводиться промова князя до жителів міста, в якій він передає їм грамоту зі словами: «по сей грамоте ходите; яко же списах вамъ, такоже держите. А се есть правда руская» [3]. Водночас, відповідно </w:t>
      </w:r>
      <w:proofErr w:type="gramStart"/>
      <w:r w:rsidRPr="00511005">
        <w:rPr>
          <w:rFonts w:ascii="Arial" w:eastAsia="Times New Roman" w:hAnsi="Arial" w:cs="Arial"/>
          <w:szCs w:val="28"/>
          <w:lang w:eastAsia="ru-RU"/>
        </w:rPr>
        <w:t>до тексту</w:t>
      </w:r>
      <w:proofErr w:type="gramEnd"/>
      <w:r w:rsidRPr="00511005">
        <w:rPr>
          <w:rFonts w:ascii="Arial" w:eastAsia="Times New Roman" w:hAnsi="Arial" w:cs="Arial"/>
          <w:szCs w:val="28"/>
          <w:lang w:eastAsia="ru-RU"/>
        </w:rPr>
        <w:t xml:space="preserve"> Софійського першого літопису, подія дарування документа датується 1019 роком, а сам документ отримав назву «Устав великого князя Ярослава о судех. Суд о душегубстве. Правда Руская» [с.288, 2].</w:t>
      </w:r>
    </w:p>
    <w:p w14:paraId="7EB11790" w14:textId="77777777" w:rsidR="00220D3E" w:rsidRPr="00511005" w:rsidRDefault="00220D3E" w:rsidP="006A67B3">
      <w:pPr>
        <w:keepNext/>
        <w:tabs>
          <w:tab w:val="left" w:pos="4836"/>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«Руська Правда» охоплювала широкий спектр правових норм, які регулювали різноманітні сфери суспільного життя, зокрема кримінальне, цивільне, спадкове та процесуальне право. У цьому кодексі були закріплені положення, що захищали базові цінності особистості — життя, честь та гідність, а також визначали правила щодо володіння й передачі майна, спадкування та судового процесу. Однією з прикметних ознак цього правового джерела є відсутність смертної кари: замість неї передбачалося застосування грошових стягнень [4]. ​</w:t>
      </w:r>
    </w:p>
    <w:p w14:paraId="6AE1F2E2" w14:textId="77777777" w:rsidR="00220D3E" w:rsidRPr="00511005" w:rsidRDefault="00220D3E" w:rsidP="006A67B3">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Особливу увагу у збірнику приділено врегулюванню спадкових правовідносин, що мало важливе значення для забезпечення правової </w:t>
      </w:r>
      <w:r w:rsidRPr="00511005">
        <w:rPr>
          <w:rFonts w:ascii="Arial" w:eastAsia="Times New Roman" w:hAnsi="Arial" w:cs="Arial"/>
          <w:szCs w:val="28"/>
          <w:lang w:eastAsia="ru-RU"/>
        </w:rPr>
        <w:lastRenderedPageBreak/>
        <w:t>визначеності та стабільності у сфері майнових відносин, а також сприяло укріпленню феодальних порядків. Не менш важливими були положення, що регламентували торговельну діяльність і гарантували захист прав купців, стимулюючи розвиток внутрішньої економіки та зовнішньої торгівлі. Юридичний вплив «Руської Правди» вийшов далеко за межі періоду існування Київської Русі. Її норми лягли в основу низки правових актів пізніших історичних епох. Зокрема, положення збірника були частково інтегровані до текстів Литовських Статутів — правових кодексів Великого князівства Литовського (1529, 1566, 1588), які діяли й на українських землях. Елементи «Руської Правди» простежуються і в правових збірниках доби Гетьманщини, зокрема в «Правах, по которым судится малороссийский народ» (1743), що свідчить про тривалу життєздатність ідей та норм давньоруського права у правовій культурі України [5].</w:t>
      </w:r>
    </w:p>
    <w:p w14:paraId="792FC6CD" w14:textId="68CE0C2B" w:rsidR="00220D3E" w:rsidRPr="00511005" w:rsidRDefault="00220D3E" w:rsidP="006A67B3">
      <w:pPr>
        <w:keepNext/>
        <w:tabs>
          <w:tab w:val="left" w:pos="4836"/>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«Руська Правда» стала фундаментом для подальшого розвитку українського права, заклавши основи правової культури та традиції, що збереглися протягом століть.</w:t>
      </w:r>
    </w:p>
    <w:p w14:paraId="43B5BE8A" w14:textId="77777777" w:rsidR="006A67B3" w:rsidRPr="00511005" w:rsidRDefault="006A67B3" w:rsidP="006A67B3">
      <w:pPr>
        <w:keepNext/>
        <w:tabs>
          <w:tab w:val="left" w:pos="4836"/>
        </w:tabs>
        <w:spacing w:line="264" w:lineRule="auto"/>
        <w:rPr>
          <w:rFonts w:ascii="Arial" w:eastAsia="Times New Roman" w:hAnsi="Arial" w:cs="Arial"/>
          <w:b/>
          <w:szCs w:val="28"/>
          <w:lang w:eastAsia="ru-RU"/>
        </w:rPr>
      </w:pPr>
    </w:p>
    <w:p w14:paraId="38EAACAC" w14:textId="10FA7394" w:rsidR="00220D3E" w:rsidRPr="00511005" w:rsidRDefault="007B2628" w:rsidP="007B2628">
      <w:pPr>
        <w:keepNext/>
        <w:tabs>
          <w:tab w:val="left" w:pos="4836"/>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1DEF0240" w14:textId="77777777" w:rsidR="00220D3E" w:rsidRPr="00511005" w:rsidRDefault="00220D3E" w:rsidP="003A292D">
      <w:pPr>
        <w:keepNext/>
        <w:tabs>
          <w:tab w:val="left" w:pos="4836"/>
        </w:tabs>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1. Бойко І. Руська Правда та її вплив на становлення і розвиток української правової традиції. </w:t>
      </w:r>
      <w:r w:rsidRPr="00511005">
        <w:rPr>
          <w:rFonts w:ascii="Arial" w:eastAsia="Times New Roman" w:hAnsi="Arial" w:cs="Arial"/>
          <w:i/>
          <w:szCs w:val="28"/>
          <w:lang w:eastAsia="ru-RU"/>
        </w:rPr>
        <w:t>Вісник Львівського університету. Серія юридична</w:t>
      </w:r>
      <w:r w:rsidRPr="00511005">
        <w:rPr>
          <w:rFonts w:ascii="Arial" w:eastAsia="Times New Roman" w:hAnsi="Arial" w:cs="Arial"/>
          <w:szCs w:val="28"/>
          <w:lang w:eastAsia="ru-RU"/>
        </w:rPr>
        <w:t>. 2022. Вип. 75. С. 3–16.</w:t>
      </w:r>
    </w:p>
    <w:p w14:paraId="75361AD4" w14:textId="77777777" w:rsidR="00220D3E" w:rsidRPr="00511005" w:rsidRDefault="00220D3E" w:rsidP="003A292D">
      <w:pPr>
        <w:keepNext/>
        <w:tabs>
          <w:tab w:val="left" w:pos="4836"/>
        </w:tabs>
        <w:spacing w:line="264" w:lineRule="auto"/>
        <w:ind w:firstLine="0"/>
        <w:rPr>
          <w:rFonts w:ascii="Arial" w:eastAsia="Times New Roman" w:hAnsi="Arial" w:cs="Arial"/>
          <w:szCs w:val="28"/>
          <w:lang w:eastAsia="ru-RU"/>
        </w:rPr>
      </w:pPr>
      <w:bookmarkStart w:id="17" w:name="_heading=h.7lw7nbmvh9te" w:colFirst="0" w:colLast="0"/>
      <w:bookmarkEnd w:id="17"/>
      <w:r w:rsidRPr="00511005">
        <w:rPr>
          <w:rFonts w:ascii="Arial" w:eastAsia="Times New Roman" w:hAnsi="Arial" w:cs="Arial"/>
          <w:szCs w:val="28"/>
          <w:lang w:eastAsia="ru-RU"/>
        </w:rPr>
        <w:t xml:space="preserve">2. Шелест, Т. С. «Руська правда» Ярослава Мудрого – пам’ятка давньоруського права / Т. С. </w:t>
      </w:r>
      <w:proofErr w:type="gramStart"/>
      <w:r w:rsidRPr="00511005">
        <w:rPr>
          <w:rFonts w:ascii="Arial" w:eastAsia="Times New Roman" w:hAnsi="Arial" w:cs="Arial"/>
          <w:szCs w:val="28"/>
          <w:lang w:eastAsia="ru-RU"/>
        </w:rPr>
        <w:t>Шелест ;</w:t>
      </w:r>
      <w:proofErr w:type="gramEnd"/>
      <w:r w:rsidRPr="00511005">
        <w:rPr>
          <w:rFonts w:ascii="Arial" w:eastAsia="Times New Roman" w:hAnsi="Arial" w:cs="Arial"/>
          <w:szCs w:val="28"/>
          <w:lang w:eastAsia="ru-RU"/>
        </w:rPr>
        <w:t xml:space="preserve"> наук. кер. О. О. Колєватов. Юність науки – 2021: соціально-економічні та гуманітарні аспекти розвитку </w:t>
      </w:r>
      <w:proofErr w:type="gramStart"/>
      <w:r w:rsidRPr="00511005">
        <w:rPr>
          <w:rFonts w:ascii="Arial" w:eastAsia="Times New Roman" w:hAnsi="Arial" w:cs="Arial"/>
          <w:szCs w:val="28"/>
          <w:lang w:eastAsia="ru-RU"/>
        </w:rPr>
        <w:t>суспільства :</w:t>
      </w:r>
      <w:proofErr w:type="gramEnd"/>
      <w:r w:rsidRPr="00511005">
        <w:rPr>
          <w:rFonts w:ascii="Arial" w:eastAsia="Times New Roman" w:hAnsi="Arial" w:cs="Arial"/>
          <w:szCs w:val="28"/>
          <w:lang w:eastAsia="ru-RU"/>
        </w:rPr>
        <w:t xml:space="preserve"> </w:t>
      </w:r>
      <w:r w:rsidRPr="00511005">
        <w:rPr>
          <w:rFonts w:ascii="Arial" w:eastAsia="Times New Roman" w:hAnsi="Arial" w:cs="Arial"/>
          <w:i/>
          <w:szCs w:val="28"/>
          <w:lang w:eastAsia="ru-RU"/>
        </w:rPr>
        <w:t xml:space="preserve">зб. тез ХІ Міжнарод. наук.-практ. конф. студентів, аспірантів і молодих вчених </w:t>
      </w:r>
      <w:r w:rsidRPr="00511005">
        <w:rPr>
          <w:rFonts w:ascii="Arial" w:eastAsia="Times New Roman" w:hAnsi="Arial" w:cs="Arial"/>
          <w:szCs w:val="28"/>
          <w:lang w:eastAsia="ru-RU"/>
        </w:rPr>
        <w:t>(м. Чернігів, 25-26 берез. 2021 р.</w:t>
      </w:r>
      <w:proofErr w:type="gramStart"/>
      <w:r w:rsidRPr="00511005">
        <w:rPr>
          <w:rFonts w:ascii="Arial" w:eastAsia="Times New Roman" w:hAnsi="Arial" w:cs="Arial"/>
          <w:szCs w:val="28"/>
          <w:lang w:eastAsia="ru-RU"/>
        </w:rPr>
        <w:t>) :</w:t>
      </w:r>
      <w:proofErr w:type="gramEnd"/>
      <w:r w:rsidRPr="00511005">
        <w:rPr>
          <w:rFonts w:ascii="Arial" w:eastAsia="Times New Roman" w:hAnsi="Arial" w:cs="Arial"/>
          <w:szCs w:val="28"/>
          <w:lang w:eastAsia="ru-RU"/>
        </w:rPr>
        <w:t xml:space="preserve"> у 2-х ч. Ч. 2. – Чернігів : НУ «Чернігівська політехніка», 2021. – С. 288-290.</w:t>
      </w:r>
    </w:p>
    <w:p w14:paraId="37B01F18"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3. Руська Правда – видатний політичний документ в історії України. URL: </w:t>
      </w:r>
      <w:hyperlink r:id="rId122">
        <w:r w:rsidRPr="00511005">
          <w:rPr>
            <w:rFonts w:ascii="Arial" w:eastAsia="Times New Roman" w:hAnsi="Arial" w:cs="Arial"/>
            <w:szCs w:val="28"/>
            <w:lang w:eastAsia="ru-RU"/>
          </w:rPr>
          <w:t>https://ru.osvita.ua/vnz/reports/history/4662/</w:t>
        </w:r>
      </w:hyperlink>
    </w:p>
    <w:p w14:paraId="7AA59ABB"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4.«Руська правда» – джерело історії та правової системи Київської Русі. </w:t>
      </w:r>
      <w:r w:rsidRPr="00511005">
        <w:rPr>
          <w:rFonts w:ascii="Arial" w:eastAsia="Times New Roman" w:hAnsi="Arial" w:cs="Arial"/>
          <w:i/>
          <w:szCs w:val="28"/>
          <w:lang w:eastAsia="ru-RU"/>
        </w:rPr>
        <w:t>Віртуальний бібліограф. Херсонська обласна універсальна наукова бібліотека ім. Олеся Гончара</w:t>
      </w:r>
      <w:r w:rsidRPr="00511005">
        <w:rPr>
          <w:rFonts w:ascii="Arial" w:eastAsia="Times New Roman" w:hAnsi="Arial" w:cs="Arial"/>
          <w:szCs w:val="28"/>
          <w:lang w:eastAsia="ru-RU"/>
        </w:rPr>
        <w:t xml:space="preserve"> URL: </w:t>
      </w:r>
      <w:hyperlink r:id="rId123">
        <w:r w:rsidRPr="00511005">
          <w:rPr>
            <w:rFonts w:ascii="Arial" w:eastAsia="Times New Roman" w:hAnsi="Arial" w:cs="Arial"/>
            <w:szCs w:val="28"/>
            <w:lang w:eastAsia="ru-RU"/>
          </w:rPr>
          <w:t>https://biblio.lib.kherson.ua/ruska-pravda.htm</w:t>
        </w:r>
      </w:hyperlink>
    </w:p>
    <w:p w14:paraId="3E2DEEEC" w14:textId="77777777" w:rsidR="00220D3E" w:rsidRPr="00511005" w:rsidRDefault="00220D3E" w:rsidP="003A292D">
      <w:pPr>
        <w:spacing w:line="264" w:lineRule="auto"/>
        <w:ind w:firstLine="0"/>
        <w:rPr>
          <w:rFonts w:ascii="Arial" w:eastAsia="Times New Roman" w:hAnsi="Arial" w:cs="Arial"/>
          <w:szCs w:val="28"/>
          <w:lang w:val="pl-PL" w:eastAsia="ru-RU"/>
        </w:rPr>
      </w:pPr>
      <w:r w:rsidRPr="00511005">
        <w:rPr>
          <w:rFonts w:ascii="Arial" w:eastAsia="Times New Roman" w:hAnsi="Arial" w:cs="Arial"/>
          <w:szCs w:val="28"/>
          <w:lang w:eastAsia="ru-RU"/>
        </w:rPr>
        <w:t xml:space="preserve">5.Руська Правда, їх характеристика і </w:t>
      </w:r>
      <w:proofErr w:type="gramStart"/>
      <w:r w:rsidRPr="00511005">
        <w:rPr>
          <w:rFonts w:ascii="Arial" w:eastAsia="Times New Roman" w:hAnsi="Arial" w:cs="Arial"/>
          <w:szCs w:val="28"/>
          <w:lang w:eastAsia="ru-RU"/>
        </w:rPr>
        <w:t>значення .</w:t>
      </w:r>
      <w:proofErr w:type="gramEnd"/>
      <w:r w:rsidRPr="00511005">
        <w:rPr>
          <w:rFonts w:ascii="Arial" w:eastAsia="Times New Roman" w:hAnsi="Arial" w:cs="Arial"/>
          <w:szCs w:val="28"/>
          <w:lang w:eastAsia="ru-RU"/>
        </w:rPr>
        <w:t xml:space="preserve"> </w:t>
      </w:r>
      <w:r w:rsidRPr="00511005">
        <w:rPr>
          <w:rFonts w:ascii="Arial" w:eastAsia="Times New Roman" w:hAnsi="Arial" w:cs="Arial"/>
          <w:szCs w:val="28"/>
          <w:lang w:val="pl-PL" w:eastAsia="ru-RU"/>
        </w:rPr>
        <w:t xml:space="preserve">URL: </w:t>
      </w:r>
      <w:hyperlink r:id="rId124">
        <w:r w:rsidRPr="00511005">
          <w:rPr>
            <w:rFonts w:ascii="Arial" w:eastAsia="Times New Roman" w:hAnsi="Arial" w:cs="Arial"/>
            <w:szCs w:val="28"/>
            <w:lang w:val="pl-PL" w:eastAsia="ru-RU"/>
          </w:rPr>
          <w:t>https://studies.in.ua/shpora-hukr/261-5-ruska-pravda-yih-harakteristika-znachennya.html</w:t>
        </w:r>
      </w:hyperlink>
    </w:p>
    <w:p w14:paraId="0333984C" w14:textId="40BA08A3" w:rsidR="00220D3E" w:rsidRPr="00511005" w:rsidRDefault="007B2628" w:rsidP="003A292D">
      <w:pPr>
        <w:keepNext/>
        <w:spacing w:line="264" w:lineRule="auto"/>
        <w:ind w:firstLine="0"/>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Руська Правда, давньоруське право, Ярослав Мудрий, правова традиція.</w:t>
      </w:r>
    </w:p>
    <w:p w14:paraId="6D6656CD" w14:textId="7785F90F" w:rsidR="00220D3E" w:rsidRPr="00511005" w:rsidRDefault="007B2628" w:rsidP="003A292D">
      <w:pPr>
        <w:keepNext/>
        <w:spacing w:line="264" w:lineRule="auto"/>
        <w:ind w:firstLine="0"/>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Ruska Pravda, Old Rus’ law, Yaroslav the Wise, legal tradition, criminal law, civil law.</w:t>
      </w:r>
    </w:p>
    <w:p w14:paraId="114A94E4" w14:textId="5BE7D28C" w:rsidR="00220D3E" w:rsidRPr="00511005" w:rsidRDefault="007B2628" w:rsidP="003A292D">
      <w:pPr>
        <w:keepNext/>
        <w:spacing w:line="264" w:lineRule="auto"/>
        <w:ind w:firstLine="0"/>
        <w:rPr>
          <w:rFonts w:ascii="Arial" w:eastAsia="Times New Roman" w:hAnsi="Arial" w:cs="Arial"/>
          <w:iCs/>
          <w:szCs w:val="28"/>
          <w:lang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Cs/>
          <w:szCs w:val="28"/>
          <w:lang w:eastAsia="ru-RU"/>
        </w:rPr>
        <w:t>к</w:t>
      </w:r>
      <w:r w:rsidR="006A67B3" w:rsidRPr="00511005">
        <w:rPr>
          <w:rFonts w:ascii="Arial" w:eastAsia="Times New Roman" w:hAnsi="Arial" w:cs="Arial"/>
          <w:iCs/>
          <w:szCs w:val="28"/>
          <w:lang w:val="uk-UA" w:eastAsia="ru-RU"/>
        </w:rPr>
        <w:t>.</w:t>
      </w:r>
      <w:r w:rsidR="00220D3E" w:rsidRPr="00511005">
        <w:rPr>
          <w:rFonts w:ascii="Arial" w:eastAsia="Times New Roman" w:hAnsi="Arial" w:cs="Arial"/>
          <w:iCs/>
          <w:szCs w:val="28"/>
          <w:lang w:eastAsia="ru-RU"/>
        </w:rPr>
        <w:t xml:space="preserve"> ю</w:t>
      </w:r>
      <w:r w:rsidR="006A67B3" w:rsidRPr="00511005">
        <w:rPr>
          <w:rFonts w:ascii="Arial" w:eastAsia="Times New Roman" w:hAnsi="Arial" w:cs="Arial"/>
          <w:iCs/>
          <w:szCs w:val="28"/>
          <w:lang w:val="uk-UA" w:eastAsia="ru-RU"/>
        </w:rPr>
        <w:t>.</w:t>
      </w:r>
      <w:r w:rsidR="00220D3E" w:rsidRPr="00511005">
        <w:rPr>
          <w:rFonts w:ascii="Arial" w:eastAsia="Times New Roman" w:hAnsi="Arial" w:cs="Arial"/>
          <w:iCs/>
          <w:szCs w:val="28"/>
          <w:lang w:eastAsia="ru-RU"/>
        </w:rPr>
        <w:t xml:space="preserve"> н</w:t>
      </w:r>
      <w:r w:rsidR="006A67B3" w:rsidRPr="00511005">
        <w:rPr>
          <w:rFonts w:ascii="Arial" w:eastAsia="Times New Roman" w:hAnsi="Arial" w:cs="Arial"/>
          <w:iCs/>
          <w:szCs w:val="28"/>
          <w:lang w:val="uk-UA" w:eastAsia="ru-RU"/>
        </w:rPr>
        <w:t>.</w:t>
      </w:r>
      <w:r w:rsidR="00220D3E" w:rsidRPr="00511005">
        <w:rPr>
          <w:rFonts w:ascii="Arial" w:eastAsia="Times New Roman" w:hAnsi="Arial" w:cs="Arial"/>
          <w:iCs/>
          <w:szCs w:val="28"/>
          <w:lang w:eastAsia="ru-RU"/>
        </w:rPr>
        <w:t>, доцент Горяга О.В.</w:t>
      </w:r>
    </w:p>
    <w:p w14:paraId="753EB435" w14:textId="77777777" w:rsidR="00220D3E" w:rsidRPr="00511005" w:rsidRDefault="00220D3E" w:rsidP="003A292D">
      <w:pPr>
        <w:spacing w:line="264" w:lineRule="auto"/>
        <w:ind w:firstLine="0"/>
        <w:jc w:val="left"/>
        <w:rPr>
          <w:rFonts w:ascii="Arial" w:eastAsia="Times New Roman" w:hAnsi="Arial" w:cs="Arial"/>
          <w:b/>
          <w:szCs w:val="28"/>
          <w:lang w:eastAsia="ru-RU"/>
        </w:rPr>
      </w:pPr>
    </w:p>
    <w:p w14:paraId="01945D1A" w14:textId="77777777" w:rsidR="00220D3E" w:rsidRPr="00511005" w:rsidRDefault="00220D3E" w:rsidP="003A292D">
      <w:pPr>
        <w:spacing w:line="264" w:lineRule="auto"/>
        <w:ind w:firstLine="0"/>
        <w:jc w:val="center"/>
        <w:rPr>
          <w:rFonts w:ascii="Arial" w:eastAsia="Times New Roman" w:hAnsi="Arial" w:cs="Arial"/>
          <w:b/>
          <w:bCs/>
          <w:i/>
          <w:szCs w:val="28"/>
          <w:lang w:eastAsia="ru-RU"/>
        </w:rPr>
      </w:pPr>
      <w:bookmarkStart w:id="18" w:name="_heading=h.isq4sonus8i" w:colFirst="0" w:colLast="0"/>
      <w:bookmarkEnd w:id="18"/>
      <w:r w:rsidRPr="00511005">
        <w:rPr>
          <w:rFonts w:ascii="Arial" w:eastAsia="Times New Roman" w:hAnsi="Arial" w:cs="Arial"/>
          <w:b/>
          <w:bCs/>
          <w:i/>
          <w:szCs w:val="28"/>
          <w:lang w:eastAsia="ru-RU"/>
        </w:rPr>
        <w:lastRenderedPageBreak/>
        <w:t>Маркасова Лілія Вячеславівна</w:t>
      </w:r>
    </w:p>
    <w:p w14:paraId="11BF1776" w14:textId="32AF7FB0" w:rsidR="00220D3E" w:rsidRPr="00511005" w:rsidRDefault="00BE3972" w:rsidP="003A292D">
      <w:pPr>
        <w:spacing w:line="264" w:lineRule="auto"/>
        <w:ind w:firstLine="0"/>
        <w:jc w:val="center"/>
        <w:rPr>
          <w:rFonts w:ascii="Arial" w:eastAsia="Times New Roman" w:hAnsi="Arial" w:cs="Arial"/>
          <w:bCs/>
          <w:szCs w:val="28"/>
          <w:lang w:eastAsia="ru-RU"/>
        </w:rPr>
      </w:pPr>
      <w:r w:rsidRPr="00511005">
        <w:rPr>
          <w:rFonts w:ascii="Arial" w:eastAsia="Times New Roman" w:hAnsi="Arial" w:cs="Arial"/>
          <w:bCs/>
          <w:szCs w:val="28"/>
          <w:lang w:eastAsia="ru-RU"/>
        </w:rPr>
        <w:t xml:space="preserve">студентка 1-го курсу </w:t>
      </w:r>
      <w:r w:rsidR="00536AAB" w:rsidRPr="00511005">
        <w:rPr>
          <w:rFonts w:ascii="Arial" w:eastAsia="Times New Roman" w:hAnsi="Arial" w:cs="Arial"/>
          <w:bCs/>
          <w:szCs w:val="28"/>
          <w:lang w:eastAsia="ru-RU"/>
        </w:rPr>
        <w:t>факультету адвокатури та антикорупційної діяльності</w:t>
      </w:r>
    </w:p>
    <w:p w14:paraId="6AF3B8F5" w14:textId="0C013EC0" w:rsidR="00220D3E" w:rsidRPr="00511005" w:rsidRDefault="007B2628" w:rsidP="003A292D">
      <w:pPr>
        <w:spacing w:line="264" w:lineRule="auto"/>
        <w:ind w:firstLine="0"/>
        <w:jc w:val="center"/>
        <w:rPr>
          <w:rFonts w:ascii="Arial" w:eastAsia="Times New Roman" w:hAnsi="Arial" w:cs="Arial"/>
          <w:bCs/>
          <w:szCs w:val="28"/>
          <w:lang w:eastAsia="ru-RU"/>
        </w:rPr>
      </w:pPr>
      <w:r w:rsidRPr="00511005">
        <w:rPr>
          <w:rFonts w:ascii="Arial" w:eastAsia="Times New Roman" w:hAnsi="Arial" w:cs="Arial"/>
          <w:bCs/>
          <w:szCs w:val="28"/>
          <w:lang w:eastAsia="ru-RU"/>
        </w:rPr>
        <w:t>Національного університету «Одеська юридична академія»</w:t>
      </w:r>
    </w:p>
    <w:p w14:paraId="230B8235" w14:textId="77777777" w:rsidR="00220D3E" w:rsidRPr="00511005" w:rsidRDefault="00220D3E" w:rsidP="003A292D">
      <w:pPr>
        <w:spacing w:line="264" w:lineRule="auto"/>
        <w:ind w:firstLine="0"/>
        <w:jc w:val="center"/>
        <w:rPr>
          <w:rFonts w:ascii="Arial" w:eastAsia="Times New Roman" w:hAnsi="Arial" w:cs="Arial"/>
          <w:b/>
          <w:bCs/>
          <w:szCs w:val="28"/>
          <w:lang w:eastAsia="ru-RU"/>
        </w:rPr>
      </w:pPr>
    </w:p>
    <w:p w14:paraId="0B8EFC68" w14:textId="77777777" w:rsidR="00220D3E" w:rsidRPr="00511005" w:rsidRDefault="00220D3E"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Л</w:t>
      </w:r>
      <w:r w:rsidRPr="00511005">
        <w:rPr>
          <w:rFonts w:ascii="Arial" w:eastAsia="Times New Roman" w:hAnsi="Arial" w:cs="Arial"/>
          <w:b/>
          <w:bCs/>
          <w:szCs w:val="28"/>
          <w:lang w:val="uk-UA" w:eastAsia="ru-RU"/>
        </w:rPr>
        <w:t>ІДЕРИ СВОБОДИ: ПОСТАТІ, ЩО ТВОРИЛИ НЕЗАЛЕЖНУ УКРАЇНУ В ДОБУ РЕВОЛЮЦІЇ 1917-1921</w:t>
      </w:r>
    </w:p>
    <w:p w14:paraId="0775CA65" w14:textId="77777777" w:rsidR="00220D3E" w:rsidRPr="00511005" w:rsidRDefault="00220D3E" w:rsidP="003A292D">
      <w:pPr>
        <w:spacing w:line="264" w:lineRule="auto"/>
        <w:ind w:firstLine="0"/>
        <w:jc w:val="center"/>
        <w:rPr>
          <w:rFonts w:ascii="Arial" w:eastAsia="Times New Roman" w:hAnsi="Arial" w:cs="Arial"/>
          <w:b/>
          <w:bCs/>
          <w:szCs w:val="28"/>
          <w:lang w:val="uk-UA" w:eastAsia="ru-RU"/>
        </w:rPr>
      </w:pPr>
    </w:p>
    <w:p w14:paraId="4CE24966" w14:textId="77777777"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Період Української революції, що тривав з 1917 по 1921 роки, став поворотним моментом в історії нашого народу. Вперше за тривалий період українці отримали реальний шанс на державну самостійність, котру століттями нищили імперії-колонізатори – спершу Річ Посполита, згодом Російська та Австро-Угорська. Однак революція принесла не лише надії, але й суворі випробування: війни, запеклі політичні баталії, хаос, зовнішню агресію. Саме в цьому горнилі виросло покоління, яке увійшло в історію як символ боротьби за національне визволення. Це були провідники волі – люди різного фаху та соціального статусу, які будували українську державу не лише на полях битв, а й у науці, культурі, релігії та мистецтві.</w:t>
      </w:r>
    </w:p>
    <w:p w14:paraId="2026BD8D" w14:textId="204BDA70"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Микола Міхновський – правник, публіцист та політик, котрий першим відкрито заявив про ідею повної політичної незалежності України. У 1900 році в брошурі «Самостійна Україна» він висловив тоді революційну думку: «Україна для українців». В 1917 році Міхновський став ініціатором створення першого українського військового підрозділу, розуміючи, що без війська державності не збудувати</w:t>
      </w:r>
      <w:r w:rsidRPr="00511005">
        <w:rPr>
          <w:rFonts w:ascii="Arial" w:eastAsia="Times New Roman" w:hAnsi="Arial" w:cs="Arial"/>
          <w:szCs w:val="28"/>
          <w:lang w:eastAsia="ru-RU"/>
        </w:rPr>
        <w:t>[</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_Ref12910 \r \h </w:instrText>
      </w:r>
      <w:r w:rsidR="008F5AF9" w:rsidRPr="00511005">
        <w:rPr>
          <w:rFonts w:ascii="Arial" w:eastAsia="Times New Roman" w:hAnsi="Arial" w:cs="Arial"/>
          <w:szCs w:val="28"/>
          <w:lang w:eastAsia="ru-RU"/>
        </w:rPr>
        <w:instrText xml:space="preserve">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1</w:t>
      </w:r>
      <w:r w:rsidRPr="00511005">
        <w:rPr>
          <w:rFonts w:ascii="Arial" w:eastAsia="Times New Roman" w:hAnsi="Arial" w:cs="Arial"/>
          <w:szCs w:val="28"/>
          <w:lang w:eastAsia="ru-RU"/>
        </w:rPr>
        <w:fldChar w:fldCharType="end"/>
      </w:r>
      <w:r w:rsidRPr="00511005">
        <w:rPr>
          <w:rFonts w:ascii="Arial" w:eastAsia="Times New Roman" w:hAnsi="Arial" w:cs="Arial"/>
          <w:szCs w:val="28"/>
          <w:lang w:val="uk-UA" w:eastAsia="ru-RU"/>
        </w:rPr>
        <w:t>, с. 11</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0942887E" w14:textId="77777777"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Євген Чикаленко – видатний український меценат, котрий фінансував десятки українських періодичних видань. Його підтримка посприяла становленню інтелектуального середовища, з якого вийшли знакові постаті Центральної Ради. Він був серед небагатьох заможних українців, які вкладали власні кошти в національну справу.</w:t>
      </w:r>
    </w:p>
    <w:p w14:paraId="587AFB13" w14:textId="77777777"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Михайло Грушевський – історик світового рівня, голова Центральної Ради, автор багатотомної «Історії України-Руси». Він став першим президентом УНР та заклав ідейне підґрунтя для українського державотворення, висловивши бачення України як демократичної, парламентської республіки.</w:t>
      </w:r>
    </w:p>
    <w:p w14:paraId="00FEF5AD" w14:textId="77777777"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Володимир Винниченко – революціонер, письменник, державний діяч, голова Генерального Секретаріату. Його політичні погляди поєднували соціалізм та національну ідею. Винниченко також є автором першого Універсалу Центральної Ради.</w:t>
      </w:r>
    </w:p>
    <w:p w14:paraId="5023A54B" w14:textId="59F8AD2A"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Симон Петлюра – Головний Отаман військ УНР, уособлення збройної боротьби за українську незалежність. Його військові кампанії були спрямовані на захист Української держави від більшовиків, білогвардійців та польських зазіхань. Попри звинувачення у політичних помилках, Петлюра був одним з найвідданіших борців за українську справу</w:t>
      </w:r>
      <w:r w:rsidRPr="00511005">
        <w:rPr>
          <w:rFonts w:ascii="Arial" w:eastAsia="Times New Roman" w:hAnsi="Arial" w:cs="Arial"/>
          <w:szCs w:val="28"/>
          <w:lang w:eastAsia="ru-RU"/>
        </w:rPr>
        <w:t>[</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_Ref12982 \r \h </w:instrText>
      </w:r>
      <w:r w:rsidR="008F5AF9" w:rsidRPr="00511005">
        <w:rPr>
          <w:rFonts w:ascii="Arial" w:eastAsia="Times New Roman" w:hAnsi="Arial" w:cs="Arial"/>
          <w:szCs w:val="28"/>
          <w:lang w:eastAsia="ru-RU"/>
        </w:rPr>
        <w:instrText xml:space="preserve">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2</w:t>
      </w:r>
      <w:r w:rsidRPr="00511005">
        <w:rPr>
          <w:rFonts w:ascii="Arial" w:eastAsia="Times New Roman" w:hAnsi="Arial" w:cs="Arial"/>
          <w:szCs w:val="28"/>
          <w:lang w:eastAsia="ru-RU"/>
        </w:rPr>
        <w:fldChar w:fldCharType="end"/>
      </w:r>
      <w:r w:rsidRPr="00511005">
        <w:rPr>
          <w:rFonts w:ascii="Arial" w:eastAsia="Times New Roman" w:hAnsi="Arial" w:cs="Arial"/>
          <w:szCs w:val="28"/>
          <w:lang w:val="uk-UA" w:eastAsia="ru-RU"/>
        </w:rPr>
        <w:t>, с. 310</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028917FA" w14:textId="77777777"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Василь Вишиваний (Вільгельм Габсбург) – неординарний герой української історії, австрійський ерцгерцог, який став українським патріотом. Він командував українськими військовими формуваннями, писав вірші українською мовою та підтримував дипломатичні зусилля УНР.</w:t>
      </w:r>
    </w:p>
    <w:p w14:paraId="606975B6" w14:textId="77777777"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Георгій Нарбут – талановитий художник, котрий створив державну символіку УНР: гроші, марки, герби, шрифти. Його графіка й досі вважається зразком українського стилю.</w:t>
      </w:r>
    </w:p>
    <w:p w14:paraId="48D5A12F" w14:textId="77777777"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Микола Леонтович – знаменитий композитор, який у своїй творчості поєднав народну традицію з високим професіоналізмом. Його «Щедрик» став символом української музики у світі. Леонтовича було вбито агентом ЧК у 1921 році.</w:t>
      </w:r>
    </w:p>
    <w:p w14:paraId="46955F4A" w14:textId="77777777"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Василь Липківський – митрополит, реформатор, який заснував Українську Автокефальну Православну Церкву. Його діяльність стала важливим кроком до духовного відродження та незалежності українського православ’я.</w:t>
      </w:r>
    </w:p>
    <w:p w14:paraId="6B758434" w14:textId="77777777"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Лесь Курбас – геніальний режисер, реформатор театру. Заснував театр «Березіль», який став символом національного модернізму. Його творчість виховувала нове покоління свідомих українців. Вбитий під час сталінських репресій у 1937 році.</w:t>
      </w:r>
    </w:p>
    <w:p w14:paraId="165DB56E" w14:textId="1B0DEDA1"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Олена Степанів – перша жінка-офіцер в історії України, хорунжа Українських січових стрільців. Учасниця боїв за Львів, пізніше – громадська та наукова діячка. Символ жіночої участі у національно-визвольному русі</w:t>
      </w:r>
      <w:r w:rsidRPr="00511005">
        <w:rPr>
          <w:rFonts w:ascii="Arial" w:eastAsia="Times New Roman" w:hAnsi="Arial" w:cs="Arial"/>
          <w:szCs w:val="28"/>
          <w:lang w:eastAsia="ru-RU"/>
        </w:rPr>
        <w:t>[</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_Ref13028 \r \h </w:instrText>
      </w:r>
      <w:r w:rsidR="008F5AF9" w:rsidRPr="00511005">
        <w:rPr>
          <w:rFonts w:ascii="Arial" w:eastAsia="Times New Roman" w:hAnsi="Arial" w:cs="Arial"/>
          <w:szCs w:val="28"/>
          <w:lang w:eastAsia="ru-RU"/>
        </w:rPr>
        <w:instrText xml:space="preserve">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3</w:t>
      </w:r>
      <w:r w:rsidRPr="00511005">
        <w:rPr>
          <w:rFonts w:ascii="Arial" w:eastAsia="Times New Roman" w:hAnsi="Arial" w:cs="Arial"/>
          <w:szCs w:val="28"/>
          <w:lang w:eastAsia="ru-RU"/>
        </w:rPr>
        <w:fldChar w:fldCharType="end"/>
      </w:r>
      <w:r w:rsidRPr="00511005">
        <w:rPr>
          <w:rFonts w:ascii="Arial" w:eastAsia="Times New Roman" w:hAnsi="Arial" w:cs="Arial"/>
          <w:szCs w:val="28"/>
          <w:lang w:val="uk-UA" w:eastAsia="ru-RU"/>
        </w:rPr>
        <w:t>, с. 135</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2405FE3A" w14:textId="77777777"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Дмитро Донцов – ідеолог українського націоналізму, публіцист, редактор журналу «Літературно-науковий вісник». Його праці заклали філософські основи українського націоналізму, хоча й були контроверсійними </w:t>
      </w:r>
      <w:r w:rsidRPr="00511005">
        <w:rPr>
          <w:rFonts w:ascii="Arial" w:eastAsia="Times New Roman" w:hAnsi="Arial" w:cs="Arial"/>
          <w:szCs w:val="28"/>
          <w:lang w:eastAsia="ru-RU"/>
        </w:rPr>
        <w:t>[4</w:t>
      </w:r>
      <w:r w:rsidRPr="00511005">
        <w:rPr>
          <w:rFonts w:ascii="Arial" w:eastAsia="Times New Roman" w:hAnsi="Arial" w:cs="Arial"/>
          <w:szCs w:val="28"/>
          <w:lang w:val="uk-UA" w:eastAsia="ru-RU"/>
        </w:rPr>
        <w:t>, с. 335</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14F6B291" w14:textId="3FBF85E3" w:rsidR="00220D3E" w:rsidRPr="00511005" w:rsidRDefault="00220D3E" w:rsidP="006A67B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провідники свободи, які діяли в епоху Української революції 1917–1921 років, – це не просто персонажі з підручників історії. Це реальні люди, котрі ціною життя, слави чи добробуту прагнули вибороти майбутнє для українського народу. Вони діяли в різних сферах: політиці, армії, мистецтві, релігії, журналістиці. Їхні імена повинні залишитися не лише частиною історичної пам'яті, але й надихати сучасні покоління. Усі вони вірили в те, що Україна має бути вільною, сильною та самостійною. Саме ця віра стала фундаментом державності, яку ми сьогодні захищаємо.</w:t>
      </w:r>
    </w:p>
    <w:p w14:paraId="31802650" w14:textId="77777777" w:rsidR="006A67B3" w:rsidRPr="00511005" w:rsidRDefault="006A67B3" w:rsidP="006A67B3">
      <w:pPr>
        <w:spacing w:line="264" w:lineRule="auto"/>
        <w:rPr>
          <w:rFonts w:ascii="Arial" w:eastAsia="Times New Roman" w:hAnsi="Arial" w:cs="Arial"/>
          <w:szCs w:val="28"/>
          <w:lang w:val="uk-UA" w:eastAsia="ru-RU"/>
        </w:rPr>
      </w:pPr>
    </w:p>
    <w:p w14:paraId="572D20B1" w14:textId="2B65B333" w:rsidR="00220D3E"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794C1318" w14:textId="1FF843F4" w:rsidR="00220D3E" w:rsidRPr="00511005" w:rsidRDefault="00220D3E" w:rsidP="006A67B3">
      <w:pPr>
        <w:numPr>
          <w:ilvl w:val="0"/>
          <w:numId w:val="46"/>
        </w:numPr>
        <w:spacing w:line="264" w:lineRule="auto"/>
        <w:rPr>
          <w:rFonts w:ascii="Arial" w:eastAsia="Times New Roman" w:hAnsi="Arial" w:cs="Arial"/>
          <w:szCs w:val="28"/>
          <w:lang w:val="uk-UA" w:eastAsia="ru-RU"/>
        </w:rPr>
      </w:pPr>
      <w:bookmarkStart w:id="19" w:name="_Ref12910"/>
      <w:r w:rsidRPr="00511005">
        <w:rPr>
          <w:rFonts w:ascii="Arial" w:eastAsia="Times New Roman" w:hAnsi="Arial" w:cs="Arial"/>
          <w:szCs w:val="28"/>
          <w:lang w:val="uk-UA" w:eastAsia="ru-RU"/>
        </w:rPr>
        <w:t>Верстюк, В. Ф. Українська революція 1917–1921 рр. : сучас. дискурс укр. Історіографії. Історія України.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2012.</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Черв. (№ 21/22). С. 8–11. </w:t>
      </w:r>
      <w:bookmarkEnd w:id="19"/>
    </w:p>
    <w:p w14:paraId="76857607" w14:textId="4DA6FA8F" w:rsidR="00220D3E" w:rsidRPr="00511005" w:rsidRDefault="00220D3E" w:rsidP="006A67B3">
      <w:pPr>
        <w:numPr>
          <w:ilvl w:val="0"/>
          <w:numId w:val="46"/>
        </w:numPr>
        <w:spacing w:line="264" w:lineRule="auto"/>
        <w:rPr>
          <w:rFonts w:ascii="Arial" w:eastAsia="Times New Roman" w:hAnsi="Arial" w:cs="Arial"/>
          <w:szCs w:val="28"/>
          <w:lang w:eastAsia="ru-RU"/>
        </w:rPr>
      </w:pPr>
      <w:bookmarkStart w:id="20" w:name="_Ref12982"/>
      <w:r w:rsidRPr="00511005">
        <w:rPr>
          <w:rFonts w:ascii="Arial" w:eastAsia="Times New Roman" w:hAnsi="Arial" w:cs="Arial"/>
          <w:szCs w:val="28"/>
          <w:lang w:eastAsia="ru-RU"/>
        </w:rPr>
        <w:t>Солдатенко В. Ф. Проект «Україна», 1917–1920 рр. Постаті.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Харків: Фоліо, 2011.</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511 с.</w:t>
      </w:r>
      <w:bookmarkEnd w:id="20"/>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URL</w:t>
      </w:r>
      <w:r w:rsidRPr="00511005">
        <w:rPr>
          <w:rFonts w:ascii="Arial" w:eastAsia="Times New Roman" w:hAnsi="Arial" w:cs="Arial"/>
          <w:szCs w:val="28"/>
          <w:lang w:val="uk-UA" w:eastAsia="ru-RU"/>
        </w:rPr>
        <w:t>: https://irbis-nbuv.gov.ua/ulib/item/UKR0000689</w:t>
      </w:r>
    </w:p>
    <w:p w14:paraId="790DE38D" w14:textId="77777777" w:rsidR="00220D3E" w:rsidRPr="00511005" w:rsidRDefault="00220D3E" w:rsidP="006A67B3">
      <w:pPr>
        <w:numPr>
          <w:ilvl w:val="0"/>
          <w:numId w:val="46"/>
        </w:numPr>
        <w:spacing w:line="264" w:lineRule="auto"/>
        <w:rPr>
          <w:rFonts w:ascii="Arial" w:eastAsia="Times New Roman" w:hAnsi="Arial" w:cs="Arial"/>
          <w:szCs w:val="28"/>
          <w:lang w:eastAsia="ru-RU"/>
        </w:rPr>
      </w:pPr>
      <w:bookmarkStart w:id="21" w:name="_Ref13028"/>
      <w:r w:rsidRPr="00511005">
        <w:rPr>
          <w:rFonts w:ascii="Arial" w:eastAsia="Times New Roman" w:hAnsi="Arial" w:cs="Arial"/>
          <w:szCs w:val="28"/>
          <w:lang w:eastAsia="ru-RU"/>
        </w:rPr>
        <w:lastRenderedPageBreak/>
        <w:t>Солдатенко В. Ф.Україна в революційну добу: історичні есе-хроніки: у 4 т. Харків: Прапор; Київ: Світогляд, 2008–2010.</w:t>
      </w:r>
      <w:bookmarkEnd w:id="21"/>
      <w:r w:rsidRPr="00511005">
        <w:rPr>
          <w:rFonts w:ascii="Arial" w:eastAsia="Times New Roman" w:hAnsi="Arial" w:cs="Arial"/>
          <w:szCs w:val="28"/>
          <w:lang w:val="uk-UA" w:eastAsia="ru-RU"/>
        </w:rPr>
        <w:t xml:space="preserve"> 410 с. </w:t>
      </w:r>
      <w:r w:rsidRPr="00511005">
        <w:rPr>
          <w:rFonts w:ascii="Arial" w:eastAsia="Times New Roman" w:hAnsi="Arial" w:cs="Arial"/>
          <w:szCs w:val="28"/>
          <w:lang w:eastAsia="ru-RU"/>
        </w:rPr>
        <w:t>URL</w:t>
      </w:r>
      <w:r w:rsidRPr="00511005">
        <w:rPr>
          <w:rFonts w:ascii="Arial" w:eastAsia="Times New Roman" w:hAnsi="Arial" w:cs="Arial"/>
          <w:szCs w:val="28"/>
          <w:lang w:val="uk-UA" w:eastAsia="ru-RU"/>
        </w:rPr>
        <w:t>: http://irbis-nbuv.gov.ua/ulib/item/UKR0005521</w:t>
      </w:r>
    </w:p>
    <w:p w14:paraId="24DF7F8D" w14:textId="53AC96D8" w:rsidR="00220D3E" w:rsidRPr="00511005" w:rsidRDefault="00220D3E" w:rsidP="006A67B3">
      <w:pPr>
        <w:numPr>
          <w:ilvl w:val="0"/>
          <w:numId w:val="46"/>
        </w:numPr>
        <w:spacing w:line="264" w:lineRule="auto"/>
        <w:rPr>
          <w:rFonts w:ascii="Arial" w:eastAsia="Times New Roman" w:hAnsi="Arial" w:cs="Arial"/>
          <w:szCs w:val="28"/>
          <w:lang w:val="uk-UA" w:eastAsia="ru-RU"/>
        </w:rPr>
      </w:pPr>
      <w:bookmarkStart w:id="22" w:name="_Ref13080"/>
      <w:r w:rsidRPr="00511005">
        <w:rPr>
          <w:rFonts w:ascii="Arial" w:eastAsia="Times New Roman" w:hAnsi="Arial" w:cs="Arial"/>
          <w:szCs w:val="28"/>
          <w:lang w:eastAsia="ru-RU"/>
        </w:rPr>
        <w:t>Винниченко В.</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Відродження нації.</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Київ: Темпора, 2005.</w:t>
      </w:r>
      <w:bookmarkEnd w:id="22"/>
      <w:r w:rsidRPr="00511005">
        <w:rPr>
          <w:rFonts w:ascii="Arial" w:eastAsia="Times New Roman" w:hAnsi="Arial" w:cs="Arial"/>
          <w:szCs w:val="28"/>
          <w:lang w:eastAsia="ru-RU"/>
        </w:rPr>
        <w:t xml:space="preserve"> </w:t>
      </w:r>
      <w:r w:rsidRPr="00511005">
        <w:rPr>
          <w:rFonts w:ascii="Arial" w:eastAsia="Times New Roman" w:hAnsi="Arial" w:cs="Arial"/>
          <w:szCs w:val="28"/>
          <w:lang w:val="pl-PL" w:eastAsia="ru-RU"/>
        </w:rPr>
        <w:t xml:space="preserve">580 </w:t>
      </w:r>
      <w:r w:rsidRPr="00511005">
        <w:rPr>
          <w:rFonts w:ascii="Arial" w:eastAsia="Times New Roman" w:hAnsi="Arial" w:cs="Arial"/>
          <w:szCs w:val="28"/>
          <w:lang w:eastAsia="ru-RU"/>
        </w:rPr>
        <w:t>с</w:t>
      </w:r>
      <w:r w:rsidRPr="00511005">
        <w:rPr>
          <w:rFonts w:ascii="Arial" w:eastAsia="Times New Roman" w:hAnsi="Arial" w:cs="Arial"/>
          <w:szCs w:val="28"/>
          <w:lang w:val="pl-PL" w:eastAsia="ru-RU"/>
        </w:rPr>
        <w:t>. URL: http://irbis-nbuv.gov.ua/ulib/item/UKR0001417</w:t>
      </w:r>
    </w:p>
    <w:p w14:paraId="7696A43C" w14:textId="77777777" w:rsidR="006A67B3" w:rsidRPr="00511005" w:rsidRDefault="006A67B3" w:rsidP="003A292D">
      <w:pPr>
        <w:spacing w:line="264" w:lineRule="auto"/>
        <w:ind w:firstLine="0"/>
        <w:rPr>
          <w:rFonts w:ascii="Arial" w:eastAsia="Times New Roman" w:hAnsi="Arial" w:cs="Arial"/>
          <w:b/>
          <w:bCs/>
          <w:i/>
          <w:szCs w:val="28"/>
          <w:lang w:val="uk-UA" w:eastAsia="ru-RU"/>
        </w:rPr>
      </w:pPr>
    </w:p>
    <w:p w14:paraId="2D2D0A48" w14:textId="1C4AA488" w:rsidR="00220D3E"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українська революція (1917–1921), незалежність України, УНР (Українська Народна Республіка), державотворення, національно-визвольна боротьба, провідники свободи, Михайло Грушевський, Симон Петлюра, Микола Міхновський, Володимир Винниченко, культура, військо / збройна боротьба,</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національна ідея, українська державність,</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ідентичність</w:t>
      </w:r>
    </w:p>
    <w:p w14:paraId="33F03FA1" w14:textId="7DD8366E" w:rsidR="00220D3E"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uk-UA" w:eastAsia="ru-RU"/>
        </w:rPr>
        <w:t>Ukrainian Revolution (1917–1921), independence of Ukraine, UNR (Ukrainian People's Republic), state formation, national liberation struggle, leaders of freedom, Mykhailo Hrushevsky, Symon Petliura, Mykola Mikhnovsky, Volodymyr Vynnychenko, culture, army / armed struggle, national idea, Ukrainian statehood, identity</w:t>
      </w:r>
    </w:p>
    <w:p w14:paraId="22C5C44E" w14:textId="0C277FCC" w:rsidR="00220D3E"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szCs w:val="28"/>
          <w:lang w:val="uk-UA" w:eastAsia="ru-RU"/>
        </w:rPr>
        <w:t>д.ю.н., завідувач кафедри, професор Аніщук Н.В.</w:t>
      </w:r>
    </w:p>
    <w:p w14:paraId="18089C63" w14:textId="77777777" w:rsidR="00220D3E" w:rsidRPr="00511005" w:rsidRDefault="00220D3E" w:rsidP="003A292D">
      <w:pPr>
        <w:spacing w:line="264" w:lineRule="auto"/>
        <w:ind w:firstLine="0"/>
        <w:rPr>
          <w:rFonts w:ascii="Arial" w:eastAsia="Times New Roman" w:hAnsi="Arial" w:cs="Arial"/>
          <w:szCs w:val="28"/>
          <w:lang w:val="uk-UA" w:eastAsia="ru-RU"/>
        </w:rPr>
      </w:pPr>
    </w:p>
    <w:p w14:paraId="1D643059" w14:textId="77777777" w:rsidR="00220D3E" w:rsidRPr="00511005" w:rsidRDefault="00220D3E"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Нечай Вадим Олександрович</w:t>
      </w:r>
    </w:p>
    <w:p w14:paraId="279F8A85" w14:textId="47A864F3" w:rsidR="00220D3E" w:rsidRPr="00511005" w:rsidRDefault="00220D3E"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 1-го курсу </w:t>
      </w:r>
      <w:r w:rsidR="003C5E59" w:rsidRPr="00511005">
        <w:rPr>
          <w:rFonts w:ascii="Arial" w:eastAsia="Times New Roman" w:hAnsi="Arial" w:cs="Arial"/>
          <w:szCs w:val="28"/>
          <w:lang w:val="uk-UA" w:eastAsia="uk-UA"/>
        </w:rPr>
        <w:t>факультету судового та міжнародного права</w:t>
      </w:r>
    </w:p>
    <w:p w14:paraId="2E91CF08" w14:textId="393878A0" w:rsidR="00220D3E"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2AC04105" w14:textId="77777777" w:rsidR="00220D3E" w:rsidRPr="00511005" w:rsidRDefault="00220D3E" w:rsidP="003A292D">
      <w:pPr>
        <w:spacing w:line="264" w:lineRule="auto"/>
        <w:ind w:firstLine="0"/>
        <w:jc w:val="center"/>
        <w:rPr>
          <w:rFonts w:ascii="Arial" w:eastAsia="Times New Roman" w:hAnsi="Arial" w:cs="Arial"/>
          <w:szCs w:val="28"/>
          <w:lang w:val="uk-UA" w:eastAsia="uk-UA"/>
        </w:rPr>
      </w:pPr>
    </w:p>
    <w:p w14:paraId="2C8B31DD" w14:textId="5B9403A7" w:rsidR="00220D3E" w:rsidRPr="00511005" w:rsidRDefault="00220D3E" w:rsidP="003A292D">
      <w:pPr>
        <w:spacing w:line="264" w:lineRule="auto"/>
        <w:ind w:firstLine="0"/>
        <w:jc w:val="center"/>
        <w:rPr>
          <w:rFonts w:ascii="Arial" w:eastAsia="MS Mincho" w:hAnsi="Arial" w:cs="Arial"/>
          <w:b/>
          <w:szCs w:val="28"/>
          <w:lang w:val="uk-UA" w:eastAsia="uk-UA"/>
        </w:rPr>
      </w:pPr>
      <w:r w:rsidRPr="00511005">
        <w:rPr>
          <w:rFonts w:ascii="Arial" w:eastAsia="Times New Roman" w:hAnsi="Arial" w:cs="Arial"/>
          <w:b/>
          <w:szCs w:val="28"/>
          <w:lang w:val="uk-UA" w:eastAsia="uk-UA"/>
        </w:rPr>
        <w:t>ДО ПИТАННЯ ЗАСТОСУВАННЯ ТОРТУР НА ДОПИТАХ У СУДОВОМУ ПРОЦЕСІ РІЧІ</w:t>
      </w:r>
      <w:r w:rsidR="007B2628" w:rsidRPr="00511005">
        <w:rPr>
          <w:rFonts w:ascii="Arial" w:eastAsia="Times New Roman" w:hAnsi="Arial" w:cs="Arial"/>
          <w:b/>
          <w:szCs w:val="28"/>
          <w:lang w:val="uk-UA" w:eastAsia="uk-UA"/>
        </w:rPr>
        <w:t xml:space="preserve"> </w:t>
      </w:r>
      <w:r w:rsidRPr="00511005">
        <w:rPr>
          <w:rFonts w:ascii="Arial" w:eastAsia="Times New Roman" w:hAnsi="Arial" w:cs="Arial"/>
          <w:b/>
          <w:szCs w:val="28"/>
          <w:lang w:val="uk-UA" w:eastAsia="uk-UA"/>
        </w:rPr>
        <w:t>ПОСПОЛИТОЇ</w:t>
      </w:r>
      <w:r w:rsidR="007B2628" w:rsidRPr="00511005">
        <w:rPr>
          <w:rFonts w:ascii="Arial" w:eastAsia="Times New Roman" w:hAnsi="Arial" w:cs="Arial"/>
          <w:b/>
          <w:szCs w:val="28"/>
          <w:lang w:val="uk-UA" w:eastAsia="uk-UA"/>
        </w:rPr>
        <w:t xml:space="preserve"> </w:t>
      </w:r>
      <w:r w:rsidRPr="00511005">
        <w:rPr>
          <w:rFonts w:ascii="Arial" w:eastAsia="Times New Roman" w:hAnsi="Arial" w:cs="Arial"/>
          <w:b/>
          <w:szCs w:val="28"/>
          <w:lang w:val="uk-UA" w:eastAsia="uk-UA"/>
        </w:rPr>
        <w:t>XVI</w:t>
      </w:r>
      <w:r w:rsidRPr="00511005">
        <w:rPr>
          <w:rFonts w:ascii="Arial" w:eastAsia="MS Mincho" w:hAnsi="Arial" w:cs="Arial"/>
          <w:b/>
          <w:szCs w:val="28"/>
          <w:lang w:val="uk-UA" w:eastAsia="uk-UA"/>
        </w:rPr>
        <w:t xml:space="preserve"> СТОЛІТТЯ</w:t>
      </w:r>
    </w:p>
    <w:p w14:paraId="7304A4FA" w14:textId="77777777" w:rsidR="00220D3E" w:rsidRPr="00511005" w:rsidRDefault="00220D3E" w:rsidP="003A292D">
      <w:pPr>
        <w:spacing w:line="264" w:lineRule="auto"/>
        <w:ind w:firstLine="0"/>
        <w:jc w:val="center"/>
        <w:rPr>
          <w:rFonts w:ascii="Arial" w:eastAsia="Times New Roman" w:hAnsi="Arial" w:cs="Arial"/>
          <w:b/>
          <w:szCs w:val="28"/>
          <w:lang w:val="uk-UA" w:eastAsia="uk-UA"/>
        </w:rPr>
      </w:pPr>
    </w:p>
    <w:p w14:paraId="143A05C8" w14:textId="026D5DF2"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Дослідження історії судочинства Річі Посполитої XVI століття є важливим напрямком</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історико-правової науки. Особливо варто розглянути це питання через призму застосування тортур з метою отримання доказів та їх вплив на висновок суду.</w:t>
      </w:r>
    </w:p>
    <w:p w14:paraId="10FC7FFC" w14:textId="292C0017"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судовому процесі Річі Посполитої</w:t>
      </w:r>
      <w:r w:rsidRPr="00511005">
        <w:rPr>
          <w:rFonts w:ascii="Arial" w:eastAsia="Times New Roman" w:hAnsi="Arial" w:cs="Arial"/>
          <w:szCs w:val="28"/>
          <w:lang w:eastAsia="uk-UA"/>
        </w:rPr>
        <w:t xml:space="preserve"> </w:t>
      </w:r>
      <w:r w:rsidRPr="00511005">
        <w:rPr>
          <w:rFonts w:ascii="Arial" w:eastAsia="Times New Roman" w:hAnsi="Arial" w:cs="Arial"/>
          <w:szCs w:val="28"/>
          <w:lang w:val="uk-UA" w:eastAsia="uk-UA"/>
        </w:rPr>
        <w:t>XVI століття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з усіх доказів, які було надано суду переважало власне зізнання сторони. Зізнання, зроблене стороною в суді мало фундаментальне значення для вироку суду і ставало повним доказом. Варто зазначити, що катування було не покаранням, а лише методом слідства з метою дізнатися правду. При цьому катувати можна було не більше ніж три рази на день. У випадку, якщо підозрюваний не визнавав своєї вини, особа, яка наполягала на застосуванні тортур вимушена була сплатити катованому певну грошову компенсацію. У випадках, коли підозрюваний помирав під час катувань, особа яка наполягала на катуваннях зобов'язана була сплатити головщину його родичам розмір якої визначався в залежності від статусу закатованого. </w:t>
      </w:r>
    </w:p>
    <w:p w14:paraId="41C68E1C" w14:textId="77777777"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При звинуваченні у крадіжці підозрюваний вперше та вдруге міг відкупитись від застосувань тортур проте якщо його підозрювали втретє, то він підлягав смертній карі .</w:t>
      </w:r>
    </w:p>
    <w:p w14:paraId="79469E69" w14:textId="545DAFBE"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‎Правову основу застосування тортур у Річі Посполитій становили норми магдебурзького права.</w:t>
      </w:r>
    </w:p>
    <w:p w14:paraId="2AED6103" w14:textId="71152C9E" w:rsidR="006A67B3"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‎Відповідно до норм магдебурзького права найпоширенішими тортурами були:</w:t>
      </w:r>
    </w:p>
    <w:p w14:paraId="253824F9" w14:textId="5B80A3B5"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1. “Дибки” – підвішування підсудного за руки, зв’язані за спиною, із додаванням тягарів до ніг.</w:t>
      </w:r>
    </w:p>
    <w:p w14:paraId="6CBB4303" w14:textId="77777777" w:rsidR="006A67B3"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2. “Припікання вогнем” – припалювання різних частин тіла розпеченим залізом.</w:t>
      </w:r>
    </w:p>
    <w:p w14:paraId="75EF1DA0" w14:textId="5AC4F6D3"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3. “Іспанський чобіт” – стискання гомілки за допомогою спеціального пристрою з дерев’яних дощок та клинів.</w:t>
      </w:r>
    </w:p>
    <w:p w14:paraId="6B55102F" w14:textId="513DDF42" w:rsidR="007B2628"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‎4. “Польська дівка” – стискання пальців рук спеціальними лещатами.</w:t>
      </w:r>
    </w:p>
    <w:p w14:paraId="2A46305F" w14:textId="77777777" w:rsidR="006A67B3"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5. Витягування суглобів за допомогою спеціальних пристроїв</w:t>
      </w:r>
      <w:r w:rsidRPr="00511005">
        <w:rPr>
          <w:rFonts w:ascii="Arial" w:eastAsia="Times New Roman" w:hAnsi="Arial" w:cs="Arial"/>
          <w:szCs w:val="28"/>
          <w:lang w:eastAsia="uk-UA"/>
        </w:rPr>
        <w:t>[1</w:t>
      </w:r>
      <w:r w:rsidRPr="00511005">
        <w:rPr>
          <w:rFonts w:ascii="Arial" w:eastAsia="Times New Roman" w:hAnsi="Arial" w:cs="Arial"/>
          <w:szCs w:val="28"/>
          <w:lang w:val="uk-UA" w:eastAsia="uk-UA"/>
        </w:rPr>
        <w:t>,с.130</w:t>
      </w:r>
      <w:r w:rsidRPr="00511005">
        <w:rPr>
          <w:rFonts w:ascii="Arial" w:eastAsia="Times New Roman" w:hAnsi="Arial" w:cs="Arial"/>
          <w:szCs w:val="28"/>
          <w:lang w:eastAsia="uk-UA"/>
        </w:rPr>
        <w:t>]</w:t>
      </w:r>
      <w:r w:rsidRPr="00511005">
        <w:rPr>
          <w:rFonts w:ascii="Arial" w:eastAsia="Times New Roman" w:hAnsi="Arial" w:cs="Arial"/>
          <w:szCs w:val="28"/>
          <w:lang w:val="uk-UA" w:eastAsia="uk-UA"/>
        </w:rPr>
        <w:t>.</w:t>
      </w:r>
    </w:p>
    <w:p w14:paraId="36723A5E" w14:textId="1D0F112B"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Щоб зрозуміти судовий процес Річі Посполитої потрібно звернутись до витоків її судочинства і права. На думку польських дослідників, які одним з перших почали вивчати право Великого князівства Литовського далі (ВКЛ) схилялися до думки, що право ВКЛ має тісний зв'язок із польським та є похідним від нього. Проте ніхто з них не звертав увагу на те, що найбільше воно подібне із руським правом. Першим хто звернув увагу на подібність це був І.Данилович саме він довів та обґрунтував, що право ВКЛ походить від руського. Отже,</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провівши такий аналіз першоджерелом у цьому дослідженні буде руське право, а вже потім право ВКЛ [2,с.7]. Можна вважати, що на правову систему Річі Посполитої значно вплинула концепція литовсько-руського права. </w:t>
      </w:r>
    </w:p>
    <w:p w14:paraId="5735FA7E" w14:textId="0D46D9E8"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‎Слід звернути увагу на те, що на законодавчому рівні того часу чіткого розмежування між цивільним та кримінальним процесом не було, проте на практиці він суттєво відрізнявся. У кримінальних справах у потерпілого відкривався спектр широких процесуальних дій, які спрямовувались на пошук та викриття злочинця. І походила можливість цих дій із практики звичаєвого права і виконувались особливо тоді коли злочинець переховувався з метою уникнути правосуддя. Окрім потерпілого до процесуальних дій могли залучатись усі охочі, метою, яких часто ставало зняти підозру з себе. Звідси виходить сильний емоційний тиск на ту особу, яка буде підозрюваною у скоєнні злочину. В сучасному розумінні це є одним із виду тортур, хоч і без фізичного впливу на суб'єкта переслідування. Тобто діяв принцип звичаєвого права :"кому кривда діється, той сам може правди шукати" [2,с.152].</w:t>
      </w:r>
    </w:p>
    <w:p w14:paraId="4CD7A584" w14:textId="5C7846F4"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‎Далі варто уточнити, що судочинство Речі Посполитої періоду XVI століття мало дві форми позовну та інквізиційну.</w:t>
      </w:r>
    </w:p>
    <w:p w14:paraId="07F58875" w14:textId="3B76ED3E"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‎Після впровадження третього Литовського Статуту 1588, на території Речі Посполитої діяло копне судочинство. Суть, якого полягала у тому, що процес був змагальним, а ініціатива слідства покладалася не на державу, а на потерпілого. І судовий процес починався з позовної заяви саме тому він мав позовний характер. Адже у цей період судочинство не передбачало спеціального державного органу, який би здійснював досудове розслідування тому це все покладалося на потерпілого. Потерпілий самостійно проводив всі етапи досудового слідства.</w:t>
      </w:r>
    </w:p>
    <w:p w14:paraId="71809943" w14:textId="77777777"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Суд лише потім призначав спеціального судового чиновника, який здійснював судове провадження. Потерпілий зобов'язаний був повідомити про злочин сусідів, найближчі урядові установи, а вже потім звертався до суду з метою проінформувати про початок своїх слідчих розшукових дій. Таке звернення фіксувалося у судовій книзі [3,с.63].</w:t>
      </w:r>
    </w:p>
    <w:p w14:paraId="3D1D4EF4" w14:textId="189F89D2" w:rsidR="006A67B3"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‎Інквізиційна форма судочинства застосовувалась лише у виключних випадках, а саме у випадках скоєння найтяжчих злочинів, переважно умисних вбивств. Лише у цих виключних випадках було передбачено втручання гродських урядників. Тобто тут суд виступає ініціатором слідства тому ми маємо справу з уявленням про кримінальне правопорушення, як суспільний злочин</w:t>
      </w:r>
      <w:r w:rsidR="006A67B3"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[4,с.172].</w:t>
      </w:r>
    </w:p>
    <w:p w14:paraId="6D849859" w14:textId="049967CB" w:rsidR="00220D3E" w:rsidRPr="00511005" w:rsidRDefault="00220D3E" w:rsidP="006A67B3">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Отже, застосування тортур у судовому процесі Речі Посполитої XVI століття було важливим елементом системи доказування в кримінальних справах. Цей інститут мав чітку правову регламентацію, проте на практиці часто застосовувався з порушеннями встановлених обмежень. Тортури відображали інквізиційний характер кримінального процесу та теорію формальних доказів, характерну для європейського середньовічного права. Вивчення цього історико-правового феномену дозволяє краще зрозуміти еволюцію кримінально-процесуального права на українських землях та оцінити прогрес у сфері захисту прав людини, досягнутий протягом наступних століть.</w:t>
      </w:r>
    </w:p>
    <w:p w14:paraId="0C2F9624" w14:textId="77777777" w:rsidR="006A67B3" w:rsidRPr="00511005" w:rsidRDefault="006A67B3" w:rsidP="006A67B3">
      <w:pPr>
        <w:spacing w:line="264" w:lineRule="auto"/>
        <w:rPr>
          <w:rFonts w:ascii="Arial" w:eastAsia="Times New Roman" w:hAnsi="Arial" w:cs="Arial"/>
          <w:szCs w:val="28"/>
          <w:lang w:val="uk-UA" w:eastAsia="uk-UA"/>
        </w:rPr>
      </w:pPr>
    </w:p>
    <w:p w14:paraId="12D575A9" w14:textId="7223E7A1" w:rsidR="00220D3E"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220F9A74" w14:textId="77777777" w:rsidR="00220D3E" w:rsidRPr="00511005" w:rsidRDefault="00220D3E" w:rsidP="006A67B3">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Суд і судочинство на українських землях у </w:t>
      </w:r>
      <w:r w:rsidRPr="00511005">
        <w:rPr>
          <w:rFonts w:ascii="Arial" w:eastAsia="Times New Roman" w:hAnsi="Arial" w:cs="Arial"/>
          <w:szCs w:val="28"/>
          <w:lang w:val="en-US" w:eastAsia="uk-UA"/>
        </w:rPr>
        <w:t>XIV</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XVI</w:t>
      </w:r>
      <w:r w:rsidRPr="00511005">
        <w:rPr>
          <w:rFonts w:ascii="Arial" w:eastAsia="Times New Roman" w:hAnsi="Arial" w:cs="Arial"/>
          <w:szCs w:val="28"/>
          <w:lang w:eastAsia="uk-UA"/>
        </w:rPr>
        <w:t xml:space="preserve"> ст. // За загальною редакц</w:t>
      </w:r>
      <w:r w:rsidRPr="00511005">
        <w:rPr>
          <w:rFonts w:ascii="Arial" w:eastAsia="Times New Roman" w:hAnsi="Arial" w:cs="Arial"/>
          <w:szCs w:val="28"/>
          <w:lang w:val="uk-UA" w:eastAsia="uk-UA"/>
        </w:rPr>
        <w:t>ією П. Музиченка. – Одеса: Астропринт, 2000. – 180 с.</w:t>
      </w:r>
    </w:p>
    <w:p w14:paraId="4BA5279C" w14:textId="652CCA79" w:rsidR="00220D3E" w:rsidRPr="00511005" w:rsidRDefault="00220D3E" w:rsidP="006A67B3">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2.</w:t>
      </w:r>
      <w:r w:rsidRPr="00511005">
        <w:rPr>
          <w:rFonts w:ascii="Arial" w:eastAsia="Times New Roman" w:hAnsi="Arial" w:cs="Arial"/>
          <w:bCs/>
          <w:szCs w:val="28"/>
          <w:lang w:val="uk-UA" w:eastAsia="uk-UA"/>
        </w:rPr>
        <w:t xml:space="preserve"> Ковальова, С. Г.</w:t>
      </w:r>
      <w:r w:rsidRPr="00511005">
        <w:rPr>
          <w:rFonts w:ascii="Arial" w:eastAsia="Times New Roman" w:hAnsi="Arial" w:cs="Arial"/>
          <w:szCs w:val="28"/>
          <w:lang w:val="uk-UA" w:eastAsia="uk-UA"/>
        </w:rPr>
        <w:t xml:space="preserve"> Судоустрій і судочинство на українських землях Великого князівства Литовського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монографія / С. Г. Ковальова; Міністерство освіти і науки України; Миколаївський державний гуманітарний університет імені Петра Могили комплексу "Києво-Могилянська академія". – Миколаїв: Вид-во МДГУ ім. Петра Могили, </w:t>
      </w:r>
      <w:r w:rsidRPr="00511005">
        <w:rPr>
          <w:rFonts w:ascii="Arial" w:eastAsia="Times New Roman" w:hAnsi="Arial" w:cs="Arial"/>
          <w:b/>
          <w:bCs/>
          <w:szCs w:val="28"/>
          <w:lang w:val="uk-UA" w:eastAsia="uk-UA"/>
        </w:rPr>
        <w:t>2008</w:t>
      </w:r>
      <w:r w:rsidRPr="00511005">
        <w:rPr>
          <w:rFonts w:ascii="Arial" w:eastAsia="Times New Roman" w:hAnsi="Arial" w:cs="Arial"/>
          <w:szCs w:val="28"/>
          <w:lang w:val="uk-UA" w:eastAsia="uk-UA"/>
        </w:rPr>
        <w:t>. – 199 c.</w:t>
      </w:r>
    </w:p>
    <w:p w14:paraId="19ED72DA" w14:textId="180C33B2" w:rsidR="00220D3E" w:rsidRPr="00511005" w:rsidRDefault="00220D3E" w:rsidP="006A67B3">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‎3.</w:t>
      </w:r>
      <w:r w:rsidRPr="00511005">
        <w:rPr>
          <w:rFonts w:ascii="Arial" w:eastAsia="Times New Roman" w:hAnsi="Arial" w:cs="Arial"/>
          <w:szCs w:val="28"/>
          <w:lang w:eastAsia="uk-UA"/>
        </w:rPr>
        <w:t xml:space="preserve"> </w:t>
      </w:r>
      <w:r w:rsidRPr="00511005">
        <w:rPr>
          <w:rFonts w:ascii="Arial" w:eastAsia="Times New Roman" w:hAnsi="Arial" w:cs="Arial"/>
          <w:szCs w:val="28"/>
          <w:lang w:val="uk-UA" w:eastAsia="uk-UA"/>
        </w:rPr>
        <w:t>П.М. Кубрак, Досудове слідство в Українських землях. URL:</w:t>
      </w:r>
      <w:hyperlink r:id="rId125" w:history="1">
        <w:r w:rsidRPr="00511005">
          <w:rPr>
            <w:rFonts w:ascii="Arial" w:eastAsia="Times New Roman" w:hAnsi="Arial" w:cs="Arial"/>
            <w:szCs w:val="28"/>
            <w:lang w:val="uk-UA" w:eastAsia="uk-UA"/>
          </w:rPr>
          <w:t>https://www.legalposition.umsf.in.ua/archive/2018/1/7.pdf</w:t>
        </w:r>
      </w:hyperlink>
      <w:r w:rsidRPr="00511005">
        <w:rPr>
          <w:rFonts w:ascii="Arial" w:eastAsia="Times New Roman" w:hAnsi="Arial" w:cs="Arial"/>
          <w:szCs w:val="28"/>
          <w:lang w:val="uk-UA" w:eastAsia="uk-UA"/>
        </w:rPr>
        <w:br/>
        <w:t xml:space="preserve">‎4.Старченко Н. Scrutinium як інквізиційний елемент у судочинстві Волинського воєводства (70-ті рр. XVI – початок XVII ст.) / Н. Старченко // </w:t>
      </w:r>
      <w:r w:rsidRPr="00511005">
        <w:rPr>
          <w:rFonts w:ascii="Arial" w:eastAsia="Times New Roman" w:hAnsi="Arial" w:cs="Arial"/>
          <w:szCs w:val="28"/>
          <w:lang w:val="uk-UA" w:eastAsia="uk-UA"/>
        </w:rPr>
        <w:lastRenderedPageBreak/>
        <w:t>Записки наукового товариства імені Шевченка. Праці Історично-філософської секції. – 2012. – Т. 264 (CCLXІV). – С. 171-195.</w:t>
      </w:r>
    </w:p>
    <w:p w14:paraId="455BCD3E" w14:textId="77777777" w:rsidR="00220D3E" w:rsidRPr="00511005" w:rsidRDefault="00220D3E" w:rsidP="003A292D">
      <w:pPr>
        <w:spacing w:line="264" w:lineRule="auto"/>
        <w:ind w:firstLine="0"/>
        <w:rPr>
          <w:rFonts w:ascii="Arial" w:eastAsia="Times New Roman" w:hAnsi="Arial" w:cs="Arial"/>
          <w:szCs w:val="28"/>
          <w:lang w:val="uk-UA" w:eastAsia="uk-UA"/>
        </w:rPr>
      </w:pPr>
    </w:p>
    <w:p w14:paraId="6DDD9844" w14:textId="2727F621" w:rsidR="00220D3E" w:rsidRPr="00511005" w:rsidRDefault="007B2628" w:rsidP="003A292D">
      <w:pPr>
        <w:spacing w:line="264" w:lineRule="auto"/>
        <w:ind w:firstLine="0"/>
        <w:rPr>
          <w:rFonts w:ascii="Arial" w:eastAsia="Times New Roman" w:hAnsi="Arial" w:cs="Arial"/>
          <w:b/>
          <w:szCs w:val="28"/>
          <w:lang w:val="uk-UA" w:eastAsia="uk-UA"/>
        </w:rPr>
      </w:pPr>
      <w:r w:rsidRPr="00511005">
        <w:rPr>
          <w:rFonts w:ascii="Arial" w:eastAsia="Times New Roman" w:hAnsi="Arial" w:cs="Arial"/>
          <w:b/>
          <w:i/>
          <w:szCs w:val="28"/>
          <w:lang w:val="uk-UA" w:eastAsia="uk-UA"/>
        </w:rPr>
        <w:t xml:space="preserve">Ключові слова: </w:t>
      </w:r>
      <w:r w:rsidR="00220D3E" w:rsidRPr="00511005">
        <w:rPr>
          <w:rFonts w:ascii="Arial" w:eastAsia="Times New Roman" w:hAnsi="Arial" w:cs="Arial"/>
          <w:szCs w:val="28"/>
          <w:lang w:val="uk-UA" w:eastAsia="uk-UA"/>
        </w:rPr>
        <w:t>судочинство, інквізиційна форма судочинства, позовний характер судочинства, суд, тортури.</w:t>
      </w:r>
    </w:p>
    <w:p w14:paraId="69275340" w14:textId="3B7C7780" w:rsidR="00220D3E" w:rsidRPr="00511005" w:rsidRDefault="007B2628" w:rsidP="003A292D">
      <w:pPr>
        <w:spacing w:line="264" w:lineRule="auto"/>
        <w:ind w:firstLine="0"/>
        <w:rPr>
          <w:rFonts w:ascii="Arial" w:eastAsia="Calibri" w:hAnsi="Arial" w:cs="Arial"/>
          <w:szCs w:val="28"/>
          <w:lang w:val="uk-UA" w:eastAsia="ru-RU"/>
        </w:rPr>
      </w:pPr>
      <w:r w:rsidRPr="00511005">
        <w:rPr>
          <w:rFonts w:ascii="Arial" w:eastAsia="Times New Roman" w:hAnsi="Arial" w:cs="Arial"/>
          <w:b/>
          <w:i/>
          <w:szCs w:val="28"/>
          <w:lang w:val="en-US" w:eastAsia="uk-UA"/>
        </w:rPr>
        <w:t xml:space="preserve">Key words: </w:t>
      </w:r>
      <w:r w:rsidR="00220D3E" w:rsidRPr="00511005">
        <w:rPr>
          <w:rFonts w:ascii="Arial" w:eastAsia="Calibri" w:hAnsi="Arial" w:cs="Arial"/>
          <w:szCs w:val="28"/>
          <w:lang w:val="en" w:eastAsia="ru-RU"/>
        </w:rPr>
        <w:t>judicial proceedings</w:t>
      </w:r>
      <w:r w:rsidR="00220D3E" w:rsidRPr="00511005">
        <w:rPr>
          <w:rFonts w:ascii="Arial" w:eastAsia="Calibri" w:hAnsi="Arial" w:cs="Arial"/>
          <w:szCs w:val="28"/>
          <w:lang w:val="uk-UA" w:eastAsia="ru-RU"/>
        </w:rPr>
        <w:t xml:space="preserve">, </w:t>
      </w:r>
      <w:r w:rsidR="00220D3E" w:rsidRPr="00511005">
        <w:rPr>
          <w:rFonts w:ascii="Arial" w:eastAsia="Calibri" w:hAnsi="Arial" w:cs="Arial"/>
          <w:szCs w:val="28"/>
          <w:lang w:val="en" w:eastAsia="ru-RU"/>
        </w:rPr>
        <w:t>inquisitorial form of judicial proceedings</w:t>
      </w:r>
      <w:r w:rsidR="00220D3E" w:rsidRPr="00511005">
        <w:rPr>
          <w:rFonts w:ascii="Arial" w:eastAsia="Calibri" w:hAnsi="Arial" w:cs="Arial"/>
          <w:szCs w:val="28"/>
          <w:lang w:val="uk-UA" w:eastAsia="ru-RU"/>
        </w:rPr>
        <w:t xml:space="preserve">, </w:t>
      </w:r>
      <w:r w:rsidR="00220D3E" w:rsidRPr="00511005">
        <w:rPr>
          <w:rFonts w:ascii="Arial" w:eastAsia="Calibri" w:hAnsi="Arial" w:cs="Arial"/>
          <w:szCs w:val="28"/>
          <w:lang w:val="en" w:eastAsia="ru-RU"/>
        </w:rPr>
        <w:t>adversarial nature of judicial proceedings</w:t>
      </w:r>
      <w:r w:rsidR="00220D3E" w:rsidRPr="00511005">
        <w:rPr>
          <w:rFonts w:ascii="Arial" w:eastAsia="Calibri" w:hAnsi="Arial" w:cs="Arial"/>
          <w:szCs w:val="28"/>
          <w:lang w:val="uk-UA" w:eastAsia="ru-RU"/>
        </w:rPr>
        <w:t xml:space="preserve">, </w:t>
      </w:r>
      <w:r w:rsidR="00220D3E" w:rsidRPr="00511005">
        <w:rPr>
          <w:rFonts w:ascii="Arial" w:eastAsia="Calibri" w:hAnsi="Arial" w:cs="Arial"/>
          <w:szCs w:val="28"/>
          <w:lang w:val="en" w:eastAsia="ru-RU"/>
        </w:rPr>
        <w:t>court</w:t>
      </w:r>
      <w:r w:rsidR="00220D3E" w:rsidRPr="00511005">
        <w:rPr>
          <w:rFonts w:ascii="Arial" w:eastAsia="Calibri" w:hAnsi="Arial" w:cs="Arial"/>
          <w:szCs w:val="28"/>
          <w:lang w:val="uk-UA" w:eastAsia="ru-RU"/>
        </w:rPr>
        <w:t xml:space="preserve">, </w:t>
      </w:r>
      <w:r w:rsidR="00220D3E" w:rsidRPr="00511005">
        <w:rPr>
          <w:rFonts w:ascii="Arial" w:eastAsia="Calibri" w:hAnsi="Arial" w:cs="Arial"/>
          <w:szCs w:val="28"/>
          <w:lang w:val="en" w:eastAsia="ru-RU"/>
        </w:rPr>
        <w:t>torture</w:t>
      </w:r>
      <w:r w:rsidR="00220D3E" w:rsidRPr="00511005">
        <w:rPr>
          <w:rFonts w:ascii="Arial" w:eastAsia="Calibri" w:hAnsi="Arial" w:cs="Arial"/>
          <w:szCs w:val="28"/>
          <w:lang w:val="uk-UA" w:eastAsia="ru-RU"/>
        </w:rPr>
        <w:t>.</w:t>
      </w:r>
    </w:p>
    <w:p w14:paraId="4DD9685F" w14:textId="0D1687D9" w:rsidR="00220D3E" w:rsidRPr="00511005" w:rsidRDefault="007B2628" w:rsidP="003A292D">
      <w:pPr>
        <w:spacing w:line="264" w:lineRule="auto"/>
        <w:ind w:firstLine="0"/>
        <w:rPr>
          <w:rFonts w:ascii="Arial" w:eastAsia="Times New Roman" w:hAnsi="Arial" w:cs="Arial"/>
          <w:b/>
          <w:iCs/>
          <w:szCs w:val="28"/>
          <w:lang w:val="uk-UA" w:eastAsia="uk-UA"/>
        </w:rPr>
      </w:pPr>
      <w:r w:rsidRPr="00511005">
        <w:rPr>
          <w:rFonts w:ascii="Arial" w:eastAsia="Calibri" w:hAnsi="Arial" w:cs="Arial"/>
          <w:b/>
          <w:i/>
          <w:szCs w:val="28"/>
          <w:lang w:val="uk-UA" w:eastAsia="ru-RU"/>
        </w:rPr>
        <w:t xml:space="preserve">Науковий керівник: </w:t>
      </w:r>
      <w:r w:rsidR="00383DE9" w:rsidRPr="00511005">
        <w:rPr>
          <w:rFonts w:ascii="Arial" w:eastAsia="Calibri" w:hAnsi="Arial" w:cs="Arial"/>
          <w:iCs/>
          <w:szCs w:val="28"/>
          <w:lang w:val="uk-UA" w:eastAsia="ru-RU"/>
        </w:rPr>
        <w:t xml:space="preserve">к.ю.н., </w:t>
      </w:r>
      <w:r w:rsidR="00220D3E" w:rsidRPr="00511005">
        <w:rPr>
          <w:rFonts w:ascii="Arial" w:eastAsia="Calibri" w:hAnsi="Arial" w:cs="Arial"/>
          <w:iCs/>
          <w:szCs w:val="28"/>
          <w:lang w:val="uk-UA" w:eastAsia="ru-RU"/>
        </w:rPr>
        <w:t>доц</w:t>
      </w:r>
      <w:r w:rsidR="00D32A0F" w:rsidRPr="00511005">
        <w:rPr>
          <w:rFonts w:ascii="Arial" w:eastAsia="Calibri" w:hAnsi="Arial" w:cs="Arial"/>
          <w:iCs/>
          <w:szCs w:val="28"/>
          <w:lang w:val="uk-UA" w:eastAsia="ru-RU"/>
        </w:rPr>
        <w:t>ент</w:t>
      </w:r>
      <w:r w:rsidR="00220D3E" w:rsidRPr="00511005">
        <w:rPr>
          <w:rFonts w:ascii="Arial" w:eastAsia="Calibri" w:hAnsi="Arial" w:cs="Arial"/>
          <w:iCs/>
          <w:szCs w:val="28"/>
          <w:lang w:val="uk-UA" w:eastAsia="ru-RU"/>
        </w:rPr>
        <w:t xml:space="preserve"> Горяга О</w:t>
      </w:r>
      <w:r w:rsidR="00D32A0F" w:rsidRPr="00511005">
        <w:rPr>
          <w:rFonts w:ascii="Arial" w:eastAsia="Calibri" w:hAnsi="Arial" w:cs="Arial"/>
          <w:iCs/>
          <w:szCs w:val="28"/>
          <w:lang w:val="uk-UA" w:eastAsia="ru-RU"/>
        </w:rPr>
        <w:t>.</w:t>
      </w:r>
      <w:r w:rsidR="00220D3E" w:rsidRPr="00511005">
        <w:rPr>
          <w:rFonts w:ascii="Arial" w:eastAsia="Calibri" w:hAnsi="Arial" w:cs="Arial"/>
          <w:iCs/>
          <w:szCs w:val="28"/>
          <w:lang w:val="uk-UA" w:eastAsia="ru-RU"/>
        </w:rPr>
        <w:t xml:space="preserve"> В.</w:t>
      </w:r>
    </w:p>
    <w:p w14:paraId="2885D151" w14:textId="34665A50" w:rsidR="00220D3E" w:rsidRPr="00511005" w:rsidRDefault="00220D3E" w:rsidP="003A292D">
      <w:pPr>
        <w:spacing w:line="264" w:lineRule="auto"/>
        <w:ind w:firstLine="0"/>
        <w:rPr>
          <w:rFonts w:ascii="Arial" w:eastAsia="Times New Roman" w:hAnsi="Arial" w:cs="Arial"/>
          <w:b/>
          <w:szCs w:val="28"/>
          <w:lang w:val="uk-UA" w:eastAsia="uk-UA"/>
        </w:rPr>
      </w:pPr>
    </w:p>
    <w:p w14:paraId="55A377AB" w14:textId="77777777" w:rsidR="00D32A0F" w:rsidRPr="00511005" w:rsidRDefault="00D32A0F" w:rsidP="003A292D">
      <w:pPr>
        <w:spacing w:line="264" w:lineRule="auto"/>
        <w:ind w:firstLine="0"/>
        <w:rPr>
          <w:rFonts w:ascii="Arial" w:eastAsia="Times New Roman" w:hAnsi="Arial" w:cs="Arial"/>
          <w:b/>
          <w:szCs w:val="28"/>
          <w:lang w:val="uk-UA" w:eastAsia="uk-UA"/>
        </w:rPr>
      </w:pPr>
    </w:p>
    <w:p w14:paraId="30BBCADF" w14:textId="77777777" w:rsidR="00220D3E" w:rsidRPr="00511005" w:rsidRDefault="00220D3E"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val="uk-UA" w:eastAsia="ru-RU" w:bidi="uk-UA"/>
        </w:rPr>
      </w:pPr>
      <w:r w:rsidRPr="00511005">
        <w:rPr>
          <w:rFonts w:ascii="Arial" w:eastAsia="Times New Roman" w:hAnsi="Arial" w:cs="Arial"/>
          <w:b/>
          <w:szCs w:val="28"/>
          <w:lang w:val="uk-UA" w:eastAsia="ru-RU" w:bidi="uk-UA"/>
        </w:rPr>
        <w:t>Новосельська Марина Олексіївна</w:t>
      </w:r>
    </w:p>
    <w:p w14:paraId="2F629A90" w14:textId="63637264" w:rsidR="00220D3E" w:rsidRPr="00511005" w:rsidRDefault="00D32A0F" w:rsidP="003A292D">
      <w:pPr>
        <w:widowControl w:val="0"/>
        <w:tabs>
          <w:tab w:val="left" w:pos="7088"/>
        </w:tabs>
        <w:autoSpaceDE w:val="0"/>
        <w:autoSpaceDN w:val="0"/>
        <w:adjustRightInd w:val="0"/>
        <w:spacing w:line="264" w:lineRule="auto"/>
        <w:ind w:firstLine="0"/>
        <w:jc w:val="center"/>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с</w:t>
      </w:r>
      <w:r w:rsidR="00BE3972" w:rsidRPr="00511005">
        <w:rPr>
          <w:rFonts w:ascii="Arial" w:eastAsia="Times New Roman" w:hAnsi="Arial" w:cs="Arial"/>
          <w:bCs/>
          <w:szCs w:val="28"/>
          <w:lang w:val="uk-UA" w:eastAsia="ru-RU" w:bidi="uk-UA"/>
        </w:rPr>
        <w:t xml:space="preserve">тудентка 1-го курсу </w:t>
      </w:r>
      <w:r w:rsidR="001B7B25" w:rsidRPr="00511005">
        <w:rPr>
          <w:rFonts w:ascii="Arial" w:eastAsia="Times New Roman" w:hAnsi="Arial" w:cs="Arial"/>
          <w:bCs/>
          <w:szCs w:val="28"/>
          <w:lang w:val="uk-UA" w:eastAsia="ru-RU" w:bidi="uk-UA"/>
        </w:rPr>
        <w:t>факультету судового та міжнародного права</w:t>
      </w:r>
    </w:p>
    <w:p w14:paraId="74D06013" w14:textId="12EFCA22" w:rsidR="00220D3E" w:rsidRPr="00511005" w:rsidRDefault="007B2628" w:rsidP="003A292D">
      <w:pPr>
        <w:widowControl w:val="0"/>
        <w:tabs>
          <w:tab w:val="left" w:pos="7088"/>
        </w:tabs>
        <w:autoSpaceDE w:val="0"/>
        <w:autoSpaceDN w:val="0"/>
        <w:adjustRightInd w:val="0"/>
        <w:spacing w:line="264" w:lineRule="auto"/>
        <w:ind w:firstLine="0"/>
        <w:jc w:val="center"/>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Національного університету «Одеська юридична академія»</w:t>
      </w:r>
    </w:p>
    <w:p w14:paraId="7902A9F7" w14:textId="77777777" w:rsidR="00220D3E" w:rsidRPr="00511005" w:rsidRDefault="00220D3E"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eastAsia="ru-RU" w:bidi="uk-UA"/>
        </w:rPr>
      </w:pPr>
    </w:p>
    <w:p w14:paraId="763F6CAD" w14:textId="77777777" w:rsidR="00220D3E" w:rsidRPr="00511005" w:rsidRDefault="00220D3E"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eastAsia="ru-RU" w:bidi="uk-UA"/>
        </w:rPr>
      </w:pPr>
      <w:r w:rsidRPr="00511005">
        <w:rPr>
          <w:rFonts w:ascii="Arial" w:eastAsia="Times New Roman" w:hAnsi="Arial" w:cs="Arial"/>
          <w:b/>
          <w:szCs w:val="28"/>
          <w:lang w:eastAsia="ru-RU" w:bidi="uk-UA"/>
        </w:rPr>
        <w:t>ПРИЧИНИ СИСТЕМАТИЗАЦІЇ ПРАВА У ВЕЛИКОМУ КНЯЗІВСТВІ ЛИТОВСЬКОМУ НА ПОЧАТКУ XVI СТОЛІТТЯ</w:t>
      </w:r>
    </w:p>
    <w:p w14:paraId="7A39241A" w14:textId="77777777" w:rsidR="00220D3E" w:rsidRPr="00511005" w:rsidRDefault="00220D3E" w:rsidP="00D32A0F">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Систематизація права у Великому князівстві Литовському на початку XVI століття була надзвичайно важливим етапом у розвитку правової системи держави. Причини цієї систематизації були комплексними та багатоаспектними, що пов'язано з певними внутрішніми та зовнішніми факторами того часу. Основними з них були потреба в стабільності правової системи, розвиток державної адміністрації, а також зміни в соціально-економічному житті держави, що вимагали реорганізації правових норм і процесів.</w:t>
      </w:r>
    </w:p>
    <w:p w14:paraId="7D2AF200" w14:textId="77777777" w:rsidR="00220D3E" w:rsidRPr="00511005" w:rsidRDefault="00220D3E" w:rsidP="00D32A0F">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Першою і, мабуть, найважливішою причиною для систематизації права стало зростання територіальної та адміністративної структури Великого князівства Литовського. Після укладення Кревської унії 1385 року та поступового розширення території князівства за рахунок приєднання нових земель, таких як західноукраїнські та білоруські території, виникла необхідність у створенні єдиної правової системи, що б регулювала нові політичні реалії. Різноманіття правових традицій, норм і звичаїв різних народів, які становили населення Великого князівства, потребувало уніфікації правових норм та стандартів, щоб забезпечити ефективне функціонування державних інститутів і підтримання правопорядку.</w:t>
      </w:r>
    </w:p>
    <w:p w14:paraId="7392F43D" w14:textId="77777777" w:rsidR="00220D3E" w:rsidRPr="00511005" w:rsidRDefault="00220D3E" w:rsidP="00D32A0F">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Ще однією важливою причиною стало прагнення до централізації влади, що виявлялося у посиленні ролі монарха - Великого князя і королівської -Великокнязівської адміністрації. У той час велике значення надавалось адміністративним і судовим реорганізаціям, що мали на меті полегшити контроль за виконанням правових норм та забезпечити однаковість правозастосування. У зв'язку з цим виникла потреба в створенні так званого "спільного права", яке б об'єднувало різні юридичні традиції та системи, що існували в різних частинах держави</w:t>
      </w:r>
      <w:r w:rsidRPr="00511005">
        <w:rPr>
          <w:rFonts w:ascii="Arial" w:eastAsia="Times New Roman" w:hAnsi="Arial" w:cs="Arial"/>
          <w:bCs/>
          <w:szCs w:val="28"/>
          <w:lang w:eastAsia="ru-RU" w:bidi="uk-UA"/>
        </w:rPr>
        <w:t xml:space="preserve"> [2]</w:t>
      </w:r>
      <w:r w:rsidRPr="00511005">
        <w:rPr>
          <w:rFonts w:ascii="Arial" w:eastAsia="Times New Roman" w:hAnsi="Arial" w:cs="Arial"/>
          <w:bCs/>
          <w:szCs w:val="28"/>
          <w:lang w:val="uk-UA" w:eastAsia="ru-RU" w:bidi="uk-UA"/>
        </w:rPr>
        <w:t>.</w:t>
      </w:r>
    </w:p>
    <w:p w14:paraId="67B0CD4E" w14:textId="77777777" w:rsidR="00220D3E" w:rsidRPr="00511005" w:rsidRDefault="00220D3E" w:rsidP="00D32A0F">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lastRenderedPageBreak/>
        <w:t>Систематизація права також була необхідною для забезпечення економічного розвитку Великого князівства Литовського. В середині XVI століття на території князівства активно розвивалась торгівля, ремесла, землеробство, а також виникли нові соціально-економічні відносини, які потребували правового регулювання. У зв'язку з цим було важливо створити чіткі правові норми, що б регулювали відносини між різними верствами населення, у тому числі між феодалами, купцями, селянами, а також забезпечували правову стабільність у межах нових економічних реалій. Усі ці фактори підштовхували до необхідності створення єдиного кодексу законів, який би відповідав потребам економічного розвитку та забезпечував правову визначеність.</w:t>
      </w:r>
    </w:p>
    <w:p w14:paraId="04C12100" w14:textId="77777777" w:rsidR="00220D3E" w:rsidRPr="00511005" w:rsidRDefault="00220D3E" w:rsidP="00D32A0F">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Ще однією значущою причиною систематизації права було зростання міжнародного значення Великого князівства Литовського, яке активно взаємодіяло з іншими європейськими державами, зокрема Польщею, Московією, а також країнами Західної Європи. У зв'язку з цим, з'явилась необхідність у створенні чіткої правової системи, яка б відповідала вимогам міжнародного права і могла забезпечити стабільність зовнішньої політики, зокрема у питаннях дипломатії, торгівлі та права війни.</w:t>
      </w:r>
    </w:p>
    <w:p w14:paraId="001BB38D" w14:textId="77777777" w:rsidR="00220D3E" w:rsidRPr="00511005" w:rsidRDefault="00220D3E" w:rsidP="00D32A0F">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Не менш важливою була і роль церковної інституції у правовому житті князівства. У той час, як і в інших європейських країнах, церква мала значний вплив на правову систему. За цих умов виникла необхідність у систематизації релігійного права і його узгодженні з мирським правом, що також вимагало кодифікації. Права і обов'язки духовенства, а також їх взаємодія з мирськими органами влади, були питаннями, які потребували детального правового врегулювання. Реалізація цієї систематизації права почалася з прийняття так званого "Литовського статуту"</w:t>
      </w:r>
      <w:r w:rsidRPr="00511005">
        <w:rPr>
          <w:rFonts w:ascii="Arial" w:eastAsia="Times New Roman" w:hAnsi="Arial" w:cs="Arial"/>
          <w:bCs/>
          <w:szCs w:val="28"/>
          <w:lang w:eastAsia="ru-RU" w:bidi="uk-UA"/>
        </w:rPr>
        <w:t>[1]</w:t>
      </w:r>
      <w:r w:rsidRPr="00511005">
        <w:rPr>
          <w:rFonts w:ascii="Arial" w:eastAsia="Times New Roman" w:hAnsi="Arial" w:cs="Arial"/>
          <w:bCs/>
          <w:szCs w:val="28"/>
          <w:lang w:val="uk-UA" w:eastAsia="ru-RU" w:bidi="uk-UA"/>
        </w:rPr>
        <w:t xml:space="preserve">. </w:t>
      </w:r>
    </w:p>
    <w:p w14:paraId="41C3E4B1" w14:textId="469385ED" w:rsidR="00220D3E" w:rsidRPr="00511005" w:rsidRDefault="00220D3E" w:rsidP="00D32A0F">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Перший Статут Великого князівства Литовського</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uk-UA" w:eastAsia="ru-RU" w:bidi="uk-UA"/>
        </w:rPr>
        <w:t>був ухвалений у 1529 році, він став важливим етапом у розвитку правової системи Великого князівства Литовського. Статут мав на меті створити єдину правову основу, яка б регулювала відносини між різними соціальними групами та забезпечувала стабільність держави. Він об'єднав різні місцеві правові звичаї та нормативні акти в єдину правову систему. Статут також визначав основи кримінального та цивільного права, процедурні питання судочинства, а також правила щодо землеволодіння та власності.</w:t>
      </w:r>
    </w:p>
    <w:p w14:paraId="1329242F" w14:textId="77777777" w:rsidR="00220D3E" w:rsidRPr="00511005" w:rsidRDefault="00220D3E" w:rsidP="00D32A0F">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Наступні Литовські Статути, зокрема статути 1566 та 1588 років, були покращеними варіантами першого. Вони розширювали та доповнювали попередні норми, враховуючи нові соціально-економічні та політичні умови. Так, Статути чітко визначали роль шляхти та феодалів у державному управлінні, регулювали земельні питання, права й обов'язки власників та орендарів, а також встановлювали процедури судочинства та правові механізми захисту інтересів громадян</w:t>
      </w:r>
      <w:r w:rsidRPr="00511005">
        <w:rPr>
          <w:rFonts w:ascii="Arial" w:eastAsia="Times New Roman" w:hAnsi="Arial" w:cs="Arial"/>
          <w:bCs/>
          <w:szCs w:val="28"/>
          <w:lang w:eastAsia="ru-RU" w:bidi="uk-UA"/>
        </w:rPr>
        <w:t xml:space="preserve"> [3]</w:t>
      </w:r>
      <w:r w:rsidRPr="00511005">
        <w:rPr>
          <w:rFonts w:ascii="Arial" w:eastAsia="Times New Roman" w:hAnsi="Arial" w:cs="Arial"/>
          <w:bCs/>
          <w:szCs w:val="28"/>
          <w:lang w:val="uk-UA" w:eastAsia="ru-RU" w:bidi="uk-UA"/>
        </w:rPr>
        <w:t>.</w:t>
      </w:r>
    </w:p>
    <w:p w14:paraId="2C5DE4AF" w14:textId="77777777" w:rsidR="00220D3E" w:rsidRPr="00511005" w:rsidRDefault="00220D3E" w:rsidP="00D32A0F">
      <w:pPr>
        <w:widowControl w:val="0"/>
        <w:tabs>
          <w:tab w:val="left" w:pos="7088"/>
        </w:tabs>
        <w:autoSpaceDE w:val="0"/>
        <w:autoSpaceDN w:val="0"/>
        <w:adjustRightInd w:val="0"/>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Таким чином, причини систематизації права у Великому князівстві </w:t>
      </w:r>
      <w:r w:rsidRPr="00511005">
        <w:rPr>
          <w:rFonts w:ascii="Arial" w:eastAsia="Times New Roman" w:hAnsi="Arial" w:cs="Arial"/>
          <w:bCs/>
          <w:szCs w:val="28"/>
          <w:lang w:val="uk-UA" w:eastAsia="ru-RU" w:bidi="uk-UA"/>
        </w:rPr>
        <w:lastRenderedPageBreak/>
        <w:t>Литовському на початку XVI століття були різноманітними і комплексними. Вони охоплювали як внутрішні фактори, такі як розвиток державної адміністрації та економіки, так і зовнішні, зокрема необхідність уніфікації правових норм для забезпечення стабільності в міжнародних відносинах. Результатом цих процесів стало прийняття Литовських Статутів, що стали основою для подальшого розвитку правової системи та вплинули на становлення юридичної культури в Україні та інших країнах Східної Європи.</w:t>
      </w:r>
    </w:p>
    <w:p w14:paraId="291ADD99" w14:textId="77777777" w:rsidR="00220D3E" w:rsidRPr="00511005" w:rsidRDefault="00220D3E" w:rsidP="003A292D">
      <w:pPr>
        <w:autoSpaceDN w:val="0"/>
        <w:spacing w:line="264" w:lineRule="auto"/>
        <w:ind w:firstLine="0"/>
        <w:jc w:val="left"/>
        <w:rPr>
          <w:rFonts w:ascii="Arial" w:eastAsia="Times New Roman" w:hAnsi="Arial" w:cs="Arial"/>
          <w:b/>
          <w:szCs w:val="28"/>
          <w:lang w:eastAsia="ru-RU" w:bidi="uk-UA"/>
        </w:rPr>
      </w:pPr>
    </w:p>
    <w:p w14:paraId="06B41020" w14:textId="28F7F550" w:rsidR="00220D3E" w:rsidRPr="00511005" w:rsidRDefault="00220D3E"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val="uk-UA" w:eastAsia="ru-RU" w:bidi="uk-UA"/>
        </w:rPr>
      </w:pPr>
      <w:r w:rsidRPr="00511005">
        <w:rPr>
          <w:rFonts w:ascii="Arial" w:eastAsia="Times New Roman" w:hAnsi="Arial" w:cs="Arial"/>
          <w:b/>
          <w:szCs w:val="28"/>
          <w:lang w:val="en-US" w:eastAsia="ru-RU" w:bidi="uk-UA"/>
        </w:rPr>
        <w:t>C</w:t>
      </w:r>
      <w:r w:rsidR="00D32A0F" w:rsidRPr="00511005">
        <w:rPr>
          <w:rFonts w:ascii="Arial" w:eastAsia="Times New Roman" w:hAnsi="Arial" w:cs="Arial"/>
          <w:b/>
          <w:szCs w:val="28"/>
          <w:lang w:val="uk-UA" w:eastAsia="ru-RU" w:bidi="uk-UA"/>
        </w:rPr>
        <w:t>писок використаних джерел</w:t>
      </w:r>
    </w:p>
    <w:p w14:paraId="44DB516C" w14:textId="7D8725C0" w:rsidR="00220D3E" w:rsidRPr="00511005" w:rsidRDefault="00220D3E" w:rsidP="003F6A5D">
      <w:pPr>
        <w:pStyle w:val="af0"/>
        <w:widowControl w:val="0"/>
        <w:numPr>
          <w:ilvl w:val="0"/>
          <w:numId w:val="812"/>
        </w:numPr>
        <w:tabs>
          <w:tab w:val="left" w:pos="7088"/>
        </w:tabs>
        <w:autoSpaceDE w:val="0"/>
        <w:autoSpaceDN w:val="0"/>
        <w:adjustRightInd w:val="0"/>
        <w:spacing w:line="264" w:lineRule="auto"/>
        <w:rPr>
          <w:rFonts w:ascii="Arial" w:eastAsia="Times New Roman" w:hAnsi="Arial" w:cs="Arial"/>
          <w:b/>
          <w:szCs w:val="28"/>
          <w:lang w:val="uk-UA" w:eastAsia="ru-RU" w:bidi="uk-UA"/>
        </w:rPr>
      </w:pPr>
      <w:r w:rsidRPr="00511005">
        <w:rPr>
          <w:rFonts w:ascii="Arial" w:eastAsia="Times New Roman" w:hAnsi="Arial" w:cs="Arial"/>
          <w:bCs/>
          <w:szCs w:val="28"/>
          <w:lang w:eastAsia="ru-RU"/>
        </w:rPr>
        <w:t>Вовк О. Й.</w:t>
      </w:r>
      <w:r w:rsidRPr="00511005">
        <w:rPr>
          <w:rFonts w:ascii="Arial" w:eastAsia="Times New Roman" w:hAnsi="Arial" w:cs="Arial"/>
          <w:szCs w:val="28"/>
          <w:lang w:eastAsia="ru-RU"/>
        </w:rPr>
        <w:t xml:space="preserve"> «Систематизація литовсько-руського права другої половини XV – початку XVI століть». </w:t>
      </w:r>
      <w:r w:rsidRPr="00511005">
        <w:rPr>
          <w:rFonts w:ascii="Arial" w:eastAsia="Times New Roman" w:hAnsi="Arial" w:cs="Arial"/>
          <w:i/>
          <w:iCs/>
          <w:szCs w:val="28"/>
          <w:lang w:eastAsia="ru-RU"/>
        </w:rPr>
        <w:t>Київський національний університет імені Тараса Шевченка</w:t>
      </w:r>
      <w:r w:rsidRPr="00511005">
        <w:rPr>
          <w:rFonts w:ascii="Arial" w:eastAsia="Times New Roman" w:hAnsi="Arial" w:cs="Arial"/>
          <w:szCs w:val="28"/>
          <w:lang w:eastAsia="ru-RU"/>
        </w:rPr>
        <w:t>, 2011.</w:t>
      </w:r>
      <w:r w:rsidRPr="00511005">
        <w:rPr>
          <w:rFonts w:ascii="Arial" w:eastAsia="Times New Roman" w:hAnsi="Arial" w:cs="Arial"/>
          <w:szCs w:val="28"/>
          <w:lang w:eastAsia="ru-RU"/>
        </w:rPr>
        <w:br/>
        <w:t>URL:</w:t>
      </w:r>
      <w:hyperlink r:id="rId126" w:tgtFrame="_new" w:history="1">
        <w:r w:rsidRPr="00511005">
          <w:rPr>
            <w:rFonts w:ascii="Arial" w:eastAsia="Times New Roman" w:hAnsi="Arial" w:cs="Arial"/>
            <w:szCs w:val="28"/>
            <w:lang w:eastAsia="ru-RU"/>
          </w:rPr>
          <w:t>https://chtyvo.org.ua/authors/Vovk_Oleksandr_Yosypovych/Systematyzatsiia_lytovsko_-</w:t>
        </w:r>
        <w:r w:rsidRPr="00511005">
          <w:rPr>
            <w:rFonts w:ascii="Arial" w:eastAsia="Times New Roman" w:hAnsi="Arial" w:cs="Arial"/>
            <w:i/>
            <w:iCs/>
            <w:szCs w:val="28"/>
            <w:lang w:eastAsia="ru-RU"/>
          </w:rPr>
          <w:t>ruskoho_prava_druhoi_polovyny_KhV</w:t>
        </w:r>
        <w:r w:rsidRPr="00511005">
          <w:rPr>
            <w:rFonts w:ascii="Arial" w:eastAsia="Times New Roman" w:hAnsi="Arial" w:cs="Arial"/>
            <w:szCs w:val="28"/>
            <w:lang w:eastAsia="ru-RU"/>
          </w:rPr>
          <w:t>-_pochatku_KhVI_stolit.pdf</w:t>
        </w:r>
      </w:hyperlink>
      <w:r w:rsidRPr="00511005">
        <w:rPr>
          <w:rFonts w:ascii="Arial" w:eastAsia="Times New Roman" w:hAnsi="Arial" w:cs="Arial"/>
          <w:szCs w:val="28"/>
          <w:lang w:eastAsia="ru-RU"/>
        </w:rPr>
        <w:t xml:space="preserve"> (дата звернення: 18 квітня 2025 р.) </w:t>
      </w:r>
    </w:p>
    <w:p w14:paraId="2CCF861C" w14:textId="77777777" w:rsidR="00220D3E" w:rsidRPr="00511005" w:rsidRDefault="00220D3E" w:rsidP="003F6A5D">
      <w:pPr>
        <w:pStyle w:val="af0"/>
        <w:widowControl w:val="0"/>
        <w:numPr>
          <w:ilvl w:val="0"/>
          <w:numId w:val="812"/>
        </w:numPr>
        <w:tabs>
          <w:tab w:val="left" w:pos="993"/>
        </w:tabs>
        <w:autoSpaceDE w:val="0"/>
        <w:autoSpaceDN w:val="0"/>
        <w:adjustRightInd w:val="0"/>
        <w:spacing w:line="264" w:lineRule="auto"/>
        <w:rPr>
          <w:rFonts w:ascii="Arial" w:eastAsia="Times New Roman" w:hAnsi="Arial" w:cs="Arial"/>
          <w:szCs w:val="28"/>
          <w:lang w:eastAsia="ru-RU"/>
        </w:rPr>
      </w:pPr>
      <w:r w:rsidRPr="00511005">
        <w:rPr>
          <w:rFonts w:ascii="Arial" w:eastAsia="Times New Roman" w:hAnsi="Arial" w:cs="Arial"/>
          <w:bCs/>
          <w:szCs w:val="28"/>
          <w:lang w:eastAsia="ru-RU"/>
        </w:rPr>
        <w:t>Майкут О. В.</w:t>
      </w:r>
      <w:r w:rsidRPr="00511005">
        <w:rPr>
          <w:rFonts w:ascii="Arial" w:eastAsia="Times New Roman" w:hAnsi="Arial" w:cs="Arial"/>
          <w:szCs w:val="28"/>
          <w:lang w:eastAsia="ru-RU"/>
        </w:rPr>
        <w:t xml:space="preserve"> «Адаптація законодавства Великого князівства Литовського до польського права у зв'язку з укладенням Люблінської унії». </w:t>
      </w:r>
      <w:r w:rsidRPr="00511005">
        <w:rPr>
          <w:rFonts w:ascii="Arial" w:eastAsia="Times New Roman" w:hAnsi="Arial" w:cs="Arial"/>
          <w:i/>
          <w:iCs/>
          <w:szCs w:val="28"/>
          <w:lang w:eastAsia="ru-RU"/>
        </w:rPr>
        <w:t>Львівський державний університет внутрішніх справ</w:t>
      </w:r>
      <w:r w:rsidRPr="00511005">
        <w:rPr>
          <w:rFonts w:ascii="Arial" w:eastAsia="Times New Roman" w:hAnsi="Arial" w:cs="Arial"/>
          <w:szCs w:val="28"/>
          <w:lang w:eastAsia="ru-RU"/>
        </w:rPr>
        <w:t>, 2016.</w:t>
      </w:r>
      <w:r w:rsidRPr="00511005">
        <w:rPr>
          <w:rFonts w:ascii="Arial" w:eastAsia="Times New Roman" w:hAnsi="Arial" w:cs="Arial"/>
          <w:szCs w:val="28"/>
          <w:lang w:eastAsia="ru-RU"/>
        </w:rPr>
        <w:br/>
        <w:t xml:space="preserve">URL: </w:t>
      </w:r>
      <w:hyperlink r:id="rId127" w:tgtFrame="_new" w:history="1">
        <w:r w:rsidRPr="00511005">
          <w:rPr>
            <w:rFonts w:ascii="Arial" w:eastAsia="Times New Roman" w:hAnsi="Arial" w:cs="Arial"/>
            <w:szCs w:val="28"/>
            <w:lang w:eastAsia="ru-RU"/>
          </w:rPr>
          <w:t>https://dspace.lvduvs.edu.ua/bitstream/1234567890/97/1/maikyt.pdf</w:t>
        </w:r>
      </w:hyperlink>
      <w:r w:rsidRPr="00511005">
        <w:rPr>
          <w:rFonts w:ascii="Arial" w:eastAsia="Times New Roman" w:hAnsi="Arial" w:cs="Arial"/>
          <w:szCs w:val="28"/>
          <w:lang w:eastAsia="ru-RU"/>
        </w:rPr>
        <w:t xml:space="preserve"> (дата звернення: 18 квітня 2025 р.</w:t>
      </w:r>
      <w:r w:rsidRPr="00511005">
        <w:rPr>
          <w:rFonts w:ascii="Arial" w:eastAsia="Times New Roman" w:hAnsi="Arial" w:cs="Arial"/>
          <w:szCs w:val="28"/>
          <w:lang w:val="uk-UA" w:eastAsia="ru-RU"/>
        </w:rPr>
        <w:t>)</w:t>
      </w:r>
    </w:p>
    <w:p w14:paraId="3058ACE6" w14:textId="4B8AC4F2" w:rsidR="00220D3E" w:rsidRPr="00511005" w:rsidRDefault="00220D3E" w:rsidP="003F6A5D">
      <w:pPr>
        <w:pStyle w:val="af0"/>
        <w:widowControl w:val="0"/>
        <w:numPr>
          <w:ilvl w:val="0"/>
          <w:numId w:val="812"/>
        </w:numPr>
        <w:tabs>
          <w:tab w:val="left" w:pos="993"/>
        </w:tabs>
        <w:autoSpaceDE w:val="0"/>
        <w:autoSpaceDN w:val="0"/>
        <w:adjustRightInd w:val="0"/>
        <w:spacing w:line="264" w:lineRule="auto"/>
        <w:rPr>
          <w:rFonts w:ascii="Arial" w:eastAsia="Times New Roman" w:hAnsi="Arial" w:cs="Arial"/>
          <w:szCs w:val="28"/>
          <w:lang w:eastAsia="ru-RU"/>
        </w:rPr>
      </w:pPr>
      <w:r w:rsidRPr="00511005">
        <w:rPr>
          <w:rFonts w:ascii="Arial" w:eastAsia="Times New Roman" w:hAnsi="Arial" w:cs="Arial"/>
          <w:bCs/>
          <w:szCs w:val="28"/>
          <w:lang w:eastAsia="ru-RU"/>
        </w:rPr>
        <w:t>Майкут О. В.</w:t>
      </w:r>
      <w:r w:rsidRPr="00511005">
        <w:rPr>
          <w:rFonts w:ascii="Arial" w:eastAsia="Times New Roman" w:hAnsi="Arial" w:cs="Arial"/>
          <w:szCs w:val="28"/>
          <w:lang w:eastAsia="ru-RU"/>
        </w:rPr>
        <w:t xml:space="preserve"> «Процес інкорпорації Великого князівства Литовського до Речі Посполитої». </w:t>
      </w:r>
      <w:r w:rsidRPr="00511005">
        <w:rPr>
          <w:rFonts w:ascii="Arial" w:eastAsia="Times New Roman" w:hAnsi="Arial" w:cs="Arial"/>
          <w:i/>
          <w:iCs/>
          <w:szCs w:val="28"/>
          <w:lang w:eastAsia="ru-RU"/>
        </w:rPr>
        <w:t>Черкаський державний університет</w:t>
      </w:r>
      <w:r w:rsidRPr="00511005">
        <w:rPr>
          <w:rFonts w:ascii="Arial" w:eastAsia="Times New Roman" w:hAnsi="Arial" w:cs="Arial"/>
          <w:szCs w:val="28"/>
          <w:lang w:eastAsia="ru-RU"/>
        </w:rPr>
        <w:t>, 2024.</w:t>
      </w:r>
      <w:r w:rsidRPr="00511005">
        <w:rPr>
          <w:rFonts w:ascii="Arial" w:eastAsia="Times New Roman" w:hAnsi="Arial" w:cs="Arial"/>
          <w:szCs w:val="28"/>
          <w:lang w:eastAsia="ru-RU"/>
        </w:rPr>
        <w:br/>
        <w:t xml:space="preserve">URL: </w:t>
      </w:r>
      <w:hyperlink r:id="rId128" w:tgtFrame="_new" w:history="1">
        <w:r w:rsidRPr="00511005">
          <w:rPr>
            <w:rFonts w:ascii="Arial" w:eastAsia="Times New Roman" w:hAnsi="Arial" w:cs="Arial"/>
            <w:szCs w:val="28"/>
            <w:lang w:eastAsia="ru-RU"/>
          </w:rPr>
          <w:t>https://eprints.cdu.edu.ua/6476/1/236%20%202024%2003-12-16.pdf</w:t>
        </w:r>
      </w:hyperlink>
      <w:r w:rsidRPr="00511005">
        <w:rPr>
          <w:rFonts w:ascii="Arial" w:eastAsia="Times New Roman" w:hAnsi="Arial" w:cs="Arial"/>
          <w:szCs w:val="28"/>
          <w:lang w:eastAsia="ru-RU"/>
        </w:rPr>
        <w:t xml:space="preserve"> (дата звернення: 18 квітня 2025 р.)</w:t>
      </w:r>
    </w:p>
    <w:p w14:paraId="54EDCD65" w14:textId="77777777" w:rsidR="00220D3E" w:rsidRPr="00511005" w:rsidRDefault="00220D3E" w:rsidP="003A292D">
      <w:pPr>
        <w:widowControl w:val="0"/>
        <w:tabs>
          <w:tab w:val="left" w:pos="993"/>
        </w:tabs>
        <w:autoSpaceDE w:val="0"/>
        <w:autoSpaceDN w:val="0"/>
        <w:adjustRightInd w:val="0"/>
        <w:spacing w:line="264" w:lineRule="auto"/>
        <w:ind w:firstLine="0"/>
        <w:contextualSpacing/>
        <w:rPr>
          <w:rFonts w:ascii="Arial" w:eastAsia="Times New Roman" w:hAnsi="Arial" w:cs="Arial"/>
          <w:szCs w:val="28"/>
          <w:lang w:eastAsia="ru-RU"/>
        </w:rPr>
      </w:pPr>
    </w:p>
    <w:p w14:paraId="41ED6D5D" w14:textId="4F4795EB" w:rsidR="00220D3E" w:rsidRPr="00511005" w:rsidRDefault="007B2628" w:rsidP="003A292D">
      <w:pPr>
        <w:widowControl w:val="0"/>
        <w:tabs>
          <w:tab w:val="left" w:pos="993"/>
        </w:tabs>
        <w:autoSpaceDE w:val="0"/>
        <w:autoSpaceDN w:val="0"/>
        <w:adjustRightInd w:val="0"/>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кодифікація права, Литовський Статут, централізація влади, міжнародні відносини, державне управління.</w:t>
      </w:r>
    </w:p>
    <w:p w14:paraId="4C89622D" w14:textId="19028C76" w:rsidR="00220D3E" w:rsidRPr="00511005" w:rsidRDefault="007B2628" w:rsidP="003A292D">
      <w:pPr>
        <w:widowControl w:val="0"/>
        <w:tabs>
          <w:tab w:val="left" w:pos="993"/>
        </w:tabs>
        <w:autoSpaceDE w:val="0"/>
        <w:autoSpaceDN w:val="0"/>
        <w:adjustRightInd w:val="0"/>
        <w:spacing w:line="264" w:lineRule="auto"/>
        <w:ind w:firstLine="0"/>
        <w:contextualSpacing/>
        <w:rPr>
          <w:rFonts w:ascii="Arial" w:eastAsia="Times New Roman" w:hAnsi="Arial" w:cs="Arial"/>
          <w:szCs w:val="28"/>
          <w:lang w:val="en-GB" w:eastAsia="ru-RU"/>
        </w:rPr>
      </w:pPr>
      <w:r w:rsidRPr="00511005">
        <w:rPr>
          <w:rFonts w:ascii="Arial" w:eastAsia="Times New Roman" w:hAnsi="Arial" w:cs="Arial"/>
          <w:b/>
          <w:bCs/>
          <w:i/>
          <w:szCs w:val="28"/>
          <w:lang w:val="en-GB" w:eastAsia="ru-RU"/>
        </w:rPr>
        <w:t xml:space="preserve">Key words: </w:t>
      </w:r>
      <w:r w:rsidR="00220D3E" w:rsidRPr="00511005">
        <w:rPr>
          <w:rFonts w:ascii="Arial" w:eastAsia="Times New Roman" w:hAnsi="Arial" w:cs="Arial"/>
          <w:szCs w:val="28"/>
          <w:lang w:val="en-GB" w:eastAsia="ru-RU"/>
        </w:rPr>
        <w:t>legal codification, Lithuanian Statutes, centralization of power, international relations, state governance.</w:t>
      </w:r>
    </w:p>
    <w:p w14:paraId="4D882693" w14:textId="332F022D" w:rsidR="00220D3E" w:rsidRPr="00511005" w:rsidRDefault="007B2628" w:rsidP="003A292D">
      <w:pPr>
        <w:widowControl w:val="0"/>
        <w:tabs>
          <w:tab w:val="left" w:pos="993"/>
        </w:tabs>
        <w:autoSpaceDE w:val="0"/>
        <w:autoSpaceDN w:val="0"/>
        <w:adjustRightInd w:val="0"/>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szCs w:val="28"/>
          <w:lang w:val="uk-UA" w:eastAsia="ru-RU"/>
        </w:rPr>
        <w:t>к.ю.н., доцент Горяга О.В.</w:t>
      </w:r>
    </w:p>
    <w:p w14:paraId="7B3CA127" w14:textId="44C01F5A" w:rsidR="00220D3E" w:rsidRPr="00511005" w:rsidRDefault="00220D3E" w:rsidP="003A292D">
      <w:pPr>
        <w:spacing w:line="264" w:lineRule="auto"/>
        <w:ind w:firstLine="0"/>
        <w:jc w:val="center"/>
        <w:rPr>
          <w:rFonts w:ascii="Arial" w:eastAsia="Times New Roman" w:hAnsi="Arial" w:cs="Arial"/>
          <w:szCs w:val="28"/>
          <w:lang w:val="uk-UA" w:eastAsia="ru-RU"/>
        </w:rPr>
      </w:pPr>
    </w:p>
    <w:p w14:paraId="197F890E" w14:textId="77777777" w:rsidR="00D32A0F" w:rsidRPr="00511005" w:rsidRDefault="00D32A0F" w:rsidP="003A292D">
      <w:pPr>
        <w:spacing w:line="264" w:lineRule="auto"/>
        <w:ind w:firstLine="0"/>
        <w:jc w:val="center"/>
        <w:rPr>
          <w:rFonts w:ascii="Arial" w:eastAsia="Times New Roman" w:hAnsi="Arial" w:cs="Arial"/>
          <w:szCs w:val="28"/>
          <w:lang w:val="uk-UA" w:eastAsia="ru-RU"/>
        </w:rPr>
      </w:pPr>
    </w:p>
    <w:p w14:paraId="5FFF4782" w14:textId="77777777" w:rsidR="00220D3E" w:rsidRPr="00511005" w:rsidRDefault="00220D3E" w:rsidP="003A292D">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Півторак Анастасія Олександрівна</w:t>
      </w:r>
    </w:p>
    <w:p w14:paraId="430843E3"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1-го курсу </w:t>
      </w:r>
    </w:p>
    <w:p w14:paraId="2F212220"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359F16F" w14:textId="3160AD5C" w:rsidR="00220D3E"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7C8FFCB9" w14:textId="77777777" w:rsidR="00220D3E" w:rsidRPr="00511005" w:rsidRDefault="00220D3E" w:rsidP="003A292D">
      <w:pPr>
        <w:spacing w:line="264" w:lineRule="auto"/>
        <w:ind w:firstLine="0"/>
        <w:jc w:val="left"/>
        <w:rPr>
          <w:rFonts w:ascii="Arial" w:eastAsia="Times New Roman" w:hAnsi="Arial" w:cs="Arial"/>
          <w:szCs w:val="28"/>
          <w:lang w:val="uk-UA" w:eastAsia="ru-RU"/>
        </w:rPr>
      </w:pPr>
    </w:p>
    <w:p w14:paraId="3ADF3766" w14:textId="77777777" w:rsidR="00220D3E" w:rsidRPr="00511005" w:rsidRDefault="00220D3E"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ПРАВА ТА ОБОВʼЯЗКИ ІНСТИГАТОРА У СУДОВОМУ ПРОЦЕСІ XVI СТОЛІТТЯ У ВЕЛИКОМУ КНЯЗІВСТВІ ЛИТОВСЬКОМУ</w:t>
      </w:r>
    </w:p>
    <w:p w14:paraId="205D1701"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Велике князівство Литовське як організаційно-правова держава існувало протягом 1236-1795 рр. В процесі розвитку до її територіального складу входили різні частини держав, зокрема України. Слід наголосити, що </w:t>
      </w:r>
      <w:r w:rsidRPr="00511005">
        <w:rPr>
          <w:rFonts w:ascii="Arial" w:eastAsia="Times New Roman" w:hAnsi="Arial" w:cs="Arial"/>
          <w:szCs w:val="28"/>
          <w:lang w:val="uk-UA" w:eastAsia="ru-RU"/>
        </w:rPr>
        <w:lastRenderedPageBreak/>
        <w:t>змінювалась форма правління від спадкової до виборної монархії, відбувалась реформа права, поширювались нові філософські ідеї. У XVI столітті відбувались фундаментальні правові, соціальні, економічні та політичні трансформації, що прямо пов’язані із приєднанням Великого князівства Литовського до Корони польської у Річь Посполиту. Тому вищенаведені політичні чинники, соціальні фактори та інші умови розвитку суспільства прямо впливали на формування та еволюцію суспільно-правових відносин у судовому процесі</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4, с. 3</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p>
    <w:p w14:paraId="2E4837C3"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Завданням нашого дослідження є визначення причин та особливостей формування витоків інституту прокуратури в українських землях у складі Великого князівства Литовського, що у свою чергу допоможе краще зрозуміти подальші процеси становлення вітчизняного інституту прокуратури. </w:t>
      </w:r>
    </w:p>
    <w:p w14:paraId="239008BC"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b/>
          <w:bCs/>
          <w:szCs w:val="28"/>
          <w:lang w:val="uk-UA" w:eastAsia="ru-RU"/>
        </w:rPr>
        <w:t xml:space="preserve">Виклад основного матеріалу. </w:t>
      </w:r>
      <w:r w:rsidRPr="00511005">
        <w:rPr>
          <w:rFonts w:ascii="Arial" w:eastAsia="Times New Roman" w:hAnsi="Arial" w:cs="Arial"/>
          <w:szCs w:val="28"/>
          <w:lang w:val="uk-UA" w:eastAsia="ru-RU"/>
        </w:rPr>
        <w:t>Якщо розглядати судову систему на території Великого князівства Литовського протягом XVI ст., слід зазначити, що з 1529 року там з’явився унікальний збірник законів – Статут Великого князівства, який перевидавався у 1566 та 1588 роках. Кодифікація права Великого князівства Литовського зосереджувалась саме у вказаних статутах, які були основним кодексом права для населення навіть після укладення Люблінської унії</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1, с. 38</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Щодо згаданих Статутів, то основними джерелами права для їх розробки були: звичаєве право, судова практика на місцях, «Руська правда», а також польські судебники, Магдебурзьке право та інші держав. [2, с. 50].</w:t>
      </w:r>
    </w:p>
    <w:p w14:paraId="67ABE66B"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Паралельно з реформою права у Великому князівстві Литовському, у XVI ст. відбулась і судова реформа, впровадження якої вимагали більш за все шляхтичі Волині, і яка передбачала докорінних змін в існуючій</w:t>
      </w:r>
      <w:r w:rsidRPr="00511005">
        <w:rPr>
          <w:rFonts w:ascii="Arial" w:eastAsia="Times New Roman" w:hAnsi="Arial" w:cs="Arial"/>
          <w:szCs w:val="28"/>
          <w:lang w:val="uk-UA" w:eastAsia="ru-RU"/>
        </w:rPr>
        <w:tab/>
        <w:t xml:space="preserve"> судовій системі і судочинства у цілому. Перш за все, судовий процес повинен був набути рис інквізиційного характеру, тобто перетворитись з суту змагальницького на розшуковий. </w:t>
      </w:r>
    </w:p>
    <w:p w14:paraId="48B373B5"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 1566 року, в українських землях, у шляхетських судах продовжує закріплюватись практика представництва сторін у судді. Представники сторін по справі іменувалися прокураторами або речниками. До 1566 року судовому процесу були притаманні на наступні риси: приватно-позовний характер, що концентрувався у справах пов’язаних із важкими злочинами; нерівність у правосудді, відповідно до різних суспільних груп, яка полягає у нерівному обсязі процесуальних прав; діяльність та поширення станових судів; дуалістичний характер у співіснуванні категорій звичаєвого та загального процесу. </w:t>
      </w:r>
    </w:p>
    <w:p w14:paraId="276AC29E"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Для покрашення судочинства шляхта наполягала на негайному впровадження кардинальних реформ до укладення Люблінської унії. Заплановані зміни дозволяли шляхтичам отримати певні гарантії захисту своїх майнових інтересів. При розробці проекту вони орієнтувались на </w:t>
      </w:r>
      <w:r w:rsidRPr="00511005">
        <w:rPr>
          <w:rFonts w:ascii="Arial" w:eastAsia="Times New Roman" w:hAnsi="Arial" w:cs="Arial"/>
          <w:szCs w:val="28"/>
          <w:lang w:val="uk-UA" w:eastAsia="ru-RU"/>
        </w:rPr>
        <w:lastRenderedPageBreak/>
        <w:t>здобутки шляхти польської, особливо у справах пов’язаних із злочинами у коронному праві від 1565 року. У ВКЛ перша його номінація фіксується 1586 року.</w:t>
      </w:r>
    </w:p>
    <w:p w14:paraId="45B8F566"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XVI столітті, на українських землях у складі ВКЛ почало відбуватися формування спеціалістів, що зосереджувалися у правовій сфері. Зазначені спеціалісти та їх повноваження формувалися в окремий інститут – «інстигаторів». У той же час, спочатку в Польщі, відбувалося окреслення поняття «інстигатор» у розумінні «обвинувача», який виступав як високий посадовець тимчасовго призначення, для спостереженням за конкретною справою у суді.</w:t>
      </w:r>
    </w:p>
    <w:p w14:paraId="63AB2743"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Назва «інстигатор» походить від латинського слова «instigare» – підбурювати, спонукати, збуджувати. Щоб виокремити позивача, який представляє державний інтерес в судовому процесі використовувався у правових джерелах основоположний вираз «pars instigans» як для кримінальних, так і цивільних справ. У разі представлення державного інтересу, позивач відповідно наділявся додатком, задля вирізнення від звичайного pars instigans. У подальшому відбулося скорочення, і тоді особу, яка виступала у публічному процесі почали називати «інстигатором»[3, с. 162].</w:t>
      </w:r>
    </w:p>
    <w:p w14:paraId="380E340B"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Повноваження інстигатора були різними і змінювались у різні періоди. Так, до них прийнято відносити наступні: нагляд за дотриманням законів у судових інстанціях; нагляд та збудження справ пов’язаних із злочинами проти держави та королівських інтересів, мається на увазі – королівські маєтності; привілеї – кадукі, щодо отримання конфіскованих маєтків чи майна тощо; участь у судовому процесі з боку однієї сторони, у кримінальних справах, щодо захисту інтересів держави. За конституціями сеймів 1588, 1589, 1591 і 1598 років компетенція інстигатора розширюється: збільшується категорія осіб, яких він міг позивати, а також коло судів, де він мав голос. Так, наприклад, з кінця XVI ст. до його чинності потрапляє Радомський трибунал.</w:t>
      </w:r>
    </w:p>
    <w:p w14:paraId="13EF69C2"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Інстигатори займали основоположне місце у вирішенні справ пов’язаних із злочинами про вбивства, які у часи Великого князівства Литовського, а також наглядали за посяганням на спокій та недоторканістю сеймів, суддів, офіційних осіб чи королівських послів, викрадення, фальшування монет, зґвалтування тощо.</w:t>
      </w:r>
    </w:p>
    <w:p w14:paraId="62B8F032"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 часів поєднання Корони Польської та Великого Князівства Литовського у Річ Посполиту, інстигатор мав звертатися зі скаргою до суду, у разі, якщо потерпілі відмовлялися від підтримки обвинувачення через помсту у кримінальних справах, що стосуються грабежів, розбоїв, крадіжок тощо. Отже, інстигатору відводилася окрема частка повноважень, що мали вагомий ієрархічний влив у судочинстві. Однак, у XVI ст. не визначалося єдиної організації управління інстигаторів, як органу державної влади. </w:t>
      </w:r>
      <w:r w:rsidRPr="00511005">
        <w:rPr>
          <w:rFonts w:ascii="Arial" w:eastAsia="Times New Roman" w:hAnsi="Arial" w:cs="Arial"/>
          <w:szCs w:val="28"/>
          <w:lang w:val="uk-UA" w:eastAsia="ru-RU"/>
        </w:rPr>
        <w:lastRenderedPageBreak/>
        <w:t>Призначення інстигаторів відбувалося з врахуванням думки короля або вищих дигнітаріїв [3, с. 162].</w:t>
      </w:r>
    </w:p>
    <w:p w14:paraId="6BE39B42"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До розширеного складу його обов’язків входили окрім захисту та обвинувачення у судді, ще роль представника суду, що також неодмінно пов’язано з іншими інститутами, наприклад уповноваженого, речника тощо. Статути 1566 та 1588 років мали вагомий вплив на формування правового середовища у Великому князівстві Литовському, а також слугували фундаментальними джерелами для судової реформи. </w:t>
      </w:r>
    </w:p>
    <w:p w14:paraId="15C81ECD" w14:textId="39472256"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 основних обов’язків інстигаторів кінця XVI ст. вчені відносять: контроль доходів монарха польського або литовського від столових маєтностей; збудження справ у разі образи монарха; виступ стороною обвинувачення за умов державної зради; догляд за порушеннями посадових осіб. Інстинатор мав дорадчий голос в королівському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та референдарському суді, звітува та підпорядковувався канцлеру. </w:t>
      </w:r>
    </w:p>
    <w:p w14:paraId="395260A3"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 створенням найвищої апеляційної інстанції для шляхетських судів трибуналу Коронного у 1578 р. та. Великого князівства Литовського у 1581 р. виокремлювали відповідно Трибунальського інстигатора, що займався підтримкою звинувачення, забезпечення безпеки в суді та на місці, де відбувалося судове засідання, а також займався стягуванням сплати із сторін [5, с. 30].</w:t>
      </w:r>
    </w:p>
    <w:p w14:paraId="28520F9A" w14:textId="79269938"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Отже, підбиваючи підсумки з наведеного, слід зазначити, що в добу існування Великого князівства Литовського створення та діяльність інстигаторів можна вважати певним поштовхом для подальшого формування інституту «прокуратури». Заснування посади інстигатора базувалось на принципах закріплених у статутах ВКЛ та конституціях сеймових. </w:t>
      </w:r>
    </w:p>
    <w:p w14:paraId="58D0FBA5" w14:textId="77777777" w:rsidR="00D32A0F" w:rsidRPr="00511005" w:rsidRDefault="00D32A0F" w:rsidP="00D32A0F">
      <w:pPr>
        <w:spacing w:line="264" w:lineRule="auto"/>
        <w:rPr>
          <w:rFonts w:ascii="Arial" w:eastAsia="Times New Roman" w:hAnsi="Arial" w:cs="Arial"/>
          <w:szCs w:val="28"/>
          <w:lang w:val="uk-UA" w:eastAsia="ru-RU"/>
        </w:rPr>
      </w:pPr>
    </w:p>
    <w:p w14:paraId="6F2D5E3C" w14:textId="6F428388" w:rsidR="00220D3E"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103D5DFB" w14:textId="4576E731" w:rsidR="00D32A0F" w:rsidRPr="00511005" w:rsidRDefault="00D32A0F" w:rsidP="00D32A0F">
      <w:pPr>
        <w:numPr>
          <w:ilvl w:val="0"/>
          <w:numId w:val="47"/>
        </w:num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Суд і судочинство на </w:t>
      </w:r>
      <w:r w:rsidRPr="00511005">
        <w:rPr>
          <w:rFonts w:ascii="Arial" w:eastAsia="Times New Roman" w:hAnsi="Arial" w:cs="Arial"/>
          <w:szCs w:val="28"/>
          <w:lang w:eastAsia="ru-RU"/>
        </w:rPr>
        <w:t>українських землях у XIV-XVI ст. : Монографія Музиченко П., Єфремова Н., Долматова та ін.</w:t>
      </w:r>
      <w:r w:rsidRPr="00511005">
        <w:rPr>
          <w:rFonts w:ascii="Arial" w:eastAsia="Times New Roman" w:hAnsi="Arial" w:cs="Arial"/>
          <w:szCs w:val="28"/>
          <w:lang w:val="uk-UA" w:eastAsia="ru-RU"/>
        </w:rPr>
        <w:t xml:space="preserve"> Одеса, 2000.: Ви-во «Астро Принт». С. 177.</w:t>
      </w:r>
    </w:p>
    <w:p w14:paraId="1A949741" w14:textId="066FF602" w:rsidR="00220D3E" w:rsidRPr="00511005" w:rsidRDefault="00220D3E" w:rsidP="00D32A0F">
      <w:pPr>
        <w:numPr>
          <w:ilvl w:val="0"/>
          <w:numId w:val="47"/>
        </w:num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Чайковський А.С., Копиленко О.Л., Кривоніс В.М., Свистунов В.В., Трофанчук Г.І. Хрестоматія з історії держави і права України: Навч.посіб. – К.: Юрінком Інтер. 2003. С. 656. </w:t>
      </w:r>
    </w:p>
    <w:p w14:paraId="517B4844" w14:textId="68A3660C" w:rsidR="00220D3E" w:rsidRPr="00511005" w:rsidRDefault="00220D3E" w:rsidP="00D32A0F">
      <w:pPr>
        <w:numPr>
          <w:ilvl w:val="0"/>
          <w:numId w:val="47"/>
        </w:num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Твердохліб М.Г. Історико-правові участі прокурора у кримінальному провадженні в суді на українських землях. </w:t>
      </w:r>
      <w:r w:rsidRPr="00511005">
        <w:rPr>
          <w:rFonts w:ascii="Arial" w:eastAsia="Times New Roman" w:hAnsi="Arial" w:cs="Arial"/>
          <w:i/>
          <w:iCs/>
          <w:szCs w:val="28"/>
          <w:lang w:val="uk-UA" w:eastAsia="ru-RU"/>
        </w:rPr>
        <w:t>Науковий вісник</w:t>
      </w:r>
      <w:r w:rsidRPr="00511005">
        <w:rPr>
          <w:rFonts w:ascii="Arial" w:eastAsia="Times New Roman" w:hAnsi="Arial" w:cs="Arial"/>
          <w:szCs w:val="28"/>
          <w:lang w:val="uk-UA" w:eastAsia="ru-RU"/>
        </w:rPr>
        <w:t xml:space="preserve"> Ужгородського національного університету. Серія Прнаво. Вип. 32. Том 3. 2015. С. 161-164. </w:t>
      </w:r>
      <w:hyperlink r:id="rId129" w:history="1">
        <w:r w:rsidRPr="00511005">
          <w:rPr>
            <w:rFonts w:ascii="Arial" w:eastAsia="Times New Roman" w:hAnsi="Arial" w:cs="Arial"/>
            <w:szCs w:val="28"/>
            <w:lang w:val="pl-PL" w:eastAsia="ru-RU"/>
          </w:rPr>
          <w:t>URL</w:t>
        </w:r>
        <w:r w:rsidRPr="00511005">
          <w:rPr>
            <w:rFonts w:ascii="Arial" w:eastAsia="Times New Roman" w:hAnsi="Arial" w:cs="Arial"/>
            <w:szCs w:val="28"/>
            <w:lang w:val="uk-UA" w:eastAsia="ru-RU"/>
          </w:rPr>
          <w:t>: https://dspace.uzhnu.edu.ua/jspui/bitstream/lib/4733/1/ІСТОРИКО-ПРАВОВІ%20ВИТОКИ%20УЧАСТІ%20ПРОКУРОРА.pdf</w:t>
        </w:r>
      </w:hyperlink>
      <w:r w:rsidR="007B2628" w:rsidRPr="00511005">
        <w:rPr>
          <w:rFonts w:ascii="Arial" w:eastAsia="Times New Roman" w:hAnsi="Arial" w:cs="Arial"/>
          <w:szCs w:val="28"/>
          <w:lang w:val="uk-UA" w:eastAsia="ru-RU"/>
        </w:rPr>
        <w:t xml:space="preserve"> </w:t>
      </w:r>
    </w:p>
    <w:p w14:paraId="019046A1" w14:textId="77777777" w:rsidR="00220D3E" w:rsidRPr="00511005" w:rsidRDefault="00220D3E" w:rsidP="00D32A0F">
      <w:pPr>
        <w:numPr>
          <w:ilvl w:val="0"/>
          <w:numId w:val="47"/>
        </w:num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Шапошник А.С. Історико-правові аспекти становлення та розвитку органів прокуратури на українських землях. Академічні візії. Вип. 12. 2022. С. 1-10.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30" w:history="1">
        <w:r w:rsidRPr="00511005">
          <w:rPr>
            <w:rFonts w:ascii="Arial" w:eastAsia="Times New Roman" w:hAnsi="Arial" w:cs="Arial"/>
            <w:szCs w:val="28"/>
            <w:lang w:val="uk-UA" w:eastAsia="ru-RU"/>
          </w:rPr>
          <w:t>https://zenodo.org/records/10078093</w:t>
        </w:r>
      </w:hyperlink>
      <w:r w:rsidRPr="00511005">
        <w:rPr>
          <w:rFonts w:ascii="Arial" w:eastAsia="Times New Roman" w:hAnsi="Arial" w:cs="Arial"/>
          <w:szCs w:val="28"/>
          <w:lang w:val="uk-UA" w:eastAsia="ru-RU"/>
        </w:rPr>
        <w:t xml:space="preserve"> </w:t>
      </w:r>
    </w:p>
    <w:p w14:paraId="16F22D83" w14:textId="010595CE" w:rsidR="00220D3E" w:rsidRPr="00511005" w:rsidRDefault="00220D3E" w:rsidP="00D32A0F">
      <w:pPr>
        <w:numPr>
          <w:ilvl w:val="0"/>
          <w:numId w:val="47"/>
        </w:num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Є</w:t>
      </w:r>
      <w:r w:rsidRPr="00511005">
        <w:rPr>
          <w:rFonts w:ascii="Arial" w:eastAsia="Times New Roman" w:hAnsi="Arial" w:cs="Arial"/>
          <w:szCs w:val="28"/>
          <w:lang w:eastAsia="ru-RU"/>
        </w:rPr>
        <w:t>фремова Н. Представництво в судовому процесі та його</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регламентація в Статуті Великого князівства Литовського 1588 р. Збірник матер. Міжнар. Науково-пр. конф. «Верховенство права та правова держава» м. Ужгород, 16-17 </w:t>
      </w:r>
      <w:proofErr w:type="gramStart"/>
      <w:r w:rsidRPr="00511005">
        <w:rPr>
          <w:rFonts w:ascii="Arial" w:eastAsia="Times New Roman" w:hAnsi="Arial" w:cs="Arial"/>
          <w:szCs w:val="28"/>
          <w:lang w:eastAsia="ru-RU"/>
        </w:rPr>
        <w:t>жовтня.Ужгородський</w:t>
      </w:r>
      <w:proofErr w:type="gramEnd"/>
      <w:r w:rsidRPr="00511005">
        <w:rPr>
          <w:rFonts w:ascii="Arial" w:eastAsia="Times New Roman" w:hAnsi="Arial" w:cs="Arial"/>
          <w:szCs w:val="28"/>
          <w:lang w:eastAsia="ru-RU"/>
        </w:rPr>
        <w:t xml:space="preserve"> нац. ун-т, 2015. С. 27-30.;</w:t>
      </w:r>
    </w:p>
    <w:p w14:paraId="63C8B5B5" w14:textId="77777777" w:rsidR="00220D3E" w:rsidRPr="00511005" w:rsidRDefault="00220D3E" w:rsidP="003A292D">
      <w:pPr>
        <w:spacing w:line="264" w:lineRule="auto"/>
        <w:ind w:firstLine="0"/>
        <w:jc w:val="left"/>
        <w:rPr>
          <w:rFonts w:ascii="Arial" w:eastAsia="Times New Roman" w:hAnsi="Arial" w:cs="Arial"/>
          <w:b/>
          <w:bCs/>
          <w:szCs w:val="28"/>
          <w:lang w:val="uk-UA" w:eastAsia="ru-RU"/>
        </w:rPr>
      </w:pPr>
    </w:p>
    <w:p w14:paraId="25EFD229" w14:textId="6176F117" w:rsidR="00220D3E" w:rsidRPr="00511005" w:rsidRDefault="007B2628" w:rsidP="003A292D">
      <w:pPr>
        <w:spacing w:line="264" w:lineRule="auto"/>
        <w:ind w:firstLine="0"/>
        <w:jc w:val="left"/>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Велике князівство Литовське, Литовські статути, інстигатори, судова система, правовий статус прокурора, нагляд за судочинством, правовий розвиток України.</w:t>
      </w:r>
    </w:p>
    <w:p w14:paraId="7C5E322D" w14:textId="70EE9D6C" w:rsidR="00220D3E" w:rsidRPr="00511005" w:rsidRDefault="007B2628" w:rsidP="003A292D">
      <w:pPr>
        <w:spacing w:line="264" w:lineRule="auto"/>
        <w:ind w:firstLine="0"/>
        <w:jc w:val="left"/>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Grand Duchy of Lithuania, Lithuanian statutes, instigators, judicial system, legal status of the prosecutor, supervision of judicial proceedings, legal development of Ukraine</w:t>
      </w:r>
      <w:r w:rsidR="00220D3E" w:rsidRPr="00511005">
        <w:rPr>
          <w:rFonts w:ascii="Arial" w:eastAsia="Times New Roman" w:hAnsi="Arial" w:cs="Arial"/>
          <w:szCs w:val="28"/>
          <w:lang w:val="uk-UA" w:eastAsia="ru-RU"/>
        </w:rPr>
        <w:t>.</w:t>
      </w:r>
    </w:p>
    <w:p w14:paraId="44B7ECE5" w14:textId="3B729521" w:rsidR="00220D3E" w:rsidRPr="00511005" w:rsidRDefault="007B2628" w:rsidP="003A292D">
      <w:pPr>
        <w:spacing w:line="264" w:lineRule="auto"/>
        <w:ind w:firstLine="0"/>
        <w:jc w:val="left"/>
        <w:rPr>
          <w:rFonts w:ascii="Arial" w:eastAsia="Times New Roman" w:hAnsi="Arial" w:cs="Arial"/>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szCs w:val="28"/>
          <w:lang w:val="uk-UA" w:eastAsia="ru-RU"/>
        </w:rPr>
        <w:t>к.ю.н., доцент Єфремова Н.В.</w:t>
      </w:r>
    </w:p>
    <w:p w14:paraId="5F07F378" w14:textId="4110ADEF" w:rsidR="00220D3E" w:rsidRPr="00511005" w:rsidRDefault="00220D3E" w:rsidP="003A292D">
      <w:pPr>
        <w:spacing w:line="264" w:lineRule="auto"/>
        <w:ind w:firstLine="0"/>
        <w:jc w:val="left"/>
        <w:rPr>
          <w:rFonts w:ascii="Arial" w:eastAsia="Times New Roman" w:hAnsi="Arial" w:cs="Arial"/>
          <w:b/>
          <w:bCs/>
          <w:szCs w:val="28"/>
          <w:lang w:val="uk-UA" w:eastAsia="ru-RU"/>
        </w:rPr>
      </w:pPr>
    </w:p>
    <w:p w14:paraId="4F141A1C" w14:textId="77777777" w:rsidR="00220D3E" w:rsidRPr="00511005" w:rsidRDefault="00220D3E" w:rsidP="003A292D">
      <w:pPr>
        <w:spacing w:line="264" w:lineRule="auto"/>
        <w:ind w:firstLine="0"/>
        <w:jc w:val="center"/>
        <w:rPr>
          <w:rFonts w:ascii="Arial" w:eastAsia="Calibri" w:hAnsi="Arial" w:cs="Arial"/>
          <w:b/>
          <w:bCs/>
          <w:szCs w:val="28"/>
          <w:lang w:val="uk-UA" w:eastAsia="ru-RU"/>
        </w:rPr>
      </w:pPr>
      <w:r w:rsidRPr="00511005">
        <w:rPr>
          <w:rFonts w:ascii="Arial" w:eastAsia="Calibri" w:hAnsi="Arial" w:cs="Arial"/>
          <w:b/>
          <w:bCs/>
          <w:szCs w:val="28"/>
          <w:lang w:val="uk-UA" w:eastAsia="ru-RU"/>
        </w:rPr>
        <w:t>Сакара Дар’я Вікторівна</w:t>
      </w:r>
    </w:p>
    <w:p w14:paraId="513A8401" w14:textId="2C76B2BA" w:rsidR="00220D3E" w:rsidRPr="00511005" w:rsidRDefault="00D32A0F" w:rsidP="003A292D">
      <w:pPr>
        <w:spacing w:line="264" w:lineRule="auto"/>
        <w:ind w:firstLine="0"/>
        <w:jc w:val="center"/>
        <w:rPr>
          <w:rFonts w:ascii="Arial" w:eastAsia="Calibri" w:hAnsi="Arial" w:cs="Arial"/>
          <w:szCs w:val="28"/>
          <w:lang w:val="uk-UA" w:eastAsia="ru-RU"/>
        </w:rPr>
      </w:pPr>
      <w:r w:rsidRPr="00511005">
        <w:rPr>
          <w:rFonts w:ascii="Arial" w:eastAsia="Calibri" w:hAnsi="Arial" w:cs="Arial"/>
          <w:szCs w:val="28"/>
          <w:lang w:val="uk-UA" w:eastAsia="ru-RU"/>
        </w:rPr>
        <w:t>с</w:t>
      </w:r>
      <w:r w:rsidR="00220D3E" w:rsidRPr="00511005">
        <w:rPr>
          <w:rFonts w:ascii="Arial" w:eastAsia="Calibri" w:hAnsi="Arial" w:cs="Arial"/>
          <w:szCs w:val="28"/>
          <w:lang w:val="uk-UA" w:eastAsia="ru-RU"/>
        </w:rPr>
        <w:t>тудентка 1-го курсу факультету судового та міжнардного права</w:t>
      </w:r>
    </w:p>
    <w:p w14:paraId="4CE7006A" w14:textId="1FE76465" w:rsidR="00220D3E" w:rsidRPr="00511005" w:rsidRDefault="007B2628" w:rsidP="003A292D">
      <w:pPr>
        <w:spacing w:line="264" w:lineRule="auto"/>
        <w:ind w:firstLine="0"/>
        <w:jc w:val="center"/>
        <w:rPr>
          <w:rFonts w:ascii="Arial" w:eastAsia="Calibri" w:hAnsi="Arial" w:cs="Arial"/>
          <w:szCs w:val="28"/>
          <w:lang w:val="uk-UA" w:eastAsia="ru-RU"/>
        </w:rPr>
      </w:pPr>
      <w:r w:rsidRPr="00511005">
        <w:rPr>
          <w:rFonts w:ascii="Arial" w:eastAsia="Calibri" w:hAnsi="Arial" w:cs="Arial"/>
          <w:szCs w:val="28"/>
          <w:lang w:val="uk-UA" w:eastAsia="ru-RU"/>
        </w:rPr>
        <w:t>Національного університету «Одеська юридична академія»</w:t>
      </w:r>
    </w:p>
    <w:p w14:paraId="5507CB7B" w14:textId="77777777" w:rsidR="00220D3E" w:rsidRPr="00511005" w:rsidRDefault="00220D3E" w:rsidP="003A292D">
      <w:pPr>
        <w:spacing w:line="264" w:lineRule="auto"/>
        <w:ind w:firstLine="0"/>
        <w:jc w:val="center"/>
        <w:rPr>
          <w:rFonts w:ascii="Arial" w:eastAsia="Calibri" w:hAnsi="Arial" w:cs="Arial"/>
          <w:szCs w:val="28"/>
          <w:lang w:val="uk-UA" w:eastAsia="ru-RU"/>
        </w:rPr>
      </w:pPr>
    </w:p>
    <w:p w14:paraId="271619E2" w14:textId="77777777" w:rsidR="00220D3E" w:rsidRPr="00511005" w:rsidRDefault="00220D3E" w:rsidP="003A292D">
      <w:pPr>
        <w:spacing w:line="264" w:lineRule="auto"/>
        <w:ind w:firstLine="0"/>
        <w:jc w:val="center"/>
        <w:rPr>
          <w:rFonts w:ascii="Arial" w:eastAsia="Times New Roman" w:hAnsi="Arial" w:cs="Arial"/>
          <w:b/>
          <w:szCs w:val="28"/>
          <w:shd w:val="clear" w:color="auto" w:fill="FFFFFF"/>
          <w:lang w:eastAsia="ru-RU"/>
        </w:rPr>
      </w:pPr>
      <w:r w:rsidRPr="00511005">
        <w:rPr>
          <w:rFonts w:ascii="Arial" w:eastAsia="Times New Roman" w:hAnsi="Arial" w:cs="Arial"/>
          <w:b/>
          <w:szCs w:val="28"/>
          <w:shd w:val="clear" w:color="auto" w:fill="FFFFFF"/>
          <w:lang w:eastAsia="ru-RU"/>
        </w:rPr>
        <w:t>РОЛЬ ВОЗНОГО У СУДОВОМУ ПРОЦЕСІ XVI СТОЛІТТЯ У ВЕЛИКОМУ КНЯЗІВСТВІ ЛИТОВСЬКОМУ</w:t>
      </w:r>
    </w:p>
    <w:p w14:paraId="15EBB1AB" w14:textId="77777777" w:rsidR="00220D3E" w:rsidRPr="00511005" w:rsidRDefault="00220D3E" w:rsidP="003A292D">
      <w:pPr>
        <w:spacing w:line="264" w:lineRule="auto"/>
        <w:ind w:firstLine="0"/>
        <w:jc w:val="center"/>
        <w:rPr>
          <w:rFonts w:ascii="Arial" w:eastAsia="Times New Roman" w:hAnsi="Arial" w:cs="Arial"/>
          <w:b/>
          <w:szCs w:val="28"/>
          <w:shd w:val="clear" w:color="auto" w:fill="FFFFFF"/>
          <w:lang w:eastAsia="ru-RU"/>
        </w:rPr>
      </w:pPr>
    </w:p>
    <w:p w14:paraId="0E0BBA4D" w14:textId="77777777" w:rsidR="00220D3E" w:rsidRPr="00511005" w:rsidRDefault="00220D3E" w:rsidP="00D32A0F">
      <w:pPr>
        <w:spacing w:line="264" w:lineRule="auto"/>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eastAsia="ru-RU"/>
        </w:rPr>
        <w:t>У XVI столітті Велике князівство Литовське було одним із найбільших і найважливіших державних утворень Східної Європи, з розвиненою системою управління та судочинства. Одним з ключових елементів цієї системи був судовий виконавець — возний. Його роль у правовій системі того часу була суттєвою, адже він виконував не лише адміністративні, а й судові функції, що надавали йому певний вплив на хід судових процесів.</w:t>
      </w:r>
    </w:p>
    <w:p w14:paraId="72F6D2E4" w14:textId="77777777" w:rsidR="00220D3E" w:rsidRPr="00511005" w:rsidRDefault="00220D3E" w:rsidP="00D32A0F">
      <w:pPr>
        <w:spacing w:line="264" w:lineRule="auto"/>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eastAsia="ru-RU"/>
        </w:rPr>
        <w:t>Велике князівство Литовське на той час мало власну систему судочинства, яка суттєво відрізнялася від інших європейських правових систем. Возний був посадовою особою, що діяла на рівні органів місцевого самоврядування та судової влади. Згідно з Литовським статутом, возний відповідав за виконання наказів суду, охорону порядку під час судових засідань, а також за забезпечення виконання судових рішень.</w:t>
      </w:r>
    </w:p>
    <w:p w14:paraId="02057A81" w14:textId="77777777" w:rsidR="00220D3E" w:rsidRPr="00511005" w:rsidRDefault="00220D3E" w:rsidP="00D32A0F">
      <w:pPr>
        <w:spacing w:line="264" w:lineRule="auto"/>
        <w:rPr>
          <w:rFonts w:ascii="Arial" w:eastAsia="Times New Roman" w:hAnsi="Arial" w:cs="Arial"/>
          <w:szCs w:val="28"/>
          <w:shd w:val="clear" w:color="auto" w:fill="FFFFFF"/>
          <w:lang w:eastAsia="ru-RU"/>
        </w:rPr>
      </w:pPr>
      <w:r w:rsidRPr="00511005">
        <w:rPr>
          <w:rFonts w:ascii="Arial" w:eastAsia="Times New Roman" w:hAnsi="Arial" w:cs="Arial"/>
          <w:bCs/>
          <w:szCs w:val="28"/>
          <w:shd w:val="clear" w:color="auto" w:fill="FFFFFF"/>
          <w:lang w:eastAsia="ru-RU"/>
        </w:rPr>
        <w:t>Основні обов'язки та функції Возного:</w:t>
      </w:r>
    </w:p>
    <w:p w14:paraId="27395C24" w14:textId="77777777" w:rsidR="00220D3E" w:rsidRPr="00511005" w:rsidRDefault="00220D3E" w:rsidP="00D32A0F">
      <w:pPr>
        <w:numPr>
          <w:ilvl w:val="0"/>
          <w:numId w:val="48"/>
        </w:numPr>
        <w:spacing w:line="264" w:lineRule="auto"/>
        <w:ind w:left="0" w:firstLine="709"/>
        <w:jc w:val="left"/>
        <w:rPr>
          <w:rFonts w:ascii="Arial" w:eastAsia="Times New Roman" w:hAnsi="Arial" w:cs="Arial"/>
          <w:szCs w:val="28"/>
          <w:shd w:val="clear" w:color="auto" w:fill="FFFFFF"/>
          <w:lang w:eastAsia="ru-RU"/>
        </w:rPr>
      </w:pPr>
      <w:r w:rsidRPr="00511005">
        <w:rPr>
          <w:rFonts w:ascii="Arial" w:eastAsia="Times New Roman" w:hAnsi="Arial" w:cs="Arial"/>
          <w:bCs/>
          <w:szCs w:val="28"/>
          <w:shd w:val="clear" w:color="auto" w:fill="FFFFFF"/>
          <w:lang w:eastAsia="ru-RU"/>
        </w:rPr>
        <w:t>Виконання судових рішень.</w:t>
      </w:r>
      <w:r w:rsidRPr="00511005">
        <w:rPr>
          <w:rFonts w:ascii="Arial" w:eastAsia="Times New Roman" w:hAnsi="Arial" w:cs="Arial"/>
          <w:szCs w:val="28"/>
          <w:shd w:val="clear" w:color="auto" w:fill="FFFFFF"/>
          <w:lang w:eastAsia="ru-RU"/>
        </w:rPr>
        <w:t xml:space="preserve"> Основним завданням возного було забезпечення виконання наказів суду. Це включало, зокрема, примусове виконання рішень </w:t>
      </w:r>
      <w:proofErr w:type="gramStart"/>
      <w:r w:rsidRPr="00511005">
        <w:rPr>
          <w:rFonts w:ascii="Arial" w:eastAsia="Times New Roman" w:hAnsi="Arial" w:cs="Arial"/>
          <w:szCs w:val="28"/>
          <w:shd w:val="clear" w:color="auto" w:fill="FFFFFF"/>
          <w:lang w:eastAsia="ru-RU"/>
        </w:rPr>
        <w:t>у справах</w:t>
      </w:r>
      <w:proofErr w:type="gramEnd"/>
      <w:r w:rsidRPr="00511005">
        <w:rPr>
          <w:rFonts w:ascii="Arial" w:eastAsia="Times New Roman" w:hAnsi="Arial" w:cs="Arial"/>
          <w:szCs w:val="28"/>
          <w:shd w:val="clear" w:color="auto" w:fill="FFFFFF"/>
          <w:lang w:eastAsia="ru-RU"/>
        </w:rPr>
        <w:t xml:space="preserve"> про стягнення боргів, виконання вироків у кримінальних справах, а також реалізацію цивільних судових актів.</w:t>
      </w:r>
    </w:p>
    <w:p w14:paraId="5E908A2D" w14:textId="77777777" w:rsidR="00220D3E" w:rsidRPr="00511005" w:rsidRDefault="00220D3E" w:rsidP="00D32A0F">
      <w:pPr>
        <w:numPr>
          <w:ilvl w:val="0"/>
          <w:numId w:val="48"/>
        </w:numPr>
        <w:spacing w:line="264" w:lineRule="auto"/>
        <w:ind w:left="0" w:firstLine="709"/>
        <w:jc w:val="left"/>
        <w:rPr>
          <w:rFonts w:ascii="Arial" w:eastAsia="Times New Roman" w:hAnsi="Arial" w:cs="Arial"/>
          <w:szCs w:val="28"/>
          <w:shd w:val="clear" w:color="auto" w:fill="FFFFFF"/>
          <w:lang w:eastAsia="ru-RU"/>
        </w:rPr>
      </w:pPr>
      <w:r w:rsidRPr="00511005">
        <w:rPr>
          <w:rFonts w:ascii="Arial" w:eastAsia="Times New Roman" w:hAnsi="Arial" w:cs="Arial"/>
          <w:bCs/>
          <w:szCs w:val="28"/>
          <w:shd w:val="clear" w:color="auto" w:fill="FFFFFF"/>
          <w:lang w:eastAsia="ru-RU"/>
        </w:rPr>
        <w:lastRenderedPageBreak/>
        <w:t>Охорона порядку під час судових засідань.</w:t>
      </w:r>
      <w:r w:rsidRPr="00511005">
        <w:rPr>
          <w:rFonts w:ascii="Arial" w:eastAsia="Times New Roman" w:hAnsi="Arial" w:cs="Arial"/>
          <w:szCs w:val="28"/>
          <w:shd w:val="clear" w:color="auto" w:fill="FFFFFF"/>
          <w:lang w:eastAsia="ru-RU"/>
        </w:rPr>
        <w:t xml:space="preserve"> Возний здійснював контроль за порядком на судових засіданнях, забезпечував безпеку учасників процесу, сприяв їх явці </w:t>
      </w:r>
      <w:proofErr w:type="gramStart"/>
      <w:r w:rsidRPr="00511005">
        <w:rPr>
          <w:rFonts w:ascii="Arial" w:eastAsia="Times New Roman" w:hAnsi="Arial" w:cs="Arial"/>
          <w:szCs w:val="28"/>
          <w:shd w:val="clear" w:color="auto" w:fill="FFFFFF"/>
          <w:lang w:eastAsia="ru-RU"/>
        </w:rPr>
        <w:t>до суду</w:t>
      </w:r>
      <w:proofErr w:type="gramEnd"/>
      <w:r w:rsidRPr="00511005">
        <w:rPr>
          <w:rFonts w:ascii="Arial" w:eastAsia="Times New Roman" w:hAnsi="Arial" w:cs="Arial"/>
          <w:szCs w:val="28"/>
          <w:shd w:val="clear" w:color="auto" w:fill="FFFFFF"/>
          <w:lang w:eastAsia="ru-RU"/>
        </w:rPr>
        <w:t>.</w:t>
      </w:r>
    </w:p>
    <w:p w14:paraId="6A11BA8F" w14:textId="77777777" w:rsidR="00220D3E" w:rsidRPr="00511005" w:rsidRDefault="00220D3E" w:rsidP="00D32A0F">
      <w:pPr>
        <w:numPr>
          <w:ilvl w:val="0"/>
          <w:numId w:val="48"/>
        </w:numPr>
        <w:spacing w:line="264" w:lineRule="auto"/>
        <w:ind w:left="0" w:firstLine="709"/>
        <w:jc w:val="left"/>
        <w:rPr>
          <w:rFonts w:ascii="Arial" w:eastAsia="Times New Roman" w:hAnsi="Arial" w:cs="Arial"/>
          <w:szCs w:val="28"/>
          <w:shd w:val="clear" w:color="auto" w:fill="FFFFFF"/>
          <w:lang w:eastAsia="ru-RU"/>
        </w:rPr>
      </w:pPr>
      <w:r w:rsidRPr="00511005">
        <w:rPr>
          <w:rFonts w:ascii="Arial" w:eastAsia="Times New Roman" w:hAnsi="Arial" w:cs="Arial"/>
          <w:bCs/>
          <w:szCs w:val="28"/>
          <w:shd w:val="clear" w:color="auto" w:fill="FFFFFF"/>
          <w:lang w:eastAsia="ru-RU"/>
        </w:rPr>
        <w:t>Посередництво та виконання функцій посланця суду.</w:t>
      </w:r>
      <w:r w:rsidRPr="00511005">
        <w:rPr>
          <w:rFonts w:ascii="Arial" w:eastAsia="Times New Roman" w:hAnsi="Arial" w:cs="Arial"/>
          <w:szCs w:val="28"/>
          <w:shd w:val="clear" w:color="auto" w:fill="FFFFFF"/>
          <w:lang w:eastAsia="ru-RU"/>
        </w:rPr>
        <w:t xml:space="preserve"> У разі необхідності возний також виконував функцію посланця суду, доставляючи повістки, виклики та інші документи сторонам процесу.</w:t>
      </w:r>
    </w:p>
    <w:p w14:paraId="452EF476" w14:textId="77777777" w:rsidR="00220D3E" w:rsidRPr="00511005" w:rsidRDefault="00220D3E" w:rsidP="00D32A0F">
      <w:pPr>
        <w:numPr>
          <w:ilvl w:val="0"/>
          <w:numId w:val="48"/>
        </w:numPr>
        <w:spacing w:line="264" w:lineRule="auto"/>
        <w:ind w:left="0" w:firstLine="709"/>
        <w:jc w:val="left"/>
        <w:rPr>
          <w:rFonts w:ascii="Arial" w:eastAsia="Times New Roman" w:hAnsi="Arial" w:cs="Arial"/>
          <w:szCs w:val="28"/>
          <w:shd w:val="clear" w:color="auto" w:fill="FFFFFF"/>
          <w:lang w:eastAsia="ru-RU"/>
        </w:rPr>
      </w:pPr>
      <w:r w:rsidRPr="00511005">
        <w:rPr>
          <w:rFonts w:ascii="Arial" w:eastAsia="Times New Roman" w:hAnsi="Arial" w:cs="Arial"/>
          <w:bCs/>
          <w:szCs w:val="28"/>
          <w:shd w:val="clear" w:color="auto" w:fill="FFFFFF"/>
          <w:lang w:eastAsia="ru-RU"/>
        </w:rPr>
        <w:t>Забезпечення правосуддя на місцях.</w:t>
      </w:r>
      <w:r w:rsidRPr="00511005">
        <w:rPr>
          <w:rFonts w:ascii="Arial" w:eastAsia="Times New Roman" w:hAnsi="Arial" w:cs="Arial"/>
          <w:szCs w:val="28"/>
          <w:shd w:val="clear" w:color="auto" w:fill="FFFFFF"/>
          <w:lang w:eastAsia="ru-RU"/>
        </w:rPr>
        <w:t xml:space="preserve"> У деяких випадках возний мав обов'язки організовувати та контролювати здійснення правосуддя на місцевому рівні, що включало як виконавчу, так і деякі судові функції</w:t>
      </w:r>
      <w:r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eastAsia="ru-RU"/>
        </w:rPr>
        <w:t>[1</w:t>
      </w:r>
      <w:r w:rsidRPr="00511005">
        <w:rPr>
          <w:rFonts w:ascii="Arial" w:eastAsia="Times New Roman" w:hAnsi="Arial" w:cs="Arial"/>
          <w:szCs w:val="28"/>
          <w:shd w:val="clear" w:color="auto" w:fill="FFFFFF"/>
          <w:lang w:val="uk-UA" w:eastAsia="ru-RU"/>
        </w:rPr>
        <w:t>, с. 30</w:t>
      </w:r>
      <w:r w:rsidRPr="00511005">
        <w:rPr>
          <w:rFonts w:ascii="Arial" w:eastAsia="Times New Roman" w:hAnsi="Arial" w:cs="Arial"/>
          <w:szCs w:val="28"/>
          <w:shd w:val="clear" w:color="auto" w:fill="FFFFFF"/>
          <w:lang w:eastAsia="ru-RU"/>
        </w:rPr>
        <w:t>].</w:t>
      </w:r>
    </w:p>
    <w:p w14:paraId="35653E04" w14:textId="77777777" w:rsidR="00220D3E" w:rsidRPr="00511005" w:rsidRDefault="00220D3E" w:rsidP="00D32A0F">
      <w:pPr>
        <w:spacing w:line="264" w:lineRule="auto"/>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eastAsia="ru-RU"/>
        </w:rPr>
        <w:t>Возний тісно співпрацював з іншими представниками судової системи: суддями, прокурорами, адвокатами, а також представниками місцевої влади. Важливою частиною діяльності возного була його здатність взаємодіяти з різними державними інститутами для забезпечення справедливості та ефективності судових процесів.</w:t>
      </w:r>
    </w:p>
    <w:p w14:paraId="0808EF8E" w14:textId="77777777" w:rsidR="00220D3E" w:rsidRPr="00511005" w:rsidRDefault="00220D3E" w:rsidP="00D32A0F">
      <w:pPr>
        <w:spacing w:line="264" w:lineRule="auto"/>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eastAsia="ru-RU"/>
        </w:rPr>
        <w:t>Протягом XVI століття система судочинства зазнавала змін, зокрема, внаслідок реформ, що проводились для покращення правової стабільності Великого князівства Литовського. Роль возного змінювалася залежно від вимог часу та розвитку правових норм, але його значення в судовому процесі залишалося важливим [</w:t>
      </w:r>
      <w:r w:rsidRPr="00511005">
        <w:rPr>
          <w:rFonts w:ascii="Arial" w:eastAsia="Times New Roman" w:hAnsi="Arial" w:cs="Arial"/>
          <w:szCs w:val="28"/>
          <w:shd w:val="clear" w:color="auto" w:fill="FFFFFF"/>
          <w:lang w:val="uk-UA" w:eastAsia="ru-RU"/>
        </w:rPr>
        <w:t>2, с. 115</w:t>
      </w:r>
      <w:r w:rsidRPr="00511005">
        <w:rPr>
          <w:rFonts w:ascii="Arial" w:eastAsia="Times New Roman" w:hAnsi="Arial" w:cs="Arial"/>
          <w:szCs w:val="28"/>
          <w:shd w:val="clear" w:color="auto" w:fill="FFFFFF"/>
          <w:lang w:eastAsia="ru-RU"/>
        </w:rPr>
        <w:t>].</w:t>
      </w:r>
    </w:p>
    <w:p w14:paraId="59DAD4BB" w14:textId="77777777" w:rsidR="00220D3E" w:rsidRPr="00511005" w:rsidRDefault="00220D3E" w:rsidP="00D32A0F">
      <w:pPr>
        <w:spacing w:line="264" w:lineRule="auto"/>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eastAsia="ru-RU"/>
        </w:rPr>
        <w:t xml:space="preserve">У контексті правових та соціальних змін, що відбувалися в XVI столітті, роль возного в судовому процесі зазнавала еволюції, враховуючи соціально-політичні та економічні трансформації Великого князівства Литовського. Однією з таких змін стала поступова концентрація влади в руках центральної влади, що ставало особливо очевидним </w:t>
      </w:r>
      <w:proofErr w:type="gramStart"/>
      <w:r w:rsidRPr="00511005">
        <w:rPr>
          <w:rFonts w:ascii="Arial" w:eastAsia="Times New Roman" w:hAnsi="Arial" w:cs="Arial"/>
          <w:szCs w:val="28"/>
          <w:shd w:val="clear" w:color="auto" w:fill="FFFFFF"/>
          <w:lang w:eastAsia="ru-RU"/>
        </w:rPr>
        <w:t>у межах</w:t>
      </w:r>
      <w:proofErr w:type="gramEnd"/>
      <w:r w:rsidRPr="00511005">
        <w:rPr>
          <w:rFonts w:ascii="Arial" w:eastAsia="Times New Roman" w:hAnsi="Arial" w:cs="Arial"/>
          <w:szCs w:val="28"/>
          <w:shd w:val="clear" w:color="auto" w:fill="FFFFFF"/>
          <w:lang w:eastAsia="ru-RU"/>
        </w:rPr>
        <w:t xml:space="preserve"> реформ судочинства. Зростання потреби в ефективному виконанні судових рішень, а також підтримка правопорядку в періоди соціальних хвилювань значно збільшували відповідальність возних.</w:t>
      </w:r>
    </w:p>
    <w:p w14:paraId="3B1FE1FA" w14:textId="77777777" w:rsidR="00220D3E" w:rsidRPr="00511005" w:rsidRDefault="00220D3E" w:rsidP="00D32A0F">
      <w:pPr>
        <w:spacing w:line="264" w:lineRule="auto"/>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eastAsia="ru-RU"/>
        </w:rPr>
        <w:t>З огляду на широкі функції, що їх виконував возний, можна стверджувати, що він виконував певну роль "передового" судового виконавця, який відповідав за виконання не лише практичних завдань, а й за забезпечення прав і свобод осіб, чиї інтереси були порушені у судовому процесі. Ця подвійна функція — як забезпечення виконання судових рішень, так і захист прав осіб — ставала основою для формування більш складних юридичних норм у майбутньому.</w:t>
      </w:r>
    </w:p>
    <w:p w14:paraId="512CF7B4" w14:textId="77777777" w:rsidR="00220D3E" w:rsidRPr="00511005" w:rsidRDefault="00220D3E" w:rsidP="00D32A0F">
      <w:pPr>
        <w:spacing w:line="264" w:lineRule="auto"/>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eastAsia="ru-RU"/>
        </w:rPr>
        <w:t xml:space="preserve">Не можна залишити поза увагою культурний контекст того часу, зокрема значення релігії в суспільному житті Великого князівства Литовського. Православ’я та католицизм, які співіснували в державі, значною мірою впливали на формування судових звичаїв. Роль возного, зокрема його відповідальність за виконання судових рішень, також відображала релігійні уявлення про правосуддя, де акцент робився на відновленні справедливості та примиренні сторін, а не лише на </w:t>
      </w:r>
      <w:r w:rsidRPr="00511005">
        <w:rPr>
          <w:rFonts w:ascii="Arial" w:eastAsia="Times New Roman" w:hAnsi="Arial" w:cs="Arial"/>
          <w:szCs w:val="28"/>
          <w:shd w:val="clear" w:color="auto" w:fill="FFFFFF"/>
          <w:lang w:eastAsia="ru-RU"/>
        </w:rPr>
        <w:lastRenderedPageBreak/>
        <w:t>примусовому виконанні вироків. У цьому контексті можна зазначити, що возний виконував не лише роль судового виконавця, а й своєрідного морального авторитету, що допомагав забезпечити справедливість у повсякденному житті громадян [</w:t>
      </w:r>
      <w:r w:rsidRPr="00511005">
        <w:rPr>
          <w:rFonts w:ascii="Arial" w:eastAsia="Times New Roman" w:hAnsi="Arial" w:cs="Arial"/>
          <w:szCs w:val="28"/>
          <w:shd w:val="clear" w:color="auto" w:fill="FFFFFF"/>
          <w:lang w:val="uk-UA" w:eastAsia="ru-RU"/>
        </w:rPr>
        <w:t>3, с. 91</w:t>
      </w:r>
      <w:r w:rsidRPr="00511005">
        <w:rPr>
          <w:rFonts w:ascii="Arial" w:eastAsia="Times New Roman" w:hAnsi="Arial" w:cs="Arial"/>
          <w:szCs w:val="28"/>
          <w:shd w:val="clear" w:color="auto" w:fill="FFFFFF"/>
          <w:lang w:eastAsia="ru-RU"/>
        </w:rPr>
        <w:t>].</w:t>
      </w:r>
    </w:p>
    <w:p w14:paraId="4527A3F5" w14:textId="7C0AA4AA" w:rsidR="00220D3E" w:rsidRPr="00511005" w:rsidRDefault="00220D3E" w:rsidP="00D32A0F">
      <w:pPr>
        <w:spacing w:line="264" w:lineRule="auto"/>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eastAsia="ru-RU"/>
        </w:rPr>
        <w:t>Отже, возний у XVI столітті у Великому князівстві Литовському виконував важливу роль у забезпеченні судового процесу. Його функції були різноманітними — від виконання судових рішень до забезпечення порядку під час судових засідань. Через свою діяльність возний сприяв ефективності судової системи та виконанню законів, а також був важливим елементом в організації правосуддя того часу.</w:t>
      </w:r>
    </w:p>
    <w:p w14:paraId="3F5C0678" w14:textId="77777777" w:rsidR="00D32A0F" w:rsidRPr="00511005" w:rsidRDefault="00D32A0F" w:rsidP="00D32A0F">
      <w:pPr>
        <w:spacing w:line="264" w:lineRule="auto"/>
        <w:rPr>
          <w:rFonts w:ascii="Arial" w:eastAsia="Times New Roman" w:hAnsi="Arial" w:cs="Arial"/>
          <w:szCs w:val="28"/>
          <w:shd w:val="clear" w:color="auto" w:fill="FFFFFF"/>
          <w:lang w:eastAsia="ru-RU"/>
        </w:rPr>
      </w:pPr>
    </w:p>
    <w:p w14:paraId="1CC9D99A" w14:textId="1E4F6259" w:rsidR="00220D3E" w:rsidRPr="00511005" w:rsidRDefault="007B2628" w:rsidP="007B2628">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06ADBC7F" w14:textId="77777777" w:rsidR="00220D3E" w:rsidRPr="00511005" w:rsidRDefault="00220D3E" w:rsidP="00D32A0F">
      <w:pPr>
        <w:numPr>
          <w:ilvl w:val="0"/>
          <w:numId w:val="49"/>
        </w:numPr>
        <w:spacing w:line="264" w:lineRule="auto"/>
        <w:ind w:left="0"/>
        <w:rPr>
          <w:rFonts w:ascii="Arial" w:eastAsia="Times New Roman" w:hAnsi="Arial" w:cs="Arial"/>
          <w:iCs/>
          <w:szCs w:val="28"/>
          <w:lang w:val="uk-UA" w:eastAsia="ru-RU"/>
        </w:rPr>
      </w:pPr>
      <w:r w:rsidRPr="00511005">
        <w:rPr>
          <w:rFonts w:ascii="Arial" w:eastAsia="Times New Roman" w:hAnsi="Arial" w:cs="Arial"/>
          <w:iCs/>
          <w:szCs w:val="28"/>
          <w:lang w:val="uk-UA" w:eastAsia="ru-RU"/>
        </w:rPr>
        <w:t>Вaсиленкo М. П. Як скaсoвaнo Литoвськoгo Стaтутa (з iстoрiї кoдифiкaцiї зaхiднo-руськoгo тa вкрaїнськoгo прaвa). Микoлa Вaсиленкo. Вибрaнi твoри : у 3 т. – Т. 2 : Юридичнi прaцi упoряд. : I. Б. Усенкo, Т. I. Бoндaрук, A. Ю. Iвaнoвa, Є. В. Рoмiнський. Київ: Юрид. думкa, 2006. 480 с.</w:t>
      </w:r>
    </w:p>
    <w:p w14:paraId="5224F58E" w14:textId="77777777" w:rsidR="00220D3E" w:rsidRPr="00511005" w:rsidRDefault="00220D3E" w:rsidP="00D32A0F">
      <w:pPr>
        <w:numPr>
          <w:ilvl w:val="0"/>
          <w:numId w:val="49"/>
        </w:numPr>
        <w:spacing w:line="264" w:lineRule="auto"/>
        <w:ind w:left="0"/>
        <w:rPr>
          <w:rFonts w:ascii="Arial" w:eastAsia="Times New Roman" w:hAnsi="Arial" w:cs="Arial"/>
          <w:iCs/>
          <w:szCs w:val="28"/>
          <w:lang w:val="uk-UA" w:eastAsia="ru-RU"/>
        </w:rPr>
      </w:pPr>
      <w:r w:rsidRPr="00511005">
        <w:rPr>
          <w:rFonts w:ascii="Arial" w:eastAsia="Times New Roman" w:hAnsi="Arial" w:cs="Arial"/>
          <w:iCs/>
          <w:szCs w:val="28"/>
          <w:lang w:val="uk-UA" w:eastAsia="ru-RU"/>
        </w:rPr>
        <w:t>Iстoрiя держaви i прaвa Укрaїни : пiдручник; ред. A.С. Чaйкoвський. Київ: Юрiнкoм Iнтер, 2003. 511 с.</w:t>
      </w:r>
    </w:p>
    <w:p w14:paraId="6EED22DF" w14:textId="77777777" w:rsidR="00220D3E" w:rsidRPr="00511005" w:rsidRDefault="00220D3E" w:rsidP="00D32A0F">
      <w:pPr>
        <w:numPr>
          <w:ilvl w:val="0"/>
          <w:numId w:val="49"/>
        </w:numPr>
        <w:spacing w:line="264" w:lineRule="auto"/>
        <w:ind w:left="0"/>
        <w:rPr>
          <w:rFonts w:ascii="Arial" w:eastAsia="Times New Roman" w:hAnsi="Arial" w:cs="Arial"/>
          <w:iCs/>
          <w:szCs w:val="28"/>
          <w:lang w:val="uk-UA" w:eastAsia="ru-RU"/>
        </w:rPr>
      </w:pPr>
      <w:r w:rsidRPr="00511005">
        <w:rPr>
          <w:rFonts w:ascii="Arial" w:eastAsia="Times New Roman" w:hAnsi="Arial" w:cs="Arial"/>
          <w:iCs/>
          <w:szCs w:val="28"/>
          <w:lang w:val="uk-UA" w:eastAsia="ru-RU"/>
        </w:rPr>
        <w:t xml:space="preserve">Iстoрiя держaви i прaвa Укрaїни : курс лекцiй; ред. В.Г.Гoнчaренкo. Київ: Вентурi, 1996. 288 с. </w:t>
      </w:r>
    </w:p>
    <w:p w14:paraId="1A5FC07F" w14:textId="0186BA1B" w:rsidR="00220D3E" w:rsidRPr="00511005" w:rsidRDefault="007B2628"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b/>
          <w:bCs/>
          <w:i/>
          <w:iCs/>
          <w:szCs w:val="28"/>
          <w:lang w:val="uk-UA" w:eastAsia="ru-RU"/>
        </w:rPr>
        <w:t xml:space="preserve">Ключові слова: </w:t>
      </w:r>
      <w:r w:rsidR="00220D3E" w:rsidRPr="00511005">
        <w:rPr>
          <w:rFonts w:ascii="Arial" w:eastAsia="Times New Roman" w:hAnsi="Arial" w:cs="Arial"/>
          <w:iCs/>
          <w:szCs w:val="28"/>
          <w:lang w:val="uk-UA" w:eastAsia="ru-RU"/>
        </w:rPr>
        <w:t xml:space="preserve">Возний, суд, князівство, права, регулювання. </w:t>
      </w:r>
    </w:p>
    <w:p w14:paraId="666888CC" w14:textId="3F16F356" w:rsidR="00220D3E" w:rsidRPr="00511005" w:rsidRDefault="007B2628"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b/>
          <w:bCs/>
          <w:i/>
          <w:iCs/>
          <w:szCs w:val="28"/>
          <w:lang w:val="uk-UA" w:eastAsia="ru-RU"/>
        </w:rPr>
        <w:t xml:space="preserve">Key words: </w:t>
      </w:r>
      <w:r w:rsidR="00220D3E" w:rsidRPr="00511005">
        <w:rPr>
          <w:rFonts w:ascii="Arial" w:eastAsia="Times New Roman" w:hAnsi="Arial" w:cs="Arial"/>
          <w:iCs/>
          <w:szCs w:val="28"/>
          <w:lang w:val="uk-UA" w:eastAsia="ru-RU"/>
        </w:rPr>
        <w:t>vozny, court, principality, rights, regulation</w:t>
      </w:r>
    </w:p>
    <w:p w14:paraId="5354F0F2" w14:textId="584AAF28" w:rsidR="00220D3E" w:rsidRPr="00511005" w:rsidRDefault="00D32A0F"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b/>
          <w:bCs/>
          <w:i/>
          <w:szCs w:val="28"/>
          <w:lang w:val="uk-UA" w:eastAsia="ru-RU"/>
        </w:rPr>
        <w:t>Науковий к</w:t>
      </w:r>
      <w:r w:rsidR="00220D3E" w:rsidRPr="00511005">
        <w:rPr>
          <w:rFonts w:ascii="Arial" w:eastAsia="Times New Roman" w:hAnsi="Arial" w:cs="Arial"/>
          <w:b/>
          <w:bCs/>
          <w:i/>
          <w:szCs w:val="28"/>
          <w:lang w:val="uk-UA" w:eastAsia="ru-RU"/>
        </w:rPr>
        <w:t>ерівник</w:t>
      </w:r>
      <w:r w:rsidR="00220D3E" w:rsidRPr="00511005">
        <w:rPr>
          <w:rFonts w:ascii="Arial" w:eastAsia="Times New Roman" w:hAnsi="Arial" w:cs="Arial"/>
          <w:i/>
          <w:szCs w:val="28"/>
          <w:lang w:val="uk-UA" w:eastAsia="ru-RU"/>
        </w:rPr>
        <w:t xml:space="preserve">: </w:t>
      </w:r>
      <w:r w:rsidR="00220D3E" w:rsidRPr="00511005">
        <w:rPr>
          <w:rFonts w:ascii="Arial" w:eastAsia="Times New Roman" w:hAnsi="Arial" w:cs="Arial"/>
          <w:iCs/>
          <w:szCs w:val="28"/>
          <w:lang w:val="uk-UA" w:eastAsia="ru-RU"/>
        </w:rPr>
        <w:t>к.ю.н., доц</w:t>
      </w:r>
      <w:r w:rsidRPr="00511005">
        <w:rPr>
          <w:rFonts w:ascii="Arial" w:eastAsia="Times New Roman" w:hAnsi="Arial" w:cs="Arial"/>
          <w:iCs/>
          <w:szCs w:val="28"/>
          <w:lang w:val="uk-UA" w:eastAsia="ru-RU"/>
        </w:rPr>
        <w:t>ент</w:t>
      </w:r>
      <w:r w:rsidR="007B2628" w:rsidRPr="00511005">
        <w:rPr>
          <w:rFonts w:ascii="Arial" w:eastAsia="Times New Roman" w:hAnsi="Arial" w:cs="Arial"/>
          <w:iCs/>
          <w:szCs w:val="28"/>
          <w:lang w:val="uk-UA" w:eastAsia="ru-RU"/>
        </w:rPr>
        <w:t xml:space="preserve"> </w:t>
      </w:r>
      <w:r w:rsidR="00220D3E" w:rsidRPr="00511005">
        <w:rPr>
          <w:rFonts w:ascii="Arial" w:eastAsia="Times New Roman" w:hAnsi="Arial" w:cs="Arial"/>
          <w:iCs/>
          <w:szCs w:val="28"/>
          <w:lang w:val="uk-UA" w:eastAsia="ru-RU"/>
        </w:rPr>
        <w:t>Горяга О.В.</w:t>
      </w:r>
    </w:p>
    <w:p w14:paraId="7CAC50E6" w14:textId="442E64ED" w:rsidR="00220D3E" w:rsidRPr="00511005" w:rsidRDefault="00220D3E" w:rsidP="003A292D">
      <w:pPr>
        <w:spacing w:line="264" w:lineRule="auto"/>
        <w:ind w:firstLine="0"/>
        <w:rPr>
          <w:rFonts w:ascii="Arial" w:eastAsia="Times New Roman" w:hAnsi="Arial" w:cs="Arial"/>
          <w:iCs/>
          <w:szCs w:val="28"/>
          <w:lang w:val="uk-UA" w:eastAsia="ru-RU"/>
        </w:rPr>
      </w:pPr>
    </w:p>
    <w:p w14:paraId="42E2B84E" w14:textId="77777777" w:rsidR="00D32A0F" w:rsidRPr="00511005" w:rsidRDefault="00D32A0F" w:rsidP="003A292D">
      <w:pPr>
        <w:spacing w:line="264" w:lineRule="auto"/>
        <w:ind w:firstLine="0"/>
        <w:rPr>
          <w:rFonts w:ascii="Arial" w:eastAsia="Times New Roman" w:hAnsi="Arial" w:cs="Arial"/>
          <w:iCs/>
          <w:szCs w:val="28"/>
          <w:lang w:val="uk-UA" w:eastAsia="ru-RU"/>
        </w:rPr>
      </w:pPr>
    </w:p>
    <w:p w14:paraId="79A8715A" w14:textId="77777777" w:rsidR="00220D3E" w:rsidRPr="00511005" w:rsidRDefault="00220D3E" w:rsidP="003A292D">
      <w:pPr>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Самойлова Юлія Олегівна</w:t>
      </w:r>
    </w:p>
    <w:p w14:paraId="2526E41E"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1-го курсу </w:t>
      </w:r>
    </w:p>
    <w:p w14:paraId="600A191B"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EE1B0F7" w14:textId="1358C697" w:rsidR="00220D3E"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34EA5A3" w14:textId="77777777" w:rsidR="00220D3E" w:rsidRPr="00511005" w:rsidRDefault="00220D3E" w:rsidP="003A292D">
      <w:pPr>
        <w:spacing w:line="264" w:lineRule="auto"/>
        <w:ind w:firstLine="0"/>
        <w:jc w:val="center"/>
        <w:rPr>
          <w:rFonts w:ascii="Arial" w:eastAsia="Times New Roman" w:hAnsi="Arial" w:cs="Arial"/>
          <w:szCs w:val="28"/>
          <w:lang w:eastAsia="ru-RU"/>
        </w:rPr>
      </w:pPr>
    </w:p>
    <w:p w14:paraId="7B3510A3" w14:textId="77777777" w:rsidR="00220D3E" w:rsidRPr="00511005" w:rsidRDefault="00220D3E" w:rsidP="003A292D">
      <w:pPr>
        <w:keepNext/>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ГРОДСЬКИЙ СУД ТА ЙОГО ДІЯЛЬНІСТЬ НА УКРАЇНСЬКИХ ЗЕМЛЯХ XVI СТОЛІТТЯ У ВЕЛИКОМУ КНЯЗІВСТВІ ЛИТОВСЬКОМУ</w:t>
      </w:r>
    </w:p>
    <w:p w14:paraId="3DCC46C9" w14:textId="77777777" w:rsidR="00220D3E" w:rsidRPr="00511005" w:rsidRDefault="00220D3E" w:rsidP="003A292D">
      <w:pPr>
        <w:keepNext/>
        <w:spacing w:line="264" w:lineRule="auto"/>
        <w:ind w:firstLine="0"/>
        <w:jc w:val="center"/>
        <w:rPr>
          <w:rFonts w:ascii="Arial" w:eastAsia="Times New Roman" w:hAnsi="Arial" w:cs="Arial"/>
          <w:b/>
          <w:szCs w:val="28"/>
          <w:lang w:eastAsia="ru-RU"/>
        </w:rPr>
      </w:pPr>
    </w:p>
    <w:p w14:paraId="60C46A74"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Упродовж XVI століття на територіях сучасної України, які на той час перебували під юрисдикцією Великого князівства Литовського, функціонували гродські або замкові суди, що становили важливий елемент судової системи тогочасної держави. Їхня роль особливо зросла в контексті судово-правової реформи 1564–1566 років, внаслідок якої було чітко визначено структуру, підсудність та функціональну специфіку цих установ у положеннях Другого Литовського статуту 1566 року [1].</w:t>
      </w:r>
    </w:p>
    <w:p w14:paraId="6A34D162"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Основна увага діяльності гродських судів зосереджувалася на кримінальних провадженнях, що мали значну суспільну небезпеку. До </w:t>
      </w:r>
      <w:r w:rsidRPr="00511005">
        <w:rPr>
          <w:rFonts w:ascii="Arial" w:eastAsia="Times New Roman" w:hAnsi="Arial" w:cs="Arial"/>
          <w:szCs w:val="28"/>
          <w:lang w:eastAsia="ru-RU"/>
        </w:rPr>
        <w:lastRenderedPageBreak/>
        <w:t xml:space="preserve">юрисдикції таких судів потрапляли серйозні злочини, зокрема напади на маєтності представників шляхетського стану, підпали, дорожні розбійницькі напади, випадки сексуального насильства, крадіжки, виготовлення або обіг фальшивої монети, а також убивства шляхтичів, що розцінювалися як особливо тяжкі правопорушення. </w:t>
      </w:r>
    </w:p>
    <w:p w14:paraId="0751965D"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Гродські суди мали компетенцію розглядати кримінальні справи, що стосувалися представників усіх вільних станів — як шляхти, так і міщан і селян. Судочинство в межах діяльності гродських судів мало чітко регламентований характер. Справи розглядалися за участі таких осіб, як староста, воєвода або намісник, котрі виконували функції одноособового судді. Водночас, за дотриманням встановлених процесуальних норм стежив замковий суддя, а всю документацію, зокрема ведення судових книг, забезпечував спеціально призначений писар. </w:t>
      </w:r>
    </w:p>
    <w:p w14:paraId="600227A1"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Інституційною особливістю гродських судів було також те, що апеляційний перегляд їхніх рішень здійснювався в суді Великого князя — вищої інстанції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ВКЛ. Розгляд кримінальних справ відбувався відповідно до встановленого порядку, який передбачав своєчасне проведення засідань. Зокрема, нижчий гродський суд скликався чотири рази на рік, тоді як засідання вищого суду проводилися двічі щорічно. При цьому, якщо особу було затримано безпосередньо на місці злочину або в межах 24 годин після його скоєння, процес розгляду починався негайно. Такий підхід свідчив про прагнення судової системи діяти оперативно та ефективно, а також про високий ступінь формалізованості процедур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кримінального провадження [2, с. 107].</w:t>
      </w:r>
    </w:p>
    <w:p w14:paraId="4DB72E05"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контексті функціонування гродських судів на українських землях XVI століття, що перебували під владою Великого князівства Литовського, важливо відзначити як процедурні особливості їхньої роботи, так і вимоги до кандидатів на судові посади. На відміну від земських судів, засідання в гродських відбувалися з регулярністю: відповідно до положень Третього Литовського статуту, рочки розпочиналися щомісяця у перший день, а якщо цей день припадав на велике свято — переносилися на наступний. </w:t>
      </w:r>
    </w:p>
    <w:p w14:paraId="076D4A30"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Робота суду тривала два тижні, що забезпечувало постійність та оперативність у розгляді справ. Така регулярність, особливо у порівнянні з шеститижневим щорічним циклом засідань земського суду, значно посилювала ефективність діяльності установи, підвищувала її авторитет і водночас забезпечувала належний рівень правосуддя у кримінальних справах, зважаючи на те, що обвинувачені зазвичай перебували під вартою [3, с. 131].</w:t>
      </w:r>
    </w:p>
    <w:p w14:paraId="06C3DB26"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Склад гродського суду також формувався за суворими вимогами. Зокрема, кандидат </w:t>
      </w:r>
      <w:proofErr w:type="gramStart"/>
      <w:r w:rsidRPr="00511005">
        <w:rPr>
          <w:rFonts w:ascii="Arial" w:eastAsia="Times New Roman" w:hAnsi="Arial" w:cs="Arial"/>
          <w:szCs w:val="28"/>
          <w:lang w:eastAsia="ru-RU"/>
        </w:rPr>
        <w:t>на посаду</w:t>
      </w:r>
      <w:proofErr w:type="gramEnd"/>
      <w:r w:rsidRPr="00511005">
        <w:rPr>
          <w:rFonts w:ascii="Arial" w:eastAsia="Times New Roman" w:hAnsi="Arial" w:cs="Arial"/>
          <w:szCs w:val="28"/>
          <w:lang w:eastAsia="ru-RU"/>
        </w:rPr>
        <w:t xml:space="preserve"> мав бути шляхетського походження, мешкати на території відповідного повіту та пройти процедуру складання присяги. Особливої уваги надавали й особистим якостям і кваліфікації майбутніх </w:t>
      </w:r>
      <w:r w:rsidRPr="00511005">
        <w:rPr>
          <w:rFonts w:ascii="Arial" w:eastAsia="Times New Roman" w:hAnsi="Arial" w:cs="Arial"/>
          <w:szCs w:val="28"/>
          <w:lang w:eastAsia="ru-RU"/>
        </w:rPr>
        <w:lastRenderedPageBreak/>
        <w:t xml:space="preserve">судових урядників. Наприклад, гродський писар, окрім належності до шляхетського стану, мав відповідати таким критеріям: високі моральні чесноти, розвинені інтелектуальні здібності, знання чинного права, володіння державною (руською) мовою, осілість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повіту, а також походження з території Великого князівства Литовського. На відміну від земського суду, де посадовців обирали, у гродському — їх призначали централізовано [4, с. 160].</w:t>
      </w:r>
    </w:p>
    <w:p w14:paraId="22BAEDC4"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 юрисдикції гродських судів належали кримінальні справи найвищої тяжкості, зокрема ті, що передбачали смертне покарання. При цьому суд мав у своєму розпорядженні відповідну інфраструктуру: місце для ув’язнення обвинувачених, а також професійного ката, котрий виконував вироки, включаючи страти, допити із застосуванням сили та інші каральні заходи. Судова влада цього типу поширювалася не лише на шляхтичів, але й на інші категорії населення — зокрема на селян, міщан, служилих, і також тих, хто перебував на службі у феодалів чи працював у їхніх маєтностях. </w:t>
      </w:r>
    </w:p>
    <w:p w14:paraId="78402B14"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Водночас, з-під компетенції гродських судів були виключені мешканці міст, що користувалися магдебурзьким правом, оскільки останнє передбачало власну систему місцевого самоврядування та судочинства [4, с. 160].</w:t>
      </w:r>
    </w:p>
    <w:p w14:paraId="50C184EB"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Судовий процес у гродських судах на українських теренах Великого князівства Литовського у XVI столітті вирізнявся чіткою організаційною структурою та строго регламентованою процедурою розгляду справ. Формалізований характер судочинства забезпечував дотримання послідовності та законності на всіх етапах процесу. Графік засідань було чітко визначено: нижчі гродські суди скликалися чотири рази на рік, тоді як вищі засідали двічі. Особливістю цієї форми судочинства було й те, що слухання справ починалося невідкладно після арешту обвинуваченого, особливо якщо його було схоплено під час вчинення злочину або протягом доби після цього [5].</w:t>
      </w:r>
    </w:p>
    <w:p w14:paraId="2B14FF84"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Гродські суди, по суті, виконували роль загальних судових інстанцій, до юрисдикції яких входило розглядання справ представників усіх основних соціальних верств — як шляхти, так і міщан та селян. Таким чином, вони не лише здійснювали кримінальне судочинство, а й мали вагоме значення у збереженні суспільного порядку в регіонах. Швидке реагування на правопорушення сприяло ефективному виконанню функцій правосуддя на місцях, що, своєю чергою, посилювало довіру до судових органів серед населення. Окрім того, гродські суди були невіддільною складовою апеляційної системи: за необхідності, їхні рішення могли бути оскаржені до вищих інстанцій, зокрема </w:t>
      </w:r>
      <w:proofErr w:type="gramStart"/>
      <w:r w:rsidRPr="00511005">
        <w:rPr>
          <w:rFonts w:ascii="Arial" w:eastAsia="Times New Roman" w:hAnsi="Arial" w:cs="Arial"/>
          <w:szCs w:val="28"/>
          <w:lang w:eastAsia="ru-RU"/>
        </w:rPr>
        <w:t>до суду</w:t>
      </w:r>
      <w:proofErr w:type="gramEnd"/>
      <w:r w:rsidRPr="00511005">
        <w:rPr>
          <w:rFonts w:ascii="Arial" w:eastAsia="Times New Roman" w:hAnsi="Arial" w:cs="Arial"/>
          <w:szCs w:val="28"/>
          <w:lang w:eastAsia="ru-RU"/>
        </w:rPr>
        <w:t>, що свідчило про налагоджену вертикаль судової влади у межах ВКЛ [6].</w:t>
      </w:r>
    </w:p>
    <w:p w14:paraId="5F9B441E"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Дослідження розвитку судової системи на українських територіях у складі Великого князівства Литовського впродовж XVI століття, зокрема </w:t>
      </w:r>
      <w:r w:rsidRPr="00511005">
        <w:rPr>
          <w:rFonts w:ascii="Arial" w:eastAsia="Times New Roman" w:hAnsi="Arial" w:cs="Arial"/>
          <w:szCs w:val="28"/>
          <w:lang w:eastAsia="ru-RU"/>
        </w:rPr>
        <w:lastRenderedPageBreak/>
        <w:t>діяльності гродських судів, дозволяє виокремити низку важливих тенденцій, що засвідчують поступовий правовий прогрес. Серед таких змін — відмежування судової влади від адміністративних структур, окреслення предметної підсудності окремих органів правосуддя, а також формування професійного складу суддівського корпусу й забезпечення гарантій їхньої недоторканності. Значну роль почало відігравати прагнення до справедливого розгляду справ, а не прагнення отримати матеріальну винагороду. Крім того, у правозастосовчій практиці почали розрізнятися цивільні й кримінальні провадження, що засвідчує зростаючий рівень процесуальної впорядкованості. У кримінальному процесі з’являються ознаки обов’язковості досудового розслідування, що стало важливим кроком на шляху до послідовного судового розгляду [</w:t>
      </w:r>
      <w:proofErr w:type="gramStart"/>
      <w:r w:rsidRPr="00511005">
        <w:rPr>
          <w:rFonts w:ascii="Arial" w:eastAsia="Times New Roman" w:hAnsi="Arial" w:cs="Arial"/>
          <w:szCs w:val="28"/>
          <w:lang w:eastAsia="ru-RU"/>
        </w:rPr>
        <w:t>7,с.</w:t>
      </w:r>
      <w:proofErr w:type="gramEnd"/>
      <w:r w:rsidRPr="00511005">
        <w:rPr>
          <w:rFonts w:ascii="Arial" w:eastAsia="Times New Roman" w:hAnsi="Arial" w:cs="Arial"/>
          <w:szCs w:val="28"/>
          <w:lang w:eastAsia="ru-RU"/>
        </w:rPr>
        <w:t>135].</w:t>
      </w:r>
    </w:p>
    <w:p w14:paraId="62911295" w14:textId="77777777" w:rsidR="00220D3E" w:rsidRPr="00511005" w:rsidRDefault="00220D3E" w:rsidP="00D32A0F">
      <w:pPr>
        <w:keepNext/>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Гродські суди у XVI столітті були ключовими елементами судової системи Великого князівства Литовського на українських землях. Вони забезпечували розгляд найтяжчих кримінальних справ, виконували нотаріальні функції та сприяли підтриманню правопорядку.</w:t>
      </w:r>
    </w:p>
    <w:p w14:paraId="7282B63E" w14:textId="77777777" w:rsidR="00220D3E" w:rsidRPr="00511005" w:rsidRDefault="00220D3E" w:rsidP="003A292D">
      <w:pPr>
        <w:keepNext/>
        <w:spacing w:line="264" w:lineRule="auto"/>
        <w:ind w:firstLine="0"/>
        <w:rPr>
          <w:rFonts w:ascii="Arial" w:eastAsia="Times New Roman" w:hAnsi="Arial" w:cs="Arial"/>
          <w:szCs w:val="28"/>
          <w:lang w:eastAsia="ru-RU"/>
        </w:rPr>
      </w:pPr>
    </w:p>
    <w:p w14:paraId="1B9659BE" w14:textId="5A008734" w:rsidR="00220D3E" w:rsidRPr="00511005" w:rsidRDefault="007B2628" w:rsidP="007B2628">
      <w:pPr>
        <w:keepNext/>
        <w:tabs>
          <w:tab w:val="left" w:pos="4836"/>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71FD932E" w14:textId="77777777" w:rsidR="00220D3E" w:rsidRPr="00511005" w:rsidRDefault="00220D3E" w:rsidP="00D32A0F">
      <w:pPr>
        <w:numPr>
          <w:ilvl w:val="0"/>
          <w:numId w:val="50"/>
        </w:numPr>
        <w:spacing w:line="264" w:lineRule="auto"/>
        <w:ind w:left="0" w:firstLine="357"/>
        <w:contextualSpacing/>
        <w:rPr>
          <w:rFonts w:ascii="Arial" w:eastAsia="Calibri" w:hAnsi="Arial" w:cs="Arial"/>
          <w:szCs w:val="28"/>
          <w:lang w:val="uk-UA"/>
        </w:rPr>
      </w:pPr>
      <w:r w:rsidRPr="00511005">
        <w:rPr>
          <w:rFonts w:ascii="Arial" w:eastAsia="Calibri" w:hAnsi="Arial" w:cs="Arial"/>
          <w:szCs w:val="28"/>
          <w:lang w:val="uk-UA"/>
        </w:rPr>
        <w:t xml:space="preserve">Біленко М. С. Види судів та судоустрій за Статутом Великого князівства Литовського 1566 року– 2016. –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31" w:tgtFrame="_new" w:history="1">
        <w:r w:rsidRPr="00511005">
          <w:rPr>
            <w:rFonts w:ascii="Arial" w:eastAsia="Calibri" w:hAnsi="Arial" w:cs="Arial"/>
            <w:szCs w:val="28"/>
            <w:lang w:val="uk-UA"/>
          </w:rPr>
          <w:t>https://naub.oa.edu.ua/vydy-sudiv-ta-sudoustrij-za-statutom-v/</w:t>
        </w:r>
      </w:hyperlink>
    </w:p>
    <w:p w14:paraId="28043EA7" w14:textId="77777777" w:rsidR="00220D3E" w:rsidRPr="00511005" w:rsidRDefault="00220D3E" w:rsidP="00D32A0F">
      <w:pPr>
        <w:numPr>
          <w:ilvl w:val="0"/>
          <w:numId w:val="50"/>
        </w:numPr>
        <w:spacing w:line="264" w:lineRule="auto"/>
        <w:ind w:left="0" w:firstLine="357"/>
        <w:contextualSpacing/>
        <w:rPr>
          <w:rFonts w:ascii="Arial" w:eastAsia="Calibri" w:hAnsi="Arial" w:cs="Arial"/>
          <w:szCs w:val="28"/>
          <w:lang w:val="uk-UA"/>
        </w:rPr>
      </w:pPr>
      <w:r w:rsidRPr="00511005">
        <w:rPr>
          <w:rFonts w:ascii="Arial" w:eastAsia="Calibri" w:hAnsi="Arial" w:cs="Arial"/>
          <w:szCs w:val="28"/>
          <w:lang w:val="uk-UA"/>
        </w:rPr>
        <w:t>Іванов В. М. Історія держави і права України : підручник. – К. : МАУП, 2007. – 552 с.</w:t>
      </w:r>
    </w:p>
    <w:p w14:paraId="45E458B8" w14:textId="77777777" w:rsidR="00220D3E" w:rsidRPr="00511005" w:rsidRDefault="00220D3E" w:rsidP="00D32A0F">
      <w:pPr>
        <w:numPr>
          <w:ilvl w:val="0"/>
          <w:numId w:val="50"/>
        </w:numPr>
        <w:spacing w:line="264" w:lineRule="auto"/>
        <w:ind w:left="0" w:firstLine="357"/>
        <w:contextualSpacing/>
        <w:rPr>
          <w:rFonts w:ascii="Arial" w:eastAsia="Calibri" w:hAnsi="Arial" w:cs="Arial"/>
          <w:szCs w:val="28"/>
          <w:lang w:val="uk-UA"/>
        </w:rPr>
      </w:pPr>
      <w:r w:rsidRPr="00511005">
        <w:rPr>
          <w:rFonts w:ascii="Arial" w:eastAsia="Calibri" w:hAnsi="Arial" w:cs="Arial"/>
          <w:szCs w:val="28"/>
          <w:lang w:val="uk-UA"/>
        </w:rPr>
        <w:t>Шевчук А. Правоохоронна діяльність Річпосполитських судів на правобережній Україні у ХVІІІ ст. // Суспільство та безпека. – 2023. – С. 129–134.</w:t>
      </w:r>
    </w:p>
    <w:p w14:paraId="642C72B1" w14:textId="77777777" w:rsidR="00220D3E" w:rsidRPr="00511005" w:rsidRDefault="00220D3E" w:rsidP="00D32A0F">
      <w:pPr>
        <w:numPr>
          <w:ilvl w:val="0"/>
          <w:numId w:val="50"/>
        </w:numPr>
        <w:spacing w:line="264" w:lineRule="auto"/>
        <w:ind w:left="0" w:firstLine="357"/>
        <w:contextualSpacing/>
        <w:rPr>
          <w:rFonts w:ascii="Arial" w:eastAsia="Calibri" w:hAnsi="Arial" w:cs="Arial"/>
          <w:szCs w:val="28"/>
          <w:lang w:val="uk-UA"/>
        </w:rPr>
      </w:pPr>
      <w:r w:rsidRPr="00511005">
        <w:rPr>
          <w:rFonts w:ascii="Arial" w:eastAsia="Calibri" w:hAnsi="Arial" w:cs="Arial"/>
          <w:szCs w:val="28"/>
          <w:lang w:val="uk-UA"/>
        </w:rPr>
        <w:t>Захарченко П. П. Інститути судової влади у Великому князівстві Литовському (XIV–XVI ст.): структура, класифікація, компетенція // Вісник кримінального судочинства. – 2019. – № 3. – С. 151–163.</w:t>
      </w:r>
    </w:p>
    <w:p w14:paraId="1838E711" w14:textId="77777777" w:rsidR="00220D3E" w:rsidRPr="00511005" w:rsidRDefault="00220D3E" w:rsidP="00D32A0F">
      <w:pPr>
        <w:numPr>
          <w:ilvl w:val="0"/>
          <w:numId w:val="50"/>
        </w:numPr>
        <w:spacing w:line="264" w:lineRule="auto"/>
        <w:ind w:left="0" w:firstLine="357"/>
        <w:contextualSpacing/>
        <w:rPr>
          <w:rFonts w:ascii="Arial" w:eastAsia="Calibri" w:hAnsi="Arial" w:cs="Arial"/>
          <w:szCs w:val="28"/>
          <w:lang w:val="uk-UA"/>
        </w:rPr>
      </w:pPr>
      <w:r w:rsidRPr="00511005">
        <w:rPr>
          <w:rFonts w:ascii="Arial" w:eastAsia="Calibri" w:hAnsi="Arial" w:cs="Arial"/>
          <w:szCs w:val="28"/>
          <w:lang w:val="uk-UA"/>
        </w:rPr>
        <w:t xml:space="preserve">Музиченко П. П. Гродський (замковий) суд // Історія держави і права України –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32" w:tgtFrame="_new" w:history="1">
        <w:r w:rsidRPr="00511005">
          <w:rPr>
            <w:rFonts w:ascii="Arial" w:eastAsia="Calibri" w:hAnsi="Arial" w:cs="Arial"/>
            <w:szCs w:val="28"/>
            <w:lang w:val="uk-UA"/>
          </w:rPr>
          <w:t>https://ukrtextbook.com/istoriya-derzhavi-i-prava-ukra%D1%97ni-muzichenko-p-p/istoriya-derzhavi-i-prava-ukra%D1%97ni-muzichenko-p-p-grodskij-zamkovij-sud.html</w:t>
        </w:r>
      </w:hyperlink>
    </w:p>
    <w:p w14:paraId="5A0526D4" w14:textId="77777777" w:rsidR="00220D3E" w:rsidRPr="00511005" w:rsidRDefault="00220D3E" w:rsidP="00D32A0F">
      <w:pPr>
        <w:numPr>
          <w:ilvl w:val="0"/>
          <w:numId w:val="50"/>
        </w:numPr>
        <w:spacing w:line="264" w:lineRule="auto"/>
        <w:ind w:left="0" w:firstLine="357"/>
        <w:contextualSpacing/>
        <w:rPr>
          <w:rFonts w:ascii="Arial" w:eastAsia="Calibri" w:hAnsi="Arial" w:cs="Arial"/>
          <w:szCs w:val="28"/>
          <w:lang w:val="uk-UA"/>
        </w:rPr>
      </w:pPr>
      <w:r w:rsidRPr="00511005">
        <w:rPr>
          <w:rFonts w:ascii="Arial" w:eastAsia="Calibri" w:hAnsi="Arial" w:cs="Arial"/>
          <w:szCs w:val="28"/>
          <w:lang w:val="uk-UA"/>
        </w:rPr>
        <w:t xml:space="preserve">Олійник А. Ю. § 4. Держава і право в період входження українських земель до різних європейських держав // Правознавство. –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33" w:tgtFrame="_new" w:history="1">
        <w:r w:rsidRPr="00511005">
          <w:rPr>
            <w:rFonts w:ascii="Arial" w:eastAsia="Calibri" w:hAnsi="Arial" w:cs="Arial"/>
            <w:szCs w:val="28"/>
            <w:lang w:val="uk-UA"/>
          </w:rPr>
          <w:t>https://subj.ukr-lit.com/pravoznavstvo-olijnik-a-yu-4-derzhava-i-pravo-v-period-vxodzhennya-ukra%d1%97nskix-zemel-do-riznix-yevropejskix-derzhav/</w:t>
        </w:r>
      </w:hyperlink>
    </w:p>
    <w:p w14:paraId="12AF80F0" w14:textId="77777777" w:rsidR="00220D3E" w:rsidRPr="00511005" w:rsidRDefault="00220D3E" w:rsidP="00D32A0F">
      <w:pPr>
        <w:numPr>
          <w:ilvl w:val="0"/>
          <w:numId w:val="50"/>
        </w:numPr>
        <w:spacing w:line="264" w:lineRule="auto"/>
        <w:ind w:left="0" w:firstLine="357"/>
        <w:contextualSpacing/>
        <w:rPr>
          <w:rFonts w:ascii="Arial" w:eastAsia="Calibri" w:hAnsi="Arial" w:cs="Arial"/>
          <w:szCs w:val="28"/>
          <w:lang w:val="uk-UA"/>
        </w:rPr>
      </w:pPr>
      <w:r w:rsidRPr="00511005">
        <w:rPr>
          <w:rFonts w:ascii="Arial" w:eastAsia="Calibri" w:hAnsi="Arial" w:cs="Arial"/>
          <w:szCs w:val="28"/>
          <w:lang w:val="uk-UA"/>
        </w:rPr>
        <w:t xml:space="preserve">Суд і судочинство на українських землях у XIV-XVI ст. Монографія Музиченко П., Долматова І., Єфремова Н. та ін. Одеса : Астропринт, 2000. 178 с. -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34" w:history="1">
        <w:r w:rsidRPr="00511005">
          <w:rPr>
            <w:rFonts w:ascii="Arial" w:eastAsia="Calibri" w:hAnsi="Arial" w:cs="Arial"/>
            <w:szCs w:val="28"/>
            <w:lang w:val="uk-UA"/>
          </w:rPr>
          <w:t>https://onua.edu.ua/ua/?option=com_content&amp;view=category&amp;layout=blog&amp;id=263&amp;Itemid=743&amp;lang=uk</w:t>
        </w:r>
      </w:hyperlink>
      <w:r w:rsidRPr="00511005">
        <w:rPr>
          <w:rFonts w:ascii="Arial" w:eastAsia="Calibri" w:hAnsi="Arial" w:cs="Arial"/>
          <w:szCs w:val="28"/>
          <w:lang w:val="uk-UA"/>
        </w:rPr>
        <w:t xml:space="preserve"> </w:t>
      </w:r>
    </w:p>
    <w:p w14:paraId="71F23C92" w14:textId="5D0B8A68" w:rsidR="00220D3E" w:rsidRPr="00511005" w:rsidRDefault="007B2628" w:rsidP="003A292D">
      <w:pPr>
        <w:keepNext/>
        <w:spacing w:line="264" w:lineRule="auto"/>
        <w:ind w:firstLine="0"/>
        <w:rPr>
          <w:rFonts w:ascii="Arial" w:eastAsia="Times New Roman" w:hAnsi="Arial" w:cs="Arial"/>
          <w:szCs w:val="28"/>
          <w:lang w:eastAsia="ru-RU"/>
        </w:rPr>
      </w:pPr>
      <w:r w:rsidRPr="00511005">
        <w:rPr>
          <w:rFonts w:ascii="Arial" w:eastAsia="Times New Roman" w:hAnsi="Arial" w:cs="Arial"/>
          <w:b/>
          <w:i/>
          <w:szCs w:val="28"/>
          <w:lang w:eastAsia="ru-RU"/>
        </w:rPr>
        <w:lastRenderedPageBreak/>
        <w:t xml:space="preserve">Ключові слова: </w:t>
      </w:r>
      <w:r w:rsidR="00220D3E" w:rsidRPr="00511005">
        <w:rPr>
          <w:rFonts w:ascii="Arial" w:eastAsia="Times New Roman" w:hAnsi="Arial" w:cs="Arial"/>
          <w:szCs w:val="28"/>
          <w:lang w:eastAsia="ru-RU"/>
        </w:rPr>
        <w:t>гродський суд, судочинство, кримінальні справи, Велике князівство Литовське, українські землі, XVI століття, судова система.</w:t>
      </w:r>
    </w:p>
    <w:p w14:paraId="750A8E85" w14:textId="0F13F216" w:rsidR="00220D3E" w:rsidRPr="00511005" w:rsidRDefault="007B2628" w:rsidP="003A292D">
      <w:pPr>
        <w:keepNext/>
        <w:spacing w:line="264" w:lineRule="auto"/>
        <w:ind w:firstLine="0"/>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grod court, judiciary, criminal cases, Grand Duchy of Lithuania, Ukrainian lands, 16th century, judicial system.</w:t>
      </w:r>
    </w:p>
    <w:p w14:paraId="779CA153" w14:textId="76756A67" w:rsidR="00220D3E" w:rsidRPr="00511005" w:rsidRDefault="007B2628" w:rsidP="003A292D">
      <w:pPr>
        <w:keepNext/>
        <w:spacing w:line="264" w:lineRule="auto"/>
        <w:ind w:firstLine="0"/>
        <w:rPr>
          <w:rFonts w:ascii="Arial" w:eastAsia="Times New Roman" w:hAnsi="Arial" w:cs="Arial"/>
          <w:bCs/>
          <w:i/>
          <w:iCs/>
          <w:szCs w:val="28"/>
          <w:lang w:eastAsia="ru-RU"/>
        </w:rPr>
      </w:pPr>
      <w:r w:rsidRPr="00511005">
        <w:rPr>
          <w:rFonts w:ascii="Arial" w:eastAsia="Times New Roman" w:hAnsi="Arial" w:cs="Arial"/>
          <w:b/>
          <w:bCs/>
          <w:i/>
          <w:iCs/>
          <w:szCs w:val="28"/>
          <w:lang w:eastAsia="ru-RU"/>
        </w:rPr>
        <w:t>Науковий керівник:</w:t>
      </w:r>
      <w:r w:rsidRPr="00511005">
        <w:rPr>
          <w:rFonts w:ascii="Arial" w:eastAsia="Times New Roman" w:hAnsi="Arial" w:cs="Arial"/>
          <w:i/>
          <w:iCs/>
          <w:szCs w:val="28"/>
          <w:lang w:eastAsia="ru-RU"/>
        </w:rPr>
        <w:t xml:space="preserve"> </w:t>
      </w:r>
      <w:r w:rsidR="00D32A0F" w:rsidRPr="00511005">
        <w:rPr>
          <w:rFonts w:ascii="Arial" w:eastAsia="Times New Roman" w:hAnsi="Arial" w:cs="Arial"/>
          <w:szCs w:val="28"/>
          <w:lang w:val="uk-UA" w:eastAsia="ru-RU"/>
        </w:rPr>
        <w:t xml:space="preserve">к.ю.н., </w:t>
      </w:r>
      <w:r w:rsidR="00220D3E" w:rsidRPr="00511005">
        <w:rPr>
          <w:rFonts w:ascii="Arial" w:eastAsia="Times New Roman" w:hAnsi="Arial" w:cs="Arial"/>
          <w:bCs/>
          <w:szCs w:val="28"/>
          <w:lang w:eastAsia="ru-RU"/>
        </w:rPr>
        <w:t>доцент Єфремова Н</w:t>
      </w:r>
      <w:r w:rsidR="00D32A0F" w:rsidRPr="00511005">
        <w:rPr>
          <w:rFonts w:ascii="Arial" w:eastAsia="Times New Roman" w:hAnsi="Arial" w:cs="Arial"/>
          <w:bCs/>
          <w:szCs w:val="28"/>
          <w:lang w:val="uk-UA" w:eastAsia="ru-RU"/>
        </w:rPr>
        <w:t>.</w:t>
      </w:r>
      <w:r w:rsidR="00220D3E" w:rsidRPr="00511005">
        <w:rPr>
          <w:rFonts w:ascii="Arial" w:eastAsia="Times New Roman" w:hAnsi="Arial" w:cs="Arial"/>
          <w:bCs/>
          <w:szCs w:val="28"/>
          <w:lang w:eastAsia="ru-RU"/>
        </w:rPr>
        <w:t xml:space="preserve"> В</w:t>
      </w:r>
      <w:r w:rsidR="00D32A0F" w:rsidRPr="00511005">
        <w:rPr>
          <w:rFonts w:ascii="Arial" w:eastAsia="Times New Roman" w:hAnsi="Arial" w:cs="Arial"/>
          <w:bCs/>
          <w:szCs w:val="28"/>
          <w:lang w:val="uk-UA" w:eastAsia="ru-RU"/>
        </w:rPr>
        <w:t>.</w:t>
      </w:r>
      <w:r w:rsidR="00220D3E" w:rsidRPr="00511005">
        <w:rPr>
          <w:rFonts w:ascii="Arial" w:eastAsia="Times New Roman" w:hAnsi="Arial" w:cs="Arial"/>
          <w:bCs/>
          <w:i/>
          <w:iCs/>
          <w:szCs w:val="28"/>
          <w:lang w:eastAsia="ru-RU"/>
        </w:rPr>
        <w:t xml:space="preserve"> </w:t>
      </w:r>
    </w:p>
    <w:p w14:paraId="4EE5E470" w14:textId="117FF538" w:rsidR="00220D3E" w:rsidRPr="00511005" w:rsidRDefault="00220D3E" w:rsidP="003A292D">
      <w:pPr>
        <w:keepNext/>
        <w:spacing w:line="264" w:lineRule="auto"/>
        <w:ind w:firstLine="0"/>
        <w:rPr>
          <w:rFonts w:ascii="Arial" w:eastAsia="Times New Roman" w:hAnsi="Arial" w:cs="Arial"/>
          <w:bCs/>
          <w:i/>
          <w:iCs/>
          <w:szCs w:val="28"/>
          <w:lang w:eastAsia="ru-RU"/>
        </w:rPr>
      </w:pPr>
    </w:p>
    <w:p w14:paraId="74EF2C4C" w14:textId="77777777" w:rsidR="00D32A0F" w:rsidRPr="00511005" w:rsidRDefault="00D32A0F" w:rsidP="003A292D">
      <w:pPr>
        <w:keepNext/>
        <w:spacing w:line="264" w:lineRule="auto"/>
        <w:ind w:firstLine="0"/>
        <w:rPr>
          <w:rFonts w:ascii="Arial" w:eastAsia="Times New Roman" w:hAnsi="Arial" w:cs="Arial"/>
          <w:bCs/>
          <w:i/>
          <w:iCs/>
          <w:szCs w:val="28"/>
          <w:lang w:eastAsia="ru-RU"/>
        </w:rPr>
      </w:pPr>
    </w:p>
    <w:p w14:paraId="64797D1E" w14:textId="77777777" w:rsidR="00220D3E" w:rsidRPr="00511005" w:rsidRDefault="00220D3E"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Сковородецька Тетяна Віталіївна</w:t>
      </w:r>
    </w:p>
    <w:p w14:paraId="5FA1AE3F" w14:textId="15AB9FDE" w:rsidR="00220D3E" w:rsidRPr="00511005" w:rsidRDefault="00220D3E" w:rsidP="00D32A0F">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1-го курсу</w:t>
      </w:r>
      <w:r w:rsidR="00D32A0F" w:rsidRPr="00511005">
        <w:rPr>
          <w:rFonts w:ascii="Arial" w:eastAsia="Times New Roman" w:hAnsi="Arial" w:cs="Arial"/>
          <w:szCs w:val="28"/>
          <w:lang w:val="uk-UA" w:eastAsia="ru-RU"/>
        </w:rPr>
        <w:t xml:space="preserve"> ф</w:t>
      </w:r>
      <w:r w:rsidR="00536AAB" w:rsidRPr="00511005">
        <w:rPr>
          <w:rFonts w:ascii="Arial" w:eastAsia="Times New Roman" w:hAnsi="Arial" w:cs="Arial"/>
          <w:szCs w:val="28"/>
          <w:lang w:val="uk-UA" w:eastAsia="ru-RU"/>
        </w:rPr>
        <w:t>акультету адвокатури та антикорупційної діяльності</w:t>
      </w:r>
    </w:p>
    <w:p w14:paraId="58A69614" w14:textId="2AA4846A" w:rsidR="00220D3E"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9D86C63" w14:textId="77777777" w:rsidR="00220D3E" w:rsidRPr="00511005" w:rsidRDefault="00220D3E" w:rsidP="003A292D">
      <w:pPr>
        <w:spacing w:line="264" w:lineRule="auto"/>
        <w:ind w:firstLine="0"/>
        <w:jc w:val="center"/>
        <w:rPr>
          <w:rFonts w:ascii="Arial" w:eastAsia="Times New Roman" w:hAnsi="Arial" w:cs="Arial"/>
          <w:szCs w:val="28"/>
          <w:lang w:val="uk-UA" w:eastAsia="ru-RU"/>
        </w:rPr>
      </w:pPr>
    </w:p>
    <w:p w14:paraId="4EC2D3C0" w14:textId="77777777" w:rsidR="00220D3E" w:rsidRPr="00511005" w:rsidRDefault="00220D3E"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 xml:space="preserve">РОЛЬ </w:t>
      </w:r>
      <w:r w:rsidRPr="00511005">
        <w:rPr>
          <w:rFonts w:ascii="Arial" w:eastAsia="Times New Roman" w:hAnsi="Arial" w:cs="Arial"/>
          <w:b/>
          <w:szCs w:val="28"/>
          <w:lang w:eastAsia="ru-RU"/>
        </w:rPr>
        <w:t>М.</w:t>
      </w:r>
      <w:r w:rsidRPr="00511005">
        <w:rPr>
          <w:rFonts w:ascii="Arial" w:eastAsia="Times New Roman" w:hAnsi="Arial" w:cs="Arial"/>
          <w:b/>
          <w:szCs w:val="28"/>
          <w:lang w:val="uk-UA" w:eastAsia="ru-RU"/>
        </w:rPr>
        <w:t xml:space="preserve"> ГРУШЕВСЬКОГО У СТАНОВЛЕННІ УНР</w:t>
      </w:r>
    </w:p>
    <w:p w14:paraId="23425906"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Михайло Грушевський відіграв ключову роль у становленні Української Народної Республіки, і його діяльність у період 1917–1918 років була визначальною для формування української державності в умовах розпаду Російської імперії та суспільно-політичної кризи в Європі. Як один із найавторитетніших українських інтелектуалів і науковців, історик зі світовим іменем, Грушевський володів не лише глибоким розумінням історичних закономірностей розвитку України, а й політичною волею до практичної реалізації ідеї національного самовизначення. Його участь у політичному житті почалася ще задовго до Лютневої революції 1917 року, але саме в цей період він вийшов на авансцену як головний ідеолог і організатор українського національного руху. Його постать була символом легітимності та спадкоємності української державності, а публічні виступи, праці та політичні кроки визначали стратегічний напрям дій Центральної Ради [1,c.21].</w:t>
      </w:r>
    </w:p>
    <w:p w14:paraId="435E00B7"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Грушевський повернувся до Києва в березні 1917 року після повалення царського режиму, і практично відразу очолив Українську Центральну Раду — представницький орган, який поступово трансформувався з громадсько-політичного комітету національного відродження у вищий орган влади майбутньої держави. Завдяки високому авторитету серед національної інтелігенції, політиків і широких народних мас, Грушевський був обраний головою Центральної Ради. Його позиція вирізнялася прагматичністю і поступовістю: він виступав за автономію України у складі демократичної федеративної Росії, сподіваючись, що новий республіканський устрій у Петрограді дасть змогу легітимно вирішити українське питання. Проте події пішли інакше, і саме під тиском історичних обставин і зростаючих народних очікувань Центральна Рада на чолі з Грушевським перейшла до рішучих кроків у напрямку повної державної незалежності [4,c.41].</w:t>
      </w:r>
    </w:p>
    <w:p w14:paraId="084E358A"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Однією з головних заслуг Грушевського стало концептуальне й політичне оформлення автономістської ідеї в Першому Універсалі Центральної Ради, прийнятому 23 червня 1917 року. Саме з його ініціативи </w:t>
      </w:r>
      <w:r w:rsidRPr="00511005">
        <w:rPr>
          <w:rFonts w:ascii="Arial" w:eastAsia="Times New Roman" w:hAnsi="Arial" w:cs="Arial"/>
          <w:szCs w:val="28"/>
          <w:lang w:val="uk-UA" w:eastAsia="ru-RU"/>
        </w:rPr>
        <w:lastRenderedPageBreak/>
        <w:t>в документі було проголошено автономію України без погодження з Тимчасовим урядом у Петрограді, що стало першим кроком до фактичного відокремлення. При цьому Грушевський наполягав на легальності й послідовності дій, аби не допустити анархії чи насильницького конфлікту. Його політична культура ґрунтувалася на глибокій вірі в демократичні механізми, парламентаризм, діалог між політичними силами, що робило його позицію принципово відмінною від більшовицького підходу до захоплення влади[3,c.23].</w:t>
      </w:r>
    </w:p>
    <w:p w14:paraId="3B68A66E"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Наступні Універсали Центральної Ради, зокрема Третій, у якому було проголошено утворення Української Народної Республіки, також були продуктом інтелектуального і політичного впливу Грушевського. Він не лише активно брав участь у редагуванні текстів, а й визначав логіку розвитку політичного курсу. Проголошення УНР стало відповіддю на більшовицьке втручання, загрозу анархії та агресії, а також природним продовженням еволюції національного руху. Грушевський намагався зберегти баланс між радикальними вимогами народних мас і необхідністю політичної стабільності. Саме тому УНР у листопаді 1917 року не проголошувала незалежність, а формально залишалася у федеративному зв’язку з Росією, хоча фактично діяла як незалежна держава.</w:t>
      </w:r>
    </w:p>
    <w:p w14:paraId="38C5A5C0"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січні 1918 року, після розриву з Радянською Росією, Грушевський підтримав проголошення повної незалежності УНР, оформлене в Четвертому Універсалі. Це був кульмінаційний момент державотворчої місії Центральної Ради, яку він очолював. Незалежність розглядалася ним не як самоціль, а як засіб захисту українського народу від більшовицької загрози, можливість укласти мир із Центральними державами та налагодити міжнародне визнання. Паралельно з проголошенням незалежності розпочалася спроба створити ефективний державний апарат, армію, фінансову систему — завдання, з якими Грушевський, як інтелектуал, був об’єктивно не зовсім підготовлений. Його сильна сторона — ідеологія та інституційне оформлення — вступила у суперечність із вимогами воєнного часу, що вимагав рішучих дій, авторитарного управління та жорсткої вертикалі влади[2,c.30].</w:t>
      </w:r>
    </w:p>
    <w:p w14:paraId="11747DC9"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Разом з тим, саме Грушевський був ініціатором і архітектором тих базових державних інститутів, без яких неможливо було б говорити про державність як таку. Під його керівництвом було розроблено проєкти законодавства, створено Генеральний Секретаріат — перший уряд УНР, сформовано модель адміністративного устрою, започатковано систему освіти українською мовою, українізовано університети, школи, суди. Він наполягав на культурному відродженні як передумові політичної незалежності, вважаючи, що лише національно свідоме суспільство здатне утримати державу.</w:t>
      </w:r>
    </w:p>
    <w:p w14:paraId="3D0A42FD"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Іншим важливим напрямом діяльності Грушевського була дипломатія. Саме під його ідейним керівництвом відбувалися перші кроки УНР на міжнародній арені. Хоча він особисто не був присутній на Брест-Литовських переговорах, саме його політичний курс і наполегливість у прагненні до миру стали основою домовленостей з Центральними державами, що визнали УНР як незалежну державу. Це мало величезне значення для міжнародної легітимізації нової української влади[4,c.37].</w:t>
      </w:r>
    </w:p>
    <w:p w14:paraId="4DB8BBE0"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Втім, не всі аспекти діяльності Грушевського були однозначно успішними. Його намагання зберегти демократичний характер УНР у період революційного хаосу зіткнулися з об’єктивними труднощами. Відсутність армії, внутрішня дестабілізація, аграрне питання, соціальна напруга, агресія більшовиків, а також політична незрілість багатьох членів Центральної Ради призвели до втрати контролю над ситуацією. Коли в лютому 1918 року більшовики окупували Київ, а Центральна Рада була змушена тимчасово евакуюватися, стало очевидно, що потрібна нова модель управління. Грушевський, як переконаний демократ і соціаліст, не сприймав авторитаризму, що невдовзі реалізувався в особі Павла Скоропадського. Після гетьманського перевороту Грушевський фактично відійшов від активної політики, хоча продовжував впливати на громадську думку як публіцист, вчений і критик подій[1,c.18].</w:t>
      </w:r>
    </w:p>
    <w:p w14:paraId="430C63A8"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Його критика гетьманського режиму базувалася на принциповій позиції: він не визнавав монархічних форм правління і вважав за необхідне зберігати республіканську традицію, яку заклала Центральна Рада. Саме тому після повалення Скоропадського і відновлення Директорії, Грушевський знову повернувся до політичної діяльності, хоча і не відігравав уже тієї визначальної ролі, яку мав у 1917–1918 роках. Його політична платформа залишалася незмінною — демократична, соціалістична, національна держава, заснована на принципах права, волі і рівності[2,c.16].</w:t>
      </w:r>
    </w:p>
    <w:p w14:paraId="4D57F15B"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Михайло Грушевський був не просто лідером Української Центральної Ради, а центральною фігурою у процесі утвердження УНР як політичної реальності. Його роль полягає у закладенні ідеологічного, інституційного та юридичного фундаменту української державності. Він поєднав глибоку історичну обґрунтованість національної ідеї з практичними кроками до її реалізації. Попри обмеженість ресурсів, зовнішні загрози та внутрішні суперечності, саме під його керівництвом уперше за багато століть було проголошено українську республіку — національну державу українського народу.</w:t>
      </w:r>
    </w:p>
    <w:p w14:paraId="41D31B48" w14:textId="5C23F7F5"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Грушевський заклав традицію українського парламентаризму, виступав за прозорі механізми легітимації влади, дотримання прав людини, соціальну справедливість і культурне відродження. У перспективі української історії його постать стоїть поряд із найвизначнішими державниками, адже без нього навряд чи відбувся б такий стрімкий і </w:t>
      </w:r>
      <w:r w:rsidRPr="00511005">
        <w:rPr>
          <w:rFonts w:ascii="Arial" w:eastAsia="Times New Roman" w:hAnsi="Arial" w:cs="Arial"/>
          <w:szCs w:val="28"/>
          <w:lang w:val="uk-UA" w:eastAsia="ru-RU"/>
        </w:rPr>
        <w:lastRenderedPageBreak/>
        <w:t xml:space="preserve">політично обґрунтований вихід України з імперського простору. Його діяльність залишила потужний слід в українській політичній традиції, з якої виростала і сучасна незалежність 1991 року. Саме тому Грушевський не лише батько української історіографії, а й один із батьків модерної української державності. </w:t>
      </w:r>
    </w:p>
    <w:p w14:paraId="6AEC59A1" w14:textId="77777777" w:rsidR="00D32A0F" w:rsidRPr="00511005" w:rsidRDefault="00D32A0F" w:rsidP="00D32A0F">
      <w:pPr>
        <w:spacing w:line="264" w:lineRule="auto"/>
        <w:rPr>
          <w:rFonts w:ascii="Arial" w:eastAsia="Times New Roman" w:hAnsi="Arial" w:cs="Arial"/>
          <w:szCs w:val="28"/>
          <w:lang w:val="uk-UA" w:eastAsia="ru-RU"/>
        </w:rPr>
      </w:pPr>
    </w:p>
    <w:p w14:paraId="5ACA7039" w14:textId="4854D345" w:rsidR="00220D3E"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6CC2CC22" w14:textId="77777777" w:rsidR="00220D3E" w:rsidRPr="00511005" w:rsidRDefault="00220D3E" w:rsidP="00D32A0F">
      <w:pPr>
        <w:numPr>
          <w:ilvl w:val="0"/>
          <w:numId w:val="51"/>
        </w:numPr>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Верстюк В. Ф. М. С. Грушевський у перший період діяльності Центральної Ради // Український історичний журнал. — 1996. — № 5. — С. 15–25.</w:t>
      </w:r>
    </w:p>
    <w:p w14:paraId="081E1B15" w14:textId="77777777" w:rsidR="00220D3E" w:rsidRPr="00511005" w:rsidRDefault="00220D3E" w:rsidP="00D32A0F">
      <w:pPr>
        <w:numPr>
          <w:ilvl w:val="0"/>
          <w:numId w:val="51"/>
        </w:numPr>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Солдатенко В. Ф. Внесок М. С. Грушевського в концепцію української революції // Український історичний журнал. — 1996. — № 5. — С. 26–36.</w:t>
      </w:r>
    </w:p>
    <w:p w14:paraId="0601A94F" w14:textId="77777777" w:rsidR="00220D3E" w:rsidRPr="00511005" w:rsidRDefault="00220D3E" w:rsidP="00D32A0F">
      <w:pPr>
        <w:numPr>
          <w:ilvl w:val="0"/>
          <w:numId w:val="51"/>
        </w:numPr>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Грушевський М. С. Хто такі українці і чого вони хочуть. — Київ : Знання, 1991. — 64 с.</w:t>
      </w:r>
    </w:p>
    <w:p w14:paraId="08C8E36A" w14:textId="77777777" w:rsidR="00220D3E" w:rsidRPr="00511005" w:rsidRDefault="00220D3E" w:rsidP="00D32A0F">
      <w:pPr>
        <w:numPr>
          <w:ilvl w:val="0"/>
          <w:numId w:val="51"/>
        </w:numPr>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Грушевський М. С. Якої ми хочемо автономії і федерації // Великий Українець : статті, виступи, документи. — Київ : Либідь, 1992. — С. 34–41.</w:t>
      </w:r>
    </w:p>
    <w:p w14:paraId="1DC91753" w14:textId="77777777" w:rsidR="00220D3E" w:rsidRPr="00511005" w:rsidRDefault="00220D3E" w:rsidP="003A292D">
      <w:pPr>
        <w:spacing w:line="264" w:lineRule="auto"/>
        <w:ind w:firstLine="0"/>
        <w:jc w:val="left"/>
        <w:rPr>
          <w:rFonts w:ascii="Arial" w:eastAsia="Times New Roman" w:hAnsi="Arial" w:cs="Arial"/>
          <w:szCs w:val="28"/>
          <w:lang w:val="uk-UA" w:eastAsia="ru-RU"/>
        </w:rPr>
      </w:pPr>
    </w:p>
    <w:p w14:paraId="46909F5F" w14:textId="37B1ADA4" w:rsidR="00220D3E" w:rsidRPr="00511005" w:rsidRDefault="007B2628" w:rsidP="003A292D">
      <w:pPr>
        <w:spacing w:line="264" w:lineRule="auto"/>
        <w:ind w:firstLine="0"/>
        <w:jc w:val="left"/>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Михайло Грушевський, Українська Народна Республіка, Центральна Рада, державність, незалежність, автономія, Універсали, національний рух, історик, парламентаризм, культурне відродження, демократична держава, самовизначення, дипломатія, більшовицька загроза.</w:t>
      </w:r>
    </w:p>
    <w:p w14:paraId="353EDFA5" w14:textId="0EC8C3E3" w:rsidR="00220D3E" w:rsidRPr="00511005" w:rsidRDefault="007B2628" w:rsidP="003A292D">
      <w:pPr>
        <w:spacing w:line="264" w:lineRule="auto"/>
        <w:ind w:firstLine="0"/>
        <w:jc w:val="left"/>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Mykhajlo Hrushevsky, Ukrainian People's Republic, Central Rada, statehood, independence, autonomy, Universals, national movement, historian, parliamentarism, cultural revival, democratic state, self-determination, diplomacy, Bolshevik threat.</w:t>
      </w:r>
    </w:p>
    <w:p w14:paraId="48169881" w14:textId="2556173F" w:rsidR="00220D3E" w:rsidRPr="00511005" w:rsidRDefault="007B2628" w:rsidP="003A292D">
      <w:pPr>
        <w:spacing w:line="264" w:lineRule="auto"/>
        <w:ind w:firstLine="0"/>
        <w:jc w:val="left"/>
        <w:rPr>
          <w:rFonts w:ascii="Arial" w:eastAsia="Times New Roman" w:hAnsi="Arial" w:cs="Arial"/>
          <w:iCs/>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Cs/>
          <w:szCs w:val="28"/>
          <w:lang w:val="uk-UA" w:eastAsia="ru-RU"/>
        </w:rPr>
        <w:t>завідувач кафедри, д.ю.н., професор Аніщук Н. В.</w:t>
      </w:r>
    </w:p>
    <w:p w14:paraId="25E5655B" w14:textId="77777777" w:rsidR="00220D3E" w:rsidRPr="00511005" w:rsidRDefault="00220D3E" w:rsidP="003A292D">
      <w:pPr>
        <w:spacing w:line="264" w:lineRule="auto"/>
        <w:ind w:firstLine="0"/>
        <w:jc w:val="left"/>
        <w:rPr>
          <w:rFonts w:ascii="Arial" w:eastAsia="Times New Roman" w:hAnsi="Arial" w:cs="Arial"/>
          <w:szCs w:val="28"/>
          <w:lang w:val="uk-UA" w:eastAsia="ru-RU"/>
        </w:rPr>
      </w:pPr>
    </w:p>
    <w:p w14:paraId="6C6E1B63" w14:textId="77777777" w:rsidR="00220D3E" w:rsidRPr="00511005" w:rsidRDefault="00220D3E" w:rsidP="003A292D">
      <w:pPr>
        <w:spacing w:line="264" w:lineRule="auto"/>
        <w:ind w:firstLine="0"/>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Суровцова Анна Євгенівна</w:t>
      </w:r>
    </w:p>
    <w:p w14:paraId="7E720236"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1-го курсу </w:t>
      </w:r>
    </w:p>
    <w:p w14:paraId="76CBD6E9"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6E3398B" w14:textId="227CF5C0" w:rsidR="00220D3E"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76234EE0" w14:textId="77777777" w:rsidR="00220D3E" w:rsidRPr="00511005" w:rsidRDefault="00220D3E" w:rsidP="003A292D">
      <w:pPr>
        <w:spacing w:line="264" w:lineRule="auto"/>
        <w:ind w:firstLine="0"/>
        <w:jc w:val="center"/>
        <w:rPr>
          <w:rFonts w:ascii="Arial" w:eastAsia="Times New Roman" w:hAnsi="Arial" w:cs="Arial"/>
          <w:szCs w:val="28"/>
          <w:lang w:val="uk-UA" w:eastAsia="ru-RU"/>
        </w:rPr>
      </w:pPr>
    </w:p>
    <w:p w14:paraId="4395EF38" w14:textId="77777777" w:rsidR="00220D3E" w:rsidRPr="00511005" w:rsidRDefault="00220D3E"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ПРИЧИНИ ТА ЗАВДАННЯ СУДОВОЇ РЕФОРМИ 1564-1566 РОКІВ У ВЕЛИКОМУ КНЯЗІВСТВІ ЛИТОВСЬКОМУ</w:t>
      </w:r>
    </w:p>
    <w:p w14:paraId="6A071D52" w14:textId="77777777" w:rsidR="00220D3E" w:rsidRPr="00511005" w:rsidRDefault="00220D3E" w:rsidP="003A292D">
      <w:pPr>
        <w:spacing w:line="264" w:lineRule="auto"/>
        <w:ind w:firstLine="0"/>
        <w:rPr>
          <w:rFonts w:ascii="Arial" w:eastAsia="Times New Roman" w:hAnsi="Arial" w:cs="Arial"/>
          <w:b/>
          <w:szCs w:val="28"/>
          <w:lang w:val="uk-UA" w:eastAsia="ru-RU"/>
        </w:rPr>
      </w:pPr>
    </w:p>
    <w:p w14:paraId="2DFCB4CC"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середині </w:t>
      </w:r>
      <w:r w:rsidRPr="00511005">
        <w:rPr>
          <w:rFonts w:ascii="Arial" w:eastAsia="Times New Roman" w:hAnsi="Arial" w:cs="Arial"/>
          <w:szCs w:val="28"/>
          <w:lang w:eastAsia="ru-RU"/>
        </w:rPr>
        <w:t>XVI</w:t>
      </w:r>
      <w:r w:rsidRPr="00511005">
        <w:rPr>
          <w:rFonts w:ascii="Arial" w:eastAsia="Times New Roman" w:hAnsi="Arial" w:cs="Arial"/>
          <w:szCs w:val="28"/>
          <w:lang w:val="uk-UA" w:eastAsia="ru-RU"/>
        </w:rPr>
        <w:t xml:space="preserve"> століття Велике князівство Литовське переживало важливі трансформаційні процеси, які охоплювали як соціально-економічну сферу, так і політико-правову систему. У цьому контексті судова реформи 1564-1566 років стала необхідним етапом модернізації державного </w:t>
      </w:r>
      <w:r w:rsidRPr="00511005">
        <w:rPr>
          <w:rFonts w:ascii="Arial" w:eastAsia="Times New Roman" w:hAnsi="Arial" w:cs="Arial"/>
          <w:szCs w:val="28"/>
          <w:lang w:val="uk-UA" w:eastAsia="ru-RU"/>
        </w:rPr>
        <w:lastRenderedPageBreak/>
        <w:t xml:space="preserve">управляння, забезпечення стабільності та створення правових основ для подальшого розвитку. Згадана реформа є однією з найвизначніших у правовій історії держави, адже вона докорінно змінила систему судочинства, затвердила принцип верховенства писаного права і значно посилила політико-правовий вплив шляхти. </w:t>
      </w:r>
    </w:p>
    <w:p w14:paraId="52B0C010"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Перш за все, необхідно зупинитися на передумовах реформи. До середини XVI століття в судовій системі Великого князівства Литовського панував правовий плюралізм: одночасно діяли норми Статуту 1529 року, звичаєве право, судові прецеденти та численні привілеї окремих територій і станів. Це призводило до правової невизначеності, суперечностей у вироках, неоднакового тлумачення норм права та зловживань з боку адміністрації. Історики зазначають, що "правова система князівства до середини XVI століття все ще базувалась на феодальній автономії, а не на загальнодержавному правопорядку", що значно ускладнювало адміністративне управління та судову практику. Тому можна визначити, що перш за все завдання судової реформи 1564-1566 років полягало у створені єдиної судової системи, тобто її об’єднанню. [1, </w:t>
      </w:r>
      <w:r w:rsidRPr="00511005">
        <w:rPr>
          <w:rFonts w:ascii="Arial" w:eastAsia="Times New Roman" w:hAnsi="Arial" w:cs="Arial"/>
          <w:szCs w:val="28"/>
          <w:lang w:eastAsia="ru-RU"/>
        </w:rPr>
        <w:t>c</w:t>
      </w:r>
      <w:r w:rsidRPr="00511005">
        <w:rPr>
          <w:rFonts w:ascii="Arial" w:eastAsia="Times New Roman" w:hAnsi="Arial" w:cs="Arial"/>
          <w:szCs w:val="28"/>
          <w:lang w:val="uk-UA" w:eastAsia="ru-RU"/>
        </w:rPr>
        <w:t>.15]</w:t>
      </w:r>
    </w:p>
    <w:p w14:paraId="61C50A5D"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Судова реформа 1564–1566 років у Великому князівстві Литовському стала важливою віхою в історії розвитку судочинства не лише у межах самої держави, а й у ширшому контексті правової традиції України, Литви та інших країн Східної Європи. Хоча між XVI століттям і сучасністю пролягають століття кардинальних змін, проте окремі ідеї, інституції та принципи, запроваджені в межах цієї реформи, продовжують впливати на характер і логіку судочинства сьогодні. Її значення вбачаємо не лише в безпосередніх правових змінах, а й у формуванні правосвідомості, правових засад самоврядування та принципу рівності перед законом.</w:t>
      </w:r>
    </w:p>
    <w:p w14:paraId="5F2B88D8"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Одним із найважливіших наслідків реформи є закріплення ідеї незалежного суду. До середини XVI століття судова влада в багатьох частинах Європи, зокрема й у Великому князівстві Литовському, тісно поєднувалася з адміністративною та виконавчою. Судові функції часто виконували намісники, старости або магнати, які одночасно були представниками виконавчої влади. Реформа 1564–1566 років розмежувала ці повноваження, започаткувавши створення окремих інституцій судової влади, що підпорядковувалися не князю чи воєводі, а законові. Цей підхід став основою сучасного уявлення про принцип поділу влади, на якому ґрунтуються усі демократичні правові держави.</w:t>
      </w:r>
    </w:p>
    <w:p w14:paraId="242DB85D"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Відлуння цієї ідеї сьогодні ми бачимо у принципі незалежності суду, закріпленому в Конституції України та основоположних міжнародних правових актах. Зокрема, Конституція України вказує, що "органи судової влади є незалежними і підкоряються лише закону". Саме цей фундамент — незалежний суд, підзвітний не особі, а нормі — має своє історичне коріння у </w:t>
      </w:r>
      <w:r w:rsidRPr="00511005">
        <w:rPr>
          <w:rFonts w:ascii="Arial" w:eastAsia="Times New Roman" w:hAnsi="Arial" w:cs="Arial"/>
          <w:szCs w:val="28"/>
          <w:lang w:val="uk-UA" w:eastAsia="ru-RU"/>
        </w:rPr>
        <w:lastRenderedPageBreak/>
        <w:t>судовій реформі XVI століття, яка вперше в правовому полі регіону закріпила окремий статус судової гілки влади.</w:t>
      </w:r>
    </w:p>
    <w:p w14:paraId="09067EDC"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Ще одним вагомим результатом судової реформи можна вважати спробу встановлення принципу зверхності закону в державі. Хоча повна рівність на практиці тоді ще не реалізовувалася — вона поширювалася лише на шляхту — та все ж це було суттєвим кроком уперед у порівнянні з феодальною системою привілеїв. Судочинство ставало однаковим для всіх шляхтичів незалежно від їхнього майнового становища чи впливовості. Це сформувало розуміння ідеї справедливості, яка не залежить від соціального становища, що в подальшому поширилася на ширші верстви населення.</w:t>
      </w:r>
    </w:p>
    <w:p w14:paraId="593D84CE" w14:textId="77777777" w:rsidR="00220D3E" w:rsidRPr="00511005" w:rsidRDefault="00220D3E" w:rsidP="00D32A0F">
      <w:pPr>
        <w:spacing w:line="264" w:lineRule="auto"/>
        <w:rPr>
          <w:rFonts w:ascii="Arial" w:eastAsia="Times New Roman" w:hAnsi="Arial" w:cs="Arial"/>
          <w:szCs w:val="28"/>
          <w:lang w:val="ro-RO" w:eastAsia="ru-RU"/>
        </w:rPr>
      </w:pPr>
      <w:r w:rsidRPr="00511005">
        <w:rPr>
          <w:rFonts w:ascii="Arial" w:eastAsia="Times New Roman" w:hAnsi="Arial" w:cs="Arial"/>
          <w:szCs w:val="28"/>
          <w:lang w:val="uk-UA" w:eastAsia="ru-RU"/>
        </w:rPr>
        <w:t xml:space="preserve">Сучасна система судочинства, зокрема українська, продовжує реалізовувати ідею загальної юрисдикції судів, у якій всі громадяни мають рівні процесуальні права, можливість оскарження рішень, доступ до незалежного правосуддя. У певному сенсі, витоки цієї системи можна знайти в тому, як діяли земські, гродські та підкоморські суди після реформи. Їхня структура заклала модель територіального розмежування судових установ, що знаходить паралелі у сучасній системі місцевих, апеляційних та вищих судів. </w:t>
      </w:r>
      <w:r w:rsidRPr="00511005">
        <w:rPr>
          <w:rFonts w:ascii="Arial" w:eastAsia="Times New Roman" w:hAnsi="Arial" w:cs="Arial"/>
          <w:szCs w:val="28"/>
          <w:lang w:val="ro-RO" w:eastAsia="ru-RU"/>
        </w:rPr>
        <w:t>[2, c.132]</w:t>
      </w:r>
    </w:p>
    <w:p w14:paraId="281CA63C"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варто зазначити, що Другий Литовський Статут 1566 року, який було створено у межах реформи, став прикладом кодифікації права, яка має тривалий вплив. У ньому були чітко виписані процесуальні норми, права сторін, форми доказування, порядок ведення судових справ. Сьогодні подібна системність лежить в основі сучасного цивільного, адміністративного та кримінального процесуального законодавства. Статут передбачав, зокрема, фіксацію судового процесу, участь свідків, ведення письмової справи, що в ті часи було інноваційним і стало прообразом сучасного діловодства у правовій сфері.</w:t>
      </w:r>
    </w:p>
    <w:p w14:paraId="6E2205A4"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Вплив реформи простежується і в розвитку юридичної культури. Унаслідок судових перетворень XVI століття зросла потреба у правничій освіті, правознавцях, судових писарях, що в подальшому стимулювало розвиток правової науки. У сучасному контексті ми бачимо, як традиція юридичної освіти в Україні, Польщі та Литві, що бере початок ще з часів Речі Посполитої, тісно пов’язана з ідеями правового навчання, започаткованими у XVI столітті.</w:t>
      </w:r>
    </w:p>
    <w:p w14:paraId="2A3F471C"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Ще один аспект, який заслуговує на увагу — це виборність суддів у межах реформи. Шляхта брала участь у виборах суддів до земських судів, що відповідало ренесансним уявленням про громадянську участь та самоуправління. У наш час ця практика не є поширеною у класичному вигляді, однак вона трансформувалася у форму участі громадськості в судових процесах — наприклад, через суд присяжних або відкритість судових засідань.</w:t>
      </w:r>
    </w:p>
    <w:p w14:paraId="5897D19D"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Отже, судова реформа 1564–1566 років стала не лише історичним фактом чи віхою у розвитку окремої держави. Вона справила глибокий вплив на формування принципів судочинства, які зберігають свою актуальність у XXI столітті. Ідеї незалежності суду, рівності сторін, кодифікованого процесу, правової культури та навіть елементів народовладдя у праві, започатковані цією реформою, стали підґрунтям для сучасних демократичних правових систем. Вивчення її досвіду не лише допомагає краще розуміти історію, а й надихає на вдосконалення правосуддя сьогодні — у пошуках балансу між історичною тяглістю та сучасними викликами.</w:t>
      </w:r>
    </w:p>
    <w:p w14:paraId="53516913" w14:textId="7BE73DB0" w:rsidR="00220D3E" w:rsidRPr="00511005" w:rsidRDefault="00220D3E" w:rsidP="003A292D">
      <w:pPr>
        <w:tabs>
          <w:tab w:val="left" w:pos="8219"/>
        </w:tabs>
        <w:spacing w:line="264" w:lineRule="auto"/>
        <w:ind w:firstLine="0"/>
        <w:jc w:val="left"/>
        <w:rPr>
          <w:rFonts w:ascii="Arial" w:eastAsia="Times New Roman" w:hAnsi="Arial" w:cs="Arial"/>
          <w:b/>
          <w:szCs w:val="28"/>
          <w:lang w:val="uk-UA" w:eastAsia="ru-RU"/>
        </w:rPr>
      </w:pPr>
    </w:p>
    <w:p w14:paraId="7538CD19" w14:textId="539FA2C1" w:rsidR="00220D3E" w:rsidRPr="00511005" w:rsidRDefault="007B2628" w:rsidP="007B2628">
      <w:pPr>
        <w:tabs>
          <w:tab w:val="left" w:pos="821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w:t>
      </w:r>
      <w:r w:rsidR="00D32A0F" w:rsidRPr="00511005">
        <w:rPr>
          <w:rFonts w:ascii="Arial" w:eastAsia="Times New Roman" w:hAnsi="Arial" w:cs="Arial"/>
          <w:b/>
          <w:szCs w:val="28"/>
          <w:lang w:val="uk-UA" w:eastAsia="ru-RU"/>
        </w:rPr>
        <w:t>писок використаних джерел</w:t>
      </w:r>
    </w:p>
    <w:p w14:paraId="1F213810" w14:textId="77777777" w:rsidR="00220D3E" w:rsidRPr="00511005" w:rsidRDefault="00220D3E" w:rsidP="00D32A0F">
      <w:pPr>
        <w:numPr>
          <w:ilvl w:val="0"/>
          <w:numId w:val="52"/>
        </w:numPr>
        <w:tabs>
          <w:tab w:val="left" w:pos="8219"/>
        </w:tabs>
        <w:spacing w:line="264" w:lineRule="auto"/>
        <w:contextualSpacing/>
        <w:rPr>
          <w:rFonts w:ascii="Arial" w:eastAsia="Calibri" w:hAnsi="Arial" w:cs="Arial"/>
          <w:szCs w:val="28"/>
          <w:lang w:val="uk-UA"/>
        </w:rPr>
      </w:pPr>
      <w:r w:rsidRPr="00511005">
        <w:rPr>
          <w:rFonts w:ascii="Arial" w:eastAsia="Calibri" w:hAnsi="Arial" w:cs="Arial"/>
          <w:szCs w:val="28"/>
          <w:shd w:val="clear" w:color="auto" w:fill="FFFFFF"/>
        </w:rPr>
        <w:t>Яцишин, М. М. "Волинський Статут 1566 року: погляд істориків права. «</w:t>
      </w:r>
      <w:r w:rsidRPr="00511005">
        <w:rPr>
          <w:rFonts w:ascii="Arial" w:eastAsia="Calibri" w:hAnsi="Arial" w:cs="Arial"/>
          <w:iCs/>
          <w:szCs w:val="28"/>
          <w:shd w:val="clear" w:color="auto" w:fill="FFFFFF"/>
        </w:rPr>
        <w:t>П</w:t>
      </w:r>
      <w:r w:rsidRPr="00511005">
        <w:rPr>
          <w:rFonts w:ascii="Arial" w:eastAsia="Calibri" w:hAnsi="Arial" w:cs="Arial"/>
          <w:iCs/>
          <w:szCs w:val="28"/>
          <w:shd w:val="clear" w:color="auto" w:fill="FFFFFF"/>
          <w:lang w:val="uk-UA"/>
        </w:rPr>
        <w:t>итання реформування правової системи»</w:t>
      </w:r>
      <w:r w:rsidRPr="00511005">
        <w:rPr>
          <w:rFonts w:ascii="Arial" w:eastAsia="Calibri" w:hAnsi="Arial" w:cs="Arial"/>
          <w:szCs w:val="28"/>
          <w:shd w:val="clear" w:color="auto" w:fill="FFFFFF"/>
          <w:lang w:val="uk-UA"/>
        </w:rPr>
        <w:t> </w:t>
      </w:r>
      <w:r w:rsidRPr="00511005">
        <w:rPr>
          <w:rFonts w:ascii="Arial" w:eastAsia="Calibri" w:hAnsi="Arial" w:cs="Arial"/>
          <w:szCs w:val="28"/>
          <w:shd w:val="clear" w:color="auto" w:fill="FFFFFF"/>
        </w:rPr>
        <w:t xml:space="preserve">(2024): </w:t>
      </w:r>
      <w:r w:rsidRPr="00511005">
        <w:rPr>
          <w:rFonts w:ascii="Arial" w:eastAsia="Calibri" w:hAnsi="Arial" w:cs="Arial"/>
          <w:szCs w:val="28"/>
          <w:shd w:val="clear" w:color="auto" w:fill="FFFFFF"/>
          <w:lang w:val="uk-UA"/>
        </w:rPr>
        <w:t xml:space="preserve">с. </w:t>
      </w:r>
      <w:r w:rsidRPr="00511005">
        <w:rPr>
          <w:rFonts w:ascii="Arial" w:eastAsia="Calibri" w:hAnsi="Arial" w:cs="Arial"/>
          <w:szCs w:val="28"/>
          <w:shd w:val="clear" w:color="auto" w:fill="FFFFFF"/>
        </w:rPr>
        <w:t>14</w:t>
      </w:r>
      <w:r w:rsidRPr="00511005">
        <w:rPr>
          <w:rFonts w:ascii="Arial" w:eastAsia="Calibri" w:hAnsi="Arial" w:cs="Arial"/>
          <w:szCs w:val="28"/>
          <w:shd w:val="clear" w:color="auto" w:fill="FFFFFF"/>
          <w:lang w:val="uk-UA"/>
        </w:rPr>
        <w:t>-15.</w:t>
      </w:r>
    </w:p>
    <w:p w14:paraId="58707A94" w14:textId="77777777" w:rsidR="00220D3E" w:rsidRPr="00511005" w:rsidRDefault="00220D3E" w:rsidP="00D32A0F">
      <w:pPr>
        <w:numPr>
          <w:ilvl w:val="0"/>
          <w:numId w:val="52"/>
        </w:numPr>
        <w:tabs>
          <w:tab w:val="left" w:pos="8219"/>
        </w:tabs>
        <w:spacing w:line="264" w:lineRule="auto"/>
        <w:contextualSpacing/>
        <w:rPr>
          <w:rFonts w:ascii="Arial" w:eastAsia="Calibri" w:hAnsi="Arial" w:cs="Arial"/>
          <w:szCs w:val="28"/>
          <w:lang w:val="uk-UA"/>
        </w:rPr>
      </w:pPr>
      <w:r w:rsidRPr="00511005">
        <w:rPr>
          <w:rFonts w:ascii="Arial" w:eastAsia="Calibri" w:hAnsi="Arial" w:cs="Arial"/>
          <w:szCs w:val="28"/>
          <w:shd w:val="clear" w:color="auto" w:fill="FFFFFF"/>
          <w:lang w:val="uk-UA"/>
        </w:rPr>
        <w:t>Лісова, К. С. "Судоустрій та судочинство на території україни (Х–ХІХ СТ.): Історико-правовий аналіз." </w:t>
      </w:r>
      <w:r w:rsidRPr="00511005">
        <w:rPr>
          <w:rFonts w:ascii="Arial" w:eastAsia="Calibri" w:hAnsi="Arial" w:cs="Arial"/>
          <w:iCs/>
          <w:szCs w:val="28"/>
          <w:shd w:val="clear" w:color="auto" w:fill="FFFFFF"/>
          <w:lang w:val="uk-UA"/>
        </w:rPr>
        <w:t>Scientific notes of Lviv University of Business and Law</w:t>
      </w:r>
      <w:r w:rsidRPr="00511005">
        <w:rPr>
          <w:rFonts w:ascii="Arial" w:eastAsia="Calibri" w:hAnsi="Arial" w:cs="Arial"/>
          <w:szCs w:val="28"/>
          <w:shd w:val="clear" w:color="auto" w:fill="FFFFFF"/>
          <w:lang w:val="uk-UA"/>
        </w:rPr>
        <w:t> 30 (2021): 131-132.</w:t>
      </w:r>
    </w:p>
    <w:p w14:paraId="6E1B6584" w14:textId="77777777" w:rsidR="00220D3E" w:rsidRPr="00511005" w:rsidRDefault="00220D3E" w:rsidP="00D32A0F">
      <w:pPr>
        <w:numPr>
          <w:ilvl w:val="0"/>
          <w:numId w:val="52"/>
        </w:numPr>
        <w:tabs>
          <w:tab w:val="left" w:pos="8219"/>
        </w:tabs>
        <w:spacing w:line="264" w:lineRule="auto"/>
        <w:contextualSpacing/>
        <w:rPr>
          <w:rFonts w:ascii="Arial" w:eastAsia="Calibri" w:hAnsi="Arial" w:cs="Arial"/>
          <w:szCs w:val="28"/>
          <w:lang w:val="uk-UA"/>
        </w:rPr>
      </w:pPr>
      <w:r w:rsidRPr="00511005">
        <w:rPr>
          <w:rFonts w:ascii="Arial" w:eastAsia="Calibri" w:hAnsi="Arial" w:cs="Arial"/>
          <w:szCs w:val="28"/>
          <w:shd w:val="clear" w:color="auto" w:fill="FFFFFF"/>
          <w:lang w:val="uk-UA"/>
        </w:rPr>
        <w:t>Гавриленко О.А., Логвиненко І.А., Новікова Л.В. «Історія держави і права України: хрестоматія-практикум» - ХНУ ім. В.Н. Каразіна (2015), с. 79-93.</w:t>
      </w:r>
    </w:p>
    <w:p w14:paraId="2C126C6B" w14:textId="77777777" w:rsidR="00220D3E" w:rsidRPr="00511005" w:rsidRDefault="00220D3E" w:rsidP="00D32A0F">
      <w:pPr>
        <w:numPr>
          <w:ilvl w:val="0"/>
          <w:numId w:val="52"/>
        </w:numPr>
        <w:tabs>
          <w:tab w:val="left" w:pos="8219"/>
        </w:tabs>
        <w:spacing w:line="264" w:lineRule="auto"/>
        <w:contextualSpacing/>
        <w:rPr>
          <w:rFonts w:ascii="Arial" w:eastAsia="Calibri" w:hAnsi="Arial" w:cs="Arial"/>
          <w:szCs w:val="28"/>
          <w:lang w:val="uk-UA"/>
        </w:rPr>
      </w:pPr>
      <w:r w:rsidRPr="00511005">
        <w:rPr>
          <w:rFonts w:ascii="Arial" w:eastAsia="Calibri" w:hAnsi="Arial" w:cs="Arial"/>
          <w:szCs w:val="28"/>
          <w:lang w:val="uk-UA"/>
        </w:rPr>
        <w:t>Суд і судочинство на українських землях у XІV-XVI ст. : монографія. П. Музиченко, Н. Долматова, Н. Єфремова та ін. Одеса : "Астропринт", 2000.</w:t>
      </w:r>
    </w:p>
    <w:p w14:paraId="59D61B43" w14:textId="77777777" w:rsidR="00220D3E" w:rsidRPr="00511005" w:rsidRDefault="00220D3E" w:rsidP="003A292D">
      <w:pPr>
        <w:tabs>
          <w:tab w:val="left" w:pos="8219"/>
        </w:tabs>
        <w:spacing w:line="264" w:lineRule="auto"/>
        <w:ind w:firstLine="0"/>
        <w:jc w:val="left"/>
        <w:rPr>
          <w:rFonts w:ascii="Arial" w:eastAsia="Times New Roman" w:hAnsi="Arial" w:cs="Arial"/>
          <w:szCs w:val="28"/>
          <w:lang w:val="uk-UA" w:eastAsia="ru-RU"/>
        </w:rPr>
      </w:pPr>
    </w:p>
    <w:p w14:paraId="05E0C3BE" w14:textId="7E235F4D" w:rsidR="00220D3E" w:rsidRPr="00511005" w:rsidRDefault="007B2628" w:rsidP="003A292D">
      <w:pPr>
        <w:spacing w:line="264" w:lineRule="auto"/>
        <w:ind w:firstLine="0"/>
        <w:jc w:val="left"/>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судова реформа, суд, правова держава, судочинство, судова система, історичні витоки правосуддя, рівність, влада</w:t>
      </w:r>
    </w:p>
    <w:p w14:paraId="1AC200CE" w14:textId="3A86E9C0" w:rsidR="00220D3E" w:rsidRPr="00511005" w:rsidRDefault="007B2628" w:rsidP="003A292D">
      <w:pPr>
        <w:spacing w:line="264" w:lineRule="auto"/>
        <w:ind w:firstLine="0"/>
        <w:jc w:val="left"/>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judicial reform, court, rule of law, judicial proceedings, judicial system, historical origins of justice, equality, power.</w:t>
      </w:r>
    </w:p>
    <w:p w14:paraId="1FA59BD4" w14:textId="0DD12236" w:rsidR="00220D3E" w:rsidRPr="00511005" w:rsidRDefault="007B2628" w:rsidP="003A292D">
      <w:pPr>
        <w:spacing w:line="264" w:lineRule="auto"/>
        <w:ind w:firstLine="0"/>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Cs/>
          <w:szCs w:val="28"/>
          <w:lang w:val="uk-UA" w:eastAsia="ru-RU"/>
        </w:rPr>
        <w:t>к.ю.н</w:t>
      </w:r>
      <w:r w:rsidR="00D32A0F" w:rsidRPr="00511005">
        <w:rPr>
          <w:rFonts w:ascii="Arial" w:eastAsia="Times New Roman" w:hAnsi="Arial" w:cs="Arial"/>
          <w:iCs/>
          <w:szCs w:val="28"/>
          <w:lang w:val="uk-UA" w:eastAsia="ru-RU"/>
        </w:rPr>
        <w:t>.</w:t>
      </w:r>
      <w:r w:rsidR="00220D3E" w:rsidRPr="00511005">
        <w:rPr>
          <w:rFonts w:ascii="Arial" w:eastAsia="Times New Roman" w:hAnsi="Arial" w:cs="Arial"/>
          <w:iCs/>
          <w:szCs w:val="28"/>
          <w:lang w:val="uk-UA" w:eastAsia="ru-RU"/>
        </w:rPr>
        <w:t xml:space="preserve">, доцент Єфремова Н.В. </w:t>
      </w:r>
    </w:p>
    <w:p w14:paraId="2F57E850" w14:textId="77777777" w:rsidR="00220D3E" w:rsidRPr="00511005" w:rsidRDefault="00220D3E" w:rsidP="003A292D">
      <w:pPr>
        <w:spacing w:line="264" w:lineRule="auto"/>
        <w:ind w:firstLine="0"/>
        <w:jc w:val="left"/>
        <w:rPr>
          <w:rFonts w:ascii="Arial" w:eastAsia="Times New Roman" w:hAnsi="Arial" w:cs="Arial"/>
          <w:szCs w:val="28"/>
          <w:lang w:val="uk-UA" w:eastAsia="ru-RU"/>
        </w:rPr>
      </w:pPr>
    </w:p>
    <w:p w14:paraId="5A7805CD" w14:textId="77777777" w:rsidR="00220D3E" w:rsidRPr="00511005" w:rsidRDefault="00220D3E"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Шаповал Поліна Андріївна</w:t>
      </w:r>
    </w:p>
    <w:p w14:paraId="498360EA" w14:textId="20E7BE6F" w:rsidR="00220D3E" w:rsidRPr="00511005" w:rsidRDefault="00BE3972"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1-го курсу </w:t>
      </w:r>
      <w:r w:rsidR="001B7B25" w:rsidRPr="00511005">
        <w:rPr>
          <w:rFonts w:ascii="Arial" w:eastAsia="Times New Roman" w:hAnsi="Arial" w:cs="Arial"/>
          <w:szCs w:val="28"/>
          <w:lang w:val="uk-UA" w:eastAsia="ru-RU"/>
        </w:rPr>
        <w:t>факультету судового та міжнародного права</w:t>
      </w:r>
      <w:r w:rsidR="00220D3E"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5029C9DF" w14:textId="77777777" w:rsidR="00220D3E" w:rsidRPr="00511005" w:rsidRDefault="00220D3E" w:rsidP="003A292D">
      <w:pPr>
        <w:spacing w:line="264" w:lineRule="auto"/>
        <w:ind w:firstLine="0"/>
        <w:jc w:val="center"/>
        <w:rPr>
          <w:rFonts w:ascii="Arial" w:eastAsia="Times New Roman" w:hAnsi="Arial" w:cs="Arial"/>
          <w:b/>
          <w:bCs/>
          <w:szCs w:val="28"/>
          <w:lang w:val="uk-UA" w:eastAsia="ru-RU"/>
        </w:rPr>
      </w:pPr>
    </w:p>
    <w:p w14:paraId="6E325A2F" w14:textId="77777777" w:rsidR="00220D3E" w:rsidRPr="00511005" w:rsidRDefault="00220D3E"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БАРТОЛОМІЙ ГРОЇЦЬКИЙ ТА ЙОГО ВНЕСОК У РОЗВИТОК ПРАВА РЕЧІ ПОСПОЛИТОЇ</w:t>
      </w:r>
    </w:p>
    <w:p w14:paraId="1CBAA5AD" w14:textId="77777777" w:rsidR="00220D3E" w:rsidRPr="00511005" w:rsidRDefault="00220D3E" w:rsidP="003A292D">
      <w:pPr>
        <w:spacing w:line="264" w:lineRule="auto"/>
        <w:ind w:firstLine="0"/>
        <w:rPr>
          <w:rFonts w:ascii="Arial" w:eastAsia="Times New Roman" w:hAnsi="Arial" w:cs="Arial"/>
          <w:b/>
          <w:bCs/>
          <w:szCs w:val="28"/>
          <w:lang w:val="uk-UA" w:eastAsia="ru-RU"/>
        </w:rPr>
      </w:pPr>
    </w:p>
    <w:p w14:paraId="3F72A734"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У процесі становлення правових систем Центрально-Східної Європи особливе місце посідає Річ Посполита — держава, що поєднувала елементи як західноєвропейської, так і місцевої правової традиції. У цьому контексті постать Бартоломія Гроїцького вирізняється як одна з ключових для розвитку судової практики, юридичної науки та кодифікації права в польсько-литовській державі. </w:t>
      </w:r>
      <w:r w:rsidRPr="00511005">
        <w:rPr>
          <w:rFonts w:ascii="Arial" w:eastAsia="Times New Roman" w:hAnsi="Arial" w:cs="Arial"/>
          <w:szCs w:val="28"/>
          <w:lang w:eastAsia="ru-RU"/>
        </w:rPr>
        <w:t xml:space="preserve">Його діяльність припала на період активної </w:t>
      </w:r>
      <w:r w:rsidRPr="00511005">
        <w:rPr>
          <w:rFonts w:ascii="Arial" w:eastAsia="Times New Roman" w:hAnsi="Arial" w:cs="Arial"/>
          <w:szCs w:val="28"/>
          <w:lang w:eastAsia="ru-RU"/>
        </w:rPr>
        <w:lastRenderedPageBreak/>
        <w:t>трансформації правової системи, коли зростала потреба в упорядкуванні та осмисленні численних звичаєвих і писаних норм.</w:t>
      </w:r>
    </w:p>
    <w:p w14:paraId="2C854910"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Краківський міщанин, Бартоломій Гроїцький, був адвокатом і письменником у Вищому суді німецького права в Кракові. Він написав шість творів у яких відображено </w:t>
      </w:r>
      <w:r w:rsidRPr="00511005">
        <w:rPr>
          <w:rFonts w:ascii="Arial" w:eastAsia="Times New Roman" w:hAnsi="Arial" w:cs="Arial"/>
          <w:szCs w:val="28"/>
          <w:lang w:eastAsia="ru-RU"/>
        </w:rPr>
        <w:t>його позицію щодо необхідності оновлення норм міського права.</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Він був не тільки досвідченим практиком у цій сфері, а й глибоко обізнаним у правових нормах </w:t>
      </w:r>
      <w:r w:rsidRPr="00511005">
        <w:rPr>
          <w:rFonts w:ascii="Arial" w:eastAsia="Times New Roman" w:hAnsi="Arial" w:cs="Arial"/>
          <w:szCs w:val="28"/>
          <w:lang w:val="uk-UA" w:eastAsia="ru-RU"/>
        </w:rPr>
        <w:t xml:space="preserve">того </w:t>
      </w:r>
      <w:r w:rsidRPr="00511005">
        <w:rPr>
          <w:rFonts w:ascii="Arial" w:eastAsia="Times New Roman" w:hAnsi="Arial" w:cs="Arial"/>
          <w:szCs w:val="28"/>
          <w:lang w:eastAsia="ru-RU"/>
        </w:rPr>
        <w:t xml:space="preserve">сучасного </w:t>
      </w:r>
      <w:proofErr w:type="gramStart"/>
      <w:r w:rsidRPr="00511005">
        <w:rPr>
          <w:rFonts w:ascii="Arial" w:eastAsia="Times New Roman" w:hAnsi="Arial" w:cs="Arial"/>
          <w:szCs w:val="28"/>
          <w:lang w:eastAsia="ru-RU"/>
        </w:rPr>
        <w:t>суспільства[ 5</w:t>
      </w:r>
      <w:proofErr w:type="gramEnd"/>
      <w:r w:rsidRPr="00511005">
        <w:rPr>
          <w:rFonts w:ascii="Arial" w:eastAsia="Times New Roman" w:hAnsi="Arial" w:cs="Arial"/>
          <w:szCs w:val="28"/>
          <w:lang w:eastAsia="ru-RU"/>
        </w:rPr>
        <w:t xml:space="preserve"> ].</w:t>
      </w:r>
    </w:p>
    <w:p w14:paraId="1050B61E"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Перше видання книги було надруковане у 1558 році в Кракові. Вона мала назву «Статті Майдебурзького права, які називаються „Speculum Saxonum”» («Artykuły prawa majdeburskiego, które zowią Speculum Saxonum»)</w:t>
      </w:r>
      <w:r w:rsidRPr="00511005">
        <w:rPr>
          <w:rFonts w:ascii="Arial" w:eastAsia="Times New Roman" w:hAnsi="Arial" w:cs="Arial"/>
          <w:szCs w:val="28"/>
          <w:lang w:val="uk-UA" w:eastAsia="ru-RU"/>
        </w:rPr>
        <w:t xml:space="preserve">, та була перевидана в 1559, 1560, 1565, 1568, 1582, 1587 </w:t>
      </w:r>
      <w:r w:rsidRPr="00511005">
        <w:rPr>
          <w:rFonts w:ascii="Arial" w:eastAsia="Times New Roman" w:hAnsi="Arial" w:cs="Arial"/>
          <w:szCs w:val="28"/>
          <w:lang w:eastAsia="ru-RU"/>
        </w:rPr>
        <w:t>pp</w:t>
      </w:r>
      <w:r w:rsidRPr="00511005">
        <w:rPr>
          <w:rFonts w:ascii="Arial" w:eastAsia="Times New Roman" w:hAnsi="Arial" w:cs="Arial"/>
          <w:szCs w:val="28"/>
          <w:lang w:val="uk-UA" w:eastAsia="ru-RU"/>
        </w:rPr>
        <w:t xml:space="preserve">. Це правниче дослідження стало першим, що було написане польською мовою. </w:t>
      </w:r>
      <w:r w:rsidRPr="00511005">
        <w:rPr>
          <w:rFonts w:ascii="Arial" w:eastAsia="Times New Roman" w:hAnsi="Arial" w:cs="Arial"/>
          <w:szCs w:val="28"/>
          <w:lang w:eastAsia="ru-RU"/>
        </w:rPr>
        <w:t xml:space="preserve">Польська редакція Магдебурзького права базувалася на латинських версіях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Саксонського зерцала</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та «Вейхбільд», з додаванням посилань на окремі статті. </w:t>
      </w:r>
    </w:p>
    <w:p w14:paraId="0367656F"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Гроїцький переклав важливі статті, замінивши вилучені частини відповідними нормами польського права з Коронного статуту</w:t>
      </w:r>
      <w:r w:rsidRPr="00511005">
        <w:rPr>
          <w:rFonts w:ascii="Arial" w:eastAsia="Times New Roman" w:hAnsi="Arial" w:cs="Arial"/>
          <w:szCs w:val="28"/>
          <w:lang w:val="uk-UA" w:eastAsia="ru-RU"/>
        </w:rPr>
        <w:t xml:space="preserve">. Він вважав, що якщо німці ведуть судочинство на своїй рідній мові, то поляки повинні користуватися польською, щоб це було зрозуміло для всього населення. Автор книги намагався зробити право загально зрозумілішим[ 3 ]. </w:t>
      </w:r>
    </w:p>
    <w:p w14:paraId="30AB0035"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1559 році виходить його найпопулярніша праця «Порядок судів і справ міських права магдебурзького в Короні Польській» (</w:t>
      </w:r>
      <w:r w:rsidRPr="00511005">
        <w:rPr>
          <w:rFonts w:ascii="Arial" w:eastAsia="Times New Roman" w:hAnsi="Arial" w:cs="Arial"/>
          <w:szCs w:val="28"/>
          <w:lang w:eastAsia="ru-RU"/>
        </w:rPr>
        <w:t>Porsadek</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sadow</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I</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spraw</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mieskich</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prawa</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majdeburskiego</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Koronie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Polskie</w:t>
      </w:r>
      <w:r w:rsidRPr="00511005">
        <w:rPr>
          <w:rFonts w:ascii="Arial" w:eastAsia="Times New Roman" w:hAnsi="Arial" w:cs="Arial"/>
          <w:szCs w:val="28"/>
          <w:lang w:val="uk-UA" w:eastAsia="ru-RU"/>
        </w:rPr>
        <w:t xml:space="preserve">», яка зазнала 5 перевидань. Б. Гроїцький для написання використовував Саксонське Зецано, магдебурзьке право, римське право, польське право та судову практику. Ця книга регулювання норми процесуального права та діяльність органів місцевого самоврядування. У цій праці містяться норми, які регулюють умови отримання посади судді та секретаря, різні практики порушення справи, зазначалося покарання злодіїв. </w:t>
      </w:r>
      <w:r w:rsidRPr="00511005">
        <w:rPr>
          <w:rFonts w:ascii="Arial" w:eastAsia="Times New Roman" w:hAnsi="Arial" w:cs="Arial"/>
          <w:szCs w:val="28"/>
          <w:lang w:eastAsia="ru-RU"/>
        </w:rPr>
        <w:t xml:space="preserve">Котенко Т. В. зазначає, що твори польських правників, зокрема Б. Гроїцького, є адаптованим перекладом німецьких джерел магдебурзького права польською </w:t>
      </w:r>
      <w:proofErr w:type="gramStart"/>
      <w:r w:rsidRPr="00511005">
        <w:rPr>
          <w:rFonts w:ascii="Arial" w:eastAsia="Times New Roman" w:hAnsi="Arial" w:cs="Arial"/>
          <w:szCs w:val="28"/>
          <w:lang w:eastAsia="ru-RU"/>
        </w:rPr>
        <w:t>мовою[ 4</w:t>
      </w:r>
      <w:proofErr w:type="gramEnd"/>
      <w:r w:rsidRPr="00511005">
        <w:rPr>
          <w:rFonts w:ascii="Arial" w:eastAsia="Times New Roman" w:hAnsi="Arial" w:cs="Arial"/>
          <w:szCs w:val="28"/>
          <w:lang w:eastAsia="ru-RU"/>
        </w:rPr>
        <w:t xml:space="preserve"> ].</w:t>
      </w:r>
    </w:p>
    <w:p w14:paraId="2B33C387"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Згідно з дослідженнями, Бартоломій Гроїцький у своїх правничих працях класифікував убивства за мотивами та обставинами їх вчинення. Зокрема, він виокремлював такі основні типи</w:t>
      </w:r>
      <w:proofErr w:type="gramStart"/>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t>
      </w:r>
      <w:proofErr w:type="gramEnd"/>
      <w:r w:rsidRPr="00511005">
        <w:rPr>
          <w:rFonts w:ascii="Arial" w:eastAsia="Times New Roman" w:hAnsi="Arial" w:cs="Arial"/>
          <w:szCs w:val="28"/>
          <w:lang w:eastAsia="ru-RU"/>
        </w:rPr>
        <w:t xml:space="preserve"> убивство з корисливих мотивів, убивство з ненависті, вбивство в стані необхідної оборони, випадкове вбивство[ 2 ].</w:t>
      </w:r>
    </w:p>
    <w:p w14:paraId="7BE0D673" w14:textId="77777777" w:rsidR="00220D3E" w:rsidRPr="00511005" w:rsidRDefault="00220D3E" w:rsidP="00D32A0F">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Дослідник також зачіпає питання про д</w:t>
      </w:r>
      <w:r w:rsidRPr="00511005">
        <w:rPr>
          <w:rFonts w:ascii="Arial" w:eastAsia="Times New Roman" w:hAnsi="Arial" w:cs="Arial"/>
          <w:szCs w:val="28"/>
          <w:lang w:eastAsia="ru-RU"/>
        </w:rPr>
        <w:t>осягнення дитиною віку, з якого вона несе правову відповідальність, пов’язане з визначенням моменту, до якого їй потрібен опікун.</w:t>
      </w:r>
      <w:r w:rsidRPr="00511005">
        <w:rPr>
          <w:rFonts w:ascii="Arial" w:eastAsia="Times New Roman" w:hAnsi="Arial" w:cs="Arial"/>
          <w:szCs w:val="28"/>
          <w:lang w:val="uk-UA" w:eastAsia="ru-RU"/>
        </w:rPr>
        <w:t xml:space="preserve"> Як зазначає Т. Гошко, що о</w:t>
      </w:r>
      <w:r w:rsidRPr="00511005">
        <w:rPr>
          <w:rFonts w:ascii="Arial" w:eastAsia="Times New Roman" w:hAnsi="Arial" w:cs="Arial"/>
          <w:szCs w:val="28"/>
          <w:lang w:eastAsia="ru-RU"/>
        </w:rPr>
        <w:t xml:space="preserve">піка тривала до 14 років для хлопців і до 13 — для дівчат. Досягнувши цього віку, сирота міг вимагати нового опікуна або звільнення від опіки. Якщо опікун відмовлявся передати майно, проводилась процедура підтвердження віку: сирота з двома </w:t>
      </w:r>
      <w:r w:rsidRPr="00511005">
        <w:rPr>
          <w:rFonts w:ascii="Arial" w:eastAsia="Times New Roman" w:hAnsi="Arial" w:cs="Arial"/>
          <w:szCs w:val="28"/>
          <w:lang w:eastAsia="ru-RU"/>
        </w:rPr>
        <w:lastRenderedPageBreak/>
        <w:t xml:space="preserve">родичами по батькові й двома по матері звертався </w:t>
      </w:r>
      <w:proofErr w:type="gramStart"/>
      <w:r w:rsidRPr="00511005">
        <w:rPr>
          <w:rFonts w:ascii="Arial" w:eastAsia="Times New Roman" w:hAnsi="Arial" w:cs="Arial"/>
          <w:szCs w:val="28"/>
          <w:lang w:eastAsia="ru-RU"/>
        </w:rPr>
        <w:t>до уряду</w:t>
      </w:r>
      <w:proofErr w:type="gramEnd"/>
      <w:r w:rsidRPr="00511005">
        <w:rPr>
          <w:rFonts w:ascii="Arial" w:eastAsia="Times New Roman" w:hAnsi="Arial" w:cs="Arial"/>
          <w:szCs w:val="28"/>
          <w:lang w:eastAsia="ru-RU"/>
        </w:rPr>
        <w:t xml:space="preserve">. У разі схвалення він отримував право самостійно розпоряджатися маєтком і змінити </w:t>
      </w:r>
      <w:proofErr w:type="gramStart"/>
      <w:r w:rsidRPr="00511005">
        <w:rPr>
          <w:rFonts w:ascii="Arial" w:eastAsia="Times New Roman" w:hAnsi="Arial" w:cs="Arial"/>
          <w:szCs w:val="28"/>
          <w:lang w:eastAsia="ru-RU"/>
        </w:rPr>
        <w:t xml:space="preserve">опікуна[ </w:t>
      </w:r>
      <w:r w:rsidRPr="00511005">
        <w:rPr>
          <w:rFonts w:ascii="Arial" w:eastAsia="Times New Roman" w:hAnsi="Arial" w:cs="Arial"/>
          <w:szCs w:val="28"/>
          <w:lang w:val="uk-UA" w:eastAsia="ru-RU"/>
        </w:rPr>
        <w:t>1</w:t>
      </w:r>
      <w:proofErr w:type="gramEnd"/>
      <w:r w:rsidRPr="00511005">
        <w:rPr>
          <w:rFonts w:ascii="Arial" w:eastAsia="Times New Roman" w:hAnsi="Arial" w:cs="Arial"/>
          <w:szCs w:val="28"/>
          <w:lang w:eastAsia="ru-RU"/>
        </w:rPr>
        <w:t xml:space="preserve"> ].</w:t>
      </w:r>
    </w:p>
    <w:p w14:paraId="7B8FF3C2" w14:textId="2DC4EB41"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Бартоломій Гроїцький є важливою постаттю в історії становлення правової системи Речі Посполитої, оскільки його праці були направленні на пристосування західноєвропейських правових норм права до місцевих.</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Його твір став першим, який був написаний польською мовою, що зробило право більш доступним для населення. П</w:t>
      </w:r>
      <w:r w:rsidRPr="00511005">
        <w:rPr>
          <w:rFonts w:ascii="Arial" w:eastAsia="Times New Roman" w:hAnsi="Arial" w:cs="Arial"/>
          <w:szCs w:val="28"/>
          <w:lang w:eastAsia="ru-RU"/>
        </w:rPr>
        <w:t>раці стали значущими як для розвитку судової практики, так і для кодифікації права, оскільки він поєднав елементи німецької правової традиції з особливостями польського законодавства.</w:t>
      </w:r>
      <w:r w:rsidRPr="00511005">
        <w:rPr>
          <w:rFonts w:ascii="Arial" w:eastAsia="Times New Roman" w:hAnsi="Arial" w:cs="Arial"/>
          <w:szCs w:val="28"/>
          <w:lang w:val="uk-UA" w:eastAsia="ru-RU"/>
        </w:rPr>
        <w:t xml:space="preserve"> Внесок Гроїцького в теоретичне осмислення питань, таких як класифікація вбивств або визначення віку правової відповідальності, продемонстрував прагнення до систематизації та упорядкування правових норм, що було особливо актуальним в умовах зміни правових реалій того часу. Д</w:t>
      </w:r>
      <w:r w:rsidRPr="00511005">
        <w:rPr>
          <w:rFonts w:ascii="Arial" w:eastAsia="Times New Roman" w:hAnsi="Arial" w:cs="Arial"/>
          <w:szCs w:val="28"/>
          <w:lang w:eastAsia="ru-RU"/>
        </w:rPr>
        <w:t xml:space="preserve">іяльність </w:t>
      </w:r>
      <w:r w:rsidRPr="00511005">
        <w:rPr>
          <w:rFonts w:ascii="Arial" w:eastAsia="Times New Roman" w:hAnsi="Arial" w:cs="Arial"/>
          <w:szCs w:val="28"/>
          <w:lang w:val="uk-UA" w:eastAsia="ru-RU"/>
        </w:rPr>
        <w:t xml:space="preserve">правника </w:t>
      </w:r>
      <w:r w:rsidRPr="00511005">
        <w:rPr>
          <w:rFonts w:ascii="Arial" w:eastAsia="Times New Roman" w:hAnsi="Arial" w:cs="Arial"/>
          <w:szCs w:val="28"/>
          <w:lang w:eastAsia="ru-RU"/>
        </w:rPr>
        <w:t>сприяла не лише розвитку правової науки, але й заклала основи для подальших реформ у галузі судочинства та правового регулювання.</w:t>
      </w:r>
    </w:p>
    <w:p w14:paraId="5C874E97" w14:textId="77777777" w:rsidR="00220D3E" w:rsidRPr="00511005" w:rsidRDefault="00220D3E" w:rsidP="003A292D">
      <w:pPr>
        <w:spacing w:line="264" w:lineRule="auto"/>
        <w:ind w:firstLine="0"/>
        <w:rPr>
          <w:rFonts w:ascii="Arial" w:eastAsia="Times New Roman" w:hAnsi="Arial" w:cs="Arial"/>
          <w:szCs w:val="28"/>
          <w:lang w:eastAsia="ru-RU"/>
        </w:rPr>
      </w:pPr>
    </w:p>
    <w:p w14:paraId="4DDECD19" w14:textId="46F59492" w:rsidR="00220D3E"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w:t>
      </w:r>
      <w:r w:rsidR="00D32A0F" w:rsidRPr="00511005">
        <w:rPr>
          <w:rFonts w:ascii="Arial" w:eastAsia="Times New Roman" w:hAnsi="Arial" w:cs="Arial"/>
          <w:b/>
          <w:bCs/>
          <w:szCs w:val="28"/>
          <w:lang w:val="uk-UA" w:eastAsia="ru-RU"/>
        </w:rPr>
        <w:t>писок використаних джерел</w:t>
      </w:r>
    </w:p>
    <w:p w14:paraId="776F148A" w14:textId="77777777" w:rsidR="00220D3E" w:rsidRPr="00511005" w:rsidRDefault="00220D3E" w:rsidP="00D32A0F">
      <w:pPr>
        <w:numPr>
          <w:ilvl w:val="0"/>
          <w:numId w:val="53"/>
        </w:numPr>
        <w:spacing w:line="264" w:lineRule="auto"/>
        <w:ind w:left="0" w:hanging="426"/>
        <w:contextualSpacing/>
        <w:rPr>
          <w:rFonts w:ascii="Arial" w:eastAsia="Calibri" w:hAnsi="Arial" w:cs="Arial"/>
          <w:szCs w:val="28"/>
          <w:lang w:val="uk-UA"/>
        </w:rPr>
      </w:pPr>
      <w:r w:rsidRPr="00511005">
        <w:rPr>
          <w:rFonts w:ascii="Arial" w:eastAsia="Calibri" w:hAnsi="Arial" w:cs="Arial"/>
          <w:szCs w:val="28"/>
          <w:lang w:val="uk-UA"/>
        </w:rPr>
        <w:t>Гошко Т. Нариси з історії магдебурзького права в Україні (XIV - початок XVII ст.). Львів : Афіша, 2002. 255 с.</w:t>
      </w:r>
    </w:p>
    <w:p w14:paraId="7B73F7E0" w14:textId="77777777" w:rsidR="00220D3E" w:rsidRPr="00511005" w:rsidRDefault="00220D3E" w:rsidP="00D32A0F">
      <w:pPr>
        <w:numPr>
          <w:ilvl w:val="0"/>
          <w:numId w:val="53"/>
        </w:numPr>
        <w:spacing w:line="264" w:lineRule="auto"/>
        <w:ind w:left="0" w:hanging="426"/>
        <w:contextualSpacing/>
        <w:rPr>
          <w:rFonts w:ascii="Arial" w:eastAsia="Calibri" w:hAnsi="Arial" w:cs="Arial"/>
          <w:szCs w:val="28"/>
          <w:lang w:val="uk-UA"/>
        </w:rPr>
      </w:pPr>
      <w:r w:rsidRPr="00511005">
        <w:rPr>
          <w:rFonts w:ascii="Arial" w:eastAsia="Calibri" w:hAnsi="Arial" w:cs="Arial"/>
          <w:szCs w:val="28"/>
          <w:lang w:val="uk-UA"/>
        </w:rPr>
        <w:t>Історія держави та права : навч. посібн. / Д.Є. Забзалюк, В.С. Макарчук, В.Я. Марковський, В.Д. Яремчук, Н.Я. Рудий (Заг. ред. Д.Є.Забазалюка та В.Я. Марковського) ; Львівський державний університет внутрішніх справ. – Львів : СПОЛОМ, 2021. – 438 с.</w:t>
      </w:r>
    </w:p>
    <w:p w14:paraId="2AF9556C" w14:textId="77777777" w:rsidR="00220D3E" w:rsidRPr="00511005" w:rsidRDefault="00220D3E" w:rsidP="00D32A0F">
      <w:pPr>
        <w:numPr>
          <w:ilvl w:val="0"/>
          <w:numId w:val="53"/>
        </w:numPr>
        <w:spacing w:line="264" w:lineRule="auto"/>
        <w:ind w:left="0" w:hanging="426"/>
        <w:contextualSpacing/>
        <w:rPr>
          <w:rFonts w:ascii="Arial" w:eastAsia="Calibri" w:hAnsi="Arial" w:cs="Arial"/>
          <w:szCs w:val="28"/>
          <w:lang w:val="uk-UA"/>
        </w:rPr>
      </w:pPr>
      <w:r w:rsidRPr="00511005">
        <w:rPr>
          <w:rFonts w:ascii="Arial" w:eastAsia="Calibri" w:hAnsi="Arial" w:cs="Arial"/>
          <w:szCs w:val="28"/>
          <w:lang w:val="uk-UA"/>
        </w:rPr>
        <w:t>Кобилецький М. Магдебурзьке право у Польщі (ХІІІ-ХVII ст.). 2015. С. 9–14.</w:t>
      </w:r>
    </w:p>
    <w:p w14:paraId="3A4ECC41" w14:textId="77777777" w:rsidR="00220D3E" w:rsidRPr="00511005" w:rsidRDefault="00220D3E" w:rsidP="00D32A0F">
      <w:pPr>
        <w:numPr>
          <w:ilvl w:val="0"/>
          <w:numId w:val="53"/>
        </w:numPr>
        <w:spacing w:line="264" w:lineRule="auto"/>
        <w:ind w:left="0" w:hanging="426"/>
        <w:contextualSpacing/>
        <w:rPr>
          <w:rFonts w:ascii="Arial" w:eastAsia="Calibri" w:hAnsi="Arial" w:cs="Arial"/>
          <w:szCs w:val="28"/>
          <w:lang w:val="uk-UA"/>
        </w:rPr>
      </w:pPr>
      <w:r w:rsidRPr="00511005">
        <w:rPr>
          <w:rFonts w:ascii="Arial" w:eastAsia="Calibri" w:hAnsi="Arial" w:cs="Arial"/>
          <w:szCs w:val="28"/>
          <w:lang w:val="uk-UA"/>
        </w:rPr>
        <w:t>Котенко Т.В Т. Магдебурзьке право та його значення у становленні правової системи України. </w:t>
      </w:r>
      <w:r w:rsidRPr="00511005">
        <w:rPr>
          <w:rFonts w:ascii="Arial" w:eastAsia="Calibri" w:hAnsi="Arial" w:cs="Arial"/>
          <w:i/>
          <w:iCs/>
          <w:szCs w:val="28"/>
          <w:lang w:val="uk-UA"/>
        </w:rPr>
        <w:t>Науковий вісник 2011</w:t>
      </w:r>
      <w:r w:rsidRPr="00511005">
        <w:rPr>
          <w:rFonts w:ascii="Arial" w:eastAsia="Calibri" w:hAnsi="Arial" w:cs="Arial"/>
          <w:szCs w:val="28"/>
          <w:lang w:val="uk-UA"/>
        </w:rPr>
        <w:t>. 2011. С. 203–213.</w:t>
      </w:r>
    </w:p>
    <w:p w14:paraId="7BFEA00B" w14:textId="77777777" w:rsidR="00220D3E" w:rsidRPr="00511005" w:rsidRDefault="00220D3E" w:rsidP="00D32A0F">
      <w:pPr>
        <w:numPr>
          <w:ilvl w:val="0"/>
          <w:numId w:val="53"/>
        </w:numPr>
        <w:spacing w:line="264" w:lineRule="auto"/>
        <w:ind w:left="0" w:hanging="426"/>
        <w:contextualSpacing/>
        <w:rPr>
          <w:rFonts w:ascii="Arial" w:eastAsia="Calibri" w:hAnsi="Arial" w:cs="Arial"/>
          <w:szCs w:val="28"/>
          <w:lang w:val="uk-UA"/>
        </w:rPr>
      </w:pPr>
      <w:r w:rsidRPr="00511005">
        <w:rPr>
          <w:rFonts w:ascii="Arial" w:eastAsia="Calibri" w:hAnsi="Arial" w:cs="Arial"/>
          <w:szCs w:val="28"/>
          <w:lang w:val="pl-PL"/>
        </w:rPr>
        <w:t>„Artykuły prawa majdeburskiego” Bartłomieja Groickiego. </w:t>
      </w:r>
      <w:r w:rsidRPr="00511005">
        <w:rPr>
          <w:rFonts w:ascii="Arial" w:eastAsia="Calibri" w:hAnsi="Arial" w:cs="Arial"/>
          <w:i/>
          <w:iCs/>
          <w:szCs w:val="28"/>
          <w:lang w:val="pl-PL"/>
        </w:rPr>
        <w:t>Muzeum Pałacu Króla Jana III w Wilanowie</w:t>
      </w:r>
      <w:r w:rsidRPr="00511005">
        <w:rPr>
          <w:rFonts w:ascii="Arial" w:eastAsia="Calibri" w:hAnsi="Arial" w:cs="Arial"/>
          <w:szCs w:val="28"/>
          <w:lang w:val="pl-PL"/>
        </w:rPr>
        <w:t xml:space="preserve">. </w:t>
      </w:r>
      <w:r w:rsidRPr="00511005">
        <w:rPr>
          <w:rFonts w:ascii="Arial" w:eastAsia="Calibri" w:hAnsi="Arial" w:cs="Arial"/>
          <w:szCs w:val="28"/>
          <w:lang w:val="en-US"/>
        </w:rPr>
        <w:t>URL: </w:t>
      </w:r>
      <w:hyperlink r:id="rId135" w:tgtFrame="_blank" w:history="1">
        <w:r w:rsidRPr="00511005">
          <w:rPr>
            <w:rFonts w:ascii="Arial" w:eastAsia="Calibri" w:hAnsi="Arial" w:cs="Arial"/>
            <w:szCs w:val="28"/>
            <w:lang w:val="en-US"/>
          </w:rPr>
          <w:t>https://wilanow-palac.pl/pasaz-wiedzy/artykuly-prawa-magdeburskiego-bartlomieja-groickiego</w:t>
        </w:r>
      </w:hyperlink>
      <w:r w:rsidRPr="00511005">
        <w:rPr>
          <w:rFonts w:ascii="Arial" w:eastAsia="Calibri" w:hAnsi="Arial" w:cs="Arial"/>
          <w:szCs w:val="28"/>
          <w:lang w:val="en-US"/>
        </w:rPr>
        <w:t> (date of access: 29.04.2025).</w:t>
      </w:r>
    </w:p>
    <w:p w14:paraId="51ABD0B4" w14:textId="77777777" w:rsidR="00D32A0F" w:rsidRPr="00511005" w:rsidRDefault="00D32A0F" w:rsidP="003A292D">
      <w:pPr>
        <w:spacing w:line="264" w:lineRule="auto"/>
        <w:ind w:firstLine="0"/>
        <w:contextualSpacing/>
        <w:rPr>
          <w:rFonts w:ascii="Arial" w:eastAsia="Calibri" w:hAnsi="Arial" w:cs="Arial"/>
          <w:b/>
          <w:i/>
          <w:szCs w:val="28"/>
          <w:lang w:val="uk-UA"/>
        </w:rPr>
      </w:pPr>
    </w:p>
    <w:p w14:paraId="724EBC4E" w14:textId="27145273" w:rsidR="00220D3E"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20D3E" w:rsidRPr="00511005">
        <w:rPr>
          <w:rFonts w:ascii="Arial" w:eastAsia="Calibri" w:hAnsi="Arial" w:cs="Arial"/>
          <w:szCs w:val="28"/>
          <w:lang w:val="uk-UA"/>
        </w:rPr>
        <w:t>магдебурзьке право, правові норми, кодифікація, судова практика</w:t>
      </w:r>
    </w:p>
    <w:p w14:paraId="519AF558" w14:textId="6E5AAF6B" w:rsidR="00220D3E"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i/>
          <w:szCs w:val="28"/>
          <w:lang w:val="en-US"/>
        </w:rPr>
        <w:t xml:space="preserve">Key words: </w:t>
      </w:r>
      <w:r w:rsidR="00220D3E" w:rsidRPr="00511005">
        <w:rPr>
          <w:rFonts w:ascii="Arial" w:eastAsia="Calibri" w:hAnsi="Arial" w:cs="Arial"/>
          <w:szCs w:val="28"/>
          <w:lang w:val="en-US"/>
        </w:rPr>
        <w:t>magdeburg law</w:t>
      </w:r>
      <w:r w:rsidR="00220D3E" w:rsidRPr="00511005">
        <w:rPr>
          <w:rFonts w:ascii="Arial" w:eastAsia="Calibri" w:hAnsi="Arial" w:cs="Arial"/>
          <w:szCs w:val="28"/>
          <w:lang w:val="uk-UA"/>
        </w:rPr>
        <w:t>, legal rules, codification, court practice.</w:t>
      </w:r>
    </w:p>
    <w:p w14:paraId="40C3184C" w14:textId="47727BCE" w:rsidR="00220D3E" w:rsidRPr="00511005" w:rsidRDefault="007B2628" w:rsidP="003A292D">
      <w:pPr>
        <w:spacing w:line="264" w:lineRule="auto"/>
        <w:ind w:firstLine="0"/>
        <w:jc w:val="left"/>
        <w:rPr>
          <w:rFonts w:ascii="Arial" w:eastAsia="Times New Roman" w:hAnsi="Arial" w:cs="Arial"/>
          <w:b/>
          <w:bCs/>
          <w:szCs w:val="28"/>
          <w:lang w:val="uk-UA" w:eastAsia="ru-RU"/>
        </w:rPr>
      </w:pPr>
      <w:r w:rsidRPr="00511005">
        <w:rPr>
          <w:rFonts w:ascii="Arial" w:eastAsia="Times New Roman" w:hAnsi="Arial" w:cs="Arial"/>
          <w:b/>
          <w:i/>
          <w:iCs/>
          <w:szCs w:val="28"/>
          <w:shd w:val="clear" w:color="auto" w:fill="FFFFFF"/>
          <w:lang w:val="uk-UA" w:eastAsia="ru-RU"/>
        </w:rPr>
        <w:t xml:space="preserve">Науковий керівник: </w:t>
      </w:r>
      <w:r w:rsidR="00220D3E" w:rsidRPr="00511005">
        <w:rPr>
          <w:rFonts w:ascii="Arial" w:eastAsia="Times New Roman" w:hAnsi="Arial" w:cs="Arial"/>
          <w:szCs w:val="28"/>
          <w:shd w:val="clear" w:color="auto" w:fill="FFFFFF"/>
          <w:lang w:val="uk-UA" w:eastAsia="ru-RU"/>
        </w:rPr>
        <w:t>к.ю.н., доцент Корнієнко І. В.</w:t>
      </w:r>
    </w:p>
    <w:p w14:paraId="1787E198" w14:textId="77777777" w:rsidR="00220D3E" w:rsidRPr="00511005" w:rsidRDefault="00220D3E" w:rsidP="003A292D">
      <w:pPr>
        <w:spacing w:line="264" w:lineRule="auto"/>
        <w:ind w:firstLine="0"/>
        <w:jc w:val="left"/>
        <w:rPr>
          <w:rFonts w:ascii="Arial" w:eastAsia="Times New Roman" w:hAnsi="Arial" w:cs="Arial"/>
          <w:szCs w:val="28"/>
          <w:lang w:val="uk-UA" w:eastAsia="ru-RU"/>
        </w:rPr>
      </w:pPr>
    </w:p>
    <w:p w14:paraId="52E650B8" w14:textId="77777777" w:rsidR="00220D3E" w:rsidRPr="00511005" w:rsidRDefault="00220D3E"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b/>
          <w:i/>
          <w:szCs w:val="28"/>
          <w:lang w:eastAsia="ru-RU"/>
        </w:rPr>
        <w:t>Шарко Світлана Василівна</w:t>
      </w:r>
    </w:p>
    <w:p w14:paraId="0500AE3F"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1-го курсу </w:t>
      </w:r>
    </w:p>
    <w:p w14:paraId="06295545"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B60D91D" w14:textId="0C3676EC" w:rsidR="00220D3E"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D7605CD" w14:textId="77777777" w:rsidR="00220D3E" w:rsidRPr="00511005" w:rsidRDefault="00220D3E" w:rsidP="003A292D">
      <w:pPr>
        <w:spacing w:line="264" w:lineRule="auto"/>
        <w:ind w:firstLine="0"/>
        <w:jc w:val="center"/>
        <w:rPr>
          <w:rFonts w:ascii="Arial" w:eastAsia="Times New Roman" w:hAnsi="Arial" w:cs="Arial"/>
          <w:szCs w:val="28"/>
          <w:lang w:eastAsia="ru-RU"/>
        </w:rPr>
      </w:pPr>
    </w:p>
    <w:p w14:paraId="13C96244" w14:textId="77777777" w:rsidR="00220D3E" w:rsidRPr="00511005" w:rsidRDefault="00220D3E" w:rsidP="003A292D">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lastRenderedPageBreak/>
        <w:t>ПРОЦЕС СТАНОВЛЕННЯ ЮРИДИЧНОЇ ОСВІТИ НА УКРАЇНСЬКИХ ТЕРЕНАХ</w:t>
      </w:r>
    </w:p>
    <w:p w14:paraId="2FCB878C"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Витоки становлення вищої юридичної освіти в Україні тісно пов’язані з ранніми етапами формування української державності. Актуальність теми зумовлена необхідністю глибшого осмислення історико-правових засад формування сучасної системи юридичної освіти в Україні, яка є фундаментальною складовою правової держави та демократичного суспільства. Метою статті є аналіз етапів становлення юридичної освіти, з урахуванням соціально-політичного контексту, інституційного оформлення та ідеологічних впливів.</w:t>
      </w:r>
      <w:r w:rsidRPr="00511005">
        <w:rPr>
          <w:rFonts w:ascii="Arial" w:eastAsia="Times New Roman" w:hAnsi="Arial" w:cs="Arial"/>
          <w:b/>
          <w:szCs w:val="28"/>
          <w:lang w:eastAsia="ru-RU"/>
        </w:rPr>
        <w:t xml:space="preserve"> </w:t>
      </w:r>
    </w:p>
    <w:p w14:paraId="2E1BCC38"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Юридична освіта – це певний освітній рівень, здобутий в результаті послідовного, системного та цілеспрямованого процесу засвоєння системи правових знань, поглядів, переконань, умінь і навичок, формування особи як громадянина, здатного до професійно-правової діяльності [2, с.62]. Якісна правнича освіта є необхідною передумовою для успішного реформування правової системи, сприяє євроінтеграції України, слугує основою професійного становлення майбутніх юристів і водночас є каталізатором розвитку правової свідомості та культури суспільства загалом. </w:t>
      </w:r>
    </w:p>
    <w:p w14:paraId="7B764952" w14:textId="6F7198FF"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Становлення юридичної освіти на українських теренах починається ще за часів Київської Русі. Перші згадки про виникнення шкільного навчання на території Русі датуються 988 роком — часом запровадження християнства як державної релігії. Варто зазначити, що у «Повісті врем’яних літ» (за Іпатіївським літописом) міститься наступне свідчення: «Володимир же повелів по всіх городах набирати дітей у навчання книжне...»</w:t>
      </w:r>
      <w:r w:rsidRPr="00511005">
        <w:rPr>
          <w:rFonts w:ascii="Arial" w:eastAsia="Times New Roman" w:hAnsi="Arial" w:cs="Arial"/>
          <w:i/>
          <w:szCs w:val="28"/>
          <w:lang w:eastAsia="ru-RU"/>
        </w:rPr>
        <w:t xml:space="preserve"> </w:t>
      </w:r>
      <w:r w:rsidRPr="00511005">
        <w:rPr>
          <w:rFonts w:ascii="Arial" w:eastAsia="Times New Roman" w:hAnsi="Arial" w:cs="Arial"/>
          <w:szCs w:val="28"/>
          <w:lang w:eastAsia="ru-RU"/>
        </w:rPr>
        <w:t>[1, c.184]. Цей літописний фрагмент свідчить про усвідомлену державну політику київського князя Володимира Великого щодо поширення та розвитку освіти, передусім через</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школи, які створювались при церквах та мали забезпечувати підготовку книжників, священнослужителів і освічених управлінців. Упродовж XI століття в Київській Русі сформувалася цілісна система закладів освіти, відома як школи «книжного вчення». Серед найвідоміших шкіл того часу слід також зазначити двірцеву школу при Софійському соборі, відкриту </w:t>
      </w:r>
      <w:proofErr w:type="gramStart"/>
      <w:r w:rsidRPr="00511005">
        <w:rPr>
          <w:rFonts w:ascii="Arial" w:eastAsia="Times New Roman" w:hAnsi="Arial" w:cs="Arial"/>
          <w:szCs w:val="28"/>
          <w:lang w:eastAsia="ru-RU"/>
        </w:rPr>
        <w:t>Ярославом</w:t>
      </w:r>
      <w:proofErr w:type="gramEnd"/>
      <w:r w:rsidRPr="00511005">
        <w:rPr>
          <w:rFonts w:ascii="Arial" w:eastAsia="Times New Roman" w:hAnsi="Arial" w:cs="Arial"/>
          <w:szCs w:val="28"/>
          <w:lang w:eastAsia="ru-RU"/>
        </w:rPr>
        <w:t xml:space="preserve"> Мудрим у 1037 році. У княжу добу діяли монастирські школи, які створювались при монастирях та соборах, які на той час давали глибокі знання у сфері права. У навчальних закладах підвищеного типу в період становлення правничої освіти вагоме місце займало вивчення фундаментальних юридичних джерел, зокрема «Руської правди» [3, с.2]. </w:t>
      </w:r>
    </w:p>
    <w:p w14:paraId="03E7CBD9"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Розвиток юридичної освіти на українських землях у період Ренесансу та Просвітництва відбувався в умовах політичного та релігійного гніту. До середини XVII століття на території України не існувало жодного вищого навчального закладу. Це пояснювалося, зокрема, позицією польської шляхти, яка активно перешкоджала заснуванню вищих шкіл, що могли б </w:t>
      </w:r>
      <w:r w:rsidRPr="00511005">
        <w:rPr>
          <w:rFonts w:ascii="Arial" w:eastAsia="Times New Roman" w:hAnsi="Arial" w:cs="Arial"/>
          <w:szCs w:val="28"/>
          <w:lang w:eastAsia="ru-RU"/>
        </w:rPr>
        <w:lastRenderedPageBreak/>
        <w:t xml:space="preserve">стати осередками формування національної, політичної та культурної еліти, бо вважала їх небезпечними, боялась їхньої згуртованості та супротиву. </w:t>
      </w:r>
    </w:p>
    <w:p w14:paraId="6E83FD73"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 умовах обмеженого доступу до освіти на Батьківщині українська молодь змушена була здобувати вищу освіту, зокрема й правничу, за кордоном — у Віленській єзуїтській академії, Краківському, Болонському та інших європейських університетах [3, с.2]. Важливим кроком у зародженні правової освіти на українських теренах стало заснування указом Яна ІІ Казимира 20 січня 1661 року Львівського університету. Даний університет є спадкоємцем Львівської єзуїтської колегії, яка на той час мала значний вплив на формування освіти. </w:t>
      </w:r>
    </w:p>
    <w:p w14:paraId="589F18C4" w14:textId="598D9E5F"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Як зазначає дослідниця Н. Бондар: «У структурі новоствореного закладу діяв юридичний факультет, знаний як факультет «обох прав», оскільки основними напрямами навчання були канонічне та римське право» [4, с.2]. Однак у 1773 році внаслідок розпуску ордену єзуїтів функціонування університету було припинене. Новий етап його розвитку розпочався 21 жовтня 1784 року, коли імператор Австрійської монархії Йосиф II видав указ про відновлення діяльності закладу.</w:t>
      </w:r>
      <w:r w:rsidR="007B2628" w:rsidRPr="00511005">
        <w:rPr>
          <w:rFonts w:ascii="Arial" w:eastAsia="Times New Roman" w:hAnsi="Arial" w:cs="Arial"/>
          <w:szCs w:val="28"/>
          <w:lang w:eastAsia="ru-RU"/>
        </w:rPr>
        <w:t xml:space="preserve"> </w:t>
      </w:r>
    </w:p>
    <w:p w14:paraId="6A85F7EF"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другій половині ХVII українська освіта під владою Російської імперії перебувала у скрутному становищі, адже право на власну освітню політику було заборонене. Проте, Петро І намагався підняти рівень фахової освіти. Юридична освіта на українських теренах, підвладних Російській імперії, почала формуватися наприкінці XVIII століття й залежала від політики правлячих кіл. Одним із ключових етапів стало створення Міністерства народної освіти у 1802 році, що дало поштовх до розширення мережі вищих навчальних закладів. Зокрема, було поновлено діяльність університетів у Вільно (нині Вільнюс) і Дерпті (нині Тарту), а також відкрито нові університети — у Казані та </w:t>
      </w:r>
      <w:proofErr w:type="gramStart"/>
      <w:r w:rsidRPr="00511005">
        <w:rPr>
          <w:rFonts w:ascii="Arial" w:eastAsia="Times New Roman" w:hAnsi="Arial" w:cs="Arial"/>
          <w:szCs w:val="28"/>
          <w:lang w:eastAsia="ru-RU"/>
        </w:rPr>
        <w:t>Харкові[</w:t>
      </w:r>
      <w:proofErr w:type="gramEnd"/>
      <w:r w:rsidRPr="00511005">
        <w:rPr>
          <w:rFonts w:ascii="Arial" w:eastAsia="Times New Roman" w:hAnsi="Arial" w:cs="Arial"/>
          <w:szCs w:val="28"/>
          <w:lang w:eastAsia="ru-RU"/>
        </w:rPr>
        <w:t xml:space="preserve">5, с.3]. </w:t>
      </w:r>
    </w:p>
    <w:p w14:paraId="308578C5"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 початковому етапі в структурі цих університетів не існувало окремих юридичних факультетів, а діяли відділення, організовані за зразком австрійських політико-юридичних факультетів. Заснування Імператорського Харківського університету, офіційно відкритого 17 січня 1805 року (за старим стилем), пов’язується з діяльністю громадського діяча Василя Назаровича Каразіна. Уже 29 січня в університеті було розпочато заняття. </w:t>
      </w:r>
    </w:p>
    <w:p w14:paraId="0B76FB75"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Важливим етапом у формуванні системи юридичної освіти стало також відкриття в 1834 році Університету Святого Володимира в Києві. Спочатку в його структурі функціонував лише філософський факультет, однак уже в 1835 році було відкрито юридичний факультет [5, c.2]. </w:t>
      </w:r>
    </w:p>
    <w:p w14:paraId="6E995B78" w14:textId="3C0EB7B5"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Знаковою подією</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стало відкриття 6 січня 1818 року в Одесі Рішельєвського ліцею — закладу закритого типу, який поєднував функції середньої школи та курсів вищої юридичної підготовки. Пізніше в Одесі було засновано Імператорський Новоросійський університет на базі </w:t>
      </w:r>
      <w:r w:rsidRPr="00511005">
        <w:rPr>
          <w:rFonts w:ascii="Arial" w:eastAsia="Times New Roman" w:hAnsi="Arial" w:cs="Arial"/>
          <w:szCs w:val="28"/>
          <w:lang w:eastAsia="ru-RU"/>
        </w:rPr>
        <w:lastRenderedPageBreak/>
        <w:t xml:space="preserve">Рішельєвського ліцею, відкриття якого відбулось 1 (13) травня 1865 року [5, c.3]. </w:t>
      </w:r>
    </w:p>
    <w:p w14:paraId="0C56EBA1" w14:textId="77777777" w:rsidR="00220D3E" w:rsidRPr="00511005" w:rsidRDefault="00220D3E" w:rsidP="00D32A0F">
      <w:pPr>
        <w:spacing w:line="264" w:lineRule="auto"/>
        <w:rPr>
          <w:rFonts w:ascii="Arial" w:eastAsia="Times New Roman" w:hAnsi="Arial" w:cs="Arial"/>
          <w:szCs w:val="28"/>
          <w:lang w:eastAsia="ru-RU"/>
        </w:rPr>
      </w:pPr>
      <w:proofErr w:type="gramStart"/>
      <w:r w:rsidRPr="00511005">
        <w:rPr>
          <w:rFonts w:ascii="Arial" w:eastAsia="Times New Roman" w:hAnsi="Arial" w:cs="Arial"/>
          <w:szCs w:val="28"/>
          <w:lang w:eastAsia="ru-RU"/>
        </w:rPr>
        <w:t>На початку</w:t>
      </w:r>
      <w:proofErr w:type="gramEnd"/>
      <w:r w:rsidRPr="00511005">
        <w:rPr>
          <w:rFonts w:ascii="Arial" w:eastAsia="Times New Roman" w:hAnsi="Arial" w:cs="Arial"/>
          <w:szCs w:val="28"/>
          <w:lang w:eastAsia="ru-RU"/>
        </w:rPr>
        <w:t xml:space="preserve"> ХХ століття юридичну освіту в Україні почали отримувати і жінки, які поступали на юридичні факультети Вищих жіночих курсів.</w:t>
      </w:r>
    </w:p>
    <w:p w14:paraId="7D9A3BA7" w14:textId="766CEFB2"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Значущу роль у становленні правничої освіти та юридичної науки на західноукраїнських землях відіграв Чернівецький університет, заснований 31 березня 1875 року під назвою Університет імені Франца-Йосифа. [5, c.2].</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Після 1917 року система вищої професійної освіти зазнала суттєвих трансформацій. Освіта стала загальнодоступною, але її якість почала залежати від нової ідеології, яка одночасно відображалась і на розвитку права «нового типу». З 1920 р. більшовицька влада закрила низку університетів, не видавала нових підручників, частково знищила викладачів правознавців. Попит на юридичну освіту посилився лише з 1947 року, у зв’язку з низкою обставин. У післявоєнний період в Україні сформувалася чітка структура центрів юридичної освіти — у Києві, Харкові, Львові та Одесі, але з 1954 року юрфак в Одесі було знов зачинено до 1960 року [7, с. 176].</w:t>
      </w:r>
      <w:r w:rsidR="007B2628" w:rsidRPr="00511005">
        <w:rPr>
          <w:rFonts w:ascii="Arial" w:eastAsia="Times New Roman" w:hAnsi="Arial" w:cs="Arial"/>
          <w:szCs w:val="28"/>
          <w:lang w:eastAsia="ru-RU"/>
        </w:rPr>
        <w:t xml:space="preserve"> </w:t>
      </w:r>
    </w:p>
    <w:p w14:paraId="20EF7067"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Після здобуття незалежності у 1991 році юридична освіта в Україні вступила в новий етап розвитку, що базувався на демократичних засадах та принципах панування права у суспільстві. Нові виклики зумовили потребу в розробці концептуальних основ реформування правничої освіти, зокрема — в орієнтації на європейські стандарти прав людини, верховенства права і демократичного врядування. Протягом двох десятиліть мережа правничих навчальних закладів значно зросла — з 6 закладів у 1991 році до близько 300 у 2012 році [6, c.3]. На даний момент, система юридичної освіти України перебуває в стані поступової трансформації, орієнтуючись на практичну підготовку, академічну мобільність та інтеграцію до європейського правового простору.</w:t>
      </w:r>
    </w:p>
    <w:p w14:paraId="1CB7E747"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юридична освіта в Україні має глибокі історичні корені, що сягають часів Київської Русі. Вона пройшла складний шлях розвитку — від церковно-монастирських шкіл до сучасної системи вищої правничої підготовки. Її становлення було нерозривно пов’язане з етапами формування української державності, трансформаціями політичного устрою, а також культурно-освітніми викликами в різні історичні епохи. Важливу роль у формуванні системи юридичної освіти відіграли як зовнішні впливи — зокрема європейські освітні традиції, — так і внутрішні чинники: національне відродження, реформи, боротьба за збереження освітньої автономії.</w:t>
      </w:r>
    </w:p>
    <w:p w14:paraId="563049B0" w14:textId="77777777" w:rsidR="00220D3E" w:rsidRPr="00511005" w:rsidRDefault="00220D3E" w:rsidP="003A292D">
      <w:pPr>
        <w:spacing w:line="264" w:lineRule="auto"/>
        <w:ind w:firstLine="0"/>
        <w:jc w:val="center"/>
        <w:rPr>
          <w:rFonts w:ascii="Arial" w:eastAsia="Times New Roman" w:hAnsi="Arial" w:cs="Arial"/>
          <w:b/>
          <w:szCs w:val="28"/>
          <w:lang w:eastAsia="ru-RU"/>
        </w:rPr>
      </w:pPr>
    </w:p>
    <w:p w14:paraId="1587B5F0" w14:textId="1B665B2E" w:rsidR="00220D3E" w:rsidRPr="00511005" w:rsidRDefault="007B2628" w:rsidP="007B2628">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125B793A"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1. Повість врем’яних </w:t>
      </w:r>
      <w:proofErr w:type="gramStart"/>
      <w:r w:rsidRPr="00511005">
        <w:rPr>
          <w:rFonts w:ascii="Arial" w:eastAsia="Times New Roman" w:hAnsi="Arial" w:cs="Arial"/>
          <w:szCs w:val="28"/>
          <w:lang w:eastAsia="ru-RU"/>
        </w:rPr>
        <w:t>літ :</w:t>
      </w:r>
      <w:proofErr w:type="gramEnd"/>
      <w:r w:rsidRPr="00511005">
        <w:rPr>
          <w:rFonts w:ascii="Arial" w:eastAsia="Times New Roman" w:hAnsi="Arial" w:cs="Arial"/>
          <w:szCs w:val="28"/>
          <w:lang w:eastAsia="ru-RU"/>
        </w:rPr>
        <w:t xml:space="preserve"> літопис (за Іпатським списком) / пер. з давньорус. мови, післяслово, комент. В. В. Яременка. </w:t>
      </w:r>
      <w:proofErr w:type="gramStart"/>
      <w:r w:rsidRPr="00511005">
        <w:rPr>
          <w:rFonts w:ascii="Arial" w:eastAsia="Times New Roman" w:hAnsi="Arial" w:cs="Arial"/>
          <w:szCs w:val="28"/>
          <w:lang w:eastAsia="ru-RU"/>
        </w:rPr>
        <w:t>К. :</w:t>
      </w:r>
      <w:proofErr w:type="gramEnd"/>
      <w:r w:rsidRPr="00511005">
        <w:rPr>
          <w:rFonts w:ascii="Arial" w:eastAsia="Times New Roman" w:hAnsi="Arial" w:cs="Arial"/>
          <w:szCs w:val="28"/>
          <w:lang w:eastAsia="ru-RU"/>
        </w:rPr>
        <w:t xml:space="preserve"> Рад. письменник, 1990. 558 с. </w:t>
      </w:r>
    </w:p>
    <w:p w14:paraId="5A467305"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2. Історія української </w:t>
      </w:r>
      <w:proofErr w:type="gramStart"/>
      <w:r w:rsidRPr="00511005">
        <w:rPr>
          <w:rFonts w:ascii="Arial" w:eastAsia="Times New Roman" w:hAnsi="Arial" w:cs="Arial"/>
          <w:szCs w:val="28"/>
          <w:lang w:eastAsia="ru-RU"/>
        </w:rPr>
        <w:t>юриспруденції :</w:t>
      </w:r>
      <w:proofErr w:type="gramEnd"/>
      <w:r w:rsidRPr="00511005">
        <w:rPr>
          <w:rFonts w:ascii="Arial" w:eastAsia="Times New Roman" w:hAnsi="Arial" w:cs="Arial"/>
          <w:szCs w:val="28"/>
          <w:lang w:eastAsia="ru-RU"/>
        </w:rPr>
        <w:t xml:space="preserve"> навч.-метод. посіб. для здобувачів вищ. освіти третього освітньо-наук. рівня «доктор філософії» у галузі знань 08 «Право» / авт.-уклад. Н. В. Єфремова, І. В. </w:t>
      </w:r>
      <w:proofErr w:type="gramStart"/>
      <w:r w:rsidRPr="00511005">
        <w:rPr>
          <w:rFonts w:ascii="Arial" w:eastAsia="Times New Roman" w:hAnsi="Arial" w:cs="Arial"/>
          <w:szCs w:val="28"/>
          <w:lang w:eastAsia="ru-RU"/>
        </w:rPr>
        <w:t>Корнієнко ;</w:t>
      </w:r>
      <w:proofErr w:type="gramEnd"/>
      <w:r w:rsidRPr="00511005">
        <w:rPr>
          <w:rFonts w:ascii="Arial" w:eastAsia="Times New Roman" w:hAnsi="Arial" w:cs="Arial"/>
          <w:szCs w:val="28"/>
          <w:lang w:eastAsia="ru-RU"/>
        </w:rPr>
        <w:t xml:space="preserve"> Нац. ун-т «Одеська юридична академія». </w:t>
      </w:r>
      <w:proofErr w:type="gramStart"/>
      <w:r w:rsidRPr="00511005">
        <w:rPr>
          <w:rFonts w:ascii="Arial" w:eastAsia="Times New Roman" w:hAnsi="Arial" w:cs="Arial"/>
          <w:szCs w:val="28"/>
          <w:lang w:eastAsia="ru-RU"/>
        </w:rPr>
        <w:t>Одеса :</w:t>
      </w:r>
      <w:proofErr w:type="gramEnd"/>
      <w:r w:rsidRPr="00511005">
        <w:rPr>
          <w:rFonts w:ascii="Arial" w:eastAsia="Times New Roman" w:hAnsi="Arial" w:cs="Arial"/>
          <w:szCs w:val="28"/>
          <w:lang w:eastAsia="ru-RU"/>
        </w:rPr>
        <w:t xml:space="preserve"> Юридична література, 2020. 112 с. </w:t>
      </w:r>
    </w:p>
    <w:p w14:paraId="5BB7758F"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3. Немченко С. С. Становлення правової освіти в Україні в ХVІІ – на початку ХХ століття // Науковий вісник Херсонського держ. ун-ту. Серія: Юридичні науки. 2015. Вип. 4(1). С. 36–40. URL: http://nbuv.gov.ua/UJRN/Nvkhdu_jur_2015_4%281%29__10</w:t>
      </w:r>
    </w:p>
    <w:p w14:paraId="2825DA9F"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4. Серединко А. А. Традиції вітчизняної вищої юридичної освіти в історичному дискурсі: деякі аспекти // Юридичний науковий електрон. журн. 2024. № 4. С. 64–67. URL: http://lsej.org.ua/4_2024/12.pdf</w:t>
      </w:r>
    </w:p>
    <w:p w14:paraId="4F40E046" w14:textId="77777777" w:rsidR="00220D3E" w:rsidRPr="00055389" w:rsidRDefault="00220D3E" w:rsidP="003A292D">
      <w:pPr>
        <w:spacing w:line="264" w:lineRule="auto"/>
        <w:ind w:firstLine="0"/>
        <w:rPr>
          <w:rFonts w:ascii="Arial" w:eastAsia="Times New Roman" w:hAnsi="Arial" w:cs="Arial"/>
          <w:szCs w:val="28"/>
          <w:lang w:val="en-US" w:eastAsia="ru-RU"/>
        </w:rPr>
      </w:pPr>
      <w:r w:rsidRPr="00511005">
        <w:rPr>
          <w:rFonts w:ascii="Arial" w:eastAsia="Times New Roman" w:hAnsi="Arial" w:cs="Arial"/>
          <w:szCs w:val="28"/>
          <w:lang w:eastAsia="ru-RU"/>
        </w:rPr>
        <w:t xml:space="preserve">5. Горяга О. В. Процес становлення юридичної освіти на українських теренах // Правове життя сучасної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матеріали Міжнар. наук.-практ. конф. (Одеса, 17 верес. 2018 р.) / за ред. Г. О. </w:t>
      </w:r>
      <w:proofErr w:type="gramStart"/>
      <w:r w:rsidRPr="00511005">
        <w:rPr>
          <w:rFonts w:ascii="Arial" w:eastAsia="Times New Roman" w:hAnsi="Arial" w:cs="Arial"/>
          <w:szCs w:val="28"/>
          <w:lang w:eastAsia="ru-RU"/>
        </w:rPr>
        <w:t>Ульянової ;</w:t>
      </w:r>
      <w:proofErr w:type="gramEnd"/>
      <w:r w:rsidRPr="00511005">
        <w:rPr>
          <w:rFonts w:ascii="Arial" w:eastAsia="Times New Roman" w:hAnsi="Arial" w:cs="Arial"/>
          <w:szCs w:val="28"/>
          <w:lang w:eastAsia="ru-RU"/>
        </w:rPr>
        <w:t xml:space="preserve"> уклад.: О. В. Дикий, І. І. Братінов. </w:t>
      </w:r>
      <w:proofErr w:type="gramStart"/>
      <w:r w:rsidRPr="00511005">
        <w:rPr>
          <w:rFonts w:ascii="Arial" w:eastAsia="Times New Roman" w:hAnsi="Arial" w:cs="Arial"/>
          <w:szCs w:val="28"/>
          <w:lang w:eastAsia="ru-RU"/>
        </w:rPr>
        <w:t>Одеса :</w:t>
      </w:r>
      <w:proofErr w:type="gramEnd"/>
      <w:r w:rsidRPr="00511005">
        <w:rPr>
          <w:rFonts w:ascii="Arial" w:eastAsia="Times New Roman" w:hAnsi="Arial" w:cs="Arial"/>
          <w:szCs w:val="28"/>
          <w:lang w:eastAsia="ru-RU"/>
        </w:rPr>
        <w:t xml:space="preserve"> Гельветика, 2018. С</w:t>
      </w:r>
      <w:r w:rsidRPr="00055389">
        <w:rPr>
          <w:rFonts w:ascii="Arial" w:eastAsia="Times New Roman" w:hAnsi="Arial" w:cs="Arial"/>
          <w:szCs w:val="28"/>
          <w:lang w:val="en-US" w:eastAsia="ru-RU"/>
        </w:rPr>
        <w:t xml:space="preserve">. 101–104. </w:t>
      </w:r>
      <w:r w:rsidRPr="00511005">
        <w:rPr>
          <w:rFonts w:ascii="Arial" w:eastAsia="Times New Roman" w:hAnsi="Arial" w:cs="Arial"/>
          <w:szCs w:val="28"/>
          <w:lang w:val="en-US" w:eastAsia="ru-RU"/>
        </w:rPr>
        <w:t>URL</w:t>
      </w:r>
      <w:r w:rsidRPr="00055389">
        <w:rPr>
          <w:rFonts w:ascii="Arial" w:eastAsia="Times New Roman" w:hAnsi="Arial" w:cs="Arial"/>
          <w:szCs w:val="28"/>
          <w:lang w:val="en-US" w:eastAsia="ru-RU"/>
        </w:rPr>
        <w:t xml:space="preserve">: </w:t>
      </w:r>
      <w:hyperlink r:id="rId136">
        <w:r w:rsidRPr="00511005">
          <w:rPr>
            <w:rFonts w:ascii="Arial" w:eastAsia="Times New Roman" w:hAnsi="Arial" w:cs="Arial"/>
            <w:szCs w:val="28"/>
            <w:lang w:val="en-US" w:eastAsia="ru-RU"/>
          </w:rPr>
          <w:t>https</w:t>
        </w:r>
        <w:r w:rsidRPr="00055389">
          <w:rPr>
            <w:rFonts w:ascii="Arial" w:eastAsia="Times New Roman" w:hAnsi="Arial" w:cs="Arial"/>
            <w:szCs w:val="28"/>
            <w:lang w:val="en-US" w:eastAsia="ru-RU"/>
          </w:rPr>
          <w:t>://</w:t>
        </w:r>
        <w:r w:rsidRPr="00511005">
          <w:rPr>
            <w:rFonts w:ascii="Arial" w:eastAsia="Times New Roman" w:hAnsi="Arial" w:cs="Arial"/>
            <w:szCs w:val="28"/>
            <w:lang w:val="en-US" w:eastAsia="ru-RU"/>
          </w:rPr>
          <w:t>dspace</w:t>
        </w:r>
        <w:r w:rsidRPr="00055389">
          <w:rPr>
            <w:rFonts w:ascii="Arial" w:eastAsia="Times New Roman" w:hAnsi="Arial" w:cs="Arial"/>
            <w:szCs w:val="28"/>
            <w:lang w:val="en-US" w:eastAsia="ru-RU"/>
          </w:rPr>
          <w:t>.</w:t>
        </w:r>
        <w:r w:rsidRPr="00511005">
          <w:rPr>
            <w:rFonts w:ascii="Arial" w:eastAsia="Times New Roman" w:hAnsi="Arial" w:cs="Arial"/>
            <w:szCs w:val="28"/>
            <w:lang w:val="en-US" w:eastAsia="ru-RU"/>
          </w:rPr>
          <w:t>onua</w:t>
        </w:r>
        <w:r w:rsidRPr="00055389">
          <w:rPr>
            <w:rFonts w:ascii="Arial" w:eastAsia="Times New Roman" w:hAnsi="Arial" w:cs="Arial"/>
            <w:szCs w:val="28"/>
            <w:lang w:val="en-US" w:eastAsia="ru-RU"/>
          </w:rPr>
          <w:t>.</w:t>
        </w:r>
        <w:r w:rsidRPr="00511005">
          <w:rPr>
            <w:rFonts w:ascii="Arial" w:eastAsia="Times New Roman" w:hAnsi="Arial" w:cs="Arial"/>
            <w:szCs w:val="28"/>
            <w:lang w:val="en-US" w:eastAsia="ru-RU"/>
          </w:rPr>
          <w:t>edu</w:t>
        </w:r>
        <w:r w:rsidRPr="00055389">
          <w:rPr>
            <w:rFonts w:ascii="Arial" w:eastAsia="Times New Roman" w:hAnsi="Arial" w:cs="Arial"/>
            <w:szCs w:val="28"/>
            <w:lang w:val="en-US" w:eastAsia="ru-RU"/>
          </w:rPr>
          <w:t>.</w:t>
        </w:r>
        <w:r w:rsidRPr="00511005">
          <w:rPr>
            <w:rFonts w:ascii="Arial" w:eastAsia="Times New Roman" w:hAnsi="Arial" w:cs="Arial"/>
            <w:szCs w:val="28"/>
            <w:lang w:val="en-US" w:eastAsia="ru-RU"/>
          </w:rPr>
          <w:t>ua</w:t>
        </w:r>
        <w:r w:rsidRPr="00055389">
          <w:rPr>
            <w:rFonts w:ascii="Arial" w:eastAsia="Times New Roman" w:hAnsi="Arial" w:cs="Arial"/>
            <w:szCs w:val="28"/>
            <w:lang w:val="en-US" w:eastAsia="ru-RU"/>
          </w:rPr>
          <w:t>/</w:t>
        </w:r>
        <w:r w:rsidRPr="00511005">
          <w:rPr>
            <w:rFonts w:ascii="Arial" w:eastAsia="Times New Roman" w:hAnsi="Arial" w:cs="Arial"/>
            <w:szCs w:val="28"/>
            <w:lang w:val="en-US" w:eastAsia="ru-RU"/>
          </w:rPr>
          <w:t>server</w:t>
        </w:r>
        <w:r w:rsidRPr="00055389">
          <w:rPr>
            <w:rFonts w:ascii="Arial" w:eastAsia="Times New Roman" w:hAnsi="Arial" w:cs="Arial"/>
            <w:szCs w:val="28"/>
            <w:lang w:val="en-US" w:eastAsia="ru-RU"/>
          </w:rPr>
          <w:t>/</w:t>
        </w:r>
        <w:r w:rsidRPr="00511005">
          <w:rPr>
            <w:rFonts w:ascii="Arial" w:eastAsia="Times New Roman" w:hAnsi="Arial" w:cs="Arial"/>
            <w:szCs w:val="28"/>
            <w:lang w:val="en-US" w:eastAsia="ru-RU"/>
          </w:rPr>
          <w:t>api</w:t>
        </w:r>
        <w:r w:rsidRPr="00055389">
          <w:rPr>
            <w:rFonts w:ascii="Arial" w:eastAsia="Times New Roman" w:hAnsi="Arial" w:cs="Arial"/>
            <w:szCs w:val="28"/>
            <w:lang w:val="en-US" w:eastAsia="ru-RU"/>
          </w:rPr>
          <w:t>/</w:t>
        </w:r>
        <w:r w:rsidRPr="00511005">
          <w:rPr>
            <w:rFonts w:ascii="Arial" w:eastAsia="Times New Roman" w:hAnsi="Arial" w:cs="Arial"/>
            <w:szCs w:val="28"/>
            <w:lang w:val="en-US" w:eastAsia="ru-RU"/>
          </w:rPr>
          <w:t>core</w:t>
        </w:r>
        <w:r w:rsidRPr="00055389">
          <w:rPr>
            <w:rFonts w:ascii="Arial" w:eastAsia="Times New Roman" w:hAnsi="Arial" w:cs="Arial"/>
            <w:szCs w:val="28"/>
            <w:lang w:val="en-US" w:eastAsia="ru-RU"/>
          </w:rPr>
          <w:t>/</w:t>
        </w:r>
        <w:r w:rsidRPr="00511005">
          <w:rPr>
            <w:rFonts w:ascii="Arial" w:eastAsia="Times New Roman" w:hAnsi="Arial" w:cs="Arial"/>
            <w:szCs w:val="28"/>
            <w:lang w:val="en-US" w:eastAsia="ru-RU"/>
          </w:rPr>
          <w:t>bitstreams</w:t>
        </w:r>
        <w:r w:rsidRPr="00055389">
          <w:rPr>
            <w:rFonts w:ascii="Arial" w:eastAsia="Times New Roman" w:hAnsi="Arial" w:cs="Arial"/>
            <w:szCs w:val="28"/>
            <w:lang w:val="en-US" w:eastAsia="ru-RU"/>
          </w:rPr>
          <w:t>/</w:t>
        </w:r>
        <w:r w:rsidRPr="00511005">
          <w:rPr>
            <w:rFonts w:ascii="Arial" w:eastAsia="Times New Roman" w:hAnsi="Arial" w:cs="Arial"/>
            <w:szCs w:val="28"/>
            <w:lang w:val="en-US" w:eastAsia="ru-RU"/>
          </w:rPr>
          <w:t>b</w:t>
        </w:r>
        <w:r w:rsidRPr="00055389">
          <w:rPr>
            <w:rFonts w:ascii="Arial" w:eastAsia="Times New Roman" w:hAnsi="Arial" w:cs="Arial"/>
            <w:szCs w:val="28"/>
            <w:lang w:val="en-US" w:eastAsia="ru-RU"/>
          </w:rPr>
          <w:t>773</w:t>
        </w:r>
        <w:r w:rsidRPr="00511005">
          <w:rPr>
            <w:rFonts w:ascii="Arial" w:eastAsia="Times New Roman" w:hAnsi="Arial" w:cs="Arial"/>
            <w:szCs w:val="28"/>
            <w:lang w:val="en-US" w:eastAsia="ru-RU"/>
          </w:rPr>
          <w:t>d</w:t>
        </w:r>
        <w:r w:rsidRPr="00055389">
          <w:rPr>
            <w:rFonts w:ascii="Arial" w:eastAsia="Times New Roman" w:hAnsi="Arial" w:cs="Arial"/>
            <w:szCs w:val="28"/>
            <w:lang w:val="en-US" w:eastAsia="ru-RU"/>
          </w:rPr>
          <w:t>112-9633-4</w:t>
        </w:r>
        <w:r w:rsidRPr="00511005">
          <w:rPr>
            <w:rFonts w:ascii="Arial" w:eastAsia="Times New Roman" w:hAnsi="Arial" w:cs="Arial"/>
            <w:szCs w:val="28"/>
            <w:lang w:val="en-US" w:eastAsia="ru-RU"/>
          </w:rPr>
          <w:t>c</w:t>
        </w:r>
        <w:r w:rsidRPr="00055389">
          <w:rPr>
            <w:rFonts w:ascii="Arial" w:eastAsia="Times New Roman" w:hAnsi="Arial" w:cs="Arial"/>
            <w:szCs w:val="28"/>
            <w:lang w:val="en-US" w:eastAsia="ru-RU"/>
          </w:rPr>
          <w:t>19-</w:t>
        </w:r>
        <w:r w:rsidRPr="00511005">
          <w:rPr>
            <w:rFonts w:ascii="Arial" w:eastAsia="Times New Roman" w:hAnsi="Arial" w:cs="Arial"/>
            <w:szCs w:val="28"/>
            <w:lang w:val="en-US" w:eastAsia="ru-RU"/>
          </w:rPr>
          <w:t>bfdf</w:t>
        </w:r>
        <w:r w:rsidRPr="00055389">
          <w:rPr>
            <w:rFonts w:ascii="Arial" w:eastAsia="Times New Roman" w:hAnsi="Arial" w:cs="Arial"/>
            <w:szCs w:val="28"/>
            <w:lang w:val="en-US" w:eastAsia="ru-RU"/>
          </w:rPr>
          <w:t>-1</w:t>
        </w:r>
        <w:r w:rsidRPr="00511005">
          <w:rPr>
            <w:rFonts w:ascii="Arial" w:eastAsia="Times New Roman" w:hAnsi="Arial" w:cs="Arial"/>
            <w:szCs w:val="28"/>
            <w:lang w:val="en-US" w:eastAsia="ru-RU"/>
          </w:rPr>
          <w:t>d</w:t>
        </w:r>
        <w:r w:rsidRPr="00055389">
          <w:rPr>
            <w:rFonts w:ascii="Arial" w:eastAsia="Times New Roman" w:hAnsi="Arial" w:cs="Arial"/>
            <w:szCs w:val="28"/>
            <w:lang w:val="en-US" w:eastAsia="ru-RU"/>
          </w:rPr>
          <w:t>6</w:t>
        </w:r>
        <w:r w:rsidRPr="00511005">
          <w:rPr>
            <w:rFonts w:ascii="Arial" w:eastAsia="Times New Roman" w:hAnsi="Arial" w:cs="Arial"/>
            <w:szCs w:val="28"/>
            <w:lang w:val="en-US" w:eastAsia="ru-RU"/>
          </w:rPr>
          <w:t>bf</w:t>
        </w:r>
        <w:r w:rsidRPr="00055389">
          <w:rPr>
            <w:rFonts w:ascii="Arial" w:eastAsia="Times New Roman" w:hAnsi="Arial" w:cs="Arial"/>
            <w:szCs w:val="28"/>
            <w:lang w:val="en-US" w:eastAsia="ru-RU"/>
          </w:rPr>
          <w:t>450</w:t>
        </w:r>
        <w:r w:rsidRPr="00511005">
          <w:rPr>
            <w:rFonts w:ascii="Arial" w:eastAsia="Times New Roman" w:hAnsi="Arial" w:cs="Arial"/>
            <w:szCs w:val="28"/>
            <w:lang w:val="en-US" w:eastAsia="ru-RU"/>
          </w:rPr>
          <w:t>ea</w:t>
        </w:r>
        <w:r w:rsidRPr="00055389">
          <w:rPr>
            <w:rFonts w:ascii="Arial" w:eastAsia="Times New Roman" w:hAnsi="Arial" w:cs="Arial"/>
            <w:szCs w:val="28"/>
            <w:lang w:val="en-US" w:eastAsia="ru-RU"/>
          </w:rPr>
          <w:t>03/</w:t>
        </w:r>
        <w:r w:rsidRPr="00511005">
          <w:rPr>
            <w:rFonts w:ascii="Arial" w:eastAsia="Times New Roman" w:hAnsi="Arial" w:cs="Arial"/>
            <w:szCs w:val="28"/>
            <w:lang w:val="en-US" w:eastAsia="ru-RU"/>
          </w:rPr>
          <w:t>content</w:t>
        </w:r>
      </w:hyperlink>
    </w:p>
    <w:p w14:paraId="06E8C775"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6. Буга Г. С., Буга В. В. Історичні витоки та сучасність юридичної освіти та науки в Україні. Правовий часопис Донбасу. 2018. № 1. С. 14–20. URL: </w:t>
      </w:r>
      <w:hyperlink r:id="rId137">
        <w:r w:rsidRPr="00511005">
          <w:rPr>
            <w:rFonts w:ascii="Arial" w:eastAsia="Times New Roman" w:hAnsi="Arial" w:cs="Arial"/>
            <w:szCs w:val="28"/>
            <w:lang w:eastAsia="ru-RU"/>
          </w:rPr>
          <w:t>http://nbuv.gov.ua/UJRN/pppd_2018_1_4</w:t>
        </w:r>
      </w:hyperlink>
    </w:p>
    <w:p w14:paraId="2B3887CE"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7.</w:t>
      </w:r>
      <w:r w:rsidRPr="00511005">
        <w:rPr>
          <w:rFonts w:ascii="Arial" w:eastAsia="Times New Roman" w:hAnsi="Arial" w:cs="Arial"/>
          <w:b/>
          <w:szCs w:val="28"/>
          <w:lang w:eastAsia="ru-RU"/>
        </w:rPr>
        <w:t xml:space="preserve"> </w:t>
      </w:r>
      <w:r w:rsidRPr="00511005">
        <w:rPr>
          <w:rFonts w:ascii="Arial" w:eastAsia="Times New Roman" w:hAnsi="Arial" w:cs="Arial"/>
          <w:szCs w:val="28"/>
          <w:lang w:eastAsia="ru-RU"/>
        </w:rPr>
        <w:t xml:space="preserve">170 років — зберігаємо традиції. 20 років — створюємо майбутнє </w:t>
      </w:r>
      <w:r w:rsidRPr="00511005">
        <w:rPr>
          <w:rFonts w:ascii="Arial" w:eastAsia="Times New Roman" w:hAnsi="Arial" w:cs="Arial"/>
          <w:b/>
          <w:szCs w:val="28"/>
          <w:lang w:eastAsia="ru-RU"/>
        </w:rPr>
        <w:t xml:space="preserve">/ </w:t>
      </w:r>
      <w:r w:rsidRPr="00511005">
        <w:rPr>
          <w:rFonts w:ascii="Arial" w:eastAsia="Times New Roman" w:hAnsi="Arial" w:cs="Arial"/>
          <w:szCs w:val="28"/>
          <w:lang w:eastAsia="ru-RU"/>
        </w:rPr>
        <w:t xml:space="preserve">ред. кол.: С. В. Ківалов (голов. ред.) [та ін.]; відп. за вип. М. Р. Аракелян. </w:t>
      </w:r>
      <w:proofErr w:type="gramStart"/>
      <w:r w:rsidRPr="00511005">
        <w:rPr>
          <w:rFonts w:ascii="Arial" w:eastAsia="Times New Roman" w:hAnsi="Arial" w:cs="Arial"/>
          <w:szCs w:val="28"/>
          <w:lang w:eastAsia="ru-RU"/>
        </w:rPr>
        <w:t>Одеса :</w:t>
      </w:r>
      <w:proofErr w:type="gramEnd"/>
      <w:r w:rsidRPr="00511005">
        <w:rPr>
          <w:rFonts w:ascii="Arial" w:eastAsia="Times New Roman" w:hAnsi="Arial" w:cs="Arial"/>
          <w:szCs w:val="28"/>
          <w:lang w:eastAsia="ru-RU"/>
        </w:rPr>
        <w:t xml:space="preserve"> Юридична література, 2017. 560 с.</w:t>
      </w:r>
    </w:p>
    <w:p w14:paraId="32BEBB6F" w14:textId="77777777" w:rsidR="00220D3E" w:rsidRPr="00511005" w:rsidRDefault="00220D3E" w:rsidP="003A292D">
      <w:pPr>
        <w:spacing w:line="264" w:lineRule="auto"/>
        <w:ind w:firstLine="0"/>
        <w:jc w:val="left"/>
        <w:rPr>
          <w:rFonts w:ascii="Arial" w:eastAsia="Times New Roman" w:hAnsi="Arial" w:cs="Arial"/>
          <w:b/>
          <w:szCs w:val="28"/>
          <w:lang w:eastAsia="ru-RU"/>
        </w:rPr>
      </w:pPr>
    </w:p>
    <w:p w14:paraId="5A2963BE" w14:textId="5AF9246B" w:rsidR="00220D3E" w:rsidRPr="00511005" w:rsidRDefault="007B2628" w:rsidP="003A292D">
      <w:pPr>
        <w:spacing w:line="264" w:lineRule="auto"/>
        <w:ind w:firstLine="0"/>
        <w:jc w:val="left"/>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юридична освіта, історико-правові засади юридичної освіти,</w:t>
      </w:r>
      <w:r w:rsidRPr="00511005">
        <w:rPr>
          <w:rFonts w:ascii="Arial" w:eastAsia="Times New Roman" w:hAnsi="Arial" w:cs="Arial"/>
          <w:szCs w:val="28"/>
          <w:lang w:eastAsia="ru-RU"/>
        </w:rPr>
        <w:t xml:space="preserve"> </w:t>
      </w:r>
      <w:r w:rsidR="00220D3E" w:rsidRPr="00511005">
        <w:rPr>
          <w:rFonts w:ascii="Arial" w:eastAsia="Times New Roman" w:hAnsi="Arial" w:cs="Arial"/>
          <w:szCs w:val="28"/>
          <w:lang w:eastAsia="ru-RU"/>
        </w:rPr>
        <w:t>українська державність, формування правничої еліти.</w:t>
      </w:r>
    </w:p>
    <w:p w14:paraId="00E468BD" w14:textId="0A5B5737" w:rsidR="00220D3E" w:rsidRPr="00511005" w:rsidRDefault="007B2628" w:rsidP="003A292D">
      <w:pPr>
        <w:spacing w:line="264" w:lineRule="auto"/>
        <w:ind w:firstLine="0"/>
        <w:jc w:val="left"/>
        <w:rPr>
          <w:rFonts w:ascii="Arial" w:eastAsia="Times New Roman" w:hAnsi="Arial" w:cs="Arial"/>
          <w:i/>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legal education, historical and legal foundations of legal education, Ukrainian statehood, formation of the legal elite.</w:t>
      </w:r>
    </w:p>
    <w:p w14:paraId="79D01F58" w14:textId="0EE9F7BB" w:rsidR="00220D3E" w:rsidRPr="00511005" w:rsidRDefault="007B2628" w:rsidP="003A292D">
      <w:pPr>
        <w:spacing w:line="264" w:lineRule="auto"/>
        <w:ind w:firstLine="0"/>
        <w:jc w:val="left"/>
        <w:rPr>
          <w:rFonts w:ascii="Arial" w:eastAsia="Times New Roman" w:hAnsi="Arial" w:cs="Arial"/>
          <w:iCs/>
          <w:szCs w:val="28"/>
          <w:lang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Cs/>
          <w:szCs w:val="28"/>
          <w:lang w:eastAsia="ru-RU"/>
        </w:rPr>
        <w:t>к. ю. н</w:t>
      </w:r>
      <w:r w:rsidR="00D32A0F" w:rsidRPr="00511005">
        <w:rPr>
          <w:rFonts w:ascii="Arial" w:eastAsia="Times New Roman" w:hAnsi="Arial" w:cs="Arial"/>
          <w:iCs/>
          <w:szCs w:val="28"/>
          <w:lang w:val="uk-UA" w:eastAsia="ru-RU"/>
        </w:rPr>
        <w:t>.</w:t>
      </w:r>
      <w:r w:rsidR="00220D3E" w:rsidRPr="00511005">
        <w:rPr>
          <w:rFonts w:ascii="Arial" w:eastAsia="Times New Roman" w:hAnsi="Arial" w:cs="Arial"/>
          <w:iCs/>
          <w:szCs w:val="28"/>
          <w:lang w:eastAsia="ru-RU"/>
        </w:rPr>
        <w:t>, доцент Єфремова Н. В.</w:t>
      </w:r>
    </w:p>
    <w:p w14:paraId="404F73EC" w14:textId="77777777" w:rsidR="00220D3E" w:rsidRPr="00511005" w:rsidRDefault="00220D3E" w:rsidP="003A292D">
      <w:pPr>
        <w:spacing w:line="264" w:lineRule="auto"/>
        <w:ind w:firstLine="0"/>
        <w:jc w:val="left"/>
        <w:rPr>
          <w:rFonts w:ascii="Arial" w:eastAsia="Times New Roman" w:hAnsi="Arial" w:cs="Arial"/>
          <w:i/>
          <w:szCs w:val="28"/>
          <w:lang w:eastAsia="ru-RU"/>
        </w:rPr>
      </w:pPr>
    </w:p>
    <w:p w14:paraId="431EEF70" w14:textId="77777777" w:rsidR="00220D3E" w:rsidRPr="00511005" w:rsidRDefault="00220D3E"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b/>
          <w:i/>
          <w:szCs w:val="28"/>
          <w:lang w:eastAsia="ru-RU"/>
        </w:rPr>
        <w:t>Швалюк Дмитро Юрійович</w:t>
      </w:r>
    </w:p>
    <w:p w14:paraId="14D47933" w14:textId="40D17708" w:rsidR="00220D3E" w:rsidRPr="00511005" w:rsidRDefault="00220D3E"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 1-го курсу </w:t>
      </w:r>
      <w:r w:rsidR="003C5E59" w:rsidRPr="00511005">
        <w:rPr>
          <w:rFonts w:ascii="Arial" w:eastAsia="Times New Roman" w:hAnsi="Arial" w:cs="Arial"/>
          <w:szCs w:val="28"/>
          <w:lang w:eastAsia="ru-RU"/>
        </w:rPr>
        <w:t>факультету судового та міжнародного права</w:t>
      </w:r>
      <w:r w:rsidRPr="00511005">
        <w:rPr>
          <w:rFonts w:ascii="Arial" w:eastAsia="Times New Roman" w:hAnsi="Arial" w:cs="Arial"/>
          <w:szCs w:val="28"/>
          <w:lang w:eastAsia="ru-RU"/>
        </w:rPr>
        <w:t xml:space="preserve"> </w:t>
      </w:r>
      <w:r w:rsidR="007B2628" w:rsidRPr="00511005">
        <w:rPr>
          <w:rFonts w:ascii="Arial" w:eastAsia="Times New Roman" w:hAnsi="Arial" w:cs="Arial"/>
          <w:szCs w:val="28"/>
          <w:lang w:eastAsia="ru-RU"/>
        </w:rPr>
        <w:t>Національного університету «Одеська юридична академія»</w:t>
      </w:r>
    </w:p>
    <w:p w14:paraId="3ED04D4A" w14:textId="77777777" w:rsidR="00D32A0F" w:rsidRPr="00511005" w:rsidRDefault="00D32A0F" w:rsidP="003A292D">
      <w:pPr>
        <w:spacing w:line="264" w:lineRule="auto"/>
        <w:ind w:firstLine="0"/>
        <w:jc w:val="center"/>
        <w:rPr>
          <w:rFonts w:ascii="Arial" w:eastAsia="Times New Roman" w:hAnsi="Arial" w:cs="Arial"/>
          <w:szCs w:val="28"/>
          <w:lang w:eastAsia="ru-RU"/>
        </w:rPr>
      </w:pPr>
    </w:p>
    <w:p w14:paraId="363A6761" w14:textId="77777777" w:rsidR="00220D3E" w:rsidRPr="00511005" w:rsidRDefault="00220D3E"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b/>
          <w:szCs w:val="28"/>
          <w:lang w:eastAsia="ru-RU"/>
        </w:rPr>
        <w:t>ПРИЧИНИ ТА МЕТА КОДИФІКАЦІЇ ПРАВА УКРАЇНИ-</w:t>
      </w:r>
    </w:p>
    <w:p w14:paraId="6D0B4B01" w14:textId="52C80956" w:rsidR="007B2628" w:rsidRPr="00511005" w:rsidRDefault="00220D3E"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b/>
          <w:szCs w:val="28"/>
          <w:lang w:eastAsia="ru-RU"/>
        </w:rPr>
        <w:t>ГЕТЬМАН</w:t>
      </w:r>
      <w:r w:rsidR="00D32A0F" w:rsidRPr="00511005">
        <w:rPr>
          <w:rFonts w:ascii="Arial" w:eastAsia="Times New Roman" w:hAnsi="Arial" w:cs="Arial"/>
          <w:b/>
          <w:szCs w:val="28"/>
          <w:lang w:val="uk-UA" w:eastAsia="ru-RU"/>
        </w:rPr>
        <w:t>Щ</w:t>
      </w:r>
      <w:r w:rsidRPr="00511005">
        <w:rPr>
          <w:rFonts w:ascii="Arial" w:eastAsia="Times New Roman" w:hAnsi="Arial" w:cs="Arial"/>
          <w:b/>
          <w:szCs w:val="28"/>
          <w:lang w:eastAsia="ru-RU"/>
        </w:rPr>
        <w:t>ИНИ</w:t>
      </w:r>
      <w:r w:rsidR="007B2628" w:rsidRPr="00511005">
        <w:rPr>
          <w:rFonts w:ascii="Arial" w:eastAsia="Times New Roman" w:hAnsi="Arial" w:cs="Arial"/>
          <w:b/>
          <w:szCs w:val="28"/>
          <w:lang w:eastAsia="ru-RU"/>
        </w:rPr>
        <w:t xml:space="preserve"> </w:t>
      </w:r>
      <w:r w:rsidRPr="00511005">
        <w:rPr>
          <w:rFonts w:ascii="Arial" w:eastAsia="Times New Roman" w:hAnsi="Arial" w:cs="Arial"/>
          <w:b/>
          <w:szCs w:val="28"/>
          <w:lang w:eastAsia="ru-RU"/>
        </w:rPr>
        <w:t>ПЕРШОЇ ПОЛОВИНИ</w:t>
      </w:r>
      <w:r w:rsidR="007B2628" w:rsidRPr="00511005">
        <w:rPr>
          <w:rFonts w:ascii="Arial" w:eastAsia="Times New Roman" w:hAnsi="Arial" w:cs="Arial"/>
          <w:b/>
          <w:szCs w:val="28"/>
          <w:lang w:eastAsia="ru-RU"/>
        </w:rPr>
        <w:t xml:space="preserve"> </w:t>
      </w:r>
      <w:r w:rsidRPr="00511005">
        <w:rPr>
          <w:rFonts w:ascii="Arial" w:eastAsia="Times New Roman" w:hAnsi="Arial" w:cs="Arial"/>
          <w:b/>
          <w:szCs w:val="28"/>
          <w:lang w:val="en" w:eastAsia="ru-RU"/>
        </w:rPr>
        <w:t>XVIII</w:t>
      </w:r>
      <w:r w:rsidRPr="00511005">
        <w:rPr>
          <w:rFonts w:ascii="Arial" w:eastAsia="Times New Roman" w:hAnsi="Arial" w:cs="Arial"/>
          <w:b/>
          <w:szCs w:val="28"/>
          <w:lang w:eastAsia="ru-RU"/>
        </w:rPr>
        <w:t xml:space="preserve"> СТОЛІТТЯ</w:t>
      </w:r>
    </w:p>
    <w:p w14:paraId="0E05592D" w14:textId="395AD788" w:rsidR="00220D3E" w:rsidRPr="00511005" w:rsidRDefault="00220D3E" w:rsidP="003A292D">
      <w:pPr>
        <w:spacing w:line="264" w:lineRule="auto"/>
        <w:ind w:firstLine="0"/>
        <w:jc w:val="left"/>
        <w:rPr>
          <w:rFonts w:ascii="Arial" w:eastAsia="Times New Roman" w:hAnsi="Arial" w:cs="Arial"/>
          <w:szCs w:val="28"/>
          <w:lang w:eastAsia="ru-RU"/>
        </w:rPr>
      </w:pPr>
    </w:p>
    <w:p w14:paraId="7E3ACC11"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Проблематика кодифікації права України-Гетьманщини першої половини </w:t>
      </w:r>
      <w:r w:rsidRPr="00511005">
        <w:rPr>
          <w:rFonts w:ascii="Arial" w:eastAsia="Times New Roman" w:hAnsi="Arial" w:cs="Arial"/>
          <w:szCs w:val="28"/>
          <w:lang w:val="en" w:eastAsia="ru-RU"/>
        </w:rPr>
        <w:t>XVIII</w:t>
      </w:r>
      <w:r w:rsidRPr="00511005">
        <w:rPr>
          <w:rFonts w:ascii="Arial" w:eastAsia="Times New Roman" w:hAnsi="Arial" w:cs="Arial"/>
          <w:szCs w:val="28"/>
          <w:lang w:eastAsia="ru-RU"/>
        </w:rPr>
        <w:t xml:space="preserve"> століття посідає важливе місце в історико-правових дослідженнях. Актуальність вивчення цього питання зумовлена потребою розуміння особливостей формування національної правової системи та осмислення історичного досвіду систематизації законодавства. Як зазначає </w:t>
      </w:r>
      <w:r w:rsidRPr="00511005">
        <w:rPr>
          <w:rFonts w:ascii="Arial" w:eastAsia="Times New Roman" w:hAnsi="Arial" w:cs="Arial"/>
          <w:szCs w:val="28"/>
          <w:lang w:eastAsia="ru-RU"/>
        </w:rPr>
        <w:lastRenderedPageBreak/>
        <w:t xml:space="preserve">В. Д. Гончаренко, процес кодифікації права на українських землях відображав складність та суперечливість політико-правового розвитку Гетьманщини в умовах поступової втрати автономії [1, с. 122]. </w:t>
      </w:r>
    </w:p>
    <w:p w14:paraId="30B39546"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Правова система Гетьманщини характеризувалася надзвичайною розпорошеністю джерел права, що застосовувалися на її території. Це стало однією з головних причин, що зумовили необхідність проведення кодифікаційних робіт. Як детально аналізує А. П. Ткач, до системи джерел права України-Гетьманщини належали: норми звичаєвого права, положення Литовських статутів (особливо Третього Литовського статуту 1588 року), магдебурзьке право, гетьманські універсали, козацьке право та церковне право [3, с. 65]. Така різноманітність правових джерел, які часто суперечили одне одному, створювала значні труднощі в правозастосовній практиці та судочинстві, що призводило до правової невизначеності та сваволі з боку судових органів. </w:t>
      </w:r>
    </w:p>
    <w:p w14:paraId="747263E3"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Архаїчність багатьох правових норм, що діяли на території Гетьманщини, також виступала вагомою причиною кодифікації права. К. А. Вислобоков підкреслює, що більшість джерел права, зокрема </w:t>
      </w:r>
    </w:p>
    <w:p w14:paraId="636EE3EA"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Литовський статут та збірники магдебурзького права, були створені в </w:t>
      </w:r>
      <w:r w:rsidRPr="00511005">
        <w:rPr>
          <w:rFonts w:ascii="Arial" w:eastAsia="Times New Roman" w:hAnsi="Arial" w:cs="Arial"/>
          <w:szCs w:val="28"/>
          <w:lang w:val="en" w:eastAsia="ru-RU"/>
        </w:rPr>
        <w:t>XVXVI</w:t>
      </w:r>
      <w:r w:rsidRPr="00511005">
        <w:rPr>
          <w:rFonts w:ascii="Arial" w:eastAsia="Times New Roman" w:hAnsi="Arial" w:cs="Arial"/>
          <w:szCs w:val="28"/>
          <w:lang w:eastAsia="ru-RU"/>
        </w:rPr>
        <w:t xml:space="preserve"> століттях і не відповідали новим соціально-економічним відносинам, що формувалися в українському суспільстві протягом </w:t>
      </w:r>
      <w:r w:rsidRPr="00511005">
        <w:rPr>
          <w:rFonts w:ascii="Arial" w:eastAsia="Times New Roman" w:hAnsi="Arial" w:cs="Arial"/>
          <w:szCs w:val="28"/>
          <w:lang w:val="en" w:eastAsia="ru-RU"/>
        </w:rPr>
        <w:t>XVII</w:t>
      </w:r>
      <w:r w:rsidRPr="00511005">
        <w:rPr>
          <w:rFonts w:ascii="Arial" w:eastAsia="Times New Roman" w:hAnsi="Arial" w:cs="Arial"/>
          <w:szCs w:val="28"/>
          <w:lang w:eastAsia="ru-RU"/>
        </w:rPr>
        <w:t>-</w:t>
      </w:r>
      <w:r w:rsidRPr="00511005">
        <w:rPr>
          <w:rFonts w:ascii="Arial" w:eastAsia="Times New Roman" w:hAnsi="Arial" w:cs="Arial"/>
          <w:szCs w:val="28"/>
          <w:lang w:val="en" w:eastAsia="ru-RU"/>
        </w:rPr>
        <w:t>XVIII</w:t>
      </w:r>
      <w:r w:rsidRPr="00511005">
        <w:rPr>
          <w:rFonts w:ascii="Arial" w:eastAsia="Times New Roman" w:hAnsi="Arial" w:cs="Arial"/>
          <w:szCs w:val="28"/>
          <w:lang w:eastAsia="ru-RU"/>
        </w:rPr>
        <w:t xml:space="preserve"> століть [5, с. 32]. Особливо це стосувалося регулювання майнових відносин, торгівлі, фінансів та судочинства. </w:t>
      </w:r>
    </w:p>
    <w:p w14:paraId="302A69F1"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Мовний бар’єр суттєво ускладнював застосування чинних правових норм і був ще однією причиною кодифікаційних робіт. І. Б. Усенко звертає увагу на те, що більшість джерел права були написані староукраїнською, польською або латинською мовами, що створювало труднощі для суддів та інших правозастосовувачів [4, с. 87]. Крім того, більшість правових джерел не були перекладені російською мовою, що ускладнювало контроль з боку російської адміністрації. Це спонукало до створення єдиного систематизованого акту, який би усунув мовну проблему. </w:t>
      </w:r>
    </w:p>
    <w:p w14:paraId="662F0589"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Потреба адаптації місцевого права до нових політичних реалій після Полтавської битви 1709 року стала вагомим чинником, що стимулював кодифікаційні процеси. Як аргументовано доводить І. Й. Бойко, автономія Гетьманщини поступово обмежувалася, що вимагало узгодження місцевих правових норм з імперським законодавством [2, с. 156]. Водночас кодифікація розглядалася українською елітою як засіб збереження правової самобутності та захисту автономних прав, що було особливо актуальним в умовах посилення централізаторської політики Російської імперії. </w:t>
      </w:r>
    </w:p>
    <w:p w14:paraId="34F44172"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Необхідність зміцнення соціально-правового статусу козацької старшини була однією з визначальних причин кодифікації. В. Д. Гончаренко зазначає, що козацька старшина прагнула легітимізувати своє панівне становище та закріпити привілеї, набуті протягом другої половини </w:t>
      </w:r>
      <w:r w:rsidRPr="00511005">
        <w:rPr>
          <w:rFonts w:ascii="Arial" w:eastAsia="Times New Roman" w:hAnsi="Arial" w:cs="Arial"/>
          <w:szCs w:val="28"/>
          <w:lang w:val="en" w:eastAsia="ru-RU"/>
        </w:rPr>
        <w:t>XVII</w:t>
      </w:r>
      <w:r w:rsidRPr="00511005">
        <w:rPr>
          <w:rFonts w:ascii="Arial" w:eastAsia="Times New Roman" w:hAnsi="Arial" w:cs="Arial"/>
          <w:szCs w:val="28"/>
          <w:lang w:eastAsia="ru-RU"/>
        </w:rPr>
        <w:t xml:space="preserve"> – </w:t>
      </w:r>
      <w:r w:rsidRPr="00511005">
        <w:rPr>
          <w:rFonts w:ascii="Arial" w:eastAsia="Times New Roman" w:hAnsi="Arial" w:cs="Arial"/>
          <w:szCs w:val="28"/>
          <w:lang w:eastAsia="ru-RU"/>
        </w:rPr>
        <w:lastRenderedPageBreak/>
        <w:t xml:space="preserve">початку </w:t>
      </w:r>
      <w:r w:rsidRPr="00511005">
        <w:rPr>
          <w:rFonts w:ascii="Arial" w:eastAsia="Times New Roman" w:hAnsi="Arial" w:cs="Arial"/>
          <w:szCs w:val="28"/>
          <w:lang w:val="en" w:eastAsia="ru-RU"/>
        </w:rPr>
        <w:t>XVIII</w:t>
      </w:r>
      <w:r w:rsidRPr="00511005">
        <w:rPr>
          <w:rFonts w:ascii="Arial" w:eastAsia="Times New Roman" w:hAnsi="Arial" w:cs="Arial"/>
          <w:szCs w:val="28"/>
          <w:lang w:eastAsia="ru-RU"/>
        </w:rPr>
        <w:t xml:space="preserve"> століть [1, с. 124]. Кодифікація права мала на меті юридично оформити права старшини на землю та селян, що сприяло б перетворенню козацької еліти на повноцінний шляхетський стан і зрівнянню її в правах з російським дворянством. </w:t>
      </w:r>
    </w:p>
    <w:p w14:paraId="197F82BD"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Політика російської влади стала важливим рушієм кодифікаційних процесів. К. А. Вислобоков вказує, що указ Петра </w:t>
      </w:r>
      <w:r w:rsidRPr="00511005">
        <w:rPr>
          <w:rFonts w:ascii="Arial" w:eastAsia="Times New Roman" w:hAnsi="Arial" w:cs="Arial"/>
          <w:szCs w:val="28"/>
          <w:lang w:val="en" w:eastAsia="ru-RU"/>
        </w:rPr>
        <w:t>I</w:t>
      </w:r>
      <w:r w:rsidRPr="00511005">
        <w:rPr>
          <w:rFonts w:ascii="Arial" w:eastAsia="Times New Roman" w:hAnsi="Arial" w:cs="Arial"/>
          <w:szCs w:val="28"/>
          <w:lang w:eastAsia="ru-RU"/>
        </w:rPr>
        <w:t xml:space="preserve"> від 28 серпня 1728 року, підтверджений згодом імператрицею Анною Іоанівною 1734 року, вимагав створення єдиного кодексу для Гетьманщини, що базувався б на місцевих джерелах права, але був би адаптований до нових політичних реалій [5, с. 34]. Ці укази фактично санкціонували початок кодифікаційних робіт і визначили їхні основні напрями. </w:t>
      </w:r>
    </w:p>
    <w:p w14:paraId="4BC75BB6"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Мета кодифікації права України-Гетьманщини першої половини </w:t>
      </w:r>
      <w:r w:rsidRPr="00511005">
        <w:rPr>
          <w:rFonts w:ascii="Arial" w:eastAsia="Times New Roman" w:hAnsi="Arial" w:cs="Arial"/>
          <w:szCs w:val="28"/>
          <w:lang w:val="en" w:eastAsia="ru-RU"/>
        </w:rPr>
        <w:t>XVIII</w:t>
      </w:r>
      <w:r w:rsidRPr="00511005">
        <w:rPr>
          <w:rFonts w:ascii="Arial" w:eastAsia="Times New Roman" w:hAnsi="Arial" w:cs="Arial"/>
          <w:szCs w:val="28"/>
          <w:lang w:eastAsia="ru-RU"/>
        </w:rPr>
        <w:t xml:space="preserve"> століття була багатоаспектною. Систематизація правових норм та усунення суперечностей між різними джерелами права стала основною метою. А. П. </w:t>
      </w:r>
    </w:p>
    <w:p w14:paraId="3A1620CC"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Ткач підкреслює, що створення єдиного кодифікованого акту мало на меті подолати хаотичність правової системи та забезпечити єдність правозастосування на всій території Гетьманщини [3, с. 67]. Це було особливо важливим для стабілізації правової системи та підвищення ефективності </w:t>
      </w:r>
      <w:r w:rsidRPr="00511005">
        <w:rPr>
          <w:rFonts w:ascii="Arial" w:eastAsia="Times New Roman" w:hAnsi="Arial" w:cs="Arial"/>
          <w:szCs w:val="28"/>
          <w:lang w:eastAsia="ru-RU"/>
        </w:rPr>
        <w:tab/>
        <w:t xml:space="preserve">судочинства. </w:t>
      </w:r>
    </w:p>
    <w:p w14:paraId="7DF4F71D"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Модернізація правової системи шляхом адаптації традиційних норм до нових соціально-економічних умов була ще однією важливою метою кодифікації. І. Й. Бойко зазначає, що кодифікатори прагнули не лише систематизувати чинні норми, а й доповнити їх новими положеннями, які б відповідали тогочасним правовим та економічним реаліям [2, с. 158]. Це стосувалося передусім норм цивільного, земельного та торговельного права, які потребували адаптації до нових форм господарювання та майнових відносин. </w:t>
      </w:r>
    </w:p>
    <w:p w14:paraId="39B91EE7"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Збереження правової автономії Гетьманщини в умовах посилення централізаторської політики Російської імперії було фундаментальною метою кодифікації. І. Б. Усенко наголошує, що кодифікація розглядалася місцевою елітою як спосіб юридичного закріплення особливого статусу українських земель у складі Російської імперії [4, с. 89]. Створення власного кодексу мало стати правовою гарантією збереження самобутності українського права та підтвердженням автономного статусу Гетьманщини. </w:t>
      </w:r>
    </w:p>
    <w:p w14:paraId="0DE35811"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Юридичне оформлення станових привілеїв козацької старшини було однією з прагматичних цілей кодифікації. В. Д. Гончаренко вказує, що старшина прагнула закріпити в кодексі свої права на землю та селян, а також забезпечити спадковість свого соціального статусу [1, с. 125]. Це відповідало загальній тенденції обмеження козацьких вольностей та поступової трансформації старшини в дворянство, характерній для соціальної політики Гетьманщини першої половини </w:t>
      </w:r>
      <w:r w:rsidRPr="00511005">
        <w:rPr>
          <w:rFonts w:ascii="Arial" w:eastAsia="Times New Roman" w:hAnsi="Arial" w:cs="Arial"/>
          <w:szCs w:val="28"/>
          <w:lang w:val="en" w:eastAsia="ru-RU"/>
        </w:rPr>
        <w:t>XVIII</w:t>
      </w:r>
      <w:r w:rsidRPr="00511005">
        <w:rPr>
          <w:rFonts w:ascii="Arial" w:eastAsia="Times New Roman" w:hAnsi="Arial" w:cs="Arial"/>
          <w:szCs w:val="28"/>
          <w:lang w:eastAsia="ru-RU"/>
        </w:rPr>
        <w:t xml:space="preserve"> століття. </w:t>
      </w:r>
    </w:p>
    <w:p w14:paraId="65B636FA"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Підвищення рівня правової культури та правосвідомості населення було важливою соціокультурною метою кодифікації. К. </w:t>
      </w:r>
    </w:p>
    <w:p w14:paraId="1A67F482"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А. Вислобоков аргументує, що створення доступного та зрозумілого зводу законів мало сприяти підвищенню правової грамотності населення та зміцненню правопорядку [5, с. 36]. Кодифікований акт мав стати не лише інструментом для професійних юристів та судових органів, а й засобом правової просвіти широких верств населення. </w:t>
      </w:r>
    </w:p>
    <w:p w14:paraId="211BD0FB"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Результатом кодифікаційних робіт став проєкт правового кодексу “Права, за якими судиться малоросійський народ”, робота над яким тривала з 1728 по 1743 рік. А. П. Ткач детально аналізує склад кодифікаційної комісії, до якої входили представники козацької старшини та духовенства, та описує процес її роботи з узагальнення та систематизації різних джерел права, що діяли на території Гетьманщини [3, с. 70]. Створення такого масштабного правового документу в умовах політичної нестабільності та поступового обмеження автономії Гетьманщини свідчило про високий рівень правової культури та наукової думки тогочасної української еліти. </w:t>
      </w:r>
    </w:p>
    <w:p w14:paraId="432CF809"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Структура та зміст “Прав, за якими судиться малоросійський народ” відображали комплексний характер кодифікації. І. Й. Бойко зазначає, що кодекс складався з 30 глав, що містили 531 артикул та 1716 пунктів [2, с. 160]. У ньому були регламентовані практично всі галузі права: державне, адміністративне, цивільне, кримінальне, процесуальне тощо. “Права” увібрали в себе норми Литовського статуту, магдебурзького права, звичаєвого права, гетьманських універсалів та інших джерел, а також містили положення, що відображали нові соціально-економічні реалії. </w:t>
      </w:r>
    </w:p>
    <w:p w14:paraId="2F345CB8"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Незважаючи на те, що кодекс не був офіційно затверджений російською владою і не набув чинності як законодавчий акт, він широко використовувався в судовій практиці Гетьманщини як авторитетне джерело права. І. Б. Усенко підкреслює, що цей документ став важливим пам’ятником української правової думки, що відображав рівень розвитку юридичної науки та правової культури тогочасної України [4, с. 91]. Вплив “Прав” на подальший розвиток українського права був значним, оскільки багато його положень застосовувалися судами до середини </w:t>
      </w:r>
      <w:r w:rsidRPr="00511005">
        <w:rPr>
          <w:rFonts w:ascii="Arial" w:eastAsia="Times New Roman" w:hAnsi="Arial" w:cs="Arial"/>
          <w:szCs w:val="28"/>
          <w:lang w:val="en" w:eastAsia="ru-RU"/>
        </w:rPr>
        <w:t>XIX</w:t>
      </w:r>
      <w:r w:rsidRPr="00511005">
        <w:rPr>
          <w:rFonts w:ascii="Arial" w:eastAsia="Times New Roman" w:hAnsi="Arial" w:cs="Arial"/>
          <w:szCs w:val="28"/>
          <w:lang w:eastAsia="ru-RU"/>
        </w:rPr>
        <w:t xml:space="preserve"> століття. </w:t>
      </w:r>
    </w:p>
    <w:p w14:paraId="06D5C475"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Кодифікаційні роботи першої половини </w:t>
      </w:r>
      <w:r w:rsidRPr="00511005">
        <w:rPr>
          <w:rFonts w:ascii="Arial" w:eastAsia="Times New Roman" w:hAnsi="Arial" w:cs="Arial"/>
          <w:szCs w:val="28"/>
          <w:lang w:val="en" w:eastAsia="ru-RU"/>
        </w:rPr>
        <w:t>XVIII</w:t>
      </w:r>
      <w:r w:rsidRPr="00511005">
        <w:rPr>
          <w:rFonts w:ascii="Arial" w:eastAsia="Times New Roman" w:hAnsi="Arial" w:cs="Arial"/>
          <w:szCs w:val="28"/>
          <w:lang w:eastAsia="ru-RU"/>
        </w:rPr>
        <w:t xml:space="preserve"> століття мали важливе значення для збереження національної правової традиції в умовах поступової інкорпорації українських земель </w:t>
      </w:r>
      <w:proofErr w:type="gramStart"/>
      <w:r w:rsidRPr="00511005">
        <w:rPr>
          <w:rFonts w:ascii="Arial" w:eastAsia="Times New Roman" w:hAnsi="Arial" w:cs="Arial"/>
          <w:szCs w:val="28"/>
          <w:lang w:eastAsia="ru-RU"/>
        </w:rPr>
        <w:t>до складу</w:t>
      </w:r>
      <w:proofErr w:type="gramEnd"/>
      <w:r w:rsidRPr="00511005">
        <w:rPr>
          <w:rFonts w:ascii="Arial" w:eastAsia="Times New Roman" w:hAnsi="Arial" w:cs="Arial"/>
          <w:szCs w:val="28"/>
          <w:lang w:eastAsia="ru-RU"/>
        </w:rPr>
        <w:t xml:space="preserve"> Російської імперії. </w:t>
      </w:r>
    </w:p>
    <w:p w14:paraId="51DE662A" w14:textId="77777777"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 Д. Гончаренко аргументовано доводить, що хоча кодифікація не досягла своєї безпосередньої мети – створення чинного законодавчого акту, вона дозволила зафіксувати та систематизувати українське право, що сприяло збереженню правової самобутності [1, с. 127]. Це мало особливе значення в контексті колоніальної політики Російської імперії, спрямованої на уніфікацію правових систем підкорених територій. </w:t>
      </w:r>
    </w:p>
    <w:p w14:paraId="5C0232CC" w14:textId="0D2B14D8" w:rsidR="00220D3E" w:rsidRPr="00511005" w:rsidRDefault="00220D3E" w:rsidP="00D32A0F">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Підсумовуючи, можна стверджувати, що кодифікація права УкраїниГетьманщини першої половини </w:t>
      </w:r>
      <w:r w:rsidRPr="00511005">
        <w:rPr>
          <w:rFonts w:ascii="Arial" w:eastAsia="Times New Roman" w:hAnsi="Arial" w:cs="Arial"/>
          <w:szCs w:val="28"/>
          <w:lang w:val="en" w:eastAsia="ru-RU"/>
        </w:rPr>
        <w:t>XVIII</w:t>
      </w:r>
      <w:r w:rsidRPr="00511005">
        <w:rPr>
          <w:rFonts w:ascii="Arial" w:eastAsia="Times New Roman" w:hAnsi="Arial" w:cs="Arial"/>
          <w:szCs w:val="28"/>
          <w:lang w:eastAsia="ru-RU"/>
        </w:rPr>
        <w:t xml:space="preserve"> століття була зумовлена комплексом соціально-економічних, політичних та правових чинників. Як зазначають усі досліджені джерела [1; 2; 3; 4; 5], вона мала на меті не лише впорядкування правової системи, але й збереження правової автономії українських земель в умовах поступової інкорпорації </w:t>
      </w:r>
      <w:proofErr w:type="gramStart"/>
      <w:r w:rsidRPr="00511005">
        <w:rPr>
          <w:rFonts w:ascii="Arial" w:eastAsia="Times New Roman" w:hAnsi="Arial" w:cs="Arial"/>
          <w:szCs w:val="28"/>
          <w:lang w:eastAsia="ru-RU"/>
        </w:rPr>
        <w:t>до складу</w:t>
      </w:r>
      <w:proofErr w:type="gramEnd"/>
      <w:r w:rsidRPr="00511005">
        <w:rPr>
          <w:rFonts w:ascii="Arial" w:eastAsia="Times New Roman" w:hAnsi="Arial" w:cs="Arial"/>
          <w:szCs w:val="28"/>
          <w:lang w:eastAsia="ru-RU"/>
        </w:rPr>
        <w:t xml:space="preserve"> Російської імперії. Хоча кодифікаційні роботи не завершилися офіційним затвердженням створеного кодексу, вони сприяли розвитку національної правової традиції та стали важливим етапом у формуванні української правової системи. </w:t>
      </w:r>
    </w:p>
    <w:p w14:paraId="48CB4A55" w14:textId="77777777" w:rsidR="00D32A0F" w:rsidRPr="00511005" w:rsidRDefault="00D32A0F" w:rsidP="00D32A0F">
      <w:pPr>
        <w:spacing w:line="264" w:lineRule="auto"/>
        <w:rPr>
          <w:rFonts w:ascii="Arial" w:eastAsia="Times New Roman" w:hAnsi="Arial" w:cs="Arial"/>
          <w:szCs w:val="28"/>
          <w:lang w:eastAsia="ru-RU"/>
        </w:rPr>
      </w:pPr>
    </w:p>
    <w:p w14:paraId="30DA94D5" w14:textId="77777777" w:rsidR="00D32A0F" w:rsidRPr="00511005" w:rsidRDefault="00D32A0F" w:rsidP="00D32A0F">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168D8248" w14:textId="5FE37275" w:rsidR="00220D3E" w:rsidRPr="00511005" w:rsidRDefault="00220D3E" w:rsidP="002029A8">
      <w:pPr>
        <w:numPr>
          <w:ilvl w:val="0"/>
          <w:numId w:val="56"/>
        </w:numPr>
        <w:spacing w:line="264" w:lineRule="auto"/>
        <w:ind w:firstLine="0"/>
        <w:rPr>
          <w:rFonts w:ascii="Arial" w:eastAsia="Times New Roman" w:hAnsi="Arial" w:cs="Arial"/>
          <w:szCs w:val="28"/>
          <w:lang w:val="en" w:eastAsia="ru-RU"/>
        </w:rPr>
      </w:pPr>
      <w:r w:rsidRPr="00511005">
        <w:rPr>
          <w:rFonts w:ascii="Arial" w:eastAsia="Times New Roman" w:hAnsi="Arial" w:cs="Arial"/>
          <w:szCs w:val="28"/>
          <w:lang w:eastAsia="ru-RU"/>
        </w:rPr>
        <w:t xml:space="preserve">Гончаренко В. Д. Історія держави і права України: підручник. Харків: </w:t>
      </w:r>
      <w:r w:rsidRPr="00511005">
        <w:rPr>
          <w:rFonts w:ascii="Arial" w:eastAsia="Times New Roman" w:hAnsi="Arial" w:cs="Arial"/>
          <w:szCs w:val="28"/>
          <w:lang w:val="en" w:eastAsia="ru-RU"/>
        </w:rPr>
        <w:t xml:space="preserve">Право, 2019. 552 с. </w:t>
      </w:r>
    </w:p>
    <w:p w14:paraId="0F61DE85" w14:textId="33C36BC7" w:rsidR="002029A8" w:rsidRPr="00511005" w:rsidRDefault="00220D3E" w:rsidP="002029A8">
      <w:pPr>
        <w:numPr>
          <w:ilvl w:val="0"/>
          <w:numId w:val="56"/>
        </w:numPr>
        <w:spacing w:line="264" w:lineRule="auto"/>
        <w:ind w:firstLine="0"/>
        <w:rPr>
          <w:rFonts w:ascii="Arial" w:eastAsia="Times New Roman" w:hAnsi="Arial" w:cs="Arial"/>
          <w:szCs w:val="28"/>
          <w:lang w:val="en" w:eastAsia="ru-RU"/>
        </w:rPr>
      </w:pPr>
      <w:r w:rsidRPr="00511005">
        <w:rPr>
          <w:rFonts w:ascii="Arial" w:eastAsia="Times New Roman" w:hAnsi="Arial" w:cs="Arial"/>
          <w:szCs w:val="28"/>
          <w:lang w:eastAsia="ru-RU"/>
        </w:rPr>
        <w:t>Бойко І. Й. Історія правового регулювання цивільних, кримінальних та процесуальних відносин в Україні (</w:t>
      </w:r>
      <w:r w:rsidRPr="00511005">
        <w:rPr>
          <w:rFonts w:ascii="Arial" w:eastAsia="Times New Roman" w:hAnsi="Arial" w:cs="Arial"/>
          <w:szCs w:val="28"/>
          <w:lang w:val="en" w:eastAsia="ru-RU"/>
        </w:rPr>
        <w:t>IX</w:t>
      </w:r>
      <w:r w:rsidRPr="00511005">
        <w:rPr>
          <w:rFonts w:ascii="Arial" w:eastAsia="Times New Roman" w:hAnsi="Arial" w:cs="Arial"/>
          <w:szCs w:val="28"/>
          <w:lang w:eastAsia="ru-RU"/>
        </w:rPr>
        <w:t>-</w:t>
      </w:r>
      <w:r w:rsidRPr="00511005">
        <w:rPr>
          <w:rFonts w:ascii="Arial" w:eastAsia="Times New Roman" w:hAnsi="Arial" w:cs="Arial"/>
          <w:szCs w:val="28"/>
          <w:lang w:val="en" w:eastAsia="ru-RU"/>
        </w:rPr>
        <w:t>XX</w:t>
      </w:r>
      <w:r w:rsidRPr="00511005">
        <w:rPr>
          <w:rFonts w:ascii="Arial" w:eastAsia="Times New Roman" w:hAnsi="Arial" w:cs="Arial"/>
          <w:szCs w:val="28"/>
          <w:lang w:eastAsia="ru-RU"/>
        </w:rPr>
        <w:t xml:space="preserve"> ст.). </w:t>
      </w:r>
      <w:r w:rsidRPr="00511005">
        <w:rPr>
          <w:rFonts w:ascii="Arial" w:eastAsia="Times New Roman" w:hAnsi="Arial" w:cs="Arial"/>
          <w:szCs w:val="28"/>
          <w:lang w:val="en" w:eastAsia="ru-RU"/>
        </w:rPr>
        <w:t xml:space="preserve">Львів: ЛНУ імені Івана Франка, 2014. 904 с. </w:t>
      </w:r>
    </w:p>
    <w:p w14:paraId="62289BDB" w14:textId="77777777" w:rsidR="002029A8" w:rsidRPr="00511005" w:rsidRDefault="00220D3E" w:rsidP="002029A8">
      <w:pPr>
        <w:pStyle w:val="af0"/>
        <w:numPr>
          <w:ilvl w:val="0"/>
          <w:numId w:val="56"/>
        </w:numPr>
        <w:spacing w:line="264" w:lineRule="auto"/>
        <w:ind w:left="0" w:firstLine="0"/>
        <w:rPr>
          <w:rFonts w:ascii="Arial" w:eastAsia="Times New Roman" w:hAnsi="Arial" w:cs="Arial"/>
          <w:szCs w:val="28"/>
          <w:lang w:eastAsia="ru-RU"/>
        </w:rPr>
      </w:pPr>
      <w:r w:rsidRPr="00511005">
        <w:rPr>
          <w:rFonts w:ascii="Arial" w:eastAsia="Times New Roman" w:hAnsi="Arial" w:cs="Arial"/>
          <w:szCs w:val="28"/>
          <w:lang w:val="en" w:eastAsia="ru-RU"/>
        </w:rPr>
        <w:t xml:space="preserve">Ткач А. П. Історія кодифікації дореволюційного права України. </w:t>
      </w:r>
      <w:r w:rsidRPr="00511005">
        <w:rPr>
          <w:rFonts w:ascii="Arial" w:eastAsia="Times New Roman" w:hAnsi="Arial" w:cs="Arial"/>
          <w:szCs w:val="28"/>
          <w:lang w:eastAsia="ru-RU"/>
        </w:rPr>
        <w:t xml:space="preserve">Київ: Вид-во Київ. ун-ту, 2016. 170 с. </w:t>
      </w:r>
    </w:p>
    <w:p w14:paraId="64895452" w14:textId="77777777" w:rsidR="002029A8" w:rsidRPr="00511005" w:rsidRDefault="00220D3E" w:rsidP="002029A8">
      <w:pPr>
        <w:pStyle w:val="af0"/>
        <w:numPr>
          <w:ilvl w:val="0"/>
          <w:numId w:val="56"/>
        </w:numPr>
        <w:spacing w:line="264" w:lineRule="auto"/>
        <w:ind w:left="0" w:firstLine="0"/>
        <w:rPr>
          <w:rFonts w:ascii="Arial" w:eastAsia="Times New Roman" w:hAnsi="Arial" w:cs="Arial"/>
          <w:szCs w:val="28"/>
          <w:lang w:eastAsia="ru-RU"/>
        </w:rPr>
      </w:pPr>
      <w:r w:rsidRPr="00511005">
        <w:rPr>
          <w:rFonts w:ascii="Arial" w:eastAsia="Times New Roman" w:hAnsi="Arial" w:cs="Arial"/>
          <w:szCs w:val="28"/>
          <w:lang w:eastAsia="ru-RU"/>
        </w:rPr>
        <w:t xml:space="preserve">Усенко І. Б. Україна в роки “після Полтави”: правові реформи Петра </w:t>
      </w:r>
      <w:r w:rsidRPr="00511005">
        <w:rPr>
          <w:rFonts w:ascii="Arial" w:eastAsia="Times New Roman" w:hAnsi="Arial" w:cs="Arial"/>
          <w:szCs w:val="28"/>
          <w:lang w:val="en" w:eastAsia="ru-RU"/>
        </w:rPr>
        <w:t>I</w:t>
      </w:r>
      <w:r w:rsidRPr="00511005">
        <w:rPr>
          <w:rFonts w:ascii="Arial" w:eastAsia="Times New Roman" w:hAnsi="Arial" w:cs="Arial"/>
          <w:szCs w:val="28"/>
          <w:lang w:eastAsia="ru-RU"/>
        </w:rPr>
        <w:t xml:space="preserve"> та їх вплив на українську державність. Київ: Інститут держави і права ім. В. М. Корецького НАН України, 2016. 215 с. </w:t>
      </w:r>
    </w:p>
    <w:p w14:paraId="4926BBBD" w14:textId="30719914" w:rsidR="007B2628" w:rsidRPr="00511005" w:rsidRDefault="00220D3E" w:rsidP="002029A8">
      <w:pPr>
        <w:pStyle w:val="af0"/>
        <w:numPr>
          <w:ilvl w:val="0"/>
          <w:numId w:val="56"/>
        </w:numPr>
        <w:spacing w:line="264" w:lineRule="auto"/>
        <w:ind w:left="0" w:firstLine="0"/>
        <w:rPr>
          <w:rFonts w:ascii="Arial" w:eastAsia="Times New Roman" w:hAnsi="Arial" w:cs="Arial"/>
          <w:szCs w:val="28"/>
          <w:lang w:eastAsia="ru-RU"/>
        </w:rPr>
      </w:pPr>
      <w:r w:rsidRPr="00511005">
        <w:rPr>
          <w:rFonts w:ascii="Arial" w:eastAsia="Times New Roman" w:hAnsi="Arial" w:cs="Arial"/>
          <w:szCs w:val="28"/>
          <w:lang w:eastAsia="ru-RU"/>
        </w:rPr>
        <w:t xml:space="preserve">Права, за якими судиться малоросійський народ: 1743 / відп. ред. Ю. С. Шемшученко; упорядн. К. А. Вислобоков. Київ: Інститут держави і права ім. В. М. Корецького НАН України, 1997. 548 с. </w:t>
      </w:r>
    </w:p>
    <w:p w14:paraId="0FC767F5" w14:textId="654953F5" w:rsidR="00220D3E" w:rsidRPr="00511005" w:rsidRDefault="00220D3E" w:rsidP="003A292D">
      <w:pPr>
        <w:spacing w:line="264" w:lineRule="auto"/>
        <w:ind w:firstLine="0"/>
        <w:jc w:val="left"/>
        <w:rPr>
          <w:rFonts w:ascii="Arial" w:eastAsia="Times New Roman" w:hAnsi="Arial" w:cs="Arial"/>
          <w:szCs w:val="28"/>
          <w:lang w:eastAsia="ru-RU"/>
        </w:rPr>
      </w:pPr>
    </w:p>
    <w:p w14:paraId="6FEBEE0E" w14:textId="7AD5EE15" w:rsidR="00220D3E" w:rsidRPr="00511005" w:rsidRDefault="007B2628" w:rsidP="003A292D">
      <w:pPr>
        <w:spacing w:line="264" w:lineRule="auto"/>
        <w:ind w:firstLine="0"/>
        <w:jc w:val="left"/>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 xml:space="preserve">кодифікація, Україна-Гетьманщина, “Права, за якими судиться малоросійський народ”, правова система, автономія. </w:t>
      </w:r>
    </w:p>
    <w:p w14:paraId="491876F0" w14:textId="6B306F7A" w:rsidR="00220D3E" w:rsidRPr="00511005" w:rsidRDefault="007B2628" w:rsidP="003A292D">
      <w:pPr>
        <w:spacing w:line="264" w:lineRule="auto"/>
        <w:ind w:firstLine="0"/>
        <w:jc w:val="left"/>
        <w:rPr>
          <w:rFonts w:ascii="Arial" w:eastAsia="Times New Roman" w:hAnsi="Arial" w:cs="Arial"/>
          <w:szCs w:val="28"/>
          <w:lang w:val="en" w:eastAsia="ru-RU"/>
        </w:rPr>
      </w:pPr>
      <w:r w:rsidRPr="00511005">
        <w:rPr>
          <w:rFonts w:ascii="Arial" w:eastAsia="Times New Roman" w:hAnsi="Arial" w:cs="Arial"/>
          <w:b/>
          <w:bCs/>
          <w:i/>
          <w:szCs w:val="28"/>
          <w:lang w:val="en" w:eastAsia="ru-RU"/>
        </w:rPr>
        <w:t xml:space="preserve">Key words: </w:t>
      </w:r>
      <w:r w:rsidR="00220D3E" w:rsidRPr="00511005">
        <w:rPr>
          <w:rFonts w:ascii="Arial" w:eastAsia="Times New Roman" w:hAnsi="Arial" w:cs="Arial"/>
          <w:szCs w:val="28"/>
          <w:lang w:val="en" w:eastAsia="ru-RU"/>
        </w:rPr>
        <w:t>codification, Ukraine-Hetmanate, “Rights for which the Little Russian people are suing”, legal system, autonomy.</w:t>
      </w:r>
    </w:p>
    <w:p w14:paraId="4A97A5BC" w14:textId="4C886AF8" w:rsidR="00220D3E" w:rsidRPr="00511005" w:rsidRDefault="007B2628" w:rsidP="003A292D">
      <w:pPr>
        <w:spacing w:line="264" w:lineRule="auto"/>
        <w:ind w:firstLine="0"/>
        <w:jc w:val="left"/>
        <w:rPr>
          <w:rFonts w:ascii="Arial" w:eastAsia="Times New Roman" w:hAnsi="Arial" w:cs="Arial"/>
          <w:szCs w:val="28"/>
          <w:lang w:val="uk-UA"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szCs w:val="28"/>
          <w:lang w:val="uk-UA" w:eastAsia="ru-RU"/>
        </w:rPr>
        <w:t>к.ю.н., доц</w:t>
      </w:r>
      <w:r w:rsidR="002029A8" w:rsidRPr="00511005">
        <w:rPr>
          <w:rFonts w:ascii="Arial" w:eastAsia="Times New Roman" w:hAnsi="Arial" w:cs="Arial"/>
          <w:szCs w:val="28"/>
          <w:lang w:val="uk-UA" w:eastAsia="ru-RU"/>
        </w:rPr>
        <w:t>ент</w:t>
      </w:r>
      <w:r w:rsidR="00220D3E" w:rsidRPr="00511005">
        <w:rPr>
          <w:rFonts w:ascii="Arial" w:eastAsia="Times New Roman" w:hAnsi="Arial" w:cs="Arial"/>
          <w:szCs w:val="28"/>
          <w:lang w:val="uk-UA" w:eastAsia="ru-RU"/>
        </w:rPr>
        <w:t xml:space="preserve"> Горяга О.В.</w:t>
      </w:r>
    </w:p>
    <w:p w14:paraId="36BE0141" w14:textId="77777777" w:rsidR="00220D3E" w:rsidRPr="00511005" w:rsidRDefault="00220D3E" w:rsidP="003A292D">
      <w:pPr>
        <w:spacing w:line="264" w:lineRule="auto"/>
        <w:ind w:firstLine="0"/>
        <w:jc w:val="left"/>
        <w:rPr>
          <w:rFonts w:ascii="Arial" w:eastAsia="Times New Roman" w:hAnsi="Arial" w:cs="Arial"/>
          <w:szCs w:val="28"/>
          <w:lang w:eastAsia="ru-RU"/>
        </w:rPr>
      </w:pPr>
    </w:p>
    <w:p w14:paraId="3242D9EE" w14:textId="77777777" w:rsidR="00220D3E" w:rsidRPr="00511005" w:rsidRDefault="00220D3E" w:rsidP="003A292D">
      <w:pPr>
        <w:spacing w:line="264" w:lineRule="auto"/>
        <w:ind w:firstLine="0"/>
        <w:jc w:val="left"/>
        <w:rPr>
          <w:rFonts w:ascii="Arial" w:eastAsia="Times New Roman" w:hAnsi="Arial" w:cs="Arial"/>
          <w:szCs w:val="28"/>
          <w:lang w:eastAsia="ru-RU"/>
        </w:rPr>
      </w:pPr>
    </w:p>
    <w:p w14:paraId="49AF4598" w14:textId="77777777" w:rsidR="00220D3E" w:rsidRPr="00511005" w:rsidRDefault="00220D3E" w:rsidP="003A292D">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eastAsia="ru-RU"/>
        </w:rPr>
        <w:t>Юзефович Олександра Олександрівна</w:t>
      </w:r>
    </w:p>
    <w:p w14:paraId="640DB2A8" w14:textId="01B6961A" w:rsidR="00220D3E" w:rsidRPr="00511005" w:rsidRDefault="00BE3972"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1-го курсу </w:t>
      </w:r>
      <w:r w:rsidR="001B7B25" w:rsidRPr="00511005">
        <w:rPr>
          <w:rFonts w:ascii="Arial" w:eastAsia="Times New Roman" w:hAnsi="Arial" w:cs="Arial"/>
          <w:szCs w:val="28"/>
          <w:lang w:eastAsia="ru-RU"/>
        </w:rPr>
        <w:t>факультету судового та міжнародного права</w:t>
      </w:r>
    </w:p>
    <w:p w14:paraId="7C8BBA15" w14:textId="287C77EC" w:rsidR="00220D3E"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A116BAE" w14:textId="77777777" w:rsidR="002029A8" w:rsidRPr="00511005" w:rsidRDefault="002029A8" w:rsidP="003A292D">
      <w:pPr>
        <w:spacing w:line="264" w:lineRule="auto"/>
        <w:ind w:firstLine="0"/>
        <w:jc w:val="center"/>
        <w:rPr>
          <w:rFonts w:ascii="Arial" w:eastAsia="Times New Roman" w:hAnsi="Arial" w:cs="Arial"/>
          <w:szCs w:val="28"/>
          <w:lang w:eastAsia="ru-RU"/>
        </w:rPr>
      </w:pPr>
    </w:p>
    <w:p w14:paraId="176EBCC7" w14:textId="77777777" w:rsidR="00220D3E" w:rsidRPr="00511005" w:rsidRDefault="00220D3E" w:rsidP="003A292D">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eastAsia="ru-RU"/>
        </w:rPr>
        <w:t>ШЛЮБНО-СІМЕЙНЕ ПРАВО ДОБИ ГЕТЬМАНЩИНИ: ЙОГО ДЖЕРЕЛА ТА ХАРАКТЕРИСТИКА</w:t>
      </w:r>
    </w:p>
    <w:p w14:paraId="0E4CEF98" w14:textId="77777777"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XVIII столітті шлюбно-сімейні відносини в Україні були позначені як самобутніми традиціями, так і спробами їхньої регламентації з боку держави та церкви. Зокрема, О. Левицький у своїй праці 1905 року згадував про </w:t>
      </w:r>
      <w:r w:rsidRPr="00511005">
        <w:rPr>
          <w:rFonts w:ascii="Arial" w:eastAsia="Times New Roman" w:hAnsi="Arial" w:cs="Arial"/>
          <w:szCs w:val="28"/>
          <w:lang w:eastAsia="ru-RU"/>
        </w:rPr>
        <w:lastRenderedPageBreak/>
        <w:t xml:space="preserve">рідкісний звичай, за яким дівчина могла врятувати засудженого від смерті, одружившись з ним. Водночас, російська імперська влада прагнула вплинути на демографічну ситуацію та національну ідентичність українців, про що свідчить таємний указ Анни Іоаннівни 1734 року, спрямований на заохочення міжнаціональних шлюбів з метою асиміляції. Церква також відігравала свою роль, намагаючись контролювати поведінку молодих пар після вінчання, як це відображено у розпорядженні Синоду 1744 року. Х. Ящуржинський детально описав традиційний український шлюбний обряд з усіма його етапами, від сватання до святкування після </w:t>
      </w:r>
      <w:proofErr w:type="gramStart"/>
      <w:r w:rsidRPr="00511005">
        <w:rPr>
          <w:rFonts w:ascii="Arial" w:eastAsia="Times New Roman" w:hAnsi="Arial" w:cs="Arial"/>
          <w:szCs w:val="28"/>
          <w:lang w:eastAsia="ru-RU"/>
        </w:rPr>
        <w:t>весілля.[</w:t>
      </w:r>
      <w:proofErr w:type="gramEnd"/>
      <w:r w:rsidRPr="00511005">
        <w:rPr>
          <w:rFonts w:ascii="Arial" w:eastAsia="Times New Roman" w:hAnsi="Arial" w:cs="Arial"/>
          <w:szCs w:val="28"/>
          <w:lang w:eastAsia="ru-RU"/>
        </w:rPr>
        <w:t>1, с. 157-162]</w:t>
      </w:r>
    </w:p>
    <w:p w14:paraId="389050C4" w14:textId="77777777"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Шлюбно-сімейне право того часу регулювалося:</w:t>
      </w:r>
    </w:p>
    <w:p w14:paraId="13775209" w14:textId="77777777" w:rsidR="00220D3E" w:rsidRPr="00511005" w:rsidRDefault="00220D3E" w:rsidP="002029A8">
      <w:pPr>
        <w:numPr>
          <w:ilvl w:val="0"/>
          <w:numId w:val="54"/>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Звичаєвим правом, тобто уявлення про сім’ю та шлюб були сформовані дуже давно та передавали з покоління в покоління;</w:t>
      </w:r>
    </w:p>
    <w:p w14:paraId="6392ED26" w14:textId="77777777" w:rsidR="00220D3E" w:rsidRPr="00511005" w:rsidRDefault="00220D3E" w:rsidP="002029A8">
      <w:pPr>
        <w:numPr>
          <w:ilvl w:val="0"/>
          <w:numId w:val="54"/>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Церковним правом, яке формувалося та виникло з розвитком церкви та церковного впливу;</w:t>
      </w:r>
    </w:p>
    <w:p w14:paraId="16A0A865" w14:textId="77777777" w:rsidR="00220D3E" w:rsidRPr="00511005" w:rsidRDefault="00220D3E" w:rsidP="002029A8">
      <w:pPr>
        <w:numPr>
          <w:ilvl w:val="0"/>
          <w:numId w:val="54"/>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Литовські Статути: Перший Литовський Статут 1529р. – 4 і 5 розділи присвячені шлюбно-сімейному праву; Другий Литовський Статут 1566р. – 5 розділ про сімейне право; Третій Литовський Статут всіма розділами, крім перших трьох, схожий на Другий Литовський Статут.[4]</w:t>
      </w:r>
    </w:p>
    <w:p w14:paraId="2C68D926" w14:textId="77777777"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У Гетьманщині укладання шлюбу було початком створення сім'ї і розглядалося як з юридичної точки зору – добровільна угода між чоловіком та жінкою для спільного життя до смерті та продовження роду, так і з практичної – як саме подружнє життя. </w:t>
      </w:r>
      <w:r w:rsidRPr="00511005">
        <w:rPr>
          <w:rFonts w:ascii="Arial" w:eastAsia="Times New Roman" w:hAnsi="Arial" w:cs="Arial"/>
          <w:szCs w:val="28"/>
          <w:lang w:eastAsia="ru-RU"/>
        </w:rPr>
        <w:t>Існував визначений шлюбний вік (13 років для дівчат, 18 для хлопців), а укладанню шлюбу передувала домовленість між батьками майбутнього подружжя. Ця домовленість ставала офіційною після згоди молодих, яка могла бути висловлена усно або навіть мовчанням. Проте, якщо діти висловлювали свою незгоду, батьківська угода втрачала силу, що підтверджувало важливу роль батьків у виборі пари та матеріальному забезпеченні нової сім'ї, зберігаючи давній український звичай. У деяких випадках і самі молоді могли домовитися про шлюб, але така угода набувала чинності після досягнення ними повноліття або початку спільного життя за взаємною згодою та з дозволу батьків або опікунів. Відсутність дозволу батьків могла призвести до втрати посагу. Водночас, батьки не мали права безпідставно затримувати видачу дочки заміж, і в такому випадку вона могла звернутися до місцевої адміністрації для отримання дозволу на шлюб.</w:t>
      </w:r>
    </w:p>
    <w:p w14:paraId="4D5F51F5" w14:textId="77777777"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Єдиною забороною на вільний вибір шлюбного партнера в Гетьманщині було споріднення, близькість якого визначалася церковними правилами, а порушення цієї норми робило шлюб недійсним. Також перешкодою був наявний нерозірваний шлюб. Після розлучення повторний шлюб дозволявся не раніше ніж через шість місяців. Цікаво, що народження дитини надто рано після весілля (раніше ніж за дев'ять місяців і кілька днів) могло поставити під сумнів її шлюбне походження.</w:t>
      </w:r>
    </w:p>
    <w:p w14:paraId="5CD804F6" w14:textId="77777777"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Майно, яке наречена приносила в сім'ю, називалося посагом, а майно нареченого – віном. Посаг складався з рухомих речей, а віно становило третину нерухомого майна чоловіка і слугувало забезпеченням посагу. Вартість посагу оцінювалася, а особливо цінні предмети – з подвійним коефіцієнтом ("привінок"). Прийняття посагу та забезпечення віном фіксувалися у спеціальному документі. Протягом шлюбу обома видами майна розпоряджався чоловік. У разі смерті чоловіка дружина користувалася посагом і віном до своєї смерті або повторного шлюбу. При повторному шлюбі вона повертала свій посаг та "привінок", а віно передавалося дітям. За певних умов вдова могла отримати частину майна померлого чоловіка.</w:t>
      </w:r>
    </w:p>
    <w:p w14:paraId="66432CDA" w14:textId="77777777"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Дружина могла втратити право на віно за серйозні провини, а чоловік – на посаг за несправедливе ставлення до дружини, що сприяло взаємній повазі у шлюбі. Окремо регулювалися майнові права дружин, які не приносили посагу або за яких не було надано віна, а також випадки, коли майно наживалося подружжям спільно.</w:t>
      </w:r>
    </w:p>
    <w:p w14:paraId="3A1C9F15" w14:textId="77777777"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Правовий статус дітей у суспільстві XVIII століття визначався насамперед залежно від їхнього походження та факту народження у законному церковному шлюбі: діти, які народилися в офіційно визнаному та церковно освяченому шлюбі, мали повний обсяг прав, включаючи незаперечне право на законне походження, право на спадкування майна своїх законних батьків та належність до певного соціального стану, успадковуючи відповідні права та обов'язки. Позашлюбних дітей поділяли на дві категорії. Першу складали "бенкарти" – діти, народжені від батьків, які не перебували у шлюбі. Другу групу становили діти, народжені до шлюбу неодруженими чоловіком та жінкою, які згодом одружилися і мали також дітей, народжених вже у шлюбі.</w:t>
      </w:r>
    </w:p>
    <w:p w14:paraId="770FB414" w14:textId="77777777"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 наявності законних дітей, "бенкарти" не мали жодних прав у сім'ї та не могли успадковувати майно ні батька, ні матері. Проте, якщо законних дітей не було, "бенкарти" отримували право на спадщину матері та на утримання від свого справжнього батька. Винятком знову ж таки були діти, народжені поза шлюбом одруженими чоловіком або жінкою.</w:t>
      </w:r>
    </w:p>
    <w:p w14:paraId="307C6019" w14:textId="77777777"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Дітей, які мали обох спільних батьків, називали повнорідними братами та сестрами. Неповнорідними вважалися діти, які мали лише одного спільного батька: однокровні (спільний батько, різні матері) та одноутробні (спільна мати, різні батьки). Однокровні брати та сестри мали такі ж права на спадщину батька, як і повнорідні, а одноутробні мали аналогічні права на спадщину матері.</w:t>
      </w:r>
    </w:p>
    <w:p w14:paraId="2E7F6A3D" w14:textId="77777777"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тогочасній правовій системі Гетьманщини існували спеціально розроблені інститути опіки та піклування, призначені для всебічного захисту прав та законних інтересів осіб, які з різних об'єктивних причин не мали повної цивільної дієздатності та не могли самостійно здійснювати свої права </w:t>
      </w:r>
      <w:r w:rsidRPr="00511005">
        <w:rPr>
          <w:rFonts w:ascii="Arial" w:eastAsia="Times New Roman" w:hAnsi="Arial" w:cs="Arial"/>
          <w:szCs w:val="28"/>
          <w:lang w:eastAsia="ru-RU"/>
        </w:rPr>
        <w:lastRenderedPageBreak/>
        <w:t xml:space="preserve">та обов'язки, таких як малолітні сироти, особи з підтвердженими психічними розладами або особи, схильні до безвідповідального та марнотратного розпорядження власним майном. Також існувала чітко регламентована юридична процедура усиновлення, яка офіційно закріплювала прийняття до сім'ї дітей, які не були рідними по крові, з наданням їм повного спектру прав та обов'язків, аналогічних правам кровних родичів, включаючи право на спадкування майна </w:t>
      </w:r>
      <w:proofErr w:type="gramStart"/>
      <w:r w:rsidRPr="00511005">
        <w:rPr>
          <w:rFonts w:ascii="Arial" w:eastAsia="Times New Roman" w:hAnsi="Arial" w:cs="Arial"/>
          <w:szCs w:val="28"/>
          <w:lang w:eastAsia="ru-RU"/>
        </w:rPr>
        <w:t>усиновителів.[</w:t>
      </w:r>
      <w:proofErr w:type="gramEnd"/>
      <w:r w:rsidRPr="00511005">
        <w:rPr>
          <w:rFonts w:ascii="Arial" w:eastAsia="Times New Roman" w:hAnsi="Arial" w:cs="Arial"/>
          <w:szCs w:val="28"/>
          <w:lang w:eastAsia="ru-RU"/>
        </w:rPr>
        <w:t>2, с. 175-182]</w:t>
      </w:r>
    </w:p>
    <w:p w14:paraId="691B60C0" w14:textId="77777777"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Поряд з офіційно визнаними та урочисто церковно освяченими шлюбними союзами, у суспільстві досить поширеною була соціально дозволена практика укладання невінчаних шлюбів, особливо серед соціально незахищених верств населення, а також серед вдів та осіб, які розірвали попередні шлюби та не мали реальної можливості або офіційного дозволу на повторне вінчання згідно з суворими церковними канонами. Ці так звані шлюби «на віру» являли собою своєрідну форму соціальної адаптації та врегулювання особистих відносин поза межами офіційних церковних норм, часто зумовлену складними економічними труднощами, несприятливими соціальними обставинами або небажанням вступати у відкритий конфлікт з впливовою церковною </w:t>
      </w:r>
      <w:proofErr w:type="gramStart"/>
      <w:r w:rsidRPr="00511005">
        <w:rPr>
          <w:rFonts w:ascii="Arial" w:eastAsia="Times New Roman" w:hAnsi="Arial" w:cs="Arial"/>
          <w:szCs w:val="28"/>
          <w:lang w:eastAsia="ru-RU"/>
        </w:rPr>
        <w:t>владою.[</w:t>
      </w:r>
      <w:proofErr w:type="gramEnd"/>
      <w:r w:rsidRPr="00511005">
        <w:rPr>
          <w:rFonts w:ascii="Arial" w:eastAsia="Times New Roman" w:hAnsi="Arial" w:cs="Arial"/>
          <w:szCs w:val="28"/>
          <w:lang w:eastAsia="ru-RU"/>
        </w:rPr>
        <w:t>3, с.95-96]</w:t>
      </w:r>
    </w:p>
    <w:p w14:paraId="5A5BA799" w14:textId="57AC578A" w:rsidR="00220D3E" w:rsidRPr="00511005" w:rsidRDefault="00220D3E" w:rsidP="002029A8">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Протягом усього XVIII століття, завдяки наполегливим зусиллям впливових церковних ієрархів та активній підтримці державної влади, обряд церковного вінчання поступово набував статусу обов'язкової умови для укладання шлюбу серед усього християнського населення Гетьманщини, що мало символізувати духовне освячення шлюбного союзу та підпорядкування його церковним правилам. Однак, незважаючи на це, глибоко вкорінені багатовікові народні традиції та різноманітні обряди, пов'язані з весільними святкуваннями, продовжували відігравати значну роль у формуванні шлюбно-сімейних відносин, суспільної свідомості та повсякденних практик значної частини населення, особливо в сільській місцевості, демонструючи живучість традиційної культури.</w:t>
      </w:r>
    </w:p>
    <w:p w14:paraId="09A733C2" w14:textId="77777777" w:rsidR="002029A8" w:rsidRPr="00511005" w:rsidRDefault="002029A8" w:rsidP="002029A8">
      <w:pPr>
        <w:spacing w:line="264" w:lineRule="auto"/>
        <w:rPr>
          <w:rFonts w:ascii="Arial" w:eastAsia="Times New Roman" w:hAnsi="Arial" w:cs="Arial"/>
          <w:szCs w:val="28"/>
          <w:lang w:eastAsia="ru-RU"/>
        </w:rPr>
      </w:pPr>
    </w:p>
    <w:p w14:paraId="09399079" w14:textId="52D033CD" w:rsidR="00220D3E" w:rsidRPr="00511005" w:rsidRDefault="007B2628" w:rsidP="007B2628">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0068170D" w14:textId="38D0417B" w:rsidR="00220D3E" w:rsidRPr="00511005" w:rsidRDefault="00220D3E" w:rsidP="002029A8">
      <w:pPr>
        <w:numPr>
          <w:ilvl w:val="0"/>
          <w:numId w:val="55"/>
        </w:numPr>
        <w:spacing w:line="264" w:lineRule="auto"/>
        <w:ind w:left="0"/>
        <w:contextualSpacing/>
        <w:rPr>
          <w:rFonts w:ascii="Arial" w:eastAsia="Calibri" w:hAnsi="Arial" w:cs="Arial"/>
          <w:szCs w:val="28"/>
          <w:lang w:val="uk-UA"/>
        </w:rPr>
      </w:pPr>
      <w:r w:rsidRPr="00511005">
        <w:rPr>
          <w:rFonts w:ascii="Arial" w:eastAsia="Calibri" w:hAnsi="Arial" w:cs="Arial"/>
          <w:szCs w:val="28"/>
          <w:lang w:val="uk-UA"/>
        </w:rPr>
        <w:t>Український історичний журнал номер 5 2014р. І.М. Петренко «Питання шлюбно-сімейних відносин у Гетьманщині XVIII ст. на шпальтах часопису «Киевская старина»( с.157-162)</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UIJ_2014_5_12</w:t>
      </w:r>
    </w:p>
    <w:p w14:paraId="3448FDD4" w14:textId="77777777" w:rsidR="00220D3E" w:rsidRPr="00511005" w:rsidRDefault="00220D3E" w:rsidP="002029A8">
      <w:pPr>
        <w:numPr>
          <w:ilvl w:val="0"/>
          <w:numId w:val="55"/>
        </w:numPr>
        <w:spacing w:line="264" w:lineRule="auto"/>
        <w:ind w:left="0"/>
        <w:contextualSpacing/>
        <w:rPr>
          <w:rFonts w:ascii="Arial" w:eastAsia="Calibri" w:hAnsi="Arial" w:cs="Arial"/>
          <w:szCs w:val="28"/>
          <w:lang w:val="uk-UA"/>
        </w:rPr>
      </w:pPr>
      <w:r w:rsidRPr="00511005">
        <w:rPr>
          <w:rFonts w:ascii="Arial" w:eastAsia="Calibri" w:hAnsi="Arial" w:cs="Arial"/>
          <w:szCs w:val="28"/>
          <w:lang w:val="uk-UA"/>
        </w:rPr>
        <w:t>Актуальні проблеми держави та права 2009р. Т.О. Остапенко «Сімейне право Лівобережної України другої половини XVII – першої половини XVIII ст.» (с.175-182)</w:t>
      </w:r>
      <w:r w:rsidRPr="00511005">
        <w:rPr>
          <w:rFonts w:ascii="Arial" w:eastAsia="Times New Roman" w:hAnsi="Arial" w:cs="Arial"/>
          <w:szCs w:val="28"/>
          <w:lang w:val="uk-UA"/>
        </w:rPr>
        <w:t xml:space="preserve"> 32.pdf</w:t>
      </w:r>
    </w:p>
    <w:p w14:paraId="6F3E7905" w14:textId="3EA25079" w:rsidR="00220D3E" w:rsidRPr="00511005" w:rsidRDefault="00220D3E" w:rsidP="002029A8">
      <w:pPr>
        <w:numPr>
          <w:ilvl w:val="0"/>
          <w:numId w:val="55"/>
        </w:numPr>
        <w:spacing w:line="264" w:lineRule="auto"/>
        <w:ind w:left="0"/>
        <w:contextualSpacing/>
        <w:rPr>
          <w:rFonts w:ascii="Arial" w:eastAsia="Calibri" w:hAnsi="Arial" w:cs="Arial"/>
          <w:szCs w:val="28"/>
          <w:lang w:val="uk-UA"/>
        </w:rPr>
      </w:pPr>
      <w:r w:rsidRPr="00511005">
        <w:rPr>
          <w:rFonts w:ascii="Arial" w:eastAsia="Calibri" w:hAnsi="Arial" w:cs="Arial"/>
          <w:szCs w:val="28"/>
          <w:lang w:val="uk-UA"/>
        </w:rPr>
        <w:t>Український історичний журнал номер 6 2022р.</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О. Лощихін, А. Шевченко «Невінчані шлюби православних мирян Гетьманщини у XVIII ст.» (с.87-96)</w:t>
      </w:r>
      <w:r w:rsidRPr="00511005">
        <w:rPr>
          <w:rFonts w:ascii="Arial" w:eastAsia="Times New Roman" w:hAnsi="Arial" w:cs="Arial"/>
          <w:szCs w:val="28"/>
          <w:lang w:val="uk-UA"/>
        </w:rPr>
        <w:t xml:space="preserve"> UIJ_2022_6_9+(1) (1)</w:t>
      </w:r>
    </w:p>
    <w:p w14:paraId="4AB59639" w14:textId="6919CFD8" w:rsidR="00220D3E" w:rsidRPr="00511005" w:rsidRDefault="00220D3E" w:rsidP="002029A8">
      <w:pPr>
        <w:numPr>
          <w:ilvl w:val="0"/>
          <w:numId w:val="55"/>
        </w:numPr>
        <w:spacing w:line="264" w:lineRule="auto"/>
        <w:ind w:left="0"/>
        <w:contextualSpacing/>
        <w:rPr>
          <w:rFonts w:ascii="Arial" w:eastAsia="Times New Roman" w:hAnsi="Arial" w:cs="Arial"/>
          <w:szCs w:val="28"/>
          <w:lang w:val="uk-UA"/>
        </w:rPr>
      </w:pPr>
      <w:r w:rsidRPr="00511005">
        <w:rPr>
          <w:rFonts w:ascii="Arial" w:eastAsia="Times New Roman" w:hAnsi="Arial" w:cs="Arial"/>
          <w:szCs w:val="28"/>
          <w:lang w:val="uk-UA"/>
        </w:rPr>
        <w:t xml:space="preserve">ISSN 2307-1745 Науковий вісник Міжнародного гуманітарного університету. Сер.: Юриспруденція. 2014р. Номер 10-1. Том 1. Атаманова Н. В. «Литовські </w:t>
      </w:r>
      <w:r w:rsidRPr="00511005">
        <w:rPr>
          <w:rFonts w:ascii="Arial" w:eastAsia="Times New Roman" w:hAnsi="Arial" w:cs="Arial"/>
          <w:szCs w:val="28"/>
          <w:lang w:val="uk-UA"/>
        </w:rPr>
        <w:lastRenderedPageBreak/>
        <w:t xml:space="preserve">статути як історичні пам’ятки у системі Вітчизняних джерел права» </w:t>
      </w:r>
      <w:hyperlink r:id="rId138" w:history="1">
        <w:r w:rsidRPr="00511005">
          <w:rPr>
            <w:rFonts w:ascii="Arial" w:eastAsia="Times New Roman" w:hAnsi="Arial" w:cs="Arial"/>
            <w:szCs w:val="28"/>
            <w:lang w:val="uk-UA"/>
          </w:rPr>
          <w:t>https://www.vestnik-pravo.mgu.od.ua/archive/juspradenc10-1/part_1/8.pdf</w:t>
        </w:r>
      </w:hyperlink>
    </w:p>
    <w:p w14:paraId="0049416B" w14:textId="77777777" w:rsidR="002029A8" w:rsidRPr="00511005" w:rsidRDefault="002029A8" w:rsidP="003A292D">
      <w:pPr>
        <w:spacing w:line="264" w:lineRule="auto"/>
        <w:ind w:firstLine="0"/>
        <w:rPr>
          <w:rFonts w:ascii="Arial" w:eastAsia="Times New Roman" w:hAnsi="Arial" w:cs="Arial"/>
          <w:b/>
          <w:bCs/>
          <w:i/>
          <w:szCs w:val="28"/>
          <w:lang w:eastAsia="ru-RU"/>
        </w:rPr>
      </w:pPr>
    </w:p>
    <w:p w14:paraId="3350E7A4" w14:textId="38286220" w:rsidR="00220D3E" w:rsidRPr="00511005" w:rsidRDefault="007B2628" w:rsidP="003A292D">
      <w:pPr>
        <w:spacing w:line="264" w:lineRule="auto"/>
        <w:ind w:firstLine="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Гетьманщина, шлюбно-сімейне право, відносини, права.</w:t>
      </w:r>
    </w:p>
    <w:p w14:paraId="41D35DBD" w14:textId="54FA6314" w:rsidR="00220D3E" w:rsidRPr="00511005" w:rsidRDefault="007B2628" w:rsidP="003A292D">
      <w:pPr>
        <w:spacing w:line="264" w:lineRule="auto"/>
        <w:ind w:firstLine="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Hetmanate, marriage and family law, relations, rights.</w:t>
      </w:r>
    </w:p>
    <w:p w14:paraId="64BFE95C" w14:textId="1BEAACE3" w:rsidR="00220D3E"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eastAsia="ru-RU"/>
        </w:rPr>
        <w:t xml:space="preserve">Науковий керівник: </w:t>
      </w:r>
      <w:r w:rsidR="00220D3E" w:rsidRPr="00511005">
        <w:rPr>
          <w:rFonts w:ascii="Arial" w:eastAsia="Times New Roman" w:hAnsi="Arial" w:cs="Arial"/>
          <w:szCs w:val="28"/>
          <w:lang w:eastAsia="ru-RU"/>
        </w:rPr>
        <w:t>к.ю.н., доц</w:t>
      </w:r>
      <w:r w:rsidR="002029A8" w:rsidRPr="00511005">
        <w:rPr>
          <w:rFonts w:ascii="Arial" w:eastAsia="Times New Roman" w:hAnsi="Arial" w:cs="Arial"/>
          <w:szCs w:val="28"/>
          <w:lang w:val="uk-UA" w:eastAsia="ru-RU"/>
        </w:rPr>
        <w:t>ент</w:t>
      </w:r>
      <w:r w:rsidR="00220D3E" w:rsidRPr="00511005">
        <w:rPr>
          <w:rFonts w:ascii="Arial" w:eastAsia="Times New Roman" w:hAnsi="Arial" w:cs="Arial"/>
          <w:szCs w:val="28"/>
          <w:lang w:eastAsia="ru-RU"/>
        </w:rPr>
        <w:t xml:space="preserve"> Корнієнко І</w:t>
      </w:r>
      <w:r w:rsidR="002029A8" w:rsidRPr="00511005">
        <w:rPr>
          <w:rFonts w:ascii="Arial" w:eastAsia="Times New Roman" w:hAnsi="Arial" w:cs="Arial"/>
          <w:szCs w:val="28"/>
          <w:lang w:val="uk-UA" w:eastAsia="ru-RU"/>
        </w:rPr>
        <w:t>.</w:t>
      </w:r>
      <w:r w:rsidR="00220D3E" w:rsidRPr="00511005">
        <w:rPr>
          <w:rFonts w:ascii="Arial" w:eastAsia="Times New Roman" w:hAnsi="Arial" w:cs="Arial"/>
          <w:szCs w:val="28"/>
          <w:lang w:eastAsia="ru-RU"/>
        </w:rPr>
        <w:t xml:space="preserve"> В</w:t>
      </w:r>
      <w:r w:rsidR="002029A8" w:rsidRPr="00511005">
        <w:rPr>
          <w:rFonts w:ascii="Arial" w:eastAsia="Times New Roman" w:hAnsi="Arial" w:cs="Arial"/>
          <w:szCs w:val="28"/>
          <w:lang w:val="uk-UA" w:eastAsia="ru-RU"/>
        </w:rPr>
        <w:t>.</w:t>
      </w:r>
    </w:p>
    <w:p w14:paraId="31685620" w14:textId="77777777" w:rsidR="00220D3E" w:rsidRPr="00511005" w:rsidRDefault="00220D3E" w:rsidP="003A292D">
      <w:pPr>
        <w:spacing w:line="264" w:lineRule="auto"/>
        <w:ind w:firstLine="0"/>
        <w:jc w:val="left"/>
        <w:rPr>
          <w:rFonts w:ascii="Arial" w:eastAsia="Times New Roman" w:hAnsi="Arial" w:cs="Arial"/>
          <w:szCs w:val="28"/>
          <w:lang w:eastAsia="ru-RU"/>
        </w:rPr>
      </w:pPr>
    </w:p>
    <w:p w14:paraId="1496E50A" w14:textId="7D601AB2" w:rsidR="00BE647D" w:rsidRPr="00511005" w:rsidRDefault="00BE647D"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16DFB289" w14:textId="77777777" w:rsidR="003F5D68" w:rsidRPr="00511005" w:rsidRDefault="003F5D68" w:rsidP="003A292D">
      <w:pPr>
        <w:keepNext/>
        <w:suppressAutoHyphens/>
        <w:spacing w:line="264" w:lineRule="auto"/>
        <w:ind w:firstLine="0"/>
        <w:jc w:val="left"/>
        <w:rPr>
          <w:rFonts w:ascii="Arial" w:hAnsi="Arial" w:cs="Arial"/>
          <w:szCs w:val="28"/>
        </w:rPr>
      </w:pPr>
    </w:p>
    <w:p w14:paraId="36A3351E" w14:textId="7FEE2190" w:rsidR="003F5D68" w:rsidRPr="00511005" w:rsidRDefault="003F5D68" w:rsidP="003A292D">
      <w:pPr>
        <w:pStyle w:val="aa"/>
        <w:spacing w:before="0" w:after="0" w:line="264" w:lineRule="auto"/>
        <w:rPr>
          <w:rFonts w:ascii="Arial" w:hAnsi="Arial" w:cs="Arial"/>
          <w:color w:val="auto"/>
          <w:sz w:val="28"/>
          <w:szCs w:val="28"/>
        </w:rPr>
      </w:pPr>
      <w:bookmarkStart w:id="23" w:name="_Toc208298990"/>
      <w:r w:rsidRPr="00511005">
        <w:rPr>
          <w:rFonts w:ascii="Arial" w:hAnsi="Arial" w:cs="Arial"/>
          <w:color w:val="auto"/>
          <w:sz w:val="28"/>
          <w:szCs w:val="28"/>
        </w:rPr>
        <w:t xml:space="preserve">СЕКЦІЯ 3. </w:t>
      </w:r>
      <w:r w:rsidRPr="00511005">
        <w:rPr>
          <w:rFonts w:ascii="Arial" w:hAnsi="Arial" w:cs="Arial"/>
          <w:color w:val="auto"/>
          <w:sz w:val="28"/>
          <w:szCs w:val="28"/>
          <w:lang w:val="ru-RU"/>
        </w:rPr>
        <w:t>ПРОБЛЕМИ МІЖНАРОДНОГО, ЄВРОПЕЙСЬКОГО ПРАВА ТА ПОРІВНЯЛЬНОГО ПРАВОЗНАВСТВА</w:t>
      </w:r>
      <w:bookmarkEnd w:id="23"/>
      <w:r w:rsidRPr="00511005">
        <w:rPr>
          <w:rFonts w:ascii="Arial" w:hAnsi="Arial" w:cs="Arial"/>
          <w:color w:val="auto"/>
          <w:sz w:val="28"/>
          <w:szCs w:val="28"/>
        </w:rPr>
        <w:t xml:space="preserve"> </w:t>
      </w:r>
    </w:p>
    <w:p w14:paraId="2E399D7C" w14:textId="77777777" w:rsidR="003F5D68" w:rsidRPr="00511005" w:rsidRDefault="003F5D68" w:rsidP="003A292D">
      <w:pPr>
        <w:keepNext/>
        <w:spacing w:line="264" w:lineRule="auto"/>
        <w:ind w:firstLine="0"/>
        <w:jc w:val="left"/>
        <w:rPr>
          <w:rFonts w:ascii="Arial" w:hAnsi="Arial" w:cs="Arial"/>
          <w:szCs w:val="28"/>
        </w:rPr>
      </w:pPr>
    </w:p>
    <w:p w14:paraId="7128D6DA" w14:textId="77777777" w:rsidR="00220D3E" w:rsidRPr="00511005" w:rsidRDefault="00220D3E" w:rsidP="002029A8">
      <w:pPr>
        <w:tabs>
          <w:tab w:val="left" w:pos="709"/>
        </w:tabs>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Андрусів Володимир Михайлович</w:t>
      </w:r>
    </w:p>
    <w:p w14:paraId="46C75AF0" w14:textId="752EF56D" w:rsidR="00220D3E" w:rsidRPr="00511005" w:rsidRDefault="00536AAB" w:rsidP="002029A8">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 2-го курсу </w:t>
      </w:r>
      <w:r w:rsidR="001B7B25" w:rsidRPr="00511005">
        <w:rPr>
          <w:rFonts w:ascii="Arial" w:eastAsia="Times New Roman" w:hAnsi="Arial" w:cs="Arial"/>
          <w:szCs w:val="28"/>
          <w:lang w:val="uk-UA" w:eastAsia="ru-RU"/>
        </w:rPr>
        <w:t>факультету судового та міжнародного права</w:t>
      </w:r>
    </w:p>
    <w:p w14:paraId="68F878D6" w14:textId="22153623" w:rsidR="00220D3E" w:rsidRPr="00511005" w:rsidRDefault="007B2628" w:rsidP="002029A8">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F4086CE" w14:textId="77777777" w:rsidR="00220D3E" w:rsidRPr="00511005" w:rsidRDefault="00220D3E" w:rsidP="002029A8">
      <w:pPr>
        <w:tabs>
          <w:tab w:val="left" w:pos="709"/>
        </w:tabs>
        <w:spacing w:line="264" w:lineRule="auto"/>
        <w:ind w:firstLine="0"/>
        <w:rPr>
          <w:rFonts w:ascii="Arial" w:eastAsia="Times New Roman" w:hAnsi="Arial" w:cs="Arial"/>
          <w:szCs w:val="28"/>
          <w:lang w:eastAsia="ru-RU"/>
        </w:rPr>
      </w:pPr>
    </w:p>
    <w:p w14:paraId="0980573E" w14:textId="77777777" w:rsidR="00220D3E" w:rsidRPr="00511005" w:rsidRDefault="00220D3E" w:rsidP="002029A8">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eastAsia="ru-RU"/>
        </w:rPr>
        <w:t>ПРАВОВИЙ СТАТУС СПЕЦІАЛЬНИХ МІСІЙ У МІЖНАРОДНОМУ ПРАВІ</w:t>
      </w:r>
    </w:p>
    <w:p w14:paraId="1B9FA72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сучасних умовах посилення глобалізації та ускладнення міжнародних відносин спеціальні місії дедалі частіше виступають інструментом оперативного реагування на кризові ситуації, проведення технічних консультацій і політичних переговорів. Водночас їхній тимчасовий характер та цілеспрямованість висувають особливі вимоги до правового регулювання: необхідно чітко визначити рамки мандата, порядок акредитації, а також обсяг привілеїв і імунітетів, щоб убезпечити учасників місії від неправомірного втручання, але й не створити лазівок для зловживань.</w:t>
      </w:r>
    </w:p>
    <w:p w14:paraId="56DCAE3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Саме тому важливо звернутися до історичних витоків цього інституту. Першою спеціальною місією у сучасному розумінні стала тимчасова делегація, яку Велика Британія надіслала у 1815 році до Віденського конгресу з метою узгодження умов післянаполеонівського врегулювання. Цей приклад заклав основу для подальшої кодифікації правового статусу таких представництв, що згодом отримало формальне втілення у Віденській конвенції про спеціальні місії 1969 року (далі – Конвенція 1969 </w:t>
      </w:r>
      <w:proofErr w:type="gramStart"/>
      <w:r w:rsidRPr="00511005">
        <w:rPr>
          <w:rFonts w:ascii="Arial" w:eastAsia="Times New Roman" w:hAnsi="Arial" w:cs="Arial"/>
          <w:szCs w:val="28"/>
          <w:lang w:eastAsia="ru-RU"/>
        </w:rPr>
        <w:t>року)[</w:t>
      </w:r>
      <w:proofErr w:type="gramEnd"/>
      <w:r w:rsidRPr="00511005">
        <w:rPr>
          <w:rFonts w:ascii="Arial" w:eastAsia="Times New Roman" w:hAnsi="Arial" w:cs="Arial"/>
          <w:szCs w:val="28"/>
          <w:lang w:eastAsia="ru-RU"/>
        </w:rPr>
        <w:t>1].</w:t>
      </w:r>
    </w:p>
    <w:p w14:paraId="6B14DB3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Спеціальні місії є однією з найдавніших форм реалізації міжнародних відносин. Як зазначала Комісія міжнародного права ООН, практика направлення спеціального посланця або тимчасової місії з однієї держави до іншої для відзначення важливості певної події чи обставини, ймовірно, є найстарішим засобом дипломатичного спілкування між </w:t>
      </w:r>
      <w:proofErr w:type="gramStart"/>
      <w:r w:rsidRPr="00511005">
        <w:rPr>
          <w:rFonts w:ascii="Arial" w:eastAsia="Times New Roman" w:hAnsi="Arial" w:cs="Arial"/>
          <w:szCs w:val="28"/>
          <w:lang w:eastAsia="ru-RU"/>
        </w:rPr>
        <w:t>державами[</w:t>
      </w:r>
      <w:proofErr w:type="gramEnd"/>
      <w:r w:rsidRPr="00511005">
        <w:rPr>
          <w:rFonts w:ascii="Arial" w:eastAsia="Times New Roman" w:hAnsi="Arial" w:cs="Arial"/>
          <w:szCs w:val="28"/>
          <w:lang w:eastAsia="ru-RU"/>
        </w:rPr>
        <w:t>6].</w:t>
      </w:r>
    </w:p>
    <w:p w14:paraId="1A2A6EE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Цей різновид дипломатії ad hoc набув особливого поширення після завершення Другої світової війни. Завдяки стрімкому розвитку засобів комунікації, майже всі держави почали активно використовувати спеціальні місії як зручний інструмент для проведення переговорів та налагодження контактів у конкретних сферах міжнародного співробітництва.</w:t>
      </w:r>
    </w:p>
    <w:p w14:paraId="68EE388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Водночас право спеціальних місій, на відміну від дипломатичного та консульського права, є менш розвиненим. Якщо діяльність дипломатичних і консульських установ регулюється як загальними, так і спеціальними правовими актами, що стосуються окремих, то питання правового статусу спеціальних місій залишається менш чітко регламентованим. Єдиним міжнародно-правовим документом, який регулює статус спеціальних місій, є Віденська конвенція про спеціальні місії 1969 року. Однак ця конвенція не </w:t>
      </w:r>
      <w:r w:rsidRPr="00511005">
        <w:rPr>
          <w:rFonts w:ascii="Arial" w:eastAsia="Times New Roman" w:hAnsi="Arial" w:cs="Arial"/>
          <w:szCs w:val="28"/>
          <w:lang w:eastAsia="ru-RU"/>
        </w:rPr>
        <w:lastRenderedPageBreak/>
        <w:t>набула широкого кола ратифікацій, що обмежує її універсальне застосування та ефективність у міжнародній практиці.</w:t>
      </w:r>
    </w:p>
    <w:p w14:paraId="15FADF3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Конвенція 1969 року, а саме стаття 1, дає визначення терміну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спеціальна місія». Відповідно до неї спеціальну місію слід розуміти як тимчасове представництво однієї держави, яке за попередньою згодою держави</w:t>
      </w:r>
      <w:r w:rsidRPr="00511005">
        <w:rPr>
          <w:rFonts w:ascii="Arial" w:eastAsia="Times New Roman" w:hAnsi="Arial" w:cs="Arial"/>
          <w:szCs w:val="28"/>
          <w:lang w:eastAsia="ru-RU"/>
        </w:rPr>
        <w:noBreakHyphen/>
        <w:t xml:space="preserve">приймача спрямовується до неї з метою обговорення конкретних питань або виконання визначених </w:t>
      </w:r>
      <w:proofErr w:type="gramStart"/>
      <w:r w:rsidRPr="00511005">
        <w:rPr>
          <w:rFonts w:ascii="Arial" w:eastAsia="Times New Roman" w:hAnsi="Arial" w:cs="Arial"/>
          <w:szCs w:val="28"/>
          <w:lang w:eastAsia="ru-RU"/>
        </w:rPr>
        <w:t>завдань[</w:t>
      </w:r>
      <w:proofErr w:type="gramEnd"/>
      <w:r w:rsidRPr="00511005">
        <w:rPr>
          <w:rFonts w:ascii="Arial" w:eastAsia="Times New Roman" w:hAnsi="Arial" w:cs="Arial"/>
          <w:szCs w:val="28"/>
          <w:lang w:eastAsia="ru-RU"/>
        </w:rPr>
        <w:t>1].</w:t>
      </w:r>
    </w:p>
    <w:p w14:paraId="5451405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ab/>
        <w:t xml:space="preserve">Основна відмінність спеціальної місії від інших форм міждержавної взаємодії, таких як дипломатичні та консульські місії або торгівельні представництва, полягає в її тимчасовості та чітко визначеному мандаті. </w:t>
      </w:r>
      <w:r w:rsidRPr="00511005">
        <w:rPr>
          <w:rFonts w:ascii="Arial" w:eastAsia="Times New Roman" w:hAnsi="Arial" w:cs="Arial"/>
          <w:szCs w:val="28"/>
          <w:lang w:eastAsia="ru-RU"/>
        </w:rPr>
        <w:t>Спеціальна місія створюється для виконання конкретного завдання або набору завдань, які детально описуються в установчих документах, таких як агреман, меморандум або мандат міжнародної організації. Ці завдання можуть включати проведення факт-файндингу, надання технічної допомоги, ведення конкретних переговорів або спостереження за виборами. Поза межами цього мандата учасники місії не мають додаткових повноважень, і їхні імунітети та пільги обмежуються лише виконанням визначених завдань.</w:t>
      </w:r>
    </w:p>
    <w:p w14:paraId="4C1DB51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Комісія міжнародного права ООН у коментарі до проєкту Конвенції зазначила, що спеціальна місія не є місією, відповідальною за підтримання загальних дипломатичних відносин між державами. Її діяльність має чітко окреслену мету. Хоча на практиці такі місії іноді охоплюють доволі широкий спектр завдань — зокрема, дослідження чи навіть формування основних принципів взаємодії між державами, — все ж конкретне завдання спеціальної місії визначається для кожного окремого випадку. Таким чином, функції таких місій відрізняються від ролі постійної дипломатичної місії, яка виступає як загальний представник держави, що її направив[4].</w:t>
      </w:r>
    </w:p>
    <w:p w14:paraId="2AB87C9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Спеціальні місії завжди мають тимчасовий характер, і строк їхньої діяльності визначається відповідною домовленістю між сторонами. </w:t>
      </w:r>
      <w:r w:rsidRPr="00511005">
        <w:rPr>
          <w:rFonts w:ascii="Arial" w:eastAsia="Times New Roman" w:hAnsi="Arial" w:cs="Arial"/>
          <w:szCs w:val="28"/>
          <w:lang w:eastAsia="ru-RU"/>
        </w:rPr>
        <w:t xml:space="preserve">Вони можуть виконувати свої функції навіть </w:t>
      </w:r>
      <w:proofErr w:type="gramStart"/>
      <w:r w:rsidRPr="00511005">
        <w:rPr>
          <w:rFonts w:ascii="Arial" w:eastAsia="Times New Roman" w:hAnsi="Arial" w:cs="Arial"/>
          <w:szCs w:val="28"/>
          <w:lang w:eastAsia="ru-RU"/>
        </w:rPr>
        <w:t>за умов</w:t>
      </w:r>
      <w:proofErr w:type="gramEnd"/>
      <w:r w:rsidRPr="00511005">
        <w:rPr>
          <w:rFonts w:ascii="Arial" w:eastAsia="Times New Roman" w:hAnsi="Arial" w:cs="Arial"/>
          <w:szCs w:val="28"/>
          <w:lang w:eastAsia="ru-RU"/>
        </w:rPr>
        <w:t xml:space="preserve"> відсутності офіційних дипломатичних відносин, </w:t>
      </w:r>
      <w:r w:rsidRPr="00511005">
        <w:rPr>
          <w:rFonts w:ascii="Arial" w:eastAsia="Times New Roman" w:hAnsi="Arial" w:cs="Arial"/>
          <w:szCs w:val="28"/>
          <w:lang w:val="uk-UA" w:eastAsia="ru-RU"/>
        </w:rPr>
        <w:t>що передбачено статтею 7 Конвенції 1969 року та</w:t>
      </w:r>
      <w:r w:rsidRPr="00511005">
        <w:rPr>
          <w:rFonts w:ascii="Arial" w:eastAsia="Times New Roman" w:hAnsi="Arial" w:cs="Arial"/>
          <w:szCs w:val="28"/>
          <w:lang w:eastAsia="ru-RU"/>
        </w:rPr>
        <w:t xml:space="preserve"> є особливо важливим у ситуаціях, коли одна зі сторін правовідносин або сторона, до якої направляється місія, не визнається як суб’єкт міжнародного права. </w:t>
      </w:r>
    </w:p>
    <w:p w14:paraId="0290427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Вчені стверджують</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що </w:t>
      </w:r>
      <w:r w:rsidRPr="00511005">
        <w:rPr>
          <w:rFonts w:ascii="Arial" w:eastAsia="Times New Roman" w:hAnsi="Arial" w:cs="Arial"/>
          <w:szCs w:val="28"/>
          <w:lang w:eastAsia="ru-RU"/>
        </w:rPr>
        <w:t xml:space="preserve">для держав, які з певних причин не визнають де-юре інші держави, використання спеціальних місій є зручним інструментом, </w:t>
      </w:r>
      <w:r w:rsidRPr="00511005">
        <w:rPr>
          <w:rFonts w:ascii="Arial" w:eastAsia="Times New Roman" w:hAnsi="Arial" w:cs="Arial"/>
          <w:szCs w:val="28"/>
          <w:lang w:val="uk-UA" w:eastAsia="ru-RU"/>
        </w:rPr>
        <w:t xml:space="preserve">що </w:t>
      </w:r>
      <w:r w:rsidRPr="00511005">
        <w:rPr>
          <w:rFonts w:ascii="Arial" w:eastAsia="Times New Roman" w:hAnsi="Arial" w:cs="Arial"/>
          <w:szCs w:val="28"/>
          <w:lang w:eastAsia="ru-RU"/>
        </w:rPr>
        <w:t>дозволяє уникнути офіційного вираження позиції щодо невизнаної держави у випадках, коли рішення про визнання ще не сформоване. Крім того, така форма дипломатії вигідна і контрагентам, адже дає змогу зберігати канали спілкування відкритими.</w:t>
      </w:r>
    </w:p>
    <w:p w14:paraId="7351822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Для розуміння правової сутності спеціальних місій важливим є аналіз привілеїв та імунітетів, які надаються їхнім учасникам. </w:t>
      </w:r>
      <w:r w:rsidRPr="00511005">
        <w:rPr>
          <w:rFonts w:ascii="Arial" w:eastAsia="Times New Roman" w:hAnsi="Arial" w:cs="Arial"/>
          <w:szCs w:val="28"/>
          <w:lang w:eastAsia="ru-RU"/>
        </w:rPr>
        <w:t xml:space="preserve">Згідно зі статтею 9 </w:t>
      </w:r>
      <w:r w:rsidRPr="00511005">
        <w:rPr>
          <w:rFonts w:ascii="Arial" w:eastAsia="Times New Roman" w:hAnsi="Arial" w:cs="Arial"/>
          <w:szCs w:val="28"/>
          <w:lang w:eastAsia="ru-RU"/>
        </w:rPr>
        <w:lastRenderedPageBreak/>
        <w:t xml:space="preserve">Конвенції, спеціальна місія може складатися з одного або кількох представників держави, яка її направляє, при цьому серед них може бути призначений керівник місії. </w:t>
      </w:r>
      <w:proofErr w:type="gramStart"/>
      <w:r w:rsidRPr="00511005">
        <w:rPr>
          <w:rFonts w:ascii="Arial" w:eastAsia="Times New Roman" w:hAnsi="Arial" w:cs="Arial"/>
          <w:szCs w:val="28"/>
          <w:lang w:eastAsia="ru-RU"/>
        </w:rPr>
        <w:t>До складу</w:t>
      </w:r>
      <w:proofErr w:type="gramEnd"/>
      <w:r w:rsidRPr="00511005">
        <w:rPr>
          <w:rFonts w:ascii="Arial" w:eastAsia="Times New Roman" w:hAnsi="Arial" w:cs="Arial"/>
          <w:szCs w:val="28"/>
          <w:lang w:eastAsia="ru-RU"/>
        </w:rPr>
        <w:t xml:space="preserve"> місії також можуть входити особи, що належать до дипломатичного корпусу, адміністративно-технічного чи обслуговчого персоналу. Інші статті Конвенції регулюють питання, пов’язані з недоторканністю приміщень місії, звільненням від податків, імунітетом членів місії від юрисдикції держави перебування тощо. Стаття 12 передбачає, що держава</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прийма</w:t>
      </w:r>
      <w:r w:rsidRPr="00511005">
        <w:rPr>
          <w:rFonts w:ascii="Arial" w:eastAsia="Times New Roman" w:hAnsi="Arial" w:cs="Arial"/>
          <w:szCs w:val="28"/>
          <w:lang w:val="uk-UA" w:eastAsia="ru-RU"/>
        </w:rPr>
        <w:t>ч</w:t>
      </w:r>
      <w:r w:rsidRPr="00511005">
        <w:rPr>
          <w:rFonts w:ascii="Arial" w:eastAsia="Times New Roman" w:hAnsi="Arial" w:cs="Arial"/>
          <w:szCs w:val="28"/>
          <w:lang w:eastAsia="ru-RU"/>
        </w:rPr>
        <w:t xml:space="preserve"> має право оголошувати окремих членів дипломатичного персоналу місії персонами non </w:t>
      </w:r>
      <w:proofErr w:type="gramStart"/>
      <w:r w:rsidRPr="00511005">
        <w:rPr>
          <w:rFonts w:ascii="Arial" w:eastAsia="Times New Roman" w:hAnsi="Arial" w:cs="Arial"/>
          <w:szCs w:val="28"/>
          <w:lang w:eastAsia="ru-RU"/>
        </w:rPr>
        <w:t>grata[</w:t>
      </w:r>
      <w:proofErr w:type="gramEnd"/>
      <w:r w:rsidRPr="00511005">
        <w:rPr>
          <w:rFonts w:ascii="Arial" w:eastAsia="Times New Roman" w:hAnsi="Arial" w:cs="Arial"/>
          <w:szCs w:val="28"/>
          <w:lang w:eastAsia="ru-RU"/>
        </w:rPr>
        <w:t>1].</w:t>
      </w:r>
    </w:p>
    <w:p w14:paraId="18FAE63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Спеціальна місія та її працівники мають низку привілеїв і імунітетів, які певною мірою схожі на ті, що надаються дипломатичним і консульським установам та їхньому персоналу.</w:t>
      </w:r>
    </w:p>
    <w:p w14:paraId="6C5F9B6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У своєму коментарі до проєкту Конвенції Комісія міжнародного права ООН наголосила, що положення, які стосуються привілеїв і імунітетів спеціальних місій — зокрема щодо недоторканності їхніх приміщень — мають характер міжнародного звичаю. </w:t>
      </w:r>
      <w:r w:rsidRPr="00511005">
        <w:rPr>
          <w:rFonts w:ascii="Arial" w:eastAsia="Times New Roman" w:hAnsi="Arial" w:cs="Arial"/>
          <w:szCs w:val="28"/>
          <w:lang w:eastAsia="ru-RU"/>
        </w:rPr>
        <w:t xml:space="preserve">Такі норми неодноразово визнавалися як окремими державами, так і самою </w:t>
      </w:r>
      <w:proofErr w:type="gramStart"/>
      <w:r w:rsidRPr="00511005">
        <w:rPr>
          <w:rFonts w:ascii="Arial" w:eastAsia="Times New Roman" w:hAnsi="Arial" w:cs="Arial"/>
          <w:szCs w:val="28"/>
          <w:lang w:eastAsia="ru-RU"/>
        </w:rPr>
        <w:t>Комісією[</w:t>
      </w:r>
      <w:proofErr w:type="gramEnd"/>
      <w:r w:rsidRPr="00511005">
        <w:rPr>
          <w:rFonts w:ascii="Arial" w:eastAsia="Times New Roman" w:hAnsi="Arial" w:cs="Arial"/>
          <w:szCs w:val="28"/>
          <w:lang w:eastAsia="ru-RU"/>
        </w:rPr>
        <w:t xml:space="preserve">2,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 168].</w:t>
      </w:r>
    </w:p>
    <w:p w14:paraId="2ADAD308" w14:textId="71F95684"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ab/>
        <w:t>Згідно зі статтями 29–31 Конвенції 1969 року, члени спеціальної місії мають право на особисту недоторканність, користується імунітетом від кримінальної юрисдикції держави, що приймає, в усіх випадках</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і не можуть бути заарештовані чи затримані в будь-якій формі. Водночас держава, що приймає, зобов’язана забезпечити необхідні заходи для захисту особистої безпеки, свободи та гідності членів місії.</w:t>
      </w:r>
    </w:p>
    <w:p w14:paraId="27DEAE5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Водночас, частина 5 статті 31 Конвенції 1969 року зазначає, що надання імунітету від кримінальної, цивільної, адміністративної та виконавчої юрисдикції не означає повного звільнення від юрисдикції держави, що приймає. Тобто представники спеціальної місії зобов’язані дотримуватись її законів, і до них можуть бути застосовані певні заходи, зокрема оголошення персоною </w:t>
      </w:r>
      <w:r w:rsidRPr="00511005">
        <w:rPr>
          <w:rFonts w:ascii="Arial" w:eastAsia="Times New Roman" w:hAnsi="Arial" w:cs="Arial"/>
          <w:szCs w:val="28"/>
          <w:lang w:eastAsia="ru-RU"/>
        </w:rPr>
        <w:t>non</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grata</w:t>
      </w:r>
      <w:r w:rsidRPr="00511005">
        <w:rPr>
          <w:rFonts w:ascii="Arial" w:eastAsia="Times New Roman" w:hAnsi="Arial" w:cs="Arial"/>
          <w:szCs w:val="28"/>
          <w:lang w:val="uk-UA" w:eastAsia="ru-RU"/>
        </w:rPr>
        <w:t>. Крім того, за дії таких осіб відповідальність може покладатися на державу, яка їх направила, оскільки члени спеціальної місії діють від її імені та вважаються її представниками в контексті міжнародної відповідальності[3, с. 102-108].</w:t>
      </w:r>
    </w:p>
    <w:p w14:paraId="24D3815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Попри привілеї та імунітети представники спеціальної можуть зловживати своїм статусом і уникати відповідальності за свої дії. </w:t>
      </w:r>
      <w:r w:rsidRPr="00511005">
        <w:rPr>
          <w:rFonts w:ascii="Arial" w:eastAsia="Times New Roman" w:hAnsi="Arial" w:cs="Arial"/>
          <w:szCs w:val="28"/>
          <w:lang w:eastAsia="ru-RU"/>
        </w:rPr>
        <w:t>Часто вони використовують імунітет для того, щоб уникнути судового переслідування або притягнення до відповідальності за порушення місцевих законів чи міжнародних норм.</w:t>
      </w:r>
    </w:p>
    <w:p w14:paraId="6116E8B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Яскравим прикладом такого зловживання є ситуація з миротворчою місією ООН в Гаїті. У 2010 році спалахнула епідемія холери, причиною якої стали забруднені стічні води, скинуті миротворцями з Непалу, що входили </w:t>
      </w:r>
      <w:proofErr w:type="gramStart"/>
      <w:r w:rsidRPr="00511005">
        <w:rPr>
          <w:rFonts w:ascii="Arial" w:eastAsia="Times New Roman" w:hAnsi="Arial" w:cs="Arial"/>
          <w:szCs w:val="28"/>
          <w:lang w:eastAsia="ru-RU"/>
        </w:rPr>
        <w:t>до складу</w:t>
      </w:r>
      <w:proofErr w:type="gramEnd"/>
      <w:r w:rsidRPr="00511005">
        <w:rPr>
          <w:rFonts w:ascii="Arial" w:eastAsia="Times New Roman" w:hAnsi="Arial" w:cs="Arial"/>
          <w:szCs w:val="28"/>
          <w:lang w:eastAsia="ru-RU"/>
        </w:rPr>
        <w:t xml:space="preserve"> місії MINUSTAH. Це призвело до численних смертей та захворювань серед місцевого </w:t>
      </w:r>
      <w:proofErr w:type="gramStart"/>
      <w:r w:rsidRPr="00511005">
        <w:rPr>
          <w:rFonts w:ascii="Arial" w:eastAsia="Times New Roman" w:hAnsi="Arial" w:cs="Arial"/>
          <w:szCs w:val="28"/>
          <w:lang w:eastAsia="ru-RU"/>
        </w:rPr>
        <w:t>населення[</w:t>
      </w:r>
      <w:proofErr w:type="gramEnd"/>
      <w:r w:rsidRPr="00511005">
        <w:rPr>
          <w:rFonts w:ascii="Arial" w:eastAsia="Times New Roman" w:hAnsi="Arial" w:cs="Arial"/>
          <w:szCs w:val="28"/>
          <w:lang w:eastAsia="ru-RU"/>
        </w:rPr>
        <w:t>5].</w:t>
      </w:r>
    </w:p>
    <w:p w14:paraId="46EA67B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Попри масштаби трагедії, постраждалі подали колективний позов проти ООН </w:t>
      </w:r>
      <w:proofErr w:type="gramStart"/>
      <w:r w:rsidRPr="00511005">
        <w:rPr>
          <w:rFonts w:ascii="Arial" w:eastAsia="Times New Roman" w:hAnsi="Arial" w:cs="Arial"/>
          <w:szCs w:val="28"/>
          <w:lang w:eastAsia="ru-RU"/>
        </w:rPr>
        <w:t>до суду</w:t>
      </w:r>
      <w:proofErr w:type="gramEnd"/>
      <w:r w:rsidRPr="00511005">
        <w:rPr>
          <w:rFonts w:ascii="Arial" w:eastAsia="Times New Roman" w:hAnsi="Arial" w:cs="Arial"/>
          <w:szCs w:val="28"/>
          <w:lang w:eastAsia="ru-RU"/>
        </w:rPr>
        <w:t xml:space="preserve"> в США, вимагаючи компенсації за завдану шкоду. Однак у січні 2015 року суд відхилив позов, посилаючись на абсолютний імунітет Організації Об'єднаних Націй від цивільних судових справ, що фактично унеможливило притягнення до відповідальності будь-кого з членів місії.</w:t>
      </w:r>
    </w:p>
    <w:p w14:paraId="299A5411" w14:textId="0E38E65B"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Як наслідок</w:t>
      </w:r>
      <w:r w:rsidRPr="00511005">
        <w:rPr>
          <w:rFonts w:ascii="Arial" w:eastAsia="Times New Roman" w:hAnsi="Arial" w:cs="Arial"/>
          <w:szCs w:val="28"/>
          <w:lang w:eastAsia="ru-RU"/>
        </w:rPr>
        <w:t>,</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жодна з родин жертв холери не отримала компенсації, і не було визнано провину ООН. Інцидент також підірвав довіру до ООН, викликавши критику щодо відсутності дієвих механізмів відповідальності та прозорості у діяльності миротворчих місій.</w:t>
      </w:r>
    </w:p>
    <w:p w14:paraId="2097CF9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Отже, спеціальні місії є одним із інструментів дипломатії, який дозволяє державам ефективно реагувати на кризові ситуації та проводити дипломатичні дії навіть без де-юре визнання. Хоча вони схожі на дипломатичні представництва, спеціальні місії мають тимчасовий характер і чітко визначений мандат. Представники місій користуються привілеями та імунітетами, такими як особиста недоторканність і захист від юрисдикції держави, </w:t>
      </w:r>
      <w:r w:rsidRPr="00511005">
        <w:rPr>
          <w:rFonts w:ascii="Arial" w:eastAsia="Times New Roman" w:hAnsi="Arial" w:cs="Arial"/>
          <w:szCs w:val="28"/>
          <w:lang w:val="uk-UA" w:eastAsia="ru-RU"/>
        </w:rPr>
        <w:t>що приймає</w:t>
      </w:r>
      <w:r w:rsidRPr="00511005">
        <w:rPr>
          <w:rFonts w:ascii="Arial" w:eastAsia="Times New Roman" w:hAnsi="Arial" w:cs="Arial"/>
          <w:szCs w:val="28"/>
          <w:lang w:eastAsia="ru-RU"/>
        </w:rPr>
        <w:t>.</w:t>
      </w:r>
    </w:p>
    <w:p w14:paraId="7B02BAC6" w14:textId="2189DD9C"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Однак іноді представники зловживають своїми привілеями, уникати відповідальності за порушення законів чи міжнародних норм, що є</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неправомірним і підриває довіру до міжнародних інститутів. Потрібно удосконалити правові механізми, щоб запобігти зловживанням і забезпечити відповідальність за дії представників спеціальних місій.</w:t>
      </w:r>
    </w:p>
    <w:p w14:paraId="32C43A9D"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2D09561A" w14:textId="3814369E" w:rsidR="00220D3E" w:rsidRPr="00511005" w:rsidRDefault="007B2628" w:rsidP="007B2628">
      <w:pPr>
        <w:tabs>
          <w:tab w:val="left" w:pos="709"/>
        </w:tabs>
        <w:spacing w:line="264" w:lineRule="auto"/>
        <w:jc w:val="center"/>
        <w:rPr>
          <w:rFonts w:ascii="Arial" w:hAnsi="Arial" w:cs="Arial"/>
          <w:b/>
          <w:bCs/>
          <w:szCs w:val="28"/>
          <w:lang w:val="pl-PL" w:eastAsia="ru-RU"/>
        </w:rPr>
      </w:pPr>
      <w:r w:rsidRPr="00511005">
        <w:rPr>
          <w:rFonts w:ascii="Arial" w:hAnsi="Arial" w:cs="Arial"/>
          <w:b/>
          <w:bCs/>
          <w:szCs w:val="28"/>
          <w:lang w:val="uk-UA" w:eastAsia="ru-RU"/>
        </w:rPr>
        <w:t>Список використаних джерел</w:t>
      </w:r>
    </w:p>
    <w:p w14:paraId="5A38FEB5" w14:textId="77777777" w:rsidR="00220D3E" w:rsidRPr="00511005" w:rsidRDefault="00220D3E" w:rsidP="000C392A">
      <w:pPr>
        <w:numPr>
          <w:ilvl w:val="0"/>
          <w:numId w:val="5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rPr>
        <w:t xml:space="preserve">Конвенція про спеціальні </w:t>
      </w:r>
      <w:proofErr w:type="gramStart"/>
      <w:r w:rsidRPr="00511005">
        <w:rPr>
          <w:rFonts w:ascii="Arial" w:eastAsia="Calibri" w:hAnsi="Arial" w:cs="Arial"/>
          <w:szCs w:val="28"/>
        </w:rPr>
        <w:t>місії :</w:t>
      </w:r>
      <w:proofErr w:type="gramEnd"/>
      <w:r w:rsidRPr="00511005">
        <w:rPr>
          <w:rFonts w:ascii="Arial" w:eastAsia="Calibri" w:hAnsi="Arial" w:cs="Arial"/>
          <w:szCs w:val="28"/>
        </w:rPr>
        <w:t xml:space="preserve"> Конвенція Орг. Об'єдн. Націй від </w:t>
      </w:r>
      <w:proofErr w:type="gramStart"/>
      <w:r w:rsidRPr="00511005">
        <w:rPr>
          <w:rFonts w:ascii="Arial" w:eastAsia="Calibri" w:hAnsi="Arial" w:cs="Arial"/>
          <w:szCs w:val="28"/>
        </w:rPr>
        <w:t>08.12.1969 :</w:t>
      </w:r>
      <w:proofErr w:type="gramEnd"/>
      <w:r w:rsidRPr="00511005">
        <w:rPr>
          <w:rFonts w:ascii="Arial" w:eastAsia="Calibri" w:hAnsi="Arial" w:cs="Arial"/>
          <w:szCs w:val="28"/>
        </w:rPr>
        <w:t xml:space="preserve"> станом на 14 лип. 1993 р. URL: </w:t>
      </w:r>
      <w:hyperlink r:id="rId139" w:anchor="Text" w:tgtFrame="_blank" w:history="1">
        <w:r w:rsidRPr="00511005">
          <w:rPr>
            <w:rFonts w:ascii="Arial" w:eastAsia="Calibri" w:hAnsi="Arial" w:cs="Arial"/>
            <w:szCs w:val="28"/>
          </w:rPr>
          <w:t>https://zakon.rada.gov.ua/laws/show/995_092#Text</w:t>
        </w:r>
      </w:hyperlink>
      <w:r w:rsidRPr="00511005">
        <w:rPr>
          <w:rFonts w:ascii="Arial" w:eastAsia="Calibri" w:hAnsi="Arial" w:cs="Arial"/>
          <w:szCs w:val="28"/>
        </w:rPr>
        <w:t> (дата звернення: 10.04.2025).</w:t>
      </w:r>
    </w:p>
    <w:p w14:paraId="579048BC" w14:textId="54F190EE" w:rsidR="00220D3E" w:rsidRPr="00511005" w:rsidRDefault="00220D3E" w:rsidP="000C392A">
      <w:pPr>
        <w:numPr>
          <w:ilvl w:val="0"/>
          <w:numId w:val="57"/>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rPr>
        <w:t xml:space="preserve">Міжнародне </w:t>
      </w:r>
      <w:proofErr w:type="gramStart"/>
      <w:r w:rsidRPr="00511005">
        <w:rPr>
          <w:rFonts w:ascii="Arial" w:eastAsia="Calibri" w:hAnsi="Arial" w:cs="Arial"/>
          <w:szCs w:val="28"/>
        </w:rPr>
        <w:t>право :</w:t>
      </w:r>
      <w:proofErr w:type="gramEnd"/>
      <w:r w:rsidRPr="00511005">
        <w:rPr>
          <w:rFonts w:ascii="Arial" w:eastAsia="Calibri" w:hAnsi="Arial" w:cs="Arial"/>
          <w:szCs w:val="28"/>
        </w:rPr>
        <w:t xml:space="preserve"> навч. посіб. / ред. М. Буроменський. </w:t>
      </w:r>
      <w:proofErr w:type="gramStart"/>
      <w:r w:rsidRPr="00511005">
        <w:rPr>
          <w:rFonts w:ascii="Arial" w:eastAsia="Calibri" w:hAnsi="Arial" w:cs="Arial"/>
          <w:szCs w:val="28"/>
        </w:rPr>
        <w:t>Київ :</w:t>
      </w:r>
      <w:proofErr w:type="gramEnd"/>
      <w:r w:rsidRPr="00511005">
        <w:rPr>
          <w:rFonts w:ascii="Arial" w:eastAsia="Calibri" w:hAnsi="Arial" w:cs="Arial"/>
          <w:szCs w:val="28"/>
        </w:rPr>
        <w:t xml:space="preserve"> Юрінком Інтер, 2006. 336 с.</w:t>
      </w:r>
      <w:r w:rsidR="007B2628" w:rsidRPr="00511005">
        <w:rPr>
          <w:rFonts w:ascii="Arial" w:eastAsia="Calibri" w:hAnsi="Arial" w:cs="Arial"/>
          <w:szCs w:val="28"/>
        </w:rPr>
        <w:t xml:space="preserve"> </w:t>
      </w:r>
    </w:p>
    <w:p w14:paraId="55432C1D" w14:textId="41FE5978" w:rsidR="00220D3E" w:rsidRPr="00511005" w:rsidRDefault="00220D3E" w:rsidP="000C392A">
      <w:pPr>
        <w:numPr>
          <w:ilvl w:val="0"/>
          <w:numId w:val="57"/>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rPr>
        <w:t>Гріненко О. Місії ad hoc в сучасному праві Європейського Союзу. </w:t>
      </w:r>
      <w:r w:rsidRPr="00511005">
        <w:rPr>
          <w:rFonts w:ascii="Arial" w:eastAsia="Calibri" w:hAnsi="Arial" w:cs="Arial"/>
          <w:i/>
          <w:iCs/>
          <w:szCs w:val="28"/>
        </w:rPr>
        <w:t>Актуальні проблеми міжнародних відносин</w:t>
      </w:r>
      <w:r w:rsidRPr="00511005">
        <w:rPr>
          <w:rFonts w:ascii="Arial" w:eastAsia="Calibri" w:hAnsi="Arial" w:cs="Arial"/>
          <w:szCs w:val="28"/>
        </w:rPr>
        <w:t xml:space="preserve">. </w:t>
      </w:r>
      <w:r w:rsidRPr="00511005">
        <w:rPr>
          <w:rFonts w:ascii="Arial" w:eastAsia="Calibri" w:hAnsi="Arial" w:cs="Arial"/>
          <w:szCs w:val="28"/>
          <w:lang w:val="en-US"/>
        </w:rPr>
        <w:t xml:space="preserve">2011. № 99. </w:t>
      </w:r>
      <w:r w:rsidRPr="00511005">
        <w:rPr>
          <w:rFonts w:ascii="Arial" w:eastAsia="Calibri" w:hAnsi="Arial" w:cs="Arial"/>
          <w:szCs w:val="28"/>
        </w:rPr>
        <w:t>С</w:t>
      </w:r>
      <w:r w:rsidRPr="00511005">
        <w:rPr>
          <w:rFonts w:ascii="Arial" w:eastAsia="Calibri" w:hAnsi="Arial" w:cs="Arial"/>
          <w:szCs w:val="28"/>
          <w:lang w:val="en-US"/>
        </w:rPr>
        <w:t>. 102–108.</w:t>
      </w:r>
      <w:r w:rsidR="007B2628" w:rsidRPr="00511005">
        <w:rPr>
          <w:rFonts w:ascii="Arial" w:eastAsia="Calibri" w:hAnsi="Arial" w:cs="Arial"/>
          <w:szCs w:val="28"/>
          <w:lang w:val="en-US"/>
        </w:rPr>
        <w:t xml:space="preserve"> </w:t>
      </w:r>
    </w:p>
    <w:p w14:paraId="0D0029E2" w14:textId="28E87889" w:rsidR="00220D3E" w:rsidRPr="00511005" w:rsidRDefault="00220D3E" w:rsidP="000C392A">
      <w:pPr>
        <w:numPr>
          <w:ilvl w:val="0"/>
          <w:numId w:val="57"/>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Draft Articles on Special Missions with commentaries. </w:t>
      </w:r>
      <w:r w:rsidRPr="00511005">
        <w:rPr>
          <w:rFonts w:ascii="Arial" w:eastAsia="Calibri" w:hAnsi="Arial" w:cs="Arial"/>
          <w:i/>
          <w:iCs/>
          <w:szCs w:val="28"/>
          <w:lang w:val="en-US"/>
        </w:rPr>
        <w:t>Yearbook of the International Law Commission. Report of the Commission to the General Assembly</w:t>
      </w:r>
      <w:r w:rsidRPr="00511005">
        <w:rPr>
          <w:rFonts w:ascii="Arial" w:eastAsia="Calibri" w:hAnsi="Arial" w:cs="Arial"/>
          <w:szCs w:val="28"/>
          <w:lang w:val="en-US"/>
        </w:rPr>
        <w:t>. 2005. No. 2. P. 347–368.</w:t>
      </w:r>
      <w:r w:rsidR="007B2628" w:rsidRPr="00511005">
        <w:rPr>
          <w:rFonts w:ascii="Arial" w:eastAsia="Calibri" w:hAnsi="Arial" w:cs="Arial"/>
          <w:szCs w:val="28"/>
          <w:lang w:val="en-US"/>
        </w:rPr>
        <w:t xml:space="preserve"> </w:t>
      </w:r>
    </w:p>
    <w:p w14:paraId="5A53724E" w14:textId="7589B236" w:rsidR="00220D3E" w:rsidRPr="00511005" w:rsidRDefault="00220D3E" w:rsidP="000C392A">
      <w:pPr>
        <w:numPr>
          <w:ilvl w:val="0"/>
          <w:numId w:val="57"/>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ООН визнала свою провину за спалах епідемії холери на Гаїті. </w:t>
      </w:r>
      <w:r w:rsidRPr="00511005">
        <w:rPr>
          <w:rFonts w:ascii="Arial" w:eastAsia="Calibri" w:hAnsi="Arial" w:cs="Arial"/>
          <w:i/>
          <w:iCs/>
          <w:szCs w:val="28"/>
        </w:rPr>
        <w:t>Кореспондент.net</w:t>
      </w:r>
      <w:r w:rsidRPr="00511005">
        <w:rPr>
          <w:rFonts w:ascii="Arial" w:eastAsia="Calibri" w:hAnsi="Arial" w:cs="Arial"/>
          <w:szCs w:val="28"/>
        </w:rPr>
        <w:t>. URL: </w:t>
      </w:r>
      <w:hyperlink r:id="rId140" w:tgtFrame="_blank" w:history="1">
        <w:r w:rsidRPr="00511005">
          <w:rPr>
            <w:rFonts w:ascii="Arial" w:eastAsia="Calibri" w:hAnsi="Arial" w:cs="Arial"/>
            <w:szCs w:val="28"/>
          </w:rPr>
          <w:t>https://ua.korrespondent.net/world/3733834-oon-vyznala-svoui-provynu-za-spalakh-epidemii-kholery-na-haiti</w:t>
        </w:r>
      </w:hyperlink>
      <w:r w:rsidRPr="00511005">
        <w:rPr>
          <w:rFonts w:ascii="Arial" w:eastAsia="Calibri" w:hAnsi="Arial" w:cs="Arial"/>
          <w:szCs w:val="28"/>
        </w:rPr>
        <w:t> (дата звернення: 10.04.2025).</w:t>
      </w:r>
      <w:r w:rsidR="007B2628" w:rsidRPr="00511005">
        <w:rPr>
          <w:rFonts w:ascii="Arial" w:eastAsia="Calibri" w:hAnsi="Arial" w:cs="Arial"/>
          <w:szCs w:val="28"/>
          <w:lang w:val="uk-UA"/>
        </w:rPr>
        <w:t xml:space="preserve"> </w:t>
      </w:r>
    </w:p>
    <w:p w14:paraId="4E5504CF" w14:textId="2C7EC442" w:rsidR="00220D3E" w:rsidRPr="00511005" w:rsidRDefault="00220D3E" w:rsidP="000C392A">
      <w:pPr>
        <w:numPr>
          <w:ilvl w:val="0"/>
          <w:numId w:val="57"/>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lang w:val="en-US"/>
        </w:rPr>
        <w:t>Special Missions - Working Paper prepared by the Secretariat. </w:t>
      </w:r>
      <w:r w:rsidRPr="00511005">
        <w:rPr>
          <w:rFonts w:ascii="Arial" w:eastAsia="Calibri" w:hAnsi="Arial" w:cs="Arial"/>
          <w:i/>
          <w:iCs/>
          <w:szCs w:val="28"/>
          <w:lang w:val="en-US"/>
        </w:rPr>
        <w:t>United Nations - Office of Legal Affairs</w:t>
      </w:r>
      <w:r w:rsidRPr="00511005">
        <w:rPr>
          <w:rFonts w:ascii="Arial" w:eastAsia="Calibri" w:hAnsi="Arial" w:cs="Arial"/>
          <w:szCs w:val="28"/>
          <w:lang w:val="en-US"/>
        </w:rPr>
        <w:t xml:space="preserve">. </w:t>
      </w:r>
      <w:r w:rsidRPr="00511005">
        <w:rPr>
          <w:rFonts w:ascii="Arial" w:eastAsia="Calibri" w:hAnsi="Arial" w:cs="Arial"/>
          <w:szCs w:val="28"/>
        </w:rPr>
        <w:lastRenderedPageBreak/>
        <w:t>URL: </w:t>
      </w:r>
      <w:hyperlink r:id="rId141" w:tgtFrame="_blank" w:history="1">
        <w:r w:rsidRPr="00511005">
          <w:rPr>
            <w:rFonts w:ascii="Arial" w:eastAsia="Calibri" w:hAnsi="Arial" w:cs="Arial"/>
            <w:szCs w:val="28"/>
          </w:rPr>
          <w:t>https://legal.un.org/ilc/documentation/english/a_cn4_155.pdf</w:t>
        </w:r>
      </w:hyperlink>
      <w:r w:rsidRPr="00511005">
        <w:rPr>
          <w:rFonts w:ascii="Arial" w:eastAsia="Calibri" w:hAnsi="Arial" w:cs="Arial"/>
          <w:szCs w:val="28"/>
        </w:rPr>
        <w:t> (дата звернення: 08.04.2025).</w:t>
      </w:r>
      <w:r w:rsidR="007B2628" w:rsidRPr="00511005">
        <w:rPr>
          <w:rFonts w:ascii="Arial" w:eastAsia="Calibri" w:hAnsi="Arial" w:cs="Arial"/>
          <w:szCs w:val="28"/>
          <w:lang w:val="uk-UA"/>
        </w:rPr>
        <w:t xml:space="preserve"> </w:t>
      </w:r>
    </w:p>
    <w:p w14:paraId="2EA6574F" w14:textId="77777777" w:rsidR="00220D3E" w:rsidRPr="00511005" w:rsidRDefault="00220D3E" w:rsidP="003A292D">
      <w:pPr>
        <w:tabs>
          <w:tab w:val="left" w:pos="709"/>
        </w:tabs>
        <w:spacing w:line="264" w:lineRule="auto"/>
        <w:contextualSpacing/>
        <w:rPr>
          <w:rFonts w:ascii="Arial" w:eastAsia="Calibri" w:hAnsi="Arial" w:cs="Arial"/>
          <w:szCs w:val="28"/>
        </w:rPr>
      </w:pPr>
    </w:p>
    <w:p w14:paraId="3E7050EF" w14:textId="51851FA5"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спеціальні місії, привілеї та імунітети, міжнародне право, Віденська конвенція про спеціальні місії 1969 року, дипломатія, зловживання імунітетами, кризові ситуації.</w:t>
      </w:r>
    </w:p>
    <w:p w14:paraId="75DDB57D" w14:textId="068F2065"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special missions, privileges and immunities, international law, Vienna Convention on Special Missions 1969, diplomacy, abuse of immunities, crisis situations.</w:t>
      </w:r>
    </w:p>
    <w:p w14:paraId="5588865A" w14:textId="509CD01C" w:rsidR="00220D3E" w:rsidRPr="00511005" w:rsidRDefault="007B2628" w:rsidP="003A292D">
      <w:pPr>
        <w:tabs>
          <w:tab w:val="left" w:pos="709"/>
        </w:tabs>
        <w:spacing w:line="264" w:lineRule="auto"/>
        <w:jc w:val="left"/>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val="uk-UA" w:eastAsia="ru-RU"/>
        </w:rPr>
        <w:t xml:space="preserve">к.ю.н., доцент </w:t>
      </w:r>
      <w:r w:rsidR="00220D3E" w:rsidRPr="00511005">
        <w:rPr>
          <w:rFonts w:ascii="Arial" w:eastAsia="Times New Roman" w:hAnsi="Arial" w:cs="Arial"/>
          <w:i/>
          <w:iCs/>
          <w:szCs w:val="28"/>
          <w:lang w:val="uk-UA" w:eastAsia="ru-RU"/>
        </w:rPr>
        <w:t xml:space="preserve">Бєлогубова </w:t>
      </w:r>
      <w:r w:rsidR="00220D3E" w:rsidRPr="00511005">
        <w:rPr>
          <w:rFonts w:ascii="Arial" w:eastAsia="Times New Roman" w:hAnsi="Arial" w:cs="Arial"/>
          <w:i/>
          <w:iCs/>
          <w:szCs w:val="28"/>
          <w:lang w:eastAsia="ru-RU"/>
        </w:rPr>
        <w:t>О</w:t>
      </w:r>
      <w:r w:rsidR="00220D3E" w:rsidRPr="00511005">
        <w:rPr>
          <w:rFonts w:ascii="Arial" w:eastAsia="Times New Roman" w:hAnsi="Arial" w:cs="Arial"/>
          <w:i/>
          <w:iCs/>
          <w:szCs w:val="28"/>
          <w:lang w:val="uk-UA" w:eastAsia="ru-RU"/>
        </w:rPr>
        <w:t xml:space="preserve">. </w:t>
      </w:r>
      <w:r w:rsidR="00220D3E" w:rsidRPr="00511005">
        <w:rPr>
          <w:rFonts w:ascii="Arial" w:eastAsia="Times New Roman" w:hAnsi="Arial" w:cs="Arial"/>
          <w:i/>
          <w:iCs/>
          <w:szCs w:val="28"/>
          <w:lang w:eastAsia="ru-RU"/>
        </w:rPr>
        <w:t>О</w:t>
      </w:r>
      <w:r w:rsidR="00220D3E" w:rsidRPr="00511005">
        <w:rPr>
          <w:rFonts w:ascii="Arial" w:eastAsia="Times New Roman" w:hAnsi="Arial" w:cs="Arial"/>
          <w:i/>
          <w:iCs/>
          <w:szCs w:val="28"/>
          <w:lang w:val="uk-UA" w:eastAsia="ru-RU"/>
        </w:rPr>
        <w:t>.</w:t>
      </w:r>
    </w:p>
    <w:p w14:paraId="719713F8"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p>
    <w:p w14:paraId="4BE5F2CD"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Андрусів Володимир Михайлович</w:t>
      </w:r>
    </w:p>
    <w:p w14:paraId="4FA076EB" w14:textId="42DE1A16"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 2-го курсу </w:t>
      </w:r>
      <w:r w:rsidR="001B7B25" w:rsidRPr="00511005">
        <w:rPr>
          <w:rFonts w:ascii="Arial" w:eastAsia="Times New Roman" w:hAnsi="Arial" w:cs="Arial"/>
          <w:szCs w:val="28"/>
          <w:lang w:val="uk-UA" w:eastAsia="ru-RU"/>
        </w:rPr>
        <w:t>факультету судового та міжнародного права</w:t>
      </w:r>
    </w:p>
    <w:p w14:paraId="59FEE40B" w14:textId="502A180D"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227F6F90"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0DE79A91"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КОЛІЗІЙНІ ПИТАННЯ УСИНОВЛЕННЯ В МІЖНАРОДНОМУ ПРИВАТНОМУ ПРАВІ</w:t>
      </w:r>
    </w:p>
    <w:p w14:paraId="0921697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сучасних умовах глобалізації значно зросла мобільність населення, що, сво</w:t>
      </w:r>
      <w:r w:rsidRPr="00511005">
        <w:rPr>
          <w:rFonts w:ascii="Arial" w:eastAsia="Times New Roman" w:hAnsi="Arial" w:cs="Arial"/>
          <w:szCs w:val="28"/>
          <w:lang w:val="uk-UA" w:eastAsia="ru-RU"/>
        </w:rPr>
        <w:t xml:space="preserve">єю </w:t>
      </w:r>
      <w:r w:rsidRPr="00511005">
        <w:rPr>
          <w:rFonts w:ascii="Arial" w:eastAsia="Times New Roman" w:hAnsi="Arial" w:cs="Arial"/>
          <w:szCs w:val="28"/>
          <w:lang w:eastAsia="ru-RU"/>
        </w:rPr>
        <w:t>черг</w:t>
      </w:r>
      <w:r w:rsidRPr="00511005">
        <w:rPr>
          <w:rFonts w:ascii="Arial" w:eastAsia="Times New Roman" w:hAnsi="Arial" w:cs="Arial"/>
          <w:szCs w:val="28"/>
          <w:lang w:val="uk-UA" w:eastAsia="ru-RU"/>
        </w:rPr>
        <w:t>ою</w:t>
      </w:r>
      <w:r w:rsidRPr="00511005">
        <w:rPr>
          <w:rFonts w:ascii="Arial" w:eastAsia="Times New Roman" w:hAnsi="Arial" w:cs="Arial"/>
          <w:szCs w:val="28"/>
          <w:lang w:eastAsia="ru-RU"/>
        </w:rPr>
        <w:t xml:space="preserve">, вплинуло і на правові відносини, пов’язані з усиновленням. Люди все частіше змінюють країни проживання, укладають шлюби з іноземцями, створюють транснаціональні родини, а отже, і питання усиновлення перестають бути внутрішніми справами держав. Зростає кількість випадків, коли дитина є громадянином однієї країни, а особа, яка бажає її усиновити — іншої. </w:t>
      </w:r>
    </w:p>
    <w:p w14:paraId="61D6F9C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результаті таких транснаціональних процесів інститут усиновлення поступово набуває міжнародного характеру, виходячи за рамки виключно національного правового поля.</w:t>
      </w:r>
    </w:p>
    <w:p w14:paraId="0F3A20F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зв’язку з цим особливої ваги набувають колізійні норми, які визначають, законодавство якої країни підлягає застосуванню в конкретних справах, пов’язаних з міжнародним усиновленням. Проте реалізація цих норм на практиці часто супроводжується низкою ускладнень.</w:t>
      </w:r>
    </w:p>
    <w:p w14:paraId="440E6D8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Для глибшого розуміння сутності цих проблем доцільно передусім звернутися до аналізу самого поняття усиновлення, його правової природи та особливостей у контексті міжнародного приватного права. Якщо звернутися до визначення поняття </w:t>
      </w:r>
      <w:r w:rsidRPr="00511005">
        <w:rPr>
          <w:rFonts w:ascii="Arial" w:eastAsia="Times New Roman" w:hAnsi="Arial" w:cs="Arial"/>
          <w:bCs/>
          <w:szCs w:val="28"/>
          <w:lang w:eastAsia="ru-RU"/>
        </w:rPr>
        <w:t>«усиновлення»</w:t>
      </w:r>
      <w:r w:rsidRPr="00511005">
        <w:rPr>
          <w:rFonts w:ascii="Arial" w:eastAsia="Times New Roman" w:hAnsi="Arial" w:cs="Arial"/>
          <w:szCs w:val="28"/>
          <w:lang w:eastAsia="ru-RU"/>
        </w:rPr>
        <w:t xml:space="preserve">, закріпленого в українському законодавстві, то згідно зі статтею 207 Сімейного кодексу України (далі – СК України), усиновленням визнається прийняття особи усиновлювачем до своєї сім’ї на правах рідної дитини, що відбувається на підставі судового </w:t>
      </w:r>
      <w:proofErr w:type="gramStart"/>
      <w:r w:rsidRPr="00511005">
        <w:rPr>
          <w:rFonts w:ascii="Arial" w:eastAsia="Times New Roman" w:hAnsi="Arial" w:cs="Arial"/>
          <w:szCs w:val="28"/>
          <w:lang w:eastAsia="ru-RU"/>
        </w:rPr>
        <w:t>рішення[</w:t>
      </w:r>
      <w:proofErr w:type="gramEnd"/>
      <w:r w:rsidRPr="00511005">
        <w:rPr>
          <w:rFonts w:ascii="Arial" w:eastAsia="Times New Roman" w:hAnsi="Arial" w:cs="Arial"/>
          <w:szCs w:val="28"/>
          <w:lang w:val="uk-UA" w:eastAsia="ru-RU"/>
        </w:rPr>
        <w:t>6</w:t>
      </w:r>
      <w:r w:rsidRPr="00511005">
        <w:rPr>
          <w:rFonts w:ascii="Arial" w:eastAsia="Times New Roman" w:hAnsi="Arial" w:cs="Arial"/>
          <w:szCs w:val="28"/>
          <w:lang w:eastAsia="ru-RU"/>
        </w:rPr>
        <w:t xml:space="preserve">]. </w:t>
      </w:r>
    </w:p>
    <w:p w14:paraId="788BD14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випадку міжнародного усиновлення виявляються зацікавленими особи, які є громадянами різних країн або проживають на території різних держав. Тому важливою характеристикою таких відносин є обов’язкова </w:t>
      </w:r>
      <w:r w:rsidRPr="00511005">
        <w:rPr>
          <w:rFonts w:ascii="Arial" w:eastAsia="Times New Roman" w:hAnsi="Arial" w:cs="Arial"/>
          <w:szCs w:val="28"/>
          <w:lang w:eastAsia="ru-RU"/>
        </w:rPr>
        <w:lastRenderedPageBreak/>
        <w:t xml:space="preserve">присутність іноземного елемента, </w:t>
      </w:r>
      <w:r w:rsidRPr="00511005">
        <w:rPr>
          <w:rFonts w:ascii="Arial" w:eastAsia="Times New Roman" w:hAnsi="Arial" w:cs="Arial"/>
          <w:szCs w:val="28"/>
          <w:lang w:val="uk-UA" w:eastAsia="ru-RU"/>
        </w:rPr>
        <w:t xml:space="preserve">що </w:t>
      </w:r>
      <w:r w:rsidRPr="00511005">
        <w:rPr>
          <w:rFonts w:ascii="Arial" w:eastAsia="Times New Roman" w:hAnsi="Arial" w:cs="Arial"/>
          <w:szCs w:val="28"/>
          <w:lang w:eastAsia="ru-RU"/>
        </w:rPr>
        <w:t>спричиняє колізії, оскільки правові системи різних країн можуть містити суперечності щодо процедур усиновлення.</w:t>
      </w:r>
    </w:p>
    <w:p w14:paraId="26E9058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Відповідно до частини 1 статті 69 Закону України «Про міжнародне приватне право», усиновлення та його скасування регулюються особистим законом як дитини, так і </w:t>
      </w:r>
      <w:proofErr w:type="gramStart"/>
      <w:r w:rsidRPr="00511005">
        <w:rPr>
          <w:rFonts w:ascii="Arial" w:eastAsia="Times New Roman" w:hAnsi="Arial" w:cs="Arial"/>
          <w:szCs w:val="28"/>
          <w:lang w:eastAsia="ru-RU"/>
        </w:rPr>
        <w:t>усиновлювача[</w:t>
      </w:r>
      <w:proofErr w:type="gramEnd"/>
      <w:r w:rsidRPr="00511005">
        <w:rPr>
          <w:rFonts w:ascii="Arial" w:eastAsia="Times New Roman" w:hAnsi="Arial" w:cs="Arial"/>
          <w:szCs w:val="28"/>
          <w:lang w:val="uk-UA" w:eastAsia="ru-RU"/>
        </w:rPr>
        <w:t>3</w:t>
      </w:r>
      <w:r w:rsidRPr="00511005">
        <w:rPr>
          <w:rFonts w:ascii="Arial" w:eastAsia="Times New Roman" w:hAnsi="Arial" w:cs="Arial"/>
          <w:szCs w:val="28"/>
          <w:lang w:eastAsia="ru-RU"/>
        </w:rPr>
        <w:t xml:space="preserve">]. Це положення є частиною колізійної норми, яка встановлює відсилання </w:t>
      </w:r>
      <w:proofErr w:type="gramStart"/>
      <w:r w:rsidRPr="00511005">
        <w:rPr>
          <w:rFonts w:ascii="Arial" w:eastAsia="Times New Roman" w:hAnsi="Arial" w:cs="Arial"/>
          <w:szCs w:val="28"/>
          <w:lang w:eastAsia="ru-RU"/>
        </w:rPr>
        <w:t>до закону</w:t>
      </w:r>
      <w:proofErr w:type="gramEnd"/>
      <w:r w:rsidRPr="00511005">
        <w:rPr>
          <w:rFonts w:ascii="Arial" w:eastAsia="Times New Roman" w:hAnsi="Arial" w:cs="Arial"/>
          <w:szCs w:val="28"/>
          <w:lang w:eastAsia="ru-RU"/>
        </w:rPr>
        <w:t xml:space="preserve"> відповідної держави, що підлягає застосуванню, і називається прив’язкою. Отже, усиновлення регулюється через застосування особистого закону, або </w:t>
      </w:r>
      <w:r w:rsidRPr="00511005">
        <w:rPr>
          <w:rFonts w:ascii="Arial" w:eastAsia="Times New Roman" w:hAnsi="Arial" w:cs="Arial"/>
          <w:i/>
          <w:szCs w:val="28"/>
          <w:lang w:eastAsia="ru-RU"/>
        </w:rPr>
        <w:t>lex personalis</w:t>
      </w:r>
      <w:r w:rsidRPr="00511005">
        <w:rPr>
          <w:rFonts w:ascii="Arial" w:eastAsia="Times New Roman" w:hAnsi="Arial" w:cs="Arial"/>
          <w:szCs w:val="28"/>
          <w:lang w:eastAsia="ru-RU"/>
        </w:rPr>
        <w:t>.</w:t>
      </w:r>
    </w:p>
    <w:p w14:paraId="54852F5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Колізійні норми окремих держав, що регулюють питання міжнародного усиновлення, визначають прив’язки до </w:t>
      </w:r>
      <w:r w:rsidRPr="00511005">
        <w:rPr>
          <w:rFonts w:ascii="Arial" w:eastAsia="Times New Roman" w:hAnsi="Arial" w:cs="Arial"/>
          <w:i/>
          <w:szCs w:val="28"/>
          <w:lang w:eastAsia="ru-RU"/>
        </w:rPr>
        <w:t>lex personalis</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усиновлювача (закону громадянства або місця його проживання), в поєднанні з законом усиновлюваної особи або третіх осіб, від яких залежить надання згоди на усиновлення. Іноді застосовується також </w:t>
      </w:r>
      <w:r w:rsidRPr="00511005">
        <w:rPr>
          <w:rFonts w:ascii="Arial" w:eastAsia="Times New Roman" w:hAnsi="Arial" w:cs="Arial"/>
          <w:i/>
          <w:szCs w:val="28"/>
          <w:lang w:eastAsia="ru-RU"/>
        </w:rPr>
        <w:t>lex fori</w:t>
      </w:r>
      <w:r w:rsidRPr="00511005">
        <w:rPr>
          <w:rFonts w:ascii="Arial" w:eastAsia="Times New Roman" w:hAnsi="Arial" w:cs="Arial"/>
          <w:i/>
          <w:szCs w:val="28"/>
          <w:lang w:val="uk-UA" w:eastAsia="ru-RU"/>
        </w:rPr>
        <w:t xml:space="preserve"> </w:t>
      </w:r>
      <w:r w:rsidRPr="00511005">
        <w:rPr>
          <w:rFonts w:ascii="Arial" w:eastAsia="Times New Roman" w:hAnsi="Arial" w:cs="Arial"/>
          <w:szCs w:val="28"/>
          <w:lang w:val="uk-UA" w:eastAsia="ru-RU"/>
        </w:rPr>
        <w:t>(право суду)</w:t>
      </w:r>
      <w:r w:rsidRPr="00511005">
        <w:rPr>
          <w:rFonts w:ascii="Arial" w:eastAsia="Times New Roman" w:hAnsi="Arial" w:cs="Arial"/>
          <w:szCs w:val="28"/>
          <w:lang w:eastAsia="ru-RU"/>
        </w:rPr>
        <w:t>, в</w:t>
      </w:r>
      <w:r w:rsidRPr="00511005">
        <w:rPr>
          <w:rFonts w:ascii="Arial" w:eastAsia="Times New Roman" w:hAnsi="Arial" w:cs="Arial"/>
          <w:szCs w:val="28"/>
          <w:lang w:val="uk-UA" w:eastAsia="ru-RU"/>
        </w:rPr>
        <w:t xml:space="preserve">ідповідно до якого </w:t>
      </w:r>
      <w:r w:rsidRPr="00511005">
        <w:rPr>
          <w:rFonts w:ascii="Arial" w:eastAsia="Times New Roman" w:hAnsi="Arial" w:cs="Arial"/>
          <w:szCs w:val="28"/>
          <w:lang w:eastAsia="ru-RU"/>
        </w:rPr>
        <w:t xml:space="preserve">суд може кваліфікувати іноземне право за поняттями власної правової системи. В деяких країнах, таких як Бельгія та Велика Британія, порядок усиновлення визначається </w:t>
      </w:r>
      <w:r w:rsidRPr="00511005">
        <w:rPr>
          <w:rFonts w:ascii="Arial" w:eastAsia="Times New Roman" w:hAnsi="Arial" w:cs="Arial"/>
          <w:szCs w:val="28"/>
          <w:lang w:val="uk-UA" w:eastAsia="ru-RU"/>
        </w:rPr>
        <w:t xml:space="preserve">залежно </w:t>
      </w:r>
      <w:r w:rsidRPr="00511005">
        <w:rPr>
          <w:rFonts w:ascii="Arial" w:eastAsia="Times New Roman" w:hAnsi="Arial" w:cs="Arial"/>
          <w:szCs w:val="28"/>
          <w:lang w:eastAsia="ru-RU"/>
        </w:rPr>
        <w:t xml:space="preserve">від того, яке законодавство найкраще відповідає інтересам дитини. Це може означати, що держава або застосовує норми іншої країни, або керується своїм правом чи міжнародними угодами. Для усиновлення потрібно враховувати норми щонайменше двох </w:t>
      </w:r>
      <w:proofErr w:type="gramStart"/>
      <w:r w:rsidRPr="00511005">
        <w:rPr>
          <w:rFonts w:ascii="Arial" w:eastAsia="Times New Roman" w:hAnsi="Arial" w:cs="Arial"/>
          <w:szCs w:val="28"/>
          <w:lang w:eastAsia="ru-RU"/>
        </w:rPr>
        <w:t>держав[</w:t>
      </w:r>
      <w:proofErr w:type="gramEnd"/>
      <w:r w:rsidRPr="00511005">
        <w:rPr>
          <w:rFonts w:ascii="Arial" w:eastAsia="Times New Roman" w:hAnsi="Arial" w:cs="Arial"/>
          <w:szCs w:val="28"/>
          <w:lang w:val="uk-UA" w:eastAsia="ru-RU"/>
        </w:rPr>
        <w:t>7</w:t>
      </w:r>
      <w:r w:rsidRPr="00511005">
        <w:rPr>
          <w:rFonts w:ascii="Arial" w:eastAsia="Times New Roman" w:hAnsi="Arial" w:cs="Arial"/>
          <w:szCs w:val="28"/>
          <w:lang w:eastAsia="ru-RU"/>
        </w:rPr>
        <w:t>, c. 426].</w:t>
      </w:r>
    </w:p>
    <w:p w14:paraId="14769BD0" w14:textId="7A54D1B1"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Крім статті 69 Закону України «Про міжнародне приватне право», питання усиновлення з іноземним елементом регулює розділ 7 СК Укр</w:t>
      </w:r>
      <w:r w:rsidRPr="00511005">
        <w:rPr>
          <w:rFonts w:ascii="Arial" w:eastAsia="Times New Roman" w:hAnsi="Arial" w:cs="Arial"/>
          <w:szCs w:val="28"/>
          <w:lang w:val="uk-UA" w:eastAsia="ru-RU"/>
        </w:rPr>
        <w:t>а</w:t>
      </w:r>
      <w:r w:rsidRPr="00511005">
        <w:rPr>
          <w:rFonts w:ascii="Arial" w:eastAsia="Times New Roman" w:hAnsi="Arial" w:cs="Arial"/>
          <w:szCs w:val="28"/>
          <w:lang w:eastAsia="ru-RU"/>
        </w:rPr>
        <w:t xml:space="preserve">їни під назвою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Особливості </w:t>
      </w:r>
      <w:r w:rsidRPr="00511005">
        <w:rPr>
          <w:rFonts w:ascii="Arial" w:eastAsia="Times New Roman" w:hAnsi="Arial" w:cs="Arial"/>
          <w:szCs w:val="28"/>
          <w:lang w:val="uk-UA" w:eastAsia="ru-RU"/>
        </w:rPr>
        <w:t>у</w:t>
      </w:r>
      <w:r w:rsidRPr="00511005">
        <w:rPr>
          <w:rFonts w:ascii="Arial" w:eastAsia="Times New Roman" w:hAnsi="Arial" w:cs="Arial"/>
          <w:szCs w:val="28"/>
          <w:lang w:eastAsia="ru-RU"/>
        </w:rPr>
        <w:t xml:space="preserve">синовлення дітей громадянами </w:t>
      </w:r>
      <w:r w:rsidRPr="00511005">
        <w:rPr>
          <w:rFonts w:ascii="Arial" w:eastAsia="Times New Roman" w:hAnsi="Arial" w:cs="Arial"/>
          <w:szCs w:val="28"/>
          <w:lang w:val="uk-UA" w:eastAsia="ru-RU"/>
        </w:rPr>
        <w:t>У</w:t>
      </w:r>
      <w:r w:rsidRPr="00511005">
        <w:rPr>
          <w:rFonts w:ascii="Arial" w:eastAsia="Times New Roman" w:hAnsi="Arial" w:cs="Arial"/>
          <w:szCs w:val="28"/>
          <w:lang w:eastAsia="ru-RU"/>
        </w:rPr>
        <w:t>країни, які проживають за її межами, та іноземцями</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Наприклад</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відповідно до статті 282 СК України</w:t>
      </w:r>
      <w:r w:rsidRPr="00511005">
        <w:rPr>
          <w:rFonts w:ascii="Arial" w:eastAsia="Times New Roman" w:hAnsi="Arial" w:cs="Arial"/>
          <w:szCs w:val="28"/>
          <w:lang w:eastAsia="ru-RU"/>
        </w:rPr>
        <w:t>,</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у</w:t>
      </w:r>
      <w:r w:rsidRPr="00511005">
        <w:rPr>
          <w:rFonts w:ascii="Arial" w:eastAsia="Times New Roman" w:hAnsi="Arial" w:cs="Arial"/>
          <w:szCs w:val="28"/>
          <w:lang w:eastAsia="ru-RU"/>
        </w:rPr>
        <w:t>синовлення дитини, яка є громадянином України, але проживає за кордоном, здійснюється через консульську установу або дипломатичне представництво України[</w:t>
      </w:r>
      <w:r w:rsidRPr="00511005">
        <w:rPr>
          <w:rFonts w:ascii="Arial" w:eastAsia="Times New Roman" w:hAnsi="Arial" w:cs="Arial"/>
          <w:szCs w:val="28"/>
          <w:lang w:val="uk-UA" w:eastAsia="ru-RU"/>
        </w:rPr>
        <w:t>6</w:t>
      </w:r>
      <w:r w:rsidRPr="00511005">
        <w:rPr>
          <w:rFonts w:ascii="Arial" w:eastAsia="Times New Roman" w:hAnsi="Arial" w:cs="Arial"/>
          <w:szCs w:val="28"/>
          <w:lang w:eastAsia="ru-RU"/>
        </w:rPr>
        <w:t>].</w:t>
      </w:r>
    </w:p>
    <w:p w14:paraId="254447A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Статею 282 СК України також зазначаться, що якщо усиновлювач не є громадянином України, для усиновлення дитини, яка має українське громадянство, необхідно отримати дозвіл від центрального органу виконавчої влади, який відповідає за реалізацію державної політики в галузі усиновлення та захисту прав дітей.</w:t>
      </w:r>
    </w:p>
    <w:p w14:paraId="477E1B1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Процедура усиновлення дитини з України іноземними громадянами передбачає попередню повинність зібрання всіх необхідних документів в країні свого проживання, звернувшись до органу, що відповідає за організацію процесу усиновлення. </w:t>
      </w:r>
      <w:r w:rsidRPr="00511005">
        <w:rPr>
          <w:rFonts w:ascii="Arial" w:eastAsia="Times New Roman" w:hAnsi="Arial" w:cs="Arial"/>
          <w:szCs w:val="28"/>
          <w:lang w:eastAsia="ru-RU"/>
        </w:rPr>
        <w:t xml:space="preserve">Це можуть бути як центральні органи виконавчої влади, так і спеціально уповноважені установи. Наприклад, в США, </w:t>
      </w:r>
      <w:proofErr w:type="gramStart"/>
      <w:r w:rsidRPr="00511005">
        <w:rPr>
          <w:rFonts w:ascii="Arial" w:eastAsia="Times New Roman" w:hAnsi="Arial" w:cs="Arial"/>
          <w:szCs w:val="28"/>
          <w:lang w:eastAsia="ru-RU"/>
        </w:rPr>
        <w:t>через велику</w:t>
      </w:r>
      <w:proofErr w:type="gramEnd"/>
      <w:r w:rsidRPr="00511005">
        <w:rPr>
          <w:rFonts w:ascii="Arial" w:eastAsia="Times New Roman" w:hAnsi="Arial" w:cs="Arial"/>
          <w:szCs w:val="28"/>
          <w:lang w:eastAsia="ru-RU"/>
        </w:rPr>
        <w:t xml:space="preserve"> кількість штатів, існування єдиного органу для таких питань є практично неможливим.</w:t>
      </w:r>
    </w:p>
    <w:p w14:paraId="4BE18B5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Згідно з</w:t>
      </w:r>
      <w:r w:rsidRPr="00511005">
        <w:rPr>
          <w:rFonts w:ascii="Arial" w:eastAsia="Times New Roman" w:hAnsi="Arial" w:cs="Arial"/>
          <w:szCs w:val="28"/>
          <w:lang w:val="uk-UA" w:eastAsia="ru-RU"/>
        </w:rPr>
        <w:t>і</w:t>
      </w:r>
      <w:r w:rsidRPr="00511005">
        <w:rPr>
          <w:rFonts w:ascii="Arial" w:eastAsia="Times New Roman" w:hAnsi="Arial" w:cs="Arial"/>
          <w:szCs w:val="28"/>
          <w:lang w:eastAsia="ru-RU"/>
        </w:rPr>
        <w:t xml:space="preserve"> статтею 24 Закону України «Про охорону дитинства», усиновлення дитини, що є громадянином України, іноземними особами </w:t>
      </w:r>
      <w:r w:rsidRPr="00511005">
        <w:rPr>
          <w:rFonts w:ascii="Arial" w:eastAsia="Times New Roman" w:hAnsi="Arial" w:cs="Arial"/>
          <w:szCs w:val="28"/>
          <w:lang w:eastAsia="ru-RU"/>
        </w:rPr>
        <w:lastRenderedPageBreak/>
        <w:t xml:space="preserve">дозволяється лише після вичерпання всіх можливих варіантів щодо передачі дитини під опіку, піклування, усиновлення або виховання в родинах громадян </w:t>
      </w:r>
      <w:proofErr w:type="gramStart"/>
      <w:r w:rsidRPr="00511005">
        <w:rPr>
          <w:rFonts w:ascii="Arial" w:eastAsia="Times New Roman" w:hAnsi="Arial" w:cs="Arial"/>
          <w:szCs w:val="28"/>
          <w:lang w:eastAsia="ru-RU"/>
        </w:rPr>
        <w:t>України[</w:t>
      </w:r>
      <w:proofErr w:type="gramEnd"/>
      <w:r w:rsidRPr="00511005">
        <w:rPr>
          <w:rFonts w:ascii="Arial" w:eastAsia="Times New Roman" w:hAnsi="Arial" w:cs="Arial"/>
          <w:szCs w:val="28"/>
          <w:lang w:val="uk-UA" w:eastAsia="ru-RU"/>
        </w:rPr>
        <w:t>4</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Тобто </w:t>
      </w:r>
      <w:r w:rsidRPr="00511005">
        <w:rPr>
          <w:rFonts w:ascii="Arial" w:eastAsia="Times New Roman" w:hAnsi="Arial" w:cs="Arial"/>
          <w:szCs w:val="28"/>
          <w:lang w:eastAsia="ru-RU"/>
        </w:rPr>
        <w:t>перед тим, як іноземці можуть бути допущені до процесу усиновлення, має бути вжито всіх заходів для пошуку родини в Україні, яка готова забезпечити дитині належні умови для виховання чи опіки.</w:t>
      </w:r>
    </w:p>
    <w:p w14:paraId="26AB172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Окрім національних нормативів, міжнародне усиновлення також регулюється рядом міжнародних угод, що робить цю сферу уніфікованою на міжнародному рівні.</w:t>
      </w:r>
    </w:p>
    <w:p w14:paraId="0CA3A31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Серед таких актів, які регулюють питання міжнародного усиновлення, є Конвенція ООН про права дитини 1989 року (далі – Конвенція 1989 року). Відповідно до статті 20 Конвенції 1989 року, </w:t>
      </w:r>
      <w:r w:rsidRPr="00511005">
        <w:rPr>
          <w:rFonts w:ascii="Arial" w:eastAsia="Times New Roman" w:hAnsi="Arial" w:cs="Arial"/>
          <w:szCs w:val="28"/>
          <w:lang w:val="uk-UA" w:eastAsia="ru-RU"/>
        </w:rPr>
        <w:t>д</w:t>
      </w:r>
      <w:r w:rsidRPr="00511005">
        <w:rPr>
          <w:rFonts w:ascii="Arial" w:eastAsia="Times New Roman" w:hAnsi="Arial" w:cs="Arial"/>
          <w:szCs w:val="28"/>
          <w:lang w:eastAsia="ru-RU"/>
        </w:rPr>
        <w:t xml:space="preserve">итина, яка тимчасово або постійно позбавлена сімейного оточення або для якої перебування в такому оточенні є неприязним для її найкращих інтересів, має право на особливий захист і підтримку з боку </w:t>
      </w:r>
      <w:proofErr w:type="gramStart"/>
      <w:r w:rsidRPr="00511005">
        <w:rPr>
          <w:rFonts w:ascii="Arial" w:eastAsia="Times New Roman" w:hAnsi="Arial" w:cs="Arial"/>
          <w:szCs w:val="28"/>
          <w:lang w:eastAsia="ru-RU"/>
        </w:rPr>
        <w:t>держави[</w:t>
      </w:r>
      <w:proofErr w:type="gramEnd"/>
      <w:r w:rsidRPr="00511005">
        <w:rPr>
          <w:rFonts w:ascii="Arial" w:eastAsia="Times New Roman" w:hAnsi="Arial" w:cs="Arial"/>
          <w:szCs w:val="28"/>
          <w:lang w:val="uk-UA" w:eastAsia="ru-RU"/>
        </w:rPr>
        <w:t>2</w:t>
      </w:r>
      <w:r w:rsidRPr="00511005">
        <w:rPr>
          <w:rFonts w:ascii="Arial" w:eastAsia="Times New Roman" w:hAnsi="Arial" w:cs="Arial"/>
          <w:szCs w:val="28"/>
          <w:lang w:eastAsia="ru-RU"/>
        </w:rPr>
        <w:t>].</w:t>
      </w:r>
    </w:p>
    <w:p w14:paraId="7CB34E4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Держави-учасниці, які визнають чи дозволяють систему усиновлення, зобов'язані забезпечити, щоб при усиновленні </w:t>
      </w:r>
      <w:proofErr w:type="gramStart"/>
      <w:r w:rsidRPr="00511005">
        <w:rPr>
          <w:rFonts w:ascii="Arial" w:eastAsia="Times New Roman" w:hAnsi="Arial" w:cs="Arial"/>
          <w:szCs w:val="28"/>
          <w:lang w:eastAsia="ru-RU"/>
        </w:rPr>
        <w:t>в першу</w:t>
      </w:r>
      <w:proofErr w:type="gramEnd"/>
      <w:r w:rsidRPr="00511005">
        <w:rPr>
          <w:rFonts w:ascii="Arial" w:eastAsia="Times New Roman" w:hAnsi="Arial" w:cs="Arial"/>
          <w:szCs w:val="28"/>
          <w:lang w:eastAsia="ru-RU"/>
        </w:rPr>
        <w:t xml:space="preserve"> чергу враховувалися найкращі інтереси дитини, що зазначено у </w:t>
      </w:r>
      <w:r w:rsidRPr="00511005">
        <w:rPr>
          <w:rFonts w:ascii="Arial" w:eastAsia="Times New Roman" w:hAnsi="Arial" w:cs="Arial"/>
          <w:szCs w:val="28"/>
          <w:lang w:val="uk-UA" w:eastAsia="ru-RU"/>
        </w:rPr>
        <w:t xml:space="preserve">статті </w:t>
      </w:r>
      <w:r w:rsidRPr="00511005">
        <w:rPr>
          <w:rFonts w:ascii="Arial" w:eastAsia="Times New Roman" w:hAnsi="Arial" w:cs="Arial"/>
          <w:szCs w:val="28"/>
          <w:lang w:eastAsia="ru-RU"/>
        </w:rPr>
        <w:t>21 Конвенції 1989 року. Зокрема, вони: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дозволяють усиновлення лише компетентними органами на основі повної та </w:t>
      </w:r>
      <w:r w:rsidRPr="00511005">
        <w:rPr>
          <w:rFonts w:ascii="Arial" w:eastAsia="Times New Roman" w:hAnsi="Arial" w:cs="Arial"/>
          <w:szCs w:val="28"/>
          <w:lang w:val="uk-UA" w:eastAsia="ru-RU"/>
        </w:rPr>
        <w:t>вірогідної</w:t>
      </w:r>
      <w:r w:rsidRPr="00511005">
        <w:rPr>
          <w:rFonts w:ascii="Arial" w:eastAsia="Times New Roman" w:hAnsi="Arial" w:cs="Arial"/>
          <w:szCs w:val="28"/>
          <w:lang w:eastAsia="ru-RU"/>
        </w:rPr>
        <w:t xml:space="preserve"> інформації; визнають усиновлення в іншій країні як альтернативу, якщо влаштування дитини в сім'ї в її країні неможливе; гарантують, щоб умови усиновлення в іншій країні відповідали внутрішнім стандартам усиновлення;</w:t>
      </w:r>
    </w:p>
    <w:p w14:paraId="05CE5C0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Важливе місце посідає Конвенція про захист дітей та співробітництво в галузі міждержавного усиновлення 1993 року, в статті 1 якої зазначено, що метою співпраці держав у межах цієї Конвенції є </w:t>
      </w:r>
      <w:r w:rsidRPr="00511005">
        <w:rPr>
          <w:rFonts w:ascii="Arial" w:eastAsia="Times New Roman" w:hAnsi="Arial" w:cs="Arial"/>
          <w:szCs w:val="28"/>
          <w:lang w:val="uk-UA" w:eastAsia="ru-RU"/>
        </w:rPr>
        <w:t>с</w:t>
      </w:r>
      <w:r w:rsidRPr="00511005">
        <w:rPr>
          <w:rFonts w:ascii="Arial" w:eastAsia="Times New Roman" w:hAnsi="Arial" w:cs="Arial"/>
          <w:szCs w:val="28"/>
          <w:lang w:eastAsia="ru-RU"/>
        </w:rPr>
        <w:t xml:space="preserve">творення гарантій, які забезпечують, що міждержавне усиновлення здійснюється з урахуванням найкращих інтересів дитини та з дотриманням всіх її основних прав, визнаних міжнародним </w:t>
      </w:r>
      <w:proofErr w:type="gramStart"/>
      <w:r w:rsidRPr="00511005">
        <w:rPr>
          <w:rFonts w:ascii="Arial" w:eastAsia="Times New Roman" w:hAnsi="Arial" w:cs="Arial"/>
          <w:szCs w:val="28"/>
          <w:lang w:eastAsia="ru-RU"/>
        </w:rPr>
        <w:t>право</w:t>
      </w:r>
      <w:r w:rsidRPr="00511005">
        <w:rPr>
          <w:rFonts w:ascii="Arial" w:eastAsia="Times New Roman" w:hAnsi="Arial" w:cs="Arial"/>
          <w:szCs w:val="28"/>
          <w:lang w:val="uk-UA" w:eastAsia="ru-RU"/>
        </w:rPr>
        <w:t>м</w:t>
      </w:r>
      <w:r w:rsidRPr="00511005">
        <w:rPr>
          <w:rFonts w:ascii="Arial" w:eastAsia="Times New Roman" w:hAnsi="Arial" w:cs="Arial"/>
          <w:szCs w:val="28"/>
          <w:lang w:eastAsia="ru-RU"/>
        </w:rPr>
        <w:t>[</w:t>
      </w:r>
      <w:proofErr w:type="gramEnd"/>
      <w:r w:rsidRPr="00511005">
        <w:rPr>
          <w:rFonts w:ascii="Arial" w:eastAsia="Times New Roman" w:hAnsi="Arial" w:cs="Arial"/>
          <w:szCs w:val="28"/>
          <w:lang w:val="uk-UA" w:eastAsia="ru-RU"/>
        </w:rPr>
        <w:t>1</w:t>
      </w:r>
      <w:r w:rsidRPr="00511005">
        <w:rPr>
          <w:rFonts w:ascii="Arial" w:eastAsia="Times New Roman" w:hAnsi="Arial" w:cs="Arial"/>
          <w:szCs w:val="28"/>
          <w:lang w:eastAsia="ru-RU"/>
        </w:rPr>
        <w:t xml:space="preserve">]. </w:t>
      </w:r>
    </w:p>
    <w:p w14:paraId="58AE0E0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ab/>
        <w:t>Проте у деяких випадках процес міжнародного усиновлення може бути використаний як прикриття для незаконної торгівлі дітьми, що створює серйозні правові та етичні проблеми, пов'язані з порушенням прав дітей і маніпуляцією з їхньою долею.</w:t>
      </w:r>
    </w:p>
    <w:p w14:paraId="285C077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Одним із важливих інструментів у боротьбі з торгівлею людьми, зокрема дітьми, є Протокол до Конвенції ООН проти транснаціональної організованої злочинності про попередження, припинення та покарання за торгівлю людьми, особливо жінками та дітьми 2000 року(далі – Протокол 2000 року), який встановлює чіткі механізми співробітництва між державами-учасницями для боротьби з торгівлею людьми, зокрема для ефективного кримінального переслідування злочинців та забезпечення належного захисту потерпілих.</w:t>
      </w:r>
    </w:p>
    <w:p w14:paraId="6D96540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Зокрема, Стаття 32 Протоколу 2000 року підкреслює важливість міжнародного співробітництва та вимагає від держав забезпечення ефективного обміну інформацією та координації між правоохоронними органами, а також надання взаємної правової допомоги для запобігання торгівлі людьми[5].</w:t>
      </w:r>
    </w:p>
    <w:p w14:paraId="3B22E33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Всупереч</w:t>
      </w:r>
      <w:r w:rsidRPr="00511005">
        <w:rPr>
          <w:rFonts w:ascii="Arial" w:eastAsia="Times New Roman" w:hAnsi="Arial" w:cs="Arial"/>
          <w:szCs w:val="28"/>
          <w:lang w:eastAsia="ru-RU"/>
        </w:rPr>
        <w:t xml:space="preserve"> наявн</w:t>
      </w:r>
      <w:r w:rsidRPr="00511005">
        <w:rPr>
          <w:rFonts w:ascii="Arial" w:eastAsia="Times New Roman" w:hAnsi="Arial" w:cs="Arial"/>
          <w:szCs w:val="28"/>
          <w:lang w:val="uk-UA" w:eastAsia="ru-RU"/>
        </w:rPr>
        <w:t>им</w:t>
      </w:r>
      <w:r w:rsidRPr="00511005">
        <w:rPr>
          <w:rFonts w:ascii="Arial" w:eastAsia="Times New Roman" w:hAnsi="Arial" w:cs="Arial"/>
          <w:szCs w:val="28"/>
          <w:lang w:eastAsia="ru-RU"/>
        </w:rPr>
        <w:t xml:space="preserve"> міжнародни</w:t>
      </w:r>
      <w:r w:rsidRPr="00511005">
        <w:rPr>
          <w:rFonts w:ascii="Arial" w:eastAsia="Times New Roman" w:hAnsi="Arial" w:cs="Arial"/>
          <w:szCs w:val="28"/>
          <w:lang w:val="uk-UA" w:eastAsia="ru-RU"/>
        </w:rPr>
        <w:t>м</w:t>
      </w:r>
      <w:r w:rsidRPr="00511005">
        <w:rPr>
          <w:rFonts w:ascii="Arial" w:eastAsia="Times New Roman" w:hAnsi="Arial" w:cs="Arial"/>
          <w:szCs w:val="28"/>
          <w:lang w:eastAsia="ru-RU"/>
        </w:rPr>
        <w:t xml:space="preserve"> норм</w:t>
      </w:r>
      <w:r w:rsidRPr="00511005">
        <w:rPr>
          <w:rFonts w:ascii="Arial" w:eastAsia="Times New Roman" w:hAnsi="Arial" w:cs="Arial"/>
          <w:szCs w:val="28"/>
          <w:lang w:val="uk-UA" w:eastAsia="ru-RU"/>
        </w:rPr>
        <w:t>ам</w:t>
      </w:r>
      <w:r w:rsidRPr="00511005">
        <w:rPr>
          <w:rFonts w:ascii="Arial" w:eastAsia="Times New Roman" w:hAnsi="Arial" w:cs="Arial"/>
          <w:szCs w:val="28"/>
          <w:lang w:eastAsia="ru-RU"/>
        </w:rPr>
        <w:t>, їх виконання залишається проблематичним. Злочинці, використовуючи міжнародні мережі, часто уникають відповідальності через юрисдикційні бар'єри. Міжнародне співробітництво не завжди ефективне через правові та адміністративні труднощі при екстрадиції та переслідуванні. Потерпілі від торгівлі людьми, зокрема діти, часто не отримують належного захисту та допомоги через відсутність координації між національними та міжнародними органами, що залишає їх у вразливому становищі.</w:t>
      </w:r>
    </w:p>
    <w:p w14:paraId="447492A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Отже</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питання </w:t>
      </w:r>
      <w:r w:rsidRPr="00511005">
        <w:rPr>
          <w:rFonts w:ascii="Arial" w:eastAsia="Times New Roman" w:hAnsi="Arial" w:cs="Arial"/>
          <w:szCs w:val="28"/>
          <w:lang w:eastAsia="ru-RU"/>
        </w:rPr>
        <w:t>усиновлення є актуальним у сучасних умовах, зокрема через значну міграцію, пов’язану з</w:t>
      </w:r>
      <w:r w:rsidRPr="00511005">
        <w:rPr>
          <w:rFonts w:ascii="Arial" w:eastAsia="Times New Roman" w:hAnsi="Arial" w:cs="Arial"/>
          <w:szCs w:val="28"/>
          <w:lang w:val="uk-UA" w:eastAsia="ru-RU"/>
        </w:rPr>
        <w:t>і</w:t>
      </w:r>
      <w:r w:rsidRPr="00511005">
        <w:rPr>
          <w:rFonts w:ascii="Arial" w:eastAsia="Times New Roman" w:hAnsi="Arial" w:cs="Arial"/>
          <w:szCs w:val="28"/>
          <w:lang w:eastAsia="ru-RU"/>
        </w:rPr>
        <w:t xml:space="preserve"> збройними конфліктами, коли діти залишаються без опіки </w:t>
      </w:r>
      <w:r w:rsidRPr="00511005">
        <w:rPr>
          <w:rFonts w:ascii="Arial" w:eastAsia="Times New Roman" w:hAnsi="Arial" w:cs="Arial"/>
          <w:szCs w:val="28"/>
          <w:lang w:val="uk-UA" w:eastAsia="ru-RU"/>
        </w:rPr>
        <w:t>та</w:t>
      </w:r>
      <w:r w:rsidRPr="00511005">
        <w:rPr>
          <w:rFonts w:ascii="Arial" w:eastAsia="Times New Roman" w:hAnsi="Arial" w:cs="Arial"/>
          <w:szCs w:val="28"/>
          <w:lang w:eastAsia="ru-RU"/>
        </w:rPr>
        <w:t xml:space="preserve"> потребують нової родини. Кожна держава регламентує процес усиновлення окремо </w:t>
      </w:r>
      <w:r w:rsidRPr="00511005">
        <w:rPr>
          <w:rFonts w:ascii="Arial" w:eastAsia="Times New Roman" w:hAnsi="Arial" w:cs="Arial"/>
          <w:szCs w:val="28"/>
          <w:lang w:val="uk-UA" w:eastAsia="ru-RU"/>
        </w:rPr>
        <w:t>у</w:t>
      </w:r>
      <w:r w:rsidRPr="00511005">
        <w:rPr>
          <w:rFonts w:ascii="Arial" w:eastAsia="Times New Roman" w:hAnsi="Arial" w:cs="Arial"/>
          <w:szCs w:val="28"/>
          <w:lang w:eastAsia="ru-RU"/>
        </w:rPr>
        <w:t xml:space="preserve"> своєму внутрішньому законодавстві, що призводить до колізій, особливо коли йдеться про усиновлення дітей з країни, громадянином якої не є усиновлювач. Тому більшість таких питань вирішуються на міжнародному рівні через багатосторонні конвенції та договори. </w:t>
      </w:r>
    </w:p>
    <w:p w14:paraId="472B9F7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Однак, </w:t>
      </w:r>
      <w:r w:rsidRPr="00511005">
        <w:rPr>
          <w:rFonts w:ascii="Arial" w:eastAsia="Times New Roman" w:hAnsi="Arial" w:cs="Arial"/>
          <w:szCs w:val="28"/>
          <w:lang w:val="uk-UA" w:eastAsia="ru-RU"/>
        </w:rPr>
        <w:t>попри</w:t>
      </w:r>
      <w:r w:rsidRPr="00511005">
        <w:rPr>
          <w:rFonts w:ascii="Arial" w:eastAsia="Times New Roman" w:hAnsi="Arial" w:cs="Arial"/>
          <w:szCs w:val="28"/>
          <w:lang w:eastAsia="ru-RU"/>
        </w:rPr>
        <w:t xml:space="preserve"> на ц</w:t>
      </w:r>
      <w:r w:rsidRPr="00511005">
        <w:rPr>
          <w:rFonts w:ascii="Arial" w:eastAsia="Times New Roman" w:hAnsi="Arial" w:cs="Arial"/>
          <w:szCs w:val="28"/>
          <w:lang w:val="uk-UA" w:eastAsia="ru-RU"/>
        </w:rPr>
        <w:t>им</w:t>
      </w:r>
      <w:r w:rsidRPr="00511005">
        <w:rPr>
          <w:rFonts w:ascii="Arial" w:eastAsia="Times New Roman" w:hAnsi="Arial" w:cs="Arial"/>
          <w:szCs w:val="28"/>
          <w:lang w:eastAsia="ru-RU"/>
        </w:rPr>
        <w:t xml:space="preserve"> норм</w:t>
      </w:r>
      <w:r w:rsidRPr="00511005">
        <w:rPr>
          <w:rFonts w:ascii="Arial" w:eastAsia="Times New Roman" w:hAnsi="Arial" w:cs="Arial"/>
          <w:szCs w:val="28"/>
          <w:lang w:val="uk-UA" w:eastAsia="ru-RU"/>
        </w:rPr>
        <w:t>ам</w:t>
      </w:r>
      <w:r w:rsidRPr="00511005">
        <w:rPr>
          <w:rFonts w:ascii="Arial" w:eastAsia="Times New Roman" w:hAnsi="Arial" w:cs="Arial"/>
          <w:szCs w:val="28"/>
          <w:lang w:eastAsia="ru-RU"/>
        </w:rPr>
        <w:t>, існують серйозні виклики, зокрема проблеми, пов’язані з торгівлею дітьми та іншими порушеннями прав дітей, що вимагає подальшого вдосконалення міжнародного співробітництва, механізмів захисту та правових стандартів.</w:t>
      </w:r>
    </w:p>
    <w:p w14:paraId="6F913693" w14:textId="77777777" w:rsidR="00220D3E" w:rsidRPr="00511005" w:rsidRDefault="00220D3E" w:rsidP="003A292D">
      <w:pPr>
        <w:tabs>
          <w:tab w:val="left" w:pos="709"/>
        </w:tabs>
        <w:spacing w:line="264" w:lineRule="auto"/>
        <w:jc w:val="center"/>
        <w:rPr>
          <w:rFonts w:ascii="Arial" w:hAnsi="Arial" w:cs="Arial"/>
          <w:b/>
          <w:bCs/>
          <w:szCs w:val="28"/>
          <w:lang w:val="uk-UA" w:eastAsia="ru-RU"/>
        </w:rPr>
      </w:pPr>
    </w:p>
    <w:p w14:paraId="30E794E6" w14:textId="1F3E7C90" w:rsidR="00220D3E" w:rsidRPr="00511005" w:rsidRDefault="007B2628" w:rsidP="007B2628">
      <w:pPr>
        <w:tabs>
          <w:tab w:val="left" w:pos="709"/>
        </w:tabs>
        <w:spacing w:line="264" w:lineRule="auto"/>
        <w:jc w:val="center"/>
        <w:rPr>
          <w:rFonts w:ascii="Arial" w:hAnsi="Arial" w:cs="Arial"/>
          <w:b/>
          <w:bCs/>
          <w:szCs w:val="28"/>
          <w:lang w:val="uk-UA" w:eastAsia="ru-RU"/>
        </w:rPr>
      </w:pPr>
      <w:r w:rsidRPr="00511005">
        <w:rPr>
          <w:rFonts w:ascii="Arial" w:hAnsi="Arial" w:cs="Arial"/>
          <w:b/>
          <w:bCs/>
          <w:szCs w:val="28"/>
          <w:lang w:val="uk-UA" w:eastAsia="ru-RU"/>
        </w:rPr>
        <w:t>Список використаних джерел</w:t>
      </w:r>
    </w:p>
    <w:p w14:paraId="3F47F9D2" w14:textId="77777777" w:rsidR="00220D3E" w:rsidRPr="00511005" w:rsidRDefault="00220D3E" w:rsidP="003F6A5D">
      <w:pPr>
        <w:numPr>
          <w:ilvl w:val="0"/>
          <w:numId w:val="16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rPr>
        <w:t xml:space="preserve">Конвенція про захист дітей та співробітництво в галузі міждержавного </w:t>
      </w:r>
      <w:proofErr w:type="gramStart"/>
      <w:r w:rsidRPr="00511005">
        <w:rPr>
          <w:rFonts w:ascii="Arial" w:eastAsia="Calibri" w:hAnsi="Arial" w:cs="Arial"/>
          <w:szCs w:val="28"/>
        </w:rPr>
        <w:t>усиновленн :</w:t>
      </w:r>
      <w:proofErr w:type="gramEnd"/>
      <w:r w:rsidRPr="00511005">
        <w:rPr>
          <w:rFonts w:ascii="Arial" w:eastAsia="Calibri" w:hAnsi="Arial" w:cs="Arial"/>
          <w:szCs w:val="28"/>
        </w:rPr>
        <w:t xml:space="preserve"> Конвенція Орг. Об'єдн. Націй від 29.05.1993. URL: </w:t>
      </w:r>
      <w:hyperlink r:id="rId142" w:anchor="Text" w:tgtFrame="_blank" w:history="1">
        <w:r w:rsidRPr="00511005">
          <w:rPr>
            <w:rFonts w:ascii="Arial" w:eastAsia="Calibri" w:hAnsi="Arial" w:cs="Arial"/>
            <w:szCs w:val="28"/>
          </w:rPr>
          <w:t>https://zakon.rada.gov.ua/laws/show/995_365#Text</w:t>
        </w:r>
      </w:hyperlink>
      <w:r w:rsidRPr="00511005">
        <w:rPr>
          <w:rFonts w:ascii="Arial" w:eastAsia="Calibri" w:hAnsi="Arial" w:cs="Arial"/>
          <w:szCs w:val="28"/>
        </w:rPr>
        <w:t> (дата звернення: 10.04.2025).</w:t>
      </w:r>
      <w:r w:rsidRPr="00511005">
        <w:rPr>
          <w:rFonts w:ascii="Arial" w:eastAsia="Calibri" w:hAnsi="Arial" w:cs="Arial"/>
          <w:szCs w:val="28"/>
          <w:lang w:val="uk-UA"/>
        </w:rPr>
        <w:t xml:space="preserve"> </w:t>
      </w:r>
    </w:p>
    <w:p w14:paraId="4747C4F4" w14:textId="70CEE766" w:rsidR="00220D3E" w:rsidRPr="00511005" w:rsidRDefault="00220D3E" w:rsidP="003F6A5D">
      <w:pPr>
        <w:numPr>
          <w:ilvl w:val="0"/>
          <w:numId w:val="16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Конвенція про права </w:t>
      </w:r>
      <w:proofErr w:type="gramStart"/>
      <w:r w:rsidRPr="00511005">
        <w:rPr>
          <w:rFonts w:ascii="Arial" w:eastAsia="Calibri" w:hAnsi="Arial" w:cs="Arial"/>
          <w:szCs w:val="28"/>
        </w:rPr>
        <w:t>дитини :</w:t>
      </w:r>
      <w:proofErr w:type="gramEnd"/>
      <w:r w:rsidRPr="00511005">
        <w:rPr>
          <w:rFonts w:ascii="Arial" w:eastAsia="Calibri" w:hAnsi="Arial" w:cs="Arial"/>
          <w:szCs w:val="28"/>
        </w:rPr>
        <w:t xml:space="preserve"> Конвенція Орг. Об'єдн. Націй від </w:t>
      </w:r>
      <w:proofErr w:type="gramStart"/>
      <w:r w:rsidRPr="00511005">
        <w:rPr>
          <w:rFonts w:ascii="Arial" w:eastAsia="Calibri" w:hAnsi="Arial" w:cs="Arial"/>
          <w:szCs w:val="28"/>
        </w:rPr>
        <w:t>20.11.1989 :</w:t>
      </w:r>
      <w:proofErr w:type="gramEnd"/>
      <w:r w:rsidRPr="00511005">
        <w:rPr>
          <w:rFonts w:ascii="Arial" w:eastAsia="Calibri" w:hAnsi="Arial" w:cs="Arial"/>
          <w:szCs w:val="28"/>
        </w:rPr>
        <w:t xml:space="preserve"> станом на 16 листоп. 2023 р. URL: </w:t>
      </w:r>
      <w:hyperlink r:id="rId143" w:anchor="Text" w:tgtFrame="_blank" w:history="1">
        <w:r w:rsidRPr="00511005">
          <w:rPr>
            <w:rFonts w:ascii="Arial" w:eastAsia="Calibri" w:hAnsi="Arial" w:cs="Arial"/>
            <w:szCs w:val="28"/>
          </w:rPr>
          <w:t>https://zakon.rada.gov.ua/laws/show/995_021#Text</w:t>
        </w:r>
      </w:hyperlink>
      <w:r w:rsidRPr="00511005">
        <w:rPr>
          <w:rFonts w:ascii="Arial" w:eastAsia="Calibri" w:hAnsi="Arial" w:cs="Arial"/>
          <w:szCs w:val="28"/>
        </w:rPr>
        <w:t> (дата звернення: 10.04.2025).</w:t>
      </w:r>
      <w:r w:rsidR="007B2628" w:rsidRPr="00511005">
        <w:rPr>
          <w:rFonts w:ascii="Arial" w:eastAsia="Calibri" w:hAnsi="Arial" w:cs="Arial"/>
          <w:szCs w:val="28"/>
          <w:lang w:val="uk-UA"/>
        </w:rPr>
        <w:t xml:space="preserve"> </w:t>
      </w:r>
    </w:p>
    <w:p w14:paraId="275BB26A" w14:textId="5345B8E4" w:rsidR="00220D3E" w:rsidRPr="00511005" w:rsidRDefault="00220D3E" w:rsidP="003F6A5D">
      <w:pPr>
        <w:numPr>
          <w:ilvl w:val="0"/>
          <w:numId w:val="16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rPr>
        <w:t xml:space="preserve">Про міжнародне приватне </w:t>
      </w:r>
      <w:proofErr w:type="gramStart"/>
      <w:r w:rsidRPr="00511005">
        <w:rPr>
          <w:rFonts w:ascii="Arial" w:eastAsia="Calibri" w:hAnsi="Arial" w:cs="Arial"/>
          <w:szCs w:val="28"/>
        </w:rPr>
        <w:t>право :</w:t>
      </w:r>
      <w:proofErr w:type="gramEnd"/>
      <w:r w:rsidRPr="00511005">
        <w:rPr>
          <w:rFonts w:ascii="Arial" w:eastAsia="Calibri" w:hAnsi="Arial" w:cs="Arial"/>
          <w:szCs w:val="28"/>
        </w:rPr>
        <w:t xml:space="preserve"> Закон України від 23.06.2005 № 2709-IV : станом на 23 груд. 2022 р. URL: </w:t>
      </w:r>
      <w:hyperlink r:id="rId144" w:anchor="Text" w:tgtFrame="_blank" w:history="1">
        <w:r w:rsidRPr="00511005">
          <w:rPr>
            <w:rFonts w:ascii="Arial" w:eastAsia="Calibri" w:hAnsi="Arial" w:cs="Arial"/>
            <w:szCs w:val="28"/>
          </w:rPr>
          <w:t>https://zakon.rada.gov.ua/laws/show/2709-15#Text</w:t>
        </w:r>
      </w:hyperlink>
      <w:r w:rsidRPr="00511005">
        <w:rPr>
          <w:rFonts w:ascii="Arial" w:eastAsia="Calibri" w:hAnsi="Arial" w:cs="Arial"/>
          <w:szCs w:val="28"/>
        </w:rPr>
        <w:t> (дата звернення: 10.04.2025).</w:t>
      </w:r>
      <w:r w:rsidR="007B2628" w:rsidRPr="00511005">
        <w:rPr>
          <w:rFonts w:ascii="Arial" w:eastAsia="Calibri" w:hAnsi="Arial" w:cs="Arial"/>
          <w:szCs w:val="28"/>
          <w:lang w:val="uk-UA"/>
        </w:rPr>
        <w:t xml:space="preserve"> </w:t>
      </w:r>
    </w:p>
    <w:p w14:paraId="03D843F5" w14:textId="1BDAD618" w:rsidR="00220D3E" w:rsidRPr="00511005" w:rsidRDefault="00220D3E" w:rsidP="003F6A5D">
      <w:pPr>
        <w:numPr>
          <w:ilvl w:val="0"/>
          <w:numId w:val="16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Про охорону </w:t>
      </w:r>
      <w:proofErr w:type="gramStart"/>
      <w:r w:rsidRPr="00511005">
        <w:rPr>
          <w:rFonts w:ascii="Arial" w:eastAsia="Calibri" w:hAnsi="Arial" w:cs="Arial"/>
          <w:szCs w:val="28"/>
        </w:rPr>
        <w:t>дитинства :</w:t>
      </w:r>
      <w:proofErr w:type="gramEnd"/>
      <w:r w:rsidRPr="00511005">
        <w:rPr>
          <w:rFonts w:ascii="Arial" w:eastAsia="Calibri" w:hAnsi="Arial" w:cs="Arial"/>
          <w:szCs w:val="28"/>
        </w:rPr>
        <w:t xml:space="preserve"> Закон України від 26.04.2001 № 2402-III : станом на 1 січ. 2025 р. URL: </w:t>
      </w:r>
      <w:hyperlink r:id="rId145" w:anchor="Text" w:tgtFrame="_blank" w:history="1">
        <w:r w:rsidRPr="00511005">
          <w:rPr>
            <w:rFonts w:ascii="Arial" w:eastAsia="Calibri" w:hAnsi="Arial" w:cs="Arial"/>
            <w:szCs w:val="28"/>
          </w:rPr>
          <w:t>https://zakon.rada.gov.ua/laws/show/2402-14#Text</w:t>
        </w:r>
      </w:hyperlink>
      <w:r w:rsidRPr="00511005">
        <w:rPr>
          <w:rFonts w:ascii="Arial" w:eastAsia="Calibri" w:hAnsi="Arial" w:cs="Arial"/>
          <w:szCs w:val="28"/>
        </w:rPr>
        <w:t> (дата звернення: 10.04.2025).</w:t>
      </w:r>
      <w:r w:rsidR="007B2628" w:rsidRPr="00511005">
        <w:rPr>
          <w:rFonts w:ascii="Arial" w:eastAsia="Calibri" w:hAnsi="Arial" w:cs="Arial"/>
          <w:szCs w:val="28"/>
          <w:lang w:val="uk-UA"/>
        </w:rPr>
        <w:t xml:space="preserve"> </w:t>
      </w:r>
    </w:p>
    <w:p w14:paraId="1AB3D15E" w14:textId="74265130" w:rsidR="00220D3E" w:rsidRPr="00511005" w:rsidRDefault="00220D3E" w:rsidP="003F6A5D">
      <w:pPr>
        <w:numPr>
          <w:ilvl w:val="0"/>
          <w:numId w:val="16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rPr>
        <w:lastRenderedPageBreak/>
        <w:t xml:space="preserve">Протокол про попередження і припинення торгівлі людьми, особливо жінками і дітьми, і покарання за неї, що доповнює Конвенцію Організації Об'єднаних Націй проти транснаціональної організованої злочинності: Протокол Орг. Об'єдн. Націй від </w:t>
      </w:r>
      <w:proofErr w:type="gramStart"/>
      <w:r w:rsidRPr="00511005">
        <w:rPr>
          <w:rFonts w:ascii="Arial" w:eastAsia="Calibri" w:hAnsi="Arial" w:cs="Arial"/>
          <w:szCs w:val="28"/>
        </w:rPr>
        <w:t>15.11.2000 :</w:t>
      </w:r>
      <w:proofErr w:type="gramEnd"/>
      <w:r w:rsidRPr="00511005">
        <w:rPr>
          <w:rFonts w:ascii="Arial" w:eastAsia="Calibri" w:hAnsi="Arial" w:cs="Arial"/>
          <w:szCs w:val="28"/>
        </w:rPr>
        <w:t xml:space="preserve"> станом на 4 лют. 2004 р. URL: </w:t>
      </w:r>
      <w:hyperlink r:id="rId146" w:anchor="Text" w:tgtFrame="_blank" w:history="1">
        <w:r w:rsidRPr="00511005">
          <w:rPr>
            <w:rFonts w:ascii="Arial" w:eastAsia="Calibri" w:hAnsi="Arial" w:cs="Arial"/>
            <w:szCs w:val="28"/>
          </w:rPr>
          <w:t>https://zakon.rada.gov.ua/laws/show/995_791#Text</w:t>
        </w:r>
      </w:hyperlink>
      <w:r w:rsidRPr="00511005">
        <w:rPr>
          <w:rFonts w:ascii="Arial" w:eastAsia="Calibri" w:hAnsi="Arial" w:cs="Arial"/>
          <w:szCs w:val="28"/>
        </w:rPr>
        <w:t> (дата звернення: 10.04.2025).</w:t>
      </w:r>
      <w:r w:rsidR="007B2628" w:rsidRPr="00511005">
        <w:rPr>
          <w:rFonts w:ascii="Arial" w:eastAsia="Calibri" w:hAnsi="Arial" w:cs="Arial"/>
          <w:szCs w:val="28"/>
          <w:lang w:val="uk-UA"/>
        </w:rPr>
        <w:t xml:space="preserve"> </w:t>
      </w:r>
    </w:p>
    <w:p w14:paraId="7F73C1EF" w14:textId="4FC409B2" w:rsidR="00220D3E" w:rsidRPr="00511005" w:rsidRDefault="00220D3E" w:rsidP="003F6A5D">
      <w:pPr>
        <w:numPr>
          <w:ilvl w:val="0"/>
          <w:numId w:val="16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rPr>
        <w:t xml:space="preserve">Сімейний кодекс </w:t>
      </w:r>
      <w:proofErr w:type="gramStart"/>
      <w:r w:rsidRPr="00511005">
        <w:rPr>
          <w:rFonts w:ascii="Arial" w:eastAsia="Calibri" w:hAnsi="Arial" w:cs="Arial"/>
          <w:szCs w:val="28"/>
        </w:rPr>
        <w:t>України :</w:t>
      </w:r>
      <w:proofErr w:type="gramEnd"/>
      <w:r w:rsidRPr="00511005">
        <w:rPr>
          <w:rFonts w:ascii="Arial" w:eastAsia="Calibri" w:hAnsi="Arial" w:cs="Arial"/>
          <w:szCs w:val="28"/>
        </w:rPr>
        <w:t xml:space="preserve"> Кодекс України від 10.01.2002 № 2947-III : станом на 19 груд. 2024 р. URL: </w:t>
      </w:r>
      <w:hyperlink r:id="rId147" w:anchor="Text" w:tgtFrame="_blank" w:history="1">
        <w:r w:rsidRPr="00511005">
          <w:rPr>
            <w:rFonts w:ascii="Arial" w:eastAsia="Calibri" w:hAnsi="Arial" w:cs="Arial"/>
            <w:szCs w:val="28"/>
          </w:rPr>
          <w:t>https://zakon.rada.gov.ua/laws/show/2947-14#Text</w:t>
        </w:r>
      </w:hyperlink>
      <w:r w:rsidRPr="00511005">
        <w:rPr>
          <w:rFonts w:ascii="Arial" w:eastAsia="Calibri" w:hAnsi="Arial" w:cs="Arial"/>
          <w:szCs w:val="28"/>
        </w:rPr>
        <w:t> (дата звернення: 10.04.2025).</w:t>
      </w:r>
      <w:r w:rsidR="007B2628" w:rsidRPr="00511005">
        <w:rPr>
          <w:rFonts w:ascii="Arial" w:eastAsia="Calibri" w:hAnsi="Arial" w:cs="Arial"/>
          <w:szCs w:val="28"/>
          <w:lang w:val="uk-UA"/>
        </w:rPr>
        <w:t xml:space="preserve"> </w:t>
      </w:r>
    </w:p>
    <w:p w14:paraId="236ADFC9" w14:textId="77777777" w:rsidR="007B2628" w:rsidRPr="00511005" w:rsidRDefault="00220D3E" w:rsidP="003F6A5D">
      <w:pPr>
        <w:numPr>
          <w:ilvl w:val="0"/>
          <w:numId w:val="16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rPr>
        <w:t xml:space="preserve">Фединяк Г. С., Фединяк Л. С. Міжнародне приватне </w:t>
      </w:r>
      <w:proofErr w:type="gramStart"/>
      <w:r w:rsidRPr="00511005">
        <w:rPr>
          <w:rFonts w:ascii="Arial" w:eastAsia="Calibri" w:hAnsi="Arial" w:cs="Arial"/>
          <w:szCs w:val="28"/>
        </w:rPr>
        <w:t>право :</w:t>
      </w:r>
      <w:proofErr w:type="gramEnd"/>
      <w:r w:rsidRPr="00511005">
        <w:rPr>
          <w:rFonts w:ascii="Arial" w:eastAsia="Calibri" w:hAnsi="Arial" w:cs="Arial"/>
          <w:szCs w:val="28"/>
        </w:rPr>
        <w:t xml:space="preserve"> навч. посіб. </w:t>
      </w:r>
      <w:proofErr w:type="gramStart"/>
      <w:r w:rsidRPr="00511005">
        <w:rPr>
          <w:rFonts w:ascii="Arial" w:eastAsia="Calibri" w:hAnsi="Arial" w:cs="Arial"/>
          <w:szCs w:val="28"/>
        </w:rPr>
        <w:t>Київ :</w:t>
      </w:r>
      <w:proofErr w:type="gramEnd"/>
      <w:r w:rsidRPr="00511005">
        <w:rPr>
          <w:rFonts w:ascii="Arial" w:eastAsia="Calibri" w:hAnsi="Arial" w:cs="Arial"/>
          <w:szCs w:val="28"/>
        </w:rPr>
        <w:t xml:space="preserve"> Атіка, 2009. 500 с.</w:t>
      </w:r>
      <w:r w:rsidR="007B2628" w:rsidRPr="00511005">
        <w:rPr>
          <w:rFonts w:ascii="Arial" w:eastAsia="Calibri" w:hAnsi="Arial" w:cs="Arial"/>
          <w:szCs w:val="28"/>
        </w:rPr>
        <w:t xml:space="preserve"> </w:t>
      </w:r>
    </w:p>
    <w:p w14:paraId="426B8610" w14:textId="6DFD246A" w:rsidR="00220D3E" w:rsidRPr="00511005" w:rsidRDefault="00220D3E" w:rsidP="003A292D">
      <w:pPr>
        <w:tabs>
          <w:tab w:val="left" w:pos="709"/>
        </w:tabs>
        <w:spacing w:line="264" w:lineRule="auto"/>
        <w:contextualSpacing/>
        <w:rPr>
          <w:rFonts w:ascii="Arial" w:eastAsia="Calibri" w:hAnsi="Arial" w:cs="Arial"/>
          <w:szCs w:val="28"/>
          <w:lang w:val="uk-UA"/>
        </w:rPr>
      </w:pPr>
    </w:p>
    <w:p w14:paraId="3202FB37" w14:textId="766D43EE" w:rsidR="00220D3E" w:rsidRPr="00511005" w:rsidRDefault="007B2628" w:rsidP="003A292D">
      <w:p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усиновлення</w:t>
      </w:r>
      <w:r w:rsidR="00220D3E" w:rsidRPr="00511005">
        <w:rPr>
          <w:rFonts w:ascii="Arial" w:eastAsia="Times New Roman" w:hAnsi="Arial" w:cs="Arial"/>
          <w:szCs w:val="28"/>
          <w:lang w:eastAsia="ru-RU"/>
        </w:rPr>
        <w:t xml:space="preserve">, </w:t>
      </w:r>
      <w:r w:rsidR="00220D3E" w:rsidRPr="00511005">
        <w:rPr>
          <w:rFonts w:ascii="Arial" w:eastAsia="Times New Roman" w:hAnsi="Arial" w:cs="Arial"/>
          <w:szCs w:val="28"/>
          <w:lang w:val="uk-UA" w:eastAsia="ru-RU"/>
        </w:rPr>
        <w:t>м</w:t>
      </w:r>
      <w:r w:rsidR="00220D3E" w:rsidRPr="00511005">
        <w:rPr>
          <w:rFonts w:ascii="Arial" w:eastAsia="Times New Roman" w:hAnsi="Arial" w:cs="Arial"/>
          <w:szCs w:val="28"/>
          <w:lang w:eastAsia="ru-RU"/>
        </w:rPr>
        <w:t>іжнародне усиновлення, колізійні норми, право дитини, торгівля дітьми, міжнародне співробітництво, сімейне законодавство, конвенції ООН.</w:t>
      </w:r>
    </w:p>
    <w:p w14:paraId="376C39EF" w14:textId="49B181BD" w:rsidR="00220D3E" w:rsidRPr="00511005" w:rsidRDefault="007B2628" w:rsidP="003A292D">
      <w:p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220D3E" w:rsidRPr="00511005">
        <w:rPr>
          <w:rFonts w:ascii="Arial" w:eastAsia="Times New Roman" w:hAnsi="Arial" w:cs="Arial"/>
          <w:szCs w:val="28"/>
          <w:lang w:val="uk-UA" w:eastAsia="ru-RU"/>
        </w:rPr>
        <w:t>adoption, international adoption, conflict-of-law rules, child rights, child trafficking, international cooperation, family law, UN conventions.</w:t>
      </w:r>
    </w:p>
    <w:p w14:paraId="4DF74E34" w14:textId="3B7910F3" w:rsidR="00220D3E" w:rsidRPr="00511005" w:rsidRDefault="007B2628" w:rsidP="003A292D">
      <w:pPr>
        <w:tabs>
          <w:tab w:val="left" w:pos="709"/>
        </w:tabs>
        <w:spacing w:line="264" w:lineRule="auto"/>
        <w:jc w:val="left"/>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val="uk-UA" w:eastAsia="ru-RU"/>
        </w:rPr>
        <w:t xml:space="preserve">асистент кафедри </w:t>
      </w:r>
      <w:r w:rsidR="00220D3E" w:rsidRPr="00511005">
        <w:rPr>
          <w:rFonts w:ascii="Arial" w:eastAsia="Times New Roman" w:hAnsi="Arial" w:cs="Arial"/>
          <w:i/>
          <w:iCs/>
          <w:szCs w:val="28"/>
          <w:lang w:val="uk-UA" w:eastAsia="ru-RU"/>
        </w:rPr>
        <w:t>Бугаєць А</w:t>
      </w:r>
      <w:r w:rsidR="00220D3E" w:rsidRPr="00511005">
        <w:rPr>
          <w:rFonts w:ascii="Arial" w:eastAsia="Times New Roman" w:hAnsi="Arial" w:cs="Arial"/>
          <w:i/>
          <w:iCs/>
          <w:szCs w:val="28"/>
          <w:lang w:eastAsia="ru-RU"/>
        </w:rPr>
        <w:t xml:space="preserve">. </w:t>
      </w:r>
      <w:r w:rsidR="00220D3E" w:rsidRPr="00511005">
        <w:rPr>
          <w:rFonts w:ascii="Arial" w:eastAsia="Times New Roman" w:hAnsi="Arial" w:cs="Arial"/>
          <w:i/>
          <w:iCs/>
          <w:szCs w:val="28"/>
          <w:lang w:val="uk-UA" w:eastAsia="ru-RU"/>
        </w:rPr>
        <w:t>С.</w:t>
      </w:r>
    </w:p>
    <w:p w14:paraId="23800C91"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p>
    <w:p w14:paraId="026ECAD4"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Афонькіна Вікторія Ярославівна</w:t>
      </w:r>
    </w:p>
    <w:p w14:paraId="6F67EAAC" w14:textId="33704B52"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00A2C984" w14:textId="0D72C6CB"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0198F45"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6F99F406" w14:textId="77777777" w:rsidR="00220D3E"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ЗАБОРОНА УЧАСТІ ДІТЕЙ-КОМБАТАНТІВ В ЗБРОЙНИХ КОНФЛІКТАХ</w:t>
      </w:r>
    </w:p>
    <w:p w14:paraId="6C96ED19"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Участь дітей у бойових діях стала однією з найгостріших гуманітарних проблем сучасності, що порушує питання моралі, правової відповідальності та політичної свідомості держав. Діти, позбавлені права на дитинство, здоров’я і розвиток, часто стають інструментом досягнення військових і політичних цілей. Це явище має складне підґрунтя — економічна нерівність, політична нестабільність і культурні традиції, що сприяють експлуатації дітей у конфліктах.</w:t>
      </w:r>
    </w:p>
    <w:p w14:paraId="6CB5D4A5"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Історично діти використовувалися у військових конфліктах як примусова робоча сила або безкоштовна бойова одиниця. Їх рекрутували з метою заповнення вакансій у збройних угрупуваннях, адже дітей легше контролювати, використовувати їхню вразливість і простоту у впливі, ніж дорослих. У багатьох країнах африканського континенту, на Близькому Сході, а також у деяких регіонах Азії практику примусового залучення неповнолітніх обґрунтовували необхідністю зберегти чисельність і мобільність своїх військових сил. Цей факт супроводжується численними свідченнями психологічних, фізичних і моральних травм, що їх зазнають </w:t>
      </w:r>
      <w:r w:rsidRPr="00511005">
        <w:rPr>
          <w:rFonts w:ascii="Arial" w:eastAsia="Times New Roman" w:hAnsi="Arial" w:cs="Arial"/>
          <w:szCs w:val="28"/>
          <w:lang w:eastAsia="ru-RU"/>
        </w:rPr>
        <w:lastRenderedPageBreak/>
        <w:t>діти, котрі стають жертвами жорстокої реальності збройних конфліктів. Багато з них не тільки втрачають сімейні зв’язки і можливість отримати освіту, але й опиняються на межі безнадійності, що повинно слугувати уроком для міжнародної спільноти у питанні запобігання і протидії таким практикам. [5]</w:t>
      </w:r>
    </w:p>
    <w:p w14:paraId="4916AF8A" w14:textId="7512C8FF"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Особливе місце у сучасному інформаційному ландшафті займає пропаганда, спрямована на формування уявлення про участь дітей у бойових діях. росія неодноразово використовувала цю тему як інструмент політичного впливу. Пропагандистські наративи, що поширюються через офіційні ЗМІ та соціальні мережі, здебільшого висвітлюють ситуацію таким чином, ніби саме противники рф активно залучають дітей до бойових дій, використовуючи їх як засіб для дискредитації ворога. За допомогою емоційно забарвлених звернень і перебільшень ці історії створюють враження моральної нестачі суперника, формуючи образ ворога, який не поважає права найуразливіших представників суспільства. Таким чином, за допомогою маніпуляції фактами і спотворенням реальних подій, російська пропаганда намагається легітимізувати власну позицію, виставляючи її як єдину силу, яка захищає моральні цінності та дитинство. При цьому достовірність інформації, що надходить з таких джерел, часто викликає сумніви у міжнародних правозахисних організацій, які попереджають про небезпеку використання дітей як інструменту політичних маніпуляцій, адже це посилює конфлікти і робить дипломатичні процеси майже неможливими. [1]</w:t>
      </w:r>
    </w:p>
    <w:p w14:paraId="0659291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Водночас, проблема участі дітей в збройних конфліктах набула значного розголосу не лише через інформаційну війну, а й завдяки міжнародним зусиллям правосуддя. Одним із яскравих прикладів є діяльність Трибуналу Сьєрра-Леона, створеного для розслідування злочинів, скоєних під час громадянської війни в Сьєрра-Леоне. Цей судовий інститут був впроваджений у відповідь на численні випадки примусового рекрутування дітей у бойові формування, що призвело до масових порушень прав дитини та серйозних гуманітарних наслідків. Судові процеси, що проводилися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трибуналу, не лише фіксували факти прямого використання неповнолітніх у військових операціях, а й встановлювали юридичну відповідальність командирів і лідерів за примусове залучення дітей у бойові дії. Один із принципових аспектів роботи цього трибуналу полягав у тому, що такий злочин, незалежно від обставин, розглядався як свідома і систематична політика, спрямована на експлуатацію фізичної та психологічної вразливості дітей. Рішення трибуналу вплинули на формування міжнародних норм, що вимагають притягнення до відповідальності як державних, так і недержавних суб’єктів, які використовують дітей для участі у збройних конфліктах. Цей приклад став важливою віхою в історії міжнародного кримінального права, оскільки він дав </w:t>
      </w:r>
      <w:r w:rsidRPr="00511005">
        <w:rPr>
          <w:rFonts w:ascii="Arial" w:eastAsia="Times New Roman" w:hAnsi="Arial" w:cs="Arial"/>
          <w:szCs w:val="28"/>
          <w:lang w:eastAsia="ru-RU"/>
        </w:rPr>
        <w:lastRenderedPageBreak/>
        <w:t>зрозуміти: будь-яка держава чи угруповання, що порушує основоположні права дитини, не зможе розраховувати на безкарність, а кожен випадок примусового рекрутування має бути ретельно розслідуваним і притягнутим до відповідальності згідно з міжнародними стандартами.[3]</w:t>
      </w:r>
    </w:p>
    <w:p w14:paraId="2588FBD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світлі вищезазначених процесів необхідно розуміти, що проблема участі дітей-комбатантів є наслідком глибоких соціальних і політичних криз, які породжують умови для незаконного залучення дітей до бойових дій. Протидія цьому явищу вимагає створення комплексного підходу, що базується як на національних, так і на міжнародних правових механізмах. Важливо розробити і впровадити ефективні програми реабілітації та психологічної підтримки для дітей, які опинилися у безвихідній ситуації через збройні конфлікти, оскільки навіть після припинення бойових дій їх травми можуть супроводжувати їх усе життя. У цьому контексті роль інформаційної роботи стає надзвичайно критичною: усунення хибних наративів і пропагандистських маніпуляцій, що деморалізують суспільство і вигідно підкреслюють окремі політичні інтереси, може сприяти зменшенню напруженості і посиленню діалогу між конфліктуючими сторонами. Водночас міжнародна спільнота повинна активно підтримувати зусилля, спрямовані на запобігання примусовому рекрутуванню дітей, здійснюючи моніторинг ситуації у гарячих точках світу і надаючи допомогу постраждалим регіонам. [2]</w:t>
      </w:r>
    </w:p>
    <w:p w14:paraId="133152D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 менш важливим елементом у протидії проблему дітей-комбатантів є формування правового механізму, який би передбачав оперативну реакцію на випадки їх незаконного залучення до бойових дій. Спрямування зусиль на реформування національних законодавств, імплементацію міжнародних конвенцій про права дитини та створення спеціалізованих судових інстанцій є одним із шляхів до зменшення кількості подібних трагічних випадків у майбутньому. [3]</w:t>
      </w:r>
    </w:p>
    <w:p w14:paraId="6643309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Сучасні збройні конфлікти вимагають від міжнародної спільноти узгоджених дій не лише у політичній та військовій, а й у правовій та інформаційній сферах. Незалежно від змін ситуації, очевидним залишається одне: кожна дитина в зоні бойових дій — жертва війни та порушення її прав. Примусове рекрутування дітей зумовлене соціальною нестабільністю й політичними конфліктами, але водночас активно використовується як інструмент пропаганди. Зокрема, російська пропаганда цинічно маніпулює найбеззахиснішими. Образ дітей-комбатантів, створений за допомогою емоційно забарвленої риторики, має на меті не стільки донести об’єктивну інформацію, скільки викликати обурення, страх і розкол у суспільстві. Такий підхід не лише спотворює реальну картину подій, а й ускладнює міжнародний діалог, позбавляючи можливості конструктивного вирішення конфліктів. [4]</w:t>
      </w:r>
    </w:p>
    <w:p w14:paraId="3AABAC5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Таким чином, проблема участі дітей у збройних конфліктах є надзвичайно багатогранною і вимагає системного підходу в усіх її проявах. Вона охоплює як безпосередню жорстоку реальність перебування неповнолітніх на полях битв, так і глибокі інформаційні маніпуляції, спрямовані на легітимізацію агресивних політичних рішень. Досвід міжнародних судових органів, таких як Трибунал Сьєрра-Леона, демонструє, що навіть у складних умовах конфлікту можна забезпечити притягнення до відповідальності тих, хто організовує примусове рекрутування дітей. Міжнародна спільнота має брати на себе відповідальність за створення умов, у яких кожна дитина буде позбавлена страху та насильства, а її права будуть гарантуватися як на національному, так і на глобальному рівнях.</w:t>
      </w:r>
    </w:p>
    <w:p w14:paraId="66FFEBE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Врешті, сучасний світ стоїть перед викликом, який потребує не лише юридичної відповідальності, а й моральної рефлексії і солідарності на глобальному рівні. Проблема дітей-комбатантів є дзеркалом розколу сучасних цивілізацій, що демонструє, як легко втрачається людяність в умовах війни і інформаційного протистояння. Цей шлях складний і тернистий, але історія показує, що коли людство об’єднується навколо ідеалів гідності і справедливості, воно здатне подолати навіть найбільші негаразди, забезпечуючи майбутнє, в якому війна і насильство поступаються місцем співчуттю, розумінню і надії.</w:t>
      </w:r>
    </w:p>
    <w:p w14:paraId="030B179B"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5B953860" w14:textId="3AFDBB78" w:rsidR="00220D3E" w:rsidRPr="00511005" w:rsidRDefault="007B2628" w:rsidP="007B2628">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06A09505" w14:textId="77777777" w:rsidR="00220D3E" w:rsidRPr="00511005" w:rsidRDefault="00220D3E" w:rsidP="000C392A">
      <w:pPr>
        <w:numPr>
          <w:ilvl w:val="0"/>
          <w:numId w:val="5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Грушко М. В. Збройні конфлікти та міграційна криза: запит на зміни. // Російсько-українська війна: право, безпека, світ [Матеріали V Міжнародної науково-практичної конференції, м. Тернопіль, Західноукраїнський національний університет, 29-30 квітня 2022 р.]. Тернопіль: ЗУНУ, 2022. 357 с. С. 300-302;</w:t>
      </w:r>
    </w:p>
    <w:p w14:paraId="598198A3" w14:textId="5A311F7A" w:rsidR="00220D3E" w:rsidRPr="00511005" w:rsidRDefault="00220D3E" w:rsidP="000C392A">
      <w:pPr>
        <w:numPr>
          <w:ilvl w:val="0"/>
          <w:numId w:val="5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«Діти в контексті збройних конфліктів». Проміжний доклад Спеціального представника Генерального секретаря ООН. E/CN.4/1998/119 від 12.03.1998</w:t>
      </w:r>
      <w:r w:rsidR="007B2628" w:rsidRPr="00511005">
        <w:rPr>
          <w:rFonts w:ascii="Arial" w:eastAsia="Calibri" w:hAnsi="Arial" w:cs="Arial"/>
          <w:szCs w:val="28"/>
        </w:rPr>
        <w:t xml:space="preserve"> </w:t>
      </w:r>
      <w:r w:rsidRPr="00511005">
        <w:rPr>
          <w:rFonts w:ascii="Arial" w:eastAsia="Calibri" w:hAnsi="Arial" w:cs="Arial"/>
          <w:szCs w:val="28"/>
        </w:rPr>
        <w:t xml:space="preserve">р. Електронний ресурс – точка доступа </w:t>
      </w:r>
      <w:r w:rsidRPr="00511005">
        <w:rPr>
          <w:rFonts w:ascii="Arial" w:eastAsia="Calibri" w:hAnsi="Arial" w:cs="Arial"/>
          <w:szCs w:val="28"/>
          <w:lang w:val="en-US"/>
        </w:rPr>
        <w:t>URL</w:t>
      </w:r>
      <w:r w:rsidRPr="00511005">
        <w:rPr>
          <w:rFonts w:ascii="Arial" w:eastAsia="Calibri" w:hAnsi="Arial" w:cs="Arial"/>
          <w:szCs w:val="28"/>
        </w:rPr>
        <w:t>: http://daccess-dds-ny.un. org/doc/UNDOC/GEN/G98/109/25/PDF/G9810925. pdf? OpenElement</w:t>
      </w:r>
    </w:p>
    <w:p w14:paraId="5BC98B6A" w14:textId="77777777" w:rsidR="00220D3E" w:rsidRPr="00511005" w:rsidRDefault="00220D3E" w:rsidP="000C392A">
      <w:pPr>
        <w:numPr>
          <w:ilvl w:val="0"/>
          <w:numId w:val="5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ЗАБОРОНА</w:t>
      </w:r>
      <w:r w:rsidRPr="00511005">
        <w:rPr>
          <w:rFonts w:ascii="Arial" w:eastAsia="Calibri" w:hAnsi="Arial" w:cs="Arial"/>
          <w:szCs w:val="28"/>
        </w:rPr>
        <w:tab/>
        <w:t>УЧАСТІ</w:t>
      </w:r>
      <w:r w:rsidRPr="00511005">
        <w:rPr>
          <w:rFonts w:ascii="Arial" w:eastAsia="Calibri" w:hAnsi="Arial" w:cs="Arial"/>
          <w:szCs w:val="28"/>
        </w:rPr>
        <w:tab/>
        <w:t>ДІТЕЙ</w:t>
      </w:r>
      <w:r w:rsidRPr="00511005">
        <w:rPr>
          <w:rFonts w:ascii="Arial" w:eastAsia="Calibri" w:hAnsi="Arial" w:cs="Arial"/>
          <w:szCs w:val="28"/>
        </w:rPr>
        <w:tab/>
        <w:t>У</w:t>
      </w:r>
      <w:r w:rsidRPr="00511005">
        <w:rPr>
          <w:rFonts w:ascii="Arial" w:eastAsia="Calibri" w:hAnsi="Arial" w:cs="Arial"/>
          <w:szCs w:val="28"/>
        </w:rPr>
        <w:tab/>
        <w:t>ЗБРОЙНИХ КОНФЛІКТАХ: МІЖНАРОДНО</w:t>
      </w:r>
      <w:r w:rsidRPr="00511005">
        <w:rPr>
          <w:rFonts w:ascii="Cambria Math" w:eastAsia="Calibri" w:hAnsi="Cambria Math" w:cs="Cambria Math"/>
          <w:szCs w:val="28"/>
        </w:rPr>
        <w:t>‐</w:t>
      </w:r>
      <w:r w:rsidRPr="00511005">
        <w:rPr>
          <w:rFonts w:ascii="Arial" w:eastAsia="Calibri" w:hAnsi="Arial" w:cs="Arial"/>
          <w:szCs w:val="28"/>
        </w:rPr>
        <w:t xml:space="preserve">ПРАВОВА </w:t>
      </w:r>
      <w:r w:rsidRPr="00511005">
        <w:rPr>
          <w:rFonts w:ascii="Arial" w:eastAsia="Calibri" w:hAnsi="Arial" w:cs="Arial"/>
          <w:szCs w:val="28"/>
        </w:rPr>
        <w:tab/>
        <w:t>АКСІОМА. Грушко</w:t>
      </w:r>
      <w:r w:rsidRPr="00511005">
        <w:rPr>
          <w:rFonts w:ascii="Arial" w:eastAsia="Calibri" w:hAnsi="Arial" w:cs="Arial"/>
          <w:szCs w:val="28"/>
        </w:rPr>
        <w:tab/>
        <w:t>Мальвіна Валеріївна. с.1-2.</w:t>
      </w:r>
      <w:r w:rsidRPr="00511005">
        <w:rPr>
          <w:rFonts w:ascii="Arial" w:eastAsia="Calibri" w:hAnsi="Arial" w:cs="Arial"/>
          <w:szCs w:val="28"/>
          <w:lang w:val="en-US"/>
        </w:rPr>
        <w:t xml:space="preserve"> </w:t>
      </w:r>
      <w:bookmarkStart w:id="24" w:name="_Hlk196672062"/>
      <w:r w:rsidRPr="00511005">
        <w:rPr>
          <w:rFonts w:ascii="Arial" w:eastAsia="Calibri" w:hAnsi="Arial" w:cs="Arial"/>
          <w:szCs w:val="28"/>
          <w:lang w:val="en-US"/>
        </w:rPr>
        <w:t>(</w:t>
      </w:r>
      <w:r w:rsidRPr="00511005">
        <w:rPr>
          <w:rFonts w:ascii="Arial" w:eastAsia="Calibri" w:hAnsi="Arial" w:cs="Arial"/>
          <w:szCs w:val="28"/>
        </w:rPr>
        <w:t>дата звернення:10.05.25)</w:t>
      </w:r>
      <w:bookmarkEnd w:id="24"/>
    </w:p>
    <w:p w14:paraId="5DF6586B" w14:textId="77777777" w:rsidR="00220D3E" w:rsidRPr="00511005" w:rsidRDefault="00220D3E" w:rsidP="000C392A">
      <w:pPr>
        <w:numPr>
          <w:ilvl w:val="0"/>
          <w:numId w:val="5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Новаковський П.М. ДІТИ ЗІ ЗБРОЄЮ У РУКАХ: ЖАХЛИВІ РЕАЛІЇ СУЧАСНОЇ ВІЙНИ. 2021. 16 січ. С. 681-683.</w:t>
      </w:r>
    </w:p>
    <w:p w14:paraId="4EAAE4D3" w14:textId="77777777" w:rsidR="00220D3E" w:rsidRPr="00511005" w:rsidRDefault="00220D3E" w:rsidP="000C392A">
      <w:pPr>
        <w:numPr>
          <w:ilvl w:val="0"/>
          <w:numId w:val="5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Про охорону дитинства: Закон України вiд 26.04.2001 № 2402-III. </w:t>
      </w:r>
      <w:r w:rsidRPr="00511005">
        <w:rPr>
          <w:rFonts w:ascii="Arial" w:eastAsia="Calibri" w:hAnsi="Arial" w:cs="Arial"/>
          <w:szCs w:val="28"/>
          <w:lang w:val="pl-PL"/>
        </w:rPr>
        <w:t xml:space="preserve">URL: https://zakon.rada.gov.ua/laws/show/2402-14. </w:t>
      </w:r>
      <w:r w:rsidRPr="00511005">
        <w:rPr>
          <w:rFonts w:ascii="Arial" w:eastAsia="Calibri" w:hAnsi="Arial" w:cs="Arial"/>
          <w:szCs w:val="28"/>
        </w:rPr>
        <w:t>(дата звернення: 10.04.25).</w:t>
      </w:r>
    </w:p>
    <w:p w14:paraId="0D195855" w14:textId="77777777" w:rsidR="00220D3E" w:rsidRPr="00511005" w:rsidRDefault="00220D3E" w:rsidP="000C392A">
      <w:pPr>
        <w:numPr>
          <w:ilvl w:val="0"/>
          <w:numId w:val="5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lang w:val="en-US"/>
        </w:rPr>
        <w:t xml:space="preserve">Galyna, T., Hrushko, M., Grygor`yeva, V. V., Manuilova K. &amp; Kramar, R. (2023). The role of international law in ensuring international </w:t>
      </w:r>
      <w:r w:rsidRPr="00511005">
        <w:rPr>
          <w:rFonts w:ascii="Arial" w:eastAsia="Calibri" w:hAnsi="Arial" w:cs="Arial"/>
          <w:szCs w:val="28"/>
          <w:lang w:val="en-US"/>
        </w:rPr>
        <w:lastRenderedPageBreak/>
        <w:t>security. (4). Lex Humana. No</w:t>
      </w:r>
      <w:r w:rsidRPr="00511005">
        <w:rPr>
          <w:rFonts w:ascii="Arial" w:eastAsia="Calibri" w:hAnsi="Arial" w:cs="Arial"/>
          <w:szCs w:val="28"/>
        </w:rPr>
        <w:t xml:space="preserve"> 15. </w:t>
      </w:r>
      <w:r w:rsidRPr="00511005">
        <w:rPr>
          <w:rFonts w:ascii="Arial" w:eastAsia="Calibri" w:hAnsi="Arial" w:cs="Arial"/>
          <w:szCs w:val="28"/>
          <w:lang w:val="en-US"/>
        </w:rPr>
        <w:t>P</w:t>
      </w:r>
      <w:r w:rsidRPr="00511005">
        <w:rPr>
          <w:rFonts w:ascii="Arial" w:eastAsia="Calibri" w:hAnsi="Arial" w:cs="Arial"/>
          <w:szCs w:val="28"/>
        </w:rPr>
        <w:t xml:space="preserve">. 590-608. </w:t>
      </w:r>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seer</w:t>
      </w:r>
      <w:r w:rsidRPr="00511005">
        <w:rPr>
          <w:rFonts w:ascii="Arial" w:eastAsia="Calibri" w:hAnsi="Arial" w:cs="Arial"/>
          <w:szCs w:val="28"/>
        </w:rPr>
        <w:t>.</w:t>
      </w:r>
      <w:r w:rsidRPr="00511005">
        <w:rPr>
          <w:rFonts w:ascii="Arial" w:eastAsia="Calibri" w:hAnsi="Arial" w:cs="Arial"/>
          <w:szCs w:val="28"/>
          <w:lang w:val="en-US"/>
        </w:rPr>
        <w:t>ucp</w:t>
      </w:r>
      <w:r w:rsidRPr="00511005">
        <w:rPr>
          <w:rFonts w:ascii="Arial" w:eastAsia="Calibri" w:hAnsi="Arial" w:cs="Arial"/>
          <w:szCs w:val="28"/>
        </w:rPr>
        <w:t>.</w:t>
      </w:r>
      <w:r w:rsidRPr="00511005">
        <w:rPr>
          <w:rFonts w:ascii="Arial" w:eastAsia="Calibri" w:hAnsi="Arial" w:cs="Arial"/>
          <w:szCs w:val="28"/>
          <w:lang w:val="en-US"/>
        </w:rPr>
        <w:t>br</w:t>
      </w:r>
      <w:r w:rsidRPr="00511005">
        <w:rPr>
          <w:rFonts w:ascii="Arial" w:eastAsia="Calibri" w:hAnsi="Arial" w:cs="Arial"/>
          <w:szCs w:val="28"/>
        </w:rPr>
        <w:t>/</w:t>
      </w:r>
      <w:r w:rsidRPr="00511005">
        <w:rPr>
          <w:rFonts w:ascii="Arial" w:eastAsia="Calibri" w:hAnsi="Arial" w:cs="Arial"/>
          <w:szCs w:val="28"/>
          <w:lang w:val="en-US"/>
        </w:rPr>
        <w:t>seer</w:t>
      </w:r>
      <w:r w:rsidRPr="00511005">
        <w:rPr>
          <w:rFonts w:ascii="Arial" w:eastAsia="Calibri" w:hAnsi="Arial" w:cs="Arial"/>
          <w:szCs w:val="28"/>
        </w:rPr>
        <w:t>/</w:t>
      </w:r>
      <w:r w:rsidRPr="00511005">
        <w:rPr>
          <w:rFonts w:ascii="Arial" w:eastAsia="Calibri" w:hAnsi="Arial" w:cs="Arial"/>
          <w:szCs w:val="28"/>
          <w:lang w:val="en-US"/>
        </w:rPr>
        <w:t>index</w:t>
      </w:r>
      <w:r w:rsidRPr="00511005">
        <w:rPr>
          <w:rFonts w:ascii="Arial" w:eastAsia="Calibri" w:hAnsi="Arial" w:cs="Arial"/>
          <w:szCs w:val="28"/>
        </w:rPr>
        <w:t>.</w:t>
      </w:r>
      <w:r w:rsidRPr="00511005">
        <w:rPr>
          <w:rFonts w:ascii="Arial" w:eastAsia="Calibri" w:hAnsi="Arial" w:cs="Arial"/>
          <w:szCs w:val="28"/>
          <w:lang w:val="en-US"/>
        </w:rPr>
        <w:t>php</w:t>
      </w:r>
      <w:r w:rsidRPr="00511005">
        <w:rPr>
          <w:rFonts w:ascii="Arial" w:eastAsia="Calibri" w:hAnsi="Arial" w:cs="Arial"/>
          <w:szCs w:val="28"/>
        </w:rPr>
        <w:t>/</w:t>
      </w:r>
      <w:r w:rsidRPr="00511005">
        <w:rPr>
          <w:rFonts w:ascii="Arial" w:eastAsia="Calibri" w:hAnsi="Arial" w:cs="Arial"/>
          <w:szCs w:val="28"/>
          <w:lang w:val="en-US"/>
        </w:rPr>
        <w:t>LexHumana</w:t>
      </w:r>
      <w:r w:rsidRPr="00511005">
        <w:rPr>
          <w:rFonts w:ascii="Arial" w:eastAsia="Calibri" w:hAnsi="Arial" w:cs="Arial"/>
          <w:szCs w:val="28"/>
        </w:rPr>
        <w:t>/</w:t>
      </w:r>
      <w:r w:rsidRPr="00511005">
        <w:rPr>
          <w:rFonts w:ascii="Arial" w:eastAsia="Calibri" w:hAnsi="Arial" w:cs="Arial"/>
          <w:szCs w:val="28"/>
          <w:lang w:val="en-US"/>
        </w:rPr>
        <w:t>article</w:t>
      </w:r>
      <w:r w:rsidRPr="00511005">
        <w:rPr>
          <w:rFonts w:ascii="Arial" w:eastAsia="Calibri" w:hAnsi="Arial" w:cs="Arial"/>
          <w:szCs w:val="28"/>
        </w:rPr>
        <w:t>/</w:t>
      </w:r>
      <w:r w:rsidRPr="00511005">
        <w:rPr>
          <w:rFonts w:ascii="Arial" w:eastAsia="Calibri" w:hAnsi="Arial" w:cs="Arial"/>
          <w:szCs w:val="28"/>
          <w:lang w:val="en-US"/>
        </w:rPr>
        <w:t>view</w:t>
      </w:r>
      <w:r w:rsidRPr="00511005">
        <w:rPr>
          <w:rFonts w:ascii="Arial" w:eastAsia="Calibri" w:hAnsi="Arial" w:cs="Arial"/>
          <w:szCs w:val="28"/>
        </w:rPr>
        <w:t xml:space="preserve">/2833 </w:t>
      </w:r>
      <w:r w:rsidRPr="00511005">
        <w:rPr>
          <w:rFonts w:ascii="Arial" w:eastAsia="Calibri" w:hAnsi="Arial" w:cs="Arial"/>
          <w:szCs w:val="28"/>
          <w:lang w:val="en-US"/>
        </w:rPr>
        <w:t>URL</w:t>
      </w:r>
      <w:r w:rsidRPr="00511005">
        <w:rPr>
          <w:rFonts w:ascii="Arial" w:eastAsia="Calibri" w:hAnsi="Arial" w:cs="Arial"/>
          <w:szCs w:val="28"/>
        </w:rPr>
        <w:t xml:space="preserve">: </w:t>
      </w:r>
      <w:hyperlink r:id="rId148"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hdl</w:t>
        </w:r>
        <w:r w:rsidRPr="00511005">
          <w:rPr>
            <w:rFonts w:ascii="Arial" w:eastAsia="Calibri" w:hAnsi="Arial" w:cs="Arial"/>
            <w:szCs w:val="28"/>
          </w:rPr>
          <w:t>.</w:t>
        </w:r>
        <w:r w:rsidRPr="00511005">
          <w:rPr>
            <w:rFonts w:ascii="Arial" w:eastAsia="Calibri" w:hAnsi="Arial" w:cs="Arial"/>
            <w:szCs w:val="28"/>
            <w:lang w:val="en-US"/>
          </w:rPr>
          <w:t>handle</w:t>
        </w:r>
        <w:r w:rsidRPr="00511005">
          <w:rPr>
            <w:rFonts w:ascii="Arial" w:eastAsia="Calibri" w:hAnsi="Arial" w:cs="Arial"/>
            <w:szCs w:val="28"/>
          </w:rPr>
          <w:t>.</w:t>
        </w:r>
        <w:r w:rsidRPr="00511005">
          <w:rPr>
            <w:rFonts w:ascii="Arial" w:eastAsia="Calibri" w:hAnsi="Arial" w:cs="Arial"/>
            <w:szCs w:val="28"/>
            <w:lang w:val="en-US"/>
          </w:rPr>
          <w:t>net</w:t>
        </w:r>
        <w:r w:rsidRPr="00511005">
          <w:rPr>
            <w:rFonts w:ascii="Arial" w:eastAsia="Calibri" w:hAnsi="Arial" w:cs="Arial"/>
            <w:szCs w:val="28"/>
          </w:rPr>
          <w:t>/11300/26856</w:t>
        </w:r>
      </w:hyperlink>
      <w:r w:rsidRPr="00511005">
        <w:rPr>
          <w:rFonts w:ascii="Arial" w:eastAsia="Calibri" w:hAnsi="Arial" w:cs="Arial"/>
          <w:szCs w:val="28"/>
        </w:rPr>
        <w:t xml:space="preserve"> (дата звернення:10.05.25)</w:t>
      </w:r>
    </w:p>
    <w:p w14:paraId="205E7B04"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63A1FC87" w14:textId="547F5479"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діти-комбатанти, рекрутування, збройні конфлікти, права дитини, пропаганда, російська федерація, інформаційна війна, міжнародне право, Трибунал Сьєрра-Леоне, відповідальність, експлуатація, реабілітація, психологічна травма, гуманітарна проблема, маніпуляція.</w:t>
      </w:r>
    </w:p>
    <w:p w14:paraId="5861AA19" w14:textId="3E57E3B5"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child combatants, recruitment, armed conflicts, children's rights, propaganda, Russian Federation, information warfare, international law, Sierra Leone Tribunal, responsibility, exploitation, rehabilitation, psychological trauma, humanitarian problem, manipulation.</w:t>
      </w:r>
    </w:p>
    <w:p w14:paraId="35C75FDE" w14:textId="4C68B18A"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доцент кафедри, к.ю.н. Грушко М.В.</w:t>
      </w:r>
    </w:p>
    <w:p w14:paraId="3CB598DF"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eastAsia="ru-RU"/>
        </w:rPr>
      </w:pPr>
    </w:p>
    <w:p w14:paraId="1DB678F5"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eastAsia="ru-RU"/>
        </w:rPr>
      </w:pPr>
    </w:p>
    <w:p w14:paraId="7C4B0F97"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Афонькіна Вікторія Ярославівна</w:t>
      </w:r>
    </w:p>
    <w:p w14:paraId="66A203B9" w14:textId="6DF9EC8C"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7075B163" w14:textId="637D2E35"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E23135B"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52AA7594" w14:textId="77777777" w:rsidR="00220D3E"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ОСОБЛИВІ ПРАВА ТА ІМУНІТЕТИ ДИПЛОМАТИЧНИХ ПРЕДСТАВНИЦТВ У МІЖНАРОДНОМУ ПРАВІ</w:t>
      </w:r>
    </w:p>
    <w:p w14:paraId="706DA1C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Дипломатичні представництва відіграють ключову роль у системі міжнародних відносин, слугуючи інструментом реалізації зовнішньої політики держав та сприяючи забезпеченню мирного співіснування, координації міжнародного співробітництва і представництво інтересів своїх громадян і юридичних осіб закордоном. У зв’язку з цим міжнародне право гарантує дипломатичним установам особливий правовий статус, що включає права, привілеї та імунітети, які забезпечують умови для їх ефективного та безперешкодного функціонування. Ці права є не просто преференцією, а юридично закріпленими нормами, які мають обов’язковий характер для держав, що є учасниками відповідних міжнародних договорів.</w:t>
      </w:r>
    </w:p>
    <w:p w14:paraId="38E4488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Найважливішим джерелом правового регулювання дипломатичних імунітетів є Віденська конвенція про дипломатичні зносини 1961 року, ратифікована більшістю держав світу, включно з Україною. Цей документ визначає правовий статус дипломатичних представництв, закріплює принципи їх діяльності, функції, а також гарантії їх недоторканності. Основна мета надання імунітетів полягає в тому, щоб дипломатичне представництво могло вільно виконувати свої функції, не побоюючись втручання з боку держави перебування. Таким чином, мова йде не про особисті привілеї дипломатів, а про забезпечення державного інтересу тієї країни, яку вони представляють. [1]</w:t>
      </w:r>
    </w:p>
    <w:p w14:paraId="28BF38F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Однією з головних гарантій є недоторканність приміщення дипломатичної місії. Відповідно до статті 22 Віденської конвенції, приміщення місії є недоторканним: влада держави перебування не має права входити в нього без згоди глави місії, навіть у надзвичайних ситуаціях. Більше того, ці приміщення, майно місії та її транспортні засоби не можуть бути об’єктом обшуку, реквізиції чи арешту. [3]</w:t>
      </w:r>
    </w:p>
    <w:p w14:paraId="4AFA027F" w14:textId="4BD6D110"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Дипломатичні представники, які здійснюють дипломатичні функції, мають особисту недоторканність – їх не можна затримувати або арештовувати. Вони користуються повним імунітетом від кримінальної, цивільної та адміністративної юрисдикції держави перебування, за винятком випадків, прямо передбачених. Віденською конвенцією про дипломатичні зносини 1961 року.</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Імунітет охоплює також житло дипломата, його документи, листування, особисті речі і транспортні засоби.</w:t>
      </w:r>
    </w:p>
    <w:p w14:paraId="743EB20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Особливо важливим елементом забезпечення функціонування дипломатичної служби є інститут дипломатичної пошти. Відповідно до статті 27 Конвенції, дипломатична пошта є недоторканною і не може бути розпакована або затримана. Вона може супроводжуватись дипломатичним кур’єром, який також користується особистою недоторканністю. Цей імунітет має принципове значення, оскільки гарантує захист службової інформації, яка передається між дипломатичними установами. Навіть у випадку підозри зловживання, держава перебування має обмежені можливості для реагування.</w:t>
      </w:r>
    </w:p>
    <w:p w14:paraId="243FB17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Іншою важливою гарантією є імунітети та привілеї адміністративно-технічного та обслуговуючого персоналу дипломатичної місії. Адміністративно-технічний персонал користується імунітетом, подібним до дипломатичних агентів, хоча в більшості випадків він є функціональним, тобто застосовується лише щодо дій, здійснених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службових обов’язків. Щодо обслуговуючого персоналу, імунітет є ще більш обмеженим і, як правило, не охоплює дії в приватній сфері. [2]</w:t>
      </w:r>
    </w:p>
    <w:p w14:paraId="3A88320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Право держави перебування оголошувати дипломатичних агентів persona non grata є одним із важливих важелів, які дозволяють забезпечити баланс між імунітетами і захистом державного суверенітету. Відповідно до статті 9 Конвенції, приймаюча держава може </w:t>
      </w:r>
      <w:proofErr w:type="gramStart"/>
      <w:r w:rsidRPr="00511005">
        <w:rPr>
          <w:rFonts w:ascii="Arial" w:eastAsia="Times New Roman" w:hAnsi="Arial" w:cs="Arial"/>
          <w:szCs w:val="28"/>
          <w:lang w:eastAsia="ru-RU"/>
        </w:rPr>
        <w:t>в будь</w:t>
      </w:r>
      <w:proofErr w:type="gramEnd"/>
      <w:r w:rsidRPr="00511005">
        <w:rPr>
          <w:rFonts w:ascii="Arial" w:eastAsia="Times New Roman" w:hAnsi="Arial" w:cs="Arial"/>
          <w:szCs w:val="28"/>
          <w:lang w:eastAsia="ru-RU"/>
        </w:rPr>
        <w:t>-який момент без пояснення причин оголосити особу місії небажаною. Такий дипломат зобов’язаний залишити територію держави, і його країна повинна відкликати або припинити його місію. У сучасній практиці ця норма часто застосовується у випадках, коли дії дипломата суперечать інтересам національної безпеки або суперечать принципам взаємної поваги. [4]</w:t>
      </w:r>
    </w:p>
    <w:p w14:paraId="15F3B31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міжнародній практиці спостерігаються як приклади зразкового дотримання дипломатичних імунітетів, так і випадки їх грубого порушення або зловживання. Одним із найвідоміших кейсів стало захоплення посольства США в Ірані 1979 року, коли іранські студенти утримували </w:t>
      </w:r>
      <w:r w:rsidRPr="00511005">
        <w:rPr>
          <w:rFonts w:ascii="Arial" w:eastAsia="Times New Roman" w:hAnsi="Arial" w:cs="Arial"/>
          <w:szCs w:val="28"/>
          <w:lang w:eastAsia="ru-RU"/>
        </w:rPr>
        <w:lastRenderedPageBreak/>
        <w:t>американських дипломатів у заручниках. Міжнародний суд ООН у рішенні 1980 року чітко вказав на порушення Іраном своїх зобов’язань за Віденською конвенцією, підтвердивши абсолютний характер недоторканності дипломатичних установ. Така практика лише підкреслює важливість дотримання норм міжнародного права, оскільки їхнє ігнорування несе загрозу як конкретним дипломатам, так і системі міжнародних зносин загалом. [5]</w:t>
      </w:r>
    </w:p>
    <w:p w14:paraId="412A924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Україна, як учасник Віденської конвенції, чітко дотримується її норм. Протягом останнього десятиліття, особливо після 2014 року, українська дипломатична практика зазнала суттєвих змін, зокрема в контексті зменшення контактів з росією. Наприклад, після початку повномасштабного вторгнення рф у 2022 році Україна вислала значну частину російських дипломатів, звинувативши їх у шпигунстві та діяльності, що не відповідає їхньому дипломатичному статусу. Подібні дії були здійснені й багатьма іншими європейськими державами, що є свідченням зростання актуальності інституту persona non grata як інструменту захисту від потенційних загроз.</w:t>
      </w:r>
    </w:p>
    <w:p w14:paraId="193AC9F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той же час, Україна як приймаюча держава забезпечує всі необхідні умови для функціонування іноземних дипломатичних установ на своїй території, гарантуючи їхню недоторканність, свободу пересування, захист зв’язку та інші права згідно з міжнародним правом. Забезпечення поваги до цих норм з боку всіх держав світу є запорукою збереження міжнародного порядку, безпеки та у деяких випадках свідчить про наявність засадничих цінностей, якими керується держава до представників країни-агресора попри дії держави.</w:t>
      </w:r>
    </w:p>
    <w:p w14:paraId="7F62111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можна сказати, що дипломатичні представництва є невід’ємною складовою сучасної системи міжнародних відносин, виконуючи важливі функції з представництва, переговорів, захисту інтересів громадян та держави. Їхня ефективна діяльність можлива лише за умови дотримання міжнародно-правових гарантій, насамперед передбачених Віденською конвенцією про дипломатичні зносини 1961 року. Імунітети та привілеї, якими користуються дипломатичні місії та їх персонал, не є проявом особистих привілеїв, а механізмом, покликаним забезпечити незалежність та безпеку дипломатичної діяльності. У сучасних умовах, коли геополітичні загрози зростають, дотримання принципів дипломатичного права набуває особливого значення, оскільки від цього залежить стабільність міжнародної співпраці, захист суверенітету держав і безпека міжнародних відносин загалом. Україна, як відповідальна держава, дотримується міжнародних стандартів у цій сфері, поєднуючи повагу до імунітетів із необхідністю захисту власного національного інтересу.</w:t>
      </w:r>
    </w:p>
    <w:p w14:paraId="7035B64E"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579FB55C" w14:textId="3149F29A" w:rsidR="00220D3E" w:rsidRPr="00511005" w:rsidRDefault="007B2628" w:rsidP="007B2628">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24FD8156" w14:textId="77777777" w:rsidR="00220D3E" w:rsidRPr="00511005" w:rsidRDefault="00220D3E" w:rsidP="003F6A5D">
      <w:pPr>
        <w:numPr>
          <w:ilvl w:val="0"/>
          <w:numId w:val="196"/>
        </w:numPr>
        <w:tabs>
          <w:tab w:val="left" w:pos="709"/>
        </w:tabs>
        <w:spacing w:line="264" w:lineRule="auto"/>
        <w:ind w:left="0" w:firstLine="425"/>
        <w:contextualSpacing/>
        <w:jc w:val="left"/>
        <w:rPr>
          <w:rFonts w:ascii="Arial" w:eastAsia="Calibri" w:hAnsi="Arial" w:cs="Arial"/>
          <w:szCs w:val="28"/>
        </w:rPr>
      </w:pPr>
      <w:r w:rsidRPr="00511005">
        <w:rPr>
          <w:rFonts w:ascii="Arial" w:eastAsia="Calibri" w:hAnsi="Arial" w:cs="Arial"/>
          <w:szCs w:val="28"/>
        </w:rPr>
        <w:lastRenderedPageBreak/>
        <w:t xml:space="preserve">Віденська конвенція про дипломатичні </w:t>
      </w:r>
      <w:proofErr w:type="gramStart"/>
      <w:r w:rsidRPr="00511005">
        <w:rPr>
          <w:rFonts w:ascii="Arial" w:eastAsia="Calibri" w:hAnsi="Arial" w:cs="Arial"/>
          <w:szCs w:val="28"/>
        </w:rPr>
        <w:t>зносини :</w:t>
      </w:r>
      <w:proofErr w:type="gramEnd"/>
      <w:r w:rsidRPr="00511005">
        <w:rPr>
          <w:rFonts w:ascii="Arial" w:eastAsia="Calibri" w:hAnsi="Arial" w:cs="Arial"/>
          <w:szCs w:val="28"/>
        </w:rPr>
        <w:t xml:space="preserve"> Конвенція Орг. Об'єдн. Націй від </w:t>
      </w:r>
      <w:proofErr w:type="gramStart"/>
      <w:r w:rsidRPr="00511005">
        <w:rPr>
          <w:rFonts w:ascii="Arial" w:eastAsia="Calibri" w:hAnsi="Arial" w:cs="Arial"/>
          <w:szCs w:val="28"/>
        </w:rPr>
        <w:t>18.04.1961 :</w:t>
      </w:r>
      <w:proofErr w:type="gramEnd"/>
      <w:r w:rsidRPr="00511005">
        <w:rPr>
          <w:rFonts w:ascii="Arial" w:eastAsia="Calibri" w:hAnsi="Arial" w:cs="Arial"/>
          <w:szCs w:val="28"/>
        </w:rPr>
        <w:t xml:space="preserve"> станом на 21 берез. 1964 р. URL: </w:t>
      </w:r>
      <w:hyperlink r:id="rId149" w:history="1">
        <w:r w:rsidRPr="00511005">
          <w:rPr>
            <w:rFonts w:ascii="Arial" w:eastAsia="Calibri" w:hAnsi="Arial" w:cs="Arial"/>
            <w:szCs w:val="28"/>
          </w:rPr>
          <w:t>https://zakon.rada.gov.ua/laws/show/995_048</w:t>
        </w:r>
      </w:hyperlink>
      <w:r w:rsidRPr="00511005">
        <w:rPr>
          <w:rFonts w:ascii="Arial" w:eastAsia="Calibri" w:hAnsi="Arial" w:cs="Arial"/>
          <w:szCs w:val="28"/>
        </w:rPr>
        <w:t xml:space="preserve"> (дата звернення: 26.04.2025).</w:t>
      </w:r>
    </w:p>
    <w:p w14:paraId="2C577DD6" w14:textId="77777777" w:rsidR="00220D3E" w:rsidRPr="00511005" w:rsidRDefault="00220D3E" w:rsidP="003F6A5D">
      <w:pPr>
        <w:numPr>
          <w:ilvl w:val="0"/>
          <w:numId w:val="196"/>
        </w:numPr>
        <w:tabs>
          <w:tab w:val="left" w:pos="709"/>
        </w:tabs>
        <w:spacing w:line="264" w:lineRule="auto"/>
        <w:ind w:left="0" w:firstLine="425"/>
        <w:contextualSpacing/>
        <w:jc w:val="left"/>
        <w:rPr>
          <w:rFonts w:ascii="Arial" w:eastAsia="Calibri" w:hAnsi="Arial" w:cs="Arial"/>
          <w:szCs w:val="28"/>
        </w:rPr>
      </w:pPr>
      <w:r w:rsidRPr="00511005">
        <w:rPr>
          <w:rFonts w:ascii="Arial" w:eastAsia="Calibri" w:hAnsi="Arial" w:cs="Arial"/>
          <w:szCs w:val="28"/>
        </w:rPr>
        <w:t xml:space="preserve">Конвенція про привілеї та імунітети Об'єднаних </w:t>
      </w:r>
      <w:proofErr w:type="gramStart"/>
      <w:r w:rsidRPr="00511005">
        <w:rPr>
          <w:rFonts w:ascii="Arial" w:eastAsia="Calibri" w:hAnsi="Arial" w:cs="Arial"/>
          <w:szCs w:val="28"/>
        </w:rPr>
        <w:t>Націй :</w:t>
      </w:r>
      <w:proofErr w:type="gramEnd"/>
      <w:r w:rsidRPr="00511005">
        <w:rPr>
          <w:rFonts w:ascii="Arial" w:eastAsia="Calibri" w:hAnsi="Arial" w:cs="Arial"/>
          <w:szCs w:val="28"/>
        </w:rPr>
        <w:t xml:space="preserve"> Конвенція Орг. Об'єдн. Націй від </w:t>
      </w:r>
      <w:proofErr w:type="gramStart"/>
      <w:r w:rsidRPr="00511005">
        <w:rPr>
          <w:rFonts w:ascii="Arial" w:eastAsia="Calibri" w:hAnsi="Arial" w:cs="Arial"/>
          <w:szCs w:val="28"/>
        </w:rPr>
        <w:t>13.02.1946 :</w:t>
      </w:r>
      <w:proofErr w:type="gramEnd"/>
      <w:r w:rsidRPr="00511005">
        <w:rPr>
          <w:rFonts w:ascii="Arial" w:eastAsia="Calibri" w:hAnsi="Arial" w:cs="Arial"/>
          <w:szCs w:val="28"/>
        </w:rPr>
        <w:t xml:space="preserve"> станом на 20 листоп. 1953 р. URL: </w:t>
      </w:r>
      <w:hyperlink r:id="rId150" w:history="1">
        <w:r w:rsidRPr="00511005">
          <w:rPr>
            <w:rFonts w:ascii="Arial" w:eastAsia="Calibri" w:hAnsi="Arial" w:cs="Arial"/>
            <w:szCs w:val="28"/>
          </w:rPr>
          <w:t>https://zakon.rada.gov.ua/laws/show/995_150</w:t>
        </w:r>
      </w:hyperlink>
      <w:r w:rsidRPr="00511005">
        <w:rPr>
          <w:rFonts w:ascii="Arial" w:eastAsia="Calibri" w:hAnsi="Arial" w:cs="Arial"/>
          <w:szCs w:val="28"/>
        </w:rPr>
        <w:t xml:space="preserve"> (дата звернення: 26.04.2025).</w:t>
      </w:r>
    </w:p>
    <w:p w14:paraId="33833A0F" w14:textId="77777777" w:rsidR="00220D3E" w:rsidRPr="00511005" w:rsidRDefault="00220D3E" w:rsidP="003F6A5D">
      <w:pPr>
        <w:numPr>
          <w:ilvl w:val="0"/>
          <w:numId w:val="196"/>
        </w:numPr>
        <w:tabs>
          <w:tab w:val="left" w:pos="709"/>
        </w:tabs>
        <w:spacing w:line="264" w:lineRule="auto"/>
        <w:ind w:left="0" w:firstLine="425"/>
        <w:contextualSpacing/>
        <w:jc w:val="left"/>
        <w:rPr>
          <w:rFonts w:ascii="Arial" w:eastAsia="Calibri" w:hAnsi="Arial" w:cs="Arial"/>
          <w:szCs w:val="28"/>
        </w:rPr>
      </w:pPr>
      <w:r w:rsidRPr="00511005">
        <w:rPr>
          <w:rFonts w:ascii="Arial" w:eastAsia="Calibri" w:hAnsi="Arial" w:cs="Arial"/>
          <w:szCs w:val="28"/>
        </w:rPr>
        <w:t xml:space="preserve">Конвенція про спеціальні </w:t>
      </w:r>
      <w:proofErr w:type="gramStart"/>
      <w:r w:rsidRPr="00511005">
        <w:rPr>
          <w:rFonts w:ascii="Arial" w:eastAsia="Calibri" w:hAnsi="Arial" w:cs="Arial"/>
          <w:szCs w:val="28"/>
        </w:rPr>
        <w:t>місії :</w:t>
      </w:r>
      <w:proofErr w:type="gramEnd"/>
      <w:r w:rsidRPr="00511005">
        <w:rPr>
          <w:rFonts w:ascii="Arial" w:eastAsia="Calibri" w:hAnsi="Arial" w:cs="Arial"/>
          <w:szCs w:val="28"/>
        </w:rPr>
        <w:t xml:space="preserve"> Конвенція Орг. Об'єдн. Націй від </w:t>
      </w:r>
      <w:proofErr w:type="gramStart"/>
      <w:r w:rsidRPr="00511005">
        <w:rPr>
          <w:rFonts w:ascii="Arial" w:eastAsia="Calibri" w:hAnsi="Arial" w:cs="Arial"/>
          <w:szCs w:val="28"/>
        </w:rPr>
        <w:t>08.12.1969 :</w:t>
      </w:r>
      <w:proofErr w:type="gramEnd"/>
      <w:r w:rsidRPr="00511005">
        <w:rPr>
          <w:rFonts w:ascii="Arial" w:eastAsia="Calibri" w:hAnsi="Arial" w:cs="Arial"/>
          <w:szCs w:val="28"/>
        </w:rPr>
        <w:t xml:space="preserve"> станом на 14 лип. 1993 р. URL: https://zakon.rada.gov.ua/laws/show/995_092 (дата звернення: 26.04.2025).</w:t>
      </w:r>
    </w:p>
    <w:p w14:paraId="4C571795" w14:textId="47B5C0AF" w:rsidR="00220D3E" w:rsidRPr="00511005" w:rsidRDefault="00220D3E" w:rsidP="003F6A5D">
      <w:pPr>
        <w:numPr>
          <w:ilvl w:val="0"/>
          <w:numId w:val="196"/>
        </w:numPr>
        <w:tabs>
          <w:tab w:val="left" w:pos="709"/>
        </w:tabs>
        <w:spacing w:line="264" w:lineRule="auto"/>
        <w:ind w:left="0" w:firstLine="425"/>
        <w:contextualSpacing/>
        <w:jc w:val="left"/>
        <w:rPr>
          <w:rFonts w:ascii="Arial" w:eastAsia="Calibri" w:hAnsi="Arial" w:cs="Arial"/>
          <w:szCs w:val="28"/>
        </w:rPr>
      </w:pPr>
      <w:r w:rsidRPr="00511005">
        <w:rPr>
          <w:rFonts w:ascii="Arial" w:eastAsia="Calibri" w:hAnsi="Arial" w:cs="Arial"/>
          <w:szCs w:val="28"/>
        </w:rPr>
        <w:t xml:space="preserve">Про дипломатичну </w:t>
      </w:r>
      <w:proofErr w:type="gramStart"/>
      <w:r w:rsidRPr="00511005">
        <w:rPr>
          <w:rFonts w:ascii="Arial" w:eastAsia="Calibri" w:hAnsi="Arial" w:cs="Arial"/>
          <w:szCs w:val="28"/>
        </w:rPr>
        <w:t>службу :</w:t>
      </w:r>
      <w:proofErr w:type="gramEnd"/>
      <w:r w:rsidRPr="00511005">
        <w:rPr>
          <w:rFonts w:ascii="Arial" w:eastAsia="Calibri" w:hAnsi="Arial" w:cs="Arial"/>
          <w:szCs w:val="28"/>
        </w:rPr>
        <w:t xml:space="preserve"> Закон України від 07.06.2018 № 2449-VIII : станом на 15 листоп. 2024 р. URL: </w:t>
      </w:r>
      <w:hyperlink r:id="rId151" w:history="1">
        <w:r w:rsidRPr="00511005">
          <w:rPr>
            <w:rFonts w:ascii="Arial" w:eastAsia="Calibri" w:hAnsi="Arial" w:cs="Arial"/>
            <w:szCs w:val="28"/>
          </w:rPr>
          <w:t>https://zakon.rada.gov.ua/laws/show/2449-19</w:t>
        </w:r>
      </w:hyperlink>
      <w:r w:rsidR="007B2628" w:rsidRPr="00511005">
        <w:rPr>
          <w:rFonts w:ascii="Arial" w:eastAsia="Calibri" w:hAnsi="Arial" w:cs="Arial"/>
          <w:szCs w:val="28"/>
        </w:rPr>
        <w:t xml:space="preserve"> </w:t>
      </w:r>
      <w:bookmarkStart w:id="25" w:name="_Hlk197255840"/>
      <w:r w:rsidRPr="00511005">
        <w:rPr>
          <w:rFonts w:ascii="Arial" w:eastAsia="Calibri" w:hAnsi="Arial" w:cs="Arial"/>
          <w:szCs w:val="28"/>
        </w:rPr>
        <w:t>(дата звернення: 27.04.2025).</w:t>
      </w:r>
    </w:p>
    <w:bookmarkEnd w:id="25"/>
    <w:p w14:paraId="44308991" w14:textId="77777777" w:rsidR="00220D3E" w:rsidRPr="00511005" w:rsidRDefault="00220D3E" w:rsidP="003F6A5D">
      <w:pPr>
        <w:numPr>
          <w:ilvl w:val="0"/>
          <w:numId w:val="196"/>
        </w:numPr>
        <w:tabs>
          <w:tab w:val="left" w:pos="709"/>
        </w:tabs>
        <w:spacing w:line="264" w:lineRule="auto"/>
        <w:ind w:left="0" w:firstLine="425"/>
        <w:contextualSpacing/>
        <w:jc w:val="left"/>
        <w:rPr>
          <w:rFonts w:ascii="Arial" w:eastAsia="Calibri" w:hAnsi="Arial" w:cs="Arial"/>
          <w:szCs w:val="28"/>
        </w:rPr>
      </w:pPr>
      <w:r w:rsidRPr="00511005">
        <w:rPr>
          <w:rFonts w:ascii="Arial" w:eastAsia="Calibri" w:hAnsi="Arial" w:cs="Arial"/>
          <w:szCs w:val="28"/>
        </w:rPr>
        <w:t xml:space="preserve">Святун О. В. Практика міжнародного суду ООН у сфері консульського захисту на прикладі США. Актуальні проблеми міжнародних відносин. 2009. Вип. 84, ч. 2. С. 203–205. </w:t>
      </w:r>
      <w:proofErr w:type="gramStart"/>
      <w:r w:rsidRPr="00511005">
        <w:rPr>
          <w:rFonts w:ascii="Arial" w:eastAsia="Calibri" w:hAnsi="Arial" w:cs="Arial"/>
          <w:szCs w:val="28"/>
        </w:rPr>
        <w:t>( дата</w:t>
      </w:r>
      <w:proofErr w:type="gramEnd"/>
      <w:r w:rsidRPr="00511005">
        <w:rPr>
          <w:rFonts w:ascii="Arial" w:eastAsia="Calibri" w:hAnsi="Arial" w:cs="Arial"/>
          <w:szCs w:val="28"/>
        </w:rPr>
        <w:t xml:space="preserve"> звернення: 27.04.2025)</w:t>
      </w:r>
    </w:p>
    <w:p w14:paraId="151A62BC"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304A7EB8" w14:textId="17A7F8E0"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дипломатичні представництва, імунітети, Віденська конвенція, недоторканність, юрисдикція, persona non grata, міжнародне право, дипломатична пошта, функції, дипломатична служба, приміщення місії, привілеї, державний суверенітет.</w:t>
      </w:r>
    </w:p>
    <w:p w14:paraId="34EC2A11" w14:textId="1BE395A0"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diplomatic missions, immunities, Vienna Convention, immunity, jurisdiction, persona non grata, international law, diplomatic bag, functions, diplomatic service, mission premises, privileges, state sovereignty.</w:t>
      </w:r>
    </w:p>
    <w:p w14:paraId="6316A41E" w14:textId="4894E2C4"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eastAsia="ru-RU"/>
        </w:rPr>
        <w:t>к.ю.н.,</w:t>
      </w:r>
      <w:r w:rsidR="00220D3E" w:rsidRPr="00511005">
        <w:rPr>
          <w:rFonts w:ascii="Arial" w:eastAsia="Times New Roman" w:hAnsi="Arial" w:cs="Arial"/>
          <w:i/>
          <w:iCs/>
          <w:szCs w:val="28"/>
          <w:lang w:val="uk-UA" w:eastAsia="ru-RU"/>
        </w:rPr>
        <w:t xml:space="preserve"> </w:t>
      </w:r>
      <w:r w:rsidR="00220D3E" w:rsidRPr="00511005">
        <w:rPr>
          <w:rFonts w:ascii="Arial" w:eastAsia="Times New Roman" w:hAnsi="Arial" w:cs="Arial"/>
          <w:i/>
          <w:iCs/>
          <w:szCs w:val="28"/>
          <w:lang w:eastAsia="ru-RU"/>
        </w:rPr>
        <w:t>доцент Акіменко Ю.Ю.</w:t>
      </w:r>
    </w:p>
    <w:p w14:paraId="76A2F9D9" w14:textId="77777777" w:rsidR="00220D3E" w:rsidRPr="00511005" w:rsidRDefault="00220D3E" w:rsidP="003A292D">
      <w:pPr>
        <w:tabs>
          <w:tab w:val="left" w:pos="709"/>
        </w:tabs>
        <w:spacing w:line="264" w:lineRule="auto"/>
        <w:rPr>
          <w:rFonts w:ascii="Arial" w:eastAsia="Times New Roman" w:hAnsi="Arial" w:cs="Arial"/>
          <w:i/>
          <w:iCs/>
          <w:szCs w:val="28"/>
          <w:lang w:val="uk-UA" w:eastAsia="ru-RU"/>
        </w:rPr>
      </w:pPr>
    </w:p>
    <w:p w14:paraId="6557E9B3"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Афонькіна Вікторія Ярославівна</w:t>
      </w:r>
    </w:p>
    <w:p w14:paraId="78AD5935" w14:textId="6E2BE014"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2D4436A6" w14:textId="6585DEC8"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CF14377"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5628DD7F" w14:textId="77777777" w:rsidR="007B2628"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 xml:space="preserve">ПРАВОВИЙ СТАТУС БІЖЕНЦІВ ТА ОСІБ БЕЗ ГРОМАДЯНСТВА У МІЖНАРОДНОМУ ПРИВАТНОМУ ПРАВІ </w:t>
      </w:r>
    </w:p>
    <w:p w14:paraId="67F80D22"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Проблематика правового статусу біженців та осіб без громадянства є надзвичайно актуальною в епоху глобалізації та зростаючих міграційних процесів. Біженці, як визначено міжнародними стандартами, є особами, котрі змушені покинути свою країну через об’єктивні загрози для життя чи свободи, тоді як осіб без громадянства характеризує відсутність визнаної національності, що позбавляє їх можливості користуватися захисними механізмами держави. Основою для правового регулювання цих категорій є як публічно-правові інструменти (наприклад, Конвенція про статус біженців 1951 року, Протокол 1967 року, Конвенція про статус осіб без громадянства 1954 року), так і позитивні національні законодавства країн, що визнають зобов’язання міжнародної спільноти. Проте у сучасних умовах все більш </w:t>
      </w:r>
      <w:r w:rsidRPr="00511005">
        <w:rPr>
          <w:rFonts w:ascii="Arial" w:eastAsia="Times New Roman" w:hAnsi="Arial" w:cs="Arial"/>
          <w:szCs w:val="28"/>
          <w:lang w:eastAsia="ru-RU"/>
        </w:rPr>
        <w:lastRenderedPageBreak/>
        <w:t>актуальним стає питання того, як ці публічно-правові концепти інтегруються у рамки міжнародного приватного права, коли виникають спори з елементами договірних відносин, сімейного чи майнового права, що охоплюють міжнародні зв’язки. [2], [4]</w:t>
      </w:r>
    </w:p>
    <w:p w14:paraId="17F9645D" w14:textId="78C63BFB"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 одного боку, норми публічного міжнародного права, зокрема Конвенції 1951 та 1954 років, встановлюють мінімальний рівень захисту біженців і осіб без громадянства, забезпечуючи особисту недоторканність, принцип невідправлення назад і основні соціальні права, що стимулює держави гармонізувати національне законодавство з принципами гуманізму та прав людини. З іншого боку, міжнародне приватне право вирішує питання транснаціональних правовідносин, де конфлікти між різними правовими системами призводять до спорів щодо вибору застосовного права, визначення юрисдикції та розмежування інтересів державної влади та приватного сектора. </w:t>
      </w:r>
      <w:bookmarkStart w:id="26" w:name="_Hlk195111735"/>
      <w:proofErr w:type="gramStart"/>
      <w:r w:rsidRPr="00511005">
        <w:rPr>
          <w:rFonts w:ascii="Arial" w:eastAsia="Times New Roman" w:hAnsi="Arial" w:cs="Arial"/>
          <w:szCs w:val="28"/>
          <w:lang w:eastAsia="ru-RU"/>
        </w:rPr>
        <w:t>[ 3</w:t>
      </w:r>
      <w:proofErr w:type="gramEnd"/>
      <w:r w:rsidRPr="00511005">
        <w:rPr>
          <w:rFonts w:ascii="Arial" w:eastAsia="Times New Roman" w:hAnsi="Arial" w:cs="Arial"/>
          <w:szCs w:val="28"/>
          <w:lang w:eastAsia="ru-RU"/>
        </w:rPr>
        <w:t xml:space="preserve"> ]</w:t>
      </w:r>
    </w:p>
    <w:bookmarkEnd w:id="26"/>
    <w:p w14:paraId="558BF61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Однією з ключових проблем є визначення застосовного права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із залученням біженців та осіб без громадянства. Традиційні засади міжнародного приватного права, як-от автономія волевиявлення сторін, місце виконання зобов’язань та поняття постійного місця проживання, часто виявляються недостатніми, коли особа не має чітких зв’язків із жодною державою. Це веде до правової невизначеності та ускладнює захист її прав у приватноправових спорах, тому судді змушені балансувати між суворим застосуванням колізійних норм і врахуванням гуманітарних аспектів.</w:t>
      </w:r>
    </w:p>
    <w:p w14:paraId="756B991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 менш важливим є інтеграція публічно-правових норм у міжнародне приватне право. Хоч нормативи щодо біженців та осіб без громадянства традиційно належать до публічного права, їх застосування набуває особливої ваги у транснаціональних цивільних спорах (майнових, спадкових чи сімейних), де враховуються не лише формальні зв’язки, а й міжнародні зобов’язання щодо захисту прав людини. Завдяки використанню принципів загальнолюдської справедливості та добросовісності судові органи можуть досягати більш збалансованих рішень, навіть коли звичні колізійні правила не враховують усіх нюансів статусу конкретної особи.</w:t>
      </w:r>
    </w:p>
    <w:p w14:paraId="3BDC893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транснаціональних правовідносинах особливе значення має доказування зв’язків особи з певною державою. Якщо особа втрачає національну приналежність або ніколи її не мала, традиційний критерій фактичного зв’язку може бути розмитим або майже відсутнім. У таких випадках набувають значення альтернативні показники, як-от місце офіційного визнання статусу біженця міжнародними організаціями або державними рішеннями. Сучасні правознавці пропонують принцип «сукупних зв’язків», який враховує не лише юридичні, а й соціально-економічні та культурні чинники, що дозволяють судовим органам ефективніше вирішувати спори між сторонами, які діють за різними правовими системами.</w:t>
      </w:r>
    </w:p>
    <w:p w14:paraId="168964B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Багато країн уже впроваджують «захисні клаузули», що обмежують застосування іноземного права, якщо воно суперечить основним нормам захисту прав людини. Такий підхід особливо важливий у цивільних суперечках з участю біженців або осіб без громадянства, оскільки гарантує недоторканість їхніх фундаментальних прав. Судова практика свідчить, що, навіть коли формальне застосування колізійних норм може привести до несправедливого результату, принцип публічного порядку допомагає забезпечити відповідність остаточного рішення загальновизнаним нормам гуманності та захисту прав людини.</w:t>
      </w:r>
    </w:p>
    <w:p w14:paraId="2FEA8B5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Європейський суд з прав людини відіграє важливу роль у визначенні та зміцненні правового статусу біженців і осіб без громадянства у системі міжнародного приватного права. Завдяки своїм рішенням ЄСПЛ забезпечує практичну реалізацію принципів міжнародного права, які спрямовані на захист фундаментальних прав і свобод людини, у тому числі тих, хто опинився у вразливому становищі через свій статус. </w:t>
      </w:r>
      <w:proofErr w:type="gramStart"/>
      <w:r w:rsidRPr="00511005">
        <w:rPr>
          <w:rFonts w:ascii="Arial" w:eastAsia="Times New Roman" w:hAnsi="Arial" w:cs="Arial"/>
          <w:szCs w:val="28"/>
          <w:lang w:eastAsia="ru-RU"/>
        </w:rPr>
        <w:t>[ 5</w:t>
      </w:r>
      <w:proofErr w:type="gramEnd"/>
      <w:r w:rsidRPr="00511005">
        <w:rPr>
          <w:rFonts w:ascii="Arial" w:eastAsia="Times New Roman" w:hAnsi="Arial" w:cs="Arial"/>
          <w:szCs w:val="28"/>
          <w:lang w:eastAsia="ru-RU"/>
        </w:rPr>
        <w:t xml:space="preserve"> ]</w:t>
      </w:r>
    </w:p>
    <w:p w14:paraId="53F14D6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Основним інструментом впливу ЄСПЛ є тлумачення та застосування положень Європейської конвенції з прав людини.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що стосуються біженців та осіб без громадянства, Суд нерідко посилається на статтю 3 (захист від катувань і нелюдського чи такого, що принижує гідність, поводження), статтю 8 (право на повагу до приватного і сімейного життя) та статтю 14 (заборона дискримінації). Ухвалені рішення створюють прецеденти, які надають можливість уніфікувати практику захисту прав цієї категорії осіб в усіх </w:t>
      </w:r>
      <w:proofErr w:type="gramStart"/>
      <w:r w:rsidRPr="00511005">
        <w:rPr>
          <w:rFonts w:ascii="Arial" w:eastAsia="Times New Roman" w:hAnsi="Arial" w:cs="Arial"/>
          <w:szCs w:val="28"/>
          <w:lang w:eastAsia="ru-RU"/>
        </w:rPr>
        <w:t>країнах-членах</w:t>
      </w:r>
      <w:proofErr w:type="gramEnd"/>
      <w:r w:rsidRPr="00511005">
        <w:rPr>
          <w:rFonts w:ascii="Arial" w:eastAsia="Times New Roman" w:hAnsi="Arial" w:cs="Arial"/>
          <w:szCs w:val="28"/>
          <w:lang w:eastAsia="ru-RU"/>
        </w:rPr>
        <w:t xml:space="preserve"> Ради Європи. Таким чином, ЄСПЛ формує правові стандарти, що мають бути враховані не лише в публічному, а й у приватному міжнародному праві.</w:t>
      </w:r>
    </w:p>
    <w:p w14:paraId="6B33EB8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Одним із ключових аспектів впливу ЄСПЛ є забезпечення права на справедливий суд. У випадках, коли йдеться про біженців або осіб без громадянства, це право набуває особливого значення, адже вони часто стикаються з труднощами доступу до правосуддя через свій нестабільний статус. ЄСПЛ наполягає на тому, що держави-члени мають забезпечити таким особам ефективний доступ </w:t>
      </w:r>
      <w:proofErr w:type="gramStart"/>
      <w:r w:rsidRPr="00511005">
        <w:rPr>
          <w:rFonts w:ascii="Arial" w:eastAsia="Times New Roman" w:hAnsi="Arial" w:cs="Arial"/>
          <w:szCs w:val="28"/>
          <w:lang w:eastAsia="ru-RU"/>
        </w:rPr>
        <w:t>до суду</w:t>
      </w:r>
      <w:proofErr w:type="gramEnd"/>
      <w:r w:rsidRPr="00511005">
        <w:rPr>
          <w:rFonts w:ascii="Arial" w:eastAsia="Times New Roman" w:hAnsi="Arial" w:cs="Arial"/>
          <w:szCs w:val="28"/>
          <w:lang w:eastAsia="ru-RU"/>
        </w:rPr>
        <w:t>, включаючи можливість захищати свої права у цивільних спорах. Наприклад, це може стосуватися вирішення майнових, спадкових або сімейних конфліктів із транснаціональним елементом.</w:t>
      </w:r>
    </w:p>
    <w:p w14:paraId="41DF2B8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Окремою темою є питання депортації та висилки, які стосуються біженців. Суд неодноразово розглядав справи, пов’язані з принципом невідправлення назад (non-refoulement). Цей принцип, що передбачає заборону висилки осіб до країн, де їм загрожує катування або нелюдське поводження, є одним із базових у системі захисту прав біженців. Рішення ЄСПЛ у таких справах, як "Сааді проти Італії" чи "Чаглар проти Туреччини", підтверджують важливість дотримання цього принципу всіма державами-членами.</w:t>
      </w:r>
    </w:p>
    <w:p w14:paraId="2994B3C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Інший важливий аспект стосується права на повагу до приватного і сімейного життя. У рішеннях ЄСПЛ, наприклад, у справах "М.С. проти Бельгії" чи "Хірсі Джамаа та інші проти Італії", підкреслюється необхідність врахування індивідуальних обставин кожного випадку, зокрема сімейних зв’язків, під час прийняття рішень щодо статусу біженця чи депортації. Це має прямий вплив на приватноправові відносини, адже забезпечення сімейної єдності часто стає центральним питанням у транснаціональних спорах.</w:t>
      </w:r>
    </w:p>
    <w:p w14:paraId="48C1B0C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Ще одним аспектом впливу ЄСПЛ є боротьба з дискримінацією осіб без громадянства чи біженців. Судова практика підтверджує, що держави-члени мають уникати будь-яких дій або законодавчих положень, що можуть створювати дискримінаційні умови для цих осіб. Наприклад, рішення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щодо доступу до житла, працевлаштування чи соціальних виплат часто враховуються під час вирішення цивільних спорів із транснаціональними елементами, де юридичні сторони мають різний правовий статус.</w:t>
      </w:r>
    </w:p>
    <w:p w14:paraId="49A8D50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Таким чином, ЄСПЛ не лише забезпечує захист фундаментальних прав біженців та осіб без громадянства, але й суттєво впливає на розвиток міжнародного приватного права. Його прецеденти створюють стандарти, які враховуються під час вирішення транснаціональних приватноправових спорів, забезпечуючи баланс між дотриманням суверенних інтересів держав та захистом найвразливіших категорій осіб. Завдяки діяльності ЄСПЛ, правові системи </w:t>
      </w:r>
      <w:proofErr w:type="gramStart"/>
      <w:r w:rsidRPr="00511005">
        <w:rPr>
          <w:rFonts w:ascii="Arial" w:eastAsia="Times New Roman" w:hAnsi="Arial" w:cs="Arial"/>
          <w:szCs w:val="28"/>
          <w:lang w:eastAsia="ru-RU"/>
        </w:rPr>
        <w:t>країн-членів</w:t>
      </w:r>
      <w:proofErr w:type="gramEnd"/>
      <w:r w:rsidRPr="00511005">
        <w:rPr>
          <w:rFonts w:ascii="Arial" w:eastAsia="Times New Roman" w:hAnsi="Arial" w:cs="Arial"/>
          <w:szCs w:val="28"/>
          <w:lang w:eastAsia="ru-RU"/>
        </w:rPr>
        <w:t xml:space="preserve"> Ради Європи стають більш чутливими до потреб біженців і осіб без громадянства, сприяючи гармонізації національних норм із загальнолюдськими принципами гуманізму та прав людини. </w:t>
      </w:r>
      <w:proofErr w:type="gramStart"/>
      <w:r w:rsidRPr="00511005">
        <w:rPr>
          <w:rFonts w:ascii="Arial" w:eastAsia="Times New Roman" w:hAnsi="Arial" w:cs="Arial"/>
          <w:szCs w:val="28"/>
          <w:lang w:eastAsia="ru-RU"/>
        </w:rPr>
        <w:t>[ 1</w:t>
      </w:r>
      <w:proofErr w:type="gramEnd"/>
      <w:r w:rsidRPr="00511005">
        <w:rPr>
          <w:rFonts w:ascii="Arial" w:eastAsia="Times New Roman" w:hAnsi="Arial" w:cs="Arial"/>
          <w:szCs w:val="28"/>
          <w:lang w:eastAsia="ru-RU"/>
        </w:rPr>
        <w:t xml:space="preserve"> ]</w:t>
      </w:r>
    </w:p>
    <w:p w14:paraId="6D0179F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 менш важливою є міжнародна співпраця у розробці та узгодженні правил, що регулюють приватноправові відносини з участю осіб з вразливим статусом. Розширення кооперації між державами дозволяє узгодити як процедурні аспекти вирішення спорів, так і врахувати соціально-правові реалії біженців та осіб без громадянства. Сучасні тенденції підкреслюють необхідність створення спеціалізованих транснаціональних юридичних платформ для оперативного обміну інформацією, координації міжнаціональних судових рішень та формування регіональних стандартів, що сприятиме адаптації національних законодавств до сучасних умов і зменшенню правової фрагментації.</w:t>
      </w:r>
    </w:p>
    <w:p w14:paraId="6CB094F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Системні реформи у сфері міжнародного приватного права, орієнтовані на захист прав біженців і осіб без громадянства, мають включати вдосконалення нормативно-правових актів, посилення методологічного забезпечення судової практики і активізацію ролі міжнародних організацій із захисту прав людини. Правознавча спільнота повинна збалансовано оцінювати практичні аспекти застосування норм, враховуючи сучасні </w:t>
      </w:r>
      <w:r w:rsidRPr="00511005">
        <w:rPr>
          <w:rFonts w:ascii="Arial" w:eastAsia="Times New Roman" w:hAnsi="Arial" w:cs="Arial"/>
          <w:szCs w:val="28"/>
          <w:lang w:eastAsia="ru-RU"/>
        </w:rPr>
        <w:lastRenderedPageBreak/>
        <w:t>виклики глобальних міграційних процесів і трансформації соціально-економічних умов цих груп. [6]</w:t>
      </w:r>
    </w:p>
    <w:p w14:paraId="4D502717" w14:textId="5B179A96"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Підсумовуючи викладене, можна стверджувати, що правовий статус біженців та осіб без громадянства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міжнародного приватного права виступає як динамічний та багатовимірний інститут, що поєднує вимоги публічного міжнародного права з особливостями приватноправових відносин. В умовах зростання міжнародних міграційних процесів та глобальних викликів системі необхідно розробляти нові підходи до визначення з’єднувальних факторів, адаптації колізійних норм та застосування принципу публічного порядку. Використання сучасних правових технологій, вдосконалення практики судового тлумачення та активізація міждержавної співпраці є запорукою того, що права найбільш вразливих суб’єктів не залишаться поза увагою, а гарантований їх правовий захист відповідатиме вимогам гуманізму, справедливості та правової визначеності.</w:t>
      </w:r>
    </w:p>
    <w:p w14:paraId="33924BA7" w14:textId="77777777" w:rsidR="00866D5F" w:rsidRPr="00511005" w:rsidRDefault="00866D5F" w:rsidP="003A292D">
      <w:pPr>
        <w:tabs>
          <w:tab w:val="left" w:pos="709"/>
        </w:tabs>
        <w:spacing w:line="264" w:lineRule="auto"/>
        <w:rPr>
          <w:rFonts w:ascii="Arial" w:eastAsia="Times New Roman" w:hAnsi="Arial" w:cs="Arial"/>
          <w:szCs w:val="28"/>
          <w:lang w:eastAsia="ru-RU"/>
        </w:rPr>
      </w:pPr>
    </w:p>
    <w:p w14:paraId="16F88954" w14:textId="23F41925" w:rsidR="00220D3E" w:rsidRPr="00511005" w:rsidRDefault="007B2628" w:rsidP="007B2628">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57B92B8A" w14:textId="77777777" w:rsidR="00220D3E" w:rsidRPr="00511005" w:rsidRDefault="00220D3E" w:rsidP="003F6A5D">
      <w:pPr>
        <w:numPr>
          <w:ilvl w:val="0"/>
          <w:numId w:val="169"/>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Ільяшенко А. Під впливом ЄСПЛ. Юридична газета. 2018. 16 січ. С. 9, 16–17.</w:t>
      </w:r>
    </w:p>
    <w:p w14:paraId="75C826AB" w14:textId="7FA031AE" w:rsidR="00220D3E" w:rsidRPr="00511005" w:rsidRDefault="00220D3E" w:rsidP="003F6A5D">
      <w:pPr>
        <w:numPr>
          <w:ilvl w:val="0"/>
          <w:numId w:val="169"/>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Конвенція про статус </w:t>
      </w:r>
      <w:proofErr w:type="gramStart"/>
      <w:r w:rsidRPr="00511005">
        <w:rPr>
          <w:rFonts w:ascii="Arial" w:eastAsia="Calibri" w:hAnsi="Arial" w:cs="Arial"/>
          <w:szCs w:val="28"/>
        </w:rPr>
        <w:t>апатридів :</w:t>
      </w:r>
      <w:proofErr w:type="gramEnd"/>
      <w:r w:rsidRPr="00511005">
        <w:rPr>
          <w:rFonts w:ascii="Arial" w:eastAsia="Calibri" w:hAnsi="Arial" w:cs="Arial"/>
          <w:szCs w:val="28"/>
        </w:rPr>
        <w:t xml:space="preserve"> Конвенція Орг. Об'єдн. Націй від </w:t>
      </w:r>
      <w:proofErr w:type="gramStart"/>
      <w:r w:rsidRPr="00511005">
        <w:rPr>
          <w:rFonts w:ascii="Arial" w:eastAsia="Calibri" w:hAnsi="Arial" w:cs="Arial"/>
          <w:szCs w:val="28"/>
        </w:rPr>
        <w:t>28.09.1954 :</w:t>
      </w:r>
      <w:proofErr w:type="gramEnd"/>
      <w:r w:rsidRPr="00511005">
        <w:rPr>
          <w:rFonts w:ascii="Arial" w:eastAsia="Calibri" w:hAnsi="Arial" w:cs="Arial"/>
          <w:szCs w:val="28"/>
        </w:rPr>
        <w:t xml:space="preserve"> станом на 11 січ. 2013 р. URL:</w:t>
      </w:r>
      <w:r w:rsidR="007B2628" w:rsidRPr="00511005">
        <w:rPr>
          <w:rFonts w:ascii="Arial" w:eastAsia="Calibri" w:hAnsi="Arial" w:cs="Arial"/>
          <w:szCs w:val="28"/>
        </w:rPr>
        <w:t xml:space="preserve"> </w:t>
      </w:r>
      <w:hyperlink r:id="rId152" w:anchor="Text" w:history="1">
        <w:r w:rsidRPr="00511005">
          <w:rPr>
            <w:rFonts w:ascii="Arial" w:eastAsia="Calibri" w:hAnsi="Arial" w:cs="Arial"/>
            <w:szCs w:val="28"/>
          </w:rPr>
          <w:t>https://zakon.rada.gov.ua/laws/show/995_232#Text</w:t>
        </w:r>
      </w:hyperlink>
      <w:r w:rsidRPr="00511005">
        <w:rPr>
          <w:rFonts w:ascii="Arial" w:eastAsia="Calibri" w:hAnsi="Arial" w:cs="Arial"/>
          <w:szCs w:val="28"/>
        </w:rPr>
        <w:t xml:space="preserve"> (дата звернення: 07.04.2025).</w:t>
      </w:r>
    </w:p>
    <w:p w14:paraId="1A8070A6" w14:textId="77777777" w:rsidR="00220D3E" w:rsidRPr="00511005" w:rsidRDefault="00220D3E" w:rsidP="003F6A5D">
      <w:pPr>
        <w:numPr>
          <w:ilvl w:val="0"/>
          <w:numId w:val="169"/>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Конвенція про статус </w:t>
      </w:r>
      <w:proofErr w:type="gramStart"/>
      <w:r w:rsidRPr="00511005">
        <w:rPr>
          <w:rFonts w:ascii="Arial" w:eastAsia="Calibri" w:hAnsi="Arial" w:cs="Arial"/>
          <w:szCs w:val="28"/>
        </w:rPr>
        <w:t>біженців :</w:t>
      </w:r>
      <w:proofErr w:type="gramEnd"/>
      <w:r w:rsidRPr="00511005">
        <w:rPr>
          <w:rFonts w:ascii="Arial" w:eastAsia="Calibri" w:hAnsi="Arial" w:cs="Arial"/>
          <w:szCs w:val="28"/>
        </w:rPr>
        <w:t xml:space="preserve"> Конвенція Орг. Об'єдн. Націй від </w:t>
      </w:r>
      <w:proofErr w:type="gramStart"/>
      <w:r w:rsidRPr="00511005">
        <w:rPr>
          <w:rFonts w:ascii="Arial" w:eastAsia="Calibri" w:hAnsi="Arial" w:cs="Arial"/>
          <w:szCs w:val="28"/>
        </w:rPr>
        <w:t>28.07.1951 :</w:t>
      </w:r>
      <w:proofErr w:type="gramEnd"/>
      <w:r w:rsidRPr="00511005">
        <w:rPr>
          <w:rFonts w:ascii="Arial" w:eastAsia="Calibri" w:hAnsi="Arial" w:cs="Arial"/>
          <w:szCs w:val="28"/>
        </w:rPr>
        <w:t xml:space="preserve"> станом на 10 січ. 2002 р. URL: </w:t>
      </w:r>
      <w:hyperlink r:id="rId153" w:anchor="Text" w:history="1">
        <w:r w:rsidRPr="00511005">
          <w:rPr>
            <w:rFonts w:ascii="Arial" w:eastAsia="Calibri" w:hAnsi="Arial" w:cs="Arial"/>
            <w:szCs w:val="28"/>
          </w:rPr>
          <w:t>https://zakon.rada.gov.ua/laws/show/995_011#Text</w:t>
        </w:r>
      </w:hyperlink>
      <w:r w:rsidRPr="00511005">
        <w:rPr>
          <w:rFonts w:ascii="Arial" w:eastAsia="Calibri" w:hAnsi="Arial" w:cs="Arial"/>
          <w:szCs w:val="28"/>
        </w:rPr>
        <w:t xml:space="preserve"> (дата звернення: 07.04.2025).</w:t>
      </w:r>
    </w:p>
    <w:p w14:paraId="4C6E53F7" w14:textId="77777777" w:rsidR="00220D3E" w:rsidRPr="00511005" w:rsidRDefault="00220D3E" w:rsidP="003F6A5D">
      <w:pPr>
        <w:numPr>
          <w:ilvl w:val="0"/>
          <w:numId w:val="169"/>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Малиновська О. Приєднення України до Конвенції ООН 1951 року та протоколу 1967 року про статус біженців. Юридический вестник. 2002. № 1. С. 110–118.</w:t>
      </w:r>
    </w:p>
    <w:p w14:paraId="3F980565" w14:textId="77777777" w:rsidR="00220D3E" w:rsidRPr="00511005" w:rsidRDefault="00220D3E" w:rsidP="003F6A5D">
      <w:pPr>
        <w:numPr>
          <w:ilvl w:val="0"/>
          <w:numId w:val="169"/>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Про правовий статус іноземців та осіб без </w:t>
      </w:r>
      <w:proofErr w:type="gramStart"/>
      <w:r w:rsidRPr="00511005">
        <w:rPr>
          <w:rFonts w:ascii="Arial" w:eastAsia="Calibri" w:hAnsi="Arial" w:cs="Arial"/>
          <w:szCs w:val="28"/>
        </w:rPr>
        <w:t>громадянства :</w:t>
      </w:r>
      <w:proofErr w:type="gramEnd"/>
      <w:r w:rsidRPr="00511005">
        <w:rPr>
          <w:rFonts w:ascii="Arial" w:eastAsia="Calibri" w:hAnsi="Arial" w:cs="Arial"/>
          <w:szCs w:val="28"/>
        </w:rPr>
        <w:t xml:space="preserve"> Закон України від 22.09.2011 № 3773-VI : станом на 6 лют. 2025 р. URL: </w:t>
      </w:r>
      <w:hyperlink r:id="rId154" w:anchor="Text" w:history="1">
        <w:r w:rsidRPr="00511005">
          <w:rPr>
            <w:rFonts w:ascii="Arial" w:eastAsia="Calibri" w:hAnsi="Arial" w:cs="Arial"/>
            <w:szCs w:val="28"/>
          </w:rPr>
          <w:t>https://zakon.rada.gov.ua/laws/show/3773-17#Text</w:t>
        </w:r>
      </w:hyperlink>
      <w:r w:rsidRPr="00511005">
        <w:rPr>
          <w:rFonts w:ascii="Arial" w:eastAsia="Calibri" w:hAnsi="Arial" w:cs="Arial"/>
          <w:szCs w:val="28"/>
        </w:rPr>
        <w:t xml:space="preserve"> (дата звернення: 02.04.2025).</w:t>
      </w:r>
    </w:p>
    <w:p w14:paraId="4613C54A" w14:textId="77777777" w:rsidR="00220D3E" w:rsidRPr="00511005" w:rsidRDefault="00220D3E" w:rsidP="003F6A5D">
      <w:pPr>
        <w:numPr>
          <w:ilvl w:val="0"/>
          <w:numId w:val="169"/>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Закон України «Про біженців та осіб, які потребують додаткового або тимчасового захисту» від 8 липня 2011 р. URL: </w:t>
      </w:r>
      <w:hyperlink r:id="rId155" w:anchor="Text" w:history="1">
        <w:r w:rsidRPr="00511005">
          <w:rPr>
            <w:rFonts w:ascii="Arial" w:eastAsia="Calibri" w:hAnsi="Arial" w:cs="Arial"/>
            <w:szCs w:val="28"/>
          </w:rPr>
          <w:t>https://zakon.rada.gov.ua/laws/show/3671-17#Text</w:t>
        </w:r>
      </w:hyperlink>
      <w:r w:rsidRPr="00511005">
        <w:rPr>
          <w:rFonts w:ascii="Arial" w:eastAsia="Calibri" w:hAnsi="Arial" w:cs="Arial"/>
          <w:szCs w:val="28"/>
        </w:rPr>
        <w:t xml:space="preserve"> ( дата звернення: 07.04.2025)</w:t>
      </w:r>
    </w:p>
    <w:p w14:paraId="7F847A4D" w14:textId="77777777" w:rsidR="00220D3E" w:rsidRPr="00511005" w:rsidRDefault="00220D3E" w:rsidP="003A292D">
      <w:pPr>
        <w:tabs>
          <w:tab w:val="left" w:pos="709"/>
        </w:tabs>
        <w:spacing w:line="264" w:lineRule="auto"/>
        <w:rPr>
          <w:rFonts w:ascii="Arial" w:eastAsia="Times New Roman" w:hAnsi="Arial" w:cs="Arial"/>
          <w:b/>
          <w:bCs/>
          <w:szCs w:val="28"/>
          <w:lang w:eastAsia="ru-RU"/>
        </w:rPr>
      </w:pPr>
    </w:p>
    <w:p w14:paraId="1854D4AF" w14:textId="75365290"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 xml:space="preserve">правовий статус, біженці, особи без громадянства, публічно-правові інструменти, Конвенція про статус біженців, Конвенція про статус осіб без громадянства, автономія волевиявлення сторін, колізійне </w:t>
      </w:r>
      <w:r w:rsidR="00220D3E" w:rsidRPr="00511005">
        <w:rPr>
          <w:rFonts w:ascii="Arial" w:eastAsia="Times New Roman" w:hAnsi="Arial" w:cs="Arial"/>
          <w:szCs w:val="28"/>
          <w:lang w:eastAsia="ru-RU"/>
        </w:rPr>
        <w:lastRenderedPageBreak/>
        <w:t>право, принцип публічного порядку, гуманізм, транснаціональні спори, інтеграція норм міжнародного права, судова практика, міждержавна співпраця.</w:t>
      </w:r>
    </w:p>
    <w:p w14:paraId="09700908" w14:textId="7EBBDCC7"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legal status, refugees, stateless persons, public law instruments, Convention relating to the Status of Refugees, Convention relating to the Status of Stateless Persons, autonomy of the parties, conflict of laws, principle of public order, humanism, transnational disputes, integration of international law, case law, interstate cooperation.</w:t>
      </w:r>
    </w:p>
    <w:p w14:paraId="2A172803" w14:textId="04B1C205" w:rsidR="00220D3E" w:rsidRPr="00511005" w:rsidRDefault="007B2628" w:rsidP="003A292D">
      <w:pPr>
        <w:tabs>
          <w:tab w:val="left" w:pos="709"/>
        </w:tabs>
        <w:spacing w:line="264" w:lineRule="auto"/>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eastAsia="ru-RU"/>
        </w:rPr>
        <w:t>асистент кафедри Бугаєць А.С.</w:t>
      </w:r>
    </w:p>
    <w:p w14:paraId="5566C618" w14:textId="77777777" w:rsidR="00220D3E" w:rsidRPr="00511005" w:rsidRDefault="00220D3E" w:rsidP="003A292D">
      <w:pPr>
        <w:tabs>
          <w:tab w:val="left" w:pos="709"/>
        </w:tabs>
        <w:spacing w:line="264" w:lineRule="auto"/>
        <w:rPr>
          <w:rFonts w:ascii="Arial" w:eastAsia="Times New Roman" w:hAnsi="Arial" w:cs="Arial"/>
          <w:i/>
          <w:iCs/>
          <w:szCs w:val="28"/>
          <w:lang w:val="uk-UA" w:eastAsia="ru-RU"/>
        </w:rPr>
      </w:pPr>
    </w:p>
    <w:p w14:paraId="62CA59BD" w14:textId="77777777" w:rsidR="00220D3E" w:rsidRPr="00511005" w:rsidRDefault="00220D3E" w:rsidP="003A292D">
      <w:pPr>
        <w:tabs>
          <w:tab w:val="left" w:pos="709"/>
        </w:tabs>
        <w:spacing w:line="264" w:lineRule="auto"/>
        <w:jc w:val="center"/>
        <w:rPr>
          <w:rFonts w:ascii="Arial" w:eastAsia="Times New Roman" w:hAnsi="Arial" w:cs="Arial"/>
          <w:b/>
          <w:i/>
          <w:noProof/>
          <w:szCs w:val="28"/>
          <w:lang w:val="uk-UA" w:eastAsia="ru-RU"/>
        </w:rPr>
      </w:pPr>
      <w:r w:rsidRPr="00511005">
        <w:rPr>
          <w:rFonts w:ascii="Arial" w:eastAsia="Times New Roman" w:hAnsi="Arial" w:cs="Arial"/>
          <w:b/>
          <w:i/>
          <w:noProof/>
          <w:szCs w:val="28"/>
          <w:lang w:val="uk-UA" w:eastAsia="ru-RU"/>
        </w:rPr>
        <w:t>Багнета Софія Володимирівна</w:t>
      </w:r>
    </w:p>
    <w:p w14:paraId="07E18B65" w14:textId="7571209E" w:rsidR="00220D3E" w:rsidRPr="00511005" w:rsidRDefault="00536AAB" w:rsidP="003A292D">
      <w:pPr>
        <w:tabs>
          <w:tab w:val="left" w:pos="709"/>
        </w:tabs>
        <w:spacing w:line="264" w:lineRule="auto"/>
        <w:jc w:val="center"/>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студентка 4-го курсу </w:t>
      </w:r>
    </w:p>
    <w:p w14:paraId="72AD4C19" w14:textId="6B5B257A" w:rsidR="00220D3E" w:rsidRPr="00511005" w:rsidRDefault="00536AAB" w:rsidP="003A292D">
      <w:pPr>
        <w:tabs>
          <w:tab w:val="left" w:pos="709"/>
        </w:tabs>
        <w:spacing w:line="264" w:lineRule="auto"/>
        <w:jc w:val="center"/>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факультету адвокатури та антикорупційної діяльності</w:t>
      </w:r>
    </w:p>
    <w:p w14:paraId="7D4D53F0" w14:textId="0356E0BE" w:rsidR="00220D3E" w:rsidRPr="00511005" w:rsidRDefault="007B2628" w:rsidP="003A292D">
      <w:pPr>
        <w:tabs>
          <w:tab w:val="left" w:pos="709"/>
        </w:tabs>
        <w:spacing w:line="264" w:lineRule="auto"/>
        <w:jc w:val="center"/>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Національного університету «Одеська юридична академія»</w:t>
      </w:r>
    </w:p>
    <w:p w14:paraId="1A9A1DF1" w14:textId="77777777" w:rsidR="00220D3E" w:rsidRPr="00511005" w:rsidRDefault="00220D3E" w:rsidP="003A292D">
      <w:pPr>
        <w:tabs>
          <w:tab w:val="left" w:pos="709"/>
        </w:tabs>
        <w:spacing w:line="264" w:lineRule="auto"/>
        <w:jc w:val="center"/>
        <w:rPr>
          <w:rFonts w:ascii="Arial" w:eastAsia="Times New Roman" w:hAnsi="Arial" w:cs="Arial"/>
          <w:noProof/>
          <w:szCs w:val="28"/>
          <w:lang w:val="uk-UA" w:eastAsia="ru-RU"/>
        </w:rPr>
      </w:pPr>
    </w:p>
    <w:p w14:paraId="257B74DA" w14:textId="77777777" w:rsidR="00220D3E" w:rsidRPr="00511005" w:rsidRDefault="00220D3E" w:rsidP="003A292D">
      <w:pPr>
        <w:tabs>
          <w:tab w:val="left" w:pos="709"/>
        </w:tabs>
        <w:spacing w:line="264" w:lineRule="auto"/>
        <w:jc w:val="center"/>
        <w:rPr>
          <w:rFonts w:ascii="Arial" w:eastAsia="Times New Roman" w:hAnsi="Arial" w:cs="Arial"/>
          <w:b/>
          <w:noProof/>
          <w:szCs w:val="28"/>
          <w:lang w:val="uk-UA" w:eastAsia="ru-RU"/>
        </w:rPr>
      </w:pPr>
      <w:r w:rsidRPr="00511005">
        <w:rPr>
          <w:rFonts w:ascii="Arial" w:eastAsia="Times New Roman" w:hAnsi="Arial" w:cs="Arial"/>
          <w:b/>
          <w:noProof/>
          <w:szCs w:val="28"/>
          <w:lang w:val="uk-UA" w:eastAsia="ru-RU"/>
        </w:rPr>
        <w:t>ВІДПОВІДАЛЬНІСТЬ ЗА ПОРУШЕННЯ НОРМ МІЖНАРОДНОГО ГУМАНІТАРНОГО ПРАВА В АСПЕКТІ ЗБРОЙНОГО КОНФЛІКТУ НА СХОДІ УКРАЇНИ</w:t>
      </w:r>
    </w:p>
    <w:p w14:paraId="0C3EA1EB"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Збройний конфлікт на сході України, що розпочався в 2014 році, став серйозним випробуванням для міжнародного гуманітарного права (МГП) та ареною численних порушень норм міжнародного гуманітарного права. Ці порушення включають вбивства цивільних осіб, тортури, жорстоке поводження з військовополоненими, невибіркові обстріли, пошкодження цивільної інфраструктури та інші серйозні злочини. Питання притягнення до відповідальності за ці діяння є надзвичайно важливим для забезпечення справедливості, відновлення миру та запобігання майбутнім порушенням.</w:t>
      </w:r>
    </w:p>
    <w:p w14:paraId="59D67C3A"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Міжнародне гуманітарне право, також відоме як право збройних конфліктів, є сукупністю норм, які регулюють поведінку сторін під час збройних конфліктів, з метою мінімізації людських страждань та захисту осіб, які не беруть безпосередньої участі у бойових діях. Порушення цих норм тягне за собою відповідальність як на індивідуальному, так і на державному рівнях.</w:t>
      </w:r>
    </w:p>
    <w:p w14:paraId="14689E55" w14:textId="77777777" w:rsidR="00220D3E" w:rsidRPr="00511005" w:rsidRDefault="00220D3E" w:rsidP="003A292D">
      <w:pPr>
        <w:tabs>
          <w:tab w:val="left" w:pos="709"/>
        </w:tabs>
        <w:spacing w:line="264" w:lineRule="auto"/>
        <w:rPr>
          <w:rFonts w:ascii="Arial" w:eastAsia="Times New Roman" w:hAnsi="Arial" w:cs="Arial"/>
          <w:noProof/>
          <w:szCs w:val="28"/>
          <w:lang w:eastAsia="ru-RU"/>
        </w:rPr>
      </w:pPr>
      <w:r w:rsidRPr="00511005">
        <w:rPr>
          <w:rFonts w:ascii="Arial" w:eastAsia="Times New Roman" w:hAnsi="Arial" w:cs="Arial"/>
          <w:noProof/>
          <w:szCs w:val="28"/>
          <w:lang w:val="uk-UA" w:eastAsia="ru-RU"/>
        </w:rPr>
        <w:t xml:space="preserve">Правові підстави обов’язку проводити розслідування можна знайти як в договірному, так і в звичаєвому міжнародному гуманітарному праві, зокрема в зобов’язанні Високих Договірних Сторін Женевських конвенцій 1949 року і Додаткового протоколу I до них 1977 року, застосовних в умовах міжнародних збройних конфліктів </w:t>
      </w:r>
      <w:r w:rsidRPr="00511005">
        <w:rPr>
          <w:rFonts w:ascii="Arial" w:eastAsia="Times New Roman" w:hAnsi="Arial" w:cs="Arial"/>
          <w:noProof/>
          <w:szCs w:val="28"/>
          <w:lang w:eastAsia="ru-RU"/>
        </w:rPr>
        <w:t>[1</w:t>
      </w:r>
      <w:r w:rsidRPr="00511005">
        <w:rPr>
          <w:rFonts w:ascii="Arial" w:eastAsia="Times New Roman" w:hAnsi="Arial" w:cs="Arial"/>
          <w:noProof/>
          <w:szCs w:val="28"/>
          <w:lang w:val="uk-UA" w:eastAsia="ru-RU"/>
        </w:rPr>
        <w:t>, с. 3</w:t>
      </w:r>
      <w:r w:rsidRPr="00511005">
        <w:rPr>
          <w:rFonts w:ascii="Arial" w:eastAsia="Times New Roman" w:hAnsi="Arial" w:cs="Arial"/>
          <w:noProof/>
          <w:szCs w:val="28"/>
          <w:lang w:eastAsia="ru-RU"/>
        </w:rPr>
        <w:t>].</w:t>
      </w:r>
    </w:p>
    <w:p w14:paraId="0C8ECD84"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З початку конфлікту в Україні було зафіксовано численні випадки порушення норм МГП. Це включає:</w:t>
      </w:r>
    </w:p>
    <w:p w14:paraId="5D6F01FD"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Атаки на цивільні обʼєкти, такі як школи та лікарні.</w:t>
      </w:r>
    </w:p>
    <w:p w14:paraId="06AC3A3B"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Використання заборонених видів озброєння.</w:t>
      </w:r>
    </w:p>
    <w:p w14:paraId="18428B74"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Залучення дітей до участі у військових діях.</w:t>
      </w:r>
    </w:p>
    <w:p w14:paraId="4BECA673"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lastRenderedPageBreak/>
        <w:t>• Порушення прав затриманих осіб.</w:t>
      </w:r>
    </w:p>
    <w:p w14:paraId="50BA644A"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Система міжнародного права передбачає кілька механізмів притягнення до відповідальності за серйозні порушення МГП. Одним з ключових інститутів є </w:t>
      </w:r>
      <w:r w:rsidRPr="00511005">
        <w:rPr>
          <w:rFonts w:ascii="Arial" w:eastAsia="Times New Roman" w:hAnsi="Arial" w:cs="Arial"/>
          <w:b/>
          <w:bCs/>
          <w:noProof/>
          <w:szCs w:val="28"/>
          <w:lang w:val="uk-UA" w:eastAsia="ru-RU"/>
        </w:rPr>
        <w:t>Міжнародний кримінальний суд (МКС)</w:t>
      </w:r>
      <w:r w:rsidRPr="00511005">
        <w:rPr>
          <w:rFonts w:ascii="Arial" w:eastAsia="Times New Roman" w:hAnsi="Arial" w:cs="Arial"/>
          <w:noProof/>
          <w:szCs w:val="28"/>
          <w:lang w:val="uk-UA" w:eastAsia="ru-RU"/>
        </w:rPr>
        <w:t>, юрисдикція якого поширюється на злочини геноциду, злочини проти людяності, воєнні злочини та злочин агресії [2]. До 2024 року Україна не була учасницею Римського статуту, проте визнала юрисдикцію МКС щодо злочинів, скоєних на її території з 21 листопада 2013 року [</w:t>
      </w:r>
      <w:r w:rsidRPr="00511005">
        <w:rPr>
          <w:rFonts w:ascii="Arial" w:eastAsia="Times New Roman" w:hAnsi="Arial" w:cs="Arial"/>
          <w:noProof/>
          <w:szCs w:val="28"/>
          <w:lang w:eastAsia="ru-RU"/>
        </w:rPr>
        <w:t>3</w:t>
      </w:r>
      <w:r w:rsidRPr="00511005">
        <w:rPr>
          <w:rFonts w:ascii="Arial" w:eastAsia="Times New Roman" w:hAnsi="Arial" w:cs="Arial"/>
          <w:noProof/>
          <w:szCs w:val="28"/>
          <w:lang w:val="uk-UA" w:eastAsia="ru-RU"/>
        </w:rPr>
        <w:t>]</w:t>
      </w:r>
      <w:r w:rsidRPr="00511005">
        <w:rPr>
          <w:rFonts w:ascii="Arial" w:eastAsia="Times New Roman" w:hAnsi="Arial" w:cs="Arial"/>
          <w:noProof/>
          <w:szCs w:val="28"/>
          <w:lang w:eastAsia="ru-RU"/>
        </w:rPr>
        <w:t>.</w:t>
      </w:r>
      <w:r w:rsidRPr="00511005">
        <w:rPr>
          <w:rFonts w:ascii="Arial" w:eastAsia="Times New Roman" w:hAnsi="Arial" w:cs="Arial"/>
          <w:noProof/>
          <w:szCs w:val="28"/>
          <w:lang w:val="uk-UA" w:eastAsia="ru-RU"/>
        </w:rPr>
        <w:t xml:space="preserve"> Прокурор МКС розпочав розслідування ситуації в Україні, що може призвести до притягнення до відповідальності осіб, винних у скоєнні воєнних злочинів та злочинів проти людяності.</w:t>
      </w:r>
      <w:r w:rsidRPr="00511005">
        <w:rPr>
          <w:rFonts w:ascii="Arial" w:eastAsia="Calibri" w:hAnsi="Arial" w:cs="Arial"/>
          <w:szCs w:val="28"/>
          <w:lang w:val="uk-UA"/>
        </w:rPr>
        <w:t xml:space="preserve"> </w:t>
      </w:r>
      <w:r w:rsidRPr="00511005">
        <w:rPr>
          <w:rFonts w:ascii="Arial" w:eastAsia="Times New Roman" w:hAnsi="Arial" w:cs="Arial"/>
          <w:noProof/>
          <w:szCs w:val="28"/>
          <w:lang w:val="uk-UA" w:eastAsia="ru-RU"/>
        </w:rPr>
        <w:t>Після 24 років очікування, 21 серпня 2024 року Верховна Рада України затвердила Римський статут, ухваливши Закон № 3909-</w:t>
      </w:r>
      <w:r w:rsidRPr="00511005">
        <w:rPr>
          <w:rFonts w:ascii="Arial" w:eastAsia="Times New Roman" w:hAnsi="Arial" w:cs="Arial"/>
          <w:noProof/>
          <w:szCs w:val="28"/>
          <w:lang w:eastAsia="ru-RU"/>
        </w:rPr>
        <w:t>IX</w:t>
      </w:r>
      <w:r w:rsidRPr="00511005">
        <w:rPr>
          <w:rFonts w:ascii="Arial" w:eastAsia="Times New Roman" w:hAnsi="Arial" w:cs="Arial"/>
          <w:noProof/>
          <w:szCs w:val="28"/>
          <w:lang w:val="uk-UA" w:eastAsia="ru-RU"/>
        </w:rPr>
        <w:t xml:space="preserve"> «Про ратифікацію </w:t>
      </w:r>
      <w:r w:rsidRPr="00511005">
        <w:rPr>
          <w:rFonts w:ascii="Arial" w:eastAsia="Times New Roman" w:hAnsi="Arial" w:cs="Arial"/>
          <w:noProof/>
          <w:szCs w:val="28"/>
          <w:lang w:eastAsia="ru-RU"/>
        </w:rPr>
        <w:t>Римського статуту Міжнародного кримінального суду та внесені до нього поправки».</w:t>
      </w:r>
    </w:p>
    <w:p w14:paraId="19A654E9"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4 березня 2022 року було проголошено Декларацію про створення Спеціального трибуналу для покарання злочину агресії проти України подібно до Лондонської декларації 1942 року, яка заклала основу для Нюрнберзького трибуналу [</w:t>
      </w:r>
      <w:r w:rsidRPr="00511005">
        <w:rPr>
          <w:rFonts w:ascii="Arial" w:eastAsia="Times New Roman" w:hAnsi="Arial" w:cs="Arial"/>
          <w:noProof/>
          <w:szCs w:val="28"/>
          <w:lang w:eastAsia="ru-RU"/>
        </w:rPr>
        <w:t>4</w:t>
      </w:r>
      <w:r w:rsidRPr="00511005">
        <w:rPr>
          <w:rFonts w:ascii="Arial" w:eastAsia="Times New Roman" w:hAnsi="Arial" w:cs="Arial"/>
          <w:noProof/>
          <w:szCs w:val="28"/>
          <w:lang w:val="uk-UA" w:eastAsia="ru-RU"/>
        </w:rPr>
        <w:t>, с. 8]</w:t>
      </w:r>
      <w:r w:rsidRPr="00511005">
        <w:rPr>
          <w:rFonts w:ascii="Arial" w:eastAsia="Times New Roman" w:hAnsi="Arial" w:cs="Arial"/>
          <w:noProof/>
          <w:szCs w:val="28"/>
          <w:lang w:eastAsia="ru-RU"/>
        </w:rPr>
        <w:t xml:space="preserve">. </w:t>
      </w:r>
      <w:r w:rsidRPr="00511005">
        <w:rPr>
          <w:rFonts w:ascii="Arial" w:eastAsia="Times New Roman" w:hAnsi="Arial" w:cs="Arial"/>
          <w:noProof/>
          <w:szCs w:val="28"/>
          <w:lang w:val="uk-UA" w:eastAsia="ru-RU"/>
        </w:rPr>
        <w:t>Саме Спеціальний трибунал здатен забезпечити притягнення російської верхівки до відповідальності за скоєне.</w:t>
      </w:r>
    </w:p>
    <w:p w14:paraId="1D1422F2"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Слухання у справі за позовом України до Росії щодо звинувачень у геноциді розпочалися 7 березня 2022 року в Міжнародному суді ООН, що знаходиться в Гаазі. На початку березня, у відповідь на звернення тридцяти девʼяти країн, Міжнародний кримінальний суд анонсував початок слідства щодо воєнних злочинів, скоєних в результаті російського вторгнення в Україну. Важливим етапом стало відкриття українського представництва Офісу МКС у 2023 році.</w:t>
      </w:r>
    </w:p>
    <w:p w14:paraId="288D6F83"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Крім того, </w:t>
      </w:r>
      <w:r w:rsidRPr="00511005">
        <w:rPr>
          <w:rFonts w:ascii="Arial" w:eastAsia="Times New Roman" w:hAnsi="Arial" w:cs="Arial"/>
          <w:b/>
          <w:bCs/>
          <w:noProof/>
          <w:szCs w:val="28"/>
          <w:lang w:val="uk-UA" w:eastAsia="ru-RU"/>
        </w:rPr>
        <w:t>держави несуть відповідальність за порушення МГП</w:t>
      </w:r>
      <w:r w:rsidRPr="00511005">
        <w:rPr>
          <w:rFonts w:ascii="Arial" w:eastAsia="Times New Roman" w:hAnsi="Arial" w:cs="Arial"/>
          <w:noProof/>
          <w:szCs w:val="28"/>
          <w:lang w:val="uk-UA" w:eastAsia="ru-RU"/>
        </w:rPr>
        <w:t>, вчинені їхніми збройними силами або іншими органами. Ця відповідальність може включати обовʼязок відшкодування збитків жертвам, зобов’язання у зв’язку із забезпеченням кримінального переслідування та покарання осіб, які вчинили воєнні злочини [5, с. 212]. Відповідно до цього, надзвичайно важливим є процес включення до національного кримінального права положень, що передбачають відповідальність за значні відхилення від норм міжнародного гуманітарного права, які діють у період збройних конфліктів.</w:t>
      </w:r>
    </w:p>
    <w:p w14:paraId="54FBC703"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Україна також вживає заходів для притягнення до відповідальності осіб, винних у порушеннях МГП, скоєних у контексті збройного конфлікту на Сході країни. У межах розділу ХХ Кримінального кодексу України міститься стаття 438, яка визначає юридичну відповідальність за недотримання законів та звичаїв війни. Ця стаття охоплює низку протиправних дій, серед яких: жорстоке поводження з особами, які перебувають у статусі військовополонених, або з цивільним населенням; примусова депортація цивільних осіб для трудової експлуатації; незаконне заволодіння </w:t>
      </w:r>
      <w:r w:rsidRPr="00511005">
        <w:rPr>
          <w:rFonts w:ascii="Arial" w:eastAsia="Times New Roman" w:hAnsi="Arial" w:cs="Arial"/>
          <w:noProof/>
          <w:szCs w:val="28"/>
          <w:lang w:val="uk-UA" w:eastAsia="ru-RU"/>
        </w:rPr>
        <w:lastRenderedPageBreak/>
        <w:t>національними цінностями на підконтрольній окупанту території; застосування військових засобів, що є забороненими згідно з міжнародно-правовими нормами; а також інші порушення, передбачені міжнародними угодами, ратифікованими Верховною Радою України. Крім того, криміналізується віддання розпорядження про вчинення зазначених діянь [6].</w:t>
      </w:r>
    </w:p>
    <w:p w14:paraId="5A0E906F"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Незважаючи на існуючі механізми, реалізація відповідальності за порушення норм МГП стикається з низкою викликів:</w:t>
      </w:r>
      <w:r w:rsidRPr="00511005">
        <w:rPr>
          <w:rFonts w:ascii="Arial" w:eastAsia="Calibri" w:hAnsi="Arial" w:cs="Arial"/>
          <w:noProof/>
          <w:szCs w:val="28"/>
          <w:lang w:val="uk-UA"/>
        </w:rPr>
        <w:t xml:space="preserve"> </w:t>
      </w:r>
      <w:r w:rsidRPr="00511005">
        <w:rPr>
          <w:rFonts w:ascii="Arial" w:eastAsia="Times New Roman" w:hAnsi="Arial" w:cs="Arial"/>
          <w:noProof/>
          <w:szCs w:val="28"/>
          <w:lang w:val="uk-UA" w:eastAsia="ru-RU"/>
        </w:rPr>
        <w:t>активні бойові дії та неконтрольовані території, політичні перешкоди, невизначеність статусу учасників конфлікту, безпека свідків та потерпілих, відсутність співпраці з боку російської федерації, іноді політичні міркування можуть перешкоджати розслідуванню та судовому переслідуванню певних осіб або груп, інформаційна війна та пропаганда.</w:t>
      </w:r>
    </w:p>
    <w:p w14:paraId="7BC7E410"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Отже, збройний конфлікт на Сході України підкреслює важливість дотримання норм міжнародного гуманітарного права та необхідність відповідальності за їх порушення. Хоча існують механізми для притягнення до відповідальності, їх реалізація стикається з численними викликами. Для забезпечення справедливості та захисту прав людини важливо продовжувати міжнародну співпрацю та підтримувати ініціативи, спрямовані на розслідування та покарання винних у військових злочинах.</w:t>
      </w:r>
    </w:p>
    <w:p w14:paraId="3E852FAD" w14:textId="77777777" w:rsidR="00220D3E" w:rsidRPr="00511005" w:rsidRDefault="00220D3E" w:rsidP="003A292D">
      <w:pPr>
        <w:tabs>
          <w:tab w:val="left" w:pos="709"/>
        </w:tabs>
        <w:spacing w:line="264" w:lineRule="auto"/>
        <w:jc w:val="center"/>
        <w:rPr>
          <w:rFonts w:ascii="Arial" w:eastAsia="Times New Roman" w:hAnsi="Arial" w:cs="Arial"/>
          <w:b/>
          <w:bCs/>
          <w:noProof/>
          <w:szCs w:val="28"/>
          <w:lang w:val="uk-UA" w:eastAsia="ru-RU"/>
        </w:rPr>
      </w:pPr>
    </w:p>
    <w:p w14:paraId="1682CF0D" w14:textId="3F12A52E" w:rsidR="00220D3E" w:rsidRPr="00511005" w:rsidRDefault="007B2628" w:rsidP="007B2628">
      <w:pPr>
        <w:tabs>
          <w:tab w:val="left" w:pos="709"/>
        </w:tabs>
        <w:spacing w:line="264" w:lineRule="auto"/>
        <w:jc w:val="center"/>
        <w:rPr>
          <w:rFonts w:ascii="Arial" w:eastAsia="Times New Roman" w:hAnsi="Arial" w:cs="Arial"/>
          <w:noProof/>
          <w:szCs w:val="28"/>
          <w:lang w:val="uk-UA" w:eastAsia="ru-RU"/>
        </w:rPr>
      </w:pPr>
      <w:r w:rsidRPr="00511005">
        <w:rPr>
          <w:rFonts w:ascii="Arial" w:eastAsia="Times New Roman" w:hAnsi="Arial" w:cs="Arial"/>
          <w:b/>
          <w:bCs/>
          <w:noProof/>
          <w:szCs w:val="28"/>
          <w:lang w:val="uk-UA" w:eastAsia="ru-RU"/>
        </w:rPr>
        <w:t>Список використаних джерел</w:t>
      </w:r>
    </w:p>
    <w:p w14:paraId="334DD8FA" w14:textId="77777777" w:rsidR="00220D3E" w:rsidRPr="00511005" w:rsidRDefault="00220D3E" w:rsidP="000C392A">
      <w:pPr>
        <w:numPr>
          <w:ilvl w:val="0"/>
          <w:numId w:val="59"/>
        </w:numPr>
        <w:tabs>
          <w:tab w:val="left" w:pos="709"/>
        </w:tabs>
        <w:spacing w:line="264" w:lineRule="auto"/>
        <w:ind w:left="0" w:firstLine="709"/>
        <w:contextualSpacing/>
        <w:jc w:val="left"/>
        <w:rPr>
          <w:rFonts w:ascii="Arial" w:eastAsia="Times New Roman" w:hAnsi="Arial" w:cs="Arial"/>
          <w:noProof/>
          <w:szCs w:val="28"/>
          <w:lang w:eastAsia="ru-RU"/>
        </w:rPr>
      </w:pPr>
      <w:r w:rsidRPr="00511005">
        <w:rPr>
          <w:rFonts w:ascii="Arial" w:eastAsia="Times New Roman" w:hAnsi="Arial" w:cs="Arial"/>
          <w:noProof/>
          <w:szCs w:val="28"/>
          <w:lang w:val="en-US" w:eastAsia="ru-RU"/>
        </w:rPr>
        <w:t xml:space="preserve">Geneva Academy of International Humanitarian Law and Human Rights. </w:t>
      </w:r>
      <w:r w:rsidRPr="00511005">
        <w:rPr>
          <w:rFonts w:ascii="Arial" w:eastAsia="Times New Roman" w:hAnsi="Arial" w:cs="Arial"/>
          <w:bCs/>
          <w:noProof/>
          <w:szCs w:val="28"/>
          <w:lang w:eastAsia="ru-RU"/>
        </w:rPr>
        <w:t>Керівні принципи з розслідування серйозних порушень прав людини: Посібник</w:t>
      </w:r>
      <w:r w:rsidRPr="00511005">
        <w:rPr>
          <w:rFonts w:ascii="Arial" w:eastAsia="Times New Roman" w:hAnsi="Arial" w:cs="Arial"/>
          <w:noProof/>
          <w:szCs w:val="28"/>
          <w:lang w:eastAsia="ru-RU"/>
        </w:rPr>
        <w:t xml:space="preserve">. Версія 3. Женева: Geneva Academy, 2021. 44 с. URL: </w:t>
      </w:r>
      <w:hyperlink r:id="rId156" w:tgtFrame="_new" w:history="1">
        <w:r w:rsidRPr="00511005">
          <w:rPr>
            <w:rFonts w:ascii="Arial" w:eastAsia="Times New Roman" w:hAnsi="Arial" w:cs="Arial"/>
            <w:noProof/>
            <w:szCs w:val="28"/>
          </w:rPr>
          <w:t>https://geneva-academy.ch/joomlatools-files/docman-files/Investigation%20guidelines%20UKR_v3%20(1).pdf</w:t>
        </w:r>
      </w:hyperlink>
      <w:r w:rsidRPr="00511005">
        <w:rPr>
          <w:rFonts w:ascii="Arial" w:eastAsia="Times New Roman" w:hAnsi="Arial" w:cs="Arial"/>
          <w:noProof/>
          <w:szCs w:val="28"/>
          <w:lang w:eastAsia="ru-RU"/>
        </w:rPr>
        <w:t xml:space="preserve"> (дата звернення: 4.05.2025).</w:t>
      </w:r>
    </w:p>
    <w:p w14:paraId="4C89AB96" w14:textId="77777777" w:rsidR="00220D3E" w:rsidRPr="00511005" w:rsidRDefault="00220D3E" w:rsidP="000C392A">
      <w:pPr>
        <w:numPr>
          <w:ilvl w:val="0"/>
          <w:numId w:val="59"/>
        </w:numPr>
        <w:tabs>
          <w:tab w:val="left" w:pos="709"/>
        </w:tabs>
        <w:spacing w:line="264" w:lineRule="auto"/>
        <w:ind w:left="0" w:firstLine="709"/>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eastAsia="ru-RU"/>
        </w:rPr>
        <w:t>Римський статут міжнародного кримінального суду : Статут Міжнар. судів від 17.07.1998 : станом на 21 серп. 2024 р. URL: </w:t>
      </w:r>
      <w:hyperlink r:id="rId157" w:anchor="Text" w:tgtFrame="_blank" w:history="1">
        <w:r w:rsidRPr="00511005">
          <w:rPr>
            <w:rFonts w:ascii="Arial" w:eastAsia="Times New Roman" w:hAnsi="Arial" w:cs="Arial"/>
            <w:noProof/>
            <w:szCs w:val="28"/>
          </w:rPr>
          <w:t>https://zakon.rada.gov.ua/laws/show/995_588#Text</w:t>
        </w:r>
      </w:hyperlink>
      <w:r w:rsidRPr="00511005">
        <w:rPr>
          <w:rFonts w:ascii="Arial" w:eastAsia="Times New Roman" w:hAnsi="Arial" w:cs="Arial"/>
          <w:noProof/>
          <w:szCs w:val="28"/>
          <w:lang w:eastAsia="ru-RU"/>
        </w:rPr>
        <w:t> (дата звернення: 04.05.2025).</w:t>
      </w:r>
    </w:p>
    <w:p w14:paraId="58887F3E" w14:textId="77777777" w:rsidR="00220D3E" w:rsidRPr="00511005" w:rsidRDefault="00220D3E" w:rsidP="000C392A">
      <w:pPr>
        <w:numPr>
          <w:ilvl w:val="0"/>
          <w:numId w:val="59"/>
        </w:numPr>
        <w:tabs>
          <w:tab w:val="left" w:pos="709"/>
        </w:tabs>
        <w:spacing w:line="264" w:lineRule="auto"/>
        <w:ind w:left="0" w:firstLine="709"/>
        <w:contextualSpacing/>
        <w:jc w:val="left"/>
        <w:rPr>
          <w:rFonts w:ascii="Arial" w:eastAsia="Times New Roman" w:hAnsi="Arial" w:cs="Arial"/>
          <w:noProof/>
          <w:szCs w:val="28"/>
          <w:lang w:eastAsia="ru-RU"/>
        </w:rPr>
      </w:pPr>
      <w:r w:rsidRPr="00511005">
        <w:rPr>
          <w:rFonts w:ascii="Arial" w:eastAsia="Times New Roman" w:hAnsi="Arial" w:cs="Arial"/>
          <w:noProof/>
          <w:szCs w:val="28"/>
          <w:lang w:eastAsia="ru-RU"/>
        </w:rPr>
        <w:t>Заява Верховної Ради України до Міжнародного кримінального суду про визнання Україною юрисдикції міжнародного кримінального суду щодо скоєння злочинів проти людяності вищими посадовими особами держави, які призвели до особливо тяжких наслідків та масового вбивства українських громадян під час мирних акцій протестів у період з 21 листопада 2013 року по 22 лютого 2014 року : Заява Верхов. Ради України від 25.02.2014 № 790-VII. URL: </w:t>
      </w:r>
      <w:hyperlink r:id="rId158" w:anchor="Text" w:tgtFrame="_blank" w:history="1">
        <w:r w:rsidRPr="00511005">
          <w:rPr>
            <w:rFonts w:ascii="Arial" w:eastAsia="Times New Roman" w:hAnsi="Arial" w:cs="Arial"/>
            <w:noProof/>
            <w:szCs w:val="28"/>
          </w:rPr>
          <w:t>https://zakon.rada.gov.ua/laws/show/790-18#Text</w:t>
        </w:r>
      </w:hyperlink>
      <w:r w:rsidRPr="00511005">
        <w:rPr>
          <w:rFonts w:ascii="Arial" w:eastAsia="Times New Roman" w:hAnsi="Arial" w:cs="Arial"/>
          <w:noProof/>
          <w:szCs w:val="28"/>
          <w:lang w:eastAsia="ru-RU"/>
        </w:rPr>
        <w:t xml:space="preserve"> (дата звернення: 04.05.2025).Верховний Суд. </w:t>
      </w:r>
    </w:p>
    <w:p w14:paraId="078660FE" w14:textId="77777777" w:rsidR="00220D3E" w:rsidRPr="00511005" w:rsidRDefault="00220D3E" w:rsidP="000C392A">
      <w:pPr>
        <w:numPr>
          <w:ilvl w:val="0"/>
          <w:numId w:val="59"/>
        </w:numPr>
        <w:tabs>
          <w:tab w:val="left" w:pos="709"/>
        </w:tabs>
        <w:spacing w:line="264" w:lineRule="auto"/>
        <w:ind w:left="0" w:firstLine="709"/>
        <w:contextualSpacing/>
        <w:jc w:val="left"/>
        <w:rPr>
          <w:rFonts w:ascii="Arial" w:eastAsia="Times New Roman" w:hAnsi="Arial" w:cs="Arial"/>
          <w:noProof/>
          <w:szCs w:val="28"/>
          <w:lang w:eastAsia="ru-RU"/>
        </w:rPr>
      </w:pPr>
      <w:r w:rsidRPr="00511005">
        <w:rPr>
          <w:rFonts w:ascii="Arial" w:eastAsia="Times New Roman" w:hAnsi="Arial" w:cs="Arial"/>
          <w:bCs/>
          <w:noProof/>
          <w:szCs w:val="28"/>
          <w:lang w:eastAsia="ru-RU"/>
        </w:rPr>
        <w:t>Аналіз практики застосування норм міжнародного права як джерела національного права</w:t>
      </w:r>
      <w:r w:rsidRPr="00511005">
        <w:rPr>
          <w:rFonts w:ascii="Arial" w:eastAsia="Times New Roman" w:hAnsi="Arial" w:cs="Arial"/>
          <w:noProof/>
          <w:szCs w:val="28"/>
          <w:lang w:eastAsia="ru-RU"/>
        </w:rPr>
        <w:t xml:space="preserve"> [Електронний ресурс]. Київ, 2023. 36 с. URL: </w:t>
      </w:r>
      <w:hyperlink r:id="rId159" w:tgtFrame="_new" w:history="1">
        <w:r w:rsidRPr="00511005">
          <w:rPr>
            <w:rFonts w:ascii="Arial" w:eastAsia="Times New Roman" w:hAnsi="Arial" w:cs="Arial"/>
            <w:noProof/>
            <w:szCs w:val="28"/>
          </w:rPr>
          <w:t>https://supreme.court.gov.ua/userfiles/media/new_folder_for_uploads/supreme/2023_prezent/Prezent_Analiz_mignar_pravo_nac_pravo.pdf</w:t>
        </w:r>
      </w:hyperlink>
      <w:r w:rsidRPr="00511005">
        <w:rPr>
          <w:rFonts w:ascii="Arial" w:eastAsia="Times New Roman" w:hAnsi="Arial" w:cs="Arial"/>
          <w:noProof/>
          <w:szCs w:val="28"/>
          <w:lang w:eastAsia="ru-RU"/>
        </w:rPr>
        <w:t xml:space="preserve"> (дата звернення: 04.05.2025).</w:t>
      </w:r>
    </w:p>
    <w:p w14:paraId="4943A03A" w14:textId="77777777" w:rsidR="00220D3E" w:rsidRPr="00511005" w:rsidRDefault="00220D3E" w:rsidP="000C392A">
      <w:pPr>
        <w:numPr>
          <w:ilvl w:val="0"/>
          <w:numId w:val="59"/>
        </w:numPr>
        <w:tabs>
          <w:tab w:val="left" w:pos="709"/>
        </w:tabs>
        <w:spacing w:line="264" w:lineRule="auto"/>
        <w:ind w:left="0" w:firstLine="709"/>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eastAsia="ru-RU"/>
        </w:rPr>
        <w:t>Маньгора В.В, Горобець Л.С, Забелін Г.Т. ВІДПОВІДАЛЬНІСТЬ ЗА ПОРУШЕННЯ НОРМ МІЖНАРОДНОГО ГУМАНІТАРНОГО ПРАВА. </w:t>
      </w:r>
      <w:r w:rsidRPr="00511005">
        <w:rPr>
          <w:rFonts w:ascii="Arial" w:eastAsia="Times New Roman" w:hAnsi="Arial" w:cs="Arial"/>
          <w:i/>
          <w:iCs/>
          <w:noProof/>
          <w:szCs w:val="28"/>
          <w:lang w:eastAsia="ru-RU"/>
        </w:rPr>
        <w:t>ІНФОРМАЦІЯ І ПРАВО</w:t>
      </w:r>
      <w:r w:rsidRPr="00511005">
        <w:rPr>
          <w:rFonts w:ascii="Arial" w:eastAsia="Times New Roman" w:hAnsi="Arial" w:cs="Arial"/>
          <w:noProof/>
          <w:szCs w:val="28"/>
          <w:lang w:eastAsia="ru-RU"/>
        </w:rPr>
        <w:t>. 2024. № 1 (48) / 2024. С. 210–218. URL:</w:t>
      </w:r>
      <w:r w:rsidRPr="00511005">
        <w:rPr>
          <w:rFonts w:ascii="Arial" w:eastAsia="Calibri" w:hAnsi="Arial" w:cs="Arial"/>
          <w:szCs w:val="28"/>
        </w:rPr>
        <w:t xml:space="preserve"> </w:t>
      </w:r>
      <w:hyperlink r:id="rId160" w:history="1">
        <w:r w:rsidRPr="00511005">
          <w:rPr>
            <w:rFonts w:ascii="Arial" w:eastAsia="Times New Roman" w:hAnsi="Arial" w:cs="Arial"/>
            <w:noProof/>
            <w:szCs w:val="28"/>
          </w:rPr>
          <w:t>http://repository.vsau.org/getfile.php/36675.pdf</w:t>
        </w:r>
      </w:hyperlink>
      <w:r w:rsidRPr="00511005">
        <w:rPr>
          <w:rFonts w:ascii="Arial" w:eastAsia="Times New Roman" w:hAnsi="Arial" w:cs="Arial"/>
          <w:noProof/>
          <w:szCs w:val="28"/>
          <w:lang w:eastAsia="ru-RU"/>
        </w:rPr>
        <w:t xml:space="preserve"> </w:t>
      </w:r>
    </w:p>
    <w:p w14:paraId="4266B480" w14:textId="77777777" w:rsidR="00220D3E" w:rsidRPr="00511005" w:rsidRDefault="00220D3E" w:rsidP="000C392A">
      <w:pPr>
        <w:numPr>
          <w:ilvl w:val="0"/>
          <w:numId w:val="59"/>
        </w:numPr>
        <w:tabs>
          <w:tab w:val="left" w:pos="709"/>
        </w:tabs>
        <w:spacing w:line="264" w:lineRule="auto"/>
        <w:ind w:left="0" w:firstLine="709"/>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eastAsia="ru-RU"/>
        </w:rPr>
        <w:t>Кримінальний кодекс України : Кодекс України від 05.04.2001 № 2341-III : станом на 1 лют. 2025 р. URL: </w:t>
      </w:r>
      <w:hyperlink r:id="rId161" w:anchor="Text" w:tgtFrame="_blank" w:history="1">
        <w:r w:rsidRPr="00511005">
          <w:rPr>
            <w:rFonts w:ascii="Arial" w:eastAsia="Times New Roman" w:hAnsi="Arial" w:cs="Arial"/>
            <w:noProof/>
            <w:szCs w:val="28"/>
          </w:rPr>
          <w:t>https://zakon.rada.gov.ua/laws/show/2341-14#Text</w:t>
        </w:r>
      </w:hyperlink>
      <w:r w:rsidRPr="00511005">
        <w:rPr>
          <w:rFonts w:ascii="Arial" w:eastAsia="Times New Roman" w:hAnsi="Arial" w:cs="Arial"/>
          <w:noProof/>
          <w:szCs w:val="28"/>
          <w:lang w:eastAsia="ru-RU"/>
        </w:rPr>
        <w:t> (дата звернення: 04.05.2025).</w:t>
      </w:r>
    </w:p>
    <w:p w14:paraId="79276DC2" w14:textId="77777777" w:rsidR="00220D3E" w:rsidRPr="00511005" w:rsidRDefault="00220D3E" w:rsidP="003A292D">
      <w:pPr>
        <w:tabs>
          <w:tab w:val="left" w:pos="709"/>
        </w:tabs>
        <w:spacing w:line="264" w:lineRule="auto"/>
        <w:rPr>
          <w:rFonts w:ascii="Arial" w:eastAsia="Times New Roman" w:hAnsi="Arial" w:cs="Arial"/>
          <w:b/>
          <w:noProof/>
          <w:szCs w:val="28"/>
          <w:lang w:val="uk-UA" w:eastAsia="ru-RU"/>
        </w:rPr>
      </w:pPr>
    </w:p>
    <w:p w14:paraId="78AAB4D1" w14:textId="691ADCCC" w:rsidR="00220D3E" w:rsidRPr="00511005" w:rsidRDefault="007B2628"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b/>
          <w:i/>
          <w:noProof/>
          <w:szCs w:val="28"/>
          <w:lang w:val="uk-UA" w:eastAsia="ru-RU"/>
        </w:rPr>
        <w:t xml:space="preserve">Ключові слова: </w:t>
      </w:r>
      <w:r w:rsidR="00220D3E" w:rsidRPr="00511005">
        <w:rPr>
          <w:rFonts w:ascii="Arial" w:eastAsia="Times New Roman" w:hAnsi="Arial" w:cs="Arial"/>
          <w:noProof/>
          <w:szCs w:val="28"/>
          <w:lang w:val="uk-UA" w:eastAsia="ru-RU"/>
        </w:rPr>
        <w:t>міжнародне гуманітарне право, збройний конфлікт, збоойний конфлікт на Сході України, воєнні злочини, відповідальність, Міжнародний кримінальний суд, Римський Статут.</w:t>
      </w:r>
    </w:p>
    <w:p w14:paraId="47E7B42E" w14:textId="2B83C2C9" w:rsidR="00220D3E" w:rsidRPr="00511005" w:rsidRDefault="007B2628" w:rsidP="003A292D">
      <w:pPr>
        <w:tabs>
          <w:tab w:val="left" w:pos="709"/>
        </w:tabs>
        <w:spacing w:line="264" w:lineRule="auto"/>
        <w:rPr>
          <w:rFonts w:ascii="Arial" w:eastAsia="Times New Roman" w:hAnsi="Arial" w:cs="Arial"/>
          <w:noProof/>
          <w:szCs w:val="28"/>
          <w:lang w:val="uk-UA" w:eastAsia="ru-RU"/>
        </w:rPr>
      </w:pPr>
      <w:r w:rsidRPr="00511005">
        <w:rPr>
          <w:rFonts w:ascii="Arial" w:eastAsia="Times New Roman" w:hAnsi="Arial" w:cs="Arial"/>
          <w:b/>
          <w:i/>
          <w:noProof/>
          <w:szCs w:val="28"/>
          <w:lang w:val="en-US" w:eastAsia="ru-RU"/>
        </w:rPr>
        <w:t xml:space="preserve">Key words: </w:t>
      </w:r>
      <w:r w:rsidR="00220D3E" w:rsidRPr="00511005">
        <w:rPr>
          <w:rFonts w:ascii="Arial" w:eastAsia="Times New Roman" w:hAnsi="Arial" w:cs="Arial"/>
          <w:noProof/>
          <w:szCs w:val="28"/>
          <w:lang w:val="en-US" w:eastAsia="ru-RU"/>
        </w:rPr>
        <w:t>international humanitarian law, armed conflict, armed conflict in Eastern Ukraine, war crimes, responsibility, International Criminal Court, Rome Statute</w:t>
      </w:r>
      <w:r w:rsidR="00220D3E" w:rsidRPr="00511005">
        <w:rPr>
          <w:rFonts w:ascii="Arial" w:eastAsia="Times New Roman" w:hAnsi="Arial" w:cs="Arial"/>
          <w:noProof/>
          <w:szCs w:val="28"/>
          <w:lang w:val="uk-UA" w:eastAsia="ru-RU"/>
        </w:rPr>
        <w:t>.</w:t>
      </w:r>
    </w:p>
    <w:p w14:paraId="1EF8251A" w14:textId="14EBC718" w:rsidR="00220D3E" w:rsidRPr="00511005" w:rsidRDefault="007B2628" w:rsidP="003A292D">
      <w:pPr>
        <w:tabs>
          <w:tab w:val="left" w:pos="709"/>
        </w:tabs>
        <w:spacing w:line="264" w:lineRule="auto"/>
        <w:rPr>
          <w:rFonts w:ascii="Arial" w:eastAsia="Times New Roman" w:hAnsi="Arial" w:cs="Arial"/>
          <w:i/>
          <w:noProof/>
          <w:szCs w:val="28"/>
          <w:lang w:val="uk-UA" w:eastAsia="ru-RU"/>
        </w:rPr>
      </w:pPr>
      <w:r w:rsidRPr="00511005">
        <w:rPr>
          <w:rFonts w:ascii="Arial" w:eastAsia="Times New Roman" w:hAnsi="Arial" w:cs="Arial"/>
          <w:b/>
          <w:i/>
          <w:noProof/>
          <w:szCs w:val="28"/>
          <w:lang w:val="uk-UA" w:eastAsia="ru-RU"/>
        </w:rPr>
        <w:t xml:space="preserve">Науковий керівник: </w:t>
      </w:r>
      <w:r w:rsidR="00220D3E" w:rsidRPr="00511005">
        <w:rPr>
          <w:rFonts w:ascii="Arial" w:eastAsia="Times New Roman" w:hAnsi="Arial" w:cs="Arial"/>
          <w:i/>
          <w:noProof/>
          <w:szCs w:val="28"/>
          <w:lang w:val="uk-UA" w:eastAsia="ru-RU"/>
        </w:rPr>
        <w:t>к.ю.н., доцент Мануїлова К.В.</w:t>
      </w:r>
    </w:p>
    <w:p w14:paraId="30B40880" w14:textId="77777777" w:rsidR="00220D3E" w:rsidRPr="00511005" w:rsidRDefault="00220D3E" w:rsidP="003A292D">
      <w:pPr>
        <w:tabs>
          <w:tab w:val="left" w:pos="709"/>
        </w:tabs>
        <w:spacing w:line="264" w:lineRule="auto"/>
        <w:jc w:val="left"/>
        <w:rPr>
          <w:rFonts w:ascii="Arial" w:eastAsia="Times New Roman" w:hAnsi="Arial" w:cs="Arial"/>
          <w:noProof/>
          <w:szCs w:val="28"/>
          <w:lang w:val="uk-UA" w:eastAsia="ru-RU"/>
        </w:rPr>
      </w:pPr>
    </w:p>
    <w:p w14:paraId="05B6D6DE" w14:textId="77777777" w:rsidR="00220D3E" w:rsidRPr="00511005" w:rsidRDefault="00220D3E" w:rsidP="003A292D">
      <w:pPr>
        <w:widowControl w:val="0"/>
        <w:tabs>
          <w:tab w:val="left" w:pos="709"/>
        </w:tabs>
        <w:spacing w:line="264" w:lineRule="auto"/>
        <w:jc w:val="center"/>
        <w:rPr>
          <w:rFonts w:ascii="Arial" w:hAnsi="Arial" w:cs="Arial"/>
          <w:b/>
          <w:bCs/>
          <w:kern w:val="2"/>
          <w:szCs w:val="28"/>
          <w:lang w:val="en-US" w:eastAsia="zh-CN"/>
        </w:rPr>
      </w:pPr>
      <w:r w:rsidRPr="00511005">
        <w:rPr>
          <w:rFonts w:ascii="Arial" w:hAnsi="Arial" w:cs="Arial"/>
          <w:b/>
          <w:bCs/>
          <w:kern w:val="2"/>
          <w:szCs w:val="28"/>
          <w:lang w:val="en-US" w:eastAsia="zh-CN"/>
        </w:rPr>
        <w:t xml:space="preserve">Bahian Karina </w:t>
      </w:r>
    </w:p>
    <w:p w14:paraId="525DB73F" w14:textId="77777777" w:rsidR="00220D3E" w:rsidRPr="00511005" w:rsidRDefault="00220D3E" w:rsidP="003A292D">
      <w:pPr>
        <w:widowControl w:val="0"/>
        <w:tabs>
          <w:tab w:val="left" w:pos="709"/>
        </w:tabs>
        <w:spacing w:line="264" w:lineRule="auto"/>
        <w:jc w:val="center"/>
        <w:rPr>
          <w:rFonts w:ascii="Arial" w:hAnsi="Arial" w:cs="Arial"/>
          <w:iCs/>
          <w:kern w:val="2"/>
          <w:szCs w:val="28"/>
          <w:lang w:val="en-US" w:eastAsia="zh-CN"/>
        </w:rPr>
      </w:pPr>
      <w:r w:rsidRPr="00511005">
        <w:rPr>
          <w:rFonts w:ascii="Arial" w:hAnsi="Arial" w:cs="Arial"/>
          <w:iCs/>
          <w:kern w:val="2"/>
          <w:szCs w:val="28"/>
          <w:lang w:val="en-US" w:eastAsia="zh-CN"/>
        </w:rPr>
        <w:t>4th year student of Faculty of Advocacy and Anti-corruption Activities,</w:t>
      </w:r>
    </w:p>
    <w:p w14:paraId="704BD95B" w14:textId="77777777" w:rsidR="00220D3E" w:rsidRPr="00511005" w:rsidRDefault="00220D3E" w:rsidP="003A292D">
      <w:pPr>
        <w:widowControl w:val="0"/>
        <w:tabs>
          <w:tab w:val="left" w:pos="709"/>
        </w:tabs>
        <w:spacing w:line="264" w:lineRule="auto"/>
        <w:jc w:val="center"/>
        <w:rPr>
          <w:rFonts w:ascii="Arial" w:hAnsi="Arial" w:cs="Arial"/>
          <w:iCs/>
          <w:kern w:val="2"/>
          <w:szCs w:val="28"/>
          <w:lang w:val="uk-UA" w:eastAsia="zh-CN"/>
        </w:rPr>
      </w:pPr>
      <w:r w:rsidRPr="00511005">
        <w:rPr>
          <w:rFonts w:ascii="Arial" w:hAnsi="Arial" w:cs="Arial"/>
          <w:iCs/>
          <w:kern w:val="2"/>
          <w:szCs w:val="28"/>
          <w:lang w:val="en-US" w:eastAsia="zh-CN"/>
        </w:rPr>
        <w:t xml:space="preserve">National University </w:t>
      </w:r>
      <w:r w:rsidRPr="00511005">
        <w:rPr>
          <w:rFonts w:ascii="Arial" w:hAnsi="Arial" w:cs="Arial"/>
          <w:iCs/>
          <w:kern w:val="2"/>
          <w:szCs w:val="28"/>
          <w:lang w:val="uk-UA" w:eastAsia="zh-CN"/>
        </w:rPr>
        <w:t>«</w:t>
      </w:r>
      <w:r w:rsidRPr="00511005">
        <w:rPr>
          <w:rFonts w:ascii="Arial" w:hAnsi="Arial" w:cs="Arial"/>
          <w:iCs/>
          <w:kern w:val="2"/>
          <w:szCs w:val="28"/>
          <w:lang w:val="en-US" w:eastAsia="zh-CN"/>
        </w:rPr>
        <w:t>Odesa Law Academy</w:t>
      </w:r>
      <w:r w:rsidRPr="00511005">
        <w:rPr>
          <w:rFonts w:ascii="Arial" w:hAnsi="Arial" w:cs="Arial"/>
          <w:iCs/>
          <w:kern w:val="2"/>
          <w:szCs w:val="28"/>
          <w:lang w:val="uk-UA" w:eastAsia="zh-CN"/>
        </w:rPr>
        <w:t>»</w:t>
      </w:r>
    </w:p>
    <w:p w14:paraId="28DE605C" w14:textId="77777777" w:rsidR="00220D3E" w:rsidRPr="00511005" w:rsidRDefault="00220D3E" w:rsidP="003A292D">
      <w:pPr>
        <w:widowControl w:val="0"/>
        <w:tabs>
          <w:tab w:val="left" w:pos="709"/>
        </w:tabs>
        <w:spacing w:line="264" w:lineRule="auto"/>
        <w:jc w:val="center"/>
        <w:rPr>
          <w:rFonts w:ascii="Arial" w:hAnsi="Arial" w:cs="Arial"/>
          <w:i/>
          <w:iCs/>
          <w:kern w:val="2"/>
          <w:szCs w:val="28"/>
          <w:lang w:val="en-US" w:eastAsia="zh-CN"/>
        </w:rPr>
      </w:pPr>
    </w:p>
    <w:p w14:paraId="76237D43" w14:textId="77777777" w:rsidR="00220D3E" w:rsidRPr="00511005" w:rsidRDefault="00220D3E" w:rsidP="003A292D">
      <w:pPr>
        <w:tabs>
          <w:tab w:val="left" w:pos="709"/>
        </w:tabs>
        <w:spacing w:line="264" w:lineRule="auto"/>
        <w:jc w:val="center"/>
        <w:rPr>
          <w:rFonts w:ascii="Arial" w:eastAsia="Times New Roman" w:hAnsi="Arial" w:cs="Arial"/>
          <w:b/>
          <w:szCs w:val="28"/>
          <w:lang w:val="en-US" w:eastAsia="ru-RU"/>
        </w:rPr>
      </w:pPr>
      <w:r w:rsidRPr="00511005">
        <w:rPr>
          <w:rFonts w:ascii="Arial" w:eastAsia="Times New Roman" w:hAnsi="Arial" w:cs="Arial"/>
          <w:b/>
          <w:szCs w:val="28"/>
          <w:lang w:val="en-US" w:eastAsia="ru-RU"/>
        </w:rPr>
        <w:t>FORCED DISPLACEMENT AND REFUGEE</w:t>
      </w:r>
      <w:r w:rsidRPr="00511005">
        <w:rPr>
          <w:rFonts w:ascii="Arial" w:eastAsia="Times New Roman" w:hAnsi="Arial" w:cs="Arial"/>
          <w:b/>
          <w:szCs w:val="28"/>
          <w:lang w:val="uk-UA" w:eastAsia="ru-RU"/>
        </w:rPr>
        <w:t xml:space="preserve"> </w:t>
      </w:r>
      <w:r w:rsidRPr="00511005">
        <w:rPr>
          <w:rFonts w:ascii="Arial" w:eastAsia="Times New Roman" w:hAnsi="Arial" w:cs="Arial"/>
          <w:b/>
          <w:szCs w:val="28"/>
          <w:lang w:val="en-US" w:eastAsia="ru-RU"/>
        </w:rPr>
        <w:t>RIGHTS PROTECTION: INTERNATIONAL</w:t>
      </w:r>
      <w:r w:rsidRPr="00511005">
        <w:rPr>
          <w:rFonts w:ascii="Arial" w:eastAsia="Times New Roman" w:hAnsi="Arial" w:cs="Arial"/>
          <w:b/>
          <w:szCs w:val="28"/>
          <w:lang w:val="uk-UA" w:eastAsia="ru-RU"/>
        </w:rPr>
        <w:t xml:space="preserve"> </w:t>
      </w:r>
      <w:r w:rsidRPr="00511005">
        <w:rPr>
          <w:rFonts w:ascii="Arial" w:eastAsia="Times New Roman" w:hAnsi="Arial" w:cs="Arial"/>
          <w:b/>
          <w:szCs w:val="28"/>
          <w:lang w:val="en-US" w:eastAsia="ru-RU"/>
        </w:rPr>
        <w:t>LEGAL MECHANISMS AND</w:t>
      </w:r>
      <w:r w:rsidRPr="00511005">
        <w:rPr>
          <w:rFonts w:ascii="Arial" w:eastAsia="Times New Roman" w:hAnsi="Arial" w:cs="Arial"/>
          <w:b/>
          <w:szCs w:val="28"/>
          <w:lang w:val="uk-UA" w:eastAsia="ru-RU"/>
        </w:rPr>
        <w:t xml:space="preserve"> </w:t>
      </w:r>
      <w:r w:rsidRPr="00511005">
        <w:rPr>
          <w:rFonts w:ascii="Arial" w:eastAsia="Times New Roman" w:hAnsi="Arial" w:cs="Arial"/>
          <w:b/>
          <w:szCs w:val="28"/>
          <w:lang w:val="en-US" w:eastAsia="ru-RU"/>
        </w:rPr>
        <w:t>CONTEMPORARY CHALLENGES</w:t>
      </w:r>
    </w:p>
    <w:p w14:paraId="4A897D5C" w14:textId="77310140"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global situation regarding forced displacement has changed significantly over recent decades, presenting immense humanitarian challenges that put international legal frameworks to the test. Currently, over 100 million individuals around the world have been forcibly removed from their homes, making up about 1% of the global population [</w:t>
      </w:r>
      <w:r w:rsidR="00866D5F" w:rsidRPr="00511005">
        <w:rPr>
          <w:rFonts w:ascii="Arial" w:eastAsia="Times New Roman" w:hAnsi="Arial" w:cs="Arial"/>
          <w:szCs w:val="28"/>
          <w:lang w:val="uk-UA" w:eastAsia="ru-RU"/>
        </w:rPr>
        <w:t>1</w:t>
      </w:r>
      <w:r w:rsidRPr="00511005">
        <w:rPr>
          <w:rFonts w:ascii="Arial" w:eastAsia="Times New Roman" w:hAnsi="Arial" w:cs="Arial"/>
          <w:szCs w:val="28"/>
          <w:lang w:val="en-US" w:eastAsia="ru-RU"/>
        </w:rPr>
        <w:t>]. This displacement stems from a variety of interconnected issues, such as armed conflict, persecution, human rights abuses, climate change, and economic hardship. The core legal structures for refugee protection are mainly outlined in the 1951 Convention Relating to the Status of Refugees and its 1967 Protocol. Nevertheless, modern displacement trends have revealed important shortcomings in these frameworks and raised concerns about their effectiveness in tackling contemporary protection issues. This article explores the legal tools available for refugee protection, identifies the challenges in their application, and considers possible reforms to improve protection results in a world that is becoming ever more complex.</w:t>
      </w:r>
    </w:p>
    <w:p w14:paraId="179AFC61" w14:textId="37B6C96A"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The foundation of international refugee protection is the 1951 Convention Relating to the Status of Refugees along with its 1967 Protocol. Together, these documents define who qualifies as a refugee and outline the entitlements of refugees. A refugee is defined as a person who, due to a well-founded fear of persecution based on race, religion, nationality, membership in a particular social group, or political opinion, is outside their home country and cannot or is unwilling to seek protection there [</w:t>
      </w:r>
      <w:r w:rsidR="00866D5F" w:rsidRPr="00511005">
        <w:rPr>
          <w:rFonts w:ascii="Arial" w:eastAsia="Times New Roman" w:hAnsi="Arial" w:cs="Arial"/>
          <w:szCs w:val="28"/>
          <w:lang w:val="uk-UA" w:eastAsia="ru-RU"/>
        </w:rPr>
        <w:t>2</w:t>
      </w:r>
      <w:r w:rsidR="00866D5F" w:rsidRPr="00511005">
        <w:rPr>
          <w:rFonts w:ascii="Arial" w:eastAsia="Times New Roman" w:hAnsi="Arial" w:cs="Arial"/>
          <w:szCs w:val="28"/>
          <w:lang w:val="en-US" w:eastAsia="ru-RU"/>
        </w:rPr>
        <w:t>]</w:t>
      </w:r>
      <w:r w:rsidRPr="00511005">
        <w:rPr>
          <w:rFonts w:ascii="Arial" w:eastAsia="Times New Roman" w:hAnsi="Arial" w:cs="Arial"/>
          <w:szCs w:val="28"/>
          <w:lang w:val="en-US" w:eastAsia="ru-RU"/>
        </w:rPr>
        <w:t>. This definition establishes five categories of persecution that an individual must meet to be granted refugee status, distinguishing them from other types of migrants.</w:t>
      </w:r>
    </w:p>
    <w:p w14:paraId="2FD0D36E"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Regional agreements have broadened the framework for international refugee protection, making it more relevant to specific challenges related to displacement in various areas. The 1969 Organization of African Unity (OAU) Convention expands the criteria for refugee status to include individuals escaping from "external aggression, occupation, foreign domination, or events that severely disturb public order." Likewise, the 1984 Cartagena Declaration in Latin America widens the definition of refugees to encompass those fleeing from "generalized violence, foreign aggression, internal conflicts, significant human rights violations, or other situations that have seriously disrupted public order." </w:t>
      </w:r>
    </w:p>
    <w:p w14:paraId="794BF3A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In addition to refugee-specific agreements, international human rights law offers additional protection avenues. Instruments like the Universal Declaration of Human Rights, the International Covenant on Civil and Political Rights, and the Convention Against Torture outline obligations that enhance refugee protection, especially for individuals who may not meet the strict criteria of the 1951 Convention but still need international assistance.</w:t>
      </w:r>
    </w:p>
    <w:p w14:paraId="71CF65EB"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Despite the well-established legal framework for refugee protection, significant hurdles remain in its execution. These issues arise from various political, economic, and social factors that affect how states behave and make policies regarding refugee assistance.</w:t>
      </w:r>
    </w:p>
    <w:p w14:paraId="3C85EC2C" w14:textId="5E8803F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 key challenge is the tightening of asylum policies in numerous host nations. Measures such as enhanced border security, offshore processing, agreements with safe third countries, and detention practices have been adopted to discourage asylum seekers and restrict their access to asylum procedures [</w:t>
      </w:r>
      <w:r w:rsidR="00866D5F" w:rsidRPr="00511005">
        <w:rPr>
          <w:rFonts w:ascii="Arial" w:eastAsia="Times New Roman" w:hAnsi="Arial" w:cs="Arial"/>
          <w:szCs w:val="28"/>
          <w:lang w:val="en-US" w:eastAsia="ru-RU"/>
        </w:rPr>
        <w:t>3</w:t>
      </w:r>
      <w:r w:rsidRPr="00511005">
        <w:rPr>
          <w:rFonts w:ascii="Arial" w:eastAsia="Times New Roman" w:hAnsi="Arial" w:cs="Arial"/>
          <w:szCs w:val="28"/>
          <w:lang w:val="en-US" w:eastAsia="ru-RU"/>
        </w:rPr>
        <w:t>]. These actions often clash with international protection standards and may lead to refoulement in certain circumstances. The externalization of border control through agreements with transit countries is particularly troubling, as it can hinder asylum seekers from reaching protective measures entirely.</w:t>
      </w:r>
    </w:p>
    <w:p w14:paraId="78C21AF0"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Another major issue is the protection of individuals forced to flee due to causes not explicitly recognized by the 1951 Convention. For example, climate change and environmental degradation are increasingly seen as factors driving forced displacement; however, those displaced by such conditions do not automatically qualify for refugee status under current legal frameworks. This gap in protection has prompted calls to broaden the legal definition of refugees or to </w:t>
      </w:r>
      <w:r w:rsidRPr="00511005">
        <w:rPr>
          <w:rFonts w:ascii="Arial" w:eastAsia="Times New Roman" w:hAnsi="Arial" w:cs="Arial"/>
          <w:szCs w:val="28"/>
          <w:lang w:val="en-US" w:eastAsia="ru-RU"/>
        </w:rPr>
        <w:lastRenderedPageBreak/>
        <w:t>develop new categories of protection to address displacement driven by environmental factors.</w:t>
      </w:r>
    </w:p>
    <w:p w14:paraId="499069E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Even though there is a robust legal framework in place for refugee protection, notable obstacles continue to exist in its application. These issues are influenced by various political, economic, and social elements that shape state actions and policy choices regarding refugee support.</w:t>
      </w:r>
    </w:p>
    <w:p w14:paraId="443C123F" w14:textId="682E77BD"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One major obstacle is the growing restrictiveness of asylum policies across many host countries. Strategies like heightened border control, offshore processing, agreements with safe third countries, and detention practices have been implemented to discourage asylum seekers and limit their access to asylum applications [</w:t>
      </w:r>
      <w:r w:rsidR="00866D5F" w:rsidRPr="00511005">
        <w:rPr>
          <w:rFonts w:ascii="Arial" w:eastAsia="Times New Roman" w:hAnsi="Arial" w:cs="Arial"/>
          <w:szCs w:val="28"/>
          <w:lang w:val="en-US" w:eastAsia="ru-RU"/>
        </w:rPr>
        <w:t>4</w:t>
      </w:r>
      <w:r w:rsidRPr="00511005">
        <w:rPr>
          <w:rFonts w:ascii="Arial" w:eastAsia="Times New Roman" w:hAnsi="Arial" w:cs="Arial"/>
          <w:szCs w:val="28"/>
          <w:lang w:val="en-US" w:eastAsia="ru-RU"/>
        </w:rPr>
        <w:t>]. Such approaches often conflict with international protection standards and may result in refoulement in specific situations. The externalization of border control through deals with transit countries raises significant concerns, as it can completely block asylum seekers from accessing protection options.</w:t>
      </w:r>
    </w:p>
    <w:p w14:paraId="4F94C55D"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Additionally, there is a pressing challenge in safeguarding those displaced by reasons that the 1951 Convention does not explicitly encompass. Climate change and environmental degradation are increasingly acknowledged as factors that force people to flee, yet individuals displaced by these issues don’t automatically qualify for refugee status under existing laws. This shortfall in protection has led to demands for revising the legal definition of refugees or establishing new protection categories to accommodate displacement due to environmental causes.</w:t>
      </w:r>
    </w:p>
    <w:p w14:paraId="19646FC2"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Additionally, regional protection frameworks have emerged as effective strategies for addressing displacement issues in particular contexts. These frameworks often blend refugee protection with broader migration management approaches, acknowledging the complex and varied nature of today's population movements. An example of this is the Comprehensive Refugee Response Framework, which has been implemented in several African nations, integrating refugee support with development initiatives that benefit both displaced individuals and the communities that host them.</w:t>
      </w:r>
    </w:p>
    <w:p w14:paraId="3D201954"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Temporary protection mechanisms are being reconsidered as effective tools for managing situations of large-scale displacement. These mechanisms offer immediate safety without the need for individual assessments of refugee status, enabling quicker responses to extensive movements of people. Nonetheless, there are ongoing concerns that temporary protection might turn into a long-term solution without leading to more permanent options.</w:t>
      </w:r>
    </w:p>
    <w:p w14:paraId="137879AB" w14:textId="7DD2F30A"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Additionally, complementary pathways such as humanitarian visas, educational opportunities, and labor mobility programs provide innovative ways to enhance protection alternatives. These options can lessen the burden on traditional asylum systems while offering safe and legal avenues for those seeking protection [</w:t>
      </w:r>
      <w:r w:rsidR="00866D5F" w:rsidRPr="00511005">
        <w:rPr>
          <w:rFonts w:ascii="Arial" w:eastAsia="Times New Roman" w:hAnsi="Arial" w:cs="Arial"/>
          <w:szCs w:val="28"/>
          <w:lang w:val="en-US" w:eastAsia="ru-RU"/>
        </w:rPr>
        <w:t>5</w:t>
      </w:r>
      <w:r w:rsidRPr="00511005">
        <w:rPr>
          <w:rFonts w:ascii="Arial" w:eastAsia="Times New Roman" w:hAnsi="Arial" w:cs="Arial"/>
          <w:szCs w:val="28"/>
          <w:lang w:val="en-US" w:eastAsia="ru-RU"/>
        </w:rPr>
        <w:t>]. However, their success hinges on robust commitments from states and effective implementation strategies.</w:t>
      </w:r>
    </w:p>
    <w:p w14:paraId="0FE059E9"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In the end, improving refugee protection necessitates not only innovations in law and policy but also a renewed dedication to humanitarian values and international collaboration. As the number of people forcibly displaced rises in both scale and complexity, nations must acknowledge that effective protection not only advances humanitarian goals but also enhances regional stability and security. By bolstering the application of existing protection norms and crafting new strategies to tackle present challenges, the global community can strive for a more robust and comprehensive refugee protection system.</w:t>
      </w:r>
    </w:p>
    <w:p w14:paraId="2CE5E962" w14:textId="77777777" w:rsidR="00220D3E" w:rsidRPr="00511005" w:rsidRDefault="00220D3E" w:rsidP="003A292D">
      <w:pPr>
        <w:tabs>
          <w:tab w:val="left" w:pos="709"/>
        </w:tabs>
        <w:spacing w:line="264" w:lineRule="auto"/>
        <w:jc w:val="center"/>
        <w:rPr>
          <w:rFonts w:ascii="Arial" w:eastAsia="Times New Roman" w:hAnsi="Arial" w:cs="Arial"/>
          <w:b/>
          <w:iCs/>
          <w:szCs w:val="28"/>
          <w:lang w:val="en-US" w:eastAsia="ru-RU"/>
        </w:rPr>
      </w:pPr>
      <w:r w:rsidRPr="00511005">
        <w:rPr>
          <w:rFonts w:ascii="Arial" w:eastAsia="Times New Roman" w:hAnsi="Arial" w:cs="Arial"/>
          <w:b/>
          <w:iCs/>
          <w:szCs w:val="28"/>
          <w:lang w:val="en-US" w:eastAsia="ru-RU"/>
        </w:rPr>
        <w:t>References</w:t>
      </w:r>
    </w:p>
    <w:p w14:paraId="0B370EC0" w14:textId="77777777" w:rsidR="00220D3E" w:rsidRPr="00511005" w:rsidRDefault="00220D3E" w:rsidP="000C392A">
      <w:pPr>
        <w:numPr>
          <w:ilvl w:val="0"/>
          <w:numId w:val="60"/>
        </w:numPr>
        <w:spacing w:line="264" w:lineRule="auto"/>
        <w:ind w:left="0" w:firstLine="709"/>
        <w:contextualSpacing/>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United Nations High Commissioner for Refugees. Global Trends: Forced Displacement in 2022. [Online]. URL: </w:t>
      </w:r>
      <w:hyperlink r:id="rId162" w:history="1">
        <w:r w:rsidRPr="00511005">
          <w:rPr>
            <w:rFonts w:ascii="Arial" w:eastAsia="Times New Roman" w:hAnsi="Arial" w:cs="Arial"/>
            <w:szCs w:val="28"/>
            <w:lang w:val="en-US"/>
          </w:rPr>
          <w:t>https://www.unhcr.org/globaltrends</w:t>
        </w:r>
      </w:hyperlink>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(accessed: 10 May 2025).</w:t>
      </w:r>
    </w:p>
    <w:p w14:paraId="5A3D8D6D" w14:textId="77777777" w:rsidR="00220D3E" w:rsidRPr="00511005" w:rsidRDefault="00220D3E" w:rsidP="000C392A">
      <w:pPr>
        <w:numPr>
          <w:ilvl w:val="0"/>
          <w:numId w:val="60"/>
        </w:numPr>
        <w:spacing w:line="264" w:lineRule="auto"/>
        <w:ind w:left="0" w:firstLine="709"/>
        <w:contextualSpacing/>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United Nations. Convention Relating to the Status of Refugees, 1951. United Nations Treaty Series. [Online]. URL: </w:t>
      </w:r>
      <w:hyperlink r:id="rId163" w:history="1">
        <w:r w:rsidRPr="00511005">
          <w:rPr>
            <w:rFonts w:ascii="Arial" w:eastAsia="Times New Roman" w:hAnsi="Arial" w:cs="Arial"/>
            <w:szCs w:val="28"/>
            <w:lang w:val="en-US"/>
          </w:rPr>
          <w:t>https://treaties.un.org/pages/ViewDetailsII.aspx?src=TREATY&amp;mtdsg_no=V-2&amp;chapter=5</w:t>
        </w:r>
      </w:hyperlink>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(accessed: 10 May 2025).</w:t>
      </w:r>
    </w:p>
    <w:p w14:paraId="066778DA" w14:textId="77777777" w:rsidR="00220D3E" w:rsidRPr="00511005" w:rsidRDefault="00220D3E" w:rsidP="000C392A">
      <w:pPr>
        <w:numPr>
          <w:ilvl w:val="0"/>
          <w:numId w:val="60"/>
        </w:numPr>
        <w:spacing w:line="264" w:lineRule="auto"/>
        <w:ind w:left="0" w:firstLine="709"/>
        <w:contextualSpacing/>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Future Directions for Global Refugee Policy. Journal of Migration and Human Security. [Online]. URL: </w:t>
      </w:r>
      <w:hyperlink r:id="rId164" w:history="1">
        <w:r w:rsidRPr="00511005">
          <w:rPr>
            <w:rFonts w:ascii="Arial" w:eastAsia="Times New Roman" w:hAnsi="Arial" w:cs="Arial"/>
            <w:szCs w:val="28"/>
            <w:lang w:val="en-US"/>
          </w:rPr>
          <w:t>https://journals.sagepub.com/doi/full/10.1177/2311502421993746</w:t>
        </w:r>
      </w:hyperlink>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(accessed: 10 May 2025).</w:t>
      </w:r>
    </w:p>
    <w:p w14:paraId="4A93E609" w14:textId="4B3CA977" w:rsidR="00220D3E" w:rsidRPr="00511005" w:rsidRDefault="00220D3E" w:rsidP="000C392A">
      <w:pPr>
        <w:numPr>
          <w:ilvl w:val="0"/>
          <w:numId w:val="60"/>
        </w:numPr>
        <w:spacing w:line="264" w:lineRule="auto"/>
        <w:ind w:left="0" w:firstLine="709"/>
        <w:contextualSpacing/>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Protracted Refugee Situations: Political, Human Rights and Security Implications. Cambridge University Press. [Online]. URL: </w:t>
      </w:r>
      <w:hyperlink r:id="rId165" w:history="1">
        <w:r w:rsidRPr="00511005">
          <w:rPr>
            <w:rFonts w:ascii="Arial" w:eastAsia="Times New Roman" w:hAnsi="Arial" w:cs="Arial"/>
            <w:szCs w:val="28"/>
            <w:lang w:val="en-US"/>
          </w:rPr>
          <w:t>https://www.cambridge.org/core/books/protracted-refugee-situations/</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(accessed:10 May 2025).</w:t>
      </w:r>
    </w:p>
    <w:p w14:paraId="26ECD2DE" w14:textId="77777777" w:rsidR="00220D3E" w:rsidRPr="00511005" w:rsidRDefault="00220D3E" w:rsidP="000C392A">
      <w:pPr>
        <w:numPr>
          <w:ilvl w:val="0"/>
          <w:numId w:val="60"/>
        </w:numPr>
        <w:spacing w:line="264" w:lineRule="auto"/>
        <w:ind w:left="0" w:firstLine="709"/>
        <w:contextualSpacing/>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Complementary Protection in International Refugee Law. Oxford University Press. [Online]. URL: </w:t>
      </w:r>
      <w:hyperlink r:id="rId166" w:history="1">
        <w:r w:rsidRPr="00511005">
          <w:rPr>
            <w:rFonts w:ascii="Arial" w:eastAsia="Times New Roman" w:hAnsi="Arial" w:cs="Arial"/>
            <w:szCs w:val="28"/>
            <w:lang w:val="en-US"/>
          </w:rPr>
          <w:t>https://global.oup.com/academic/product/complementary-protection-in-international-refugee-law/</w:t>
        </w:r>
      </w:hyperlink>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(accessed: 10 May 2025).</w:t>
      </w:r>
    </w:p>
    <w:p w14:paraId="66626231" w14:textId="77777777" w:rsidR="00220D3E" w:rsidRPr="00511005" w:rsidRDefault="00220D3E" w:rsidP="003A292D">
      <w:pPr>
        <w:tabs>
          <w:tab w:val="left" w:pos="709"/>
        </w:tabs>
        <w:spacing w:line="264" w:lineRule="auto"/>
        <w:rPr>
          <w:rFonts w:ascii="Arial" w:eastAsia="Times New Roman" w:hAnsi="Arial" w:cs="Arial"/>
          <w:b/>
          <w:bCs/>
          <w:i/>
          <w:iCs/>
          <w:szCs w:val="28"/>
          <w:lang w:val="en-US" w:eastAsia="ru-RU"/>
        </w:rPr>
      </w:pPr>
    </w:p>
    <w:p w14:paraId="675DDFF1" w14:textId="6F6C3C9F"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iCs/>
          <w:szCs w:val="28"/>
          <w:lang w:val="uk-UA" w:eastAsia="ru-RU"/>
        </w:rPr>
        <w:t xml:space="preserve">Ключові слова: </w:t>
      </w:r>
      <w:r w:rsidR="00220D3E" w:rsidRPr="00511005">
        <w:rPr>
          <w:rFonts w:ascii="Arial" w:eastAsia="Times New Roman" w:hAnsi="Arial" w:cs="Arial"/>
          <w:szCs w:val="28"/>
          <w:lang w:val="uk-UA" w:eastAsia="ru-RU"/>
        </w:rPr>
        <w:t>права людини, гуманітарні виклики, вимушене переміщення, міжнародне право, захист біженців, тимчасовий захист.</w:t>
      </w:r>
    </w:p>
    <w:p w14:paraId="17652135" w14:textId="062AF76C"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iCs/>
          <w:szCs w:val="28"/>
          <w:lang w:val="en-US" w:eastAsia="ru-RU"/>
        </w:rPr>
        <w:t xml:space="preserve">Key words: </w:t>
      </w:r>
      <w:r w:rsidR="00220D3E" w:rsidRPr="00511005">
        <w:rPr>
          <w:rFonts w:ascii="Arial" w:eastAsia="Times New Roman" w:hAnsi="Arial" w:cs="Arial"/>
          <w:szCs w:val="28"/>
          <w:lang w:val="en-US" w:eastAsia="ru-RU"/>
        </w:rPr>
        <w:t>human rights, humanitarian challenges, forced displacement, international law, refugee protection, temporary protection</w:t>
      </w:r>
      <w:r w:rsidR="00220D3E" w:rsidRPr="00511005">
        <w:rPr>
          <w:rFonts w:ascii="Arial" w:eastAsia="Times New Roman" w:hAnsi="Arial" w:cs="Arial"/>
          <w:szCs w:val="28"/>
          <w:lang w:val="uk-UA" w:eastAsia="ru-RU"/>
        </w:rPr>
        <w:t>.</w:t>
      </w:r>
    </w:p>
    <w:p w14:paraId="1DB79D03" w14:textId="10EA62A6" w:rsidR="00220D3E" w:rsidRPr="00511005" w:rsidRDefault="006C2EDA" w:rsidP="003A292D">
      <w:pPr>
        <w:tabs>
          <w:tab w:val="left" w:pos="709"/>
        </w:tabs>
        <w:spacing w:line="264" w:lineRule="auto"/>
        <w:rPr>
          <w:rFonts w:ascii="Arial" w:eastAsia="Times New Roman" w:hAnsi="Arial" w:cs="Arial"/>
          <w:i/>
          <w:szCs w:val="28"/>
          <w:lang w:val="uk-UA"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Times New Roman" w:hAnsi="Arial" w:cs="Arial"/>
          <w:i/>
          <w:szCs w:val="28"/>
          <w:lang w:val="en-US" w:eastAsia="ru-RU"/>
        </w:rPr>
        <w:t>PhD in Law, Associate Professor Dronov V.</w:t>
      </w:r>
    </w:p>
    <w:p w14:paraId="280F3CC1"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p>
    <w:p w14:paraId="6B9A8895"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Безмаленко Вероніка Володимирівна</w:t>
      </w:r>
    </w:p>
    <w:p w14:paraId="7AB8FC3F" w14:textId="02C50836" w:rsidR="00176B4E" w:rsidRPr="00511005" w:rsidRDefault="00536AAB"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25B20855"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2146BE4" w14:textId="771928D8"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47BE3AA"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4FD9E8CB" w14:textId="77777777" w:rsidR="00220D3E" w:rsidRPr="00511005" w:rsidRDefault="00220D3E" w:rsidP="003A292D">
      <w:pPr>
        <w:tabs>
          <w:tab w:val="left" w:pos="709"/>
        </w:tabs>
        <w:spacing w:line="264" w:lineRule="auto"/>
        <w:jc w:val="center"/>
        <w:rPr>
          <w:rFonts w:ascii="Arial" w:eastAsia="Times New Roman" w:hAnsi="Arial" w:cs="Arial"/>
          <w:b/>
          <w:iCs/>
          <w:szCs w:val="28"/>
          <w:lang w:eastAsia="ru-RU"/>
        </w:rPr>
      </w:pPr>
      <w:r w:rsidRPr="00511005">
        <w:rPr>
          <w:rFonts w:ascii="Arial" w:eastAsia="Times New Roman" w:hAnsi="Arial" w:cs="Arial"/>
          <w:b/>
          <w:iCs/>
          <w:szCs w:val="28"/>
          <w:lang w:eastAsia="ru-RU"/>
        </w:rPr>
        <w:t>РЕАЛІЗАЦІЯ ПРАВА НА ЗАБУТТЯ В УМОВАХ ГЛОБАЛЬНОГО ІНТЕРНЕТУ: ПРАВОВІ ВИКЛИКИ І ПЕРСПЕКТИВИ</w:t>
      </w:r>
    </w:p>
    <w:p w14:paraId="75C48D48"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ru-RU"/>
        </w:rPr>
        <w:lastRenderedPageBreak/>
        <w:t xml:space="preserve">У сучасному цифровому суспільстві, де інформація поширюється миттєво та зберігається безстроково, право на забуття набуває особливої актуальності. Це право дозволяє особі вимагати видалення своїх персональних даних з публічного доступу, особливо коли така інформація є застарілою, неточною або порушує її приватність. </w:t>
      </w:r>
      <w:r w:rsidRPr="00511005">
        <w:rPr>
          <w:rFonts w:ascii="Arial" w:eastAsia="Times New Roman" w:hAnsi="Arial" w:cs="Arial"/>
          <w:szCs w:val="28"/>
          <w:lang w:eastAsia="uk-UA"/>
        </w:rPr>
        <w:t xml:space="preserve">Однак в умовах глобального Інтернету реалізація цього права стикається з низкою серйозних </w:t>
      </w:r>
      <w:r w:rsidRPr="00511005">
        <w:rPr>
          <w:rFonts w:ascii="Arial" w:eastAsia="Times New Roman" w:hAnsi="Arial" w:cs="Arial"/>
          <w:bCs/>
          <w:szCs w:val="28"/>
          <w:lang w:eastAsia="uk-UA"/>
        </w:rPr>
        <w:t>юридичних, технічних і філософських викликів</w:t>
      </w:r>
      <w:r w:rsidRPr="00511005">
        <w:rPr>
          <w:rFonts w:ascii="Arial" w:eastAsia="Times New Roman" w:hAnsi="Arial" w:cs="Arial"/>
          <w:szCs w:val="28"/>
          <w:lang w:eastAsia="uk-UA"/>
        </w:rPr>
        <w:t>, які роблять його як складним для втілення, так і неоднозначним за своєю природою.</w:t>
      </w:r>
    </w:p>
    <w:p w14:paraId="106D05A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uk-UA"/>
        </w:rPr>
        <w:t xml:space="preserve">Вперше як доктринальне і правове поняття </w:t>
      </w:r>
      <w:r w:rsidRPr="00511005">
        <w:rPr>
          <w:rFonts w:ascii="Arial" w:eastAsia="Times New Roman" w:hAnsi="Arial" w:cs="Arial"/>
          <w:b/>
          <w:bCs/>
          <w:szCs w:val="28"/>
          <w:lang w:val="uk-UA" w:eastAsia="uk-UA"/>
        </w:rPr>
        <w:t>«право на забуття» (right to be forgotten)</w:t>
      </w:r>
      <w:r w:rsidRPr="00511005">
        <w:rPr>
          <w:rFonts w:ascii="Arial" w:eastAsia="Times New Roman" w:hAnsi="Arial" w:cs="Arial"/>
          <w:szCs w:val="28"/>
          <w:lang w:val="uk-UA" w:eastAsia="uk-UA"/>
        </w:rPr>
        <w:t xml:space="preserve"> було легалізоване у рішенні </w:t>
      </w:r>
      <w:r w:rsidRPr="00511005">
        <w:rPr>
          <w:rFonts w:ascii="Arial" w:eastAsia="Times New Roman" w:hAnsi="Arial" w:cs="Arial"/>
          <w:bCs/>
          <w:szCs w:val="28"/>
          <w:lang w:val="uk-UA" w:eastAsia="uk-UA"/>
        </w:rPr>
        <w:t xml:space="preserve">Суду Європейського Союзу у справі </w:t>
      </w:r>
      <w:r w:rsidRPr="00511005">
        <w:rPr>
          <w:rFonts w:ascii="Arial" w:eastAsia="Times New Roman" w:hAnsi="Arial" w:cs="Arial"/>
          <w:szCs w:val="28"/>
          <w:lang w:val="uk-UA" w:eastAsia="ru-RU"/>
        </w:rPr>
        <w:t xml:space="preserve">"Google Spain SL, Google Inc. проти Agencia Española de Protección de Datos, Mario Costeja González" (2014). Суд постановив, що оператори пошукових систем зобов'язані видаляти посилання на веб-сторінки, які містять застарілу або нерелевантну інформацію про особу, навіть якщо інформація є правдивою </w:t>
      </w: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w:t>
      </w:r>
    </w:p>
    <w:p w14:paraId="417FCE3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Європейському Союзі </w:t>
      </w:r>
      <w:r w:rsidRPr="00511005">
        <w:rPr>
          <w:rFonts w:ascii="Arial" w:eastAsia="Times New Roman" w:hAnsi="Arial" w:cs="Arial"/>
          <w:szCs w:val="28"/>
          <w:lang w:val="uk-UA" w:eastAsia="uk-UA"/>
        </w:rPr>
        <w:t xml:space="preserve">«Право на стирання («право бути забутим»)» </w:t>
      </w:r>
      <w:r w:rsidRPr="00511005">
        <w:rPr>
          <w:rFonts w:ascii="Arial" w:eastAsia="Times New Roman" w:hAnsi="Arial" w:cs="Arial"/>
          <w:szCs w:val="28"/>
          <w:lang w:val="uk-UA" w:eastAsia="ru-RU"/>
        </w:rPr>
        <w:t xml:space="preserve">закріплено в статті 17 Загального регламенту про захист даних (GDPR). Ця норма надає фізичним особам право вимагати від контролера видалення персональних даних без необґрунтованої затримки за певних умов, таких як відсутність необхідності в обробці даних або відкликання згоди на обробку </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 xml:space="preserve">. </w:t>
      </w:r>
    </w:p>
    <w:p w14:paraId="5F17AE75" w14:textId="77777777" w:rsidR="00220D3E" w:rsidRPr="00511005" w:rsidRDefault="00220D3E" w:rsidP="003A292D">
      <w:pPr>
        <w:tabs>
          <w:tab w:val="left" w:pos="709"/>
        </w:tabs>
        <w:spacing w:line="264" w:lineRule="auto"/>
        <w:rPr>
          <w:rFonts w:ascii="Arial" w:eastAsia="MingLiU_HKSCS" w:hAnsi="Arial" w:cs="Arial"/>
          <w:szCs w:val="28"/>
          <w:lang w:val="uk-UA" w:eastAsia="ru-RU"/>
        </w:rPr>
      </w:pPr>
      <w:r w:rsidRPr="00511005">
        <w:rPr>
          <w:rFonts w:ascii="Arial" w:eastAsia="Times New Roman" w:hAnsi="Arial" w:cs="Arial"/>
          <w:szCs w:val="28"/>
          <w:lang w:val="uk-UA" w:eastAsia="ru-RU"/>
        </w:rPr>
        <w:t xml:space="preserve">В Україні не має прямого законодавчого закріплення. Закон України "Про захист персональних даних" передбачає право особи на захист своїх персональних даних, включаючи можливість вимагати їх видалення у разі незаконної обробки або недостовірності </w:t>
      </w:r>
      <w:r w:rsidRPr="00511005">
        <w:rPr>
          <w:rFonts w:ascii="Arial" w:eastAsia="Times New Roman" w:hAnsi="Arial" w:cs="Arial"/>
          <w:szCs w:val="28"/>
          <w:lang w:eastAsia="ru-RU"/>
        </w:rPr>
        <w:t>[3]</w:t>
      </w:r>
      <w:r w:rsidRPr="00511005">
        <w:rPr>
          <w:rFonts w:ascii="Arial" w:eastAsia="Times New Roman" w:hAnsi="Arial" w:cs="Arial"/>
          <w:szCs w:val="28"/>
          <w:lang w:val="uk-UA" w:eastAsia="ru-RU"/>
        </w:rPr>
        <w:t xml:space="preserve">. Реалізація права на забуття стикається з низкою викликів, зокрема, необхідністю балансування між правом на приватність та свободою вираження поглядів. </w:t>
      </w:r>
      <w:r w:rsidRPr="00511005">
        <w:rPr>
          <w:rFonts w:ascii="Arial" w:eastAsia="Times New Roman" w:hAnsi="Arial" w:cs="Arial"/>
          <w:szCs w:val="28"/>
          <w:lang w:val="uk-UA" w:eastAsia="uk-UA"/>
        </w:rPr>
        <w:t xml:space="preserve">Наприклад, чи має політик право вимагати видалення старих новин про себе? А якщо йдеться про корупційне розслідування, яке формально завершене, але суспільство має інтерес до цієї інформації? У таких випадках суди мають здійснювати </w:t>
      </w:r>
      <w:r w:rsidRPr="00511005">
        <w:rPr>
          <w:rFonts w:ascii="Arial" w:eastAsia="Times New Roman" w:hAnsi="Arial" w:cs="Arial"/>
          <w:bCs/>
          <w:szCs w:val="28"/>
          <w:lang w:val="uk-UA" w:eastAsia="uk-UA"/>
        </w:rPr>
        <w:t>тонкий баланс між двома фундаментальними правами</w:t>
      </w:r>
      <w:r w:rsidRPr="00511005">
        <w:rPr>
          <w:rFonts w:ascii="Arial" w:eastAsia="Times New Roman" w:hAnsi="Arial" w:cs="Arial"/>
          <w:szCs w:val="28"/>
          <w:lang w:val="uk-UA" w:eastAsia="uk-UA"/>
        </w:rPr>
        <w:t>, і в різних країнах цей баланс реалізується по-різному.</w:t>
      </w:r>
      <w:r w:rsidRPr="00511005">
        <w:rPr>
          <w:rFonts w:ascii="Arial" w:eastAsia="Times New Roman" w:hAnsi="Arial" w:cs="Arial"/>
          <w:szCs w:val="28"/>
          <w:lang w:val="uk-UA" w:eastAsia="ru-RU"/>
        </w:rPr>
        <w:t xml:space="preserve"> </w:t>
      </w:r>
    </w:p>
    <w:p w14:paraId="2A8CB677"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val="uk-UA" w:eastAsia="ru-RU"/>
        </w:rPr>
        <w:t xml:space="preserve">Крім того, технічні аспекти, такі як неможливість повного видалення інформації з Інтернету, ускладнюють реалізацію цього права. </w:t>
      </w:r>
      <w:r w:rsidRPr="00511005">
        <w:rPr>
          <w:rFonts w:ascii="Arial" w:eastAsia="Times New Roman" w:hAnsi="Arial" w:cs="Arial"/>
          <w:szCs w:val="28"/>
          <w:lang w:eastAsia="uk-UA"/>
        </w:rPr>
        <w:t xml:space="preserve">Навіть якщо її прибрано з пошукової видачі, вона може залишатися на серверах, в кеші, архівах, дубльованих копіях, дзеркальних сайтах. Відтак право на забуття — це не стільки «право на повне знищення», скільки </w:t>
      </w:r>
      <w:r w:rsidRPr="00511005">
        <w:rPr>
          <w:rFonts w:ascii="Arial" w:eastAsia="Times New Roman" w:hAnsi="Arial" w:cs="Arial"/>
          <w:bCs/>
          <w:szCs w:val="28"/>
          <w:lang w:eastAsia="uk-UA"/>
        </w:rPr>
        <w:t>право на обмеження поширення і видимості</w:t>
      </w:r>
      <w:r w:rsidRPr="00511005">
        <w:rPr>
          <w:rFonts w:ascii="Arial" w:eastAsia="Times New Roman" w:hAnsi="Arial" w:cs="Arial"/>
          <w:szCs w:val="28"/>
          <w:lang w:eastAsia="uk-UA"/>
        </w:rPr>
        <w:t xml:space="preserve"> персональної інформації. Перспективи реалізації цього права значною мірою залежать від </w:t>
      </w:r>
      <w:r w:rsidRPr="00511005">
        <w:rPr>
          <w:rFonts w:ascii="Arial" w:eastAsia="Times New Roman" w:hAnsi="Arial" w:cs="Arial"/>
          <w:bCs/>
          <w:szCs w:val="28"/>
          <w:lang w:eastAsia="uk-UA"/>
        </w:rPr>
        <w:t>свідомості користувачів</w:t>
      </w:r>
      <w:r w:rsidRPr="00511005">
        <w:rPr>
          <w:rFonts w:ascii="Arial" w:eastAsia="Times New Roman" w:hAnsi="Arial" w:cs="Arial"/>
          <w:szCs w:val="28"/>
          <w:lang w:eastAsia="uk-UA"/>
        </w:rPr>
        <w:t xml:space="preserve">, </w:t>
      </w:r>
      <w:r w:rsidRPr="00511005">
        <w:rPr>
          <w:rFonts w:ascii="Arial" w:eastAsia="Times New Roman" w:hAnsi="Arial" w:cs="Arial"/>
          <w:bCs/>
          <w:szCs w:val="28"/>
          <w:lang w:eastAsia="uk-UA"/>
        </w:rPr>
        <w:t>відкритості платформ</w:t>
      </w:r>
      <w:r w:rsidRPr="00511005">
        <w:rPr>
          <w:rFonts w:ascii="Arial" w:eastAsia="Times New Roman" w:hAnsi="Arial" w:cs="Arial"/>
          <w:szCs w:val="28"/>
          <w:lang w:eastAsia="uk-UA"/>
        </w:rPr>
        <w:t xml:space="preserve"> до правових запитів та </w:t>
      </w:r>
      <w:r w:rsidRPr="00511005">
        <w:rPr>
          <w:rFonts w:ascii="Arial" w:eastAsia="Times New Roman" w:hAnsi="Arial" w:cs="Arial"/>
          <w:bCs/>
          <w:szCs w:val="28"/>
          <w:lang w:eastAsia="uk-UA"/>
        </w:rPr>
        <w:t>технологічного розвитку механізмів самовидалення</w:t>
      </w:r>
      <w:r w:rsidRPr="00511005">
        <w:rPr>
          <w:rFonts w:ascii="Arial" w:eastAsia="Times New Roman" w:hAnsi="Arial" w:cs="Arial"/>
          <w:szCs w:val="28"/>
          <w:lang w:eastAsia="uk-UA"/>
        </w:rPr>
        <w:t xml:space="preserve">. У майбутньому очікується, що алгоритми </w:t>
      </w:r>
      <w:r w:rsidRPr="00511005">
        <w:rPr>
          <w:rFonts w:ascii="Arial" w:eastAsia="Times New Roman" w:hAnsi="Arial" w:cs="Arial"/>
          <w:szCs w:val="28"/>
          <w:lang w:eastAsia="uk-UA"/>
        </w:rPr>
        <w:lastRenderedPageBreak/>
        <w:t>штучного інтелекту зможуть автоматично ідентифікувати персональні дані в контенті та реагувати на запити відповідно до законодавства.</w:t>
      </w:r>
    </w:p>
    <w:p w14:paraId="7340C5A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Право на забуття є важливим елементом захисту приватності в цифровому суспільстві. Його ефективна реалізація вимагає комплексного підходу, що включає правове регулювання, судову практику та технічні механізми. Для України актуальним є питання адаптації національного законодавства до європейських стандартів з метою забезпечення належного захисту персональних даних громадян.</w:t>
      </w:r>
    </w:p>
    <w:p w14:paraId="16EB6A04"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p>
    <w:p w14:paraId="604EE6E7" w14:textId="43C2C839" w:rsidR="00220D3E"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4DFD28BF" w14:textId="022C5DE8"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1. Рішення ЄСПЛ, справа </w:t>
      </w:r>
      <w:r w:rsidRPr="00511005">
        <w:rPr>
          <w:rFonts w:ascii="Arial" w:eastAsia="Times New Roman" w:hAnsi="Arial" w:cs="Arial"/>
          <w:bCs/>
          <w:szCs w:val="28"/>
          <w:shd w:val="clear" w:color="auto" w:fill="FFFFFF"/>
          <w:lang w:eastAsia="ru-RU"/>
        </w:rPr>
        <w:t>Google Spain SL та Google Inc. проти Agencia Española de Protección de Datos (AEPD) та Mario Costeja González</w:t>
      </w:r>
      <w:r w:rsidRPr="00511005">
        <w:rPr>
          <w:rFonts w:ascii="Arial" w:eastAsia="Times New Roman" w:hAnsi="Arial" w:cs="Arial"/>
          <w:szCs w:val="28"/>
          <w:lang w:eastAsia="uk-UA"/>
        </w:rPr>
        <w:t xml:space="preserve">, </w:t>
      </w:r>
      <w:r w:rsidRPr="00511005">
        <w:rPr>
          <w:rFonts w:ascii="Arial" w:eastAsia="Times New Roman" w:hAnsi="Arial" w:cs="Arial"/>
          <w:szCs w:val="28"/>
          <w:lang w:val="en-US" w:eastAsia="uk-UA"/>
        </w:rPr>
        <w:t>Case</w:t>
      </w:r>
      <w:r w:rsidRPr="00511005">
        <w:rPr>
          <w:rFonts w:ascii="Arial" w:eastAsia="Times New Roman" w:hAnsi="Arial" w:cs="Arial"/>
          <w:szCs w:val="28"/>
          <w:lang w:eastAsia="uk-UA"/>
        </w:rPr>
        <w:t xml:space="preserve"> </w:t>
      </w:r>
      <w:r w:rsidRPr="00511005">
        <w:rPr>
          <w:rFonts w:ascii="Arial" w:eastAsia="Times New Roman" w:hAnsi="Arial" w:cs="Arial"/>
          <w:szCs w:val="28"/>
          <w:lang w:val="en-US" w:eastAsia="uk-UA"/>
        </w:rPr>
        <w:t>C</w:t>
      </w:r>
      <w:r w:rsidRPr="00511005">
        <w:rPr>
          <w:rFonts w:ascii="Arial" w:eastAsia="Times New Roman" w:hAnsi="Arial" w:cs="Arial"/>
          <w:szCs w:val="28"/>
          <w:lang w:eastAsia="uk-UA"/>
        </w:rPr>
        <w:noBreakHyphen/>
        <w:t xml:space="preserve">131/12, </w:t>
      </w:r>
      <w:r w:rsidRPr="00511005">
        <w:rPr>
          <w:rFonts w:ascii="Arial" w:eastAsia="Times New Roman" w:hAnsi="Arial" w:cs="Arial"/>
          <w:szCs w:val="28"/>
          <w:lang w:val="en-US" w:eastAsia="uk-UA"/>
        </w:rPr>
        <w:t>Judgment</w:t>
      </w:r>
      <w:r w:rsidRPr="00511005">
        <w:rPr>
          <w:rFonts w:ascii="Arial" w:eastAsia="Times New Roman" w:hAnsi="Arial" w:cs="Arial"/>
          <w:szCs w:val="28"/>
          <w:lang w:eastAsia="uk-UA"/>
        </w:rPr>
        <w:t xml:space="preserve"> </w:t>
      </w:r>
      <w:r w:rsidRPr="00511005">
        <w:rPr>
          <w:rFonts w:ascii="Arial" w:eastAsia="Times New Roman" w:hAnsi="Arial" w:cs="Arial"/>
          <w:szCs w:val="28"/>
          <w:lang w:val="en-US" w:eastAsia="uk-UA"/>
        </w:rPr>
        <w:t>of</w:t>
      </w:r>
      <w:r w:rsidRPr="00511005">
        <w:rPr>
          <w:rFonts w:ascii="Arial" w:eastAsia="Times New Roman" w:hAnsi="Arial" w:cs="Arial"/>
          <w:szCs w:val="28"/>
          <w:lang w:eastAsia="uk-UA"/>
        </w:rPr>
        <w:t xml:space="preserve"> </w:t>
      </w:r>
      <w:r w:rsidRPr="00511005">
        <w:rPr>
          <w:rFonts w:ascii="Arial" w:eastAsia="Times New Roman" w:hAnsi="Arial" w:cs="Arial"/>
          <w:szCs w:val="28"/>
          <w:lang w:val="en-US" w:eastAsia="uk-UA"/>
        </w:rPr>
        <w:t>the</w:t>
      </w:r>
      <w:r w:rsidRPr="00511005">
        <w:rPr>
          <w:rFonts w:ascii="Arial" w:eastAsia="Times New Roman" w:hAnsi="Arial" w:cs="Arial"/>
          <w:szCs w:val="28"/>
          <w:lang w:eastAsia="uk-UA"/>
        </w:rPr>
        <w:t xml:space="preserve"> </w:t>
      </w:r>
      <w:r w:rsidRPr="00511005">
        <w:rPr>
          <w:rFonts w:ascii="Arial" w:eastAsia="Times New Roman" w:hAnsi="Arial" w:cs="Arial"/>
          <w:szCs w:val="28"/>
          <w:lang w:val="en-US" w:eastAsia="uk-UA"/>
        </w:rPr>
        <w:t>Court</w:t>
      </w:r>
      <w:r w:rsidRPr="00511005">
        <w:rPr>
          <w:rFonts w:ascii="Arial" w:eastAsia="Times New Roman" w:hAnsi="Arial" w:cs="Arial"/>
          <w:szCs w:val="28"/>
          <w:lang w:eastAsia="uk-UA"/>
        </w:rPr>
        <w:t xml:space="preserve"> (</w:t>
      </w:r>
      <w:r w:rsidRPr="00511005">
        <w:rPr>
          <w:rFonts w:ascii="Arial" w:eastAsia="Times New Roman" w:hAnsi="Arial" w:cs="Arial"/>
          <w:szCs w:val="28"/>
          <w:lang w:val="en-US" w:eastAsia="uk-UA"/>
        </w:rPr>
        <w:t>Grand</w:t>
      </w:r>
      <w:r w:rsidRPr="00511005">
        <w:rPr>
          <w:rFonts w:ascii="Arial" w:eastAsia="Times New Roman" w:hAnsi="Arial" w:cs="Arial"/>
          <w:szCs w:val="28"/>
          <w:lang w:eastAsia="uk-UA"/>
        </w:rPr>
        <w:t xml:space="preserve"> </w:t>
      </w:r>
      <w:r w:rsidRPr="00511005">
        <w:rPr>
          <w:rFonts w:ascii="Arial" w:eastAsia="Times New Roman" w:hAnsi="Arial" w:cs="Arial"/>
          <w:szCs w:val="28"/>
          <w:lang w:val="en-US" w:eastAsia="uk-UA"/>
        </w:rPr>
        <w:t>Chamber</w:t>
      </w:r>
      <w:r w:rsidRPr="00511005">
        <w:rPr>
          <w:rFonts w:ascii="Arial" w:eastAsia="Times New Roman" w:hAnsi="Arial" w:cs="Arial"/>
          <w:szCs w:val="28"/>
          <w:lang w:eastAsia="uk-UA"/>
        </w:rPr>
        <w:t xml:space="preserve">) від 13.05.2014. </w:t>
      </w:r>
      <w:r w:rsidRPr="00511005">
        <w:rPr>
          <w:rFonts w:ascii="Arial" w:eastAsia="Times New Roman" w:hAnsi="Arial" w:cs="Arial"/>
          <w:szCs w:val="28"/>
          <w:lang w:val="en-US" w:eastAsia="uk-UA"/>
        </w:rPr>
        <w:t>URL</w:t>
      </w:r>
      <w:r w:rsidRPr="00511005">
        <w:rPr>
          <w:rFonts w:ascii="Arial" w:eastAsia="Times New Roman" w:hAnsi="Arial" w:cs="Arial"/>
          <w:szCs w:val="28"/>
          <w:lang w:eastAsia="uk-UA"/>
        </w:rPr>
        <w:t xml:space="preserve">: </w:t>
      </w:r>
      <w:hyperlink r:id="rId167" w:tgtFrame="_new" w:history="1">
        <w:r w:rsidRPr="00511005">
          <w:rPr>
            <w:rFonts w:ascii="Arial" w:eastAsia="Times New Roman" w:hAnsi="Arial" w:cs="Arial"/>
            <w:szCs w:val="28"/>
            <w:lang w:val="en-US" w:eastAsia="uk-UA"/>
          </w:rPr>
          <w:t>https</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eur</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lex</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europa</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eu</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legal</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content</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EN</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TXT</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uri</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CELEX</w:t>
        </w:r>
        <w:r w:rsidRPr="00511005">
          <w:rPr>
            <w:rFonts w:ascii="Arial" w:eastAsia="Times New Roman" w:hAnsi="Arial" w:cs="Arial"/>
            <w:szCs w:val="28"/>
            <w:lang w:eastAsia="uk-UA"/>
          </w:rPr>
          <w:t>%3</w:t>
        </w:r>
        <w:r w:rsidRPr="00511005">
          <w:rPr>
            <w:rFonts w:ascii="Arial" w:eastAsia="Times New Roman" w:hAnsi="Arial" w:cs="Arial"/>
            <w:szCs w:val="28"/>
            <w:lang w:val="en-US" w:eastAsia="uk-UA"/>
          </w:rPr>
          <w:t>A</w:t>
        </w:r>
        <w:r w:rsidRPr="00511005">
          <w:rPr>
            <w:rFonts w:ascii="Arial" w:eastAsia="Times New Roman" w:hAnsi="Arial" w:cs="Arial"/>
            <w:szCs w:val="28"/>
            <w:lang w:eastAsia="uk-UA"/>
          </w:rPr>
          <w:t>62012</w:t>
        </w:r>
        <w:r w:rsidRPr="00511005">
          <w:rPr>
            <w:rFonts w:ascii="Arial" w:eastAsia="Times New Roman" w:hAnsi="Arial" w:cs="Arial"/>
            <w:szCs w:val="28"/>
            <w:lang w:val="en-US" w:eastAsia="uk-UA"/>
          </w:rPr>
          <w:t>CJ</w:t>
        </w:r>
        <w:r w:rsidRPr="00511005">
          <w:rPr>
            <w:rFonts w:ascii="Arial" w:eastAsia="Times New Roman" w:hAnsi="Arial" w:cs="Arial"/>
            <w:szCs w:val="28"/>
            <w:lang w:eastAsia="uk-UA"/>
          </w:rPr>
          <w:t>0131</w:t>
        </w:r>
      </w:hyperlink>
      <w:r w:rsidRPr="00511005">
        <w:rPr>
          <w:rFonts w:ascii="Arial" w:eastAsia="Times New Roman" w:hAnsi="Arial" w:cs="Arial"/>
          <w:szCs w:val="28"/>
          <w:lang w:eastAsia="ru-RU"/>
        </w:rPr>
        <w:t xml:space="preserve"> (дата звернення: 24.04.2025)</w:t>
      </w:r>
    </w:p>
    <w:p w14:paraId="7B1B5044" w14:textId="2B053D91" w:rsidR="008C418A" w:rsidRPr="00511005" w:rsidRDefault="00DA46A4"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ru-RU"/>
        </w:rPr>
        <w:t>2.</w:t>
      </w:r>
      <w:r w:rsidRPr="00511005">
        <w:rPr>
          <w:rFonts w:ascii="Arial" w:eastAsia="Times New Roman" w:hAnsi="Arial" w:cs="Arial"/>
          <w:b/>
          <w:szCs w:val="28"/>
          <w:lang w:eastAsia="ru-RU"/>
        </w:rPr>
        <w:t xml:space="preserve"> </w:t>
      </w:r>
      <w:hyperlink r:id="rId168" w:history="1">
        <w:r w:rsidRPr="00511005">
          <w:rPr>
            <w:rFonts w:ascii="Arial" w:eastAsia="Times New Roman" w:hAnsi="Arial" w:cs="Arial"/>
            <w:szCs w:val="28"/>
            <w:lang w:eastAsia="ru-RU"/>
          </w:rPr>
          <w:t>Регламент Європейського Парламенту і Ради (ЄС) 2016/679 про захист фізичних осіб у зв'язку з опрацюванням персональних даних і про вільний рух таких даних, та про скасування Директиви 95/46/ЄС (Загальний регламент про захист даних)</w:t>
        </w:r>
      </w:hyperlink>
      <w:r w:rsidRPr="00511005">
        <w:rPr>
          <w:rFonts w:ascii="Arial" w:eastAsia="Times New Roman" w:hAnsi="Arial" w:cs="Arial"/>
          <w:b/>
          <w:szCs w:val="28"/>
          <w:lang w:eastAsia="ru-RU"/>
        </w:rPr>
        <w:t xml:space="preserve"> </w:t>
      </w:r>
      <w:r w:rsidRPr="00511005">
        <w:rPr>
          <w:rFonts w:ascii="Arial" w:eastAsia="Times New Roman" w:hAnsi="Arial" w:cs="Arial"/>
          <w:szCs w:val="28"/>
          <w:lang w:eastAsia="ru-RU"/>
        </w:rPr>
        <w:t xml:space="preserve">від 27.04.2016.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169" w:anchor="Text" w:history="1">
        <w:r w:rsidRPr="00511005">
          <w:rPr>
            <w:rFonts w:ascii="Arial" w:eastAsia="Times New Roman" w:hAnsi="Arial" w:cs="Arial"/>
            <w:szCs w:val="28"/>
            <w:lang w:eastAsia="ru-RU"/>
          </w:rPr>
          <w:t>https://zakon.rada.gov.ua/laws/show/984_008-16#Text</w:t>
        </w:r>
      </w:hyperlink>
      <w:r w:rsidRPr="00511005">
        <w:rPr>
          <w:rFonts w:ascii="Arial" w:eastAsia="Times New Roman" w:hAnsi="Arial" w:cs="Arial"/>
          <w:szCs w:val="28"/>
          <w:lang w:eastAsia="ru-RU"/>
        </w:rPr>
        <w:t xml:space="preserve"> (дата звернення: 24.04.2025)</w:t>
      </w:r>
    </w:p>
    <w:p w14:paraId="1EEF7723"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bCs/>
          <w:szCs w:val="28"/>
          <w:lang w:eastAsia="ru-RU"/>
        </w:rPr>
        <w:t>3.</w:t>
      </w:r>
      <w:r w:rsidRPr="00511005">
        <w:rPr>
          <w:rFonts w:ascii="Arial" w:eastAsia="Times New Roman" w:hAnsi="Arial" w:cs="Arial"/>
          <w:b/>
          <w:bCs/>
          <w:szCs w:val="28"/>
          <w:lang w:eastAsia="ru-RU"/>
        </w:rPr>
        <w:t xml:space="preserve"> </w:t>
      </w:r>
      <w:r w:rsidRPr="00511005">
        <w:rPr>
          <w:rFonts w:ascii="Arial" w:eastAsia="Times New Roman" w:hAnsi="Arial" w:cs="Arial"/>
          <w:szCs w:val="28"/>
          <w:lang w:eastAsia="uk-UA"/>
        </w:rPr>
        <w:t xml:space="preserve">Закон України «Про захист персональних даних» № 2297-VI від 01.06.2010.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170" w:anchor="Text" w:history="1">
        <w:r w:rsidRPr="00511005">
          <w:rPr>
            <w:rFonts w:ascii="Arial" w:eastAsia="Times New Roman" w:hAnsi="Arial" w:cs="Arial"/>
            <w:szCs w:val="28"/>
            <w:lang w:eastAsia="ru-RU"/>
          </w:rPr>
          <w:t>https://zakon.rada.gov.ua/laws/show/2297-17#Text</w:t>
        </w:r>
      </w:hyperlink>
      <w:r w:rsidRPr="00511005">
        <w:rPr>
          <w:rFonts w:ascii="Arial" w:eastAsia="Times New Roman" w:hAnsi="Arial" w:cs="Arial"/>
          <w:szCs w:val="28"/>
          <w:lang w:eastAsia="uk-UA"/>
        </w:rPr>
        <w:t xml:space="preserve"> (дата звернення 24.04.2025).</w:t>
      </w:r>
    </w:p>
    <w:p w14:paraId="63BA3714"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79DFF166" w14:textId="148816CC" w:rsidR="00220D3E" w:rsidRPr="00511005" w:rsidRDefault="007B2628" w:rsidP="003A292D">
      <w:pPr>
        <w:keepNext/>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право на забуття, персональні дані, реалізація, захист, приватність.</w:t>
      </w:r>
    </w:p>
    <w:p w14:paraId="1F3CCEEB" w14:textId="15D3719B" w:rsidR="00220D3E" w:rsidRPr="00511005" w:rsidRDefault="007B2628" w:rsidP="003A292D">
      <w:pPr>
        <w:keepNext/>
        <w:tabs>
          <w:tab w:val="left" w:pos="709"/>
        </w:tabs>
        <w:spacing w:line="264" w:lineRule="auto"/>
        <w:jc w:val="left"/>
        <w:rPr>
          <w:rFonts w:ascii="Arial" w:eastAsia="Times New Roman" w:hAnsi="Arial" w:cs="Arial"/>
          <w:bCs/>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right to be forgotten, personal data, implementation, protection, privacy</w:t>
      </w:r>
    </w:p>
    <w:p w14:paraId="7ADAC065" w14:textId="55ED0CD5" w:rsidR="00220D3E" w:rsidRPr="00511005" w:rsidRDefault="007B2628" w:rsidP="003A292D">
      <w:pPr>
        <w:tabs>
          <w:tab w:val="left" w:pos="709"/>
        </w:tabs>
        <w:spacing w:line="264" w:lineRule="auto"/>
        <w:jc w:val="left"/>
        <w:rPr>
          <w:rFonts w:ascii="Arial" w:eastAsia="Times New Roman" w:hAnsi="Arial" w:cs="Arial"/>
          <w:bCs/>
          <w:i/>
          <w:iCs/>
          <w:szCs w:val="28"/>
          <w:lang w:val="uk-UA" w:eastAsia="ru-RU"/>
        </w:rPr>
      </w:pPr>
      <w:r w:rsidRPr="00511005">
        <w:rPr>
          <w:rFonts w:ascii="Arial" w:eastAsia="Times New Roman" w:hAnsi="Arial" w:cs="Arial"/>
          <w:b/>
          <w:bCs/>
          <w:i/>
          <w:iCs/>
          <w:szCs w:val="28"/>
          <w:lang w:eastAsia="ru-RU"/>
        </w:rPr>
        <w:t xml:space="preserve">Науковий керівник: </w:t>
      </w:r>
      <w:r w:rsidR="00220D3E" w:rsidRPr="00511005">
        <w:rPr>
          <w:rFonts w:ascii="Arial" w:eastAsia="Times New Roman" w:hAnsi="Arial" w:cs="Arial"/>
          <w:bCs/>
          <w:i/>
          <w:iCs/>
          <w:szCs w:val="28"/>
          <w:lang w:eastAsia="ru-RU"/>
        </w:rPr>
        <w:t>к.ю.н., доцент</w:t>
      </w:r>
      <w:r w:rsidRPr="00511005">
        <w:rPr>
          <w:rFonts w:ascii="Arial" w:eastAsia="Times New Roman" w:hAnsi="Arial" w:cs="Arial"/>
          <w:bCs/>
          <w:i/>
          <w:iCs/>
          <w:szCs w:val="28"/>
          <w:lang w:eastAsia="ru-RU"/>
        </w:rPr>
        <w:t xml:space="preserve"> </w:t>
      </w:r>
      <w:r w:rsidR="00220D3E" w:rsidRPr="00511005">
        <w:rPr>
          <w:rFonts w:ascii="Arial" w:eastAsia="Times New Roman" w:hAnsi="Arial" w:cs="Arial"/>
          <w:bCs/>
          <w:i/>
          <w:iCs/>
          <w:szCs w:val="28"/>
          <w:lang w:eastAsia="ru-RU"/>
        </w:rPr>
        <w:t>Гриб А.М.</w:t>
      </w:r>
    </w:p>
    <w:p w14:paraId="3513D748"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5536B0E8" w14:textId="77777777" w:rsidR="00220D3E" w:rsidRPr="00511005" w:rsidRDefault="00220D3E" w:rsidP="003A292D">
      <w:pPr>
        <w:tabs>
          <w:tab w:val="left" w:pos="709"/>
        </w:tabs>
        <w:spacing w:line="264" w:lineRule="auto"/>
        <w:jc w:val="center"/>
        <w:rPr>
          <w:rFonts w:ascii="Arial" w:eastAsia="Times New Roman" w:hAnsi="Arial" w:cs="Arial"/>
          <w:b/>
          <w:i/>
          <w:noProof/>
          <w:szCs w:val="28"/>
          <w:lang w:val="uk-UA" w:eastAsia="ru-RU"/>
        </w:rPr>
      </w:pPr>
      <w:r w:rsidRPr="00511005">
        <w:rPr>
          <w:rFonts w:ascii="Arial" w:eastAsia="Times New Roman" w:hAnsi="Arial" w:cs="Arial"/>
          <w:b/>
          <w:i/>
          <w:noProof/>
          <w:szCs w:val="28"/>
          <w:lang w:val="uk-UA" w:eastAsia="ru-RU"/>
        </w:rPr>
        <w:t>Бойко Данило Сергійович</w:t>
      </w:r>
    </w:p>
    <w:p w14:paraId="2E2DA6A0" w14:textId="77777777" w:rsidR="00220D3E" w:rsidRPr="00511005" w:rsidRDefault="00220D3E" w:rsidP="003A292D">
      <w:pPr>
        <w:tabs>
          <w:tab w:val="left" w:pos="709"/>
        </w:tabs>
        <w:spacing w:line="264" w:lineRule="auto"/>
        <w:jc w:val="center"/>
        <w:rPr>
          <w:rFonts w:ascii="Arial" w:eastAsia="Times New Roman" w:hAnsi="Arial" w:cs="Arial"/>
          <w:b/>
          <w:i/>
          <w:noProof/>
          <w:szCs w:val="28"/>
          <w:lang w:val="uk-UA" w:eastAsia="ru-RU"/>
        </w:rPr>
      </w:pPr>
      <w:r w:rsidRPr="00511005">
        <w:rPr>
          <w:rFonts w:ascii="Arial" w:eastAsia="Times New Roman" w:hAnsi="Arial" w:cs="Arial"/>
          <w:b/>
          <w:i/>
          <w:noProof/>
          <w:szCs w:val="28"/>
          <w:lang w:val="uk-UA" w:eastAsia="ru-RU"/>
        </w:rPr>
        <w:t>Войцикевич Олександра Олександрівна</w:t>
      </w:r>
    </w:p>
    <w:p w14:paraId="285E02A5" w14:textId="54817194" w:rsidR="00220D3E" w:rsidRPr="00511005" w:rsidRDefault="00220D3E" w:rsidP="003A292D">
      <w:pPr>
        <w:tabs>
          <w:tab w:val="left" w:pos="709"/>
        </w:tabs>
        <w:spacing w:line="264" w:lineRule="auto"/>
        <w:jc w:val="center"/>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студенти 4-го курсу </w:t>
      </w:r>
      <w:r w:rsidR="001B7B25" w:rsidRPr="00511005">
        <w:rPr>
          <w:rFonts w:ascii="Arial" w:eastAsia="Times New Roman" w:hAnsi="Arial" w:cs="Arial"/>
          <w:noProof/>
          <w:szCs w:val="28"/>
          <w:lang w:val="uk-UA" w:eastAsia="ru-RU"/>
        </w:rPr>
        <w:t>факультету судового та міжнародного права</w:t>
      </w:r>
    </w:p>
    <w:p w14:paraId="39984876" w14:textId="2115464E" w:rsidR="00220D3E" w:rsidRPr="00511005" w:rsidRDefault="007B2628" w:rsidP="003A292D">
      <w:pPr>
        <w:tabs>
          <w:tab w:val="left" w:pos="709"/>
          <w:tab w:val="center" w:pos="4677"/>
          <w:tab w:val="right" w:pos="9355"/>
        </w:tabs>
        <w:spacing w:line="264" w:lineRule="auto"/>
        <w:jc w:val="center"/>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Національного університету «Одеська юридична академія»</w:t>
      </w:r>
    </w:p>
    <w:p w14:paraId="2220AC83" w14:textId="77777777" w:rsidR="00220D3E" w:rsidRPr="00511005" w:rsidRDefault="00220D3E" w:rsidP="003A292D">
      <w:pPr>
        <w:tabs>
          <w:tab w:val="left" w:pos="709"/>
          <w:tab w:val="center" w:pos="4677"/>
          <w:tab w:val="right" w:pos="9355"/>
        </w:tabs>
        <w:spacing w:line="264" w:lineRule="auto"/>
        <w:jc w:val="right"/>
        <w:rPr>
          <w:rFonts w:ascii="Arial" w:eastAsia="Times New Roman" w:hAnsi="Arial" w:cs="Arial"/>
          <w:i/>
          <w:iCs/>
          <w:noProof/>
          <w:szCs w:val="28"/>
          <w:lang w:val="uk-UA" w:eastAsia="ru-RU"/>
        </w:rPr>
      </w:pPr>
    </w:p>
    <w:p w14:paraId="5A86E8AB" w14:textId="77777777" w:rsidR="00220D3E" w:rsidRPr="00511005" w:rsidRDefault="00220D3E" w:rsidP="003A292D">
      <w:pPr>
        <w:tabs>
          <w:tab w:val="left" w:pos="709"/>
        </w:tabs>
        <w:spacing w:line="264" w:lineRule="auto"/>
        <w:jc w:val="center"/>
        <w:rPr>
          <w:rFonts w:ascii="Arial" w:eastAsia="Calibri" w:hAnsi="Arial" w:cs="Arial"/>
          <w:b/>
          <w:bCs/>
          <w:noProof/>
          <w:szCs w:val="28"/>
          <w:lang w:val="uk-UA"/>
        </w:rPr>
      </w:pPr>
      <w:r w:rsidRPr="00511005">
        <w:rPr>
          <w:rFonts w:ascii="Arial" w:eastAsia="Calibri" w:hAnsi="Arial" w:cs="Arial"/>
          <w:b/>
          <w:bCs/>
          <w:noProof/>
          <w:szCs w:val="28"/>
          <w:lang w:val="uk-UA"/>
        </w:rPr>
        <w:t>МІЖНАРОДНЕ ПРАВО І ЦИФРОВІ ПРАВА: ЧИ ДОСТАТНЬО ЗАХИЩЕНО ОСОБУ В КІБЕРПРОСТОРІ?</w:t>
      </w:r>
    </w:p>
    <w:p w14:paraId="0498C21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Міжнародне право, історично сформоване для регулювання відносин між державами, стикається зі зростаючим викликом адаптації до стрімкого розвитку цифрових технологій та необхідності захисту прав особи в кіберпросторі.</w:t>
      </w:r>
      <w:r w:rsidRPr="00511005">
        <w:rPr>
          <w:rFonts w:ascii="Arial" w:eastAsia="Times New Roman" w:hAnsi="Arial" w:cs="Arial"/>
          <w:b/>
          <w:noProof/>
          <w:szCs w:val="28"/>
          <w:lang w:val="uk-UA" w:eastAsia="ru-RU"/>
        </w:rPr>
        <w:t xml:space="preserve"> </w:t>
      </w:r>
      <w:r w:rsidRPr="00511005">
        <w:rPr>
          <w:rFonts w:ascii="Arial" w:eastAsia="Times New Roman" w:hAnsi="Arial" w:cs="Arial"/>
          <w:szCs w:val="28"/>
          <w:lang w:val="uk-UA" w:eastAsia="ru-RU"/>
        </w:rPr>
        <w:t>Існує потреба визначення, що ж таке цифрові права?</w:t>
      </w:r>
    </w:p>
    <w:p w14:paraId="735B8BC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Цифрові права – це система норм і правил поведінки, яка закріплює права і свободи людини щодо належного доступу і використання електронних пристроїв, можливості створення, використання і публікацію цифрових творів, а також комунікаційних мереж, зокрема, мережі Інтернет [1].</w:t>
      </w:r>
    </w:p>
    <w:p w14:paraId="1A0E48CE" w14:textId="13E02ABF"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Феномен цифрових прав пов’язаний з виникненням свободи доступу до Інтернету, а також визначенням потенційного «</w:t>
      </w:r>
      <w:r w:rsidRPr="00511005">
        <w:rPr>
          <w:rFonts w:ascii="Arial" w:eastAsia="Times New Roman" w:hAnsi="Arial" w:cs="Arial"/>
          <w:szCs w:val="28"/>
          <w:lang w:eastAsia="ru-RU"/>
        </w:rPr>
        <w:t>right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to</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be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forgotten</w:t>
      </w:r>
      <w:r w:rsidRPr="00511005">
        <w:rPr>
          <w:rFonts w:ascii="Arial" w:eastAsia="Times New Roman" w:hAnsi="Arial" w:cs="Arial"/>
          <w:szCs w:val="28"/>
          <w:lang w:val="uk-UA" w:eastAsia="ru-RU"/>
        </w:rPr>
        <w:t xml:space="preserve">» , яке передбачає право вимагати видалення персональних даних, конфіденційної інформації про особу з результатів пошукових сервісів. </w:t>
      </w:r>
      <w:r w:rsidRPr="00511005">
        <w:rPr>
          <w:rFonts w:ascii="Arial" w:eastAsia="Times New Roman" w:hAnsi="Arial" w:cs="Arial"/>
          <w:szCs w:val="28"/>
          <w:lang w:eastAsia="ru-RU"/>
        </w:rPr>
        <w:t xml:space="preserve">Ці </w:t>
      </w:r>
      <w:r w:rsidRPr="00511005">
        <w:rPr>
          <w:rFonts w:ascii="Arial" w:eastAsia="Times New Roman" w:hAnsi="Arial" w:cs="Arial"/>
          <w:szCs w:val="28"/>
          <w:lang w:val="uk-UA" w:eastAsia="ru-RU"/>
        </w:rPr>
        <w:t>аспекти</w:t>
      </w:r>
      <w:r w:rsidRPr="00511005">
        <w:rPr>
          <w:rFonts w:ascii="Arial" w:eastAsia="Times New Roman" w:hAnsi="Arial" w:cs="Arial"/>
          <w:szCs w:val="28"/>
          <w:lang w:eastAsia="ru-RU"/>
        </w:rPr>
        <w:t xml:space="preserve"> є досить новими, і з практичн</w:t>
      </w:r>
      <w:r w:rsidRPr="00511005">
        <w:rPr>
          <w:rFonts w:ascii="Arial" w:eastAsia="Times New Roman" w:hAnsi="Arial" w:cs="Arial"/>
          <w:szCs w:val="28"/>
          <w:lang w:val="uk-UA" w:eastAsia="ru-RU"/>
        </w:rPr>
        <w:t>ої точки зору</w:t>
      </w:r>
      <w:r w:rsidRPr="00511005">
        <w:rPr>
          <w:rFonts w:ascii="Arial" w:eastAsia="Times New Roman" w:hAnsi="Arial" w:cs="Arial"/>
          <w:szCs w:val="28"/>
          <w:lang w:eastAsia="ru-RU"/>
        </w:rPr>
        <w:t xml:space="preserve"> їх краще розглядати не як окрему групу прав людини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наприклад</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політичн</w:t>
      </w:r>
      <w:r w:rsidRPr="00511005">
        <w:rPr>
          <w:rFonts w:ascii="Arial" w:eastAsia="Times New Roman" w:hAnsi="Arial" w:cs="Arial"/>
          <w:szCs w:val="28"/>
          <w:lang w:val="uk-UA" w:eastAsia="ru-RU"/>
        </w:rPr>
        <w:t>их</w:t>
      </w:r>
      <w:r w:rsidRPr="00511005">
        <w:rPr>
          <w:rFonts w:ascii="Arial" w:eastAsia="Times New Roman" w:hAnsi="Arial" w:cs="Arial"/>
          <w:szCs w:val="28"/>
          <w:lang w:eastAsia="ru-RU"/>
        </w:rPr>
        <w:t>, економічн</w:t>
      </w:r>
      <w:r w:rsidRPr="00511005">
        <w:rPr>
          <w:rFonts w:ascii="Arial" w:eastAsia="Times New Roman" w:hAnsi="Arial" w:cs="Arial"/>
          <w:szCs w:val="28"/>
          <w:lang w:val="uk-UA" w:eastAsia="ru-RU"/>
        </w:rPr>
        <w:t>их або</w:t>
      </w:r>
      <w:r w:rsidRPr="00511005">
        <w:rPr>
          <w:rFonts w:ascii="Arial" w:eastAsia="Times New Roman" w:hAnsi="Arial" w:cs="Arial"/>
          <w:szCs w:val="28"/>
          <w:lang w:eastAsia="ru-RU"/>
        </w:rPr>
        <w:t xml:space="preserve"> соціальн</w:t>
      </w:r>
      <w:r w:rsidRPr="00511005">
        <w:rPr>
          <w:rFonts w:ascii="Arial" w:eastAsia="Times New Roman" w:hAnsi="Arial" w:cs="Arial"/>
          <w:szCs w:val="28"/>
          <w:lang w:val="uk-UA" w:eastAsia="ru-RU"/>
        </w:rPr>
        <w:t>их</w:t>
      </w:r>
      <w:r w:rsidRPr="00511005">
        <w:rPr>
          <w:rFonts w:ascii="Arial" w:eastAsia="Times New Roman" w:hAnsi="Arial" w:cs="Arial"/>
          <w:szCs w:val="28"/>
          <w:lang w:eastAsia="ru-RU"/>
        </w:rPr>
        <w:t>, а як досить умовну категорію</w:t>
      </w:r>
      <w:r w:rsidRPr="00511005">
        <w:rPr>
          <w:rFonts w:ascii="Arial" w:eastAsia="Times New Roman" w:hAnsi="Arial" w:cs="Arial"/>
          <w:szCs w:val="28"/>
          <w:lang w:val="uk-UA" w:eastAsia="ru-RU"/>
        </w:rPr>
        <w:t>. Це дозволить охопити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особливості реалізації та гарантії захисту фундаментальних прав людини в Інтернеті, </w:t>
      </w:r>
      <w:r w:rsidRPr="00511005">
        <w:rPr>
          <w:rFonts w:ascii="Arial" w:eastAsia="Times New Roman" w:hAnsi="Arial" w:cs="Arial"/>
          <w:szCs w:val="28"/>
          <w:lang w:val="uk-UA" w:eastAsia="ru-RU"/>
        </w:rPr>
        <w:t>включаючи</w:t>
      </w:r>
      <w:r w:rsidRPr="00511005">
        <w:rPr>
          <w:rFonts w:ascii="Arial" w:eastAsia="Times New Roman" w:hAnsi="Arial" w:cs="Arial"/>
          <w:szCs w:val="28"/>
          <w:lang w:eastAsia="ru-RU"/>
        </w:rPr>
        <w:t xml:space="preserve"> свобод</w:t>
      </w:r>
      <w:r w:rsidRPr="00511005">
        <w:rPr>
          <w:rFonts w:ascii="Arial" w:eastAsia="Times New Roman" w:hAnsi="Arial" w:cs="Arial"/>
          <w:szCs w:val="28"/>
          <w:lang w:val="uk-UA" w:eastAsia="ru-RU"/>
        </w:rPr>
        <w:t>у</w:t>
      </w:r>
      <w:r w:rsidRPr="00511005">
        <w:rPr>
          <w:rFonts w:ascii="Arial" w:eastAsia="Times New Roman" w:hAnsi="Arial" w:cs="Arial"/>
          <w:szCs w:val="28"/>
          <w:lang w:eastAsia="ru-RU"/>
        </w:rPr>
        <w:t xml:space="preserve"> вираження поглядів та права на приватність онлайн [</w:t>
      </w:r>
      <w:r w:rsidRPr="00511005">
        <w:rPr>
          <w:rFonts w:ascii="Arial" w:eastAsia="Times New Roman" w:hAnsi="Arial" w:cs="Arial"/>
          <w:szCs w:val="28"/>
          <w:lang w:val="uk-UA" w:eastAsia="ru-RU"/>
        </w:rPr>
        <w:t>1</w:t>
      </w:r>
      <w:r w:rsidRPr="00511005">
        <w:rPr>
          <w:rFonts w:ascii="Arial" w:eastAsia="Times New Roman" w:hAnsi="Arial" w:cs="Arial"/>
          <w:szCs w:val="28"/>
          <w:lang w:eastAsia="ru-RU"/>
        </w:rPr>
        <w:t>].</w:t>
      </w:r>
    </w:p>
    <w:p w14:paraId="310BD5E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Однією з ключових проблем є питання юрисдикції. Визначення того, яка держава має право регулювати діяльність в Інтернеті та притягати до відповідальності за порушення, що відбуваються в кіберпросторі, є надзвичайно складним. Діяння, вчинене в одній країні, може мати наслідки для користувачів в багатьох інших, що створює конфлікти юрисдикцій та ускладнює правозастосування. </w:t>
      </w:r>
      <w:r w:rsidRPr="00511005">
        <w:rPr>
          <w:rFonts w:ascii="Arial" w:eastAsia="Times New Roman" w:hAnsi="Arial" w:cs="Arial"/>
          <w:szCs w:val="28"/>
          <w:lang w:eastAsia="ru-RU"/>
        </w:rPr>
        <w:t>Відсутність єдиного міжнародного підходу до визначення юрисдикції в кіберпросторі залишає значні прогалини в захисті прав осіб</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2, с. 83</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2E19312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Іншим викликом є застосування існуючих норм міжнародного гуманітарного права та права прав людини до кібероперацій, особливо тих, що здійснюються державами. Хоча існує </w:t>
      </w:r>
      <w:r w:rsidRPr="00511005">
        <w:rPr>
          <w:rFonts w:ascii="Arial" w:eastAsia="Times New Roman" w:hAnsi="Arial" w:cs="Arial"/>
          <w:szCs w:val="28"/>
          <w:lang w:val="uk-UA" w:eastAsia="ru-RU"/>
        </w:rPr>
        <w:t>єдине розуміння</w:t>
      </w:r>
      <w:r w:rsidRPr="00511005">
        <w:rPr>
          <w:rFonts w:ascii="Arial" w:eastAsia="Times New Roman" w:hAnsi="Arial" w:cs="Arial"/>
          <w:szCs w:val="28"/>
          <w:lang w:eastAsia="ru-RU"/>
        </w:rPr>
        <w:t xml:space="preserve">, що міжнародне право застосовується до кіберпростору, конкретні механізми його застосування, особливо щодо таких дій, як кібершпигунство, кібератаки на критичну інфраструктуру чи поширення дезінформації, залишаються предметом дискусій. </w:t>
      </w:r>
      <w:r w:rsidRPr="00511005">
        <w:rPr>
          <w:rFonts w:ascii="Arial" w:eastAsia="Times New Roman" w:hAnsi="Arial" w:cs="Arial"/>
          <w:szCs w:val="28"/>
          <w:lang w:val="uk-UA" w:eastAsia="ru-RU"/>
        </w:rPr>
        <w:t>Існує н</w:t>
      </w:r>
      <w:r w:rsidRPr="00511005">
        <w:rPr>
          <w:rFonts w:ascii="Arial" w:eastAsia="Times New Roman" w:hAnsi="Arial" w:cs="Arial"/>
          <w:szCs w:val="28"/>
          <w:lang w:eastAsia="ru-RU"/>
        </w:rPr>
        <w:t>еобхідність адаптації принципів розрізнення, пропорційності та обережності, закладених у міжнародному гуманітарному праві, до специфіки кібервійни, де часто складно ідентифікувати нападника та оцінити потенційну шкоду для цивільного населення [3]. Відсутність чітких міжнародно-правових норм щодо реагування на кібератаки, які не досягають порогу збройного нападу, також створює невизначеність</w:t>
      </w:r>
      <w:r w:rsidRPr="00511005">
        <w:rPr>
          <w:rFonts w:ascii="Arial" w:eastAsia="Times New Roman" w:hAnsi="Arial" w:cs="Arial"/>
          <w:szCs w:val="28"/>
          <w:lang w:val="uk-UA" w:eastAsia="ru-RU"/>
        </w:rPr>
        <w:t>.</w:t>
      </w:r>
    </w:p>
    <w:p w14:paraId="177F1D74" w14:textId="4053E919"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Право на приватність є однією з найбільш вразливих сфер у цифровому середовищі. Масовий збір персональних даних як державними структурами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так і приватними корпораціями</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створює безпрецедентні ризики для особистого життя громадян. </w:t>
      </w:r>
      <w:r w:rsidRPr="00511005">
        <w:rPr>
          <w:rFonts w:ascii="Arial" w:eastAsia="Times New Roman" w:hAnsi="Arial" w:cs="Arial"/>
          <w:szCs w:val="28"/>
          <w:lang w:val="uk-UA" w:eastAsia="ru-RU"/>
        </w:rPr>
        <w:t>Х</w:t>
      </w:r>
      <w:r w:rsidRPr="00511005">
        <w:rPr>
          <w:rFonts w:ascii="Arial" w:eastAsia="Times New Roman" w:hAnsi="Arial" w:cs="Arial"/>
          <w:szCs w:val="28"/>
          <w:lang w:eastAsia="ru-RU"/>
        </w:rPr>
        <w:t>оча міжнародні акти, такі як Міжнародний пакт про громадянські і політичні права</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та Європейська конвенція з прав людини, гарантують право на повагу до приватного життя, їх застосування до цифрового стеження та обробки великих масивів даних потребує уточнення та розвитку [</w:t>
      </w:r>
      <w:r w:rsidRPr="00511005">
        <w:rPr>
          <w:rFonts w:ascii="Arial" w:eastAsia="Times New Roman" w:hAnsi="Arial" w:cs="Arial"/>
          <w:szCs w:val="28"/>
          <w:lang w:val="uk-UA" w:eastAsia="ru-RU"/>
        </w:rPr>
        <w:t>4, с. 115</w:t>
      </w:r>
      <w:r w:rsidRPr="00511005">
        <w:rPr>
          <w:rFonts w:ascii="Arial" w:eastAsia="Times New Roman" w:hAnsi="Arial" w:cs="Arial"/>
          <w:szCs w:val="28"/>
          <w:lang w:eastAsia="ru-RU"/>
        </w:rPr>
        <w:t xml:space="preserve">]. Європейський Союз зробив значний крок </w:t>
      </w:r>
      <w:r w:rsidRPr="00511005">
        <w:rPr>
          <w:rFonts w:ascii="Arial" w:eastAsia="Times New Roman" w:hAnsi="Arial" w:cs="Arial"/>
          <w:szCs w:val="28"/>
          <w:lang w:eastAsia="ru-RU"/>
        </w:rPr>
        <w:lastRenderedPageBreak/>
        <w:t>вперед із прийняттям Загального регламенту про захист даних, який встановлює високі стандарти захисту персональних даних і має екстериторіальну дію. Однак глобального аналога</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не існує, і рівень захисту приватності значно варіюється в різних країнах світу. Україна також активно адаптує своє законодавство, прагнучи відповідати європейським стандартам, але ефективність правозастосування залишається викликом.</w:t>
      </w:r>
    </w:p>
    <w:p w14:paraId="0299A9C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Свобода вираження поглядів онлайн також стикається з новими загрозами. З одного боку, Інтернет надав небачені раніше можливості для поширення інформації та ідей, для громадського активізму та політичної участі. З іншого боку, він став потужним інструментом для поширення дезінформації, пропаганди, мови ворожнечі та підбурювання до насильства. </w:t>
      </w:r>
      <w:r w:rsidRPr="00511005">
        <w:rPr>
          <w:rFonts w:ascii="Arial" w:eastAsia="Times New Roman" w:hAnsi="Arial" w:cs="Arial"/>
          <w:szCs w:val="28"/>
          <w:lang w:val="uk-UA" w:eastAsia="ru-RU"/>
        </w:rPr>
        <w:t xml:space="preserve">Існує </w:t>
      </w:r>
      <w:r w:rsidRPr="00511005">
        <w:rPr>
          <w:rFonts w:ascii="Arial" w:eastAsia="Times New Roman" w:hAnsi="Arial" w:cs="Arial"/>
          <w:szCs w:val="28"/>
          <w:lang w:eastAsia="ru-RU"/>
        </w:rPr>
        <w:t>складн</w:t>
      </w:r>
      <w:r w:rsidRPr="00511005">
        <w:rPr>
          <w:rFonts w:ascii="Arial" w:eastAsia="Times New Roman" w:hAnsi="Arial" w:cs="Arial"/>
          <w:szCs w:val="28"/>
          <w:lang w:val="uk-UA" w:eastAsia="ru-RU"/>
        </w:rPr>
        <w:t xml:space="preserve">ість </w:t>
      </w:r>
      <w:r w:rsidRPr="00511005">
        <w:rPr>
          <w:rFonts w:ascii="Arial" w:eastAsia="Times New Roman" w:hAnsi="Arial" w:cs="Arial"/>
          <w:szCs w:val="28"/>
          <w:lang w:eastAsia="ru-RU"/>
        </w:rPr>
        <w:t>пошуку балансу між захистом свободи слова та необхідністю протидії шкідливому контенту. Держави часто вдаються до блокування веб-сайтів, фільтрації контенту або навіть повного відключення Інтернету, що може становити непропорційне обмеження права на свободу вираження поглядів та доступ до інформації. Водночас, діяльність великих соціальних мереж та платформ, які виступають приватними модераторами контенту, викликає питання щодо прозорості їхніх правил, підзвітності та відповідності міжнародним стандартам прав людини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5</w:t>
      </w:r>
      <w:r w:rsidRPr="00511005">
        <w:rPr>
          <w:rFonts w:ascii="Arial" w:eastAsia="Times New Roman" w:hAnsi="Arial" w:cs="Arial"/>
          <w:szCs w:val="28"/>
          <w:lang w:eastAsia="ru-RU"/>
        </w:rPr>
        <w:t>].</w:t>
      </w:r>
    </w:p>
    <w:p w14:paraId="5C1331C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Право на доступ до Інтернету все частіше розглядається не як окреме право, а як необхідна умова для реалізації багатьох інших прав людини, включаючи право на освіту, свободу вираження поглядів, право на працю та участь у культурному житті.</w:t>
      </w:r>
    </w:p>
    <w:p w14:paraId="676A5EA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Отже, можна стверджувати </w:t>
      </w:r>
      <w:r w:rsidRPr="00511005">
        <w:rPr>
          <w:rFonts w:ascii="Arial" w:eastAsia="Times New Roman" w:hAnsi="Arial" w:cs="Arial"/>
          <w:szCs w:val="28"/>
          <w:lang w:eastAsia="ru-RU"/>
        </w:rPr>
        <w:t>, що існуюча система міжнародного права лише частково адаптована до викликів цифрової епохи. Хоча фундаментальні права людини, закріплені в основних міжнародних договорах, безперечно, застосовуються і в кіберпросторі, їх ефективна реалізація та захист стикаються зі значними перешкодами. Проблеми юрисдикції, атрибуції, масового стеження, поширення шкідливого контенту, цифрового розриву та відсутність універсальних стандартів для регулювання діяльності технологічних гігантів свідчать про недостатній рівень захищеності особи в кіберпросторі за допомогою виключно існуючих міжнародно-правових інструментів.</w:t>
      </w:r>
    </w:p>
    <w:p w14:paraId="76BD89E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Необхідні подальші зусилля на міжнародному рівні для розробки чіткіших норм і стандартів, що регулюють діяльність держав у кіберпросторі. </w:t>
      </w:r>
      <w:r w:rsidRPr="00511005">
        <w:rPr>
          <w:rFonts w:ascii="Arial" w:eastAsia="Times New Roman" w:hAnsi="Arial" w:cs="Arial"/>
          <w:szCs w:val="28"/>
          <w:lang w:eastAsia="ru-RU"/>
        </w:rPr>
        <w:t xml:space="preserve">Це може включати як розробку нових міжнародних договорів, так і розвиток м'якого </w:t>
      </w:r>
      <w:proofErr w:type="gramStart"/>
      <w:r w:rsidRPr="00511005">
        <w:rPr>
          <w:rFonts w:ascii="Arial" w:eastAsia="Times New Roman" w:hAnsi="Arial" w:cs="Arial"/>
          <w:szCs w:val="28"/>
          <w:lang w:eastAsia="ru-RU"/>
        </w:rPr>
        <w:t>права</w:t>
      </w:r>
      <w:r w:rsidRPr="00511005">
        <w:rPr>
          <w:rFonts w:ascii="Arial" w:eastAsia="Times New Roman" w:hAnsi="Arial" w:cs="Arial"/>
          <w:szCs w:val="28"/>
          <w:lang w:val="uk-UA" w:eastAsia="ru-RU"/>
        </w:rPr>
        <w:t xml:space="preserve"> ,</w:t>
      </w:r>
      <w:proofErr w:type="gramEnd"/>
      <w:r w:rsidRPr="00511005">
        <w:rPr>
          <w:rFonts w:ascii="Arial" w:eastAsia="Times New Roman" w:hAnsi="Arial" w:cs="Arial"/>
          <w:szCs w:val="28"/>
          <w:lang w:val="uk-UA" w:eastAsia="ru-RU"/>
        </w:rPr>
        <w:t xml:space="preserve"> а саме </w:t>
      </w:r>
      <w:r w:rsidRPr="00511005">
        <w:rPr>
          <w:rFonts w:ascii="Arial" w:eastAsia="Times New Roman" w:hAnsi="Arial" w:cs="Arial"/>
          <w:szCs w:val="28"/>
          <w:lang w:eastAsia="ru-RU"/>
        </w:rPr>
        <w:t>рекомендацій, керівних принципів та найкращих практик</w:t>
      </w:r>
      <w:r w:rsidRPr="00511005">
        <w:rPr>
          <w:rFonts w:ascii="Arial" w:eastAsia="Times New Roman" w:hAnsi="Arial" w:cs="Arial"/>
          <w:szCs w:val="28"/>
          <w:lang w:val="uk-UA" w:eastAsia="ru-RU"/>
        </w:rPr>
        <w:t xml:space="preserve">. Також посилення міжнародного співробітництва у сфері кібербезпеки та правозастосування. Адаптація міжнародного права до реалій цифрового світу є ключовим завданням для забезпечення того, щоб технологічний прогрес сприяв розширенню, а не обмеженню прав і свобод людини. Без скоординованих міжнародних зусиль захист особи в </w:t>
      </w:r>
      <w:r w:rsidRPr="00511005">
        <w:rPr>
          <w:rFonts w:ascii="Arial" w:eastAsia="Times New Roman" w:hAnsi="Arial" w:cs="Arial"/>
          <w:szCs w:val="28"/>
          <w:lang w:val="uk-UA" w:eastAsia="ru-RU"/>
        </w:rPr>
        <w:lastRenderedPageBreak/>
        <w:t>безмежному та динамічному кіберпросторі залишатиметься фрагментарним та недостатнім.</w:t>
      </w:r>
    </w:p>
    <w:p w14:paraId="606031F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6569C2D8" w14:textId="57E32DB4" w:rsidR="00220D3E" w:rsidRPr="00511005" w:rsidRDefault="007B2628" w:rsidP="007B2628">
      <w:pPr>
        <w:tabs>
          <w:tab w:val="left" w:pos="709"/>
        </w:tabs>
        <w:spacing w:line="264" w:lineRule="auto"/>
        <w:jc w:val="center"/>
        <w:rPr>
          <w:rFonts w:ascii="Arial" w:eastAsia="Times New Roman" w:hAnsi="Arial" w:cs="Arial"/>
          <w:b/>
          <w:noProof/>
          <w:szCs w:val="28"/>
          <w:lang w:val="uk-UA" w:eastAsia="ru-RU"/>
        </w:rPr>
      </w:pPr>
      <w:r w:rsidRPr="00511005">
        <w:rPr>
          <w:rFonts w:ascii="Arial" w:eastAsia="Times New Roman" w:hAnsi="Arial" w:cs="Arial"/>
          <w:b/>
          <w:noProof/>
          <w:szCs w:val="28"/>
          <w:lang w:val="uk-UA" w:eastAsia="ru-RU"/>
        </w:rPr>
        <w:t>Список використаних джерел</w:t>
      </w:r>
    </w:p>
    <w:p w14:paraId="2564CAD0" w14:textId="77777777" w:rsidR="00220D3E" w:rsidRPr="00511005" w:rsidRDefault="00220D3E" w:rsidP="003A292D">
      <w:pPr>
        <w:tabs>
          <w:tab w:val="left" w:pos="709"/>
        </w:tabs>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1. </w:t>
      </w:r>
      <w:r w:rsidRPr="00511005">
        <w:rPr>
          <w:rFonts w:ascii="Arial" w:eastAsia="Times New Roman" w:hAnsi="Arial" w:cs="Arial"/>
          <w:szCs w:val="28"/>
          <w:lang w:eastAsia="ru-RU"/>
        </w:rPr>
        <w:t xml:space="preserve">Гололобова Є., Міна А. Цифрові права українців або Декларація цифрових прав людини. URL: </w:t>
      </w:r>
      <w:hyperlink r:id="rId171" w:history="1">
        <w:r w:rsidRPr="00511005">
          <w:rPr>
            <w:rFonts w:ascii="Arial" w:eastAsia="Times New Roman" w:hAnsi="Arial" w:cs="Arial"/>
            <w:szCs w:val="28"/>
            <w:lang w:eastAsia="ru-RU"/>
          </w:rPr>
          <w:t>https://www.businesslaw.org.ua/digital-rights-t/</w:t>
        </w:r>
      </w:hyperlink>
      <w:r w:rsidRPr="00511005">
        <w:rPr>
          <w:rFonts w:ascii="Arial" w:eastAsia="Times New Roman" w:hAnsi="Arial" w:cs="Arial"/>
          <w:szCs w:val="28"/>
          <w:shd w:val="clear" w:color="auto" w:fill="FFFFFF"/>
          <w:lang w:val="uk-UA" w:eastAsia="ru-RU"/>
        </w:rPr>
        <w:t xml:space="preserve"> (дата звернення: 25.04.2025).</w:t>
      </w:r>
    </w:p>
    <w:p w14:paraId="26C54815" w14:textId="67CA129E" w:rsidR="00220D3E" w:rsidRPr="00511005" w:rsidRDefault="00220D3E" w:rsidP="003A292D">
      <w:pPr>
        <w:tabs>
          <w:tab w:val="left" w:pos="709"/>
        </w:tabs>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2. </w:t>
      </w:r>
      <w:r w:rsidRPr="00511005">
        <w:rPr>
          <w:rFonts w:ascii="Arial" w:eastAsia="Times New Roman" w:hAnsi="Arial" w:cs="Arial"/>
          <w:szCs w:val="28"/>
          <w:lang w:val="uk-UA" w:eastAsia="ru-RU"/>
        </w:rPr>
        <w:t xml:space="preserve">Пазюк А. В. Міжнародно-правове регулювання інформаційної сфери (теоретичні і практичні аспекти) : дис. … д-ра юрид. наук : 12.00.11. Київ, 2015. 467 с. </w:t>
      </w:r>
      <w:r w:rsidRPr="00511005">
        <w:rPr>
          <w:rFonts w:ascii="Arial" w:eastAsia="Times New Roman" w:hAnsi="Arial" w:cs="Arial"/>
          <w:szCs w:val="28"/>
          <w:lang w:eastAsia="ru-RU"/>
        </w:rPr>
        <w:t>URL:</w:t>
      </w:r>
      <w:hyperlink r:id="rId172" w:history="1">
        <w:r w:rsidRPr="00511005">
          <w:rPr>
            <w:rFonts w:ascii="Arial" w:eastAsia="Times New Roman" w:hAnsi="Arial" w:cs="Arial"/>
            <w:szCs w:val="28"/>
            <w:lang w:val="uk-UA" w:eastAsia="ru-RU"/>
          </w:rPr>
          <w:t>https://scc.knu.ua/upload/iblock/be3/dis_Paziuk,%20Andrii%20V..pdf</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shd w:val="clear" w:color="auto" w:fill="FFFFFF"/>
          <w:lang w:val="uk-UA" w:eastAsia="ru-RU"/>
        </w:rPr>
        <w:t>(дата звернення: 25.04.2025).</w:t>
      </w:r>
    </w:p>
    <w:p w14:paraId="796B2225" w14:textId="30FF2BCE" w:rsidR="00220D3E" w:rsidRPr="00511005" w:rsidRDefault="00220D3E" w:rsidP="003A292D">
      <w:pPr>
        <w:tabs>
          <w:tab w:val="left" w:pos="709"/>
        </w:tabs>
        <w:spacing w:line="264" w:lineRule="auto"/>
        <w:jc w:val="left"/>
        <w:rPr>
          <w:rFonts w:ascii="Arial" w:eastAsia="Times New Roman" w:hAnsi="Arial" w:cs="Arial"/>
          <w:szCs w:val="28"/>
          <w:shd w:val="clear" w:color="auto" w:fill="FFFFFF"/>
          <w:lang w:val="uk-UA" w:eastAsia="ru-RU"/>
        </w:rPr>
      </w:pPr>
      <w:r w:rsidRPr="00511005">
        <w:rPr>
          <w:rFonts w:ascii="Arial" w:eastAsia="Times New Roman" w:hAnsi="Arial" w:cs="Arial"/>
          <w:szCs w:val="28"/>
          <w:lang w:val="uk-UA" w:eastAsia="ru-RU"/>
        </w:rPr>
        <w:t xml:space="preserve">3. </w:t>
      </w:r>
      <w:r w:rsidRPr="00511005">
        <w:rPr>
          <w:rFonts w:ascii="Arial" w:eastAsia="Times New Roman" w:hAnsi="Arial" w:cs="Arial"/>
          <w:szCs w:val="28"/>
          <w:lang w:val="en-US" w:eastAsia="ru-RU"/>
        </w:rPr>
        <w:t>Cornelius L</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Conflict in Ukraine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c</w:t>
      </w:r>
      <w:r w:rsidRPr="00511005">
        <w:rPr>
          <w:rFonts w:ascii="Arial" w:eastAsia="Times New Roman" w:hAnsi="Arial" w:cs="Arial"/>
          <w:szCs w:val="28"/>
          <w:lang w:val="uk-UA" w:eastAsia="ru-RU"/>
        </w:rPr>
        <w:t xml:space="preserve">ompliance </w:t>
      </w:r>
      <w:r w:rsidRPr="00511005">
        <w:rPr>
          <w:rFonts w:ascii="Arial" w:eastAsia="Times New Roman" w:hAnsi="Arial" w:cs="Arial"/>
          <w:szCs w:val="28"/>
          <w:lang w:val="en-US" w:eastAsia="ru-RU"/>
        </w:rPr>
        <w:t>w</w:t>
      </w:r>
      <w:r w:rsidRPr="00511005">
        <w:rPr>
          <w:rFonts w:ascii="Arial" w:eastAsia="Times New Roman" w:hAnsi="Arial" w:cs="Arial"/>
          <w:szCs w:val="28"/>
          <w:lang w:val="uk-UA" w:eastAsia="ru-RU"/>
        </w:rPr>
        <w:t xml:space="preserve">ith </w:t>
      </w:r>
      <w:r w:rsidRPr="00511005">
        <w:rPr>
          <w:rFonts w:ascii="Arial" w:eastAsia="Times New Roman" w:hAnsi="Arial" w:cs="Arial"/>
          <w:szCs w:val="28"/>
          <w:lang w:val="en-US" w:eastAsia="ru-RU"/>
        </w:rPr>
        <w:t>t</w:t>
      </w:r>
      <w:r w:rsidRPr="00511005">
        <w:rPr>
          <w:rFonts w:ascii="Arial" w:eastAsia="Times New Roman" w:hAnsi="Arial" w:cs="Arial"/>
          <w:szCs w:val="28"/>
          <w:lang w:val="uk-UA" w:eastAsia="ru-RU"/>
        </w:rPr>
        <w:t xml:space="preserve">he </w:t>
      </w:r>
      <w:r w:rsidRPr="00511005">
        <w:rPr>
          <w:rFonts w:ascii="Arial" w:eastAsia="Times New Roman" w:hAnsi="Arial" w:cs="Arial"/>
          <w:szCs w:val="28"/>
          <w:lang w:val="en-US" w:eastAsia="ru-RU"/>
        </w:rPr>
        <w:t>p</w:t>
      </w:r>
      <w:r w:rsidRPr="00511005">
        <w:rPr>
          <w:rFonts w:ascii="Arial" w:eastAsia="Times New Roman" w:hAnsi="Arial" w:cs="Arial"/>
          <w:szCs w:val="28"/>
          <w:lang w:val="uk-UA" w:eastAsia="ru-RU"/>
        </w:rPr>
        <w:t xml:space="preserve">rinciple of </w:t>
      </w:r>
      <w:r w:rsidRPr="00511005">
        <w:rPr>
          <w:rFonts w:ascii="Arial" w:eastAsia="Times New Roman" w:hAnsi="Arial" w:cs="Arial"/>
          <w:szCs w:val="28"/>
          <w:lang w:val="en-US" w:eastAsia="ru-RU"/>
        </w:rPr>
        <w:t>d</w:t>
      </w:r>
      <w:r w:rsidRPr="00511005">
        <w:rPr>
          <w:rFonts w:ascii="Arial" w:eastAsia="Times New Roman" w:hAnsi="Arial" w:cs="Arial"/>
          <w:szCs w:val="28"/>
          <w:lang w:val="uk-UA" w:eastAsia="ru-RU"/>
        </w:rPr>
        <w:t xml:space="preserve">istinction in </w:t>
      </w:r>
      <w:r w:rsidRPr="00511005">
        <w:rPr>
          <w:rFonts w:ascii="Arial" w:eastAsia="Times New Roman" w:hAnsi="Arial" w:cs="Arial"/>
          <w:szCs w:val="28"/>
          <w:lang w:val="en-US" w:eastAsia="ru-RU"/>
        </w:rPr>
        <w:t>r</w:t>
      </w:r>
      <w:r w:rsidRPr="00511005">
        <w:rPr>
          <w:rFonts w:ascii="Arial" w:eastAsia="Times New Roman" w:hAnsi="Arial" w:cs="Arial"/>
          <w:szCs w:val="28"/>
          <w:lang w:val="uk-UA" w:eastAsia="ru-RU"/>
        </w:rPr>
        <w:t>ussia-</w:t>
      </w:r>
      <w:r w:rsidRPr="00511005">
        <w:rPr>
          <w:rFonts w:ascii="Arial" w:eastAsia="Times New Roman" w:hAnsi="Arial" w:cs="Arial"/>
          <w:szCs w:val="28"/>
          <w:lang w:val="en-US" w:eastAsia="ru-RU"/>
        </w:rPr>
        <w:t>u</w:t>
      </w:r>
      <w:r w:rsidRPr="00511005">
        <w:rPr>
          <w:rFonts w:ascii="Arial" w:eastAsia="Times New Roman" w:hAnsi="Arial" w:cs="Arial"/>
          <w:szCs w:val="28"/>
          <w:lang w:val="uk-UA" w:eastAsia="ru-RU"/>
        </w:rPr>
        <w:t xml:space="preserve">kraine </w:t>
      </w:r>
      <w:r w:rsidRPr="00511005">
        <w:rPr>
          <w:rFonts w:ascii="Arial" w:eastAsia="Times New Roman" w:hAnsi="Arial" w:cs="Arial"/>
          <w:szCs w:val="28"/>
          <w:lang w:val="en-US" w:eastAsia="ru-RU"/>
        </w:rPr>
        <w:t>w</w:t>
      </w:r>
      <w:r w:rsidRPr="00511005">
        <w:rPr>
          <w:rFonts w:ascii="Arial" w:eastAsia="Times New Roman" w:hAnsi="Arial" w:cs="Arial"/>
          <w:szCs w:val="28"/>
          <w:lang w:val="uk-UA" w:eastAsia="ru-RU"/>
        </w:rPr>
        <w:t xml:space="preserve">ar, 2024. </w:t>
      </w:r>
      <w:r w:rsidRPr="00511005">
        <w:rPr>
          <w:rFonts w:ascii="Arial" w:eastAsia="Times New Roman" w:hAnsi="Arial" w:cs="Arial"/>
          <w:szCs w:val="28"/>
          <w:lang w:eastAsia="ru-RU"/>
        </w:rPr>
        <w:t>URL:</w:t>
      </w:r>
      <w:hyperlink r:id="rId173" w:history="1">
        <w:r w:rsidRPr="00511005">
          <w:rPr>
            <w:rFonts w:ascii="Arial" w:eastAsia="Times New Roman" w:hAnsi="Arial" w:cs="Arial"/>
            <w:szCs w:val="28"/>
            <w:lang w:val="uk-UA" w:eastAsia="ru-RU"/>
          </w:rPr>
          <w:t>https://www.researchgate.net/publication/386466508_Compliance_With_The_Principle_of_Distinction_in_Russia-Ukraine_War</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shd w:val="clear" w:color="auto" w:fill="FFFFFF"/>
          <w:lang w:val="uk-UA" w:eastAsia="ru-RU"/>
        </w:rPr>
        <w:t>(дата звернення: 25.04.2025).</w:t>
      </w:r>
    </w:p>
    <w:p w14:paraId="1E09E173" w14:textId="6805D2CB" w:rsidR="00220D3E" w:rsidRPr="00511005" w:rsidRDefault="00220D3E" w:rsidP="003A292D">
      <w:pPr>
        <w:tabs>
          <w:tab w:val="left" w:pos="709"/>
        </w:tabs>
        <w:spacing w:line="264" w:lineRule="auto"/>
        <w:rPr>
          <w:rFonts w:ascii="Arial" w:eastAsia="Times New Roman" w:hAnsi="Arial" w:cs="Arial"/>
          <w:szCs w:val="28"/>
          <w:lang w:val="el-GR" w:eastAsia="ru-RU"/>
        </w:rPr>
      </w:pPr>
      <w:r w:rsidRPr="00511005">
        <w:rPr>
          <w:rFonts w:ascii="Arial" w:eastAsia="Times New Roman" w:hAnsi="Arial" w:cs="Arial"/>
          <w:szCs w:val="28"/>
          <w:shd w:val="clear" w:color="auto" w:fill="FFFFFF"/>
          <w:lang w:val="uk-UA" w:eastAsia="ru-RU"/>
        </w:rPr>
        <w:t>4.</w:t>
      </w:r>
      <w:r w:rsidRPr="00511005">
        <w:rPr>
          <w:rFonts w:ascii="Arial" w:eastAsia="Times New Roman" w:hAnsi="Arial" w:cs="Arial"/>
          <w:szCs w:val="28"/>
          <w:lang w:eastAsia="ru-RU"/>
        </w:rPr>
        <w:t xml:space="preserve"> Волкова Ю.Ф</w:t>
      </w:r>
      <w:r w:rsidRPr="00511005">
        <w:rPr>
          <w:rFonts w:ascii="Arial" w:eastAsia="Times New Roman" w:hAnsi="Arial" w:cs="Arial"/>
          <w:szCs w:val="28"/>
          <w:lang w:val="uk-UA" w:eastAsia="ru-RU"/>
        </w:rPr>
        <w:t>. П</w:t>
      </w:r>
      <w:r w:rsidRPr="00511005">
        <w:rPr>
          <w:rFonts w:ascii="Arial" w:eastAsia="Times New Roman" w:hAnsi="Arial" w:cs="Arial"/>
          <w:szCs w:val="28"/>
          <w:lang w:eastAsia="ru-RU"/>
        </w:rPr>
        <w:t>раво на приватність в умовах глобалізації</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Електронне наукове видання </w:t>
      </w:r>
      <w:r w:rsidRPr="00511005">
        <w:rPr>
          <w:rFonts w:ascii="Arial" w:eastAsia="Times New Roman" w:hAnsi="Arial" w:cs="Arial"/>
          <w:i/>
          <w:iCs/>
          <w:szCs w:val="28"/>
          <w:lang w:val="uk-UA" w:eastAsia="ru-RU"/>
        </w:rPr>
        <w:t>«Аналітично-порівняльне правознавство»</w:t>
      </w:r>
      <w:r w:rsidRPr="00511005">
        <w:rPr>
          <w:rFonts w:ascii="Arial" w:eastAsia="Times New Roman" w:hAnsi="Arial" w:cs="Arial"/>
          <w:szCs w:val="28"/>
          <w:lang w:val="uk-UA" w:eastAsia="ru-RU"/>
        </w:rPr>
        <w:t xml:space="preserve">. №6. Ужгород, 2024. С. 113-118. </w:t>
      </w:r>
      <w:r w:rsidRPr="00511005">
        <w:rPr>
          <w:rFonts w:ascii="Arial" w:eastAsia="Times New Roman" w:hAnsi="Arial" w:cs="Arial"/>
          <w:szCs w:val="28"/>
          <w:lang w:val="en-US" w:eastAsia="ru-RU"/>
        </w:rPr>
        <w:t xml:space="preserve">URL: </w:t>
      </w:r>
      <w:hyperlink r:id="rId174" w:history="1">
        <w:r w:rsidRPr="00511005">
          <w:rPr>
            <w:rFonts w:ascii="Arial" w:eastAsia="Times New Roman" w:hAnsi="Arial" w:cs="Arial"/>
            <w:szCs w:val="28"/>
            <w:lang w:val="en-US" w:eastAsia="ru-RU"/>
          </w:rPr>
          <w:t>https://surli.cc/wwyzyd</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shd w:val="clear" w:color="auto" w:fill="FFFFFF"/>
          <w:lang w:val="uk-UA" w:eastAsia="ru-RU"/>
        </w:rPr>
        <w:t>(дата звернення: 26.04.2025).</w:t>
      </w:r>
    </w:p>
    <w:p w14:paraId="7C1AC3ED" w14:textId="77777777" w:rsidR="00220D3E" w:rsidRPr="00511005" w:rsidRDefault="00220D3E" w:rsidP="003A292D">
      <w:pPr>
        <w:tabs>
          <w:tab w:val="left" w:pos="709"/>
        </w:tabs>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5.</w:t>
      </w:r>
      <w:r w:rsidRPr="00511005">
        <w:rPr>
          <w:rFonts w:ascii="Arial" w:eastAsia="Times New Roman" w:hAnsi="Arial" w:cs="Arial"/>
          <w:szCs w:val="28"/>
          <w:lang w:val="en-US" w:eastAsia="ru-RU"/>
        </w:rPr>
        <w:t xml:space="preserve"> </w:t>
      </w:r>
      <w:r w:rsidRPr="00511005">
        <w:rPr>
          <w:rFonts w:ascii="Arial" w:eastAsia="Times New Roman" w:hAnsi="Arial" w:cs="Arial"/>
          <w:szCs w:val="28"/>
          <w:shd w:val="clear" w:color="auto" w:fill="FFFFFF"/>
          <w:lang w:val="en-US" w:eastAsia="ru-RU"/>
        </w:rPr>
        <w:t>Internet Governance</w:t>
      </w:r>
      <w:r w:rsidRPr="00511005">
        <w:rPr>
          <w:rFonts w:ascii="Arial" w:eastAsia="Times New Roman" w:hAnsi="Arial" w:cs="Arial"/>
          <w:szCs w:val="28"/>
          <w:shd w:val="clear" w:color="auto" w:fill="FFFFFF"/>
          <w:lang w:val="uk-UA" w:eastAsia="ru-RU"/>
        </w:rPr>
        <w:t>: е</w:t>
      </w:r>
      <w:r w:rsidRPr="00511005">
        <w:rPr>
          <w:rFonts w:ascii="Arial" w:eastAsia="Times New Roman" w:hAnsi="Arial" w:cs="Arial"/>
          <w:szCs w:val="28"/>
          <w:shd w:val="clear" w:color="auto" w:fill="FFFFFF"/>
          <w:lang w:val="en-US" w:eastAsia="ru-RU"/>
        </w:rPr>
        <w:t>xploring new opportunities</w:t>
      </w:r>
      <w:r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en-US" w:eastAsia="ru-RU"/>
        </w:rPr>
        <w:t>Council of Europe</w:t>
      </w:r>
      <w:r w:rsidRPr="00511005">
        <w:rPr>
          <w:rFonts w:ascii="Arial" w:eastAsia="Times New Roman" w:hAnsi="Arial" w:cs="Arial"/>
          <w:szCs w:val="28"/>
          <w:shd w:val="clear" w:color="auto" w:fill="FFFFFF"/>
          <w:lang w:val="uk-UA" w:eastAsia="ru-RU"/>
        </w:rPr>
        <w:t>, 2021.</w:t>
      </w:r>
      <w:r w:rsidRPr="00511005">
        <w:rPr>
          <w:rFonts w:ascii="Arial" w:eastAsia="Times New Roman" w:hAnsi="Arial" w:cs="Arial"/>
          <w:szCs w:val="28"/>
          <w:shd w:val="clear" w:color="auto" w:fill="FFFFFF"/>
          <w:lang w:val="en-US" w:eastAsia="ru-RU"/>
        </w:rPr>
        <w:t xml:space="preserve"> </w:t>
      </w:r>
      <w:r w:rsidRPr="00511005">
        <w:rPr>
          <w:rFonts w:ascii="Arial" w:eastAsia="Times New Roman" w:hAnsi="Arial" w:cs="Arial"/>
          <w:szCs w:val="28"/>
          <w:lang w:val="en-US" w:eastAsia="ru-RU"/>
        </w:rPr>
        <w:t>URL:</w:t>
      </w:r>
      <w:hyperlink r:id="rId175" w:history="1">
        <w:r w:rsidRPr="00511005">
          <w:rPr>
            <w:rFonts w:ascii="Arial" w:eastAsia="Times New Roman" w:hAnsi="Arial" w:cs="Arial"/>
            <w:szCs w:val="28"/>
            <w:shd w:val="clear" w:color="auto" w:fill="FFFFFF"/>
            <w:lang w:val="uk-UA" w:eastAsia="ru-RU"/>
          </w:rPr>
          <w:t>https://rm.coe.int/leaflet-internet-governance-en-rev/1680909521</w:t>
        </w:r>
      </w:hyperlink>
      <w:r w:rsidRPr="00511005">
        <w:rPr>
          <w:rFonts w:ascii="Arial" w:eastAsia="Times New Roman" w:hAnsi="Arial" w:cs="Arial"/>
          <w:szCs w:val="28"/>
          <w:shd w:val="clear" w:color="auto" w:fill="FFFFFF"/>
          <w:lang w:val="uk-UA" w:eastAsia="ru-RU"/>
        </w:rPr>
        <w:t>(дата звернення: 26.04.2025).</w:t>
      </w:r>
    </w:p>
    <w:p w14:paraId="29DB626B" w14:textId="6886B3C6" w:rsidR="00220D3E" w:rsidRPr="00511005" w:rsidRDefault="007B2628" w:rsidP="003A292D">
      <w:pPr>
        <w:tabs>
          <w:tab w:val="left" w:pos="709"/>
        </w:tabs>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цифрові права, міжнародне право,</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технології, захист, Інтернет, держава, кіберпростір,</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конфлікт, договір, соціальні мережі.</w:t>
      </w:r>
    </w:p>
    <w:p w14:paraId="145B6062" w14:textId="5891C5CB" w:rsidR="007B2628" w:rsidRPr="00511005" w:rsidRDefault="007B2628" w:rsidP="003A292D">
      <w:pPr>
        <w:keepNext/>
        <w:tabs>
          <w:tab w:val="left" w:pos="709"/>
        </w:tabs>
        <w:spacing w:line="264" w:lineRule="auto"/>
        <w:rPr>
          <w:rFonts w:ascii="Arial" w:eastAsia="Times New Roman" w:hAnsi="Arial" w:cs="Arial"/>
          <w:bCs/>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bCs/>
          <w:szCs w:val="28"/>
          <w:lang w:val="en-US" w:eastAsia="ru-RU"/>
        </w:rPr>
        <w:t>digital rights, international law, technology, protection, Internet, state, cyberspace, conflict, treaty, social media.</w:t>
      </w:r>
    </w:p>
    <w:p w14:paraId="311120B0" w14:textId="0CF2EE9F" w:rsidR="00220D3E" w:rsidRPr="00511005" w:rsidRDefault="007B2628" w:rsidP="003A292D">
      <w:pPr>
        <w:tabs>
          <w:tab w:val="left" w:pos="709"/>
          <w:tab w:val="center" w:pos="4677"/>
          <w:tab w:val="right" w:pos="9355"/>
        </w:tabs>
        <w:spacing w:line="264" w:lineRule="auto"/>
        <w:jc w:val="left"/>
        <w:rPr>
          <w:rFonts w:ascii="Arial" w:eastAsia="Times New Roman" w:hAnsi="Arial" w:cs="Arial"/>
          <w:i/>
          <w:iCs/>
          <w:noProof/>
          <w:szCs w:val="28"/>
          <w:lang w:val="uk-UA" w:eastAsia="ru-RU"/>
        </w:rPr>
      </w:pPr>
      <w:r w:rsidRPr="00511005">
        <w:rPr>
          <w:rFonts w:ascii="Arial" w:eastAsia="Times New Roman" w:hAnsi="Arial" w:cs="Arial"/>
          <w:b/>
          <w:i/>
          <w:iCs/>
          <w:noProof/>
          <w:szCs w:val="28"/>
          <w:lang w:val="uk-UA" w:eastAsia="ru-RU"/>
        </w:rPr>
        <w:t xml:space="preserve">Науковий керівник: </w:t>
      </w:r>
      <w:r w:rsidR="00220D3E" w:rsidRPr="00511005">
        <w:rPr>
          <w:rFonts w:ascii="Arial" w:eastAsia="Times New Roman" w:hAnsi="Arial" w:cs="Arial"/>
          <w:i/>
          <w:iCs/>
          <w:noProof/>
          <w:szCs w:val="28"/>
          <w:lang w:val="uk-UA" w:eastAsia="ru-RU"/>
        </w:rPr>
        <w:t>к.ю.н., доцент Дронов В.Ю.</w:t>
      </w:r>
    </w:p>
    <w:p w14:paraId="791FC32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528E6005" w14:textId="77777777" w:rsidR="00220D3E" w:rsidRPr="00511005" w:rsidRDefault="00220D3E" w:rsidP="003A292D">
      <w:pPr>
        <w:tabs>
          <w:tab w:val="left" w:pos="709"/>
        </w:tabs>
        <w:spacing w:line="264" w:lineRule="auto"/>
        <w:ind w:right="175"/>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Бондар Євгеній Сергійович</w:t>
      </w:r>
    </w:p>
    <w:p w14:paraId="3B068A24" w14:textId="77777777" w:rsidR="00220D3E" w:rsidRPr="00511005" w:rsidRDefault="00220D3E" w:rsidP="003A292D">
      <w:pPr>
        <w:tabs>
          <w:tab w:val="left" w:pos="709"/>
        </w:tabs>
        <w:spacing w:line="264" w:lineRule="auto"/>
        <w:ind w:right="175"/>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Зільберт Олександр Володимирович</w:t>
      </w:r>
    </w:p>
    <w:p w14:paraId="04EE5741" w14:textId="64CADAE6" w:rsidR="00220D3E" w:rsidRPr="00511005" w:rsidRDefault="00220D3E" w:rsidP="003A292D">
      <w:pPr>
        <w:tabs>
          <w:tab w:val="left" w:pos="709"/>
        </w:tabs>
        <w:spacing w:line="264" w:lineRule="auto"/>
        <w:ind w:right="175"/>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студенти 5 курсу </w:t>
      </w:r>
      <w:r w:rsidR="001B7B25" w:rsidRPr="00511005">
        <w:rPr>
          <w:rFonts w:ascii="Arial" w:eastAsia="Times New Roman" w:hAnsi="Arial" w:cs="Arial"/>
          <w:szCs w:val="28"/>
          <w:lang w:val="uk-UA" w:eastAsia="ru-RU"/>
        </w:rPr>
        <w:t>факультету судового та міжнародного права</w:t>
      </w:r>
    </w:p>
    <w:p w14:paraId="469619BA" w14:textId="7EC4D490" w:rsidR="00220D3E" w:rsidRPr="00511005" w:rsidRDefault="007B2628" w:rsidP="003A292D">
      <w:pPr>
        <w:tabs>
          <w:tab w:val="left" w:pos="709"/>
          <w:tab w:val="left" w:pos="7088"/>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765C87E" w14:textId="77777777" w:rsidR="00220D3E" w:rsidRPr="00511005" w:rsidRDefault="00220D3E" w:rsidP="003A292D">
      <w:pPr>
        <w:tabs>
          <w:tab w:val="left" w:pos="709"/>
          <w:tab w:val="left" w:pos="7088"/>
        </w:tabs>
        <w:spacing w:line="264" w:lineRule="auto"/>
        <w:jc w:val="center"/>
        <w:rPr>
          <w:rFonts w:ascii="Arial" w:eastAsia="Times New Roman" w:hAnsi="Arial" w:cs="Arial"/>
          <w:b/>
          <w:szCs w:val="28"/>
          <w:shd w:val="clear" w:color="auto" w:fill="FFFFFF"/>
          <w:lang w:eastAsia="ru-RU"/>
        </w:rPr>
      </w:pPr>
    </w:p>
    <w:p w14:paraId="66C94E08" w14:textId="77777777" w:rsidR="00220D3E" w:rsidRPr="00511005" w:rsidRDefault="00220D3E" w:rsidP="003A292D">
      <w:pPr>
        <w:tabs>
          <w:tab w:val="left" w:pos="709"/>
          <w:tab w:val="left" w:pos="7088"/>
        </w:tabs>
        <w:spacing w:line="264" w:lineRule="auto"/>
        <w:jc w:val="center"/>
        <w:rPr>
          <w:rFonts w:ascii="Arial" w:eastAsia="Times New Roman" w:hAnsi="Arial" w:cs="Arial"/>
          <w:b/>
          <w:szCs w:val="28"/>
          <w:shd w:val="clear" w:color="auto" w:fill="FFFFFF"/>
          <w:lang w:eastAsia="ru-RU"/>
        </w:rPr>
      </w:pPr>
      <w:r w:rsidRPr="00511005">
        <w:rPr>
          <w:rFonts w:ascii="Arial" w:eastAsia="Times New Roman" w:hAnsi="Arial" w:cs="Arial"/>
          <w:b/>
          <w:szCs w:val="28"/>
          <w:shd w:val="clear" w:color="auto" w:fill="FFFFFF"/>
          <w:lang w:eastAsia="ru-RU"/>
        </w:rPr>
        <w:t>ЗНАЧЕННЯ ДІЯЛЬНОСТІ ООН ЩОДО ЗБРОЙНОЇ АГРЕСІ</w:t>
      </w:r>
      <w:r w:rsidRPr="00511005">
        <w:rPr>
          <w:rFonts w:ascii="Arial" w:eastAsia="Times New Roman" w:hAnsi="Arial" w:cs="Arial"/>
          <w:b/>
          <w:szCs w:val="28"/>
          <w:shd w:val="clear" w:color="auto" w:fill="FFFFFF"/>
          <w:lang w:val="uk-UA" w:eastAsia="ru-RU"/>
        </w:rPr>
        <w:t>Ї</w:t>
      </w:r>
      <w:r w:rsidRPr="00511005">
        <w:rPr>
          <w:rFonts w:ascii="Arial" w:eastAsia="Times New Roman" w:hAnsi="Arial" w:cs="Arial"/>
          <w:b/>
          <w:szCs w:val="28"/>
          <w:shd w:val="clear" w:color="auto" w:fill="FFFFFF"/>
          <w:lang w:eastAsia="ru-RU"/>
        </w:rPr>
        <w:t xml:space="preserve"> В УКРАЇНІ</w:t>
      </w:r>
    </w:p>
    <w:p w14:paraId="53C374F4" w14:textId="77777777" w:rsidR="00220D3E" w:rsidRPr="00511005" w:rsidRDefault="00220D3E" w:rsidP="003A292D">
      <w:pPr>
        <w:tabs>
          <w:tab w:val="left" w:pos="709"/>
          <w:tab w:val="left" w:pos="7088"/>
        </w:tabs>
        <w:spacing w:line="264" w:lineRule="auto"/>
        <w:rPr>
          <w:rFonts w:ascii="Arial" w:eastAsia="Calibri" w:hAnsi="Arial" w:cs="Arial"/>
          <w:szCs w:val="28"/>
          <w:lang w:val="uk-UA"/>
        </w:rPr>
      </w:pPr>
      <w:r w:rsidRPr="00511005">
        <w:rPr>
          <w:rFonts w:ascii="Arial" w:eastAsia="Calibri" w:hAnsi="Arial" w:cs="Arial"/>
          <w:szCs w:val="28"/>
        </w:rPr>
        <w:t xml:space="preserve">Організація Об'єднаних Націй є універсальною міжнародною міжурядовою організацією, яка об'єднує майже всі держави світу з метою збереження миру, безпеки, розвитку міжнародного співробітництва, захисту прав людини та дотримання норм міжнародного права. Заснована у 1945 році після завершення Другої світової війни, ООН стала </w:t>
      </w:r>
      <w:r w:rsidRPr="00511005">
        <w:rPr>
          <w:rFonts w:ascii="Arial" w:eastAsia="Calibri" w:hAnsi="Arial" w:cs="Arial"/>
          <w:szCs w:val="28"/>
          <w:lang w:val="uk-UA"/>
        </w:rPr>
        <w:t>ключовим</w:t>
      </w:r>
      <w:r w:rsidRPr="00511005">
        <w:rPr>
          <w:rFonts w:ascii="Arial" w:eastAsia="Calibri" w:hAnsi="Arial" w:cs="Arial"/>
          <w:szCs w:val="28"/>
        </w:rPr>
        <w:t xml:space="preserve"> гарантом </w:t>
      </w:r>
      <w:r w:rsidRPr="00511005">
        <w:rPr>
          <w:rFonts w:ascii="Arial" w:eastAsia="Calibri" w:hAnsi="Arial" w:cs="Arial"/>
          <w:szCs w:val="28"/>
        </w:rPr>
        <w:lastRenderedPageBreak/>
        <w:t>глобального правопорядку</w:t>
      </w:r>
      <w:r w:rsidRPr="00511005">
        <w:rPr>
          <w:rFonts w:ascii="Arial" w:eastAsia="Calibri" w:hAnsi="Arial" w:cs="Arial"/>
          <w:szCs w:val="28"/>
          <w:lang w:val="uk-UA"/>
        </w:rPr>
        <w:t xml:space="preserve">. Її мета – запобігати новим конфліктам та забезпечувати співіснування держав на основі принципів суверенітету, територіальної цілісності, невтручання у внутрішні справи та мирного врегулювання суперечок. Основними органами ООН є Генеральна Асамблея, Рада Безпеки, Економічна і Соціальна Рада, Міжнародний Суд, Секретаріат, а також низка спеціалізованих установ, програм і агентств. Серед них: Управління Верховного комісара ООН з прав людини, Управління ООН з координації гуманітарних питань, ЮНЕСКО, ЮНІСЕФ та інші. Кожен із цих елементів виконує важливу роль у реалізації завдань ООН, які охоплюють широкий спектр питань від миротворчих операцій і захисту біженців до боротьби з бідністю, змінами клімату та збройними протистояннями. </w:t>
      </w:r>
    </w:p>
    <w:p w14:paraId="0C6A8BA3" w14:textId="77777777" w:rsidR="00220D3E" w:rsidRPr="00511005" w:rsidRDefault="00220D3E" w:rsidP="003A292D">
      <w:pPr>
        <w:tabs>
          <w:tab w:val="left" w:pos="709"/>
          <w:tab w:val="left" w:pos="7088"/>
        </w:tabs>
        <w:spacing w:line="264" w:lineRule="auto"/>
        <w:rPr>
          <w:rFonts w:ascii="Arial" w:eastAsia="Calibri" w:hAnsi="Arial" w:cs="Arial"/>
          <w:szCs w:val="28"/>
        </w:rPr>
      </w:pPr>
      <w:r w:rsidRPr="00511005">
        <w:rPr>
          <w:rFonts w:ascii="Arial" w:eastAsia="Calibri" w:hAnsi="Arial" w:cs="Arial"/>
          <w:szCs w:val="28"/>
          <w:lang w:val="uk-UA"/>
        </w:rPr>
        <w:t xml:space="preserve">Упродовж десятиліть своєї діяльності Організація Об'єднаних Націй виступала арбітром у найрізноманітніших міжнародних конфліктах, посередником у мирних переговорах, а також координатором надання гуманітарної допомоги мільйонам людей, які стали жертвами воєн, катастроф чи репресій. </w:t>
      </w:r>
      <w:r w:rsidRPr="00511005">
        <w:rPr>
          <w:rFonts w:ascii="Arial" w:eastAsia="Calibri" w:hAnsi="Arial" w:cs="Arial"/>
          <w:szCs w:val="28"/>
        </w:rPr>
        <w:t>ООН не лише виконує функцію глобального форуму для обговорення ключових світових проблем, а й формує основу сучасної системи міжнародного права та безпеки.</w:t>
      </w:r>
      <w:r w:rsidRPr="00511005">
        <w:rPr>
          <w:rFonts w:ascii="Arial" w:eastAsia="Times New Roman" w:hAnsi="Arial" w:cs="Arial"/>
          <w:szCs w:val="28"/>
          <w:lang w:eastAsia="ru-RU"/>
        </w:rPr>
        <w:t xml:space="preserve"> </w:t>
      </w:r>
      <w:r w:rsidRPr="00511005">
        <w:rPr>
          <w:rFonts w:ascii="Arial" w:eastAsia="Calibri" w:hAnsi="Arial" w:cs="Arial"/>
          <w:szCs w:val="28"/>
        </w:rPr>
        <w:t>Важлива форма діяльності Ради ООН з прав людини – повноваження ініціювати створення міжнародних незалежних комісій по розслідуван</w:t>
      </w:r>
      <w:r w:rsidRPr="00511005">
        <w:rPr>
          <w:rFonts w:ascii="Arial" w:eastAsia="Calibri" w:hAnsi="Arial" w:cs="Arial"/>
          <w:szCs w:val="28"/>
          <w:lang w:val="uk-UA"/>
        </w:rPr>
        <w:t>ню</w:t>
      </w:r>
      <w:r w:rsidRPr="00511005">
        <w:rPr>
          <w:rFonts w:ascii="Arial" w:eastAsia="Calibri" w:hAnsi="Arial" w:cs="Arial"/>
          <w:szCs w:val="28"/>
        </w:rPr>
        <w:t xml:space="preserve"> фактів порушення прав людини, комісій по правам людини та місій </w:t>
      </w:r>
      <w:r w:rsidRPr="00511005">
        <w:rPr>
          <w:rFonts w:ascii="Arial" w:eastAsia="Calibri" w:hAnsi="Arial" w:cs="Arial"/>
          <w:szCs w:val="28"/>
          <w:lang w:val="uk-UA"/>
        </w:rPr>
        <w:t>з</w:t>
      </w:r>
      <w:r w:rsidRPr="00511005">
        <w:rPr>
          <w:rFonts w:ascii="Arial" w:eastAsia="Calibri" w:hAnsi="Arial" w:cs="Arial"/>
          <w:szCs w:val="28"/>
        </w:rPr>
        <w:t xml:space="preserve"> установлен</w:t>
      </w:r>
      <w:r w:rsidRPr="00511005">
        <w:rPr>
          <w:rFonts w:ascii="Arial" w:eastAsia="Calibri" w:hAnsi="Arial" w:cs="Arial"/>
          <w:szCs w:val="28"/>
          <w:lang w:val="uk-UA"/>
        </w:rPr>
        <w:t>ня</w:t>
      </w:r>
      <w:r w:rsidRPr="00511005">
        <w:rPr>
          <w:rFonts w:ascii="Arial" w:eastAsia="Calibri" w:hAnsi="Arial" w:cs="Arial"/>
          <w:szCs w:val="28"/>
        </w:rPr>
        <w:t xml:space="preserve"> фактів порушення прав людини</w:t>
      </w:r>
      <w:r w:rsidRPr="00511005">
        <w:rPr>
          <w:rFonts w:ascii="Arial" w:eastAsia="Calibri" w:hAnsi="Arial" w:cs="Arial"/>
          <w:szCs w:val="28"/>
          <w:lang w:val="uk-UA"/>
        </w:rPr>
        <w:t xml:space="preserve"> у світі чи в певному регіоні світу.</w:t>
      </w:r>
      <w:r w:rsidRPr="00511005">
        <w:rPr>
          <w:rFonts w:ascii="Arial" w:eastAsia="Calibri" w:hAnsi="Arial" w:cs="Arial"/>
          <w:szCs w:val="28"/>
        </w:rPr>
        <w:t xml:space="preserve"> [</w:t>
      </w:r>
      <w:r w:rsidRPr="00511005">
        <w:rPr>
          <w:rFonts w:ascii="Arial" w:eastAsia="Calibri" w:hAnsi="Arial" w:cs="Arial"/>
          <w:szCs w:val="28"/>
          <w:lang w:val="uk-UA"/>
        </w:rPr>
        <w:t>4</w:t>
      </w:r>
      <w:r w:rsidRPr="00511005">
        <w:rPr>
          <w:rFonts w:ascii="Arial" w:eastAsia="Calibri" w:hAnsi="Arial" w:cs="Arial"/>
          <w:szCs w:val="28"/>
        </w:rPr>
        <w:t xml:space="preserve">, </w:t>
      </w:r>
      <w:r w:rsidRPr="00511005">
        <w:rPr>
          <w:rFonts w:ascii="Arial" w:eastAsia="Calibri" w:hAnsi="Arial" w:cs="Arial"/>
          <w:szCs w:val="28"/>
          <w:lang w:val="en-US"/>
        </w:rPr>
        <w:t>c</w:t>
      </w:r>
      <w:r w:rsidRPr="00511005">
        <w:rPr>
          <w:rFonts w:ascii="Arial" w:eastAsia="Calibri" w:hAnsi="Arial" w:cs="Arial"/>
          <w:szCs w:val="28"/>
        </w:rPr>
        <w:t>. 308]</w:t>
      </w:r>
    </w:p>
    <w:p w14:paraId="6E7B9B44" w14:textId="77777777" w:rsidR="00220D3E" w:rsidRPr="00511005" w:rsidRDefault="00220D3E" w:rsidP="003A292D">
      <w:pPr>
        <w:tabs>
          <w:tab w:val="left" w:pos="709"/>
          <w:tab w:val="left" w:pos="7088"/>
        </w:tabs>
        <w:spacing w:line="264" w:lineRule="auto"/>
        <w:rPr>
          <w:rFonts w:ascii="Arial" w:eastAsia="Calibri" w:hAnsi="Arial" w:cs="Arial"/>
          <w:szCs w:val="28"/>
          <w:lang w:val="uk-UA"/>
        </w:rPr>
      </w:pPr>
      <w:r w:rsidRPr="00511005">
        <w:rPr>
          <w:rFonts w:ascii="Arial" w:eastAsia="Calibri" w:hAnsi="Arial" w:cs="Arial"/>
          <w:szCs w:val="28"/>
        </w:rPr>
        <w:t>З початком збройної агресії російської федерації проти України у 2014 році, що у 2022 році переросла в повномасштабну війну, Організація Об’єднаних Націй постала перед критичним викликом, який змусив міжнародне співтовариство переглянути не лише ефективність механізмів підтримання миру, а й базові засади міжнародного права. Визначальним у контексті правової оцінки ситуації є те, що агресія росії супроводжується систематичним порушенням норм міжнародного гуманітарного права та численних резолюцій Генеральної Асамблеї ООН, які визнають факт незаконної окупації території України та вимагають поваги до її суверенітету й територіальної цілісності.</w:t>
      </w:r>
      <w:r w:rsidRPr="00511005">
        <w:rPr>
          <w:rFonts w:ascii="Arial" w:eastAsia="Calibri" w:hAnsi="Arial" w:cs="Arial"/>
          <w:szCs w:val="28"/>
          <w:lang w:val="uk-UA"/>
        </w:rPr>
        <w:t xml:space="preserve"> В сучасних реаліях на теренах України після повномасштабного вторгнення, забезпечення прав і свобод громадян України опинилося перед смертельною загрозою, тому на сьогодні це є першочерговою проблемою та викликом для всієї світової спільноти. [1, </w:t>
      </w:r>
      <w:r w:rsidRPr="00511005">
        <w:rPr>
          <w:rFonts w:ascii="Arial" w:eastAsia="Calibri" w:hAnsi="Arial" w:cs="Arial"/>
          <w:szCs w:val="28"/>
          <w:lang w:val="en-US"/>
        </w:rPr>
        <w:t>c</w:t>
      </w:r>
      <w:r w:rsidRPr="00511005">
        <w:rPr>
          <w:rFonts w:ascii="Arial" w:eastAsia="Calibri" w:hAnsi="Arial" w:cs="Arial"/>
          <w:szCs w:val="28"/>
          <w:lang w:val="uk-UA"/>
        </w:rPr>
        <w:t>. 353]</w:t>
      </w:r>
    </w:p>
    <w:p w14:paraId="1700829B" w14:textId="77777777" w:rsidR="00220D3E" w:rsidRPr="00511005" w:rsidRDefault="00220D3E" w:rsidP="003A292D">
      <w:pPr>
        <w:tabs>
          <w:tab w:val="left" w:pos="709"/>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 xml:space="preserve">Організація Об'єднаних Націй, як інституція, покликана запобігати війнам і забезпечувати дотримання принципів Статуту ООН, опинилася у ситуації, коли одна з держав — постійний член Ради Безпеки — стала агресором. Це створило унікальний правовий та політичний прецедент, у якому механізми колективної безпеки були суттєво обмежені через право </w:t>
      </w:r>
      <w:r w:rsidRPr="00511005">
        <w:rPr>
          <w:rFonts w:ascii="Arial" w:eastAsia="Calibri" w:hAnsi="Arial" w:cs="Arial"/>
          <w:szCs w:val="28"/>
          <w:lang w:val="uk-UA"/>
        </w:rPr>
        <w:lastRenderedPageBreak/>
        <w:t xml:space="preserve">вето, яким скористалася російська федерація для блокування будь-яких рішень Ради Безпеки, що засуджують її дії. Ця збройна агресія рф проти України призвела до серйозних гуманітарних криз, масштабних порушень міжнародного гуманітарного права, міжнародного кримінального права та міжнародного права у сфері прав людини </w:t>
      </w:r>
      <w:r w:rsidRPr="00511005">
        <w:rPr>
          <w:rFonts w:ascii="Arial" w:eastAsia="Calibri" w:hAnsi="Arial" w:cs="Arial"/>
          <w:szCs w:val="28"/>
        </w:rPr>
        <w:t>[</w:t>
      </w:r>
      <w:r w:rsidRPr="00511005">
        <w:rPr>
          <w:rFonts w:ascii="Arial" w:eastAsia="Calibri" w:hAnsi="Arial" w:cs="Arial"/>
          <w:szCs w:val="28"/>
          <w:lang w:val="uk-UA"/>
        </w:rPr>
        <w:t>3</w:t>
      </w:r>
      <w:r w:rsidRPr="00511005">
        <w:rPr>
          <w:rFonts w:ascii="Arial" w:eastAsia="Calibri" w:hAnsi="Arial" w:cs="Arial"/>
          <w:szCs w:val="28"/>
        </w:rPr>
        <w:t xml:space="preserve">, </w:t>
      </w:r>
      <w:r w:rsidRPr="00511005">
        <w:rPr>
          <w:rFonts w:ascii="Arial" w:eastAsia="Calibri" w:hAnsi="Arial" w:cs="Arial"/>
          <w:szCs w:val="28"/>
          <w:lang w:val="en-US"/>
        </w:rPr>
        <w:t>c</w:t>
      </w:r>
      <w:r w:rsidRPr="00511005">
        <w:rPr>
          <w:rFonts w:ascii="Arial" w:eastAsia="Calibri" w:hAnsi="Arial" w:cs="Arial"/>
          <w:szCs w:val="28"/>
        </w:rPr>
        <w:t>.</w:t>
      </w:r>
      <w:r w:rsidRPr="00511005">
        <w:rPr>
          <w:rFonts w:ascii="Arial" w:eastAsia="Calibri" w:hAnsi="Arial" w:cs="Arial"/>
          <w:szCs w:val="28"/>
          <w:lang w:val="uk-UA"/>
        </w:rPr>
        <w:t xml:space="preserve"> 216</w:t>
      </w:r>
      <w:r w:rsidRPr="00511005">
        <w:rPr>
          <w:rFonts w:ascii="Arial" w:eastAsia="Calibri" w:hAnsi="Arial" w:cs="Arial"/>
          <w:szCs w:val="28"/>
        </w:rPr>
        <w:t>]</w:t>
      </w:r>
      <w:r w:rsidRPr="00511005">
        <w:rPr>
          <w:rFonts w:ascii="Arial" w:eastAsia="Calibri" w:hAnsi="Arial" w:cs="Arial"/>
          <w:szCs w:val="28"/>
          <w:lang w:val="uk-UA"/>
        </w:rPr>
        <w:t>. Попри це, міжнародна спільнота активізувала роботу інших органів ООН, зокрема Генеральної Асамблеї, Міжнародного суду ООН, Ради з прав людини, УВКПЛ, а також спеціалізованих агенцій, які діють у сфері гуманітарного реагування.</w:t>
      </w:r>
    </w:p>
    <w:p w14:paraId="099F3460" w14:textId="77777777" w:rsidR="00220D3E" w:rsidRPr="00511005" w:rsidRDefault="00220D3E" w:rsidP="003A292D">
      <w:pPr>
        <w:tabs>
          <w:tab w:val="left" w:pos="709"/>
          <w:tab w:val="left" w:pos="7088"/>
        </w:tabs>
        <w:spacing w:line="264" w:lineRule="auto"/>
        <w:rPr>
          <w:rFonts w:ascii="Arial" w:eastAsia="Calibri" w:hAnsi="Arial" w:cs="Arial"/>
          <w:szCs w:val="28"/>
        </w:rPr>
      </w:pPr>
      <w:r w:rsidRPr="00511005">
        <w:rPr>
          <w:rFonts w:ascii="Arial" w:eastAsia="Calibri" w:hAnsi="Arial" w:cs="Arial"/>
          <w:szCs w:val="28"/>
        </w:rPr>
        <w:t>У відповідь на вторгнення росії в Україну 24 лютого 2022 року, Генеральна Асамблея ООН оперативно ухвалила низку резолюцій, які визнають дії рф як акт агресії, що суперечить Статуту ООН. Зокрема, резолюція ES-11/1 від 2 березня 2022 року підтвердила територіальну цілісність України, засудила дії росії та вимагала негайного припинення вогню</w:t>
      </w:r>
      <w:r w:rsidRPr="00511005">
        <w:rPr>
          <w:rFonts w:ascii="Arial" w:eastAsia="Calibri" w:hAnsi="Arial" w:cs="Arial"/>
          <w:szCs w:val="28"/>
          <w:lang w:val="uk-UA"/>
        </w:rPr>
        <w:t xml:space="preserve">, а також </w:t>
      </w:r>
      <w:r w:rsidRPr="00511005">
        <w:rPr>
          <w:rFonts w:ascii="Arial" w:eastAsia="Calibri" w:hAnsi="Arial" w:cs="Arial"/>
          <w:szCs w:val="28"/>
        </w:rPr>
        <w:t>виведення військ з території суверенної держави. Подальші резолюції послідовно закріплювали цю позицію, включаючи ES-11/4, яка стверджує необхідність досягнення справедливого миру, що ґрунтується на принципах міжнародного права.</w:t>
      </w:r>
    </w:p>
    <w:p w14:paraId="3BA905F7" w14:textId="77777777" w:rsidR="00220D3E" w:rsidRPr="00511005" w:rsidRDefault="00220D3E" w:rsidP="003A292D">
      <w:pPr>
        <w:tabs>
          <w:tab w:val="left" w:pos="709"/>
          <w:tab w:val="left" w:pos="7088"/>
        </w:tabs>
        <w:spacing w:line="264" w:lineRule="auto"/>
        <w:rPr>
          <w:rFonts w:ascii="Arial" w:eastAsia="Calibri" w:hAnsi="Arial" w:cs="Arial"/>
          <w:szCs w:val="28"/>
          <w:lang w:val="uk-UA"/>
        </w:rPr>
      </w:pPr>
      <w:r w:rsidRPr="00511005">
        <w:rPr>
          <w:rFonts w:ascii="Arial" w:eastAsia="Calibri" w:hAnsi="Arial" w:cs="Arial"/>
          <w:szCs w:val="28"/>
        </w:rPr>
        <w:t xml:space="preserve">Роль Генеральної Асамблеї у цьому контексті стала особливо важливою через </w:t>
      </w:r>
      <w:proofErr w:type="gramStart"/>
      <w:r w:rsidRPr="00511005">
        <w:rPr>
          <w:rFonts w:ascii="Arial" w:eastAsia="Calibri" w:hAnsi="Arial" w:cs="Arial"/>
          <w:szCs w:val="28"/>
        </w:rPr>
        <w:t>блокування</w:t>
      </w:r>
      <w:proofErr w:type="gramEnd"/>
      <w:r w:rsidRPr="00511005">
        <w:rPr>
          <w:rFonts w:ascii="Arial" w:eastAsia="Calibri" w:hAnsi="Arial" w:cs="Arial"/>
          <w:szCs w:val="28"/>
        </w:rPr>
        <w:t xml:space="preserve"> Ради Безпеки, що засвідчило на практиці вагомість резолюцій, навіть якщо вони не мають обов’язкового характеру. Ці акти мають значне політичне, моральне й правове значення, оскільки формують позицію міжнародної спільноти щодо кваліфікації конфлікту. Більшість держав світу підтримали ці документи, чітко вказуючи на відповідальність рф як агресора. Таким чином, через правові засоби Генеральної Асамблеї відбувається зміцнення принципу невикористання сили в міжнародних відносинах.</w:t>
      </w:r>
      <w:r w:rsidRPr="00511005">
        <w:rPr>
          <w:rFonts w:ascii="Arial" w:eastAsia="Calibri" w:hAnsi="Arial" w:cs="Arial"/>
          <w:szCs w:val="28"/>
          <w:lang w:val="uk-UA"/>
        </w:rPr>
        <w:t xml:space="preserve"> Проте США, попри суттєву підтримку України в 2022-2024 роках, проголосували проти резолюції Генеральної Асамблеї ООН </w:t>
      </w:r>
      <w:r w:rsidRPr="00511005">
        <w:rPr>
          <w:rFonts w:ascii="Arial" w:eastAsia="Calibri" w:hAnsi="Arial" w:cs="Arial"/>
          <w:szCs w:val="28"/>
          <w:lang w:val="en-US"/>
        </w:rPr>
        <w:t>ES</w:t>
      </w:r>
      <w:r w:rsidRPr="00511005">
        <w:rPr>
          <w:rFonts w:ascii="Arial" w:eastAsia="Calibri" w:hAnsi="Arial" w:cs="Arial"/>
          <w:szCs w:val="28"/>
          <w:lang w:val="uk-UA"/>
        </w:rPr>
        <w:t>-11/6, яка була ухвалена 24 лютого 2025 року, з нагоди третьої річниці повномасштабного вторгнення та засуджує вторгнення росії в Україну. Таким чином США стає на бік москви та інших недемократичних країн. Це був перший випадок від початку вторгнення росії, коли США проголосували проти резолюції, яку підтримувала Україна. [6]</w:t>
      </w:r>
    </w:p>
    <w:p w14:paraId="5E56AC52" w14:textId="77777777" w:rsidR="00220D3E" w:rsidRPr="00511005" w:rsidRDefault="00220D3E" w:rsidP="003A292D">
      <w:pPr>
        <w:tabs>
          <w:tab w:val="left" w:pos="709"/>
          <w:tab w:val="left" w:pos="7088"/>
        </w:tabs>
        <w:spacing w:line="264" w:lineRule="auto"/>
        <w:rPr>
          <w:rFonts w:ascii="Arial" w:eastAsia="Calibri" w:hAnsi="Arial" w:cs="Arial"/>
          <w:szCs w:val="28"/>
        </w:rPr>
      </w:pPr>
      <w:r w:rsidRPr="00511005">
        <w:rPr>
          <w:rFonts w:ascii="Arial" w:eastAsia="Calibri" w:hAnsi="Arial" w:cs="Arial"/>
          <w:szCs w:val="28"/>
          <w:lang w:val="uk-UA"/>
        </w:rPr>
        <w:t xml:space="preserve">Окрім політичних органів, важливу роль відіграє Міжнародний суд ООН, який у березні 2022 року на підставі звернення України виніс проміжне рішення про зобов’язання росії негайно припинити бойові дії. </w:t>
      </w:r>
      <w:r w:rsidRPr="00511005">
        <w:rPr>
          <w:rFonts w:ascii="Arial" w:eastAsia="Calibri" w:hAnsi="Arial" w:cs="Arial"/>
          <w:szCs w:val="28"/>
        </w:rPr>
        <w:t>Хоча виконання рішень Суду також залишається проблематичним у зв’язку з відмовою рф визнавати юрисдикцію Суду у відповідних справах</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szCs w:val="28"/>
          <w:lang w:val="uk-UA"/>
        </w:rPr>
        <w:t>С</w:t>
      </w:r>
      <w:r w:rsidRPr="00511005">
        <w:rPr>
          <w:rFonts w:ascii="Arial" w:eastAsia="Calibri" w:hAnsi="Arial" w:cs="Arial"/>
          <w:szCs w:val="28"/>
        </w:rPr>
        <w:t xml:space="preserve">ам факт залучення цієї </w:t>
      </w:r>
      <w:r w:rsidRPr="00511005">
        <w:rPr>
          <w:rFonts w:ascii="Arial" w:eastAsia="Calibri" w:hAnsi="Arial" w:cs="Arial"/>
          <w:szCs w:val="28"/>
          <w:lang w:val="uk-UA"/>
        </w:rPr>
        <w:t>інституції</w:t>
      </w:r>
      <w:r w:rsidRPr="00511005">
        <w:rPr>
          <w:rFonts w:ascii="Arial" w:eastAsia="Calibri" w:hAnsi="Arial" w:cs="Arial"/>
          <w:szCs w:val="28"/>
        </w:rPr>
        <w:t xml:space="preserve"> свідчить про спробу України легітимно скористатися інструментами міжнародного права для фіксації порушень з боку держави-агресора. Крім того, це створює </w:t>
      </w:r>
      <w:r w:rsidRPr="00511005">
        <w:rPr>
          <w:rFonts w:ascii="Arial" w:eastAsia="Calibri" w:hAnsi="Arial" w:cs="Arial"/>
          <w:szCs w:val="28"/>
          <w:lang w:val="uk-UA"/>
        </w:rPr>
        <w:t>ґрунт</w:t>
      </w:r>
      <w:r w:rsidRPr="00511005">
        <w:rPr>
          <w:rFonts w:ascii="Arial" w:eastAsia="Calibri" w:hAnsi="Arial" w:cs="Arial"/>
          <w:szCs w:val="28"/>
        </w:rPr>
        <w:t xml:space="preserve"> для подальших кроків, спрямованих на притягнення до відповідальності не лише політичного, а й воєнного керівництва росії.</w:t>
      </w:r>
    </w:p>
    <w:p w14:paraId="3E1DAC97" w14:textId="77777777" w:rsidR="00220D3E" w:rsidRPr="00511005" w:rsidRDefault="00220D3E" w:rsidP="003A292D">
      <w:pPr>
        <w:tabs>
          <w:tab w:val="left" w:pos="709"/>
          <w:tab w:val="left" w:pos="7088"/>
        </w:tabs>
        <w:spacing w:line="264" w:lineRule="auto"/>
        <w:rPr>
          <w:rFonts w:ascii="Arial" w:eastAsia="Calibri" w:hAnsi="Arial" w:cs="Arial"/>
          <w:szCs w:val="28"/>
        </w:rPr>
      </w:pPr>
      <w:r w:rsidRPr="00511005">
        <w:rPr>
          <w:rFonts w:ascii="Arial" w:eastAsia="Calibri" w:hAnsi="Arial" w:cs="Arial"/>
          <w:szCs w:val="28"/>
          <w:lang w:val="uk-UA"/>
        </w:rPr>
        <w:lastRenderedPageBreak/>
        <w:t xml:space="preserve">Нова стадія агресії російської федерації проти України, що розпочалася у 2022 році, актуалізувала, серед іншого, необхідність звернення юристів до всіх наявних інструментів і важелів міжнародного права і міжнародної політики для сприяння перемозі у нашій боротьбі </w:t>
      </w:r>
      <w:r w:rsidRPr="00511005">
        <w:rPr>
          <w:rFonts w:ascii="Arial" w:eastAsia="Calibri" w:hAnsi="Arial" w:cs="Arial"/>
          <w:szCs w:val="28"/>
        </w:rPr>
        <w:t>[</w:t>
      </w:r>
      <w:r w:rsidRPr="00511005">
        <w:rPr>
          <w:rFonts w:ascii="Arial" w:eastAsia="Calibri" w:hAnsi="Arial" w:cs="Arial"/>
          <w:szCs w:val="28"/>
          <w:lang w:val="uk-UA"/>
        </w:rPr>
        <w:t>2, с. 11</w:t>
      </w:r>
      <w:r w:rsidRPr="00511005">
        <w:rPr>
          <w:rFonts w:ascii="Arial" w:eastAsia="Calibri" w:hAnsi="Arial" w:cs="Arial"/>
          <w:szCs w:val="28"/>
        </w:rPr>
        <w:t>].</w:t>
      </w:r>
    </w:p>
    <w:p w14:paraId="1372FECA" w14:textId="77777777" w:rsidR="00220D3E" w:rsidRPr="00511005" w:rsidRDefault="00220D3E" w:rsidP="003A292D">
      <w:pPr>
        <w:tabs>
          <w:tab w:val="left" w:pos="709"/>
          <w:tab w:val="left" w:pos="7088"/>
        </w:tabs>
        <w:spacing w:line="264" w:lineRule="auto"/>
        <w:rPr>
          <w:rFonts w:ascii="Arial" w:eastAsia="Calibri" w:hAnsi="Arial" w:cs="Arial"/>
          <w:szCs w:val="28"/>
        </w:rPr>
      </w:pPr>
      <w:r w:rsidRPr="00511005">
        <w:rPr>
          <w:rFonts w:ascii="Arial" w:eastAsia="Calibri" w:hAnsi="Arial" w:cs="Arial"/>
          <w:szCs w:val="28"/>
          <w:lang w:val="uk-UA"/>
        </w:rPr>
        <w:t xml:space="preserve">У межах спільної позиції міжнародних організацій було також створено Механізм документування злочинів агресії та воєнних злочинів, який діє за участі ООН, Європейського Союзу та інших партнерів. Це особливо важливо у контексті забезпечення притягнення до відповідальності осіб, які причетні до воєнних злочинів, злочинів проти людяності та, зокрема, злочину агресії. </w:t>
      </w:r>
      <w:r w:rsidRPr="00511005">
        <w:rPr>
          <w:rFonts w:ascii="Arial" w:eastAsia="Calibri" w:hAnsi="Arial" w:cs="Arial"/>
          <w:szCs w:val="28"/>
        </w:rPr>
        <w:t>Важливим є також факт розслідування ситуації в Україні прокурором Міжнародного кримінального суду, що доповнює систему захисту прав людини та принципів гуманітарного права, хоча сам ООН не є структурною частиною МКС.</w:t>
      </w:r>
    </w:p>
    <w:p w14:paraId="3DA54E5F" w14:textId="77777777" w:rsidR="00220D3E" w:rsidRPr="00511005" w:rsidRDefault="00220D3E" w:rsidP="003A292D">
      <w:pPr>
        <w:tabs>
          <w:tab w:val="left" w:pos="709"/>
          <w:tab w:val="left" w:pos="7088"/>
        </w:tabs>
        <w:spacing w:line="264" w:lineRule="auto"/>
        <w:rPr>
          <w:rFonts w:ascii="Arial" w:eastAsia="Calibri" w:hAnsi="Arial" w:cs="Arial"/>
          <w:szCs w:val="28"/>
        </w:rPr>
      </w:pPr>
      <w:r w:rsidRPr="00511005">
        <w:rPr>
          <w:rFonts w:ascii="Arial" w:eastAsia="Calibri" w:hAnsi="Arial" w:cs="Arial"/>
          <w:szCs w:val="28"/>
        </w:rPr>
        <w:t xml:space="preserve">Попри широкі повноваження, значний досвід і розгалужену систему органів, діяльність Організації Об'єднаних Націй у контексті збройної агресії російської федерації проти України демонструє очевидну обмеженість у реальному впливі на перебіг </w:t>
      </w:r>
      <w:r w:rsidRPr="00511005">
        <w:rPr>
          <w:rFonts w:ascii="Arial" w:eastAsia="Calibri" w:hAnsi="Arial" w:cs="Arial"/>
          <w:szCs w:val="28"/>
          <w:lang w:val="uk-UA"/>
        </w:rPr>
        <w:t>бойових дій</w:t>
      </w:r>
      <w:r w:rsidRPr="00511005">
        <w:rPr>
          <w:rFonts w:ascii="Arial" w:eastAsia="Calibri" w:hAnsi="Arial" w:cs="Arial"/>
          <w:szCs w:val="28"/>
        </w:rPr>
        <w:t xml:space="preserve">. </w:t>
      </w:r>
      <w:r w:rsidRPr="00511005">
        <w:rPr>
          <w:rFonts w:ascii="Arial" w:eastAsia="Calibri" w:hAnsi="Arial" w:cs="Arial"/>
          <w:szCs w:val="28"/>
          <w:lang w:val="uk-UA"/>
        </w:rPr>
        <w:t>Попри своєчасну реакцію з боку ключових інституцій ООН, реальний вплив на перебіг війни виявився обмеженим</w:t>
      </w:r>
      <w:r w:rsidRPr="00511005">
        <w:rPr>
          <w:rFonts w:ascii="Arial" w:eastAsia="Calibri" w:hAnsi="Arial" w:cs="Arial"/>
          <w:szCs w:val="28"/>
        </w:rPr>
        <w:t>. Так, у перші дні після вторгнення рф на територію України Генеральна Асамблея ООН, Рада ООН з прав людини, Управління Верховного комісара ООН з прав людини, а також численні інші структури Організації засудили дії агресора, наголосили на неприпустимості порушення Статуту ООН, норм міжнародного гуманітарного права та міжнародного права прав людини. Проте ці дії, попри їх символічну вагу й моральну підтримку України, виявилися недостатніми в плані практичного впливу на агресора та на ситуацію на полі бою.</w:t>
      </w:r>
    </w:p>
    <w:p w14:paraId="09BC54D4" w14:textId="77777777" w:rsidR="00220D3E" w:rsidRPr="00511005" w:rsidRDefault="00220D3E" w:rsidP="003A292D">
      <w:pPr>
        <w:tabs>
          <w:tab w:val="left" w:pos="709"/>
          <w:tab w:val="left" w:pos="7088"/>
        </w:tabs>
        <w:spacing w:line="264" w:lineRule="auto"/>
        <w:rPr>
          <w:rFonts w:ascii="Arial" w:eastAsia="Calibri" w:hAnsi="Arial" w:cs="Arial"/>
          <w:szCs w:val="28"/>
          <w:lang w:val="uk-UA"/>
        </w:rPr>
      </w:pPr>
      <w:r w:rsidRPr="00511005">
        <w:rPr>
          <w:rFonts w:ascii="Arial" w:eastAsia="Calibri" w:hAnsi="Arial" w:cs="Arial"/>
          <w:szCs w:val="28"/>
        </w:rPr>
        <w:t xml:space="preserve">Однією з головних проблем є обмеження функціональних </w:t>
      </w:r>
      <w:proofErr w:type="gramStart"/>
      <w:r w:rsidRPr="00511005">
        <w:rPr>
          <w:rFonts w:ascii="Arial" w:eastAsia="Calibri" w:hAnsi="Arial" w:cs="Arial"/>
          <w:szCs w:val="28"/>
        </w:rPr>
        <w:t>можливостей</w:t>
      </w:r>
      <w:proofErr w:type="gramEnd"/>
      <w:r w:rsidRPr="00511005">
        <w:rPr>
          <w:rFonts w:ascii="Arial" w:eastAsia="Calibri" w:hAnsi="Arial" w:cs="Arial"/>
          <w:szCs w:val="28"/>
        </w:rPr>
        <w:t xml:space="preserve"> Ради Безпеки ООН, яка, згідно зі Статутом ООН, несе головну відповідальність за підтримання міжнародного миру й безпеки. </w:t>
      </w:r>
      <w:r w:rsidRPr="00511005">
        <w:rPr>
          <w:rFonts w:ascii="Arial" w:eastAsia="Calibri" w:hAnsi="Arial" w:cs="Arial"/>
          <w:szCs w:val="28"/>
          <w:lang w:val="uk-UA"/>
        </w:rPr>
        <w:t>Так само складається парадоксальна ситуація</w:t>
      </w:r>
      <w:r w:rsidRPr="00511005">
        <w:rPr>
          <w:rFonts w:ascii="Arial" w:eastAsia="Calibri" w:hAnsi="Arial" w:cs="Arial"/>
          <w:szCs w:val="28"/>
        </w:rPr>
        <w:t xml:space="preserve">, </w:t>
      </w:r>
      <w:r w:rsidRPr="00511005">
        <w:rPr>
          <w:rFonts w:ascii="Arial" w:eastAsia="Calibri" w:hAnsi="Arial" w:cs="Arial"/>
          <w:szCs w:val="28"/>
          <w:lang w:val="uk-UA"/>
        </w:rPr>
        <w:t xml:space="preserve">коли країна-агресор обіймає статус постійного члена у Раді Безпеки ООН із правом вето [5, </w:t>
      </w:r>
      <w:r w:rsidRPr="00511005">
        <w:rPr>
          <w:rFonts w:ascii="Arial" w:eastAsia="Calibri" w:hAnsi="Arial" w:cs="Arial"/>
          <w:szCs w:val="28"/>
          <w:lang w:val="en-US"/>
        </w:rPr>
        <w:t>c</w:t>
      </w:r>
      <w:r w:rsidRPr="00511005">
        <w:rPr>
          <w:rFonts w:ascii="Arial" w:eastAsia="Calibri" w:hAnsi="Arial" w:cs="Arial"/>
          <w:szCs w:val="28"/>
          <w:lang w:val="uk-UA"/>
        </w:rPr>
        <w:t xml:space="preserve">.121]. Це фактично унеможливлює ухвалення рішень, які могли б призвести до конкретних обов’язкових заходів – таких як запровадження санкцій, застосування міжнародних сил, блокування воєнного постачання тощо. росія регулярно блокує будь-які резолюції, які прямо або опосередковано спрямовані на припинення її агресії чи визнання її державою-агресором. Це створює ситуацію, коли навіть наявність доказів численних воєнних злочинів та злочинів проти людяності, задокументованих як українською стороною, так і міжнародними правозахисними структурами, не перетворюється на обов’язкові рішення, які б могли бути правовою підставою для притягнення до відповідальності винних осіб або держави загалом. </w:t>
      </w:r>
    </w:p>
    <w:p w14:paraId="190EF2FA" w14:textId="77777777" w:rsidR="00220D3E" w:rsidRPr="00511005" w:rsidRDefault="00220D3E" w:rsidP="003A292D">
      <w:pPr>
        <w:tabs>
          <w:tab w:val="left" w:pos="709"/>
          <w:tab w:val="left" w:pos="7088"/>
        </w:tabs>
        <w:spacing w:line="264" w:lineRule="auto"/>
        <w:rPr>
          <w:rFonts w:ascii="Arial" w:eastAsia="Calibri" w:hAnsi="Arial" w:cs="Arial"/>
          <w:szCs w:val="28"/>
        </w:rPr>
      </w:pPr>
      <w:r w:rsidRPr="00511005">
        <w:rPr>
          <w:rFonts w:ascii="Arial" w:eastAsia="Calibri" w:hAnsi="Arial" w:cs="Arial"/>
          <w:szCs w:val="28"/>
        </w:rPr>
        <w:lastRenderedPageBreak/>
        <w:t xml:space="preserve">Важливо підкреслити, що низка органів ООН, особливо гуманітарного характеру, активно діють в Україні, надаючи допомогу постраждалому населенню, внутрішньо переміщеним особам, дітям, літнім людям та іншим вразливим категоріям. Такі зусилля є надзвичайно важливими для пом’якшення наслідків війни, однак їхня ефективність у контексті впливу на сам хід </w:t>
      </w:r>
      <w:r w:rsidRPr="00511005">
        <w:rPr>
          <w:rFonts w:ascii="Arial" w:eastAsia="Calibri" w:hAnsi="Arial" w:cs="Arial"/>
          <w:szCs w:val="28"/>
          <w:lang w:val="uk-UA"/>
        </w:rPr>
        <w:t>бойових дій</w:t>
      </w:r>
      <w:r w:rsidRPr="00511005">
        <w:rPr>
          <w:rFonts w:ascii="Arial" w:eastAsia="Calibri" w:hAnsi="Arial" w:cs="Arial"/>
          <w:szCs w:val="28"/>
        </w:rPr>
        <w:t xml:space="preserve"> залишається вкрай обмеженою. Крім того, спостерігається певна формалізація дій міжнародних структур</w:t>
      </w:r>
      <w:r w:rsidRPr="00511005">
        <w:rPr>
          <w:rFonts w:ascii="Arial" w:eastAsia="Calibri" w:hAnsi="Arial" w:cs="Arial"/>
          <w:szCs w:val="28"/>
          <w:lang w:val="uk-UA"/>
        </w:rPr>
        <w:t>:</w:t>
      </w:r>
      <w:r w:rsidRPr="00511005">
        <w:rPr>
          <w:rFonts w:ascii="Arial" w:eastAsia="Calibri" w:hAnsi="Arial" w:cs="Arial"/>
          <w:szCs w:val="28"/>
        </w:rPr>
        <w:t xml:space="preserve"> звіти, заклики до деескалації, дипломатичні заяви, численні дебати на сесіях Генеральної Асамблеї</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szCs w:val="28"/>
          <w:lang w:val="uk-UA"/>
        </w:rPr>
        <w:t>У</w:t>
      </w:r>
      <w:r w:rsidRPr="00511005">
        <w:rPr>
          <w:rFonts w:ascii="Arial" w:eastAsia="Calibri" w:hAnsi="Arial" w:cs="Arial"/>
          <w:szCs w:val="28"/>
        </w:rPr>
        <w:t>се це не має обов’язкового для виконання характеру і, відповідно, не змінює ситуацію на стратегічному рівні.</w:t>
      </w:r>
    </w:p>
    <w:p w14:paraId="6D8C2FDE" w14:textId="77777777" w:rsidR="00220D3E" w:rsidRPr="00511005" w:rsidRDefault="00220D3E" w:rsidP="003A292D">
      <w:pPr>
        <w:tabs>
          <w:tab w:val="left" w:pos="709"/>
          <w:tab w:val="left" w:pos="7088"/>
        </w:tabs>
        <w:spacing w:line="264" w:lineRule="auto"/>
        <w:rPr>
          <w:rFonts w:ascii="Arial" w:eastAsia="Calibri" w:hAnsi="Arial" w:cs="Arial"/>
          <w:szCs w:val="28"/>
        </w:rPr>
      </w:pPr>
      <w:r w:rsidRPr="00511005">
        <w:rPr>
          <w:rFonts w:ascii="Arial" w:eastAsia="Calibri" w:hAnsi="Arial" w:cs="Arial"/>
          <w:szCs w:val="28"/>
          <w:lang w:val="uk-UA"/>
        </w:rPr>
        <w:t>П</w:t>
      </w:r>
      <w:r w:rsidRPr="00511005">
        <w:rPr>
          <w:rFonts w:ascii="Arial" w:eastAsia="Calibri" w:hAnsi="Arial" w:cs="Arial"/>
          <w:szCs w:val="28"/>
        </w:rPr>
        <w:t>опри наявність у структурі ООН потужного механізму реагування на загрози миру та безпеці, механізм цей виявився недостатньо гнучким і політично паралізованим у разі, коли агресором є постійний член Ради Безпеки. З одного боку, Організація демонструє готовність підтримувати гуманітарну складову, забезпечувати захист прав людини та документувати порушення міжнародного права, однак з іншого — вона практично безсил</w:t>
      </w:r>
      <w:r w:rsidRPr="00511005">
        <w:rPr>
          <w:rFonts w:ascii="Arial" w:eastAsia="Calibri" w:hAnsi="Arial" w:cs="Arial"/>
          <w:szCs w:val="28"/>
          <w:lang w:val="uk-UA"/>
        </w:rPr>
        <w:t>ьна</w:t>
      </w:r>
      <w:r w:rsidRPr="00511005">
        <w:rPr>
          <w:rFonts w:ascii="Arial" w:eastAsia="Calibri" w:hAnsi="Arial" w:cs="Arial"/>
          <w:szCs w:val="28"/>
        </w:rPr>
        <w:t xml:space="preserve"> у зміні стратегічного перебігу конфлікту через інституційну вразливість і відсутність механізмів протидії державі, яка зловживає власним становищем. Усе це ставить під сумнів ефективність існуючої системи міжнародної безпеки, сформованої після Другої світової війни, і потребує суттєвого реформування з урахуванням нових реалій сучасного світу.</w:t>
      </w:r>
    </w:p>
    <w:p w14:paraId="361549B1" w14:textId="77777777" w:rsidR="00220D3E" w:rsidRPr="00511005" w:rsidRDefault="00220D3E" w:rsidP="003A292D">
      <w:pPr>
        <w:tabs>
          <w:tab w:val="left" w:pos="709"/>
          <w:tab w:val="left" w:pos="7088"/>
        </w:tabs>
        <w:spacing w:line="264" w:lineRule="auto"/>
        <w:jc w:val="center"/>
        <w:rPr>
          <w:rFonts w:ascii="Arial" w:eastAsia="Times New Roman" w:hAnsi="Arial" w:cs="Arial"/>
          <w:b/>
          <w:szCs w:val="28"/>
          <w:lang w:val="uk-UA" w:eastAsia="ru-RU" w:bidi="uk-UA"/>
        </w:rPr>
      </w:pPr>
    </w:p>
    <w:p w14:paraId="69B8D075" w14:textId="301A523A" w:rsidR="00220D3E" w:rsidRPr="00511005" w:rsidRDefault="007B2628" w:rsidP="007B2628">
      <w:pPr>
        <w:tabs>
          <w:tab w:val="left" w:pos="709"/>
          <w:tab w:val="left" w:pos="7088"/>
        </w:tabs>
        <w:spacing w:line="264" w:lineRule="auto"/>
        <w:jc w:val="center"/>
        <w:rPr>
          <w:rFonts w:ascii="Arial" w:eastAsia="Times New Roman" w:hAnsi="Arial" w:cs="Arial"/>
          <w:b/>
          <w:szCs w:val="28"/>
          <w:lang w:val="uk-UA" w:eastAsia="ru-RU" w:bidi="uk-UA"/>
        </w:rPr>
      </w:pPr>
      <w:r w:rsidRPr="00511005">
        <w:rPr>
          <w:rFonts w:ascii="Arial" w:eastAsia="Times New Roman" w:hAnsi="Arial" w:cs="Arial"/>
          <w:b/>
          <w:szCs w:val="28"/>
          <w:lang w:val="uk-UA" w:eastAsia="ru-RU" w:bidi="uk-UA"/>
        </w:rPr>
        <w:t>Список використаних джерел</w:t>
      </w:r>
    </w:p>
    <w:p w14:paraId="72220B71" w14:textId="77777777" w:rsidR="00220D3E" w:rsidRPr="00511005" w:rsidRDefault="00220D3E" w:rsidP="000C392A">
      <w:pPr>
        <w:widowControl w:val="0"/>
        <w:numPr>
          <w:ilvl w:val="0"/>
          <w:numId w:val="61"/>
        </w:numPr>
        <w:tabs>
          <w:tab w:val="left" w:pos="709"/>
          <w:tab w:val="left" w:pos="993"/>
          <w:tab w:val="left" w:pos="7088"/>
        </w:tabs>
        <w:autoSpaceDE w:val="0"/>
        <w:autoSpaceDN w:val="0"/>
        <w:adjustRightInd w:val="0"/>
        <w:spacing w:line="264" w:lineRule="auto"/>
        <w:ind w:left="0" w:firstLine="709"/>
        <w:contextualSpacing/>
        <w:jc w:val="left"/>
        <w:rPr>
          <w:rFonts w:ascii="Arial" w:eastAsia="Calibri" w:hAnsi="Arial" w:cs="Arial"/>
          <w:szCs w:val="28"/>
          <w:lang w:val="uk-UA" w:bidi="uk-UA"/>
        </w:rPr>
      </w:pPr>
      <w:r w:rsidRPr="00511005">
        <w:rPr>
          <w:rFonts w:ascii="Arial" w:eastAsia="Calibri" w:hAnsi="Arial" w:cs="Arial"/>
          <w:b/>
          <w:bCs/>
          <w:szCs w:val="28"/>
          <w:lang w:val="uk-UA"/>
        </w:rPr>
        <w:t xml:space="preserve">Канєнберг-Сандул О. К. «Проблеми та перспективи захисту прав людини в режимі військової окупації» </w:t>
      </w:r>
      <w:r w:rsidRPr="00511005">
        <w:rPr>
          <w:rFonts w:ascii="Arial" w:eastAsia="Calibri" w:hAnsi="Arial" w:cs="Arial"/>
          <w:i/>
          <w:iCs/>
          <w:szCs w:val="28"/>
          <w:lang w:val="uk-UA"/>
        </w:rPr>
        <w:t xml:space="preserve">Збірник матеріалів Міжнародної науково-практичної конференції Одеса: Національний університет «Одеська юридична академія», 2023. </w:t>
      </w:r>
      <w:r w:rsidRPr="00511005">
        <w:rPr>
          <w:rFonts w:ascii="Arial" w:eastAsia="Calibri" w:hAnsi="Arial" w:cs="Arial"/>
          <w:szCs w:val="28"/>
          <w:lang w:val="uk-UA"/>
        </w:rPr>
        <w:t>с. 353–356. </w:t>
      </w:r>
      <w:r w:rsidRPr="00511005">
        <w:rPr>
          <w:rFonts w:ascii="Arial" w:eastAsia="Calibri" w:hAnsi="Arial" w:cs="Arial"/>
          <w:szCs w:val="28"/>
          <w:lang w:val="en-US"/>
        </w:rPr>
        <w:t>URL</w:t>
      </w:r>
      <w:r w:rsidRPr="00511005">
        <w:rPr>
          <w:rFonts w:ascii="Arial" w:eastAsia="Calibri" w:hAnsi="Arial" w:cs="Arial"/>
          <w:szCs w:val="28"/>
        </w:rPr>
        <w:t>:</w:t>
      </w:r>
      <w:r w:rsidRPr="00511005">
        <w:rPr>
          <w:rFonts w:ascii="Arial" w:eastAsia="Calibri" w:hAnsi="Arial" w:cs="Arial"/>
          <w:szCs w:val="28"/>
          <w:lang w:val="uk-UA"/>
        </w:rPr>
        <w:t xml:space="preserve"> </w:t>
      </w:r>
      <w:hyperlink r:id="rId176"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dspace</w:t>
        </w:r>
        <w:r w:rsidRPr="00511005">
          <w:rPr>
            <w:rFonts w:ascii="Arial" w:eastAsia="Calibri" w:hAnsi="Arial" w:cs="Arial"/>
            <w:szCs w:val="28"/>
          </w:rPr>
          <w:t>.</w:t>
        </w:r>
        <w:r w:rsidRPr="00511005">
          <w:rPr>
            <w:rFonts w:ascii="Arial" w:eastAsia="Calibri" w:hAnsi="Arial" w:cs="Arial"/>
            <w:szCs w:val="28"/>
            <w:lang w:val="en-US"/>
          </w:rPr>
          <w:t>onua</w:t>
        </w:r>
        <w:r w:rsidRPr="00511005">
          <w:rPr>
            <w:rFonts w:ascii="Arial" w:eastAsia="Calibri" w:hAnsi="Arial" w:cs="Arial"/>
            <w:szCs w:val="28"/>
          </w:rPr>
          <w:t>.</w:t>
        </w:r>
        <w:r w:rsidRPr="00511005">
          <w:rPr>
            <w:rFonts w:ascii="Arial" w:eastAsia="Calibri" w:hAnsi="Arial" w:cs="Arial"/>
            <w:szCs w:val="28"/>
            <w:lang w:val="en-US"/>
          </w:rPr>
          <w:t>edu</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server</w:t>
        </w:r>
        <w:r w:rsidRPr="00511005">
          <w:rPr>
            <w:rFonts w:ascii="Arial" w:eastAsia="Calibri" w:hAnsi="Arial" w:cs="Arial"/>
            <w:szCs w:val="28"/>
          </w:rPr>
          <w:t>/</w:t>
        </w:r>
        <w:r w:rsidRPr="00511005">
          <w:rPr>
            <w:rFonts w:ascii="Arial" w:eastAsia="Calibri" w:hAnsi="Arial" w:cs="Arial"/>
            <w:szCs w:val="28"/>
            <w:lang w:val="en-US"/>
          </w:rPr>
          <w:t>api</w:t>
        </w:r>
        <w:r w:rsidRPr="00511005">
          <w:rPr>
            <w:rFonts w:ascii="Arial" w:eastAsia="Calibri" w:hAnsi="Arial" w:cs="Arial"/>
            <w:szCs w:val="28"/>
          </w:rPr>
          <w:t>/</w:t>
        </w:r>
        <w:r w:rsidRPr="00511005">
          <w:rPr>
            <w:rFonts w:ascii="Arial" w:eastAsia="Calibri" w:hAnsi="Arial" w:cs="Arial"/>
            <w:szCs w:val="28"/>
            <w:lang w:val="en-US"/>
          </w:rPr>
          <w:t>core</w:t>
        </w:r>
        <w:r w:rsidRPr="00511005">
          <w:rPr>
            <w:rFonts w:ascii="Arial" w:eastAsia="Calibri" w:hAnsi="Arial" w:cs="Arial"/>
            <w:szCs w:val="28"/>
          </w:rPr>
          <w:t>/</w:t>
        </w:r>
        <w:r w:rsidRPr="00511005">
          <w:rPr>
            <w:rFonts w:ascii="Arial" w:eastAsia="Calibri" w:hAnsi="Arial" w:cs="Arial"/>
            <w:szCs w:val="28"/>
            <w:lang w:val="en-US"/>
          </w:rPr>
          <w:t>bitstreams</w:t>
        </w:r>
        <w:r w:rsidRPr="00511005">
          <w:rPr>
            <w:rFonts w:ascii="Arial" w:eastAsia="Calibri" w:hAnsi="Arial" w:cs="Arial"/>
            <w:szCs w:val="28"/>
          </w:rPr>
          <w:t>/</w:t>
        </w:r>
        <w:r w:rsidRPr="00511005">
          <w:rPr>
            <w:rFonts w:ascii="Arial" w:eastAsia="Calibri" w:hAnsi="Arial" w:cs="Arial"/>
            <w:szCs w:val="28"/>
            <w:lang w:val="en-US"/>
          </w:rPr>
          <w:t>e</w:t>
        </w:r>
        <w:r w:rsidRPr="00511005">
          <w:rPr>
            <w:rFonts w:ascii="Arial" w:eastAsia="Calibri" w:hAnsi="Arial" w:cs="Arial"/>
            <w:szCs w:val="28"/>
          </w:rPr>
          <w:t>88</w:t>
        </w:r>
        <w:r w:rsidRPr="00511005">
          <w:rPr>
            <w:rFonts w:ascii="Arial" w:eastAsia="Calibri" w:hAnsi="Arial" w:cs="Arial"/>
            <w:szCs w:val="28"/>
            <w:lang w:val="en-US"/>
          </w:rPr>
          <w:t>d</w:t>
        </w:r>
        <w:r w:rsidRPr="00511005">
          <w:rPr>
            <w:rFonts w:ascii="Arial" w:eastAsia="Calibri" w:hAnsi="Arial" w:cs="Arial"/>
            <w:szCs w:val="28"/>
          </w:rPr>
          <w:t>244</w:t>
        </w:r>
        <w:r w:rsidRPr="00511005">
          <w:rPr>
            <w:rFonts w:ascii="Arial" w:eastAsia="Calibri" w:hAnsi="Arial" w:cs="Arial"/>
            <w:szCs w:val="28"/>
            <w:lang w:val="en-US"/>
          </w:rPr>
          <w:t>e</w:t>
        </w:r>
        <w:r w:rsidRPr="00511005">
          <w:rPr>
            <w:rFonts w:ascii="Arial" w:eastAsia="Calibri" w:hAnsi="Arial" w:cs="Arial"/>
            <w:szCs w:val="28"/>
          </w:rPr>
          <w:t>-</w:t>
        </w:r>
        <w:r w:rsidRPr="00511005">
          <w:rPr>
            <w:rFonts w:ascii="Arial" w:eastAsia="Calibri" w:hAnsi="Arial" w:cs="Arial"/>
            <w:szCs w:val="28"/>
            <w:lang w:val="en-US"/>
          </w:rPr>
          <w:t>e</w:t>
        </w:r>
        <w:r w:rsidRPr="00511005">
          <w:rPr>
            <w:rFonts w:ascii="Arial" w:eastAsia="Calibri" w:hAnsi="Arial" w:cs="Arial"/>
            <w:szCs w:val="28"/>
          </w:rPr>
          <w:t>222-4550-</w:t>
        </w:r>
        <w:r w:rsidRPr="00511005">
          <w:rPr>
            <w:rFonts w:ascii="Arial" w:eastAsia="Calibri" w:hAnsi="Arial" w:cs="Arial"/>
            <w:szCs w:val="28"/>
            <w:lang w:val="en-US"/>
          </w:rPr>
          <w:t>a</w:t>
        </w:r>
        <w:r w:rsidRPr="00511005">
          <w:rPr>
            <w:rFonts w:ascii="Arial" w:eastAsia="Calibri" w:hAnsi="Arial" w:cs="Arial"/>
            <w:szCs w:val="28"/>
          </w:rPr>
          <w:t>63</w:t>
        </w:r>
        <w:r w:rsidRPr="00511005">
          <w:rPr>
            <w:rFonts w:ascii="Arial" w:eastAsia="Calibri" w:hAnsi="Arial" w:cs="Arial"/>
            <w:szCs w:val="28"/>
            <w:lang w:val="en-US"/>
          </w:rPr>
          <w:t>c</w:t>
        </w:r>
        <w:r w:rsidRPr="00511005">
          <w:rPr>
            <w:rFonts w:ascii="Arial" w:eastAsia="Calibri" w:hAnsi="Arial" w:cs="Arial"/>
            <w:szCs w:val="28"/>
          </w:rPr>
          <w:t>-3</w:t>
        </w:r>
        <w:r w:rsidRPr="00511005">
          <w:rPr>
            <w:rFonts w:ascii="Arial" w:eastAsia="Calibri" w:hAnsi="Arial" w:cs="Arial"/>
            <w:szCs w:val="28"/>
            <w:lang w:val="en-US"/>
          </w:rPr>
          <w:t>de</w:t>
        </w:r>
        <w:r w:rsidRPr="00511005">
          <w:rPr>
            <w:rFonts w:ascii="Arial" w:eastAsia="Calibri" w:hAnsi="Arial" w:cs="Arial"/>
            <w:szCs w:val="28"/>
          </w:rPr>
          <w:t>8915</w:t>
        </w:r>
        <w:r w:rsidRPr="00511005">
          <w:rPr>
            <w:rFonts w:ascii="Arial" w:eastAsia="Calibri" w:hAnsi="Arial" w:cs="Arial"/>
            <w:szCs w:val="28"/>
            <w:lang w:val="en-US"/>
          </w:rPr>
          <w:t>e</w:t>
        </w:r>
        <w:r w:rsidRPr="00511005">
          <w:rPr>
            <w:rFonts w:ascii="Arial" w:eastAsia="Calibri" w:hAnsi="Arial" w:cs="Arial"/>
            <w:szCs w:val="28"/>
          </w:rPr>
          <w:t>6992/</w:t>
        </w:r>
        <w:r w:rsidRPr="00511005">
          <w:rPr>
            <w:rFonts w:ascii="Arial" w:eastAsia="Calibri" w:hAnsi="Arial" w:cs="Arial"/>
            <w:szCs w:val="28"/>
            <w:lang w:val="en-US"/>
          </w:rPr>
          <w:t>content</w:t>
        </w:r>
      </w:hyperlink>
      <w:r w:rsidRPr="00511005">
        <w:rPr>
          <w:rFonts w:ascii="Arial" w:eastAsia="Calibri" w:hAnsi="Arial" w:cs="Arial"/>
          <w:szCs w:val="28"/>
          <w:lang w:val="uk-UA"/>
        </w:rPr>
        <w:t xml:space="preserve"> </w:t>
      </w:r>
      <w:r w:rsidRPr="00511005">
        <w:rPr>
          <w:rFonts w:ascii="Arial" w:eastAsia="Calibri" w:hAnsi="Arial" w:cs="Arial"/>
          <w:szCs w:val="28"/>
        </w:rPr>
        <w:t>(дата звернення: 18 квітня 2025 р.)</w:t>
      </w:r>
    </w:p>
    <w:p w14:paraId="1F1DE052" w14:textId="77777777" w:rsidR="00220D3E" w:rsidRPr="00511005" w:rsidRDefault="00220D3E" w:rsidP="000C392A">
      <w:pPr>
        <w:widowControl w:val="0"/>
        <w:numPr>
          <w:ilvl w:val="0"/>
          <w:numId w:val="61"/>
        </w:numPr>
        <w:tabs>
          <w:tab w:val="left" w:pos="709"/>
          <w:tab w:val="left" w:pos="993"/>
          <w:tab w:val="left" w:pos="7088"/>
        </w:tabs>
        <w:autoSpaceDE w:val="0"/>
        <w:autoSpaceDN w:val="0"/>
        <w:adjustRightInd w:val="0"/>
        <w:spacing w:line="264" w:lineRule="auto"/>
        <w:ind w:left="0" w:firstLine="709"/>
        <w:contextualSpacing/>
        <w:jc w:val="left"/>
        <w:rPr>
          <w:rFonts w:ascii="Arial" w:eastAsia="Calibri" w:hAnsi="Arial" w:cs="Arial"/>
          <w:szCs w:val="28"/>
          <w:lang w:val="uk-UA" w:bidi="uk-UA"/>
        </w:rPr>
      </w:pPr>
      <w:r w:rsidRPr="00511005">
        <w:rPr>
          <w:rFonts w:ascii="Arial" w:eastAsia="Calibri" w:hAnsi="Arial" w:cs="Arial"/>
          <w:b/>
          <w:bCs/>
          <w:szCs w:val="28"/>
        </w:rPr>
        <w:t>Кресін О. В.</w:t>
      </w:r>
      <w:r w:rsidRPr="00511005">
        <w:rPr>
          <w:rFonts w:ascii="Arial" w:eastAsia="Calibri" w:hAnsi="Arial" w:cs="Arial"/>
          <w:szCs w:val="28"/>
        </w:rPr>
        <w:t xml:space="preserve"> Резолюції Генеральної Асамблеї ООН: характер і значення у контексті війни РФ проти України: монографія. Київ: Норма права, 2024. URL: </w:t>
      </w:r>
      <w:hyperlink r:id="rId177" w:history="1">
        <w:r w:rsidRPr="00511005">
          <w:rPr>
            <w:rFonts w:ascii="Arial" w:eastAsia="Calibri" w:hAnsi="Arial" w:cs="Arial"/>
            <w:szCs w:val="28"/>
          </w:rPr>
          <w:t>https://jurkniga.ua/contents/rezolyutsii-generalnoi-asamblei-oon-kharakter-i-znachennya-u-konteksti-viyni-rf-proti-ukraini.pdf</w:t>
        </w:r>
      </w:hyperlink>
      <w:r w:rsidRPr="00511005">
        <w:rPr>
          <w:rFonts w:ascii="Arial" w:eastAsia="Calibri" w:hAnsi="Arial" w:cs="Arial"/>
          <w:szCs w:val="28"/>
        </w:rPr>
        <w:t xml:space="preserve"> (дата звернення: 18 квітня 2025 р.)</w:t>
      </w:r>
    </w:p>
    <w:p w14:paraId="58335D6A" w14:textId="77777777" w:rsidR="00220D3E" w:rsidRPr="00511005" w:rsidRDefault="00220D3E" w:rsidP="000C392A">
      <w:pPr>
        <w:widowControl w:val="0"/>
        <w:numPr>
          <w:ilvl w:val="0"/>
          <w:numId w:val="61"/>
        </w:numPr>
        <w:tabs>
          <w:tab w:val="left" w:pos="709"/>
          <w:tab w:val="left" w:pos="993"/>
          <w:tab w:val="left" w:pos="7088"/>
        </w:tabs>
        <w:autoSpaceDE w:val="0"/>
        <w:autoSpaceDN w:val="0"/>
        <w:adjustRightInd w:val="0"/>
        <w:spacing w:line="264" w:lineRule="auto"/>
        <w:ind w:left="0" w:firstLine="709"/>
        <w:contextualSpacing/>
        <w:jc w:val="left"/>
        <w:rPr>
          <w:rFonts w:ascii="Arial" w:eastAsia="Calibri" w:hAnsi="Arial" w:cs="Arial"/>
          <w:szCs w:val="28"/>
          <w:lang w:val="uk-UA" w:bidi="uk-UA"/>
        </w:rPr>
      </w:pPr>
      <w:r w:rsidRPr="00511005">
        <w:rPr>
          <w:rFonts w:ascii="Arial" w:eastAsia="Calibri" w:hAnsi="Arial" w:cs="Arial"/>
          <w:b/>
          <w:bCs/>
          <w:szCs w:val="28"/>
          <w:lang w:val="uk-UA"/>
        </w:rPr>
        <w:t>Бондаренко Є.В.</w:t>
      </w:r>
      <w:r w:rsidRPr="00511005">
        <w:rPr>
          <w:rFonts w:ascii="Arial" w:eastAsia="Calibri" w:hAnsi="Arial" w:cs="Arial"/>
          <w:szCs w:val="28"/>
          <w:lang w:val="uk-UA"/>
        </w:rPr>
        <w:t xml:space="preserve"> Протидія воєнним злочинам в Україні: міжнародне реагування, відповідальність та шлях до репарацій за порушення, вчинені внаслідок російської агресії. </w:t>
      </w:r>
      <w:r w:rsidRPr="00511005">
        <w:rPr>
          <w:rFonts w:ascii="Arial" w:eastAsia="Calibri" w:hAnsi="Arial" w:cs="Arial"/>
          <w:i/>
          <w:iCs/>
          <w:szCs w:val="28"/>
        </w:rPr>
        <w:t>Науковий вісник Ужгородського національного університету. Серія: Право</w:t>
      </w:r>
      <w:r w:rsidRPr="00511005">
        <w:rPr>
          <w:rFonts w:ascii="Arial" w:eastAsia="Calibri" w:hAnsi="Arial" w:cs="Arial"/>
          <w:szCs w:val="28"/>
        </w:rPr>
        <w:t xml:space="preserve">. 2024. № 85. С. </w:t>
      </w:r>
      <w:r w:rsidRPr="00511005">
        <w:rPr>
          <w:rFonts w:ascii="Arial" w:eastAsia="Calibri" w:hAnsi="Arial" w:cs="Arial"/>
          <w:szCs w:val="28"/>
          <w:lang w:val="uk-UA"/>
        </w:rPr>
        <w:t>215</w:t>
      </w:r>
      <w:r w:rsidRPr="00511005">
        <w:rPr>
          <w:rFonts w:ascii="Arial" w:eastAsia="Calibri" w:hAnsi="Arial" w:cs="Arial"/>
          <w:szCs w:val="28"/>
        </w:rPr>
        <w:t>–</w:t>
      </w:r>
      <w:r w:rsidRPr="00511005">
        <w:rPr>
          <w:rFonts w:ascii="Arial" w:eastAsia="Calibri" w:hAnsi="Arial" w:cs="Arial"/>
          <w:szCs w:val="28"/>
          <w:lang w:val="uk-UA"/>
        </w:rPr>
        <w:t>219</w:t>
      </w:r>
      <w:r w:rsidRPr="00511005">
        <w:rPr>
          <w:rFonts w:ascii="Arial" w:eastAsia="Calibri" w:hAnsi="Arial" w:cs="Arial"/>
          <w:szCs w:val="28"/>
        </w:rPr>
        <w:t>.</w:t>
      </w:r>
      <w:r w:rsidRPr="00511005">
        <w:rPr>
          <w:rFonts w:ascii="Arial" w:eastAsia="Calibri" w:hAnsi="Arial" w:cs="Arial"/>
          <w:szCs w:val="28"/>
        </w:rPr>
        <w:br/>
        <w:t xml:space="preserve">URL: </w:t>
      </w:r>
      <w:hyperlink r:id="rId178" w:history="1">
        <w:r w:rsidRPr="00511005">
          <w:rPr>
            <w:rFonts w:ascii="Arial" w:eastAsia="Calibri" w:hAnsi="Arial" w:cs="Arial"/>
            <w:szCs w:val="28"/>
          </w:rPr>
          <w:t>http://visnyk-pravo.uzhnu.edu.ua/article/view/316054/306744</w:t>
        </w:r>
      </w:hyperlink>
      <w:r w:rsidRPr="00511005">
        <w:rPr>
          <w:rFonts w:ascii="Arial" w:eastAsia="Calibri" w:hAnsi="Arial" w:cs="Arial"/>
          <w:szCs w:val="28"/>
        </w:rPr>
        <w:t xml:space="preserve"> (дата звернення: 18 квітня 2025 р.)</w:t>
      </w:r>
    </w:p>
    <w:p w14:paraId="45938B1E" w14:textId="7D6C64F1" w:rsidR="00220D3E" w:rsidRPr="00511005" w:rsidRDefault="00220D3E" w:rsidP="000C392A">
      <w:pPr>
        <w:widowControl w:val="0"/>
        <w:numPr>
          <w:ilvl w:val="0"/>
          <w:numId w:val="61"/>
        </w:numPr>
        <w:tabs>
          <w:tab w:val="left" w:pos="709"/>
          <w:tab w:val="left" w:pos="993"/>
          <w:tab w:val="left" w:pos="7088"/>
        </w:tabs>
        <w:autoSpaceDE w:val="0"/>
        <w:autoSpaceDN w:val="0"/>
        <w:adjustRightInd w:val="0"/>
        <w:spacing w:line="264" w:lineRule="auto"/>
        <w:ind w:left="0" w:firstLine="709"/>
        <w:contextualSpacing/>
        <w:jc w:val="left"/>
        <w:rPr>
          <w:rFonts w:ascii="Arial" w:eastAsia="Calibri" w:hAnsi="Arial" w:cs="Arial"/>
          <w:szCs w:val="28"/>
          <w:lang w:val="uk-UA" w:bidi="uk-UA"/>
        </w:rPr>
      </w:pPr>
      <w:r w:rsidRPr="00511005">
        <w:rPr>
          <w:rFonts w:ascii="Arial" w:eastAsia="Calibri" w:hAnsi="Arial" w:cs="Arial"/>
          <w:b/>
          <w:bCs/>
          <w:szCs w:val="28"/>
        </w:rPr>
        <w:lastRenderedPageBreak/>
        <w:t>Гриб А. М.</w:t>
      </w:r>
      <w:r w:rsidRPr="00511005">
        <w:rPr>
          <w:rFonts w:ascii="Arial" w:eastAsia="Calibri" w:hAnsi="Arial" w:cs="Arial"/>
          <w:szCs w:val="28"/>
        </w:rPr>
        <w:t xml:space="preserve"> Реалізація механізмів Ради ООН з прав людини в результаті збройної агресії</w:t>
      </w:r>
      <w:r w:rsidR="007B2628" w:rsidRPr="00511005">
        <w:rPr>
          <w:rFonts w:ascii="Arial" w:eastAsia="Calibri" w:hAnsi="Arial" w:cs="Arial"/>
          <w:szCs w:val="28"/>
        </w:rPr>
        <w:t xml:space="preserve"> </w:t>
      </w:r>
      <w:r w:rsidRPr="00511005">
        <w:rPr>
          <w:rFonts w:ascii="Arial" w:eastAsia="Calibri" w:hAnsi="Arial" w:cs="Arial"/>
          <w:szCs w:val="28"/>
        </w:rPr>
        <w:t>РФ проти України.</w:t>
      </w:r>
      <w:r w:rsidR="007B2628" w:rsidRPr="00511005">
        <w:rPr>
          <w:rFonts w:ascii="Arial" w:eastAsia="Calibri" w:hAnsi="Arial" w:cs="Arial"/>
          <w:szCs w:val="28"/>
        </w:rPr>
        <w:t xml:space="preserve"> </w:t>
      </w:r>
      <w:r w:rsidRPr="00511005">
        <w:rPr>
          <w:rFonts w:ascii="Arial" w:eastAsia="Calibri" w:hAnsi="Arial" w:cs="Arial"/>
          <w:i/>
          <w:iCs/>
          <w:szCs w:val="28"/>
        </w:rPr>
        <w:t>Права людини в період збройних конфліктів: Збірник матеріалів Міжнародної науково-практичної конференції</w:t>
      </w:r>
      <w:r w:rsidRPr="00511005">
        <w:rPr>
          <w:rFonts w:ascii="Arial" w:eastAsia="Calibri" w:hAnsi="Arial" w:cs="Arial"/>
          <w:szCs w:val="28"/>
        </w:rPr>
        <w:t>. Одеса: Національний університет «Одеська юридична академія», 2022. С. 305–310.</w:t>
      </w:r>
      <w:r w:rsidRPr="00511005">
        <w:rPr>
          <w:rFonts w:ascii="Arial" w:eastAsia="Calibri" w:hAnsi="Arial" w:cs="Arial"/>
          <w:szCs w:val="28"/>
          <w:lang w:val="uk-UA"/>
        </w:rPr>
        <w:t> </w:t>
      </w:r>
      <w:r w:rsidRPr="00511005">
        <w:rPr>
          <w:rFonts w:ascii="Arial" w:eastAsia="Calibri" w:hAnsi="Arial" w:cs="Arial"/>
          <w:szCs w:val="28"/>
          <w:lang w:val="en-US"/>
        </w:rPr>
        <w:t>URL</w:t>
      </w:r>
      <w:r w:rsidRPr="00511005">
        <w:rPr>
          <w:rFonts w:ascii="Arial" w:eastAsia="Calibri" w:hAnsi="Arial" w:cs="Arial"/>
          <w:szCs w:val="28"/>
        </w:rPr>
        <w:t xml:space="preserve">: </w:t>
      </w:r>
      <w:hyperlink r:id="rId179"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dspace</w:t>
        </w:r>
        <w:r w:rsidRPr="00511005">
          <w:rPr>
            <w:rFonts w:ascii="Arial" w:eastAsia="Calibri" w:hAnsi="Arial" w:cs="Arial"/>
            <w:szCs w:val="28"/>
          </w:rPr>
          <w:t>.</w:t>
        </w:r>
        <w:r w:rsidRPr="00511005">
          <w:rPr>
            <w:rFonts w:ascii="Arial" w:eastAsia="Calibri" w:hAnsi="Arial" w:cs="Arial"/>
            <w:szCs w:val="28"/>
            <w:lang w:val="en-US"/>
          </w:rPr>
          <w:t>onua</w:t>
        </w:r>
        <w:r w:rsidRPr="00511005">
          <w:rPr>
            <w:rFonts w:ascii="Arial" w:eastAsia="Calibri" w:hAnsi="Arial" w:cs="Arial"/>
            <w:szCs w:val="28"/>
          </w:rPr>
          <w:t>.</w:t>
        </w:r>
        <w:r w:rsidRPr="00511005">
          <w:rPr>
            <w:rFonts w:ascii="Arial" w:eastAsia="Calibri" w:hAnsi="Arial" w:cs="Arial"/>
            <w:szCs w:val="28"/>
            <w:lang w:val="en-US"/>
          </w:rPr>
          <w:t>edu</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items</w:t>
        </w:r>
        <w:r w:rsidRPr="00511005">
          <w:rPr>
            <w:rFonts w:ascii="Arial" w:eastAsia="Calibri" w:hAnsi="Arial" w:cs="Arial"/>
            <w:szCs w:val="28"/>
          </w:rPr>
          <w:t>/</w:t>
        </w:r>
        <w:r w:rsidRPr="00511005">
          <w:rPr>
            <w:rFonts w:ascii="Arial" w:eastAsia="Calibri" w:hAnsi="Arial" w:cs="Arial"/>
            <w:szCs w:val="28"/>
            <w:lang w:val="en-US"/>
          </w:rPr>
          <w:t>f</w:t>
        </w:r>
        <w:r w:rsidRPr="00511005">
          <w:rPr>
            <w:rFonts w:ascii="Arial" w:eastAsia="Calibri" w:hAnsi="Arial" w:cs="Arial"/>
            <w:szCs w:val="28"/>
          </w:rPr>
          <w:t>66</w:t>
        </w:r>
        <w:r w:rsidRPr="00511005">
          <w:rPr>
            <w:rFonts w:ascii="Arial" w:eastAsia="Calibri" w:hAnsi="Arial" w:cs="Arial"/>
            <w:szCs w:val="28"/>
            <w:lang w:val="en-US"/>
          </w:rPr>
          <w:t>eece</w:t>
        </w:r>
        <w:r w:rsidRPr="00511005">
          <w:rPr>
            <w:rFonts w:ascii="Arial" w:eastAsia="Calibri" w:hAnsi="Arial" w:cs="Arial"/>
            <w:szCs w:val="28"/>
          </w:rPr>
          <w:t>8-3</w:t>
        </w:r>
        <w:r w:rsidRPr="00511005">
          <w:rPr>
            <w:rFonts w:ascii="Arial" w:eastAsia="Calibri" w:hAnsi="Arial" w:cs="Arial"/>
            <w:szCs w:val="28"/>
            <w:lang w:val="en-US"/>
          </w:rPr>
          <w:t>d</w:t>
        </w:r>
        <w:r w:rsidRPr="00511005">
          <w:rPr>
            <w:rFonts w:ascii="Arial" w:eastAsia="Calibri" w:hAnsi="Arial" w:cs="Arial"/>
            <w:szCs w:val="28"/>
          </w:rPr>
          <w:t>09-4</w:t>
        </w:r>
        <w:r w:rsidRPr="00511005">
          <w:rPr>
            <w:rFonts w:ascii="Arial" w:eastAsia="Calibri" w:hAnsi="Arial" w:cs="Arial"/>
            <w:szCs w:val="28"/>
            <w:lang w:val="en-US"/>
          </w:rPr>
          <w:t>af</w:t>
        </w:r>
        <w:r w:rsidRPr="00511005">
          <w:rPr>
            <w:rFonts w:ascii="Arial" w:eastAsia="Calibri" w:hAnsi="Arial" w:cs="Arial"/>
            <w:szCs w:val="28"/>
          </w:rPr>
          <w:t>7-</w:t>
        </w:r>
        <w:r w:rsidRPr="00511005">
          <w:rPr>
            <w:rFonts w:ascii="Arial" w:eastAsia="Calibri" w:hAnsi="Arial" w:cs="Arial"/>
            <w:szCs w:val="28"/>
            <w:lang w:val="en-US"/>
          </w:rPr>
          <w:t>a</w:t>
        </w:r>
        <w:r w:rsidRPr="00511005">
          <w:rPr>
            <w:rFonts w:ascii="Arial" w:eastAsia="Calibri" w:hAnsi="Arial" w:cs="Arial"/>
            <w:szCs w:val="28"/>
          </w:rPr>
          <w:t>64</w:t>
        </w:r>
        <w:r w:rsidRPr="00511005">
          <w:rPr>
            <w:rFonts w:ascii="Arial" w:eastAsia="Calibri" w:hAnsi="Arial" w:cs="Arial"/>
            <w:szCs w:val="28"/>
            <w:lang w:val="en-US"/>
          </w:rPr>
          <w:t>d</w:t>
        </w:r>
        <w:r w:rsidRPr="00511005">
          <w:rPr>
            <w:rFonts w:ascii="Arial" w:eastAsia="Calibri" w:hAnsi="Arial" w:cs="Arial"/>
            <w:szCs w:val="28"/>
          </w:rPr>
          <w:t>-26</w:t>
        </w:r>
        <w:r w:rsidRPr="00511005">
          <w:rPr>
            <w:rFonts w:ascii="Arial" w:eastAsia="Calibri" w:hAnsi="Arial" w:cs="Arial"/>
            <w:szCs w:val="28"/>
            <w:lang w:val="en-US"/>
          </w:rPr>
          <w:t>c</w:t>
        </w:r>
        <w:r w:rsidRPr="00511005">
          <w:rPr>
            <w:rFonts w:ascii="Arial" w:eastAsia="Calibri" w:hAnsi="Arial" w:cs="Arial"/>
            <w:szCs w:val="28"/>
          </w:rPr>
          <w:t>9</w:t>
        </w:r>
        <w:r w:rsidRPr="00511005">
          <w:rPr>
            <w:rFonts w:ascii="Arial" w:eastAsia="Calibri" w:hAnsi="Arial" w:cs="Arial"/>
            <w:szCs w:val="28"/>
            <w:lang w:val="en-US"/>
          </w:rPr>
          <w:t>e</w:t>
        </w:r>
        <w:r w:rsidRPr="00511005">
          <w:rPr>
            <w:rFonts w:ascii="Arial" w:eastAsia="Calibri" w:hAnsi="Arial" w:cs="Arial"/>
            <w:szCs w:val="28"/>
          </w:rPr>
          <w:t>9</w:t>
        </w:r>
        <w:r w:rsidRPr="00511005">
          <w:rPr>
            <w:rFonts w:ascii="Arial" w:eastAsia="Calibri" w:hAnsi="Arial" w:cs="Arial"/>
            <w:szCs w:val="28"/>
            <w:lang w:val="en-US"/>
          </w:rPr>
          <w:t>b</w:t>
        </w:r>
        <w:r w:rsidRPr="00511005">
          <w:rPr>
            <w:rFonts w:ascii="Arial" w:eastAsia="Calibri" w:hAnsi="Arial" w:cs="Arial"/>
            <w:szCs w:val="28"/>
          </w:rPr>
          <w:t>5</w:t>
        </w:r>
        <w:r w:rsidRPr="00511005">
          <w:rPr>
            <w:rFonts w:ascii="Arial" w:eastAsia="Calibri" w:hAnsi="Arial" w:cs="Arial"/>
            <w:szCs w:val="28"/>
            <w:lang w:val="en-US"/>
          </w:rPr>
          <w:t>e</w:t>
        </w:r>
        <w:r w:rsidRPr="00511005">
          <w:rPr>
            <w:rFonts w:ascii="Arial" w:eastAsia="Calibri" w:hAnsi="Arial" w:cs="Arial"/>
            <w:szCs w:val="28"/>
          </w:rPr>
          <w:t>207</w:t>
        </w:r>
      </w:hyperlink>
      <w:r w:rsidRPr="00511005">
        <w:rPr>
          <w:rFonts w:ascii="Arial" w:eastAsia="Calibri" w:hAnsi="Arial" w:cs="Arial"/>
          <w:szCs w:val="28"/>
          <w:lang w:val="uk-UA"/>
        </w:rPr>
        <w:t xml:space="preserve"> </w:t>
      </w:r>
      <w:r w:rsidRPr="00511005">
        <w:rPr>
          <w:rFonts w:ascii="Arial" w:eastAsia="Calibri" w:hAnsi="Arial" w:cs="Arial"/>
          <w:szCs w:val="28"/>
        </w:rPr>
        <w:t>(дата звернення: 18 квітня 2025 р.)</w:t>
      </w:r>
    </w:p>
    <w:p w14:paraId="484CCF0C" w14:textId="77777777" w:rsidR="00220D3E" w:rsidRPr="00511005" w:rsidRDefault="00220D3E" w:rsidP="000C392A">
      <w:pPr>
        <w:widowControl w:val="0"/>
        <w:numPr>
          <w:ilvl w:val="0"/>
          <w:numId w:val="61"/>
        </w:numPr>
        <w:tabs>
          <w:tab w:val="left" w:pos="709"/>
          <w:tab w:val="left" w:pos="993"/>
          <w:tab w:val="left" w:pos="7088"/>
        </w:tabs>
        <w:autoSpaceDE w:val="0"/>
        <w:autoSpaceDN w:val="0"/>
        <w:adjustRightInd w:val="0"/>
        <w:spacing w:line="264" w:lineRule="auto"/>
        <w:ind w:left="0" w:firstLine="709"/>
        <w:contextualSpacing/>
        <w:jc w:val="left"/>
        <w:rPr>
          <w:rFonts w:ascii="Arial" w:eastAsia="Calibri" w:hAnsi="Arial" w:cs="Arial"/>
          <w:szCs w:val="28"/>
          <w:lang w:val="uk-UA" w:bidi="uk-UA"/>
        </w:rPr>
      </w:pPr>
      <w:r w:rsidRPr="00511005">
        <w:rPr>
          <w:rFonts w:ascii="Arial" w:eastAsia="Calibri" w:hAnsi="Arial" w:cs="Arial"/>
          <w:szCs w:val="28"/>
          <w:lang w:bidi="uk-UA"/>
        </w:rPr>
        <w:t>Іваницька, О. П. "Проблеми й шляхи трансформації ООН у контексті російсько-української війни." </w:t>
      </w:r>
      <w:r w:rsidRPr="00511005">
        <w:rPr>
          <w:rFonts w:ascii="Arial" w:eastAsia="Calibri" w:hAnsi="Arial" w:cs="Arial"/>
          <w:i/>
          <w:iCs/>
          <w:szCs w:val="28"/>
          <w:lang w:bidi="uk-UA"/>
        </w:rPr>
        <w:t>Політичне життя</w:t>
      </w:r>
      <w:r w:rsidRPr="00511005">
        <w:rPr>
          <w:rFonts w:ascii="Arial" w:eastAsia="Calibri" w:hAnsi="Arial" w:cs="Arial"/>
          <w:szCs w:val="28"/>
          <w:lang w:bidi="uk-UA"/>
        </w:rPr>
        <w:t xml:space="preserve"> (2022) </w:t>
      </w:r>
      <w:r w:rsidRPr="00511005">
        <w:rPr>
          <w:rFonts w:ascii="Arial" w:eastAsia="Calibri" w:hAnsi="Arial" w:cs="Arial"/>
          <w:szCs w:val="28"/>
          <w:lang w:val="uk-UA" w:bidi="uk-UA"/>
        </w:rPr>
        <w:t>С.</w:t>
      </w:r>
      <w:r w:rsidRPr="00511005">
        <w:rPr>
          <w:rFonts w:ascii="Arial" w:eastAsia="Calibri" w:hAnsi="Arial" w:cs="Arial"/>
          <w:szCs w:val="28"/>
          <w:lang w:bidi="uk-UA"/>
        </w:rPr>
        <w:t xml:space="preserve"> 120-132.</w:t>
      </w:r>
      <w:r w:rsidRPr="00511005">
        <w:rPr>
          <w:rFonts w:ascii="Arial" w:eastAsia="Calibri" w:hAnsi="Arial" w:cs="Arial"/>
          <w:szCs w:val="28"/>
          <w:lang w:val="uk-UA" w:bidi="uk-UA"/>
        </w:rPr>
        <w:t xml:space="preserve">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80" w:history="1">
        <w:r w:rsidRPr="00511005">
          <w:rPr>
            <w:rFonts w:ascii="Arial" w:eastAsia="Calibri" w:hAnsi="Arial" w:cs="Arial"/>
            <w:szCs w:val="28"/>
            <w:lang w:val="uk-UA"/>
          </w:rPr>
          <w:t>https://jpl.donnu.edu.ua/article/view/12640</w:t>
        </w:r>
      </w:hyperlink>
      <w:r w:rsidRPr="00511005">
        <w:rPr>
          <w:rFonts w:ascii="Arial" w:eastAsia="Calibri" w:hAnsi="Arial" w:cs="Arial"/>
          <w:szCs w:val="28"/>
          <w:lang w:val="uk-UA"/>
        </w:rPr>
        <w:t xml:space="preserve"> (дата звернення: 18 квітня 2025 р.)</w:t>
      </w:r>
    </w:p>
    <w:p w14:paraId="45AFCE55" w14:textId="77777777" w:rsidR="00220D3E" w:rsidRPr="00511005" w:rsidRDefault="00220D3E" w:rsidP="000C392A">
      <w:pPr>
        <w:widowControl w:val="0"/>
        <w:numPr>
          <w:ilvl w:val="0"/>
          <w:numId w:val="61"/>
        </w:numPr>
        <w:tabs>
          <w:tab w:val="left" w:pos="709"/>
          <w:tab w:val="left" w:pos="993"/>
          <w:tab w:val="left" w:pos="7088"/>
        </w:tabs>
        <w:autoSpaceDE w:val="0"/>
        <w:autoSpaceDN w:val="0"/>
        <w:adjustRightInd w:val="0"/>
        <w:spacing w:line="264" w:lineRule="auto"/>
        <w:ind w:left="0" w:firstLine="709"/>
        <w:contextualSpacing/>
        <w:jc w:val="left"/>
        <w:rPr>
          <w:rFonts w:ascii="Arial" w:eastAsia="Calibri" w:hAnsi="Arial" w:cs="Arial"/>
          <w:szCs w:val="28"/>
          <w:lang w:val="uk-UA" w:bidi="uk-UA"/>
        </w:rPr>
      </w:pPr>
      <w:r w:rsidRPr="00511005">
        <w:rPr>
          <w:rFonts w:ascii="Arial" w:eastAsia="Calibri" w:hAnsi="Arial" w:cs="Arial"/>
          <w:szCs w:val="28"/>
          <w:lang w:val="en-US" w:bidi="uk-UA"/>
        </w:rPr>
        <w:t xml:space="preserve">U.S. votes against UN resolution condemning Russia for Ukraine invasion </w:t>
      </w:r>
    </w:p>
    <w:p w14:paraId="1A46FA6B" w14:textId="77777777" w:rsidR="007B2628" w:rsidRPr="00511005" w:rsidRDefault="00220D3E" w:rsidP="003A292D">
      <w:pPr>
        <w:tabs>
          <w:tab w:val="left" w:pos="709"/>
          <w:tab w:val="left" w:pos="993"/>
          <w:tab w:val="left" w:pos="7088"/>
        </w:tabs>
        <w:spacing w:line="264" w:lineRule="auto"/>
        <w:contextualSpacing/>
        <w:rPr>
          <w:rFonts w:ascii="Arial" w:eastAsia="Calibri" w:hAnsi="Arial" w:cs="Arial"/>
          <w:szCs w:val="28"/>
          <w:lang w:val="uk-UA" w:bidi="uk-UA"/>
        </w:rPr>
      </w:pPr>
      <w:r w:rsidRPr="00511005">
        <w:rPr>
          <w:rFonts w:ascii="Arial" w:eastAsia="Calibri" w:hAnsi="Arial" w:cs="Arial"/>
          <w:szCs w:val="28"/>
          <w:lang w:val="en-US"/>
        </w:rPr>
        <w:t>URL</w:t>
      </w:r>
      <w:r w:rsidRPr="00511005">
        <w:rPr>
          <w:rFonts w:ascii="Arial" w:eastAsia="Calibri" w:hAnsi="Arial" w:cs="Arial"/>
          <w:szCs w:val="28"/>
          <w:lang w:val="uk-UA"/>
        </w:rPr>
        <w:t>:</w:t>
      </w:r>
      <w:hyperlink r:id="rId181" w:history="1">
        <w:r w:rsidRPr="00511005">
          <w:rPr>
            <w:rFonts w:ascii="Arial" w:eastAsia="Calibri" w:hAnsi="Arial" w:cs="Arial"/>
            <w:szCs w:val="28"/>
            <w:lang w:val="uk-UA" w:bidi="uk-UA"/>
          </w:rPr>
          <w:t>https://www.axios.com/2025/02/24/ukraine-russia-un-resolution-trump</w:t>
        </w:r>
      </w:hyperlink>
      <w:r w:rsidRPr="00511005">
        <w:rPr>
          <w:rFonts w:ascii="Arial" w:eastAsia="Calibri" w:hAnsi="Arial" w:cs="Arial"/>
          <w:szCs w:val="28"/>
          <w:lang w:val="uk-UA" w:bidi="uk-UA"/>
        </w:rPr>
        <w:t xml:space="preserve"> </w:t>
      </w:r>
      <w:r w:rsidRPr="00511005">
        <w:rPr>
          <w:rFonts w:ascii="Arial" w:eastAsia="Calibri" w:hAnsi="Arial" w:cs="Arial"/>
          <w:szCs w:val="28"/>
          <w:lang w:val="uk-UA"/>
        </w:rPr>
        <w:t>(дата звернення: 18 квітня 2025 р.)</w:t>
      </w:r>
    </w:p>
    <w:p w14:paraId="766BC2C5" w14:textId="5B7205A8" w:rsidR="00220D3E" w:rsidRPr="00511005" w:rsidRDefault="007B2628" w:rsidP="003A292D">
      <w:pPr>
        <w:tabs>
          <w:tab w:val="left" w:pos="142"/>
          <w:tab w:val="left" w:pos="709"/>
          <w:tab w:val="left" w:pos="993"/>
          <w:tab w:val="left" w:pos="7088"/>
        </w:tabs>
        <w:spacing w:line="264" w:lineRule="auto"/>
        <w:rPr>
          <w:rFonts w:ascii="Arial" w:eastAsia="Times New Roman" w:hAnsi="Arial" w:cs="Arial"/>
          <w:szCs w:val="28"/>
          <w:lang w:val="uk-UA" w:eastAsia="ru-RU" w:bidi="uk-UA"/>
        </w:rPr>
      </w:pPr>
      <w:r w:rsidRPr="00511005">
        <w:rPr>
          <w:rFonts w:ascii="Arial" w:eastAsia="Times New Roman" w:hAnsi="Arial" w:cs="Arial"/>
          <w:b/>
          <w:i/>
          <w:iCs/>
          <w:szCs w:val="28"/>
          <w:lang w:val="uk-UA" w:eastAsia="ru-RU"/>
        </w:rPr>
        <w:t xml:space="preserve">Ключові слова: </w:t>
      </w:r>
      <w:r w:rsidR="00220D3E" w:rsidRPr="00511005">
        <w:rPr>
          <w:rFonts w:ascii="Arial" w:eastAsia="Times New Roman" w:hAnsi="Arial" w:cs="Arial"/>
          <w:szCs w:val="28"/>
          <w:lang w:val="uk-UA" w:eastAsia="ru-RU"/>
        </w:rPr>
        <w:t>Організація Об’єднаних Націй, міжнародна організація, російсько-українська війна, Рада Безбеки, Генеральна Асамблея, збройна агресія, резолюція, права людини, міжнародне право, агресор.</w:t>
      </w:r>
    </w:p>
    <w:p w14:paraId="1F1BE433" w14:textId="0D456468" w:rsidR="00220D3E" w:rsidRPr="00511005" w:rsidRDefault="007B2628" w:rsidP="003A292D">
      <w:pPr>
        <w:shd w:val="clear" w:color="auto" w:fill="FFFFFF"/>
        <w:tabs>
          <w:tab w:val="left" w:pos="142"/>
          <w:tab w:val="left" w:pos="709"/>
        </w:tabs>
        <w:spacing w:line="264" w:lineRule="auto"/>
        <w:ind w:right="-5"/>
        <w:rPr>
          <w:rFonts w:ascii="Arial" w:eastAsia="Times New Roman" w:hAnsi="Arial" w:cs="Arial"/>
          <w:szCs w:val="28"/>
          <w:lang w:val="en-US" w:eastAsia="ru-RU"/>
        </w:rPr>
      </w:pPr>
      <w:r w:rsidRPr="00511005">
        <w:rPr>
          <w:rFonts w:ascii="Arial" w:eastAsia="Times New Roman" w:hAnsi="Arial" w:cs="Arial"/>
          <w:b/>
          <w:i/>
          <w:iCs/>
          <w:szCs w:val="28"/>
          <w:lang w:val="en-US" w:eastAsia="ru-RU"/>
        </w:rPr>
        <w:t xml:space="preserve">Key words: </w:t>
      </w:r>
      <w:r w:rsidR="00220D3E" w:rsidRPr="00511005">
        <w:rPr>
          <w:rFonts w:ascii="Arial" w:eastAsia="Times New Roman" w:hAnsi="Arial" w:cs="Arial"/>
          <w:szCs w:val="28"/>
          <w:lang w:val="en-US" w:eastAsia="ru-RU"/>
        </w:rPr>
        <w:t>United Nations</w:t>
      </w:r>
      <w:r w:rsidR="00220D3E" w:rsidRPr="00511005">
        <w:rPr>
          <w:rFonts w:ascii="Arial" w:eastAsia="Times New Roman" w:hAnsi="Arial" w:cs="Arial"/>
          <w:szCs w:val="28"/>
          <w:lang w:val="uk-UA" w:eastAsia="ru-RU"/>
        </w:rPr>
        <w:t xml:space="preserve">, international </w:t>
      </w:r>
      <w:r w:rsidR="00220D3E" w:rsidRPr="00511005">
        <w:rPr>
          <w:rFonts w:ascii="Arial" w:eastAsia="Times New Roman" w:hAnsi="Arial" w:cs="Arial"/>
          <w:szCs w:val="28"/>
          <w:lang w:val="en-US" w:eastAsia="ru-RU"/>
        </w:rPr>
        <w:t>organization</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Russia-Ukraine war</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Security Council</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General Assembly</w:t>
      </w:r>
      <w:r w:rsidR="00220D3E" w:rsidRPr="00511005">
        <w:rPr>
          <w:rFonts w:ascii="Arial" w:eastAsia="Times New Roman" w:hAnsi="Arial" w:cs="Arial"/>
          <w:szCs w:val="28"/>
          <w:lang w:val="uk-UA" w:eastAsia="ru-RU"/>
        </w:rPr>
        <w:t>,</w:t>
      </w:r>
      <w:r w:rsidR="00220D3E" w:rsidRPr="00511005">
        <w:rPr>
          <w:rFonts w:ascii="Arial" w:eastAsia="Times New Roman" w:hAnsi="Arial" w:cs="Arial"/>
          <w:szCs w:val="28"/>
          <w:lang w:val="en-US" w:eastAsia="ru-RU"/>
        </w:rPr>
        <w:t xml:space="preserve"> armed aggression</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resolution, human rights. International law, aggressor.</w:t>
      </w:r>
    </w:p>
    <w:p w14:paraId="0C0E29E9" w14:textId="7BC65F94" w:rsidR="00220D3E" w:rsidRPr="00511005" w:rsidRDefault="007B2628" w:rsidP="003A292D">
      <w:pPr>
        <w:shd w:val="clear" w:color="auto" w:fill="FFFFFF"/>
        <w:tabs>
          <w:tab w:val="left" w:pos="142"/>
          <w:tab w:val="left" w:pos="709"/>
        </w:tabs>
        <w:spacing w:line="264" w:lineRule="auto"/>
        <w:ind w:right="-5"/>
        <w:rPr>
          <w:rFonts w:ascii="Arial" w:eastAsia="Times New Roman" w:hAnsi="Arial" w:cs="Arial"/>
          <w:bCs/>
          <w:i/>
          <w:szCs w:val="28"/>
          <w:lang w:val="uk-UA"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szCs w:val="28"/>
          <w:lang w:val="uk-UA" w:eastAsia="ru-RU"/>
        </w:rPr>
        <w:t>к.ю.н., доцент, доцент Канєнберг-Сандул О.К.</w:t>
      </w:r>
    </w:p>
    <w:p w14:paraId="166A77A9" w14:textId="77777777" w:rsidR="00220D3E" w:rsidRPr="00511005" w:rsidRDefault="00220D3E" w:rsidP="003A292D">
      <w:pPr>
        <w:shd w:val="clear" w:color="auto" w:fill="FFFFFF"/>
        <w:tabs>
          <w:tab w:val="left" w:pos="142"/>
          <w:tab w:val="left" w:pos="709"/>
        </w:tabs>
        <w:spacing w:line="264" w:lineRule="auto"/>
        <w:ind w:right="-5"/>
        <w:rPr>
          <w:rFonts w:ascii="Arial" w:eastAsia="Times New Roman" w:hAnsi="Arial" w:cs="Arial"/>
          <w:b/>
          <w:bCs/>
          <w:szCs w:val="28"/>
          <w:lang w:val="uk-UA" w:eastAsia="ru-RU"/>
        </w:rPr>
      </w:pPr>
    </w:p>
    <w:p w14:paraId="0D7D41B9"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 xml:space="preserve">Bozhko Anastasiia </w:t>
      </w:r>
    </w:p>
    <w:p w14:paraId="194F19F2" w14:textId="77777777" w:rsidR="00220D3E" w:rsidRPr="00511005" w:rsidRDefault="00220D3E" w:rsidP="003A292D">
      <w:pPr>
        <w:tabs>
          <w:tab w:val="left" w:pos="709"/>
        </w:tabs>
        <w:spacing w:line="264" w:lineRule="auto"/>
        <w:jc w:val="center"/>
        <w:rPr>
          <w:rFonts w:ascii="Arial" w:eastAsia="Times New Roman" w:hAnsi="Arial" w:cs="Arial"/>
          <w:szCs w:val="28"/>
          <w:lang w:val="en-US" w:eastAsia="ru-RU"/>
        </w:rPr>
      </w:pPr>
      <w:r w:rsidRPr="00511005">
        <w:rPr>
          <w:rFonts w:ascii="Arial" w:eastAsia="Times New Roman" w:hAnsi="Arial" w:cs="Arial"/>
          <w:szCs w:val="28"/>
          <w:lang w:val="en-US" w:eastAsia="ru-RU"/>
        </w:rPr>
        <w:t>4th year student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faculty of Judicial and International Law</w:t>
      </w:r>
    </w:p>
    <w:p w14:paraId="0AA31430" w14:textId="77777777" w:rsidR="00220D3E" w:rsidRPr="00511005" w:rsidRDefault="00220D3E" w:rsidP="003A292D">
      <w:pPr>
        <w:tabs>
          <w:tab w:val="left" w:pos="709"/>
        </w:tabs>
        <w:spacing w:line="264" w:lineRule="auto"/>
        <w:jc w:val="center"/>
        <w:rPr>
          <w:rFonts w:ascii="Arial" w:eastAsia="Times New Roman" w:hAnsi="Arial" w:cs="Arial"/>
          <w:i/>
          <w:iCs/>
          <w:szCs w:val="28"/>
          <w:lang w:val="uk-UA" w:eastAsia="ru-RU"/>
        </w:rPr>
      </w:pPr>
      <w:r w:rsidRPr="00511005">
        <w:rPr>
          <w:rFonts w:ascii="Arial" w:eastAsia="Times New Roman" w:hAnsi="Arial" w:cs="Arial"/>
          <w:szCs w:val="28"/>
          <w:lang w:val="en-US" w:eastAsia="ru-RU"/>
        </w:rPr>
        <w:t>National University</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Odesa Law Academy</w:t>
      </w:r>
      <w:r w:rsidRPr="00511005">
        <w:rPr>
          <w:rFonts w:ascii="Arial" w:eastAsia="Times New Roman" w:hAnsi="Arial" w:cs="Arial"/>
          <w:szCs w:val="28"/>
          <w:lang w:val="uk-UA" w:eastAsia="ru-RU"/>
        </w:rPr>
        <w:t>»</w:t>
      </w:r>
    </w:p>
    <w:p w14:paraId="2D4A1C8D" w14:textId="77777777" w:rsidR="00220D3E" w:rsidRPr="00511005" w:rsidRDefault="00220D3E" w:rsidP="003A292D">
      <w:pPr>
        <w:tabs>
          <w:tab w:val="left" w:pos="709"/>
        </w:tabs>
        <w:spacing w:line="264" w:lineRule="auto"/>
        <w:jc w:val="center"/>
        <w:rPr>
          <w:rFonts w:ascii="Arial" w:eastAsia="Times New Roman" w:hAnsi="Arial" w:cs="Arial"/>
          <w:i/>
          <w:iCs/>
          <w:szCs w:val="28"/>
          <w:lang w:val="en-US" w:eastAsia="ru-RU"/>
        </w:rPr>
      </w:pPr>
    </w:p>
    <w:p w14:paraId="0F362006"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 xml:space="preserve">THE PRACTICE OF THE EUROPEAN COURT OF HUMAN RIGHTS ON THE RIGHT TO A FAIR TRIAL AND TO AN EFFECTIVE REMEDY (CASES </w:t>
      </w:r>
      <w:r w:rsidRPr="00511005">
        <w:rPr>
          <w:rFonts w:ascii="Arial" w:eastAsia="Times New Roman" w:hAnsi="Arial" w:cs="Arial"/>
          <w:b/>
          <w:bCs/>
          <w:szCs w:val="28"/>
          <w:lang w:val="uk-UA" w:eastAsia="ru-RU"/>
        </w:rPr>
        <w:t>«</w:t>
      </w:r>
      <w:r w:rsidRPr="00511005">
        <w:rPr>
          <w:rFonts w:ascii="Arial" w:eastAsia="Times New Roman" w:hAnsi="Arial" w:cs="Arial"/>
          <w:b/>
          <w:bCs/>
          <w:szCs w:val="28"/>
          <w:lang w:val="en-US" w:eastAsia="ru-RU"/>
        </w:rPr>
        <w:t>OLEKSANDR VOLKOV V. UKRAINE</w:t>
      </w:r>
      <w:r w:rsidRPr="00511005">
        <w:rPr>
          <w:rFonts w:ascii="Arial" w:eastAsia="Times New Roman" w:hAnsi="Arial" w:cs="Arial"/>
          <w:b/>
          <w:bCs/>
          <w:szCs w:val="28"/>
          <w:lang w:val="uk-UA" w:eastAsia="ru-RU"/>
        </w:rPr>
        <w:t>»</w:t>
      </w:r>
      <w:r w:rsidRPr="00511005">
        <w:rPr>
          <w:rFonts w:ascii="Arial" w:eastAsia="Times New Roman" w:hAnsi="Arial" w:cs="Arial"/>
          <w:b/>
          <w:bCs/>
          <w:szCs w:val="28"/>
          <w:lang w:val="en-US" w:eastAsia="ru-RU"/>
        </w:rPr>
        <w:t xml:space="preserve"> AND </w:t>
      </w:r>
      <w:r w:rsidRPr="00511005">
        <w:rPr>
          <w:rFonts w:ascii="Arial" w:eastAsia="Times New Roman" w:hAnsi="Arial" w:cs="Arial"/>
          <w:b/>
          <w:bCs/>
          <w:szCs w:val="28"/>
          <w:lang w:val="uk-UA" w:eastAsia="ru-RU"/>
        </w:rPr>
        <w:t>«</w:t>
      </w:r>
      <w:r w:rsidRPr="00511005">
        <w:rPr>
          <w:rFonts w:ascii="Arial" w:eastAsia="Times New Roman" w:hAnsi="Arial" w:cs="Arial"/>
          <w:b/>
          <w:bCs/>
          <w:szCs w:val="28"/>
          <w:lang w:val="en-US" w:eastAsia="ru-RU"/>
        </w:rPr>
        <w:t>BURMYCH AND OTHERS V. UKRAINE</w:t>
      </w:r>
      <w:r w:rsidRPr="00511005">
        <w:rPr>
          <w:rFonts w:ascii="Arial" w:eastAsia="Times New Roman" w:hAnsi="Arial" w:cs="Arial"/>
          <w:b/>
          <w:bCs/>
          <w:szCs w:val="28"/>
          <w:lang w:val="uk-UA" w:eastAsia="ru-RU"/>
        </w:rPr>
        <w:t>»</w:t>
      </w:r>
      <w:r w:rsidRPr="00511005">
        <w:rPr>
          <w:rFonts w:ascii="Arial" w:eastAsia="Times New Roman" w:hAnsi="Arial" w:cs="Arial"/>
          <w:b/>
          <w:bCs/>
          <w:szCs w:val="28"/>
          <w:lang w:val="en-US" w:eastAsia="ru-RU"/>
        </w:rPr>
        <w:t>)</w:t>
      </w:r>
    </w:p>
    <w:p w14:paraId="2A772EA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right to a fair trial and the right to an effective remedy are key guarantees enshrined in the articles of the European Convention on Human Rights [1]. According to Article 6 of the ECHR, everyone has the right to a fair and public hearing by an independent and impartial tribunal, and Article 13 guarantees the right to an effective remedy. These provisions ensure that everyone has the right to an independent and impartial tribunal and to an effective remedy for violations of their rights.</w:t>
      </w:r>
    </w:p>
    <w:p w14:paraId="394526B7"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The European Court of Human Rights (ECHR) is considering a large number of cases against Ukraine, which indicates the presence of systemic problems in the functioning of the national judicial system. Particularly indicative </w:t>
      </w:r>
      <w:r w:rsidRPr="00511005">
        <w:rPr>
          <w:rFonts w:ascii="Arial" w:eastAsia="Times New Roman" w:hAnsi="Arial" w:cs="Arial"/>
          <w:szCs w:val="28"/>
          <w:lang w:val="en-US" w:eastAsia="ru-RU"/>
        </w:rPr>
        <w:lastRenderedPageBreak/>
        <w:t>for Ukraine are the cases of Oleksandr Volkov v. Ukraine [2] and Burmych and Others v. Ukraine [3], which revealed systemic problems in the Ukrainian judicial system and the mechanisms for enforcing court decisions.</w:t>
      </w:r>
    </w:p>
    <w:p w14:paraId="2CEB0BDB"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In the case of Oleksandr Volkov v. Ukraine [2], a judge of the Supreme Court of Ukraine, Oleksandr Volkov, was dismissed from his position by a decision of the High Council of Justice. The dismissal took place in violation of the constitutional and procedural procedure, which called into question the legality of the actions of state bodies. The ECHR found a violation of several points of Article 6 of the Convention [1], namely, a violation of the principle of independence and impartiality of the court, a violation of the principle of legal certainty, a violation of the right to a fair trial and the lack of effective judicial control. At the same time, a violation of Article 8 was found - the right to respect for private and family life. The peculiarity of this case was that for the first time the ECHR obliged the state to reinstate an illegally dismissed judge. This decision also revealed serious systemic shortcomings in the legislation of Ukraine regarding the judiciary and the status of judges, in particular:</w:t>
      </w:r>
    </w:p>
    <w:p w14:paraId="50328E13" w14:textId="77777777" w:rsidR="00220D3E" w:rsidRPr="00511005" w:rsidRDefault="00220D3E" w:rsidP="000C392A">
      <w:pPr>
        <w:numPr>
          <w:ilvl w:val="0"/>
          <w:numId w:val="63"/>
        </w:numPr>
        <w:pBdr>
          <w:top w:val="nil"/>
          <w:left w:val="nil"/>
          <w:bottom w:val="nil"/>
          <w:right w:val="nil"/>
          <w:between w:val="nil"/>
          <w:bar w:val="nil"/>
        </w:pBdr>
        <w:tabs>
          <w:tab w:val="left" w:pos="709"/>
        </w:tabs>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problems with the formation of judicial governance bodies;</w:t>
      </w:r>
    </w:p>
    <w:p w14:paraId="3E814D9D" w14:textId="77777777" w:rsidR="00220D3E" w:rsidRPr="00511005" w:rsidRDefault="00220D3E" w:rsidP="000C392A">
      <w:pPr>
        <w:numPr>
          <w:ilvl w:val="0"/>
          <w:numId w:val="63"/>
        </w:numPr>
        <w:pBdr>
          <w:top w:val="nil"/>
          <w:left w:val="nil"/>
          <w:bottom w:val="nil"/>
          <w:right w:val="nil"/>
          <w:between w:val="nil"/>
          <w:bar w:val="nil"/>
        </w:pBdr>
        <w:tabs>
          <w:tab w:val="left" w:pos="709"/>
        </w:tabs>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lack of clear criteria for disciplinary liability of judges;</w:t>
      </w:r>
    </w:p>
    <w:p w14:paraId="018B4A4B" w14:textId="77777777" w:rsidR="00220D3E" w:rsidRPr="00511005" w:rsidRDefault="00220D3E" w:rsidP="000C392A">
      <w:pPr>
        <w:numPr>
          <w:ilvl w:val="0"/>
          <w:numId w:val="63"/>
        </w:numPr>
        <w:pBdr>
          <w:top w:val="nil"/>
          <w:left w:val="nil"/>
          <w:bottom w:val="nil"/>
          <w:right w:val="nil"/>
          <w:between w:val="nil"/>
          <w:bar w:val="nil"/>
        </w:pBdr>
        <w:tabs>
          <w:tab w:val="left" w:pos="709"/>
        </w:tabs>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excessive political influence on the judicial system;</w:t>
      </w:r>
    </w:p>
    <w:p w14:paraId="57ADD2F2" w14:textId="77777777" w:rsidR="00220D3E" w:rsidRPr="00511005" w:rsidRDefault="00220D3E" w:rsidP="000C392A">
      <w:pPr>
        <w:numPr>
          <w:ilvl w:val="0"/>
          <w:numId w:val="63"/>
        </w:numPr>
        <w:pBdr>
          <w:top w:val="nil"/>
          <w:left w:val="nil"/>
          <w:bottom w:val="nil"/>
          <w:right w:val="nil"/>
          <w:between w:val="nil"/>
          <w:bar w:val="nil"/>
        </w:pBdr>
        <w:tabs>
          <w:tab w:val="left" w:pos="709"/>
        </w:tabs>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ineffectiveness of judicial control over decisions regarding judicial careers.</w:t>
      </w:r>
    </w:p>
    <w:p w14:paraId="4282747E"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The case of Oleksandr Volkov v. Ukraine became a real catalyst for judicial reform in Ukraine, which led to changes in legislation, in particular in the Constitution of Ukraine and the Law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On the Judiciary and the Status of Judges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w:t>
      </w:r>
    </w:p>
    <w:p w14:paraId="21BBDE44"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An equally important case in this context is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Burmych and Others v. Ukraine</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[3], which brought together over 12,000 applications concerning the non-enforcement of decisions of Ukrainian courts. This case concerned the non-enforcement or prolonged enforcement of decisions of domestic courts of Ukraine. It is also important to note that all applications repeated the circumstances of the previously considered case of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Ivanov v. Ukraine</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(2009) [4], in which the ECHR recognized the existence of a structural problem with the enforcement of domestic court decisions.</w:t>
      </w:r>
    </w:p>
    <w:p w14:paraId="3F4A9E09"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Thus, the Burmych case was of a special nature, not only in that it was aimed at solving the problem of systematic non-enforcement of decisions of Ukrainian courts, but also in that it highlighted the shortcomings that had already been recognized by the ECtHR in the pilot decision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Yuriy Mykolayovych Ivanov v. Ukraine</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in 2009 [4]. The Court effectively confirmed that this violation in Ukraine is a manifestation of the ineffectiveness of domestic legal mechanisms. Later, in the judgment in the case of Burmych and Others v. Ukraine, the Court:</w:t>
      </w:r>
    </w:p>
    <w:p w14:paraId="2C9D961D"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consolidated 12143 applications against Ukraine related to non-enforcement of domestic court decisions;</w:t>
      </w:r>
    </w:p>
    <w:p w14:paraId="34949E0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 removed these applications from the register of cases of the ECHR and transferred them to the Committee of Ministers of the Council of Europe for enforcement within the framework of general measures under the judgment in the case of Ivanov v. Ukraine;</w:t>
      </w:r>
    </w:p>
    <w:p w14:paraId="447EE43B" w14:textId="0317A0F9"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acknowledged the systemic problem of unfair trials due to non-enforcement of domestic court decisions, indicating that Ukraine has not resolved this problem for a long time.</w:t>
      </w:r>
    </w:p>
    <w:p w14:paraId="3C8713E6" w14:textId="0C4E90E0" w:rsidR="00DA46A4" w:rsidRPr="00511005" w:rsidRDefault="00DA46A4"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i/>
          <w:szCs w:val="28"/>
          <w:lang w:val="en-US" w:eastAsia="ru-RU"/>
        </w:rPr>
        <w:t>The main problems identified by the ECHR were the lack of effective remedies, budgetary constraints and the inefficiency of the state enforcement service.</w:t>
      </w:r>
    </w:p>
    <w:p w14:paraId="6CEBC8ED" w14:textId="2A0B8580" w:rsidR="00DA46A4" w:rsidRPr="00511005" w:rsidRDefault="00DA46A4"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i/>
          <w:szCs w:val="28"/>
          <w:lang w:val="en-US" w:eastAsia="ru-RU"/>
        </w:rPr>
        <w:t>Summarizing the above analysis, it should be noted that these cases are critically important for understanding the real state of human rights implementation in Ukraine. They demonstrated that the Ukrainian state has significant shortcomings in ensuring the independence of the judiciary, the observance of justice and the implementation of court decisions. The Volkov case highlighted political influence on the judiciary and abuse in disciplinary proceedings, while the Burmych case highlighted the chronic failure to ensure the implementation of decisions, which undermines trust in justice as such</w:t>
      </w:r>
      <w:r w:rsidRPr="00511005">
        <w:rPr>
          <w:rFonts w:ascii="Arial" w:eastAsia="Times New Roman" w:hAnsi="Arial" w:cs="Arial"/>
          <w:i/>
          <w:szCs w:val="28"/>
          <w:lang w:val="uk-UA" w:eastAsia="ru-RU"/>
        </w:rPr>
        <w:t>.</w:t>
      </w:r>
    </w:p>
    <w:p w14:paraId="7B7AC15C" w14:textId="49771A45" w:rsidR="00DA46A4" w:rsidRPr="00511005" w:rsidRDefault="00DA46A4"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i/>
          <w:szCs w:val="28"/>
          <w:lang w:val="en-US" w:eastAsia="ru-RU"/>
        </w:rPr>
        <w:t>Thus, the ECHR’s case practice in these cases became a catalyst for reforming the Ukrainian judicial system and remedies. It also clearly outlined the state’s obligation to guarantee the effective functioning of the legal system and the proper protection of human rights in accordance with European standards.</w:t>
      </w:r>
    </w:p>
    <w:p w14:paraId="33EBB5CD" w14:textId="7937ACF1" w:rsidR="00220D3E" w:rsidRPr="00511005" w:rsidRDefault="00220D3E" w:rsidP="003A292D">
      <w:pPr>
        <w:tabs>
          <w:tab w:val="left" w:pos="709"/>
        </w:tabs>
        <w:spacing w:line="264" w:lineRule="auto"/>
        <w:contextualSpacing/>
        <w:jc w:val="center"/>
        <w:rPr>
          <w:rFonts w:ascii="Arial" w:eastAsia="Calibri" w:hAnsi="Arial" w:cs="Arial"/>
          <w:b/>
          <w:bCs/>
          <w:szCs w:val="28"/>
          <w:u w:color="161615"/>
        </w:rPr>
      </w:pPr>
      <w:r w:rsidRPr="00511005">
        <w:rPr>
          <w:rFonts w:ascii="Arial" w:eastAsia="Calibri" w:hAnsi="Arial" w:cs="Arial"/>
          <w:b/>
          <w:bCs/>
          <w:szCs w:val="28"/>
          <w:u w:color="161615"/>
        </w:rPr>
        <w:t>References</w:t>
      </w:r>
    </w:p>
    <w:p w14:paraId="67F29E9F" w14:textId="174D88BA" w:rsidR="00DA46A4" w:rsidRPr="00055389" w:rsidRDefault="00DA46A4" w:rsidP="003F6A5D">
      <w:pPr>
        <w:pStyle w:val="af0"/>
        <w:numPr>
          <w:ilvl w:val="0"/>
          <w:numId w:val="810"/>
        </w:numPr>
        <w:tabs>
          <w:tab w:val="left" w:pos="709"/>
        </w:tabs>
        <w:spacing w:line="264" w:lineRule="auto"/>
        <w:rPr>
          <w:rFonts w:ascii="Arial" w:eastAsia="Times New Roman" w:hAnsi="Arial" w:cs="Arial"/>
          <w:iCs/>
          <w:szCs w:val="28"/>
          <w:u w:color="161615"/>
          <w:lang w:val="en-US"/>
        </w:rPr>
      </w:pPr>
      <w:r w:rsidRPr="00511005">
        <w:rPr>
          <w:rFonts w:ascii="Arial" w:eastAsia="Times New Roman" w:hAnsi="Arial" w:cs="Arial"/>
          <w:iCs/>
          <w:szCs w:val="28"/>
          <w:lang w:val="en-US" w:eastAsia="ru-RU"/>
        </w:rPr>
        <w:t xml:space="preserve">The Convention for the Protection of Human Rights and Fundamental Freedoms URL: </w:t>
      </w:r>
      <w:hyperlink r:id="rId182" w:history="1">
        <w:r w:rsidRPr="00511005">
          <w:rPr>
            <w:rFonts w:ascii="Arial" w:eastAsia="Times New Roman" w:hAnsi="Arial" w:cs="Arial"/>
            <w:b/>
            <w:iCs/>
            <w:szCs w:val="28"/>
            <w:u w:color="0563C1"/>
            <w:lang w:val="en-US" w:eastAsia="ru-RU"/>
          </w:rPr>
          <w:t>https://surl.lu/mfztkf</w:t>
        </w:r>
      </w:hyperlink>
      <w:r w:rsidRPr="00511005">
        <w:rPr>
          <w:rFonts w:ascii="Arial" w:eastAsia="Times New Roman" w:hAnsi="Arial" w:cs="Arial"/>
          <w:iCs/>
          <w:szCs w:val="28"/>
          <w:lang w:val="en-US" w:eastAsia="ru-RU"/>
        </w:rPr>
        <w:t xml:space="preserve"> (accessed: 04.05.2025)</w:t>
      </w:r>
    </w:p>
    <w:p w14:paraId="14830FF4" w14:textId="7A6E254D" w:rsidR="00DA46A4" w:rsidRPr="00055389" w:rsidRDefault="00DA46A4" w:rsidP="003F6A5D">
      <w:pPr>
        <w:pStyle w:val="af0"/>
        <w:numPr>
          <w:ilvl w:val="0"/>
          <w:numId w:val="810"/>
        </w:numPr>
        <w:tabs>
          <w:tab w:val="left" w:pos="709"/>
        </w:tabs>
        <w:spacing w:line="264" w:lineRule="auto"/>
        <w:rPr>
          <w:rFonts w:ascii="Arial" w:eastAsia="Times New Roman" w:hAnsi="Arial" w:cs="Arial"/>
          <w:iCs/>
          <w:szCs w:val="28"/>
          <w:u w:color="161615"/>
          <w:lang w:val="en-US"/>
        </w:rPr>
      </w:pPr>
      <w:r w:rsidRPr="00511005">
        <w:rPr>
          <w:rFonts w:ascii="Arial" w:eastAsia="Times New Roman" w:hAnsi="Arial" w:cs="Arial"/>
          <w:iCs/>
          <w:szCs w:val="28"/>
          <w:lang w:val="en-US" w:eastAsia="ru-RU"/>
        </w:rPr>
        <w:t xml:space="preserve">Case of Oleksandr Volkov v. Ukraine: judgment of the European Court of Human Rights (ECHR), </w:t>
      </w:r>
      <w:r w:rsidRPr="00511005">
        <w:rPr>
          <w:rFonts w:ascii="Arial" w:eastAsia="Times New Roman" w:hAnsi="Arial" w:cs="Arial"/>
          <w:iCs/>
          <w:szCs w:val="28"/>
          <w:lang w:val="uk-UA" w:eastAsia="ru-RU"/>
        </w:rPr>
        <w:t xml:space="preserve">6 </w:t>
      </w:r>
      <w:r w:rsidRPr="00511005">
        <w:rPr>
          <w:rFonts w:ascii="Arial" w:eastAsia="Times New Roman" w:hAnsi="Arial" w:cs="Arial"/>
          <w:iCs/>
          <w:szCs w:val="28"/>
          <w:lang w:val="en-US" w:eastAsia="ru-RU"/>
        </w:rPr>
        <w:t>Feb. 201</w:t>
      </w:r>
      <w:r w:rsidRPr="00511005">
        <w:rPr>
          <w:rFonts w:ascii="Arial" w:eastAsia="Times New Roman" w:hAnsi="Arial" w:cs="Arial"/>
          <w:iCs/>
          <w:szCs w:val="28"/>
          <w:lang w:val="uk-UA" w:eastAsia="ru-RU"/>
        </w:rPr>
        <w:t>8</w:t>
      </w:r>
      <w:r w:rsidRPr="00511005">
        <w:rPr>
          <w:rFonts w:ascii="Arial" w:eastAsia="Times New Roman" w:hAnsi="Arial" w:cs="Arial"/>
          <w:iCs/>
          <w:szCs w:val="28"/>
          <w:lang w:val="en-US" w:eastAsia="ru-RU"/>
        </w:rPr>
        <w:t xml:space="preserve">, application no. 21722/11 URL: </w:t>
      </w:r>
      <w:hyperlink r:id="rId183" w:history="1">
        <w:r w:rsidRPr="00511005">
          <w:rPr>
            <w:rFonts w:ascii="Arial" w:eastAsia="Times New Roman" w:hAnsi="Arial" w:cs="Arial"/>
            <w:b/>
            <w:iCs/>
            <w:szCs w:val="28"/>
            <w:u w:color="0563C1"/>
            <w:lang w:val="en-US" w:eastAsia="ru-RU"/>
          </w:rPr>
          <w:t>https://surl.li/dendyp</w:t>
        </w:r>
      </w:hyperlink>
      <w:r w:rsidRPr="00511005">
        <w:rPr>
          <w:rFonts w:ascii="Arial" w:eastAsia="Times New Roman" w:hAnsi="Arial" w:cs="Arial"/>
          <w:iCs/>
          <w:szCs w:val="28"/>
          <w:lang w:val="en-US" w:eastAsia="ru-RU"/>
        </w:rPr>
        <w:t xml:space="preserve"> (accessed: 04.05.2025)</w:t>
      </w:r>
    </w:p>
    <w:p w14:paraId="6E9A0750" w14:textId="48F63C93" w:rsidR="00DA46A4" w:rsidRPr="00511005" w:rsidRDefault="00DA46A4" w:rsidP="003F6A5D">
      <w:pPr>
        <w:pStyle w:val="af0"/>
        <w:numPr>
          <w:ilvl w:val="0"/>
          <w:numId w:val="810"/>
        </w:numPr>
        <w:tabs>
          <w:tab w:val="left" w:pos="709"/>
        </w:tabs>
        <w:spacing w:line="264" w:lineRule="auto"/>
        <w:rPr>
          <w:rFonts w:ascii="Arial" w:eastAsia="Times New Roman" w:hAnsi="Arial" w:cs="Arial"/>
          <w:iCs/>
          <w:szCs w:val="28"/>
          <w:u w:color="161615"/>
        </w:rPr>
      </w:pPr>
      <w:r w:rsidRPr="00511005">
        <w:rPr>
          <w:rFonts w:ascii="Arial" w:eastAsia="Times New Roman" w:hAnsi="Arial" w:cs="Arial"/>
          <w:iCs/>
          <w:szCs w:val="28"/>
          <w:lang w:val="en-US" w:eastAsia="ru-RU"/>
        </w:rPr>
        <w:t xml:space="preserve">Case of Burmych and others v. Ukraine: judgment of the European Court of Human Rights (ECHR), 12 Oct. 2017, applications nos. 46852/13 et al. URL: </w:t>
      </w:r>
      <w:hyperlink r:id="rId184" w:history="1">
        <w:r w:rsidRPr="00511005">
          <w:rPr>
            <w:rFonts w:ascii="Arial" w:eastAsia="Times New Roman" w:hAnsi="Arial" w:cs="Arial"/>
            <w:b/>
            <w:iCs/>
            <w:szCs w:val="28"/>
            <w:u w:color="0563C1"/>
            <w:lang w:val="en-US" w:eastAsia="ru-RU"/>
          </w:rPr>
          <w:t>https://surl.li/eadaiu</w:t>
        </w:r>
      </w:hyperlink>
      <w:r w:rsidRPr="00511005">
        <w:rPr>
          <w:rFonts w:ascii="Arial" w:eastAsia="Times New Roman" w:hAnsi="Arial" w:cs="Arial"/>
          <w:iCs/>
          <w:szCs w:val="28"/>
          <w:lang w:val="en-US" w:eastAsia="ru-RU"/>
        </w:rPr>
        <w:t xml:space="preserve"> (accessed: 04.05.2025)</w:t>
      </w:r>
    </w:p>
    <w:p w14:paraId="297EA693" w14:textId="3FC5D8E6" w:rsidR="00DA46A4" w:rsidRPr="00055389" w:rsidRDefault="00DA46A4" w:rsidP="003F6A5D">
      <w:pPr>
        <w:pStyle w:val="af0"/>
        <w:numPr>
          <w:ilvl w:val="0"/>
          <w:numId w:val="810"/>
        </w:numPr>
        <w:tabs>
          <w:tab w:val="left" w:pos="709"/>
        </w:tabs>
        <w:spacing w:line="264" w:lineRule="auto"/>
        <w:rPr>
          <w:rFonts w:ascii="Arial" w:eastAsia="Times New Roman" w:hAnsi="Arial" w:cs="Arial"/>
          <w:iCs/>
          <w:szCs w:val="28"/>
          <w:u w:color="161615"/>
          <w:lang w:val="en-US"/>
        </w:rPr>
      </w:pPr>
      <w:r w:rsidRPr="00511005">
        <w:rPr>
          <w:rFonts w:ascii="Arial" w:eastAsia="Times New Roman" w:hAnsi="Arial" w:cs="Arial"/>
          <w:iCs/>
          <w:szCs w:val="28"/>
          <w:lang w:val="en-US" w:eastAsia="ru-RU"/>
        </w:rPr>
        <w:t xml:space="preserve">Case of Yuriy Nikolayevich Ivanov v. Ukraine: judgment of the European Court of Human Rights (ECHR), 15 Oct. 2009, application no. 40450/04 URL: </w:t>
      </w:r>
      <w:hyperlink r:id="rId185" w:history="1">
        <w:r w:rsidRPr="00511005">
          <w:rPr>
            <w:rFonts w:ascii="Arial" w:eastAsia="Times New Roman" w:hAnsi="Arial" w:cs="Arial"/>
            <w:b/>
            <w:iCs/>
            <w:szCs w:val="28"/>
            <w:u w:color="0563C1"/>
            <w:lang w:val="en-US" w:eastAsia="ru-RU"/>
          </w:rPr>
          <w:t>https://surl.li/xyaloq</w:t>
        </w:r>
      </w:hyperlink>
      <w:r w:rsidRPr="00511005">
        <w:rPr>
          <w:rFonts w:ascii="Arial" w:eastAsia="Times New Roman" w:hAnsi="Arial" w:cs="Arial"/>
          <w:iCs/>
          <w:szCs w:val="28"/>
          <w:lang w:val="en-US" w:eastAsia="ru-RU"/>
        </w:rPr>
        <w:t xml:space="preserve"> (accessed: 04.05.2025)</w:t>
      </w:r>
    </w:p>
    <w:p w14:paraId="4A777754" w14:textId="562CC8BD" w:rsidR="00DA46A4" w:rsidRPr="00511005" w:rsidRDefault="007B2628" w:rsidP="00DA46A4">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DA46A4" w:rsidRPr="00511005">
        <w:rPr>
          <w:rFonts w:ascii="Arial" w:eastAsia="Times New Roman" w:hAnsi="Arial" w:cs="Arial"/>
          <w:szCs w:val="28"/>
          <w:lang w:val="uk-UA" w:eastAsia="ru-RU"/>
        </w:rPr>
        <w:t>Європейський суд з прав людини (ЄСПЛ), право на справедливий суд, право на ефективний засіб юридичного захисту, судова реформа, незалежність судової влади, системні проблеми, органи судового врядування.</w:t>
      </w:r>
    </w:p>
    <w:p w14:paraId="6BAA5D0A" w14:textId="3BF093EA" w:rsidR="00DA46A4" w:rsidRPr="00511005" w:rsidRDefault="007B2628" w:rsidP="00DA46A4">
      <w:pPr>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DA46A4" w:rsidRPr="00511005">
        <w:rPr>
          <w:rFonts w:ascii="Arial" w:eastAsia="Times New Roman" w:hAnsi="Arial" w:cs="Arial"/>
          <w:szCs w:val="28"/>
          <w:lang w:val="en-US" w:eastAsia="ru-RU"/>
        </w:rPr>
        <w:t>European Court of Human Rights (ECHR), right to a fair trial, right to an effective remedy, judicial reform, independence of judiciary, systemic problems, judicial governance bodies.</w:t>
      </w:r>
    </w:p>
    <w:p w14:paraId="69E63A3F" w14:textId="7C96BCBB" w:rsidR="00DA46A4" w:rsidRPr="00511005" w:rsidRDefault="006C2EDA" w:rsidP="00DA46A4">
      <w:pPr>
        <w:spacing w:line="264" w:lineRule="auto"/>
        <w:rPr>
          <w:rFonts w:ascii="Arial" w:eastAsia="Times New Roman" w:hAnsi="Arial" w:cs="Arial"/>
          <w:szCs w:val="28"/>
          <w:lang w:val="en-US" w:eastAsia="ru-RU"/>
        </w:rPr>
      </w:pPr>
      <w:r w:rsidRPr="006C2EDA">
        <w:rPr>
          <w:rFonts w:ascii="Arial" w:eastAsia="Times New Roman" w:hAnsi="Arial" w:cs="Arial"/>
          <w:b/>
          <w:bCs/>
          <w:i/>
          <w:iCs/>
          <w:szCs w:val="28"/>
          <w:lang w:val="en-US" w:eastAsia="ru-RU"/>
        </w:rPr>
        <w:t xml:space="preserve">Academic supervisor: </w:t>
      </w:r>
      <w:r w:rsidR="00DA46A4" w:rsidRPr="00511005">
        <w:rPr>
          <w:rFonts w:ascii="Arial" w:eastAsia="Times New Roman" w:hAnsi="Arial" w:cs="Arial"/>
          <w:i/>
          <w:iCs/>
          <w:szCs w:val="28"/>
          <w:lang w:val="en-US" w:eastAsia="ru-RU"/>
        </w:rPr>
        <w:t>PhD in Law, Associate Professor Dronov V.</w:t>
      </w:r>
    </w:p>
    <w:p w14:paraId="5DF04A2F"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p>
    <w:p w14:paraId="665AD90B"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en-US" w:eastAsia="ru-RU"/>
        </w:rPr>
      </w:pPr>
      <w:r w:rsidRPr="00511005">
        <w:rPr>
          <w:rFonts w:ascii="Arial" w:eastAsia="Times New Roman" w:hAnsi="Arial" w:cs="Arial"/>
          <w:b/>
          <w:bCs/>
          <w:i/>
          <w:iCs/>
          <w:szCs w:val="28"/>
          <w:lang w:val="en-US" w:eastAsia="ru-RU"/>
        </w:rPr>
        <w:t>Baskakova Anna</w:t>
      </w:r>
    </w:p>
    <w:p w14:paraId="46457162" w14:textId="77777777" w:rsidR="00220D3E" w:rsidRPr="00511005" w:rsidRDefault="00220D3E" w:rsidP="003A292D">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line="264" w:lineRule="auto"/>
        <w:jc w:val="center"/>
        <w:rPr>
          <w:rFonts w:ascii="Arial" w:eastAsia="Times New Roman" w:hAnsi="Arial" w:cs="Arial"/>
          <w:szCs w:val="28"/>
          <w:lang w:val="en-US" w:eastAsia="ru-RU"/>
        </w:rPr>
      </w:pPr>
      <w:r w:rsidRPr="00511005">
        <w:rPr>
          <w:rFonts w:ascii="Arial" w:eastAsia="Times New Roman" w:hAnsi="Arial" w:cs="Arial"/>
          <w:szCs w:val="28"/>
          <w:lang w:val="en-US" w:eastAsia="ru-RU"/>
        </w:rPr>
        <w:t>4th-year student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Faculty of Judicial and International Law</w:t>
      </w:r>
    </w:p>
    <w:p w14:paraId="711B9623" w14:textId="77777777" w:rsidR="00220D3E" w:rsidRPr="00511005" w:rsidRDefault="00220D3E" w:rsidP="003A292D">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National University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Odesa Law Academy</w:t>
      </w:r>
      <w:r w:rsidRPr="00511005">
        <w:rPr>
          <w:rFonts w:ascii="Arial" w:eastAsia="Times New Roman" w:hAnsi="Arial" w:cs="Arial"/>
          <w:szCs w:val="28"/>
          <w:lang w:val="uk-UA" w:eastAsia="ru-RU"/>
        </w:rPr>
        <w:t>»</w:t>
      </w:r>
    </w:p>
    <w:p w14:paraId="4A5BBF3D" w14:textId="42C5A3B3" w:rsidR="00220D3E" w:rsidRPr="00511005" w:rsidRDefault="00220D3E" w:rsidP="003A292D">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line="264" w:lineRule="auto"/>
        <w:jc w:val="center"/>
        <w:rPr>
          <w:rFonts w:ascii="Arial" w:eastAsia="Times New Roman" w:hAnsi="Arial" w:cs="Arial"/>
          <w:szCs w:val="28"/>
          <w:lang w:val="uk-UA" w:eastAsia="ru-RU"/>
        </w:rPr>
      </w:pPr>
    </w:p>
    <w:p w14:paraId="3325E2F8" w14:textId="25BC07AC" w:rsidR="00DA46A4" w:rsidRPr="00511005" w:rsidRDefault="00DA46A4" w:rsidP="003A292D">
      <w:pP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pacing w:line="264" w:lineRule="auto"/>
        <w:jc w:val="center"/>
        <w:rPr>
          <w:rFonts w:ascii="Arial" w:eastAsia="Times New Roman" w:hAnsi="Arial" w:cs="Arial"/>
          <w:szCs w:val="28"/>
          <w:lang w:val="uk-UA" w:eastAsia="ru-RU"/>
        </w:rPr>
      </w:pPr>
      <w:r w:rsidRPr="00511005">
        <w:rPr>
          <w:rFonts w:ascii="Arial" w:eastAsia="Times New Roman" w:hAnsi="Arial" w:cs="Arial"/>
          <w:b/>
          <w:szCs w:val="28"/>
          <w:lang w:val="en-US" w:eastAsia="ru-RU"/>
        </w:rPr>
        <w:t>INTERNATIONAL RESPONSIPILITY FOR SEXUAL VIOLENCE AS A METHOD OF WARFARE</w:t>
      </w:r>
    </w:p>
    <w:p w14:paraId="5736F2BD"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Sexual violence has persistently manifested as a tactical element in armed conflicts throughout history, deliberately employed to subjugate, intimidate, and demoralise civilian populations. Despite its pervasive nature, the formal international legal framework addressing conflict-related sexual violence is relatively recent. The transformation in how the global community perceives such violence—from viewing it as an inevitable consequence of warfare to recognising it as a serious violation of international humanitarian law—represents a profound shift in legal consciousness.</w:t>
      </w:r>
    </w:p>
    <w:p w14:paraId="720B0E41"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The post-World War II era marked the beginning of this evolution. While the Nuremberg proceedings did not specifically focus on sexual violence crimes, the Tokyo Tribunal did address certain instances, particularly regarding the systematic sexual enslavement euphemistically termed the "comfort women" system. The 1949 Geneva Conventions subsequently established formal prohibitions, with the Fourth Convention explicitly protecting women "against any attack on their honor, in particular against rape, enforced prostitution, or any form of indecent assault" under Article 27 [3].</w:t>
      </w:r>
    </w:p>
    <w:p w14:paraId="2D2ECC66"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Further protections emerged through the 1977 Additional Protocols to the Geneva Conventions. Protocol I's Article 76(1) reinforced special protections for women against sexual violence in international armed conflicts, while Protocol II's Article 4(2)(e) extended similar protections to non-international armed conflicts [4].</w:t>
      </w:r>
    </w:p>
    <w:p w14:paraId="77643766"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The 1990s witnessed a paradigm shift with the establishment of the International Criminal Tribunals for the former Yugoslavia (ICTY) and Rwanda (ICTR). The ICTY's groundbreaking jurisprudence in cases such as Prosecutor v. Tadić and Prosecutor v. Furundžija established that rape could constitute torture and a crime against humanity. Similarly transformative was the ICTR's Akayesu decision, which delivered the first international genocide conviction incorporating sexual violence as a constituent act, recognising that sexual violence could serve as an instrument of genocide when perpetrated with genocidal intent [7].</w:t>
      </w:r>
    </w:p>
    <w:p w14:paraId="5AAE35CB"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 xml:space="preserve">The adoption of the Rome Statute in 1998 and the subsequent establishment of the International Criminal Court (ICC) represented another milestone. The Statute explicitly categorises various forms of sexual and gender-based violence—including rape, sexual slavery, enforced prostitution, forced </w:t>
      </w:r>
      <w:r w:rsidRPr="00511005">
        <w:rPr>
          <w:rFonts w:ascii="Arial" w:eastAsia="Arial Unicode MS" w:hAnsi="Arial" w:cs="Arial"/>
          <w:szCs w:val="28"/>
          <w:u w:color="000000"/>
          <w:bdr w:val="nil"/>
          <w:lang w:val="en-US"/>
        </w:rPr>
        <w:lastRenderedPageBreak/>
        <w:t>pregnancy, and enforced sterilisation—as both crimes against humanity and war crimes.</w:t>
      </w:r>
    </w:p>
    <w:p w14:paraId="6852A2C2"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Despite significant legal advancements, establishing accountability for conflict-related sexual violence faces substantial obstacles. Evidentiary challenges are particularly acute, with physical evidence often compromised by delayed reporting and witness testimony affected by trauma, stigmatisation, and security concerns. The ICC has attempted to address these issues through specific procedural rules protecting victims of sexual violence.</w:t>
      </w:r>
    </w:p>
    <w:p w14:paraId="453AC98A"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Several conflicts have served as proving grounds for international accountability mechanisms. The former Yugoslavia represents a landmark case where the ICTY's jurisprudence, particularly in the Kunarac case recognising sexual enslavement as a crime against humanity, significantly advanced legal standards. In Rwanda, the ICTR's Akayesu judgment recognised rape as an act of genocide, while domestic Gacaca courts processed thousands of additional cases [7].</w:t>
      </w:r>
    </w:p>
    <w:p w14:paraId="7B527D89"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The Democratic Republic of Congo, with its protracted conflict characterised by widespread sexual violence, has seen accountability pursued through multiple channels including ICC prosecutions, mobile courts in eastern regions, and military tribunals prosecuting both state and non-state actors [6] [9].</w:t>
      </w:r>
    </w:p>
    <w:p w14:paraId="26A6D8C6"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Russia's full-scale invasion of Ukraine launched in February 2022 has brought renewed attention to conflict-related sexual violence in contemporary European warfare. International organisations and human rights monitors have documented numerous allegations of sexual violence perpetrated against Ukrainian civilians in occupied territories. These reports indicate patterns of sexual violence being used as a tactic of terror and control.</w:t>
      </w:r>
    </w:p>
    <w:p w14:paraId="69D6DBE6"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The United Nations has established special monitoring mechanisms to document these violations, while Ukrainian authorities have initiated domestic proceedings against alleged perpetrators. The Office of the Prosecutor of the International Criminal Court opened an investigation into the situation in Ukraine, including allegations of sexual violence, signalling potential international accountability mechanisms.</w:t>
      </w:r>
    </w:p>
    <w:p w14:paraId="72BEFAB1"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This ongoing conflict illustrates both the persistence of sexual violence in modern warfare and the evolution of real-time documentation efforts, with digital evidence collection, satellite imagery, and secure documentation applications being employed to preserve evidence for future accountability processes. The international response to allegations of sexual violence in Ukraine demonstrates the increased normative expectation that such crimes must be investigated and prosecuted, reflecting the legal evolution that has occurred over recent decades.</w:t>
      </w:r>
    </w:p>
    <w:p w14:paraId="23A446F9"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 xml:space="preserve">Several emerging issues are reshaping approaches to international accountability for conflict-related sexual violence. Digital evidence offers new possibilities for establishing responsibility, though online platforms simultaneously create new vectors for threatening or intimidating survivors. The </w:t>
      </w:r>
      <w:r w:rsidRPr="00511005">
        <w:rPr>
          <w:rFonts w:ascii="Arial" w:eastAsia="Arial Unicode MS" w:hAnsi="Arial" w:cs="Arial"/>
          <w:szCs w:val="28"/>
          <w:u w:color="000000"/>
          <w:bdr w:val="nil"/>
          <w:lang w:val="en-US"/>
        </w:rPr>
        <w:lastRenderedPageBreak/>
        <w:t>strengthening role of civil society organisations in monitoring, documenting, and advocating for accountability has become increasingly vital [1].</w:t>
      </w:r>
    </w:p>
    <w:p w14:paraId="70437CDF" w14:textId="77777777"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Arial Unicode MS" w:hAnsi="Arial" w:cs="Arial"/>
          <w:szCs w:val="28"/>
          <w:u w:color="000000"/>
          <w:bdr w:val="nil"/>
          <w:lang w:val="en-US"/>
        </w:rPr>
        <w:t>Addressing these challenges requires multifaceted approaches that strengthen complementarity between international and domestic mechanisms, adopt victim-centred methodologies, support comprehensive documentation initiatives, and integrate legal accountability with broader transitional justice efforts [2].</w:t>
      </w:r>
    </w:p>
    <w:p w14:paraId="681A5C9D" w14:textId="397F1179" w:rsidR="00220D3E" w:rsidRPr="00511005" w:rsidRDefault="00220D3E"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t>Ultimately, effective international accountability for sexual violence in armed conflict depends not only on robust legal frameworks but also on political commitment, adequate resource allocation, and fundamental cultural transformation. By addressing both legal and structural dimensions of accountability, the international community can work toward eliminating the use of sexual violence as a weapon of war [5].</w:t>
      </w:r>
    </w:p>
    <w:p w14:paraId="5ACE2D71" w14:textId="32B223C4" w:rsidR="00DA46A4" w:rsidRPr="00511005" w:rsidRDefault="00DA46A4" w:rsidP="003A292D">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Arial Unicode MS" w:hAnsi="Arial" w:cs="Arial"/>
          <w:szCs w:val="28"/>
          <w:u w:color="000000"/>
          <w:bdr w:val="nil"/>
          <w:lang w:val="en-US"/>
        </w:rPr>
      </w:pPr>
    </w:p>
    <w:p w14:paraId="7712D644" w14:textId="7F0EBABC" w:rsidR="00DA46A4" w:rsidRPr="00511005" w:rsidRDefault="00DA46A4" w:rsidP="00DA46A4">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jc w:val="center"/>
        <w:rPr>
          <w:rFonts w:ascii="Arial" w:eastAsia="Times Roman" w:hAnsi="Arial" w:cs="Arial"/>
          <w:szCs w:val="28"/>
          <w:u w:color="000000"/>
          <w:bdr w:val="nil"/>
          <w:lang w:val="en-US"/>
        </w:rPr>
      </w:pPr>
      <w:r w:rsidRPr="00511005">
        <w:rPr>
          <w:rFonts w:ascii="Arial" w:eastAsia="Times New Roman" w:hAnsi="Arial" w:cs="Arial"/>
          <w:b/>
          <w:i/>
          <w:iCs/>
          <w:szCs w:val="28"/>
          <w:lang w:eastAsia="ru-RU"/>
        </w:rPr>
        <w:t>References</w:t>
      </w:r>
    </w:p>
    <w:p w14:paraId="3603EADF" w14:textId="77777777" w:rsidR="00220D3E" w:rsidRPr="00511005" w:rsidRDefault="00220D3E" w:rsidP="003F6A5D">
      <w:pPr>
        <w:numPr>
          <w:ilvl w:val="0"/>
          <w:numId w:val="66"/>
        </w:numPr>
        <w:pBdr>
          <w:top w:val="nil"/>
          <w:left w:val="nil"/>
          <w:bottom w:val="nil"/>
          <w:right w:val="nil"/>
          <w:between w:val="nil"/>
          <w:bar w:val="nil"/>
        </w:pBdr>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t xml:space="preserve">CEDAW Committee. General Recommendation No. 30 on women in conflict prevention, conflict and post-conflict situations. CEDAW/C/GC/30. 2013. [Online]. URL: </w:t>
      </w:r>
      <w:hyperlink r:id="rId186" w:history="1">
        <w:r w:rsidRPr="00511005">
          <w:rPr>
            <w:rFonts w:ascii="Arial" w:eastAsia="Arial Unicode MS" w:hAnsi="Arial" w:cs="Arial"/>
            <w:szCs w:val="28"/>
            <w:u w:color="0563C1"/>
            <w:bdr w:val="nil"/>
            <w:lang w:val="en-US"/>
          </w:rPr>
          <w:t>https://www.ohchr.org/en/documents/general-comments-and-recommendations/general-recommendation-no30-women-conflict-prevention</w:t>
        </w:r>
      </w:hyperlink>
      <w:r w:rsidRPr="00511005">
        <w:rPr>
          <w:rFonts w:ascii="Arial" w:eastAsia="Arial Unicode MS" w:hAnsi="Arial" w:cs="Arial"/>
          <w:szCs w:val="28"/>
          <w:u w:color="000000"/>
          <w:bdr w:val="nil"/>
          <w:lang w:val="en-US"/>
        </w:rPr>
        <w:t xml:space="preserve"> (accessed: 05 May 2025).</w:t>
      </w:r>
    </w:p>
    <w:p w14:paraId="4F564FB1" w14:textId="77777777" w:rsidR="00220D3E" w:rsidRPr="00511005" w:rsidRDefault="00220D3E" w:rsidP="003F6A5D">
      <w:pPr>
        <w:numPr>
          <w:ilvl w:val="0"/>
          <w:numId w:val="66"/>
        </w:numPr>
        <w:pBdr>
          <w:top w:val="nil"/>
          <w:left w:val="nil"/>
          <w:bottom w:val="nil"/>
          <w:right w:val="nil"/>
          <w:between w:val="nil"/>
          <w:bar w:val="nil"/>
        </w:pBdr>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t xml:space="preserve">Committee Against Torture. General Comment No. 2: Implementation of Article 2 by States Parties. CAT/C/GC/2. 2008. [Online]. URL: </w:t>
      </w:r>
      <w:hyperlink r:id="rId187" w:history="1">
        <w:r w:rsidRPr="00511005">
          <w:rPr>
            <w:rFonts w:ascii="Arial" w:eastAsia="Arial Unicode MS" w:hAnsi="Arial" w:cs="Arial"/>
            <w:szCs w:val="28"/>
            <w:u w:color="0563C1"/>
            <w:bdr w:val="nil"/>
            <w:lang w:val="en-US"/>
          </w:rPr>
          <w:t>https://www.ohchr.org/en/documents/general-comments-and-recommendations/general-comment-no2-implementation-article-2-states</w:t>
        </w:r>
      </w:hyperlink>
      <w:r w:rsidRPr="00511005">
        <w:rPr>
          <w:rFonts w:ascii="Arial" w:eastAsia="Arial Unicode MS" w:hAnsi="Arial" w:cs="Arial"/>
          <w:szCs w:val="28"/>
          <w:u w:color="000000"/>
          <w:bdr w:val="nil"/>
          <w:lang w:val="en-US"/>
        </w:rPr>
        <w:t xml:space="preserve"> (accessed: 05 May 2025).</w:t>
      </w:r>
    </w:p>
    <w:p w14:paraId="3D3C1B9B" w14:textId="77777777" w:rsidR="00220D3E" w:rsidRPr="00511005" w:rsidRDefault="00220D3E" w:rsidP="003F6A5D">
      <w:pPr>
        <w:numPr>
          <w:ilvl w:val="0"/>
          <w:numId w:val="66"/>
        </w:numPr>
        <w:pBdr>
          <w:top w:val="nil"/>
          <w:left w:val="nil"/>
          <w:bottom w:val="nil"/>
          <w:right w:val="nil"/>
          <w:between w:val="nil"/>
          <w:bar w:val="nil"/>
        </w:pBdr>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t xml:space="preserve">Geneva Convention IV. Geneva Convention relative to the Protection of Civilian Persons in Time of War. 1949. [Online]. URL: </w:t>
      </w:r>
      <w:hyperlink r:id="rId188" w:history="1">
        <w:r w:rsidRPr="00511005">
          <w:rPr>
            <w:rFonts w:ascii="Arial" w:eastAsia="Arial Unicode MS" w:hAnsi="Arial" w:cs="Arial"/>
            <w:szCs w:val="28"/>
            <w:u w:color="0563C1"/>
            <w:bdr w:val="nil"/>
            <w:lang w:val="en-US"/>
          </w:rPr>
          <w:t>https://www.icrc.org/en/doc/assets/files/publications/icrc-002-0173.pdf</w:t>
        </w:r>
      </w:hyperlink>
      <w:r w:rsidRPr="00511005">
        <w:rPr>
          <w:rFonts w:ascii="Arial" w:eastAsia="Arial Unicode MS" w:hAnsi="Arial" w:cs="Arial"/>
          <w:szCs w:val="28"/>
          <w:u w:color="000000"/>
          <w:bdr w:val="nil"/>
          <w:lang w:val="en-US"/>
        </w:rPr>
        <w:t xml:space="preserve"> (accessed: 05 May 2025).</w:t>
      </w:r>
    </w:p>
    <w:p w14:paraId="45FBEF23" w14:textId="77777777" w:rsidR="00220D3E" w:rsidRPr="00511005" w:rsidRDefault="00220D3E" w:rsidP="003F6A5D">
      <w:pPr>
        <w:numPr>
          <w:ilvl w:val="0"/>
          <w:numId w:val="66"/>
        </w:numPr>
        <w:pBdr>
          <w:top w:val="nil"/>
          <w:left w:val="nil"/>
          <w:bottom w:val="nil"/>
          <w:right w:val="nil"/>
          <w:between w:val="nil"/>
          <w:bar w:val="nil"/>
        </w:pBdr>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t xml:space="preserve">International Committee of the Red Cross. Customary International Humanitarian Law, Volume I: Rules, Rule 93. 2005. [Online]. URL: </w:t>
      </w:r>
      <w:hyperlink r:id="rId189" w:history="1">
        <w:r w:rsidRPr="00511005">
          <w:rPr>
            <w:rFonts w:ascii="Arial" w:eastAsia="Arial Unicode MS" w:hAnsi="Arial" w:cs="Arial"/>
            <w:szCs w:val="28"/>
            <w:u w:color="0563C1"/>
            <w:bdr w:val="nil"/>
            <w:lang w:val="en-US"/>
          </w:rPr>
          <w:t>https://ihl-databases.icrc.org/customary-ihl/eng/docs/v1_rul_rule93</w:t>
        </w:r>
      </w:hyperlink>
      <w:r w:rsidRPr="00511005">
        <w:rPr>
          <w:rFonts w:ascii="Arial" w:eastAsia="Arial Unicode MS" w:hAnsi="Arial" w:cs="Arial"/>
          <w:szCs w:val="28"/>
          <w:u w:color="000000"/>
          <w:bdr w:val="nil"/>
          <w:lang w:val="en-US"/>
        </w:rPr>
        <w:t xml:space="preserve"> (accessed: 05 May 2025).</w:t>
      </w:r>
    </w:p>
    <w:p w14:paraId="6D11E5C8" w14:textId="77777777" w:rsidR="00220D3E" w:rsidRPr="00511005" w:rsidRDefault="00220D3E" w:rsidP="003F6A5D">
      <w:pPr>
        <w:numPr>
          <w:ilvl w:val="0"/>
          <w:numId w:val="66"/>
        </w:numPr>
        <w:pBdr>
          <w:top w:val="nil"/>
          <w:left w:val="nil"/>
          <w:bottom w:val="nil"/>
          <w:right w:val="nil"/>
          <w:between w:val="nil"/>
          <w:bar w:val="nil"/>
        </w:pBdr>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t xml:space="preserve">International Court of Justice. Armed Activities on the Territory of the Congo (Democratic Republic of the Congo v. Uganda). Judgment of 19 December 2005. [Online]. URL: </w:t>
      </w:r>
      <w:hyperlink r:id="rId190" w:history="1">
        <w:r w:rsidRPr="00511005">
          <w:rPr>
            <w:rFonts w:ascii="Arial" w:eastAsia="Arial Unicode MS" w:hAnsi="Arial" w:cs="Arial"/>
            <w:szCs w:val="28"/>
            <w:u w:color="0563C1"/>
            <w:bdr w:val="nil"/>
            <w:lang w:val="en-US"/>
          </w:rPr>
          <w:t>https://www.icj-cij.org/case/116</w:t>
        </w:r>
      </w:hyperlink>
      <w:r w:rsidRPr="00511005">
        <w:rPr>
          <w:rFonts w:ascii="Arial" w:eastAsia="Arial Unicode MS" w:hAnsi="Arial" w:cs="Arial"/>
          <w:szCs w:val="28"/>
          <w:u w:color="000000"/>
          <w:bdr w:val="nil"/>
          <w:lang w:val="en-US"/>
        </w:rPr>
        <w:t xml:space="preserve"> (accessed: 05 May 2025).</w:t>
      </w:r>
    </w:p>
    <w:p w14:paraId="62A92237" w14:textId="77777777" w:rsidR="00220D3E" w:rsidRPr="00511005" w:rsidRDefault="00220D3E" w:rsidP="003F6A5D">
      <w:pPr>
        <w:numPr>
          <w:ilvl w:val="0"/>
          <w:numId w:val="66"/>
        </w:numPr>
        <w:pBdr>
          <w:top w:val="nil"/>
          <w:left w:val="nil"/>
          <w:bottom w:val="nil"/>
          <w:right w:val="nil"/>
          <w:between w:val="nil"/>
          <w:bar w:val="nil"/>
        </w:pBdr>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t xml:space="preserve">International Criminal Court. Prosecutor v. Bosco Ntaganda. ICC-01/04-02/06. 2019. [Online]. URL: </w:t>
      </w:r>
      <w:hyperlink r:id="rId191" w:history="1">
        <w:r w:rsidRPr="00511005">
          <w:rPr>
            <w:rFonts w:ascii="Arial" w:eastAsia="Arial Unicode MS" w:hAnsi="Arial" w:cs="Arial"/>
            <w:szCs w:val="28"/>
            <w:u w:color="0563C1"/>
            <w:bdr w:val="nil"/>
            <w:lang w:val="en-US"/>
          </w:rPr>
          <w:t>https://www.icc-cpi.int/cases/ntaganda</w:t>
        </w:r>
      </w:hyperlink>
      <w:r w:rsidRPr="00511005">
        <w:rPr>
          <w:rFonts w:ascii="Arial" w:eastAsia="Arial Unicode MS" w:hAnsi="Arial" w:cs="Arial"/>
          <w:szCs w:val="28"/>
          <w:u w:color="000000"/>
          <w:bdr w:val="nil"/>
          <w:lang w:val="en-US"/>
        </w:rPr>
        <w:t xml:space="preserve"> (accessed: 05 May 2025).</w:t>
      </w:r>
    </w:p>
    <w:p w14:paraId="0D927BDD" w14:textId="77777777" w:rsidR="00220D3E" w:rsidRPr="00511005" w:rsidRDefault="00220D3E" w:rsidP="003F6A5D">
      <w:pPr>
        <w:numPr>
          <w:ilvl w:val="0"/>
          <w:numId w:val="66"/>
        </w:numPr>
        <w:pBdr>
          <w:top w:val="nil"/>
          <w:left w:val="nil"/>
          <w:bottom w:val="nil"/>
          <w:right w:val="nil"/>
          <w:between w:val="nil"/>
          <w:bar w:val="nil"/>
        </w:pBdr>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lastRenderedPageBreak/>
        <w:t xml:space="preserve">International Criminal Tribunal for Rwanda. Prosecutor v. Jean-Paul Akayesu. ICTR-96-4-T. 1998. [Online]. URL: </w:t>
      </w:r>
      <w:hyperlink r:id="rId192" w:history="1">
        <w:r w:rsidRPr="00511005">
          <w:rPr>
            <w:rFonts w:ascii="Arial" w:eastAsia="Arial Unicode MS" w:hAnsi="Arial" w:cs="Arial"/>
            <w:szCs w:val="28"/>
            <w:u w:color="0563C1"/>
            <w:bdr w:val="nil"/>
            <w:lang w:val="en-US"/>
          </w:rPr>
          <w:t>https://unictr.irmct.org/en/cases/ictr-96-4</w:t>
        </w:r>
      </w:hyperlink>
      <w:r w:rsidRPr="00511005">
        <w:rPr>
          <w:rFonts w:ascii="Arial" w:eastAsia="Arial Unicode MS" w:hAnsi="Arial" w:cs="Arial"/>
          <w:szCs w:val="28"/>
          <w:u w:color="000000"/>
          <w:bdr w:val="nil"/>
          <w:lang w:val="en-US"/>
        </w:rPr>
        <w:t xml:space="preserve"> (accessed: 05 May 2025).</w:t>
      </w:r>
    </w:p>
    <w:p w14:paraId="47A685A2" w14:textId="731EAF5C" w:rsidR="00220D3E" w:rsidRPr="00511005" w:rsidRDefault="00220D3E" w:rsidP="003F6A5D">
      <w:pPr>
        <w:numPr>
          <w:ilvl w:val="0"/>
          <w:numId w:val="66"/>
        </w:numPr>
        <w:pBdr>
          <w:top w:val="nil"/>
          <w:left w:val="nil"/>
          <w:bottom w:val="nil"/>
          <w:right w:val="nil"/>
          <w:between w:val="nil"/>
          <w:bar w:val="nil"/>
        </w:pBdr>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t xml:space="preserve">International Criminal Tribunal for the former Yugoslavia. Prosecutor v. Delalić et al. IT-96-21. 1998. [Online]. URL: </w:t>
      </w:r>
      <w:hyperlink r:id="rId193" w:history="1">
        <w:r w:rsidRPr="00511005">
          <w:rPr>
            <w:rFonts w:ascii="Arial" w:eastAsia="Arial Unicode MS" w:hAnsi="Arial" w:cs="Arial"/>
            <w:szCs w:val="28"/>
            <w:u w:color="0563C1"/>
            <w:bdr w:val="nil"/>
            <w:lang w:val="en-US"/>
          </w:rPr>
          <w:t>https://www.icty.org/en/case/mucic</w:t>
        </w:r>
      </w:hyperlink>
      <w:r w:rsidRPr="00511005">
        <w:rPr>
          <w:rFonts w:ascii="Arial" w:eastAsia="Arial Unicode MS" w:hAnsi="Arial" w:cs="Arial"/>
          <w:szCs w:val="28"/>
          <w:u w:color="000000"/>
          <w:bdr w:val="nil"/>
          <w:lang w:val="en-US"/>
        </w:rPr>
        <w:t xml:space="preserve"> (accessed: 05 May 2025).</w:t>
      </w:r>
    </w:p>
    <w:p w14:paraId="7B3A605E" w14:textId="098FF169" w:rsidR="00DA46A4" w:rsidRPr="00511005" w:rsidRDefault="00DA46A4" w:rsidP="00DA46A4">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ind w:left="709" w:firstLine="0"/>
        <w:jc w:val="left"/>
        <w:rPr>
          <w:rFonts w:ascii="Arial" w:eastAsia="Arial Unicode MS" w:hAnsi="Arial" w:cs="Arial"/>
          <w:szCs w:val="28"/>
          <w:u w:color="000000"/>
          <w:bdr w:val="nil"/>
          <w:lang w:val="en-US"/>
        </w:rPr>
      </w:pPr>
    </w:p>
    <w:p w14:paraId="78E4122F" w14:textId="06656490" w:rsidR="00DA46A4" w:rsidRPr="00511005" w:rsidRDefault="007B2628" w:rsidP="00DA46A4">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DA46A4" w:rsidRPr="00511005">
        <w:rPr>
          <w:rFonts w:ascii="Arial" w:eastAsia="Times New Roman" w:hAnsi="Arial" w:cs="Arial"/>
          <w:szCs w:val="28"/>
          <w:lang w:val="uk-UA" w:eastAsia="ru-RU"/>
        </w:rPr>
        <w:t>міжнародне гуманітарне право, сексуальне насильство, збройний конфлікт, відповідальність держави, індивідуальна кримінальна відповідальність, воєнні злочини, насильство, зумовлене статтю, Римський статут, міжнародні трибунали, механізми підзвітності, недержавні суб’єкти, підходи, орієнтовані на жертв.</w:t>
      </w:r>
    </w:p>
    <w:p w14:paraId="47EEC870" w14:textId="675AD77A" w:rsidR="00DA46A4" w:rsidRPr="00511005" w:rsidRDefault="007B2628" w:rsidP="00DA46A4">
      <w:pPr>
        <w:pBdr>
          <w:top w:val="nil"/>
          <w:left w:val="nil"/>
          <w:bottom w:val="nil"/>
          <w:right w:val="nil"/>
          <w:between w:val="nil"/>
          <w:bar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rPr>
          <w:rFonts w:ascii="Arial" w:eastAsia="Times Roman" w:hAnsi="Arial" w:cs="Arial"/>
          <w:szCs w:val="28"/>
          <w:u w:color="000000"/>
          <w:bdr w:val="nil"/>
          <w:lang w:val="en-US"/>
        </w:rPr>
      </w:pPr>
      <w:r w:rsidRPr="00511005">
        <w:rPr>
          <w:rFonts w:ascii="Arial" w:eastAsia="Times New Roman" w:hAnsi="Arial" w:cs="Arial"/>
          <w:b/>
          <w:i/>
          <w:szCs w:val="28"/>
          <w:lang w:val="en-US" w:eastAsia="ru-RU"/>
        </w:rPr>
        <w:t xml:space="preserve">Key words: </w:t>
      </w:r>
      <w:r w:rsidR="00DA46A4" w:rsidRPr="00511005">
        <w:rPr>
          <w:rFonts w:ascii="Arial" w:eastAsia="Times New Roman" w:hAnsi="Arial" w:cs="Arial"/>
          <w:szCs w:val="28"/>
          <w:lang w:val="en-US" w:eastAsia="ru-RU"/>
        </w:rPr>
        <w:t>international humanitarian law, sexual violence, armed conflict, state responsibility, individual criminal responsibility, war crimes, gender-based violence, Rome Statute, international tribunals, accountability mechanisms, non-state actors, victim-centered approaches.</w:t>
      </w:r>
    </w:p>
    <w:p w14:paraId="573B17DD" w14:textId="6C315AD8" w:rsidR="00DA46A4" w:rsidRPr="00511005" w:rsidRDefault="006C2EDA" w:rsidP="00DA46A4">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ind w:left="709" w:firstLine="0"/>
        <w:jc w:val="left"/>
        <w:rPr>
          <w:rFonts w:ascii="Arial" w:eastAsia="Arial Unicode MS" w:hAnsi="Arial" w:cs="Arial"/>
          <w:szCs w:val="28"/>
          <w:u w:color="000000"/>
          <w:bdr w:val="nil"/>
          <w:lang w:val="en-US"/>
        </w:rPr>
      </w:pPr>
      <w:r w:rsidRPr="006C2EDA">
        <w:rPr>
          <w:rFonts w:ascii="Arial" w:eastAsia="Times New Roman" w:hAnsi="Arial" w:cs="Arial"/>
          <w:b/>
          <w:bCs/>
          <w:i/>
          <w:iCs/>
          <w:szCs w:val="28"/>
          <w:lang w:val="en-US" w:eastAsia="ru-RU"/>
        </w:rPr>
        <w:t xml:space="preserve">Academic supervisor: </w:t>
      </w:r>
      <w:r w:rsidR="00DA46A4" w:rsidRPr="00511005">
        <w:rPr>
          <w:rFonts w:ascii="Arial" w:eastAsia="Times New Roman" w:hAnsi="Arial" w:cs="Arial"/>
          <w:i/>
          <w:iCs/>
          <w:szCs w:val="28"/>
          <w:lang w:val="en-US" w:eastAsia="ru-RU"/>
        </w:rPr>
        <w:t>PhD in Law, Associate Professor Dronov V.</w:t>
      </w:r>
    </w:p>
    <w:p w14:paraId="62915A73" w14:textId="09EDE1D4" w:rsidR="00220D3E" w:rsidRPr="00511005" w:rsidRDefault="00220D3E" w:rsidP="003A292D">
      <w:pPr>
        <w:tabs>
          <w:tab w:val="left" w:pos="709"/>
        </w:tabs>
        <w:spacing w:line="264" w:lineRule="auto"/>
        <w:jc w:val="center"/>
        <w:rPr>
          <w:rFonts w:ascii="Arial" w:eastAsia="Times New Roman" w:hAnsi="Arial" w:cs="Arial"/>
          <w:i/>
          <w:iCs/>
          <w:szCs w:val="28"/>
          <w:lang w:val="uk-UA" w:eastAsia="ru-RU"/>
        </w:rPr>
      </w:pPr>
      <w:bookmarkStart w:id="27" w:name="_Hlk167736661"/>
      <w:bookmarkStart w:id="28" w:name="_Hlk167737272"/>
      <w:bookmarkStart w:id="29" w:name="_Hlk167745766"/>
      <w:bookmarkStart w:id="30" w:name="_Hlk167733155"/>
    </w:p>
    <w:p w14:paraId="05FD4621" w14:textId="77777777" w:rsidR="00DA46A4" w:rsidRPr="00511005" w:rsidRDefault="00DA46A4" w:rsidP="003A292D">
      <w:pPr>
        <w:tabs>
          <w:tab w:val="left" w:pos="709"/>
        </w:tabs>
        <w:spacing w:line="264" w:lineRule="auto"/>
        <w:jc w:val="center"/>
        <w:rPr>
          <w:rFonts w:ascii="Arial" w:eastAsia="Times New Roman" w:hAnsi="Arial" w:cs="Arial"/>
          <w:i/>
          <w:iCs/>
          <w:szCs w:val="28"/>
          <w:lang w:val="uk-UA" w:eastAsia="ru-RU"/>
        </w:rPr>
      </w:pPr>
    </w:p>
    <w:p w14:paraId="7D47D553" w14:textId="77777777" w:rsidR="00220D3E" w:rsidRPr="00511005" w:rsidRDefault="00220D3E" w:rsidP="003A292D">
      <w:pPr>
        <w:tabs>
          <w:tab w:val="left" w:pos="709"/>
        </w:tabs>
        <w:spacing w:line="264" w:lineRule="auto"/>
        <w:jc w:val="center"/>
        <w:rPr>
          <w:rFonts w:ascii="Arial" w:eastAsia="Calibri" w:hAnsi="Arial" w:cs="Arial"/>
          <w:b/>
          <w:i/>
          <w:szCs w:val="28"/>
          <w:lang w:eastAsia="ru-RU"/>
        </w:rPr>
      </w:pPr>
      <w:r w:rsidRPr="00511005">
        <w:rPr>
          <w:rFonts w:ascii="Arial" w:eastAsia="Calibri" w:hAnsi="Arial" w:cs="Arial"/>
          <w:b/>
          <w:i/>
          <w:szCs w:val="28"/>
          <w:lang w:eastAsia="ru-RU"/>
        </w:rPr>
        <w:t>Вареник Вікторія Олександрівна</w:t>
      </w:r>
    </w:p>
    <w:p w14:paraId="47CFD267" w14:textId="24780497" w:rsidR="00220D3E" w:rsidRPr="00511005" w:rsidRDefault="00536AAB" w:rsidP="003A292D">
      <w:pPr>
        <w:tabs>
          <w:tab w:val="left" w:pos="709"/>
        </w:tabs>
        <w:spacing w:line="264" w:lineRule="auto"/>
        <w:jc w:val="center"/>
        <w:rPr>
          <w:rFonts w:ascii="Arial" w:eastAsia="Calibri" w:hAnsi="Arial" w:cs="Arial"/>
          <w:bCs/>
          <w:szCs w:val="28"/>
          <w:lang w:val="uk-UA" w:eastAsia="ru-RU"/>
        </w:rPr>
      </w:pPr>
      <w:r w:rsidRPr="00511005">
        <w:rPr>
          <w:rFonts w:ascii="Arial" w:eastAsia="Calibri" w:hAnsi="Arial" w:cs="Arial"/>
          <w:bCs/>
          <w:szCs w:val="28"/>
          <w:lang w:eastAsia="ru-RU"/>
        </w:rPr>
        <w:t xml:space="preserve">студентка 4-го курсу </w:t>
      </w:r>
    </w:p>
    <w:p w14:paraId="0AC7A000" w14:textId="45914F28" w:rsidR="00220D3E" w:rsidRPr="00511005" w:rsidRDefault="00536AAB" w:rsidP="003A292D">
      <w:pPr>
        <w:tabs>
          <w:tab w:val="left" w:pos="709"/>
        </w:tabs>
        <w:spacing w:line="264" w:lineRule="auto"/>
        <w:jc w:val="center"/>
        <w:rPr>
          <w:rFonts w:ascii="Arial" w:eastAsia="Calibri" w:hAnsi="Arial" w:cs="Arial"/>
          <w:bCs/>
          <w:szCs w:val="28"/>
          <w:lang w:eastAsia="ru-RU"/>
        </w:rPr>
      </w:pPr>
      <w:r w:rsidRPr="00511005">
        <w:rPr>
          <w:rFonts w:ascii="Arial" w:eastAsia="Calibri" w:hAnsi="Arial" w:cs="Arial"/>
          <w:bCs/>
          <w:szCs w:val="28"/>
          <w:lang w:eastAsia="ru-RU"/>
        </w:rPr>
        <w:t>факультету адвокатури та антикорупційної діяльності</w:t>
      </w:r>
    </w:p>
    <w:p w14:paraId="2751C6AA" w14:textId="1A4FD8D0" w:rsidR="00220D3E" w:rsidRPr="00511005" w:rsidRDefault="007B2628" w:rsidP="003A292D">
      <w:pPr>
        <w:tabs>
          <w:tab w:val="left" w:pos="709"/>
        </w:tabs>
        <w:spacing w:line="264" w:lineRule="auto"/>
        <w:jc w:val="center"/>
        <w:rPr>
          <w:rFonts w:ascii="Arial" w:eastAsia="Calibri" w:hAnsi="Arial" w:cs="Arial"/>
          <w:bCs/>
          <w:szCs w:val="28"/>
          <w:lang w:val="uk-UA" w:eastAsia="ru-RU"/>
        </w:rPr>
      </w:pPr>
      <w:r w:rsidRPr="00511005">
        <w:rPr>
          <w:rFonts w:ascii="Arial" w:eastAsia="Calibri" w:hAnsi="Arial" w:cs="Arial"/>
          <w:bCs/>
          <w:szCs w:val="28"/>
          <w:lang w:eastAsia="ru-RU"/>
        </w:rPr>
        <w:t>Національного університету «Одеська юридична академія»</w:t>
      </w:r>
    </w:p>
    <w:p w14:paraId="073F371C" w14:textId="77777777" w:rsidR="00220D3E" w:rsidRPr="00511005" w:rsidRDefault="00220D3E" w:rsidP="003A292D">
      <w:pPr>
        <w:tabs>
          <w:tab w:val="left" w:pos="709"/>
        </w:tabs>
        <w:spacing w:line="264" w:lineRule="auto"/>
        <w:jc w:val="center"/>
        <w:rPr>
          <w:rFonts w:ascii="Arial" w:eastAsia="Calibri" w:hAnsi="Arial" w:cs="Arial"/>
          <w:b/>
          <w:szCs w:val="28"/>
          <w:lang w:eastAsia="ru-RU"/>
        </w:rPr>
      </w:pPr>
    </w:p>
    <w:p w14:paraId="1F31EE5D" w14:textId="77777777" w:rsidR="00220D3E" w:rsidRPr="00511005" w:rsidRDefault="00220D3E" w:rsidP="003A292D">
      <w:pPr>
        <w:tabs>
          <w:tab w:val="left" w:pos="709"/>
        </w:tabs>
        <w:spacing w:line="264" w:lineRule="auto"/>
        <w:jc w:val="center"/>
        <w:rPr>
          <w:rFonts w:ascii="Arial" w:eastAsia="Calibri" w:hAnsi="Arial" w:cs="Arial"/>
          <w:b/>
          <w:szCs w:val="28"/>
          <w:lang w:eastAsia="ru-RU"/>
        </w:rPr>
      </w:pPr>
      <w:r w:rsidRPr="00511005">
        <w:rPr>
          <w:rFonts w:ascii="Arial" w:eastAsia="Calibri" w:hAnsi="Arial" w:cs="Arial"/>
          <w:b/>
          <w:szCs w:val="28"/>
          <w:lang w:eastAsia="ru-RU"/>
        </w:rPr>
        <w:t>РОЛЬ ЄС У ПОДОЛАННІ КЛІМАТИЧНИХ ЗМІН</w:t>
      </w:r>
    </w:p>
    <w:p w14:paraId="59921A4F" w14:textId="77777777" w:rsidR="00220D3E" w:rsidRPr="00511005" w:rsidRDefault="00220D3E" w:rsidP="003A292D">
      <w:pPr>
        <w:tabs>
          <w:tab w:val="left" w:pos="709"/>
        </w:tabs>
        <w:spacing w:line="264" w:lineRule="auto"/>
        <w:rPr>
          <w:rFonts w:ascii="Arial" w:eastAsia="Calibri" w:hAnsi="Arial" w:cs="Arial"/>
          <w:szCs w:val="28"/>
          <w:lang w:eastAsia="ru-RU"/>
        </w:rPr>
      </w:pPr>
      <w:r w:rsidRPr="00511005">
        <w:rPr>
          <w:rFonts w:ascii="Arial" w:eastAsia="Calibri" w:hAnsi="Arial" w:cs="Arial"/>
          <w:szCs w:val="28"/>
          <w:lang w:eastAsia="ru-RU"/>
        </w:rPr>
        <w:t>Кліматичні зміни – одна з найбільших загроз сучасного світу. Вони мають значний вплив на екосистеми, економіки та добробут населення. В останні десятиліття кліматична криза набирає обертів через підвищення рівня вуглекислого газу в атмосфері, танення льодовиків, підняття рівня моря та посилення екстремальних погодних явищ. У відповідь на це міжнародна спільнота, зокрема Європейський Союз (ЄС), активно впроваджує політику щодо зниження викидів парникових газів та розвитку стійких і екологічних економічних практик. Ця стаття досліджує роль ЄС у подоланні кліматичних змін, аналізуючи його законодавчу, економічну та міжнародну діяльність у цьому напрямку.</w:t>
      </w:r>
    </w:p>
    <w:p w14:paraId="55082F33" w14:textId="77777777" w:rsidR="00220D3E" w:rsidRPr="00511005" w:rsidRDefault="00220D3E" w:rsidP="003A292D">
      <w:pPr>
        <w:tabs>
          <w:tab w:val="left" w:pos="709"/>
        </w:tabs>
        <w:spacing w:line="264" w:lineRule="auto"/>
        <w:rPr>
          <w:rFonts w:ascii="Arial" w:eastAsia="Calibri" w:hAnsi="Arial" w:cs="Arial"/>
          <w:szCs w:val="28"/>
          <w:lang w:eastAsia="ru-RU"/>
        </w:rPr>
      </w:pPr>
      <w:r w:rsidRPr="00511005">
        <w:rPr>
          <w:rFonts w:ascii="Arial" w:eastAsia="Calibri" w:hAnsi="Arial" w:cs="Arial"/>
          <w:szCs w:val="28"/>
          <w:lang w:eastAsia="ru-RU"/>
        </w:rPr>
        <w:t xml:space="preserve">Європейський Союз завжди брав активну участь у міжнародних кліматичних конференціях і підписував усі основні кліматичні декларації та угоди. Більше того, результати цих глобальних зусиль часто втілювалися на рівні ЄС через створення відповідних програм дій у сфері клімату та охорони довкілля. Наприклад, перша програма дій ЄС, спрямована на захист навколишнього середовища та боротьбу зі змінами клімату, була ухвалена в 1973 році, через рік після Стокгольмської конференції ООН. Аналогічно, </w:t>
      </w:r>
      <w:r w:rsidRPr="00511005">
        <w:rPr>
          <w:rFonts w:ascii="Arial" w:eastAsia="Calibri" w:hAnsi="Arial" w:cs="Arial"/>
          <w:szCs w:val="28"/>
          <w:lang w:eastAsia="ru-RU"/>
        </w:rPr>
        <w:lastRenderedPageBreak/>
        <w:t>п'ята програма дій ЄС була затверджена в 1993 році, одразу після «Саміту Землі» [1].</w:t>
      </w:r>
    </w:p>
    <w:p w14:paraId="3607A3F3" w14:textId="77777777" w:rsidR="00220D3E" w:rsidRPr="00511005" w:rsidRDefault="00220D3E" w:rsidP="003A292D">
      <w:pPr>
        <w:tabs>
          <w:tab w:val="left" w:pos="709"/>
        </w:tabs>
        <w:spacing w:line="264" w:lineRule="auto"/>
        <w:contextualSpacing/>
        <w:rPr>
          <w:rFonts w:ascii="Arial" w:eastAsia="Times New Roman" w:hAnsi="Arial" w:cs="Arial"/>
          <w:szCs w:val="28"/>
          <w:lang w:eastAsia="uk-UA"/>
        </w:rPr>
      </w:pPr>
      <w:r w:rsidRPr="00511005">
        <w:rPr>
          <w:rFonts w:ascii="Arial" w:eastAsia="Times New Roman" w:hAnsi="Arial" w:cs="Arial"/>
          <w:szCs w:val="28"/>
          <w:lang w:eastAsia="uk-UA"/>
        </w:rPr>
        <w:t>У травні 2022 року набрала чинності Восьма програма дій ЄС у сфері охорони довкілля, яка встановлює юридично узгоджений спільний курс екологічної політики Союзу до 2030 року. Нова програма базується на цілях Європейського зеленого курсу та підтримує їх, формуючи сприятливі умови для досягнення шести ключових завдань:</w:t>
      </w:r>
    </w:p>
    <w:p w14:paraId="5E2974BF" w14:textId="77777777" w:rsidR="00220D3E" w:rsidRPr="00511005" w:rsidRDefault="00220D3E" w:rsidP="003F6A5D">
      <w:pPr>
        <w:numPr>
          <w:ilvl w:val="0"/>
          <w:numId w:val="68"/>
        </w:numPr>
        <w:tabs>
          <w:tab w:val="clear" w:pos="720"/>
          <w:tab w:val="left" w:pos="709"/>
        </w:tabs>
        <w:spacing w:line="264" w:lineRule="auto"/>
        <w:ind w:left="0" w:firstLine="709"/>
        <w:contextualSpacing/>
        <w:jc w:val="left"/>
        <w:rPr>
          <w:rFonts w:ascii="Arial" w:eastAsia="Times New Roman" w:hAnsi="Arial" w:cs="Arial"/>
          <w:szCs w:val="28"/>
          <w:lang w:eastAsia="uk-UA"/>
        </w:rPr>
      </w:pPr>
      <w:r w:rsidRPr="00511005">
        <w:rPr>
          <w:rFonts w:ascii="Arial" w:eastAsia="Times New Roman" w:hAnsi="Arial" w:cs="Arial"/>
          <w:szCs w:val="28"/>
          <w:lang w:eastAsia="uk-UA"/>
        </w:rPr>
        <w:t>Виконання плану зі скорочення викидів парникових газів до 2030 року та забезпечення кліматичної нейтральності до 2050 року;</w:t>
      </w:r>
    </w:p>
    <w:p w14:paraId="7770AA8F" w14:textId="77777777" w:rsidR="00220D3E" w:rsidRPr="00511005" w:rsidRDefault="00220D3E" w:rsidP="003F6A5D">
      <w:pPr>
        <w:numPr>
          <w:ilvl w:val="0"/>
          <w:numId w:val="68"/>
        </w:numPr>
        <w:tabs>
          <w:tab w:val="clear" w:pos="720"/>
          <w:tab w:val="left" w:pos="709"/>
        </w:tabs>
        <w:spacing w:line="264" w:lineRule="auto"/>
        <w:ind w:left="0" w:firstLine="709"/>
        <w:contextualSpacing/>
        <w:jc w:val="left"/>
        <w:rPr>
          <w:rFonts w:ascii="Arial" w:eastAsia="Times New Roman" w:hAnsi="Arial" w:cs="Arial"/>
          <w:szCs w:val="28"/>
          <w:lang w:eastAsia="uk-UA"/>
        </w:rPr>
      </w:pPr>
      <w:r w:rsidRPr="00511005">
        <w:rPr>
          <w:rFonts w:ascii="Arial" w:eastAsia="Times New Roman" w:hAnsi="Arial" w:cs="Arial"/>
          <w:szCs w:val="28"/>
          <w:lang w:eastAsia="uk-UA"/>
        </w:rPr>
        <w:t>Посилення адаптаційного потенціалу, стійкості та зменшення вразливості перед наслідками змін клімату;</w:t>
      </w:r>
    </w:p>
    <w:p w14:paraId="384C34B9" w14:textId="77777777" w:rsidR="00220D3E" w:rsidRPr="00511005" w:rsidRDefault="00220D3E" w:rsidP="003F6A5D">
      <w:pPr>
        <w:numPr>
          <w:ilvl w:val="0"/>
          <w:numId w:val="68"/>
        </w:numPr>
        <w:tabs>
          <w:tab w:val="clear" w:pos="720"/>
          <w:tab w:val="left" w:pos="709"/>
        </w:tabs>
        <w:spacing w:line="264" w:lineRule="auto"/>
        <w:ind w:left="0" w:firstLine="709"/>
        <w:contextualSpacing/>
        <w:jc w:val="left"/>
        <w:rPr>
          <w:rFonts w:ascii="Arial" w:eastAsia="Times New Roman" w:hAnsi="Arial" w:cs="Arial"/>
          <w:szCs w:val="28"/>
          <w:lang w:eastAsia="uk-UA"/>
        </w:rPr>
      </w:pPr>
      <w:r w:rsidRPr="00511005">
        <w:rPr>
          <w:rFonts w:ascii="Arial" w:eastAsia="Times New Roman" w:hAnsi="Arial" w:cs="Arial"/>
          <w:szCs w:val="28"/>
          <w:lang w:eastAsia="uk-UA"/>
        </w:rPr>
        <w:t>Перехід до моделі регенеративного економічного розвитку, що відокремлює економічне зростання від деградації довкілля та споживання ресурсів, із прискоренням впровадження циркулярної економіки;</w:t>
      </w:r>
    </w:p>
    <w:p w14:paraId="5E8F71F3" w14:textId="77777777" w:rsidR="00220D3E" w:rsidRPr="00511005" w:rsidRDefault="00220D3E" w:rsidP="003F6A5D">
      <w:pPr>
        <w:numPr>
          <w:ilvl w:val="0"/>
          <w:numId w:val="68"/>
        </w:numPr>
        <w:tabs>
          <w:tab w:val="clear" w:pos="720"/>
          <w:tab w:val="left" w:pos="709"/>
        </w:tabs>
        <w:spacing w:line="264" w:lineRule="auto"/>
        <w:ind w:left="0" w:firstLine="709"/>
        <w:contextualSpacing/>
        <w:jc w:val="left"/>
        <w:rPr>
          <w:rFonts w:ascii="Arial" w:eastAsia="Times New Roman" w:hAnsi="Arial" w:cs="Arial"/>
          <w:szCs w:val="28"/>
          <w:lang w:eastAsia="uk-UA"/>
        </w:rPr>
      </w:pPr>
      <w:r w:rsidRPr="00511005">
        <w:rPr>
          <w:rFonts w:ascii="Arial" w:eastAsia="Times New Roman" w:hAnsi="Arial" w:cs="Arial"/>
          <w:szCs w:val="28"/>
          <w:lang w:eastAsia="uk-UA"/>
        </w:rPr>
        <w:t>Досягнення нульового рівня забруднення довкілля - повітря, води та ґрунтів;</w:t>
      </w:r>
    </w:p>
    <w:p w14:paraId="401361D3" w14:textId="77777777" w:rsidR="00220D3E" w:rsidRPr="00511005" w:rsidRDefault="00220D3E" w:rsidP="003F6A5D">
      <w:pPr>
        <w:numPr>
          <w:ilvl w:val="0"/>
          <w:numId w:val="68"/>
        </w:numPr>
        <w:tabs>
          <w:tab w:val="clear" w:pos="720"/>
          <w:tab w:val="left" w:pos="709"/>
        </w:tabs>
        <w:spacing w:line="264" w:lineRule="auto"/>
        <w:ind w:left="0" w:firstLine="709"/>
        <w:contextualSpacing/>
        <w:jc w:val="left"/>
        <w:rPr>
          <w:rFonts w:ascii="Arial" w:eastAsia="Times New Roman" w:hAnsi="Arial" w:cs="Arial"/>
          <w:szCs w:val="28"/>
          <w:lang w:eastAsia="uk-UA"/>
        </w:rPr>
      </w:pPr>
      <w:r w:rsidRPr="00511005">
        <w:rPr>
          <w:rFonts w:ascii="Arial" w:eastAsia="Times New Roman" w:hAnsi="Arial" w:cs="Arial"/>
          <w:szCs w:val="28"/>
          <w:lang w:eastAsia="uk-UA"/>
        </w:rPr>
        <w:t>Охорона, збереження та відновлення біорізноманіття й посилення природного капіталу, включно з екосистемами повітря, води, лісів, болот і морських просторів;</w:t>
      </w:r>
    </w:p>
    <w:p w14:paraId="429CC0BB" w14:textId="77777777" w:rsidR="00220D3E" w:rsidRPr="00511005" w:rsidRDefault="00220D3E" w:rsidP="003F6A5D">
      <w:pPr>
        <w:numPr>
          <w:ilvl w:val="0"/>
          <w:numId w:val="68"/>
        </w:numPr>
        <w:tabs>
          <w:tab w:val="clear" w:pos="720"/>
          <w:tab w:val="left" w:pos="709"/>
        </w:tabs>
        <w:spacing w:line="264" w:lineRule="auto"/>
        <w:ind w:left="0" w:firstLine="709"/>
        <w:contextualSpacing/>
        <w:jc w:val="left"/>
        <w:rPr>
          <w:rFonts w:ascii="Arial" w:eastAsia="Times New Roman" w:hAnsi="Arial" w:cs="Arial"/>
          <w:szCs w:val="28"/>
          <w:lang w:eastAsia="uk-UA"/>
        </w:rPr>
      </w:pPr>
      <w:r w:rsidRPr="00511005">
        <w:rPr>
          <w:rFonts w:ascii="Arial" w:eastAsia="Times New Roman" w:hAnsi="Arial" w:cs="Arial"/>
          <w:szCs w:val="28"/>
          <w:lang w:eastAsia="uk-UA"/>
        </w:rPr>
        <w:t xml:space="preserve">Зниження екологічного та кліматичного навантаження, спричиненого виробничими та споживчими процесами, особливо </w:t>
      </w:r>
      <w:proofErr w:type="gramStart"/>
      <w:r w:rsidRPr="00511005">
        <w:rPr>
          <w:rFonts w:ascii="Arial" w:eastAsia="Times New Roman" w:hAnsi="Arial" w:cs="Arial"/>
          <w:szCs w:val="28"/>
          <w:lang w:eastAsia="uk-UA"/>
        </w:rPr>
        <w:t>у сферах</w:t>
      </w:r>
      <w:proofErr w:type="gramEnd"/>
      <w:r w:rsidRPr="00511005">
        <w:rPr>
          <w:rFonts w:ascii="Arial" w:eastAsia="Times New Roman" w:hAnsi="Arial" w:cs="Arial"/>
          <w:szCs w:val="28"/>
          <w:lang w:eastAsia="uk-UA"/>
        </w:rPr>
        <w:t xml:space="preserve"> енергетики, промисловості, будівництва, інфраструктури, транспорту та продовольчих систем [2].</w:t>
      </w:r>
    </w:p>
    <w:p w14:paraId="129AA10D" w14:textId="77777777" w:rsidR="00220D3E" w:rsidRPr="00511005" w:rsidRDefault="00220D3E" w:rsidP="003A292D">
      <w:pPr>
        <w:tabs>
          <w:tab w:val="left" w:pos="709"/>
        </w:tabs>
        <w:spacing w:line="264" w:lineRule="auto"/>
        <w:contextualSpacing/>
        <w:rPr>
          <w:rFonts w:ascii="Arial" w:eastAsia="Times New Roman" w:hAnsi="Arial" w:cs="Arial"/>
          <w:szCs w:val="28"/>
          <w:lang w:eastAsia="uk-UA"/>
        </w:rPr>
      </w:pPr>
      <w:r w:rsidRPr="00511005">
        <w:rPr>
          <w:rFonts w:ascii="Arial" w:eastAsia="Times New Roman" w:hAnsi="Arial" w:cs="Arial"/>
          <w:szCs w:val="28"/>
          <w:lang w:eastAsia="ru-RU"/>
        </w:rPr>
        <w:t xml:space="preserve">Слід особливо підкреслити значення Європейського зеленого курсу (European Green Deal), який ставить амбітну мету - кліматичної нейтральності в ЄС до 2050 року. Основна ідея цього курсу полягає у перегляді чинного законодавства з урахуванням його впливу на кліматичні зміни та ухваленні нових нормативних актів </w:t>
      </w:r>
      <w:proofErr w:type="gramStart"/>
      <w:r w:rsidRPr="00511005">
        <w:rPr>
          <w:rFonts w:ascii="Arial" w:eastAsia="Times New Roman" w:hAnsi="Arial" w:cs="Arial"/>
          <w:szCs w:val="28"/>
          <w:lang w:eastAsia="ru-RU"/>
        </w:rPr>
        <w:t>у сферах</w:t>
      </w:r>
      <w:proofErr w:type="gramEnd"/>
      <w:r w:rsidRPr="00511005">
        <w:rPr>
          <w:rFonts w:ascii="Arial" w:eastAsia="Times New Roman" w:hAnsi="Arial" w:cs="Arial"/>
          <w:szCs w:val="28"/>
          <w:lang w:eastAsia="ru-RU"/>
        </w:rPr>
        <w:t xml:space="preserve"> циркулярної економіки, оновлення будівель, збереження біорізноманіття, розвитку сільського господарства та підтримки інновацій. План дій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Зеленого курсу передбачає оптимізацію використання ресурсів через перехід до економіки замкнутого циклу, відновлення природних екосистем і зменшення рівня забруднення.</w:t>
      </w:r>
    </w:p>
    <w:p w14:paraId="51211E67" w14:textId="77777777" w:rsidR="00220D3E" w:rsidRPr="00511005" w:rsidRDefault="00220D3E" w:rsidP="003A292D">
      <w:pPr>
        <w:tabs>
          <w:tab w:val="left" w:pos="709"/>
        </w:tabs>
        <w:spacing w:line="264" w:lineRule="auto"/>
        <w:contextualSpacing/>
        <w:rPr>
          <w:rFonts w:ascii="Arial" w:eastAsia="Times New Roman" w:hAnsi="Arial" w:cs="Arial"/>
          <w:szCs w:val="28"/>
          <w:lang w:eastAsia="uk-UA"/>
        </w:rPr>
      </w:pPr>
      <w:r w:rsidRPr="00511005">
        <w:rPr>
          <w:rFonts w:ascii="Arial" w:eastAsia="Calibri" w:hAnsi="Arial" w:cs="Arial"/>
          <w:szCs w:val="28"/>
          <w:lang w:eastAsia="ru-RU"/>
        </w:rPr>
        <w:t>Економічні важелі відіграють ключову роль у впровадженні кліматичної політики. ЄС інвестує значні кошти в розвиток зеленої енергетики та технологій для зменшення залежності від викопного палива. Однією з основних ініціатив є програма «Horizon Europe», яка передбачає фінансування досліджень і розробок у сфері чистої енергії, відновлюваних джерел енергії та енергоефективних технологій.</w:t>
      </w:r>
    </w:p>
    <w:p w14:paraId="7E983579" w14:textId="77777777" w:rsidR="00220D3E" w:rsidRPr="00511005" w:rsidRDefault="00220D3E" w:rsidP="003A292D">
      <w:pPr>
        <w:tabs>
          <w:tab w:val="left" w:pos="709"/>
        </w:tabs>
        <w:spacing w:line="264" w:lineRule="auto"/>
        <w:rPr>
          <w:rFonts w:ascii="Arial" w:eastAsia="Calibri" w:hAnsi="Arial" w:cs="Arial"/>
          <w:szCs w:val="28"/>
          <w:lang w:eastAsia="ru-RU"/>
        </w:rPr>
      </w:pPr>
      <w:r w:rsidRPr="00511005">
        <w:rPr>
          <w:rFonts w:ascii="Arial" w:eastAsia="Calibri" w:hAnsi="Arial" w:cs="Arial"/>
          <w:szCs w:val="28"/>
          <w:lang w:eastAsia="ru-RU"/>
        </w:rPr>
        <w:t>Для забезпечення фінансування цих заходів ЄС створив кілька важливих інструментів [4]:</w:t>
      </w:r>
    </w:p>
    <w:p w14:paraId="30485DEA" w14:textId="77777777" w:rsidR="00220D3E" w:rsidRPr="00511005" w:rsidRDefault="00220D3E" w:rsidP="003F6A5D">
      <w:pPr>
        <w:numPr>
          <w:ilvl w:val="0"/>
          <w:numId w:val="67"/>
        </w:numPr>
        <w:tabs>
          <w:tab w:val="clear" w:pos="720"/>
          <w:tab w:val="left" w:pos="709"/>
        </w:tabs>
        <w:spacing w:line="264" w:lineRule="auto"/>
        <w:ind w:left="0" w:firstLine="709"/>
        <w:jc w:val="left"/>
        <w:rPr>
          <w:rFonts w:ascii="Arial" w:eastAsia="Calibri" w:hAnsi="Arial" w:cs="Arial"/>
          <w:szCs w:val="28"/>
          <w:lang w:eastAsia="ru-RU"/>
        </w:rPr>
      </w:pPr>
      <w:r w:rsidRPr="00511005">
        <w:rPr>
          <w:rFonts w:ascii="Arial" w:eastAsia="Calibri" w:hAnsi="Arial" w:cs="Arial"/>
          <w:bCs/>
          <w:szCs w:val="28"/>
          <w:lang w:eastAsia="ru-RU"/>
        </w:rPr>
        <w:lastRenderedPageBreak/>
        <w:t>Фонд кліматичних інвестицій</w:t>
      </w:r>
      <w:r w:rsidRPr="00511005">
        <w:rPr>
          <w:rFonts w:ascii="Arial" w:eastAsia="Calibri" w:hAnsi="Arial" w:cs="Arial"/>
          <w:szCs w:val="28"/>
          <w:lang w:eastAsia="ru-RU"/>
        </w:rPr>
        <w:t xml:space="preserve"> – надає гранти та позики на впровадження технологій, що сприяють зменшенню викидів парникових газів.</w:t>
      </w:r>
    </w:p>
    <w:p w14:paraId="6347B6B1" w14:textId="77777777" w:rsidR="00220D3E" w:rsidRPr="00511005" w:rsidRDefault="00220D3E" w:rsidP="003F6A5D">
      <w:pPr>
        <w:numPr>
          <w:ilvl w:val="0"/>
          <w:numId w:val="67"/>
        </w:numPr>
        <w:tabs>
          <w:tab w:val="clear" w:pos="720"/>
          <w:tab w:val="left" w:pos="709"/>
        </w:tabs>
        <w:spacing w:line="264" w:lineRule="auto"/>
        <w:ind w:left="0" w:firstLine="709"/>
        <w:jc w:val="left"/>
        <w:rPr>
          <w:rFonts w:ascii="Arial" w:eastAsia="Calibri" w:hAnsi="Arial" w:cs="Arial"/>
          <w:szCs w:val="28"/>
          <w:lang w:eastAsia="ru-RU"/>
        </w:rPr>
      </w:pPr>
      <w:r w:rsidRPr="00511005">
        <w:rPr>
          <w:rFonts w:ascii="Arial" w:eastAsia="Calibri" w:hAnsi="Arial" w:cs="Arial"/>
          <w:bCs/>
          <w:szCs w:val="28"/>
          <w:lang w:eastAsia="ru-RU"/>
        </w:rPr>
        <w:t>Механізм справедливого переходу</w:t>
      </w:r>
      <w:r w:rsidRPr="00511005">
        <w:rPr>
          <w:rFonts w:ascii="Arial" w:eastAsia="Calibri" w:hAnsi="Arial" w:cs="Arial"/>
          <w:szCs w:val="28"/>
          <w:lang w:eastAsia="ru-RU"/>
        </w:rPr>
        <w:t xml:space="preserve"> – частина бюджету ЄС, яка спрямована на підтримку регіонів, що постраждали від зниження вуглецевої економіки, з метою забезпечення соціальної справедливості в процесі переходу до екологічно чистої енергії.</w:t>
      </w:r>
    </w:p>
    <w:p w14:paraId="51389897" w14:textId="77777777" w:rsidR="00220D3E" w:rsidRPr="00511005" w:rsidRDefault="00220D3E" w:rsidP="003A292D">
      <w:pPr>
        <w:tabs>
          <w:tab w:val="left" w:pos="709"/>
        </w:tabs>
        <w:spacing w:line="264" w:lineRule="auto"/>
        <w:rPr>
          <w:rFonts w:ascii="Arial" w:eastAsia="Calibri" w:hAnsi="Arial" w:cs="Arial"/>
          <w:szCs w:val="28"/>
          <w:lang w:eastAsia="ru-RU"/>
        </w:rPr>
      </w:pPr>
      <w:r w:rsidRPr="00511005">
        <w:rPr>
          <w:rFonts w:ascii="Arial" w:eastAsia="Calibri" w:hAnsi="Arial" w:cs="Arial"/>
          <w:szCs w:val="28"/>
          <w:lang w:eastAsia="ru-RU"/>
        </w:rPr>
        <w:t>Інші фінансові механізми включають Програму інвестицій у зелену економіку (InvestEU) та підтримку для малих і середніх підприємств у секторі екологічних інновацій.</w:t>
      </w:r>
    </w:p>
    <w:p w14:paraId="0342AF1A" w14:textId="77777777" w:rsidR="00220D3E" w:rsidRPr="00511005" w:rsidRDefault="00220D3E" w:rsidP="003A292D">
      <w:pPr>
        <w:tabs>
          <w:tab w:val="left" w:pos="709"/>
        </w:tabs>
        <w:spacing w:line="264" w:lineRule="auto"/>
        <w:rPr>
          <w:rFonts w:ascii="Arial" w:eastAsia="Calibri" w:hAnsi="Arial" w:cs="Arial"/>
          <w:szCs w:val="28"/>
          <w:lang w:eastAsia="ru-RU"/>
        </w:rPr>
      </w:pPr>
      <w:r w:rsidRPr="00511005">
        <w:rPr>
          <w:rFonts w:ascii="Arial" w:eastAsia="Calibri" w:hAnsi="Arial" w:cs="Arial"/>
          <w:szCs w:val="28"/>
          <w:lang w:eastAsia="ru-RU"/>
        </w:rPr>
        <w:t>Європейський Союз активно бере участь у міжнародних переговорах щодо клімату. Важливою подією стало підписання Паризької угоди у 2015 році, в якій країни світу, включаючи ЄС, домовилися обмежити глобальне потепління на рівні 1,5–2 °C порівняно з доіндустріальним рівнем. ЄС активно працює на дипломатичному фронті для зміцнення співпраці з іншими країнами та регіонами щодо зниження викидів парникових газів та впровадження стійких практик.</w:t>
      </w:r>
    </w:p>
    <w:p w14:paraId="30442E8B" w14:textId="77777777" w:rsidR="00220D3E" w:rsidRPr="00511005" w:rsidRDefault="00220D3E" w:rsidP="003A292D">
      <w:pPr>
        <w:tabs>
          <w:tab w:val="left" w:pos="709"/>
        </w:tabs>
        <w:spacing w:line="264" w:lineRule="auto"/>
        <w:rPr>
          <w:rFonts w:ascii="Arial" w:eastAsia="Calibri" w:hAnsi="Arial" w:cs="Arial"/>
          <w:szCs w:val="28"/>
          <w:lang w:eastAsia="ru-RU"/>
        </w:rPr>
      </w:pPr>
      <w:r w:rsidRPr="00511005">
        <w:rPr>
          <w:rFonts w:ascii="Arial" w:eastAsia="Calibri" w:hAnsi="Arial" w:cs="Arial"/>
          <w:szCs w:val="28"/>
          <w:lang w:eastAsia="ru-RU"/>
        </w:rPr>
        <w:t>Паризька угода встановила основні рамки для глобальних кліматичних дій, і ЄС зіграв вирішальну роль у її підписанні та реалізації. Європейські країни активно працюють над підтримкою країн, що розвиваються, надаючи фінансову та технічну допомогу для адаптації до наслідків кліматичних змін та зменшення викидів парникових газів.</w:t>
      </w:r>
    </w:p>
    <w:p w14:paraId="42BA69E2" w14:textId="77777777" w:rsidR="00220D3E" w:rsidRPr="00511005" w:rsidRDefault="00220D3E" w:rsidP="003A292D">
      <w:pPr>
        <w:tabs>
          <w:tab w:val="left" w:pos="709"/>
        </w:tabs>
        <w:spacing w:line="264" w:lineRule="auto"/>
        <w:rPr>
          <w:rFonts w:ascii="Arial" w:eastAsia="Calibri" w:hAnsi="Arial" w:cs="Arial"/>
          <w:szCs w:val="28"/>
          <w:lang w:eastAsia="ru-RU"/>
        </w:rPr>
      </w:pPr>
      <w:r w:rsidRPr="00511005">
        <w:rPr>
          <w:rFonts w:ascii="Arial" w:eastAsia="Calibri" w:hAnsi="Arial" w:cs="Arial"/>
          <w:szCs w:val="28"/>
          <w:lang w:eastAsia="ru-RU"/>
        </w:rPr>
        <w:t>ЄС також відіграє активну роль у таких міжнародних платформах, як Глобальний альянс дій по клімату (Global Climate Action Alliance) та підписує двосторонні угоди з великими економіками, такими як Китай та Індія, для стимулювання глобального кліматичного співробітництва.</w:t>
      </w:r>
    </w:p>
    <w:p w14:paraId="047CD65A" w14:textId="77777777" w:rsidR="00220D3E" w:rsidRPr="00511005" w:rsidRDefault="00220D3E" w:rsidP="003A292D">
      <w:pPr>
        <w:tabs>
          <w:tab w:val="left" w:pos="709"/>
        </w:tabs>
        <w:spacing w:line="264" w:lineRule="auto"/>
        <w:rPr>
          <w:rFonts w:ascii="Arial" w:eastAsia="Calibri" w:hAnsi="Arial" w:cs="Arial"/>
          <w:szCs w:val="28"/>
          <w:lang w:eastAsia="ru-RU"/>
        </w:rPr>
      </w:pPr>
      <w:r w:rsidRPr="00511005">
        <w:rPr>
          <w:rFonts w:ascii="Arial" w:eastAsia="Calibri" w:hAnsi="Arial" w:cs="Arial"/>
          <w:szCs w:val="28"/>
          <w:lang w:eastAsia="ru-RU"/>
        </w:rPr>
        <w:t>Хоча ЄС лідирує у боротьбі з кліматичними змінами, перед ним стоять серйозні виклики. Серед них – необхідність балансувати економічний розвиток з екологічними цілями, підтримка промислових секторів, які залежать від викопного палива, та забезпечення соціальної справедливості під час переходу до зеленої економіки. Іншим значним викликом є різні рівні економічного розвитку країн-членів ЄС, що вимагає індивідуального підходу до кожної з них у впровадженні кліматичних заходів.</w:t>
      </w:r>
    </w:p>
    <w:p w14:paraId="4437E69A" w14:textId="77777777" w:rsidR="00220D3E" w:rsidRPr="00511005" w:rsidRDefault="00220D3E" w:rsidP="003A292D">
      <w:pPr>
        <w:tabs>
          <w:tab w:val="left" w:pos="709"/>
        </w:tabs>
        <w:spacing w:line="264" w:lineRule="auto"/>
        <w:rPr>
          <w:rFonts w:ascii="Arial" w:eastAsia="Calibri" w:hAnsi="Arial" w:cs="Arial"/>
          <w:szCs w:val="28"/>
          <w:lang w:eastAsia="ru-RU"/>
        </w:rPr>
      </w:pPr>
      <w:r w:rsidRPr="00511005">
        <w:rPr>
          <w:rFonts w:ascii="Arial" w:eastAsia="Calibri" w:hAnsi="Arial" w:cs="Arial"/>
          <w:szCs w:val="28"/>
          <w:lang w:eastAsia="ru-RU"/>
        </w:rPr>
        <w:t>Успішне виконання цілей кліматичної політики ЄС залежить від узгоджених дій на всіх рівнях управління – від національних урядів до місцевих громад. Важливим є також залучення бізнесу та громадян до впровадження екологічних ініціатив.</w:t>
      </w:r>
    </w:p>
    <w:p w14:paraId="2F968CB8" w14:textId="77777777" w:rsidR="00220D3E" w:rsidRPr="00511005" w:rsidRDefault="00220D3E" w:rsidP="003A292D">
      <w:pPr>
        <w:tabs>
          <w:tab w:val="left" w:pos="709"/>
        </w:tabs>
        <w:spacing w:line="264" w:lineRule="auto"/>
        <w:rPr>
          <w:rFonts w:ascii="Arial" w:eastAsia="Calibri" w:hAnsi="Arial" w:cs="Arial"/>
          <w:szCs w:val="28"/>
          <w:lang w:eastAsia="ru-RU"/>
        </w:rPr>
      </w:pPr>
      <w:r w:rsidRPr="00511005">
        <w:rPr>
          <w:rFonts w:ascii="Arial" w:eastAsia="Calibri" w:hAnsi="Arial" w:cs="Arial"/>
          <w:bCs/>
          <w:szCs w:val="28"/>
          <w:lang w:eastAsia="ru-RU"/>
        </w:rPr>
        <w:t>Отже,</w:t>
      </w:r>
      <w:r w:rsidRPr="00511005">
        <w:rPr>
          <w:rFonts w:ascii="Arial" w:eastAsia="Calibri" w:hAnsi="Arial" w:cs="Arial"/>
          <w:b/>
          <w:bCs/>
          <w:szCs w:val="28"/>
          <w:lang w:eastAsia="ru-RU"/>
        </w:rPr>
        <w:t xml:space="preserve"> </w:t>
      </w:r>
      <w:r w:rsidRPr="00511005">
        <w:rPr>
          <w:rFonts w:ascii="Arial" w:eastAsia="Calibri" w:hAnsi="Arial" w:cs="Arial"/>
          <w:szCs w:val="28"/>
          <w:lang w:eastAsia="ru-RU"/>
        </w:rPr>
        <w:t xml:space="preserve">Європейський Союз є глобальним лідером у подоланні кліматичних змін, і його законодавча, економічна та дипломатична діяльність спрямована на досягнення кліматичної нейтральності до 2050 </w:t>
      </w:r>
      <w:proofErr w:type="gramStart"/>
      <w:r w:rsidRPr="00511005">
        <w:rPr>
          <w:rFonts w:ascii="Arial" w:eastAsia="Calibri" w:hAnsi="Arial" w:cs="Arial"/>
          <w:szCs w:val="28"/>
          <w:lang w:eastAsia="ru-RU"/>
        </w:rPr>
        <w:t>року[</w:t>
      </w:r>
      <w:proofErr w:type="gramEnd"/>
      <w:r w:rsidRPr="00511005">
        <w:rPr>
          <w:rFonts w:ascii="Arial" w:eastAsia="Calibri" w:hAnsi="Arial" w:cs="Arial"/>
          <w:szCs w:val="28"/>
          <w:lang w:eastAsia="ru-RU"/>
        </w:rPr>
        <w:t xml:space="preserve">5]. Впроваджуючи амбітні цілі зі зниження викидів та стимулюючи міжнародну співпрацю, ЄС прокладає шлях </w:t>
      </w:r>
      <w:proofErr w:type="gramStart"/>
      <w:r w:rsidRPr="00511005">
        <w:rPr>
          <w:rFonts w:ascii="Arial" w:eastAsia="Calibri" w:hAnsi="Arial" w:cs="Arial"/>
          <w:szCs w:val="28"/>
          <w:lang w:eastAsia="ru-RU"/>
        </w:rPr>
        <w:t>для переходу</w:t>
      </w:r>
      <w:proofErr w:type="gramEnd"/>
      <w:r w:rsidRPr="00511005">
        <w:rPr>
          <w:rFonts w:ascii="Arial" w:eastAsia="Calibri" w:hAnsi="Arial" w:cs="Arial"/>
          <w:szCs w:val="28"/>
          <w:lang w:eastAsia="ru-RU"/>
        </w:rPr>
        <w:t xml:space="preserve"> до стійкого </w:t>
      </w:r>
      <w:r w:rsidRPr="00511005">
        <w:rPr>
          <w:rFonts w:ascii="Arial" w:eastAsia="Calibri" w:hAnsi="Arial" w:cs="Arial"/>
          <w:szCs w:val="28"/>
          <w:lang w:eastAsia="ru-RU"/>
        </w:rPr>
        <w:lastRenderedPageBreak/>
        <w:t>майбутнього. Однак, незважаючи на ці досягнення, подальші кроки вимагатимуть зусиль з боку урядів, бізнесу та суспільства для успішної адаптації до змін та зменшення їх негативних наслідків.</w:t>
      </w:r>
    </w:p>
    <w:p w14:paraId="3DA14277" w14:textId="77777777" w:rsidR="00220D3E" w:rsidRPr="00511005" w:rsidRDefault="00220D3E" w:rsidP="003A292D">
      <w:pPr>
        <w:tabs>
          <w:tab w:val="left" w:pos="709"/>
        </w:tabs>
        <w:spacing w:line="264" w:lineRule="auto"/>
        <w:rPr>
          <w:rFonts w:ascii="Arial" w:eastAsia="Calibri" w:hAnsi="Arial" w:cs="Arial"/>
          <w:szCs w:val="28"/>
          <w:lang w:val="uk-UA" w:eastAsia="ru-RU"/>
        </w:rPr>
      </w:pPr>
    </w:p>
    <w:p w14:paraId="6E7F9DFA" w14:textId="01B3EE5C" w:rsidR="00220D3E" w:rsidRPr="00511005" w:rsidRDefault="007B2628" w:rsidP="007B2628">
      <w:pPr>
        <w:tabs>
          <w:tab w:val="left" w:pos="709"/>
        </w:tabs>
        <w:spacing w:line="264" w:lineRule="auto"/>
        <w:jc w:val="center"/>
        <w:rPr>
          <w:rFonts w:ascii="Arial" w:eastAsia="Calibri" w:hAnsi="Arial" w:cs="Arial"/>
          <w:b/>
          <w:szCs w:val="28"/>
          <w:lang w:eastAsia="ru-RU"/>
        </w:rPr>
      </w:pPr>
      <w:r w:rsidRPr="00511005">
        <w:rPr>
          <w:rFonts w:ascii="Arial" w:eastAsia="Calibri" w:hAnsi="Arial" w:cs="Arial"/>
          <w:b/>
          <w:szCs w:val="28"/>
          <w:lang w:val="uk-UA" w:eastAsia="ru-RU"/>
        </w:rPr>
        <w:t>Список використаних джерел</w:t>
      </w:r>
      <w:r w:rsidR="00220D3E" w:rsidRPr="00511005">
        <w:rPr>
          <w:rFonts w:ascii="Arial" w:eastAsia="Calibri" w:hAnsi="Arial" w:cs="Arial"/>
          <w:b/>
          <w:szCs w:val="28"/>
          <w:lang w:eastAsia="ru-RU"/>
        </w:rPr>
        <w:t xml:space="preserve"> </w:t>
      </w:r>
    </w:p>
    <w:p w14:paraId="30DC7C5A" w14:textId="77777777" w:rsidR="00220D3E" w:rsidRPr="00511005" w:rsidRDefault="00220D3E" w:rsidP="003F6A5D">
      <w:pPr>
        <w:numPr>
          <w:ilvl w:val="0"/>
          <w:numId w:val="69"/>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Суходоля О. Європейський план подолання залежності від російських енергоносіїв. Національний інститут стратегічних досліджень. 2022. URL: https://niss.gov.ua/doslidzhennya/natsionalna-bezpeka/ yevropeyskyy-plan-podolannya-zalezhnosti-vid-rosiyskykh </w:t>
      </w:r>
    </w:p>
    <w:p w14:paraId="159B5E57" w14:textId="77777777" w:rsidR="00220D3E" w:rsidRPr="00511005" w:rsidRDefault="00220D3E" w:rsidP="003F6A5D">
      <w:pPr>
        <w:numPr>
          <w:ilvl w:val="0"/>
          <w:numId w:val="69"/>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Decision (EU) 2022/591 of the European Parliament and of the Council of 6 April 2022 on a General Union Environment Action Programme to 2030, 2022, European Union, OJ L 114, p. 22–</w:t>
      </w:r>
      <w:proofErr w:type="gramStart"/>
      <w:r w:rsidRPr="00511005">
        <w:rPr>
          <w:rFonts w:ascii="Arial" w:eastAsia="Calibri" w:hAnsi="Arial" w:cs="Arial"/>
          <w:szCs w:val="28"/>
          <w:lang w:val="en-US"/>
        </w:rPr>
        <w:t>36 ,</w:t>
      </w:r>
      <w:proofErr w:type="gramEnd"/>
      <w:r w:rsidRPr="00511005">
        <w:rPr>
          <w:rFonts w:ascii="Arial" w:eastAsia="Calibri" w:hAnsi="Arial" w:cs="Arial"/>
          <w:szCs w:val="28"/>
          <w:lang w:val="en-US"/>
        </w:rPr>
        <w:t xml:space="preserve"> URL: https://eurlex.europa.eu/legal- 111 content/EN/TXT/?uri=CELEX:32022D0591</w:t>
      </w:r>
    </w:p>
    <w:p w14:paraId="047EFAB0" w14:textId="77777777" w:rsidR="00220D3E" w:rsidRPr="00511005" w:rsidRDefault="00220D3E" w:rsidP="003F6A5D">
      <w:pPr>
        <w:numPr>
          <w:ilvl w:val="0"/>
          <w:numId w:val="69"/>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Communication from the Commission to the European Parliament, the European Council, the Council, the European Economic and Social Committee and the Committee of Tthe Regions, The European Green Deal, European Union, COM(2019) 640 final, URL: </w:t>
      </w:r>
      <w:hyperlink r:id="rId194" w:history="1">
        <w:r w:rsidRPr="00511005">
          <w:rPr>
            <w:rFonts w:ascii="Arial" w:eastAsia="Calibri" w:hAnsi="Arial" w:cs="Arial"/>
            <w:szCs w:val="28"/>
            <w:lang w:val="en-US"/>
          </w:rPr>
          <w:t>https://eurlex.europa.eu/resource.html?uri=cellar:b828d165-1c22-11ea8c1f01aa75ed71a1.0002.02/DOC_1&amp;format=PDF</w:t>
        </w:r>
      </w:hyperlink>
    </w:p>
    <w:p w14:paraId="1663E591" w14:textId="77777777" w:rsidR="00220D3E" w:rsidRPr="00511005" w:rsidRDefault="00220D3E" w:rsidP="003F6A5D">
      <w:pPr>
        <w:numPr>
          <w:ilvl w:val="0"/>
          <w:numId w:val="69"/>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rPr>
        <w:t xml:space="preserve">Орлов О. Міжнародно-правове регулювання питань зміни клімату Землі: проблеми та перспективи. </w:t>
      </w:r>
      <w:r w:rsidRPr="00511005">
        <w:rPr>
          <w:rFonts w:ascii="Arial" w:eastAsia="Calibri" w:hAnsi="Arial" w:cs="Arial"/>
          <w:szCs w:val="28"/>
          <w:lang w:val="en-US"/>
        </w:rPr>
        <w:t xml:space="preserve">URL: http://dspace.onua. edu.ua/bitstream/handle/11300/12645/Zemlia. pdf?sequence=1&amp;isAllowed=y </w:t>
      </w:r>
    </w:p>
    <w:p w14:paraId="116AA4ED" w14:textId="616074E4" w:rsidR="00220D3E" w:rsidRPr="00511005" w:rsidRDefault="00220D3E" w:rsidP="003F6A5D">
      <w:pPr>
        <w:numPr>
          <w:ilvl w:val="0"/>
          <w:numId w:val="69"/>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Regulation (EU) 2021/1119 of the European Parliament and of the Council of 30 June 2021 establishing the framework for achieving climate neutrality and amending Regulations (EC) No 401/2009 and (EU) 2018/1999 (‘European Climate Law’) URL:</w:t>
      </w:r>
      <w:r w:rsidR="007B2628" w:rsidRPr="00511005">
        <w:rPr>
          <w:rFonts w:ascii="Arial" w:eastAsia="Calibri" w:hAnsi="Arial" w:cs="Arial"/>
          <w:szCs w:val="28"/>
          <w:lang w:val="en-US"/>
        </w:rPr>
        <w:t xml:space="preserve"> </w:t>
      </w:r>
      <w:r w:rsidRPr="00511005">
        <w:rPr>
          <w:rFonts w:ascii="Arial" w:eastAsia="Calibri" w:hAnsi="Arial" w:cs="Arial"/>
          <w:szCs w:val="28"/>
          <w:lang w:val="en-US"/>
        </w:rPr>
        <w:t>https://eur-lex.europa.eu/eli/reg/2021/1119/oj/eng</w:t>
      </w:r>
    </w:p>
    <w:p w14:paraId="4345C2E2" w14:textId="77777777" w:rsidR="00220D3E" w:rsidRPr="00511005" w:rsidRDefault="00220D3E" w:rsidP="003A292D">
      <w:pPr>
        <w:tabs>
          <w:tab w:val="left" w:pos="709"/>
        </w:tabs>
        <w:spacing w:line="264" w:lineRule="auto"/>
        <w:jc w:val="left"/>
        <w:rPr>
          <w:rFonts w:ascii="Arial" w:eastAsia="Times New Roman" w:hAnsi="Arial" w:cs="Arial"/>
          <w:b/>
          <w:bCs/>
          <w:szCs w:val="28"/>
          <w:lang w:val="uk-UA" w:eastAsia="ru-RU"/>
        </w:rPr>
      </w:pPr>
    </w:p>
    <w:p w14:paraId="66522713" w14:textId="0B61717F" w:rsidR="00220D3E" w:rsidRPr="00511005" w:rsidRDefault="007B2628" w:rsidP="003A292D">
      <w:p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кліматичні зміни, кліматична політика ЄС, сталий розвиток, Європейський зелений курс.</w:t>
      </w:r>
    </w:p>
    <w:p w14:paraId="78B1EEF9" w14:textId="7314B3FB" w:rsidR="00220D3E" w:rsidRPr="00511005" w:rsidRDefault="007B2628" w:rsidP="003A292D">
      <w:p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uk-UA" w:eastAsia="ru-RU"/>
        </w:rPr>
        <w:t>climate change, EU climate policy, sustainable development, European Green Deal</w:t>
      </w:r>
    </w:p>
    <w:bookmarkEnd w:id="27"/>
    <w:bookmarkEnd w:id="28"/>
    <w:bookmarkEnd w:id="29"/>
    <w:bookmarkEnd w:id="30"/>
    <w:p w14:paraId="5D29B5F3" w14:textId="2F03307E" w:rsidR="00220D3E" w:rsidRPr="00511005" w:rsidRDefault="00EE6668" w:rsidP="003A292D">
      <w:pPr>
        <w:tabs>
          <w:tab w:val="left" w:pos="709"/>
        </w:tabs>
        <w:spacing w:line="264" w:lineRule="auto"/>
        <w:rPr>
          <w:rFonts w:ascii="Arial" w:eastAsia="Times New Roman" w:hAnsi="Arial" w:cs="Arial"/>
          <w:i/>
          <w:iCs/>
          <w:szCs w:val="28"/>
          <w:lang w:eastAsia="ru-RU"/>
        </w:rPr>
      </w:pPr>
      <w:r w:rsidRPr="00511005">
        <w:rPr>
          <w:rFonts w:ascii="Arial" w:eastAsia="Calibri" w:hAnsi="Arial" w:cs="Arial"/>
          <w:i/>
          <w:iCs/>
          <w:szCs w:val="28"/>
          <w:lang w:eastAsia="ru-RU"/>
        </w:rPr>
        <w:t>Науковий керівник:</w:t>
      </w:r>
      <w:r w:rsidR="00220D3E" w:rsidRPr="00511005">
        <w:rPr>
          <w:rFonts w:ascii="Arial" w:eastAsia="Calibri" w:hAnsi="Arial" w:cs="Arial"/>
          <w:i/>
          <w:iCs/>
          <w:szCs w:val="28"/>
          <w:lang w:eastAsia="ru-RU"/>
        </w:rPr>
        <w:t xml:space="preserve"> д.ю.н., професор Сурілова О.О.</w:t>
      </w:r>
    </w:p>
    <w:p w14:paraId="24360FE8" w14:textId="77777777" w:rsidR="00220D3E" w:rsidRPr="00511005" w:rsidRDefault="00220D3E" w:rsidP="003A292D">
      <w:pPr>
        <w:tabs>
          <w:tab w:val="left" w:pos="142"/>
          <w:tab w:val="left" w:pos="709"/>
          <w:tab w:val="left" w:pos="993"/>
          <w:tab w:val="left" w:pos="7088"/>
        </w:tabs>
        <w:spacing w:line="264" w:lineRule="auto"/>
        <w:rPr>
          <w:rFonts w:ascii="Arial" w:eastAsia="Times New Roman" w:hAnsi="Arial" w:cs="Arial"/>
          <w:szCs w:val="28"/>
          <w:lang w:val="uk-UA" w:eastAsia="ru-RU" w:bidi="uk-UA"/>
        </w:rPr>
      </w:pPr>
    </w:p>
    <w:p w14:paraId="490D0EF2" w14:textId="77777777" w:rsidR="00220D3E" w:rsidRPr="00511005" w:rsidRDefault="00220D3E" w:rsidP="003A292D">
      <w:pPr>
        <w:keepNext/>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Вискребець Вікторія Сергіївна</w:t>
      </w:r>
    </w:p>
    <w:p w14:paraId="150347B0" w14:textId="1049CBAF"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r w:rsidR="00220D3E"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39E1E263"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29B6B354"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b/>
          <w:bCs/>
          <w:szCs w:val="28"/>
          <w:shd w:val="clear" w:color="auto" w:fill="FFFFFF"/>
          <w:lang w:eastAsia="ru-RU"/>
        </w:rPr>
        <w:t>ЗАХИСТ КУЛЬТУРНОЇ СПАДЩИНИ У ЗБРОЙНИХ КОНФЛІКТАХ: МІЖНАРОДНО-ПРАВОВИЙ АСПЕКТ</w:t>
      </w:r>
    </w:p>
    <w:p w14:paraId="610A5C4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Захист культурної спадщини відповідно до міжнародно-правових актів створення глобальної та регіональних культурних систем та актам ЮНЕСКО </w:t>
      </w:r>
      <w:r w:rsidRPr="00511005">
        <w:rPr>
          <w:rFonts w:ascii="Arial" w:eastAsia="Times New Roman" w:hAnsi="Arial" w:cs="Arial"/>
          <w:szCs w:val="28"/>
          <w:lang w:val="uk-UA" w:eastAsia="ru-RU"/>
        </w:rPr>
        <w:lastRenderedPageBreak/>
        <w:t xml:space="preserve">означає необхідну роботу щодо створення належних умов для виживання історичного орієнтиру, археологічної пам'ятки або історичного району. </w:t>
      </w:r>
    </w:p>
    <w:p w14:paraId="6583FE6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Культурна спадщина – це пам'ятники, групи будівель, які мають визначну універсальну цінність з погляду історії, мистецтва чи науки; це твори людини або комбіновані твори природи та людини.</w:t>
      </w:r>
    </w:p>
    <w:p w14:paraId="13C41FC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класифікації ЮНЕСКО виділяють багато видів</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культурної спадщини. Матеріальна культурна спадщина складається з пам'ятників,</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архітектурних робіт, творів монументальної скульптури та живопису, елементів</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чи структур археологічного характеру та написів. Ця культурна спадщина ділиться на:</w:t>
      </w:r>
    </w:p>
    <w:p w14:paraId="66048F2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1. Нерухомий спадок – пам'ятники, архітектурні роботи, археологічні пам'ятники, музеї та історичні центри Цей вид спадщини складається з таких видів:</w:t>
      </w:r>
    </w:p>
    <w:p w14:paraId="57F5A8C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Археологічна спадщина, що включає всю археологічну діяльність людини [4];</w:t>
      </w:r>
    </w:p>
    <w:p w14:paraId="0658EF0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Архітектурна спадщина, що складається з окремих або пов'язаних між собою будівель, які через свою архітектуру, їх однорідність або місце в ландшафті вважаються найбільш важливими з ресурсів культурної спадщини, що відображають діяльність людей, суспільства та культури.</w:t>
      </w:r>
    </w:p>
    <w:p w14:paraId="1CD6A86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2. Рухомий спадок – картини, малюнки, вирізані чи вигравірувані зображення, рукописи та марки, документальна спадщина.</w:t>
      </w:r>
    </w:p>
    <w:p w14:paraId="720633A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Нематеріальна культурна спадщина означає практику, уявлення, вирази, знання, навички, а також інструменти, предмети, артефакти та культурні простори, а також пов'язані з ними спільноти, групи та, в деяких випадках, людей, які визнаються як частина культурної спадщини [4</w:t>
      </w:r>
      <w:r w:rsidRPr="00511005">
        <w:rPr>
          <w:rFonts w:ascii="Arial" w:eastAsia="Times New Roman" w:hAnsi="Arial" w:cs="Arial"/>
          <w:szCs w:val="28"/>
          <w:lang w:eastAsia="ru-RU"/>
        </w:rPr>
        <w:t>]</w:t>
      </w:r>
    </w:p>
    <w:p w14:paraId="72F78FA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Правовий захист. Необхідно захистити культурну спадщину на трьох рівнях: на міжнародному, регіональному та місцевому рівнях.</w:t>
      </w:r>
    </w:p>
    <w:p w14:paraId="1E4E4CA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Адміністративний захист – це вид управління чи організаційної структури, які застосовуються в місцях культурної спадщини, які відрізняються одна від одної за соціальними, економічними та релігійними умовами [6].</w:t>
      </w:r>
    </w:p>
    <w:p w14:paraId="3CDEDCC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Технічний захист є сучасною технологією інструментів, механізмів, контролю температури, вологості тощо, що сприяють охороні культурної спадщини. Так, електронні бази даних сприяють збереженню спадщини шляхом запису та документування відповідної інформації та зображень. Системи сигналізації дозволяють захистити колекції від крадіжок, руйнувань та пожеж. Для збереження та стійкості культурних цінностей використовуються сучасні наукові методи їхнього відновлення [2].</w:t>
      </w:r>
    </w:p>
    <w:p w14:paraId="4CC7EC9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Відповідальність за збереження культурної спадщини у конфліктних зонах. Культурна спадщина, що лежить на поверхні землі, належить усім людям, а відповідальними за її захист є люди не тільки конфліктних збройних зонах, а й у всіх куточках світу. Багато об'єктів культурної спадщини зруйновані через війну. Наприклад, війна у Сирії велася </w:t>
      </w:r>
      <w:r w:rsidRPr="00511005">
        <w:rPr>
          <w:rFonts w:ascii="Arial" w:eastAsia="Times New Roman" w:hAnsi="Arial" w:cs="Arial"/>
          <w:szCs w:val="28"/>
          <w:lang w:val="uk-UA" w:eastAsia="ru-RU"/>
        </w:rPr>
        <w:lastRenderedPageBreak/>
        <w:t>безперервно більше 8 років, спадщина країни виявилася великою жертвою цього конфлікту [1]. Становище музеїв, культурної спадщини, археологічних пам'яток та таких пам'яток, як старі цитаделі, викликає велике занепокоєння. Відповідальними за захист культурної спадщини є різні міжнародні, регіональні та місцеві організації всіх рівнях.</w:t>
      </w:r>
    </w:p>
    <w:p w14:paraId="2CCD6A0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Довгий час роль міжнародних організацій (ЮНЕСКО, ІКОМОС, ІКОМ, ІККРОМ та ін.) у захисті культурної спадщини в збройних зонах була обмеженою. У 1945 р. ЮНЕСКО в Гаазі опублікувала перший протокол захисту культурного пріоритету у разі збройного конфлікту, а другий – 1999 р. [7]. З 1970 р. Конвенція ЮНЕСКО про засоби заборони та запобігання незаконному ввезенню, вивезення та передачі права власності на культурні цінності є основним інструментом міжнародного захисту культурної спадщини. Рада Безпеки ООН у 1999 р. прийняла Резолюцію №2347, яка засуджує незаконне знищення культурної спадщини. У 2017 р. у штаб-квартирі ООН було проведено нараду, на якій було оголошено про взаємозв'язок між руйнуванням культурної спадщини та тероризмом і масовим насильством. </w:t>
      </w:r>
    </w:p>
    <w:p w14:paraId="5F6A49D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ЮНЕСКО докладає зусиль для захисту культурних цінностей відразу ж після виникнення багатьох збройних конфліктів міжнародного характеру. Рада Безпеки ООН відіграла аналогічну роль у конфлікті між Індією та Пакистаном у 1971 р., між Туреччиною та Кіпром у 1974 р., Іраком та Іраном у 1980 р., за вторгнення Ізраїлю до Лівану у 1982 р., Іраку до Кувейту у 1990 р., конфлікт між Вірменією та Азербайджаном 1992 р. [9]. Вступ американських військ до Іраку 2003 р. призвів до того, що культурні цінності були піддані крадіжці та невиборчому знищенню. Тут ЮНЕСКО прагнула відновити деякі з археологічних артефактів, співпрацюючи з Інтерполом [5]. </w:t>
      </w:r>
    </w:p>
    <w:p w14:paraId="0B9FA42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Міжнародні організації намагалися захистити культурну спадщину у будь-якій країні світу. Але в багатьох випадках їхня роль у захисті була обмежена, особливо в Сирії та Іраку (у зонах збройних конфліктів), оскільки об'єкти культурної спадщини у Сирії та Іраку зруйнували не лише незаконні розкопки, а й крадіжки та незаконна контрабанда.</w:t>
      </w:r>
    </w:p>
    <w:p w14:paraId="06687CD4" w14:textId="2FC6F08A"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Ці організації стикаються з деякими проблемами та перешкодами задля досягнення своїх цілей [9]. Прихований контроль, який здійснюють деякі уряди над міжнародними організаціями, змушує їх неохоче виконувати свої функції з охорони культурної спадщини, особливо у випадках війни та контрабанди.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Іншими причинами є відсутність прихильності деяких країн конвенціям про захист культурної спадщини, нездатність вжити заходів для їх захисту за допомогою законодавства та відсутність ефективної координації між міжнародними організаціями та національними установами, які працюють у галузі охорони культурної спадщини у зоні збройного конфлікту. </w:t>
      </w:r>
    </w:p>
    <w:p w14:paraId="718987A3" w14:textId="61318F9F"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Встановлення глобального контексту проблем, з якими стикається культурна спадщина у періоди конфліктів, має важливе значення для забезпечення того, щоб спадщина постраждалих територій була захищена для майбутніх поколінь. Зрозуміло також, що культура не тільки схильна до ризику внаслідок конфлікту. Вона дуже часто є об'єктом агресії та маніпуляцій зі сторони тих, хто встановлює жорстокий політичний порядок. Щодо цього реалізація міжнародного права має вирішальне значення і тому необхідно робити все можливе, щоб зміцнити можливості держав для захисту культурної спадщини. Різні міжнародні конвенції,</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повинні відстоюватися і застосовуватися як постійні та неминучі підстави урядових зобов'язань щодо захисту культурної спадщини. До них відносяться Конвенція 1954 р. про захист культурних цінностей у разі конфлікту [8], конвенція 1970 р. про засоби заборони та запобігання незаконному ввезенню, експорту та передачі права власності на культурні цінності та об’єкти всесвітньої спадщини.</w:t>
      </w:r>
    </w:p>
    <w:p w14:paraId="4425620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Нажаль під час агресії проти України російська федерація використовує культуру як інструмент проти України. Окремі автори підкреслюють, що знищення та привласнення українських культурних об'єктів є частиною стратегії РФ для асиміляції населення окупованих територій, а також аналізують заходи, які Україна може застосувати для захисту своєї культурної спадщини [11]. </w:t>
      </w:r>
    </w:p>
    <w:p w14:paraId="692DF93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Серед таких інструментів спротиву і міжнародна судова система. Прикладом може стати рішення Міжнародного Суду ООН щодо спору між Україною та росією стосовно порушень Міжнародної конвенції про ліквідацію всіх форм расової дискримінації. Особливо слід звернути увагу на те, як це рішення впливає на ситуацію з культурною спадщиною в Криму, зокрема на руйнування історичних пам'яток, таких як Ханський палац у Бахчисараї [12].</w:t>
      </w:r>
    </w:p>
    <w:p w14:paraId="23BE6A9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Продовжуються і дослідження проблемних питань захисту культурної спадщини України в умовах російської агресії, тут можна зупинитися на публікації Грушко М.В., Тимошенко Д.В. У публікації досліджуються сучасні виклики захисту прав на культурну спадщину в умовах збройного конфлікту на прикладі російської агресії проти України. Автори звертають увагу на систематичне знищення, розкрадання та фальсифікацію культурних об’єктів на тимчасово окупованих територіях, що несе загрозу не лише матеріальним цінностям, а й національній ідентичності. Розкриваються проблеми правового регулювання, зокрема застарілість українського законодавства, неефективна імплементація міжнародних конвенцій, таких як Гаазька конвенція 1954 року, та відсутність механізмів відповідальності за злочини проти культурної спадщини. У публікації також аналізуються конкретні приклади знищення пам’яток (Ханський палац, Херсонес, палац Калга-Султан), що ілюструють системне порушення міжнародного гуманітарного права росією. Автори наголошують на необхідності </w:t>
      </w:r>
      <w:r w:rsidRPr="00511005">
        <w:rPr>
          <w:rFonts w:ascii="Arial" w:eastAsia="Times New Roman" w:hAnsi="Arial" w:cs="Arial"/>
          <w:szCs w:val="28"/>
          <w:lang w:val="uk-UA" w:eastAsia="ru-RU"/>
        </w:rPr>
        <w:lastRenderedPageBreak/>
        <w:t xml:space="preserve">цифровізації культурних об’єктів, створення систем попередження загроз, посилення міжнародного тиску та впровадження дієвих адвокаційних кампаній. Стаття має практичне значення як для розробки стратегій захисту спадщини, так і для удосконалення правових механізмів </w:t>
      </w:r>
      <w:r w:rsidRPr="00511005">
        <w:rPr>
          <w:rFonts w:ascii="Arial" w:eastAsia="Times New Roman" w:hAnsi="Arial" w:cs="Arial"/>
          <w:szCs w:val="28"/>
          <w:lang w:eastAsia="ru-RU"/>
        </w:rPr>
        <w:t>[10]</w:t>
      </w:r>
      <w:r w:rsidRPr="00511005">
        <w:rPr>
          <w:rFonts w:ascii="Arial" w:eastAsia="Times New Roman" w:hAnsi="Arial" w:cs="Arial"/>
          <w:szCs w:val="28"/>
          <w:lang w:val="uk-UA" w:eastAsia="ru-RU"/>
        </w:rPr>
        <w:t>.</w:t>
      </w:r>
    </w:p>
    <w:p w14:paraId="5B0B811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Протягом останніх двох десятиліть серед фахівців проводилися жваві дискусії про захист культурної спадщини, спричинені озброєними конфліктами і збільшенням потреб захисту. Заклики до захисту не можуть бути виконані, якщо ЮНЕСКО та її партнери не приступлять до виконання своїх обов'язків захисника і охоронця культурної спадщини. Такий крок вимагає прийняття рішень незалежно від будь-якого політичного впливу на доповнення до проведення ретельного аналізу попередніх інцидентів, коли міжнародні договори не були реалізовані і все ще не захищають культурну спадщина, а культурні геноциди неодноразово повторюються. Цей аналіз дозволить виявити недоліки та проблеми в рамках захисних заходів та їх подолання. </w:t>
      </w:r>
    </w:p>
    <w:p w14:paraId="63631FB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6CC4DF0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57AD4C83" w14:textId="60B99A97" w:rsidR="00220D3E" w:rsidRPr="00511005" w:rsidRDefault="007B2628" w:rsidP="007B2628">
      <w:pPr>
        <w:tabs>
          <w:tab w:val="left" w:pos="709"/>
        </w:tabs>
        <w:spacing w:line="264" w:lineRule="auto"/>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Список використаних джерел</w:t>
      </w:r>
    </w:p>
    <w:p w14:paraId="2E5D1B54" w14:textId="77777777"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en-US"/>
        </w:rPr>
        <w:t>Alkateb, M. Non-traditional education using cultural heritage: A case study from Syria</w:t>
      </w:r>
      <w:r w:rsidRPr="00511005">
        <w:rPr>
          <w:rFonts w:ascii="Arial" w:eastAsia="Calibri" w:hAnsi="Arial" w:cs="Arial"/>
          <w:szCs w:val="28"/>
          <w:lang w:val="uk-UA"/>
        </w:rPr>
        <w:t>.</w:t>
      </w:r>
      <w:r w:rsidRPr="00511005">
        <w:rPr>
          <w:rFonts w:ascii="Arial" w:eastAsia="Calibri" w:hAnsi="Arial" w:cs="Arial"/>
          <w:szCs w:val="28"/>
          <w:lang w:val="en-US"/>
        </w:rPr>
        <w:t xml:space="preserve"> </w:t>
      </w:r>
      <w:r w:rsidRPr="00511005">
        <w:rPr>
          <w:rFonts w:ascii="Arial" w:eastAsia="Calibri" w:hAnsi="Arial" w:cs="Arial"/>
          <w:i/>
          <w:iCs/>
          <w:szCs w:val="28"/>
        </w:rPr>
        <w:t>International Journal of Education through Art</w:t>
      </w:r>
      <w:r w:rsidRPr="00511005">
        <w:rPr>
          <w:rFonts w:ascii="Arial" w:eastAsia="Calibri" w:hAnsi="Arial" w:cs="Arial"/>
          <w:szCs w:val="28"/>
        </w:rPr>
        <w:t>. 2013. 9 (2). P.189-204.</w:t>
      </w:r>
    </w:p>
    <w:p w14:paraId="44EE21E8" w14:textId="77777777"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en-US"/>
        </w:rPr>
        <w:t xml:space="preserve">Charter for the Protection and Management of the Archaeological Heritage 1990. </w:t>
      </w:r>
      <w:bookmarkStart w:id="31" w:name="_Hlk193792143"/>
      <w:r w:rsidRPr="00511005">
        <w:rPr>
          <w:rFonts w:ascii="Arial" w:eastAsia="Calibri" w:hAnsi="Arial" w:cs="Arial"/>
          <w:szCs w:val="28"/>
          <w:lang w:val="pl-PL"/>
        </w:rPr>
        <w:t xml:space="preserve">URL: </w:t>
      </w:r>
      <w:bookmarkEnd w:id="31"/>
      <w:r w:rsidRPr="00511005">
        <w:rPr>
          <w:rFonts w:ascii="Arial" w:eastAsia="Calibri" w:hAnsi="Arial" w:cs="Arial"/>
          <w:szCs w:val="28"/>
        </w:rPr>
        <w:fldChar w:fldCharType="begin"/>
      </w:r>
      <w:r w:rsidRPr="00511005">
        <w:rPr>
          <w:rFonts w:ascii="Arial" w:eastAsia="Calibri" w:hAnsi="Arial" w:cs="Arial"/>
          <w:szCs w:val="28"/>
          <w:lang w:val="pl-PL"/>
        </w:rPr>
        <w:instrText>HYPERLINK "https://www.icomos.org/images/DOCUMENTS/Charters/arch_e.pdf"</w:instrText>
      </w:r>
      <w:r w:rsidRPr="00511005">
        <w:rPr>
          <w:rFonts w:ascii="Arial" w:eastAsia="Calibri" w:hAnsi="Arial" w:cs="Arial"/>
          <w:szCs w:val="28"/>
        </w:rPr>
        <w:fldChar w:fldCharType="separate"/>
      </w:r>
      <w:r w:rsidRPr="00511005">
        <w:rPr>
          <w:rFonts w:ascii="Arial" w:eastAsia="Calibri" w:hAnsi="Arial" w:cs="Arial"/>
          <w:szCs w:val="28"/>
          <w:lang w:val="pl-PL"/>
        </w:rPr>
        <w:t>https://www.icomos.org/images/DOCUMENTS/Charters/arch_e.pdf</w:t>
      </w:r>
      <w:r w:rsidRPr="00511005">
        <w:rPr>
          <w:rFonts w:ascii="Arial" w:eastAsia="Calibri" w:hAnsi="Arial" w:cs="Arial"/>
          <w:szCs w:val="28"/>
        </w:rPr>
        <w:fldChar w:fldCharType="end"/>
      </w:r>
    </w:p>
    <w:p w14:paraId="7E97AA8D" w14:textId="77777777"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en-US"/>
        </w:rPr>
        <w:t xml:space="preserve">Convention Concerning the Protection of the World Cultural and Natural Heritage, World Heritage Committee, </w:t>
      </w:r>
      <w:r w:rsidRPr="00511005">
        <w:rPr>
          <w:rFonts w:ascii="Arial" w:eastAsia="Calibri" w:hAnsi="Arial" w:cs="Arial"/>
          <w:i/>
          <w:iCs/>
          <w:szCs w:val="28"/>
          <w:lang w:val="en-US"/>
        </w:rPr>
        <w:t>Thirty-eighth session, Doha</w:t>
      </w:r>
      <w:r w:rsidRPr="00511005">
        <w:rPr>
          <w:rFonts w:ascii="Arial" w:eastAsia="Calibri" w:hAnsi="Arial" w:cs="Arial"/>
          <w:szCs w:val="28"/>
          <w:lang w:val="en-US"/>
        </w:rPr>
        <w:t>, Qatar 15-25 June 2014. p. 14- 15.</w:t>
      </w:r>
    </w:p>
    <w:p w14:paraId="1B76EB4C" w14:textId="02A66E58"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en-US"/>
        </w:rPr>
        <w:t xml:space="preserve">Convention Concerning </w:t>
      </w:r>
      <w:proofErr w:type="gramStart"/>
      <w:r w:rsidRPr="00511005">
        <w:rPr>
          <w:rFonts w:ascii="Arial" w:eastAsia="Calibri" w:hAnsi="Arial" w:cs="Arial"/>
          <w:szCs w:val="28"/>
          <w:lang w:val="en-US"/>
        </w:rPr>
        <w:t>The</w:t>
      </w:r>
      <w:proofErr w:type="gramEnd"/>
      <w:r w:rsidRPr="00511005">
        <w:rPr>
          <w:rFonts w:ascii="Arial" w:eastAsia="Calibri" w:hAnsi="Arial" w:cs="Arial"/>
          <w:szCs w:val="28"/>
          <w:lang w:val="en-US"/>
        </w:rPr>
        <w:t xml:space="preserve"> Protection of the World Cultural and Natural Heritage. Adopted by the General Conference at its seventeenth session, Paris, 16 November 1972. URL:</w:t>
      </w:r>
      <w:r w:rsidR="007B2628" w:rsidRPr="00511005">
        <w:rPr>
          <w:rFonts w:ascii="Arial" w:eastAsia="Calibri" w:hAnsi="Arial" w:cs="Arial"/>
          <w:szCs w:val="28"/>
          <w:lang w:val="en-US"/>
        </w:rPr>
        <w:t xml:space="preserve"> </w:t>
      </w:r>
      <w:hyperlink r:id="rId195" w:history="1">
        <w:r w:rsidRPr="00511005">
          <w:rPr>
            <w:rFonts w:ascii="Arial" w:eastAsia="Calibri" w:hAnsi="Arial" w:cs="Arial"/>
            <w:szCs w:val="28"/>
          </w:rPr>
          <w:t>https://whc.unesco.org/en/conventiontext/</w:t>
        </w:r>
      </w:hyperlink>
    </w:p>
    <w:p w14:paraId="3C2D70B1" w14:textId="77777777"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en-US"/>
        </w:rPr>
        <w:t xml:space="preserve">Lambert, S. Rockwell, C. Protecting Cultural Heritage in Times of Conflict, Rome, 2012. p. 40- 41. </w:t>
      </w:r>
    </w:p>
    <w:p w14:paraId="364904FA" w14:textId="77777777"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en-US"/>
        </w:rPr>
        <w:t xml:space="preserve">Paolini, A. and others. Risk Management at Heritage Sites: A Case Study of the Petra World Heritage Site / A. Paolini, and others. </w:t>
      </w:r>
      <w:r w:rsidRPr="00511005">
        <w:rPr>
          <w:rFonts w:ascii="Arial" w:eastAsia="Calibri" w:hAnsi="Arial" w:cs="Arial"/>
          <w:szCs w:val="28"/>
        </w:rPr>
        <w:t>UNESCO, France, 2012. p. 21.</w:t>
      </w:r>
    </w:p>
    <w:p w14:paraId="2A50BA05" w14:textId="77777777"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en-US"/>
        </w:rPr>
        <w:t xml:space="preserve">Protocol for the Protection of Cultural Property in the Event of Armed Conflict. The Hague, 14 May 1954. URL: </w:t>
      </w:r>
      <w:hyperlink r:id="rId196" w:history="1">
        <w:r w:rsidRPr="00511005">
          <w:rPr>
            <w:rFonts w:ascii="Arial" w:eastAsia="Calibri" w:hAnsi="Arial" w:cs="Arial"/>
            <w:szCs w:val="28"/>
            <w:lang w:val="en-US"/>
          </w:rPr>
          <w:t>https://www.unesco.org/en/legal-affairs/protocol-convention-protection-cultural-property-event-armed-conflict</w:t>
        </w:r>
      </w:hyperlink>
    </w:p>
    <w:p w14:paraId="75FD2B6D" w14:textId="77777777"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en-US"/>
        </w:rPr>
        <w:t xml:space="preserve">Second Protocol to the Hague Convention of 1954 for the Protection of Cultural Property in the Event of Armed Conflict </w:t>
      </w:r>
      <w:proofErr w:type="gramStart"/>
      <w:r w:rsidRPr="00511005">
        <w:rPr>
          <w:rFonts w:ascii="Arial" w:eastAsia="Calibri" w:hAnsi="Arial" w:cs="Arial"/>
          <w:szCs w:val="28"/>
          <w:lang w:val="en-US"/>
        </w:rPr>
        <w:t>The</w:t>
      </w:r>
      <w:proofErr w:type="gramEnd"/>
      <w:r w:rsidRPr="00511005">
        <w:rPr>
          <w:rFonts w:ascii="Arial" w:eastAsia="Calibri" w:hAnsi="Arial" w:cs="Arial"/>
          <w:szCs w:val="28"/>
          <w:lang w:val="en-US"/>
        </w:rPr>
        <w:t xml:space="preserve"> Hague, 26 March 1999. URL: </w:t>
      </w:r>
      <w:hyperlink r:id="rId197" w:history="1">
        <w:r w:rsidRPr="00511005">
          <w:rPr>
            <w:rFonts w:ascii="Arial" w:eastAsia="Calibri" w:hAnsi="Arial" w:cs="Arial"/>
            <w:szCs w:val="28"/>
          </w:rPr>
          <w:t>https://unesdoc.unesco.org/ark:/48223/pf0000130696</w:t>
        </w:r>
      </w:hyperlink>
    </w:p>
    <w:p w14:paraId="0C77FE18" w14:textId="77777777"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lastRenderedPageBreak/>
        <w:t>Thomas, W. Connelly, N. Cultural Cleansing and Mass Atrocities Protecting Cultural Heritage in Armed Conflict Zones, Los Angeles, 2017. p. 12- 13.</w:t>
      </w:r>
    </w:p>
    <w:p w14:paraId="725B9E2E" w14:textId="77777777"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Грушко М. В., Тимошенко Д. В. Виклики правозахисту прав на культурну спадщину: проблеми та перспективи // «Права людини в період збройних конфліктів</w:t>
      </w:r>
      <w:proofErr w:type="gramStart"/>
      <w:r w:rsidRPr="00511005">
        <w:rPr>
          <w:rFonts w:ascii="Arial" w:eastAsia="Calibri" w:hAnsi="Arial" w:cs="Arial"/>
          <w:szCs w:val="28"/>
        </w:rPr>
        <w:t>» :</w:t>
      </w:r>
      <w:proofErr w:type="gramEnd"/>
      <w:r w:rsidRPr="00511005">
        <w:rPr>
          <w:rFonts w:ascii="Arial" w:eastAsia="Calibri" w:hAnsi="Arial" w:cs="Arial"/>
          <w:szCs w:val="28"/>
        </w:rPr>
        <w:t xml:space="preserve"> Міжнар. наук.-практич. конф., присвяч. 75-річчю прийняття Женевських конвенцій про захист жертв війни 1949 року та Міжнародному дню прав людини, зб. матер. конф. (1 листоп., 2024 р., м. Одеса) / відп. ред. С. В. Ківалов. Одеса, 2024. С. 512-518. URL: https://hdl.handle.net/11300/29118</w:t>
      </w:r>
    </w:p>
    <w:p w14:paraId="3FD04525" w14:textId="77777777"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Санкції та культура: як Україна реагує на розграбування української культурної спадщини URL: </w:t>
      </w:r>
      <w:hyperlink r:id="rId198" w:history="1">
        <w:r w:rsidRPr="00511005">
          <w:rPr>
            <w:rFonts w:ascii="Arial" w:eastAsia="Calibri" w:hAnsi="Arial" w:cs="Arial"/>
            <w:szCs w:val="28"/>
          </w:rPr>
          <w:t>https://lb.ua/blog/rchr/663582_sanktsii_kultura_yak_ukraina.html</w:t>
        </w:r>
      </w:hyperlink>
    </w:p>
    <w:p w14:paraId="33F96ECA" w14:textId="77777777" w:rsidR="00220D3E" w:rsidRPr="00511005" w:rsidRDefault="00220D3E" w:rsidP="003F6A5D">
      <w:pPr>
        <w:numPr>
          <w:ilvl w:val="0"/>
          <w:numId w:val="7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Руйнівна реставрація: як рішення МС ООН руйнує культурну спадщину на окупованих територіях URL: https://lb.ua/blog/koalitsiia_ua5am/603870_ruynivna_restavratsiya_yak_rishennya_ms.html</w:t>
      </w:r>
    </w:p>
    <w:p w14:paraId="031C06C4" w14:textId="77777777" w:rsidR="00220D3E" w:rsidRPr="00511005" w:rsidRDefault="00220D3E" w:rsidP="003A292D">
      <w:pPr>
        <w:tabs>
          <w:tab w:val="left" w:pos="709"/>
        </w:tabs>
        <w:spacing w:line="264" w:lineRule="auto"/>
        <w:rPr>
          <w:rFonts w:ascii="Arial" w:eastAsia="Times New Roman" w:hAnsi="Arial" w:cs="Arial"/>
          <w:b/>
          <w:bCs/>
          <w:szCs w:val="28"/>
          <w:lang w:eastAsia="ru-RU"/>
        </w:rPr>
      </w:pPr>
    </w:p>
    <w:p w14:paraId="653C3656" w14:textId="32D5D3EA"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культурна спадщина, ЮНЕСКО, міжнародно-правові акти, матеріальна культурна спадщина, нематеріальна культурна спадщина, археологічна спадщина, архітектурна спадщина, правовий захист, адміністративний захист, технічний захист, міжнародні організації, озброєні конфлікти, знищення культурної спадщини, незаконні розкопки, контрабанда культурних цінностей, Конвенція 1954 року, Конвенція 1970 року, Рада Безпеки ООН,</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eastAsia="ru-RU"/>
        </w:rPr>
        <w:t xml:space="preserve">документальна спадщина, рухомий та нерухомий спадок, </w:t>
      </w:r>
      <w:r w:rsidR="00220D3E" w:rsidRPr="00511005">
        <w:rPr>
          <w:rFonts w:ascii="Arial" w:eastAsia="Times New Roman" w:hAnsi="Arial" w:cs="Arial"/>
          <w:szCs w:val="28"/>
          <w:lang w:val="uk-UA" w:eastAsia="ru-RU"/>
        </w:rPr>
        <w:t xml:space="preserve">геноцид. </w:t>
      </w:r>
      <w:r w:rsidR="00220D3E" w:rsidRPr="00511005">
        <w:rPr>
          <w:rFonts w:ascii="Arial" w:eastAsia="Times New Roman" w:hAnsi="Arial" w:cs="Arial"/>
          <w:szCs w:val="28"/>
          <w:lang w:val="uk-UA" w:eastAsia="ru-RU"/>
        </w:rPr>
        <w:br/>
      </w:r>
      <w:r w:rsidR="00220D3E" w:rsidRPr="00511005">
        <w:rPr>
          <w:rFonts w:ascii="Arial" w:eastAsia="Times New Roman" w:hAnsi="Arial" w:cs="Arial"/>
          <w:b/>
          <w:bCs/>
          <w:szCs w:val="28"/>
          <w:lang w:val="uk-UA" w:eastAsia="ru-RU"/>
        </w:rPr>
        <w:tab/>
      </w: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uk-UA" w:eastAsia="ru-RU"/>
        </w:rPr>
        <w:t>cultural heritage, UNESCO, international legal instruments, tangible cultural heritage, intangible cultural heritage, archaeological heritage, architectural heritage, legal protection, administrative protection, technical protection, international organizations, armed conflicts, destruction of cultural heritage, illegal excavations, smuggling of cultural property, 1954 Convention, 1970 Convention, UN Security Council, documentary heritage, movable and immovable heritage, genocide.</w:t>
      </w:r>
      <w:r w:rsidR="00220D3E" w:rsidRPr="00511005">
        <w:rPr>
          <w:rFonts w:ascii="Arial" w:eastAsia="Times New Roman" w:hAnsi="Arial" w:cs="Arial"/>
          <w:i/>
          <w:iCs/>
          <w:szCs w:val="28"/>
          <w:lang w:val="uk-UA" w:eastAsia="ru-RU"/>
        </w:rPr>
        <w:br/>
      </w:r>
      <w:r w:rsidR="00220D3E" w:rsidRPr="00511005">
        <w:rPr>
          <w:rFonts w:ascii="Arial" w:eastAsia="Times New Roman" w:hAnsi="Arial" w:cs="Arial"/>
          <w:i/>
          <w:iCs/>
          <w:szCs w:val="28"/>
          <w:lang w:val="uk-UA" w:eastAsia="ru-RU"/>
        </w:rPr>
        <w:tab/>
      </w: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к.ю.н., доцент Грушко М.В.</w:t>
      </w:r>
    </w:p>
    <w:p w14:paraId="51FD76B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03C0CD96" w14:textId="77777777" w:rsidR="00220D3E" w:rsidRPr="00511005" w:rsidRDefault="00220D3E" w:rsidP="003A292D">
      <w:pPr>
        <w:keepNext/>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Вискребець Вікторія Сергіївна</w:t>
      </w:r>
    </w:p>
    <w:p w14:paraId="169BAB51" w14:textId="774A763F"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2-го курсу </w:t>
      </w:r>
      <w:r w:rsidR="001B7B25" w:rsidRPr="00511005">
        <w:rPr>
          <w:rFonts w:ascii="Arial" w:eastAsia="Times New Roman" w:hAnsi="Arial" w:cs="Arial"/>
          <w:szCs w:val="28"/>
          <w:lang w:val="uk-UA" w:eastAsia="uk-UA"/>
        </w:rPr>
        <w:t>факультету судового та міжнародного права</w:t>
      </w:r>
      <w:r w:rsidR="00220D3E" w:rsidRPr="00511005">
        <w:rPr>
          <w:rFonts w:ascii="Arial" w:eastAsia="Times New Roman" w:hAnsi="Arial" w:cs="Arial"/>
          <w:szCs w:val="28"/>
          <w:lang w:val="uk-UA" w:eastAsia="uk-UA"/>
        </w:rPr>
        <w:br/>
      </w:r>
      <w:r w:rsidR="007B2628" w:rsidRPr="00511005">
        <w:rPr>
          <w:rFonts w:ascii="Arial" w:eastAsia="Times New Roman" w:hAnsi="Arial" w:cs="Arial"/>
          <w:szCs w:val="28"/>
          <w:lang w:val="uk-UA" w:eastAsia="uk-UA"/>
        </w:rPr>
        <w:t>Національного університету «Одеська юридична академія»</w:t>
      </w:r>
      <w:r w:rsidR="00220D3E" w:rsidRPr="00511005">
        <w:rPr>
          <w:rFonts w:ascii="Arial" w:eastAsia="Times New Roman" w:hAnsi="Arial" w:cs="Arial"/>
          <w:szCs w:val="28"/>
          <w:lang w:val="uk-UA" w:eastAsia="uk-UA"/>
        </w:rPr>
        <w:t> </w:t>
      </w:r>
    </w:p>
    <w:p w14:paraId="6D080243"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674BBB40"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ЦИФРОВА ДИПЛОМАТІЯ: НОВІ ВИКЛИКИ ДЛЯ МІЖНАРОДНОГО ПРАВА</w:t>
      </w:r>
    </w:p>
    <w:p w14:paraId="5F5B6A4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Цифрова дипломатія стала невід'ємною частиною сучасних міжнародних відносин. З розвитком цифрових технологій держави все більше використовують інтернет, соціальні мережі та інші онлайн-платформи для зовнішньополітичної комунікації, формування іміджу на глобальному рівні та захисту своїх інтересів. Цей новий формат взаємодії між країнами потребує розгляду з точки зору міжнародного права. </w:t>
      </w:r>
    </w:p>
    <w:p w14:paraId="5109127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Традиційні дипломатичні методи, що ґрунтуються на фізичній присутності дипломатичних представництв, поступово доповнюються або навіть замінюються цифровими каналами комунікації. Цифрові інструменти дозволяють швидко реагувати на глобальні події, формувати міжнародне бачення та мобілізувати підтримку серед світової аудиторії, що істотно змінює способи виконання дипломатичних функцій.[1]</w:t>
      </w:r>
    </w:p>
    <w:p w14:paraId="64153B1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Однак з перевагами цифрової дипломатії виникають і правові виклики. Це включає питання легітимності використання цифрових платформ у міждержавній комунікації, дотримання принципів суверенітету, невтручання у внутрішні справи та запобігання інформаційній агресії. Ці проблеми потребують переосмислення основних принципів міжнародного права. Цифрова дипломатія розмиває межі між офіційною та неофіційною зовнішньополітичною діяльністю. </w:t>
      </w:r>
    </w:p>
    <w:p w14:paraId="1D87AFA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Публічні заяви дипломатів у соціальних медіа, міждержавні суперечки в цифровому просторі та кібератаки з політичним підтекстом вимагають правового регулювання на міжнародному рівні. Наразі існує певний нормативний вакуум, що створює загрозу для глобальної стабільності. Проблема відповідальності держав за дії в цифровому середовищі набуває особливого значення. Якщо у фізичному просторі механізми міжнародної відповідальності досить сформовані, то в цифровій сфері існує багато питань щодо визначення вини, джерел атак і юрисдикції. Це ускладнює процес притягнення до відповідальності за порушення міжнародно-правових норм. </w:t>
      </w:r>
    </w:p>
    <w:p w14:paraId="79696CA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Цифрова дипломатія активно використовується не лише для просування офіційної позиції держав, а й для впливу на громадську думку в інших країнах.[2] Це створює нові механізми "м'якої сили", але водночас порушує етичні норми і може суперечити принципам добросовісної дипломатії. Виникає потреба в чітких стандартах поведінки в цифровому середовищі.</w:t>
      </w:r>
    </w:p>
    <w:p w14:paraId="5C7A599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Існує серйозна стурбованість щодо поширення фейкової інформації, дезінформації та інформаційних кампаній, які націлені на дестабілізацію світової обстановки. За відсутності адекватного правового регулювання такі дії здатні спричинити загострення конфліктів, підриваючи довіру між країнами та ставлячи під сумнів авторитет міжнародного права як гаранта стабільності. </w:t>
      </w:r>
    </w:p>
    <w:p w14:paraId="5CCB2FA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Наразі міжнародні правові інституції, як-от ООН, Міжнародний суд та Міжнародний союз електрозв’язку, лише частково охоплюють питання цифрової дипломатії. Існуючі документи та резолюції здебільшого стосуються загальних принципів поведінки держав у кіберпросторі, залишаючи поза увагою всі аспекти дипломатичних взаємодій у цифрову епоху. Необхідно створити чітку правову основу на міжнародному рівні. </w:t>
      </w:r>
    </w:p>
    <w:p w14:paraId="79EFC59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Цифрова дипломатія також піднімає питання конфіденційності, захисту персональних даних і прозорості державних дій в інтернеті.[3] Регулювання цих аспектів повинно здійснюватись із врахуванням балансу між правом громадськості на інформацію та обов'язком держави захищати національну безпеку. </w:t>
      </w:r>
    </w:p>
    <w:p w14:paraId="7E7B832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Приватні компанії, які володіють комунікаційними платформами на кшталт Meta, X (Twitter), Google, відіграють важливу роль у цифровій дипломатії. Відсутність контролю з боку держав над їхньою діяльністю породжує ситуації, коли приватні інтереси можуть впливати на міжнародні відносини, що ставить під сумнів традиційне розуміння суб’єктів міжнародного права. </w:t>
      </w:r>
    </w:p>
    <w:p w14:paraId="6364290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Додатковим викликом залишається нерівномірний розвиток цифрових технологій у різних країнах світу. Держави з обмеженим доступом до таких технологій опиняються в менш вигідному становищі на світовій арені, створюючи нову форму цифрової нерівності, яка має бути врахована в міжнародно-правових обговореннях. </w:t>
      </w:r>
    </w:p>
    <w:p w14:paraId="148760C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Розвиток цифрової дипломатії вимагає зміни підходів до підготовки дипломатичних працівників.[4] Вони повинні не тільки володіти знаннями міжнародного права, але й мати навички цифрової грамотності, розуміти інформаційні стратегії та мати вміння кризового спілкування в онлайн-середовищі. Міжнародне право повинно підтримати ці зміни відповідними рекомендаціями та нормами.</w:t>
      </w:r>
    </w:p>
    <w:p w14:paraId="2898FE6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Важливо враховувати культурні та національні особливості країн у підходах до цифрової дипломатії. Те, що прийнятне для одних, може бути неприйнятним для інших. Отже, міжнародне правове регулювання цифрової дипломатії має ґрунтуватися на загальних принципах і водночас залишатися гнучким, щоб враховувати різноманіття. </w:t>
      </w:r>
    </w:p>
    <w:p w14:paraId="106460C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Особливої уваги заслуговує кібербезпека дипломатичних структур. Злом урядових акаунтів, перехоплення комунікацій чи спотворення офіційних даних можуть призвести до серйозних міжнародних наслідків. Міжнародне право має точно визначати відповідальність за такі дії та забезпечити дієві механізми реагування. </w:t>
      </w:r>
    </w:p>
    <w:p w14:paraId="47C1725D" w14:textId="77777777" w:rsidR="007B2628"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Таким чином, цифрова дипломатія — це не лише новий інструмент у сфері міжнародних відносин, але й значний виклик для традиційних правових норм і структур. Сучасне міжнародне право має швидко адаптуватися до цих змін, розробляючи ефективні механізми правового </w:t>
      </w:r>
      <w:r w:rsidRPr="00511005">
        <w:rPr>
          <w:rFonts w:ascii="Arial" w:eastAsia="Times New Roman" w:hAnsi="Arial" w:cs="Arial"/>
          <w:szCs w:val="28"/>
          <w:lang w:val="uk-UA" w:eastAsia="ru-RU"/>
        </w:rPr>
        <w:lastRenderedPageBreak/>
        <w:t>регулювання, що сприятимуть стабільності, безпеці та добросовісності в цифровому світі.</w:t>
      </w:r>
    </w:p>
    <w:p w14:paraId="0C424D7D" w14:textId="30019517" w:rsidR="00220D3E" w:rsidRPr="00511005" w:rsidRDefault="00220D3E" w:rsidP="00686365">
      <w:pPr>
        <w:tabs>
          <w:tab w:val="left" w:pos="709"/>
        </w:tabs>
        <w:spacing w:line="264" w:lineRule="auto"/>
        <w:ind w:left="709" w:firstLine="0"/>
        <w:jc w:val="left"/>
        <w:rPr>
          <w:rFonts w:ascii="Arial" w:eastAsia="Times New Roman" w:hAnsi="Arial" w:cs="Arial"/>
          <w:szCs w:val="28"/>
          <w:lang w:val="uk-UA" w:eastAsia="uk-UA"/>
        </w:rPr>
      </w:pPr>
    </w:p>
    <w:p w14:paraId="66A35A3F" w14:textId="1CA09729" w:rsidR="00220D3E" w:rsidRPr="00511005" w:rsidRDefault="007B2628" w:rsidP="007B2628">
      <w:pPr>
        <w:tabs>
          <w:tab w:val="left" w:pos="709"/>
        </w:tabs>
        <w:spacing w:line="264" w:lineRule="auto"/>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Список використаних джерел</w:t>
      </w:r>
    </w:p>
    <w:p w14:paraId="23CA18AD" w14:textId="77777777" w:rsidR="00220D3E" w:rsidRPr="00511005" w:rsidRDefault="00220D3E" w:rsidP="003F6A5D">
      <w:pPr>
        <w:numPr>
          <w:ilvl w:val="0"/>
          <w:numId w:val="71"/>
        </w:numPr>
        <w:tabs>
          <w:tab w:val="left" w:pos="709"/>
        </w:tabs>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Використання цифрової культурної дипломатії для просування національних інтересів у глобальному інформаційному просторі | Економіка та суспільство. </w:t>
      </w:r>
      <w:r w:rsidRPr="00511005">
        <w:rPr>
          <w:rFonts w:ascii="Arial" w:eastAsia="Times New Roman" w:hAnsi="Arial" w:cs="Arial"/>
          <w:i/>
          <w:iCs/>
          <w:szCs w:val="28"/>
          <w:lang w:val="uk-UA" w:eastAsia="uk-UA"/>
        </w:rPr>
        <w:t>Головна</w:t>
      </w:r>
      <w:r w:rsidRPr="00511005">
        <w:rPr>
          <w:rFonts w:ascii="Arial" w:eastAsia="Times New Roman" w:hAnsi="Arial" w:cs="Arial"/>
          <w:szCs w:val="28"/>
          <w:lang w:val="uk-UA" w:eastAsia="uk-UA"/>
        </w:rPr>
        <w:t>. URL: </w:t>
      </w:r>
      <w:hyperlink r:id="rId199" w:tgtFrame="_blank" w:history="1">
        <w:r w:rsidRPr="00511005">
          <w:rPr>
            <w:rFonts w:ascii="Arial" w:eastAsia="Times New Roman" w:hAnsi="Arial" w:cs="Arial"/>
            <w:szCs w:val="28"/>
            <w:lang w:val="uk-UA" w:eastAsia="uk-UA"/>
          </w:rPr>
          <w:t>https://economyandsociety.in.ua/index.php/journal/article/view/5166</w:t>
        </w:r>
      </w:hyperlink>
      <w:r w:rsidRPr="00511005">
        <w:rPr>
          <w:rFonts w:ascii="Arial" w:eastAsia="Times New Roman" w:hAnsi="Arial" w:cs="Arial"/>
          <w:szCs w:val="28"/>
          <w:lang w:val="uk-UA" w:eastAsia="uk-UA"/>
        </w:rPr>
        <w:t>(дата звернення: 13.04.2025).</w:t>
      </w:r>
    </w:p>
    <w:p w14:paraId="1B216D02" w14:textId="77777777" w:rsidR="00220D3E" w:rsidRPr="00511005" w:rsidRDefault="00220D3E" w:rsidP="003F6A5D">
      <w:pPr>
        <w:numPr>
          <w:ilvl w:val="0"/>
          <w:numId w:val="71"/>
        </w:numPr>
        <w:tabs>
          <w:tab w:val="left" w:pos="709"/>
        </w:tabs>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Особливості використання цифрової дипломатії в умовах пандемії. </w:t>
      </w:r>
      <w:r w:rsidRPr="00511005">
        <w:rPr>
          <w:rFonts w:ascii="Arial" w:eastAsia="Times New Roman" w:hAnsi="Arial" w:cs="Arial"/>
          <w:i/>
          <w:iCs/>
          <w:szCs w:val="28"/>
          <w:lang w:val="uk-UA" w:eastAsia="uk-UA"/>
        </w:rPr>
        <w:t>Право та інноваційне суспільство</w:t>
      </w:r>
      <w:r w:rsidRPr="00511005">
        <w:rPr>
          <w:rFonts w:ascii="Arial" w:eastAsia="Times New Roman" w:hAnsi="Arial" w:cs="Arial"/>
          <w:szCs w:val="28"/>
          <w:lang w:val="uk-UA" w:eastAsia="uk-UA"/>
        </w:rPr>
        <w:t>. URL: </w:t>
      </w:r>
      <w:hyperlink r:id="rId200" w:tgtFrame="_blank" w:history="1">
        <w:r w:rsidRPr="00511005">
          <w:rPr>
            <w:rFonts w:ascii="Arial" w:eastAsia="Times New Roman" w:hAnsi="Arial" w:cs="Arial"/>
            <w:szCs w:val="28"/>
            <w:lang w:val="uk-UA" w:eastAsia="uk-UA"/>
          </w:rPr>
          <w:t>http://apir.org.ua/index.php/lais/article/view/yefremova_naumova_mishanchuk17/24</w:t>
        </w:r>
      </w:hyperlink>
      <w:r w:rsidRPr="00511005">
        <w:rPr>
          <w:rFonts w:ascii="Arial" w:eastAsia="Times New Roman" w:hAnsi="Arial" w:cs="Arial"/>
          <w:szCs w:val="28"/>
          <w:lang w:val="uk-UA" w:eastAsia="uk-UA"/>
        </w:rPr>
        <w:t>(дата звернення: 13.04.2025).</w:t>
      </w:r>
    </w:p>
    <w:p w14:paraId="6C5F9621" w14:textId="77777777" w:rsidR="00220D3E" w:rsidRPr="00511005" w:rsidRDefault="00220D3E" w:rsidP="003F6A5D">
      <w:pPr>
        <w:numPr>
          <w:ilvl w:val="0"/>
          <w:numId w:val="71"/>
        </w:numPr>
        <w:tabs>
          <w:tab w:val="left" w:pos="709"/>
        </w:tabs>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Роль цифрової дипломатії в сучасній зовнішній політиці держави Право та інноваційне суспільство. </w:t>
      </w:r>
      <w:r w:rsidRPr="00511005">
        <w:rPr>
          <w:rFonts w:ascii="Arial" w:eastAsia="Times New Roman" w:hAnsi="Arial" w:cs="Arial"/>
          <w:i/>
          <w:iCs/>
          <w:szCs w:val="28"/>
          <w:lang w:val="uk-UA" w:eastAsia="uk-UA"/>
        </w:rPr>
        <w:t>Право та інноваційне суспільство</w:t>
      </w:r>
      <w:r w:rsidRPr="00511005">
        <w:rPr>
          <w:rFonts w:ascii="Arial" w:eastAsia="Times New Roman" w:hAnsi="Arial" w:cs="Arial"/>
          <w:szCs w:val="28"/>
          <w:lang w:val="uk-UA" w:eastAsia="uk-UA"/>
        </w:rPr>
        <w:t>. URL: </w:t>
      </w:r>
      <w:hyperlink r:id="rId201" w:tgtFrame="_blank" w:history="1">
        <w:r w:rsidRPr="00511005">
          <w:rPr>
            <w:rFonts w:ascii="Arial" w:eastAsia="Times New Roman" w:hAnsi="Arial" w:cs="Arial"/>
            <w:szCs w:val="28"/>
            <w:lang w:val="uk-UA" w:eastAsia="uk-UA"/>
          </w:rPr>
          <w:t>https://old.apir.org.ua/archives/1284</w:t>
        </w:r>
      </w:hyperlink>
      <w:r w:rsidRPr="00511005">
        <w:rPr>
          <w:rFonts w:ascii="Arial" w:eastAsia="Times New Roman" w:hAnsi="Arial" w:cs="Arial"/>
          <w:szCs w:val="28"/>
          <w:lang w:val="uk-UA" w:eastAsia="uk-UA"/>
        </w:rPr>
        <w:t>(дата звернення: 13.04.2025).</w:t>
      </w:r>
    </w:p>
    <w:p w14:paraId="2599BD97" w14:textId="77777777" w:rsidR="007B2628" w:rsidRPr="00511005" w:rsidRDefault="00220D3E" w:rsidP="003F6A5D">
      <w:pPr>
        <w:numPr>
          <w:ilvl w:val="0"/>
          <w:numId w:val="71"/>
        </w:numPr>
        <w:tabs>
          <w:tab w:val="left" w:pos="709"/>
        </w:tabs>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Цифрова дипломатія України: синергія реального і віртуального. </w:t>
      </w:r>
      <w:r w:rsidRPr="00511005">
        <w:rPr>
          <w:rFonts w:ascii="Arial" w:eastAsia="Times New Roman" w:hAnsi="Arial" w:cs="Arial"/>
          <w:i/>
          <w:iCs/>
          <w:szCs w:val="28"/>
          <w:lang w:val="uk-UA" w:eastAsia="uk-UA"/>
        </w:rPr>
        <w:t>Факультет міжнародних відносин</w:t>
      </w:r>
      <w:r w:rsidRPr="00511005">
        <w:rPr>
          <w:rFonts w:ascii="Arial" w:eastAsia="Times New Roman" w:hAnsi="Arial" w:cs="Arial"/>
          <w:szCs w:val="28"/>
          <w:lang w:val="uk-UA" w:eastAsia="uk-UA"/>
        </w:rPr>
        <w:t>. URL: </w:t>
      </w:r>
      <w:hyperlink r:id="rId202" w:tgtFrame="_blank" w:history="1">
        <w:r w:rsidRPr="00511005">
          <w:rPr>
            <w:rFonts w:ascii="Arial" w:eastAsia="Times New Roman" w:hAnsi="Arial" w:cs="Arial"/>
            <w:szCs w:val="28"/>
            <w:lang w:val="uk-UA" w:eastAsia="uk-UA"/>
          </w:rPr>
          <w:t>https://intrel.lnu.edu.ua/news/tsyfrova-dyplomatiia-ukrainy-synerhiia-realnoho-i-virtualnoho</w:t>
        </w:r>
      </w:hyperlink>
      <w:r w:rsidRPr="00511005">
        <w:rPr>
          <w:rFonts w:ascii="Arial" w:eastAsia="Times New Roman" w:hAnsi="Arial" w:cs="Arial"/>
          <w:szCs w:val="28"/>
          <w:lang w:val="uk-UA" w:eastAsia="uk-UA"/>
        </w:rPr>
        <w:t>(дата звернення: 13.04.2025).</w:t>
      </w:r>
    </w:p>
    <w:p w14:paraId="29844543" w14:textId="634D3FE9" w:rsidR="00220D3E" w:rsidRPr="00511005" w:rsidRDefault="00220D3E" w:rsidP="003A292D">
      <w:pPr>
        <w:tabs>
          <w:tab w:val="left" w:pos="709"/>
        </w:tabs>
        <w:spacing w:line="264" w:lineRule="auto"/>
        <w:rPr>
          <w:rFonts w:ascii="Arial" w:eastAsia="Times New Roman" w:hAnsi="Arial" w:cs="Arial"/>
          <w:szCs w:val="28"/>
          <w:lang w:val="uk-UA" w:eastAsia="uk-UA"/>
        </w:rPr>
      </w:pPr>
    </w:p>
    <w:p w14:paraId="5261E12C" w14:textId="120FA87A"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цифрова дипломатія, міжнародне право, інформаційна безпека, дезінформація, суверенітет, кіберпростір, дипломатичні відносини, цифрові технології, міжнародна відповідальність, зовнішньополітична комунікація.</w:t>
      </w:r>
    </w:p>
    <w:p w14:paraId="100839EB" w14:textId="4A93B3AB" w:rsidR="00220D3E" w:rsidRPr="00511005" w:rsidRDefault="007B2628" w:rsidP="003A292D">
      <w:pPr>
        <w:tabs>
          <w:tab w:val="left" w:pos="709"/>
        </w:tabs>
        <w:spacing w:line="264" w:lineRule="auto"/>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Key words: </w:t>
      </w:r>
      <w:r w:rsidR="00220D3E" w:rsidRPr="00511005">
        <w:rPr>
          <w:rFonts w:ascii="Arial" w:eastAsia="Times New Roman" w:hAnsi="Arial" w:cs="Arial"/>
          <w:szCs w:val="28"/>
          <w:lang w:val="uk-UA" w:eastAsia="uk-UA"/>
        </w:rPr>
        <w:t>digital diplomacy, international law, information security, disinformation, sovereignty, cyberspace, diplomatic relations, digital technologies, international responsibility, foreign policy communication.</w:t>
      </w:r>
      <w:r w:rsidR="00220D3E" w:rsidRPr="00511005">
        <w:rPr>
          <w:rFonts w:ascii="Arial" w:eastAsia="Times New Roman" w:hAnsi="Arial" w:cs="Arial"/>
          <w:i/>
          <w:iCs/>
          <w:szCs w:val="28"/>
          <w:lang w:val="en-US" w:eastAsia="uk-UA"/>
        </w:rPr>
        <w:br/>
      </w:r>
      <w:r w:rsidRPr="00511005">
        <w:rPr>
          <w:rFonts w:ascii="Arial" w:eastAsia="Times New Roman" w:hAnsi="Arial" w:cs="Arial"/>
          <w:i/>
          <w:iCs/>
          <w:szCs w:val="28"/>
          <w:lang w:val="uk-UA" w:eastAsia="uk-UA"/>
        </w:rPr>
        <w:t xml:space="preserve"> </w:t>
      </w:r>
      <w:r w:rsidRPr="00511005">
        <w:rPr>
          <w:rFonts w:ascii="Arial" w:eastAsia="Times New Roman" w:hAnsi="Arial" w:cs="Arial"/>
          <w:b/>
          <w:i/>
          <w:iCs/>
          <w:szCs w:val="28"/>
          <w:lang w:val="uk-UA" w:eastAsia="uk-UA"/>
        </w:rPr>
        <w:t xml:space="preserve">Науковий керівник: </w:t>
      </w:r>
      <w:r w:rsidR="00220D3E" w:rsidRPr="00511005">
        <w:rPr>
          <w:rFonts w:ascii="Arial" w:eastAsia="Times New Roman" w:hAnsi="Arial" w:cs="Arial"/>
          <w:i/>
          <w:iCs/>
          <w:szCs w:val="28"/>
          <w:lang w:val="uk-UA" w:eastAsia="uk-UA"/>
        </w:rPr>
        <w:t xml:space="preserve">к.ю.н., доцент Бєлогубова О.О. </w:t>
      </w:r>
    </w:p>
    <w:p w14:paraId="26A29330"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p>
    <w:p w14:paraId="45F54F5C"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Власюк Анастасія Вадимівна</w:t>
      </w:r>
    </w:p>
    <w:p w14:paraId="6EF25BBA" w14:textId="7466AD87" w:rsidR="00220D3E" w:rsidRPr="00511005" w:rsidRDefault="00536AAB" w:rsidP="003A292D">
      <w:pPr>
        <w:tabs>
          <w:tab w:val="left" w:pos="709"/>
        </w:tabs>
        <w:spacing w:line="264" w:lineRule="auto"/>
        <w:jc w:val="center"/>
        <w:rPr>
          <w:rFonts w:ascii="Arial" w:eastAsia="Times New Roman" w:hAnsi="Arial" w:cs="Arial"/>
          <w:iCs/>
          <w:szCs w:val="28"/>
          <w:lang w:eastAsia="ru-RU"/>
        </w:rPr>
      </w:pPr>
      <w:r w:rsidRPr="00511005">
        <w:rPr>
          <w:rFonts w:ascii="Arial" w:eastAsia="Times New Roman" w:hAnsi="Arial" w:cs="Arial"/>
          <w:iCs/>
          <w:szCs w:val="28"/>
          <w:lang w:eastAsia="ru-RU"/>
        </w:rPr>
        <w:t xml:space="preserve">Студентка 4-го курсу </w:t>
      </w:r>
      <w:r w:rsidR="001B7B25" w:rsidRPr="00511005">
        <w:rPr>
          <w:rFonts w:ascii="Arial" w:eastAsia="Times New Roman" w:hAnsi="Arial" w:cs="Arial"/>
          <w:iCs/>
          <w:szCs w:val="28"/>
          <w:lang w:eastAsia="ru-RU"/>
        </w:rPr>
        <w:t>факультету судового та міжнародного права</w:t>
      </w:r>
      <w:r w:rsidR="00220D3E" w:rsidRPr="00511005">
        <w:rPr>
          <w:rFonts w:ascii="Arial" w:eastAsia="Times New Roman" w:hAnsi="Arial" w:cs="Arial"/>
          <w:iCs/>
          <w:szCs w:val="28"/>
          <w:lang w:eastAsia="ru-RU"/>
        </w:rPr>
        <w:t xml:space="preserve"> </w:t>
      </w:r>
      <w:r w:rsidR="007B2628" w:rsidRPr="00511005">
        <w:rPr>
          <w:rFonts w:ascii="Arial" w:eastAsia="Times New Roman" w:hAnsi="Arial" w:cs="Arial"/>
          <w:iCs/>
          <w:szCs w:val="28"/>
          <w:lang w:eastAsia="ru-RU"/>
        </w:rPr>
        <w:t>Національного університету «Одеська юридична академія»</w:t>
      </w:r>
    </w:p>
    <w:p w14:paraId="62B5F092" w14:textId="77777777" w:rsidR="00220D3E" w:rsidRPr="00511005" w:rsidRDefault="00220D3E" w:rsidP="003A292D">
      <w:pPr>
        <w:tabs>
          <w:tab w:val="left" w:pos="709"/>
        </w:tabs>
        <w:spacing w:line="264" w:lineRule="auto"/>
        <w:jc w:val="center"/>
        <w:rPr>
          <w:rFonts w:ascii="Arial" w:eastAsia="Times New Roman" w:hAnsi="Arial" w:cs="Arial"/>
          <w:i/>
          <w:iCs/>
          <w:szCs w:val="28"/>
          <w:lang w:eastAsia="ru-RU"/>
        </w:rPr>
      </w:pPr>
    </w:p>
    <w:p w14:paraId="78DAF092" w14:textId="77777777" w:rsidR="00220D3E"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ВИПАДКИ ДИСКРИМІНАЙЦІЇ ПРИ РЕАЛІЗАЦІЇ ПРАВА НА ОСВІТУ У ПРАКТИЦІ ЄВРОПЕЙСЬКОГО СУДУ З ПРАВ ЛЮДИНИ</w:t>
      </w:r>
    </w:p>
    <w:p w14:paraId="024C019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Право на освіту є одним із найважливіших прав і свобод людини та громадянина. </w:t>
      </w:r>
      <w:proofErr w:type="gramStart"/>
      <w:r w:rsidRPr="00511005">
        <w:rPr>
          <w:rFonts w:ascii="Arial" w:eastAsia="Times New Roman" w:hAnsi="Arial" w:cs="Arial"/>
          <w:szCs w:val="28"/>
          <w:lang w:eastAsia="ru-RU"/>
        </w:rPr>
        <w:t>У наш час</w:t>
      </w:r>
      <w:proofErr w:type="gramEnd"/>
      <w:r w:rsidRPr="00511005">
        <w:rPr>
          <w:rFonts w:ascii="Arial" w:eastAsia="Times New Roman" w:hAnsi="Arial" w:cs="Arial"/>
          <w:szCs w:val="28"/>
          <w:lang w:eastAsia="ru-RU"/>
        </w:rPr>
        <w:t xml:space="preserve"> забезпечення доступу до якісної освіти є одним із ключових напрямків удосконалення суспільства та України загалом. Питання вільного доступу до навчання та, як наслідок, підвищення рівня освіченості населення суттєво впливають на внутрішній розвиток держави, а також її позиції на міжнародній арені в економічній, соціальній, політичній </w:t>
      </w:r>
      <w:r w:rsidRPr="00511005">
        <w:rPr>
          <w:rFonts w:ascii="Arial" w:eastAsia="Times New Roman" w:hAnsi="Arial" w:cs="Arial"/>
          <w:szCs w:val="28"/>
          <w:lang w:eastAsia="ru-RU"/>
        </w:rPr>
        <w:lastRenderedPageBreak/>
        <w:t>та інших сферах. Ефективна реалізація цього права є основою позитивних змін у зазначених напрямках.</w:t>
      </w:r>
    </w:p>
    <w:p w14:paraId="38E5846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Для розуміння сутності даного права, варто зазначити що воно належить до позитивних прав людини, тобто до другого покоління. Реалізація цього права передбачає активну участь держави. Економічні, соціальні та культурні права зазвичай мають орієнтацію на майбутнє, задаючи напрямок для подальшого розвитку і їх зміст конкретизується залежно від проведення соціальних реформ, зростання рівня добробуту населення та покращення економічної ситуації в країні.</w:t>
      </w:r>
    </w:p>
    <w:p w14:paraId="5814292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Проте, варто зазначити, що право на освіту не є абсолютним, незважаючи на те, що статтею 2 Додаткового протоколу до Конвенції про захист прав людини та основоположних свобод (далі – Додатковий протокол), явно не передбачені будь-які обмеження вказаного права. Однак подібні обмеження не можуть підривати суть права на освіту чи позбавляти його реальної дієвості. Вони повинні бути чітко встановлені законом і спрямовані на досягнення легітимної мети [2].</w:t>
      </w:r>
    </w:p>
    <w:p w14:paraId="187B723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базі даних Європейського суду з прав людини (далі – ЄСПЛ) наявна велика кількість справ, які стосуються різних аспектів права на освіту. У багатьох із них ЄСПЛ аналізує статтю 2 Додаткового протоколу у поєднанні з іншими її положеннями, зокрема статтею 8 (право на повагу до приватного і сімейного життя), статтею 9 (свобода думки, совісті та релігії), статтею 10 (свобода вираження поглядів) і статтею 14 (заборона дискримінації). Такий підхід є характерною рисою розгляду справ, пов’язаних із порушенням права на освіту [3].</w:t>
      </w:r>
    </w:p>
    <w:p w14:paraId="52D998E6" w14:textId="3FE1A472"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Право на освіту відповідно до статті 2 Додаткового протоколу</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гарантує </w:t>
      </w:r>
      <w:proofErr w:type="gramStart"/>
      <w:r w:rsidRPr="00511005">
        <w:rPr>
          <w:rFonts w:ascii="Arial" w:eastAsia="Times New Roman" w:hAnsi="Arial" w:cs="Arial"/>
          <w:szCs w:val="28"/>
          <w:lang w:eastAsia="ru-RU"/>
        </w:rPr>
        <w:t>право</w:t>
      </w:r>
      <w:proofErr w:type="gramEnd"/>
      <w:r w:rsidRPr="00511005">
        <w:rPr>
          <w:rFonts w:ascii="Arial" w:eastAsia="Times New Roman" w:hAnsi="Arial" w:cs="Arial"/>
          <w:szCs w:val="28"/>
          <w:lang w:eastAsia="ru-RU"/>
        </w:rPr>
        <w:t xml:space="preserve"> но доступ до існуючих навчальних закладів і якщо держава допускає певні відмінності у поводженні виконуючи свої зобов’язання згідно з вказаною статтею, то це може бути визнано дискримінацією. Тобто під дискримінацією розуміють відмінне ставлення до осіб, які перебувають у схожих обставинах, без належного об'єктивного й розумного обґрунтування. Така різниця у поводженні є неприйнятною, якщо вона не має легітимної мети або якщо між застосованими заходами та поставленою метою відсутній обґрунтований баланс пропорційності [2].</w:t>
      </w:r>
    </w:p>
    <w:p w14:paraId="40C79EFB"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положенні статті 14 Конвенції про захист прав людини і основоположних свобод (далі – Конвенція) наведений невичерпний перелік ознак через які може бути дискриміновано особу. До них належать стать, раса, колір шкіри, релігія, мова, національне або</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соціальне походження, політичні переконання, майновий стан особи чи народження [1].</w:t>
      </w:r>
    </w:p>
    <w:p w14:paraId="19D8EB15" w14:textId="160B0B92"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Найбільш поширеною ознакою </w:t>
      </w:r>
      <w:proofErr w:type="gramStart"/>
      <w:r w:rsidRPr="00511005">
        <w:rPr>
          <w:rFonts w:ascii="Arial" w:eastAsia="Times New Roman" w:hAnsi="Arial" w:cs="Arial"/>
          <w:szCs w:val="28"/>
          <w:lang w:eastAsia="ru-RU"/>
        </w:rPr>
        <w:t>через яку</w:t>
      </w:r>
      <w:proofErr w:type="gramEnd"/>
      <w:r w:rsidRPr="00511005">
        <w:rPr>
          <w:rFonts w:ascii="Arial" w:eastAsia="Times New Roman" w:hAnsi="Arial" w:cs="Arial"/>
          <w:szCs w:val="28"/>
          <w:lang w:eastAsia="ru-RU"/>
        </w:rPr>
        <w:t xml:space="preserve"> здійснюється дискримінація при реалізації права на освіту це – етнічне походження. На даний час ЄСПЛ виніс чималу кількість справ щодо визнання факту дискримінації за цією ознакою. Так у одних із нещодавніх рішень «Солчан проти Угорщини» </w:t>
      </w:r>
      <w:r w:rsidRPr="00511005">
        <w:rPr>
          <w:rFonts w:ascii="Arial" w:eastAsia="Times New Roman" w:hAnsi="Arial" w:cs="Arial"/>
          <w:szCs w:val="28"/>
          <w:lang w:eastAsia="ru-RU"/>
        </w:rPr>
        <w:lastRenderedPageBreak/>
        <w:t xml:space="preserve">(Szolcsán v. Hungary) та «Ельмазова та інші проти Північної Македонії» (Elmazova and Others v. North Macedonia), суд визнав сегрегацію учнів ромської національності у державних початкових школах, де переважною більшістю вихованців були лише діти ромів [4;5]. </w:t>
      </w:r>
    </w:p>
    <w:p w14:paraId="31BF5328" w14:textId="7BD9641C"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Ще однією розповсюдженою ознакою являється мова, в контексті викладання у навчальних закладах. Проте варто зауважити, що у більшість справ, які стосуються мови ЄСПЛ приходив до висновку, щодо відсутності порушення статті 14 Конвенції, що розглядається в поєднанні із статтею 2 Додаткового протоколу. Наприклад у справах «Валіулліна та інші проти Латвії» (Valiullina and Others v. Latvia), «Джибуті та інші проти Латвії» (Džibuti and Others v. Latvia), ЄСПЛ не визнав як порушення попередньо згаданих положень, впровадження законодавчих змін, які спрямовані на збільшення використання латвійської мови у державних</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та приватних школах, що скорочують використання російської мови, як мови викладання [6; 7].</w:t>
      </w:r>
    </w:p>
    <w:p w14:paraId="13E5F24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Наступною ознакою, </w:t>
      </w:r>
      <w:proofErr w:type="gramStart"/>
      <w:r w:rsidRPr="00511005">
        <w:rPr>
          <w:rFonts w:ascii="Arial" w:eastAsia="Times New Roman" w:hAnsi="Arial" w:cs="Arial"/>
          <w:szCs w:val="28"/>
          <w:lang w:eastAsia="ru-RU"/>
        </w:rPr>
        <w:t>через яку</w:t>
      </w:r>
      <w:proofErr w:type="gramEnd"/>
      <w:r w:rsidRPr="00511005">
        <w:rPr>
          <w:rFonts w:ascii="Arial" w:eastAsia="Times New Roman" w:hAnsi="Arial" w:cs="Arial"/>
          <w:szCs w:val="28"/>
          <w:lang w:eastAsia="ru-RU"/>
        </w:rPr>
        <w:t xml:space="preserve"> дії держав визнаються як дискримінація, є наявність у особи інвалідності. Так справа «Ґ.Л. проти Італії» (G.L. v. Italy) стосується дитини з невербальним аутизмом, яка не отримала необхідної спеціалізованої підтримки, що призвело до неможливості її навчання в початковій школі на рівних умовах з іншими учнями. При цьому державні органи не розглянули можливість забезпечення рівності у доступі до освіти в умовах обмежених ресурсів шляхом пропорційного скорочення загального обсягу освітніх послуг для всіх учнів, що призвело до непропорційного впливу нестачі фінансування на можливості навчання дитини з інвалідністю [8].</w:t>
      </w:r>
    </w:p>
    <w:p w14:paraId="778D17B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Ще одним прикладом дискримінації особи з інвалідністю, але у вищому навчальному закладі є справа «Енвер Шахін проти Туреччини» (Enver Şahin v. Turkey). Державні органи освіти відхилили запит студента з інвалідністю до університету щодо адаптації навчальних приміщень через брак коштів, запропонувавши лише послуги помічника. Також не було здійснено індивідуальної оцінки потреб студента з інвалідністю та не враховано можливий вплив на його безпеку, гідність і самостійність, що свідчить про ігнорування його потреби в автономному способі життя [9].</w:t>
      </w:r>
    </w:p>
    <w:p w14:paraId="7AD5038A" w14:textId="3731553A"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Також у практиці ЄСПЛ наявні випадки дискримінації особи при реалізації</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права на освіту через її генетичні особливості. Наприклад у справі «Морару проти Румунії» (Moraru v. Romania) визнано порушення статті 14 Конвенції у поєднанні зі статтею 2 Додаткового протоколу, через те, що жінці було відмовлено </w:t>
      </w:r>
      <w:proofErr w:type="gramStart"/>
      <w:r w:rsidRPr="00511005">
        <w:rPr>
          <w:rFonts w:ascii="Arial" w:eastAsia="Times New Roman" w:hAnsi="Arial" w:cs="Arial"/>
          <w:szCs w:val="28"/>
          <w:lang w:eastAsia="ru-RU"/>
        </w:rPr>
        <w:t>у допуску</w:t>
      </w:r>
      <w:proofErr w:type="gramEnd"/>
      <w:r w:rsidRPr="00511005">
        <w:rPr>
          <w:rFonts w:ascii="Arial" w:eastAsia="Times New Roman" w:hAnsi="Arial" w:cs="Arial"/>
          <w:szCs w:val="28"/>
          <w:lang w:eastAsia="ru-RU"/>
        </w:rPr>
        <w:t xml:space="preserve"> до кандидатів для проходження вступного іспиту для навчання за спеціальністю військовий лікар, з причин невідповідності її зросту і вазі мінімальним вимогам, які встановлені наказом Міністерства національної оборони. ЄСПЛ визнав виправдання у відмові необ’єктивними та необґрунтованими [10].</w:t>
      </w:r>
    </w:p>
    <w:p w14:paraId="58F5C52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Отже, проаналізувавши міжнародні акти та практику ЄСПЛ, можна зробити висновок, що право на освіту є ключовим елементом системи прав людини, що має прямий вплив на соціальний прогрес, економічний розвиток і демократичне майбутнє суспільства. Його реалізація вимагає активної участі держави у створенні рівних можливостей для всіх громадян, незалежно від їхнього етнічного походження, мови, стану здоров’я чи інших індивідуальних особливостей. Практика Європейського суду з прав людини свідчить про важливість захисту цього права від будь-яких проявів дискримінації. Забезпечення рівного доступу до якісної освіти не лише зміцнює принципи соціальної справедливості, а й сприяє побудові інклюзивного, толерантного та правового суспільства.</w:t>
      </w:r>
    </w:p>
    <w:p w14:paraId="679A863F" w14:textId="7401A23A" w:rsidR="00220D3E" w:rsidRPr="00511005" w:rsidRDefault="007B2628" w:rsidP="007B2628">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2E1D077D" w14:textId="77777777" w:rsidR="00220D3E" w:rsidRPr="00511005" w:rsidRDefault="00220D3E" w:rsidP="003F6A5D">
      <w:pPr>
        <w:numPr>
          <w:ilvl w:val="0"/>
          <w:numId w:val="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Конвенція про захист прав людини і основоположних </w:t>
      </w:r>
      <w:proofErr w:type="gramStart"/>
      <w:r w:rsidRPr="00511005">
        <w:rPr>
          <w:rFonts w:ascii="Arial" w:eastAsia="Calibri" w:hAnsi="Arial" w:cs="Arial"/>
          <w:szCs w:val="28"/>
        </w:rPr>
        <w:t>свобод :</w:t>
      </w:r>
      <w:proofErr w:type="gramEnd"/>
      <w:r w:rsidRPr="00511005">
        <w:rPr>
          <w:rFonts w:ascii="Arial" w:eastAsia="Calibri" w:hAnsi="Arial" w:cs="Arial"/>
          <w:szCs w:val="28"/>
        </w:rPr>
        <w:t xml:space="preserve"> Конвенція Ради Європи від 04.11.1950 : станом на 1 серп. 2021 р. URL: </w:t>
      </w:r>
      <w:hyperlink r:id="rId203" w:anchor="Text" w:tgtFrame="_blank" w:history="1">
        <w:r w:rsidRPr="00511005">
          <w:rPr>
            <w:rFonts w:ascii="Arial" w:eastAsia="Calibri" w:hAnsi="Arial" w:cs="Arial"/>
            <w:szCs w:val="28"/>
          </w:rPr>
          <w:t>https://zakon.rada.gov.ua/laws/show/995_004#Text</w:t>
        </w:r>
      </w:hyperlink>
      <w:r w:rsidRPr="00511005">
        <w:rPr>
          <w:rFonts w:ascii="Arial" w:eastAsia="Calibri" w:hAnsi="Arial" w:cs="Arial"/>
          <w:szCs w:val="28"/>
        </w:rPr>
        <w:t> (дата звернення: 29.04.2025).</w:t>
      </w:r>
    </w:p>
    <w:p w14:paraId="16011CCA" w14:textId="77777777" w:rsidR="007B2628" w:rsidRPr="00511005" w:rsidRDefault="00220D3E" w:rsidP="003F6A5D">
      <w:pPr>
        <w:numPr>
          <w:ilvl w:val="0"/>
          <w:numId w:val="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Довідник із застосування статті 2 Протоколу № 1 до Європейської конвенції з прав людини. URL: </w:t>
      </w:r>
      <w:hyperlink r:id="rId204" w:tgtFrame="_blank" w:history="1">
        <w:r w:rsidRPr="00511005">
          <w:rPr>
            <w:rFonts w:ascii="Arial" w:eastAsia="Calibri" w:hAnsi="Arial" w:cs="Arial"/>
            <w:szCs w:val="28"/>
          </w:rPr>
          <w:t>https://ks.echr.coe.int/documents/d/echr-ks/guide_art_2_protocol_1_ukr</w:t>
        </w:r>
      </w:hyperlink>
      <w:r w:rsidRPr="00511005">
        <w:rPr>
          <w:rFonts w:ascii="Arial" w:eastAsia="Calibri" w:hAnsi="Arial" w:cs="Arial"/>
          <w:szCs w:val="28"/>
        </w:rPr>
        <w:t> (дата звернення: 29.04.2025).</w:t>
      </w:r>
    </w:p>
    <w:p w14:paraId="7F2AA55F" w14:textId="452ACCD7" w:rsidR="00220D3E" w:rsidRPr="00511005" w:rsidRDefault="00220D3E" w:rsidP="003F6A5D">
      <w:pPr>
        <w:numPr>
          <w:ilvl w:val="0"/>
          <w:numId w:val="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Котуха О. С., Подорожна Т. С. Право на освіту в практиці європейського суду з прав людини: загальнотеоретичний аналіз. </w:t>
      </w:r>
      <w:r w:rsidRPr="00511005">
        <w:rPr>
          <w:rFonts w:ascii="Arial" w:eastAsia="Calibri" w:hAnsi="Arial" w:cs="Arial"/>
          <w:i/>
          <w:iCs/>
          <w:szCs w:val="28"/>
        </w:rPr>
        <w:t>Юридичний науковий електронний журнал</w:t>
      </w:r>
      <w:r w:rsidRPr="00511005">
        <w:rPr>
          <w:rFonts w:ascii="Arial" w:eastAsia="Calibri" w:hAnsi="Arial" w:cs="Arial"/>
          <w:szCs w:val="28"/>
        </w:rPr>
        <w:t>. С. 710–715. URL: </w:t>
      </w:r>
      <w:hyperlink r:id="rId205" w:tgtFrame="_blank" w:history="1">
        <w:r w:rsidRPr="00511005">
          <w:rPr>
            <w:rFonts w:ascii="Arial" w:eastAsia="Calibri" w:hAnsi="Arial" w:cs="Arial"/>
            <w:szCs w:val="28"/>
          </w:rPr>
          <w:t>http://lsej.org.ua/10_2022/178.pdf</w:t>
        </w:r>
      </w:hyperlink>
      <w:r w:rsidRPr="00511005">
        <w:rPr>
          <w:rFonts w:ascii="Arial" w:eastAsia="Calibri" w:hAnsi="Arial" w:cs="Arial"/>
          <w:szCs w:val="28"/>
        </w:rPr>
        <w:t> (дата звернення: 29.04.2025).</w:t>
      </w:r>
    </w:p>
    <w:p w14:paraId="22171F2E" w14:textId="77777777" w:rsidR="00220D3E" w:rsidRPr="00511005" w:rsidRDefault="00220D3E" w:rsidP="003F6A5D">
      <w:pPr>
        <w:numPr>
          <w:ilvl w:val="0"/>
          <w:numId w:val="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Справа «Ельмазова та інші проти Північної </w:t>
      </w:r>
      <w:proofErr w:type="gramStart"/>
      <w:r w:rsidRPr="00511005">
        <w:rPr>
          <w:rFonts w:ascii="Arial" w:eastAsia="Calibri" w:hAnsi="Arial" w:cs="Arial"/>
          <w:szCs w:val="28"/>
        </w:rPr>
        <w:t>Македонії»Європейський</w:t>
      </w:r>
      <w:proofErr w:type="gramEnd"/>
      <w:r w:rsidRPr="00511005">
        <w:rPr>
          <w:rFonts w:ascii="Arial" w:eastAsia="Calibri" w:hAnsi="Arial" w:cs="Arial"/>
          <w:szCs w:val="28"/>
        </w:rPr>
        <w:t xml:space="preserve"> суд з прав людини. (№ Applications nos. 11811/20 and 13550/20.) URL: </w:t>
      </w:r>
      <w:hyperlink r:id="rId206" w:anchor="%7B%22itemid%22:[%22001-221503%22]%7D" w:tgtFrame="_blank" w:history="1">
        <w:r w:rsidRPr="00511005">
          <w:rPr>
            <w:rFonts w:ascii="Arial" w:eastAsia="Calibri" w:hAnsi="Arial" w:cs="Arial"/>
            <w:szCs w:val="28"/>
          </w:rPr>
          <w:t>https://hudoc.echr.coe.int/eng#%7B"itemid":["001-221503"]%7D</w:t>
        </w:r>
      </w:hyperlink>
      <w:r w:rsidRPr="00511005">
        <w:rPr>
          <w:rFonts w:ascii="Arial" w:eastAsia="Calibri" w:hAnsi="Arial" w:cs="Arial"/>
          <w:szCs w:val="28"/>
        </w:rPr>
        <w:t> (дата звернення: 29.04.2025).</w:t>
      </w:r>
    </w:p>
    <w:p w14:paraId="6C13F050" w14:textId="77777777" w:rsidR="00220D3E" w:rsidRPr="00511005" w:rsidRDefault="00220D3E" w:rsidP="003F6A5D">
      <w:pPr>
        <w:numPr>
          <w:ilvl w:val="0"/>
          <w:numId w:val="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Справа «Солчан проти Угорщини» 30.06.2023 </w:t>
      </w:r>
      <w:r w:rsidRPr="00511005">
        <w:rPr>
          <w:rFonts w:ascii="Arial" w:eastAsia="Calibri" w:hAnsi="Arial" w:cs="Arial"/>
          <w:i/>
          <w:iCs/>
          <w:szCs w:val="28"/>
        </w:rPr>
        <w:t>(Application no. </w:t>
      </w:r>
      <w:hyperlink r:id="rId207" w:anchor="{%22appno%22:[%2224408/16%22]}" w:tgtFrame="_blank" w:history="1">
        <w:r w:rsidRPr="00511005">
          <w:rPr>
            <w:rFonts w:ascii="Arial" w:eastAsia="Calibri" w:hAnsi="Arial" w:cs="Arial"/>
            <w:i/>
            <w:iCs/>
            <w:szCs w:val="28"/>
          </w:rPr>
          <w:t>24408/16</w:t>
        </w:r>
      </w:hyperlink>
      <w:r w:rsidRPr="00511005">
        <w:rPr>
          <w:rFonts w:ascii="Arial" w:eastAsia="Calibri" w:hAnsi="Arial" w:cs="Arial"/>
          <w:i/>
          <w:iCs/>
          <w:szCs w:val="28"/>
        </w:rPr>
        <w:t xml:space="preserve">) </w:t>
      </w:r>
      <w:r w:rsidRPr="00511005">
        <w:rPr>
          <w:rFonts w:ascii="Arial" w:eastAsia="Calibri" w:hAnsi="Arial" w:cs="Arial"/>
          <w:szCs w:val="28"/>
        </w:rPr>
        <w:t xml:space="preserve">URL: </w:t>
      </w:r>
      <w:hyperlink r:id="rId208" w:anchor="%7B&quot;itemid&quot;:[&quot;001-223709&quot;]%7D" w:history="1">
        <w:r w:rsidRPr="00511005">
          <w:rPr>
            <w:rFonts w:ascii="Arial" w:eastAsia="Calibri" w:hAnsi="Arial" w:cs="Arial"/>
            <w:szCs w:val="28"/>
          </w:rPr>
          <w:t>https://hudoc.echr.coe.int/eng#%7B"itemid":["001-223709"]%7D</w:t>
        </w:r>
      </w:hyperlink>
      <w:r w:rsidRPr="00511005">
        <w:rPr>
          <w:rFonts w:ascii="Arial" w:eastAsia="Calibri" w:hAnsi="Arial" w:cs="Arial"/>
          <w:szCs w:val="28"/>
        </w:rPr>
        <w:t> </w:t>
      </w:r>
    </w:p>
    <w:p w14:paraId="53F72DA3" w14:textId="77777777" w:rsidR="00220D3E" w:rsidRPr="00511005" w:rsidRDefault="00220D3E" w:rsidP="003F6A5D">
      <w:pPr>
        <w:numPr>
          <w:ilvl w:val="0"/>
          <w:numId w:val="72"/>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rPr>
        <w:t>Справа «Валіулліна та інші проти Латвії» no. </w:t>
      </w:r>
      <w:r w:rsidRPr="00511005">
        <w:rPr>
          <w:rFonts w:ascii="Arial" w:eastAsia="Calibri" w:hAnsi="Arial" w:cs="Arial"/>
          <w:szCs w:val="28"/>
          <w:lang w:val="en-US"/>
        </w:rPr>
        <w:t>(Applications nos. 56928/19 and 2 others), 19.02.2024. URL: </w:t>
      </w:r>
      <w:hyperlink r:id="rId209" w:anchor="%7B%22sort%22:[%22kpdate%20Descending%22],%22itemid%22:[%22001-226485%22]%7D" w:tgtFrame="_blank" w:history="1">
        <w:r w:rsidRPr="00511005">
          <w:rPr>
            <w:rFonts w:ascii="Arial" w:eastAsia="Calibri" w:hAnsi="Arial" w:cs="Arial"/>
            <w:szCs w:val="28"/>
            <w:lang w:val="en-US"/>
          </w:rPr>
          <w:t>https://hudoc.echr.coe.int/eng#%7B"sort":["kpdate%20Descending"],"itemid":["001-226485"]%7D</w:t>
        </w:r>
      </w:hyperlink>
      <w:r w:rsidRPr="00511005">
        <w:rPr>
          <w:rFonts w:ascii="Arial" w:eastAsia="Calibri" w:hAnsi="Arial" w:cs="Arial"/>
          <w:szCs w:val="28"/>
          <w:lang w:val="en-US"/>
        </w:rPr>
        <w:t> (date of access: 29.04.2025).</w:t>
      </w:r>
    </w:p>
    <w:p w14:paraId="4C9EBABA" w14:textId="77777777" w:rsidR="00220D3E" w:rsidRPr="00511005" w:rsidRDefault="00220D3E" w:rsidP="003F6A5D">
      <w:pPr>
        <w:numPr>
          <w:ilvl w:val="0"/>
          <w:numId w:val="72"/>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rPr>
        <w:t>Справа «Джибуті та інші проти Латвії» no. </w:t>
      </w:r>
      <w:r w:rsidRPr="00511005">
        <w:rPr>
          <w:rFonts w:ascii="Arial" w:eastAsia="Calibri" w:hAnsi="Arial" w:cs="Arial"/>
          <w:szCs w:val="28"/>
          <w:lang w:val="en-US"/>
        </w:rPr>
        <w:t>(Applications nos. 56928/19 and 2 others), 19.02.2024. URL: </w:t>
      </w:r>
      <w:hyperlink r:id="rId210" w:anchor="%7B%22sort%22:[%22kpdate%20Descending%22],%22itemid%22:[%22001-226485%22]%7D" w:tgtFrame="_blank" w:history="1">
        <w:r w:rsidRPr="00511005">
          <w:rPr>
            <w:rFonts w:ascii="Arial" w:eastAsia="Calibri" w:hAnsi="Arial" w:cs="Arial"/>
            <w:szCs w:val="28"/>
            <w:lang w:val="en-US"/>
          </w:rPr>
          <w:t>https://hudoc.echr.coe.int/eng#%7B"sort":["kpdate%20Descending"],"itemid":["001-226485"]%7D</w:t>
        </w:r>
      </w:hyperlink>
      <w:r w:rsidRPr="00511005">
        <w:rPr>
          <w:rFonts w:ascii="Arial" w:eastAsia="Calibri" w:hAnsi="Arial" w:cs="Arial"/>
          <w:szCs w:val="28"/>
          <w:lang w:val="en-US"/>
        </w:rPr>
        <w:t> (date of access: 29.04.2025).</w:t>
      </w:r>
    </w:p>
    <w:p w14:paraId="006E5CB9" w14:textId="77777777" w:rsidR="00220D3E" w:rsidRPr="00511005" w:rsidRDefault="00220D3E" w:rsidP="003F6A5D">
      <w:pPr>
        <w:numPr>
          <w:ilvl w:val="0"/>
          <w:numId w:val="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Справа</w:t>
      </w:r>
      <w:r w:rsidRPr="00511005">
        <w:rPr>
          <w:rFonts w:ascii="Arial" w:eastAsia="Calibri" w:hAnsi="Arial" w:cs="Arial"/>
          <w:szCs w:val="28"/>
          <w:lang w:val="en-US"/>
        </w:rPr>
        <w:t xml:space="preserve"> «</w:t>
      </w:r>
      <w:r w:rsidRPr="00511005">
        <w:rPr>
          <w:rFonts w:ascii="Arial" w:eastAsia="Calibri" w:hAnsi="Arial" w:cs="Arial"/>
          <w:szCs w:val="28"/>
        </w:rPr>
        <w:t>Ґ</w:t>
      </w:r>
      <w:r w:rsidRPr="00511005">
        <w:rPr>
          <w:rFonts w:ascii="Arial" w:eastAsia="Calibri" w:hAnsi="Arial" w:cs="Arial"/>
          <w:szCs w:val="28"/>
          <w:lang w:val="en-US"/>
        </w:rPr>
        <w:t>.</w:t>
      </w:r>
      <w:r w:rsidRPr="00511005">
        <w:rPr>
          <w:rFonts w:ascii="Arial" w:eastAsia="Calibri" w:hAnsi="Arial" w:cs="Arial"/>
          <w:szCs w:val="28"/>
        </w:rPr>
        <w:t>Л</w:t>
      </w:r>
      <w:r w:rsidRPr="00511005">
        <w:rPr>
          <w:rFonts w:ascii="Arial" w:eastAsia="Calibri" w:hAnsi="Arial" w:cs="Arial"/>
          <w:szCs w:val="28"/>
          <w:lang w:val="en-US"/>
        </w:rPr>
        <w:t xml:space="preserve">. </w:t>
      </w:r>
      <w:r w:rsidRPr="00511005">
        <w:rPr>
          <w:rFonts w:ascii="Arial" w:eastAsia="Calibri" w:hAnsi="Arial" w:cs="Arial"/>
          <w:szCs w:val="28"/>
        </w:rPr>
        <w:t>проти</w:t>
      </w:r>
      <w:r w:rsidRPr="00511005">
        <w:rPr>
          <w:rFonts w:ascii="Arial" w:eastAsia="Calibri" w:hAnsi="Arial" w:cs="Arial"/>
          <w:szCs w:val="28"/>
          <w:lang w:val="en-US"/>
        </w:rPr>
        <w:t xml:space="preserve"> </w:t>
      </w:r>
      <w:r w:rsidRPr="00511005">
        <w:rPr>
          <w:rFonts w:ascii="Arial" w:eastAsia="Calibri" w:hAnsi="Arial" w:cs="Arial"/>
          <w:szCs w:val="28"/>
        </w:rPr>
        <w:t>Італії</w:t>
      </w:r>
      <w:r w:rsidRPr="00511005">
        <w:rPr>
          <w:rFonts w:ascii="Arial" w:eastAsia="Calibri" w:hAnsi="Arial" w:cs="Arial"/>
          <w:szCs w:val="28"/>
          <w:lang w:val="en-US"/>
        </w:rPr>
        <w:t xml:space="preserve">» № (Application no. 59751/15), 10.12.2020. </w:t>
      </w:r>
      <w:r w:rsidRPr="00511005">
        <w:rPr>
          <w:rFonts w:ascii="Arial" w:eastAsia="Calibri" w:hAnsi="Arial" w:cs="Arial"/>
          <w:szCs w:val="28"/>
        </w:rPr>
        <w:t>URL: </w:t>
      </w:r>
      <w:hyperlink r:id="rId211" w:tgtFrame="_blank" w:history="1">
        <w:r w:rsidRPr="00511005">
          <w:rPr>
            <w:rFonts w:ascii="Arial" w:eastAsia="Calibri" w:hAnsi="Arial" w:cs="Arial"/>
            <w:szCs w:val="28"/>
          </w:rPr>
          <w:t>https://hudoc.echr.coe.int/eng?i=001-204685</w:t>
        </w:r>
      </w:hyperlink>
      <w:r w:rsidRPr="00511005">
        <w:rPr>
          <w:rFonts w:ascii="Arial" w:eastAsia="Calibri" w:hAnsi="Arial" w:cs="Arial"/>
          <w:szCs w:val="28"/>
        </w:rPr>
        <w:t> (дата звернення: 29.04.2025).</w:t>
      </w:r>
    </w:p>
    <w:p w14:paraId="24E7CEF2" w14:textId="6E88FFA6" w:rsidR="00220D3E" w:rsidRPr="00511005" w:rsidRDefault="00220D3E" w:rsidP="003F6A5D">
      <w:pPr>
        <w:numPr>
          <w:ilvl w:val="0"/>
          <w:numId w:val="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lastRenderedPageBreak/>
        <w:t>Справа «Енвер Шахін проти Туреччини»</w:t>
      </w:r>
      <w:r w:rsidR="007B2628" w:rsidRPr="00511005">
        <w:rPr>
          <w:rFonts w:ascii="Arial" w:eastAsia="Calibri" w:hAnsi="Arial" w:cs="Arial"/>
          <w:szCs w:val="28"/>
        </w:rPr>
        <w:t xml:space="preserve"> </w:t>
      </w:r>
      <w:r w:rsidRPr="00511005">
        <w:rPr>
          <w:rFonts w:ascii="Arial" w:eastAsia="Calibri" w:hAnsi="Arial" w:cs="Arial"/>
          <w:szCs w:val="28"/>
        </w:rPr>
        <w:t>№ (Application no. 23065/12), 02.07.2018. URL: </w:t>
      </w:r>
      <w:hyperlink r:id="rId212" w:tgtFrame="_blank" w:history="1">
        <w:r w:rsidRPr="00511005">
          <w:rPr>
            <w:rFonts w:ascii="Arial" w:eastAsia="Calibri" w:hAnsi="Arial" w:cs="Arial"/>
            <w:szCs w:val="28"/>
          </w:rPr>
          <w:t>https://hudoc.echr.coe.int/eng?i=001-180499</w:t>
        </w:r>
      </w:hyperlink>
      <w:r w:rsidRPr="00511005">
        <w:rPr>
          <w:rFonts w:ascii="Arial" w:eastAsia="Calibri" w:hAnsi="Arial" w:cs="Arial"/>
          <w:szCs w:val="28"/>
        </w:rPr>
        <w:t> (дата звернення: 29.04.2025).</w:t>
      </w:r>
    </w:p>
    <w:p w14:paraId="6BFAD40F" w14:textId="77777777" w:rsidR="00220D3E" w:rsidRPr="00511005" w:rsidRDefault="00220D3E" w:rsidP="003F6A5D">
      <w:pPr>
        <w:numPr>
          <w:ilvl w:val="0"/>
          <w:numId w:val="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Справа «Морару проти Румунії» № (Application no. 64480/19), 08.02.2023. URL: </w:t>
      </w:r>
      <w:hyperlink r:id="rId213" w:tgtFrame="_blank" w:history="1">
        <w:r w:rsidRPr="00511005">
          <w:rPr>
            <w:rFonts w:ascii="Arial" w:eastAsia="Calibri" w:hAnsi="Arial" w:cs="Arial"/>
            <w:szCs w:val="28"/>
          </w:rPr>
          <w:t>https://hudoc.echr.coe.int/eng?i=001-220667</w:t>
        </w:r>
      </w:hyperlink>
      <w:r w:rsidRPr="00511005">
        <w:rPr>
          <w:rFonts w:ascii="Arial" w:eastAsia="Calibri" w:hAnsi="Arial" w:cs="Arial"/>
          <w:szCs w:val="28"/>
        </w:rPr>
        <w:t> (дата звернення: 29.04.2025).</w:t>
      </w:r>
    </w:p>
    <w:p w14:paraId="10A626FF" w14:textId="77777777" w:rsidR="00220D3E" w:rsidRPr="00511005" w:rsidRDefault="00220D3E" w:rsidP="003A292D">
      <w:pPr>
        <w:tabs>
          <w:tab w:val="left" w:pos="709"/>
        </w:tabs>
        <w:spacing w:line="264" w:lineRule="auto"/>
        <w:rPr>
          <w:rFonts w:ascii="Arial" w:eastAsia="Times New Roman" w:hAnsi="Arial" w:cs="Arial"/>
          <w:b/>
          <w:szCs w:val="28"/>
          <w:lang w:val="uk-UA" w:eastAsia="ru-RU"/>
        </w:rPr>
      </w:pPr>
    </w:p>
    <w:p w14:paraId="5132B0EB" w14:textId="23DC1C77"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право на освіту, дискримінація, практика Європейського суду з прав людини.</w:t>
      </w:r>
    </w:p>
    <w:p w14:paraId="20BA0EA0" w14:textId="1D88D512" w:rsidR="00220D3E" w:rsidRPr="00511005" w:rsidRDefault="007B2628" w:rsidP="003A292D">
      <w:pPr>
        <w:tabs>
          <w:tab w:val="left" w:pos="709"/>
        </w:tabs>
        <w:spacing w:line="264" w:lineRule="auto"/>
        <w:rPr>
          <w:rFonts w:ascii="Arial" w:eastAsia="Times New Roman" w:hAnsi="Arial" w:cs="Arial"/>
          <w:bCs/>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bCs/>
          <w:szCs w:val="28"/>
          <w:lang w:val="en-US" w:eastAsia="ru-RU"/>
        </w:rPr>
        <w:t>right to education, discrimination, practice of the European Court of Human Rights.</w:t>
      </w:r>
    </w:p>
    <w:p w14:paraId="1CCFCF24" w14:textId="56A4737E" w:rsidR="00220D3E" w:rsidRPr="00511005" w:rsidRDefault="007B2628" w:rsidP="003A292D">
      <w:pPr>
        <w:tabs>
          <w:tab w:val="left" w:pos="709"/>
        </w:tabs>
        <w:spacing w:line="264" w:lineRule="auto"/>
        <w:rPr>
          <w:rFonts w:ascii="Arial" w:eastAsia="Times New Roman" w:hAnsi="Arial" w:cs="Arial"/>
          <w:bCs/>
          <w:szCs w:val="28"/>
          <w:lang w:eastAsia="ru-RU"/>
        </w:rPr>
      </w:pPr>
      <w:r w:rsidRPr="00511005">
        <w:rPr>
          <w:rFonts w:ascii="Arial" w:eastAsia="Times New Roman" w:hAnsi="Arial" w:cs="Arial"/>
          <w:b/>
          <w:bCs/>
          <w:i/>
          <w:iCs/>
          <w:szCs w:val="28"/>
          <w:lang w:eastAsia="ru-RU"/>
        </w:rPr>
        <w:t xml:space="preserve">Науковий керівник: </w:t>
      </w:r>
      <w:r w:rsidR="00220D3E" w:rsidRPr="00511005">
        <w:rPr>
          <w:rFonts w:ascii="Arial" w:eastAsia="Times New Roman" w:hAnsi="Arial" w:cs="Arial"/>
          <w:bCs/>
          <w:i/>
          <w:iCs/>
          <w:szCs w:val="28"/>
          <w:lang w:eastAsia="ru-RU"/>
        </w:rPr>
        <w:t>к.ю.н., доцент Дронов В. Ю.</w:t>
      </w:r>
    </w:p>
    <w:p w14:paraId="6B4A68B3"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209F85F4"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Вовк Софія Костянтинівна</w:t>
      </w:r>
    </w:p>
    <w:p w14:paraId="22E29CE9" w14:textId="2B8937E4"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r w:rsidR="00220D3E" w:rsidRPr="00511005">
        <w:rPr>
          <w:rFonts w:ascii="Arial" w:eastAsia="Times New Roman" w:hAnsi="Arial" w:cs="Arial"/>
          <w:szCs w:val="28"/>
          <w:lang w:eastAsia="ru-RU"/>
        </w:rPr>
        <w:t xml:space="preserve"> </w:t>
      </w:r>
      <w:r w:rsidR="007B2628" w:rsidRPr="00511005">
        <w:rPr>
          <w:rFonts w:ascii="Arial" w:eastAsia="Times New Roman" w:hAnsi="Arial" w:cs="Arial"/>
          <w:szCs w:val="28"/>
          <w:lang w:eastAsia="ru-RU"/>
        </w:rPr>
        <w:t>Національного університету «Одеська юридична академія»</w:t>
      </w:r>
    </w:p>
    <w:p w14:paraId="6AAA641E"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eastAsia="ru-RU"/>
        </w:rPr>
      </w:pPr>
    </w:p>
    <w:p w14:paraId="25CFCC0F"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eastAsia="ru-RU"/>
        </w:rPr>
        <w:t>ЗЛОЧИНИ ПРОТИ ЛЮДЯНОСТІ ТА ЗЛОЧИНИ ПРОТИ ЛЮДСТВА: МІЖНАРОДНО-ПРАВОВИЙ АСПЕКТ</w:t>
      </w:r>
    </w:p>
    <w:p w14:paraId="2FD42A4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Злочини проти людяності та злочини проти людства є одними з найтяжчих порушень міжнародного права, що становлять загрозу для фундаментальних прав людини та міжнародного миру і безпеки. Проте розрізнення цих понять постає важливим аспектом для розуміння їхнього значення в нормах міжнародних актів.</w:t>
      </w:r>
    </w:p>
    <w:p w14:paraId="79669C9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Перш за все, варто прослідкувати контекст вживання таких термінів в ході історії. Посилаючись на дослідження А. В. Андрушка, можна стверджувати, що Декларація від 24 травня 1915 року, спільно оприлюднена Великою Британією, Францією та росією у зв'язку з винищенням вірмен в Османській імперії, стала однією з перших міжнародних документів, де було використано формулювання, близьке до сучасного розуміння «злочинів проти людяності», а саме – «злочин проти людяності та цивілізації» [5, с. 15].</w:t>
      </w:r>
    </w:p>
    <w:p w14:paraId="7091380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Проте більшість вважає, що міжнародно-правове регулювання цих злочинів бере свій початок з Нюрнберзького та Токійського трибуналів, де вперше було офіційно закріплено ці поняття. Важливо зазначити, що в оригінальних документах Статуту Нюрнберзького трибуналу та Статуту Міжнародного воєнного трибуналу для Далекого Сходу в Токіо вживається фраза «crimes against humanity», що в перекладі українською «злочини проти людяності» [10]. Перше офіційне визначення категорії цих злочинів було надано у статті 6 (c) Статуту Нюрнберзького трибуналу. Згідно з цим документом, до таких злочинів належали «вбивства, винищення, поневолення, депортація та інші нелюдські акти, скоєні проти цивільного населення до або під час війни, а також переслідування за політичними, </w:t>
      </w:r>
      <w:r w:rsidRPr="00511005">
        <w:rPr>
          <w:rFonts w:ascii="Arial" w:eastAsia="Times New Roman" w:hAnsi="Arial" w:cs="Arial"/>
          <w:szCs w:val="28"/>
          <w:lang w:eastAsia="ru-RU"/>
        </w:rPr>
        <w:lastRenderedPageBreak/>
        <w:t xml:space="preserve">расовими чи релігійними мотивами, якщо вони були здійснені з метою або у зв’язку з будь-яким злочином, що підпадав під юрисдикцію Трибуналу, незалежно від того, чи суперечили ці дії внутрішньому законодавству країни, де вони відбувалися» [4]. Тобто, основна суть цього поняття полягає в порушенні засадничих гуманістичних принципів. </w:t>
      </w:r>
    </w:p>
    <w:p w14:paraId="0E20086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Проте в постанові ВРУ № 3237-VI від 19.04.2011, вживається словосполучення «злочини проти людства» [3]. Воно звучить більш узагальнено, натякаючи на загрозу людству в цілому, що може створювати певні змістові неточності.</w:t>
      </w:r>
    </w:p>
    <w:p w14:paraId="7DEEAAA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Через кілька десятиліть після ухвалення Статуту Нюрнберзького трибуналу, у 1998 році було прийнято Римський статут, який заснував Міжнародний кримінальний суд (МКС). МКС отримав юрисдикцію над чотирма основними категоріями міжнародних злочинів: Геноцид, злочини проти людяності, воєнні злочини, злочин агресії [10]. У Статуті МКС використовується саме термін «злочини проти людяності» (crimes against humanity). Відповідно до ч. 1 ст. 7 Статуту, ці злочини є будь-якою з перелічених дій, вчинених як частина широкомасштабного або систематичного нападу на цивільне населення, за умови усвідомлення характеру такого нападу [1].</w:t>
      </w:r>
    </w:p>
    <w:p w14:paraId="4816EAEB" w14:textId="533AC385"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Наступним документом, де цей термін має таке саме вживання, є Європейська конвенція про незастосування строків давності до злочинів проти людяності та воєнних злочинів від 26 листопада</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1968 року [2]. В той же час у Конвенції від 30 листопада 1973 року, що регулює питання апартеїду та покарання за нього, міститься словосполучення «злочини проти людства» [10].</w:t>
      </w:r>
    </w:p>
    <w:p w14:paraId="323F1037" w14:textId="0B8EF5AA"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незважаючи на те, що в англомовних офіційних джерелах такі злочини іменуються як «crimes against humanity», український переклад породив певну суперечність, використовуючи «злочини проти людства» та «злочини проти людяності»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як синонімічні поняття. Проте варто було б також порівняти значення цих термінів у філологічному аспекті.</w:t>
      </w:r>
    </w:p>
    <w:p w14:paraId="385DD57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«Людяність» можна розглядати як гуманізм, співчуття, повагу до людської гідності [11]. А тому «злочини проти людяності» можна трактувати як порушення гуманістичних принципів, які завдають шкоду здоров’ю, гідності, безпеці чи добробуту людини. До них відносяться такі дії, як: вбивство, нанесення тілесних ушкоджень, катування, незаконне позбавлення волі, примушення до проституції, зґвалтування, примусова вагітність та інші [6].</w:t>
      </w:r>
    </w:p>
    <w:p w14:paraId="02D2F4A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 той же час «людство» визначають як цілісну сукупність всіх людей на Землі, суб’єкт глобальної соціальної діяльності [12]. Тому «злочини проти людства» мають ширший контекст, оскільки загрожують не лише окремим групам людей, а й всій цивілізації, суспільному устрою, культурі та екології і підпадають під юрисдикцію як національного, так і міжнародного </w:t>
      </w:r>
      <w:r w:rsidRPr="00511005">
        <w:rPr>
          <w:rFonts w:ascii="Arial" w:eastAsia="Times New Roman" w:hAnsi="Arial" w:cs="Arial"/>
          <w:szCs w:val="28"/>
          <w:lang w:eastAsia="ru-RU"/>
        </w:rPr>
        <w:lastRenderedPageBreak/>
        <w:t>законодавства [9, с. 344]. Вони не обов’язково пов’язані з масовими вбивствами чи воєнними злочинами, але порушують стабільність людської цивілізації. Це пропаганда війни, використання зброї масового знищення, піратство, терористичні акти, створення злочинних угруповань, екологічні злочини та інше [6, с. 322].</w:t>
      </w:r>
    </w:p>
    <w:p w14:paraId="7200438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Для ще більшого розуміння варто було б окреслити головні ознаки злочинів проти людяності як одного з основних міжнародних злочинів. Перш за все вони характеризуються систематичними або широкомасштабними порушеннями прав цивільного населення, що загрожують миру, безпеці та людяності як основі співіснування. Вони можуть вчинятися як щодо громадян власної держави, так і щодо іноземців, як цивільними особами, так і військовими, а також державними структурами, що використовують насильство як інструмент політики [7, с. 93-94]. </w:t>
      </w:r>
    </w:p>
    <w:p w14:paraId="0F2C110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Ці злочини є міжнародними правопорушеннями, що порушують державний суверенітет і зачіпають не лише безпосередніх жертв, а й міжнародне співтовариство загалом. Як грубі порушення основоположних цінностей міжнародного права, вони є предметом зобов'язань </w:t>
      </w:r>
      <w:r w:rsidRPr="00511005">
        <w:rPr>
          <w:rFonts w:ascii="Arial" w:eastAsia="Times New Roman" w:hAnsi="Arial" w:cs="Arial"/>
          <w:i/>
          <w:szCs w:val="28"/>
          <w:lang w:eastAsia="ru-RU"/>
        </w:rPr>
        <w:t>erga omnes</w:t>
      </w:r>
      <w:r w:rsidRPr="00511005">
        <w:rPr>
          <w:rFonts w:ascii="Arial" w:eastAsia="Times New Roman" w:hAnsi="Arial" w:cs="Arial"/>
          <w:szCs w:val="28"/>
          <w:lang w:eastAsia="ru-RU"/>
        </w:rPr>
        <w:t>. Це означає, що кожна держава має юридичний інтерес у їх запобіганні та покаранні, що обґрунтовує можливість застосування універсальної юрисдикції та покладає на держави обов'язок вживати активних заходів для недопущення цих злочинів у будь-якій точці світу [7, с. 95].</w:t>
      </w:r>
    </w:p>
    <w:p w14:paraId="289608B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Категорія злочинів, що підпадає під дію зобов'язань erga omnes, тісно пов'язана з імперативними нормами міжнародного права (jus cogens) і охоплює такі беззаперечні злочини, як геноцид, рабство, тортури, расова дискримінація та агресія. Незважаючи на те, що злочини проти людяності не завжди включені до стислих переліків jus cogens, їхня особлива тяжкість і зазіхання на ключові цінності міжнародного співтовариства роблять очевидним, що значна кількість науковців розглядає заборону широкомасштабних та систематичних нападів на цивільне населення як принцип, що лежить в основі зобов'язань erga omnes [8, с. 7].</w:t>
      </w:r>
    </w:p>
    <w:p w14:paraId="1EDA3AA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Особливою ознакою злочинів проти людяності є їхня організованість, що передбачає причетність держави або політичних структур до їхнього вчинення. Саме тому Нюрнберзький трибунал визначав відповідальність за ці злочини для державних агентів або осіб, пов’язаних із державними механізмами, але не для окремих осіб, які діяли самостійно [7, с. 95-98]. Злочини проти людяності складаються з найтяжчих і найжахливіших актів насильства та переслідування [7, с. 98]. </w:t>
      </w:r>
    </w:p>
    <w:p w14:paraId="3508625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Отже, злочини проти людяності та злочини проти людства є важливими категоріями міжнародного права, що мають значний вплив на глобальний порядок та безпеку. Хоча терміни «злочини проти людства» та «злочини проти людяності» часто використовуються як синоніми, їх значення відрізняється. «Злочини проти людяності» стосуються порушень </w:t>
      </w:r>
      <w:r w:rsidRPr="00511005">
        <w:rPr>
          <w:rFonts w:ascii="Arial" w:eastAsia="Times New Roman" w:hAnsi="Arial" w:cs="Arial"/>
          <w:szCs w:val="28"/>
          <w:lang w:eastAsia="ru-RU"/>
        </w:rPr>
        <w:lastRenderedPageBreak/>
        <w:t>гуманістичних принципів, які завдають шкоди конкретним людям або групам, тоді як «злочини проти людства» мають ширший контекст і можуть загрожувати всій цивілізації. Злочини проти людяності є більш юридично закріпленою категорією, що чітко визначена міжнародними актами, такими як Статут Нюрнберзького трибуналу, Римський статут та інші документи, що регулюють питання відповідальності за порушення прав людини. Ці злочини є частиною міжнародних правопорушень, що порушують основи мирного співіснування та прав людини, і передбачають організовану діяльність держави або політичних структур. Важливість розрізнення цих понять полягає в точності застосування міжнародних норм і забезпеченні належної відповідальності на національному та міжнародному рівнях.</w:t>
      </w:r>
    </w:p>
    <w:p w14:paraId="1DB1AFB9" w14:textId="5032646B" w:rsidR="00220D3E" w:rsidRPr="00511005" w:rsidRDefault="007B2628" w:rsidP="007B2628">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b/>
          <w:szCs w:val="28"/>
          <w:lang w:val="uk-UA" w:eastAsia="ru-RU"/>
        </w:rPr>
        <w:t>Список використаних джерел</w:t>
      </w:r>
    </w:p>
    <w:p w14:paraId="44AF194F" w14:textId="77777777"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Римський Статут Міжнародного Кримінального Суду від 17.07.1998 URL: </w:t>
      </w:r>
      <w:hyperlink r:id="rId214" w:anchor="Text">
        <w:r w:rsidRPr="00511005">
          <w:rPr>
            <w:rFonts w:ascii="Arial" w:eastAsia="Times New Roman" w:hAnsi="Arial" w:cs="Arial"/>
            <w:szCs w:val="28"/>
            <w:lang w:eastAsia="ru-RU"/>
          </w:rPr>
          <w:t>https://zakon.rada.gov.ua/laws/show/995_588#Text</w:t>
        </w:r>
      </w:hyperlink>
    </w:p>
    <w:p w14:paraId="0C6AC205" w14:textId="77777777"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Європейська конвенція про незастосування строків давності до злочинів проти людяності та воєнних злочинів від 26.11.1968 URL: </w:t>
      </w:r>
      <w:hyperlink r:id="rId215" w:anchor="Text">
        <w:r w:rsidRPr="00511005">
          <w:rPr>
            <w:rFonts w:ascii="Arial" w:eastAsia="Times New Roman" w:hAnsi="Arial" w:cs="Arial"/>
            <w:szCs w:val="28"/>
            <w:lang w:eastAsia="ru-RU"/>
          </w:rPr>
          <w:t>https://zakon.rada.gov.ua/laws/show/994_125#Text</w:t>
        </w:r>
      </w:hyperlink>
    </w:p>
    <w:p w14:paraId="76A1F6E1" w14:textId="77777777"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Постанова ВРУ Про Заяву Верховної Ради України "До 65-ї річниці Нюрнберзького трибуналу над фашистськими злочинцями" від 15.12.2010 URL: </w:t>
      </w:r>
      <w:hyperlink r:id="rId216" w:anchor="Text">
        <w:r w:rsidRPr="00511005">
          <w:rPr>
            <w:rFonts w:ascii="Arial" w:eastAsia="Times New Roman" w:hAnsi="Arial" w:cs="Arial"/>
            <w:szCs w:val="28"/>
            <w:lang w:eastAsia="ru-RU"/>
          </w:rPr>
          <w:t>https://zakon.rada.gov.ua/laws/show/3248-VI#Text</w:t>
        </w:r>
      </w:hyperlink>
    </w:p>
    <w:p w14:paraId="3E89175D" w14:textId="77777777"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Charter of the International Military Tribunal 08.08.1945 URL: </w:t>
      </w:r>
      <w:hyperlink r:id="rId217">
        <w:r w:rsidRPr="00511005">
          <w:rPr>
            <w:rFonts w:ascii="Arial" w:eastAsia="Times New Roman" w:hAnsi="Arial" w:cs="Arial"/>
            <w:szCs w:val="28"/>
            <w:lang w:val="en-US" w:eastAsia="ru-RU"/>
          </w:rPr>
          <w:t>https://www.un.org/en/genocideprevention/documents/atrocity-crimes/Doc.2_Charter%20of%20IMT%201945.pdf</w:t>
        </w:r>
      </w:hyperlink>
    </w:p>
    <w:p w14:paraId="2C522DEB" w14:textId="77777777"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Андрушко А. В. Злочини проти людяності: поняття та сутнісні ознаки. Проблеми кваліфікацїї та розслідування кримінальних правопорушень в умовах воєнного </w:t>
      </w:r>
      <w:proofErr w:type="gramStart"/>
      <w:r w:rsidRPr="00511005">
        <w:rPr>
          <w:rFonts w:ascii="Arial" w:eastAsia="Times New Roman" w:hAnsi="Arial" w:cs="Arial"/>
          <w:szCs w:val="28"/>
          <w:lang w:eastAsia="ru-RU"/>
        </w:rPr>
        <w:t>стану :</w:t>
      </w:r>
      <w:proofErr w:type="gramEnd"/>
      <w:r w:rsidRPr="00511005">
        <w:rPr>
          <w:rFonts w:ascii="Arial" w:eastAsia="Times New Roman" w:hAnsi="Arial" w:cs="Arial"/>
          <w:szCs w:val="28"/>
          <w:lang w:eastAsia="ru-RU"/>
        </w:rPr>
        <w:t xml:space="preserve"> матеріали наук.-теорет. конф. (Київ, 26 трав. 2022 р.) / редкол.: С. Д. Гусарєв, С. С. Чернявський, А. А. Вознюк та ін. </w:t>
      </w:r>
      <w:proofErr w:type="gramStart"/>
      <w:r w:rsidRPr="00511005">
        <w:rPr>
          <w:rFonts w:ascii="Arial" w:eastAsia="Times New Roman" w:hAnsi="Arial" w:cs="Arial"/>
          <w:szCs w:val="28"/>
          <w:lang w:eastAsia="ru-RU"/>
        </w:rPr>
        <w:t>Київ :</w:t>
      </w:r>
      <w:proofErr w:type="gramEnd"/>
      <w:r w:rsidRPr="00511005">
        <w:rPr>
          <w:rFonts w:ascii="Arial" w:eastAsia="Times New Roman" w:hAnsi="Arial" w:cs="Arial"/>
          <w:szCs w:val="28"/>
          <w:lang w:eastAsia="ru-RU"/>
        </w:rPr>
        <w:t xml:space="preserve"> Нац. акад. внутр. справ, 2022. С. 15-17. - 4</w:t>
      </w:r>
    </w:p>
    <w:p w14:paraId="67B84FC2" w14:textId="77777777"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Поповичук В. О. Визначення категорії «злочини проти миру, безпеки людства та міжнародного правопорядку». Часопис Київського університету права. 2015. № 3. С. 320-323.</w:t>
      </w:r>
    </w:p>
    <w:p w14:paraId="24D8B8F1" w14:textId="77777777"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val="pl-PL" w:eastAsia="ru-RU"/>
        </w:rPr>
      </w:pPr>
      <w:r w:rsidRPr="00511005">
        <w:rPr>
          <w:rFonts w:ascii="Arial" w:eastAsia="Times New Roman" w:hAnsi="Arial" w:cs="Arial"/>
          <w:szCs w:val="28"/>
          <w:lang w:val="en-US" w:eastAsia="ru-RU"/>
        </w:rPr>
        <w:t xml:space="preserve">Luban D. A Theory of Crimes Against Humanity. Georgetown Law Faculty Publications and Other Works, 2004. </w:t>
      </w:r>
      <w:r w:rsidRPr="00511005">
        <w:rPr>
          <w:rFonts w:ascii="Arial" w:eastAsia="Times New Roman" w:hAnsi="Arial" w:cs="Arial"/>
          <w:szCs w:val="28"/>
          <w:lang w:val="pl-PL" w:eastAsia="ru-RU"/>
        </w:rPr>
        <w:t xml:space="preserve">146 p. URL: </w:t>
      </w:r>
      <w:hyperlink r:id="rId218">
        <w:r w:rsidRPr="00511005">
          <w:rPr>
            <w:rFonts w:ascii="Arial" w:eastAsia="Times New Roman" w:hAnsi="Arial" w:cs="Arial"/>
            <w:szCs w:val="28"/>
            <w:lang w:val="pl-PL" w:eastAsia="ru-RU"/>
          </w:rPr>
          <w:t>https://biblioteca.cejamericas.org/bitstream/handle/2015/420/ATheoryofCrimesAgainstHumanity.pdf?sequence=1&amp;isAllowed=y</w:t>
        </w:r>
      </w:hyperlink>
      <w:r w:rsidRPr="00511005">
        <w:rPr>
          <w:rFonts w:ascii="Arial" w:eastAsia="Times New Roman" w:hAnsi="Arial" w:cs="Arial"/>
          <w:szCs w:val="28"/>
          <w:lang w:val="pl-PL" w:eastAsia="ru-RU"/>
        </w:rPr>
        <w:t xml:space="preserve"> </w:t>
      </w:r>
    </w:p>
    <w:p w14:paraId="293BCBDF" w14:textId="77777777"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val="pl-PL" w:eastAsia="ru-RU"/>
        </w:rPr>
      </w:pPr>
      <w:r w:rsidRPr="00511005">
        <w:rPr>
          <w:rFonts w:ascii="Arial" w:eastAsia="Times New Roman" w:hAnsi="Arial" w:cs="Arial"/>
          <w:szCs w:val="28"/>
          <w:lang w:eastAsia="ru-RU"/>
        </w:rPr>
        <w:t>Грушко</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М</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В</w:t>
      </w:r>
      <w:r w:rsidRPr="00511005">
        <w:rPr>
          <w:rFonts w:ascii="Arial" w:eastAsia="Times New Roman" w:hAnsi="Arial" w:cs="Arial"/>
          <w:szCs w:val="28"/>
          <w:lang w:val="pl-PL" w:eastAsia="ru-RU"/>
        </w:rPr>
        <w:t xml:space="preserve">. (2023). </w:t>
      </w:r>
      <w:r w:rsidRPr="00511005">
        <w:rPr>
          <w:rFonts w:ascii="Arial" w:eastAsia="Times New Roman" w:hAnsi="Arial" w:cs="Arial"/>
          <w:szCs w:val="28"/>
          <w:lang w:eastAsia="ru-RU"/>
        </w:rPr>
        <w:t>Воєнні</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злочини</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та</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злочини</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проти</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людяності</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як</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міжнародні</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злочини</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порушення</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норм</w:t>
      </w:r>
      <w:r w:rsidRPr="00511005">
        <w:rPr>
          <w:rFonts w:ascii="Arial" w:eastAsia="Times New Roman" w:hAnsi="Arial" w:cs="Arial"/>
          <w:szCs w:val="28"/>
          <w:lang w:val="pl-PL" w:eastAsia="ru-RU"/>
        </w:rPr>
        <w:t xml:space="preserve"> jus cogens: </w:t>
      </w:r>
      <w:r w:rsidRPr="00511005">
        <w:rPr>
          <w:rFonts w:ascii="Arial" w:eastAsia="Times New Roman" w:hAnsi="Arial" w:cs="Arial"/>
          <w:szCs w:val="28"/>
          <w:lang w:eastAsia="ru-RU"/>
        </w:rPr>
        <w:t>питання</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кваліфікації</w:t>
      </w:r>
      <w:r w:rsidRPr="00511005">
        <w:rPr>
          <w:rFonts w:ascii="Arial" w:eastAsia="Times New Roman" w:hAnsi="Arial" w:cs="Arial"/>
          <w:szCs w:val="28"/>
          <w:lang w:val="pl-PL" w:eastAsia="ru-RU"/>
        </w:rPr>
        <w:t xml:space="preserve">. </w:t>
      </w:r>
      <w:r w:rsidRPr="00511005">
        <w:rPr>
          <w:rFonts w:ascii="Arial" w:eastAsia="Times New Roman" w:hAnsi="Arial" w:cs="Arial"/>
          <w:i/>
          <w:szCs w:val="28"/>
          <w:lang w:eastAsia="ru-RU"/>
        </w:rPr>
        <w:t>Академічні</w:t>
      </w:r>
      <w:r w:rsidRPr="00511005">
        <w:rPr>
          <w:rFonts w:ascii="Arial" w:eastAsia="Times New Roman" w:hAnsi="Arial" w:cs="Arial"/>
          <w:i/>
          <w:szCs w:val="28"/>
          <w:lang w:val="pl-PL" w:eastAsia="ru-RU"/>
        </w:rPr>
        <w:t xml:space="preserve"> </w:t>
      </w:r>
      <w:r w:rsidRPr="00511005">
        <w:rPr>
          <w:rFonts w:ascii="Arial" w:eastAsia="Times New Roman" w:hAnsi="Arial" w:cs="Arial"/>
          <w:i/>
          <w:szCs w:val="28"/>
          <w:lang w:eastAsia="ru-RU"/>
        </w:rPr>
        <w:t>візії</w:t>
      </w:r>
      <w:r w:rsidRPr="00511005">
        <w:rPr>
          <w:rFonts w:ascii="Arial" w:eastAsia="Times New Roman" w:hAnsi="Arial" w:cs="Arial"/>
          <w:szCs w:val="28"/>
          <w:lang w:val="pl-PL" w:eastAsia="ru-RU"/>
        </w:rPr>
        <w:t xml:space="preserve">, (19). URL: </w:t>
      </w:r>
      <w:hyperlink r:id="rId219">
        <w:r w:rsidRPr="00511005">
          <w:rPr>
            <w:rFonts w:ascii="Arial" w:eastAsia="Times New Roman" w:hAnsi="Arial" w:cs="Arial"/>
            <w:szCs w:val="28"/>
            <w:lang w:val="pl-PL" w:eastAsia="ru-RU"/>
          </w:rPr>
          <w:t>https://www.academy-vision.org/index.php/av/article/view/743</w:t>
        </w:r>
      </w:hyperlink>
    </w:p>
    <w:p w14:paraId="7608E713" w14:textId="0BECA388"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Hrushko M. Peculiarities of Realization of the International Mechanism for the Protection of the Rights of Victims of Armed Conflict in the East of Ukraine //A. G. Kolb, M. Hrushko, H. Teteriatnyk, O. Chepik-</w:t>
      </w:r>
      <w:r w:rsidRPr="00511005">
        <w:rPr>
          <w:rFonts w:ascii="Arial" w:eastAsia="Times New Roman" w:hAnsi="Arial" w:cs="Arial"/>
          <w:szCs w:val="28"/>
          <w:lang w:val="en-US" w:eastAsia="ru-RU"/>
        </w:rPr>
        <w:lastRenderedPageBreak/>
        <w:t>Trehubenko, O. Kotliar. Cuestiones Políticas. Vol. 39. 2021. No 71. P. 334-349 (WOS,) URL:</w:t>
      </w:r>
      <w:r w:rsidR="007B2628" w:rsidRPr="00511005">
        <w:rPr>
          <w:rFonts w:ascii="Arial" w:eastAsia="Times New Roman" w:hAnsi="Arial" w:cs="Arial"/>
          <w:szCs w:val="28"/>
          <w:lang w:val="en-US" w:eastAsia="ru-RU"/>
        </w:rPr>
        <w:t xml:space="preserve"> </w:t>
      </w:r>
      <w:hyperlink r:id="rId220">
        <w:r w:rsidRPr="00511005">
          <w:rPr>
            <w:rFonts w:ascii="Arial" w:eastAsia="Times New Roman" w:hAnsi="Arial" w:cs="Arial"/>
            <w:szCs w:val="28"/>
            <w:lang w:val="en-US" w:eastAsia="ru-RU"/>
          </w:rPr>
          <w:t>https://produccioncientificaluz.org/index.php/cuestiones/article/view/37423/40879</w:t>
        </w:r>
      </w:hyperlink>
      <w:r w:rsidRPr="00511005">
        <w:rPr>
          <w:rFonts w:ascii="Arial" w:eastAsia="Times New Roman" w:hAnsi="Arial" w:cs="Arial"/>
          <w:szCs w:val="28"/>
          <w:lang w:val="en-US" w:eastAsia="ru-RU"/>
        </w:rPr>
        <w:t xml:space="preserve"> </w:t>
      </w:r>
    </w:p>
    <w:p w14:paraId="4E95C587" w14:textId="77777777"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Злочини проти людяності URL: </w:t>
      </w:r>
      <w:hyperlink r:id="rId221">
        <w:r w:rsidRPr="00511005">
          <w:rPr>
            <w:rFonts w:ascii="Arial" w:eastAsia="Times New Roman" w:hAnsi="Arial" w:cs="Arial"/>
            <w:szCs w:val="28"/>
            <w:lang w:eastAsia="ru-RU"/>
          </w:rPr>
          <w:t>https://vue.gov.ua/Злочини_проти_людяності</w:t>
        </w:r>
      </w:hyperlink>
    </w:p>
    <w:p w14:paraId="62C7AF2C" w14:textId="77777777"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Людяність | Енциклопедія Сучасної України URL: </w:t>
      </w:r>
      <w:hyperlink r:id="rId222">
        <w:r w:rsidRPr="00511005">
          <w:rPr>
            <w:rFonts w:ascii="Arial" w:eastAsia="Times New Roman" w:hAnsi="Arial" w:cs="Arial"/>
            <w:szCs w:val="28"/>
            <w:lang w:eastAsia="ru-RU"/>
          </w:rPr>
          <w:t>https://esu.com.ua/article-59921</w:t>
        </w:r>
      </w:hyperlink>
    </w:p>
    <w:p w14:paraId="219810BD" w14:textId="0F78B5D1" w:rsidR="00220D3E" w:rsidRPr="00511005" w:rsidRDefault="00220D3E" w:rsidP="003F6A5D">
      <w:pPr>
        <w:numPr>
          <w:ilvl w:val="0"/>
          <w:numId w:val="73"/>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Людство | Енциклопедія Сучасної України URL:</w:t>
      </w:r>
      <w:r w:rsidR="007B2628" w:rsidRPr="00511005">
        <w:rPr>
          <w:rFonts w:ascii="Arial" w:eastAsia="Times New Roman" w:hAnsi="Arial" w:cs="Arial"/>
          <w:szCs w:val="28"/>
          <w:lang w:eastAsia="ru-RU"/>
        </w:rPr>
        <w:t xml:space="preserve"> </w:t>
      </w:r>
      <w:hyperlink r:id="rId223">
        <w:r w:rsidRPr="00511005">
          <w:rPr>
            <w:rFonts w:ascii="Arial" w:eastAsia="Times New Roman" w:hAnsi="Arial" w:cs="Arial"/>
            <w:szCs w:val="28"/>
            <w:lang w:eastAsia="ru-RU"/>
          </w:rPr>
          <w:t>https://vue.gov.ua/%D0%9B%D1%8E%D0%B4%D1%81%D1%82%D0%B2%D0%BE</w:t>
        </w:r>
      </w:hyperlink>
    </w:p>
    <w:p w14:paraId="61C6EFC2" w14:textId="77777777" w:rsidR="00220D3E" w:rsidRPr="00511005" w:rsidRDefault="00220D3E" w:rsidP="003A292D">
      <w:pPr>
        <w:tabs>
          <w:tab w:val="left" w:pos="709"/>
        </w:tabs>
        <w:spacing w:line="264" w:lineRule="auto"/>
        <w:rPr>
          <w:rFonts w:ascii="Arial" w:eastAsia="Times New Roman" w:hAnsi="Arial" w:cs="Arial"/>
          <w:b/>
          <w:szCs w:val="28"/>
          <w:lang w:eastAsia="ru-RU"/>
        </w:rPr>
      </w:pPr>
    </w:p>
    <w:p w14:paraId="27E8E229" w14:textId="0C267BD3"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злочини проти людяності, злочини проти людства, міжнародне право, Нюрнберзький трибунал, Римський статут, Міжнародний кримінальний суд.</w:t>
      </w:r>
    </w:p>
    <w:p w14:paraId="2C38FBF6" w14:textId="5E1FC095"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crimes against humanity, crimes against mankind, international law, Nuremberg Tribunal, Rome Statute, International Criminal Court.</w:t>
      </w:r>
    </w:p>
    <w:p w14:paraId="2126E7A2" w14:textId="6910AB98"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 Грушко М.В.</w:t>
      </w:r>
    </w:p>
    <w:p w14:paraId="6C90EE77"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p>
    <w:p w14:paraId="0F19496A"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Вовк Софія Костянтинівна</w:t>
      </w:r>
    </w:p>
    <w:p w14:paraId="5822167D" w14:textId="7AB9F9D5"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r w:rsidR="00220D3E" w:rsidRPr="00511005">
        <w:rPr>
          <w:rFonts w:ascii="Arial" w:eastAsia="Times New Roman" w:hAnsi="Arial" w:cs="Arial"/>
          <w:szCs w:val="28"/>
          <w:lang w:eastAsia="ru-RU"/>
        </w:rPr>
        <w:t xml:space="preserve"> </w:t>
      </w:r>
      <w:r w:rsidR="007B2628" w:rsidRPr="00511005">
        <w:rPr>
          <w:rFonts w:ascii="Arial" w:eastAsia="Times New Roman" w:hAnsi="Arial" w:cs="Arial"/>
          <w:szCs w:val="28"/>
          <w:lang w:eastAsia="ru-RU"/>
        </w:rPr>
        <w:t>Національного університету «Одеська юридична академія»</w:t>
      </w:r>
    </w:p>
    <w:p w14:paraId="2EC58EFB"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6C0AF74B"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b/>
          <w:szCs w:val="28"/>
          <w:lang w:eastAsia="ru-RU"/>
        </w:rPr>
        <w:t>КОНСУЛЬСЬКЕ ПРАВО: СУЧАСНІ ПРОБЛЕМИ ЗАХИСТУ ГРОМАДЯН УКРАЇНИ ЗА КОРДОНОМ</w:t>
      </w:r>
    </w:p>
    <w:p w14:paraId="7BBDD65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 умовах повномасштабної війни російської федерації проти України, яка спричинила масове переміщення населення, масштабну міграцію та зростання кількості українських громадян за кордоном, питання ефективного консульського захисту набуло критичного значення як у гуманітарному, так і в правовому вимірах. У цьому контексті особливої актуальності набуває консульське право як галузь міжнародного публічного права, що визначає правові засади діяльності консульських установ, регламентує права й обов’язки консулів та встановлює механізми взаємодії з державами перебування з метою захисту прав та інтересів громадян України [3, с. 349].</w:t>
      </w:r>
    </w:p>
    <w:p w14:paraId="3CD5404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Нормативно-правове закріплення принципу захисту громадян України за кордоном першочергово ґрунтується на Конституції України, зокрема частина 3 статті 25 Основного Закону гарантує піклування та захист українців, які перебувають за її межами [1]. Розвиток цього принципу знайшов відображення й в Указі Президента України № 127/94 від 2 квітня 1994 року, який визначає обов’язки консулів щодо сприяння реалізації прав українських громадян у країні перебування. Зокрема, стаття 20 Статуту </w:t>
      </w:r>
      <w:r w:rsidRPr="00511005">
        <w:rPr>
          <w:rFonts w:ascii="Arial" w:eastAsia="Times New Roman" w:hAnsi="Arial" w:cs="Arial"/>
          <w:szCs w:val="28"/>
          <w:lang w:eastAsia="ru-RU"/>
        </w:rPr>
        <w:lastRenderedPageBreak/>
        <w:t xml:space="preserve">покладає на консула обов’язок вживати необхідних заходів для забезпечення повноцінного користування українцями правами, наданими законодавством іноземної держави, а у випадку їх порушення – вживати заходів для їх відновлення [2]. </w:t>
      </w:r>
    </w:p>
    <w:p w14:paraId="5C1051F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Загалом залежно від класу керівників консульських установ розрізняють: Генеральні консульства, Консульства, Віце-консульства або Консульські агентства. Попри однаковий міжнародно-правовий статус, на практиці між ними існують суттєві функціональні відмінності. Зокрема, Генеральні консульства мають ширші повноваження, включаючи представницькі, політичні, економічні та гуманітарні функції, що наближає їх до повноцінної дипломатичної місії, тоді як інші установи обмежуються переважно виконанням суто консульських завдань [4, с. 38]. До них належать: захист прав та інтересів громадян і юридичних осіб акредитуючої держави в державі перебування; сприяння громадянам своєї держави (наприклад, у випадку арешту, смерті, втрати документів тощо); видача паспортів, віз, довідок, посвідок, документів про цивільний стан; реєстрація актів цивільного стану; вчинення нотаріальних дій; допомога при репатріації, поверненні на батьківщину; сприяння розвитку культурних, економічних та наукових зв’язків на місцевому рівні та інші [4, с. 35].</w:t>
      </w:r>
    </w:p>
    <w:p w14:paraId="7926417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Важливим аспектом є те, що встановлення та здійснення консульських зносин між державами базується на принципі взаємної згоди: консульська установа може бути відкрита на території іншої держави лише за умови попереднього схвалення державою перебування. Це ж стосується визначення її місцезнаходження, класу та консульського округу [4, с. 37]. </w:t>
      </w:r>
    </w:p>
    <w:p w14:paraId="4BAA0A9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Попри наявність міжнародно-правових актів, зокрема Віденської конвенції про консульські зносини 1963 року, та внутрішньодержавних актів, що регулюють діяльність консульських установ, на практиці продовжують виникати численні виклики [5]. Зокрема, приклад співпраці представника НААУ в Угорщині та консульського відділу Посольства України свідчить про низку актуальних проблем, що потребують системного реагування консулів, серед яких: упереджене та принизливе ставлення з боку митно-прикордонної служби, відмова банків у відкритті рахунків для українців, вимога неправомірної легалізації документів, обмеження свободи пересування через політично вмотивовані дії угорських служб безпеки, порушення права на переклад і захист у кримінальних провадженнях, неналежне медичне обслуговування в місцях позбавлення волі та протиправне утримання осіб у поліційних відділках без дотримання процесуальних гарантій [6]. У Польщі, після початку війни, українці масово потребували консульських послуг через виїзд без документів, найбільш затребуваними з яких стали подовження паспортів, підтвердження громадянства та внесення даних дітей. Актуальними залишаються питання оформлення паспортів, нотаріальні дії та реєстрація новонароджених, а </w:t>
      </w:r>
      <w:r w:rsidRPr="00511005">
        <w:rPr>
          <w:rFonts w:ascii="Arial" w:eastAsia="Times New Roman" w:hAnsi="Arial" w:cs="Arial"/>
          <w:szCs w:val="28"/>
          <w:lang w:eastAsia="ru-RU"/>
        </w:rPr>
        <w:lastRenderedPageBreak/>
        <w:t>також зросла потреба у виїзному обслуговуванні маломобільних громадян [7].</w:t>
      </w:r>
    </w:p>
    <w:p w14:paraId="5564D151" w14:textId="52B7BE26"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Саме через брак кадрів та технічних засобів у закордонних дипломатичних установах проблема документування українських громадян за кордоном залишається релевантною, що ускладнює видачу паспортів, посвідчень на повернення та вчинення нотаріальних дій [5]. Незважаючи на розширення штату у 2023 році, наявних 340 консульських працівників об’єктивно недостатньо для обслуговування потреб 8 мільйонів громадян</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[7]. Частковим вирішенням стало відкриття відокремлених підрозділів ДП "Документ" у деяких країнах та запровадження процедури встановлення особи через відеозв'язок для осіб без документів, особливо вихідців з ТОТ. Однак, обмеженість географії ДП "Документ" вимагає розширення можливостей встановлення особи для закордонних дипломатичних установ для забезпечення належного захисту прав усіх українських громадян за кордоном [5].</w:t>
      </w:r>
    </w:p>
    <w:p w14:paraId="17BEEC7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Крім того, не всі українці за кордоном реєструються в консульствах, що ускладнює захист їхніх прав. Однією з причин є недостатня обізнаність щодо процедур, наприклад, отримання тимчасового захисту, умов проживання, навчання та працевлаштування в країні перебування [5]. Також українці висловлюють занепокоєння щодо недостатньої комунікації стосовно технічних деталей функціонування консульських та посольських установ, зокрема щодо обов'язкової онлайн-черги через "Дію" або Bank ID [7]. Окрім цього, через брак або обмеженість безкоштовних медичних програм для українських вимушених мігрантів, громадяни з недостатнім рівнем доходу стикаються зі значними проблемами в отриманні необхідної медичної допомоги [5].</w:t>
      </w:r>
    </w:p>
    <w:p w14:paraId="128160A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Зважаючи на актуальність та важливість якнайшвидшого вирішення цих проблем, можна запропонувати наступні рекомендації для поліпшення та оптимізації роботи консульств України за кордоном. Для забезпечення кращої обізнаності українців за кордоном щодо місцевих правових норм необхідно створити та запустити комплексну систему інформування. Важливим є пошук шляхів збільшення кадрового ресурсу консульств, навіть в умовах обмеженого фінансування, наприклад, шляхом залучення допомоги міжнародних організацій [7]. Передача частини консульських функцій зовнішнім сервісним центрам дозволить розвантажити дипломатичні представництва та зосередити їхні зусилля на більш складних та стратегічно важливих завданнях. Також слід активізувати інформаційні кампанії спільно з міжнародними партнерами для сприяння толерантному ставленню до українських вимушених мігрантів [​​5]. Додатково, варто розглянути можливість запровадження тимчасового консульського збору з діаспори як потенційного джерела фінансування для посилення роботи консульських установ [7]. А також можна співпрацювати з місцевими </w:t>
      </w:r>
      <w:r w:rsidRPr="00511005">
        <w:rPr>
          <w:rFonts w:ascii="Arial" w:eastAsia="Times New Roman" w:hAnsi="Arial" w:cs="Arial"/>
          <w:szCs w:val="28"/>
          <w:lang w:eastAsia="ru-RU"/>
        </w:rPr>
        <w:lastRenderedPageBreak/>
        <w:t>благодійними організаціями для надання медичної та іншої допомоги для підтримки осіб без достатніх фінансових ресурсів.</w:t>
      </w:r>
    </w:p>
    <w:p w14:paraId="0864AF1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сучасні реалії, спричинені повномасштабною війною, виявили критичну важливість ефективного консульського захисту українських громадян за кордоном. Попри законодавче закріплення обов'язку держави піклуватися про своїх громадян, консульські установи стикаються з численними викликами, включаючи значне зростання кількості звернень, брак кадрових та технічних ресурсів, недостатню обізнаність громадян щодо місцевого законодавства та процедур отримання допомоги, а також проблеми з документуванням. Вирішення цих проблем потребує комплексного підходу, що включає збільшення ресурсів консульств, оптимізацію їхньої роботи шляхом впровадження електронних послуг та передачі частини функцій зовнішнім партнерам, активізацію інформування громадян, налагодження співпраці з міжнародними та неурядовими організаціями, а також пошук додаткових джерел фінансування. Ефективний захист прав та інтересів українців за кордоном є не лише конституційним обов'язком держави, але й важливим елементом підтримки зв'язку зі своїми громадянами у складний воєнний час.</w:t>
      </w:r>
    </w:p>
    <w:p w14:paraId="199E04D0"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5E2B51EA" w14:textId="09510ADB" w:rsidR="00220D3E" w:rsidRPr="00511005" w:rsidRDefault="007B2628" w:rsidP="007B2628">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b/>
          <w:szCs w:val="28"/>
          <w:lang w:val="uk-UA" w:eastAsia="ru-RU"/>
        </w:rPr>
        <w:t>Список використаних джерел</w:t>
      </w:r>
    </w:p>
    <w:p w14:paraId="3EF25A3F" w14:textId="77777777" w:rsidR="00220D3E" w:rsidRPr="00511005" w:rsidRDefault="00220D3E" w:rsidP="003F6A5D">
      <w:pPr>
        <w:numPr>
          <w:ilvl w:val="0"/>
          <w:numId w:val="74"/>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Конституція України від 28.06.1996 URL: </w:t>
      </w:r>
      <w:hyperlink r:id="rId224" w:anchor="Text">
        <w:r w:rsidRPr="00511005">
          <w:rPr>
            <w:rFonts w:ascii="Arial" w:eastAsia="Times New Roman" w:hAnsi="Arial" w:cs="Arial"/>
            <w:szCs w:val="28"/>
            <w:lang w:eastAsia="ru-RU"/>
          </w:rPr>
          <w:t>https://zakon.rada.gov.ua/laws/show/254%D0%BA/96-%D0%B2%D1%80#Text</w:t>
        </w:r>
      </w:hyperlink>
      <w:r w:rsidRPr="00511005">
        <w:rPr>
          <w:rFonts w:ascii="Arial" w:eastAsia="Times New Roman" w:hAnsi="Arial" w:cs="Arial"/>
          <w:szCs w:val="28"/>
          <w:lang w:eastAsia="ru-RU"/>
        </w:rPr>
        <w:t xml:space="preserve"> </w:t>
      </w:r>
    </w:p>
    <w:p w14:paraId="727CED5D" w14:textId="0C929E2D" w:rsidR="00220D3E" w:rsidRPr="00511005" w:rsidRDefault="00220D3E" w:rsidP="003F6A5D">
      <w:pPr>
        <w:numPr>
          <w:ilvl w:val="0"/>
          <w:numId w:val="74"/>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Консульський статут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Указ Президента України від 02.04.1994 № 127/94 URL: </w:t>
      </w:r>
      <w:hyperlink r:id="rId225" w:anchor="Text">
        <w:r w:rsidRPr="00511005">
          <w:rPr>
            <w:rFonts w:ascii="Arial" w:eastAsia="Times New Roman" w:hAnsi="Arial" w:cs="Arial"/>
            <w:szCs w:val="28"/>
            <w:lang w:eastAsia="ru-RU"/>
          </w:rPr>
          <w:t>https://zakon.rada.gov.ua/laws/show/127/94#Text</w:t>
        </w:r>
      </w:hyperlink>
      <w:r w:rsidR="007B2628" w:rsidRPr="00511005">
        <w:rPr>
          <w:rFonts w:ascii="Arial" w:eastAsia="Times New Roman" w:hAnsi="Arial" w:cs="Arial"/>
          <w:szCs w:val="28"/>
          <w:lang w:eastAsia="ru-RU"/>
        </w:rPr>
        <w:t xml:space="preserve"> </w:t>
      </w:r>
    </w:p>
    <w:p w14:paraId="3DAAF7C1" w14:textId="77777777" w:rsidR="00220D3E" w:rsidRPr="00511005" w:rsidRDefault="00220D3E" w:rsidP="003F6A5D">
      <w:pPr>
        <w:numPr>
          <w:ilvl w:val="0"/>
          <w:numId w:val="74"/>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Міжнародне публічне право: Навч. посіб. / За заг. ред. Теліпко В. Е. — К.: Центр учбової літератури, 2010. — 608 URL: </w:t>
      </w:r>
      <w:hyperlink r:id="rId226">
        <w:r w:rsidRPr="00511005">
          <w:rPr>
            <w:rFonts w:ascii="Arial" w:eastAsia="Times New Roman" w:hAnsi="Arial" w:cs="Arial"/>
            <w:szCs w:val="28"/>
            <w:lang w:eastAsia="ru-RU"/>
          </w:rPr>
          <w:t>https://studfile.net/preview/10355594/page:65/</w:t>
        </w:r>
      </w:hyperlink>
      <w:r w:rsidRPr="00511005">
        <w:rPr>
          <w:rFonts w:ascii="Arial" w:eastAsia="Times New Roman" w:hAnsi="Arial" w:cs="Arial"/>
          <w:szCs w:val="28"/>
          <w:lang w:eastAsia="ru-RU"/>
        </w:rPr>
        <w:t xml:space="preserve"> </w:t>
      </w:r>
    </w:p>
    <w:p w14:paraId="62EF8166" w14:textId="77777777" w:rsidR="00220D3E" w:rsidRPr="00511005" w:rsidRDefault="00220D3E" w:rsidP="003F6A5D">
      <w:pPr>
        <w:numPr>
          <w:ilvl w:val="0"/>
          <w:numId w:val="74"/>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Панов А.В. Дипломатична і консульська служба: Підручник. – Ужгород: РА «Шарк-аутдор», 2015. – 112 с. URL: </w:t>
      </w:r>
      <w:hyperlink r:id="rId227" w:anchor="Text">
        <w:r w:rsidRPr="00511005">
          <w:rPr>
            <w:rFonts w:ascii="Arial" w:eastAsia="Times New Roman" w:hAnsi="Arial" w:cs="Arial"/>
            <w:szCs w:val="28"/>
            <w:lang w:eastAsia="ru-RU"/>
          </w:rPr>
          <w:t>https://zakon.rada.gov.ua/laws/show/3248-VI#Text</w:t>
        </w:r>
      </w:hyperlink>
    </w:p>
    <w:p w14:paraId="1944218A" w14:textId="77777777" w:rsidR="00220D3E" w:rsidRPr="00511005" w:rsidRDefault="00220D3E" w:rsidP="003F6A5D">
      <w:pPr>
        <w:numPr>
          <w:ilvl w:val="0"/>
          <w:numId w:val="74"/>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РОЗДІЛ 5. Українці за кордоном – Щорічна доповідь Уповноваженого Верховної Ради України з прав людини у 2023 році URL: </w:t>
      </w:r>
      <w:hyperlink r:id="rId228">
        <w:r w:rsidRPr="00511005">
          <w:rPr>
            <w:rFonts w:ascii="Arial" w:eastAsia="Times New Roman" w:hAnsi="Arial" w:cs="Arial"/>
            <w:szCs w:val="28"/>
            <w:lang w:eastAsia="ru-RU"/>
          </w:rPr>
          <w:t>https://ombudsman.gov.ua/report-2023/rozdil-5-ukraintsi-za-kordonom</w:t>
        </w:r>
      </w:hyperlink>
      <w:r w:rsidRPr="00511005">
        <w:rPr>
          <w:rFonts w:ascii="Arial" w:eastAsia="Times New Roman" w:hAnsi="Arial" w:cs="Arial"/>
          <w:szCs w:val="28"/>
          <w:lang w:eastAsia="ru-RU"/>
        </w:rPr>
        <w:t xml:space="preserve"> </w:t>
      </w:r>
    </w:p>
    <w:p w14:paraId="65C76BCB" w14:textId="77777777" w:rsidR="00220D3E" w:rsidRPr="00511005" w:rsidRDefault="00220D3E" w:rsidP="003F6A5D">
      <w:pPr>
        <w:numPr>
          <w:ilvl w:val="0"/>
          <w:numId w:val="74"/>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Типові порушення прав українців в Угорщині озвучив представник НААУ URL: </w:t>
      </w:r>
      <w:hyperlink r:id="rId229">
        <w:r w:rsidRPr="00511005">
          <w:rPr>
            <w:rFonts w:ascii="Arial" w:eastAsia="Times New Roman" w:hAnsi="Arial" w:cs="Arial"/>
            <w:szCs w:val="28"/>
            <w:lang w:eastAsia="ru-RU"/>
          </w:rPr>
          <w:t>https://www.hsa.org.ua/blog/tipovi-porusennia-prav-ukrayinciv-v-ugorshhini-ozvuciv-predstavnik-naau</w:t>
        </w:r>
      </w:hyperlink>
      <w:r w:rsidRPr="00511005">
        <w:rPr>
          <w:rFonts w:ascii="Arial" w:eastAsia="Times New Roman" w:hAnsi="Arial" w:cs="Arial"/>
          <w:szCs w:val="28"/>
          <w:lang w:eastAsia="ru-RU"/>
        </w:rPr>
        <w:t xml:space="preserve"> </w:t>
      </w:r>
    </w:p>
    <w:p w14:paraId="2E7F4195" w14:textId="77777777" w:rsidR="00220D3E" w:rsidRPr="00511005" w:rsidRDefault="00220D3E" w:rsidP="003F6A5D">
      <w:pPr>
        <w:numPr>
          <w:ilvl w:val="0"/>
          <w:numId w:val="74"/>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Що руйнує довіру українців до своїх консульств і як це припинити. два боки «віконця» URL: </w:t>
      </w:r>
      <w:hyperlink r:id="rId230">
        <w:r w:rsidRPr="00511005">
          <w:rPr>
            <w:rFonts w:ascii="Arial" w:eastAsia="Times New Roman" w:hAnsi="Arial" w:cs="Arial"/>
            <w:szCs w:val="28"/>
            <w:lang w:eastAsia="ru-RU"/>
          </w:rPr>
          <w:t>https://europewb.org.ua/shho-rujnuye-doviru-ukrayintsiv-do-svoyih-konsulstv-i-yak-tse-prypynyty-dva-boky-vikontsya/</w:t>
        </w:r>
      </w:hyperlink>
      <w:r w:rsidRPr="00511005">
        <w:rPr>
          <w:rFonts w:ascii="Arial" w:eastAsia="Times New Roman" w:hAnsi="Arial" w:cs="Arial"/>
          <w:szCs w:val="28"/>
          <w:lang w:eastAsia="ru-RU"/>
        </w:rPr>
        <w:t xml:space="preserve"> </w:t>
      </w:r>
    </w:p>
    <w:p w14:paraId="6303CE1D"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24071856" w14:textId="44BF3348"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консульське право, захист громадян, консульські установи, консульські зносини, дипломатичні представництва.</w:t>
      </w:r>
    </w:p>
    <w:p w14:paraId="3F3D6100" w14:textId="4A4BF2A0"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lastRenderedPageBreak/>
        <w:t xml:space="preserve">Key words: </w:t>
      </w:r>
      <w:r w:rsidR="00220D3E" w:rsidRPr="00511005">
        <w:rPr>
          <w:rFonts w:ascii="Arial" w:eastAsia="Times New Roman" w:hAnsi="Arial" w:cs="Arial"/>
          <w:szCs w:val="28"/>
          <w:lang w:val="en-US" w:eastAsia="ru-RU"/>
        </w:rPr>
        <w:t>consular law, protection of citizens, consular institutions, consular relations, diplomatic representations.</w:t>
      </w:r>
    </w:p>
    <w:p w14:paraId="30BF1AF6" w14:textId="22B48BB1" w:rsidR="00220D3E" w:rsidRPr="00511005" w:rsidRDefault="007B2628" w:rsidP="003A292D">
      <w:pPr>
        <w:tabs>
          <w:tab w:val="left" w:pos="709"/>
        </w:tabs>
        <w:spacing w:line="264" w:lineRule="auto"/>
        <w:rPr>
          <w:rFonts w:ascii="Arial" w:eastAsia="Times New Roman" w:hAnsi="Arial" w:cs="Arial"/>
          <w:i/>
          <w:szCs w:val="28"/>
          <w:lang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 ю. н., доцент Бєлогубова О. O.</w:t>
      </w:r>
    </w:p>
    <w:p w14:paraId="2E7A20AA" w14:textId="77777777" w:rsidR="00220D3E" w:rsidRPr="00511005" w:rsidRDefault="00220D3E" w:rsidP="003A292D">
      <w:pPr>
        <w:tabs>
          <w:tab w:val="left" w:pos="709"/>
        </w:tabs>
        <w:spacing w:line="264" w:lineRule="auto"/>
        <w:rPr>
          <w:rFonts w:ascii="Arial" w:eastAsia="Times New Roman" w:hAnsi="Arial" w:cs="Arial"/>
          <w:noProof/>
          <w:szCs w:val="28"/>
          <w:lang w:val="uk-UA" w:eastAsia="ru-RU"/>
        </w:rPr>
      </w:pPr>
    </w:p>
    <w:p w14:paraId="1E43F6AC" w14:textId="77777777" w:rsidR="00220D3E" w:rsidRPr="00511005" w:rsidRDefault="00220D3E" w:rsidP="003A292D">
      <w:pPr>
        <w:tabs>
          <w:tab w:val="left" w:pos="709"/>
        </w:tabs>
        <w:autoSpaceDE w:val="0"/>
        <w:autoSpaceDN w:val="0"/>
        <w:adjustRightInd w:val="0"/>
        <w:spacing w:line="264" w:lineRule="auto"/>
        <w:ind w:firstLine="0"/>
        <w:jc w:val="center"/>
        <w:rPr>
          <w:rFonts w:ascii="Arial" w:eastAsia="Times New Roman" w:hAnsi="Arial" w:cs="Arial"/>
          <w:szCs w:val="28"/>
          <w:lang w:eastAsia="ru-RU"/>
        </w:rPr>
      </w:pPr>
      <w:r w:rsidRPr="00511005">
        <w:rPr>
          <w:rFonts w:ascii="Arial" w:eastAsia="Times New Roman" w:hAnsi="Arial" w:cs="Arial"/>
          <w:b/>
          <w:bCs/>
          <w:i/>
          <w:iCs/>
          <w:szCs w:val="28"/>
          <w:lang w:eastAsia="ru-RU"/>
        </w:rPr>
        <w:t>Волгіна Вікторія Ігорівна</w:t>
      </w:r>
    </w:p>
    <w:p w14:paraId="305AE0F4" w14:textId="16359A2F" w:rsidR="00220D3E" w:rsidRPr="00511005" w:rsidRDefault="00536AAB" w:rsidP="003A292D">
      <w:pPr>
        <w:tabs>
          <w:tab w:val="left" w:pos="709"/>
        </w:tabs>
        <w:autoSpaceDE w:val="0"/>
        <w:autoSpaceDN w:val="0"/>
        <w:adjustRightInd w:val="0"/>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r w:rsidR="00220D3E" w:rsidRPr="00511005">
        <w:rPr>
          <w:rFonts w:ascii="Arial" w:eastAsia="Times New Roman" w:hAnsi="Arial" w:cs="Arial"/>
          <w:szCs w:val="28"/>
          <w:lang w:val="uk-UA" w:eastAsia="ru-RU"/>
        </w:rPr>
        <w:t xml:space="preserve"> </w:t>
      </w:r>
      <w:r w:rsidR="007B2628" w:rsidRPr="00511005">
        <w:rPr>
          <w:rFonts w:ascii="Arial" w:eastAsia="Times New Roman" w:hAnsi="Arial" w:cs="Arial"/>
          <w:szCs w:val="28"/>
          <w:lang w:eastAsia="ru-RU"/>
        </w:rPr>
        <w:t>Національного університету «Одеська юридична академія»</w:t>
      </w:r>
    </w:p>
    <w:p w14:paraId="2974BA86" w14:textId="77777777" w:rsidR="00220D3E" w:rsidRPr="00511005" w:rsidRDefault="00220D3E" w:rsidP="003A292D">
      <w:pPr>
        <w:tabs>
          <w:tab w:val="left" w:pos="709"/>
        </w:tabs>
        <w:autoSpaceDE w:val="0"/>
        <w:autoSpaceDN w:val="0"/>
        <w:adjustRightInd w:val="0"/>
        <w:spacing w:line="264" w:lineRule="auto"/>
        <w:jc w:val="center"/>
        <w:rPr>
          <w:rFonts w:ascii="Arial" w:eastAsia="Times New Roman" w:hAnsi="Arial" w:cs="Arial"/>
          <w:szCs w:val="28"/>
          <w:lang w:eastAsia="ru-RU"/>
        </w:rPr>
      </w:pPr>
    </w:p>
    <w:p w14:paraId="7E245DE6"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ЦИФРОВА ДИПЛОМАТІЯ ТА ВИКЛИКИ ДИПЛОМАТИЧНОГО ПРАВА У ХХІ СТОЛІТТІ: ПРИКЛАД УКРАЇНИ</w:t>
      </w:r>
    </w:p>
    <w:p w14:paraId="54333BBC" w14:textId="49B0C9BA" w:rsidR="00220D3E" w:rsidRPr="00511005" w:rsidRDefault="00220D3E" w:rsidP="003A292D">
      <w:pPr>
        <w:tabs>
          <w:tab w:val="left" w:pos="709"/>
        </w:tabs>
        <w:autoSpaceDE w:val="0"/>
        <w:autoSpaceDN w:val="0"/>
        <w:adjustRightInd w:val="0"/>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Цифрова дипломатія стає важливим інструментом зовнішньої політики в умовах глобалізації та інформаційної епохи.</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Тема є особливо актуальною для України, яка протистоїть збройній агресії російської федерації, бо цифрові платформи відіграють ключову роль у донесенні правди до міжнародної спільноти та разом із тим посилюється міжнародний вплив через засоби цифрової дипломатії.</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Водночас, активне використання цифрових технологій породжує нові виклики для дипломатичного права, зокрема у сфері кібербезпеки і правового статусу онлайн-взаємодії, тому сучасна дипломатія потребує адаптації правових норм до умов цифрового середовища.</w:t>
      </w:r>
    </w:p>
    <w:p w14:paraId="4C878CD0" w14:textId="77777777" w:rsidR="00220D3E" w:rsidRPr="00511005" w:rsidRDefault="00220D3E" w:rsidP="003A292D">
      <w:pPr>
        <w:tabs>
          <w:tab w:val="left" w:pos="709"/>
        </w:tabs>
        <w:autoSpaceDE w:val="0"/>
        <w:autoSpaceDN w:val="0"/>
        <w:adjustRightInd w:val="0"/>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«Цифрова дипломатія є формою нової публічної дипломатії, яка використовує Інтернет, нові інформаційні та комунікаційні технології та соціальні мережі як засіб для зміцнення дипломатичних відносин. До основних інструментів цифрової дипломатії можна віднести: створення та роботу веб-сайтів міністерств закордонних справ, посольств та міжнародних організацій; соціальні мережі – поширення онлайн-каналів сприяє зростанню принципів відкритості та прозорості» [1, с.</w:t>
      </w:r>
      <w:r w:rsidRPr="00511005">
        <w:rPr>
          <w:rFonts w:ascii="Arial" w:eastAsia="Times New Roman" w:hAnsi="Arial" w:cs="Arial"/>
          <w:szCs w:val="28"/>
          <w:lang w:val="en-US" w:eastAsia="ru-RU"/>
        </w:rPr>
        <w:t> </w:t>
      </w:r>
      <w:r w:rsidRPr="00511005">
        <w:rPr>
          <w:rFonts w:ascii="Arial" w:eastAsia="Times New Roman" w:hAnsi="Arial" w:cs="Arial"/>
          <w:szCs w:val="28"/>
          <w:lang w:eastAsia="ru-RU"/>
        </w:rPr>
        <w:t>16]. Через соціальні мережі та інші цифрові платформи держава може оперативно доносити свою позицію щодо ключових питань міжнародної політики, впливаючи на формування глобальної громадської думки, формувати позитивний імідж та посилювати міжнародну підтримку. Особливо важливим напрямом є комунікація з національною діаспорою, яка відіграє роль "м’якої сили" у просуванні інтересів держави за кордоном. Для України цифрова дипломатія стала важливою складовою зовнішньополітичної стратегії, зокрема в умовах війни, коли критично важливо забезпечити підтримку міжнародної спільноти та консолідувати українців у світі.</w:t>
      </w:r>
    </w:p>
    <w:p w14:paraId="0731E886" w14:textId="77777777" w:rsidR="00220D3E" w:rsidRPr="00511005" w:rsidRDefault="00220D3E" w:rsidP="003A292D">
      <w:pPr>
        <w:tabs>
          <w:tab w:val="left" w:pos="709"/>
        </w:tabs>
        <w:autoSpaceDE w:val="0"/>
        <w:autoSpaceDN w:val="0"/>
        <w:adjustRightInd w:val="0"/>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Один із ключових викликів дипломатичного права у зв’язку з цифровізацією полягає у відсутності уніфікованого міжнародно-правового регулювання цифрової дипломатії. Попри зростання значення цифрових технологій у зовнішньополітичній діяльності, досі не існує єдиного міжнародного документа, який би закріплював основні принципи, норми та правила функціонування дипломатії у цифровому просторі. Це призводить </w:t>
      </w:r>
      <w:r w:rsidRPr="00511005">
        <w:rPr>
          <w:rFonts w:ascii="Arial" w:eastAsia="Times New Roman" w:hAnsi="Arial" w:cs="Arial"/>
          <w:szCs w:val="28"/>
          <w:lang w:eastAsia="ru-RU"/>
        </w:rPr>
        <w:lastRenderedPageBreak/>
        <w:t>до правової невизначеності щодо статусу онлайн-комунікацій між державами, захисту інформації, а також визначення меж відповідальності держав у разі зловживань у цифровому середовищі.</w:t>
      </w:r>
    </w:p>
    <w:p w14:paraId="20B211CE" w14:textId="77777777" w:rsidR="00220D3E" w:rsidRPr="00511005" w:rsidRDefault="00220D3E" w:rsidP="003A292D">
      <w:pPr>
        <w:tabs>
          <w:tab w:val="left" w:pos="709"/>
        </w:tabs>
        <w:autoSpaceDE w:val="0"/>
        <w:autoSpaceDN w:val="0"/>
        <w:adjustRightInd w:val="0"/>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Другим важливим аспектом є необхідність забезпечення захисту персональних даних та інформаційної безпеки в дипломатичних комунікаціях. У сучасному світі цифрові канали є основними у дипломатичній діяльності, проте вони водночас вразливі до кібератак, поширення фейків та цілеспрямованих дезінформаційних кампаній. «Зростання кількості кібератак виявило значні прогалини в міжнародному управлінні та правовій базі, оскільки існуючі договори та угоди часто не враховують складності цифрової війни. Без надійних міжнародних норм загрози кібербезпеці продовжуватимуть загострювати геополітичну напруженість і дестабілізувати дипломатичні зусилля» [2]. </w:t>
      </w:r>
    </w:p>
    <w:p w14:paraId="6A61DD5B" w14:textId="5A48E28F" w:rsidR="00220D3E" w:rsidRPr="00511005" w:rsidRDefault="00220D3E" w:rsidP="003A292D">
      <w:pPr>
        <w:tabs>
          <w:tab w:val="left" w:pos="709"/>
        </w:tabs>
        <w:autoSpaceDE w:val="0"/>
        <w:autoSpaceDN w:val="0"/>
        <w:adjustRightInd w:val="0"/>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Особливу увагу в контексті цифрових викликів заслуговує недостатність норм Віденської конвенції про дипломатичні зносини 1961 року. Цей акт був розроблений в епоху, коли дипломатія здійснювалася виключно через фізичні канали, тому він не враховує потреб та ризиків, пов’язаних із сучасними цифровими комунікаціями.</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Як зазначається в аналітичному огляді Оксфордського університету: «Віденська конвенція не передбачає жодних правил щодо кібератак на дипломатичну комунікацію, а також не визначає правового режиму захисту цифрових дипломатичних архівів» [3].</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З огляду на це, актуальною є необхідність перегляду дипломатичного права або доповнення його новими міжнародними правовими актами, які б відповідали викликам цифрової епохи. Це має включати як технічні стандарти захисту, так і механізми правового реагування на порушення у сфері цифрової дипломатії.</w:t>
      </w:r>
    </w:p>
    <w:p w14:paraId="4775DDE0" w14:textId="77777777" w:rsidR="00220D3E" w:rsidRPr="00511005" w:rsidRDefault="00220D3E" w:rsidP="003A292D">
      <w:pPr>
        <w:tabs>
          <w:tab w:val="left" w:pos="709"/>
        </w:tabs>
        <w:autoSpaceDE w:val="0"/>
        <w:autoSpaceDN w:val="0"/>
        <w:adjustRightInd w:val="0"/>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Міністерство закордонних справ України відіграє провідну роль у цифровій трансформації дипломатичної служби, спрямовуючи зусилля на посилення інформаційної присутності держави у глобальному просторі. У 2021 році Дмитро Кулеба представив першу Стратегію публічної дипломатії МЗС України серед ключових напрямків якої була комунікаційна стратегі, яка визначила цифровізацію одним із ключових пріоритетів.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цієї стратегії активно використовуються сучасні цифрові інструменти, зокрема офіційні вебресурси, мобільні застосунки та соціальні мережі, що забезпечують оперативну комунікацію, публічну дипломатію та залучення української діаспори до міжнародних ініціатив.</w:t>
      </w:r>
    </w:p>
    <w:p w14:paraId="0FCDB0D8" w14:textId="77777777" w:rsidR="00220D3E" w:rsidRPr="00511005" w:rsidRDefault="00220D3E" w:rsidP="003A292D">
      <w:pPr>
        <w:tabs>
          <w:tab w:val="left" w:pos="709"/>
        </w:tabs>
        <w:autoSpaceDE w:val="0"/>
        <w:autoSpaceDN w:val="0"/>
        <w:adjustRightInd w:val="0"/>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«Після 24 лютого цей вектор діяльності почав функціонувати ще активніше, спонукаючи світову громадськість співчувати українському горю та надаючи російському вторгненню дедалі ширшого </w:t>
      </w:r>
      <w:proofErr w:type="gramStart"/>
      <w:r w:rsidRPr="00511005">
        <w:rPr>
          <w:rFonts w:ascii="Arial" w:eastAsia="Times New Roman" w:hAnsi="Arial" w:cs="Arial"/>
          <w:szCs w:val="28"/>
          <w:lang w:eastAsia="ru-RU"/>
        </w:rPr>
        <w:t>розголосу»[</w:t>
      </w:r>
      <w:proofErr w:type="gramEnd"/>
      <w:r w:rsidRPr="00511005">
        <w:rPr>
          <w:rFonts w:ascii="Arial" w:eastAsia="Times New Roman" w:hAnsi="Arial" w:cs="Arial"/>
          <w:szCs w:val="28"/>
          <w:lang w:eastAsia="ru-RU"/>
        </w:rPr>
        <w:t xml:space="preserve">4]. Особливо важливою є роль цифрової дипломатії в інформаційній боротьбі під час війни: українські дипломати щоденно протидіють дезінформаційним кампаніям РФ, поширюють правдиву інформацію про ситуацію в Україні та </w:t>
      </w:r>
      <w:r w:rsidRPr="00511005">
        <w:rPr>
          <w:rFonts w:ascii="Arial" w:eastAsia="Times New Roman" w:hAnsi="Arial" w:cs="Arial"/>
          <w:szCs w:val="28"/>
          <w:lang w:eastAsia="ru-RU"/>
        </w:rPr>
        <w:lastRenderedPageBreak/>
        <w:t xml:space="preserve">мобілізують міжнародну підтримку. Спрямована цифрова комунікація через соціальні медіа та онлайн-брифінги дозволяє оперативно інформувати світову спільноту, формувати позитивний імідж держави та активізувати підтримку з боку закордонних урядів і громадянського суспільства. Прикладом цього є регулярна участь Президента України, представників МЗС та інших урядовців у віртуальних засіданнях Генеральної Асамблеї ООН, самітах </w:t>
      </w:r>
      <w:r w:rsidRPr="00511005">
        <w:rPr>
          <w:rFonts w:ascii="Arial" w:eastAsia="Times New Roman" w:hAnsi="Arial" w:cs="Arial"/>
          <w:szCs w:val="28"/>
          <w:lang w:val="en-US" w:eastAsia="ru-RU"/>
        </w:rPr>
        <w:t>G</w:t>
      </w:r>
      <w:r w:rsidRPr="00511005">
        <w:rPr>
          <w:rFonts w:ascii="Arial" w:eastAsia="Times New Roman" w:hAnsi="Arial" w:cs="Arial"/>
          <w:szCs w:val="28"/>
          <w:lang w:eastAsia="ru-RU"/>
        </w:rPr>
        <w:t xml:space="preserve">7, </w:t>
      </w:r>
      <w:r w:rsidRPr="00511005">
        <w:rPr>
          <w:rFonts w:ascii="Arial" w:eastAsia="Times New Roman" w:hAnsi="Arial" w:cs="Arial"/>
          <w:szCs w:val="28"/>
          <w:lang w:val="en-US" w:eastAsia="ru-RU"/>
        </w:rPr>
        <w:t>G</w:t>
      </w:r>
      <w:r w:rsidRPr="00511005">
        <w:rPr>
          <w:rFonts w:ascii="Arial" w:eastAsia="Times New Roman" w:hAnsi="Arial" w:cs="Arial"/>
          <w:szCs w:val="28"/>
          <w:lang w:eastAsia="ru-RU"/>
        </w:rPr>
        <w:t>20; виступи українських дипломатів перед Європейським парламентом, Радою Європи в онлайн-форматі з метою донесення офіційної позиції України щодо безпекових, гуманітарних та правозахисних; використання електронного документообігу у взаємодії з такими міжнародними структурами, як Європейська Комісія, Міжнародний кримінальний суд, що дозволяє забезпечити ефективний обмін інформацією та оперативну координацію спільних дій. Такий підхід забезпечує гнучкість, швидкість реагування на дипломатичні виклики та зменшення витрат ресурсів, що є особливо важливим в умовах воєнного стану.</w:t>
      </w:r>
    </w:p>
    <w:p w14:paraId="61061978" w14:textId="77777777" w:rsidR="00220D3E" w:rsidRPr="00511005" w:rsidRDefault="00220D3E" w:rsidP="003A292D">
      <w:pPr>
        <w:tabs>
          <w:tab w:val="left" w:pos="709"/>
        </w:tabs>
        <w:autoSpaceDE w:val="0"/>
        <w:autoSpaceDN w:val="0"/>
        <w:adjustRightInd w:val="0"/>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Цифрова дипломатія у </w:t>
      </w:r>
      <w:r w:rsidRPr="00511005">
        <w:rPr>
          <w:rFonts w:ascii="Arial" w:eastAsia="Times New Roman" w:hAnsi="Arial" w:cs="Arial"/>
          <w:szCs w:val="28"/>
          <w:lang w:val="en-US" w:eastAsia="ru-RU"/>
        </w:rPr>
        <w:t>XXI</w:t>
      </w:r>
      <w:r w:rsidRPr="00511005">
        <w:rPr>
          <w:rFonts w:ascii="Arial" w:eastAsia="Times New Roman" w:hAnsi="Arial" w:cs="Arial"/>
          <w:szCs w:val="28"/>
          <w:lang w:eastAsia="ru-RU"/>
        </w:rPr>
        <w:t xml:space="preserve"> столітті стала невід’ємною складовою сучасної зовнішньої політики, суттєво розширивши можливості держав у сфері міжнародної комунікації, формування глобального іміджу та оперативного реагування на міжнародні виклики. Для України, яка перебуває в умовах збройної агресії, цифрова дипломатія набула особливої значущості як інструмент інформаційної боротьби, мобілізації міжнародної підтримки та просування національних інтересів на світовій арені. Попри прогресивний розвиток цифрових механізмів, чинна система дипломатичного права, зокрема норми Віденської конвенції 1961 року, виявляє обмеженість у регулюванні новітніх цифрових форм взаємодії, що потребує оновлення та адаптації до сучасних технологічних реалій. Отже, подальше вдосконалення цифрової дипломатії України має супроводжуватись як розвитком національного нормативного поля, так і активною участю у формуванні сучасного міжнародного правового порядку, що відповідатиме вимогам цифрової епохи.</w:t>
      </w:r>
    </w:p>
    <w:p w14:paraId="583E90EB" w14:textId="77777777" w:rsidR="007B2628" w:rsidRPr="00511005" w:rsidRDefault="007B2628" w:rsidP="003A292D">
      <w:pPr>
        <w:tabs>
          <w:tab w:val="left" w:pos="709"/>
        </w:tabs>
        <w:autoSpaceDE w:val="0"/>
        <w:autoSpaceDN w:val="0"/>
        <w:adjustRightInd w:val="0"/>
        <w:spacing w:line="264" w:lineRule="auto"/>
        <w:jc w:val="center"/>
        <w:rPr>
          <w:rFonts w:ascii="Arial" w:eastAsia="Times New Roman" w:hAnsi="Arial" w:cs="Arial"/>
          <w:b/>
          <w:bCs/>
          <w:i/>
          <w:iCs/>
          <w:szCs w:val="28"/>
          <w:lang w:val="uk-UA" w:eastAsia="ru-RU"/>
        </w:rPr>
      </w:pPr>
    </w:p>
    <w:p w14:paraId="62E79F8C" w14:textId="59358079" w:rsidR="00220D3E" w:rsidRPr="00511005" w:rsidRDefault="007B2628" w:rsidP="007B2628">
      <w:pPr>
        <w:tabs>
          <w:tab w:val="left" w:pos="709"/>
        </w:tabs>
        <w:autoSpaceDE w:val="0"/>
        <w:autoSpaceDN w:val="0"/>
        <w:adjustRightInd w:val="0"/>
        <w:spacing w:line="264" w:lineRule="auto"/>
        <w:jc w:val="center"/>
        <w:rPr>
          <w:rFonts w:ascii="Arial" w:eastAsia="Times New Roman" w:hAnsi="Arial" w:cs="Arial"/>
          <w:b/>
          <w:bCs/>
          <w:i/>
          <w:iCs/>
          <w:szCs w:val="28"/>
          <w:lang w:val="en-US" w:eastAsia="ru-RU"/>
        </w:rPr>
      </w:pPr>
      <w:r w:rsidRPr="00511005">
        <w:rPr>
          <w:rFonts w:ascii="Arial" w:eastAsia="Times New Roman" w:hAnsi="Arial" w:cs="Arial"/>
          <w:b/>
          <w:bCs/>
          <w:szCs w:val="28"/>
          <w:lang w:val="uk-UA" w:eastAsia="ru-RU"/>
        </w:rPr>
        <w:t>Список використаних джерел</w:t>
      </w:r>
    </w:p>
    <w:p w14:paraId="6AE0B4FE" w14:textId="77777777" w:rsidR="00220D3E" w:rsidRPr="00511005" w:rsidRDefault="00220D3E" w:rsidP="003A292D">
      <w:pPr>
        <w:numPr>
          <w:ilvl w:val="0"/>
          <w:numId w:val="1"/>
        </w:numPr>
        <w:tabs>
          <w:tab w:val="clear" w:pos="0"/>
          <w:tab w:val="left" w:pos="20"/>
          <w:tab w:val="left" w:pos="523"/>
          <w:tab w:val="left" w:pos="709"/>
        </w:tabs>
        <w:autoSpaceDE w:val="0"/>
        <w:autoSpaceDN w:val="0"/>
        <w:adjustRightInd w:val="0"/>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Краснопольська</w:t>
      </w:r>
      <w:r w:rsidRPr="00511005">
        <w:rPr>
          <w:rFonts w:ascii="Arial" w:eastAsia="Times New Roman" w:hAnsi="Arial" w:cs="Arial"/>
          <w:szCs w:val="28"/>
          <w:lang w:val="en-US" w:eastAsia="ru-RU"/>
        </w:rPr>
        <w:t> </w:t>
      </w:r>
      <w:r w:rsidRPr="00511005">
        <w:rPr>
          <w:rFonts w:ascii="Arial" w:eastAsia="Times New Roman" w:hAnsi="Arial" w:cs="Arial"/>
          <w:szCs w:val="28"/>
          <w:lang w:eastAsia="ru-RU"/>
        </w:rPr>
        <w:t>Т.</w:t>
      </w:r>
      <w:r w:rsidRPr="00511005">
        <w:rPr>
          <w:rFonts w:ascii="Arial" w:eastAsia="Times New Roman" w:hAnsi="Arial" w:cs="Arial"/>
          <w:szCs w:val="28"/>
          <w:lang w:val="en-US" w:eastAsia="ru-RU"/>
        </w:rPr>
        <w:t> </w:t>
      </w:r>
      <w:r w:rsidRPr="00511005">
        <w:rPr>
          <w:rFonts w:ascii="Arial" w:eastAsia="Times New Roman" w:hAnsi="Arial" w:cs="Arial"/>
          <w:szCs w:val="28"/>
          <w:lang w:eastAsia="ru-RU"/>
        </w:rPr>
        <w:t>М., Милосердна</w:t>
      </w:r>
      <w:r w:rsidRPr="00511005">
        <w:rPr>
          <w:rFonts w:ascii="Arial" w:eastAsia="Times New Roman" w:hAnsi="Arial" w:cs="Arial"/>
          <w:szCs w:val="28"/>
          <w:lang w:val="en-US" w:eastAsia="ru-RU"/>
        </w:rPr>
        <w:t> </w:t>
      </w:r>
      <w:r w:rsidRPr="00511005">
        <w:rPr>
          <w:rFonts w:ascii="Arial" w:eastAsia="Times New Roman" w:hAnsi="Arial" w:cs="Arial"/>
          <w:szCs w:val="28"/>
          <w:lang w:eastAsia="ru-RU"/>
        </w:rPr>
        <w:t>І.</w:t>
      </w:r>
      <w:r w:rsidRPr="00511005">
        <w:rPr>
          <w:rFonts w:ascii="Arial" w:eastAsia="Times New Roman" w:hAnsi="Arial" w:cs="Arial"/>
          <w:szCs w:val="28"/>
          <w:lang w:val="en-US" w:eastAsia="ru-RU"/>
        </w:rPr>
        <w:t> </w:t>
      </w:r>
      <w:r w:rsidRPr="00511005">
        <w:rPr>
          <w:rFonts w:ascii="Arial" w:eastAsia="Times New Roman" w:hAnsi="Arial" w:cs="Arial"/>
          <w:szCs w:val="28"/>
          <w:lang w:eastAsia="ru-RU"/>
        </w:rPr>
        <w:t xml:space="preserve">М. Цифрова дипломатія як основа нової публічної дипломатії. </w:t>
      </w:r>
      <w:r w:rsidRPr="00511005">
        <w:rPr>
          <w:rFonts w:ascii="Arial" w:eastAsia="Times New Roman" w:hAnsi="Arial" w:cs="Arial"/>
          <w:i/>
          <w:iCs/>
          <w:szCs w:val="28"/>
          <w:lang w:val="en-US" w:eastAsia="ru-RU"/>
        </w:rPr>
        <w:t>Актуальні проблеми політик</w:t>
      </w:r>
      <w:r w:rsidRPr="00511005">
        <w:rPr>
          <w:rFonts w:ascii="Arial" w:eastAsia="Times New Roman" w:hAnsi="Arial" w:cs="Arial"/>
          <w:szCs w:val="28"/>
          <w:lang w:val="en-US" w:eastAsia="ru-RU"/>
        </w:rPr>
        <w:t xml:space="preserve">. 2022. № 69. С. 16. URL: </w:t>
      </w:r>
      <w:hyperlink r:id="rId231" w:history="1">
        <w:r w:rsidRPr="00511005">
          <w:rPr>
            <w:rFonts w:ascii="Arial" w:eastAsia="Times New Roman" w:hAnsi="Arial" w:cs="Arial"/>
            <w:szCs w:val="28"/>
            <w:u w:color="191919"/>
            <w:lang w:val="en-US" w:eastAsia="ru-RU"/>
          </w:rPr>
          <w:t>https://hdl.handle.net/11300/18022</w:t>
        </w:r>
      </w:hyperlink>
      <w:r w:rsidRPr="00511005">
        <w:rPr>
          <w:rFonts w:ascii="Arial" w:eastAsia="Times New Roman" w:hAnsi="Arial" w:cs="Arial"/>
          <w:szCs w:val="28"/>
          <w:lang w:val="en-US" w:eastAsia="ru-RU"/>
        </w:rPr>
        <w:t>.</w:t>
      </w:r>
    </w:p>
    <w:p w14:paraId="498C6D22" w14:textId="77777777" w:rsidR="00220D3E" w:rsidRPr="00511005" w:rsidRDefault="00220D3E" w:rsidP="003A292D">
      <w:pPr>
        <w:numPr>
          <w:ilvl w:val="0"/>
          <w:numId w:val="1"/>
        </w:numPr>
        <w:tabs>
          <w:tab w:val="clear" w:pos="0"/>
          <w:tab w:val="left" w:pos="20"/>
          <w:tab w:val="left" w:pos="523"/>
          <w:tab w:val="left" w:pos="709"/>
        </w:tabs>
        <w:autoSpaceDE w:val="0"/>
        <w:autoSpaceDN w:val="0"/>
        <w:adjustRightInd w:val="0"/>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Rehman S., Rassias M. Security challenges in the 21st century: addressing cybersecurity threats in international diplomacy. </w:t>
      </w:r>
      <w:r w:rsidRPr="00511005">
        <w:rPr>
          <w:rFonts w:ascii="Arial" w:eastAsia="Times New Roman" w:hAnsi="Arial" w:cs="Arial"/>
          <w:i/>
          <w:iCs/>
          <w:szCs w:val="28"/>
          <w:lang w:val="en-US" w:eastAsia="ru-RU"/>
        </w:rPr>
        <w:t>ResearchGate</w:t>
      </w:r>
      <w:r w:rsidRPr="00511005">
        <w:rPr>
          <w:rFonts w:ascii="Arial" w:eastAsia="Times New Roman" w:hAnsi="Arial" w:cs="Arial"/>
          <w:szCs w:val="28"/>
          <w:lang w:val="en-US" w:eastAsia="ru-RU"/>
        </w:rPr>
        <w:t xml:space="preserve">. URL: </w:t>
      </w:r>
      <w:hyperlink r:id="rId232" w:history="1">
        <w:r w:rsidRPr="00511005">
          <w:rPr>
            <w:rFonts w:ascii="Arial" w:eastAsia="Times New Roman" w:hAnsi="Arial" w:cs="Arial"/>
            <w:szCs w:val="28"/>
            <w:u w:color="191919"/>
            <w:lang w:val="en-US" w:eastAsia="ru-RU"/>
          </w:rPr>
          <w:t>https://www.researchgate.net/publication/386341180_Security_Challenges_in_the_21st_Century_Addressing_Cybersecurity_Threats_in_International_Diplomacy</w:t>
        </w:r>
      </w:hyperlink>
      <w:r w:rsidRPr="00511005">
        <w:rPr>
          <w:rFonts w:ascii="Arial" w:eastAsia="Times New Roman" w:hAnsi="Arial" w:cs="Arial"/>
          <w:szCs w:val="28"/>
          <w:lang w:val="en-US" w:eastAsia="ru-RU"/>
        </w:rPr>
        <w:t xml:space="preserve">. </w:t>
      </w:r>
    </w:p>
    <w:p w14:paraId="2B438ABE" w14:textId="77777777" w:rsidR="00220D3E" w:rsidRPr="00511005" w:rsidRDefault="00220D3E" w:rsidP="003A292D">
      <w:pPr>
        <w:numPr>
          <w:ilvl w:val="0"/>
          <w:numId w:val="1"/>
        </w:numPr>
        <w:tabs>
          <w:tab w:val="clear" w:pos="0"/>
          <w:tab w:val="left" w:pos="20"/>
          <w:tab w:val="left" w:pos="523"/>
          <w:tab w:val="left" w:pos="709"/>
        </w:tabs>
        <w:autoSpaceDE w:val="0"/>
        <w:autoSpaceDN w:val="0"/>
        <w:adjustRightInd w:val="0"/>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 xml:space="preserve">Labat P. G., Burke N. The protection of diplomatic correspondence in the digital age: time to revise the Vienna </w:t>
      </w:r>
      <w:proofErr w:type="gramStart"/>
      <w:r w:rsidRPr="00511005">
        <w:rPr>
          <w:rFonts w:ascii="Arial" w:eastAsia="Times New Roman" w:hAnsi="Arial" w:cs="Arial"/>
          <w:szCs w:val="28"/>
          <w:lang w:val="en-US" w:eastAsia="ru-RU"/>
        </w:rPr>
        <w:t>convention?.</w:t>
      </w:r>
      <w:proofErr w:type="gramEnd"/>
      <w:r w:rsidRPr="00511005">
        <w:rPr>
          <w:rFonts w:ascii="Arial" w:eastAsia="Times New Roman" w:hAnsi="Arial" w:cs="Arial"/>
          <w:szCs w:val="28"/>
          <w:lang w:val="en-US" w:eastAsia="ru-RU"/>
        </w:rPr>
        <w:t xml:space="preserve"> </w:t>
      </w:r>
      <w:r w:rsidRPr="00511005">
        <w:rPr>
          <w:rFonts w:ascii="Arial" w:eastAsia="Times New Roman" w:hAnsi="Arial" w:cs="Arial"/>
          <w:i/>
          <w:iCs/>
          <w:szCs w:val="28"/>
          <w:lang w:val="en-US" w:eastAsia="ru-RU"/>
        </w:rPr>
        <w:t>Oxford Academic</w:t>
      </w:r>
      <w:r w:rsidRPr="00511005">
        <w:rPr>
          <w:rFonts w:ascii="Arial" w:eastAsia="Times New Roman" w:hAnsi="Arial" w:cs="Arial"/>
          <w:szCs w:val="28"/>
          <w:lang w:val="en-US" w:eastAsia="ru-RU"/>
        </w:rPr>
        <w:t xml:space="preserve">. URL: </w:t>
      </w:r>
      <w:hyperlink r:id="rId233" w:history="1">
        <w:r w:rsidRPr="00511005">
          <w:rPr>
            <w:rFonts w:ascii="Arial" w:eastAsia="Times New Roman" w:hAnsi="Arial" w:cs="Arial"/>
            <w:szCs w:val="28"/>
            <w:u w:color="191919"/>
            <w:lang w:val="en-US" w:eastAsia="ru-RU"/>
          </w:rPr>
          <w:t>https://academic.oup.com/book/9626/chapter-abstract/156704034?redirectedFrom=fulltext</w:t>
        </w:r>
      </w:hyperlink>
      <w:r w:rsidRPr="00511005">
        <w:rPr>
          <w:rFonts w:ascii="Arial" w:eastAsia="Times New Roman" w:hAnsi="Arial" w:cs="Arial"/>
          <w:szCs w:val="28"/>
          <w:lang w:val="en-US" w:eastAsia="ru-RU"/>
        </w:rPr>
        <w:t>.</w:t>
      </w:r>
    </w:p>
    <w:p w14:paraId="592E693F" w14:textId="77777777" w:rsidR="00220D3E" w:rsidRPr="00511005" w:rsidRDefault="00220D3E" w:rsidP="003A292D">
      <w:pPr>
        <w:numPr>
          <w:ilvl w:val="0"/>
          <w:numId w:val="1"/>
        </w:numPr>
        <w:tabs>
          <w:tab w:val="clear" w:pos="0"/>
          <w:tab w:val="left" w:pos="20"/>
          <w:tab w:val="left" w:pos="523"/>
          <w:tab w:val="left" w:pos="709"/>
        </w:tabs>
        <w:autoSpaceDE w:val="0"/>
        <w:autoSpaceDN w:val="0"/>
        <w:adjustRightInd w:val="0"/>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Ковач А. Українська цифрова дипломатія: інформаційний фронт держави в соціальних мережах | ADASTRA. </w:t>
      </w:r>
      <w:r w:rsidRPr="00511005">
        <w:rPr>
          <w:rFonts w:ascii="Arial" w:eastAsia="Times New Roman" w:hAnsi="Arial" w:cs="Arial"/>
          <w:i/>
          <w:iCs/>
          <w:szCs w:val="28"/>
          <w:lang w:val="en-US" w:eastAsia="ru-RU"/>
        </w:rPr>
        <w:t>ADASTRA І Аналітичний центр</w:t>
      </w:r>
      <w:r w:rsidRPr="00511005">
        <w:rPr>
          <w:rFonts w:ascii="Arial" w:eastAsia="Times New Roman" w:hAnsi="Arial" w:cs="Arial"/>
          <w:szCs w:val="28"/>
          <w:lang w:val="en-US" w:eastAsia="ru-RU"/>
        </w:rPr>
        <w:t xml:space="preserve">. URL: </w:t>
      </w:r>
      <w:hyperlink r:id="rId234" w:history="1">
        <w:r w:rsidRPr="00511005">
          <w:rPr>
            <w:rFonts w:ascii="Arial" w:eastAsia="Times New Roman" w:hAnsi="Arial" w:cs="Arial"/>
            <w:szCs w:val="28"/>
            <w:u w:color="191919"/>
            <w:lang w:val="en-US" w:eastAsia="ru-RU"/>
          </w:rPr>
          <w:t>https://adastra.org.ua/blog/ukrayinska-cifrova-diplomatiya-informacijnij-front-derzhavi-v-socialnih-merezhah</w:t>
        </w:r>
      </w:hyperlink>
      <w:r w:rsidRPr="00511005">
        <w:rPr>
          <w:rFonts w:ascii="Arial" w:eastAsia="Times New Roman" w:hAnsi="Arial" w:cs="Arial"/>
          <w:szCs w:val="28"/>
          <w:lang w:val="en-US" w:eastAsia="ru-RU"/>
        </w:rPr>
        <w:t>.</w:t>
      </w:r>
    </w:p>
    <w:p w14:paraId="64888800" w14:textId="2761EC0C" w:rsidR="00220D3E" w:rsidRPr="00511005" w:rsidRDefault="007B2628" w:rsidP="003A292D">
      <w:pPr>
        <w:tabs>
          <w:tab w:val="left" w:pos="20"/>
          <w:tab w:val="left" w:pos="523"/>
          <w:tab w:val="left" w:pos="709"/>
        </w:tabs>
        <w:autoSpaceDE w:val="0"/>
        <w:autoSpaceDN w:val="0"/>
        <w:adjustRightInd w:val="0"/>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цифрова дипломатія, публічна дипломатія, міжнародне право,</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кібербезпека, дезінформація, соціальні мережі, збройна агресія.</w:t>
      </w:r>
    </w:p>
    <w:p w14:paraId="64D65A57" w14:textId="620D6DFA" w:rsidR="00220D3E" w:rsidRPr="00511005" w:rsidRDefault="007B2628" w:rsidP="003A292D">
      <w:pPr>
        <w:tabs>
          <w:tab w:val="left" w:pos="20"/>
          <w:tab w:val="left" w:pos="523"/>
          <w:tab w:val="left" w:pos="709"/>
        </w:tabs>
        <w:autoSpaceDE w:val="0"/>
        <w:autoSpaceDN w:val="0"/>
        <w:adjustRightInd w:val="0"/>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digital diplomacy, public diplomacy, international law, cybersecurity, disinformation, social media, armed aggression.</w:t>
      </w:r>
    </w:p>
    <w:p w14:paraId="0E549C7E" w14:textId="0CFDDC6A" w:rsidR="00220D3E" w:rsidRPr="00511005" w:rsidRDefault="007B2628" w:rsidP="003A292D">
      <w:pPr>
        <w:tabs>
          <w:tab w:val="left" w:pos="20"/>
          <w:tab w:val="left" w:pos="523"/>
          <w:tab w:val="left" w:pos="709"/>
        </w:tabs>
        <w:autoSpaceDE w:val="0"/>
        <w:autoSpaceDN w:val="0"/>
        <w:adjustRightInd w:val="0"/>
        <w:spacing w:line="264" w:lineRule="auto"/>
        <w:rPr>
          <w:rFonts w:ascii="Arial" w:eastAsia="Times New Roman" w:hAnsi="Arial" w:cs="Arial"/>
          <w:szCs w:val="28"/>
          <w:lang w:val="uk-UA"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val="uk-UA" w:eastAsia="ru-RU"/>
        </w:rPr>
        <w:t>к.ю.н., доцент Бєлогубова О.О.</w:t>
      </w:r>
    </w:p>
    <w:p w14:paraId="5F043BED" w14:textId="77777777" w:rsidR="00220D3E" w:rsidRPr="00511005" w:rsidRDefault="00220D3E" w:rsidP="003A292D">
      <w:pPr>
        <w:pBdr>
          <w:top w:val="nil"/>
          <w:left w:val="nil"/>
          <w:bottom w:val="nil"/>
          <w:right w:val="nil"/>
          <w:between w:val="nil"/>
          <w:bar w:val="nil"/>
        </w:pBdr>
        <w:tabs>
          <w:tab w:val="left" w:pos="709"/>
        </w:tabs>
        <w:spacing w:line="264" w:lineRule="auto"/>
        <w:jc w:val="center"/>
        <w:rPr>
          <w:rFonts w:ascii="Arial" w:eastAsia="Arial Unicode MS" w:hAnsi="Arial" w:cs="Arial"/>
          <w:b/>
          <w:bCs/>
          <w:i/>
          <w:iCs/>
          <w:szCs w:val="28"/>
          <w:bdr w:val="nil"/>
          <w:lang w:val="uk-UA"/>
        </w:rPr>
      </w:pPr>
    </w:p>
    <w:p w14:paraId="407BEF1B" w14:textId="77777777" w:rsidR="00220D3E" w:rsidRPr="00511005" w:rsidRDefault="00220D3E" w:rsidP="003A292D">
      <w:pPr>
        <w:pBdr>
          <w:top w:val="nil"/>
          <w:left w:val="nil"/>
          <w:bottom w:val="nil"/>
          <w:right w:val="nil"/>
          <w:between w:val="nil"/>
          <w:bar w:val="nil"/>
        </w:pBdr>
        <w:tabs>
          <w:tab w:val="left" w:pos="709"/>
        </w:tabs>
        <w:spacing w:line="264" w:lineRule="auto"/>
        <w:ind w:firstLine="0"/>
        <w:jc w:val="center"/>
        <w:rPr>
          <w:rFonts w:ascii="Arial" w:eastAsia="Times New Roman" w:hAnsi="Arial" w:cs="Arial"/>
          <w:szCs w:val="28"/>
          <w:bdr w:val="nil"/>
        </w:rPr>
      </w:pPr>
      <w:r w:rsidRPr="00511005">
        <w:rPr>
          <w:rFonts w:ascii="Arial" w:eastAsia="Arial Unicode MS" w:hAnsi="Arial" w:cs="Arial"/>
          <w:b/>
          <w:bCs/>
          <w:i/>
          <w:iCs/>
          <w:szCs w:val="28"/>
          <w:bdr w:val="nil"/>
        </w:rPr>
        <w:t>Волгіна Вікторія Ігорівна</w:t>
      </w:r>
    </w:p>
    <w:p w14:paraId="0A2687C6" w14:textId="4B99DCBE" w:rsidR="007B2628" w:rsidRPr="00511005" w:rsidRDefault="00536AAB" w:rsidP="003A292D">
      <w:pPr>
        <w:pBdr>
          <w:top w:val="nil"/>
          <w:left w:val="nil"/>
          <w:bottom w:val="nil"/>
          <w:right w:val="nil"/>
          <w:between w:val="nil"/>
          <w:bar w:val="nil"/>
        </w:pBdr>
        <w:tabs>
          <w:tab w:val="left" w:pos="709"/>
        </w:tabs>
        <w:spacing w:line="264" w:lineRule="auto"/>
        <w:ind w:firstLine="0"/>
        <w:jc w:val="center"/>
        <w:rPr>
          <w:rFonts w:ascii="Arial" w:eastAsia="Times New Roman" w:hAnsi="Arial" w:cs="Arial"/>
          <w:szCs w:val="28"/>
          <w:bdr w:val="nil"/>
        </w:rPr>
      </w:pPr>
      <w:r w:rsidRPr="00511005">
        <w:rPr>
          <w:rFonts w:ascii="Arial" w:eastAsia="Arial Unicode MS" w:hAnsi="Arial" w:cs="Arial"/>
          <w:szCs w:val="28"/>
          <w:bdr w:val="nil"/>
        </w:rPr>
        <w:t xml:space="preserve">студентка 2-го курсу </w:t>
      </w:r>
      <w:r w:rsidR="001B7B25" w:rsidRPr="00511005">
        <w:rPr>
          <w:rFonts w:ascii="Arial" w:eastAsia="Arial Unicode MS" w:hAnsi="Arial" w:cs="Arial"/>
          <w:szCs w:val="28"/>
          <w:bdr w:val="nil"/>
        </w:rPr>
        <w:t>факультету судового та міжнародного права</w:t>
      </w:r>
      <w:r w:rsidR="00220D3E" w:rsidRPr="00511005">
        <w:rPr>
          <w:rFonts w:ascii="Arial" w:eastAsia="Arial Unicode MS" w:hAnsi="Arial" w:cs="Arial"/>
          <w:szCs w:val="28"/>
          <w:bdr w:val="nil"/>
        </w:rPr>
        <w:br/>
      </w:r>
      <w:r w:rsidR="007B2628" w:rsidRPr="00511005">
        <w:rPr>
          <w:rFonts w:ascii="Arial" w:eastAsia="Arial Unicode MS" w:hAnsi="Arial" w:cs="Arial"/>
          <w:szCs w:val="28"/>
          <w:bdr w:val="nil"/>
        </w:rPr>
        <w:t>Національного університету «Одеська юридична академія»</w:t>
      </w:r>
    </w:p>
    <w:p w14:paraId="61D24374" w14:textId="734A72E4" w:rsidR="00220D3E" w:rsidRPr="00511005" w:rsidRDefault="00220D3E" w:rsidP="003A292D">
      <w:pPr>
        <w:pBdr>
          <w:top w:val="nil"/>
          <w:left w:val="nil"/>
          <w:bottom w:val="nil"/>
          <w:right w:val="nil"/>
          <w:between w:val="nil"/>
          <w:bar w:val="nil"/>
        </w:pBdr>
        <w:tabs>
          <w:tab w:val="left" w:pos="709"/>
        </w:tabs>
        <w:spacing w:line="264" w:lineRule="auto"/>
        <w:jc w:val="center"/>
        <w:rPr>
          <w:rFonts w:ascii="Arial" w:eastAsia="Times New Roman" w:hAnsi="Arial" w:cs="Arial"/>
          <w:szCs w:val="28"/>
          <w:bdr w:val="nil"/>
        </w:rPr>
      </w:pPr>
    </w:p>
    <w:p w14:paraId="5A7298D3" w14:textId="77777777" w:rsidR="00220D3E" w:rsidRPr="00511005" w:rsidRDefault="00220D3E" w:rsidP="003A292D">
      <w:pPr>
        <w:pBdr>
          <w:top w:val="nil"/>
          <w:left w:val="nil"/>
          <w:bottom w:val="nil"/>
          <w:right w:val="nil"/>
          <w:between w:val="nil"/>
          <w:bar w:val="nil"/>
        </w:pBdr>
        <w:tabs>
          <w:tab w:val="left" w:pos="709"/>
        </w:tabs>
        <w:spacing w:line="264" w:lineRule="auto"/>
        <w:ind w:firstLine="0"/>
        <w:jc w:val="center"/>
        <w:rPr>
          <w:rFonts w:ascii="Arial" w:eastAsia="Times New Roman" w:hAnsi="Arial" w:cs="Arial"/>
          <w:b/>
          <w:bCs/>
          <w:szCs w:val="28"/>
          <w:bdr w:val="nil"/>
        </w:rPr>
      </w:pPr>
      <w:r w:rsidRPr="00511005">
        <w:rPr>
          <w:rFonts w:ascii="Arial" w:eastAsia="Arial Unicode MS" w:hAnsi="Arial" w:cs="Arial"/>
          <w:b/>
          <w:bCs/>
          <w:szCs w:val="28"/>
          <w:bdr w:val="nil"/>
        </w:rPr>
        <w:t xml:space="preserve">ЗАХИСТ ВІД ГЕНДЕРНО ЗУМОВЛЕНОГО НАСИЛЬСТВА В УКРАЇНІ: РОЛЬ І ВПЛИВ СТАМБУЛЬСЬКОЇ КОНВЕНЦІЇ </w:t>
      </w:r>
    </w:p>
    <w:p w14:paraId="795DAEC4"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Arial Unicode MS" w:hAnsi="Arial" w:cs="Arial"/>
          <w:szCs w:val="28"/>
          <w:bdr w:val="nil"/>
        </w:rPr>
        <w:t xml:space="preserve">Проблема гендерно зумовленого насильства (ГЗН) залишається однією з найгостріших соціально-правових викликів як у світі, так і в Україні. Щороку тисячі осіб — переважно жінки та діти стають </w:t>
      </w:r>
      <w:r w:rsidRPr="00511005">
        <w:rPr>
          <w:rFonts w:ascii="Arial" w:eastAsia="Arial Unicode MS" w:hAnsi="Arial" w:cs="Arial"/>
          <w:szCs w:val="28"/>
          <w:bdr w:val="nil"/>
          <w:lang w:val="uk-UA"/>
        </w:rPr>
        <w:t>потерпілими від</w:t>
      </w:r>
      <w:r w:rsidRPr="00511005">
        <w:rPr>
          <w:rFonts w:ascii="Arial" w:eastAsia="Arial Unicode MS" w:hAnsi="Arial" w:cs="Arial"/>
          <w:szCs w:val="28"/>
          <w:bdr w:val="nil"/>
        </w:rPr>
        <w:t xml:space="preserve"> фізичного, психологічного, сексуального або економічного насильства. Це не лише порушення прав людини, а й загроза суспільному благополуччю, розвитку демократичної держави та соціальної справедливості.</w:t>
      </w:r>
    </w:p>
    <w:p w14:paraId="1A06866C"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Arial Unicode MS" w:hAnsi="Arial" w:cs="Arial"/>
          <w:szCs w:val="28"/>
          <w:bdr w:val="nil"/>
        </w:rPr>
        <w:t>В умовах повномасштабної війни в Україні проблема ГЗН набула нових, ще більш масштабних форм, зокрема сексуального насильства, пов’язаного зі збройним конфліктом. Ці обставини актуалізують потребу у створенні ефективних національних механізмів захисту та реагування на насильство, що базуються на міжнародних стандартах. Ратифікація Стамбульської конвенції у 2022 році стала важливим етапом у реформуванні системи захисту постерпілих в Україні, саме тому вивчення ролі та впливу Стамбульської конвенції у сфері протидії гендерно зумовленому насильству є вкрай актуальним як з точки зору юридичної науки, так і практичної реалізації прав людини.</w:t>
      </w:r>
    </w:p>
    <w:p w14:paraId="075FA266"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b/>
          <w:bCs/>
          <w:szCs w:val="28"/>
          <w:bdr w:val="nil"/>
        </w:rPr>
      </w:pPr>
      <w:r w:rsidRPr="00511005">
        <w:rPr>
          <w:rFonts w:ascii="Arial" w:eastAsia="Arial Unicode MS" w:hAnsi="Arial" w:cs="Arial"/>
          <w:szCs w:val="28"/>
          <w:bdr w:val="nil"/>
        </w:rPr>
        <w:t xml:space="preserve">Гендерно зумовлене насильство — насильство, яке вчиняється до осіб через їхню стать, або насильство, яке непропорційно впливає на осіб певної статі; є крайнім проявом гендерної дискримінації. «За результатами аналізу наявних наукових позицій ми виділяємо наступні форми прояву гендерно зумовленого насильства: фізичне насильство, сексуальне насильство, </w:t>
      </w:r>
      <w:r w:rsidRPr="00511005">
        <w:rPr>
          <w:rFonts w:ascii="Arial" w:eastAsia="Arial Unicode MS" w:hAnsi="Arial" w:cs="Arial"/>
          <w:szCs w:val="28"/>
          <w:bdr w:val="nil"/>
        </w:rPr>
        <w:lastRenderedPageBreak/>
        <w:t xml:space="preserve">психологічне насильство, економічне насильство, але в його основі завжди лежить гендерна нерівність та дискримінація» </w:t>
      </w:r>
      <w:r w:rsidRPr="00511005">
        <w:rPr>
          <w:rFonts w:ascii="Arial" w:eastAsia="Arial Unicode MS" w:hAnsi="Arial" w:cs="Arial"/>
          <w:szCs w:val="28"/>
          <w:bdr w:val="nil"/>
          <w:lang w:val="pt-PT"/>
        </w:rPr>
        <w:t>[</w:t>
      </w:r>
      <w:r w:rsidRPr="00511005">
        <w:rPr>
          <w:rFonts w:ascii="Arial" w:eastAsia="Arial Unicode MS" w:hAnsi="Arial" w:cs="Arial"/>
          <w:szCs w:val="28"/>
          <w:bdr w:val="nil"/>
        </w:rPr>
        <w:t>1, с. 95</w:t>
      </w:r>
      <w:r w:rsidRPr="00511005">
        <w:rPr>
          <w:rFonts w:ascii="Arial" w:eastAsia="Arial Unicode MS" w:hAnsi="Arial" w:cs="Arial"/>
          <w:szCs w:val="28"/>
          <w:bdr w:val="nil"/>
          <w:lang w:val="pt-PT"/>
        </w:rPr>
        <w:t>].</w:t>
      </w:r>
      <w:r w:rsidRPr="00511005">
        <w:rPr>
          <w:rFonts w:ascii="Arial" w:eastAsia="Arial Unicode MS" w:hAnsi="Arial" w:cs="Arial"/>
          <w:b/>
          <w:bCs/>
          <w:szCs w:val="28"/>
          <w:bdr w:val="nil"/>
        </w:rPr>
        <w:t xml:space="preserve"> </w:t>
      </w:r>
    </w:p>
    <w:p w14:paraId="7AE5C944"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Arial Unicode MS" w:hAnsi="Arial" w:cs="Arial"/>
          <w:szCs w:val="28"/>
          <w:bdr w:val="nil"/>
        </w:rPr>
        <w:t xml:space="preserve">«Протягом свого життя 1 з 3 жінок, близько 736 мільйонів, зазнає фізичного чи сексуального насильства, кількість, яка майже не змінилася протягом останнього десятиліття» </w:t>
      </w:r>
      <w:r w:rsidRPr="00511005">
        <w:rPr>
          <w:rFonts w:ascii="Arial" w:eastAsia="Arial Unicode MS" w:hAnsi="Arial" w:cs="Arial"/>
          <w:szCs w:val="28"/>
          <w:bdr w:val="nil"/>
          <w:lang w:val="pt-PT"/>
        </w:rPr>
        <w:t>[</w:t>
      </w:r>
      <w:r w:rsidRPr="00511005">
        <w:rPr>
          <w:rFonts w:ascii="Arial" w:eastAsia="Arial Unicode MS" w:hAnsi="Arial" w:cs="Arial"/>
          <w:szCs w:val="28"/>
          <w:bdr w:val="nil"/>
        </w:rPr>
        <w:t>2</w:t>
      </w:r>
      <w:r w:rsidRPr="00511005">
        <w:rPr>
          <w:rFonts w:ascii="Arial" w:eastAsia="Arial Unicode MS" w:hAnsi="Arial" w:cs="Arial"/>
          <w:szCs w:val="28"/>
          <w:bdr w:val="nil"/>
          <w:lang w:val="pt-PT"/>
        </w:rPr>
        <w:t>].</w:t>
      </w:r>
      <w:r w:rsidRPr="00511005">
        <w:rPr>
          <w:rFonts w:ascii="Arial" w:eastAsia="Arial Unicode MS" w:hAnsi="Arial" w:cs="Arial"/>
          <w:b/>
          <w:bCs/>
          <w:szCs w:val="28"/>
          <w:bdr w:val="nil"/>
        </w:rPr>
        <w:t xml:space="preserve"> </w:t>
      </w:r>
      <w:r w:rsidRPr="00511005">
        <w:rPr>
          <w:rFonts w:ascii="Arial" w:eastAsia="Arial Unicode MS" w:hAnsi="Arial" w:cs="Arial"/>
          <w:szCs w:val="28"/>
          <w:bdr w:val="nil"/>
        </w:rPr>
        <w:t>В Україні протягом тривалого часу існує проблема поширення домашнього та сексуального насильств, що негативно впливає на безпеку та добробут значної частини населення.</w:t>
      </w:r>
      <w:r w:rsidRPr="00511005">
        <w:rPr>
          <w:rFonts w:ascii="Arial" w:eastAsia="Arial Unicode MS" w:hAnsi="Arial" w:cs="Arial"/>
          <w:b/>
          <w:bCs/>
          <w:szCs w:val="28"/>
          <w:bdr w:val="nil"/>
        </w:rPr>
        <w:t xml:space="preserve"> </w:t>
      </w:r>
      <w:r w:rsidRPr="00511005">
        <w:rPr>
          <w:rFonts w:ascii="Arial" w:eastAsia="Arial Unicode MS" w:hAnsi="Arial" w:cs="Arial"/>
          <w:szCs w:val="28"/>
          <w:bdr w:val="nil"/>
        </w:rPr>
        <w:t xml:space="preserve">«За 2023 до Національної поліції України надійшло понад 291 тисячу заяв та повідомлень про вчинення домашнього насильства. Майже вдвічі більше кримінальних проваджень було відкрито у порівнянні із 2022-м роком» </w:t>
      </w:r>
      <w:r w:rsidRPr="00511005">
        <w:rPr>
          <w:rFonts w:ascii="Arial" w:eastAsia="Arial Unicode MS" w:hAnsi="Arial" w:cs="Arial"/>
          <w:szCs w:val="28"/>
          <w:bdr w:val="nil"/>
          <w:lang w:val="pt-PT"/>
        </w:rPr>
        <w:t>[</w:t>
      </w:r>
      <w:r w:rsidRPr="00511005">
        <w:rPr>
          <w:rFonts w:ascii="Arial" w:eastAsia="Arial Unicode MS" w:hAnsi="Arial" w:cs="Arial"/>
          <w:szCs w:val="28"/>
          <w:bdr w:val="nil"/>
        </w:rPr>
        <w:t>3</w:t>
      </w:r>
      <w:r w:rsidRPr="00511005">
        <w:rPr>
          <w:rFonts w:ascii="Arial" w:eastAsia="Arial Unicode MS" w:hAnsi="Arial" w:cs="Arial"/>
          <w:szCs w:val="28"/>
          <w:bdr w:val="nil"/>
          <w:lang w:val="pt-PT"/>
        </w:rPr>
        <w:t xml:space="preserve">]. </w:t>
      </w:r>
      <w:r w:rsidRPr="00511005">
        <w:rPr>
          <w:rFonts w:ascii="Arial" w:eastAsia="Arial Unicode MS" w:hAnsi="Arial" w:cs="Arial"/>
          <w:szCs w:val="28"/>
          <w:bdr w:val="nil"/>
        </w:rPr>
        <w:t xml:space="preserve">Недостатній рівень поінформованості, страх звертатися до правоохоронних органів, нестача спеціалізованих притулків та кваліфікованої допомоги — усе це створює перешкоди для ефективної протидії домашньому насильству. </w:t>
      </w:r>
    </w:p>
    <w:p w14:paraId="5C6727F8"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Arial Unicode MS" w:hAnsi="Arial" w:cs="Arial"/>
          <w:szCs w:val="28"/>
          <w:bdr w:val="nil"/>
        </w:rPr>
        <w:t xml:space="preserve">Гендерно зумовлене насильство в Україні є серйозною та системною проблемою, яка суттєво загострилася в умовах повномасштабної війни. З початком російської агресії проти України фіксуються численні випадки сексуального насильства, пов’язаного з конфліктом, що кваліфікується як воєнний злочин відповідно до міжнародного гуманітарного права. «За даними Офісу Генерального прокурора, станом на кінець 2023 року в Україні задокументовано 303 випадки сексуального насильства, пов’язаного з війною, з яких 191 випадок — щодо жінок, 112 — щодо чоловіків» </w:t>
      </w:r>
      <w:r w:rsidRPr="00511005">
        <w:rPr>
          <w:rFonts w:ascii="Arial" w:eastAsia="Arial Unicode MS" w:hAnsi="Arial" w:cs="Arial"/>
          <w:szCs w:val="28"/>
          <w:bdr w:val="nil"/>
          <w:lang w:val="pt-PT"/>
        </w:rPr>
        <w:t>[</w:t>
      </w:r>
      <w:r w:rsidRPr="00511005">
        <w:rPr>
          <w:rFonts w:ascii="Arial" w:eastAsia="Arial Unicode MS" w:hAnsi="Arial" w:cs="Arial"/>
          <w:szCs w:val="28"/>
          <w:bdr w:val="nil"/>
        </w:rPr>
        <w:t>4</w:t>
      </w:r>
      <w:r w:rsidRPr="00511005">
        <w:rPr>
          <w:rFonts w:ascii="Arial" w:eastAsia="Arial Unicode MS" w:hAnsi="Arial" w:cs="Arial"/>
          <w:szCs w:val="28"/>
          <w:bdr w:val="nil"/>
          <w:lang w:val="pt-PT"/>
        </w:rPr>
        <w:t xml:space="preserve">]. </w:t>
      </w:r>
      <w:r w:rsidRPr="00511005">
        <w:rPr>
          <w:rFonts w:ascii="Arial" w:eastAsia="Arial Unicode MS" w:hAnsi="Arial" w:cs="Arial"/>
          <w:szCs w:val="28"/>
          <w:bdr w:val="nil"/>
        </w:rPr>
        <w:t>Водночас, значна частина таких злочинів залишається нерозкритою через страх потерпілих, ризик повторної травматизації та складність збирання доказової бази.</w:t>
      </w:r>
    </w:p>
    <w:p w14:paraId="7C752F14"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Arial Unicode MS" w:hAnsi="Arial" w:cs="Arial"/>
          <w:szCs w:val="28"/>
          <w:bdr w:val="nil"/>
        </w:rPr>
        <w:t xml:space="preserve">Стамбульська конвенція — це </w:t>
      </w:r>
      <w:proofErr w:type="gramStart"/>
      <w:r w:rsidRPr="00511005">
        <w:rPr>
          <w:rFonts w:ascii="Arial" w:eastAsia="Arial Unicode MS" w:hAnsi="Arial" w:cs="Arial"/>
          <w:szCs w:val="28"/>
          <w:bdr w:val="nil"/>
        </w:rPr>
        <w:t>Конвенція</w:t>
      </w:r>
      <w:proofErr w:type="gramEnd"/>
      <w:r w:rsidRPr="00511005">
        <w:rPr>
          <w:rFonts w:ascii="Arial" w:eastAsia="Arial Unicode MS" w:hAnsi="Arial" w:cs="Arial"/>
          <w:szCs w:val="28"/>
          <w:bdr w:val="nil"/>
        </w:rPr>
        <w:t xml:space="preserve"> Ради Європи про запобігання насильству щодо жінок і домашньому насильству та боротьбу з цими явищами, прийнята 11 травня 2011 року в м. Стамбулі (Туреччина). Документ набрав чинності 1 серпня 2014 року після ратифікації десятьма державами, зокрема вісьмома </w:t>
      </w:r>
      <w:proofErr w:type="gramStart"/>
      <w:r w:rsidRPr="00511005">
        <w:rPr>
          <w:rFonts w:ascii="Arial" w:eastAsia="Arial Unicode MS" w:hAnsi="Arial" w:cs="Arial"/>
          <w:szCs w:val="28"/>
          <w:bdr w:val="nil"/>
        </w:rPr>
        <w:t>членами</w:t>
      </w:r>
      <w:proofErr w:type="gramEnd"/>
      <w:r w:rsidRPr="00511005">
        <w:rPr>
          <w:rFonts w:ascii="Arial" w:eastAsia="Arial Unicode MS" w:hAnsi="Arial" w:cs="Arial"/>
          <w:szCs w:val="28"/>
          <w:bdr w:val="nil"/>
        </w:rPr>
        <w:t xml:space="preserve"> Ради Європи. Конвенція є першим юридично обов’язковим міжнародним документом, спрямованим виключно на боротьбу з насильством щодо жінок і домашнім насильством.</w:t>
      </w:r>
    </w:p>
    <w:p w14:paraId="369C183D"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Arial Unicode MS" w:hAnsi="Arial" w:cs="Arial"/>
          <w:szCs w:val="28"/>
          <w:bdr w:val="nil"/>
        </w:rPr>
        <w:t>Стамбульська конвенція базується на чотирьох головних принципах:</w:t>
      </w:r>
    </w:p>
    <w:p w14:paraId="1D5AAD4F" w14:textId="77777777" w:rsidR="00220D3E" w:rsidRPr="00511005" w:rsidRDefault="00220D3E" w:rsidP="003F6A5D">
      <w:pPr>
        <w:numPr>
          <w:ilvl w:val="0"/>
          <w:numId w:val="76"/>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rPr>
      </w:pPr>
      <w:r w:rsidRPr="00511005">
        <w:rPr>
          <w:rFonts w:ascii="Arial" w:eastAsia="Arial Unicode MS" w:hAnsi="Arial" w:cs="Arial"/>
          <w:szCs w:val="28"/>
          <w:bdr w:val="nil"/>
        </w:rPr>
        <w:t xml:space="preserve">Попередження </w:t>
      </w:r>
      <w:r w:rsidRPr="00511005">
        <w:rPr>
          <w:rFonts w:ascii="Arial" w:eastAsia="Arial Unicode MS" w:hAnsi="Arial" w:cs="Arial"/>
          <w:szCs w:val="28"/>
          <w:bdr w:val="nil"/>
          <w:lang w:val="fr-FR"/>
        </w:rPr>
        <w:t xml:space="preserve">(Prevention): </w:t>
      </w:r>
      <w:r w:rsidRPr="00511005">
        <w:rPr>
          <w:rFonts w:ascii="Arial" w:eastAsia="Arial Unicode MS" w:hAnsi="Arial" w:cs="Arial"/>
          <w:szCs w:val="28"/>
          <w:bdr w:val="nil"/>
        </w:rPr>
        <w:t>забезпечення просвітницької роботи, освітніх програм, підвищення обізнаності суспільства щодо гендерно зумовленого насильства.</w:t>
      </w:r>
    </w:p>
    <w:p w14:paraId="3AB77EAD" w14:textId="77777777" w:rsidR="00220D3E" w:rsidRPr="00511005" w:rsidRDefault="00220D3E" w:rsidP="003F6A5D">
      <w:pPr>
        <w:numPr>
          <w:ilvl w:val="0"/>
          <w:numId w:val="76"/>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rPr>
      </w:pPr>
      <w:r w:rsidRPr="00511005">
        <w:rPr>
          <w:rFonts w:ascii="Arial" w:eastAsia="Arial Unicode MS" w:hAnsi="Arial" w:cs="Arial"/>
          <w:szCs w:val="28"/>
          <w:bdr w:val="nil"/>
        </w:rPr>
        <w:t xml:space="preserve">Захист жертв </w:t>
      </w:r>
      <w:r w:rsidRPr="00511005">
        <w:rPr>
          <w:rFonts w:ascii="Arial" w:eastAsia="Arial Unicode MS" w:hAnsi="Arial" w:cs="Arial"/>
          <w:szCs w:val="28"/>
          <w:bdr w:val="nil"/>
          <w:lang w:val="fr-FR"/>
        </w:rPr>
        <w:t xml:space="preserve">(Protection): </w:t>
      </w:r>
      <w:r w:rsidRPr="00511005">
        <w:rPr>
          <w:rFonts w:ascii="Arial" w:eastAsia="Arial Unicode MS" w:hAnsi="Arial" w:cs="Arial"/>
          <w:szCs w:val="28"/>
          <w:bdr w:val="nil"/>
        </w:rPr>
        <w:t>створення безпечного середовища для потерпілих, включаючи доступ до притулків, медичної, психологічної та правової допомоги.</w:t>
      </w:r>
    </w:p>
    <w:p w14:paraId="2C83778F" w14:textId="77777777" w:rsidR="00220D3E" w:rsidRPr="00511005" w:rsidRDefault="00220D3E" w:rsidP="003F6A5D">
      <w:pPr>
        <w:numPr>
          <w:ilvl w:val="0"/>
          <w:numId w:val="76"/>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rPr>
      </w:pPr>
      <w:r w:rsidRPr="00511005">
        <w:rPr>
          <w:rFonts w:ascii="Arial" w:eastAsia="Arial Unicode MS" w:hAnsi="Arial" w:cs="Arial"/>
          <w:szCs w:val="28"/>
          <w:bdr w:val="nil"/>
        </w:rPr>
        <w:lastRenderedPageBreak/>
        <w:t>Переслідування злочинців (Prosecution): забезпечення криміналізації форм насильства, передбачених конвенцією, та належне покарання винних.</w:t>
      </w:r>
    </w:p>
    <w:p w14:paraId="4A8E7214" w14:textId="77777777" w:rsidR="00220D3E" w:rsidRPr="00511005" w:rsidRDefault="00220D3E" w:rsidP="003F6A5D">
      <w:pPr>
        <w:numPr>
          <w:ilvl w:val="0"/>
          <w:numId w:val="76"/>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rPr>
      </w:pPr>
      <w:r w:rsidRPr="00511005">
        <w:rPr>
          <w:rFonts w:ascii="Arial" w:eastAsia="Arial Unicode MS" w:hAnsi="Arial" w:cs="Arial"/>
          <w:szCs w:val="28"/>
          <w:bdr w:val="nil"/>
        </w:rPr>
        <w:t>Комплексна політика (Integrated policies): розробка узгодженої державної політики із залученням усіх відповідальних органів.</w:t>
      </w:r>
    </w:p>
    <w:p w14:paraId="55BB4DE5"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b/>
          <w:bCs/>
          <w:szCs w:val="28"/>
          <w:bdr w:val="nil"/>
        </w:rPr>
      </w:pPr>
      <w:r w:rsidRPr="00511005">
        <w:rPr>
          <w:rFonts w:ascii="Arial" w:eastAsia="Arial Unicode MS" w:hAnsi="Arial" w:cs="Arial"/>
          <w:szCs w:val="28"/>
          <w:bdr w:val="nil"/>
        </w:rPr>
        <w:t xml:space="preserve">Україна підписала </w:t>
      </w:r>
      <w:proofErr w:type="gramStart"/>
      <w:r w:rsidRPr="00511005">
        <w:rPr>
          <w:rFonts w:ascii="Arial" w:eastAsia="Arial Unicode MS" w:hAnsi="Arial" w:cs="Arial"/>
          <w:szCs w:val="28"/>
          <w:bdr w:val="nil"/>
        </w:rPr>
        <w:t>Конвенцію</w:t>
      </w:r>
      <w:proofErr w:type="gramEnd"/>
      <w:r w:rsidRPr="00511005">
        <w:rPr>
          <w:rFonts w:ascii="Arial" w:eastAsia="Arial Unicode MS" w:hAnsi="Arial" w:cs="Arial"/>
          <w:szCs w:val="28"/>
          <w:bdr w:val="nil"/>
        </w:rPr>
        <w:t xml:space="preserve"> Ради Європи про запобігання насильству щодо жінок і домашньому насильству (Стамбульську конвенцію) 7 листопада 2011 року, однак її ратифікація відбулася лише 20 червня 2022 року після численних закликів від громадських організацій та міжнародних партнерів. Цей процес супроводжувався політичними торгами та суспільними дискусіями щодо відповідності положень конвенції національним традиціям та цінностям. Підтримка з боку громадських організацій і міжнародних партнерів стикалася з опором з боку консервативних політичних сил, які висловлювали побоювання щодо змін у соціальній політиці та правовому статусі жінок. Міжнародний тиск, зокрема з </w:t>
      </w:r>
      <w:proofErr w:type="gramStart"/>
      <w:r w:rsidRPr="00511005">
        <w:rPr>
          <w:rFonts w:ascii="Arial" w:eastAsia="Arial Unicode MS" w:hAnsi="Arial" w:cs="Arial"/>
          <w:szCs w:val="28"/>
          <w:bdr w:val="nil"/>
        </w:rPr>
        <w:t>боку</w:t>
      </w:r>
      <w:proofErr w:type="gramEnd"/>
      <w:r w:rsidRPr="00511005">
        <w:rPr>
          <w:rFonts w:ascii="Arial" w:eastAsia="Arial Unicode MS" w:hAnsi="Arial" w:cs="Arial"/>
          <w:szCs w:val="28"/>
          <w:bdr w:val="nil"/>
        </w:rPr>
        <w:t xml:space="preserve"> Ради Європи та Європейського Союзу, відіграв значну роль у прискоренні процесу ратифікації.</w:t>
      </w:r>
    </w:p>
    <w:p w14:paraId="0DA821DC"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Arial Unicode MS" w:hAnsi="Arial" w:cs="Arial"/>
          <w:szCs w:val="28"/>
          <w:bdr w:val="nil"/>
        </w:rPr>
        <w:t>Після ратифікації Стамбульської конвенції Україна зробила значні кроки у напрямку змін до національного законодавства, спрямованих на забезпечення прав жінок та боротьбу з усіма формами насильства. Зміни до Кримінального кодексу України, які розмежовують поняття «зґвалтування» (ст. 152) та «сексуальне насильство» (ст. 153) за ознакою наявності чи відсутності проникнення, були внесені Законом України від 6 грудня 2017 року № 2227-VIII. Цей закон набрав чинності 11 січня 2019 року.</w:t>
      </w:r>
      <w:r w:rsidRPr="00511005">
        <w:rPr>
          <w:rFonts w:ascii="Arial" w:eastAsia="Arial Unicode MS" w:hAnsi="Arial" w:cs="Arial"/>
          <w:szCs w:val="28"/>
          <w:bdr w:val="nil"/>
          <w:lang w:val="uk-UA"/>
        </w:rPr>
        <w:t xml:space="preserve"> </w:t>
      </w:r>
      <w:r w:rsidRPr="00511005">
        <w:rPr>
          <w:rFonts w:ascii="Arial" w:eastAsia="Arial Unicode MS" w:hAnsi="Arial" w:cs="Arial"/>
          <w:szCs w:val="28"/>
          <w:bdr w:val="nil"/>
        </w:rPr>
        <w:t>З практичних результатів, важливим досягненням стало створення мережі притулків для по</w:t>
      </w:r>
      <w:r w:rsidRPr="00511005">
        <w:rPr>
          <w:rFonts w:ascii="Arial" w:eastAsia="Arial Unicode MS" w:hAnsi="Arial" w:cs="Arial"/>
          <w:szCs w:val="28"/>
          <w:bdr w:val="nil"/>
          <w:lang w:val="uk-UA"/>
        </w:rPr>
        <w:t xml:space="preserve">терпілих </w:t>
      </w:r>
      <w:r w:rsidRPr="00511005">
        <w:rPr>
          <w:rFonts w:ascii="Arial" w:eastAsia="Arial Unicode MS" w:hAnsi="Arial" w:cs="Arial"/>
          <w:szCs w:val="28"/>
          <w:bdr w:val="nil"/>
        </w:rPr>
        <w:t xml:space="preserve">від насильства, в тому числі й мобільних бригад психологічної допомоги, </w:t>
      </w:r>
      <w:r w:rsidRPr="00511005">
        <w:rPr>
          <w:rFonts w:ascii="Arial" w:eastAsia="Arial Unicode MS" w:hAnsi="Arial" w:cs="Arial"/>
          <w:szCs w:val="28"/>
          <w:bdr w:val="nil"/>
          <w:lang w:val="uk-UA"/>
        </w:rPr>
        <w:t>а т</w:t>
      </w:r>
      <w:r w:rsidRPr="00511005">
        <w:rPr>
          <w:rFonts w:ascii="Arial" w:eastAsia="Arial Unicode MS" w:hAnsi="Arial" w:cs="Arial"/>
          <w:szCs w:val="28"/>
          <w:bdr w:val="nil"/>
        </w:rPr>
        <w:t>акож значну роль відіграють гарячі лінії, що працюють для надання консультацій, підтримки та допомоги по</w:t>
      </w:r>
      <w:r w:rsidRPr="00511005">
        <w:rPr>
          <w:rFonts w:ascii="Arial" w:eastAsia="Arial Unicode MS" w:hAnsi="Arial" w:cs="Arial"/>
          <w:szCs w:val="28"/>
          <w:bdr w:val="nil"/>
          <w:lang w:val="uk-UA"/>
        </w:rPr>
        <w:t>терпілим</w:t>
      </w:r>
      <w:r w:rsidRPr="00511005">
        <w:rPr>
          <w:rFonts w:ascii="Arial" w:eastAsia="Arial Unicode MS" w:hAnsi="Arial" w:cs="Arial"/>
          <w:szCs w:val="28"/>
          <w:bdr w:val="nil"/>
        </w:rPr>
        <w:t xml:space="preserve"> особам.</w:t>
      </w:r>
    </w:p>
    <w:p w14:paraId="0627BC55"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rPr>
      </w:pPr>
      <w:r w:rsidRPr="00511005">
        <w:rPr>
          <w:rFonts w:ascii="Arial" w:eastAsia="Arial Unicode MS" w:hAnsi="Arial" w:cs="Arial"/>
          <w:szCs w:val="28"/>
          <w:bdr w:val="nil"/>
        </w:rPr>
        <w:t xml:space="preserve">Попри значні кроки у напрямку виконання зобов’язань, взятих на себе після ратифікації Стамбульської конвенції, Україна стикається з серйозними викликами у процесі її впровадження. Одним із основних викликів є нестача ресурсів на місцевому рівні для реалізації норм Конвенції. Брак фінансування та недостатній розвиток інфраструктури для надання допомоги </w:t>
      </w:r>
      <w:r w:rsidRPr="00511005">
        <w:rPr>
          <w:rFonts w:ascii="Arial" w:eastAsia="Arial Unicode MS" w:hAnsi="Arial" w:cs="Arial"/>
          <w:szCs w:val="28"/>
          <w:bdr w:val="nil"/>
          <w:lang w:val="uk-UA"/>
        </w:rPr>
        <w:t>потерпілим від</w:t>
      </w:r>
      <w:r w:rsidRPr="00511005">
        <w:rPr>
          <w:rFonts w:ascii="Arial" w:eastAsia="Arial Unicode MS" w:hAnsi="Arial" w:cs="Arial"/>
          <w:szCs w:val="28"/>
          <w:bdr w:val="nil"/>
        </w:rPr>
        <w:t xml:space="preserve"> насильства у деяких регіонах України обмежують ефективність державних ініціатив. Потреба у навчанні кадрів також є важливим аспектом, адже для ефективного реагування на випадки насильства необхідно, щоб судді, адвокати, поліцейські та соціальні працівники мали відповідну кваліфікацію та знання щодо специфіки роботи з потерпілими від насильства, а також мали навички застосування нових законодавчих норм. Одним із серйозних викликів залишається відсутність </w:t>
      </w:r>
      <w:r w:rsidRPr="00511005">
        <w:rPr>
          <w:rFonts w:ascii="Arial" w:eastAsia="Arial Unicode MS" w:hAnsi="Arial" w:cs="Arial"/>
          <w:szCs w:val="28"/>
          <w:bdr w:val="nil"/>
        </w:rPr>
        <w:lastRenderedPageBreak/>
        <w:t>належного міжвідомчого механізму координації. Реалізація Стамбульської конвенції вимагає чіткої взаємодії між правоохоронними органами, соціальними службами, медичними установами та громадськими організаціями.</w:t>
      </w:r>
    </w:p>
    <w:p w14:paraId="3D70C054" w14:textId="20CA31CA"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eastAsia="Times New Roman" w:hAnsi="Arial" w:cs="Arial"/>
          <w:b/>
          <w:bCs/>
          <w:szCs w:val="28"/>
          <w:lang w:val="uk-UA" w:eastAsia="ru-RU"/>
        </w:rPr>
      </w:pPr>
      <w:r w:rsidRPr="00511005">
        <w:rPr>
          <w:rFonts w:ascii="Arial" w:eastAsia="Times New Roman" w:hAnsi="Arial" w:cs="Arial"/>
          <w:szCs w:val="28"/>
          <w:lang w:val="uk-UA" w:eastAsia="ru-RU"/>
        </w:rPr>
        <w:tab/>
        <w:t>Слід зауважити, що с</w:t>
      </w:r>
      <w:r w:rsidRPr="00511005">
        <w:rPr>
          <w:rFonts w:ascii="Arial" w:eastAsia="Times New Roman" w:hAnsi="Arial" w:cs="Arial"/>
          <w:szCs w:val="28"/>
          <w:lang w:eastAsia="ru-RU"/>
        </w:rPr>
        <w:t>таном на квітень 2025 року,</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Україна підписала 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ратифікувала Римський статут Міжнародного кримінального суду.</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Проте, ще до ратифікації, Законом України від 2 червня 2016 р. No 1401-VIII «Про внесення змін до Конституції України (щодо правосуддя)</w:t>
      </w:r>
      <w:r w:rsidRPr="00511005">
        <w:rPr>
          <w:rFonts w:ascii="Arial" w:eastAsia="Times New Roman" w:hAnsi="Arial" w:cs="Arial"/>
          <w:szCs w:val="28"/>
          <w:lang w:val="uk-UA" w:eastAsia="ru-RU"/>
        </w:rPr>
        <w:t xml:space="preserve"> було </w:t>
      </w:r>
      <w:r w:rsidRPr="00511005">
        <w:rPr>
          <w:rFonts w:ascii="Arial" w:eastAsia="Times New Roman" w:hAnsi="Arial" w:cs="Arial"/>
          <w:szCs w:val="28"/>
          <w:lang w:eastAsia="ru-RU"/>
        </w:rPr>
        <w:t>внесено зміни до ст. 124 Конституції України, відповідно до якої тепер Україна</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може визнати юрисдикцію Міжнародного кримінального суду на умовах, визначених Римським статутом Міжнародного кримінального суду</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Якщо проаналізувати положення ст. ст. 6, 7, 8 Римського статуту, то у кожному з цих найбільш тяжких злочинів є ознаки гендерно зумовленого насильства. Так, наприклад, у ст. 7. Злочини проти людяності, до гендерно зумовленого насильства відносяться такі діяння, коли вони вчиняються в</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рамках широкомасштабного або систематичного нападу, спрямованого проти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будь-якого цивільного населення, і такий напад вчиняється усвідомлено</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5</w:t>
      </w:r>
      <w:r w:rsidRPr="00511005">
        <w:rPr>
          <w:rFonts w:ascii="Arial" w:eastAsia="Times New Roman" w:hAnsi="Arial" w:cs="Arial"/>
          <w:szCs w:val="28"/>
          <w:lang w:eastAsia="ru-RU"/>
        </w:rPr>
        <w:t>, с.</w:t>
      </w:r>
      <w:r w:rsidRPr="00511005">
        <w:rPr>
          <w:rFonts w:ascii="Arial" w:eastAsia="Times New Roman" w:hAnsi="Arial" w:cs="Arial"/>
          <w:szCs w:val="28"/>
          <w:lang w:val="uk-UA" w:eastAsia="ru-RU"/>
        </w:rPr>
        <w:t>455</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До них належать: </w:t>
      </w:r>
      <w:r w:rsidRPr="00511005">
        <w:rPr>
          <w:rFonts w:ascii="Arial" w:eastAsia="Times New Roman" w:hAnsi="Arial" w:cs="Arial"/>
          <w:szCs w:val="28"/>
          <w:lang w:eastAsia="ru-RU"/>
        </w:rPr>
        <w:t>зґвалтування, сексуальне рабство, примушення до проституції, примусова вагітність, примусова стерилізація чи будь-яка інша подібна за тяжкістю форма сексуального насильства</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6</w:t>
      </w:r>
      <w:r w:rsidRPr="00511005">
        <w:rPr>
          <w:rFonts w:ascii="Arial" w:eastAsia="Times New Roman" w:hAnsi="Arial" w:cs="Arial"/>
          <w:szCs w:val="28"/>
          <w:lang w:eastAsia="ru-RU"/>
        </w:rPr>
        <w:t>, с. </w:t>
      </w:r>
      <w:r w:rsidRPr="00511005">
        <w:rPr>
          <w:rFonts w:ascii="Arial" w:eastAsia="Times New Roman" w:hAnsi="Arial" w:cs="Arial"/>
          <w:szCs w:val="28"/>
          <w:lang w:val="uk-UA" w:eastAsia="ru-RU"/>
        </w:rPr>
        <w:t>537</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Визнання юрисдикції Суду щодо окремих ситуацій дозволяє розслідувати конкретні справи, проте лише повна ратифікація забезпечує системний захист прав потерпілих, зокрема від гендерно зумовленого насильства, а також сприяє міжнародній відповідальності винних осіб.</w:t>
      </w:r>
    </w:p>
    <w:p w14:paraId="298F19E1"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ab/>
      </w:r>
      <w:r w:rsidRPr="00511005">
        <w:rPr>
          <w:rFonts w:ascii="Arial" w:eastAsia="Times New Roman" w:hAnsi="Arial" w:cs="Arial"/>
          <w:szCs w:val="28"/>
          <w:lang w:eastAsia="ru-RU"/>
        </w:rPr>
        <w:t>Вплив воєнного стану на здатність держави реалізовувати зобов’язання за Стамбульською конвенцією також є значним. Воєнні дії створюють нові виклики у сфері захисту прав потерпілих від гендерно зумовленого насильства, оскільки війна спричиняє збільшення випадків сексуального насильства, а також ускладнює доступ до допомоги та ресурсів для постраждалих осіб, особливо в зонах бойових дій чи тимчасово окупованих територіях.</w:t>
      </w:r>
    </w:p>
    <w:p w14:paraId="71E08B87"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uk-UA"/>
        </w:rPr>
      </w:pPr>
      <w:r w:rsidRPr="00511005">
        <w:rPr>
          <w:rFonts w:ascii="Arial" w:eastAsia="Arial Unicode MS" w:hAnsi="Arial" w:cs="Arial"/>
          <w:szCs w:val="28"/>
          <w:bdr w:val="nil"/>
        </w:rPr>
        <w:t>Захист від гендерно зумовленого насильства в Україні є важливим елементом забезпечення прав людини та гендерної рівності. Ратифікація Стамбульської конвенції стала важливим кроком до вдосконалення українського законодавства, яке сприяє запобіганню насильству, захисту жертв та боротьбі з його формами. Конвенція запровадила чіткі правові механізми, що забезпечують відповідальність за насильство та створюють інструменти підтримки постраждалих, зокрема, притулки, «гарячі лінії» і мобільні бригади психологічної допомоги.</w:t>
      </w:r>
    </w:p>
    <w:p w14:paraId="4E559C20"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lang w:val="uk-UA"/>
        </w:rPr>
      </w:pPr>
    </w:p>
    <w:p w14:paraId="4553489F" w14:textId="1A160870" w:rsidR="00220D3E" w:rsidRPr="00511005" w:rsidRDefault="007B2628" w:rsidP="007B2628">
      <w:pPr>
        <w:pBdr>
          <w:top w:val="nil"/>
          <w:left w:val="nil"/>
          <w:bottom w:val="nil"/>
          <w:right w:val="nil"/>
          <w:between w:val="nil"/>
          <w:bar w:val="nil"/>
        </w:pBdr>
        <w:tabs>
          <w:tab w:val="left" w:pos="709"/>
        </w:tabs>
        <w:spacing w:line="264" w:lineRule="auto"/>
        <w:jc w:val="center"/>
        <w:rPr>
          <w:rFonts w:ascii="Arial" w:eastAsia="Arial Unicode MS" w:hAnsi="Arial" w:cs="Arial"/>
          <w:b/>
          <w:bCs/>
          <w:iCs/>
          <w:szCs w:val="28"/>
          <w:bdr w:val="nil"/>
          <w:lang w:val="uk-UA"/>
        </w:rPr>
      </w:pPr>
      <w:r w:rsidRPr="00511005">
        <w:rPr>
          <w:rFonts w:ascii="Arial" w:eastAsia="Arial Unicode MS" w:hAnsi="Arial" w:cs="Arial"/>
          <w:b/>
          <w:bCs/>
          <w:iCs/>
          <w:szCs w:val="28"/>
          <w:bdr w:val="nil"/>
          <w:lang w:val="uk-UA"/>
        </w:rPr>
        <w:t>Список використаних джерел</w:t>
      </w:r>
    </w:p>
    <w:p w14:paraId="2715E32A" w14:textId="77777777" w:rsidR="00220D3E" w:rsidRPr="00511005" w:rsidRDefault="00220D3E" w:rsidP="003F6A5D">
      <w:pPr>
        <w:numPr>
          <w:ilvl w:val="0"/>
          <w:numId w:val="78"/>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rPr>
      </w:pPr>
      <w:r w:rsidRPr="00511005">
        <w:rPr>
          <w:rFonts w:ascii="Arial" w:eastAsia="Arial Unicode MS" w:hAnsi="Arial" w:cs="Arial"/>
          <w:szCs w:val="28"/>
          <w:bdr w:val="nil"/>
        </w:rPr>
        <w:lastRenderedPageBreak/>
        <w:t xml:space="preserve">Симонова Г. М., Тетерятник Г. К. Класифікація видів гендерно зумовленого насильства в умовах збройних конфліктів. </w:t>
      </w:r>
      <w:r w:rsidRPr="00511005">
        <w:rPr>
          <w:rFonts w:ascii="Arial" w:eastAsia="Arial Unicode MS" w:hAnsi="Arial" w:cs="Arial"/>
          <w:i/>
          <w:iCs/>
          <w:szCs w:val="28"/>
          <w:bdr w:val="nil"/>
        </w:rPr>
        <w:t>Правова система: теорія і практика</w:t>
      </w:r>
      <w:r w:rsidRPr="00511005">
        <w:rPr>
          <w:rFonts w:ascii="Arial" w:eastAsia="Arial Unicode MS" w:hAnsi="Arial" w:cs="Arial"/>
          <w:szCs w:val="28"/>
          <w:bdr w:val="nil"/>
        </w:rPr>
        <w:t xml:space="preserve">. 2024. Т. 2. С. 95. URL: </w:t>
      </w:r>
      <w:hyperlink r:id="rId235" w:history="1">
        <w:r w:rsidRPr="00511005">
          <w:rPr>
            <w:rFonts w:ascii="Arial" w:eastAsia="Arial Unicode MS" w:hAnsi="Arial" w:cs="Arial"/>
            <w:szCs w:val="28"/>
            <w:u w:color="0563C1"/>
            <w:bdr w:val="nil"/>
            <w:lang w:val="en-US"/>
          </w:rPr>
          <w:t>https</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doi</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org</w:t>
        </w:r>
        <w:r w:rsidRPr="00511005">
          <w:rPr>
            <w:rFonts w:ascii="Arial" w:eastAsia="Arial Unicode MS" w:hAnsi="Arial" w:cs="Arial"/>
            <w:szCs w:val="28"/>
            <w:u w:color="0563C1"/>
            <w:bdr w:val="nil"/>
          </w:rPr>
          <w:t>/10.56163/2072-2524-2024-2-100-104</w:t>
        </w:r>
      </w:hyperlink>
    </w:p>
    <w:p w14:paraId="0DB88F36" w14:textId="77777777" w:rsidR="00220D3E" w:rsidRPr="00511005" w:rsidRDefault="00220D3E" w:rsidP="003F6A5D">
      <w:pPr>
        <w:numPr>
          <w:ilvl w:val="0"/>
          <w:numId w:val="78"/>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lang w:val="en-US"/>
        </w:rPr>
      </w:pPr>
      <w:r w:rsidRPr="00511005">
        <w:rPr>
          <w:rFonts w:ascii="Arial" w:eastAsia="Arial Unicode MS" w:hAnsi="Arial" w:cs="Arial"/>
          <w:szCs w:val="28"/>
          <w:bdr w:val="nil"/>
          <w:lang w:val="en-US"/>
        </w:rPr>
        <w:t xml:space="preserve">Devastatingly pervasive: 1 in 3 women globally experience violence. </w:t>
      </w:r>
      <w:r w:rsidRPr="00511005">
        <w:rPr>
          <w:rFonts w:ascii="Arial" w:eastAsia="Arial Unicode MS" w:hAnsi="Arial" w:cs="Arial"/>
          <w:i/>
          <w:iCs/>
          <w:szCs w:val="28"/>
          <w:bdr w:val="nil"/>
          <w:lang w:val="en-US"/>
        </w:rPr>
        <w:t>World Health Organization (WHO)</w:t>
      </w:r>
      <w:r w:rsidRPr="00511005">
        <w:rPr>
          <w:rFonts w:ascii="Arial" w:eastAsia="Arial Unicode MS" w:hAnsi="Arial" w:cs="Arial"/>
          <w:szCs w:val="28"/>
          <w:bdr w:val="nil"/>
          <w:lang w:val="en-US"/>
        </w:rPr>
        <w:t xml:space="preserve">. URL: </w:t>
      </w:r>
      <w:hyperlink r:id="rId236" w:history="1">
        <w:r w:rsidRPr="00511005">
          <w:rPr>
            <w:rFonts w:ascii="Arial" w:eastAsia="Arial Unicode MS" w:hAnsi="Arial" w:cs="Arial"/>
            <w:szCs w:val="28"/>
            <w:u w:color="0563C1"/>
            <w:bdr w:val="nil"/>
            <w:lang w:val="en-US"/>
          </w:rPr>
          <w:t>https://www.who.int/news/item/09-03-2021-devastatingly-pervasive-1-in-3-women-globally-experience-violence</w:t>
        </w:r>
      </w:hyperlink>
      <w:r w:rsidRPr="00511005">
        <w:rPr>
          <w:rFonts w:ascii="Arial" w:eastAsia="Arial Unicode MS" w:hAnsi="Arial" w:cs="Arial"/>
          <w:szCs w:val="28"/>
          <w:bdr w:val="nil"/>
          <w:lang w:val="en-US"/>
        </w:rPr>
        <w:t xml:space="preserve"> </w:t>
      </w:r>
    </w:p>
    <w:p w14:paraId="7C5AD2FF" w14:textId="77777777" w:rsidR="00220D3E" w:rsidRPr="00511005" w:rsidRDefault="00220D3E" w:rsidP="003F6A5D">
      <w:pPr>
        <w:numPr>
          <w:ilvl w:val="0"/>
          <w:numId w:val="78"/>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rPr>
      </w:pPr>
      <w:r w:rsidRPr="00511005">
        <w:rPr>
          <w:rFonts w:ascii="Arial" w:eastAsia="Arial Unicode MS" w:hAnsi="Arial" w:cs="Arial"/>
          <w:szCs w:val="28"/>
          <w:bdr w:val="nil"/>
        </w:rPr>
        <w:t xml:space="preserve">Департамент комунікації МВС України. Кількість заяв про вчинення домашнього насильства збільшується - Катерина Павліченко. </w:t>
      </w:r>
      <w:r w:rsidRPr="00511005">
        <w:rPr>
          <w:rFonts w:ascii="Arial" w:eastAsia="Arial Unicode MS" w:hAnsi="Arial" w:cs="Arial"/>
          <w:i/>
          <w:iCs/>
          <w:szCs w:val="28"/>
          <w:bdr w:val="nil"/>
        </w:rPr>
        <w:t>Міністерство внутрішніх справ України</w:t>
      </w:r>
      <w:r w:rsidRPr="00511005">
        <w:rPr>
          <w:rFonts w:ascii="Arial" w:eastAsia="Arial Unicode MS" w:hAnsi="Arial" w:cs="Arial"/>
          <w:szCs w:val="28"/>
          <w:bdr w:val="nil"/>
        </w:rPr>
        <w:t xml:space="preserve">. URL: </w:t>
      </w:r>
      <w:hyperlink r:id="rId237" w:history="1">
        <w:r w:rsidRPr="00511005">
          <w:rPr>
            <w:rFonts w:ascii="Arial" w:eastAsia="Arial Unicode MS" w:hAnsi="Arial" w:cs="Arial"/>
            <w:szCs w:val="28"/>
            <w:u w:color="0563C1"/>
            <w:bdr w:val="nil"/>
            <w:lang w:val="en-US"/>
          </w:rPr>
          <w:t>https</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mvs</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gov</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ua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news</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kilkist</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zaiav</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pro</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vcinennia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domasnyogo</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nasilstva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zbilsujetsia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katerina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pavlicenko</w:t>
        </w:r>
      </w:hyperlink>
      <w:r w:rsidRPr="00511005">
        <w:rPr>
          <w:rFonts w:ascii="Arial" w:eastAsia="Arial Unicode MS" w:hAnsi="Arial" w:cs="Arial"/>
          <w:szCs w:val="28"/>
          <w:bdr w:val="nil"/>
        </w:rPr>
        <w:t xml:space="preserve"> </w:t>
      </w:r>
    </w:p>
    <w:p w14:paraId="435D6C4F" w14:textId="77777777" w:rsidR="00220D3E" w:rsidRPr="00511005" w:rsidRDefault="00220D3E" w:rsidP="003F6A5D">
      <w:pPr>
        <w:numPr>
          <w:ilvl w:val="0"/>
          <w:numId w:val="78"/>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u w:color="0563C1"/>
          <w:bdr w:val="nil"/>
        </w:rPr>
      </w:pPr>
      <w:r w:rsidRPr="00511005">
        <w:rPr>
          <w:rFonts w:ascii="Arial" w:eastAsia="Arial Unicode MS" w:hAnsi="Arial" w:cs="Arial"/>
          <w:szCs w:val="28"/>
          <w:bdr w:val="nil"/>
        </w:rPr>
        <w:t xml:space="preserve">Сисак І. «Вона навіть не знає, скільки чоловіків її ґвалтували»: 303 факти сексуального насильства, зумовленого війною. </w:t>
      </w:r>
      <w:r w:rsidRPr="00511005">
        <w:rPr>
          <w:rFonts w:ascii="Arial" w:eastAsia="Arial Unicode MS" w:hAnsi="Arial" w:cs="Arial"/>
          <w:i/>
          <w:iCs/>
          <w:szCs w:val="28"/>
          <w:bdr w:val="nil"/>
        </w:rPr>
        <w:t>Радіо Свобода</w:t>
      </w:r>
      <w:r w:rsidRPr="00511005">
        <w:rPr>
          <w:rFonts w:ascii="Arial" w:eastAsia="Arial Unicode MS" w:hAnsi="Arial" w:cs="Arial"/>
          <w:szCs w:val="28"/>
          <w:bdr w:val="nil"/>
        </w:rPr>
        <w:t xml:space="preserve">. URL: </w:t>
      </w:r>
      <w:hyperlink r:id="rId238" w:history="1">
        <w:r w:rsidRPr="00511005">
          <w:rPr>
            <w:rFonts w:ascii="Arial" w:eastAsia="Arial Unicode MS" w:hAnsi="Arial" w:cs="Arial"/>
            <w:szCs w:val="28"/>
            <w:u w:color="0563C1"/>
            <w:bdr w:val="nil"/>
            <w:lang w:val="en-US"/>
          </w:rPr>
          <w:t>https</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www</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radiosvoboda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org</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v</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ukrayini</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zafiksovano</w:t>
        </w:r>
        <w:r w:rsidRPr="00511005">
          <w:rPr>
            <w:rFonts w:ascii="Arial" w:eastAsia="Arial Unicode MS" w:hAnsi="Arial" w:cs="Arial"/>
            <w:szCs w:val="28"/>
            <w:u w:color="0563C1"/>
            <w:bdr w:val="nil"/>
          </w:rPr>
          <w:t>-303-</w:t>
        </w:r>
        <w:r w:rsidRPr="00511005">
          <w:rPr>
            <w:rFonts w:ascii="Arial" w:eastAsia="Arial Unicode MS" w:hAnsi="Arial" w:cs="Arial"/>
            <w:szCs w:val="28"/>
            <w:u w:color="0563C1"/>
            <w:bdr w:val="nil"/>
            <w:lang w:val="en-US"/>
          </w:rPr>
          <w:t>fakty</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seksualnoho</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nasylstva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zumovlenoho</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viynoyu</w:t>
        </w:r>
        <w:r w:rsidRPr="00511005">
          <w:rPr>
            <w:rFonts w:ascii="Arial" w:eastAsia="Arial Unicode MS" w:hAnsi="Arial" w:cs="Arial"/>
            <w:szCs w:val="28"/>
            <w:u w:color="0563C1"/>
            <w:bdr w:val="nil"/>
          </w:rPr>
          <w:t>/32999415.</w:t>
        </w:r>
        <w:r w:rsidRPr="00511005">
          <w:rPr>
            <w:rFonts w:ascii="Arial" w:eastAsia="Arial Unicode MS" w:hAnsi="Arial" w:cs="Arial"/>
            <w:szCs w:val="28"/>
            <w:u w:color="0563C1"/>
            <w:bdr w:val="nil"/>
            <w:lang w:val="en-US"/>
          </w:rPr>
          <w:t>html</w:t>
        </w:r>
      </w:hyperlink>
    </w:p>
    <w:p w14:paraId="7210ED49" w14:textId="77777777" w:rsidR="00220D3E" w:rsidRPr="00511005" w:rsidRDefault="00220D3E" w:rsidP="003F6A5D">
      <w:pPr>
        <w:numPr>
          <w:ilvl w:val="0"/>
          <w:numId w:val="78"/>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rPr>
      </w:pPr>
      <w:r w:rsidRPr="00511005">
        <w:rPr>
          <w:rFonts w:ascii="Arial" w:eastAsia="Arial Unicode MS" w:hAnsi="Arial" w:cs="Arial"/>
          <w:szCs w:val="28"/>
          <w:bdr w:val="nil"/>
        </w:rPr>
        <w:t>Грушко М. В., Політова А. С. Злочини проти людяності: національний та міжнародно-правовий аспект. </w:t>
      </w:r>
      <w:r w:rsidRPr="00511005">
        <w:rPr>
          <w:rFonts w:ascii="Arial" w:eastAsia="Arial Unicode MS" w:hAnsi="Arial" w:cs="Arial"/>
          <w:i/>
          <w:iCs/>
          <w:szCs w:val="28"/>
          <w:bdr w:val="nil"/>
        </w:rPr>
        <w:t>Наукові записки Львівського університету бізнесу та права. Серія економічна. Серія юридична.</w:t>
      </w:r>
      <w:r w:rsidRPr="00511005">
        <w:rPr>
          <w:rFonts w:ascii="Arial" w:eastAsia="Arial Unicode MS" w:hAnsi="Arial" w:cs="Arial"/>
          <w:szCs w:val="28"/>
          <w:bdr w:val="nil"/>
        </w:rPr>
        <w:t>2022. № 35. С. 455. URL: </w:t>
      </w:r>
      <w:hyperlink r:id="rId239" w:tgtFrame="_blank" w:history="1">
        <w:r w:rsidRPr="00511005">
          <w:rPr>
            <w:rFonts w:ascii="Arial" w:eastAsia="Arial Unicode MS" w:hAnsi="Arial" w:cs="Arial"/>
            <w:szCs w:val="28"/>
            <w:bdr w:val="nil"/>
          </w:rPr>
          <w:t>https://doi.org/10.5281/zenodo.10373515</w:t>
        </w:r>
      </w:hyperlink>
      <w:r w:rsidRPr="00511005">
        <w:rPr>
          <w:rFonts w:ascii="Arial" w:eastAsia="Arial Unicode MS" w:hAnsi="Arial" w:cs="Arial"/>
          <w:szCs w:val="28"/>
          <w:bdr w:val="nil"/>
        </w:rPr>
        <w:t>.</w:t>
      </w:r>
    </w:p>
    <w:p w14:paraId="0E6BFA84" w14:textId="77777777" w:rsidR="00220D3E" w:rsidRPr="00511005" w:rsidRDefault="00220D3E" w:rsidP="003F6A5D">
      <w:pPr>
        <w:numPr>
          <w:ilvl w:val="0"/>
          <w:numId w:val="78"/>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u w:color="0563C1"/>
          <w:bdr w:val="nil"/>
        </w:rPr>
      </w:pPr>
      <w:r w:rsidRPr="00511005">
        <w:rPr>
          <w:rFonts w:ascii="Arial" w:eastAsia="Arial Unicode MS" w:hAnsi="Arial" w:cs="Arial"/>
          <w:szCs w:val="28"/>
          <w:bdr w:val="nil"/>
        </w:rPr>
        <w:t>Політова А. С., Грушко М. В. Юрисдикція міжнародного кримінального суду як спеціального суб’єкта протидії гендерно зумовленому насильству в умовах збройного конфлікту. </w:t>
      </w:r>
      <w:r w:rsidRPr="00511005">
        <w:rPr>
          <w:rFonts w:ascii="Arial" w:eastAsia="Arial Unicode MS" w:hAnsi="Arial" w:cs="Arial"/>
          <w:i/>
          <w:iCs/>
          <w:szCs w:val="28"/>
          <w:bdr w:val="nil"/>
        </w:rPr>
        <w:t>Наукові перспективи</w:t>
      </w:r>
      <w:r w:rsidRPr="00511005">
        <w:rPr>
          <w:rFonts w:ascii="Arial" w:eastAsia="Arial Unicode MS" w:hAnsi="Arial" w:cs="Arial"/>
          <w:szCs w:val="28"/>
          <w:bdr w:val="nil"/>
        </w:rPr>
        <w:t>. 2023. Т. 8, № 38. С. 537. URL: </w:t>
      </w:r>
      <w:hyperlink r:id="rId240" w:tgtFrame="_blank" w:history="1">
        <w:r w:rsidRPr="00511005">
          <w:rPr>
            <w:rFonts w:ascii="Arial" w:eastAsia="Arial Unicode MS" w:hAnsi="Arial" w:cs="Arial"/>
            <w:szCs w:val="28"/>
            <w:bdr w:val="nil"/>
          </w:rPr>
          <w:t>http://repository.mu.edu.ua/jspui/handle/123456789/4838</w:t>
        </w:r>
      </w:hyperlink>
      <w:r w:rsidRPr="00511005">
        <w:rPr>
          <w:rFonts w:ascii="Arial" w:eastAsia="Arial Unicode MS" w:hAnsi="Arial" w:cs="Arial"/>
          <w:szCs w:val="28"/>
          <w:bdr w:val="nil"/>
        </w:rPr>
        <w:t>.</w:t>
      </w:r>
    </w:p>
    <w:p w14:paraId="5F764A21"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563C1"/>
          <w:bdr w:val="nil"/>
        </w:rPr>
      </w:pPr>
    </w:p>
    <w:p w14:paraId="5806CC52" w14:textId="664E9A07" w:rsidR="00220D3E" w:rsidRPr="00511005" w:rsidRDefault="007B2628"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rPr>
      </w:pPr>
      <w:r w:rsidRPr="00511005">
        <w:rPr>
          <w:rFonts w:ascii="Arial" w:eastAsia="Arial Unicode MS" w:hAnsi="Arial" w:cs="Arial"/>
          <w:b/>
          <w:bCs/>
          <w:i/>
          <w:szCs w:val="28"/>
          <w:bdr w:val="nil"/>
        </w:rPr>
        <w:t xml:space="preserve">Ключові слова: </w:t>
      </w:r>
      <w:r w:rsidR="00220D3E" w:rsidRPr="00511005">
        <w:rPr>
          <w:rFonts w:ascii="Arial" w:eastAsia="Arial Unicode MS" w:hAnsi="Arial" w:cs="Arial"/>
          <w:szCs w:val="28"/>
          <w:bdr w:val="nil"/>
        </w:rPr>
        <w:t>гендерно зумовлене насильство, Стамбульська конвенція, захист прав людини, домашнє насильство, сексуальне насильство, міжнародне право.</w:t>
      </w:r>
    </w:p>
    <w:p w14:paraId="17D95B0E" w14:textId="49183373" w:rsidR="00220D3E" w:rsidRPr="00511005" w:rsidRDefault="007B2628"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rPr>
      </w:pPr>
      <w:r w:rsidRPr="00511005">
        <w:rPr>
          <w:rFonts w:ascii="Arial" w:eastAsia="Arial Unicode MS" w:hAnsi="Arial" w:cs="Arial"/>
          <w:b/>
          <w:bCs/>
          <w:i/>
          <w:szCs w:val="28"/>
          <w:bdr w:val="nil"/>
          <w:lang w:val="en-US"/>
        </w:rPr>
        <w:t xml:space="preserve">Key words: </w:t>
      </w:r>
      <w:r w:rsidR="00220D3E" w:rsidRPr="00511005">
        <w:rPr>
          <w:rFonts w:ascii="Arial" w:eastAsia="Arial Unicode MS" w:hAnsi="Arial" w:cs="Arial"/>
          <w:szCs w:val="28"/>
          <w:bdr w:val="nil"/>
          <w:lang w:val="en-US"/>
        </w:rPr>
        <w:t>gender-based violence, Istanbul Convention, human rights protection, domestic violence, sexual violence, international law.</w:t>
      </w:r>
    </w:p>
    <w:p w14:paraId="0886E5D5" w14:textId="7428C0F6" w:rsidR="00220D3E" w:rsidRPr="00511005" w:rsidRDefault="007B2628" w:rsidP="003A292D">
      <w:pPr>
        <w:pBdr>
          <w:top w:val="nil"/>
          <w:left w:val="nil"/>
          <w:bottom w:val="nil"/>
          <w:right w:val="nil"/>
          <w:between w:val="nil"/>
          <w:bar w:val="nil"/>
        </w:pBdr>
        <w:tabs>
          <w:tab w:val="left" w:pos="709"/>
        </w:tabs>
        <w:spacing w:line="264" w:lineRule="auto"/>
        <w:rPr>
          <w:rFonts w:ascii="Arial" w:eastAsia="Arial Unicode MS" w:hAnsi="Arial" w:cs="Arial"/>
          <w:i/>
          <w:iCs/>
          <w:szCs w:val="28"/>
          <w:bdr w:val="nil"/>
          <w:lang w:val="uk-UA"/>
        </w:rPr>
      </w:pPr>
      <w:r w:rsidRPr="00511005">
        <w:rPr>
          <w:rFonts w:ascii="Arial" w:eastAsia="Arial Unicode MS" w:hAnsi="Arial" w:cs="Arial"/>
          <w:b/>
          <w:i/>
          <w:iCs/>
          <w:szCs w:val="28"/>
          <w:bdr w:val="nil"/>
          <w:lang w:val="uk-UA"/>
        </w:rPr>
        <w:t xml:space="preserve">Науковий керівник: </w:t>
      </w:r>
      <w:r w:rsidR="00220D3E" w:rsidRPr="00511005">
        <w:rPr>
          <w:rFonts w:ascii="Arial" w:eastAsia="Arial Unicode MS" w:hAnsi="Arial" w:cs="Arial"/>
          <w:i/>
          <w:iCs/>
          <w:szCs w:val="28"/>
          <w:bdr w:val="nil"/>
          <w:lang w:val="uk-UA"/>
        </w:rPr>
        <w:t>к.ю.н., доцент Грушко М.В.</w:t>
      </w:r>
    </w:p>
    <w:p w14:paraId="3A2BC344"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i/>
          <w:iCs/>
          <w:szCs w:val="28"/>
          <w:bdr w:val="nil"/>
          <w:lang w:val="uk-UA"/>
        </w:rPr>
      </w:pPr>
    </w:p>
    <w:p w14:paraId="3BEEEBF5" w14:textId="77777777" w:rsidR="00220D3E" w:rsidRPr="00511005" w:rsidRDefault="00220D3E" w:rsidP="003A292D">
      <w:pPr>
        <w:pBdr>
          <w:top w:val="nil"/>
          <w:left w:val="nil"/>
          <w:bottom w:val="nil"/>
          <w:right w:val="nil"/>
          <w:between w:val="nil"/>
          <w:bar w:val="nil"/>
        </w:pBdr>
        <w:tabs>
          <w:tab w:val="left" w:pos="709"/>
        </w:tabs>
        <w:spacing w:line="264" w:lineRule="auto"/>
        <w:jc w:val="center"/>
        <w:rPr>
          <w:rFonts w:ascii="Arial" w:eastAsia="Times New Roman" w:hAnsi="Arial" w:cs="Arial"/>
          <w:i/>
          <w:szCs w:val="28"/>
          <w:bdr w:val="nil"/>
        </w:rPr>
      </w:pPr>
      <w:r w:rsidRPr="00511005">
        <w:rPr>
          <w:rFonts w:ascii="Arial" w:eastAsia="Arial Unicode MS" w:hAnsi="Arial" w:cs="Arial"/>
          <w:b/>
          <w:bCs/>
          <w:i/>
          <w:iCs/>
          <w:szCs w:val="28"/>
          <w:bdr w:val="nil"/>
        </w:rPr>
        <w:t>Волгіна Вікторія Ігорівна</w:t>
      </w:r>
    </w:p>
    <w:p w14:paraId="6475013F" w14:textId="344E422C" w:rsidR="007B2628" w:rsidRPr="00511005" w:rsidRDefault="00536AAB" w:rsidP="003A292D">
      <w:pPr>
        <w:pBdr>
          <w:top w:val="nil"/>
          <w:left w:val="nil"/>
          <w:bottom w:val="nil"/>
          <w:right w:val="nil"/>
          <w:between w:val="nil"/>
          <w:bar w:val="nil"/>
        </w:pBdr>
        <w:tabs>
          <w:tab w:val="left" w:pos="709"/>
        </w:tabs>
        <w:spacing w:line="264" w:lineRule="auto"/>
        <w:ind w:firstLine="0"/>
        <w:jc w:val="center"/>
        <w:rPr>
          <w:rFonts w:ascii="Arial" w:eastAsia="Arial Unicode MS" w:hAnsi="Arial" w:cs="Arial"/>
          <w:szCs w:val="28"/>
          <w:bdr w:val="nil"/>
          <w:lang w:val="uk-UA"/>
        </w:rPr>
      </w:pPr>
      <w:r w:rsidRPr="00511005">
        <w:rPr>
          <w:rFonts w:ascii="Arial" w:eastAsia="Arial Unicode MS" w:hAnsi="Arial" w:cs="Arial"/>
          <w:szCs w:val="28"/>
          <w:bdr w:val="nil"/>
        </w:rPr>
        <w:t xml:space="preserve">студентка 2-го курсу </w:t>
      </w:r>
      <w:r w:rsidR="001B7B25" w:rsidRPr="00511005">
        <w:rPr>
          <w:rFonts w:ascii="Arial" w:eastAsia="Arial Unicode MS" w:hAnsi="Arial" w:cs="Arial"/>
          <w:szCs w:val="28"/>
          <w:bdr w:val="nil"/>
        </w:rPr>
        <w:t>факультету судового та міжнародного права</w:t>
      </w:r>
    </w:p>
    <w:p w14:paraId="1ED7C0D1" w14:textId="5D667BDB" w:rsidR="00220D3E" w:rsidRPr="00511005" w:rsidRDefault="007B2628" w:rsidP="003A292D">
      <w:pPr>
        <w:pBdr>
          <w:top w:val="nil"/>
          <w:left w:val="nil"/>
          <w:bottom w:val="nil"/>
          <w:right w:val="nil"/>
          <w:between w:val="nil"/>
          <w:bar w:val="nil"/>
        </w:pBdr>
        <w:tabs>
          <w:tab w:val="left" w:pos="709"/>
        </w:tabs>
        <w:spacing w:line="264" w:lineRule="auto"/>
        <w:ind w:firstLine="0"/>
        <w:jc w:val="center"/>
        <w:rPr>
          <w:rFonts w:ascii="Arial" w:eastAsia="Arial Unicode MS" w:hAnsi="Arial" w:cs="Arial"/>
          <w:szCs w:val="28"/>
          <w:bdr w:val="nil"/>
        </w:rPr>
      </w:pPr>
      <w:r w:rsidRPr="00511005">
        <w:rPr>
          <w:rFonts w:ascii="Arial" w:eastAsia="Arial Unicode MS" w:hAnsi="Arial" w:cs="Arial"/>
          <w:szCs w:val="28"/>
          <w:bdr w:val="nil"/>
        </w:rPr>
        <w:t>Національного університету «Одеська юридична академія»</w:t>
      </w:r>
    </w:p>
    <w:p w14:paraId="560CC780" w14:textId="77777777" w:rsidR="00220D3E" w:rsidRPr="00511005" w:rsidRDefault="00220D3E" w:rsidP="003A292D">
      <w:pPr>
        <w:pBdr>
          <w:top w:val="nil"/>
          <w:left w:val="nil"/>
          <w:bottom w:val="nil"/>
          <w:right w:val="nil"/>
          <w:between w:val="nil"/>
          <w:bar w:val="nil"/>
        </w:pBdr>
        <w:tabs>
          <w:tab w:val="left" w:pos="709"/>
        </w:tabs>
        <w:spacing w:line="264" w:lineRule="auto"/>
        <w:ind w:firstLine="0"/>
        <w:jc w:val="center"/>
        <w:rPr>
          <w:rFonts w:ascii="Arial" w:eastAsia="Times New Roman" w:hAnsi="Arial" w:cs="Arial"/>
          <w:szCs w:val="28"/>
          <w:bdr w:val="nil"/>
        </w:rPr>
      </w:pPr>
    </w:p>
    <w:p w14:paraId="434E4E78" w14:textId="77777777" w:rsidR="00220D3E" w:rsidRPr="00511005" w:rsidRDefault="00220D3E" w:rsidP="003A292D">
      <w:pPr>
        <w:pBdr>
          <w:top w:val="nil"/>
          <w:left w:val="nil"/>
          <w:bottom w:val="nil"/>
          <w:right w:val="nil"/>
          <w:between w:val="nil"/>
          <w:bar w:val="nil"/>
        </w:pBdr>
        <w:tabs>
          <w:tab w:val="left" w:pos="709"/>
        </w:tabs>
        <w:spacing w:line="264" w:lineRule="auto"/>
        <w:ind w:firstLine="0"/>
        <w:jc w:val="center"/>
        <w:rPr>
          <w:rFonts w:ascii="Arial" w:eastAsia="Arial Unicode MS" w:hAnsi="Arial" w:cs="Arial"/>
          <w:b/>
          <w:bCs/>
          <w:szCs w:val="28"/>
          <w:bdr w:val="nil"/>
        </w:rPr>
      </w:pPr>
      <w:r w:rsidRPr="00511005">
        <w:rPr>
          <w:rFonts w:ascii="Arial" w:eastAsia="Arial Unicode MS" w:hAnsi="Arial" w:cs="Arial"/>
          <w:b/>
          <w:bCs/>
          <w:szCs w:val="28"/>
          <w:bdr w:val="nil"/>
        </w:rPr>
        <w:t>ПРАВОВІ НАСЛІДКИ ОГОЛОШЕННЯ ОСОБИ БЕЗВІСНО ВІДСУТНЬОЮ У МІЖНАРОДНОМУ ПРИВАТНОМУ ПРАВІ: КОЛІЗІЙНЕ РЕГУЛЮВАННЯ</w:t>
      </w:r>
    </w:p>
    <w:p w14:paraId="2E252AAF"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Times New Roman" w:hAnsi="Arial" w:cs="Arial"/>
          <w:szCs w:val="28"/>
          <w:bdr w:val="nil"/>
        </w:rPr>
        <w:t>Т</w:t>
      </w:r>
      <w:r w:rsidRPr="00511005">
        <w:rPr>
          <w:rFonts w:ascii="Arial" w:eastAsia="Arial Unicode MS" w:hAnsi="Arial" w:cs="Arial"/>
          <w:szCs w:val="28"/>
          <w:bdr w:val="nil"/>
        </w:rPr>
        <w:t xml:space="preserve">ема правових наслідків оголошення особи безвісно відсутньою у міжнародному приватному праві є виразно актуальною в умовах сучасних глобалізаційних процесів, збільшення міграції населення та воєнних дій. </w:t>
      </w:r>
      <w:r w:rsidRPr="00511005">
        <w:rPr>
          <w:rFonts w:ascii="Arial" w:eastAsia="Arial Unicode MS" w:hAnsi="Arial" w:cs="Arial"/>
          <w:szCs w:val="28"/>
          <w:bdr w:val="nil"/>
        </w:rPr>
        <w:lastRenderedPageBreak/>
        <w:t>Значна кількість випадків зникнень осіб через військові дії, терористичні акти, економічні кризи та наслідки стихійних лих вимагає чіткого правового регулювання статусу таких осіб у різних юрисдикціях. Складність визначення належного права, що підлягає застосуванню, та потреба в захисті прав самих осіб і їхніх родичів робить цю тему важливою для теорії та практики міжнародного приватного права.</w:t>
      </w:r>
    </w:p>
    <w:p w14:paraId="62E3544A" w14:textId="2C0CDB83"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Arial Unicode MS" w:hAnsi="Arial" w:cs="Arial"/>
          <w:szCs w:val="28"/>
          <w:bdr w:val="nil"/>
        </w:rPr>
        <w:t xml:space="preserve">Закон України «Про правовий статус осіб, зниклих безвісти» визначено, що особою, зниклою безвісти, вважається фізична особа, стосовно якої немає відомостей про її місцеперебування на момент подання заявником заяви про її розшук. При цьому особа, яка зникла безвісти в зоні збройного конфлікту під час проходження нею військової служби або за будь-яких інших обставин, що підтверджують факт перебування особи у цій зоні, буде вважатися особою, зниклою безвісти у зв’язку зі збройним конфліктом </w:t>
      </w:r>
      <w:r w:rsidRPr="00511005">
        <w:rPr>
          <w:rFonts w:ascii="Arial" w:eastAsia="Arial Unicode MS" w:hAnsi="Arial" w:cs="Arial"/>
          <w:szCs w:val="28"/>
          <w:bdr w:val="nil"/>
          <w:lang w:val="pt-PT"/>
        </w:rPr>
        <w:t>[1].</w:t>
      </w:r>
      <w:r w:rsidRPr="00511005">
        <w:rPr>
          <w:rFonts w:ascii="Arial" w:eastAsia="Arial Unicode MS" w:hAnsi="Arial" w:cs="Arial"/>
          <w:szCs w:val="28"/>
          <w:bdr w:val="nil"/>
        </w:rPr>
        <w:t xml:space="preserve"> У міжнародному приватному праві колізійне регулювання статусу безвісно відсутньої особи має ключове значення для визначення того, яке національне право буде застосовуватися у конкретному випадку. Як правило, основним принципом виступає застосування права держави останнього місця проживання особи або її громадянства. Це положення закріплено у статті 20 Закону України «Про міжнародне приватне право», відповідно до якої підстави та правові наслідки визнання фізичної особи безвісно відсутньою або оголошення її померлою визначаються останнім із відомих особистих законів такої особи. Водночас, відповідно до статті 16 зазначеного Закону, особистим законом фізичної особи є або право держави її громадянства, тобто держави, громадянином якої вона є, або право держави найбільш тісного зв’язку — держави, у якій особа має постійне місце проживання (перебування) або здійснює основну діяльність. Доречно також було б звернути увагу на відповідні положення Закону України «Про правовий статус осіб, зниклих безвісти» від 12.07.2018р</w:t>
      </w:r>
      <w:r w:rsidRPr="00511005">
        <w:rPr>
          <w:rFonts w:ascii="Arial" w:eastAsia="Arial Unicode MS" w:hAnsi="Arial" w:cs="Arial"/>
          <w:szCs w:val="28"/>
          <w:bdr w:val="nil"/>
          <w:lang w:val="pt-PT"/>
        </w:rPr>
        <w:t xml:space="preserve">. No 2505-VIII. </w:t>
      </w:r>
      <w:r w:rsidRPr="00511005">
        <w:rPr>
          <w:rFonts w:ascii="Arial" w:eastAsia="Arial Unicode MS" w:hAnsi="Arial" w:cs="Arial"/>
          <w:szCs w:val="28"/>
          <w:bdr w:val="nil"/>
        </w:rPr>
        <w:t xml:space="preserve">У ст. 4 даного Закону України визначено, що «іноземець чи особа без громадянства, яка зникла на території України, набуває правового статусу особи, зниклої безвісти, в порядку, передбаченому цим Законом, якщо така особа перебувала на території України на законних підставах» </w:t>
      </w:r>
      <w:r w:rsidRPr="00511005">
        <w:rPr>
          <w:rFonts w:ascii="Arial" w:eastAsia="Arial Unicode MS" w:hAnsi="Arial" w:cs="Arial"/>
          <w:szCs w:val="28"/>
          <w:bdr w:val="nil"/>
          <w:lang w:val="pt-PT"/>
        </w:rPr>
        <w:t>[</w:t>
      </w:r>
      <w:r w:rsidRPr="00511005">
        <w:rPr>
          <w:rFonts w:ascii="Arial" w:eastAsia="Arial Unicode MS" w:hAnsi="Arial" w:cs="Arial"/>
          <w:szCs w:val="28"/>
          <w:bdr w:val="nil"/>
        </w:rPr>
        <w:t>2</w:t>
      </w:r>
      <w:r w:rsidRPr="00511005">
        <w:rPr>
          <w:rFonts w:ascii="Arial" w:eastAsia="Arial Unicode MS" w:hAnsi="Arial" w:cs="Arial"/>
          <w:szCs w:val="28"/>
          <w:bdr w:val="nil"/>
          <w:lang w:val="pt-PT"/>
        </w:rPr>
        <w:t xml:space="preserve">]. </w:t>
      </w:r>
      <w:r w:rsidRPr="00511005">
        <w:rPr>
          <w:rFonts w:ascii="Arial" w:eastAsia="Arial Unicode MS" w:hAnsi="Arial" w:cs="Arial"/>
          <w:szCs w:val="28"/>
          <w:bdr w:val="nil"/>
        </w:rPr>
        <w:t xml:space="preserve">Водночас законодавство інших країн пропонує схожі, проте дещо відмінні підходи до цієї проблематики. Французьке, німецьке та італійське право також базуються на принципі </w:t>
      </w:r>
      <w:r w:rsidRPr="00511005">
        <w:rPr>
          <w:rFonts w:ascii="Arial" w:eastAsia="Arial Unicode MS" w:hAnsi="Arial" w:cs="Arial"/>
          <w:i/>
          <w:iCs/>
          <w:szCs w:val="28"/>
          <w:bdr w:val="nil"/>
        </w:rPr>
        <w:t>lex domicilii</w:t>
      </w:r>
      <w:r w:rsidRPr="00511005">
        <w:rPr>
          <w:rFonts w:ascii="Arial" w:eastAsia="Arial Unicode MS" w:hAnsi="Arial" w:cs="Arial"/>
          <w:szCs w:val="28"/>
          <w:bdr w:val="nil"/>
        </w:rPr>
        <w:t xml:space="preserve"> — застосування права країни, де особа мала доміцилій або звичне місце проживання. Однак на практиці можуть виникати складнощі у визначенні саме останнього доміцилію, особливо у випадках вимушеної міграції або біженства. У Німеччині відповідно </w:t>
      </w:r>
      <w:proofErr w:type="gramStart"/>
      <w:r w:rsidRPr="00511005">
        <w:rPr>
          <w:rFonts w:ascii="Arial" w:eastAsia="Arial Unicode MS" w:hAnsi="Arial" w:cs="Arial"/>
          <w:szCs w:val="28"/>
          <w:bdr w:val="nil"/>
        </w:rPr>
        <w:t>до закону</w:t>
      </w:r>
      <w:proofErr w:type="gramEnd"/>
      <w:r w:rsidRPr="00511005">
        <w:rPr>
          <w:rFonts w:ascii="Arial" w:eastAsia="Arial Unicode MS" w:hAnsi="Arial" w:cs="Arial"/>
          <w:szCs w:val="28"/>
          <w:bdr w:val="nil"/>
        </w:rPr>
        <w:t xml:space="preserve"> </w:t>
      </w:r>
      <w:r w:rsidRPr="00511005">
        <w:rPr>
          <w:rFonts w:ascii="Arial" w:eastAsia="Arial Unicode MS" w:hAnsi="Arial" w:cs="Arial"/>
          <w:i/>
          <w:iCs/>
          <w:szCs w:val="28"/>
          <w:bdr w:val="nil"/>
          <w:lang w:val="de-DE"/>
        </w:rPr>
        <w:t>Verschollenheitsgesetz</w:t>
      </w:r>
      <w:r w:rsidRPr="00511005">
        <w:rPr>
          <w:rFonts w:ascii="Arial" w:eastAsia="Arial Unicode MS" w:hAnsi="Arial" w:cs="Arial"/>
          <w:szCs w:val="28"/>
          <w:bdr w:val="nil"/>
        </w:rPr>
        <w:t xml:space="preserve"> 1939 року особу можуть оголосити безвісно відсутньою якщо її місцезнаходження невідоме протягом тривалого часу без будь-якої інформації про те, чи була вона ще живою, чи померла протягом цього часу, за умови, що обставини викликають серйозні </w:t>
      </w:r>
      <w:r w:rsidRPr="00511005">
        <w:rPr>
          <w:rFonts w:ascii="Arial" w:eastAsia="Arial Unicode MS" w:hAnsi="Arial" w:cs="Arial"/>
          <w:szCs w:val="28"/>
          <w:bdr w:val="nil"/>
        </w:rPr>
        <w:lastRenderedPageBreak/>
        <w:t xml:space="preserve">сумніви щодо її подальшого існування </w:t>
      </w:r>
      <w:r w:rsidRPr="00511005">
        <w:rPr>
          <w:rFonts w:ascii="Arial" w:eastAsia="Arial Unicode MS" w:hAnsi="Arial" w:cs="Arial"/>
          <w:szCs w:val="28"/>
          <w:bdr w:val="nil"/>
          <w:lang w:val="pt-PT"/>
        </w:rPr>
        <w:t>[</w:t>
      </w:r>
      <w:r w:rsidRPr="00511005">
        <w:rPr>
          <w:rFonts w:ascii="Arial" w:eastAsia="Arial Unicode MS" w:hAnsi="Arial" w:cs="Arial"/>
          <w:szCs w:val="28"/>
          <w:bdr w:val="nil"/>
        </w:rPr>
        <w:t>3</w:t>
      </w:r>
      <w:r w:rsidRPr="00511005">
        <w:rPr>
          <w:rFonts w:ascii="Arial" w:eastAsia="Arial Unicode MS" w:hAnsi="Arial" w:cs="Arial"/>
          <w:szCs w:val="28"/>
          <w:bdr w:val="nil"/>
          <w:lang w:val="pt-PT"/>
        </w:rPr>
        <w:t>].</w:t>
      </w:r>
      <w:r w:rsidR="007B2628" w:rsidRPr="00511005">
        <w:rPr>
          <w:rFonts w:ascii="Arial" w:eastAsia="Arial Unicode MS" w:hAnsi="Arial" w:cs="Arial"/>
          <w:szCs w:val="28"/>
          <w:bdr w:val="nil"/>
        </w:rPr>
        <w:t xml:space="preserve"> </w:t>
      </w:r>
      <w:r w:rsidRPr="00511005">
        <w:rPr>
          <w:rFonts w:ascii="Arial" w:eastAsia="Arial Unicode MS" w:hAnsi="Arial" w:cs="Arial"/>
          <w:szCs w:val="28"/>
          <w:bdr w:val="nil"/>
        </w:rPr>
        <w:t>Французьке законодавство (ст. 112–143 Цивільного кодексу) передбачає дво</w:t>
      </w:r>
      <w:r w:rsidRPr="00511005">
        <w:rPr>
          <w:rFonts w:ascii="Arial" w:eastAsia="Arial Unicode MS" w:hAnsi="Arial" w:cs="Arial"/>
          <w:szCs w:val="28"/>
          <w:bdr w:val="nil"/>
          <w:lang w:val="uk-UA"/>
        </w:rPr>
        <w:t>рівне</w:t>
      </w:r>
      <w:r w:rsidRPr="00511005">
        <w:rPr>
          <w:rFonts w:ascii="Arial" w:eastAsia="Arial Unicode MS" w:hAnsi="Arial" w:cs="Arial"/>
          <w:szCs w:val="28"/>
          <w:bdr w:val="nil"/>
        </w:rPr>
        <w:t xml:space="preserve">ву модель: спочатку суд </w:t>
      </w:r>
      <w:r w:rsidRPr="00511005">
        <w:rPr>
          <w:rFonts w:ascii="Arial" w:eastAsia="Arial Unicode MS" w:hAnsi="Arial" w:cs="Arial"/>
          <w:szCs w:val="28"/>
          <w:bdr w:val="nil"/>
          <w:lang w:val="uk-UA"/>
        </w:rPr>
        <w:t>може визнати особу такою, що зникла</w:t>
      </w:r>
      <w:r w:rsidRPr="00511005">
        <w:rPr>
          <w:rFonts w:ascii="Arial" w:eastAsia="Arial Unicode MS" w:hAnsi="Arial" w:cs="Arial"/>
          <w:szCs w:val="28"/>
          <w:bdr w:val="nil"/>
        </w:rPr>
        <w:t xml:space="preserve"> (</w:t>
      </w:r>
      <w:r w:rsidRPr="00511005">
        <w:rPr>
          <w:rFonts w:ascii="Arial" w:eastAsia="Arial Unicode MS" w:hAnsi="Arial" w:cs="Arial"/>
          <w:i/>
          <w:iCs/>
          <w:szCs w:val="28"/>
          <w:bdr w:val="nil"/>
        </w:rPr>
        <w:t>pr</w:t>
      </w:r>
      <w:r w:rsidRPr="00511005">
        <w:rPr>
          <w:rFonts w:ascii="Arial" w:eastAsia="Arial Unicode MS" w:hAnsi="Arial" w:cs="Arial"/>
          <w:i/>
          <w:iCs/>
          <w:szCs w:val="28"/>
          <w:bdr w:val="nil"/>
          <w:lang w:val="fr-FR"/>
        </w:rPr>
        <w:t>ésomption d'absence</w:t>
      </w:r>
      <w:r w:rsidRPr="00511005">
        <w:rPr>
          <w:rFonts w:ascii="Arial" w:eastAsia="Arial Unicode MS" w:hAnsi="Arial" w:cs="Arial"/>
          <w:szCs w:val="28"/>
          <w:bdr w:val="nil"/>
        </w:rPr>
        <w:t>), а з</w:t>
      </w:r>
      <w:r w:rsidRPr="00511005">
        <w:rPr>
          <w:rFonts w:ascii="Arial" w:eastAsia="Arial Unicode MS" w:hAnsi="Arial" w:cs="Arial"/>
          <w:szCs w:val="28"/>
          <w:bdr w:val="nil"/>
          <w:lang w:val="uk-UA"/>
        </w:rPr>
        <w:t xml:space="preserve">а тривалої відсутності </w:t>
      </w:r>
      <w:r w:rsidRPr="00511005">
        <w:rPr>
          <w:rFonts w:ascii="Arial" w:eastAsia="Arial Unicode MS" w:hAnsi="Arial" w:cs="Arial"/>
          <w:szCs w:val="28"/>
          <w:bdr w:val="nil"/>
        </w:rPr>
        <w:t>—</w:t>
      </w:r>
      <w:r w:rsidR="007B2628" w:rsidRPr="00511005">
        <w:rPr>
          <w:rFonts w:ascii="Arial" w:eastAsia="Arial Unicode MS" w:hAnsi="Arial" w:cs="Arial"/>
          <w:szCs w:val="28"/>
          <w:bdr w:val="nil"/>
        </w:rPr>
        <w:t xml:space="preserve"> </w:t>
      </w:r>
      <w:r w:rsidRPr="00511005">
        <w:rPr>
          <w:rFonts w:ascii="Arial" w:eastAsia="Arial Unicode MS" w:hAnsi="Arial" w:cs="Arial"/>
          <w:szCs w:val="28"/>
          <w:bdr w:val="nil"/>
          <w:lang w:val="uk-UA"/>
        </w:rPr>
        <w:t>оголосити її</w:t>
      </w:r>
      <w:r w:rsidR="007B2628" w:rsidRPr="00511005">
        <w:rPr>
          <w:rFonts w:ascii="Arial" w:eastAsia="Arial Unicode MS" w:hAnsi="Arial" w:cs="Arial"/>
          <w:szCs w:val="28"/>
          <w:bdr w:val="nil"/>
          <w:lang w:val="uk-UA"/>
        </w:rPr>
        <w:t xml:space="preserve"> </w:t>
      </w:r>
      <w:r w:rsidRPr="00511005">
        <w:rPr>
          <w:rFonts w:ascii="Arial" w:eastAsia="Arial Unicode MS" w:hAnsi="Arial" w:cs="Arial"/>
          <w:szCs w:val="28"/>
          <w:bdr w:val="nil"/>
        </w:rPr>
        <w:t>померлою. Відповідно до статті 112 Цивільного кодексу Франції, у випадку, якщо особа перестає з’являтися за місцем свого постійного проживання і від неї немає жодних звісток, може бути відкрито провадження щодо визнання її відсутньою. Законодавець виходить із п</w:t>
      </w:r>
      <w:r w:rsidRPr="00511005">
        <w:rPr>
          <w:rFonts w:ascii="Arial" w:eastAsia="Arial Unicode MS" w:hAnsi="Arial" w:cs="Arial"/>
          <w:szCs w:val="28"/>
          <w:bdr w:val="nil"/>
          <w:lang w:val="uk-UA"/>
        </w:rPr>
        <w:t>рипущення</w:t>
      </w:r>
      <w:r w:rsidRPr="00511005">
        <w:rPr>
          <w:rFonts w:ascii="Arial" w:eastAsia="Arial Unicode MS" w:hAnsi="Arial" w:cs="Arial"/>
          <w:szCs w:val="28"/>
          <w:bdr w:val="nil"/>
        </w:rPr>
        <w:t xml:space="preserve">, що відсутність особи без повідомлення може загрожувати її майновим інтересам, а також інтересам її родини та третіх осіб. Відповідно до статті 122, суд може ухвалити рішення про визнання особи безвісно відсутньою після закінчення чотирирічного строку від дня останніх відомостей про особу або від початку її фізичної відсутності. За наявності обставин, що дозволяють припустити смерть особи, цей строк може бути скорочено. Водночас стаття 130 передбачає можливість скасування декларації про безвісну відсутність у випадку появи особи або отримання новин, які підтверджують її живу присутність </w:t>
      </w:r>
      <w:r w:rsidRPr="00511005">
        <w:rPr>
          <w:rFonts w:ascii="Arial" w:eastAsia="Arial Unicode MS" w:hAnsi="Arial" w:cs="Arial"/>
          <w:szCs w:val="28"/>
          <w:bdr w:val="nil"/>
          <w:lang w:val="pt-PT"/>
        </w:rPr>
        <w:t>[4].</w:t>
      </w:r>
      <w:r w:rsidRPr="00511005">
        <w:rPr>
          <w:rFonts w:ascii="Arial" w:eastAsia="Arial Unicode MS" w:hAnsi="Arial" w:cs="Arial"/>
          <w:szCs w:val="28"/>
          <w:bdr w:val="nil"/>
        </w:rPr>
        <w:t xml:space="preserve"> Таким чином, хоча кожна держава встановлює власні критерії часу та процедурні вимоги, спільною рисою залишається потреба в судовому визнанні відсутності та захисті інтересів самої особи та її правонаступників.</w:t>
      </w:r>
    </w:p>
    <w:p w14:paraId="4625771F"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shd w:val="clear" w:color="auto" w:fill="FFFFFF"/>
        </w:rPr>
      </w:pPr>
      <w:r w:rsidRPr="00511005">
        <w:rPr>
          <w:rFonts w:ascii="Arial" w:eastAsia="Arial Unicode MS" w:hAnsi="Arial" w:cs="Arial"/>
          <w:szCs w:val="28"/>
          <w:bdr w:val="nil"/>
          <w:shd w:val="clear" w:color="auto" w:fill="FFFFFF"/>
        </w:rPr>
        <w:t>Разом із цим варто враховувати, що за наявності декількох підстав для застосування різних правових систем (наприклад, у разі подвійного громадянства або переміщення особи між країнами) можуть виникати конфлікти норм. У таких випадках суди зазвичай надають перевагу праву держави, з якою особа була найбільш тісно пов'язана на момент зникнення (</w:t>
      </w:r>
      <w:r w:rsidRPr="00511005">
        <w:rPr>
          <w:rFonts w:ascii="Arial" w:eastAsia="Arial Unicode MS" w:hAnsi="Arial" w:cs="Arial"/>
          <w:i/>
          <w:iCs/>
          <w:szCs w:val="28"/>
          <w:bdr w:val="nil"/>
          <w:shd w:val="clear" w:color="auto" w:fill="FFFFFF"/>
        </w:rPr>
        <w:t>closest connection test</w:t>
      </w:r>
      <w:r w:rsidRPr="00511005">
        <w:rPr>
          <w:rFonts w:ascii="Arial" w:eastAsia="Arial Unicode MS" w:hAnsi="Arial" w:cs="Arial"/>
          <w:szCs w:val="28"/>
          <w:bdr w:val="nil"/>
          <w:shd w:val="clear" w:color="auto" w:fill="FFFFFF"/>
        </w:rPr>
        <w:t>).</w:t>
      </w:r>
    </w:p>
    <w:p w14:paraId="2657AABE"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Arial Unicode MS" w:hAnsi="Arial" w:cs="Arial"/>
          <w:szCs w:val="28"/>
          <w:bdr w:val="nil"/>
        </w:rPr>
        <w:t xml:space="preserve">Після офіційного оголошення особи безвісно відсутньою виникають важливі правові наслідки щодо її статусу. В Україні відповідно до статті 44 Цивільного кодексу майно безвісно відсутнього передається в управління опікуну, який має діяти в інтересах зниклого </w:t>
      </w:r>
      <w:r w:rsidRPr="00511005">
        <w:rPr>
          <w:rFonts w:ascii="Arial" w:eastAsia="Arial Unicode MS" w:hAnsi="Arial" w:cs="Arial"/>
          <w:szCs w:val="28"/>
          <w:bdr w:val="nil"/>
          <w:lang w:val="pt-PT"/>
        </w:rPr>
        <w:t>[</w:t>
      </w:r>
      <w:r w:rsidRPr="00511005">
        <w:rPr>
          <w:rFonts w:ascii="Arial" w:eastAsia="Arial Unicode MS" w:hAnsi="Arial" w:cs="Arial"/>
          <w:szCs w:val="28"/>
          <w:bdr w:val="nil"/>
        </w:rPr>
        <w:t>5</w:t>
      </w:r>
      <w:r w:rsidRPr="00511005">
        <w:rPr>
          <w:rFonts w:ascii="Arial" w:eastAsia="Arial Unicode MS" w:hAnsi="Arial" w:cs="Arial"/>
          <w:szCs w:val="28"/>
          <w:bdr w:val="nil"/>
          <w:lang w:val="pt-PT"/>
        </w:rPr>
        <w:t>].</w:t>
      </w:r>
      <w:r w:rsidRPr="00511005">
        <w:rPr>
          <w:rFonts w:ascii="Arial" w:eastAsia="Arial Unicode MS" w:hAnsi="Arial" w:cs="Arial"/>
          <w:szCs w:val="28"/>
          <w:bdr w:val="nil"/>
        </w:rPr>
        <w:t xml:space="preserve"> У Німеччині також передбачається захист прав зниклого через інститут призначення "</w:t>
      </w:r>
      <w:r w:rsidRPr="00511005">
        <w:rPr>
          <w:rFonts w:ascii="Arial" w:eastAsia="Arial Unicode MS" w:hAnsi="Arial" w:cs="Arial"/>
          <w:szCs w:val="28"/>
          <w:bdr w:val="nil"/>
          <w:lang w:val="de-DE"/>
        </w:rPr>
        <w:t>Pfleger</w:t>
      </w:r>
      <w:r w:rsidRPr="00511005">
        <w:rPr>
          <w:rFonts w:ascii="Arial" w:eastAsia="Arial Unicode MS" w:hAnsi="Arial" w:cs="Arial"/>
          <w:szCs w:val="28"/>
          <w:bdr w:val="nil"/>
        </w:rPr>
        <w:t>" (опікуна), який управляє активами відповідно до настанов суду. У Франції адміністрація майна здійснюється тимчасовим адміністратором, обов'язком якого є збереження активів до повернення особи або її офіційного визнання померлою. Таким чином, у більшості країн виникає особливий режим управління майном безвісно відсутніх осіб із тимчасовим обмеженням здійснення їхніх майнових прав.</w:t>
      </w:r>
    </w:p>
    <w:p w14:paraId="0C3E03A2"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Arial Unicode MS" w:hAnsi="Arial" w:cs="Arial"/>
          <w:szCs w:val="28"/>
          <w:bdr w:val="nil"/>
        </w:rPr>
        <w:t xml:space="preserve">Окрему увагу слід приділити міжнародному частковому уніфікуванню норм у цій сфері. Попри те, що у світі немає єдиної універсальної конвенції саме про безвісно відсутніх осіб, існують певні міжнародні документи, які частково регулюють пов’язані питання. Зокрема, Гаазька конвенція 1980 року про цивільні аспекти міжнародного викрадення дітей встановлює правила повернення осіб, що зникли внаслідок викрадення, а Гаазька </w:t>
      </w:r>
      <w:r w:rsidRPr="00511005">
        <w:rPr>
          <w:rFonts w:ascii="Arial" w:eastAsia="Arial Unicode MS" w:hAnsi="Arial" w:cs="Arial"/>
          <w:szCs w:val="28"/>
          <w:bdr w:val="nil"/>
        </w:rPr>
        <w:lastRenderedPageBreak/>
        <w:t>конвенція 1973 року про розпорядження спадковим майном визначає застосовне право у питаннях спадкування, включно із ситуаціями безвісної відсутності. У європейському правовому просторі важливим інструментом є Регламент (ЄС) № 650/2012, який визначає загальні колізійні правила щодо спадкування в межах Європейського Союзу та дозволяє забезпечити гармонізацію підходів до спадщини безвісно відсутніх осіб. Незважаючи на наявність розвинених процедур, залишаються труднощі у доказуванні факту відсутності особи за кордоном, визначення застосовного права у складних транснаціональних справах, а також можливість зловживання процедурами розподілу майна безвісно відсутніх. В умовах глобалізації потрібне подальше зближення законодавств, наприклад шляхом прийняття універсальних моделей, розроблених під егідою Гаазької конференції з міжнародного приватного права. Одним із перспективних напрямків розвитку може стати створення єдиної європейської бази зниклих осіб та запровадження єдиної форми судового рішення, яке визнаватиметься у всіх країнах-членах ЄС.</w:t>
      </w:r>
    </w:p>
    <w:p w14:paraId="421E11B4"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rPr>
      </w:pPr>
      <w:r w:rsidRPr="00511005">
        <w:rPr>
          <w:rFonts w:ascii="Arial" w:eastAsia="Times New Roman" w:hAnsi="Arial" w:cs="Arial"/>
          <w:szCs w:val="28"/>
          <w:bdr w:val="nil"/>
        </w:rPr>
        <w:tab/>
      </w:r>
      <w:r w:rsidRPr="00511005">
        <w:rPr>
          <w:rFonts w:ascii="Arial" w:eastAsia="Arial Unicode MS" w:hAnsi="Arial" w:cs="Arial"/>
          <w:szCs w:val="28"/>
          <w:bdr w:val="nil"/>
        </w:rPr>
        <w:t>Правові наслідки оголошення особи безвісно відсутньою мають важливе значення для забезпечення прав та інтересів як самих осіб, так і їх родичів, а також інших зацікавлених осіб у різних юрисдикціях. Визнання особи безвісно відсутньою передбачає низку правових процедур, які варіюються залежно від національних систем права. В Україні, Франції, Німеччині та інших країнах застосовуються схожі підходи до визнання особи безвісно відсутньою, однак кожна юрисдикція має свої особливості в регулюванні цих питань. На міжнародному рівні колізійне регулювання статусу безвісно відсутньої особи потребує гармонізації, оскільки у різних країнах застосовуються різні підходи до визначення правового статусу таких осіб. Таким чином, питання правових наслідків оголошення особи безвісно відсутньою є важливим і потребує подальшого дослідження та вдосконалення правового регулювання, зокрема в контексті міжнародного приватного права. Застосування ефективних і гармонізованих норм на міжнародному рівні може сприяти більш узгодженому правовому регулюванню та захисту прав, як самих безвісно відсутніх, так і та їхніх родичів.</w:t>
      </w:r>
    </w:p>
    <w:p w14:paraId="1699F48B" w14:textId="77777777" w:rsidR="00220D3E" w:rsidRPr="00511005" w:rsidRDefault="00220D3E" w:rsidP="003A292D">
      <w:pPr>
        <w:pBdr>
          <w:top w:val="nil"/>
          <w:left w:val="nil"/>
          <w:bottom w:val="nil"/>
          <w:right w:val="nil"/>
          <w:between w:val="nil"/>
          <w:bar w:val="nil"/>
        </w:pBdr>
        <w:tabs>
          <w:tab w:val="left" w:pos="709"/>
        </w:tabs>
        <w:spacing w:line="264" w:lineRule="auto"/>
        <w:jc w:val="center"/>
        <w:rPr>
          <w:rFonts w:ascii="Arial" w:eastAsia="Arial Unicode MS" w:hAnsi="Arial" w:cs="Arial"/>
          <w:b/>
          <w:bCs/>
          <w:szCs w:val="28"/>
          <w:bdr w:val="nil"/>
          <w:lang w:val="uk-UA"/>
        </w:rPr>
      </w:pPr>
    </w:p>
    <w:p w14:paraId="2B473D48" w14:textId="0EAFD68D" w:rsidR="00220D3E" w:rsidRPr="00511005" w:rsidRDefault="007B2628" w:rsidP="007B2628">
      <w:pPr>
        <w:pBdr>
          <w:top w:val="nil"/>
          <w:left w:val="nil"/>
          <w:bottom w:val="nil"/>
          <w:right w:val="nil"/>
          <w:between w:val="nil"/>
          <w:bar w:val="nil"/>
        </w:pBdr>
        <w:tabs>
          <w:tab w:val="left" w:pos="709"/>
        </w:tabs>
        <w:spacing w:line="264" w:lineRule="auto"/>
        <w:jc w:val="center"/>
        <w:rPr>
          <w:rFonts w:ascii="Arial" w:eastAsia="Times New Roman" w:hAnsi="Arial" w:cs="Arial"/>
          <w:b/>
          <w:bCs/>
          <w:szCs w:val="28"/>
          <w:bdr w:val="nil"/>
        </w:rPr>
      </w:pPr>
      <w:r w:rsidRPr="00511005">
        <w:rPr>
          <w:rFonts w:ascii="Arial" w:eastAsia="Arial Unicode MS" w:hAnsi="Arial" w:cs="Arial"/>
          <w:b/>
          <w:bCs/>
          <w:szCs w:val="28"/>
          <w:bdr w:val="nil"/>
          <w:lang w:val="uk-UA"/>
        </w:rPr>
        <w:t>Список використаних джерел</w:t>
      </w:r>
    </w:p>
    <w:p w14:paraId="6706C341" w14:textId="77777777" w:rsidR="00220D3E" w:rsidRPr="00511005" w:rsidRDefault="00220D3E" w:rsidP="003F6A5D">
      <w:pPr>
        <w:numPr>
          <w:ilvl w:val="0"/>
          <w:numId w:val="165"/>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rPr>
      </w:pPr>
      <w:r w:rsidRPr="00511005">
        <w:rPr>
          <w:rFonts w:ascii="Arial" w:eastAsia="Arial Unicode MS" w:hAnsi="Arial" w:cs="Arial"/>
          <w:szCs w:val="28"/>
          <w:bdr w:val="nil"/>
        </w:rPr>
        <w:t xml:space="preserve">Процедура визнання особи безвісно відсутньою під час воєнного стану. </w:t>
      </w:r>
      <w:r w:rsidRPr="00511005">
        <w:rPr>
          <w:rFonts w:ascii="Arial" w:eastAsia="Arial Unicode MS" w:hAnsi="Arial" w:cs="Arial"/>
          <w:i/>
          <w:iCs/>
          <w:szCs w:val="28"/>
          <w:bdr w:val="nil"/>
        </w:rPr>
        <w:t>ЮрФем.ua</w:t>
      </w:r>
      <w:r w:rsidRPr="00511005">
        <w:rPr>
          <w:rFonts w:ascii="Arial" w:eastAsia="Arial Unicode MS" w:hAnsi="Arial" w:cs="Arial"/>
          <w:szCs w:val="28"/>
          <w:bdr w:val="nil"/>
        </w:rPr>
        <w:t xml:space="preserve">. URL: </w:t>
      </w:r>
      <w:hyperlink r:id="rId241" w:history="1">
        <w:r w:rsidRPr="00511005">
          <w:rPr>
            <w:rFonts w:ascii="Arial" w:eastAsia="Arial Unicode MS" w:hAnsi="Arial" w:cs="Arial"/>
            <w:szCs w:val="28"/>
            <w:u w:color="0563C1"/>
            <w:bdr w:val="nil"/>
            <w:lang w:val="en-US"/>
          </w:rPr>
          <w:t>https</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jurfem</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com</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ua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protsedura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vyznannya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osoby</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bezvisno</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vidsutnyoyu</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pid</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chas</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voennoho</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stanu</w:t>
        </w:r>
        <w:r w:rsidRPr="00511005">
          <w:rPr>
            <w:rFonts w:ascii="Arial" w:eastAsia="Arial Unicode MS" w:hAnsi="Arial" w:cs="Arial"/>
            <w:szCs w:val="28"/>
            <w:u w:color="0563C1"/>
            <w:bdr w:val="nil"/>
          </w:rPr>
          <w:t>/</w:t>
        </w:r>
      </w:hyperlink>
      <w:r w:rsidRPr="00511005">
        <w:rPr>
          <w:rFonts w:ascii="Arial" w:eastAsia="Arial Unicode MS" w:hAnsi="Arial" w:cs="Arial"/>
          <w:szCs w:val="28"/>
          <w:bdr w:val="nil"/>
        </w:rPr>
        <w:t>.</w:t>
      </w:r>
    </w:p>
    <w:p w14:paraId="097D7520" w14:textId="77777777" w:rsidR="00220D3E" w:rsidRPr="00511005" w:rsidRDefault="00220D3E" w:rsidP="003F6A5D">
      <w:pPr>
        <w:numPr>
          <w:ilvl w:val="0"/>
          <w:numId w:val="165"/>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rPr>
      </w:pPr>
      <w:r w:rsidRPr="00511005">
        <w:rPr>
          <w:rFonts w:ascii="Arial" w:eastAsia="Arial Unicode MS" w:hAnsi="Arial" w:cs="Arial"/>
          <w:szCs w:val="28"/>
          <w:bdr w:val="nil"/>
        </w:rPr>
        <w:t xml:space="preserve">Сівак І. В. Інститут визнання особи безвісно відсутньою або оголошення її померлою: особливості у міжнародному приватному праві. </w:t>
      </w:r>
      <w:r w:rsidRPr="00511005">
        <w:rPr>
          <w:rFonts w:ascii="Arial" w:eastAsia="Arial Unicode MS" w:hAnsi="Arial" w:cs="Arial"/>
          <w:i/>
          <w:iCs/>
          <w:szCs w:val="28"/>
          <w:bdr w:val="nil"/>
        </w:rPr>
        <w:t>Репозитарій ОНУ імені І.І.Мечникова</w:t>
      </w:r>
      <w:r w:rsidRPr="00511005">
        <w:rPr>
          <w:rFonts w:ascii="Arial" w:eastAsia="Arial Unicode MS" w:hAnsi="Arial" w:cs="Arial"/>
          <w:szCs w:val="28"/>
          <w:bdr w:val="nil"/>
        </w:rPr>
        <w:t xml:space="preserve">. URL: </w:t>
      </w:r>
      <w:hyperlink r:id="rId242" w:history="1">
        <w:r w:rsidRPr="00511005">
          <w:rPr>
            <w:rFonts w:ascii="Arial" w:eastAsia="Arial Unicode MS" w:hAnsi="Arial" w:cs="Arial"/>
            <w:szCs w:val="28"/>
            <w:u w:color="0563C1"/>
            <w:bdr w:val="nil"/>
            <w:lang w:val="en-US"/>
          </w:rPr>
          <w:t>https</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dspace</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onu</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edu</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ua</w:t>
        </w:r>
        <w:r w:rsidRPr="00511005">
          <w:rPr>
            <w:rFonts w:ascii="Arial" w:eastAsia="Arial Unicode MS" w:hAnsi="Arial" w:cs="Arial"/>
            <w:szCs w:val="28"/>
            <w:u w:color="0563C1"/>
            <w:bdr w:val="nil"/>
          </w:rPr>
          <w:t>/</w:t>
        </w:r>
        <w:r w:rsidRPr="00511005">
          <w:rPr>
            <w:rFonts w:ascii="Arial" w:eastAsia="Arial Unicode MS" w:hAnsi="Arial" w:cs="Arial"/>
            <w:szCs w:val="28"/>
            <w:u w:color="0563C1"/>
            <w:bdr w:val="nil"/>
            <w:lang w:val="en-US"/>
          </w:rPr>
          <w:t>items</w:t>
        </w:r>
        <w:r w:rsidRPr="00511005">
          <w:rPr>
            <w:rFonts w:ascii="Arial" w:eastAsia="Arial Unicode MS" w:hAnsi="Arial" w:cs="Arial"/>
            <w:szCs w:val="28"/>
            <w:u w:color="0563C1"/>
            <w:bdr w:val="nil"/>
          </w:rPr>
          <w:t>/6</w:t>
        </w:r>
        <w:r w:rsidRPr="00511005">
          <w:rPr>
            <w:rFonts w:ascii="Arial" w:eastAsia="Arial Unicode MS" w:hAnsi="Arial" w:cs="Arial"/>
            <w:szCs w:val="28"/>
            <w:u w:color="0563C1"/>
            <w:bdr w:val="nil"/>
            <w:lang w:val="en-US"/>
          </w:rPr>
          <w:t>f</w:t>
        </w:r>
        <w:r w:rsidRPr="00511005">
          <w:rPr>
            <w:rFonts w:ascii="Arial" w:eastAsia="Arial Unicode MS" w:hAnsi="Arial" w:cs="Arial"/>
            <w:szCs w:val="28"/>
            <w:u w:color="0563C1"/>
            <w:bdr w:val="nil"/>
          </w:rPr>
          <w:t>13</w:t>
        </w:r>
        <w:r w:rsidRPr="00511005">
          <w:rPr>
            <w:rFonts w:ascii="Arial" w:eastAsia="Arial Unicode MS" w:hAnsi="Arial" w:cs="Arial"/>
            <w:szCs w:val="28"/>
            <w:u w:color="0563C1"/>
            <w:bdr w:val="nil"/>
            <w:lang w:val="en-US"/>
          </w:rPr>
          <w:t>f</w:t>
        </w:r>
        <w:r w:rsidRPr="00511005">
          <w:rPr>
            <w:rFonts w:ascii="Arial" w:eastAsia="Arial Unicode MS" w:hAnsi="Arial" w:cs="Arial"/>
            <w:szCs w:val="28"/>
            <w:u w:color="0563C1"/>
            <w:bdr w:val="nil"/>
          </w:rPr>
          <w:t>7</w:t>
        </w:r>
        <w:r w:rsidRPr="00511005">
          <w:rPr>
            <w:rFonts w:ascii="Arial" w:eastAsia="Arial Unicode MS" w:hAnsi="Arial" w:cs="Arial"/>
            <w:szCs w:val="28"/>
            <w:u w:color="0563C1"/>
            <w:bdr w:val="nil"/>
            <w:lang w:val="en-US"/>
          </w:rPr>
          <w:t>f</w:t>
        </w:r>
        <w:r w:rsidRPr="00511005">
          <w:rPr>
            <w:rFonts w:ascii="Arial" w:eastAsia="Arial Unicode MS" w:hAnsi="Arial" w:cs="Arial"/>
            <w:szCs w:val="28"/>
            <w:u w:color="0563C1"/>
            <w:bdr w:val="nil"/>
          </w:rPr>
          <w:t>3-7078-4</w:t>
        </w:r>
        <w:r w:rsidRPr="00511005">
          <w:rPr>
            <w:rFonts w:ascii="Arial" w:eastAsia="Arial Unicode MS" w:hAnsi="Arial" w:cs="Arial"/>
            <w:szCs w:val="28"/>
            <w:u w:color="0563C1"/>
            <w:bdr w:val="nil"/>
            <w:lang w:val="en-US"/>
          </w:rPr>
          <w:t>a</w:t>
        </w:r>
        <w:r w:rsidRPr="00511005">
          <w:rPr>
            <w:rFonts w:ascii="Arial" w:eastAsia="Arial Unicode MS" w:hAnsi="Arial" w:cs="Arial"/>
            <w:szCs w:val="28"/>
            <w:u w:color="0563C1"/>
            <w:bdr w:val="nil"/>
          </w:rPr>
          <w:t>30-</w:t>
        </w:r>
        <w:r w:rsidRPr="00511005">
          <w:rPr>
            <w:rFonts w:ascii="Arial" w:eastAsia="Arial Unicode MS" w:hAnsi="Arial" w:cs="Arial"/>
            <w:szCs w:val="28"/>
            <w:u w:color="0563C1"/>
            <w:bdr w:val="nil"/>
            <w:lang w:val="en-US"/>
          </w:rPr>
          <w:t>b</w:t>
        </w:r>
        <w:r w:rsidRPr="00511005">
          <w:rPr>
            <w:rFonts w:ascii="Arial" w:eastAsia="Arial Unicode MS" w:hAnsi="Arial" w:cs="Arial"/>
            <w:szCs w:val="28"/>
            <w:u w:color="0563C1"/>
            <w:bdr w:val="nil"/>
          </w:rPr>
          <w:t>143-</w:t>
        </w:r>
        <w:r w:rsidRPr="00511005">
          <w:rPr>
            <w:rFonts w:ascii="Arial" w:eastAsia="Arial Unicode MS" w:hAnsi="Arial" w:cs="Arial"/>
            <w:szCs w:val="28"/>
            <w:u w:color="0563C1"/>
            <w:bdr w:val="nil"/>
            <w:lang w:val="en-US"/>
          </w:rPr>
          <w:t>e</w:t>
        </w:r>
        <w:r w:rsidRPr="00511005">
          <w:rPr>
            <w:rFonts w:ascii="Arial" w:eastAsia="Arial Unicode MS" w:hAnsi="Arial" w:cs="Arial"/>
            <w:szCs w:val="28"/>
            <w:u w:color="0563C1"/>
            <w:bdr w:val="nil"/>
          </w:rPr>
          <w:t>1</w:t>
        </w:r>
        <w:r w:rsidRPr="00511005">
          <w:rPr>
            <w:rFonts w:ascii="Arial" w:eastAsia="Arial Unicode MS" w:hAnsi="Arial" w:cs="Arial"/>
            <w:szCs w:val="28"/>
            <w:u w:color="0563C1"/>
            <w:bdr w:val="nil"/>
            <w:lang w:val="en-US"/>
          </w:rPr>
          <w:t>a</w:t>
        </w:r>
        <w:r w:rsidRPr="00511005">
          <w:rPr>
            <w:rFonts w:ascii="Arial" w:eastAsia="Arial Unicode MS" w:hAnsi="Arial" w:cs="Arial"/>
            <w:szCs w:val="28"/>
            <w:u w:color="0563C1"/>
            <w:bdr w:val="nil"/>
          </w:rPr>
          <w:t>1788</w:t>
        </w:r>
        <w:r w:rsidRPr="00511005">
          <w:rPr>
            <w:rFonts w:ascii="Arial" w:eastAsia="Arial Unicode MS" w:hAnsi="Arial" w:cs="Arial"/>
            <w:szCs w:val="28"/>
            <w:u w:color="0563C1"/>
            <w:bdr w:val="nil"/>
            <w:lang w:val="en-US"/>
          </w:rPr>
          <w:t>b</w:t>
        </w:r>
        <w:r w:rsidRPr="00511005">
          <w:rPr>
            <w:rFonts w:ascii="Arial" w:eastAsia="Arial Unicode MS" w:hAnsi="Arial" w:cs="Arial"/>
            <w:szCs w:val="28"/>
            <w:u w:color="0563C1"/>
            <w:bdr w:val="nil"/>
          </w:rPr>
          <w:t>46</w:t>
        </w:r>
        <w:r w:rsidRPr="00511005">
          <w:rPr>
            <w:rFonts w:ascii="Arial" w:eastAsia="Arial Unicode MS" w:hAnsi="Arial" w:cs="Arial"/>
            <w:szCs w:val="28"/>
            <w:u w:color="0563C1"/>
            <w:bdr w:val="nil"/>
            <w:lang w:val="en-US"/>
          </w:rPr>
          <w:t>ec</w:t>
        </w:r>
      </w:hyperlink>
      <w:r w:rsidRPr="00511005">
        <w:rPr>
          <w:rFonts w:ascii="Arial" w:eastAsia="Arial Unicode MS" w:hAnsi="Arial" w:cs="Arial"/>
          <w:szCs w:val="28"/>
          <w:bdr w:val="nil"/>
        </w:rPr>
        <w:t>.</w:t>
      </w:r>
    </w:p>
    <w:p w14:paraId="2D02FE4E" w14:textId="77777777" w:rsidR="00220D3E" w:rsidRPr="00511005" w:rsidRDefault="00220D3E" w:rsidP="003F6A5D">
      <w:pPr>
        <w:numPr>
          <w:ilvl w:val="0"/>
          <w:numId w:val="165"/>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lang w:val="pl-PL"/>
        </w:rPr>
      </w:pPr>
      <w:r w:rsidRPr="00511005">
        <w:rPr>
          <w:rFonts w:ascii="Arial" w:eastAsia="Arial Unicode MS" w:hAnsi="Arial" w:cs="Arial"/>
          <w:szCs w:val="28"/>
          <w:bdr w:val="nil"/>
          <w:lang w:val="de-DE"/>
        </w:rPr>
        <w:lastRenderedPageBreak/>
        <w:t xml:space="preserve">VerschG - Verschollenheitsgesetz. </w:t>
      </w:r>
      <w:r w:rsidRPr="00511005">
        <w:rPr>
          <w:rFonts w:ascii="Arial" w:eastAsia="Arial Unicode MS" w:hAnsi="Arial" w:cs="Arial"/>
          <w:i/>
          <w:iCs/>
          <w:szCs w:val="28"/>
          <w:bdr w:val="nil"/>
          <w:lang w:val="de-DE"/>
        </w:rPr>
        <w:t>Gesetze im Internet</w:t>
      </w:r>
      <w:r w:rsidRPr="00511005">
        <w:rPr>
          <w:rFonts w:ascii="Arial" w:eastAsia="Arial Unicode MS" w:hAnsi="Arial" w:cs="Arial"/>
          <w:szCs w:val="28"/>
          <w:bdr w:val="nil"/>
          <w:lang w:val="de-DE"/>
        </w:rPr>
        <w:t xml:space="preserve">. </w:t>
      </w:r>
      <w:r w:rsidRPr="00511005">
        <w:rPr>
          <w:rFonts w:ascii="Arial" w:eastAsia="Arial Unicode MS" w:hAnsi="Arial" w:cs="Arial"/>
          <w:szCs w:val="28"/>
          <w:bdr w:val="nil"/>
          <w:lang w:val="pl-PL"/>
        </w:rPr>
        <w:t xml:space="preserve">URL: </w:t>
      </w:r>
      <w:hyperlink r:id="rId243" w:history="1">
        <w:r w:rsidRPr="00511005">
          <w:rPr>
            <w:rFonts w:ascii="Arial" w:eastAsia="Arial Unicode MS" w:hAnsi="Arial" w:cs="Arial"/>
            <w:szCs w:val="28"/>
            <w:u w:color="0563C1"/>
            <w:bdr w:val="nil"/>
            <w:lang w:val="pl-PL"/>
          </w:rPr>
          <w:t>https://www.gesetze-im-internet.de/verschg/BJNR011860939.html</w:t>
        </w:r>
      </w:hyperlink>
      <w:r w:rsidRPr="00511005">
        <w:rPr>
          <w:rFonts w:ascii="Arial" w:eastAsia="Arial Unicode MS" w:hAnsi="Arial" w:cs="Arial"/>
          <w:szCs w:val="28"/>
          <w:bdr w:val="nil"/>
          <w:lang w:val="pl-PL"/>
        </w:rPr>
        <w:t>.</w:t>
      </w:r>
    </w:p>
    <w:p w14:paraId="66E2BA38" w14:textId="77777777" w:rsidR="00220D3E" w:rsidRPr="00511005" w:rsidRDefault="00220D3E" w:rsidP="003F6A5D">
      <w:pPr>
        <w:numPr>
          <w:ilvl w:val="0"/>
          <w:numId w:val="165"/>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lang w:val="fr-FR"/>
        </w:rPr>
      </w:pPr>
      <w:r w:rsidRPr="00511005">
        <w:rPr>
          <w:rFonts w:ascii="Arial" w:eastAsia="Arial Unicode MS" w:hAnsi="Arial" w:cs="Arial"/>
          <w:szCs w:val="28"/>
          <w:bdr w:val="nil"/>
          <w:lang w:val="fr-FR"/>
        </w:rPr>
        <w:t>Code civil : Livre Ier : des personnes.</w:t>
      </w:r>
      <w:r w:rsidRPr="00511005">
        <w:rPr>
          <w:rFonts w:ascii="Arial" w:eastAsia="Arial Unicode MS" w:hAnsi="Arial" w:cs="Arial"/>
          <w:szCs w:val="28"/>
          <w:bdr w:val="nil"/>
          <w:lang w:val="en-US"/>
        </w:rPr>
        <w:t xml:space="preserve"> </w:t>
      </w:r>
      <w:proofErr w:type="gramStart"/>
      <w:r w:rsidRPr="00511005">
        <w:rPr>
          <w:rFonts w:ascii="Arial" w:eastAsia="Arial Unicode MS" w:hAnsi="Arial" w:cs="Arial"/>
          <w:szCs w:val="28"/>
          <w:bdr w:val="nil"/>
          <w:lang w:val="fr-FR"/>
        </w:rPr>
        <w:t>URL:</w:t>
      </w:r>
      <w:proofErr w:type="gramEnd"/>
      <w:r w:rsidRPr="00511005">
        <w:rPr>
          <w:rFonts w:ascii="Arial" w:eastAsia="Arial Unicode MS" w:hAnsi="Arial" w:cs="Arial"/>
          <w:szCs w:val="28"/>
          <w:bdr w:val="nil"/>
          <w:lang w:val="fr-FR"/>
        </w:rPr>
        <w:t xml:space="preserve"> https://www.legifrance.gouv.fr/codes/section_lc/LEGITEXT000006070721/LEGISCTA000006089697/#LEGISCTA000006089697.</w:t>
      </w:r>
    </w:p>
    <w:p w14:paraId="230EE5EA" w14:textId="77777777" w:rsidR="00220D3E" w:rsidRPr="00511005" w:rsidRDefault="00220D3E" w:rsidP="003F6A5D">
      <w:pPr>
        <w:numPr>
          <w:ilvl w:val="0"/>
          <w:numId w:val="165"/>
        </w:numPr>
        <w:pBdr>
          <w:top w:val="nil"/>
          <w:left w:val="nil"/>
          <w:bottom w:val="nil"/>
          <w:right w:val="nil"/>
          <w:between w:val="nil"/>
          <w:bar w:val="nil"/>
        </w:pBdr>
        <w:tabs>
          <w:tab w:val="left" w:pos="709"/>
        </w:tabs>
        <w:spacing w:line="264" w:lineRule="auto"/>
        <w:ind w:left="0" w:firstLine="709"/>
        <w:jc w:val="left"/>
        <w:rPr>
          <w:rFonts w:ascii="Arial" w:eastAsia="Arial Unicode MS" w:hAnsi="Arial" w:cs="Arial"/>
          <w:szCs w:val="28"/>
          <w:bdr w:val="nil"/>
          <w:lang w:val="pl-PL"/>
        </w:rPr>
      </w:pPr>
      <w:r w:rsidRPr="00511005">
        <w:rPr>
          <w:rFonts w:ascii="Arial" w:eastAsia="Arial Unicode MS" w:hAnsi="Arial" w:cs="Arial"/>
          <w:szCs w:val="28"/>
          <w:bdr w:val="nil"/>
        </w:rPr>
        <w:t xml:space="preserve">Цивільний кодекс України. </w:t>
      </w:r>
      <w:r w:rsidRPr="00511005">
        <w:rPr>
          <w:rFonts w:ascii="Arial" w:eastAsia="Arial Unicode MS" w:hAnsi="Arial" w:cs="Arial"/>
          <w:i/>
          <w:iCs/>
          <w:szCs w:val="28"/>
          <w:bdr w:val="nil"/>
        </w:rPr>
        <w:t>Офіційний вебпортал парламенту України</w:t>
      </w:r>
      <w:r w:rsidRPr="00511005">
        <w:rPr>
          <w:rFonts w:ascii="Arial" w:eastAsia="Arial Unicode MS" w:hAnsi="Arial" w:cs="Arial"/>
          <w:szCs w:val="28"/>
          <w:bdr w:val="nil"/>
        </w:rPr>
        <w:t xml:space="preserve">. </w:t>
      </w:r>
      <w:r w:rsidRPr="00511005">
        <w:rPr>
          <w:rFonts w:ascii="Arial" w:eastAsia="Arial Unicode MS" w:hAnsi="Arial" w:cs="Arial"/>
          <w:szCs w:val="28"/>
          <w:bdr w:val="nil"/>
          <w:lang w:val="pl-PL"/>
        </w:rPr>
        <w:t xml:space="preserve">URL: </w:t>
      </w:r>
      <w:hyperlink r:id="rId244" w:anchor="n264" w:history="1">
        <w:r w:rsidRPr="00511005">
          <w:rPr>
            <w:rFonts w:ascii="Arial" w:eastAsia="Arial Unicode MS" w:hAnsi="Arial" w:cs="Arial"/>
            <w:szCs w:val="28"/>
            <w:u w:color="0563C1"/>
            <w:bdr w:val="nil"/>
            <w:lang w:val="pl-PL"/>
          </w:rPr>
          <w:t>https://zakon.rada.gov.ua/laws/show/435-15/conv#n264</w:t>
        </w:r>
      </w:hyperlink>
      <w:r w:rsidRPr="00511005">
        <w:rPr>
          <w:rFonts w:ascii="Arial" w:eastAsia="Arial Unicode MS" w:hAnsi="Arial" w:cs="Arial"/>
          <w:szCs w:val="28"/>
          <w:bdr w:val="nil"/>
          <w:lang w:val="pl-PL"/>
        </w:rPr>
        <w:t>.</w:t>
      </w:r>
    </w:p>
    <w:p w14:paraId="0D97073F"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b/>
          <w:bCs/>
          <w:szCs w:val="28"/>
          <w:bdr w:val="nil"/>
          <w:lang w:val="uk-UA"/>
        </w:rPr>
      </w:pPr>
      <w:r w:rsidRPr="00511005">
        <w:rPr>
          <w:rFonts w:ascii="Arial" w:eastAsia="Times New Roman" w:hAnsi="Arial" w:cs="Arial"/>
          <w:b/>
          <w:bCs/>
          <w:szCs w:val="28"/>
          <w:bdr w:val="nil"/>
          <w:lang w:val="pl-PL"/>
        </w:rPr>
        <w:tab/>
      </w:r>
    </w:p>
    <w:p w14:paraId="75FDA911" w14:textId="419AEEED" w:rsidR="00220D3E" w:rsidRPr="00511005" w:rsidRDefault="007B2628"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lang w:val="uk-UA"/>
        </w:rPr>
      </w:pPr>
      <w:r w:rsidRPr="00511005">
        <w:rPr>
          <w:rFonts w:ascii="Arial" w:eastAsia="Times New Roman" w:hAnsi="Arial" w:cs="Arial"/>
          <w:b/>
          <w:bCs/>
          <w:i/>
          <w:szCs w:val="28"/>
          <w:bdr w:val="nil"/>
          <w:lang w:val="uk-UA"/>
        </w:rPr>
        <w:t xml:space="preserve">Ключові слова: </w:t>
      </w:r>
      <w:r w:rsidR="00220D3E" w:rsidRPr="00511005">
        <w:rPr>
          <w:rFonts w:ascii="Arial" w:eastAsia="Arial Unicode MS" w:hAnsi="Arial" w:cs="Arial"/>
          <w:szCs w:val="28"/>
          <w:bdr w:val="nil"/>
          <w:lang w:val="uk-UA"/>
        </w:rPr>
        <w:t xml:space="preserve">безвісно відсутня особа, колізійні норми, особистий закон, управління майном безвісно відсутнього, визнання безвісної відсутності, уніфікація норм міжнародного приватного права. </w:t>
      </w:r>
    </w:p>
    <w:p w14:paraId="1F4BDF53" w14:textId="2E3F5F55" w:rsidR="00220D3E" w:rsidRPr="00511005" w:rsidRDefault="007B2628" w:rsidP="003A292D">
      <w:pPr>
        <w:pBdr>
          <w:top w:val="nil"/>
          <w:left w:val="nil"/>
          <w:bottom w:val="nil"/>
          <w:right w:val="nil"/>
          <w:between w:val="nil"/>
          <w:bar w:val="nil"/>
        </w:pBdr>
        <w:tabs>
          <w:tab w:val="left" w:pos="709"/>
        </w:tabs>
        <w:spacing w:line="264" w:lineRule="auto"/>
        <w:rPr>
          <w:rFonts w:ascii="Arial" w:eastAsia="Times New Roman" w:hAnsi="Arial" w:cs="Arial"/>
          <w:szCs w:val="28"/>
          <w:bdr w:val="nil"/>
          <w:lang w:val="en-US"/>
        </w:rPr>
      </w:pPr>
      <w:r w:rsidRPr="00511005">
        <w:rPr>
          <w:rFonts w:ascii="Arial" w:eastAsia="Arial Unicode MS" w:hAnsi="Arial" w:cs="Arial"/>
          <w:b/>
          <w:bCs/>
          <w:i/>
          <w:szCs w:val="28"/>
          <w:bdr w:val="nil"/>
          <w:lang w:val="en-US"/>
        </w:rPr>
        <w:t xml:space="preserve">Key words: </w:t>
      </w:r>
      <w:r w:rsidR="00220D3E" w:rsidRPr="00511005">
        <w:rPr>
          <w:rFonts w:ascii="Arial" w:eastAsia="Arial Unicode MS" w:hAnsi="Arial" w:cs="Arial"/>
          <w:szCs w:val="28"/>
          <w:bdr w:val="nil"/>
          <w:lang w:val="en-US"/>
        </w:rPr>
        <w:t>missing person, conflict of laws, personal law, management of property of a missing person, declaration of absence, unification of international private law norms.</w:t>
      </w:r>
    </w:p>
    <w:p w14:paraId="3CC3273A" w14:textId="68660568" w:rsidR="00220D3E" w:rsidRPr="00511005" w:rsidRDefault="007B2628" w:rsidP="003A292D">
      <w:pPr>
        <w:tabs>
          <w:tab w:val="left" w:pos="709"/>
          <w:tab w:val="left" w:pos="2117"/>
          <w:tab w:val="center" w:pos="4819"/>
        </w:tabs>
        <w:spacing w:line="264" w:lineRule="auto"/>
        <w:jc w:val="left"/>
        <w:rPr>
          <w:rFonts w:ascii="Arial" w:eastAsia="Times New Roman" w:hAnsi="Arial" w:cs="Arial"/>
          <w:i/>
          <w:szCs w:val="28"/>
          <w:lang w:val="uk-UA" w:eastAsia="ru-RU"/>
        </w:rPr>
      </w:pPr>
      <w:r w:rsidRPr="00511005">
        <w:rPr>
          <w:rFonts w:ascii="Arial" w:eastAsia="Arial Unicode MS" w:hAnsi="Arial" w:cs="Arial"/>
          <w:b/>
          <w:i/>
          <w:iCs/>
          <w:szCs w:val="28"/>
          <w:bdr w:val="nil"/>
        </w:rPr>
        <w:t xml:space="preserve">Науковий керівник: </w:t>
      </w:r>
      <w:r w:rsidR="00220D3E" w:rsidRPr="00511005">
        <w:rPr>
          <w:rFonts w:ascii="Arial" w:eastAsia="Arial Unicode MS" w:hAnsi="Arial" w:cs="Arial"/>
          <w:i/>
          <w:iCs/>
          <w:szCs w:val="28"/>
          <w:bdr w:val="nil"/>
        </w:rPr>
        <w:t>асистент кафедри Бугаєць А. С.</w:t>
      </w:r>
      <w:r w:rsidR="00220D3E" w:rsidRPr="00511005">
        <w:rPr>
          <w:rFonts w:ascii="Arial" w:eastAsia="Times New Roman" w:hAnsi="Arial" w:cs="Arial"/>
          <w:i/>
          <w:szCs w:val="28"/>
          <w:lang w:eastAsia="ru-RU"/>
        </w:rPr>
        <w:tab/>
      </w:r>
    </w:p>
    <w:p w14:paraId="25C4BF21" w14:textId="77777777" w:rsidR="00220D3E" w:rsidRPr="00511005" w:rsidRDefault="00220D3E" w:rsidP="003A292D">
      <w:pPr>
        <w:tabs>
          <w:tab w:val="left" w:pos="709"/>
          <w:tab w:val="left" w:pos="2117"/>
          <w:tab w:val="center" w:pos="4819"/>
        </w:tabs>
        <w:spacing w:line="264" w:lineRule="auto"/>
        <w:jc w:val="left"/>
        <w:rPr>
          <w:rFonts w:ascii="Arial" w:eastAsia="Times New Roman" w:hAnsi="Arial" w:cs="Arial"/>
          <w:i/>
          <w:szCs w:val="28"/>
          <w:lang w:val="uk-UA" w:eastAsia="ru-RU"/>
        </w:rPr>
      </w:pPr>
    </w:p>
    <w:p w14:paraId="07E50D6A" w14:textId="77777777" w:rsidR="00220D3E" w:rsidRPr="00511005" w:rsidRDefault="00220D3E" w:rsidP="003A292D">
      <w:pPr>
        <w:tabs>
          <w:tab w:val="left" w:pos="709"/>
          <w:tab w:val="left" w:pos="2117"/>
          <w:tab w:val="center" w:pos="481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Костенко Катерина Анатоліївна,</w:t>
      </w:r>
    </w:p>
    <w:p w14:paraId="7940465D"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Володіна Аліна Артурівна</w:t>
      </w:r>
    </w:p>
    <w:p w14:paraId="31D85A18"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t xml:space="preserve">студентки 4-го курсу </w:t>
      </w:r>
    </w:p>
    <w:p w14:paraId="54050B62" w14:textId="07917559" w:rsidR="00220D3E" w:rsidRPr="00511005" w:rsidRDefault="00536AAB"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факультету адвокатури та антикорупційної діяльності</w:t>
      </w:r>
    </w:p>
    <w:p w14:paraId="60927F13" w14:textId="04CDF311" w:rsidR="00220D3E" w:rsidRPr="00511005" w:rsidRDefault="007B2628"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F21D8E3"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eastAsia="ru-RU"/>
        </w:rPr>
      </w:pPr>
    </w:p>
    <w:p w14:paraId="008A6645"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eastAsia="ru-RU"/>
        </w:rPr>
        <w:t xml:space="preserve">ВПЛИВ РІШЕНЬ СУДУ ЄС </w:t>
      </w:r>
    </w:p>
    <w:p w14:paraId="58820476"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НА НАЦІОНАЛЬНІ ПРАВОВІ СИСТЕМИ</w:t>
      </w:r>
    </w:p>
    <w:p w14:paraId="0EF200D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Дослідження даної тематики є надзвичайно актуальним у контексті сучасного правового плюралізму, інтеграційних процесів та посилення міжправової взаємодії в межах Європейського Союзу. Суд ЄС відіграє ключову роль у формуванні правової єдності, послідовності та в переданні принципів права ЄС до правових систем держав-членів. Його рішення не лише роз'яснюють положення первинного та вторинного законодавства ЄС, але й безпосередньо впливають на національні правові порядки.</w:t>
      </w:r>
    </w:p>
    <w:p w14:paraId="7516A1C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Одним із найсуттєвіших механізмів впливу Суду ЄС є доктрина прямої дії норм права ЄС, сформована ще в рішенні у справі </w:t>
      </w:r>
      <w:r w:rsidRPr="00511005">
        <w:rPr>
          <w:rFonts w:ascii="Arial" w:eastAsia="Times New Roman" w:hAnsi="Arial" w:cs="Arial"/>
          <w:i/>
          <w:iCs/>
          <w:szCs w:val="28"/>
          <w:lang w:eastAsia="ru-RU"/>
        </w:rPr>
        <w:t>Van Gend en Loos</w:t>
      </w:r>
      <w:r w:rsidRPr="00511005">
        <w:rPr>
          <w:rFonts w:ascii="Arial" w:eastAsia="Times New Roman" w:hAnsi="Arial" w:cs="Arial"/>
          <w:szCs w:val="28"/>
          <w:lang w:eastAsia="ru-RU"/>
        </w:rPr>
        <w:t xml:space="preserve"> (1963). Відповідно до цієї доктрини, індивіди можуть прямо покладатися на норми права ЄС у національних судах без необхідності їх трансформації в національне законодавство [1, с. 143]. Це положення докорінно змінює парадигму традиційного суверенітету держави, перетворюючи право ЄС на безпосереднє джерело прав і обов’язків громадян.</w:t>
      </w:r>
    </w:p>
    <w:p w14:paraId="0049243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Другим наріжним каменем є принцип пріоритету права ЄС, встановлений у справі </w:t>
      </w:r>
      <w:r w:rsidRPr="00511005">
        <w:rPr>
          <w:rFonts w:ascii="Arial" w:eastAsia="Times New Roman" w:hAnsi="Arial" w:cs="Arial"/>
          <w:i/>
          <w:iCs/>
          <w:szCs w:val="28"/>
          <w:lang w:eastAsia="ru-RU"/>
        </w:rPr>
        <w:t>Costa v. ENEL</w:t>
      </w:r>
      <w:r w:rsidRPr="00511005">
        <w:rPr>
          <w:rFonts w:ascii="Arial" w:eastAsia="Times New Roman" w:hAnsi="Arial" w:cs="Arial"/>
          <w:szCs w:val="28"/>
          <w:lang w:eastAsia="ru-RU"/>
        </w:rPr>
        <w:t xml:space="preserve"> (1964), який надає праву ЄС перевагу над нормами національного законодавства у разі конфлікту. Це зобов’язує національні суди, зокрема конституційні, визнавати верховенство норм ЄС </w:t>
      </w:r>
      <w:r w:rsidRPr="00511005">
        <w:rPr>
          <w:rFonts w:ascii="Arial" w:eastAsia="Times New Roman" w:hAnsi="Arial" w:cs="Arial"/>
          <w:szCs w:val="28"/>
          <w:lang w:eastAsia="ru-RU"/>
        </w:rPr>
        <w:lastRenderedPageBreak/>
        <w:t>навіть перед нормами конституційного рівня [1, с. 145]. Як наслідок, виникає складна система «плюралістичного конституціоналізму», де конституційні традиції держав-членів співіснують із нормами наднаціонального права.</w:t>
      </w:r>
    </w:p>
    <w:p w14:paraId="10FE17A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Іншим важливим інструментом впливу є інститут попереднього запиту (preliminary ruling procedure), що передбачений статтею 267 ДФЄС. Цей механізм надає національним судам можливість звертатися до Суду ЄС з проханням тлумачення норм права ЄС, що забезпечує єдність і передбачуваність його застосування [2]. Практика доводить, що ця процедура сприяє активній європеїзації національного права через пряму участь національних судів у розвитку судової практики ЄС.</w:t>
      </w:r>
    </w:p>
    <w:p w14:paraId="7EDD85A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Варто окремо розглянути зворотний вплив — адаптацію національних правових систем до норм і принципів, вироблених Судом ЄС. Наприклад, у рішенні у справі </w:t>
      </w:r>
      <w:r w:rsidRPr="00511005">
        <w:rPr>
          <w:rFonts w:ascii="Arial" w:eastAsia="Times New Roman" w:hAnsi="Arial" w:cs="Arial"/>
          <w:i/>
          <w:iCs/>
          <w:szCs w:val="28"/>
          <w:lang w:eastAsia="ru-RU"/>
        </w:rPr>
        <w:t>Simmenthal II</w:t>
      </w:r>
      <w:r w:rsidRPr="00511005">
        <w:rPr>
          <w:rFonts w:ascii="Arial" w:eastAsia="Times New Roman" w:hAnsi="Arial" w:cs="Arial"/>
          <w:szCs w:val="28"/>
          <w:lang w:eastAsia="ru-RU"/>
        </w:rPr>
        <w:t xml:space="preserve"> (1978) було закріплено обов’язок національного суду ігнорувати будь-які суперечливі національні норми — навіть якщо вони є чинними — якщо вони не узгоджуються з правом ЄС [1, с. 152]. Такий підхід стимулює динамічне оновлення національного законодавства відповідно до норм ЄС.</w:t>
      </w:r>
    </w:p>
    <w:p w14:paraId="135D642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Водночас, практика рішень Суду ЄС виявляє і низку викликів. З одного боку, посилення впливу ЄС може спричинити конституційні конфлікти. З іншого — у ряді держав-членів зростає скептицизм щодо надмірної активності Суду ЄС, що іноді сприймається як втручання в національний суверенітет [3]. Це особливо актуально для правових систем зі складними або політично чутливими конституційними структурами, таких як Німеччина або Польща.</w:t>
      </w:r>
    </w:p>
    <w:p w14:paraId="00D78A8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Досвід таких країн демонструє, що впровадження рішень Суду ЄС часто відбувається через діалог між судами, а не лише через механічну імплементацію. Німецький Федеральний Конституційний суд у справі </w:t>
      </w:r>
      <w:r w:rsidRPr="00511005">
        <w:rPr>
          <w:rFonts w:ascii="Arial" w:eastAsia="Times New Roman" w:hAnsi="Arial" w:cs="Arial"/>
          <w:i/>
          <w:iCs/>
          <w:szCs w:val="28"/>
          <w:lang w:eastAsia="ru-RU"/>
        </w:rPr>
        <w:t>Solange I та II</w:t>
      </w:r>
      <w:r w:rsidRPr="00511005">
        <w:rPr>
          <w:rFonts w:ascii="Arial" w:eastAsia="Times New Roman" w:hAnsi="Arial" w:cs="Arial"/>
          <w:szCs w:val="28"/>
          <w:lang w:eastAsia="ru-RU"/>
        </w:rPr>
        <w:t xml:space="preserve"> вніс важливу інтерпретацію — рішення Суду ЄС будуть визнаватися, доки забезпечуються базові права громадян [3, с. 12].</w:t>
      </w:r>
    </w:p>
    <w:p w14:paraId="67EA218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новітній практиці простежується тенденція до «конституціоналізації» принципів, сформованих Судом ЄС. Наприклад, принципи правової визначеності, пропорційності та ефективного захисту прав дедалі частіше інкорпоруються в національну судову практику не як іноземні конструкції, а як спільні європейські цінності [3, с. 19].</w:t>
      </w:r>
    </w:p>
    <w:p w14:paraId="1C1512A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Одним із яскравих прикладів імплементаційного ефекту рішень Суду ЄС є справа Kücükdeveci v. Swedex GmbH &amp; Co. KG (C-555/07), в якій Суд постановив, що національні суди зобов’язані не застосовувати національні норми, що суперечать принципу недискримінації за віком, навіть якщо це не закріплено у відповідному національному акті. Цей прецедент став переломним для правозастосування в галузі трудового права в багатьох країнах ЄС, стимулюючи національні законодавчі ініціативи та перегляд практик дискримінації [1, с. 160].</w:t>
      </w:r>
    </w:p>
    <w:p w14:paraId="6F78A6F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Ще однією ключовою сферою, де простежується сильний вплив рішень Суду ЄС, є захист основоположних прав. Зокрема, рішення у справі Digital Rights Ireland (C-293/12) фактично анулювало Директиву про зберігання даних, оскільки вона порушувала Хартію основоположних прав ЄС. Це рішення стало основою </w:t>
      </w:r>
      <w:proofErr w:type="gramStart"/>
      <w:r w:rsidRPr="00511005">
        <w:rPr>
          <w:rFonts w:ascii="Arial" w:eastAsia="Times New Roman" w:hAnsi="Arial" w:cs="Arial"/>
          <w:szCs w:val="28"/>
          <w:lang w:eastAsia="ru-RU"/>
        </w:rPr>
        <w:t>для перегляду</w:t>
      </w:r>
      <w:proofErr w:type="gramEnd"/>
      <w:r w:rsidRPr="00511005">
        <w:rPr>
          <w:rFonts w:ascii="Arial" w:eastAsia="Times New Roman" w:hAnsi="Arial" w:cs="Arial"/>
          <w:szCs w:val="28"/>
          <w:lang w:eastAsia="ru-RU"/>
        </w:rPr>
        <w:t xml:space="preserve"> законів про електронне спостереження у таких країнах, як Франція, Німеччина та Нідерланди, що свідчить про спроможність Суду ЄС не лише тлумачити право, але й активно впливати на формування політики безпеки та приватності [3, с. 21].</w:t>
      </w:r>
    </w:p>
    <w:p w14:paraId="02A9607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Значний інтерес викликає й феномен європейського діалогу судів. Національні суди дедалі частіше беруть участь у розвитку прецедентного права ЄС, не тільки шляхом попередніх запитів, а й активно адаптуючи аргументацію Суду ЄС у власних рішеннях. Наприклад, Вищий адміністративний суд Чехії, посилаючись на рішення Суду ЄС у справі Unibet (C-432/05), сформував нову практику щодо доступу до правового захисту у сфері податкових спорів [2]. Це підтверджує взаємопроникність судової доктрини та наближення стандартів процедурної справедливості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ЄС.</w:t>
      </w:r>
    </w:p>
    <w:p w14:paraId="36E5905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Окремо варто наголосити на впливі Суду ЄС у сфері імміграційного та притулкового права. У справі NS v. Secretary of State for the Home Department (C-411/10), Суд чітко вказав, що держави-члени не можуть автоматично повертати мігрантів до першої країни в’їзду, якщо там порушуються їхні фундаментальні права. Це викликало зміни в законодавстві декількох країн, зокрема Італії та Угорщини, та створило нову практику тлумачення положень Дублінської угоди [3, с. 25].</w:t>
      </w:r>
    </w:p>
    <w:p w14:paraId="1FDE2EE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Усе вищевикладене засвідчує, що Суд ЄС трансформується з арбітра правових спорів у справжнього «архітектора» загальноєвропейської правової ідентичності. Його рішення впливають не тільки на формальну сторону правозастосування, але й на правову культуру, методологію тлумачення норм, соціальні очікування та легітимність державної влади. Деякі науковці вже говорять про феномен еволюційного конституціоналізму в межах ЄС — процесу поступової гармонізації основних принципів правопорядку в усіх державах-членах [1, с. 171].</w:t>
      </w:r>
    </w:p>
    <w:p w14:paraId="29BAE6C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рішення Суду ЄС мають глибокий вплив на національні правові системи — як формальний (через безпосереднє застосування), так і змістовий (через зміну правосвідомості суддів та законодавців). Попри певну напругу в діалозі між судами національного і наднаціонального рівня, вектор розвитку інтеграції чітко окреслений — поглиблення взаємозв'язків та уніфікації правових стандартів. Такий розвиток можна вважати кроком до формування справжнього європейського правового простору.</w:t>
      </w:r>
    </w:p>
    <w:p w14:paraId="02335DD9"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38773506"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5039F120"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59E42DE4" w14:textId="7F63E9C8" w:rsidR="00220D3E"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lastRenderedPageBreak/>
        <w:t>Список використаних джерел</w:t>
      </w:r>
    </w:p>
    <w:p w14:paraId="21C178CB" w14:textId="77777777" w:rsidR="00220D3E" w:rsidRPr="00511005" w:rsidRDefault="00220D3E" w:rsidP="003F6A5D">
      <w:pPr>
        <w:numPr>
          <w:ilvl w:val="0"/>
          <w:numId w:val="79"/>
        </w:numPr>
        <w:tabs>
          <w:tab w:val="left" w:pos="709"/>
        </w:tabs>
        <w:spacing w:line="264" w:lineRule="auto"/>
        <w:ind w:left="0" w:firstLine="709"/>
        <w:contextualSpacing/>
        <w:jc w:val="left"/>
        <w:rPr>
          <w:rFonts w:ascii="Arial" w:eastAsia="Times New Roman" w:hAnsi="Arial" w:cs="Arial"/>
          <w:szCs w:val="28"/>
          <w:lang w:val="en-US" w:eastAsia="uk-UA"/>
        </w:rPr>
      </w:pPr>
      <w:r w:rsidRPr="00511005">
        <w:rPr>
          <w:rFonts w:ascii="Arial" w:eastAsia="Times New Roman" w:hAnsi="Arial" w:cs="Arial"/>
          <w:bCs/>
          <w:szCs w:val="28"/>
          <w:lang w:val="en-US" w:eastAsia="uk-UA"/>
        </w:rPr>
        <w:t>Bobek, M.</w:t>
      </w:r>
      <w:r w:rsidRPr="00511005">
        <w:rPr>
          <w:rFonts w:ascii="Arial" w:eastAsia="Times New Roman" w:hAnsi="Arial" w:cs="Arial"/>
          <w:szCs w:val="28"/>
          <w:lang w:val="en-US" w:eastAsia="uk-UA"/>
        </w:rPr>
        <w:t xml:space="preserve"> The Effects of EU Law in the National Legal Systems. In: C. Barnard &amp; S. Peers (Eds.), </w:t>
      </w:r>
      <w:r w:rsidRPr="00511005">
        <w:rPr>
          <w:rFonts w:ascii="Arial" w:eastAsia="Times New Roman" w:hAnsi="Arial" w:cs="Arial"/>
          <w:i/>
          <w:iCs/>
          <w:szCs w:val="28"/>
          <w:lang w:val="en-US" w:eastAsia="uk-UA"/>
        </w:rPr>
        <w:t>European Union Law</w:t>
      </w:r>
      <w:r w:rsidRPr="00511005">
        <w:rPr>
          <w:rFonts w:ascii="Arial" w:eastAsia="Times New Roman" w:hAnsi="Arial" w:cs="Arial"/>
          <w:szCs w:val="28"/>
          <w:lang w:val="en-US" w:eastAsia="uk-UA"/>
        </w:rPr>
        <w:t xml:space="preserve">. Oxford University Press, 2014. </w:t>
      </w:r>
      <w:r w:rsidRPr="00511005">
        <w:rPr>
          <w:rFonts w:ascii="Arial" w:eastAsia="Times New Roman" w:hAnsi="Arial" w:cs="Arial"/>
          <w:szCs w:val="28"/>
          <w:lang w:eastAsia="uk-UA"/>
        </w:rPr>
        <w:t>С</w:t>
      </w:r>
      <w:r w:rsidRPr="00511005">
        <w:rPr>
          <w:rFonts w:ascii="Arial" w:eastAsia="Times New Roman" w:hAnsi="Arial" w:cs="Arial"/>
          <w:szCs w:val="28"/>
          <w:lang w:val="en-US" w:eastAsia="uk-UA"/>
        </w:rPr>
        <w:t xml:space="preserve">. 140–173. URL: </w:t>
      </w:r>
      <w:hyperlink r:id="rId245" w:tgtFrame="_new" w:history="1">
        <w:r w:rsidRPr="00511005">
          <w:rPr>
            <w:rFonts w:ascii="Arial" w:eastAsia="Times New Roman" w:hAnsi="Arial" w:cs="Arial"/>
            <w:szCs w:val="28"/>
            <w:lang w:val="en-US" w:eastAsia="uk-UA"/>
          </w:rPr>
          <w:t>https://ssrn.com/abstract=2371396</w:t>
        </w:r>
      </w:hyperlink>
      <w:r w:rsidRPr="00511005">
        <w:rPr>
          <w:rFonts w:ascii="Arial" w:eastAsia="Times New Roman" w:hAnsi="Arial" w:cs="Arial"/>
          <w:szCs w:val="28"/>
          <w:lang w:val="en-US" w:eastAsia="uk-UA"/>
        </w:rPr>
        <w:t xml:space="preserve"> (</w:t>
      </w:r>
      <w:r w:rsidRPr="00511005">
        <w:rPr>
          <w:rFonts w:ascii="Arial" w:eastAsia="Times New Roman" w:hAnsi="Arial" w:cs="Arial"/>
          <w:szCs w:val="28"/>
          <w:lang w:eastAsia="uk-UA"/>
        </w:rPr>
        <w:t>дата</w:t>
      </w:r>
      <w:r w:rsidRPr="00511005">
        <w:rPr>
          <w:rFonts w:ascii="Arial" w:eastAsia="Times New Roman" w:hAnsi="Arial" w:cs="Arial"/>
          <w:szCs w:val="28"/>
          <w:lang w:val="en-US" w:eastAsia="uk-UA"/>
        </w:rPr>
        <w:t xml:space="preserve"> </w:t>
      </w:r>
      <w:r w:rsidRPr="00511005">
        <w:rPr>
          <w:rFonts w:ascii="Arial" w:eastAsia="Times New Roman" w:hAnsi="Arial" w:cs="Arial"/>
          <w:szCs w:val="28"/>
          <w:lang w:eastAsia="uk-UA"/>
        </w:rPr>
        <w:t>звернення</w:t>
      </w:r>
      <w:r w:rsidRPr="00511005">
        <w:rPr>
          <w:rFonts w:ascii="Arial" w:eastAsia="Times New Roman" w:hAnsi="Arial" w:cs="Arial"/>
          <w:szCs w:val="28"/>
          <w:lang w:val="en-US" w:eastAsia="uk-UA"/>
        </w:rPr>
        <w:t>: 17.04.2025</w:t>
      </w:r>
      <w:proofErr w:type="gramStart"/>
      <w:r w:rsidRPr="00511005">
        <w:rPr>
          <w:rFonts w:ascii="Arial" w:eastAsia="Times New Roman" w:hAnsi="Arial" w:cs="Arial"/>
          <w:szCs w:val="28"/>
          <w:lang w:val="en-US" w:eastAsia="uk-UA"/>
        </w:rPr>
        <w:t>).​</w:t>
      </w:r>
      <w:proofErr w:type="gramEnd"/>
      <w:r w:rsidRPr="00511005">
        <w:rPr>
          <w:rFonts w:ascii="Arial" w:eastAsia="Times New Roman" w:hAnsi="Arial" w:cs="Arial"/>
          <w:szCs w:val="28"/>
          <w:lang w:val="en-US" w:eastAsia="uk-UA"/>
        </w:rPr>
        <w:t xml:space="preserve"> </w:t>
      </w:r>
    </w:p>
    <w:p w14:paraId="1643CBFB" w14:textId="77777777" w:rsidR="00220D3E" w:rsidRPr="00511005" w:rsidRDefault="00220D3E" w:rsidP="003F6A5D">
      <w:pPr>
        <w:numPr>
          <w:ilvl w:val="0"/>
          <w:numId w:val="79"/>
        </w:numPr>
        <w:tabs>
          <w:tab w:val="left" w:pos="709"/>
        </w:tabs>
        <w:spacing w:line="264" w:lineRule="auto"/>
        <w:ind w:left="0" w:firstLine="709"/>
        <w:contextualSpacing/>
        <w:jc w:val="left"/>
        <w:rPr>
          <w:rFonts w:ascii="Arial" w:eastAsia="Times New Roman" w:hAnsi="Arial" w:cs="Arial"/>
          <w:szCs w:val="28"/>
          <w:lang w:eastAsia="uk-UA"/>
        </w:rPr>
      </w:pPr>
      <w:r w:rsidRPr="00511005">
        <w:rPr>
          <w:rFonts w:ascii="Arial" w:eastAsia="Times New Roman" w:hAnsi="Arial" w:cs="Arial"/>
          <w:bCs/>
          <w:szCs w:val="28"/>
          <w:lang w:val="en-US" w:eastAsia="uk-UA"/>
        </w:rPr>
        <w:t>The Court of Justice of the European Union.</w:t>
      </w:r>
      <w:r w:rsidRPr="00511005">
        <w:rPr>
          <w:rFonts w:ascii="Arial" w:eastAsia="Times New Roman" w:hAnsi="Arial" w:cs="Arial"/>
          <w:szCs w:val="28"/>
          <w:lang w:val="en-US" w:eastAsia="uk-UA"/>
        </w:rPr>
        <w:t xml:space="preserve"> Fact Sheets on the European Union. </w:t>
      </w:r>
      <w:r w:rsidRPr="00511005">
        <w:rPr>
          <w:rFonts w:ascii="Arial" w:eastAsia="Times New Roman" w:hAnsi="Arial" w:cs="Arial"/>
          <w:szCs w:val="28"/>
          <w:lang w:eastAsia="uk-UA"/>
        </w:rPr>
        <w:t xml:space="preserve">Європейський парламент, 2023. </w:t>
      </w:r>
      <w:r w:rsidRPr="00511005">
        <w:rPr>
          <w:rFonts w:ascii="Arial" w:eastAsia="Times New Roman" w:hAnsi="Arial" w:cs="Arial"/>
          <w:szCs w:val="28"/>
          <w:lang w:val="en-US" w:eastAsia="uk-UA"/>
        </w:rPr>
        <w:t>URL</w:t>
      </w:r>
      <w:r w:rsidRPr="00511005">
        <w:rPr>
          <w:rFonts w:ascii="Arial" w:eastAsia="Times New Roman" w:hAnsi="Arial" w:cs="Arial"/>
          <w:szCs w:val="28"/>
          <w:lang w:eastAsia="uk-UA"/>
        </w:rPr>
        <w:t xml:space="preserve">: </w:t>
      </w:r>
      <w:hyperlink r:id="rId246" w:tgtFrame="_new" w:history="1">
        <w:r w:rsidRPr="00511005">
          <w:rPr>
            <w:rFonts w:ascii="Arial" w:eastAsia="Times New Roman" w:hAnsi="Arial" w:cs="Arial"/>
            <w:szCs w:val="28"/>
            <w:lang w:eastAsia="uk-UA"/>
          </w:rPr>
          <w:t>https://www.europarl.europa.eu/factsheets/en/sheet/26/the-court-of-justice-of-the-european-union</w:t>
        </w:r>
      </w:hyperlink>
      <w:r w:rsidRPr="00511005">
        <w:rPr>
          <w:rFonts w:ascii="Arial" w:eastAsia="Times New Roman" w:hAnsi="Arial" w:cs="Arial"/>
          <w:szCs w:val="28"/>
          <w:lang w:eastAsia="uk-UA"/>
        </w:rPr>
        <w:t xml:space="preserve"> (дата звернення: 17.04.2025). </w:t>
      </w:r>
    </w:p>
    <w:p w14:paraId="41F5138E" w14:textId="77777777" w:rsidR="00220D3E" w:rsidRPr="00511005" w:rsidRDefault="00220D3E" w:rsidP="003F6A5D">
      <w:pPr>
        <w:numPr>
          <w:ilvl w:val="0"/>
          <w:numId w:val="79"/>
        </w:numPr>
        <w:tabs>
          <w:tab w:val="left" w:pos="709"/>
        </w:tabs>
        <w:spacing w:line="264" w:lineRule="auto"/>
        <w:ind w:left="0" w:firstLine="709"/>
        <w:contextualSpacing/>
        <w:jc w:val="left"/>
        <w:rPr>
          <w:rFonts w:ascii="Arial" w:eastAsia="Times New Roman" w:hAnsi="Arial" w:cs="Arial"/>
          <w:szCs w:val="28"/>
          <w:lang w:eastAsia="uk-UA"/>
        </w:rPr>
      </w:pPr>
      <w:r w:rsidRPr="00511005">
        <w:rPr>
          <w:rFonts w:ascii="Arial" w:eastAsia="Times New Roman" w:hAnsi="Arial" w:cs="Arial"/>
          <w:bCs/>
          <w:szCs w:val="28"/>
          <w:lang w:val="en-US" w:eastAsia="uk-UA"/>
        </w:rPr>
        <w:t>The Influence of the Court of Justice of the European Union on National Legal Systems.</w:t>
      </w:r>
      <w:r w:rsidRPr="00511005">
        <w:rPr>
          <w:rFonts w:ascii="Arial" w:eastAsia="Times New Roman" w:hAnsi="Arial" w:cs="Arial"/>
          <w:szCs w:val="28"/>
          <w:lang w:val="en-US" w:eastAsia="uk-UA"/>
        </w:rPr>
        <w:t xml:space="preserve"> </w:t>
      </w:r>
      <w:r w:rsidRPr="00511005">
        <w:rPr>
          <w:rFonts w:ascii="Arial" w:eastAsia="Times New Roman" w:hAnsi="Arial" w:cs="Arial"/>
          <w:szCs w:val="28"/>
          <w:lang w:eastAsia="uk-UA"/>
        </w:rPr>
        <w:t xml:space="preserve">SSRN, 2023. </w:t>
      </w:r>
      <w:r w:rsidRPr="00511005">
        <w:rPr>
          <w:rFonts w:ascii="Arial" w:eastAsia="Times New Roman" w:hAnsi="Arial" w:cs="Arial"/>
          <w:szCs w:val="28"/>
          <w:lang w:val="en-US" w:eastAsia="uk-UA"/>
        </w:rPr>
        <w:t>URL</w:t>
      </w:r>
      <w:r w:rsidRPr="00511005">
        <w:rPr>
          <w:rFonts w:ascii="Arial" w:eastAsia="Times New Roman" w:hAnsi="Arial" w:cs="Arial"/>
          <w:szCs w:val="28"/>
          <w:lang w:eastAsia="uk-UA"/>
        </w:rPr>
        <w:t xml:space="preserve">: </w:t>
      </w:r>
      <w:hyperlink r:id="rId247" w:tgtFrame="_new" w:history="1">
        <w:r w:rsidRPr="00511005">
          <w:rPr>
            <w:rFonts w:ascii="Arial" w:eastAsia="Times New Roman" w:hAnsi="Arial" w:cs="Arial"/>
            <w:szCs w:val="28"/>
            <w:lang w:eastAsia="uk-UA"/>
          </w:rPr>
          <w:t>https://papers.ssrn.com/sol3/papers.cfm?abstract_id=4658428</w:t>
        </w:r>
      </w:hyperlink>
      <w:r w:rsidRPr="00511005">
        <w:rPr>
          <w:rFonts w:ascii="Arial" w:eastAsia="Times New Roman" w:hAnsi="Arial" w:cs="Arial"/>
          <w:szCs w:val="28"/>
          <w:lang w:eastAsia="uk-UA"/>
        </w:rPr>
        <w:t xml:space="preserve"> (дата звернення: 17.04.2025).</w:t>
      </w:r>
    </w:p>
    <w:p w14:paraId="71FC1157"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6E321FE1" w14:textId="2235D57B"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Суд Європейського Союзу, вплив рішень, національне законодавство, правова система, пріоритет права ЄС, принцип прямої дії, попереднє рішення, європейська інтеграція, фундаментальні права, імплементація норм, конституціоналізм.</w:t>
      </w:r>
    </w:p>
    <w:p w14:paraId="13FDDC86" w14:textId="3A06D4BB"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Court of Justice of the European Union, influence of decisions, national legislation, legal system, supremacy of EU law, principle of direct effect, preliminary ruling, European integration, fundamental rights, implementation of norms, constitutionalism.</w:t>
      </w:r>
    </w:p>
    <w:p w14:paraId="0D01B5CF" w14:textId="3B0B4980" w:rsidR="00220D3E" w:rsidRPr="00511005" w:rsidRDefault="00EE6668" w:rsidP="003A292D">
      <w:pPr>
        <w:tabs>
          <w:tab w:val="left" w:pos="709"/>
        </w:tabs>
        <w:spacing w:line="264" w:lineRule="auto"/>
        <w:rPr>
          <w:rFonts w:ascii="Arial" w:eastAsia="Times New Roman" w:hAnsi="Arial" w:cs="Arial"/>
          <w:bCs/>
          <w:i/>
          <w:szCs w:val="28"/>
          <w:lang w:val="uk-UA" w:eastAsia="ru-RU"/>
        </w:rPr>
      </w:pPr>
      <w:r w:rsidRPr="00511005">
        <w:rPr>
          <w:rFonts w:ascii="Arial" w:eastAsia="Times New Roman" w:hAnsi="Arial" w:cs="Arial"/>
          <w:bCs/>
          <w:i/>
          <w:szCs w:val="28"/>
          <w:lang w:eastAsia="ru-RU"/>
        </w:rPr>
        <w:t>Науковий керівник:</w:t>
      </w:r>
      <w:r w:rsidR="00220D3E" w:rsidRPr="00511005">
        <w:rPr>
          <w:rFonts w:ascii="Arial" w:eastAsia="Times New Roman" w:hAnsi="Arial" w:cs="Arial"/>
          <w:bCs/>
          <w:i/>
          <w:szCs w:val="28"/>
          <w:lang w:eastAsia="ru-RU"/>
        </w:rPr>
        <w:t xml:space="preserve"> д.ю.н., професор Сурілова О.О.</w:t>
      </w:r>
    </w:p>
    <w:p w14:paraId="15A8715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7A11A1DF" w14:textId="77777777" w:rsidR="00220D3E" w:rsidRPr="00511005" w:rsidRDefault="00220D3E" w:rsidP="003A292D">
      <w:pPr>
        <w:tabs>
          <w:tab w:val="left" w:pos="709"/>
        </w:tabs>
        <w:spacing w:line="264" w:lineRule="auto"/>
        <w:ind w:firstLine="0"/>
        <w:jc w:val="center"/>
        <w:rPr>
          <w:rFonts w:ascii="Arial" w:hAnsi="Arial" w:cs="Arial"/>
          <w:szCs w:val="28"/>
          <w:lang w:val="uk-UA" w:eastAsia="ru-RU"/>
        </w:rPr>
      </w:pPr>
      <w:r w:rsidRPr="00511005">
        <w:rPr>
          <w:rFonts w:ascii="Arial" w:hAnsi="Arial" w:cs="Arial"/>
          <w:b/>
          <w:bCs/>
          <w:i/>
          <w:iCs/>
          <w:szCs w:val="28"/>
          <w:lang w:eastAsia="ru-RU"/>
        </w:rPr>
        <w:t xml:space="preserve">Волчан Яна </w:t>
      </w:r>
      <w:r w:rsidRPr="00511005">
        <w:rPr>
          <w:rFonts w:ascii="Arial" w:hAnsi="Arial" w:cs="Arial"/>
          <w:b/>
          <w:bCs/>
          <w:i/>
          <w:iCs/>
          <w:szCs w:val="28"/>
          <w:lang w:val="uk-UA" w:eastAsia="ru-RU"/>
        </w:rPr>
        <w:t>Олександрівна</w:t>
      </w:r>
    </w:p>
    <w:p w14:paraId="117BE4D8" w14:textId="679C0CF0" w:rsidR="00220D3E" w:rsidRPr="00511005" w:rsidRDefault="00536AAB" w:rsidP="003A292D">
      <w:pPr>
        <w:tabs>
          <w:tab w:val="left" w:pos="709"/>
        </w:tabs>
        <w:spacing w:line="264" w:lineRule="auto"/>
        <w:ind w:firstLine="0"/>
        <w:jc w:val="center"/>
        <w:rPr>
          <w:rFonts w:ascii="Arial" w:hAnsi="Arial" w:cs="Arial"/>
          <w:szCs w:val="28"/>
          <w:lang w:val="uk-UA" w:eastAsia="ru-RU"/>
        </w:rPr>
      </w:pPr>
      <w:r w:rsidRPr="00511005">
        <w:rPr>
          <w:rFonts w:ascii="Arial" w:hAnsi="Arial" w:cs="Arial"/>
          <w:szCs w:val="28"/>
          <w:lang w:val="uk-UA" w:eastAsia="ru-RU"/>
        </w:rPr>
        <w:t xml:space="preserve">студентка 2-го курсу </w:t>
      </w:r>
      <w:r w:rsidR="001B7B25" w:rsidRPr="00511005">
        <w:rPr>
          <w:rFonts w:ascii="Arial" w:hAnsi="Arial" w:cs="Arial"/>
          <w:szCs w:val="28"/>
          <w:lang w:val="uk-UA" w:eastAsia="ru-RU"/>
        </w:rPr>
        <w:t>факультету судового та міжнародного права</w:t>
      </w:r>
    </w:p>
    <w:p w14:paraId="5906FD9F" w14:textId="539755A8" w:rsidR="00220D3E" w:rsidRPr="00511005" w:rsidRDefault="007B2628" w:rsidP="003A292D">
      <w:pPr>
        <w:tabs>
          <w:tab w:val="left" w:pos="709"/>
        </w:tabs>
        <w:spacing w:line="264" w:lineRule="auto"/>
        <w:ind w:firstLine="0"/>
        <w:jc w:val="center"/>
        <w:rPr>
          <w:rFonts w:ascii="Arial" w:hAnsi="Arial" w:cs="Arial"/>
          <w:szCs w:val="28"/>
          <w:lang w:eastAsia="ru-RU"/>
        </w:rPr>
      </w:pPr>
      <w:r w:rsidRPr="00511005">
        <w:rPr>
          <w:rFonts w:ascii="Arial" w:hAnsi="Arial" w:cs="Arial"/>
          <w:szCs w:val="28"/>
          <w:lang w:val="uk-UA" w:eastAsia="ru-RU"/>
        </w:rPr>
        <w:t>Національного університету «Одеська юридична академія»</w:t>
      </w:r>
    </w:p>
    <w:p w14:paraId="7C3C9DB7" w14:textId="77777777" w:rsidR="00220D3E" w:rsidRPr="00511005" w:rsidRDefault="00220D3E" w:rsidP="003A292D">
      <w:pPr>
        <w:tabs>
          <w:tab w:val="left" w:pos="709"/>
        </w:tabs>
        <w:spacing w:line="264" w:lineRule="auto"/>
        <w:ind w:firstLine="0"/>
        <w:rPr>
          <w:rFonts w:ascii="Arial" w:hAnsi="Arial" w:cs="Arial"/>
          <w:szCs w:val="28"/>
          <w:lang w:val="uk-UA" w:eastAsia="ru-RU"/>
        </w:rPr>
      </w:pPr>
    </w:p>
    <w:p w14:paraId="3C7B7755" w14:textId="77777777" w:rsidR="00220D3E" w:rsidRPr="00511005" w:rsidRDefault="00220D3E" w:rsidP="003A292D">
      <w:pPr>
        <w:tabs>
          <w:tab w:val="left" w:pos="709"/>
        </w:tabs>
        <w:spacing w:line="264" w:lineRule="auto"/>
        <w:ind w:firstLine="0"/>
        <w:jc w:val="center"/>
        <w:rPr>
          <w:rFonts w:ascii="Arial" w:hAnsi="Arial" w:cs="Arial"/>
          <w:szCs w:val="28"/>
          <w:lang w:val="uk-UA" w:eastAsia="ru-RU"/>
        </w:rPr>
      </w:pPr>
      <w:r w:rsidRPr="00511005">
        <w:rPr>
          <w:rFonts w:ascii="Arial" w:hAnsi="Arial" w:cs="Arial"/>
          <w:b/>
          <w:bCs/>
          <w:szCs w:val="28"/>
          <w:lang w:val="uk-UA" w:eastAsia="ru-RU"/>
        </w:rPr>
        <w:t>ДИПЛОМАТИЧНІ МІСІЇ ТА ЇХ РОЛЬ У МІЖНАРОДНИХ ВІДНОСИНАХ</w:t>
      </w:r>
    </w:p>
    <w:p w14:paraId="679DC979" w14:textId="77777777" w:rsidR="00220D3E" w:rsidRPr="00511005" w:rsidRDefault="00220D3E" w:rsidP="003A292D">
      <w:pPr>
        <w:tabs>
          <w:tab w:val="left" w:pos="709"/>
        </w:tabs>
        <w:spacing w:line="264" w:lineRule="auto"/>
        <w:rPr>
          <w:rFonts w:ascii="Arial" w:hAnsi="Arial" w:cs="Arial"/>
          <w:szCs w:val="28"/>
          <w:lang w:val="uk-UA" w:eastAsia="ru-RU"/>
        </w:rPr>
      </w:pPr>
      <w:r w:rsidRPr="00511005">
        <w:rPr>
          <w:rFonts w:ascii="Arial" w:hAnsi="Arial" w:cs="Arial"/>
          <w:szCs w:val="28"/>
          <w:lang w:val="uk-UA" w:eastAsia="ru-RU"/>
        </w:rPr>
        <w:t>Дипломатичні місії — це офіційні представництва однієї держави на території іншої, які виконують зовнішньополітичні функції, встановлюють і підтримують міждержавні зв’язки, а також захищають інтереси своєї країни та її громадян за кордоном.</w:t>
      </w:r>
    </w:p>
    <w:p w14:paraId="2B471FB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Щодо витоків спеціальних місій як форми дипломатичної діяльності, історичні джерела підтверджують, «що саме вони стали основою сучасної дипломатичної структури. На ранніх етапах розвитку цивілізації, коли зароджувалися перші міждержавні та міжнародні контакти, інших форм дипломатії, окрім спеціальних місій, фактично не існувало». Це було зумовлено низьким рівнем розвитку засобів зв’язку і транспорту, «ізольованістю держав та відсутністю регулярних економічних, торговельних, культурних і політичних відносин. </w:t>
      </w:r>
      <w:r w:rsidRPr="00511005">
        <w:rPr>
          <w:rFonts w:ascii="Arial" w:eastAsia="Times New Roman" w:hAnsi="Arial" w:cs="Arial"/>
          <w:szCs w:val="28"/>
          <w:lang w:eastAsia="ru-RU"/>
        </w:rPr>
        <w:t xml:space="preserve">Усталеної системи </w:t>
      </w:r>
      <w:r w:rsidRPr="00511005">
        <w:rPr>
          <w:rFonts w:ascii="Arial" w:eastAsia="Times New Roman" w:hAnsi="Arial" w:cs="Arial"/>
          <w:szCs w:val="28"/>
          <w:lang w:eastAsia="ru-RU"/>
        </w:rPr>
        <w:lastRenderedPageBreak/>
        <w:t>дипломатичних зв’язків із постійними представництвами ще не могло бути за таких умов» [1].</w:t>
      </w:r>
    </w:p>
    <w:p w14:paraId="62998E5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w:t>
      </w:r>
      <w:r w:rsidRPr="00511005">
        <w:rPr>
          <w:rFonts w:ascii="Arial" w:eastAsia="Times New Roman" w:hAnsi="Arial" w:cs="Arial"/>
          <w:szCs w:val="28"/>
          <w:lang w:val="uk-UA" w:eastAsia="ru-RU"/>
        </w:rPr>
        <w:t xml:space="preserve">давні </w:t>
      </w:r>
      <w:r w:rsidRPr="00511005">
        <w:rPr>
          <w:rFonts w:ascii="Arial" w:eastAsia="Times New Roman" w:hAnsi="Arial" w:cs="Arial"/>
          <w:szCs w:val="28"/>
          <w:lang w:eastAsia="ru-RU"/>
        </w:rPr>
        <w:t>часи» спеціальні місії виконували функції, подібні до тих, що нині здійснюють постійні дипломатичні установи: «вони вели переговори з широкого кола питань, які становили взаємний інтерес для держав». До таких питань належали як «політичні, так і церемоніальні — зокрема участь посланців у королівських весіллях чи урочистостях з нагоди вступу на престол». «</w:t>
      </w:r>
      <w:r w:rsidRPr="00511005">
        <w:rPr>
          <w:rFonts w:ascii="Arial" w:eastAsia="Times New Roman" w:hAnsi="Arial" w:cs="Arial"/>
          <w:szCs w:val="28"/>
          <w:lang w:val="uk-UA" w:eastAsia="ru-RU"/>
        </w:rPr>
        <w:t>І</w:t>
      </w:r>
      <w:r w:rsidRPr="00511005">
        <w:rPr>
          <w:rFonts w:ascii="Arial" w:eastAsia="Times New Roman" w:hAnsi="Arial" w:cs="Arial"/>
          <w:szCs w:val="28"/>
          <w:lang w:eastAsia="ru-RU"/>
        </w:rPr>
        <w:t>сторичний досвід європейських країн, а також українських державних утворень, свідчить, що до XVIII століття функції та організація спеціальних місій практично не відрізнялися від повноцінної дипломатичної практики». Особливо важливу роль вони відігравали в періоди боротьби за «національну незалежність», коли «дипломатія» була ключовим інструментом зовнішньої політики [2].</w:t>
      </w:r>
    </w:p>
    <w:p w14:paraId="37F79DE4" w14:textId="77777777" w:rsidR="00220D3E" w:rsidRPr="00511005" w:rsidRDefault="00220D3E" w:rsidP="003A292D">
      <w:pPr>
        <w:tabs>
          <w:tab w:val="left" w:pos="709"/>
        </w:tabs>
        <w:spacing w:line="264" w:lineRule="auto"/>
        <w:rPr>
          <w:rFonts w:ascii="Arial" w:hAnsi="Arial" w:cs="Arial"/>
          <w:szCs w:val="28"/>
          <w:lang w:eastAsia="ru-RU"/>
        </w:rPr>
      </w:pPr>
      <w:r w:rsidRPr="00511005">
        <w:rPr>
          <w:rFonts w:ascii="Arial" w:eastAsia="Times New Roman" w:hAnsi="Arial" w:cs="Arial"/>
          <w:szCs w:val="28"/>
          <w:lang w:eastAsia="ru-RU"/>
        </w:rPr>
        <w:t>Головна відмінність «стародавніх спеціальних місій» від сучасних полягала в тому, «що держава, яка їх відправляла, не потребувала згоди приймаючої сторони. Це пояснювалося відсутністю налагоджених систем комунікації та офіційної дипломатичної процедури. Такі місії часто діяли на свій ризик, а поняття дипломатичного імунітету чи привілеїв мали умовний і несталий характер» [2].</w:t>
      </w:r>
    </w:p>
    <w:p w14:paraId="462E0153" w14:textId="77777777" w:rsidR="007B2628" w:rsidRPr="00511005" w:rsidRDefault="00220D3E" w:rsidP="003A292D">
      <w:pPr>
        <w:tabs>
          <w:tab w:val="left" w:pos="709"/>
        </w:tabs>
        <w:spacing w:line="264" w:lineRule="auto"/>
        <w:rPr>
          <w:rFonts w:ascii="Arial" w:hAnsi="Arial" w:cs="Arial"/>
          <w:szCs w:val="28"/>
          <w:lang w:eastAsia="ru-RU"/>
        </w:rPr>
      </w:pPr>
      <w:r w:rsidRPr="00511005">
        <w:rPr>
          <w:rFonts w:ascii="Arial" w:hAnsi="Arial" w:cs="Arial"/>
          <w:szCs w:val="28"/>
          <w:lang w:eastAsia="ru-RU"/>
        </w:rPr>
        <w:t>Обов'язки «дипломатичних агентів» визначаються стандартами міжнародного права та муніципального права (права конкретної країни). «Згідно зі статтею 3(1) Віденської конвенції про дипломатичні зносини 1961 року, дипломатичні агенти виконують різноманітні функції. Дипломатичні агенти є віддзеркаленням політики та поглядів своєї держави, яка їх висилає. Їхня основна функція виступити в ролі рупора між главою своєї держави та міністром закордонних справ для взаємодії з приймаючою державою. Дипломатичні агенти захищають права та інтереси своєї держави відповідно до муніципального законодавства приймаючої держави» [4].</w:t>
      </w:r>
    </w:p>
    <w:p w14:paraId="57997CA4" w14:textId="77BDC4A6" w:rsidR="00220D3E" w:rsidRPr="00511005" w:rsidRDefault="00220D3E" w:rsidP="003A292D">
      <w:pPr>
        <w:tabs>
          <w:tab w:val="left" w:pos="709"/>
        </w:tabs>
        <w:spacing w:line="264" w:lineRule="auto"/>
        <w:rPr>
          <w:rFonts w:ascii="Arial" w:hAnsi="Arial" w:cs="Arial"/>
          <w:szCs w:val="28"/>
          <w:lang w:eastAsia="ru-RU"/>
        </w:rPr>
      </w:pPr>
      <w:r w:rsidRPr="00511005">
        <w:rPr>
          <w:rFonts w:ascii="Arial" w:hAnsi="Arial" w:cs="Arial"/>
          <w:szCs w:val="28"/>
          <w:lang w:eastAsia="ru-RU"/>
        </w:rPr>
        <w:t>Одна з ключових функцій дипломатичних агентів – «ведення переговорів від імені акредитуючої держави з приймаючою державою для забезпечення дружби та співпраці». Також, дипломати повинні «слідкувати за подіями та відзначати ті, які можуть вплинути на інтереси їхньої держави». Згідно з Віденською конвенцією, «дипломатичні агенти можуть виконувати консульські функції, такі як реєстрація подій, що стосуються підданих своєї держави в країні походження, видача паспортів та інші адміністративні обов'язки» [2].</w:t>
      </w:r>
    </w:p>
    <w:p w14:paraId="364F723A" w14:textId="77777777" w:rsidR="00220D3E" w:rsidRPr="00511005" w:rsidRDefault="00220D3E" w:rsidP="003A292D">
      <w:pPr>
        <w:tabs>
          <w:tab w:val="left" w:pos="709"/>
        </w:tabs>
        <w:spacing w:line="264" w:lineRule="auto"/>
        <w:rPr>
          <w:rFonts w:ascii="Arial" w:hAnsi="Arial" w:cs="Arial"/>
          <w:szCs w:val="28"/>
          <w:lang w:eastAsia="ru-RU"/>
        </w:rPr>
      </w:pPr>
      <w:r w:rsidRPr="00511005">
        <w:rPr>
          <w:rFonts w:ascii="Arial" w:hAnsi="Arial" w:cs="Arial"/>
          <w:szCs w:val="28"/>
          <w:lang w:eastAsia="ru-RU"/>
        </w:rPr>
        <w:t>Віденська конвенція про дипломатичні відносини 1961 року – «це міжнародний договір, який визначає рамки дипломатичних відносин між незалежними країнами». «Його метою є сприяння «розвитку дружніх стосунків» між урядами через єдиний набір практик і принципів»</w:t>
      </w:r>
    </w:p>
    <w:p w14:paraId="20DDDBF6" w14:textId="77777777" w:rsidR="00220D3E" w:rsidRPr="00511005" w:rsidRDefault="00220D3E" w:rsidP="003A292D">
      <w:pPr>
        <w:tabs>
          <w:tab w:val="left" w:pos="709"/>
        </w:tabs>
        <w:spacing w:line="264" w:lineRule="auto"/>
        <w:rPr>
          <w:rFonts w:ascii="Arial" w:hAnsi="Arial" w:cs="Arial"/>
          <w:szCs w:val="28"/>
          <w:lang w:eastAsia="ru-RU"/>
        </w:rPr>
      </w:pPr>
      <w:r w:rsidRPr="00511005">
        <w:rPr>
          <w:rFonts w:ascii="Arial" w:hAnsi="Arial" w:cs="Arial"/>
          <w:szCs w:val="28"/>
          <w:lang w:eastAsia="ru-RU"/>
        </w:rPr>
        <w:lastRenderedPageBreak/>
        <w:t xml:space="preserve">Віденська конвенція є «наріжним каменем сучасних міжнародних відносин і міжнародного права, ратифікована та дотримується майже повсюдно; згодом він вважається одним із найуспішніших правових документів, розроблених Організацією Об’єднаних Націй» </w:t>
      </w:r>
    </w:p>
    <w:p w14:paraId="7A4C2B61" w14:textId="77777777" w:rsidR="00220D3E" w:rsidRPr="00511005" w:rsidRDefault="00220D3E" w:rsidP="003A292D">
      <w:pPr>
        <w:tabs>
          <w:tab w:val="left" w:pos="709"/>
        </w:tabs>
        <w:spacing w:line="264" w:lineRule="auto"/>
        <w:rPr>
          <w:rFonts w:ascii="Arial" w:hAnsi="Arial" w:cs="Arial"/>
          <w:szCs w:val="28"/>
          <w:lang w:eastAsia="ru-RU"/>
        </w:rPr>
      </w:pPr>
      <w:r w:rsidRPr="00511005">
        <w:rPr>
          <w:rFonts w:ascii="Arial" w:hAnsi="Arial" w:cs="Arial"/>
          <w:szCs w:val="28"/>
          <w:lang w:eastAsia="ru-RU"/>
        </w:rPr>
        <w:t>Женевські конвенції 1949 року та Додаткові протоколи 1977 року є «міжнародними угодами, прийнятими під егідою Міжнародного Комітету Червоного Хреста, що регулюють поводження сторін конфліктів з військовими діячами, пораненими та військовополоненими». «Хоча спрямовані переважно на захист поранених та військовополонених під час війни, також містять положення про захист медичного персоналу та цивільних осіб, включаючи дипломатичних представників у воєнний час» [1].</w:t>
      </w:r>
    </w:p>
    <w:p w14:paraId="57291F39" w14:textId="77777777" w:rsidR="00220D3E" w:rsidRPr="00511005" w:rsidRDefault="00220D3E" w:rsidP="003A292D">
      <w:pPr>
        <w:tabs>
          <w:tab w:val="left" w:pos="709"/>
        </w:tabs>
        <w:spacing w:line="264" w:lineRule="auto"/>
        <w:rPr>
          <w:rFonts w:ascii="Arial" w:hAnsi="Arial" w:cs="Arial"/>
          <w:szCs w:val="28"/>
          <w:lang w:eastAsia="ru-RU"/>
        </w:rPr>
      </w:pPr>
      <w:r w:rsidRPr="00511005">
        <w:rPr>
          <w:rFonts w:ascii="Arial" w:hAnsi="Arial" w:cs="Arial"/>
          <w:szCs w:val="28"/>
          <w:lang w:eastAsia="ru-RU"/>
        </w:rPr>
        <w:t>Глобалізація «міжнародних проблем» сучасності, «таких як охорона довкілля, вирішення загальних для цілих регіонів і континентів питань у галузі енергетики, транспорту, сучасних засобів зв’язку, дослідження і освоєння Світового океану, космосу, інтенсифікація сільського господарства, запобігання і боротьба з масовими захворюваннями тощо» – все це неминуче відбивається на діяльності міжнародної дипломатії, внаслідок чого сучасні посольства стають центрами не лише політичній активності, але і співпраці між державами у вказаних вище сферах.</w:t>
      </w:r>
    </w:p>
    <w:p w14:paraId="5F9FB8A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аналіз розвитку та функціонування дипломатичних місій засвідчує їхню надзвичайну важливість у контексті формування, підтримання та зміцнення міждержавних відносин як у минулому, так і в сучасності. Історичний досвід показує, що саме спеціальні місії стали підґрунтям для сучасної дипломатичної системи. У періоди, коли ще не існувало постійних дипломатичних представництв, а засоби зв’язку були обмеженими, спеціальні місії забезпечували необхідну комунікацію між державами, виконуючи не лише політичні, а й церемоніальні функції.</w:t>
      </w:r>
    </w:p>
    <w:p w14:paraId="0D7ADA0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 плином часу та розвитком міжнародного права, особливо з прийняттям Віденської конвенції про дипломатичні зносини 1961 року, дипломатична діяльність отримала чітке юридичне оформлення. Дипломатичні агенти стали офіційними представниками своїх держав із чітко визначеними обов’язками, правами та привілеями, серед яких ключовими є ведення переговорів, захист інтересів держави та її громадян, а також виконання консульських функцій.</w:t>
      </w:r>
    </w:p>
    <w:p w14:paraId="3D0BC4D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Сучасна дипломатія зазнала значних змін під впливом глобалізаційних процесів. Нині посольства виступають не лише каналами політичної взаємодії, а й центрами співпраці в таких життєво важливих сферах, як енергетика, екологія, наука, охорона здоров’я, транспорт і зв’язок. З огляду на це, роль дипломатичних установ істотно розширилась, а сама дипломатія стала інструментом глобального врегулювання проблем та викликів, що стоять перед людством.</w:t>
      </w:r>
    </w:p>
    <w:p w14:paraId="078C4F9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Таким чином, дипломатичні місії в умовах сучасного світу виступають не просто формальними інституціями, а активними гравцями у сфері міжнародних відносин. Їхня діяльність є незамінною у справі збереження миру, безпеки, взаєморозуміння та стабільності на планеті. Їхня еволюція від спеціальних місій до повноцінних постійних представництв демонструє гнучкість і динамізм дипломатії як явища, що постійно адаптується до нових політичних, соціальних і технологічних реалій.</w:t>
      </w:r>
    </w:p>
    <w:p w14:paraId="2CD53C21" w14:textId="77777777" w:rsidR="00220D3E" w:rsidRPr="00511005" w:rsidRDefault="00220D3E" w:rsidP="003A292D">
      <w:pPr>
        <w:tabs>
          <w:tab w:val="left" w:pos="709"/>
        </w:tabs>
        <w:spacing w:line="264" w:lineRule="auto"/>
        <w:rPr>
          <w:rFonts w:ascii="Arial" w:hAnsi="Arial" w:cs="Arial"/>
          <w:szCs w:val="28"/>
          <w:lang w:val="uk-UA" w:eastAsia="ru-RU"/>
        </w:rPr>
      </w:pPr>
    </w:p>
    <w:p w14:paraId="0B707849" w14:textId="7986D8E0" w:rsidR="00220D3E" w:rsidRPr="00511005" w:rsidRDefault="007B2628" w:rsidP="007B2628">
      <w:pPr>
        <w:tabs>
          <w:tab w:val="left" w:pos="709"/>
        </w:tabs>
        <w:spacing w:line="264" w:lineRule="auto"/>
        <w:jc w:val="center"/>
        <w:rPr>
          <w:rFonts w:ascii="Arial" w:hAnsi="Arial" w:cs="Arial"/>
          <w:b/>
          <w:bCs/>
          <w:szCs w:val="28"/>
          <w:lang w:val="uk-UA" w:eastAsia="ru-RU"/>
        </w:rPr>
      </w:pPr>
      <w:r w:rsidRPr="00511005">
        <w:rPr>
          <w:rFonts w:ascii="Arial" w:hAnsi="Arial" w:cs="Arial"/>
          <w:b/>
          <w:bCs/>
          <w:szCs w:val="28"/>
          <w:lang w:val="uk-UA" w:eastAsia="ru-RU"/>
        </w:rPr>
        <w:t>Список використаних джерел</w:t>
      </w:r>
    </w:p>
    <w:p w14:paraId="74C34821" w14:textId="77777777" w:rsidR="00220D3E" w:rsidRPr="00511005" w:rsidRDefault="00220D3E" w:rsidP="003F6A5D">
      <w:pPr>
        <w:numPr>
          <w:ilvl w:val="0"/>
          <w:numId w:val="80"/>
        </w:numPr>
        <w:tabs>
          <w:tab w:val="left" w:pos="709"/>
        </w:tabs>
        <w:spacing w:line="264" w:lineRule="auto"/>
        <w:jc w:val="left"/>
        <w:rPr>
          <w:rFonts w:ascii="Arial" w:hAnsi="Arial" w:cs="Arial"/>
          <w:szCs w:val="28"/>
          <w:lang w:eastAsia="ru-RU"/>
        </w:rPr>
      </w:pPr>
      <w:r w:rsidRPr="00511005">
        <w:rPr>
          <w:rFonts w:ascii="Arial" w:hAnsi="Arial" w:cs="Arial"/>
          <w:szCs w:val="28"/>
          <w:lang w:eastAsia="ru-RU"/>
        </w:rPr>
        <w:t xml:space="preserve">Балабанов К. В. Дипломатична та консульська служба: підручник для студентів ВНЗ / К. В. Балабанов, М. В. Трофименко. Донецьк.: Вид-во «Ноулідж» (донецьке відділення), 2013. 432 с. </w:t>
      </w:r>
    </w:p>
    <w:p w14:paraId="02B3225D" w14:textId="77777777" w:rsidR="00220D3E" w:rsidRPr="00511005" w:rsidRDefault="00220D3E" w:rsidP="003F6A5D">
      <w:pPr>
        <w:numPr>
          <w:ilvl w:val="0"/>
          <w:numId w:val="80"/>
        </w:numPr>
        <w:tabs>
          <w:tab w:val="left" w:pos="709"/>
        </w:tabs>
        <w:spacing w:line="264" w:lineRule="auto"/>
        <w:jc w:val="left"/>
        <w:rPr>
          <w:rFonts w:ascii="Arial" w:hAnsi="Arial" w:cs="Arial"/>
          <w:szCs w:val="28"/>
          <w:lang w:eastAsia="ru-RU"/>
        </w:rPr>
      </w:pPr>
      <w:r w:rsidRPr="00511005">
        <w:rPr>
          <w:rFonts w:ascii="Arial" w:hAnsi="Arial" w:cs="Arial"/>
          <w:szCs w:val="28"/>
          <w:lang w:eastAsia="ru-RU"/>
        </w:rPr>
        <w:t>Крупеня І. М. Дипломатична та консульська служба [Текст</w:t>
      </w:r>
      <w:proofErr w:type="gramStart"/>
      <w:r w:rsidRPr="00511005">
        <w:rPr>
          <w:rFonts w:ascii="Arial" w:hAnsi="Arial" w:cs="Arial"/>
          <w:szCs w:val="28"/>
          <w:lang w:eastAsia="ru-RU"/>
        </w:rPr>
        <w:t>] :</w:t>
      </w:r>
      <w:proofErr w:type="gramEnd"/>
      <w:r w:rsidRPr="00511005">
        <w:rPr>
          <w:rFonts w:ascii="Arial" w:hAnsi="Arial" w:cs="Arial"/>
          <w:szCs w:val="28"/>
          <w:lang w:eastAsia="ru-RU"/>
        </w:rPr>
        <w:t xml:space="preserve"> [навч. посіб.] / І. М. Крупеня. </w:t>
      </w:r>
      <w:proofErr w:type="gramStart"/>
      <w:r w:rsidRPr="00511005">
        <w:rPr>
          <w:rFonts w:ascii="Arial" w:hAnsi="Arial" w:cs="Arial"/>
          <w:szCs w:val="28"/>
          <w:lang w:eastAsia="ru-RU"/>
        </w:rPr>
        <w:t>Київ :</w:t>
      </w:r>
      <w:proofErr w:type="gramEnd"/>
      <w:r w:rsidRPr="00511005">
        <w:rPr>
          <w:rFonts w:ascii="Arial" w:hAnsi="Arial" w:cs="Arial"/>
          <w:szCs w:val="28"/>
          <w:lang w:eastAsia="ru-RU"/>
        </w:rPr>
        <w:t xml:space="preserve"> КиМУ, 2019. 336 с.</w:t>
      </w:r>
    </w:p>
    <w:p w14:paraId="2D39ED61" w14:textId="77777777" w:rsidR="00220D3E" w:rsidRPr="00511005" w:rsidRDefault="00220D3E" w:rsidP="003F6A5D">
      <w:pPr>
        <w:numPr>
          <w:ilvl w:val="0"/>
          <w:numId w:val="80"/>
        </w:numPr>
        <w:tabs>
          <w:tab w:val="left" w:pos="709"/>
        </w:tabs>
        <w:spacing w:line="264" w:lineRule="auto"/>
        <w:jc w:val="left"/>
        <w:rPr>
          <w:rFonts w:ascii="Arial" w:hAnsi="Arial" w:cs="Arial"/>
          <w:szCs w:val="28"/>
          <w:lang w:eastAsia="ru-RU"/>
        </w:rPr>
      </w:pPr>
      <w:r w:rsidRPr="00511005">
        <w:rPr>
          <w:rFonts w:ascii="Arial" w:hAnsi="Arial" w:cs="Arial"/>
          <w:szCs w:val="28"/>
          <w:lang w:eastAsia="ru-RU"/>
        </w:rPr>
        <w:t xml:space="preserve">Панов А.В. Дипломатична і консульська служба. Монографія / ПП «АУТДОРШАРК». Ужгород, 2015. 270 с. </w:t>
      </w:r>
    </w:p>
    <w:p w14:paraId="2254606F" w14:textId="77777777" w:rsidR="00220D3E" w:rsidRPr="00511005" w:rsidRDefault="00220D3E" w:rsidP="003F6A5D">
      <w:pPr>
        <w:numPr>
          <w:ilvl w:val="0"/>
          <w:numId w:val="80"/>
        </w:numPr>
        <w:tabs>
          <w:tab w:val="left" w:pos="709"/>
        </w:tabs>
        <w:spacing w:line="264" w:lineRule="auto"/>
        <w:jc w:val="left"/>
        <w:rPr>
          <w:rFonts w:ascii="Arial" w:hAnsi="Arial" w:cs="Arial"/>
          <w:szCs w:val="28"/>
          <w:lang w:eastAsia="ru-RU"/>
        </w:rPr>
      </w:pPr>
      <w:r w:rsidRPr="00511005">
        <w:rPr>
          <w:rFonts w:ascii="Arial" w:hAnsi="Arial" w:cs="Arial"/>
          <w:szCs w:val="28"/>
          <w:lang w:eastAsia="ru-RU"/>
        </w:rPr>
        <w:t xml:space="preserve">Полтавець Т. Дипломатична служба в Україні та за кордоном [Електронний ресурс] / Т. Полтавець // Громадська думка про право творення, 2018. № 8 (152). С. 11–14. URL: http://nbuviap.gov.ua/images/dumka/2018/8.pdf. </w:t>
      </w:r>
    </w:p>
    <w:p w14:paraId="1A0443AA" w14:textId="77777777" w:rsidR="00220D3E" w:rsidRPr="00511005" w:rsidRDefault="00220D3E" w:rsidP="003A292D">
      <w:pPr>
        <w:tabs>
          <w:tab w:val="left" w:pos="709"/>
        </w:tabs>
        <w:spacing w:line="264" w:lineRule="auto"/>
        <w:rPr>
          <w:rFonts w:ascii="Arial" w:hAnsi="Arial" w:cs="Arial"/>
          <w:szCs w:val="28"/>
          <w:lang w:eastAsia="ru-RU"/>
        </w:rPr>
      </w:pPr>
      <w:r w:rsidRPr="00511005">
        <w:rPr>
          <w:rFonts w:ascii="Arial" w:hAnsi="Arial" w:cs="Arial"/>
          <w:szCs w:val="28"/>
          <w:lang w:eastAsia="ru-RU"/>
        </w:rPr>
        <w:t xml:space="preserve">5. Турчин Я. Б. та ін. Дипломатична та консульська служба: підручник / Я. Б. Турчин, Л. О. Дорош, О. Я. Івасечко. </w:t>
      </w:r>
      <w:proofErr w:type="gramStart"/>
      <w:r w:rsidRPr="00511005">
        <w:rPr>
          <w:rFonts w:ascii="Arial" w:hAnsi="Arial" w:cs="Arial"/>
          <w:szCs w:val="28"/>
          <w:lang w:eastAsia="ru-RU"/>
        </w:rPr>
        <w:t>Львів :</w:t>
      </w:r>
      <w:proofErr w:type="gramEnd"/>
      <w:r w:rsidRPr="00511005">
        <w:rPr>
          <w:rFonts w:ascii="Arial" w:hAnsi="Arial" w:cs="Arial"/>
          <w:szCs w:val="28"/>
          <w:lang w:eastAsia="ru-RU"/>
        </w:rPr>
        <w:t xml:space="preserve"> Видавництво Львівської політехніки, 2018. 332 с.</w:t>
      </w:r>
    </w:p>
    <w:p w14:paraId="30A49338" w14:textId="77777777" w:rsidR="00220D3E" w:rsidRPr="00055389" w:rsidRDefault="00220D3E" w:rsidP="003A292D">
      <w:pPr>
        <w:tabs>
          <w:tab w:val="left" w:pos="709"/>
        </w:tabs>
        <w:spacing w:line="264" w:lineRule="auto"/>
        <w:rPr>
          <w:rFonts w:ascii="Arial" w:hAnsi="Arial" w:cs="Arial"/>
          <w:szCs w:val="28"/>
          <w:lang w:val="en-US" w:eastAsia="ru-RU"/>
        </w:rPr>
      </w:pPr>
      <w:r w:rsidRPr="00511005">
        <w:rPr>
          <w:rFonts w:ascii="Arial" w:hAnsi="Arial" w:cs="Arial"/>
          <w:szCs w:val="28"/>
          <w:lang w:eastAsia="ru-RU"/>
        </w:rPr>
        <w:t xml:space="preserve">6. </w:t>
      </w:r>
      <w:r w:rsidRPr="00511005">
        <w:rPr>
          <w:rFonts w:ascii="Arial" w:hAnsi="Arial" w:cs="Arial"/>
          <w:szCs w:val="28"/>
          <w:lang w:val="en-US" w:eastAsia="ru-RU"/>
        </w:rPr>
        <w:t>Marsha</w:t>
      </w:r>
      <w:r w:rsidRPr="00511005">
        <w:rPr>
          <w:rFonts w:ascii="Arial" w:hAnsi="Arial" w:cs="Arial"/>
          <w:szCs w:val="28"/>
          <w:lang w:eastAsia="ru-RU"/>
        </w:rPr>
        <w:t xml:space="preserve"> </w:t>
      </w:r>
      <w:r w:rsidRPr="00511005">
        <w:rPr>
          <w:rFonts w:ascii="Arial" w:hAnsi="Arial" w:cs="Arial"/>
          <w:szCs w:val="28"/>
          <w:lang w:val="en-US" w:eastAsia="ru-RU"/>
        </w:rPr>
        <w:t>L</w:t>
      </w:r>
      <w:r w:rsidRPr="00511005">
        <w:rPr>
          <w:rFonts w:ascii="Arial" w:hAnsi="Arial" w:cs="Arial"/>
          <w:szCs w:val="28"/>
          <w:lang w:eastAsia="ru-RU"/>
        </w:rPr>
        <w:t xml:space="preserve">. </w:t>
      </w:r>
      <w:r w:rsidRPr="00511005">
        <w:rPr>
          <w:rFonts w:ascii="Arial" w:hAnsi="Arial" w:cs="Arial"/>
          <w:szCs w:val="28"/>
          <w:lang w:val="en-US" w:eastAsia="ru-RU"/>
        </w:rPr>
        <w:t>Frey</w:t>
      </w:r>
      <w:r w:rsidRPr="00511005">
        <w:rPr>
          <w:rFonts w:ascii="Arial" w:hAnsi="Arial" w:cs="Arial"/>
          <w:szCs w:val="28"/>
          <w:lang w:eastAsia="ru-RU"/>
        </w:rPr>
        <w:t xml:space="preserve">. </w:t>
      </w:r>
      <w:r w:rsidRPr="00511005">
        <w:rPr>
          <w:rFonts w:ascii="Arial" w:hAnsi="Arial" w:cs="Arial"/>
          <w:szCs w:val="28"/>
          <w:lang w:val="en-US" w:eastAsia="ru-RU"/>
        </w:rPr>
        <w:t>Diplomatic</w:t>
      </w:r>
      <w:r w:rsidRPr="00511005">
        <w:rPr>
          <w:rFonts w:ascii="Arial" w:hAnsi="Arial" w:cs="Arial"/>
          <w:szCs w:val="28"/>
          <w:lang w:eastAsia="ru-RU"/>
        </w:rPr>
        <w:t xml:space="preserve"> </w:t>
      </w:r>
      <w:r w:rsidRPr="00511005">
        <w:rPr>
          <w:rFonts w:ascii="Arial" w:hAnsi="Arial" w:cs="Arial"/>
          <w:szCs w:val="28"/>
          <w:lang w:val="en-US" w:eastAsia="ru-RU"/>
        </w:rPr>
        <w:t>immunity</w:t>
      </w:r>
      <w:r w:rsidRPr="00511005">
        <w:rPr>
          <w:rFonts w:ascii="Arial" w:hAnsi="Arial" w:cs="Arial"/>
          <w:szCs w:val="28"/>
          <w:lang w:eastAsia="ru-RU"/>
        </w:rPr>
        <w:t xml:space="preserve">. </w:t>
      </w:r>
      <w:r w:rsidRPr="00511005">
        <w:rPr>
          <w:rFonts w:ascii="Arial" w:hAnsi="Arial" w:cs="Arial"/>
          <w:szCs w:val="28"/>
          <w:lang w:val="en-US" w:eastAsia="ru-RU"/>
        </w:rPr>
        <w:t>Britannica</w:t>
      </w:r>
      <w:r w:rsidRPr="00055389">
        <w:rPr>
          <w:rFonts w:ascii="Arial" w:hAnsi="Arial" w:cs="Arial"/>
          <w:szCs w:val="28"/>
          <w:lang w:val="en-US" w:eastAsia="ru-RU"/>
        </w:rPr>
        <w:t xml:space="preserve">. </w:t>
      </w:r>
      <w:r w:rsidRPr="00511005">
        <w:rPr>
          <w:rFonts w:ascii="Arial" w:hAnsi="Arial" w:cs="Arial"/>
          <w:szCs w:val="28"/>
          <w:lang w:val="en-US" w:eastAsia="ru-RU"/>
        </w:rPr>
        <w:t>URL</w:t>
      </w:r>
      <w:r w:rsidRPr="00055389">
        <w:rPr>
          <w:rFonts w:ascii="Arial" w:hAnsi="Arial" w:cs="Arial"/>
          <w:szCs w:val="28"/>
          <w:lang w:val="en-US" w:eastAsia="ru-RU"/>
        </w:rPr>
        <w:t xml:space="preserve">: </w:t>
      </w:r>
      <w:r w:rsidRPr="00511005">
        <w:rPr>
          <w:rFonts w:ascii="Arial" w:hAnsi="Arial" w:cs="Arial"/>
          <w:szCs w:val="28"/>
          <w:lang w:val="en-US" w:eastAsia="ru-RU"/>
        </w:rPr>
        <w:t>https</w:t>
      </w:r>
      <w:r w:rsidRPr="00055389">
        <w:rPr>
          <w:rFonts w:ascii="Arial" w:hAnsi="Arial" w:cs="Arial"/>
          <w:szCs w:val="28"/>
          <w:lang w:val="en-US" w:eastAsia="ru-RU"/>
        </w:rPr>
        <w:t>://</w:t>
      </w:r>
      <w:r w:rsidRPr="00511005">
        <w:rPr>
          <w:rFonts w:ascii="Arial" w:hAnsi="Arial" w:cs="Arial"/>
          <w:szCs w:val="28"/>
          <w:lang w:val="en-US" w:eastAsia="ru-RU"/>
        </w:rPr>
        <w:t>www</w:t>
      </w:r>
      <w:r w:rsidRPr="00055389">
        <w:rPr>
          <w:rFonts w:ascii="Arial" w:hAnsi="Arial" w:cs="Arial"/>
          <w:szCs w:val="28"/>
          <w:lang w:val="en-US" w:eastAsia="ru-RU"/>
        </w:rPr>
        <w:t>.</w:t>
      </w:r>
      <w:r w:rsidRPr="00511005">
        <w:rPr>
          <w:rFonts w:ascii="Arial" w:hAnsi="Arial" w:cs="Arial"/>
          <w:szCs w:val="28"/>
          <w:lang w:val="en-US" w:eastAsia="ru-RU"/>
        </w:rPr>
        <w:t>britannica</w:t>
      </w:r>
      <w:r w:rsidRPr="00055389">
        <w:rPr>
          <w:rFonts w:ascii="Arial" w:hAnsi="Arial" w:cs="Arial"/>
          <w:szCs w:val="28"/>
          <w:lang w:val="en-US" w:eastAsia="ru-RU"/>
        </w:rPr>
        <w:t>.</w:t>
      </w:r>
      <w:r w:rsidRPr="00511005">
        <w:rPr>
          <w:rFonts w:ascii="Arial" w:hAnsi="Arial" w:cs="Arial"/>
          <w:szCs w:val="28"/>
          <w:lang w:val="en-US" w:eastAsia="ru-RU"/>
        </w:rPr>
        <w:t>com</w:t>
      </w:r>
      <w:r w:rsidRPr="00055389">
        <w:rPr>
          <w:rFonts w:ascii="Arial" w:hAnsi="Arial" w:cs="Arial"/>
          <w:szCs w:val="28"/>
          <w:lang w:val="en-US" w:eastAsia="ru-RU"/>
        </w:rPr>
        <w:t>/</w:t>
      </w:r>
      <w:r w:rsidRPr="00511005">
        <w:rPr>
          <w:rFonts w:ascii="Arial" w:hAnsi="Arial" w:cs="Arial"/>
          <w:szCs w:val="28"/>
          <w:lang w:val="en-US" w:eastAsia="ru-RU"/>
        </w:rPr>
        <w:t>topic</w:t>
      </w:r>
      <w:r w:rsidRPr="00055389">
        <w:rPr>
          <w:rFonts w:ascii="Arial" w:hAnsi="Arial" w:cs="Arial"/>
          <w:szCs w:val="28"/>
          <w:lang w:val="en-US" w:eastAsia="ru-RU"/>
        </w:rPr>
        <w:t>/</w:t>
      </w:r>
      <w:r w:rsidRPr="00511005">
        <w:rPr>
          <w:rFonts w:ascii="Arial" w:hAnsi="Arial" w:cs="Arial"/>
          <w:szCs w:val="28"/>
          <w:lang w:val="en-US" w:eastAsia="ru-RU"/>
        </w:rPr>
        <w:t>diplomaticimmunity</w:t>
      </w:r>
      <w:r w:rsidRPr="00055389">
        <w:rPr>
          <w:rFonts w:ascii="Arial" w:hAnsi="Arial" w:cs="Arial"/>
          <w:szCs w:val="28"/>
          <w:lang w:val="en-US" w:eastAsia="ru-RU"/>
        </w:rPr>
        <w:t xml:space="preserve"> (</w:t>
      </w:r>
      <w:r w:rsidRPr="00511005">
        <w:rPr>
          <w:rFonts w:ascii="Arial" w:hAnsi="Arial" w:cs="Arial"/>
          <w:szCs w:val="28"/>
          <w:lang w:eastAsia="ru-RU"/>
        </w:rPr>
        <w:t>дата</w:t>
      </w:r>
      <w:r w:rsidRPr="00055389">
        <w:rPr>
          <w:rFonts w:ascii="Arial" w:hAnsi="Arial" w:cs="Arial"/>
          <w:szCs w:val="28"/>
          <w:lang w:val="en-US" w:eastAsia="ru-RU"/>
        </w:rPr>
        <w:t xml:space="preserve"> </w:t>
      </w:r>
      <w:r w:rsidRPr="00511005">
        <w:rPr>
          <w:rFonts w:ascii="Arial" w:hAnsi="Arial" w:cs="Arial"/>
          <w:szCs w:val="28"/>
          <w:lang w:eastAsia="ru-RU"/>
        </w:rPr>
        <w:t>звернення</w:t>
      </w:r>
      <w:r w:rsidRPr="00055389">
        <w:rPr>
          <w:rFonts w:ascii="Arial" w:hAnsi="Arial" w:cs="Arial"/>
          <w:szCs w:val="28"/>
          <w:lang w:val="en-US" w:eastAsia="ru-RU"/>
        </w:rPr>
        <w:t>: 06.04.2025)</w:t>
      </w:r>
    </w:p>
    <w:p w14:paraId="34B0A99B" w14:textId="1A668865" w:rsidR="00220D3E" w:rsidRPr="00511005" w:rsidRDefault="007B2628" w:rsidP="003A292D">
      <w:pPr>
        <w:tabs>
          <w:tab w:val="left" w:pos="709"/>
        </w:tabs>
        <w:spacing w:line="264" w:lineRule="auto"/>
        <w:rPr>
          <w:rFonts w:ascii="Arial" w:hAnsi="Arial" w:cs="Arial"/>
          <w:szCs w:val="28"/>
          <w:lang w:val="uk-UA" w:eastAsia="ru-RU"/>
        </w:rPr>
      </w:pPr>
      <w:r w:rsidRPr="00511005">
        <w:rPr>
          <w:rFonts w:ascii="Arial" w:hAnsi="Arial" w:cs="Arial"/>
          <w:b/>
          <w:bCs/>
          <w:i/>
          <w:szCs w:val="28"/>
          <w:lang w:val="uk-UA" w:eastAsia="ru-RU"/>
        </w:rPr>
        <w:t xml:space="preserve">Ключові слова: </w:t>
      </w:r>
      <w:r w:rsidR="00220D3E" w:rsidRPr="00511005">
        <w:rPr>
          <w:rFonts w:ascii="Arial" w:hAnsi="Arial" w:cs="Arial"/>
          <w:szCs w:val="28"/>
          <w:lang w:val="uk-UA" w:eastAsia="ru-RU"/>
        </w:rPr>
        <w:t xml:space="preserve">дипломатія, дипломат, місії, конвенція, протокол, міжнародне право. </w:t>
      </w:r>
    </w:p>
    <w:p w14:paraId="7867661D" w14:textId="501213B2" w:rsidR="00220D3E" w:rsidRPr="00511005" w:rsidRDefault="007B2628" w:rsidP="003A292D">
      <w:pPr>
        <w:tabs>
          <w:tab w:val="left" w:pos="709"/>
        </w:tabs>
        <w:spacing w:line="264" w:lineRule="auto"/>
        <w:rPr>
          <w:rFonts w:ascii="Arial" w:hAnsi="Arial" w:cs="Arial"/>
          <w:szCs w:val="28"/>
          <w:lang w:val="en-US" w:eastAsia="ru-RU"/>
        </w:rPr>
      </w:pPr>
      <w:r w:rsidRPr="00511005">
        <w:rPr>
          <w:rFonts w:ascii="Arial" w:hAnsi="Arial" w:cs="Arial"/>
          <w:b/>
          <w:bCs/>
          <w:i/>
          <w:szCs w:val="28"/>
          <w:lang w:val="en-US" w:eastAsia="ru-RU"/>
        </w:rPr>
        <w:t xml:space="preserve">Key words: </w:t>
      </w:r>
      <w:r w:rsidR="00220D3E" w:rsidRPr="00511005">
        <w:rPr>
          <w:rFonts w:ascii="Arial" w:eastAsia="Times New Roman" w:hAnsi="Arial" w:cs="Arial"/>
          <w:szCs w:val="28"/>
          <w:lang w:val="en-US" w:eastAsia="ru-RU"/>
        </w:rPr>
        <w:t>diplomacy, diplomat, missions, convention, protocol, international law.</w:t>
      </w:r>
    </w:p>
    <w:p w14:paraId="31C55954" w14:textId="5AEB1F9A" w:rsidR="00220D3E" w:rsidRPr="00511005" w:rsidRDefault="00EE6668" w:rsidP="003A292D">
      <w:pPr>
        <w:tabs>
          <w:tab w:val="left" w:pos="709"/>
        </w:tabs>
        <w:spacing w:line="264" w:lineRule="auto"/>
        <w:rPr>
          <w:rFonts w:ascii="Arial" w:hAnsi="Arial" w:cs="Arial"/>
          <w:szCs w:val="28"/>
          <w:lang w:val="uk-UA" w:eastAsia="ru-RU"/>
        </w:rPr>
      </w:pPr>
      <w:r w:rsidRPr="00511005">
        <w:rPr>
          <w:rFonts w:ascii="Arial" w:hAnsi="Arial" w:cs="Arial"/>
          <w:i/>
          <w:iCs/>
          <w:szCs w:val="28"/>
          <w:lang w:val="uk-UA" w:eastAsia="ru-RU"/>
        </w:rPr>
        <w:t>Науковий керівник:</w:t>
      </w:r>
      <w:r w:rsidR="00220D3E" w:rsidRPr="00511005">
        <w:rPr>
          <w:rFonts w:ascii="Arial" w:hAnsi="Arial" w:cs="Arial"/>
          <w:i/>
          <w:iCs/>
          <w:szCs w:val="28"/>
          <w:lang w:val="uk-UA" w:eastAsia="ru-RU"/>
        </w:rPr>
        <w:t xml:space="preserve"> </w:t>
      </w:r>
      <w:r w:rsidR="00383DE9" w:rsidRPr="00511005">
        <w:rPr>
          <w:rFonts w:ascii="Arial" w:hAnsi="Arial" w:cs="Arial"/>
          <w:i/>
          <w:iCs/>
          <w:szCs w:val="28"/>
          <w:lang w:val="uk-UA" w:eastAsia="ru-RU"/>
        </w:rPr>
        <w:t xml:space="preserve">к.ю.н., </w:t>
      </w:r>
      <w:r w:rsidR="00220D3E" w:rsidRPr="00511005">
        <w:rPr>
          <w:rFonts w:ascii="Arial" w:hAnsi="Arial" w:cs="Arial"/>
          <w:i/>
          <w:iCs/>
          <w:szCs w:val="28"/>
          <w:lang w:val="uk-UA" w:eastAsia="ru-RU"/>
        </w:rPr>
        <w:t xml:space="preserve">доцент Бєлогубова О.О. </w:t>
      </w:r>
    </w:p>
    <w:p w14:paraId="7B00A97A"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uk-UA"/>
        </w:rPr>
      </w:pPr>
    </w:p>
    <w:p w14:paraId="6372B5D6"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eastAsia="uk-UA"/>
        </w:rPr>
      </w:pPr>
      <w:r w:rsidRPr="00511005">
        <w:rPr>
          <w:rFonts w:ascii="Arial" w:eastAsia="Times New Roman" w:hAnsi="Arial" w:cs="Arial"/>
          <w:b/>
          <w:bCs/>
          <w:i/>
          <w:iCs/>
          <w:szCs w:val="28"/>
          <w:lang w:eastAsia="uk-UA"/>
        </w:rPr>
        <w:t>Волчан Яна Олександрівна</w:t>
      </w:r>
    </w:p>
    <w:p w14:paraId="42B6D125" w14:textId="4092704A" w:rsidR="00220D3E" w:rsidRPr="00511005" w:rsidRDefault="00536AAB" w:rsidP="003A292D">
      <w:pPr>
        <w:tabs>
          <w:tab w:val="left" w:pos="709"/>
        </w:tabs>
        <w:spacing w:line="264" w:lineRule="auto"/>
        <w:jc w:val="center"/>
        <w:rPr>
          <w:rFonts w:ascii="Arial" w:eastAsia="Times New Roman" w:hAnsi="Arial" w:cs="Arial"/>
          <w:szCs w:val="28"/>
          <w:lang w:eastAsia="uk-UA"/>
        </w:rPr>
      </w:pPr>
      <w:r w:rsidRPr="00511005">
        <w:rPr>
          <w:rFonts w:ascii="Arial" w:eastAsia="Times New Roman" w:hAnsi="Arial" w:cs="Arial"/>
          <w:szCs w:val="28"/>
          <w:lang w:eastAsia="uk-UA"/>
        </w:rPr>
        <w:t xml:space="preserve">Студентка 2-го курсу </w:t>
      </w:r>
      <w:r w:rsidR="001B7B25" w:rsidRPr="00511005">
        <w:rPr>
          <w:rFonts w:ascii="Arial" w:eastAsia="Times New Roman" w:hAnsi="Arial" w:cs="Arial"/>
          <w:szCs w:val="28"/>
          <w:lang w:eastAsia="uk-UA"/>
        </w:rPr>
        <w:t>факультету судового та міжнародного права</w:t>
      </w:r>
    </w:p>
    <w:p w14:paraId="7A8262B0" w14:textId="64389EE3" w:rsidR="00220D3E" w:rsidRPr="00511005" w:rsidRDefault="007B2628" w:rsidP="003A292D">
      <w:pPr>
        <w:tabs>
          <w:tab w:val="left" w:pos="709"/>
        </w:tabs>
        <w:spacing w:line="264" w:lineRule="auto"/>
        <w:jc w:val="center"/>
        <w:rPr>
          <w:rFonts w:ascii="Arial" w:eastAsia="Times New Roman" w:hAnsi="Arial" w:cs="Arial"/>
          <w:szCs w:val="28"/>
          <w:lang w:eastAsia="uk-UA"/>
        </w:rPr>
      </w:pPr>
      <w:r w:rsidRPr="00511005">
        <w:rPr>
          <w:rFonts w:ascii="Arial" w:eastAsia="Times New Roman" w:hAnsi="Arial" w:cs="Arial"/>
          <w:szCs w:val="28"/>
          <w:lang w:eastAsia="uk-UA"/>
        </w:rPr>
        <w:t>Національного університету «Одеська юридична академія»</w:t>
      </w:r>
    </w:p>
    <w:p w14:paraId="7710E981" w14:textId="77777777" w:rsidR="00220D3E" w:rsidRPr="00511005" w:rsidRDefault="00220D3E" w:rsidP="003A292D">
      <w:pPr>
        <w:tabs>
          <w:tab w:val="left" w:pos="709"/>
        </w:tabs>
        <w:spacing w:line="264" w:lineRule="auto"/>
        <w:jc w:val="center"/>
        <w:rPr>
          <w:rFonts w:ascii="Arial" w:eastAsia="Times New Roman" w:hAnsi="Arial" w:cs="Arial"/>
          <w:szCs w:val="28"/>
          <w:lang w:eastAsia="uk-UA"/>
        </w:rPr>
      </w:pPr>
    </w:p>
    <w:p w14:paraId="5EDAE589"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eastAsia="uk-UA"/>
        </w:rPr>
        <w:t xml:space="preserve">ГУГО ГРОЦІЙ: ОСНОВНІ ІДЕЇ ТА ВНЕСОК </w:t>
      </w:r>
    </w:p>
    <w:p w14:paraId="0EA4935C"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eastAsia="uk-UA"/>
        </w:rPr>
      </w:pPr>
      <w:r w:rsidRPr="00511005">
        <w:rPr>
          <w:rFonts w:ascii="Arial" w:eastAsia="Times New Roman" w:hAnsi="Arial" w:cs="Arial"/>
          <w:b/>
          <w:bCs/>
          <w:szCs w:val="28"/>
          <w:lang w:eastAsia="uk-UA"/>
        </w:rPr>
        <w:t>В МІЖНАРОДНЕ ПРАВО</w:t>
      </w:r>
    </w:p>
    <w:p w14:paraId="5AB5FB0D"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Гуго Гроцій (</w:t>
      </w:r>
      <w:r w:rsidRPr="00511005">
        <w:rPr>
          <w:rFonts w:ascii="Arial" w:eastAsia="Times New Roman" w:hAnsi="Arial" w:cs="Arial"/>
          <w:szCs w:val="28"/>
          <w:lang w:val="en-US" w:eastAsia="uk-UA"/>
        </w:rPr>
        <w:t>Huig</w:t>
      </w:r>
      <w:r w:rsidRPr="00511005">
        <w:rPr>
          <w:rFonts w:ascii="Arial" w:eastAsia="Times New Roman" w:hAnsi="Arial" w:cs="Arial"/>
          <w:szCs w:val="28"/>
          <w:lang w:eastAsia="uk-UA"/>
        </w:rPr>
        <w:t xml:space="preserve"> </w:t>
      </w:r>
      <w:r w:rsidRPr="00511005">
        <w:rPr>
          <w:rFonts w:ascii="Arial" w:eastAsia="Times New Roman" w:hAnsi="Arial" w:cs="Arial"/>
          <w:szCs w:val="28"/>
          <w:lang w:val="en-US" w:eastAsia="uk-UA"/>
        </w:rPr>
        <w:t>de</w:t>
      </w:r>
      <w:r w:rsidRPr="00511005">
        <w:rPr>
          <w:rFonts w:ascii="Arial" w:eastAsia="Times New Roman" w:hAnsi="Arial" w:cs="Arial"/>
          <w:szCs w:val="28"/>
          <w:lang w:eastAsia="uk-UA"/>
        </w:rPr>
        <w:t xml:space="preserve"> </w:t>
      </w:r>
      <w:r w:rsidRPr="00511005">
        <w:rPr>
          <w:rFonts w:ascii="Arial" w:eastAsia="Times New Roman" w:hAnsi="Arial" w:cs="Arial"/>
          <w:szCs w:val="28"/>
          <w:lang w:val="en-US" w:eastAsia="uk-UA"/>
        </w:rPr>
        <w:t>Groot</w:t>
      </w:r>
      <w:r w:rsidRPr="00511005">
        <w:rPr>
          <w:rFonts w:ascii="Arial" w:eastAsia="Times New Roman" w:hAnsi="Arial" w:cs="Arial"/>
          <w:szCs w:val="28"/>
          <w:lang w:eastAsia="uk-UA"/>
        </w:rPr>
        <w:t xml:space="preserve">) - видатний нідерландський правознавець і поет, який зробив значний внесок у розвиток природного права та сучасного міжнародного права. Його праці, такі як «Вільне море» (1609), «Про право </w:t>
      </w:r>
      <w:r w:rsidRPr="00511005">
        <w:rPr>
          <w:rFonts w:ascii="Arial" w:eastAsia="Times New Roman" w:hAnsi="Arial" w:cs="Arial"/>
          <w:szCs w:val="28"/>
          <w:lang w:eastAsia="uk-UA"/>
        </w:rPr>
        <w:lastRenderedPageBreak/>
        <w:t>війни і миру» (1625) і «Вступ до голландської юриспруденції» (1631), стали фундаментом для міжнародних правових норм і доктрин.</w:t>
      </w:r>
    </w:p>
    <w:p w14:paraId="126CF845"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Гроцій наполягав на тому, що «міжнародне право базується на природному праві», яке є об'єктивним і не залежить від волі окремих держав. Його ідеї значно вплинули на розвиток дипломатії та врегулювання конфліктів у Європі.</w:t>
      </w:r>
    </w:p>
    <w:p w14:paraId="797D1AAC"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Основною працею Гуго Гроція, яка заклала теоретико-методологічні основи науки міжнародного права, є трактат «Про право війни і миру» (1625 р.). Важливо відзначити, що ця робота базується на трьох ключових принципах міжнародно-правових відносин: «суверенітеті», «міжнародному співробітництві» та «гуманізмі». Завдяки чіткому усвідомленню та послідовному викладу цих принципів Гроцій зміг створити «цілісну систему» міжнародного права як наукової дисципліни [1].</w:t>
      </w:r>
    </w:p>
    <w:p w14:paraId="4F752DBF"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Дослідники підкреслюють, що Гроцій не просто «структуровано виклав матеріал», а застосував узагальнюючий, методологічний підхід. Саме він першим глибоко розкрив особливості міжнародного права та «показав його унікальність серед інших юридичних галузей» [1].</w:t>
      </w:r>
    </w:p>
    <w:p w14:paraId="5D68DC90"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Гроцій, поділяючи погляди Аристотеля щодо класифікації права на природне і волевстановлене, дає таке визначення природного права: «Природне право є диктат здорового розуму, згідно з яким певна дія, залежно від її відповідності або невідповідності самій розумній природі, визнається або морально ганебною, або морально необхідною; відповідно, така дія або забороняється, або приписується самим Богом, творцем природи» [2].</w:t>
      </w:r>
    </w:p>
    <w:p w14:paraId="1AE27AE6"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У основі такого розуміння Гроцієм природного права лежить «уявлення про дотримання людьми правил співжиття, властивих людському розуму, таких як утримання від чужого майна, повернення чужої речі і повернення отриманої від неї вигоди, дотримання обіцянок, відшкодування шкоди, завданої винними діями, відплата за заслужене покарання, співмірність у розподілі благ між окремими людьми» [2].</w:t>
      </w:r>
    </w:p>
    <w:p w14:paraId="7D918352"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Гроцій стверджував, що «матір’ю природного права є сама природа людини, яка спонукала б її прагнути до взаємного спілкування, навіть якби ми не потребували нічого» [3]. Він також зазначав, що основою внутрішньодержавного права є зобов’язання, прийняте за взаємною згодою. Оскільки таке зобов’язання отримує свою силу від «природного права», можна вважати, що природа є своєрідним пращуром «внутрішньодержавного права». Обидва ці види права мають практичну користь [1].</w:t>
      </w:r>
    </w:p>
    <w:p w14:paraId="5267E2B7" w14:textId="530633EA"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На думку правознавця, якщо предмет «юриспруденції» визначають питання права та справедливості, то предмет політичної науки – доцільності та корисності.</w:t>
      </w:r>
      <w:r w:rsidR="007B2628" w:rsidRPr="00511005">
        <w:rPr>
          <w:rFonts w:ascii="Arial" w:eastAsia="Times New Roman" w:hAnsi="Arial" w:cs="Arial"/>
          <w:szCs w:val="28"/>
          <w:lang w:eastAsia="uk-UA"/>
        </w:rPr>
        <w:t xml:space="preserve"> </w:t>
      </w:r>
      <w:r w:rsidRPr="00511005">
        <w:rPr>
          <w:rFonts w:ascii="Arial" w:eastAsia="Times New Roman" w:hAnsi="Arial" w:cs="Arial"/>
          <w:szCs w:val="28"/>
          <w:lang w:eastAsia="uk-UA"/>
        </w:rPr>
        <w:t xml:space="preserve">Розподіляючи все право на природне та волевстановлене, а останнє на божественне і людське, Г. Гроцій сформулював міжнародне </w:t>
      </w:r>
      <w:r w:rsidRPr="00511005">
        <w:rPr>
          <w:rFonts w:ascii="Arial" w:eastAsia="Times New Roman" w:hAnsi="Arial" w:cs="Arial"/>
          <w:szCs w:val="28"/>
          <w:lang w:eastAsia="uk-UA"/>
        </w:rPr>
        <w:lastRenderedPageBreak/>
        <w:t>право як «право народів» [4]. Оскільки в основному Г. Гроцій відніс міжнародне право до права людського «у більш широкому розумінні», то головними джерелами міжнародного права він вважав звичай та договір [3].</w:t>
      </w:r>
    </w:p>
    <w:p w14:paraId="76715F1E"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Варто підкреслити, що обґрунтовуючи необхідність правового оформлення і регулювання міжнародних відносин, і, насамперед, проблем війни і миру, Гроцій критикував поширену точку зору, що війна абсолютно не сумісна з правом. «Не можливо, – підкреслював він, – не тільки погодитись з домислами деяких, начебто під час війни припиняються всі права, але навіть не потрібно ні розпочинати війну, ні продовжувати розпочату війну інакше, ніж дотримуючись меж права і добросовісності» [5].</w:t>
      </w:r>
    </w:p>
    <w:p w14:paraId="765AFD87"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Навіть справедливі війни, вказує дослідник, потрібно розпочинати із застереженням. Адже досить часто виникають ситуації, при яких доречно відмовитись від таких воєн. «У випадку, якщо війна все ж стає неминучою, вона повинна вестись, заради підписання миру». Принципово важливим є його висновок про те, що «право народів» діє як під час миру, так і під час війни [5].</w:t>
      </w:r>
    </w:p>
    <w:p w14:paraId="1BBD1929"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Одним із важливих досягнень Гроція є його «обґрунтування права на опір владі». Він починає з посилання на думку «всіх розсудливих людей про те, що не слід коритися наказам влади, які суперечать природному праву та Божим заповідям» [4].</w:t>
      </w:r>
    </w:p>
    <w:p w14:paraId="407AE9C6"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Гроцій підкреслює, що «за природою всі люди мають право чинити опір насильству». Проте, розмірковуючи над тим, чи можна чинити опір верховній владі або її підпорядкованим органам, які діють за її дорученням, Гроцій зазначає, що «війна проти влади як такої не дозволена природним правом», ще меншою мірою це допускається «Святим Письмом», де зазначено: «воздати кесарю кесареве» та «той, хто противиться владі, противиться Божому встановленню» [5].</w:t>
      </w:r>
    </w:p>
    <w:p w14:paraId="46672D64"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Це пояснюється тим, що «держава створена для забезпечення суспільного спокою та безпеки всіх підданих», а тому має певне «верховне право» над громадянами і їхнім майном, оскільки це необхідно для досягнення державних цілей [5].</w:t>
      </w:r>
    </w:p>
    <w:p w14:paraId="7F4534B5"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Гроцій також підкреслює, що «загальні закони», навіть якщо вони не всіх влаштовують, є значно більшим благом, ніж життя без норм або свавільна свобода кожного обирати собі власні правила [1]. Саме тому в усьому світі «недоторканність народу», «верховної влади» та «правителя» охороняється суворими законами, покараннями та біблійними закликами до смирення. Цього було б неможливо досягти, якби піддані мали можливість відкрито чинити опір владі [1].</w:t>
      </w:r>
    </w:p>
    <w:p w14:paraId="1D040CB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uk-UA"/>
        </w:rPr>
        <w:t xml:space="preserve">Отже, </w:t>
      </w:r>
      <w:r w:rsidRPr="00511005">
        <w:rPr>
          <w:rFonts w:ascii="Arial" w:eastAsia="Times New Roman" w:hAnsi="Arial" w:cs="Arial"/>
          <w:szCs w:val="28"/>
          <w:lang w:eastAsia="ru-RU"/>
        </w:rPr>
        <w:t xml:space="preserve">Гуго Гроцій був однією з найвизначніших постатей у розвитку правової думки, зокрема в галузі міжнародного права. Його теоретичні здобутки не лише започаткували нову правову дисципліну — міжнародне право, але й заклали фундаментальні принципи, які залишаються </w:t>
      </w:r>
      <w:r w:rsidRPr="00511005">
        <w:rPr>
          <w:rFonts w:ascii="Arial" w:eastAsia="Times New Roman" w:hAnsi="Arial" w:cs="Arial"/>
          <w:szCs w:val="28"/>
          <w:lang w:eastAsia="ru-RU"/>
        </w:rPr>
        <w:lastRenderedPageBreak/>
        <w:t>актуальними і в сучасному світі. Гроцій розглядав природне право як вічну й універсальну категорію, що не залежить від волі держав і базується на розумній природі людини. Це право, на його думку, є основою для побудови справедливого суспільного ладу та правових взаємин як усередині держав, так і між ними.</w:t>
      </w:r>
    </w:p>
    <w:p w14:paraId="3F68F08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своїх працях, зокрема в «Про право війни і миру», він чітко формулює концепцію «права народів» як форми людського права, що ґрунтується на звичаях і договорах. Гроцій аргументовано доводить необхідність правового регулювання навіть таких складних і драматичних явищ, як війна, підкреслюючи, що навіть у стані збройного конфлікту мають дотримуватись норми моралі, закону та добросовісності. Його підхід не тільки гуманізував уявлення про війну, а й підготував ґрунт для подальшого розвитку ідеї міжнародної відповідальності держав.</w:t>
      </w:r>
    </w:p>
    <w:p w14:paraId="37E0EE7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Крім того, Гроцій зробив спробу поєднати філософські й правові концепції, закладаючи підґрунтя для міждисциплінарного підходу до права. Його вчення про опір владі, межі державної сили та значення загальних законів стало ключовим для формування правової держави. Гроцій не виступав за анархію або безлад, а, навпаки, наголошував на необхідності правової стабільності як умови для суспільного блага та безпеки.</w:t>
      </w:r>
    </w:p>
    <w:p w14:paraId="4B285F1C" w14:textId="77777777" w:rsidR="00220D3E" w:rsidRPr="00511005" w:rsidRDefault="00220D3E" w:rsidP="003A292D">
      <w:pPr>
        <w:tabs>
          <w:tab w:val="left" w:pos="709"/>
        </w:tabs>
        <w:spacing w:line="264" w:lineRule="auto"/>
        <w:rPr>
          <w:rFonts w:ascii="Arial" w:eastAsia="Segoe UI" w:hAnsi="Arial" w:cs="Arial"/>
          <w:b/>
          <w:bCs/>
          <w:szCs w:val="28"/>
          <w:shd w:val="clear" w:color="auto" w:fill="FFFFFF"/>
          <w:lang w:eastAsia="ru-RU"/>
        </w:rPr>
      </w:pPr>
      <w:r w:rsidRPr="00511005">
        <w:rPr>
          <w:rFonts w:ascii="Arial" w:eastAsia="Times New Roman" w:hAnsi="Arial" w:cs="Arial"/>
          <w:szCs w:val="28"/>
          <w:lang w:eastAsia="ru-RU"/>
        </w:rPr>
        <w:t>Таким чином, внесок Гуго Гроція у розвиток правової науки є неоціненним. Його ідеї стали основою міжнародного права як окремої дисципліни, вплинули на формування принципів державного управління, прав людини та глобальної дипломатії. Його філософські міркування про справедливість, мораль і право залишаються живим джерелом натхнення для сучасних правознавців, дипломатів і політиків</w:t>
      </w:r>
    </w:p>
    <w:p w14:paraId="66D58AE3" w14:textId="77777777" w:rsidR="00220D3E" w:rsidRPr="00511005" w:rsidRDefault="00220D3E" w:rsidP="003A292D">
      <w:pPr>
        <w:tabs>
          <w:tab w:val="left" w:pos="709"/>
        </w:tabs>
        <w:spacing w:line="264" w:lineRule="auto"/>
        <w:jc w:val="center"/>
        <w:rPr>
          <w:rFonts w:ascii="Arial" w:eastAsia="Segoe UI" w:hAnsi="Arial" w:cs="Arial"/>
          <w:b/>
          <w:bCs/>
          <w:szCs w:val="28"/>
          <w:shd w:val="clear" w:color="auto" w:fill="FFFFFF"/>
          <w:lang w:val="uk-UA" w:eastAsia="ru-RU"/>
        </w:rPr>
      </w:pPr>
    </w:p>
    <w:p w14:paraId="293E1EE0" w14:textId="77777777" w:rsidR="00220D3E" w:rsidRPr="00511005" w:rsidRDefault="00220D3E" w:rsidP="003A292D">
      <w:pPr>
        <w:tabs>
          <w:tab w:val="left" w:pos="709"/>
        </w:tabs>
        <w:spacing w:line="264" w:lineRule="auto"/>
        <w:jc w:val="center"/>
        <w:rPr>
          <w:rFonts w:ascii="Arial" w:eastAsia="Segoe UI" w:hAnsi="Arial" w:cs="Arial"/>
          <w:b/>
          <w:bCs/>
          <w:szCs w:val="28"/>
          <w:shd w:val="clear" w:color="auto" w:fill="FFFFFF"/>
          <w:lang w:val="uk-UA" w:eastAsia="ru-RU"/>
        </w:rPr>
      </w:pPr>
    </w:p>
    <w:p w14:paraId="4F334D3E" w14:textId="77777777" w:rsidR="00220D3E" w:rsidRPr="00511005" w:rsidRDefault="00220D3E" w:rsidP="003A292D">
      <w:pPr>
        <w:tabs>
          <w:tab w:val="left" w:pos="709"/>
        </w:tabs>
        <w:spacing w:line="264" w:lineRule="auto"/>
        <w:jc w:val="center"/>
        <w:rPr>
          <w:rFonts w:ascii="Arial" w:eastAsia="Segoe UI" w:hAnsi="Arial" w:cs="Arial"/>
          <w:b/>
          <w:bCs/>
          <w:szCs w:val="28"/>
          <w:shd w:val="clear" w:color="auto" w:fill="FFFFFF"/>
          <w:lang w:val="uk-UA" w:eastAsia="ru-RU"/>
        </w:rPr>
      </w:pPr>
      <w:r w:rsidRPr="00511005">
        <w:rPr>
          <w:rFonts w:ascii="Arial" w:eastAsia="Segoe UI" w:hAnsi="Arial" w:cs="Arial"/>
          <w:b/>
          <w:bCs/>
          <w:szCs w:val="28"/>
          <w:shd w:val="clear" w:color="auto" w:fill="FFFFFF"/>
          <w:lang w:val="uk-UA" w:eastAsia="ru-RU"/>
        </w:rPr>
        <w:t>Список викоританих джерел</w:t>
      </w:r>
    </w:p>
    <w:p w14:paraId="7E272381" w14:textId="77777777" w:rsidR="00220D3E" w:rsidRPr="00511005" w:rsidRDefault="00220D3E" w:rsidP="003A292D">
      <w:pPr>
        <w:tabs>
          <w:tab w:val="left" w:pos="709"/>
        </w:tabs>
        <w:spacing w:line="264" w:lineRule="auto"/>
        <w:rPr>
          <w:rFonts w:ascii="Arial" w:eastAsia="Segoe UI" w:hAnsi="Arial" w:cs="Arial"/>
          <w:szCs w:val="28"/>
          <w:shd w:val="clear" w:color="auto" w:fill="FFFFFF"/>
          <w:lang w:val="uk-UA" w:eastAsia="ru-RU"/>
        </w:rPr>
      </w:pPr>
      <w:r w:rsidRPr="00511005">
        <w:rPr>
          <w:rFonts w:ascii="Arial" w:eastAsia="Segoe UI" w:hAnsi="Arial" w:cs="Arial"/>
          <w:szCs w:val="28"/>
          <w:shd w:val="clear" w:color="auto" w:fill="FFFFFF"/>
          <w:lang w:val="uk-UA" w:eastAsia="ru-RU"/>
        </w:rPr>
        <w:t>1 .Себайн Джордж Г. Історія політичної думки / Джордж Г. Себайн, Томас Л. Торсон ; пер. з англ. - К. : Основи, 1997. - 838 с.</w:t>
      </w:r>
    </w:p>
    <w:p w14:paraId="3E89FFDA" w14:textId="77777777" w:rsidR="00220D3E" w:rsidRPr="00511005" w:rsidRDefault="00220D3E" w:rsidP="003F6A5D">
      <w:pPr>
        <w:numPr>
          <w:ilvl w:val="0"/>
          <w:numId w:val="81"/>
        </w:numPr>
        <w:tabs>
          <w:tab w:val="left" w:pos="709"/>
        </w:tabs>
        <w:spacing w:line="264" w:lineRule="auto"/>
        <w:jc w:val="left"/>
        <w:rPr>
          <w:rFonts w:ascii="Arial" w:eastAsia="Segoe UI" w:hAnsi="Arial" w:cs="Arial"/>
          <w:szCs w:val="28"/>
          <w:shd w:val="clear" w:color="auto" w:fill="FFFFFF"/>
          <w:lang w:val="uk-UA" w:eastAsia="ru-RU"/>
        </w:rPr>
      </w:pPr>
      <w:r w:rsidRPr="00511005">
        <w:rPr>
          <w:rFonts w:ascii="Arial" w:eastAsia="Segoe UI" w:hAnsi="Arial" w:cs="Arial"/>
          <w:szCs w:val="28"/>
          <w:shd w:val="clear" w:color="auto" w:fill="FFFFFF"/>
          <w:lang w:val="uk-UA" w:eastAsia="ru-RU"/>
        </w:rPr>
        <w:t>Ходанич Ю.М. Концепція природного права представників Нового часу та Франц фон Цейллер / Ю.М. Ходанич // Науковий вісник Ужгородського національного університету. - 2014. - Серія ПРАВО. Випуск 28. Том 1. - С. 56- 61</w:t>
      </w:r>
    </w:p>
    <w:p w14:paraId="4F292EED" w14:textId="77777777" w:rsidR="00220D3E" w:rsidRPr="00511005" w:rsidRDefault="00220D3E" w:rsidP="003F6A5D">
      <w:pPr>
        <w:numPr>
          <w:ilvl w:val="0"/>
          <w:numId w:val="81"/>
        </w:numPr>
        <w:tabs>
          <w:tab w:val="left" w:pos="709"/>
        </w:tabs>
        <w:spacing w:line="264" w:lineRule="auto"/>
        <w:jc w:val="left"/>
        <w:rPr>
          <w:rFonts w:ascii="Arial" w:eastAsia="Segoe UI" w:hAnsi="Arial" w:cs="Arial"/>
          <w:szCs w:val="28"/>
          <w:shd w:val="clear" w:color="auto" w:fill="FFFFFF"/>
          <w:lang w:val="uk-UA" w:eastAsia="ru-RU"/>
        </w:rPr>
      </w:pPr>
      <w:r w:rsidRPr="00511005">
        <w:rPr>
          <w:rFonts w:ascii="Arial" w:eastAsia="Segoe UI" w:hAnsi="Arial" w:cs="Arial"/>
          <w:szCs w:val="28"/>
          <w:shd w:val="clear" w:color="auto" w:fill="FFFFFF"/>
          <w:lang w:val="uk-UA" w:eastAsia="ru-RU"/>
        </w:rPr>
        <w:t>Юридична енциклопедія : в 6 т. Т. 1: А - Г / редкол.: Ю.С. Шемшученко (гол. ред.) та ін. Київ: «Українська енциклопедія», 1998.</w:t>
      </w:r>
    </w:p>
    <w:p w14:paraId="79FA270A" w14:textId="77777777" w:rsidR="00220D3E" w:rsidRPr="00511005" w:rsidRDefault="00220D3E" w:rsidP="003F6A5D">
      <w:pPr>
        <w:numPr>
          <w:ilvl w:val="0"/>
          <w:numId w:val="81"/>
        </w:numPr>
        <w:tabs>
          <w:tab w:val="left" w:pos="709"/>
        </w:tabs>
        <w:spacing w:line="264" w:lineRule="auto"/>
        <w:jc w:val="left"/>
        <w:rPr>
          <w:rFonts w:ascii="Arial" w:eastAsia="Segoe UI" w:hAnsi="Arial" w:cs="Arial"/>
          <w:szCs w:val="28"/>
          <w:shd w:val="clear" w:color="auto" w:fill="FFFFFF"/>
          <w:lang w:val="uk-UA" w:eastAsia="ru-RU"/>
        </w:rPr>
      </w:pPr>
      <w:r w:rsidRPr="00511005">
        <w:rPr>
          <w:rFonts w:ascii="Arial" w:eastAsia="Segoe UI" w:hAnsi="Arial" w:cs="Arial"/>
          <w:szCs w:val="28"/>
          <w:shd w:val="clear" w:color="auto" w:fill="FFFFFF"/>
          <w:lang w:val="uk-UA" w:eastAsia="zh-CN"/>
        </w:rPr>
        <w:t>Себайн Д., Тореон Томас Л. Н. Історія політичної думки / Пер. з англ. - К.: Основи, 1997. -838 с.</w:t>
      </w:r>
    </w:p>
    <w:p w14:paraId="0CB8AEE2" w14:textId="77777777" w:rsidR="00220D3E" w:rsidRPr="00511005" w:rsidRDefault="00220D3E" w:rsidP="003F6A5D">
      <w:pPr>
        <w:numPr>
          <w:ilvl w:val="0"/>
          <w:numId w:val="81"/>
        </w:numPr>
        <w:tabs>
          <w:tab w:val="left" w:pos="709"/>
        </w:tabs>
        <w:spacing w:line="264" w:lineRule="auto"/>
        <w:jc w:val="left"/>
        <w:rPr>
          <w:rFonts w:ascii="Arial" w:eastAsia="Segoe UI" w:hAnsi="Arial" w:cs="Arial"/>
          <w:szCs w:val="28"/>
          <w:shd w:val="clear" w:color="auto" w:fill="FFFFFF"/>
          <w:lang w:val="uk-UA" w:eastAsia="ru-RU"/>
        </w:rPr>
      </w:pPr>
      <w:r w:rsidRPr="00511005">
        <w:rPr>
          <w:rFonts w:ascii="Arial" w:eastAsia="Segoe UI" w:hAnsi="Arial" w:cs="Arial"/>
          <w:szCs w:val="28"/>
          <w:shd w:val="clear" w:color="auto" w:fill="FFFFFF"/>
          <w:lang w:val="uk-UA" w:eastAsia="zh-CN"/>
        </w:rPr>
        <w:t>Бебик В. М. Базові засади політології: історія, теорія, методологія, практика: Моногр. -2 е вид., стере- отип. - К.: МАУП, 2001. -384 с.</w:t>
      </w:r>
    </w:p>
    <w:p w14:paraId="2419DE82" w14:textId="77777777" w:rsidR="00220D3E" w:rsidRPr="00511005" w:rsidRDefault="00220D3E" w:rsidP="003A292D">
      <w:pPr>
        <w:tabs>
          <w:tab w:val="left" w:pos="709"/>
        </w:tabs>
        <w:spacing w:line="264" w:lineRule="auto"/>
        <w:rPr>
          <w:rFonts w:ascii="Arial" w:eastAsia="Segoe UI" w:hAnsi="Arial" w:cs="Arial"/>
          <w:b/>
          <w:bCs/>
          <w:szCs w:val="28"/>
          <w:shd w:val="clear" w:color="auto" w:fill="FFFFFF"/>
          <w:lang w:val="uk-UA" w:eastAsia="ru-RU"/>
        </w:rPr>
      </w:pPr>
    </w:p>
    <w:p w14:paraId="0F79E2DE" w14:textId="145D7BB9" w:rsidR="00220D3E" w:rsidRPr="00511005" w:rsidRDefault="00EE6668" w:rsidP="003A292D">
      <w:pPr>
        <w:tabs>
          <w:tab w:val="left" w:pos="709"/>
        </w:tabs>
        <w:spacing w:line="264" w:lineRule="auto"/>
        <w:rPr>
          <w:rFonts w:ascii="Arial" w:eastAsia="Segoe UI" w:hAnsi="Arial" w:cs="Arial"/>
          <w:szCs w:val="28"/>
          <w:shd w:val="clear" w:color="auto" w:fill="FFFFFF"/>
          <w:lang w:val="uk-UA" w:eastAsia="ru-RU"/>
        </w:rPr>
      </w:pPr>
      <w:r w:rsidRPr="00511005">
        <w:rPr>
          <w:rFonts w:ascii="Arial" w:eastAsia="Segoe UI" w:hAnsi="Arial" w:cs="Arial"/>
          <w:b/>
          <w:bCs/>
          <w:szCs w:val="28"/>
          <w:shd w:val="clear" w:color="auto" w:fill="FFFFFF"/>
          <w:lang w:val="uk-UA" w:eastAsia="ru-RU"/>
        </w:rPr>
        <w:lastRenderedPageBreak/>
        <w:t>Ключові слова:</w:t>
      </w:r>
      <w:r w:rsidR="00220D3E" w:rsidRPr="00511005">
        <w:rPr>
          <w:rFonts w:ascii="Arial" w:eastAsia="Segoe UI" w:hAnsi="Arial" w:cs="Arial"/>
          <w:szCs w:val="28"/>
          <w:shd w:val="clear" w:color="auto" w:fill="FFFFFF"/>
          <w:lang w:val="uk-UA" w:eastAsia="ru-RU"/>
        </w:rPr>
        <w:t xml:space="preserve"> Гуго Гроцій, міжнародне право, праці, підхід,історія, ідеї</w:t>
      </w:r>
    </w:p>
    <w:p w14:paraId="5201169E" w14:textId="3AF38FE3" w:rsidR="00220D3E" w:rsidRPr="00511005" w:rsidRDefault="007B2628" w:rsidP="003A292D">
      <w:pPr>
        <w:tabs>
          <w:tab w:val="left" w:pos="709"/>
        </w:tabs>
        <w:spacing w:line="264" w:lineRule="auto"/>
        <w:rPr>
          <w:rFonts w:ascii="Arial" w:eastAsia="Segoe UI" w:hAnsi="Arial" w:cs="Arial"/>
          <w:szCs w:val="28"/>
          <w:shd w:val="clear" w:color="auto" w:fill="FFFFFF"/>
          <w:lang w:val="uk-UA" w:eastAsia="ru-RU"/>
        </w:rPr>
      </w:pPr>
      <w:r w:rsidRPr="00511005">
        <w:rPr>
          <w:rFonts w:ascii="Arial" w:eastAsia="Segoe UI" w:hAnsi="Arial" w:cs="Arial"/>
          <w:b/>
          <w:bCs/>
          <w:i/>
          <w:szCs w:val="28"/>
          <w:shd w:val="clear" w:color="auto" w:fill="FFFFFF"/>
          <w:lang w:val="en-US" w:eastAsia="ru-RU"/>
        </w:rPr>
        <w:t xml:space="preserve">Key words: </w:t>
      </w:r>
      <w:r w:rsidR="00220D3E" w:rsidRPr="00511005">
        <w:rPr>
          <w:rFonts w:ascii="Arial" w:eastAsia="Segoe UI" w:hAnsi="Arial" w:cs="Arial"/>
          <w:szCs w:val="28"/>
          <w:shd w:val="clear" w:color="auto" w:fill="FFFFFF"/>
          <w:lang w:val="uk-UA" w:eastAsia="ru-RU"/>
        </w:rPr>
        <w:t>Hugo Grotius, international law, works, approach, history, ideas</w:t>
      </w:r>
    </w:p>
    <w:p w14:paraId="0ECD9F8A" w14:textId="36B18C67" w:rsidR="00220D3E" w:rsidRPr="00511005" w:rsidRDefault="007B2628" w:rsidP="003A292D">
      <w:pPr>
        <w:tabs>
          <w:tab w:val="left" w:pos="709"/>
        </w:tabs>
        <w:spacing w:line="264" w:lineRule="auto"/>
        <w:rPr>
          <w:rFonts w:ascii="Arial" w:eastAsia="Segoe UI" w:hAnsi="Arial" w:cs="Arial"/>
          <w:i/>
          <w:iCs/>
          <w:szCs w:val="28"/>
          <w:shd w:val="clear" w:color="auto" w:fill="FFFFFF"/>
          <w:lang w:val="uk-UA" w:eastAsia="ru-RU"/>
        </w:rPr>
      </w:pPr>
      <w:r w:rsidRPr="00511005">
        <w:rPr>
          <w:rFonts w:ascii="Arial" w:eastAsia="Segoe UI" w:hAnsi="Arial" w:cs="Arial"/>
          <w:b/>
          <w:i/>
          <w:iCs/>
          <w:szCs w:val="28"/>
          <w:shd w:val="clear" w:color="auto" w:fill="FFFFFF"/>
          <w:lang w:val="uk-UA" w:eastAsia="ru-RU"/>
        </w:rPr>
        <w:t xml:space="preserve">Науковий керівник: </w:t>
      </w:r>
      <w:r w:rsidR="00220D3E" w:rsidRPr="00511005">
        <w:rPr>
          <w:rFonts w:ascii="Arial" w:eastAsia="Segoe UI" w:hAnsi="Arial" w:cs="Arial"/>
          <w:i/>
          <w:iCs/>
          <w:szCs w:val="28"/>
          <w:shd w:val="clear" w:color="auto" w:fill="FFFFFF"/>
          <w:lang w:val="uk-UA" w:eastAsia="ru-RU"/>
        </w:rPr>
        <w:t>к.ю.н., доцент Грушко М.В.</w:t>
      </w:r>
    </w:p>
    <w:p w14:paraId="016E3971" w14:textId="77777777" w:rsidR="00220D3E" w:rsidRPr="00511005" w:rsidRDefault="00220D3E" w:rsidP="003A292D">
      <w:pPr>
        <w:tabs>
          <w:tab w:val="left" w:pos="709"/>
        </w:tabs>
        <w:spacing w:line="264" w:lineRule="auto"/>
        <w:rPr>
          <w:rFonts w:ascii="Arial" w:eastAsia="Segoe UI" w:hAnsi="Arial" w:cs="Arial"/>
          <w:i/>
          <w:iCs/>
          <w:szCs w:val="28"/>
          <w:shd w:val="clear" w:color="auto" w:fill="FFFFFF"/>
          <w:lang w:val="uk-UA" w:eastAsia="ru-RU"/>
        </w:rPr>
      </w:pPr>
    </w:p>
    <w:p w14:paraId="7C9E6263"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eastAsia="uk-UA"/>
        </w:rPr>
      </w:pPr>
      <w:r w:rsidRPr="00511005">
        <w:rPr>
          <w:rFonts w:ascii="Arial" w:eastAsia="Times New Roman" w:hAnsi="Arial" w:cs="Arial"/>
          <w:b/>
          <w:bCs/>
          <w:i/>
          <w:iCs/>
          <w:szCs w:val="28"/>
          <w:lang w:eastAsia="uk-UA"/>
        </w:rPr>
        <w:t>Волчан Яна Олександрівна</w:t>
      </w:r>
    </w:p>
    <w:p w14:paraId="633174F6" w14:textId="5E27E1C5" w:rsidR="00220D3E" w:rsidRPr="00511005" w:rsidRDefault="00536AAB" w:rsidP="003A292D">
      <w:pPr>
        <w:tabs>
          <w:tab w:val="left" w:pos="709"/>
        </w:tabs>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2-го курсу </w:t>
      </w:r>
      <w:r w:rsidR="001B7B25" w:rsidRPr="00511005">
        <w:rPr>
          <w:rFonts w:ascii="Arial" w:eastAsia="Times New Roman" w:hAnsi="Arial" w:cs="Arial"/>
          <w:szCs w:val="28"/>
          <w:lang w:eastAsia="uk-UA"/>
        </w:rPr>
        <w:t>факультету судового та міжнародного права</w:t>
      </w:r>
    </w:p>
    <w:p w14:paraId="7B60F6A0" w14:textId="5321087C" w:rsidR="00220D3E" w:rsidRPr="00511005" w:rsidRDefault="007B2628" w:rsidP="003A292D">
      <w:pPr>
        <w:tabs>
          <w:tab w:val="left" w:pos="709"/>
        </w:tabs>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eastAsia="uk-UA"/>
        </w:rPr>
        <w:t>Національного університету «Одеська юридична академія»</w:t>
      </w:r>
    </w:p>
    <w:p w14:paraId="51E26297"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74ED2E78"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МІЖНАРОДНЕ УСИНОВЛЕННЯ: УКРАЇНСЬКИЙ ДОСВІД І МІЖНАРОДНІ СТАНДАРТИ</w:t>
      </w:r>
    </w:p>
    <w:p w14:paraId="4A1C95D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Усиновлення є однією з провідних форм влаштування дітей-сиріт і дітей, позбавлених батьківського піклування, яке має на меті забезпечення найкращих інтересів дитини. </w:t>
      </w:r>
      <w:r w:rsidRPr="00511005">
        <w:rPr>
          <w:rFonts w:ascii="Arial" w:eastAsia="Times New Roman" w:hAnsi="Arial" w:cs="Arial"/>
          <w:szCs w:val="28"/>
          <w:lang w:eastAsia="ru-RU"/>
        </w:rPr>
        <w:t>Цей правовий механізм створює умови для стабільного, безпечного та гармонійного розвитку дитини в родинному середовищі.</w:t>
      </w:r>
    </w:p>
    <w:p w14:paraId="45AD812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Як слушно зазначає І.О. Гожій, відносини, що виникають у процесі міжнародного усиновлення, мають приватно-правову природу, хоча і ускладнені наявністю іноземного елемента.</w:t>
      </w:r>
    </w:p>
    <w:p w14:paraId="2C41389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разі, коли в межах країни неможливо знайти для дитини сім’ю, яка забезпечить їй виховання, застосовується міждержавне усиновлення. Це </w:t>
      </w:r>
      <w:r w:rsidRPr="00511005">
        <w:rPr>
          <w:rFonts w:ascii="Arial" w:eastAsia="Times New Roman" w:hAnsi="Arial" w:cs="Arial"/>
          <w:szCs w:val="28"/>
          <w:lang w:val="uk-UA" w:eastAsia="ru-RU"/>
        </w:rPr>
        <w:t>правовий інститут міжнародного приватного права</w:t>
      </w:r>
      <w:r w:rsidRPr="00511005">
        <w:rPr>
          <w:rFonts w:ascii="Arial" w:eastAsia="Times New Roman" w:hAnsi="Arial" w:cs="Arial"/>
          <w:szCs w:val="28"/>
          <w:lang w:eastAsia="ru-RU"/>
        </w:rPr>
        <w:t>, що дозволяє громадянам інших держав набути батьківських прав щодо дітей, позбавлених належного піклування в Україні. Внаслідок цього міждержавне усиновлення виступає юридичним актом, який встановлює сімейні правовідносини між іноземним усиновлювачем та дитиною</w:t>
      </w:r>
      <w:r w:rsidRPr="00511005">
        <w:rPr>
          <w:rFonts w:ascii="Arial" w:eastAsia="Times New Roman" w:hAnsi="Arial" w:cs="Arial"/>
          <w:szCs w:val="28"/>
          <w:lang w:val="uk-UA" w:eastAsia="ru-RU"/>
        </w:rPr>
        <w:t xml:space="preserve"> [1]. </w:t>
      </w:r>
    </w:p>
    <w:p w14:paraId="5D240CB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Після завершення усиновлення дитина юридично прирівнюється до біологічних дітей усиновлювача, набуваючи рівних особистих і майнових прав. Аналогічні права й обов’язки виникають і щодо родичів усиновлювача, як у разі кровної спорідненості. Водночас припиняються всі юридичні зв’язки дитини з її біологічними батьками, включаючи особисті та майнові права й обов’язки.</w:t>
      </w:r>
    </w:p>
    <w:p w14:paraId="4B095E0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Законодавство України чітко забороняє усиновлення з комерційною метою.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Відповідно до статті 24 Закону України «Про охорону дитинства», усиновлення дитини-громадянина України іноземцями допускається лише після повного вичерпання можливостей для її влаштування в українські родини — через усиновлення, опіку чи піклування</w:t>
      </w:r>
      <w:r w:rsidRPr="00511005">
        <w:rPr>
          <w:rFonts w:ascii="Arial" w:eastAsia="Times New Roman" w:hAnsi="Arial" w:cs="Arial"/>
          <w:szCs w:val="28"/>
          <w:lang w:val="uk-UA" w:eastAsia="ru-RU"/>
        </w:rPr>
        <w:t xml:space="preserve">» [2] </w:t>
      </w:r>
      <w:r w:rsidRPr="00511005">
        <w:rPr>
          <w:rFonts w:ascii="Arial" w:eastAsia="Times New Roman" w:hAnsi="Arial" w:cs="Arial"/>
          <w:szCs w:val="28"/>
          <w:lang w:eastAsia="ru-RU"/>
        </w:rPr>
        <w:t>.</w:t>
      </w:r>
    </w:p>
    <w:p w14:paraId="41689180" w14:textId="68A2A5D4"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Міжнародне усиновлення регулюється низкою міжнародних правових документів, які забезпечують дотримання прав дітей у глобальному контексті. Серед найвагоміших актів слід виокремити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Гаазьку Конвенцію про захист дітей та співробітництво у сфері міжнародного усиновлення 1993 </w:t>
      </w:r>
      <w:r w:rsidRPr="00511005">
        <w:rPr>
          <w:rFonts w:ascii="Arial" w:eastAsia="Times New Roman" w:hAnsi="Arial" w:cs="Arial"/>
          <w:szCs w:val="28"/>
          <w:lang w:eastAsia="ru-RU"/>
        </w:rPr>
        <w:lastRenderedPageBreak/>
        <w:t>року</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Цей документ є базовим у забезпеченні належного правового супроводу транскордонного усиновлення та створенні єдиного стандарту процедур, орієнтованого на захист найкращих інтересів дитини.</w:t>
      </w:r>
    </w:p>
    <w:p w14:paraId="63A2B15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Ще одним ключовим документом є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Європейська конвенція з усиновлення дітей</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до якої Україна приєдналася у квітні 2009 року. Вона була розроблена як оновлена версія </w:t>
      </w:r>
      <w:proofErr w:type="gramStart"/>
      <w:r w:rsidRPr="00511005">
        <w:rPr>
          <w:rFonts w:ascii="Arial" w:eastAsia="Times New Roman" w:hAnsi="Arial" w:cs="Arial"/>
          <w:szCs w:val="28"/>
          <w:lang w:eastAsia="ru-RU"/>
        </w:rPr>
        <w:t>Конвенції</w:t>
      </w:r>
      <w:proofErr w:type="gramEnd"/>
      <w:r w:rsidRPr="00511005">
        <w:rPr>
          <w:rFonts w:ascii="Arial" w:eastAsia="Times New Roman" w:hAnsi="Arial" w:cs="Arial"/>
          <w:szCs w:val="28"/>
          <w:lang w:eastAsia="ru-RU"/>
        </w:rPr>
        <w:t xml:space="preserve"> Ради Європи 1967 року, з урахуванням сучасних викликів та стандартів у сфері прав дитини. Конвенція встановлює принципи, спрямовані на гармонізацію процедур усиновлення у державах-учасницях та гарантування безпеки й законності цього процесу.</w:t>
      </w:r>
    </w:p>
    <w:p w14:paraId="737B432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 даними Національної соціальної сервісної служби України, станом на липень 2024 року 11,7 тисячі дітей стали сиротами внаслідок бойових дій. Загалом, на кінець 2023 року в Україні нараховувалося понад 66 тисяч дітей-сиріт та дітей, позбавлених батьківського піклування. Майже чверть із них потребують нової постійної родини, тобто підлягають усиновленню</w:t>
      </w:r>
      <w:r w:rsidRPr="00511005">
        <w:rPr>
          <w:rFonts w:ascii="Arial" w:eastAsia="Times New Roman" w:hAnsi="Arial" w:cs="Arial"/>
          <w:szCs w:val="28"/>
          <w:lang w:val="uk-UA" w:eastAsia="ru-RU"/>
        </w:rPr>
        <w:t xml:space="preserve"> [1].</w:t>
      </w:r>
    </w:p>
    <w:p w14:paraId="5ACB3CF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Міжнародне усиновлення — це процес, за якого дитина набуває нову родину в іншій країні. Такий крок вважається крайнім заходом, який має застосовуватися лише після вичерпання можливостей національного влаштування дитини. Цей процес регулюється не лише національними законами, а й міжнародними конвенціями, зокрема Гаазькою конвенцією 1993 року.</w:t>
      </w:r>
    </w:p>
    <w:p w14:paraId="41EF238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ЮНІСЕФ та Конвенція ООН про права дитини вказують, що дитина повинна зростати в сім’ї, в атмосфері щастя, любові й розуміння</w:t>
      </w:r>
      <w:r w:rsidRPr="00511005">
        <w:rPr>
          <w:rFonts w:ascii="Arial" w:eastAsia="Times New Roman" w:hAnsi="Arial" w:cs="Arial"/>
          <w:szCs w:val="28"/>
          <w:lang w:val="uk-UA" w:eastAsia="ru-RU"/>
        </w:rPr>
        <w:t xml:space="preserve"> [3].</w:t>
      </w:r>
    </w:p>
    <w:p w14:paraId="05BD9CCF"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Україна має тривалий досвід у сфері міжнародного усиновлення. Після 1991 року, внаслідок соціальних криз, кількість дітей, позбавлених батьківського піклування, значно зросла. Це викликало інтерес іноземних громадян до усиновлення українських дітей. Особливо активними були громадяни США, Італії, Іспанії, Канади та Франції. Згідно з українським законодавством, усиновленню підлягають лише діти-сироти або ті, які залишилися без батьківського піклування, і які не були влаштовані в українську родину протягом одного року.</w:t>
      </w:r>
    </w:p>
    <w:p w14:paraId="731FE081" w14:textId="6DF5B214"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Процедура міжнародного усиновлення в Україні є доволі складною. Іноземні громадяни подають документи до Міністерства соціальної політики, проходять співбесіду та обирають дитину з державного реєстру. Лише після особистої зустрічі та спільного проживання з дитиною протягом певного часу вони можуть отримати дозвіл суду на усиновлення</w:t>
      </w:r>
      <w:r w:rsidRPr="00511005">
        <w:rPr>
          <w:rFonts w:ascii="Arial" w:eastAsia="Times New Roman" w:hAnsi="Arial" w:cs="Arial"/>
          <w:szCs w:val="28"/>
          <w:lang w:val="uk-UA" w:eastAsia="ru-RU"/>
        </w:rPr>
        <w:t xml:space="preserve"> [4].</w:t>
      </w:r>
    </w:p>
    <w:p w14:paraId="28F4A58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міжнародному контексті важливу роль відіграє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Гаазька конвенція про захист дітей та співробітництво у сфері міждержавного усиновлення</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Україна приєдналася до неї у 2006 році. Документ встановлює принцип субсидіарності, згідно з яким спочатку розглядаються можливості влаштування дитини в межах рідної країни. Лише якщо це неможливо, розглядається варіант міжнародного усиновлення. Також конвенція </w:t>
      </w:r>
      <w:r w:rsidRPr="00511005">
        <w:rPr>
          <w:rFonts w:ascii="Arial" w:eastAsia="Times New Roman" w:hAnsi="Arial" w:cs="Arial"/>
          <w:szCs w:val="28"/>
          <w:lang w:eastAsia="ru-RU"/>
        </w:rPr>
        <w:lastRenderedPageBreak/>
        <w:t>передбачає обов’язкову прозорість процедур та забороняє будь-які форми торгівлі дітьми.</w:t>
      </w:r>
    </w:p>
    <w:p w14:paraId="4C80199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Міжнародне законодавство визнає за усиновленими дітьми право знати інформацію про своє походження, проте водночас встановлює обмеження на розповсюдження персональних даних з метою захисту приватного життя. У свою чергу, національне законодавство містить низку правових інструментів для забезпечення конфіденційності усиновлення. Серед них — право усиновлювача бути вказаним у свідоцтві про народження дитини як її мати або батько, а також право змінювати офіційні відомості про місце та дату народження дитини. В Україні розголошення таємниці усиновлення кваліфікується як кримінальне правопорушення та може стати підставою для притягнення винної особи до відповідальності.</w:t>
      </w:r>
    </w:p>
    <w:p w14:paraId="6963A4D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Попри позитивні аспекти, в Україні залишаються певні виклики. Серед них — ризики корупції, випадки незаконного усиновлення, складність бюрократичної системи, а також відсутність належного моніторингу після усиновлення. Крім того, діти, які переїжджають до іншої країни, часто стикаються з культурною адаптацією, мовним бар'єром та психологічними труднощами.</w:t>
      </w:r>
    </w:p>
    <w:p w14:paraId="2EB832F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міжнародне усиновлення в Україні є складним, але важливим механізмом захисту прав дитини. Дотримання міжнародних стандартів і відповідальне ставлення до цього процесу дають шанс багатьом дітям знайти люблячу родину, навіть якщо вона за межами рідної країни.</w:t>
      </w:r>
    </w:p>
    <w:p w14:paraId="6B87D331"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49B95397" w14:textId="010B9135"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65C895DB" w14:textId="77777777" w:rsidR="00220D3E" w:rsidRPr="00511005" w:rsidRDefault="00220D3E" w:rsidP="003F6A5D">
      <w:pPr>
        <w:numPr>
          <w:ilvl w:val="0"/>
          <w:numId w:val="166"/>
        </w:num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Березовська К. І. Проблеми і перспективи ратифікації Гаазької конвенції про захист дітей та співробітництво в галузі міждержавного усиновлення // </w:t>
      </w:r>
      <w:r w:rsidRPr="00511005">
        <w:rPr>
          <w:rFonts w:ascii="Arial" w:eastAsia="Times New Roman" w:hAnsi="Arial" w:cs="Arial"/>
          <w:i/>
          <w:iCs/>
          <w:szCs w:val="28"/>
          <w:lang w:val="uk-UA" w:eastAsia="ru-RU"/>
        </w:rPr>
        <w:t>Наука і правоохорона</w:t>
      </w:r>
      <w:r w:rsidRPr="00511005">
        <w:rPr>
          <w:rFonts w:ascii="Arial" w:eastAsia="Times New Roman" w:hAnsi="Arial" w:cs="Arial"/>
          <w:szCs w:val="28"/>
          <w:lang w:val="uk-UA" w:eastAsia="ru-RU"/>
        </w:rPr>
        <w:t>. – 2018. – № 4. – С. 287–294.</w:t>
      </w:r>
    </w:p>
    <w:p w14:paraId="59EE0C50" w14:textId="77777777" w:rsidR="007B2628" w:rsidRPr="00511005" w:rsidRDefault="00220D3E" w:rsidP="003A292D">
      <w:pPr>
        <w:tabs>
          <w:tab w:val="left" w:pos="709"/>
        </w:tabs>
        <w:spacing w:line="264" w:lineRule="auto"/>
        <w:ind w:leftChars="150" w:left="420"/>
        <w:rPr>
          <w:rFonts w:ascii="Arial" w:eastAsia="Times New Roman" w:hAnsi="Arial" w:cs="Arial"/>
          <w:szCs w:val="28"/>
          <w:lang w:eastAsia="ru-RU"/>
        </w:rPr>
      </w:pPr>
      <w:r w:rsidRPr="00511005">
        <w:rPr>
          <w:rFonts w:ascii="Arial" w:eastAsia="Symbol" w:hAnsi="Arial" w:cs="Arial"/>
          <w:szCs w:val="28"/>
          <w:lang w:val="uk-UA" w:eastAsia="ru-RU"/>
        </w:rPr>
        <w:t>2.</w:t>
      </w:r>
      <w:r w:rsidR="007B2628" w:rsidRPr="00511005">
        <w:rPr>
          <w:rFonts w:ascii="Arial" w:hAnsi="Arial" w:cs="Arial"/>
          <w:szCs w:val="28"/>
          <w:lang w:eastAsia="ru-RU"/>
        </w:rPr>
        <w:t xml:space="preserve"> </w:t>
      </w:r>
      <w:r w:rsidRPr="00511005">
        <w:rPr>
          <w:rFonts w:ascii="Arial" w:eastAsia="Times New Roman" w:hAnsi="Arial" w:cs="Arial"/>
          <w:szCs w:val="28"/>
          <w:lang w:eastAsia="ru-RU"/>
        </w:rPr>
        <w:t xml:space="preserve">Розгон О. В. Роль конвенцій у регулюванні міжнародного усиновлення // </w:t>
      </w:r>
      <w:r w:rsidRPr="00511005">
        <w:rPr>
          <w:rFonts w:ascii="Arial" w:eastAsia="Times New Roman" w:hAnsi="Arial" w:cs="Arial"/>
          <w:i/>
          <w:iCs/>
          <w:szCs w:val="28"/>
          <w:lang w:eastAsia="ru-RU"/>
        </w:rPr>
        <w:t>Прикарпатський юридичний вісник</w:t>
      </w:r>
      <w:r w:rsidRPr="00511005">
        <w:rPr>
          <w:rFonts w:ascii="Arial" w:eastAsia="Times New Roman" w:hAnsi="Arial" w:cs="Arial"/>
          <w:szCs w:val="28"/>
          <w:lang w:eastAsia="ru-RU"/>
        </w:rPr>
        <w:t>. – 2016. – Вип. 3. – С. 132–135.</w:t>
      </w:r>
    </w:p>
    <w:p w14:paraId="6E1490E8" w14:textId="56356845"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Symbol" w:hAnsi="Arial" w:cs="Arial"/>
          <w:szCs w:val="28"/>
          <w:lang w:val="uk-UA" w:eastAsia="ru-RU"/>
        </w:rPr>
        <w:t>3.</w:t>
      </w:r>
      <w:r w:rsidR="007B2628" w:rsidRPr="00511005">
        <w:rPr>
          <w:rFonts w:ascii="Arial" w:hAnsi="Arial" w:cs="Arial"/>
          <w:szCs w:val="28"/>
          <w:lang w:eastAsia="ru-RU"/>
        </w:rPr>
        <w:t xml:space="preserve"> </w:t>
      </w:r>
      <w:r w:rsidRPr="00511005">
        <w:rPr>
          <w:rFonts w:ascii="Arial" w:eastAsia="Times New Roman" w:hAnsi="Arial" w:cs="Arial"/>
          <w:szCs w:val="28"/>
          <w:lang w:eastAsia="ru-RU"/>
        </w:rPr>
        <w:t xml:space="preserve">Худяк В. О., Фуксман Д. М., Головко О. М. Походження дитини та таємниця усиновлення: інформаційно-правовий аспект // </w:t>
      </w:r>
      <w:r w:rsidRPr="00511005">
        <w:rPr>
          <w:rFonts w:ascii="Arial" w:eastAsia="Times New Roman" w:hAnsi="Arial" w:cs="Arial"/>
          <w:i/>
          <w:iCs/>
          <w:szCs w:val="28"/>
          <w:lang w:eastAsia="ru-RU"/>
        </w:rPr>
        <w:t>Право і суспільство</w:t>
      </w:r>
      <w:r w:rsidRPr="00511005">
        <w:rPr>
          <w:rFonts w:ascii="Arial" w:eastAsia="Times New Roman" w:hAnsi="Arial" w:cs="Arial"/>
          <w:szCs w:val="28"/>
          <w:lang w:eastAsia="ru-RU"/>
        </w:rPr>
        <w:t>. – 2020. – № 2(3). – С. 241–248.</w:t>
      </w:r>
    </w:p>
    <w:p w14:paraId="2607F40B" w14:textId="5FF1BC7B"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Symbol" w:hAnsi="Arial" w:cs="Arial"/>
          <w:szCs w:val="28"/>
          <w:lang w:val="uk-UA" w:eastAsia="ru-RU"/>
        </w:rPr>
        <w:t>4.</w:t>
      </w:r>
      <w:r w:rsidR="007B2628" w:rsidRPr="00511005">
        <w:rPr>
          <w:rFonts w:ascii="Arial" w:hAnsi="Arial" w:cs="Arial"/>
          <w:szCs w:val="28"/>
          <w:lang w:eastAsia="ru-RU"/>
        </w:rPr>
        <w:t xml:space="preserve"> </w:t>
      </w:r>
      <w:r w:rsidRPr="00511005">
        <w:rPr>
          <w:rFonts w:ascii="Arial" w:eastAsia="Times New Roman" w:hAnsi="Arial" w:cs="Arial"/>
          <w:szCs w:val="28"/>
          <w:lang w:eastAsia="ru-RU"/>
        </w:rPr>
        <w:t xml:space="preserve">Мілімко Л. В., Ярошенко Т. С. Теоретико-правові аспекти та етичні питання таємниці усиновлення (точки дотику) // </w:t>
      </w:r>
      <w:r w:rsidRPr="00511005">
        <w:rPr>
          <w:rFonts w:ascii="Arial" w:eastAsia="Times New Roman" w:hAnsi="Arial" w:cs="Arial"/>
          <w:i/>
          <w:iCs/>
          <w:szCs w:val="28"/>
          <w:lang w:eastAsia="ru-RU"/>
        </w:rPr>
        <w:t>Держава і право. Юридичні і політичні науки</w:t>
      </w:r>
      <w:r w:rsidRPr="00511005">
        <w:rPr>
          <w:rFonts w:ascii="Arial" w:eastAsia="Times New Roman" w:hAnsi="Arial" w:cs="Arial"/>
          <w:szCs w:val="28"/>
          <w:lang w:eastAsia="ru-RU"/>
        </w:rPr>
        <w:t>. – 2020. – Вип. 88. – С. 108–116.</w:t>
      </w:r>
    </w:p>
    <w:p w14:paraId="1A2A02DF" w14:textId="2C283A72"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Symbol" w:hAnsi="Arial" w:cs="Arial"/>
          <w:szCs w:val="28"/>
          <w:lang w:val="uk-UA" w:eastAsia="ru-RU"/>
        </w:rPr>
        <w:t>5.</w:t>
      </w:r>
      <w:r w:rsidR="007B2628" w:rsidRPr="00511005">
        <w:rPr>
          <w:rFonts w:ascii="Arial" w:hAnsi="Arial" w:cs="Arial"/>
          <w:szCs w:val="28"/>
          <w:lang w:eastAsia="ru-RU"/>
        </w:rPr>
        <w:t xml:space="preserve"> </w:t>
      </w:r>
      <w:r w:rsidRPr="00511005">
        <w:rPr>
          <w:rFonts w:ascii="Arial" w:eastAsia="Times New Roman" w:hAnsi="Arial" w:cs="Arial"/>
          <w:szCs w:val="28"/>
          <w:lang w:eastAsia="ru-RU"/>
        </w:rPr>
        <w:t xml:space="preserve">Тавлуй О. В. Соціальна зумовленість встановлення кримінальної відповідальності за розголошення таємниці усиновлення // </w:t>
      </w:r>
      <w:r w:rsidRPr="00511005">
        <w:rPr>
          <w:rFonts w:ascii="Arial" w:eastAsia="Times New Roman" w:hAnsi="Arial" w:cs="Arial"/>
          <w:i/>
          <w:iCs/>
          <w:szCs w:val="28"/>
          <w:lang w:eastAsia="ru-RU"/>
        </w:rPr>
        <w:t>Науковий вісник Міжнародного гуманітарного університету. Серія: Юриспруденція</w:t>
      </w:r>
      <w:r w:rsidRPr="00511005">
        <w:rPr>
          <w:rFonts w:ascii="Arial" w:eastAsia="Times New Roman" w:hAnsi="Arial" w:cs="Arial"/>
          <w:szCs w:val="28"/>
          <w:lang w:eastAsia="ru-RU"/>
        </w:rPr>
        <w:t>. – 2020. – Вип. 47(2). – С. 78–81.</w:t>
      </w:r>
    </w:p>
    <w:p w14:paraId="58BCD351" w14:textId="7ED65B82" w:rsidR="00220D3E" w:rsidRPr="00511005" w:rsidRDefault="007B2628" w:rsidP="003A292D">
      <w:pPr>
        <w:tabs>
          <w:tab w:val="left" w:pos="709"/>
        </w:tabs>
        <w:spacing w:line="264" w:lineRule="auto"/>
        <w:rPr>
          <w:rFonts w:ascii="Arial" w:eastAsia="Times New Roman" w:hAnsi="Arial" w:cs="Arial"/>
          <w:bCs/>
          <w:szCs w:val="28"/>
          <w:lang w:val="uk-UA" w:eastAsia="ru-RU"/>
        </w:rPr>
      </w:pPr>
      <w:r w:rsidRPr="00511005">
        <w:rPr>
          <w:rFonts w:ascii="Arial" w:eastAsia="Times New Roman" w:hAnsi="Arial" w:cs="Arial"/>
          <w:b/>
          <w:bCs/>
          <w:i/>
          <w:szCs w:val="28"/>
          <w:lang w:val="uk-UA" w:eastAsia="ru-RU"/>
        </w:rPr>
        <w:lastRenderedPageBreak/>
        <w:t xml:space="preserve">Ключові слова: </w:t>
      </w:r>
      <w:r w:rsidR="00220D3E" w:rsidRPr="00511005">
        <w:rPr>
          <w:rFonts w:ascii="Arial" w:eastAsia="Times New Roman" w:hAnsi="Arial" w:cs="Arial"/>
          <w:bCs/>
          <w:szCs w:val="28"/>
          <w:lang w:val="uk-UA" w:eastAsia="ru-RU"/>
        </w:rPr>
        <w:t>усиновлення, міжнародні стандарти, права дитини, таємниця</w:t>
      </w:r>
    </w:p>
    <w:p w14:paraId="5F03AE01" w14:textId="2A04EF53" w:rsidR="00220D3E" w:rsidRPr="00511005" w:rsidRDefault="002611B5" w:rsidP="003A292D">
      <w:pPr>
        <w:tabs>
          <w:tab w:val="left" w:pos="709"/>
        </w:tabs>
        <w:spacing w:line="264" w:lineRule="auto"/>
        <w:rPr>
          <w:rFonts w:ascii="Arial" w:eastAsia="Times New Roman" w:hAnsi="Arial" w:cs="Arial"/>
          <w:bCs/>
          <w:szCs w:val="28"/>
          <w:lang w:val="uk-UA" w:eastAsia="ru-RU"/>
        </w:rPr>
      </w:pPr>
      <w:r w:rsidRPr="00511005">
        <w:rPr>
          <w:rFonts w:ascii="Arial" w:eastAsia="Segoe UI" w:hAnsi="Arial" w:cs="Arial"/>
          <w:b/>
          <w:bCs/>
          <w:i/>
          <w:szCs w:val="28"/>
          <w:shd w:val="clear" w:color="auto" w:fill="FFFFFF"/>
          <w:lang w:val="en-US" w:eastAsia="ru-RU"/>
        </w:rPr>
        <w:t xml:space="preserve">Key words: </w:t>
      </w:r>
      <w:r w:rsidR="00220D3E" w:rsidRPr="00511005">
        <w:rPr>
          <w:rFonts w:ascii="Arial" w:eastAsia="Times New Roman" w:hAnsi="Arial" w:cs="Arial"/>
          <w:bCs/>
          <w:szCs w:val="28"/>
          <w:lang w:val="uk-UA" w:eastAsia="ru-RU"/>
        </w:rPr>
        <w:t>adoption, international standards, children's rights, confidentiality</w:t>
      </w:r>
    </w:p>
    <w:p w14:paraId="2B374590" w14:textId="1EBFE021"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асистент кафедри Бугаєць А. С.</w:t>
      </w:r>
    </w:p>
    <w:p w14:paraId="0274800E" w14:textId="77777777" w:rsidR="00220D3E" w:rsidRPr="00511005" w:rsidRDefault="00220D3E" w:rsidP="003A292D">
      <w:pPr>
        <w:tabs>
          <w:tab w:val="left" w:pos="709"/>
        </w:tabs>
        <w:spacing w:line="264" w:lineRule="auto"/>
        <w:rPr>
          <w:rFonts w:ascii="Arial" w:eastAsia="Segoe UI" w:hAnsi="Arial" w:cs="Arial"/>
          <w:i/>
          <w:iCs/>
          <w:szCs w:val="28"/>
          <w:shd w:val="clear" w:color="auto" w:fill="FFFFFF"/>
          <w:lang w:val="uk-UA" w:eastAsia="ru-RU"/>
        </w:rPr>
      </w:pPr>
    </w:p>
    <w:p w14:paraId="4A614B4A"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Гавриш Софія Вячеславівна</w:t>
      </w:r>
    </w:p>
    <w:p w14:paraId="11922430" w14:textId="010A7354"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p>
    <w:p w14:paraId="2E8308CD" w14:textId="40CD883D"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73F55F42"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27546F6C"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ПРАВО НА САМОВИЗНАЧЕННЯ НАРОДІВ: МІЖНАРОДНО-ПРАВОВІ АСПЕКТИ ТА СУЧАСНІ ТЕНДЕНЦІЇ</w:t>
      </w:r>
    </w:p>
    <w:p w14:paraId="6D43533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Право на самовизначення народів є одним з фундаментальних принципів у сучасному міжнародному праві. Воно стало основою для деколонізації у ХХ столітті та залишається актуальним у багатьох сучасних конфліктах. Право на самовизначення народів - це колективне право, яке може реалізовуватись шляхом утворення суверенної та незалежної держави, вільного приєднання або об’єднання з уже існуючою незалежною державою, а також шляхом встановлення будь-якого іншого політичного устрою, який народ самостійно обере.</w:t>
      </w:r>
    </w:p>
    <w:p w14:paraId="70C564B6" w14:textId="77777777" w:rsidR="007B2628"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«Принцип рівноправності і права народу розпоряджатися власною долею еволюціонував від принципу національності, проголошеному у період буржуазних революцій, та принципу самовизначення, визнаному у період після Першої світової війни, до закріплення у Статуті ООН 1945 р. як принципу рівноправності і самовизначення народів» [1, с. 48]. Вагоме значення для розуміння та подальшого розвитку принципу мало ухвалення Декларації про надання незалежності колоніальним країнам і народам 1960 року, яка стала наслідком утворення численних нових держав на політичній карті Африки.</w:t>
      </w:r>
    </w:p>
    <w:p w14:paraId="176A0FB2" w14:textId="1C5B2C76"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основними документами, які закріпили та розширили перелік принципів сучасного міжнародного права є: Декларація принципів, ухвалена Генеральною Асамблеєю ООН 24 вересня 1970 року, а також Декларація, що визначає принципи взаємних відносин між державами-учасницями, викладена у Заключному акті НБСЄ від 1 серпня 1975 року.</w:t>
      </w:r>
    </w:p>
    <w:p w14:paraId="5AE8E80B" w14:textId="242DBFE0"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«Відповідно до ст. 1</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Міжнародного пакту про громадянські і політичні права 1966 р. всі народи мають</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право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на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самовизначення.</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На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підставі цього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права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вони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вільно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встановлюють</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свій політичний статус і вільно забезпечують</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свій</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економічний,</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соціальний</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культурний розвиток» [2].</w:t>
      </w:r>
    </w:p>
    <w:p w14:paraId="341AD9A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міжнародному праві поняття «народ» має особливе значення, особливо в контексті права на самовизначення, але чітко визначеного універсального юридичного визначення цього терміну міжнародне право не дає. Проте є загальновизнані риси, за якими у міжнародному праві </w:t>
      </w:r>
      <w:r w:rsidRPr="00511005">
        <w:rPr>
          <w:rFonts w:ascii="Arial" w:eastAsia="Times New Roman" w:hAnsi="Arial" w:cs="Arial"/>
          <w:szCs w:val="28"/>
          <w:lang w:val="uk-UA" w:eastAsia="ru-RU"/>
        </w:rPr>
        <w:lastRenderedPageBreak/>
        <w:t>визначається, хто вважається народом. По-перше, це наявність спільної історії та культури, по-друге, самоусвідомлення як єдності, по-третє, постійне проживання на певній території, а також можливість самостійно визначати свій політичний статус та намір діяти як суб’єкт у міжнародних відносинах. «У той час, коли у всьому світі говорять про програму демократизації внутрішнього розвитку держав, у деяких політичних кругах тривають суперечки з приводу використання терміна «народи». Деякі уряди держав виступають проти вживання терміну «народи» стосовно етнонаціональних груп, оскільки побоюються нових утворень (автономій чи навіть держав). Політики цих держав пропонують використовувати терміни «племена» чи «населення». Проте етнонаціональні групи використовують термін «народи», оскільки це поняття допомагає їм зберегти свій політичний статус і вільно забезпечити свій економічний, соціальний і культурний розвиток» [3].</w:t>
      </w:r>
    </w:p>
    <w:p w14:paraId="051D4FA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При цьому варто підкреслити, що народ, національна меншина й корінні народи — це різні поняття, які не слід ототожнювати між собою. «Очевидно, що співвідношення цих понять навіть без установлення їх якісно-змістовних характеристик можна визначити таким чином: поняття «національна меншина» виступає частиною поняття «народ» або поняття «народ» охоплює «корінні народи». У цілому тут простежується органічний взаємозвʼязок між цілісним утворенням (народ, нація) і його складовими частинами (національні меншини, корінні народи)» [</w:t>
      </w:r>
      <w:r w:rsidRPr="00511005">
        <w:rPr>
          <w:rFonts w:ascii="Arial" w:eastAsia="Times New Roman" w:hAnsi="Arial" w:cs="Arial"/>
          <w:szCs w:val="28"/>
          <w:lang w:eastAsia="ru-RU"/>
        </w:rPr>
        <w:t>4</w:t>
      </w:r>
      <w:r w:rsidRPr="00511005">
        <w:rPr>
          <w:rFonts w:ascii="Arial" w:eastAsia="Times New Roman" w:hAnsi="Arial" w:cs="Arial"/>
          <w:szCs w:val="28"/>
          <w:lang w:val="uk-UA" w:eastAsia="ru-RU"/>
        </w:rPr>
        <w:t>, с. 36].</w:t>
      </w:r>
    </w:p>
    <w:p w14:paraId="5084E3E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Історія права на самовизначення народів охоплює значний період. Починаючи з XIX століття право на самовизначення народів активно почало застосовуватися та формувати нову політичну карту світу.</w:t>
      </w:r>
    </w:p>
    <w:p w14:paraId="1526E30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Щодо сучасних тенденцій застосування права на самовизначення народів можна зазначити, наприклад, Палестину, народ з частково реалізованим правом на самовизначення. Палестинці – це арабський народ, що історично проживав на території, яку сьогодні охоплюють Ізраїль, Сектор Газа та Західний берег річки Йордан, вони мають спільну історію, культуру, релігію та прагнення до незалежності. Палестинський народ визнається ООН як окремий народ, що має право на самовизначення. Організація визволення Палестини оголосила про свою незалежність ще у 1988 році, але на сьогоднішній день реалізація її державності не є повною. Оскільки, Палестина, перебуваючи у збройному конфлікті з Ізраїлем, не має повного контролю над територіями, включно з окупованими. На міжнародному рівні Палестину визнали близько 140 держав. На Генеральній асамблеї ООН 10 травня на підтримку заявки Палестини на повноправне членство в ООН проголосували 143 зі 193 держав-членів. На даний момент, Палестина наділена розширеним статусом спостерігача в ООН, але це дає їй місце, а не право голосу в асамблеї. Також вона має визнання різних міжнародних </w:t>
      </w:r>
      <w:r w:rsidRPr="00511005">
        <w:rPr>
          <w:rFonts w:ascii="Arial" w:eastAsia="Times New Roman" w:hAnsi="Arial" w:cs="Arial"/>
          <w:szCs w:val="28"/>
          <w:lang w:val="uk-UA" w:eastAsia="ru-RU"/>
        </w:rPr>
        <w:lastRenderedPageBreak/>
        <w:t>організацій, таких як Ліга арабських держав та Організація ісламського співробітництва.</w:t>
      </w:r>
    </w:p>
    <w:p w14:paraId="0FE0C83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Наступним можна привести приклад народу курди, який намагався реалізувати право на самовизначення. Це великий народ, який проживає на території декількох країн, включаючи Туреччину, Ірак, Іран, Сирію та Вірменію. Цей народ має спільну мову, культуру, традиції та прагнення до автономії або незалежності. Водночас, курдський народ традиційно характеризується внутрішніми розбіжностями в ідеологічній, політичній та соціальній сферах, а також міжособистісною ворожнечею – як у межах держав, де вони проживають, так і на території історичного Курдистану. Під час війни в Перській затоці, у 1991 році, курдське населення Іраку, скористалося послаблення режиму Саддама Хусейна та оголосило про створення власної національної автономії. У них функціонує уряд, наявна дипломатія та навіть армія. Регіональний уряд Іракського Курдистану демонструє багато характеристик, властивих суверенній державі, однак його інституційна структура ослаблена внутрішніми конфліктами серед самих курдів. До того ж у 2017 році було проведено референдум щодо незалежності Іракського Курдистану, в якому понад 92% учасників висловилися на його підтримку. Але ООН не підтримала проведення референдуму, висловивши стурбованість через можливу загрозу дестабілізації в регіоні. Лідери сусідніх держав, зокрема Туреччини та Ірану, а також уряд Іраку, не визнали результати курдського голосування. Не підтримали проведення та результати референдуму ЄС та США. Єдиною країною, яка виступила за проведення референдуму та визнала результати голосування є Ізраїль.</w:t>
      </w:r>
    </w:p>
    <w:p w14:paraId="3D6E51D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право на самовизначення народів є основоположним принципом міжнародного права, який надає можливість кожному народу обирати свій політичний статус і шлях розвитку. Це право сприяє збереженню ідентичності народів та захисту їхніх прав. Однак з наведених прикладів, можна зробити висновок, що реалізація цього права на практиці часто стикається з політичними, юридичними та безпековими викликами. Досвід Палестини свідчить про понад десятилітню боротьбу за здобуття повноцінної державності, однак залишаються в умовах конфлікту та часткової окупації. Курдський народ, попри наявності автономії в Іраку, не змогли об</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єднатися в єдину державу через внутрішні розбіжності та спротив країн, де вони проживають. Ці приклади показують, що втілення цього права є доволі не простим та супроводжується значними перешкодами на шляху до його реалізації.</w:t>
      </w:r>
    </w:p>
    <w:p w14:paraId="4C4710E8" w14:textId="0F80C952"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5D605FA8" w14:textId="77777777" w:rsidR="00220D3E" w:rsidRPr="00511005" w:rsidRDefault="00220D3E" w:rsidP="003F6A5D">
      <w:pPr>
        <w:numPr>
          <w:ilvl w:val="0"/>
          <w:numId w:val="82"/>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Теліпко В. Е., Овчаренко А. С. Міжнародне публічне право: навч. посіб. / За заг. ред. В. Е. Теліпко. Київ : Центр учб. літ., 2010. 608 с.</w:t>
      </w:r>
    </w:p>
    <w:p w14:paraId="5542A5E4" w14:textId="77777777" w:rsidR="00220D3E" w:rsidRPr="00511005" w:rsidRDefault="00220D3E" w:rsidP="003F6A5D">
      <w:pPr>
        <w:numPr>
          <w:ilvl w:val="0"/>
          <w:numId w:val="82"/>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lastRenderedPageBreak/>
        <w:t xml:space="preserve">Міжнародний пакт про громадянські і політичні права : Пакт Орг. Об'єдн. Націй від 16.12.1966 : станом на 19 жовт. 1973 р. URL: </w:t>
      </w:r>
      <w:hyperlink r:id="rId248" w:anchor="Text" w:history="1">
        <w:r w:rsidRPr="00511005">
          <w:rPr>
            <w:rFonts w:ascii="Arial" w:eastAsia="Times New Roman" w:hAnsi="Arial" w:cs="Arial"/>
            <w:szCs w:val="28"/>
            <w:lang w:val="uk-UA"/>
          </w:rPr>
          <w:t>https://zakon.rada.gov.ua/laws/show/995_043#Text</w:t>
        </w:r>
      </w:hyperlink>
      <w:r w:rsidRPr="00511005">
        <w:rPr>
          <w:rFonts w:ascii="Arial" w:eastAsia="Times New Roman" w:hAnsi="Arial" w:cs="Arial"/>
          <w:szCs w:val="28"/>
          <w:lang w:val="uk-UA"/>
        </w:rPr>
        <w:t xml:space="preserve"> (дата звернення: 14.04.2025).</w:t>
      </w:r>
    </w:p>
    <w:p w14:paraId="78E31150" w14:textId="77777777" w:rsidR="00220D3E" w:rsidRPr="00511005" w:rsidRDefault="00220D3E" w:rsidP="003F6A5D">
      <w:pPr>
        <w:numPr>
          <w:ilvl w:val="0"/>
          <w:numId w:val="82"/>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Ігнатова А. С., Грушко М. В. Міжнародно-правові стандарти щодо правового статусу корінних народів //Шановні учасники!. – 2021. – С. 246.</w:t>
      </w:r>
      <w:r w:rsidRPr="00511005">
        <w:rPr>
          <w:rFonts w:ascii="Arial" w:eastAsia="Times New Roman" w:hAnsi="Arial" w:cs="Arial"/>
          <w:szCs w:val="28"/>
        </w:rPr>
        <w:t xml:space="preserve"> </w:t>
      </w:r>
      <w:hyperlink r:id="rId249" w:anchor="page=246" w:history="1">
        <w:r w:rsidRPr="00511005">
          <w:rPr>
            <w:rFonts w:ascii="Arial" w:eastAsia="Times New Roman" w:hAnsi="Arial" w:cs="Arial"/>
            <w:szCs w:val="28"/>
          </w:rPr>
          <w:t>https://dspace.onua.edu.ua/bitstreams/a12e286e-c82b-41cb-aaf1-204ead594759/download#page=246</w:t>
        </w:r>
      </w:hyperlink>
      <w:r w:rsidRPr="00511005">
        <w:rPr>
          <w:rFonts w:ascii="Arial" w:eastAsia="Times New Roman" w:hAnsi="Arial" w:cs="Arial"/>
          <w:szCs w:val="28"/>
        </w:rPr>
        <w:t xml:space="preserve"> </w:t>
      </w:r>
    </w:p>
    <w:p w14:paraId="3A1C2313" w14:textId="77777777" w:rsidR="00220D3E" w:rsidRPr="00511005" w:rsidRDefault="00220D3E" w:rsidP="003F6A5D">
      <w:pPr>
        <w:numPr>
          <w:ilvl w:val="0"/>
          <w:numId w:val="82"/>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Войціховський А. В. Міжнародне право : підручник. Харків : МВС України, Харків. нац. ун-т внутр. справ, 2020. 544 с.</w:t>
      </w:r>
    </w:p>
    <w:p w14:paraId="647A50DD" w14:textId="77777777" w:rsidR="00220D3E" w:rsidRPr="00511005" w:rsidRDefault="00220D3E" w:rsidP="003A292D">
      <w:pPr>
        <w:tabs>
          <w:tab w:val="left" w:pos="709"/>
        </w:tabs>
        <w:spacing w:line="264" w:lineRule="auto"/>
        <w:ind w:left="709" w:firstLine="0"/>
        <w:contextualSpacing/>
        <w:rPr>
          <w:rFonts w:ascii="Arial" w:eastAsia="Times New Roman" w:hAnsi="Arial" w:cs="Arial"/>
          <w:szCs w:val="28"/>
          <w:lang w:val="uk-UA"/>
        </w:rPr>
      </w:pPr>
    </w:p>
    <w:p w14:paraId="437D1AA2" w14:textId="046EF24C"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право, самовизначення, народ, принципи, міжнародне право.</w:t>
      </w:r>
    </w:p>
    <w:p w14:paraId="3173855B" w14:textId="3AD30FA8"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right</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self-determination</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people, principles, international law.</w:t>
      </w:r>
    </w:p>
    <w:p w14:paraId="37CFB8FE" w14:textId="7CE9CDF1"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 Грушко М.В.</w:t>
      </w:r>
    </w:p>
    <w:p w14:paraId="36F8C64F"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00DC9CF8"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Гавриш Софія Вячеславівна</w:t>
      </w:r>
    </w:p>
    <w:p w14:paraId="2A7E8886" w14:textId="08A459D7"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p>
    <w:p w14:paraId="53483986" w14:textId="4D2118B0"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4D39B8B"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1502D4CD"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ДИПЛОМАТИЧНА СЛУЖБА УКРАЇНИ В УМОВАХ ВОЄННОГО СТАНУ</w:t>
      </w:r>
    </w:p>
    <w:p w14:paraId="28AA83E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Дипломатична служба — це ключовий інструмент державної зовнішньої політики, що представляє інтереси країни на міжнародній арені, захищає права громадян за кордоном, укріплює зв’язки з іншими державами та міжнародними організаціями. З початку повномасштабної збройної агресії російської федерації проти України 24 лютого 2022 року, роль дипломатичної служби України зросла в рази. У надзвичайних умовах війни вона стала не лише голосом України у світі, а й одним із фронтів національного спротиву — політичного, інформаційного та гуманітарного.</w:t>
      </w:r>
    </w:p>
    <w:p w14:paraId="30922C8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Згідно з Законом України «Про дипломатичну службу», нормативне визначення терміну «дипломатична служба - це державна служба особливого характеру, яка полягає у професійній діяльності посадових осіб дипломатичної служби, пов’язаній з реалізацією зовнішньої політики України, захистом національних інтересів України у сфері міжнародних відносин, а також прав та інтересів громадян і юридичних осіб України за кордоном» [1].</w:t>
      </w:r>
    </w:p>
    <w:p w14:paraId="72C3E09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До системи органів дипломатичної служби належать: </w:t>
      </w:r>
    </w:p>
    <w:p w14:paraId="5F8B9948" w14:textId="77777777" w:rsidR="00220D3E" w:rsidRPr="00511005" w:rsidRDefault="00220D3E" w:rsidP="003F6A5D">
      <w:pPr>
        <w:numPr>
          <w:ilvl w:val="0"/>
          <w:numId w:val="83"/>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Міністерство закордонних справ України;</w:t>
      </w:r>
    </w:p>
    <w:p w14:paraId="09844164" w14:textId="77777777" w:rsidR="00220D3E" w:rsidRPr="00511005" w:rsidRDefault="00220D3E" w:rsidP="003F6A5D">
      <w:pPr>
        <w:numPr>
          <w:ilvl w:val="0"/>
          <w:numId w:val="83"/>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представництва Міністерства закордонних справ України на території України;</w:t>
      </w:r>
    </w:p>
    <w:p w14:paraId="31CD51D3" w14:textId="77777777" w:rsidR="00220D3E" w:rsidRPr="00511005" w:rsidRDefault="00220D3E" w:rsidP="003F6A5D">
      <w:pPr>
        <w:numPr>
          <w:ilvl w:val="0"/>
          <w:numId w:val="83"/>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закордонні дипломатичні установи України.</w:t>
      </w:r>
    </w:p>
    <w:p w14:paraId="2CC8E3D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У мирний час дипломатія зосереджена на розвитку економічної співпраці, участі в міжнародних проєктах, залученні інвестицій. В умовах збройного конфлікту ж акценти змістилися — головна мета дипломатії нині полягає у мобілізації міжнародної підтримки, санкційному тиску на агресора, та залученні гуманітарної і військової допомоги.</w:t>
      </w:r>
    </w:p>
    <w:p w14:paraId="31D9A74B" w14:textId="089175C2"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Одним з головних акцентів дипломатичної служби України в умовах воєнного стану є зосередження міжнародної підтримки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щодо лобіювання санкцій проти росії. Світова дипломатія сконцентрувала свої зусилля на застосуванні санкційного механізму для здійснення тиску на російську федерацію, а також на наданні Україні військової та економічної підтримки без прямого військового втручання з боку інших держав. На сьогодні міжнародна спільнота вже запровадила понад 6 тисяч санкцій проти рф. До початку повномасштабної агресії росія активно співпрацювала з глобальними компаніями, проте наразі вона перебуває серед країн, з якими дипломатичні контакти істотно обмежено. У відповідь на дії агресора сотні міжнародних компаній оголосили про припинення або скорочення своєї діяльності на території росії, що свідчить про масштабну економічну ізоляцію держави. Для унеможливлення подальшого виробництва ракет необхідно максимально обмежити економічну взаємодію</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інших країн з російською федерацією. «Найголовнішою перемогою української економічної дипломатії наразі є заборона заходу російських суден до європейських портів. Це означає, що логістичні ланцюжки агресора буде зруйновано, і його економіка зазнає величезних втрат» [2].</w:t>
      </w:r>
    </w:p>
    <w:p w14:paraId="05F3A93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початку повномасштабної агресії російської федерації, українська дипломатична служба стала одним із ключових інструментів у залученні міжнародної військової допомоги. Завдяки активній зовнішньополітичній роботі органів дипломатичної служби України вдалося сформувати широке міжнародне коло партнерів, готових надати Україні оборонну підтримку. Наразі Україні надають вагому підтримку країни Євросоюзу , яка спрямовується на постачання військової техніки, озброєнь та інших потреб ЗСУ. Також Україна отримує військову допомогу від Великобританії, США, Канади та інших союзників та партнерів.</w:t>
      </w:r>
    </w:p>
    <w:p w14:paraId="6FAF429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Наступним основним аспектом є «інформаційна кампанія, спрямована на викриття російських фейків та маніпуляцій, інформування світової спільноти про військові злочини росії проти українського народу та з метою захисту суверенітету і територіальної цілісності України» [3]. Для запобігання та викриття російської дезінформації та пропагандистських наративів та донесення правди про військові злочини проти мирного населення. Її ключовими завданнями є мобілізація підтримки міжнародної спільноти, формування об'єктивного сприйняття війни у світових медіа та зміцнення позицій України як жертви неспровокованої агресії, що бореться за свій суверенітет та територіальну цілісність.</w:t>
      </w:r>
    </w:p>
    <w:p w14:paraId="319ADA7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Залучення гуманітарної допомоги для постраждалих від війни також є одним із пріоритетних напрямів діяльності української дипломатичної служби в умовах воєнного стану. Завдяки тісній співпраці з іноземними державами, міжнародними організаціями та благодійними фондами вдалося забезпечити постачання медикаментів, засобів гігієни, продуктів харчування, тимчасового житла, генераторів, одягу та іншої критично важливої допомоги для мільйонів внутрішньо переміщених осіб і постраждалих громад. Українські закордонні представництва відіграють ключову роль у налагодженні логістичних процесів, взаємодії з донорами та забезпеченні оперативного і цільового розподілу гуманітарних ресурсів на території України.</w:t>
      </w:r>
    </w:p>
    <w:p w14:paraId="1CBB32C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Одним із ключових пріоритетів зовнішньополітичного курсу України залишається євроатлантична інтеграція. Наразі держава перебуває на етапі переговорних процедур щодо вступу до Європейського Союзу та НАТО, проте цей процес є складним, багаторівневим і потребує часу.</w:t>
      </w:r>
    </w:p>
    <w:p w14:paraId="54982E0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Умови воєнного стану кардинально змінили функціонування дипломатичної служби України, трансформувавши її з інструмента класичної зовнішньої політики на один із ключових фронтів державного спротиву. Українська дипломатія виконує сьогодні багатовекторну місію: мобілізує міжнародну підтримку, ініціює та забезпечує санкційний тиск на державу-агресора, залучає військову, економічну та гуманітарну допомогу, захищає права громадян за кордоном і активно веде інформаційну боротьбу з ворожою пропагандою. Водночас дипломатична служба відіграє визначну роль у просуванні стратегічного курсу України на інтеграцію до Європейського Союзу та НАТО, наближаючи державу до повноправного членства в цих структурах. Незважаючи на безпрецедентні виклики, українська дипломатія демонструє гнучкість, ефективність і професіоналізм, які стали невіддільною частиною боротьби за незалежність, територіальну цілісність та гідне майбутнє українського народу.</w:t>
      </w:r>
    </w:p>
    <w:p w14:paraId="6D2A7052" w14:textId="77777777" w:rsidR="00220D3E" w:rsidRPr="00511005" w:rsidRDefault="00220D3E" w:rsidP="003A292D">
      <w:pPr>
        <w:tabs>
          <w:tab w:val="left" w:pos="709"/>
          <w:tab w:val="left" w:pos="2835"/>
          <w:tab w:val="center" w:pos="5315"/>
        </w:tabs>
        <w:spacing w:line="264" w:lineRule="auto"/>
        <w:jc w:val="left"/>
        <w:rPr>
          <w:rFonts w:ascii="Arial" w:eastAsia="Times New Roman" w:hAnsi="Arial" w:cs="Arial"/>
          <w:b/>
          <w:szCs w:val="28"/>
          <w:lang w:val="uk-UA" w:eastAsia="ru-RU"/>
        </w:rPr>
      </w:pPr>
      <w:r w:rsidRPr="00511005">
        <w:rPr>
          <w:rFonts w:ascii="Arial" w:eastAsia="Times New Roman" w:hAnsi="Arial" w:cs="Arial"/>
          <w:b/>
          <w:szCs w:val="28"/>
          <w:lang w:val="uk-UA" w:eastAsia="ru-RU"/>
        </w:rPr>
        <w:tab/>
      </w:r>
    </w:p>
    <w:p w14:paraId="1023F952" w14:textId="63CF432F" w:rsidR="00220D3E" w:rsidRPr="00511005" w:rsidRDefault="00220D3E" w:rsidP="007B2628">
      <w:pPr>
        <w:tabs>
          <w:tab w:val="left" w:pos="709"/>
          <w:tab w:val="left" w:pos="2835"/>
          <w:tab w:val="center" w:pos="5315"/>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ab/>
      </w:r>
      <w:r w:rsidR="007B2628" w:rsidRPr="00511005">
        <w:rPr>
          <w:rFonts w:ascii="Arial" w:eastAsia="Times New Roman" w:hAnsi="Arial" w:cs="Arial"/>
          <w:b/>
          <w:szCs w:val="28"/>
          <w:lang w:val="uk-UA" w:eastAsia="ru-RU"/>
        </w:rPr>
        <w:t>Список використаних джерел</w:t>
      </w:r>
    </w:p>
    <w:p w14:paraId="4F207842" w14:textId="77777777" w:rsidR="00220D3E" w:rsidRPr="00511005" w:rsidRDefault="00220D3E" w:rsidP="003F6A5D">
      <w:pPr>
        <w:numPr>
          <w:ilvl w:val="0"/>
          <w:numId w:val="8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Про дипломатичну службу : Закон України від 07.06.2018 № 2449-VIII: станом на 15 листоп. 2024 р. URL: </w:t>
      </w:r>
      <w:hyperlink r:id="rId250" w:anchor="Text" w:history="1">
        <w:r w:rsidRPr="00511005">
          <w:rPr>
            <w:rFonts w:ascii="Arial" w:eastAsia="Calibri" w:hAnsi="Arial" w:cs="Arial"/>
            <w:szCs w:val="28"/>
            <w:lang w:val="uk-UA"/>
          </w:rPr>
          <w:t>https://zakon.rada.gov.ua/laws/show/2449-19#Text</w:t>
        </w:r>
      </w:hyperlink>
      <w:r w:rsidRPr="00511005">
        <w:rPr>
          <w:rFonts w:ascii="Arial" w:eastAsia="Calibri" w:hAnsi="Arial" w:cs="Arial"/>
          <w:szCs w:val="28"/>
          <w:lang w:val="uk-UA"/>
        </w:rPr>
        <w:t xml:space="preserve"> (дата звернення: 21.04.2025).</w:t>
      </w:r>
    </w:p>
    <w:p w14:paraId="2BB26208" w14:textId="77777777" w:rsidR="00220D3E" w:rsidRPr="00511005" w:rsidRDefault="00220D3E" w:rsidP="003F6A5D">
      <w:pPr>
        <w:numPr>
          <w:ilvl w:val="0"/>
          <w:numId w:val="8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Федорова Г. Роль дипломатії під час воєнного стану. </w:t>
      </w:r>
      <w:r w:rsidRPr="00511005">
        <w:rPr>
          <w:rFonts w:ascii="Arial" w:eastAsia="Calibri" w:hAnsi="Arial" w:cs="Arial"/>
          <w:i/>
          <w:szCs w:val="28"/>
          <w:lang w:val="uk-UA"/>
        </w:rPr>
        <w:t xml:space="preserve">Науково-теоретичний альманах Грані. </w:t>
      </w:r>
      <w:r w:rsidRPr="00511005">
        <w:rPr>
          <w:rFonts w:ascii="Arial" w:eastAsia="Calibri" w:hAnsi="Arial" w:cs="Arial"/>
          <w:szCs w:val="28"/>
          <w:lang w:val="uk-UA"/>
        </w:rPr>
        <w:t xml:space="preserve">2022. Том 25. № 5. С. 10-17. </w:t>
      </w:r>
      <w:hyperlink r:id="rId251" w:history="1">
        <w:r w:rsidRPr="00511005">
          <w:rPr>
            <w:rFonts w:ascii="Arial" w:eastAsia="Calibri" w:hAnsi="Arial" w:cs="Arial"/>
            <w:szCs w:val="28"/>
            <w:lang w:val="uk-UA"/>
          </w:rPr>
          <w:t>https://doi.org/10.15421/172253</w:t>
        </w:r>
      </w:hyperlink>
      <w:r w:rsidRPr="00511005">
        <w:rPr>
          <w:rFonts w:ascii="Arial" w:eastAsia="Calibri" w:hAnsi="Arial" w:cs="Arial"/>
          <w:szCs w:val="28"/>
          <w:lang w:val="uk-UA"/>
        </w:rPr>
        <w:t xml:space="preserve"> </w:t>
      </w:r>
    </w:p>
    <w:p w14:paraId="75678F84" w14:textId="12DBEB37" w:rsidR="00220D3E" w:rsidRPr="00511005" w:rsidRDefault="00220D3E" w:rsidP="003F6A5D">
      <w:pPr>
        <w:numPr>
          <w:ilvl w:val="0"/>
          <w:numId w:val="84"/>
        </w:numPr>
        <w:tabs>
          <w:tab w:val="left" w:pos="709"/>
        </w:tabs>
        <w:spacing w:line="264" w:lineRule="auto"/>
        <w:ind w:left="0" w:firstLine="851"/>
        <w:contextualSpacing/>
        <w:jc w:val="left"/>
        <w:rPr>
          <w:rFonts w:ascii="Arial" w:eastAsia="Calibri" w:hAnsi="Arial" w:cs="Arial"/>
          <w:szCs w:val="28"/>
          <w:lang w:val="uk-UA"/>
        </w:rPr>
      </w:pPr>
      <w:r w:rsidRPr="00511005">
        <w:rPr>
          <w:rFonts w:ascii="Arial" w:eastAsia="Calibri" w:hAnsi="Arial" w:cs="Arial"/>
          <w:szCs w:val="28"/>
          <w:lang w:val="uk-UA"/>
        </w:rPr>
        <w:t>Безклуба А. Дипломатія в умовах війни: досвід України 2023–2024 років.</w:t>
      </w:r>
      <w:r w:rsidR="007B2628" w:rsidRPr="00511005">
        <w:rPr>
          <w:rFonts w:ascii="Arial" w:eastAsia="Calibri" w:hAnsi="Arial" w:cs="Arial"/>
          <w:szCs w:val="28"/>
          <w:lang w:val="uk-UA"/>
        </w:rPr>
        <w:t xml:space="preserve"> </w:t>
      </w:r>
      <w:r w:rsidRPr="00511005">
        <w:rPr>
          <w:rFonts w:ascii="Arial" w:eastAsia="Calibri" w:hAnsi="Arial" w:cs="Arial"/>
          <w:i/>
          <w:szCs w:val="28"/>
          <w:lang w:val="uk-UA"/>
        </w:rPr>
        <w:t>Травневі студії: історія, політологія, міжнародні відносини.</w:t>
      </w:r>
      <w:r w:rsidRPr="00511005">
        <w:rPr>
          <w:rFonts w:ascii="Arial" w:eastAsia="Calibri" w:hAnsi="Arial" w:cs="Arial"/>
          <w:szCs w:val="28"/>
          <w:lang w:val="uk-UA"/>
        </w:rPr>
        <w:t xml:space="preserve"> 2024. № 6. С. 13-16. </w:t>
      </w:r>
      <w:hyperlink r:id="rId252" w:history="1">
        <w:r w:rsidRPr="00511005">
          <w:rPr>
            <w:rFonts w:ascii="Arial" w:eastAsia="Calibri" w:hAnsi="Arial" w:cs="Arial"/>
            <w:szCs w:val="28"/>
            <w:lang w:val="uk-UA"/>
          </w:rPr>
          <w:t>https://jts.donnu.edu.ua/article/view/16008</w:t>
        </w:r>
      </w:hyperlink>
    </w:p>
    <w:p w14:paraId="20F9A727" w14:textId="77777777" w:rsidR="00220D3E" w:rsidRPr="00511005" w:rsidRDefault="00220D3E" w:rsidP="003A292D">
      <w:pPr>
        <w:tabs>
          <w:tab w:val="left" w:pos="709"/>
        </w:tabs>
        <w:spacing w:line="264" w:lineRule="auto"/>
        <w:contextualSpacing/>
        <w:jc w:val="left"/>
        <w:rPr>
          <w:rFonts w:ascii="Arial" w:eastAsia="Calibri" w:hAnsi="Arial" w:cs="Arial"/>
          <w:b/>
          <w:szCs w:val="28"/>
          <w:lang w:val="uk-UA"/>
        </w:rPr>
      </w:pPr>
    </w:p>
    <w:p w14:paraId="248E41BC" w14:textId="79D51114" w:rsidR="00220D3E" w:rsidRPr="00511005" w:rsidRDefault="007B2628" w:rsidP="003A292D">
      <w:pPr>
        <w:tabs>
          <w:tab w:val="left" w:pos="709"/>
        </w:tabs>
        <w:spacing w:line="264" w:lineRule="auto"/>
        <w:contextualSpacing/>
        <w:jc w:val="left"/>
        <w:rPr>
          <w:rFonts w:ascii="Arial" w:eastAsia="Calibri" w:hAnsi="Arial" w:cs="Arial"/>
          <w:szCs w:val="28"/>
          <w:lang w:val="uk-UA"/>
        </w:rPr>
      </w:pPr>
      <w:r w:rsidRPr="00511005">
        <w:rPr>
          <w:rFonts w:ascii="Arial" w:eastAsia="Calibri" w:hAnsi="Arial" w:cs="Arial"/>
          <w:b/>
          <w:i/>
          <w:szCs w:val="28"/>
          <w:lang w:val="uk-UA"/>
        </w:rPr>
        <w:lastRenderedPageBreak/>
        <w:t xml:space="preserve">Ключові слова: </w:t>
      </w:r>
      <w:r w:rsidR="00220D3E" w:rsidRPr="00511005">
        <w:rPr>
          <w:rFonts w:ascii="Arial" w:eastAsia="Calibri" w:hAnsi="Arial" w:cs="Arial"/>
          <w:szCs w:val="28"/>
          <w:lang w:val="uk-UA"/>
        </w:rPr>
        <w:t>дипломатична служба, дипломатія, війна, воєнний стан.</w:t>
      </w:r>
    </w:p>
    <w:p w14:paraId="007C967A" w14:textId="4CF1B11C" w:rsidR="00220D3E" w:rsidRPr="00511005" w:rsidRDefault="007B2628" w:rsidP="003A292D">
      <w:pPr>
        <w:tabs>
          <w:tab w:val="left" w:pos="709"/>
        </w:tabs>
        <w:spacing w:line="264" w:lineRule="auto"/>
        <w:jc w:val="left"/>
        <w:rPr>
          <w:rFonts w:ascii="Arial" w:eastAsia="Times New Roman" w:hAnsi="Arial" w:cs="Arial"/>
          <w:szCs w:val="28"/>
          <w:lang w:val="en-US" w:eastAsia="ru-RU"/>
        </w:rPr>
      </w:pPr>
      <w:r w:rsidRPr="00511005">
        <w:rPr>
          <w:rFonts w:ascii="Arial" w:eastAsia="Times New Roman" w:hAnsi="Arial" w:cs="Arial"/>
          <w:b/>
          <w:i/>
          <w:szCs w:val="28"/>
          <w:lang w:val="uk-UA" w:eastAsia="ru-RU"/>
        </w:rPr>
        <w:t xml:space="preserve">Key words: </w:t>
      </w:r>
      <w:r w:rsidR="00220D3E" w:rsidRPr="00511005">
        <w:rPr>
          <w:rFonts w:ascii="Arial" w:eastAsia="Times New Roman" w:hAnsi="Arial" w:cs="Arial"/>
          <w:szCs w:val="28"/>
          <w:lang w:val="en-US" w:eastAsia="ru-RU"/>
        </w:rPr>
        <w:t>diplomatic service, diplomacy, war, state of war.</w:t>
      </w:r>
    </w:p>
    <w:p w14:paraId="46A57D3E" w14:textId="67996EAF" w:rsidR="00220D3E" w:rsidRPr="00511005" w:rsidRDefault="007B2628" w:rsidP="003A292D">
      <w:pPr>
        <w:tabs>
          <w:tab w:val="left" w:pos="709"/>
        </w:tabs>
        <w:spacing w:line="264" w:lineRule="auto"/>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 Бєлогубова О.О.</w:t>
      </w:r>
    </w:p>
    <w:p w14:paraId="55C292D5" w14:textId="77777777" w:rsidR="00220D3E" w:rsidRPr="00511005" w:rsidRDefault="00220D3E" w:rsidP="003A292D">
      <w:pPr>
        <w:tabs>
          <w:tab w:val="left" w:pos="709"/>
        </w:tabs>
        <w:spacing w:line="264" w:lineRule="auto"/>
        <w:jc w:val="left"/>
        <w:rPr>
          <w:rFonts w:ascii="Arial" w:eastAsia="Times New Roman" w:hAnsi="Arial" w:cs="Arial"/>
          <w:i/>
          <w:szCs w:val="28"/>
          <w:lang w:val="uk-UA" w:eastAsia="ru-RU"/>
        </w:rPr>
      </w:pPr>
    </w:p>
    <w:p w14:paraId="2487DC7B"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Гавриш Софія Вячеславівна</w:t>
      </w:r>
    </w:p>
    <w:p w14:paraId="0B223221" w14:textId="2A2B2058"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p>
    <w:p w14:paraId="39E9CE7E" w14:textId="31A8248D"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59A37B95"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ru-RU"/>
        </w:rPr>
      </w:pPr>
    </w:p>
    <w:p w14:paraId="6FC8EBBA"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КОЛІЗІЙНЕ РЕГУЛЮВАННЯ ПРАВ ІНТЕЛЕКТУАЛЬНОЇ ВЛАСНОСТІ З ІНОЗЕМНИМ ЕЛЕМЕНТОМ</w:t>
      </w:r>
    </w:p>
    <w:p w14:paraId="0A082E4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контексті глобалізації, коли інтелектуальна власність набуває дедалі більшого значення, виникає необхідність у належному правовому врегулюванні відносин з іноземним елементом у сфері інтелектуальної власності. Колізійне регулювання в цій сфері має на меті визначити, яке національне право застосовується до конкретних правовідносин, забезпечуючи правову визначеність та захист прав суб'єктів інтелектуальної власності.</w:t>
      </w:r>
    </w:p>
    <w:p w14:paraId="76E4A02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Основними міжнародними договорами, які регулюють сферу права інтелектуальної власності є: Бернська конвенція про охорону літературних і художніх творів 1886 р., Всесвітня конвенція про авторське право 1952 р., Паризька конвенція про охорону промислової власності 1883 р., Договір Всесвітньої організації інтелектуальної власності про авторське право, прийнятий Дипломатичною конференцією 1996 р. тощо.</w:t>
      </w:r>
    </w:p>
    <w:p w14:paraId="3BDFE44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Згідно з національним законодавством України, а саме Цивільним кодексом України статтею 418 визначається, що «право інтелектуальної власності - це право особи на результат інтелектуальної, творчої діяльності або на інший об'єкт права інтелектуальної власності, визначений ЦК та іншим законом» </w:t>
      </w: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 xml:space="preserve">. Право інтелектуальної власності охоплює особисті немайнові та (або) майнові права на об’єкти інтелектуальної власності, зміст яких установлюється ЦК України та іншими законами залежно від конкретного об’єкта. </w:t>
      </w:r>
    </w:p>
    <w:p w14:paraId="1744A2E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Розділ IV Закону України «Про міжнародне приватне право» регулює застосування права до правочинів, пов’язаних з об’єктами інтелектуальної власності, а також визначає, яке право застосовується у випадках захисту таких прав, водночас посилаючись на інші положення цього Закону. Однак зазначені норми не містять прямої вказівки на право якої саме держави підлягає застосуванню щодо виникнення прав інтелектуальної власності, їх змісту — як майнового, так і немайнового характеру — та строку дії таких прав. В статті 37 зазначено, що до правовідносин, що стосуються захисту прав інтелектуальної власності, застосовується законодавство тієї країни, на території якої запитується такий захист.</w:t>
      </w:r>
    </w:p>
    <w:p w14:paraId="3F2A331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Посилаючись на статтю 22 Закону України «Про міжнародне приватне право» «до особистих немайнових прав застосовується право держави, у якій мала місце дія чи інша обставина, що стала підставою для вимоги про захист таких прав, якщо інше не передбачено законом» [2].</w:t>
      </w:r>
    </w:p>
    <w:p w14:paraId="50F7A60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сфері інтелектуальної власності з іноземним елементом щодо колізійного регулювання існують два основні підходи. Перший передбачає застосування права тієї країни, де було створено об’єкт авторського права, здійснено перше виконання, передачу програми організації мовлення, вироблено фонограму або отримано охоронний документ на об’єкт промислової власності. Такий підхід також називають «правом країни походження» (lex originis). Його перевагою є те, що він зосереджується на моменті виникнення прав і враховує правове середовище, в якому об’єкт був створений або вперше набув охорони. Це дозволяє забезпечити єдність підходу до визнання прав, незалежно від подальшого використання об'єкта в інших країнах. Однак застосування цього підходу може викликати труднощі в ситуаціях, коли об’єкт інтелектуальної власності активно використовується за межами країни походження, оскільки правова охорона в інших юрисдикціях не завжди є автоматичною або ідентичною. До того ж, країна походження не обов’язково є країною, де виник конфлікт чи порушення прав, що ускладнює правозастосування.</w:t>
      </w:r>
    </w:p>
    <w:p w14:paraId="507BC0C0" w14:textId="77777777" w:rsidR="007B2628"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Другий підхід базується на застосуванні права держави, в якій вимагається захист прав, тобто країни, де відбулося використання об’єкта або порушення прав. Такий підхід відповідає принципу територіальності, згідно з яким правова охорона надається відповідно до законодавства тієї держави, на території якої заявлено про порушення або реалізується захист (</w:t>
      </w:r>
      <w:r w:rsidRPr="00511005">
        <w:rPr>
          <w:rFonts w:ascii="Arial" w:eastAsia="Times New Roman" w:hAnsi="Arial" w:cs="Arial"/>
          <w:szCs w:val="28"/>
          <w:lang w:eastAsia="ru-RU"/>
        </w:rPr>
        <w:t>lex</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loci</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protectionis</w:t>
      </w:r>
      <w:r w:rsidRPr="00511005">
        <w:rPr>
          <w:rFonts w:ascii="Arial" w:eastAsia="Times New Roman" w:hAnsi="Arial" w:cs="Arial"/>
          <w:szCs w:val="28"/>
          <w:lang w:val="uk-UA" w:eastAsia="ru-RU"/>
        </w:rPr>
        <w:t>). Він забезпечує передбачуваність правозастосування та враховує специфіку національних систем охорони інтелектуальної власності. Водночас це може призводити до ускладнень у випадках транснаціонального використання об'єктів інтелектуальної власності, коли необхідно враховувати правові норми декількох юрисдикцій. Саме другий підхід, як правило, закріплюється у міжнародних договорах з питань інтелектуальної власності.</w:t>
      </w:r>
    </w:p>
    <w:p w14:paraId="57DA4175" w14:textId="5FB57CA5"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 доктрині і практиці міжнародного приватного права в якості основної особливості прав на інтелектуальну власність вказується на відсутність екстериторіальної дії цих прав. Відсутність екстериторіальної дії прав на інтелектуальну власність полягає в тому, що особа, яка опублікувала твір (здійснила виконання, запатентувала винахід) на території однієї держави, буде мати захист тільки на території цієї держави» [3]. Цей підхід притаманний більшості держав, включаючи країни Європейського Союзу, США, Японію, Китай та Україну. </w:t>
      </w:r>
    </w:p>
    <w:p w14:paraId="6B0E062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Разом із тим у деяких юрисдикціях, зокрема у США, допускається обмежене застосування іноземного права до питань інтелектуальної </w:t>
      </w:r>
      <w:r w:rsidRPr="00511005">
        <w:rPr>
          <w:rFonts w:ascii="Arial" w:eastAsia="Times New Roman" w:hAnsi="Arial" w:cs="Arial"/>
          <w:szCs w:val="28"/>
          <w:lang w:val="uk-UA" w:eastAsia="ru-RU"/>
        </w:rPr>
        <w:lastRenderedPageBreak/>
        <w:t>власності, якщо спір охоплює транскордонні елементи. У країнах з уніфікованим правом, як-от в ЄС, діють додаткові колізійні інструменти, наприклад, Регламент Рим II, які деталізують підходи до визначення застосовного права, особливо щодо позадоговірних зобов’язань.</w:t>
      </w:r>
    </w:p>
    <w:p w14:paraId="140F38E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договірних правовідносинах, наприклад у сфері ліцензування або передачі прав, активно використовується принцип автономії волі сторін. Це дає можливість сторонам обирати право якої країни буде регулювати їх договір, навіть якщо це право не пов’язане з територією застосування об'єкта.</w:t>
      </w:r>
    </w:p>
    <w:p w14:paraId="2705A51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Міжнародна охорона прав інтелектуальної власності ґрунтується на принципі національного режиму, який передбачає, що іноземні особи користуються в державі перебування такими ж правами і обов’язками у сфері інтелектуальної власності, як і її громадяни.</w:t>
      </w:r>
    </w:p>
    <w:p w14:paraId="1E9B5AA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контексті глобалізації ефективне правове врегулювання інтелектуальної власності з іноземним елементом є необхідною умовою для забезпечення правової визначеності та захисту прав суб’єктів. Міжнародні договори та національне законодавство України формують основу для вирішення колізій, при цьому домінуючим підходом є застосування права країни, де запитується захист. Відсутність екстериторіальної дії прав підкреслює важливість дотримання національних вимог охорони в кожній окремій юрисдикції. Водночас, у договірних правовідносинах важливу роль відіграє принцип автономії волі сторін. </w:t>
      </w:r>
    </w:p>
    <w:p w14:paraId="48F1260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Різні країни дотримуються схожих підходів, адаптуючи їх до власних правових систем, а міжнародні угоди забезпечують певний рівень уніфікації. Водночас розвиток цифрових технологій та глобалізація зумовлюють потребу в подальшій гармонізації колізійних норм задля ефективного та справедливого захисту прав інтелектуальної власності на міжнародному рівні.</w:t>
      </w:r>
    </w:p>
    <w:p w14:paraId="664C1229"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0F619D44" w14:textId="46099F72"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2EDB0289" w14:textId="77777777" w:rsidR="00220D3E" w:rsidRPr="00511005" w:rsidRDefault="00220D3E" w:rsidP="003F6A5D">
      <w:pPr>
        <w:numPr>
          <w:ilvl w:val="0"/>
          <w:numId w:val="167"/>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Цивільний кодекс </w:t>
      </w:r>
      <w:proofErr w:type="gramStart"/>
      <w:r w:rsidRPr="00511005">
        <w:rPr>
          <w:rFonts w:ascii="Arial" w:eastAsia="Calibri" w:hAnsi="Arial" w:cs="Arial"/>
          <w:szCs w:val="28"/>
        </w:rPr>
        <w:t>України :</w:t>
      </w:r>
      <w:proofErr w:type="gramEnd"/>
      <w:r w:rsidRPr="00511005">
        <w:rPr>
          <w:rFonts w:ascii="Arial" w:eastAsia="Calibri" w:hAnsi="Arial" w:cs="Arial"/>
          <w:szCs w:val="28"/>
        </w:rPr>
        <w:t xml:space="preserve"> Кодекс України від 16.01.2003 № 435-IV : станом на 9 квіт. 2025 р. URL: </w:t>
      </w:r>
      <w:hyperlink r:id="rId253" w:anchor="Text" w:history="1">
        <w:r w:rsidRPr="00511005">
          <w:rPr>
            <w:rFonts w:ascii="Arial" w:eastAsia="Calibri" w:hAnsi="Arial" w:cs="Arial"/>
            <w:szCs w:val="28"/>
          </w:rPr>
          <w:t>https://zakon.rada.gov.ua/laws/show/435-15#Text</w:t>
        </w:r>
      </w:hyperlink>
      <w:r w:rsidRPr="00511005">
        <w:rPr>
          <w:rFonts w:ascii="Arial" w:eastAsia="Calibri" w:hAnsi="Arial" w:cs="Arial"/>
          <w:szCs w:val="28"/>
        </w:rPr>
        <w:t xml:space="preserve"> (дата звернення: 04.05.2025).</w:t>
      </w:r>
    </w:p>
    <w:p w14:paraId="22FD0A87" w14:textId="0F931432" w:rsidR="00220D3E" w:rsidRPr="00511005" w:rsidRDefault="00220D3E" w:rsidP="003F6A5D">
      <w:pPr>
        <w:numPr>
          <w:ilvl w:val="0"/>
          <w:numId w:val="167"/>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Про міжнародне приватне </w:t>
      </w:r>
      <w:proofErr w:type="gramStart"/>
      <w:r w:rsidRPr="00511005">
        <w:rPr>
          <w:rFonts w:ascii="Arial" w:eastAsia="Calibri" w:hAnsi="Arial" w:cs="Arial"/>
          <w:szCs w:val="28"/>
        </w:rPr>
        <w:t>право :</w:t>
      </w:r>
      <w:proofErr w:type="gramEnd"/>
      <w:r w:rsidRPr="00511005">
        <w:rPr>
          <w:rFonts w:ascii="Arial" w:eastAsia="Calibri" w:hAnsi="Arial" w:cs="Arial"/>
          <w:szCs w:val="28"/>
        </w:rPr>
        <w:t xml:space="preserve"> Закон України від 23.06.2005 № 2709-IV : станом на 23 груд. 2022 р. URL: </w:t>
      </w:r>
      <w:hyperlink r:id="rId254" w:anchor="Text" w:history="1">
        <w:r w:rsidRPr="00511005">
          <w:rPr>
            <w:rFonts w:ascii="Arial" w:eastAsia="Calibri" w:hAnsi="Arial" w:cs="Arial"/>
            <w:szCs w:val="28"/>
          </w:rPr>
          <w:t>https://zakon.rada.gov.ua/laws/show/2709-15#Text</w:t>
        </w:r>
      </w:hyperlink>
      <w:r w:rsidR="007B2628" w:rsidRPr="00511005">
        <w:rPr>
          <w:rFonts w:ascii="Arial" w:eastAsia="Calibri" w:hAnsi="Arial" w:cs="Arial"/>
          <w:szCs w:val="28"/>
        </w:rPr>
        <w:t xml:space="preserve"> </w:t>
      </w:r>
      <w:r w:rsidRPr="00511005">
        <w:rPr>
          <w:rFonts w:ascii="Arial" w:eastAsia="Calibri" w:hAnsi="Arial" w:cs="Arial"/>
          <w:szCs w:val="28"/>
        </w:rPr>
        <w:t>(дата звернення: 04.05.2025).</w:t>
      </w:r>
    </w:p>
    <w:p w14:paraId="60899ED4" w14:textId="77777777" w:rsidR="00220D3E" w:rsidRPr="00511005" w:rsidRDefault="00220D3E" w:rsidP="003F6A5D">
      <w:pPr>
        <w:numPr>
          <w:ilvl w:val="0"/>
          <w:numId w:val="167"/>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Мініна, О. Ю. "Правова охорона інтелектуальної власності у міжнародному приватному праві." Актуальні проблеми міжнародних відносин 114 (2) (2013): 73-81. </w:t>
      </w:r>
    </w:p>
    <w:p w14:paraId="1A9F174A"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644D376A" w14:textId="72AD0FBD"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lastRenderedPageBreak/>
        <w:t xml:space="preserve">Ключові слова: </w:t>
      </w:r>
      <w:r w:rsidR="00220D3E" w:rsidRPr="00511005">
        <w:rPr>
          <w:rFonts w:ascii="Arial" w:eastAsia="Times New Roman" w:hAnsi="Arial" w:cs="Arial"/>
          <w:szCs w:val="28"/>
          <w:lang w:val="uk-UA" w:eastAsia="ru-RU"/>
        </w:rPr>
        <w:t>колізійне регулювання, право інтелектуальної власності, іноземний елемент, принцип територіальності.</w:t>
      </w:r>
    </w:p>
    <w:p w14:paraId="0153CCEE" w14:textId="60FEB3AF"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en-US" w:eastAsia="ru-RU"/>
        </w:rPr>
        <w:t>conflict</w:t>
      </w:r>
      <w:r w:rsidR="00220D3E" w:rsidRPr="00511005">
        <w:rPr>
          <w:rFonts w:ascii="Arial" w:eastAsia="Times New Roman" w:hAnsi="Arial" w:cs="Arial"/>
          <w:szCs w:val="28"/>
          <w:lang w:val="uk-UA" w:eastAsia="ru-RU"/>
        </w:rPr>
        <w:t xml:space="preserve"> regulation, intellectual property right, foreign element, territoriality principle.</w:t>
      </w:r>
    </w:p>
    <w:p w14:paraId="06E97DC3" w14:textId="7A235BBF"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асистент кафедри Бугаєць А. С.</w:t>
      </w:r>
    </w:p>
    <w:p w14:paraId="468A5744" w14:textId="77777777" w:rsidR="00220D3E" w:rsidRPr="00511005" w:rsidRDefault="00220D3E" w:rsidP="003A292D">
      <w:pPr>
        <w:tabs>
          <w:tab w:val="left" w:pos="709"/>
        </w:tabs>
        <w:spacing w:line="264" w:lineRule="auto"/>
        <w:jc w:val="left"/>
        <w:rPr>
          <w:rFonts w:ascii="Arial" w:eastAsia="Times New Roman" w:hAnsi="Arial" w:cs="Arial"/>
          <w:i/>
          <w:szCs w:val="28"/>
          <w:lang w:val="uk-UA" w:eastAsia="ru-RU"/>
        </w:rPr>
      </w:pPr>
    </w:p>
    <w:p w14:paraId="44429E3D" w14:textId="77777777" w:rsidR="00220D3E" w:rsidRPr="00511005" w:rsidRDefault="00220D3E" w:rsidP="003A292D">
      <w:pPr>
        <w:tabs>
          <w:tab w:val="left" w:pos="709"/>
        </w:tabs>
        <w:spacing w:line="264" w:lineRule="auto"/>
        <w:jc w:val="center"/>
        <w:rPr>
          <w:rFonts w:ascii="Arial" w:hAnsi="Arial" w:cs="Arial"/>
          <w:szCs w:val="28"/>
          <w:lang w:val="uk-UA" w:eastAsia="ru-RU"/>
        </w:rPr>
      </w:pPr>
      <w:r w:rsidRPr="00511005">
        <w:rPr>
          <w:rFonts w:ascii="Arial" w:hAnsi="Arial" w:cs="Arial"/>
          <w:b/>
          <w:bCs/>
          <w:i/>
          <w:iCs/>
          <w:szCs w:val="28"/>
          <w:lang w:eastAsia="ru-RU"/>
        </w:rPr>
        <w:t>Гапоненко Дарʼя Олександрівна</w:t>
      </w:r>
    </w:p>
    <w:p w14:paraId="4ABD53BD" w14:textId="1F195DFD" w:rsidR="00220D3E" w:rsidRPr="00511005" w:rsidRDefault="00536AAB" w:rsidP="003A292D">
      <w:pPr>
        <w:tabs>
          <w:tab w:val="left" w:pos="709"/>
        </w:tabs>
        <w:spacing w:line="264" w:lineRule="auto"/>
        <w:jc w:val="center"/>
        <w:rPr>
          <w:rFonts w:ascii="Arial" w:hAnsi="Arial" w:cs="Arial"/>
          <w:szCs w:val="28"/>
          <w:lang w:val="uk-UA" w:eastAsia="ru-RU"/>
        </w:rPr>
      </w:pPr>
      <w:r w:rsidRPr="00511005">
        <w:rPr>
          <w:rFonts w:ascii="Arial" w:hAnsi="Arial" w:cs="Arial"/>
          <w:szCs w:val="28"/>
          <w:lang w:val="uk-UA" w:eastAsia="ru-RU"/>
        </w:rPr>
        <w:t xml:space="preserve">студентка 2-го курсу </w:t>
      </w:r>
      <w:r w:rsidR="001B7B25" w:rsidRPr="00511005">
        <w:rPr>
          <w:rFonts w:ascii="Arial" w:hAnsi="Arial" w:cs="Arial"/>
          <w:szCs w:val="28"/>
          <w:lang w:val="uk-UA" w:eastAsia="ru-RU"/>
        </w:rPr>
        <w:t>факультету судового та міжнародного права</w:t>
      </w:r>
    </w:p>
    <w:p w14:paraId="5C4261BC" w14:textId="7B647FF3" w:rsidR="00220D3E" w:rsidRPr="00511005" w:rsidRDefault="007B2628" w:rsidP="003A292D">
      <w:pPr>
        <w:tabs>
          <w:tab w:val="left" w:pos="709"/>
        </w:tabs>
        <w:spacing w:line="264" w:lineRule="auto"/>
        <w:jc w:val="center"/>
        <w:rPr>
          <w:rFonts w:ascii="Arial" w:hAnsi="Arial" w:cs="Arial"/>
          <w:szCs w:val="28"/>
          <w:lang w:eastAsia="ru-RU"/>
        </w:rPr>
      </w:pPr>
      <w:r w:rsidRPr="00511005">
        <w:rPr>
          <w:rFonts w:ascii="Arial" w:hAnsi="Arial" w:cs="Arial"/>
          <w:szCs w:val="28"/>
          <w:lang w:val="uk-UA" w:eastAsia="ru-RU"/>
        </w:rPr>
        <w:t>Національного університету «Одеська юридична академія»</w:t>
      </w:r>
    </w:p>
    <w:p w14:paraId="79AC4E99"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jc w:val="center"/>
        <w:rPr>
          <w:rFonts w:ascii="Arial" w:hAnsi="Arial" w:cs="Arial"/>
          <w:b/>
          <w:bCs/>
          <w:szCs w:val="28"/>
          <w:lang w:eastAsia="ru-RU"/>
        </w:rPr>
      </w:pPr>
    </w:p>
    <w:p w14:paraId="62503399"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jc w:val="center"/>
        <w:rPr>
          <w:rFonts w:ascii="Arial" w:hAnsi="Arial" w:cs="Arial"/>
          <w:b/>
          <w:bCs/>
          <w:szCs w:val="28"/>
          <w:lang w:eastAsia="ru-RU"/>
        </w:rPr>
      </w:pPr>
      <w:r w:rsidRPr="00511005">
        <w:rPr>
          <w:rFonts w:ascii="Arial" w:hAnsi="Arial" w:cs="Arial"/>
          <w:b/>
          <w:bCs/>
          <w:szCs w:val="28"/>
          <w:lang w:eastAsia="ru-RU"/>
        </w:rPr>
        <w:t>СПІВПРАЦЯ ДЕРЖАВ У СФЕРІ БЕЗПЕКИ: СУЧАСНІ ВИКЛИКИ</w:t>
      </w:r>
    </w:p>
    <w:p w14:paraId="39D863B4"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hAnsi="Arial" w:cs="Arial"/>
          <w:szCs w:val="28"/>
          <w:lang w:eastAsia="ru-RU"/>
        </w:rPr>
      </w:pPr>
      <w:r w:rsidRPr="00511005">
        <w:rPr>
          <w:rFonts w:ascii="Arial" w:hAnsi="Arial" w:cs="Arial"/>
          <w:szCs w:val="28"/>
          <w:lang w:eastAsia="ru-RU"/>
        </w:rPr>
        <w:t xml:space="preserve">У сучасному глобалізованому світі безпека перестала бути виключно внутрішньою справою кожної окремої держави. Загрози набули транснаціонального характеру: тероризм, кібератаки, поширення зброї масового ураження, агресія проти суверенітету держав, а також екологічні катастрофи і пандемії. Ці виклики вимагають колективного реагування та координації зусиль на регіональному і міжнародному рівнях. Співпраця держав у сфері безпеки сьогодні стала критично важливою умовою стабільності як </w:t>
      </w:r>
      <w:proofErr w:type="gramStart"/>
      <w:r w:rsidRPr="00511005">
        <w:rPr>
          <w:rFonts w:ascii="Arial" w:hAnsi="Arial" w:cs="Arial"/>
          <w:szCs w:val="28"/>
          <w:lang w:eastAsia="ru-RU"/>
        </w:rPr>
        <w:t>у межах</w:t>
      </w:r>
      <w:proofErr w:type="gramEnd"/>
      <w:r w:rsidRPr="00511005">
        <w:rPr>
          <w:rFonts w:ascii="Arial" w:hAnsi="Arial" w:cs="Arial"/>
          <w:szCs w:val="28"/>
          <w:lang w:eastAsia="ru-RU"/>
        </w:rPr>
        <w:t xml:space="preserve"> окремих країн, так і на світовій арені. Особливо важливим є усвідомлення того, що навіть внутрішні конфлікти в окремій державі можуть мати значні міжнародні наслідки. Це вимагає від усіх країн спільного бачення безпеки як спільного блага [1].</w:t>
      </w:r>
    </w:p>
    <w:p w14:paraId="3D75B22E"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hAnsi="Arial" w:cs="Arial"/>
          <w:szCs w:val="28"/>
          <w:lang w:eastAsia="ru-RU"/>
        </w:rPr>
      </w:pPr>
      <w:r w:rsidRPr="00511005">
        <w:rPr>
          <w:rFonts w:ascii="Arial" w:hAnsi="Arial" w:cs="Arial"/>
          <w:szCs w:val="28"/>
          <w:lang w:eastAsia="ru-RU"/>
        </w:rPr>
        <w:t xml:space="preserve">«Суть співпраці держав у сфері </w:t>
      </w:r>
      <w:proofErr w:type="gramStart"/>
      <w:r w:rsidRPr="00511005">
        <w:rPr>
          <w:rFonts w:ascii="Arial" w:hAnsi="Arial" w:cs="Arial"/>
          <w:szCs w:val="28"/>
          <w:lang w:eastAsia="ru-RU"/>
        </w:rPr>
        <w:t>безпеки :</w:t>
      </w:r>
      <w:proofErr w:type="gramEnd"/>
      <w:r w:rsidRPr="00511005">
        <w:rPr>
          <w:rFonts w:ascii="Arial" w:hAnsi="Arial" w:cs="Arial"/>
          <w:szCs w:val="28"/>
          <w:lang w:eastAsia="ru-RU"/>
        </w:rPr>
        <w:t xml:space="preserve"> співпраця держав у сфері безпеки передбачає координацію зусиль для запобігання конфліктам, зміцнення обороноздатності, боротьби з міжнародною злочинністю, а також захисту прав людини й демократичних цінностей». Така взаємодія здійснюється через міжнародні організації (ООН, НАТО, ОБСЄ, ЄС), двосторонні угоди, військово-політичні союзи та спеціалізовані міжурядові структури. Співпраця часто набуває форм обміну інформацією, технічної допомоги, координації політик та стандартів, спільного реагування на надзвичайні ситуації. Наприклад, участь України в програмах НАТО, таких як «Партнерство заради миру», демонструє ефективність таких підходів [1].</w:t>
      </w:r>
    </w:p>
    <w:p w14:paraId="6741549E"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hAnsi="Arial" w:cs="Arial"/>
          <w:szCs w:val="28"/>
          <w:lang w:eastAsia="ru-RU"/>
        </w:rPr>
      </w:pPr>
      <w:r w:rsidRPr="00511005">
        <w:rPr>
          <w:rFonts w:ascii="Arial" w:hAnsi="Arial" w:cs="Arial"/>
          <w:szCs w:val="28"/>
          <w:lang w:eastAsia="ru-RU"/>
        </w:rPr>
        <w:t xml:space="preserve">Сучасні виклики міжнародній безпеці. «Останні десятиліття стали періодом появи нових, комплексних загроз, які не піддаються традиційним методам нейтралізації». Серед них варто виділити: гібридну війну, що поєднує звичайні військові методи з інформаційною війною та економічним тиском; кібербезпеку, оскільки держави стикаються з хакерськими атаками на критичну інфраструктуру; тероризм, що набуває нових форм через використання цифрових технологій. Порушення міжнародного права — як, наприклад, анексія Криму — підривають глобальну довіру. А міграційна криза створює додаткове соціальне та політичне напруження. Кожна з цих </w:t>
      </w:r>
      <w:r w:rsidRPr="00511005">
        <w:rPr>
          <w:rFonts w:ascii="Arial" w:hAnsi="Arial" w:cs="Arial"/>
          <w:szCs w:val="28"/>
          <w:lang w:eastAsia="ru-RU"/>
        </w:rPr>
        <w:lastRenderedPageBreak/>
        <w:t>загроз вимагає адекватної відповіді, яка можлива лише в умовах міждержавного співробітництва [2].</w:t>
      </w:r>
    </w:p>
    <w:p w14:paraId="50581D4B"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hAnsi="Arial" w:cs="Arial"/>
          <w:szCs w:val="28"/>
          <w:lang w:eastAsia="ru-RU"/>
        </w:rPr>
      </w:pPr>
      <w:r w:rsidRPr="00511005">
        <w:rPr>
          <w:rFonts w:ascii="Arial" w:hAnsi="Arial" w:cs="Arial"/>
          <w:szCs w:val="28"/>
          <w:lang w:eastAsia="ru-RU"/>
        </w:rPr>
        <w:t xml:space="preserve">Форми міжнародної співпраці у сфері </w:t>
      </w:r>
      <w:proofErr w:type="gramStart"/>
      <w:r w:rsidRPr="00511005">
        <w:rPr>
          <w:rFonts w:ascii="Arial" w:hAnsi="Arial" w:cs="Arial"/>
          <w:szCs w:val="28"/>
          <w:lang w:eastAsia="ru-RU"/>
        </w:rPr>
        <w:t>безпеки :</w:t>
      </w:r>
      <w:proofErr w:type="gramEnd"/>
      <w:r w:rsidRPr="00511005">
        <w:rPr>
          <w:rFonts w:ascii="Arial" w:hAnsi="Arial" w:cs="Arial"/>
          <w:szCs w:val="28"/>
          <w:lang w:eastAsia="ru-RU"/>
        </w:rPr>
        <w:t xml:space="preserve"> «серед головних форм співпраці варто виділити участь у міжнародних організаціях (НАТО, ООН, ОБСЄ)», які створюють майданчики для діалогу та прийняття рішень. Двосторонні й багатосторонні договори дозволяють країнам забезпечувати безпеку через спільні зобов’язання. Важливими є й спільні військові навчання, які покращують координацію та готовність до дій. Санкційні механізми також є інструментом впливу на держави, які порушують міжнародне право. Наприклад, санкції ЄС проти росії стали відповіддю на її дії щодо України [3].</w:t>
      </w:r>
    </w:p>
    <w:p w14:paraId="5F68B5AA"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hAnsi="Arial" w:cs="Arial"/>
          <w:szCs w:val="28"/>
          <w:lang w:eastAsia="ru-RU"/>
        </w:rPr>
      </w:pPr>
      <w:r w:rsidRPr="00511005">
        <w:rPr>
          <w:rFonts w:ascii="Arial" w:hAnsi="Arial" w:cs="Arial"/>
          <w:szCs w:val="28"/>
          <w:lang w:eastAsia="ru-RU"/>
        </w:rPr>
        <w:t xml:space="preserve">Роль України у міжнародній системі безпеки є </w:t>
      </w:r>
      <w:proofErr w:type="gramStart"/>
      <w:r w:rsidRPr="00511005">
        <w:rPr>
          <w:rFonts w:ascii="Arial" w:hAnsi="Arial" w:cs="Arial"/>
          <w:szCs w:val="28"/>
          <w:lang w:eastAsia="ru-RU"/>
        </w:rPr>
        <w:t>важливою.Україна</w:t>
      </w:r>
      <w:proofErr w:type="gramEnd"/>
      <w:r w:rsidRPr="00511005">
        <w:rPr>
          <w:rFonts w:ascii="Arial" w:hAnsi="Arial" w:cs="Arial"/>
          <w:szCs w:val="28"/>
          <w:lang w:eastAsia="ru-RU"/>
        </w:rPr>
        <w:t xml:space="preserve"> стала однією з ключових точок глобальної безпеки. «Російська агресія проти України змінила сприйняття безпеки в Європі та прискорила переосмислення ролі НАТО, ЄС і двосторонніх союзів» [4]. Україна активно залучена до системи колективної безпеки: бере участь у міжнародних операціях, співпрацює з НАТО, розвиває стратегічне партнерство зі США, Великою Британією, Польщею та іншими державами. Крім того, «українські Збройні сили беруть участь у спільних навчаннях, а Україна отримує підтримку у вигляді оборонного озброєння, фінансів, гуманітарної </w:t>
      </w:r>
      <w:proofErr w:type="gramStart"/>
      <w:r w:rsidRPr="00511005">
        <w:rPr>
          <w:rFonts w:ascii="Arial" w:hAnsi="Arial" w:cs="Arial"/>
          <w:szCs w:val="28"/>
          <w:lang w:eastAsia="ru-RU"/>
        </w:rPr>
        <w:t>допомоги»[</w:t>
      </w:r>
      <w:proofErr w:type="gramEnd"/>
      <w:r w:rsidRPr="00511005">
        <w:rPr>
          <w:rFonts w:ascii="Arial" w:hAnsi="Arial" w:cs="Arial"/>
          <w:szCs w:val="28"/>
          <w:lang w:eastAsia="ru-RU"/>
        </w:rPr>
        <w:t>5].</w:t>
      </w:r>
    </w:p>
    <w:p w14:paraId="4F0E186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сучасному глобалізованому світі проблема безпеки набула особливої гостроти та багатогранності. Більше не існує суто внутрішніх загроз — будь-яка криза чи конфлікт, що виникає в окремій країні, може мати значні регіональні або навіть глобальні наслідки. Це обумовлює необхідність кардинальної трансформації підходів до забезпечення безпеки: від односторонніх дій — до колективного реагування, від ізоляціонізму — до відкритої міжнародної співпраці.</w:t>
      </w:r>
    </w:p>
    <w:p w14:paraId="6ACB9CA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Основними викликами сьогодення стали нові форми загроз: гібридна війна, кібератаки, тероризм, порушення суверенітету, екологічні та біологічні кризи. Ці виклики демонструють, що жодна держава не в змозі ефективно протистояти їм самотужки. У цьому контексті міжнародна координація та інтеграція політик набувають надзвичайного значення. Співпраця у сфері безпеки нині охоплює не лише військові аспекти, але й гуманітарні, правові, екологічні й технологічні напрями. Саме такий міждисциплінарний підхід дозволяє створити ефективну систему превентивного реагування та стійкості до загроз.</w:t>
      </w:r>
    </w:p>
    <w:p w14:paraId="2045C66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Важливо також підкреслити роль міжнародних організацій, таких як ООН, НАТО, ОБСЄ, ЄС, які забезпечують платформу для колективного обговорення, прийняття рішень і реалізації політики безпеки. Спільні навчання, санкційні механізми, обмін розвідувальними даними, розробка єдиних стандартів — усе це є складовими сучасної системи міжнародної </w:t>
      </w:r>
      <w:r w:rsidRPr="00511005">
        <w:rPr>
          <w:rFonts w:ascii="Arial" w:eastAsia="Times New Roman" w:hAnsi="Arial" w:cs="Arial"/>
          <w:szCs w:val="28"/>
          <w:lang w:eastAsia="ru-RU"/>
        </w:rPr>
        <w:lastRenderedPageBreak/>
        <w:t>безпеки. Водночас вагоме значення мають і двосторонні альянси, зокрема ті, що укладаються на основі стратегічного партнерства та взаємної підтримки.</w:t>
      </w:r>
    </w:p>
    <w:p w14:paraId="2FDA24E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цьому контексті Україна займає особливе місце. Російська агресія проти неї не лише спричинила найбільшу безпекову кризу в Європі з часів Другої світової війни, але й стала каталізатором переосмислення безпекових стратегій усього західного світу. Україна не просто приймає допомогу — вона активно формує нову архітектуру європейської безпеки, виступаючи як форпост демократії та цінностей свободи. Її участь у програмах НАТО, двосторонніх союзах, міжнародних операціях, а також здатність адаптуватися до нових викликів свідчать про зрілість і стратегічну вагу української дипломатії та армії.</w:t>
      </w:r>
    </w:p>
    <w:p w14:paraId="5EC7966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безпека у ХХІ столітті — це спільна справа. Успіх у подоланні глобальних загроз залежить від рівня довіри, солідарності та взаємної відповідальності між державами. І Україна, як активний суб'єкт цієї системи, доводить, що навіть у найважчих умовах можна не лише виживати, а й ставати прикладом для інших. Саме через такі приклади світ наближається до нової епохи — епохи відповідального співробітництва та стійкого миру.</w:t>
      </w:r>
    </w:p>
    <w:p w14:paraId="29E2B6E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798EA31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7012880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11F9986A" w14:textId="1E7863C3" w:rsidR="00220D3E" w:rsidRPr="00511005" w:rsidRDefault="007B2628" w:rsidP="007B2628">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jc w:val="center"/>
        <w:rPr>
          <w:rFonts w:ascii="Arial" w:hAnsi="Arial" w:cs="Arial"/>
          <w:b/>
          <w:bCs/>
          <w:szCs w:val="28"/>
          <w:lang w:val="uk-UA" w:eastAsia="ru-RU"/>
        </w:rPr>
      </w:pPr>
      <w:r w:rsidRPr="00511005">
        <w:rPr>
          <w:rFonts w:ascii="Arial" w:hAnsi="Arial" w:cs="Arial"/>
          <w:b/>
          <w:bCs/>
          <w:szCs w:val="28"/>
          <w:lang w:val="uk-UA" w:eastAsia="ru-RU"/>
        </w:rPr>
        <w:t>Список використаних джерел</w:t>
      </w:r>
    </w:p>
    <w:p w14:paraId="2F58D793"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hAnsi="Arial" w:cs="Arial"/>
          <w:szCs w:val="28"/>
          <w:lang w:eastAsia="ru-RU"/>
        </w:rPr>
      </w:pPr>
      <w:r w:rsidRPr="00511005">
        <w:rPr>
          <w:rFonts w:ascii="Arial" w:hAnsi="Arial" w:cs="Arial"/>
          <w:szCs w:val="28"/>
          <w:lang w:eastAsia="ru-RU"/>
        </w:rPr>
        <w:t>1.</w:t>
      </w:r>
      <w:r w:rsidRPr="00511005">
        <w:rPr>
          <w:rFonts w:ascii="Arial" w:hAnsi="Arial" w:cs="Arial"/>
          <w:szCs w:val="28"/>
          <w:lang w:eastAsia="ru-RU"/>
        </w:rPr>
        <w:tab/>
        <w:t>Філоненко, І. М. Міжнародна безпека та міжнародні відносини. Харків: Право, 2020. URL: https://elibrary.ivinas.gov.ua/view/subjects/I7.html</w:t>
      </w:r>
    </w:p>
    <w:p w14:paraId="7E52FDA9"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hAnsi="Arial" w:cs="Arial"/>
          <w:szCs w:val="28"/>
          <w:lang w:eastAsia="ru-RU"/>
        </w:rPr>
      </w:pPr>
      <w:r w:rsidRPr="00511005">
        <w:rPr>
          <w:rFonts w:ascii="Arial" w:hAnsi="Arial" w:cs="Arial"/>
          <w:szCs w:val="28"/>
          <w:lang w:eastAsia="ru-RU"/>
        </w:rPr>
        <w:t>2. ООН. Глобальні загрози: виклики для сучасної безпеки. Нью-Йорк: ООН, 2021. URL: https://kaf-asipd.kpnu.edu.ua/wp-content/uploads/2022/12/zbirnyk-oon-1.pdf</w:t>
      </w:r>
    </w:p>
    <w:p w14:paraId="50DA45BD"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hAnsi="Arial" w:cs="Arial"/>
          <w:szCs w:val="28"/>
          <w:lang w:eastAsia="ru-RU"/>
        </w:rPr>
      </w:pPr>
      <w:r w:rsidRPr="00511005">
        <w:rPr>
          <w:rFonts w:ascii="Arial" w:hAnsi="Arial" w:cs="Arial"/>
          <w:szCs w:val="28"/>
          <w:lang w:eastAsia="ru-RU"/>
        </w:rPr>
        <w:t>3. Європейський Союз. Безпека в ЄС: політика та практики. Брюссель: Європейський Союз, 2019. URL: https://ec.europa.eu/programmes/erasmus-plus/project-result-content/8f12342d-263f-4946-8830-7fdeed3bbfba/Book_Gn_3_full.pdf</w:t>
      </w:r>
    </w:p>
    <w:p w14:paraId="60B23B8D" w14:textId="77777777"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hAnsi="Arial" w:cs="Arial"/>
          <w:szCs w:val="28"/>
          <w:lang w:eastAsia="ru-RU"/>
        </w:rPr>
      </w:pPr>
      <w:r w:rsidRPr="00511005">
        <w:rPr>
          <w:rFonts w:ascii="Arial" w:hAnsi="Arial" w:cs="Arial"/>
          <w:szCs w:val="28"/>
          <w:lang w:eastAsia="ru-RU"/>
        </w:rPr>
        <w:t>4. НАТО. Партнерство заради миру: розвиток співпраці. Брюссель: НАТО, 2020. URL: https://www.nato.int/cps/ru/natohq/official_texts_63654.htm?selectedLocale=uk</w:t>
      </w:r>
    </w:p>
    <w:p w14:paraId="30A36C89" w14:textId="77777777" w:rsidR="00220D3E" w:rsidRPr="00511005" w:rsidRDefault="00220D3E" w:rsidP="003A292D">
      <w:pPr>
        <w:tabs>
          <w:tab w:val="left" w:pos="709"/>
        </w:tabs>
        <w:spacing w:line="264" w:lineRule="auto"/>
        <w:rPr>
          <w:rFonts w:ascii="Arial" w:eastAsia="Times New Roman" w:hAnsi="Arial" w:cs="Arial"/>
          <w:szCs w:val="28"/>
          <w:shd w:val="clear" w:color="auto" w:fill="FFFFFF"/>
          <w:lang w:eastAsia="ru-RU"/>
        </w:rPr>
      </w:pPr>
      <w:r w:rsidRPr="00511005">
        <w:rPr>
          <w:rFonts w:ascii="Arial" w:hAnsi="Arial" w:cs="Arial"/>
          <w:szCs w:val="28"/>
          <w:lang w:eastAsia="ru-RU"/>
        </w:rPr>
        <w:t xml:space="preserve">5. </w:t>
      </w:r>
      <w:r w:rsidRPr="00511005">
        <w:rPr>
          <w:rFonts w:ascii="Arial" w:eastAsia="Times New Roman" w:hAnsi="Arial" w:cs="Arial"/>
          <w:szCs w:val="28"/>
          <w:shd w:val="clear" w:color="auto" w:fill="FFFFFF"/>
          <w:lang w:eastAsia="ru-RU"/>
        </w:rPr>
        <w:t xml:space="preserve">Міжнародне публічне право : навч.-метод. посіб. для здобувачів першого (бакалавр.) рівня вищ. осв. галузі знань 08, спец. 081 «Право» та галузі знань 29, спец. 293 «Міжнародне право» [Електронне видання] / уклад.: К. В. Мануїлова, О. О. Бєлогубова [та ін.] ; Нац. ун-т «Одеська юрид. академія». – </w:t>
      </w:r>
      <w:proofErr w:type="gramStart"/>
      <w:r w:rsidRPr="00511005">
        <w:rPr>
          <w:rFonts w:ascii="Arial" w:eastAsia="Times New Roman" w:hAnsi="Arial" w:cs="Arial"/>
          <w:szCs w:val="28"/>
          <w:shd w:val="clear" w:color="auto" w:fill="FFFFFF"/>
          <w:lang w:eastAsia="ru-RU"/>
        </w:rPr>
        <w:t>Одеса :</w:t>
      </w:r>
      <w:proofErr w:type="gramEnd"/>
      <w:r w:rsidRPr="00511005">
        <w:rPr>
          <w:rFonts w:ascii="Arial" w:eastAsia="Times New Roman" w:hAnsi="Arial" w:cs="Arial"/>
          <w:szCs w:val="28"/>
          <w:shd w:val="clear" w:color="auto" w:fill="FFFFFF"/>
          <w:lang w:eastAsia="ru-RU"/>
        </w:rPr>
        <w:t xml:space="preserve"> Фенікс, 2024. – 234 с. – </w:t>
      </w:r>
      <w:r w:rsidRPr="00511005">
        <w:rPr>
          <w:rFonts w:ascii="Arial" w:hAnsi="Arial" w:cs="Arial"/>
          <w:szCs w:val="28"/>
          <w:lang w:eastAsia="ru-RU"/>
        </w:rPr>
        <w:t>URL</w:t>
      </w:r>
      <w:r w:rsidRPr="00511005">
        <w:rPr>
          <w:rFonts w:ascii="Arial" w:eastAsia="Times New Roman" w:hAnsi="Arial" w:cs="Arial"/>
          <w:szCs w:val="28"/>
          <w:shd w:val="clear" w:color="auto" w:fill="FFFFFF"/>
          <w:lang w:eastAsia="ru-RU"/>
        </w:rPr>
        <w:t xml:space="preserve">: </w:t>
      </w:r>
      <w:hyperlink r:id="rId255" w:history="1">
        <w:r w:rsidRPr="00511005">
          <w:rPr>
            <w:rFonts w:ascii="Arial" w:eastAsia="Times New Roman" w:hAnsi="Arial" w:cs="Arial"/>
            <w:szCs w:val="28"/>
            <w:shd w:val="clear" w:color="auto" w:fill="FFFFFF"/>
            <w:lang w:eastAsia="ru-RU"/>
          </w:rPr>
          <w:t>https://hdl.handle.net/11300/28680</w:t>
        </w:r>
      </w:hyperlink>
    </w:p>
    <w:p w14:paraId="08879538" w14:textId="5FCD40AD" w:rsidR="00220D3E" w:rsidRPr="00511005" w:rsidRDefault="00EE6668"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hAnsi="Arial" w:cs="Arial"/>
          <w:szCs w:val="28"/>
          <w:lang w:eastAsia="ru-RU"/>
        </w:rPr>
      </w:pPr>
      <w:r w:rsidRPr="00511005">
        <w:rPr>
          <w:rFonts w:ascii="Arial" w:hAnsi="Arial" w:cs="Arial"/>
          <w:b/>
          <w:bCs/>
          <w:szCs w:val="28"/>
          <w:lang w:eastAsia="ru-RU"/>
        </w:rPr>
        <w:t>Ключові слова:</w:t>
      </w:r>
      <w:r w:rsidR="00220D3E" w:rsidRPr="00511005">
        <w:rPr>
          <w:rFonts w:ascii="Arial" w:hAnsi="Arial" w:cs="Arial"/>
          <w:szCs w:val="28"/>
          <w:lang w:eastAsia="ru-RU"/>
        </w:rPr>
        <w:t xml:space="preserve"> міжнародна безпека, співпраця держав, глобальні загрози, тероризм, кібератаки, гібридна війна, міжнародне право, НАТО, </w:t>
      </w:r>
      <w:r w:rsidR="00220D3E" w:rsidRPr="00511005">
        <w:rPr>
          <w:rFonts w:ascii="Arial" w:hAnsi="Arial" w:cs="Arial"/>
          <w:szCs w:val="28"/>
          <w:lang w:eastAsia="ru-RU"/>
        </w:rPr>
        <w:lastRenderedPageBreak/>
        <w:t>ООН, ОБСЄ, Європейський Союз, санкції, колективна оборона, стратегічнепартнерство, Україна, анексія Криму, міграційна криза, демократичні цінності, права людини, безпекові механізми</w:t>
      </w:r>
    </w:p>
    <w:p w14:paraId="547449D4" w14:textId="3CF30ABD" w:rsidR="00220D3E" w:rsidRPr="00511005" w:rsidRDefault="00220D3E"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rPr>
          <w:rFonts w:ascii="Arial" w:hAnsi="Arial" w:cs="Arial"/>
          <w:szCs w:val="28"/>
          <w:lang w:val="en-US" w:eastAsia="ru-RU"/>
        </w:rPr>
      </w:pPr>
      <w:r w:rsidRPr="00511005">
        <w:rPr>
          <w:rFonts w:ascii="Arial" w:hAnsi="Arial" w:cs="Arial"/>
          <w:b/>
          <w:bCs/>
          <w:szCs w:val="28"/>
          <w:lang w:val="en-US" w:eastAsia="ru-RU"/>
        </w:rPr>
        <w:t>Key words</w:t>
      </w:r>
      <w:r w:rsidRPr="00511005">
        <w:rPr>
          <w:rFonts w:ascii="Arial" w:hAnsi="Arial" w:cs="Arial"/>
          <w:szCs w:val="28"/>
          <w:lang w:val="en-US" w:eastAsia="ru-RU"/>
        </w:rPr>
        <w:t>: international security, intergovernmental cooperation, global threats, terrorism, cyberattacks, hybrid warfare, international law, NATO, UN, OSCE, European Union, sanctions, collective defense, strategic partnership, Ukraine, annexation of Crimea, migration crisis, democratic values, human rights, security mechanisms4</w:t>
      </w:r>
    </w:p>
    <w:p w14:paraId="0C41249B" w14:textId="1E99BAC2" w:rsidR="00220D3E" w:rsidRPr="00511005" w:rsidRDefault="00EE6668" w:rsidP="003A292D">
      <w:pPr>
        <w:tabs>
          <w:tab w:val="left" w:pos="709"/>
        </w:tabs>
        <w:spacing w:line="264" w:lineRule="auto"/>
        <w:rPr>
          <w:rFonts w:ascii="Arial" w:hAnsi="Arial" w:cs="Arial"/>
          <w:i/>
          <w:szCs w:val="28"/>
          <w:lang w:val="uk-UA" w:eastAsia="ru-RU"/>
        </w:rPr>
      </w:pPr>
      <w:r w:rsidRPr="00511005">
        <w:rPr>
          <w:rFonts w:ascii="Arial" w:hAnsi="Arial" w:cs="Arial"/>
          <w:i/>
          <w:szCs w:val="28"/>
          <w:lang w:eastAsia="ru-RU"/>
        </w:rPr>
        <w:t>Науковий керівник:</w:t>
      </w:r>
      <w:r w:rsidR="00220D3E" w:rsidRPr="00511005">
        <w:rPr>
          <w:rFonts w:ascii="Arial" w:hAnsi="Arial" w:cs="Arial"/>
          <w:i/>
          <w:szCs w:val="28"/>
          <w:lang w:eastAsia="ru-RU"/>
        </w:rPr>
        <w:t xml:space="preserve"> к.ю.н., доц. Бєлогубова О. О.</w:t>
      </w:r>
    </w:p>
    <w:p w14:paraId="3A2618F0" w14:textId="77777777" w:rsidR="00220D3E" w:rsidRPr="00511005" w:rsidRDefault="00220D3E" w:rsidP="003A292D">
      <w:pPr>
        <w:pBdr>
          <w:top w:val="nil"/>
          <w:left w:val="nil"/>
          <w:bottom w:val="nil"/>
          <w:right w:val="nil"/>
          <w:between w:val="nil"/>
          <w:bar w:val="nil"/>
        </w:pBdr>
        <w:suppressAutoHyphens/>
        <w:spacing w:line="264" w:lineRule="auto"/>
        <w:ind w:firstLine="0"/>
        <w:jc w:val="center"/>
        <w:rPr>
          <w:rFonts w:ascii="Arial" w:eastAsia="Arial Unicode MS" w:hAnsi="Arial" w:cs="Arial"/>
          <w:b/>
          <w:bCs/>
          <w:i/>
          <w:iCs/>
          <w:szCs w:val="28"/>
          <w:bdr w:val="nil"/>
          <w:lang w:val="uk-UA" w:eastAsia="ru-RU"/>
        </w:rPr>
      </w:pPr>
    </w:p>
    <w:p w14:paraId="629785BA" w14:textId="77777777" w:rsidR="00220D3E" w:rsidRPr="00511005" w:rsidRDefault="00220D3E" w:rsidP="003A292D">
      <w:pPr>
        <w:pBdr>
          <w:top w:val="nil"/>
          <w:left w:val="nil"/>
          <w:bottom w:val="nil"/>
          <w:right w:val="nil"/>
          <w:between w:val="nil"/>
          <w:bar w:val="nil"/>
        </w:pBdr>
        <w:suppressAutoHyphens/>
        <w:spacing w:line="264" w:lineRule="auto"/>
        <w:ind w:firstLine="0"/>
        <w:jc w:val="center"/>
        <w:rPr>
          <w:rFonts w:ascii="Arial" w:eastAsia="Arial Unicode MS" w:hAnsi="Arial" w:cs="Arial"/>
          <w:b/>
          <w:bCs/>
          <w:i/>
          <w:iCs/>
          <w:szCs w:val="28"/>
          <w:bdr w:val="nil"/>
          <w:lang w:val="uk-UA" w:eastAsia="ru-RU"/>
        </w:rPr>
      </w:pPr>
      <w:r w:rsidRPr="00511005">
        <w:rPr>
          <w:rFonts w:ascii="Arial" w:eastAsia="Arial Unicode MS" w:hAnsi="Arial" w:cs="Arial"/>
          <w:b/>
          <w:bCs/>
          <w:i/>
          <w:iCs/>
          <w:szCs w:val="28"/>
          <w:bdr w:val="nil"/>
          <w:lang w:eastAsia="ru-RU"/>
        </w:rPr>
        <w:t>Гапоненко Дар</w:t>
      </w:r>
      <w:r w:rsidRPr="00511005">
        <w:rPr>
          <w:rFonts w:ascii="Arial" w:eastAsia="Arial Unicode MS" w:hAnsi="Arial" w:cs="Arial"/>
          <w:b/>
          <w:bCs/>
          <w:i/>
          <w:iCs/>
          <w:szCs w:val="28"/>
          <w:bdr w:val="nil"/>
          <w:lang w:val="uk-UA" w:eastAsia="ru-RU"/>
        </w:rPr>
        <w:t>’я Олександрівна</w:t>
      </w:r>
    </w:p>
    <w:p w14:paraId="69F228E7" w14:textId="08094E03" w:rsidR="00220D3E" w:rsidRPr="00511005" w:rsidRDefault="00536AAB" w:rsidP="003A292D">
      <w:pPr>
        <w:pBdr>
          <w:top w:val="nil"/>
          <w:left w:val="nil"/>
          <w:bottom w:val="nil"/>
          <w:right w:val="nil"/>
          <w:between w:val="nil"/>
          <w:bar w:val="nil"/>
        </w:pBdr>
        <w:suppressAutoHyphens/>
        <w:spacing w:line="264" w:lineRule="auto"/>
        <w:ind w:firstLine="0"/>
        <w:jc w:val="center"/>
        <w:rPr>
          <w:rFonts w:ascii="Arial" w:eastAsia="Arial Unicode MS" w:hAnsi="Arial" w:cs="Arial"/>
          <w:szCs w:val="28"/>
          <w:bdr w:val="nil"/>
          <w:lang w:val="uk-UA" w:eastAsia="ru-RU"/>
        </w:rPr>
      </w:pPr>
      <w:r w:rsidRPr="00511005">
        <w:rPr>
          <w:rFonts w:ascii="Arial" w:eastAsia="Arial Unicode MS" w:hAnsi="Arial" w:cs="Arial"/>
          <w:szCs w:val="28"/>
          <w:bdr w:val="nil"/>
          <w:lang w:eastAsia="ru-RU"/>
        </w:rPr>
        <w:t xml:space="preserve">студентка 2-го курсу </w:t>
      </w:r>
      <w:r w:rsidR="001B7B25" w:rsidRPr="00511005">
        <w:rPr>
          <w:rFonts w:ascii="Arial" w:eastAsia="Arial Unicode MS" w:hAnsi="Arial" w:cs="Arial"/>
          <w:szCs w:val="28"/>
          <w:bdr w:val="nil"/>
          <w:lang w:eastAsia="ru-RU"/>
        </w:rPr>
        <w:t>факультету судового та міжнародного права</w:t>
      </w:r>
      <w:r w:rsidR="00220D3E" w:rsidRPr="00511005">
        <w:rPr>
          <w:rFonts w:ascii="Arial" w:eastAsia="Arial Unicode MS" w:hAnsi="Arial" w:cs="Arial"/>
          <w:szCs w:val="28"/>
          <w:bdr w:val="nil"/>
          <w:lang w:eastAsia="ru-RU"/>
        </w:rPr>
        <w:t xml:space="preserve"> </w:t>
      </w:r>
    </w:p>
    <w:p w14:paraId="0A181B2F" w14:textId="25710555" w:rsidR="00220D3E" w:rsidRPr="00511005" w:rsidRDefault="007B2628" w:rsidP="003A292D">
      <w:pPr>
        <w:pBdr>
          <w:top w:val="nil"/>
          <w:left w:val="nil"/>
          <w:bottom w:val="nil"/>
          <w:right w:val="nil"/>
          <w:between w:val="nil"/>
          <w:bar w:val="nil"/>
        </w:pBdr>
        <w:suppressAutoHyphens/>
        <w:spacing w:line="264" w:lineRule="auto"/>
        <w:ind w:firstLine="0"/>
        <w:jc w:val="center"/>
        <w:rPr>
          <w:rFonts w:ascii="Arial" w:eastAsia="Arial Unicode MS" w:hAnsi="Arial" w:cs="Arial"/>
          <w:szCs w:val="28"/>
          <w:bdr w:val="nil"/>
          <w:lang w:val="uk-UA" w:eastAsia="ru-RU"/>
        </w:rPr>
      </w:pPr>
      <w:r w:rsidRPr="00511005">
        <w:rPr>
          <w:rFonts w:ascii="Arial" w:eastAsia="Arial Unicode MS" w:hAnsi="Arial" w:cs="Arial"/>
          <w:szCs w:val="28"/>
          <w:bdr w:val="nil"/>
          <w:lang w:eastAsia="ru-RU"/>
        </w:rPr>
        <w:t>Національного університету «Одеська юридична академія»</w:t>
      </w:r>
    </w:p>
    <w:p w14:paraId="59D797D0" w14:textId="77777777" w:rsidR="00220D3E" w:rsidRPr="00511005" w:rsidRDefault="00220D3E" w:rsidP="003A292D">
      <w:pPr>
        <w:pBdr>
          <w:top w:val="nil"/>
          <w:left w:val="nil"/>
          <w:bottom w:val="nil"/>
          <w:right w:val="nil"/>
          <w:between w:val="nil"/>
          <w:bar w:val="nil"/>
        </w:pBdr>
        <w:suppressAutoHyphens/>
        <w:spacing w:line="264" w:lineRule="auto"/>
        <w:ind w:firstLine="0"/>
        <w:jc w:val="center"/>
        <w:rPr>
          <w:rFonts w:ascii="Arial" w:eastAsia="Arial Unicode MS" w:hAnsi="Arial" w:cs="Arial"/>
          <w:szCs w:val="28"/>
          <w:bdr w:val="nil"/>
          <w:lang w:val="uk-UA" w:eastAsia="ru-RU"/>
        </w:rPr>
      </w:pPr>
    </w:p>
    <w:p w14:paraId="3EE7FA2D" w14:textId="77777777" w:rsidR="00220D3E" w:rsidRPr="00511005" w:rsidRDefault="00220D3E" w:rsidP="003A292D">
      <w:pPr>
        <w:pBdr>
          <w:top w:val="nil"/>
          <w:left w:val="nil"/>
          <w:bottom w:val="nil"/>
          <w:right w:val="nil"/>
          <w:between w:val="nil"/>
          <w:bar w:val="nil"/>
        </w:pBdr>
        <w:suppressAutoHyphens/>
        <w:spacing w:line="264" w:lineRule="auto"/>
        <w:ind w:firstLine="0"/>
        <w:jc w:val="center"/>
        <w:rPr>
          <w:rFonts w:ascii="Arial" w:eastAsia="Times New Roman" w:hAnsi="Arial" w:cs="Arial"/>
          <w:b/>
          <w:bCs/>
          <w:szCs w:val="28"/>
          <w:bdr w:val="nil"/>
          <w:lang w:eastAsia="ru-RU"/>
        </w:rPr>
      </w:pPr>
      <w:r w:rsidRPr="00511005">
        <w:rPr>
          <w:rFonts w:ascii="Arial" w:eastAsia="Arial Unicode MS" w:hAnsi="Arial" w:cs="Arial"/>
          <w:b/>
          <w:bCs/>
          <w:szCs w:val="28"/>
          <w:bdr w:val="nil"/>
          <w:lang w:eastAsia="ru-RU"/>
        </w:rPr>
        <w:t>ЗАХИСТ ЦИВІЛЬНОГО НАСЕЛЕННЯ В ПЕРІОД ЗБРОЙНИХ КОНФЛІКТІВ</w:t>
      </w:r>
    </w:p>
    <w:p w14:paraId="7319A8CB" w14:textId="77777777" w:rsidR="007B2628" w:rsidRPr="00511005" w:rsidRDefault="00220D3E" w:rsidP="003A292D">
      <w:pPr>
        <w:pBdr>
          <w:top w:val="nil"/>
          <w:left w:val="nil"/>
          <w:bottom w:val="nil"/>
          <w:right w:val="nil"/>
          <w:between w:val="nil"/>
          <w:bar w:val="nil"/>
        </w:pBdr>
        <w:suppressAutoHyphens/>
        <w:spacing w:line="264" w:lineRule="auto"/>
        <w:ind w:firstLine="0"/>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ab/>
      </w:r>
      <w:r w:rsidRPr="00511005">
        <w:rPr>
          <w:rFonts w:ascii="Arial" w:eastAsia="Arial Unicode MS" w:hAnsi="Arial" w:cs="Arial"/>
          <w:szCs w:val="28"/>
          <w:bdr w:val="nil"/>
          <w:lang w:eastAsia="ru-RU"/>
        </w:rPr>
        <w:t>Збройні конфлікти залишаються однією з найбільших загроз сучасного світу. Незважаючи на існування міжнародно-правових норм, цивільне населення продовжує страждати від нападів, незаконних переміщень, блокад і застосування заборонених видів зброї. Зростаюча кількість гібридних конфліктів та використання новітніх технологій у військових операціях створює додаткові виклики для захисту цивільного населення. Цивільне населення – це особи, які не є комбатантами (учасниками бойових дій). Відповідно до IV Женевськ</w:t>
      </w:r>
      <w:r w:rsidRPr="00511005">
        <w:rPr>
          <w:rFonts w:ascii="Arial" w:eastAsia="Arial Unicode MS" w:hAnsi="Arial" w:cs="Arial"/>
          <w:szCs w:val="28"/>
          <w:bdr w:val="nil"/>
          <w:lang w:val="uk-UA" w:eastAsia="ru-RU"/>
        </w:rPr>
        <w:t>ої</w:t>
      </w:r>
      <w:r w:rsidRPr="00511005">
        <w:rPr>
          <w:rFonts w:ascii="Arial" w:eastAsia="Arial Unicode MS" w:hAnsi="Arial" w:cs="Arial"/>
          <w:szCs w:val="28"/>
          <w:bdr w:val="nil"/>
          <w:lang w:eastAsia="ru-RU"/>
        </w:rPr>
        <w:t xml:space="preserve"> конвенці</w:t>
      </w:r>
      <w:r w:rsidRPr="00511005">
        <w:rPr>
          <w:rFonts w:ascii="Arial" w:eastAsia="Arial Unicode MS" w:hAnsi="Arial" w:cs="Arial"/>
          <w:szCs w:val="28"/>
          <w:bdr w:val="nil"/>
          <w:lang w:val="uk-UA" w:eastAsia="ru-RU"/>
        </w:rPr>
        <w:t>ї про захист цивільного населення під час війни</w:t>
      </w:r>
      <w:r w:rsidRPr="00511005">
        <w:rPr>
          <w:rFonts w:ascii="Arial" w:eastAsia="Arial Unicode MS" w:hAnsi="Arial" w:cs="Arial"/>
          <w:szCs w:val="28"/>
          <w:bdr w:val="nil"/>
          <w:lang w:eastAsia="ru-RU"/>
        </w:rPr>
        <w:t xml:space="preserve"> 1949 року, цивільні мають право на захист і не можуть бути об’єктами прямих </w:t>
      </w:r>
      <w:r w:rsidRPr="00511005">
        <w:rPr>
          <w:rFonts w:ascii="Arial" w:eastAsia="Arial Unicode MS" w:hAnsi="Arial" w:cs="Arial"/>
          <w:szCs w:val="28"/>
          <w:bdr w:val="nil"/>
          <w:lang w:val="uk-UA" w:eastAsia="ru-RU"/>
        </w:rPr>
        <w:t xml:space="preserve">збройних </w:t>
      </w:r>
      <w:r w:rsidRPr="00511005">
        <w:rPr>
          <w:rFonts w:ascii="Arial" w:eastAsia="Arial Unicode MS" w:hAnsi="Arial" w:cs="Arial"/>
          <w:szCs w:val="28"/>
          <w:bdr w:val="nil"/>
          <w:lang w:eastAsia="ru-RU"/>
        </w:rPr>
        <w:t>атак.</w:t>
      </w:r>
      <w:r w:rsidRPr="00511005">
        <w:rPr>
          <w:rFonts w:ascii="Arial" w:eastAsia="Arial Unicode MS" w:hAnsi="Arial" w:cs="Arial"/>
          <w:szCs w:val="28"/>
          <w:bdr w:val="nil"/>
          <w:lang w:val="uk-UA" w:eastAsia="ru-RU"/>
        </w:rPr>
        <w:t xml:space="preserve"> Згідно зі статтею 2 цієї конвенції : «…Хоча одна з держав, які перебувають у конфлікті, може не бути учасницею цієї Конвенції, держави, які є її учасницями, залишаються зобов'язаними нею у своїх взаємовідносинах. Крім того, вони зобов'язані Конвенцією стосовно зазначеної держави, якщо остання приймає та застосовує її положення»</w:t>
      </w:r>
      <w:r w:rsidRPr="00511005">
        <w:rPr>
          <w:rFonts w:ascii="Arial" w:eastAsia="Arial Unicode MS" w:hAnsi="Arial" w:cs="Arial"/>
          <w:szCs w:val="28"/>
          <w:bdr w:val="nil"/>
          <w:lang w:eastAsia="ru-RU"/>
        </w:rPr>
        <w:t xml:space="preserve"> </w:t>
      </w:r>
      <w:r w:rsidRPr="00511005">
        <w:rPr>
          <w:rFonts w:ascii="Arial" w:eastAsia="Arial Unicode MS" w:hAnsi="Arial" w:cs="Arial"/>
          <w:szCs w:val="28"/>
          <w:bdr w:val="nil"/>
          <w:lang w:val="uk-UA" w:eastAsia="ru-RU"/>
        </w:rPr>
        <w:t>[6].</w:t>
      </w:r>
    </w:p>
    <w:p w14:paraId="09071323" w14:textId="369E546D" w:rsidR="00220D3E" w:rsidRPr="00511005" w:rsidRDefault="00220D3E" w:rsidP="003A292D">
      <w:pPr>
        <w:pBdr>
          <w:top w:val="nil"/>
          <w:left w:val="nil"/>
          <w:bottom w:val="nil"/>
          <w:right w:val="nil"/>
          <w:between w:val="nil"/>
          <w:bar w:val="nil"/>
        </w:pBdr>
        <w:suppressAutoHyphens/>
        <w:spacing w:line="264" w:lineRule="auto"/>
        <w:ind w:firstLine="0"/>
        <w:rPr>
          <w:rFonts w:ascii="Arial" w:eastAsia="Times New Roman" w:hAnsi="Arial" w:cs="Arial"/>
          <w:szCs w:val="28"/>
          <w:bdr w:val="nil"/>
          <w:lang w:eastAsia="ru-RU"/>
        </w:rPr>
      </w:pPr>
      <w:r w:rsidRPr="00511005">
        <w:rPr>
          <w:rFonts w:ascii="Arial" w:eastAsia="Arial Unicode MS" w:hAnsi="Arial" w:cs="Arial"/>
          <w:szCs w:val="28"/>
          <w:bdr w:val="nil"/>
          <w:lang w:eastAsia="ru-RU"/>
        </w:rPr>
        <w:t xml:space="preserve">Проблема захисту цивільного населення в умовах окупації є одним із ключових аспектів міжнародного гуманітарного права та міжнародного права прав людини. На жаль, ситуація з окупацією </w:t>
      </w:r>
      <w:r w:rsidRPr="00511005">
        <w:rPr>
          <w:rFonts w:ascii="Arial" w:eastAsia="Arial Unicode MS" w:hAnsi="Arial" w:cs="Arial"/>
          <w:szCs w:val="28"/>
          <w:bdr w:val="nil"/>
          <w:lang w:val="uk-UA" w:eastAsia="ru-RU"/>
        </w:rPr>
        <w:t>р</w:t>
      </w:r>
      <w:r w:rsidRPr="00511005">
        <w:rPr>
          <w:rFonts w:ascii="Arial" w:eastAsia="Arial Unicode MS" w:hAnsi="Arial" w:cs="Arial"/>
          <w:szCs w:val="28"/>
          <w:bdr w:val="nil"/>
          <w:lang w:eastAsia="ru-RU"/>
        </w:rPr>
        <w:t xml:space="preserve">осійською </w:t>
      </w:r>
      <w:r w:rsidRPr="00511005">
        <w:rPr>
          <w:rFonts w:ascii="Arial" w:eastAsia="Arial Unicode MS" w:hAnsi="Arial" w:cs="Arial"/>
          <w:szCs w:val="28"/>
          <w:bdr w:val="nil"/>
          <w:lang w:val="uk-UA" w:eastAsia="ru-RU"/>
        </w:rPr>
        <w:t>ф</w:t>
      </w:r>
      <w:r w:rsidRPr="00511005">
        <w:rPr>
          <w:rFonts w:ascii="Arial" w:eastAsia="Arial Unicode MS" w:hAnsi="Arial" w:cs="Arial"/>
          <w:szCs w:val="28"/>
          <w:bdr w:val="nil"/>
          <w:lang w:eastAsia="ru-RU"/>
        </w:rPr>
        <w:t>едерацією Автономної Республіки Крим і м. Севастополь наочно ілюструє систематичні порушення в цій сфері. Невиконання державою-агресором міжнародних зобов’язань щодо дотримання прав і свобод людини під час окупації, а також їхні порушення, розглядаються як воєнні злочини. Враховуючи це, дослідження даної проблематики має значну наукову та практичну цінність.</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Після 24 лютого 2022 року на території України було зафіксовано численні воєнні злочини, вчинені російськими військовими. Наразі правоохоронні органи здійснюють розслідування цих злочинів, проте інформація про їх характер уже набула міжнародного розголосу.</w:t>
      </w:r>
      <w:r w:rsidRPr="00511005">
        <w:rPr>
          <w:rFonts w:ascii="Arial" w:eastAsia="Arial Unicode MS" w:hAnsi="Arial" w:cs="Arial"/>
          <w:szCs w:val="28"/>
          <w:bdr w:val="nil"/>
          <w:lang w:val="uk-UA" w:eastAsia="ru-RU"/>
        </w:rPr>
        <w:t xml:space="preserve"> М. А. Маніна, аналізуючи Женевські конвенції про захист жертв війни, звертає увагу на їхню роль у </w:t>
      </w:r>
      <w:r w:rsidRPr="00511005">
        <w:rPr>
          <w:rFonts w:ascii="Arial" w:eastAsia="Arial Unicode MS" w:hAnsi="Arial" w:cs="Arial"/>
          <w:szCs w:val="28"/>
          <w:bdr w:val="nil"/>
          <w:lang w:val="uk-UA" w:eastAsia="ru-RU"/>
        </w:rPr>
        <w:lastRenderedPageBreak/>
        <w:t>захисті осіб, які не беруть участі в бойових діях. Зокрема автор зазначає що, Перша Женевська конвенція гарантує можливість надання медичної допомоги пораненим незалежно від їхньої національності, Друга – забезпечує захист осіб, постраждалих у морських бойових діях, Третя визначає правовий статус військовополонених, а Четверта – спрямована на захист цивільного населення під час війни [2</w:t>
      </w:r>
      <w:r w:rsidRPr="00511005">
        <w:rPr>
          <w:rFonts w:ascii="Arial" w:eastAsia="Arial Unicode MS" w:hAnsi="Arial" w:cs="Arial"/>
          <w:szCs w:val="28"/>
          <w:bdr w:val="nil"/>
          <w:lang w:val="pt-PT" w:eastAsia="ru-RU"/>
        </w:rPr>
        <w:t>].</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 xml:space="preserve">Щодо визначення поняття «цивільна особа» у міжнародному праві, В. В. Лисик зазначає, що воно трактується досить широко. На його думку, звуження цього поняття може призвести до недостатнього захисту значної частини мирного населення. Вчений визначає цивільну особу як «будь-яку особу, яка перебуває на території воюючої держави і не бере участі у збройному конфлікті» </w:t>
      </w:r>
      <w:r w:rsidRPr="00511005">
        <w:rPr>
          <w:rFonts w:ascii="Arial" w:eastAsia="Arial Unicode MS" w:hAnsi="Arial" w:cs="Arial"/>
          <w:szCs w:val="28"/>
          <w:bdr w:val="nil"/>
          <w:lang w:val="pt-PT" w:eastAsia="ru-RU"/>
        </w:rPr>
        <w:t>[</w:t>
      </w:r>
      <w:r w:rsidRPr="00511005">
        <w:rPr>
          <w:rFonts w:ascii="Arial" w:eastAsia="Arial Unicode MS" w:hAnsi="Arial" w:cs="Arial"/>
          <w:szCs w:val="28"/>
          <w:bdr w:val="nil"/>
          <w:lang w:eastAsia="ru-RU"/>
        </w:rPr>
        <w:t>2</w:t>
      </w:r>
      <w:r w:rsidRPr="00511005">
        <w:rPr>
          <w:rFonts w:ascii="Arial" w:eastAsia="Arial Unicode MS" w:hAnsi="Arial" w:cs="Arial"/>
          <w:szCs w:val="28"/>
          <w:bdr w:val="nil"/>
          <w:lang w:val="pt-PT" w:eastAsia="ru-RU"/>
        </w:rPr>
        <w:t>].</w:t>
      </w:r>
    </w:p>
    <w:p w14:paraId="6F75DB5C" w14:textId="77777777" w:rsidR="00220D3E" w:rsidRPr="00511005" w:rsidRDefault="00220D3E" w:rsidP="003A292D">
      <w:pPr>
        <w:pBdr>
          <w:top w:val="nil"/>
          <w:left w:val="nil"/>
          <w:bottom w:val="nil"/>
          <w:right w:val="nil"/>
          <w:between w:val="nil"/>
          <w:bar w:val="nil"/>
        </w:pBdr>
        <w:suppressAutoHyphens/>
        <w:spacing w:line="264" w:lineRule="auto"/>
        <w:ind w:firstLine="0"/>
        <w:rPr>
          <w:rFonts w:ascii="Arial" w:eastAsia="Times New Roman" w:hAnsi="Arial" w:cs="Arial"/>
          <w:szCs w:val="28"/>
          <w:bdr w:val="nil"/>
          <w:lang w:eastAsia="ru-RU"/>
        </w:rPr>
      </w:pPr>
      <w:r w:rsidRPr="00511005">
        <w:rPr>
          <w:rFonts w:ascii="Arial" w:eastAsia="Arial Unicode MS" w:hAnsi="Arial" w:cs="Arial"/>
          <w:szCs w:val="28"/>
          <w:bdr w:val="nil"/>
          <w:lang w:val="uk-UA" w:eastAsia="ru-RU"/>
        </w:rPr>
        <w:tab/>
      </w:r>
      <w:r w:rsidRPr="00511005">
        <w:rPr>
          <w:rFonts w:ascii="Arial" w:eastAsia="Arial Unicode MS" w:hAnsi="Arial" w:cs="Arial"/>
          <w:szCs w:val="28"/>
          <w:bdr w:val="nil"/>
          <w:lang w:eastAsia="ru-RU"/>
        </w:rPr>
        <w:t>У свою чергу, Додатковий протокол І 1977 року у статті 50 чітко регламентує, що цивільною особою є будь-яка особа, яка не належить до таких категорій:</w:t>
      </w:r>
    </w:p>
    <w:p w14:paraId="176D5ABA" w14:textId="77777777" w:rsidR="00220D3E" w:rsidRPr="00511005" w:rsidRDefault="00220D3E" w:rsidP="003A292D">
      <w:pPr>
        <w:pBdr>
          <w:top w:val="nil"/>
          <w:left w:val="nil"/>
          <w:bottom w:val="nil"/>
          <w:right w:val="nil"/>
          <w:between w:val="nil"/>
          <w:bar w:val="nil"/>
        </w:pBdr>
        <w:suppressAutoHyphens/>
        <w:spacing w:line="264" w:lineRule="auto"/>
        <w:rPr>
          <w:rFonts w:ascii="Arial" w:eastAsia="Times New Roman" w:hAnsi="Arial" w:cs="Arial"/>
          <w:szCs w:val="28"/>
          <w:bdr w:val="nil"/>
          <w:lang w:eastAsia="ru-RU"/>
        </w:rPr>
      </w:pPr>
      <w:r w:rsidRPr="00511005">
        <w:rPr>
          <w:rFonts w:ascii="Arial" w:eastAsia="Arial Unicode MS" w:hAnsi="Arial" w:cs="Arial"/>
          <w:szCs w:val="28"/>
          <w:bdr w:val="nil"/>
          <w:lang w:eastAsia="ru-RU"/>
        </w:rPr>
        <w:t>– особовий склад збройних сил сторони конфлікту;</w:t>
      </w:r>
    </w:p>
    <w:p w14:paraId="593E4040" w14:textId="77777777" w:rsidR="00220D3E" w:rsidRPr="00511005" w:rsidRDefault="00220D3E" w:rsidP="003A292D">
      <w:pPr>
        <w:pBdr>
          <w:top w:val="nil"/>
          <w:left w:val="nil"/>
          <w:bottom w:val="nil"/>
          <w:right w:val="nil"/>
          <w:between w:val="nil"/>
          <w:bar w:val="nil"/>
        </w:pBdr>
        <w:suppressAutoHyphens/>
        <w:spacing w:line="264" w:lineRule="auto"/>
        <w:rPr>
          <w:rFonts w:ascii="Arial" w:eastAsia="Times New Roman" w:hAnsi="Arial" w:cs="Arial"/>
          <w:szCs w:val="28"/>
          <w:bdr w:val="nil"/>
          <w:lang w:eastAsia="ru-RU"/>
        </w:rPr>
      </w:pPr>
      <w:r w:rsidRPr="00511005">
        <w:rPr>
          <w:rFonts w:ascii="Arial" w:eastAsia="Arial Unicode MS" w:hAnsi="Arial" w:cs="Arial"/>
          <w:szCs w:val="28"/>
          <w:bdr w:val="nil"/>
          <w:lang w:eastAsia="ru-RU"/>
        </w:rPr>
        <w:t>– члени регулярних збройних сил, які заявляють про свою відданість уряду чи владі, що не визнається державою, яка їх затримує;</w:t>
      </w:r>
    </w:p>
    <w:p w14:paraId="4433B74F" w14:textId="77777777" w:rsidR="00220D3E" w:rsidRPr="00511005" w:rsidRDefault="00220D3E" w:rsidP="003A292D">
      <w:pPr>
        <w:pBdr>
          <w:top w:val="nil"/>
          <w:left w:val="nil"/>
          <w:bottom w:val="nil"/>
          <w:right w:val="nil"/>
          <w:between w:val="nil"/>
          <w:bar w:val="nil"/>
        </w:pBdr>
        <w:suppressAutoHyphens/>
        <w:spacing w:line="264" w:lineRule="auto"/>
        <w:rPr>
          <w:rFonts w:ascii="Arial" w:eastAsia="Times New Roman" w:hAnsi="Arial" w:cs="Arial"/>
          <w:szCs w:val="28"/>
          <w:bdr w:val="nil"/>
          <w:lang w:eastAsia="ru-RU"/>
        </w:rPr>
      </w:pPr>
      <w:r w:rsidRPr="00511005">
        <w:rPr>
          <w:rFonts w:ascii="Arial" w:eastAsia="Arial Unicode MS" w:hAnsi="Arial" w:cs="Arial"/>
          <w:szCs w:val="28"/>
          <w:bdr w:val="nil"/>
          <w:lang w:eastAsia="ru-RU"/>
        </w:rPr>
        <w:t xml:space="preserve">– члени ополчення або добровольчих загонів, які є частиною збройних сил </w:t>
      </w:r>
      <w:r w:rsidRPr="00511005">
        <w:rPr>
          <w:rFonts w:ascii="Arial" w:eastAsia="Arial Unicode MS" w:hAnsi="Arial" w:cs="Arial"/>
          <w:szCs w:val="28"/>
          <w:bdr w:val="nil"/>
          <w:lang w:val="pt-PT" w:eastAsia="ru-RU"/>
        </w:rPr>
        <w:t>[</w:t>
      </w:r>
      <w:r w:rsidRPr="00511005">
        <w:rPr>
          <w:rFonts w:ascii="Arial" w:eastAsia="Arial Unicode MS" w:hAnsi="Arial" w:cs="Arial"/>
          <w:szCs w:val="28"/>
          <w:bdr w:val="nil"/>
          <w:lang w:eastAsia="ru-RU"/>
        </w:rPr>
        <w:t>3</w:t>
      </w:r>
      <w:r w:rsidRPr="00511005">
        <w:rPr>
          <w:rFonts w:ascii="Arial" w:eastAsia="Arial Unicode MS" w:hAnsi="Arial" w:cs="Arial"/>
          <w:szCs w:val="28"/>
          <w:bdr w:val="nil"/>
          <w:lang w:val="pt-PT" w:eastAsia="ru-RU"/>
        </w:rPr>
        <w:t>].</w:t>
      </w:r>
    </w:p>
    <w:p w14:paraId="0F0C264C" w14:textId="3C804AD2" w:rsidR="00220D3E" w:rsidRPr="00511005" w:rsidRDefault="00220D3E" w:rsidP="003A292D">
      <w:pPr>
        <w:pBdr>
          <w:top w:val="nil"/>
          <w:left w:val="nil"/>
          <w:bottom w:val="nil"/>
          <w:right w:val="nil"/>
          <w:between w:val="nil"/>
          <w:bar w:val="nil"/>
        </w:pBdr>
        <w:suppressAutoHyphens/>
        <w:spacing w:line="264" w:lineRule="auto"/>
        <w:ind w:firstLine="0"/>
        <w:rPr>
          <w:rFonts w:ascii="Arial" w:eastAsia="Arial Unicode MS" w:hAnsi="Arial" w:cs="Arial"/>
          <w:szCs w:val="28"/>
          <w:bdr w:val="nil"/>
          <w:lang w:eastAsia="ru-RU"/>
        </w:rPr>
      </w:pPr>
      <w:r w:rsidRPr="00511005">
        <w:rPr>
          <w:rFonts w:ascii="Arial" w:eastAsia="Arial Unicode MS" w:hAnsi="Arial" w:cs="Arial"/>
          <w:szCs w:val="28"/>
          <w:bdr w:val="nil"/>
          <w:lang w:val="uk-UA" w:eastAsia="ru-RU"/>
        </w:rPr>
        <w:tab/>
        <w:t xml:space="preserve">Тепер відновимо хронологію подій і пригадаємо, що, останні роки в Україні ознаменувалися низкою важливих та резонансних історичних подій, серед яких: Євромайдан (21 листопада 2013 р. – 22 лютого 2014 р.); Революція Гідності (18 лютого 2014 р. – 23 лютого 2014 р.); Анексія Криму (березень 2014 р.); Антитерористична операція на сході України (14 квітня 2014 р. – 30 квітня 2018 р.); Операція об’єднаних сил (30 квітня 2018 р. – 24 лютого 2022 р.). </w:t>
      </w:r>
      <w:r w:rsidRPr="00511005">
        <w:rPr>
          <w:rFonts w:ascii="Arial" w:eastAsia="Arial Unicode MS" w:hAnsi="Arial" w:cs="Arial"/>
          <w:szCs w:val="28"/>
          <w:bdr w:val="nil"/>
          <w:lang w:eastAsia="ru-RU"/>
        </w:rPr>
        <w:t xml:space="preserve">Зрозуміло, що ці події призвели до загострення проблем, пов’язаних із правовим забезпеченням життєдіяльності громадян в умовах впливу деструктивних факторів. Анексія Криму </w:t>
      </w:r>
      <w:r w:rsidRPr="00511005">
        <w:rPr>
          <w:rFonts w:ascii="Arial" w:eastAsia="Arial Unicode MS" w:hAnsi="Arial" w:cs="Arial"/>
          <w:szCs w:val="28"/>
          <w:bdr w:val="nil"/>
          <w:lang w:val="uk-UA" w:eastAsia="ru-RU"/>
        </w:rPr>
        <w:t>р</w:t>
      </w:r>
      <w:r w:rsidRPr="00511005">
        <w:rPr>
          <w:rFonts w:ascii="Arial" w:eastAsia="Arial Unicode MS" w:hAnsi="Arial" w:cs="Arial"/>
          <w:szCs w:val="28"/>
          <w:bdr w:val="nil"/>
          <w:lang w:eastAsia="ru-RU"/>
        </w:rPr>
        <w:t xml:space="preserve">осією у 2014 році стала наслідком політичної кризи в Україні після Євромайдану. Підрозділи російських військових без розпізнавальних знаків захопили стратегічні об'єкти, після чого був організований невизнаний міжнародною спільнотою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референдум</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xml:space="preserve">. У результаті </w:t>
      </w:r>
      <w:r w:rsidRPr="00511005">
        <w:rPr>
          <w:rFonts w:ascii="Arial" w:eastAsia="Arial Unicode MS" w:hAnsi="Arial" w:cs="Arial"/>
          <w:szCs w:val="28"/>
          <w:bdr w:val="nil"/>
          <w:lang w:val="uk-UA" w:eastAsia="ru-RU"/>
        </w:rPr>
        <w:t>р</w:t>
      </w:r>
      <w:r w:rsidRPr="00511005">
        <w:rPr>
          <w:rFonts w:ascii="Arial" w:eastAsia="Arial Unicode MS" w:hAnsi="Arial" w:cs="Arial"/>
          <w:szCs w:val="28"/>
          <w:bdr w:val="nil"/>
          <w:lang w:eastAsia="ru-RU"/>
        </w:rPr>
        <w:t xml:space="preserve">осія оголосила про приєднання Криму, що викликало засудження з боку України та більшості країн світу, а також запровадження санкцій проти </w:t>
      </w:r>
      <w:r w:rsidRPr="00511005">
        <w:rPr>
          <w:rFonts w:ascii="Arial" w:eastAsia="Arial Unicode MS" w:hAnsi="Arial" w:cs="Arial"/>
          <w:szCs w:val="28"/>
          <w:bdr w:val="nil"/>
          <w:lang w:val="uk-UA" w:eastAsia="ru-RU"/>
        </w:rPr>
        <w:t>рф</w:t>
      </w:r>
      <w:r w:rsidRPr="00511005">
        <w:rPr>
          <w:rFonts w:ascii="Arial" w:eastAsia="Arial Unicode MS" w:hAnsi="Arial" w:cs="Arial"/>
          <w:szCs w:val="28"/>
          <w:bdr w:val="nil"/>
          <w:lang w:eastAsia="ru-RU"/>
        </w:rPr>
        <w:t xml:space="preserve">. У зв’язку з безпосередньою загрозою національній безпеці та державному суверенітету України, 24 лютого 2022 року о 5:30 ранку було підписано указ Президента України про запровадження воєнного стану </w:t>
      </w:r>
      <w:r w:rsidRPr="00511005">
        <w:rPr>
          <w:rFonts w:ascii="Arial" w:eastAsia="Arial Unicode MS" w:hAnsi="Arial" w:cs="Arial"/>
          <w:szCs w:val="28"/>
          <w:bdr w:val="nil"/>
          <w:lang w:val="pt-PT" w:eastAsia="ru-RU"/>
        </w:rPr>
        <w:t>[</w:t>
      </w:r>
      <w:r w:rsidRPr="00511005">
        <w:rPr>
          <w:rFonts w:ascii="Arial" w:eastAsia="Arial Unicode MS" w:hAnsi="Arial" w:cs="Arial"/>
          <w:szCs w:val="28"/>
          <w:bdr w:val="nil"/>
          <w:lang w:eastAsia="ru-RU"/>
        </w:rPr>
        <w:t>4</w:t>
      </w:r>
      <w:r w:rsidRPr="00511005">
        <w:rPr>
          <w:rFonts w:ascii="Arial" w:eastAsia="Arial Unicode MS" w:hAnsi="Arial" w:cs="Arial"/>
          <w:szCs w:val="28"/>
          <w:bdr w:val="nil"/>
          <w:lang w:val="pt-PT" w:eastAsia="ru-RU"/>
        </w:rPr>
        <w:t>].</w:t>
      </w:r>
      <w:r w:rsidR="007B2628" w:rsidRPr="00511005">
        <w:rPr>
          <w:rFonts w:ascii="Arial" w:eastAsia="Arial Unicode MS" w:hAnsi="Arial" w:cs="Arial"/>
          <w:szCs w:val="28"/>
          <w:bdr w:val="nil"/>
          <w:lang w:eastAsia="ru-RU"/>
        </w:rPr>
        <w:t xml:space="preserve"> </w:t>
      </w:r>
    </w:p>
    <w:p w14:paraId="6025E7DB" w14:textId="68CFBD9C" w:rsidR="00220D3E" w:rsidRPr="00511005" w:rsidRDefault="00220D3E" w:rsidP="003A292D">
      <w:pPr>
        <w:pBdr>
          <w:top w:val="nil"/>
          <w:left w:val="nil"/>
          <w:bottom w:val="nil"/>
          <w:right w:val="nil"/>
          <w:between w:val="nil"/>
          <w:bar w:val="nil"/>
        </w:pBdr>
        <w:suppressAutoHyphens/>
        <w:spacing w:line="264" w:lineRule="auto"/>
        <w:ind w:firstLine="0"/>
        <w:rPr>
          <w:rFonts w:ascii="Arial" w:eastAsia="Arial Unicode MS" w:hAnsi="Arial" w:cs="Arial"/>
          <w:szCs w:val="28"/>
          <w:bdr w:val="nil"/>
          <w:lang w:val="uk-UA" w:eastAsia="ru-RU"/>
        </w:rPr>
      </w:pPr>
      <w:r w:rsidRPr="00511005">
        <w:rPr>
          <w:rFonts w:ascii="Arial" w:eastAsia="Arial Unicode MS" w:hAnsi="Arial" w:cs="Arial"/>
          <w:szCs w:val="28"/>
          <w:bdr w:val="nil"/>
          <w:lang w:val="uk-UA" w:eastAsia="ru-RU"/>
        </w:rPr>
        <w:tab/>
        <w:t>Воєнний стан визначається як спеціальний правовий режим, що вводиться на території країни у зв’язку зі збройною агресією чи загрозою її територіальній цілісності. Він передбачає розширення повноважень державних органів для ліквідації небезпеки. Злочини</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скоєні</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внаслідок</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російської</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агресії</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набули</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широкого</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міжнародного</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розголосу</w:t>
      </w:r>
      <w:r w:rsidRPr="00511005">
        <w:rPr>
          <w:rFonts w:ascii="Arial" w:eastAsia="Arial Unicode MS" w:hAnsi="Arial" w:cs="Arial"/>
          <w:szCs w:val="28"/>
          <w:bdr w:val="nil"/>
          <w:lang w:val="pt-PT" w:eastAsia="ru-RU"/>
        </w:rPr>
        <w:t>.</w:t>
      </w:r>
      <w:r w:rsidRPr="00511005">
        <w:rPr>
          <w:rFonts w:ascii="Arial" w:eastAsia="Arial Unicode MS" w:hAnsi="Arial" w:cs="Arial"/>
          <w:szCs w:val="28"/>
          <w:bdr w:val="nil"/>
          <w:lang w:val="uk-UA" w:eastAsia="ru-RU"/>
        </w:rPr>
        <w:t xml:space="preserve"> У 2022 році </w:t>
      </w:r>
      <w:r w:rsidRPr="00511005">
        <w:rPr>
          <w:rFonts w:ascii="Arial" w:eastAsia="Arial Unicode MS" w:hAnsi="Arial" w:cs="Arial"/>
          <w:szCs w:val="28"/>
          <w:bdr w:val="nil"/>
          <w:lang w:val="uk-UA" w:eastAsia="ru-RU"/>
        </w:rPr>
        <w:lastRenderedPageBreak/>
        <w:t>росія окупувала частини Херсонської та Запорізької областей України, зокрема Запорізьку атомну електростанцію (ЗАЕС) – найбільшу в Європі. Окупація супроводжувалася бойовими діями, репресіями проти місцевого населення та загрозами ядерної безпеки через військову присутність на території ЗАЕС. Україна та міжнародна спільнота засуджують ці дії та вимагають повернення контролю над регіонами.</w:t>
      </w:r>
      <w:r w:rsidR="007B2628" w:rsidRPr="00511005">
        <w:rPr>
          <w:rFonts w:ascii="Arial" w:eastAsia="Arial Unicode MS" w:hAnsi="Arial" w:cs="Arial"/>
          <w:szCs w:val="28"/>
          <w:bdr w:val="nil"/>
          <w:lang w:val="uk-UA" w:eastAsia="ru-RU"/>
        </w:rPr>
        <w:t xml:space="preserve"> </w:t>
      </w:r>
    </w:p>
    <w:p w14:paraId="293CA9E1" w14:textId="77777777" w:rsidR="00220D3E" w:rsidRPr="00511005" w:rsidRDefault="00220D3E" w:rsidP="003A292D">
      <w:pPr>
        <w:pBdr>
          <w:top w:val="nil"/>
          <w:left w:val="nil"/>
          <w:bottom w:val="nil"/>
          <w:right w:val="nil"/>
          <w:between w:val="nil"/>
          <w:bar w:val="nil"/>
        </w:pBdr>
        <w:suppressAutoHyphens/>
        <w:spacing w:line="264" w:lineRule="auto"/>
        <w:ind w:firstLine="0"/>
        <w:rPr>
          <w:rFonts w:ascii="Arial" w:eastAsia="Times New Roman" w:hAnsi="Arial" w:cs="Arial"/>
          <w:szCs w:val="28"/>
          <w:bdr w:val="nil"/>
          <w:lang w:eastAsia="ru-RU"/>
        </w:rPr>
      </w:pPr>
      <w:r w:rsidRPr="00511005">
        <w:rPr>
          <w:rFonts w:ascii="Arial" w:eastAsia="Arial Unicode MS" w:hAnsi="Arial" w:cs="Arial"/>
          <w:szCs w:val="28"/>
          <w:bdr w:val="nil"/>
          <w:lang w:val="uk-UA" w:eastAsia="ru-RU"/>
        </w:rPr>
        <w:tab/>
        <w:t>Світова</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спільнота</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висловлює</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занепокоєння</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жорстокими</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діями</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російської</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val="uk-UA" w:eastAsia="ru-RU"/>
        </w:rPr>
        <w:t>федерації</w:t>
      </w:r>
      <w:r w:rsidRPr="00511005">
        <w:rPr>
          <w:rFonts w:ascii="Arial" w:eastAsia="Arial Unicode MS" w:hAnsi="Arial" w:cs="Arial"/>
          <w:szCs w:val="28"/>
          <w:bdr w:val="nil"/>
          <w:lang w:val="pt-PT" w:eastAsia="ru-RU"/>
        </w:rPr>
        <w:t xml:space="preserve">. </w:t>
      </w:r>
      <w:r w:rsidRPr="00511005">
        <w:rPr>
          <w:rFonts w:ascii="Arial" w:eastAsia="Arial Unicode MS" w:hAnsi="Arial" w:cs="Arial"/>
          <w:szCs w:val="28"/>
          <w:bdr w:val="nil"/>
          <w:lang w:eastAsia="ru-RU"/>
        </w:rPr>
        <w:t>Агресор завдає руйнівних ударів не лише по стратегічних об’єктах, а й по мирному населенню, що робить особливо актуальним питання дотримання та впровадження норм міжнародного гуманітарного права.</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Женевська конвенція «Про захист цивільного населення під час війни» від 12 серпня 1949 року є однією з ключових угод у міжнародному праві. Аналізуючи воєнні злочини російських збройних сил, можна зробити висновок, що вони неодноразово порушували положення цієї конвенції.Зокрема, згідно зі статтею 3 частини I, особи, які не беруть активної участі у воєнних діях (зокрема військовослужбовці, що склали зброю або втратили боєздатність через поранення, хворобу чи інші причини), повинні отримувати гуманне ставлення без будь-якої дискримінації за ознаками раси, віросповідання, статі, походження чи майнового стану.У зв’язку з цим забороняються такі дії:а) убивства, катування, жорстоке поводження, завдання каліцтва; b) взяття заручників; c) приниження людської гідності, зокрема образливе чи негідне поводження; d) винесення та виконання вироків без законного судового процесу, що відповідає загальновизнаним стандартам правосуддя</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val="pt-PT" w:eastAsia="ru-RU"/>
        </w:rPr>
        <w:t>.</w:t>
      </w:r>
      <w:r w:rsidRPr="00511005">
        <w:rPr>
          <w:rFonts w:ascii="Arial" w:eastAsia="Arial Unicode MS" w:hAnsi="Arial" w:cs="Arial"/>
          <w:szCs w:val="28"/>
          <w:bdr w:val="nil"/>
          <w:lang w:eastAsia="ru-RU"/>
        </w:rPr>
        <w:t xml:space="preserve">Стаття 16 частини </w:t>
      </w:r>
      <w:r w:rsidRPr="00511005">
        <w:rPr>
          <w:rFonts w:ascii="Arial" w:eastAsia="Arial Unicode MS" w:hAnsi="Arial" w:cs="Arial"/>
          <w:szCs w:val="28"/>
          <w:bdr w:val="nil"/>
          <w:lang w:val="en-US" w:eastAsia="ru-RU"/>
        </w:rPr>
        <w:t>II</w:t>
      </w:r>
      <w:r w:rsidRPr="00511005">
        <w:rPr>
          <w:rFonts w:ascii="Arial" w:eastAsia="Arial Unicode MS" w:hAnsi="Arial" w:cs="Arial"/>
          <w:szCs w:val="28"/>
          <w:bdr w:val="nil"/>
          <w:lang w:eastAsia="ru-RU"/>
        </w:rPr>
        <w:t xml:space="preserve"> передбачає, що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поранені, хворі, люди з інвалідністю та вагітні жінки мають перебувати під особливим захистом і користуватися шанобливим ставленням. Кожна сторона конфлікту зобов’язана сприяти розшуку загиблих і постраждалих, наданню допомоги потерпілим, а також запобігати їхньому пограбуванню та жорстокому поводженню</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xml:space="preserve"> </w:t>
      </w:r>
      <w:r w:rsidRPr="00511005">
        <w:rPr>
          <w:rFonts w:ascii="Arial" w:eastAsia="Arial Unicode MS" w:hAnsi="Arial" w:cs="Arial"/>
          <w:szCs w:val="28"/>
          <w:bdr w:val="nil"/>
          <w:lang w:val="pt-PT" w:eastAsia="ru-RU"/>
        </w:rPr>
        <w:t>[</w:t>
      </w:r>
      <w:r w:rsidRPr="00511005">
        <w:rPr>
          <w:rFonts w:ascii="Arial" w:eastAsia="Arial Unicode MS" w:hAnsi="Arial" w:cs="Arial"/>
          <w:szCs w:val="28"/>
          <w:bdr w:val="nil"/>
          <w:lang w:eastAsia="ru-RU"/>
        </w:rPr>
        <w:t>6</w:t>
      </w:r>
      <w:r w:rsidRPr="00511005">
        <w:rPr>
          <w:rFonts w:ascii="Arial" w:eastAsia="Arial Unicode MS" w:hAnsi="Arial" w:cs="Arial"/>
          <w:szCs w:val="28"/>
          <w:bdr w:val="nil"/>
          <w:lang w:val="pt-PT" w:eastAsia="ru-RU"/>
        </w:rPr>
        <w:t>].</w:t>
      </w:r>
      <w:r w:rsidRPr="00511005">
        <w:rPr>
          <w:rFonts w:ascii="Arial" w:eastAsia="Arial Unicode MS" w:hAnsi="Arial" w:cs="Arial"/>
          <w:szCs w:val="28"/>
          <w:bdr w:val="nil"/>
          <w:lang w:eastAsia="ru-RU"/>
        </w:rPr>
        <w:t xml:space="preserve"> Стаття 17 частини </w:t>
      </w:r>
      <w:r w:rsidRPr="00511005">
        <w:rPr>
          <w:rFonts w:ascii="Arial" w:eastAsia="Arial Unicode MS" w:hAnsi="Arial" w:cs="Arial"/>
          <w:szCs w:val="28"/>
          <w:bdr w:val="nil"/>
          <w:lang w:val="en-US" w:eastAsia="ru-RU"/>
        </w:rPr>
        <w:t>II</w:t>
      </w:r>
      <w:r w:rsidRPr="00511005">
        <w:rPr>
          <w:rFonts w:ascii="Arial" w:eastAsia="Arial Unicode MS" w:hAnsi="Arial" w:cs="Arial"/>
          <w:szCs w:val="28"/>
          <w:bdr w:val="nil"/>
          <w:lang w:eastAsia="ru-RU"/>
        </w:rPr>
        <w:t xml:space="preserve"> зобов’язує сторони конфлікту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укладати угоди про евакуацію осіб із оточених або обложених територій, зокрема поранених, хворих, людей похилого віку, дітей, породіль, а також забезпечувати безперешкодний прохід духовенства, медичного персоналу та гуманітарної допомоги до цих зон</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xml:space="preserve"> </w:t>
      </w:r>
      <w:r w:rsidRPr="00511005">
        <w:rPr>
          <w:rFonts w:ascii="Arial" w:eastAsia="Arial Unicode MS" w:hAnsi="Arial" w:cs="Arial"/>
          <w:szCs w:val="28"/>
          <w:bdr w:val="nil"/>
          <w:lang w:val="pt-PT" w:eastAsia="ru-RU"/>
        </w:rPr>
        <w:t>[</w:t>
      </w:r>
      <w:r w:rsidRPr="00511005">
        <w:rPr>
          <w:rFonts w:ascii="Arial" w:eastAsia="Arial Unicode MS" w:hAnsi="Arial" w:cs="Arial"/>
          <w:szCs w:val="28"/>
          <w:bdr w:val="nil"/>
          <w:lang w:eastAsia="ru-RU"/>
        </w:rPr>
        <w:t>6</w:t>
      </w:r>
      <w:r w:rsidRPr="00511005">
        <w:rPr>
          <w:rFonts w:ascii="Arial" w:eastAsia="Arial Unicode MS" w:hAnsi="Arial" w:cs="Arial"/>
          <w:szCs w:val="28"/>
          <w:bdr w:val="nil"/>
          <w:lang w:val="pt-PT" w:eastAsia="ru-RU"/>
        </w:rPr>
        <w:t>].</w:t>
      </w:r>
      <w:r w:rsidRPr="00511005">
        <w:rPr>
          <w:rFonts w:ascii="Arial" w:eastAsia="Arial Unicode MS" w:hAnsi="Arial" w:cs="Arial"/>
          <w:szCs w:val="28"/>
          <w:bdr w:val="nil"/>
          <w:lang w:eastAsia="ru-RU"/>
        </w:rPr>
        <w:t xml:space="preserve"> Попри всі дипломатичні спроби української делегації припинити вогонь і захистити цивільне населення, російські війська систематично обстрілюють гуманітарні коридори, що є прямим порушенням Женевської конвенції.</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 xml:space="preserve">Стаття 19 частини </w:t>
      </w:r>
      <w:r w:rsidRPr="00511005">
        <w:rPr>
          <w:rFonts w:ascii="Arial" w:eastAsia="Arial Unicode MS" w:hAnsi="Arial" w:cs="Arial"/>
          <w:szCs w:val="28"/>
          <w:bdr w:val="nil"/>
          <w:lang w:val="en-US" w:eastAsia="ru-RU"/>
        </w:rPr>
        <w:t>II</w:t>
      </w:r>
      <w:r w:rsidRPr="00511005">
        <w:rPr>
          <w:rFonts w:ascii="Arial" w:eastAsia="Arial Unicode MS" w:hAnsi="Arial" w:cs="Arial"/>
          <w:szCs w:val="28"/>
          <w:bdr w:val="nil"/>
          <w:lang w:eastAsia="ru-RU"/>
        </w:rPr>
        <w:t xml:space="preserve"> наголошує, що цивільні лікарні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мають бути захищені від атак, якщо вони використовуються виключно для надання медичної допомоги</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xml:space="preserve">. Лише у випадку, коли такі установи використовуються для нанесення шкоди супротивнику, їхній захист може бути припинено – але тільки після офіційного попередження та закінчення визначеного терміну реагування. Ведення лікування поранених військовослужбовців або </w:t>
      </w:r>
      <w:r w:rsidRPr="00511005">
        <w:rPr>
          <w:rFonts w:ascii="Arial" w:eastAsia="Arial Unicode MS" w:hAnsi="Arial" w:cs="Arial"/>
          <w:szCs w:val="28"/>
          <w:bdr w:val="nil"/>
          <w:lang w:eastAsia="ru-RU"/>
        </w:rPr>
        <w:lastRenderedPageBreak/>
        <w:t>тимчасове зберігання стрілецької зброї, вилученої у них, не є підставами для позбавлення лікарень захисту</w:t>
      </w:r>
      <w:r w:rsidRPr="00511005">
        <w:rPr>
          <w:rFonts w:ascii="Arial" w:eastAsia="Arial Unicode MS" w:hAnsi="Arial" w:cs="Arial"/>
          <w:szCs w:val="28"/>
          <w:bdr w:val="nil"/>
          <w:lang w:val="pt-PT" w:eastAsia="ru-RU"/>
        </w:rPr>
        <w:t>.</w:t>
      </w:r>
      <w:r w:rsidRPr="00511005">
        <w:rPr>
          <w:rFonts w:ascii="Arial" w:eastAsia="Arial Unicode MS" w:hAnsi="Arial" w:cs="Arial"/>
          <w:szCs w:val="28"/>
          <w:bdr w:val="nil"/>
          <w:lang w:eastAsia="ru-RU"/>
        </w:rPr>
        <w:t xml:space="preserve"> Прикладом воєнних злочинів рф є обстріли медичних закладів, про що заявив Міністр охорони здоров’я України Віктор Ляшко 24 лютого 2022 року. У своєму дописі він наголосив, що російські війська цілеспрямовано атакують лікарні, що є грубим порушенням норм міжнародного гуманітарного права. Він також підкреслив, що українські медики, попри всі труднощі, продовжують працювати та рятувати життя, висловивши впевненість у перемозі.</w:t>
      </w:r>
    </w:p>
    <w:p w14:paraId="174DF71B" w14:textId="77777777" w:rsidR="00220D3E" w:rsidRPr="00511005" w:rsidRDefault="00220D3E" w:rsidP="003A292D">
      <w:pPr>
        <w:pBdr>
          <w:top w:val="nil"/>
          <w:left w:val="nil"/>
          <w:bottom w:val="nil"/>
          <w:right w:val="nil"/>
          <w:between w:val="nil"/>
          <w:bar w:val="nil"/>
        </w:pBdr>
        <w:suppressAutoHyphens/>
        <w:spacing w:line="264" w:lineRule="auto"/>
        <w:ind w:firstLine="0"/>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ab/>
      </w:r>
      <w:r w:rsidRPr="00511005">
        <w:rPr>
          <w:rFonts w:ascii="Arial" w:eastAsia="Arial Unicode MS" w:hAnsi="Arial" w:cs="Arial"/>
          <w:szCs w:val="28"/>
          <w:bdr w:val="nil"/>
          <w:lang w:eastAsia="ru-RU"/>
        </w:rPr>
        <w:t>Існують заходи щодо посилення захисту цивільного населення.</w:t>
      </w:r>
      <w:r w:rsidRPr="00511005">
        <w:rPr>
          <w:rFonts w:ascii="Arial" w:eastAsia="Arial Unicode MS" w:hAnsi="Arial" w:cs="Arial"/>
          <w:szCs w:val="28"/>
          <w:bdr w:val="nil"/>
          <w:lang w:val="uk-UA" w:eastAsia="ru-RU"/>
        </w:rPr>
        <w:t xml:space="preserve"> По-перше, посилення міжнародного контролю та відповідальності такі як: створення спеціальних трибуналів для покарання воєнних злочинців (як Нюрнберзький процес, Гаазький трибунал);активізація діяльності Міжнародного кримінального суду (МКС) щодо розслідування злочинів проти мирного населення. По-друге, розширення гуманітарної допомоги, а саме : збільшення підтримки міжнародних гуманітарних організацій та створення безпечних коридорів для евакуації населення з гарячих точок. По-третє, вдосконалення міжнародного гуманітарного права : розробка нових механізмів відповідальності за воєнні злочини та посилення санкцій щодо держав, які порушують норми міжнародного права. Важливою частиною є інформаційна та правова освіта населення.</w:t>
      </w:r>
    </w:p>
    <w:p w14:paraId="250D7C89" w14:textId="77777777" w:rsidR="00220D3E" w:rsidRPr="00511005" w:rsidRDefault="00220D3E" w:rsidP="003A292D">
      <w:pPr>
        <w:pBdr>
          <w:top w:val="nil"/>
          <w:left w:val="nil"/>
          <w:bottom w:val="nil"/>
          <w:right w:val="nil"/>
          <w:between w:val="nil"/>
          <w:bar w:val="nil"/>
        </w:pBdr>
        <w:suppressAutoHyphens/>
        <w:spacing w:line="264" w:lineRule="auto"/>
        <w:ind w:firstLine="0"/>
        <w:rPr>
          <w:rFonts w:ascii="Arial" w:eastAsia="Arial Unicode MS" w:hAnsi="Arial" w:cs="Arial"/>
          <w:szCs w:val="28"/>
          <w:bdr w:val="nil"/>
          <w:lang w:val="uk-UA" w:eastAsia="ru-RU"/>
        </w:rPr>
      </w:pPr>
      <w:r w:rsidRPr="00511005">
        <w:rPr>
          <w:rFonts w:ascii="Arial" w:eastAsia="Arial Unicode MS" w:hAnsi="Arial" w:cs="Arial"/>
          <w:szCs w:val="28"/>
          <w:bdr w:val="nil"/>
          <w:lang w:val="uk-UA" w:eastAsia="ru-RU"/>
        </w:rPr>
        <w:tab/>
        <w:t xml:space="preserve">Підсумовуючи, злочини росії отримали засудження з боку всього цивілізованого світу. </w:t>
      </w:r>
      <w:r w:rsidRPr="00511005">
        <w:rPr>
          <w:rFonts w:ascii="Arial" w:eastAsia="Arial Unicode MS" w:hAnsi="Arial" w:cs="Arial"/>
          <w:szCs w:val="28"/>
          <w:bdr w:val="nil"/>
          <w:lang w:eastAsia="ru-RU"/>
        </w:rPr>
        <w:t>Незаконні дії, що тривають із 2014 року, мають бути покарані. Агресор грубо порушує численні нормативно-правові акти, зокрема статтю 3 Загальної декларації прав людини</w:t>
      </w:r>
      <w:r w:rsidRPr="00511005">
        <w:rPr>
          <w:rFonts w:ascii="Arial" w:eastAsia="Arial Unicode MS" w:hAnsi="Arial" w:cs="Arial"/>
          <w:szCs w:val="28"/>
          <w:bdr w:val="nil"/>
          <w:lang w:val="uk-UA" w:eastAsia="ru-RU"/>
        </w:rPr>
        <w:t xml:space="preserve"> 1948 року</w:t>
      </w:r>
      <w:r w:rsidRPr="00511005">
        <w:rPr>
          <w:rFonts w:ascii="Arial" w:eastAsia="Arial Unicode MS" w:hAnsi="Arial" w:cs="Arial"/>
          <w:szCs w:val="28"/>
          <w:bdr w:val="nil"/>
          <w:lang w:eastAsia="ru-RU"/>
        </w:rPr>
        <w:t>, яка гарантує кожному право на життя, свободу та особисту недоторканність, а також статтю 5, що забороняє катування, нелюдське або таке, що принижує гідність, поводження та покарання. І це лише мала частина злочинів. Нагальною залишається потреба вдосконалення чинних норм міжнародного гуманітарного права, а також розроблення нових механізмів для ефективного захисту цивільного населення у збройних конфліктах.</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Захист цивільного населення в умовах збройних конфліктів залишається однією з головних проблем сучасного світу. Попри існування міжнародно-правових норм, воєнні злочини продовжують скоюватися в різних куточках світу.</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Зокрема, у контексті російської агресії проти України, масові злочини проти мирного населення вимагають не лише міжнародного осуду, а й реального покарання винних. Для цього необхідне посилення роботи міжнародних судових органів, забезпечення гуманітарного доступу та розширення механізмів захисту цивільних осіб. Лише спільними зусиллями світового співтовариства можна гарантувати, що права мирного населення будуть захищені, а воєнні злочинці отримають заслужене покарання.</w:t>
      </w:r>
    </w:p>
    <w:p w14:paraId="116F5051" w14:textId="77777777" w:rsidR="00220D3E" w:rsidRPr="00511005" w:rsidRDefault="00220D3E" w:rsidP="003A292D">
      <w:pPr>
        <w:pBdr>
          <w:top w:val="nil"/>
          <w:left w:val="nil"/>
          <w:bottom w:val="nil"/>
          <w:right w:val="nil"/>
          <w:between w:val="nil"/>
          <w:bar w:val="nil"/>
        </w:pBdr>
        <w:suppressAutoHyphens/>
        <w:spacing w:line="264" w:lineRule="auto"/>
        <w:ind w:firstLine="0"/>
        <w:rPr>
          <w:rFonts w:ascii="Arial" w:eastAsia="Times New Roman" w:hAnsi="Arial" w:cs="Arial"/>
          <w:szCs w:val="28"/>
          <w:bdr w:val="nil"/>
          <w:lang w:val="uk-UA" w:eastAsia="ru-RU"/>
        </w:rPr>
      </w:pPr>
    </w:p>
    <w:p w14:paraId="7668DDE8" w14:textId="60F1FE51" w:rsidR="00220D3E" w:rsidRPr="00511005" w:rsidRDefault="007B2628" w:rsidP="007B2628">
      <w:pPr>
        <w:pBdr>
          <w:top w:val="nil"/>
          <w:left w:val="nil"/>
          <w:bottom w:val="nil"/>
          <w:right w:val="nil"/>
          <w:between w:val="nil"/>
          <w:bar w:val="nil"/>
        </w:pBdr>
        <w:suppressAutoHyphens/>
        <w:spacing w:line="264" w:lineRule="auto"/>
        <w:ind w:firstLine="0"/>
        <w:jc w:val="center"/>
        <w:rPr>
          <w:rFonts w:ascii="Arial" w:eastAsia="Times New Roman" w:hAnsi="Arial" w:cs="Arial"/>
          <w:b/>
          <w:szCs w:val="28"/>
          <w:bdr w:val="nil"/>
          <w:lang w:eastAsia="ru-RU"/>
        </w:rPr>
      </w:pPr>
      <w:r w:rsidRPr="00511005">
        <w:rPr>
          <w:rFonts w:ascii="Arial" w:eastAsia="Times New Roman" w:hAnsi="Arial" w:cs="Arial"/>
          <w:b/>
          <w:szCs w:val="28"/>
          <w:bdr w:val="nil"/>
          <w:lang w:val="uk-UA" w:eastAsia="ru-RU"/>
        </w:rPr>
        <w:t>Список використаних джерел</w:t>
      </w:r>
    </w:p>
    <w:p w14:paraId="30160D1C" w14:textId="77777777" w:rsidR="00220D3E" w:rsidRPr="00511005" w:rsidRDefault="00220D3E" w:rsidP="003A292D">
      <w:pPr>
        <w:pBdr>
          <w:top w:val="nil"/>
          <w:left w:val="nil"/>
          <w:bottom w:val="nil"/>
          <w:right w:val="nil"/>
          <w:between w:val="nil"/>
          <w:bar w:val="nil"/>
        </w:pBdr>
        <w:suppressAutoHyphens/>
        <w:spacing w:line="264" w:lineRule="auto"/>
        <w:ind w:firstLine="567"/>
        <w:rPr>
          <w:rFonts w:ascii="Arial" w:eastAsia="Times New Roman" w:hAnsi="Arial" w:cs="Arial"/>
          <w:szCs w:val="28"/>
          <w:bdr w:val="nil"/>
          <w:lang w:eastAsia="ru-RU"/>
        </w:rPr>
      </w:pPr>
      <w:r w:rsidRPr="00511005">
        <w:rPr>
          <w:rFonts w:ascii="Arial" w:eastAsia="Arial Unicode MS" w:hAnsi="Arial" w:cs="Arial"/>
          <w:szCs w:val="28"/>
          <w:bdr w:val="nil"/>
          <w:lang w:eastAsia="ru-RU"/>
        </w:rPr>
        <w:lastRenderedPageBreak/>
        <w:t>1.</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 xml:space="preserve">Падалка М.А. Міжнародно-правовий захист цивільного населення під час збройних конфлік-тів. Проблеми сучасних </w:t>
      </w:r>
      <w:proofErr w:type="gramStart"/>
      <w:r w:rsidRPr="00511005">
        <w:rPr>
          <w:rFonts w:ascii="Arial" w:eastAsia="Arial Unicode MS" w:hAnsi="Arial" w:cs="Arial"/>
          <w:szCs w:val="28"/>
          <w:bdr w:val="nil"/>
          <w:lang w:eastAsia="ru-RU"/>
        </w:rPr>
        <w:t>трансформацій.(</w:t>
      </w:r>
      <w:proofErr w:type="gramEnd"/>
      <w:r w:rsidRPr="00511005">
        <w:rPr>
          <w:rFonts w:ascii="Arial" w:eastAsia="Arial Unicode MS" w:hAnsi="Arial" w:cs="Arial"/>
          <w:szCs w:val="28"/>
          <w:bdr w:val="nil"/>
          <w:lang w:eastAsia="ru-RU"/>
        </w:rPr>
        <w:t>дата звернення: 24.03.2025).</w:t>
      </w:r>
    </w:p>
    <w:p w14:paraId="5901C084" w14:textId="77777777" w:rsidR="00220D3E" w:rsidRPr="00511005" w:rsidRDefault="00220D3E" w:rsidP="003A292D">
      <w:pPr>
        <w:pBdr>
          <w:top w:val="nil"/>
          <w:left w:val="nil"/>
          <w:bottom w:val="nil"/>
          <w:right w:val="nil"/>
          <w:between w:val="nil"/>
          <w:bar w:val="nil"/>
        </w:pBdr>
        <w:suppressAutoHyphens/>
        <w:spacing w:line="264" w:lineRule="auto"/>
        <w:ind w:firstLine="567"/>
        <w:rPr>
          <w:rFonts w:ascii="Arial" w:eastAsia="Times New Roman" w:hAnsi="Arial" w:cs="Arial"/>
          <w:szCs w:val="28"/>
          <w:bdr w:val="nil"/>
          <w:lang w:eastAsia="ru-RU"/>
        </w:rPr>
      </w:pPr>
      <w:r w:rsidRPr="00511005">
        <w:rPr>
          <w:rFonts w:ascii="Arial" w:eastAsia="Arial Unicode MS" w:hAnsi="Arial" w:cs="Arial"/>
          <w:szCs w:val="28"/>
          <w:bdr w:val="nil"/>
          <w:lang w:eastAsia="ru-RU"/>
        </w:rPr>
        <w:t>2.</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Лисик В. До проблеми визначення поняття «цивільна особа» у міжнародному праві. Український часопис міжнародного права. 2012. Nº 3. C. 35-38(дата звернення: 24.03.2025).</w:t>
      </w:r>
    </w:p>
    <w:p w14:paraId="33435D86" w14:textId="77777777" w:rsidR="00220D3E" w:rsidRPr="00511005" w:rsidRDefault="00220D3E" w:rsidP="003A292D">
      <w:pPr>
        <w:pBdr>
          <w:top w:val="nil"/>
          <w:left w:val="nil"/>
          <w:bottom w:val="nil"/>
          <w:right w:val="nil"/>
          <w:between w:val="nil"/>
          <w:bar w:val="nil"/>
        </w:pBdr>
        <w:suppressAutoHyphens/>
        <w:spacing w:line="264" w:lineRule="auto"/>
        <w:ind w:firstLine="567"/>
        <w:rPr>
          <w:rFonts w:ascii="Arial" w:eastAsia="Times New Roman" w:hAnsi="Arial" w:cs="Arial"/>
          <w:szCs w:val="28"/>
          <w:bdr w:val="nil"/>
          <w:lang w:eastAsia="ru-RU"/>
        </w:rPr>
      </w:pPr>
      <w:r w:rsidRPr="00511005">
        <w:rPr>
          <w:rFonts w:ascii="Arial" w:eastAsia="Arial Unicode MS" w:hAnsi="Arial" w:cs="Arial"/>
          <w:szCs w:val="28"/>
          <w:bdr w:val="nil"/>
          <w:lang w:eastAsia="ru-RU"/>
        </w:rPr>
        <w:t>3.</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 xml:space="preserve">Додатковий протокол до Женевських конвенцій від 12 серпня 1949 року, що стосується захисту жертв міжнародних збройних конфліктів (Протокол I), від 8 червня 1977 року. Законодавство України. </w:t>
      </w:r>
      <w:r w:rsidRPr="00511005">
        <w:rPr>
          <w:rFonts w:ascii="Arial" w:eastAsia="Arial Unicode MS" w:hAnsi="Arial" w:cs="Arial"/>
          <w:szCs w:val="28"/>
          <w:bdr w:val="nil"/>
          <w:lang w:val="en-US" w:eastAsia="ru-RU"/>
        </w:rPr>
        <w:t>URL</w:t>
      </w:r>
      <w:r w:rsidRPr="00511005">
        <w:rPr>
          <w:rFonts w:ascii="Arial" w:eastAsia="Arial Unicode MS" w:hAnsi="Arial" w:cs="Arial"/>
          <w:szCs w:val="28"/>
          <w:bdr w:val="nil"/>
          <w:lang w:eastAsia="ru-RU"/>
        </w:rPr>
        <w:t xml:space="preserve">: </w:t>
      </w:r>
      <w:r w:rsidRPr="00511005">
        <w:rPr>
          <w:rFonts w:ascii="Arial" w:eastAsia="Arial Unicode MS" w:hAnsi="Arial" w:cs="Arial"/>
          <w:szCs w:val="28"/>
          <w:bdr w:val="nil"/>
          <w:lang w:val="en-US" w:eastAsia="ru-RU"/>
        </w:rPr>
        <w:t>https</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zakon</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rada</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gov</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ua</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laws</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show</w:t>
      </w:r>
      <w:r w:rsidRPr="00511005">
        <w:rPr>
          <w:rFonts w:ascii="Arial" w:eastAsia="Arial Unicode MS" w:hAnsi="Arial" w:cs="Arial"/>
          <w:szCs w:val="28"/>
          <w:bdr w:val="nil"/>
          <w:lang w:eastAsia="ru-RU"/>
        </w:rPr>
        <w:t>/995_199 (дата звернення: 24.03.2025).</w:t>
      </w:r>
    </w:p>
    <w:p w14:paraId="3A67A1CA" w14:textId="079AA6F6"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uppressAutoHyphens/>
        <w:spacing w:line="264" w:lineRule="auto"/>
        <w:ind w:firstLine="567"/>
        <w:rPr>
          <w:rFonts w:ascii="Arial" w:eastAsia="Helvetica" w:hAnsi="Arial" w:cs="Arial"/>
          <w:szCs w:val="28"/>
          <w:bdr w:val="nil"/>
          <w:lang w:val="uk-UA" w:eastAsia="ru-RU"/>
        </w:rPr>
      </w:pPr>
      <w:r w:rsidRPr="00511005">
        <w:rPr>
          <w:rFonts w:ascii="Arial" w:eastAsia="Arial Unicode MS" w:hAnsi="Arial" w:cs="Arial"/>
          <w:szCs w:val="28"/>
          <w:bdr w:val="nil"/>
          <w:lang w:eastAsia="ru-RU"/>
        </w:rPr>
        <w:t>4.</w:t>
      </w:r>
      <w:r w:rsidR="007B2628"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 xml:space="preserve">Про затвердження Указу Президента України «Про введення воєнного стану в Україні»: Закон України від 24.02.2022 Nº 2102. // </w:t>
      </w:r>
      <w:proofErr w:type="gramStart"/>
      <w:r w:rsidRPr="00511005">
        <w:rPr>
          <w:rFonts w:ascii="Arial" w:eastAsia="Arial Unicode MS" w:hAnsi="Arial" w:cs="Arial"/>
          <w:szCs w:val="28"/>
          <w:bdr w:val="nil"/>
          <w:lang w:val="de-DE" w:eastAsia="ru-RU"/>
        </w:rPr>
        <w:t>URL</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https</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zakon</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rada</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gov</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ua</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laws</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show</w:t>
      </w:r>
      <w:r w:rsidRPr="00511005">
        <w:rPr>
          <w:rFonts w:ascii="Arial" w:eastAsia="Arial Unicode MS" w:hAnsi="Arial" w:cs="Arial"/>
          <w:szCs w:val="28"/>
          <w:bdr w:val="nil"/>
          <w:lang w:eastAsia="ru-RU"/>
        </w:rPr>
        <w:t>/2102-20#</w:t>
      </w:r>
      <w:r w:rsidRPr="00511005">
        <w:rPr>
          <w:rFonts w:ascii="Arial" w:eastAsia="Arial Unicode MS" w:hAnsi="Arial" w:cs="Arial"/>
          <w:szCs w:val="28"/>
          <w:bdr w:val="nil"/>
          <w:lang w:val="de-DE" w:eastAsia="ru-RU"/>
        </w:rPr>
        <w:t>Text</w:t>
      </w:r>
      <w:proofErr w:type="gramEnd"/>
      <w:r w:rsidRPr="00511005">
        <w:rPr>
          <w:rFonts w:ascii="Arial" w:eastAsia="Arial Unicode MS" w:hAnsi="Arial" w:cs="Arial"/>
          <w:szCs w:val="28"/>
          <w:bdr w:val="nil"/>
          <w:lang w:eastAsia="ru-RU"/>
        </w:rPr>
        <w:t xml:space="preserve"> (дата звернення: 24.03.2025).</w:t>
      </w:r>
      <w:r w:rsidRPr="00511005">
        <w:rPr>
          <w:rFonts w:ascii="Arial" w:eastAsia="Helvetica" w:hAnsi="Arial" w:cs="Arial"/>
          <w:szCs w:val="28"/>
          <w:bdr w:val="nil"/>
          <w:lang w:val="uk-UA" w:eastAsia="ru-RU"/>
        </w:rPr>
        <w:t xml:space="preserve"> </w:t>
      </w:r>
    </w:p>
    <w:p w14:paraId="34B6A07E" w14:textId="77777777" w:rsidR="00220D3E" w:rsidRPr="00511005" w:rsidRDefault="00220D3E" w:rsidP="003A292D">
      <w:pPr>
        <w:pBdr>
          <w:top w:val="nil"/>
          <w:left w:val="nil"/>
          <w:bottom w:val="nil"/>
          <w:right w:val="nil"/>
          <w:between w:val="nil"/>
          <w:bar w:val="nil"/>
        </w:pBdr>
        <w:suppressAutoHyphens/>
        <w:spacing w:line="264" w:lineRule="auto"/>
        <w:ind w:firstLine="567"/>
        <w:rPr>
          <w:rFonts w:ascii="Arial" w:eastAsia="Times New Roman" w:hAnsi="Arial" w:cs="Arial"/>
          <w:szCs w:val="28"/>
          <w:bdr w:val="nil"/>
          <w:lang w:val="uk-UA" w:eastAsia="ru-RU"/>
        </w:rPr>
      </w:pPr>
      <w:r w:rsidRPr="00511005">
        <w:rPr>
          <w:rFonts w:ascii="Arial" w:eastAsia="Arial Unicode MS" w:hAnsi="Arial" w:cs="Arial"/>
          <w:szCs w:val="28"/>
          <w:bdr w:val="nil"/>
          <w:lang w:eastAsia="ru-RU"/>
        </w:rPr>
        <w:t>5.</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 xml:space="preserve">Про засади державної регуляторної політики у сфері господарської </w:t>
      </w:r>
      <w:proofErr w:type="gramStart"/>
      <w:r w:rsidRPr="00511005">
        <w:rPr>
          <w:rFonts w:ascii="Arial" w:eastAsia="Arial Unicode MS" w:hAnsi="Arial" w:cs="Arial"/>
          <w:szCs w:val="28"/>
          <w:bdr w:val="nil"/>
          <w:lang w:eastAsia="ru-RU"/>
        </w:rPr>
        <w:t>діяльності:Закон</w:t>
      </w:r>
      <w:proofErr w:type="gramEnd"/>
      <w:r w:rsidRPr="00511005">
        <w:rPr>
          <w:rFonts w:ascii="Arial" w:eastAsia="Arial Unicode MS" w:hAnsi="Arial" w:cs="Arial"/>
          <w:szCs w:val="28"/>
          <w:bdr w:val="nil"/>
          <w:lang w:eastAsia="ru-RU"/>
        </w:rPr>
        <w:t xml:space="preserve"> України від 19.02.2022.</w:t>
      </w:r>
      <w:r w:rsidRPr="00511005">
        <w:rPr>
          <w:rFonts w:ascii="Arial" w:eastAsia="Arial Unicode MS" w:hAnsi="Arial" w:cs="Arial"/>
          <w:szCs w:val="28"/>
          <w:bdr w:val="nil"/>
          <w:lang w:val="de-DE" w:eastAsia="ru-RU"/>
        </w:rPr>
        <w:t>URL</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https</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zakon</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rada</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gov</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ua</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laws</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show</w:t>
      </w:r>
      <w:r w:rsidRPr="00511005">
        <w:rPr>
          <w:rFonts w:ascii="Arial" w:eastAsia="Arial Unicode MS" w:hAnsi="Arial" w:cs="Arial"/>
          <w:szCs w:val="28"/>
          <w:bdr w:val="nil"/>
          <w:lang w:eastAsia="ru-RU"/>
        </w:rPr>
        <w:t>/1160-15#</w:t>
      </w:r>
      <w:r w:rsidRPr="00511005">
        <w:rPr>
          <w:rFonts w:ascii="Arial" w:eastAsia="Arial Unicode MS" w:hAnsi="Arial" w:cs="Arial"/>
          <w:szCs w:val="28"/>
          <w:bdr w:val="nil"/>
          <w:lang w:val="de-DE" w:eastAsia="ru-RU"/>
        </w:rPr>
        <w:t>Text</w:t>
      </w:r>
      <w:r w:rsidRPr="00511005">
        <w:rPr>
          <w:rFonts w:ascii="Arial" w:eastAsia="Arial Unicode MS" w:hAnsi="Arial" w:cs="Arial"/>
          <w:szCs w:val="28"/>
          <w:bdr w:val="nil"/>
          <w:lang w:eastAsia="ru-RU"/>
        </w:rPr>
        <w:t xml:space="preserve"> (дата звернення : 24.03.2025).</w:t>
      </w:r>
    </w:p>
    <w:p w14:paraId="5D37E101" w14:textId="77777777" w:rsidR="00220D3E" w:rsidRPr="00511005" w:rsidRDefault="00220D3E" w:rsidP="003A292D">
      <w:pPr>
        <w:pBdr>
          <w:top w:val="nil"/>
          <w:left w:val="nil"/>
          <w:bottom w:val="nil"/>
          <w:right w:val="nil"/>
          <w:between w:val="nil"/>
          <w:bar w:val="nil"/>
        </w:pBdr>
        <w:suppressAutoHyphens/>
        <w:spacing w:line="264" w:lineRule="auto"/>
        <w:ind w:firstLine="567"/>
        <w:rPr>
          <w:rFonts w:ascii="Arial" w:eastAsia="Arial Unicode MS" w:hAnsi="Arial" w:cs="Arial"/>
          <w:szCs w:val="28"/>
          <w:bdr w:val="nil"/>
          <w:lang w:val="uk-UA" w:eastAsia="ru-RU"/>
        </w:rPr>
      </w:pPr>
      <w:r w:rsidRPr="00511005">
        <w:rPr>
          <w:rFonts w:ascii="Arial" w:eastAsia="Arial Unicode MS" w:hAnsi="Arial" w:cs="Arial"/>
          <w:szCs w:val="28"/>
          <w:bdr w:val="nil"/>
          <w:lang w:eastAsia="ru-RU"/>
        </w:rPr>
        <w:t>6.</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 xml:space="preserve">Конвенція «Про захист цивільного населення під час війни» від 12 серпня1949 року. </w:t>
      </w:r>
      <w:proofErr w:type="gramStart"/>
      <w:r w:rsidRPr="00511005">
        <w:rPr>
          <w:rFonts w:ascii="Arial" w:eastAsia="Arial Unicode MS" w:hAnsi="Arial" w:cs="Arial"/>
          <w:szCs w:val="28"/>
          <w:bdr w:val="nil"/>
          <w:lang w:val="en-US" w:eastAsia="ru-RU"/>
        </w:rPr>
        <w:t>URL</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https</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zakon</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rada</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gov</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ua</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laws</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de-DE" w:eastAsia="ru-RU"/>
        </w:rPr>
        <w:t>show</w:t>
      </w:r>
      <w:r w:rsidRPr="00511005">
        <w:rPr>
          <w:rFonts w:ascii="Arial" w:eastAsia="Arial Unicode MS" w:hAnsi="Arial" w:cs="Arial"/>
          <w:szCs w:val="28"/>
          <w:bdr w:val="nil"/>
          <w:lang w:eastAsia="ru-RU"/>
        </w:rPr>
        <w:t>/995</w:t>
      </w:r>
      <w:proofErr w:type="gramEnd"/>
      <w:r w:rsidRPr="00511005">
        <w:rPr>
          <w:rFonts w:ascii="Arial" w:eastAsia="Arial Unicode MS" w:hAnsi="Arial" w:cs="Arial"/>
          <w:szCs w:val="28"/>
          <w:bdr w:val="nil"/>
          <w:lang w:eastAsia="ru-RU"/>
        </w:rPr>
        <w:t xml:space="preserve"> 154#</w:t>
      </w:r>
      <w:r w:rsidRPr="00511005">
        <w:rPr>
          <w:rFonts w:ascii="Arial" w:eastAsia="Arial Unicode MS" w:hAnsi="Arial" w:cs="Arial"/>
          <w:szCs w:val="28"/>
          <w:bdr w:val="nil"/>
          <w:lang w:val="de-DE" w:eastAsia="ru-RU"/>
        </w:rPr>
        <w:t>Text</w:t>
      </w:r>
      <w:r w:rsidRPr="00511005">
        <w:rPr>
          <w:rFonts w:ascii="Arial" w:eastAsia="Arial Unicode MS" w:hAnsi="Arial" w:cs="Arial"/>
          <w:szCs w:val="28"/>
          <w:bdr w:val="nil"/>
          <w:lang w:eastAsia="ru-RU"/>
        </w:rPr>
        <w:t>(дата звернення 24.03.2025).</w:t>
      </w:r>
    </w:p>
    <w:p w14:paraId="43BFDE65" w14:textId="77777777" w:rsidR="00220D3E" w:rsidRPr="00511005" w:rsidRDefault="00220D3E" w:rsidP="003A292D">
      <w:pPr>
        <w:pBdr>
          <w:top w:val="nil"/>
          <w:left w:val="nil"/>
          <w:bottom w:val="nil"/>
          <w:right w:val="nil"/>
          <w:between w:val="nil"/>
          <w:bar w:val="nil"/>
        </w:pBdr>
        <w:suppressAutoHyphens/>
        <w:spacing w:line="264" w:lineRule="auto"/>
        <w:ind w:firstLine="567"/>
        <w:rPr>
          <w:rFonts w:ascii="Arial" w:eastAsia="Arial Unicode MS" w:hAnsi="Arial" w:cs="Arial"/>
          <w:szCs w:val="28"/>
          <w:bdr w:val="nil"/>
          <w:lang w:val="uk-UA" w:eastAsia="ru-RU"/>
        </w:rPr>
      </w:pPr>
    </w:p>
    <w:p w14:paraId="32C3AC46" w14:textId="3E3E4F1D" w:rsidR="00220D3E" w:rsidRPr="00511005" w:rsidRDefault="00EE6668" w:rsidP="003A292D">
      <w:pPr>
        <w:pBdr>
          <w:top w:val="nil"/>
          <w:left w:val="nil"/>
          <w:bottom w:val="nil"/>
          <w:right w:val="nil"/>
          <w:between w:val="nil"/>
          <w:bar w:val="nil"/>
        </w:pBdr>
        <w:suppressAutoHyphens/>
        <w:spacing w:line="264" w:lineRule="auto"/>
        <w:ind w:firstLine="567"/>
        <w:rPr>
          <w:rFonts w:ascii="Arial" w:eastAsia="Times New Roman" w:hAnsi="Arial" w:cs="Arial"/>
          <w:szCs w:val="28"/>
          <w:bdr w:val="nil"/>
          <w:lang w:val="uk-UA" w:eastAsia="ru-RU"/>
        </w:rPr>
      </w:pPr>
      <w:r w:rsidRPr="00511005">
        <w:rPr>
          <w:rFonts w:ascii="Arial" w:eastAsia="Times New Roman" w:hAnsi="Arial" w:cs="Arial"/>
          <w:b/>
          <w:bCs/>
          <w:szCs w:val="28"/>
          <w:bdr w:val="nil"/>
          <w:lang w:val="uk-UA" w:eastAsia="ru-RU"/>
        </w:rPr>
        <w:t>Ключові слова:</w:t>
      </w:r>
      <w:r w:rsidR="00220D3E" w:rsidRPr="00511005">
        <w:rPr>
          <w:rFonts w:ascii="Arial" w:eastAsia="Times New Roman" w:hAnsi="Arial" w:cs="Arial"/>
          <w:szCs w:val="28"/>
          <w:bdr w:val="nil"/>
          <w:lang w:val="uk-UA" w:eastAsia="ru-RU"/>
        </w:rPr>
        <w:t xml:space="preserve"> Захист цивільного населення, збройний конфлікт, міжнародне гуманітарне право, Женевська конвенція, воєнні злочини, окупація, агресія, права людини, міжнародне право, цивільна особа, комбатант, гуманітарна допомога, репресії, анексія Криму, порушення прав, військові злочини, трибунал, евакуація, гуманітарні коридори, національна безпека, державний суверенітет, військовий стан, міжнародна спільнота, злочини проти людяності, відповідальність, санкції, мирне населення, розслідування, воєнна агресія, міжнародний кримінальний суд, духовенство, медичний персонал, лікарня, порушення Женевських конвенцій, гуманне ставлення, катування, приниження гідності, порушення законів війни, права мирного населення.</w:t>
      </w:r>
    </w:p>
    <w:p w14:paraId="17B4BC45" w14:textId="214238BE" w:rsidR="00220D3E" w:rsidRPr="00511005" w:rsidRDefault="00EE6668" w:rsidP="003A292D">
      <w:pPr>
        <w:pBdr>
          <w:top w:val="nil"/>
          <w:left w:val="nil"/>
          <w:bottom w:val="nil"/>
          <w:right w:val="nil"/>
          <w:between w:val="nil"/>
          <w:bar w:val="nil"/>
        </w:pBdr>
        <w:suppressAutoHyphens/>
        <w:spacing w:line="264" w:lineRule="auto"/>
        <w:ind w:firstLine="567"/>
        <w:rPr>
          <w:rFonts w:ascii="Arial" w:eastAsia="Times New Roman" w:hAnsi="Arial" w:cs="Arial"/>
          <w:szCs w:val="28"/>
          <w:bdr w:val="nil"/>
          <w:lang w:val="uk-UA" w:eastAsia="ru-RU"/>
        </w:rPr>
      </w:pPr>
      <w:r w:rsidRPr="00511005">
        <w:rPr>
          <w:rFonts w:ascii="Arial" w:eastAsia="Times New Roman" w:hAnsi="Arial" w:cs="Arial"/>
          <w:b/>
          <w:bCs/>
          <w:szCs w:val="28"/>
          <w:bdr w:val="nil"/>
          <w:lang w:val="uk-UA" w:eastAsia="ru-RU"/>
        </w:rPr>
        <w:t>Key words:</w:t>
      </w:r>
      <w:r w:rsidR="00220D3E" w:rsidRPr="00511005">
        <w:rPr>
          <w:rFonts w:ascii="Arial" w:eastAsia="Times New Roman" w:hAnsi="Arial" w:cs="Arial"/>
          <w:szCs w:val="28"/>
          <w:bdr w:val="nil"/>
          <w:lang w:val="uk-UA" w:eastAsia="ru-RU"/>
        </w:rPr>
        <w:t xml:space="preserve"> Protection of civilians, armed conflict, international humanitarian law, Geneva Convention, war crimes, occupation, aggression, human rights, international law, civilian, combatant, humanitarian aid, repression, annexation of Crimea, human rights violations, military crimes, tribunal, evacuation, humanitarian corridors, national security, state sovereignty, martial law, international community, crimes against humanity, accountability, sanctions, peaceful population, investigation, military aggression, International Criminal Court, clergy, medical personnel, hospital, violations of the Geneva Conventions, </w:t>
      </w:r>
      <w:r w:rsidR="00220D3E" w:rsidRPr="00511005">
        <w:rPr>
          <w:rFonts w:ascii="Arial" w:eastAsia="Times New Roman" w:hAnsi="Arial" w:cs="Arial"/>
          <w:szCs w:val="28"/>
          <w:bdr w:val="nil"/>
          <w:lang w:val="uk-UA" w:eastAsia="ru-RU"/>
        </w:rPr>
        <w:lastRenderedPageBreak/>
        <w:t>humane treatment, torture, humiliation of dignity, violations of the laws of war, rights of the civilian population.</w:t>
      </w:r>
    </w:p>
    <w:p w14:paraId="0BA75772" w14:textId="0B970AFD" w:rsidR="00220D3E" w:rsidRPr="00511005" w:rsidRDefault="007B2628" w:rsidP="003A292D">
      <w:pPr>
        <w:tabs>
          <w:tab w:val="left" w:pos="709"/>
        </w:tabs>
        <w:spacing w:line="264" w:lineRule="auto"/>
        <w:rPr>
          <w:rFonts w:ascii="Arial" w:eastAsia="Times New Roman" w:hAnsi="Arial" w:cs="Arial"/>
          <w:i/>
          <w:iCs/>
          <w:szCs w:val="28"/>
          <w:bdr w:val="nil"/>
          <w:lang w:val="uk-UA" w:eastAsia="ru-RU"/>
        </w:rPr>
      </w:pPr>
      <w:r w:rsidRPr="00511005">
        <w:rPr>
          <w:rFonts w:ascii="Arial" w:eastAsia="Times New Roman" w:hAnsi="Arial" w:cs="Arial"/>
          <w:b/>
          <w:i/>
          <w:iCs/>
          <w:szCs w:val="28"/>
          <w:bdr w:val="nil"/>
          <w:lang w:val="uk-UA" w:eastAsia="ru-RU"/>
        </w:rPr>
        <w:t xml:space="preserve">Науковий керівник: </w:t>
      </w:r>
      <w:r w:rsidR="00220D3E" w:rsidRPr="00511005">
        <w:rPr>
          <w:rFonts w:ascii="Arial" w:eastAsia="Times New Roman" w:hAnsi="Arial" w:cs="Arial"/>
          <w:i/>
          <w:iCs/>
          <w:szCs w:val="28"/>
          <w:bdr w:val="nil"/>
          <w:lang w:val="uk-UA" w:eastAsia="ru-RU"/>
        </w:rPr>
        <w:t>к.ю.н., доцент Грушко М.В.</w:t>
      </w:r>
    </w:p>
    <w:p w14:paraId="2DD2629E" w14:textId="77777777" w:rsidR="00220D3E" w:rsidRPr="00511005" w:rsidRDefault="00220D3E" w:rsidP="003A292D">
      <w:pPr>
        <w:tabs>
          <w:tab w:val="left" w:pos="709"/>
        </w:tabs>
        <w:spacing w:line="264" w:lineRule="auto"/>
        <w:jc w:val="center"/>
        <w:rPr>
          <w:rFonts w:ascii="Arial" w:eastAsia="Times New Roman" w:hAnsi="Arial" w:cs="Arial"/>
          <w:i/>
          <w:iCs/>
          <w:szCs w:val="28"/>
          <w:bdr w:val="nil"/>
          <w:lang w:val="uk-UA" w:eastAsia="ru-RU"/>
        </w:rPr>
      </w:pPr>
    </w:p>
    <w:p w14:paraId="7B1E15B2"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eastAsia="ru-RU"/>
        </w:rPr>
        <w:t>Гапоненко Дар’</w:t>
      </w:r>
      <w:r w:rsidRPr="00511005">
        <w:rPr>
          <w:rFonts w:ascii="Arial" w:eastAsia="Times New Roman" w:hAnsi="Arial" w:cs="Arial"/>
          <w:b/>
          <w:bCs/>
          <w:i/>
          <w:iCs/>
          <w:szCs w:val="28"/>
          <w:lang w:val="uk-UA" w:eastAsia="ru-RU"/>
        </w:rPr>
        <w:t>я Олександрівна</w:t>
      </w:r>
    </w:p>
    <w:p w14:paraId="4C3346BF" w14:textId="406F0F7F"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p>
    <w:p w14:paraId="662DFB9B" w14:textId="4BB3AE3D"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D1A4A92"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76AAB6EE" w14:textId="77777777" w:rsidR="007B2628"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РЕГУЛЮВАННЯ ШЛЮБНИХ ДОГОВОРІВ У МІЖНАРОДНОМУ ПРИВАТНОМУ ПРАВІ</w:t>
      </w:r>
    </w:p>
    <w:p w14:paraId="2FB6DEB3"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Шлюбний догов</w:t>
      </w:r>
      <w:r w:rsidRPr="00511005">
        <w:rPr>
          <w:rFonts w:ascii="Arial" w:eastAsia="Times New Roman" w:hAnsi="Arial" w:cs="Arial"/>
          <w:szCs w:val="28"/>
          <w:lang w:val="uk-UA" w:eastAsia="ru-RU"/>
        </w:rPr>
        <w:t>ір</w:t>
      </w:r>
      <w:r w:rsidRPr="00511005">
        <w:rPr>
          <w:rFonts w:ascii="Arial" w:eastAsia="Times New Roman" w:hAnsi="Arial" w:cs="Arial"/>
          <w:szCs w:val="28"/>
          <w:lang w:eastAsia="ru-RU"/>
        </w:rPr>
        <w:t xml:space="preserve"> у міжнародному приватному праві розглядається як угода, що укладається між подружжям або майбутнім подружжям, з метою визначення їхніх майнових прав та обов’язків. У контексті міжнародного приватного права такий договір стає особливо важливим, коли сторони мають різне громадянство або місце проживання. Рекомендації Гаазької конвенції 1978 року наголошують що, «шлюбні майнові режими можуть бути предметом вибору сторін, якщо це не суперечить публічному порядку держави, де застосовується </w:t>
      </w:r>
      <w:proofErr w:type="gramStart"/>
      <w:r w:rsidRPr="00511005">
        <w:rPr>
          <w:rFonts w:ascii="Arial" w:eastAsia="Times New Roman" w:hAnsi="Arial" w:cs="Arial"/>
          <w:szCs w:val="28"/>
          <w:lang w:eastAsia="ru-RU"/>
        </w:rPr>
        <w:t>право»</w:t>
      </w:r>
      <w:r w:rsidRPr="00511005">
        <w:rPr>
          <w:rFonts w:ascii="Arial" w:eastAsia="Times New Roman" w:hAnsi="Arial" w:cs="Arial"/>
          <w:szCs w:val="28"/>
          <w:lang w:val="uk-UA" w:eastAsia="ru-RU"/>
        </w:rPr>
        <w:t>[</w:t>
      </w:r>
      <w:proofErr w:type="gramEnd"/>
      <w:r w:rsidRPr="00511005">
        <w:rPr>
          <w:rFonts w:ascii="Arial" w:eastAsia="Times New Roman" w:hAnsi="Arial" w:cs="Arial"/>
          <w:szCs w:val="28"/>
          <w:lang w:val="uk-UA" w:eastAsia="ru-RU"/>
        </w:rPr>
        <w:t>1].</w:t>
      </w:r>
      <w:r w:rsidRPr="00511005">
        <w:rPr>
          <w:rFonts w:ascii="Arial" w:eastAsia="Times New Roman" w:hAnsi="Arial" w:cs="Arial"/>
          <w:szCs w:val="28"/>
          <w:lang w:eastAsia="ru-RU"/>
        </w:rPr>
        <w:t xml:space="preserve"> Таким чином, основним джерелом, яке регулює ці відносини, виступає саме ця конвенція. Крім того, важливими актами є Гаазька конвенція 2007 року про аліменти та регламент ЄС 2016/1103.</w:t>
      </w:r>
    </w:p>
    <w:p w14:paraId="02FB3F6C" w14:textId="0E38AFA4"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Україна бере участь у ряді двосторонніх договорів щодо правової допомоги у цивільних справах, які також передбачають механізми визнання та виконання шлюбних договорів. Колізійні норми міжнародного приватного права дозволяють подружжю обрати право, що регулює їхній контракт. Відповідно до положень Закону України «Про міжнародне приватне право», сторони мають право самостійно визначити, яке саме право застосовується до їхніх майнових прав. Якщо ж вибір права не здійснений, то застосовується право держави, з якою контракт має найбільш тісний зв’язок. Як наголошено у Рекомендаціях Гаазької конференції, «визначальним фактором є місце спільного проживання подружжя або громадянство хоча б однієї зі </w:t>
      </w:r>
      <w:proofErr w:type="gramStart"/>
      <w:r w:rsidRPr="00511005">
        <w:rPr>
          <w:rFonts w:ascii="Arial" w:eastAsia="Times New Roman" w:hAnsi="Arial" w:cs="Arial"/>
          <w:szCs w:val="28"/>
          <w:lang w:eastAsia="ru-RU"/>
        </w:rPr>
        <w:t>сторін»</w:t>
      </w:r>
      <w:r w:rsidRPr="00511005">
        <w:rPr>
          <w:rFonts w:ascii="Arial" w:eastAsia="Times New Roman" w:hAnsi="Arial" w:cs="Arial"/>
          <w:szCs w:val="28"/>
          <w:lang w:val="uk-UA" w:eastAsia="ru-RU"/>
        </w:rPr>
        <w:t>[</w:t>
      </w:r>
      <w:proofErr w:type="gramEnd"/>
      <w:r w:rsidRPr="00511005">
        <w:rPr>
          <w:rFonts w:ascii="Arial" w:eastAsia="Times New Roman" w:hAnsi="Arial" w:cs="Arial"/>
          <w:szCs w:val="28"/>
          <w:lang w:val="uk-UA" w:eastAsia="ru-RU"/>
        </w:rPr>
        <w:t>1]</w:t>
      </w:r>
      <w:r w:rsidRPr="00511005">
        <w:rPr>
          <w:rFonts w:ascii="Arial" w:eastAsia="Times New Roman" w:hAnsi="Arial" w:cs="Arial"/>
          <w:szCs w:val="28"/>
          <w:lang w:eastAsia="ru-RU"/>
        </w:rPr>
        <w:t>.</w:t>
      </w:r>
    </w:p>
    <w:p w14:paraId="7BBCB45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Щодо визнання дійсності шлюбного договору, то основними критеріями є: добровільність укладення, нотаріальне посвідчення, а також правоздатність сторін. У разі, якщо одна зі сторін не мала достатнього розуміння умов контракту, такий документ може бути визнаний недійсним. У практиці Європейського суду з прав людини вказано: «держава має право захищати слабшу сторону в контракті шляхом перевірки дійсності </w:t>
      </w:r>
      <w:proofErr w:type="gramStart"/>
      <w:r w:rsidRPr="00511005">
        <w:rPr>
          <w:rFonts w:ascii="Arial" w:eastAsia="Times New Roman" w:hAnsi="Arial" w:cs="Arial"/>
          <w:szCs w:val="28"/>
          <w:lang w:eastAsia="ru-RU"/>
        </w:rPr>
        <w:t>волевиявлення»</w:t>
      </w:r>
      <w:r w:rsidRPr="00511005">
        <w:rPr>
          <w:rFonts w:ascii="Arial" w:eastAsia="Times New Roman" w:hAnsi="Arial" w:cs="Arial"/>
          <w:szCs w:val="28"/>
          <w:lang w:val="uk-UA" w:eastAsia="ru-RU"/>
        </w:rPr>
        <w:t>[</w:t>
      </w:r>
      <w:proofErr w:type="gramEnd"/>
      <w:r w:rsidRPr="00511005">
        <w:rPr>
          <w:rFonts w:ascii="Arial" w:eastAsia="Times New Roman" w:hAnsi="Arial" w:cs="Arial"/>
          <w:szCs w:val="28"/>
          <w:lang w:val="uk-UA" w:eastAsia="ru-RU"/>
        </w:rPr>
        <w:t>2]</w:t>
      </w:r>
      <w:r w:rsidRPr="00511005">
        <w:rPr>
          <w:rFonts w:ascii="Arial" w:eastAsia="Times New Roman" w:hAnsi="Arial" w:cs="Arial"/>
          <w:szCs w:val="28"/>
          <w:lang w:eastAsia="ru-RU"/>
        </w:rPr>
        <w:t xml:space="preserve">. Серед головних проблем, пов’язаних з міжнародним регулюванням шлюбних договорів, є відсутність уніфікації форми та змісту. У різних країнах відрізняються вимоги до змісту контракту, ступінь допустимих обмежень прав сторін та навіть можливість укладення подібних </w:t>
      </w:r>
      <w:r w:rsidRPr="00511005">
        <w:rPr>
          <w:rFonts w:ascii="Arial" w:eastAsia="Times New Roman" w:hAnsi="Arial" w:cs="Arial"/>
          <w:szCs w:val="28"/>
          <w:lang w:eastAsia="ru-RU"/>
        </w:rPr>
        <w:lastRenderedPageBreak/>
        <w:t xml:space="preserve">угод. Крім того, зберігається практика невизнання іноземних контрактів, якщо вони суперечать публічному порядку держави. В українському законодавстві шлюбні контракти врегульовані главою 10 Сімейного кодексу України. Законодавець надає подружжю право визначити правовий режим майна та інші питання, які не суперечать закону. Як зазначено в частині 3 статті 63 СК України, «подружжя має право в договорі визначити правовий режим майна, відмінний від установленого </w:t>
      </w:r>
      <w:proofErr w:type="gramStart"/>
      <w:r w:rsidRPr="00511005">
        <w:rPr>
          <w:rFonts w:ascii="Arial" w:eastAsia="Times New Roman" w:hAnsi="Arial" w:cs="Arial"/>
          <w:szCs w:val="28"/>
          <w:lang w:eastAsia="ru-RU"/>
        </w:rPr>
        <w:t>законом»</w:t>
      </w:r>
      <w:r w:rsidRPr="00511005">
        <w:rPr>
          <w:rFonts w:ascii="Arial" w:eastAsia="Times New Roman" w:hAnsi="Arial" w:cs="Arial"/>
          <w:szCs w:val="28"/>
          <w:lang w:val="uk-UA" w:eastAsia="ru-RU"/>
        </w:rPr>
        <w:t>[</w:t>
      </w:r>
      <w:proofErr w:type="gramEnd"/>
      <w:r w:rsidRPr="00511005">
        <w:rPr>
          <w:rFonts w:ascii="Arial" w:eastAsia="Times New Roman" w:hAnsi="Arial" w:cs="Arial"/>
          <w:szCs w:val="28"/>
          <w:lang w:val="uk-UA" w:eastAsia="ru-RU"/>
        </w:rPr>
        <w:t>4]</w:t>
      </w:r>
      <w:r w:rsidRPr="00511005">
        <w:rPr>
          <w:rFonts w:ascii="Arial" w:eastAsia="Times New Roman" w:hAnsi="Arial" w:cs="Arial"/>
          <w:szCs w:val="28"/>
          <w:lang w:eastAsia="ru-RU"/>
        </w:rPr>
        <w:t xml:space="preserve">. Також Закон України «Про міжнародне приватне право» дає змогу сторонам обирати іноземне право для регулювання шлюбного </w:t>
      </w:r>
      <w:proofErr w:type="gramStart"/>
      <w:r w:rsidRPr="00511005">
        <w:rPr>
          <w:rFonts w:ascii="Arial" w:eastAsia="Times New Roman" w:hAnsi="Arial" w:cs="Arial"/>
          <w:szCs w:val="28"/>
          <w:lang w:eastAsia="ru-RU"/>
        </w:rPr>
        <w:t>договору</w:t>
      </w:r>
      <w:r w:rsidRPr="00511005">
        <w:rPr>
          <w:rFonts w:ascii="Arial" w:eastAsia="Times New Roman" w:hAnsi="Arial" w:cs="Arial"/>
          <w:szCs w:val="28"/>
          <w:lang w:val="uk-UA" w:eastAsia="ru-RU"/>
        </w:rPr>
        <w:t>[</w:t>
      </w:r>
      <w:proofErr w:type="gramEnd"/>
      <w:r w:rsidRPr="00511005">
        <w:rPr>
          <w:rFonts w:ascii="Arial" w:eastAsia="Times New Roman" w:hAnsi="Arial" w:cs="Arial"/>
          <w:szCs w:val="28"/>
          <w:lang w:val="uk-UA" w:eastAsia="ru-RU"/>
        </w:rPr>
        <w:t>3]</w:t>
      </w:r>
      <w:r w:rsidRPr="00511005">
        <w:rPr>
          <w:rFonts w:ascii="Arial" w:eastAsia="Times New Roman" w:hAnsi="Arial" w:cs="Arial"/>
          <w:szCs w:val="28"/>
          <w:lang w:eastAsia="ru-RU"/>
        </w:rPr>
        <w:t xml:space="preserve">. </w:t>
      </w:r>
    </w:p>
    <w:p w14:paraId="115EC6C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можна зробити розгорнутий і ґрунтовний висновок, що шлюбний договір у системі міжнародного приватного права становить один із ключових інструментів правового регулювання майнових відносин подружжя в умовах зростаючих транснаціональних зв’язків. У сучасному світі, де інтенсивно розвиваються процеси глобалізації, все більше людей укладають шлюби з іноземцями або мають місце проживання в різних державах. У таких випадках постає потреба у чіткому врегулюванні прав та обов’язків подружжя у сфері володіння, розпорядження та поділу майна, що може бути досягнуто шляхом укладення шлюбного договору.</w:t>
      </w:r>
    </w:p>
    <w:p w14:paraId="7BFD473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Шлюбний договір, будучи правовим механізмом, що ґрунтується на принципі автономії волі сторін, дозволяє подружжю заздалегідь визначити умови свого майнового співжиття, уникнути судових спорів у разі розлучення, а також встановити правові рамки для управління майном, набутим до і під час шлюбу. Це особливо важливо в ситуаціях, коли подружжя має активи або інтереси у кількох країнах, де правові системи можуть істотно відрізнятися одна від одної за підходами до регулювання майнових відносин у шлюбі.</w:t>
      </w:r>
    </w:p>
    <w:p w14:paraId="3EA1F14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Однак на практиці застосування шлюбних договорів у міжнародному контексті зіштовхується з низкою проблем. Насамперед, це відсутність уніфікованих норм, які б регламентували форму, зміст, порядок укладення та умови визнання шлюбних договорів у різних юрисдикціях. У деяких країнах допускається доволі широка свобода у формуванні умов договору, тоді як в інших передбачено жорсткі обмеження щодо його змісту або навіть встановлено заборону на регулювання певних аспектів шлюбних відносин. До того ж, значна кількість держав вимагає обов’язкової нотаріальної форми договору, а іноді й судового затвердження. У результаті цього виникають значні труднощі з визнанням і приведенням до виконання таких договорів на території інших держав.</w:t>
      </w:r>
    </w:p>
    <w:p w14:paraId="76E1BD16"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Доктринальні джерела справедливо наголошують на необхідності подальшої гармонізації правового регулювання в цій сфері. Як зазначено у правовій науці, уніфікація міжнародного приватного права повинна сприяти правовій визначеності та передбачуваності у відносинах між громадянами різних держав. Це, у свою чергу, зумовлює потребу в активізації співпраці </w:t>
      </w:r>
      <w:r w:rsidRPr="00511005">
        <w:rPr>
          <w:rFonts w:ascii="Arial" w:eastAsia="Times New Roman" w:hAnsi="Arial" w:cs="Arial"/>
          <w:szCs w:val="28"/>
          <w:lang w:eastAsia="ru-RU"/>
        </w:rPr>
        <w:lastRenderedPageBreak/>
        <w:t>між державами щодо розробки спільних підходів до регулювання шлюбних договорів, зокрема шляхом прийняття багатосторонніх міжнародних актів, вироблення рекомендацій міжнародними організаціями (такими як Гаазька конференція з міжнародного приватного права), а також розробки модельних законів, які могли б бути адаптовані до національних правових систем.</w:t>
      </w:r>
    </w:p>
    <w:p w14:paraId="7F2882A7" w14:textId="158A54BE"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Суттєвим кроком у цьому напрямі є розширення дії вже існуючих міжнародних конвенцій, що стосуються шлюбних відносин і правової допомоги у сімейних справах, а також розвиток двосторонніх договорів між державами, в яких передбачатимуться спільні підходи до визнання та виконання шлюбних контрактів, такі заходи сприятимуть не лише підвищенню ефективності правового регулювання, а й забезпеченню дотримання прав людини, зокрема права на вільне розпорядження своїм майном і права на справедливий судовий розгляд.</w:t>
      </w:r>
    </w:p>
    <w:p w14:paraId="502930D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Важливо також зазначити, що шлюбний договір у міжнародному приватному праві не лише виконує функцію захисту приватних інтересів подружжя, а й має вагоме значення для стабільності правопорядку загалом. Він дозволяє зменшити навантаження на судові органи, сприяє більш ефективному та цивілізованому вирішенню конфліктів, а також підвищує рівень правової культури громадян. У довгостроковій перспективі гармонізація правових норм щодо шлюбних договорів дозволить створити прозоре, передбачуване та стабільне правове середовище для учасників міжнародних шлюбів.</w:t>
      </w:r>
    </w:p>
    <w:p w14:paraId="5743586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4DA47A3B" w14:textId="7105DBF5" w:rsidR="00220D3E" w:rsidRPr="00511005" w:rsidRDefault="007B2628" w:rsidP="007B2628">
      <w:pPr>
        <w:tabs>
          <w:tab w:val="left" w:pos="709"/>
        </w:tabs>
        <w:spacing w:line="264" w:lineRule="auto"/>
        <w:jc w:val="center"/>
        <w:rPr>
          <w:rFonts w:ascii="Arial" w:eastAsia="Times New Roman" w:hAnsi="Arial" w:cs="Arial"/>
          <w:szCs w:val="28"/>
          <w:lang w:val="en-US" w:eastAsia="ru-RU"/>
        </w:rPr>
      </w:pPr>
      <w:r w:rsidRPr="00511005">
        <w:rPr>
          <w:rFonts w:ascii="Arial" w:eastAsia="Times New Roman" w:hAnsi="Arial" w:cs="Arial"/>
          <w:b/>
          <w:bCs/>
          <w:szCs w:val="28"/>
          <w:lang w:val="uk-UA" w:eastAsia="ru-RU"/>
        </w:rPr>
        <w:t>Список використаних джерел</w:t>
      </w:r>
    </w:p>
    <w:p w14:paraId="39F21674"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1. Hague Convention on the Law Applicable to Matrimonial Property Regimes, 1978. Hague Conference on Private International Law.</w:t>
      </w:r>
    </w:p>
    <w:p w14:paraId="175444F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2. Hague Convention on the International Recovery of Child Support and Other Forms of Family Maintenance, 2007. Hague Conference on Private International Law.</w:t>
      </w:r>
    </w:p>
    <w:p w14:paraId="16E7B0D9"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3. </w:t>
      </w:r>
      <w:r w:rsidRPr="00511005">
        <w:rPr>
          <w:rFonts w:ascii="Arial" w:eastAsia="Times New Roman" w:hAnsi="Arial" w:cs="Arial"/>
          <w:szCs w:val="28"/>
          <w:lang w:eastAsia="ru-RU"/>
        </w:rPr>
        <w:t>Закон</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України</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Про</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міжнародне</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приватне</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право</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від</w:t>
      </w:r>
      <w:r w:rsidRPr="00511005">
        <w:rPr>
          <w:rFonts w:ascii="Arial" w:eastAsia="Times New Roman" w:hAnsi="Arial" w:cs="Arial"/>
          <w:szCs w:val="28"/>
          <w:lang w:val="en-US" w:eastAsia="ru-RU"/>
        </w:rPr>
        <w:t xml:space="preserve"> 23 </w:t>
      </w:r>
      <w:r w:rsidRPr="00511005">
        <w:rPr>
          <w:rFonts w:ascii="Arial" w:eastAsia="Times New Roman" w:hAnsi="Arial" w:cs="Arial"/>
          <w:szCs w:val="28"/>
          <w:lang w:eastAsia="ru-RU"/>
        </w:rPr>
        <w:t>червня</w:t>
      </w:r>
      <w:r w:rsidRPr="00511005">
        <w:rPr>
          <w:rFonts w:ascii="Arial" w:eastAsia="Times New Roman" w:hAnsi="Arial" w:cs="Arial"/>
          <w:szCs w:val="28"/>
          <w:lang w:val="en-US" w:eastAsia="ru-RU"/>
        </w:rPr>
        <w:t xml:space="preserve"> 2005 </w:t>
      </w:r>
      <w:r w:rsidRPr="00511005">
        <w:rPr>
          <w:rFonts w:ascii="Arial" w:eastAsia="Times New Roman" w:hAnsi="Arial" w:cs="Arial"/>
          <w:szCs w:val="28"/>
          <w:lang w:eastAsia="ru-RU"/>
        </w:rPr>
        <w:t>року</w:t>
      </w:r>
      <w:r w:rsidRPr="00511005">
        <w:rPr>
          <w:rFonts w:ascii="Arial" w:eastAsia="Times New Roman" w:hAnsi="Arial" w:cs="Arial"/>
          <w:szCs w:val="28"/>
          <w:lang w:val="en-US" w:eastAsia="ru-RU"/>
        </w:rPr>
        <w:t xml:space="preserve"> № 2709-IV.</w:t>
      </w:r>
    </w:p>
    <w:p w14:paraId="51782FE0"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4. </w:t>
      </w:r>
      <w:r w:rsidRPr="00511005">
        <w:rPr>
          <w:rFonts w:ascii="Arial" w:eastAsia="Times New Roman" w:hAnsi="Arial" w:cs="Arial"/>
          <w:szCs w:val="28"/>
          <w:lang w:eastAsia="ru-RU"/>
        </w:rPr>
        <w:t>Сімейний</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кодекс</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України</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від</w:t>
      </w:r>
      <w:r w:rsidRPr="00511005">
        <w:rPr>
          <w:rFonts w:ascii="Arial" w:eastAsia="Times New Roman" w:hAnsi="Arial" w:cs="Arial"/>
          <w:szCs w:val="28"/>
          <w:lang w:val="en-US" w:eastAsia="ru-RU"/>
        </w:rPr>
        <w:t xml:space="preserve"> 10 </w:t>
      </w:r>
      <w:r w:rsidRPr="00511005">
        <w:rPr>
          <w:rFonts w:ascii="Arial" w:eastAsia="Times New Roman" w:hAnsi="Arial" w:cs="Arial"/>
          <w:szCs w:val="28"/>
          <w:lang w:eastAsia="ru-RU"/>
        </w:rPr>
        <w:t>січня</w:t>
      </w:r>
      <w:r w:rsidRPr="00511005">
        <w:rPr>
          <w:rFonts w:ascii="Arial" w:eastAsia="Times New Roman" w:hAnsi="Arial" w:cs="Arial"/>
          <w:szCs w:val="28"/>
          <w:lang w:val="en-US" w:eastAsia="ru-RU"/>
        </w:rPr>
        <w:t xml:space="preserve"> 2002 </w:t>
      </w:r>
      <w:r w:rsidRPr="00511005">
        <w:rPr>
          <w:rFonts w:ascii="Arial" w:eastAsia="Times New Roman" w:hAnsi="Arial" w:cs="Arial"/>
          <w:szCs w:val="28"/>
          <w:lang w:eastAsia="ru-RU"/>
        </w:rPr>
        <w:t>року</w:t>
      </w:r>
      <w:r w:rsidRPr="00511005">
        <w:rPr>
          <w:rFonts w:ascii="Arial" w:eastAsia="Times New Roman" w:hAnsi="Arial" w:cs="Arial"/>
          <w:szCs w:val="28"/>
          <w:lang w:val="en-US" w:eastAsia="ru-RU"/>
        </w:rPr>
        <w:t xml:space="preserve"> № 2947-III.</w:t>
      </w:r>
    </w:p>
    <w:p w14:paraId="0AD18350" w14:textId="77777777" w:rsidR="00220D3E" w:rsidRPr="00511005" w:rsidRDefault="00220D3E" w:rsidP="003A292D">
      <w:pPr>
        <w:tabs>
          <w:tab w:val="left" w:pos="709"/>
        </w:tabs>
        <w:spacing w:line="264" w:lineRule="auto"/>
        <w:rPr>
          <w:rFonts w:ascii="Arial" w:eastAsia="Times New Roman" w:hAnsi="Arial" w:cs="Arial"/>
          <w:szCs w:val="28"/>
          <w:lang w:val="de-DE" w:eastAsia="ru-RU"/>
        </w:rPr>
      </w:pPr>
      <w:r w:rsidRPr="00511005">
        <w:rPr>
          <w:rFonts w:ascii="Arial" w:eastAsia="Times New Roman" w:hAnsi="Arial" w:cs="Arial"/>
          <w:szCs w:val="28"/>
          <w:lang w:val="de-DE" w:eastAsia="ru-RU"/>
        </w:rPr>
        <w:t>5. Kropholler J. Internationales Privatrecht. 10. Auflage. Mohr Siebeck, Tübingen, 2011.</w:t>
      </w:r>
    </w:p>
    <w:p w14:paraId="22A74CDC" w14:textId="77777777" w:rsidR="00220D3E" w:rsidRPr="00511005" w:rsidRDefault="00220D3E" w:rsidP="003A292D">
      <w:pPr>
        <w:tabs>
          <w:tab w:val="left" w:pos="709"/>
        </w:tabs>
        <w:spacing w:line="264" w:lineRule="auto"/>
        <w:rPr>
          <w:rFonts w:ascii="Arial" w:eastAsia="Times New Roman" w:hAnsi="Arial" w:cs="Arial"/>
          <w:szCs w:val="28"/>
          <w:lang w:val="de-DE" w:eastAsia="ru-RU"/>
        </w:rPr>
      </w:pPr>
      <w:r w:rsidRPr="00511005">
        <w:rPr>
          <w:rFonts w:ascii="Arial" w:eastAsia="Times New Roman" w:hAnsi="Arial" w:cs="Arial"/>
          <w:szCs w:val="28"/>
          <w:lang w:val="de-DE" w:eastAsia="ru-RU"/>
        </w:rPr>
        <w:t xml:space="preserve">6. </w:t>
      </w:r>
      <w:r w:rsidRPr="00511005">
        <w:rPr>
          <w:rFonts w:ascii="Arial" w:eastAsia="Times New Roman" w:hAnsi="Arial" w:cs="Arial"/>
          <w:szCs w:val="28"/>
          <w:lang w:eastAsia="ru-RU"/>
        </w:rPr>
        <w:t>Європейський</w:t>
      </w:r>
      <w:r w:rsidRPr="00511005">
        <w:rPr>
          <w:rFonts w:ascii="Arial" w:eastAsia="Times New Roman" w:hAnsi="Arial" w:cs="Arial"/>
          <w:szCs w:val="28"/>
          <w:lang w:val="de-DE" w:eastAsia="ru-RU"/>
        </w:rPr>
        <w:t xml:space="preserve"> </w:t>
      </w:r>
      <w:r w:rsidRPr="00511005">
        <w:rPr>
          <w:rFonts w:ascii="Arial" w:eastAsia="Times New Roman" w:hAnsi="Arial" w:cs="Arial"/>
          <w:szCs w:val="28"/>
          <w:lang w:eastAsia="ru-RU"/>
        </w:rPr>
        <w:t>суд</w:t>
      </w:r>
      <w:r w:rsidRPr="00511005">
        <w:rPr>
          <w:rFonts w:ascii="Arial" w:eastAsia="Times New Roman" w:hAnsi="Arial" w:cs="Arial"/>
          <w:szCs w:val="28"/>
          <w:lang w:val="de-DE" w:eastAsia="ru-RU"/>
        </w:rPr>
        <w:t xml:space="preserve"> </w:t>
      </w:r>
      <w:r w:rsidRPr="00511005">
        <w:rPr>
          <w:rFonts w:ascii="Arial" w:eastAsia="Times New Roman" w:hAnsi="Arial" w:cs="Arial"/>
          <w:szCs w:val="28"/>
          <w:lang w:eastAsia="ru-RU"/>
        </w:rPr>
        <w:t>з</w:t>
      </w:r>
      <w:r w:rsidRPr="00511005">
        <w:rPr>
          <w:rFonts w:ascii="Arial" w:eastAsia="Times New Roman" w:hAnsi="Arial" w:cs="Arial"/>
          <w:szCs w:val="28"/>
          <w:lang w:val="de-DE" w:eastAsia="ru-RU"/>
        </w:rPr>
        <w:t xml:space="preserve"> </w:t>
      </w:r>
      <w:r w:rsidRPr="00511005">
        <w:rPr>
          <w:rFonts w:ascii="Arial" w:eastAsia="Times New Roman" w:hAnsi="Arial" w:cs="Arial"/>
          <w:szCs w:val="28"/>
          <w:lang w:eastAsia="ru-RU"/>
        </w:rPr>
        <w:t>прав</w:t>
      </w:r>
      <w:r w:rsidRPr="00511005">
        <w:rPr>
          <w:rFonts w:ascii="Arial" w:eastAsia="Times New Roman" w:hAnsi="Arial" w:cs="Arial"/>
          <w:szCs w:val="28"/>
          <w:lang w:val="de-DE" w:eastAsia="ru-RU"/>
        </w:rPr>
        <w:t xml:space="preserve"> </w:t>
      </w:r>
      <w:r w:rsidRPr="00511005">
        <w:rPr>
          <w:rFonts w:ascii="Arial" w:eastAsia="Times New Roman" w:hAnsi="Arial" w:cs="Arial"/>
          <w:szCs w:val="28"/>
          <w:lang w:eastAsia="ru-RU"/>
        </w:rPr>
        <w:t>людини</w:t>
      </w:r>
      <w:r w:rsidRPr="00511005">
        <w:rPr>
          <w:rFonts w:ascii="Arial" w:eastAsia="Times New Roman" w:hAnsi="Arial" w:cs="Arial"/>
          <w:szCs w:val="28"/>
          <w:lang w:val="de-DE" w:eastAsia="ru-RU"/>
        </w:rPr>
        <w:t xml:space="preserve">. </w:t>
      </w:r>
      <w:r w:rsidRPr="00511005">
        <w:rPr>
          <w:rFonts w:ascii="Arial" w:eastAsia="Times New Roman" w:hAnsi="Arial" w:cs="Arial"/>
          <w:szCs w:val="28"/>
          <w:lang w:eastAsia="ru-RU"/>
        </w:rPr>
        <w:t>Справа</w:t>
      </w:r>
      <w:r w:rsidRPr="00511005">
        <w:rPr>
          <w:rFonts w:ascii="Arial" w:eastAsia="Times New Roman" w:hAnsi="Arial" w:cs="Arial"/>
          <w:szCs w:val="28"/>
          <w:lang w:val="de-DE" w:eastAsia="ru-RU"/>
        </w:rPr>
        <w:t xml:space="preserve"> Radmacher v. Granatino, </w:t>
      </w:r>
      <w:r w:rsidRPr="00511005">
        <w:rPr>
          <w:rFonts w:ascii="Arial" w:eastAsia="Times New Roman" w:hAnsi="Arial" w:cs="Arial"/>
          <w:szCs w:val="28"/>
          <w:lang w:eastAsia="ru-RU"/>
        </w:rPr>
        <w:t>рішення</w:t>
      </w:r>
      <w:r w:rsidRPr="00511005">
        <w:rPr>
          <w:rFonts w:ascii="Arial" w:eastAsia="Times New Roman" w:hAnsi="Arial" w:cs="Arial"/>
          <w:szCs w:val="28"/>
          <w:lang w:val="de-DE" w:eastAsia="ru-RU"/>
        </w:rPr>
        <w:t xml:space="preserve"> </w:t>
      </w:r>
      <w:r w:rsidRPr="00511005">
        <w:rPr>
          <w:rFonts w:ascii="Arial" w:eastAsia="Times New Roman" w:hAnsi="Arial" w:cs="Arial"/>
          <w:szCs w:val="28"/>
          <w:lang w:eastAsia="ru-RU"/>
        </w:rPr>
        <w:t>від</w:t>
      </w:r>
      <w:r w:rsidRPr="00511005">
        <w:rPr>
          <w:rFonts w:ascii="Arial" w:eastAsia="Times New Roman" w:hAnsi="Arial" w:cs="Arial"/>
          <w:szCs w:val="28"/>
          <w:lang w:val="de-DE" w:eastAsia="ru-RU"/>
        </w:rPr>
        <w:t xml:space="preserve"> 20 </w:t>
      </w:r>
      <w:r w:rsidRPr="00511005">
        <w:rPr>
          <w:rFonts w:ascii="Arial" w:eastAsia="Times New Roman" w:hAnsi="Arial" w:cs="Arial"/>
          <w:szCs w:val="28"/>
          <w:lang w:eastAsia="ru-RU"/>
        </w:rPr>
        <w:t>жовтня</w:t>
      </w:r>
      <w:r w:rsidRPr="00511005">
        <w:rPr>
          <w:rFonts w:ascii="Arial" w:eastAsia="Times New Roman" w:hAnsi="Arial" w:cs="Arial"/>
          <w:szCs w:val="28"/>
          <w:lang w:val="de-DE" w:eastAsia="ru-RU"/>
        </w:rPr>
        <w:t xml:space="preserve"> 2010 </w:t>
      </w:r>
      <w:r w:rsidRPr="00511005">
        <w:rPr>
          <w:rFonts w:ascii="Arial" w:eastAsia="Times New Roman" w:hAnsi="Arial" w:cs="Arial"/>
          <w:szCs w:val="28"/>
          <w:lang w:eastAsia="ru-RU"/>
        </w:rPr>
        <w:t>року</w:t>
      </w:r>
      <w:r w:rsidRPr="00511005">
        <w:rPr>
          <w:rFonts w:ascii="Arial" w:eastAsia="Times New Roman" w:hAnsi="Arial" w:cs="Arial"/>
          <w:szCs w:val="28"/>
          <w:lang w:val="de-DE" w:eastAsia="ru-RU"/>
        </w:rPr>
        <w:t>.</w:t>
      </w:r>
    </w:p>
    <w:p w14:paraId="073C61A0" w14:textId="77777777" w:rsidR="00220D3E" w:rsidRPr="00511005" w:rsidRDefault="00220D3E" w:rsidP="003A292D">
      <w:pPr>
        <w:tabs>
          <w:tab w:val="left" w:pos="709"/>
        </w:tabs>
        <w:spacing w:line="264" w:lineRule="auto"/>
        <w:rPr>
          <w:rFonts w:ascii="Arial" w:eastAsia="Times New Roman" w:hAnsi="Arial" w:cs="Arial"/>
          <w:b/>
          <w:szCs w:val="28"/>
          <w:lang w:val="uk-UA" w:eastAsia="ru-RU"/>
        </w:rPr>
      </w:pPr>
    </w:p>
    <w:p w14:paraId="3279F877" w14:textId="18B293A8"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шлюбний контракт, міжнародне приватне право, майнові права, вибір права, колізійні норми, Гаазька конвенція, публічний порядок, нотаріальне посвідчення, правоздатність, визнання контракту, сімейне законодавство, уніфікація, транснаціональні шлюби.</w:t>
      </w:r>
    </w:p>
    <w:p w14:paraId="0C3DAFB2" w14:textId="03EBEA10"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lastRenderedPageBreak/>
        <w:t xml:space="preserve">Key words: </w:t>
      </w:r>
      <w:r w:rsidR="00220D3E" w:rsidRPr="00511005">
        <w:rPr>
          <w:rFonts w:ascii="Arial" w:eastAsia="Times New Roman" w:hAnsi="Arial" w:cs="Arial"/>
          <w:szCs w:val="28"/>
          <w:lang w:val="en-US" w:eastAsia="ru-RU"/>
        </w:rPr>
        <w:t>marriage contract, private international law, property rights, choice of law, conflict of laws, Hague Convention, public policy, notarization, legal capacity, contract recognition, family legislation, unification, transnational marriages.</w:t>
      </w:r>
    </w:p>
    <w:p w14:paraId="3589F790" w14:textId="11F0A8B3"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асистент кафедри Бугаєць А. С.</w:t>
      </w:r>
    </w:p>
    <w:p w14:paraId="08EB1620" w14:textId="77777777" w:rsidR="00220D3E" w:rsidRPr="00511005" w:rsidRDefault="00220D3E" w:rsidP="003A292D">
      <w:pPr>
        <w:pBdr>
          <w:top w:val="nil"/>
          <w:left w:val="nil"/>
          <w:bottom w:val="nil"/>
          <w:right w:val="nil"/>
          <w:between w:val="nil"/>
          <w:bar w:val="nil"/>
        </w:pBdr>
        <w:tabs>
          <w:tab w:val="left" w:pos="709"/>
        </w:tabs>
        <w:suppressAutoHyphens/>
        <w:spacing w:line="264" w:lineRule="auto"/>
        <w:rPr>
          <w:rFonts w:ascii="Arial" w:eastAsia="Times New Roman" w:hAnsi="Arial" w:cs="Arial"/>
          <w:szCs w:val="28"/>
          <w:bdr w:val="nil"/>
          <w:lang w:val="uk-UA" w:eastAsia="ru-RU"/>
        </w:rPr>
      </w:pPr>
    </w:p>
    <w:p w14:paraId="3DBC6FB0"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Глігор Валерія Валеріївна</w:t>
      </w:r>
    </w:p>
    <w:p w14:paraId="01159745"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Корнієнко Анна Вадимівна</w:t>
      </w:r>
    </w:p>
    <w:p w14:paraId="3458EDDC" w14:textId="78B1DE22"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студентки 4-го курсу </w:t>
      </w:r>
      <w:r w:rsidR="001B7B25" w:rsidRPr="00511005">
        <w:rPr>
          <w:rFonts w:ascii="Arial" w:eastAsia="Times New Roman" w:hAnsi="Arial" w:cs="Arial"/>
          <w:szCs w:val="28"/>
          <w:lang w:val="uk-UA" w:eastAsia="ru-RU"/>
        </w:rPr>
        <w:t>факультету судового та міжнародного права</w:t>
      </w:r>
      <w:r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52A9E8D0"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5B555B60" w14:textId="77777777" w:rsidR="00220D3E"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ЗАБЕЗПЕЧЕННЯ ПРАВА НА ДОСТУП ДО ПРАВОСУДДЯ ПІД ЧАС ВОЄННОГО СТАНУ: СТАНДАРТИ МІЖНАРОДНОГО ПРАВА</w:t>
      </w:r>
    </w:p>
    <w:p w14:paraId="749F51EE" w14:textId="77777777" w:rsidR="00220D3E" w:rsidRPr="00511005" w:rsidRDefault="00220D3E" w:rsidP="003A292D">
      <w:pPr>
        <w:tabs>
          <w:tab w:val="left" w:pos="709"/>
        </w:tabs>
        <w:spacing w:line="264" w:lineRule="auto"/>
        <w:jc w:val="right"/>
        <w:rPr>
          <w:rFonts w:ascii="Arial" w:eastAsia="Times New Roman" w:hAnsi="Arial" w:cs="Arial"/>
          <w:i/>
          <w:iCs/>
          <w:szCs w:val="28"/>
          <w:lang w:val="uk-UA" w:eastAsia="ru-RU"/>
        </w:rPr>
      </w:pPr>
    </w:p>
    <w:p w14:paraId="1F17126C" w14:textId="77777777" w:rsidR="00220D3E" w:rsidRPr="00511005" w:rsidRDefault="00220D3E" w:rsidP="003A292D">
      <w:pPr>
        <w:tabs>
          <w:tab w:val="left" w:pos="709"/>
        </w:tabs>
        <w:spacing w:line="264" w:lineRule="auto"/>
        <w:jc w:val="right"/>
        <w:rPr>
          <w:rFonts w:ascii="Arial" w:eastAsia="Times New Roman" w:hAnsi="Arial" w:cs="Arial"/>
          <w:i/>
          <w:iCs/>
          <w:szCs w:val="28"/>
          <w:lang w:val="uk-UA" w:eastAsia="ru-RU"/>
        </w:rPr>
      </w:pPr>
      <w:r w:rsidRPr="00511005">
        <w:rPr>
          <w:rFonts w:ascii="Arial" w:eastAsia="Times New Roman" w:hAnsi="Arial" w:cs="Arial"/>
          <w:i/>
          <w:iCs/>
          <w:szCs w:val="28"/>
          <w:lang w:val="uk-UA" w:eastAsia="ru-RU"/>
        </w:rPr>
        <w:t>"Справедливість є основою миру, навіть у часи війни." – Гуго Гроцій</w:t>
      </w:r>
    </w:p>
    <w:p w14:paraId="532A6F8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1E068EE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Право на справедливий суд завжди було і залишається одним із головних показників рівня демократії в суспільстві. Як ключовий принцип, закріплений у статті 6 Європейської конвенції з прав людини, це право охоплює низку важливих гарантій, таких як доступ до суду, право на захист, рівність усіх перед законом та справедливий розгляд справи незалежним і безстороннім судом у розумні строки. Держави зобов'язані забезпечити реальну можливість для своїх громадян реалізовувати ці гарантії, створюючи справедливу та відкриту правову систему </w:t>
      </w:r>
      <w:r w:rsidRPr="00511005">
        <w:rPr>
          <w:rFonts w:ascii="Arial" w:eastAsia="Times New Roman" w:hAnsi="Arial" w:cs="Arial"/>
          <w:szCs w:val="28"/>
          <w:lang w:eastAsia="ru-RU"/>
        </w:rPr>
        <w:t>[1].</w:t>
      </w:r>
    </w:p>
    <w:p w14:paraId="7CA3FD9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Ігнорування цих гарантій не лише підриває основи верховенства права, але й ставить під сумнів рівень демократичності публічного управління. Лише за умови дотримання права на справедливий суд можна говорити про справжнє верховенство права в суспільстві, що водночас є ключовою основою для розуміння впливу правосуддя на розвиток суспільства та формування правової культури. Тому, дослідження та аналіз механізмів реалізації права на справедливий суд є важливим для оцінки якості функціонування судових систем у сучасному світі. </w:t>
      </w:r>
    </w:p>
    <w:p w14:paraId="3A4572D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Практика міжнародних судових органів, зокрема Європейського суду з прав людини, свідчить про те, що навіть в умовах воєнного стану держава зобов'язана забезпечувати доступ </w:t>
      </w:r>
      <w:proofErr w:type="gramStart"/>
      <w:r w:rsidRPr="00511005">
        <w:rPr>
          <w:rFonts w:ascii="Arial" w:eastAsia="Times New Roman" w:hAnsi="Arial" w:cs="Arial"/>
          <w:szCs w:val="28"/>
          <w:lang w:eastAsia="ru-RU"/>
        </w:rPr>
        <w:t>до суду</w:t>
      </w:r>
      <w:proofErr w:type="gramEnd"/>
      <w:r w:rsidRPr="00511005">
        <w:rPr>
          <w:rFonts w:ascii="Arial" w:eastAsia="Times New Roman" w:hAnsi="Arial" w:cs="Arial"/>
          <w:szCs w:val="28"/>
          <w:lang w:eastAsia="ru-RU"/>
        </w:rPr>
        <w:t xml:space="preserve"> принаймні в мінімальному обсязі, зокрема щодо основних прав, які не підлягають дерогації, таких як заборона катувань чи право на життя. Водночас обмеження повинні бути обґрунтованими, пропорційними та не повинні перетворювати надзвичайний стан на привід для довільного позбавлення правового захисту. Наприклад, Туреччина після спроби державного перевороту у 2016 році і введення надзвичайного стану тимчасово обмежила деякі процесуальні права, наприклад, збільшила строки тримання під вартою без </w:t>
      </w:r>
      <w:r w:rsidRPr="00511005">
        <w:rPr>
          <w:rFonts w:ascii="Arial" w:eastAsia="Times New Roman" w:hAnsi="Arial" w:cs="Arial"/>
          <w:szCs w:val="28"/>
          <w:lang w:eastAsia="ru-RU"/>
        </w:rPr>
        <w:lastRenderedPageBreak/>
        <w:t>рішення суду. ЄСПЛ у ряді справ (наприклад, Altan v. Turkey, Baş v. Turkey) визнав, що такі заходи повинні відповідати критеріям законності, необхідності і пропорційності [2;3].</w:t>
      </w:r>
    </w:p>
    <w:p w14:paraId="1554417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Також цікавим прикладом доступу до правосуддя в Ізраїлі під час тривалих надзвичайних станів (у зв’язку з воєнними конфліктами та терористичними загрозами). Там дозволяються певні обмеження доступу до правосуддя, зокрема через практику адміністративного затримання без негайного пред’явлення обвинувачення. Однак Верховний суд Ізраїлю неодноразово ухвалював рішення, які підкреслюють необхідність судового перегляду таких заходів, навіть у ситуації загрози національній безпеці [4].</w:t>
      </w:r>
    </w:p>
    <w:p w14:paraId="5C5FEFAE" w14:textId="0CCF22BE"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сучасних умовах приклад України демонструє пристосування національної судової системи до викликів війни. Треба зазначити, що в нашому законодавстві на рівні Конституції України, а саме ст. 64 Конституції забороняється обмежувати право на захист судом своїх прав і свобод під час воєнних дій [5]. Також відповідно до статті 10 Закону України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Про правовий режим воєнного стану</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суди мають право зберігати свої повноваження. У період збройного конфлікту суди продовжують функціонувати, адаптуючи свою діяльність до викликів. Зокрема, виключається можливість впровадження скорочених або прискорених процедур, та</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створення надзвичайних, особливих або будь-яких інших судів; може змінюватися територіальна підсудність або розташування судів, а розгляд справ може бути призупинено у випадках, коли існує загроза життю або безпеці учасників процесу; забезпечується можливість проведення судових засідань у форматі відеоконференції</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[6].</w:t>
      </w:r>
    </w:p>
    <w:p w14:paraId="677ADFA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Розглянемо детальніше таке явище як зміна територіальної підсудності справи . Через активні бойові дії та окупацію територій створюються значні труднощі у функціонуванні судової системи, адже суди, що опинилися на непідконтрольних територіях, втрачають можливість здійснювати правосуддя. У зв’язку з цим Голова Верховного Суду ухвалив рішення про зміну територіальної підсудності справ. Такі справи передаються до найближчих судів у регіонах, що залишаються під контролем держави та мають можливість здійснювати правосуддя. Це стало можливим завдяки змінам до статті 147 Закону України "Про судоустрій і статус суддів". Згідно з чинною редакцією, якщо суд не може виконувати свої функції через воєнні дії, стихійні лиха чи інші надзвичайні обставини, його підсудність змінюється за рішенням Вищої ради правосуддя за поданням Голови Верховного Суду [7].</w:t>
      </w:r>
    </w:p>
    <w:p w14:paraId="6FE38DD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навіть у складних умовах окупації держава вживає заходів для збереження доступу громадян до судового захисту. Перерозподіл територіальної підсудності справ дозволяє мінімізувати наслідки кризових ситуацій та гарантує функціонування правової системи там, де це можливо.</w:t>
      </w:r>
    </w:p>
    <w:p w14:paraId="07C47DF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lastRenderedPageBreak/>
        <w:t xml:space="preserve">Важливим досягненням України стало впровадження Електронного суду, який забезпечує доступ до правосуддя навіть за кризових умов. Система «Електронний суд» надає учасникам судового процесу можливість оперативного подання процесуальних документів, таких як позовні заяви або клопотання, в електронному форматі. Одразу після відправки документи фіксуються у системі, а їхній розгляд можна відстежувати через особистий електронний кабінет. Крім того, система сповіщає про зміни у статусі справи за допомогою повідомлень на мобільний телефон та електронну пошту, вказані при реєстрації. Такий підхід значно спрощує взаємодію між учасниками процесу та судовими органами, забезпечуючи прозорість і доступність процедур </w:t>
      </w:r>
      <w:r w:rsidRPr="00511005">
        <w:rPr>
          <w:rFonts w:ascii="Arial" w:eastAsia="Times New Roman" w:hAnsi="Arial" w:cs="Arial"/>
          <w:szCs w:val="28"/>
          <w:lang w:eastAsia="ru-RU"/>
        </w:rPr>
        <w:t>[8].</w:t>
      </w:r>
    </w:p>
    <w:p w14:paraId="1820598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Тому, можна зробити висновок, що Україна виконує покладені на неї зобов’язання щодо забезпечення права на справедливий суд, навіть у найскладніших умовах.</w:t>
      </w:r>
    </w:p>
    <w:p w14:paraId="2C1639E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Ще одним важливим аспектом, який потрібно розглянути, є дотримання судами України процесуальних строків у період воєнного стану. Аналіз судової практики засвідчує, що саме лише посилання на факт впровадження на території України воєнного стану не є безумовною підставою для поновлення процесуального строку у справі, сторони по справі повинні обґрунтувати як само обставини воєнного стану вплинули на пропуск процесуального строку. Окремої уваги заслуговує відкладення розгляду справи у зв’язку з воєнним станом. Запровадження воєнного стану призвело до змін у розгляді судових справ. На початку вторгнення засідання проходили лише у західних частинах країни, тоді як у інших регіонах судові розгляди переносилися, окрім кримінальних справ щодо взяття під варту або продовження утримання під вартою </w:t>
      </w:r>
      <w:r w:rsidRPr="00511005">
        <w:rPr>
          <w:rFonts w:ascii="Arial" w:eastAsia="Times New Roman" w:hAnsi="Arial" w:cs="Arial"/>
          <w:szCs w:val="28"/>
          <w:lang w:eastAsia="ru-RU"/>
        </w:rPr>
        <w:t>[9].</w:t>
      </w:r>
    </w:p>
    <w:p w14:paraId="6BB8017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Тобто, воєнний стан не є автоматичною підставою для поновлення процесуальних строків, і сторони мають довести, чи обставини війни вплинули на їх пропуск. Такий підхід спрямований на забезпечення справедливості та процесуальної дисципліни навіть у воєнних обставинах. </w:t>
      </w:r>
    </w:p>
    <w:p w14:paraId="0D1C6AE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Підсумовуючи, можна сказати, що ефективне забезпечення права на справедливий суд є критично важливим для збереження верховенства права навіть у воєнних умовах. Україна, стикаючись із викликами війни, запровадила дієві правові механізми, які дозволяють судовій системі функціонувати, адаптуватись до реалій та зберігати доступ громадян до правосуддя. Інтеграція цифрових технологій, таких як Електронний суд, разом зі змінами територіальної підсудності забезпечила прозорість, оперативність і стійкість судового процесу. </w:t>
      </w:r>
    </w:p>
    <w:p w14:paraId="163DD665" w14:textId="77777777" w:rsidR="00220D3E" w:rsidRPr="00511005" w:rsidRDefault="00220D3E" w:rsidP="003A292D">
      <w:pPr>
        <w:tabs>
          <w:tab w:val="left" w:pos="709"/>
        </w:tabs>
        <w:spacing w:line="264" w:lineRule="auto"/>
        <w:jc w:val="center"/>
        <w:rPr>
          <w:rFonts w:ascii="Arial" w:eastAsia="Times New Roman" w:hAnsi="Arial" w:cs="Arial"/>
          <w:b/>
          <w:iCs/>
          <w:szCs w:val="28"/>
          <w:lang w:val="uk-UA" w:eastAsia="ru-RU"/>
        </w:rPr>
      </w:pPr>
    </w:p>
    <w:p w14:paraId="5D569630" w14:textId="535F67F2" w:rsidR="00220D3E" w:rsidRPr="00511005" w:rsidRDefault="007B2628" w:rsidP="007B2628">
      <w:pPr>
        <w:tabs>
          <w:tab w:val="left" w:pos="709"/>
        </w:tabs>
        <w:spacing w:line="264" w:lineRule="auto"/>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5DCCA3CD" w14:textId="77777777" w:rsidR="00220D3E" w:rsidRPr="00511005" w:rsidRDefault="00220D3E" w:rsidP="003A292D">
      <w:pPr>
        <w:tabs>
          <w:tab w:val="left" w:pos="709"/>
        </w:tabs>
        <w:spacing w:line="264" w:lineRule="auto"/>
        <w:rPr>
          <w:rFonts w:ascii="Arial" w:eastAsia="Times New Roman" w:hAnsi="Arial" w:cs="Arial"/>
          <w:bCs/>
          <w:iCs/>
          <w:szCs w:val="28"/>
          <w:lang w:eastAsia="ru-RU"/>
        </w:rPr>
      </w:pPr>
      <w:r w:rsidRPr="00511005">
        <w:rPr>
          <w:rFonts w:ascii="Arial" w:eastAsia="Times New Roman" w:hAnsi="Arial" w:cs="Arial"/>
          <w:bCs/>
          <w:iCs/>
          <w:szCs w:val="28"/>
          <w:lang w:eastAsia="ru-RU"/>
        </w:rPr>
        <w:t>1.</w:t>
      </w:r>
      <w:r w:rsidRPr="00511005">
        <w:rPr>
          <w:rFonts w:ascii="Arial" w:eastAsia="Times New Roman" w:hAnsi="Arial" w:cs="Arial"/>
          <w:szCs w:val="28"/>
          <w:lang w:eastAsia="ru-RU"/>
        </w:rPr>
        <w:t xml:space="preserve"> </w:t>
      </w:r>
      <w:r w:rsidRPr="00511005">
        <w:rPr>
          <w:rFonts w:ascii="Arial" w:eastAsia="Times New Roman" w:hAnsi="Arial" w:cs="Arial"/>
          <w:bCs/>
          <w:iCs/>
          <w:szCs w:val="28"/>
          <w:lang w:eastAsia="ru-RU"/>
        </w:rPr>
        <w:t xml:space="preserve">Конвенція про захист прав людини і основоположних свобод: </w:t>
      </w:r>
      <w:proofErr w:type="gramStart"/>
      <w:r w:rsidRPr="00511005">
        <w:rPr>
          <w:rFonts w:ascii="Arial" w:eastAsia="Times New Roman" w:hAnsi="Arial" w:cs="Arial"/>
          <w:bCs/>
          <w:iCs/>
          <w:szCs w:val="28"/>
          <w:lang w:eastAsia="ru-RU"/>
        </w:rPr>
        <w:t>Конвенція</w:t>
      </w:r>
      <w:proofErr w:type="gramEnd"/>
      <w:r w:rsidRPr="00511005">
        <w:rPr>
          <w:rFonts w:ascii="Arial" w:eastAsia="Times New Roman" w:hAnsi="Arial" w:cs="Arial"/>
          <w:bCs/>
          <w:iCs/>
          <w:szCs w:val="28"/>
          <w:lang w:eastAsia="ru-RU"/>
        </w:rPr>
        <w:t xml:space="preserve"> Ради Європи від 04.11.1950: станом на 1 серп. 2021 р. </w:t>
      </w:r>
      <w:r w:rsidRPr="00511005">
        <w:rPr>
          <w:rFonts w:ascii="Arial" w:eastAsia="Times New Roman" w:hAnsi="Arial" w:cs="Arial"/>
          <w:bCs/>
          <w:iCs/>
          <w:szCs w:val="28"/>
          <w:lang w:eastAsia="ru-RU"/>
        </w:rPr>
        <w:lastRenderedPageBreak/>
        <w:t>URL: </w:t>
      </w:r>
      <w:hyperlink r:id="rId256" w:anchor="Text" w:tgtFrame="_blank" w:history="1">
        <w:r w:rsidRPr="00511005">
          <w:rPr>
            <w:rFonts w:ascii="Arial" w:eastAsia="Times New Roman" w:hAnsi="Arial" w:cs="Arial"/>
            <w:bCs/>
            <w:iCs/>
            <w:szCs w:val="28"/>
            <w:lang w:eastAsia="ru-RU"/>
          </w:rPr>
          <w:t>https://zakon.rada.gov.ua/laws/show/995_004#Text</w:t>
        </w:r>
      </w:hyperlink>
      <w:r w:rsidRPr="00511005">
        <w:rPr>
          <w:rFonts w:ascii="Arial" w:eastAsia="Times New Roman" w:hAnsi="Arial" w:cs="Arial"/>
          <w:bCs/>
          <w:iCs/>
          <w:szCs w:val="28"/>
          <w:lang w:eastAsia="ru-RU"/>
        </w:rPr>
        <w:t> (дата звернення: 28.04.2025).</w:t>
      </w:r>
    </w:p>
    <w:p w14:paraId="0EB4CCB0" w14:textId="714CAC28"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en-US" w:eastAsia="ru-RU"/>
        </w:rPr>
        <w:t xml:space="preserve">2. </w:t>
      </w:r>
      <w:r w:rsidRPr="00511005">
        <w:rPr>
          <w:rFonts w:ascii="Arial" w:eastAsia="Times New Roman" w:hAnsi="Arial" w:cs="Arial"/>
          <w:bCs/>
          <w:iCs/>
          <w:szCs w:val="28"/>
          <w:lang w:eastAsia="ru-RU"/>
        </w:rPr>
        <w:t>ЄСПЛ</w:t>
      </w:r>
      <w:r w:rsidRPr="00511005">
        <w:rPr>
          <w:rFonts w:ascii="Arial" w:eastAsia="Times New Roman" w:hAnsi="Arial" w:cs="Arial"/>
          <w:bCs/>
          <w:iCs/>
          <w:szCs w:val="28"/>
          <w:lang w:val="en-US" w:eastAsia="ru-RU"/>
        </w:rPr>
        <w:t>. (2018). Case of Mehmet Hasan Altan v. Turkey (No. 13237/17)//https://hudoc.echr.coe.int/app/conversion/docx/pdf?library=ECHR&amp;id=001-181862&amp;filename=CASE%20OF%20MEHMET%20HASAN%20ALTAN%20v.%20TURKEY.pdf</w:t>
      </w:r>
      <w:r w:rsidR="007B2628" w:rsidRPr="00511005">
        <w:rPr>
          <w:rFonts w:ascii="Arial" w:eastAsia="Times New Roman" w:hAnsi="Arial" w:cs="Arial"/>
          <w:bCs/>
          <w:iCs/>
          <w:szCs w:val="28"/>
          <w:lang w:val="en-US" w:eastAsia="ru-RU"/>
        </w:rPr>
        <w:t xml:space="preserve"> </w:t>
      </w:r>
    </w:p>
    <w:p w14:paraId="491D2DEA"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3. ЄСПЛ.</w:t>
      </w:r>
      <w:r w:rsidRPr="00511005">
        <w:rPr>
          <w:rFonts w:ascii="Arial" w:eastAsia="Times New Roman" w:hAnsi="Arial" w:cs="Arial"/>
          <w:bCs/>
          <w:iCs/>
          <w:szCs w:val="28"/>
          <w:lang w:val="en-US" w:eastAsia="ru-RU"/>
        </w:rPr>
        <w:t xml:space="preserve"> (2020).</w:t>
      </w:r>
      <w:r w:rsidRPr="00511005">
        <w:rPr>
          <w:rFonts w:ascii="Arial" w:eastAsia="Times New Roman" w:hAnsi="Arial" w:cs="Arial"/>
          <w:b/>
          <w:bCs/>
          <w:szCs w:val="28"/>
          <w:shd w:val="clear" w:color="auto" w:fill="FFFFFF"/>
          <w:lang w:val="en-US" w:eastAsia="ru-RU"/>
        </w:rPr>
        <w:t xml:space="preserve"> </w:t>
      </w:r>
      <w:r w:rsidRPr="00511005">
        <w:rPr>
          <w:rFonts w:ascii="Arial" w:eastAsia="Times New Roman" w:hAnsi="Arial" w:cs="Arial"/>
          <w:iCs/>
          <w:szCs w:val="28"/>
          <w:lang w:val="en-US" w:eastAsia="ru-RU"/>
        </w:rPr>
        <w:t>The case of Baş v. Turkey</w:t>
      </w:r>
      <w:r w:rsidRPr="00511005">
        <w:rPr>
          <w:rFonts w:ascii="Arial" w:eastAsia="Times New Roman" w:hAnsi="Arial" w:cs="Arial"/>
          <w:b/>
          <w:bCs/>
          <w:iCs/>
          <w:szCs w:val="28"/>
          <w:lang w:val="en-US" w:eastAsia="ru-RU"/>
        </w:rPr>
        <w:t>//</w:t>
      </w:r>
      <w:r w:rsidRPr="00511005">
        <w:rPr>
          <w:rFonts w:ascii="Arial" w:eastAsia="Times New Roman" w:hAnsi="Arial" w:cs="Arial"/>
          <w:bCs/>
          <w:iCs/>
          <w:szCs w:val="28"/>
          <w:lang w:val="uk-UA" w:eastAsia="ru-RU"/>
        </w:rPr>
        <w:t xml:space="preserve"> </w:t>
      </w:r>
      <w:hyperlink r:id="rId257" w:anchor="{&quot;itemid&quot;:[&quot;001-201761&quot;]}" w:history="1">
        <w:r w:rsidRPr="00511005">
          <w:rPr>
            <w:rFonts w:ascii="Arial" w:eastAsia="Times New Roman" w:hAnsi="Arial" w:cs="Arial"/>
            <w:bCs/>
            <w:iCs/>
            <w:szCs w:val="28"/>
            <w:lang w:val="uk-UA" w:eastAsia="ru-RU"/>
          </w:rPr>
          <w:t>https://hudoc.echr.coe.int/fre#{"itemid":["001-201761"]}</w:t>
        </w:r>
      </w:hyperlink>
      <w:r w:rsidRPr="00511005">
        <w:rPr>
          <w:rFonts w:ascii="Arial" w:eastAsia="Times New Roman" w:hAnsi="Arial" w:cs="Arial"/>
          <w:bCs/>
          <w:iCs/>
          <w:szCs w:val="28"/>
          <w:lang w:val="uk-UA" w:eastAsia="ru-RU"/>
        </w:rPr>
        <w:t xml:space="preserve"> </w:t>
      </w:r>
    </w:p>
    <w:p w14:paraId="7F7749C3" w14:textId="77777777" w:rsidR="00220D3E" w:rsidRPr="00511005" w:rsidRDefault="00220D3E" w:rsidP="003A292D">
      <w:pPr>
        <w:tabs>
          <w:tab w:val="left" w:pos="709"/>
        </w:tabs>
        <w:spacing w:line="264" w:lineRule="auto"/>
        <w:rPr>
          <w:rFonts w:ascii="Arial" w:eastAsia="Times New Roman" w:hAnsi="Arial" w:cs="Arial"/>
          <w:bCs/>
          <w:iCs/>
          <w:szCs w:val="28"/>
          <w:lang w:val="en-US" w:eastAsia="ru-RU"/>
        </w:rPr>
      </w:pPr>
      <w:r w:rsidRPr="00511005">
        <w:rPr>
          <w:rFonts w:ascii="Arial" w:eastAsia="Times New Roman" w:hAnsi="Arial" w:cs="Arial"/>
          <w:bCs/>
          <w:iCs/>
          <w:szCs w:val="28"/>
          <w:lang w:val="uk-UA" w:eastAsia="ru-RU"/>
        </w:rPr>
        <w:t>4</w:t>
      </w:r>
      <w:r w:rsidRPr="00511005">
        <w:rPr>
          <w:rFonts w:ascii="Arial" w:eastAsia="Times New Roman" w:hAnsi="Arial" w:cs="Arial"/>
          <w:bCs/>
          <w:iCs/>
          <w:szCs w:val="28"/>
          <w:lang w:val="en-US" w:eastAsia="ru-RU"/>
        </w:rPr>
        <w:t>. The Fluid Jurisprudence of Israel's Emergency Powers: Legal Patchwork as a Governing Norm. </w:t>
      </w:r>
      <w:r w:rsidRPr="00511005">
        <w:rPr>
          <w:rFonts w:ascii="Arial" w:eastAsia="Times New Roman" w:hAnsi="Arial" w:cs="Arial"/>
          <w:bCs/>
          <w:i/>
          <w:iCs/>
          <w:szCs w:val="28"/>
          <w:lang w:val="en-US" w:eastAsia="ru-RU"/>
        </w:rPr>
        <w:t>Law &amp; Society Review</w:t>
      </w:r>
      <w:r w:rsidRPr="00511005">
        <w:rPr>
          <w:rFonts w:ascii="Arial" w:eastAsia="Times New Roman" w:hAnsi="Arial" w:cs="Arial"/>
          <w:bCs/>
          <w:iCs/>
          <w:szCs w:val="28"/>
          <w:lang w:val="en-US" w:eastAsia="ru-RU"/>
        </w:rPr>
        <w:t>. URL: </w:t>
      </w:r>
      <w:hyperlink r:id="rId258" w:tgtFrame="_blank" w:history="1">
        <w:r w:rsidRPr="00511005">
          <w:rPr>
            <w:rFonts w:ascii="Arial" w:eastAsia="Times New Roman" w:hAnsi="Arial" w:cs="Arial"/>
            <w:bCs/>
            <w:iCs/>
            <w:szCs w:val="28"/>
            <w:lang w:val="en-US" w:eastAsia="ru-RU"/>
          </w:rPr>
          <w:t>https://www.cambridge.org/core/journals/law-and-society-review/article/abs/fluid-jurisprudence-of-israels-emergency-powers-legal-patchwork-as-a-governing-norm/3789A99C028EE768B4B3B43C2391C4FA</w:t>
        </w:r>
      </w:hyperlink>
      <w:r w:rsidRPr="00511005">
        <w:rPr>
          <w:rFonts w:ascii="Arial" w:eastAsia="Times New Roman" w:hAnsi="Arial" w:cs="Arial"/>
          <w:bCs/>
          <w:iCs/>
          <w:szCs w:val="28"/>
          <w:lang w:val="en-US" w:eastAsia="ru-RU"/>
        </w:rPr>
        <w:t> (date of access: 28.04.2025).</w:t>
      </w:r>
    </w:p>
    <w:p w14:paraId="1E55C34A"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eastAsia="ru-RU"/>
        </w:rPr>
        <w:t>5</w:t>
      </w:r>
      <w:r w:rsidRPr="00511005">
        <w:rPr>
          <w:rFonts w:ascii="Arial" w:eastAsia="Times New Roman" w:hAnsi="Arial" w:cs="Arial"/>
          <w:bCs/>
          <w:iCs/>
          <w:szCs w:val="28"/>
          <w:lang w:val="uk-UA" w:eastAsia="ru-RU"/>
        </w:rPr>
        <w:t xml:space="preserve">. </w:t>
      </w:r>
      <w:r w:rsidRPr="00511005">
        <w:rPr>
          <w:rFonts w:ascii="Arial" w:eastAsia="Times New Roman" w:hAnsi="Arial" w:cs="Arial"/>
          <w:bCs/>
          <w:iCs/>
          <w:szCs w:val="28"/>
          <w:lang w:eastAsia="ru-RU"/>
        </w:rPr>
        <w:t>Конституція України: від 28.06.1996 № 254к/96-ВР: станом на 1 січ. 2020 р. URL: </w:t>
      </w:r>
      <w:hyperlink r:id="rId259" w:anchor="Text" w:tgtFrame="_blank" w:history="1">
        <w:r w:rsidRPr="00511005">
          <w:rPr>
            <w:rFonts w:ascii="Arial" w:eastAsia="Times New Roman" w:hAnsi="Arial" w:cs="Arial"/>
            <w:bCs/>
            <w:iCs/>
            <w:szCs w:val="28"/>
            <w:lang w:eastAsia="ru-RU"/>
          </w:rPr>
          <w:t>https://zakon.rada.gov.ua/laws/show/254к/96-вр#Text</w:t>
        </w:r>
      </w:hyperlink>
      <w:r w:rsidRPr="00511005">
        <w:rPr>
          <w:rFonts w:ascii="Arial" w:eastAsia="Times New Roman" w:hAnsi="Arial" w:cs="Arial"/>
          <w:bCs/>
          <w:iCs/>
          <w:szCs w:val="28"/>
          <w:lang w:eastAsia="ru-RU"/>
        </w:rPr>
        <w:t> (дата звернення: 28.04.2025).</w:t>
      </w:r>
    </w:p>
    <w:p w14:paraId="5B31B4B0"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eastAsia="ru-RU"/>
        </w:rPr>
        <w:t>6</w:t>
      </w:r>
      <w:r w:rsidRPr="00511005">
        <w:rPr>
          <w:rFonts w:ascii="Arial" w:eastAsia="Times New Roman" w:hAnsi="Arial" w:cs="Arial"/>
          <w:bCs/>
          <w:iCs/>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bCs/>
          <w:iCs/>
          <w:szCs w:val="28"/>
          <w:lang w:eastAsia="ru-RU"/>
        </w:rPr>
        <w:t>Про правовий режим воєнного стану: Закон України від 12.05.2015 № 389-</w:t>
      </w:r>
      <w:proofErr w:type="gramStart"/>
      <w:r w:rsidRPr="00511005">
        <w:rPr>
          <w:rFonts w:ascii="Arial" w:eastAsia="Times New Roman" w:hAnsi="Arial" w:cs="Arial"/>
          <w:bCs/>
          <w:iCs/>
          <w:szCs w:val="28"/>
          <w:lang w:eastAsia="ru-RU"/>
        </w:rPr>
        <w:t>VIII :</w:t>
      </w:r>
      <w:proofErr w:type="gramEnd"/>
      <w:r w:rsidRPr="00511005">
        <w:rPr>
          <w:rFonts w:ascii="Arial" w:eastAsia="Times New Roman" w:hAnsi="Arial" w:cs="Arial"/>
          <w:bCs/>
          <w:iCs/>
          <w:szCs w:val="28"/>
          <w:lang w:eastAsia="ru-RU"/>
        </w:rPr>
        <w:t xml:space="preserve"> станом на 8 лют. 2025 р. URL: </w:t>
      </w:r>
      <w:hyperlink r:id="rId260" w:anchor="Text" w:tgtFrame="_blank" w:history="1">
        <w:r w:rsidRPr="00511005">
          <w:rPr>
            <w:rFonts w:ascii="Arial" w:eastAsia="Times New Roman" w:hAnsi="Arial" w:cs="Arial"/>
            <w:bCs/>
            <w:iCs/>
            <w:szCs w:val="28"/>
            <w:lang w:eastAsia="ru-RU"/>
          </w:rPr>
          <w:t>https://zakon.rada.gov.ua/laws/show/389-19#Text</w:t>
        </w:r>
      </w:hyperlink>
      <w:r w:rsidRPr="00511005">
        <w:rPr>
          <w:rFonts w:ascii="Arial" w:eastAsia="Times New Roman" w:hAnsi="Arial" w:cs="Arial"/>
          <w:bCs/>
          <w:iCs/>
          <w:szCs w:val="28"/>
          <w:lang w:eastAsia="ru-RU"/>
        </w:rPr>
        <w:t> (дата звернення: 28.04.2025).</w:t>
      </w:r>
    </w:p>
    <w:p w14:paraId="1CEDB6BB" w14:textId="77777777" w:rsidR="00220D3E" w:rsidRPr="00511005" w:rsidRDefault="00220D3E" w:rsidP="003A292D">
      <w:pPr>
        <w:tabs>
          <w:tab w:val="left" w:pos="709"/>
        </w:tabs>
        <w:spacing w:line="264" w:lineRule="auto"/>
        <w:rPr>
          <w:rFonts w:ascii="Arial" w:eastAsia="Times New Roman" w:hAnsi="Arial" w:cs="Arial"/>
          <w:bCs/>
          <w:iCs/>
          <w:szCs w:val="28"/>
          <w:lang w:eastAsia="ru-RU"/>
        </w:rPr>
      </w:pPr>
      <w:r w:rsidRPr="00511005">
        <w:rPr>
          <w:rFonts w:ascii="Arial" w:eastAsia="Times New Roman" w:hAnsi="Arial" w:cs="Arial"/>
          <w:bCs/>
          <w:iCs/>
          <w:szCs w:val="28"/>
          <w:lang w:eastAsia="ru-RU"/>
        </w:rPr>
        <w:t>7</w:t>
      </w:r>
      <w:r w:rsidRPr="00511005">
        <w:rPr>
          <w:rFonts w:ascii="Arial" w:eastAsia="Times New Roman" w:hAnsi="Arial" w:cs="Arial"/>
          <w:bCs/>
          <w:iCs/>
          <w:szCs w:val="28"/>
          <w:lang w:val="uk-UA" w:eastAsia="ru-RU"/>
        </w:rPr>
        <w:t xml:space="preserve">. </w:t>
      </w:r>
      <w:r w:rsidRPr="00511005">
        <w:rPr>
          <w:rFonts w:ascii="Arial" w:eastAsia="Times New Roman" w:hAnsi="Arial" w:cs="Arial"/>
          <w:bCs/>
          <w:iCs/>
          <w:szCs w:val="28"/>
          <w:lang w:eastAsia="ru-RU"/>
        </w:rPr>
        <w:t>Про судоустрій і статус суддів: Закон України від 02.06.2016 № 1402-VIII: станом на 25 квіт. 2025 р. URL: </w:t>
      </w:r>
      <w:hyperlink r:id="rId261" w:anchor="Text" w:tgtFrame="_blank" w:history="1">
        <w:r w:rsidRPr="00511005">
          <w:rPr>
            <w:rFonts w:ascii="Arial" w:eastAsia="Times New Roman" w:hAnsi="Arial" w:cs="Arial"/>
            <w:bCs/>
            <w:iCs/>
            <w:szCs w:val="28"/>
            <w:lang w:eastAsia="ru-RU"/>
          </w:rPr>
          <w:t>https://zakon.rada.gov.ua/laws/show/1402-19#Text</w:t>
        </w:r>
      </w:hyperlink>
      <w:r w:rsidRPr="00511005">
        <w:rPr>
          <w:rFonts w:ascii="Arial" w:eastAsia="Times New Roman" w:hAnsi="Arial" w:cs="Arial"/>
          <w:bCs/>
          <w:iCs/>
          <w:szCs w:val="28"/>
          <w:lang w:eastAsia="ru-RU"/>
        </w:rPr>
        <w:t> (дата звернення: 28.04.2025).</w:t>
      </w:r>
    </w:p>
    <w:p w14:paraId="6687E1E6" w14:textId="77777777" w:rsidR="00220D3E" w:rsidRPr="00511005" w:rsidRDefault="00220D3E" w:rsidP="003A292D">
      <w:pPr>
        <w:tabs>
          <w:tab w:val="left" w:pos="709"/>
        </w:tabs>
        <w:spacing w:line="264" w:lineRule="auto"/>
        <w:rPr>
          <w:rFonts w:ascii="Arial" w:eastAsia="Times New Roman" w:hAnsi="Arial" w:cs="Arial"/>
          <w:bCs/>
          <w:iCs/>
          <w:szCs w:val="28"/>
          <w:lang w:eastAsia="ru-RU"/>
        </w:rPr>
      </w:pPr>
      <w:r w:rsidRPr="00511005">
        <w:rPr>
          <w:rFonts w:ascii="Arial" w:eastAsia="Times New Roman" w:hAnsi="Arial" w:cs="Arial"/>
          <w:bCs/>
          <w:iCs/>
          <w:szCs w:val="28"/>
          <w:lang w:eastAsia="ru-RU"/>
        </w:rPr>
        <w:t xml:space="preserve">8. </w:t>
      </w:r>
      <w:r w:rsidRPr="00511005">
        <w:rPr>
          <w:rFonts w:ascii="Arial" w:eastAsia="Times New Roman" w:hAnsi="Arial" w:cs="Arial"/>
          <w:bCs/>
          <w:szCs w:val="28"/>
          <w:lang w:eastAsia="ru-RU"/>
        </w:rPr>
        <w:t>Електронний суд.</w:t>
      </w:r>
      <w:r w:rsidRPr="00511005">
        <w:rPr>
          <w:rFonts w:ascii="Arial" w:eastAsia="Times New Roman" w:hAnsi="Arial" w:cs="Arial"/>
          <w:bCs/>
          <w:iCs/>
          <w:szCs w:val="28"/>
          <w:lang w:eastAsia="ru-RU"/>
        </w:rPr>
        <w:t xml:space="preserve"> URL: </w:t>
      </w:r>
      <w:hyperlink r:id="rId262" w:tgtFrame="_blank" w:history="1">
        <w:r w:rsidRPr="00511005">
          <w:rPr>
            <w:rFonts w:ascii="Arial" w:eastAsia="Times New Roman" w:hAnsi="Arial" w:cs="Arial"/>
            <w:bCs/>
            <w:iCs/>
            <w:szCs w:val="28"/>
            <w:lang w:eastAsia="ru-RU"/>
          </w:rPr>
          <w:t>https://id.court.gov.ua</w:t>
        </w:r>
      </w:hyperlink>
      <w:r w:rsidRPr="00511005">
        <w:rPr>
          <w:rFonts w:ascii="Arial" w:eastAsia="Times New Roman" w:hAnsi="Arial" w:cs="Arial"/>
          <w:bCs/>
          <w:iCs/>
          <w:szCs w:val="28"/>
          <w:lang w:eastAsia="ru-RU"/>
        </w:rPr>
        <w:t> (дата звернення: 28.04.2025).</w:t>
      </w:r>
    </w:p>
    <w:p w14:paraId="05F216B7" w14:textId="77777777" w:rsidR="00220D3E" w:rsidRPr="00511005" w:rsidRDefault="00220D3E" w:rsidP="003A292D">
      <w:pPr>
        <w:tabs>
          <w:tab w:val="left" w:pos="709"/>
        </w:tabs>
        <w:spacing w:line="264" w:lineRule="auto"/>
        <w:rPr>
          <w:rFonts w:ascii="Arial" w:eastAsia="Times New Roman" w:hAnsi="Arial" w:cs="Arial"/>
          <w:bCs/>
          <w:iCs/>
          <w:szCs w:val="28"/>
          <w:lang w:eastAsia="ru-RU"/>
        </w:rPr>
      </w:pPr>
      <w:r w:rsidRPr="00511005">
        <w:rPr>
          <w:rFonts w:ascii="Arial" w:eastAsia="Times New Roman" w:hAnsi="Arial" w:cs="Arial"/>
          <w:bCs/>
          <w:iCs/>
          <w:szCs w:val="28"/>
          <w:lang w:eastAsia="ru-RU"/>
        </w:rPr>
        <w:t>9. Адвокат Народу</w:t>
      </w:r>
      <w:r w:rsidRPr="00511005">
        <w:rPr>
          <w:rFonts w:ascii="Arial" w:eastAsia="Times New Roman" w:hAnsi="Arial" w:cs="Arial"/>
          <w:bCs/>
          <w:iCs/>
          <w:szCs w:val="28"/>
          <w:lang w:val="uk-UA" w:eastAsia="ru-RU"/>
        </w:rPr>
        <w:t>/</w:t>
      </w:r>
      <w:r w:rsidRPr="00511005">
        <w:rPr>
          <w:rFonts w:ascii="Arial" w:eastAsia="Times New Roman" w:hAnsi="Arial" w:cs="Arial"/>
          <w:bCs/>
          <w:iCs/>
          <w:szCs w:val="28"/>
          <w:lang w:eastAsia="ru-RU"/>
        </w:rPr>
        <w:t>Сервіс пошуку юристів. </w:t>
      </w:r>
      <w:r w:rsidRPr="00511005">
        <w:rPr>
          <w:rFonts w:ascii="Arial" w:eastAsia="Times New Roman" w:hAnsi="Arial" w:cs="Arial"/>
          <w:bCs/>
          <w:i/>
          <w:iCs/>
          <w:szCs w:val="28"/>
          <w:lang w:eastAsia="ru-RU"/>
        </w:rPr>
        <w:t>advokat-narodu.com</w:t>
      </w:r>
      <w:r w:rsidRPr="00511005">
        <w:rPr>
          <w:rFonts w:ascii="Arial" w:eastAsia="Times New Roman" w:hAnsi="Arial" w:cs="Arial"/>
          <w:bCs/>
          <w:iCs/>
          <w:szCs w:val="28"/>
          <w:lang w:eastAsia="ru-RU"/>
        </w:rPr>
        <w:t>. URL: </w:t>
      </w:r>
      <w:hyperlink r:id="rId263" w:tgtFrame="_blank" w:history="1">
        <w:r w:rsidRPr="00511005">
          <w:rPr>
            <w:rFonts w:ascii="Arial" w:eastAsia="Times New Roman" w:hAnsi="Arial" w:cs="Arial"/>
            <w:bCs/>
            <w:iCs/>
            <w:szCs w:val="28"/>
            <w:lang w:eastAsia="ru-RU"/>
          </w:rPr>
          <w:t>https://advokat-narodu.com/blog/grazdanskoe-pravo/procesualni-stroki-u-period-vojennogo-stanu</w:t>
        </w:r>
      </w:hyperlink>
      <w:r w:rsidRPr="00511005">
        <w:rPr>
          <w:rFonts w:ascii="Arial" w:eastAsia="Times New Roman" w:hAnsi="Arial" w:cs="Arial"/>
          <w:bCs/>
          <w:iCs/>
          <w:szCs w:val="28"/>
          <w:lang w:eastAsia="ru-RU"/>
        </w:rPr>
        <w:t> (дата звернення: 28.04.2025).</w:t>
      </w:r>
    </w:p>
    <w:p w14:paraId="335E1C02" w14:textId="77777777" w:rsidR="00220D3E" w:rsidRPr="00511005" w:rsidRDefault="00220D3E" w:rsidP="003A292D">
      <w:pPr>
        <w:tabs>
          <w:tab w:val="left" w:pos="709"/>
        </w:tabs>
        <w:spacing w:line="264" w:lineRule="auto"/>
        <w:rPr>
          <w:rFonts w:ascii="Arial" w:eastAsia="Times New Roman" w:hAnsi="Arial" w:cs="Arial"/>
          <w:b/>
          <w:bCs/>
          <w:iCs/>
          <w:szCs w:val="28"/>
          <w:lang w:eastAsia="ru-RU"/>
        </w:rPr>
      </w:pPr>
    </w:p>
    <w:p w14:paraId="3C65550A" w14:textId="028DED7C" w:rsidR="00220D3E" w:rsidRPr="00511005" w:rsidRDefault="007B2628"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
          <w:bCs/>
          <w:i/>
          <w:iCs/>
          <w:szCs w:val="28"/>
          <w:lang w:val="uk-UA" w:eastAsia="ru-RU"/>
        </w:rPr>
        <w:t xml:space="preserve">Ключові слова: </w:t>
      </w:r>
      <w:r w:rsidR="00220D3E" w:rsidRPr="00511005">
        <w:rPr>
          <w:rFonts w:ascii="Arial" w:eastAsia="Times New Roman" w:hAnsi="Arial" w:cs="Arial"/>
          <w:iCs/>
          <w:szCs w:val="28"/>
          <w:lang w:val="uk-UA" w:eastAsia="ru-RU"/>
        </w:rPr>
        <w:t>право на справедливий суд</w:t>
      </w:r>
      <w:r w:rsidR="00220D3E" w:rsidRPr="00511005">
        <w:rPr>
          <w:rFonts w:ascii="Arial" w:eastAsia="Times New Roman" w:hAnsi="Arial" w:cs="Arial"/>
          <w:bCs/>
          <w:iCs/>
          <w:szCs w:val="28"/>
          <w:lang w:val="uk-UA" w:eastAsia="ru-RU"/>
        </w:rPr>
        <w:t>, воєнний стан, доступ до суду,</w:t>
      </w:r>
      <w:r w:rsidRPr="00511005">
        <w:rPr>
          <w:rFonts w:ascii="Arial" w:eastAsia="Times New Roman" w:hAnsi="Arial" w:cs="Arial"/>
          <w:bCs/>
          <w:iCs/>
          <w:szCs w:val="28"/>
          <w:lang w:val="uk-UA" w:eastAsia="ru-RU"/>
        </w:rPr>
        <w:t xml:space="preserve"> </w:t>
      </w:r>
      <w:r w:rsidR="00220D3E" w:rsidRPr="00511005">
        <w:rPr>
          <w:rFonts w:ascii="Arial" w:eastAsia="Times New Roman" w:hAnsi="Arial" w:cs="Arial"/>
          <w:bCs/>
          <w:iCs/>
          <w:szCs w:val="28"/>
          <w:lang w:val="uk-UA" w:eastAsia="ru-RU"/>
        </w:rPr>
        <w:t>права людини, право на захист, процесуальні строки.</w:t>
      </w:r>
    </w:p>
    <w:p w14:paraId="167C3215" w14:textId="047D2997" w:rsidR="00220D3E" w:rsidRPr="00511005" w:rsidRDefault="007B2628"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
          <w:bCs/>
          <w:i/>
          <w:iCs/>
          <w:szCs w:val="28"/>
          <w:lang w:val="en-US" w:eastAsia="ru-RU"/>
        </w:rPr>
        <w:t xml:space="preserve">Key words: </w:t>
      </w:r>
      <w:r w:rsidR="00220D3E" w:rsidRPr="00511005">
        <w:rPr>
          <w:rFonts w:ascii="Arial" w:eastAsia="Times New Roman" w:hAnsi="Arial" w:cs="Arial"/>
          <w:bCs/>
          <w:iCs/>
          <w:szCs w:val="28"/>
          <w:lang w:val="en-US" w:eastAsia="ru-RU"/>
        </w:rPr>
        <w:t>right to a fair trial, martial law, access to court, human rights, right to defense, procedural deadlines</w:t>
      </w:r>
      <w:r w:rsidR="00220D3E" w:rsidRPr="00511005">
        <w:rPr>
          <w:rFonts w:ascii="Arial" w:eastAsia="Times New Roman" w:hAnsi="Arial" w:cs="Arial"/>
          <w:bCs/>
          <w:iCs/>
          <w:szCs w:val="28"/>
          <w:lang w:val="uk-UA" w:eastAsia="ru-RU"/>
        </w:rPr>
        <w:t>.</w:t>
      </w:r>
    </w:p>
    <w:p w14:paraId="359A141D" w14:textId="72868393"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eastAsia="ru-RU"/>
        </w:rPr>
        <w:t xml:space="preserve">к.ю.н., </w:t>
      </w:r>
      <w:r w:rsidR="00220D3E" w:rsidRPr="00511005">
        <w:rPr>
          <w:rFonts w:ascii="Arial" w:eastAsia="Times New Roman" w:hAnsi="Arial" w:cs="Arial"/>
          <w:bCs/>
          <w:i/>
          <w:iCs/>
          <w:szCs w:val="28"/>
          <w:lang w:val="uk-UA" w:eastAsia="ru-RU"/>
        </w:rPr>
        <w:t xml:space="preserve">доцент </w:t>
      </w:r>
      <w:r w:rsidR="00220D3E" w:rsidRPr="00511005">
        <w:rPr>
          <w:rFonts w:ascii="Arial" w:eastAsia="Times New Roman" w:hAnsi="Arial" w:cs="Arial"/>
          <w:i/>
          <w:iCs/>
          <w:szCs w:val="28"/>
          <w:lang w:eastAsia="ru-RU"/>
        </w:rPr>
        <w:t>Дронов В</w:t>
      </w:r>
      <w:r w:rsidR="00220D3E" w:rsidRPr="00511005">
        <w:rPr>
          <w:rFonts w:ascii="Arial" w:eastAsia="Times New Roman" w:hAnsi="Arial" w:cs="Arial"/>
          <w:i/>
          <w:iCs/>
          <w:szCs w:val="28"/>
          <w:lang w:val="uk-UA" w:eastAsia="ru-RU"/>
        </w:rPr>
        <w:t>.</w:t>
      </w:r>
      <w:r w:rsidR="00220D3E" w:rsidRPr="00511005">
        <w:rPr>
          <w:rFonts w:ascii="Arial" w:eastAsia="Times New Roman" w:hAnsi="Arial" w:cs="Arial"/>
          <w:i/>
          <w:iCs/>
          <w:szCs w:val="28"/>
          <w:lang w:eastAsia="ru-RU"/>
        </w:rPr>
        <w:t xml:space="preserve"> Ю</w:t>
      </w:r>
      <w:r w:rsidR="00220D3E" w:rsidRPr="00511005">
        <w:rPr>
          <w:rFonts w:ascii="Arial" w:eastAsia="Times New Roman" w:hAnsi="Arial" w:cs="Arial"/>
          <w:i/>
          <w:iCs/>
          <w:szCs w:val="28"/>
          <w:lang w:val="uk-UA" w:eastAsia="ru-RU"/>
        </w:rPr>
        <w:t>.</w:t>
      </w:r>
    </w:p>
    <w:p w14:paraId="7302771F" w14:textId="77777777" w:rsidR="00220D3E" w:rsidRPr="00511005" w:rsidRDefault="00220D3E" w:rsidP="003A292D">
      <w:pPr>
        <w:tabs>
          <w:tab w:val="left" w:pos="709"/>
        </w:tabs>
        <w:spacing w:line="264" w:lineRule="auto"/>
        <w:ind w:firstLine="0"/>
        <w:jc w:val="left"/>
        <w:rPr>
          <w:rFonts w:ascii="Arial" w:eastAsia="Times New Roman" w:hAnsi="Arial" w:cs="Arial"/>
          <w:szCs w:val="28"/>
          <w:lang w:val="uk-UA" w:eastAsia="ru-RU"/>
        </w:rPr>
      </w:pPr>
    </w:p>
    <w:p w14:paraId="40A0D141"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b/>
          <w:bCs/>
          <w:i/>
          <w:iCs/>
          <w:szCs w:val="28"/>
          <w:lang w:eastAsia="ru-RU"/>
        </w:rPr>
        <w:t>Гребенча Єлизавета Анатоліївна</w:t>
      </w:r>
    </w:p>
    <w:p w14:paraId="74888127" w14:textId="5733DAEF"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p>
    <w:p w14:paraId="33CFAD81" w14:textId="5674A8ED"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413FFCEA" w14:textId="77777777" w:rsidR="00220D3E" w:rsidRPr="00511005" w:rsidRDefault="00220D3E" w:rsidP="003A292D">
      <w:pPr>
        <w:tabs>
          <w:tab w:val="left" w:pos="709"/>
        </w:tabs>
        <w:spacing w:line="264" w:lineRule="auto"/>
        <w:ind w:firstLine="0"/>
        <w:jc w:val="left"/>
        <w:rPr>
          <w:rFonts w:ascii="Arial" w:eastAsia="Times New Roman" w:hAnsi="Arial" w:cs="Arial"/>
          <w:i/>
          <w:szCs w:val="28"/>
          <w:lang w:eastAsia="ru-RU"/>
        </w:rPr>
      </w:pPr>
    </w:p>
    <w:p w14:paraId="4ED668AF"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b/>
          <w:bCs/>
          <w:szCs w:val="28"/>
          <w:lang w:eastAsia="ru-RU"/>
        </w:rPr>
        <w:lastRenderedPageBreak/>
        <w:t>РЕГУЛЮВАННЯ СІМЕЙНИХ ВІДНОСИН В МІЖНАРОДНОМУ ПРИВАТНОМУ ПРАВІ</w:t>
      </w:r>
    </w:p>
    <w:p w14:paraId="127AECF3" w14:textId="47DCEBA8" w:rsidR="00220D3E" w:rsidRPr="00511005" w:rsidRDefault="00220D3E" w:rsidP="003A292D">
      <w:pPr>
        <w:tabs>
          <w:tab w:val="left" w:pos="709"/>
        </w:tabs>
        <w:spacing w:line="264" w:lineRule="auto"/>
        <w:ind w:firstLine="0"/>
        <w:rPr>
          <w:rFonts w:ascii="Arial" w:eastAsia="Times New Roman" w:hAnsi="Arial" w:cs="Arial"/>
          <w:szCs w:val="28"/>
          <w:lang w:eastAsia="ru-RU"/>
        </w:rPr>
      </w:pPr>
      <w:r w:rsidRPr="00511005">
        <w:rPr>
          <w:rFonts w:ascii="Arial" w:eastAsia="Times New Roman" w:hAnsi="Arial" w:cs="Arial"/>
          <w:szCs w:val="28"/>
          <w:lang w:val="uk-UA" w:eastAsia="ru-RU"/>
        </w:rPr>
        <w:tab/>
      </w:r>
      <w:r w:rsidRPr="00511005">
        <w:rPr>
          <w:rFonts w:ascii="Arial" w:eastAsia="Times New Roman" w:hAnsi="Arial" w:cs="Arial"/>
          <w:szCs w:val="28"/>
          <w:lang w:eastAsia="ru-RU"/>
        </w:rPr>
        <w:t>Міжнародне приватне право регулює правовідносини, у яких присутній іноземний елемент, тобто ситуації, коли учасники мають громадянство різних держав, проживають у різних країнах або коли юридичний факт (зокрема, шлюб чи народження дитини) відбувається за межами держави, до якої належить хоча б один з учасників. У сфері сімейного права така колізійність виникає дедалі частіше, оскільки виникає все більше укладань шлюбів між громадянами різних країн, народження дітей за кордоном, а також зміна постійного місця проживання членів сім’ї.</w:t>
      </w:r>
      <w:r w:rsidR="007B2628" w:rsidRPr="00511005">
        <w:rPr>
          <w:rFonts w:ascii="Arial" w:eastAsia="Times New Roman" w:hAnsi="Arial" w:cs="Arial"/>
          <w:szCs w:val="28"/>
          <w:lang w:eastAsia="ru-RU"/>
        </w:rPr>
        <w:t xml:space="preserve"> </w:t>
      </w:r>
    </w:p>
    <w:p w14:paraId="10E0E4E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Щоб такі відносини були врегульовані, у сфері міжнародного приватного права застосовується низка важливих принципів:</w:t>
      </w:r>
    </w:p>
    <w:p w14:paraId="1EBADF85" w14:textId="77777777" w:rsidR="00220D3E" w:rsidRPr="00511005" w:rsidRDefault="00220D3E" w:rsidP="003F6A5D">
      <w:pPr>
        <w:numPr>
          <w:ilvl w:val="0"/>
          <w:numId w:val="19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Принцип автономії волі сторін;</w:t>
      </w:r>
    </w:p>
    <w:p w14:paraId="021DA41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Подружжя або батьки можуть самостійно обирати право тієї чи іншої держави для регулювання своїх сімейних правовідносин — наприклад, укладаючи шлюбний договір або визначаючи режим спільного майна. Водночас така автономія обмежена: вона не діє щодо питань, які належать до публічного порядку (зокрема, визначення батьківства чи опіки над дитиною) [1, с. 143].</w:t>
      </w:r>
    </w:p>
    <w:p w14:paraId="5A0C1F27" w14:textId="77777777" w:rsidR="007B2628" w:rsidRPr="00511005" w:rsidRDefault="00220D3E" w:rsidP="003F6A5D">
      <w:pPr>
        <w:numPr>
          <w:ilvl w:val="0"/>
          <w:numId w:val="19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Принцип найбільш тісного зв’язку;</w:t>
      </w:r>
    </w:p>
    <w:p w14:paraId="6BC0163F" w14:textId="4D1FDA72"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Якщо сторони не обрали право, яке буде застосовуватись, тоді застосовується законодавство країни, з якою правовідносини мають найтісніший зв’язок — приміром, спільне проживання чи громадянство. Так, якщо подружжя проживає у Франції, французьке право може застосовуватись навіть тоді, коли один з подружжя має інше громадянство [2, с. 5].</w:t>
      </w:r>
    </w:p>
    <w:p w14:paraId="02B310F9" w14:textId="77777777" w:rsidR="007B2628" w:rsidRPr="00511005" w:rsidRDefault="00220D3E" w:rsidP="003F6A5D">
      <w:pPr>
        <w:numPr>
          <w:ilvl w:val="0"/>
          <w:numId w:val="19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Принцип постійного місця проживання;</w:t>
      </w:r>
    </w:p>
    <w:p w14:paraId="16806B8F" w14:textId="1E140FE9"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Цей принцип часто використовується для визначення права, яке регулює опіку над дитиною, аліменти чи наслідки розлучення. Істотно буде зазначити, що такий принцип закріплено у міжнародних документах, зокрема у Гаазькій конвенції 1980 року, саме цей критерій вважається головним для визначення правового режиму захисту дітей.</w:t>
      </w:r>
    </w:p>
    <w:p w14:paraId="57AAFAF4" w14:textId="77777777" w:rsidR="00220D3E" w:rsidRPr="00511005" w:rsidRDefault="00220D3E" w:rsidP="003F6A5D">
      <w:pPr>
        <w:numPr>
          <w:ilvl w:val="0"/>
          <w:numId w:val="19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Принцип найкращих інтересів дитини;</w:t>
      </w:r>
    </w:p>
    <w:p w14:paraId="556A50B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Такий принцип є основоположним у всіх справах, що стосуються дітей. Держава, суд або орган опіки завжди повинні керуватись тим, що є найкращим для дитини. При цьому інтереси дитини можуть бути важливішими за волю батьків. Такий підхід закріплено, зокрема, в Конвенції ООН про права дитини (1989 р.).</w:t>
      </w:r>
    </w:p>
    <w:p w14:paraId="2CA50D70" w14:textId="77777777" w:rsidR="007B2628" w:rsidRPr="00511005" w:rsidRDefault="00220D3E" w:rsidP="003F6A5D">
      <w:pPr>
        <w:numPr>
          <w:ilvl w:val="0"/>
          <w:numId w:val="19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Принцип публічного порядку;</w:t>
      </w:r>
    </w:p>
    <w:p w14:paraId="29ED86EE" w14:textId="2A9EE432"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Якщо іноземне право суперечить основним цінностям правопорядку країни суду (приміром, дискримінує за статтю чи національністю), то воно не застосовується. Зокрема, якщо закон іншої країни забороняє жінці ініціювати </w:t>
      </w:r>
      <w:r w:rsidRPr="00511005">
        <w:rPr>
          <w:rFonts w:ascii="Arial" w:eastAsia="Times New Roman" w:hAnsi="Arial" w:cs="Arial"/>
          <w:szCs w:val="28"/>
          <w:lang w:eastAsia="ru-RU"/>
        </w:rPr>
        <w:lastRenderedPageBreak/>
        <w:t>розлучення, то суд європейської держави може відмовитись від його застосування.</w:t>
      </w:r>
    </w:p>
    <w:p w14:paraId="185E18C1" w14:textId="77777777" w:rsidR="00220D3E" w:rsidRPr="00511005" w:rsidRDefault="00220D3E" w:rsidP="003F6A5D">
      <w:pPr>
        <w:numPr>
          <w:ilvl w:val="0"/>
          <w:numId w:val="19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Принцип взаємного визнання рішень;</w:t>
      </w:r>
    </w:p>
    <w:p w14:paraId="6CE851B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Такий принцип дозволяє визнавати й виконувати судові рішення, ухвалені за кордоном, крім того,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розлучення чи стягнення аліментів. Він діє на підставі міжнародних конвенцій, зокрема, таких як Гаазька конвенція про визнання та виконання рішень у сімейних справах.</w:t>
      </w:r>
    </w:p>
    <w:p w14:paraId="2794D79E" w14:textId="77777777" w:rsidR="00220D3E" w:rsidRPr="00511005" w:rsidRDefault="00220D3E" w:rsidP="003F6A5D">
      <w:pPr>
        <w:numPr>
          <w:ilvl w:val="0"/>
          <w:numId w:val="19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Принцип недискримінації;</w:t>
      </w:r>
    </w:p>
    <w:p w14:paraId="142089F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Міжнародне сімейне право не повинно допускати різного ставлення до людей залежно від їх громадянства чи національності. Колізійні норми повинні застосовуватись однаково до всіх осіб [1, с. 143].</w:t>
      </w:r>
    </w:p>
    <w:p w14:paraId="3F5979B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міжнародному приватному праві колізійні норми відіграють ключову роль у вирішенні правових питань, пов’язаних із сімейними відносинами, коли присутній іноземний елемент. У ситуаціях, коли шлюб укладений або розірваний за кордоном, виникає питання про те, яке саме право застосовувати для оцінки його дійсності. Такий підхід, стосується як визначення юрисдикції суду, так і вибору відповідної правової системи. </w:t>
      </w:r>
    </w:p>
    <w:p w14:paraId="669FF33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Часто в міжнародних сім’ях виникають спори щодо того, з ким буде проживати дитина після розлучення. Важливо, що в таких випадках складнощі викликає визнання рішень іноземних судів, особливо якщо батьки мешкають у різних державах. Міжнародне приватне право також регулює фінансові питання, зокрема сплату аліментів на дитину чи одного з колишніх подружжя. На практиці існують спеціальні договори й конвенції, які допомагають забезпечити виконання таких зобов’язань у різних країнах.</w:t>
      </w:r>
    </w:p>
    <w:p w14:paraId="21418D1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 сьогоднішній день регулювання сімейних правовідносин з іноземним елементом стикається з низкою проблем, які потребують особливої уваги. Однією з основних таких проблем, є складність визнання та виконання рішень іноземних судів. Не всі країни однаково охоче визнають іноземні судові рішення, особливо якщо вони не є учасниками міжнародних договорів, які спрощують такі процедури. І це в результаті ускладнює реалізацію рішень щодо, наприклад, опіки над дитиною або стягнення аліментів.</w:t>
      </w:r>
    </w:p>
    <w:p w14:paraId="6ACEB9F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Ще одна важлива проблема пов’язана з підвищеною мобільністю людей. У сучасному світі люди все частіше змінюють країни проживання, що може призводити до правової невизначеності. Іншими словами, зміна країни проживання може вплинути на те, яке саме законодавство застосовується до подружжя або до дітей. Вважаю за потрібне, приділити окрему увагу труднощам, з якими стикаються транснаціональні сім’ї, тобто сім’ї, де подружжя має різне громадянство або постійно проживає в різних державах. У таких випадках виникає багато юридичних питань, які складно вирішити без участі міжнародного приватного права [3, с. 33].</w:t>
      </w:r>
    </w:p>
    <w:p w14:paraId="17C045C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lastRenderedPageBreak/>
        <w:t>На завершення, можна дійти висновку, що регулювання сімейних відносин у міжнародному приватному праві є надзвичайно важливим елементом правової системи сучасності, оскільки охоплює складні правовідносини з іноземним елементом, які все частіше виникають у зв’язку зі зростанням кількості міждержавних усиновлень, переміщенням сімей та дітей. У практичному вимірі важливу роль відіграють міжнародні договори, зокрема акти Гаазької конференції з міжнародного приватного права, які сприяють гармонізації норм, уніфікації процедур та взаємному визнанню рішень іноземних судів. Також вважаю доцільним зазначити, що майбутнє регулювання сімейних відносин у міжнародному контексті значною мірою залежатиме від послідовної міжнародної співпраці, вдосконалення колізійного законодавства та прагнення до єдності у сфері правозастосування, що гарантуватиме стабільність і справедливість у правових системах різних країн</w:t>
      </w:r>
      <w:r w:rsidRPr="00511005">
        <w:rPr>
          <w:rFonts w:ascii="Arial" w:eastAsia="Times New Roman" w:hAnsi="Arial" w:cs="Arial"/>
          <w:szCs w:val="28"/>
          <w:lang w:val="uk-UA" w:eastAsia="ru-RU"/>
        </w:rPr>
        <w:t>.</w:t>
      </w:r>
    </w:p>
    <w:p w14:paraId="46423E4F"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765D3410" w14:textId="07FF5AB9" w:rsidR="00220D3E" w:rsidRPr="00511005" w:rsidRDefault="007B2628" w:rsidP="007B2628">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b/>
          <w:bCs/>
          <w:iCs/>
          <w:szCs w:val="28"/>
          <w:lang w:val="uk-UA" w:eastAsia="ru-RU"/>
        </w:rPr>
        <w:t>Список використаних джерел</w:t>
      </w:r>
    </w:p>
    <w:p w14:paraId="70A3421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1. Назаренко О. М. Міжнародне приватне </w:t>
      </w:r>
      <w:proofErr w:type="gramStart"/>
      <w:r w:rsidRPr="00511005">
        <w:rPr>
          <w:rFonts w:ascii="Arial" w:eastAsia="Times New Roman" w:hAnsi="Arial" w:cs="Arial"/>
          <w:szCs w:val="28"/>
          <w:lang w:eastAsia="ru-RU"/>
        </w:rPr>
        <w:t>право :</w:t>
      </w:r>
      <w:proofErr w:type="gramEnd"/>
      <w:r w:rsidRPr="00511005">
        <w:rPr>
          <w:rFonts w:ascii="Arial" w:eastAsia="Times New Roman" w:hAnsi="Arial" w:cs="Arial"/>
          <w:szCs w:val="28"/>
          <w:lang w:eastAsia="ru-RU"/>
        </w:rPr>
        <w:t xml:space="preserve"> навч. посіб. / О. М. Назаренко. – </w:t>
      </w:r>
      <w:proofErr w:type="gramStart"/>
      <w:r w:rsidRPr="00511005">
        <w:rPr>
          <w:rFonts w:ascii="Arial" w:eastAsia="Times New Roman" w:hAnsi="Arial" w:cs="Arial"/>
          <w:szCs w:val="28"/>
          <w:lang w:eastAsia="ru-RU"/>
        </w:rPr>
        <w:t>К. :</w:t>
      </w:r>
      <w:proofErr w:type="gramEnd"/>
      <w:r w:rsidRPr="00511005">
        <w:rPr>
          <w:rFonts w:ascii="Arial" w:eastAsia="Times New Roman" w:hAnsi="Arial" w:cs="Arial"/>
          <w:szCs w:val="28"/>
          <w:lang w:eastAsia="ru-RU"/>
        </w:rPr>
        <w:t xml:space="preserve"> Центр учбової літератури, 2021. – 368 с.</w:t>
      </w:r>
    </w:p>
    <w:p w14:paraId="422A9AE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2. Закон України «Про міжнародне приватне право» від 23 черв. 2005 р. № 2709-IV // Відомості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 2005. – № 32. – Ст. 422.</w:t>
      </w:r>
    </w:p>
    <w:p w14:paraId="7785A58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3. Корецький В. М. Проблеми уніфікації колізійних норм у сфері міжнародного сімейного права // Право України. – 2021. – № 5. – С. 32–40.</w:t>
      </w:r>
    </w:p>
    <w:p w14:paraId="5D2CE1F2"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1DE4E4F2" w14:textId="3C2A69F2"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міжнародне приватне право, сімейні правовідносини, іноземний елемент, автономія волі сторін, постійне місце проживання, найкращі інтереси дитини, колізійні норми, шлюбний договір, транснаціональні сім’ї.</w:t>
      </w:r>
      <w:r w:rsidR="00220D3E" w:rsidRPr="00511005">
        <w:rPr>
          <w:rFonts w:ascii="Arial" w:eastAsia="Times New Roman" w:hAnsi="Arial" w:cs="Arial"/>
          <w:szCs w:val="28"/>
          <w:lang w:eastAsia="ru-RU"/>
        </w:rPr>
        <w:br/>
      </w:r>
      <w:r w:rsidR="00220D3E" w:rsidRPr="00511005">
        <w:rPr>
          <w:rFonts w:ascii="Arial" w:eastAsia="Times New Roman" w:hAnsi="Arial" w:cs="Arial"/>
          <w:szCs w:val="28"/>
          <w:lang w:eastAsia="ru-RU"/>
        </w:rPr>
        <w:tab/>
      </w: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private international law, family law relations, foreign element, autonomy of the parties' will, permanent residence, best interests of the child, conflict-of-laws rules, marriage agreement, transnational families</w:t>
      </w:r>
      <w:r w:rsidR="00220D3E" w:rsidRPr="00511005">
        <w:rPr>
          <w:rFonts w:ascii="Arial" w:eastAsia="Times New Roman" w:hAnsi="Arial" w:cs="Arial"/>
          <w:szCs w:val="28"/>
          <w:lang w:val="uk-UA" w:eastAsia="ru-RU"/>
        </w:rPr>
        <w:t>.</w:t>
      </w:r>
    </w:p>
    <w:p w14:paraId="712FDE32" w14:textId="1CF44368"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к.ю.н., доц. доцент Акіменко Ю.Ю.</w:t>
      </w:r>
    </w:p>
    <w:p w14:paraId="546C0C8A" w14:textId="77777777" w:rsidR="00220D3E" w:rsidRPr="00511005" w:rsidRDefault="00220D3E" w:rsidP="003A292D">
      <w:pPr>
        <w:tabs>
          <w:tab w:val="left" w:pos="709"/>
        </w:tabs>
        <w:spacing w:line="264" w:lineRule="auto"/>
        <w:ind w:firstLine="0"/>
        <w:jc w:val="left"/>
        <w:rPr>
          <w:rFonts w:ascii="Arial" w:eastAsia="Times New Roman" w:hAnsi="Arial" w:cs="Arial"/>
          <w:szCs w:val="28"/>
          <w:lang w:val="uk-UA" w:eastAsia="ru-RU"/>
        </w:rPr>
      </w:pPr>
    </w:p>
    <w:p w14:paraId="5029E505"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b/>
          <w:bCs/>
          <w:i/>
          <w:iCs/>
          <w:szCs w:val="28"/>
          <w:lang w:eastAsia="ru-RU"/>
        </w:rPr>
        <w:t>Гребенча Єлизавета Анатоліївна</w:t>
      </w:r>
    </w:p>
    <w:p w14:paraId="7243D751" w14:textId="1DB1F529"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p>
    <w:p w14:paraId="2FA82AD9" w14:textId="0591DE72"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61809A60" w14:textId="77777777" w:rsidR="00220D3E" w:rsidRPr="00511005" w:rsidRDefault="00220D3E" w:rsidP="003A292D">
      <w:pPr>
        <w:spacing w:line="264" w:lineRule="auto"/>
        <w:ind w:firstLine="0"/>
        <w:jc w:val="left"/>
        <w:rPr>
          <w:rFonts w:ascii="Arial" w:eastAsia="Times New Roman" w:hAnsi="Arial" w:cs="Arial"/>
          <w:szCs w:val="28"/>
          <w:lang w:val="uk-UA" w:eastAsia="ru-RU"/>
        </w:rPr>
      </w:pPr>
    </w:p>
    <w:p w14:paraId="1DAF4306" w14:textId="77777777" w:rsidR="00220D3E" w:rsidRPr="00511005" w:rsidRDefault="00220D3E" w:rsidP="003A292D">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iCs/>
          <w:szCs w:val="28"/>
          <w:lang w:eastAsia="ru-RU"/>
        </w:rPr>
        <w:t xml:space="preserve">ДИПЛОМАТИЧНЕ ПРЕДСТАВНИЦТВО УКРАЇНИ В МІЖНАРОДНИХ </w:t>
      </w:r>
      <w:proofErr w:type="gramStart"/>
      <w:r w:rsidRPr="00511005">
        <w:rPr>
          <w:rFonts w:ascii="Arial" w:eastAsia="Times New Roman" w:hAnsi="Arial" w:cs="Arial"/>
          <w:b/>
          <w:iCs/>
          <w:szCs w:val="28"/>
          <w:lang w:eastAsia="ru-RU"/>
        </w:rPr>
        <w:t>ОРГАНІЗАЦІЯХ:ЕФЕКТИВНІСТЬ</w:t>
      </w:r>
      <w:proofErr w:type="gramEnd"/>
      <w:r w:rsidRPr="00511005">
        <w:rPr>
          <w:rFonts w:ascii="Arial" w:eastAsia="Times New Roman" w:hAnsi="Arial" w:cs="Arial"/>
          <w:b/>
          <w:iCs/>
          <w:szCs w:val="28"/>
          <w:lang w:eastAsia="ru-RU"/>
        </w:rPr>
        <w:t xml:space="preserve"> І СКЛАДНОЩІ.</w:t>
      </w:r>
    </w:p>
    <w:p w14:paraId="71F98B90" w14:textId="77777777" w:rsidR="007B2628" w:rsidRPr="00511005" w:rsidRDefault="007B2628" w:rsidP="003A292D">
      <w:pPr>
        <w:spacing w:line="264" w:lineRule="auto"/>
        <w:ind w:firstLine="0"/>
        <w:jc w:val="left"/>
        <w:rPr>
          <w:rFonts w:ascii="Arial" w:eastAsia="Times New Roman" w:hAnsi="Arial" w:cs="Arial"/>
          <w:szCs w:val="28"/>
          <w:lang w:eastAsia="ru-RU"/>
        </w:rPr>
      </w:pPr>
    </w:p>
    <w:p w14:paraId="04AE924B"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Згідно з дослідженнями сучасних прагнень зовнішньої політики, дипломатичне представництво України в міжнародних організаціях має велике значення у забезпеченні її державного суверенітету та міжнародної </w:t>
      </w:r>
      <w:r w:rsidRPr="00511005">
        <w:rPr>
          <w:rFonts w:ascii="Arial" w:eastAsia="Times New Roman" w:hAnsi="Arial" w:cs="Arial"/>
          <w:szCs w:val="28"/>
          <w:lang w:eastAsia="ru-RU"/>
        </w:rPr>
        <w:lastRenderedPageBreak/>
        <w:t>суб’єктності. Особливої значущості ця тема набула в умовах нової хвилі міжнародної підтримки України, зокрема після 2014 року, коли рф анексувала Крим і розпочала збройну агресію на сході України. Проте ще глибшого значення питання набуло з 2022 року, коли повномасштабне вторгнення росії поставило перед міжнародною спільнотою виклик колективної безпеки, гуманітарного реагування та збереження засад міжнародного права. </w:t>
      </w:r>
    </w:p>
    <w:p w14:paraId="7C108B7D"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Сутність вище зазначеного, зводиться до того, що завдяки зусиллям українських дипломатів, дипломатичні представництва стали не лише каналами комунікації, а й активними суб’єктами політичного впливу. Саме через них держава ініціює розгляд важливих питань резолюції, добивається впровадження санкцій, координації допомоги та підтримує міжнародну юридичну боротьбу за відповідальність агресора. </w:t>
      </w:r>
    </w:p>
    <w:p w14:paraId="36C91019" w14:textId="382EF241"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Звернімо увагу на те, що після набуття незалежності у 1991 році, Україна послідовно формувала курс на інтеграцію </w:t>
      </w:r>
      <w:proofErr w:type="gramStart"/>
      <w:r w:rsidRPr="00511005">
        <w:rPr>
          <w:rFonts w:ascii="Arial" w:eastAsia="Times New Roman" w:hAnsi="Arial" w:cs="Arial"/>
          <w:szCs w:val="28"/>
          <w:lang w:eastAsia="ru-RU"/>
        </w:rPr>
        <w:t>у систему</w:t>
      </w:r>
      <w:proofErr w:type="gramEnd"/>
      <w:r w:rsidRPr="00511005">
        <w:rPr>
          <w:rFonts w:ascii="Arial" w:eastAsia="Times New Roman" w:hAnsi="Arial" w:cs="Arial"/>
          <w:szCs w:val="28"/>
          <w:lang w:eastAsia="ru-RU"/>
        </w:rPr>
        <w:t xml:space="preserve"> міжнародних відносин шляхом активної участі в діяльності міжурядових організацій. Серед основних напрямів участі України в міжнародних організаціях вважаю доречним виокремити такі:</w:t>
      </w:r>
    </w:p>
    <w:p w14:paraId="5A7B6C11" w14:textId="77777777" w:rsidR="00220D3E" w:rsidRPr="00511005" w:rsidRDefault="00220D3E" w:rsidP="003F6A5D">
      <w:pPr>
        <w:numPr>
          <w:ilvl w:val="0"/>
          <w:numId w:val="85"/>
        </w:numPr>
        <w:spacing w:line="264" w:lineRule="auto"/>
        <w:jc w:val="left"/>
        <w:textAlignment w:val="baseline"/>
        <w:rPr>
          <w:rFonts w:ascii="Arial" w:eastAsia="Times New Roman" w:hAnsi="Arial" w:cs="Arial"/>
          <w:szCs w:val="28"/>
          <w:lang w:eastAsia="ru-RU"/>
        </w:rPr>
      </w:pPr>
      <w:r w:rsidRPr="00511005">
        <w:rPr>
          <w:rFonts w:ascii="Arial" w:eastAsia="Times New Roman" w:hAnsi="Arial" w:cs="Arial"/>
          <w:szCs w:val="28"/>
          <w:lang w:eastAsia="ru-RU"/>
        </w:rPr>
        <w:t>Глобальна безпека та міжнародне право (ООН, Міжнародний кримінальний суд, Гаазький суд ООН):</w:t>
      </w:r>
      <w:r w:rsidRPr="00511005">
        <w:rPr>
          <w:rFonts w:ascii="Arial" w:eastAsia="Times New Roman" w:hAnsi="Arial" w:cs="Arial"/>
          <w:szCs w:val="28"/>
          <w:lang w:eastAsia="ru-RU"/>
        </w:rPr>
        <w:br/>
        <w:t>Україна активно ініціює резолюції Генеральної Асамблеї ООН, звертається до Міжнародного суду ООН щодо порушень міжнародного права Росією, а також сприяє створенню спеціального трибуналу для розслідування злочину агресії.</w:t>
      </w:r>
    </w:p>
    <w:p w14:paraId="4BEDB1F9" w14:textId="77777777" w:rsidR="00220D3E" w:rsidRPr="00511005" w:rsidRDefault="00220D3E" w:rsidP="003F6A5D">
      <w:pPr>
        <w:numPr>
          <w:ilvl w:val="0"/>
          <w:numId w:val="85"/>
        </w:numPr>
        <w:spacing w:line="264" w:lineRule="auto"/>
        <w:jc w:val="left"/>
        <w:textAlignment w:val="baseline"/>
        <w:rPr>
          <w:rFonts w:ascii="Arial" w:eastAsia="Times New Roman" w:hAnsi="Arial" w:cs="Arial"/>
          <w:szCs w:val="28"/>
          <w:lang w:eastAsia="ru-RU"/>
        </w:rPr>
      </w:pPr>
      <w:r w:rsidRPr="00511005">
        <w:rPr>
          <w:rFonts w:ascii="Arial" w:eastAsia="Times New Roman" w:hAnsi="Arial" w:cs="Arial"/>
          <w:szCs w:val="28"/>
          <w:lang w:eastAsia="ru-RU"/>
        </w:rPr>
        <w:t>Права людини та гуманітарна відповідальність (Рада ООН з прав людини, Рада Європи, ОБСЄ):</w:t>
      </w:r>
      <w:r w:rsidRPr="00511005">
        <w:rPr>
          <w:rFonts w:ascii="Arial" w:eastAsia="Times New Roman" w:hAnsi="Arial" w:cs="Arial"/>
          <w:szCs w:val="28"/>
          <w:lang w:eastAsia="ru-RU"/>
        </w:rPr>
        <w:br/>
        <w:t>Україна постійно інформує світову спільноту про порушення прав людини на тимчасово окупованих територіях, виступає за притягнення винних до відповідальності, а також залучає міжнародні місії для моніторингу ситуації.</w:t>
      </w:r>
    </w:p>
    <w:p w14:paraId="78D18993" w14:textId="77777777" w:rsidR="00220D3E" w:rsidRPr="00511005" w:rsidRDefault="00220D3E" w:rsidP="003F6A5D">
      <w:pPr>
        <w:numPr>
          <w:ilvl w:val="0"/>
          <w:numId w:val="85"/>
        </w:numPr>
        <w:spacing w:line="264" w:lineRule="auto"/>
        <w:jc w:val="left"/>
        <w:textAlignment w:val="baseline"/>
        <w:rPr>
          <w:rFonts w:ascii="Arial" w:eastAsia="Times New Roman" w:hAnsi="Arial" w:cs="Arial"/>
          <w:szCs w:val="28"/>
          <w:lang w:eastAsia="ru-RU"/>
        </w:rPr>
      </w:pPr>
      <w:r w:rsidRPr="00511005">
        <w:rPr>
          <w:rFonts w:ascii="Arial" w:eastAsia="Times New Roman" w:hAnsi="Arial" w:cs="Arial"/>
          <w:szCs w:val="28"/>
          <w:lang w:eastAsia="ru-RU"/>
        </w:rPr>
        <w:t>Європейська інтеграція та євроатлантична співпраця (ЄС, НАТО):</w:t>
      </w:r>
      <w:r w:rsidRPr="00511005">
        <w:rPr>
          <w:rFonts w:ascii="Arial" w:eastAsia="Times New Roman" w:hAnsi="Arial" w:cs="Arial"/>
          <w:szCs w:val="28"/>
          <w:lang w:eastAsia="ru-RU"/>
        </w:rPr>
        <w:br/>
        <w:t>Після отримання статусу кандидата на вступ до Європейського Союзу у 2022 році Україна поглиблює політичну, економічну та правову інтеграцію з європейськими структурами. У співпраці з НАТО основна увага приділяється оборонній реформі, сумісності стандартів та координації допомоги.</w:t>
      </w:r>
    </w:p>
    <w:p w14:paraId="1997D0BA" w14:textId="77777777" w:rsidR="00220D3E" w:rsidRPr="00511005" w:rsidRDefault="00220D3E" w:rsidP="003F6A5D">
      <w:pPr>
        <w:numPr>
          <w:ilvl w:val="0"/>
          <w:numId w:val="85"/>
        </w:numPr>
        <w:spacing w:line="264" w:lineRule="auto"/>
        <w:jc w:val="left"/>
        <w:textAlignment w:val="baseline"/>
        <w:rPr>
          <w:rFonts w:ascii="Arial" w:eastAsia="Times New Roman" w:hAnsi="Arial" w:cs="Arial"/>
          <w:szCs w:val="28"/>
          <w:lang w:eastAsia="ru-RU"/>
        </w:rPr>
      </w:pPr>
      <w:r w:rsidRPr="00511005">
        <w:rPr>
          <w:rFonts w:ascii="Arial" w:eastAsia="Times New Roman" w:hAnsi="Arial" w:cs="Arial"/>
          <w:szCs w:val="28"/>
          <w:lang w:eastAsia="ru-RU"/>
        </w:rPr>
        <w:t>Економічна дипломатія та міжнародна допомога (Світовий банк, МВФ, G7 або дослівно Група Семи, ОЕСР, СОТ):</w:t>
      </w:r>
      <w:r w:rsidRPr="00511005">
        <w:rPr>
          <w:rFonts w:ascii="Arial" w:eastAsia="Times New Roman" w:hAnsi="Arial" w:cs="Arial"/>
          <w:szCs w:val="28"/>
          <w:lang w:eastAsia="ru-RU"/>
        </w:rPr>
        <w:br/>
        <w:t>Україна активно співпрацює з міжнародними фінансовими інституціями у сфері відновлення економіки, розбудови інфраструктури, фінансування соціальних програм і стабілізації валютного ринку.</w:t>
      </w:r>
    </w:p>
    <w:p w14:paraId="00C4424E" w14:textId="77777777" w:rsidR="007B2628" w:rsidRPr="00511005" w:rsidRDefault="00220D3E" w:rsidP="003F6A5D">
      <w:pPr>
        <w:numPr>
          <w:ilvl w:val="0"/>
          <w:numId w:val="85"/>
        </w:numPr>
        <w:spacing w:line="264" w:lineRule="auto"/>
        <w:jc w:val="left"/>
        <w:textAlignment w:val="baseline"/>
        <w:rPr>
          <w:rFonts w:ascii="Arial" w:eastAsia="Times New Roman" w:hAnsi="Arial" w:cs="Arial"/>
          <w:szCs w:val="28"/>
          <w:lang w:eastAsia="ru-RU"/>
        </w:rPr>
      </w:pPr>
      <w:r w:rsidRPr="00511005">
        <w:rPr>
          <w:rFonts w:ascii="Arial" w:eastAsia="Times New Roman" w:hAnsi="Arial" w:cs="Arial"/>
          <w:szCs w:val="28"/>
          <w:lang w:eastAsia="ru-RU"/>
        </w:rPr>
        <w:lastRenderedPageBreak/>
        <w:t>Культурна та освітня співпраця (ЮНЕСКО, МОП, ВООЗ):</w:t>
      </w:r>
      <w:r w:rsidRPr="00511005">
        <w:rPr>
          <w:rFonts w:ascii="Arial" w:eastAsia="Times New Roman" w:hAnsi="Arial" w:cs="Arial"/>
          <w:szCs w:val="28"/>
          <w:lang w:eastAsia="ru-RU"/>
        </w:rPr>
        <w:br/>
        <w:t>Українська дипломатія порушує питання збереження культурної спадщини, зруйнованої війною, прав працівників та гуманітарної освіти в умовах конфлікту.</w:t>
      </w:r>
    </w:p>
    <w:p w14:paraId="4E9465D9"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Ефективність дипломатичного представництва України в міжнародних організаціях є одним із провідних чинників зовнішньополітичної стратегії держави. Одним із показників ефективності української дипломатії є успішна мобілізація міжнародної коаліції на підтримку України в межах таких організацій, як ООН, ЄС, ОБСЄ, Рада Європи, НАТО, МАГАТЕ, МКС, G7. Зокрема, постійне представництво України при ООН відіграло центральну роль у прийнятті резолюцій Генеральної Асамблеї, що підтверджують територіальну цілісність України, засуджують агресію та закликають до міжнародної відповідальності. </w:t>
      </w:r>
    </w:p>
    <w:p w14:paraId="52778F73" w14:textId="77777777" w:rsidR="007B2628" w:rsidRPr="00511005" w:rsidRDefault="00220D3E" w:rsidP="003A292D">
      <w:pPr>
        <w:spacing w:line="264" w:lineRule="auto"/>
        <w:ind w:firstLine="0"/>
        <w:rPr>
          <w:rFonts w:ascii="Arial" w:eastAsia="Times New Roman" w:hAnsi="Arial" w:cs="Arial"/>
          <w:szCs w:val="28"/>
          <w:lang w:eastAsia="ru-RU"/>
        </w:rPr>
      </w:pP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співпраці з Європейським Союзом дипломатичні зусилля сприяли отриманню статусу кандидата на членство, а також налагодженню програм макрофінансової допомоги, гуманітарної підтримки та забезпечення військової техніки через механізм Європейського фонду миру. Крім того, важливою також є діяльність представництва України при НАТО, яке координує процеси сумісності стандартів, трансформації безпекового сектору та стратегічної комунікації з партнерами.</w:t>
      </w:r>
    </w:p>
    <w:p w14:paraId="241DAA7E"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Одночасно з тим, особливої уваги заслуговує роль українських дипломатів у забезпеченні юридичної підтримки з боку міжнародних судових інституцій. Завдяки дипломатичній активності Україна звернулася до Міжнародного суду ООН, підтримала ініціативу створення Спеціального трибуналу щодо злочину агресії та активно співпрацює з Міжнародним кримінальним судом для розслідування воєнних злочинів рф.</w:t>
      </w:r>
    </w:p>
    <w:p w14:paraId="3EE7137F"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До вищезазначеного хотілося також додати, що ефективність проявляється у формуванні позитивного міжнародного іміджу України як демократичної, миролюбної держави, що діє відповідно до міжнародного права. Дипломати активно співпрацюють з іноземними ЗМІ, правозахисними організаціями, аналітичними центрами, а також українською діаспорою. Однак, ефективність дипломатичного представництва визначається не лише політичними досягненнями, але й інституційною стійкістю, кадровою підготовкою, гнучкістю реагування на виклики та координацією з національними органами влади. У цьому аспекті спостерігається поступове вдосконалення, зокрема, через оновлення кадрового складу, цифровізацію зовнішньополітичної служби та розширення форматів міжурядового та громадського діалогу на міжнародному рівні.</w:t>
      </w:r>
    </w:p>
    <w:p w14:paraId="5C9EB99A"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Попри значну активізацію української дипломатії на міжнародному рівні та помітні досягнення у сфері зовнішньополітичної підтримки, дипломатичне представництво України стикається з багатьма системними складнощами та </w:t>
      </w:r>
      <w:r w:rsidRPr="00511005">
        <w:rPr>
          <w:rFonts w:ascii="Arial" w:eastAsia="Times New Roman" w:hAnsi="Arial" w:cs="Arial"/>
          <w:szCs w:val="28"/>
          <w:lang w:eastAsia="ru-RU"/>
        </w:rPr>
        <w:lastRenderedPageBreak/>
        <w:t>викликами, які впливають на ефективність реалізації державної політики в межах міжнародних організацій.</w:t>
      </w:r>
    </w:p>
    <w:p w14:paraId="3A74EC60"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Варто звернути увагу на те, що міжнародні організації, в яких працюють українські місії, мають свої внутрішні обмеження. Наприклад, в ООН є право вето у постійних </w:t>
      </w:r>
      <w:proofErr w:type="gramStart"/>
      <w:r w:rsidRPr="00511005">
        <w:rPr>
          <w:rFonts w:ascii="Arial" w:eastAsia="Times New Roman" w:hAnsi="Arial" w:cs="Arial"/>
          <w:szCs w:val="28"/>
          <w:lang w:eastAsia="ru-RU"/>
        </w:rPr>
        <w:t>членів</w:t>
      </w:r>
      <w:proofErr w:type="gramEnd"/>
      <w:r w:rsidRPr="00511005">
        <w:rPr>
          <w:rFonts w:ascii="Arial" w:eastAsia="Times New Roman" w:hAnsi="Arial" w:cs="Arial"/>
          <w:szCs w:val="28"/>
          <w:lang w:eastAsia="ru-RU"/>
        </w:rPr>
        <w:t xml:space="preserve"> Ради Безпеки, зокрема у рф, що часто блокує рішення, які стосуються агресії проти України. Але суть проблеми не тільки в самому вето, а й у тому, що деякі держави просто не поділяють основоположні цінності цих організацій. Вони користуються своїм становищем, щоб перешкоджати прийняттю важливих ініціатив або зменшувати їхню ефективність. Подібне можна побачити і в інших міжнародних структурах, де агресори намагаються послабити українські позиції.</w:t>
      </w:r>
    </w:p>
    <w:p w14:paraId="4774DEE4"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На другому плані серед викликів, є кадрова й ресурсна обмеженість українських представництв. У порівнянні з місіями провідних країн, дипломатичні представництва України часто мають обмежене кадрове забезпечення, недостатню технічну та експертну підтримку. Це знижує здатність швидко та ефективно реагувати на динамічні зміни міжнародної обстановки, особливо в умовах багаторівневих переговорних процесів.</w:t>
      </w:r>
    </w:p>
    <w:p w14:paraId="797B5F4D"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Не менш важливою, залишається проблема інформаційної асиметрії та гібридного впливу, які активно використовує рф у міжнародних організаціях для дискредитації України. Дезінформаційні кампанії, лобізм, маніпулювання нормами міжнародного права створюють додаткове навантаження на українських дипломатів, які змушені не лише просувати ініціативи, а й постійно «захищати правду».</w:t>
      </w:r>
    </w:p>
    <w:p w14:paraId="6CE246E4"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Не менш важливим викликом, є бюрократичність і повільність прийняття рішень у великих міжнародних організаціях. Формальні процедури, потреба в консенсусі, політичні компроміси між державами-членами часто уповільнюють реалізацію конкретних рішень, навіть попри їх схвальне сприйняття. В умовах активної фази війни це створює ризик втрати часу, що критично важливо для безпеки України.</w:t>
      </w:r>
    </w:p>
    <w:p w14:paraId="3FC746CA"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Крім того, серед проблем існує і така, як обмежена взаємодія між дипломатичними установами та інституціями громадянського суспільства, аналітичними центрами, експертними колами. Без цього повноцінна публічна дипломатія не може розвиватися на належному рівні. Водночас, саме синергія між державним і недержавним дипломатичним фронтом стає дедалі необхідною у протистоянні авторитарним режимам на міжнародній арені.</w:t>
      </w:r>
    </w:p>
    <w:p w14:paraId="4DA5A80F" w14:textId="77777777" w:rsidR="007B2628"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Слід також додати і про існування такого виклику як, необхідність одночасно реагувати на оперативні події та формувати довгострокову зовнішньополітичну стратегію, що відповідає новим викликам глобальної безпеки. Це потребує глибокого стратегічного планування, посилення </w:t>
      </w:r>
      <w:r w:rsidRPr="00511005">
        <w:rPr>
          <w:rFonts w:ascii="Arial" w:eastAsia="Times New Roman" w:hAnsi="Arial" w:cs="Arial"/>
          <w:szCs w:val="28"/>
          <w:lang w:eastAsia="ru-RU"/>
        </w:rPr>
        <w:lastRenderedPageBreak/>
        <w:t>аналітичного супроводу та гнучких моделей управління дипломатичними місіями.</w:t>
      </w:r>
    </w:p>
    <w:p w14:paraId="17ED094E" w14:textId="5AF394F0"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На завершення, вважаю за потрібне зазначити, що одним із головних викликів залишається конкуренція на міжнародній арені, де певні держави часто мають більший вплив на прийняття рішень. Така думка, зокрема стосується органів, таких як Рада Безпеки ООН, де Україна зазвичай не має можливості прямо впливати на важливі рішення через вето постійних членів. Також, зі сказаного раніше випливає, що для подолання складнощів та покращення ефективності дипломатії Україні важливо адаптувати свою стратегію, зокрема шляхом більш активного використання цифрових технологій, зміцнення співпраці з новими країнами та підтримки гуманітарних ініціатив. Важливими напрямками для подальшого розвитку дипломатичного представництва України є активна участь в міжнародних судах, підвищення дипломатичної присутності в країнах, що мають стратегічне значення для безпеки та економіки України, а також посилення культурної дипломатії для покращення іміджу країни.</w:t>
      </w:r>
    </w:p>
    <w:p w14:paraId="7B8AA3F0" w14:textId="77777777" w:rsidR="00220D3E" w:rsidRPr="00511005" w:rsidRDefault="00220D3E" w:rsidP="003A292D">
      <w:pPr>
        <w:spacing w:line="264" w:lineRule="auto"/>
        <w:ind w:firstLine="0"/>
        <w:rPr>
          <w:rFonts w:ascii="Arial" w:eastAsia="Times New Roman" w:hAnsi="Arial" w:cs="Arial"/>
          <w:szCs w:val="28"/>
          <w:lang w:eastAsia="ru-RU"/>
        </w:rPr>
      </w:pPr>
    </w:p>
    <w:p w14:paraId="10C02DA5" w14:textId="6D0D02E3" w:rsidR="00220D3E" w:rsidRPr="00511005" w:rsidRDefault="007B2628" w:rsidP="007B2628">
      <w:pPr>
        <w:tabs>
          <w:tab w:val="left" w:pos="709"/>
        </w:tabs>
        <w:spacing w:line="264" w:lineRule="auto"/>
        <w:ind w:left="709" w:firstLine="0"/>
        <w:contextualSpacing/>
        <w:jc w:val="center"/>
        <w:rPr>
          <w:rFonts w:ascii="Arial" w:eastAsia="Calibri" w:hAnsi="Arial" w:cs="Arial"/>
          <w:szCs w:val="28"/>
          <w:lang w:val="uk-UA"/>
        </w:rPr>
      </w:pPr>
      <w:r w:rsidRPr="00511005">
        <w:rPr>
          <w:rFonts w:ascii="Arial" w:eastAsia="Times New Roman" w:hAnsi="Arial" w:cs="Arial"/>
          <w:b/>
          <w:szCs w:val="28"/>
          <w:lang w:val="uk-UA" w:eastAsia="ru-RU"/>
        </w:rPr>
        <w:t>Список використаних джерел</w:t>
      </w:r>
    </w:p>
    <w:p w14:paraId="37A3C55E"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1. Корольчук, Л. В., Головенко, В. О., Поліщук, Н. М. Дипломатія: навч. посіб. Луцьк: Луцький НТУ, 2024. 210 с.</w:t>
      </w:r>
    </w:p>
    <w:p w14:paraId="20D78A5B"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2. Блажей, В. В. Правові засади організації дипломатичної служби України (за національним законодавством) // Наукові праці НАДУ при Президентові України. 1998. № 1. С. 152–158.</w:t>
      </w:r>
    </w:p>
    <w:p w14:paraId="07E38B6C"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3. Панов, А. М. Дипломатичне представництво України: функції та завдання [Електронний ресурс]. – Режим доступу: https://alenpanov.org.ua/ua/article/15/17 (дата звернення: 25.04.2025).</w:t>
      </w:r>
    </w:p>
    <w:p w14:paraId="3F6850DA" w14:textId="77777777" w:rsidR="00220D3E" w:rsidRPr="00511005" w:rsidRDefault="00220D3E"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4. Актуальні проблеми сучасних міжнародних відносин: матеріали Всеукр. наук.-практ. конф., 2023 р. / за заг. ред. І. С. Бойчука. Дніпро: ДНУ, 2023. 340 с.</w:t>
      </w:r>
    </w:p>
    <w:p w14:paraId="1FF291E4" w14:textId="1100D1F8" w:rsidR="00220D3E" w:rsidRPr="00511005" w:rsidRDefault="007B2628" w:rsidP="003A292D">
      <w:pPr>
        <w:spacing w:line="264" w:lineRule="auto"/>
        <w:ind w:firstLine="851"/>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дипломатичне представництво, міжнародні організації, зовнішня політика, агресія рф, міжнародна підтримка, правова відповідальність.</w:t>
      </w:r>
    </w:p>
    <w:p w14:paraId="37D39160" w14:textId="2882CA69" w:rsidR="00220D3E" w:rsidRPr="00511005" w:rsidRDefault="007B2628" w:rsidP="003A292D">
      <w:pPr>
        <w:spacing w:line="264" w:lineRule="auto"/>
        <w:ind w:firstLine="851"/>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diplomatic representation, international organizations, foreign policy, Russian aggression, international support, legal accountability.</w:t>
      </w:r>
    </w:p>
    <w:p w14:paraId="4A7CD688" w14:textId="370DE328" w:rsidR="00220D3E" w:rsidRPr="00511005" w:rsidRDefault="007B2628" w:rsidP="003A292D">
      <w:pPr>
        <w:tabs>
          <w:tab w:val="left" w:pos="709"/>
        </w:tabs>
        <w:spacing w:line="264" w:lineRule="auto"/>
        <w:rPr>
          <w:rFonts w:ascii="Arial" w:eastAsia="Times New Roman" w:hAnsi="Arial" w:cs="Arial"/>
          <w:i/>
          <w:iCs/>
          <w:szCs w:val="28"/>
          <w:bdr w:val="nil"/>
          <w:lang w:val="uk-UA" w:eastAsia="ru-RU"/>
        </w:rPr>
      </w:pPr>
      <w:r w:rsidRPr="00511005">
        <w:rPr>
          <w:rFonts w:ascii="Arial" w:eastAsia="Times New Roman" w:hAnsi="Arial" w:cs="Arial"/>
          <w:b/>
          <w:i/>
          <w:iCs/>
          <w:szCs w:val="28"/>
          <w:bdr w:val="nil"/>
          <w:lang w:val="uk-UA" w:eastAsia="ru-RU"/>
        </w:rPr>
        <w:t xml:space="preserve">Науковий керівник: </w:t>
      </w:r>
      <w:r w:rsidR="00220D3E" w:rsidRPr="00511005">
        <w:rPr>
          <w:rFonts w:ascii="Arial" w:eastAsia="Times New Roman" w:hAnsi="Arial" w:cs="Arial"/>
          <w:i/>
          <w:iCs/>
          <w:szCs w:val="28"/>
          <w:bdr w:val="nil"/>
          <w:lang w:val="uk-UA" w:eastAsia="ru-RU"/>
        </w:rPr>
        <w:t>к.ю.н., доцент Бєлогубова О.О.</w:t>
      </w:r>
    </w:p>
    <w:p w14:paraId="323F0443" w14:textId="77777777" w:rsidR="00220D3E" w:rsidRPr="00511005" w:rsidRDefault="00220D3E" w:rsidP="003A292D">
      <w:pPr>
        <w:tabs>
          <w:tab w:val="left" w:pos="709"/>
        </w:tabs>
        <w:spacing w:line="264" w:lineRule="auto"/>
        <w:ind w:firstLine="0"/>
        <w:jc w:val="left"/>
        <w:rPr>
          <w:rFonts w:ascii="Arial" w:eastAsia="Times New Roman" w:hAnsi="Arial" w:cs="Arial"/>
          <w:szCs w:val="28"/>
          <w:lang w:val="uk-UA" w:eastAsia="ru-RU"/>
        </w:rPr>
      </w:pPr>
    </w:p>
    <w:p w14:paraId="3693448C"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 xml:space="preserve">Гончаренко Єлизавета Ігорівна </w:t>
      </w:r>
    </w:p>
    <w:p w14:paraId="4AB99044"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 xml:space="preserve">Ніколаєва Віолетта Олегівна </w:t>
      </w:r>
    </w:p>
    <w:p w14:paraId="4BE05FA3" w14:textId="3DA04086"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студентки 4-го курсу </w:t>
      </w:r>
      <w:r w:rsidR="001B7B25" w:rsidRPr="00511005">
        <w:rPr>
          <w:rFonts w:ascii="Arial" w:eastAsia="Times New Roman" w:hAnsi="Arial" w:cs="Arial"/>
          <w:szCs w:val="28"/>
          <w:lang w:val="uk-UA" w:eastAsia="ru-RU"/>
        </w:rPr>
        <w:t>факультету судового та міжнародного права</w:t>
      </w:r>
    </w:p>
    <w:p w14:paraId="79C1CF5F" w14:textId="145A2447"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B3D6394"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1D21E62E"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lastRenderedPageBreak/>
        <w:t>ВПЛИВ РІШЕНЬ МІЖНАРОДНОГО СУДУ ООН НА ФОРМУВАННЯ СУЧАСНОГО МІЖНАРОДНОГО ПРАВА</w:t>
      </w:r>
    </w:p>
    <w:p w14:paraId="38883C2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Попри те, що рішення Міжнародного Суду ООН не мають формальної прецедентної сили, їхній зміст і правові підходи суттєво впливають на розвиток і кодифікацію сучасного міжнародного права, зокрема через формування уніфікованих стандартів тлумачення норм, зміцнення принципу верховенства права на міжнародному рівні та вплив на практику інших міжнародних і національних судових інституцій.</w:t>
      </w:r>
    </w:p>
    <w:p w14:paraId="5D780B3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Міжнародний Суд ООН є головним судовим органом Організації Об’єднаних Націй, що аналізує спори між державами, а також надає консультативні висновки за міжнародним правом. Суд розташований у Палаці миру, у місті Гаага [5].</w:t>
      </w:r>
    </w:p>
    <w:p w14:paraId="61532A8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Міжнародний Суд ООН займається розглядом правових спорів між державами, які стосуються порушень міжнародних угод або виникають під час їхнього тлумачення, керуючись нормами міжнародного права. </w:t>
      </w:r>
    </w:p>
    <w:p w14:paraId="4E9345F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Принцип суверенної рівності держав: у своїх рішеннях Суд формує і уточнює фундаментальні принципи міжнародного права: суверенітет держав, невтручання, заборона застосування сили, територіальна цілісність.</w:t>
      </w:r>
    </w:p>
    <w:p w14:paraId="02EF4B0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своїх рішеннях Суд неодноразово наголошував, що всі держави, незалежно від розміру, військової сили чи економічного потенціалу, мають однакові права й обов’язки в міжнародному співтоваристві.</w:t>
      </w:r>
    </w:p>
    <w:p w14:paraId="311D230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Принцип заборони незастосування сили неодноразово тлумачився Міжнародним Судом. Суд вважає будь-яке збройне втручання, що не має підстав у міжнародному праві </w:t>
      </w: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w:t>
      </w:r>
    </w:p>
    <w:p w14:paraId="45D5B03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Суд не уповноважений притягувати до відповідальності окремих осіб за воєнні злочини чи злочини проти людяності, оскільки не є кримінальним судом і не має прокурора, який міг би ініціювати кримінальні провадження. Цей суд також не виконує функцій вищої судової інстанції для національних судів і не розглядає апеляції від міжнародних трибуналів чи звернення фізичних осіб.</w:t>
      </w:r>
    </w:p>
    <w:p w14:paraId="31D520D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Попри те, що міжнародне право офіційно не визнає прецедент у тому вигляді, як це прийнято в системах загального права, рішення Міжнародного Суду ООН фактично відіграють роль прецедентів. Хоча Суд не зобов’язаний дотримуватися власних попередніх вердиктів, він часто звертається до них задля підтримання узгодженості та передбачуваності в застосуванні норм міжнародного права.</w:t>
      </w:r>
    </w:p>
    <w:p w14:paraId="5858C3A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Рішення Суду безпосередньо впливають на державну практику у кількох важливих аспектах:</w:t>
      </w:r>
    </w:p>
    <w:p w14:paraId="60577DD7" w14:textId="77777777" w:rsidR="00220D3E" w:rsidRPr="00511005" w:rsidRDefault="00220D3E" w:rsidP="003F6A5D">
      <w:pPr>
        <w:numPr>
          <w:ilvl w:val="0"/>
          <w:numId w:val="8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Правова аргументація в подальших спорах: тобто держави використовують рішення Суду як юридичні прецеденти у своїх правових позиціях.</w:t>
      </w:r>
    </w:p>
    <w:p w14:paraId="17839193" w14:textId="77777777" w:rsidR="00220D3E" w:rsidRPr="00511005" w:rsidRDefault="00220D3E" w:rsidP="003F6A5D">
      <w:pPr>
        <w:numPr>
          <w:ilvl w:val="0"/>
          <w:numId w:val="8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Корекція державної поведінки: після рішення Суду держави змінюють свою практику, щоб уникнути подальших спорів або підвищити свою правову позицію </w:t>
      </w:r>
      <w:r w:rsidRPr="00511005">
        <w:rPr>
          <w:rFonts w:ascii="Arial" w:eastAsia="Calibri" w:hAnsi="Arial" w:cs="Arial"/>
          <w:szCs w:val="28"/>
          <w:lang w:val="en-US"/>
        </w:rPr>
        <w:t>[2]</w:t>
      </w:r>
      <w:r w:rsidRPr="00511005">
        <w:rPr>
          <w:rFonts w:ascii="Arial" w:eastAsia="Calibri" w:hAnsi="Arial" w:cs="Arial"/>
          <w:szCs w:val="28"/>
          <w:lang w:val="uk-UA"/>
        </w:rPr>
        <w:t xml:space="preserve">. </w:t>
      </w:r>
    </w:p>
    <w:p w14:paraId="2D748088" w14:textId="77777777" w:rsidR="00220D3E" w:rsidRPr="00511005" w:rsidRDefault="00220D3E" w:rsidP="003F6A5D">
      <w:pPr>
        <w:numPr>
          <w:ilvl w:val="0"/>
          <w:numId w:val="8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Посилення правового підходу у врегулюванні конфліктів: рішення Суду спонукають держави більше покладатися на правові інструменти, а не на політичні або силові методи вирішення спорів. Це сприяє утвердженню міжнародного права як ефективного засобу міжнародної взаємодії</w:t>
      </w:r>
      <w:r w:rsidRPr="00511005">
        <w:rPr>
          <w:rFonts w:ascii="Arial" w:eastAsia="Calibri" w:hAnsi="Arial" w:cs="Arial"/>
          <w:szCs w:val="28"/>
        </w:rPr>
        <w:t xml:space="preserve"> [1]</w:t>
      </w:r>
      <w:r w:rsidRPr="00511005">
        <w:rPr>
          <w:rFonts w:ascii="Arial" w:eastAsia="Calibri" w:hAnsi="Arial" w:cs="Arial"/>
          <w:szCs w:val="28"/>
          <w:lang w:val="uk-UA"/>
        </w:rPr>
        <w:t>.</w:t>
      </w:r>
    </w:p>
    <w:p w14:paraId="6973A9DC" w14:textId="77777777" w:rsidR="00220D3E" w:rsidRPr="00511005" w:rsidRDefault="00220D3E" w:rsidP="003F6A5D">
      <w:pPr>
        <w:numPr>
          <w:ilvl w:val="0"/>
          <w:numId w:val="8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Формування загальноприйнятих правових стандартів: позиції, сформульовані Судом, іноді трансформуються у загальновизнані правові норми. Це стосується, зокрема, прав людини, гуманітарного права, заборони геноциду. Тут як приклад, можна застосувати справу </w:t>
      </w:r>
      <w:r w:rsidRPr="00511005">
        <w:rPr>
          <w:rFonts w:ascii="Arial" w:eastAsia="Calibri" w:hAnsi="Arial" w:cs="Arial"/>
          <w:szCs w:val="28"/>
        </w:rPr>
        <w:t>"Боснія і Герцеговина проти Сербії та Чорногорії"</w:t>
      </w:r>
      <w:r w:rsidRPr="00511005">
        <w:rPr>
          <w:rFonts w:ascii="Arial" w:eastAsia="Calibri" w:hAnsi="Arial" w:cs="Arial"/>
          <w:szCs w:val="28"/>
          <w:lang w:val="uk-UA"/>
        </w:rPr>
        <w:t xml:space="preserve">. У цій справі позивачем була Боснія і Герцеговина, а відповідачем Сербія та Чорногорія (Союзна Республіка Югославія). </w:t>
      </w:r>
      <w:r w:rsidRPr="00511005">
        <w:rPr>
          <w:rFonts w:ascii="Arial" w:eastAsia="Calibri" w:hAnsi="Arial" w:cs="Arial"/>
          <w:szCs w:val="28"/>
        </w:rPr>
        <w:t>Боснія і Герцеговина</w:t>
      </w:r>
      <w:r w:rsidRPr="00511005">
        <w:rPr>
          <w:rFonts w:ascii="Arial" w:eastAsia="Calibri" w:hAnsi="Arial" w:cs="Arial"/>
          <w:szCs w:val="28"/>
          <w:lang w:val="uk-UA"/>
        </w:rPr>
        <w:t xml:space="preserve"> прагнула визнати винним Сербію у тому, що вона порушила положення Конвненції про Геноцид (1948 р.), а саме у контексті підбурювання та неспроможності відвернути геноциду та у ненаданні належного покарання винним у його вчиненні. Суд визнав, що масові вбивства боснійських мусульман у Сребрениці у липні 1995 року є саме актом геноциду. Сербія не була безпосередньо відповідальною за скоєння геноциду, але вона не виконала свій обов’язок відвернути геноцид та не співпрацювала належним чином з Міжнародним трибуналом щодо видачі осіб, звинувачених у геноциді. Міжнародний Суд ООН чітко виніс рішення щодо відповідальності держави за порушення Коненції про геноцид </w:t>
      </w:r>
      <w:r w:rsidRPr="00511005">
        <w:rPr>
          <w:rFonts w:ascii="Arial" w:eastAsia="Calibri" w:hAnsi="Arial" w:cs="Arial"/>
          <w:szCs w:val="28"/>
        </w:rPr>
        <w:t>[4]</w:t>
      </w:r>
      <w:r w:rsidRPr="00511005">
        <w:rPr>
          <w:rFonts w:ascii="Arial" w:eastAsia="Calibri" w:hAnsi="Arial" w:cs="Arial"/>
          <w:szCs w:val="28"/>
          <w:lang w:val="uk-UA"/>
        </w:rPr>
        <w:t xml:space="preserve">. </w:t>
      </w:r>
    </w:p>
    <w:p w14:paraId="15484F91" w14:textId="712EE11B"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Міжнародний Суд ООН</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надає консультативні висновки. Консультативні висновки Міжнародного Суду ООН, на відміну від обов’язкових рішень у міждержавних спорах, не є обов’язковими, але мають авторитетний правовий характер. Вони запитуються органами ООН або її спеціалізованими установами відповідно до Статуту ООН, з метою тлумачення спірних норм чи визначення правового статусу певних ситуацій </w:t>
      </w:r>
      <w:r w:rsidRPr="00511005">
        <w:rPr>
          <w:rFonts w:ascii="Arial" w:eastAsia="Times New Roman" w:hAnsi="Arial" w:cs="Arial"/>
          <w:szCs w:val="28"/>
          <w:lang w:eastAsia="ru-RU"/>
        </w:rPr>
        <w:t>[3]</w:t>
      </w:r>
      <w:r w:rsidRPr="00511005">
        <w:rPr>
          <w:rFonts w:ascii="Arial" w:eastAsia="Times New Roman" w:hAnsi="Arial" w:cs="Arial"/>
          <w:szCs w:val="28"/>
          <w:lang w:val="uk-UA" w:eastAsia="ru-RU"/>
        </w:rPr>
        <w:t>.</w:t>
      </w:r>
    </w:p>
    <w:p w14:paraId="12211DB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Консультативні висновки використовуються як база при ухваленні рішень державами, міжнародними організаціями, національними урядами та судами. Також висновки часто допомагають заповнити прогалини у міжнародному праві. У випадках, коли немає чіткої норми або практика розходиться, Суд формулює правову позицію, яку потім використовують як орієнтир при створенні або тлумаченні норм міжнародного права.</w:t>
      </w:r>
    </w:p>
    <w:p w14:paraId="1B7D6CC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35C35886" w14:textId="2DE25387" w:rsidR="00220D3E" w:rsidRPr="00511005" w:rsidRDefault="007B2628" w:rsidP="007B2628">
      <w:pPr>
        <w:tabs>
          <w:tab w:val="left" w:pos="709"/>
        </w:tabs>
        <w:spacing w:line="264" w:lineRule="auto"/>
        <w:ind w:left="709" w:firstLine="0"/>
        <w:contextualSpacing/>
        <w:jc w:val="center"/>
        <w:rPr>
          <w:rFonts w:ascii="Arial" w:eastAsia="Calibri" w:hAnsi="Arial" w:cs="Arial"/>
          <w:szCs w:val="28"/>
          <w:lang w:val="uk-UA"/>
        </w:rPr>
      </w:pPr>
      <w:r w:rsidRPr="00511005">
        <w:rPr>
          <w:rFonts w:ascii="Arial" w:eastAsia="Times New Roman" w:hAnsi="Arial" w:cs="Arial"/>
          <w:b/>
          <w:szCs w:val="28"/>
          <w:lang w:val="uk-UA" w:eastAsia="ru-RU"/>
        </w:rPr>
        <w:t>Список використаних джерел</w:t>
      </w:r>
    </w:p>
    <w:p w14:paraId="2227F009" w14:textId="77777777" w:rsidR="00220D3E" w:rsidRPr="00511005" w:rsidRDefault="00220D3E" w:rsidP="003F6A5D">
      <w:pPr>
        <w:numPr>
          <w:ilvl w:val="0"/>
          <w:numId w:val="8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lastRenderedPageBreak/>
        <w:t>Войціховський А. В. Міжнародне право : підручник / А. В. Войціховський ; МВС України, Харків. нац. ун-т внутр. справ. Харків, 2020. 544 с.</w:t>
      </w:r>
    </w:p>
    <w:p w14:paraId="71305D90" w14:textId="77777777" w:rsidR="00220D3E" w:rsidRPr="00511005" w:rsidRDefault="00220D3E" w:rsidP="003F6A5D">
      <w:pPr>
        <w:numPr>
          <w:ilvl w:val="0"/>
          <w:numId w:val="8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Кирилюк Н.В., Маник А.З., Задорожна С.М. Міжнародне публічне право: навч.-метод. посібник / Н.В. Кирилюк, А.З. Маник, С.М. Задорожна. Чернівці, Чернівец. нац. ун-т ім. Ю. Федьковича. 2021. 268 с.</w:t>
      </w:r>
    </w:p>
    <w:p w14:paraId="67824469" w14:textId="4F31DE03" w:rsidR="00220D3E" w:rsidRPr="00511005" w:rsidRDefault="00220D3E" w:rsidP="003F6A5D">
      <w:pPr>
        <w:numPr>
          <w:ilvl w:val="0"/>
          <w:numId w:val="8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Міжнародне публічне право: основи теорії : навчально-методичний</w:t>
      </w:r>
      <w:r w:rsidRPr="00511005">
        <w:rPr>
          <w:rFonts w:ascii="Arial" w:eastAsia="Calibri" w:hAnsi="Arial" w:cs="Arial"/>
          <w:szCs w:val="28"/>
        </w:rPr>
        <w:t xml:space="preserve"> </w:t>
      </w:r>
      <w:r w:rsidRPr="00511005">
        <w:rPr>
          <w:rFonts w:ascii="Arial" w:eastAsia="Calibri" w:hAnsi="Arial" w:cs="Arial"/>
          <w:szCs w:val="28"/>
          <w:lang w:val="uk-UA"/>
        </w:rPr>
        <w:t>посібник</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Х. Н. Бехруз, С. С. Андрейченко, М. В. Грушко та ін. Одеса : Видавництво «Юридика», 2023. 252 с.</w:t>
      </w:r>
    </w:p>
    <w:p w14:paraId="0B876DF4" w14:textId="77777777" w:rsidR="00220D3E" w:rsidRPr="00511005" w:rsidRDefault="00220D3E" w:rsidP="003F6A5D">
      <w:pPr>
        <w:numPr>
          <w:ilvl w:val="0"/>
          <w:numId w:val="8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Міжнародний суд у Гаазі виніс вирок у справі позову Боснії і Герцеґовини проти Сербії.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264" w:history="1">
        <w:r w:rsidRPr="00511005">
          <w:rPr>
            <w:rFonts w:ascii="Arial" w:eastAsia="Calibri" w:hAnsi="Arial" w:cs="Arial"/>
            <w:szCs w:val="28"/>
            <w:lang w:val="uk-UA"/>
          </w:rPr>
          <w:t>https://www.radiosvoboda.org/a/959952.html</w:t>
        </w:r>
      </w:hyperlink>
      <w:r w:rsidRPr="00511005">
        <w:rPr>
          <w:rFonts w:ascii="Arial" w:eastAsia="Calibri" w:hAnsi="Arial" w:cs="Arial"/>
          <w:szCs w:val="28"/>
          <w:lang w:val="uk-UA"/>
        </w:rPr>
        <w:t xml:space="preserve"> (дата звернення: 03.05.2025 р.)</w:t>
      </w:r>
    </w:p>
    <w:p w14:paraId="6591DC24" w14:textId="77777777" w:rsidR="00220D3E" w:rsidRPr="00511005" w:rsidRDefault="00220D3E" w:rsidP="003F6A5D">
      <w:pPr>
        <w:numPr>
          <w:ilvl w:val="0"/>
          <w:numId w:val="8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Посольство України в Королівстві Нідерланди. Міжнародний Суд ООН.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265" w:history="1">
        <w:r w:rsidRPr="00511005">
          <w:rPr>
            <w:rFonts w:ascii="Arial" w:eastAsia="Calibri" w:hAnsi="Arial" w:cs="Arial"/>
            <w:szCs w:val="28"/>
            <w:lang w:val="uk-UA"/>
          </w:rPr>
          <w:t>https://netherlands.mfa.gov.ua/spivrobitnictvo/spivrobitnictvo-z-mizhnarodnimi-organizaciyami/mizhnarodnij-sud-oon</w:t>
        </w:r>
      </w:hyperlink>
      <w:r w:rsidRPr="00511005">
        <w:rPr>
          <w:rFonts w:ascii="Arial" w:eastAsia="Calibri" w:hAnsi="Arial" w:cs="Arial"/>
          <w:szCs w:val="28"/>
          <w:lang w:val="uk-UA"/>
        </w:rPr>
        <w:t xml:space="preserve"> (дата звернення: 04.05.2025 р.)</w:t>
      </w:r>
    </w:p>
    <w:p w14:paraId="27B73B4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3B68EEDA" w14:textId="4746C5F8"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міжнародний суд ООН, міжнародне право, спір, конфлікт, правові стандарти, права людини, консультативні висновки.</w:t>
      </w:r>
      <w:r w:rsidR="00220D3E" w:rsidRPr="00511005">
        <w:rPr>
          <w:rFonts w:ascii="Arial" w:eastAsia="Times New Roman" w:hAnsi="Arial" w:cs="Arial"/>
          <w:szCs w:val="28"/>
          <w:lang w:eastAsia="ru-RU"/>
        </w:rPr>
        <w:t xml:space="preserve"> </w:t>
      </w:r>
    </w:p>
    <w:p w14:paraId="439FEA8D" w14:textId="4366342C"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uk-UA" w:eastAsia="ru-RU"/>
        </w:rPr>
        <w:t>UN International Court of Justice, international law, dispute, conflict, legal standards, human rights, advisory opinions.</w:t>
      </w:r>
    </w:p>
    <w:p w14:paraId="68F5F664" w14:textId="125CB9E3"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к.ю.н., доцент Дронов В.Ю.</w:t>
      </w:r>
    </w:p>
    <w:p w14:paraId="3EFA4BF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23423E2B"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eastAsia="ru-RU"/>
        </w:rPr>
        <w:t xml:space="preserve">Горбенко Марія Олександрівна, </w:t>
      </w:r>
    </w:p>
    <w:p w14:paraId="3F57CADE"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Ігнатенко Анастасія Анатоліївна</w:t>
      </w:r>
    </w:p>
    <w:p w14:paraId="260E78EC" w14:textId="7383D6BA"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t xml:space="preserve">студентки 4-го курсу </w:t>
      </w:r>
      <w:r w:rsidR="00536AAB" w:rsidRPr="00511005">
        <w:rPr>
          <w:rFonts w:ascii="Arial" w:eastAsia="Times New Roman" w:hAnsi="Arial" w:cs="Arial"/>
          <w:szCs w:val="28"/>
          <w:lang w:eastAsia="ru-RU"/>
        </w:rPr>
        <w:t>факультету адвокатури та антикорупційної діяльності</w:t>
      </w:r>
      <w:r w:rsidRPr="00511005">
        <w:rPr>
          <w:rFonts w:ascii="Arial" w:eastAsia="Times New Roman" w:hAnsi="Arial" w:cs="Arial"/>
          <w:szCs w:val="28"/>
          <w:lang w:eastAsia="ru-RU"/>
        </w:rPr>
        <w:t xml:space="preserve"> </w:t>
      </w:r>
      <w:r w:rsidR="007B2628" w:rsidRPr="00511005">
        <w:rPr>
          <w:rFonts w:ascii="Arial" w:eastAsia="Times New Roman" w:hAnsi="Arial" w:cs="Arial"/>
          <w:szCs w:val="28"/>
          <w:lang w:eastAsia="ru-RU"/>
        </w:rPr>
        <w:t>Національного університету «Одеська юридична академія»</w:t>
      </w:r>
    </w:p>
    <w:p w14:paraId="1441BA26"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388EF110"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ПРАВОВІ НАСЛІДКИ УКЛАДЕННЯ УГОДИ ПРО АСОЦІАЦІЮ МІЖ УКРАЇНОЮ ТА ЄВРОПЕЙСЬКИМ СОЮЗОМ</w:t>
      </w:r>
    </w:p>
    <w:p w14:paraId="48F2CA99" w14:textId="77777777" w:rsidR="007B2628" w:rsidRPr="00511005" w:rsidRDefault="00220D3E" w:rsidP="003A292D">
      <w:pPr>
        <w:tabs>
          <w:tab w:val="left" w:pos="709"/>
        </w:tabs>
        <w:spacing w:line="264" w:lineRule="auto"/>
        <w:rPr>
          <w:rFonts w:ascii="Arial" w:eastAsia="Times New Roman" w:hAnsi="Arial" w:cs="Arial"/>
          <w:szCs w:val="28"/>
          <w:lang w:eastAsia="ru-RU"/>
        </w:rPr>
      </w:pPr>
      <w:proofErr w:type="gramStart"/>
      <w:r w:rsidRPr="00511005">
        <w:rPr>
          <w:rFonts w:ascii="Arial" w:eastAsia="Times New Roman" w:hAnsi="Arial" w:cs="Arial"/>
          <w:szCs w:val="28"/>
          <w:lang w:eastAsia="ru-RU"/>
        </w:rPr>
        <w:t>Укладення</w:t>
      </w:r>
      <w:proofErr w:type="gramEnd"/>
      <w:r w:rsidRPr="00511005">
        <w:rPr>
          <w:rFonts w:ascii="Arial" w:eastAsia="Times New Roman" w:hAnsi="Arial" w:cs="Arial"/>
          <w:szCs w:val="28"/>
          <w:lang w:eastAsia="ru-RU"/>
        </w:rPr>
        <w:t xml:space="preserve"> Угоди про асоціацію між Україною та Європейським Союзом стало знаковою подією, що визначила стратегічний вектор розвитку держави на шляху європейської інтеграції. Цей всеосяжний документ не лише започаткував новий етап у відносинах між Україною та ЄС, але й зумовив глибокі правові трансформації в багатьох сферах національного законодавства. </w:t>
      </w:r>
    </w:p>
    <w:p w14:paraId="7088877A" w14:textId="672D1E5D"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Як зазначає у своїй роботі Проневич О. С., то «Євроінтеграційна перспектива України в основному була окреслена Угодою про партнерство та співробітництво між Україною і Європейськими Співтовариствами та їх державами-членами (УПС) від 14 червня 1994 року (набула чинності 1 березня 1998 року). Згідно з частиною 1 статті 51 УПС вперше актуалізовано проблему добровільного, часткового та поступового «зближення існуючого і </w:t>
      </w:r>
      <w:r w:rsidRPr="00511005">
        <w:rPr>
          <w:rFonts w:ascii="Arial" w:eastAsia="Times New Roman" w:hAnsi="Arial" w:cs="Arial"/>
          <w:szCs w:val="28"/>
          <w:lang w:eastAsia="ru-RU"/>
        </w:rPr>
        <w:lastRenderedPageBreak/>
        <w:t>майбутнього законодавства України з законодавством Співтовариства» («приведення законодавства України у відповідність до законодавства Співтовариства») шляхом встановлення «приблизної адекватності законів» (щоправда, без визначення прогнозованого ступеня сумісності законодавства, термінів її досягнення, критеріїв оцінювання та санкцій за невиконання взятих зобов’язань) у 16 пріоритетних для зміцнення економічних зв’язків сферах (митне право, законодавство про компанії, банківське право, бухгалтерський облік компаній, податки, включаючи непрямі, інтелектуальна власність, охорона праці, фінансові послуги, правила конкуренції, державні закупівлі, охорона здоров’я та життя людей, тварин і рослин, навколишнє середовище, захист прав споживачів, технічні правила і стандарти, енергетика, транспорт)». [1, ст. 61]</w:t>
      </w:r>
    </w:p>
    <w:p w14:paraId="40C24F2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По-перше, варто зазначити загальні правові наслідки та принципи імплементації:</w:t>
      </w:r>
    </w:p>
    <w:p w14:paraId="796454E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Угода про асоціацію є міжнародним договором, який відповідно до статті 9 Конституції України є частиною національного законодавства. Одним із фундаментальних правових наслідків її укладення є безпосередньо зобов'язання України, щодо поступового наближення свого законодавства до правової бази Європейського Союзу (acquis communautaire). Цей процес охоплює широкий спектр галузей, включаючи економіку, політику, юстицію, свободу та безпеку, а також галузеве співробітництво.</w:t>
      </w:r>
    </w:p>
    <w:p w14:paraId="191AF14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Важливим принципом </w:t>
      </w:r>
      <w:proofErr w:type="gramStart"/>
      <w:r w:rsidRPr="00511005">
        <w:rPr>
          <w:rFonts w:ascii="Arial" w:eastAsia="Times New Roman" w:hAnsi="Arial" w:cs="Arial"/>
          <w:szCs w:val="28"/>
          <w:lang w:eastAsia="ru-RU"/>
        </w:rPr>
        <w:t>імплементації</w:t>
      </w:r>
      <w:proofErr w:type="gramEnd"/>
      <w:r w:rsidRPr="00511005">
        <w:rPr>
          <w:rFonts w:ascii="Arial" w:eastAsia="Times New Roman" w:hAnsi="Arial" w:cs="Arial"/>
          <w:szCs w:val="28"/>
          <w:lang w:eastAsia="ru-RU"/>
        </w:rPr>
        <w:t xml:space="preserve"> Угоди є пріоритет її норм над національним законодавством у визначених сферах. Це означає, що у разі колізії між </w:t>
      </w:r>
      <w:proofErr w:type="gramStart"/>
      <w:r w:rsidRPr="00511005">
        <w:rPr>
          <w:rFonts w:ascii="Arial" w:eastAsia="Times New Roman" w:hAnsi="Arial" w:cs="Arial"/>
          <w:szCs w:val="28"/>
          <w:lang w:eastAsia="ru-RU"/>
        </w:rPr>
        <w:t>положеннями</w:t>
      </w:r>
      <w:proofErr w:type="gramEnd"/>
      <w:r w:rsidRPr="00511005">
        <w:rPr>
          <w:rFonts w:ascii="Arial" w:eastAsia="Times New Roman" w:hAnsi="Arial" w:cs="Arial"/>
          <w:szCs w:val="28"/>
          <w:lang w:eastAsia="ru-RU"/>
        </w:rPr>
        <w:t xml:space="preserve"> Угоди та національним законом застосовуються норми міжнародного договору. Угода також передбачає створення спільних інституційних механізмів, таких як Комітет з асоціації та Підкомітети, які здійснюють моніторинг та сприяють виконанню її положень.</w:t>
      </w:r>
    </w:p>
    <w:p w14:paraId="39A7CB5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Саме </w:t>
      </w:r>
      <w:proofErr w:type="gramStart"/>
      <w:r w:rsidRPr="00511005">
        <w:rPr>
          <w:rFonts w:ascii="Arial" w:eastAsia="Times New Roman" w:hAnsi="Arial" w:cs="Arial"/>
          <w:szCs w:val="28"/>
          <w:lang w:eastAsia="ru-RU"/>
        </w:rPr>
        <w:t>укладення</w:t>
      </w:r>
      <w:proofErr w:type="gramEnd"/>
      <w:r w:rsidRPr="00511005">
        <w:rPr>
          <w:rFonts w:ascii="Arial" w:eastAsia="Times New Roman" w:hAnsi="Arial" w:cs="Arial"/>
          <w:szCs w:val="28"/>
          <w:lang w:eastAsia="ru-RU"/>
        </w:rPr>
        <w:t xml:space="preserve"> Угоди призвело до виникнення нових прав та обов'язків, як для держави Україна, так і для фізичних та юридичних осіб. Зокрема, це стосується прав, пов'язаних із створенням зони вільної торгівлі, участю у програмах ЄС, а також обов'язків, щодо приведення національних стандартів та процедур у відповідність до європейських.</w:t>
      </w:r>
    </w:p>
    <w:p w14:paraId="7530EDE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Щодо правових наслідків, вони зазначаються в ключових сферах, таких як: економічна інтеграція; політичний діалог та співробітництво; співробітництво у сфері юстиції, свободи та безпеки; галузеве співробітництво.</w:t>
      </w:r>
    </w:p>
    <w:p w14:paraId="71235ED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Одним із центральних </w:t>
      </w:r>
      <w:proofErr w:type="gramStart"/>
      <w:r w:rsidRPr="00511005">
        <w:rPr>
          <w:rFonts w:ascii="Arial" w:eastAsia="Times New Roman" w:hAnsi="Arial" w:cs="Arial"/>
          <w:szCs w:val="28"/>
          <w:lang w:eastAsia="ru-RU"/>
        </w:rPr>
        <w:t>елементів</w:t>
      </w:r>
      <w:proofErr w:type="gramEnd"/>
      <w:r w:rsidRPr="00511005">
        <w:rPr>
          <w:rFonts w:ascii="Arial" w:eastAsia="Times New Roman" w:hAnsi="Arial" w:cs="Arial"/>
          <w:szCs w:val="28"/>
          <w:lang w:eastAsia="ru-RU"/>
        </w:rPr>
        <w:t xml:space="preserve"> Угоди є створення глибокої та всеосяжної зони вільної торгівлі (ГВЗВТ), що передбачено економічною інтеграцією. Правові наслідки цього включають скасування митних тарифів та кількісних обмежень у взаємній торгівлі, регулювання нетарифних бар'єрів, а також гармонізацію законодавства </w:t>
      </w:r>
      <w:proofErr w:type="gramStart"/>
      <w:r w:rsidRPr="00511005">
        <w:rPr>
          <w:rFonts w:ascii="Arial" w:eastAsia="Times New Roman" w:hAnsi="Arial" w:cs="Arial"/>
          <w:szCs w:val="28"/>
          <w:lang w:eastAsia="ru-RU"/>
        </w:rPr>
        <w:t>у сферах</w:t>
      </w:r>
      <w:proofErr w:type="gramEnd"/>
      <w:r w:rsidRPr="00511005">
        <w:rPr>
          <w:rFonts w:ascii="Arial" w:eastAsia="Times New Roman" w:hAnsi="Arial" w:cs="Arial"/>
          <w:szCs w:val="28"/>
          <w:lang w:eastAsia="ru-RU"/>
        </w:rPr>
        <w:t xml:space="preserve"> технічного </w:t>
      </w:r>
      <w:r w:rsidRPr="00511005">
        <w:rPr>
          <w:rFonts w:ascii="Arial" w:eastAsia="Times New Roman" w:hAnsi="Arial" w:cs="Arial"/>
          <w:szCs w:val="28"/>
          <w:lang w:eastAsia="ru-RU"/>
        </w:rPr>
        <w:lastRenderedPageBreak/>
        <w:t>регулювання, санітарних та фітосанітарних заходів, захисту конкуренції та державної допомоги. Імплементація цих положень вимагає значних змін у національному законодавстві, спрямованих на лібералізацію торговельних відносин та забезпечення рівних умов конкуренції.</w:t>
      </w:r>
    </w:p>
    <w:p w14:paraId="74FACA5A" w14:textId="77777777" w:rsidR="00220D3E" w:rsidRPr="00511005" w:rsidRDefault="005938AD" w:rsidP="003A292D">
      <w:pPr>
        <w:tabs>
          <w:tab w:val="left" w:pos="709"/>
        </w:tabs>
        <w:spacing w:line="264" w:lineRule="auto"/>
        <w:rPr>
          <w:rFonts w:ascii="Arial" w:eastAsia="Times New Roman" w:hAnsi="Arial" w:cs="Arial"/>
          <w:szCs w:val="28"/>
          <w:lang w:eastAsia="ru-RU"/>
        </w:rPr>
      </w:pPr>
      <w:hyperlink r:id="rId266" w:history="1">
        <w:r w:rsidR="00220D3E" w:rsidRPr="00511005">
          <w:rPr>
            <w:rFonts w:ascii="Arial" w:eastAsia="Times New Roman" w:hAnsi="Arial" w:cs="Arial"/>
            <w:szCs w:val="28"/>
            <w:shd w:val="clear" w:color="auto" w:fill="FFFFFF"/>
            <w:lang w:eastAsia="ru-RU"/>
          </w:rPr>
          <w:t xml:space="preserve"> Іванов</w:t>
        </w:r>
      </w:hyperlink>
      <w:r w:rsidR="00220D3E" w:rsidRPr="00511005">
        <w:rPr>
          <w:rFonts w:ascii="Arial" w:eastAsia="Times New Roman" w:hAnsi="Arial" w:cs="Arial"/>
          <w:szCs w:val="28"/>
          <w:lang w:eastAsia="ru-RU"/>
        </w:rPr>
        <w:t xml:space="preserve"> С. В.</w:t>
      </w:r>
      <w:r w:rsidR="00220D3E" w:rsidRPr="00511005">
        <w:rPr>
          <w:rFonts w:ascii="Arial" w:eastAsia="Times New Roman" w:hAnsi="Arial" w:cs="Arial"/>
          <w:szCs w:val="28"/>
          <w:shd w:val="clear" w:color="auto" w:fill="FFFFFF"/>
          <w:lang w:eastAsia="ru-RU"/>
        </w:rPr>
        <w:t xml:space="preserve"> та </w:t>
      </w:r>
      <w:hyperlink r:id="rId267" w:history="1">
        <w:r w:rsidR="00220D3E" w:rsidRPr="00511005">
          <w:rPr>
            <w:rFonts w:ascii="Arial" w:eastAsia="Times New Roman" w:hAnsi="Arial" w:cs="Arial"/>
            <w:szCs w:val="28"/>
            <w:shd w:val="clear" w:color="auto" w:fill="FFFFFF"/>
            <w:lang w:eastAsia="ru-RU"/>
          </w:rPr>
          <w:t xml:space="preserve"> Артюх</w:t>
        </w:r>
      </w:hyperlink>
      <w:r w:rsidR="00220D3E" w:rsidRPr="00511005">
        <w:rPr>
          <w:rFonts w:ascii="Arial" w:eastAsia="Times New Roman" w:hAnsi="Arial" w:cs="Arial"/>
          <w:szCs w:val="28"/>
          <w:lang w:eastAsia="ru-RU"/>
        </w:rPr>
        <w:t xml:space="preserve"> Т. М. зазначають, що «Парафування Угоди про асоціацію між Україною та Європейським союзом (ЄС) щодо створення зони вільної торгівлі (ЗВТ) обумовлює не лише усвідомлення необхідності загальноєвропейської інтеграції як важливого чинника поступового економічного розвитку країни, а й виконання міжнародних зобов'язань на національному рівні». [2, ст. 41]</w:t>
      </w:r>
    </w:p>
    <w:p w14:paraId="5431D3F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сфері захисту інтелектуальної власності Угода передбачає посилення охорони авторських прав, суміжних прав, патентів, торговельних марок та географічних зазначень відповідно до європейських стандартів. Це вимагає прийняття нових законодавчих актів та удосконалення механізмів правозастосування.</w:t>
      </w:r>
    </w:p>
    <w:p w14:paraId="169D423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Що стосується політичного діалогу та співробітництва, то у політичній сфері Угода сприяє зміцненню демократичних інститутів, верховенства права та належного врядування в Україні. Правові наслідки включають зобов'язання щодо реформування судової системи, боротьби з корупцією, забезпечення незалежності засобів масової інформації та захисту прав національних меншин. Угода також передбачає поглиблення співробітництва у сфері зовнішньої політики та безпеки, включаючи участь України у спільних ініціативах з ЄС.</w:t>
      </w:r>
    </w:p>
    <w:p w14:paraId="2A00D94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Співробітництво у сфері юстиції, свободи та безпеки: у цій сфері Угода спрямована на посилення співробітництва у боротьбі зі злочинністю, включаючи організовану злочинність та корупцію, у сфері міграції та прикордонного контролю, а також у правоохоронній сфері. Правові наслідки включають необхідність гармонізації законодавства у кримінальній сфері, екстрадиції, правової допомоги, а також впровадження європейських стандартів у сфері захисту персональних даних та управління кордонами.</w:t>
      </w:r>
    </w:p>
    <w:p w14:paraId="7D9CF26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Куненко І. С. пише, що «співробітництво у даній сфері відбувається на основі принципів поваги до прав людини та основоположних свобод. Важливою метою співробітництва визначено утвердження верховенства права та зміцнення відповідних інституцій, зокрема у сфері правоохоронної діяльності та встановлення правосуддя, зміцнення судової системи, гарантування її незалежності та неупередженості». [3]</w:t>
      </w:r>
    </w:p>
    <w:p w14:paraId="090B4EC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Також є не менш важливим галузеве співробітництво. Угода охоплює широкий спектр галузевого співробітництва, включаючи енергетику, транспорт, охорону навколишнього середовища, соціальну політику та зайнятість. Правові наслідки в цих сферах включають наближення до стандартів ЄС у сфері енергоефективності, розвитку відновлювальних джерел енергії, безпеки на транспорті, охорони атмосферного повітря та </w:t>
      </w:r>
      <w:r w:rsidRPr="00511005">
        <w:rPr>
          <w:rFonts w:ascii="Arial" w:eastAsia="Times New Roman" w:hAnsi="Arial" w:cs="Arial"/>
          <w:szCs w:val="28"/>
          <w:lang w:eastAsia="ru-RU"/>
        </w:rPr>
        <w:lastRenderedPageBreak/>
        <w:t>водних ресурсів, а також забезпечення рівних можливостей та соціального захисту.</w:t>
      </w:r>
    </w:p>
    <w:p w14:paraId="11DAE71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Аналізуючи чинне законодавство та низку нормативно правових актів, а також думки вчених, можна дійти висновку, що угода про асоціацію відкриває для України широкі перспективи подальшої європейської інтеграції. Поглиблення економічних зв'язків з ЄС може сприяти зростанню економіки, залученню інвестицій та підвищенню конкурентоздатності українських підприємств. Наближення до європейських стандартів у різних сферах може призвести до поліпшення якості життя громадян, зміцнення демократичних інститутів та верховенства права.</w:t>
      </w:r>
    </w:p>
    <w:p w14:paraId="15E118C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Водночас процес </w:t>
      </w:r>
      <w:proofErr w:type="gramStart"/>
      <w:r w:rsidRPr="00511005">
        <w:rPr>
          <w:rFonts w:ascii="Arial" w:eastAsia="Times New Roman" w:hAnsi="Arial" w:cs="Arial"/>
          <w:szCs w:val="28"/>
          <w:lang w:eastAsia="ru-RU"/>
        </w:rPr>
        <w:t>імплементації</w:t>
      </w:r>
      <w:proofErr w:type="gramEnd"/>
      <w:r w:rsidRPr="00511005">
        <w:rPr>
          <w:rFonts w:ascii="Arial" w:eastAsia="Times New Roman" w:hAnsi="Arial" w:cs="Arial"/>
          <w:szCs w:val="28"/>
          <w:lang w:eastAsia="ru-RU"/>
        </w:rPr>
        <w:t xml:space="preserve"> Угоди пов'язаний зі значними викликами. Адаптація національного законодавства до acquis communautaire вимагає значних фінансових ресурсів та людських сил. Забезпечення ефективного правозастосування та подолання корупції є ключовими умовами успішної імплементації. Крім того, необхідно враховувати потенційні економічні та соціальні наслідки, пов'язані з лібералізацією торгівлі та впровадженням нових стандартів.</w:t>
      </w:r>
    </w:p>
    <w:p w14:paraId="7781656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Тому, </w:t>
      </w:r>
      <w:proofErr w:type="gramStart"/>
      <w:r w:rsidRPr="00511005">
        <w:rPr>
          <w:rFonts w:ascii="Arial" w:eastAsia="Times New Roman" w:hAnsi="Arial" w:cs="Arial"/>
          <w:szCs w:val="28"/>
          <w:lang w:eastAsia="ru-RU"/>
        </w:rPr>
        <w:t>укладення</w:t>
      </w:r>
      <w:proofErr w:type="gramEnd"/>
      <w:r w:rsidRPr="00511005">
        <w:rPr>
          <w:rFonts w:ascii="Arial" w:eastAsia="Times New Roman" w:hAnsi="Arial" w:cs="Arial"/>
          <w:szCs w:val="28"/>
          <w:lang w:eastAsia="ru-RU"/>
        </w:rPr>
        <w:t xml:space="preserve"> Угоди про асоціацію між Україною та Європейським Союзом є важливим кроком на шляху європейської інтеграції, що зумовлює глибокі правові наслідки в багатьох сферах суспільного життя України. </w:t>
      </w:r>
      <w:proofErr w:type="gramStart"/>
      <w:r w:rsidRPr="00511005">
        <w:rPr>
          <w:rFonts w:ascii="Arial" w:eastAsia="Times New Roman" w:hAnsi="Arial" w:cs="Arial"/>
          <w:szCs w:val="28"/>
          <w:lang w:eastAsia="ru-RU"/>
        </w:rPr>
        <w:t>Імплементація</w:t>
      </w:r>
      <w:proofErr w:type="gramEnd"/>
      <w:r w:rsidRPr="00511005">
        <w:rPr>
          <w:rFonts w:ascii="Arial" w:eastAsia="Times New Roman" w:hAnsi="Arial" w:cs="Arial"/>
          <w:szCs w:val="28"/>
          <w:lang w:eastAsia="ru-RU"/>
        </w:rPr>
        <w:t xml:space="preserve"> Угоди вимагає комплексного підходу, включаючи адаптацію національного законодавства, реформування державних інституцій та активну участь громадянського суспільства. </w:t>
      </w:r>
    </w:p>
    <w:p w14:paraId="3A1D41EB"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036E7A24" w14:textId="66F1E3A1" w:rsidR="007B2628"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579B9890" w14:textId="2553303E" w:rsidR="00220D3E" w:rsidRPr="00511005" w:rsidRDefault="00220D3E" w:rsidP="003F6A5D">
      <w:pPr>
        <w:numPr>
          <w:ilvl w:val="0"/>
          <w:numId w:val="88"/>
        </w:numPr>
        <w:tabs>
          <w:tab w:val="left" w:pos="709"/>
        </w:tabs>
        <w:spacing w:line="264" w:lineRule="auto"/>
        <w:ind w:left="0" w:firstLine="709"/>
        <w:jc w:val="left"/>
        <w:rPr>
          <w:rFonts w:ascii="Arial" w:eastAsia="Times New Roman" w:hAnsi="Arial" w:cs="Arial"/>
          <w:bCs/>
          <w:szCs w:val="28"/>
          <w:lang w:eastAsia="ru-RU"/>
        </w:rPr>
      </w:pPr>
      <w:r w:rsidRPr="00511005">
        <w:rPr>
          <w:rFonts w:ascii="Arial" w:eastAsia="Times New Roman" w:hAnsi="Arial" w:cs="Arial"/>
          <w:szCs w:val="28"/>
          <w:lang w:eastAsia="ru-RU"/>
        </w:rPr>
        <w:t>Проневич О. С. Адаптація вітчизняного законодавства до законодавства Європейського Союзу: доктринально-правовий аспект.</w:t>
      </w:r>
      <w:r w:rsidR="007B2628"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Вісник Харківського національного університету внутрішніх справ.</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2016.</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3.</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С. 59-69. URL: </w:t>
      </w:r>
      <w:hyperlink r:id="rId268" w:history="1">
        <w:r w:rsidRPr="00511005">
          <w:rPr>
            <w:rFonts w:ascii="Arial" w:eastAsia="Times New Roman" w:hAnsi="Arial" w:cs="Arial"/>
            <w:szCs w:val="28"/>
            <w:lang w:eastAsia="ru-RU"/>
          </w:rPr>
          <w:t>http://nbuv.gov.ua/UJRN/VKhnuvs_2016_3_11</w:t>
        </w:r>
      </w:hyperlink>
      <w:r w:rsidRPr="00511005">
        <w:rPr>
          <w:rFonts w:ascii="Arial" w:eastAsia="Times New Roman" w:hAnsi="Arial" w:cs="Arial"/>
          <w:szCs w:val="28"/>
          <w:lang w:eastAsia="ru-RU"/>
        </w:rPr>
        <w:t>.</w:t>
      </w:r>
    </w:p>
    <w:p w14:paraId="0738B597" w14:textId="77777777" w:rsidR="00220D3E" w:rsidRPr="00511005" w:rsidRDefault="005938AD" w:rsidP="003F6A5D">
      <w:pPr>
        <w:numPr>
          <w:ilvl w:val="0"/>
          <w:numId w:val="88"/>
        </w:numPr>
        <w:tabs>
          <w:tab w:val="left" w:pos="709"/>
        </w:tabs>
        <w:spacing w:line="264" w:lineRule="auto"/>
        <w:ind w:left="0" w:firstLine="709"/>
        <w:jc w:val="left"/>
        <w:rPr>
          <w:rFonts w:ascii="Arial" w:eastAsia="Times New Roman" w:hAnsi="Arial" w:cs="Arial"/>
          <w:bCs/>
          <w:szCs w:val="28"/>
          <w:lang w:eastAsia="ru-RU"/>
        </w:rPr>
      </w:pPr>
      <w:hyperlink r:id="rId269" w:history="1">
        <w:r w:rsidR="00220D3E" w:rsidRPr="00511005">
          <w:rPr>
            <w:rFonts w:ascii="Arial" w:eastAsia="Times New Roman" w:hAnsi="Arial" w:cs="Arial"/>
            <w:szCs w:val="28"/>
            <w:shd w:val="clear" w:color="auto" w:fill="FFFFFF"/>
            <w:lang w:eastAsia="ru-RU"/>
          </w:rPr>
          <w:t xml:space="preserve"> Іванов</w:t>
        </w:r>
      </w:hyperlink>
      <w:r w:rsidR="00220D3E" w:rsidRPr="00511005">
        <w:rPr>
          <w:rFonts w:ascii="Arial" w:eastAsia="Times New Roman" w:hAnsi="Arial" w:cs="Arial"/>
          <w:szCs w:val="28"/>
          <w:lang w:eastAsia="ru-RU"/>
        </w:rPr>
        <w:t xml:space="preserve"> С. В.</w:t>
      </w:r>
      <w:r w:rsidR="00220D3E" w:rsidRPr="00511005">
        <w:rPr>
          <w:rFonts w:ascii="Arial" w:eastAsia="Times New Roman" w:hAnsi="Arial" w:cs="Arial"/>
          <w:szCs w:val="28"/>
          <w:shd w:val="clear" w:color="auto" w:fill="FFFFFF"/>
          <w:lang w:eastAsia="ru-RU"/>
        </w:rPr>
        <w:t xml:space="preserve">, </w:t>
      </w:r>
      <w:hyperlink r:id="rId270" w:history="1">
        <w:r w:rsidR="00220D3E" w:rsidRPr="00511005">
          <w:rPr>
            <w:rFonts w:ascii="Arial" w:eastAsia="Times New Roman" w:hAnsi="Arial" w:cs="Arial"/>
            <w:szCs w:val="28"/>
            <w:shd w:val="clear" w:color="auto" w:fill="FFFFFF"/>
            <w:lang w:eastAsia="ru-RU"/>
          </w:rPr>
          <w:t xml:space="preserve"> Артюх</w:t>
        </w:r>
      </w:hyperlink>
      <w:r w:rsidR="00220D3E" w:rsidRPr="00511005">
        <w:rPr>
          <w:rFonts w:ascii="Arial" w:eastAsia="Times New Roman" w:hAnsi="Arial" w:cs="Arial"/>
          <w:szCs w:val="28"/>
          <w:lang w:eastAsia="ru-RU"/>
        </w:rPr>
        <w:t xml:space="preserve"> Т. М. </w:t>
      </w:r>
      <w:r w:rsidR="00220D3E" w:rsidRPr="00511005">
        <w:rPr>
          <w:rFonts w:ascii="Arial" w:eastAsia="Times New Roman" w:hAnsi="Arial" w:cs="Arial"/>
          <w:bCs/>
          <w:iCs/>
          <w:szCs w:val="28"/>
          <w:lang w:eastAsia="ru-RU"/>
        </w:rPr>
        <w:t xml:space="preserve">Імплементація Україною системи технічного регулювання ЄС: економічний та законодавчий аспект. </w:t>
      </w:r>
      <w:r w:rsidR="00220D3E" w:rsidRPr="00511005">
        <w:rPr>
          <w:rFonts w:ascii="Arial" w:eastAsia="Times New Roman" w:hAnsi="Arial" w:cs="Arial"/>
          <w:bCs/>
          <w:i/>
          <w:iCs/>
          <w:szCs w:val="28"/>
          <w:lang w:eastAsia="ru-RU"/>
        </w:rPr>
        <w:t>Вісник Київського національного університету імені Тараса Шевченка</w:t>
      </w:r>
      <w:r w:rsidR="00220D3E" w:rsidRPr="00511005">
        <w:rPr>
          <w:rFonts w:ascii="Arial" w:eastAsia="Times New Roman" w:hAnsi="Arial" w:cs="Arial"/>
          <w:bCs/>
          <w:iCs/>
          <w:szCs w:val="28"/>
          <w:lang w:eastAsia="ru-RU"/>
        </w:rPr>
        <w:t xml:space="preserve">. 2013. № 12. С. 41-44. URL: </w:t>
      </w:r>
      <w:hyperlink r:id="rId271" w:history="1">
        <w:r w:rsidR="00220D3E" w:rsidRPr="00511005">
          <w:rPr>
            <w:rFonts w:ascii="Arial" w:eastAsia="Times New Roman" w:hAnsi="Arial" w:cs="Arial"/>
            <w:bCs/>
            <w:iCs/>
            <w:szCs w:val="28"/>
            <w:lang w:eastAsia="ru-RU"/>
          </w:rPr>
          <w:t>http://nbuv.gov.ua/UJRN/VKNU_Ekon_2013_12_11</w:t>
        </w:r>
      </w:hyperlink>
      <w:r w:rsidR="00220D3E" w:rsidRPr="00511005">
        <w:rPr>
          <w:rFonts w:ascii="Arial" w:eastAsia="Times New Roman" w:hAnsi="Arial" w:cs="Arial"/>
          <w:bCs/>
          <w:iCs/>
          <w:szCs w:val="28"/>
          <w:lang w:eastAsia="ru-RU"/>
        </w:rPr>
        <w:t>.</w:t>
      </w:r>
    </w:p>
    <w:p w14:paraId="259B1D33" w14:textId="77777777" w:rsidR="00220D3E" w:rsidRPr="00511005" w:rsidRDefault="00220D3E" w:rsidP="003F6A5D">
      <w:pPr>
        <w:numPr>
          <w:ilvl w:val="0"/>
          <w:numId w:val="88"/>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Куненко І. С. Актуальні питання співробітництва України та європейського союзу у сфері юстиції. </w:t>
      </w:r>
      <w:r w:rsidRPr="00511005">
        <w:rPr>
          <w:rFonts w:ascii="Arial" w:eastAsia="Times New Roman" w:hAnsi="Arial" w:cs="Arial"/>
          <w:i/>
          <w:szCs w:val="28"/>
          <w:lang w:eastAsia="ru-RU"/>
        </w:rPr>
        <w:t>Матеріали ІI Всеукраїнської науково-практичної конференції «ПРОБЛЕМИ ПРАВОВОЇ СИСТЕМИ УКРАЇНИ»</w:t>
      </w:r>
      <w:r w:rsidRPr="00511005">
        <w:rPr>
          <w:rFonts w:ascii="Arial" w:eastAsia="Times New Roman" w:hAnsi="Arial" w:cs="Arial"/>
          <w:szCs w:val="28"/>
          <w:lang w:eastAsia="ru-RU"/>
        </w:rPr>
        <w:t>. 2022. С. 74-76.</w:t>
      </w:r>
    </w:p>
    <w:p w14:paraId="4ABC01F9" w14:textId="1853F792"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Угода про асоціацію, Європейський Союз, правові наслідки, імплементація, acquis communautaire, економічна інтеграція, політичний діалог, галузеве співробітництво, реформування законодавства.</w:t>
      </w:r>
    </w:p>
    <w:p w14:paraId="29A47C22" w14:textId="3D1EB0D1"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lastRenderedPageBreak/>
        <w:t xml:space="preserve">Key words: </w:t>
      </w:r>
      <w:r w:rsidR="00220D3E" w:rsidRPr="00511005">
        <w:rPr>
          <w:rFonts w:ascii="Arial" w:eastAsia="Times New Roman" w:hAnsi="Arial" w:cs="Arial"/>
          <w:szCs w:val="28"/>
          <w:lang w:val="en-US" w:eastAsia="ru-RU"/>
        </w:rPr>
        <w:t>Association Agreement, European Union, legal consequences, implementation, acquis communautaire, economic integration, political dialogue, sectoral cooperation, legislative reform.</w:t>
      </w:r>
    </w:p>
    <w:p w14:paraId="694DED29" w14:textId="79A945E7" w:rsidR="007B2628" w:rsidRPr="00511005" w:rsidRDefault="00EE6668" w:rsidP="003A292D">
      <w:pPr>
        <w:tabs>
          <w:tab w:val="left" w:pos="709"/>
        </w:tabs>
        <w:spacing w:line="264" w:lineRule="auto"/>
        <w:jc w:val="left"/>
        <w:rPr>
          <w:rFonts w:ascii="Arial" w:eastAsia="Times New Roman" w:hAnsi="Arial" w:cs="Arial"/>
          <w:i/>
          <w:szCs w:val="28"/>
          <w:lang w:val="uk-UA" w:eastAsia="ru-RU"/>
        </w:rPr>
      </w:pPr>
      <w:r w:rsidRPr="00511005">
        <w:rPr>
          <w:rFonts w:ascii="Arial" w:eastAsia="Times New Roman" w:hAnsi="Arial" w:cs="Arial"/>
          <w:i/>
          <w:szCs w:val="28"/>
          <w:lang w:eastAsia="ru-RU"/>
        </w:rPr>
        <w:t>Науковий керівник:</w:t>
      </w:r>
      <w:r w:rsidR="00220D3E" w:rsidRPr="00511005">
        <w:rPr>
          <w:rFonts w:ascii="Arial" w:eastAsia="Times New Roman" w:hAnsi="Arial" w:cs="Arial"/>
          <w:i/>
          <w:szCs w:val="28"/>
          <w:lang w:eastAsia="ru-RU"/>
        </w:rPr>
        <w:t xml:space="preserve"> д.ю.н., професор Сурілова О.О.</w:t>
      </w:r>
    </w:p>
    <w:p w14:paraId="3E9E41D6" w14:textId="405072B9"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585091DF" w14:textId="77777777" w:rsidR="00220D3E" w:rsidRPr="00511005" w:rsidRDefault="00220D3E" w:rsidP="003A292D">
      <w:pPr>
        <w:keepNext/>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Горячківська Оксана Вікторівна</w:t>
      </w:r>
    </w:p>
    <w:p w14:paraId="3F62B107" w14:textId="3CE34433" w:rsidR="00176B4E" w:rsidRPr="00511005" w:rsidRDefault="00536AAB"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482E32A2"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C2C154E" w14:textId="2B538D5B"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223A27A8"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2C101519"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МІЖНАРОДНО-ПРАВОВИЙ ЗАХИСТ ПРАВ В УМОВАХ ЗБРОЙНИХ КОНФЛІКТІВ</w:t>
      </w:r>
    </w:p>
    <w:p w14:paraId="00063B59" w14:textId="02D3F848"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Права людини вважаються найголовнішою людською цінністю, що визнається у всьому світі. Дане твердження знайшло своє закріплення у низці міжнародних документах. Загальна декларація прав людини, прийнята Генеральною Асамблеєю ООН в 1948 році зазначає: «Визнання гідності, яка властива всім членам людської родини, і рівних та невід’ємних їх прав є основою свободи, справедливості та загального миру…»[1]. У сучасному світі, де збройні конфлікти стають дедалі частішими та жорстокішими, питання захисту прав людини в умовах війни набуває особливої гостроти.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Тому дослідження міжнародно-правових інструментів, спрямованих на захист осіб, які стали жертвами збройного конфлікту, є надзвичайно важливим.</w:t>
      </w:r>
    </w:p>
    <w:p w14:paraId="0A1F81F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Збройні конфлікти, що спалахують у різних куточках планети, мають руйнівний вплив на долі людей і, на жаль, спричиняють масові порушення загальновизнаних прав. Серед прав, які порушуються найчастіше: </w:t>
      </w:r>
    </w:p>
    <w:p w14:paraId="75C91F17" w14:textId="77777777" w:rsidR="00220D3E" w:rsidRPr="00511005" w:rsidRDefault="00220D3E" w:rsidP="003F6A5D">
      <w:pPr>
        <w:numPr>
          <w:ilvl w:val="0"/>
          <w:numId w:val="8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право на життя. Військові конфлікти часто призводять до загибелі невинних мирних жителів, які стають жертвами насильства та обстрілів;</w:t>
      </w:r>
    </w:p>
    <w:p w14:paraId="3FBABEB8" w14:textId="77777777" w:rsidR="00220D3E" w:rsidRPr="00511005" w:rsidRDefault="00220D3E" w:rsidP="003F6A5D">
      <w:pPr>
        <w:numPr>
          <w:ilvl w:val="0"/>
          <w:numId w:val="8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право на безпеку і недоторканість особи. Через збройні конфлікти люди опиняються в беззахисному становищі перед жорстокістю. Насильство, викрадення та мародерство – лише частина порушень, з якими стикається мирне населення;</w:t>
      </w:r>
    </w:p>
    <w:p w14:paraId="7A3368F0" w14:textId="77777777" w:rsidR="00220D3E" w:rsidRPr="00511005" w:rsidRDefault="00220D3E" w:rsidP="003F6A5D">
      <w:pPr>
        <w:numPr>
          <w:ilvl w:val="0"/>
          <w:numId w:val="8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право на гідне життя. Збройний конфлікт спричиняє руйнування інфраструктури, економіки та суспільного ладу в цілому, що може мати тяжкі наслідки для реалізації економічних, соціальних і культурних прав людини;</w:t>
      </w:r>
    </w:p>
    <w:p w14:paraId="214DC610" w14:textId="77777777" w:rsidR="00220D3E" w:rsidRPr="00511005" w:rsidRDefault="00220D3E" w:rsidP="003F6A5D">
      <w:pPr>
        <w:numPr>
          <w:ilvl w:val="0"/>
          <w:numId w:val="8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право на захист і справедливість. Воєнні дії нерідко блокують доступ до правосуддя та судової системи, що сприяє безкарності злочинів.</w:t>
      </w:r>
    </w:p>
    <w:p w14:paraId="3FB4057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Фундаментом міжнародно-правового захисту осіб під час збройного конфлікту є Женевські конвенції, які є основними міжнародними </w:t>
      </w:r>
      <w:r w:rsidRPr="00511005">
        <w:rPr>
          <w:rFonts w:ascii="Arial" w:eastAsia="Times New Roman" w:hAnsi="Arial" w:cs="Arial"/>
          <w:szCs w:val="28"/>
          <w:lang w:val="uk-UA" w:eastAsia="ru-RU"/>
        </w:rPr>
        <w:lastRenderedPageBreak/>
        <w:t>нормативно-правовими актами у цій сфері. Зокрема, в Женеві 12 серпня 1949 року були ухвалені наступні документи:</w:t>
      </w:r>
    </w:p>
    <w:p w14:paraId="784376A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Конвенція про поліпшення долі поранених і хворих у діючих арміях[2]</w:t>
      </w:r>
    </w:p>
    <w:p w14:paraId="4F2BFA9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szCs w:val="28"/>
          <w:lang w:val="uk-UA" w:eastAsia="ru-RU"/>
        </w:rPr>
        <w:t xml:space="preserve">– </w:t>
      </w:r>
      <w:r w:rsidRPr="00511005">
        <w:rPr>
          <w:rFonts w:ascii="Arial" w:eastAsia="Times New Roman" w:hAnsi="Arial" w:cs="Arial"/>
          <w:szCs w:val="28"/>
          <w:lang w:val="uk-UA" w:eastAsia="ru-RU"/>
        </w:rPr>
        <w:t>Конвенція про поліпшення долі поранених, хворих та осіб, які зазнали корабельної аварії, зі складу збройних сил на морі[3];</w:t>
      </w:r>
    </w:p>
    <w:p w14:paraId="6539AB4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Конвенція про поводження з військовополоненими[4];</w:t>
      </w:r>
    </w:p>
    <w:p w14:paraId="706BB72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Конвенція про захист цивільного населення під час війни[5].</w:t>
      </w:r>
    </w:p>
    <w:p w14:paraId="6F5D30A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Попри значну кількість названих документів, вже у 1977 році, з піднесенням масштабних національно-визвольних рухів, стало очевидним, що наявних правових інструментів недостатньо для повноцінного забезпечення та гарантування прав людини в нових умовах, що призвело до прийняття двох додаткових протоколів: Додатковий протокол І до Женевської конвенції 1949 р., що стосується захисту жертв міжнародних збройних конфліктів[6] та Додатковий протокол ІІ до Женевської конвенції 1949 р., що стосується захисту жертв збройних конфліктів неміжнародного характеру[7].</w:t>
      </w:r>
    </w:p>
    <w:p w14:paraId="65202B0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Згадані конвенції є чинними у випадку оголошення війни або будь-якого збройного зіткнення, незалежно від того, чи визнає стан війни одна з воюючих сторін. Принципи, закріплені в цих конвенціях, є </w:t>
      </w:r>
      <w:r w:rsidRPr="00511005">
        <w:rPr>
          <w:rFonts w:ascii="Arial" w:eastAsia="Times New Roman" w:hAnsi="Arial" w:cs="Arial"/>
          <w:bCs/>
          <w:szCs w:val="28"/>
          <w:lang w:val="uk-UA" w:eastAsia="ru-RU"/>
        </w:rPr>
        <w:t xml:space="preserve">обов'язкові для дотримання як для </w:t>
      </w:r>
      <w:r w:rsidRPr="00511005">
        <w:rPr>
          <w:rFonts w:ascii="Arial" w:eastAsia="Times New Roman" w:hAnsi="Arial" w:cs="Arial"/>
          <w:szCs w:val="28"/>
          <w:lang w:val="uk-UA" w:eastAsia="ru-RU"/>
        </w:rPr>
        <w:t xml:space="preserve">країн що їх ратифікували, нейтральних країн, так і для тих, хто не є учасником цих конвенцій. </w:t>
      </w:r>
    </w:p>
    <w:p w14:paraId="1E201DA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сучасному міжнародному праві закріплена ключова відповідальність всіх держав за дотримання міжнародних стандартів під час збройних конфліктів, незалежно від того, відбуваються вони на її території чи за її межами.</w:t>
      </w:r>
    </w:p>
    <w:p w14:paraId="511DCB7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до основних правових механізмів, покликаних на забезпечення захисту прав людини в умовах війни з урахуванням усіх її специфічних аспектів можна віднести Загальну декларацію прав людини, Міжнародний кримінальний суд та Міжнародний Комітет Червоного Хреста.</w:t>
      </w:r>
    </w:p>
    <w:p w14:paraId="7F1422A5" w14:textId="2E98CFD4"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Загальна декларація прав людини закладає правову основу для забезпечення поваги до людської гідності та захисту основних прав навіть в умовах війни, підкреслюючи непорушність цих прав[1]. Міжнародний кримінальний суд</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являє собою постійно діючий міжнародний судовий орган, заснований для притягнення до відповідальності осіб, винних у вчиненні найтяжчих міжнародних злочинів[8]. Міжнародний Комітет Червоного Хреста являється незалежною гуманітарною організацією, яка відіграє ключову роль у захисті життя та гідності осіб, постраждалих від збройних конфліктів та інших ситуацій насильства по всьому світу[9].</w:t>
      </w:r>
    </w:p>
    <w:p w14:paraId="4282028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Захист прав людини в умовах війни має специфічні особливості, оскільки збройні конфлікти створюють обставини, що становлять пряму загрозу життю, безпеці, правам і свободам цивільного населення. У зв'язку з цим міжнародним правом розроблено спеціальні механізми та принципи, </w:t>
      </w:r>
      <w:r w:rsidRPr="00511005">
        <w:rPr>
          <w:rFonts w:ascii="Arial" w:eastAsia="Times New Roman" w:hAnsi="Arial" w:cs="Arial"/>
          <w:szCs w:val="28"/>
          <w:lang w:val="uk-UA" w:eastAsia="ru-RU"/>
        </w:rPr>
        <w:lastRenderedPageBreak/>
        <w:t xml:space="preserve">покликані забезпечити захист людської гідності під час воєнних дій. В цьому аспекті є важливим міжнародне гуманітарне право (далі – МГП). </w:t>
      </w:r>
    </w:p>
    <w:p w14:paraId="10A81F82" w14:textId="3B273C4A"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МГП являє собою сукупність спеціальних юридичних норм, що закріплюють загальнолюдські моральні принципи, які є обов'язковими до застосування під час збройних конфліктів. Також МГП регулює взаємодію між державами щодо захисту осіб, які постраждали від війни та обмеження засобів та методів ведення війни під час збройних конфліктів – як міжнародних, так 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внутрішніх.</w:t>
      </w:r>
      <w:r w:rsidR="007B2628" w:rsidRPr="00511005">
        <w:rPr>
          <w:rFonts w:ascii="Arial" w:eastAsia="Times New Roman" w:hAnsi="Arial" w:cs="Arial"/>
          <w:szCs w:val="28"/>
          <w:lang w:val="uk-UA" w:eastAsia="ru-RU"/>
        </w:rPr>
        <w:t xml:space="preserve"> </w:t>
      </w:r>
    </w:p>
    <w:p w14:paraId="1CCD7A9F" w14:textId="391C0366"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 категорії осіб, яких захищає МГП відносяться: «жертви збройних конфліктів;</w:t>
      </w:r>
      <w:bookmarkStart w:id="32" w:name="n144"/>
      <w:bookmarkEnd w:id="32"/>
      <w:r w:rsidRPr="00511005">
        <w:rPr>
          <w:rFonts w:ascii="Arial" w:eastAsia="Times New Roman" w:hAnsi="Arial" w:cs="Arial"/>
          <w:szCs w:val="28"/>
          <w:lang w:val="uk-UA" w:eastAsia="ru-RU"/>
        </w:rPr>
        <w:t xml:space="preserve"> медичний і духовний персонал;</w:t>
      </w:r>
      <w:bookmarkStart w:id="33" w:name="n145"/>
      <w:bookmarkEnd w:id="33"/>
      <w:r w:rsidRPr="00511005">
        <w:rPr>
          <w:rFonts w:ascii="Arial" w:eastAsia="Times New Roman" w:hAnsi="Arial" w:cs="Arial"/>
          <w:szCs w:val="28"/>
          <w:lang w:val="uk-UA" w:eastAsia="ru-RU"/>
        </w:rPr>
        <w:t xml:space="preserve"> парламентери і особи, які їх супроводжують;</w:t>
      </w:r>
      <w:bookmarkStart w:id="34" w:name="n146"/>
      <w:bookmarkEnd w:id="34"/>
      <w:r w:rsidRPr="00511005">
        <w:rPr>
          <w:rFonts w:ascii="Arial" w:eastAsia="Times New Roman" w:hAnsi="Arial" w:cs="Arial"/>
          <w:szCs w:val="28"/>
          <w:lang w:val="uk-UA" w:eastAsia="ru-RU"/>
        </w:rPr>
        <w:t xml:space="preserve"> персонал цивільної оборони;</w:t>
      </w:r>
      <w:bookmarkStart w:id="35" w:name="n147"/>
      <w:bookmarkEnd w:id="35"/>
      <w:r w:rsidRPr="00511005">
        <w:rPr>
          <w:rFonts w:ascii="Arial" w:eastAsia="Times New Roman" w:hAnsi="Arial" w:cs="Arial"/>
          <w:szCs w:val="28"/>
          <w:lang w:val="uk-UA" w:eastAsia="ru-RU"/>
        </w:rPr>
        <w:t xml:space="preserve"> персонал, який відповідає за захист і охорону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культурних</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цінностей;</w:t>
      </w:r>
      <w:bookmarkStart w:id="36" w:name="n148"/>
      <w:bookmarkEnd w:id="36"/>
      <w:r w:rsidRPr="00511005">
        <w:rPr>
          <w:rFonts w:ascii="Arial" w:eastAsia="Times New Roman" w:hAnsi="Arial" w:cs="Arial"/>
          <w:szCs w:val="28"/>
          <w:lang w:val="uk-UA" w:eastAsia="ru-RU"/>
        </w:rPr>
        <w:t xml:space="preserve"> персонал, який бере участь у гуманітарних акціях». </w:t>
      </w:r>
    </w:p>
    <w:p w14:paraId="11E5E8A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Водночас, в умовах збройних конфліктів виникають певні правові обмеження, які є складовою частиною застосування МГП. У період війни може відбуватися тимчасове обмеження окремих прав громадян, наприклад, свободи пересування або особистої недоторканності, що зумовлено потребою гарантування національної безпеки. Однак такі обмеження повинні бути співмірними загрозі та не повинні порушувати фундаментальні принципи гуманності, закріплені в міжнародних договорах[10, с. 9].</w:t>
      </w:r>
    </w:p>
    <w:p w14:paraId="3C1BF03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Підсумовуючи, слід зазначити, що права людини є фундаментальною цінністю, захист якої набуває особливої актуальності в умовах збройних конфліктів. Попри універсальне визнання цих прав, воєнні дії призводять до численних і грубих їх порушень, зачіпаючи найважливіші аспекти людського існування, включаючи право на життя, безпеку, гідне існування та справедливість. Хоча й війна може зумовлювати тимчасові обмеження прав, вони мають бути пропорційними та гуманними.</w:t>
      </w:r>
    </w:p>
    <w:p w14:paraId="16DA5C3F" w14:textId="77777777" w:rsidR="00220D3E" w:rsidRPr="00511005" w:rsidRDefault="00220D3E" w:rsidP="003A292D">
      <w:pPr>
        <w:tabs>
          <w:tab w:val="left" w:pos="709"/>
        </w:tabs>
        <w:spacing w:line="264" w:lineRule="auto"/>
        <w:rPr>
          <w:rFonts w:ascii="Arial" w:eastAsia="Times New Roman" w:hAnsi="Arial" w:cs="Arial"/>
          <w:b/>
          <w:iCs/>
          <w:szCs w:val="28"/>
          <w:lang w:val="uk-UA" w:eastAsia="ru-RU"/>
        </w:rPr>
      </w:pPr>
    </w:p>
    <w:p w14:paraId="5211AB90" w14:textId="3D9EAD3A" w:rsidR="00220D3E" w:rsidRPr="00511005" w:rsidRDefault="007B2628" w:rsidP="007B2628">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b/>
          <w:iCs/>
          <w:szCs w:val="28"/>
          <w:lang w:val="uk-UA" w:eastAsia="ru-RU"/>
        </w:rPr>
        <w:t>Список використаних джерел</w:t>
      </w:r>
    </w:p>
    <w:p w14:paraId="0AEF8284" w14:textId="77777777" w:rsidR="00220D3E" w:rsidRPr="00511005" w:rsidRDefault="00220D3E" w:rsidP="003F6A5D">
      <w:pPr>
        <w:numPr>
          <w:ilvl w:val="0"/>
          <w:numId w:val="9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iCs/>
          <w:szCs w:val="28"/>
          <w:lang w:val="uk-UA"/>
        </w:rPr>
        <w:t xml:space="preserve">Загальна декларація прав людини. Прийнята і проголошена резолюцією 217 A (III) Генеральної Асамблеї ООН від 10 грудня 1948 року. URL: </w:t>
      </w:r>
      <w:hyperlink r:id="rId272" w:history="1">
        <w:r w:rsidRPr="00511005">
          <w:rPr>
            <w:rFonts w:ascii="Arial" w:eastAsia="Calibri" w:hAnsi="Arial" w:cs="Arial"/>
            <w:iCs/>
            <w:szCs w:val="28"/>
            <w:lang w:val="uk-UA"/>
          </w:rPr>
          <w:t>https://zakon.rada.gov.ua/laws/show/995_01</w:t>
        </w:r>
      </w:hyperlink>
    </w:p>
    <w:p w14:paraId="216EB535" w14:textId="77777777" w:rsidR="00220D3E" w:rsidRPr="00511005" w:rsidRDefault="00220D3E" w:rsidP="003F6A5D">
      <w:pPr>
        <w:numPr>
          <w:ilvl w:val="0"/>
          <w:numId w:val="9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Конвенція про поліпшення долі поранених і хворих у діючих арміях : Конвенція Орг. Об'єдн. Націй від 12.08.1949 : станом на 8 лют. 2006 р. URL: </w:t>
      </w:r>
      <w:hyperlink r:id="rId273" w:anchor="Text" w:tgtFrame="_blank" w:history="1">
        <w:r w:rsidRPr="00511005">
          <w:rPr>
            <w:rFonts w:ascii="Arial" w:eastAsia="Calibri" w:hAnsi="Arial" w:cs="Arial"/>
            <w:szCs w:val="28"/>
            <w:lang w:val="uk-UA"/>
          </w:rPr>
          <w:t>https://zakon.rada.gov.ua/laws/show/995_151#Text</w:t>
        </w:r>
      </w:hyperlink>
    </w:p>
    <w:p w14:paraId="2F2A6F06" w14:textId="77777777" w:rsidR="00220D3E" w:rsidRPr="00511005" w:rsidRDefault="00220D3E" w:rsidP="003F6A5D">
      <w:pPr>
        <w:numPr>
          <w:ilvl w:val="0"/>
          <w:numId w:val="9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Конвенція про поліпшення долі поранених, хворих та осіб, які зазнали корабельної аварії, зі складу збройних сил на морі : Конвенція Орг. Об'єдн. Націй від 12.08.1949 : станом на 8 лют. 2006 р. URL: </w:t>
      </w:r>
      <w:hyperlink r:id="rId274" w:anchor="Text" w:tgtFrame="_blank" w:history="1">
        <w:r w:rsidRPr="00511005">
          <w:rPr>
            <w:rFonts w:ascii="Arial" w:eastAsia="Calibri" w:hAnsi="Arial" w:cs="Arial"/>
            <w:szCs w:val="28"/>
            <w:lang w:val="uk-UA"/>
          </w:rPr>
          <w:t>https://zakon.rada.gov.ua/laws/show/995_152#Text</w:t>
        </w:r>
      </w:hyperlink>
    </w:p>
    <w:p w14:paraId="09F1F893" w14:textId="77777777" w:rsidR="00220D3E" w:rsidRPr="00511005" w:rsidRDefault="00220D3E" w:rsidP="003F6A5D">
      <w:pPr>
        <w:numPr>
          <w:ilvl w:val="0"/>
          <w:numId w:val="9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Женевська конвенція про поводження з військовополоненими : Конвенція Орг. Об'єдн. Націй від 12.08.1949 : станом на 23 лют. 2023 р. URL: </w:t>
      </w:r>
      <w:hyperlink r:id="rId275" w:anchor="Text" w:tgtFrame="_blank" w:history="1">
        <w:r w:rsidRPr="00511005">
          <w:rPr>
            <w:rFonts w:ascii="Arial" w:eastAsia="Calibri" w:hAnsi="Arial" w:cs="Arial"/>
            <w:szCs w:val="28"/>
            <w:lang w:val="uk-UA"/>
          </w:rPr>
          <w:t>https://zakon.rada.gov.ua/laws/show/995_153#Text</w:t>
        </w:r>
      </w:hyperlink>
    </w:p>
    <w:p w14:paraId="22D9C624" w14:textId="77777777" w:rsidR="00220D3E" w:rsidRPr="00511005" w:rsidRDefault="00220D3E" w:rsidP="003F6A5D">
      <w:pPr>
        <w:numPr>
          <w:ilvl w:val="0"/>
          <w:numId w:val="9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Конвенція про захист цивільного населення під час війни: Конвенція Орг. Об'єдн. Націй від 12.08.1949 : станом на 23 лют. 2023 р. URL: </w:t>
      </w:r>
      <w:hyperlink r:id="rId276" w:anchor="Text" w:tgtFrame="_blank" w:history="1">
        <w:r w:rsidRPr="00511005">
          <w:rPr>
            <w:rFonts w:ascii="Arial" w:eastAsia="Calibri" w:hAnsi="Arial" w:cs="Arial"/>
            <w:szCs w:val="28"/>
            <w:lang w:val="uk-UA"/>
          </w:rPr>
          <w:t>https://zakon.rada.gov.ua/laws/show/995_154#Text</w:t>
        </w:r>
      </w:hyperlink>
    </w:p>
    <w:p w14:paraId="17932966" w14:textId="77777777" w:rsidR="00220D3E" w:rsidRPr="00511005" w:rsidRDefault="00220D3E" w:rsidP="003F6A5D">
      <w:pPr>
        <w:numPr>
          <w:ilvl w:val="0"/>
          <w:numId w:val="9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Додатковий протокол до Женевських конвенцій від 12 серпня 1949 року, що стосується захисту жертв міжнародних збройних конфліктів (Протокол I), від 8 червня 1977 року: Протокол Орг. Об'єдн. Націй від 08.06.1977: станом на 8 груд. 2005 р. URL: </w:t>
      </w:r>
      <w:hyperlink r:id="rId277" w:anchor="Text" w:tgtFrame="_blank" w:history="1">
        <w:r w:rsidRPr="00511005">
          <w:rPr>
            <w:rFonts w:ascii="Arial" w:eastAsia="Calibri" w:hAnsi="Arial" w:cs="Arial"/>
            <w:szCs w:val="28"/>
            <w:lang w:val="uk-UA"/>
          </w:rPr>
          <w:t>https://zakon.rada.gov.ua/laws/show/995_199#Text</w:t>
        </w:r>
      </w:hyperlink>
    </w:p>
    <w:p w14:paraId="03A7EB20" w14:textId="77777777" w:rsidR="00220D3E" w:rsidRPr="00511005" w:rsidRDefault="00220D3E" w:rsidP="003F6A5D">
      <w:pPr>
        <w:numPr>
          <w:ilvl w:val="0"/>
          <w:numId w:val="9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Додатковий протокол до Женевських конвенцій від 12 серпня 1949 року, що стосується захисту жертв збройних конфліктів неміжнародного характеру (Протокол II), від 8 червня 1977 року: Протокол Орг. Об'єдн. Націй від 08.06.1977 : станом на 8 груд. 2005 р. URL: </w:t>
      </w:r>
      <w:hyperlink r:id="rId278" w:anchor="Text" w:tgtFrame="_blank" w:history="1">
        <w:r w:rsidRPr="00511005">
          <w:rPr>
            <w:rFonts w:ascii="Arial" w:eastAsia="Calibri" w:hAnsi="Arial" w:cs="Arial"/>
            <w:szCs w:val="28"/>
            <w:lang w:val="uk-UA"/>
          </w:rPr>
          <w:t>https://zakon.rada.gov.ua/laws/show/995_200#Text</w:t>
        </w:r>
      </w:hyperlink>
    </w:p>
    <w:p w14:paraId="5BF3DF86" w14:textId="77777777" w:rsidR="00220D3E" w:rsidRPr="00511005" w:rsidRDefault="00220D3E" w:rsidP="003F6A5D">
      <w:pPr>
        <w:numPr>
          <w:ilvl w:val="0"/>
          <w:numId w:val="9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Міжнародний кримінальний суд. </w:t>
      </w:r>
      <w:r w:rsidRPr="00511005">
        <w:rPr>
          <w:rFonts w:ascii="Arial" w:eastAsia="Calibri" w:hAnsi="Arial" w:cs="Arial"/>
          <w:i/>
          <w:iCs/>
          <w:szCs w:val="28"/>
          <w:lang w:val="uk-UA"/>
        </w:rPr>
        <w:t>Головна - Офіс Генерального прокурора</w:t>
      </w:r>
      <w:r w:rsidRPr="00511005">
        <w:rPr>
          <w:rFonts w:ascii="Arial" w:eastAsia="Calibri" w:hAnsi="Arial" w:cs="Arial"/>
          <w:szCs w:val="28"/>
          <w:lang w:val="uk-UA"/>
        </w:rPr>
        <w:t xml:space="preserve">. URL: </w:t>
      </w:r>
      <w:hyperlink r:id="rId279" w:tgtFrame="_blank" w:history="1">
        <w:r w:rsidRPr="00511005">
          <w:rPr>
            <w:rFonts w:ascii="Arial" w:eastAsia="Calibri" w:hAnsi="Arial" w:cs="Arial"/>
            <w:szCs w:val="28"/>
            <w:lang w:val="uk-UA"/>
          </w:rPr>
          <w:t>https://gp.gov.ua/ua/posts/mizhnarodnij-kriminalnij-sud</w:t>
        </w:r>
      </w:hyperlink>
    </w:p>
    <w:p w14:paraId="35D2FAA9" w14:textId="77777777" w:rsidR="00220D3E" w:rsidRPr="00511005" w:rsidRDefault="00220D3E" w:rsidP="003F6A5D">
      <w:pPr>
        <w:numPr>
          <w:ilvl w:val="0"/>
          <w:numId w:val="9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Про Міжнародний Рух Червоного Хреста і Червоного Півмісяця – Товариство Червоного Хреста України. </w:t>
      </w:r>
      <w:r w:rsidRPr="00511005">
        <w:rPr>
          <w:rFonts w:ascii="Arial" w:eastAsia="Calibri" w:hAnsi="Arial" w:cs="Arial"/>
          <w:i/>
          <w:iCs/>
          <w:szCs w:val="28"/>
          <w:lang w:val="uk-UA"/>
        </w:rPr>
        <w:t>Товариство Червоного Хреста України</w:t>
      </w:r>
      <w:r w:rsidRPr="00511005">
        <w:rPr>
          <w:rFonts w:ascii="Arial" w:eastAsia="Calibri" w:hAnsi="Arial" w:cs="Arial"/>
          <w:szCs w:val="28"/>
          <w:lang w:val="uk-UA"/>
        </w:rPr>
        <w:t xml:space="preserve">. URL: </w:t>
      </w:r>
      <w:hyperlink r:id="rId280" w:tgtFrame="_blank" w:history="1">
        <w:r w:rsidRPr="00511005">
          <w:rPr>
            <w:rFonts w:ascii="Arial" w:eastAsia="Calibri" w:hAnsi="Arial" w:cs="Arial"/>
            <w:szCs w:val="28"/>
            <w:lang w:val="uk-UA"/>
          </w:rPr>
          <w:t>https://redcross.org.ua/about-urcs/movement/</w:t>
        </w:r>
      </w:hyperlink>
    </w:p>
    <w:p w14:paraId="79E6FD35" w14:textId="77777777" w:rsidR="00220D3E" w:rsidRPr="00511005" w:rsidRDefault="00220D3E" w:rsidP="003F6A5D">
      <w:pPr>
        <w:numPr>
          <w:ilvl w:val="0"/>
          <w:numId w:val="9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Міжнародне гуманітарне право : навчально-методичний посібник. / Грушко М. В., Музика В. В., Федорова Т. С., Владишевська В. В. Одеса : Видавничий дім «Гельветика», 2022. 136 с. URL: </w:t>
      </w:r>
      <w:hyperlink r:id="rId281" w:history="1">
        <w:r w:rsidRPr="00511005">
          <w:rPr>
            <w:rFonts w:ascii="Arial" w:eastAsia="Calibri" w:hAnsi="Arial" w:cs="Arial"/>
            <w:szCs w:val="28"/>
            <w:lang w:val="uk-UA"/>
          </w:rPr>
          <w:t>https://dspace.onua.edu.ua/server/api/core/bitstreams/767c99d8-e90d-446f-aacf-aeac402875bc/content</w:t>
        </w:r>
      </w:hyperlink>
      <w:r w:rsidRPr="00511005">
        <w:rPr>
          <w:rFonts w:ascii="Arial" w:eastAsia="Calibri" w:hAnsi="Arial" w:cs="Arial"/>
          <w:szCs w:val="28"/>
          <w:lang w:val="uk-UA"/>
        </w:rPr>
        <w:t xml:space="preserve"> </w:t>
      </w:r>
    </w:p>
    <w:p w14:paraId="2D8CD5F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0EF91403" w14:textId="79E78D00"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 xml:space="preserve">збройний конфлікт, захист, права людини, Женевські конвенції, міжнародне гуманітарне право. </w:t>
      </w:r>
    </w:p>
    <w:p w14:paraId="0481822C" w14:textId="7ECADB26"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Key words: </w:t>
      </w:r>
      <w:r w:rsidR="00220D3E" w:rsidRPr="00511005">
        <w:rPr>
          <w:rFonts w:ascii="Arial" w:eastAsia="Times New Roman" w:hAnsi="Arial" w:cs="Arial"/>
          <w:szCs w:val="28"/>
          <w:lang w:val="uk-UA" w:eastAsia="ru-RU"/>
        </w:rPr>
        <w:t xml:space="preserve">armed conflict, protection, human rights, Geneva Conventions, </w:t>
      </w:r>
      <w:r w:rsidR="00220D3E" w:rsidRPr="00511005">
        <w:rPr>
          <w:rFonts w:ascii="Arial" w:eastAsia="Times New Roman" w:hAnsi="Arial" w:cs="Arial"/>
          <w:i/>
          <w:iCs/>
          <w:szCs w:val="28"/>
          <w:lang w:val="uk-UA" w:eastAsia="ru-RU"/>
        </w:rPr>
        <w:t xml:space="preserve">international humanitarian law. </w:t>
      </w:r>
    </w:p>
    <w:p w14:paraId="776B859B" w14:textId="539E29BA" w:rsidR="00220D3E" w:rsidRPr="00511005" w:rsidRDefault="007B2628" w:rsidP="003A292D">
      <w:pPr>
        <w:tabs>
          <w:tab w:val="left" w:pos="709"/>
        </w:tabs>
        <w:spacing w:line="264" w:lineRule="auto"/>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val="uk-UA" w:eastAsia="ru-RU"/>
        </w:rPr>
        <w:t>к.ю.н., доцент</w:t>
      </w:r>
      <w:r w:rsidRPr="00511005">
        <w:rPr>
          <w:rFonts w:ascii="Arial" w:eastAsia="Times New Roman" w:hAnsi="Arial" w:cs="Arial"/>
          <w:bCs/>
          <w:i/>
          <w:iCs/>
          <w:szCs w:val="28"/>
          <w:lang w:val="uk-UA" w:eastAsia="ru-RU"/>
        </w:rPr>
        <w:t xml:space="preserve"> </w:t>
      </w:r>
      <w:r w:rsidR="00220D3E" w:rsidRPr="00511005">
        <w:rPr>
          <w:rFonts w:ascii="Arial" w:eastAsia="Times New Roman" w:hAnsi="Arial" w:cs="Arial"/>
          <w:bCs/>
          <w:i/>
          <w:iCs/>
          <w:szCs w:val="28"/>
          <w:lang w:val="uk-UA" w:eastAsia="ru-RU"/>
        </w:rPr>
        <w:t>Гриб А.М.</w:t>
      </w:r>
    </w:p>
    <w:p w14:paraId="72F1914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385F484E"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Гресько Богдана Юріївна</w:t>
      </w:r>
    </w:p>
    <w:p w14:paraId="3A65A763" w14:textId="4CA2A8CC"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4-го курсу </w:t>
      </w:r>
      <w:r w:rsidR="001B7B25" w:rsidRPr="00511005">
        <w:rPr>
          <w:rFonts w:ascii="Arial" w:eastAsia="Times New Roman" w:hAnsi="Arial" w:cs="Arial"/>
          <w:szCs w:val="28"/>
          <w:lang w:val="uk-UA" w:eastAsia="ru-RU"/>
        </w:rPr>
        <w:t>факультету судового та міжнародного права</w:t>
      </w:r>
    </w:p>
    <w:p w14:paraId="68D34CA4" w14:textId="3D28EFA7"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D301AF4"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0986C149"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 xml:space="preserve">ДО ПИТАННЯ ЗАСТОСУВАННЯ ПРАКТИКИ ЄСПЛ У ДІЯЛЬНОСТІ КОНСТИТУЦІЙНОГО СУДУ УКРАЇНИ </w:t>
      </w:r>
    </w:p>
    <w:p w14:paraId="11B1BB4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Як демократична держава Україна зосереджує зусилля на всебічному захисті прав людини. З метою досягнення даної цілі, Україна приєдналася до європейського механізму захисту прав людини, визнавши юрисдикцію </w:t>
      </w:r>
      <w:r w:rsidRPr="00511005">
        <w:rPr>
          <w:rFonts w:ascii="Arial" w:eastAsia="Times New Roman" w:hAnsi="Arial" w:cs="Arial"/>
          <w:szCs w:val="28"/>
          <w:lang w:val="uk-UA" w:eastAsia="ru-RU"/>
        </w:rPr>
        <w:lastRenderedPageBreak/>
        <w:t xml:space="preserve">Європейського суду з прав людини (далі – ЄСПЛ) та обов’язкову силу його рішень, згідно з частиною першою статті другої Закону України «Про виконання рішень та застосування практики Європейського суду з прав людини» [1]. </w:t>
      </w:r>
    </w:p>
    <w:p w14:paraId="6A6B522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Конституційний Суд України як єдиний орган конституційного контролю в Україні уповноважений перевіряти на предмет конституційності закони. Згідно з частиною третьою статті 22 Конституції України, «при прийнятті нових законів або внесенні змін до чинних законів не допускається звуження змісту та обсягу існуючих прав і свобод» [2]. Відтак, Конституційний Суд України (далі – КСУ) має враховувати у своїх рішеннях практику ЄСПЛ як еталон правозахисного регулювання з метою утвердження в українському суспільстві європейських гуманістичних цінностей та принципів.</w:t>
      </w:r>
    </w:p>
    <w:p w14:paraId="323AE86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Однією із засад діяльності КСУ є принцип дружнього ставлення до міжнародного права. Як зазначає у статті попередній голова КСУ – Шевчук С.В., цей принцип передбачає, що КСУ під час тлумачення норм звертається до положень міжнародного права, зокрема до Конвенції про захист прав людини та основоположних свобод (далі – Конвенції), причому її застосування без урахування практики ЄСПЛ є неможливим [3, с. 127].</w:t>
      </w:r>
    </w:p>
    <w:p w14:paraId="18F2692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Окрім того, КСУ в абзаці третьому підпункту 2.3 пункту 2 мотивувальної частини Рішення від 1 червня 2016 року № 2-рп/2016 зазначає: згідно з принципом дружнього ставлення до міжнародного права, при розгляді справ у межах конституційного судочинства необхідно враховувати практику тлумачення та застосування Конвенції, сформовану ЄСПЛ [4]. Значимість цієї засади КСУ обґрунтував прагненням українського народу до міждержавного діалогу, що реалізується через укладення міжнародних договорів відповідно до порядку та умов, визначених статтею 9 Конституції України. В подальшому, КСУ неодноразово посилався на дану правову позицію в ряді інших рішень.</w:t>
      </w:r>
    </w:p>
    <w:p w14:paraId="26B987D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Застосування цього принципу проявляється, коли КСУ, використовуючи практику ЄСПЛ, виявляє суперечність між національним законодавством і нормами міжнародного договору, зокрема Конвенції. У такому випадку, відповідно до принципу дружнього ставлення до міжнародного права, КСУ має застосовувати міжнародну норму у тлумаченні, наданому ЄСПЛ як єдиним офіційним інтерпретатором положень Європейської конвенції з прав людини. Відтак, дотримання цього принципу гарантує якісне впровадження та належне забезпечення європейських стандартів у національній правовій системі.</w:t>
      </w:r>
    </w:p>
    <w:p w14:paraId="369D083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Актуальність посилання на рішення ЄСПЛ при реалізації конституційної юрисдикції полягає й у тому, що Конвенція увібрала в себе конституційні традиції держав-учасниць. Як справедливо зазначають П. Євграфов і В. Тихий, конституційні норми, що регулюють права і свободи людини та гарантують їхнє забезпечення в державах-учасницях, якщо й не </w:t>
      </w:r>
      <w:r w:rsidRPr="00511005">
        <w:rPr>
          <w:rFonts w:ascii="Arial" w:eastAsia="Times New Roman" w:hAnsi="Arial" w:cs="Arial"/>
          <w:szCs w:val="28"/>
          <w:lang w:val="uk-UA" w:eastAsia="ru-RU"/>
        </w:rPr>
        <w:lastRenderedPageBreak/>
        <w:t xml:space="preserve">завжди повністю збігаються з нормами Конвенції, однак є дуже подібними за змістом. </w:t>
      </w:r>
      <w:r w:rsidRPr="00511005">
        <w:rPr>
          <w:rFonts w:ascii="Arial" w:eastAsia="Times New Roman" w:hAnsi="Arial" w:cs="Arial"/>
          <w:szCs w:val="28"/>
          <w:lang w:eastAsia="ru-RU"/>
        </w:rPr>
        <w:t xml:space="preserve">У зв'язку з цим правові позиції ЄСПЛ мають застосовуватися при тлумаченні відповідних норм конституцій держав-учасниць. Оскільки права і свободи людини становлять </w:t>
      </w:r>
      <w:r w:rsidRPr="00511005">
        <w:rPr>
          <w:rFonts w:ascii="Arial" w:eastAsia="Times New Roman" w:hAnsi="Arial" w:cs="Arial"/>
          <w:szCs w:val="28"/>
          <w:lang w:val="uk-UA" w:eastAsia="ru-RU"/>
        </w:rPr>
        <w:t xml:space="preserve">ідейне ядро </w:t>
      </w:r>
      <w:r w:rsidRPr="00511005">
        <w:rPr>
          <w:rFonts w:ascii="Arial" w:eastAsia="Times New Roman" w:hAnsi="Arial" w:cs="Arial"/>
          <w:szCs w:val="28"/>
          <w:lang w:eastAsia="ru-RU"/>
        </w:rPr>
        <w:t>конституцій, а самі конституції є єдиною цілісною системою, практика ЄСПЛ повинна враховуватися також при тлумаченні інших їхніх положень. [5</w:t>
      </w:r>
      <w:r w:rsidRPr="00511005">
        <w:rPr>
          <w:rFonts w:ascii="Arial" w:eastAsia="Times New Roman" w:hAnsi="Arial" w:cs="Arial"/>
          <w:szCs w:val="28"/>
          <w:lang w:val="uk-UA" w:eastAsia="ru-RU"/>
        </w:rPr>
        <w:t>, с. 346</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p>
    <w:p w14:paraId="4150056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Порівняння Конституції України та Конвенції дозволяє зробити висновок про відносну аналогічність каталогів прав людини, викладених в них, з урахуваннях термінологічних розбіжностей. Відтак виправданим є комплексний підхід КСУ до тлумачення: крім Конституції та інших актів національного законодавства, він активно використовує положення Конвенції та рішення ЄСПЛ.</w:t>
      </w:r>
    </w:p>
    <w:p w14:paraId="35EC5D2B" w14:textId="77777777" w:rsidR="00220D3E" w:rsidRPr="00511005" w:rsidRDefault="00220D3E" w:rsidP="003A292D">
      <w:pPr>
        <w:tabs>
          <w:tab w:val="left" w:pos="709"/>
        </w:tabs>
        <w:spacing w:line="264" w:lineRule="auto"/>
        <w:rPr>
          <w:rFonts w:ascii="Arial" w:eastAsia="Times New Roman" w:hAnsi="Arial" w:cs="Arial"/>
          <w:bCs/>
          <w:szCs w:val="28"/>
          <w:lang w:val="uk-UA" w:eastAsia="ru-RU"/>
        </w:rPr>
      </w:pPr>
      <w:r w:rsidRPr="00511005">
        <w:rPr>
          <w:rFonts w:ascii="Arial" w:eastAsia="Times New Roman" w:hAnsi="Arial" w:cs="Arial"/>
          <w:szCs w:val="28"/>
          <w:lang w:val="uk-UA" w:eastAsia="ru-RU"/>
        </w:rPr>
        <w:t xml:space="preserve">Окрім того, частиною першою статті </w:t>
      </w:r>
      <w:r w:rsidRPr="00511005">
        <w:rPr>
          <w:rFonts w:ascii="Arial" w:eastAsia="Times New Roman" w:hAnsi="Arial" w:cs="Arial"/>
          <w:szCs w:val="28"/>
          <w:lang w:eastAsia="ru-RU"/>
        </w:rPr>
        <w:t>9 Конституції України передбачено</w:t>
      </w:r>
      <w:r w:rsidRPr="00511005">
        <w:rPr>
          <w:rFonts w:ascii="Arial" w:eastAsia="Times New Roman" w:hAnsi="Arial" w:cs="Arial"/>
          <w:szCs w:val="28"/>
          <w:lang w:val="uk-UA" w:eastAsia="ru-RU"/>
        </w:rPr>
        <w:t>, що «</w:t>
      </w:r>
      <w:r w:rsidRPr="00511005">
        <w:rPr>
          <w:rFonts w:ascii="Arial" w:eastAsia="Times New Roman" w:hAnsi="Arial" w:cs="Arial"/>
          <w:szCs w:val="28"/>
          <w:lang w:eastAsia="ru-RU"/>
        </w:rPr>
        <w:t>чинні міжнародні договори, згода на обов'язковість яких надана Верховною Радою України, є частиною національного законодавства України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Посилаючись на правові позиції ЄСПЛ, КСУ забезпечує впровадження міжнародно-правових стандартів захисту прав людини та гармонізацію національного законодавства на основі цінностей, закріплених в Конвенції. Такий механізм є особливо дієвим з огляду на положення статті </w:t>
      </w:r>
      <w:r w:rsidRPr="00511005">
        <w:rPr>
          <w:rFonts w:ascii="Arial" w:eastAsia="Times New Roman" w:hAnsi="Arial" w:cs="Arial"/>
          <w:bCs/>
          <w:szCs w:val="28"/>
          <w:lang w:val="uk-UA" w:eastAsia="ru-RU"/>
        </w:rPr>
        <w:t>151</w:t>
      </w:r>
      <w:r w:rsidRPr="00511005">
        <w:rPr>
          <w:rFonts w:ascii="Arial" w:eastAsia="Times New Roman" w:hAnsi="Arial" w:cs="Arial"/>
          <w:bCs/>
          <w:szCs w:val="28"/>
          <w:vertAlign w:val="superscript"/>
          <w:lang w:val="uk-UA" w:eastAsia="ru-RU"/>
        </w:rPr>
        <w:t>-2</w:t>
      </w:r>
      <w:r w:rsidRPr="00511005">
        <w:rPr>
          <w:rFonts w:ascii="Arial" w:eastAsia="Times New Roman" w:hAnsi="Arial" w:cs="Arial"/>
          <w:bCs/>
          <w:szCs w:val="28"/>
          <w:lang w:val="uk-UA" w:eastAsia="ru-RU"/>
        </w:rPr>
        <w:t xml:space="preserve"> Конституції України, яким встановлено, що</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 xml:space="preserve">«рішення та висновки, ухвалені Конституційним Судом України, є обов’язковими, остаточними і не можуть бути оскаржені» </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w:t>
      </w:r>
    </w:p>
    <w:p w14:paraId="47BF142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 умовах воєнного стану особливої актуальності набувають положення Конвенції про підстави, межі та критерії обмеження прав і свобод людини. Правові позиції ЄСПЛ з даних питань лягли в основу ряду рішень КСУ. Наприклад, у Рішенні від 12.06.2007 КСУ зазначив, що ЄСПЛ неодноразово наголошував, що обмеження прав і свобод людини і громадянина є допустимими, якщо вони здійснені згідно з чинним законодавством і зберігають основний зміст цих прав і свобод (Рішення ЄСПЛ у справі «Реквеньї проти Угорщини») [6].</w:t>
      </w:r>
    </w:p>
    <w:p w14:paraId="0875450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Підсумовуючи викладене, варто відмітити утвердження ролі практики ЄСПЛ як орієнтира для здійснення конституційної юрисдикції з питань захисту прав людини в Україні. Активне використання правових позиції ЄСПЛ у рішеннях КСУ сприяє подальшому впровадженню європейських стандартів захисту прав людини. Більше того, практика ЄСПЛ стає важливим інструментом гармонізації національного законодавства з міжнародними зобов’язаннями, забезпечуючи єдність та ефективність підходів у сфері прав людини в контексті інтеграції України до європейського правового простору.</w:t>
      </w:r>
    </w:p>
    <w:p w14:paraId="15E713F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5CF59118" w14:textId="3D9FE0E5"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53CC1F8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1. Про виконання рішень та застосування практики Європейського суду з прав </w:t>
      </w:r>
      <w:proofErr w:type="gramStart"/>
      <w:r w:rsidRPr="00511005">
        <w:rPr>
          <w:rFonts w:ascii="Arial" w:eastAsia="Times New Roman" w:hAnsi="Arial" w:cs="Arial"/>
          <w:szCs w:val="28"/>
          <w:lang w:eastAsia="ru-RU"/>
        </w:rPr>
        <w:t>людини :</w:t>
      </w:r>
      <w:proofErr w:type="gramEnd"/>
      <w:r w:rsidRPr="00511005">
        <w:rPr>
          <w:rFonts w:ascii="Arial" w:eastAsia="Times New Roman" w:hAnsi="Arial" w:cs="Arial"/>
          <w:szCs w:val="28"/>
          <w:lang w:eastAsia="ru-RU"/>
        </w:rPr>
        <w:t xml:space="preserve"> Закон України від 23.02.2006 № 3477-IV : станом на 2 груд. 2012 р. URL: </w:t>
      </w:r>
      <w:hyperlink r:id="rId282" w:anchor="Text" w:tgtFrame="_blank" w:history="1">
        <w:r w:rsidRPr="00511005">
          <w:rPr>
            <w:rFonts w:ascii="Arial" w:eastAsia="Times New Roman" w:hAnsi="Arial" w:cs="Arial"/>
            <w:szCs w:val="28"/>
            <w:lang w:eastAsia="ru-RU"/>
          </w:rPr>
          <w:t>https://zakon.rada.gov.ua/laws/show/3477-15#Text</w:t>
        </w:r>
      </w:hyperlink>
      <w:r w:rsidRPr="00511005">
        <w:rPr>
          <w:rFonts w:ascii="Arial" w:eastAsia="Times New Roman" w:hAnsi="Arial" w:cs="Arial"/>
          <w:szCs w:val="28"/>
          <w:lang w:eastAsia="ru-RU"/>
        </w:rPr>
        <w:t> (дата звернення: 16.04.2025).</w:t>
      </w:r>
    </w:p>
    <w:p w14:paraId="58E3829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 xml:space="preserve"> Конституція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від 28.06.1996 № 254к/96-ВР : станом на 1 січ. 2020 р. URL: </w:t>
      </w:r>
      <w:hyperlink r:id="rId283" w:anchor="Text" w:tgtFrame="_blank" w:history="1">
        <w:r w:rsidRPr="00511005">
          <w:rPr>
            <w:rFonts w:ascii="Arial" w:eastAsia="Times New Roman" w:hAnsi="Arial" w:cs="Arial"/>
            <w:szCs w:val="28"/>
            <w:lang w:eastAsia="ru-RU"/>
          </w:rPr>
          <w:t>https://zakon.rada.gov.ua/laws/show/254к/96-вр#Text</w:t>
        </w:r>
      </w:hyperlink>
      <w:r w:rsidRPr="00511005">
        <w:rPr>
          <w:rFonts w:ascii="Arial" w:eastAsia="Times New Roman" w:hAnsi="Arial" w:cs="Arial"/>
          <w:szCs w:val="28"/>
          <w:lang w:eastAsia="ru-RU"/>
        </w:rPr>
        <w:t> (дата звернення: 16.04.2025).</w:t>
      </w:r>
    </w:p>
    <w:p w14:paraId="2B16E727" w14:textId="3F362695"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3.</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Шевчук С. Узгодженість практики ЄСПЛ та Конституційного Суду України. </w:t>
      </w:r>
      <w:r w:rsidRPr="00511005">
        <w:rPr>
          <w:rFonts w:ascii="Arial" w:eastAsia="Times New Roman" w:hAnsi="Arial" w:cs="Arial"/>
          <w:i/>
          <w:szCs w:val="28"/>
          <w:lang w:eastAsia="ru-RU"/>
        </w:rPr>
        <w:t>Вісник Конституційного Суду України.</w:t>
      </w:r>
      <w:r w:rsidRPr="00511005">
        <w:rPr>
          <w:rFonts w:ascii="Arial" w:eastAsia="Times New Roman" w:hAnsi="Arial" w:cs="Arial"/>
          <w:szCs w:val="28"/>
          <w:lang w:eastAsia="ru-RU"/>
        </w:rPr>
        <w:t xml:space="preserve"> № 4-5/2011. С. 122-130.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284" w:history="1">
        <w:r w:rsidRPr="00511005">
          <w:rPr>
            <w:rFonts w:ascii="Arial" w:eastAsia="Times New Roman" w:hAnsi="Arial" w:cs="Arial"/>
            <w:szCs w:val="28"/>
            <w:lang w:eastAsia="ru-RU"/>
          </w:rPr>
          <w:t>http://nbuv.gov.ua/UJRN/Vksu_2011_4-5_17</w:t>
        </w:r>
      </w:hyperlink>
    </w:p>
    <w:p w14:paraId="28AE916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4. 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положення третього речення частини першої статті 13 Закону України "Про психіатричну допомогу" (справа про судовий контроль за госпіталізацією недієздатних осіб до психіатричного закладу) від 01.06.2016. </w:t>
      </w:r>
      <w:r w:rsidRPr="00511005">
        <w:rPr>
          <w:rFonts w:ascii="Arial" w:eastAsia="Times New Roman" w:hAnsi="Arial" w:cs="Arial"/>
          <w:bCs/>
          <w:szCs w:val="28"/>
          <w:lang w:val="uk-UA" w:eastAsia="ru-RU"/>
        </w:rPr>
        <w:t>№ 2-рп/2016</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285" w:anchor="Text" w:history="1">
        <w:r w:rsidRPr="00511005">
          <w:rPr>
            <w:rFonts w:ascii="Arial" w:eastAsia="Times New Roman" w:hAnsi="Arial" w:cs="Arial"/>
            <w:szCs w:val="28"/>
            <w:lang w:val="uk-UA" w:eastAsia="ru-RU"/>
          </w:rPr>
          <w:t>https://zakon.rada.gov.ua/laws/show/v002p710-16#Text</w:t>
        </w:r>
      </w:hyperlink>
      <w:r w:rsidRPr="00511005">
        <w:rPr>
          <w:rFonts w:ascii="Arial" w:eastAsia="Times New Roman" w:hAnsi="Arial" w:cs="Arial"/>
          <w:szCs w:val="28"/>
          <w:lang w:val="uk-UA" w:eastAsia="ru-RU"/>
        </w:rPr>
        <w:t xml:space="preserve"> </w:t>
      </w:r>
    </w:p>
    <w:p w14:paraId="4C0C9B72"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eastAsia="ru-RU"/>
        </w:rPr>
        <w:t xml:space="preserve">5. Гаврильців М. Т. Деякі питання застосування </w:t>
      </w:r>
      <w:r w:rsidRPr="00511005">
        <w:rPr>
          <w:rFonts w:ascii="Arial" w:eastAsia="Times New Roman" w:hAnsi="Arial" w:cs="Arial"/>
          <w:szCs w:val="28"/>
          <w:lang w:val="uk-UA" w:eastAsia="ru-RU"/>
        </w:rPr>
        <w:t>Є</w:t>
      </w:r>
      <w:r w:rsidRPr="00511005">
        <w:rPr>
          <w:rFonts w:ascii="Arial" w:eastAsia="Times New Roman" w:hAnsi="Arial" w:cs="Arial"/>
          <w:szCs w:val="28"/>
          <w:lang w:eastAsia="ru-RU"/>
        </w:rPr>
        <w:t xml:space="preserve">вропейської конвенції про захист прав людини і основоположних свобод та практики </w:t>
      </w:r>
      <w:r w:rsidRPr="00511005">
        <w:rPr>
          <w:rFonts w:ascii="Arial" w:eastAsia="Times New Roman" w:hAnsi="Arial" w:cs="Arial"/>
          <w:szCs w:val="28"/>
          <w:lang w:val="uk-UA" w:eastAsia="ru-RU"/>
        </w:rPr>
        <w:t>С</w:t>
      </w:r>
      <w:r w:rsidRPr="00511005">
        <w:rPr>
          <w:rFonts w:ascii="Arial" w:eastAsia="Times New Roman" w:hAnsi="Arial" w:cs="Arial"/>
          <w:szCs w:val="28"/>
          <w:lang w:eastAsia="ru-RU"/>
        </w:rPr>
        <w:t xml:space="preserve">трасбурзького суду в юридичних позиціях </w:t>
      </w:r>
      <w:r w:rsidRPr="00511005">
        <w:rPr>
          <w:rFonts w:ascii="Arial" w:eastAsia="Times New Roman" w:hAnsi="Arial" w:cs="Arial"/>
          <w:szCs w:val="28"/>
          <w:lang w:val="uk-UA" w:eastAsia="ru-RU"/>
        </w:rPr>
        <w:t>К</w:t>
      </w:r>
      <w:r w:rsidRPr="00511005">
        <w:rPr>
          <w:rFonts w:ascii="Arial" w:eastAsia="Times New Roman" w:hAnsi="Arial" w:cs="Arial"/>
          <w:szCs w:val="28"/>
          <w:lang w:eastAsia="ru-RU"/>
        </w:rPr>
        <w:t xml:space="preserve">онституційного </w:t>
      </w:r>
      <w:r w:rsidRPr="00511005">
        <w:rPr>
          <w:rFonts w:ascii="Arial" w:eastAsia="Times New Roman" w:hAnsi="Arial" w:cs="Arial"/>
          <w:szCs w:val="28"/>
          <w:lang w:val="uk-UA" w:eastAsia="ru-RU"/>
        </w:rPr>
        <w:t>С</w:t>
      </w:r>
      <w:r w:rsidRPr="00511005">
        <w:rPr>
          <w:rFonts w:ascii="Arial" w:eastAsia="Times New Roman" w:hAnsi="Arial" w:cs="Arial"/>
          <w:szCs w:val="28"/>
          <w:lang w:eastAsia="ru-RU"/>
        </w:rPr>
        <w:t xml:space="preserve">уду </w:t>
      </w:r>
      <w:r w:rsidRPr="00511005">
        <w:rPr>
          <w:rFonts w:ascii="Arial" w:eastAsia="Times New Roman" w:hAnsi="Arial" w:cs="Arial"/>
          <w:szCs w:val="28"/>
          <w:lang w:val="uk-UA" w:eastAsia="ru-RU"/>
        </w:rPr>
        <w:t>У</w:t>
      </w:r>
      <w:r w:rsidRPr="00511005">
        <w:rPr>
          <w:rFonts w:ascii="Arial" w:eastAsia="Times New Roman" w:hAnsi="Arial" w:cs="Arial"/>
          <w:szCs w:val="28"/>
          <w:lang w:eastAsia="ru-RU"/>
        </w:rPr>
        <w:t xml:space="preserve">країни. </w:t>
      </w:r>
      <w:r w:rsidRPr="00511005">
        <w:rPr>
          <w:rFonts w:ascii="Arial" w:eastAsia="Times New Roman" w:hAnsi="Arial" w:cs="Arial"/>
          <w:i/>
          <w:szCs w:val="28"/>
          <w:lang w:val="en-US" w:eastAsia="ru-RU"/>
        </w:rPr>
        <w:t>Juridical scientific and electronic journal.</w:t>
      </w:r>
      <w:r w:rsidRPr="00511005">
        <w:rPr>
          <w:rFonts w:ascii="Arial" w:eastAsia="Times New Roman" w:hAnsi="Arial" w:cs="Arial"/>
          <w:szCs w:val="28"/>
          <w:lang w:val="en-US" w:eastAsia="ru-RU"/>
        </w:rPr>
        <w:t xml:space="preserve"> 2023. № 8. С. 54–57. URL: </w:t>
      </w:r>
      <w:hyperlink r:id="rId286" w:history="1">
        <w:r w:rsidRPr="00511005">
          <w:rPr>
            <w:rFonts w:ascii="Arial" w:eastAsia="Times New Roman" w:hAnsi="Arial" w:cs="Arial"/>
            <w:szCs w:val="28"/>
            <w:lang w:val="en-US" w:eastAsia="ru-RU"/>
          </w:rPr>
          <w:t>https://doi.org/10.32782/2524-0374/2023-8/9</w:t>
        </w:r>
      </w:hyperlink>
      <w:r w:rsidRPr="00511005">
        <w:rPr>
          <w:rFonts w:ascii="Arial" w:eastAsia="Times New Roman" w:hAnsi="Arial" w:cs="Arial"/>
          <w:szCs w:val="28"/>
          <w:lang w:val="en-US" w:eastAsia="ru-RU"/>
        </w:rPr>
        <w:t xml:space="preserve"> </w:t>
      </w:r>
    </w:p>
    <w:p w14:paraId="1AB4306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6. </w:t>
      </w:r>
      <w:r w:rsidRPr="00511005">
        <w:rPr>
          <w:rFonts w:ascii="Arial" w:eastAsia="Times New Roman" w:hAnsi="Arial" w:cs="Arial"/>
          <w:szCs w:val="28"/>
          <w:lang w:val="uk-UA" w:eastAsia="ru-RU"/>
        </w:rPr>
        <w:t xml:space="preserve">Рішення Конституційного Суду України у справі за конституційним поданням 70 народних депутатів України щодо відповідності Конституції України (конституційності) положень частини першої статті 10, пункту 3 частини другої, частин п'ятої, шостої статті 11, статті 15, частини першої статті 17, статті 24, пункту 3 розділу VI "Заключні положення" Закону України "Про політичні партії в Україні" (справа про утворення політичних партій в Україні) від 12 червня 2007 року N 2-рп/2007.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287" w:anchor="Text"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show</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v</w:t>
        </w:r>
        <w:r w:rsidRPr="00511005">
          <w:rPr>
            <w:rFonts w:ascii="Arial" w:eastAsia="Times New Roman" w:hAnsi="Arial" w:cs="Arial"/>
            <w:szCs w:val="28"/>
            <w:lang w:eastAsia="ru-RU"/>
          </w:rPr>
          <w:t>002</w:t>
        </w:r>
        <w:r w:rsidRPr="00511005">
          <w:rPr>
            <w:rFonts w:ascii="Arial" w:eastAsia="Times New Roman" w:hAnsi="Arial" w:cs="Arial"/>
            <w:szCs w:val="28"/>
            <w:lang w:val="en-US" w:eastAsia="ru-RU"/>
          </w:rPr>
          <w:t>p</w:t>
        </w:r>
        <w:r w:rsidRPr="00511005">
          <w:rPr>
            <w:rFonts w:ascii="Arial" w:eastAsia="Times New Roman" w:hAnsi="Arial" w:cs="Arial"/>
            <w:szCs w:val="28"/>
            <w:lang w:eastAsia="ru-RU"/>
          </w:rPr>
          <w:t>710-07#</w:t>
        </w:r>
        <w:r w:rsidRPr="00511005">
          <w:rPr>
            <w:rFonts w:ascii="Arial" w:eastAsia="Times New Roman" w:hAnsi="Arial" w:cs="Arial"/>
            <w:szCs w:val="28"/>
            <w:lang w:val="en-US" w:eastAsia="ru-RU"/>
          </w:rPr>
          <w:t>Text</w:t>
        </w:r>
      </w:hyperlink>
      <w:r w:rsidRPr="00511005">
        <w:rPr>
          <w:rFonts w:ascii="Arial" w:eastAsia="Times New Roman" w:hAnsi="Arial" w:cs="Arial"/>
          <w:szCs w:val="28"/>
          <w:lang w:val="uk-UA" w:eastAsia="ru-RU"/>
        </w:rPr>
        <w:t xml:space="preserve"> </w:t>
      </w:r>
    </w:p>
    <w:p w14:paraId="0DB14D3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65EBE522" w14:textId="3A74E90C"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права людини, рішення ЄСПЛ, дружнє ставлення до міжнародного права, Конституційний Суд України, воєнний стан</w:t>
      </w:r>
    </w:p>
    <w:p w14:paraId="25C2455C" w14:textId="6E18F162" w:rsidR="00220D3E" w:rsidRPr="00511005" w:rsidRDefault="007B2628" w:rsidP="003A292D">
      <w:pPr>
        <w:tabs>
          <w:tab w:val="left" w:pos="709"/>
        </w:tabs>
        <w:spacing w:line="264" w:lineRule="auto"/>
        <w:rPr>
          <w:rFonts w:ascii="Arial" w:eastAsia="Times New Roman" w:hAnsi="Arial" w:cs="Arial"/>
          <w:bCs/>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bCs/>
          <w:szCs w:val="28"/>
          <w:lang w:val="uk-UA" w:eastAsia="ru-RU"/>
        </w:rPr>
        <w:t>human rights, ECHR decisions,</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bCs/>
          <w:szCs w:val="28"/>
          <w:lang w:val="en-US" w:eastAsia="ru-RU"/>
        </w:rPr>
        <w:t>friendly attitude to international law, Constitutional Court of Ukraine, martial law</w:t>
      </w:r>
    </w:p>
    <w:p w14:paraId="28EBA580" w14:textId="07C548D4"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bCs/>
          <w:i/>
          <w:szCs w:val="28"/>
          <w:lang w:val="uk-UA" w:eastAsia="ru-RU"/>
        </w:rPr>
        <w:t xml:space="preserve">Науковий керівник: </w:t>
      </w:r>
      <w:r w:rsidR="00220D3E" w:rsidRPr="00511005">
        <w:rPr>
          <w:rFonts w:ascii="Arial" w:eastAsia="Times New Roman" w:hAnsi="Arial" w:cs="Arial"/>
          <w:bCs/>
          <w:i/>
          <w:szCs w:val="28"/>
          <w:lang w:val="uk-UA" w:eastAsia="ru-RU"/>
        </w:rPr>
        <w:t>к.ю.н., доцент Дронов В.Ю.</w:t>
      </w:r>
    </w:p>
    <w:p w14:paraId="7338F97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6BC81004" w14:textId="77777777" w:rsidR="00220D3E" w:rsidRPr="00511005" w:rsidRDefault="00220D3E" w:rsidP="003A292D">
      <w:pPr>
        <w:tabs>
          <w:tab w:val="left" w:pos="709"/>
        </w:tabs>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Грищенко Дарія Андріївна</w:t>
      </w:r>
    </w:p>
    <w:p w14:paraId="6AA57E60" w14:textId="60EE63EE" w:rsidR="00176B4E" w:rsidRPr="00511005" w:rsidRDefault="00536AAB"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69EE10F3"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663B2C8" w14:textId="22C2760B" w:rsidR="00220D3E" w:rsidRPr="00511005" w:rsidRDefault="007B2628" w:rsidP="003A292D">
      <w:pPr>
        <w:tabs>
          <w:tab w:val="left" w:pos="709"/>
        </w:tabs>
        <w:spacing w:line="264" w:lineRule="auto"/>
        <w:ind w:firstLine="0"/>
        <w:jc w:val="center"/>
        <w:rPr>
          <w:rFonts w:ascii="Arial" w:eastAsia="Times New Roman" w:hAnsi="Arial" w:cs="Arial"/>
          <w:iCs/>
          <w:szCs w:val="28"/>
          <w:lang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29CE6E69" w14:textId="77777777" w:rsidR="00220D3E" w:rsidRPr="00511005" w:rsidRDefault="00220D3E" w:rsidP="003A292D">
      <w:pPr>
        <w:tabs>
          <w:tab w:val="left" w:pos="709"/>
        </w:tabs>
        <w:spacing w:line="264" w:lineRule="auto"/>
        <w:ind w:firstLine="0"/>
        <w:jc w:val="center"/>
        <w:rPr>
          <w:rFonts w:ascii="Arial" w:eastAsia="Times New Roman" w:hAnsi="Arial" w:cs="Arial"/>
          <w:iCs/>
          <w:szCs w:val="28"/>
          <w:lang w:eastAsia="ru-RU"/>
        </w:rPr>
      </w:pPr>
    </w:p>
    <w:p w14:paraId="6F6E7E1F" w14:textId="77777777" w:rsidR="00220D3E" w:rsidRPr="00511005" w:rsidRDefault="00220D3E" w:rsidP="003A292D">
      <w:pPr>
        <w:tabs>
          <w:tab w:val="left" w:pos="709"/>
        </w:tabs>
        <w:spacing w:line="264" w:lineRule="auto"/>
        <w:ind w:firstLine="0"/>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lastRenderedPageBreak/>
        <w:t xml:space="preserve">МІЖНАРОДНО-ПРАВОВЕ РЕГУЛЮВАННЯ БОРОТЬБИ З ГЕНДЕРНОЮ ДИСКРИМІНАЦІЄЮ НА РОБОЧОМУ МІСЦІ </w:t>
      </w:r>
    </w:p>
    <w:p w14:paraId="7CE94C2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Гендерна дискримінація на робочому місці — це систематичне і неприязне ставлення до осіб на основі їхнього гендеру, що веде до створення нерівних можливостей, умов праці та винагороди в порівнянні з іншими працівниками. Це явище є порушенням принципу рівності, при якому одні працівники отримують переваги або зазнають обмежень через свою стать чи гендерну ідентичність.</w:t>
      </w:r>
    </w:p>
    <w:p w14:paraId="1D1AFC0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Боротьба з ґендерною дискримінацією на робочому місці є пріоритетом міжнародного правового регулювання у сфері прав людини та трудових відносин. Міжнародні організації, зокрема Організація Об’єднаних Націй, Міжнародна організація праці та Рада Європи, розробили низку нормативно-правових актів, які закріплюють принцип недискримінації за ознакою статі та зобов’язують держав-учасниць забезпечувати рівність можливостей і умов праці для всіх.</w:t>
      </w:r>
    </w:p>
    <w:p w14:paraId="2F43C1F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кінці XX століття утвердження гендерної рівності стало одним із пріоритетних напрямів діяльності Організації Об’єднаних Націй, а також інших міжнародних організацій. Саме Статут ООН уперше на глобальному рівні закріпив ідею рівноправності чоловіків і жінок, визначивши її ключовим чинником соціального розвитку та покращення життя людства. У документі засвідчено віру в базові права людини, непорушну гідність особистості, рівність між статями, а також між «великими та малими націями». </w:t>
      </w:r>
    </w:p>
    <w:p w14:paraId="5574A1E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Проте, важливим моментом було те, що під керівництвом Організації Об’єднаних Націй у 1948 році було прийнято </w:t>
      </w:r>
      <w:r w:rsidRPr="00511005">
        <w:rPr>
          <w:rFonts w:ascii="Arial" w:eastAsia="Times New Roman" w:hAnsi="Arial" w:cs="Arial"/>
          <w:i/>
          <w:iCs/>
          <w:szCs w:val="28"/>
          <w:lang w:val="uk-UA" w:eastAsia="ru-RU"/>
        </w:rPr>
        <w:t xml:space="preserve">«Загальну декларацію прав людини» </w:t>
      </w:r>
      <w:r w:rsidRPr="00511005">
        <w:rPr>
          <w:rFonts w:ascii="Arial" w:eastAsia="Times New Roman" w:hAnsi="Arial" w:cs="Arial"/>
          <w:szCs w:val="28"/>
          <w:lang w:val="uk-UA" w:eastAsia="ru-RU"/>
        </w:rPr>
        <w:t>[1], яка вперше на міжнародному рівні закріпила основний перелік невід’ємних трудових прав особистості. Держави-учасниці взяли на себе зобов’язання заборонити та усунути расову дискримінацію в будь-яких її проявах, гарантувавши рівність усіх людей перед законом незалежно від раси, кольору шкіри, національного чи етнічного походження, особливо в контексті реалізації права на: працю, вільний вибір роботи, захист від безробіття, справедливі та сприятливі умови праці, рівну оплату за рівну працю; справедливу і задовільну винагороду, що забезпечує гідне людини існування для нього самого та його родини й яке в разі необхідності доповнюється іншими засобами соціального забезпечення, створення профспілок і вступу до них для захисту своїх інтересів, відпочинок і дозвілля, включаючи розумне обмеження робочого дня й оплачувані періодичні відпустки.</w:t>
      </w:r>
    </w:p>
    <w:p w14:paraId="7674FDB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1966 році був прийнятий </w:t>
      </w:r>
      <w:r w:rsidRPr="00511005">
        <w:rPr>
          <w:rFonts w:ascii="Arial" w:eastAsia="Times New Roman" w:hAnsi="Arial" w:cs="Arial"/>
          <w:i/>
          <w:iCs/>
          <w:szCs w:val="28"/>
          <w:lang w:val="uk-UA" w:eastAsia="ru-RU"/>
        </w:rPr>
        <w:t>«Міжнародний пакт про економічні, соціальні та культурні права (ICESCR)»</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 xml:space="preserve">, який гарантує права людини в сфері праці. Він зобов'язує держави забезпечити рівні можливості для всіх без дискримінації, зокрема на роботі. Пакт передбачає право на працю, рівну оплату за рівноцінну працю та створення справедливих умов праці, що </w:t>
      </w:r>
      <w:r w:rsidRPr="00511005">
        <w:rPr>
          <w:rFonts w:ascii="Arial" w:eastAsia="Times New Roman" w:hAnsi="Arial" w:cs="Arial"/>
          <w:szCs w:val="28"/>
          <w:lang w:val="uk-UA" w:eastAsia="ru-RU"/>
        </w:rPr>
        <w:lastRenderedPageBreak/>
        <w:t>прямо стосується гендерної рівності. Це означає, що як жінки, так і чоловіки мають право на рівні умови праці, розвиток кар'єри та соціальний захист без дискримінації за статтю. Ним також було урегульовано питання щодо: справедливих та сприятливих умов праці, включаючи справедливу заробітну плату без дискримінації, задовільні умови існування для працівників та їх сімей, безпечні та здорові умови праці, однакові для всіх можливості просування по роботі виключно на підставі трудового стажу та рівня кваліфікації, на відпочинок, на профспілкову організацію, на страйк.</w:t>
      </w:r>
    </w:p>
    <w:p w14:paraId="0135BEDB" w14:textId="25F4025C" w:rsidR="00220D3E" w:rsidRPr="00511005" w:rsidRDefault="00220D3E"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szCs w:val="28"/>
          <w:lang w:val="uk-UA" w:eastAsia="ru-RU"/>
        </w:rPr>
        <w:t xml:space="preserve">У тому ж році було прийнято </w:t>
      </w:r>
      <w:r w:rsidRPr="00511005">
        <w:rPr>
          <w:rFonts w:ascii="Arial" w:eastAsia="Times New Roman" w:hAnsi="Arial" w:cs="Arial"/>
          <w:i/>
          <w:iCs/>
          <w:szCs w:val="28"/>
          <w:lang w:val="uk-UA" w:eastAsia="ru-RU"/>
        </w:rPr>
        <w:t>«Конвенцію ООН про ліквідацію всіх форм расової дискримінації (1966)»</w:t>
      </w:r>
      <w:r w:rsidRPr="00511005">
        <w:rPr>
          <w:rFonts w:ascii="Arial" w:eastAsia="Times New Roman" w:hAnsi="Arial" w:cs="Arial"/>
          <w:szCs w:val="28"/>
          <w:lang w:val="uk-UA" w:eastAsia="ru-RU"/>
        </w:rPr>
        <w:t xml:space="preserve"> [3],</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і незважаючи на те, що вона більше фокусує увагу саме на расовій, етнічній та національній дискримінації, на відміну від інших документів, Конвенція також вимагає, щоб </w:t>
      </w:r>
      <w:r w:rsidRPr="00511005">
        <w:rPr>
          <w:rFonts w:ascii="Arial" w:eastAsia="Times New Roman" w:hAnsi="Arial" w:cs="Arial"/>
          <w:i/>
          <w:iCs/>
          <w:szCs w:val="28"/>
          <w:lang w:val="uk-UA" w:eastAsia="ru-RU"/>
        </w:rPr>
        <w:t>держави гарантували рівність у доступі до працевлаштування, професійного навчання, просування по службі та умов праці, включаючи захист у разі порушень.</w:t>
      </w:r>
    </w:p>
    <w:p w14:paraId="05E790BC" w14:textId="77777777" w:rsidR="00220D3E" w:rsidRPr="00511005" w:rsidRDefault="00220D3E"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szCs w:val="28"/>
          <w:lang w:val="uk-UA" w:eastAsia="ru-RU"/>
        </w:rPr>
        <w:t xml:space="preserve">Хоча проблема дискримінації чоловіків також має місце, вона не досягає таких масштабів, як дискримінація жінок. Випадки дискримінації чоловіків здебільшого є поодинокими і зазвичай спостерігаються на мікрорівні. Натомість жінки значно частіше стають об'єктами дискримінації, особливо у сфері праці. Це не є випадковим, адже в нашому суспільстві, що має патріархальні традиції, чоловіки часто асоціюються з носіями влади, тоді як жінки, позбавлені таких впливових позицій, знаходяться у більш уразливому становищі, що робить їх частішими жертвами дискримінації. Тому, </w:t>
      </w:r>
      <w:r w:rsidRPr="00511005">
        <w:rPr>
          <w:rFonts w:ascii="Arial" w:eastAsia="Times New Roman" w:hAnsi="Arial" w:cs="Arial"/>
          <w:i/>
          <w:iCs/>
          <w:szCs w:val="28"/>
          <w:lang w:val="uk-UA" w:eastAsia="ru-RU"/>
        </w:rPr>
        <w:t>антидискримінаційні положення</w:t>
      </w:r>
      <w:r w:rsidRPr="00511005">
        <w:rPr>
          <w:rFonts w:ascii="Arial" w:eastAsia="Times New Roman" w:hAnsi="Arial" w:cs="Arial"/>
          <w:szCs w:val="28"/>
          <w:lang w:val="uk-UA" w:eastAsia="ru-RU"/>
        </w:rPr>
        <w:t xml:space="preserve"> ґрунтовно викладені у </w:t>
      </w:r>
      <w:r w:rsidRPr="00511005">
        <w:rPr>
          <w:rFonts w:ascii="Arial" w:eastAsia="Times New Roman" w:hAnsi="Arial" w:cs="Arial"/>
          <w:i/>
          <w:iCs/>
          <w:szCs w:val="28"/>
          <w:lang w:val="uk-UA" w:eastAsia="ru-RU"/>
        </w:rPr>
        <w:t>«Конвенції про ліквідацію всіх форм дискримінації щодо жінок»</w:t>
      </w:r>
      <w:r w:rsidRPr="00511005">
        <w:rPr>
          <w:rFonts w:ascii="Arial" w:eastAsia="Times New Roman" w:hAnsi="Arial" w:cs="Arial"/>
          <w:szCs w:val="28"/>
          <w:lang w:val="uk-UA" w:eastAsia="ru-RU"/>
        </w:rPr>
        <w:t xml:space="preserve"> [4], яка вперше закріпила відповідальність держав за дискримінацію жінок. Вона передбачає </w:t>
      </w:r>
      <w:r w:rsidRPr="00511005">
        <w:rPr>
          <w:rFonts w:ascii="Arial" w:eastAsia="Times New Roman" w:hAnsi="Arial" w:cs="Arial"/>
          <w:i/>
          <w:iCs/>
          <w:szCs w:val="28"/>
          <w:lang w:val="uk-UA" w:eastAsia="ru-RU"/>
        </w:rPr>
        <w:t>три ключові зобов’язання:</w:t>
      </w:r>
      <w:r w:rsidRPr="00511005">
        <w:rPr>
          <w:rFonts w:ascii="Arial" w:eastAsia="Times New Roman" w:hAnsi="Arial" w:cs="Arial"/>
          <w:szCs w:val="28"/>
          <w:lang w:val="uk-UA" w:eastAsia="ru-RU"/>
        </w:rPr>
        <w:t xml:space="preserve"> усунення дискримінації у законодавстві та практиці; покращення реального становища жінок через ефективні стратегії; подолання гендерних стереотипів і нерівності у відносинах між чоловіками та жінками. Гарантія прав жінок можлива лише за умови активної </w:t>
      </w:r>
      <w:r w:rsidRPr="00511005">
        <w:rPr>
          <w:rFonts w:ascii="Arial" w:eastAsia="Times New Roman" w:hAnsi="Arial" w:cs="Arial"/>
          <w:i/>
          <w:iCs/>
          <w:szCs w:val="28"/>
          <w:lang w:val="uk-UA" w:eastAsia="ru-RU"/>
        </w:rPr>
        <w:t>державної політики.</w:t>
      </w:r>
    </w:p>
    <w:p w14:paraId="1FA8201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сфері гендерної рівності у трудових відносинах ключову роль відіграє </w:t>
      </w:r>
      <w:r w:rsidRPr="00511005">
        <w:rPr>
          <w:rFonts w:ascii="Arial" w:eastAsia="Times New Roman" w:hAnsi="Arial" w:cs="Arial"/>
          <w:i/>
          <w:iCs/>
          <w:szCs w:val="28"/>
          <w:lang w:val="uk-UA" w:eastAsia="ru-RU"/>
        </w:rPr>
        <w:t>«Міжнародна організація праці» (МОП)</w:t>
      </w:r>
      <w:r w:rsidRPr="00511005">
        <w:rPr>
          <w:rFonts w:ascii="Arial" w:eastAsia="Times New Roman" w:hAnsi="Arial" w:cs="Arial"/>
          <w:szCs w:val="28"/>
          <w:lang w:val="uk-UA" w:eastAsia="ru-RU"/>
        </w:rPr>
        <w:t xml:space="preserve"> — глобальний центр трудового законодавства та соціального діалогу, що об’єднує представників урядів, роботодавців і працівників. Важливим напрямом діяльності МОП є розробка міжнародних трудових норм у формі конвенцій і рекомендацій, зокрема </w:t>
      </w:r>
      <w:r w:rsidRPr="00511005">
        <w:rPr>
          <w:rFonts w:ascii="Arial" w:eastAsia="Times New Roman" w:hAnsi="Arial" w:cs="Arial"/>
          <w:i/>
          <w:iCs/>
          <w:szCs w:val="28"/>
          <w:lang w:val="uk-UA" w:eastAsia="ru-RU"/>
        </w:rPr>
        <w:t>«Конвенції №100 про рівну оплату праці (1951)»</w:t>
      </w:r>
      <w:r w:rsidRPr="00511005">
        <w:rPr>
          <w:rFonts w:ascii="Arial" w:eastAsia="Times New Roman" w:hAnsi="Arial" w:cs="Arial"/>
          <w:szCs w:val="28"/>
          <w:lang w:val="uk-UA" w:eastAsia="ru-RU"/>
        </w:rPr>
        <w:t xml:space="preserve"> та </w:t>
      </w:r>
      <w:r w:rsidRPr="00511005">
        <w:rPr>
          <w:rFonts w:ascii="Arial" w:eastAsia="Times New Roman" w:hAnsi="Arial" w:cs="Arial"/>
          <w:i/>
          <w:iCs/>
          <w:szCs w:val="28"/>
          <w:lang w:val="uk-UA" w:eastAsia="ru-RU"/>
        </w:rPr>
        <w:t>«Конвенції №111 про недопущення дискримінації в праці (1958)»</w:t>
      </w:r>
      <w:r w:rsidRPr="00511005">
        <w:rPr>
          <w:rFonts w:ascii="Arial" w:eastAsia="Times New Roman" w:hAnsi="Arial" w:cs="Arial"/>
          <w:szCs w:val="28"/>
          <w:lang w:val="uk-UA" w:eastAsia="ru-RU"/>
        </w:rPr>
        <w:t>, які слугують основою для вдосконалення національного трудового законодавства.</w:t>
      </w:r>
    </w:p>
    <w:p w14:paraId="0FE4D72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Проблеми дискримінації у сфері праці не залишилися поза увагою й у Європі. Основні трудові та соціальні стандарти викладені </w:t>
      </w:r>
      <w:r w:rsidRPr="00511005">
        <w:rPr>
          <w:rFonts w:ascii="Arial" w:eastAsia="Times New Roman" w:hAnsi="Arial" w:cs="Arial"/>
          <w:i/>
          <w:iCs/>
          <w:szCs w:val="28"/>
          <w:lang w:val="uk-UA" w:eastAsia="ru-RU"/>
        </w:rPr>
        <w:t xml:space="preserve">«Європейській соціальній хартії» </w:t>
      </w:r>
      <w:r w:rsidRPr="00511005">
        <w:rPr>
          <w:rFonts w:ascii="Arial" w:eastAsia="Times New Roman" w:hAnsi="Arial" w:cs="Arial"/>
          <w:szCs w:val="28"/>
          <w:lang w:val="uk-UA" w:eastAsia="ru-RU"/>
        </w:rPr>
        <w:t>(переглянутій)</w:t>
      </w:r>
      <w:r w:rsidRPr="00511005">
        <w:rPr>
          <w:rFonts w:ascii="Arial" w:eastAsia="Times New Roman" w:hAnsi="Arial" w:cs="Arial"/>
          <w:i/>
          <w:iCs/>
          <w:szCs w:val="28"/>
          <w:lang w:val="uk-UA" w:eastAsia="ru-RU"/>
        </w:rPr>
        <w:t xml:space="preserve"> </w:t>
      </w:r>
      <w:r w:rsidRPr="00511005">
        <w:rPr>
          <w:rFonts w:ascii="Arial" w:eastAsia="Times New Roman" w:hAnsi="Arial" w:cs="Arial"/>
          <w:szCs w:val="28"/>
          <w:lang w:val="uk-UA" w:eastAsia="ru-RU"/>
        </w:rPr>
        <w:t xml:space="preserve">[5], яку часто називають </w:t>
      </w:r>
      <w:r w:rsidRPr="00511005">
        <w:rPr>
          <w:rFonts w:ascii="Arial" w:eastAsia="Times New Roman" w:hAnsi="Arial" w:cs="Arial"/>
          <w:i/>
          <w:iCs/>
          <w:szCs w:val="28"/>
          <w:lang w:val="uk-UA" w:eastAsia="ru-RU"/>
        </w:rPr>
        <w:t xml:space="preserve">«кодексом </w:t>
      </w:r>
      <w:r w:rsidRPr="00511005">
        <w:rPr>
          <w:rFonts w:ascii="Arial" w:eastAsia="Times New Roman" w:hAnsi="Arial" w:cs="Arial"/>
          <w:i/>
          <w:iCs/>
          <w:szCs w:val="28"/>
          <w:lang w:val="uk-UA" w:eastAsia="ru-RU"/>
        </w:rPr>
        <w:lastRenderedPageBreak/>
        <w:t>основних прав працівників».</w:t>
      </w:r>
      <w:r w:rsidRPr="00511005">
        <w:rPr>
          <w:rFonts w:ascii="Arial" w:eastAsia="Times New Roman" w:hAnsi="Arial" w:cs="Arial"/>
          <w:szCs w:val="28"/>
          <w:lang w:val="uk-UA" w:eastAsia="ru-RU"/>
        </w:rPr>
        <w:t xml:space="preserve"> Хартія забороняє дискримінацію з будь-яких причин — зокрема за статтю, расою, мовою, віросповіданням, етнічним походженням, віком, інвалідністю чи сексуальною орієнтацією.</w:t>
      </w:r>
    </w:p>
    <w:p w14:paraId="591DD854" w14:textId="77777777" w:rsidR="00220D3E" w:rsidRPr="00511005" w:rsidRDefault="00220D3E"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szCs w:val="28"/>
          <w:lang w:val="uk-UA" w:eastAsia="ru-RU"/>
        </w:rPr>
        <w:t xml:space="preserve">Варто зазначити, що ЄС закріплює принципи гендерної рівності через нормативно-правову базу, зокрема через статті «Амстердамської угоди (1997)», яка внесла зміни до Договору про ЄС та офіційно закріпила принцип гендерної рівності. До цієї бази входить низка директив, що охоплюють ключові аспекти: </w:t>
      </w:r>
      <w:r w:rsidRPr="00511005">
        <w:rPr>
          <w:rFonts w:ascii="Arial" w:eastAsia="Times New Roman" w:hAnsi="Arial" w:cs="Arial"/>
          <w:i/>
          <w:iCs/>
          <w:szCs w:val="28"/>
          <w:lang w:val="uk-UA" w:eastAsia="ru-RU"/>
        </w:rPr>
        <w:t>рівна оплата праці</w:t>
      </w:r>
      <w:r w:rsidRPr="00511005">
        <w:rPr>
          <w:rFonts w:ascii="Arial" w:eastAsia="Times New Roman" w:hAnsi="Arial" w:cs="Arial"/>
          <w:szCs w:val="28"/>
          <w:lang w:val="uk-UA" w:eastAsia="ru-RU"/>
        </w:rPr>
        <w:t xml:space="preserve"> (Директива 75/117/ЄЕС від 10.02.1975 р.), </w:t>
      </w:r>
      <w:r w:rsidRPr="00511005">
        <w:rPr>
          <w:rFonts w:ascii="Arial" w:eastAsia="Times New Roman" w:hAnsi="Arial" w:cs="Arial"/>
          <w:i/>
          <w:iCs/>
          <w:szCs w:val="28"/>
          <w:lang w:val="uk-UA" w:eastAsia="ru-RU"/>
        </w:rPr>
        <w:t>рівне ставлення на робочому місці</w:t>
      </w:r>
      <w:r w:rsidRPr="00511005">
        <w:rPr>
          <w:rFonts w:ascii="Arial" w:eastAsia="Times New Roman" w:hAnsi="Arial" w:cs="Arial"/>
          <w:szCs w:val="28"/>
          <w:lang w:val="uk-UA" w:eastAsia="ru-RU"/>
        </w:rPr>
        <w:t xml:space="preserve"> (Директива 76/207/ЄЕС від 09.02.1976 р.), </w:t>
      </w:r>
      <w:r w:rsidRPr="00511005">
        <w:rPr>
          <w:rFonts w:ascii="Arial" w:eastAsia="Times New Roman" w:hAnsi="Arial" w:cs="Arial"/>
          <w:i/>
          <w:iCs/>
          <w:szCs w:val="28"/>
          <w:lang w:val="uk-UA" w:eastAsia="ru-RU"/>
        </w:rPr>
        <w:t>про рівне ставлення до чоловіків і жінок, які здійснюють самостійну діяльність (</w:t>
      </w:r>
      <w:r w:rsidRPr="00511005">
        <w:rPr>
          <w:rFonts w:ascii="Arial" w:eastAsia="Times New Roman" w:hAnsi="Arial" w:cs="Arial"/>
          <w:szCs w:val="28"/>
          <w:lang w:val="uk-UA" w:eastAsia="ru-RU"/>
        </w:rPr>
        <w:t>Директива 2010/41/ЄС від 07.07.2010 р</w:t>
      </w:r>
      <w:r w:rsidRPr="00511005">
        <w:rPr>
          <w:rFonts w:ascii="Arial" w:eastAsia="Times New Roman" w:hAnsi="Arial" w:cs="Arial"/>
          <w:i/>
          <w:iCs/>
          <w:szCs w:val="28"/>
          <w:lang w:val="uk-UA" w:eastAsia="ru-RU"/>
        </w:rPr>
        <w:t>.), безпека вагітних працівниць (</w:t>
      </w:r>
      <w:r w:rsidRPr="00511005">
        <w:rPr>
          <w:rFonts w:ascii="Arial" w:eastAsia="Times New Roman" w:hAnsi="Arial" w:cs="Arial"/>
          <w:szCs w:val="28"/>
          <w:lang w:val="uk-UA" w:eastAsia="ru-RU"/>
        </w:rPr>
        <w:t xml:space="preserve">Директива 92/85/ЄЕС від 19.10.1992 р.), </w:t>
      </w:r>
      <w:r w:rsidRPr="00511005">
        <w:rPr>
          <w:rFonts w:ascii="Arial" w:eastAsia="Times New Roman" w:hAnsi="Arial" w:cs="Arial"/>
          <w:i/>
          <w:iCs/>
          <w:szCs w:val="28"/>
          <w:lang w:val="uk-UA" w:eastAsia="ru-RU"/>
        </w:rPr>
        <w:t>відпустка по догляду за дитиною (</w:t>
      </w:r>
      <w:r w:rsidRPr="00511005">
        <w:rPr>
          <w:rFonts w:ascii="Arial" w:eastAsia="Times New Roman" w:hAnsi="Arial" w:cs="Arial"/>
          <w:szCs w:val="28"/>
          <w:lang w:val="uk-UA" w:eastAsia="ru-RU"/>
        </w:rPr>
        <w:t xml:space="preserve">Директива 96/34/ЄС від 03.06.1996 р.), </w:t>
      </w:r>
      <w:r w:rsidRPr="00511005">
        <w:rPr>
          <w:rFonts w:ascii="Arial" w:eastAsia="Times New Roman" w:hAnsi="Arial" w:cs="Arial"/>
          <w:i/>
          <w:iCs/>
          <w:szCs w:val="28"/>
          <w:lang w:val="uk-UA" w:eastAsia="ru-RU"/>
        </w:rPr>
        <w:t>рівність у системах соціального забезпечення (</w:t>
      </w:r>
      <w:r w:rsidRPr="00511005">
        <w:rPr>
          <w:rFonts w:ascii="Arial" w:eastAsia="Times New Roman" w:hAnsi="Arial" w:cs="Arial"/>
          <w:szCs w:val="28"/>
          <w:lang w:val="uk-UA" w:eastAsia="ru-RU"/>
        </w:rPr>
        <w:t>Директива 96/97/ЄС від 20.12.1996 р.)</w:t>
      </w:r>
      <w:r w:rsidRPr="00511005">
        <w:rPr>
          <w:rFonts w:ascii="Arial" w:eastAsia="Times New Roman" w:hAnsi="Arial" w:cs="Arial"/>
          <w:i/>
          <w:iCs/>
          <w:szCs w:val="28"/>
          <w:lang w:val="uk-UA" w:eastAsia="ru-RU"/>
        </w:rPr>
        <w:t xml:space="preserve">, </w:t>
      </w:r>
      <w:r w:rsidRPr="00511005">
        <w:rPr>
          <w:rFonts w:ascii="Arial" w:eastAsia="Times New Roman" w:hAnsi="Arial" w:cs="Arial"/>
          <w:szCs w:val="28"/>
          <w:lang w:val="uk-UA" w:eastAsia="ru-RU"/>
        </w:rPr>
        <w:t>і</w:t>
      </w:r>
      <w:r w:rsidRPr="00511005">
        <w:rPr>
          <w:rFonts w:ascii="Arial" w:eastAsia="Times New Roman" w:hAnsi="Arial" w:cs="Arial"/>
          <w:i/>
          <w:iCs/>
          <w:szCs w:val="28"/>
          <w:lang w:val="uk-UA" w:eastAsia="ru-RU"/>
        </w:rPr>
        <w:t xml:space="preserve"> </w:t>
      </w:r>
      <w:r w:rsidRPr="00511005">
        <w:rPr>
          <w:rFonts w:ascii="Arial" w:eastAsia="Times New Roman" w:hAnsi="Arial" w:cs="Arial"/>
          <w:szCs w:val="28"/>
          <w:lang w:val="uk-UA" w:eastAsia="ru-RU"/>
        </w:rPr>
        <w:t xml:space="preserve">Держави-члени ЄС зобов’язані імплементувати ці норми у своє національне законодавство [6]. </w:t>
      </w:r>
    </w:p>
    <w:p w14:paraId="6900EDB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Крім того, на основі статті 13 «Договору про ЄС» була розроблена стратегія боротьби з дискримінацією, яка включає:</w:t>
      </w:r>
    </w:p>
    <w:p w14:paraId="63AC4385" w14:textId="77777777" w:rsidR="00220D3E" w:rsidRPr="00511005" w:rsidRDefault="00220D3E" w:rsidP="003F6A5D">
      <w:pPr>
        <w:numPr>
          <w:ilvl w:val="0"/>
          <w:numId w:val="91"/>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i/>
          <w:iCs/>
          <w:szCs w:val="28"/>
          <w:lang w:val="uk-UA"/>
        </w:rPr>
        <w:t>Расову директиву —</w:t>
      </w:r>
      <w:r w:rsidRPr="00511005">
        <w:rPr>
          <w:rFonts w:ascii="Arial" w:eastAsia="Calibri" w:hAnsi="Arial" w:cs="Arial"/>
          <w:szCs w:val="28"/>
          <w:lang w:val="uk-UA"/>
        </w:rPr>
        <w:t xml:space="preserve"> Директива 2000/43/ЄС «Про здійснення принципу рівного ставлення незалежно від расового чи етнічного походження»;</w:t>
      </w:r>
    </w:p>
    <w:p w14:paraId="62A72E70" w14:textId="77777777" w:rsidR="00220D3E" w:rsidRPr="00511005" w:rsidRDefault="00220D3E" w:rsidP="003F6A5D">
      <w:pPr>
        <w:numPr>
          <w:ilvl w:val="0"/>
          <w:numId w:val="91"/>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i/>
          <w:iCs/>
          <w:szCs w:val="28"/>
          <w:lang w:val="uk-UA"/>
        </w:rPr>
        <w:t>Рамкову директиву про зайнятість —</w:t>
      </w:r>
      <w:r w:rsidRPr="00511005">
        <w:rPr>
          <w:rFonts w:ascii="Arial" w:eastAsia="Calibri" w:hAnsi="Arial" w:cs="Arial"/>
          <w:szCs w:val="28"/>
          <w:lang w:val="uk-UA"/>
        </w:rPr>
        <w:t xml:space="preserve"> Директива 2000/78/ЄС «Про встановлення загальних умов рівного ставлення у сфері зайнятості та професійної діяльності»;</w:t>
      </w:r>
    </w:p>
    <w:p w14:paraId="42AD78D2" w14:textId="77777777" w:rsidR="00220D3E" w:rsidRPr="00511005" w:rsidRDefault="00220D3E" w:rsidP="003F6A5D">
      <w:pPr>
        <w:numPr>
          <w:ilvl w:val="0"/>
          <w:numId w:val="91"/>
        </w:numPr>
        <w:tabs>
          <w:tab w:val="left" w:pos="709"/>
        </w:tabs>
        <w:spacing w:line="264" w:lineRule="auto"/>
        <w:ind w:left="0" w:firstLine="709"/>
        <w:contextualSpacing/>
        <w:jc w:val="left"/>
        <w:rPr>
          <w:rFonts w:ascii="Arial" w:eastAsia="Calibri" w:hAnsi="Arial" w:cs="Arial"/>
          <w:i/>
          <w:iCs/>
          <w:szCs w:val="28"/>
          <w:lang w:val="uk-UA"/>
        </w:rPr>
      </w:pPr>
      <w:r w:rsidRPr="00511005">
        <w:rPr>
          <w:rFonts w:ascii="Arial" w:eastAsia="Calibri" w:hAnsi="Arial" w:cs="Arial"/>
          <w:i/>
          <w:iCs/>
          <w:szCs w:val="28"/>
          <w:lang w:val="uk-UA"/>
        </w:rPr>
        <w:t xml:space="preserve">Програму дій проти дискримінації, яка супроводжує ці директиви в практичній площині. </w:t>
      </w:r>
      <w:r w:rsidRPr="00511005">
        <w:rPr>
          <w:rFonts w:ascii="Arial" w:eastAsia="Calibri" w:hAnsi="Arial" w:cs="Arial"/>
          <w:szCs w:val="28"/>
          <w:lang w:val="uk-UA"/>
        </w:rPr>
        <w:t>[6].</w:t>
      </w:r>
    </w:p>
    <w:p w14:paraId="1400ECF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ЄС періодично ухвалює Програми рівних можливостей для жінок і чоловіків та створив Дорадчий комітет з питань рівних можливостей. Основна мета всіх цих ініціатив — забезпечити ефективну реалізацію законодавства щодо гендерної рівності, сприяти повній інтеграції жінок у ринок праці на рівні з чоловіками та підвищити їхній соціальний статус.</w:t>
      </w:r>
    </w:p>
    <w:p w14:paraId="029000C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Боротьба з гендерною дискримінацією на робочому місці є важливою частиною міжнародних зусиль для забезпечення рівності прав. Як ООН, так і ЄС через різноманітні нормативно-правові акти сприяють ліквідації дискримінації за статтю в трудових відносинах. Важливими є як </w:t>
      </w:r>
      <w:r w:rsidRPr="00511005">
        <w:rPr>
          <w:rFonts w:ascii="Arial" w:eastAsia="Times New Roman" w:hAnsi="Arial" w:cs="Arial"/>
          <w:i/>
          <w:iCs/>
          <w:szCs w:val="28"/>
          <w:lang w:val="uk-UA" w:eastAsia="ru-RU"/>
        </w:rPr>
        <w:t>директиви ЄС</w:t>
      </w:r>
      <w:r w:rsidRPr="00511005">
        <w:rPr>
          <w:rFonts w:ascii="Arial" w:eastAsia="Times New Roman" w:hAnsi="Arial" w:cs="Arial"/>
          <w:szCs w:val="28"/>
          <w:lang w:val="uk-UA" w:eastAsia="ru-RU"/>
        </w:rPr>
        <w:t xml:space="preserve">, що гарантують рівні умови праці, так і </w:t>
      </w:r>
      <w:r w:rsidRPr="00511005">
        <w:rPr>
          <w:rFonts w:ascii="Arial" w:eastAsia="Times New Roman" w:hAnsi="Arial" w:cs="Arial"/>
          <w:i/>
          <w:iCs/>
          <w:szCs w:val="28"/>
          <w:lang w:val="uk-UA" w:eastAsia="ru-RU"/>
        </w:rPr>
        <w:t>міжнародні угоди</w:t>
      </w:r>
      <w:r w:rsidRPr="00511005">
        <w:rPr>
          <w:rFonts w:ascii="Arial" w:eastAsia="Times New Roman" w:hAnsi="Arial" w:cs="Arial"/>
          <w:szCs w:val="28"/>
          <w:lang w:val="uk-UA" w:eastAsia="ru-RU"/>
        </w:rPr>
        <w:t>, що зобов'язують держави дотримуватись принципів рівноправності, покращуючи становище як жінок, так і чоловіків на ринку праці.</w:t>
      </w:r>
    </w:p>
    <w:p w14:paraId="697975A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73A27DF3" w14:textId="080351DD"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3BC6C9AA" w14:textId="77777777" w:rsidR="00220D3E" w:rsidRPr="00511005" w:rsidRDefault="00220D3E" w:rsidP="003F6A5D">
      <w:pPr>
        <w:numPr>
          <w:ilvl w:val="0"/>
          <w:numId w:val="92"/>
        </w:numPr>
        <w:tabs>
          <w:tab w:val="left" w:pos="709"/>
        </w:tabs>
        <w:spacing w:line="264" w:lineRule="auto"/>
        <w:ind w:left="0" w:firstLine="709"/>
        <w:contextualSpacing/>
        <w:jc w:val="left"/>
        <w:rPr>
          <w:rFonts w:ascii="Arial" w:eastAsia="Calibri" w:hAnsi="Arial" w:cs="Arial"/>
          <w:b/>
          <w:bCs/>
          <w:szCs w:val="28"/>
          <w:lang w:val="uk-UA"/>
        </w:rPr>
      </w:pPr>
      <w:r w:rsidRPr="00511005">
        <w:rPr>
          <w:rFonts w:ascii="Arial" w:eastAsia="Calibri" w:hAnsi="Arial" w:cs="Arial"/>
          <w:szCs w:val="28"/>
          <w:lang w:val="uk-UA"/>
        </w:rPr>
        <w:lastRenderedPageBreak/>
        <w:t xml:space="preserve">Загальна декларація прав людини. Прийнята і проголошена резолюцією 217 </w:t>
      </w:r>
      <w:r w:rsidRPr="00511005">
        <w:rPr>
          <w:rFonts w:ascii="Arial" w:eastAsia="Calibri" w:hAnsi="Arial" w:cs="Arial"/>
          <w:szCs w:val="28"/>
          <w:lang w:val="en-US"/>
        </w:rPr>
        <w:t>A</w:t>
      </w:r>
      <w:r w:rsidRPr="00511005">
        <w:rPr>
          <w:rFonts w:ascii="Arial" w:eastAsia="Calibri" w:hAnsi="Arial" w:cs="Arial"/>
          <w:szCs w:val="28"/>
        </w:rPr>
        <w:t xml:space="preserve"> (</w:t>
      </w:r>
      <w:r w:rsidRPr="00511005">
        <w:rPr>
          <w:rFonts w:ascii="Arial" w:eastAsia="Calibri" w:hAnsi="Arial" w:cs="Arial"/>
          <w:szCs w:val="28"/>
          <w:lang w:val="en-US"/>
        </w:rPr>
        <w:t>III</w:t>
      </w:r>
      <w:r w:rsidRPr="00511005">
        <w:rPr>
          <w:rFonts w:ascii="Arial" w:eastAsia="Calibri" w:hAnsi="Arial" w:cs="Arial"/>
          <w:szCs w:val="28"/>
        </w:rPr>
        <w:t xml:space="preserve">) </w:t>
      </w:r>
      <w:r w:rsidRPr="00511005">
        <w:rPr>
          <w:rFonts w:ascii="Arial" w:eastAsia="Calibri" w:hAnsi="Arial" w:cs="Arial"/>
          <w:szCs w:val="28"/>
          <w:lang w:val="uk-UA"/>
        </w:rPr>
        <w:t xml:space="preserve">Генеральної Асамблеї ООН від 10 грудня 1948 року.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288" w:anchor="Text" w:history="1">
        <w:r w:rsidRPr="00511005">
          <w:rPr>
            <w:rFonts w:ascii="Arial" w:eastAsia="Calibri" w:hAnsi="Arial" w:cs="Arial"/>
            <w:szCs w:val="28"/>
            <w:lang w:val="uk-UA"/>
          </w:rPr>
          <w:t>https://zakon.rada.gov.ua/laws/show/995_015#Text</w:t>
        </w:r>
      </w:hyperlink>
      <w:r w:rsidRPr="00511005">
        <w:rPr>
          <w:rFonts w:ascii="Arial" w:eastAsia="Calibri" w:hAnsi="Arial" w:cs="Arial"/>
          <w:szCs w:val="28"/>
          <w:lang w:val="uk-UA"/>
        </w:rPr>
        <w:t xml:space="preserve"> </w:t>
      </w:r>
    </w:p>
    <w:p w14:paraId="5433584C" w14:textId="77777777" w:rsidR="00220D3E" w:rsidRPr="00511005" w:rsidRDefault="00220D3E" w:rsidP="003F6A5D">
      <w:pPr>
        <w:numPr>
          <w:ilvl w:val="0"/>
          <w:numId w:val="92"/>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Міжнародний пакт про економічні, соціальні та культурні права: Пакт ООН від 16.12.1966: станом на 19 жовтня 1973 р. URL: </w:t>
      </w:r>
      <w:hyperlink r:id="rId289" w:anchor="Text" w:history="1">
        <w:r w:rsidRPr="00511005">
          <w:rPr>
            <w:rFonts w:ascii="Arial" w:eastAsia="Calibri" w:hAnsi="Arial" w:cs="Arial"/>
            <w:szCs w:val="28"/>
            <w:lang w:val="uk-UA"/>
          </w:rPr>
          <w:t>https://zakon.rada.gov.ua/laws/show/995_042#Text</w:t>
        </w:r>
      </w:hyperlink>
      <w:r w:rsidRPr="00511005">
        <w:rPr>
          <w:rFonts w:ascii="Arial" w:eastAsia="Calibri" w:hAnsi="Arial" w:cs="Arial"/>
          <w:szCs w:val="28"/>
          <w:lang w:val="uk-UA"/>
        </w:rPr>
        <w:t xml:space="preserve"> </w:t>
      </w:r>
    </w:p>
    <w:p w14:paraId="50CF37C5" w14:textId="580E449F" w:rsidR="00220D3E" w:rsidRPr="00511005" w:rsidRDefault="00220D3E" w:rsidP="003F6A5D">
      <w:pPr>
        <w:numPr>
          <w:ilvl w:val="0"/>
          <w:numId w:val="92"/>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Міжнародна конвенція про ліквідацію всіх форм расової дискримінації: Конвенція ООН від 21.12.1965: станом на 4 лютого 1994</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р. URL: </w:t>
      </w:r>
      <w:hyperlink r:id="rId290" w:anchor="Text" w:history="1">
        <w:r w:rsidRPr="00511005">
          <w:rPr>
            <w:rFonts w:ascii="Arial" w:eastAsia="Calibri" w:hAnsi="Arial" w:cs="Arial"/>
            <w:szCs w:val="28"/>
            <w:lang w:val="uk-UA"/>
          </w:rPr>
          <w:t>https://zakon.rada.gov.ua/laws/show/995_105#Text</w:t>
        </w:r>
      </w:hyperlink>
      <w:r w:rsidRPr="00511005">
        <w:rPr>
          <w:rFonts w:ascii="Arial" w:eastAsia="Calibri" w:hAnsi="Arial" w:cs="Arial"/>
          <w:szCs w:val="28"/>
          <w:lang w:val="uk-UA"/>
        </w:rPr>
        <w:t xml:space="preserve"> </w:t>
      </w:r>
    </w:p>
    <w:p w14:paraId="389B6A71" w14:textId="54605684" w:rsidR="00220D3E" w:rsidRPr="00511005" w:rsidRDefault="00220D3E" w:rsidP="003F6A5D">
      <w:pPr>
        <w:numPr>
          <w:ilvl w:val="0"/>
          <w:numId w:val="92"/>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Конвенція про ліквідацію всіх форм дискримінації щодо жінок: Конвенція від 18.12.1979 р: станом на 2 вересня 1981 р.</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URL: </w:t>
      </w:r>
      <w:hyperlink r:id="rId291" w:anchor="Text" w:history="1">
        <w:r w:rsidRPr="00511005">
          <w:rPr>
            <w:rFonts w:ascii="Arial" w:eastAsia="Calibri" w:hAnsi="Arial" w:cs="Arial"/>
            <w:szCs w:val="28"/>
            <w:lang w:val="uk-UA"/>
          </w:rPr>
          <w:t>https://zakon.rada.gov.ua/laws/show/995_207#Text</w:t>
        </w:r>
      </w:hyperlink>
      <w:r w:rsidRPr="00511005">
        <w:rPr>
          <w:rFonts w:ascii="Arial" w:eastAsia="Calibri" w:hAnsi="Arial" w:cs="Arial"/>
          <w:szCs w:val="28"/>
          <w:lang w:val="uk-UA"/>
        </w:rPr>
        <w:t xml:space="preserve"> </w:t>
      </w:r>
    </w:p>
    <w:p w14:paraId="3D4F3DC7" w14:textId="77777777" w:rsidR="00220D3E" w:rsidRPr="00511005" w:rsidRDefault="00220D3E" w:rsidP="003F6A5D">
      <w:pPr>
        <w:numPr>
          <w:ilvl w:val="0"/>
          <w:numId w:val="92"/>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Європейська соціальна хартія (переглянута): Хартія Ради Європи від 03.05.1996: станом на 7 вересня 2016 р. URL: </w:t>
      </w:r>
      <w:hyperlink r:id="rId292" w:anchor="Text" w:history="1">
        <w:r w:rsidRPr="00511005">
          <w:rPr>
            <w:rFonts w:ascii="Arial" w:eastAsia="Calibri" w:hAnsi="Arial" w:cs="Arial"/>
            <w:szCs w:val="28"/>
            <w:lang w:val="uk-UA"/>
          </w:rPr>
          <w:t>https://zakon.rada.gov.ua/laws/show/994_062#Text</w:t>
        </w:r>
      </w:hyperlink>
      <w:r w:rsidRPr="00511005">
        <w:rPr>
          <w:rFonts w:ascii="Arial" w:eastAsia="Calibri" w:hAnsi="Arial" w:cs="Arial"/>
          <w:szCs w:val="28"/>
          <w:lang w:val="uk-UA"/>
        </w:rPr>
        <w:t xml:space="preserve"> </w:t>
      </w:r>
    </w:p>
    <w:p w14:paraId="2401D522" w14:textId="77777777" w:rsidR="00220D3E" w:rsidRPr="00511005" w:rsidRDefault="00220D3E" w:rsidP="003F6A5D">
      <w:pPr>
        <w:numPr>
          <w:ilvl w:val="0"/>
          <w:numId w:val="92"/>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Рівність за ознакою статі в економічній сфері: зобов’язання України перед ЄС </w:t>
      </w:r>
      <w:r w:rsidRPr="00511005">
        <w:rPr>
          <w:rFonts w:ascii="Arial" w:eastAsia="Calibri" w:hAnsi="Arial" w:cs="Arial"/>
          <w:i/>
          <w:iCs/>
          <w:szCs w:val="28"/>
          <w:lang w:val="uk-UA"/>
        </w:rPr>
        <w:t>(ключові Директиви ЄС щодо забезпечення гендерного балансу на ринку праці та в професійній діяльності, їх розвиток у практиці Суду Справедливості)</w:t>
      </w:r>
      <w:r w:rsidRPr="00511005">
        <w:rPr>
          <w:rFonts w:ascii="Arial" w:eastAsia="Calibri" w:hAnsi="Arial" w:cs="Arial"/>
          <w:szCs w:val="28"/>
          <w:lang w:val="uk-UA"/>
        </w:rPr>
        <w:t xml:space="preserve">: наук. посіб. / упоряд. О.О Уварова. НТМТ, 2015. 150 с. URL: </w:t>
      </w:r>
      <w:hyperlink r:id="rId293" w:history="1">
        <w:r w:rsidRPr="00511005">
          <w:rPr>
            <w:rFonts w:ascii="Arial" w:eastAsia="Calibri" w:hAnsi="Arial" w:cs="Arial"/>
            <w:szCs w:val="28"/>
            <w:lang w:val="uk-UA"/>
          </w:rPr>
          <w:t>https://www.recpc.org/wp-content/uploads/2020/10/Gender_equality.pdf</w:t>
        </w:r>
      </w:hyperlink>
      <w:r w:rsidRPr="00511005">
        <w:rPr>
          <w:rFonts w:ascii="Arial" w:eastAsia="Calibri" w:hAnsi="Arial" w:cs="Arial"/>
          <w:szCs w:val="28"/>
          <w:lang w:val="uk-UA"/>
        </w:rPr>
        <w:t xml:space="preserve"> </w:t>
      </w:r>
    </w:p>
    <w:p w14:paraId="755A4B05" w14:textId="77777777" w:rsidR="00220D3E" w:rsidRPr="00511005" w:rsidRDefault="00220D3E" w:rsidP="003A292D">
      <w:pPr>
        <w:tabs>
          <w:tab w:val="left" w:pos="709"/>
        </w:tabs>
        <w:spacing w:line="264" w:lineRule="auto"/>
        <w:contextualSpacing/>
        <w:rPr>
          <w:rFonts w:ascii="Arial" w:eastAsia="Calibri" w:hAnsi="Arial" w:cs="Arial"/>
          <w:szCs w:val="28"/>
          <w:lang w:val="uk-UA"/>
        </w:rPr>
      </w:pPr>
    </w:p>
    <w:p w14:paraId="23FCFE92" w14:textId="29BDCAFC" w:rsidR="00220D3E" w:rsidRPr="00511005" w:rsidRDefault="007B2628" w:rsidP="003A292D">
      <w:pPr>
        <w:keepNext/>
        <w:tabs>
          <w:tab w:val="left" w:pos="709"/>
        </w:tabs>
        <w:spacing w:line="264" w:lineRule="auto"/>
        <w:rPr>
          <w:rFonts w:ascii="Arial" w:eastAsia="Times New Roman" w:hAnsi="Arial" w:cs="Arial"/>
          <w:bCs/>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bCs/>
          <w:szCs w:val="28"/>
          <w:lang w:val="uk-UA" w:eastAsia="ru-RU"/>
        </w:rPr>
        <w:t xml:space="preserve">гендерна дискримінація, робоче місце, права людини, рівність, міжнародні угоди, директиви, трудові права, принцип недискримінації </w:t>
      </w:r>
    </w:p>
    <w:p w14:paraId="3BBEF557" w14:textId="3982EA59" w:rsidR="00220D3E" w:rsidRPr="00511005" w:rsidRDefault="007B2628" w:rsidP="003A292D">
      <w:pPr>
        <w:keepNext/>
        <w:tabs>
          <w:tab w:val="left" w:pos="709"/>
        </w:tabs>
        <w:spacing w:line="264" w:lineRule="auto"/>
        <w:rPr>
          <w:rFonts w:ascii="Arial" w:eastAsia="Times New Roman" w:hAnsi="Arial" w:cs="Arial"/>
          <w:bCs/>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bCs/>
          <w:szCs w:val="28"/>
          <w:lang w:val="en-US" w:eastAsia="ru-RU"/>
        </w:rPr>
        <w:t>gender discrimination, workplace, human rights, equality, international agreements, directives, labor rights, principle of non-discrimination</w:t>
      </w:r>
    </w:p>
    <w:p w14:paraId="27D6DD54" w14:textId="0B55DCC3" w:rsidR="00220D3E" w:rsidRPr="00511005" w:rsidRDefault="007B2628" w:rsidP="003A292D">
      <w:pPr>
        <w:tabs>
          <w:tab w:val="left" w:pos="709"/>
          <w:tab w:val="left" w:pos="6084"/>
        </w:tabs>
        <w:spacing w:line="264" w:lineRule="auto"/>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val="uk-UA" w:eastAsia="ru-RU"/>
        </w:rPr>
        <w:t>к.ю.н., доцент</w:t>
      </w:r>
      <w:r w:rsidRPr="00511005">
        <w:rPr>
          <w:rFonts w:ascii="Arial" w:eastAsia="Times New Roman" w:hAnsi="Arial" w:cs="Arial"/>
          <w:bCs/>
          <w:i/>
          <w:iCs/>
          <w:szCs w:val="28"/>
          <w:lang w:val="uk-UA" w:eastAsia="ru-RU"/>
        </w:rPr>
        <w:t xml:space="preserve"> </w:t>
      </w:r>
      <w:r w:rsidR="00220D3E" w:rsidRPr="00511005">
        <w:rPr>
          <w:rFonts w:ascii="Arial" w:eastAsia="Times New Roman" w:hAnsi="Arial" w:cs="Arial"/>
          <w:bCs/>
          <w:i/>
          <w:iCs/>
          <w:szCs w:val="28"/>
          <w:lang w:val="uk-UA" w:eastAsia="ru-RU"/>
        </w:rPr>
        <w:t>Гриб А.М.</w:t>
      </w:r>
    </w:p>
    <w:p w14:paraId="78F5A75E" w14:textId="77777777" w:rsidR="00220D3E" w:rsidRPr="00511005" w:rsidRDefault="00220D3E" w:rsidP="003A292D">
      <w:pPr>
        <w:tabs>
          <w:tab w:val="left" w:pos="709"/>
          <w:tab w:val="left" w:pos="6084"/>
        </w:tabs>
        <w:spacing w:line="264" w:lineRule="auto"/>
        <w:ind w:firstLine="0"/>
        <w:jc w:val="left"/>
        <w:rPr>
          <w:rFonts w:ascii="Arial" w:eastAsia="Times New Roman" w:hAnsi="Arial" w:cs="Arial"/>
          <w:i/>
          <w:szCs w:val="28"/>
          <w:lang w:val="uk-UA" w:eastAsia="ru-RU"/>
        </w:rPr>
      </w:pPr>
    </w:p>
    <w:p w14:paraId="0322C8C6" w14:textId="77777777" w:rsidR="00220D3E" w:rsidRPr="00511005" w:rsidRDefault="00220D3E" w:rsidP="003A292D">
      <w:pPr>
        <w:tabs>
          <w:tab w:val="left" w:pos="709"/>
          <w:tab w:val="left" w:pos="6084"/>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Грохольська Вікторія Василівна</w:t>
      </w:r>
    </w:p>
    <w:p w14:paraId="6D0D1F94" w14:textId="2BAC0FEF" w:rsidR="00176B4E" w:rsidRPr="00511005" w:rsidRDefault="00536AAB"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2B8160C9"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E448176" w14:textId="7857979B" w:rsidR="00220D3E" w:rsidRPr="00511005" w:rsidRDefault="007B2628" w:rsidP="003A292D">
      <w:pPr>
        <w:tabs>
          <w:tab w:val="left" w:pos="709"/>
          <w:tab w:val="left" w:pos="6084"/>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5274137"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0DFDC169"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МІЖНАРОДНИЙ ЗАХИСТ ПРАВ БІЖЕНЦІВ ТА ВНУТРІШНЬО ПЕРЕМІЩЕНИХ ОСІБ</w:t>
      </w:r>
    </w:p>
    <w:p w14:paraId="5AF1983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сучасних реаліях проблема масового переміщення населення набула глобального масштабу. Збройні конфлікти, порушення прав людини, політичні репресії, а також наслідки змін клімату змушують мільйони людей залишати свої домівки в пошуках безпеки. Особливо актуальною ця проблема стала через триваючі збройні протистояння в Україні, Судані, Сирії, а також у зв’язку з ростом кількості так званих «кліматичних біженців», </w:t>
      </w:r>
      <w:r w:rsidRPr="00511005">
        <w:rPr>
          <w:rFonts w:ascii="Arial" w:eastAsia="Times New Roman" w:hAnsi="Arial" w:cs="Arial"/>
          <w:szCs w:val="28"/>
          <w:lang w:eastAsia="ru-RU"/>
        </w:rPr>
        <w:lastRenderedPageBreak/>
        <w:t xml:space="preserve">правовий статус яких досі не визначено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міжнародного права. Основна увага цього дослідження зосереджена на двох основних групах переміщених осіб: біженцях та внутрішньо переміщених особах (ВПО). Попри те, що причини їх переміщення схожі — вимушене покидання місця постійного проживання — ці категорії мають різний правовий статус і різні механізми міжнародного захисту. </w:t>
      </w:r>
    </w:p>
    <w:p w14:paraId="016A0D6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Конвенція Організації Об’єднаних Націй про статус біженців 1951 року стала ключовим і універсальним міжнародним документом, який визначив поняття «біженець» у сфері міжнародного права. Надалі саме це визначення було взяте за основу в національному законодавстві багатьох країн, зокрема й України. Варто зазначити, що правовий статус біженців визначається кожною країною на національному рівні окремо, проте ці нормативно-правові акти повинні відповідати положенням Конвенції ООН про статус біженців 1951 року [1].</w:t>
      </w:r>
    </w:p>
    <w:p w14:paraId="5C9075C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Конвенція регулює права та обов'язки біженців на території країни притулку, вимагаючи від держав встановлення правового режиму, що відповідає міжнародним стандартам прав людини. Країни повинні забезпечити дотримання прав біженців, надаючи їм умови для «законного проживання» відповідно до вимог Конвенції. Держави можуть обрати один із режимів для біженців: національний режим, режим, рівний тому, що мають громадяни країни, найбільш сприятливий режим або режим, не менш сприятливий, ніж для інших іноземців. Національний режим охоплює право на свободу релігії, звернення </w:t>
      </w:r>
      <w:proofErr w:type="gramStart"/>
      <w:r w:rsidRPr="00511005">
        <w:rPr>
          <w:rFonts w:ascii="Arial" w:eastAsia="Times New Roman" w:hAnsi="Arial" w:cs="Arial"/>
          <w:szCs w:val="28"/>
          <w:lang w:eastAsia="ru-RU"/>
        </w:rPr>
        <w:t>до суду</w:t>
      </w:r>
      <w:proofErr w:type="gramEnd"/>
      <w:r w:rsidRPr="00511005">
        <w:rPr>
          <w:rFonts w:ascii="Arial" w:eastAsia="Times New Roman" w:hAnsi="Arial" w:cs="Arial"/>
          <w:szCs w:val="28"/>
          <w:lang w:eastAsia="ru-RU"/>
        </w:rPr>
        <w:t>, медичне обслуговування, соціальне забезпечення, освіту тощо. Режим, аналогічний режиму для громадян, поширюється на авторські та промислові права. Найбільш сприятливий режим застосовується до прав на участь в асоціаціях, професійних спілках та інше. Найбільш сприятливий режим для біженців також включає права на придбання майна, освіту та стипендії. Конвенція також вимагає від держави надання біженцям свободи пересування та вибору місця проживання в межах країни притулку. Водночас, біженці зобов'язані дотримуватися законів та розпоряджень країни перебування.</w:t>
      </w:r>
    </w:p>
    <w:p w14:paraId="2D02C22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Механізми захисту прав біженців мають ключове значення для забезпечення їхньої безпеки та належних умов життя, особливо для тих, хто вимушено покидає свою рідну країну. Вони включають правові, інституційні та практичні заходи, які сприяють наданню необхідного захисту та підтримки біженцям. Основною метою таких механізмів є створення правового підґрунтя, яке забезпечить дотримання прав осіб, що шукають притулку.</w:t>
      </w:r>
    </w:p>
    <w:p w14:paraId="5DDE872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Загальна декларація прав людини, ухвалена 10 грудня 1948 року, має велике значення як основний правовий документ у сфері захисту прав біженців на міжнародному рівні. Хоча в Декларації немає конкретних норм, що стосуються біженців, вона визначає основні принципи, на яких базується система захисту прав біженців. Декларація фіксує основні людські права, </w:t>
      </w:r>
      <w:r w:rsidRPr="00511005">
        <w:rPr>
          <w:rFonts w:ascii="Arial" w:eastAsia="Times New Roman" w:hAnsi="Arial" w:cs="Arial"/>
          <w:szCs w:val="28"/>
          <w:lang w:eastAsia="ru-RU"/>
        </w:rPr>
        <w:lastRenderedPageBreak/>
        <w:t>серед яких право на життя, захист від катувань, право на громадянство, свобода пересування, можливість залишати свою країну та повертатися в неї, а також захист від примусового повернення. Ці та інші громадянські, політичні, економічні та соціальні права закріплені не тільки в Загальній декларації прав людини, але й у Міжнародному пакті про громадянські й політичні права та Міжнародному пакті про економічні, соціальні й культурні права, що разом складають Міжнародний білль про права людини [2, с.50].</w:t>
      </w:r>
    </w:p>
    <w:p w14:paraId="3CF436E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Конвенція, прийнята у 1951 році, заклала основи для захисту прав біженців. Проте її обмеження стали очевидними в ході розширення функцій Управління Верховного комісара ООН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біженців (УВКБ ООН). Це управління відіграє важливу роль у забезпеченні захисту прав </w:t>
      </w:r>
      <w:proofErr w:type="gramStart"/>
      <w:r w:rsidRPr="00511005">
        <w:rPr>
          <w:rFonts w:ascii="Arial" w:eastAsia="Times New Roman" w:hAnsi="Arial" w:cs="Arial"/>
          <w:szCs w:val="28"/>
          <w:lang w:eastAsia="ru-RU"/>
        </w:rPr>
        <w:t>біженців.УВКБ</w:t>
      </w:r>
      <w:proofErr w:type="gramEnd"/>
      <w:r w:rsidRPr="00511005">
        <w:rPr>
          <w:rFonts w:ascii="Arial" w:eastAsia="Times New Roman" w:hAnsi="Arial" w:cs="Arial"/>
          <w:szCs w:val="28"/>
          <w:lang w:eastAsia="ru-RU"/>
        </w:rPr>
        <w:t xml:space="preserve"> ООН надає тимчасове житло, їжу, медичну допомогу та інші ресурси для біженців, а також виступає посередником у вирішенні конфліктів. Організація шукає довгострокові рішення, зокрема добровільне повернення, інтеграцію або переселення. Співпраця України з УВКБ ООН почалась у 1996 році, що сприяло інтеграції країни в міжнародну систему захисту біженців. Після вторгнення Росії у 2022 році ця співпраця посилилася, зокрема щодо допомоги внутрішньо переміщеним особам. УВКБ ООН також забезпечує правовий та гуманітарний захист і підтримку у питаннях житла, правової допомоги та психологічної реабілітації.</w:t>
      </w:r>
    </w:p>
    <w:p w14:paraId="7FEB94FB"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Times New Roman" w:hAnsi="Arial" w:cs="Arial"/>
          <w:szCs w:val="28"/>
          <w:lang w:eastAsia="ru-RU"/>
        </w:rPr>
        <w:t>Внутрішньо переміщені особи – це особи, які покинули своє постійне місце проживання, але залишаються в межах своєї країни і можуть отримати її захист. Визначення цього терміну є важливим з двох причин: від точності визначення залежить коло осіб, які отримають додаткові права і гарантії, враховуючи їхні потреби та обставини переміщення, а також обов’язки, щоб уникнути зловживань правом та міжнародні зобов’язання України вимагають, щоб національне законодавство відповідало міжнародним стандартам щодо цього поняття [3].</w:t>
      </w:r>
      <w:r w:rsidRPr="00511005">
        <w:rPr>
          <w:rFonts w:ascii="Arial" w:eastAsia="Arial" w:hAnsi="Arial" w:cs="Arial"/>
          <w:szCs w:val="28"/>
          <w:lang w:eastAsia="ru-RU"/>
        </w:rPr>
        <w:t xml:space="preserve"> </w:t>
      </w:r>
    </w:p>
    <w:p w14:paraId="0BBF698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Конвенції про статус біженців 1951 року термін "переміщені особи" не зустрічається. Водночас на практиці УВКБ використовує цей термін для позначення певних категорій "внутрішніх біженців", яких також називають вимушеними переселенцями. ВПО підпадають під юрисдикцію країни, в межах якої вони переміщені. Їх права часто регулюються національними законами щодо захисту прав людини, хоча в багатьох випадках їх права залишаються менш захищеними, ніж у випадку з біженцями. ООН через Управління Верховного комісара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біженців (УВКБ ООН) та спеціальний механізм для ВПО намагається забезпечити певний рівень захисту. Рекомендації ООН щодо ВПО включають права на доступ до гуманітарної допомоги, безпеку, житло та освіту, а також право на повернення в рідні місця після завершення конфлікту. У 1998 році ООН прийняла "Принципи щодо внутрішньо переміщених осіб", які визначають мінімальні права і гарантії для цієї категорії людей і служать основою для </w:t>
      </w:r>
      <w:r w:rsidRPr="00511005">
        <w:rPr>
          <w:rFonts w:ascii="Arial" w:eastAsia="Times New Roman" w:hAnsi="Arial" w:cs="Arial"/>
          <w:szCs w:val="28"/>
          <w:lang w:eastAsia="ru-RU"/>
        </w:rPr>
        <w:lastRenderedPageBreak/>
        <w:t xml:space="preserve">національних та міжнародних зусиль у забезпеченні їх прав. ВПО часто стикаються з обмеженим доступом до правосуддя, медичних послуг, освіти, а також з високим рівнем бідності та дискримінації. У деяких країнах немає чітко визначеного механізму для захисту ВПО, що ставить їх у ще більш уразливе становище. У статті 14 Загальної декларації прав людини 1948 року зазначено наступне: кожна особа має право шукати притулку від переслідування в інших країнах і користуватися цим притулком [4]. Це право не можна застосовувати, якщо переслідування має місце через скоєння неполітичного злочину або вчинення дій, які суперечать цілям і принципам ООН. Подібні положення містяться в інших міжнародних документах, таких як Декларація ООН «Про територіальний притулок», прийнята Генеральною Асамблеєю ООН 14 грудня 1967 року (резолюція 2312 (XXII)), а також у Декларації про територіальний </w:t>
      </w:r>
      <w:proofErr w:type="gramStart"/>
      <w:r w:rsidRPr="00511005">
        <w:rPr>
          <w:rFonts w:ascii="Arial" w:eastAsia="Times New Roman" w:hAnsi="Arial" w:cs="Arial"/>
          <w:szCs w:val="28"/>
          <w:lang w:eastAsia="ru-RU"/>
        </w:rPr>
        <w:t>притулок</w:t>
      </w:r>
      <w:proofErr w:type="gramEnd"/>
      <w:r w:rsidRPr="00511005">
        <w:rPr>
          <w:rFonts w:ascii="Arial" w:eastAsia="Times New Roman" w:hAnsi="Arial" w:cs="Arial"/>
          <w:szCs w:val="28"/>
          <w:lang w:eastAsia="ru-RU"/>
        </w:rPr>
        <w:t xml:space="preserve"> Ради Європи 1997 року. Згідно з останнім документом, право на притулок надається особам, які мають достатньо обґрунтовані побоювання стати жертвами переслідування через свою расу, релігію, громадянство, приналежність до певної соціальної групи чи політичні погляди.</w:t>
      </w:r>
    </w:p>
    <w:p w14:paraId="4941368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висновку можна зазначити, що проблема масового переміщення населення є однією з найбільш актуальних на сучасному етапі. Причини цього явища різноманітні, включаючи збройні конфлікти, порушення прав людини, політичні репресії та наслідки змін клімату. Особливу увагу потребує правовий статус переміщених осіб, зокрема біженців та внутрішньо переміщених осіб (ВПО), які мають різні механізми захисту на міжнародному рівні. Конвенція ООН про статус біженців 1951 року є основним документом, який визначає права біженців, але її обмеження стали очевидними в умовах сучасних викликів. Підтримка біженців з боку Управління Верховного комісара ООН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біженців та інших міжнародних організацій є важливою складовою забезпечення їх прав і безпеки. Водночас проблема внутрішньо переміщених осіб залишає багато відкритих питань, зокрема щодо їхнього правового статусу та захисту. Міжнародні принципи, як-от "Принципи щодо внутрішньо переміщених осіб", розроблені ООН, намагаються вирішити ці проблеми, однак національні механізми захисту ВПО часто залишаються недостатніми. Усі ці аспекти вимагають посиленої уваги з боку держав і міжнародних організацій для досягнення ефективного захисту прав людей, що змушені залишати свої домівки через різноманітні обставини.</w:t>
      </w:r>
    </w:p>
    <w:p w14:paraId="65D630AF"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6516A0A2" w14:textId="75CC1E88" w:rsidR="00220D3E"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301D58BE" w14:textId="7B5587AB" w:rsidR="00220D3E" w:rsidRPr="00511005" w:rsidRDefault="00220D3E" w:rsidP="003F6A5D">
      <w:pPr>
        <w:numPr>
          <w:ilvl w:val="0"/>
          <w:numId w:val="197"/>
        </w:numPr>
        <w:tabs>
          <w:tab w:val="left" w:pos="0"/>
        </w:tabs>
        <w:spacing w:line="264" w:lineRule="auto"/>
        <w:ind w:left="0" w:firstLine="426"/>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Конвенція про статус біженців: Конвенція ООН від 28.07.1951 р. URL: </w:t>
      </w:r>
      <w:hyperlink r:id="rId294" w:anchor="Text">
        <w:r w:rsidRPr="00511005">
          <w:rPr>
            <w:rFonts w:ascii="Arial" w:eastAsia="Times New Roman" w:hAnsi="Arial" w:cs="Arial"/>
            <w:szCs w:val="28"/>
            <w:lang w:eastAsia="ru-RU"/>
          </w:rPr>
          <w:t>https://zakon.rada.gov.ua/laws/show/995_011#Text</w:t>
        </w:r>
      </w:hyperlink>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(дата звернення:12.04.2025p.).</w:t>
      </w:r>
    </w:p>
    <w:p w14:paraId="70E24E75" w14:textId="77777777" w:rsidR="00220D3E" w:rsidRPr="00511005" w:rsidRDefault="00220D3E" w:rsidP="003F6A5D">
      <w:pPr>
        <w:numPr>
          <w:ilvl w:val="0"/>
          <w:numId w:val="197"/>
        </w:numPr>
        <w:tabs>
          <w:tab w:val="left" w:pos="0"/>
        </w:tabs>
        <w:spacing w:line="264" w:lineRule="auto"/>
        <w:ind w:left="0" w:firstLine="426"/>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Котляр, О. І. (2017). Інститут захисту прав біженців у системі міжнародноправового захисту прав людини. In Здійснення та захист прав внутрішньо переміщених осіб: матер. Міжнар. </w:t>
      </w:r>
      <w:proofErr w:type="gramStart"/>
      <w:r w:rsidRPr="00511005">
        <w:rPr>
          <w:rFonts w:ascii="Arial" w:eastAsia="Times New Roman" w:hAnsi="Arial" w:cs="Arial"/>
          <w:szCs w:val="28"/>
          <w:lang w:eastAsia="ru-RU"/>
        </w:rPr>
        <w:t>наук.-</w:t>
      </w:r>
      <w:proofErr w:type="gramEnd"/>
      <w:r w:rsidRPr="00511005">
        <w:rPr>
          <w:rFonts w:ascii="Arial" w:eastAsia="Times New Roman" w:hAnsi="Arial" w:cs="Arial"/>
          <w:szCs w:val="28"/>
          <w:lang w:eastAsia="ru-RU"/>
        </w:rPr>
        <w:t xml:space="preserve"> практ. конф.(20 квіт. 2017 р., м. Ужгород)/Ужгородський нац. ун-т (pp. 46-54). </w:t>
      </w:r>
    </w:p>
    <w:p w14:paraId="34E8CBC0" w14:textId="77777777" w:rsidR="00220D3E" w:rsidRPr="00511005" w:rsidRDefault="00220D3E" w:rsidP="003F6A5D">
      <w:pPr>
        <w:numPr>
          <w:ilvl w:val="0"/>
          <w:numId w:val="197"/>
        </w:numPr>
        <w:tabs>
          <w:tab w:val="left" w:pos="0"/>
        </w:tabs>
        <w:spacing w:line="264" w:lineRule="auto"/>
        <w:ind w:left="0" w:firstLine="426"/>
        <w:jc w:val="left"/>
        <w:rPr>
          <w:rFonts w:ascii="Arial" w:eastAsia="Times New Roman" w:hAnsi="Arial" w:cs="Arial"/>
          <w:szCs w:val="28"/>
          <w:lang w:eastAsia="ru-RU"/>
        </w:rPr>
      </w:pPr>
      <w:r w:rsidRPr="00511005">
        <w:rPr>
          <w:rFonts w:ascii="Arial" w:eastAsia="Times New Roman" w:hAnsi="Arial" w:cs="Arial"/>
          <w:szCs w:val="28"/>
          <w:lang w:val="en-US" w:eastAsia="ru-RU"/>
        </w:rPr>
        <w:t xml:space="preserve">Korshun A. The Internally Displaced Persons Right to Housing in Ukraine: Problems of Ensuring </w:t>
      </w:r>
      <w:proofErr w:type="gramStart"/>
      <w:r w:rsidRPr="00511005">
        <w:rPr>
          <w:rFonts w:ascii="Arial" w:eastAsia="Times New Roman" w:hAnsi="Arial" w:cs="Arial"/>
          <w:szCs w:val="28"/>
          <w:lang w:val="en-US" w:eastAsia="ru-RU"/>
        </w:rPr>
        <w:t>Realization./</w:t>
      </w:r>
      <w:proofErr w:type="gramEnd"/>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 xml:space="preserve">Коршун А. // Науковий вісник Дніпропетровського державного університету внутрішніх справ. Спеціальний випуск № 2. 2018. С. 105-108. </w:t>
      </w:r>
    </w:p>
    <w:p w14:paraId="61DD584B" w14:textId="66BF0BF7" w:rsidR="00220D3E" w:rsidRPr="00511005" w:rsidRDefault="00220D3E" w:rsidP="003F6A5D">
      <w:pPr>
        <w:numPr>
          <w:ilvl w:val="0"/>
          <w:numId w:val="197"/>
        </w:numPr>
        <w:tabs>
          <w:tab w:val="left" w:pos="0"/>
        </w:tabs>
        <w:spacing w:line="264" w:lineRule="auto"/>
        <w:ind w:left="0" w:firstLine="426"/>
        <w:jc w:val="left"/>
        <w:rPr>
          <w:rFonts w:ascii="Arial" w:eastAsia="Times New Roman" w:hAnsi="Arial" w:cs="Arial"/>
          <w:szCs w:val="28"/>
          <w:lang w:eastAsia="ru-RU"/>
        </w:rPr>
      </w:pPr>
      <w:r w:rsidRPr="00511005">
        <w:rPr>
          <w:rFonts w:ascii="Arial" w:eastAsia="Times New Roman" w:hAnsi="Arial" w:cs="Arial"/>
          <w:szCs w:val="28"/>
          <w:lang w:eastAsia="ru-RU"/>
        </w:rPr>
        <w:t>Загальна декларація прав людини. Прийнята Генеральною Асамблеєю ООН 10 грудня 1948 року.</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URL: </w:t>
      </w:r>
      <w:hyperlink r:id="rId295" w:anchor="Text">
        <w:r w:rsidRPr="00511005">
          <w:rPr>
            <w:rFonts w:ascii="Arial" w:eastAsia="Times New Roman" w:hAnsi="Arial" w:cs="Arial"/>
            <w:szCs w:val="28"/>
            <w:lang w:eastAsia="ru-RU"/>
          </w:rPr>
          <w:t>https://zakon.rada.gov.ua/laws/show/995_015#Text</w:t>
        </w:r>
      </w:hyperlink>
      <w:r w:rsidRPr="00511005">
        <w:rPr>
          <w:rFonts w:ascii="Arial" w:eastAsia="Times New Roman" w:hAnsi="Arial" w:cs="Arial"/>
          <w:szCs w:val="28"/>
          <w:lang w:eastAsia="ru-RU"/>
        </w:rPr>
        <w:t xml:space="preserve"> (дата звернення: 12.04.2025). </w:t>
      </w:r>
    </w:p>
    <w:p w14:paraId="03912365" w14:textId="17154B9E" w:rsidR="00220D3E" w:rsidRPr="00511005" w:rsidRDefault="007B2628" w:rsidP="003A292D">
      <w:pPr>
        <w:tabs>
          <w:tab w:val="left" w:pos="709"/>
        </w:tabs>
        <w:spacing w:line="264" w:lineRule="auto"/>
        <w:rPr>
          <w:rFonts w:ascii="Arial" w:eastAsia="Times New Roman" w:hAnsi="Arial" w:cs="Arial"/>
          <w:b/>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біженці, внутрішньо переміщені особи, захист прав, механізм захисту, Конвенція ООН.</w:t>
      </w:r>
    </w:p>
    <w:p w14:paraId="72078D9D" w14:textId="3848D5EE"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 xml:space="preserve">refugees, internally displaced persons, protection of rights, protection mechanism, UN Convention. </w:t>
      </w:r>
    </w:p>
    <w:p w14:paraId="26D0BB85" w14:textId="1E993F77"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доцент, к.ю.н Гриб А.М.</w:t>
      </w:r>
    </w:p>
    <w:p w14:paraId="30B69DF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68D776A8" w14:textId="77777777" w:rsidR="00220D3E" w:rsidRPr="00511005" w:rsidRDefault="00220D3E" w:rsidP="003A292D">
      <w:pPr>
        <w:spacing w:line="264" w:lineRule="auto"/>
        <w:ind w:left="-284"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Глебчук Христина Романівна</w:t>
      </w:r>
    </w:p>
    <w:p w14:paraId="1D6AC7C7" w14:textId="32BD0829" w:rsidR="00176B4E" w:rsidRPr="00511005" w:rsidRDefault="00536AAB"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247EDF15" w14:textId="77777777" w:rsidR="00176B4E" w:rsidRPr="00511005" w:rsidRDefault="00176B4E" w:rsidP="00176B4E">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F16425E" w14:textId="27629D22" w:rsidR="00220D3E" w:rsidRPr="00511005" w:rsidRDefault="007B2628" w:rsidP="00176B4E">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43FD1479" w14:textId="77777777" w:rsidR="00220D3E" w:rsidRPr="00511005" w:rsidRDefault="00220D3E" w:rsidP="003A292D">
      <w:pPr>
        <w:spacing w:line="264" w:lineRule="auto"/>
        <w:ind w:left="-284" w:firstLine="0"/>
        <w:jc w:val="center"/>
        <w:rPr>
          <w:rFonts w:ascii="Arial" w:eastAsia="Times New Roman" w:hAnsi="Arial" w:cs="Arial"/>
          <w:szCs w:val="28"/>
          <w:lang w:val="uk-UA" w:eastAsia="ru-RU"/>
        </w:rPr>
      </w:pPr>
    </w:p>
    <w:p w14:paraId="5F073767" w14:textId="77777777" w:rsidR="00220D3E" w:rsidRPr="00511005" w:rsidRDefault="00220D3E"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eastAsia="ru-RU"/>
        </w:rPr>
        <w:t xml:space="preserve">ПРАВОВИЙ СТАТУС ОСІБ, ЗНИКЛИХ БЕЗВІСТИ </w:t>
      </w:r>
    </w:p>
    <w:p w14:paraId="32E55544" w14:textId="77777777" w:rsidR="00220D3E" w:rsidRPr="00511005" w:rsidRDefault="00220D3E" w:rsidP="003A292D">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В УМОВАХ ВІЙНИ</w:t>
      </w:r>
    </w:p>
    <w:p w14:paraId="2304EC4B"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Збройна агресія проти України призвела до масштабного зростання кількості осіб, зниклих безвісти. Це явище має не лише гуманітарний, а й правовий вимір, оскільки породжує численні порушення прав людини як щодо самих зниклих, так і щодо їхніх родичів. Установлення правового статусу таких осіб є необхідною умовою для реалізації їхніх основоположних прав, притягнення винних до відповідальності та надання ефективної гуманітарної допомоги. Тому питання правового регулювання цього статусу є надзвичайно актуальним в умовах триваючого міжнародного збройного конфлікту.</w:t>
      </w:r>
    </w:p>
    <w:p w14:paraId="0EE9C3E1"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Ідентифікація загиблих і встановлення місцеперебування зниклих — ключові компоненти дотримання міжнародного гуманітарного права. Ці процеси повинні супроводжуватися збиранням доказової бази з моменту початку збройних дій, щоб унеможливити маніпуляції та зловживання щодо осіб, які зникли за нез’ясованих обставин [4, c. 287].</w:t>
      </w:r>
    </w:p>
    <w:p w14:paraId="390C3EEB"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Важливу роль у цьому процесі відіграє Міжнародний Комітет Червоного Хреста (МКЧХ), який здійснює гуманітарну діяльність із дотриманням нейтральності та конфіденційності. Він взаємодіє з </w:t>
      </w:r>
      <w:r w:rsidRPr="00511005">
        <w:rPr>
          <w:rFonts w:ascii="Arial" w:eastAsia="Times New Roman" w:hAnsi="Arial" w:cs="Arial"/>
          <w:szCs w:val="28"/>
          <w:lang w:eastAsia="ru-RU"/>
        </w:rPr>
        <w:lastRenderedPageBreak/>
        <w:t>національними товариствами Червоного Хреста, які можуть частково виконувати функції держави в питаннях розшуку [5, c. 351–354].</w:t>
      </w:r>
    </w:p>
    <w:p w14:paraId="25D68F58"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МКЧХ визначає зниклих безвісти як осіб, чиє місце перебування невідоме родичам і які вважаються зниклими внаслідок конфлікту або надзвичайних обставин. Такі особи підлягають захисту міжнародного гуманітарного права — як цивільні, затримані чи переміщені особи [</w:t>
      </w:r>
      <w:proofErr w:type="gramStart"/>
      <w:r w:rsidRPr="00511005">
        <w:rPr>
          <w:rFonts w:ascii="Arial" w:eastAsia="Times New Roman" w:hAnsi="Arial" w:cs="Arial"/>
          <w:szCs w:val="28"/>
          <w:lang w:eastAsia="ru-RU"/>
        </w:rPr>
        <w:t>6,c.</w:t>
      </w:r>
      <w:proofErr w:type="gramEnd"/>
      <w:r w:rsidRPr="00511005">
        <w:rPr>
          <w:rFonts w:ascii="Arial" w:eastAsia="Times New Roman" w:hAnsi="Arial" w:cs="Arial"/>
          <w:szCs w:val="28"/>
          <w:lang w:eastAsia="ru-RU"/>
        </w:rPr>
        <w:t>151].</w:t>
      </w:r>
    </w:p>
    <w:p w14:paraId="3345F1DF"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Женевські конвенції 1949 року та Додаткові протоколи встановлюють обов’язок сторін конфлікту реєструвати дані про зниклих, інформувати їхні родини, забезпечувати передачу повідомлень про затримання, а також сприяти возз’єднанню сімей(статті16–17,25–26,122–</w:t>
      </w:r>
      <w:proofErr w:type="gramStart"/>
      <w:r w:rsidRPr="00511005">
        <w:rPr>
          <w:rFonts w:ascii="Arial" w:eastAsia="Times New Roman" w:hAnsi="Arial" w:cs="Arial"/>
          <w:szCs w:val="28"/>
          <w:lang w:eastAsia="ru-RU"/>
        </w:rPr>
        <w:t>125)[</w:t>
      </w:r>
      <w:proofErr w:type="gramEnd"/>
      <w:r w:rsidRPr="00511005">
        <w:rPr>
          <w:rFonts w:ascii="Arial" w:eastAsia="Times New Roman" w:hAnsi="Arial" w:cs="Arial"/>
          <w:szCs w:val="28"/>
          <w:lang w:eastAsia="ru-RU"/>
        </w:rPr>
        <w:t>1,3].</w:t>
      </w:r>
    </w:p>
    <w:p w14:paraId="1D5CB5C1"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Конвенція ООН про захист усіх осіб від насильницьких зникнень (2006 р.) визнає такі дії злочином, а за певних обставин — злочином проти людяності. Вона гарантує постраждалим право на справедливість та правову допомогу.</w:t>
      </w:r>
    </w:p>
    <w:p w14:paraId="08B57A5E"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Прикладом ефективного міжнародного розслідування є робота Міжнародної комісії з питань зниклих безвісти (ICMP), створеної після конфлікту в Югославії, де вперше було застосовано ДНК-аналіз для ідентифікації жертв масових </w:t>
      </w:r>
      <w:proofErr w:type="gramStart"/>
      <w:r w:rsidRPr="00511005">
        <w:rPr>
          <w:rFonts w:ascii="Arial" w:eastAsia="Times New Roman" w:hAnsi="Arial" w:cs="Arial"/>
          <w:szCs w:val="28"/>
          <w:lang w:eastAsia="ru-RU"/>
        </w:rPr>
        <w:t>поховань[</w:t>
      </w:r>
      <w:proofErr w:type="gramEnd"/>
      <w:r w:rsidRPr="00511005">
        <w:rPr>
          <w:rFonts w:ascii="Arial" w:eastAsia="Times New Roman" w:hAnsi="Arial" w:cs="Arial"/>
          <w:szCs w:val="28"/>
          <w:lang w:eastAsia="ru-RU"/>
        </w:rPr>
        <w:t>7].</w:t>
      </w:r>
    </w:p>
    <w:p w14:paraId="3524260A"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Юриспруденція ЄСПЛ також підтверджує, що замовчування інформації про зниклих порушує статтю 3 Європейської конвенції з прав людини — як щодо самих осіб, так і щодо їхніх родичів (справи «Кінтерос проти Уругваю», «Курт проти Туреччини») [8].</w:t>
      </w:r>
    </w:p>
    <w:p w14:paraId="46D428D2"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Правовий статус зниклих безвісти має бути належно визначений на національному рівні в умовах війни, відповідно до міжнародно-правових норм. Україна, як держава, що перебуває у стані збройного конфлікту, зобов’язана забезпечити ефективні механізми пошуку, ідентифікації та інформування, а також гарантувати права родичів зниклих. Впровадження досвіду міжнародних організацій, зокрема ICMP і МКЧХ, має стати основою національної стратегії розшуку зниклих безвісти в умовах війни.</w:t>
      </w:r>
    </w:p>
    <w:p w14:paraId="542EDC4D" w14:textId="7C6770AB" w:rsidR="00220D3E" w:rsidRPr="00511005" w:rsidRDefault="00220D3E" w:rsidP="007B2628">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br/>
      </w:r>
      <w:r w:rsidR="007B2628" w:rsidRPr="00511005">
        <w:rPr>
          <w:rFonts w:ascii="Arial" w:eastAsia="Times New Roman" w:hAnsi="Arial" w:cs="Arial"/>
          <w:b/>
          <w:szCs w:val="28"/>
          <w:lang w:val="uk-UA" w:eastAsia="ru-RU"/>
        </w:rPr>
        <w:t>Список використаних джерел</w:t>
      </w:r>
    </w:p>
    <w:p w14:paraId="24C651E9" w14:textId="77777777" w:rsidR="00220D3E" w:rsidRPr="00511005" w:rsidRDefault="00220D3E" w:rsidP="003F6A5D">
      <w:pPr>
        <w:numPr>
          <w:ilvl w:val="0"/>
          <w:numId w:val="202"/>
        </w:numPr>
        <w:spacing w:line="264" w:lineRule="auto"/>
        <w:ind w:left="0" w:firstLine="709"/>
        <w:jc w:val="left"/>
        <w:rPr>
          <w:rFonts w:ascii="Arial" w:eastAsia="Times New Roman" w:hAnsi="Arial" w:cs="Arial"/>
          <w:szCs w:val="28"/>
          <w:lang w:val="en-US"/>
        </w:rPr>
      </w:pPr>
      <w:r w:rsidRPr="00511005">
        <w:rPr>
          <w:rFonts w:ascii="Arial" w:eastAsia="Times New Roman" w:hAnsi="Arial" w:cs="Arial"/>
          <w:szCs w:val="28"/>
        </w:rPr>
        <w:t>Додатковий протокол до Женевських конвенцій від 12 серпня 1949 року, що стосується захисту жертв міжнародних збройних конфліктів):</w:t>
      </w:r>
      <w:r w:rsidRPr="00511005">
        <w:rPr>
          <w:rFonts w:ascii="Arial" w:eastAsia="Times New Roman" w:hAnsi="Arial" w:cs="Arial"/>
          <w:szCs w:val="28"/>
          <w:lang w:val="uk-UA"/>
        </w:rPr>
        <w:t xml:space="preserve"> </w:t>
      </w:r>
      <w:r w:rsidRPr="00511005">
        <w:rPr>
          <w:rFonts w:ascii="Arial" w:eastAsia="Times New Roman" w:hAnsi="Arial" w:cs="Arial"/>
          <w:szCs w:val="28"/>
        </w:rPr>
        <w:t>Протокол</w:t>
      </w:r>
      <w:r w:rsidRPr="00511005">
        <w:rPr>
          <w:rFonts w:ascii="Arial" w:eastAsia="Times New Roman" w:hAnsi="Arial" w:cs="Arial"/>
          <w:szCs w:val="28"/>
          <w:lang w:val="uk-UA"/>
        </w:rPr>
        <w:t xml:space="preserve"> </w:t>
      </w:r>
      <w:r w:rsidRPr="00511005">
        <w:rPr>
          <w:rFonts w:ascii="Arial" w:eastAsia="Times New Roman" w:hAnsi="Arial" w:cs="Arial"/>
          <w:szCs w:val="28"/>
        </w:rPr>
        <w:t xml:space="preserve">ООН від 08.06.1977. </w:t>
      </w:r>
      <w:hyperlink r:id="rId296" w:history="1">
        <w:r w:rsidRPr="00511005">
          <w:rPr>
            <w:rFonts w:ascii="Arial" w:eastAsia="Times New Roman" w:hAnsi="Arial" w:cs="Arial"/>
            <w:szCs w:val="28"/>
            <w:lang w:val="en-US"/>
          </w:rPr>
          <w:t>URL:https://zakon.rada.gov.ua/laws/show/995_199</w:t>
        </w:r>
      </w:hyperlink>
    </w:p>
    <w:p w14:paraId="67412C9C" w14:textId="77777777" w:rsidR="00220D3E" w:rsidRPr="00511005" w:rsidRDefault="00220D3E" w:rsidP="003A292D">
      <w:pPr>
        <w:spacing w:line="264" w:lineRule="auto"/>
        <w:ind w:firstLine="0"/>
        <w:jc w:val="left"/>
        <w:rPr>
          <w:rFonts w:ascii="Arial" w:eastAsia="Times New Roman" w:hAnsi="Arial" w:cs="Arial"/>
          <w:szCs w:val="28"/>
          <w:lang w:val="en-US"/>
        </w:rPr>
      </w:pPr>
      <w:r w:rsidRPr="00511005">
        <w:rPr>
          <w:rFonts w:ascii="Arial" w:eastAsia="Times New Roman" w:hAnsi="Arial" w:cs="Arial"/>
          <w:szCs w:val="28"/>
          <w:lang w:val="en-US"/>
        </w:rPr>
        <w:t>(дата звернення: 14.05.2025).</w:t>
      </w:r>
    </w:p>
    <w:p w14:paraId="4A595C20" w14:textId="77777777" w:rsidR="00220D3E" w:rsidRPr="00511005" w:rsidRDefault="00220D3E" w:rsidP="003F6A5D">
      <w:pPr>
        <w:numPr>
          <w:ilvl w:val="0"/>
          <w:numId w:val="202"/>
        </w:numPr>
        <w:spacing w:line="264" w:lineRule="auto"/>
        <w:ind w:left="0" w:firstLine="709"/>
        <w:jc w:val="left"/>
        <w:rPr>
          <w:rFonts w:ascii="Arial" w:eastAsia="Times New Roman" w:hAnsi="Arial" w:cs="Arial"/>
          <w:szCs w:val="28"/>
        </w:rPr>
      </w:pPr>
      <w:r w:rsidRPr="00511005">
        <w:rPr>
          <w:rFonts w:ascii="Arial" w:eastAsia="Times New Roman" w:hAnsi="Arial" w:cs="Arial"/>
          <w:szCs w:val="28"/>
        </w:rPr>
        <w:t>Конвенція про захист усіх осіб від насильницьких зникнень: ООН, Нью-</w:t>
      </w:r>
      <w:proofErr w:type="gramStart"/>
      <w:r w:rsidRPr="00511005">
        <w:rPr>
          <w:rFonts w:ascii="Arial" w:eastAsia="Times New Roman" w:hAnsi="Arial" w:cs="Arial"/>
          <w:szCs w:val="28"/>
        </w:rPr>
        <w:t>Йорк,20.12.2006.</w:t>
      </w:r>
      <w:r w:rsidRPr="00511005">
        <w:rPr>
          <w:rFonts w:ascii="Arial" w:eastAsia="Times New Roman" w:hAnsi="Arial" w:cs="Arial"/>
          <w:szCs w:val="28"/>
          <w:lang w:val="en-US"/>
        </w:rPr>
        <w:t>URL</w:t>
      </w:r>
      <w:proofErr w:type="gramEnd"/>
      <w:r w:rsidRPr="00511005">
        <w:rPr>
          <w:rFonts w:ascii="Arial" w:eastAsia="Times New Roman" w:hAnsi="Arial" w:cs="Arial"/>
          <w:b/>
          <w:szCs w:val="28"/>
        </w:rPr>
        <w:t>:</w:t>
      </w:r>
      <w:r w:rsidRPr="00511005">
        <w:rPr>
          <w:rFonts w:ascii="Arial" w:eastAsia="Times New Roman" w:hAnsi="Arial" w:cs="Arial"/>
          <w:szCs w:val="28"/>
        </w:rPr>
        <w:t xml:space="preserve"> </w:t>
      </w:r>
      <w:hyperlink r:id="rId297"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zakon</w:t>
        </w:r>
        <w:r w:rsidRPr="00511005">
          <w:rPr>
            <w:rFonts w:ascii="Arial" w:eastAsia="Times New Roman" w:hAnsi="Arial" w:cs="Arial"/>
            <w:szCs w:val="28"/>
          </w:rPr>
          <w:t>.</w:t>
        </w:r>
        <w:r w:rsidRPr="00511005">
          <w:rPr>
            <w:rFonts w:ascii="Arial" w:eastAsia="Times New Roman" w:hAnsi="Arial" w:cs="Arial"/>
            <w:szCs w:val="28"/>
            <w:lang w:val="en-US"/>
          </w:rPr>
          <w:t>rada</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go</w:t>
        </w:r>
        <w:r w:rsidRPr="00511005">
          <w:rPr>
            <w:rFonts w:ascii="Arial" w:eastAsia="Times New Roman" w:hAnsi="Arial" w:cs="Arial"/>
            <w:szCs w:val="28"/>
          </w:rPr>
          <w:t>/995_</w:t>
        </w:r>
        <w:r w:rsidRPr="00511005">
          <w:rPr>
            <w:rFonts w:ascii="Arial" w:eastAsia="Times New Roman" w:hAnsi="Arial" w:cs="Arial"/>
            <w:szCs w:val="28"/>
            <w:lang w:val="en-US"/>
          </w:rPr>
          <w:t>l</w:t>
        </w:r>
        <w:r w:rsidRPr="00511005">
          <w:rPr>
            <w:rFonts w:ascii="Arial" w:eastAsia="Times New Roman" w:hAnsi="Arial" w:cs="Arial"/>
            <w:szCs w:val="28"/>
          </w:rPr>
          <w:t>54</w:t>
        </w:r>
      </w:hyperlink>
      <w:r w:rsidRPr="00511005">
        <w:rPr>
          <w:rFonts w:ascii="Arial" w:eastAsia="Times New Roman" w:hAnsi="Arial" w:cs="Arial"/>
          <w:szCs w:val="28"/>
          <w:lang w:val="uk-UA"/>
        </w:rPr>
        <w:t xml:space="preserve"> </w:t>
      </w:r>
      <w:r w:rsidRPr="00511005">
        <w:rPr>
          <w:rFonts w:ascii="Arial" w:eastAsia="Times New Roman" w:hAnsi="Arial" w:cs="Arial"/>
          <w:szCs w:val="28"/>
        </w:rPr>
        <w:t>(дата звернення: 14.05.2025).</w:t>
      </w:r>
    </w:p>
    <w:p w14:paraId="61301057" w14:textId="77777777" w:rsidR="00220D3E" w:rsidRPr="00511005" w:rsidRDefault="00220D3E" w:rsidP="003F6A5D">
      <w:pPr>
        <w:numPr>
          <w:ilvl w:val="0"/>
          <w:numId w:val="202"/>
        </w:numPr>
        <w:spacing w:line="264" w:lineRule="auto"/>
        <w:ind w:left="0" w:firstLine="709"/>
        <w:jc w:val="left"/>
        <w:rPr>
          <w:rFonts w:ascii="Arial" w:eastAsia="Times New Roman" w:hAnsi="Arial" w:cs="Arial"/>
          <w:szCs w:val="28"/>
        </w:rPr>
      </w:pPr>
      <w:r w:rsidRPr="00511005">
        <w:rPr>
          <w:rFonts w:ascii="Arial" w:eastAsia="Times New Roman" w:hAnsi="Arial" w:cs="Arial"/>
          <w:szCs w:val="28"/>
        </w:rPr>
        <w:t xml:space="preserve">Женевська конвенція про захист цивільного населення під час війни від 12 серпня 1949 року. </w:t>
      </w:r>
      <w:r w:rsidRPr="00511005">
        <w:rPr>
          <w:rFonts w:ascii="Arial" w:eastAsia="Times New Roman" w:hAnsi="Arial" w:cs="Arial"/>
          <w:szCs w:val="28"/>
          <w:lang w:val="en-US"/>
        </w:rPr>
        <w:lastRenderedPageBreak/>
        <w:t>URL</w:t>
      </w:r>
      <w:r w:rsidRPr="00511005">
        <w:rPr>
          <w:rFonts w:ascii="Arial" w:eastAsia="Times New Roman" w:hAnsi="Arial" w:cs="Arial"/>
          <w:szCs w:val="28"/>
        </w:rPr>
        <w:t>:</w:t>
      </w:r>
      <w:hyperlink r:id="rId298"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zakon</w:t>
        </w:r>
        <w:r w:rsidRPr="00511005">
          <w:rPr>
            <w:rFonts w:ascii="Arial" w:eastAsia="Times New Roman" w:hAnsi="Arial" w:cs="Arial"/>
            <w:szCs w:val="28"/>
          </w:rPr>
          <w:t>.</w:t>
        </w:r>
        <w:r w:rsidRPr="00511005">
          <w:rPr>
            <w:rFonts w:ascii="Arial" w:eastAsia="Times New Roman" w:hAnsi="Arial" w:cs="Arial"/>
            <w:szCs w:val="28"/>
            <w:lang w:val="en-US"/>
          </w:rPr>
          <w:t>rada</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laws</w:t>
        </w:r>
        <w:r w:rsidRPr="00511005">
          <w:rPr>
            <w:rFonts w:ascii="Arial" w:eastAsia="Times New Roman" w:hAnsi="Arial" w:cs="Arial"/>
            <w:szCs w:val="28"/>
          </w:rPr>
          <w:t>/</w:t>
        </w:r>
        <w:r w:rsidRPr="00511005">
          <w:rPr>
            <w:rFonts w:ascii="Arial" w:eastAsia="Times New Roman" w:hAnsi="Arial" w:cs="Arial"/>
            <w:szCs w:val="28"/>
            <w:lang w:val="en-US"/>
          </w:rPr>
          <w:t>show</w:t>
        </w:r>
        <w:r w:rsidRPr="00511005">
          <w:rPr>
            <w:rFonts w:ascii="Arial" w:eastAsia="Times New Roman" w:hAnsi="Arial" w:cs="Arial"/>
            <w:szCs w:val="28"/>
          </w:rPr>
          <w:t>/995_154</w:t>
        </w:r>
      </w:hyperlink>
      <w:r w:rsidRPr="00511005">
        <w:rPr>
          <w:rFonts w:ascii="Arial" w:eastAsia="Times New Roman" w:hAnsi="Arial" w:cs="Arial"/>
          <w:szCs w:val="28"/>
          <w:lang w:val="uk-UA"/>
        </w:rPr>
        <w:t xml:space="preserve"> </w:t>
      </w:r>
      <w:r w:rsidRPr="00511005">
        <w:rPr>
          <w:rFonts w:ascii="Arial" w:eastAsia="Times New Roman" w:hAnsi="Arial" w:cs="Arial"/>
          <w:szCs w:val="28"/>
        </w:rPr>
        <w:t>(дата звернення: 14.05.2025).</w:t>
      </w:r>
    </w:p>
    <w:p w14:paraId="0BEFB5D8" w14:textId="77777777" w:rsidR="00220D3E" w:rsidRPr="00511005" w:rsidRDefault="00220D3E" w:rsidP="003F6A5D">
      <w:pPr>
        <w:numPr>
          <w:ilvl w:val="0"/>
          <w:numId w:val="202"/>
        </w:numPr>
        <w:spacing w:line="264" w:lineRule="auto"/>
        <w:ind w:left="0" w:firstLine="709"/>
        <w:jc w:val="left"/>
        <w:rPr>
          <w:rFonts w:ascii="Arial" w:eastAsia="Times New Roman" w:hAnsi="Arial" w:cs="Arial"/>
          <w:szCs w:val="28"/>
          <w:lang w:val="en-US"/>
        </w:rPr>
      </w:pPr>
      <w:r w:rsidRPr="00511005">
        <w:rPr>
          <w:rFonts w:ascii="Arial" w:eastAsia="Times New Roman" w:hAnsi="Arial" w:cs="Arial"/>
          <w:szCs w:val="28"/>
        </w:rPr>
        <w:t xml:space="preserve">Грушко М. В. Становлення та специфіка міжнародно-правового режиму військовополонених: дис. канд. юрид. наук: 12.00.11. </w:t>
      </w:r>
      <w:r w:rsidRPr="00511005">
        <w:rPr>
          <w:rFonts w:ascii="Arial" w:eastAsia="Times New Roman" w:hAnsi="Arial" w:cs="Arial"/>
          <w:szCs w:val="28"/>
          <w:lang w:val="en-US"/>
        </w:rPr>
        <w:t>Одеса, 2015. 287 с.</w:t>
      </w:r>
    </w:p>
    <w:p w14:paraId="061FE9F4" w14:textId="77777777" w:rsidR="00220D3E" w:rsidRPr="00511005" w:rsidRDefault="00220D3E" w:rsidP="003F6A5D">
      <w:pPr>
        <w:numPr>
          <w:ilvl w:val="0"/>
          <w:numId w:val="202"/>
        </w:numPr>
        <w:spacing w:line="264" w:lineRule="auto"/>
        <w:ind w:left="0" w:firstLine="709"/>
        <w:jc w:val="left"/>
        <w:rPr>
          <w:rFonts w:ascii="Arial" w:eastAsia="Times New Roman" w:hAnsi="Arial" w:cs="Arial"/>
          <w:szCs w:val="28"/>
        </w:rPr>
      </w:pPr>
      <w:r w:rsidRPr="00511005">
        <w:rPr>
          <w:rFonts w:ascii="Arial" w:eastAsia="Times New Roman" w:hAnsi="Arial" w:cs="Arial"/>
          <w:szCs w:val="28"/>
        </w:rPr>
        <w:t>Грушко М. Джерела міжнародного гуманітарного права та внутрішньодержавного права // Підприємництво, господарство і право. – 2018. – № 12. – С. 351–354.</w:t>
      </w:r>
    </w:p>
    <w:p w14:paraId="115ED7E3" w14:textId="77777777" w:rsidR="00220D3E" w:rsidRPr="00511005" w:rsidRDefault="00220D3E" w:rsidP="003F6A5D">
      <w:pPr>
        <w:numPr>
          <w:ilvl w:val="0"/>
          <w:numId w:val="202"/>
        </w:numPr>
        <w:spacing w:line="264" w:lineRule="auto"/>
        <w:ind w:left="0" w:firstLine="709"/>
        <w:jc w:val="left"/>
        <w:rPr>
          <w:rFonts w:ascii="Arial" w:eastAsia="Times New Roman" w:hAnsi="Arial" w:cs="Arial"/>
          <w:szCs w:val="28"/>
          <w:lang w:val="en-US"/>
        </w:rPr>
      </w:pPr>
      <w:r w:rsidRPr="00511005">
        <w:rPr>
          <w:rFonts w:ascii="Arial" w:eastAsia="Times New Roman" w:hAnsi="Arial" w:cs="Arial"/>
          <w:szCs w:val="28"/>
        </w:rPr>
        <w:t xml:space="preserve">Коблан Л. Б. Загальний аналіз правового регулювання воєнних дій: міжнародне та національне законодавство // Вісник Національного університету «Львівська політехніка». </w:t>
      </w:r>
      <w:r w:rsidRPr="00511005">
        <w:rPr>
          <w:rFonts w:ascii="Arial" w:eastAsia="Times New Roman" w:hAnsi="Arial" w:cs="Arial"/>
          <w:szCs w:val="28"/>
          <w:lang w:val="en-US"/>
        </w:rPr>
        <w:t>Юридичні науки. – 2015. – № 824. – С. 151.</w:t>
      </w:r>
    </w:p>
    <w:p w14:paraId="7E8CD350" w14:textId="77777777" w:rsidR="00220D3E" w:rsidRPr="00511005" w:rsidRDefault="00220D3E" w:rsidP="003F6A5D">
      <w:pPr>
        <w:numPr>
          <w:ilvl w:val="0"/>
          <w:numId w:val="202"/>
        </w:numPr>
        <w:spacing w:line="264" w:lineRule="auto"/>
        <w:ind w:left="0" w:firstLine="709"/>
        <w:jc w:val="left"/>
        <w:rPr>
          <w:rFonts w:ascii="Arial" w:eastAsia="Times New Roman" w:hAnsi="Arial" w:cs="Arial"/>
          <w:szCs w:val="28"/>
        </w:rPr>
      </w:pPr>
      <w:r w:rsidRPr="00511005">
        <w:rPr>
          <w:rFonts w:ascii="Arial" w:eastAsia="Times New Roman" w:hAnsi="Arial" w:cs="Arial"/>
          <w:szCs w:val="28"/>
        </w:rPr>
        <w:t>Ковальський О. В. Залучення приватних військових та охоронних компаній: проблеми міжнародно-правового регулювання // Матеріали міжнародної наукової конференції (м. Тернопіль, 5–6 листопада 2019 р.). – Тернопіль, 2019. – С. 108–111.</w:t>
      </w:r>
    </w:p>
    <w:p w14:paraId="7B939893" w14:textId="77777777" w:rsidR="00220D3E" w:rsidRPr="00511005" w:rsidRDefault="00220D3E" w:rsidP="003F6A5D">
      <w:pPr>
        <w:numPr>
          <w:ilvl w:val="0"/>
          <w:numId w:val="202"/>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en-US"/>
        </w:rPr>
        <w:t>Kurt v. Turkey, no. 24276/94, Judgment of the European Court of Human Rights, 25 May 1998. URL</w:t>
      </w:r>
      <w:r w:rsidRPr="00511005">
        <w:rPr>
          <w:rFonts w:ascii="Arial" w:eastAsia="Times New Roman" w:hAnsi="Arial" w:cs="Arial"/>
          <w:szCs w:val="28"/>
        </w:rPr>
        <w:t xml:space="preserve">: </w:t>
      </w:r>
      <w:hyperlink r:id="rId299"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hudoc</w:t>
        </w:r>
        <w:r w:rsidRPr="00511005">
          <w:rPr>
            <w:rFonts w:ascii="Arial" w:eastAsia="Times New Roman" w:hAnsi="Arial" w:cs="Arial"/>
            <w:szCs w:val="28"/>
          </w:rPr>
          <w:t>.</w:t>
        </w:r>
        <w:r w:rsidRPr="00511005">
          <w:rPr>
            <w:rFonts w:ascii="Arial" w:eastAsia="Times New Roman" w:hAnsi="Arial" w:cs="Arial"/>
            <w:szCs w:val="28"/>
            <w:lang w:val="en-US"/>
          </w:rPr>
          <w:t>echr</w:t>
        </w:r>
        <w:r w:rsidRPr="00511005">
          <w:rPr>
            <w:rFonts w:ascii="Arial" w:eastAsia="Times New Roman" w:hAnsi="Arial" w:cs="Arial"/>
            <w:szCs w:val="28"/>
          </w:rPr>
          <w:t>.</w:t>
        </w:r>
        <w:r w:rsidRPr="00511005">
          <w:rPr>
            <w:rFonts w:ascii="Arial" w:eastAsia="Times New Roman" w:hAnsi="Arial" w:cs="Arial"/>
            <w:szCs w:val="28"/>
            <w:lang w:val="en-US"/>
          </w:rPr>
          <w:t>coe</w:t>
        </w:r>
        <w:r w:rsidRPr="00511005">
          <w:rPr>
            <w:rFonts w:ascii="Arial" w:eastAsia="Times New Roman" w:hAnsi="Arial" w:cs="Arial"/>
            <w:szCs w:val="28"/>
          </w:rPr>
          <w:t>.</w:t>
        </w:r>
        <w:r w:rsidRPr="00511005">
          <w:rPr>
            <w:rFonts w:ascii="Arial" w:eastAsia="Times New Roman" w:hAnsi="Arial" w:cs="Arial"/>
            <w:szCs w:val="28"/>
            <w:lang w:val="en-US"/>
          </w:rPr>
          <w:t>int</w:t>
        </w:r>
        <w:r w:rsidRPr="00511005">
          <w:rPr>
            <w:rFonts w:ascii="Arial" w:eastAsia="Times New Roman" w:hAnsi="Arial" w:cs="Arial"/>
            <w:szCs w:val="28"/>
          </w:rPr>
          <w:t>/</w:t>
        </w:r>
        <w:r w:rsidRPr="00511005">
          <w:rPr>
            <w:rFonts w:ascii="Arial" w:eastAsia="Times New Roman" w:hAnsi="Arial" w:cs="Arial"/>
            <w:szCs w:val="28"/>
            <w:lang w:val="en-US"/>
          </w:rPr>
          <w:t>eng</w:t>
        </w:r>
        <w:r w:rsidRPr="00511005">
          <w:rPr>
            <w:rFonts w:ascii="Arial" w:eastAsia="Times New Roman" w:hAnsi="Arial" w:cs="Arial"/>
            <w:szCs w:val="28"/>
          </w:rPr>
          <w:t>?</w:t>
        </w:r>
        <w:r w:rsidRPr="00511005">
          <w:rPr>
            <w:rFonts w:ascii="Arial" w:eastAsia="Times New Roman" w:hAnsi="Arial" w:cs="Arial"/>
            <w:szCs w:val="28"/>
            <w:lang w:val="en-US"/>
          </w:rPr>
          <w:t>i</w:t>
        </w:r>
        <w:r w:rsidRPr="00511005">
          <w:rPr>
            <w:rFonts w:ascii="Arial" w:eastAsia="Times New Roman" w:hAnsi="Arial" w:cs="Arial"/>
            <w:szCs w:val="28"/>
          </w:rPr>
          <w:t>=001-58198</w:t>
        </w:r>
      </w:hyperlink>
      <w:r w:rsidRPr="00511005">
        <w:rPr>
          <w:rFonts w:ascii="Arial" w:eastAsia="Times New Roman" w:hAnsi="Arial" w:cs="Arial"/>
          <w:szCs w:val="28"/>
          <w:lang w:val="uk-UA"/>
        </w:rPr>
        <w:t xml:space="preserve"> </w:t>
      </w:r>
      <w:r w:rsidRPr="00511005">
        <w:rPr>
          <w:rFonts w:ascii="Arial" w:eastAsia="Times New Roman" w:hAnsi="Arial" w:cs="Arial"/>
          <w:szCs w:val="28"/>
        </w:rPr>
        <w:t>(дата звернення: 14.05.2025).</w:t>
      </w:r>
    </w:p>
    <w:p w14:paraId="68512A9F" w14:textId="77777777" w:rsidR="00220D3E" w:rsidRPr="00511005" w:rsidRDefault="00220D3E" w:rsidP="003A292D">
      <w:pPr>
        <w:spacing w:line="264" w:lineRule="auto"/>
        <w:ind w:left="709" w:firstLine="0"/>
        <w:rPr>
          <w:rFonts w:ascii="Arial" w:eastAsia="Times New Roman" w:hAnsi="Arial" w:cs="Arial"/>
          <w:szCs w:val="28"/>
          <w:lang w:val="uk-UA"/>
        </w:rPr>
      </w:pPr>
    </w:p>
    <w:p w14:paraId="0CDD1345" w14:textId="2CEF8CB3" w:rsidR="00220D3E"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i/>
          <w:szCs w:val="28"/>
        </w:rPr>
        <w:t xml:space="preserve">Ключові слова: </w:t>
      </w:r>
      <w:r w:rsidR="00220D3E" w:rsidRPr="00511005">
        <w:rPr>
          <w:rFonts w:ascii="Arial" w:eastAsia="Times New Roman" w:hAnsi="Arial" w:cs="Arial"/>
          <w:szCs w:val="28"/>
        </w:rPr>
        <w:t>зниклі безвісти, МКЧХ, гуманітарне право, масові поховання, право на справедливість.</w:t>
      </w:r>
    </w:p>
    <w:p w14:paraId="1838FB10" w14:textId="7EAB53D8" w:rsidR="00220D3E"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i/>
          <w:szCs w:val="28"/>
          <w:lang w:val="en-US"/>
        </w:rPr>
        <w:t xml:space="preserve">Key words: </w:t>
      </w:r>
      <w:r w:rsidR="00220D3E" w:rsidRPr="00511005">
        <w:rPr>
          <w:rFonts w:ascii="Arial" w:eastAsia="Times New Roman" w:hAnsi="Arial" w:cs="Arial"/>
          <w:szCs w:val="28"/>
          <w:lang w:val="en-US"/>
        </w:rPr>
        <w:t>missing persons, ICRC, humanitarian law, mass graves, right to justice.</w:t>
      </w:r>
    </w:p>
    <w:p w14:paraId="5D0442BE" w14:textId="29A94064"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доцент, к.ю.н Гриб А.М.</w:t>
      </w:r>
    </w:p>
    <w:p w14:paraId="07815A2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086B5512"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Гієш Тетяна Романівна</w:t>
      </w:r>
    </w:p>
    <w:p w14:paraId="334B5689" w14:textId="1FD765D2" w:rsidR="008C34CC" w:rsidRPr="00511005" w:rsidRDefault="00536AAB"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6C43884E" w14:textId="77777777" w:rsidR="008C34CC" w:rsidRPr="00511005" w:rsidRDefault="008C34CC"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E25E270" w14:textId="74D61B42"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2E6CAC0B"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1A10F52B"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eastAsia="ru-RU"/>
        </w:rPr>
        <w:t>О</w:t>
      </w:r>
      <w:r w:rsidRPr="00511005">
        <w:rPr>
          <w:rFonts w:ascii="Arial" w:eastAsia="Times New Roman" w:hAnsi="Arial" w:cs="Arial"/>
          <w:b/>
          <w:bCs/>
          <w:szCs w:val="28"/>
          <w:lang w:val="uk-UA" w:eastAsia="ru-RU"/>
        </w:rPr>
        <w:t>СОБЛИВОСТІ</w:t>
      </w:r>
      <w:r w:rsidRPr="00511005">
        <w:rPr>
          <w:rFonts w:ascii="Arial" w:eastAsia="Times New Roman" w:hAnsi="Arial" w:cs="Arial"/>
          <w:b/>
          <w:bCs/>
          <w:szCs w:val="28"/>
          <w:lang w:eastAsia="ru-RU"/>
        </w:rPr>
        <w:t xml:space="preserve"> </w:t>
      </w:r>
      <w:r w:rsidRPr="00511005">
        <w:rPr>
          <w:rFonts w:ascii="Arial" w:eastAsia="Times New Roman" w:hAnsi="Arial" w:cs="Arial"/>
          <w:b/>
          <w:bCs/>
          <w:szCs w:val="28"/>
          <w:lang w:val="uk-UA" w:eastAsia="ru-RU"/>
        </w:rPr>
        <w:t>ІСЛАМСЬКОЇ СИСТЕМИ ЗАХИСТУ ПРАВ ЛЮДИНИ</w:t>
      </w:r>
    </w:p>
    <w:p w14:paraId="179A3DE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Проблеми правового регулювання становища людини у суспільстві, наявності, переліку та онтологічної сутності її прав та свобод постають у будьякому свідомому суспільстві. Ісламське суспільство не є винятком. За останні роки вітчизняні та зарубіжні вчені все частіше звертаються до вивчення мусульманського права. Інтерес до цієї сфери є цілком закономірним, якщо врахувати, що за останні 10 років іслам став потужним фактором міжнародного суспільного і політичного життя. На даний час більше ніж у 30 країнах світу зі 100 мусульманських іслам проголошений державною релігією і основним джерелом права</w:t>
      </w:r>
      <w:r w:rsidRPr="00511005">
        <w:rPr>
          <w:rFonts w:ascii="Arial" w:eastAsia="Times New Roman" w:hAnsi="Arial" w:cs="Arial"/>
          <w:szCs w:val="28"/>
          <w:lang w:val="uk-UA" w:eastAsia="ru-RU"/>
        </w:rPr>
        <w:t>. [1]</w:t>
      </w:r>
    </w:p>
    <w:p w14:paraId="134675A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Релігійна правова система мусульманства, відома як</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шаріат, формується на основі сакральних джерел ісламу та охоплює всі аспекти життя — від молитов і моралі до кримінального права та економіки. Її фундамент становлять</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Коран, який вважається прямою промовою Аллаха, і</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Сунна, яка вміщає в собі вчинки та вислови Пророка Мухаммеда, які визначають загальні принципи поведінки всіх мусульманів.</w:t>
      </w:r>
    </w:p>
    <w:p w14:paraId="111B74B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Ісламська концепція прав людини виходить з того, що право в цілому повинно опиратись на об’єктивний критерій – божу волю, а не на суб’єктивні інтереси і бажання, що досить часто підпадають різного роду впливу [2].</w:t>
      </w:r>
    </w:p>
    <w:p w14:paraId="655A2291" w14:textId="51F29EC4"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Шаріат не відокремлює релігію від права, навіть побутові питання, як-от харчування або одяг, регулюються релігійними правилами. Сімейне право закріплює в даній системі домінування чоловіка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над своєю жінкою— він має право на багатоженство за умови рівноправності дружин, розлучення ініціюється переважно ним, а жінка у спадщині отримує вдвічі меншу частку.</w:t>
      </w:r>
      <w:r w:rsidRPr="00511005">
        <w:rPr>
          <w:rFonts w:ascii="Arial" w:eastAsia="Times New Roman" w:hAnsi="Arial" w:cs="Arial"/>
          <w:szCs w:val="28"/>
          <w:lang w:eastAsia="ru-RU"/>
        </w:rPr>
        <w:t> Кримінальна відповідальність (худуд) передбачає суворі покарання за злочини на кшталт перелюбу чи крадіжки, але їхнє застосування супроводжується жорсткими процедурами доказування</w:t>
      </w:r>
      <w:r w:rsidRPr="00511005">
        <w:rPr>
          <w:rFonts w:ascii="Arial" w:eastAsia="Times New Roman" w:hAnsi="Arial" w:cs="Arial"/>
          <w:szCs w:val="28"/>
          <w:lang w:val="uk-UA" w:eastAsia="ru-RU"/>
        </w:rPr>
        <w:t xml:space="preserve">. </w:t>
      </w:r>
    </w:p>
    <w:p w14:paraId="4DECFF7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Саме по собі покарання худуд відображає суворість шаріату щодо злочинів, які розцінюються як порушення прав Аллаха та загроза суспільному ладу. Ці покарання, чітко визначені в Корані та Сунні, включають такі злочини, як крадіжка, перелюб, розбій, вживання алкоголю, наклеп та відступництво від віри. З</w:t>
      </w:r>
      <w:r w:rsidRPr="00511005">
        <w:rPr>
          <w:rFonts w:ascii="Arial" w:eastAsia="Times New Roman" w:hAnsi="Arial" w:cs="Arial"/>
          <w:szCs w:val="28"/>
          <w:lang w:eastAsia="ru-RU"/>
        </w:rPr>
        <w:t>а крадіжку передбачено відсікання руки, за перелюб — побиття камінням або сотню ударів батогом, за розбій — смертну ка</w:t>
      </w:r>
      <w:r w:rsidRPr="00511005">
        <w:rPr>
          <w:rFonts w:ascii="Arial" w:eastAsia="Times New Roman" w:hAnsi="Arial" w:cs="Arial"/>
          <w:szCs w:val="28"/>
          <w:lang w:val="uk-UA" w:eastAsia="ru-RU"/>
        </w:rPr>
        <w:t>ру</w:t>
      </w:r>
      <w:r w:rsidRPr="00511005">
        <w:rPr>
          <w:rFonts w:ascii="Arial" w:eastAsia="Times New Roman" w:hAnsi="Arial" w:cs="Arial"/>
          <w:szCs w:val="28"/>
          <w:lang w:eastAsia="ru-RU"/>
        </w:rPr>
        <w:t xml:space="preserve"> або розп’яття, за звинувачення без доказів — 80 ударів</w:t>
      </w:r>
      <w:r w:rsidRPr="00511005">
        <w:rPr>
          <w:rFonts w:ascii="Arial" w:eastAsia="Times New Roman" w:hAnsi="Arial" w:cs="Arial"/>
          <w:szCs w:val="28"/>
          <w:lang w:val="uk-UA" w:eastAsia="ru-RU"/>
        </w:rPr>
        <w:t xml:space="preserve"> батогом</w:t>
      </w:r>
      <w:r w:rsidRPr="00511005">
        <w:rPr>
          <w:rFonts w:ascii="Arial" w:eastAsia="Times New Roman" w:hAnsi="Arial" w:cs="Arial"/>
          <w:szCs w:val="28"/>
          <w:lang w:eastAsia="ru-RU"/>
        </w:rPr>
        <w:t>, а за відмову від ісламу — страту. </w:t>
      </w:r>
      <w:r w:rsidRPr="00511005">
        <w:rPr>
          <w:rFonts w:ascii="Arial" w:eastAsia="Times New Roman" w:hAnsi="Arial" w:cs="Arial"/>
          <w:szCs w:val="28"/>
          <w:lang w:val="uk-UA" w:eastAsia="ru-RU"/>
        </w:rPr>
        <w:t>П</w:t>
      </w:r>
      <w:r w:rsidRPr="00511005">
        <w:rPr>
          <w:rFonts w:ascii="Arial" w:eastAsia="Times New Roman" w:hAnsi="Arial" w:cs="Arial"/>
          <w:szCs w:val="28"/>
          <w:lang w:eastAsia="ru-RU"/>
        </w:rPr>
        <w:t>рихильники підкреслюють, що худуд мають стримуючий ефект і ґрунтуються на справедливості, адже їхнє застосування неможливе без незворотних доказів</w:t>
      </w:r>
      <w:r w:rsidRPr="00511005">
        <w:rPr>
          <w:rFonts w:ascii="Arial" w:eastAsia="Times New Roman" w:hAnsi="Arial" w:cs="Arial"/>
          <w:szCs w:val="28"/>
          <w:lang w:val="uk-UA" w:eastAsia="ru-RU"/>
        </w:rPr>
        <w:t xml:space="preserve">. Але варто підмітити, що сучасні мусульманські країни часто обмежують застосування худуд через тиск міжнародної спільноти та зміни в соціальних нормах. Критики по всьому світу </w:t>
      </w:r>
      <w:r w:rsidRPr="00511005">
        <w:rPr>
          <w:rFonts w:ascii="Arial" w:eastAsia="Times New Roman" w:hAnsi="Arial" w:cs="Arial"/>
          <w:szCs w:val="28"/>
          <w:lang w:eastAsia="ru-RU"/>
        </w:rPr>
        <w:t>вказують на жорстокість таких методів, порушення прав жінок</w:t>
      </w:r>
      <w:r w:rsidRPr="00511005">
        <w:rPr>
          <w:rFonts w:ascii="Arial" w:eastAsia="Times New Roman" w:hAnsi="Arial" w:cs="Arial"/>
          <w:szCs w:val="28"/>
          <w:lang w:val="uk-UA" w:eastAsia="ru-RU"/>
        </w:rPr>
        <w:t>, н</w:t>
      </w:r>
      <w:r w:rsidRPr="00511005">
        <w:rPr>
          <w:rFonts w:ascii="Arial" w:eastAsia="Times New Roman" w:hAnsi="Arial" w:cs="Arial"/>
          <w:szCs w:val="28"/>
          <w:lang w:eastAsia="ru-RU"/>
        </w:rPr>
        <w:t xml:space="preserve">априклад, </w:t>
      </w:r>
      <w:r w:rsidRPr="00511005">
        <w:rPr>
          <w:rFonts w:ascii="Arial" w:eastAsia="Times New Roman" w:hAnsi="Arial" w:cs="Arial"/>
          <w:szCs w:val="28"/>
          <w:lang w:val="uk-UA" w:eastAsia="ru-RU"/>
        </w:rPr>
        <w:t xml:space="preserve">щодо </w:t>
      </w:r>
      <w:r w:rsidRPr="00511005">
        <w:rPr>
          <w:rFonts w:ascii="Arial" w:eastAsia="Times New Roman" w:hAnsi="Arial" w:cs="Arial"/>
          <w:szCs w:val="28"/>
          <w:lang w:eastAsia="ru-RU"/>
        </w:rPr>
        <w:t>нерівн</w:t>
      </w:r>
      <w:r w:rsidRPr="00511005">
        <w:rPr>
          <w:rFonts w:ascii="Arial" w:eastAsia="Times New Roman" w:hAnsi="Arial" w:cs="Arial"/>
          <w:szCs w:val="28"/>
          <w:lang w:val="uk-UA" w:eastAsia="ru-RU"/>
        </w:rPr>
        <w:t>о</w:t>
      </w:r>
      <w:r w:rsidRPr="00511005">
        <w:rPr>
          <w:rFonts w:ascii="Arial" w:eastAsia="Times New Roman" w:hAnsi="Arial" w:cs="Arial"/>
          <w:szCs w:val="28"/>
          <w:lang w:eastAsia="ru-RU"/>
        </w:rPr>
        <w:t>ст</w:t>
      </w:r>
      <w:r w:rsidRPr="00511005">
        <w:rPr>
          <w:rFonts w:ascii="Arial" w:eastAsia="Times New Roman" w:hAnsi="Arial" w:cs="Arial"/>
          <w:szCs w:val="28"/>
          <w:lang w:val="uk-UA" w:eastAsia="ru-RU"/>
        </w:rPr>
        <w:t>і</w:t>
      </w:r>
      <w:r w:rsidRPr="00511005">
        <w:rPr>
          <w:rFonts w:ascii="Arial" w:eastAsia="Times New Roman" w:hAnsi="Arial" w:cs="Arial"/>
          <w:szCs w:val="28"/>
          <w:lang w:eastAsia="ru-RU"/>
        </w:rPr>
        <w:t xml:space="preserve"> у доказуванні перелюбу</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та суперечність міжнародним стандартам прав людини.</w:t>
      </w:r>
    </w:p>
    <w:p w14:paraId="1810B26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Мусульманське право у своїй основі має численні моральні принципи, які суттєво впливають на зміст усього шаріату. </w:t>
      </w:r>
      <w:r w:rsidRPr="00511005">
        <w:rPr>
          <w:rFonts w:ascii="Arial" w:eastAsia="Times New Roman" w:hAnsi="Arial" w:cs="Arial"/>
          <w:szCs w:val="28"/>
          <w:lang w:eastAsia="ru-RU"/>
        </w:rPr>
        <w:t>Однак, вагомий вплив на життєву практику мусульман справляють звичаї та традиції, які часто суперечать основним правам та свободам людини, і можливо тому не скрізь у світі країни ісламу можуть пишатися належним станом дотримання прав людини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[3]</w:t>
      </w:r>
    </w:p>
    <w:p w14:paraId="5398C1C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Однією з найболючіших проблем у сфері захисту прав і свобод у багатьох мусульманських країнах залишається гендерна нерівність, особливо щодо прав жінок. Ісламське право, засноване на шаріаті, інституційно закріплює домінуючу роль чоловіка у сімейних відносинах, </w:t>
      </w:r>
      <w:r w:rsidRPr="00511005">
        <w:rPr>
          <w:rFonts w:ascii="Arial" w:eastAsia="Times New Roman" w:hAnsi="Arial" w:cs="Arial"/>
          <w:szCs w:val="28"/>
          <w:lang w:eastAsia="ru-RU"/>
        </w:rPr>
        <w:lastRenderedPageBreak/>
        <w:t>обмежуючи автономію жінок у ключових аспектах життя. Згідно з цими нормами, жінка не має права самостійно ухвалювати рішення щодо придбання майна, вибору місця проживання чи навіть виходу з дому без дозволу чоловіка. Її роль часто зводиться до виконання домашніх обов’язків, таких як приготування їжі, догляд за домом та підтримання потреб чоловіка, тоді як відмова від цих функцій може призвести до санкцій — від обмеження у фінансовому забезпеченні до фізичного покарання. Чоловік, у свою чергу, має право вимагати підкорення у побутових та інтимних питаннях, а непокора дружини розглядається як правопорушення, що легітимізує його дії.</w:t>
      </w:r>
    </w:p>
    <w:p w14:paraId="264FD20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Такі норми не лише породжують системну дискримінацію, але й ускладнюють доступ жінок до правосуддя, залишаючи їх у залежності від доброї волі чоловіків. Ця ситуація викликає критику з боку міжнародних організацій, які наголошують на необхідності реформ у поєднанні з повагою до культурних традицій.</w:t>
      </w:r>
    </w:p>
    <w:p w14:paraId="5F3845DB" w14:textId="27BBEE10"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Ісламська традиція передбачає суворі норми відокремлення жінок від чоловіків, які не є їхніми родичами, не тільки у домашньому середовищі, але і, загалом, громадських просторах. Цей принцип ґрунтується на концепції хараму — системі деяких заборон, спрямованих на обмеження контактів жінок зі сторонніми чоловіками для збереження «моральної та духовної чистоти». Одним із ключових інструментів ізоляції виступає спеціальний одяг, з яких найбільш розповсюдженим і впізнаваним є паранджа.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Вона</w:t>
      </w:r>
      <w:r w:rsidRPr="00511005">
        <w:rPr>
          <w:rFonts w:ascii="Arial" w:eastAsia="Times New Roman" w:hAnsi="Arial" w:cs="Arial"/>
          <w:szCs w:val="28"/>
          <w:lang w:eastAsia="ru-RU"/>
        </w:rPr>
        <w:t>, як елемент традиційного жіночого одягу в окремих мусульманських культурах, виконує кілька функцій, що тісно переплітаються з релігійними, культурними та соціальними аспектами. Насамперед</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символізує скромніст</w:t>
      </w:r>
      <w:r w:rsidRPr="00511005">
        <w:rPr>
          <w:rFonts w:ascii="Arial" w:eastAsia="Times New Roman" w:hAnsi="Arial" w:cs="Arial"/>
          <w:szCs w:val="28"/>
          <w:lang w:val="uk-UA" w:eastAsia="ru-RU"/>
        </w:rPr>
        <w:t>ь</w:t>
      </w:r>
      <w:r w:rsidRPr="00511005">
        <w:rPr>
          <w:rFonts w:ascii="Arial" w:eastAsia="Times New Roman" w:hAnsi="Arial" w:cs="Arial"/>
          <w:szCs w:val="28"/>
          <w:lang w:eastAsia="ru-RU"/>
        </w:rPr>
        <w:t> і підкорення нормам ісламу, зокрема принципу хіджабу — прикриття тіла на публіці, щоб уникнути</w:t>
      </w:r>
      <w:r w:rsidRPr="00511005">
        <w:rPr>
          <w:rFonts w:ascii="Arial" w:eastAsia="Times New Roman" w:hAnsi="Arial" w:cs="Arial"/>
          <w:szCs w:val="28"/>
          <w:lang w:val="uk-UA" w:eastAsia="ru-RU"/>
        </w:rPr>
        <w:t xml:space="preserve"> зваблення та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поглядів</w:t>
      </w:r>
      <w:r w:rsidRPr="00511005">
        <w:rPr>
          <w:rFonts w:ascii="Arial" w:eastAsia="Times New Roman" w:hAnsi="Arial" w:cs="Arial"/>
          <w:szCs w:val="28"/>
          <w:lang w:eastAsia="ru-RU"/>
        </w:rPr>
        <w:t xml:space="preserve"> сторонніх чоловіків. Паранджа, яка повністю закриває фігуру, волосся та обличчя (часто залишаючи лише сітчастий отвір для очей), інтерпретується як вияв поваги до релігійних заповідей і соціальних очікувань.</w:t>
      </w:r>
    </w:p>
    <w:p w14:paraId="0CDCC61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Менш відомими є чадра, хауля, яшмак чи чачван. Дизайн цих накидок відрізняється залежно від регіону мусульманства. Наприклад, паранджа в Афганістані приховує все тіло, а яшмак у Середній Азії закриває лише нижню частину обличчя. Їхня суть залишається незмінною — максимально приховати жіночість. Головним критерієм є повне закриття волосся, обличчя (або його частини) та силуету, що символізує повагу до соціальних та релігійних норм. Ці практики, з одного боку, інтерпретуються як захист гідності жінки, з іншого — критикуються як інструмент обмеження її свободи у суспільстві.</w:t>
      </w:r>
    </w:p>
    <w:p w14:paraId="0CA7360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Ще однією важливою складовою обмеження прав жінки є те, що у деяких правових школах свідчення жінки вважається не таким вагомим </w:t>
      </w:r>
      <w:r w:rsidRPr="00511005">
        <w:rPr>
          <w:rFonts w:ascii="Arial" w:eastAsia="Times New Roman" w:hAnsi="Arial" w:cs="Arial"/>
          <w:szCs w:val="28"/>
          <w:lang w:val="uk-UA" w:eastAsia="ru-RU"/>
        </w:rPr>
        <w:lastRenderedPageBreak/>
        <w:t>доказом, порівняно з чоловічим, що суперечить</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принципу рівності перед законом.</w:t>
      </w:r>
    </w:p>
    <w:p w14:paraId="05D122D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Обмеження свободи пересування є ще одним суттєвим обмеженням жіночих прав. Адже жінка в будь-якому випадку, без виключення , має просити дозвіл у чоловіка для подорожей, чи </w:t>
      </w:r>
      <w:r w:rsidRPr="00511005">
        <w:rPr>
          <w:rFonts w:ascii="Arial" w:eastAsia="Times New Roman" w:hAnsi="Arial" w:cs="Arial"/>
          <w:szCs w:val="28"/>
          <w:lang w:eastAsia="ru-RU"/>
        </w:rPr>
        <w:t>відвідування громадських місць</w:t>
      </w:r>
      <w:r w:rsidRPr="00511005">
        <w:rPr>
          <w:rFonts w:ascii="Arial" w:eastAsia="Times New Roman" w:hAnsi="Arial" w:cs="Arial"/>
          <w:szCs w:val="28"/>
          <w:lang w:val="uk-UA" w:eastAsia="ru-RU"/>
        </w:rPr>
        <w:t>.</w:t>
      </w:r>
      <w:r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lang w:eastAsia="ru-RU"/>
        </w:rPr>
        <w:t>Хоча Коран не забороняє жінкам самостійно пересуватися, деякі норми ісламського права (шаріату) та культурні традиції обмежують їхню автономію.</w:t>
      </w:r>
      <w:r w:rsidRPr="00511005">
        <w:rPr>
          <w:rFonts w:ascii="Arial" w:eastAsia="Times New Roman" w:hAnsi="Arial" w:cs="Arial"/>
          <w:szCs w:val="28"/>
          <w:lang w:val="uk-UA" w:eastAsia="ru-RU"/>
        </w:rPr>
        <w:t xml:space="preserve"> Такі норми рекомендують жінкам подорожувати на велику відстань разом з близьким родичем-чоловіком. Самі мусульмани говорять, що такий підхід гарантує захист жінки від можливих проблем та загроз. Але критики</w:t>
      </w:r>
      <w:r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lang w:eastAsia="ru-RU"/>
        </w:rPr>
        <w:t>стверджують, що такі обмеження часто перетворюються на інструмент контролю</w:t>
      </w:r>
      <w:r w:rsidRPr="00511005">
        <w:rPr>
          <w:rFonts w:ascii="Arial" w:eastAsia="Times New Roman" w:hAnsi="Arial" w:cs="Arial"/>
          <w:szCs w:val="28"/>
          <w:lang w:val="uk-UA" w:eastAsia="ru-RU"/>
        </w:rPr>
        <w:t>.</w:t>
      </w:r>
    </w:p>
    <w:p w14:paraId="433303C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Не можна сказати по те, що всі права передбачаються лише Кораном І Сунною, адже є назвичайно важливі документи, такі як Каїрська декларація та Арабська хартія прав людини. </w:t>
      </w:r>
    </w:p>
    <w:p w14:paraId="1723AE9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Каїрська декларація прав людини в ісламі складається з Преамбули та 25 статей, які поєднують засади релігійної ідентичності з практичними нормами прав людини. Ряд положень підкреслюють першість ісламу як основи духовного життя та шаріату як ключового джерела для формування законодавчих норм. Інші статті охоплюють широкий спектр суспільних аспектів, від загальних прав людини, гарантій рівності жінок, доступу до освіти та заборони тортур або взяття заручників до регулювання збройних конфліктів. В</w:t>
      </w:r>
      <w:r w:rsidRPr="00511005">
        <w:rPr>
          <w:rFonts w:ascii="Arial" w:eastAsia="Times New Roman" w:hAnsi="Arial" w:cs="Arial"/>
          <w:szCs w:val="28"/>
          <w:lang w:eastAsia="ru-RU"/>
        </w:rPr>
        <w:t>становлює правила ведення війни, засуджує колоніалізм</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забороняє свавілне позбавлення волі, тортури та медичні експерименти над людьми без їхньої згоди. Таким чином, декларація поєднує релігійні принципи з конкретними правовими зобов’язаннями, включаючи захист від насильства під час військових дій.</w:t>
      </w:r>
    </w:p>
    <w:p w14:paraId="4EECFE5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Арабська хартія прав людини 2004 року визнає широкий спектр прав і свобод, охоплюючи громадянські, політичні, економічні та соціальні аспекти. </w:t>
      </w:r>
      <w:r w:rsidRPr="00511005">
        <w:rPr>
          <w:rFonts w:ascii="Arial" w:eastAsia="Times New Roman" w:hAnsi="Arial" w:cs="Arial"/>
          <w:szCs w:val="28"/>
          <w:lang w:eastAsia="ru-RU"/>
        </w:rPr>
        <w:t>Серед громадянських прав вона гарантує право на життя, особисту свободу, безпеку, повагу до приватного та сімейного життя, право на шлюб, захист сім’ї, приватну власність, вільне пересування, громадянство та політичний притулок. У сфері правосуддя Хартія закріплює презумпцію невинуватості, принцип законності покарань, право на справедливий судовий розгляд незалежним судом, забороняє свавільні арешти, тортури та неетичні медичні практики.</w:t>
      </w:r>
    </w:p>
    <w:p w14:paraId="74E7222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Політичні свободи включають право на вільне висловлювання думок, мирні зібрання, створення асоціацій і профспілок, проведення страйків, свободу віросповідання та доступ до інформації. У економічній та соціальній сфері Хартія забезпечує право на охорону здоров’я, працю, достатній життєвий рівень, а також спеціальні права для людей з інвалідністю. Таким </w:t>
      </w:r>
      <w:r w:rsidRPr="00511005">
        <w:rPr>
          <w:rFonts w:ascii="Arial" w:eastAsia="Times New Roman" w:hAnsi="Arial" w:cs="Arial"/>
          <w:szCs w:val="28"/>
          <w:lang w:eastAsia="ru-RU"/>
        </w:rPr>
        <w:lastRenderedPageBreak/>
        <w:t>чином, документ поєднує класичні права людини з сучасними соціальними гарантіями, прагнучи захистити інтереси особистості в різних сферах життя.</w:t>
      </w:r>
    </w:p>
    <w:p w14:paraId="62153ED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Арабська хартія прав людини 2004 р. визнає рівність чоловіків і жінок, але це робиться без посилання на їх рівність перед законом, а також не скасовує смертну кару. Водночас у ст. 7 Хартії вказується на те, що «смертна кара не повинна застосовуватися до людини у віці до 18 років, якщо інше прямо не зазначено в законах, чинних на момент вчинення злочину» [</w:t>
      </w:r>
      <w:r w:rsidRPr="00511005">
        <w:rPr>
          <w:rFonts w:ascii="Arial" w:eastAsia="Times New Roman" w:hAnsi="Arial" w:cs="Arial"/>
          <w:szCs w:val="28"/>
          <w:lang w:val="uk-UA" w:eastAsia="ru-RU"/>
        </w:rPr>
        <w:t>4</w:t>
      </w:r>
      <w:r w:rsidRPr="00511005">
        <w:rPr>
          <w:rFonts w:ascii="Arial" w:eastAsia="Times New Roman" w:hAnsi="Arial" w:cs="Arial"/>
          <w:szCs w:val="28"/>
          <w:lang w:eastAsia="ru-RU"/>
        </w:rPr>
        <w:t>]. Це положення прямо суперечить ст. 37 Конвенції про права дитини 1989 р. [</w:t>
      </w:r>
      <w:r w:rsidRPr="00511005">
        <w:rPr>
          <w:rFonts w:ascii="Arial" w:eastAsia="Times New Roman" w:hAnsi="Arial" w:cs="Arial"/>
          <w:szCs w:val="28"/>
          <w:lang w:val="uk-UA" w:eastAsia="ru-RU"/>
        </w:rPr>
        <w:t>5</w:t>
      </w:r>
      <w:r w:rsidRPr="00511005">
        <w:rPr>
          <w:rFonts w:ascii="Arial" w:eastAsia="Times New Roman" w:hAnsi="Arial" w:cs="Arial"/>
          <w:szCs w:val="28"/>
          <w:lang w:eastAsia="ru-RU"/>
        </w:rPr>
        <w:t>] та ст. 6 Національні та міжнародні механізми захисту прав людини 85 Міжнародного пакту про громадянські і політичні права 1966 р. [</w:t>
      </w:r>
      <w:r w:rsidRPr="00511005">
        <w:rPr>
          <w:rFonts w:ascii="Arial" w:eastAsia="Times New Roman" w:hAnsi="Arial" w:cs="Arial"/>
          <w:szCs w:val="28"/>
          <w:lang w:val="uk-UA" w:eastAsia="ru-RU"/>
        </w:rPr>
        <w:t>6</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64191C9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Отже, можна дійти висновку, що права жінки в ісламі — це комплексна та багатогранна тема, яка поєднує релігійні догми, історичний контекст і сучасні суспільні трансформації. Так, Коран визнав деякі суттєво-важливі права жінок, такі як </w:t>
      </w:r>
      <w:r w:rsidRPr="00511005">
        <w:rPr>
          <w:rFonts w:ascii="Arial" w:eastAsia="Times New Roman" w:hAnsi="Arial" w:cs="Arial"/>
          <w:szCs w:val="28"/>
          <w:lang w:eastAsia="ru-RU"/>
        </w:rPr>
        <w:t>заборона вбивства новонароджених дівчаток, право на шлюб із згоди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а не примусу, майнову незалежність та доступ до освіти.</w:t>
      </w:r>
      <w:r w:rsidRPr="00511005">
        <w:rPr>
          <w:rFonts w:ascii="Arial" w:eastAsia="Times New Roman" w:hAnsi="Arial" w:cs="Arial"/>
          <w:szCs w:val="28"/>
          <w:lang w:val="uk-UA" w:eastAsia="ru-RU"/>
        </w:rPr>
        <w:t xml:space="preserve"> Але деякі права все ще не є гарантованими і забезпеченими для жінок, що створює прогалину в даній системі захисту прав людини. П</w:t>
      </w:r>
      <w:r w:rsidRPr="00511005">
        <w:rPr>
          <w:rFonts w:ascii="Arial" w:eastAsia="Times New Roman" w:hAnsi="Arial" w:cs="Arial"/>
          <w:szCs w:val="28"/>
          <w:lang w:eastAsia="ru-RU"/>
        </w:rPr>
        <w:t>рава жінки в ісламі — це динамічна система, де релігійні ідеали часто стикаються з культурними звичаями, політичними режимами та суспільними стереотипами</w:t>
      </w:r>
      <w:r w:rsidRPr="00511005">
        <w:rPr>
          <w:rFonts w:ascii="Arial" w:eastAsia="Times New Roman" w:hAnsi="Arial" w:cs="Arial"/>
          <w:szCs w:val="28"/>
          <w:lang w:val="uk-UA" w:eastAsia="ru-RU"/>
        </w:rPr>
        <w:t>, і в першу чергу з міжнародним критикуванням та соціальними потребами і змінами.</w:t>
      </w:r>
    </w:p>
    <w:p w14:paraId="3269CBA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1FB7A65C" w14:textId="4DBCFE00"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6375CA3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1. Левчук М. В. Концепція прав і свобод людини в мусульманському праві // Право.ua. – 2015.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300" w:history="1">
        <w:r w:rsidRPr="00511005">
          <w:rPr>
            <w:rFonts w:ascii="Arial" w:eastAsia="Times New Roman" w:hAnsi="Arial" w:cs="Arial"/>
            <w:szCs w:val="28"/>
            <w:lang w:eastAsia="ru-RU"/>
          </w:rPr>
          <w:t>http://irbisnbuv.gov.ua/cgibin/irbis_nbuv/cgiirbis_64.exe?C21COM=2&amp;I21DBN=UJRN&amp;P21DBN=UJRN&amp;IMAGE_FILE_DOWNLOAD=1&amp;Image_file_name=PDF/pravo_2015_2_3.pdf</w:t>
        </w:r>
      </w:hyperlink>
      <w:r w:rsidRPr="00511005">
        <w:rPr>
          <w:rFonts w:ascii="Arial" w:eastAsia="Times New Roman" w:hAnsi="Arial" w:cs="Arial"/>
          <w:szCs w:val="28"/>
          <w:lang w:val="uk-UA" w:eastAsia="ru-RU"/>
        </w:rPr>
        <w:t xml:space="preserve"> Дата звернення: 01.05.2025</w:t>
      </w:r>
    </w:p>
    <w:p w14:paraId="38DBCC6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 Сюк</w:t>
      </w:r>
      <w:r w:rsidRPr="00511005">
        <w:rPr>
          <w:rFonts w:ascii="Arial" w:eastAsia="Times New Roman" w:hAnsi="Arial" w:cs="Arial"/>
          <w:szCs w:val="28"/>
          <w:lang w:val="uk-UA" w:eastAsia="ru-RU"/>
        </w:rPr>
        <w:t>і</w:t>
      </w:r>
      <w:r w:rsidRPr="00511005">
        <w:rPr>
          <w:rFonts w:ascii="Arial" w:eastAsia="Times New Roman" w:hAnsi="Arial" w:cs="Arial"/>
          <w:szCs w:val="28"/>
          <w:lang w:eastAsia="ru-RU"/>
        </w:rPr>
        <w:t xml:space="preserve">яйнен Л.Р. </w:t>
      </w:r>
      <w:r w:rsidRPr="00511005">
        <w:rPr>
          <w:rFonts w:ascii="Arial" w:eastAsia="Times New Roman" w:hAnsi="Arial" w:cs="Arial"/>
          <w:szCs w:val="28"/>
          <w:lang w:val="uk-UA" w:eastAsia="ru-RU"/>
        </w:rPr>
        <w:t>Права людини в ісламі: теоретичні основи</w:t>
      </w:r>
      <w:r w:rsidRPr="00511005">
        <w:rPr>
          <w:rFonts w:ascii="Arial" w:eastAsia="Times New Roman" w:hAnsi="Arial" w:cs="Arial"/>
          <w:szCs w:val="28"/>
          <w:lang w:eastAsia="ru-RU"/>
        </w:rPr>
        <w:t xml:space="preserve"> / – </w:t>
      </w:r>
      <w:proofErr w:type="gramStart"/>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w:t>
      </w:r>
      <w:proofErr w:type="gramEnd"/>
      <w:r w:rsidRPr="00511005">
        <w:rPr>
          <w:rFonts w:ascii="Arial" w:eastAsia="Times New Roman" w:hAnsi="Arial" w:cs="Arial"/>
          <w:szCs w:val="28"/>
          <w:lang w:val="uk-UA" w:eastAsia="ru-RU"/>
        </w:rPr>
        <w:t xml:space="preserve"> </w:t>
      </w:r>
      <w:hyperlink r:id="rId301" w:history="1">
        <w:r w:rsidRPr="00511005">
          <w:rPr>
            <w:rFonts w:ascii="Arial" w:eastAsia="Times New Roman" w:hAnsi="Arial" w:cs="Arial"/>
            <w:szCs w:val="28"/>
            <w:lang w:eastAsia="ru-RU"/>
          </w:rPr>
          <w:t>www.hrinstitute.ru/suk.html</w:t>
        </w:r>
      </w:hyperlink>
      <w:r w:rsidRPr="00511005">
        <w:rPr>
          <w:rFonts w:ascii="Arial" w:eastAsia="Times New Roman" w:hAnsi="Arial" w:cs="Arial"/>
          <w:szCs w:val="28"/>
          <w:lang w:val="uk-UA" w:eastAsia="ru-RU"/>
        </w:rPr>
        <w:t xml:space="preserve"> Дата звернення: 01.05.2025</w:t>
      </w:r>
    </w:p>
    <w:p w14:paraId="633CF07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3</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ab/>
        <w:t>Чепульченко Т.О. Права людини в ісламі / Чепульченко Т.О. // Вісник НТУУ "КПІ". Політологія. Соціологія. Право : збірник наукових праць. – 2011. – № 1 (9). – С. 166–171. – Бібліогр.: 12назв.</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302" w:history="1">
        <w:r w:rsidRPr="00511005">
          <w:rPr>
            <w:rFonts w:ascii="Arial" w:eastAsia="Times New Roman" w:hAnsi="Arial" w:cs="Arial"/>
            <w:szCs w:val="28"/>
            <w:lang w:val="uk-UA" w:eastAsia="ru-RU"/>
          </w:rPr>
          <w:t>http://ela.kpi.ua/handle/123456789/4935</w:t>
        </w:r>
      </w:hyperlink>
      <w:r w:rsidRPr="00511005">
        <w:rPr>
          <w:rFonts w:ascii="Arial" w:eastAsia="Times New Roman" w:hAnsi="Arial" w:cs="Arial"/>
          <w:szCs w:val="28"/>
          <w:lang w:val="uk-UA" w:eastAsia="ru-RU"/>
        </w:rPr>
        <w:t xml:space="preserve"> Дата звернення: 30.04.2025</w:t>
      </w:r>
    </w:p>
    <w:p w14:paraId="33E1104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4</w:t>
      </w:r>
      <w:r w:rsidRPr="00511005">
        <w:rPr>
          <w:rFonts w:ascii="Arial" w:eastAsia="Times New Roman" w:hAnsi="Arial" w:cs="Arial"/>
          <w:szCs w:val="28"/>
          <w:lang w:val="en-US" w:eastAsia="ru-RU"/>
        </w:rPr>
        <w:t>. Arab Charter of Human Rights: international document of LAD dated 23.05.2004 / University of Minnesota. Human rights library. URL:</w:t>
      </w:r>
      <w:r w:rsidRPr="00511005">
        <w:rPr>
          <w:rFonts w:ascii="Arial" w:eastAsia="Times New Roman" w:hAnsi="Arial" w:cs="Arial"/>
          <w:szCs w:val="28"/>
          <w:lang w:val="uk-UA" w:eastAsia="ru-RU"/>
        </w:rPr>
        <w:t xml:space="preserve"> </w:t>
      </w:r>
      <w:hyperlink r:id="rId303" w:history="1">
        <w:r w:rsidRPr="00511005">
          <w:rPr>
            <w:rFonts w:ascii="Arial" w:eastAsia="Times New Roman" w:hAnsi="Arial" w:cs="Arial"/>
            <w:szCs w:val="28"/>
            <w:lang w:val="uk-UA" w:eastAsia="ru-RU"/>
          </w:rPr>
          <w:t>http://hrlibrary.umn.edu/instree/loas2005.html?msource=UNWDEC19001&amp;tr=y&amp;auid=3337655</w:t>
        </w:r>
      </w:hyperlink>
      <w:r w:rsidRPr="00511005">
        <w:rPr>
          <w:rFonts w:ascii="Arial" w:eastAsia="Times New Roman" w:hAnsi="Arial" w:cs="Arial"/>
          <w:szCs w:val="28"/>
          <w:lang w:val="uk-UA" w:eastAsia="ru-RU"/>
        </w:rPr>
        <w:t xml:space="preserve"> </w:t>
      </w:r>
      <w:bookmarkStart w:id="37" w:name="_Hlk197384099"/>
      <w:r w:rsidRPr="00511005">
        <w:rPr>
          <w:rFonts w:ascii="Arial" w:eastAsia="Times New Roman" w:hAnsi="Arial" w:cs="Arial"/>
          <w:szCs w:val="28"/>
          <w:lang w:val="uk-UA" w:eastAsia="ru-RU"/>
        </w:rPr>
        <w:t>Дата звернення: 01.05.2025</w:t>
      </w:r>
      <w:bookmarkEnd w:id="37"/>
    </w:p>
    <w:p w14:paraId="5C39EC2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5</w:t>
      </w:r>
      <w:r w:rsidRPr="00511005">
        <w:rPr>
          <w:rFonts w:ascii="Arial" w:eastAsia="Times New Roman" w:hAnsi="Arial" w:cs="Arial"/>
          <w:szCs w:val="28"/>
          <w:lang w:eastAsia="ru-RU"/>
        </w:rPr>
        <w:t xml:space="preserve">. Конвенція про права </w:t>
      </w:r>
      <w:proofErr w:type="gramStart"/>
      <w:r w:rsidRPr="00511005">
        <w:rPr>
          <w:rFonts w:ascii="Arial" w:eastAsia="Times New Roman" w:hAnsi="Arial" w:cs="Arial"/>
          <w:szCs w:val="28"/>
          <w:lang w:eastAsia="ru-RU"/>
        </w:rPr>
        <w:t>дитини :</w:t>
      </w:r>
      <w:proofErr w:type="gramEnd"/>
      <w:r w:rsidRPr="00511005">
        <w:rPr>
          <w:rFonts w:ascii="Arial" w:eastAsia="Times New Roman" w:hAnsi="Arial" w:cs="Arial"/>
          <w:szCs w:val="28"/>
          <w:lang w:eastAsia="ru-RU"/>
        </w:rPr>
        <w:t xml:space="preserve"> міжнародний документ ООН від 20.11.1989 // База даних (БД) «Законодавство України» / Верховна Рада (ВР) </w:t>
      </w:r>
      <w:r w:rsidRPr="00511005">
        <w:rPr>
          <w:rFonts w:ascii="Arial" w:eastAsia="Times New Roman" w:hAnsi="Arial" w:cs="Arial"/>
          <w:szCs w:val="28"/>
          <w:lang w:eastAsia="ru-RU"/>
        </w:rPr>
        <w:lastRenderedPageBreak/>
        <w:t xml:space="preserve">України. URL: </w:t>
      </w:r>
      <w:hyperlink r:id="rId304" w:history="1">
        <w:r w:rsidRPr="00511005">
          <w:rPr>
            <w:rFonts w:ascii="Arial" w:eastAsia="Times New Roman" w:hAnsi="Arial" w:cs="Arial"/>
            <w:szCs w:val="28"/>
            <w:lang w:eastAsia="ru-RU"/>
          </w:rPr>
          <w:t>https://zakon.rada.gov.ua/laws/show/995_021</w:t>
        </w:r>
      </w:hyperlink>
      <w:r w:rsidRPr="00511005">
        <w:rPr>
          <w:rFonts w:ascii="Arial" w:eastAsia="Times New Roman" w:hAnsi="Arial" w:cs="Arial"/>
          <w:szCs w:val="28"/>
          <w:lang w:val="uk-UA" w:eastAsia="ru-RU"/>
        </w:rPr>
        <w:t xml:space="preserve"> Дата звернення: 29.04.2025</w:t>
      </w:r>
    </w:p>
    <w:p w14:paraId="352559C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6</w:t>
      </w:r>
      <w:r w:rsidRPr="00511005">
        <w:rPr>
          <w:rFonts w:ascii="Arial" w:eastAsia="Times New Roman" w:hAnsi="Arial" w:cs="Arial"/>
          <w:szCs w:val="28"/>
          <w:lang w:eastAsia="ru-RU"/>
        </w:rPr>
        <w:t xml:space="preserve">. Міжнародний пакт про громадянські і політичні </w:t>
      </w:r>
      <w:proofErr w:type="gramStart"/>
      <w:r w:rsidRPr="00511005">
        <w:rPr>
          <w:rFonts w:ascii="Arial" w:eastAsia="Times New Roman" w:hAnsi="Arial" w:cs="Arial"/>
          <w:szCs w:val="28"/>
          <w:lang w:eastAsia="ru-RU"/>
        </w:rPr>
        <w:t>права :</w:t>
      </w:r>
      <w:proofErr w:type="gramEnd"/>
      <w:r w:rsidRPr="00511005">
        <w:rPr>
          <w:rFonts w:ascii="Arial" w:eastAsia="Times New Roman" w:hAnsi="Arial" w:cs="Arial"/>
          <w:szCs w:val="28"/>
          <w:lang w:eastAsia="ru-RU"/>
        </w:rPr>
        <w:t xml:space="preserve"> міжнародний документ ООН від 16.12.1966 // БД «Законодавство України» / ВР України.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URL: </w:t>
      </w:r>
      <w:hyperlink r:id="rId305" w:history="1">
        <w:r w:rsidRPr="00511005">
          <w:rPr>
            <w:rFonts w:ascii="Arial" w:eastAsia="Times New Roman" w:hAnsi="Arial" w:cs="Arial"/>
            <w:szCs w:val="28"/>
            <w:lang w:eastAsia="ru-RU"/>
          </w:rPr>
          <w:t>https://zakon.rada.gov.ua/laws/show/995_043</w:t>
        </w:r>
      </w:hyperlink>
      <w:r w:rsidRPr="00511005">
        <w:rPr>
          <w:rFonts w:ascii="Arial" w:eastAsia="Times New Roman" w:hAnsi="Arial" w:cs="Arial"/>
          <w:szCs w:val="28"/>
          <w:lang w:val="uk-UA" w:eastAsia="ru-RU"/>
        </w:rPr>
        <w:t xml:space="preserve"> Дата звернення: 01.05.2025</w:t>
      </w:r>
    </w:p>
    <w:p w14:paraId="74F1F750"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01A9B7F8" w14:textId="722EC2B7"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захист прав людини, іслам, Коран, шаріат, міжнародне критикування, права жінок, сімейне право, покарання.</w:t>
      </w:r>
    </w:p>
    <w:p w14:paraId="67035AF7" w14:textId="0DA1709A"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 xml:space="preserve">human rights protection, Islam, Quran, Sharia, international criticism, women's rights, family law, </w:t>
      </w:r>
      <w:proofErr w:type="gramStart"/>
      <w:r w:rsidR="00220D3E" w:rsidRPr="00511005">
        <w:rPr>
          <w:rFonts w:ascii="Arial" w:eastAsia="Times New Roman" w:hAnsi="Arial" w:cs="Arial"/>
          <w:szCs w:val="28"/>
          <w:lang w:val="en-US" w:eastAsia="ru-RU"/>
        </w:rPr>
        <w:t>punishment.</w:t>
      </w:r>
      <w:r w:rsidR="00220D3E" w:rsidRPr="00511005">
        <w:rPr>
          <w:rFonts w:ascii="Arial" w:eastAsia="Times New Roman" w:hAnsi="Arial" w:cs="Arial"/>
          <w:szCs w:val="28"/>
          <w:lang w:val="uk-UA" w:eastAsia="ru-RU"/>
        </w:rPr>
        <w:t>.</w:t>
      </w:r>
      <w:proofErr w:type="gramEnd"/>
    </w:p>
    <w:p w14:paraId="06C5A694" w14:textId="7E345704" w:rsidR="00220D3E" w:rsidRPr="00511005" w:rsidRDefault="007B2628" w:rsidP="003A292D">
      <w:pPr>
        <w:tabs>
          <w:tab w:val="left" w:pos="709"/>
        </w:tabs>
        <w:spacing w:line="264" w:lineRule="auto"/>
        <w:jc w:val="left"/>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к.ю.н., доцент</w:t>
      </w:r>
      <w:r w:rsidRPr="00511005">
        <w:rPr>
          <w:rFonts w:ascii="Arial" w:eastAsia="Times New Roman" w:hAnsi="Arial" w:cs="Arial"/>
          <w:i/>
          <w:iCs/>
          <w:szCs w:val="28"/>
          <w:lang w:val="uk-UA" w:eastAsia="ru-RU"/>
        </w:rPr>
        <w:t xml:space="preserve"> </w:t>
      </w:r>
      <w:r w:rsidR="00220D3E" w:rsidRPr="00511005">
        <w:rPr>
          <w:rFonts w:ascii="Arial" w:eastAsia="Times New Roman" w:hAnsi="Arial" w:cs="Arial"/>
          <w:i/>
          <w:iCs/>
          <w:szCs w:val="28"/>
          <w:lang w:val="uk-UA" w:eastAsia="ru-RU"/>
        </w:rPr>
        <w:t>Гриб А.М.</w:t>
      </w:r>
    </w:p>
    <w:p w14:paraId="67942978" w14:textId="77777777" w:rsidR="00220D3E" w:rsidRPr="00511005" w:rsidRDefault="00220D3E" w:rsidP="003A292D">
      <w:pPr>
        <w:spacing w:line="264" w:lineRule="auto"/>
        <w:ind w:firstLine="0"/>
        <w:jc w:val="center"/>
        <w:rPr>
          <w:rFonts w:ascii="Arial" w:eastAsia="Times New Roman" w:hAnsi="Arial" w:cs="Arial"/>
          <w:b/>
          <w:bCs/>
          <w:i/>
          <w:iCs/>
          <w:szCs w:val="28"/>
          <w:lang w:val="uk-UA" w:eastAsia="ru-RU"/>
        </w:rPr>
      </w:pPr>
    </w:p>
    <w:p w14:paraId="3A07D927" w14:textId="2412AA89" w:rsidR="00220D3E" w:rsidRPr="00511005" w:rsidRDefault="00220D3E"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b/>
          <w:bCs/>
          <w:i/>
          <w:iCs/>
          <w:szCs w:val="28"/>
          <w:lang w:eastAsia="ru-RU"/>
        </w:rPr>
        <w:t>Гусак Єлизавета Валентинівна</w:t>
      </w:r>
    </w:p>
    <w:p w14:paraId="75D0FD90" w14:textId="69F0B53E" w:rsidR="008C34CC" w:rsidRPr="00511005" w:rsidRDefault="00536AAB"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6D9C666F" w14:textId="77777777" w:rsidR="008C34CC" w:rsidRPr="00511005" w:rsidRDefault="008C34CC"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B207832" w14:textId="4A9D2503" w:rsidR="00220D3E"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27B00AE7" w14:textId="77777777" w:rsidR="00220D3E" w:rsidRPr="00511005" w:rsidRDefault="00220D3E" w:rsidP="003A292D">
      <w:pPr>
        <w:spacing w:line="264" w:lineRule="auto"/>
        <w:ind w:firstLine="0"/>
        <w:rPr>
          <w:rFonts w:ascii="Arial" w:eastAsia="Times New Roman" w:hAnsi="Arial" w:cs="Arial"/>
          <w:szCs w:val="28"/>
          <w:lang w:eastAsia="ru-RU"/>
        </w:rPr>
      </w:pPr>
    </w:p>
    <w:p w14:paraId="279F19C2" w14:textId="77777777" w:rsidR="00220D3E" w:rsidRPr="00511005" w:rsidRDefault="00220D3E" w:rsidP="003A292D">
      <w:pPr>
        <w:spacing w:line="264" w:lineRule="auto"/>
        <w:ind w:firstLine="720"/>
        <w:jc w:val="center"/>
        <w:rPr>
          <w:rFonts w:ascii="Arial" w:eastAsia="Times New Roman" w:hAnsi="Arial" w:cs="Arial"/>
          <w:szCs w:val="28"/>
          <w:lang w:eastAsia="ru-RU"/>
        </w:rPr>
      </w:pPr>
      <w:r w:rsidRPr="00511005">
        <w:rPr>
          <w:rFonts w:ascii="Arial" w:eastAsia="Times New Roman" w:hAnsi="Arial" w:cs="Arial"/>
          <w:b/>
          <w:bCs/>
          <w:iCs/>
          <w:szCs w:val="28"/>
          <w:lang w:eastAsia="ru-RU"/>
        </w:rPr>
        <w:t>ЗАХИСТ ПРАВ ЛЮДИНИ В УМОВАХ ЗБРОЙНИХ КОНФЛІКТІВ: СУЧАСНІ ВИКЛИКИ ТА МЕХАНІЗМИ</w:t>
      </w:r>
    </w:p>
    <w:p w14:paraId="1DABF927" w14:textId="77777777" w:rsidR="00220D3E" w:rsidRPr="00511005" w:rsidRDefault="00220D3E"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Проблематика захисту прав людини в умовах збройних конфліктів набуває особливої актуальності в сучасному світі, де, за даними Інституту дослідження збройних конфліктів, станом на 2024 рік налічується понад 40 активних збройних конфліктів різної інтенсивності. Статистика Управління Верховного комісара ООН з прав людини свідчить, що щорічно внаслідок збройних конфліктів страждають близько 12 мільйонів цивільних осіб, серед яких особливо вразливими категоріями є жінки, діти, люди похилого віку та особи з інвалідністю. Саме тому питання ефективності міжнародних та національних механізмів захисту прав людини в умовах збройних конфліктів залишається одним із найгостріших викликів для міжнародної спільноти.</w:t>
      </w:r>
    </w:p>
    <w:p w14:paraId="69820031" w14:textId="77777777" w:rsidR="00220D3E" w:rsidRPr="00511005" w:rsidRDefault="00220D3E"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Правове регулювання захисту прав людини під час збройних конфліктів здійснюється на основі комплексної системи міжнародно-правових норм, що включає міжнародне гуманітарне право та міжнародне право прав людини. Основу міжнародного гуманітарного права становлять Женевські конвенції 1949 року та Додаткові протоколи до них 1977 та 2005 років, які встановлюють правила ведення воєнних дій та захисту жертв збройних конфліктів [1, с. 45]. Міжнародне право прав людини представлене такими базовими документами, як Загальна декларація прав людини, Міжнародний пакт про громадянські і політичні права, Міжнародний пакт про економічні, соціальні і культурні права, а також низкою регіональних інструментів, зокрема Європейською конвенцією про захист прав людини і основоположних свобод [2, с. 72].</w:t>
      </w:r>
    </w:p>
    <w:p w14:paraId="3B4E4C64" w14:textId="77777777" w:rsidR="00220D3E" w:rsidRPr="00511005" w:rsidRDefault="00220D3E"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lastRenderedPageBreak/>
        <w:t>Сучасні виклики у сфері захисту прав людини під час збройних конфліктів характеризуються трансформацією самої природи конфліктів. На відміну від традиційних міждержавних воєн, сучасні збройні конфлікти часто мають гібридний характер, поєднуючи елементи асиметричної війни, тероризму, інформаційного протистояння та кіберзагроз [3, с. 118]. Таке розмивання меж між воєнними та цивільними цілями, між комбатантами та цивільним населенням призводить до нових викликів у сфері захисту прав людини, як зазначають Шевченко М. В. та Климович О. П. [2, с. 87].</w:t>
      </w:r>
    </w:p>
    <w:p w14:paraId="45D56415" w14:textId="77777777" w:rsidR="00220D3E" w:rsidRPr="00511005" w:rsidRDefault="00220D3E"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Особливої уваги потребує проблема насильства щодо цивільного населення під час збройних конфліктів. За даними міжнародних організацій, у сучасних конфліктах близько 90% жертв становлять цивільні особи, що суперечить принципу розрізнення між комбатантами та цивільним населенням [4, с. 134]. Серед найбільш поширених порушень прав людини в умовах збройних конфліктів – позасудові страти, тортури, сексуальне насильство, примусове переміщення, використання дітей у збройних формуваннях, блокування доступу до гуманітарної допомоги. Додатковим викликом є поширення практики зникнень безвісти, що залишає сім'ї в невизначеності щодо долі їхніх близьких.</w:t>
      </w:r>
    </w:p>
    <w:p w14:paraId="266D459C" w14:textId="77777777" w:rsidR="00220D3E" w:rsidRPr="00511005" w:rsidRDefault="00220D3E"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Аналіз міжнародного досвіду свідчить про існування різноманітних механізмів захисту прав людини в умовах збройних конфліктів. На глобальному рівні ключову роль відіграють міжнародні організації – ООН, зокрема Рада Безпеки, Рада з прав людини, Управління Верховного комісара ООН з прав людини, а також Міжнародний Комітет Червоного Хреста [5, с. 203]. Важливими інструментами притягнення до відповідальності за порушення прав людини під час збройних конфліктів є міжнародні судові органи, зокрема Міжнародний кримінальний суд, спеціальні трибунали, Європейський суд з прав людини. Як зазначають Гавриленко В. І. та Задорожна С. М., ефективність цих механізмів залежить від політичної волі держав, їхньої співпраці з міжнародними інституціями та імплементації міжнародних норм у національне законодавство [3, с. 95].</w:t>
      </w:r>
    </w:p>
    <w:p w14:paraId="49142C31" w14:textId="77777777" w:rsidR="00220D3E" w:rsidRPr="00511005" w:rsidRDefault="00220D3E"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Психологічні наслідки збройних конфліктів для постраждалого населення становлять окрему проблему, що потребує комплексного підходу. Дослідження Андрощук І. В. та Вітенко Л. К. свідчать про поширення посттравматичного стресового розладу, депресії, тривожних розладів серед осіб, які пережили збройний конфлікт [4, с. 112]. Особливо вразливими є діти, які зазнають психологічної травматизації не лише внаслідок безпосередньої загрози життю, але й через втрату близьких, переривання освітнього процесу, руйнування звичного соціального середовища.</w:t>
      </w:r>
    </w:p>
    <w:p w14:paraId="25F02852" w14:textId="77777777" w:rsidR="00220D3E" w:rsidRPr="00511005" w:rsidRDefault="00220D3E"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Важливим аспектом захисту прав людини в умовах збройних конфліктів є документування порушень для подальшого притягнення винних до відповідальності. Сучасні технології, зокрема супутникові знімки, аналіз відкритих джерел (</w:t>
      </w:r>
      <w:r w:rsidRPr="00511005">
        <w:rPr>
          <w:rFonts w:ascii="Arial" w:eastAsia="Times New Roman" w:hAnsi="Arial" w:cs="Arial"/>
          <w:szCs w:val="28"/>
          <w:lang w:val="en-US" w:eastAsia="ru-RU"/>
        </w:rPr>
        <w:t>OSINT</w:t>
      </w:r>
      <w:r w:rsidRPr="00511005">
        <w:rPr>
          <w:rFonts w:ascii="Arial" w:eastAsia="Times New Roman" w:hAnsi="Arial" w:cs="Arial"/>
          <w:szCs w:val="28"/>
          <w:lang w:eastAsia="ru-RU"/>
        </w:rPr>
        <w:t xml:space="preserve">), цифрова криміналістика, створюють нові </w:t>
      </w:r>
      <w:r w:rsidRPr="00511005">
        <w:rPr>
          <w:rFonts w:ascii="Arial" w:eastAsia="Times New Roman" w:hAnsi="Arial" w:cs="Arial"/>
          <w:szCs w:val="28"/>
          <w:lang w:eastAsia="ru-RU"/>
        </w:rPr>
        <w:lastRenderedPageBreak/>
        <w:t>можливості для збору доказів воєнних злочинів та порушень прав людини [5, с. 167]. Водночас, як зазначає Петрова І. С., існують проблеми забезпечення достовірності та допустимості таких доказів у міжнародних судових органах [1, с. 58].</w:t>
      </w:r>
    </w:p>
    <w:p w14:paraId="0947A770" w14:textId="77777777" w:rsidR="00220D3E" w:rsidRPr="00511005" w:rsidRDefault="00220D3E"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На підставі проведеного дослідження можна запропонувати наступні шляхи вдосконалення системи захисту прав людини в умовах збройних конфліктів:</w:t>
      </w:r>
    </w:p>
    <w:p w14:paraId="1CEF1868" w14:textId="77777777" w:rsidR="00220D3E" w:rsidRPr="00511005" w:rsidRDefault="00220D3E" w:rsidP="003F6A5D">
      <w:pPr>
        <w:numPr>
          <w:ilvl w:val="0"/>
          <w:numId w:val="199"/>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посилення превентивних механізмів, спрямованих на раннє виявлення та реагування на загрози масових порушень прав людини;</w:t>
      </w:r>
    </w:p>
    <w:p w14:paraId="1B880169" w14:textId="77777777" w:rsidR="00220D3E" w:rsidRPr="00511005" w:rsidRDefault="00220D3E" w:rsidP="003F6A5D">
      <w:pPr>
        <w:numPr>
          <w:ilvl w:val="0"/>
          <w:numId w:val="199"/>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розширення мандатів миротворчих місій ООН для ефективнішого захисту цивільного населення;</w:t>
      </w:r>
    </w:p>
    <w:p w14:paraId="4BAAD264" w14:textId="77777777" w:rsidR="00220D3E" w:rsidRPr="00511005" w:rsidRDefault="00220D3E" w:rsidP="003F6A5D">
      <w:pPr>
        <w:numPr>
          <w:ilvl w:val="0"/>
          <w:numId w:val="199"/>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вдосконалення системи моніторингу дотримання прав людини в зонах збройних конфліктів із залученням незалежних міжнародних спостерігачів;</w:t>
      </w:r>
    </w:p>
    <w:p w14:paraId="73561779" w14:textId="77777777" w:rsidR="00220D3E" w:rsidRPr="00511005" w:rsidRDefault="00220D3E" w:rsidP="003F6A5D">
      <w:pPr>
        <w:numPr>
          <w:ilvl w:val="0"/>
          <w:numId w:val="199"/>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розробка спеціальних програм психосоціальної підтримки для різних категорій постраждалих від збройних конфліктів;</w:t>
      </w:r>
    </w:p>
    <w:p w14:paraId="48CF724B" w14:textId="77777777" w:rsidR="00220D3E" w:rsidRPr="00511005" w:rsidRDefault="00220D3E" w:rsidP="003F6A5D">
      <w:pPr>
        <w:numPr>
          <w:ilvl w:val="0"/>
          <w:numId w:val="199"/>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створення комплексної системи документування порушень прав людини з використанням сучасних технологій та методик;</w:t>
      </w:r>
    </w:p>
    <w:p w14:paraId="59609278" w14:textId="77777777" w:rsidR="00220D3E" w:rsidRPr="00511005" w:rsidRDefault="00220D3E" w:rsidP="003F6A5D">
      <w:pPr>
        <w:numPr>
          <w:ilvl w:val="0"/>
          <w:numId w:val="199"/>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посилення національних механізмів імплементації норм міжнародного гуманітарного права та міжнародного права прав людини;</w:t>
      </w:r>
    </w:p>
    <w:p w14:paraId="68DFDCA9" w14:textId="77777777" w:rsidR="00220D3E" w:rsidRPr="00511005" w:rsidRDefault="00220D3E" w:rsidP="003F6A5D">
      <w:pPr>
        <w:numPr>
          <w:ilvl w:val="0"/>
          <w:numId w:val="199"/>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розвиток інституту перехідного правосуддя як інструменту подолання наслідків масових порушень прав людини під час збройних конфліктів.</w:t>
      </w:r>
    </w:p>
    <w:p w14:paraId="6F211BC7" w14:textId="77777777" w:rsidR="00220D3E" w:rsidRPr="00511005" w:rsidRDefault="00220D3E"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Таким чином, захист прав людини в умовах збройних конфліктів залишається складним викликом, що потребує комплексного підходу та співпраці міжнародної спільноти. Ефективне поєднання міжнародних та національних механізмів, вдосконалення правових інструментів та практичних заходів сприятиме забезпеченню гуманітарних стандартів та основоположних прав людини навіть у найбільш складних умовах збройних протистоянь.</w:t>
      </w:r>
    </w:p>
    <w:p w14:paraId="6433A012" w14:textId="77777777" w:rsidR="00220D3E" w:rsidRPr="00511005" w:rsidRDefault="00220D3E" w:rsidP="003A292D">
      <w:pPr>
        <w:spacing w:line="264" w:lineRule="auto"/>
        <w:ind w:firstLine="720"/>
        <w:rPr>
          <w:rFonts w:ascii="Arial" w:eastAsia="Times New Roman" w:hAnsi="Arial" w:cs="Arial"/>
          <w:szCs w:val="28"/>
          <w:lang w:val="uk-UA" w:eastAsia="ru-RU"/>
        </w:rPr>
      </w:pPr>
    </w:p>
    <w:p w14:paraId="2B90B944" w14:textId="77777777" w:rsidR="00220D3E" w:rsidRPr="00511005" w:rsidRDefault="00220D3E" w:rsidP="003A292D">
      <w:pPr>
        <w:spacing w:line="264" w:lineRule="auto"/>
        <w:ind w:firstLine="720"/>
        <w:rPr>
          <w:rFonts w:ascii="Arial" w:eastAsia="Times New Roman" w:hAnsi="Arial" w:cs="Arial"/>
          <w:szCs w:val="28"/>
          <w:lang w:val="uk-UA" w:eastAsia="ru-RU"/>
        </w:rPr>
      </w:pPr>
    </w:p>
    <w:p w14:paraId="6A2040AA" w14:textId="6BEE5625" w:rsidR="00220D3E" w:rsidRPr="00511005" w:rsidRDefault="007B2628" w:rsidP="007B2628">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725DA73A" w14:textId="77777777" w:rsidR="00220D3E" w:rsidRPr="00511005" w:rsidRDefault="00220D3E" w:rsidP="003F6A5D">
      <w:pPr>
        <w:numPr>
          <w:ilvl w:val="0"/>
          <w:numId w:val="200"/>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 xml:space="preserve">Петрова І. С. Міжнародне гуманітарне право: сучасні виклики та перспективи </w:t>
      </w:r>
      <w:proofErr w:type="gramStart"/>
      <w:r w:rsidRPr="00511005">
        <w:rPr>
          <w:rFonts w:ascii="Arial" w:eastAsia="Times New Roman" w:hAnsi="Arial" w:cs="Arial"/>
          <w:szCs w:val="28"/>
          <w:lang w:eastAsia="ru-RU"/>
        </w:rPr>
        <w:t>розвитку :</w:t>
      </w:r>
      <w:proofErr w:type="gramEnd"/>
      <w:r w:rsidRPr="00511005">
        <w:rPr>
          <w:rFonts w:ascii="Arial" w:eastAsia="Times New Roman" w:hAnsi="Arial" w:cs="Arial"/>
          <w:szCs w:val="28"/>
          <w:lang w:eastAsia="ru-RU"/>
        </w:rPr>
        <w:t xml:space="preserve"> навч. посіб. </w:t>
      </w:r>
      <w:proofErr w:type="gramStart"/>
      <w:r w:rsidRPr="00511005">
        <w:rPr>
          <w:rFonts w:ascii="Arial" w:eastAsia="Times New Roman" w:hAnsi="Arial" w:cs="Arial"/>
          <w:szCs w:val="28"/>
          <w:lang w:val="en-US" w:eastAsia="ru-RU"/>
        </w:rPr>
        <w:t>Київ :</w:t>
      </w:r>
      <w:proofErr w:type="gramEnd"/>
      <w:r w:rsidRPr="00511005">
        <w:rPr>
          <w:rFonts w:ascii="Arial" w:eastAsia="Times New Roman" w:hAnsi="Arial" w:cs="Arial"/>
          <w:szCs w:val="28"/>
          <w:lang w:val="en-US" w:eastAsia="ru-RU"/>
        </w:rPr>
        <w:t xml:space="preserve"> Алерта, 2023. 236 с.</w:t>
      </w:r>
    </w:p>
    <w:p w14:paraId="0DE54460" w14:textId="77777777" w:rsidR="00220D3E" w:rsidRPr="00511005" w:rsidRDefault="00220D3E" w:rsidP="003F6A5D">
      <w:pPr>
        <w:numPr>
          <w:ilvl w:val="0"/>
          <w:numId w:val="200"/>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 xml:space="preserve">Шевченко М. В., Климович О. П. Захист цивільного населення під час збройних конфліктів: міжнародно-правові </w:t>
      </w:r>
      <w:proofErr w:type="gramStart"/>
      <w:r w:rsidRPr="00511005">
        <w:rPr>
          <w:rFonts w:ascii="Arial" w:eastAsia="Times New Roman" w:hAnsi="Arial" w:cs="Arial"/>
          <w:szCs w:val="28"/>
          <w:lang w:eastAsia="ru-RU"/>
        </w:rPr>
        <w:t>аспекти :</w:t>
      </w:r>
      <w:proofErr w:type="gramEnd"/>
      <w:r w:rsidRPr="00511005">
        <w:rPr>
          <w:rFonts w:ascii="Arial" w:eastAsia="Times New Roman" w:hAnsi="Arial" w:cs="Arial"/>
          <w:szCs w:val="28"/>
          <w:lang w:eastAsia="ru-RU"/>
        </w:rPr>
        <w:t xml:space="preserve"> монографія. </w:t>
      </w:r>
      <w:proofErr w:type="gramStart"/>
      <w:r w:rsidRPr="00511005">
        <w:rPr>
          <w:rFonts w:ascii="Arial" w:eastAsia="Times New Roman" w:hAnsi="Arial" w:cs="Arial"/>
          <w:szCs w:val="28"/>
          <w:lang w:val="en-US" w:eastAsia="ru-RU"/>
        </w:rPr>
        <w:t>Харків :</w:t>
      </w:r>
      <w:proofErr w:type="gramEnd"/>
      <w:r w:rsidRPr="00511005">
        <w:rPr>
          <w:rFonts w:ascii="Arial" w:eastAsia="Times New Roman" w:hAnsi="Arial" w:cs="Arial"/>
          <w:szCs w:val="28"/>
          <w:lang w:val="en-US" w:eastAsia="ru-RU"/>
        </w:rPr>
        <w:t xml:space="preserve"> Право, 2022. 312 с.</w:t>
      </w:r>
    </w:p>
    <w:p w14:paraId="2F7CC45C" w14:textId="77777777" w:rsidR="00220D3E" w:rsidRPr="00511005" w:rsidRDefault="00220D3E" w:rsidP="003F6A5D">
      <w:pPr>
        <w:numPr>
          <w:ilvl w:val="0"/>
          <w:numId w:val="200"/>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 xml:space="preserve">Гавриленко В. І., Задорожна С. М. Міжнародні механізми захисту прав людини в умовах воєнних </w:t>
      </w:r>
      <w:proofErr w:type="gramStart"/>
      <w:r w:rsidRPr="00511005">
        <w:rPr>
          <w:rFonts w:ascii="Arial" w:eastAsia="Times New Roman" w:hAnsi="Arial" w:cs="Arial"/>
          <w:szCs w:val="28"/>
          <w:lang w:eastAsia="ru-RU"/>
        </w:rPr>
        <w:t>конфліктів :</w:t>
      </w:r>
      <w:proofErr w:type="gramEnd"/>
      <w:r w:rsidRPr="00511005">
        <w:rPr>
          <w:rFonts w:ascii="Arial" w:eastAsia="Times New Roman" w:hAnsi="Arial" w:cs="Arial"/>
          <w:szCs w:val="28"/>
          <w:lang w:eastAsia="ru-RU"/>
        </w:rPr>
        <w:t xml:space="preserve"> навч.-метод. посіб. </w:t>
      </w:r>
      <w:proofErr w:type="gramStart"/>
      <w:r w:rsidRPr="00511005">
        <w:rPr>
          <w:rFonts w:ascii="Arial" w:eastAsia="Times New Roman" w:hAnsi="Arial" w:cs="Arial"/>
          <w:szCs w:val="28"/>
          <w:lang w:val="en-US" w:eastAsia="ru-RU"/>
        </w:rPr>
        <w:t>Одеса :</w:t>
      </w:r>
      <w:proofErr w:type="gramEnd"/>
      <w:r w:rsidRPr="00511005">
        <w:rPr>
          <w:rFonts w:ascii="Arial" w:eastAsia="Times New Roman" w:hAnsi="Arial" w:cs="Arial"/>
          <w:szCs w:val="28"/>
          <w:lang w:val="en-US" w:eastAsia="ru-RU"/>
        </w:rPr>
        <w:t xml:space="preserve"> Фенікс, 2022. 184 с.</w:t>
      </w:r>
    </w:p>
    <w:p w14:paraId="6085BAB6" w14:textId="77777777" w:rsidR="00220D3E" w:rsidRPr="00511005" w:rsidRDefault="00220D3E" w:rsidP="003F6A5D">
      <w:pPr>
        <w:numPr>
          <w:ilvl w:val="0"/>
          <w:numId w:val="200"/>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Андрощук І. В., Вітенко Л. К. Психосоціальна підтримка жертв збройних конфліктів: міжнародний досвід та українські </w:t>
      </w:r>
      <w:proofErr w:type="gramStart"/>
      <w:r w:rsidRPr="00511005">
        <w:rPr>
          <w:rFonts w:ascii="Arial" w:eastAsia="Times New Roman" w:hAnsi="Arial" w:cs="Arial"/>
          <w:szCs w:val="28"/>
          <w:lang w:eastAsia="ru-RU"/>
        </w:rPr>
        <w:t>реалії :</w:t>
      </w:r>
      <w:proofErr w:type="gramEnd"/>
      <w:r w:rsidRPr="00511005">
        <w:rPr>
          <w:rFonts w:ascii="Arial" w:eastAsia="Times New Roman" w:hAnsi="Arial" w:cs="Arial"/>
          <w:szCs w:val="28"/>
          <w:lang w:eastAsia="ru-RU"/>
        </w:rPr>
        <w:t xml:space="preserve"> навч. посіб. </w:t>
      </w:r>
      <w:proofErr w:type="gramStart"/>
      <w:r w:rsidRPr="00511005">
        <w:rPr>
          <w:rFonts w:ascii="Arial" w:eastAsia="Times New Roman" w:hAnsi="Arial" w:cs="Arial"/>
          <w:szCs w:val="28"/>
          <w:lang w:val="en-US" w:eastAsia="ru-RU"/>
        </w:rPr>
        <w:t>Львів :</w:t>
      </w:r>
      <w:proofErr w:type="gramEnd"/>
      <w:r w:rsidRPr="00511005">
        <w:rPr>
          <w:rFonts w:ascii="Arial" w:eastAsia="Times New Roman" w:hAnsi="Arial" w:cs="Arial"/>
          <w:szCs w:val="28"/>
          <w:lang w:val="en-US" w:eastAsia="ru-RU"/>
        </w:rPr>
        <w:t xml:space="preserve"> Магнолія 2006, 2023. 228 с.</w:t>
      </w:r>
    </w:p>
    <w:p w14:paraId="0558C84A" w14:textId="77777777" w:rsidR="00220D3E" w:rsidRPr="00511005" w:rsidRDefault="00220D3E" w:rsidP="003F6A5D">
      <w:pPr>
        <w:numPr>
          <w:ilvl w:val="0"/>
          <w:numId w:val="200"/>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 xml:space="preserve">Деркаченко М. Р., Морозова К. В., Лук'янчук П. Т. Відповідальність за порушення міжнародного гуманітарного </w:t>
      </w:r>
      <w:proofErr w:type="gramStart"/>
      <w:r w:rsidRPr="00511005">
        <w:rPr>
          <w:rFonts w:ascii="Arial" w:eastAsia="Times New Roman" w:hAnsi="Arial" w:cs="Arial"/>
          <w:szCs w:val="28"/>
          <w:lang w:eastAsia="ru-RU"/>
        </w:rPr>
        <w:t>права :</w:t>
      </w:r>
      <w:proofErr w:type="gramEnd"/>
      <w:r w:rsidRPr="00511005">
        <w:rPr>
          <w:rFonts w:ascii="Arial" w:eastAsia="Times New Roman" w:hAnsi="Arial" w:cs="Arial"/>
          <w:szCs w:val="28"/>
          <w:lang w:eastAsia="ru-RU"/>
        </w:rPr>
        <w:t xml:space="preserve"> колективна монографія. </w:t>
      </w:r>
      <w:proofErr w:type="gramStart"/>
      <w:r w:rsidRPr="00511005">
        <w:rPr>
          <w:rFonts w:ascii="Arial" w:eastAsia="Times New Roman" w:hAnsi="Arial" w:cs="Arial"/>
          <w:szCs w:val="28"/>
          <w:lang w:val="en-US" w:eastAsia="ru-RU"/>
        </w:rPr>
        <w:t>Київ :</w:t>
      </w:r>
      <w:proofErr w:type="gramEnd"/>
      <w:r w:rsidRPr="00511005">
        <w:rPr>
          <w:rFonts w:ascii="Arial" w:eastAsia="Times New Roman" w:hAnsi="Arial" w:cs="Arial"/>
          <w:szCs w:val="28"/>
          <w:lang w:val="en-US" w:eastAsia="ru-RU"/>
        </w:rPr>
        <w:t xml:space="preserve"> Видавничий дім «Гельветика», 2022. 412 с.</w:t>
      </w:r>
    </w:p>
    <w:p w14:paraId="3A086F23" w14:textId="77777777" w:rsidR="00220D3E" w:rsidRPr="00511005" w:rsidRDefault="00220D3E" w:rsidP="003A292D">
      <w:pPr>
        <w:spacing w:line="264" w:lineRule="auto"/>
        <w:ind w:firstLine="720"/>
        <w:jc w:val="left"/>
        <w:rPr>
          <w:rFonts w:ascii="Arial" w:eastAsia="Times New Roman" w:hAnsi="Arial" w:cs="Arial"/>
          <w:b/>
          <w:bCs/>
          <w:szCs w:val="28"/>
          <w:lang w:val="uk-UA" w:eastAsia="ru-RU"/>
        </w:rPr>
      </w:pPr>
    </w:p>
    <w:p w14:paraId="709C6AA7" w14:textId="60BDB11E" w:rsidR="00220D3E" w:rsidRPr="00511005" w:rsidRDefault="007B2628" w:rsidP="003A292D">
      <w:pPr>
        <w:spacing w:line="264" w:lineRule="auto"/>
        <w:ind w:firstLine="72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збройні конфлікти, права людини, міжнародне гуманітарне право, цивільне населення, воєнні злочини, Женевські конвенції, міжнародна відповідальність, психосоціальна підтримка, документування порушень, перехідне правосуддя.</w:t>
      </w:r>
    </w:p>
    <w:p w14:paraId="3BB479CF" w14:textId="393CC5BC" w:rsidR="00220D3E" w:rsidRPr="00511005" w:rsidRDefault="007B2628" w:rsidP="003A292D">
      <w:pPr>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armed conflicts, human rights, international humanitarian law, civilian population, war crimes, Geneva Conventions, international responsibility, psychosocial support, documentation of violations, transitional justice.</w:t>
      </w:r>
    </w:p>
    <w:p w14:paraId="15B1DED5" w14:textId="1853A074" w:rsidR="00220D3E" w:rsidRPr="00511005" w:rsidRDefault="007B2628" w:rsidP="003A292D">
      <w:pPr>
        <w:tabs>
          <w:tab w:val="left" w:pos="709"/>
        </w:tabs>
        <w:spacing w:line="264" w:lineRule="auto"/>
        <w:jc w:val="left"/>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к.ю.н., доцент</w:t>
      </w:r>
      <w:r w:rsidRPr="00511005">
        <w:rPr>
          <w:rFonts w:ascii="Arial" w:eastAsia="Times New Roman" w:hAnsi="Arial" w:cs="Arial"/>
          <w:i/>
          <w:iCs/>
          <w:szCs w:val="28"/>
          <w:lang w:val="uk-UA" w:eastAsia="ru-RU"/>
        </w:rPr>
        <w:t xml:space="preserve"> </w:t>
      </w:r>
      <w:r w:rsidR="00220D3E" w:rsidRPr="00511005">
        <w:rPr>
          <w:rFonts w:ascii="Arial" w:eastAsia="Times New Roman" w:hAnsi="Arial" w:cs="Arial"/>
          <w:i/>
          <w:iCs/>
          <w:szCs w:val="28"/>
          <w:lang w:val="uk-UA" w:eastAsia="ru-RU"/>
        </w:rPr>
        <w:t>Гриб А.М.</w:t>
      </w:r>
    </w:p>
    <w:p w14:paraId="63BE42AE" w14:textId="77777777" w:rsidR="00220D3E" w:rsidRPr="00511005" w:rsidRDefault="00220D3E" w:rsidP="003A292D">
      <w:pPr>
        <w:tabs>
          <w:tab w:val="left" w:pos="709"/>
        </w:tabs>
        <w:spacing w:line="264" w:lineRule="auto"/>
        <w:ind w:firstLine="0"/>
        <w:jc w:val="left"/>
        <w:rPr>
          <w:rFonts w:ascii="Arial" w:eastAsia="Times New Roman" w:hAnsi="Arial" w:cs="Arial"/>
          <w:szCs w:val="28"/>
          <w:lang w:val="uk-UA" w:eastAsia="ru-RU"/>
        </w:rPr>
      </w:pPr>
    </w:p>
    <w:p w14:paraId="1510FAFC"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en-US" w:eastAsia="ru-RU"/>
        </w:rPr>
      </w:pPr>
      <w:r w:rsidRPr="00511005">
        <w:rPr>
          <w:rFonts w:ascii="Arial" w:eastAsia="Times New Roman" w:hAnsi="Arial" w:cs="Arial"/>
          <w:b/>
          <w:i/>
          <w:szCs w:val="28"/>
          <w:lang w:val="en-US" w:eastAsia="ru-RU"/>
        </w:rPr>
        <w:t xml:space="preserve">Hadzhyiev Amir </w:t>
      </w:r>
    </w:p>
    <w:p w14:paraId="47794CFE" w14:textId="3C770ECC" w:rsidR="00220D3E" w:rsidRPr="00511005" w:rsidRDefault="00220D3E" w:rsidP="003A292D">
      <w:pPr>
        <w:tabs>
          <w:tab w:val="left" w:pos="709"/>
        </w:tabs>
        <w:spacing w:line="264" w:lineRule="auto"/>
        <w:ind w:firstLine="0"/>
        <w:jc w:val="center"/>
        <w:rPr>
          <w:rFonts w:ascii="Arial" w:eastAsia="Times New Roman" w:hAnsi="Arial" w:cs="Arial"/>
          <w:i/>
          <w:szCs w:val="28"/>
          <w:lang w:val="en-US" w:eastAsia="ru-RU"/>
        </w:rPr>
      </w:pPr>
      <w:r w:rsidRPr="00511005">
        <w:rPr>
          <w:rFonts w:ascii="Arial" w:eastAsia="Times New Roman" w:hAnsi="Arial" w:cs="Arial"/>
          <w:bCs/>
          <w:i/>
          <w:iCs/>
          <w:szCs w:val="28"/>
          <w:lang w:val="en-US" w:eastAsia="ru-RU"/>
        </w:rPr>
        <w:t>4th year student of</w:t>
      </w:r>
      <w:r w:rsidR="007B2628" w:rsidRPr="00511005">
        <w:rPr>
          <w:rFonts w:ascii="Arial" w:eastAsia="Times New Roman" w:hAnsi="Arial" w:cs="Arial"/>
          <w:bCs/>
          <w:i/>
          <w:iCs/>
          <w:szCs w:val="28"/>
          <w:lang w:val="en-US" w:eastAsia="ru-RU"/>
        </w:rPr>
        <w:t xml:space="preserve"> </w:t>
      </w:r>
      <w:r w:rsidRPr="00511005">
        <w:rPr>
          <w:rFonts w:ascii="Arial" w:eastAsia="Times New Roman" w:hAnsi="Arial" w:cs="Arial"/>
          <w:bCs/>
          <w:i/>
          <w:iCs/>
          <w:szCs w:val="28"/>
          <w:lang w:val="en-US" w:eastAsia="ru-RU"/>
        </w:rPr>
        <w:t xml:space="preserve">Faculty of Civil and </w:t>
      </w:r>
      <w:r w:rsidRPr="00511005">
        <w:rPr>
          <w:rFonts w:ascii="Arial" w:eastAsia="Times New Roman" w:hAnsi="Arial" w:cs="Arial"/>
          <w:i/>
          <w:szCs w:val="28"/>
          <w:lang w:val="en-US" w:eastAsia="ru-RU"/>
        </w:rPr>
        <w:t>Economic Justice</w:t>
      </w:r>
    </w:p>
    <w:p w14:paraId="138B9600" w14:textId="77777777" w:rsidR="00220D3E" w:rsidRPr="00511005" w:rsidRDefault="00220D3E" w:rsidP="003A292D">
      <w:pPr>
        <w:tabs>
          <w:tab w:val="left" w:pos="709"/>
        </w:tabs>
        <w:spacing w:line="264" w:lineRule="auto"/>
        <w:ind w:firstLine="0"/>
        <w:jc w:val="center"/>
        <w:rPr>
          <w:rFonts w:ascii="Arial" w:eastAsia="Times New Roman" w:hAnsi="Arial" w:cs="Arial"/>
          <w:i/>
          <w:szCs w:val="28"/>
          <w:lang w:val="en-US" w:eastAsia="ru-RU"/>
        </w:rPr>
      </w:pPr>
      <w:r w:rsidRPr="00511005">
        <w:rPr>
          <w:rFonts w:ascii="Arial" w:eastAsia="Times New Roman" w:hAnsi="Arial" w:cs="Arial"/>
          <w:i/>
          <w:szCs w:val="28"/>
          <w:lang w:val="en-US" w:eastAsia="ru-RU"/>
        </w:rPr>
        <w:t xml:space="preserve">National University </w:t>
      </w:r>
      <w:r w:rsidRPr="00511005">
        <w:rPr>
          <w:rFonts w:ascii="Arial" w:eastAsia="Times New Roman" w:hAnsi="Arial" w:cs="Arial"/>
          <w:i/>
          <w:szCs w:val="28"/>
          <w:lang w:val="uk-UA" w:eastAsia="ru-RU"/>
        </w:rPr>
        <w:t>«</w:t>
      </w:r>
      <w:r w:rsidRPr="00511005">
        <w:rPr>
          <w:rFonts w:ascii="Arial" w:eastAsia="Times New Roman" w:hAnsi="Arial" w:cs="Arial"/>
          <w:i/>
          <w:szCs w:val="28"/>
          <w:lang w:val="en-US" w:eastAsia="ru-RU"/>
        </w:rPr>
        <w:t>Odesa Law Academy</w:t>
      </w:r>
      <w:r w:rsidRPr="00511005">
        <w:rPr>
          <w:rFonts w:ascii="Arial" w:eastAsia="Times New Roman" w:hAnsi="Arial" w:cs="Arial"/>
          <w:i/>
          <w:szCs w:val="28"/>
          <w:lang w:val="uk-UA" w:eastAsia="ru-RU"/>
        </w:rPr>
        <w:t>»</w:t>
      </w:r>
    </w:p>
    <w:p w14:paraId="6D063CCA"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en-US" w:eastAsia="ru-RU"/>
        </w:rPr>
      </w:pPr>
    </w:p>
    <w:p w14:paraId="2356F377"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en-US" w:eastAsia="ru-RU"/>
        </w:rPr>
      </w:pPr>
      <w:r w:rsidRPr="00511005">
        <w:rPr>
          <w:rFonts w:ascii="Arial" w:eastAsia="Times New Roman" w:hAnsi="Arial" w:cs="Arial"/>
          <w:b/>
          <w:szCs w:val="28"/>
          <w:lang w:val="en-US" w:eastAsia="ru-RU"/>
        </w:rPr>
        <w:t>CLIMATE CHANGE: GLOBAL WARMING AND ENVIRONMENTAL JUSTICE</w:t>
      </w:r>
    </w:p>
    <w:p w14:paraId="59C6ED3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Present-day climate change is an important issue in the nowadays society, because it directly affects the planet’s ecosystems, weather patterns, and human life in both the short and long term, whereas global warming – the ongoing increase in global average temperature, creates a new wave a new wave of unrest and desperate search for solutions. It makes a huge impact on the environment, surrounding us: rising temperatures lead to melting glaciers, rising sea levels, more intense wildfires, droughts, hurricanes, and loss of biodiversity. Climate change increases the spread of diseases, worsens air quality, and leads to heat-related illnesses and deaths, disrupts agriculture, reduces crop yields, and threatens freshwater supplies, impacting food availability and prices. Extreme weather damages infrastructure, disrupts supply chains, and increases costs for disaster response and recovery. Decisions made today will profoundly shape the quality of life for future generations. Global warming, a key driver of climate change, has far-reaching and detrimental effects on a wide array of fundamental human rights. These impacts are felt both directly through environmental changes and indirectly by exacerbating existing vulnerabilities and inequalities. As we take steps to address global warming, we must act in harmony with environmental justice — people, regardless of race, income, nationality, or gender, have the right to live in a clean and healthy environment, and to be protected equally from environmental hazards and harms.</w:t>
      </w:r>
    </w:p>
    <w:p w14:paraId="3F87B179"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 xml:space="preserve">In 1972, the first United Nations Conference on the Human Environment was held in the heart of Scandinavia, the capital of Sweden, Stockholm. It was a landmark event that radically changed the world’s approach to humanity’s environmental problems. Emerging from the conference was the Stockholm Declaration, a compilation of 26 core principles. This constituted the inaugural global ethical architecture for environmental preservation and governance. The principles themselves were comprehensive, spanning the duties of sovereign states in assuring environmental standards, the crucial role of sustainable resource handling, the significance of curbing pollution, and the intertwined nature of environmental health and development [1]. </w:t>
      </w:r>
    </w:p>
    <w:p w14:paraId="53B03BE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Two decades later, the next big step was taken: the United Nations Conference on Environment and Development (UNCED), also known as the so-called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Earth Summit</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was a landmark event held in Rio de Janeiro, Brazil, from 3 to 14 June 1992 [2]. It was a turning point in the global approach to sustainable development, bringing together representatives from 178 countries, including heads of state, government officials, and delegates from various organizations. The Earth Summit was significant for producing key document and establishing an important framework: </w:t>
      </w:r>
    </w:p>
    <w:p w14:paraId="2AF72207" w14:textId="77777777" w:rsidR="00220D3E" w:rsidRPr="00511005" w:rsidRDefault="00220D3E" w:rsidP="003F6A5D">
      <w:pPr>
        <w:numPr>
          <w:ilvl w:val="0"/>
          <w:numId w:val="93"/>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The Rio Declaration on Environment and Development, consisting of 27 principles designed to guide global efforts toward sustainable development. It expanded upon the Stockholm Declaration and highlighted the essential link between environmental protection and socio-economic progress.</w:t>
      </w:r>
    </w:p>
    <w:p w14:paraId="65E12BDA" w14:textId="77777777" w:rsidR="00220D3E" w:rsidRPr="00511005" w:rsidRDefault="00220D3E" w:rsidP="003F6A5D">
      <w:pPr>
        <w:numPr>
          <w:ilvl w:val="0"/>
          <w:numId w:val="93"/>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United Nations Framework Convention on Climate Change (UNFCCC): A foundational treaty that established the basis for global cooperation in addressing climate change. It acknowledged the urgent need to stabilize greenhouse gas levels in the atmosphere to avoid harmful human impact on the climate system. The UNFCCC paved the way for subsequent agreements such as the Kyoto Protocol and the Paris Agreement.</w:t>
      </w:r>
    </w:p>
    <w:p w14:paraId="0A5C24B6" w14:textId="77777777" w:rsidR="00220D3E" w:rsidRPr="00511005" w:rsidRDefault="00220D3E" w:rsidP="003F6A5D">
      <w:pPr>
        <w:numPr>
          <w:ilvl w:val="0"/>
          <w:numId w:val="93"/>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Convention on Biological Diversity (CBD): An international agreement aimed at preserving biological diversity, promoting the sustainable use of its components, and ensuring fair and equitable benefit-sharing from the use of genetic resources.</w:t>
      </w:r>
    </w:p>
    <w:p w14:paraId="0BF91DC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 significant milestone in regional environmental efforts was achieved in 1998 with the signing of the Aarhus Convention—formally known as the UN Economic Commission for Europe (UNECE) Convention on Access to Information, Public Participation in Decision-making, and Access to Justice in Environmental Matters. Signed on 25 June 1998 in Aarhus, Denmark, it entered into force on 30 October 2001. As of March 2014, the Convention had 47 parties, including 46 states and the European Union, all located in Europe and Central Asia.</w:t>
      </w:r>
    </w:p>
    <w:p w14:paraId="6EF835F4"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Although the Aarhus Convention does not directly impose emission targets or specific climate policies, it plays an essential indirect role in addressing climate </w:t>
      </w:r>
      <w:r w:rsidRPr="00511005">
        <w:rPr>
          <w:rFonts w:ascii="Arial" w:eastAsia="Times New Roman" w:hAnsi="Arial" w:cs="Arial"/>
          <w:szCs w:val="28"/>
          <w:lang w:val="en-US" w:eastAsia="ru-RU"/>
        </w:rPr>
        <w:lastRenderedPageBreak/>
        <w:t>change. By promoting transparency, public engagement, and access to justice in environmental matters, it strengthens environmental governance—a critical foundation for effective climate action. The Convention enshrines principles such as access to information, informed public participation in decision-making, and legal recourse, thereby reinforcing the environmental rule of law [3, p. 517-533].</w:t>
      </w:r>
    </w:p>
    <w:p w14:paraId="4D86667A" w14:textId="77777777" w:rsidR="007B2628"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The big part is also played by the United Nations Human Rights Office </w:t>
      </w:r>
      <w:proofErr w:type="gramStart"/>
      <w:r w:rsidRPr="00511005">
        <w:rPr>
          <w:rFonts w:ascii="Arial" w:eastAsia="Times New Roman" w:hAnsi="Arial" w:cs="Arial"/>
          <w:szCs w:val="28"/>
          <w:lang w:val="en-US" w:eastAsia="ru-RU"/>
        </w:rPr>
        <w:t>Of</w:t>
      </w:r>
      <w:proofErr w:type="gramEnd"/>
      <w:r w:rsidRPr="00511005">
        <w:rPr>
          <w:rFonts w:ascii="Arial" w:eastAsia="Times New Roman" w:hAnsi="Arial" w:cs="Arial"/>
          <w:szCs w:val="28"/>
          <w:lang w:val="en-US" w:eastAsia="ru-RU"/>
        </w:rPr>
        <w:t xml:space="preserve"> The High Commissioner. According to their programme, with the 2030 Agenda and the Paris Agreement on Climate Change, OHCHR has a strategic goal to increase public awareness of environmental protection. This means that states will need to implement a number of significant measures to adapt to the rapidly changing pace of modernity and find ways to mitigate the consequences for those segments of the population that have been affected by global warming and climate change in general [4]. </w:t>
      </w:r>
    </w:p>
    <w:p w14:paraId="4154EB71" w14:textId="6D902272"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As a conclusion</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climate change and global warming represent the most urgent environmental challenges of our time, with far-reaching consequences for ecosystems, human health, food and water security, and global economic stability, making it essential for individuals, governments, and international organizations to take immediate and coordinated action to mitigate their impact and ensure a sustainable future.</w:t>
      </w:r>
    </w:p>
    <w:p w14:paraId="71D9275D" w14:textId="77777777" w:rsidR="00220D3E" w:rsidRPr="00511005" w:rsidRDefault="00220D3E" w:rsidP="003A292D">
      <w:pPr>
        <w:tabs>
          <w:tab w:val="left" w:pos="709"/>
        </w:tabs>
        <w:spacing w:line="264" w:lineRule="auto"/>
        <w:jc w:val="center"/>
        <w:rPr>
          <w:rFonts w:ascii="Arial" w:eastAsia="Times New Roman" w:hAnsi="Arial" w:cs="Arial"/>
          <w:szCs w:val="28"/>
          <w:lang w:val="en-US" w:eastAsia="ru-RU"/>
        </w:rPr>
      </w:pPr>
    </w:p>
    <w:p w14:paraId="32C80868"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References</w:t>
      </w:r>
    </w:p>
    <w:p w14:paraId="3EF74DBB" w14:textId="77777777" w:rsidR="00220D3E" w:rsidRPr="00511005" w:rsidRDefault="00220D3E" w:rsidP="003F6A5D">
      <w:pPr>
        <w:numPr>
          <w:ilvl w:val="0"/>
          <w:numId w:val="94"/>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Grieger, Andreas. </w:t>
      </w:r>
      <w:r w:rsidRPr="00511005">
        <w:rPr>
          <w:rFonts w:ascii="Arial" w:eastAsia="Calibri" w:hAnsi="Arial" w:cs="Arial"/>
          <w:szCs w:val="28"/>
          <w:lang w:val="uk-UA"/>
        </w:rPr>
        <w:t>«</w:t>
      </w:r>
      <w:r w:rsidRPr="00511005">
        <w:rPr>
          <w:rFonts w:ascii="Arial" w:eastAsia="Calibri" w:hAnsi="Arial" w:cs="Arial"/>
          <w:szCs w:val="28"/>
          <w:lang w:val="en-US"/>
        </w:rPr>
        <w:t>Only One Earth: Stockholm and the Beginning of Modern Environmental Diplomacy</w:t>
      </w:r>
      <w:r w:rsidRPr="00511005">
        <w:rPr>
          <w:rFonts w:ascii="Arial" w:eastAsia="Calibri" w:hAnsi="Arial" w:cs="Arial"/>
          <w:szCs w:val="28"/>
          <w:lang w:val="uk-UA"/>
        </w:rPr>
        <w:t xml:space="preserve">». </w:t>
      </w:r>
      <w:r w:rsidRPr="00511005">
        <w:rPr>
          <w:rFonts w:ascii="Arial" w:eastAsia="Calibri" w:hAnsi="Arial" w:cs="Arial"/>
          <w:szCs w:val="28"/>
          <w:lang w:val="en-US"/>
        </w:rPr>
        <w:t>Environment &amp; Society Portal, </w:t>
      </w:r>
      <w:r w:rsidRPr="00511005">
        <w:rPr>
          <w:rFonts w:ascii="Arial" w:eastAsia="Calibri" w:hAnsi="Arial" w:cs="Arial"/>
          <w:i/>
          <w:iCs/>
          <w:szCs w:val="28"/>
          <w:lang w:val="en-US"/>
        </w:rPr>
        <w:t>Arcadia</w:t>
      </w:r>
      <w:r w:rsidRPr="00511005">
        <w:rPr>
          <w:rFonts w:ascii="Arial" w:eastAsia="Calibri" w:hAnsi="Arial" w:cs="Arial"/>
          <w:szCs w:val="28"/>
          <w:lang w:val="en-US"/>
        </w:rPr>
        <w:t xml:space="preserve"> (2012), no. 10. Rachel Carson Center for Environment and Society. URL: </w:t>
      </w:r>
      <w:hyperlink r:id="rId306" w:history="1">
        <w:r w:rsidRPr="00511005">
          <w:rPr>
            <w:rFonts w:ascii="Arial" w:eastAsia="Calibri" w:hAnsi="Arial" w:cs="Arial"/>
            <w:szCs w:val="28"/>
            <w:lang w:val="en-US"/>
          </w:rPr>
          <w:t>https://www.environmentandsociety.org/arcadia/only-one-earth-stockholm-and-beginning-modern-environmental-diplomacy</w:t>
        </w:r>
      </w:hyperlink>
      <w:r w:rsidRPr="00511005">
        <w:rPr>
          <w:rFonts w:ascii="Arial" w:eastAsia="Calibri" w:hAnsi="Arial" w:cs="Arial"/>
          <w:szCs w:val="28"/>
          <w:lang w:val="en-US"/>
        </w:rPr>
        <w:t xml:space="preserve"> (</w:t>
      </w:r>
      <w:r w:rsidRPr="00511005">
        <w:rPr>
          <w:rFonts w:ascii="Arial" w:eastAsia="Calibri" w:hAnsi="Arial" w:cs="Arial"/>
          <w:i/>
          <w:szCs w:val="28"/>
          <w:lang w:val="en-US"/>
        </w:rPr>
        <w:t>accessed: 05.05.2025</w:t>
      </w:r>
      <w:r w:rsidRPr="00511005">
        <w:rPr>
          <w:rFonts w:ascii="Arial" w:eastAsia="Calibri" w:hAnsi="Arial" w:cs="Arial"/>
          <w:szCs w:val="28"/>
          <w:lang w:val="en-US"/>
        </w:rPr>
        <w:t xml:space="preserve">). </w:t>
      </w:r>
    </w:p>
    <w:p w14:paraId="306DD181" w14:textId="77777777" w:rsidR="00220D3E" w:rsidRPr="00511005" w:rsidRDefault="00220D3E" w:rsidP="003F6A5D">
      <w:pPr>
        <w:numPr>
          <w:ilvl w:val="0"/>
          <w:numId w:val="94"/>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United Nations Conference On Environment And Development Report by the Director-General, </w:t>
      </w:r>
      <w:proofErr w:type="gramStart"/>
      <w:r w:rsidRPr="00511005">
        <w:rPr>
          <w:rFonts w:ascii="Arial" w:eastAsia="Calibri" w:hAnsi="Arial" w:cs="Arial"/>
          <w:szCs w:val="28"/>
          <w:lang w:val="en-US"/>
        </w:rPr>
        <w:t>EB91/INF.DOC./</w:t>
      </w:r>
      <w:proofErr w:type="gramEnd"/>
      <w:r w:rsidRPr="00511005">
        <w:rPr>
          <w:rFonts w:ascii="Arial" w:eastAsia="Calibri" w:hAnsi="Arial" w:cs="Arial"/>
          <w:szCs w:val="28"/>
          <w:lang w:val="en-US"/>
        </w:rPr>
        <w:t xml:space="preserve">5, 12 November 1992. URL: </w:t>
      </w:r>
      <w:hyperlink r:id="rId307" w:history="1">
        <w:r w:rsidRPr="00511005">
          <w:rPr>
            <w:rFonts w:ascii="Arial" w:eastAsia="Calibri" w:hAnsi="Arial" w:cs="Arial"/>
            <w:szCs w:val="28"/>
            <w:lang w:val="en-US"/>
          </w:rPr>
          <w:t>https://iris.who.int/bitstream/handle/10665/171232/EB91_Inf.Doc-5_eng.pdf</w:t>
        </w:r>
      </w:hyperlink>
      <w:r w:rsidRPr="00511005">
        <w:rPr>
          <w:rFonts w:ascii="Arial" w:eastAsia="Calibri" w:hAnsi="Arial" w:cs="Arial"/>
          <w:szCs w:val="28"/>
          <w:lang w:val="en-US"/>
        </w:rPr>
        <w:t xml:space="preserve"> (</w:t>
      </w:r>
      <w:r w:rsidRPr="00511005">
        <w:rPr>
          <w:rFonts w:ascii="Arial" w:eastAsia="Calibri" w:hAnsi="Arial" w:cs="Arial"/>
          <w:i/>
          <w:szCs w:val="28"/>
          <w:lang w:val="en-US"/>
        </w:rPr>
        <w:t>accessed: 05.05.2025</w:t>
      </w:r>
      <w:r w:rsidRPr="00511005">
        <w:rPr>
          <w:rFonts w:ascii="Arial" w:eastAsia="Calibri" w:hAnsi="Arial" w:cs="Arial"/>
          <w:szCs w:val="28"/>
          <w:lang w:val="en-US"/>
        </w:rPr>
        <w:t>)</w:t>
      </w:r>
    </w:p>
    <w:p w14:paraId="000B2226" w14:textId="77777777" w:rsidR="00220D3E" w:rsidRPr="00511005" w:rsidRDefault="00220D3E" w:rsidP="003F6A5D">
      <w:pPr>
        <w:numPr>
          <w:ilvl w:val="0"/>
          <w:numId w:val="94"/>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Aarhus Convention. 1999. International Legal Materials 38 (3): 517–533. URL: </w:t>
      </w:r>
      <w:hyperlink r:id="rId308" w:history="1">
        <w:r w:rsidRPr="00511005">
          <w:rPr>
            <w:rFonts w:ascii="Arial" w:eastAsia="Calibri" w:hAnsi="Arial" w:cs="Arial"/>
            <w:szCs w:val="28"/>
            <w:lang w:val="en-US"/>
          </w:rPr>
          <w:t>https://treaties.un.org/Pages/ViewDetails.aspx?src=IND&amp;mtdsg_no=XXVII-13&amp;chapter=27</w:t>
        </w:r>
      </w:hyperlink>
      <w:r w:rsidRPr="00511005">
        <w:rPr>
          <w:rFonts w:ascii="Arial" w:eastAsia="Calibri" w:hAnsi="Arial" w:cs="Arial"/>
          <w:szCs w:val="28"/>
          <w:lang w:val="en-US"/>
        </w:rPr>
        <w:t xml:space="preserve"> (</w:t>
      </w:r>
      <w:r w:rsidRPr="00511005">
        <w:rPr>
          <w:rFonts w:ascii="Arial" w:eastAsia="Calibri" w:hAnsi="Arial" w:cs="Arial"/>
          <w:i/>
          <w:szCs w:val="28"/>
          <w:lang w:val="en-US"/>
        </w:rPr>
        <w:t>accessed: 05.05.2025</w:t>
      </w:r>
      <w:r w:rsidRPr="00511005">
        <w:rPr>
          <w:rFonts w:ascii="Arial" w:eastAsia="Calibri" w:hAnsi="Arial" w:cs="Arial"/>
          <w:szCs w:val="28"/>
          <w:lang w:val="en-US"/>
        </w:rPr>
        <w:t>)</w:t>
      </w:r>
    </w:p>
    <w:p w14:paraId="4629CEF1" w14:textId="77777777" w:rsidR="00220D3E" w:rsidRPr="00511005" w:rsidRDefault="005938AD" w:rsidP="003F6A5D">
      <w:pPr>
        <w:numPr>
          <w:ilvl w:val="0"/>
          <w:numId w:val="94"/>
        </w:numPr>
        <w:tabs>
          <w:tab w:val="left" w:pos="709"/>
        </w:tabs>
        <w:spacing w:line="264" w:lineRule="auto"/>
        <w:ind w:left="0" w:firstLine="709"/>
        <w:contextualSpacing/>
        <w:jc w:val="left"/>
        <w:rPr>
          <w:rFonts w:ascii="Arial" w:eastAsia="Calibri" w:hAnsi="Arial" w:cs="Arial"/>
          <w:bCs/>
          <w:szCs w:val="28"/>
          <w:shd w:val="clear" w:color="auto" w:fill="FFFFFF"/>
          <w:lang w:val="en-US"/>
        </w:rPr>
      </w:pPr>
      <w:hyperlink r:id="rId309" w:history="1">
        <w:r w:rsidR="00220D3E" w:rsidRPr="00511005">
          <w:rPr>
            <w:rFonts w:ascii="Arial" w:eastAsia="Calibri" w:hAnsi="Arial" w:cs="Arial"/>
            <w:szCs w:val="28"/>
            <w:lang w:val="en-US"/>
          </w:rPr>
          <w:t>A/RES/70/1 - Transforming our world: the 2030 Agenda for Sustainable Development</w:t>
        </w:r>
      </w:hyperlink>
      <w:r w:rsidR="00220D3E" w:rsidRPr="00511005">
        <w:rPr>
          <w:rFonts w:ascii="Arial" w:eastAsia="Calibri" w:hAnsi="Arial" w:cs="Arial"/>
          <w:szCs w:val="28"/>
          <w:lang w:val="en-US"/>
        </w:rPr>
        <w:t>. The UN General Assembly report, 21.10.2015</w:t>
      </w:r>
      <w:r w:rsidR="00220D3E" w:rsidRPr="00511005">
        <w:rPr>
          <w:rFonts w:ascii="Arial" w:eastAsia="Calibri" w:hAnsi="Arial" w:cs="Arial"/>
          <w:bCs/>
          <w:szCs w:val="28"/>
          <w:shd w:val="clear" w:color="auto" w:fill="FFFFFF"/>
          <w:lang w:val="en-US"/>
        </w:rPr>
        <w:t xml:space="preserve">. URL: </w:t>
      </w:r>
      <w:hyperlink r:id="rId310" w:history="1">
        <w:r w:rsidR="00220D3E" w:rsidRPr="00511005">
          <w:rPr>
            <w:rFonts w:ascii="Arial" w:eastAsia="Calibri" w:hAnsi="Arial" w:cs="Arial"/>
            <w:szCs w:val="28"/>
            <w:lang w:val="en-US"/>
          </w:rPr>
          <w:t>https://upload.wikimedia.org/wikipedia/commons/d/d5/N1529189.pdf</w:t>
        </w:r>
      </w:hyperlink>
      <w:r w:rsidR="00220D3E" w:rsidRPr="00511005">
        <w:rPr>
          <w:rFonts w:ascii="Arial" w:eastAsia="Calibri" w:hAnsi="Arial" w:cs="Arial"/>
          <w:szCs w:val="28"/>
          <w:lang w:val="en-US"/>
        </w:rPr>
        <w:t xml:space="preserve"> </w:t>
      </w:r>
      <w:r w:rsidR="00220D3E" w:rsidRPr="00511005">
        <w:rPr>
          <w:rFonts w:ascii="Arial" w:eastAsia="Calibri" w:hAnsi="Arial" w:cs="Arial"/>
          <w:bCs/>
          <w:szCs w:val="28"/>
          <w:lang w:val="en-US"/>
        </w:rPr>
        <w:t>(</w:t>
      </w:r>
      <w:r w:rsidR="00220D3E" w:rsidRPr="00511005">
        <w:rPr>
          <w:rFonts w:ascii="Arial" w:eastAsia="Calibri" w:hAnsi="Arial" w:cs="Arial"/>
          <w:bCs/>
          <w:i/>
          <w:szCs w:val="28"/>
          <w:lang w:val="en-US"/>
        </w:rPr>
        <w:t>accessed: 05.05.2025</w:t>
      </w:r>
      <w:r w:rsidR="00220D3E" w:rsidRPr="00511005">
        <w:rPr>
          <w:rFonts w:ascii="Arial" w:eastAsia="Calibri" w:hAnsi="Arial" w:cs="Arial"/>
          <w:bCs/>
          <w:szCs w:val="28"/>
          <w:lang w:val="en-US"/>
        </w:rPr>
        <w:t>)</w:t>
      </w:r>
    </w:p>
    <w:p w14:paraId="4CF4C3CD"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p>
    <w:p w14:paraId="65086530" w14:textId="12C4399A"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клімат, потепління, довкілля, конвенція, Стокгольм, Орхус, Ріо.</w:t>
      </w:r>
    </w:p>
    <w:p w14:paraId="0E1EDADA" w14:textId="145E0970"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lastRenderedPageBreak/>
        <w:t xml:space="preserve">Key words: </w:t>
      </w:r>
      <w:r w:rsidR="00220D3E" w:rsidRPr="00511005">
        <w:rPr>
          <w:rFonts w:ascii="Arial" w:eastAsia="Times New Roman" w:hAnsi="Arial" w:cs="Arial"/>
          <w:szCs w:val="28"/>
          <w:lang w:val="en-US" w:eastAsia="ru-RU"/>
        </w:rPr>
        <w:t>climate, warming, environment, convention, Stockholm, Aarhus, Rio.</w:t>
      </w:r>
    </w:p>
    <w:p w14:paraId="50BE8CB3" w14:textId="3E190865" w:rsidR="00220D3E" w:rsidRPr="00511005" w:rsidRDefault="006C2EDA" w:rsidP="003A292D">
      <w:pPr>
        <w:tabs>
          <w:tab w:val="left" w:pos="709"/>
        </w:tabs>
        <w:spacing w:line="264" w:lineRule="auto"/>
        <w:rPr>
          <w:rFonts w:ascii="Arial" w:eastAsia="Times New Roman" w:hAnsi="Arial" w:cs="Arial"/>
          <w:i/>
          <w:iCs/>
          <w:szCs w:val="28"/>
          <w:lang w:val="en-US"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Times New Roman" w:hAnsi="Arial" w:cs="Arial"/>
          <w:i/>
          <w:iCs/>
          <w:szCs w:val="28"/>
          <w:lang w:val="en-US" w:eastAsia="ru-RU"/>
        </w:rPr>
        <w:t>PhD in Law, Associate Professor Dronov V.</w:t>
      </w:r>
    </w:p>
    <w:p w14:paraId="39288F03"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640333B7"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Даниш Аліна Віталіївна</w:t>
      </w:r>
    </w:p>
    <w:p w14:paraId="69E3D436" w14:textId="05C500E2" w:rsidR="00220D3E" w:rsidRPr="00511005" w:rsidRDefault="00220D3E"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 xml:space="preserve">тудентка 4-го курсу </w:t>
      </w:r>
      <w:r w:rsidR="001B7B25" w:rsidRPr="00511005">
        <w:rPr>
          <w:rFonts w:ascii="Arial" w:eastAsia="Times New Roman" w:hAnsi="Arial" w:cs="Arial"/>
          <w:szCs w:val="28"/>
          <w:lang w:eastAsia="ru-RU"/>
        </w:rPr>
        <w:t>факультету судового та міжнародного права</w:t>
      </w:r>
      <w:r w:rsidRPr="00511005">
        <w:rPr>
          <w:rFonts w:ascii="Arial" w:eastAsia="Times New Roman" w:hAnsi="Arial" w:cs="Arial"/>
          <w:szCs w:val="28"/>
          <w:lang w:eastAsia="ru-RU"/>
        </w:rPr>
        <w:t xml:space="preserve"> </w:t>
      </w:r>
    </w:p>
    <w:p w14:paraId="64510890" w14:textId="1EE02F8A"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3C25A33"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220B20DC"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bookmarkStart w:id="38" w:name="_heading=h.4lxae9avm9vb" w:colFirst="0" w:colLast="0"/>
      <w:bookmarkEnd w:id="38"/>
      <w:r w:rsidRPr="00511005">
        <w:rPr>
          <w:rFonts w:ascii="Arial" w:eastAsia="Times New Roman" w:hAnsi="Arial" w:cs="Arial"/>
          <w:b/>
          <w:szCs w:val="28"/>
          <w:lang w:eastAsia="ru-RU"/>
        </w:rPr>
        <w:t xml:space="preserve">ПРОБЛЕМИ ЗАБЕЗПЕЧЕННЯ ПРАВ БІЖЕНЦІВ І ВНУТРІШНЬО ПЕРЕМІЩЕНИХ ОСІБ У КОНТЕКСТІ МІЖНАРОДНОГО ПРАВА </w:t>
      </w:r>
    </w:p>
    <w:p w14:paraId="1FF8529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Згідно зі статтею 1 Женевської конвенції про статус біженців, біженцем визнається особа, яка перебуває за межами країни свого громадянства через обґрунтований страх стати жертвою переслідувань за расовою, релігійною, національною ознакою, належністю до певної соціальної групи або через політичні переконання, і яка не може або не бажає скористатися захистом цієї держави через зазначені побоювання. Також біженцем вважається особа без громадянства, яка внаслідок аналогічних причин залишила країну свого постійного проживання та не має змоги або не бажає повернутися назад [3].</w:t>
      </w:r>
    </w:p>
    <w:p w14:paraId="14854D5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Механізм імплементації міжнародно-правових стандартів щодо захисту прав внутрішньо переміщених осіб (ВПО) доцільно розглядати як цілісну систему, що включає три ключові складові: по-перше, міжнародно-правові норми, які регламентують правовідносини з участю ВПО; по-друге, діяльність міжнародних організацій, що здійснюють реалізацію цих норм у сфері захисту ВПО; по-третє, спеціалізовані механізми та інструменти, покликані забезпечити дієвий захист прав внутрішньо переміщених осіб у різних просторово-часових умовах.</w:t>
      </w:r>
    </w:p>
    <w:p w14:paraId="58F3C37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Міжнародно-правові акти, які регулюють правовий статус і гарантії для ВПО, є основою вказаного механізму. Вони закріплені у низці міжнародних договорів, що визначають принципи і стандарти в галузі прав людини. Зокрема, до таких документів належать Загальна декларація прав людини 1948 року, Міжнародний пакт про громадянські і політичні права та Міжнародний пакт про економічні, соціальні і культурні права від 1966 року. Додатково, важливе значення мають Конвенція ООН 1951 року про статус біженців і Протокол до неї 1967 року, які, хоча й безпосередньо не регулюють статус ВПО, усе ж містять базові положення, застосовні до їх правового захисту [6, с.111].</w:t>
      </w:r>
    </w:p>
    <w:p w14:paraId="1A9E780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Особливе місце посідають спеціалізовані міжнародні документи, зокрема Керівні принципи щодо переміщення осіб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своєї країни, ухвалені структурами ООН у 1998 році. Незважаючи на їхній незобов’язальний юридичний характер, ці принципи мають високу практичну цінність, оскільки деталізують загальні норми міжнародного права стосовно </w:t>
      </w:r>
      <w:r w:rsidRPr="00511005">
        <w:rPr>
          <w:rFonts w:ascii="Arial" w:eastAsia="Times New Roman" w:hAnsi="Arial" w:cs="Arial"/>
          <w:szCs w:val="28"/>
          <w:lang w:eastAsia="ru-RU"/>
        </w:rPr>
        <w:lastRenderedPageBreak/>
        <w:t>проблеми внутрішнього переміщення населення та сприяють їх ефективному застосуванню на національному рівні [6, с.111].</w:t>
      </w:r>
    </w:p>
    <w:p w14:paraId="4C70AA6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Висновку Виконавчого комітету УВКБ ООН від 1994 року зазначено, що внутрішньо переміщені особи перебувають під юрисдикцією національних держав, і саме ці держави несуть основну відповідальність за їхній захист і добробут.</w:t>
      </w:r>
    </w:p>
    <w:p w14:paraId="44203F23"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Проблема ВПО не є унікальною для України та має глобальний характер і зустрічається в різних частинах світу. Серед країн, які зіткнулися з цією проблемою, зокрема, є Грузія, Азербайджан (Нагірний Карабах), Молдова (Придністров’я), Сербія, Боснія і Герцоговина, Чорногорія, Косово, Кіпр. За даними звіту ООН "Global Trends Forced Displacement in 2019" кількість ВПО у світі зросла до 45,7 млн осіб у 2019 році, у порівнянні із 41,3 млн осіб у 2018 році, та з 40 млн у 2017 році. Важливо наголосити, що це не суто проблема, яка виникає за межами Європи, оскільки аж 11 із 47 </w:t>
      </w:r>
      <w:proofErr w:type="gramStart"/>
      <w:r w:rsidRPr="00511005">
        <w:rPr>
          <w:rFonts w:ascii="Arial" w:eastAsia="Times New Roman" w:hAnsi="Arial" w:cs="Arial"/>
          <w:szCs w:val="28"/>
          <w:lang w:eastAsia="ru-RU"/>
        </w:rPr>
        <w:t>країн-членів</w:t>
      </w:r>
      <w:proofErr w:type="gramEnd"/>
      <w:r w:rsidRPr="00511005">
        <w:rPr>
          <w:rFonts w:ascii="Arial" w:eastAsia="Times New Roman" w:hAnsi="Arial" w:cs="Arial"/>
          <w:szCs w:val="28"/>
          <w:lang w:eastAsia="ru-RU"/>
        </w:rPr>
        <w:t xml:space="preserve"> Ради Європи зіткнулися із проблемою ВПО, що є показником того, що від неї не убезпечений жодний регіон світу [7, с. 90].</w:t>
      </w:r>
    </w:p>
    <w:p w14:paraId="241B5409" w14:textId="381621EC"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Однією з актуальних проблемо можемо вважати дискримінацію, з якою біженці та ВПО нерідко стикаються, не дивлячись на існування чисельних міжнародно-правових актів, які гарантують рівність прав усіх осіб незалежно від їх статусу. Відповідно до статті 21 Хартії основних прав Європейського Союзу, будь-яка форма дискримінації є забороненою, зокрема за ознаками статі, раси, кольору шкіри, етнічного чи соціального походження, генетичних рис, мови, релігії або переконань, політичних чи інших поглядів, належності до національних меншин, майнового стану, народження, інвалідності, віку або сексуальної орієнтації.</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Крім того, стаття 19 Хартії встановлює, що колективне видворення є недопустимим, а також наголошує, що жодна особа не може бути примусово переміщена, депортована чи екстрадована до країни, де існує серйозна загроза застосування до неї смертної кари, тортур або інших форм нелюдського чи принизливого поводження або покарання [5]. </w:t>
      </w:r>
    </w:p>
    <w:p w14:paraId="4773AF6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Дискримінація може проявлятися як у прямій формі, так і у прихованій. Формами дискримінації можуть бути обмежений доступ до працевлаштування, освіти, медичної допомоги, житла, а також соціальна ізоляція, стигматизація та мова ворожнечі у публічному просторі. У деяких випадках держави, виправдовуючи дискримінаційні заходи міркуваннями безпеки чи економічної нестабільності, порушують зобов’язання, взяті на себе в рамках міжнародних угод.</w:t>
      </w:r>
    </w:p>
    <w:p w14:paraId="3C1C6C2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Проблема забезпечення прав біженців і внутрішньо переміщених осіб є актуальною в контексті міжнародного права, що вимагає комплексного підходу від національних урядів та міжнародних організацій. Міжнародні конвенції закріплюють основні стандарти захисту прав цих осіб, але на практиці існують труднощі в імплементації, зокрема дискримінація та </w:t>
      </w:r>
      <w:r w:rsidRPr="00511005">
        <w:rPr>
          <w:rFonts w:ascii="Arial" w:eastAsia="Times New Roman" w:hAnsi="Arial" w:cs="Arial"/>
          <w:szCs w:val="28"/>
          <w:lang w:eastAsia="ru-RU"/>
        </w:rPr>
        <w:lastRenderedPageBreak/>
        <w:t>обмежений доступ до послуг. Важлива роль у вирішенні проблеми належить як міжнародним організаціям, так і національним урядам, що повинні посилювати співпрацю для забезпечення прав ВПО і біженців.</w:t>
      </w:r>
    </w:p>
    <w:p w14:paraId="296E631F" w14:textId="0A7AA649"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r w:rsidR="00220D3E" w:rsidRPr="00511005">
        <w:rPr>
          <w:rFonts w:ascii="Arial" w:eastAsia="Times New Roman" w:hAnsi="Arial" w:cs="Arial"/>
          <w:b/>
          <w:szCs w:val="28"/>
          <w:lang w:eastAsia="ru-RU"/>
        </w:rPr>
        <w:t xml:space="preserve"> </w:t>
      </w:r>
    </w:p>
    <w:p w14:paraId="0ADD6A44" w14:textId="77777777" w:rsidR="00220D3E" w:rsidRPr="00511005" w:rsidRDefault="00220D3E" w:rsidP="003F6A5D">
      <w:pPr>
        <w:numPr>
          <w:ilvl w:val="0"/>
          <w:numId w:val="95"/>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Європейська хартія регіональних мов або мов меншин від 05.11.1992 року. URL: </w:t>
      </w:r>
      <w:hyperlink r:id="rId311" w:anchor="Text" w:history="1">
        <w:r w:rsidRPr="00511005">
          <w:rPr>
            <w:rFonts w:ascii="Arial" w:eastAsia="Times New Roman" w:hAnsi="Arial" w:cs="Arial"/>
            <w:szCs w:val="28"/>
            <w:lang w:eastAsia="ru-RU"/>
          </w:rPr>
          <w:t>https://zakon.rada.gov.ua/laws/show/994_014#Text</w:t>
        </w:r>
      </w:hyperlink>
      <w:r w:rsidRPr="00511005">
        <w:rPr>
          <w:rFonts w:ascii="Arial" w:eastAsia="Times New Roman" w:hAnsi="Arial" w:cs="Arial"/>
          <w:szCs w:val="28"/>
          <w:lang w:eastAsia="ru-RU"/>
        </w:rPr>
        <w:t xml:space="preserve"> (дата звернення 10.05.2025 р.)</w:t>
      </w:r>
    </w:p>
    <w:p w14:paraId="6B42698C" w14:textId="77777777" w:rsidR="00220D3E" w:rsidRPr="00511005" w:rsidRDefault="00220D3E" w:rsidP="003F6A5D">
      <w:pPr>
        <w:numPr>
          <w:ilvl w:val="0"/>
          <w:numId w:val="95"/>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Загальна декларація прав людини: затв. резолюцією 217 А (|||)Генеральної Асамблеї OOH від 10.12.1948 р URL: </w:t>
      </w:r>
      <w:hyperlink r:id="rId312" w:history="1">
        <w:r w:rsidRPr="00511005">
          <w:rPr>
            <w:rFonts w:ascii="Arial" w:eastAsia="Times New Roman" w:hAnsi="Arial" w:cs="Arial"/>
            <w:szCs w:val="28"/>
            <w:lang w:eastAsia="ru-RU"/>
          </w:rPr>
          <w:t>https://zakon.rada.gov.ua/laws/show/995_015.l</w:t>
        </w:r>
      </w:hyperlink>
      <w:r w:rsidRPr="00511005">
        <w:rPr>
          <w:rFonts w:ascii="Arial" w:eastAsia="Times New Roman" w:hAnsi="Arial" w:cs="Arial"/>
          <w:szCs w:val="28"/>
          <w:lang w:eastAsia="ru-RU"/>
        </w:rPr>
        <w:t xml:space="preserve"> (дата звернення 28</w:t>
      </w:r>
      <w:r w:rsidRPr="00511005">
        <w:rPr>
          <w:rFonts w:ascii="Arial" w:eastAsia="Times New Roman" w:hAnsi="Arial" w:cs="Arial"/>
          <w:szCs w:val="28"/>
          <w:lang w:val="uk-UA" w:eastAsia="ru-RU"/>
        </w:rPr>
        <w:t>.04.2025 р.)</w:t>
      </w:r>
    </w:p>
    <w:p w14:paraId="6DD81E90" w14:textId="77777777" w:rsidR="00220D3E" w:rsidRPr="00511005" w:rsidRDefault="00220D3E" w:rsidP="003F6A5D">
      <w:pPr>
        <w:numPr>
          <w:ilvl w:val="0"/>
          <w:numId w:val="95"/>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Конвенція про статус біженців 28.07.1951 року. URL: https://zakon.rada.gov.ua/laws/show/995_011#Tex (дата звернення 28.04.2025 р.)</w:t>
      </w:r>
    </w:p>
    <w:p w14:paraId="17195A26" w14:textId="77777777" w:rsidR="00220D3E" w:rsidRPr="00511005" w:rsidRDefault="00220D3E" w:rsidP="003F6A5D">
      <w:pPr>
        <w:numPr>
          <w:ilvl w:val="0"/>
          <w:numId w:val="95"/>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Міжнародний пакт про громадянські і політичні права: Міжнародний документ. Організація Обʼєднаних Націй від 16.12.1966 р. URL: https://zakon.rada.gov.ua/laws/show/995_043. (дата звернення 28</w:t>
      </w:r>
      <w:r w:rsidRPr="00511005">
        <w:rPr>
          <w:rFonts w:ascii="Arial" w:eastAsia="Times New Roman" w:hAnsi="Arial" w:cs="Arial"/>
          <w:szCs w:val="28"/>
          <w:lang w:val="uk-UA" w:eastAsia="ru-RU"/>
        </w:rPr>
        <w:t>.04.2025 р.)</w:t>
      </w:r>
    </w:p>
    <w:p w14:paraId="42A42392" w14:textId="77777777" w:rsidR="00220D3E" w:rsidRPr="00511005" w:rsidRDefault="00220D3E" w:rsidP="003F6A5D">
      <w:pPr>
        <w:numPr>
          <w:ilvl w:val="0"/>
          <w:numId w:val="95"/>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val="pl-PL" w:eastAsia="ru-RU"/>
        </w:rPr>
      </w:pPr>
      <w:r w:rsidRPr="00511005">
        <w:rPr>
          <w:rFonts w:ascii="Arial" w:eastAsia="Times New Roman" w:hAnsi="Arial" w:cs="Arial"/>
          <w:szCs w:val="28"/>
          <w:lang w:val="pl-PL" w:eastAsia="ru-RU"/>
        </w:rPr>
        <w:t xml:space="preserve">Karta Praw Podstawowych Unii Europejskiej </w:t>
      </w:r>
      <w:r w:rsidRPr="00511005">
        <w:rPr>
          <w:rFonts w:ascii="Arial" w:eastAsia="Times New Roman" w:hAnsi="Arial" w:cs="Arial"/>
          <w:szCs w:val="28"/>
          <w:lang w:eastAsia="ru-RU"/>
        </w:rPr>
        <w:t>від</w:t>
      </w:r>
      <w:r w:rsidRPr="00511005">
        <w:rPr>
          <w:rFonts w:ascii="Arial" w:eastAsia="Times New Roman" w:hAnsi="Arial" w:cs="Arial"/>
          <w:szCs w:val="28"/>
          <w:lang w:val="pl-PL" w:eastAsia="ru-RU"/>
        </w:rPr>
        <w:t xml:space="preserve"> 07.12.2000 </w:t>
      </w:r>
      <w:r w:rsidRPr="00511005">
        <w:rPr>
          <w:rFonts w:ascii="Arial" w:eastAsia="Times New Roman" w:hAnsi="Arial" w:cs="Arial"/>
          <w:szCs w:val="28"/>
          <w:lang w:eastAsia="ru-RU"/>
        </w:rPr>
        <w:t>року</w:t>
      </w:r>
      <w:r w:rsidRPr="00511005">
        <w:rPr>
          <w:rFonts w:ascii="Arial" w:eastAsia="Times New Roman" w:hAnsi="Arial" w:cs="Arial"/>
          <w:szCs w:val="28"/>
          <w:lang w:val="pl-PL" w:eastAsia="ru-RU"/>
        </w:rPr>
        <w:t>. URL: http://www.www.bb.po.gov.pl/Prawa/PUE/KPP.pdf</w:t>
      </w:r>
    </w:p>
    <w:p w14:paraId="2DF5619F" w14:textId="77777777" w:rsidR="00220D3E" w:rsidRPr="00511005" w:rsidRDefault="00220D3E" w:rsidP="003F6A5D">
      <w:pPr>
        <w:numPr>
          <w:ilvl w:val="0"/>
          <w:numId w:val="95"/>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Ногас Н. Міжнародний захист прав біженців і переміщених осіб. Актуальні проблеми правознавства, № 1 (37), 2024, с. 110–116. DOI: 10.35774/app2024.01.110. </w:t>
      </w:r>
      <w:r w:rsidRPr="00511005">
        <w:rPr>
          <w:rFonts w:ascii="Arial" w:eastAsia="Times New Roman" w:hAnsi="Arial" w:cs="Arial"/>
          <w:szCs w:val="28"/>
          <w:lang w:val="pl-PL" w:eastAsia="ru-RU"/>
        </w:rPr>
        <w:t xml:space="preserve">URL: </w:t>
      </w:r>
      <w:hyperlink r:id="rId313">
        <w:r w:rsidRPr="00511005">
          <w:rPr>
            <w:rFonts w:ascii="Arial" w:eastAsia="Times New Roman" w:hAnsi="Arial" w:cs="Arial"/>
            <w:szCs w:val="28"/>
            <w:lang w:val="pl-PL" w:eastAsia="ru-RU"/>
          </w:rPr>
          <w:t>https://appj.wunu.edu.ua/index.php/appj/article/view/1817</w:t>
        </w:r>
      </w:hyperlink>
      <w:r w:rsidRPr="00511005">
        <w:rPr>
          <w:rFonts w:ascii="Arial" w:eastAsia="Times New Roman" w:hAnsi="Arial" w:cs="Arial"/>
          <w:szCs w:val="28"/>
          <w:lang w:val="pl-PL" w:eastAsia="ru-RU"/>
        </w:rPr>
        <w:t>.</w:t>
      </w:r>
    </w:p>
    <w:p w14:paraId="39AED279" w14:textId="77777777" w:rsidR="00220D3E" w:rsidRPr="00511005" w:rsidRDefault="00220D3E" w:rsidP="003F6A5D">
      <w:pPr>
        <w:numPr>
          <w:ilvl w:val="0"/>
          <w:numId w:val="95"/>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Шумило М.М. Статус внутрішньо переміщеної особи у контексті міжнародного та національного права. Публічне право, № 3 (39), 2020, с. 88–98. URL: </w:t>
      </w:r>
      <w:hyperlink r:id="rId314">
        <w:r w:rsidRPr="00511005">
          <w:rPr>
            <w:rFonts w:ascii="Arial" w:eastAsia="Times New Roman" w:hAnsi="Arial" w:cs="Arial"/>
            <w:szCs w:val="28"/>
            <w:lang w:eastAsia="ru-RU"/>
          </w:rPr>
          <w:t>http://forumprava.pp.ua/files/088-098-2020-3-FP-Shumylo_10.pdf</w:t>
        </w:r>
      </w:hyperlink>
      <w:r w:rsidRPr="00511005">
        <w:rPr>
          <w:rFonts w:ascii="Arial" w:eastAsia="Times New Roman" w:hAnsi="Arial" w:cs="Arial"/>
          <w:szCs w:val="28"/>
          <w:lang w:eastAsia="ru-RU"/>
        </w:rPr>
        <w:t>.</w:t>
      </w:r>
    </w:p>
    <w:p w14:paraId="02CD5144"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19B340FF" w14:textId="6ADCC999" w:rsidR="00220D3E" w:rsidRPr="00511005" w:rsidRDefault="007B2628" w:rsidP="003A292D">
      <w:p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біженці, внутрішньо переміщена особа, дискримінація, конвенції, міжнародно-правовий акт.</w:t>
      </w:r>
      <w:r w:rsidRPr="00511005">
        <w:rPr>
          <w:rFonts w:ascii="Arial" w:eastAsia="Times New Roman" w:hAnsi="Arial" w:cs="Arial"/>
          <w:szCs w:val="28"/>
          <w:lang w:eastAsia="ru-RU"/>
        </w:rPr>
        <w:t xml:space="preserve"> </w:t>
      </w:r>
    </w:p>
    <w:p w14:paraId="0CD13F53" w14:textId="59E5214C" w:rsidR="00220D3E" w:rsidRPr="00511005" w:rsidRDefault="007B2628" w:rsidP="003A292D">
      <w:pPr>
        <w:tabs>
          <w:tab w:val="left" w:pos="709"/>
        </w:tabs>
        <w:spacing w:line="264" w:lineRule="auto"/>
        <w:jc w:val="left"/>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refugees, internally displaced person, discrimination, conventions, international legal act.</w:t>
      </w:r>
    </w:p>
    <w:p w14:paraId="5276FE9C" w14:textId="2454906D" w:rsidR="00220D3E" w:rsidRPr="00511005" w:rsidRDefault="007B2628" w:rsidP="003A292D">
      <w:pPr>
        <w:tabs>
          <w:tab w:val="left" w:pos="709"/>
        </w:tabs>
        <w:spacing w:line="264" w:lineRule="auto"/>
        <w:jc w:val="left"/>
        <w:rPr>
          <w:rFonts w:ascii="Arial" w:eastAsia="Times New Roman" w:hAnsi="Arial" w:cs="Arial"/>
          <w:i/>
          <w:szCs w:val="28"/>
          <w:lang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 Дронов В.Ю.</w:t>
      </w:r>
    </w:p>
    <w:p w14:paraId="3A128E00"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74DE5BFB"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Дербак Анастасія Павлівна</w:t>
      </w:r>
    </w:p>
    <w:p w14:paraId="117B9F0D" w14:textId="5ECD5A97" w:rsidR="00220D3E" w:rsidRPr="00511005" w:rsidRDefault="00536AAB"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r w:rsidR="007B2628" w:rsidRPr="00511005">
        <w:rPr>
          <w:rFonts w:ascii="Arial" w:eastAsia="Times New Roman" w:hAnsi="Arial" w:cs="Arial"/>
          <w:szCs w:val="28"/>
          <w:lang w:eastAsia="ru-RU"/>
        </w:rPr>
        <w:t xml:space="preserve"> </w:t>
      </w:r>
      <w:r w:rsidR="00220D3E" w:rsidRPr="00511005">
        <w:rPr>
          <w:rFonts w:ascii="Arial" w:eastAsia="Times New Roman" w:hAnsi="Arial" w:cs="Arial"/>
          <w:szCs w:val="28"/>
          <w:lang w:eastAsia="ru-RU"/>
        </w:rPr>
        <w:br/>
      </w:r>
      <w:r w:rsidR="007B2628" w:rsidRPr="00511005">
        <w:rPr>
          <w:rFonts w:ascii="Arial" w:eastAsia="Times New Roman" w:hAnsi="Arial" w:cs="Arial"/>
          <w:szCs w:val="28"/>
          <w:lang w:eastAsia="ru-RU"/>
        </w:rPr>
        <w:t>Національного університету «Одеська юридична академія»</w:t>
      </w:r>
    </w:p>
    <w:p w14:paraId="4E917ABB"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eastAsia="ru-RU"/>
        </w:rPr>
      </w:pPr>
    </w:p>
    <w:p w14:paraId="3E1E3CF0"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ПРАВО ЗОВНІШНІХ ЗНОСИН В УМОВАХ ГІБРИДНОЇ ВІЙНИ: ВИКЛИКИ ДЛЯ УКРАЇНИ</w:t>
      </w:r>
    </w:p>
    <w:p w14:paraId="2914975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XXI столітті світ стикнувся з новим виміром війни - гібридною агресією. Це складне явище, яке поєднує традиційні збройні дії з нетрадиційними методами - інформаційною, кібернетичною, політичною, </w:t>
      </w:r>
      <w:r w:rsidRPr="00511005">
        <w:rPr>
          <w:rFonts w:ascii="Arial" w:eastAsia="Times New Roman" w:hAnsi="Arial" w:cs="Arial"/>
          <w:szCs w:val="28"/>
          <w:lang w:eastAsia="ru-RU"/>
        </w:rPr>
        <w:lastRenderedPageBreak/>
        <w:t>економічною, а іноді й релігійною боротьбою. Такий формат дозволяє агресору досягати стратегічних цілей без офіційного оголошення війни, при цьому мінімізуючи ризик юридичної відповідальності. Для України, яка стала жертвою саме такої агресії з боку Російської Федерації, гібридна війна стала не лише безпековим викликом, а й серйозним випробуванням для системи зовнішніх зносин і міжнародного права загалом. [3].</w:t>
      </w:r>
    </w:p>
    <w:p w14:paraId="15FE710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випадку з російсько-українським конфліктом гібридна війна стала інструментом реалізації імперських амбіцій Росії. Агресор комбінує військову силу із пропагандою, кібератаками, втручанням у релігійне середовище та економічним тиском. Такий підхід створює ситуацію правової невизначеності: Росія уникає чіткого визнання себе стороною конфлікту, що ускладнює застосування міжнародно-правових механізмів. [2], [4].</w:t>
      </w:r>
    </w:p>
    <w:p w14:paraId="5D4392A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Це порушення основоположних принципів міжнародного права - суверенітету, територіальної цілісності та невтручання у внутрішні справи держав. Окупація Криму, псевдореферендуми, підтримка незаконних збройних формувань і маніпуляції релігією - усе це є очевидними порушеннями Статуту ООН, Гельсінського заключного акту, а також численних міжнародних угод. [1].</w:t>
      </w:r>
    </w:p>
    <w:p w14:paraId="045EF55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Гібридна війна вимагає перегляду традиційних механізмів реагування на агресію. Система колективної безпеки, зокрема Рада Безпеки ООН, виявилася малоефективною через право вето Росії. Це паралізує ухвалення рішень навіть у випадках очевидного порушення міжнародного миру.</w:t>
      </w:r>
    </w:p>
    <w:p w14:paraId="49F6625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Натомість активну роль почали відігравати інші міжнародні та регіональні структури: ЄС, НАТО, ОБСЄ, Міжнародний кримінальний суд, Міжнародний суд ООН. Україна використовує їхні інструменти для притягнення РФ до відповідальності - через судові позови, міжнародні розслідування та інформаційні кампанії. [5].</w:t>
      </w:r>
    </w:p>
    <w:p w14:paraId="0C289B9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Важливою формою реагування є санкційна політика. Економічні та політичні санкції ЄС та США чинять тиск на агресора, послаблюючи його можливості для продовження гібридної війни.</w:t>
      </w:r>
    </w:p>
    <w:p w14:paraId="0CE6023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Водночас міжнародне право потребує модернізації. Сьогодні відсутнє чітке нормативне регулювання інформаційної агресії, кібервійни чи релігійної маніпуляції. Це відкриває «сірі зони», в яких агресор почувається безкарно. Потрібна нова правова доктрина, що включатиме поняття «непряма агресія», «інформаційне втручання», «гібридна окупація». [4].</w:t>
      </w:r>
    </w:p>
    <w:p w14:paraId="6EEEE1D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Попри всі складнощі, міжнародна спільнота поступово нарощує зусилля у протидії гібридній агресії. Генеральна Асамблея ООН ухвалила низку резолюцій, що засуджують агресію проти України, визнають незаконною анексію Криму та підтримують територіальну цілісність нашої держави. </w:t>
      </w:r>
    </w:p>
    <w:p w14:paraId="5D5A353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Європейський Союз надає Україні військову, фінансову, гуманітарну та інституційну підтримку.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політики спільної безпеки та оборони здійснюється допомога у сфері верховенства права, боротьби з корупцією.</w:t>
      </w:r>
    </w:p>
    <w:p w14:paraId="68B7750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НАТО не бере безпосередньої участі у конфлікті, однак активно допомагає Україні в зміцненні обороноздатності, зокрема в кіберпросторі, а також підтримує стратегії протидії дезінформації. [5].</w:t>
      </w:r>
    </w:p>
    <w:p w14:paraId="6111CB1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Гібридна агресія змусила Україну адаптувати зовнішню політику до нових реалій. Дипломатичні зусилля зосереджуються на забезпеченні міжнародної підтримки, правовому стримуванні агресора та закріпленні проукраїнських позицій у глобальному дискурсі.</w:t>
      </w:r>
    </w:p>
    <w:p w14:paraId="02A9E02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Одним із головних завдань стало формування нового правового поля, яке визнає гібридні методи як акти агресії. Йдеться про правову фіксацію нових форм втручання - релігійного, культурного, інформаційного - з метою унеможливлення їхнього замовчування або легітимізації.</w:t>
      </w:r>
    </w:p>
    <w:p w14:paraId="4A089F4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Окремий напрям - активна участь України у міжнародних судових процесах. Позови до Міжнародного суду ООН, співпраця з МКС - це не лише спроба домогтися справедливості, а й частина зовнішньої політики, яка має стримувальний ефект.</w:t>
      </w:r>
    </w:p>
    <w:p w14:paraId="47D3CE6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Також Україна посилює міжнародно-правовий дискурс щодо порушень прав людини на окупованих територіях. Масові депортації, релігійні переслідування, знищення культурної спадщини - все це стає основою для мобілізації міжнародної солідарності. [4].</w:t>
      </w:r>
    </w:p>
    <w:p w14:paraId="23A1FAD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центрі зовнішньої політики - європейська та євроатлантична інтеграція. Проте це вимагає чіткої юридичної бази. Україна має поєднувати політичні амбіції з правовими зобов’язаннями, зміцнюючи довіру міжнародних партнерів і створюючи фундамент для повноцінного членства в ЄС та НАТО. [6].</w:t>
      </w:r>
    </w:p>
    <w:p w14:paraId="1820F78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Гібридна війна кинула виклик не лише безпеці України, а й усій системі міжнародного права. Вона зруйнувала ілюзії щодо стабільності світового порядку та актуалізувала потребу в оновленні міжнародно-правових підходів. Україна - на передовій цього процесу. Її боротьба за суверенітет і справедливість стає водночас і боротьбою за нову архітектуру міжнародної безпеки, здатну ефективно реагувати на гібридні загрози майбутнього. [5].</w:t>
      </w:r>
    </w:p>
    <w:p w14:paraId="43C3CAD5"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49492558" w14:textId="191A0FAD" w:rsidR="00220D3E"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162A8440" w14:textId="7718F3DD" w:rsidR="00220D3E" w:rsidRPr="00511005" w:rsidRDefault="00220D3E" w:rsidP="003F6A5D">
      <w:pPr>
        <w:numPr>
          <w:ilvl w:val="0"/>
          <w:numId w:val="96"/>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Віденська конвенція про дипломатичні </w:t>
      </w:r>
      <w:proofErr w:type="gramStart"/>
      <w:r w:rsidRPr="00511005">
        <w:rPr>
          <w:rFonts w:ascii="Arial" w:eastAsia="Calibri" w:hAnsi="Arial" w:cs="Arial"/>
          <w:szCs w:val="28"/>
        </w:rPr>
        <w:t>зносини :</w:t>
      </w:r>
      <w:proofErr w:type="gramEnd"/>
      <w:r w:rsidRPr="00511005">
        <w:rPr>
          <w:rFonts w:ascii="Arial" w:eastAsia="Calibri" w:hAnsi="Arial" w:cs="Arial"/>
          <w:szCs w:val="28"/>
        </w:rPr>
        <w:t xml:space="preserve"> Конвенція Орг. Об'єдн. Націй від </w:t>
      </w:r>
      <w:proofErr w:type="gramStart"/>
      <w:r w:rsidRPr="00511005">
        <w:rPr>
          <w:rFonts w:ascii="Arial" w:eastAsia="Calibri" w:hAnsi="Arial" w:cs="Arial"/>
          <w:szCs w:val="28"/>
        </w:rPr>
        <w:t>18.04.1961 :</w:t>
      </w:r>
      <w:proofErr w:type="gramEnd"/>
      <w:r w:rsidRPr="00511005">
        <w:rPr>
          <w:rFonts w:ascii="Arial" w:eastAsia="Calibri" w:hAnsi="Arial" w:cs="Arial"/>
          <w:szCs w:val="28"/>
        </w:rPr>
        <w:t xml:space="preserve"> станом на 21 берез. 1964 р. URL: </w:t>
      </w:r>
      <w:hyperlink r:id="rId315" w:history="1">
        <w:r w:rsidRPr="00511005">
          <w:rPr>
            <w:rFonts w:ascii="Arial" w:eastAsia="Calibri" w:hAnsi="Arial" w:cs="Arial"/>
            <w:szCs w:val="28"/>
          </w:rPr>
          <w:t>https://legal.un.org/ilc/texts/instruments/english/conventions/9_1_1961.pdf</w:t>
        </w:r>
      </w:hyperlink>
      <w:r w:rsidR="007B2628" w:rsidRPr="00511005">
        <w:rPr>
          <w:rFonts w:ascii="Arial" w:eastAsia="Calibri" w:hAnsi="Arial" w:cs="Arial"/>
          <w:szCs w:val="28"/>
        </w:rPr>
        <w:t xml:space="preserve"> </w:t>
      </w:r>
      <w:r w:rsidRPr="00511005">
        <w:rPr>
          <w:rFonts w:ascii="Arial" w:eastAsia="Calibri" w:hAnsi="Arial" w:cs="Arial"/>
          <w:szCs w:val="28"/>
        </w:rPr>
        <w:t>(дата звернення: 23.04.2025).</w:t>
      </w:r>
    </w:p>
    <w:p w14:paraId="78205893" w14:textId="77777777" w:rsidR="00220D3E" w:rsidRPr="00511005" w:rsidRDefault="00220D3E" w:rsidP="003F6A5D">
      <w:pPr>
        <w:numPr>
          <w:ilvl w:val="0"/>
          <w:numId w:val="96"/>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Гетьманчук М. П. "Гібридна війна" Росії проти України: інформаційний аспект. </w:t>
      </w:r>
      <w:r w:rsidRPr="00511005">
        <w:rPr>
          <w:rFonts w:ascii="Arial" w:eastAsia="Calibri" w:hAnsi="Arial" w:cs="Arial"/>
          <w:i/>
          <w:iCs/>
          <w:szCs w:val="28"/>
        </w:rPr>
        <w:t>Військово-науковий вісник</w:t>
      </w:r>
      <w:r w:rsidRPr="00511005">
        <w:rPr>
          <w:rFonts w:ascii="Arial" w:eastAsia="Calibri" w:hAnsi="Arial" w:cs="Arial"/>
          <w:szCs w:val="28"/>
        </w:rPr>
        <w:t>. 2017. Вип. 27. С. 296–307.</w:t>
      </w:r>
    </w:p>
    <w:p w14:paraId="0BF2EAA1" w14:textId="77777777" w:rsidR="00220D3E" w:rsidRPr="00511005" w:rsidRDefault="00220D3E" w:rsidP="003F6A5D">
      <w:pPr>
        <w:numPr>
          <w:ilvl w:val="0"/>
          <w:numId w:val="96"/>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lastRenderedPageBreak/>
        <w:t>Гібридна війна проти України: історія, інструменти, технології. </w:t>
      </w:r>
      <w:r w:rsidRPr="00511005">
        <w:rPr>
          <w:rFonts w:ascii="Arial" w:eastAsia="Calibri" w:hAnsi="Arial" w:cs="Arial"/>
          <w:i/>
          <w:iCs/>
          <w:szCs w:val="28"/>
        </w:rPr>
        <w:t>Вінницька обласна універсальна наукова бібліотека імені Валентина Отамановського</w:t>
      </w:r>
      <w:r w:rsidRPr="00511005">
        <w:rPr>
          <w:rFonts w:ascii="Arial" w:eastAsia="Calibri" w:hAnsi="Arial" w:cs="Arial"/>
          <w:szCs w:val="28"/>
        </w:rPr>
        <w:t>. URL: </w:t>
      </w:r>
      <w:hyperlink r:id="rId316" w:tgtFrame="_blank" w:history="1">
        <w:r w:rsidRPr="00511005">
          <w:rPr>
            <w:rFonts w:ascii="Arial" w:eastAsia="Calibri" w:hAnsi="Arial" w:cs="Arial"/>
            <w:szCs w:val="28"/>
          </w:rPr>
          <w:t>https://library.vn.ua/news-and-events/novini/gibridna-vijna-proti-ukraiini</w:t>
        </w:r>
      </w:hyperlink>
      <w:r w:rsidRPr="00511005">
        <w:rPr>
          <w:rFonts w:ascii="Arial" w:eastAsia="Calibri" w:hAnsi="Arial" w:cs="Arial"/>
          <w:szCs w:val="28"/>
        </w:rPr>
        <w:t> (дата звернення: 23.04.2025).</w:t>
      </w:r>
    </w:p>
    <w:p w14:paraId="011FD345" w14:textId="77777777" w:rsidR="00220D3E" w:rsidRPr="00511005" w:rsidRDefault="00220D3E" w:rsidP="003F6A5D">
      <w:pPr>
        <w:numPr>
          <w:ilvl w:val="0"/>
          <w:numId w:val="96"/>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lang w:val="uk-UA"/>
        </w:rPr>
        <w:t>«</w:t>
      </w:r>
      <w:r w:rsidRPr="00511005">
        <w:rPr>
          <w:rFonts w:ascii="Arial" w:eastAsia="Calibri" w:hAnsi="Arial" w:cs="Arial"/>
          <w:szCs w:val="28"/>
        </w:rPr>
        <w:t>Гібридна війна</w:t>
      </w:r>
      <w:r w:rsidRPr="00511005">
        <w:rPr>
          <w:rFonts w:ascii="Arial" w:eastAsia="Calibri" w:hAnsi="Arial" w:cs="Arial"/>
          <w:szCs w:val="28"/>
          <w:lang w:val="uk-UA"/>
        </w:rPr>
        <w:t>»</w:t>
      </w:r>
      <w:r w:rsidRPr="00511005">
        <w:rPr>
          <w:rFonts w:ascii="Arial" w:eastAsia="Calibri" w:hAnsi="Arial" w:cs="Arial"/>
          <w:szCs w:val="28"/>
        </w:rPr>
        <w:t xml:space="preserve"> - сучасна стратегія Російської Федерації в збройній агресії проти пострадянських держав та України / М. Павлунько та ін. </w:t>
      </w:r>
      <w:r w:rsidRPr="00511005">
        <w:rPr>
          <w:rFonts w:ascii="Arial" w:eastAsia="Calibri" w:hAnsi="Arial" w:cs="Arial"/>
          <w:i/>
          <w:iCs/>
          <w:szCs w:val="28"/>
        </w:rPr>
        <w:t>Збірник наукових праць Центру воєнно-стратегічних досліджень НУОУ імені Івана Черняховського</w:t>
      </w:r>
      <w:r w:rsidRPr="00511005">
        <w:rPr>
          <w:rFonts w:ascii="Arial" w:eastAsia="Calibri" w:hAnsi="Arial" w:cs="Arial"/>
          <w:szCs w:val="28"/>
        </w:rPr>
        <w:t>. 2023. С. 18–23. URL: </w:t>
      </w:r>
      <w:hyperlink r:id="rId317" w:tgtFrame="_blank" w:history="1">
        <w:r w:rsidRPr="00511005">
          <w:rPr>
            <w:rFonts w:ascii="Arial" w:eastAsia="Calibri" w:hAnsi="Arial" w:cs="Arial"/>
            <w:szCs w:val="28"/>
          </w:rPr>
          <w:t>https://doi.org/10.33099/2304-2745/2022-3-76/18-23</w:t>
        </w:r>
      </w:hyperlink>
      <w:r w:rsidRPr="00511005">
        <w:rPr>
          <w:rFonts w:ascii="Arial" w:eastAsia="Calibri" w:hAnsi="Arial" w:cs="Arial"/>
          <w:szCs w:val="28"/>
        </w:rPr>
        <w:t> (дата звернення: 23.04.2025).</w:t>
      </w:r>
    </w:p>
    <w:p w14:paraId="3CF8BB0F" w14:textId="77777777" w:rsidR="00220D3E" w:rsidRPr="00511005" w:rsidRDefault="00220D3E" w:rsidP="003F6A5D">
      <w:pPr>
        <w:numPr>
          <w:ilvl w:val="0"/>
          <w:numId w:val="96"/>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Дудар В. Гібридна війна та кібератаки російської федерації проти україни: поняття, стратегії та наслідки. </w:t>
      </w:r>
      <w:r w:rsidRPr="00511005">
        <w:rPr>
          <w:rFonts w:ascii="Arial" w:eastAsia="Calibri" w:hAnsi="Arial" w:cs="Arial"/>
          <w:i/>
          <w:iCs/>
          <w:szCs w:val="28"/>
        </w:rPr>
        <w:t>Український літопис</w:t>
      </w:r>
      <w:r w:rsidRPr="00511005">
        <w:rPr>
          <w:rFonts w:ascii="Arial" w:eastAsia="Calibri" w:hAnsi="Arial" w:cs="Arial"/>
          <w:szCs w:val="28"/>
        </w:rPr>
        <w:t>. 2024. № 3. С. 23–30. URL: </w:t>
      </w:r>
      <w:hyperlink r:id="rId318" w:tgtFrame="_blank" w:history="1">
        <w:r w:rsidRPr="00511005">
          <w:rPr>
            <w:rFonts w:ascii="Arial" w:eastAsia="Calibri" w:hAnsi="Arial" w:cs="Arial"/>
            <w:szCs w:val="28"/>
          </w:rPr>
          <w:t>https://doi.org/10.31470/2786-8583-2024-3-23-30</w:t>
        </w:r>
      </w:hyperlink>
      <w:r w:rsidRPr="00511005">
        <w:rPr>
          <w:rFonts w:ascii="Arial" w:eastAsia="Calibri" w:hAnsi="Arial" w:cs="Arial"/>
          <w:szCs w:val="28"/>
        </w:rPr>
        <w:t> (дата звернення: 23.04.2025).</w:t>
      </w:r>
    </w:p>
    <w:p w14:paraId="2D2D02BF" w14:textId="77777777" w:rsidR="00220D3E" w:rsidRPr="00511005" w:rsidRDefault="00220D3E" w:rsidP="003F6A5D">
      <w:pPr>
        <w:numPr>
          <w:ilvl w:val="0"/>
          <w:numId w:val="96"/>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Про засади внутрішньої і зовнішньої </w:t>
      </w:r>
      <w:proofErr w:type="gramStart"/>
      <w:r w:rsidRPr="00511005">
        <w:rPr>
          <w:rFonts w:ascii="Arial" w:eastAsia="Calibri" w:hAnsi="Arial" w:cs="Arial"/>
          <w:szCs w:val="28"/>
        </w:rPr>
        <w:t>політики :</w:t>
      </w:r>
      <w:proofErr w:type="gramEnd"/>
      <w:r w:rsidRPr="00511005">
        <w:rPr>
          <w:rFonts w:ascii="Arial" w:eastAsia="Calibri" w:hAnsi="Arial" w:cs="Arial"/>
          <w:szCs w:val="28"/>
        </w:rPr>
        <w:t xml:space="preserve"> Закон України від 01.07.2010 № 2411-VI : станом на 31 берез. 2023 р. URL: </w:t>
      </w:r>
      <w:hyperlink r:id="rId319" w:anchor="Text" w:tgtFrame="_blank" w:history="1">
        <w:r w:rsidRPr="00511005">
          <w:rPr>
            <w:rFonts w:ascii="Arial" w:eastAsia="Calibri" w:hAnsi="Arial" w:cs="Arial"/>
            <w:szCs w:val="28"/>
          </w:rPr>
          <w:t>https://zakon.rada.gov.ua/laws/show/2411-17#Text</w:t>
        </w:r>
      </w:hyperlink>
      <w:r w:rsidRPr="00511005">
        <w:rPr>
          <w:rFonts w:ascii="Arial" w:eastAsia="Calibri" w:hAnsi="Arial" w:cs="Arial"/>
          <w:szCs w:val="28"/>
        </w:rPr>
        <w:t> (дата звернення: 23.04.2025).</w:t>
      </w:r>
    </w:p>
    <w:p w14:paraId="32CF2597" w14:textId="77777777" w:rsidR="00220D3E" w:rsidRPr="00511005" w:rsidRDefault="00220D3E" w:rsidP="003A292D">
      <w:pPr>
        <w:tabs>
          <w:tab w:val="left" w:pos="709"/>
        </w:tabs>
        <w:spacing w:line="264" w:lineRule="auto"/>
        <w:jc w:val="left"/>
        <w:rPr>
          <w:rFonts w:ascii="Arial" w:eastAsia="Times New Roman" w:hAnsi="Arial" w:cs="Arial"/>
          <w:b/>
          <w:szCs w:val="28"/>
          <w:lang w:eastAsia="ru-RU"/>
        </w:rPr>
      </w:pPr>
    </w:p>
    <w:p w14:paraId="4FE1E147" w14:textId="29339137" w:rsidR="00220D3E" w:rsidRPr="00511005" w:rsidRDefault="007B2628" w:rsidP="003A292D">
      <w:p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гібридна війна, інформаційна агресія, міжнародне право, територіальна цілісність, суверенітет, санкції, пропаганда, кібербезпека, анексія, правова відповідальність.</w:t>
      </w:r>
    </w:p>
    <w:p w14:paraId="278C4F50" w14:textId="794EBB89" w:rsidR="00220D3E" w:rsidRPr="00511005" w:rsidRDefault="007B2628" w:rsidP="003A292D">
      <w:pPr>
        <w:tabs>
          <w:tab w:val="left" w:pos="709"/>
        </w:tabs>
        <w:spacing w:line="264" w:lineRule="auto"/>
        <w:jc w:val="left"/>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hybrid warfare, information aggression, international law, territorial integrity, sovereignty, sanctions, propaganda, cybersecurity, annexation, legal accountability.</w:t>
      </w:r>
    </w:p>
    <w:p w14:paraId="4CCB86D4" w14:textId="2898A039" w:rsidR="00220D3E" w:rsidRPr="00511005" w:rsidRDefault="007B2628" w:rsidP="003A292D">
      <w:pPr>
        <w:tabs>
          <w:tab w:val="left" w:pos="709"/>
        </w:tabs>
        <w:spacing w:line="264" w:lineRule="auto"/>
        <w:rPr>
          <w:rFonts w:ascii="Arial" w:eastAsia="Times New Roman" w:hAnsi="Arial" w:cs="Arial"/>
          <w:i/>
          <w:szCs w:val="28"/>
          <w:lang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w:t>
      </w:r>
      <w:r w:rsidR="00220D3E" w:rsidRPr="00511005">
        <w:rPr>
          <w:rFonts w:ascii="Arial" w:eastAsia="Times New Roman" w:hAnsi="Arial" w:cs="Arial"/>
          <w:i/>
          <w:szCs w:val="28"/>
          <w:lang w:val="uk-UA" w:eastAsia="ru-RU"/>
        </w:rPr>
        <w:t xml:space="preserve">., </w:t>
      </w:r>
      <w:r w:rsidR="00220D3E" w:rsidRPr="00511005">
        <w:rPr>
          <w:rFonts w:ascii="Arial" w:eastAsia="Times New Roman" w:hAnsi="Arial" w:cs="Arial"/>
          <w:i/>
          <w:szCs w:val="28"/>
          <w:lang w:eastAsia="ru-RU"/>
        </w:rPr>
        <w:t>доцент Акіменко Ю.Ю.</w:t>
      </w:r>
    </w:p>
    <w:p w14:paraId="370059E5" w14:textId="77777777" w:rsidR="00220D3E" w:rsidRPr="00511005" w:rsidRDefault="00220D3E" w:rsidP="003A292D">
      <w:pPr>
        <w:tabs>
          <w:tab w:val="left" w:pos="709"/>
        </w:tabs>
        <w:spacing w:line="264" w:lineRule="auto"/>
        <w:rPr>
          <w:rFonts w:ascii="Arial" w:eastAsia="Times New Roman" w:hAnsi="Arial" w:cs="Arial"/>
          <w:i/>
          <w:szCs w:val="28"/>
          <w:lang w:eastAsia="ru-RU"/>
        </w:rPr>
      </w:pPr>
    </w:p>
    <w:p w14:paraId="238568BB"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Дербак Анастасія Павлівна</w:t>
      </w:r>
    </w:p>
    <w:p w14:paraId="500F8CCC" w14:textId="6CC5EF78"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p>
    <w:p w14:paraId="7F995728" w14:textId="500D37B7"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38B18CB2" w14:textId="77777777" w:rsidR="00220D3E" w:rsidRPr="00511005" w:rsidRDefault="00220D3E" w:rsidP="003A292D">
      <w:pPr>
        <w:tabs>
          <w:tab w:val="left" w:pos="709"/>
        </w:tabs>
        <w:spacing w:line="264" w:lineRule="auto"/>
        <w:ind w:firstLine="0"/>
        <w:jc w:val="center"/>
        <w:rPr>
          <w:rFonts w:ascii="Arial" w:eastAsia="Times New Roman" w:hAnsi="Arial" w:cs="Arial"/>
          <w:i/>
          <w:szCs w:val="28"/>
          <w:lang w:val="uk-UA" w:eastAsia="ru-RU"/>
        </w:rPr>
      </w:pPr>
    </w:p>
    <w:p w14:paraId="0E6F698D"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ОСОБЛИВОСТІ РЕПАТРІАЦІЇ ВІЙСЬКОВОПОЛОНЕНИХ В РОСІЙСЬКО-УКРАЇНСЬКОМУ ЗБРОЙНОМУ КОНФЛІКТІ</w:t>
      </w:r>
    </w:p>
    <w:p w14:paraId="6330F46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Збройний конфлікт на території України, який триває з 2014 року та набув особливої гостроти з початком повномасштабного вторгнення російської федерації в Україну у лютому 2022 року, порушив значну кількість міжнародно-правових норм, зокрема у сфері захисту прав людини під час війни. Одним із ключових гуманітарних викликів сучасності стало питання поводження з військовополоненими та їх репатріації, тобто повернення до країни походження після перебування у полоні. Репатріація у цьому контексті є не лише юридичною процедурою, але й символом поваги до </w:t>
      </w:r>
      <w:r w:rsidRPr="00511005">
        <w:rPr>
          <w:rFonts w:ascii="Arial" w:eastAsia="Times New Roman" w:hAnsi="Arial" w:cs="Arial"/>
          <w:szCs w:val="28"/>
          <w:lang w:val="uk-UA" w:eastAsia="ru-RU"/>
        </w:rPr>
        <w:lastRenderedPageBreak/>
        <w:t>міжнародного права, гідності особи та принципу гуманності навіть у жорстких умовах збройного протистояння.</w:t>
      </w:r>
    </w:p>
    <w:p w14:paraId="681C02E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Міжнародно-правова основа процесу репатріації військовополонених закладена насамперед у Третій Женевській конвенції від 12 серпня 1949 року, яка визначає правовий статус військовополонених, гарантії їх гуманного поводження та порядок повернення після завершення активної фази бойових дій. Згідно з цією конвенцією, усі військовополонені мають право на належні умови утримання, медичне обслуговування, зв'язок із родиною та незалежну правову оцінку. Окремо передбачено право на дострокову репатріацію поранених, тяжкохворих та осіб, які за станом здоров’я не можуть продовжувати перебувати у полоні. Репатріація також є обов’язковою після припинення збройного конфлікту, що закріплює гуманітарну природу цих норм. Важливо наголосити, що навіть за відсутності формального оголошення війни, усі сторони, які фактично беруть участь у бойових діях, зобов’язані дотримуватись Женевських конвенцій. [1].</w:t>
      </w:r>
    </w:p>
    <w:p w14:paraId="15A7632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Репатріація має глибоке історичне підґрунтя. Ще у стародавні часи статус полонених поступово еволюціонував від повної безправності до певного рівня юридичного визнання. У римському праві з’являються перші згадки про необхідність дотримання правил щодо поводження з полоненими, зокрема щодо можливості їх повернення та збереження особистого статусу. Надалі, у середньовіччі та в епоху раннього модерну, філософи та юристи, зокрема Гуго Гроцій, Вітторія, Руссо, Ваттель, формували концепцію "справедливої війни", яка передбачала не лише регламентування причин ведення бойових дій, але й нормалізацію поводження з військовими супротивниками. Ідеї гуманного ставлення до військовополонених поступово закріплювались у міжнародно-правових документах, найзначнішою серед яких стала Гаазька конвенція 1907 року, що започаткувала кодифікацію звичаєвого права війни. Кульмінацією розвитку гуманітарного права стали Женевські конвенції 1949 року, які є обов’язковими для виконання усіма державами-учасницями, зокрема і російською федерацією та Україною. [4]. </w:t>
      </w:r>
    </w:p>
    <w:p w14:paraId="5194B5B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Питання репатріації у контексті сучасної російсько-української війни стало надзвичайно гострим через систематичні порушення з боку держави-агресора. російська федерація не лише утримує значну кількість українських військовополонених, але й не виконує своїх зобов’язань щодо їх умовного повернення відповідно до норм міжнародного гуманітарного права. Повідомлення про жорстоке поводження, тортури, відмову у медичній допомозі, обмеження у зв’язку із зовнішнім світом та публічні приниження стали регулярними, що підтверджується як показаннями звільнених полонених, так і звітами міжнародних правозахисних організацій. Однією з головних проблем залишається обмежений доступ представників </w:t>
      </w:r>
      <w:r w:rsidRPr="00511005">
        <w:rPr>
          <w:rFonts w:ascii="Arial" w:eastAsia="Times New Roman" w:hAnsi="Arial" w:cs="Arial"/>
          <w:szCs w:val="28"/>
          <w:lang w:val="uk-UA" w:eastAsia="ru-RU"/>
        </w:rPr>
        <w:lastRenderedPageBreak/>
        <w:t>Міжнародного Комітету Червоного Хреста до місць утримання українських полонених, що суперечить статті 126 Третьої Женевської конвенції. російська сторона свідомо приховує інформацію про кількість та імена утримуваних осіб, порушуючи тим самим базові принципи прозорості та обліку військовополонених, а також Четверту Женевську конвенцію 1949 року, яка гарантує захист цивільного населення під час війни і забороняє жорстоке поводження, тортури та покарання без належного судового розгляду. [1], [2].</w:t>
      </w:r>
    </w:p>
    <w:p w14:paraId="510B73A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 противагу цьому, Україна демонструє зразкову практику дотримання міжнародного гуманітарного права. З боку держави вживаються усі можливі заходи для забезпечення належних умов утримання полонених, їх обліку, повідомлення родичів, а також регулярного залучення представників міжнародних організацій до моніторингу. Україна активно ініціює переговорні процеси щодо обміну та репатріації, часто за посередництва третіх держав, таких як Туреччина, Катар, Об'єднані Арабські Емірати. Пріоритет надається поверненню поранених, жінок, капеланів, медиків, а також осіб, які утримуються в особливо тяжких умовах. У цьому процесі українська держава керується не лише юридичними, але й гуманними міркуваннями, розуміючи, що повернення захисників є важливою частиною моральної опори суспільства у війні. [5].</w:t>
      </w:r>
    </w:p>
    <w:p w14:paraId="3F60055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Особливу роль у процесі репатріації відіграє також документування порушень міжнародного гуманітарного права для подальшого використання в міжнародних судових інстанціях. Такі свідчення створюють доказову базу для потенційного переслідування осіб, винних у вчиненні воєнних злочинів, зокрема за статтями Римського статуту Міжнародного кримінального суду. Репатріація у цьому контексті є не лише юридичним обов’язком, а й елементом великої боротьби за справедливість, відновлення прав та притягнення до відповідальності винних у серйозних порушеннях прав людини. [3].</w:t>
      </w:r>
    </w:p>
    <w:p w14:paraId="61BA8FC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Таким чином, процес репатріації військовополонених у контексті російсько-українського збройного конфлікту є складним і водночас вкрай важливим гуманітарним інструментом. Він не лише сприяє поверненню захисників додому, а й формує міжнародну правову відповідальність, відображає реальний стан дотримання Женевських конвенцій та є маркером цивілізованості кожної сторони конфлікту. Репатріація сьогодні — це більше, ніж повернення з полону. Це — символ спротиву, гідності, гуманності та сили права в умовах війни.</w:t>
      </w:r>
    </w:p>
    <w:p w14:paraId="4D29F08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5CFE1A5A" w14:textId="5B9A5896"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1B45D35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1.</w:t>
      </w:r>
      <w:r w:rsidRPr="00511005">
        <w:rPr>
          <w:rFonts w:ascii="Arial" w:eastAsia="Times New Roman" w:hAnsi="Arial" w:cs="Arial"/>
          <w:szCs w:val="28"/>
          <w:lang w:val="uk-UA" w:eastAsia="ru-RU"/>
        </w:rPr>
        <w:tab/>
        <w:t xml:space="preserve">Женевська конвенція про поводження з військовополоненими: Конвенція Орг. Об'єдн. Націй від 12.08.1949 : станом на 23 лют. 2023 р. URL: </w:t>
      </w:r>
      <w:r w:rsidRPr="00511005">
        <w:rPr>
          <w:rFonts w:ascii="Arial" w:eastAsia="Times New Roman" w:hAnsi="Arial" w:cs="Arial"/>
          <w:szCs w:val="28"/>
          <w:lang w:val="uk-UA" w:eastAsia="ru-RU"/>
        </w:rPr>
        <w:lastRenderedPageBreak/>
        <w:t>https://zakon.rada.gov.ua/laws/show/995_153#Text (дата звернення: 05.04.2025).</w:t>
      </w:r>
    </w:p>
    <w:p w14:paraId="60C8EED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2.</w:t>
      </w:r>
      <w:r w:rsidRPr="00511005">
        <w:rPr>
          <w:rFonts w:ascii="Arial" w:eastAsia="Times New Roman" w:hAnsi="Arial" w:cs="Arial"/>
          <w:szCs w:val="28"/>
          <w:lang w:val="uk-UA" w:eastAsia="ru-RU"/>
        </w:rPr>
        <w:tab/>
        <w:t>Конвенція про захист цивільного населення під час війни : Конвенція Орг. Об'єдн. Націй від 12.08.1949 : станом на 23 лют. 2023 р. URL: https://zakon.rada.gov.ua/laws/show/995_154#Text (дата звернення: 05.04.2025).</w:t>
      </w:r>
    </w:p>
    <w:p w14:paraId="177EB5B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3.</w:t>
      </w:r>
      <w:r w:rsidRPr="00511005">
        <w:rPr>
          <w:rFonts w:ascii="Arial" w:eastAsia="Times New Roman" w:hAnsi="Arial" w:cs="Arial"/>
          <w:szCs w:val="28"/>
          <w:lang w:val="uk-UA" w:eastAsia="ru-RU"/>
        </w:rPr>
        <w:tab/>
        <w:t>Римський статут міжнародного кримінального суду : Статут Міжнар. судів від 17.07.1998 : станом на 21 серп. 2024 р. URL: https://zakon.rada.gov.ua/laws/show/995_588#Text (дата звернення: 05.04.2025).</w:t>
      </w:r>
    </w:p>
    <w:p w14:paraId="730D4B7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4.</w:t>
      </w:r>
      <w:r w:rsidRPr="00511005">
        <w:rPr>
          <w:rFonts w:ascii="Arial" w:eastAsia="Times New Roman" w:hAnsi="Arial" w:cs="Arial"/>
          <w:szCs w:val="28"/>
          <w:lang w:val="uk-UA" w:eastAsia="ru-RU"/>
        </w:rPr>
        <w:tab/>
        <w:t>IV Конвенція про закони і звичаї війни на суходолі та додаток до неї: Положення про закони і звичаї війни на суходолі : Конвенція Україна від 18.10.1907. URL: https://zakon.rada.gov.ua/laws/show/995_222#Text (дата звернення: 05.04.2025).</w:t>
      </w:r>
    </w:p>
    <w:p w14:paraId="60154AA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5.</w:t>
      </w:r>
      <w:r w:rsidRPr="00511005">
        <w:rPr>
          <w:rFonts w:ascii="Arial" w:eastAsia="Times New Roman" w:hAnsi="Arial" w:cs="Arial"/>
          <w:szCs w:val="28"/>
          <w:lang w:val="uk-UA" w:eastAsia="ru-RU"/>
        </w:rPr>
        <w:tab/>
        <w:t>Грушко М. В., Мануїлова К. В. Концепція перехідного правосуддя в умовах збройного конфлікту в Україні. Підприємництво, господарство і право. 2021. № 3 С. 312-316 http://pgp-journal.kiev.ua/archive/2021/3/52.pdf (дата звернення: 05.04.2025).</w:t>
      </w:r>
    </w:p>
    <w:p w14:paraId="2BDEDA7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1F6EE3BD" w14:textId="2D6AA23B"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військовополонені, репатріація, збройний конфлікт, міжнародне гуманітарне право, женевські конвенції, порушення прав людини, дотримання норм, міжнародне право, обмін полоненими, тортури, правовий статус, поводження з полоненими, гуманність, військові злочини.</w:t>
      </w:r>
    </w:p>
    <w:p w14:paraId="7C239675" w14:textId="6CBEF719"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220D3E" w:rsidRPr="00511005">
        <w:rPr>
          <w:rFonts w:ascii="Arial" w:eastAsia="Times New Roman" w:hAnsi="Arial" w:cs="Arial"/>
          <w:szCs w:val="28"/>
          <w:lang w:val="uk-UA" w:eastAsia="ru-RU"/>
        </w:rPr>
        <w:t>prisoners of war, repatriation, armed conflict, international humanitarian law, Geneva Conventions, human rights violations, compliance with norms, international law, prisoner exchange, torture, legal status, treatment of prisoners, humanity, war crimes.</w:t>
      </w:r>
    </w:p>
    <w:p w14:paraId="7C500DAC" w14:textId="09FA3FF6" w:rsidR="00220D3E" w:rsidRPr="00511005" w:rsidRDefault="007B2628" w:rsidP="003A292D">
      <w:pPr>
        <w:tabs>
          <w:tab w:val="left" w:pos="709"/>
        </w:tabs>
        <w:spacing w:line="264" w:lineRule="auto"/>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 Грушко М.В.</w:t>
      </w:r>
    </w:p>
    <w:p w14:paraId="26297366"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p>
    <w:p w14:paraId="1F3CE9E5"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Дербак Анастасія Павлівна</w:t>
      </w:r>
    </w:p>
    <w:p w14:paraId="7EE5C7DC" w14:textId="68567C2F"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r w:rsidR="007B2628"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503142AD"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0CD7B527"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МІЖНАРОДНЕ ПРИВАТНЕ ПРАВО ТА ЙОГО ВЗАЄМОДІЯ З МІЖНАРОДНИМ ПУБЛІЧНИМ ПРАВОМ</w:t>
      </w:r>
    </w:p>
    <w:p w14:paraId="4A4D4586"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Міжнародне приватне право та міжнародне публічне право є двома самостійними галузями міжнародного права, кожна з яких має власні механізми регулювання та цілі. Однак, незважаючи на відмінності між ними, їхня взаємодія є важливим чинником у формуванні правової системи міжнародних відносин.</w:t>
      </w:r>
      <w:r w:rsidRPr="00511005">
        <w:rPr>
          <w:rFonts w:ascii="Arial" w:eastAsia="Times New Roman" w:hAnsi="Arial" w:cs="Arial"/>
          <w:szCs w:val="28"/>
          <w:lang w:val="uk-UA" w:eastAsia="ru-RU"/>
        </w:rPr>
        <w:t xml:space="preserve"> [3].</w:t>
      </w:r>
    </w:p>
    <w:p w14:paraId="117113E7"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Обидві галузі спрямовані на забезпечення стабільності, справедливості, рівності та захисту прав людини в міжнародних </w:t>
      </w:r>
      <w:r w:rsidRPr="00511005">
        <w:rPr>
          <w:rFonts w:ascii="Arial" w:eastAsia="Times New Roman" w:hAnsi="Arial" w:cs="Arial"/>
          <w:szCs w:val="28"/>
          <w:lang w:val="uk-UA"/>
        </w:rPr>
        <w:lastRenderedPageBreak/>
        <w:t xml:space="preserve">правовідносинах. Вони базуються на загальновизнаних принципах права, таких як: </w:t>
      </w:r>
    </w:p>
    <w:p w14:paraId="3A153FD0" w14:textId="77777777" w:rsidR="00220D3E" w:rsidRPr="00511005" w:rsidRDefault="00220D3E" w:rsidP="003F6A5D">
      <w:pPr>
        <w:numPr>
          <w:ilvl w:val="0"/>
          <w:numId w:val="174"/>
        </w:numPr>
        <w:tabs>
          <w:tab w:val="clear" w:pos="720"/>
          <w:tab w:val="left" w:pos="709"/>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Верховенство права;</w:t>
      </w:r>
    </w:p>
    <w:p w14:paraId="5C3DDF8F" w14:textId="77777777" w:rsidR="00220D3E" w:rsidRPr="00511005" w:rsidRDefault="00220D3E" w:rsidP="003F6A5D">
      <w:pPr>
        <w:numPr>
          <w:ilvl w:val="0"/>
          <w:numId w:val="174"/>
        </w:numPr>
        <w:tabs>
          <w:tab w:val="clear" w:pos="720"/>
          <w:tab w:val="left" w:pos="709"/>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Суверенітет держав;</w:t>
      </w:r>
    </w:p>
    <w:p w14:paraId="4CB6585A" w14:textId="77777777" w:rsidR="00220D3E" w:rsidRPr="00511005" w:rsidRDefault="00220D3E" w:rsidP="003F6A5D">
      <w:pPr>
        <w:numPr>
          <w:ilvl w:val="0"/>
          <w:numId w:val="174"/>
        </w:numPr>
        <w:tabs>
          <w:tab w:val="clear" w:pos="720"/>
          <w:tab w:val="left" w:pos="709"/>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Захист прав і свобод людини;</w:t>
      </w:r>
    </w:p>
    <w:p w14:paraId="0A6841A6" w14:textId="77777777" w:rsidR="00220D3E" w:rsidRPr="00511005" w:rsidRDefault="00220D3E" w:rsidP="003F6A5D">
      <w:pPr>
        <w:numPr>
          <w:ilvl w:val="0"/>
          <w:numId w:val="174"/>
        </w:numPr>
        <w:tabs>
          <w:tab w:val="clear" w:pos="720"/>
          <w:tab w:val="left" w:pos="709"/>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Взаємоповага між суб’єктами міжнародного права. </w:t>
      </w:r>
      <w:r w:rsidRPr="00511005">
        <w:rPr>
          <w:rFonts w:ascii="Arial" w:eastAsia="Times New Roman" w:hAnsi="Arial" w:cs="Arial"/>
          <w:szCs w:val="28"/>
          <w:lang w:val="uk-UA" w:eastAsia="ru-RU"/>
        </w:rPr>
        <w:t>[1].</w:t>
      </w:r>
    </w:p>
    <w:p w14:paraId="5CAB45AF"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Міжнародне публічне право регулює відносини між державами, міжнародними організаціями та іншими суб’єктами міжнародних відносин. Його основна функція – встановлення загальноприйнятих норм і принципів, які визначають правовий порядок у міжнародному співтоваристві.</w:t>
      </w:r>
    </w:p>
    <w:p w14:paraId="319D363F"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Натомість міжнародне приватне право регулює приватноправові відносини, що виходять за межі однієї держави і містять іноземний елемент. Це можуть бути правовідносини між фізичними чи юридичними особами різних країн, питання застосування колізійних норм та виконання іноземних судових рішень. </w:t>
      </w:r>
      <w:r w:rsidRPr="00511005">
        <w:rPr>
          <w:rFonts w:ascii="Arial" w:eastAsia="Times New Roman" w:hAnsi="Arial" w:cs="Arial"/>
          <w:szCs w:val="28"/>
          <w:lang w:val="uk-UA" w:eastAsia="ru-RU"/>
        </w:rPr>
        <w:t>[1].</w:t>
      </w:r>
    </w:p>
    <w:p w14:paraId="7736E966"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Зв’язок між міжнародним приватним правом та міжнародним публічним правом особливо помітний у випадках, коли норми міжнародного публічного права безпосередньо впливають на приватноправові відносини. Наприклад, у випадках порушень прав людини внаслідок збройних конфліктів міжнародне публічне право встановлює механізми захисту потерпілих осіб та відповідальності суб’єктів, що порушують ці права. Водночас міжнародне приватне право може визначати механізми відшкодування шкоди та юрисдикцію судів, які розглядатимуть такі справи.</w:t>
      </w:r>
    </w:p>
    <w:p w14:paraId="10A4D815"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Російське вторгнення в Україну є яскравим прикладом взаємодії між цими двома галузями. Порушення міжнародного публічного права з боку Російської Федерації (агресія, воєнні злочини, депортації) створює підґрунтя для застосування механізмів міжнародного приватного права щодо відшкодування збитків та притягнення винних до відповідальності. Важливу роль у цьому процесі відіграють міжнародні суди, національні законодавства та міжнародні угоди, що встановлюють процедури судового переслідування та виконання рішень. </w:t>
      </w:r>
      <w:r w:rsidRPr="00511005">
        <w:rPr>
          <w:rFonts w:ascii="Arial" w:eastAsia="Times New Roman" w:hAnsi="Arial" w:cs="Arial"/>
          <w:szCs w:val="28"/>
          <w:lang w:val="uk-UA" w:eastAsia="ru-RU"/>
        </w:rPr>
        <w:t>[3].</w:t>
      </w:r>
    </w:p>
    <w:p w14:paraId="1F025202"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З огляду на вищезазначене, взаємодія між міжнародним публічним та міжнародним приватним правом є не лише теоретичним, а й практичним питанням, що має важливе значення для правозастосовної діяльності. У сучасних умовах глобалізації та зростання кількості транскордонних правовідносин ця взаємодія набуває все більшої актуальності. </w:t>
      </w:r>
      <w:r w:rsidRPr="00511005">
        <w:rPr>
          <w:rFonts w:ascii="Arial" w:eastAsia="Times New Roman" w:hAnsi="Arial" w:cs="Arial"/>
          <w:szCs w:val="28"/>
          <w:lang w:val="uk-UA" w:eastAsia="ru-RU"/>
        </w:rPr>
        <w:t>[2].</w:t>
      </w:r>
    </w:p>
    <w:p w14:paraId="3710C8EE"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Одним із ключових аспектів такої взаємодії є імплементація міжнародних норм у національні правові системи. Держави, що є учасниками міжнародних договорів, зобов’язані адаптувати своє законодавство до загальноприйнятих стандартів. Це, у свою чергу, сприяє ефективному захисту прав осіб, що опинилися у ситуаціях, пов’язаних із іноземним елементом. Наприклад, у сфері захисту прав людини рішення </w:t>
      </w:r>
      <w:r w:rsidRPr="00511005">
        <w:rPr>
          <w:rFonts w:ascii="Arial" w:eastAsia="Times New Roman" w:hAnsi="Arial" w:cs="Arial"/>
          <w:szCs w:val="28"/>
          <w:lang w:val="uk-UA"/>
        </w:rPr>
        <w:lastRenderedPageBreak/>
        <w:t>Європейського суду з прав людини можуть мати безпосередній вплив на національні судові процеси та приватноправові відносини.</w:t>
      </w:r>
    </w:p>
    <w:p w14:paraId="19F920C3"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Також варто зазначити, що взаємозв’язок між двома галузями міжнародного права виявляється у питаннях правової допомоги, екстрадиції, визнання та виконання іноземних судових рішень. Наприклад, у випадках міжнародного шахрайства чи фінансових злочинів норми міжнародного публічного права можуть встановлювати механізми співпраці між державами, тоді як міжнародне приватне право визначає способи вирішення конкретних спорів між фізичними та юридичними особами. </w:t>
      </w:r>
      <w:r w:rsidRPr="00511005">
        <w:rPr>
          <w:rFonts w:ascii="Arial" w:eastAsia="Times New Roman" w:hAnsi="Arial" w:cs="Arial"/>
          <w:szCs w:val="28"/>
          <w:lang w:val="uk-UA" w:eastAsia="ru-RU"/>
        </w:rPr>
        <w:t>[4].</w:t>
      </w:r>
    </w:p>
    <w:p w14:paraId="056AAB91"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Крім того, важливим моментом є роль міжнародних організацій у формуванні правових стандартів, які впливають як на міжнародне публічне, так і на міжнародне приватне право. Значну роль у цьому процесі відіграють міжнародні конвенції, модельні закони та рекомендації, які розробляються під егідою цих організацій.</w:t>
      </w:r>
    </w:p>
    <w:p w14:paraId="68447B2B"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Наприклад, Гаазька конференція з міжнародного приватного права сприяє уніфікації колізійних норм та процедур у сфері сімейного, торговельного та цивільного права, що дозволяє ефективно вирішувати транскордонні спори.</w:t>
      </w:r>
    </w:p>
    <w:p w14:paraId="263601E1"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Організація Об’єднаних Націй, зокрема через Комісію ООН з міжнародного торгового права, формує загальновизнані стандарти у сфері міжнародного комерційного арбітражу, електронної комерції та міжнародних контрактів. Це сприяє гармонізації приватноправових норм на міжнародному рівні, що особливо важливо для розвитку глобальної економіки.</w:t>
      </w:r>
    </w:p>
    <w:p w14:paraId="00F2E5BD"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Європейський Союз та Рада Європи впроваджують правові механізми, які забезпечують баланс між державним суверенітетом та загальновизнаними принципами міжнародного права. Наприклад, регламенти та директиви ЄС у сфері міжнародного приватного права сприяють спрощенню процедур взаємного визнання судових рішень, що має ключове значення для транскордонного правосуддя.</w:t>
      </w:r>
    </w:p>
    <w:p w14:paraId="016444B4"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Таким чином, міжнародні організації виконують функцію посередника між нормами міжнародного публічного та приватного права, сприяючи їх гармонізації, уніфікації та ефективному застосуванню в умовах глобалізації. </w:t>
      </w:r>
      <w:r w:rsidRPr="00511005">
        <w:rPr>
          <w:rFonts w:ascii="Arial" w:eastAsia="Times New Roman" w:hAnsi="Arial" w:cs="Arial"/>
          <w:szCs w:val="28"/>
          <w:lang w:val="uk-UA" w:eastAsia="ru-RU"/>
        </w:rPr>
        <w:t>[3].</w:t>
      </w:r>
    </w:p>
    <w:p w14:paraId="7EAC53FA"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У висновку варто зазначити, що зважаючи на сучасні виклики, такі як міжнародні конфлікти, масові порушення прав людини, транснаціональна злочинність та кіберзлочинність, необхідно удосконалювати механізми взаємодії між міжнародним приватним і публічним правом. У цьому контексті особливу увагу слід приділити:</w:t>
      </w:r>
    </w:p>
    <w:p w14:paraId="341E9811" w14:textId="77777777" w:rsidR="00220D3E" w:rsidRPr="00511005" w:rsidRDefault="00220D3E" w:rsidP="003F6A5D">
      <w:pPr>
        <w:numPr>
          <w:ilvl w:val="0"/>
          <w:numId w:val="175"/>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створенню уніфікованих підходів до вирішення колізій між правовими системами різних держав;</w:t>
      </w:r>
    </w:p>
    <w:p w14:paraId="14BC813F" w14:textId="77777777" w:rsidR="00220D3E" w:rsidRPr="00511005" w:rsidRDefault="00220D3E" w:rsidP="003F6A5D">
      <w:pPr>
        <w:numPr>
          <w:ilvl w:val="0"/>
          <w:numId w:val="175"/>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вдосконаленню механізмів застосування норм міжнародного права у приватноправових відносинах;</w:t>
      </w:r>
    </w:p>
    <w:p w14:paraId="1EB702CA" w14:textId="77777777" w:rsidR="00220D3E" w:rsidRPr="00511005" w:rsidRDefault="00220D3E" w:rsidP="003F6A5D">
      <w:pPr>
        <w:numPr>
          <w:ilvl w:val="0"/>
          <w:numId w:val="175"/>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lastRenderedPageBreak/>
        <w:t>зміцненню міжнародного співробітництва в межах правозастосовної діяльності;</w:t>
      </w:r>
    </w:p>
    <w:p w14:paraId="6DF2BBFF" w14:textId="77777777" w:rsidR="00220D3E" w:rsidRPr="00511005" w:rsidRDefault="00220D3E" w:rsidP="003F6A5D">
      <w:pPr>
        <w:numPr>
          <w:ilvl w:val="0"/>
          <w:numId w:val="175"/>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розробці нових правових механізмів, що враховують особливості як міжнародного публічного, так і приватного права.</w:t>
      </w:r>
    </w:p>
    <w:p w14:paraId="142323D2" w14:textId="77777777" w:rsidR="00220D3E" w:rsidRPr="00511005" w:rsidRDefault="00220D3E" w:rsidP="003A292D">
      <w:pPr>
        <w:tabs>
          <w:tab w:val="left" w:pos="709"/>
        </w:tabs>
        <w:spacing w:line="264" w:lineRule="auto"/>
        <w:rPr>
          <w:rFonts w:ascii="Arial" w:eastAsia="Times New Roman" w:hAnsi="Arial" w:cs="Arial"/>
          <w:szCs w:val="28"/>
          <w:lang w:val="uk-UA"/>
        </w:rPr>
      </w:pPr>
      <w:r w:rsidRPr="00511005">
        <w:rPr>
          <w:rFonts w:ascii="Arial" w:eastAsia="Times New Roman" w:hAnsi="Arial" w:cs="Arial"/>
          <w:szCs w:val="28"/>
          <w:lang w:val="uk-UA"/>
        </w:rPr>
        <w:t>Це дозволить не лише підвищити ефективність правового регулювання, а й забезпечити реальний захист прав та інтересів осіб у міжнародних правовідносинах.</w:t>
      </w:r>
    </w:p>
    <w:p w14:paraId="2321DE45" w14:textId="77777777" w:rsidR="00220D3E" w:rsidRPr="00511005" w:rsidRDefault="00220D3E" w:rsidP="003A292D">
      <w:pPr>
        <w:tabs>
          <w:tab w:val="left" w:pos="709"/>
        </w:tabs>
        <w:spacing w:line="264" w:lineRule="auto"/>
        <w:jc w:val="left"/>
        <w:rPr>
          <w:rFonts w:ascii="Arial" w:eastAsia="Times New Roman" w:hAnsi="Arial" w:cs="Arial"/>
          <w:b/>
          <w:szCs w:val="28"/>
          <w:lang w:val="uk-UA" w:eastAsia="ru-RU"/>
        </w:rPr>
      </w:pPr>
    </w:p>
    <w:p w14:paraId="6558D2A2" w14:textId="3C184FDB"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1B957B54" w14:textId="77777777" w:rsidR="00220D3E" w:rsidRPr="00511005" w:rsidRDefault="00220D3E" w:rsidP="003F6A5D">
      <w:pPr>
        <w:numPr>
          <w:ilvl w:val="0"/>
          <w:numId w:val="173"/>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Закон України «Про міжнародне приватне право». Офіційний сайт Верховної ради України. URL: </w:t>
      </w:r>
      <w:hyperlink r:id="rId320" w:anchor="Text" w:history="1">
        <w:r w:rsidRPr="00511005">
          <w:rPr>
            <w:rFonts w:ascii="Arial" w:eastAsia="Calibri" w:hAnsi="Arial" w:cs="Arial"/>
            <w:szCs w:val="28"/>
            <w:lang w:val="uk-UA"/>
          </w:rPr>
          <w:t>https://zakon.rada.gov.ua/laws/show/2709-15#Text</w:t>
        </w:r>
      </w:hyperlink>
      <w:r w:rsidRPr="00511005">
        <w:rPr>
          <w:rFonts w:ascii="Arial" w:eastAsia="Calibri" w:hAnsi="Arial" w:cs="Arial"/>
          <w:szCs w:val="28"/>
          <w:lang w:val="uk-UA"/>
        </w:rPr>
        <w:t xml:space="preserve"> (дата звернення 02.04.2025 р.).</w:t>
      </w:r>
    </w:p>
    <w:p w14:paraId="50A8FD43" w14:textId="77777777" w:rsidR="00220D3E" w:rsidRPr="00511005" w:rsidRDefault="00220D3E" w:rsidP="003F6A5D">
      <w:pPr>
        <w:numPr>
          <w:ilvl w:val="0"/>
          <w:numId w:val="173"/>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Акіменко Ю.Ю., Бєлогубова О.О., Мануїлова К.В., Войтович П.П., Канєнберг-Сандул О.К. Міжнародне публічне та приватне право сучасності: навчально-методичний посібник. Львів: Видавець Кошовий Б.-Π.Ο., 2023. – 99 с.</w:t>
      </w:r>
    </w:p>
    <w:p w14:paraId="7E08D292" w14:textId="77777777" w:rsidR="00220D3E" w:rsidRPr="00511005" w:rsidRDefault="00220D3E" w:rsidP="003F6A5D">
      <w:pPr>
        <w:numPr>
          <w:ilvl w:val="0"/>
          <w:numId w:val="173"/>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Кузьменко О. Ю., Панасевич Л. А., Новосад І. В. Взаємодія між міжнародним приватним правом та публічним міжнародним правом: питання конфлікту, норм та їх регулювання. Електронне наукове видання «Аналітично-порівняльне правознавство». 2017. С. 152–156.</w:t>
      </w:r>
    </w:p>
    <w:p w14:paraId="33832613" w14:textId="77777777" w:rsidR="00220D3E" w:rsidRPr="00511005" w:rsidRDefault="00220D3E" w:rsidP="003F6A5D">
      <w:pPr>
        <w:numPr>
          <w:ilvl w:val="0"/>
          <w:numId w:val="173"/>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Мережко О.О. Співвідношення міжнародного приватного з міжнародним публічним правом. Юридична газета. № 17. 2004. 18 с.</w:t>
      </w:r>
    </w:p>
    <w:p w14:paraId="4958644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5F0B7BD6" w14:textId="67E2CD02"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міжнародне приватне право, міжнародне публічне право, захист прав, приватноправові відносини, міжнародні організації, взаємодія, транскордонні відносини, колізійні норми, правові механізми.</w:t>
      </w:r>
    </w:p>
    <w:p w14:paraId="569AB99A" w14:textId="10C9F730"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private international law, public international law, protection of rights, private law relations, international organizations, interaction, cross-border relations, conflict of laws rules, legal mechanisms.</w:t>
      </w:r>
    </w:p>
    <w:p w14:paraId="08CF2243" w14:textId="6F14280E" w:rsidR="00220D3E" w:rsidRPr="00511005" w:rsidRDefault="007B2628" w:rsidP="003A292D">
      <w:pPr>
        <w:tabs>
          <w:tab w:val="left" w:pos="709"/>
        </w:tabs>
        <w:spacing w:line="264" w:lineRule="auto"/>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асистент кафедри, Бугаєць А.С.</w:t>
      </w:r>
    </w:p>
    <w:p w14:paraId="0D622B9A"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1BD7A9D1" w14:textId="77777777" w:rsidR="00146592" w:rsidRPr="00511005" w:rsidRDefault="00220D3E" w:rsidP="003A292D">
      <w:pPr>
        <w:tabs>
          <w:tab w:val="left" w:pos="709"/>
        </w:tabs>
        <w:spacing w:line="264" w:lineRule="auto"/>
        <w:ind w:firstLine="0"/>
        <w:jc w:val="center"/>
        <w:rPr>
          <w:rFonts w:ascii="Arial" w:eastAsia="Times New Roman" w:hAnsi="Arial" w:cs="Arial"/>
          <w:b/>
          <w:bCs/>
          <w:iCs/>
          <w:szCs w:val="28"/>
          <w:lang w:eastAsia="ru-RU"/>
        </w:rPr>
      </w:pPr>
      <w:r w:rsidRPr="00511005">
        <w:rPr>
          <w:rFonts w:ascii="Arial" w:eastAsia="Times New Roman" w:hAnsi="Arial" w:cs="Arial"/>
          <w:b/>
          <w:bCs/>
          <w:iCs/>
          <w:szCs w:val="28"/>
          <w:lang w:eastAsia="ru-RU"/>
        </w:rPr>
        <w:t>Деренюк Ангеліна Олександрівна</w:t>
      </w:r>
    </w:p>
    <w:p w14:paraId="7B250722" w14:textId="566C8282" w:rsidR="008C34CC" w:rsidRPr="00511005" w:rsidRDefault="00536AAB"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568F9A7D" w14:textId="77777777" w:rsidR="008C34CC" w:rsidRPr="00511005" w:rsidRDefault="008C34CC"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FA8B037" w14:textId="68F9C547" w:rsidR="00220D3E" w:rsidRPr="00511005" w:rsidRDefault="007B2628"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557CF0BE"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eastAsia="ru-RU"/>
        </w:rPr>
      </w:pPr>
    </w:p>
    <w:p w14:paraId="352C7CCB"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b/>
          <w:bCs/>
          <w:iCs/>
          <w:szCs w:val="28"/>
          <w:lang w:eastAsia="ru-RU"/>
        </w:rPr>
        <w:t>ЦИФРОВІ ПРАВА ЛЮДИНИ: МІЖНАРОДНІ СТАНДАРТИ ТА НАЦІОНАЛЬНА ІМПЛЕМЕНТАЦІЯ</w:t>
      </w:r>
    </w:p>
    <w:p w14:paraId="06BC547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Стрімкий розвиток інформаційних технологій та цифровізація практично всіх сфер суспільного життя зумовлюють необхідність переосмислення концепції прав людини у контексті цифрового середовища. </w:t>
      </w:r>
      <w:r w:rsidRPr="00511005">
        <w:rPr>
          <w:rFonts w:ascii="Arial" w:eastAsia="Times New Roman" w:hAnsi="Arial" w:cs="Arial"/>
          <w:szCs w:val="28"/>
          <w:lang w:eastAsia="ru-RU"/>
        </w:rPr>
        <w:lastRenderedPageBreak/>
        <w:t>За даними Міністерства цифрової трансформації України, понад 75% громадян України є активними користувачами інтернету, а щорічне зростання кількості кіберінцидентів становить близько 30%. У таких умовах формування ефективної системи захисту цифрових прав людини стає нагальною потребою як на міжнародному, так і на національному рівнях.</w:t>
      </w:r>
    </w:p>
    <w:p w14:paraId="01FFF44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Правове регулювання цифрових прав на міжнародному рівні представлене низкою документів, серед яких: Загальна декларація прав людини, Міжнародний пакт про громадянські та політичні права, Конвенція про захист прав людини і основоположних свобод, які хоча й були розроблені до настання цифрової ери, але містять положення, що можуть бути застосовані до цифрових прав [1, с. 42]. Сучасні міжнародні документи, які безпосередньо стосуються цифрових прав, включають Резолюцію Ради ООН з прав людини «Про сприяння, захист та реалізацію прав людини в Інтернеті» (2016 р.), Талліннське керівництво 2.0 щодо міжнародного права, застосовного до кібероперацій (2017 р.), Хартію цифрових прав Європейського Союзу (2022 р.) [2, с. 119].</w:t>
      </w:r>
    </w:p>
    <w:p w14:paraId="534A117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Аналіз міжнародної практики дозволяє виділити кілька ключових категорій цифрових прав: право на доступ до інтернету, право на приватність у цифровому просторі, право на забуття (право бути видаленим), свободу вираження поглядів в інтернеті, право на захист персональних даних [3, с. 67]. Особливу увагу міжнародна спільнота приділяє також правам окремих вразливих груп у цифровому середовищі, зокрема захисту дітей від шкідливого контенту та забезпеченню доступності цифрових послуг для осіб з інвалідністю.</w:t>
      </w:r>
    </w:p>
    <w:p w14:paraId="5B8DEB3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Імплементація міжнародних стандартів цифрових прав у національне законодавство України характеризується фрагментарністю та неповнотою. Правову основу захисту цифрових прав в Україні становлять Конституція України, закони України «Про інформацію», «Про захист персональних даних», «Про електронні комунікації», «Про основні засади забезпечення кібербезпеки України», «Про електронні довірчі послуги» [4, с. 93]. Проте, як зазначають Петренко В. О. та Марчук Т. С., законодавство України потребує суттєвого оновлення для ефективного захисту цифрових прав відповідно до міжнародних стандартів [5, с. 187].</w:t>
      </w:r>
    </w:p>
    <w:p w14:paraId="6E86532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Особливе значення у контексті забезпечення цифрових прав має судова практика. Європейський суд з прав людини сформував значний масив прецедентів щодо захисту приватності в інтернеті, доступу до інформації, свободи вираження поглядів у цифровому просторі, які мають бути враховані національними судами. Наприклад, у справі «Копланд проти Сполученого Королівства» Суд встановив, що моніторинг електронної пошти співробітників без їхнього відома становить порушення права на приватність [2, с. 123]. В українській судовій практиці поступово формується </w:t>
      </w:r>
      <w:r w:rsidRPr="00511005">
        <w:rPr>
          <w:rFonts w:ascii="Arial" w:eastAsia="Times New Roman" w:hAnsi="Arial" w:cs="Arial"/>
          <w:szCs w:val="28"/>
          <w:lang w:eastAsia="ru-RU"/>
        </w:rPr>
        <w:lastRenderedPageBreak/>
        <w:t>відповідна правозастосовна практика, проте вона залишається несистемною та неуніфікованою.</w:t>
      </w:r>
    </w:p>
    <w:p w14:paraId="32320B9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Психологічні аспекти реалізації цифрових прав характеризуються суперечливими тенденціями. З одного боку, доступ до цифрових технологій розширює можливості самореалізації особистості, з іншого – породжує нові форми залежності, психологічного тиску та маніпулювання [3, с. 71]. Дослідження Сидоренко Г. В. та Ковальчук К. М. свідчать про зростання випадків кібербулінгу, цифрового сталкінгу, а також інформаційного перевантаження, що негативно впливає на психічне здоров'я користувачів інтернету [1, с. 47].</w:t>
      </w:r>
    </w:p>
    <w:p w14:paraId="44F4624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Важливим аспектом забезпечення цифрових прав є підвищення цифрової грамотності населення. За даними дослідження Міністерства цифрової трансформації України, близько 38% українців мають низький рівень цифрових навичок, що обмежує їхню здатність ефективно захищати власні права у цифровому середовищі [5, с. 190]. Програми з підвищення цифрової грамотності повинні охоплювати різні категорії населення та включати не лише технічні аспекти роботи з цифровими технологіями, а й правову освіту щодо цифрових прав.</w:t>
      </w:r>
    </w:p>
    <w:p w14:paraId="6E6AE1E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 підставі проведеного дослідження можна запропонувати наступні шляхи вдосконалення національної системи захисту цифрових прав:</w:t>
      </w:r>
    </w:p>
    <w:p w14:paraId="15697041" w14:textId="77777777" w:rsidR="00220D3E" w:rsidRPr="00511005" w:rsidRDefault="00220D3E" w:rsidP="003F6A5D">
      <w:pPr>
        <w:numPr>
          <w:ilvl w:val="0"/>
          <w:numId w:val="97"/>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прийняття спеціального Закону України «Про цифрові права людини», який би комплексно регулював основні аспекти захисту прав людини у цифровому середовищі;</w:t>
      </w:r>
    </w:p>
    <w:p w14:paraId="0904218B" w14:textId="77777777" w:rsidR="00220D3E" w:rsidRPr="00511005" w:rsidRDefault="00220D3E" w:rsidP="003F6A5D">
      <w:pPr>
        <w:numPr>
          <w:ilvl w:val="0"/>
          <w:numId w:val="97"/>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створення спеціалізованого органу з питань захисту цифрових прав громадян з повноваженнями щодо моніторингу порушень та превентивних заходів;</w:t>
      </w:r>
    </w:p>
    <w:p w14:paraId="7E87803F" w14:textId="77777777" w:rsidR="00220D3E" w:rsidRPr="00511005" w:rsidRDefault="00220D3E" w:rsidP="003F6A5D">
      <w:pPr>
        <w:numPr>
          <w:ilvl w:val="0"/>
          <w:numId w:val="97"/>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розробка національної стратегії цифрової безпеки з акцентом на захист приватності, персональних даних та свободи вираження поглядів в інтернеті;</w:t>
      </w:r>
    </w:p>
    <w:p w14:paraId="2F4FFE47" w14:textId="77777777" w:rsidR="00220D3E" w:rsidRPr="00511005" w:rsidRDefault="00220D3E" w:rsidP="003F6A5D">
      <w:pPr>
        <w:numPr>
          <w:ilvl w:val="0"/>
          <w:numId w:val="97"/>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запровадження обов'язкових освітніх програм з цифрової грамотності та цифрових прав </w:t>
      </w:r>
      <w:proofErr w:type="gramStart"/>
      <w:r w:rsidRPr="00511005">
        <w:rPr>
          <w:rFonts w:ascii="Arial" w:eastAsia="Times New Roman" w:hAnsi="Arial" w:cs="Arial"/>
          <w:szCs w:val="28"/>
          <w:lang w:eastAsia="ru-RU"/>
        </w:rPr>
        <w:t>у закладах</w:t>
      </w:r>
      <w:proofErr w:type="gramEnd"/>
      <w:r w:rsidRPr="00511005">
        <w:rPr>
          <w:rFonts w:ascii="Arial" w:eastAsia="Times New Roman" w:hAnsi="Arial" w:cs="Arial"/>
          <w:szCs w:val="28"/>
          <w:lang w:eastAsia="ru-RU"/>
        </w:rPr>
        <w:t xml:space="preserve"> освіти різних рівнів;</w:t>
      </w:r>
    </w:p>
    <w:p w14:paraId="2ADABA58" w14:textId="77777777" w:rsidR="00220D3E" w:rsidRPr="00511005" w:rsidRDefault="00220D3E" w:rsidP="003F6A5D">
      <w:pPr>
        <w:numPr>
          <w:ilvl w:val="0"/>
          <w:numId w:val="97"/>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розвиток механізмів досудового вирішення спорів у сфері порушення цифрових прав та створення спеціалізованих судових інстанцій.</w:t>
      </w:r>
    </w:p>
    <w:p w14:paraId="242B7F9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забезпечення цифрових прав людини потребує комплексного підходу, який би гармонійно поєднував імплементацію міжнародних стандартів, розвиток національного законодавства, формування ефективної правозастосовної практики та підвищення цифрової грамотності населення. Особлива увага повинна приділятися балансу між забезпеченням цифрових свобод та захистом національної безпеки в умовах гібридних загроз сучасності.</w:t>
      </w:r>
    </w:p>
    <w:p w14:paraId="33C976A1"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52D8C49F" w14:textId="510048F2" w:rsidR="00220D3E" w:rsidRPr="00511005" w:rsidRDefault="007B2628" w:rsidP="007B2628">
      <w:pPr>
        <w:tabs>
          <w:tab w:val="left" w:pos="709"/>
        </w:tabs>
        <w:spacing w:line="264" w:lineRule="auto"/>
        <w:jc w:val="center"/>
        <w:rPr>
          <w:rFonts w:ascii="Arial" w:eastAsia="Times New Roman" w:hAnsi="Arial" w:cs="Arial"/>
          <w:szCs w:val="28"/>
          <w:lang w:val="en-US" w:eastAsia="ru-RU"/>
        </w:rPr>
      </w:pPr>
      <w:r w:rsidRPr="00511005">
        <w:rPr>
          <w:rFonts w:ascii="Arial" w:eastAsia="Times New Roman" w:hAnsi="Arial" w:cs="Arial"/>
          <w:b/>
          <w:bCs/>
          <w:szCs w:val="28"/>
          <w:lang w:val="uk-UA" w:eastAsia="ru-RU"/>
        </w:rPr>
        <w:t>Список використаних джерел</w:t>
      </w:r>
    </w:p>
    <w:p w14:paraId="60FBE233" w14:textId="77777777" w:rsidR="00220D3E" w:rsidRPr="00511005" w:rsidRDefault="00220D3E" w:rsidP="003F6A5D">
      <w:pPr>
        <w:numPr>
          <w:ilvl w:val="0"/>
          <w:numId w:val="98"/>
        </w:numPr>
        <w:tabs>
          <w:tab w:val="clear" w:pos="720"/>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lastRenderedPageBreak/>
        <w:t xml:space="preserve">Карпенко С. М. Цифрові права людини: теоретико-правові </w:t>
      </w:r>
      <w:proofErr w:type="gramStart"/>
      <w:r w:rsidRPr="00511005">
        <w:rPr>
          <w:rFonts w:ascii="Arial" w:eastAsia="Times New Roman" w:hAnsi="Arial" w:cs="Arial"/>
          <w:szCs w:val="28"/>
          <w:lang w:eastAsia="ru-RU"/>
        </w:rPr>
        <w:t>аспекти :</w:t>
      </w:r>
      <w:proofErr w:type="gramEnd"/>
      <w:r w:rsidRPr="00511005">
        <w:rPr>
          <w:rFonts w:ascii="Arial" w:eastAsia="Times New Roman" w:hAnsi="Arial" w:cs="Arial"/>
          <w:szCs w:val="28"/>
          <w:lang w:eastAsia="ru-RU"/>
        </w:rPr>
        <w:t xml:space="preserve"> навч. посіб. </w:t>
      </w:r>
      <w:proofErr w:type="gramStart"/>
      <w:r w:rsidRPr="00511005">
        <w:rPr>
          <w:rFonts w:ascii="Arial" w:eastAsia="Times New Roman" w:hAnsi="Arial" w:cs="Arial"/>
          <w:szCs w:val="28"/>
          <w:lang w:val="en-US" w:eastAsia="ru-RU"/>
        </w:rPr>
        <w:t>Київ :</w:t>
      </w:r>
      <w:proofErr w:type="gramEnd"/>
      <w:r w:rsidRPr="00511005">
        <w:rPr>
          <w:rFonts w:ascii="Arial" w:eastAsia="Times New Roman" w:hAnsi="Arial" w:cs="Arial"/>
          <w:szCs w:val="28"/>
          <w:lang w:val="en-US" w:eastAsia="ru-RU"/>
        </w:rPr>
        <w:t xml:space="preserve"> Юрінком Інтер, 2023. 216 с.</w:t>
      </w:r>
    </w:p>
    <w:p w14:paraId="3A21A195" w14:textId="77777777" w:rsidR="00220D3E" w:rsidRPr="00511005" w:rsidRDefault="00220D3E" w:rsidP="003F6A5D">
      <w:pPr>
        <w:numPr>
          <w:ilvl w:val="0"/>
          <w:numId w:val="98"/>
        </w:numPr>
        <w:tabs>
          <w:tab w:val="clear" w:pos="720"/>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Петренко В. О., Марчук Т. С. Міжнародно-правові стандарти захисту прав людини у цифровому </w:t>
      </w:r>
      <w:proofErr w:type="gramStart"/>
      <w:r w:rsidRPr="00511005">
        <w:rPr>
          <w:rFonts w:ascii="Arial" w:eastAsia="Times New Roman" w:hAnsi="Arial" w:cs="Arial"/>
          <w:szCs w:val="28"/>
          <w:lang w:eastAsia="ru-RU"/>
        </w:rPr>
        <w:t>просторі :</w:t>
      </w:r>
      <w:proofErr w:type="gramEnd"/>
      <w:r w:rsidRPr="00511005">
        <w:rPr>
          <w:rFonts w:ascii="Arial" w:eastAsia="Times New Roman" w:hAnsi="Arial" w:cs="Arial"/>
          <w:szCs w:val="28"/>
          <w:lang w:eastAsia="ru-RU"/>
        </w:rPr>
        <w:t xml:space="preserve"> монографія. </w:t>
      </w:r>
      <w:proofErr w:type="gramStart"/>
      <w:r w:rsidRPr="00511005">
        <w:rPr>
          <w:rFonts w:ascii="Arial" w:eastAsia="Times New Roman" w:hAnsi="Arial" w:cs="Arial"/>
          <w:szCs w:val="28"/>
          <w:lang w:val="en-US" w:eastAsia="ru-RU"/>
        </w:rPr>
        <w:t>Харків :</w:t>
      </w:r>
      <w:proofErr w:type="gramEnd"/>
      <w:r w:rsidRPr="00511005">
        <w:rPr>
          <w:rFonts w:ascii="Arial" w:eastAsia="Times New Roman" w:hAnsi="Arial" w:cs="Arial"/>
          <w:szCs w:val="28"/>
          <w:lang w:val="en-US" w:eastAsia="ru-RU"/>
        </w:rPr>
        <w:t xml:space="preserve"> Право, 2022. 304 с.</w:t>
      </w:r>
    </w:p>
    <w:p w14:paraId="3740AFEA" w14:textId="77777777" w:rsidR="00220D3E" w:rsidRPr="00511005" w:rsidRDefault="00220D3E" w:rsidP="003F6A5D">
      <w:pPr>
        <w:numPr>
          <w:ilvl w:val="0"/>
          <w:numId w:val="98"/>
        </w:numPr>
        <w:tabs>
          <w:tab w:val="clear" w:pos="720"/>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Сидоренко Г. В., Ковальчук К. М. Психологічні аспекти реалізації цифрових </w:t>
      </w:r>
      <w:proofErr w:type="gramStart"/>
      <w:r w:rsidRPr="00511005">
        <w:rPr>
          <w:rFonts w:ascii="Arial" w:eastAsia="Times New Roman" w:hAnsi="Arial" w:cs="Arial"/>
          <w:szCs w:val="28"/>
          <w:lang w:eastAsia="ru-RU"/>
        </w:rPr>
        <w:t>прав :</w:t>
      </w:r>
      <w:proofErr w:type="gramEnd"/>
      <w:r w:rsidRPr="00511005">
        <w:rPr>
          <w:rFonts w:ascii="Arial" w:eastAsia="Times New Roman" w:hAnsi="Arial" w:cs="Arial"/>
          <w:szCs w:val="28"/>
          <w:lang w:eastAsia="ru-RU"/>
        </w:rPr>
        <w:t xml:space="preserve"> навч. посіб. </w:t>
      </w:r>
      <w:proofErr w:type="gramStart"/>
      <w:r w:rsidRPr="00511005">
        <w:rPr>
          <w:rFonts w:ascii="Arial" w:eastAsia="Times New Roman" w:hAnsi="Arial" w:cs="Arial"/>
          <w:szCs w:val="28"/>
          <w:lang w:val="en-US" w:eastAsia="ru-RU"/>
        </w:rPr>
        <w:t>Львів :</w:t>
      </w:r>
      <w:proofErr w:type="gramEnd"/>
      <w:r w:rsidRPr="00511005">
        <w:rPr>
          <w:rFonts w:ascii="Arial" w:eastAsia="Times New Roman" w:hAnsi="Arial" w:cs="Arial"/>
          <w:szCs w:val="28"/>
          <w:lang w:val="en-US" w:eastAsia="ru-RU"/>
        </w:rPr>
        <w:t xml:space="preserve"> Магнолія 2006, 2022. 184 с.</w:t>
      </w:r>
    </w:p>
    <w:p w14:paraId="47A9753B" w14:textId="77777777" w:rsidR="00220D3E" w:rsidRPr="00511005" w:rsidRDefault="00220D3E" w:rsidP="003F6A5D">
      <w:pPr>
        <w:numPr>
          <w:ilvl w:val="0"/>
          <w:numId w:val="98"/>
        </w:numPr>
        <w:tabs>
          <w:tab w:val="clear" w:pos="720"/>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Демченко О. П., Зінченко О. В. Нормативно-правове регулювання цифрових прав в </w:t>
      </w:r>
      <w:proofErr w:type="gramStart"/>
      <w:r w:rsidRPr="00511005">
        <w:rPr>
          <w:rFonts w:ascii="Arial" w:eastAsia="Times New Roman" w:hAnsi="Arial" w:cs="Arial"/>
          <w:szCs w:val="28"/>
          <w:lang w:eastAsia="ru-RU"/>
        </w:rPr>
        <w:t>Україні :</w:t>
      </w:r>
      <w:proofErr w:type="gramEnd"/>
      <w:r w:rsidRPr="00511005">
        <w:rPr>
          <w:rFonts w:ascii="Arial" w:eastAsia="Times New Roman" w:hAnsi="Arial" w:cs="Arial"/>
          <w:szCs w:val="28"/>
          <w:lang w:eastAsia="ru-RU"/>
        </w:rPr>
        <w:t xml:space="preserve"> навч.-метод. посіб. </w:t>
      </w:r>
      <w:proofErr w:type="gramStart"/>
      <w:r w:rsidRPr="00511005">
        <w:rPr>
          <w:rFonts w:ascii="Arial" w:eastAsia="Times New Roman" w:hAnsi="Arial" w:cs="Arial"/>
          <w:szCs w:val="28"/>
          <w:lang w:val="en-US" w:eastAsia="ru-RU"/>
        </w:rPr>
        <w:t>Одеса :</w:t>
      </w:r>
      <w:proofErr w:type="gramEnd"/>
      <w:r w:rsidRPr="00511005">
        <w:rPr>
          <w:rFonts w:ascii="Arial" w:eastAsia="Times New Roman" w:hAnsi="Arial" w:cs="Arial"/>
          <w:szCs w:val="28"/>
          <w:lang w:val="en-US" w:eastAsia="ru-RU"/>
        </w:rPr>
        <w:t xml:space="preserve"> Фенікс, 2022. 158 с.</w:t>
      </w:r>
    </w:p>
    <w:p w14:paraId="4B032E60" w14:textId="77777777" w:rsidR="00220D3E" w:rsidRPr="00511005" w:rsidRDefault="00220D3E" w:rsidP="003F6A5D">
      <w:pPr>
        <w:numPr>
          <w:ilvl w:val="0"/>
          <w:numId w:val="98"/>
        </w:numPr>
        <w:tabs>
          <w:tab w:val="clear" w:pos="720"/>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Антонюк А. Б., Бородін І. Л. Цифрові права у правовій системі України: виклики та </w:t>
      </w:r>
      <w:proofErr w:type="gramStart"/>
      <w:r w:rsidRPr="00511005">
        <w:rPr>
          <w:rFonts w:ascii="Arial" w:eastAsia="Times New Roman" w:hAnsi="Arial" w:cs="Arial"/>
          <w:szCs w:val="28"/>
          <w:lang w:eastAsia="ru-RU"/>
        </w:rPr>
        <w:t>перспективи :</w:t>
      </w:r>
      <w:proofErr w:type="gramEnd"/>
      <w:r w:rsidRPr="00511005">
        <w:rPr>
          <w:rFonts w:ascii="Arial" w:eastAsia="Times New Roman" w:hAnsi="Arial" w:cs="Arial"/>
          <w:szCs w:val="28"/>
          <w:lang w:eastAsia="ru-RU"/>
        </w:rPr>
        <w:t xml:space="preserve"> колективна монографія. </w:t>
      </w:r>
      <w:proofErr w:type="gramStart"/>
      <w:r w:rsidRPr="00511005">
        <w:rPr>
          <w:rFonts w:ascii="Arial" w:eastAsia="Times New Roman" w:hAnsi="Arial" w:cs="Arial"/>
          <w:szCs w:val="28"/>
          <w:lang w:val="en-US" w:eastAsia="ru-RU"/>
        </w:rPr>
        <w:t>Київ :</w:t>
      </w:r>
      <w:proofErr w:type="gramEnd"/>
      <w:r w:rsidRPr="00511005">
        <w:rPr>
          <w:rFonts w:ascii="Arial" w:eastAsia="Times New Roman" w:hAnsi="Arial" w:cs="Arial"/>
          <w:szCs w:val="28"/>
          <w:lang w:val="en-US" w:eastAsia="ru-RU"/>
        </w:rPr>
        <w:t xml:space="preserve"> Видавничий дім «Гельветика», 2023. 412 с.</w:t>
      </w:r>
    </w:p>
    <w:p w14:paraId="5416FFD3"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p>
    <w:p w14:paraId="11613186" w14:textId="5BCAA360"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Ключові слова: </w:t>
      </w:r>
      <w:r w:rsidR="00220D3E" w:rsidRPr="00511005">
        <w:rPr>
          <w:rFonts w:ascii="Arial" w:eastAsia="Times New Roman" w:hAnsi="Arial" w:cs="Arial"/>
          <w:szCs w:val="28"/>
          <w:lang w:val="en-US" w:eastAsia="ru-RU"/>
        </w:rPr>
        <w:t>цифрові права, міжнародні стандарти, національна імплементація, кібербезпека, персональні дані, право на приватність, цифрова грамотність, захист інформації, електронні комунікації, цифрове середовище.</w:t>
      </w:r>
    </w:p>
    <w:p w14:paraId="58B59C6C" w14:textId="79325A0A"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digital rights, international standards, national implementation, cybersecurity, personal data, right to privacy, digital literacy, information protection, electronic communications, digital environment.</w:t>
      </w:r>
    </w:p>
    <w:p w14:paraId="4A3EC4A8" w14:textId="19A613AC" w:rsidR="00220D3E" w:rsidRPr="00511005" w:rsidRDefault="007B2628" w:rsidP="003A292D">
      <w:pPr>
        <w:tabs>
          <w:tab w:val="left" w:pos="709"/>
        </w:tabs>
        <w:spacing w:line="264" w:lineRule="auto"/>
        <w:jc w:val="left"/>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eastAsia="ru-RU"/>
        </w:rPr>
        <w:t>к.ю.н., доцент</w:t>
      </w:r>
      <w:r w:rsidRPr="00511005">
        <w:rPr>
          <w:rFonts w:ascii="Arial" w:eastAsia="Times New Roman" w:hAnsi="Arial" w:cs="Arial"/>
          <w:i/>
          <w:iCs/>
          <w:szCs w:val="28"/>
          <w:lang w:eastAsia="ru-RU"/>
        </w:rPr>
        <w:t xml:space="preserve"> </w:t>
      </w:r>
      <w:r w:rsidR="00220D3E" w:rsidRPr="00511005">
        <w:rPr>
          <w:rFonts w:ascii="Arial" w:eastAsia="Times New Roman" w:hAnsi="Arial" w:cs="Arial"/>
          <w:i/>
          <w:iCs/>
          <w:szCs w:val="28"/>
          <w:lang w:eastAsia="ru-RU"/>
        </w:rPr>
        <w:t>Гриб А.М.</w:t>
      </w:r>
    </w:p>
    <w:p w14:paraId="650B50AC"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7E22C90C"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Дехніч Анастасія Вікторівна</w:t>
      </w:r>
    </w:p>
    <w:p w14:paraId="1787C726" w14:textId="2F4D774A"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t>студентка</w:t>
      </w:r>
      <w:r w:rsidRPr="00511005">
        <w:rPr>
          <w:rFonts w:ascii="Arial" w:eastAsia="Times New Roman" w:hAnsi="Arial" w:cs="Arial"/>
          <w:szCs w:val="28"/>
          <w:lang w:val="uk-UA" w:eastAsia="ru-RU"/>
        </w:rPr>
        <w:t xml:space="preserve"> 4-го курсу</w:t>
      </w:r>
      <w:r w:rsidR="001B7B25" w:rsidRPr="00511005">
        <w:rPr>
          <w:rFonts w:ascii="Arial" w:eastAsia="Times New Roman" w:hAnsi="Arial" w:cs="Arial"/>
          <w:szCs w:val="28"/>
          <w:lang w:val="uk-UA" w:eastAsia="ru-RU"/>
        </w:rPr>
        <w:t>факультету судового та міжнародного права</w:t>
      </w:r>
    </w:p>
    <w:p w14:paraId="4EEFC4F6" w14:textId="411ADCBC"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5F63E822"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16CD473B"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eastAsia="ru-RU"/>
        </w:rPr>
        <w:t>ПРОБЛЕМИ ЗАХИСТУ ПРАВ ДІТЕЙ ПІД ЧАС ВОЄННИХ ДІЙ В УКРАЇНІ</w:t>
      </w:r>
    </w:p>
    <w:p w14:paraId="5C3264F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початком широкомасштабної агресії Російської Федерації проти України питання захисту прав дітей набуло особливої гостроти. Діти стали однією з найбільш вразливих категорій населення, адже воєнні дії безпосередньо загрожують їхньому життю, здоров'ю, розвитку та благополуччю. У цих умовах міжнародне право відіграє вирішальну роль, встановлюючи стандарти захисту, обов'язки держав і механізми відповідальності за порушення прав неповнолітніх.</w:t>
      </w:r>
    </w:p>
    <w:p w14:paraId="1458635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Основним міжнародним документом у сфері захисту прав дітей є Конвенція ООН про права дитини 1989 року, яка визнає дитину носієм усіх фундаментальних прав людини та встановлює обов'язок держав-учасниць забезпечувати ці права навіть у надзвичайних обставинах, таких як війна. Стаття 38 Конвенції прямо зобов'язує держави вживати всіх можливих заходів для забезпечення захисту та догляду за дітьми, які постраждали внаслідок збройних конфліктів, з урахуванням норм міжнародного </w:t>
      </w:r>
      <w:r w:rsidRPr="00511005">
        <w:rPr>
          <w:rFonts w:ascii="Arial" w:eastAsia="Times New Roman" w:hAnsi="Arial" w:cs="Arial"/>
          <w:szCs w:val="28"/>
          <w:lang w:val="uk-UA" w:eastAsia="ru-RU"/>
        </w:rPr>
        <w:lastRenderedPageBreak/>
        <w:t>гуманітарного права [1]. Визнання особливого статусу дитини у міжнародному праві підкреслює, що права неповнолітніх не можуть бути обмежені навіть за найекстремальніших обставин. Захист дитини під час війни — це не просто декларація гуманності, а обов'язок, який визначає цивілізованість держави та всього міжнародного співтовариства.</w:t>
      </w:r>
    </w:p>
    <w:p w14:paraId="1DE729D7" w14:textId="59A5E803"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можна додати, що Резолюція Ради Безпеки 1539 (2004),</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виділила шість найтяжчих порушень проти дітей у конфліктах: убивства та каліцтва, викрадення дітей, напади на школи та лікарні, заперечення гуманітарного доступу, сексуальне насильство та використання дітей у збройних формуваннях</w:t>
      </w:r>
      <w:r w:rsidRPr="00511005">
        <w:rPr>
          <w:rFonts w:ascii="Arial" w:eastAsia="Times New Roman" w:hAnsi="Arial" w:cs="Arial"/>
          <w:szCs w:val="28"/>
          <w:lang w:eastAsia="ru-RU"/>
        </w:rPr>
        <w:t xml:space="preserve"> [2]</w:t>
      </w:r>
      <w:r w:rsidRPr="00511005">
        <w:rPr>
          <w:rFonts w:ascii="Arial" w:eastAsia="Times New Roman" w:hAnsi="Arial" w:cs="Arial"/>
          <w:szCs w:val="28"/>
          <w:lang w:val="uk-UA" w:eastAsia="ru-RU"/>
        </w:rPr>
        <w:t>. Кожен з цих випадків вимагає окремих механізмів моніторингу та реагування, з урахуванням специфіки збройного конфлікту в Україні.</w:t>
      </w:r>
    </w:p>
    <w:p w14:paraId="483CE9E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В свою чергу міжнародне гуманітарне право, насамперед Женевські конвенції 1949 року та їхні Додаткові протоколи, також містять ключові положення про захист дітей під час війни. Зокрема, IV Женевська конвенція "Про захист цивільного населення під час війни" забороняє насильницькі переміщення дітей, наполягає на збереженні їхніх родинних зв'язків та гарантує пріоритетний захист під час евакуації [3]. Додатковий протокол І встановлює спеціальні заходи охорони дітей, включаючи заборону вербування неповнолітніх до збройних сил та їхню участь у бойових діях </w:t>
      </w:r>
      <w:r w:rsidRPr="00511005">
        <w:rPr>
          <w:rFonts w:ascii="Arial" w:eastAsia="Times New Roman" w:hAnsi="Arial" w:cs="Arial"/>
          <w:szCs w:val="28"/>
          <w:lang w:eastAsia="ru-RU"/>
        </w:rPr>
        <w:t xml:space="preserve">[4]. </w:t>
      </w:r>
    </w:p>
    <w:p w14:paraId="63E64A1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Сучасна ситуація в Україні засвідчує масові порушення цих міжнародних норм. Зокрема, має місце насильницька депортація українських дітей до Росії та на тимчасово окуповані території. Такі дії кваліфікуються міжнародним правом як воєнні злочини та навіть можуть містити ознаки геноциду, відповідно до Конвенції про запобігання злочину геноциду та покарання за нього 1948 року. Бо насильницьке переміщення дітей не тільки порушує міжнародне право, а й руйнує їхню національну ідентичність, сімейні зв'язки та культурну приналежність. Такі злочини мають довгострокові наслідки, адже кожна викрадена дитина — це потенційна втрата для цілого народу.</w:t>
      </w:r>
    </w:p>
    <w:p w14:paraId="14B521E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Із міжнародної судової практики варто згадати рішення Міжнародного кримінального суду (МКС) у березні 2023 року про видачу ордерів на арешт президента Росії та уповноваженої з прав дитини у зв'язку з незаконною депортацією дітей з України [5]. Це стало прецедентом, який підтвердив: захист дітей під час війни перебуває в центрі уваги міжнародної кримінальної юстиції, і порушення цих прав не залишаться безкарними.</w:t>
      </w:r>
    </w:p>
    <w:p w14:paraId="03E29B0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Досвід роботи міжнародних трибуналів з колишньої Югославії та Руанди також свідчить, що злочини проти дітей, такі як викрадення, насильницьке переміщення та залучення до збройних конфліктів, кваліфікувалися судами як тяжкі порушення міжнародного гуманітарного права та злочини проти людяності.</w:t>
      </w:r>
    </w:p>
    <w:p w14:paraId="2762E61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Проте ефективність міжнародного захисту прав дітей часто обмежується політичними реаліями. Невчасне реагування, складність збору доказів під час активних бойових дій, відсутність контролю на окупованих територіях значно ускладнюють процес притягнення винних до відповідальності та забезпечення справедливості для постраждалих дітей. Але визнання політичних реалій не повинно зменшувати важливість постійного тиску на агресорів через механізми міжнародного права. Навіть якщо процес притягнення до відповідальності тривалий і складний, сам факт невідворотності покарання стає важливим сигналом: злочини проти дітей не будуть забуті.</w:t>
      </w:r>
    </w:p>
    <w:p w14:paraId="1820D15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Україна, зі свого боку, активно використовує міжнародні механізми для фіксації злочинів проти дітей, співпрацює з Міжнародним кримінальним судом, ООН, ЮНІСЕФ та іншими організаціями. </w:t>
      </w:r>
    </w:p>
    <w:p w14:paraId="3E0B2B0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Іншим аспектом є адаптація внутрішнього законодавства України до міжнародних стандартів захисту дітей. Прийняття законів, спрямованих на захист дітей, які постраждали внаслідок збройної агресії, як, наприклад, закон про компенсацію за пошкодження або знищення майна, є кроком вперед. Проте механізми реалізації таких законів часто залишаються недостатньо ефективними через нестабільну ситуацію, нестачу фінансування та людських ресурсів.</w:t>
      </w:r>
    </w:p>
    <w:p w14:paraId="4D7D94A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Особливу увагу заслуговує питання психологічної реабілітації дітей. Досвід попередніх збройних конфліктів показує, що травматичні переживання можуть мати довгостроковий негативний вплив на психічне здоров’я дітей. Українські інституції спільно з міжнародними партнерами вже розробляють програми психологічної підтримки, однак через масовість проблеми їх недостатньо.</w:t>
      </w:r>
    </w:p>
    <w:p w14:paraId="65BC11C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питання захисту прав дітей під час війни в Україні потребує комплексного підходу: поєднання національних зусиль із міжнародною підтримкою, активного застосування міжнародного права та невідворотного притягнення до відповідальності всіх, хто порушує права найуразливіших членів суспільства. Діти не мають ставати жертвами війни, і світове співтовариство повинне забезпечити їм реальний захист не тільки на папері, а й у реальному житті.</w:t>
      </w:r>
    </w:p>
    <w:p w14:paraId="7B039E1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Кожна дитина, яка постраждала від війни, має отримати реальну допомогу, а всі порушення її прав повинні бути ретельно задокументовані та розглянуті у міжнародних і національних судах. Захист дітей — це не лише питання моралі чи гуманності, це обов'язок кожної держави, який має виконуватися навіть у найскладніших обставинах. </w:t>
      </w:r>
    </w:p>
    <w:p w14:paraId="54D5CB0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28DA9533" w14:textId="4EF75488"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649A8E35" w14:textId="0A164F7B"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1.</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Конвенція про права </w:t>
      </w:r>
      <w:proofErr w:type="gramStart"/>
      <w:r w:rsidRPr="00511005">
        <w:rPr>
          <w:rFonts w:ascii="Arial" w:eastAsia="Times New Roman" w:hAnsi="Arial" w:cs="Arial"/>
          <w:szCs w:val="28"/>
          <w:lang w:eastAsia="ru-RU"/>
        </w:rPr>
        <w:t>дитини :</w:t>
      </w:r>
      <w:proofErr w:type="gramEnd"/>
      <w:r w:rsidRPr="00511005">
        <w:rPr>
          <w:rFonts w:ascii="Arial" w:eastAsia="Times New Roman" w:hAnsi="Arial" w:cs="Arial"/>
          <w:szCs w:val="28"/>
          <w:lang w:eastAsia="ru-RU"/>
        </w:rPr>
        <w:t xml:space="preserve"> Конвенція Орг. Об'єдн. Націй від</w:t>
      </w:r>
      <w:r w:rsidR="007B2628" w:rsidRPr="00511005">
        <w:rPr>
          <w:rFonts w:ascii="Arial" w:eastAsia="Times New Roman" w:hAnsi="Arial" w:cs="Arial"/>
          <w:szCs w:val="28"/>
          <w:lang w:eastAsia="ru-RU"/>
        </w:rPr>
        <w:t xml:space="preserve"> </w:t>
      </w:r>
      <w:proofErr w:type="gramStart"/>
      <w:r w:rsidRPr="00511005">
        <w:rPr>
          <w:rFonts w:ascii="Arial" w:eastAsia="Times New Roman" w:hAnsi="Arial" w:cs="Arial"/>
          <w:szCs w:val="28"/>
          <w:lang w:eastAsia="ru-RU"/>
        </w:rPr>
        <w:t>20.11.1989 :</w:t>
      </w:r>
      <w:proofErr w:type="gramEnd"/>
      <w:r w:rsidRPr="00511005">
        <w:rPr>
          <w:rFonts w:ascii="Arial" w:eastAsia="Times New Roman" w:hAnsi="Arial" w:cs="Arial"/>
          <w:szCs w:val="28"/>
          <w:lang w:eastAsia="ru-RU"/>
        </w:rPr>
        <w:t xml:space="preserve"> станом на 16 листоп. 2023 р. URL: </w:t>
      </w:r>
      <w:r w:rsidRPr="00511005">
        <w:rPr>
          <w:rFonts w:ascii="Arial" w:eastAsia="Times New Roman" w:hAnsi="Arial" w:cs="Arial"/>
          <w:szCs w:val="28"/>
          <w:lang w:eastAsia="ru-RU"/>
        </w:rPr>
        <w:lastRenderedPageBreak/>
        <w:t>https://zakon.rada.gov.ua/laws/show/995_021#Text (дата звернення: 27.04.2025).</w:t>
      </w:r>
    </w:p>
    <w:p w14:paraId="184E687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Резолюція Ради Безпеки ООН № 1539 (2004) щодо дітей, затягнутих у збройні </w:t>
      </w:r>
      <w:proofErr w:type="gramStart"/>
      <w:r w:rsidRPr="00511005">
        <w:rPr>
          <w:rFonts w:ascii="Arial" w:eastAsia="Times New Roman" w:hAnsi="Arial" w:cs="Arial"/>
          <w:szCs w:val="28"/>
          <w:lang w:eastAsia="ru-RU"/>
        </w:rPr>
        <w:t>конфлікти :</w:t>
      </w:r>
      <w:proofErr w:type="gramEnd"/>
      <w:r w:rsidRPr="00511005">
        <w:rPr>
          <w:rFonts w:ascii="Arial" w:eastAsia="Times New Roman" w:hAnsi="Arial" w:cs="Arial"/>
          <w:szCs w:val="28"/>
          <w:lang w:eastAsia="ru-RU"/>
        </w:rPr>
        <w:t xml:space="preserve"> Резолюція Ради Безпеки ООН від 22.04.2004 : станом на 22 квіт. 2004 р. URL: </w:t>
      </w:r>
      <w:hyperlink r:id="rId321" w:tgtFrame="_new" w:history="1">
        <w:r w:rsidRPr="00511005">
          <w:rPr>
            <w:rFonts w:ascii="Arial" w:eastAsia="Times New Roman" w:hAnsi="Arial" w:cs="Arial"/>
            <w:szCs w:val="28"/>
            <w:lang w:eastAsia="ru-RU"/>
          </w:rPr>
          <w:t>https://www.refworld.org/ru/legal/resolution/unsc/2004/ru/14849</w:t>
        </w:r>
      </w:hyperlink>
      <w:r w:rsidRPr="00511005">
        <w:rPr>
          <w:rFonts w:ascii="Arial" w:eastAsia="Times New Roman" w:hAnsi="Arial" w:cs="Arial"/>
          <w:szCs w:val="28"/>
          <w:lang w:eastAsia="ru-RU"/>
        </w:rPr>
        <w:t xml:space="preserve"> (дата звернення: 27.04.2025).</w:t>
      </w:r>
    </w:p>
    <w:p w14:paraId="13095AB8" w14:textId="66D593A1"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3.</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Конвенція про захист цивільного населення під час війни (укр</w:t>
      </w:r>
      <w:proofErr w:type="gramStart"/>
      <w:r w:rsidRPr="00511005">
        <w:rPr>
          <w:rFonts w:ascii="Arial" w:eastAsia="Times New Roman" w:hAnsi="Arial" w:cs="Arial"/>
          <w:szCs w:val="28"/>
          <w:lang w:eastAsia="ru-RU"/>
        </w:rPr>
        <w:t>) :</w:t>
      </w:r>
      <w:proofErr w:type="gramEnd"/>
      <w:r w:rsidRPr="00511005">
        <w:rPr>
          <w:rFonts w:ascii="Arial" w:eastAsia="Times New Roman" w:hAnsi="Arial" w:cs="Arial"/>
          <w:szCs w:val="28"/>
          <w:lang w:eastAsia="ru-RU"/>
        </w:rPr>
        <w:t xml:space="preserve"> Конвенція Орг. Об'єдн. Націй від </w:t>
      </w:r>
      <w:proofErr w:type="gramStart"/>
      <w:r w:rsidRPr="00511005">
        <w:rPr>
          <w:rFonts w:ascii="Arial" w:eastAsia="Times New Roman" w:hAnsi="Arial" w:cs="Arial"/>
          <w:szCs w:val="28"/>
          <w:lang w:eastAsia="ru-RU"/>
        </w:rPr>
        <w:t>12.08.1949 :</w:t>
      </w:r>
      <w:proofErr w:type="gramEnd"/>
      <w:r w:rsidRPr="00511005">
        <w:rPr>
          <w:rFonts w:ascii="Arial" w:eastAsia="Times New Roman" w:hAnsi="Arial" w:cs="Arial"/>
          <w:szCs w:val="28"/>
          <w:lang w:eastAsia="ru-RU"/>
        </w:rPr>
        <w:t xml:space="preserve"> станом на 23 лют. 2023 р. URL: https://zakon.rada.gov.ua/laws/show/995_154#Text (дата звернення: 27.04.2025).</w:t>
      </w:r>
    </w:p>
    <w:p w14:paraId="68EA0A0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4. </w:t>
      </w:r>
      <w:r w:rsidRPr="00511005">
        <w:rPr>
          <w:rFonts w:ascii="Arial" w:eastAsia="Times New Roman" w:hAnsi="Arial" w:cs="Arial"/>
          <w:szCs w:val="28"/>
          <w:lang w:eastAsia="ru-RU"/>
        </w:rPr>
        <w:t>Додатковий протокол до Женевських конвенцій від 12 серпня 1949 року, що стосується захисту жертв міжнародних збройних конфліктів (Протокол I), від 8 червня 1977 року (укр</w:t>
      </w:r>
      <w:proofErr w:type="gramStart"/>
      <w:r w:rsidRPr="00511005">
        <w:rPr>
          <w:rFonts w:ascii="Arial" w:eastAsia="Times New Roman" w:hAnsi="Arial" w:cs="Arial"/>
          <w:szCs w:val="28"/>
          <w:lang w:eastAsia="ru-RU"/>
        </w:rPr>
        <w:t>) :</w:t>
      </w:r>
      <w:proofErr w:type="gramEnd"/>
      <w:r w:rsidRPr="00511005">
        <w:rPr>
          <w:rFonts w:ascii="Arial" w:eastAsia="Times New Roman" w:hAnsi="Arial" w:cs="Arial"/>
          <w:szCs w:val="28"/>
          <w:lang w:eastAsia="ru-RU"/>
        </w:rPr>
        <w:t xml:space="preserve"> Протокол Орг. Об'єдн. Націй від </w:t>
      </w:r>
      <w:proofErr w:type="gramStart"/>
      <w:r w:rsidRPr="00511005">
        <w:rPr>
          <w:rFonts w:ascii="Arial" w:eastAsia="Times New Roman" w:hAnsi="Arial" w:cs="Arial"/>
          <w:szCs w:val="28"/>
          <w:lang w:eastAsia="ru-RU"/>
        </w:rPr>
        <w:t>08.06.1977 :</w:t>
      </w:r>
      <w:proofErr w:type="gramEnd"/>
      <w:r w:rsidRPr="00511005">
        <w:rPr>
          <w:rFonts w:ascii="Arial" w:eastAsia="Times New Roman" w:hAnsi="Arial" w:cs="Arial"/>
          <w:szCs w:val="28"/>
          <w:lang w:eastAsia="ru-RU"/>
        </w:rPr>
        <w:t xml:space="preserve"> станом на 8 груд. 2005 р. URL: https://zakon.rada.gov.ua/laws/show/995_199#Text (дата звернення: 27.04.2025). </w:t>
      </w:r>
    </w:p>
    <w:p w14:paraId="758E94F0" w14:textId="0E93716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5.</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Верховна Рада України. 17 березня 2023 року Міжнародний кримінальний суд (МКС) в Гаазі видав ордери на арешт президента росії володимира путіна та уповноважену при президенті росії з прав дитини марії львової-бєлової [Електронний ресурс]. Офіційний портал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URL: </w:t>
      </w:r>
      <w:hyperlink r:id="rId322" w:tgtFrame="_new" w:history="1">
        <w:r w:rsidRPr="00511005">
          <w:rPr>
            <w:rFonts w:ascii="Arial" w:eastAsia="Times New Roman" w:hAnsi="Arial" w:cs="Arial"/>
            <w:szCs w:val="28"/>
            <w:lang w:eastAsia="ru-RU"/>
          </w:rPr>
          <w:t>https://www.rada.gov.ua/news/news_kom/259864.html</w:t>
        </w:r>
      </w:hyperlink>
      <w:r w:rsidRPr="00511005">
        <w:rPr>
          <w:rFonts w:ascii="Arial" w:eastAsia="Times New Roman" w:hAnsi="Arial" w:cs="Arial"/>
          <w:szCs w:val="28"/>
          <w:lang w:eastAsia="ru-RU"/>
        </w:rPr>
        <w:t xml:space="preserve"> (дата звернення: 27.04.2025).</w:t>
      </w:r>
    </w:p>
    <w:p w14:paraId="79F4AD73" w14:textId="77777777" w:rsidR="00220D3E" w:rsidRPr="00511005" w:rsidRDefault="00220D3E" w:rsidP="003A292D">
      <w:pPr>
        <w:tabs>
          <w:tab w:val="left" w:pos="709"/>
        </w:tabs>
        <w:spacing w:line="264" w:lineRule="auto"/>
        <w:rPr>
          <w:rFonts w:ascii="Arial" w:eastAsia="Times New Roman" w:hAnsi="Arial" w:cs="Arial"/>
          <w:b/>
          <w:szCs w:val="28"/>
          <w:lang w:val="uk-UA" w:eastAsia="ru-RU"/>
        </w:rPr>
      </w:pPr>
    </w:p>
    <w:p w14:paraId="3AAF1521" w14:textId="4B123D60"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права дітей,</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збройний конфлікт, Конвенція ООН про права дитини,</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Женевські конвенції,</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депортація дітей,</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геноцид, Міжнародний кримінальний суд,</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воєнні злочини,</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відповідальність.</w:t>
      </w:r>
      <w:r w:rsidRPr="00511005">
        <w:rPr>
          <w:rFonts w:ascii="Arial" w:eastAsia="Times New Roman" w:hAnsi="Arial" w:cs="Arial"/>
          <w:szCs w:val="28"/>
          <w:lang w:val="uk-UA" w:eastAsia="ru-RU"/>
        </w:rPr>
        <w:t xml:space="preserve"> </w:t>
      </w:r>
    </w:p>
    <w:p w14:paraId="69CA72AB" w14:textId="0D5D5D7F" w:rsidR="00220D3E" w:rsidRPr="00511005" w:rsidRDefault="007B2628" w:rsidP="003A292D">
      <w:pPr>
        <w:tabs>
          <w:tab w:val="left" w:pos="709"/>
        </w:tabs>
        <w:spacing w:line="264" w:lineRule="auto"/>
        <w:rPr>
          <w:rFonts w:ascii="Arial" w:eastAsia="Times New Roman" w:hAnsi="Arial" w:cs="Arial"/>
          <w:i/>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children's rights, armed conflict, UN Convention on the Rights of the Child, Geneva Conventions, deportation of children, genocide, International Criminal Court, war crimes, accountability.</w:t>
      </w:r>
    </w:p>
    <w:p w14:paraId="169E089A" w14:textId="1CEEF3A0"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 Дронов В.Ю.</w:t>
      </w:r>
    </w:p>
    <w:p w14:paraId="47BCC6CC"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p>
    <w:p w14:paraId="30236B8F"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Джигирей Владислава Василівна</w:t>
      </w:r>
    </w:p>
    <w:p w14:paraId="5E26800E" w14:textId="3F46B1F0" w:rsidR="008C34CC" w:rsidRPr="00511005" w:rsidRDefault="00536AAB"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060B8057" w14:textId="77777777" w:rsidR="008C34CC" w:rsidRPr="00511005" w:rsidRDefault="008C34CC"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0EEC7F9" w14:textId="2440B2D5"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6F63ADDF" w14:textId="77777777" w:rsidR="007B2628" w:rsidRPr="00511005" w:rsidRDefault="007B2628" w:rsidP="003A292D">
      <w:pPr>
        <w:tabs>
          <w:tab w:val="left" w:pos="709"/>
        </w:tabs>
        <w:spacing w:line="264" w:lineRule="auto"/>
        <w:ind w:firstLine="0"/>
        <w:jc w:val="center"/>
        <w:rPr>
          <w:rFonts w:ascii="Arial" w:eastAsia="Times New Roman" w:hAnsi="Arial" w:cs="Arial"/>
          <w:b/>
          <w:szCs w:val="28"/>
          <w:lang w:val="uk-UA" w:eastAsia="ru-RU"/>
        </w:rPr>
      </w:pPr>
    </w:p>
    <w:p w14:paraId="3BE736CD" w14:textId="24230AD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ПРАВА ЛЮДИНИ У ЦИФРОВУ ЕПОХУ: ВИКЛИКИ ТА ЗАГРОЗИ</w:t>
      </w:r>
    </w:p>
    <w:p w14:paraId="7E3CFECF" w14:textId="77777777" w:rsidR="007B2628"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Один із найвизначніших філософів епохи Просвітництва, мислитель, правник і автор політико-правових ідей Джон Локк стверджував, що природні права людини — на життя, свободу і власність — є невід’ємними та повинні бути гарантовані державою. </w:t>
      </w:r>
      <w:r w:rsidRPr="00511005">
        <w:rPr>
          <w:rFonts w:ascii="Arial" w:eastAsia="Times New Roman" w:hAnsi="Arial" w:cs="Arial"/>
          <w:szCs w:val="28"/>
          <w:lang w:val="uk-UA" w:eastAsia="ru-RU"/>
        </w:rPr>
        <w:pgNum/>
      </w:r>
      <w:r w:rsidRPr="00511005">
        <w:rPr>
          <w:rFonts w:ascii="Arial" w:eastAsia="Times New Roman" w:hAnsi="Arial" w:cs="Arial"/>
          <w:szCs w:val="28"/>
          <w:lang w:eastAsia="ru-RU"/>
        </w:rPr>
        <w:t xml:space="preserve">амец і принципи стали фундаментом </w:t>
      </w:r>
      <w:r w:rsidRPr="00511005">
        <w:rPr>
          <w:rFonts w:ascii="Arial" w:eastAsia="Times New Roman" w:hAnsi="Arial" w:cs="Arial"/>
          <w:szCs w:val="28"/>
          <w:lang w:eastAsia="ru-RU"/>
        </w:rPr>
        <w:lastRenderedPageBreak/>
        <w:t xml:space="preserve">сучасної демократії та правової держави. Відповідно до статті 3 Конституції </w:t>
      </w:r>
      <w:proofErr w:type="gramStart"/>
      <w:r w:rsidRPr="00511005">
        <w:rPr>
          <w:rFonts w:ascii="Arial" w:eastAsia="Times New Roman" w:hAnsi="Arial" w:cs="Arial"/>
          <w:szCs w:val="28"/>
          <w:lang w:eastAsia="ru-RU"/>
        </w:rPr>
        <w:t>України[</w:t>
      </w:r>
      <w:proofErr w:type="gramEnd"/>
      <w:r w:rsidRPr="00511005">
        <w:rPr>
          <w:rFonts w:ascii="Arial" w:eastAsia="Times New Roman" w:hAnsi="Arial" w:cs="Arial"/>
          <w:szCs w:val="28"/>
          <w:lang w:eastAsia="ru-RU"/>
        </w:rPr>
        <w:t xml:space="preserve">1], права і свободи людини та їх гарантії визначають зміст і спрямованість діяльності держави. Гарантування прав і свобод особи визнається не просто завданням, а найвищим обов’язком державної </w:t>
      </w:r>
      <w:proofErr w:type="gramStart"/>
      <w:r w:rsidRPr="00511005">
        <w:rPr>
          <w:rFonts w:ascii="Arial" w:eastAsia="Times New Roman" w:hAnsi="Arial" w:cs="Arial"/>
          <w:szCs w:val="28"/>
          <w:lang w:eastAsia="ru-RU"/>
        </w:rPr>
        <w:t>влади[</w:t>
      </w:r>
      <w:proofErr w:type="gramEnd"/>
      <w:r w:rsidRPr="00511005">
        <w:rPr>
          <w:rFonts w:ascii="Arial" w:eastAsia="Times New Roman" w:hAnsi="Arial" w:cs="Arial"/>
          <w:szCs w:val="28"/>
          <w:lang w:eastAsia="ru-RU"/>
        </w:rPr>
        <w:t>5].</w:t>
      </w:r>
    </w:p>
    <w:p w14:paraId="2AC2DA46" w14:textId="77777777" w:rsidR="007B2628"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 другої половини ХХ століття людство стає свідком стрімкого розвитку інформаційних технологій, які поступово змінюють усі сфери суспільного життя. Особливої ваги набуває поява глобальної мережі — Інтернету (Всесвітньої павутини — </w:t>
      </w:r>
      <w:r w:rsidRPr="00511005">
        <w:rPr>
          <w:rFonts w:ascii="Arial" w:eastAsia="Times New Roman" w:hAnsi="Arial" w:cs="Arial"/>
          <w:szCs w:val="28"/>
          <w:lang w:eastAsia="ru-RU"/>
        </w:rPr>
        <w:t>World</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Wide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Web</w:t>
      </w:r>
      <w:r w:rsidRPr="00511005">
        <w:rPr>
          <w:rFonts w:ascii="Arial" w:eastAsia="Times New Roman" w:hAnsi="Arial" w:cs="Arial"/>
          <w:szCs w:val="28"/>
          <w:lang w:val="uk-UA" w:eastAsia="ru-RU"/>
        </w:rPr>
        <w:t xml:space="preserve">), що відкриває новий вимір взаємодії між людьми, державою та інформаційним простором. </w:t>
      </w:r>
      <w:r w:rsidRPr="00511005">
        <w:rPr>
          <w:rFonts w:ascii="Arial" w:eastAsia="Times New Roman" w:hAnsi="Arial" w:cs="Arial"/>
          <w:szCs w:val="28"/>
          <w:lang w:eastAsia="ru-RU"/>
        </w:rPr>
        <w:t xml:space="preserve">У цих умовах реалізація прав і свобод людини виходить за межі традиційного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офлайн-середовища</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і поширюється</w:t>
      </w:r>
      <w:r w:rsidRPr="00511005">
        <w:rPr>
          <w:rFonts w:ascii="Arial" w:eastAsia="Times New Roman" w:hAnsi="Arial" w:cs="Arial"/>
          <w:szCs w:val="28"/>
          <w:lang w:val="uk-UA" w:eastAsia="ru-RU"/>
        </w:rPr>
        <w:t xml:space="preserve"> також на</w:t>
      </w:r>
      <w:r w:rsidRPr="00511005">
        <w:rPr>
          <w:rFonts w:ascii="Arial" w:eastAsia="Times New Roman" w:hAnsi="Arial" w:cs="Arial"/>
          <w:szCs w:val="28"/>
          <w:lang w:eastAsia="ru-RU"/>
        </w:rPr>
        <w:t xml:space="preserve"> віртуальний простір</w:t>
      </w:r>
      <w:r w:rsidRPr="00511005">
        <w:rPr>
          <w:rFonts w:ascii="Arial" w:eastAsia="Times New Roman" w:hAnsi="Arial" w:cs="Arial"/>
          <w:szCs w:val="28"/>
          <w:lang w:val="uk-UA" w:eastAsia="ru-RU"/>
        </w:rPr>
        <w:t>, що</w:t>
      </w:r>
      <w:r w:rsidRPr="00511005">
        <w:rPr>
          <w:rFonts w:ascii="Arial" w:eastAsia="Times New Roman" w:hAnsi="Arial" w:cs="Arial"/>
          <w:szCs w:val="28"/>
          <w:lang w:eastAsia="ru-RU"/>
        </w:rPr>
        <w:t xml:space="preserve"> своєю чергою, породжує низку викликів</w:t>
      </w:r>
      <w:r w:rsidRPr="00511005">
        <w:rPr>
          <w:rFonts w:ascii="Arial" w:eastAsia="Times New Roman" w:hAnsi="Arial" w:cs="Arial"/>
          <w:szCs w:val="28"/>
          <w:lang w:val="uk-UA" w:eastAsia="ru-RU"/>
        </w:rPr>
        <w:t xml:space="preserve"> та загроз для населення.</w:t>
      </w:r>
    </w:p>
    <w:p w14:paraId="788E45BC" w14:textId="77777777" w:rsidR="007B2628"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Цифрові права не є прямо визначеною окремою категорією в законодавстві України, проте їх окремі аспекти закріплені в різних нормативно-правових актах. Українське законодавство поступово адаптується до викликів цифрової епохи, але повноцінної системи цифрових прав</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як окремого правового інституту поки що немає.</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Проте деякі функціонуючі нормативно-правові акти, все ж намагаються хоч якось закріпити деякі цифрові права такі як: захист персональних даних</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 врегулювання питань про цифровий підпис</w:t>
      </w:r>
      <w:r w:rsidRPr="00511005">
        <w:rPr>
          <w:rFonts w:ascii="Arial" w:eastAsia="Times New Roman" w:hAnsi="Arial" w:cs="Arial"/>
          <w:szCs w:val="28"/>
          <w:lang w:eastAsia="ru-RU"/>
        </w:rPr>
        <w:t>[3]</w:t>
      </w:r>
      <w:r w:rsidRPr="00511005">
        <w:rPr>
          <w:rFonts w:ascii="Arial" w:eastAsia="Times New Roman" w:hAnsi="Arial" w:cs="Arial"/>
          <w:szCs w:val="28"/>
          <w:lang w:val="uk-UA" w:eastAsia="ru-RU"/>
        </w:rPr>
        <w:t xml:space="preserve"> та інші. Хоч і так звана цифровізація охопила значну частину нашої планети і почала все активно розвиватися в різних державах, проте разом з цим і почала розвиватися значна тенденція до загроз які посягають на права людини в інтернет просторі та поява викликів які постають перед суспільством. </w:t>
      </w:r>
    </w:p>
    <w:p w14:paraId="1E85F139" w14:textId="103C68D4"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контексті прав людини в цифрову епоху важливо розрізняти поняття виклику та загрози, оскільки вони мають різні наслідки та потребують різних підходів до вирішення.</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Виклики — це певні, нові обставини чи умови, що виникають внаслідок розвитку технологій і потребують адаптації існуючих правових норм та інститутів.</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Водночас, загрози — це реальні чи потенційні небезпеки, які можуть порушити основні права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людини в цифровому середовищі. Важливою спільністю для цих двох поняття є те, що виклики можуть перетворюватися на загрози, якщо на них не будуть вчасно реагувати. Тому можна зробити висновок, що своєчасна реакція на виклик є запорукою для запобігання загроз.</w:t>
      </w:r>
    </w:p>
    <w:p w14:paraId="1383CAA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Аналізуючи статі різних авторів можна дійти висновку, що виклики прав людини в цифрову епоху можуть в себе включати наступне</w:t>
      </w:r>
      <w:r w:rsidRPr="00511005">
        <w:rPr>
          <w:rFonts w:ascii="Arial" w:eastAsia="Times New Roman" w:hAnsi="Arial" w:cs="Arial"/>
          <w:szCs w:val="28"/>
          <w:lang w:eastAsia="ru-RU"/>
        </w:rPr>
        <w:t>[4]</w:t>
      </w:r>
      <w:r w:rsidRPr="00511005">
        <w:rPr>
          <w:rFonts w:ascii="Arial" w:eastAsia="Times New Roman" w:hAnsi="Arial" w:cs="Arial"/>
          <w:szCs w:val="28"/>
          <w:lang w:val="uk-UA" w:eastAsia="ru-RU"/>
        </w:rPr>
        <w:t>:</w:t>
      </w:r>
    </w:p>
    <w:p w14:paraId="42027CA7" w14:textId="77777777" w:rsidR="00220D3E" w:rsidRPr="00511005" w:rsidRDefault="00220D3E" w:rsidP="003F6A5D">
      <w:pPr>
        <w:numPr>
          <w:ilvl w:val="0"/>
          <w:numId w:val="99"/>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Виклик конфіденційності та разом з тим безпеки даних – на даний момент це є одною із глобальних проблем які існують в цифровому просторі, оскільки існує дуже велика загроза з боку кібератак, масового викрадення даних, значне збирання даних через соціальні мережі, </w:t>
      </w:r>
      <w:r w:rsidRPr="00511005">
        <w:rPr>
          <w:rFonts w:ascii="Arial" w:eastAsia="Times New Roman" w:hAnsi="Arial" w:cs="Arial"/>
          <w:szCs w:val="28"/>
          <w:lang w:val="uk-UA" w:eastAsia="ru-RU"/>
        </w:rPr>
        <w:lastRenderedPageBreak/>
        <w:t xml:space="preserve">скандали різних корпорацій з майбутнім глобальним витоком даних та секретних матеріалів. </w:t>
      </w:r>
    </w:p>
    <w:p w14:paraId="7474E28A" w14:textId="72202D0B" w:rsidR="00220D3E" w:rsidRPr="00511005" w:rsidRDefault="00220D3E" w:rsidP="003F6A5D">
      <w:pPr>
        <w:numPr>
          <w:ilvl w:val="0"/>
          <w:numId w:val="99"/>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Виклик правового регулювання – варто створювати певні нормативно правові акти на кожному національному рівні окремо, які б регулювали збирання та обмін даних та враховували їх</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конфіденційність.</w:t>
      </w:r>
    </w:p>
    <w:p w14:paraId="4323BA19" w14:textId="77777777" w:rsidR="00220D3E" w:rsidRPr="00511005" w:rsidRDefault="00220D3E" w:rsidP="003F6A5D">
      <w:pPr>
        <w:numPr>
          <w:ilvl w:val="0"/>
          <w:numId w:val="99"/>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Виклик цифрової рівності – включає в себе не тільки рівність певної країни, а й суспільства загалом, якщо аналізувати статистику, то на сьогодні близько 3 млрд людей не мають доступу до інтернету, що частково обмежує їх права на демократію, освіту, розвиток та інше. Що стосується національної рівності, то частина людей таких як інваліди, люди в сільських регіонах частково теж обмежені в вище згаданому праві.</w:t>
      </w:r>
    </w:p>
    <w:p w14:paraId="4CA7358F" w14:textId="77777777" w:rsidR="00220D3E" w:rsidRPr="00511005" w:rsidRDefault="00220D3E" w:rsidP="003F6A5D">
      <w:pPr>
        <w:numPr>
          <w:ilvl w:val="0"/>
          <w:numId w:val="99"/>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Виклик безпеки – сучасні системи є дуже вразливі до різних загроз та кібератак, що спричиняє витік певних даних та погроз в Інтернеті. Якщо аналізувати ситуацію яка існує на сьогодні в Україні, то протягом останніх років атака на держструктури, різного роду компанії, канали телебачення, банки не припиняється що і спричиняє витоки різного роду інформації.</w:t>
      </w:r>
    </w:p>
    <w:p w14:paraId="45BE9F0B" w14:textId="77777777" w:rsidR="00220D3E" w:rsidRPr="00511005" w:rsidRDefault="00220D3E" w:rsidP="003F6A5D">
      <w:pPr>
        <w:numPr>
          <w:ilvl w:val="0"/>
          <w:numId w:val="99"/>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Виклик свободи слова – варто віднести до даної категорії цифрову цензуру, адже зараз дуже велика кількість сайтів блокується, соціальні мережі працюють лише через певні шифрування і це все під приводом «національної безпеки», наприклад доступ до певної інформації на час військового стану в Україні.</w:t>
      </w:r>
    </w:p>
    <w:p w14:paraId="3CE838A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Дані виклики не мають якогось певного, вичерпного характеру оскільки окрім вище зазначених існують і інші які виникають вході розвитку якогось певного питання.</w:t>
      </w:r>
    </w:p>
    <w:p w14:paraId="33D1EF0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Що стосується загроз, то теж можна виділити декілька основних, оскільки їх кількість є досить великою і з кожною новою інтернет еволюцією їх з’являється ще більше:</w:t>
      </w:r>
    </w:p>
    <w:p w14:paraId="17CAC3C5" w14:textId="77777777" w:rsidR="00220D3E" w:rsidRPr="00511005" w:rsidRDefault="00220D3E" w:rsidP="003F6A5D">
      <w:pPr>
        <w:numPr>
          <w:ilvl w:val="0"/>
          <w:numId w:val="100"/>
        </w:numPr>
        <w:tabs>
          <w:tab w:val="left" w:pos="709"/>
        </w:tabs>
        <w:spacing w:line="264" w:lineRule="auto"/>
        <w:ind w:left="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Правові загрози – в Україні це на даний момент ключова загроза, адже немає чіткого регулювання стосовно даних з інтернет простору та їх зберігання, хоч і наша держава прагне якось вдосконалити законодавство в цій сфері, але в сучасних умовах це важка процедура. Також ще до даного виду загрози можна віднести невстигання національного законодавства за технологіями.</w:t>
      </w:r>
    </w:p>
    <w:p w14:paraId="58C51E34" w14:textId="77777777" w:rsidR="00220D3E" w:rsidRPr="00511005" w:rsidRDefault="00220D3E" w:rsidP="003F6A5D">
      <w:pPr>
        <w:numPr>
          <w:ilvl w:val="0"/>
          <w:numId w:val="100"/>
        </w:numPr>
        <w:tabs>
          <w:tab w:val="left" w:pos="709"/>
        </w:tabs>
        <w:spacing w:line="264" w:lineRule="auto"/>
        <w:ind w:left="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Соціальні загрози – такі як цифрова ізоляцій літніх людей та інвалідів, може спричинити відсутність технічних навичок та порушення їх прав. Цифрова нерівність – обмеження права людей користуватися певними можливостями, через відсутність певних ресурсів.</w:t>
      </w:r>
    </w:p>
    <w:p w14:paraId="1D248F3A" w14:textId="77777777" w:rsidR="00220D3E" w:rsidRPr="00511005" w:rsidRDefault="00220D3E" w:rsidP="003F6A5D">
      <w:pPr>
        <w:numPr>
          <w:ilvl w:val="0"/>
          <w:numId w:val="100"/>
        </w:numPr>
        <w:tabs>
          <w:tab w:val="left" w:pos="709"/>
        </w:tabs>
        <w:spacing w:line="264" w:lineRule="auto"/>
        <w:ind w:left="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Технологічні загрози – стеження, кібератаки, за допомогою технологій розпізнавання обличь, відбитків пальців, зчитування дзвінків, викрадення даних.</w:t>
      </w:r>
    </w:p>
    <w:p w14:paraId="3E652A26" w14:textId="77777777" w:rsidR="007B2628" w:rsidRPr="00511005" w:rsidRDefault="00220D3E" w:rsidP="003F6A5D">
      <w:pPr>
        <w:numPr>
          <w:ilvl w:val="0"/>
          <w:numId w:val="100"/>
        </w:numPr>
        <w:tabs>
          <w:tab w:val="left" w:pos="709"/>
        </w:tabs>
        <w:spacing w:line="264" w:lineRule="auto"/>
        <w:ind w:left="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Екзистенційні загрози – технології деградації</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суспільства – шляхом штучного інтелекту та створення певних ботів. Цифрове рабство та знищення приватності, що призводить до масового стеження за людьми</w:t>
      </w:r>
    </w:p>
    <w:p w14:paraId="32F75A24" w14:textId="05162A65"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відповідно до наведеного вище можна зрозуміти що виклики і загрози тісно взаємодіють між собою. Виклики якщо боротьба з ними є неефективною переростають у загрози, чим наштовхують суспільство до порушення їх законних цифрових прав. Головний виклик цифрової епохи – зберегти людяність у світі машин. Це вимагає не лише технічних рішень, але й переосмислення певних цінностей: свободи, гідності, справедливості. А цифрові загрози – це відображення суспільних проблем у віртуальному просторі. Їхнє подолання вимагає не технологій, а зміни свідомості: від корпорацій, які поважають приватність, до держав, які не жертвують свободою заради «безпеки». Як казав Стівен Хокінг: «ШІ може стати найкращим або найгіршим винаходом в історії людства» – вибір за нами.</w:t>
      </w:r>
    </w:p>
    <w:p w14:paraId="5649D56B"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p>
    <w:p w14:paraId="698D4881" w14:textId="2B2AF988"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6C236683" w14:textId="77777777" w:rsidR="00220D3E" w:rsidRPr="00511005" w:rsidRDefault="00220D3E" w:rsidP="003F6A5D">
      <w:pPr>
        <w:numPr>
          <w:ilvl w:val="0"/>
          <w:numId w:val="101"/>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Конституція України: офіц. Текст. Київ : КМ,2013. </w:t>
      </w:r>
    </w:p>
    <w:p w14:paraId="25208DC7"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Calibri" w:hAnsi="Arial" w:cs="Arial"/>
          <w:szCs w:val="28"/>
          <w:lang w:val="pl-PL"/>
        </w:rPr>
        <w:t>URL</w:t>
      </w:r>
      <w:r w:rsidRPr="00511005">
        <w:rPr>
          <w:rFonts w:ascii="Arial" w:eastAsia="Calibri" w:hAnsi="Arial" w:cs="Arial"/>
          <w:szCs w:val="28"/>
          <w:lang w:val="uk-UA"/>
        </w:rPr>
        <w:t xml:space="preserve">: </w:t>
      </w:r>
      <w:hyperlink r:id="rId323" w:anchor="Text" w:history="1">
        <w:r w:rsidRPr="00511005">
          <w:rPr>
            <w:rFonts w:ascii="Arial" w:eastAsia="Times New Roman" w:hAnsi="Arial" w:cs="Arial"/>
            <w:szCs w:val="28"/>
            <w:lang w:val="uk-UA"/>
          </w:rPr>
          <w:t>https://zakon.rada.gov.ua/laws/show/254%D0%BA/96-%D0%B2%D1%80#Text</w:t>
        </w:r>
      </w:hyperlink>
      <w:r w:rsidRPr="00511005">
        <w:rPr>
          <w:rFonts w:ascii="Arial" w:eastAsia="Times New Roman" w:hAnsi="Arial" w:cs="Arial"/>
          <w:szCs w:val="28"/>
          <w:lang w:val="uk-UA" w:eastAsia="ru-RU"/>
        </w:rPr>
        <w:t xml:space="preserve"> </w:t>
      </w:r>
    </w:p>
    <w:p w14:paraId="6CEBCB34" w14:textId="77777777" w:rsidR="00220D3E" w:rsidRPr="00511005" w:rsidRDefault="00220D3E" w:rsidP="003F6A5D">
      <w:pPr>
        <w:numPr>
          <w:ilvl w:val="0"/>
          <w:numId w:val="101"/>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Про захист персональних даних</w:t>
      </w:r>
      <w:r w:rsidRPr="00511005">
        <w:rPr>
          <w:rFonts w:ascii="Arial" w:eastAsia="Calibri" w:hAnsi="Arial" w:cs="Arial"/>
          <w:szCs w:val="28"/>
        </w:rPr>
        <w:t xml:space="preserve"> </w:t>
      </w:r>
      <w:r w:rsidRPr="00511005">
        <w:rPr>
          <w:rFonts w:ascii="Arial" w:eastAsia="Calibri" w:hAnsi="Arial" w:cs="Arial"/>
          <w:szCs w:val="28"/>
          <w:lang w:val="uk-UA"/>
        </w:rPr>
        <w:t>: Закон України від 18.01.2025 р. № 3980 – ІХ. Відомості Верховної Ради України (ВВР), 2010, № 34, ст. 481</w:t>
      </w:r>
    </w:p>
    <w:p w14:paraId="2CDF87C6" w14:textId="122E2537" w:rsidR="00220D3E" w:rsidRPr="00511005" w:rsidRDefault="00220D3E" w:rsidP="003A292D">
      <w:pPr>
        <w:tabs>
          <w:tab w:val="left" w:pos="709"/>
        </w:tabs>
        <w:spacing w:line="264" w:lineRule="auto"/>
        <w:contextualSpacing/>
        <w:rPr>
          <w:rFonts w:ascii="Arial" w:eastAsia="Calibri" w:hAnsi="Arial" w:cs="Arial"/>
          <w:szCs w:val="28"/>
          <w:lang w:val="uk-UA"/>
        </w:rPr>
      </w:pPr>
      <w:r w:rsidRPr="00511005">
        <w:rPr>
          <w:rFonts w:ascii="Arial" w:eastAsia="Calibri" w:hAnsi="Arial" w:cs="Arial"/>
          <w:szCs w:val="28"/>
          <w:lang w:val="pl-PL"/>
        </w:rPr>
        <w:t>URL</w:t>
      </w:r>
      <w:r w:rsidRPr="00511005">
        <w:rPr>
          <w:rFonts w:ascii="Arial" w:eastAsia="Calibri" w:hAnsi="Arial" w:cs="Arial"/>
          <w:szCs w:val="28"/>
          <w:lang w:val="uk-UA"/>
        </w:rPr>
        <w:t xml:space="preserve">: </w:t>
      </w:r>
      <w:hyperlink r:id="rId324" w:anchor="Text" w:history="1">
        <w:r w:rsidRPr="00511005">
          <w:rPr>
            <w:rFonts w:ascii="Arial" w:eastAsia="Times New Roman" w:hAnsi="Arial" w:cs="Arial"/>
            <w:szCs w:val="28"/>
            <w:lang w:val="uk-UA"/>
          </w:rPr>
          <w:t>https://zakon.rada.gov.ua/laws/show/2297-17#Text</w:t>
        </w:r>
      </w:hyperlink>
      <w:r w:rsidR="007B2628" w:rsidRPr="00511005">
        <w:rPr>
          <w:rFonts w:ascii="Arial" w:eastAsia="Times New Roman" w:hAnsi="Arial" w:cs="Arial"/>
          <w:szCs w:val="28"/>
          <w:lang w:val="uk-UA" w:eastAsia="ru-RU"/>
        </w:rPr>
        <w:t xml:space="preserve"> </w:t>
      </w:r>
    </w:p>
    <w:p w14:paraId="16687067" w14:textId="77777777" w:rsidR="00220D3E" w:rsidRPr="00511005" w:rsidRDefault="00220D3E" w:rsidP="003F6A5D">
      <w:pPr>
        <w:numPr>
          <w:ilvl w:val="0"/>
          <w:numId w:val="101"/>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Про електронну ідентифікацію та електронні довірчі послуги</w:t>
      </w:r>
      <w:r w:rsidRPr="00511005">
        <w:rPr>
          <w:rFonts w:ascii="Arial" w:eastAsia="Calibri" w:hAnsi="Arial" w:cs="Arial"/>
          <w:szCs w:val="28"/>
        </w:rPr>
        <w:t xml:space="preserve"> : </w:t>
      </w:r>
      <w:r w:rsidRPr="00511005">
        <w:rPr>
          <w:rFonts w:ascii="Arial" w:eastAsia="Calibri" w:hAnsi="Arial" w:cs="Arial"/>
          <w:szCs w:val="28"/>
          <w:lang w:val="uk-UA"/>
        </w:rPr>
        <w:t>Закон України від 18.12.2024 р. № 3911 – ІХ. Відомості Верховної Ради (ВВР), 2017, № 45, ст.400</w:t>
      </w:r>
    </w:p>
    <w:p w14:paraId="3FACDF1B" w14:textId="77777777" w:rsidR="00220D3E" w:rsidRPr="00511005" w:rsidRDefault="00220D3E" w:rsidP="003A292D">
      <w:pPr>
        <w:tabs>
          <w:tab w:val="left" w:pos="709"/>
        </w:tabs>
        <w:spacing w:line="264" w:lineRule="auto"/>
        <w:contextualSpacing/>
        <w:rPr>
          <w:rFonts w:ascii="Arial" w:eastAsia="Calibri" w:hAnsi="Arial" w:cs="Arial"/>
          <w:szCs w:val="28"/>
          <w:lang w:val="pl-PL"/>
        </w:rPr>
      </w:pPr>
      <w:r w:rsidRPr="00511005">
        <w:rPr>
          <w:rFonts w:ascii="Arial" w:eastAsia="Calibri" w:hAnsi="Arial" w:cs="Arial"/>
          <w:szCs w:val="28"/>
          <w:lang w:val="pl-PL"/>
        </w:rPr>
        <w:t>URL</w:t>
      </w:r>
      <w:r w:rsidRPr="00511005">
        <w:rPr>
          <w:rFonts w:ascii="Arial" w:eastAsia="Calibri" w:hAnsi="Arial" w:cs="Arial"/>
          <w:szCs w:val="28"/>
          <w:lang w:val="uk-UA"/>
        </w:rPr>
        <w:t xml:space="preserve">: </w:t>
      </w:r>
      <w:hyperlink r:id="rId325" w:anchor="Text" w:history="1">
        <w:r w:rsidRPr="00511005">
          <w:rPr>
            <w:rFonts w:ascii="Arial" w:eastAsia="Times New Roman" w:hAnsi="Arial" w:cs="Arial"/>
            <w:szCs w:val="28"/>
            <w:lang w:val="uk-UA"/>
          </w:rPr>
          <w:t>https://zakon.rada.gov.ua/laws/show/2155-19#Text</w:t>
        </w:r>
      </w:hyperlink>
      <w:r w:rsidRPr="00511005">
        <w:rPr>
          <w:rFonts w:ascii="Arial" w:eastAsia="Times New Roman" w:hAnsi="Arial" w:cs="Arial"/>
          <w:szCs w:val="28"/>
          <w:lang w:val="pl-PL" w:eastAsia="ru-RU"/>
        </w:rPr>
        <w:t xml:space="preserve"> </w:t>
      </w:r>
    </w:p>
    <w:p w14:paraId="65F7F7C8" w14:textId="7F065FF1" w:rsidR="00220D3E" w:rsidRPr="00511005" w:rsidRDefault="00220D3E" w:rsidP="003F6A5D">
      <w:pPr>
        <w:numPr>
          <w:ilvl w:val="0"/>
          <w:numId w:val="101"/>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Бєлов Д.М., Переш І.Є., Покорба І., Цифрові права людини: доктринальні засади: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наукова стаття, 2024.</w:t>
      </w:r>
    </w:p>
    <w:p w14:paraId="74E99FDA" w14:textId="77777777" w:rsidR="00220D3E" w:rsidRPr="00511005" w:rsidRDefault="00220D3E" w:rsidP="003A292D">
      <w:pPr>
        <w:tabs>
          <w:tab w:val="left" w:pos="709"/>
        </w:tabs>
        <w:spacing w:line="264" w:lineRule="auto"/>
        <w:contextualSpacing/>
        <w:rPr>
          <w:rFonts w:ascii="Arial" w:eastAsia="Calibri" w:hAnsi="Arial" w:cs="Arial"/>
          <w:szCs w:val="28"/>
        </w:rPr>
      </w:pPr>
      <w:r w:rsidRPr="00511005">
        <w:rPr>
          <w:rFonts w:ascii="Arial" w:eastAsia="Calibri" w:hAnsi="Arial" w:cs="Arial"/>
          <w:szCs w:val="28"/>
          <w:lang w:val="en-US"/>
        </w:rPr>
        <w:t xml:space="preserve">URL: </w:t>
      </w:r>
      <w:hyperlink r:id="rId326" w:history="1">
        <w:r w:rsidRPr="00511005">
          <w:rPr>
            <w:rFonts w:ascii="Arial" w:eastAsia="Calibri" w:hAnsi="Arial" w:cs="Arial"/>
            <w:szCs w:val="28"/>
          </w:rPr>
          <w:t>https://surl.li/fnlaqk</w:t>
        </w:r>
      </w:hyperlink>
      <w:r w:rsidRPr="00511005">
        <w:rPr>
          <w:rFonts w:ascii="Arial" w:eastAsia="Calibri" w:hAnsi="Arial" w:cs="Arial"/>
          <w:szCs w:val="28"/>
        </w:rPr>
        <w:t xml:space="preserve"> </w:t>
      </w:r>
    </w:p>
    <w:p w14:paraId="41A65320" w14:textId="77777777" w:rsidR="00220D3E" w:rsidRPr="00511005" w:rsidRDefault="00220D3E" w:rsidP="003F6A5D">
      <w:pPr>
        <w:numPr>
          <w:ilvl w:val="0"/>
          <w:numId w:val="101"/>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lang w:val="uk-UA"/>
        </w:rPr>
        <w:t xml:space="preserve">Вчення Дж. Локка про право і державу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327" w:history="1">
        <w:r w:rsidRPr="00511005">
          <w:rPr>
            <w:rFonts w:ascii="Arial" w:eastAsia="Times New Roman" w:hAnsi="Arial" w:cs="Arial"/>
            <w:szCs w:val="28"/>
            <w:lang w:val="uk-UA"/>
          </w:rPr>
          <w:t>http://politics.ellib.org.ua/pages-3914.html</w:t>
        </w:r>
      </w:hyperlink>
      <w:r w:rsidRPr="00511005">
        <w:rPr>
          <w:rFonts w:ascii="Arial" w:eastAsia="Times New Roman" w:hAnsi="Arial" w:cs="Arial"/>
          <w:szCs w:val="28"/>
          <w:lang w:val="uk-UA" w:eastAsia="ru-RU"/>
        </w:rPr>
        <w:t xml:space="preserve"> (Дата звернення: 08.04.2025)</w:t>
      </w:r>
    </w:p>
    <w:p w14:paraId="24CFBFE1" w14:textId="77777777" w:rsidR="00220D3E" w:rsidRPr="00511005" w:rsidRDefault="00220D3E" w:rsidP="003A292D">
      <w:pPr>
        <w:tabs>
          <w:tab w:val="left" w:pos="709"/>
        </w:tabs>
        <w:spacing w:line="264" w:lineRule="auto"/>
        <w:contextualSpacing/>
        <w:rPr>
          <w:rFonts w:ascii="Arial" w:eastAsia="Calibri" w:hAnsi="Arial" w:cs="Arial"/>
          <w:szCs w:val="28"/>
        </w:rPr>
      </w:pPr>
    </w:p>
    <w:p w14:paraId="5100D8A1" w14:textId="6B6102DD"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міжнародне право, виклики, загрози, проблеми, права людини, цифровізація.</w:t>
      </w:r>
    </w:p>
    <w:p w14:paraId="288373AE" w14:textId="7D91C81B"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international</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low</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 xml:space="preserve">challenges, threats, problems, human rights, digitalization. </w:t>
      </w:r>
    </w:p>
    <w:p w14:paraId="55F98FDC" w14:textId="5864BB64" w:rsidR="00220D3E" w:rsidRPr="00511005" w:rsidRDefault="007B2628" w:rsidP="003A292D">
      <w:pPr>
        <w:tabs>
          <w:tab w:val="left" w:pos="709"/>
          <w:tab w:val="left" w:pos="975"/>
          <w:tab w:val="center" w:pos="5315"/>
        </w:tabs>
        <w:spacing w:line="264" w:lineRule="auto"/>
        <w:contextualSpacing/>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w:t>
      </w:r>
      <w:r w:rsidRPr="00511005">
        <w:rPr>
          <w:rFonts w:ascii="Arial" w:eastAsia="Times New Roman" w:hAnsi="Arial" w:cs="Arial"/>
          <w:i/>
          <w:szCs w:val="28"/>
          <w:lang w:val="uk-UA" w:eastAsia="ru-RU"/>
        </w:rPr>
        <w:t xml:space="preserve"> </w:t>
      </w:r>
      <w:r w:rsidR="00220D3E" w:rsidRPr="00511005">
        <w:rPr>
          <w:rFonts w:ascii="Arial" w:eastAsia="Times New Roman" w:hAnsi="Arial" w:cs="Arial"/>
          <w:i/>
          <w:szCs w:val="28"/>
          <w:lang w:val="uk-UA" w:eastAsia="ru-RU"/>
        </w:rPr>
        <w:t>Гриб А.М.</w:t>
      </w:r>
    </w:p>
    <w:p w14:paraId="6210C6DB" w14:textId="77777777" w:rsidR="00220D3E" w:rsidRPr="00511005" w:rsidRDefault="00220D3E" w:rsidP="003A292D">
      <w:pPr>
        <w:tabs>
          <w:tab w:val="left" w:pos="709"/>
          <w:tab w:val="left" w:pos="975"/>
          <w:tab w:val="center" w:pos="5315"/>
        </w:tabs>
        <w:spacing w:line="264" w:lineRule="auto"/>
        <w:contextualSpacing/>
        <w:jc w:val="left"/>
        <w:rPr>
          <w:rFonts w:ascii="Arial" w:eastAsia="Times New Roman" w:hAnsi="Arial" w:cs="Arial"/>
          <w:b/>
          <w:i/>
          <w:iCs/>
          <w:szCs w:val="28"/>
          <w:lang w:val="uk-UA" w:eastAsia="ru-RU"/>
        </w:rPr>
      </w:pPr>
      <w:r w:rsidRPr="00511005">
        <w:rPr>
          <w:rFonts w:ascii="Arial" w:eastAsia="Times New Roman" w:hAnsi="Arial" w:cs="Arial"/>
          <w:b/>
          <w:i/>
          <w:iCs/>
          <w:szCs w:val="28"/>
          <w:lang w:val="uk-UA" w:eastAsia="ru-RU"/>
        </w:rPr>
        <w:tab/>
      </w:r>
    </w:p>
    <w:p w14:paraId="627395EB" w14:textId="31941930" w:rsidR="00220D3E" w:rsidRPr="00511005" w:rsidRDefault="00220D3E" w:rsidP="003A292D">
      <w:pPr>
        <w:tabs>
          <w:tab w:val="left" w:pos="709"/>
          <w:tab w:val="left" w:pos="975"/>
          <w:tab w:val="center" w:pos="5315"/>
        </w:tabs>
        <w:spacing w:line="264" w:lineRule="auto"/>
        <w:ind w:firstLine="0"/>
        <w:contextualSpacing/>
        <w:jc w:val="center"/>
        <w:rPr>
          <w:rFonts w:ascii="Arial" w:eastAsia="Times New Roman" w:hAnsi="Arial" w:cs="Arial"/>
          <w:b/>
          <w:i/>
          <w:iCs/>
          <w:szCs w:val="28"/>
          <w:lang w:val="uk-UA" w:eastAsia="ru-RU"/>
        </w:rPr>
      </w:pPr>
      <w:r w:rsidRPr="00511005">
        <w:rPr>
          <w:rFonts w:ascii="Arial" w:eastAsia="Times New Roman" w:hAnsi="Arial" w:cs="Arial"/>
          <w:b/>
          <w:i/>
          <w:iCs/>
          <w:szCs w:val="28"/>
          <w:lang w:val="uk-UA" w:eastAsia="ru-RU"/>
        </w:rPr>
        <w:t>Кірпіченко Віта Віталіївна,</w:t>
      </w:r>
      <w:r w:rsidR="00146592" w:rsidRPr="00511005">
        <w:rPr>
          <w:rFonts w:ascii="Arial" w:eastAsia="Times New Roman" w:hAnsi="Arial" w:cs="Arial"/>
          <w:b/>
          <w:i/>
          <w:iCs/>
          <w:szCs w:val="28"/>
          <w:lang w:val="uk-UA" w:eastAsia="ru-RU"/>
        </w:rPr>
        <w:t xml:space="preserve"> </w:t>
      </w:r>
      <w:r w:rsidRPr="00511005">
        <w:rPr>
          <w:rFonts w:ascii="Arial" w:eastAsia="Times New Roman" w:hAnsi="Arial" w:cs="Arial"/>
          <w:b/>
          <w:i/>
          <w:iCs/>
          <w:szCs w:val="28"/>
          <w:lang w:val="uk-UA" w:eastAsia="ru-RU"/>
        </w:rPr>
        <w:t>Долженко Юлія Вікторівна</w:t>
      </w:r>
    </w:p>
    <w:p w14:paraId="074B3117" w14:textId="39821EFE" w:rsidR="00220D3E" w:rsidRPr="00511005" w:rsidRDefault="00220D3E" w:rsidP="003A292D">
      <w:pPr>
        <w:tabs>
          <w:tab w:val="left" w:pos="709"/>
        </w:tabs>
        <w:spacing w:line="264" w:lineRule="auto"/>
        <w:ind w:firstLine="0"/>
        <w:contextualSpacing/>
        <w:jc w:val="center"/>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студентки </w:t>
      </w:r>
      <w:r w:rsidR="007B2628" w:rsidRPr="00511005">
        <w:rPr>
          <w:rFonts w:ascii="Arial" w:eastAsia="Times New Roman" w:hAnsi="Arial" w:cs="Arial"/>
          <w:bCs/>
          <w:szCs w:val="28"/>
          <w:lang w:val="uk-UA" w:eastAsia="ru-RU"/>
        </w:rPr>
        <w:t>4-го курсу</w:t>
      </w:r>
      <w:r w:rsidRPr="00511005">
        <w:rPr>
          <w:rFonts w:ascii="Arial" w:eastAsia="Times New Roman" w:hAnsi="Arial" w:cs="Arial"/>
          <w:bCs/>
          <w:szCs w:val="28"/>
          <w:lang w:val="uk-UA" w:eastAsia="ru-RU"/>
        </w:rPr>
        <w:t xml:space="preserve"> </w:t>
      </w:r>
      <w:r w:rsidR="00536AAB" w:rsidRPr="00511005">
        <w:rPr>
          <w:rFonts w:ascii="Arial" w:eastAsia="Times New Roman" w:hAnsi="Arial" w:cs="Arial"/>
          <w:bCs/>
          <w:szCs w:val="28"/>
          <w:lang w:val="uk-UA" w:eastAsia="ru-RU"/>
        </w:rPr>
        <w:t>факультету адвокатури та антикорупційної діяльності</w:t>
      </w:r>
    </w:p>
    <w:p w14:paraId="6AA6F53A" w14:textId="23B917F7" w:rsidR="00220D3E" w:rsidRPr="00511005" w:rsidRDefault="007B2628" w:rsidP="003A292D">
      <w:pPr>
        <w:tabs>
          <w:tab w:val="left" w:pos="709"/>
        </w:tabs>
        <w:spacing w:line="264" w:lineRule="auto"/>
        <w:ind w:firstLine="0"/>
        <w:contextualSpacing/>
        <w:jc w:val="center"/>
        <w:rPr>
          <w:rFonts w:ascii="Arial" w:eastAsia="Times New Roman" w:hAnsi="Arial" w:cs="Arial"/>
          <w:bCs/>
          <w:szCs w:val="28"/>
          <w:lang w:val="uk-UA" w:eastAsia="ru-RU"/>
        </w:rPr>
      </w:pPr>
      <w:r w:rsidRPr="00511005">
        <w:rPr>
          <w:rFonts w:ascii="Arial" w:eastAsia="Times New Roman" w:hAnsi="Arial" w:cs="Arial"/>
          <w:bCs/>
          <w:szCs w:val="28"/>
          <w:lang w:val="uk-UA" w:eastAsia="ru-RU"/>
        </w:rPr>
        <w:t>Національного університету «Одеська юридична академія»</w:t>
      </w:r>
    </w:p>
    <w:p w14:paraId="221AA2EA" w14:textId="77777777" w:rsidR="00220D3E" w:rsidRPr="00511005" w:rsidRDefault="00220D3E" w:rsidP="003A292D">
      <w:pPr>
        <w:tabs>
          <w:tab w:val="left" w:pos="709"/>
        </w:tabs>
        <w:spacing w:line="264" w:lineRule="auto"/>
        <w:ind w:firstLine="0"/>
        <w:contextualSpacing/>
        <w:jc w:val="center"/>
        <w:rPr>
          <w:rFonts w:ascii="Arial" w:eastAsia="Times New Roman" w:hAnsi="Arial" w:cs="Arial"/>
          <w:bCs/>
          <w:szCs w:val="28"/>
          <w:lang w:val="uk-UA" w:eastAsia="ru-RU"/>
        </w:rPr>
      </w:pPr>
    </w:p>
    <w:p w14:paraId="37248B65" w14:textId="77777777" w:rsidR="007B2628" w:rsidRPr="00511005" w:rsidRDefault="00220D3E" w:rsidP="003A292D">
      <w:pPr>
        <w:tabs>
          <w:tab w:val="left" w:pos="709"/>
        </w:tabs>
        <w:spacing w:line="264" w:lineRule="auto"/>
        <w:ind w:firstLine="0"/>
        <w:contextualSpacing/>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ПОЛІТИКА ЄС У СФЕРІ МІГРАЦІЇ ТА ПРИТУЛКУ</w:t>
      </w:r>
    </w:p>
    <w:p w14:paraId="17403F5D" w14:textId="77777777" w:rsidR="007B2628" w:rsidRPr="00511005" w:rsidRDefault="00220D3E" w:rsidP="003A292D">
      <w:pPr>
        <w:tabs>
          <w:tab w:val="left" w:pos="709"/>
        </w:tabs>
        <w:spacing w:line="264" w:lineRule="auto"/>
        <w:contextualSpacing/>
        <w:rPr>
          <w:rFonts w:ascii="Arial" w:hAnsi="Arial" w:cs="Arial"/>
          <w:szCs w:val="28"/>
          <w:lang w:val="uk-UA" w:eastAsia="ru-RU"/>
        </w:rPr>
      </w:pPr>
      <w:r w:rsidRPr="00511005">
        <w:rPr>
          <w:rFonts w:ascii="Arial" w:hAnsi="Arial" w:cs="Arial"/>
          <w:szCs w:val="28"/>
          <w:lang w:val="uk-UA" w:eastAsia="ru-RU"/>
        </w:rPr>
        <w:t>П</w:t>
      </w:r>
      <w:r w:rsidRPr="00511005">
        <w:rPr>
          <w:rFonts w:ascii="Arial" w:hAnsi="Arial" w:cs="Arial"/>
          <w:szCs w:val="28"/>
          <w:lang w:eastAsia="ru-RU"/>
        </w:rPr>
        <w:t>итання міграції та притулку — це не лише виклик для правової та соціальної систем ЄС, а й фактор, що впливає на стабільність усього регіону. Саме тому актуальність цієї тематики залишається надзвичайно високою в політичному, соціальному та безпековому контексті.</w:t>
      </w:r>
      <w:r w:rsidRPr="00511005">
        <w:rPr>
          <w:rFonts w:ascii="Arial" w:hAnsi="Arial" w:cs="Arial"/>
          <w:szCs w:val="28"/>
          <w:lang w:val="uk-UA" w:eastAsia="ru-RU"/>
        </w:rPr>
        <w:t xml:space="preserve"> </w:t>
      </w:r>
    </w:p>
    <w:p w14:paraId="6F8F2D66" w14:textId="10047D1B"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Актуальність проблематики міграції та притулку в Європейському Союзі зростає з кожним роком у зв’язку з низкою глобальних викликів і криз. Зокрема:</w:t>
      </w:r>
    </w:p>
    <w:p w14:paraId="62CD8D33" w14:textId="77777777" w:rsidR="00220D3E" w:rsidRPr="00511005" w:rsidRDefault="00220D3E" w:rsidP="003F6A5D">
      <w:pPr>
        <w:numPr>
          <w:ilvl w:val="0"/>
          <w:numId w:val="102"/>
        </w:numPr>
        <w:tabs>
          <w:tab w:val="left" w:pos="720"/>
        </w:tabs>
        <w:spacing w:line="264" w:lineRule="auto"/>
        <w:contextualSpacing/>
        <w:jc w:val="left"/>
        <w:rPr>
          <w:rFonts w:ascii="Arial" w:eastAsia="Times New Roman" w:hAnsi="Arial" w:cs="Arial"/>
          <w:szCs w:val="28"/>
          <w:lang w:eastAsia="ru-RU"/>
        </w:rPr>
      </w:pPr>
      <w:r w:rsidRPr="00511005">
        <w:rPr>
          <w:rFonts w:ascii="Arial" w:eastAsia="Times New Roman" w:hAnsi="Arial" w:cs="Arial"/>
          <w:b/>
          <w:bCs/>
          <w:szCs w:val="28"/>
          <w:lang w:eastAsia="ru-RU"/>
        </w:rPr>
        <w:t>Збройні конфлікти та політичні режими</w:t>
      </w:r>
      <w:r w:rsidRPr="00511005">
        <w:rPr>
          <w:rFonts w:ascii="Arial" w:eastAsia="Times New Roman" w:hAnsi="Arial" w:cs="Arial"/>
          <w:szCs w:val="28"/>
          <w:lang w:eastAsia="ru-RU"/>
        </w:rPr>
        <w:t xml:space="preserve">: війна в Україні, конфлікти на Близькому Сході та в Африці змушують мільйони людей шукати безпеки в ЄС, що створює навантаження на національні системи </w:t>
      </w:r>
      <w:proofErr w:type="gramStart"/>
      <w:r w:rsidRPr="00511005">
        <w:rPr>
          <w:rFonts w:ascii="Arial" w:eastAsia="Times New Roman" w:hAnsi="Arial" w:cs="Arial"/>
          <w:szCs w:val="28"/>
          <w:lang w:eastAsia="ru-RU"/>
        </w:rPr>
        <w:t>притулку ;</w:t>
      </w:r>
      <w:proofErr w:type="gramEnd"/>
    </w:p>
    <w:p w14:paraId="02AED425" w14:textId="77777777" w:rsidR="00220D3E" w:rsidRPr="00511005" w:rsidRDefault="00220D3E" w:rsidP="003F6A5D">
      <w:pPr>
        <w:numPr>
          <w:ilvl w:val="0"/>
          <w:numId w:val="102"/>
        </w:numPr>
        <w:tabs>
          <w:tab w:val="left" w:pos="720"/>
        </w:tabs>
        <w:spacing w:line="264" w:lineRule="auto"/>
        <w:contextualSpacing/>
        <w:jc w:val="left"/>
        <w:rPr>
          <w:rFonts w:ascii="Arial" w:eastAsia="Times New Roman" w:hAnsi="Arial" w:cs="Arial"/>
          <w:szCs w:val="28"/>
          <w:lang w:eastAsia="ru-RU"/>
        </w:rPr>
      </w:pPr>
      <w:r w:rsidRPr="00511005">
        <w:rPr>
          <w:rFonts w:ascii="Arial" w:eastAsia="Times New Roman" w:hAnsi="Arial" w:cs="Arial"/>
          <w:b/>
          <w:bCs/>
          <w:szCs w:val="28"/>
          <w:lang w:eastAsia="ru-RU"/>
        </w:rPr>
        <w:t>Економічна нестабільність та кліматичні зміни</w:t>
      </w:r>
      <w:r w:rsidRPr="00511005">
        <w:rPr>
          <w:rFonts w:ascii="Arial" w:eastAsia="Times New Roman" w:hAnsi="Arial" w:cs="Arial"/>
          <w:szCs w:val="28"/>
          <w:lang w:eastAsia="ru-RU"/>
        </w:rPr>
        <w:t xml:space="preserve">: спричиняють зростання кількості економічних мігрантів і кліматичних біженців, </w:t>
      </w:r>
      <w:r w:rsidRPr="00511005">
        <w:rPr>
          <w:rFonts w:ascii="Arial" w:eastAsia="Times New Roman" w:hAnsi="Arial" w:cs="Arial"/>
          <w:szCs w:val="28"/>
          <w:lang w:val="uk-UA" w:eastAsia="ru-RU"/>
        </w:rPr>
        <w:t xml:space="preserve">а саме </w:t>
      </w:r>
      <w:r w:rsidRPr="00511005">
        <w:rPr>
          <w:rFonts w:ascii="Arial" w:eastAsia="Times New Roman" w:hAnsi="Arial" w:cs="Arial"/>
          <w:szCs w:val="28"/>
          <w:lang w:eastAsia="ru-RU"/>
        </w:rPr>
        <w:t xml:space="preserve">з країн </w:t>
      </w:r>
      <w:proofErr w:type="gramStart"/>
      <w:r w:rsidRPr="00511005">
        <w:rPr>
          <w:rFonts w:ascii="Arial" w:eastAsia="Times New Roman" w:hAnsi="Arial" w:cs="Arial"/>
          <w:szCs w:val="28"/>
          <w:lang w:eastAsia="ru-RU"/>
        </w:rPr>
        <w:t>Півдня ;</w:t>
      </w:r>
      <w:proofErr w:type="gramEnd"/>
    </w:p>
    <w:p w14:paraId="080D312A" w14:textId="77777777" w:rsidR="00220D3E" w:rsidRPr="00511005" w:rsidRDefault="00220D3E" w:rsidP="003F6A5D">
      <w:pPr>
        <w:numPr>
          <w:ilvl w:val="0"/>
          <w:numId w:val="102"/>
        </w:numPr>
        <w:tabs>
          <w:tab w:val="left" w:pos="720"/>
        </w:tabs>
        <w:spacing w:line="264" w:lineRule="auto"/>
        <w:contextualSpacing/>
        <w:jc w:val="left"/>
        <w:rPr>
          <w:rFonts w:ascii="Arial" w:eastAsia="Times New Roman" w:hAnsi="Arial" w:cs="Arial"/>
          <w:szCs w:val="28"/>
          <w:lang w:eastAsia="ru-RU"/>
        </w:rPr>
      </w:pPr>
      <w:r w:rsidRPr="00511005">
        <w:rPr>
          <w:rFonts w:ascii="Arial" w:eastAsia="Times New Roman" w:hAnsi="Arial" w:cs="Arial"/>
          <w:b/>
          <w:bCs/>
          <w:szCs w:val="28"/>
          <w:lang w:eastAsia="ru-RU"/>
        </w:rPr>
        <w:t>Нерівномірний розподіл навантаження серед країн-членів ЄС</w:t>
      </w:r>
      <w:r w:rsidRPr="00511005">
        <w:rPr>
          <w:rFonts w:ascii="Arial" w:eastAsia="Times New Roman" w:hAnsi="Arial" w:cs="Arial"/>
          <w:szCs w:val="28"/>
          <w:lang w:eastAsia="ru-RU"/>
        </w:rPr>
        <w:t>: прикордонні держави, такі як Італія, Греція та Іспанія, приймають найбільшу кількість мігрантів, що викликає дисбаланс і політичне напруження;</w:t>
      </w:r>
    </w:p>
    <w:p w14:paraId="7D23C1B1" w14:textId="77777777" w:rsidR="00220D3E" w:rsidRPr="00511005" w:rsidRDefault="00220D3E" w:rsidP="003F6A5D">
      <w:pPr>
        <w:numPr>
          <w:ilvl w:val="0"/>
          <w:numId w:val="102"/>
        </w:numPr>
        <w:tabs>
          <w:tab w:val="left" w:pos="720"/>
        </w:tabs>
        <w:spacing w:line="264" w:lineRule="auto"/>
        <w:contextualSpacing/>
        <w:jc w:val="left"/>
        <w:rPr>
          <w:rFonts w:ascii="Arial" w:eastAsia="Times New Roman" w:hAnsi="Arial" w:cs="Arial"/>
          <w:szCs w:val="28"/>
          <w:lang w:eastAsia="ru-RU"/>
        </w:rPr>
      </w:pPr>
      <w:r w:rsidRPr="00511005">
        <w:rPr>
          <w:rFonts w:ascii="Arial" w:eastAsia="Times New Roman" w:hAnsi="Arial" w:cs="Arial"/>
          <w:b/>
          <w:bCs/>
          <w:szCs w:val="28"/>
          <w:lang w:eastAsia="ru-RU"/>
        </w:rPr>
        <w:t>Потреба в оновленні політичних та правових механізмів</w:t>
      </w:r>
      <w:r w:rsidRPr="00511005">
        <w:rPr>
          <w:rFonts w:ascii="Arial" w:eastAsia="Times New Roman" w:hAnsi="Arial" w:cs="Arial"/>
          <w:szCs w:val="28"/>
          <w:lang w:eastAsia="ru-RU"/>
        </w:rPr>
        <w:t xml:space="preserve">: чинна система притулку (зокрема, Дублінський регламент) виявила свою неефективність, особливо під час міграційної кризи 2015 року, що й зумовило розробку Нового пакту про міграцію та </w:t>
      </w:r>
      <w:proofErr w:type="gramStart"/>
      <w:r w:rsidRPr="00511005">
        <w:rPr>
          <w:rFonts w:ascii="Arial" w:eastAsia="Times New Roman" w:hAnsi="Arial" w:cs="Arial"/>
          <w:szCs w:val="28"/>
          <w:lang w:eastAsia="ru-RU"/>
        </w:rPr>
        <w:t>притулок ;</w:t>
      </w:r>
      <w:proofErr w:type="gramEnd"/>
    </w:p>
    <w:p w14:paraId="5FCAA54A" w14:textId="77777777" w:rsidR="00220D3E" w:rsidRPr="00511005" w:rsidRDefault="00220D3E" w:rsidP="003F6A5D">
      <w:pPr>
        <w:numPr>
          <w:ilvl w:val="0"/>
          <w:numId w:val="102"/>
        </w:numPr>
        <w:tabs>
          <w:tab w:val="left" w:pos="720"/>
        </w:tabs>
        <w:spacing w:line="264" w:lineRule="auto"/>
        <w:contextualSpacing/>
        <w:jc w:val="left"/>
        <w:rPr>
          <w:rFonts w:ascii="Arial" w:hAnsi="Arial" w:cs="Arial"/>
          <w:szCs w:val="28"/>
          <w:lang w:val="uk-UA" w:eastAsia="ru-RU"/>
        </w:rPr>
      </w:pPr>
      <w:r w:rsidRPr="00511005">
        <w:rPr>
          <w:rFonts w:ascii="Arial" w:eastAsia="Times New Roman" w:hAnsi="Arial" w:cs="Arial"/>
          <w:b/>
          <w:bCs/>
          <w:szCs w:val="28"/>
          <w:lang w:eastAsia="ru-RU"/>
        </w:rPr>
        <w:t>Зростання ксенофобії та популізму</w:t>
      </w:r>
      <w:r w:rsidRPr="00511005">
        <w:rPr>
          <w:rFonts w:ascii="Arial" w:eastAsia="Times New Roman" w:hAnsi="Arial" w:cs="Arial"/>
          <w:szCs w:val="28"/>
          <w:lang w:eastAsia="ru-RU"/>
        </w:rPr>
        <w:t xml:space="preserve">: ускладнює формування спільної політики на рівні ЄС, посилюючи суперечності між країнами </w:t>
      </w:r>
      <w:proofErr w:type="gramStart"/>
      <w:r w:rsidRPr="00511005">
        <w:rPr>
          <w:rFonts w:ascii="Arial" w:eastAsia="Times New Roman" w:hAnsi="Arial" w:cs="Arial"/>
          <w:szCs w:val="28"/>
          <w:lang w:eastAsia="ru-RU"/>
        </w:rPr>
        <w:t>[ 4</w:t>
      </w:r>
      <w:proofErr w:type="gramEnd"/>
      <w:r w:rsidRPr="00511005">
        <w:rPr>
          <w:rFonts w:ascii="Arial" w:eastAsia="Times New Roman" w:hAnsi="Arial" w:cs="Arial"/>
          <w:szCs w:val="28"/>
          <w:lang w:eastAsia="ru-RU"/>
        </w:rPr>
        <w:t xml:space="preserve"> , ст. 3 ] .</w:t>
      </w:r>
    </w:p>
    <w:p w14:paraId="1D207984" w14:textId="77777777" w:rsidR="007B2628" w:rsidRPr="00511005" w:rsidRDefault="00220D3E" w:rsidP="003A292D">
      <w:pPr>
        <w:tabs>
          <w:tab w:val="left" w:pos="709"/>
        </w:tabs>
        <w:spacing w:line="264" w:lineRule="auto"/>
        <w:contextualSpacing/>
        <w:rPr>
          <w:rFonts w:ascii="Arial" w:hAnsi="Arial" w:cs="Arial"/>
          <w:szCs w:val="28"/>
          <w:lang w:val="uk-UA" w:eastAsia="ru-RU"/>
        </w:rPr>
      </w:pPr>
      <w:r w:rsidRPr="00511005">
        <w:rPr>
          <w:rFonts w:ascii="Arial" w:hAnsi="Arial" w:cs="Arial"/>
          <w:szCs w:val="28"/>
          <w:lang w:val="uk-UA" w:eastAsia="ru-RU"/>
        </w:rPr>
        <w:t>Незважаючи на широку привабливість обмеження міграції, ЄС також потребує мігрантів для заповнення важливих низькокваліфікованих робочих місць, таких як будівництво, для яких існує гостра нестача робочої сили. Знайти консенсус щодо правильного балансу між цими двома імперативами було б важко в найкращі часи, а</w:t>
      </w:r>
      <w:r w:rsidR="007B2628" w:rsidRPr="00511005">
        <w:rPr>
          <w:rFonts w:ascii="Arial" w:hAnsi="Arial" w:cs="Arial"/>
          <w:szCs w:val="28"/>
          <w:lang w:val="uk-UA" w:eastAsia="ru-RU"/>
        </w:rPr>
        <w:t xml:space="preserve"> </w:t>
      </w:r>
      <w:r w:rsidRPr="00511005">
        <w:rPr>
          <w:rFonts w:ascii="Arial" w:hAnsi="Arial" w:cs="Arial"/>
          <w:szCs w:val="28"/>
          <w:lang w:val="uk-UA" w:eastAsia="ru-RU"/>
        </w:rPr>
        <w:t>в</w:t>
      </w:r>
      <w:r w:rsidR="007B2628" w:rsidRPr="00511005">
        <w:rPr>
          <w:rFonts w:ascii="Arial" w:hAnsi="Arial" w:cs="Arial"/>
          <w:szCs w:val="28"/>
          <w:lang w:val="uk-UA" w:eastAsia="ru-RU"/>
        </w:rPr>
        <w:t xml:space="preserve"> </w:t>
      </w:r>
      <w:r w:rsidRPr="00511005">
        <w:rPr>
          <w:rFonts w:ascii="Arial" w:hAnsi="Arial" w:cs="Arial"/>
          <w:szCs w:val="28"/>
          <w:lang w:val="uk-UA" w:eastAsia="ru-RU"/>
        </w:rPr>
        <w:t xml:space="preserve">умовах глибокої поляризації це практично неможливо </w:t>
      </w:r>
      <w:r w:rsidRPr="00511005">
        <w:rPr>
          <w:rFonts w:ascii="Arial" w:eastAsia="Times New Roman" w:hAnsi="Arial" w:cs="Arial"/>
          <w:szCs w:val="28"/>
          <w:lang w:val="uk-UA" w:eastAsia="ru-RU"/>
        </w:rPr>
        <w:t>[5].</w:t>
      </w:r>
    </w:p>
    <w:p w14:paraId="6B0DAEF2" w14:textId="77777777" w:rsidR="007B2628"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Після майже десятиліття дискусій та складних переговорів між 27 країнами-членами ЄС, в 2024 році було остаточно затверджено міграційний пакт, який передбачає масштабну реформу системи надання притулку та міграційної політики Євросоюзу [7]. Міграційна криза останніх років висвітлила недоліки існуючої системи притулку в ЄС, зокрема нерівномірний розподіл відповідальності між країнами-членами та затримки в обробці заявок. </w:t>
      </w:r>
      <w:r w:rsidRPr="00511005">
        <w:rPr>
          <w:rFonts w:ascii="Arial" w:eastAsia="Times New Roman" w:hAnsi="Arial" w:cs="Arial"/>
          <w:szCs w:val="28"/>
          <w:lang w:eastAsia="ru-RU"/>
        </w:rPr>
        <w:t xml:space="preserve">У 2023 році кількість перших заяв на притулок в ЄС знизилася на 13% порівняно з попереднім роком, до 912 000 заявок, що підкреслює </w:t>
      </w:r>
      <w:r w:rsidRPr="00511005">
        <w:rPr>
          <w:rFonts w:ascii="Arial" w:eastAsia="Times New Roman" w:hAnsi="Arial" w:cs="Arial"/>
          <w:szCs w:val="28"/>
          <w:lang w:eastAsia="ru-RU"/>
        </w:rPr>
        <w:lastRenderedPageBreak/>
        <w:t>необхідність реформування системи для ефективнішого управління міграційними потоками</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p>
    <w:p w14:paraId="40B68E07" w14:textId="77777777" w:rsidR="007B2628"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eastAsia="ru-RU"/>
        </w:rPr>
        <w:t>Міграційний пакт складається з десяти законодавчих актів, спрямованих на посилення та уніфікацію законодавства про надання притулку в ЄС, а також на впровадження нових механізмів управління міграційними потоками.</w:t>
      </w:r>
    </w:p>
    <w:p w14:paraId="043E9265" w14:textId="77777777" w:rsidR="007B2628"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055389">
        <w:rPr>
          <w:rFonts w:ascii="Arial" w:eastAsia="Times New Roman" w:hAnsi="Arial" w:cs="Arial"/>
          <w:szCs w:val="28"/>
          <w:lang w:val="uk-UA" w:eastAsia="ru-RU"/>
        </w:rPr>
        <w:t>Основною метою пакту є обмеження нелегальної імміграції, прискорення процедур розгляду заяв про надання притулку та зменшення навантаження на країни, які є основними пунктами прибуття мігрантів, такі як Італія, Греція та Іспанія .</w:t>
      </w:r>
      <w:r w:rsidRPr="00511005">
        <w:rPr>
          <w:rFonts w:ascii="Arial" w:eastAsia="Times New Roman" w:hAnsi="Arial" w:cs="Arial"/>
          <w:szCs w:val="28"/>
          <w:lang w:val="uk-UA" w:eastAsia="ru-RU"/>
        </w:rPr>
        <w:t xml:space="preserve"> </w:t>
      </w:r>
    </w:p>
    <w:p w14:paraId="1FF3C715" w14:textId="367366E1"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Пакт спрямований на створення єдиної та ефективної системи управління міграцією, що включає:​</w:t>
      </w:r>
    </w:p>
    <w:p w14:paraId="66292FCB" w14:textId="77777777" w:rsidR="00220D3E" w:rsidRPr="00511005" w:rsidRDefault="00220D3E" w:rsidP="003F6A5D">
      <w:pPr>
        <w:numPr>
          <w:ilvl w:val="0"/>
          <w:numId w:val="103"/>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Посилення контролю на зовнішніх кордонах ЄС.​</w:t>
      </w:r>
    </w:p>
    <w:p w14:paraId="551B5D4E" w14:textId="77777777" w:rsidR="00220D3E" w:rsidRPr="00511005" w:rsidRDefault="00220D3E" w:rsidP="003F6A5D">
      <w:pPr>
        <w:numPr>
          <w:ilvl w:val="0"/>
          <w:numId w:val="103"/>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Прискорення та уніфікацію процедур надання притулку.​</w:t>
      </w:r>
    </w:p>
    <w:p w14:paraId="15D75C05" w14:textId="77777777" w:rsidR="00220D3E" w:rsidRPr="00511005" w:rsidRDefault="00220D3E" w:rsidP="003F6A5D">
      <w:pPr>
        <w:numPr>
          <w:ilvl w:val="0"/>
          <w:numId w:val="103"/>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Справедливий розподіл відповідальності та солідарності між державами-членами.​</w:t>
      </w:r>
    </w:p>
    <w:p w14:paraId="09D34F53" w14:textId="77777777" w:rsidR="007B2628" w:rsidRPr="00511005" w:rsidRDefault="00220D3E" w:rsidP="003F6A5D">
      <w:pPr>
        <w:numPr>
          <w:ilvl w:val="0"/>
          <w:numId w:val="103"/>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Покращення співпраці з третіми країнами для запобігання нелегальній міграції [</w:t>
      </w:r>
      <w:proofErr w:type="gramStart"/>
      <w:r w:rsidRPr="00511005">
        <w:rPr>
          <w:rFonts w:ascii="Arial" w:eastAsia="Times New Roman" w:hAnsi="Arial" w:cs="Arial"/>
          <w:szCs w:val="28"/>
          <w:lang w:val="uk-UA" w:eastAsia="ru-RU"/>
        </w:rPr>
        <w:t>6</w:t>
      </w:r>
      <w:r w:rsidRPr="00511005">
        <w:rPr>
          <w:rFonts w:ascii="Arial" w:eastAsia="Times New Roman" w:hAnsi="Arial" w:cs="Arial"/>
          <w:szCs w:val="28"/>
          <w:lang w:eastAsia="ru-RU"/>
        </w:rPr>
        <w:t xml:space="preserve"> ]</w:t>
      </w:r>
      <w:proofErr w:type="gramEnd"/>
      <w:r w:rsidRPr="00511005">
        <w:rPr>
          <w:rFonts w:ascii="Arial" w:eastAsia="Times New Roman" w:hAnsi="Arial" w:cs="Arial"/>
          <w:szCs w:val="28"/>
          <w:lang w:eastAsia="ru-RU"/>
        </w:rPr>
        <w:t xml:space="preserve"> .</w:t>
      </w:r>
    </w:p>
    <w:p w14:paraId="5797F174" w14:textId="77777777" w:rsidR="007B2628"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Нові правила передбачають прискорення розгляду заяв шукачів притулку на зовнішніх кордонах ЄС. Особи з низькими шансами на отримання притулку будуть депортовані швидше, а рішення ухвалюватимуться безпосередньо на кордоні. ​</w:t>
      </w:r>
    </w:p>
    <w:p w14:paraId="348512B8" w14:textId="77777777" w:rsidR="007B2628"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eastAsia="ru-RU"/>
        </w:rPr>
        <w:t>Пакт запроваджує механізм обов'язкової солідарності між країнами-членами ЄС. У разі надмірного навантаження на країни першого прибуття інші держави-члени зобов'язані приймати частину шукачів притулку або надавати фінансову та технічну підтримку. ​</w:t>
      </w:r>
    </w:p>
    <w:p w14:paraId="5F1406BB" w14:textId="77777777" w:rsidR="007B2628" w:rsidRPr="00055389" w:rsidRDefault="00220D3E" w:rsidP="003A292D">
      <w:pPr>
        <w:tabs>
          <w:tab w:val="left" w:pos="709"/>
        </w:tabs>
        <w:spacing w:line="264" w:lineRule="auto"/>
        <w:contextualSpacing/>
        <w:rPr>
          <w:rFonts w:ascii="Arial" w:eastAsia="Times New Roman" w:hAnsi="Arial" w:cs="Arial"/>
          <w:szCs w:val="28"/>
          <w:lang w:val="uk-UA" w:eastAsia="ru-RU"/>
        </w:rPr>
      </w:pPr>
      <w:r w:rsidRPr="00055389">
        <w:rPr>
          <w:rFonts w:ascii="Arial" w:eastAsia="Times New Roman" w:hAnsi="Arial" w:cs="Arial"/>
          <w:szCs w:val="28"/>
          <w:lang w:val="uk-UA" w:eastAsia="ru-RU"/>
        </w:rPr>
        <w:t>Країни, які відмовляються приймати мігрантів, можуть надавати фінансову компенсацію або інші ресурси для підтримки держав, що перебувають під міграційним тиском. Це дозволяє гнучко розподіляти навантаження між країнами-членами. ​</w:t>
      </w:r>
    </w:p>
    <w:p w14:paraId="760D1687" w14:textId="77777777" w:rsidR="007B2628" w:rsidRPr="00055389" w:rsidRDefault="00220D3E" w:rsidP="003A292D">
      <w:pPr>
        <w:tabs>
          <w:tab w:val="left" w:pos="709"/>
        </w:tabs>
        <w:spacing w:line="264" w:lineRule="auto"/>
        <w:contextualSpacing/>
        <w:rPr>
          <w:rFonts w:ascii="Arial" w:eastAsia="Times New Roman" w:hAnsi="Arial" w:cs="Arial"/>
          <w:szCs w:val="28"/>
          <w:lang w:val="uk-UA" w:eastAsia="ru-RU"/>
        </w:rPr>
      </w:pPr>
      <w:r w:rsidRPr="00055389">
        <w:rPr>
          <w:rFonts w:ascii="Arial" w:eastAsia="Times New Roman" w:hAnsi="Arial" w:cs="Arial"/>
          <w:szCs w:val="28"/>
          <w:lang w:val="uk-UA" w:eastAsia="ru-RU"/>
        </w:rPr>
        <w:t xml:space="preserve">Пакт передбачає значне посилення системи реєстрації мігрантів через розширення бази даних </w:t>
      </w:r>
      <w:r w:rsidRPr="00511005">
        <w:rPr>
          <w:rFonts w:ascii="Arial" w:eastAsia="Times New Roman" w:hAnsi="Arial" w:cs="Arial"/>
          <w:szCs w:val="28"/>
          <w:lang w:eastAsia="ru-RU"/>
        </w:rPr>
        <w:t>Eurodac</w:t>
      </w:r>
      <w:r w:rsidRPr="00055389">
        <w:rPr>
          <w:rFonts w:ascii="Arial" w:eastAsia="Times New Roman" w:hAnsi="Arial" w:cs="Arial"/>
          <w:szCs w:val="28"/>
          <w:lang w:val="uk-UA" w:eastAsia="ru-RU"/>
        </w:rPr>
        <w:t>, що дозволить ефективніше відстежувати повторні прибуття та запобігати вторинним переміщенням мігрантів між країнами ЄС.</w:t>
      </w:r>
    </w:p>
    <w:p w14:paraId="24AEE2D5" w14:textId="77777777" w:rsidR="007B2628" w:rsidRPr="00055389" w:rsidRDefault="00220D3E" w:rsidP="003A292D">
      <w:pPr>
        <w:tabs>
          <w:tab w:val="left" w:pos="709"/>
        </w:tabs>
        <w:spacing w:line="264" w:lineRule="auto"/>
        <w:contextualSpacing/>
        <w:rPr>
          <w:rFonts w:ascii="Arial" w:eastAsia="Times New Roman" w:hAnsi="Arial" w:cs="Arial"/>
          <w:szCs w:val="28"/>
          <w:lang w:val="uk-UA" w:eastAsia="ru-RU"/>
        </w:rPr>
      </w:pPr>
      <w:r w:rsidRPr="00055389">
        <w:rPr>
          <w:rFonts w:ascii="Arial" w:eastAsia="Times New Roman" w:hAnsi="Arial" w:cs="Arial"/>
          <w:szCs w:val="28"/>
          <w:lang w:val="uk-UA" w:eastAsia="ru-RU"/>
        </w:rPr>
        <w:t>Міграційний пакт передбачає створення спеціальних прикордонних центрів для швидкого розгляду заяв про надання притулку та прийняття рішень щодо депортації або надання статусу біженця. ​</w:t>
      </w:r>
    </w:p>
    <w:p w14:paraId="224B37DF" w14:textId="77777777" w:rsidR="007B2628"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Документ містить положення про визначення "кризової ситуації", що дозволяє країнам-членам вимагати більшої солідарності та підтримки від партнерів у разі різкого зростання міграційного тиску. </w:t>
      </w:r>
    </w:p>
    <w:p w14:paraId="521D1526" w14:textId="77777777" w:rsidR="007B2628"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Реформа </w:t>
      </w:r>
      <w:r w:rsidRPr="00511005">
        <w:rPr>
          <w:rFonts w:ascii="Arial" w:eastAsia="Times New Roman" w:hAnsi="Arial" w:cs="Arial"/>
          <w:szCs w:val="28"/>
          <w:lang w:val="uk-UA" w:eastAsia="ru-RU"/>
        </w:rPr>
        <w:t xml:space="preserve">була </w:t>
      </w:r>
      <w:r w:rsidRPr="00511005">
        <w:rPr>
          <w:rFonts w:ascii="Arial" w:eastAsia="Times New Roman" w:hAnsi="Arial" w:cs="Arial"/>
          <w:szCs w:val="28"/>
          <w:lang w:eastAsia="ru-RU"/>
        </w:rPr>
        <w:t>спрямована на прискорення процедур повернення осіб, яким відмовлено у наданні притулку, до країн походження або транзитних держав, з якими укладено відповідні угоди. ​</w:t>
      </w:r>
    </w:p>
    <w:p w14:paraId="4F44B751" w14:textId="77777777" w:rsidR="007B2628"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Розширена база даних Eurodac включатиме біометричні дані мігрантів, що дозволить ефективніше ідентифікувати осіб та запобігати подвійному поданню заяв у різних країнах ЄС </w:t>
      </w:r>
      <w:proofErr w:type="gramStart"/>
      <w:r w:rsidRPr="00511005">
        <w:rPr>
          <w:rFonts w:ascii="Arial" w:eastAsia="Times New Roman" w:hAnsi="Arial" w:cs="Arial"/>
          <w:szCs w:val="28"/>
          <w:lang w:eastAsia="ru-RU"/>
        </w:rPr>
        <w:t>[ 4</w:t>
      </w:r>
      <w:proofErr w:type="gramEnd"/>
      <w:r w:rsidRPr="00511005">
        <w:rPr>
          <w:rFonts w:ascii="Arial" w:eastAsia="Times New Roman" w:hAnsi="Arial" w:cs="Arial"/>
          <w:szCs w:val="28"/>
          <w:lang w:eastAsia="ru-RU"/>
        </w:rPr>
        <w:t xml:space="preserve"> ]</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w:t>
      </w:r>
    </w:p>
    <w:p w14:paraId="6F2D956F" w14:textId="40C13616"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ЄС планує укладати більше угод з третіми країнами для прийому назад мігрантів, яким відмовлено у притулку, надаючи в обмін економічну допомогу та сприяння у розвитку.</w:t>
      </w:r>
    </w:p>
    <w:p w14:paraId="42CABAAF"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eastAsia="ru-RU"/>
        </w:rPr>
        <w:t>Незважаючи на прийняття Пакту, існують значні виклики щодо його впровадження, включаючи необхідність створення інфраструктури для утримання мігрантів на кордонах та забезпечення дотримання прав людини. Крім того, деякі країни можуть зіткнутися з труднощами у виконанні своїх зобов'язань щодо солідарності [</w:t>
      </w:r>
      <w:proofErr w:type="gramStart"/>
      <w:r w:rsidRPr="00511005">
        <w:rPr>
          <w:rFonts w:ascii="Arial" w:eastAsia="Times New Roman" w:hAnsi="Arial" w:cs="Arial"/>
          <w:szCs w:val="28"/>
          <w:lang w:eastAsia="ru-RU"/>
        </w:rPr>
        <w:t>4,ст.</w:t>
      </w:r>
      <w:proofErr w:type="gramEnd"/>
      <w:r w:rsidRPr="00511005">
        <w:rPr>
          <w:rFonts w:ascii="Arial" w:eastAsia="Times New Roman" w:hAnsi="Arial" w:cs="Arial"/>
          <w:szCs w:val="28"/>
          <w:lang w:eastAsia="ru-RU"/>
        </w:rPr>
        <w:t xml:space="preserve"> 45].</w:t>
      </w:r>
      <w:r w:rsidRPr="00511005">
        <w:rPr>
          <w:rFonts w:ascii="Arial" w:eastAsia="Times New Roman" w:hAnsi="Arial" w:cs="Arial"/>
          <w:szCs w:val="28"/>
          <w:lang w:val="uk-UA" w:eastAsia="ru-RU"/>
        </w:rPr>
        <w:t xml:space="preserve"> Також варто зазначити, що правозахисні організації висловлюють занепокоєння щодо можливого порушення прав шукачів притулку, зокрема через тривале утримання на кордонах та співпрацю з третіми країнами, які не завжди гарантують безпеку мігрантів. </w:t>
      </w:r>
    </w:p>
    <w:p w14:paraId="7668B30C"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val="uk-UA" w:eastAsia="ru-RU"/>
        </w:rPr>
        <w:t xml:space="preserve">Реалізація Пакту потребує значних фінансових ресурсів для створення необхідної інфраструктури, посилення прикордонного контролю та надання підтримки країнам, що приймають мігрантів. </w:t>
      </w:r>
      <w:r w:rsidRPr="00511005">
        <w:rPr>
          <w:rFonts w:ascii="Arial" w:eastAsia="Times New Roman" w:hAnsi="Arial" w:cs="Arial"/>
          <w:szCs w:val="28"/>
          <w:lang w:eastAsia="ru-RU"/>
        </w:rPr>
        <w:t>ЄС передбачає фінансування цих заходів як з власного бюджету, так і за рахунок внесків держав-членів.</w:t>
      </w:r>
    </w:p>
    <w:p w14:paraId="29A9CDA5"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Стосовно </w:t>
      </w:r>
      <w:r w:rsidRPr="00511005">
        <w:rPr>
          <w:rFonts w:ascii="Arial" w:eastAsia="Times New Roman" w:hAnsi="Arial" w:cs="Arial"/>
          <w:bCs/>
          <w:szCs w:val="28"/>
          <w:lang w:val="uk-UA" w:eastAsia="ru-RU"/>
        </w:rPr>
        <w:t>п</w:t>
      </w:r>
      <w:r w:rsidRPr="00511005">
        <w:rPr>
          <w:rFonts w:ascii="Arial" w:eastAsia="Times New Roman" w:hAnsi="Arial" w:cs="Arial"/>
          <w:bCs/>
          <w:szCs w:val="28"/>
          <w:lang w:eastAsia="ru-RU"/>
        </w:rPr>
        <w:t>ерспективи подальшого розвитку міграційної політики ЄС</w:t>
      </w:r>
      <w:r w:rsidRPr="00511005">
        <w:rPr>
          <w:rFonts w:ascii="Arial" w:eastAsia="Times New Roman" w:hAnsi="Arial" w:cs="Arial"/>
          <w:szCs w:val="28"/>
          <w:lang w:val="uk-UA" w:eastAsia="ru-RU"/>
        </w:rPr>
        <w:t>, то п</w:t>
      </w:r>
      <w:r w:rsidRPr="00511005">
        <w:rPr>
          <w:rFonts w:ascii="Arial" w:eastAsia="Times New Roman" w:hAnsi="Arial" w:cs="Arial"/>
          <w:szCs w:val="28"/>
          <w:lang w:eastAsia="ru-RU"/>
        </w:rPr>
        <w:t>рийняття Пакту є важливим кроком у реформуванні міграційної політики ЄС, однак його успіх залежатиме від ефективності впровадження, співпраці між державами-членами та дотримання прав людини [</w:t>
      </w:r>
      <w:r w:rsidRPr="00511005">
        <w:rPr>
          <w:rFonts w:ascii="Arial" w:eastAsia="Times New Roman" w:hAnsi="Arial" w:cs="Arial"/>
          <w:szCs w:val="28"/>
          <w:lang w:val="uk-UA" w:eastAsia="ru-RU"/>
        </w:rPr>
        <w:t>4</w:t>
      </w:r>
      <w:r w:rsidRPr="00511005">
        <w:rPr>
          <w:rFonts w:ascii="Arial" w:eastAsia="Times New Roman" w:hAnsi="Arial" w:cs="Arial"/>
          <w:szCs w:val="28"/>
          <w:lang w:eastAsia="ru-RU"/>
        </w:rPr>
        <w:t xml:space="preserve">] . </w:t>
      </w:r>
    </w:p>
    <w:p w14:paraId="7242F733" w14:textId="77777777" w:rsidR="00220D3E" w:rsidRPr="00511005" w:rsidRDefault="00220D3E" w:rsidP="003A292D">
      <w:pPr>
        <w:tabs>
          <w:tab w:val="left" w:pos="709"/>
        </w:tabs>
        <w:spacing w:line="264" w:lineRule="auto"/>
        <w:contextualSpacing/>
        <w:rPr>
          <w:rFonts w:ascii="Arial" w:eastAsia="Times New Roman" w:hAnsi="Arial" w:cs="Arial"/>
          <w:b/>
          <w:bCs/>
          <w:szCs w:val="28"/>
          <w:lang w:val="uk-UA" w:eastAsia="ru-RU"/>
        </w:rPr>
      </w:pPr>
      <w:r w:rsidRPr="00511005">
        <w:rPr>
          <w:rFonts w:ascii="Arial" w:eastAsia="Times New Roman" w:hAnsi="Arial" w:cs="Arial"/>
          <w:szCs w:val="28"/>
          <w:lang w:val="uk-UA" w:eastAsia="ru-RU"/>
        </w:rPr>
        <w:t>Прийняття Нового міграційного пакту у 2024 році демонструє готовність ЄС переглянути застарілі підходи та сформувати більш скоординовану, ефективну й справедливу міграційну політику. Пакт відкриває перспективи для побудови стійкої системи притулку, яка базується на принципах солідарності, розподілу відповідальності та дотриманні прав людини. Його реалізація дозволить не лише швидше реагувати на кризові ситуації, але й створить умови для інтеграції мігрантів, зміцнення зовнішніх кордонів і розвитку партнерств з третіми країнами. Попри існуючі виклики, саме нині відкривається вікно можливостей для ЄС стати глобальним зразком гуманного та відповідального підходу до міграції — із поглядом у майбутнє, що об’єднує безпеку, справедливість і людську гідність.</w:t>
      </w:r>
    </w:p>
    <w:p w14:paraId="0E124B94" w14:textId="4A7A5E30" w:rsidR="00220D3E" w:rsidRPr="00511005" w:rsidRDefault="007B2628" w:rsidP="007B2628">
      <w:pPr>
        <w:tabs>
          <w:tab w:val="left" w:pos="709"/>
        </w:tabs>
        <w:spacing w:line="264" w:lineRule="auto"/>
        <w:contextualSpacing/>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6EEA1D8B" w14:textId="335244E2" w:rsidR="00220D3E" w:rsidRPr="00511005" w:rsidRDefault="00220D3E" w:rsidP="003F6A5D">
      <w:pPr>
        <w:numPr>
          <w:ilvl w:val="0"/>
          <w:numId w:val="104"/>
        </w:numPr>
        <w:tabs>
          <w:tab w:val="left" w:pos="709"/>
        </w:tabs>
        <w:spacing w:line="264" w:lineRule="auto"/>
        <w:ind w:left="0" w:right="-1" w:firstLine="709"/>
        <w:contextualSpacing/>
        <w:jc w:val="left"/>
        <w:rPr>
          <w:rFonts w:ascii="Arial" w:eastAsia="Calibri" w:hAnsi="Arial" w:cs="Arial"/>
          <w:szCs w:val="28"/>
          <w:lang w:val="uk-UA"/>
        </w:rPr>
      </w:pPr>
      <w:r w:rsidRPr="00511005">
        <w:rPr>
          <w:rFonts w:ascii="Arial" w:eastAsia="Calibri" w:hAnsi="Arial" w:cs="Arial"/>
          <w:szCs w:val="28"/>
          <w:lang w:val="uk-UA"/>
        </w:rPr>
        <w:t>Конвенція про захист прав людини і основоположних свобод від 04</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листопада 1950 року</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URL: </w:t>
      </w:r>
      <w:hyperlink r:id="rId328" w:history="1">
        <w:r w:rsidRPr="00511005">
          <w:rPr>
            <w:rFonts w:ascii="Arial" w:eastAsia="Calibri" w:hAnsi="Arial" w:cs="Arial"/>
            <w:szCs w:val="28"/>
            <w:lang w:val="uk-UA"/>
          </w:rPr>
          <w:t>https://zakon.rada.gov.ua/laws/show/995_004</w:t>
        </w:r>
      </w:hyperlink>
      <w:r w:rsidRPr="00511005">
        <w:rPr>
          <w:rFonts w:ascii="Arial" w:eastAsia="Calibri" w:hAnsi="Arial" w:cs="Arial"/>
          <w:szCs w:val="28"/>
          <w:lang w:val="uk-UA"/>
        </w:rPr>
        <w:t xml:space="preserve"> </w:t>
      </w:r>
    </w:p>
    <w:p w14:paraId="267C40DA" w14:textId="29AC8170" w:rsidR="00220D3E" w:rsidRPr="00511005" w:rsidRDefault="00220D3E" w:rsidP="003F6A5D">
      <w:pPr>
        <w:numPr>
          <w:ilvl w:val="0"/>
          <w:numId w:val="10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lastRenderedPageBreak/>
        <w:t>Конвенція, що визначає державу, яка відповідає за розгляд заяв про надання притулку, що подані в одній з держав-членів Європейських Співтовариств (Дублінська конвенція) від 15.06.1990 р. Верховна Рада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України. Законодавство України. URL: </w:t>
      </w:r>
      <w:hyperlink r:id="rId329" w:history="1">
        <w:r w:rsidRPr="00511005">
          <w:rPr>
            <w:rFonts w:ascii="Arial" w:eastAsia="Calibri" w:hAnsi="Arial" w:cs="Arial"/>
            <w:szCs w:val="28"/>
            <w:lang w:val="uk-UA"/>
          </w:rPr>
          <w:t>https://zakononline.com.ua/documents/show/156641___156641</w:t>
        </w:r>
      </w:hyperlink>
      <w:r w:rsidRPr="00511005">
        <w:rPr>
          <w:rFonts w:ascii="Arial" w:eastAsia="Calibri" w:hAnsi="Arial" w:cs="Arial"/>
          <w:szCs w:val="28"/>
          <w:lang w:val="uk-UA"/>
        </w:rPr>
        <w:t xml:space="preserve"> </w:t>
      </w:r>
    </w:p>
    <w:p w14:paraId="07D0BFA5" w14:textId="44480F7F" w:rsidR="00220D3E" w:rsidRPr="00511005" w:rsidRDefault="00220D3E" w:rsidP="003F6A5D">
      <w:pPr>
        <w:numPr>
          <w:ilvl w:val="0"/>
          <w:numId w:val="10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Макаруха З Гармонізація процесуального права притулку в рамках ЄС. </w:t>
      </w:r>
      <w:r w:rsidRPr="00511005">
        <w:rPr>
          <w:rFonts w:ascii="Arial" w:eastAsia="Calibri" w:hAnsi="Arial" w:cs="Arial"/>
          <w:i/>
          <w:iCs/>
          <w:szCs w:val="28"/>
          <w:lang w:val="uk-UA"/>
        </w:rPr>
        <w:t>Вісник Академії правових наук України</w:t>
      </w:r>
      <w:r w:rsidRPr="00511005">
        <w:rPr>
          <w:rFonts w:ascii="Arial" w:eastAsia="Calibri" w:hAnsi="Arial" w:cs="Arial"/>
          <w:szCs w:val="28"/>
          <w:lang w:val="uk-UA"/>
        </w:rPr>
        <w:t>.</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2010.</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№1.</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 215–225.</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URL:</w:t>
      </w:r>
      <w:r w:rsidR="007B2628" w:rsidRPr="00511005">
        <w:rPr>
          <w:rFonts w:ascii="Arial" w:eastAsia="Calibri" w:hAnsi="Arial" w:cs="Arial"/>
          <w:szCs w:val="28"/>
          <w:lang w:val="uk-UA"/>
        </w:rPr>
        <w:t xml:space="preserve"> </w:t>
      </w:r>
      <w:hyperlink r:id="rId330" w:history="1">
        <w:r w:rsidRPr="00511005">
          <w:rPr>
            <w:rFonts w:ascii="Arial" w:eastAsia="Calibri" w:hAnsi="Arial" w:cs="Arial"/>
            <w:szCs w:val="28"/>
          </w:rPr>
          <w:t>http://nbuv.gov.ua/UJRN/vapny_2010_1_21</w:t>
        </w:r>
      </w:hyperlink>
    </w:p>
    <w:p w14:paraId="6E54C540" w14:textId="5C0878D1" w:rsidR="00220D3E" w:rsidRPr="00511005" w:rsidRDefault="00220D3E" w:rsidP="003F6A5D">
      <w:pPr>
        <w:numPr>
          <w:ilvl w:val="0"/>
          <w:numId w:val="10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Малиновська О. А. Міграційна політика Європейського союзу: виклики та уроки для України.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К.: НІСД, 2014.</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48 с. URL:</w:t>
      </w:r>
      <w:r w:rsidR="007B2628" w:rsidRPr="00511005">
        <w:rPr>
          <w:rFonts w:ascii="Arial" w:eastAsia="Calibri" w:hAnsi="Arial" w:cs="Arial"/>
          <w:szCs w:val="28"/>
          <w:lang w:val="uk-UA"/>
        </w:rPr>
        <w:t xml:space="preserve"> </w:t>
      </w:r>
      <w:hyperlink r:id="rId331" w:history="1">
        <w:r w:rsidRPr="00511005">
          <w:rPr>
            <w:rFonts w:ascii="Arial" w:eastAsia="Calibri" w:hAnsi="Arial" w:cs="Arial"/>
            <w:szCs w:val="28"/>
            <w:lang w:val="uk-UA"/>
          </w:rPr>
          <w:t>https://niss.gov.ua/sites/default/files/2014-07/migr_pol-68f1d.pdf</w:t>
        </w:r>
      </w:hyperlink>
    </w:p>
    <w:p w14:paraId="45201DD0" w14:textId="77777777" w:rsidR="00220D3E" w:rsidRPr="00511005" w:rsidRDefault="00220D3E" w:rsidP="003F6A5D">
      <w:pPr>
        <w:numPr>
          <w:ilvl w:val="0"/>
          <w:numId w:val="10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en-US"/>
        </w:rPr>
        <w:t>Ana Palacio</w:t>
      </w:r>
      <w:r w:rsidRPr="00511005">
        <w:rPr>
          <w:rFonts w:ascii="Arial" w:eastAsia="Calibri" w:hAnsi="Arial" w:cs="Arial"/>
          <w:szCs w:val="28"/>
          <w:lang w:val="uk-UA"/>
        </w:rPr>
        <w:t xml:space="preserve"> </w:t>
      </w:r>
      <w:r w:rsidRPr="00511005">
        <w:rPr>
          <w:rFonts w:ascii="Arial" w:eastAsia="Calibri" w:hAnsi="Arial" w:cs="Arial"/>
          <w:szCs w:val="28"/>
          <w:lang w:val="en-US"/>
        </w:rPr>
        <w:t>Why the EU’s New Migration Pact Matters</w:t>
      </w:r>
      <w:r w:rsidRPr="00511005">
        <w:rPr>
          <w:rFonts w:ascii="Arial" w:eastAsia="Calibri" w:hAnsi="Arial" w:cs="Arial"/>
          <w:szCs w:val="28"/>
          <w:lang w:val="uk-UA"/>
        </w:rPr>
        <w:t xml:space="preserve"> URL:</w:t>
      </w:r>
      <w:r w:rsidRPr="00511005">
        <w:rPr>
          <w:rFonts w:ascii="Arial" w:eastAsia="Calibri" w:hAnsi="Arial" w:cs="Arial"/>
          <w:szCs w:val="28"/>
          <w:lang w:val="en-US"/>
        </w:rPr>
        <w:t xml:space="preserve"> </w:t>
      </w:r>
      <w:r w:rsidRPr="00511005">
        <w:rPr>
          <w:rFonts w:ascii="Arial" w:eastAsia="Calibri" w:hAnsi="Arial" w:cs="Arial"/>
          <w:szCs w:val="28"/>
          <w:lang w:val="uk-UA"/>
        </w:rPr>
        <w:t>https://www.project-syndicate.org/commentary/eu-migrant-and-asylum-pact-passage-suggests-way-forward-for-european-politics-by-ana-palacio-2024-04?</w:t>
      </w:r>
    </w:p>
    <w:p w14:paraId="7C248E40" w14:textId="77777777" w:rsidR="00220D3E" w:rsidRPr="00511005" w:rsidRDefault="00220D3E" w:rsidP="003F6A5D">
      <w:pPr>
        <w:numPr>
          <w:ilvl w:val="0"/>
          <w:numId w:val="104"/>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en-US"/>
        </w:rPr>
        <w:t>Pact on Migration and Asylum</w:t>
      </w:r>
      <w:r w:rsidRPr="00511005">
        <w:rPr>
          <w:rFonts w:ascii="Arial" w:eastAsia="Calibri" w:hAnsi="Arial" w:cs="Arial"/>
          <w:szCs w:val="28"/>
          <w:lang w:val="uk-UA"/>
        </w:rPr>
        <w:t xml:space="preserve">. URL: </w:t>
      </w:r>
      <w:hyperlink r:id="rId332" w:history="1">
        <w:r w:rsidRPr="00511005">
          <w:rPr>
            <w:rFonts w:ascii="Arial" w:eastAsia="Calibri" w:hAnsi="Arial" w:cs="Arial"/>
            <w:szCs w:val="28"/>
            <w:lang w:val="uk-UA"/>
          </w:rPr>
          <w:t>https://commission.europa.eu/strategy-and-policy/priorities-2019-2024/</w:t>
        </w:r>
      </w:hyperlink>
    </w:p>
    <w:p w14:paraId="2172175A" w14:textId="3DB9F370" w:rsidR="00220D3E" w:rsidRPr="00511005" w:rsidRDefault="007B2628" w:rsidP="003A292D">
      <w:pPr>
        <w:tabs>
          <w:tab w:val="left" w:pos="709"/>
        </w:tabs>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ЄС; міграція; політика притулку; безпека; пакт; депортація; солідарність</w:t>
      </w:r>
    </w:p>
    <w:p w14:paraId="30F692F7" w14:textId="52D45104" w:rsidR="00220D3E" w:rsidRPr="00511005" w:rsidRDefault="007B2628" w:rsidP="003A292D">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contextualSpacing/>
        <w:jc w:val="left"/>
        <w:rPr>
          <w:rFonts w:ascii="Arial" w:hAnsi="Arial" w:cs="Arial"/>
          <w:szCs w:val="28"/>
          <w:lang w:val="en-US" w:eastAsia="zh-CN"/>
        </w:rPr>
      </w:pPr>
      <w:r w:rsidRPr="00511005">
        <w:rPr>
          <w:rFonts w:ascii="Arial" w:hAnsi="Arial" w:cs="Arial"/>
          <w:b/>
          <w:bCs/>
          <w:i/>
          <w:szCs w:val="28"/>
          <w:lang w:val="uk-UA" w:eastAsia="zh-CN"/>
        </w:rPr>
        <w:t xml:space="preserve">Key words: </w:t>
      </w:r>
      <w:r w:rsidR="00220D3E" w:rsidRPr="00511005">
        <w:rPr>
          <w:rFonts w:ascii="Arial" w:hAnsi="Arial" w:cs="Arial"/>
          <w:szCs w:val="28"/>
          <w:lang w:val="uk-UA" w:eastAsia="zh-CN"/>
        </w:rPr>
        <w:t xml:space="preserve">EU; </w:t>
      </w:r>
      <w:r w:rsidR="00220D3E" w:rsidRPr="00511005">
        <w:rPr>
          <w:rFonts w:ascii="Arial" w:hAnsi="Arial" w:cs="Arial"/>
          <w:szCs w:val="28"/>
          <w:shd w:val="clear" w:color="auto" w:fill="F8F9FA"/>
          <w:lang w:val="en-US" w:eastAsia="zh-CN"/>
        </w:rPr>
        <w:t>migration; asylum policy; security; pact; deportation; solidarity</w:t>
      </w:r>
    </w:p>
    <w:p w14:paraId="7E70DB34" w14:textId="030C4838" w:rsidR="00220D3E" w:rsidRPr="00511005" w:rsidRDefault="00EE6668" w:rsidP="003A292D">
      <w:pPr>
        <w:tabs>
          <w:tab w:val="left" w:pos="709"/>
        </w:tabs>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i/>
          <w:iCs/>
          <w:szCs w:val="28"/>
          <w:lang w:val="uk-UA" w:eastAsia="ru-RU"/>
        </w:rPr>
        <w:t>Науковий керівник:</w:t>
      </w:r>
      <w:r w:rsidR="00220D3E" w:rsidRPr="00511005">
        <w:rPr>
          <w:rFonts w:ascii="Arial" w:eastAsia="Times New Roman" w:hAnsi="Arial" w:cs="Arial"/>
          <w:i/>
          <w:iCs/>
          <w:szCs w:val="28"/>
          <w:lang w:val="uk-UA" w:eastAsia="ru-RU"/>
        </w:rPr>
        <w:t xml:space="preserve"> д.ю.н., професор Сурілова О.О.</w:t>
      </w:r>
    </w:p>
    <w:p w14:paraId="4A96530D"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p>
    <w:p w14:paraId="03FCE8A0"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Дороніна Вероніка Сергіївна</w:t>
      </w:r>
    </w:p>
    <w:p w14:paraId="1874FFDE" w14:textId="1EA6A431"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5B88B4E6" w14:textId="38826E17"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690BFD0"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1A1B4364"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ДИПЛОМАТИЧНЕ ПРАВО МІЖНАРОДНИХ ОРГАНІЗАЦІЙ</w:t>
      </w:r>
    </w:p>
    <w:p w14:paraId="22F508FB"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Поняття «дипломатичне право» можна тлумачити як сукупність правових норм, які регулюють встановлення та підтримання офіційних відносин між державами, а також між державами і міжнародними організаціями. Зокрема, воно визначає правовий статус, привілеї та імунітети дипломатичних і консульських місій, а також їх представників.</w:t>
      </w:r>
    </w:p>
    <w:p w14:paraId="2D663AC2" w14:textId="13CD6844"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Сучасні міжнародні відносини дедалі більше визначаються активною участю країн у багатосторонній дипломатії, що значною мірою здійснюється через механізми Організації Об'єднаних Націй та інших впливових міжнародних інституцій. Особливу роль відіграють постійні представництва держав при міжнародних організаціях, які виступають ключовими засобами комунікації та координації. Через ці представництва здійснюється комплексна діяльність, зокрема: налагодження та підтримка дипломатичних зв’язків; участь у засіданнях та переговорах на всіх рівнях; моніторинг і аналіз міжнародних процесів і рішень, що ухвалюються у відповідних </w:t>
      </w:r>
      <w:r w:rsidRPr="00511005">
        <w:rPr>
          <w:rFonts w:ascii="Arial" w:eastAsia="Times New Roman" w:hAnsi="Arial" w:cs="Arial"/>
          <w:szCs w:val="28"/>
          <w:lang w:eastAsia="uk-UA"/>
        </w:rPr>
        <w:lastRenderedPageBreak/>
        <w:t>органах;</w:t>
      </w:r>
      <w:r w:rsidR="007B2628" w:rsidRPr="00511005">
        <w:rPr>
          <w:rFonts w:ascii="Arial" w:eastAsia="Times New Roman" w:hAnsi="Arial" w:cs="Arial"/>
          <w:szCs w:val="28"/>
          <w:lang w:eastAsia="uk-UA"/>
        </w:rPr>
        <w:t xml:space="preserve"> </w:t>
      </w:r>
      <w:r w:rsidRPr="00511005">
        <w:rPr>
          <w:rFonts w:ascii="Arial" w:eastAsia="Times New Roman" w:hAnsi="Arial" w:cs="Arial"/>
          <w:szCs w:val="28"/>
          <w:lang w:eastAsia="uk-UA"/>
        </w:rPr>
        <w:t xml:space="preserve">просування національних інтересів, а також захист прав і суверенітету держав-членів </w:t>
      </w:r>
      <w:proofErr w:type="gramStart"/>
      <w:r w:rsidRPr="00511005">
        <w:rPr>
          <w:rFonts w:ascii="Arial" w:eastAsia="Times New Roman" w:hAnsi="Arial" w:cs="Arial"/>
          <w:szCs w:val="28"/>
          <w:lang w:eastAsia="uk-UA"/>
        </w:rPr>
        <w:t>у рамках</w:t>
      </w:r>
      <w:proofErr w:type="gramEnd"/>
      <w:r w:rsidRPr="00511005">
        <w:rPr>
          <w:rFonts w:ascii="Arial" w:eastAsia="Times New Roman" w:hAnsi="Arial" w:cs="Arial"/>
          <w:szCs w:val="28"/>
          <w:lang w:eastAsia="uk-UA"/>
        </w:rPr>
        <w:t xml:space="preserve"> колективної співпраці.</w:t>
      </w:r>
    </w:p>
    <w:p w14:paraId="45E8F972"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Постійні представництва при міжнародних організаціях мають право відкривати лише ті держави, які є членами відповідних організацій. У випадках, коли держава не є членом, але проявляє інтерес до діяльності такої організації, вона може заснувати постійну місію спостерігача — за умови, що це дозволено установчими документами організації. Відкриття постійного представництва при міжнародній організації є не обов’язком, а правом держави.</w:t>
      </w:r>
      <w:r w:rsidRPr="00511005">
        <w:rPr>
          <w:rFonts w:ascii="Arial" w:eastAsia="Times New Roman" w:hAnsi="Arial" w:cs="Arial"/>
          <w:szCs w:val="28"/>
          <w:lang w:eastAsia="ru-RU"/>
        </w:rPr>
        <w:t xml:space="preserve"> </w:t>
      </w:r>
      <w:r w:rsidRPr="00511005">
        <w:rPr>
          <w:rFonts w:ascii="Arial" w:eastAsia="Times New Roman" w:hAnsi="Arial" w:cs="Arial"/>
          <w:szCs w:val="28"/>
          <w:lang w:eastAsia="uk-UA"/>
        </w:rPr>
        <w:t>[1] Це право випливає з загальновизнаного принципу міжнародного права щодо участі держав у міжнародних зносинах через представництво.</w:t>
      </w:r>
    </w:p>
    <w:p w14:paraId="15B66382"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Розміщення штаб-квартири міжнародної організації або її регіонального офісу можливе лише за згодою держави, яка приймає, адже саме вона уповноважена надавати дозвіл. Як правило, з цією метою укладається спеціальна угода між організацією та державою перебування. Питання відкриття постійних представництв держав-членів при такій організації також узгоджується з державою, на території якої розташована організація. Водночас, на відміну від встановлення класичних дипломатичних місій, згода держави перебування щодо постійних представництв при міжнародній організації є загальною і поширюється на всіх держав-членів. Це означає, що кожен нове відкриття представництва не потребує окремого погодження.</w:t>
      </w:r>
    </w:p>
    <w:p w14:paraId="11142495" w14:textId="24143DD2"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Правовий статус постійних представництв держав при міжнародних організаціях регулюється передусім статутними документами самих організацій, а також нормами міжнародного права. Одними з основних установчих документів</w:t>
      </w:r>
      <w:r w:rsidR="007B2628" w:rsidRPr="00511005">
        <w:rPr>
          <w:rFonts w:ascii="Arial" w:eastAsia="Times New Roman" w:hAnsi="Arial" w:cs="Arial"/>
          <w:szCs w:val="28"/>
          <w:lang w:eastAsia="uk-UA"/>
        </w:rPr>
        <w:t xml:space="preserve"> </w:t>
      </w:r>
      <w:r w:rsidRPr="00511005">
        <w:rPr>
          <w:rFonts w:ascii="Arial" w:eastAsia="Times New Roman" w:hAnsi="Arial" w:cs="Arial"/>
          <w:szCs w:val="28"/>
          <w:lang w:eastAsia="uk-UA"/>
        </w:rPr>
        <w:t>є: Віденська конвенція про представництво держав у їх відносинах з міжнародними організаціями універсального характеру</w:t>
      </w:r>
      <w:proofErr w:type="gramStart"/>
      <w:r w:rsidRPr="00511005">
        <w:rPr>
          <w:rFonts w:ascii="Arial" w:eastAsia="Times New Roman" w:hAnsi="Arial" w:cs="Arial"/>
          <w:szCs w:val="28"/>
          <w:lang w:eastAsia="uk-UA"/>
        </w:rPr>
        <w:t>, ,</w:t>
      </w:r>
      <w:proofErr w:type="gramEnd"/>
      <w:r w:rsidRPr="00511005">
        <w:rPr>
          <w:rFonts w:ascii="Arial" w:eastAsia="Times New Roman" w:hAnsi="Arial" w:cs="Arial"/>
          <w:szCs w:val="28"/>
          <w:lang w:eastAsia="uk-UA"/>
        </w:rPr>
        <w:t xml:space="preserve"> Віденська конвенція про дипломатичні зносини, угоди про привілеї і імунітети а також інші міжнародно-правові акти, які визначають рамки діяльності таких представництв.</w:t>
      </w:r>
    </w:p>
    <w:p w14:paraId="4CCC1E00" w14:textId="77777777" w:rsidR="00220D3E" w:rsidRPr="00511005" w:rsidRDefault="00220D3E" w:rsidP="003A292D">
      <w:pPr>
        <w:tabs>
          <w:tab w:val="left" w:pos="709"/>
        </w:tabs>
        <w:spacing w:line="264" w:lineRule="auto"/>
        <w:jc w:val="center"/>
        <w:rPr>
          <w:rFonts w:ascii="Arial" w:eastAsia="Times New Roman" w:hAnsi="Arial" w:cs="Arial"/>
          <w:szCs w:val="28"/>
          <w:lang w:eastAsia="uk-UA"/>
        </w:rPr>
      </w:pPr>
      <w:r w:rsidRPr="00511005">
        <w:rPr>
          <w:rFonts w:ascii="Arial" w:eastAsia="Times New Roman" w:hAnsi="Arial" w:cs="Arial"/>
          <w:szCs w:val="28"/>
          <w:lang w:eastAsia="uk-UA"/>
        </w:rPr>
        <w:t>Функції постійних представництв держав при міжнародних організаціях</w:t>
      </w:r>
    </w:p>
    <w:p w14:paraId="4DA7D6D7" w14:textId="55BD58BD"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w:t>
      </w:r>
      <w:r w:rsidR="007B2628" w:rsidRPr="00511005">
        <w:rPr>
          <w:rFonts w:ascii="Arial" w:eastAsia="Times New Roman" w:hAnsi="Arial" w:cs="Arial"/>
          <w:szCs w:val="28"/>
          <w:lang w:eastAsia="uk-UA"/>
        </w:rPr>
        <w:t xml:space="preserve"> </w:t>
      </w:r>
      <w:r w:rsidRPr="00511005">
        <w:rPr>
          <w:rFonts w:ascii="Arial" w:eastAsia="Times New Roman" w:hAnsi="Arial" w:cs="Arial"/>
          <w:szCs w:val="28"/>
          <w:lang w:eastAsia="uk-UA"/>
        </w:rPr>
        <w:t>представлення інтересів держави при міжнародній організації.</w:t>
      </w:r>
    </w:p>
    <w:p w14:paraId="3AE9E513"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 підтримання постійного зв’язку між державою та міжнародною організацією.</w:t>
      </w:r>
    </w:p>
    <w:p w14:paraId="3A05E41E" w14:textId="5975B1B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w:t>
      </w:r>
      <w:r w:rsidR="007B2628" w:rsidRPr="00511005">
        <w:rPr>
          <w:rFonts w:ascii="Arial" w:eastAsia="Times New Roman" w:hAnsi="Arial" w:cs="Arial"/>
          <w:szCs w:val="28"/>
          <w:lang w:eastAsia="uk-UA"/>
        </w:rPr>
        <w:t xml:space="preserve"> </w:t>
      </w:r>
      <w:r w:rsidRPr="00511005">
        <w:rPr>
          <w:rFonts w:ascii="Arial" w:eastAsia="Times New Roman" w:hAnsi="Arial" w:cs="Arial"/>
          <w:szCs w:val="28"/>
          <w:lang w:eastAsia="uk-UA"/>
        </w:rPr>
        <w:t xml:space="preserve">участь </w:t>
      </w:r>
      <w:proofErr w:type="gramStart"/>
      <w:r w:rsidRPr="00511005">
        <w:rPr>
          <w:rFonts w:ascii="Arial" w:eastAsia="Times New Roman" w:hAnsi="Arial" w:cs="Arial"/>
          <w:szCs w:val="28"/>
          <w:lang w:eastAsia="uk-UA"/>
        </w:rPr>
        <w:t>у переговорах</w:t>
      </w:r>
      <w:proofErr w:type="gramEnd"/>
      <w:r w:rsidRPr="00511005">
        <w:rPr>
          <w:rFonts w:ascii="Arial" w:eastAsia="Times New Roman" w:hAnsi="Arial" w:cs="Arial"/>
          <w:szCs w:val="28"/>
          <w:lang w:eastAsia="uk-UA"/>
        </w:rPr>
        <w:t xml:space="preserve"> з міжнародною організацією та в межах її структури.</w:t>
      </w:r>
    </w:p>
    <w:p w14:paraId="0F0D210D" w14:textId="22E5E5F4"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w:t>
      </w:r>
      <w:r w:rsidR="007B2628" w:rsidRPr="00511005">
        <w:rPr>
          <w:rFonts w:ascii="Arial" w:eastAsia="Times New Roman" w:hAnsi="Arial" w:cs="Arial"/>
          <w:szCs w:val="28"/>
          <w:lang w:eastAsia="uk-UA"/>
        </w:rPr>
        <w:t xml:space="preserve"> </w:t>
      </w:r>
      <w:r w:rsidRPr="00511005">
        <w:rPr>
          <w:rFonts w:ascii="Arial" w:eastAsia="Times New Roman" w:hAnsi="Arial" w:cs="Arial"/>
          <w:szCs w:val="28"/>
          <w:lang w:eastAsia="uk-UA"/>
        </w:rPr>
        <w:t>отримання інформації про діяльність організації та передача її уряду своєї держави.</w:t>
      </w:r>
    </w:p>
    <w:p w14:paraId="05B9B483" w14:textId="4CBCB6BA"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w:t>
      </w:r>
      <w:r w:rsidR="007B2628" w:rsidRPr="00511005">
        <w:rPr>
          <w:rFonts w:ascii="Arial" w:eastAsia="Times New Roman" w:hAnsi="Arial" w:cs="Arial"/>
          <w:szCs w:val="28"/>
          <w:lang w:eastAsia="uk-UA"/>
        </w:rPr>
        <w:t xml:space="preserve"> </w:t>
      </w:r>
      <w:r w:rsidRPr="00511005">
        <w:rPr>
          <w:rFonts w:ascii="Arial" w:eastAsia="Times New Roman" w:hAnsi="Arial" w:cs="Arial"/>
          <w:szCs w:val="28"/>
          <w:lang w:eastAsia="uk-UA"/>
        </w:rPr>
        <w:t>забезпечення участі держави в роботі та ініціативах організації.</w:t>
      </w:r>
    </w:p>
    <w:p w14:paraId="404EAF53" w14:textId="618A8171"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w:t>
      </w:r>
      <w:r w:rsidR="007B2628" w:rsidRPr="00511005">
        <w:rPr>
          <w:rFonts w:ascii="Arial" w:eastAsia="Times New Roman" w:hAnsi="Arial" w:cs="Arial"/>
          <w:szCs w:val="28"/>
          <w:lang w:eastAsia="uk-UA"/>
        </w:rPr>
        <w:t xml:space="preserve"> </w:t>
      </w:r>
      <w:r w:rsidRPr="00511005">
        <w:rPr>
          <w:rFonts w:ascii="Arial" w:eastAsia="Times New Roman" w:hAnsi="Arial" w:cs="Arial"/>
          <w:szCs w:val="28"/>
          <w:lang w:eastAsia="uk-UA"/>
        </w:rPr>
        <w:t>захист прав та інтересів своєї держави у відносинах з міжнародною організацією.</w:t>
      </w:r>
    </w:p>
    <w:p w14:paraId="25A8E3A9" w14:textId="7BA93413"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lastRenderedPageBreak/>
        <w:t>-</w:t>
      </w:r>
      <w:r w:rsidR="007B2628" w:rsidRPr="00511005">
        <w:rPr>
          <w:rFonts w:ascii="Arial" w:eastAsia="Times New Roman" w:hAnsi="Arial" w:cs="Arial"/>
          <w:szCs w:val="28"/>
          <w:lang w:eastAsia="uk-UA"/>
        </w:rPr>
        <w:t xml:space="preserve"> </w:t>
      </w:r>
      <w:r w:rsidRPr="00511005">
        <w:rPr>
          <w:rFonts w:ascii="Arial" w:eastAsia="Times New Roman" w:hAnsi="Arial" w:cs="Arial"/>
          <w:szCs w:val="28"/>
          <w:lang w:eastAsia="uk-UA"/>
        </w:rPr>
        <w:t>сприяння реалізації цілей і принципів організації шляхом взаємодії та співпраці з нею.</w:t>
      </w:r>
      <w:r w:rsidRPr="00511005">
        <w:rPr>
          <w:rFonts w:ascii="Arial" w:eastAsia="Times New Roman" w:hAnsi="Arial" w:cs="Arial"/>
          <w:szCs w:val="28"/>
          <w:lang w:eastAsia="ru-RU"/>
        </w:rPr>
        <w:t xml:space="preserve"> </w:t>
      </w:r>
      <w:r w:rsidRPr="00511005">
        <w:rPr>
          <w:rFonts w:ascii="Arial" w:eastAsia="Times New Roman" w:hAnsi="Arial" w:cs="Arial"/>
          <w:szCs w:val="28"/>
          <w:lang w:eastAsia="uk-UA"/>
        </w:rPr>
        <w:t>[2]</w:t>
      </w:r>
    </w:p>
    <w:p w14:paraId="2C627C5F" w14:textId="77777777" w:rsidR="007B2628"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Держави, які не є членами певної міжнародної організації, можуть створювати постійні місії спостерігачів, за умови, що таке право їм надане самою організацією. При деяких міжнародних організаціях, передусім при ООН, діють місії постійних спостерігачів. Однією з перших держав, що заснувала таку місію у 1946 році, була Швейцарія. До приєднання до ООН постійні місії спостерігачів також мали Австрія, Фінляндія, Італія, </w:t>
      </w:r>
      <w:proofErr w:type="gramStart"/>
      <w:r w:rsidRPr="00511005">
        <w:rPr>
          <w:rFonts w:ascii="Arial" w:eastAsia="Times New Roman" w:hAnsi="Arial" w:cs="Arial"/>
          <w:szCs w:val="28"/>
          <w:lang w:eastAsia="uk-UA"/>
        </w:rPr>
        <w:t>Японія,ФРН</w:t>
      </w:r>
      <w:proofErr w:type="gramEnd"/>
      <w:r w:rsidRPr="00511005">
        <w:rPr>
          <w:rFonts w:ascii="Arial" w:eastAsia="Times New Roman" w:hAnsi="Arial" w:cs="Arial"/>
          <w:szCs w:val="28"/>
          <w:lang w:eastAsia="uk-UA"/>
        </w:rPr>
        <w:t>, Бангладеш та інші країни. Нині статус постійних спостерігачів при ООН у Нью-Йорку зберігають Швейцарія, Ватикан і Монако. Основними функціями</w:t>
      </w:r>
      <w:r w:rsidR="007B2628" w:rsidRPr="00511005">
        <w:rPr>
          <w:rFonts w:ascii="Arial" w:eastAsia="Times New Roman" w:hAnsi="Arial" w:cs="Arial"/>
          <w:szCs w:val="28"/>
          <w:lang w:eastAsia="uk-UA"/>
        </w:rPr>
        <w:t xml:space="preserve"> </w:t>
      </w:r>
      <w:r w:rsidRPr="00511005">
        <w:rPr>
          <w:rFonts w:ascii="Arial" w:eastAsia="Times New Roman" w:hAnsi="Arial" w:cs="Arial"/>
          <w:szCs w:val="28"/>
          <w:lang w:eastAsia="uk-UA"/>
        </w:rPr>
        <w:t xml:space="preserve">постійної місії </w:t>
      </w:r>
      <w:proofErr w:type="gramStart"/>
      <w:r w:rsidRPr="00511005">
        <w:rPr>
          <w:rFonts w:ascii="Arial" w:eastAsia="Times New Roman" w:hAnsi="Arial" w:cs="Arial"/>
          <w:szCs w:val="28"/>
          <w:lang w:eastAsia="uk-UA"/>
        </w:rPr>
        <w:t>спостерігачів ,</w:t>
      </w:r>
      <w:proofErr w:type="gramEnd"/>
      <w:r w:rsidRPr="00511005">
        <w:rPr>
          <w:rFonts w:ascii="Arial" w:eastAsia="Times New Roman" w:hAnsi="Arial" w:cs="Arial"/>
          <w:szCs w:val="28"/>
          <w:lang w:eastAsia="uk-UA"/>
        </w:rPr>
        <w:t xml:space="preserve"> можна вважати: представлення держави та захист її інтересів у взаєминах з міжнародною організацією, а також забезпечення взаємодії з нею; отримання інформації про діяльність організації та передача відповідної інформації уряду своєї держави; сприяння розвитку співробітництва з організацією та участь у переговорах з нею. </w:t>
      </w:r>
    </w:p>
    <w:p w14:paraId="408E6693" w14:textId="1A3989A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Кожна міжнародна організація має своїх дипломатичних </w:t>
      </w:r>
      <w:proofErr w:type="gramStart"/>
      <w:r w:rsidRPr="00511005">
        <w:rPr>
          <w:rFonts w:ascii="Arial" w:eastAsia="Times New Roman" w:hAnsi="Arial" w:cs="Arial"/>
          <w:szCs w:val="28"/>
          <w:lang w:eastAsia="uk-UA"/>
        </w:rPr>
        <w:t>представників(</w:t>
      </w:r>
      <w:proofErr w:type="gramEnd"/>
      <w:r w:rsidRPr="00511005">
        <w:rPr>
          <w:rFonts w:ascii="Arial" w:eastAsia="Times New Roman" w:hAnsi="Arial" w:cs="Arial"/>
          <w:szCs w:val="28"/>
          <w:lang w:eastAsia="uk-UA"/>
        </w:rPr>
        <w:t>ще їх називають делегаціями), які представляють її на міжнародній арені. Делегати, як правило, мають певні привілеї та імунітети задля ефективного виконання покладених повноважень на них акредитуючою стороною. Імунітети керують принципами взаємності, альтернативності та функціональної необхідності.</w:t>
      </w:r>
      <w:r w:rsidRPr="00511005">
        <w:rPr>
          <w:rFonts w:ascii="Arial" w:eastAsia="Times New Roman" w:hAnsi="Arial" w:cs="Arial"/>
          <w:szCs w:val="28"/>
          <w:lang w:eastAsia="ru-RU"/>
        </w:rPr>
        <w:t xml:space="preserve"> </w:t>
      </w:r>
      <w:r w:rsidRPr="00511005">
        <w:rPr>
          <w:rFonts w:ascii="Arial" w:eastAsia="Times New Roman" w:hAnsi="Arial" w:cs="Arial"/>
          <w:szCs w:val="28"/>
          <w:lang w:eastAsia="uk-UA"/>
        </w:rPr>
        <w:t xml:space="preserve">[3] До особистих привілеїв які мають представники міжнародних організацій відносяться - гарантія особистої недоторканності; захист недоторканності житла (резиденції) та особистого майна; забезпечення конфіденційності документів і кореспонденції; імунітет від судової та адміністративної юрисдикції держави перебування; звільнення від сплати податків і обов’язкових зборів; право звільнення населення від митних зборів та від митного огляду. Привілеї та імунітети діють </w:t>
      </w:r>
      <w:proofErr w:type="gramStart"/>
      <w:r w:rsidRPr="00511005">
        <w:rPr>
          <w:rFonts w:ascii="Arial" w:eastAsia="Times New Roman" w:hAnsi="Arial" w:cs="Arial"/>
          <w:szCs w:val="28"/>
          <w:lang w:eastAsia="uk-UA"/>
        </w:rPr>
        <w:t>до моменту</w:t>
      </w:r>
      <w:proofErr w:type="gramEnd"/>
      <w:r w:rsidRPr="00511005">
        <w:rPr>
          <w:rFonts w:ascii="Arial" w:eastAsia="Times New Roman" w:hAnsi="Arial" w:cs="Arial"/>
          <w:szCs w:val="28"/>
          <w:lang w:eastAsia="uk-UA"/>
        </w:rPr>
        <w:t xml:space="preserve"> виїзду представника з території приймаючої держави або по завершенню строку встановленого для мети приїзду.</w:t>
      </w:r>
    </w:p>
    <w:p w14:paraId="3201DE9C"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Отже, дипломатичне право міжнародних організацій регулює правовий статус, привілеї, імунітети та функціонування міжнародних організацій і їхніх представництв, а також взаємодію між цими організаціями і державами-членами або іншими суб’єктами міжнародного права. Воно охоплює правовий статус міжнародних організацій, привілеї та імунітети які надаються представництвам при міжнародних організаціях та їх представникам, представляє національні інтереси, регулює роботу органів організації, здійснює моніторинг і передачу інформації та застосовує право на акредитацію місій спостерігачів.</w:t>
      </w:r>
      <w:r w:rsidRPr="00511005">
        <w:rPr>
          <w:rFonts w:ascii="Arial" w:eastAsia="Times New Roman" w:hAnsi="Arial" w:cs="Arial"/>
          <w:szCs w:val="28"/>
          <w:lang w:eastAsia="ru-RU"/>
        </w:rPr>
        <w:t xml:space="preserve"> </w:t>
      </w:r>
      <w:r w:rsidRPr="00511005">
        <w:rPr>
          <w:rFonts w:ascii="Arial" w:eastAsia="Times New Roman" w:hAnsi="Arial" w:cs="Arial"/>
          <w:szCs w:val="28"/>
          <w:lang w:eastAsia="uk-UA"/>
        </w:rPr>
        <w:t xml:space="preserve">Основу дипломатичного права міжнародних організацій становлять: міжнародно-правові акти, як Віденська конвенція про представництво держав у їх відносинах з міжнародними </w:t>
      </w:r>
      <w:r w:rsidRPr="00511005">
        <w:rPr>
          <w:rFonts w:ascii="Arial" w:eastAsia="Times New Roman" w:hAnsi="Arial" w:cs="Arial"/>
          <w:szCs w:val="28"/>
          <w:lang w:eastAsia="uk-UA"/>
        </w:rPr>
        <w:lastRenderedPageBreak/>
        <w:t xml:space="preserve">організаціями універсального характеру (1975), Віденська конвенція про дипломатичні зносини (1961), а також внутрішні документи самих організацій - статути, регламенти, угоди з державами перебування тощо. Дипломатичне право забезпечує ефективне функціонування міжнародної дипломатії та здійснює реалізацію принципів співробітництва на міжнародній арені. </w:t>
      </w:r>
    </w:p>
    <w:p w14:paraId="0CC5CBE9" w14:textId="77777777" w:rsidR="00220D3E" w:rsidRPr="00511005" w:rsidRDefault="00220D3E" w:rsidP="003A292D">
      <w:pPr>
        <w:tabs>
          <w:tab w:val="left" w:pos="709"/>
        </w:tabs>
        <w:spacing w:line="264" w:lineRule="auto"/>
        <w:rPr>
          <w:rFonts w:ascii="Arial" w:eastAsia="Times New Roman" w:hAnsi="Arial" w:cs="Arial"/>
          <w:szCs w:val="28"/>
          <w:lang w:eastAsia="uk-UA"/>
        </w:rPr>
      </w:pPr>
    </w:p>
    <w:p w14:paraId="1B2C56D4" w14:textId="613A12CE" w:rsidR="00220D3E" w:rsidRPr="00511005" w:rsidRDefault="007B2628" w:rsidP="007B2628">
      <w:pPr>
        <w:tabs>
          <w:tab w:val="left" w:pos="709"/>
        </w:tabs>
        <w:spacing w:line="264" w:lineRule="auto"/>
        <w:jc w:val="center"/>
        <w:rPr>
          <w:rFonts w:ascii="Arial" w:eastAsia="Times New Roman" w:hAnsi="Arial" w:cs="Arial"/>
          <w:b/>
          <w:szCs w:val="28"/>
          <w:lang w:eastAsia="uk-UA"/>
        </w:rPr>
      </w:pPr>
      <w:r w:rsidRPr="00511005">
        <w:rPr>
          <w:rFonts w:ascii="Arial" w:eastAsia="Times New Roman" w:hAnsi="Arial" w:cs="Arial"/>
          <w:b/>
          <w:szCs w:val="28"/>
          <w:lang w:val="uk-UA" w:eastAsia="uk-UA"/>
        </w:rPr>
        <w:t>Список використаних джерел</w:t>
      </w:r>
    </w:p>
    <w:p w14:paraId="0F0BCACD"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1. Віденська конвенція про представництво держав у їхніх відносинах із міжнародними організаціями універсального характеру від 14 березня 1975 р.</w:t>
      </w:r>
    </w:p>
    <w:p w14:paraId="526FCE66" w14:textId="7E23E655"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2.</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uk-UA"/>
        </w:rPr>
        <w:t xml:space="preserve">Віденська конвенція про дипломатичні зносини від 18.04.1961 р. </w:t>
      </w:r>
    </w:p>
    <w:p w14:paraId="264DF42D" w14:textId="77777777" w:rsidR="00220D3E" w:rsidRPr="00511005" w:rsidRDefault="005938AD" w:rsidP="003A292D">
      <w:pPr>
        <w:tabs>
          <w:tab w:val="left" w:pos="709"/>
        </w:tabs>
        <w:spacing w:line="264" w:lineRule="auto"/>
        <w:rPr>
          <w:rFonts w:ascii="Arial" w:eastAsia="Times New Roman" w:hAnsi="Arial" w:cs="Arial"/>
          <w:szCs w:val="28"/>
          <w:lang w:eastAsia="uk-UA"/>
        </w:rPr>
      </w:pPr>
      <w:hyperlink r:id="rId333" w:history="1">
        <w:r w:rsidR="00220D3E" w:rsidRPr="00511005">
          <w:rPr>
            <w:rFonts w:ascii="Arial" w:eastAsia="Times New Roman" w:hAnsi="Arial" w:cs="Arial"/>
            <w:szCs w:val="28"/>
            <w:lang w:eastAsia="uk-UA"/>
          </w:rPr>
          <w:t>URL:https://zakon.rada.gov.ua/laws</w:t>
        </w:r>
      </w:hyperlink>
      <w:r w:rsidR="00220D3E" w:rsidRPr="00511005">
        <w:rPr>
          <w:rFonts w:ascii="Arial" w:eastAsia="Times New Roman" w:hAnsi="Arial" w:cs="Arial"/>
          <w:szCs w:val="28"/>
          <w:lang w:eastAsia="uk-UA"/>
        </w:rPr>
        <w:t xml:space="preserve"> </w:t>
      </w:r>
    </w:p>
    <w:p w14:paraId="179D2303"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3. Лобжанідзе Г. Ш., Лобжанідзе Д. Про концепцію дипломатичного права та деякі еволюційні аспекти. Наукові праці Національного авіаційного університету. Серія: Юридичний вісник «Повітряне і космічне право». 2020. 2(55). С. 58–61</w:t>
      </w:r>
    </w:p>
    <w:p w14:paraId="0254FA91" w14:textId="66D65788" w:rsidR="00220D3E" w:rsidRPr="00511005" w:rsidRDefault="007B2628"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b/>
          <w:i/>
          <w:szCs w:val="28"/>
          <w:lang w:eastAsia="uk-UA"/>
        </w:rPr>
        <w:t xml:space="preserve">Ключові слова: </w:t>
      </w:r>
      <w:r w:rsidR="00220D3E" w:rsidRPr="00511005">
        <w:rPr>
          <w:rFonts w:ascii="Arial" w:eastAsia="Times New Roman" w:hAnsi="Arial" w:cs="Arial"/>
          <w:szCs w:val="28"/>
          <w:lang w:eastAsia="uk-UA"/>
        </w:rPr>
        <w:t>дипломатичне право, міжнародні організації, представництва</w:t>
      </w:r>
    </w:p>
    <w:p w14:paraId="111D434D" w14:textId="65C6240C" w:rsidR="00220D3E" w:rsidRPr="00511005" w:rsidRDefault="007B2628"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b/>
          <w:i/>
          <w:szCs w:val="28"/>
          <w:lang w:eastAsia="uk-UA"/>
        </w:rPr>
        <w:t xml:space="preserve">Key words: </w:t>
      </w:r>
      <w:r w:rsidR="00220D3E" w:rsidRPr="00511005">
        <w:rPr>
          <w:rFonts w:ascii="Arial" w:eastAsia="Times New Roman" w:hAnsi="Arial" w:cs="Arial"/>
          <w:szCs w:val="28"/>
          <w:lang w:eastAsia="uk-UA"/>
        </w:rPr>
        <w:t>diplomatic law, international organizations, missions</w:t>
      </w:r>
    </w:p>
    <w:p w14:paraId="2AABA469" w14:textId="6116C8E9" w:rsidR="00220D3E" w:rsidRPr="00511005" w:rsidRDefault="007B2628"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b/>
          <w:i/>
          <w:szCs w:val="28"/>
          <w:lang w:eastAsia="uk-UA"/>
        </w:rPr>
        <w:t xml:space="preserve">Науковий керівник: </w:t>
      </w:r>
      <w:r w:rsidR="00220D3E" w:rsidRPr="00511005">
        <w:rPr>
          <w:rFonts w:ascii="Arial" w:eastAsia="Times New Roman" w:hAnsi="Arial" w:cs="Arial"/>
          <w:i/>
          <w:szCs w:val="28"/>
          <w:lang w:eastAsia="uk-UA"/>
        </w:rPr>
        <w:t>к.ю.н., доцент Бєлогубова О. О.</w:t>
      </w:r>
    </w:p>
    <w:p w14:paraId="15CF2CE9" w14:textId="77777777" w:rsidR="00220D3E" w:rsidRPr="00511005" w:rsidRDefault="00220D3E" w:rsidP="003A292D">
      <w:pPr>
        <w:tabs>
          <w:tab w:val="left" w:pos="709"/>
        </w:tabs>
        <w:spacing w:line="264" w:lineRule="auto"/>
        <w:jc w:val="left"/>
        <w:rPr>
          <w:rFonts w:ascii="Arial" w:eastAsia="Times New Roman" w:hAnsi="Arial" w:cs="Arial"/>
          <w:b/>
          <w:i/>
          <w:szCs w:val="28"/>
          <w:lang w:eastAsia="ru-RU"/>
        </w:rPr>
      </w:pPr>
    </w:p>
    <w:p w14:paraId="47FA952D"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Дороніна Вероніка Сергіївна</w:t>
      </w:r>
    </w:p>
    <w:p w14:paraId="7339B177" w14:textId="606D6722" w:rsidR="00220D3E" w:rsidRPr="00511005" w:rsidRDefault="00536AAB"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075A256F" w14:textId="16A42CD0" w:rsidR="00220D3E" w:rsidRPr="00511005" w:rsidRDefault="007B2628"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85AC8E6"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rPr>
      </w:pPr>
    </w:p>
    <w:p w14:paraId="3DD9F486"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ОКРЕМІ АСПЕКТИ ВИЗНАННЯ ДЕРЖАВ В СУЧАСНОМУ МІЖНАРОДНОМУ ПРАВІ</w:t>
      </w:r>
    </w:p>
    <w:p w14:paraId="6D8691C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Дослідження окремих аспектів визнання держав в сучасному міжнародному праві є надзвичайно актуальним на </w:t>
      </w:r>
      <w:proofErr w:type="gramStart"/>
      <w:r w:rsidRPr="00511005">
        <w:rPr>
          <w:rFonts w:ascii="Arial" w:eastAsia="Times New Roman" w:hAnsi="Arial" w:cs="Arial"/>
          <w:szCs w:val="28"/>
          <w:lang w:eastAsia="ru-RU"/>
        </w:rPr>
        <w:t>сьогодні ,</w:t>
      </w:r>
      <w:proofErr w:type="gramEnd"/>
      <w:r w:rsidRPr="00511005">
        <w:rPr>
          <w:rFonts w:ascii="Arial" w:eastAsia="Times New Roman" w:hAnsi="Arial" w:cs="Arial"/>
          <w:szCs w:val="28"/>
          <w:lang w:eastAsia="ru-RU"/>
        </w:rPr>
        <w:t xml:space="preserve"> оскільки відбуваються постійні зміни в міжнародних відносинах , поява нових державних утворень та політично-правові наслідки цих утворень. У XXI столітті процес визнання держав залишається складним та політизованим, оскільки він тісно пов'язаний із суверенітетом, територіальною цілісністю, правами народів на самовизначення та міжнародною безпекою. </w:t>
      </w:r>
    </w:p>
    <w:p w14:paraId="5E930B48" w14:textId="491567F8"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Міжнародно-правове визнання держави пов’язане з її міжнародною правосуб’єктністю. Оскільки, у сучасному міжнародному праві відсутня кодифікація інституту визнання, його регулювання здійснюється на основі міжнародно-правових звичаїв, односторонніх актів держав, що визнають нові держави, а також резолюцій міжнародних організацій. У рішенні Ради міністрів закордонних справ ЄС 1991 року</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зазначені загальні критерії</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міжнародного визнання нових держав, що утворилися в Східній Європі.[1] </w:t>
      </w:r>
      <w:r w:rsidRPr="00511005">
        <w:rPr>
          <w:rFonts w:ascii="Arial" w:eastAsia="Times New Roman" w:hAnsi="Arial" w:cs="Arial"/>
          <w:szCs w:val="28"/>
          <w:lang w:eastAsia="ru-RU"/>
        </w:rPr>
        <w:lastRenderedPageBreak/>
        <w:t>До них належать: дотримання принципів і норм Статуту ООН, Гельсінського акту НБСЄ, Паризької хартії для нової Європи; забезпечення прав та основних свобод людини; принцип непорушності кордонів; виконання зобов’язань у сфері роззброєння та невикористання ядерної зброї. Лише, окремі аспекти процесу визнання регулюються міжнародними договорами, переважно в рамках двосторонніх угод. Визнання має значне юридичне та політичне значення, оскільки сприяє ефективній реалізації міжнародної правосуб’єктності нової держави. Воно полегшує її становлення на міжнародній арені, сприяє нормалізації відносин з іншими державами та допомагає вийти з міжнародної ізоляції. Отримавши визнання, держава отримує можливості для повноцінної участі в міжнародних відносинах.</w:t>
      </w:r>
    </w:p>
    <w:p w14:paraId="4A24A56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Можна виділити дві основні теорії визнання держав: </w:t>
      </w:r>
    </w:p>
    <w:p w14:paraId="7AE9DE2B" w14:textId="77777777" w:rsidR="00220D3E" w:rsidRPr="00511005" w:rsidRDefault="00220D3E" w:rsidP="003F6A5D">
      <w:pPr>
        <w:numPr>
          <w:ilvl w:val="0"/>
          <w:numId w:val="105"/>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конституційна теорія яка стверджує, що держава не може вважатися суб’єктом міжнародного права без офіційного визнання з боку інших держав. Таким чином, нові держави опиняються в залежності від політично-правової волі вже існуючих держав. У сучасному світі існують невизнані держави, такі як Ісламська держава, Придністровська Молдавська Республіка та частково визнана (Косово). </w:t>
      </w:r>
      <w:proofErr w:type="gramStart"/>
      <w:r w:rsidRPr="00511005">
        <w:rPr>
          <w:rFonts w:ascii="Arial" w:eastAsia="Calibri" w:hAnsi="Arial" w:cs="Arial"/>
          <w:szCs w:val="28"/>
        </w:rPr>
        <w:t>Також ,</w:t>
      </w:r>
      <w:proofErr w:type="gramEnd"/>
      <w:r w:rsidRPr="00511005">
        <w:rPr>
          <w:rFonts w:ascii="Arial" w:eastAsia="Calibri" w:hAnsi="Arial" w:cs="Arial"/>
          <w:szCs w:val="28"/>
        </w:rPr>
        <w:t xml:space="preserve"> з проблемою визнання стикаються самопроголошені республіки Абхазія і Південна Осетія та АРК(Автономна Республіка Крим). Ці республіки станом на 2025 рік, не є міжнародно визнаними.</w:t>
      </w:r>
    </w:p>
    <w:p w14:paraId="78FD0696" w14:textId="77777777" w:rsidR="00220D3E" w:rsidRPr="00511005" w:rsidRDefault="00220D3E" w:rsidP="003A292D">
      <w:pPr>
        <w:tabs>
          <w:tab w:val="left" w:pos="709"/>
        </w:tabs>
        <w:spacing w:line="264" w:lineRule="auto"/>
        <w:contextualSpacing/>
        <w:rPr>
          <w:rFonts w:ascii="Arial" w:eastAsia="Calibri" w:hAnsi="Arial" w:cs="Arial"/>
          <w:szCs w:val="28"/>
        </w:rPr>
      </w:pPr>
      <w:r w:rsidRPr="00511005">
        <w:rPr>
          <w:rFonts w:ascii="Arial" w:eastAsia="Calibri" w:hAnsi="Arial" w:cs="Arial"/>
          <w:szCs w:val="28"/>
        </w:rPr>
        <w:t xml:space="preserve">Беручи до прикладу, </w:t>
      </w:r>
      <w:proofErr w:type="gramStart"/>
      <w:r w:rsidRPr="00511005">
        <w:rPr>
          <w:rFonts w:ascii="Arial" w:eastAsia="Calibri" w:hAnsi="Arial" w:cs="Arial"/>
          <w:szCs w:val="28"/>
        </w:rPr>
        <w:t>АРК(</w:t>
      </w:r>
      <w:proofErr w:type="gramEnd"/>
      <w:r w:rsidRPr="00511005">
        <w:rPr>
          <w:rFonts w:ascii="Arial" w:eastAsia="Calibri" w:hAnsi="Arial" w:cs="Arial"/>
          <w:szCs w:val="28"/>
        </w:rPr>
        <w:t xml:space="preserve">Автономна Республіка Крим він не є визнаним, тому що згідно з Конституцією України є її легітимною і невід’ємною складовою. Також, на теренах АРК ведуться бойові </w:t>
      </w:r>
      <w:proofErr w:type="gramStart"/>
      <w:r w:rsidRPr="00511005">
        <w:rPr>
          <w:rFonts w:ascii="Arial" w:eastAsia="Calibri" w:hAnsi="Arial" w:cs="Arial"/>
          <w:szCs w:val="28"/>
        </w:rPr>
        <w:t>дії ,</w:t>
      </w:r>
      <w:proofErr w:type="gramEnd"/>
      <w:r w:rsidRPr="00511005">
        <w:rPr>
          <w:rFonts w:ascii="Arial" w:eastAsia="Calibri" w:hAnsi="Arial" w:cs="Arial"/>
          <w:szCs w:val="28"/>
        </w:rPr>
        <w:t xml:space="preserve"> в умовах яких державотворчі процеси відбуватися не можуть.</w:t>
      </w:r>
    </w:p>
    <w:p w14:paraId="1DF2A925" w14:textId="77777777" w:rsidR="00220D3E" w:rsidRPr="00511005" w:rsidRDefault="00220D3E" w:rsidP="003F6A5D">
      <w:pPr>
        <w:numPr>
          <w:ilvl w:val="0"/>
          <w:numId w:val="105"/>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декларативна теорія наголошує, що держава набуває статус суб’єкта у міжнародному праві з того моменту, коли проголошення власної незалежності, а визнання іншими державами підтверджує цей факт. Політичне існування держави ніяк не залежить від її офіційного визнання іншими державами, а </w:t>
      </w:r>
      <w:proofErr w:type="gramStart"/>
      <w:r w:rsidRPr="00511005">
        <w:rPr>
          <w:rFonts w:ascii="Arial" w:eastAsia="Calibri" w:hAnsi="Arial" w:cs="Arial"/>
          <w:szCs w:val="28"/>
        </w:rPr>
        <w:t>до моменту</w:t>
      </w:r>
      <w:proofErr w:type="gramEnd"/>
      <w:r w:rsidRPr="00511005">
        <w:rPr>
          <w:rFonts w:ascii="Arial" w:eastAsia="Calibri" w:hAnsi="Arial" w:cs="Arial"/>
          <w:szCs w:val="28"/>
        </w:rPr>
        <w:t xml:space="preserve"> її визнання вже має право на захист власної незалежності та територіальної цілісності.</w:t>
      </w:r>
    </w:p>
    <w:p w14:paraId="014FC5A4" w14:textId="1A9EAF6F" w:rsidR="00220D3E" w:rsidRPr="00511005" w:rsidRDefault="00220D3E" w:rsidP="003A292D">
      <w:pPr>
        <w:tabs>
          <w:tab w:val="left" w:pos="709"/>
        </w:tabs>
        <w:spacing w:line="264" w:lineRule="auto"/>
        <w:contextualSpacing/>
        <w:rPr>
          <w:rFonts w:ascii="Arial" w:eastAsia="Calibri" w:hAnsi="Arial" w:cs="Arial"/>
          <w:szCs w:val="28"/>
        </w:rPr>
      </w:pPr>
      <w:r w:rsidRPr="00511005">
        <w:rPr>
          <w:rFonts w:ascii="Arial" w:eastAsia="Calibri" w:hAnsi="Arial" w:cs="Arial"/>
          <w:szCs w:val="28"/>
        </w:rPr>
        <w:t>Міжнародна практика визнання держав напрацювала ряд нормативно-правових актів. Зокрема, стаття 1 Конвенції про права та обов’язки держав (Конвенція Монтевідео) виокремлює основні ознаки держави як суб’єкта у міжнародному праві: постійні мешканці, територія, здатність до міжнародних відносин та уряд. Згідно з теорією міжнародного права додатково розглядають</w:t>
      </w:r>
      <w:r w:rsidR="007B2628" w:rsidRPr="00511005">
        <w:rPr>
          <w:rFonts w:ascii="Arial" w:eastAsia="Calibri" w:hAnsi="Arial" w:cs="Arial"/>
          <w:szCs w:val="28"/>
        </w:rPr>
        <w:t xml:space="preserve"> </w:t>
      </w:r>
      <w:r w:rsidRPr="00511005">
        <w:rPr>
          <w:rFonts w:ascii="Arial" w:eastAsia="Calibri" w:hAnsi="Arial" w:cs="Arial"/>
          <w:szCs w:val="28"/>
        </w:rPr>
        <w:t>певні характеристики,</w:t>
      </w:r>
      <w:r w:rsidR="007B2628" w:rsidRPr="00511005">
        <w:rPr>
          <w:rFonts w:ascii="Arial" w:eastAsia="Calibri" w:hAnsi="Arial" w:cs="Arial"/>
          <w:szCs w:val="28"/>
        </w:rPr>
        <w:t xml:space="preserve"> </w:t>
      </w:r>
      <w:r w:rsidRPr="00511005">
        <w:rPr>
          <w:rFonts w:ascii="Arial" w:eastAsia="Calibri" w:hAnsi="Arial" w:cs="Arial"/>
          <w:szCs w:val="28"/>
        </w:rPr>
        <w:t>такі як незалежні органи управління, ефективна влада, рівень цивілізації, політична сфера, законність походження та релігія. [2]</w:t>
      </w:r>
    </w:p>
    <w:p w14:paraId="6C5DC5D8" w14:textId="77777777" w:rsidR="00220D3E" w:rsidRPr="00511005" w:rsidRDefault="00220D3E" w:rsidP="003A292D">
      <w:pPr>
        <w:tabs>
          <w:tab w:val="left" w:pos="709"/>
        </w:tabs>
        <w:spacing w:line="264" w:lineRule="auto"/>
        <w:contextualSpacing/>
        <w:rPr>
          <w:rFonts w:ascii="Arial" w:eastAsia="Calibri" w:hAnsi="Arial" w:cs="Arial"/>
          <w:szCs w:val="28"/>
        </w:rPr>
      </w:pPr>
      <w:r w:rsidRPr="00511005">
        <w:rPr>
          <w:rFonts w:ascii="Arial" w:eastAsia="Calibri" w:hAnsi="Arial" w:cs="Arial"/>
          <w:szCs w:val="28"/>
        </w:rPr>
        <w:t xml:space="preserve">Міжнародне право закріплює, що визнання держави є виключною прерогативою суверенних країн. Держава як суб’єкт міжнародних відносин </w:t>
      </w:r>
      <w:r w:rsidRPr="00511005">
        <w:rPr>
          <w:rFonts w:ascii="Arial" w:eastAsia="Calibri" w:hAnsi="Arial" w:cs="Arial"/>
          <w:szCs w:val="28"/>
        </w:rPr>
        <w:lastRenderedPageBreak/>
        <w:t>самостійно визначає процес визнання інших держав у своєму національному законодавстві.</w:t>
      </w:r>
    </w:p>
    <w:p w14:paraId="647BE22F" w14:textId="77777777" w:rsidR="00220D3E" w:rsidRPr="00511005" w:rsidRDefault="00220D3E" w:rsidP="003A292D">
      <w:pPr>
        <w:tabs>
          <w:tab w:val="left" w:pos="709"/>
        </w:tabs>
        <w:spacing w:line="264" w:lineRule="auto"/>
        <w:contextualSpacing/>
        <w:rPr>
          <w:rFonts w:ascii="Arial" w:eastAsia="Calibri" w:hAnsi="Arial" w:cs="Arial"/>
          <w:szCs w:val="28"/>
        </w:rPr>
      </w:pPr>
      <w:proofErr w:type="gramStart"/>
      <w:r w:rsidRPr="00511005">
        <w:rPr>
          <w:rFonts w:ascii="Arial" w:eastAsia="Calibri" w:hAnsi="Arial" w:cs="Arial"/>
          <w:szCs w:val="28"/>
        </w:rPr>
        <w:t>До прикладу</w:t>
      </w:r>
      <w:proofErr w:type="gramEnd"/>
      <w:r w:rsidRPr="00511005">
        <w:rPr>
          <w:rFonts w:ascii="Arial" w:eastAsia="Calibri" w:hAnsi="Arial" w:cs="Arial"/>
          <w:szCs w:val="28"/>
        </w:rPr>
        <w:t>, відповідно до пункту 4 статті 106 Конституції України, Президент України має повноваження ухвалювати рішення щодо визнання іноземних держав. Зокрема, Указом Президента України від 11 січня 2012 року було офіційно визнано Республіку Південний Судан незалежною державою. Важливою умовою визнання держави є її міжнародно-правова легітимність, яка відображається у підтримці, визнанні авторитету влади як з боку власного населення, так і з боку міжнародного співтовариства. [3]</w:t>
      </w:r>
    </w:p>
    <w:p w14:paraId="7FA10E0C" w14:textId="71524E94" w:rsidR="00220D3E" w:rsidRPr="00511005" w:rsidRDefault="00220D3E" w:rsidP="003A292D">
      <w:pPr>
        <w:tabs>
          <w:tab w:val="left" w:pos="709"/>
        </w:tabs>
        <w:spacing w:line="264" w:lineRule="auto"/>
        <w:contextualSpacing/>
        <w:rPr>
          <w:rFonts w:ascii="Arial" w:eastAsia="Calibri" w:hAnsi="Arial" w:cs="Arial"/>
          <w:szCs w:val="28"/>
        </w:rPr>
      </w:pPr>
      <w:r w:rsidRPr="00511005">
        <w:rPr>
          <w:rFonts w:ascii="Arial" w:eastAsia="Calibri" w:hAnsi="Arial" w:cs="Arial"/>
          <w:szCs w:val="28"/>
        </w:rPr>
        <w:t>Існує спрощена процедура визнання, коли членом ООН або інших міжнародних організацій стає новостворена держава. Однак голосування задля членства в організації не автоматично підтверджує її визнання. Частково визнані держави можуть стати членами ООН тільки за умови, що 2/3 членів ООН та 9 членів Ради Безпеки ООН підтримають їх кандидатуру (</w:t>
      </w:r>
      <w:proofErr w:type="gramStart"/>
      <w:r w:rsidRPr="00511005">
        <w:rPr>
          <w:rFonts w:ascii="Arial" w:eastAsia="Calibri" w:hAnsi="Arial" w:cs="Arial"/>
          <w:szCs w:val="28"/>
        </w:rPr>
        <w:t>напр. ,</w:t>
      </w:r>
      <w:proofErr w:type="gramEnd"/>
      <w:r w:rsidRPr="00511005">
        <w:rPr>
          <w:rFonts w:ascii="Arial" w:eastAsia="Calibri" w:hAnsi="Arial" w:cs="Arial"/>
          <w:szCs w:val="28"/>
        </w:rPr>
        <w:t xml:space="preserve"> Палестина, є частково визнаною державою,</w:t>
      </w:r>
      <w:r w:rsidR="007B2628" w:rsidRPr="00511005">
        <w:rPr>
          <w:rFonts w:ascii="Arial" w:eastAsia="Calibri" w:hAnsi="Arial" w:cs="Arial"/>
          <w:szCs w:val="28"/>
        </w:rPr>
        <w:t xml:space="preserve"> </w:t>
      </w:r>
      <w:r w:rsidRPr="00511005">
        <w:rPr>
          <w:rFonts w:ascii="Arial" w:eastAsia="Calibri" w:hAnsi="Arial" w:cs="Arial"/>
          <w:szCs w:val="28"/>
        </w:rPr>
        <w:t xml:space="preserve">яка не отримала членство в ООН через протести таких членів Ради Безпеки, як Великобританія, Франція та США). </w:t>
      </w:r>
    </w:p>
    <w:p w14:paraId="60A4CE8E" w14:textId="1BAF175E" w:rsidR="00220D3E" w:rsidRPr="00511005" w:rsidRDefault="00220D3E" w:rsidP="003A292D">
      <w:pPr>
        <w:tabs>
          <w:tab w:val="left" w:pos="709"/>
        </w:tabs>
        <w:spacing w:line="264" w:lineRule="auto"/>
        <w:contextualSpacing/>
        <w:rPr>
          <w:rFonts w:ascii="Arial" w:eastAsia="Calibri" w:hAnsi="Arial" w:cs="Arial"/>
          <w:szCs w:val="28"/>
        </w:rPr>
      </w:pPr>
      <w:r w:rsidRPr="00511005">
        <w:rPr>
          <w:rFonts w:ascii="Arial" w:eastAsia="Calibri" w:hAnsi="Arial" w:cs="Arial"/>
          <w:szCs w:val="28"/>
        </w:rPr>
        <w:t xml:space="preserve">У підсумку, можна зазначити, що визнання держави є важливим етапом підтвердження суверенітету та незалежності цієї держави на міжнародному рівні, а також легітимності влади та набуття міжнародної правосуб'єктності. Основними аспектами міжнародного визнання є: визнання держави, органів національного визволення та уряду. Теорії визнання включають конституційну та декларативну теорію. Формами визнання є: визнання де-юре, де-факто та ad hoc. Окремі аспекти визнання визначено в міжнародних нормативно-правових актах, таких як Конвенція Монтевідео, Керівні принципи визнання новостворених держав у Східній Європі, </w:t>
      </w:r>
      <w:proofErr w:type="gramStart"/>
      <w:r w:rsidRPr="00511005">
        <w:rPr>
          <w:rFonts w:ascii="Arial" w:eastAsia="Calibri" w:hAnsi="Arial" w:cs="Arial"/>
          <w:szCs w:val="28"/>
        </w:rPr>
        <w:t>резолюціях</w:t>
      </w:r>
      <w:proofErr w:type="gramEnd"/>
      <w:r w:rsidR="007B2628" w:rsidRPr="00511005">
        <w:rPr>
          <w:rFonts w:ascii="Arial" w:eastAsia="Calibri" w:hAnsi="Arial" w:cs="Arial"/>
          <w:szCs w:val="28"/>
        </w:rPr>
        <w:t xml:space="preserve"> </w:t>
      </w:r>
      <w:r w:rsidRPr="00511005">
        <w:rPr>
          <w:rFonts w:ascii="Arial" w:eastAsia="Calibri" w:hAnsi="Arial" w:cs="Arial"/>
          <w:szCs w:val="28"/>
        </w:rPr>
        <w:t xml:space="preserve">Ради Безпеки ООН та національних законах, тому що визнання держави є прерогативою кожної держави. Умови для визнання держави включають наявність постійного населення, території, незалежних органів управління та уряду, вступ у міжнародні відносини, ефективність влади, ступінь цивілізації, політичну систему, релігію, законність походження, міжнародно-правову легітимність, дотримання Статуту ООН, захист прав людини, національних меншин, принципи роззброєння та нерозповсюдження ядерної зброї, забезпечення регіональної безпеки та дотримання міжнародного правосуддя. До напрямів вдосконалення міжнародного інституту визнання держав належать: кодифікація міжнародних норм, які визначають механізм визнання, створення універсальних норм визнання для уникнення дискримінації, уточнення критеріїв, яким повинна відповідати новостворена держава для визнання, усунення політичної складової у процесі визнання та дослідження нових форм державності, що існують, з урахуванням цих форм при розробці механізмів визнання. Основними міжнародно-правовими наслідками </w:t>
      </w:r>
      <w:r w:rsidRPr="00511005">
        <w:rPr>
          <w:rFonts w:ascii="Arial" w:eastAsia="Calibri" w:hAnsi="Arial" w:cs="Arial"/>
          <w:szCs w:val="28"/>
        </w:rPr>
        <w:lastRenderedPageBreak/>
        <w:t xml:space="preserve">визнання держав можна вважати: встановлення дипломатичних відносин з іншими державами, приєднання до міжнародних договорів, отримання повного обсягу прав в ролі суб’єкта міжнародного права, доступ для вступу у міжнародні </w:t>
      </w:r>
      <w:proofErr w:type="gramStart"/>
      <w:r w:rsidRPr="00511005">
        <w:rPr>
          <w:rFonts w:ascii="Arial" w:eastAsia="Calibri" w:hAnsi="Arial" w:cs="Arial"/>
          <w:szCs w:val="28"/>
        </w:rPr>
        <w:t>організації(</w:t>
      </w:r>
      <w:proofErr w:type="gramEnd"/>
      <w:r w:rsidRPr="00511005">
        <w:rPr>
          <w:rFonts w:ascii="Arial" w:eastAsia="Calibri" w:hAnsi="Arial" w:cs="Arial"/>
          <w:szCs w:val="28"/>
        </w:rPr>
        <w:t>наприклад як: ООН, ОБСЄ, СОТ та ін.)</w:t>
      </w:r>
    </w:p>
    <w:p w14:paraId="2D950284" w14:textId="77777777" w:rsidR="00220D3E" w:rsidRPr="00511005" w:rsidRDefault="00220D3E" w:rsidP="003A292D">
      <w:pPr>
        <w:tabs>
          <w:tab w:val="left" w:pos="709"/>
        </w:tabs>
        <w:spacing w:line="264" w:lineRule="auto"/>
        <w:contextualSpacing/>
        <w:rPr>
          <w:rFonts w:ascii="Arial" w:eastAsia="Calibri" w:hAnsi="Arial" w:cs="Arial"/>
          <w:szCs w:val="28"/>
        </w:rPr>
      </w:pPr>
    </w:p>
    <w:p w14:paraId="488E4F21" w14:textId="1EDE0E9F" w:rsidR="00220D3E" w:rsidRPr="00511005" w:rsidRDefault="007B2628" w:rsidP="007B2628">
      <w:pPr>
        <w:tabs>
          <w:tab w:val="left" w:pos="709"/>
        </w:tabs>
        <w:spacing w:line="264" w:lineRule="auto"/>
        <w:contextualSpacing/>
        <w:jc w:val="center"/>
        <w:rPr>
          <w:rFonts w:ascii="Arial" w:eastAsia="Calibri" w:hAnsi="Arial" w:cs="Arial"/>
          <w:b/>
          <w:szCs w:val="28"/>
        </w:rPr>
      </w:pPr>
      <w:r w:rsidRPr="00511005">
        <w:rPr>
          <w:rFonts w:ascii="Arial" w:eastAsia="Calibri" w:hAnsi="Arial" w:cs="Arial"/>
          <w:b/>
          <w:szCs w:val="28"/>
          <w:lang w:val="uk-UA"/>
        </w:rPr>
        <w:t>Список використаних джерел</w:t>
      </w:r>
    </w:p>
    <w:p w14:paraId="167E8247" w14:textId="1968C5EF" w:rsidR="00220D3E" w:rsidRPr="00511005" w:rsidRDefault="00220D3E" w:rsidP="003A292D">
      <w:pPr>
        <w:tabs>
          <w:tab w:val="left" w:pos="709"/>
        </w:tabs>
        <w:spacing w:line="264" w:lineRule="auto"/>
        <w:contextualSpacing/>
        <w:rPr>
          <w:rFonts w:ascii="Arial" w:eastAsia="Calibri" w:hAnsi="Arial" w:cs="Arial"/>
          <w:szCs w:val="28"/>
        </w:rPr>
      </w:pPr>
      <w:r w:rsidRPr="00511005">
        <w:rPr>
          <w:rFonts w:ascii="Arial" w:eastAsia="Calibri" w:hAnsi="Arial" w:cs="Arial"/>
          <w:szCs w:val="28"/>
        </w:rPr>
        <w:t>1. Єфремова К.В., Маринів І.І. Визнання держави в сучасному міжнародному праві (на прикладі</w:t>
      </w:r>
      <w:r w:rsidR="007B2628" w:rsidRPr="00511005">
        <w:rPr>
          <w:rFonts w:ascii="Arial" w:eastAsia="Calibri" w:hAnsi="Arial" w:cs="Arial"/>
          <w:szCs w:val="28"/>
        </w:rPr>
        <w:t xml:space="preserve"> </w:t>
      </w:r>
      <w:r w:rsidRPr="00511005">
        <w:rPr>
          <w:rFonts w:ascii="Arial" w:eastAsia="Calibri" w:hAnsi="Arial" w:cs="Arial"/>
          <w:szCs w:val="28"/>
        </w:rPr>
        <w:t>Косово). Право та інноваційне суспільства. № 2 (15), 2020. С. 18–22.</w:t>
      </w:r>
    </w:p>
    <w:p w14:paraId="0E5896BE" w14:textId="77777777" w:rsidR="00220D3E" w:rsidRPr="00511005" w:rsidRDefault="00220D3E" w:rsidP="003A292D">
      <w:pPr>
        <w:tabs>
          <w:tab w:val="left" w:pos="709"/>
        </w:tabs>
        <w:spacing w:line="264" w:lineRule="auto"/>
        <w:contextualSpacing/>
        <w:rPr>
          <w:rFonts w:ascii="Arial" w:eastAsia="Calibri" w:hAnsi="Arial" w:cs="Arial"/>
          <w:szCs w:val="28"/>
        </w:rPr>
      </w:pPr>
      <w:r w:rsidRPr="00511005">
        <w:rPr>
          <w:rFonts w:ascii="Arial" w:eastAsia="Calibri" w:hAnsi="Arial" w:cs="Arial"/>
          <w:szCs w:val="28"/>
        </w:rPr>
        <w:t>2. Конвенція про права та обов’язки держав (Конвенція Монтевідео, 1933 р.) URL: https://wa.nt.am/</w:t>
      </w:r>
      <w:r w:rsidRPr="00511005">
        <w:rPr>
          <w:rFonts w:ascii="Arial" w:eastAsia="Calibri" w:hAnsi="Arial" w:cs="Arial"/>
          <w:szCs w:val="28"/>
          <w:lang w:val="en-US"/>
        </w:rPr>
        <w:t>ua</w:t>
      </w:r>
      <w:r w:rsidRPr="00511005">
        <w:rPr>
          <w:rFonts w:ascii="Arial" w:eastAsia="Calibri" w:hAnsi="Arial" w:cs="Arial"/>
          <w:szCs w:val="28"/>
        </w:rPr>
        <w:t>/archives/1719 (дата звернення: 16.11.2023 р.).</w:t>
      </w:r>
    </w:p>
    <w:p w14:paraId="779BAC4B" w14:textId="77777777" w:rsidR="00220D3E" w:rsidRPr="00511005" w:rsidRDefault="00220D3E" w:rsidP="003A292D">
      <w:pPr>
        <w:tabs>
          <w:tab w:val="left" w:pos="709"/>
        </w:tabs>
        <w:spacing w:line="264" w:lineRule="auto"/>
        <w:contextualSpacing/>
        <w:rPr>
          <w:rFonts w:ascii="Arial" w:eastAsia="Calibri" w:hAnsi="Arial" w:cs="Arial"/>
          <w:szCs w:val="28"/>
        </w:rPr>
      </w:pPr>
      <w:r w:rsidRPr="00511005">
        <w:rPr>
          <w:rFonts w:ascii="Arial" w:eastAsia="Calibri" w:hAnsi="Arial" w:cs="Arial"/>
          <w:szCs w:val="28"/>
        </w:rPr>
        <w:t xml:space="preserve">3. Конституція України від 28.06.1996 р. № 254к/96-ВР. </w:t>
      </w:r>
      <w:hyperlink r:id="rId334" w:history="1">
        <w:r w:rsidRPr="00511005">
          <w:rPr>
            <w:rFonts w:ascii="Arial" w:eastAsia="Calibri" w:hAnsi="Arial" w:cs="Arial"/>
            <w:szCs w:val="28"/>
            <w:lang w:val="en-US"/>
          </w:rPr>
          <w:t>URL</w:t>
        </w:r>
        <w:r w:rsidRPr="00511005">
          <w:rPr>
            <w:rFonts w:ascii="Arial" w:eastAsia="Calibri" w:hAnsi="Arial" w:cs="Arial"/>
            <w:szCs w:val="28"/>
          </w:rPr>
          <w:t>:</w:t>
        </w:r>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zakon</w:t>
        </w:r>
        <w:r w:rsidRPr="00511005">
          <w:rPr>
            <w:rFonts w:ascii="Arial" w:eastAsia="Calibri" w:hAnsi="Arial" w:cs="Arial"/>
            <w:szCs w:val="28"/>
          </w:rPr>
          <w:t>.</w:t>
        </w:r>
        <w:r w:rsidRPr="00511005">
          <w:rPr>
            <w:rFonts w:ascii="Arial" w:eastAsia="Calibri" w:hAnsi="Arial" w:cs="Arial"/>
            <w:szCs w:val="28"/>
            <w:lang w:val="en-US"/>
          </w:rPr>
          <w:t>rada</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hyperlink>
    </w:p>
    <w:p w14:paraId="2A2DBF12" w14:textId="4F2A2A1D" w:rsidR="00220D3E" w:rsidRPr="00511005" w:rsidRDefault="007B2628" w:rsidP="003A292D">
      <w:pPr>
        <w:keepNext/>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держава, визнання, міжнародне право, норми</w:t>
      </w:r>
    </w:p>
    <w:p w14:paraId="3807D8E7" w14:textId="2CF3FCE0" w:rsidR="00220D3E" w:rsidRPr="00511005" w:rsidRDefault="007B2628" w:rsidP="003A292D">
      <w:pPr>
        <w:keepNext/>
        <w:tabs>
          <w:tab w:val="left" w:pos="709"/>
        </w:tabs>
        <w:spacing w:line="264" w:lineRule="auto"/>
        <w:rPr>
          <w:rFonts w:ascii="Arial" w:eastAsia="Times New Roman" w:hAnsi="Arial" w:cs="Arial"/>
          <w:bCs/>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bCs/>
          <w:szCs w:val="28"/>
          <w:lang w:val="en-US" w:eastAsia="ru-RU"/>
        </w:rPr>
        <w:t>state, recognition, international law, norms</w:t>
      </w:r>
    </w:p>
    <w:p w14:paraId="2018D4B6" w14:textId="5A303F48" w:rsidR="00220D3E" w:rsidRPr="00511005" w:rsidRDefault="007B2628" w:rsidP="003A292D">
      <w:pPr>
        <w:tabs>
          <w:tab w:val="left" w:pos="709"/>
        </w:tabs>
        <w:spacing w:line="264" w:lineRule="auto"/>
        <w:rPr>
          <w:rFonts w:ascii="Arial" w:eastAsia="Times New Roman" w:hAnsi="Arial" w:cs="Arial"/>
          <w:bCs/>
          <w:i/>
          <w:iCs/>
          <w:szCs w:val="28"/>
          <w:lang w:val="uk-UA" w:eastAsia="ru-RU"/>
        </w:rPr>
      </w:pPr>
      <w:r w:rsidRPr="00511005">
        <w:rPr>
          <w:rFonts w:ascii="Arial" w:eastAsia="Times New Roman" w:hAnsi="Arial" w:cs="Arial"/>
          <w:b/>
          <w:bCs/>
          <w:i/>
          <w:iCs/>
          <w:szCs w:val="28"/>
          <w:lang w:eastAsia="ru-RU"/>
        </w:rPr>
        <w:t xml:space="preserve">Науковий керівник: </w:t>
      </w:r>
      <w:r w:rsidR="00220D3E" w:rsidRPr="00511005">
        <w:rPr>
          <w:rFonts w:ascii="Arial" w:eastAsia="Times New Roman" w:hAnsi="Arial" w:cs="Arial"/>
          <w:bCs/>
          <w:i/>
          <w:iCs/>
          <w:szCs w:val="28"/>
          <w:lang w:eastAsia="ru-RU"/>
        </w:rPr>
        <w:t>к.ю.н., доцент Грушко М.В.</w:t>
      </w:r>
    </w:p>
    <w:p w14:paraId="73A505D5" w14:textId="77777777" w:rsidR="00220D3E" w:rsidRPr="00511005" w:rsidRDefault="00220D3E" w:rsidP="003A292D">
      <w:pPr>
        <w:tabs>
          <w:tab w:val="left" w:pos="709"/>
        </w:tabs>
        <w:spacing w:line="264" w:lineRule="auto"/>
        <w:jc w:val="center"/>
        <w:rPr>
          <w:rFonts w:ascii="Arial" w:eastAsia="Times New Roman" w:hAnsi="Arial" w:cs="Arial"/>
          <w:bCs/>
          <w:i/>
          <w:iCs/>
          <w:szCs w:val="28"/>
          <w:lang w:val="uk-UA" w:eastAsia="ru-RU"/>
        </w:rPr>
      </w:pPr>
    </w:p>
    <w:p w14:paraId="1CDDB3AB"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Дороніна Вероніка Сергіївна</w:t>
      </w:r>
    </w:p>
    <w:p w14:paraId="00426132" w14:textId="71DFCB28" w:rsidR="00220D3E" w:rsidRPr="00511005" w:rsidRDefault="00536AAB"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0D9765E0" w14:textId="4F2141C8" w:rsidR="00220D3E" w:rsidRPr="00511005" w:rsidRDefault="007B2628"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42C0A63"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eastAsia="ru-RU"/>
        </w:rPr>
      </w:pPr>
    </w:p>
    <w:p w14:paraId="289728CD"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ДЕЛІКТНІ ЗОБОВ’ЯЗАННЯ У МІЖНАРОДНОМУ ПРИВАТНОМУ ПРАВІ</w:t>
      </w:r>
    </w:p>
    <w:p w14:paraId="4A050C48" w14:textId="79E99B46"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Міжнародне приватне право охоплює широкий спектр правовідносин, що виникають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різних правових систем, особливо в ситуаціях, коли порушення прав однієї особи веде до шкоди іноземній особі в іншій країні. Однією з важливих категорій цього правового регулювання є деліктні зобов’язання, які виникають внаслідок протиправних дій або бездіяльності, що завдають шкоди майновим або немайновим правам. У контексті глобалізації та збільшення кількості транснаціональних правопорушень, питання визначення застосовного права та юрисдикції стають все більш актуальними, що зумовлює необхідність детального вивчення принципів та підходів до вирішення міжнародних деліктних справ.</w:t>
      </w:r>
      <w:r w:rsidR="007B2628" w:rsidRPr="00511005">
        <w:rPr>
          <w:rFonts w:ascii="Arial" w:eastAsia="Times New Roman" w:hAnsi="Arial" w:cs="Arial"/>
          <w:szCs w:val="28"/>
          <w:lang w:eastAsia="ru-RU"/>
        </w:rPr>
        <w:t xml:space="preserve"> </w:t>
      </w:r>
    </w:p>
    <w:p w14:paraId="3EB500F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Цивільне правопорушення (делікт) — це порушення суб'єктивних цивільних прав, що спричиняє шкоду майну або особистим немайновим правам фізичних чи юридичних осіб. Якщо у складі делікту наявний зв'язок із правовими системами двох чи більше держав, він потрапляє </w:t>
      </w:r>
      <w:proofErr w:type="gramStart"/>
      <w:r w:rsidRPr="00511005">
        <w:rPr>
          <w:rFonts w:ascii="Arial" w:eastAsia="Times New Roman" w:hAnsi="Arial" w:cs="Arial"/>
          <w:szCs w:val="28"/>
          <w:lang w:eastAsia="ru-RU"/>
        </w:rPr>
        <w:t>у сферу</w:t>
      </w:r>
      <w:proofErr w:type="gramEnd"/>
      <w:r w:rsidRPr="00511005">
        <w:rPr>
          <w:rFonts w:ascii="Arial" w:eastAsia="Times New Roman" w:hAnsi="Arial" w:cs="Arial"/>
          <w:szCs w:val="28"/>
          <w:lang w:eastAsia="ru-RU"/>
        </w:rPr>
        <w:t xml:space="preserve"> регулювання міжнародного приватного права. Сукупність правових норм, які врегульовують зобов’язання з не договірних правовідносин, що мають іноземний елемент, прийнято називати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міжнародним деліктним правом</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 термін, що використовується в німецькій правовій доктрині [1].</w:t>
      </w:r>
    </w:p>
    <w:p w14:paraId="40F309A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Деліктні зобов’язання мають правову природу, яка полягає у виникненні відповідальності внаслідок неправомірної поведінки особи. Основоположним принципом деліктного права є відповідальність за завдану шкоду — тобто особа, яка порушила закон, повинна нести відповідальність за свої дії або бездіяльність. У юридичній науці сформувалися два ключові підходи до тлумачення сутності деліктних зобов’язань:</w:t>
      </w:r>
    </w:p>
    <w:p w14:paraId="46C52FAB" w14:textId="77777777" w:rsidR="00220D3E" w:rsidRPr="00511005" w:rsidRDefault="00220D3E" w:rsidP="003F6A5D">
      <w:pPr>
        <w:numPr>
          <w:ilvl w:val="0"/>
          <w:numId w:val="16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принцип вини — відповідальність за завдану шкоду настає лише у разі доведення вини правопорушника. Цей принцип лежить в основі багатьох правових систем, зокрема української.</w:t>
      </w:r>
    </w:p>
    <w:p w14:paraId="15C28638" w14:textId="77777777" w:rsidR="00220D3E" w:rsidRPr="00511005" w:rsidRDefault="00220D3E" w:rsidP="003F6A5D">
      <w:pPr>
        <w:numPr>
          <w:ilvl w:val="0"/>
          <w:numId w:val="16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принцип об’єктивної відповідальності — особа несе відповідальність незалежно від наявності вини. Такий підхід застосовується, коли йдеться про шкоду, завдану внаслідок небезпечної діяльності (наприклад, використання джерел підвищеної небезпеки).</w:t>
      </w:r>
    </w:p>
    <w:p w14:paraId="62A3D6AD" w14:textId="45A7A27E"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Для того щоб виникло деліктне зобов’язання, необхідна наявність певних складових:</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неправомірна дія або бездіяльність; шкода чи ушкодження; причинно-наслідковий зв’язок між неправомірними діями і завданою шкодою та вина.</w:t>
      </w:r>
    </w:p>
    <w:p w14:paraId="426F9DDD" w14:textId="7D66110A"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Залежно від характеру правопорушення та обсягу покладеної відповідальності, деліктні зобов’язання поділяються на кілька основних типів: майнові зобов’язання(виникають у випадках, коли необхідно компенсувати завдані матеріальні збитки) , моральні зобов’язання(пов’язані з порушенням особистих немайнових прав, що призвели до моральних страждань потерпілої особи) та зобов’язання(пов’язані з джерелами підвищеної небезпеки — наприклад, відповідальність за шкоду, заподіяну внаслідок експлуатації транспортних засобів або іншої небезпечної діяльності).</w:t>
      </w:r>
      <w:r w:rsidR="007B2628" w:rsidRPr="00511005">
        <w:rPr>
          <w:rFonts w:ascii="Arial" w:eastAsia="Times New Roman" w:hAnsi="Arial" w:cs="Arial"/>
          <w:szCs w:val="28"/>
          <w:lang w:eastAsia="ru-RU"/>
        </w:rPr>
        <w:t xml:space="preserve"> </w:t>
      </w:r>
    </w:p>
    <w:p w14:paraId="4F07FA2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Деліктні зобов’язання виникають унаслідок правопорушень, які спричиняють шкоду особистим чи майновим правам інших осіб. Деліктні зобов’язання поділяються на кілька основних типів: майнові зобов’язання (для компенсації матеріальних збитків), моральні зобов’язання (пов’язані з порушенням особистих немайнових прав) та зобов’язання, що виникають через джерела підвищеної </w:t>
      </w:r>
      <w:proofErr w:type="gramStart"/>
      <w:r w:rsidRPr="00511005">
        <w:rPr>
          <w:rFonts w:ascii="Arial" w:eastAsia="Times New Roman" w:hAnsi="Arial" w:cs="Arial"/>
          <w:szCs w:val="28"/>
          <w:lang w:eastAsia="ru-RU"/>
        </w:rPr>
        <w:t>небезпеки(</w:t>
      </w:r>
      <w:proofErr w:type="gramEnd"/>
      <w:r w:rsidRPr="00511005">
        <w:rPr>
          <w:rFonts w:ascii="Arial" w:eastAsia="Times New Roman" w:hAnsi="Arial" w:cs="Arial"/>
          <w:szCs w:val="28"/>
          <w:lang w:eastAsia="ru-RU"/>
        </w:rPr>
        <w:t xml:space="preserve">наприклад, відповідальність за шкоду від транспортних засобів. У сфері деліктних зобов’язань колізійні норми визначають, яке право слід застосовувати в транскордонних правовідносинах. Подібні ситуації часто виникають, зокрема, при дорожньо-транспортних пригодах за кордоном або у випадках заподіяння транснаціональної екологічної шкоди. Одним із ключових принципів до застосування колізійних норм у сфері деліктних зобов’язань є принцип lex loci delicti commissi, що означає використання права тієї держави, на території якої було вчинено правопорушення. Такий підхід базується на припущенні, що саме право цієї держави найбільш доречне для врегулювання подібних правовідносин, оскільки вона має найбільший </w:t>
      </w:r>
      <w:r w:rsidRPr="00511005">
        <w:rPr>
          <w:rFonts w:ascii="Arial" w:eastAsia="Times New Roman" w:hAnsi="Arial" w:cs="Arial"/>
          <w:szCs w:val="28"/>
          <w:lang w:eastAsia="ru-RU"/>
        </w:rPr>
        <w:lastRenderedPageBreak/>
        <w:t>інтерес у захисті правопорядку на своїй території. Проте, у деяких випадках можуть мати місце винятки з цього принципу — зокрема тоді, коли з обставинами справи тісніше пов’язане право іншої країни. Наприклад, це може бути право держави, громадянами або постійними резидентами якої є обидві сторони, або країни, на території якої систематично здійснювалася діяльність, що призвела до заподіяння шкоди.</w:t>
      </w:r>
    </w:p>
    <w:p w14:paraId="0014A65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Питання юрисдикції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що стосуються міжнародних деліктних правопорушень, є одним із центральних у сфері міжнародного приватного права. Воно передбачає визначення того, суд якої держави має компетенцію розглядати спір, пов’язаний із правопорушенням, що має транскордонний характер. Такі випадки можуть включати наявність іноземного елемента — наприклад, коли одна зі сторін є громадянином або постійним мешканцем іншої країни, або коли шкода була заподіяна за межами національної території. Правильний вибір юрисдикції забезпечує не лише справедливий розгляд справи, а й допомагає уникнути конфліктів між правовими системами різних країн. Основними принципами визначення юрисдикції у міжнародних справах є: принцип територіальної юрисдикції, принцип громадянства або резиденства сторін, принцип форуму з найближчим зв'язком (</w:t>
      </w:r>
      <w:r w:rsidRPr="00511005">
        <w:rPr>
          <w:rFonts w:ascii="Arial" w:eastAsia="Times New Roman" w:hAnsi="Arial" w:cs="Arial"/>
          <w:szCs w:val="28"/>
          <w:lang w:val="en-US" w:eastAsia="ru-RU"/>
        </w:rPr>
        <w:t>forum</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non</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conveniens</w:t>
      </w:r>
      <w:r w:rsidRPr="00511005">
        <w:rPr>
          <w:rFonts w:ascii="Arial" w:eastAsia="Times New Roman" w:hAnsi="Arial" w:cs="Arial"/>
          <w:szCs w:val="28"/>
          <w:lang w:eastAsia="ru-RU"/>
        </w:rPr>
        <w:t xml:space="preserve">), принцип вибору юрисдикції сторонами. </w:t>
      </w:r>
    </w:p>
    <w:p w14:paraId="333D972B" w14:textId="46FC4615"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Європейському Союзі юрисдикція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міжнародні деліктні правопорушення регулюється Брюссельським регламентом (1215/2012), який визначає, що такі справи зазвичай розглядаються в суді країни, де сталося правопорушення. Якщо шкода виникла в кількох державах, потерпілий має право обрати суд будь-якої з них. Якщо розглядати Україну, то</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юрисдикція у таких справах визначається</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Цивільним процесуальним кодексом та Законом «Про міжнародне приватне право». Українські суди розглядають справи, якщо правопорушення сталося на території України або хоча б одна зі сторін є громадянином чи резидентом України [2].</w:t>
      </w:r>
    </w:p>
    <w:p w14:paraId="5CDD1E5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Важливе місце в сучасному правовому регулюванні займають делікти, що стосуються порушень у сфері </w:t>
      </w:r>
      <w:proofErr w:type="gramStart"/>
      <w:r w:rsidRPr="00511005">
        <w:rPr>
          <w:rFonts w:ascii="Arial" w:eastAsia="Times New Roman" w:hAnsi="Arial" w:cs="Arial"/>
          <w:szCs w:val="28"/>
          <w:lang w:eastAsia="ru-RU"/>
        </w:rPr>
        <w:t>екології .</w:t>
      </w:r>
      <w:proofErr w:type="gramEnd"/>
      <w:r w:rsidRPr="00511005">
        <w:rPr>
          <w:rFonts w:ascii="Arial" w:eastAsia="Times New Roman" w:hAnsi="Arial" w:cs="Arial"/>
          <w:szCs w:val="28"/>
          <w:lang w:eastAsia="ru-RU"/>
        </w:rPr>
        <w:t xml:space="preserve"> Шкода, завдана довкіллю, зазвичай має широкий масштаб і може негативно впливати на здоров’я людей, тварин і рослин. Відмінною рисою таких правопорушень є їхній довготривалий, а іноді й незворотний характер. Врегулювання екологічних деліктів потребує комплексного підходу із залученням як національного, так і міжнародного законодавства. Зокрема, такі документи, як Конвенція про відповідальність за транскордонні наслідки промислових аварій, визначають засади відповідальності та компенсації шкоди. У подібних справах часто застосовується принцип суворої відповідальності, що не вимагає доведення вини, оскільки мова йде про захист загального блага.</w:t>
      </w:r>
    </w:p>
    <w:p w14:paraId="29E2EA2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Порушення прав інтелектуальної власності, зокрема незаконне використання творів мистецтва, технологій, торговельних марок або патентів також належать до деліктних правопорушень. Їхня особливість </w:t>
      </w:r>
      <w:r w:rsidRPr="00511005">
        <w:rPr>
          <w:rFonts w:ascii="Arial" w:eastAsia="Times New Roman" w:hAnsi="Arial" w:cs="Arial"/>
          <w:szCs w:val="28"/>
          <w:lang w:eastAsia="ru-RU"/>
        </w:rPr>
        <w:lastRenderedPageBreak/>
        <w:t>полягає в тому, що вони стосуються нематеріальних об’єктів, що ускладнює оцінку шкоди та визначення розміру компенсації. Врегулювання таких деліктів спирається на міжнародні договори, зокрема Угоду ТРІПС (Угода про торговельні аспекти прав інтелектуальної власності), яка встановлює загальні стандарти захисту інтелектуальних прав на глобальному рівні. У подібних справах необхідно враховувати норми авторського, патентного права та міжнародних механізмів охорони інтелектуальної власності [3].</w:t>
      </w:r>
    </w:p>
    <w:p w14:paraId="013D59C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Деліктні зобов’язання відіграють основну роль у міжнародному приватному праві, особливо в умовах посилення глобалізації та зростання кількості транскордонних правовідносин. Вони охоплюють ситуації, коли шкода завдається внаслідок протиправних дій, що мають міжнародний вимір, наприклад, за участю осіб із різних юрисдикцій або коли наслідки правопорушення поширюються за межі однієї країни. У зв’язку з цим особливої актуальності набуває потреба в гармонізації національного законодавства різних держав, що дозволить уникати суперечностей у правозастосуванні.</w:t>
      </w:r>
    </w:p>
    <w:p w14:paraId="29AA9E1C" w14:textId="082A0802"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Важливим завданням також є удосконалення колізійних норм, які дозволяють визначати, право якої держави має застосовуватись до конкретного правопорушення. Крім того, розвиток ефективних механізмів міжнародного судочинства сприяє більш справедливому й оперативному розв’язанню спорів, пов’язаних із деліктними зобов’язаннями. Успішне регулювання деліктних зобов’язань у міжнародному контексті сприяє не лише зниженню кількості правових конфліктів, а й підвищує рівень правової визначеності та довіри між суб’єктами правовідносин.</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Підсумовуючи, розвиток міжнародного приватного права в цій сфері є важливою умовою для забезпечення справедливості та ефективного правового захисту у глобалізованому світі.</w:t>
      </w:r>
    </w:p>
    <w:p w14:paraId="1180581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03C02704"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7DA56634" w14:textId="032232AE" w:rsidR="00220D3E"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4D4EE5B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1. Міжнародне приватне право: Підручник. Загальна частина / За ред. А. С. Довгерта і В. І. Кисіля. – </w:t>
      </w:r>
      <w:proofErr w:type="gramStart"/>
      <w:r w:rsidRPr="00511005">
        <w:rPr>
          <w:rFonts w:ascii="Arial" w:eastAsia="Times New Roman" w:hAnsi="Arial" w:cs="Arial"/>
          <w:szCs w:val="28"/>
          <w:lang w:eastAsia="ru-RU"/>
        </w:rPr>
        <w:t>Київ:Алерта</w:t>
      </w:r>
      <w:proofErr w:type="gramEnd"/>
      <w:r w:rsidRPr="00511005">
        <w:rPr>
          <w:rFonts w:ascii="Arial" w:eastAsia="Times New Roman" w:hAnsi="Arial" w:cs="Arial"/>
          <w:szCs w:val="28"/>
          <w:lang w:eastAsia="ru-RU"/>
        </w:rPr>
        <w:t>, 2019 – 376 с.</w:t>
      </w:r>
    </w:p>
    <w:p w14:paraId="66CF99A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2. Про міжнародне приватне </w:t>
      </w:r>
      <w:proofErr w:type="gramStart"/>
      <w:r w:rsidRPr="00511005">
        <w:rPr>
          <w:rFonts w:ascii="Arial" w:eastAsia="Times New Roman" w:hAnsi="Arial" w:cs="Arial"/>
          <w:szCs w:val="28"/>
          <w:lang w:eastAsia="ru-RU"/>
        </w:rPr>
        <w:t>право :</w:t>
      </w:r>
      <w:proofErr w:type="gramEnd"/>
      <w:r w:rsidRPr="00511005">
        <w:rPr>
          <w:rFonts w:ascii="Arial" w:eastAsia="Times New Roman" w:hAnsi="Arial" w:cs="Arial"/>
          <w:szCs w:val="28"/>
          <w:lang w:eastAsia="ru-RU"/>
        </w:rPr>
        <w:t xml:space="preserve"> Закон України від 23.06.2005 № 2709-IV : станом на 23 груд. 2022 р. URL: https://zakon.rada.gov.ua/laws/show/2709-15#Text (дата звернення: 23.04.2025).</w:t>
      </w:r>
    </w:p>
    <w:p w14:paraId="4545DB3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3. Угода про торговельні аспекти прав інтелектуальної </w:t>
      </w:r>
      <w:proofErr w:type="gramStart"/>
      <w:r w:rsidRPr="00511005">
        <w:rPr>
          <w:rFonts w:ascii="Arial" w:eastAsia="Times New Roman" w:hAnsi="Arial" w:cs="Arial"/>
          <w:szCs w:val="28"/>
          <w:lang w:eastAsia="ru-RU"/>
        </w:rPr>
        <w:t>власності :</w:t>
      </w:r>
      <w:proofErr w:type="gramEnd"/>
      <w:r w:rsidRPr="00511005">
        <w:rPr>
          <w:rFonts w:ascii="Arial" w:eastAsia="Times New Roman" w:hAnsi="Arial" w:cs="Arial"/>
          <w:szCs w:val="28"/>
          <w:lang w:eastAsia="ru-RU"/>
        </w:rPr>
        <w:t xml:space="preserve"> Угода Світ. орг. торгівлі від 15.04.1994 : станом на 6 груд. 2005 р. URL: https://zakon.rada.gov.ua/laws/show/981_018#Text (дата звернення: 23.04.2025).</w:t>
      </w:r>
    </w:p>
    <w:p w14:paraId="23F8382F" w14:textId="1B878833"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делікт, зобов’язання, міжнародне приватне право</w:t>
      </w:r>
    </w:p>
    <w:p w14:paraId="04901D13" w14:textId="4F768A65" w:rsidR="00220D3E" w:rsidRPr="00511005" w:rsidRDefault="007B2628" w:rsidP="003A292D">
      <w:pPr>
        <w:tabs>
          <w:tab w:val="left" w:pos="709"/>
        </w:tabs>
        <w:spacing w:line="264" w:lineRule="auto"/>
        <w:rPr>
          <w:rFonts w:ascii="Arial" w:eastAsia="Times New Roman" w:hAnsi="Arial" w:cs="Arial"/>
          <w:b/>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tort, obligation, private international law</w:t>
      </w:r>
    </w:p>
    <w:p w14:paraId="27B805A5" w14:textId="67901194" w:rsidR="00220D3E" w:rsidRPr="00511005" w:rsidRDefault="007B2628" w:rsidP="003A292D">
      <w:pPr>
        <w:tabs>
          <w:tab w:val="left" w:pos="709"/>
        </w:tabs>
        <w:spacing w:line="264" w:lineRule="auto"/>
        <w:rPr>
          <w:rFonts w:ascii="Arial" w:eastAsia="Times New Roman" w:hAnsi="Arial" w:cs="Arial"/>
          <w:i/>
          <w:szCs w:val="28"/>
          <w:lang w:eastAsia="ru-RU"/>
        </w:rPr>
      </w:pPr>
      <w:r w:rsidRPr="00511005">
        <w:rPr>
          <w:rFonts w:ascii="Arial" w:eastAsia="Times New Roman" w:hAnsi="Arial" w:cs="Arial"/>
          <w:b/>
          <w:i/>
          <w:szCs w:val="28"/>
          <w:lang w:eastAsia="ru-RU"/>
        </w:rPr>
        <w:lastRenderedPageBreak/>
        <w:t xml:space="preserve">Науковий керівник: </w:t>
      </w:r>
      <w:r w:rsidR="00220D3E" w:rsidRPr="00511005">
        <w:rPr>
          <w:rFonts w:ascii="Arial" w:eastAsia="Times New Roman" w:hAnsi="Arial" w:cs="Arial"/>
          <w:i/>
          <w:szCs w:val="28"/>
          <w:lang w:eastAsia="ru-RU"/>
        </w:rPr>
        <w:t>асистент кафедри Бугаєць А. С.</w:t>
      </w:r>
    </w:p>
    <w:p w14:paraId="59BD5711" w14:textId="77777777" w:rsidR="00220D3E" w:rsidRPr="00511005" w:rsidRDefault="00220D3E" w:rsidP="003A292D">
      <w:pPr>
        <w:tabs>
          <w:tab w:val="left" w:pos="709"/>
        </w:tabs>
        <w:spacing w:line="264" w:lineRule="auto"/>
        <w:contextualSpacing/>
        <w:jc w:val="left"/>
        <w:rPr>
          <w:rFonts w:ascii="Arial" w:eastAsia="Calibri" w:hAnsi="Arial" w:cs="Arial"/>
          <w:szCs w:val="28"/>
        </w:rPr>
      </w:pPr>
    </w:p>
    <w:p w14:paraId="4FC215FE"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en-US" w:eastAsia="ru-RU"/>
        </w:rPr>
      </w:pPr>
      <w:r w:rsidRPr="00511005">
        <w:rPr>
          <w:rFonts w:ascii="Arial" w:eastAsia="Times New Roman" w:hAnsi="Arial" w:cs="Arial"/>
          <w:b/>
          <w:bCs/>
          <w:i/>
          <w:iCs/>
          <w:szCs w:val="28"/>
          <w:lang w:val="en-US" w:eastAsia="ru-RU"/>
        </w:rPr>
        <w:t>Drozd Kateryna Serhiivna</w:t>
      </w:r>
    </w:p>
    <w:p w14:paraId="63D2A3E9" w14:textId="77777777" w:rsidR="00220D3E" w:rsidRPr="00511005" w:rsidRDefault="00220D3E" w:rsidP="003A292D">
      <w:pPr>
        <w:tabs>
          <w:tab w:val="left" w:pos="709"/>
        </w:tabs>
        <w:spacing w:line="264" w:lineRule="auto"/>
        <w:jc w:val="center"/>
        <w:rPr>
          <w:rFonts w:ascii="Arial" w:eastAsia="Times New Roman" w:hAnsi="Arial" w:cs="Arial"/>
          <w:szCs w:val="28"/>
          <w:lang w:val="en-US" w:eastAsia="ru-RU"/>
        </w:rPr>
      </w:pPr>
      <w:r w:rsidRPr="00511005">
        <w:rPr>
          <w:rFonts w:ascii="Arial" w:eastAsia="Times New Roman" w:hAnsi="Arial" w:cs="Arial"/>
          <w:szCs w:val="28"/>
          <w:lang w:val="en-US" w:eastAsia="ru-RU"/>
        </w:rPr>
        <w:t>4th year student Faculty of Judicial and International Law</w:t>
      </w:r>
    </w:p>
    <w:p w14:paraId="22E71E67" w14:textId="77777777" w:rsidR="00220D3E" w:rsidRPr="00511005" w:rsidRDefault="00220D3E" w:rsidP="003A292D">
      <w:pPr>
        <w:tabs>
          <w:tab w:val="left" w:pos="709"/>
        </w:tabs>
        <w:spacing w:line="264" w:lineRule="auto"/>
        <w:jc w:val="center"/>
        <w:rPr>
          <w:rFonts w:ascii="Arial" w:eastAsia="Times New Roman" w:hAnsi="Arial" w:cs="Arial"/>
          <w:szCs w:val="28"/>
          <w:lang w:val="en-US" w:eastAsia="ru-RU"/>
        </w:rPr>
      </w:pPr>
      <w:r w:rsidRPr="00511005">
        <w:rPr>
          <w:rFonts w:ascii="Arial" w:eastAsia="Times New Roman" w:hAnsi="Arial" w:cs="Arial"/>
          <w:szCs w:val="28"/>
          <w:lang w:val="en-US" w:eastAsia="ru-RU"/>
        </w:rPr>
        <w:t>National University "Odesa Law Academy"</w:t>
      </w:r>
    </w:p>
    <w:p w14:paraId="1786197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0E8B4E49"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WOMEN'S RIGHTS IN INTERNATIONAL LAW: ACHIEVEMENTS AND IMPLEMENTATION CHALLENGES</w:t>
      </w:r>
    </w:p>
    <w:p w14:paraId="11470384"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International human rights law has come a long way in recognizing and protecting women's rights. However, despite significant achievements in the theoretical enshrinement of women’s rights in international documents, the practical implementation of these rights remains problematic in many parts of the world.</w:t>
      </w:r>
    </w:p>
    <w:p w14:paraId="6C5E8CE2"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path toward the recognition of women’s rights in international law has been long and complex. Until the mid-20th century, international law paid little attention to the specific problems of women. The first steps towards international legal protection of women's rights were made within the framework of the League of Nations, when conventions were adopted to combat the trafficking of women and children, as well as some conventions of the International Labour Organization (ILO) [1].</w:t>
      </w:r>
    </w:p>
    <w:p w14:paraId="024FA13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 true breakthrough in the international legal recognition of women’s rights came with the adoption of the UN Charter in 1945, which proclaimed the principle of equality between men and women. This principle was further developed in the Universal Declaration of Human Rights in 1948, which established equality of all people regardless of gender.</w:t>
      </w:r>
    </w:p>
    <w:p w14:paraId="43E81F5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In 1979, the Convention on the Elimination of All Forms of Discrimination Against Women (CEDAW) was adopted. It became the first comprehensive international document aimed at protecting women’s rights. CEDAW obligates state parties to take measures to eliminate discrimination against women in all areas of life [2].</w:t>
      </w:r>
    </w:p>
    <w:p w14:paraId="3B06D8B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In 2000, the UN Security Council adopted Resolution 1325 "Women, Peace and Security", which recognized the specific impact of armed conflicts on women and emphasized the importance of women's full participation in peacebuilding.</w:t>
      </w:r>
    </w:p>
    <w:p w14:paraId="10B5F234"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adoption and implementation of international standards on women’s rights have led to significant positive changes in many countries around the world. Influenced by these international standards, many countries repealed discriminatory laws and adopted new ones guaranteeing equal rights and opportunities for women. Institutional mechanisms for the protection of women’s rights have also been established at both international and national levels.</w:t>
      </w:r>
    </w:p>
    <w:p w14:paraId="2F196E10"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Women's representation in politics and leadership positions has increased — according to the Inter-Parliamentary Union, the average share of women in national parliaments rose from 11.3% in 1995 to 26.4% in 2023 [3].</w:t>
      </w:r>
    </w:p>
    <w:p w14:paraId="7DA025FD"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It is also worth noting that in recent decades the gender gap in access to primary and secondary education has significantly narrowed. Furthermore, international recognition of violence against women as a human rights violation has led to the criminalization of various forms of such violence and the implementation of protective mechanisms.</w:t>
      </w:r>
    </w:p>
    <w:p w14:paraId="03DE545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Other positive changes include expanded access to reproductive health services (maternal mortality decreased by 38% between 2000 and 2017) and the strengthening of women’s economic rights in many countries [3].</w:t>
      </w:r>
    </w:p>
    <w:p w14:paraId="035784ED"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These achievements reflect significant progress, but they remain unevenly distributed across regions and countries, and formal legal equality does not always translate into actual equality of opportunities.</w:t>
      </w:r>
    </w:p>
    <w:p w14:paraId="4F93255B"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Nevertheless, despite the considerable achievements, the implementation of international women’s rights standards faces numerous challenges. There is a gap between legal equality and actual inequality. Overcoming this gap requires not only legal reforms but also comprehensive social, economic, and cultural changes. Arguments about cultural diversity remain widespread and are often used to justify practices that violate women's rights.</w:t>
      </w:r>
    </w:p>
    <w:p w14:paraId="5B0CE2C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With technological advancement, new forms of discrimination and violence have emerged, such as cyber violence and online harassment.</w:t>
      </w:r>
    </w:p>
    <w:p w14:paraId="1865F55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To address existing challenges and strengthen the protection of women’s rights at the international level, in my view, the following steps are necessary: integrating a gender perspective into all areas of international law; enhancing women's participation in international processes and institutions; focusing on the full realization of existing international standards and bridging the gap between formal and actual equality through positive action and changing societal norms.</w:t>
      </w:r>
    </w:p>
    <w:p w14:paraId="1A82ECA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International legal protection of women’s rights has made significant progress in recent decades. A comprehensive system of international standards has been established, influencing national legislation and practices in many countries. However, serious challenges remain in implementing these standards, especially in the context of cultural diversity, limited resources, and new technological challenges.</w:t>
      </w:r>
    </w:p>
    <w:p w14:paraId="2BBD3316"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Women’s rights are an integral part of universal human rights. Their full realization is essential not only for achieving gender equality but also for the overall social, economic, and political development of society. Therefore, the international community must continue its efforts to improve and strengthen the protection of women’s rights in all countries around the world.</w:t>
      </w:r>
    </w:p>
    <w:p w14:paraId="145D8EDD"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3359B2A8"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en-US" w:eastAsia="ru-RU"/>
        </w:rPr>
      </w:pPr>
      <w:r w:rsidRPr="00511005">
        <w:rPr>
          <w:rFonts w:ascii="Arial" w:eastAsia="Times New Roman" w:hAnsi="Arial" w:cs="Arial"/>
          <w:b/>
          <w:bCs/>
          <w:iCs/>
          <w:szCs w:val="28"/>
          <w:lang w:val="en-US" w:eastAsia="ru-RU"/>
        </w:rPr>
        <w:t>References</w:t>
      </w:r>
    </w:p>
    <w:p w14:paraId="132797FF" w14:textId="44DB6E64"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1. Melnyk, T.M. </w:t>
      </w:r>
      <w:r w:rsidRPr="00511005">
        <w:rPr>
          <w:rFonts w:ascii="Arial" w:eastAsia="Times New Roman" w:hAnsi="Arial" w:cs="Arial"/>
          <w:i/>
          <w:iCs/>
          <w:szCs w:val="28"/>
          <w:lang w:val="en-US" w:eastAsia="ru-RU"/>
        </w:rPr>
        <w:t>International Experience of Gender Transformations.</w:t>
      </w:r>
      <w:r w:rsidRPr="00511005">
        <w:rPr>
          <w:rFonts w:ascii="Arial" w:eastAsia="Times New Roman" w:hAnsi="Arial" w:cs="Arial"/>
          <w:szCs w:val="28"/>
          <w:lang w:val="en-US" w:eastAsia="ru-RU"/>
        </w:rPr>
        <w:t xml:space="preserve"> Kyiv: Logos, 2022. URL: </w:t>
      </w:r>
      <w:hyperlink r:id="rId335" w:history="1">
        <w:r w:rsidRPr="00511005">
          <w:rPr>
            <w:rFonts w:ascii="Arial" w:eastAsia="Times New Roman" w:hAnsi="Arial" w:cs="Arial"/>
            <w:szCs w:val="28"/>
            <w:lang w:val="en-US" w:eastAsia="ru-RU"/>
          </w:rPr>
          <w:t>http://lib.rada.gov.ua/DocDescription?doc_id=59471</w:t>
        </w:r>
      </w:hyperlink>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(accessed: 04.05.2025).</w:t>
      </w:r>
    </w:p>
    <w:p w14:paraId="70FED79E"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2. United Nations. Convention on the Elimination of All Forms of Discrimination against Women. 1979. URL: </w:t>
      </w:r>
      <w:hyperlink r:id="rId336" w:history="1">
        <w:r w:rsidRPr="00511005">
          <w:rPr>
            <w:rFonts w:ascii="Arial" w:eastAsia="Times New Roman" w:hAnsi="Arial" w:cs="Arial"/>
            <w:szCs w:val="28"/>
            <w:lang w:val="en-US" w:eastAsia="ru-RU"/>
          </w:rPr>
          <w:t>https://www.un.org/womenwatch/daw/cedaw</w:t>
        </w:r>
      </w:hyperlink>
      <w:r w:rsidRPr="00511005">
        <w:rPr>
          <w:rFonts w:ascii="Arial" w:eastAsia="Times New Roman" w:hAnsi="Arial" w:cs="Arial"/>
          <w:szCs w:val="28"/>
          <w:lang w:val="en-US" w:eastAsia="ru-RU"/>
        </w:rPr>
        <w:t xml:space="preserve"> (accessed: 04.05.2025).</w:t>
      </w:r>
    </w:p>
    <w:p w14:paraId="7BA2BB43"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3. Inter-Parliamentary Union. Women in Politics. 2023. URL: </w:t>
      </w:r>
      <w:hyperlink r:id="rId337" w:history="1">
        <w:r w:rsidRPr="00511005">
          <w:rPr>
            <w:rFonts w:ascii="Arial" w:eastAsia="Times New Roman" w:hAnsi="Arial" w:cs="Arial"/>
            <w:szCs w:val="28"/>
            <w:lang w:val="en-US" w:eastAsia="ru-RU"/>
          </w:rPr>
          <w:t>https://www.ipu.org/resources/publications/infographics/2023-03/women-in-politics-2023</w:t>
        </w:r>
      </w:hyperlink>
      <w:r w:rsidRPr="00511005">
        <w:rPr>
          <w:rFonts w:ascii="Arial" w:eastAsia="Times New Roman" w:hAnsi="Arial" w:cs="Arial"/>
          <w:szCs w:val="28"/>
          <w:lang w:val="en-US" w:eastAsia="ru-RU"/>
        </w:rPr>
        <w:t xml:space="preserve"> (accessed: 04.05.2025).</w:t>
      </w:r>
    </w:p>
    <w:p w14:paraId="2CF6E4B7"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4. UN Women. Progress on the Sustainable Development Goals: The Gender Snapshot. 2023. URL: </w:t>
      </w:r>
      <w:hyperlink r:id="rId338" w:anchor=":~:text=The%20Progress%20on%20the%20Sustainable,achieving%20gender%20equality%20by%202030" w:history="1">
        <w:r w:rsidRPr="00511005">
          <w:rPr>
            <w:rFonts w:ascii="Arial" w:eastAsia="Times New Roman" w:hAnsi="Arial" w:cs="Arial"/>
            <w:szCs w:val="28"/>
            <w:lang w:val="en-US" w:eastAsia="ru-RU"/>
          </w:rPr>
          <w:t>https://unstats.un.org/sdgs/gender-snapshot/2023/#:~:text=The%20Progress%20on%20the%20Sustainable,achieving%20gender%20equality%20by%202030</w:t>
        </w:r>
      </w:hyperlink>
      <w:r w:rsidRPr="00511005">
        <w:rPr>
          <w:rFonts w:ascii="Arial" w:eastAsia="Times New Roman" w:hAnsi="Arial" w:cs="Arial"/>
          <w:szCs w:val="28"/>
          <w:lang w:val="en-US" w:eastAsia="ru-RU"/>
        </w:rPr>
        <w:t>. (accessed: 04.05.2025).</w:t>
      </w:r>
    </w:p>
    <w:p w14:paraId="16B0FF33" w14:textId="39539535"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5. World Health Organization. Global Strategy for Women's, Children's and Adolescents' Health (2016</w:t>
      </w:r>
      <w:r w:rsidRPr="00511005">
        <w:rPr>
          <w:rFonts w:ascii="Arial" w:eastAsia="Times New Roman" w:hAnsi="Arial" w:cs="Arial"/>
          <w:szCs w:val="28"/>
          <w:lang w:val="en-US" w:eastAsia="ru-RU"/>
        </w:rPr>
        <w:noBreakHyphen/>
        <w:t>2030). 2016. URL: </w:t>
      </w:r>
      <w:hyperlink r:id="rId339" w:history="1">
        <w:r w:rsidRPr="00511005">
          <w:rPr>
            <w:rFonts w:ascii="Arial" w:eastAsia="Times New Roman" w:hAnsi="Arial" w:cs="Arial"/>
            <w:szCs w:val="28"/>
            <w:lang w:val="en-US" w:eastAsia="ru-RU"/>
          </w:rPr>
          <w:t>https://apps.who.int/gb/ebwha/pdf_files/WHA72/A72_30-en.pdf</w:t>
        </w:r>
      </w:hyperlink>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(accessed: 04.05.2025).</w:t>
      </w:r>
    </w:p>
    <w:p w14:paraId="1F3AFC47"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34ED04D6" w14:textId="1B3E98F1" w:rsidR="00220D3E" w:rsidRPr="00511005" w:rsidRDefault="007B2628" w:rsidP="003A292D">
      <w:pPr>
        <w:tabs>
          <w:tab w:val="left" w:pos="709"/>
        </w:tabs>
        <w:spacing w:line="264" w:lineRule="auto"/>
        <w:rPr>
          <w:rFonts w:ascii="Arial" w:eastAsia="Times New Roman" w:hAnsi="Arial" w:cs="Arial"/>
          <w:b/>
          <w:bCs/>
          <w:szCs w:val="28"/>
          <w:lang w:val="en-US"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міжнародне право, права жінок, гендерна рівність, CEDAW, дискримінація, міжнародні стандарти, насильство щодо жінок, глобальна політика.</w:t>
      </w:r>
      <w:r w:rsidR="00220D3E" w:rsidRPr="00511005">
        <w:rPr>
          <w:rFonts w:ascii="Arial" w:eastAsia="Times New Roman" w:hAnsi="Arial" w:cs="Arial"/>
          <w:b/>
          <w:bCs/>
          <w:szCs w:val="28"/>
          <w:lang w:val="en-US" w:eastAsia="ru-RU"/>
        </w:rPr>
        <w:t xml:space="preserve"> </w:t>
      </w:r>
    </w:p>
    <w:p w14:paraId="03DF65CE" w14:textId="2653C5FF"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international law, women's rights, gender equality, CEDAW, discrimination, international standards, violence against women, global policy.</w:t>
      </w:r>
    </w:p>
    <w:p w14:paraId="2C513E11" w14:textId="51A1B74D" w:rsidR="00220D3E" w:rsidRPr="00511005" w:rsidRDefault="006C2EDA" w:rsidP="003A292D">
      <w:pPr>
        <w:tabs>
          <w:tab w:val="left" w:pos="709"/>
        </w:tabs>
        <w:spacing w:line="264" w:lineRule="auto"/>
        <w:rPr>
          <w:rFonts w:ascii="Arial" w:eastAsia="Times New Roman" w:hAnsi="Arial" w:cs="Arial"/>
          <w:szCs w:val="28"/>
          <w:lang w:val="en-US"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Times New Roman" w:hAnsi="Arial" w:cs="Arial"/>
          <w:i/>
          <w:iCs/>
          <w:szCs w:val="28"/>
          <w:lang w:val="en-US" w:eastAsia="ru-RU"/>
        </w:rPr>
        <w:t>PhD in Law, Associate Professor Dronov V.</w:t>
      </w:r>
    </w:p>
    <w:p w14:paraId="43C6EECA"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en-US" w:eastAsia="ru-RU"/>
        </w:rPr>
      </w:pPr>
    </w:p>
    <w:p w14:paraId="41C38257"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 xml:space="preserve">Дрозд Катерина Сергіївна </w:t>
      </w:r>
    </w:p>
    <w:p w14:paraId="046C1DF9"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Лєшан Антоніна Геннадіївна</w:t>
      </w:r>
    </w:p>
    <w:p w14:paraId="42C68F2E" w14:textId="55819346"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студентки 4</w:t>
      </w:r>
      <w:r w:rsidRPr="00511005">
        <w:rPr>
          <w:rFonts w:ascii="Arial" w:eastAsia="Times New Roman" w:hAnsi="Arial" w:cs="Arial"/>
          <w:szCs w:val="28"/>
          <w:lang w:eastAsia="ru-RU"/>
        </w:rPr>
        <w:t>-го</w:t>
      </w:r>
      <w:r w:rsidRPr="00511005">
        <w:rPr>
          <w:rFonts w:ascii="Arial" w:eastAsia="Times New Roman" w:hAnsi="Arial" w:cs="Arial"/>
          <w:szCs w:val="28"/>
          <w:lang w:val="uk-UA" w:eastAsia="ru-RU"/>
        </w:rPr>
        <w:t xml:space="preserve"> курсу</w:t>
      </w:r>
      <w:r w:rsidRPr="00511005">
        <w:rPr>
          <w:rFonts w:ascii="Arial" w:eastAsia="Times New Roman" w:hAnsi="Arial" w:cs="Arial"/>
          <w:szCs w:val="28"/>
          <w:lang w:eastAsia="ru-RU"/>
        </w:rPr>
        <w:t xml:space="preserve"> </w:t>
      </w:r>
      <w:r w:rsidR="001B7B25" w:rsidRPr="00511005">
        <w:rPr>
          <w:rFonts w:ascii="Arial" w:eastAsia="Times New Roman" w:hAnsi="Arial" w:cs="Arial"/>
          <w:szCs w:val="28"/>
          <w:lang w:val="uk-UA" w:eastAsia="ru-RU"/>
        </w:rPr>
        <w:t>факультету судового та міжнародного права</w:t>
      </w:r>
    </w:p>
    <w:p w14:paraId="566FBA9E" w14:textId="059C42A7"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7571040" w14:textId="77777777" w:rsidR="00220D3E" w:rsidRPr="00511005" w:rsidRDefault="00220D3E" w:rsidP="003A292D">
      <w:pPr>
        <w:tabs>
          <w:tab w:val="left" w:pos="709"/>
        </w:tabs>
        <w:spacing w:line="264" w:lineRule="auto"/>
        <w:jc w:val="center"/>
        <w:rPr>
          <w:rFonts w:ascii="Arial" w:eastAsia="Times New Roman" w:hAnsi="Arial" w:cs="Arial"/>
          <w:i/>
          <w:iCs/>
          <w:szCs w:val="28"/>
          <w:lang w:val="uk-UA" w:eastAsia="ru-RU"/>
        </w:rPr>
      </w:pPr>
    </w:p>
    <w:p w14:paraId="02171A5B"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МІЖНАРОДНО-ПРАВОВИЙ СТАТУС БІЖЕНЦІВ ТА ШУКАЧІВ ПРИТУЛКУ</w:t>
      </w:r>
    </w:p>
    <w:p w14:paraId="4B5AC3E3" w14:textId="68224041"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Протягом багатьох десятиліть міжнародна спільнота докладає значних зусиль для формування та зміцнення всеосяжної міжнародно-правової системи, спрямованої на захист прав та забезпечення належного ставлення до осіб, які були змушені покинути свої країни через обґрунтовані побоювання переслідувань, збройні конфлікти, широкомасштабне насильство, порушення прав людини та інші обставини, що становлять серйозну загрозу їхньому життю, безпеці та свободі. Основою цієї системи слугує Конвенція про статус біженців, ухвалена Організацією Об'єднаних Націй у 1951 році,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та Протокол до неї, укладений у 1967 році [10]. Ці два основоположні документи утворюють серцевину міжнародного режиму захисту біженців, встановлюючи чіткі визначення ключових понять, таких як «біженець» та «особа, яка шукає притулку» [1], визначаючи широкий спектр прав та покладаючи конкретні зобов'язання на держави-учасниці щодо забезпечення захисту цих вразливих категорій населення.</w:t>
      </w:r>
    </w:p>
    <w:p w14:paraId="7419C97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Конвенція 1951 року, яка спочатку була розроблена з метою надання захисту європейцям, що постраждали від наслідків Другої світової війни та політичних змін, які відбулися до 1 січня 1951 року, містить детальне визначення терміну «біженець», яке охоплює осіб, які мають обґрунтовані побоювання стати жертвою переслідувань за такими ознаками, як раса, релігія, громадянство, належність до певної соціальної групи або політичні переконання [4]. Документ також детально регламентує комплекс прав, якими користуються особи, визнані біженцями на території держави-учасниці, включаючи право на працю, освіту, медичне обслуговування, соціальне забезпечення, свободу пересування та інші фундаментальні права людини [9]. Водночас Конвенція встановлює певні обов'язки біженців перед державою, яка надала їм притулок, наголошуючи на необхідності дотримання її законодавства та підтримання громадського порядку. Протокол 1967 року відіграв ключову роль у розширенні сфери дії Конвенції, скасувавши її часові та географічні обмеження та забезпечивши її застосування до всіх осіб, які відповідають визначенню біженця, незалежно від часу та місця виникнення обставин, що змусили їх шукати міжнародного захисту. Сьогодні значна кількість держав світу є учасницями обох цих основоположних міжнародно-правових інструментів, що підкреслює їхню універсальну значущість та широке визнання у міжнародному праві [10].</w:t>
      </w:r>
    </w:p>
    <w:p w14:paraId="1C52973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Одним із основних аспектів міжнародного захисту біженців є принцип невислання (non-refoulement), який чітко закріплений у статті 33 Конвенції 1951 року. Цей принцип має імперативний характер та категорично забороняє державам-учасницям висилати або повертати біженців, а також осіб, які шукають притулку, будь-яким чином до кордонів територій, де існує реальна загроза їхньому життю чи свободі з огляду на їхню расу, релігію, громадянство, належність до певної соціальної групи або політичні переконання [5]. Важливість цього принципу неодноразово підтверджувалася рішеннями міжнародних судових інстанцій, зокрема Європейським судом з прав людини (ЄСПЛ), який у своїй прецедентній практиці, починаючи зі справи «Soering проти Сполученого Королівства» (1989року), розширив сферу застосування принципу невислання, включивши до нього випадки, коли існує реальний ризик того, що особа може зазнати катувань або іншого нелюдського чи такого, що принижує гідність, поводження у країні її потенційного повернення [8].</w:t>
      </w:r>
    </w:p>
    <w:p w14:paraId="27803A2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Управління Верховного комісара ООН у справах біженців, засноване у 1950 році, відіграє центральну та координуючу роль у міжнародних зусиллях, спрямованих на захист прав біженців та вирішення їхніх проблем у глобальному масштабі. Основними функціями УВКБ ООН є забезпечення міжнародного захисту біженців, сприяння пошуку довгострокових рішень для їхньої ситуації, включаючи добровільну репатріацію на батьківщину за умов безпеки та гідності, інтеграцію в країнах притулку або переселення до третіх </w:t>
      </w:r>
      <w:r w:rsidRPr="00511005">
        <w:rPr>
          <w:rFonts w:ascii="Arial" w:eastAsia="Times New Roman" w:hAnsi="Arial" w:cs="Arial"/>
          <w:szCs w:val="28"/>
          <w:lang w:val="uk-UA" w:eastAsia="ru-RU"/>
        </w:rPr>
        <w:lastRenderedPageBreak/>
        <w:t>країн. Організація також координує надання гуманітарної допомоги біженцям та іншим особам, які опинилися у вимушеному переміщенні, а також забезпечує реагування на надзвичайні ситуації, пов'язані з масовими потоками біженців. Крім того, УВКБ ООН активно займається розробкою методичних рекомендацій та керівних принципів щодо тлумачення та застосування міжнародного права біженців, здійснює моніторинг дотримання державами своїх міжнародних зобов'язань у цій сфері та надає технічну та консультативну допомогу у розробці національного законодавства про біженців. У багатьох країнах УВКБ ООН також бере безпосередню участь у процедурах визначення статусу біженця.</w:t>
      </w:r>
    </w:p>
    <w:p w14:paraId="7D43B8D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 додаток до універсальних міжнародних договорів, існують також важливі регіональні механізми захисту біженців, які відображають специфіку окремих регіонів світу та розширюють стандарти захисту, передбачені Конвенцією 1951 року та Протоколом 1967 року. Одним із таких прикладів є Конвенція Організації африканської єдності (ОАЄ), прийнята у 1969 році, яка значно розширила класичне визначення біженця, включивши до нього осіб, які змушені тікати зі своїх країн не лише через індивідуальні побоювання переслідувань, а й через зовнішню агресію, окупацію, іноземне панування або події, що серйозно порушують громадський порядок [7].</w:t>
      </w:r>
    </w:p>
    <w:p w14:paraId="2A1705A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Картахенська декларація про біженців, прийнята у 1984 році в Латинській Америці також рекомендує державам регіону прийняти розширене визначення біженця, що охоплює осіб, які покинули свою країну через те, що їхньому життю, безпеці або свободі загрожували загальне насильство, іноземна агресія, внутрішні конфлікти або масові порушення прав людини [6]. Європейський Союз також створив власну комплексну регіональну систему захисту біженців, яка включає низку законодавчих актів, таких як Директива про кваліфікацію (2011/95/EU) [2].</w:t>
      </w:r>
    </w:p>
    <w:p w14:paraId="50414AC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Міжнародні стандарти визначають ключові принципи процедури надання статусу біженця, серед яких - принцип невисилання (non-refoulement), недискримінації, конфіденційності, процесуальних гарантій та доступу до справедливого розгляду.</w:t>
      </w:r>
    </w:p>
    <w:p w14:paraId="73DFD14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 національному рівні держави імплементують ці стандарти через спеціальне законодавство та адміністративні процедури. Типова процедура включає: реєстрацію заяви про надання статусу біженця, проведення інтерв'ю, оцінку доказів та обґрунтованості побоювань переслідувань, прийняття рішення та можливість його оскарження.</w:t>
      </w:r>
    </w:p>
    <w:p w14:paraId="6C6D323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Конвенція 1951 року закріплює за біженцями широкий спектр соціально-економічних прав, який має забезпечуватись країнами притулку. Серед ключових прав: право на працю, освіту, соціальне забезпечення, житло та медичну допомогу. Реалізація цих прав має критичне значення для успішної інтеграції біженців у приймаючі суспільства.</w:t>
      </w:r>
    </w:p>
    <w:p w14:paraId="342D421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Право на працю є особливо важливим, оскільки дозволяє біженцям забезпечувати власні потреби, зменшує їхню залежність від гуманітарної допомоги та сприяє соціальній інтеграції. Проте на практиці біженці часто стикаються з адміністративними бар'єрами, дискримінацією на ринку праці, невизнанням кваліфікацій та обмеженим доступом до програм професійної перепідготовки.</w:t>
      </w:r>
    </w:p>
    <w:p w14:paraId="474CACB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Доступ до освіти, особливо для дітей-біженців, є іншим важливим аспектом захисту. Міжнародні норми вимагають забезпечення безкоштовної початкової освіти для всіх дітей, включаючи біженців [3]. Медичне обслуговування та соціальне забезпечення біженців суттєво різняться залежно від країни притулку. У більшості розвинених країн біженці мають доступ до базових медичних послуг, тоді як у країнах з обмеженими ресурсами цей доступ може бути значно обмежений, що створює додаткові ризики для вразливих категорій.</w:t>
      </w:r>
    </w:p>
    <w:p w14:paraId="638BC6B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Право на возз'єднання сім'ї є одним із фундаментальних прав біженців, що ґрунтується на принципі єдності сім'ї. Це право передбачає можливість для визнаних біженців привезти до країни притулку близьких членів сім'ї, які залишились у країні походження або третіх країнах.</w:t>
      </w:r>
    </w:p>
    <w:p w14:paraId="0452740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Процедури возз'єднання сім'ї значно відрізняються між державами. Вони можуть включати різні визначення «сім'ї» (ядро сім'ї або розширене коло), різні вимоги щодо доказів родинних зв'язків, фінансового забезпечення та житлових умов. </w:t>
      </w:r>
    </w:p>
    <w:p w14:paraId="6A3B0B4F" w14:textId="1B98EF85"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Особливої уваги потребують вразливі категорії біженців, до яких належать: діти без супроводу, жінки, особи з інвалідністю, літні люди та жертви тортур.</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Захист дітей-біженців без супроводу вимагає призначення законного представника, забезпечення належних умов проживання та освіти, а також пошуку довгострокових рішень з урахуванням найкращих інтересів дитини [8]. Для жінок-біженців важливими є заходи захисту від гендерного насильства та доступ до репродуктивної медицини.</w:t>
      </w:r>
    </w:p>
    <w:p w14:paraId="762DC7D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Ситуації масового напливу біженців, спричинені збройними конфліктами або стихійними лихами, створюють особливі виклики для системи захисту біженців. Традиційні процедури індивідуального визначення статусу стають неефективними через значний обсяг заяв, що призводить до необхідності запровадження спеціальних механізмів реагування.</w:t>
      </w:r>
    </w:p>
    <w:p w14:paraId="555768E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Тимчасовий захист є одним із таких механізмів, що дозволяє швидко надати захист великим групам осіб без проведення індивідуальних процедур. Він забезпечує легальне перебування, базові права та захист від вислання, але зазвичай передбачає обмежений термін дії та менший обсяг прав порівняно з повним статусом біженця.</w:t>
      </w:r>
    </w:p>
    <w:p w14:paraId="156046F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Європейський Союз розробив Директиву про тимчасовий захист, яка була активована вперше у 2022 році у відповідь на масовий наплив біженців </w:t>
      </w:r>
      <w:r w:rsidRPr="00511005">
        <w:rPr>
          <w:rFonts w:ascii="Arial" w:eastAsia="Times New Roman" w:hAnsi="Arial" w:cs="Arial"/>
          <w:szCs w:val="28"/>
          <w:lang w:val="uk-UA" w:eastAsia="ru-RU"/>
        </w:rPr>
        <w:lastRenderedPageBreak/>
        <w:t>з України. Цей механізм дозволив надати швидкий захист мільйонам переміщених осіб та забезпечити їм доступ до базових прав, включаючи право на проживання, працю, освіту та медичну допомогу [3].</w:t>
      </w:r>
    </w:p>
    <w:p w14:paraId="298EBAB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Традиційна система захисту біженців стикається з серйозними проблемами, включаючи: політизацію питань надання притулку, зростання обмежувальних заходів з боку держав (посилення прикордонного контролю), переповненість центрів прийому біженців та тривалі процедури розгляду заяв.</w:t>
      </w:r>
    </w:p>
    <w:p w14:paraId="639E8BB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відповідь на ці виклики формуються нові підходи до вирішення проблем біженців:</w:t>
      </w:r>
    </w:p>
    <w:p w14:paraId="54621DDB" w14:textId="77777777" w:rsidR="00220D3E" w:rsidRPr="00511005" w:rsidRDefault="00220D3E" w:rsidP="003F6A5D">
      <w:pPr>
        <w:numPr>
          <w:ilvl w:val="0"/>
          <w:numId w:val="107"/>
        </w:numPr>
        <w:tabs>
          <w:tab w:val="clear" w:pos="720"/>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глобальний договір про біженців 2018 року, який спрямований на посилення міжнародної солідарності та справедливого розподілу відповідальності за прийом біженців;</w:t>
      </w:r>
    </w:p>
    <w:p w14:paraId="53202D81" w14:textId="77777777" w:rsidR="00220D3E" w:rsidRPr="00511005" w:rsidRDefault="00220D3E" w:rsidP="003F6A5D">
      <w:pPr>
        <w:numPr>
          <w:ilvl w:val="0"/>
          <w:numId w:val="107"/>
        </w:numPr>
        <w:tabs>
          <w:tab w:val="clear" w:pos="720"/>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інтеграція гуманітарної допомоги та програм розвитку для створення довгострокових рішень для біженців та приймаючих громад;</w:t>
      </w:r>
    </w:p>
    <w:p w14:paraId="147E8AA1" w14:textId="77777777" w:rsidR="00220D3E" w:rsidRPr="00511005" w:rsidRDefault="00220D3E" w:rsidP="003F6A5D">
      <w:pPr>
        <w:numPr>
          <w:ilvl w:val="0"/>
          <w:numId w:val="107"/>
        </w:numPr>
        <w:tabs>
          <w:tab w:val="clear" w:pos="720"/>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розширення легальних шляхів міграції, включаючи програми переселення, гуманітарні візи, академічні стипендії та схеми трудової мобільності;</w:t>
      </w:r>
    </w:p>
    <w:p w14:paraId="5598F105" w14:textId="77777777" w:rsidR="00220D3E" w:rsidRPr="00511005" w:rsidRDefault="00220D3E" w:rsidP="003F6A5D">
      <w:pPr>
        <w:numPr>
          <w:ilvl w:val="0"/>
          <w:numId w:val="107"/>
        </w:numPr>
        <w:tabs>
          <w:tab w:val="clear" w:pos="720"/>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використання нових технологій для покращення реєстрації та ідентифікації біженців, спрощення доступу до послуг та забезпечення більш ефективного розподілу гуманітарної допомоги.</w:t>
      </w:r>
    </w:p>
    <w:p w14:paraId="67631EF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Водночас, залишаються фундаментальні проблеми, пов'язані з політичною волею держав, ресурсним забезпеченням та балансом між національними інтересами та міжнародними зобов'язаннями щодо захисту біженців.</w:t>
      </w:r>
    </w:p>
    <w:p w14:paraId="60A6BA0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773B540A" w14:textId="3BC368DB" w:rsidR="00220D3E" w:rsidRPr="00511005" w:rsidRDefault="007B2628" w:rsidP="007B2628">
      <w:pPr>
        <w:tabs>
          <w:tab w:val="left" w:pos="709"/>
        </w:tabs>
        <w:spacing w:line="264" w:lineRule="auto"/>
        <w:jc w:val="center"/>
        <w:rPr>
          <w:rFonts w:ascii="Arial" w:eastAsia="Times New Roman" w:hAnsi="Arial" w:cs="Arial"/>
          <w:iCs/>
          <w:szCs w:val="28"/>
          <w:lang w:val="uk-UA" w:eastAsia="ru-RU"/>
        </w:rPr>
      </w:pPr>
      <w:r w:rsidRPr="00511005">
        <w:rPr>
          <w:rFonts w:ascii="Arial" w:eastAsia="Times New Roman" w:hAnsi="Arial" w:cs="Arial"/>
          <w:b/>
          <w:bCs/>
          <w:iCs/>
          <w:szCs w:val="28"/>
          <w:lang w:val="uk-UA" w:eastAsia="ru-RU"/>
        </w:rPr>
        <w:t>Список використаних джерел</w:t>
      </w:r>
    </w:p>
    <w:p w14:paraId="0C7663F9" w14:textId="77777777" w:rsidR="007B2628" w:rsidRPr="00511005" w:rsidRDefault="00220D3E" w:rsidP="003F6A5D">
      <w:pPr>
        <w:numPr>
          <w:ilvl w:val="0"/>
          <w:numId w:val="10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UNHCR. Конвенція про статус біженців 1951 року. URL: </w:t>
      </w:r>
      <w:hyperlink r:id="rId340" w:history="1">
        <w:r w:rsidRPr="00511005">
          <w:rPr>
            <w:rFonts w:ascii="Arial" w:eastAsia="Calibri" w:hAnsi="Arial" w:cs="Arial"/>
            <w:szCs w:val="28"/>
            <w:lang w:val="uk-UA"/>
          </w:rPr>
          <w:t>https://www.unhcr.org/ua</w:t>
        </w:r>
      </w:hyperlink>
      <w:r w:rsidRPr="00511005">
        <w:rPr>
          <w:rFonts w:ascii="Arial" w:eastAsia="Calibri" w:hAnsi="Arial" w:cs="Arial"/>
          <w:szCs w:val="28"/>
          <w:lang w:val="uk-UA"/>
        </w:rPr>
        <w:t xml:space="preserve"> (дата звернення: 29.04.2025).</w:t>
      </w:r>
    </w:p>
    <w:p w14:paraId="2B1DCEED" w14:textId="594A24E6" w:rsidR="00220D3E" w:rsidRPr="00511005" w:rsidRDefault="00220D3E" w:rsidP="003F6A5D">
      <w:pPr>
        <w:numPr>
          <w:ilvl w:val="0"/>
          <w:numId w:val="10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Директива про кваліфікацію (2011/95/EU). URL: </w:t>
      </w:r>
      <w:hyperlink r:id="rId341" w:history="1">
        <w:r w:rsidRPr="00511005">
          <w:rPr>
            <w:rFonts w:ascii="Arial" w:eastAsia="Calibri" w:hAnsi="Arial" w:cs="Arial"/>
            <w:szCs w:val="28"/>
            <w:lang w:val="uk-UA"/>
          </w:rPr>
          <w:t>https://eur-lex.europa.eu</w:t>
        </w:r>
      </w:hyperlink>
      <w:r w:rsidRPr="00511005">
        <w:rPr>
          <w:rFonts w:ascii="Arial" w:eastAsia="Calibri" w:hAnsi="Arial" w:cs="Arial"/>
          <w:szCs w:val="28"/>
          <w:lang w:val="uk-UA"/>
        </w:rPr>
        <w:t xml:space="preserve"> (дата звернення: 29.04.2025).</w:t>
      </w:r>
    </w:p>
    <w:p w14:paraId="3198130B" w14:textId="77777777" w:rsidR="00220D3E" w:rsidRPr="00511005" w:rsidRDefault="00220D3E" w:rsidP="003F6A5D">
      <w:pPr>
        <w:numPr>
          <w:ilvl w:val="0"/>
          <w:numId w:val="106"/>
        </w:numPr>
        <w:tabs>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Європейська комісія. (2022). Директива про тимчасовий захист: європейська відповідь на українську кризу біженців. Брюссель: Європейський Союз, COM(2022) 91 final.</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URL: </w:t>
      </w:r>
      <w:hyperlink r:id="rId342" w:history="1">
        <w:r w:rsidRPr="00511005">
          <w:rPr>
            <w:rFonts w:ascii="Arial" w:eastAsia="Times New Roman" w:hAnsi="Arial" w:cs="Arial"/>
            <w:szCs w:val="28"/>
            <w:lang w:val="uk-UA" w:eastAsia="ru-RU"/>
          </w:rPr>
          <w:t>https://ec.europa.eu/commission/presscorner/detail/en/ip_22_1469</w:t>
        </w:r>
      </w:hyperlink>
      <w:r w:rsidRPr="00511005">
        <w:rPr>
          <w:rFonts w:ascii="Arial" w:eastAsia="Times New Roman" w:hAnsi="Arial" w:cs="Arial"/>
          <w:szCs w:val="28"/>
          <w:lang w:val="uk-UA" w:eastAsia="ru-RU"/>
        </w:rPr>
        <w:t xml:space="preserve"> (дата звернення: 29.04.2025).</w:t>
      </w:r>
    </w:p>
    <w:p w14:paraId="321F68A2" w14:textId="77777777" w:rsidR="00220D3E" w:rsidRPr="00511005" w:rsidRDefault="00220D3E" w:rsidP="003F6A5D">
      <w:pPr>
        <w:numPr>
          <w:ilvl w:val="0"/>
          <w:numId w:val="10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Європейська рада у справах біженців та вигнанців. Шукачі притулку та біженці – пояснення відмінностей. URL: </w:t>
      </w:r>
      <w:hyperlink r:id="rId343" w:history="1">
        <w:r w:rsidRPr="00511005">
          <w:rPr>
            <w:rFonts w:ascii="Arial" w:eastAsia="Calibri" w:hAnsi="Arial" w:cs="Arial"/>
            <w:szCs w:val="28"/>
            <w:lang w:val="uk-UA"/>
          </w:rPr>
          <w:t>https://www.unhcr.org/ua/refugees-and-asylum-seekers</w:t>
        </w:r>
      </w:hyperlink>
      <w:r w:rsidRPr="00511005">
        <w:rPr>
          <w:rFonts w:ascii="Arial" w:eastAsia="Calibri" w:hAnsi="Arial" w:cs="Arial"/>
          <w:szCs w:val="28"/>
          <w:lang w:val="uk-UA"/>
        </w:rPr>
        <w:t xml:space="preserve"> (дата звернення: 29.04.2025).</w:t>
      </w:r>
    </w:p>
    <w:p w14:paraId="79FDEE4F" w14:textId="77777777" w:rsidR="00220D3E" w:rsidRPr="00511005" w:rsidRDefault="00220D3E" w:rsidP="003F6A5D">
      <w:pPr>
        <w:numPr>
          <w:ilvl w:val="0"/>
          <w:numId w:val="10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Європейський суд з прав людини. Справа Сорінг проти Сполученого </w:t>
      </w:r>
      <w:r w:rsidRPr="00511005">
        <w:rPr>
          <w:rFonts w:ascii="Arial" w:eastAsia="Calibri" w:hAnsi="Arial" w:cs="Arial"/>
          <w:szCs w:val="28"/>
          <w:lang w:val="uk-UA"/>
        </w:rPr>
        <w:lastRenderedPageBreak/>
        <w:t>Королівства. Заява № 14038/88. URL: </w:t>
      </w:r>
      <w:hyperlink r:id="rId344" w:history="1">
        <w:r w:rsidRPr="00511005">
          <w:rPr>
            <w:rFonts w:ascii="Arial" w:eastAsia="Calibri" w:hAnsi="Arial" w:cs="Arial"/>
            <w:szCs w:val="28"/>
            <w:lang w:val="uk-UA"/>
          </w:rPr>
          <w:t>https://ips.ligazakon.net/document/SO2491</w:t>
        </w:r>
      </w:hyperlink>
      <w:r w:rsidRPr="00511005">
        <w:rPr>
          <w:rFonts w:ascii="Arial" w:eastAsia="Calibri" w:hAnsi="Arial" w:cs="Arial"/>
          <w:szCs w:val="28"/>
          <w:lang w:val="uk-UA"/>
        </w:rPr>
        <w:t xml:space="preserve"> (дата звернення: 29.04.2025). </w:t>
      </w:r>
    </w:p>
    <w:p w14:paraId="1DAC3647" w14:textId="3266E1F0" w:rsidR="00220D3E" w:rsidRPr="00511005" w:rsidRDefault="00220D3E" w:rsidP="003F6A5D">
      <w:pPr>
        <w:numPr>
          <w:ilvl w:val="0"/>
          <w:numId w:val="10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Картахенська декларація про біженців, прийнята у 1984 році в Латинській Америці. URL:</w:t>
      </w:r>
      <w:r w:rsidR="007B2628" w:rsidRPr="00511005">
        <w:rPr>
          <w:rFonts w:ascii="Arial" w:eastAsia="Calibri" w:hAnsi="Arial" w:cs="Arial"/>
          <w:szCs w:val="28"/>
          <w:lang w:val="uk-UA"/>
        </w:rPr>
        <w:t xml:space="preserve"> </w:t>
      </w:r>
      <w:hyperlink r:id="rId345" w:history="1">
        <w:r w:rsidRPr="00511005">
          <w:rPr>
            <w:rFonts w:ascii="Arial" w:eastAsia="Calibri" w:hAnsi="Arial" w:cs="Arial"/>
            <w:szCs w:val="28"/>
            <w:lang w:val="uk-UA"/>
          </w:rPr>
          <w:t>http://nowar.nbuv.gov.ua/post/0000007</w:t>
        </w:r>
      </w:hyperlink>
      <w:r w:rsidRPr="00511005">
        <w:rPr>
          <w:rFonts w:ascii="Arial" w:eastAsia="Calibri" w:hAnsi="Arial" w:cs="Arial"/>
          <w:szCs w:val="28"/>
          <w:lang w:val="uk-UA"/>
        </w:rPr>
        <w:t xml:space="preserve"> (дата звернення: 29.04.2025).</w:t>
      </w:r>
    </w:p>
    <w:p w14:paraId="72AAF2B8" w14:textId="77777777" w:rsidR="00220D3E" w:rsidRPr="00511005" w:rsidRDefault="00220D3E" w:rsidP="003F6A5D">
      <w:pPr>
        <w:numPr>
          <w:ilvl w:val="0"/>
          <w:numId w:val="10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Конвенція щодо конкретних аспектів проблем біженців в Африці Організації Африканської Єдності 1969 р. URL: </w:t>
      </w:r>
      <w:hyperlink r:id="rId346" w:history="1">
        <w:r w:rsidRPr="00511005">
          <w:rPr>
            <w:rFonts w:ascii="Arial" w:eastAsia="Calibri" w:hAnsi="Arial" w:cs="Arial"/>
            <w:szCs w:val="28"/>
            <w:lang w:val="uk-UA"/>
          </w:rPr>
          <w:t>http://nowar.nbuv.gov.ua/post/0000006</w:t>
        </w:r>
      </w:hyperlink>
      <w:r w:rsidRPr="00511005">
        <w:rPr>
          <w:rFonts w:ascii="Arial" w:eastAsia="Calibri" w:hAnsi="Arial" w:cs="Arial"/>
          <w:szCs w:val="28"/>
          <w:lang w:val="uk-UA"/>
        </w:rPr>
        <w:t xml:space="preserve"> (дата звернення: 29.04.2025). </w:t>
      </w:r>
    </w:p>
    <w:p w14:paraId="232E6E23" w14:textId="77777777" w:rsidR="00220D3E" w:rsidRPr="00511005" w:rsidRDefault="00220D3E" w:rsidP="003F6A5D">
      <w:pPr>
        <w:numPr>
          <w:ilvl w:val="0"/>
          <w:numId w:val="10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Офіційний сайт УВКБ ООН. URL: </w:t>
      </w:r>
      <w:hyperlink r:id="rId347" w:history="1">
        <w:r w:rsidRPr="00511005">
          <w:rPr>
            <w:rFonts w:ascii="Arial" w:eastAsia="Calibri" w:hAnsi="Arial" w:cs="Arial"/>
            <w:szCs w:val="28"/>
            <w:lang w:val="uk-UA"/>
          </w:rPr>
          <w:t>https://www.unhcr.org/ua/</w:t>
        </w:r>
      </w:hyperlink>
      <w:r w:rsidRPr="00511005">
        <w:rPr>
          <w:rFonts w:ascii="Arial" w:eastAsia="Calibri" w:hAnsi="Arial" w:cs="Arial"/>
          <w:szCs w:val="28"/>
          <w:lang w:val="uk-UA"/>
        </w:rPr>
        <w:t> (дата звернення: 29.04.2025).</w:t>
      </w:r>
    </w:p>
    <w:p w14:paraId="474400C4" w14:textId="77777777" w:rsidR="00220D3E" w:rsidRPr="00511005" w:rsidRDefault="00220D3E" w:rsidP="003F6A5D">
      <w:pPr>
        <w:numPr>
          <w:ilvl w:val="0"/>
          <w:numId w:val="10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Права та обов'язки біженців. Офіційний сайт УВКБ ООН. URL: </w:t>
      </w:r>
      <w:hyperlink r:id="rId348" w:history="1">
        <w:r w:rsidRPr="00511005">
          <w:rPr>
            <w:rFonts w:ascii="Arial" w:eastAsia="Calibri" w:hAnsi="Arial" w:cs="Arial"/>
            <w:szCs w:val="28"/>
            <w:lang w:val="uk-UA"/>
          </w:rPr>
          <w:t>https://help.unhcr.org/bulgaria/uk</w:t>
        </w:r>
      </w:hyperlink>
      <w:r w:rsidRPr="00511005">
        <w:rPr>
          <w:rFonts w:ascii="Arial" w:eastAsia="Calibri" w:hAnsi="Arial" w:cs="Arial"/>
          <w:szCs w:val="28"/>
          <w:lang w:val="uk-UA"/>
        </w:rPr>
        <w:t xml:space="preserve"> (дата звернення: 29.04.2025).</w:t>
      </w:r>
    </w:p>
    <w:p w14:paraId="16DE470E" w14:textId="77777777" w:rsidR="00220D3E" w:rsidRPr="00511005" w:rsidRDefault="00220D3E" w:rsidP="003F6A5D">
      <w:pPr>
        <w:numPr>
          <w:ilvl w:val="0"/>
          <w:numId w:val="10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Протокол 1967 року до Конвенції про статус біженців 1951 року. URL: </w:t>
      </w:r>
      <w:hyperlink r:id="rId349" w:anchor="Text" w:history="1">
        <w:r w:rsidRPr="00511005">
          <w:rPr>
            <w:rFonts w:ascii="Arial" w:eastAsia="Calibri" w:hAnsi="Arial" w:cs="Arial"/>
            <w:szCs w:val="28"/>
            <w:lang w:val="uk-UA"/>
          </w:rPr>
          <w:t>https://zakon.rada.gov.ua/laws/show/995_363#Text</w:t>
        </w:r>
      </w:hyperlink>
      <w:r w:rsidRPr="00511005">
        <w:rPr>
          <w:rFonts w:ascii="Arial" w:eastAsia="Calibri" w:hAnsi="Arial" w:cs="Arial"/>
          <w:szCs w:val="28"/>
          <w:lang w:val="uk-UA"/>
        </w:rPr>
        <w:t xml:space="preserve"> (дата звернення: 29.04.2025).</w:t>
      </w:r>
    </w:p>
    <w:p w14:paraId="6858B47B"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2E10CF11" w14:textId="416E9233"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біженці, міжнародний захист, Конвенція про статус біженців 1951 року, принцип, УВКБ ООН, регіональні механізми захисту, інтеграція, вразливі категорії, тимчасовий захист, міжнародне право.</w:t>
      </w:r>
    </w:p>
    <w:p w14:paraId="55E486BB" w14:textId="79D2D30D" w:rsidR="00220D3E" w:rsidRPr="00511005" w:rsidRDefault="007B2628" w:rsidP="003A292D">
      <w:pPr>
        <w:tabs>
          <w:tab w:val="left" w:pos="709"/>
        </w:tabs>
        <w:spacing w:line="264" w:lineRule="auto"/>
        <w:contextualSpacing/>
        <w:rPr>
          <w:rFonts w:ascii="Arial" w:eastAsia="Calibri" w:hAnsi="Arial" w:cs="Arial"/>
          <w:i/>
          <w:iCs/>
          <w:szCs w:val="28"/>
          <w:lang w:val="en-US"/>
        </w:rPr>
      </w:pPr>
      <w:r w:rsidRPr="00511005">
        <w:rPr>
          <w:rFonts w:ascii="Arial" w:eastAsia="Calibri" w:hAnsi="Arial" w:cs="Arial"/>
          <w:b/>
          <w:bCs/>
          <w:i/>
          <w:szCs w:val="28"/>
          <w:lang w:val="en-US"/>
        </w:rPr>
        <w:t xml:space="preserve">Key words: </w:t>
      </w:r>
      <w:r w:rsidR="00220D3E" w:rsidRPr="00511005">
        <w:rPr>
          <w:rFonts w:ascii="Arial" w:eastAsia="Calibri" w:hAnsi="Arial" w:cs="Arial"/>
          <w:szCs w:val="28"/>
          <w:lang w:val="en-US"/>
        </w:rPr>
        <w:t>refugees, international protection, 1951 Refugee Convention, principle, UNHCR, regional protection mechanisms, integration, vulnerable categories, temporary protection, international law.</w:t>
      </w:r>
    </w:p>
    <w:p w14:paraId="3B119FAE" w14:textId="0855102C" w:rsidR="00220D3E" w:rsidRPr="00511005" w:rsidRDefault="007B2628" w:rsidP="003A292D">
      <w:pPr>
        <w:tabs>
          <w:tab w:val="left" w:pos="709"/>
        </w:tabs>
        <w:spacing w:line="264" w:lineRule="auto"/>
        <w:rPr>
          <w:rFonts w:ascii="Arial" w:eastAsia="Calibri" w:hAnsi="Arial" w:cs="Arial"/>
          <w:i/>
          <w:iCs/>
          <w:szCs w:val="28"/>
          <w:lang w:val="uk-UA"/>
        </w:rPr>
      </w:pPr>
      <w:r w:rsidRPr="00511005">
        <w:rPr>
          <w:rFonts w:ascii="Arial" w:eastAsia="Calibri" w:hAnsi="Arial" w:cs="Arial"/>
          <w:b/>
          <w:i/>
          <w:iCs/>
          <w:szCs w:val="28"/>
        </w:rPr>
        <w:t xml:space="preserve">Науковий керівник: </w:t>
      </w:r>
      <w:r w:rsidR="00220D3E" w:rsidRPr="00511005">
        <w:rPr>
          <w:rFonts w:ascii="Arial" w:eastAsia="Calibri" w:hAnsi="Arial" w:cs="Arial"/>
          <w:i/>
          <w:iCs/>
          <w:szCs w:val="28"/>
        </w:rPr>
        <w:t>к.ю.н., доцент Дронов В.Ю.</w:t>
      </w:r>
    </w:p>
    <w:p w14:paraId="2E27B7B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44BEE734"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Елісашвілі Ілля Володимирович</w:t>
      </w:r>
    </w:p>
    <w:p w14:paraId="6AB890ED" w14:textId="623814D1"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 4-го курсу </w:t>
      </w:r>
      <w:r w:rsidR="001B7B25" w:rsidRPr="00511005">
        <w:rPr>
          <w:rFonts w:ascii="Arial" w:eastAsia="Times New Roman" w:hAnsi="Arial" w:cs="Arial"/>
          <w:szCs w:val="28"/>
          <w:lang w:val="uk-UA" w:eastAsia="ru-RU"/>
        </w:rPr>
        <w:t>факультету судового та міжнародного права</w:t>
      </w:r>
    </w:p>
    <w:p w14:paraId="459CC889" w14:textId="139EC32F" w:rsidR="00220D3E" w:rsidRPr="00511005" w:rsidRDefault="007B2628" w:rsidP="003A292D">
      <w:pPr>
        <w:tabs>
          <w:tab w:val="left" w:pos="709"/>
        </w:tabs>
        <w:spacing w:line="264" w:lineRule="auto"/>
        <w:jc w:val="center"/>
        <w:rPr>
          <w:rFonts w:ascii="Arial" w:eastAsia="Times New Roman" w:hAnsi="Arial" w:cs="Arial"/>
          <w:i/>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2AC613F3" w14:textId="77777777" w:rsidR="00220D3E" w:rsidRPr="00511005" w:rsidRDefault="00220D3E" w:rsidP="003A292D">
      <w:pPr>
        <w:tabs>
          <w:tab w:val="left" w:pos="709"/>
        </w:tabs>
        <w:spacing w:line="264" w:lineRule="auto"/>
        <w:jc w:val="center"/>
        <w:rPr>
          <w:rFonts w:ascii="Arial" w:eastAsia="Times New Roman" w:hAnsi="Arial" w:cs="Arial"/>
          <w:i/>
          <w:szCs w:val="28"/>
          <w:lang w:val="uk-UA" w:eastAsia="ru-RU"/>
        </w:rPr>
      </w:pPr>
    </w:p>
    <w:p w14:paraId="0BF82580" w14:textId="77777777" w:rsidR="00220D3E" w:rsidRPr="00511005" w:rsidRDefault="00220D3E" w:rsidP="003A292D">
      <w:pPr>
        <w:tabs>
          <w:tab w:val="left" w:pos="709"/>
        </w:tabs>
        <w:spacing w:line="264" w:lineRule="auto"/>
        <w:jc w:val="center"/>
        <w:rPr>
          <w:rFonts w:ascii="Arial" w:eastAsia="Times New Roman" w:hAnsi="Arial" w:cs="Arial"/>
          <w:b/>
          <w:caps/>
          <w:szCs w:val="28"/>
          <w:lang w:val="uk-UA" w:eastAsia="ru-RU"/>
        </w:rPr>
      </w:pPr>
      <w:r w:rsidRPr="00511005">
        <w:rPr>
          <w:rFonts w:ascii="Arial" w:eastAsia="Times New Roman" w:hAnsi="Arial" w:cs="Arial"/>
          <w:b/>
          <w:caps/>
          <w:szCs w:val="28"/>
          <w:lang w:val="uk-UA" w:eastAsia="ru-RU"/>
        </w:rPr>
        <w:t>Діяльність міжнародних правозахисних організацій у захисті прав дітей під час війни</w:t>
      </w:r>
    </w:p>
    <w:p w14:paraId="49C3594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початком повномасштабної війни в Україні права дітей зазнали значних порушень: загибель, поранення, психологічні травми, розлучення з родинами, вимушене переміщення та обмеження доступу до освіти. Таким чином, було нанесено удар по основоположним правам дитини як кожної людської істоти що виповнилося 18 років [1]. Міжнародні правозахисні організації відіграють ключову роль у моніторингу, документуванні порушень та наданні допомоги дітям, що постраждали від війни. Зрозуміло, що не всіх дітей вдається врятувати та захистити, проте сам факт необхідності дітей в їх захисті змушує ті чи інші міжнародні організації до активного руху в політичній та правовій площині.</w:t>
      </w:r>
    </w:p>
    <w:p w14:paraId="664487A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Безпосередньо ЮНІСЕФ, як основний та ключовий орган ООН у сфері захисту прав дитини, у квітні 2022 року в розпал війни в Україні підписав з</w:t>
      </w:r>
      <w:r w:rsidRPr="00511005">
        <w:rPr>
          <w:rFonts w:ascii="Arial" w:eastAsia="Times New Roman" w:hAnsi="Arial" w:cs="Arial"/>
          <w:i/>
          <w:iCs/>
          <w:szCs w:val="28"/>
          <w:lang w:val="uk-UA" w:eastAsia="ru-RU"/>
        </w:rPr>
        <w:t xml:space="preserve"> </w:t>
      </w:r>
      <w:r w:rsidRPr="00511005">
        <w:rPr>
          <w:rFonts w:ascii="Arial" w:eastAsia="Times New Roman" w:hAnsi="Arial" w:cs="Arial"/>
          <w:iCs/>
          <w:szCs w:val="28"/>
          <w:lang w:val="uk-UA" w:eastAsia="ru-RU"/>
        </w:rPr>
        <w:lastRenderedPageBreak/>
        <w:t>Міністерством соціальної політики Меморандум про консолідацію зусиль у сфері захисту прав дітей</w:t>
      </w:r>
      <w:r w:rsidRPr="00511005">
        <w:rPr>
          <w:rFonts w:ascii="Arial" w:eastAsia="Times New Roman" w:hAnsi="Arial" w:cs="Arial"/>
          <w:szCs w:val="28"/>
          <w:lang w:val="uk-UA" w:eastAsia="ru-RU"/>
        </w:rPr>
        <w:t>. В першу чергу, мова йде про забезпечення захисту прав дітей-сиріт, тих хто позбавлений батьківського піклування, з дитячих будинків, прийомні сім’ї, а також особливо ті діти, які знаходяться за межами країни [2].</w:t>
      </w:r>
    </w:p>
    <w:p w14:paraId="6E1403F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Дитячий фонд ЮНІСЕФ, як продовжував так і продовжуватиме надавати саме технічну та фінансову підтримку для України в сфері розшуку та захисту дітей на території України, а також особливо за її межами.</w:t>
      </w:r>
    </w:p>
    <w:p w14:paraId="10E97B8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основний напрямок роботи буде сконцентровано на взаємодію між державними інституціями ЄС та нашої країни – у сфері обліку дітей, єдину систему ідентифікації та відстеження переміщення всіх дітей ті їхнього шляху до останньої точки знаходження.</w:t>
      </w:r>
    </w:p>
    <w:p w14:paraId="68344DC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Рада Європи як один із ключових органів та інституції також виступає з активною роллю в захисті прав дітей в Україні. З січня 2023 Офіс Ради Європи в Україні реалізує проект під назвою "Захист прав дітей під час війни і в післявоєнний період в Україні". Суть проекту полягає в посилені реагування на насильство щодо дітей, включаючи сексуальну експлуатацію та торгівлю людьми [3].​</w:t>
      </w:r>
    </w:p>
    <w:p w14:paraId="39995297" w14:textId="1D5ADAC2"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Проект є ключовою стадією у низці інших проектів Ради Європи в Україні та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ґрунтується на Стратегії Ради Європи з прав дитини (2022-2027) "Права дітей в дії: від стабільної реалізації до спільного новаторства". Він спрямований на захист і заохочення прав дітей, враховуючи особливі ризики, породжені війною, для дітей, переміщених всередині країни, примусово переміщених дітей, дітей, які залишилися без піклування батьків, дітей без супроводу дорослих, відповідно до стандартів Ради Європи.</w:t>
      </w:r>
    </w:p>
    <w:p w14:paraId="4A024FA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Ключові можливості та інструменти, згідно цього проекту складають:</w:t>
      </w:r>
    </w:p>
    <w:p w14:paraId="55B5DF74" w14:textId="77777777" w:rsidR="00220D3E" w:rsidRPr="00511005" w:rsidRDefault="00220D3E" w:rsidP="003F6A5D">
      <w:pPr>
        <w:numPr>
          <w:ilvl w:val="0"/>
          <w:numId w:val="10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міжвідомча співпраця;</w:t>
      </w:r>
    </w:p>
    <w:p w14:paraId="3D4A4AAB" w14:textId="77777777" w:rsidR="00220D3E" w:rsidRPr="00511005" w:rsidRDefault="00220D3E" w:rsidP="003F6A5D">
      <w:pPr>
        <w:numPr>
          <w:ilvl w:val="0"/>
          <w:numId w:val="10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правова політична база;</w:t>
      </w:r>
    </w:p>
    <w:p w14:paraId="661F60AE" w14:textId="77777777" w:rsidR="00220D3E" w:rsidRPr="00511005" w:rsidRDefault="00220D3E" w:rsidP="003F6A5D">
      <w:pPr>
        <w:numPr>
          <w:ilvl w:val="0"/>
          <w:numId w:val="10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підготовка кадрів і посилення спроможності;</w:t>
      </w:r>
    </w:p>
    <w:p w14:paraId="5CCCD5E4" w14:textId="77777777" w:rsidR="00220D3E" w:rsidRPr="00511005" w:rsidRDefault="00220D3E" w:rsidP="003F6A5D">
      <w:pPr>
        <w:numPr>
          <w:ilvl w:val="0"/>
          <w:numId w:val="10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підвищення обізнаності та запобігання.</w:t>
      </w:r>
    </w:p>
    <w:p w14:paraId="39366E2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важливу увагу приділяється підвищенню ефективності механізмів створення дружніх до дітей умов і процедур правосуддя. Окрім цього, важливим є навчання фахівців, що працюють з дітьми, з питань надання психологічної допомоги та підтримки.</w:t>
      </w:r>
    </w:p>
    <w:p w14:paraId="782BF42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Щодо діяльності органів та інституцій ЄС, то до прикладу – Європейська комісія фінансує різні гуманітарні проекти, спрямовані на захист дітей. Це охоплює освіту, медичну допомогу, психосоціальну підтримку, тимчасове житло. Також існує </w:t>
      </w:r>
      <w:r w:rsidRPr="00511005">
        <w:rPr>
          <w:rFonts w:ascii="Arial" w:eastAsia="Times New Roman" w:hAnsi="Arial" w:cs="Arial"/>
          <w:bCs/>
          <w:szCs w:val="28"/>
          <w:lang w:val="uk-UA" w:eastAsia="ru-RU"/>
        </w:rPr>
        <w:t>Програма «ЄС для дітей України»</w:t>
      </w:r>
      <w:r w:rsidRPr="00511005">
        <w:rPr>
          <w:rFonts w:ascii="Arial" w:eastAsia="Times New Roman" w:hAnsi="Arial" w:cs="Arial"/>
          <w:szCs w:val="28"/>
          <w:lang w:val="uk-UA" w:eastAsia="ru-RU"/>
        </w:rPr>
        <w:t xml:space="preserve"> — координація допомоги дітям, які були евакуйовані чи постраждали від бойових дій.</w:t>
      </w:r>
    </w:p>
    <w:p w14:paraId="49435CC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Європейській парламент у своїй діяльності Приймає резолюції щодо засудження викрадення українських дітей та вимагає притягнення Росії до </w:t>
      </w:r>
      <w:r w:rsidRPr="00511005">
        <w:rPr>
          <w:rFonts w:ascii="Arial" w:eastAsia="Times New Roman" w:hAnsi="Arial" w:cs="Arial"/>
          <w:szCs w:val="28"/>
          <w:lang w:val="uk-UA" w:eastAsia="ru-RU"/>
        </w:rPr>
        <w:lastRenderedPageBreak/>
        <w:t>відповідальності. Також ще однією важливою позицією Європарламенту є підтримка ініціативи щодо відстеження і повернення незаконно депортованих дітей [4].</w:t>
      </w:r>
    </w:p>
    <w:p w14:paraId="384B370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підсумовуючи можна зазначити, що міжнародні правозахисні організації відіграють важливу роль у захисті прав дітей під час війни, надаючи допомогу, розробляючи політики та сприяючи міжвідомчій співпраці. Необхідно продовжувати зусилля з моніторингу, документування порушень та надання підтримки дітям, щоб забезпечити їхні права та благополуччя. Не дивлячись на всі політичні перепони та важку бюрократію в системі різних органів, більшість міжнародних організацій із сумлінням совісті та достатньою відповідальністю ставляться до ситуації в нашій країні із дітьми.</w:t>
      </w:r>
    </w:p>
    <w:p w14:paraId="3889ECBE"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1E4C0486" w14:textId="08025BFC" w:rsidR="00220D3E" w:rsidRPr="00511005" w:rsidRDefault="007B2628" w:rsidP="007B2628">
      <w:pPr>
        <w:tabs>
          <w:tab w:val="left" w:pos="709"/>
        </w:tabs>
        <w:spacing w:line="264" w:lineRule="auto"/>
        <w:jc w:val="center"/>
        <w:rPr>
          <w:rFonts w:ascii="Arial" w:eastAsia="Times New Roman" w:hAnsi="Arial" w:cs="Arial"/>
          <w:b/>
          <w:caps/>
          <w:szCs w:val="28"/>
          <w:lang w:val="uk-UA" w:eastAsia="ru-RU"/>
        </w:rPr>
      </w:pPr>
      <w:r w:rsidRPr="00511005">
        <w:rPr>
          <w:rFonts w:ascii="Arial" w:eastAsia="Times New Roman" w:hAnsi="Arial" w:cs="Arial"/>
          <w:b/>
          <w:szCs w:val="28"/>
          <w:lang w:val="uk-UA" w:eastAsia="ru-RU"/>
        </w:rPr>
        <w:t>Список використаних джерел</w:t>
      </w:r>
    </w:p>
    <w:p w14:paraId="655657CD" w14:textId="5DA2B370" w:rsidR="00220D3E" w:rsidRPr="00511005" w:rsidRDefault="00220D3E" w:rsidP="003F6A5D">
      <w:pPr>
        <w:numPr>
          <w:ilvl w:val="0"/>
          <w:numId w:val="108"/>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Конвенція про права дитини від 20.11.1989 року. Законодавство України.</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URL: </w:t>
      </w:r>
      <w:hyperlink r:id="rId350" w:anchor="Text" w:history="1">
        <w:r w:rsidRPr="00511005">
          <w:rPr>
            <w:rFonts w:ascii="Arial" w:eastAsia="Times New Roman" w:hAnsi="Arial" w:cs="Arial"/>
            <w:szCs w:val="28"/>
            <w:lang w:val="uk-UA"/>
          </w:rPr>
          <w:t>https://zakon.rada.gov.ua/laws/show/995_021#Text</w:t>
        </w:r>
      </w:hyperlink>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(дата звернення: 20.04.2025).</w:t>
      </w:r>
    </w:p>
    <w:p w14:paraId="3C734C7B" w14:textId="0F851BCA" w:rsidR="00220D3E" w:rsidRPr="00511005" w:rsidRDefault="00220D3E" w:rsidP="003F6A5D">
      <w:pPr>
        <w:numPr>
          <w:ilvl w:val="0"/>
          <w:numId w:val="108"/>
        </w:numPr>
        <w:tabs>
          <w:tab w:val="left" w:pos="709"/>
        </w:tabs>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bCs/>
          <w:szCs w:val="28"/>
          <w:lang w:val="uk-UA"/>
        </w:rPr>
        <w:t xml:space="preserve">Уповноважений Верховної Ради України з прав людини [Електронний ресурс]. URL: </w:t>
      </w:r>
      <w:hyperlink r:id="rId351" w:history="1">
        <w:r w:rsidRPr="00511005">
          <w:rPr>
            <w:rFonts w:ascii="Arial" w:eastAsia="Calibri" w:hAnsi="Arial" w:cs="Arial"/>
            <w:bCs/>
            <w:szCs w:val="28"/>
            <w:lang w:val="uk-UA"/>
          </w:rPr>
          <w:t>https://ombudsman.gov.ua/storage/app/media/uploaded-files/1511_001.pdf</w:t>
        </w:r>
      </w:hyperlink>
      <w:r w:rsidR="007B2628" w:rsidRPr="00511005">
        <w:rPr>
          <w:rFonts w:ascii="Arial" w:eastAsia="Calibri" w:hAnsi="Arial" w:cs="Arial"/>
          <w:bCs/>
          <w:szCs w:val="28"/>
          <w:lang w:val="uk-UA"/>
        </w:rPr>
        <w:t xml:space="preserve"> </w:t>
      </w:r>
      <w:r w:rsidRPr="00511005">
        <w:rPr>
          <w:rFonts w:ascii="Arial" w:eastAsia="Calibri" w:hAnsi="Arial" w:cs="Arial"/>
          <w:bCs/>
          <w:szCs w:val="28"/>
          <w:lang w:val="uk-UA"/>
        </w:rPr>
        <w:t>(дата звернення: 20.04.2025).</w:t>
      </w:r>
    </w:p>
    <w:p w14:paraId="2E49F1F0" w14:textId="77777777" w:rsidR="00220D3E" w:rsidRPr="00511005" w:rsidRDefault="00220D3E" w:rsidP="003F6A5D">
      <w:pPr>
        <w:numPr>
          <w:ilvl w:val="0"/>
          <w:numId w:val="108"/>
        </w:numPr>
        <w:tabs>
          <w:tab w:val="left" w:pos="709"/>
        </w:tabs>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bCs/>
          <w:szCs w:val="28"/>
          <w:lang w:val="uk-UA"/>
        </w:rPr>
        <w:t>Рада Європи</w:t>
      </w:r>
      <w:r w:rsidRPr="00511005">
        <w:rPr>
          <w:rFonts w:ascii="Arial" w:eastAsia="Calibri" w:hAnsi="Arial" w:cs="Arial"/>
          <w:b/>
          <w:bCs/>
          <w:szCs w:val="28"/>
          <w:lang w:val="uk-UA"/>
        </w:rPr>
        <w:t>.</w:t>
      </w:r>
      <w:r w:rsidRPr="00511005">
        <w:rPr>
          <w:rFonts w:ascii="Arial" w:eastAsia="Calibri" w:hAnsi="Arial" w:cs="Arial"/>
          <w:bCs/>
          <w:szCs w:val="28"/>
          <w:lang w:val="uk-UA"/>
        </w:rPr>
        <w:t xml:space="preserve"> Захист прав дітей під час війни і в післявоєнний період в Україні [Електронний ресурс]. URL: </w:t>
      </w:r>
      <w:hyperlink r:id="rId352" w:tgtFrame="_new" w:history="1">
        <w:r w:rsidRPr="00511005">
          <w:rPr>
            <w:rFonts w:ascii="Arial" w:eastAsia="Calibri" w:hAnsi="Arial" w:cs="Arial"/>
            <w:bCs/>
            <w:szCs w:val="28"/>
            <w:lang w:val="uk-UA"/>
          </w:rPr>
          <w:t>https://www.coe.int/uk/web/kyiv/protecting-the-rights-of-ukrainian-children-during-and-in-post-war-context</w:t>
        </w:r>
      </w:hyperlink>
      <w:r w:rsidRPr="00511005">
        <w:rPr>
          <w:rFonts w:ascii="Arial" w:eastAsia="Calibri" w:hAnsi="Arial" w:cs="Arial"/>
          <w:bCs/>
          <w:szCs w:val="28"/>
          <w:lang w:val="uk-UA"/>
        </w:rPr>
        <w:t xml:space="preserve"> (дата звернення: 20.04.2025).</w:t>
      </w:r>
    </w:p>
    <w:p w14:paraId="65D34333" w14:textId="77777777" w:rsidR="00220D3E" w:rsidRPr="00511005" w:rsidRDefault="00220D3E" w:rsidP="003F6A5D">
      <w:pPr>
        <w:numPr>
          <w:ilvl w:val="0"/>
          <w:numId w:val="108"/>
        </w:numPr>
        <w:tabs>
          <w:tab w:val="left" w:pos="709"/>
        </w:tabs>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bCs/>
          <w:szCs w:val="28"/>
          <w:lang w:val="uk-UA"/>
        </w:rPr>
        <w:t xml:space="preserve">Європейський парламент. Резолюція Європейського парламенту від 15 вересня 2022 року щодо порушень прав людини, депортації українських цивільних осіб та примусового усиновлення українських дітей у Росії (2022/2825(RSP)) [Електронний ресурс]. URL: </w:t>
      </w:r>
      <w:hyperlink r:id="rId353" w:history="1">
        <w:r w:rsidRPr="00511005">
          <w:rPr>
            <w:rFonts w:ascii="Arial" w:eastAsia="Calibri" w:hAnsi="Arial" w:cs="Arial"/>
            <w:bCs/>
            <w:szCs w:val="28"/>
            <w:lang w:val="uk-UA"/>
          </w:rPr>
          <w:t>https://eur-lex.europa.eu/legal-content/EN/TXT/?uri=CELEX%3A52022IP0320</w:t>
        </w:r>
      </w:hyperlink>
      <w:r w:rsidRPr="00511005">
        <w:rPr>
          <w:rFonts w:ascii="Arial" w:eastAsia="Calibri" w:hAnsi="Arial" w:cs="Arial"/>
          <w:bCs/>
          <w:szCs w:val="28"/>
          <w:lang w:val="uk-UA"/>
        </w:rPr>
        <w:t xml:space="preserve"> (дата звернення: 20.04.2025).</w:t>
      </w:r>
    </w:p>
    <w:p w14:paraId="74C5F283" w14:textId="13586C83" w:rsidR="00220D3E" w:rsidRPr="00511005" w:rsidRDefault="007B2628" w:rsidP="003A292D">
      <w:pPr>
        <w:tabs>
          <w:tab w:val="left" w:pos="709"/>
        </w:tabs>
        <w:spacing w:line="264" w:lineRule="auto"/>
        <w:rPr>
          <w:rFonts w:ascii="Arial" w:eastAsia="Times New Roman" w:hAnsi="Arial" w:cs="Arial"/>
          <w:bCs/>
          <w:i/>
          <w:iCs/>
          <w:szCs w:val="28"/>
          <w:lang w:val="uk-UA" w:eastAsia="ru-RU"/>
        </w:rPr>
      </w:pPr>
      <w:bookmarkStart w:id="39" w:name="_Hlk196582322"/>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
          <w:bCs/>
          <w:i/>
          <w:iCs/>
          <w:szCs w:val="28"/>
          <w:lang w:val="uk-UA" w:eastAsia="ru-RU"/>
        </w:rPr>
        <w:t>к.ю.н., доцент Дронов В.Ю.</w:t>
      </w:r>
    </w:p>
    <w:p w14:paraId="68F57683"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2BD06139" w14:textId="77777777" w:rsidR="00220D3E"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 xml:space="preserve">Євстратьєва Дарʼя Сергіївна </w:t>
      </w:r>
    </w:p>
    <w:p w14:paraId="742E952E" w14:textId="799A216A" w:rsidR="00220D3E" w:rsidRPr="00511005" w:rsidRDefault="00536AAB" w:rsidP="003A292D">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 xml:space="preserve">студентка 2-го курсу </w:t>
      </w:r>
      <w:r w:rsidR="001B7B25" w:rsidRPr="00511005">
        <w:rPr>
          <w:rFonts w:ascii="Arial" w:eastAsia="Times New Roman" w:hAnsi="Arial" w:cs="Arial"/>
          <w:iCs/>
          <w:szCs w:val="28"/>
          <w:lang w:val="uk-UA" w:eastAsia="ru-RU"/>
        </w:rPr>
        <w:t>факультету судового та міжнародного права</w:t>
      </w:r>
    </w:p>
    <w:p w14:paraId="3A1DFEDF" w14:textId="7E30A513" w:rsidR="00220D3E" w:rsidRPr="00511005" w:rsidRDefault="007B2628" w:rsidP="003A292D">
      <w:pPr>
        <w:tabs>
          <w:tab w:val="left" w:pos="709"/>
        </w:tabs>
        <w:spacing w:line="264" w:lineRule="auto"/>
        <w:jc w:val="center"/>
        <w:rPr>
          <w:rFonts w:ascii="Arial" w:eastAsia="Times New Roman" w:hAnsi="Arial" w:cs="Arial"/>
          <w:bCs/>
          <w:caps/>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p>
    <w:p w14:paraId="2BC77FEA"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1F82F1C0"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b/>
          <w:bCs/>
          <w:szCs w:val="28"/>
          <w:lang w:eastAsia="ru-RU"/>
        </w:rPr>
        <w:t>МІЖНАРОДНО-ПРАВОВЕ РЕГУЛЮВАННЯ СТАТУСУ БІЖЕНЦІВ: ЗОБОВ’ЯЗАННЯ ДЕРЖАВ ТА МЕХАНІЗМИ ЗАХИСТУ</w:t>
      </w:r>
    </w:p>
    <w:p w14:paraId="7D811FF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Міжнародно-правове регулювання статусу біженців становить одну з ключових тем сучасного міжнародного публічного права, оскільки воно охоплює захист прав осіб, які вимушені залишати свої домівки через війни, </w:t>
      </w:r>
      <w:r w:rsidRPr="00511005">
        <w:rPr>
          <w:rFonts w:ascii="Arial" w:eastAsia="Times New Roman" w:hAnsi="Arial" w:cs="Arial"/>
          <w:szCs w:val="28"/>
          <w:lang w:eastAsia="ru-RU"/>
        </w:rPr>
        <w:lastRenderedPageBreak/>
        <w:t xml:space="preserve">переслідування, насильство або порушення прав людини. Статус біженців регулюється низкою міжнародних документів, котрі зобов'язують держави виконувати певні обов'язки щодо їх захисту. </w:t>
      </w:r>
    </w:p>
    <w:p w14:paraId="5DB5844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Найважливішим таким документом є Конвенція про статус біженців 1951 </w:t>
      </w:r>
      <w:proofErr w:type="gramStart"/>
      <w:r w:rsidRPr="00511005">
        <w:rPr>
          <w:rFonts w:ascii="Arial" w:eastAsia="Times New Roman" w:hAnsi="Arial" w:cs="Arial"/>
          <w:szCs w:val="28"/>
          <w:lang w:eastAsia="ru-RU"/>
        </w:rPr>
        <w:t>року[</w:t>
      </w:r>
      <w:proofErr w:type="gramEnd"/>
      <w:r w:rsidRPr="00511005">
        <w:rPr>
          <w:rFonts w:ascii="Arial" w:eastAsia="Times New Roman" w:hAnsi="Arial" w:cs="Arial"/>
          <w:szCs w:val="28"/>
          <w:lang w:eastAsia="ru-RU"/>
        </w:rPr>
        <w:t xml:space="preserve">1] та Протокол 1967 року[2],що встановлюють основні принципи, права та обов'язки стосовно біженців.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цієї Конвенції держави погодилися з основним принципом невидворення біженців у країни, де вони можуть зазнати переслідувань, а також з правом на надання притулку тим, хто цього потребує. Важливим аспектом міжнародно-правового регулювання є прийняття додаткових правових інструментів, таких як Конвенція про захист прав людини і основоположних свобод 1950 року, яка містить положення про права біженців і їх статус. </w:t>
      </w:r>
    </w:p>
    <w:p w14:paraId="179F8CF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Серед ключових зобов'язань держав виділяється принцип non-refoulement, тобто заборона на примусове повернення біженців до країн, де їх життя чи свобода можуть бути під загрозою. Цей принцип є основоположним для забезпечення безпеки біженців і повинен дотримуватися всіма державами, що є учасниками відповідних міжнародних угод. Міжнародний захист біженців здійснюється не лише через національні законодавства, але й шляхом механізмів, розроблених міжнародними організаціями. </w:t>
      </w:r>
    </w:p>
    <w:p w14:paraId="5EEF303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Однією з таких організацій є Управління Верховного комісара ООН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біженців (УВКБ ООН) [3], яке відіграє критично важливу роль у координації допомоги біженцям, а також у наданні консультацій і рекомендацій з питань застосування міжнародних стандартів захисту. На регіональному рівні, зокрема в межах Європейського Союзу, важливу роль у захисті прав біженців відіграє Загальноєвропейська система притулку (Common European Asylum System — CEAS), що включає низку нормативних актів, які гармонізують процедури надання притулку, стандарти прийому та визначення статусу біженців. Важливим інструментом є також Дублінський регламент, який визначає, яка держава-член відповідальна за розгляд заяви про надання притулку. Це сприяє більш ефективному управлінню міграційними потоками в межах ЄС та забезпеченню прав біженців згідно з європейськими стандартами.</w:t>
      </w:r>
    </w:p>
    <w:p w14:paraId="1919F4C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УВКБ ООН також займається розробкою програм підтримки для біженців, що включають правову допомогу та освіту. Особливе значення в міжнародно-правовому регулюванні статусу біженців мають механізми репатріації, інтеграції в країнах притулку та переселення в треті країни. Кожен із цих механізмів має специфічні правила та процедури, визначені міжнародними угодами, які країни погодилися виконувати в рамках своїх зобов'язань щодо біженців.</w:t>
      </w:r>
    </w:p>
    <w:p w14:paraId="13CFD8E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Обов'язки держав у сфері захисту біженців охоплюють не лише їхню фізичну безпеку, але й гарантування доступу до основних прав і свобод, </w:t>
      </w:r>
      <w:r w:rsidRPr="00511005">
        <w:rPr>
          <w:rFonts w:ascii="Arial" w:eastAsia="Times New Roman" w:hAnsi="Arial" w:cs="Arial"/>
          <w:szCs w:val="28"/>
          <w:lang w:eastAsia="ru-RU"/>
        </w:rPr>
        <w:lastRenderedPageBreak/>
        <w:t>включаючи освіту, медичну допомогу, можливість працевлаштування та соціальні гарантії. Це узгоджується з фундаментальними принципами міжнародного публічного права, яке прагне забезпечити гідні умови життя для осіб, змушених залишити свою країну. На думку Грушко Мальвіни Валеріївни, профспілки відіграють ключову роль у захисті трудових прав вимушених переселенців, забезпечуючи їм соціальні гарантії та правову підтримку в умовах зростаючих міграційних викликів.[4]</w:t>
      </w:r>
    </w:p>
    <w:p w14:paraId="27C1A7C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Суттєвим є й питання правового статусу біженців на рівні окремих держав. Законодавство багатьох країн передбачає механізми визначення відповідності особи статусу біженця та пропонує правові засоби захисту. Однак інколи виникають проблеми через невідповідність національних законів міжнародним стандартам, що може ускладнювати процес надання притулку. </w:t>
      </w:r>
    </w:p>
    <w:p w14:paraId="4B4E798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Міжнародне співробітництво між державами надзвичайно важливе для ефективного захисту прав біженців. Для цього країни мають розробляти спільні програми допомоги й підтримки, створювати механізми для співпраці з міжнародними організаціями та забезпечувати виконання своїх міжнародних зобов’язань стосовно прав біженців. </w:t>
      </w:r>
    </w:p>
    <w:p w14:paraId="1C98E9A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 рівні міжнародних відносин, стратегія інтеграції біженців у приймаючі країни є вирішальною для довгострокового захисту їхніх прав. Уряди можуть впроваджувати програми, які допомагають біженцям адаптуватися до нових умов життя та сприяють їхній економічній і соціальній інтеграції. </w:t>
      </w:r>
    </w:p>
    <w:p w14:paraId="3148EC6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Успішний захист прав біженців неможливий без участі громадянського суспільства. Місцеві неурядові організації та волонтери, що працюють із біженцями, виконують важливу роль у наданні допомоги та контролі за реалізацією їхніх прав. Вони можуть бути посередниками між біженцями та урядовими організаціями, надаючи підтримку у питаннях прав людини.</w:t>
      </w:r>
    </w:p>
    <w:p w14:paraId="55A14C5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міжнародне публічне право відіграє значну роль у забезпеченні прав біженців, але необхідна активніша співпраця між державами в цьому напрямку. Тільки через скоординовану та ефективну взаємодію можливий поступ у питанні захисту тих, хто шукає притулок від переслідувань, воєн та інших загроз.</w:t>
      </w:r>
    </w:p>
    <w:p w14:paraId="27FA45D4" w14:textId="64E7936E"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47558D8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1. Конвенція про статус біженців 1951 року. </w:t>
      </w:r>
      <w:r w:rsidRPr="00511005">
        <w:rPr>
          <w:rFonts w:ascii="Arial" w:eastAsia="Times New Roman" w:hAnsi="Arial" w:cs="Arial"/>
          <w:i/>
          <w:iCs/>
          <w:szCs w:val="28"/>
          <w:lang w:eastAsia="ru-RU"/>
        </w:rPr>
        <w:t>Офіційний вебпортал парламенту України</w:t>
      </w:r>
      <w:r w:rsidRPr="00511005">
        <w:rPr>
          <w:rFonts w:ascii="Arial" w:eastAsia="Times New Roman" w:hAnsi="Arial" w:cs="Arial"/>
          <w:szCs w:val="28"/>
          <w:lang w:eastAsia="ru-RU"/>
        </w:rPr>
        <w:t>. URL: </w:t>
      </w:r>
      <w:hyperlink r:id="rId354" w:tgtFrame="_blank" w:history="1">
        <w:r w:rsidRPr="00511005">
          <w:rPr>
            <w:rFonts w:ascii="Arial" w:eastAsia="Times New Roman" w:hAnsi="Arial" w:cs="Arial"/>
            <w:szCs w:val="28"/>
            <w:lang w:eastAsia="ru-RU"/>
          </w:rPr>
          <w:t>https://zakon.rada.gov.ua/laws/show/995_011</w:t>
        </w:r>
      </w:hyperlink>
      <w:r w:rsidRPr="00511005">
        <w:rPr>
          <w:rFonts w:ascii="Arial" w:eastAsia="Times New Roman" w:hAnsi="Arial" w:cs="Arial"/>
          <w:szCs w:val="28"/>
          <w:lang w:eastAsia="ru-RU"/>
        </w:rPr>
        <w:t>(дата звернення: 19.04.2025).</w:t>
      </w:r>
    </w:p>
    <w:p w14:paraId="3823B17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2. Протокол щодо статусу біженців. </w:t>
      </w:r>
      <w:r w:rsidRPr="00511005">
        <w:rPr>
          <w:rFonts w:ascii="Arial" w:eastAsia="Times New Roman" w:hAnsi="Arial" w:cs="Arial"/>
          <w:i/>
          <w:iCs/>
          <w:szCs w:val="28"/>
          <w:lang w:eastAsia="ru-RU"/>
        </w:rPr>
        <w:t>ІПС ЛІГА:ЗАКОН - система пошуку, аналізу та моніторингу нормативно-правової бази.</w:t>
      </w:r>
      <w:r w:rsidRPr="00511005">
        <w:rPr>
          <w:rFonts w:ascii="Arial" w:eastAsia="Times New Roman" w:hAnsi="Arial" w:cs="Arial"/>
          <w:szCs w:val="28"/>
          <w:lang w:eastAsia="ru-RU"/>
        </w:rPr>
        <w:t>URL: </w:t>
      </w:r>
      <w:hyperlink r:id="rId355" w:tgtFrame="_blank" w:history="1">
        <w:r w:rsidRPr="00511005">
          <w:rPr>
            <w:rFonts w:ascii="Arial" w:eastAsia="Times New Roman" w:hAnsi="Arial" w:cs="Arial"/>
            <w:szCs w:val="28"/>
            <w:lang w:eastAsia="ru-RU"/>
          </w:rPr>
          <w:t>https://ips.ligazakon.net/document/MU67007</w:t>
        </w:r>
      </w:hyperlink>
      <w:r w:rsidRPr="00511005">
        <w:rPr>
          <w:rFonts w:ascii="Arial" w:eastAsia="Times New Roman" w:hAnsi="Arial" w:cs="Arial"/>
          <w:szCs w:val="28"/>
          <w:lang w:eastAsia="ru-RU"/>
        </w:rPr>
        <w:t>(дата звернення: 19.04.2025).</w:t>
      </w:r>
    </w:p>
    <w:p w14:paraId="4C5BDCE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en-US" w:eastAsia="ru-RU"/>
        </w:rPr>
        <w:lastRenderedPageBreak/>
        <w:t xml:space="preserve">3. </w:t>
      </w:r>
      <w:r w:rsidRPr="00511005">
        <w:rPr>
          <w:rFonts w:ascii="Arial" w:eastAsia="Times New Roman" w:hAnsi="Arial" w:cs="Arial"/>
          <w:szCs w:val="28"/>
          <w:lang w:eastAsia="ru-RU"/>
        </w:rPr>
        <w:t>Головна</w:t>
      </w:r>
      <w:r w:rsidRPr="00511005">
        <w:rPr>
          <w:rFonts w:ascii="Arial" w:eastAsia="Times New Roman" w:hAnsi="Arial" w:cs="Arial"/>
          <w:szCs w:val="28"/>
          <w:lang w:val="en-US" w:eastAsia="ru-RU"/>
        </w:rPr>
        <w:t>. </w:t>
      </w:r>
      <w:r w:rsidRPr="00511005">
        <w:rPr>
          <w:rFonts w:ascii="Arial" w:eastAsia="Times New Roman" w:hAnsi="Arial" w:cs="Arial"/>
          <w:i/>
          <w:iCs/>
          <w:szCs w:val="28"/>
          <w:lang w:val="en-US" w:eastAsia="ru-RU"/>
        </w:rPr>
        <w:t>UNHCR - The UN Refugee Agency</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URL: </w:t>
      </w:r>
      <w:hyperlink r:id="rId356" w:tgtFrame="_blank" w:history="1">
        <w:r w:rsidRPr="00511005">
          <w:rPr>
            <w:rFonts w:ascii="Arial" w:eastAsia="Times New Roman" w:hAnsi="Arial" w:cs="Arial"/>
            <w:szCs w:val="28"/>
            <w:lang w:eastAsia="ru-RU"/>
          </w:rPr>
          <w:t>https://www.unhcr.org/ua/</w:t>
        </w:r>
      </w:hyperlink>
      <w:r w:rsidRPr="00511005">
        <w:rPr>
          <w:rFonts w:ascii="Arial" w:eastAsia="Times New Roman" w:hAnsi="Arial" w:cs="Arial"/>
          <w:szCs w:val="28"/>
          <w:lang w:eastAsia="ru-RU"/>
        </w:rPr>
        <w:t>(дата звернення: 19.04.2025).</w:t>
      </w:r>
    </w:p>
    <w:p w14:paraId="7B364602"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eastAsia="ru-RU"/>
        </w:rPr>
        <w:t>4. Грушко М. Профспілки як ефективний інструмент захисту трудових прав вимушених переселенців: міжнародно-правовий аспект</w:t>
      </w:r>
      <w:r w:rsidRPr="00511005">
        <w:rPr>
          <w:rFonts w:ascii="Arial" w:eastAsia="MS Mincho" w:hAnsi="Arial" w:cs="Arial"/>
          <w:szCs w:val="28"/>
          <w:lang w:eastAsia="ru-RU"/>
        </w:rPr>
        <w:t>‬</w:t>
      </w:r>
      <w:r w:rsidRPr="00511005">
        <w:rPr>
          <w:rFonts w:ascii="Arial" w:eastAsia="Times New Roman" w:hAnsi="Arial" w:cs="Arial"/>
          <w:szCs w:val="28"/>
          <w:lang w:eastAsia="ru-RU"/>
        </w:rPr>
        <w:t>. </w:t>
      </w:r>
      <w:r w:rsidRPr="00511005">
        <w:rPr>
          <w:rFonts w:ascii="Arial" w:eastAsia="Times New Roman" w:hAnsi="Arial" w:cs="Arial"/>
          <w:i/>
          <w:iCs/>
          <w:szCs w:val="28"/>
          <w:lang w:val="en-US" w:eastAsia="ru-RU"/>
        </w:rPr>
        <w:t>Google Scholar</w:t>
      </w:r>
      <w:r w:rsidRPr="00511005">
        <w:rPr>
          <w:rFonts w:ascii="Arial" w:eastAsia="Times New Roman" w:hAnsi="Arial" w:cs="Arial"/>
          <w:szCs w:val="28"/>
          <w:lang w:val="en-US" w:eastAsia="ru-RU"/>
        </w:rPr>
        <w:t>. URL: </w:t>
      </w:r>
      <w:hyperlink r:id="rId357" w:tgtFrame="_blank" w:history="1">
        <w:r w:rsidRPr="00511005">
          <w:rPr>
            <w:rFonts w:ascii="Arial" w:eastAsia="Times New Roman" w:hAnsi="Arial" w:cs="Arial"/>
            <w:szCs w:val="28"/>
            <w:lang w:val="en-US" w:eastAsia="ru-RU"/>
          </w:rPr>
          <w:t>https://scholar.google.com.ua/citations?view_op=view_citation&amp;amp;hl=ru&amp;amp;user=x32TPd0AAAAJ&amp;amp;cstart=20&amp;amp;pagesize=80&amp;amp;citation_for_view=x32TPd0AAAAJ:HoB7MX3m0LUC</w:t>
        </w:r>
      </w:hyperlink>
      <w:r w:rsidRPr="00511005">
        <w:rPr>
          <w:rFonts w:ascii="Arial" w:eastAsia="Times New Roman" w:hAnsi="Arial" w:cs="Arial"/>
          <w:szCs w:val="28"/>
          <w:lang w:val="en-US" w:eastAsia="ru-RU"/>
        </w:rPr>
        <w:t>(</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19.04.2025).</w:t>
      </w:r>
      <w:r w:rsidRPr="00511005">
        <w:rPr>
          <w:rFonts w:ascii="Arial" w:eastAsia="MS Mincho" w:hAnsi="Arial" w:cs="Arial"/>
          <w:szCs w:val="28"/>
          <w:lang w:val="en-US" w:eastAsia="ru-RU"/>
        </w:rPr>
        <w:t>‬</w:t>
      </w:r>
      <w:r w:rsidRPr="00511005">
        <w:rPr>
          <w:rFonts w:ascii="Arial" w:eastAsia="MS Mincho" w:hAnsi="Arial" w:cs="Arial"/>
          <w:szCs w:val="28"/>
          <w:lang w:val="en-US" w:eastAsia="ru-RU"/>
        </w:rPr>
        <w:t>‬</w:t>
      </w:r>
      <w:r w:rsidRPr="00511005">
        <w:rPr>
          <w:rFonts w:ascii="Arial" w:eastAsia="MS Mincho" w:hAnsi="Arial" w:cs="Arial"/>
          <w:szCs w:val="28"/>
          <w:lang w:val="en-US" w:eastAsia="ru-RU"/>
        </w:rPr>
        <w:t>‬</w:t>
      </w:r>
      <w:r w:rsidRPr="00511005">
        <w:rPr>
          <w:rFonts w:ascii="Arial" w:eastAsia="MS Mincho" w:hAnsi="Arial" w:cs="Arial"/>
          <w:szCs w:val="28"/>
          <w:lang w:val="en-US" w:eastAsia="ru-RU"/>
        </w:rPr>
        <w:t>‬</w:t>
      </w:r>
    </w:p>
    <w:p w14:paraId="6C28AE7D" w14:textId="6D709D95"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Міжнародне право, статус біженців, механізми захисту, зобов’язання держав, міжнародна охорона, права людини, Женевська конвенція.</w:t>
      </w:r>
    </w:p>
    <w:p w14:paraId="6FBAE3AC" w14:textId="629396ED" w:rsidR="00220D3E" w:rsidRPr="00511005" w:rsidRDefault="007B2628" w:rsidP="003A292D">
      <w:pPr>
        <w:tabs>
          <w:tab w:val="left" w:pos="709"/>
        </w:tabs>
        <w:spacing w:line="264" w:lineRule="auto"/>
        <w:rPr>
          <w:rFonts w:ascii="Arial" w:eastAsia="Times New Roman" w:hAnsi="Arial" w:cs="Arial"/>
          <w:b/>
          <w:bCs/>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International law, refugee status, protection mechanisms, state obligations, international protection, human rights, Geneva Convention.</w:t>
      </w:r>
    </w:p>
    <w:p w14:paraId="6FBD3DD5" w14:textId="4EDFC77C"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eastAsia="ru-RU"/>
        </w:rPr>
        <w:t>к.ю.н., доцент Грушко М.В.</w:t>
      </w:r>
    </w:p>
    <w:p w14:paraId="49FA1A6D"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p>
    <w:p w14:paraId="1AD49FCA"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eastAsia="ru-RU"/>
        </w:rPr>
        <w:t xml:space="preserve">Суйчимезова Вікторія, </w:t>
      </w:r>
    </w:p>
    <w:p w14:paraId="6A02DA34"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 xml:space="preserve">Завальнюк Анастасія </w:t>
      </w:r>
    </w:p>
    <w:p w14:paraId="0A79E438" w14:textId="21457E48" w:rsidR="00220D3E" w:rsidRPr="00511005" w:rsidRDefault="00220D3E"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val="uk-UA" w:eastAsia="ru-RU"/>
        </w:rPr>
        <w:t>с</w:t>
      </w:r>
      <w:r w:rsidRPr="00511005">
        <w:rPr>
          <w:rFonts w:ascii="Arial" w:eastAsia="Times New Roman" w:hAnsi="Arial" w:cs="Arial"/>
          <w:szCs w:val="28"/>
          <w:lang w:eastAsia="ru-RU"/>
        </w:rPr>
        <w:t>тудентки 4-го курсу</w:t>
      </w:r>
      <w:r w:rsidR="007B2628" w:rsidRPr="00511005">
        <w:rPr>
          <w:rFonts w:ascii="Arial" w:eastAsia="Times New Roman" w:hAnsi="Arial" w:cs="Arial"/>
          <w:szCs w:val="28"/>
          <w:lang w:eastAsia="ru-RU"/>
        </w:rPr>
        <w:t xml:space="preserve"> </w:t>
      </w:r>
      <w:r w:rsidR="001B7B25" w:rsidRPr="00511005">
        <w:rPr>
          <w:rFonts w:ascii="Arial" w:eastAsia="Times New Roman" w:hAnsi="Arial" w:cs="Arial"/>
          <w:szCs w:val="28"/>
          <w:lang w:eastAsia="ru-RU"/>
        </w:rPr>
        <w:t>факультету судового та міжнародного права</w:t>
      </w:r>
    </w:p>
    <w:p w14:paraId="0134FE55" w14:textId="63A0B8D4"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t>Національного університету «Одеська юридична академія»</w:t>
      </w:r>
    </w:p>
    <w:p w14:paraId="690DA904" w14:textId="77777777" w:rsidR="00220D3E" w:rsidRPr="00511005" w:rsidRDefault="00220D3E" w:rsidP="003A292D">
      <w:pPr>
        <w:tabs>
          <w:tab w:val="left" w:pos="709"/>
        </w:tabs>
        <w:spacing w:line="264" w:lineRule="auto"/>
        <w:ind w:firstLine="0"/>
        <w:jc w:val="center"/>
        <w:rPr>
          <w:rFonts w:ascii="Arial" w:eastAsia="Times New Roman" w:hAnsi="Arial" w:cs="Arial"/>
          <w:i/>
          <w:szCs w:val="28"/>
          <w:lang w:val="uk-UA" w:eastAsia="ru-RU"/>
        </w:rPr>
      </w:pPr>
    </w:p>
    <w:p w14:paraId="4C19E9C0"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eastAsia="ru-RU"/>
        </w:rPr>
        <w:t>СТАТТЯ 5 ЄКПЛ: МЕХАНІЗМИ ЗАХИСТУ ПРАВА НА СВОБОДУ ТА ОСОБИСТУ НЕДОТОРКАННІСТЬ</w:t>
      </w:r>
    </w:p>
    <w:bookmarkEnd w:id="39"/>
    <w:p w14:paraId="1929544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Права людини, закріплені в міжнародних актах, є фундаментальною основою демократичного суспільства. Одним із ключових прав, яке має вирішальне значення для забезпечення людської гідності, є право на свободу та особисту недоторканність. Саме це право отримало закріплення у статті 5 Європейської конвенції з прав людини (далі - ЄКПЛ), що виступає своєрідним гарантом від свавільного втручання держави у приватне життя особи. Механізми захисту, передбачені статтею 5 </w:t>
      </w:r>
      <w:bookmarkStart w:id="40" w:name="_Hlk196582598"/>
      <w:r w:rsidRPr="00511005">
        <w:rPr>
          <w:rFonts w:ascii="Arial" w:eastAsia="Times New Roman" w:hAnsi="Arial" w:cs="Arial"/>
          <w:szCs w:val="28"/>
          <w:lang w:eastAsia="ru-RU"/>
        </w:rPr>
        <w:t>ЄКПЛ</w:t>
      </w:r>
      <w:bookmarkEnd w:id="40"/>
      <w:r w:rsidRPr="00511005">
        <w:rPr>
          <w:rFonts w:ascii="Arial" w:eastAsia="Times New Roman" w:hAnsi="Arial" w:cs="Arial"/>
          <w:szCs w:val="28"/>
          <w:lang w:eastAsia="ru-RU"/>
        </w:rPr>
        <w:t>, покликані не лише визначати допустимі межі втручання держави, але й створювати ефективні гарантії для запобігання порушенням [1].</w:t>
      </w:r>
    </w:p>
    <w:p w14:paraId="6191EB7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Варто почати з того, що пункт 2 статті 5 ЄКПЛ підлягає автономному тлумаченню, виходячи з основної мети статті 5 — захисту осіб від свавільного позбавлення свободи. Термін «арешт» охоплює не лише класичні кримінально-правові заходи, а також інші форми обмеження свободи, включаючи утримання іноземців із метою екстрадиції, розміщення осіб для надання медичної допомоги та повторне затримання після умовного звільнення. У рішенні у справі «Van der Leer проти Нідерландів» (1990) Суд підтвердив, що поняття арешту має тлумачитися широко, аби не допустити звуження сфери гарантій Конвенції [2].</w:t>
      </w:r>
    </w:p>
    <w:p w14:paraId="3604559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Основне завдання пункту 2 статті 5 полягає у забезпеченні права кожної затриманої особи на своєчасне інформування про підстави </w:t>
      </w:r>
      <w:r w:rsidRPr="00511005">
        <w:rPr>
          <w:rFonts w:ascii="Arial" w:eastAsia="Times New Roman" w:hAnsi="Arial" w:cs="Arial"/>
          <w:szCs w:val="28"/>
          <w:lang w:eastAsia="ru-RU"/>
        </w:rPr>
        <w:lastRenderedPageBreak/>
        <w:t xml:space="preserve">обмеження її свободи. Інформування про підстави арешту відповідно </w:t>
      </w:r>
      <w:proofErr w:type="gramStart"/>
      <w:r w:rsidRPr="00511005">
        <w:rPr>
          <w:rFonts w:ascii="Arial" w:eastAsia="Times New Roman" w:hAnsi="Arial" w:cs="Arial"/>
          <w:szCs w:val="28"/>
          <w:lang w:eastAsia="ru-RU"/>
        </w:rPr>
        <w:t>до пункту</w:t>
      </w:r>
      <w:proofErr w:type="gramEnd"/>
      <w:r w:rsidRPr="00511005">
        <w:rPr>
          <w:rFonts w:ascii="Arial" w:eastAsia="Times New Roman" w:hAnsi="Arial" w:cs="Arial"/>
          <w:szCs w:val="28"/>
          <w:lang w:eastAsia="ru-RU"/>
        </w:rPr>
        <w:t xml:space="preserve"> 2 статті 5 ЄКПЛ має здійснюватися невідкладно після затримання особи. Вимога негайності означає, що повідомлення має бути здійснене у максимально короткий строк, протягом декількох годин, залежно від обставин конкретної справи, що дозволяє затриманій особі оперативно скористатися своїм правом на оскарження законності обмеження свободи. Спосіб інформування не є суворо регламентованим: підстави арешту можуть бути повідомлені як усно, так і письмово, у ході допиту чи через ознайомлення з офіційними документами. Проте незалежно від форми повідомлення воно повинно бути чітким, зрозумілим і доступним для сприйняття затриманою особою. Особливу увагу слід приділяти ситуаціям, коли йдеться про осіб із психічними або когнітивними порушеннями, де інформування має здійснюватися через представників. Якщо затриманий не володіє мовою провадження, держава зобов'язана забезпечити переклад повідомлення, аби гарантувати реальне розуміння підстав арешту, а невиконання цих вимог може бути кваліфіковане як порушення права на свободу та особисту недоторканність.</w:t>
      </w:r>
    </w:p>
    <w:p w14:paraId="5F5404E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Прикладом практичного застосування вимог пункту 2 статті 5 ЄКПЛ є справа «Fox, Campbell і Hartley проти Сполученого Королівства» (1990). У цій справі трьох заявників було заарештовано за підозрою у причетності до терористичної діяльності. Однак під час арешту їм не надали достатньо конкретної інформації про підстави затримання. Європейський суд з прав людини встановив, що простого посилання на підозру у терористичній діяльності недостатньо для виконання вимог статті 5 § 2, оскільки заарештовані мають бути поінформовані про фактичні підстави їх затримання у доступній та зрозумілій формі. Суд наголосив, що лише тоді особа має реальну можливість скористатися своїм правом на оскарження арешту в </w:t>
      </w:r>
      <w:proofErr w:type="gramStart"/>
      <w:r w:rsidRPr="00511005">
        <w:rPr>
          <w:rFonts w:ascii="Arial" w:eastAsia="Times New Roman" w:hAnsi="Arial" w:cs="Arial"/>
          <w:szCs w:val="28"/>
          <w:lang w:eastAsia="ru-RU"/>
        </w:rPr>
        <w:t>суді[</w:t>
      </w:r>
      <w:proofErr w:type="gramEnd"/>
      <w:r w:rsidRPr="00511005">
        <w:rPr>
          <w:rFonts w:ascii="Arial" w:eastAsia="Times New Roman" w:hAnsi="Arial" w:cs="Arial"/>
          <w:szCs w:val="28"/>
          <w:lang w:eastAsia="ru-RU"/>
        </w:rPr>
        <w:t>4].</w:t>
      </w:r>
    </w:p>
    <w:p w14:paraId="354DE31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Відповідно </w:t>
      </w:r>
      <w:proofErr w:type="gramStart"/>
      <w:r w:rsidRPr="00511005">
        <w:rPr>
          <w:rFonts w:ascii="Arial" w:eastAsia="Times New Roman" w:hAnsi="Arial" w:cs="Arial"/>
          <w:szCs w:val="28"/>
          <w:lang w:eastAsia="ru-RU"/>
        </w:rPr>
        <w:t>до пункту</w:t>
      </w:r>
      <w:proofErr w:type="gramEnd"/>
      <w:r w:rsidRPr="00511005">
        <w:rPr>
          <w:rFonts w:ascii="Arial" w:eastAsia="Times New Roman" w:hAnsi="Arial" w:cs="Arial"/>
          <w:szCs w:val="28"/>
          <w:lang w:eastAsia="ru-RU"/>
        </w:rPr>
        <w:t xml:space="preserve"> 3 статті 5 ЄКПЛ, кожна особа, яка була заарештована за підозрою у вчиненні правопорушення, має право на розгляд своєї справи судом упродовж розумного строку або на звільнення під час провадження.</w:t>
      </w:r>
    </w:p>
    <w:p w14:paraId="080DF83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Також важливо підкреслити, що особа </w:t>
      </w:r>
      <w:proofErr w:type="gramStart"/>
      <w:r w:rsidRPr="00511005">
        <w:rPr>
          <w:rFonts w:ascii="Arial" w:eastAsia="Times New Roman" w:hAnsi="Arial" w:cs="Arial"/>
          <w:szCs w:val="28"/>
          <w:lang w:eastAsia="ru-RU"/>
        </w:rPr>
        <w:t>до моменту</w:t>
      </w:r>
      <w:proofErr w:type="gramEnd"/>
      <w:r w:rsidRPr="00511005">
        <w:rPr>
          <w:rFonts w:ascii="Arial" w:eastAsia="Times New Roman" w:hAnsi="Arial" w:cs="Arial"/>
          <w:szCs w:val="28"/>
          <w:lang w:eastAsia="ru-RU"/>
        </w:rPr>
        <w:t xml:space="preserve"> винесення вироку вважається невинуватою, відповідно до принципу презумпції невинуватості. Мета пункту 3 статті 5 полягає передусім в тому щоб тримання під вартою не перетворилося на покарання до вироку. Однак питання про розумність строку тримання вирішується залежно від обставин кожної конкретної справи.</w:t>
      </w:r>
    </w:p>
    <w:p w14:paraId="1AF94B4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Доцільно було б зазначити, що продовження тримання особи під вартою має ґрунтуватися на конкретних фактичних обставинах справи та бути виправданим реальними ризиками, які не можуть бути зведені до загальних припущень, оскільки саме такий підхід забезпечує баланс між </w:t>
      </w:r>
      <w:r w:rsidRPr="00511005">
        <w:rPr>
          <w:rFonts w:ascii="Arial" w:eastAsia="Times New Roman" w:hAnsi="Arial" w:cs="Arial"/>
          <w:szCs w:val="28"/>
          <w:lang w:eastAsia="ru-RU"/>
        </w:rPr>
        <w:lastRenderedPageBreak/>
        <w:t>правами обвинуваченого та інтересами суспільства.</w:t>
      </w:r>
      <w:r w:rsidRPr="00511005">
        <w:rPr>
          <w:rFonts w:ascii="Arial" w:eastAsia="Times New Roman" w:hAnsi="Arial" w:cs="Arial"/>
          <w:szCs w:val="28"/>
          <w:shd w:val="clear" w:color="auto" w:fill="FFFFFF"/>
          <w:lang w:eastAsia="ru-RU"/>
        </w:rPr>
        <w:t xml:space="preserve"> Ось наприклад, </w:t>
      </w:r>
      <w:r w:rsidRPr="00511005">
        <w:rPr>
          <w:rFonts w:ascii="Arial" w:eastAsia="Times New Roman" w:hAnsi="Arial" w:cs="Arial"/>
          <w:szCs w:val="28"/>
          <w:lang w:eastAsia="ru-RU"/>
        </w:rPr>
        <w:t>Європейський суд з прав людини у справі «Грубник проти України» наголосив, що тривале тримання під вартою має бути обґрунтованим конкретними обставинами справи та існуванням справжнього суспільного інтересу, який переважає принцип поваги до особистої свободи. Будь-яка система обов’язкового тримання під вартою є несумісною з пунктом 3 статті 5 Конвенції [3].</w:t>
      </w:r>
    </w:p>
    <w:p w14:paraId="68C993B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слід зазначити, стаття 5 ЄКПЛ у своїй сукупності є потужним інструментом захисту особи від свавільного позбавлення свободи, вимагаючи від держав не лише чіткого визначення підстав для арешту та негайного інформування затриманих про них у доступній формі, як це підкреслюється практикою ЄСПЛ у справах «Van der Leer» та «Fox, Campbell і Hartley», але й забезпечення права на судовий розгляд протягом розумного строку або звільнення, що запобігає перетворенню тримання під вартою на покарання до вироку, як ілюструє справа «Грубник проти України»; таким чином, неухильне дотримання та ефективне застосування положень статті 5 є фундаментальною умовою для забезпечення верховенства права та гідності особи в демократичному суспільстві [2].</w:t>
      </w:r>
    </w:p>
    <w:p w14:paraId="1834EB23"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412D69C4" w14:textId="4DC9FF62" w:rsidR="00220D3E" w:rsidRPr="00511005" w:rsidRDefault="007B2628" w:rsidP="007B2628">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063F6C0F" w14:textId="77777777" w:rsidR="00220D3E" w:rsidRPr="00511005" w:rsidRDefault="00220D3E" w:rsidP="003F6A5D">
      <w:pPr>
        <w:numPr>
          <w:ilvl w:val="0"/>
          <w:numId w:val="11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Конвенція про захист прав людини і основоположних </w:t>
      </w:r>
      <w:proofErr w:type="gramStart"/>
      <w:r w:rsidRPr="00511005">
        <w:rPr>
          <w:rFonts w:ascii="Arial" w:eastAsia="Calibri" w:hAnsi="Arial" w:cs="Arial"/>
          <w:szCs w:val="28"/>
        </w:rPr>
        <w:t>свобод :</w:t>
      </w:r>
      <w:proofErr w:type="gramEnd"/>
      <w:r w:rsidRPr="00511005">
        <w:rPr>
          <w:rFonts w:ascii="Arial" w:eastAsia="Calibri" w:hAnsi="Arial" w:cs="Arial"/>
          <w:szCs w:val="28"/>
        </w:rPr>
        <w:t xml:space="preserve"> Конвенція Ради Європи від 04.11.1950 : станом на 1 серп. 2021 р. </w:t>
      </w:r>
      <w:bookmarkStart w:id="41" w:name="_Hlk196584447"/>
      <w:r w:rsidRPr="00511005">
        <w:rPr>
          <w:rFonts w:ascii="Arial" w:eastAsia="Calibri" w:hAnsi="Arial" w:cs="Arial"/>
          <w:szCs w:val="28"/>
        </w:rPr>
        <w:t>URL: </w:t>
      </w:r>
      <w:hyperlink r:id="rId358" w:anchor="Text" w:tgtFrame="_blank" w:history="1">
        <w:r w:rsidRPr="00511005">
          <w:rPr>
            <w:rFonts w:ascii="Arial" w:eastAsia="Calibri" w:hAnsi="Arial" w:cs="Arial"/>
            <w:szCs w:val="28"/>
          </w:rPr>
          <w:t>https://zakon.rada.gov.ua/laws/show/995_004#Text</w:t>
        </w:r>
      </w:hyperlink>
      <w:r w:rsidRPr="00511005">
        <w:rPr>
          <w:rFonts w:ascii="Arial" w:eastAsia="Calibri" w:hAnsi="Arial" w:cs="Arial"/>
          <w:szCs w:val="28"/>
        </w:rPr>
        <w:t> (дата звернення: 26.04.2025).</w:t>
      </w:r>
    </w:p>
    <w:bookmarkEnd w:id="41"/>
    <w:p w14:paraId="4A21257C" w14:textId="77777777" w:rsidR="00220D3E" w:rsidRPr="00511005" w:rsidRDefault="00220D3E" w:rsidP="003F6A5D">
      <w:pPr>
        <w:numPr>
          <w:ilvl w:val="0"/>
          <w:numId w:val="11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«Ван дер Леер проти Нідерландів» (Van der Leer v. the Netherlands), 21 лютого 1990 року, Серія A № 170-A URL: </w:t>
      </w:r>
      <w:hyperlink r:id="rId359" w:history="1">
        <w:r w:rsidRPr="00511005">
          <w:rPr>
            <w:rFonts w:ascii="Arial" w:eastAsia="Calibri" w:hAnsi="Arial" w:cs="Arial"/>
            <w:szCs w:val="28"/>
          </w:rPr>
          <w:t>https://hudoc.echr.coe.int/eng#{%22itemid%22:[%22001-57620%22]}</w:t>
        </w:r>
      </w:hyperlink>
      <w:r w:rsidRPr="00511005">
        <w:rPr>
          <w:rFonts w:ascii="Arial" w:eastAsia="Calibri" w:hAnsi="Arial" w:cs="Arial"/>
          <w:szCs w:val="28"/>
        </w:rPr>
        <w:t xml:space="preserve"> (дата звернення: 26.04.2025).</w:t>
      </w:r>
    </w:p>
    <w:p w14:paraId="74A7DC10" w14:textId="77777777" w:rsidR="00220D3E" w:rsidRPr="00511005" w:rsidRDefault="00220D3E" w:rsidP="003F6A5D">
      <w:pPr>
        <w:numPr>
          <w:ilvl w:val="0"/>
          <w:numId w:val="11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«Грубник проти України» (Grubnyk v. Ukraine), № 58444/15, 17 вересня 2020 року </w:t>
      </w:r>
      <w:bookmarkStart w:id="42" w:name="_Hlk196584569"/>
      <w:r w:rsidRPr="00511005">
        <w:rPr>
          <w:rFonts w:ascii="Arial" w:eastAsia="Calibri" w:hAnsi="Arial" w:cs="Arial"/>
          <w:szCs w:val="28"/>
        </w:rPr>
        <w:t xml:space="preserve">URL: </w:t>
      </w:r>
      <w:hyperlink r:id="rId360" w:history="1">
        <w:r w:rsidRPr="00511005">
          <w:rPr>
            <w:rFonts w:ascii="Arial" w:eastAsia="Calibri" w:hAnsi="Arial" w:cs="Arial"/>
            <w:szCs w:val="28"/>
          </w:rPr>
          <w:t>https://zakon.rada.gov.ua/laws/show/974_f52#Text</w:t>
        </w:r>
      </w:hyperlink>
      <w:r w:rsidRPr="00511005">
        <w:rPr>
          <w:rFonts w:ascii="Arial" w:eastAsia="Calibri" w:hAnsi="Arial" w:cs="Arial"/>
          <w:szCs w:val="28"/>
        </w:rPr>
        <w:t xml:space="preserve"> (дата звернення: 26.04.2025).</w:t>
      </w:r>
      <w:bookmarkEnd w:id="42"/>
    </w:p>
    <w:p w14:paraId="66B23FBB" w14:textId="77777777" w:rsidR="00220D3E" w:rsidRPr="00511005" w:rsidRDefault="00220D3E" w:rsidP="003F6A5D">
      <w:pPr>
        <w:numPr>
          <w:ilvl w:val="0"/>
          <w:numId w:val="11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«Фокс, Кемпбелл і Хартлі проти Сполученого Королівства» (Fox, Campbell and Hartley v. the United Kingdom), 30 серпня 1990, Серія A № 182 URL: </w:t>
      </w:r>
      <w:hyperlink r:id="rId361" w:history="1">
        <w:r w:rsidRPr="00511005">
          <w:rPr>
            <w:rFonts w:ascii="Arial" w:eastAsia="Calibri" w:hAnsi="Arial" w:cs="Arial"/>
            <w:szCs w:val="28"/>
          </w:rPr>
          <w:t>https://hudoc.echr.coe.int/eng#{%22itemid%22:[%22001-57721%22]}</w:t>
        </w:r>
      </w:hyperlink>
      <w:r w:rsidRPr="00511005">
        <w:rPr>
          <w:rFonts w:ascii="Arial" w:eastAsia="Calibri" w:hAnsi="Arial" w:cs="Arial"/>
          <w:szCs w:val="28"/>
        </w:rPr>
        <w:t xml:space="preserve"> (дата звернення: 26.04.2025).</w:t>
      </w:r>
    </w:p>
    <w:p w14:paraId="5F43D4C1" w14:textId="547C2FAF"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права людини, гарантія, захист, позбавлення волі, правові заходи, обмеження, обставини.</w:t>
      </w:r>
    </w:p>
    <w:p w14:paraId="4845D890" w14:textId="785AA814"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 xml:space="preserve">human rights, guarantee, protection, deprivation of liberty, legal measures, </w:t>
      </w:r>
      <w:proofErr w:type="gramStart"/>
      <w:r w:rsidR="00220D3E" w:rsidRPr="00511005">
        <w:rPr>
          <w:rFonts w:ascii="Arial" w:eastAsia="Times New Roman" w:hAnsi="Arial" w:cs="Arial"/>
          <w:szCs w:val="28"/>
          <w:lang w:val="en-US" w:eastAsia="ru-RU"/>
        </w:rPr>
        <w:t>restrictions,circumstances</w:t>
      </w:r>
      <w:proofErr w:type="gramEnd"/>
    </w:p>
    <w:p w14:paraId="3A91EE18" w14:textId="112B5ADB"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eastAsia="ru-RU"/>
        </w:rPr>
        <w:t>к.ю.н., доцент Дронов В.Ю.</w:t>
      </w:r>
    </w:p>
    <w:p w14:paraId="0B67EA23" w14:textId="77777777" w:rsidR="00220D3E" w:rsidRPr="00511005" w:rsidRDefault="00220D3E" w:rsidP="003A292D">
      <w:pPr>
        <w:tabs>
          <w:tab w:val="left" w:pos="709"/>
          <w:tab w:val="left" w:pos="2955"/>
          <w:tab w:val="center" w:pos="5170"/>
        </w:tabs>
        <w:spacing w:line="264" w:lineRule="auto"/>
        <w:jc w:val="left"/>
        <w:rPr>
          <w:rFonts w:ascii="Arial" w:eastAsia="Times New Roman" w:hAnsi="Arial" w:cs="Arial"/>
          <w:b/>
          <w:i/>
          <w:szCs w:val="28"/>
          <w:lang w:val="uk-UA" w:eastAsia="ru-RU"/>
        </w:rPr>
      </w:pPr>
      <w:r w:rsidRPr="00511005">
        <w:rPr>
          <w:rFonts w:ascii="Arial" w:eastAsia="Times New Roman" w:hAnsi="Arial" w:cs="Arial"/>
          <w:b/>
          <w:i/>
          <w:szCs w:val="28"/>
          <w:lang w:eastAsia="ru-RU"/>
        </w:rPr>
        <w:tab/>
      </w:r>
    </w:p>
    <w:p w14:paraId="2C8DE4E8" w14:textId="77777777" w:rsidR="00220D3E" w:rsidRPr="00511005" w:rsidRDefault="00220D3E" w:rsidP="003A292D">
      <w:pPr>
        <w:tabs>
          <w:tab w:val="left" w:pos="709"/>
          <w:tab w:val="left" w:pos="2955"/>
          <w:tab w:val="center" w:pos="5170"/>
        </w:tabs>
        <w:spacing w:line="264" w:lineRule="auto"/>
        <w:jc w:val="left"/>
        <w:rPr>
          <w:rFonts w:ascii="Arial" w:eastAsia="Times New Roman" w:hAnsi="Arial" w:cs="Arial"/>
          <w:b/>
          <w:i/>
          <w:szCs w:val="28"/>
          <w:lang w:eastAsia="ru-RU"/>
        </w:rPr>
      </w:pPr>
      <w:r w:rsidRPr="00511005">
        <w:rPr>
          <w:rFonts w:ascii="Arial" w:eastAsia="Times New Roman" w:hAnsi="Arial" w:cs="Arial"/>
          <w:b/>
          <w:i/>
          <w:szCs w:val="28"/>
          <w:lang w:eastAsia="ru-RU"/>
        </w:rPr>
        <w:tab/>
        <w:t>Загнітко Анна Валентинівна</w:t>
      </w:r>
    </w:p>
    <w:p w14:paraId="5A9367DB" w14:textId="295C9FF3"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студентка 4-го курсу </w:t>
      </w:r>
      <w:r w:rsidR="007B2628" w:rsidRPr="00511005">
        <w:rPr>
          <w:rFonts w:ascii="Arial" w:eastAsia="Times New Roman" w:hAnsi="Arial" w:cs="Arial"/>
          <w:szCs w:val="28"/>
          <w:lang w:eastAsia="ru-RU"/>
        </w:rPr>
        <w:t>факультету цивільної та господарської юстиції</w:t>
      </w:r>
    </w:p>
    <w:p w14:paraId="640412A6" w14:textId="2551FFD3"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B4C5F32" w14:textId="77777777" w:rsidR="00220D3E" w:rsidRPr="00511005" w:rsidRDefault="00220D3E" w:rsidP="003A292D">
      <w:pPr>
        <w:tabs>
          <w:tab w:val="left" w:pos="709"/>
        </w:tabs>
        <w:spacing w:line="264" w:lineRule="auto"/>
        <w:rPr>
          <w:rFonts w:ascii="Arial" w:eastAsia="Times New Roman" w:hAnsi="Arial" w:cs="Arial"/>
          <w:b/>
          <w:szCs w:val="28"/>
          <w:lang w:eastAsia="ru-RU"/>
        </w:rPr>
      </w:pPr>
    </w:p>
    <w:p w14:paraId="77C6DE40" w14:textId="77777777" w:rsidR="007B2628" w:rsidRPr="00511005" w:rsidRDefault="00220D3E" w:rsidP="003A292D">
      <w:pPr>
        <w:tabs>
          <w:tab w:val="left" w:pos="709"/>
        </w:tabs>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eastAsia="uk-UA"/>
        </w:rPr>
        <w:t xml:space="preserve">УНІФІКАЦІЯ ПРАВА МІЖНАРОДНОЇ ТОРГІВЛІ: ВПЛИВ ВІДЕНСЬКОЇ КОНВЕНЦІЇ 1980 РОКУ </w:t>
      </w:r>
    </w:p>
    <w:p w14:paraId="14EBB175" w14:textId="34E607D2"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У сучасних умовах глобалізації, міжнародна торгівля є одним із найважливіших чинників економічного розвитку держав. Водночас, ефективне функціонування міжнародних торговельних відносин неможливе без правової визначеності, передбачуваності та єдності підходів до регулювання зовнішньоекономічних договорів. Саме тому, особливого значення набуває уніфікація норм, які регулюють договір міжнародної купівлі-продажу товарів.</w:t>
      </w:r>
    </w:p>
    <w:p w14:paraId="31039186"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Віденська конвенція ООН 1980 року про договори міжнародної купівлі-продажу товарів (далі - Конвенція) стала першим справді універсальним правовим актом у сфері міжнародного торгового обороту [1]. Вона охоплює ключові аспекти укладання, виконання та відповідальності за порушення договору, сприяючи формуванню єдиного правового погляду для країн-учасниць [2].</w:t>
      </w:r>
    </w:p>
    <w:p w14:paraId="70F2881C"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Актуальність теми зумовлена як глобальним значенням Конвенції, так і практичними аспектами її застосування в Україні та світі. Під час інтерпретації положень Конвенції до національного законодавства, слід враховувати її міжнародний характер, а також необхідність забезпечення уніфікованого застосування її норм. Це зумовлює потребу у цілісному підході до тлумачення, з огляду на узгодженість правозастосування в різних правових системах [3].</w:t>
      </w:r>
    </w:p>
    <w:p w14:paraId="235C907C"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Другий розділ Конвенції присвячений регулюванню процесу укладення міжнародного договору купівлі-продажу. Зокрема, розглядаються питання направлення оферти, акцепту та моменту набуття договором чинності. Відповідно до статті 14 Конвенції, пропозиція вважається офертою за умови, якщо вона:</w:t>
      </w:r>
    </w:p>
    <w:p w14:paraId="311FB7B2" w14:textId="77777777" w:rsidR="00220D3E" w:rsidRPr="00511005" w:rsidRDefault="00220D3E" w:rsidP="003F6A5D">
      <w:pPr>
        <w:numPr>
          <w:ilvl w:val="0"/>
          <w:numId w:val="192"/>
        </w:numPr>
        <w:tabs>
          <w:tab w:val="clear" w:pos="720"/>
          <w:tab w:val="left" w:pos="709"/>
        </w:tabs>
        <w:spacing w:line="264" w:lineRule="auto"/>
        <w:ind w:left="0" w:firstLine="709"/>
        <w:jc w:val="left"/>
        <w:rPr>
          <w:rFonts w:ascii="Arial" w:eastAsia="Times New Roman" w:hAnsi="Arial" w:cs="Arial"/>
          <w:szCs w:val="28"/>
          <w:lang w:eastAsia="uk-UA"/>
        </w:rPr>
      </w:pPr>
      <w:r w:rsidRPr="00511005">
        <w:rPr>
          <w:rFonts w:ascii="Arial" w:eastAsia="Times New Roman" w:hAnsi="Arial" w:cs="Arial"/>
          <w:szCs w:val="28"/>
          <w:lang w:eastAsia="uk-UA"/>
        </w:rPr>
        <w:t>Адресована одній або кільком конкретним особам;</w:t>
      </w:r>
    </w:p>
    <w:p w14:paraId="28D6E88E" w14:textId="77777777" w:rsidR="00220D3E" w:rsidRPr="00511005" w:rsidRDefault="00220D3E" w:rsidP="003F6A5D">
      <w:pPr>
        <w:numPr>
          <w:ilvl w:val="0"/>
          <w:numId w:val="192"/>
        </w:numPr>
        <w:tabs>
          <w:tab w:val="clear" w:pos="720"/>
          <w:tab w:val="left" w:pos="709"/>
        </w:tabs>
        <w:spacing w:line="264" w:lineRule="auto"/>
        <w:ind w:left="0" w:firstLine="709"/>
        <w:jc w:val="left"/>
        <w:rPr>
          <w:rFonts w:ascii="Arial" w:eastAsia="Times New Roman" w:hAnsi="Arial" w:cs="Arial"/>
          <w:szCs w:val="28"/>
          <w:lang w:eastAsia="uk-UA"/>
        </w:rPr>
      </w:pPr>
      <w:r w:rsidRPr="00511005">
        <w:rPr>
          <w:rFonts w:ascii="Arial" w:eastAsia="Times New Roman" w:hAnsi="Arial" w:cs="Arial"/>
          <w:szCs w:val="28"/>
          <w:lang w:eastAsia="uk-UA"/>
        </w:rPr>
        <w:t>Є достатньо визначеною, тобто містить вказівку на товар, а також прямо або побічно визначає його кількість і ціну, або спосіб їх встановлення;</w:t>
      </w:r>
    </w:p>
    <w:p w14:paraId="57A44E99" w14:textId="77777777" w:rsidR="00220D3E" w:rsidRPr="00511005" w:rsidRDefault="00220D3E" w:rsidP="003F6A5D">
      <w:pPr>
        <w:numPr>
          <w:ilvl w:val="0"/>
          <w:numId w:val="192"/>
        </w:numPr>
        <w:tabs>
          <w:tab w:val="clear" w:pos="720"/>
          <w:tab w:val="left" w:pos="709"/>
        </w:tabs>
        <w:spacing w:line="264" w:lineRule="auto"/>
        <w:ind w:left="0" w:firstLine="709"/>
        <w:jc w:val="left"/>
        <w:rPr>
          <w:rFonts w:ascii="Arial" w:eastAsia="Times New Roman" w:hAnsi="Arial" w:cs="Arial"/>
          <w:szCs w:val="28"/>
          <w:lang w:eastAsia="uk-UA"/>
        </w:rPr>
      </w:pPr>
      <w:r w:rsidRPr="00511005">
        <w:rPr>
          <w:rFonts w:ascii="Arial" w:eastAsia="Times New Roman" w:hAnsi="Arial" w:cs="Arial"/>
          <w:szCs w:val="28"/>
          <w:lang w:eastAsia="uk-UA"/>
        </w:rPr>
        <w:t>Свідчить про намір оферента бути юридично зобов’язаним у разі акцепту.</w:t>
      </w:r>
    </w:p>
    <w:p w14:paraId="55683A91"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Конвенція також закріплює принцип "дзеркального акцепту" (ст. 19), згідно з яким прийняття пропозиції не повинно істотно змінювати її умов. До таких істотних умов належать, зокрема: ціна, порядок платежу, кількість і якість товару, місце і строки постачання, межі відповідальності сторін, а також порядок вирішення спорів. </w:t>
      </w:r>
    </w:p>
    <w:p w14:paraId="1A9BB79A"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lastRenderedPageBreak/>
        <w:t>Договір вважається укладеним з моменту отримання акцепту оферентом. Це положення є важливим у контексті розбіжностей між правовими системами, адже правова система континентального типу дотримуються так званої «теорії одержання», натомість англо-американська правова сім’я наближена до «теорії поштової скриньки», за якою акцепт набирає чинності з моменту його відправлення [4].</w:t>
      </w:r>
    </w:p>
    <w:p w14:paraId="62DF4A23"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У третьому розділі Конвенції визначаються обов’язки продавця і покупця, а також передбачаються механізми захисту прав сторін у разі порушення договірних зобов’язань.</w:t>
      </w:r>
    </w:p>
    <w:p w14:paraId="2B2C0D96"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Зокрема, регулюються питання:</w:t>
      </w:r>
    </w:p>
    <w:p w14:paraId="54120A68" w14:textId="77777777" w:rsidR="00220D3E" w:rsidRPr="00511005" w:rsidRDefault="00220D3E" w:rsidP="003F6A5D">
      <w:pPr>
        <w:numPr>
          <w:ilvl w:val="0"/>
          <w:numId w:val="193"/>
        </w:numPr>
        <w:tabs>
          <w:tab w:val="clear" w:pos="720"/>
          <w:tab w:val="left" w:pos="709"/>
        </w:tabs>
        <w:spacing w:line="264" w:lineRule="auto"/>
        <w:ind w:left="0" w:firstLine="709"/>
        <w:contextualSpacing/>
        <w:jc w:val="left"/>
        <w:rPr>
          <w:rFonts w:ascii="Arial" w:eastAsia="Calibri" w:hAnsi="Arial" w:cs="Arial"/>
          <w:szCs w:val="28"/>
          <w:lang w:eastAsia="uk-UA"/>
        </w:rPr>
      </w:pPr>
      <w:r w:rsidRPr="00511005">
        <w:rPr>
          <w:rFonts w:ascii="Arial" w:eastAsia="Calibri" w:hAnsi="Arial" w:cs="Arial"/>
          <w:szCs w:val="28"/>
          <w:lang w:eastAsia="uk-UA"/>
        </w:rPr>
        <w:t>Моменту переходу ризику від продавця до покупця;</w:t>
      </w:r>
    </w:p>
    <w:p w14:paraId="53262C98" w14:textId="77777777" w:rsidR="00220D3E" w:rsidRPr="00511005" w:rsidRDefault="00220D3E" w:rsidP="003F6A5D">
      <w:pPr>
        <w:numPr>
          <w:ilvl w:val="0"/>
          <w:numId w:val="193"/>
        </w:numPr>
        <w:tabs>
          <w:tab w:val="clear" w:pos="720"/>
          <w:tab w:val="left" w:pos="709"/>
        </w:tabs>
        <w:spacing w:line="264" w:lineRule="auto"/>
        <w:ind w:left="0" w:firstLine="709"/>
        <w:jc w:val="left"/>
        <w:rPr>
          <w:rFonts w:ascii="Arial" w:eastAsia="Times New Roman" w:hAnsi="Arial" w:cs="Arial"/>
          <w:szCs w:val="28"/>
          <w:lang w:eastAsia="uk-UA"/>
        </w:rPr>
      </w:pPr>
      <w:r w:rsidRPr="00511005">
        <w:rPr>
          <w:rFonts w:ascii="Arial" w:eastAsia="Times New Roman" w:hAnsi="Arial" w:cs="Arial"/>
          <w:szCs w:val="28"/>
          <w:lang w:eastAsia="uk-UA"/>
        </w:rPr>
        <w:t>Критеріїв істотного порушення договору;</w:t>
      </w:r>
    </w:p>
    <w:p w14:paraId="7A89A3DF" w14:textId="77777777" w:rsidR="00220D3E" w:rsidRPr="00511005" w:rsidRDefault="00220D3E" w:rsidP="003F6A5D">
      <w:pPr>
        <w:numPr>
          <w:ilvl w:val="0"/>
          <w:numId w:val="193"/>
        </w:numPr>
        <w:tabs>
          <w:tab w:val="clear" w:pos="720"/>
          <w:tab w:val="left" w:pos="709"/>
        </w:tabs>
        <w:spacing w:line="264" w:lineRule="auto"/>
        <w:ind w:left="0" w:firstLine="709"/>
        <w:jc w:val="left"/>
        <w:rPr>
          <w:rFonts w:ascii="Arial" w:eastAsia="Times New Roman" w:hAnsi="Arial" w:cs="Arial"/>
          <w:szCs w:val="28"/>
          <w:lang w:eastAsia="uk-UA"/>
        </w:rPr>
      </w:pPr>
      <w:r w:rsidRPr="00511005">
        <w:rPr>
          <w:rFonts w:ascii="Arial" w:eastAsia="Times New Roman" w:hAnsi="Arial" w:cs="Arial"/>
          <w:szCs w:val="28"/>
          <w:lang w:eastAsia="uk-UA"/>
        </w:rPr>
        <w:t>Порядку відшкодування збитків у разі невиконання або неналежного виконання зобов’язань;</w:t>
      </w:r>
    </w:p>
    <w:p w14:paraId="0D60AE5B" w14:textId="77777777" w:rsidR="00220D3E" w:rsidRPr="00511005" w:rsidRDefault="00220D3E" w:rsidP="003F6A5D">
      <w:pPr>
        <w:numPr>
          <w:ilvl w:val="0"/>
          <w:numId w:val="193"/>
        </w:numPr>
        <w:tabs>
          <w:tab w:val="clear" w:pos="720"/>
          <w:tab w:val="left" w:pos="709"/>
        </w:tabs>
        <w:spacing w:line="264" w:lineRule="auto"/>
        <w:ind w:left="0" w:firstLine="709"/>
        <w:jc w:val="left"/>
        <w:rPr>
          <w:rFonts w:ascii="Arial" w:eastAsia="Times New Roman" w:hAnsi="Arial" w:cs="Arial"/>
          <w:szCs w:val="28"/>
          <w:lang w:eastAsia="uk-UA"/>
        </w:rPr>
      </w:pPr>
      <w:r w:rsidRPr="00511005">
        <w:rPr>
          <w:rFonts w:ascii="Arial" w:eastAsia="Times New Roman" w:hAnsi="Arial" w:cs="Arial"/>
          <w:szCs w:val="28"/>
          <w:lang w:eastAsia="uk-UA"/>
        </w:rPr>
        <w:t>Умов звільнення від відповідальності;</w:t>
      </w:r>
    </w:p>
    <w:p w14:paraId="510D94C7" w14:textId="77777777" w:rsidR="00220D3E" w:rsidRPr="00511005" w:rsidRDefault="00220D3E" w:rsidP="003F6A5D">
      <w:pPr>
        <w:numPr>
          <w:ilvl w:val="0"/>
          <w:numId w:val="193"/>
        </w:numPr>
        <w:tabs>
          <w:tab w:val="clear" w:pos="720"/>
          <w:tab w:val="left" w:pos="709"/>
        </w:tabs>
        <w:spacing w:line="264" w:lineRule="auto"/>
        <w:ind w:left="0" w:firstLine="709"/>
        <w:jc w:val="left"/>
        <w:rPr>
          <w:rFonts w:ascii="Arial" w:eastAsia="Times New Roman" w:hAnsi="Arial" w:cs="Arial"/>
          <w:szCs w:val="28"/>
          <w:lang w:eastAsia="uk-UA"/>
        </w:rPr>
      </w:pPr>
      <w:r w:rsidRPr="00511005">
        <w:rPr>
          <w:rFonts w:ascii="Arial" w:eastAsia="Times New Roman" w:hAnsi="Arial" w:cs="Arial"/>
          <w:szCs w:val="28"/>
          <w:lang w:eastAsia="uk-UA"/>
        </w:rPr>
        <w:t>Правових наслідків розірвання договору.</w:t>
      </w:r>
    </w:p>
    <w:p w14:paraId="11116738"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У випадках, коли постає питання про застосування принципу реального виконання зобов’язань, відповідно до статті 28 Конвенції, застосовується право держави, суд якого розглядає справу. Таким чином, можливість винесення рішення про виконання зобов’язання в натурі залежить від того, чи допускається така міра відповідним національним законодавством.</w:t>
      </w:r>
    </w:p>
    <w:p w14:paraId="63B18969"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Важливим і досить суперечливим є стаття 55 Конвенції, згідно з якою - ціна не є обов’язковою умовою для укладення договору. Якщо ціна не визначена прямо чи опосередковано та відсутній погоджений порядок її встановлення, вважається, що сторони мали на увазі звичайну ціну, яка сплачувалась за аналогічні товари в порівнянних умовах у відповідній галузі торгівлі на момент укладення договору.</w:t>
      </w:r>
    </w:p>
    <w:p w14:paraId="2CF17895"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Конвенція передбачає інститут передбачуваного порушення зобов’язань (статті 71, 72), який є відсутнім у національному праві України. Порушення визнається передбачуваним у разі, якщо ще до настання строку виконання зобов’язань стає очевидним, що одна із сторін не виконає своїх істотних обов’язків. У такому випадку інша сторона має право тимчасово призупинити виконання власних зобов’язань або заявити про розірвання договору.</w:t>
      </w:r>
    </w:p>
    <w:p w14:paraId="46ABB423"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Таким чином, Віденська конвенція 1980 року є фундаментальним міжнародно-правовим актом, який суттєво вплинув на уніфікацію норм, що регулюють міжнародне регулювання договору купівлі-продажу товарів. Її значення полягає не лише в докладному врегулюванні ключових аспектів договірних відносин - таких як укладення договору, визначення обов’язків сторін, засобів правового захисту, - а й у створенні спільного правового простору, що сприяє розвитку міжнародної торгівлі.</w:t>
      </w:r>
    </w:p>
    <w:p w14:paraId="442A6B8C"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lastRenderedPageBreak/>
        <w:t>Конвенція враховує відмінності правових систем різних країн, забезпечуючи гнучкість у її застосуванні, що дозволяє уникати численних колізій на практиці. Її положення спрямовані на досягнення балансу між інтересами продавця та покупця, зменшення правової невизначеності та спрощення договірного процесу. Тому, враховуючи вищевикладене, Конвенція виконує важливу роль у забезпеченні стабільності й передбачуваності міжнародних комерційних відносин, що робить її незамінним інструментом у правовому регулюванні глобальної торгівлі.</w:t>
      </w:r>
    </w:p>
    <w:p w14:paraId="2A6CA29E" w14:textId="77777777" w:rsidR="00220D3E" w:rsidRPr="00511005" w:rsidRDefault="00220D3E" w:rsidP="003A292D">
      <w:pPr>
        <w:tabs>
          <w:tab w:val="left" w:pos="709"/>
        </w:tabs>
        <w:spacing w:line="264" w:lineRule="auto"/>
        <w:rPr>
          <w:rFonts w:ascii="Arial" w:eastAsia="Times New Roman" w:hAnsi="Arial" w:cs="Arial"/>
          <w:szCs w:val="28"/>
          <w:lang w:eastAsia="uk-UA"/>
        </w:rPr>
      </w:pPr>
    </w:p>
    <w:p w14:paraId="24A74930" w14:textId="00A418FA" w:rsidR="00220D3E" w:rsidRPr="00511005" w:rsidRDefault="007B2628" w:rsidP="007B2628">
      <w:pPr>
        <w:tabs>
          <w:tab w:val="left" w:pos="709"/>
        </w:tabs>
        <w:spacing w:line="264" w:lineRule="auto"/>
        <w:jc w:val="center"/>
        <w:rPr>
          <w:rFonts w:ascii="Arial" w:eastAsia="Times New Roman" w:hAnsi="Arial" w:cs="Arial"/>
          <w:b/>
          <w:szCs w:val="28"/>
          <w:lang w:eastAsia="uk-UA"/>
        </w:rPr>
      </w:pPr>
      <w:r w:rsidRPr="00511005">
        <w:rPr>
          <w:rFonts w:ascii="Arial" w:eastAsia="Times New Roman" w:hAnsi="Arial" w:cs="Arial"/>
          <w:b/>
          <w:szCs w:val="28"/>
          <w:lang w:val="uk-UA" w:eastAsia="uk-UA"/>
        </w:rPr>
        <w:t>Список використаних джерел</w:t>
      </w:r>
    </w:p>
    <w:p w14:paraId="69CE76D9" w14:textId="2BED871D" w:rsidR="001E775A" w:rsidRPr="00511005" w:rsidRDefault="001E775A" w:rsidP="003F6A5D">
      <w:pPr>
        <w:pStyle w:val="af0"/>
        <w:numPr>
          <w:ilvl w:val="0"/>
          <w:numId w:val="811"/>
        </w:numPr>
        <w:spacing w:line="264" w:lineRule="auto"/>
        <w:rPr>
          <w:rFonts w:ascii="Arial" w:eastAsia="Times New Roman" w:hAnsi="Arial" w:cs="Arial"/>
          <w:bCs/>
          <w:szCs w:val="28"/>
          <w:lang w:eastAsia="uk-UA"/>
        </w:rPr>
      </w:pPr>
      <w:r w:rsidRPr="00511005">
        <w:rPr>
          <w:rFonts w:ascii="Arial" w:eastAsia="Calibri" w:hAnsi="Arial" w:cs="Arial"/>
          <w:szCs w:val="28"/>
        </w:rPr>
        <w:t xml:space="preserve">Віденська Конвенція про право міжнародних договорів 1980 </w:t>
      </w:r>
      <w:r w:rsidRPr="00511005">
        <w:rPr>
          <w:rFonts w:ascii="Arial" w:eastAsia="Calibri" w:hAnsi="Arial" w:cs="Arial"/>
          <w:szCs w:val="28"/>
          <w:lang w:val="en-US" w:eastAsia="uk-UA"/>
        </w:rPr>
        <w:t>URL</w:t>
      </w:r>
      <w:r w:rsidRPr="00511005">
        <w:rPr>
          <w:rFonts w:ascii="Arial" w:eastAsia="Calibri" w:hAnsi="Arial" w:cs="Arial"/>
          <w:szCs w:val="28"/>
          <w:lang w:eastAsia="uk-UA"/>
        </w:rPr>
        <w:t xml:space="preserve">: </w:t>
      </w:r>
      <w:hyperlink r:id="rId362" w:anchor="Text" w:history="1">
        <w:r w:rsidRPr="00511005">
          <w:rPr>
            <w:rFonts w:ascii="Arial" w:eastAsia="Calibri" w:hAnsi="Arial" w:cs="Arial"/>
            <w:szCs w:val="28"/>
            <w:lang w:eastAsia="uk-UA"/>
          </w:rPr>
          <w:t>https://zakon.rada.gov.ua/laws/show/995_118#Text</w:t>
        </w:r>
      </w:hyperlink>
    </w:p>
    <w:p w14:paraId="52652565" w14:textId="6CFE335C" w:rsidR="001E775A" w:rsidRPr="00511005" w:rsidRDefault="001E775A" w:rsidP="003F6A5D">
      <w:pPr>
        <w:pStyle w:val="af0"/>
        <w:numPr>
          <w:ilvl w:val="0"/>
          <w:numId w:val="811"/>
        </w:numPr>
        <w:spacing w:line="264" w:lineRule="auto"/>
        <w:rPr>
          <w:rFonts w:ascii="Arial" w:eastAsia="Times New Roman" w:hAnsi="Arial" w:cs="Arial"/>
          <w:bCs/>
          <w:szCs w:val="28"/>
          <w:lang w:eastAsia="uk-UA"/>
        </w:rPr>
      </w:pPr>
      <w:r w:rsidRPr="00511005">
        <w:rPr>
          <w:rFonts w:ascii="Arial" w:eastAsia="Calibri" w:hAnsi="Arial" w:cs="Arial"/>
          <w:szCs w:val="28"/>
          <w:shd w:val="clear" w:color="auto" w:fill="FFFFFF"/>
        </w:rPr>
        <w:t>Адамс Д.</w:t>
      </w:r>
      <w:r w:rsidR="007B2628" w:rsidRPr="00511005">
        <w:rPr>
          <w:rFonts w:ascii="Arial" w:eastAsia="Calibri" w:hAnsi="Arial" w:cs="Arial"/>
          <w:szCs w:val="28"/>
          <w:shd w:val="clear" w:color="auto" w:fill="FFFFFF"/>
        </w:rPr>
        <w:t xml:space="preserve"> </w:t>
      </w:r>
      <w:r w:rsidRPr="00511005">
        <w:rPr>
          <w:rFonts w:ascii="Arial" w:eastAsia="Calibri" w:hAnsi="Arial" w:cs="Arial"/>
          <w:szCs w:val="28"/>
          <w:shd w:val="clear" w:color="auto" w:fill="FFFFFF"/>
        </w:rPr>
        <w:t>- Договори міжнародної купівлі-продажу товарів: порівняння засобів захисту прав покупця за Актом про продаж товарів 1979 року та Конвенцією Об’єднаних Націй про договори міжнародної купівлі-продажу товарів 1980 року / Дженіфер Адамс // Міжнародне економічне співробітництво України (правові проблеми</w:t>
      </w:r>
      <w:proofErr w:type="gramStart"/>
      <w:r w:rsidRPr="00511005">
        <w:rPr>
          <w:rFonts w:ascii="Arial" w:eastAsia="Calibri" w:hAnsi="Arial" w:cs="Arial"/>
          <w:szCs w:val="28"/>
          <w:shd w:val="clear" w:color="auto" w:fill="FFFFFF"/>
        </w:rPr>
        <w:t>) :</w:t>
      </w:r>
      <w:proofErr w:type="gramEnd"/>
      <w:r w:rsidRPr="00511005">
        <w:rPr>
          <w:rFonts w:ascii="Arial" w:eastAsia="Calibri" w:hAnsi="Arial" w:cs="Arial"/>
          <w:szCs w:val="28"/>
          <w:shd w:val="clear" w:color="auto" w:fill="FFFFFF"/>
        </w:rPr>
        <w:t xml:space="preserve"> матеріали міжнар. наук.-практ. конф. / М-во освіти і науки України, Київ. нац. екон. ун-</w:t>
      </w:r>
      <w:proofErr w:type="gramStart"/>
      <w:r w:rsidRPr="00511005">
        <w:rPr>
          <w:rFonts w:ascii="Arial" w:eastAsia="Calibri" w:hAnsi="Arial" w:cs="Arial"/>
          <w:szCs w:val="28"/>
          <w:shd w:val="clear" w:color="auto" w:fill="FFFFFF"/>
        </w:rPr>
        <w:t>т ;</w:t>
      </w:r>
      <w:proofErr w:type="gramEnd"/>
      <w:r w:rsidRPr="00511005">
        <w:rPr>
          <w:rFonts w:ascii="Arial" w:eastAsia="Calibri" w:hAnsi="Arial" w:cs="Arial"/>
          <w:szCs w:val="28"/>
          <w:shd w:val="clear" w:color="auto" w:fill="FFFFFF"/>
        </w:rPr>
        <w:t xml:space="preserve"> відп. ред. В. Ф. Опришко. – </w:t>
      </w:r>
      <w:proofErr w:type="gramStart"/>
      <w:r w:rsidRPr="00511005">
        <w:rPr>
          <w:rFonts w:ascii="Arial" w:eastAsia="Calibri" w:hAnsi="Arial" w:cs="Arial"/>
          <w:szCs w:val="28"/>
          <w:shd w:val="clear" w:color="auto" w:fill="FFFFFF"/>
        </w:rPr>
        <w:t>Київ :</w:t>
      </w:r>
      <w:proofErr w:type="gramEnd"/>
      <w:r w:rsidRPr="00511005">
        <w:rPr>
          <w:rFonts w:ascii="Arial" w:eastAsia="Calibri" w:hAnsi="Arial" w:cs="Arial"/>
          <w:szCs w:val="28"/>
          <w:shd w:val="clear" w:color="auto" w:fill="FFFFFF"/>
        </w:rPr>
        <w:t xml:space="preserve"> КНЕУ, 2004. – С. 258–267. </w:t>
      </w:r>
      <w:r w:rsidRPr="00511005">
        <w:rPr>
          <w:rFonts w:ascii="Arial" w:eastAsia="Calibri" w:hAnsi="Arial" w:cs="Arial"/>
          <w:szCs w:val="28"/>
          <w:lang w:val="en-US" w:eastAsia="uk-UA"/>
        </w:rPr>
        <w:t>URL</w:t>
      </w:r>
      <w:r w:rsidRPr="00511005">
        <w:rPr>
          <w:rFonts w:ascii="Arial" w:eastAsia="Calibri" w:hAnsi="Arial" w:cs="Arial"/>
          <w:szCs w:val="28"/>
          <w:lang w:eastAsia="uk-UA"/>
        </w:rPr>
        <w:t>:</w:t>
      </w:r>
      <w:r w:rsidRPr="00511005">
        <w:rPr>
          <w:rFonts w:ascii="Arial" w:eastAsia="Calibri" w:hAnsi="Arial" w:cs="Arial"/>
          <w:szCs w:val="28"/>
        </w:rPr>
        <w:t xml:space="preserve"> </w:t>
      </w:r>
      <w:hyperlink r:id="rId363" w:history="1">
        <w:r w:rsidRPr="00511005">
          <w:rPr>
            <w:rFonts w:ascii="Arial" w:eastAsia="Calibri" w:hAnsi="Arial" w:cs="Arial"/>
            <w:szCs w:val="28"/>
          </w:rPr>
          <w:t>https://ir.kneu.edu.ua/items/25ba384e-1e7a-4136-ba65-31e67178dc01</w:t>
        </w:r>
      </w:hyperlink>
    </w:p>
    <w:p w14:paraId="43DF8B34" w14:textId="4DB319F9" w:rsidR="001E775A" w:rsidRPr="00511005" w:rsidRDefault="001E775A" w:rsidP="003F6A5D">
      <w:pPr>
        <w:pStyle w:val="af0"/>
        <w:numPr>
          <w:ilvl w:val="0"/>
          <w:numId w:val="811"/>
        </w:numPr>
        <w:spacing w:line="264" w:lineRule="auto"/>
        <w:rPr>
          <w:rFonts w:ascii="Arial" w:eastAsia="Times New Roman" w:hAnsi="Arial" w:cs="Arial"/>
          <w:bCs/>
          <w:szCs w:val="28"/>
          <w:lang w:eastAsia="uk-UA"/>
        </w:rPr>
      </w:pPr>
      <w:r w:rsidRPr="00511005">
        <w:rPr>
          <w:rFonts w:ascii="Arial" w:eastAsia="Calibri" w:hAnsi="Arial" w:cs="Arial"/>
          <w:szCs w:val="28"/>
          <w:shd w:val="clear" w:color="auto" w:fill="FFFFFF"/>
        </w:rPr>
        <w:t xml:space="preserve">Київець О. В. Право міжнародних договорів: історія та сучасність / О. В. Київець // Правове регулювання </w:t>
      </w:r>
      <w:proofErr w:type="gramStart"/>
      <w:r w:rsidRPr="00511005">
        <w:rPr>
          <w:rFonts w:ascii="Arial" w:eastAsia="Calibri" w:hAnsi="Arial" w:cs="Arial"/>
          <w:szCs w:val="28"/>
          <w:shd w:val="clear" w:color="auto" w:fill="FFFFFF"/>
        </w:rPr>
        <w:t>економіки :</w:t>
      </w:r>
      <w:proofErr w:type="gramEnd"/>
      <w:r w:rsidRPr="00511005">
        <w:rPr>
          <w:rFonts w:ascii="Arial" w:eastAsia="Calibri" w:hAnsi="Arial" w:cs="Arial"/>
          <w:szCs w:val="28"/>
          <w:shd w:val="clear" w:color="auto" w:fill="FFFFFF"/>
        </w:rPr>
        <w:t xml:space="preserve"> зб. наук. пр. / М-во освіти і науки України, ДВНЗ «Київ. нац. екон. ун-т ім. Вадима Гетьмана», Юридичний ф-</w:t>
      </w:r>
      <w:proofErr w:type="gramStart"/>
      <w:r w:rsidRPr="00511005">
        <w:rPr>
          <w:rFonts w:ascii="Arial" w:eastAsia="Calibri" w:hAnsi="Arial" w:cs="Arial"/>
          <w:szCs w:val="28"/>
          <w:shd w:val="clear" w:color="auto" w:fill="FFFFFF"/>
        </w:rPr>
        <w:t>т ;</w:t>
      </w:r>
      <w:proofErr w:type="gramEnd"/>
      <w:r w:rsidRPr="00511005">
        <w:rPr>
          <w:rFonts w:ascii="Arial" w:eastAsia="Calibri" w:hAnsi="Arial" w:cs="Arial"/>
          <w:szCs w:val="28"/>
          <w:shd w:val="clear" w:color="auto" w:fill="FFFFFF"/>
        </w:rPr>
        <w:t xml:space="preserve"> редкол.: В. Ф. Опришко (головн. ред.) [та ін.]. – </w:t>
      </w:r>
      <w:proofErr w:type="gramStart"/>
      <w:r w:rsidRPr="00511005">
        <w:rPr>
          <w:rFonts w:ascii="Arial" w:eastAsia="Calibri" w:hAnsi="Arial" w:cs="Arial"/>
          <w:szCs w:val="28"/>
          <w:shd w:val="clear" w:color="auto" w:fill="FFFFFF"/>
        </w:rPr>
        <w:t>Київ :</w:t>
      </w:r>
      <w:proofErr w:type="gramEnd"/>
      <w:r w:rsidRPr="00511005">
        <w:rPr>
          <w:rFonts w:ascii="Arial" w:eastAsia="Calibri" w:hAnsi="Arial" w:cs="Arial"/>
          <w:szCs w:val="28"/>
          <w:shd w:val="clear" w:color="auto" w:fill="FFFFFF"/>
        </w:rPr>
        <w:t xml:space="preserve"> КНЕУ, 2008. – Вип. 8. – С. 51–58. </w:t>
      </w:r>
      <w:r w:rsidRPr="00511005">
        <w:rPr>
          <w:rFonts w:ascii="Arial" w:eastAsia="Calibri" w:hAnsi="Arial" w:cs="Arial"/>
          <w:szCs w:val="28"/>
          <w:lang w:val="en-US" w:eastAsia="uk-UA"/>
        </w:rPr>
        <w:t>URL</w:t>
      </w:r>
      <w:r w:rsidRPr="00511005">
        <w:rPr>
          <w:rFonts w:ascii="Arial" w:eastAsia="Calibri" w:hAnsi="Arial" w:cs="Arial"/>
          <w:szCs w:val="28"/>
          <w:lang w:eastAsia="uk-UA"/>
        </w:rPr>
        <w:t xml:space="preserve">: </w:t>
      </w:r>
      <w:r w:rsidRPr="00511005">
        <w:rPr>
          <w:rFonts w:ascii="Arial" w:eastAsia="Calibri" w:hAnsi="Arial" w:cs="Arial"/>
          <w:szCs w:val="28"/>
        </w:rPr>
        <w:br/>
      </w:r>
      <w:hyperlink r:id="rId364" w:history="1">
        <w:r w:rsidRPr="00511005">
          <w:rPr>
            <w:rFonts w:ascii="Arial" w:eastAsia="Calibri" w:hAnsi="Arial" w:cs="Arial"/>
            <w:szCs w:val="28"/>
            <w:shd w:val="clear" w:color="auto" w:fill="FFFFFF"/>
            <w:lang w:val="en-US"/>
          </w:rPr>
          <w:t>https</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ir</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kneu</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edu</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ua</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items</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ee</w:t>
        </w:r>
        <w:r w:rsidRPr="00511005">
          <w:rPr>
            <w:rFonts w:ascii="Arial" w:eastAsia="Calibri" w:hAnsi="Arial" w:cs="Arial"/>
            <w:szCs w:val="28"/>
            <w:shd w:val="clear" w:color="auto" w:fill="FFFFFF"/>
          </w:rPr>
          <w:t>7</w:t>
        </w:r>
        <w:r w:rsidRPr="00511005">
          <w:rPr>
            <w:rFonts w:ascii="Arial" w:eastAsia="Calibri" w:hAnsi="Arial" w:cs="Arial"/>
            <w:szCs w:val="28"/>
            <w:shd w:val="clear" w:color="auto" w:fill="FFFFFF"/>
            <w:lang w:val="en-US"/>
          </w:rPr>
          <w:t>ba</w:t>
        </w:r>
        <w:r w:rsidRPr="00511005">
          <w:rPr>
            <w:rFonts w:ascii="Arial" w:eastAsia="Calibri" w:hAnsi="Arial" w:cs="Arial"/>
            <w:szCs w:val="28"/>
            <w:shd w:val="clear" w:color="auto" w:fill="FFFFFF"/>
          </w:rPr>
          <w:t>7</w:t>
        </w:r>
        <w:r w:rsidRPr="00511005">
          <w:rPr>
            <w:rFonts w:ascii="Arial" w:eastAsia="Calibri" w:hAnsi="Arial" w:cs="Arial"/>
            <w:szCs w:val="28"/>
            <w:shd w:val="clear" w:color="auto" w:fill="FFFFFF"/>
            <w:lang w:val="en-US"/>
          </w:rPr>
          <w:t>f</w:t>
        </w:r>
        <w:r w:rsidRPr="00511005">
          <w:rPr>
            <w:rFonts w:ascii="Arial" w:eastAsia="Calibri" w:hAnsi="Arial" w:cs="Arial"/>
            <w:szCs w:val="28"/>
            <w:shd w:val="clear" w:color="auto" w:fill="FFFFFF"/>
          </w:rPr>
          <w:t>9-4784-47</w:t>
        </w:r>
        <w:r w:rsidRPr="00511005">
          <w:rPr>
            <w:rFonts w:ascii="Arial" w:eastAsia="Calibri" w:hAnsi="Arial" w:cs="Arial"/>
            <w:szCs w:val="28"/>
            <w:shd w:val="clear" w:color="auto" w:fill="FFFFFF"/>
            <w:lang w:val="en-US"/>
          </w:rPr>
          <w:t>cc</w:t>
        </w:r>
        <w:r w:rsidRPr="00511005">
          <w:rPr>
            <w:rFonts w:ascii="Arial" w:eastAsia="Calibri" w:hAnsi="Arial" w:cs="Arial"/>
            <w:szCs w:val="28"/>
            <w:shd w:val="clear" w:color="auto" w:fill="FFFFFF"/>
          </w:rPr>
          <w:t>-8</w:t>
        </w:r>
        <w:r w:rsidRPr="00511005">
          <w:rPr>
            <w:rFonts w:ascii="Arial" w:eastAsia="Calibri" w:hAnsi="Arial" w:cs="Arial"/>
            <w:szCs w:val="28"/>
            <w:shd w:val="clear" w:color="auto" w:fill="FFFFFF"/>
            <w:lang w:val="en-US"/>
          </w:rPr>
          <w:t>b</w:t>
        </w:r>
        <w:r w:rsidRPr="00511005">
          <w:rPr>
            <w:rFonts w:ascii="Arial" w:eastAsia="Calibri" w:hAnsi="Arial" w:cs="Arial"/>
            <w:szCs w:val="28"/>
            <w:shd w:val="clear" w:color="auto" w:fill="FFFFFF"/>
          </w:rPr>
          <w:t>69-</w:t>
        </w:r>
        <w:r w:rsidRPr="00511005">
          <w:rPr>
            <w:rFonts w:ascii="Arial" w:eastAsia="Calibri" w:hAnsi="Arial" w:cs="Arial"/>
            <w:szCs w:val="28"/>
            <w:shd w:val="clear" w:color="auto" w:fill="FFFFFF"/>
            <w:lang w:val="en-US"/>
          </w:rPr>
          <w:t>d</w:t>
        </w:r>
        <w:r w:rsidRPr="00511005">
          <w:rPr>
            <w:rFonts w:ascii="Arial" w:eastAsia="Calibri" w:hAnsi="Arial" w:cs="Arial"/>
            <w:szCs w:val="28"/>
            <w:shd w:val="clear" w:color="auto" w:fill="FFFFFF"/>
          </w:rPr>
          <w:t>475</w:t>
        </w:r>
        <w:r w:rsidRPr="00511005">
          <w:rPr>
            <w:rFonts w:ascii="Arial" w:eastAsia="Calibri" w:hAnsi="Arial" w:cs="Arial"/>
            <w:szCs w:val="28"/>
            <w:shd w:val="clear" w:color="auto" w:fill="FFFFFF"/>
            <w:lang w:val="en-US"/>
          </w:rPr>
          <w:t>d</w:t>
        </w:r>
        <w:r w:rsidRPr="00511005">
          <w:rPr>
            <w:rFonts w:ascii="Arial" w:eastAsia="Calibri" w:hAnsi="Arial" w:cs="Arial"/>
            <w:szCs w:val="28"/>
            <w:shd w:val="clear" w:color="auto" w:fill="FFFFFF"/>
          </w:rPr>
          <w:t>99</w:t>
        </w:r>
        <w:r w:rsidRPr="00511005">
          <w:rPr>
            <w:rFonts w:ascii="Arial" w:eastAsia="Calibri" w:hAnsi="Arial" w:cs="Arial"/>
            <w:szCs w:val="28"/>
            <w:shd w:val="clear" w:color="auto" w:fill="FFFFFF"/>
            <w:lang w:val="en-US"/>
          </w:rPr>
          <w:t>a</w:t>
        </w:r>
        <w:r w:rsidRPr="00511005">
          <w:rPr>
            <w:rFonts w:ascii="Arial" w:eastAsia="Calibri" w:hAnsi="Arial" w:cs="Arial"/>
            <w:szCs w:val="28"/>
            <w:shd w:val="clear" w:color="auto" w:fill="FFFFFF"/>
          </w:rPr>
          <w:t>81</w:t>
        </w:r>
        <w:r w:rsidRPr="00511005">
          <w:rPr>
            <w:rFonts w:ascii="Arial" w:eastAsia="Calibri" w:hAnsi="Arial" w:cs="Arial"/>
            <w:szCs w:val="28"/>
            <w:shd w:val="clear" w:color="auto" w:fill="FFFFFF"/>
            <w:lang w:val="en-US"/>
          </w:rPr>
          <w:t>ef</w:t>
        </w:r>
      </w:hyperlink>
    </w:p>
    <w:p w14:paraId="6AF835A1" w14:textId="35F389EA" w:rsidR="001E775A" w:rsidRPr="00511005" w:rsidRDefault="001E775A" w:rsidP="003F6A5D">
      <w:pPr>
        <w:pStyle w:val="af0"/>
        <w:numPr>
          <w:ilvl w:val="0"/>
          <w:numId w:val="811"/>
        </w:numPr>
        <w:spacing w:line="264" w:lineRule="auto"/>
        <w:rPr>
          <w:rFonts w:ascii="Arial" w:eastAsia="Times New Roman" w:hAnsi="Arial" w:cs="Arial"/>
          <w:bCs/>
          <w:szCs w:val="28"/>
          <w:lang w:eastAsia="uk-UA"/>
        </w:rPr>
      </w:pPr>
      <w:r w:rsidRPr="00511005">
        <w:rPr>
          <w:rFonts w:ascii="Arial" w:eastAsia="Calibri" w:hAnsi="Arial" w:cs="Arial"/>
          <w:szCs w:val="28"/>
        </w:rPr>
        <w:t>Шацька З.Я., Альохіна В. І. -</w:t>
      </w:r>
      <w:r w:rsidR="007B2628" w:rsidRPr="00511005">
        <w:rPr>
          <w:rFonts w:ascii="Arial" w:eastAsia="Calibri" w:hAnsi="Arial" w:cs="Arial"/>
          <w:szCs w:val="28"/>
        </w:rPr>
        <w:t xml:space="preserve"> </w:t>
      </w:r>
      <w:r w:rsidRPr="00511005">
        <w:rPr>
          <w:rFonts w:ascii="Arial" w:eastAsia="Calibri" w:hAnsi="Arial" w:cs="Arial"/>
          <w:szCs w:val="28"/>
        </w:rPr>
        <w:t xml:space="preserve">Застосування Віденської конвенції про договори міжнародної купівлі-продажу товарів у бізнесі. </w:t>
      </w:r>
      <w:r w:rsidRPr="00511005">
        <w:rPr>
          <w:rFonts w:ascii="Arial" w:eastAsia="Calibri" w:hAnsi="Arial" w:cs="Arial"/>
          <w:i/>
          <w:iCs/>
          <w:szCs w:val="28"/>
        </w:rPr>
        <w:t>Застосування Віденської конвенції про договори міжнародної купівлі-продажу товарів у бізнесі</w:t>
      </w:r>
      <w:r w:rsidRPr="00511005">
        <w:rPr>
          <w:rFonts w:ascii="Arial" w:eastAsia="Calibri" w:hAnsi="Arial" w:cs="Arial"/>
          <w:szCs w:val="28"/>
        </w:rPr>
        <w:t xml:space="preserve">, Київ, Україна. Київський національний університет технологій та дизайну, 2020. </w:t>
      </w:r>
      <w:r w:rsidRPr="00511005">
        <w:rPr>
          <w:rFonts w:ascii="Arial" w:eastAsia="Calibri" w:hAnsi="Arial" w:cs="Arial"/>
          <w:szCs w:val="28"/>
          <w:lang w:val="en-US" w:eastAsia="uk-UA"/>
        </w:rPr>
        <w:t>URL</w:t>
      </w:r>
      <w:r w:rsidRPr="00511005">
        <w:rPr>
          <w:rFonts w:ascii="Arial" w:eastAsia="Calibri" w:hAnsi="Arial" w:cs="Arial"/>
          <w:szCs w:val="28"/>
          <w:lang w:eastAsia="uk-UA"/>
        </w:rPr>
        <w:t xml:space="preserve">: </w:t>
      </w:r>
      <w:hyperlink r:id="rId365" w:history="1">
        <w:r w:rsidRPr="00511005">
          <w:rPr>
            <w:rFonts w:ascii="Arial" w:eastAsia="Calibri" w:hAnsi="Arial" w:cs="Arial"/>
            <w:szCs w:val="28"/>
          </w:rPr>
          <w:t>https://er.knutd.edu.ua/handle/123456789/15842</w:t>
        </w:r>
      </w:hyperlink>
    </w:p>
    <w:p w14:paraId="148EEFE4" w14:textId="77777777" w:rsidR="001E775A" w:rsidRPr="00511005" w:rsidRDefault="001E775A" w:rsidP="001E775A">
      <w:pPr>
        <w:tabs>
          <w:tab w:val="left" w:pos="709"/>
        </w:tabs>
        <w:spacing w:line="264" w:lineRule="auto"/>
        <w:rPr>
          <w:rFonts w:ascii="Arial" w:eastAsia="Times New Roman" w:hAnsi="Arial" w:cs="Arial"/>
          <w:bCs/>
          <w:szCs w:val="28"/>
          <w:lang w:eastAsia="uk-UA"/>
        </w:rPr>
      </w:pPr>
    </w:p>
    <w:p w14:paraId="03F5E184" w14:textId="5B2658BD" w:rsidR="00220D3E" w:rsidRPr="00511005" w:rsidRDefault="007B2628"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uk-UA"/>
        </w:rPr>
        <w:t>Віденська конвенція, міжнародна купівля-продаж, оферта і акцепт, уніфікація договірного права, міжнародне торговельне право</w:t>
      </w:r>
    </w:p>
    <w:p w14:paraId="0AD925A0" w14:textId="11D3BCD0" w:rsidR="00220D3E" w:rsidRPr="00511005" w:rsidRDefault="007B2628" w:rsidP="003A292D">
      <w:pPr>
        <w:tabs>
          <w:tab w:val="left" w:pos="709"/>
        </w:tabs>
        <w:spacing w:line="264" w:lineRule="auto"/>
        <w:rPr>
          <w:rFonts w:ascii="Arial" w:eastAsia="Times New Roman" w:hAnsi="Arial" w:cs="Arial"/>
          <w:szCs w:val="28"/>
          <w:lang w:val="en-US" w:eastAsia="uk-UA"/>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uk-UA"/>
        </w:rPr>
        <w:t>Vienna Convention, International sale of goods, Offer and acceptance, Contract law unification, International commercial law</w:t>
      </w:r>
    </w:p>
    <w:p w14:paraId="47852618" w14:textId="609A3160" w:rsidR="00220D3E" w:rsidRPr="00511005" w:rsidRDefault="007B2628" w:rsidP="003A292D">
      <w:pPr>
        <w:keepNext/>
        <w:tabs>
          <w:tab w:val="left" w:pos="709"/>
        </w:tabs>
        <w:spacing w:line="264" w:lineRule="auto"/>
        <w:rPr>
          <w:rFonts w:ascii="Arial" w:eastAsia="Times New Roman" w:hAnsi="Arial" w:cs="Arial"/>
          <w:bCs/>
          <w:szCs w:val="28"/>
          <w:lang w:eastAsia="ru-RU"/>
        </w:rPr>
      </w:pPr>
      <w:r w:rsidRPr="00511005">
        <w:rPr>
          <w:rFonts w:ascii="Arial" w:eastAsia="Times New Roman" w:hAnsi="Arial" w:cs="Arial"/>
          <w:b/>
          <w:bCs/>
          <w:i/>
          <w:iCs/>
          <w:szCs w:val="28"/>
          <w:lang w:eastAsia="ru-RU"/>
        </w:rPr>
        <w:t xml:space="preserve">Науковий керівник: </w:t>
      </w:r>
      <w:r w:rsidR="00220D3E" w:rsidRPr="00511005">
        <w:rPr>
          <w:rFonts w:ascii="Arial" w:eastAsia="Times New Roman" w:hAnsi="Arial" w:cs="Arial"/>
          <w:bCs/>
          <w:i/>
          <w:iCs/>
          <w:szCs w:val="28"/>
          <w:lang w:eastAsia="ru-RU"/>
        </w:rPr>
        <w:t>асистент кафедри Бугаєць А. С.</w:t>
      </w:r>
    </w:p>
    <w:p w14:paraId="5A133EAF" w14:textId="77777777" w:rsidR="00220D3E" w:rsidRPr="00511005" w:rsidRDefault="00220D3E" w:rsidP="003A292D">
      <w:pPr>
        <w:tabs>
          <w:tab w:val="left" w:pos="709"/>
        </w:tabs>
        <w:spacing w:line="264" w:lineRule="auto"/>
        <w:ind w:firstLine="0"/>
        <w:rPr>
          <w:rFonts w:ascii="Arial" w:eastAsia="Times New Roman" w:hAnsi="Arial" w:cs="Arial"/>
          <w:szCs w:val="28"/>
          <w:lang w:eastAsia="uk-UA"/>
        </w:rPr>
      </w:pPr>
    </w:p>
    <w:p w14:paraId="16212AFF" w14:textId="77777777" w:rsidR="006C2EDA" w:rsidRDefault="006C2EDA">
      <w:pPr>
        <w:spacing w:after="200" w:line="276" w:lineRule="auto"/>
        <w:ind w:firstLine="0"/>
        <w:jc w:val="left"/>
        <w:rPr>
          <w:rFonts w:ascii="Arial" w:eastAsia="Times New Roman" w:hAnsi="Arial" w:cs="Arial"/>
          <w:b/>
          <w:bCs/>
          <w:i/>
          <w:iCs/>
          <w:szCs w:val="28"/>
          <w:lang w:val="uk-UA" w:eastAsia="ru-RU"/>
        </w:rPr>
      </w:pPr>
      <w:bookmarkStart w:id="43" w:name="_Hlk197326925"/>
      <w:r>
        <w:rPr>
          <w:rFonts w:ascii="Arial" w:eastAsia="Times New Roman" w:hAnsi="Arial" w:cs="Arial"/>
          <w:b/>
          <w:bCs/>
          <w:i/>
          <w:iCs/>
          <w:szCs w:val="28"/>
          <w:lang w:val="uk-UA" w:eastAsia="ru-RU"/>
        </w:rPr>
        <w:br w:type="page"/>
      </w:r>
    </w:p>
    <w:p w14:paraId="766C78E2" w14:textId="4401DA51" w:rsidR="00220D3E" w:rsidRPr="00511005" w:rsidRDefault="00220D3E" w:rsidP="003A292D">
      <w:pPr>
        <w:tabs>
          <w:tab w:val="left" w:pos="709"/>
        </w:tabs>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lastRenderedPageBreak/>
        <w:t>Ivanchenko Bogdan Oleksandrovych,</w:t>
      </w:r>
      <w:r w:rsidR="00146592" w:rsidRPr="00511005">
        <w:rPr>
          <w:rFonts w:ascii="Arial" w:eastAsia="Times New Roman" w:hAnsi="Arial" w:cs="Arial"/>
          <w:b/>
          <w:bCs/>
          <w:i/>
          <w:iCs/>
          <w:szCs w:val="28"/>
          <w:lang w:val="uk-UA" w:eastAsia="ru-RU"/>
        </w:rPr>
        <w:t xml:space="preserve"> </w:t>
      </w:r>
      <w:r w:rsidRPr="00511005">
        <w:rPr>
          <w:rFonts w:ascii="Arial" w:eastAsia="Times New Roman" w:hAnsi="Arial" w:cs="Arial"/>
          <w:b/>
          <w:bCs/>
          <w:i/>
          <w:iCs/>
          <w:szCs w:val="28"/>
          <w:lang w:val="uk-UA" w:eastAsia="ru-RU"/>
        </w:rPr>
        <w:t xml:space="preserve">Ilyina Elizaveta </w:t>
      </w:r>
      <w:r w:rsidRPr="00511005">
        <w:rPr>
          <w:rFonts w:ascii="Arial" w:eastAsia="Times New Roman" w:hAnsi="Arial" w:cs="Arial"/>
          <w:b/>
          <w:bCs/>
          <w:i/>
          <w:iCs/>
          <w:szCs w:val="28"/>
          <w:lang w:val="en-US" w:eastAsia="ru-RU"/>
        </w:rPr>
        <w:t>O</w:t>
      </w:r>
      <w:r w:rsidRPr="00511005">
        <w:rPr>
          <w:rFonts w:ascii="Arial" w:eastAsia="Times New Roman" w:hAnsi="Arial" w:cs="Arial"/>
          <w:b/>
          <w:bCs/>
          <w:i/>
          <w:iCs/>
          <w:szCs w:val="28"/>
          <w:lang w:val="uk-UA" w:eastAsia="ru-RU"/>
        </w:rPr>
        <w:t>le</w:t>
      </w:r>
      <w:r w:rsidRPr="00511005">
        <w:rPr>
          <w:rFonts w:ascii="Arial" w:eastAsia="Times New Roman" w:hAnsi="Arial" w:cs="Arial"/>
          <w:b/>
          <w:bCs/>
          <w:i/>
          <w:iCs/>
          <w:szCs w:val="28"/>
          <w:lang w:val="en-US" w:eastAsia="ru-RU"/>
        </w:rPr>
        <w:t>ks</w:t>
      </w:r>
      <w:r w:rsidRPr="00511005">
        <w:rPr>
          <w:rFonts w:ascii="Arial" w:eastAsia="Times New Roman" w:hAnsi="Arial" w:cs="Arial"/>
          <w:b/>
          <w:bCs/>
          <w:i/>
          <w:iCs/>
          <w:szCs w:val="28"/>
          <w:lang w:val="uk-UA" w:eastAsia="ru-RU"/>
        </w:rPr>
        <w:t>andr</w:t>
      </w:r>
      <w:r w:rsidRPr="00511005">
        <w:rPr>
          <w:rFonts w:ascii="Arial" w:eastAsia="Times New Roman" w:hAnsi="Arial" w:cs="Arial"/>
          <w:b/>
          <w:bCs/>
          <w:i/>
          <w:iCs/>
          <w:szCs w:val="28"/>
          <w:lang w:val="en-US" w:eastAsia="ru-RU"/>
        </w:rPr>
        <w:t>i</w:t>
      </w:r>
      <w:r w:rsidRPr="00511005">
        <w:rPr>
          <w:rFonts w:ascii="Arial" w:eastAsia="Times New Roman" w:hAnsi="Arial" w:cs="Arial"/>
          <w:b/>
          <w:bCs/>
          <w:i/>
          <w:iCs/>
          <w:szCs w:val="28"/>
          <w:lang w:val="uk-UA" w:eastAsia="ru-RU"/>
        </w:rPr>
        <w:t>vna</w:t>
      </w:r>
    </w:p>
    <w:p w14:paraId="3A666153" w14:textId="77777777" w:rsidR="00220D3E" w:rsidRPr="00511005" w:rsidRDefault="00220D3E" w:rsidP="003A292D">
      <w:pPr>
        <w:tabs>
          <w:tab w:val="left" w:pos="709"/>
        </w:tabs>
        <w:spacing w:line="264" w:lineRule="auto"/>
        <w:ind w:firstLine="0"/>
        <w:jc w:val="center"/>
        <w:rPr>
          <w:rFonts w:ascii="Arial" w:eastAsia="Times New Roman" w:hAnsi="Arial" w:cs="Arial"/>
          <w:i/>
          <w:iCs/>
          <w:szCs w:val="28"/>
          <w:lang w:val="uk-UA" w:eastAsia="ru-RU"/>
        </w:rPr>
      </w:pPr>
      <w:r w:rsidRPr="00511005">
        <w:rPr>
          <w:rFonts w:ascii="Arial" w:eastAsia="Times New Roman" w:hAnsi="Arial" w:cs="Arial"/>
          <w:i/>
          <w:iCs/>
          <w:szCs w:val="28"/>
          <w:lang w:val="uk-UA" w:eastAsia="ru-RU"/>
        </w:rPr>
        <w:t>4th year students of the Faculty of Judicial and International Law</w:t>
      </w:r>
    </w:p>
    <w:p w14:paraId="04B0844C" w14:textId="76253157" w:rsidR="00220D3E" w:rsidRPr="00511005" w:rsidRDefault="00220D3E" w:rsidP="003A292D">
      <w:pPr>
        <w:tabs>
          <w:tab w:val="left" w:pos="709"/>
        </w:tabs>
        <w:spacing w:line="264" w:lineRule="auto"/>
        <w:ind w:firstLine="0"/>
        <w:jc w:val="center"/>
        <w:rPr>
          <w:rFonts w:ascii="Arial" w:eastAsia="Times New Roman" w:hAnsi="Arial" w:cs="Arial"/>
          <w:i/>
          <w:iCs/>
          <w:szCs w:val="28"/>
          <w:lang w:val="uk-UA" w:eastAsia="ru-RU"/>
        </w:rPr>
      </w:pPr>
      <w:r w:rsidRPr="00511005">
        <w:rPr>
          <w:rFonts w:ascii="Arial" w:eastAsia="Times New Roman" w:hAnsi="Arial" w:cs="Arial"/>
          <w:i/>
          <w:iCs/>
          <w:szCs w:val="28"/>
          <w:lang w:val="uk-UA" w:eastAsia="ru-RU"/>
        </w:rPr>
        <w:t>National University «Odesa Law Academy»</w:t>
      </w:r>
    </w:p>
    <w:p w14:paraId="02D0149B" w14:textId="77777777" w:rsidR="00220D3E" w:rsidRPr="00511005" w:rsidRDefault="00220D3E" w:rsidP="003A292D">
      <w:pPr>
        <w:tabs>
          <w:tab w:val="left" w:pos="709"/>
        </w:tabs>
        <w:spacing w:line="264" w:lineRule="auto"/>
        <w:ind w:firstLine="0"/>
        <w:jc w:val="center"/>
        <w:rPr>
          <w:rFonts w:ascii="Arial" w:eastAsia="Times New Roman" w:hAnsi="Arial" w:cs="Arial"/>
          <w:b/>
          <w:bCs/>
          <w:caps/>
          <w:szCs w:val="28"/>
          <w:lang w:val="en-US" w:eastAsia="ru-RU"/>
        </w:rPr>
      </w:pPr>
    </w:p>
    <w:p w14:paraId="03B32C3E" w14:textId="77777777" w:rsidR="00220D3E" w:rsidRPr="00511005" w:rsidRDefault="00220D3E" w:rsidP="003A292D">
      <w:pPr>
        <w:tabs>
          <w:tab w:val="left" w:pos="709"/>
        </w:tabs>
        <w:spacing w:line="264" w:lineRule="auto"/>
        <w:ind w:firstLine="0"/>
        <w:jc w:val="center"/>
        <w:rPr>
          <w:rFonts w:ascii="Arial" w:eastAsia="Times New Roman" w:hAnsi="Arial" w:cs="Arial"/>
          <w:b/>
          <w:bCs/>
          <w:caps/>
          <w:szCs w:val="28"/>
          <w:lang w:val="en-US" w:eastAsia="ru-RU"/>
        </w:rPr>
      </w:pPr>
      <w:r w:rsidRPr="00511005">
        <w:rPr>
          <w:rFonts w:ascii="Arial" w:eastAsia="Times New Roman" w:hAnsi="Arial" w:cs="Arial"/>
          <w:b/>
          <w:bCs/>
          <w:caps/>
          <w:szCs w:val="28"/>
          <w:lang w:val="en-US" w:eastAsia="ru-RU"/>
        </w:rPr>
        <w:t>Contemporary problems of bringing states to international legal responsibility</w:t>
      </w:r>
      <w:bookmarkEnd w:id="43"/>
    </w:p>
    <w:p w14:paraId="0BB5074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When implementing international legal responsibility, the question arises of compliance with the principles of international law, especially those relating to territorial integrity, the inviolability of borders, and the non-use of force or threat of force. Thus, the Final Act of the Conference on Security and Cooperation in Europe of 1975 states that «they (states) will also refrain in their mutual relations from any acts of reprisal by force» [1]. The same imperative norm is contained in the 1970 Declaration on Principles of International Law [2].</w:t>
      </w:r>
    </w:p>
    <w:p w14:paraId="3AE483C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However, the main problem in holding states accountable is the question of the legitimacy of using coercion to enforce forms of international legal responsibility, whether restitution, compensation, or satisfaction.</w:t>
      </w:r>
    </w:p>
    <w:p w14:paraId="6BA029D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It is obvious that only in exceptional cases will states voluntarily compensate for all damage caused by an internationally wrongful act; in most other cases, there is a problem of applying certain measures that would induce the state to fulfil all its obligations and eliminate the damage.</w:t>
      </w:r>
    </w:p>
    <w:p w14:paraId="7A71C0B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At present, the only coercive measures that can be applied to a responsible state are countermeasures. At the same time, there is a clear prohibition on the use of force or the threat of force and other actions that affect the peremptory norms of international law. Such a prohibition undoubtedly significantly impairs and slows down the process of holding a state accountable. The elimination of the prohibition on the use of force to hold states accountable under international law would significantly improve the status and reputation of the institution of international legal responsibility.</w:t>
      </w:r>
    </w:p>
    <w:p w14:paraId="78FA514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However, such use cannot be arbitrary and may only be adopted based on decisions by the relevant independent judicial authorities and only for particularly serious violations of international law, for which force may be used as a coercive measure. At the same time, it would be advisable to create a specific ‘code’ that would regulate in detail which acts in international relations are considered seriously unlawful, so that force can be used only for the commission of specific, clearly defined offences. The existence of such a ‘code’ would eliminate arbitrariness and the unlawful use of force in the resolution of issues of international legal responsibility.</w:t>
      </w:r>
    </w:p>
    <w:p w14:paraId="360D81F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However, the question arises: is codification necessary, and how might it affect the effectiveness of holding states accountable? Currently, the provisions of the resolution are actively applied by the International Court of Justice and international tribunals as customary norms. In this case, the provisions of the UN Resolution on the Responsibility of States for Internationally Wrongful Acts [3] are </w:t>
      </w:r>
      <w:r w:rsidRPr="00511005">
        <w:rPr>
          <w:rFonts w:ascii="Arial" w:eastAsia="Times New Roman" w:hAnsi="Arial" w:cs="Arial"/>
          <w:szCs w:val="28"/>
          <w:lang w:val="uk-UA" w:eastAsia="ru-RU"/>
        </w:rPr>
        <w:lastRenderedPageBreak/>
        <w:t>binding on all actors in international relations. At the same time, if a convention, pact</w:t>
      </w:r>
      <w:r w:rsidRPr="00511005">
        <w:rPr>
          <w:rFonts w:ascii="Arial" w:eastAsia="Times New Roman" w:hAnsi="Arial" w:cs="Arial"/>
          <w:szCs w:val="28"/>
          <w:lang w:val="en-US" w:eastAsia="ru-RU"/>
        </w:rPr>
        <w:t>,</w:t>
      </w:r>
      <w:r w:rsidRPr="00511005">
        <w:rPr>
          <w:rFonts w:ascii="Arial" w:eastAsia="Times New Roman" w:hAnsi="Arial" w:cs="Arial"/>
          <w:szCs w:val="28"/>
          <w:lang w:val="uk-UA" w:eastAsia="ru-RU"/>
        </w:rPr>
        <w:t xml:space="preserve"> or any other treaty subject to signature or ratification is adopted, there is a significant risk that not all states will wish to be parties to such a treaty and, therefore, not all states will assume obligations under it.</w:t>
      </w:r>
    </w:p>
    <w:p w14:paraId="3F40955C"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Thus, there is a problem of the binding nature of the provisions of such a probable agreement for states that do not become parties to it. Based on this, it is not advisable in the current state of international relations to develop a ‘code’ of international responsibility of states. Customary norms, as proven by global practice, are more stable and apply to all states in the world, regardless of whether they have legally assumed obligations or not.</w:t>
      </w:r>
    </w:p>
    <w:p w14:paraId="2BAECB1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Therefore, given the actual current state of international relations, it is advisable to propose the following changes to international public law:</w:t>
      </w:r>
    </w:p>
    <w:p w14:paraId="6BB1A43E" w14:textId="77777777" w:rsidR="00220D3E" w:rsidRPr="00511005" w:rsidRDefault="00220D3E" w:rsidP="003F6A5D">
      <w:pPr>
        <w:numPr>
          <w:ilvl w:val="0"/>
          <w:numId w:val="112"/>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Exclude the prohibition of the use of force in resolving the question of holding a state responsible for serious violations of international law and its fundamental principles.</w:t>
      </w:r>
    </w:p>
    <w:p w14:paraId="18F6C088" w14:textId="77777777" w:rsidR="00220D3E" w:rsidRPr="00511005" w:rsidRDefault="00220D3E" w:rsidP="003F6A5D">
      <w:pPr>
        <w:numPr>
          <w:ilvl w:val="0"/>
          <w:numId w:val="112"/>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Develop an international legal instrument that regulates in detail which international wrongful acts are considered serious, so that, based on decisions of the International Court of Justice, force can be used to hold such a state accountable.</w:t>
      </w:r>
    </w:p>
    <w:p w14:paraId="4D44EB5C" w14:textId="77777777" w:rsidR="00220D3E" w:rsidRPr="00511005" w:rsidRDefault="00220D3E" w:rsidP="003F6A5D">
      <w:pPr>
        <w:numPr>
          <w:ilvl w:val="0"/>
          <w:numId w:val="112"/>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Supplement international legal instruments containing principles of international law with a new principle, which is that every state must be held accountable for unlawful acts recognised as such under international law.</w:t>
      </w:r>
    </w:p>
    <w:p w14:paraId="68060CF9" w14:textId="77777777" w:rsidR="00220D3E" w:rsidRPr="00511005" w:rsidRDefault="00220D3E" w:rsidP="003F6A5D">
      <w:pPr>
        <w:numPr>
          <w:ilvl w:val="0"/>
          <w:numId w:val="112"/>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Develop clear, legally binding mechanisms for applying countermeasures against the offending state and ways of holding other states accountable if they help the offending state get around countermeasures or, despite their commitments, refuse to apply countermeasures against the offending state.</w:t>
      </w:r>
    </w:p>
    <w:p w14:paraId="4B2CA385"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0A89F0D9"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References</w:t>
      </w:r>
    </w:p>
    <w:p w14:paraId="68E96BE7" w14:textId="77777777" w:rsidR="00220D3E" w:rsidRPr="00511005" w:rsidRDefault="00220D3E" w:rsidP="003F6A5D">
      <w:pPr>
        <w:numPr>
          <w:ilvl w:val="0"/>
          <w:numId w:val="111"/>
        </w:numPr>
        <w:tabs>
          <w:tab w:val="left" w:pos="709"/>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en-US"/>
        </w:rPr>
        <w:t>Declaration on Principles of International Law concerning Friendly Relations and Cooperation among States in accordance with the Charter of the United Nations.</w:t>
      </w:r>
      <w:r w:rsidRPr="00511005">
        <w:rPr>
          <w:rFonts w:ascii="Arial" w:eastAsia="Calibri" w:hAnsi="Arial" w:cs="Arial"/>
          <w:szCs w:val="28"/>
          <w:lang w:val="uk-UA"/>
        </w:rPr>
        <w:t xml:space="preserve"> </w:t>
      </w:r>
      <w:r w:rsidRPr="00511005">
        <w:rPr>
          <w:rFonts w:ascii="Arial" w:eastAsia="Calibri" w:hAnsi="Arial" w:cs="Arial"/>
          <w:szCs w:val="28"/>
          <w:lang w:val="en-US"/>
        </w:rPr>
        <w:t>UN. General Assembly (25th sess.: 1970)</w:t>
      </w:r>
      <w:r w:rsidRPr="00511005">
        <w:rPr>
          <w:rFonts w:ascii="Arial" w:eastAsia="Calibri" w:hAnsi="Arial" w:cs="Arial"/>
          <w:szCs w:val="28"/>
          <w:lang w:val="uk-UA"/>
        </w:rPr>
        <w:t xml:space="preserve">. 1971. </w:t>
      </w:r>
      <w:r w:rsidRPr="00511005">
        <w:rPr>
          <w:rFonts w:ascii="Arial" w:eastAsia="Calibri" w:hAnsi="Arial" w:cs="Arial"/>
          <w:szCs w:val="28"/>
          <w:lang w:val="en-US"/>
        </w:rPr>
        <w:t xml:space="preserve">URL: </w:t>
      </w:r>
      <w:hyperlink r:id="rId366" w:history="1">
        <w:r w:rsidRPr="00511005">
          <w:rPr>
            <w:rFonts w:ascii="Arial" w:eastAsia="Calibri" w:hAnsi="Arial" w:cs="Arial"/>
            <w:szCs w:val="28"/>
            <w:lang w:val="en-US"/>
          </w:rPr>
          <w:t>https://digitallibrary.un.org/record/202170?v=pdf</w:t>
        </w:r>
      </w:hyperlink>
      <w:r w:rsidRPr="00511005">
        <w:rPr>
          <w:rFonts w:ascii="Arial" w:eastAsia="Calibri" w:hAnsi="Arial" w:cs="Arial"/>
          <w:szCs w:val="28"/>
          <w:lang w:val="uk-UA"/>
        </w:rPr>
        <w:t xml:space="preserve"> (</w:t>
      </w:r>
      <w:r w:rsidRPr="00511005">
        <w:rPr>
          <w:rFonts w:ascii="Arial" w:eastAsia="Calibri" w:hAnsi="Arial" w:cs="Arial"/>
          <w:i/>
          <w:iCs/>
          <w:szCs w:val="28"/>
          <w:lang w:val="uk-UA"/>
        </w:rPr>
        <w:t>date of reference: 03.05.2025</w:t>
      </w:r>
      <w:r w:rsidRPr="00511005">
        <w:rPr>
          <w:rFonts w:ascii="Arial" w:eastAsia="Calibri" w:hAnsi="Arial" w:cs="Arial"/>
          <w:szCs w:val="28"/>
          <w:lang w:val="uk-UA"/>
        </w:rPr>
        <w:t>)</w:t>
      </w:r>
    </w:p>
    <w:p w14:paraId="5DDD6A29" w14:textId="77777777" w:rsidR="00220D3E" w:rsidRPr="00511005" w:rsidRDefault="00220D3E" w:rsidP="003F6A5D">
      <w:pPr>
        <w:numPr>
          <w:ilvl w:val="0"/>
          <w:numId w:val="111"/>
        </w:numPr>
        <w:tabs>
          <w:tab w:val="left" w:pos="709"/>
        </w:tabs>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 xml:space="preserve">Helsinki Final Act. Organization for Security and Co-operation in Europe. 1975. URL: </w:t>
      </w:r>
      <w:hyperlink r:id="rId367" w:history="1">
        <w:r w:rsidRPr="00511005">
          <w:rPr>
            <w:rFonts w:ascii="Arial" w:eastAsia="Calibri" w:hAnsi="Arial" w:cs="Arial"/>
            <w:szCs w:val="28"/>
            <w:lang w:val="en-US"/>
          </w:rPr>
          <w:t>https://www.osce.org/helsinki-final-act</w:t>
        </w:r>
      </w:hyperlink>
      <w:r w:rsidRPr="00511005">
        <w:rPr>
          <w:rFonts w:ascii="Arial" w:eastAsia="Calibri" w:hAnsi="Arial" w:cs="Arial"/>
          <w:szCs w:val="28"/>
          <w:lang w:val="uk-UA"/>
        </w:rPr>
        <w:t xml:space="preserve"> (</w:t>
      </w:r>
      <w:r w:rsidRPr="00511005">
        <w:rPr>
          <w:rFonts w:ascii="Arial" w:eastAsia="Calibri" w:hAnsi="Arial" w:cs="Arial"/>
          <w:i/>
          <w:iCs/>
          <w:szCs w:val="28"/>
          <w:lang w:val="uk-UA"/>
        </w:rPr>
        <w:t>date of reference: 03.05.2025</w:t>
      </w:r>
      <w:r w:rsidRPr="00511005">
        <w:rPr>
          <w:rFonts w:ascii="Arial" w:eastAsia="Calibri" w:hAnsi="Arial" w:cs="Arial"/>
          <w:szCs w:val="28"/>
          <w:lang w:val="uk-UA"/>
        </w:rPr>
        <w:t>)</w:t>
      </w:r>
    </w:p>
    <w:p w14:paraId="123EA0A8" w14:textId="77777777" w:rsidR="00220D3E" w:rsidRPr="00511005" w:rsidRDefault="00220D3E" w:rsidP="003F6A5D">
      <w:pPr>
        <w:numPr>
          <w:ilvl w:val="0"/>
          <w:numId w:val="111"/>
        </w:numPr>
        <w:tabs>
          <w:tab w:val="left" w:pos="709"/>
        </w:tabs>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 xml:space="preserve">Resolution adopted by the General Assembly on the report of the Sixth Committee (A/56/589 and Corr.1) from 28 January 2002. 13 p. URL: </w:t>
      </w:r>
      <w:hyperlink r:id="rId368" w:history="1">
        <w:r w:rsidRPr="00511005">
          <w:rPr>
            <w:rFonts w:ascii="Arial" w:eastAsia="Calibri" w:hAnsi="Arial" w:cs="Arial"/>
            <w:szCs w:val="28"/>
            <w:lang w:val="en-US"/>
          </w:rPr>
          <w:t>https://docs.un.org/en/a/RES/56/83</w:t>
        </w:r>
      </w:hyperlink>
      <w:r w:rsidRPr="00511005">
        <w:rPr>
          <w:rFonts w:ascii="Arial" w:eastAsia="Calibri" w:hAnsi="Arial" w:cs="Arial"/>
          <w:szCs w:val="28"/>
          <w:lang w:val="uk-UA"/>
        </w:rPr>
        <w:t xml:space="preserve"> (</w:t>
      </w:r>
      <w:r w:rsidRPr="00511005">
        <w:rPr>
          <w:rFonts w:ascii="Arial" w:eastAsia="Calibri" w:hAnsi="Arial" w:cs="Arial"/>
          <w:i/>
          <w:iCs/>
          <w:szCs w:val="28"/>
          <w:lang w:val="uk-UA"/>
        </w:rPr>
        <w:t>date of reference: 03.05.2025</w:t>
      </w:r>
      <w:r w:rsidRPr="00511005">
        <w:rPr>
          <w:rFonts w:ascii="Arial" w:eastAsia="Calibri" w:hAnsi="Arial" w:cs="Arial"/>
          <w:szCs w:val="28"/>
          <w:lang w:val="uk-UA"/>
        </w:rPr>
        <w:t>)</w:t>
      </w:r>
    </w:p>
    <w:p w14:paraId="07A606E1" w14:textId="1E87AA7A"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iCs/>
          <w:szCs w:val="28"/>
          <w:lang w:eastAsia="ru-RU"/>
        </w:rPr>
        <w:t xml:space="preserve">Ключові слова: </w:t>
      </w:r>
      <w:r w:rsidR="00220D3E" w:rsidRPr="00511005">
        <w:rPr>
          <w:rFonts w:ascii="Arial" w:eastAsia="Times New Roman" w:hAnsi="Arial" w:cs="Arial"/>
          <w:szCs w:val="28"/>
          <w:lang w:val="uk-UA" w:eastAsia="ru-RU"/>
        </w:rPr>
        <w:t>Міжнародна правова відповідальність, примусові заходи, звичаєве міжнародне право.</w:t>
      </w:r>
    </w:p>
    <w:p w14:paraId="0762A1E9" w14:textId="14CC31A8"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iCs/>
          <w:szCs w:val="28"/>
          <w:lang w:val="en-US" w:eastAsia="ru-RU"/>
        </w:rPr>
        <w:lastRenderedPageBreak/>
        <w:t xml:space="preserve">Key words: </w:t>
      </w:r>
      <w:r w:rsidR="00220D3E" w:rsidRPr="00511005">
        <w:rPr>
          <w:rFonts w:ascii="Arial" w:eastAsia="Times New Roman" w:hAnsi="Arial" w:cs="Arial"/>
          <w:szCs w:val="28"/>
          <w:lang w:val="en-US" w:eastAsia="ru-RU"/>
        </w:rPr>
        <w:t>International legal responsibility, coercive measures, customary international law</w:t>
      </w:r>
    </w:p>
    <w:p w14:paraId="6DEA15A6" w14:textId="3FD6497F" w:rsidR="00220D3E" w:rsidRPr="00511005" w:rsidRDefault="006C2EDA" w:rsidP="003A292D">
      <w:pPr>
        <w:tabs>
          <w:tab w:val="left" w:pos="709"/>
        </w:tabs>
        <w:spacing w:line="264" w:lineRule="auto"/>
        <w:rPr>
          <w:rFonts w:ascii="Arial" w:eastAsia="Times New Roman" w:hAnsi="Arial" w:cs="Arial"/>
          <w:bCs/>
          <w:i/>
          <w:szCs w:val="28"/>
          <w:lang w:val="en-US"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Times New Roman" w:hAnsi="Arial" w:cs="Arial"/>
          <w:bCs/>
          <w:i/>
          <w:szCs w:val="28"/>
          <w:lang w:val="en-US" w:eastAsia="ru-RU"/>
        </w:rPr>
        <w:t>PhD in Law, Associate Professor Dronov V.</w:t>
      </w:r>
    </w:p>
    <w:p w14:paraId="484D6F60"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p>
    <w:p w14:paraId="5DB68945" w14:textId="77777777" w:rsidR="00220D3E" w:rsidRPr="00511005" w:rsidRDefault="00220D3E" w:rsidP="003A292D">
      <w:pPr>
        <w:tabs>
          <w:tab w:val="left" w:pos="709"/>
        </w:tabs>
        <w:spacing w:line="264" w:lineRule="auto"/>
        <w:jc w:val="center"/>
        <w:rPr>
          <w:rFonts w:ascii="Arial" w:eastAsia="Times New Roman" w:hAnsi="Arial" w:cs="Arial"/>
          <w:b/>
          <w:i/>
          <w:szCs w:val="28"/>
          <w:lang w:val="en-US" w:eastAsia="ru-RU"/>
        </w:rPr>
      </w:pPr>
      <w:r w:rsidRPr="00511005">
        <w:rPr>
          <w:rFonts w:ascii="Arial" w:eastAsia="Times New Roman" w:hAnsi="Arial" w:cs="Arial"/>
          <w:b/>
          <w:i/>
          <w:szCs w:val="28"/>
          <w:lang w:val="en-US" w:eastAsia="ru-RU"/>
        </w:rPr>
        <w:t>Ilyina Elizaveta Oleksandrivna</w:t>
      </w:r>
    </w:p>
    <w:p w14:paraId="3EBCFC46" w14:textId="77777777" w:rsidR="00220D3E" w:rsidRPr="00511005" w:rsidRDefault="00220D3E" w:rsidP="003A292D">
      <w:pPr>
        <w:tabs>
          <w:tab w:val="left" w:pos="709"/>
        </w:tabs>
        <w:spacing w:line="264" w:lineRule="auto"/>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4th year student of the Faculty of Judicial and International Law</w:t>
      </w:r>
    </w:p>
    <w:p w14:paraId="7326EBF5" w14:textId="65B48D0A" w:rsidR="00220D3E" w:rsidRPr="00511005" w:rsidRDefault="00220D3E" w:rsidP="003A292D">
      <w:pPr>
        <w:tabs>
          <w:tab w:val="left" w:pos="709"/>
        </w:tabs>
        <w:spacing w:line="264" w:lineRule="auto"/>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National University «Odesa Law Academy»</w:t>
      </w:r>
    </w:p>
    <w:p w14:paraId="373710BD" w14:textId="77777777" w:rsidR="00220D3E" w:rsidRPr="00511005" w:rsidRDefault="00220D3E" w:rsidP="003A292D">
      <w:pPr>
        <w:tabs>
          <w:tab w:val="left" w:pos="709"/>
        </w:tabs>
        <w:spacing w:line="264" w:lineRule="auto"/>
        <w:jc w:val="center"/>
        <w:rPr>
          <w:rFonts w:ascii="Arial" w:eastAsia="Times New Roman" w:hAnsi="Arial" w:cs="Arial"/>
          <w:iCs/>
          <w:szCs w:val="28"/>
          <w:lang w:val="en-US" w:eastAsia="ru-RU"/>
        </w:rPr>
      </w:pPr>
    </w:p>
    <w:p w14:paraId="5689EA84" w14:textId="77777777" w:rsidR="00220D3E" w:rsidRPr="00511005" w:rsidRDefault="00220D3E" w:rsidP="003A292D">
      <w:pPr>
        <w:tabs>
          <w:tab w:val="left" w:pos="709"/>
        </w:tabs>
        <w:spacing w:line="264" w:lineRule="auto"/>
        <w:jc w:val="center"/>
        <w:rPr>
          <w:rFonts w:ascii="Arial" w:eastAsia="Times New Roman" w:hAnsi="Arial" w:cs="Arial"/>
          <w:b/>
          <w:bCs/>
          <w:caps/>
          <w:szCs w:val="28"/>
          <w:lang w:val="en-US" w:eastAsia="ru-RU"/>
        </w:rPr>
      </w:pPr>
      <w:r w:rsidRPr="00511005">
        <w:rPr>
          <w:rFonts w:ascii="Arial" w:eastAsia="Times New Roman" w:hAnsi="Arial" w:cs="Arial"/>
          <w:b/>
          <w:bCs/>
          <w:caps/>
          <w:szCs w:val="28"/>
          <w:lang w:val="en-US" w:eastAsia="ru-RU"/>
        </w:rPr>
        <w:t>The Implementation of the European Arrest Warrant: Challenges and Human Rights Concerns</w:t>
      </w:r>
    </w:p>
    <w:p w14:paraId="03F6AB3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bookmarkStart w:id="44" w:name="_Hlk197441298"/>
      <w:r w:rsidRPr="00511005">
        <w:rPr>
          <w:rFonts w:ascii="Arial" w:eastAsia="Times New Roman" w:hAnsi="Arial" w:cs="Arial"/>
          <w:szCs w:val="28"/>
          <w:lang w:val="uk-UA" w:eastAsia="ru-RU"/>
        </w:rPr>
        <w:t xml:space="preserve">The European Arrest Warrant (hereinafter – EAW) represents one of the key innovations in the field of criminal cooperation among the Member States of the European Union (hereinafter – EU). Introduced by Council Framework Decision 2002/584/JHA of 13 June 2002 </w:t>
      </w:r>
      <w:r w:rsidRPr="00511005">
        <w:rPr>
          <w:rFonts w:ascii="Arial" w:eastAsia="Times New Roman" w:hAnsi="Arial" w:cs="Arial"/>
          <w:szCs w:val="28"/>
          <w:lang w:val="en-US" w:eastAsia="ru-RU"/>
        </w:rPr>
        <w:t>[4]</w:t>
      </w:r>
      <w:r w:rsidRPr="00511005">
        <w:rPr>
          <w:rFonts w:ascii="Arial" w:eastAsia="Times New Roman" w:hAnsi="Arial" w:cs="Arial"/>
          <w:szCs w:val="28"/>
          <w:lang w:val="uk-UA" w:eastAsia="ru-RU"/>
        </w:rPr>
        <w:t>, the EAW replaced traditional extradition procedures, making them significantly faster, more efficient, and less dependent on political decisions. It aims to simplify the surrender of individuals between Member States for criminal prosecution or the execution of a custodial sentence. However, alongside its advantages, the EAW mechanism has raised a number of concerns relating to the protection of human rights, proportionality, and jurisdictional inconsistencies.</w:t>
      </w:r>
    </w:p>
    <w:p w14:paraId="2913079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The EAW is based on the principle of mutual recognition of judicial decisions, which constitutes a cornerstone of justice within the EU. According to Framework Decision 2002/584/JHA, each Member State is obliged to recognise and execute a warrant issued by the judicial authorities of another Member State without the need for further extradition procedures. The conditions for issuing a warrant include: the existence of a judicial decision for arrest, a minimum offence threshold (punishable by at least one year of imprisonment or a sentence already imposed of no less than four months), and a clear indication of the purpose – either prosecution or execution of a sentence.</w:t>
      </w:r>
    </w:p>
    <w:p w14:paraId="5A17F96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uk-UA" w:eastAsia="ru-RU"/>
        </w:rPr>
        <w:t>The operational mechanism of the EAW involves several stages. First, the judicial authority of the issuing country draws up the warrant, including detailed information about the individual, the offence committed, and the applicable legislation. The warrant is then transmitted to the judicial authorities of another Member State, most commonly through the Schengen Information System (</w:t>
      </w:r>
      <w:r w:rsidRPr="00511005">
        <w:rPr>
          <w:rFonts w:ascii="Arial" w:eastAsia="Times New Roman" w:hAnsi="Arial" w:cs="Arial"/>
          <w:szCs w:val="28"/>
          <w:lang w:val="en-US" w:eastAsia="ru-RU"/>
        </w:rPr>
        <w:t xml:space="preserve">hereinafter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val="uk-UA" w:eastAsia="ru-RU"/>
        </w:rPr>
        <w:t>SIS). If the person is apprehended on the territory of the executing State, its competent court examines the validity of the warrant and, in the absence of grounds for refusal, makes a decision on the surrender of the person</w:t>
      </w:r>
      <w:r w:rsidRPr="00511005">
        <w:rPr>
          <w:rFonts w:ascii="Arial" w:eastAsia="Times New Roman" w:hAnsi="Arial" w:cs="Arial"/>
          <w:szCs w:val="28"/>
          <w:lang w:val="en-US" w:eastAsia="ru-RU"/>
        </w:rPr>
        <w:t xml:space="preserve"> [3]</w:t>
      </w:r>
      <w:r w:rsidRPr="00511005">
        <w:rPr>
          <w:rFonts w:ascii="Arial" w:eastAsia="Times New Roman" w:hAnsi="Arial" w:cs="Arial"/>
          <w:szCs w:val="28"/>
          <w:lang w:val="uk-UA" w:eastAsia="ru-RU"/>
        </w:rPr>
        <w:t>.</w:t>
      </w:r>
    </w:p>
    <w:p w14:paraId="64C90AA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Despite its unified operational mechanism, the EAW is not free from risks concerning the protection of human rights, as enshrined both in the European Convention on Human Rights (</w:t>
      </w:r>
      <w:r w:rsidRPr="00511005">
        <w:rPr>
          <w:rFonts w:ascii="Arial" w:eastAsia="Times New Roman" w:hAnsi="Arial" w:cs="Arial"/>
          <w:szCs w:val="28"/>
          <w:lang w:val="en-US" w:eastAsia="ru-RU"/>
        </w:rPr>
        <w:t xml:space="preserve">hereinafter - </w:t>
      </w:r>
      <w:r w:rsidRPr="00511005">
        <w:rPr>
          <w:rFonts w:ascii="Arial" w:eastAsia="Times New Roman" w:hAnsi="Arial" w:cs="Arial"/>
          <w:szCs w:val="28"/>
          <w:lang w:val="uk-UA" w:eastAsia="ru-RU"/>
        </w:rPr>
        <w:t xml:space="preserve">ECHR) and the Charter of Fundamental Rights of the EU. One of the major concerns is the automatism of the execution of warrants without consideration of individual circumstances, </w:t>
      </w:r>
      <w:r w:rsidRPr="00511005">
        <w:rPr>
          <w:rFonts w:ascii="Arial" w:eastAsia="Times New Roman" w:hAnsi="Arial" w:cs="Arial"/>
          <w:szCs w:val="28"/>
          <w:lang w:val="uk-UA" w:eastAsia="ru-RU"/>
        </w:rPr>
        <w:lastRenderedPageBreak/>
        <w:t>particularly regarding the risk of violations of Article 3 (prohibition of torture) and Article 6 (right to a fair trial) of the ECHR.</w:t>
      </w:r>
    </w:p>
    <w:p w14:paraId="0FA9FDF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The case law of the European Court of Human Rights (</w:t>
      </w:r>
      <w:r w:rsidRPr="00511005">
        <w:rPr>
          <w:rFonts w:ascii="Arial" w:eastAsia="Times New Roman" w:hAnsi="Arial" w:cs="Arial"/>
          <w:szCs w:val="28"/>
          <w:lang w:val="en-US" w:eastAsia="ru-RU"/>
        </w:rPr>
        <w:t xml:space="preserve">hereinafter - </w:t>
      </w:r>
      <w:r w:rsidRPr="00511005">
        <w:rPr>
          <w:rFonts w:ascii="Arial" w:eastAsia="Times New Roman" w:hAnsi="Arial" w:cs="Arial"/>
          <w:szCs w:val="28"/>
          <w:lang w:val="uk-UA" w:eastAsia="ru-RU"/>
        </w:rPr>
        <w:t>ECtHR) and the Court of Justice of the European Union (</w:t>
      </w:r>
      <w:r w:rsidRPr="00511005">
        <w:rPr>
          <w:rFonts w:ascii="Arial" w:eastAsia="Times New Roman" w:hAnsi="Arial" w:cs="Arial"/>
          <w:szCs w:val="28"/>
          <w:lang w:val="en-US" w:eastAsia="ru-RU"/>
        </w:rPr>
        <w:t xml:space="preserve">hereinafter - </w:t>
      </w:r>
      <w:r w:rsidRPr="00511005">
        <w:rPr>
          <w:rFonts w:ascii="Arial" w:eastAsia="Times New Roman" w:hAnsi="Arial" w:cs="Arial"/>
          <w:szCs w:val="28"/>
          <w:lang w:val="uk-UA" w:eastAsia="ru-RU"/>
        </w:rPr>
        <w:t>CJEU) plays a vital role in mitigating such risks. In «Aranyosi and Căldăraru v. Germany»</w:t>
      </w:r>
      <w:r w:rsidRPr="00511005">
        <w:rPr>
          <w:rFonts w:ascii="Arial" w:eastAsia="Times New Roman" w:hAnsi="Arial" w:cs="Arial"/>
          <w:szCs w:val="28"/>
          <w:lang w:val="en-US" w:eastAsia="ru-RU"/>
        </w:rPr>
        <w:t xml:space="preserve"> [1]</w:t>
      </w:r>
      <w:r w:rsidRPr="00511005">
        <w:rPr>
          <w:rFonts w:ascii="Arial" w:eastAsia="Times New Roman" w:hAnsi="Arial" w:cs="Arial"/>
          <w:szCs w:val="28"/>
          <w:lang w:val="uk-UA" w:eastAsia="ru-RU"/>
        </w:rPr>
        <w:t xml:space="preserve">, the CJEU established that national courts must refuse execution if there is a real risk of inhuman or degrading treatment in the issuing Member State. This approach was reaffirmed in «Minister for Justice and Equality v. LM (Celmer)» </w:t>
      </w:r>
      <w:r w:rsidRPr="00511005">
        <w:rPr>
          <w:rFonts w:ascii="Arial" w:eastAsia="Times New Roman" w:hAnsi="Arial" w:cs="Arial"/>
          <w:szCs w:val="28"/>
          <w:lang w:val="en-US" w:eastAsia="ru-RU"/>
        </w:rPr>
        <w:t>[5]</w:t>
      </w:r>
      <w:r w:rsidRPr="00511005">
        <w:rPr>
          <w:rFonts w:ascii="Arial" w:eastAsia="Times New Roman" w:hAnsi="Arial" w:cs="Arial"/>
          <w:szCs w:val="28"/>
          <w:lang w:val="uk-UA" w:eastAsia="ru-RU"/>
        </w:rPr>
        <w:t>, which concerned systemic deficiencies in the judiciary of Poland.</w:t>
      </w:r>
    </w:p>
    <w:p w14:paraId="07808BA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The Framework Decision provides both mandatory and optional grounds for refusal to execute an EAW. Mandatory grounds include situations where the person has already been finally convicted or acquitted for the same offence (</w:t>
      </w:r>
      <w:r w:rsidRPr="00511005">
        <w:rPr>
          <w:rFonts w:ascii="Arial" w:eastAsia="Times New Roman" w:hAnsi="Arial" w:cs="Arial"/>
          <w:i/>
          <w:iCs/>
          <w:szCs w:val="28"/>
          <w:lang w:val="uk-UA" w:eastAsia="ru-RU"/>
        </w:rPr>
        <w:t>ne bis in idem</w:t>
      </w:r>
      <w:r w:rsidRPr="00511005">
        <w:rPr>
          <w:rFonts w:ascii="Arial" w:eastAsia="Times New Roman" w:hAnsi="Arial" w:cs="Arial"/>
          <w:szCs w:val="28"/>
          <w:lang w:val="uk-UA" w:eastAsia="ru-RU"/>
        </w:rPr>
        <w:t xml:space="preserve">), or where the person has not reached the age of criminal responsibility according to the law of the executing State. Optional grounds include, </w:t>
      </w:r>
      <w:r w:rsidRPr="00511005">
        <w:rPr>
          <w:rFonts w:ascii="Arial" w:eastAsia="Times New Roman" w:hAnsi="Arial" w:cs="Arial"/>
          <w:i/>
          <w:iCs/>
          <w:szCs w:val="28"/>
          <w:lang w:val="uk-UA" w:eastAsia="ru-RU"/>
        </w:rPr>
        <w:t>inter alia</w:t>
      </w:r>
      <w:r w:rsidRPr="00511005">
        <w:rPr>
          <w:rFonts w:ascii="Arial" w:eastAsia="Times New Roman" w:hAnsi="Arial" w:cs="Arial"/>
          <w:szCs w:val="28"/>
          <w:lang w:val="uk-UA" w:eastAsia="ru-RU"/>
        </w:rPr>
        <w:t>, offences committed on the territory of the executing State, pending proceedings in the executing State concerning the same facts, or where there is a risk to the fundamental rights of the person concerned.</w:t>
      </w:r>
    </w:p>
    <w:p w14:paraId="697B465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The application of optional grounds requires a careful assessment of the specific circumstances of each case and consideration of the principle of proportionality. There have been documented instances where EAWs were issued for individuals suspected of minor offences such as petty theft, provoking criticism from human rights organisations regarding the excessive interference with personal liberty </w:t>
      </w:r>
      <w:r w:rsidRPr="00511005">
        <w:rPr>
          <w:rFonts w:ascii="Arial" w:eastAsia="Times New Roman" w:hAnsi="Arial" w:cs="Arial"/>
          <w:szCs w:val="28"/>
          <w:lang w:val="en-US" w:eastAsia="ru-RU"/>
        </w:rPr>
        <w:t>[2]</w:t>
      </w:r>
      <w:r w:rsidRPr="00511005">
        <w:rPr>
          <w:rFonts w:ascii="Arial" w:eastAsia="Times New Roman" w:hAnsi="Arial" w:cs="Arial"/>
          <w:szCs w:val="28"/>
          <w:lang w:val="uk-UA" w:eastAsia="ru-RU"/>
        </w:rPr>
        <w:t>.</w:t>
      </w:r>
    </w:p>
    <w:p w14:paraId="3947217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The effective operation of the EAW is premised on mutual trust between EU Member States, particularly about the quality of justice, adherence to human rights, and the independence of the judiciary. In recent years, serious concerns have emerged in this area, notably concerning Hungary, Poland, and Romania, where systemic issues relating to judicial independence and detention conditions have been identified. These developments challenge the very notion of automated recognition of warrants without a thorough examination of individual risks.</w:t>
      </w:r>
    </w:p>
    <w:p w14:paraId="78DAED1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The ECtHR has repeatedly emphasised that formal compliance with procedure cannot justify extradition or surrender where this would lead to a serious violation of the individual’s rights. In this context, it is essential to strengthen the role of national courts in assessing systemic threats in the issuing State, as well as to ensure that the latter provides adequate assurances of lawful treatment.</w:t>
      </w:r>
    </w:p>
    <w:p w14:paraId="01C5E9DE"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So, as the conclusion, the European Arrest Warrant constitutes a significant step towards building an area of freedom, security and justice within the EU. It facilitates the swift and effective surrender of accused or convicted individuals, thereby contributing to the fight against cross-border crime. At the same time, the effectiveness of this instrument largely depends on the protection of human </w:t>
      </w:r>
      <w:r w:rsidRPr="00511005">
        <w:rPr>
          <w:rFonts w:ascii="Arial" w:eastAsia="Times New Roman" w:hAnsi="Arial" w:cs="Arial"/>
          <w:szCs w:val="28"/>
          <w:lang w:val="en-US" w:eastAsia="ru-RU"/>
        </w:rPr>
        <w:lastRenderedPageBreak/>
        <w:t>rights, judicial independence, and proportionality of measures. Improving the EAW mechanism requires maintaining a delicate balance between effective criminal prosecution and respect for fundamental rights, which remain a core value of the European Union</w:t>
      </w:r>
      <w:bookmarkEnd w:id="44"/>
      <w:r w:rsidRPr="00511005">
        <w:rPr>
          <w:rFonts w:ascii="Arial" w:eastAsia="Times New Roman" w:hAnsi="Arial" w:cs="Arial"/>
          <w:szCs w:val="28"/>
          <w:lang w:val="en-US" w:eastAsia="ru-RU"/>
        </w:rPr>
        <w:t>.</w:t>
      </w:r>
    </w:p>
    <w:p w14:paraId="20A995C9"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24E3F2FA"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References</w:t>
      </w:r>
    </w:p>
    <w:p w14:paraId="57ED18B7" w14:textId="77777777" w:rsidR="00220D3E" w:rsidRPr="00511005" w:rsidRDefault="00220D3E" w:rsidP="003F6A5D">
      <w:pPr>
        <w:numPr>
          <w:ilvl w:val="0"/>
          <w:numId w:val="113"/>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Aranyosi and Căldăraru, Joined Cases C-404/15 and C-659/15 PPU, Judgment of 5 April 2016. URL: </w:t>
      </w:r>
      <w:hyperlink r:id="rId369" w:history="1">
        <w:r w:rsidRPr="00511005">
          <w:rPr>
            <w:rFonts w:ascii="Arial" w:eastAsia="Calibri" w:hAnsi="Arial" w:cs="Arial"/>
            <w:szCs w:val="28"/>
            <w:lang w:val="en-US"/>
          </w:rPr>
          <w:t>https://eur-lex.europa.eu/legal-content/EN/TXT/?uri=celex:62015CJ0404</w:t>
        </w:r>
      </w:hyperlink>
      <w:r w:rsidRPr="00511005">
        <w:rPr>
          <w:rFonts w:ascii="Arial" w:eastAsia="Calibri" w:hAnsi="Arial" w:cs="Arial"/>
          <w:szCs w:val="28"/>
          <w:lang w:val="uk-UA"/>
        </w:rPr>
        <w:t xml:space="preserve"> (</w:t>
      </w:r>
      <w:r w:rsidRPr="00511005">
        <w:rPr>
          <w:rFonts w:ascii="Arial" w:eastAsia="Calibri" w:hAnsi="Arial" w:cs="Arial"/>
          <w:iCs/>
          <w:szCs w:val="28"/>
          <w:lang w:val="en-US"/>
        </w:rPr>
        <w:t>date of reference: 05.05.2025</w:t>
      </w:r>
      <w:r w:rsidRPr="00511005">
        <w:rPr>
          <w:rFonts w:ascii="Arial" w:eastAsia="Calibri" w:hAnsi="Arial" w:cs="Arial"/>
          <w:szCs w:val="28"/>
          <w:lang w:val="uk-UA"/>
        </w:rPr>
        <w:t>)</w:t>
      </w:r>
    </w:p>
    <w:p w14:paraId="3DDA11A7" w14:textId="77777777" w:rsidR="00220D3E" w:rsidRPr="00511005" w:rsidRDefault="00220D3E" w:rsidP="003F6A5D">
      <w:pPr>
        <w:numPr>
          <w:ilvl w:val="0"/>
          <w:numId w:val="113"/>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Beyond Surrender: Putting Human Rights at the Heart of the European Arrest Warrant. Fair Trials. 2018. 21 p. URL: </w:t>
      </w:r>
      <w:hyperlink r:id="rId370" w:history="1">
        <w:r w:rsidRPr="00511005">
          <w:rPr>
            <w:rFonts w:ascii="Arial" w:eastAsia="Calibri" w:hAnsi="Arial" w:cs="Arial"/>
            <w:szCs w:val="28"/>
            <w:lang w:val="en-US"/>
          </w:rPr>
          <w:t>https://www.fairtrials.org/app/uploads/2022/01/FT_beyond-surrender_B5_web_spreads.pdf</w:t>
        </w:r>
      </w:hyperlink>
      <w:r w:rsidRPr="00511005">
        <w:rPr>
          <w:rFonts w:ascii="Arial" w:eastAsia="Calibri" w:hAnsi="Arial" w:cs="Arial"/>
          <w:szCs w:val="28"/>
          <w:lang w:val="en-US"/>
        </w:rPr>
        <w:t xml:space="preserve"> </w:t>
      </w:r>
      <w:r w:rsidRPr="00511005">
        <w:rPr>
          <w:rFonts w:ascii="Arial" w:eastAsia="Calibri" w:hAnsi="Arial" w:cs="Arial"/>
          <w:szCs w:val="28"/>
          <w:lang w:val="uk-UA"/>
        </w:rPr>
        <w:t>(</w:t>
      </w:r>
      <w:r w:rsidRPr="00511005">
        <w:rPr>
          <w:rFonts w:ascii="Arial" w:eastAsia="Calibri" w:hAnsi="Arial" w:cs="Arial"/>
          <w:iCs/>
          <w:szCs w:val="28"/>
          <w:lang w:val="en-US"/>
        </w:rPr>
        <w:t>date of reference: 05.05.2025</w:t>
      </w:r>
      <w:r w:rsidRPr="00511005">
        <w:rPr>
          <w:rFonts w:ascii="Arial" w:eastAsia="Calibri" w:hAnsi="Arial" w:cs="Arial"/>
          <w:szCs w:val="28"/>
          <w:lang w:val="uk-UA"/>
        </w:rPr>
        <w:t>)</w:t>
      </w:r>
    </w:p>
    <w:p w14:paraId="71E40018" w14:textId="77777777" w:rsidR="00220D3E" w:rsidRPr="00511005" w:rsidRDefault="00220D3E" w:rsidP="003F6A5D">
      <w:pPr>
        <w:numPr>
          <w:ilvl w:val="0"/>
          <w:numId w:val="113"/>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Commission Notice – Handbook on how to issue and execute a European Arrest Warrant (C/2023/1270). Official Journal of the European Union. URL: </w:t>
      </w:r>
      <w:hyperlink r:id="rId371" w:history="1">
        <w:r w:rsidRPr="00511005">
          <w:rPr>
            <w:rFonts w:ascii="Arial" w:eastAsia="Calibri" w:hAnsi="Arial" w:cs="Arial"/>
            <w:szCs w:val="28"/>
            <w:lang w:val="en-US"/>
          </w:rPr>
          <w:t>https://eur-lex.europa.eu/legal-content/EN/TXT/HTML/?uri=CELEX%3A52023XC01270</w:t>
        </w:r>
      </w:hyperlink>
      <w:r w:rsidRPr="00511005">
        <w:rPr>
          <w:rFonts w:ascii="Arial" w:eastAsia="Calibri" w:hAnsi="Arial" w:cs="Arial"/>
          <w:szCs w:val="28"/>
          <w:lang w:val="en-US"/>
        </w:rPr>
        <w:t xml:space="preserve"> </w:t>
      </w:r>
      <w:r w:rsidRPr="00511005">
        <w:rPr>
          <w:rFonts w:ascii="Arial" w:eastAsia="Calibri" w:hAnsi="Arial" w:cs="Arial"/>
          <w:szCs w:val="28"/>
          <w:lang w:val="uk-UA"/>
        </w:rPr>
        <w:t>(</w:t>
      </w:r>
      <w:r w:rsidRPr="00511005">
        <w:rPr>
          <w:rFonts w:ascii="Arial" w:eastAsia="Calibri" w:hAnsi="Arial" w:cs="Arial"/>
          <w:iCs/>
          <w:szCs w:val="28"/>
          <w:lang w:val="en-US"/>
        </w:rPr>
        <w:t>date of reference: 05.05.2025</w:t>
      </w:r>
      <w:r w:rsidRPr="00511005">
        <w:rPr>
          <w:rFonts w:ascii="Arial" w:eastAsia="Calibri" w:hAnsi="Arial" w:cs="Arial"/>
          <w:szCs w:val="28"/>
          <w:lang w:val="uk-UA"/>
        </w:rPr>
        <w:t>)</w:t>
      </w:r>
    </w:p>
    <w:p w14:paraId="52E47D0C" w14:textId="77777777" w:rsidR="00220D3E" w:rsidRPr="00511005" w:rsidRDefault="00220D3E" w:rsidP="003F6A5D">
      <w:pPr>
        <w:numPr>
          <w:ilvl w:val="0"/>
          <w:numId w:val="113"/>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Council Framework Decision of 13 June 2002 on the European arrest warrant and the surrender procedures between Member States 2002/584/JHA. URL: </w:t>
      </w:r>
      <w:hyperlink r:id="rId372" w:history="1">
        <w:r w:rsidRPr="00511005">
          <w:rPr>
            <w:rFonts w:ascii="Arial" w:eastAsia="Calibri" w:hAnsi="Arial" w:cs="Arial"/>
            <w:szCs w:val="28"/>
            <w:lang w:val="en-US"/>
          </w:rPr>
          <w:t>https://eur-lex.europa.eu/eli/dec_framw/2002/584/oj/eng</w:t>
        </w:r>
      </w:hyperlink>
      <w:r w:rsidRPr="00511005">
        <w:rPr>
          <w:rFonts w:ascii="Arial" w:eastAsia="Calibri" w:hAnsi="Arial" w:cs="Arial"/>
          <w:szCs w:val="28"/>
          <w:lang w:val="en-US"/>
        </w:rPr>
        <w:t xml:space="preserve"> </w:t>
      </w:r>
      <w:r w:rsidRPr="00511005">
        <w:rPr>
          <w:rFonts w:ascii="Arial" w:eastAsia="Calibri" w:hAnsi="Arial" w:cs="Arial"/>
          <w:szCs w:val="28"/>
          <w:lang w:val="uk-UA"/>
        </w:rPr>
        <w:t>(</w:t>
      </w:r>
      <w:r w:rsidRPr="00511005">
        <w:rPr>
          <w:rFonts w:ascii="Arial" w:eastAsia="Calibri" w:hAnsi="Arial" w:cs="Arial"/>
          <w:iCs/>
          <w:szCs w:val="28"/>
          <w:lang w:val="en-US"/>
        </w:rPr>
        <w:t>date of reference: 05.05.2025</w:t>
      </w:r>
      <w:r w:rsidRPr="00511005">
        <w:rPr>
          <w:rFonts w:ascii="Arial" w:eastAsia="Calibri" w:hAnsi="Arial" w:cs="Arial"/>
          <w:szCs w:val="28"/>
          <w:lang w:val="uk-UA"/>
        </w:rPr>
        <w:t>)</w:t>
      </w:r>
    </w:p>
    <w:p w14:paraId="229E1798" w14:textId="77777777" w:rsidR="00220D3E" w:rsidRPr="00511005" w:rsidRDefault="00220D3E" w:rsidP="003F6A5D">
      <w:pPr>
        <w:numPr>
          <w:ilvl w:val="0"/>
          <w:numId w:val="113"/>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Minister for Justice and Equality v. LM (Celmer), Case C-216/18 PPU, Judgment of 25 July 2018. URL: </w:t>
      </w:r>
      <w:hyperlink r:id="rId373" w:history="1">
        <w:r w:rsidRPr="00511005">
          <w:rPr>
            <w:rFonts w:ascii="Arial" w:eastAsia="Calibri" w:hAnsi="Arial" w:cs="Arial"/>
            <w:szCs w:val="28"/>
            <w:lang w:val="en-US"/>
          </w:rPr>
          <w:t>https://eur-lex.europa.eu/legal-content/EN/TXT/?uri=celex:62018CJ0216</w:t>
        </w:r>
      </w:hyperlink>
      <w:r w:rsidRPr="00511005">
        <w:rPr>
          <w:rFonts w:ascii="Arial" w:eastAsia="Calibri" w:hAnsi="Arial" w:cs="Arial"/>
          <w:szCs w:val="28"/>
          <w:lang w:val="en-US"/>
        </w:rPr>
        <w:t xml:space="preserve"> </w:t>
      </w:r>
      <w:r w:rsidRPr="00511005">
        <w:rPr>
          <w:rFonts w:ascii="Arial" w:eastAsia="Calibri" w:hAnsi="Arial" w:cs="Arial"/>
          <w:szCs w:val="28"/>
          <w:lang w:val="uk-UA"/>
        </w:rPr>
        <w:t>(</w:t>
      </w:r>
      <w:r w:rsidRPr="00511005">
        <w:rPr>
          <w:rFonts w:ascii="Arial" w:eastAsia="Calibri" w:hAnsi="Arial" w:cs="Arial"/>
          <w:iCs/>
          <w:szCs w:val="28"/>
          <w:lang w:val="en-US"/>
        </w:rPr>
        <w:t>date of reference: 05.05.2025</w:t>
      </w:r>
      <w:r w:rsidRPr="00511005">
        <w:rPr>
          <w:rFonts w:ascii="Arial" w:eastAsia="Calibri" w:hAnsi="Arial" w:cs="Arial"/>
          <w:szCs w:val="28"/>
          <w:lang w:val="uk-UA"/>
        </w:rPr>
        <w:t>)</w:t>
      </w:r>
    </w:p>
    <w:p w14:paraId="25FBDAB7"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4A0276AC" w14:textId="05507150"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iCs/>
          <w:szCs w:val="28"/>
          <w:lang w:val="uk-UA" w:eastAsia="ru-RU"/>
        </w:rPr>
        <w:t xml:space="preserve">Ключові слова: </w:t>
      </w:r>
      <w:r w:rsidR="00220D3E" w:rsidRPr="00511005">
        <w:rPr>
          <w:rFonts w:ascii="Arial" w:eastAsia="Times New Roman" w:hAnsi="Arial" w:cs="Arial"/>
          <w:szCs w:val="28"/>
          <w:lang w:val="uk-UA" w:eastAsia="ru-RU"/>
        </w:rPr>
        <w:t xml:space="preserve">Європейський ордер на арешт, права людини, Європейська конвенція з прав людини (ЄКПЛ), Європейський суд з прав людини (ЄСПЛ), судове співробітництво, пропорційність. </w:t>
      </w:r>
    </w:p>
    <w:p w14:paraId="5B8F764E" w14:textId="3DAD39DB"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iCs/>
          <w:szCs w:val="28"/>
          <w:lang w:val="en-US" w:eastAsia="ru-RU"/>
        </w:rPr>
        <w:t xml:space="preserve">Key words: </w:t>
      </w:r>
      <w:r w:rsidR="00220D3E" w:rsidRPr="00511005">
        <w:rPr>
          <w:rFonts w:ascii="Arial" w:eastAsia="Times New Roman" w:hAnsi="Arial" w:cs="Arial"/>
          <w:szCs w:val="28"/>
          <w:lang w:val="en-US" w:eastAsia="ru-RU"/>
        </w:rPr>
        <w:t>European Arrest Warrant, human rights, European Convention on Human Rights (ECHR), European Court of Human Rights (ECtHR), judicial cooperation, proportionality</w:t>
      </w:r>
    </w:p>
    <w:p w14:paraId="29BA75AA" w14:textId="7C204D2D" w:rsidR="00220D3E" w:rsidRPr="00511005" w:rsidRDefault="006C2EDA" w:rsidP="003A292D">
      <w:pPr>
        <w:tabs>
          <w:tab w:val="left" w:pos="709"/>
        </w:tabs>
        <w:spacing w:line="264" w:lineRule="auto"/>
        <w:rPr>
          <w:rFonts w:ascii="Arial" w:eastAsia="Times New Roman" w:hAnsi="Arial" w:cs="Arial"/>
          <w:i/>
          <w:szCs w:val="28"/>
          <w:lang w:val="uk-UA"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Times New Roman" w:hAnsi="Arial" w:cs="Arial"/>
          <w:bCs/>
          <w:i/>
          <w:szCs w:val="28"/>
          <w:lang w:val="uk-UA" w:eastAsia="ru-RU"/>
        </w:rPr>
        <w:t>PhD in Law, Associate Professor Dronov V.</w:t>
      </w:r>
    </w:p>
    <w:p w14:paraId="7140C0BD"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p>
    <w:p w14:paraId="5C2F0586"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en-US" w:eastAsia="ru-RU"/>
        </w:rPr>
        <w:t xml:space="preserve">Kasimbekova Vladyslava </w:t>
      </w:r>
    </w:p>
    <w:p w14:paraId="12F3D10E"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4th year student of the Faculty of Judicial and International Law</w:t>
      </w:r>
    </w:p>
    <w:p w14:paraId="2EA7C4BA"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National University «Odesa Law Academy»</w:t>
      </w:r>
    </w:p>
    <w:p w14:paraId="7532E7B6"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3CF030A5" w14:textId="77777777" w:rsidR="00220D3E" w:rsidRPr="00511005" w:rsidRDefault="00220D3E" w:rsidP="003A292D">
      <w:pPr>
        <w:tabs>
          <w:tab w:val="left" w:pos="709"/>
        </w:tabs>
        <w:spacing w:line="264" w:lineRule="auto"/>
        <w:jc w:val="center"/>
        <w:rPr>
          <w:rFonts w:ascii="Arial" w:eastAsia="Times New Roman" w:hAnsi="Arial" w:cs="Arial"/>
          <w:bCs/>
          <w:szCs w:val="28"/>
          <w:lang w:val="en-US" w:eastAsia="ru-RU"/>
        </w:rPr>
      </w:pPr>
      <w:r w:rsidRPr="00511005">
        <w:rPr>
          <w:rFonts w:ascii="Arial" w:eastAsia="Times New Roman" w:hAnsi="Arial" w:cs="Arial"/>
          <w:b/>
          <w:szCs w:val="28"/>
          <w:lang w:val="en-US" w:eastAsia="ru-RU"/>
        </w:rPr>
        <w:t>THE ROLE OF THE UNITED NATIONS IN PROTECTING HUMAN RIGHTS WORLDWIDE</w:t>
      </w:r>
    </w:p>
    <w:p w14:paraId="658709C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Since its establishment in 1945, the United Nations (UN) has remained a fundamental actor in the global effort to safeguard and promote human rights. </w:t>
      </w:r>
      <w:r w:rsidRPr="00511005">
        <w:rPr>
          <w:rFonts w:ascii="Arial" w:eastAsia="Times New Roman" w:hAnsi="Arial" w:cs="Arial"/>
          <w:szCs w:val="28"/>
          <w:lang w:val="en-US" w:eastAsia="ru-RU"/>
        </w:rPr>
        <w:lastRenderedPageBreak/>
        <w:t xml:space="preserve">The UN Charter clearly outlines the Organization's commitment to encouraging respect for human rights and fundamental freedoms without distinction [1]. </w:t>
      </w:r>
    </w:p>
    <w:p w14:paraId="088ED6F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This foundational principle was further expanded with the adoption of major international documents such as the Universal Declaration of Human Rights in 1948 and two key covenants in 1966: the International Covenant on Civil and Political Rights and the International Covenant on Economic, Social and Cultural Rights [2]</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[3]. </w:t>
      </w:r>
    </w:p>
    <w:p w14:paraId="6ADA442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"International Bill of Human Rights" sets standards that guide the behavior of states and other actors in the international community. Furthermore, the UN has developed thematic conventions addressing specific vulnerabilities, including the Convention on the Elimination of All Forms of Discrimination Against Women (1979) and the Convention on the Rights of the Child (1989), thereby reinforcing the architecture of human rights protection.</w:t>
      </w:r>
    </w:p>
    <w:p w14:paraId="52759EB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Within the UN system, a number of institutions have been established to oversee compliance with human rights norms. The Human Rights Council, created in 2006 to replace the earlier Commission on Human Rights, is central to addressing violations and promoting the progressive realization of human rights [4]. </w:t>
      </w:r>
    </w:p>
    <w:p w14:paraId="05572A8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Another key body is the Office of the High Commissioner for Human Rights (OHCHR), which monitors conditions worldwide, assists states in meeting their human rights obligations, and provides vital reports to other UN bodies and the public [5]. </w:t>
      </w:r>
    </w:p>
    <w:p w14:paraId="7C063DA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In addition, treaty-monitoring bodies such as the Human Rights Committee, the Committee Against Torture, and others supervise states' adherence to specific international treaties. One of the most innovative mechanisms developed by the UN is the Universal Periodic Review (UPR), a peer-review process that examines the human rights practices of all UN Member States on a regular basis</w:t>
      </w:r>
      <w:r w:rsidRPr="00511005">
        <w:rPr>
          <w:rFonts w:ascii="Arial" w:eastAsia="Times New Roman" w:hAnsi="Arial" w:cs="Arial"/>
          <w:szCs w:val="28"/>
          <w:lang w:val="uk-UA" w:eastAsia="ru-RU"/>
        </w:rPr>
        <w:t>.</w:t>
      </w:r>
    </w:p>
    <w:p w14:paraId="1678F32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Nevertheless, the UN's role in human rights protection is not without obstacles. Political dynamics within the UN often result in the selective application of human rights principles, as powerful states can exert influence to shield allies or themselves from scrutiny [</w:t>
      </w:r>
      <w:r w:rsidRPr="00511005">
        <w:rPr>
          <w:rFonts w:ascii="Arial" w:eastAsia="Times New Roman" w:hAnsi="Arial" w:cs="Arial"/>
          <w:szCs w:val="28"/>
          <w:lang w:val="uk-UA" w:eastAsia="ru-RU"/>
        </w:rPr>
        <w:t>6</w:t>
      </w:r>
      <w:r w:rsidRPr="00511005">
        <w:rPr>
          <w:rFonts w:ascii="Arial" w:eastAsia="Times New Roman" w:hAnsi="Arial" w:cs="Arial"/>
          <w:szCs w:val="28"/>
          <w:lang w:val="en-US" w:eastAsia="ru-RU"/>
        </w:rPr>
        <w:t xml:space="preserve">]. </w:t>
      </w:r>
    </w:p>
    <w:p w14:paraId="39143EB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Resource limitations also severely constrain the ability of UN mechanisms to address urgent crises effectively</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Furthermore, the principle of state sovereignty continues to be invoked by governments that resist external examination of their human rights practices, creating tension between national interests and international human rights obligations.</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w:t>
      </w:r>
      <w:r w:rsidRPr="00511005">
        <w:rPr>
          <w:rFonts w:ascii="Arial" w:eastAsia="Times New Roman" w:hAnsi="Arial" w:cs="Arial"/>
          <w:szCs w:val="28"/>
          <w:lang w:val="uk-UA" w:eastAsia="ru-RU"/>
        </w:rPr>
        <w:t>7</w:t>
      </w:r>
      <w:r w:rsidRPr="00511005">
        <w:rPr>
          <w:rFonts w:ascii="Arial" w:eastAsia="Times New Roman" w:hAnsi="Arial" w:cs="Arial"/>
          <w:szCs w:val="28"/>
          <w:lang w:val="en-US" w:eastAsia="ru-RU"/>
        </w:rPr>
        <w:t>]</w:t>
      </w:r>
    </w:p>
    <w:p w14:paraId="58B794E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Recognizing these challenges, the UN has continued to reform and strengthen its human rights machinery. Efforts to enhance the independence, transparency, and efficiency of human rights bodies have been accompanied by calls for more predictable and sufficient funding. Moreover, new threats to human rights are emerging, including those linked to climate change, the digital </w:t>
      </w:r>
      <w:r w:rsidRPr="00511005">
        <w:rPr>
          <w:rFonts w:ascii="Arial" w:eastAsia="Times New Roman" w:hAnsi="Arial" w:cs="Arial"/>
          <w:szCs w:val="28"/>
          <w:lang w:val="en-US" w:eastAsia="ru-RU"/>
        </w:rPr>
        <w:lastRenderedPageBreak/>
        <w:t>revolution, cyber security threats, artificial intelligence governance, and global migration patterns [</w:t>
      </w:r>
      <w:r w:rsidRPr="00511005">
        <w:rPr>
          <w:rFonts w:ascii="Arial" w:eastAsia="Times New Roman" w:hAnsi="Arial" w:cs="Arial"/>
          <w:szCs w:val="28"/>
          <w:lang w:val="uk-UA" w:eastAsia="ru-RU"/>
        </w:rPr>
        <w:t>8</w:t>
      </w:r>
      <w:r w:rsidRPr="00511005">
        <w:rPr>
          <w:rFonts w:ascii="Arial" w:eastAsia="Times New Roman" w:hAnsi="Arial" w:cs="Arial"/>
          <w:szCs w:val="28"/>
          <w:lang w:val="en-US" w:eastAsia="ru-RU"/>
        </w:rPr>
        <w:t xml:space="preserve">]. </w:t>
      </w:r>
    </w:p>
    <w:p w14:paraId="15D83D42"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UN is increasingly seeking to integrate these contemporary issues into its human rights agenda, acknowledging that a dynamic and evolving approach is necessary to meet the complex realities of the modern world.</w:t>
      </w:r>
    </w:p>
    <w:p w14:paraId="23B2D090"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Beyond traditional mechanisms, the UN has also emphasized the role of special procedures such as special rapporteurs, independent experts, and working groups that investigate specific country situations or thematic issues globally. These procedures allow for more flexible, responsive, and expert-driven interventions into emerging human rights concerns. The UN General Assembly and the Security Council have, at times, addressed gross violations of human rights and humanitarian crises, particularly through sanctions regimes, peacekeeping missions, and ad hoc tribunals, as witnessed in cases like the former Yugoslavia and Rwanda.</w:t>
      </w:r>
    </w:p>
    <w:p w14:paraId="1DF7F803"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Another crucial aspect of the UN's human rights architecture is its partnership with non-governmental organizations (NGOs) and civil society. By granting consultative status to NGOs through the Economic and Social Council (ECOSOC), the UN ensures that independent voices contribute to the monitoring and advocacy processes. Civil society engagement helps highlight abuses that may otherwise go unaddressed and empowers victims to seek redress.</w:t>
      </w:r>
    </w:p>
    <w:p w14:paraId="4CF23A72"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Educational initiatives, public information campaigns, and technical assistance programs are further tools employed by the UN to foster a culture of human rights worldwide. Programs such as the World Programme for Human Rights Education demonstrate the UN's commitment to preventive measures that address the root causes of human rights abuses by building more tolerant, inclusive, and just societies.</w:t>
      </w:r>
    </w:p>
    <w:p w14:paraId="03B8F97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Despite facing political and structural challenges, the United Nations remains indispensable in the global human rights landscape. Its initiatives have not only codified basic rights and freedoms but also helped foster a global culture that increasingly holds states accountable for violations. Moving forward, reinforcing multilateral cooperation, ensuring equitable representation within human rights forums, prioritizing the protection of vulnerable populations, and embracing innovative responses to new global challenges will be critical for enhancing the effectiveness of the UN's human rights mission. Upholding the dignity and equality of all people worldwide remains the enduring objective of the United Nations, a task that demands persistent effort, innovation, and international solidarity.</w:t>
      </w:r>
    </w:p>
    <w:p w14:paraId="6A46F9B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3FE78148"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en-US" w:eastAsia="ru-RU"/>
        </w:rPr>
        <w:t>References</w:t>
      </w:r>
    </w:p>
    <w:p w14:paraId="2F5774C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1.</w:t>
      </w:r>
      <w:r w:rsidRPr="00511005">
        <w:rPr>
          <w:rFonts w:ascii="Arial" w:eastAsia="Times New Roman" w:hAnsi="Arial" w:cs="Arial"/>
          <w:szCs w:val="28"/>
          <w:lang w:val="en-US" w:eastAsia="ru-RU"/>
        </w:rPr>
        <w:t xml:space="preserve"> Charter of the United Nations, 1945, Preamble and Articles 1, 55</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(Last accessed: </w:t>
      </w:r>
      <w:r w:rsidRPr="00511005">
        <w:rPr>
          <w:rFonts w:ascii="Arial" w:eastAsia="Times New Roman" w:hAnsi="Arial" w:cs="Arial"/>
          <w:szCs w:val="28"/>
          <w:lang w:val="uk-UA" w:eastAsia="ru-RU"/>
        </w:rPr>
        <w:t>06.05.2025</w:t>
      </w:r>
      <w:r w:rsidRPr="00511005">
        <w:rPr>
          <w:rFonts w:ascii="Arial" w:eastAsia="Times New Roman" w:hAnsi="Arial" w:cs="Arial"/>
          <w:szCs w:val="28"/>
          <w:lang w:val="en-US" w:eastAsia="ru-RU"/>
        </w:rPr>
        <w:t>)</w:t>
      </w:r>
    </w:p>
    <w:p w14:paraId="4927FD63"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uk-UA" w:eastAsia="ru-RU"/>
        </w:rPr>
        <w:lastRenderedPageBreak/>
        <w:t>2.</w:t>
      </w:r>
      <w:r w:rsidRPr="00511005">
        <w:rPr>
          <w:rFonts w:ascii="Arial" w:eastAsia="Times New Roman" w:hAnsi="Arial" w:cs="Arial"/>
          <w:szCs w:val="28"/>
          <w:lang w:val="en-US" w:eastAsia="ru-RU"/>
        </w:rPr>
        <w:t xml:space="preserve"> United Nations, History of the UN</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URL: https://www.un.org/en/about-us/history-of-the-un</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(Last accessed: </w:t>
      </w:r>
      <w:r w:rsidRPr="00511005">
        <w:rPr>
          <w:rFonts w:ascii="Arial" w:eastAsia="Times New Roman" w:hAnsi="Arial" w:cs="Arial"/>
          <w:szCs w:val="28"/>
          <w:lang w:val="uk-UA" w:eastAsia="ru-RU"/>
        </w:rPr>
        <w:t>06.05.2025</w:t>
      </w:r>
      <w:r w:rsidRPr="00511005">
        <w:rPr>
          <w:rFonts w:ascii="Arial" w:eastAsia="Times New Roman" w:hAnsi="Arial" w:cs="Arial"/>
          <w:szCs w:val="28"/>
          <w:lang w:val="en-US" w:eastAsia="ru-RU"/>
        </w:rPr>
        <w:t>)</w:t>
      </w:r>
    </w:p>
    <w:p w14:paraId="1E30ABE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3.</w:t>
      </w:r>
      <w:r w:rsidRPr="00511005">
        <w:rPr>
          <w:rFonts w:ascii="Arial" w:eastAsia="Times New Roman" w:hAnsi="Arial" w:cs="Arial"/>
          <w:szCs w:val="28"/>
          <w:lang w:val="en-US" w:eastAsia="ru-RU"/>
        </w:rPr>
        <w:t xml:space="preserve"> United Nations General Assembly, Universal Declaration of Human Rights, 1948; International Covenant on Civil and Political Rights, 1966; International Covenant on Economic, Social and Cultural Rights, 1966.</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(Last accessed: </w:t>
      </w:r>
      <w:r w:rsidRPr="00511005">
        <w:rPr>
          <w:rFonts w:ascii="Arial" w:eastAsia="Times New Roman" w:hAnsi="Arial" w:cs="Arial"/>
          <w:szCs w:val="28"/>
          <w:lang w:val="uk-UA" w:eastAsia="ru-RU"/>
        </w:rPr>
        <w:t>06.05.2025</w:t>
      </w:r>
      <w:r w:rsidRPr="00511005">
        <w:rPr>
          <w:rFonts w:ascii="Arial" w:eastAsia="Times New Roman" w:hAnsi="Arial" w:cs="Arial"/>
          <w:szCs w:val="28"/>
          <w:lang w:val="en-US" w:eastAsia="ru-RU"/>
        </w:rPr>
        <w:t>)</w:t>
      </w:r>
    </w:p>
    <w:p w14:paraId="4C3FE787"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uk-UA" w:eastAsia="ru-RU"/>
        </w:rPr>
        <w:t>4.</w:t>
      </w:r>
      <w:r w:rsidRPr="00511005">
        <w:rPr>
          <w:rFonts w:ascii="Arial" w:eastAsia="Times New Roman" w:hAnsi="Arial" w:cs="Arial"/>
          <w:szCs w:val="28"/>
          <w:lang w:val="en-US" w:eastAsia="ru-RU"/>
        </w:rPr>
        <w:t xml:space="preserve"> United Nations Human Rights Council</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URL: https://www.ohchr.org/en/hr-bodies/hrc/about-council</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(Last accessed: </w:t>
      </w:r>
      <w:r w:rsidRPr="00511005">
        <w:rPr>
          <w:rFonts w:ascii="Arial" w:eastAsia="Times New Roman" w:hAnsi="Arial" w:cs="Arial"/>
          <w:szCs w:val="28"/>
          <w:lang w:val="uk-UA" w:eastAsia="ru-RU"/>
        </w:rPr>
        <w:t>06.</w:t>
      </w:r>
      <w:r w:rsidRPr="00511005">
        <w:rPr>
          <w:rFonts w:ascii="Arial" w:eastAsia="Times New Roman" w:hAnsi="Arial" w:cs="Arial"/>
          <w:szCs w:val="28"/>
          <w:lang w:val="en-US" w:eastAsia="ru-RU"/>
        </w:rPr>
        <w:t>05.2025)</w:t>
      </w:r>
    </w:p>
    <w:p w14:paraId="62FFA457" w14:textId="734AEBC6" w:rsidR="00F45230" w:rsidRPr="00511005" w:rsidRDefault="00F45230" w:rsidP="003A292D">
      <w:pPr>
        <w:tabs>
          <w:tab w:val="left" w:pos="709"/>
        </w:tabs>
        <w:spacing w:line="264" w:lineRule="auto"/>
        <w:rPr>
          <w:rFonts w:ascii="Arial" w:eastAsia="Times New Roman" w:hAnsi="Arial" w:cs="Arial"/>
          <w:szCs w:val="28"/>
          <w:lang w:val="en-US" w:eastAsia="ru-RU"/>
        </w:rPr>
      </w:pPr>
      <w:r w:rsidRPr="00511005">
        <w:rPr>
          <w:rFonts w:ascii="Arial" w:eastAsia="NSimSun" w:hAnsi="Arial" w:cs="Arial"/>
          <w:kern w:val="2"/>
          <w:szCs w:val="28"/>
          <w:lang w:val="en-US" w:eastAsia="zh-CN" w:bidi="hi-IN"/>
        </w:rPr>
        <w:t>5. Office of the High Commissioner for Human Rights (OHCHR). Part About UN Human Rights. URL: https://www.ohchr.org/en/about-us (Last accessed: 06.05.2025)</w:t>
      </w:r>
    </w:p>
    <w:p w14:paraId="474F0B54" w14:textId="4CAEA513"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6. Alston P., Against a World Court for Human Rights, Ethics &amp; International Affairs, 2005.</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(Last accessed: </w:t>
      </w:r>
      <w:r w:rsidRPr="00511005">
        <w:rPr>
          <w:rFonts w:ascii="Arial" w:eastAsia="Times New Roman" w:hAnsi="Arial" w:cs="Arial"/>
          <w:szCs w:val="28"/>
          <w:lang w:val="uk-UA" w:eastAsia="ru-RU"/>
        </w:rPr>
        <w:t>06.05.2025</w:t>
      </w:r>
      <w:r w:rsidRPr="00511005">
        <w:rPr>
          <w:rFonts w:ascii="Arial" w:eastAsia="Times New Roman" w:hAnsi="Arial" w:cs="Arial"/>
          <w:szCs w:val="28"/>
          <w:lang w:val="en-US" w:eastAsia="ru-RU"/>
        </w:rPr>
        <w:t>)</w:t>
      </w:r>
    </w:p>
    <w:p w14:paraId="3E7277F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7.</w:t>
      </w:r>
      <w:r w:rsidRPr="00511005">
        <w:rPr>
          <w:rFonts w:ascii="Arial" w:eastAsia="Times New Roman" w:hAnsi="Arial" w:cs="Arial"/>
          <w:szCs w:val="28"/>
          <w:lang w:val="en-US" w:eastAsia="ru-RU"/>
        </w:rPr>
        <w:t xml:space="preserve"> Gaer F. D., Implementing International Human Rights Norms: UN Treaty Bodies and NGOs, Journal of Human Rights, 2003.</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Last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accessed</w:t>
      </w:r>
      <w:r w:rsidRPr="00511005">
        <w:rPr>
          <w:rFonts w:ascii="Arial" w:eastAsia="Times New Roman" w:hAnsi="Arial" w:cs="Arial"/>
          <w:szCs w:val="28"/>
          <w:lang w:val="uk-UA" w:eastAsia="ru-RU"/>
        </w:rPr>
        <w:t>: 06.05.2025)</w:t>
      </w:r>
    </w:p>
    <w:p w14:paraId="487158D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3F6ABBC0" w14:textId="7A5C597C"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iCs/>
          <w:szCs w:val="28"/>
          <w:lang w:val="uk-UA" w:eastAsia="ru-RU"/>
        </w:rPr>
        <w:t xml:space="preserve">Ключові слова: </w:t>
      </w:r>
      <w:r w:rsidR="00220D3E" w:rsidRPr="00511005">
        <w:rPr>
          <w:rFonts w:ascii="Arial" w:eastAsia="Times New Roman" w:hAnsi="Arial" w:cs="Arial"/>
          <w:i/>
          <w:iCs/>
          <w:szCs w:val="28"/>
          <w:lang w:val="uk-UA" w:eastAsia="ru-RU"/>
        </w:rPr>
        <w:t>Організація Об'єднаних Націй, права людини, міжнародне право, механізми захисту</w:t>
      </w:r>
    </w:p>
    <w:p w14:paraId="7CB187B1" w14:textId="171B1286" w:rsidR="00220D3E" w:rsidRPr="00511005" w:rsidRDefault="007B2628" w:rsidP="003A292D">
      <w:pPr>
        <w:tabs>
          <w:tab w:val="left" w:pos="709"/>
        </w:tabs>
        <w:spacing w:line="264" w:lineRule="auto"/>
        <w:rPr>
          <w:rFonts w:ascii="Arial" w:eastAsia="Times New Roman" w:hAnsi="Arial" w:cs="Arial"/>
          <w:i/>
          <w:szCs w:val="28"/>
          <w:lang w:val="en-US" w:eastAsia="ru-RU"/>
        </w:rPr>
      </w:pPr>
      <w:r w:rsidRPr="00511005">
        <w:rPr>
          <w:rFonts w:ascii="Arial" w:eastAsia="Times New Roman" w:hAnsi="Arial" w:cs="Arial"/>
          <w:b/>
          <w:i/>
          <w:iCs/>
          <w:szCs w:val="28"/>
          <w:lang w:val="en-US" w:eastAsia="ru-RU"/>
        </w:rPr>
        <w:t xml:space="preserve">Key words: </w:t>
      </w:r>
      <w:r w:rsidR="00220D3E" w:rsidRPr="00511005">
        <w:rPr>
          <w:rFonts w:ascii="Arial" w:eastAsia="Times New Roman" w:hAnsi="Arial" w:cs="Arial"/>
          <w:i/>
          <w:iCs/>
          <w:szCs w:val="28"/>
          <w:lang w:val="en-US" w:eastAsia="ru-RU"/>
        </w:rPr>
        <w:t>United Nations, human rights, international law, protection mechanisms</w:t>
      </w:r>
    </w:p>
    <w:p w14:paraId="41AF946D" w14:textId="222D1D29" w:rsidR="00220D3E" w:rsidRPr="00511005" w:rsidRDefault="006C2EDA" w:rsidP="003A292D">
      <w:pPr>
        <w:tabs>
          <w:tab w:val="left" w:pos="709"/>
        </w:tabs>
        <w:spacing w:line="264" w:lineRule="auto"/>
        <w:rPr>
          <w:rFonts w:ascii="Arial" w:eastAsia="NSimSun" w:hAnsi="Arial" w:cs="Arial"/>
          <w:kern w:val="2"/>
          <w:szCs w:val="28"/>
          <w:lang w:val="uk-UA" w:eastAsia="zh-CN" w:bidi="hi-IN"/>
        </w:rPr>
      </w:pPr>
      <w:r w:rsidRPr="006C2EDA">
        <w:rPr>
          <w:rFonts w:ascii="Arial" w:eastAsia="Times New Roman" w:hAnsi="Arial" w:cs="Arial"/>
          <w:b/>
          <w:bCs/>
          <w:i/>
          <w:iCs/>
          <w:szCs w:val="28"/>
          <w:lang w:val="en-US" w:eastAsia="ru-RU"/>
        </w:rPr>
        <w:t xml:space="preserve">Academic supervisor: </w:t>
      </w:r>
      <w:r w:rsidR="00220D3E" w:rsidRPr="00511005">
        <w:rPr>
          <w:rFonts w:ascii="Arial" w:eastAsia="NSimSun" w:hAnsi="Arial" w:cs="Arial"/>
          <w:kern w:val="2"/>
          <w:szCs w:val="28"/>
          <w:lang w:val="en-US" w:eastAsia="zh-CN" w:bidi="hi-IN"/>
        </w:rPr>
        <w:t>PhD in Law, Associate Professor Dronov V.</w:t>
      </w:r>
    </w:p>
    <w:p w14:paraId="07DDEEA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6818E9A2" w14:textId="77777777" w:rsidR="00220D3E" w:rsidRPr="00511005" w:rsidRDefault="00220D3E" w:rsidP="003A292D">
      <w:pPr>
        <w:tabs>
          <w:tab w:val="left" w:pos="709"/>
        </w:tabs>
        <w:spacing w:line="264" w:lineRule="auto"/>
        <w:ind w:firstLine="0"/>
        <w:contextualSpacing/>
        <w:jc w:val="center"/>
        <w:rPr>
          <w:rFonts w:ascii="Arial" w:eastAsia="Times New Roman" w:hAnsi="Arial" w:cs="Arial"/>
          <w:b/>
          <w:bCs/>
          <w:i/>
          <w:szCs w:val="28"/>
          <w:lang w:eastAsia="ru-RU"/>
        </w:rPr>
      </w:pPr>
      <w:r w:rsidRPr="00511005">
        <w:rPr>
          <w:rFonts w:ascii="Arial" w:eastAsia="Times New Roman" w:hAnsi="Arial" w:cs="Arial"/>
          <w:b/>
          <w:bCs/>
          <w:i/>
          <w:szCs w:val="28"/>
          <w:lang w:eastAsia="ru-RU"/>
        </w:rPr>
        <w:t xml:space="preserve">Каліновська Катерина Станіславівна </w:t>
      </w:r>
    </w:p>
    <w:p w14:paraId="1EC7E6D0" w14:textId="77777777" w:rsidR="00220D3E" w:rsidRPr="00511005" w:rsidRDefault="00220D3E" w:rsidP="003A292D">
      <w:pPr>
        <w:tabs>
          <w:tab w:val="left" w:pos="709"/>
        </w:tabs>
        <w:spacing w:line="264" w:lineRule="auto"/>
        <w:ind w:firstLine="0"/>
        <w:contextualSpacing/>
        <w:jc w:val="center"/>
        <w:rPr>
          <w:rFonts w:ascii="Arial" w:eastAsia="Times New Roman" w:hAnsi="Arial" w:cs="Arial"/>
          <w:b/>
          <w:bCs/>
          <w:i/>
          <w:szCs w:val="28"/>
          <w:lang w:eastAsia="ru-RU"/>
        </w:rPr>
      </w:pPr>
      <w:r w:rsidRPr="00511005">
        <w:rPr>
          <w:rFonts w:ascii="Arial" w:eastAsia="Times New Roman" w:hAnsi="Arial" w:cs="Arial"/>
          <w:b/>
          <w:bCs/>
          <w:i/>
          <w:szCs w:val="28"/>
          <w:lang w:eastAsia="ru-RU"/>
        </w:rPr>
        <w:t xml:space="preserve">Шаркова Діана Дмитрівна </w:t>
      </w:r>
    </w:p>
    <w:p w14:paraId="75EE6FCF" w14:textId="185FC107" w:rsidR="00220D3E" w:rsidRPr="00511005" w:rsidRDefault="00220D3E" w:rsidP="003A292D">
      <w:pPr>
        <w:tabs>
          <w:tab w:val="left" w:pos="709"/>
        </w:tabs>
        <w:spacing w:line="264" w:lineRule="auto"/>
        <w:ind w:firstLine="0"/>
        <w:contextualSpacing/>
        <w:jc w:val="center"/>
        <w:rPr>
          <w:rFonts w:ascii="Arial" w:eastAsia="Times New Roman" w:hAnsi="Arial" w:cs="Arial"/>
          <w:bCs/>
          <w:szCs w:val="28"/>
          <w:lang w:eastAsia="ru-RU"/>
        </w:rPr>
      </w:pPr>
      <w:r w:rsidRPr="00511005">
        <w:rPr>
          <w:rFonts w:ascii="Arial" w:eastAsia="Times New Roman" w:hAnsi="Arial" w:cs="Arial"/>
          <w:bCs/>
          <w:szCs w:val="28"/>
          <w:lang w:eastAsia="ru-RU"/>
        </w:rPr>
        <w:t>студентки 4</w:t>
      </w:r>
      <w:r w:rsidRPr="00511005">
        <w:rPr>
          <w:rFonts w:ascii="Arial" w:eastAsia="Times New Roman" w:hAnsi="Arial" w:cs="Arial"/>
          <w:bCs/>
          <w:szCs w:val="28"/>
          <w:lang w:val="uk-UA" w:eastAsia="ru-RU"/>
        </w:rPr>
        <w:t xml:space="preserve">-го </w:t>
      </w:r>
      <w:r w:rsidRPr="00511005">
        <w:rPr>
          <w:rFonts w:ascii="Arial" w:eastAsia="Times New Roman" w:hAnsi="Arial" w:cs="Arial"/>
          <w:bCs/>
          <w:szCs w:val="28"/>
          <w:lang w:eastAsia="ru-RU"/>
        </w:rPr>
        <w:t xml:space="preserve">курсу </w:t>
      </w:r>
      <w:r w:rsidR="001B7B25" w:rsidRPr="00511005">
        <w:rPr>
          <w:rFonts w:ascii="Arial" w:eastAsia="Times New Roman" w:hAnsi="Arial" w:cs="Arial"/>
          <w:bCs/>
          <w:szCs w:val="28"/>
          <w:lang w:eastAsia="ru-RU"/>
        </w:rPr>
        <w:t>факультету судового та міжнародного права</w:t>
      </w:r>
      <w:r w:rsidRPr="00511005">
        <w:rPr>
          <w:rFonts w:ascii="Arial" w:eastAsia="Times New Roman" w:hAnsi="Arial" w:cs="Arial"/>
          <w:bCs/>
          <w:szCs w:val="28"/>
          <w:lang w:eastAsia="ru-RU"/>
        </w:rPr>
        <w:t xml:space="preserve"> </w:t>
      </w:r>
    </w:p>
    <w:p w14:paraId="57444585" w14:textId="263B01D1" w:rsidR="00220D3E" w:rsidRPr="00511005" w:rsidRDefault="007B2628" w:rsidP="003A292D">
      <w:pPr>
        <w:tabs>
          <w:tab w:val="left" w:pos="709"/>
        </w:tabs>
        <w:spacing w:line="264" w:lineRule="auto"/>
        <w:ind w:firstLine="0"/>
        <w:contextualSpacing/>
        <w:jc w:val="center"/>
        <w:rPr>
          <w:rFonts w:ascii="Arial" w:eastAsia="Times New Roman" w:hAnsi="Arial" w:cs="Arial"/>
          <w:bCs/>
          <w:szCs w:val="28"/>
          <w:lang w:eastAsia="ru-RU"/>
        </w:rPr>
      </w:pPr>
      <w:r w:rsidRPr="00511005">
        <w:rPr>
          <w:rFonts w:ascii="Arial" w:eastAsia="Times New Roman" w:hAnsi="Arial" w:cs="Arial"/>
          <w:bCs/>
          <w:szCs w:val="28"/>
          <w:lang w:eastAsia="ru-RU"/>
        </w:rPr>
        <w:t>Національного університету «Одеська юридична академія»</w:t>
      </w:r>
    </w:p>
    <w:p w14:paraId="712BD9C1" w14:textId="77777777" w:rsidR="00220D3E" w:rsidRPr="00511005" w:rsidRDefault="00220D3E" w:rsidP="003A292D">
      <w:pPr>
        <w:tabs>
          <w:tab w:val="left" w:pos="709"/>
        </w:tabs>
        <w:spacing w:line="264" w:lineRule="auto"/>
        <w:ind w:firstLine="0"/>
        <w:contextualSpacing/>
        <w:jc w:val="center"/>
        <w:rPr>
          <w:rFonts w:ascii="Arial" w:eastAsia="Times New Roman" w:hAnsi="Arial" w:cs="Arial"/>
          <w:bCs/>
          <w:i/>
          <w:szCs w:val="28"/>
          <w:lang w:eastAsia="ru-RU"/>
        </w:rPr>
      </w:pPr>
    </w:p>
    <w:p w14:paraId="3A4DA42B" w14:textId="77777777" w:rsidR="00220D3E" w:rsidRPr="00511005" w:rsidRDefault="00220D3E" w:rsidP="003A292D">
      <w:pPr>
        <w:tabs>
          <w:tab w:val="left" w:pos="709"/>
        </w:tabs>
        <w:spacing w:line="264" w:lineRule="auto"/>
        <w:ind w:firstLine="0"/>
        <w:contextualSpacing/>
        <w:jc w:val="center"/>
        <w:rPr>
          <w:rFonts w:ascii="Arial" w:eastAsia="Times New Roman" w:hAnsi="Arial" w:cs="Arial"/>
          <w:b/>
          <w:bCs/>
          <w:szCs w:val="28"/>
          <w:lang w:eastAsia="ru-RU"/>
        </w:rPr>
      </w:pPr>
      <w:r w:rsidRPr="00511005">
        <w:rPr>
          <w:rFonts w:ascii="Arial" w:eastAsia="Times New Roman" w:hAnsi="Arial" w:cs="Arial"/>
          <w:b/>
          <w:bCs/>
          <w:szCs w:val="28"/>
          <w:lang w:eastAsia="ru-RU"/>
        </w:rPr>
        <w:t>ПОРУШЕННЯ НОРМ МІЖНАРОДНОГО ГУМАНІТАРНОГО ПРАВА У СУЧАСНИХ УМОВАХ</w:t>
      </w:r>
    </w:p>
    <w:p w14:paraId="4F9FE48E"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Сучасні збройні конфлікти дедалі частіше супроводжуються масовими порушеннями норм міжнародного гуманітарного права, що регулює правила ведення війни та захисту цивільного населення. Актуальність цієї теми зумовлена великою кількістю воєнних дій у XXI столітті, зокрема в Україні, Сирії, Ємені, Судані та інших країнах. Ці конфлікти свідчать про нехтування навіть базовими принципами міжнародного гуманітарного права, закріплених у Женевських конвенціях. Жорстокість, цинізм і безкарність учасників збройних протистоянь вимагають термінового переосмислення та посилення міжнародних механізмів захисту прав людини під час війн.</w:t>
      </w:r>
    </w:p>
    <w:p w14:paraId="440FFABF"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Основні положення міжнародного гуманітарного права передбачають заборону нападів на цивільне населення, обмеження застосування певних видів озброєнь і обов’язок гуманного ставлення до поранених та полонених. </w:t>
      </w:r>
      <w:r w:rsidRPr="00511005">
        <w:rPr>
          <w:rFonts w:ascii="Arial" w:eastAsia="Times New Roman" w:hAnsi="Arial" w:cs="Arial"/>
          <w:szCs w:val="28"/>
          <w:lang w:eastAsia="ru-RU"/>
        </w:rPr>
        <w:lastRenderedPageBreak/>
        <w:t>Проте практика свідчить, що багато з цих норм часто ігноруються або свідомо порушуються. Застосування фосфорних і касетних боєприпасів у населених пунктах, обстріли лікарень і шкіл стали реальністю для багатьох країн. Такі дії кваліфікуються як воєнні злочини, проте не завжди отримують належну правову оцінку [1].</w:t>
      </w:r>
    </w:p>
    <w:p w14:paraId="34133F17"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Складність ситуації полягає в тому, що держави або недержавні збройні формування часто відмовляються визнавати порушення міжнародного гуманітарного права, прикриваючись національною безпекою або веденням "антитерористичних операцій". Нерідко спостерігається використання цивільного населення як "живого щита", що є грубим порушенням міжнародних норм. Такі дії посилюють страждання мирних мешканців і сприяють ескалації конфліктів. Відсутність належного реагування з боку міжнародних організацій лише посилює безкарність.</w:t>
      </w:r>
    </w:p>
    <w:p w14:paraId="616816B1"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Україна стала яскравим прикладом грубого порушення міжнародного гуманітарного права у ході збройної агресії з боку Російської Федерації. Після 2014 року, а особливо з 2022 року, зафіксовано тисячі випадків нападів на цивільні об’єкти, катувань військовополонених, масових вбивств, зґвалтувань та примусового переміщення населення. Незалежні правозахисні організації, такі як ООН, Human Rights Watch, Amnesty International документують численні злочини проти людяності [2, с. 609]. </w:t>
      </w:r>
    </w:p>
    <w:p w14:paraId="713B6D1F"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Особливу тривогу викликає участь терористичних угруповань, що взагалі не визнають принципи міжнародного гуманітарного права. Їх дії, включаючи викрадення, страти, знищення культурної спадщини, часто спрямовані саме на залякування населення та руйнування морального духу. Такі методи ведення війни значно ускладнюють можливість проведення гуманітарних операцій і захисту мирного населення. У цих умовах традиційні норми права втрачають ефективність.</w:t>
      </w:r>
    </w:p>
    <w:p w14:paraId="0FD642E3"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Порушення міжнародного гуманітарного права також проявляються в обмеженні гуманітарного доступу до зони бойових дій. Блокування поставок їжі, медикаментів і води часто стає формою тиску на населення. Іноді гуманітарні місії стають об’єктом обстрілів або нападів, що призводить до загибелі працівників міжнародних організацій. Це створює додаткову кризу та зменшує довіру до міжнародної спільноти. Забезпечення гуманітарного коридору у таких умовах стає викликом глобального масштабу.</w:t>
      </w:r>
    </w:p>
    <w:p w14:paraId="29D0C56C"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eastAsia="ru-RU"/>
        </w:rPr>
        <w:t>Варто наголосити на інформаційній війні, яка супроводжує сучасні конфлікти. Ворожі сторони часто поширюють фейки про нібито порушення міжнародного гуманітраного права з боку супротивника, маніпулюючи свідомістю населення. Це ще більше ускладнює верифікацію фактів та фіксацію воєнних злочинів. Робота журналістів і незалежних експертів у таких умовах є надзвичайно небезпечною, але вкрай необхідною. Прозорість і документування фактів є першим кроком до справедливості [2, с. 610].</w:t>
      </w:r>
    </w:p>
    <w:p w14:paraId="49329A99"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Серйозним викликом залишається безкарність винних. Міжнародний кримінальний суд, попри свої повноваження, стикається з проблемами юрисдикції та політичного тиску. Навіть коли є докази, притягнення до відповідальності високопосадовців або командирів збройних формувань ускладнюється відсутністю співпраці з боку держав або неможливістю їх затримання [3, с. 212]. </w:t>
      </w:r>
    </w:p>
    <w:p w14:paraId="3561BBAB"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Не менш важливою проблемою є відсутність належної освіти в сфері міжнародного гуманітарного права серед військових і цивільних осіб. У багатьох країнах солдати просто не ознайомлені з основними принципами цієї галузі або ж не розуміють їх значення. </w:t>
      </w:r>
    </w:p>
    <w:p w14:paraId="01697208"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Також міжнародне право має складність у адаптації до нових форм війни, таких як кібератаки або використання дронів. Ці методи ведення бойових дій можуть спричиняти жертви серед цивільного населення, але не завжди мають чітку правову кваліфікацію. Необхідно розширити нормативну базу міжнародного гуманітарного права, щоб охопити сучасні технологічні аспекти війни. </w:t>
      </w:r>
    </w:p>
    <w:p w14:paraId="45484764"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Попри труднощі, існують і позитивні приклади дотримання міжнародного гуманітарного првава, коли сторони конфлікту дійсно дбають про гуманітарні норми. Міжнародні місії, зокрема Червоний Хрест, здійснюють важливу роль у нагляді за дотриманням прав людини на війні. Спільні зусилля держав і громадських організацій можуть забезпечити певний рівень контролю. Проте це можливо лише </w:t>
      </w:r>
      <w:proofErr w:type="gramStart"/>
      <w:r w:rsidRPr="00511005">
        <w:rPr>
          <w:rFonts w:ascii="Arial" w:eastAsia="Times New Roman" w:hAnsi="Arial" w:cs="Arial"/>
          <w:szCs w:val="28"/>
          <w:lang w:eastAsia="ru-RU"/>
        </w:rPr>
        <w:t>за умов</w:t>
      </w:r>
      <w:proofErr w:type="gramEnd"/>
      <w:r w:rsidRPr="00511005">
        <w:rPr>
          <w:rFonts w:ascii="Arial" w:eastAsia="Times New Roman" w:hAnsi="Arial" w:cs="Arial"/>
          <w:szCs w:val="28"/>
          <w:lang w:eastAsia="ru-RU"/>
        </w:rPr>
        <w:t xml:space="preserve"> політичної волі та підтримки світової спільноти [4].</w:t>
      </w:r>
    </w:p>
    <w:p w14:paraId="00E7A0CC"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Важливою залишається роль громадянського суспільства у поширенні інформації про порушення міжнародного гуманітарного права. Саме активісти, журналісти, правозахисники стають "голосом" постраждалих і змушують світ звернути увагу на злочини. Завдяки їхній роботі збираються докази, складаються списки винних і піднімається тиск на уряди. Їх діяльність є невід’ємною складовою правового реагування.</w:t>
      </w:r>
    </w:p>
    <w:p w14:paraId="51106C67"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Отже, порушення міжнародного гуманітарного права у сучасних умовах є серйозним викликом для міжнародної безпеки та моралі людства. Ігнорування норм призводить до ескалації насильства, зростання кількості жертв і руйнування гуманітарної інфраструктури. Для забезпечення справедливості потрібні не лише юридичні механізми, а й ефективна політична воля, освіта та активна позиція громадянського суспільства. Лише в такий спосіб можна захистити основні цінності людяності в умовах збройного конфлікту.</w:t>
      </w:r>
    </w:p>
    <w:p w14:paraId="7E1B9165"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p>
    <w:p w14:paraId="02A5BD2A" w14:textId="7C6177AF" w:rsidR="00220D3E" w:rsidRPr="00511005" w:rsidRDefault="007B2628" w:rsidP="007B2628">
      <w:pPr>
        <w:tabs>
          <w:tab w:val="left" w:pos="709"/>
        </w:tabs>
        <w:spacing w:line="264" w:lineRule="auto"/>
        <w:contextualSpacing/>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2B56B645" w14:textId="744E904C" w:rsidR="00220D3E" w:rsidRPr="00511005" w:rsidRDefault="00220D3E" w:rsidP="003F6A5D">
      <w:pPr>
        <w:numPr>
          <w:ilvl w:val="0"/>
          <w:numId w:val="11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Конвенція про захист цивільного населення під час війни. </w:t>
      </w:r>
      <w:r w:rsidRPr="00511005">
        <w:rPr>
          <w:rFonts w:ascii="Arial" w:eastAsia="Calibri" w:hAnsi="Arial" w:cs="Arial"/>
          <w:i/>
          <w:iCs/>
          <w:szCs w:val="28"/>
        </w:rPr>
        <w:t>Офіційний вебпортал парламенту України</w:t>
      </w:r>
      <w:r w:rsidRPr="00511005">
        <w:rPr>
          <w:rFonts w:ascii="Arial" w:eastAsia="Calibri" w:hAnsi="Arial" w:cs="Arial"/>
          <w:szCs w:val="28"/>
        </w:rPr>
        <w:t xml:space="preserve">. </w:t>
      </w:r>
      <w:r w:rsidRPr="00511005">
        <w:rPr>
          <w:rFonts w:ascii="Arial" w:eastAsia="Calibri" w:hAnsi="Arial" w:cs="Arial"/>
          <w:szCs w:val="28"/>
        </w:rPr>
        <w:lastRenderedPageBreak/>
        <w:t>URL: </w:t>
      </w:r>
      <w:hyperlink r:id="rId374" w:tgtFrame="_blank" w:history="1">
        <w:r w:rsidRPr="00511005">
          <w:rPr>
            <w:rFonts w:ascii="Arial" w:eastAsia="Calibri" w:hAnsi="Arial" w:cs="Arial"/>
            <w:szCs w:val="28"/>
          </w:rPr>
          <w:t>https://zakon.rada.gov.ua/laws/show/995_154</w:t>
        </w:r>
      </w:hyperlink>
      <w:r w:rsidR="007B2628" w:rsidRPr="00511005">
        <w:rPr>
          <w:rFonts w:ascii="Arial" w:eastAsia="Calibri" w:hAnsi="Arial" w:cs="Arial"/>
          <w:szCs w:val="28"/>
        </w:rPr>
        <w:t xml:space="preserve"> </w:t>
      </w:r>
      <w:r w:rsidRPr="00511005">
        <w:rPr>
          <w:rFonts w:ascii="Arial" w:eastAsia="Calibri" w:hAnsi="Arial" w:cs="Arial"/>
          <w:szCs w:val="28"/>
        </w:rPr>
        <w:t>(дата звернення: 29.04.2025).</w:t>
      </w:r>
    </w:p>
    <w:p w14:paraId="389B4FE2" w14:textId="54F53615" w:rsidR="00220D3E" w:rsidRPr="00511005" w:rsidRDefault="00220D3E" w:rsidP="003F6A5D">
      <w:pPr>
        <w:numPr>
          <w:ilvl w:val="0"/>
          <w:numId w:val="11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Царенко О. М. Порушення норм міжнародного гуманітарного права в умовах російської збройної агресії/ О. М. Царенко, Б. М. Тична, Т. Ю. Федчук //Аналітичне-порівняльне правознавство/ редкол.: Ю. М. Бисага (голов. ред.), В. В. Заборовський, Д. М. Бєлов, С. Б. Булеца та ін.; ДВНЗ «УжНУ» – Ужгород, 2023. – №4. – С. 607-611. – Бібліогр.: с. 611 (8 назв). URL </w:t>
      </w:r>
      <w:hyperlink r:id="rId375" w:history="1">
        <w:r w:rsidRPr="00511005">
          <w:rPr>
            <w:rFonts w:ascii="Arial" w:eastAsia="Calibri" w:hAnsi="Arial" w:cs="Arial"/>
            <w:szCs w:val="28"/>
          </w:rPr>
          <w:t>http://journal-app.uzhnu.edu.ua/article/view/287378/281278</w:t>
        </w:r>
      </w:hyperlink>
      <w:r w:rsidR="007B2628" w:rsidRPr="00511005">
        <w:rPr>
          <w:rFonts w:ascii="Arial" w:eastAsia="Calibri" w:hAnsi="Arial" w:cs="Arial"/>
          <w:szCs w:val="28"/>
        </w:rPr>
        <w:t xml:space="preserve"> </w:t>
      </w:r>
      <w:r w:rsidRPr="00511005">
        <w:rPr>
          <w:rFonts w:ascii="Arial" w:eastAsia="Calibri" w:hAnsi="Arial" w:cs="Arial"/>
          <w:szCs w:val="28"/>
        </w:rPr>
        <w:t xml:space="preserve">(дата звернення: 29.04.2025). </w:t>
      </w:r>
    </w:p>
    <w:p w14:paraId="39546147" w14:textId="59361EDB" w:rsidR="00220D3E" w:rsidRPr="00511005" w:rsidRDefault="00220D3E" w:rsidP="003F6A5D">
      <w:pPr>
        <w:numPr>
          <w:ilvl w:val="0"/>
          <w:numId w:val="114"/>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M</w:t>
      </w:r>
      <w:r w:rsidRPr="00511005">
        <w:rPr>
          <w:rFonts w:ascii="Arial" w:eastAsia="Calibri" w:hAnsi="Arial" w:cs="Arial"/>
          <w:szCs w:val="28"/>
          <w:lang w:val="en-GB"/>
        </w:rPr>
        <w:t>anhora</w:t>
      </w:r>
      <w:r w:rsidRPr="00511005">
        <w:rPr>
          <w:rFonts w:ascii="Arial" w:eastAsia="Calibri" w:hAnsi="Arial" w:cs="Arial"/>
          <w:szCs w:val="28"/>
          <w:lang w:val="en-US"/>
        </w:rPr>
        <w:t> V., G</w:t>
      </w:r>
      <w:r w:rsidRPr="00511005">
        <w:rPr>
          <w:rFonts w:ascii="Arial" w:eastAsia="Calibri" w:hAnsi="Arial" w:cs="Arial"/>
          <w:szCs w:val="28"/>
          <w:lang w:val="en-GB"/>
        </w:rPr>
        <w:t>orobec</w:t>
      </w:r>
      <w:r w:rsidRPr="00511005">
        <w:rPr>
          <w:rFonts w:ascii="Arial" w:eastAsia="Calibri" w:hAnsi="Arial" w:cs="Arial"/>
          <w:szCs w:val="28"/>
          <w:lang w:val="en-US"/>
        </w:rPr>
        <w:t> L., Z</w:t>
      </w:r>
      <w:r w:rsidRPr="00511005">
        <w:rPr>
          <w:rFonts w:ascii="Arial" w:eastAsia="Calibri" w:hAnsi="Arial" w:cs="Arial"/>
          <w:szCs w:val="28"/>
          <w:lang w:val="en-GB"/>
        </w:rPr>
        <w:t>abelin</w:t>
      </w:r>
      <w:r w:rsidRPr="00511005">
        <w:rPr>
          <w:rFonts w:ascii="Arial" w:eastAsia="Calibri" w:hAnsi="Arial" w:cs="Arial"/>
          <w:szCs w:val="28"/>
          <w:lang w:val="en-US"/>
        </w:rPr>
        <w:t> G. Responsibility for violations of international humanitarian law. </w:t>
      </w:r>
      <w:r w:rsidRPr="00511005">
        <w:rPr>
          <w:rFonts w:ascii="Arial" w:eastAsia="Calibri" w:hAnsi="Arial" w:cs="Arial"/>
          <w:i/>
          <w:iCs/>
          <w:szCs w:val="28"/>
          <w:lang w:val="en-US"/>
        </w:rPr>
        <w:t>Information and law</w:t>
      </w:r>
      <w:r w:rsidRPr="00511005">
        <w:rPr>
          <w:rFonts w:ascii="Arial" w:eastAsia="Calibri" w:hAnsi="Arial" w:cs="Arial"/>
          <w:szCs w:val="28"/>
          <w:lang w:val="en-US"/>
        </w:rPr>
        <w:t>. 2024. No. 1(48). P. 210–218. URL: </w:t>
      </w:r>
      <w:hyperlink r:id="rId376" w:tgtFrame="_blank" w:history="1">
        <w:r w:rsidRPr="00511005">
          <w:rPr>
            <w:rFonts w:ascii="Arial" w:eastAsia="Calibri" w:hAnsi="Arial" w:cs="Arial"/>
            <w:szCs w:val="28"/>
            <w:lang w:val="en-US"/>
          </w:rPr>
          <w:t>https://doi.org/10.37750/2616-6798.2024.1(48).300828</w:t>
        </w:r>
      </w:hyperlink>
      <w:r w:rsidR="007B2628" w:rsidRPr="00511005">
        <w:rPr>
          <w:rFonts w:ascii="Arial" w:eastAsia="Calibri" w:hAnsi="Arial" w:cs="Arial"/>
          <w:szCs w:val="28"/>
          <w:lang w:val="en-GB"/>
        </w:rPr>
        <w:t xml:space="preserve"> </w:t>
      </w:r>
      <w:r w:rsidRPr="00511005">
        <w:rPr>
          <w:rFonts w:ascii="Arial" w:eastAsia="Calibri" w:hAnsi="Arial" w:cs="Arial"/>
          <w:szCs w:val="28"/>
          <w:lang w:val="en-US"/>
        </w:rPr>
        <w:t>(</w:t>
      </w:r>
      <w:r w:rsidRPr="00511005">
        <w:rPr>
          <w:rFonts w:ascii="Arial" w:eastAsia="Calibri" w:hAnsi="Arial" w:cs="Arial"/>
          <w:szCs w:val="28"/>
        </w:rPr>
        <w:t>дата</w:t>
      </w:r>
      <w:r w:rsidRPr="00511005">
        <w:rPr>
          <w:rFonts w:ascii="Arial" w:eastAsia="Calibri" w:hAnsi="Arial" w:cs="Arial"/>
          <w:szCs w:val="28"/>
          <w:lang w:val="en-US"/>
        </w:rPr>
        <w:t xml:space="preserve"> </w:t>
      </w:r>
      <w:r w:rsidRPr="00511005">
        <w:rPr>
          <w:rFonts w:ascii="Arial" w:eastAsia="Calibri" w:hAnsi="Arial" w:cs="Arial"/>
          <w:szCs w:val="28"/>
        </w:rPr>
        <w:t>звернення</w:t>
      </w:r>
      <w:r w:rsidRPr="00511005">
        <w:rPr>
          <w:rFonts w:ascii="Arial" w:eastAsia="Calibri" w:hAnsi="Arial" w:cs="Arial"/>
          <w:szCs w:val="28"/>
          <w:lang w:val="en-US"/>
        </w:rPr>
        <w:t>: 29</w:t>
      </w:r>
      <w:r w:rsidRPr="00511005">
        <w:rPr>
          <w:rFonts w:ascii="Arial" w:eastAsia="Calibri" w:hAnsi="Arial" w:cs="Arial"/>
          <w:szCs w:val="28"/>
          <w:lang w:val="en-GB"/>
        </w:rPr>
        <w:t>.04.2025</w:t>
      </w:r>
      <w:r w:rsidRPr="00511005">
        <w:rPr>
          <w:rFonts w:ascii="Arial" w:eastAsia="Calibri" w:hAnsi="Arial" w:cs="Arial"/>
          <w:szCs w:val="28"/>
          <w:lang w:val="en-US"/>
        </w:rPr>
        <w:t>).</w:t>
      </w:r>
    </w:p>
    <w:p w14:paraId="7524A1E7" w14:textId="77777777" w:rsidR="00220D3E" w:rsidRPr="00511005" w:rsidRDefault="00220D3E" w:rsidP="003F6A5D">
      <w:pPr>
        <w:numPr>
          <w:ilvl w:val="0"/>
          <w:numId w:val="11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Замрига А. В. Застосування міжнародного гуманітарного права в умовах збройної агресії російської федерації проти України. </w:t>
      </w:r>
      <w:r w:rsidRPr="00511005">
        <w:rPr>
          <w:rFonts w:ascii="Arial" w:eastAsia="Calibri" w:hAnsi="Arial" w:cs="Arial"/>
          <w:i/>
          <w:iCs/>
          <w:szCs w:val="28"/>
        </w:rPr>
        <w:t>Проблеми сучасних трансформацій. Серія: право, публічне управління та адміністрування</w:t>
      </w:r>
      <w:r w:rsidRPr="00511005">
        <w:rPr>
          <w:rFonts w:ascii="Arial" w:eastAsia="Calibri" w:hAnsi="Arial" w:cs="Arial"/>
          <w:szCs w:val="28"/>
        </w:rPr>
        <w:t>. 2022. № 6. URL: </w:t>
      </w:r>
      <w:hyperlink r:id="rId377" w:tgtFrame="_blank" w:history="1">
        <w:r w:rsidRPr="00511005">
          <w:rPr>
            <w:rFonts w:ascii="Arial" w:eastAsia="Calibri" w:hAnsi="Arial" w:cs="Arial"/>
            <w:szCs w:val="28"/>
          </w:rPr>
          <w:t>https://doi.org/10.54929/2786-5746-2022-6-01-04</w:t>
        </w:r>
      </w:hyperlink>
      <w:r w:rsidRPr="00511005">
        <w:rPr>
          <w:rFonts w:ascii="Arial" w:eastAsia="Calibri" w:hAnsi="Arial" w:cs="Arial"/>
          <w:szCs w:val="28"/>
        </w:rPr>
        <w:t> (дата звернення: 29.04.2025).</w:t>
      </w:r>
    </w:p>
    <w:p w14:paraId="19641534"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2F8E3027" w14:textId="4C043515" w:rsidR="00220D3E" w:rsidRPr="00511005" w:rsidRDefault="007B2628" w:rsidP="003A292D">
      <w:pPr>
        <w:keepNext/>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війна, воєнний стан, міжнародне гуманітарне право, порушення воєнні злочини, права людини, захист, безкарність, інформаційна війна.</w:t>
      </w:r>
    </w:p>
    <w:p w14:paraId="7CDA0DD9" w14:textId="668C2848" w:rsidR="00220D3E" w:rsidRPr="00511005" w:rsidRDefault="007B2628" w:rsidP="003A292D">
      <w:pPr>
        <w:keepNext/>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bCs/>
          <w:szCs w:val="28"/>
          <w:lang w:val="en-US" w:eastAsia="ru-RU"/>
        </w:rPr>
        <w:t xml:space="preserve">war, martial law, </w:t>
      </w:r>
      <w:r w:rsidR="00220D3E" w:rsidRPr="00511005">
        <w:rPr>
          <w:rFonts w:ascii="Arial" w:eastAsia="Times New Roman" w:hAnsi="Arial" w:cs="Arial"/>
          <w:szCs w:val="28"/>
          <w:lang w:val="en-US" w:eastAsia="ru-RU"/>
        </w:rPr>
        <w:t>International Humanitarian Law and Human Rights</w:t>
      </w:r>
      <w:r w:rsidR="00220D3E" w:rsidRPr="00511005">
        <w:rPr>
          <w:rFonts w:ascii="Arial" w:eastAsia="Times New Roman" w:hAnsi="Arial" w:cs="Arial"/>
          <w:bCs/>
          <w:szCs w:val="28"/>
          <w:lang w:val="en-US" w:eastAsia="ru-RU"/>
        </w:rPr>
        <w:t>, breach,</w:t>
      </w:r>
      <w:r w:rsidR="00220D3E" w:rsidRPr="00511005">
        <w:rPr>
          <w:rFonts w:ascii="Arial" w:eastAsia="Times New Roman" w:hAnsi="Arial" w:cs="Arial"/>
          <w:b/>
          <w:bCs/>
          <w:i/>
          <w:iCs/>
          <w:szCs w:val="28"/>
          <w:shd w:val="clear" w:color="auto" w:fill="FFFFFF"/>
          <w:lang w:val="en-US" w:eastAsia="ru-RU"/>
        </w:rPr>
        <w:t xml:space="preserve"> </w:t>
      </w:r>
      <w:r w:rsidR="00220D3E" w:rsidRPr="00511005">
        <w:rPr>
          <w:rFonts w:ascii="Arial" w:eastAsia="Times New Roman" w:hAnsi="Arial" w:cs="Arial"/>
          <w:bCs/>
          <w:i/>
          <w:iCs/>
          <w:szCs w:val="28"/>
          <w:shd w:val="clear" w:color="auto" w:fill="FFFFFF"/>
          <w:lang w:val="en-US" w:eastAsia="ru-RU"/>
        </w:rPr>
        <w:t xml:space="preserve">war </w:t>
      </w:r>
      <w:r w:rsidR="00220D3E" w:rsidRPr="00511005">
        <w:rPr>
          <w:rFonts w:ascii="Arial" w:eastAsia="Times New Roman" w:hAnsi="Arial" w:cs="Arial"/>
          <w:bCs/>
          <w:szCs w:val="28"/>
          <w:shd w:val="clear" w:color="auto" w:fill="FFFFFF"/>
          <w:lang w:val="en-US" w:eastAsia="ru-RU"/>
        </w:rPr>
        <w:t>crimes</w:t>
      </w:r>
      <w:r w:rsidR="00220D3E" w:rsidRPr="00511005">
        <w:rPr>
          <w:rFonts w:ascii="Arial" w:eastAsia="Times New Roman" w:hAnsi="Arial" w:cs="Arial"/>
          <w:bCs/>
          <w:szCs w:val="28"/>
          <w:lang w:val="en-US" w:eastAsia="ru-RU"/>
        </w:rPr>
        <w:t xml:space="preserve">, human rights, </w:t>
      </w:r>
      <w:r w:rsidR="00220D3E" w:rsidRPr="00511005">
        <w:rPr>
          <w:rFonts w:ascii="Arial" w:eastAsia="Times New Roman" w:hAnsi="Arial" w:cs="Arial"/>
          <w:bCs/>
          <w:i/>
          <w:iCs/>
          <w:szCs w:val="28"/>
          <w:shd w:val="clear" w:color="auto" w:fill="FFFFFF"/>
          <w:lang w:val="en-US" w:eastAsia="ru-RU"/>
        </w:rPr>
        <w:t>protection, impunit</w:t>
      </w:r>
      <w:r w:rsidR="00220D3E" w:rsidRPr="00511005">
        <w:rPr>
          <w:rFonts w:ascii="Arial" w:eastAsia="Times New Roman" w:hAnsi="Arial" w:cs="Arial"/>
          <w:bCs/>
          <w:i/>
          <w:iCs/>
          <w:szCs w:val="28"/>
          <w:shd w:val="clear" w:color="auto" w:fill="FFFFFF"/>
          <w:lang w:eastAsia="ru-RU"/>
        </w:rPr>
        <w:t>у</w:t>
      </w:r>
      <w:r w:rsidR="00220D3E" w:rsidRPr="00511005">
        <w:rPr>
          <w:rFonts w:ascii="Arial" w:eastAsia="Times New Roman" w:hAnsi="Arial" w:cs="Arial"/>
          <w:bCs/>
          <w:i/>
          <w:iCs/>
          <w:szCs w:val="28"/>
          <w:shd w:val="clear" w:color="auto" w:fill="FFFFFF"/>
          <w:lang w:val="en-US" w:eastAsia="ru-RU"/>
        </w:rPr>
        <w:t xml:space="preserve">, </w:t>
      </w:r>
      <w:r w:rsidR="00220D3E" w:rsidRPr="00511005">
        <w:rPr>
          <w:rFonts w:ascii="Arial" w:eastAsia="Times New Roman" w:hAnsi="Arial" w:cs="Arial"/>
          <w:szCs w:val="28"/>
          <w:lang w:val="en-US" w:eastAsia="ru-RU"/>
        </w:rPr>
        <w:t>information warfare</w:t>
      </w:r>
    </w:p>
    <w:p w14:paraId="54523B30" w14:textId="426B2704" w:rsidR="00220D3E" w:rsidRPr="00511005" w:rsidRDefault="007B2628" w:rsidP="003A292D">
      <w:pPr>
        <w:keepNext/>
        <w:tabs>
          <w:tab w:val="left" w:pos="709"/>
        </w:tabs>
        <w:spacing w:line="264" w:lineRule="auto"/>
        <w:rPr>
          <w:rFonts w:ascii="Arial" w:eastAsia="Times New Roman" w:hAnsi="Arial" w:cs="Arial"/>
          <w:bCs/>
          <w:i/>
          <w:iCs/>
          <w:szCs w:val="28"/>
          <w:lang w:eastAsia="ru-RU"/>
        </w:rPr>
      </w:pPr>
      <w:r w:rsidRPr="00511005">
        <w:rPr>
          <w:rFonts w:ascii="Arial" w:eastAsia="Times New Roman" w:hAnsi="Arial" w:cs="Arial"/>
          <w:b/>
          <w:bCs/>
          <w:i/>
          <w:iCs/>
          <w:szCs w:val="28"/>
          <w:lang w:eastAsia="ru-RU"/>
        </w:rPr>
        <w:t xml:space="preserve">Науковий керівник: </w:t>
      </w:r>
      <w:r w:rsidR="00220D3E" w:rsidRPr="00511005">
        <w:rPr>
          <w:rFonts w:ascii="Arial" w:eastAsia="Times New Roman" w:hAnsi="Arial" w:cs="Arial"/>
          <w:bCs/>
          <w:i/>
          <w:iCs/>
          <w:szCs w:val="28"/>
          <w:lang w:eastAsia="ru-RU"/>
        </w:rPr>
        <w:t>к.ю.н., доцент Дронов В. Ю.</w:t>
      </w:r>
    </w:p>
    <w:p w14:paraId="71B575EE"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597A0EF7"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 xml:space="preserve">Карасені Олександра Василівна </w:t>
      </w:r>
    </w:p>
    <w:p w14:paraId="3A9CFBF6" w14:textId="50D570D8"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4-го курсу </w:t>
      </w:r>
      <w:r w:rsidR="001B7B25" w:rsidRPr="00511005">
        <w:rPr>
          <w:rFonts w:ascii="Arial" w:eastAsia="Times New Roman" w:hAnsi="Arial" w:cs="Arial"/>
          <w:szCs w:val="28"/>
          <w:lang w:val="uk-UA" w:eastAsia="ru-RU"/>
        </w:rPr>
        <w:t>факультету судового та міжнародного права</w:t>
      </w:r>
    </w:p>
    <w:p w14:paraId="337AEB3A" w14:textId="5980B1B4"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D9EE844"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2441242A"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МІЖНАРОДНИЙ ЗАХИСТ ПРАВ ЛЮДИНИ В УМОВАХ ЗБРОЙНИХ КОНФЛІКТІВ</w:t>
      </w:r>
    </w:p>
    <w:p w14:paraId="7215203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Забезпечення та захист прав людини є базовою умовою функціонування будь-якого демократичного суспільства, однак у період збройних конфліктів ця функція набуває особливого значення. Війна в Україні, спричинена повномасштабною агресією російської федерації, що розпочалася 24 лютого 2022 року, загострила проблему реалізації основоположних прав людини. І хоча передумови конфлікту сягають ще 2014 року, коли росія анексувала Крим і підтримала створення так званих «республік» на частині територій Донецької та Луганської областей, саме після 2022 року масштаби порушень прав людини значно розширилися. Не </w:t>
      </w:r>
      <w:r w:rsidRPr="00511005">
        <w:rPr>
          <w:rFonts w:ascii="Arial" w:eastAsia="Times New Roman" w:hAnsi="Arial" w:cs="Arial"/>
          <w:szCs w:val="28"/>
          <w:lang w:eastAsia="ru-RU"/>
        </w:rPr>
        <w:lastRenderedPageBreak/>
        <w:t>зважаючи на військовий стан, захист людської гідності, життя, свободи пересування та інших прав не повинен ставати менш важливим. Згідно з нормами міжнародного права, зокрема положеннями міжнародного гуманітарного права, навіть у період збройних дій діють конкретні заборони щодо методів ведення війни, спрямовані на обмеження жорстокості та запобігання нелюдському поводженню [1</w:t>
      </w:r>
      <w:r w:rsidRPr="00511005">
        <w:rPr>
          <w:rFonts w:ascii="Arial" w:eastAsia="Times New Roman" w:hAnsi="Arial" w:cs="Arial"/>
          <w:szCs w:val="28"/>
          <w:lang w:val="uk-UA" w:eastAsia="ru-RU"/>
        </w:rPr>
        <w:t>, с. 40</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p>
    <w:p w14:paraId="2F81F0B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Міжнародне гуманітарне право, яке регулює питання ведення війни та захисту її жертв, утворює комплекс правових норм, мета яких — зменшення страждань серед мирного населення, полонених, поранених та інших вразливих категорій осіб. Найбільш фундаментальними джерелами міжнародного регулювання в цій сфері залишаються Женевські конвенції 1949 року та Додаткові протоколи до них. Зокрема, йдеться про чотири основні конвенції: перша — про надання допомоги пораненим і хворим у складі діючих армій; друга — щодо захисту військових моряків, які зазнали лиха; третя — стосується поводження з військовополоненими; четверта — про захист цивільного населення у період війни. Значне доповнення до цих документів становлять Додаткові протоколи І та ІІ від 1977 року, які деталізують захист жертв як міжнародних, так і внутрішніх конфліктів, а також Протокол ІІІ 2005 року, який унормовує використання додаткової розпізнавальної емблеми. Україна ратифікувала всі чотири конвенції ще 3 липня 1954 року, згодом відмовившись від початкових застережень. Додаткові протоколи І та ІІ були ратифіковані 18 серпня 1989 року, а Протокол ІІІ — 22 жовтня 2009 року [</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 с. 128-129].</w:t>
      </w:r>
    </w:p>
    <w:p w14:paraId="26FB82F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Зокрема, положення Конвенції про захист цивільного населення під час війни прямо забороняють здійснення збройних нападів на цивільні об’єкти та зобов’язують сторони конфлікту забезпечити безпеку мирного населення, не допускаючи щодо нього проявів насильства [3]. Поряд із Женевськими конвенціями, важливе значення мають інші міжнародні документи, зокрема Міжнародний пакт про громадянські і політичні права (1966) та Конвенція проти катувань (1984), які містять норми, що не підлягають жодним виняткам навіть під час збройних конфліктів. Йдеться, зокрема, про право на життя, а також про абсолютну заборону катувань, жорстокого, нелюдського чи принижуючого гідність поводження [4].</w:t>
      </w:r>
      <w:r w:rsidRPr="00511005">
        <w:rPr>
          <w:rFonts w:ascii="Arial" w:eastAsia="Times New Roman" w:hAnsi="Arial" w:cs="Arial"/>
          <w:szCs w:val="28"/>
          <w:lang w:val="uk-UA" w:eastAsia="ru-RU"/>
        </w:rPr>
        <w:t xml:space="preserve"> Суттєву роль у притягненні до відповідальності осіб, які вчиняють найтяжчі порушення міжнародного права у період воєн, відіграє Міжнародний кримінальний суд, створений відповідно до положень Римського статуту 1998 року. Юрисдикція МКС поширюється на такі категорії злочинів, як геноцид, злочини проти людяності та воєнні злочини. </w:t>
      </w:r>
      <w:r w:rsidRPr="00511005">
        <w:rPr>
          <w:rFonts w:ascii="Arial" w:eastAsia="Times New Roman" w:hAnsi="Arial" w:cs="Arial"/>
          <w:szCs w:val="28"/>
          <w:lang w:eastAsia="ru-RU"/>
        </w:rPr>
        <w:t>Функціонування цього судового органу забезпечує міжнародну відповідальність винних осіб за серйозні порушення прав людини в умовах збройних конфліктів [5].</w:t>
      </w:r>
      <w:r w:rsidRPr="00511005">
        <w:rPr>
          <w:rFonts w:ascii="Arial" w:eastAsia="Times New Roman" w:hAnsi="Arial" w:cs="Arial"/>
          <w:szCs w:val="28"/>
          <w:lang w:val="uk-UA" w:eastAsia="ru-RU"/>
        </w:rPr>
        <w:t xml:space="preserve"> На регіональному рівні важливими інструментами у сфері правозахисної діяльності виступають Європейська конвенція з прав людини та механізми </w:t>
      </w:r>
      <w:r w:rsidRPr="00511005">
        <w:rPr>
          <w:rFonts w:ascii="Arial" w:eastAsia="Times New Roman" w:hAnsi="Arial" w:cs="Arial"/>
          <w:szCs w:val="28"/>
          <w:lang w:val="uk-UA" w:eastAsia="ru-RU"/>
        </w:rPr>
        <w:lastRenderedPageBreak/>
        <w:t>її реалізації, зокрема Європейський суд з прав людини. Завдяки повноваженням розглядати індивідуальні скарги на порушення прав, гарантованих Конвенцією, цей суд забезпечує реальний правовий захист для громадян держав-членів Ради Європи навіть у надзвичайних обставинах, пов’язаних зі збройними конфліктами [6, с.23].</w:t>
      </w:r>
    </w:p>
    <w:p w14:paraId="19DB9D8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Водночас, юрисдикція Європейського суду з прав людини не охоплює визначення самого факту існування збройного конфлікту, оскільки це не передбачено положеннями Конвенції про захист прав людини і основоположних свобод. Єдиним предметом розгляду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його компетенції є питання, чи допустила держава порушення своїх міжнародних зобов’язань за згаданою Конвенцією. Таким чином, Суд діє виключно в межах міжнародного права у сфері прав людини, не вдаючись до оцінки відповідності дій держав Женевським конвенціям 1949 року чи Додатковим протоколам до них [7, с. 141]. Окрім вищезазначених документів, варто відзначити й низку інших міжнародно-правових актів, спрямованих на забезпечення прав людини, серед яких — Європейська соціальна хартія (1961) та Європейська конвенція про запобігання катуванням і нелюдському або такому, що принижує гідність, поводженню чи покаранню (1987). Вони відіграють додаткову роль у формуванні ефективного міжнародного механізму захисту прав і свобод людини в умовах збройного конфлікту [8</w:t>
      </w:r>
      <w:r w:rsidRPr="00511005">
        <w:rPr>
          <w:rFonts w:ascii="Arial" w:eastAsia="Times New Roman" w:hAnsi="Arial" w:cs="Arial"/>
          <w:szCs w:val="28"/>
          <w:lang w:val="uk-UA" w:eastAsia="ru-RU"/>
        </w:rPr>
        <w:t>, с</w:t>
      </w:r>
      <w:r w:rsidRPr="00511005">
        <w:rPr>
          <w:rFonts w:ascii="Arial" w:eastAsia="Times New Roman" w:hAnsi="Arial" w:cs="Arial"/>
          <w:szCs w:val="28"/>
          <w:lang w:eastAsia="ru-RU"/>
        </w:rPr>
        <w:t>.325]</w:t>
      </w:r>
      <w:r w:rsidRPr="00511005">
        <w:rPr>
          <w:rFonts w:ascii="Arial" w:eastAsia="Times New Roman" w:hAnsi="Arial" w:cs="Arial"/>
          <w:szCs w:val="28"/>
          <w:lang w:val="uk-UA" w:eastAsia="ru-RU"/>
        </w:rPr>
        <w:t>.</w:t>
      </w:r>
    </w:p>
    <w:p w14:paraId="1936806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Міжнародні організації, такі як ООН, Міжнародний Комітет Червоного Хреста (МКЧХ) та </w:t>
      </w:r>
      <w:r w:rsidRPr="00511005">
        <w:rPr>
          <w:rFonts w:ascii="Arial" w:eastAsia="Times New Roman" w:hAnsi="Arial" w:cs="Arial"/>
          <w:szCs w:val="28"/>
          <w:lang w:eastAsia="ru-RU"/>
        </w:rPr>
        <w:t>Amnesty</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International</w:t>
      </w:r>
      <w:r w:rsidRPr="00511005">
        <w:rPr>
          <w:rFonts w:ascii="Arial" w:eastAsia="Times New Roman" w:hAnsi="Arial" w:cs="Arial"/>
          <w:szCs w:val="28"/>
          <w:lang w:val="uk-UA" w:eastAsia="ru-RU"/>
        </w:rPr>
        <w:t xml:space="preserve">, відіграють важливу роль у забезпеченні прав людини під час збройних конфліктів. </w:t>
      </w:r>
      <w:r w:rsidRPr="00511005">
        <w:rPr>
          <w:rFonts w:ascii="Arial" w:eastAsia="Times New Roman" w:hAnsi="Arial" w:cs="Arial"/>
          <w:szCs w:val="28"/>
          <w:lang w:eastAsia="ru-RU"/>
        </w:rPr>
        <w:t>Вони здійснюють моніторинг ситуації, документують порушення та надають гуманітарну допомогу постраждалим. Наприклад, Amnesty International повідомляє про численні порушення прав людини в умовах збройних конфліктів, включаючи незаконні вбивства, тортури та інші форми жорстокого поводження. Організація закликає уряди дотримуватися міжнародного права та забезпечувати захист прав людини. ​ МКЧХ, у свою чергу, наголошує на необхідності дотримання міжнародного гуманітарного права та забезпечення захисту цивільного населення. Організація також вказує на зростаючу кількість збройних конфліктів у світі та пов'язані з ними гуманітарні кризи [9].</w:t>
      </w:r>
    </w:p>
    <w:p w14:paraId="5AE8089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Станом на сьогодні міжнародне співтовариство більше не ігнорує питання забезпечення та захисту прав людини, зокрема в умовах збройних конфліктів різного типу. Одним із фундаментальних принципів права збройних конфліктів є положення про обов’язкове гуманне ставлення до осіб, які входять </w:t>
      </w:r>
      <w:proofErr w:type="gramStart"/>
      <w:r w:rsidRPr="00511005">
        <w:rPr>
          <w:rFonts w:ascii="Arial" w:eastAsia="Times New Roman" w:hAnsi="Arial" w:cs="Arial"/>
          <w:szCs w:val="28"/>
          <w:lang w:eastAsia="ru-RU"/>
        </w:rPr>
        <w:t>до складу</w:t>
      </w:r>
      <w:proofErr w:type="gramEnd"/>
      <w:r w:rsidRPr="00511005">
        <w:rPr>
          <w:rFonts w:ascii="Arial" w:eastAsia="Times New Roman" w:hAnsi="Arial" w:cs="Arial"/>
          <w:szCs w:val="28"/>
          <w:lang w:eastAsia="ru-RU"/>
        </w:rPr>
        <w:t xml:space="preserve"> збройних сил обох сторін, але з тих чи інших причин — хвороби, поранення, затримання або інших обставин — більше не беруть участі у воєнних діях. Також до цієї категорії належить і цивільне </w:t>
      </w:r>
      <w:r w:rsidRPr="00511005">
        <w:rPr>
          <w:rFonts w:ascii="Arial" w:eastAsia="Times New Roman" w:hAnsi="Arial" w:cs="Arial"/>
          <w:szCs w:val="28"/>
          <w:lang w:eastAsia="ru-RU"/>
        </w:rPr>
        <w:lastRenderedPageBreak/>
        <w:t xml:space="preserve">населення, щодо якого повинна бути гарантована повага до життя, фізичної та психічної недоторканності, незалежно від ситуації [10, c. </w:t>
      </w:r>
      <w:r w:rsidRPr="00511005">
        <w:rPr>
          <w:rFonts w:ascii="Arial" w:eastAsia="Times New Roman" w:hAnsi="Arial" w:cs="Arial"/>
          <w:szCs w:val="28"/>
          <w:lang w:val="uk-UA" w:eastAsia="ru-RU"/>
        </w:rPr>
        <w:t>123</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129F6726" w14:textId="77777777" w:rsidR="00220D3E" w:rsidRPr="00511005" w:rsidRDefault="00220D3E" w:rsidP="003A292D">
      <w:pPr>
        <w:tabs>
          <w:tab w:val="left" w:pos="709"/>
        </w:tabs>
        <w:spacing w:line="264" w:lineRule="auto"/>
        <w:rPr>
          <w:rFonts w:ascii="Arial" w:eastAsia="Times New Roman" w:hAnsi="Arial" w:cs="Arial"/>
          <w:b/>
          <w:szCs w:val="28"/>
          <w:lang w:val="uk-UA" w:eastAsia="ru-RU"/>
        </w:rPr>
      </w:pPr>
      <w:r w:rsidRPr="00511005">
        <w:rPr>
          <w:rFonts w:ascii="Arial" w:eastAsia="Times New Roman" w:hAnsi="Arial" w:cs="Arial"/>
          <w:szCs w:val="28"/>
          <w:lang w:val="uk-UA" w:eastAsia="ru-RU"/>
        </w:rPr>
        <w:t xml:space="preserve">Отже, </w:t>
      </w:r>
      <w:r w:rsidRPr="00511005">
        <w:rPr>
          <w:rFonts w:ascii="Arial" w:eastAsia="Times New Roman" w:hAnsi="Arial" w:cs="Arial"/>
          <w:szCs w:val="28"/>
          <w:lang w:eastAsia="ru-RU"/>
        </w:rPr>
        <w:t>питання забезпечення та захисту прав людини в умовах збройних конфліктів є одним із найбільш актуальних викликів сучасного міжнародного права. Попри те, що війна часто супроводжується масовими порушеннями основоположних прав, міжнародне співтовариство сформувало ефективний нормативний інструментарій, спрямований на їхню охорону. Женевські конвенції, Додаткові протоколи, Міжнародний пакт про громадянські і політичні права, Конвенція проти катувань та інші міжнародні договори покликані гарантувати гуманне поводження з усіма особами, які опинилися у зоні конфлікту, незалежно від їхнього статусу. Важливу роль у забезпеченні відповідальності за грубі порушення відіграють такі механізми, як Міжнародний кримінальний суд та Європейський суд з прав людини. У нинішніх умовах повномасштабної війни в Україні особливого значення набуває реалізація міжнародно-правових стандартів, здатних не лише стримувати ескалацію жорстокості, а й забезпечити правовий захист жертвам агресії. Забезпечення прав людини в умовах збройного конфлікту — це не лише питання права, а й моральна та політична відповідальність усього міжнародного співтовариства.</w:t>
      </w:r>
    </w:p>
    <w:p w14:paraId="0844D6CE" w14:textId="77777777" w:rsidR="00220D3E" w:rsidRPr="00511005" w:rsidRDefault="00220D3E" w:rsidP="003A292D">
      <w:pPr>
        <w:keepNext/>
        <w:tabs>
          <w:tab w:val="left" w:pos="709"/>
          <w:tab w:val="left" w:pos="4836"/>
        </w:tabs>
        <w:spacing w:line="264" w:lineRule="auto"/>
        <w:jc w:val="center"/>
        <w:rPr>
          <w:rFonts w:ascii="Arial" w:eastAsia="Times New Roman" w:hAnsi="Arial" w:cs="Arial"/>
          <w:b/>
          <w:szCs w:val="28"/>
          <w:lang w:val="uk-UA" w:eastAsia="ru-RU"/>
        </w:rPr>
      </w:pPr>
    </w:p>
    <w:p w14:paraId="53F14093" w14:textId="32CFE617" w:rsidR="00220D3E" w:rsidRPr="00511005" w:rsidRDefault="007B2628" w:rsidP="007B2628">
      <w:pPr>
        <w:keepNext/>
        <w:tabs>
          <w:tab w:val="left" w:pos="709"/>
          <w:tab w:val="left" w:pos="4836"/>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694739E4" w14:textId="77777777" w:rsidR="00220D3E" w:rsidRPr="00511005" w:rsidRDefault="00220D3E" w:rsidP="003F6A5D">
      <w:pPr>
        <w:numPr>
          <w:ilvl w:val="0"/>
          <w:numId w:val="115"/>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Times New Roman" w:hAnsi="Arial" w:cs="Arial"/>
          <w:szCs w:val="28"/>
        </w:rPr>
        <w:t xml:space="preserve">Каланча А. А. Забезпечення прав людини в Україні в умовах воєнного конфлікту. </w:t>
      </w:r>
      <w:r w:rsidRPr="00511005">
        <w:rPr>
          <w:rFonts w:ascii="Arial" w:eastAsia="Times New Roman" w:hAnsi="Arial" w:cs="Arial"/>
          <w:i/>
          <w:szCs w:val="28"/>
        </w:rPr>
        <w:t xml:space="preserve">Реалізація прав людини у діяльності правоохоронних органів в умовах окупації українських </w:t>
      </w:r>
      <w:proofErr w:type="gramStart"/>
      <w:r w:rsidRPr="00511005">
        <w:rPr>
          <w:rFonts w:ascii="Arial" w:eastAsia="Times New Roman" w:hAnsi="Arial" w:cs="Arial"/>
          <w:i/>
          <w:szCs w:val="28"/>
        </w:rPr>
        <w:t>територій :</w:t>
      </w:r>
      <w:proofErr w:type="gramEnd"/>
      <w:r w:rsidRPr="00511005">
        <w:rPr>
          <w:rFonts w:ascii="Arial" w:eastAsia="Times New Roman" w:hAnsi="Arial" w:cs="Arial"/>
          <w:i/>
          <w:szCs w:val="28"/>
        </w:rPr>
        <w:t xml:space="preserve"> матеріали V Всеукр. наук.-практ. конф.</w:t>
      </w:r>
      <w:r w:rsidRPr="00511005">
        <w:rPr>
          <w:rFonts w:ascii="Arial" w:eastAsia="Times New Roman" w:hAnsi="Arial" w:cs="Arial"/>
          <w:szCs w:val="28"/>
        </w:rPr>
        <w:t xml:space="preserve"> (ДонДУВС, 30 вересня 2022 р.). ДонДУВС, 2022. С. 40–43. URL:</w:t>
      </w:r>
      <w:r w:rsidRPr="00511005">
        <w:rPr>
          <w:rFonts w:ascii="Arial" w:eastAsia="Calibri" w:hAnsi="Arial" w:cs="Arial"/>
          <w:szCs w:val="28"/>
        </w:rPr>
        <w:t xml:space="preserve"> </w:t>
      </w:r>
      <w:hyperlink r:id="rId378" w:history="1">
        <w:r w:rsidRPr="00511005">
          <w:rPr>
            <w:rFonts w:ascii="Arial" w:eastAsia="Times New Roman" w:hAnsi="Arial" w:cs="Arial"/>
            <w:szCs w:val="28"/>
          </w:rPr>
          <w:t>https://dnuvs.ukr.education/wp-content/uploads/2023/07/zbirnyk_tez_konferencziyi_30_09_2022_proekt_31_10_22.pdf</w:t>
        </w:r>
      </w:hyperlink>
      <w:r w:rsidRPr="00511005">
        <w:rPr>
          <w:rFonts w:ascii="Arial" w:eastAsia="Times New Roman" w:hAnsi="Arial" w:cs="Arial"/>
          <w:szCs w:val="28"/>
        </w:rPr>
        <w:t xml:space="preserve"> </w:t>
      </w:r>
      <w:r w:rsidRPr="00511005">
        <w:rPr>
          <w:rFonts w:ascii="Arial" w:eastAsia="Calibri" w:hAnsi="Arial" w:cs="Arial"/>
          <w:szCs w:val="28"/>
          <w:lang w:val="uk-UA"/>
        </w:rPr>
        <w:t>(дата зверненння</w:t>
      </w:r>
      <w:r w:rsidRPr="00511005">
        <w:rPr>
          <w:rFonts w:ascii="Arial" w:eastAsia="Calibri" w:hAnsi="Arial" w:cs="Arial"/>
          <w:szCs w:val="28"/>
        </w:rPr>
        <w:t>: 01.05.2025</w:t>
      </w:r>
      <w:r w:rsidRPr="00511005">
        <w:rPr>
          <w:rFonts w:ascii="Arial" w:eastAsia="Calibri" w:hAnsi="Arial" w:cs="Arial"/>
          <w:szCs w:val="28"/>
          <w:lang w:val="uk-UA"/>
        </w:rPr>
        <w:t>)</w:t>
      </w:r>
    </w:p>
    <w:p w14:paraId="6C84CEA5" w14:textId="77777777" w:rsidR="00220D3E" w:rsidRPr="00511005" w:rsidRDefault="00220D3E" w:rsidP="003F6A5D">
      <w:pPr>
        <w:numPr>
          <w:ilvl w:val="0"/>
          <w:numId w:val="115"/>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Times New Roman" w:hAnsi="Arial" w:cs="Arial"/>
          <w:szCs w:val="28"/>
        </w:rPr>
        <w:t xml:space="preserve">Міжнародне публічне право. Міжнародний захист прав </w:t>
      </w:r>
      <w:proofErr w:type="gramStart"/>
      <w:r w:rsidRPr="00511005">
        <w:rPr>
          <w:rFonts w:ascii="Arial" w:eastAsia="Times New Roman" w:hAnsi="Arial" w:cs="Arial"/>
          <w:szCs w:val="28"/>
        </w:rPr>
        <w:t>людини :</w:t>
      </w:r>
      <w:proofErr w:type="gramEnd"/>
      <w:r w:rsidRPr="00511005">
        <w:rPr>
          <w:rFonts w:ascii="Arial" w:eastAsia="Times New Roman" w:hAnsi="Arial" w:cs="Arial"/>
          <w:szCs w:val="28"/>
        </w:rPr>
        <w:t xml:space="preserve"> навч. посіб. / за заг. ред. Т. Л. Сироїд. </w:t>
      </w:r>
      <w:proofErr w:type="gramStart"/>
      <w:r w:rsidRPr="00511005">
        <w:rPr>
          <w:rFonts w:ascii="Arial" w:eastAsia="Times New Roman" w:hAnsi="Arial" w:cs="Arial"/>
          <w:szCs w:val="28"/>
        </w:rPr>
        <w:t>Харків :</w:t>
      </w:r>
      <w:proofErr w:type="gramEnd"/>
      <w:r w:rsidRPr="00511005">
        <w:rPr>
          <w:rFonts w:ascii="Arial" w:eastAsia="Times New Roman" w:hAnsi="Arial" w:cs="Arial"/>
          <w:szCs w:val="28"/>
        </w:rPr>
        <w:t xml:space="preserve"> Право, 2019. 494 с.</w:t>
      </w:r>
    </w:p>
    <w:p w14:paraId="3DF88295" w14:textId="26DAC3A5" w:rsidR="00220D3E" w:rsidRPr="00511005" w:rsidRDefault="00220D3E" w:rsidP="003F6A5D">
      <w:pPr>
        <w:numPr>
          <w:ilvl w:val="0"/>
          <w:numId w:val="115"/>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Calibri" w:hAnsi="Arial" w:cs="Arial"/>
          <w:szCs w:val="28"/>
        </w:rPr>
        <w:t>Про захист цивільного населення під час війни: Конвенція ООН від 12.08.1949 р., ратифіковано Указом ПВР УРСР від 03.07.1954 р.</w:t>
      </w:r>
      <w:r w:rsidR="007B2628" w:rsidRPr="00511005">
        <w:rPr>
          <w:rFonts w:ascii="Arial" w:eastAsia="Calibri" w:hAnsi="Arial" w:cs="Arial"/>
          <w:szCs w:val="28"/>
        </w:rPr>
        <w:t xml:space="preserve"> </w:t>
      </w:r>
      <w:r w:rsidRPr="00511005">
        <w:rPr>
          <w:rFonts w:ascii="Arial" w:eastAsia="Calibri" w:hAnsi="Arial" w:cs="Arial"/>
          <w:szCs w:val="28"/>
        </w:rPr>
        <w:t xml:space="preserve">URL: </w:t>
      </w:r>
      <w:hyperlink r:id="rId379" w:anchor="Text" w:history="1">
        <w:r w:rsidRPr="00511005">
          <w:rPr>
            <w:rFonts w:ascii="Arial" w:eastAsia="Calibri" w:hAnsi="Arial" w:cs="Arial"/>
            <w:szCs w:val="28"/>
          </w:rPr>
          <w:t>https://zakon.rada.gov.ua/laws/show/995_154#Text</w:t>
        </w:r>
      </w:hyperlink>
      <w:r w:rsidRPr="00511005">
        <w:rPr>
          <w:rFonts w:ascii="Arial" w:eastAsia="Calibri" w:hAnsi="Arial" w:cs="Arial"/>
          <w:szCs w:val="28"/>
        </w:rPr>
        <w:t xml:space="preserve"> </w:t>
      </w:r>
      <w:r w:rsidRPr="00511005">
        <w:rPr>
          <w:rFonts w:ascii="Arial" w:eastAsia="Calibri" w:hAnsi="Arial" w:cs="Arial"/>
          <w:szCs w:val="28"/>
          <w:lang w:val="uk-UA"/>
        </w:rPr>
        <w:t>(дата зверненння</w:t>
      </w:r>
      <w:r w:rsidRPr="00511005">
        <w:rPr>
          <w:rFonts w:ascii="Arial" w:eastAsia="Calibri" w:hAnsi="Arial" w:cs="Arial"/>
          <w:szCs w:val="28"/>
        </w:rPr>
        <w:t>: 01.05.2025</w:t>
      </w:r>
      <w:r w:rsidRPr="00511005">
        <w:rPr>
          <w:rFonts w:ascii="Arial" w:eastAsia="Calibri" w:hAnsi="Arial" w:cs="Arial"/>
          <w:szCs w:val="28"/>
          <w:lang w:val="uk-UA"/>
        </w:rPr>
        <w:t>)</w:t>
      </w:r>
    </w:p>
    <w:p w14:paraId="01B664AD" w14:textId="77777777" w:rsidR="00220D3E" w:rsidRPr="00511005" w:rsidRDefault="00220D3E" w:rsidP="003F6A5D">
      <w:pPr>
        <w:numPr>
          <w:ilvl w:val="0"/>
          <w:numId w:val="115"/>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Calibri" w:hAnsi="Arial" w:cs="Arial"/>
          <w:szCs w:val="28"/>
        </w:rPr>
        <w:t xml:space="preserve">Конвенція ООН проти катувань та інших жорстоких, нелюдських або таких, що принижують гідність, видів поводження і покарання від 10.12.1984 р. URL: </w:t>
      </w:r>
      <w:hyperlink r:id="rId380" w:anchor="Text" w:history="1">
        <w:r w:rsidRPr="00511005">
          <w:rPr>
            <w:rFonts w:ascii="Arial" w:eastAsia="Calibri" w:hAnsi="Arial" w:cs="Arial"/>
            <w:szCs w:val="28"/>
          </w:rPr>
          <w:t>https://zakon.rada.gov.ua/laws/show/995_085#Text</w:t>
        </w:r>
      </w:hyperlink>
      <w:r w:rsidRPr="00511005">
        <w:rPr>
          <w:rFonts w:ascii="Arial" w:eastAsia="Calibri" w:hAnsi="Arial" w:cs="Arial"/>
          <w:szCs w:val="28"/>
        </w:rPr>
        <w:t xml:space="preserve"> </w:t>
      </w:r>
      <w:r w:rsidRPr="00511005">
        <w:rPr>
          <w:rFonts w:ascii="Arial" w:eastAsia="Calibri" w:hAnsi="Arial" w:cs="Arial"/>
          <w:szCs w:val="28"/>
          <w:lang w:val="uk-UA"/>
        </w:rPr>
        <w:t>(дата зверненння</w:t>
      </w:r>
      <w:r w:rsidRPr="00511005">
        <w:rPr>
          <w:rFonts w:ascii="Arial" w:eastAsia="Calibri" w:hAnsi="Arial" w:cs="Arial"/>
          <w:szCs w:val="28"/>
        </w:rPr>
        <w:t>: 01.05.2025</w:t>
      </w:r>
      <w:r w:rsidRPr="00511005">
        <w:rPr>
          <w:rFonts w:ascii="Arial" w:eastAsia="Calibri" w:hAnsi="Arial" w:cs="Arial"/>
          <w:szCs w:val="28"/>
          <w:lang w:val="uk-UA"/>
        </w:rPr>
        <w:t>)</w:t>
      </w:r>
    </w:p>
    <w:p w14:paraId="4D40EC75" w14:textId="77777777" w:rsidR="00220D3E" w:rsidRPr="00511005" w:rsidRDefault="00220D3E" w:rsidP="003F6A5D">
      <w:pPr>
        <w:numPr>
          <w:ilvl w:val="0"/>
          <w:numId w:val="115"/>
        </w:numPr>
        <w:tabs>
          <w:tab w:val="left" w:pos="709"/>
        </w:tabs>
        <w:spacing w:line="264" w:lineRule="auto"/>
        <w:ind w:left="0" w:firstLine="709"/>
        <w:contextualSpacing/>
        <w:jc w:val="left"/>
        <w:rPr>
          <w:rFonts w:ascii="Arial" w:eastAsia="Times New Roman" w:hAnsi="Arial" w:cs="Arial"/>
          <w:szCs w:val="28"/>
          <w:lang w:val="en-US"/>
        </w:rPr>
      </w:pPr>
      <w:r w:rsidRPr="00511005">
        <w:rPr>
          <w:rFonts w:ascii="Arial" w:eastAsia="Calibri" w:hAnsi="Arial" w:cs="Arial"/>
          <w:szCs w:val="28"/>
        </w:rPr>
        <w:t xml:space="preserve">Римський Статут Міжнародного кримінального суду від 17 липня 1998 року. </w:t>
      </w:r>
      <w:r w:rsidRPr="00511005">
        <w:rPr>
          <w:rFonts w:ascii="Arial" w:eastAsia="Calibri" w:hAnsi="Arial" w:cs="Arial"/>
          <w:szCs w:val="28"/>
          <w:lang w:val="en-US"/>
        </w:rPr>
        <w:t xml:space="preserve">URL: https://zakon.rada.gov.ua/ laws/show/995_588#Text </w:t>
      </w:r>
      <w:r w:rsidRPr="00511005">
        <w:rPr>
          <w:rFonts w:ascii="Arial" w:eastAsia="Calibri" w:hAnsi="Arial" w:cs="Arial"/>
          <w:szCs w:val="28"/>
          <w:lang w:val="uk-UA"/>
        </w:rPr>
        <w:t>(дата зверненння</w:t>
      </w:r>
      <w:r w:rsidRPr="00511005">
        <w:rPr>
          <w:rFonts w:ascii="Arial" w:eastAsia="Calibri" w:hAnsi="Arial" w:cs="Arial"/>
          <w:szCs w:val="28"/>
          <w:lang w:val="en-US"/>
        </w:rPr>
        <w:t>: 01.05.2025</w:t>
      </w:r>
      <w:r w:rsidRPr="00511005">
        <w:rPr>
          <w:rFonts w:ascii="Arial" w:eastAsia="Calibri" w:hAnsi="Arial" w:cs="Arial"/>
          <w:szCs w:val="28"/>
          <w:lang w:val="uk-UA"/>
        </w:rPr>
        <w:t>)</w:t>
      </w:r>
    </w:p>
    <w:p w14:paraId="4EBC1368" w14:textId="77777777" w:rsidR="00220D3E" w:rsidRPr="00511005" w:rsidRDefault="00220D3E" w:rsidP="003F6A5D">
      <w:pPr>
        <w:numPr>
          <w:ilvl w:val="0"/>
          <w:numId w:val="115"/>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Times New Roman" w:hAnsi="Arial" w:cs="Arial"/>
          <w:szCs w:val="28"/>
        </w:rPr>
        <w:lastRenderedPageBreak/>
        <w:t xml:space="preserve">Супронюк В. Міжнародно-правові механізми забезпечення прав людини в умовах війни. </w:t>
      </w:r>
      <w:r w:rsidRPr="00511005">
        <w:rPr>
          <w:rFonts w:ascii="Arial" w:eastAsia="Times New Roman" w:hAnsi="Arial" w:cs="Arial"/>
          <w:i/>
          <w:szCs w:val="28"/>
        </w:rPr>
        <w:t xml:space="preserve">Реалізація прав людини у діяльності правоохоронних органів в умовах воєнного </w:t>
      </w:r>
      <w:proofErr w:type="gramStart"/>
      <w:r w:rsidRPr="00511005">
        <w:rPr>
          <w:rFonts w:ascii="Arial" w:eastAsia="Times New Roman" w:hAnsi="Arial" w:cs="Arial"/>
          <w:i/>
          <w:szCs w:val="28"/>
        </w:rPr>
        <w:t>стану :</w:t>
      </w:r>
      <w:proofErr w:type="gramEnd"/>
      <w:r w:rsidRPr="00511005">
        <w:rPr>
          <w:rFonts w:ascii="Arial" w:eastAsia="Times New Roman" w:hAnsi="Arial" w:cs="Arial"/>
          <w:i/>
          <w:szCs w:val="28"/>
        </w:rPr>
        <w:t xml:space="preserve"> матеріали міжкафедрального круглого столу</w:t>
      </w:r>
      <w:r w:rsidRPr="00511005">
        <w:rPr>
          <w:rFonts w:ascii="Arial" w:eastAsia="Times New Roman" w:hAnsi="Arial" w:cs="Arial"/>
          <w:szCs w:val="28"/>
        </w:rPr>
        <w:t xml:space="preserve"> (Криворіз. навч.-наук. ін-т ДонДУВС, 20 вересня 2024 р.). ДонДУВС, 2024. С. 22–24.</w:t>
      </w:r>
    </w:p>
    <w:p w14:paraId="20415187" w14:textId="77777777" w:rsidR="00220D3E" w:rsidRPr="00511005" w:rsidRDefault="00220D3E" w:rsidP="003F6A5D">
      <w:pPr>
        <w:numPr>
          <w:ilvl w:val="0"/>
          <w:numId w:val="115"/>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Times New Roman" w:hAnsi="Arial" w:cs="Arial"/>
          <w:szCs w:val="28"/>
        </w:rPr>
        <w:t xml:space="preserve">Розумовський О. С. Захист прав людини, повʼязано з порушенням ст. 2 Конвенції про захист прав людини і основоположних свобод (1950 р.) в умовах збройного конфлікту. </w:t>
      </w:r>
      <w:r w:rsidRPr="00511005">
        <w:rPr>
          <w:rFonts w:ascii="Arial" w:eastAsia="Times New Roman" w:hAnsi="Arial" w:cs="Arial"/>
          <w:i/>
          <w:szCs w:val="28"/>
        </w:rPr>
        <w:t xml:space="preserve">Наук. вісн. Ужгород. нац. ун-ту. </w:t>
      </w:r>
      <w:r w:rsidRPr="00511005">
        <w:rPr>
          <w:rFonts w:ascii="Arial" w:eastAsia="Times New Roman" w:hAnsi="Arial" w:cs="Arial"/>
          <w:szCs w:val="28"/>
        </w:rPr>
        <w:t>2022. Вип. 70. С. 141–145.</w:t>
      </w:r>
    </w:p>
    <w:p w14:paraId="04E16C3B" w14:textId="77777777" w:rsidR="00220D3E" w:rsidRPr="00511005" w:rsidRDefault="00220D3E" w:rsidP="003F6A5D">
      <w:pPr>
        <w:numPr>
          <w:ilvl w:val="0"/>
          <w:numId w:val="115"/>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Times New Roman" w:hAnsi="Arial" w:cs="Arial"/>
          <w:szCs w:val="28"/>
        </w:rPr>
        <w:t xml:space="preserve">Дорошенко В. А. Правові механізми захисту прав людини під час війни. </w:t>
      </w:r>
      <w:r w:rsidRPr="00511005">
        <w:rPr>
          <w:rFonts w:ascii="Arial" w:eastAsia="Times New Roman" w:hAnsi="Arial" w:cs="Arial"/>
          <w:i/>
          <w:szCs w:val="28"/>
        </w:rPr>
        <w:t>Юрид. наук. електрон. журн</w:t>
      </w:r>
      <w:r w:rsidRPr="00511005">
        <w:rPr>
          <w:rFonts w:ascii="Arial" w:eastAsia="Times New Roman" w:hAnsi="Arial" w:cs="Arial"/>
          <w:szCs w:val="28"/>
        </w:rPr>
        <w:t>. 2023. № 2. С. 323–326.</w:t>
      </w:r>
    </w:p>
    <w:p w14:paraId="5701D226" w14:textId="77777777" w:rsidR="00220D3E" w:rsidRPr="00511005" w:rsidRDefault="00220D3E" w:rsidP="003F6A5D">
      <w:pPr>
        <w:numPr>
          <w:ilvl w:val="0"/>
          <w:numId w:val="115"/>
        </w:numPr>
        <w:tabs>
          <w:tab w:val="left" w:pos="709"/>
        </w:tabs>
        <w:spacing w:line="264" w:lineRule="auto"/>
        <w:ind w:left="0" w:firstLine="709"/>
        <w:contextualSpacing/>
        <w:jc w:val="left"/>
        <w:rPr>
          <w:rFonts w:ascii="Arial" w:eastAsia="Times New Roman" w:hAnsi="Arial" w:cs="Arial"/>
          <w:szCs w:val="28"/>
          <w:lang w:val="de-DE"/>
        </w:rPr>
      </w:pPr>
      <w:r w:rsidRPr="00511005">
        <w:rPr>
          <w:rFonts w:ascii="Arial" w:eastAsia="Calibri" w:hAnsi="Arial" w:cs="Arial"/>
          <w:szCs w:val="28"/>
          <w:lang w:val="en-US"/>
        </w:rPr>
        <w:t xml:space="preserve">Farge E. Red Cross denounces lack of conflict mediation as aid needs explode. </w:t>
      </w:r>
      <w:r w:rsidRPr="00511005">
        <w:rPr>
          <w:rFonts w:ascii="Arial" w:eastAsia="Calibri" w:hAnsi="Arial" w:cs="Arial"/>
          <w:i/>
          <w:szCs w:val="28"/>
          <w:lang w:val="de-DE"/>
        </w:rPr>
        <w:t>Reuters</w:t>
      </w:r>
      <w:r w:rsidRPr="00511005">
        <w:rPr>
          <w:rFonts w:ascii="Arial" w:eastAsia="Calibri" w:hAnsi="Arial" w:cs="Arial"/>
          <w:szCs w:val="28"/>
          <w:lang w:val="de-DE"/>
        </w:rPr>
        <w:t>. 2024. URL: https://www.reuters.com/world/red-cross-denounces-lack-conflict-mediation-aid-needs-explode-2024-10-31</w:t>
      </w:r>
      <w:r w:rsidRPr="00511005">
        <w:rPr>
          <w:rFonts w:ascii="Arial" w:eastAsia="Calibri" w:hAnsi="Arial" w:cs="Arial"/>
          <w:szCs w:val="28"/>
          <w:lang w:val="uk-UA"/>
        </w:rPr>
        <w:t>(дата зверненння</w:t>
      </w:r>
      <w:r w:rsidRPr="00511005">
        <w:rPr>
          <w:rFonts w:ascii="Arial" w:eastAsia="Calibri" w:hAnsi="Arial" w:cs="Arial"/>
          <w:szCs w:val="28"/>
          <w:lang w:val="de-DE"/>
        </w:rPr>
        <w:t>: 01.05.2025</w:t>
      </w:r>
      <w:r w:rsidRPr="00511005">
        <w:rPr>
          <w:rFonts w:ascii="Arial" w:eastAsia="Calibri" w:hAnsi="Arial" w:cs="Arial"/>
          <w:szCs w:val="28"/>
          <w:lang w:val="uk-UA"/>
        </w:rPr>
        <w:t>)</w:t>
      </w:r>
    </w:p>
    <w:p w14:paraId="7BE7D6EA" w14:textId="77777777" w:rsidR="00220D3E" w:rsidRPr="00511005" w:rsidRDefault="00220D3E" w:rsidP="003F6A5D">
      <w:pPr>
        <w:numPr>
          <w:ilvl w:val="0"/>
          <w:numId w:val="115"/>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Times New Roman" w:hAnsi="Arial" w:cs="Arial"/>
          <w:szCs w:val="28"/>
        </w:rPr>
        <w:t xml:space="preserve">Лавренко Д. Міжнародний захист прав людини під час збройних конфліктів. </w:t>
      </w:r>
      <w:r w:rsidRPr="00511005">
        <w:rPr>
          <w:rFonts w:ascii="Arial" w:eastAsia="Times New Roman" w:hAnsi="Arial" w:cs="Arial"/>
          <w:i/>
          <w:szCs w:val="28"/>
        </w:rPr>
        <w:t xml:space="preserve">Міжнародна та національна безпека: теоретичні і прикладні </w:t>
      </w:r>
      <w:proofErr w:type="gramStart"/>
      <w:r w:rsidRPr="00511005">
        <w:rPr>
          <w:rFonts w:ascii="Arial" w:eastAsia="Times New Roman" w:hAnsi="Arial" w:cs="Arial"/>
          <w:i/>
          <w:szCs w:val="28"/>
        </w:rPr>
        <w:t>аспекти :</w:t>
      </w:r>
      <w:proofErr w:type="gramEnd"/>
      <w:r w:rsidRPr="00511005">
        <w:rPr>
          <w:rFonts w:ascii="Arial" w:eastAsia="Times New Roman" w:hAnsi="Arial" w:cs="Arial"/>
          <w:i/>
          <w:szCs w:val="28"/>
        </w:rPr>
        <w:t xml:space="preserve"> матеріали VI Міжнар. наук.-практ. конф. </w:t>
      </w:r>
      <w:r w:rsidRPr="00511005">
        <w:rPr>
          <w:rFonts w:ascii="Arial" w:eastAsia="Times New Roman" w:hAnsi="Arial" w:cs="Arial"/>
          <w:szCs w:val="28"/>
        </w:rPr>
        <w:t>(ДДУВС, 11.03.2022). ДДУВС, 2022. С. 122–124.</w:t>
      </w:r>
    </w:p>
    <w:p w14:paraId="082CCA6B" w14:textId="77777777" w:rsidR="00220D3E" w:rsidRPr="00511005" w:rsidRDefault="00220D3E" w:rsidP="003A292D">
      <w:pPr>
        <w:tabs>
          <w:tab w:val="left" w:pos="142"/>
        </w:tabs>
        <w:spacing w:line="264" w:lineRule="auto"/>
        <w:contextualSpacing/>
        <w:rPr>
          <w:rFonts w:ascii="Arial" w:eastAsia="Times New Roman" w:hAnsi="Arial" w:cs="Arial"/>
          <w:b/>
          <w:szCs w:val="28"/>
          <w:lang w:val="uk-UA" w:eastAsia="ru-RU"/>
        </w:rPr>
      </w:pPr>
    </w:p>
    <w:p w14:paraId="395E24A4" w14:textId="285EC8ED" w:rsidR="00220D3E" w:rsidRPr="00511005" w:rsidRDefault="007B2628" w:rsidP="003A292D">
      <w:pPr>
        <w:tabs>
          <w:tab w:val="left" w:pos="142"/>
        </w:tabs>
        <w:spacing w:line="264" w:lineRule="auto"/>
        <w:contextualSpacing/>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права людини, міжнародне гуманітарне право, збройний конфлікт, Женевські конвенції, Міжнародний кримінальний суд, Європейський суд з прав людини, захист цивільного населення, воєнні злочини.</w:t>
      </w:r>
    </w:p>
    <w:p w14:paraId="6BB08323" w14:textId="4D9104A6"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human rights, international humanitarian law, armed conflict, Geneva Conventions, International Criminal Court, European Court of Human Rights, protection of civilians, war crimes.</w:t>
      </w:r>
    </w:p>
    <w:p w14:paraId="6DA3D491" w14:textId="49301276" w:rsidR="00220D3E" w:rsidRPr="00511005" w:rsidRDefault="007B2628" w:rsidP="003A292D">
      <w:pPr>
        <w:keepNext/>
        <w:tabs>
          <w:tab w:val="left" w:pos="709"/>
        </w:tabs>
        <w:spacing w:line="264" w:lineRule="auto"/>
        <w:rPr>
          <w:rFonts w:ascii="Arial" w:eastAsia="Times New Roman" w:hAnsi="Arial" w:cs="Arial"/>
          <w:b/>
          <w:szCs w:val="28"/>
          <w:lang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val="uk-UA" w:eastAsia="ru-RU"/>
        </w:rPr>
        <w:t>к.ю.н., доцент Дронов В.Ю.</w:t>
      </w:r>
    </w:p>
    <w:p w14:paraId="411EAC72" w14:textId="77777777" w:rsidR="00220D3E" w:rsidRPr="00511005" w:rsidRDefault="00220D3E" w:rsidP="003A292D">
      <w:pPr>
        <w:tabs>
          <w:tab w:val="left" w:pos="709"/>
        </w:tabs>
        <w:spacing w:line="264" w:lineRule="auto"/>
        <w:jc w:val="left"/>
        <w:rPr>
          <w:rFonts w:ascii="Arial" w:eastAsia="Times New Roman" w:hAnsi="Arial" w:cs="Arial"/>
          <w:b/>
          <w:szCs w:val="28"/>
          <w:lang w:eastAsia="ru-RU"/>
        </w:rPr>
      </w:pPr>
    </w:p>
    <w:p w14:paraId="50CA6F4C"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en-US" w:eastAsia="ru-RU"/>
        </w:rPr>
        <w:t>Kasatkin Volodymyr</w:t>
      </w:r>
      <w:r w:rsidRPr="00511005">
        <w:rPr>
          <w:rFonts w:ascii="Arial" w:eastAsia="Times New Roman" w:hAnsi="Arial" w:cs="Arial"/>
          <w:b/>
          <w:i/>
          <w:szCs w:val="28"/>
          <w:lang w:val="uk-UA" w:eastAsia="ru-RU"/>
        </w:rPr>
        <w:t xml:space="preserve">, </w:t>
      </w:r>
    </w:p>
    <w:p w14:paraId="011CA74E"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en-US" w:eastAsia="ru-RU"/>
        </w:rPr>
        <w:t>Kozhukhova Oryna</w:t>
      </w:r>
    </w:p>
    <w:p w14:paraId="434B1601"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Cs/>
          <w:iCs/>
          <w:szCs w:val="28"/>
          <w:lang w:val="uk-UA" w:eastAsia="ru-RU"/>
        </w:rPr>
        <w:t>4th year students of Faculty of Advocacy and Anti-Corruption Activities</w:t>
      </w:r>
    </w:p>
    <w:p w14:paraId="329806D2" w14:textId="77777777" w:rsidR="00220D3E" w:rsidRPr="00511005" w:rsidRDefault="00220D3E" w:rsidP="003A292D">
      <w:pPr>
        <w:tabs>
          <w:tab w:val="left" w:pos="709"/>
        </w:tabs>
        <w:spacing w:line="264" w:lineRule="auto"/>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National University </w:t>
      </w:r>
      <w:r w:rsidRPr="00511005">
        <w:rPr>
          <w:rFonts w:ascii="Arial" w:eastAsia="Times New Roman" w:hAnsi="Arial" w:cs="Arial"/>
          <w:szCs w:val="28"/>
          <w:lang w:val="en-US" w:eastAsia="ru-RU"/>
        </w:rPr>
        <w:t>«</w:t>
      </w:r>
      <w:r w:rsidRPr="00511005">
        <w:rPr>
          <w:rFonts w:ascii="Arial" w:eastAsia="Times New Roman" w:hAnsi="Arial" w:cs="Arial"/>
          <w:bCs/>
          <w:iCs/>
          <w:szCs w:val="28"/>
          <w:lang w:val="uk-UA" w:eastAsia="ru-RU"/>
        </w:rPr>
        <w:t>Odesa Law Academy</w:t>
      </w:r>
      <w:r w:rsidRPr="00511005">
        <w:rPr>
          <w:rFonts w:ascii="Arial" w:eastAsia="Times New Roman" w:hAnsi="Arial" w:cs="Arial"/>
          <w:szCs w:val="28"/>
          <w:lang w:val="en-US" w:eastAsia="ru-RU"/>
        </w:rPr>
        <w:t xml:space="preserve">» </w:t>
      </w:r>
    </w:p>
    <w:p w14:paraId="0D4A7F28" w14:textId="77777777" w:rsidR="00220D3E" w:rsidRPr="00511005" w:rsidRDefault="00220D3E" w:rsidP="003A292D">
      <w:pPr>
        <w:tabs>
          <w:tab w:val="left" w:pos="709"/>
        </w:tabs>
        <w:spacing w:line="264" w:lineRule="auto"/>
        <w:jc w:val="center"/>
        <w:rPr>
          <w:rFonts w:ascii="Arial" w:eastAsia="Times New Roman" w:hAnsi="Arial" w:cs="Arial"/>
          <w:bCs/>
          <w:iCs/>
          <w:szCs w:val="28"/>
          <w:lang w:val="uk-UA" w:eastAsia="ru-RU"/>
        </w:rPr>
      </w:pPr>
    </w:p>
    <w:p w14:paraId="7DFCE557" w14:textId="77777777" w:rsidR="00220D3E" w:rsidRPr="00511005" w:rsidRDefault="00220D3E" w:rsidP="003A292D">
      <w:pPr>
        <w:tabs>
          <w:tab w:val="left" w:pos="709"/>
        </w:tabs>
        <w:spacing w:line="264" w:lineRule="auto"/>
        <w:jc w:val="center"/>
        <w:rPr>
          <w:rFonts w:ascii="Arial" w:eastAsia="Times New Roman" w:hAnsi="Arial" w:cs="Arial"/>
          <w:b/>
          <w:bCs/>
          <w:iCs/>
          <w:szCs w:val="28"/>
          <w:lang w:val="en-US" w:eastAsia="ru-RU"/>
        </w:rPr>
      </w:pPr>
      <w:r w:rsidRPr="00511005">
        <w:rPr>
          <w:rFonts w:ascii="Arial" w:eastAsia="Times New Roman" w:hAnsi="Arial" w:cs="Arial"/>
          <w:b/>
          <w:bCs/>
          <w:iCs/>
          <w:szCs w:val="28"/>
          <w:lang w:val="en-US" w:eastAsia="ru-RU"/>
        </w:rPr>
        <w:t>THE EFFECTIVENESS OF THE BUDAPEST MEMORANDUM IN THE CONTEXT OF RUSSIAN AGGRESSION AGAINST UKRAINE</w:t>
      </w:r>
    </w:p>
    <w:p w14:paraId="69F72334"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The relevance of the topic concerning the effectiveness of the Budapest Memorandum today is determined by the profound crisis in the contemporary system of international security. By signing the Budapest Memorandum in 1994, Ukraine voluntarily relinquished the world's third-largest nuclear arsenal in exchange for guarantees of respect for the countryʼs independence, sovereignty, and borders (</w:t>
      </w:r>
      <w:r w:rsidRPr="00511005">
        <w:rPr>
          <w:rFonts w:ascii="Arial" w:eastAsia="Times New Roman" w:hAnsi="Arial" w:cs="Arial"/>
          <w:bCs/>
          <w:iCs/>
          <w:szCs w:val="28"/>
          <w:lang w:val="en-US" w:eastAsia="ru-RU"/>
        </w:rPr>
        <w:t xml:space="preserve">it should also be noted here that the Ukrainian version of the </w:t>
      </w:r>
      <w:r w:rsidRPr="00511005">
        <w:rPr>
          <w:rFonts w:ascii="Arial" w:eastAsia="Times New Roman" w:hAnsi="Arial" w:cs="Arial"/>
          <w:bCs/>
          <w:iCs/>
          <w:szCs w:val="28"/>
          <w:lang w:val="en-US" w:eastAsia="ru-RU"/>
        </w:rPr>
        <w:lastRenderedPageBreak/>
        <w:t xml:space="preserve">Memorandum uses the term </w:t>
      </w:r>
      <w:r w:rsidRPr="00511005">
        <w:rPr>
          <w:rFonts w:ascii="Arial" w:eastAsia="Times New Roman" w:hAnsi="Arial" w:cs="Arial"/>
          <w:szCs w:val="28"/>
          <w:lang w:val="en-US" w:eastAsia="ru-RU"/>
        </w:rPr>
        <w:t>«</w:t>
      </w:r>
      <w:r w:rsidRPr="00511005">
        <w:rPr>
          <w:rFonts w:ascii="Arial" w:eastAsia="Times New Roman" w:hAnsi="Arial" w:cs="Arial"/>
          <w:bCs/>
          <w:iCs/>
          <w:szCs w:val="28"/>
          <w:lang w:eastAsia="ru-RU"/>
        </w:rPr>
        <w:t>гарантії</w:t>
      </w:r>
      <w:r w:rsidRPr="00511005">
        <w:rPr>
          <w:rFonts w:ascii="Arial" w:eastAsia="Times New Roman" w:hAnsi="Arial" w:cs="Arial"/>
          <w:bCs/>
          <w:iCs/>
          <w:szCs w:val="28"/>
          <w:lang w:val="en-US" w:eastAsia="ru-RU"/>
        </w:rPr>
        <w:t xml:space="preserve"> </w:t>
      </w:r>
      <w:r w:rsidRPr="00511005">
        <w:rPr>
          <w:rFonts w:ascii="Arial" w:eastAsia="Times New Roman" w:hAnsi="Arial" w:cs="Arial"/>
          <w:bCs/>
          <w:iCs/>
          <w:szCs w:val="28"/>
          <w:lang w:eastAsia="ru-RU"/>
        </w:rPr>
        <w:t>безпеки</w:t>
      </w:r>
      <w:r w:rsidRPr="00511005">
        <w:rPr>
          <w:rFonts w:ascii="Arial" w:eastAsia="Times New Roman" w:hAnsi="Arial" w:cs="Arial"/>
          <w:bCs/>
          <w:iCs/>
          <w:szCs w:val="28"/>
          <w:lang w:val="uk-UA" w:eastAsia="ru-RU"/>
        </w:rPr>
        <w:t>»</w:t>
      </w:r>
      <w:r w:rsidRPr="00511005">
        <w:rPr>
          <w:rFonts w:ascii="Arial" w:eastAsia="Times New Roman" w:hAnsi="Arial" w:cs="Arial"/>
          <w:bCs/>
          <w:iCs/>
          <w:szCs w:val="28"/>
          <w:lang w:val="en-US" w:eastAsia="ru-RU"/>
        </w:rPr>
        <w:t xml:space="preserve"> (security guarantees), while, for example, the English version refers to it as </w:t>
      </w:r>
      <w:r w:rsidRPr="00511005">
        <w:rPr>
          <w:rFonts w:ascii="Arial" w:eastAsia="Times New Roman" w:hAnsi="Arial" w:cs="Arial"/>
          <w:szCs w:val="28"/>
          <w:lang w:val="en-US" w:eastAsia="ru-RU"/>
        </w:rPr>
        <w:t>«</w:t>
      </w:r>
      <w:r w:rsidRPr="00511005">
        <w:rPr>
          <w:rFonts w:ascii="Arial" w:eastAsia="Times New Roman" w:hAnsi="Arial" w:cs="Arial"/>
          <w:bCs/>
          <w:iCs/>
          <w:szCs w:val="28"/>
          <w:lang w:val="en-US" w:eastAsia="ru-RU"/>
        </w:rPr>
        <w:t>security assurances</w:t>
      </w:r>
      <w:r w:rsidRPr="00511005">
        <w:rPr>
          <w:rFonts w:ascii="Arial" w:eastAsia="Times New Roman" w:hAnsi="Arial" w:cs="Arial"/>
          <w:bCs/>
          <w:iCs/>
          <w:szCs w:val="28"/>
          <w:lang w:val="uk-UA" w:eastAsia="ru-RU"/>
        </w:rPr>
        <w:t>»</w:t>
      </w:r>
      <w:r w:rsidRPr="00511005">
        <w:rPr>
          <w:rFonts w:ascii="Arial" w:eastAsia="Times New Roman" w:hAnsi="Arial" w:cs="Arial"/>
          <w:bCs/>
          <w:iCs/>
          <w:szCs w:val="28"/>
          <w:lang w:val="en-US" w:eastAsia="ru-RU"/>
        </w:rPr>
        <w:t>)</w:t>
      </w:r>
      <w:r w:rsidRPr="00511005">
        <w:rPr>
          <w:rFonts w:ascii="Arial" w:eastAsia="Times New Roman" w:hAnsi="Arial" w:cs="Arial"/>
          <w:bCs/>
          <w:iCs/>
          <w:szCs w:val="28"/>
          <w:lang w:val="uk-UA" w:eastAsia="ru-RU"/>
        </w:rPr>
        <w:t>. However, the events of 2014, as well as the full-scale aggression by the Russian Federation in 2022, demonstrated the actual inability of these guarantees to prevent violations of international law and armed intervention.</w:t>
      </w:r>
    </w:p>
    <w:p w14:paraId="490E719C"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The collapse of the Soviet Union in 1991 caused fundamental changes in the geopolitical arena. One of the main security problems in the post-Soviet space was the issue of nuclear weapons, which remained on the territories of newly independent states, including Ukraine, Belarus, and Kazakhstan. This situation caused concern within the international community due to the risks of nuclear proliferation and the threat to strategic stability in the world.</w:t>
      </w:r>
    </w:p>
    <w:p w14:paraId="4A2940D8"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The reasons for Ukraineʼs disarmament were both external and internal factors. Firstly, Ukraine was under significant pressure from the United States, Russia, and other states to prevent the proliferation of nuclear weapons and the expansion of the list of nuclear powers. Russiaʼs economic interest in the nuclear disarmament of Ukraine also lay in its desire to consolidate its influence in strategically important areas of the Ukrainian economy, primarily in the energy sector. Ukraineʼs significant dependence on imports of Russian energy resources – gas, oil, and nuclear fuel for nuclear power plants – made Kyiv vulnerable during negotiations with Moscow regarding the division of common Soviet property, primarily the Black Sea Fleet, as well as in the process of concluding gas contracts and shaping the stateʼs foreign policy course [1].</w:t>
      </w:r>
    </w:p>
    <w:p w14:paraId="2BA969C6"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Secondly, it is important to note that in practice, Ukraine did not have full control over the weapons. As the first President of Ukraine, Leonid Kravchuk, noted, missile control systems, command centers, and the launch mechanism itself were located in Russia. The production of launch vehicles was carried out in Ukraine at the «Pivdenmash» plant, but nuclear warheads were manufactured exclusively on the territory of the Russian Federation. According to Kravchuk, in the early years of independence, Ukraine lacked both the technical capabilities and financial resources to create its own full-fledged nuclear infrastructure [2].</w:t>
      </w:r>
    </w:p>
    <w:p w14:paraId="1D4B9976"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Thirdly, after declaring independence, our country sought to position itself as a state that supports the ideas of peace and international security. The legal foundations for choosing a non-nuclear status were defined in the Declaration of State Sovereignty. This document, in particular, enshrined Ukraineʼs commitment to adhere to three main principles: not to accept, not to produce, and not to proliferate nuclear weapons on its territory [3].</w:t>
      </w:r>
    </w:p>
    <w:p w14:paraId="784B171C"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This complex set of reasons led to the signing of the Budapest Memorandum in 1994 between Ukraine, the United States, the United Kingdom, and Russia. According to the agreement, the four nuclear powers pledged to guarantee Ukraineʼs national security, territorial integrity, and sovereignty. They also agreed to refrain from economic pressure on Ukraine and to initiate actions by the UN Security Council in the event of an act of aggression against it. The </w:t>
      </w:r>
      <w:r w:rsidRPr="00511005">
        <w:rPr>
          <w:rFonts w:ascii="Arial" w:eastAsia="Times New Roman" w:hAnsi="Arial" w:cs="Arial"/>
          <w:bCs/>
          <w:iCs/>
          <w:szCs w:val="28"/>
          <w:lang w:val="uk-UA" w:eastAsia="ru-RU"/>
        </w:rPr>
        <w:lastRenderedPageBreak/>
        <w:t>Memorandum also provided for immediate assistances between the guarantor states in the event of any threats to Ukraine [4].</w:t>
      </w:r>
    </w:p>
    <w:p w14:paraId="73C285CE"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However, in practice, things were not so simple. Everything changed dramatically in February 2014, following the Euromaidan events and the flight of Yanukovych. One of the «guarantors» of our so-called «security» took advantage of the obvious destabilization of the situation in our country. Starting from February 20, 2014, the Russian Federation began the process of seizing the Crimean Peninsula, which was accompanied, in particular, by the blocking of Sevastopol by Russian armored personnel carriers, the transfer of Russian special forces to the peninsula, and the redeployment of the Russian Black Sea Fleet to the shores of Crimea, the seizure of administrative buildings and airports, the blockade of Ukrainian military units, and more. This terrible situation, caused by unlawful behavior that contradicts international law in general, ended on March 16, 2014, with a «referendum» on the annexation of Crimea to Russia [5].</w:t>
      </w:r>
    </w:p>
    <w:p w14:paraId="08941AC3" w14:textId="77777777" w:rsidR="00220D3E" w:rsidRPr="00511005" w:rsidRDefault="00220D3E" w:rsidP="003A292D">
      <w:pPr>
        <w:tabs>
          <w:tab w:val="left" w:pos="709"/>
        </w:tabs>
        <w:spacing w:line="264" w:lineRule="auto"/>
        <w:rPr>
          <w:rFonts w:ascii="Arial" w:eastAsia="Times New Roman" w:hAnsi="Arial" w:cs="Arial"/>
          <w:bCs/>
          <w:iCs/>
          <w:szCs w:val="28"/>
          <w:lang w:val="en-US" w:eastAsia="ru-RU"/>
        </w:rPr>
      </w:pPr>
      <w:r w:rsidRPr="00511005">
        <w:rPr>
          <w:rFonts w:ascii="Arial" w:eastAsia="Times New Roman" w:hAnsi="Arial" w:cs="Arial"/>
          <w:bCs/>
          <w:iCs/>
          <w:szCs w:val="28"/>
          <w:lang w:val="uk-UA" w:eastAsia="ru-RU"/>
        </w:rPr>
        <w:t>It can be confidently asserted that Russia's actions regarding Crimea constitute a violation of Ukrainian and international law, and the so-called «referendum» is falsified and illegitimate, which is confirmed by its non-recognition by the absolute majority of countries and international organizations. However, some countries, such as Syria, North Korea, Cuba, Nicaragua, Venezuela, and Afghanistan, supported the annexation.</w:t>
      </w:r>
    </w:p>
    <w:p w14:paraId="34D3661C"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In 2014, following the Russian escalation in Crimea, Ukraine called on the United States and the United Kingdom for assistances in accordance with the Budapest Memorandum. A meeting in Paris on March 5, 2014, with the participation of John Kerry, William Hague, and Andrii Deshchytsia, was ignored by Russia [6]. Although the United States and the United Kingdom condemned Russiaʼs actions and reaffirmed their support for Ukraineʼs sovereignty, no concrete measures to influence Russia were agreed upon.</w:t>
      </w:r>
    </w:p>
    <w:p w14:paraId="2D010DA6" w14:textId="77777777" w:rsidR="00220D3E" w:rsidRPr="00511005" w:rsidRDefault="00220D3E" w:rsidP="003A292D">
      <w:pPr>
        <w:tabs>
          <w:tab w:val="left" w:pos="709"/>
        </w:tabs>
        <w:spacing w:line="264" w:lineRule="auto"/>
        <w:rPr>
          <w:rFonts w:ascii="Arial" w:eastAsia="Times New Roman" w:hAnsi="Arial" w:cs="Arial"/>
          <w:bCs/>
          <w:iCs/>
          <w:szCs w:val="28"/>
          <w:lang w:val="en-US" w:eastAsia="ru-RU"/>
        </w:rPr>
      </w:pPr>
      <w:r w:rsidRPr="00511005">
        <w:rPr>
          <w:rFonts w:ascii="Arial" w:eastAsia="Times New Roman" w:hAnsi="Arial" w:cs="Arial"/>
          <w:bCs/>
          <w:iCs/>
          <w:szCs w:val="28"/>
          <w:lang w:val="uk-UA" w:eastAsia="ru-RU"/>
        </w:rPr>
        <w:t>During the escalation of relations between Ukraine and Russia in February 2022, our state repeatedly appealed to the guarantor countries of the Budapest Memorandum with a demand to hold assistances at the highest level.</w:t>
      </w:r>
    </w:p>
    <w:p w14:paraId="1C756C1A"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Following the start of the full-scale invasion, the United States and the United Kingdom expressed support for Ukraine, imposed sanctions against Russia, and provided military and humanitarian a</w:t>
      </w:r>
      <w:r w:rsidRPr="00511005">
        <w:rPr>
          <w:rFonts w:ascii="Arial" w:eastAsia="Times New Roman" w:hAnsi="Arial" w:cs="Arial"/>
          <w:bCs/>
          <w:iCs/>
          <w:szCs w:val="28"/>
          <w:lang w:val="en-US" w:eastAsia="ru-RU"/>
        </w:rPr>
        <w:t>id</w:t>
      </w:r>
      <w:r w:rsidRPr="00511005">
        <w:rPr>
          <w:rFonts w:ascii="Arial" w:eastAsia="Times New Roman" w:hAnsi="Arial" w:cs="Arial"/>
          <w:bCs/>
          <w:iCs/>
          <w:szCs w:val="28"/>
          <w:lang w:val="uk-UA" w:eastAsia="ru-RU"/>
        </w:rPr>
        <w:t xml:space="preserve">. However, formal assistances within the framework of the Budapest Memorandum at the level of heads of state or foreign ministers did not take place, although this was </w:t>
      </w:r>
      <w:r w:rsidRPr="00511005">
        <w:rPr>
          <w:rFonts w:ascii="Arial" w:eastAsia="Times New Roman" w:hAnsi="Arial" w:cs="Arial"/>
          <w:bCs/>
          <w:iCs/>
          <w:szCs w:val="28"/>
          <w:lang w:val="en-US" w:eastAsia="ru-RU"/>
        </w:rPr>
        <w:t>provided</w:t>
      </w:r>
      <w:r w:rsidRPr="00511005">
        <w:rPr>
          <w:rFonts w:ascii="Arial" w:eastAsia="Times New Roman" w:hAnsi="Arial" w:cs="Arial"/>
          <w:bCs/>
          <w:iCs/>
          <w:szCs w:val="28"/>
          <w:lang w:val="uk-UA" w:eastAsia="ru-RU"/>
        </w:rPr>
        <w:t xml:space="preserve"> in the event of a violation. Negotiations took place in other formats, such as «Ramstein». Russia, for its part, ignored Ukraineʼs calls for assistances, denied the fact of aggression, and stated that the </w:t>
      </w:r>
      <w:r w:rsidRPr="00511005">
        <w:rPr>
          <w:rFonts w:ascii="Arial" w:eastAsia="Times New Roman" w:hAnsi="Arial" w:cs="Arial"/>
          <w:bCs/>
          <w:iCs/>
          <w:szCs w:val="28"/>
          <w:lang w:val="en-US" w:eastAsia="ru-RU"/>
        </w:rPr>
        <w:t>M</w:t>
      </w:r>
      <w:r w:rsidRPr="00511005">
        <w:rPr>
          <w:rFonts w:ascii="Arial" w:eastAsia="Times New Roman" w:hAnsi="Arial" w:cs="Arial"/>
          <w:bCs/>
          <w:iCs/>
          <w:szCs w:val="28"/>
          <w:lang w:val="uk-UA" w:eastAsia="ru-RU"/>
        </w:rPr>
        <w:t>emorandum had no obligations due to the «regime change» in Ukraine.</w:t>
      </w:r>
    </w:p>
    <w:p w14:paraId="5FC0F045"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On the eve of the full-scale war, in February 2022, through the President of Ukraine Volodymyr Zelenskyy, Ukraine reminded the international community for the fourth time about the Budapest Memorandum at the Munich Security </w:t>
      </w:r>
      <w:r w:rsidRPr="00511005">
        <w:rPr>
          <w:rFonts w:ascii="Arial" w:eastAsia="Times New Roman" w:hAnsi="Arial" w:cs="Arial"/>
          <w:bCs/>
          <w:iCs/>
          <w:szCs w:val="28"/>
          <w:lang w:val="uk-UA" w:eastAsia="ru-RU"/>
        </w:rPr>
        <w:lastRenderedPageBreak/>
        <w:t xml:space="preserve">Conference. Subsequently, the Ministry of Foreign Affairs initiated urgent assistances at the UN, emphasizing that their continued disregard would lead to the recognition of the </w:t>
      </w:r>
      <w:r w:rsidRPr="00511005">
        <w:rPr>
          <w:rFonts w:ascii="Arial" w:eastAsia="Times New Roman" w:hAnsi="Arial" w:cs="Arial"/>
          <w:bCs/>
          <w:iCs/>
          <w:szCs w:val="28"/>
          <w:lang w:val="en-US" w:eastAsia="ru-RU"/>
        </w:rPr>
        <w:t>M</w:t>
      </w:r>
      <w:r w:rsidRPr="00511005">
        <w:rPr>
          <w:rFonts w:ascii="Arial" w:eastAsia="Times New Roman" w:hAnsi="Arial" w:cs="Arial"/>
          <w:bCs/>
          <w:iCs/>
          <w:szCs w:val="28"/>
          <w:lang w:val="uk-UA" w:eastAsia="ru-RU"/>
        </w:rPr>
        <w:t>emorandum as ineffective, casting doubt on Ukraineʼs renunciation of its nuclear arsenal in 1994 [7].</w:t>
      </w:r>
    </w:p>
    <w:p w14:paraId="07CE6435"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Thus, we can state that the Budapest Memorandum proved to be an ineffective mechanism for guaranteeing Ukraineʼs security, as its provisions failed to prevent the violation of its sovereignty and territorial integrity. The events of 2014 and 2022 demonstrated the limitations of international obligations without legally binding character. This underscores the need to reform the global security system, taking into account new challenges and threats.</w:t>
      </w:r>
    </w:p>
    <w:p w14:paraId="13E6F044"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p>
    <w:p w14:paraId="1D9C1E39" w14:textId="77777777" w:rsidR="00220D3E" w:rsidRPr="00511005" w:rsidRDefault="00220D3E" w:rsidP="003A292D">
      <w:pPr>
        <w:tabs>
          <w:tab w:val="left" w:pos="709"/>
        </w:tabs>
        <w:spacing w:line="264" w:lineRule="auto"/>
        <w:jc w:val="center"/>
        <w:rPr>
          <w:rFonts w:ascii="Arial" w:eastAsia="Times New Roman" w:hAnsi="Arial" w:cs="Arial"/>
          <w:b/>
          <w:bCs/>
          <w:iCs/>
          <w:szCs w:val="28"/>
          <w:lang w:val="en-US" w:eastAsia="ru-RU"/>
        </w:rPr>
      </w:pPr>
      <w:r w:rsidRPr="00511005">
        <w:rPr>
          <w:rFonts w:ascii="Arial" w:eastAsia="Times New Roman" w:hAnsi="Arial" w:cs="Arial"/>
          <w:b/>
          <w:bCs/>
          <w:iCs/>
          <w:szCs w:val="28"/>
          <w:lang w:val="en-US" w:eastAsia="ru-RU"/>
        </w:rPr>
        <w:t>References</w:t>
      </w:r>
    </w:p>
    <w:p w14:paraId="0940290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1. Kostenko, Y. (2015). The History of Nuclear Disarmament of Ukraine. Kyiv: Yaroslaviv Val. (464 p.) (in Ukrainian).</w:t>
      </w:r>
    </w:p>
    <w:p w14:paraId="7D73C856"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uk-UA" w:eastAsia="ru-RU"/>
        </w:rPr>
        <w:t xml:space="preserve">2. </w:t>
      </w:r>
      <w:r w:rsidRPr="00511005">
        <w:rPr>
          <w:rFonts w:ascii="Arial" w:eastAsia="Times New Roman" w:hAnsi="Arial" w:cs="Arial"/>
          <w:szCs w:val="28"/>
          <w:lang w:val="en-US" w:eastAsia="ru-RU"/>
        </w:rPr>
        <w:t xml:space="preserve">Kravchuk, L. (2011, June 18). I dreamed of a wealthy, civilized Ukraine, but it didnʼt happen [Online resource]. </w:t>
      </w:r>
      <w:r w:rsidRPr="00511005">
        <w:rPr>
          <w:rFonts w:ascii="Arial" w:eastAsia="Times New Roman" w:hAnsi="Arial" w:cs="Arial"/>
          <w:i/>
          <w:iCs/>
          <w:szCs w:val="28"/>
          <w:lang w:val="en-US" w:eastAsia="ru-RU"/>
        </w:rPr>
        <w:t>DW</w:t>
      </w:r>
      <w:r w:rsidRPr="00511005">
        <w:rPr>
          <w:rFonts w:ascii="Arial" w:eastAsia="Times New Roman" w:hAnsi="Arial" w:cs="Arial"/>
          <w:szCs w:val="28"/>
          <w:lang w:val="en-US" w:eastAsia="ru-RU"/>
        </w:rPr>
        <w:t xml:space="preserve">. Retrieved from </w:t>
      </w:r>
      <w:hyperlink r:id="rId381" w:tgtFrame="_blank" w:history="1">
        <w:r w:rsidRPr="00511005">
          <w:rPr>
            <w:rFonts w:ascii="Arial" w:eastAsia="Times New Roman" w:hAnsi="Arial" w:cs="Arial"/>
            <w:szCs w:val="28"/>
            <w:lang w:val="en-US" w:eastAsia="ru-RU"/>
          </w:rPr>
          <w:t>https://surl.lu/uzvopg</w:t>
        </w:r>
      </w:hyperlink>
      <w:r w:rsidRPr="00511005">
        <w:rPr>
          <w:rFonts w:ascii="Arial" w:eastAsia="Times New Roman" w:hAnsi="Arial" w:cs="Arial"/>
          <w:szCs w:val="28"/>
          <w:lang w:val="en-US" w:eastAsia="ru-RU"/>
        </w:rPr>
        <w:t xml:space="preserve"> (in Ukrainian).</w:t>
      </w:r>
    </w:p>
    <w:p w14:paraId="5DD98BAB"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uk-UA" w:eastAsia="ru-RU"/>
        </w:rPr>
        <w:t xml:space="preserve">3. </w:t>
      </w:r>
      <w:r w:rsidRPr="00511005">
        <w:rPr>
          <w:rFonts w:ascii="Arial" w:eastAsia="Times New Roman" w:hAnsi="Arial" w:cs="Arial"/>
          <w:szCs w:val="28"/>
          <w:lang w:val="en-US" w:eastAsia="ru-RU"/>
        </w:rPr>
        <w:t xml:space="preserve">Declaration on the State Sovereignty of Ukraine. (1990). </w:t>
      </w:r>
      <w:r w:rsidRPr="00511005">
        <w:rPr>
          <w:rFonts w:ascii="Arial" w:eastAsia="Times New Roman" w:hAnsi="Arial" w:cs="Arial"/>
          <w:i/>
          <w:iCs/>
          <w:szCs w:val="28"/>
          <w:lang w:val="en-US" w:eastAsia="ru-RU"/>
        </w:rPr>
        <w:t>Vidomosti Verkhovnoi Rady Ukrainy (Bulletin of the Verkhovna Rada of Ukraine)</w:t>
      </w:r>
      <w:r w:rsidRPr="00511005">
        <w:rPr>
          <w:rFonts w:ascii="Arial" w:eastAsia="Times New Roman" w:hAnsi="Arial" w:cs="Arial"/>
          <w:szCs w:val="28"/>
          <w:lang w:val="en-US" w:eastAsia="ru-RU"/>
        </w:rPr>
        <w:t xml:space="preserve">, </w:t>
      </w:r>
      <w:r w:rsidRPr="00511005">
        <w:rPr>
          <w:rFonts w:ascii="Arial" w:eastAsia="Times New Roman" w:hAnsi="Arial" w:cs="Arial"/>
          <w:i/>
          <w:iCs/>
          <w:szCs w:val="28"/>
          <w:lang w:val="en-US" w:eastAsia="ru-RU"/>
        </w:rPr>
        <w:t>31</w:t>
      </w:r>
      <w:r w:rsidRPr="00511005">
        <w:rPr>
          <w:rFonts w:ascii="Arial" w:eastAsia="Times New Roman" w:hAnsi="Arial" w:cs="Arial"/>
          <w:szCs w:val="28"/>
          <w:lang w:val="en-US" w:eastAsia="ru-RU"/>
        </w:rPr>
        <w:t xml:space="preserve">, p. 429. Retrieved from </w:t>
      </w:r>
      <w:hyperlink r:id="rId382" w:anchor="Text" w:tgtFrame="_blank" w:history="1">
        <w:r w:rsidRPr="00511005">
          <w:rPr>
            <w:rFonts w:ascii="Arial" w:eastAsia="Times New Roman" w:hAnsi="Arial" w:cs="Arial"/>
            <w:szCs w:val="28"/>
            <w:lang w:val="en-US" w:eastAsia="ru-RU"/>
          </w:rPr>
          <w:t>https://zakon.rada.gov.ua/laws/show/55-12#Text</w:t>
        </w:r>
      </w:hyperlink>
      <w:r w:rsidRPr="00511005">
        <w:rPr>
          <w:rFonts w:ascii="Arial" w:eastAsia="Times New Roman" w:hAnsi="Arial" w:cs="Arial"/>
          <w:szCs w:val="28"/>
          <w:lang w:val="en-US" w:eastAsia="ru-RU"/>
        </w:rPr>
        <w:t xml:space="preserve"> (in Ukrainian).</w:t>
      </w:r>
    </w:p>
    <w:p w14:paraId="7DD005D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uk-UA" w:eastAsia="ru-RU"/>
        </w:rPr>
        <w:t xml:space="preserve">4. </w:t>
      </w:r>
      <w:r w:rsidRPr="00511005">
        <w:rPr>
          <w:rFonts w:ascii="Arial" w:eastAsia="Times New Roman" w:hAnsi="Arial" w:cs="Arial"/>
          <w:szCs w:val="28"/>
          <w:lang w:val="en-US" w:eastAsia="ru-RU"/>
        </w:rPr>
        <w:t xml:space="preserve">Memorandum on Security Assurances in Connection with Ukraineʼs Accession to the Treaty on the Non-Proliferation of Nuclear Weapons, December 5, 1994 [Online resource]. </w:t>
      </w:r>
      <w:r w:rsidRPr="00511005">
        <w:rPr>
          <w:rFonts w:ascii="Arial" w:eastAsia="Times New Roman" w:hAnsi="Arial" w:cs="Arial"/>
          <w:i/>
          <w:iCs/>
          <w:szCs w:val="28"/>
          <w:lang w:val="en-US" w:eastAsia="ru-RU"/>
        </w:rPr>
        <w:t>Verkhovna Rada of Ukraine</w:t>
      </w:r>
      <w:r w:rsidRPr="00511005">
        <w:rPr>
          <w:rFonts w:ascii="Arial" w:eastAsia="Times New Roman" w:hAnsi="Arial" w:cs="Arial"/>
          <w:szCs w:val="28"/>
          <w:lang w:val="en-US" w:eastAsia="ru-RU"/>
        </w:rPr>
        <w:t xml:space="preserve">. Retrieved from </w:t>
      </w:r>
      <w:hyperlink r:id="rId383" w:anchor="Text" w:tgtFrame="_blank" w:history="1">
        <w:r w:rsidRPr="00511005">
          <w:rPr>
            <w:rFonts w:ascii="Arial" w:eastAsia="Times New Roman" w:hAnsi="Arial" w:cs="Arial"/>
            <w:szCs w:val="28"/>
            <w:lang w:val="en-US" w:eastAsia="ru-RU"/>
          </w:rPr>
          <w:t>https://zakon.rada.gov.ua/laws/show/998_158#Text</w:t>
        </w:r>
      </w:hyperlink>
      <w:r w:rsidRPr="00511005">
        <w:rPr>
          <w:rFonts w:ascii="Arial" w:eastAsia="Times New Roman" w:hAnsi="Arial" w:cs="Arial"/>
          <w:szCs w:val="28"/>
          <w:lang w:val="en-US" w:eastAsia="ru-RU"/>
        </w:rPr>
        <w:t xml:space="preserve"> (in Ukrainian).</w:t>
      </w:r>
    </w:p>
    <w:p w14:paraId="307D30CC"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uk-UA" w:eastAsia="ru-RU"/>
        </w:rPr>
        <w:t xml:space="preserve">5. </w:t>
      </w:r>
      <w:r w:rsidRPr="00511005">
        <w:rPr>
          <w:rFonts w:ascii="Arial" w:eastAsia="Times New Roman" w:hAnsi="Arial" w:cs="Arial"/>
          <w:szCs w:val="28"/>
          <w:lang w:val="en-US" w:eastAsia="ru-RU"/>
        </w:rPr>
        <w:t xml:space="preserve">Klymenko, A. (2023, February 23). Occupation of Crimea. How it happened [Online resource]. </w:t>
      </w:r>
      <w:r w:rsidRPr="00511005">
        <w:rPr>
          <w:rFonts w:ascii="Arial" w:eastAsia="Times New Roman" w:hAnsi="Arial" w:cs="Arial"/>
          <w:i/>
          <w:iCs/>
          <w:szCs w:val="28"/>
          <w:lang w:val="en-US" w:eastAsia="ru-RU"/>
        </w:rPr>
        <w:t>Istorychna Pravda (Historical Truth)</w:t>
      </w:r>
      <w:r w:rsidRPr="00511005">
        <w:rPr>
          <w:rFonts w:ascii="Arial" w:eastAsia="Times New Roman" w:hAnsi="Arial" w:cs="Arial"/>
          <w:szCs w:val="28"/>
          <w:lang w:val="en-US" w:eastAsia="ru-RU"/>
        </w:rPr>
        <w:t xml:space="preserve">. Retrieved from </w:t>
      </w:r>
      <w:hyperlink r:id="rId384" w:tgtFrame="_blank" w:history="1">
        <w:r w:rsidRPr="00511005">
          <w:rPr>
            <w:rFonts w:ascii="Arial" w:eastAsia="Times New Roman" w:hAnsi="Arial" w:cs="Arial"/>
            <w:szCs w:val="28"/>
            <w:lang w:val="en-US" w:eastAsia="ru-RU"/>
          </w:rPr>
          <w:t>https://www.istpravda.com.ua/columns/2023/02/23/162420/</w:t>
        </w:r>
      </w:hyperlink>
      <w:r w:rsidRPr="00511005">
        <w:rPr>
          <w:rFonts w:ascii="Arial" w:eastAsia="Times New Roman" w:hAnsi="Arial" w:cs="Arial"/>
          <w:szCs w:val="28"/>
          <w:lang w:val="en-US" w:eastAsia="ru-RU"/>
        </w:rPr>
        <w:t xml:space="preserve"> (in Ukrainian).</w:t>
      </w:r>
    </w:p>
    <w:p w14:paraId="4DC5C95E"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uk-UA" w:eastAsia="ru-RU"/>
        </w:rPr>
        <w:t xml:space="preserve">6. </w:t>
      </w:r>
      <w:r w:rsidRPr="00511005">
        <w:rPr>
          <w:rFonts w:ascii="Arial" w:eastAsia="Times New Roman" w:hAnsi="Arial" w:cs="Arial"/>
          <w:szCs w:val="28"/>
          <w:lang w:val="en-US" w:eastAsia="ru-RU"/>
        </w:rPr>
        <w:t xml:space="preserve">Vovk, V. (2024, March 12). The Budapest Memorandum: the </w:t>
      </w:r>
      <w:r w:rsidRPr="00511005">
        <w:rPr>
          <w:rFonts w:ascii="Arial" w:eastAsia="Times New Roman" w:hAnsi="Arial" w:cs="Arial"/>
          <w:bCs/>
          <w:iCs/>
          <w:szCs w:val="28"/>
          <w:lang w:val="uk-UA" w:eastAsia="ru-RU"/>
        </w:rPr>
        <w:t>«</w:t>
      </w:r>
      <w:r w:rsidRPr="00511005">
        <w:rPr>
          <w:rFonts w:ascii="Arial" w:eastAsia="Times New Roman" w:hAnsi="Arial" w:cs="Arial"/>
          <w:szCs w:val="28"/>
          <w:lang w:val="en-US" w:eastAsia="ru-RU"/>
        </w:rPr>
        <w:t>voluntary</w:t>
      </w:r>
      <w:r w:rsidRPr="00511005">
        <w:rPr>
          <w:rFonts w:ascii="Arial" w:eastAsia="Times New Roman" w:hAnsi="Arial" w:cs="Arial"/>
          <w:bCs/>
          <w:iCs/>
          <w:szCs w:val="28"/>
          <w:lang w:val="uk-UA" w:eastAsia="ru-RU"/>
        </w:rPr>
        <w:t>»</w:t>
      </w:r>
      <w:r w:rsidRPr="00511005">
        <w:rPr>
          <w:rFonts w:ascii="Arial" w:eastAsia="Times New Roman" w:hAnsi="Arial" w:cs="Arial"/>
          <w:szCs w:val="28"/>
          <w:lang w:val="en-US" w:eastAsia="ru-RU"/>
        </w:rPr>
        <w:t xml:space="preserve"> surrender of nuclear weapons, </w:t>
      </w:r>
      <w:r w:rsidRPr="00511005">
        <w:rPr>
          <w:rFonts w:ascii="Arial" w:eastAsia="Times New Roman" w:hAnsi="Arial" w:cs="Arial"/>
          <w:bCs/>
          <w:iCs/>
          <w:szCs w:val="28"/>
          <w:lang w:val="uk-UA" w:eastAsia="ru-RU"/>
        </w:rPr>
        <w:t>«</w:t>
      </w:r>
      <w:r w:rsidRPr="00511005">
        <w:rPr>
          <w:rFonts w:ascii="Arial" w:eastAsia="Times New Roman" w:hAnsi="Arial" w:cs="Arial"/>
          <w:szCs w:val="28"/>
          <w:lang w:val="en-US" w:eastAsia="ru-RU"/>
        </w:rPr>
        <w:t>security guarantees</w:t>
      </w:r>
      <w:r w:rsidRPr="00511005">
        <w:rPr>
          <w:rFonts w:ascii="Arial" w:eastAsia="Times New Roman" w:hAnsi="Arial" w:cs="Arial"/>
          <w:bCs/>
          <w:iCs/>
          <w:szCs w:val="28"/>
          <w:lang w:val="uk-UA" w:eastAsia="ru-RU"/>
        </w:rPr>
        <w:t>»</w:t>
      </w:r>
      <w:r w:rsidRPr="00511005">
        <w:rPr>
          <w:rFonts w:ascii="Arial" w:eastAsia="Times New Roman" w:hAnsi="Arial" w:cs="Arial"/>
          <w:szCs w:val="28"/>
          <w:lang w:val="en-US" w:eastAsia="ru-RU"/>
        </w:rPr>
        <w:t xml:space="preserve">, war [Online resource]. </w:t>
      </w:r>
      <w:r w:rsidRPr="00511005">
        <w:rPr>
          <w:rFonts w:ascii="Arial" w:eastAsia="Times New Roman" w:hAnsi="Arial" w:cs="Arial"/>
          <w:i/>
          <w:iCs/>
          <w:szCs w:val="28"/>
          <w:lang w:val="en-US" w:eastAsia="ru-RU"/>
        </w:rPr>
        <w:t>Ukrainskyi Tyzhden (Ukrainian Week)</w:t>
      </w:r>
      <w:r w:rsidRPr="00511005">
        <w:rPr>
          <w:rFonts w:ascii="Arial" w:eastAsia="Times New Roman" w:hAnsi="Arial" w:cs="Arial"/>
          <w:szCs w:val="28"/>
          <w:lang w:val="en-US" w:eastAsia="ru-RU"/>
        </w:rPr>
        <w:t xml:space="preserve">. Retrieved from </w:t>
      </w:r>
      <w:hyperlink r:id="rId385" w:tgtFrame="_blank" w:history="1">
        <w:r w:rsidRPr="00511005">
          <w:rPr>
            <w:rFonts w:ascii="Arial" w:eastAsia="Times New Roman" w:hAnsi="Arial" w:cs="Arial"/>
            <w:szCs w:val="28"/>
            <w:lang w:val="en-US" w:eastAsia="ru-RU"/>
          </w:rPr>
          <w:t>https://tyzhden.ua/budapeshtskyj-memorandum-dobrovilne-zdavannia-iadernoi-zbroi-harantii-bezpeky-vijna/</w:t>
        </w:r>
      </w:hyperlink>
      <w:r w:rsidRPr="00511005">
        <w:rPr>
          <w:rFonts w:ascii="Arial" w:eastAsia="Times New Roman" w:hAnsi="Arial" w:cs="Arial"/>
          <w:szCs w:val="28"/>
          <w:lang w:val="en-US" w:eastAsia="ru-RU"/>
        </w:rPr>
        <w:t xml:space="preserve"> (in Ukrainian).</w:t>
      </w:r>
    </w:p>
    <w:p w14:paraId="37CAEB06"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uk-UA" w:eastAsia="ru-RU"/>
        </w:rPr>
        <w:t xml:space="preserve">7. </w:t>
      </w:r>
      <w:r w:rsidRPr="00511005">
        <w:rPr>
          <w:rFonts w:ascii="Arial" w:eastAsia="Times New Roman" w:hAnsi="Arial" w:cs="Arial"/>
          <w:szCs w:val="28"/>
          <w:lang w:val="en-US" w:eastAsia="ru-RU"/>
        </w:rPr>
        <w:t xml:space="preserve">Yavorska, T. (2023, December 5). Empty promises: why the Budapest Memorandum did not guarantee Ukraineʼs security [Online resource]. </w:t>
      </w:r>
      <w:r w:rsidRPr="00511005">
        <w:rPr>
          <w:rFonts w:ascii="Arial" w:eastAsia="Times New Roman" w:hAnsi="Arial" w:cs="Arial"/>
          <w:i/>
          <w:iCs/>
          <w:szCs w:val="28"/>
          <w:lang w:val="en-US" w:eastAsia="ru-RU"/>
        </w:rPr>
        <w:t>Espreso</w:t>
      </w:r>
      <w:r w:rsidRPr="00511005">
        <w:rPr>
          <w:rFonts w:ascii="Arial" w:eastAsia="Times New Roman" w:hAnsi="Arial" w:cs="Arial"/>
          <w:szCs w:val="28"/>
          <w:lang w:val="en-US" w:eastAsia="ru-RU"/>
        </w:rPr>
        <w:t xml:space="preserve">. Retrieved from </w:t>
      </w:r>
      <w:hyperlink r:id="rId386" w:tgtFrame="_blank" w:history="1">
        <w:r w:rsidRPr="00511005">
          <w:rPr>
            <w:rFonts w:ascii="Arial" w:eastAsia="Times New Roman" w:hAnsi="Arial" w:cs="Arial"/>
            <w:szCs w:val="28"/>
            <w:lang w:val="en-US" w:eastAsia="ru-RU"/>
          </w:rPr>
          <w:t>https://espreso.tv/porozhni-obitsyanki-chomu-budapeshtskiy-memorandum-ne-garantuvav-ukraini-bezpeki</w:t>
        </w:r>
      </w:hyperlink>
      <w:r w:rsidRPr="00511005">
        <w:rPr>
          <w:rFonts w:ascii="Arial" w:eastAsia="Times New Roman" w:hAnsi="Arial" w:cs="Arial"/>
          <w:szCs w:val="28"/>
          <w:lang w:val="en-US" w:eastAsia="ru-RU"/>
        </w:rPr>
        <w:t xml:space="preserve"> (in Ukrainian).</w:t>
      </w:r>
    </w:p>
    <w:p w14:paraId="7EA710C7"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6A3BAD0F" w14:textId="0C8146ED"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eastAsia="ru-RU"/>
        </w:rPr>
        <w:t>Ключові</w:t>
      </w:r>
      <w:r w:rsidRPr="00055389">
        <w:rPr>
          <w:rFonts w:ascii="Arial" w:eastAsia="Times New Roman" w:hAnsi="Arial" w:cs="Arial"/>
          <w:b/>
          <w:i/>
          <w:szCs w:val="28"/>
          <w:lang w:val="en-US" w:eastAsia="ru-RU"/>
        </w:rPr>
        <w:t xml:space="preserve"> </w:t>
      </w:r>
      <w:r w:rsidRPr="00511005">
        <w:rPr>
          <w:rFonts w:ascii="Arial" w:eastAsia="Times New Roman" w:hAnsi="Arial" w:cs="Arial"/>
          <w:b/>
          <w:i/>
          <w:szCs w:val="28"/>
          <w:lang w:eastAsia="ru-RU"/>
        </w:rPr>
        <w:t>слова</w:t>
      </w:r>
      <w:r w:rsidRPr="00055389">
        <w:rPr>
          <w:rFonts w:ascii="Arial" w:eastAsia="Times New Roman" w:hAnsi="Arial" w:cs="Arial"/>
          <w:b/>
          <w:i/>
          <w:szCs w:val="28"/>
          <w:lang w:val="en-US" w:eastAsia="ru-RU"/>
        </w:rPr>
        <w:t xml:space="preserve">: </w:t>
      </w:r>
      <w:r w:rsidR="00220D3E" w:rsidRPr="00511005">
        <w:rPr>
          <w:rFonts w:ascii="Arial" w:eastAsia="Times New Roman" w:hAnsi="Arial" w:cs="Arial"/>
          <w:bCs/>
          <w:szCs w:val="28"/>
          <w:lang w:val="uk-UA" w:eastAsia="ru-RU"/>
        </w:rPr>
        <w:t>анексія, Будапештський меморандум, гарантії безпеки, консультації, повномасштабне вторгнення, міжнародна безпека, ядерна зброя.</w:t>
      </w:r>
    </w:p>
    <w:p w14:paraId="0E6B0194" w14:textId="055845ED" w:rsidR="00220D3E" w:rsidRPr="00511005" w:rsidRDefault="007B2628" w:rsidP="003A292D">
      <w:pPr>
        <w:tabs>
          <w:tab w:val="left" w:pos="709"/>
        </w:tabs>
        <w:spacing w:line="264" w:lineRule="auto"/>
        <w:rPr>
          <w:rFonts w:ascii="Arial" w:eastAsia="Times New Roman" w:hAnsi="Arial" w:cs="Arial"/>
          <w:bCs/>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bCs/>
          <w:szCs w:val="28"/>
          <w:lang w:val="en-US" w:eastAsia="ru-RU"/>
        </w:rPr>
        <w:t>annexation, Budapest Memorandum, security assurances, assistances, full-scale invasion, international security, nuclear weapon.</w:t>
      </w:r>
    </w:p>
    <w:p w14:paraId="3A28382C" w14:textId="0508FD7B" w:rsidR="00220D3E" w:rsidRPr="00511005" w:rsidRDefault="006C2EDA" w:rsidP="003A292D">
      <w:pPr>
        <w:tabs>
          <w:tab w:val="left" w:pos="709"/>
        </w:tabs>
        <w:spacing w:line="264" w:lineRule="auto"/>
        <w:rPr>
          <w:rFonts w:ascii="Arial" w:eastAsia="Times New Roman" w:hAnsi="Arial" w:cs="Arial"/>
          <w:szCs w:val="28"/>
          <w:lang w:val="en-US" w:eastAsia="ru-RU"/>
        </w:rPr>
      </w:pPr>
      <w:bookmarkStart w:id="45" w:name="_Hlk196960751"/>
      <w:r w:rsidRPr="006C2EDA">
        <w:rPr>
          <w:rFonts w:ascii="Arial" w:eastAsia="Times New Roman" w:hAnsi="Arial" w:cs="Arial"/>
          <w:b/>
          <w:bCs/>
          <w:i/>
          <w:iCs/>
          <w:szCs w:val="28"/>
          <w:lang w:val="en-US" w:eastAsia="ru-RU"/>
        </w:rPr>
        <w:lastRenderedPageBreak/>
        <w:t xml:space="preserve">Academic supervisor: </w:t>
      </w:r>
      <w:r w:rsidR="00220D3E" w:rsidRPr="00511005">
        <w:rPr>
          <w:rFonts w:ascii="Arial" w:eastAsia="Times New Roman" w:hAnsi="Arial" w:cs="Arial"/>
          <w:i/>
          <w:szCs w:val="28"/>
          <w:lang w:val="en-US" w:eastAsia="ru-RU"/>
        </w:rPr>
        <w:t>PhD in Law, Associate Professor Manuilova K.</w:t>
      </w:r>
      <w:bookmarkEnd w:id="45"/>
    </w:p>
    <w:p w14:paraId="33FFCCAC" w14:textId="77777777" w:rsidR="00220D3E" w:rsidRPr="00511005" w:rsidRDefault="00220D3E" w:rsidP="003A292D">
      <w:pPr>
        <w:tabs>
          <w:tab w:val="left" w:pos="709"/>
        </w:tabs>
        <w:spacing w:line="264" w:lineRule="auto"/>
        <w:jc w:val="left"/>
        <w:rPr>
          <w:rFonts w:ascii="Arial" w:eastAsia="Times New Roman" w:hAnsi="Arial" w:cs="Arial"/>
          <w:b/>
          <w:szCs w:val="28"/>
          <w:lang w:val="en-US" w:eastAsia="ru-RU"/>
        </w:rPr>
      </w:pPr>
    </w:p>
    <w:p w14:paraId="775BB068"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Кирилова Олена Павлівна</w:t>
      </w:r>
    </w:p>
    <w:p w14:paraId="138B8264" w14:textId="4E6555FD"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p>
    <w:p w14:paraId="6A15EC80" w14:textId="3D1DE07F"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661ED0DA"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473F19AE"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БОРОТЬБА ЗА ІНФОРМАЦІЙНИЙ ПРОСТІР: ДЕЗІНФОРМАЦІЯ ЯК ЗБРОЯ У ЗОВНІШНІХ ЗНОСИНАХ</w:t>
      </w:r>
    </w:p>
    <w:p w14:paraId="5AC903E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Інформація супроводжує людину з самого моменту її появи. Ще тоді, коли навколо панувала природа, а перші племена збиралися навколо вогнищ, передача знань ставала основою виживання. Слово було могутньою силою: у ньому закладалася пам’ять про минулі покоління, поради на майбутнє, таємниці ремесел і розповіді про світ, який тільки відкривав свої обрії. З покоління в покоління інформація переходила через розповіді старійшин, малюнки на стінах печер, танці, пісні, символи на камені. Кожен новий знак, кожен жест був спробою зберегти щось важливе на все життя. Минав час, змінювалися епохи, змінювалися й методи: від папірусу до телеграфу, від газет до цифрових технологій. Інформація стала основою цивілізацій: з неї виростали міста, закони, мистецтво. Вона — як кров у тілі суспільства: непомітна, але життєво необхідна.</w:t>
      </w:r>
    </w:p>
    <w:p w14:paraId="6CA85B2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 попри велич і красу інформації, поруч із нею завжди крокувала брехня. Як тінь іде за світлом, так і обман супроводжував істину. Скільки б людство не прагнуло розвивати світ, скільки б не творило нового, завжди знаходилися ті, хто використовував слово не для добра, а для власної вигоди. І часом одна крапля неправди руйнувала те, що створювалося поколіннями.</w:t>
      </w:r>
    </w:p>
    <w:p w14:paraId="11BE195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Явище дезінформації має глибокі історичні корені. Ще в XVII столітті з'явився термін «газетна качка», яким позначали свідомо вигадані новини, створені для маніпулювання громадською думкою. З тих часів поширення неправдивої інформації стало не випадковістю, а свідомим інструментом впливу.</w:t>
      </w:r>
    </w:p>
    <w:p w14:paraId="44DF431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Особливо активного розвитку дезінформація набула у XX столітті. Під час воєнних конфліктів вона стала невід'ємною складовою пропаганди. Нацистська Німеччина майстерно використовувала брехливі повідомлення для виправдання своїх дій і введення в оману населення та світову спільноту. Радянський Союз також широко застосовував дезінформаційні кампанії, приховуючи власні злочини та створюючи ілюзію могутності й непогрішності.</w:t>
      </w:r>
    </w:p>
    <w:p w14:paraId="441CFE4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XXI столітті дезінформація вийшла на новий рівень. Завдяки стрімкому розвитку цифрових технологій і соціальних мереж поширення неправдивих відомостей стало миттєвим і глобальним. Вплив дезінформації тепер може охоплювати мільйони людей за лічені хвилини, змінюючи </w:t>
      </w:r>
      <w:r w:rsidRPr="00511005">
        <w:rPr>
          <w:rFonts w:ascii="Arial" w:eastAsia="Times New Roman" w:hAnsi="Arial" w:cs="Arial"/>
          <w:szCs w:val="28"/>
          <w:lang w:val="uk-UA" w:eastAsia="ru-RU"/>
        </w:rPr>
        <w:lastRenderedPageBreak/>
        <w:t>суспільні настрої, політичні процеси та навіть викликаючи міжнародні кризи. Сьогодні боротьба з дезінформацією — це не просто питання безпеки окремої країни чи суспільства. Це глобальний виклик, що вимагає критичного мислення, обачності та здатності відрізняти істину від навмисно створених ілюзій</w:t>
      </w:r>
      <w:r w:rsidRPr="00511005">
        <w:rPr>
          <w:rFonts w:ascii="Arial" w:eastAsia="Times New Roman" w:hAnsi="Arial" w:cs="Arial"/>
          <w:szCs w:val="28"/>
          <w:lang w:eastAsia="ru-RU"/>
        </w:rPr>
        <w:t xml:space="preserve"> [1, c. 58-59].</w:t>
      </w:r>
    </w:p>
    <w:p w14:paraId="2753C37C" w14:textId="24E51278"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«Спеціальний доповідач ООН із заохочення і захисту права на свободу думок і їхнє вільне вираження Ірен Хан, у своїй доповіді від 13 квітня 2021 року зазначила: «Дезінформація</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це</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не</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нове</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явище,</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але</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новим є</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те, що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цифрові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технології</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дозволили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різним</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суб’єктам створювати,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поширювати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та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посилювати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неправдиву, чи підроблену інформацію в політичних, ідеологічних або комерційних цілях в небачених до цього масштабах та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з такою</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швидкістю</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і межах</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доступності,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про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які раніше не було відомо»»</w:t>
      </w:r>
      <w:r w:rsidRPr="00055389">
        <w:rPr>
          <w:rFonts w:ascii="Arial" w:eastAsia="Times New Roman" w:hAnsi="Arial" w:cs="Arial"/>
          <w:szCs w:val="28"/>
          <w:lang w:val="uk-UA" w:eastAsia="ru-RU"/>
        </w:rPr>
        <w:t xml:space="preserve"> [2, </w:t>
      </w:r>
      <w:r w:rsidRPr="00511005">
        <w:rPr>
          <w:rFonts w:ascii="Arial" w:eastAsia="Times New Roman" w:hAnsi="Arial" w:cs="Arial"/>
          <w:szCs w:val="28"/>
          <w:lang w:eastAsia="ru-RU"/>
        </w:rPr>
        <w:t>c</w:t>
      </w:r>
      <w:r w:rsidRPr="00055389">
        <w:rPr>
          <w:rFonts w:ascii="Arial" w:eastAsia="Times New Roman" w:hAnsi="Arial" w:cs="Arial"/>
          <w:szCs w:val="28"/>
          <w:lang w:val="uk-UA" w:eastAsia="ru-RU"/>
        </w:rPr>
        <w:t>. 3</w:t>
      </w:r>
      <w:r w:rsidRPr="00511005">
        <w:rPr>
          <w:rFonts w:ascii="Arial" w:eastAsia="Times New Roman" w:hAnsi="Arial" w:cs="Arial"/>
          <w:szCs w:val="28"/>
          <w:lang w:val="uk-UA" w:eastAsia="ru-RU"/>
        </w:rPr>
        <w:t>3</w:t>
      </w:r>
      <w:r w:rsidRPr="00055389">
        <w:rPr>
          <w:rFonts w:ascii="Arial" w:eastAsia="Times New Roman" w:hAnsi="Arial" w:cs="Arial"/>
          <w:szCs w:val="28"/>
          <w:lang w:val="uk-UA" w:eastAsia="ru-RU"/>
        </w:rPr>
        <w:t>].</w:t>
      </w:r>
      <w:r w:rsidRPr="00511005">
        <w:rPr>
          <w:rFonts w:ascii="Arial" w:eastAsia="Times New Roman" w:hAnsi="Arial" w:cs="Arial"/>
          <w:szCs w:val="28"/>
          <w:lang w:val="uk-UA" w:eastAsia="ru-RU"/>
        </w:rPr>
        <w:t xml:space="preserve"> </w:t>
      </w:r>
    </w:p>
    <w:p w14:paraId="537F2FC8" w14:textId="0BC965DF"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Термін «дезінформація» походить із військової справи, де він означає цілеспрямоване поширення неправдивих відомостей про свої сили, озброєння чи плани з метою введення противника в оману. Ще з часів Троянської війни вона використовувалась як інструмент для перемоги — і сьогодні знову на службі у ворога </w:t>
      </w:r>
      <w:r w:rsidRPr="00511005">
        <w:rPr>
          <w:rFonts w:ascii="Arial" w:eastAsia="Times New Roman" w:hAnsi="Arial" w:cs="Arial"/>
          <w:szCs w:val="28"/>
          <w:lang w:eastAsia="ru-RU"/>
        </w:rPr>
        <w:t>[3, c. 3</w:t>
      </w:r>
      <w:r w:rsidRPr="00511005">
        <w:rPr>
          <w:rFonts w:ascii="Arial" w:eastAsia="Times New Roman" w:hAnsi="Arial" w:cs="Arial"/>
          <w:szCs w:val="28"/>
          <w:lang w:val="uk-UA" w:eastAsia="ru-RU"/>
        </w:rPr>
        <w:t>39</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Дезінформація — одна з ключових "зброї" у гібридній війні. Збройний конфлікт, котрий триває на території України сьогодні, чітко демонструє, наскільки небезпечною та впливовою може бути дезінформація.</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Росія активно застосовує сучасні інформаційні технології, щоб впливати на свідомість українців, сіючи страх, розбрат і недовіру. Метою є не лише дезорієнтація суспільства, а й підрив національної єдності, розпалювання ворожнечі, легітимізація війни, а також спроби змінити конституційний лад чи територіальну цілісність України. У цьому інформаційному протистоянні ворог часто маскує пропаганду під виглядом надійних джерел — створюються фейкові сайти, які імітують авторитетні ЗМІ, поширюючи маніпулятивні повідомлення, теорії змови або відверту брехню. Це підриває довіру до справжніх медіа і дестабілізує ситуацію в країні [4, </w:t>
      </w:r>
      <w:r w:rsidRPr="00511005">
        <w:rPr>
          <w:rFonts w:ascii="Arial" w:eastAsia="Times New Roman" w:hAnsi="Arial" w:cs="Arial"/>
          <w:szCs w:val="28"/>
          <w:lang w:eastAsia="ru-RU"/>
        </w:rPr>
        <w:t>c</w:t>
      </w:r>
      <w:r w:rsidRPr="00511005">
        <w:rPr>
          <w:rFonts w:ascii="Arial" w:eastAsia="Times New Roman" w:hAnsi="Arial" w:cs="Arial"/>
          <w:szCs w:val="28"/>
          <w:lang w:val="uk-UA" w:eastAsia="ru-RU"/>
        </w:rPr>
        <w:t xml:space="preserve">. 184]. </w:t>
      </w:r>
    </w:p>
    <w:p w14:paraId="5158ED49" w14:textId="20FCE072"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Дезінформація завдає серйозної шкоди суспільству, і залишати це без реагування неприпустимо. У сучасному світі, де новітні технології дозволяють поширювати фейки миттєво, людство ризикує жити в умовах постійної інформаційної омани. Саме тому дедалі більше країн активно обговорюють необхідність законодавчого регулювання дезінформації та запровадження відповідальності за навмисне введення в оману. У низці країн уже запроваджено відповідні нормативні документи. Так, у Нідерландах затверджена «Загальнодержавна стратегія ефективної боротьби з дезінформацією». Цей документ орієнтований на два ключові напрями: зміцнення відкритого суспільного діалогу та зменшення впливу неправдивих наративів у медіапросторі.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Австралія у 2021 році запровадила </w:t>
      </w:r>
      <w:r w:rsidRPr="00511005">
        <w:rPr>
          <w:rFonts w:ascii="Arial" w:eastAsia="Times New Roman" w:hAnsi="Arial" w:cs="Arial"/>
          <w:bCs/>
          <w:szCs w:val="28"/>
          <w:lang w:val="uk-UA" w:eastAsia="ru-RU"/>
        </w:rPr>
        <w:t>Кодекс практики щодо дезінформації та фейків</w:t>
      </w:r>
      <w:r w:rsidRPr="00511005">
        <w:rPr>
          <w:rFonts w:ascii="Arial" w:eastAsia="Times New Roman" w:hAnsi="Arial" w:cs="Arial"/>
          <w:szCs w:val="28"/>
          <w:lang w:val="uk-UA" w:eastAsia="ru-RU"/>
        </w:rPr>
        <w:t xml:space="preserve">, який містить сім основних </w:t>
      </w:r>
      <w:r w:rsidRPr="00511005">
        <w:rPr>
          <w:rFonts w:ascii="Arial" w:eastAsia="Times New Roman" w:hAnsi="Arial" w:cs="Arial"/>
          <w:szCs w:val="28"/>
          <w:lang w:val="uk-UA" w:eastAsia="ru-RU"/>
        </w:rPr>
        <w:lastRenderedPageBreak/>
        <w:t xml:space="preserve">зобов’язань. Кодекс спрямований на боротьбу з дезінформацією в платному контенті та рекламі. Важливо, що він має рекомендаційний характер, однак встановлює політичні та етичні рамки для інтернет-платформ, стимулюючи їх руйнувати фінансові стимули для поширення фейків. Литовська Республіка пішла шляхом чіткого обмеження на рівні медіазаконодавства. Законодавчо заборонено публікувати інформацію, що містить елементи дезінформації, воєнної пропаганди, а також заклики до порушення суверенітету чи територіальної цілісності держави. У Нікарагуа функціонує </w:t>
      </w:r>
      <w:r w:rsidRPr="00511005">
        <w:rPr>
          <w:rFonts w:ascii="Arial" w:eastAsia="Times New Roman" w:hAnsi="Arial" w:cs="Arial"/>
          <w:bCs/>
          <w:szCs w:val="28"/>
          <w:lang w:val="uk-UA" w:eastAsia="ru-RU"/>
        </w:rPr>
        <w:t>Закон проти цифрових злочинів</w:t>
      </w:r>
      <w:r w:rsidRPr="00511005">
        <w:rPr>
          <w:rFonts w:ascii="Arial" w:eastAsia="Times New Roman" w:hAnsi="Arial" w:cs="Arial"/>
          <w:szCs w:val="28"/>
          <w:lang w:val="uk-UA" w:eastAsia="ru-RU"/>
        </w:rPr>
        <w:t xml:space="preserve">, який, окрім кіберзлочинів, також криміналізує поширення неправдивої інформації в інтернеті. За цей злочин передбачено покарання — від двох до п’яти років позбавлення волі, а в обтяжливих обставинах — до восьми років. Німеччина ухвалила закон </w:t>
      </w:r>
      <w:r w:rsidRPr="00511005">
        <w:rPr>
          <w:rFonts w:ascii="Arial" w:eastAsia="Times New Roman" w:hAnsi="Arial" w:cs="Arial"/>
          <w:bCs/>
          <w:szCs w:val="28"/>
          <w:lang w:val="uk-UA" w:eastAsia="ru-RU"/>
        </w:rPr>
        <w:t>«Про захист прав користувачів у соціальних мережах»</w:t>
      </w:r>
      <w:r w:rsidRPr="00511005">
        <w:rPr>
          <w:rFonts w:ascii="Arial" w:eastAsia="Times New Roman" w:hAnsi="Arial" w:cs="Arial"/>
          <w:szCs w:val="28"/>
          <w:lang w:val="uk-UA" w:eastAsia="ru-RU"/>
        </w:rPr>
        <w:t xml:space="preserve">, згідно з яким платформи зобов’язані оперативно реагувати на скарги користувачів, видаляючи незаконний контент протягом 24 годин або 7 днів залежно від ступеня порушення. Соцмережі також зобов’язані двічі на рік звітувати про свою діяльність, що забезпечує більшу прозорість у цифровому просторі. На рівні Європейського Союзу діє </w:t>
      </w:r>
      <w:r w:rsidRPr="00511005">
        <w:rPr>
          <w:rFonts w:ascii="Arial" w:eastAsia="Times New Roman" w:hAnsi="Arial" w:cs="Arial"/>
          <w:bCs/>
          <w:szCs w:val="28"/>
          <w:lang w:val="uk-UA" w:eastAsia="ru-RU"/>
        </w:rPr>
        <w:t>Кодекс практики щодо дезінформації</w:t>
      </w:r>
      <w:r w:rsidRPr="00511005">
        <w:rPr>
          <w:rFonts w:ascii="Arial" w:eastAsia="Times New Roman" w:hAnsi="Arial" w:cs="Arial"/>
          <w:szCs w:val="28"/>
          <w:lang w:val="uk-UA" w:eastAsia="ru-RU"/>
        </w:rPr>
        <w:t xml:space="preserve">, що був посилений у 2022 році. Він встановлює стандарти для платформ, рекламодавців та інших суб’єктів, які впливають на цифрову інформаційну екосистему, з метою зменшення розповсюдження неправдивих наративів. Кодекс передбачає співпрацю з незалежними фактчекерами, прозорість алгоритмів та ефективні системи моніторингу [5]. </w:t>
      </w:r>
    </w:p>
    <w:p w14:paraId="5B93FD5B" w14:textId="1BCCDFC6" w:rsidR="00220D3E" w:rsidRPr="00511005" w:rsidRDefault="00220D3E" w:rsidP="003A292D">
      <w:pPr>
        <w:shd w:val="clear" w:color="auto" w:fill="FFFFFF"/>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 Україні питання відповідальності за дезінформацію у стані розвитку. Ще</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у 2020 році було запропоновано законопроєкт «Про протидію дезінформації», який передбачав як адміністративну, так і кримінальну відповідальність за її поширення. Законопроєкт викликав обговорення щодо ефективності таких заходів і потреби їхньої реалізації в умовах національної безпеки. [3, c. 339]. Наразі, діє Центр протидії з дезінформацією, що регулюється Указом Президента України «Питання центру протидії дезінформації». «Центр протидії дезінформації (далі - Центр) є робочим органом Ради національної безпеки і оборони України</w:t>
      </w:r>
      <w:bookmarkStart w:id="46" w:name="n17"/>
      <w:bookmarkEnd w:id="46"/>
      <w:r w:rsidRPr="00511005">
        <w:rPr>
          <w:rFonts w:ascii="Arial" w:eastAsia="Times New Roman" w:hAnsi="Arial" w:cs="Arial"/>
          <w:szCs w:val="28"/>
          <w:lang w:val="uk-UA" w:eastAsia="ru-RU"/>
        </w:rPr>
        <w:t>. Центр забезпечує здійснення заходів щодо протидії поточним і прогнозованим загрозам національній безпеці та національним інтересам України в інформаційній сфері, забезпечення інформаційної безпеки України, виявлення та протидії дезінформації, ефективної протидії пропаганді, деструктивним інформаційним впливам і кампаніям, запобігання спробам маніпулювання громадською думкою» [6].</w:t>
      </w:r>
    </w:p>
    <w:p w14:paraId="576B8537" w14:textId="77777777" w:rsidR="00220D3E" w:rsidRPr="00511005" w:rsidRDefault="00220D3E" w:rsidP="003A292D">
      <w:pPr>
        <w:shd w:val="clear" w:color="auto" w:fill="FFFFFF"/>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Дезінформація присутня на землі з давніх давен як сильна «зброя» і тягне за собою велику кількість негативних наслідків. Людство повинно бути відповідальними за скоєння власних злочинів, а держава належним чином </w:t>
      </w:r>
      <w:r w:rsidRPr="00511005">
        <w:rPr>
          <w:rFonts w:ascii="Arial" w:eastAsia="Times New Roman" w:hAnsi="Arial" w:cs="Arial"/>
          <w:szCs w:val="28"/>
          <w:lang w:val="uk-UA" w:eastAsia="ru-RU"/>
        </w:rPr>
        <w:lastRenderedPageBreak/>
        <w:t xml:space="preserve">слідкувати та керувати процесом протидії дезінформації, щоб не виникало більших катастроф. </w:t>
      </w:r>
    </w:p>
    <w:p w14:paraId="52E2842B" w14:textId="58799484" w:rsidR="00220D3E" w:rsidRPr="00511005" w:rsidRDefault="007B2628" w:rsidP="007B2628">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Список використаних джерел</w:t>
      </w:r>
    </w:p>
    <w:p w14:paraId="56F542C2" w14:textId="77777777" w:rsidR="00220D3E" w:rsidRPr="00511005" w:rsidRDefault="00220D3E" w:rsidP="003A292D">
      <w:pPr>
        <w:tabs>
          <w:tab w:val="left" w:pos="709"/>
        </w:tabs>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lang w:val="uk-UA" w:eastAsia="ru-RU"/>
        </w:rPr>
        <w:t>1. Муровицький А.А. Дезінформація та методи боротьби з нею</w:t>
      </w:r>
      <w:r w:rsidRPr="00511005">
        <w:rPr>
          <w:rFonts w:ascii="Arial" w:eastAsia="Times New Roman" w:hAnsi="Arial" w:cs="Arial"/>
          <w:szCs w:val="28"/>
          <w:shd w:val="clear" w:color="auto" w:fill="FFFFFF"/>
          <w:lang w:val="uk-UA" w:eastAsia="ru-RU"/>
        </w:rPr>
        <w:t xml:space="preserve">: стаття. Одеса: видавництво «молодий вчений». </w:t>
      </w:r>
      <w:r w:rsidRPr="00511005">
        <w:rPr>
          <w:rFonts w:ascii="Arial" w:eastAsia="Times New Roman" w:hAnsi="Arial" w:cs="Arial"/>
          <w:szCs w:val="28"/>
          <w:lang w:val="uk-UA" w:eastAsia="ru-RU"/>
        </w:rPr>
        <w:t>ІІ науково-практична конференція</w:t>
      </w:r>
      <w:r w:rsidRPr="00511005">
        <w:rPr>
          <w:rFonts w:ascii="Arial" w:eastAsia="Times New Roman" w:hAnsi="Arial" w:cs="Arial"/>
          <w:szCs w:val="28"/>
          <w:shd w:val="clear" w:color="auto" w:fill="FFFFFF"/>
          <w:lang w:val="uk-UA" w:eastAsia="ru-RU"/>
        </w:rPr>
        <w:t>, 2024. 96 с.</w:t>
      </w:r>
    </w:p>
    <w:p w14:paraId="1A0EDDD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shd w:val="clear" w:color="auto" w:fill="FFFFFF"/>
          <w:lang w:val="uk-UA" w:eastAsia="ru-RU"/>
        </w:rPr>
        <w:t>2. Самчинська О. Дезінформація: поняття та сутність: дослідження. Київ: адміністративне право і процес. № 3 (38), 2022. 106 с.</w:t>
      </w:r>
    </w:p>
    <w:p w14:paraId="4761B1B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 Павленко Т.А. дезінформація: поняття, ознаки, перспективи протидії: стаття. Електронне наукове фахове видання «юридичний науковий електронний журнал» № 7, 2022. 652 с.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387" w:history="1">
        <w:r w:rsidRPr="00511005">
          <w:rPr>
            <w:rFonts w:ascii="Arial" w:eastAsia="Times New Roman" w:hAnsi="Arial" w:cs="Arial"/>
            <w:szCs w:val="28"/>
            <w:lang w:val="uk-UA" w:eastAsia="ru-RU"/>
          </w:rPr>
          <w:t>https://www.pdau.edu.ua/sites/default/files/node/4518/pravylaoformlennyaspyskuvykorystanyhdzherel.pdf</w:t>
        </w:r>
      </w:hyperlink>
      <w:r w:rsidRPr="00511005">
        <w:rPr>
          <w:rFonts w:ascii="Arial" w:eastAsia="Times New Roman" w:hAnsi="Arial" w:cs="Arial"/>
          <w:szCs w:val="28"/>
          <w:lang w:val="uk-UA" w:eastAsia="ru-RU"/>
        </w:rPr>
        <w:t xml:space="preserve"> (дата звернення 03.05.2025).</w:t>
      </w:r>
    </w:p>
    <w:p w14:paraId="09EB71D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4. Літвінчук І. С. Дезінформація в соціальних мережах: алгоритми протидії: стаття. Одеса: науковий журнал «вчені записки тну імені в. І. Вернадського. Серія: філологія. Журналістика» том 34 (73) № 1 ч. 2, 2023. 199 с. </w:t>
      </w:r>
    </w:p>
    <w:p w14:paraId="287A9C4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5. Протидія дезінформації Європа + світ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388" w:history="1">
        <w:r w:rsidRPr="00511005">
          <w:rPr>
            <w:rFonts w:ascii="Arial" w:eastAsia="Times New Roman" w:hAnsi="Arial" w:cs="Arial"/>
            <w:szCs w:val="28"/>
            <w:lang w:val="uk-UA" w:eastAsia="ru-RU"/>
          </w:rPr>
          <w:t>https://webportal.nrada.gov.ua/wp-content/uploads/2024/04/protydiya_dezinformatsiyi_v_yevropisvit.pdf</w:t>
        </w:r>
      </w:hyperlink>
      <w:r w:rsidRPr="00511005">
        <w:rPr>
          <w:rFonts w:ascii="Arial" w:eastAsia="Times New Roman" w:hAnsi="Arial" w:cs="Arial"/>
          <w:szCs w:val="28"/>
          <w:lang w:val="uk-UA" w:eastAsia="ru-RU"/>
        </w:rPr>
        <w:t xml:space="preserve"> (дата звернення 03.05.2025).</w:t>
      </w:r>
    </w:p>
    <w:p w14:paraId="02C9DD22" w14:textId="3BDC21A4"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Cs/>
          <w:szCs w:val="28"/>
          <w:shd w:val="clear" w:color="auto" w:fill="FFFFFF"/>
          <w:lang w:val="uk-UA" w:eastAsia="ru-RU"/>
        </w:rPr>
        <w:t>6. Питання центру протидії дезінформації</w:t>
      </w:r>
      <w:r w:rsidRPr="00511005">
        <w:rPr>
          <w:rFonts w:ascii="Arial" w:eastAsia="Times New Roman" w:hAnsi="Arial" w:cs="Arial"/>
          <w:szCs w:val="28"/>
          <w:lang w:val="uk-UA" w:eastAsia="ru-RU"/>
        </w:rPr>
        <w:t xml:space="preserve">: Указ Президента України </w:t>
      </w:r>
      <w:r w:rsidRPr="00511005">
        <w:rPr>
          <w:rFonts w:ascii="Arial" w:eastAsia="Times New Roman" w:hAnsi="Arial" w:cs="Arial"/>
          <w:szCs w:val="28"/>
          <w:shd w:val="clear" w:color="auto" w:fill="FFFFFF"/>
          <w:lang w:val="uk-UA" w:eastAsia="ru-RU"/>
        </w:rPr>
        <w:t xml:space="preserve">від 07.05.2021 № 187/2021. Дата оновлення: 07.05.2021. </w:t>
      </w:r>
      <w:r w:rsidRPr="00511005">
        <w:rPr>
          <w:rFonts w:ascii="Arial" w:eastAsia="Times New Roman" w:hAnsi="Arial" w:cs="Arial"/>
          <w:szCs w:val="28"/>
          <w:lang w:val="en-US" w:eastAsia="ru-RU"/>
        </w:rPr>
        <w:t>URL</w:t>
      </w:r>
      <w:r w:rsidRPr="00511005">
        <w:rPr>
          <w:rFonts w:ascii="Arial" w:eastAsia="Times New Roman" w:hAnsi="Arial" w:cs="Arial"/>
          <w:szCs w:val="28"/>
          <w:shd w:val="clear" w:color="auto" w:fill="FFFFFF"/>
          <w:lang w:val="uk-UA" w:eastAsia="ru-RU"/>
        </w:rPr>
        <w:t xml:space="preserve">: </w:t>
      </w:r>
      <w:hyperlink r:id="rId389" w:anchor="Text" w:history="1">
        <w:r w:rsidRPr="00511005">
          <w:rPr>
            <w:rFonts w:ascii="Arial" w:eastAsia="Times New Roman" w:hAnsi="Arial" w:cs="Arial"/>
            <w:szCs w:val="28"/>
            <w:lang w:val="uk-UA" w:eastAsia="ru-RU"/>
          </w:rPr>
          <w:t>https://zakon.rada.gov.ua/laws/show/187/2021#text</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shd w:val="clear" w:color="auto" w:fill="FFFFFF"/>
          <w:lang w:val="uk-UA" w:eastAsia="ru-RU"/>
        </w:rPr>
        <w:t xml:space="preserve">(дата звернення 03.05.2025). </w:t>
      </w:r>
    </w:p>
    <w:p w14:paraId="15352191" w14:textId="77777777" w:rsidR="00220D3E" w:rsidRPr="00511005" w:rsidRDefault="00220D3E" w:rsidP="003A292D">
      <w:pPr>
        <w:tabs>
          <w:tab w:val="left" w:pos="709"/>
        </w:tabs>
        <w:spacing w:line="264" w:lineRule="auto"/>
        <w:rPr>
          <w:rFonts w:ascii="Arial" w:eastAsia="Times New Roman" w:hAnsi="Arial" w:cs="Arial"/>
          <w:b/>
          <w:szCs w:val="28"/>
          <w:lang w:val="uk-UA" w:eastAsia="ru-RU"/>
        </w:rPr>
      </w:pPr>
    </w:p>
    <w:p w14:paraId="325584B5" w14:textId="1F1034D0"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дезінформація, зброя, відповідальність, наслідки, інформація, дезорієнтація.</w:t>
      </w:r>
    </w:p>
    <w:p w14:paraId="15D0D3BF" w14:textId="7C3DFF00"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220D3E" w:rsidRPr="00511005">
        <w:rPr>
          <w:rFonts w:ascii="Arial" w:eastAsia="Times New Roman" w:hAnsi="Arial" w:cs="Arial"/>
          <w:szCs w:val="28"/>
          <w:lang w:val="uk-UA" w:eastAsia="ru-RU"/>
        </w:rPr>
        <w:t>disinformation, weapons, responsibility, consequences, information, disorientation.</w:t>
      </w:r>
    </w:p>
    <w:p w14:paraId="0757FE83" w14:textId="5F29DEEA"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 Бєлогубова О.О.</w:t>
      </w:r>
    </w:p>
    <w:p w14:paraId="55CB9CF0"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p>
    <w:p w14:paraId="7F50899C"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Кирилова Олена Павлівна</w:t>
      </w:r>
    </w:p>
    <w:p w14:paraId="4FBC317D" w14:textId="4E4A6682"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p>
    <w:p w14:paraId="01C36028" w14:textId="5D7D546B"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3F4C868B"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75D25C2F"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МІЖНАРОДНО-ПРАВОВІ СТАНДАРТИ ЗАХИСТУ ЖЕРТВ ЗБРОЙНИХ КОНФЛІКТІВ</w:t>
      </w:r>
    </w:p>
    <w:p w14:paraId="2227782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Людство завжди прагнуло вперед — до світла знань, до відкриттів, до розквіту цивілізації. Кожне століття — це сходинка, подолана ціною зусиль, геніальних ідей, боротьби та мрій. У XXI столітті ми можемо бачити плоди цієї праці: високі технології, розвиток медицини, інженерії, культури. </w:t>
      </w:r>
      <w:r w:rsidRPr="00511005">
        <w:rPr>
          <w:rFonts w:ascii="Arial" w:eastAsia="Times New Roman" w:hAnsi="Arial" w:cs="Arial"/>
          <w:szCs w:val="28"/>
          <w:lang w:val="uk-UA" w:eastAsia="ru-RU"/>
        </w:rPr>
        <w:lastRenderedPageBreak/>
        <w:t>Здається, ми вже стоїмо на порозі нової епохи, де можливо все. Та поряд із цим — інший бік реальності. За кожним проривом тінню тягнеться історія збройних конфліктів, трагедій, геноцидів, боротьби за виживання. Майже кожне століття відзначено війною, що забирала мільйони життів і залишала глибокі шрами в колективній пам’яті людства. Війна… Лише одне слово, але скільки болю, трагізму та розпачу ховається в ньому. Це крики наляканих дітей, це очі матерів, повні сліз, це зруйновані будинки, випалені поля. Це не просто збройний конфлікт — це випробування людяності.</w:t>
      </w:r>
    </w:p>
    <w:p w14:paraId="5F3A2EFC" w14:textId="26927984" w:rsidR="00220D3E" w:rsidRPr="00511005" w:rsidRDefault="00220D3E" w:rsidP="003A292D">
      <w:pPr>
        <w:shd w:val="clear" w:color="auto" w:fill="FFFFFF"/>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Нажаль, Україна стала ще одним трагічним символом цього явища. Із 2022 року наша держава переживає повномасштабне вторгнення, яке перевернуло життя мільйонів. Сотні знищених міст і сіл, тисячі загиблих мирних людей, мільйони переселенців. Природа, що раніше дарувала спокій – весняні квіти, родючі чорноземи, шум лісів -</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сьогодні стала символом спротиву. Поля, де визрівала пшениця, стали лініями фронту. </w:t>
      </w:r>
    </w:p>
    <w:p w14:paraId="5629752D" w14:textId="77777777" w:rsidR="00220D3E" w:rsidRPr="00511005" w:rsidRDefault="00220D3E" w:rsidP="003A292D">
      <w:pPr>
        <w:shd w:val="clear" w:color="auto" w:fill="FFFFFF"/>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контексті всього пережитого людством особливої уваги заслуговує розвиток міжнародно-правових норм, покликаних захищати права людини під час збройних конфліктів. Першим значущим кроком у цьому напрямі стала Гаазька конференція 1899 року, де було ухвалено Конвенцію про закони та звичаї сухопутної війни [1]. У 1907 році деякі положення було доповнено та розширено — зокрема, у сфері ведення воєнних дій на морі. Одним із важливих нововведень стало закріплення зобов’язання держав створювати спеціальні органи, які б збирали інформацію про полонених, а також співпрацювати з громадськими організаціями для надання їм допомоги. Гаазькі документи зосереджувалися переважно на </w:t>
      </w:r>
      <w:r w:rsidRPr="00511005">
        <w:rPr>
          <w:rFonts w:ascii="Arial" w:eastAsia="Times New Roman" w:hAnsi="Arial" w:cs="Arial"/>
          <w:bCs/>
          <w:szCs w:val="28"/>
          <w:lang w:val="uk-UA" w:eastAsia="ru-RU"/>
        </w:rPr>
        <w:t>методах і засобах ведення воєнних дій</w:t>
      </w:r>
      <w:r w:rsidRPr="00511005">
        <w:rPr>
          <w:rFonts w:ascii="Arial" w:eastAsia="Times New Roman" w:hAnsi="Arial" w:cs="Arial"/>
          <w:szCs w:val="28"/>
          <w:lang w:val="uk-UA" w:eastAsia="ru-RU"/>
        </w:rPr>
        <w:t xml:space="preserve">, тоді як </w:t>
      </w:r>
      <w:r w:rsidRPr="00511005">
        <w:rPr>
          <w:rFonts w:ascii="Arial" w:eastAsia="Times New Roman" w:hAnsi="Arial" w:cs="Arial"/>
          <w:bCs/>
          <w:szCs w:val="28"/>
          <w:lang w:val="uk-UA" w:eastAsia="ru-RU"/>
        </w:rPr>
        <w:t>питання захисту жертв збройних конфліктів — цивільного населення, поранених, хворих і військовополонених — потребували ширшого регулювання.</w:t>
      </w:r>
    </w:p>
    <w:p w14:paraId="0F81345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Під час Першої світової війни (1914–1918) Міжнародний комітет Червоного Хреста значно активізував свою діяльність, спрямовану на захист прав військовополонених. Його представники здійснювали відвідування місць утримання полонених, після чого складали детальні звіти з метою поліпшення умов їхнього перебування та поводження з ними. Окрім цього, була організована системна робота зі збору особистих даних про полонених. Правові положення дають підстави стверджувати, що члени регулярних збройних сил користуються захистом як військовополонені незалежно від поведінки під час війни, а представники іррегулярних сил отримують такий статус лише в разі дотримання ними встановлених правил та звичаїв війни [2</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 380].</w:t>
      </w:r>
      <w:r w:rsidRPr="00511005">
        <w:rPr>
          <w:rFonts w:ascii="Arial" w:eastAsia="Times New Roman" w:hAnsi="Arial" w:cs="Arial"/>
          <w:szCs w:val="28"/>
          <w:lang w:val="uk-UA" w:eastAsia="ru-RU"/>
        </w:rPr>
        <w:t xml:space="preserve"> </w:t>
      </w:r>
    </w:p>
    <w:p w14:paraId="6AC0A94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Прогалину захисту жертв збройного конфлікту поступово почали заповнювати </w:t>
      </w:r>
      <w:r w:rsidRPr="00511005">
        <w:rPr>
          <w:rFonts w:ascii="Arial" w:eastAsia="Times New Roman" w:hAnsi="Arial" w:cs="Arial"/>
          <w:bCs/>
          <w:szCs w:val="28"/>
          <w:lang w:val="uk-UA" w:eastAsia="ru-RU"/>
        </w:rPr>
        <w:t>Женевські конвенції</w:t>
      </w:r>
      <w:r w:rsidRPr="00511005">
        <w:rPr>
          <w:rFonts w:ascii="Arial" w:eastAsia="Times New Roman" w:hAnsi="Arial" w:cs="Arial"/>
          <w:szCs w:val="28"/>
          <w:lang w:val="uk-UA" w:eastAsia="ru-RU"/>
        </w:rPr>
        <w:t xml:space="preserve">, які стали логічним продовженням і доповненням Гаазького права. Їхня увага була зосереджена не стільки на </w:t>
      </w:r>
      <w:r w:rsidRPr="00511005">
        <w:rPr>
          <w:rFonts w:ascii="Arial" w:eastAsia="Times New Roman" w:hAnsi="Arial" w:cs="Arial"/>
          <w:szCs w:val="28"/>
          <w:lang w:val="uk-UA" w:eastAsia="ru-RU"/>
        </w:rPr>
        <w:lastRenderedPageBreak/>
        <w:t xml:space="preserve">війні як процесі, скільки на </w:t>
      </w:r>
      <w:r w:rsidRPr="00511005">
        <w:rPr>
          <w:rFonts w:ascii="Arial" w:eastAsia="Times New Roman" w:hAnsi="Arial" w:cs="Arial"/>
          <w:bCs/>
          <w:szCs w:val="28"/>
          <w:lang w:val="uk-UA" w:eastAsia="ru-RU"/>
        </w:rPr>
        <w:t>гуманному ставленні до осіб, які не беруть або вже не беруть участі у бойових діях</w:t>
      </w:r>
      <w:r w:rsidRPr="00511005">
        <w:rPr>
          <w:rFonts w:ascii="Arial" w:eastAsia="Times New Roman" w:hAnsi="Arial" w:cs="Arial"/>
          <w:szCs w:val="28"/>
          <w:lang w:val="uk-UA" w:eastAsia="ru-RU"/>
        </w:rPr>
        <w:t xml:space="preserve"> [3, с. 356].</w:t>
      </w:r>
    </w:p>
    <w:p w14:paraId="7C2B7FF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Першу Женевську конвенцію було прийнято ще 1864 року для захисту поранених на полі бою, але саме </w:t>
      </w:r>
      <w:r w:rsidRPr="00511005">
        <w:rPr>
          <w:rFonts w:ascii="Arial" w:eastAsia="Times New Roman" w:hAnsi="Arial" w:cs="Arial"/>
          <w:bCs/>
          <w:szCs w:val="28"/>
          <w:lang w:val="uk-UA" w:eastAsia="ru-RU"/>
        </w:rPr>
        <w:t>12 серпня 1949 році в Женеві</w:t>
      </w:r>
      <w:r w:rsidRPr="00511005">
        <w:rPr>
          <w:rFonts w:ascii="Arial" w:eastAsia="Times New Roman" w:hAnsi="Arial" w:cs="Arial"/>
          <w:szCs w:val="28"/>
          <w:lang w:val="uk-UA" w:eastAsia="ru-RU"/>
        </w:rPr>
        <w:t xml:space="preserve">, після жахіть Другої світової війни, був прийнятий </w:t>
      </w:r>
      <w:r w:rsidRPr="00511005">
        <w:rPr>
          <w:rFonts w:ascii="Arial" w:eastAsia="Times New Roman" w:hAnsi="Arial" w:cs="Arial"/>
          <w:bCs/>
          <w:szCs w:val="28"/>
          <w:lang w:val="uk-UA" w:eastAsia="ru-RU"/>
        </w:rPr>
        <w:t>системний набір з чотирьох Женевських конвенцій</w:t>
      </w:r>
      <w:r w:rsidRPr="00511005">
        <w:rPr>
          <w:rFonts w:ascii="Arial" w:eastAsia="Times New Roman" w:hAnsi="Arial" w:cs="Arial"/>
          <w:szCs w:val="28"/>
          <w:lang w:val="uk-UA" w:eastAsia="ru-RU"/>
        </w:rPr>
        <w:t>, які охоплювали:</w:t>
      </w:r>
    </w:p>
    <w:p w14:paraId="2BD9A2F1" w14:textId="77777777" w:rsidR="00220D3E" w:rsidRPr="00511005" w:rsidRDefault="00220D3E" w:rsidP="003F6A5D">
      <w:pPr>
        <w:numPr>
          <w:ilvl w:val="0"/>
          <w:numId w:val="11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«Конвенція про поліпшення долі поранених і хворих у регулярних арміях (Конвенція І);</w:t>
      </w:r>
    </w:p>
    <w:p w14:paraId="574CBA9C" w14:textId="77777777" w:rsidR="00220D3E" w:rsidRPr="00511005" w:rsidRDefault="00220D3E" w:rsidP="003F6A5D">
      <w:pPr>
        <w:numPr>
          <w:ilvl w:val="0"/>
          <w:numId w:val="11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Конвенція про поліпшення долі поранених, хворих і осіб, що постраждали в корабельних аваріях, зі складу збройних сил на морі (Конвенція ІІ); </w:t>
      </w:r>
    </w:p>
    <w:p w14:paraId="359FE251" w14:textId="77777777" w:rsidR="00220D3E" w:rsidRPr="00511005" w:rsidRDefault="00220D3E" w:rsidP="003F6A5D">
      <w:pPr>
        <w:numPr>
          <w:ilvl w:val="0"/>
          <w:numId w:val="11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Конвенція про поводження з військовополоненими (Конвенція ІІІ); </w:t>
      </w:r>
    </w:p>
    <w:p w14:paraId="51BA09A1" w14:textId="77777777" w:rsidR="00220D3E" w:rsidRPr="00511005" w:rsidRDefault="00220D3E" w:rsidP="003F6A5D">
      <w:pPr>
        <w:numPr>
          <w:ilvl w:val="0"/>
          <w:numId w:val="116"/>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Конвенція про захист цивільного населення під час війни (Конвенція ІV)».</w:t>
      </w:r>
    </w:p>
    <w:p w14:paraId="691034E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1977 році для успішного забезпечення захисту жертв збройних конфліктів були прийняті ще два протоколи: </w:t>
      </w:r>
    </w:p>
    <w:p w14:paraId="2DCABD2A" w14:textId="77777777" w:rsidR="00220D3E" w:rsidRPr="00511005" w:rsidRDefault="00220D3E" w:rsidP="003F6A5D">
      <w:pPr>
        <w:numPr>
          <w:ilvl w:val="0"/>
          <w:numId w:val="11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«Додатковий протокол І до Женевської конвенції 1949 р., що стосується захисту жертв міжнародних збройних конфліктів. </w:t>
      </w:r>
    </w:p>
    <w:p w14:paraId="55C7CB06" w14:textId="77777777" w:rsidR="00220D3E" w:rsidRPr="00511005" w:rsidRDefault="00220D3E" w:rsidP="003F6A5D">
      <w:pPr>
        <w:numPr>
          <w:ilvl w:val="0"/>
          <w:numId w:val="117"/>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Calibri" w:hAnsi="Arial" w:cs="Arial"/>
          <w:szCs w:val="28"/>
          <w:lang w:val="uk-UA"/>
        </w:rPr>
        <w:t>Додатковий протокол ІІ до Женевської конвенції 1949 р., що стосується захисту жертв збройних конфліктів не міжнародного характеру» [4, с. 101-102].</w:t>
      </w:r>
    </w:p>
    <w:p w14:paraId="6CC48C0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Виходячи з міжнародно-правових документів, суб’єктами, яким надається захист є: комбатанти, щодо яких заборонено застосування методів війни, що завдають надмірного страждання. Особи, які втратили боєздатність (поранені, хворі), мають право на гуманне ставлення відповідно до Женевських конвенцій І та ІІ. Військовополонені, відповідно до ЖК ІІІ, також підлягають захисту. Окреме місце займають цивільні особи — їхні права регулює Четверта Женевська конвенція, особливо у випадках окупації чи перебування під контролем ворожої сторони [5, с. 48].</w:t>
      </w:r>
    </w:p>
    <w:p w14:paraId="4B3DDDF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Термін «окупація» означає «захоплення» й має протиправний зміст, хоча регулюється міжнародним правом — як договірним, так і звичаєвим. Стаття 42 </w:t>
      </w:r>
      <w:r w:rsidRPr="00511005">
        <w:rPr>
          <w:rFonts w:ascii="Arial" w:eastAsia="Times New Roman" w:hAnsi="Arial" w:cs="Arial"/>
          <w:szCs w:val="28"/>
          <w:lang w:eastAsia="ru-RU"/>
        </w:rPr>
        <w:t>IV</w:t>
      </w:r>
      <w:r w:rsidRPr="00511005">
        <w:rPr>
          <w:rFonts w:ascii="Arial" w:eastAsia="Times New Roman" w:hAnsi="Arial" w:cs="Arial"/>
          <w:szCs w:val="28"/>
          <w:lang w:val="uk-UA" w:eastAsia="ru-RU"/>
        </w:rPr>
        <w:t xml:space="preserve"> Гаазької конвенції 1907 року визначає: «територія визнається окупованою, якщо вона фактично перебуває під владою армії супротивника». А Женевська конвенція 1949 року уточнює, що вона «застосовується до всіх випадків часткової або цілковитої окупації Високої Договірної Сторони, навіть якщо ця окупація не натрапляє на жодний збройний супротив» [6, c. 232].</w:t>
      </w:r>
    </w:p>
    <w:p w14:paraId="1F79F1C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Важливим фактом Женевських документів є положення статті 3, адже в усіх чотирьох Конвенціях вони є однаковими і місять таку інформацію, що у випадку неміжнародного збройного конфлікту кожна сторона зобов’язана гуманно поводитися з особами, які не беруть участі в бойових діях (зокрема </w:t>
      </w:r>
      <w:r w:rsidRPr="00511005">
        <w:rPr>
          <w:rFonts w:ascii="Arial" w:eastAsia="Times New Roman" w:hAnsi="Arial" w:cs="Arial"/>
          <w:szCs w:val="28"/>
          <w:lang w:val="uk-UA" w:eastAsia="ru-RU"/>
        </w:rPr>
        <w:lastRenderedPageBreak/>
        <w:t>пораненими, хворими, полоненими). Заборонені: вбивства, тортури, взяття заручників, приниження гідності, покарання без справедливого суду. Пораненим і хворим мають надавати допомогу. Міжнародні гуманітарні організації, як-от Червоний Хрест, можуть надавати допомогу, а сторони конфлікту повинні прагнути розширити дію Конвенції спеціальними угодами [7].</w:t>
      </w:r>
    </w:p>
    <w:p w14:paraId="243D21F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Існує багато інших міжнародно-правових актів, що регулюють захист прав людей в мирні часи та жертв збройних конфліктів, такі як: Загальна декларація прав людини та Конвенція про захист прав людини і основоположних свобод. </w:t>
      </w:r>
    </w:p>
    <w:p w14:paraId="584D66F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 порушення чинних норм міжнародного гуманітарного права передбачена юридична відповідальність. Проте, як показує реальність, наявність законів ще не гарантує їх дотримання. Документи не завжди здатні зупинити війну або повністю захистити постраждалих. Багато норм порушуються безкарно, і, попри зусилля міжнародних організацій, захист постраждалих не завжди вдається забезпечити повною мірою. Це ще раз доводить, що ефективність міжнародного права залежить не лише від наявності правил, а й від реального бажання держав і світової спільноти дотримуватись їх та притягати винних до відповідальності, а також послідовного та рішучого механізму виконання.</w:t>
      </w:r>
    </w:p>
    <w:p w14:paraId="2C74B25B" w14:textId="7337B354"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13EB1A9D" w14:textId="77777777" w:rsidR="00220D3E" w:rsidRPr="00511005" w:rsidRDefault="00220D3E" w:rsidP="003F6A5D">
      <w:pPr>
        <w:numPr>
          <w:ilvl w:val="0"/>
          <w:numId w:val="118"/>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Times New Roman" w:hAnsi="Arial" w:cs="Arial"/>
          <w:bCs/>
          <w:kern w:val="36"/>
          <w:szCs w:val="28"/>
          <w:lang w:val="uk-UA" w:eastAsia="ru-RU"/>
        </w:rPr>
        <w:t xml:space="preserve">Які закони та звичаї війни порушує росія в Україні? Що таке женевська конвенція та чи будуть покарані злочинці? URL: </w:t>
      </w:r>
      <w:hyperlink r:id="rId390" w:history="1">
        <w:r w:rsidRPr="00511005">
          <w:rPr>
            <w:rFonts w:ascii="Arial" w:eastAsia="Calibri" w:hAnsi="Arial" w:cs="Arial"/>
            <w:szCs w:val="28"/>
            <w:lang w:val="uk-UA"/>
          </w:rPr>
          <w:t>https://mahala.com.ua/viyna/yaki-zakony-ta-zvychayi-viyny-porushuye-rosiya-v-ukrayini-shcho-take-zhenevska-konventsiya-ta-chy-budut-pokarani-zlochyntsi/</w:t>
        </w:r>
      </w:hyperlink>
      <w:r w:rsidRPr="00511005">
        <w:rPr>
          <w:rFonts w:ascii="Arial" w:eastAsia="Calibri" w:hAnsi="Arial" w:cs="Arial"/>
          <w:szCs w:val="28"/>
          <w:lang w:val="uk-UA"/>
        </w:rPr>
        <w:t xml:space="preserve"> (дата звернення: 26.04.2025). </w:t>
      </w:r>
    </w:p>
    <w:p w14:paraId="3D68AC70" w14:textId="77777777" w:rsidR="00220D3E" w:rsidRPr="00511005" w:rsidRDefault="00220D3E" w:rsidP="003F6A5D">
      <w:pPr>
        <w:numPr>
          <w:ilvl w:val="0"/>
          <w:numId w:val="118"/>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Грушко М.В. Поняття «військовополонений» в міжнародному гуманітарному праві: стаття. Одеса: Актуальні проблеми держави і права: зб. наук. пр. Випуск 52, 2010. 468 с.</w:t>
      </w:r>
    </w:p>
    <w:p w14:paraId="73AC0F63" w14:textId="77777777" w:rsidR="00220D3E" w:rsidRPr="00511005" w:rsidRDefault="00220D3E" w:rsidP="003F6A5D">
      <w:pPr>
        <w:numPr>
          <w:ilvl w:val="0"/>
          <w:numId w:val="118"/>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Цебенко С., Суркес Д. Захист прав людини на міжнародному рівні під час збройних конфліктів: історія становлення та сучасні виклики: стаття. Львів: Вісник Національного університету «Львівська політехніка». Серія: «Юридичні науки» № 1 (41), 2024. 406 с.</w:t>
      </w:r>
    </w:p>
    <w:p w14:paraId="2AD74CD7" w14:textId="77777777" w:rsidR="00220D3E" w:rsidRPr="00511005" w:rsidRDefault="00220D3E" w:rsidP="003F6A5D">
      <w:pPr>
        <w:numPr>
          <w:ilvl w:val="0"/>
          <w:numId w:val="118"/>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Громовенко К.В. Особливості захисту прав людини в умовах збройних конфліктів: стаття. Херсон: Науковий юридичний журнал «Правові новели» № 17/2022, 2022. 274 с. </w:t>
      </w:r>
    </w:p>
    <w:p w14:paraId="20ABA1F5" w14:textId="77777777" w:rsidR="00220D3E" w:rsidRPr="00511005" w:rsidRDefault="00220D3E" w:rsidP="003F6A5D">
      <w:pPr>
        <w:numPr>
          <w:ilvl w:val="0"/>
          <w:numId w:val="118"/>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Щербіна М. Г. Захист прав людини в умовах збройного конфлікту: тези. Київ: збірник тез круглого столу, присвяченого 72-й річниці прийняття загальної декларації прав людини, 2021. 165 с. </w:t>
      </w:r>
    </w:p>
    <w:p w14:paraId="73710346" w14:textId="77777777" w:rsidR="00220D3E" w:rsidRPr="00511005" w:rsidRDefault="00220D3E" w:rsidP="003F6A5D">
      <w:pPr>
        <w:numPr>
          <w:ilvl w:val="0"/>
          <w:numId w:val="118"/>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Грушко М.В. Окремі аспекти захисту цивільного населення в період окупації: автономна республіка Крим і м. Севастополь: стаття. Дніпро: Право і суспільство №5/2020, 2020.</w:t>
      </w:r>
      <w:r w:rsidRPr="00511005">
        <w:rPr>
          <w:rFonts w:ascii="Arial" w:eastAsia="Calibri" w:hAnsi="Arial" w:cs="Arial"/>
          <w:szCs w:val="28"/>
        </w:rPr>
        <w:t xml:space="preserve"> </w:t>
      </w:r>
      <w:r w:rsidRPr="00511005">
        <w:rPr>
          <w:rFonts w:ascii="Arial" w:eastAsia="Calibri" w:hAnsi="Arial" w:cs="Arial"/>
          <w:szCs w:val="28"/>
          <w:lang w:val="uk-UA"/>
        </w:rPr>
        <w:t xml:space="preserve">247 с. </w:t>
      </w:r>
    </w:p>
    <w:p w14:paraId="51979B60" w14:textId="77777777" w:rsidR="00220D3E" w:rsidRPr="00511005" w:rsidRDefault="00220D3E" w:rsidP="003F6A5D">
      <w:pPr>
        <w:numPr>
          <w:ilvl w:val="0"/>
          <w:numId w:val="118"/>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Женевська конвенція про захист цивільного населення під час війни: Закон України </w:t>
      </w:r>
      <w:r w:rsidRPr="00511005">
        <w:rPr>
          <w:rFonts w:ascii="Arial" w:eastAsia="Calibri" w:hAnsi="Arial" w:cs="Arial"/>
          <w:szCs w:val="28"/>
          <w:shd w:val="clear" w:color="auto" w:fill="FFFFFF"/>
          <w:lang w:val="uk-UA"/>
        </w:rPr>
        <w:t>від 12 серпня 1949 року №</w:t>
      </w:r>
      <w:r w:rsidRPr="00511005">
        <w:rPr>
          <w:rFonts w:ascii="Arial" w:eastAsia="Calibri" w:hAnsi="Arial" w:cs="Arial"/>
          <w:szCs w:val="28"/>
          <w:lang w:val="uk-UA"/>
        </w:rPr>
        <w:t xml:space="preserve"> </w:t>
      </w:r>
      <w:r w:rsidRPr="00511005">
        <w:rPr>
          <w:rFonts w:ascii="Arial" w:eastAsia="Calibri" w:hAnsi="Arial" w:cs="Arial"/>
          <w:szCs w:val="28"/>
          <w:shd w:val="clear" w:color="auto" w:fill="FFFFFF"/>
          <w:lang w:val="uk-UA"/>
        </w:rPr>
        <w:t xml:space="preserve">995_154. Дата оновлення: 23.02.2023. URL: </w:t>
      </w:r>
      <w:hyperlink r:id="rId391" w:anchor="Text" w:history="1">
        <w:r w:rsidRPr="00511005">
          <w:rPr>
            <w:rFonts w:ascii="Arial" w:eastAsia="Calibri" w:hAnsi="Arial" w:cs="Arial"/>
            <w:szCs w:val="28"/>
            <w:shd w:val="clear" w:color="auto" w:fill="FFFFFF"/>
            <w:lang w:val="uk-UA"/>
          </w:rPr>
          <w:t>https://zakon.rada.gov.ua/laws/show/995_154#Text</w:t>
        </w:r>
      </w:hyperlink>
      <w:r w:rsidRPr="00511005">
        <w:rPr>
          <w:rFonts w:ascii="Arial" w:eastAsia="Calibri" w:hAnsi="Arial" w:cs="Arial"/>
          <w:szCs w:val="28"/>
          <w:shd w:val="clear" w:color="auto" w:fill="FFFFFF"/>
          <w:lang w:val="uk-UA"/>
        </w:rPr>
        <w:t xml:space="preserve"> (дата звернення 26.04.2025). </w:t>
      </w:r>
    </w:p>
    <w:p w14:paraId="403090F6" w14:textId="22A84EA5"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збройний конфлікт, права людини, війна, жертви, захист, міжнародні норми.</w:t>
      </w:r>
    </w:p>
    <w:p w14:paraId="2235F41A" w14:textId="714A81CA"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uk-UA" w:eastAsia="ru-RU"/>
        </w:rPr>
        <w:t>armed conflict, human rights, war, victims, protection, international norms.</w:t>
      </w:r>
    </w:p>
    <w:p w14:paraId="0AE24EE8" w14:textId="60328BA9" w:rsidR="00220D3E" w:rsidRPr="00511005" w:rsidRDefault="007B2628" w:rsidP="003A292D">
      <w:pPr>
        <w:pBdr>
          <w:top w:val="nil"/>
          <w:left w:val="nil"/>
          <w:bottom w:val="nil"/>
          <w:right w:val="nil"/>
          <w:between w:val="nil"/>
          <w:bar w:val="nil"/>
        </w:pBd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доцент кафедри, к.ю.н. Грушко М.В.</w:t>
      </w:r>
    </w:p>
    <w:p w14:paraId="26F9DC5F" w14:textId="77777777" w:rsidR="00220D3E" w:rsidRPr="00511005" w:rsidRDefault="00220D3E" w:rsidP="003A292D">
      <w:pPr>
        <w:pBdr>
          <w:top w:val="nil"/>
          <w:left w:val="nil"/>
          <w:bottom w:val="nil"/>
          <w:right w:val="nil"/>
          <w:between w:val="nil"/>
          <w:bar w:val="nil"/>
        </w:pBdr>
        <w:tabs>
          <w:tab w:val="left" w:pos="709"/>
        </w:tabs>
        <w:spacing w:line="264" w:lineRule="auto"/>
        <w:jc w:val="center"/>
        <w:rPr>
          <w:rFonts w:ascii="Arial" w:eastAsia="Arial Unicode MS" w:hAnsi="Arial" w:cs="Arial"/>
          <w:b/>
          <w:bCs/>
          <w:i/>
          <w:iCs/>
          <w:szCs w:val="28"/>
          <w:bdr w:val="nil"/>
          <w:lang w:val="uk-UA"/>
        </w:rPr>
      </w:pPr>
    </w:p>
    <w:p w14:paraId="5A87E3EE" w14:textId="77777777" w:rsidR="00220D3E" w:rsidRPr="00511005" w:rsidRDefault="00220D3E" w:rsidP="003A292D">
      <w:pPr>
        <w:pBdr>
          <w:top w:val="nil"/>
          <w:left w:val="nil"/>
          <w:bottom w:val="nil"/>
          <w:right w:val="nil"/>
          <w:between w:val="nil"/>
          <w:bar w:val="nil"/>
        </w:pBdr>
        <w:tabs>
          <w:tab w:val="left" w:pos="709"/>
        </w:tabs>
        <w:spacing w:line="264" w:lineRule="auto"/>
        <w:jc w:val="center"/>
        <w:rPr>
          <w:rFonts w:ascii="Arial" w:eastAsia="Arial Unicode MS" w:hAnsi="Arial" w:cs="Arial"/>
          <w:b/>
          <w:bCs/>
          <w:i/>
          <w:iCs/>
          <w:szCs w:val="28"/>
          <w:bdr w:val="nil"/>
          <w:lang w:val="en-US"/>
        </w:rPr>
      </w:pPr>
      <w:r w:rsidRPr="00511005">
        <w:rPr>
          <w:rFonts w:ascii="Arial" w:eastAsia="Arial Unicode MS" w:hAnsi="Arial" w:cs="Arial"/>
          <w:b/>
          <w:bCs/>
          <w:i/>
          <w:iCs/>
          <w:szCs w:val="28"/>
          <w:bdr w:val="nil"/>
          <w:lang w:val="en-US"/>
        </w:rPr>
        <w:t xml:space="preserve">Kim Viktoriia </w:t>
      </w:r>
    </w:p>
    <w:p w14:paraId="2A3FFCE0" w14:textId="77777777" w:rsidR="00220D3E" w:rsidRPr="00511005" w:rsidRDefault="00220D3E" w:rsidP="003A292D">
      <w:pPr>
        <w:pBdr>
          <w:top w:val="nil"/>
          <w:left w:val="nil"/>
          <w:bottom w:val="nil"/>
          <w:right w:val="nil"/>
          <w:between w:val="nil"/>
          <w:bar w:val="nil"/>
        </w:pBdr>
        <w:tabs>
          <w:tab w:val="left" w:pos="709"/>
        </w:tabs>
        <w:spacing w:line="264" w:lineRule="auto"/>
        <w:jc w:val="center"/>
        <w:rPr>
          <w:rFonts w:ascii="Arial" w:eastAsia="Arial Unicode MS" w:hAnsi="Arial" w:cs="Arial"/>
          <w:szCs w:val="28"/>
          <w:bdr w:val="nil"/>
          <w:lang w:val="en-US"/>
        </w:rPr>
      </w:pPr>
      <w:r w:rsidRPr="00511005">
        <w:rPr>
          <w:rFonts w:ascii="Arial" w:eastAsia="Arial Unicode MS" w:hAnsi="Arial" w:cs="Arial"/>
          <w:szCs w:val="28"/>
          <w:bdr w:val="nil"/>
          <w:lang w:val="en-US"/>
        </w:rPr>
        <w:t>4th year student, faculty of Judicial and International Law,</w:t>
      </w:r>
    </w:p>
    <w:p w14:paraId="73D4E7ED" w14:textId="77777777" w:rsidR="00220D3E" w:rsidRPr="00511005" w:rsidRDefault="00220D3E" w:rsidP="003A292D">
      <w:pPr>
        <w:pBdr>
          <w:top w:val="nil"/>
          <w:left w:val="nil"/>
          <w:bottom w:val="nil"/>
          <w:right w:val="nil"/>
          <w:between w:val="nil"/>
          <w:bar w:val="nil"/>
        </w:pBdr>
        <w:tabs>
          <w:tab w:val="left" w:pos="709"/>
        </w:tabs>
        <w:spacing w:line="264" w:lineRule="auto"/>
        <w:jc w:val="center"/>
        <w:rPr>
          <w:rFonts w:ascii="Arial" w:eastAsia="Arial Unicode MS" w:hAnsi="Arial" w:cs="Arial"/>
          <w:szCs w:val="28"/>
          <w:bdr w:val="nil"/>
          <w:lang w:val="uk-UA"/>
        </w:rPr>
      </w:pPr>
      <w:r w:rsidRPr="00511005">
        <w:rPr>
          <w:rFonts w:ascii="Arial" w:eastAsia="Arial Unicode MS" w:hAnsi="Arial" w:cs="Arial"/>
          <w:szCs w:val="28"/>
          <w:bdr w:val="nil"/>
          <w:lang w:val="en-US"/>
        </w:rPr>
        <w:t xml:space="preserve">National University </w:t>
      </w:r>
      <w:r w:rsidRPr="00511005">
        <w:rPr>
          <w:rFonts w:ascii="Arial" w:eastAsia="Arial Unicode MS" w:hAnsi="Arial" w:cs="Arial"/>
          <w:szCs w:val="28"/>
          <w:bdr w:val="nil"/>
          <w:lang w:val="uk-UA"/>
        </w:rPr>
        <w:t>«</w:t>
      </w:r>
      <w:r w:rsidRPr="00511005">
        <w:rPr>
          <w:rFonts w:ascii="Arial" w:eastAsia="Arial Unicode MS" w:hAnsi="Arial" w:cs="Arial"/>
          <w:szCs w:val="28"/>
          <w:bdr w:val="nil"/>
          <w:lang w:val="en-US"/>
        </w:rPr>
        <w:t>Odesa Law Academy</w:t>
      </w:r>
      <w:r w:rsidRPr="00511005">
        <w:rPr>
          <w:rFonts w:ascii="Arial" w:eastAsia="Arial Unicode MS" w:hAnsi="Arial" w:cs="Arial"/>
          <w:szCs w:val="28"/>
          <w:bdr w:val="nil"/>
          <w:lang w:val="uk-UA"/>
        </w:rPr>
        <w:t>»</w:t>
      </w:r>
    </w:p>
    <w:p w14:paraId="49D26509" w14:textId="77777777" w:rsidR="00220D3E" w:rsidRPr="00511005" w:rsidRDefault="00220D3E" w:rsidP="003A292D">
      <w:pPr>
        <w:tabs>
          <w:tab w:val="left" w:pos="709"/>
        </w:tabs>
        <w:spacing w:line="264" w:lineRule="auto"/>
        <w:jc w:val="center"/>
        <w:rPr>
          <w:rFonts w:ascii="Arial" w:eastAsia="Times New Roman" w:hAnsi="Arial" w:cs="Arial"/>
          <w:caps/>
          <w:szCs w:val="28"/>
          <w:lang w:val="en-US" w:eastAsia="ru-RU"/>
        </w:rPr>
      </w:pPr>
    </w:p>
    <w:p w14:paraId="277AE084" w14:textId="77777777" w:rsidR="00220D3E" w:rsidRPr="00511005" w:rsidRDefault="00220D3E" w:rsidP="003A292D">
      <w:pPr>
        <w:tabs>
          <w:tab w:val="left" w:pos="709"/>
        </w:tabs>
        <w:spacing w:line="264" w:lineRule="auto"/>
        <w:ind w:firstLine="0"/>
        <w:jc w:val="center"/>
        <w:rPr>
          <w:rFonts w:ascii="Arial" w:eastAsia="Times New Roman" w:hAnsi="Arial" w:cs="Arial"/>
          <w:b/>
          <w:bCs/>
          <w:caps/>
          <w:szCs w:val="28"/>
          <w:lang w:val="en-US" w:eastAsia="ru-RU"/>
        </w:rPr>
      </w:pPr>
      <w:r w:rsidRPr="00511005">
        <w:rPr>
          <w:rFonts w:ascii="Arial" w:eastAsia="Times New Roman" w:hAnsi="Arial" w:cs="Arial"/>
          <w:b/>
          <w:bCs/>
          <w:caps/>
          <w:szCs w:val="28"/>
          <w:lang w:val="en-US" w:eastAsia="ru-RU"/>
        </w:rPr>
        <w:t>European Court of Human Rights: Application Procedure and Implementation of Judgments</w:t>
      </w:r>
    </w:p>
    <w:p w14:paraId="3003DE0D"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Arial Unicode MS" w:hAnsi="Arial" w:cs="Arial"/>
          <w:szCs w:val="28"/>
          <w:lang w:val="en-US" w:eastAsia="ru-RU"/>
        </w:rPr>
        <w:t>Established in 1959, the European Court of Human Rights is an international judicial institution created under the Convention for the Protection of Human Rights and Fundamental Freedoms. It ensures the highest level of protection for fundamental human rights and freedoms on the European continent. Since its inception, the Court has examined hundreds of thousands of applications and issued thousands of judgments, significantly influencing the national legal systems of the Convention</w:t>
      </w:r>
      <w:r w:rsidRPr="00511005">
        <w:rPr>
          <w:rFonts w:ascii="Arial" w:eastAsia="Arial Unicode MS" w:hAnsi="Arial" w:cs="Arial"/>
          <w:szCs w:val="28"/>
          <w:rtl/>
          <w:lang w:eastAsia="ru-RU"/>
        </w:rPr>
        <w:t>’</w:t>
      </w:r>
      <w:r w:rsidRPr="00511005">
        <w:rPr>
          <w:rFonts w:ascii="Arial" w:eastAsia="Arial Unicode MS" w:hAnsi="Arial" w:cs="Arial"/>
          <w:szCs w:val="28"/>
          <w:lang w:val="en-US" w:eastAsia="ru-RU"/>
        </w:rPr>
        <w:t>s member states.</w:t>
      </w:r>
    </w:p>
    <w:p w14:paraId="1F6A781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Arial Unicode MS" w:hAnsi="Arial" w:cs="Arial"/>
          <w:szCs w:val="28"/>
          <w:lang w:val="en-US" w:eastAsia="ru-RU"/>
        </w:rPr>
        <w:t>The relevance of studying the ECtHR</w:t>
      </w:r>
      <w:r w:rsidRPr="00511005">
        <w:rPr>
          <w:rFonts w:ascii="Arial" w:eastAsia="Arial Unicode MS" w:hAnsi="Arial" w:cs="Arial"/>
          <w:szCs w:val="28"/>
          <w:rtl/>
          <w:lang w:eastAsia="ru-RU"/>
        </w:rPr>
        <w:t>’</w:t>
      </w:r>
      <w:r w:rsidRPr="00511005">
        <w:rPr>
          <w:rFonts w:ascii="Arial" w:eastAsia="Arial Unicode MS" w:hAnsi="Arial" w:cs="Arial"/>
          <w:szCs w:val="28"/>
          <w:lang w:val="en-US" w:eastAsia="ru-RU"/>
        </w:rPr>
        <w:t>s application procedure and the execution of its judgments lies not only in their practical importance for individuals seeking protection of their rights at the international level but also in the impact this procedure has on the further development of national legal systems.</w:t>
      </w:r>
      <w:r w:rsidRPr="00511005">
        <w:rPr>
          <w:rFonts w:ascii="Arial" w:eastAsia="Times New Roman" w:hAnsi="Arial" w:cs="Arial"/>
          <w:szCs w:val="28"/>
          <w:lang w:val="en-US" w:eastAsia="ru-RU"/>
        </w:rPr>
        <w:t xml:space="preserve"> </w:t>
      </w:r>
    </w:p>
    <w:p w14:paraId="528E866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Arial Unicode MS" w:hAnsi="Arial" w:cs="Arial"/>
          <w:szCs w:val="28"/>
          <w:lang w:val="en-US" w:eastAsia="ru-RU"/>
        </w:rPr>
        <w:t>The procedure for applying to the ECtHR is governed by the Convention and the Court</w:t>
      </w:r>
      <w:r w:rsidRPr="00511005">
        <w:rPr>
          <w:rFonts w:ascii="Arial" w:eastAsia="Arial Unicode MS" w:hAnsi="Arial" w:cs="Arial"/>
          <w:szCs w:val="28"/>
          <w:rtl/>
          <w:lang w:eastAsia="ru-RU"/>
        </w:rPr>
        <w:t>’</w:t>
      </w:r>
      <w:r w:rsidRPr="00511005">
        <w:rPr>
          <w:rFonts w:ascii="Arial" w:eastAsia="Arial Unicode MS" w:hAnsi="Arial" w:cs="Arial"/>
          <w:szCs w:val="28"/>
          <w:lang w:val="en-US" w:eastAsia="ru-RU"/>
        </w:rPr>
        <w:t>s Rules. According to Article 34 of the Convention: "The Court may receive applications from any person, non-governmental organization or group of individuals claiming to be the victim of a violation by one of the High Contracting Parties of the rights set forth in the Convention or the Protocols thereto" [1</w:t>
      </w:r>
      <w:r w:rsidRPr="00511005">
        <w:rPr>
          <w:rFonts w:ascii="Arial" w:eastAsia="Arial Unicode MS" w:hAnsi="Arial" w:cs="Arial"/>
          <w:szCs w:val="28"/>
          <w:lang w:val="pt-PT" w:eastAsia="ru-RU"/>
        </w:rPr>
        <w:t>]</w:t>
      </w:r>
      <w:r w:rsidRPr="00511005">
        <w:rPr>
          <w:rFonts w:ascii="Arial" w:eastAsia="Arial Unicode MS" w:hAnsi="Arial" w:cs="Arial"/>
          <w:szCs w:val="28"/>
          <w:lang w:val="en-US" w:eastAsia="ru-RU"/>
        </w:rPr>
        <w:t>.</w:t>
      </w:r>
    </w:p>
    <w:p w14:paraId="40C76BD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Arial Unicode MS" w:hAnsi="Arial" w:cs="Arial"/>
          <w:szCs w:val="28"/>
          <w:lang w:val="en-US" w:eastAsia="ru-RU"/>
        </w:rPr>
        <w:t>This provision is a cornerstone of the individual application system, enabling both natural and legal persons to apply directly to an international judicial body.</w:t>
      </w:r>
    </w:p>
    <w:p w14:paraId="3D81276B"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To be admissible, an application must meet several criteria set out in Article 35 of the Convention:</w:t>
      </w:r>
    </w:p>
    <w:p w14:paraId="1ED20791"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Arial Unicode MS" w:hAnsi="Arial" w:cs="Arial"/>
          <w:szCs w:val="28"/>
          <w:lang w:val="en-US" w:eastAsia="ru-RU"/>
        </w:rPr>
        <w:t xml:space="preserve">1. Exhaustion of all domestic remedies: the applicant must first use all available remedies within the national legal system to protect their rights - is based on the principle of subsidiarity. In Selmouni v. France, the Court emphasized that "the rule of exhaustion of domestic remedies requires the applicant to make normal use of remedies that are available and sufficient for </w:t>
      </w:r>
      <w:r w:rsidRPr="00511005">
        <w:rPr>
          <w:rFonts w:ascii="Arial" w:eastAsia="Arial Unicode MS" w:hAnsi="Arial" w:cs="Arial"/>
          <w:szCs w:val="28"/>
          <w:lang w:val="en-US" w:eastAsia="ru-RU"/>
        </w:rPr>
        <w:lastRenderedPageBreak/>
        <w:t xml:space="preserve">redressing the alleged breach under national law before applying to an international body" </w:t>
      </w:r>
      <w:r w:rsidRPr="00511005">
        <w:rPr>
          <w:rFonts w:ascii="Arial" w:eastAsia="Arial Unicode MS" w:hAnsi="Arial" w:cs="Arial"/>
          <w:szCs w:val="28"/>
          <w:lang w:val="pt-PT" w:eastAsia="ru-RU"/>
        </w:rPr>
        <w:t>[</w:t>
      </w:r>
      <w:r w:rsidRPr="00511005">
        <w:rPr>
          <w:rFonts w:ascii="Arial" w:eastAsia="Arial Unicode MS" w:hAnsi="Arial" w:cs="Arial"/>
          <w:szCs w:val="28"/>
          <w:lang w:val="en-US" w:eastAsia="ru-RU"/>
        </w:rPr>
        <w:t>2]. However, the Court also noted that this rule is applied with some flexibility and without excessive formalism.</w:t>
      </w:r>
    </w:p>
    <w:p w14:paraId="7A791B64"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Arial Unicode MS" w:hAnsi="Arial" w:cs="Arial"/>
          <w:szCs w:val="28"/>
          <w:lang w:val="en-US" w:eastAsia="ru-RU"/>
        </w:rPr>
        <w:t>2. Compliance with the four-month time limit: the application must be submitted within four months from the date of the final decision by the national authority.</w:t>
      </w:r>
    </w:p>
    <w:p w14:paraId="131CC3BE"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3. The application must not be anonymous – the applicant must identify themselves.</w:t>
      </w:r>
    </w:p>
    <w:p w14:paraId="518DFF9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Arial Unicode MS" w:hAnsi="Arial" w:cs="Arial"/>
          <w:szCs w:val="28"/>
          <w:lang w:val="en-US" w:eastAsia="ru-RU"/>
        </w:rPr>
        <w:t>4. The application must not be substantially the same as a matter that has already been examined by the Court, or that has already been submitted to another international body of investigation or settlement.</w:t>
      </w:r>
    </w:p>
    <w:p w14:paraId="4F939DE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Arial Unicode MS" w:hAnsi="Arial" w:cs="Arial"/>
          <w:szCs w:val="28"/>
          <w:lang w:val="en-US" w:eastAsia="ru-RU"/>
        </w:rPr>
        <w:t>5. The application must not be incompatible with the provisions of the Convention.</w:t>
      </w:r>
    </w:p>
    <w:p w14:paraId="6D1D4A0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Arial Unicode MS" w:hAnsi="Arial" w:cs="Arial"/>
          <w:szCs w:val="28"/>
          <w:lang w:val="en-US" w:eastAsia="ru-RU"/>
        </w:rPr>
        <w:t>6. The application must not be manifestly ill-founded: the applicant must provide sufficient evidence of a violation of their rights.</w:t>
      </w:r>
    </w:p>
    <w:p w14:paraId="17AF028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Arial Unicode MS" w:hAnsi="Arial" w:cs="Arial"/>
          <w:szCs w:val="28"/>
          <w:lang w:val="en-US" w:eastAsia="ru-RU"/>
        </w:rPr>
        <w:t>7. The application must not constitute an abuse of the right of individual application.</w:t>
      </w:r>
    </w:p>
    <w:p w14:paraId="3001EB03"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8. The applicant must have suffered a significant disadvantage: since June 1, 2012, the Court does not examine applications where the applicant has not suffered a significant disadvantage, except in cases where respect for human rights requires the examination of the case on its merits.</w:t>
      </w:r>
    </w:p>
    <w:p w14:paraId="54A19B5E"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Applications to the ECtHR must be submitted using the official form available on the Court</w:t>
      </w:r>
      <w:r w:rsidRPr="00511005">
        <w:rPr>
          <w:rFonts w:ascii="Arial" w:eastAsia="Arial Unicode MS" w:hAnsi="Arial" w:cs="Arial"/>
          <w:szCs w:val="28"/>
          <w:rtl/>
          <w:lang w:eastAsia="ru-RU"/>
        </w:rPr>
        <w:t>’</w:t>
      </w:r>
      <w:r w:rsidRPr="00511005">
        <w:rPr>
          <w:rFonts w:ascii="Arial" w:eastAsia="Arial Unicode MS" w:hAnsi="Arial" w:cs="Arial"/>
          <w:szCs w:val="28"/>
          <w:lang w:val="en-US" w:eastAsia="ru-RU"/>
        </w:rPr>
        <w:t>s website. The application must be accompanied by copies of all relevant documents (originals are not returned) [3</w:t>
      </w:r>
      <w:r w:rsidRPr="00511005">
        <w:rPr>
          <w:rFonts w:ascii="Arial" w:eastAsia="Arial Unicode MS" w:hAnsi="Arial" w:cs="Arial"/>
          <w:szCs w:val="28"/>
          <w:lang w:val="pt-PT" w:eastAsia="ru-RU"/>
        </w:rPr>
        <w:t>].</w:t>
      </w:r>
    </w:p>
    <w:p w14:paraId="56D257B6"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Arial Unicode MS" w:hAnsi="Arial" w:cs="Arial"/>
          <w:szCs w:val="28"/>
          <w:lang w:val="en-US" w:eastAsia="ru-RU"/>
        </w:rPr>
        <w:t>Professor Philip Leach, in his work "Taking a Case to the European Court of Human Rights", notes: "The success of an application largely depends on its quality. A clear presentation of facts, legal argumentation linking the facts to specific Convention provisions, and thorough justification of the alleged violation significantly increase the chances of the application being accepted for consideration" [4</w:t>
      </w:r>
      <w:r w:rsidRPr="00511005">
        <w:rPr>
          <w:rFonts w:ascii="Arial" w:eastAsia="Arial Unicode MS" w:hAnsi="Arial" w:cs="Arial"/>
          <w:szCs w:val="28"/>
          <w:lang w:val="pt-PT" w:eastAsia="ru-RU"/>
        </w:rPr>
        <w:t>].</w:t>
      </w:r>
    </w:p>
    <w:p w14:paraId="5E7BD6E7"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If the application meets all requirements, it is registered and assigned a number. It then passes through several stages of examination:</w:t>
      </w:r>
    </w:p>
    <w:p w14:paraId="4FF04A7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Arial Unicode MS" w:hAnsi="Arial" w:cs="Arial"/>
          <w:szCs w:val="28"/>
          <w:lang w:val="en-US" w:eastAsia="ru-RU"/>
        </w:rPr>
        <w:t xml:space="preserve">- preliminary examination by a single judge: the judge may declare the application inadmissible if it clearly fails to meet admissibility criteria. </w:t>
      </w:r>
      <w:r w:rsidRPr="00511005">
        <w:rPr>
          <w:rFonts w:ascii="Arial" w:eastAsia="Arial Unicode MS" w:hAnsi="Arial" w:cs="Arial"/>
          <w:szCs w:val="28"/>
          <w:lang w:eastAsia="ru-RU"/>
        </w:rPr>
        <w:t>This decision is final and not subject to appeal.</w:t>
      </w:r>
    </w:p>
    <w:p w14:paraId="50648174" w14:textId="77777777" w:rsidR="00220D3E" w:rsidRPr="00511005" w:rsidRDefault="00220D3E" w:rsidP="003F6A5D">
      <w:pPr>
        <w:numPr>
          <w:ilvl w:val="0"/>
          <w:numId w:val="120"/>
        </w:numPr>
        <w:pBdr>
          <w:top w:val="nil"/>
          <w:left w:val="nil"/>
          <w:bottom w:val="nil"/>
          <w:right w:val="nil"/>
          <w:between w:val="nil"/>
          <w:bar w:val="nil"/>
        </w:pBd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Arial Unicode MS" w:hAnsi="Arial" w:cs="Arial"/>
          <w:szCs w:val="28"/>
          <w:lang w:val="en-US" w:eastAsia="ru-RU"/>
        </w:rPr>
        <w:t>examination by a committee of three judges: if not dismissed by a single judge, the application is reviewed by a committee. The committee can unanimously declare the application inadmissible, strike it out of the list, or declare it admissible and rule on the merits.</w:t>
      </w:r>
    </w:p>
    <w:p w14:paraId="3AC72605" w14:textId="77777777" w:rsidR="00220D3E" w:rsidRPr="00511005" w:rsidRDefault="00220D3E" w:rsidP="003F6A5D">
      <w:pPr>
        <w:numPr>
          <w:ilvl w:val="0"/>
          <w:numId w:val="120"/>
        </w:numPr>
        <w:pBdr>
          <w:top w:val="nil"/>
          <w:left w:val="nil"/>
          <w:bottom w:val="nil"/>
          <w:right w:val="nil"/>
          <w:between w:val="nil"/>
          <w:bar w:val="nil"/>
        </w:pBd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Arial Unicode MS" w:hAnsi="Arial" w:cs="Arial"/>
          <w:szCs w:val="28"/>
          <w:lang w:val="en-US" w:eastAsia="ru-RU"/>
        </w:rPr>
        <w:t>examination by a chamber of seven judges: if the committee does not decide on inadmissibility or merits, the application proceeds to the chamber. The chamber rules on both admissibility and the merits of the case.</w:t>
      </w:r>
    </w:p>
    <w:p w14:paraId="050A505B" w14:textId="77777777" w:rsidR="00220D3E" w:rsidRPr="00511005" w:rsidRDefault="00220D3E" w:rsidP="003F6A5D">
      <w:pPr>
        <w:numPr>
          <w:ilvl w:val="0"/>
          <w:numId w:val="120"/>
        </w:numPr>
        <w:pBdr>
          <w:top w:val="nil"/>
          <w:left w:val="nil"/>
          <w:bottom w:val="nil"/>
          <w:right w:val="nil"/>
          <w:between w:val="nil"/>
          <w:bar w:val="nil"/>
        </w:pBd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Arial Unicode MS" w:hAnsi="Arial" w:cs="Arial"/>
          <w:szCs w:val="28"/>
          <w:lang w:val="en-US" w:eastAsia="ru-RU"/>
        </w:rPr>
        <w:lastRenderedPageBreak/>
        <w:t xml:space="preserve">examination by the Grand Chamber of seventeen judges: in exceptional cases, the application may be referred to the Grand Chamber. This is possible when the case raises a serious question regarding the interpretation of the Convention or if the decision may contradict previous case law. </w:t>
      </w:r>
    </w:p>
    <w:p w14:paraId="77B971EC"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The execution of ECtHR judgments is a key element of the effective functioning of the human rights protection system. According to Article 46 of the Convention, the member states undertake to abide by the final judgments of the Court in any case to which they are parties. The execution of judgments is supervised by the Committee of Ministers of the Council of Europe [1</w:t>
      </w:r>
      <w:r w:rsidRPr="00511005">
        <w:rPr>
          <w:rFonts w:ascii="Arial" w:eastAsia="Arial Unicode MS" w:hAnsi="Arial" w:cs="Arial"/>
          <w:szCs w:val="28"/>
          <w:lang w:val="pt-PT" w:eastAsia="ru-RU"/>
        </w:rPr>
        <w:t>].</w:t>
      </w:r>
    </w:p>
    <w:p w14:paraId="205453C9"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Judgments may include various measures that the respondent state must take to implement the decision: 1) individual measures aimed at restoring the rights of the specific applicant (payment of just satisfaction, review of domestic court decisions, release from detention, etc.); 2) General measures aimed at eliminating systemic issues that led to the violation (amending legislation, reforming judicial practices, implementing administrative changes, etc.).</w:t>
      </w:r>
    </w:p>
    <w:p w14:paraId="5E1F12F8"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A notable example is the case "Yuriy Nikolayevich Ivanov v. Ukraine", where the Court applied the pilot judgment procedure, pointing to a systemic problem of non-enforcement of domestic court decisions in Ukraine [5]. This judgment illustrates how the Court may require a state to implement general measures to prevent future violations.</w:t>
      </w:r>
    </w:p>
    <w:p w14:paraId="6927A2D6"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Once a judgment becomes final, the respondent state must submit information to the Committee of Ministers on the measures taken for its execution. The Committee reviews this information and decides whether to close supervision if it considers the judgment to have been properly implemented.</w:t>
      </w:r>
    </w:p>
    <w:p w14:paraId="309ED76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Arial Unicode MS" w:hAnsi="Arial" w:cs="Arial"/>
          <w:szCs w:val="28"/>
          <w:lang w:val="en-US" w:eastAsia="ru-RU"/>
        </w:rPr>
        <w:t>There are two types of supervision procedures:</w:t>
      </w:r>
    </w:p>
    <w:p w14:paraId="58BAD805"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1) standard supervision for cases where the problems and solutions are relatively clear; 2) enhanced supervision for cases requiring urgent individual measures, pilot judgments, or inter-state cases.</w:t>
      </w:r>
    </w:p>
    <w:p w14:paraId="12FE21D8"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Despite the existence of a supervision procedure, the execution of ECtHR judgments faces several challenges: implementation, particularly of general measures, may be delayed for years; states may lack the political will to comply with politically sensitive judgments; enforcement mechanisms are limited.</w:t>
      </w:r>
    </w:p>
    <w:p w14:paraId="3A650FC5" w14:textId="77777777" w:rsidR="00220D3E" w:rsidRPr="00511005" w:rsidRDefault="00220D3E" w:rsidP="003A292D">
      <w:pPr>
        <w:tabs>
          <w:tab w:val="left" w:pos="709"/>
        </w:tabs>
        <w:spacing w:line="264" w:lineRule="auto"/>
        <w:rPr>
          <w:rFonts w:ascii="Arial" w:eastAsia="Arial Unicode MS" w:hAnsi="Arial" w:cs="Arial"/>
          <w:szCs w:val="28"/>
          <w:lang w:val="uk-UA" w:eastAsia="ru-RU"/>
        </w:rPr>
      </w:pPr>
      <w:r w:rsidRPr="00511005">
        <w:rPr>
          <w:rFonts w:ascii="Arial" w:eastAsia="Arial Unicode MS" w:hAnsi="Arial" w:cs="Arial"/>
          <w:szCs w:val="28"/>
          <w:lang w:val="en-US" w:eastAsia="ru-RU"/>
        </w:rPr>
        <w:t>In some lawyers’ opinions, although the Committee of Ministers has legal and diplomatic tools to put pressure on states that fail to execute the Court</w:t>
      </w:r>
      <w:r w:rsidRPr="00511005">
        <w:rPr>
          <w:rFonts w:ascii="Arial" w:eastAsia="Arial Unicode MS" w:hAnsi="Arial" w:cs="Arial"/>
          <w:szCs w:val="28"/>
          <w:rtl/>
          <w:lang w:eastAsia="ru-RU"/>
        </w:rPr>
        <w:t>’</w:t>
      </w:r>
      <w:r w:rsidRPr="00511005">
        <w:rPr>
          <w:rFonts w:ascii="Arial" w:eastAsia="Arial Unicode MS" w:hAnsi="Arial" w:cs="Arial"/>
          <w:szCs w:val="28"/>
          <w:lang w:val="en-US" w:eastAsia="ru-RU"/>
        </w:rPr>
        <w:t>s judgments, their practical application is limited by political considerations and the principle of state sovereignty"</w:t>
      </w:r>
      <w:r w:rsidRPr="00511005">
        <w:rPr>
          <w:rFonts w:ascii="Arial" w:eastAsia="Arial Unicode MS" w:hAnsi="Arial" w:cs="Arial"/>
          <w:szCs w:val="28"/>
          <w:lang w:val="pt-PT" w:eastAsia="ru-RU"/>
        </w:rPr>
        <w:t>.</w:t>
      </w:r>
    </w:p>
    <w:p w14:paraId="521ACA2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uk-UA" w:eastAsia="ru-RU"/>
        </w:rPr>
        <w:t>Ukraine, as a member state of the Convention, has extensive experience interacting with the ECtHR and is among the countries with the highest number of applications under review.</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val="uk-UA" w:eastAsia="ru-RU"/>
        </w:rPr>
        <w:t xml:space="preserve">Despite having dedicated legislation, Ukraine faces significant challenges in executing ECtHR judgments </w:t>
      </w:r>
      <w:r w:rsidRPr="00511005">
        <w:rPr>
          <w:rFonts w:ascii="Arial" w:eastAsia="Times New Roman" w:hAnsi="Arial" w:cs="Arial"/>
          <w:szCs w:val="28"/>
          <w:lang w:val="en-US" w:eastAsia="ru-RU"/>
        </w:rPr>
        <w:t xml:space="preserve">like </w:t>
      </w:r>
      <w:r w:rsidRPr="00511005">
        <w:rPr>
          <w:rFonts w:ascii="Arial" w:eastAsia="Times New Roman" w:hAnsi="Arial" w:cs="Arial"/>
          <w:szCs w:val="28"/>
          <w:lang w:val="uk-UA" w:eastAsia="ru-RU"/>
        </w:rPr>
        <w:t>in the cases of "Yuriy Nikolayevich Ivanov v. Ukraine" and "Burmych and Others v. Ukraine"</w:t>
      </w:r>
      <w:r w:rsidRPr="00511005">
        <w:rPr>
          <w:rFonts w:ascii="Arial" w:eastAsia="Times New Roman" w:hAnsi="Arial" w:cs="Arial"/>
          <w:szCs w:val="28"/>
          <w:lang w:val="en-US" w:eastAsia="ru-RU"/>
        </w:rPr>
        <w:t xml:space="preserve"> (non-enforcement of domestic courts decisions).</w:t>
      </w:r>
    </w:p>
    <w:p w14:paraId="68CA7FAD"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lastRenderedPageBreak/>
        <w:t>Thus, the procedure for submitting applications to the ECtHR and the execution of its judgments are essential components of the European system for the protection of human rights. Despite certain shortcomings, this mechanism remains a unique and effective tool for the international protection of human rights.</w:t>
      </w:r>
    </w:p>
    <w:p w14:paraId="3B91088F"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The further improvement of the ECtHR application procedure and mechanisms for the execution of its judgments is essential to ensuring effective protection of human rights across the European continent.</w:t>
      </w:r>
      <w:r w:rsidRPr="00511005">
        <w:rPr>
          <w:rFonts w:ascii="Arial" w:eastAsia="Times New Roman" w:hAnsi="Arial" w:cs="Arial"/>
          <w:szCs w:val="28"/>
          <w:lang w:val="en-US" w:eastAsia="ru-RU"/>
        </w:rPr>
        <w:t xml:space="preserve"> </w:t>
      </w:r>
    </w:p>
    <w:p w14:paraId="46022154"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Arial Unicode MS" w:hAnsi="Arial" w:cs="Arial"/>
          <w:szCs w:val="28"/>
          <w:lang w:val="en-US" w:eastAsia="ru-RU"/>
        </w:rPr>
        <w:t>As former ECtHR President Guido Raimondi stated: "The effectiveness of the Convention system depends not only on the quality and fairness of the Court’s judgments but also on the willingness and capacity of member states to execute them. Without proper implementation of the Court’s judgments, the very idea of a European human rights protection system loses its meaning" [6].</w:t>
      </w:r>
    </w:p>
    <w:p w14:paraId="5AC56303"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p>
    <w:p w14:paraId="61745F93"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References</w:t>
      </w:r>
    </w:p>
    <w:p w14:paraId="48838369"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1. Council of Europe. (1950). Convention for the Protection of Human Rights and Fundamental Freedoms. Council of Europe Treaty Series, No. 5. URL; </w:t>
      </w:r>
      <w:hyperlink r:id="rId392" w:history="1">
        <w:r w:rsidRPr="00511005">
          <w:rPr>
            <w:rFonts w:ascii="Arial" w:eastAsia="Times New Roman" w:hAnsi="Arial" w:cs="Arial"/>
            <w:szCs w:val="28"/>
            <w:u w:color="0563C1"/>
            <w:lang w:val="en-US" w:eastAsia="ru-RU"/>
          </w:rPr>
          <w:t>https://www.echr.coe.int/documents/convention_eng.pdf</w:t>
        </w:r>
      </w:hyperlink>
      <w:r w:rsidRPr="00511005">
        <w:rPr>
          <w:rFonts w:ascii="Arial" w:eastAsia="Times New Roman" w:hAnsi="Arial" w:cs="Arial"/>
          <w:szCs w:val="28"/>
          <w:lang w:val="en-US" w:eastAsia="ru-RU"/>
        </w:rPr>
        <w:t xml:space="preserve"> (date of access 05.05.2025)</w:t>
      </w:r>
    </w:p>
    <w:p w14:paraId="78553A65" w14:textId="7BCCBA44"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2. European Court of Human Rights. (1999). "Selmouni v. France" [GC], no. 25803/94, ECHR 1999-V. URL: https://hudoc.echr.coe.int/eng?i=001-58287</w:t>
      </w:r>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(date of access 05.05.2025)</w:t>
      </w:r>
    </w:p>
    <w:p w14:paraId="78AE1A11" w14:textId="03EB8319"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3. European Court of Human Rights. (2022). Rules of Court. Strasbourg: Registry of the Court.</w:t>
      </w:r>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 xml:space="preserve">UFL: </w:t>
      </w:r>
      <w:hyperlink r:id="rId393" w:history="1">
        <w:r w:rsidRPr="00511005">
          <w:rPr>
            <w:rFonts w:ascii="Arial" w:eastAsia="Times New Roman" w:hAnsi="Arial" w:cs="Arial"/>
            <w:szCs w:val="28"/>
            <w:u w:color="0563C1"/>
            <w:lang w:val="en-US" w:eastAsia="ru-RU"/>
          </w:rPr>
          <w:t>https://www.echr.coe.int/documents/rules_court_eng.pdf</w:t>
        </w:r>
      </w:hyperlink>
      <w:r w:rsidRPr="00511005">
        <w:rPr>
          <w:rFonts w:ascii="Arial" w:eastAsia="Times New Roman" w:hAnsi="Arial" w:cs="Arial"/>
          <w:szCs w:val="28"/>
          <w:lang w:val="en-US" w:eastAsia="ru-RU"/>
        </w:rPr>
        <w:t xml:space="preserve"> (date of access 05.05.2025)</w:t>
      </w:r>
    </w:p>
    <w:p w14:paraId="4A2AF53D"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4. Leach, P. (2017). "Taking a Case to the European Court of Human Rights" (4th ed.). Oxford: Oxford University Press. ISBN: 978-0198755425. URL: </w:t>
      </w:r>
      <w:hyperlink r:id="rId394" w:history="1">
        <w:r w:rsidRPr="00511005">
          <w:rPr>
            <w:rFonts w:ascii="Arial" w:eastAsia="Times New Roman" w:hAnsi="Arial" w:cs="Arial"/>
            <w:szCs w:val="28"/>
            <w:u w:color="0563C1"/>
            <w:lang w:val="en-US" w:eastAsia="ru-RU"/>
          </w:rPr>
          <w:t>https://global.oup.com/academic/product/taking-a-case-to-the-european-court-of-human-rights-9780198755425</w:t>
        </w:r>
      </w:hyperlink>
      <w:r w:rsidRPr="00511005">
        <w:rPr>
          <w:rFonts w:ascii="Arial" w:eastAsia="Times New Roman" w:hAnsi="Arial" w:cs="Arial"/>
          <w:szCs w:val="28"/>
          <w:lang w:val="en-US" w:eastAsia="ru-RU"/>
        </w:rPr>
        <w:t xml:space="preserve"> </w:t>
      </w:r>
    </w:p>
    <w:p w14:paraId="6D0EF0C3"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5. European Court of Human Rights. (2009). "Yuriy Nikolayevich Ivanov v. Ukraine", no. 40450/04, ECHR 2009. URL: </w:t>
      </w:r>
      <w:hyperlink r:id="rId395" w:history="1">
        <w:r w:rsidRPr="00511005">
          <w:rPr>
            <w:rFonts w:ascii="Arial" w:eastAsia="Times New Roman" w:hAnsi="Arial" w:cs="Arial"/>
            <w:szCs w:val="28"/>
            <w:u w:color="0563C1"/>
            <w:lang w:val="en-US" w:eastAsia="ru-RU"/>
          </w:rPr>
          <w:t>https://hudoc.echr.coe.int/eng?i=001-95032</w:t>
        </w:r>
      </w:hyperlink>
      <w:r w:rsidRPr="00511005">
        <w:rPr>
          <w:rFonts w:ascii="Arial" w:eastAsia="Times New Roman" w:hAnsi="Arial" w:cs="Arial"/>
          <w:szCs w:val="28"/>
          <w:lang w:val="en-US" w:eastAsia="ru-RU"/>
        </w:rPr>
        <w:t xml:space="preserve"> (date of access 05.05.2025) </w:t>
      </w:r>
    </w:p>
    <w:p w14:paraId="71374D3E"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6. Raimondi, G. (2020). The Future of the European Court of Human Rights. "Human Rights Law Journal", 40(1), 1-10. URL: </w:t>
      </w:r>
      <w:hyperlink r:id="rId396" w:history="1">
        <w:r w:rsidRPr="00511005">
          <w:rPr>
            <w:rFonts w:ascii="Arial" w:eastAsia="Times New Roman" w:hAnsi="Arial" w:cs="Arial"/>
            <w:szCs w:val="28"/>
            <w:u w:color="0563C1"/>
            <w:lang w:val="en-US" w:eastAsia="ru-RU"/>
          </w:rPr>
          <w:t>https://www.engel-verlag.de/index.php?id=71&amp;L=1</w:t>
        </w:r>
      </w:hyperlink>
      <w:r w:rsidRPr="00511005">
        <w:rPr>
          <w:rFonts w:ascii="Arial" w:eastAsia="Times New Roman" w:hAnsi="Arial" w:cs="Arial"/>
          <w:szCs w:val="28"/>
          <w:lang w:val="en-US" w:eastAsia="ru-RU"/>
        </w:rPr>
        <w:t xml:space="preserve"> </w:t>
      </w:r>
    </w:p>
    <w:p w14:paraId="719B2CA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690CB026" w14:textId="311180DC" w:rsidR="00220D3E" w:rsidRPr="00511005" w:rsidRDefault="007B2628" w:rsidP="003A292D">
      <w:pPr>
        <w:tabs>
          <w:tab w:val="left" w:pos="709"/>
        </w:tabs>
        <w:spacing w:line="264" w:lineRule="auto"/>
        <w:rPr>
          <w:rFonts w:ascii="Arial" w:eastAsia="Arial Unicode MS" w:hAnsi="Arial" w:cs="Arial"/>
          <w:b/>
          <w:bCs/>
          <w:szCs w:val="28"/>
          <w:lang w:val="uk-UA" w:eastAsia="ru-RU"/>
        </w:rPr>
      </w:pPr>
      <w:r w:rsidRPr="00511005">
        <w:rPr>
          <w:rFonts w:ascii="Arial" w:eastAsia="Arial Unicode MS" w:hAnsi="Arial" w:cs="Arial"/>
          <w:b/>
          <w:bCs/>
          <w:i/>
          <w:szCs w:val="28"/>
          <w:lang w:val="uk-UA" w:eastAsia="ru-RU"/>
        </w:rPr>
        <w:t xml:space="preserve">Ключові слова: </w:t>
      </w:r>
      <w:r w:rsidR="00220D3E" w:rsidRPr="00511005">
        <w:rPr>
          <w:rFonts w:ascii="Arial" w:eastAsia="Arial Unicode MS" w:hAnsi="Arial" w:cs="Arial"/>
          <w:szCs w:val="28"/>
          <w:lang w:val="uk-UA" w:eastAsia="ru-RU"/>
        </w:rPr>
        <w:t>Європейський суд з прав людини, процедура розгляду заяв, Конвенція про захист прав людини, індивідуальна заява, виконання рішень, Комітет міністрів.</w:t>
      </w:r>
      <w:r w:rsidR="00220D3E" w:rsidRPr="00511005">
        <w:rPr>
          <w:rFonts w:ascii="Arial" w:eastAsia="Arial Unicode MS" w:hAnsi="Arial" w:cs="Arial"/>
          <w:b/>
          <w:bCs/>
          <w:szCs w:val="28"/>
          <w:lang w:eastAsia="ru-RU"/>
        </w:rPr>
        <w:t xml:space="preserve"> </w:t>
      </w:r>
    </w:p>
    <w:p w14:paraId="26CE8589" w14:textId="671A3AD2" w:rsidR="00220D3E" w:rsidRPr="00511005" w:rsidRDefault="007B2628" w:rsidP="003A292D">
      <w:pPr>
        <w:tabs>
          <w:tab w:val="left" w:pos="709"/>
        </w:tabs>
        <w:spacing w:line="264" w:lineRule="auto"/>
        <w:rPr>
          <w:rFonts w:ascii="Arial" w:eastAsia="Arial Unicode MS" w:hAnsi="Arial" w:cs="Arial"/>
          <w:szCs w:val="28"/>
          <w:lang w:val="en-US" w:eastAsia="ru-RU"/>
        </w:rPr>
      </w:pPr>
      <w:r w:rsidRPr="00511005">
        <w:rPr>
          <w:rFonts w:ascii="Arial" w:eastAsia="Arial Unicode MS" w:hAnsi="Arial" w:cs="Arial"/>
          <w:b/>
          <w:bCs/>
          <w:i/>
          <w:szCs w:val="28"/>
          <w:lang w:val="en-US" w:eastAsia="ru-RU"/>
        </w:rPr>
        <w:lastRenderedPageBreak/>
        <w:t xml:space="preserve">Key words: </w:t>
      </w:r>
      <w:r w:rsidR="00220D3E" w:rsidRPr="00511005">
        <w:rPr>
          <w:rFonts w:ascii="Arial" w:eastAsia="Arial Unicode MS" w:hAnsi="Arial" w:cs="Arial"/>
          <w:szCs w:val="28"/>
          <w:lang w:val="en-US" w:eastAsia="ru-RU"/>
        </w:rPr>
        <w:t>European Court of Human Rights, application procedure, Convention for the Protection of Human Rights, individual application, execution of judgments, Committee of Ministers.</w:t>
      </w:r>
    </w:p>
    <w:p w14:paraId="5BE5A98A" w14:textId="6BFB8FF2" w:rsidR="00220D3E" w:rsidRPr="00511005" w:rsidRDefault="006C2EDA" w:rsidP="003A292D">
      <w:pPr>
        <w:tabs>
          <w:tab w:val="left" w:pos="709"/>
        </w:tabs>
        <w:spacing w:line="264" w:lineRule="auto"/>
        <w:rPr>
          <w:rFonts w:ascii="Arial" w:eastAsia="Times New Roman" w:hAnsi="Arial" w:cs="Arial"/>
          <w:i/>
          <w:szCs w:val="28"/>
          <w:lang w:val="uk-UA"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Times New Roman" w:hAnsi="Arial" w:cs="Arial"/>
          <w:i/>
          <w:szCs w:val="28"/>
          <w:lang w:val="uk-UA" w:eastAsia="ru-RU"/>
        </w:rPr>
        <w:t>PhD in Law, Associate Professor Dronov V.</w:t>
      </w:r>
    </w:p>
    <w:p w14:paraId="14A60BFF" w14:textId="77777777" w:rsidR="00220D3E" w:rsidRPr="00511005" w:rsidRDefault="00220D3E" w:rsidP="003A292D">
      <w:pPr>
        <w:tabs>
          <w:tab w:val="left" w:pos="709"/>
        </w:tabs>
        <w:spacing w:line="264" w:lineRule="auto"/>
        <w:jc w:val="center"/>
        <w:rPr>
          <w:rFonts w:ascii="Arial" w:eastAsia="Arial Unicode MS" w:hAnsi="Arial" w:cs="Arial"/>
          <w:i/>
          <w:iCs/>
          <w:szCs w:val="28"/>
          <w:lang w:val="uk-UA" w:eastAsia="ru-RU"/>
        </w:rPr>
      </w:pPr>
    </w:p>
    <w:p w14:paraId="4126E897" w14:textId="77777777" w:rsidR="00220D3E" w:rsidRPr="00511005" w:rsidRDefault="00220D3E" w:rsidP="003A292D">
      <w:pPr>
        <w:tabs>
          <w:tab w:val="left" w:pos="709"/>
        </w:tabs>
        <w:spacing w:line="264" w:lineRule="auto"/>
        <w:jc w:val="center"/>
        <w:rPr>
          <w:rFonts w:ascii="Arial" w:eastAsia="Arial Unicode MS" w:hAnsi="Arial" w:cs="Arial"/>
          <w:i/>
          <w:iCs/>
          <w:szCs w:val="28"/>
          <w:lang w:val="uk-UA" w:eastAsia="ru-RU"/>
        </w:rPr>
      </w:pPr>
    </w:p>
    <w:p w14:paraId="0CB5B01E"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Кім Вікторія Павлівна</w:t>
      </w:r>
    </w:p>
    <w:p w14:paraId="31321869"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Мокану Поліна Володимирівна</w:t>
      </w:r>
    </w:p>
    <w:p w14:paraId="69DF3FBF"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студентки 4-го курсу факультету міжнародного та судового права</w:t>
      </w:r>
    </w:p>
    <w:p w14:paraId="349D66CB" w14:textId="5D43303F"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57D3C83"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00871B00" w14:textId="77777777" w:rsidR="00220D3E"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ПРОБЛЕМА ПОДВІЙНОГО ГРОМАДЯНСТВА В МІЖНАРОДНОМУ ПРАВІ: ПРАВОВІ КОЛІЗІЇ ТА ШЛЯХИ ЇХ ВИРІШЕННЯ</w:t>
      </w:r>
    </w:p>
    <w:p w14:paraId="5A23855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Інститут громадянства виступає фундаментальним зв'язком між особою та державою. В умовах глобалізації, міграції та економічної інтеграції подвійне (множинне) громадянство стає поширеним явищем, що створює виклики для традиційних концепцій державного суверенітету. Подвійне громадянство — це правовий статус особи, за якого вона одночасно є громадянином двох або більше держав згідно з їхнім національним законодавством [1]. Цей статус породжує складні правові колізії в різних сферах права та міждержавних відносин.</w:t>
      </w:r>
    </w:p>
    <w:p w14:paraId="1FBE8F15" w14:textId="77777777" w:rsidR="00220D3E" w:rsidRPr="00511005" w:rsidRDefault="00220D3E" w:rsidP="003A292D">
      <w:pPr>
        <w:tabs>
          <w:tab w:val="left" w:pos="709"/>
        </w:tabs>
        <w:spacing w:line="264" w:lineRule="auto"/>
        <w:rPr>
          <w:rFonts w:ascii="Arial" w:eastAsia="Times New Roman" w:hAnsi="Arial" w:cs="Arial"/>
          <w:szCs w:val="28"/>
          <w:lang w:eastAsia="ru-RU"/>
        </w:rPr>
      </w:pPr>
      <w:proofErr w:type="gramStart"/>
      <w:r w:rsidRPr="00511005">
        <w:rPr>
          <w:rFonts w:ascii="Arial" w:eastAsia="Times New Roman" w:hAnsi="Arial" w:cs="Arial"/>
          <w:szCs w:val="28"/>
          <w:lang w:eastAsia="ru-RU"/>
        </w:rPr>
        <w:t>На початку</w:t>
      </w:r>
      <w:proofErr w:type="gramEnd"/>
      <w:r w:rsidRPr="00511005">
        <w:rPr>
          <w:rFonts w:ascii="Arial" w:eastAsia="Times New Roman" w:hAnsi="Arial" w:cs="Arial"/>
          <w:szCs w:val="28"/>
          <w:lang w:eastAsia="ru-RU"/>
        </w:rPr>
        <w:t xml:space="preserve"> ХХ століття множинне громадянство розглядалося як аномалія та потенційна загроза міжнародному правопорядку. Гаазька конвенція 1930 року відображала прагнення держав запобігати випадкам подвійного громадянства [2]. Після Другої світової війни, з розвитком концепції прав людини та посиленням міжнародної міграції, ставлення змінилося у бік більшої толерантності. Європейська конвенція про громадянство 1997 року демонструє значно ліберальніший підхід, залишаючи регулювання множинного громадянства на розсуд держав-учасниць.</w:t>
      </w:r>
    </w:p>
    <w:p w14:paraId="6C83D3F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Подвійне громадянство виникає через низку факторів: колізії принципів "права ґрунту" (jus soli) та "права крові" (jus sanguinis), транснаціональні шлюби, міжнародну міграцію та натуралізацію без втрати попереднього громадянства, політичні трансформації, розпад держав і зміни кордонів, а також лібералізацію законодавства щодо збереження попереднього громадянства.</w:t>
      </w:r>
    </w:p>
    <w:p w14:paraId="1867CBE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Правові підходи держав до множинного громадянства суттєво різняться. Деякі країни (Китай, Індія, Японія, Україна) категорично забороняють подвійне громадянство, вимагаючи відмови від попереднього громадянства при натуралізації. Інші держави (Німеччина, Іспанія) допускають його в певних випадках. Третя група країн (Канада, США, Велика Британія, Франція) повністю приймають множинне громадянство, не </w:t>
      </w:r>
      <w:r w:rsidRPr="00511005">
        <w:rPr>
          <w:rFonts w:ascii="Arial" w:eastAsia="Times New Roman" w:hAnsi="Arial" w:cs="Arial"/>
          <w:szCs w:val="28"/>
          <w:lang w:eastAsia="ru-RU"/>
        </w:rPr>
        <w:lastRenderedPageBreak/>
        <w:t>вимагаючи відмови від попереднього громадянства при натуралізації. Такі відмінності створюють додаткову юридичну невизначеність і потенціал для правових колізій.</w:t>
      </w:r>
    </w:p>
    <w:p w14:paraId="61062BA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Центральними проблемами подвійного громадянства в міжнародному праві є колізії </w:t>
      </w:r>
      <w:proofErr w:type="gramStart"/>
      <w:r w:rsidRPr="00511005">
        <w:rPr>
          <w:rFonts w:ascii="Arial" w:eastAsia="Times New Roman" w:hAnsi="Arial" w:cs="Arial"/>
          <w:szCs w:val="28"/>
          <w:lang w:eastAsia="ru-RU"/>
        </w:rPr>
        <w:t>у сферах</w:t>
      </w:r>
      <w:proofErr w:type="gramEnd"/>
      <w:r w:rsidRPr="00511005">
        <w:rPr>
          <w:rFonts w:ascii="Arial" w:eastAsia="Times New Roman" w:hAnsi="Arial" w:cs="Arial"/>
          <w:szCs w:val="28"/>
          <w:lang w:eastAsia="ru-RU"/>
        </w:rPr>
        <w:t xml:space="preserve"> дипломатичного та консульського захисту, військового обов'язку, оподаткування, екстрадиції, політичних прав та статусу біпатридів у контексті міжнародних збройних конфліктів. Розглянемо кожну з них детальніше.</w:t>
      </w:r>
    </w:p>
    <w:p w14:paraId="44C6154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Дипломатичний та консульський захист створює проблему пріоритетності захисту, коли особа з подвійним громадянством потребує допомоги в третій країні або в одній із країн свого громадянства. Згідно з принципом "ефективного громадянства", розвиненим у справі Ноттебома (Міжнародний суд ООН, 1955), перевага повинна надаватися державі, з якою особа має найтісніший зв'язок [3]. Критеріями оцінки такого зв'язку виступають постійне місце проживання, центр економічних інтересів, сімейні зв'язки, участь у суспільному житті, мовна та культурна інтеграція. Цей підхід дозволяє знаходити практичні рішення в конкретних ситуаціях.</w:t>
      </w:r>
    </w:p>
    <w:p w14:paraId="7E2B8D5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Показовою є справа "Міхран Хуссейні проти Канади та Ірану" (2016), де канадсько-іранський біпатрид був затриманий в Ірані та звинувачений у шпигунстві. Іран визнавав його виключно іранським громадянином і відмовляв у консульському доступі. Після тривалих дипломатичних зусиль Канади Хуссейні був звільнений і повернувся до Канади. Ця справа ілюструє складність захисту прав біпатридів у державі їхнього "іншого" громадянства та важливість активної дипломатичної позиції держави громадянства.</w:t>
      </w:r>
    </w:p>
    <w:p w14:paraId="67DB7F6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Військовий обов'язок становить особливо гостру проблему, оскільки особи з подвійним громадянством можуть підлягати призову в обох державах. Європейська конвенція про скорочення випадків множинного громадянства та військового обов'язку 1963 року встановлює, що особи з подвійним громадянством держав-учасниць проходять військову службу лише в одній з них — зазвичай у тій, де постійно проживають [4]. Виконання військового обов'язку в одній державі визнається виконанням відповідного обов'язку в інших державах громадянства. Подібна модель регулювання могла б бути поширена на більшу кількість держав як ефективний спосіб уникнення колізій у цій сфері.</w:t>
      </w:r>
    </w:p>
    <w:p w14:paraId="6AB28E7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Проблеми оподаткування виникають, коли обидві держави громадянства претендують на оподаткування доходів особи. Мережа міжнародних угод про уникнення подвійного оподаткування є найефективнішим інструментом вирішення цих колізій. Особливу увагу слід приділити ситуації з оподаткуванням за громадянством, яке практикують США. Укладання спеціальних протоколів до угод про уникнення подвійного оподаткування, які б враховували особливості статусу осіб з американським </w:t>
      </w:r>
      <w:r w:rsidRPr="00511005">
        <w:rPr>
          <w:rFonts w:ascii="Arial" w:eastAsia="Times New Roman" w:hAnsi="Arial" w:cs="Arial"/>
          <w:szCs w:val="28"/>
          <w:lang w:eastAsia="ru-RU"/>
        </w:rPr>
        <w:lastRenderedPageBreak/>
        <w:t>громадянством, які постійно проживають за кордоном, могло б зменшити негативні наслідки такої податкової політики.</w:t>
      </w:r>
    </w:p>
    <w:p w14:paraId="5F10707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Екстрадиція осіб з подвійним громадянством становить складну юридичну проблему, оскільки багато держав відмовляються видавати власних громадян іншим країнам. Коли особа, яка вчинила злочин в одній країні громадянства, переховується в іншій країні свого громадянства, виникає юридичний глухий кут. Інноваційним підходом до вирішення цієї проблеми є принцип "видай або суди" (aut dedere aut judicare), закріплений у Конвенції ООН проти транснаціональної організованої злочинності [5]. Відповідно до цього принципу, держава, яка відмовляється видати особу через наявність у неї свого громадянства, зобов'язується притягнути її до відповідальності за своїм національним законодавством. Ширше застосування цього принципу могло б суттєво зменшити ризик використання подвійного громадянства для уникнення кримінальної відповідальності.</w:t>
      </w:r>
    </w:p>
    <w:p w14:paraId="14B6EA5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Політичні права біпатридів створюють певні колізії, оскільки громадяни з подвійним статусом можуть мати право голосу у двох або більше державах, що викликає занепокоєння щодо можливого конфлікту інтересів та лояльності. Раціональним виглядає підхід, що передбачає можливість реалізації активного виборчого права в обох державах громадянства, але з певними обмеженнями щодо пасивного виборчого права, особливо для високих державних посад. Наприклад, законодавство Австралії дозволяє особам з подвійним громадянством голосувати на виборах, але обмежує їхнє право бути обраними до федерального парламенту.</w:t>
      </w:r>
    </w:p>
    <w:p w14:paraId="484890B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Особливий вимір проблеми становить ситуація біпатридів у контексті міжнародних збройних конфліктів, коли особа може опинитися громадянином двох воюючих держав. У 2019 році Європейський суд з прав людини визнав порушенням Європейської конвенції з прав людини анулювання громадянства на підставі наявності громадянства іншої держави. Суд підкреслив, що подвійне громадянство само по собі не є підставою для позбавлення особи громадянства, особливо якщо це призводить до апатридизму або суттєвого обмеження прав.</w:t>
      </w:r>
    </w:p>
    <w:p w14:paraId="22E40A5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Значний прогрес у врегулюванні колізій юрисдикцій досягнуто в рамках Гаазької конференції з міжнародного приватного права. Гаазька конвенція про юрисдикцію, право, що застосовується, визнання, виконання та співробітництво щодо батьківської відповідальності та заходів захисту дітей 1996 року містить важливі положення щодо визначення компетентних органів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що стосуються дітей з множинним громадянством. Відповідно до цієї Конвенції, пріоритет надається органам держави звичайного місця проживання дитини, що дозволяє уникнути конфлікту юрисдикцій між державами громадянства.</w:t>
      </w:r>
    </w:p>
    <w:p w14:paraId="216E0B0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Таким чином, оптимальними шляхами вирішення правових колізій, пов'язаних із подвійним громадянством, видаються: розширення мережі </w:t>
      </w:r>
      <w:r w:rsidRPr="00511005">
        <w:rPr>
          <w:rFonts w:ascii="Arial" w:eastAsia="Times New Roman" w:hAnsi="Arial" w:cs="Arial"/>
          <w:szCs w:val="28"/>
          <w:lang w:eastAsia="ru-RU"/>
        </w:rPr>
        <w:lastRenderedPageBreak/>
        <w:t>двосторонніх угод з конкретних аспектів множинного громадянства (як договір між Іспанією та Аргентиною); розробка універсальної конвенції щодо статусу осіб з множинним громадянством; послідовне застосування принципу ефективного громадянства при вирішенні конфліктів юрисдикцій; та посилення співпраці між державами щодо обміну інформацією у питаннях громадянства.</w:t>
      </w:r>
    </w:p>
    <w:p w14:paraId="15AA718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Підводячи підсумки, можна сказати, що у контексті глобалізації та зростаючої взаємозалежності держав подвійне громадянство не слід розглядати виключно як проблему. В багатьох випадках воно відображає об'єктивні зв'язки особи з двома або більше державами і може приносити користь як самій особі, так і відповідним державам. Множинне громадянство може розглядатися як елемент формування транснаціональної ідентичності, що відповідає реаліям сучасного світу. Завдання міжнародного права полягає не в тому, щоб усунути множинне громадянство, а в тому, щоб створити ефективні механізми вирішення пов'язаних із ним правових колізій. Перспективними напрямами подальших досліджень у цій сфері є аналіз впливу цифрових технологій на розвиток інституту громадянства та вивчення взаємозв'язку між множинним громадянством та новими формами транснаціональної міграції.</w:t>
      </w:r>
    </w:p>
    <w:p w14:paraId="46D1006F"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5B0A805C" w14:textId="6301E8EF" w:rsidR="00220D3E" w:rsidRPr="00511005" w:rsidRDefault="007B2628" w:rsidP="007B2628">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b/>
          <w:bCs/>
          <w:szCs w:val="28"/>
          <w:lang w:val="uk-UA" w:eastAsia="ru-RU"/>
        </w:rPr>
        <w:t>Список використаних джерел</w:t>
      </w:r>
    </w:p>
    <w:p w14:paraId="3CEB21B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1. Європейська конвенція про громадянство 1997 року. URL: </w:t>
      </w:r>
      <w:hyperlink r:id="rId397" w:anchor="Text" w:history="1">
        <w:r w:rsidRPr="00511005">
          <w:rPr>
            <w:rFonts w:ascii="Arial" w:eastAsia="Times New Roman" w:hAnsi="Arial" w:cs="Arial"/>
            <w:szCs w:val="28"/>
            <w:lang w:eastAsia="ru-RU"/>
          </w:rPr>
          <w:t>https://zakon.rada.gov.ua/laws/show/994_004#Text</w:t>
        </w:r>
      </w:hyperlink>
      <w:r w:rsidRPr="00511005">
        <w:rPr>
          <w:rFonts w:ascii="Arial" w:eastAsia="Times New Roman" w:hAnsi="Arial" w:cs="Arial"/>
          <w:szCs w:val="28"/>
          <w:lang w:eastAsia="ru-RU"/>
        </w:rPr>
        <w:t xml:space="preserve"> (дата звернення 27.04.2025)</w:t>
      </w:r>
    </w:p>
    <w:p w14:paraId="237835BB"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2. Convention on Certain Questions relating to the Conflict of Nationality Laws from 12 April 1930. The Hague. URL: </w:t>
      </w:r>
      <w:hyperlink r:id="rId398" w:history="1">
        <w:r w:rsidRPr="00511005">
          <w:rPr>
            <w:rFonts w:ascii="Arial" w:eastAsia="Times New Roman" w:hAnsi="Arial" w:cs="Arial"/>
            <w:szCs w:val="28"/>
            <w:lang w:val="en-US" w:eastAsia="ru-RU"/>
          </w:rPr>
          <w:t>https://treaties.un.org/doc/Publication/UNTS/LON/Volume%20179/v179.pdf</w:t>
        </w:r>
      </w:hyperlink>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xml:space="preserve"> 27.04.2025)</w:t>
      </w:r>
    </w:p>
    <w:p w14:paraId="55B203C6" w14:textId="1420E82C"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3. Nottebohm Case (Liechtenstein v. Guatemala): Judgment of April 6th, 1955. I.C.J. Reports 1955.</w:t>
      </w:r>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 xml:space="preserve">URL: </w:t>
      </w:r>
      <w:hyperlink r:id="rId399" w:history="1">
        <w:r w:rsidRPr="00511005">
          <w:rPr>
            <w:rFonts w:ascii="Arial" w:eastAsia="Times New Roman" w:hAnsi="Arial" w:cs="Arial"/>
            <w:szCs w:val="28"/>
            <w:lang w:val="en-US" w:eastAsia="ru-RU"/>
          </w:rPr>
          <w:t>https://www.icj-cij.org/sites/default/files/case-related/18/12321.pdf</w:t>
        </w:r>
      </w:hyperlink>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27.04.2025).</w:t>
      </w:r>
    </w:p>
    <w:p w14:paraId="2947AFA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en-US" w:eastAsia="ru-RU"/>
        </w:rPr>
        <w:t xml:space="preserve">4. Convention on the Reduction of Cases of Multiple Nationality and on Military Obligations in Cases of Multiple Nationality. </w:t>
      </w:r>
      <w:r w:rsidRPr="00511005">
        <w:rPr>
          <w:rFonts w:ascii="Arial" w:eastAsia="Times New Roman" w:hAnsi="Arial" w:cs="Arial"/>
          <w:szCs w:val="28"/>
          <w:lang w:eastAsia="ru-RU"/>
        </w:rPr>
        <w:t xml:space="preserve">URL: </w:t>
      </w:r>
      <w:hyperlink r:id="rId400" w:history="1">
        <w:r w:rsidRPr="00511005">
          <w:rPr>
            <w:rFonts w:ascii="Arial" w:eastAsia="Times New Roman" w:hAnsi="Arial" w:cs="Arial"/>
            <w:szCs w:val="28"/>
            <w:lang w:eastAsia="ru-RU"/>
          </w:rPr>
          <w:t>https://rm.coe.int/168006b659</w:t>
        </w:r>
      </w:hyperlink>
      <w:r w:rsidRPr="00511005">
        <w:rPr>
          <w:rFonts w:ascii="Arial" w:eastAsia="Times New Roman" w:hAnsi="Arial" w:cs="Arial"/>
          <w:szCs w:val="28"/>
          <w:lang w:eastAsia="ru-RU"/>
        </w:rPr>
        <w:t xml:space="preserve"> (дата звернення 27.04.2025) </w:t>
      </w:r>
    </w:p>
    <w:p w14:paraId="3E2A62A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5. Конвенція ООН проти транснаціональної організованої злочинності 2000 року. [Електроний ресурс]. URL: </w:t>
      </w:r>
      <w:hyperlink r:id="rId401" w:anchor="Text" w:history="1">
        <w:r w:rsidRPr="00511005">
          <w:rPr>
            <w:rFonts w:ascii="Arial" w:eastAsia="Times New Roman" w:hAnsi="Arial" w:cs="Arial"/>
            <w:szCs w:val="28"/>
            <w:lang w:eastAsia="ru-RU"/>
          </w:rPr>
          <w:t>https://zakon.rada.gov.ua/laws/show/995_789#Text</w:t>
        </w:r>
      </w:hyperlink>
      <w:r w:rsidRPr="00511005">
        <w:rPr>
          <w:rFonts w:ascii="Arial" w:eastAsia="Times New Roman" w:hAnsi="Arial" w:cs="Arial"/>
          <w:szCs w:val="28"/>
          <w:lang w:eastAsia="ru-RU"/>
        </w:rPr>
        <w:t xml:space="preserve"> (дата звернення 27.04.2025)</w:t>
      </w:r>
    </w:p>
    <w:p w14:paraId="7B1750FE"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488B268B" w14:textId="3AD30ED9"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подвійне громадянство, біпатризм, правові колізії, міжнародне право, дипломатичний захист, військовий обов'язок, оподаткування, екстрадиція, ефективне громадянство, глобалізація.</w:t>
      </w:r>
    </w:p>
    <w:p w14:paraId="1D528F85" w14:textId="2A9214AC"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lastRenderedPageBreak/>
        <w:t xml:space="preserve">Key words: </w:t>
      </w:r>
      <w:r w:rsidR="00220D3E" w:rsidRPr="00511005">
        <w:rPr>
          <w:rFonts w:ascii="Arial" w:eastAsia="Times New Roman" w:hAnsi="Arial" w:cs="Arial"/>
          <w:szCs w:val="28"/>
          <w:lang w:val="en-US" w:eastAsia="ru-RU"/>
        </w:rPr>
        <w:t>dual citizenship, bipatrism, legal conflicts, international law, diplomatic protection, military duty, taxation, extradition, effective citizenship, globalization.</w:t>
      </w:r>
    </w:p>
    <w:p w14:paraId="03589FD0" w14:textId="30942419"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eastAsia="ru-RU"/>
        </w:rPr>
        <w:t xml:space="preserve">к.ю.н., доцент Дронов В. Ю. </w:t>
      </w:r>
    </w:p>
    <w:p w14:paraId="79F78E67" w14:textId="77777777" w:rsidR="00220D3E" w:rsidRPr="00511005" w:rsidRDefault="00220D3E" w:rsidP="003A292D">
      <w:pPr>
        <w:tabs>
          <w:tab w:val="left" w:pos="709"/>
        </w:tabs>
        <w:spacing w:line="264" w:lineRule="auto"/>
        <w:rPr>
          <w:rFonts w:ascii="Arial" w:eastAsia="Times New Roman" w:hAnsi="Arial" w:cs="Arial"/>
          <w:i/>
          <w:iCs/>
          <w:szCs w:val="28"/>
          <w:lang w:val="uk-UA" w:eastAsia="ru-RU"/>
        </w:rPr>
      </w:pPr>
    </w:p>
    <w:p w14:paraId="291F0D31"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Кобець Поліна Олегівна</w:t>
      </w:r>
    </w:p>
    <w:p w14:paraId="48F8BD38" w14:textId="419A5B0E" w:rsidR="007B2628"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54BF20AB" w14:textId="68652119"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eastAsia="ru-RU"/>
        </w:rPr>
        <w:t>Національного університету «Одеська юридична академія»</w:t>
      </w:r>
    </w:p>
    <w:p w14:paraId="4355342F"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36BFD6C7"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РИМСЬКИЙ СТАТУТ ТА УКРАЇНА: ПИТАННЯ РАТИФІКАЦІЇ</w:t>
      </w:r>
    </w:p>
    <w:p w14:paraId="789F52C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Упродовж тривалого часу Україна демонструвала коливання щодо остаточної ратифікації Римського статуту Міжнародного кримінального суду (далі – МКС), попри його підписання ще у 2000 році. Основною причиною цього були суперечності з Конституцією України (ст. 124), яка до внесення змін передбачала, що «правосуддя в Україні здійснюється виключно судами, утвореними відповідно до Конституції». Це створювало потенційний конфлікт із положеннями Римського статуту про делегування частини юрисдикційних повноважень на міжнародний рівень. Однак ситуація змінилася у 2024 році, коли Україна нарешті ратифікувала Римський статут, ухваливши відповідний Закон «Про приєднання України до Римського статуту Міжнародного кримінального суду» від 20 березня 2024 року № 3450-IX [1]. Це стало критичним кроком у напрямку зміцнення верховенства права, відповідальності за воєнні злочини, геноцид, злочини проти людяності та злочин агресії.</w:t>
      </w:r>
    </w:p>
    <w:p w14:paraId="1336946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 цього моменту Україна вже двічі вдавалася до визнання юрисдикції МКС за спеціальним механізмом ad hoc відповідно до ст. 12(3) Римського статуту. Перша заява була подана у 2014 році після подій на Майдані, а друга – у 2015 році у зв’язку з окупацією Криму та подіями на сході України [2]. Таке часткове визнання, хоч і не надавало повного статусу держави-учасника, все ж дозволяло МКС здійснювати розслідування певних злочинів на території України. У зв’язку з повномасштабною агресією росії у 2022 році, важливість повноцінного членства в Римському статуті стала очевидною. Україна потребувала ефективного міжнародного правового механізму для документування, розслідування та притягнення винних до відповідальності. Зокрема, прокурор МКС Карім Хан у березні 2022 року оголосив про початок повноцінного розслідування ситуації в Україні. Визнаючи, що раніше Україна не була повноправним учасником Римського статуту, він наголосив на можливості роботи МКС саме завдяки поданим ad hoc заявам. </w:t>
      </w:r>
    </w:p>
    <w:p w14:paraId="2FE6EDD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Вже у березні 2022 року МКС розширив межі розслідування, охопивши злочини, скоєні на всій території України з 21 листопада 2013 року. До розслідування приєдналися понад 40 держав, у тому числі Японія, Північна </w:t>
      </w:r>
      <w:r w:rsidRPr="00511005">
        <w:rPr>
          <w:rFonts w:ascii="Arial" w:eastAsia="Times New Roman" w:hAnsi="Arial" w:cs="Arial"/>
          <w:szCs w:val="28"/>
          <w:lang w:eastAsia="ru-RU"/>
        </w:rPr>
        <w:lastRenderedPageBreak/>
        <w:t>Македонія, Канада, Франція, Німеччина та інші. У 2023 році Палата попереднього провадження видала ордери на арешт В. Путіна та М. Львової-Бєлової за примусову депортацію українських дітей. Проте це лише частина злочинів, які здійснює держава-агресор, адже особливу увагу прокуратура МКС приділяє випадкам гендерно зумовленого насильства. У статтях 6–8 Римського статуту визначено, що подібні діяння – як-от зґвалтування, сексуальне рабство, примус до проституції чи вагітності – визнаються тяжкими міжнародними злочинами. У практиці МКС вже існували справи, в яких гендерно зумовлене насильство визнано складовою військових злочинів і злочинів проти людяності (наприклад, справа Жан-П’єра Бемби). Крім того, міжнародні правозахисні організації фіксують численні випадки порушень прав жінок і дітей під час збройного конфлікту в Україні. Серед них – використання жінок у примусовій праці, депортація з тимчасово окупованих територій без належного правового статусу, а також створення умов, які суперечать основоположним правам людини. Усе це може розглядатися як форма сучасного рабства або дискримінації за ознакою статі, що прямо суперечить міжнародному праву та положенням Римського статуту. Ухвалення змін до Кримінального процесуального кодексу України також стало важливим етапом. Зокрема, був доданий розділ IX-1 «Особливості співробітництва з Міжнародним кримінальним судом», який регламентує процедуру взаємодії між українськими слідчими, прокурорами та судовими органами і структурами МКС. Ці положення запровадили механізм передачі підозрюваних, збору доказів, а також виконання рішень суду на території України [3].</w:t>
      </w:r>
    </w:p>
    <w:p w14:paraId="493EDEB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Ратифікація дала Україні низку важливих результатів. По-перше, держава отримала повноцінний статус учасниці системи міжнародного кримінального правосуддя. Це означає, що Україна тепер має право брати участь у виборах суддів, Прокурора МКС, впливати на бюджетні та адміністративні рішення Суду, а також подавати офіційні подання про початок розслідувань. </w:t>
      </w:r>
      <w:proofErr w:type="gramStart"/>
      <w:r w:rsidRPr="00511005">
        <w:rPr>
          <w:rFonts w:ascii="Arial" w:eastAsia="Times New Roman" w:hAnsi="Arial" w:cs="Arial"/>
          <w:szCs w:val="28"/>
          <w:lang w:eastAsia="ru-RU"/>
        </w:rPr>
        <w:t>По-друге</w:t>
      </w:r>
      <w:proofErr w:type="gramEnd"/>
      <w:r w:rsidRPr="00511005">
        <w:rPr>
          <w:rFonts w:ascii="Arial" w:eastAsia="Times New Roman" w:hAnsi="Arial" w:cs="Arial"/>
          <w:szCs w:val="28"/>
          <w:lang w:eastAsia="ru-RU"/>
        </w:rPr>
        <w:t xml:space="preserve">, на території України тепер можуть повноцінно працювати представники МКС із міжнародними гарантіями безпеки та імунітетами, що передбачено відповідною угодою. Це дозволяє МКС ефективніше збирати докази воєнних злочинів, злочинів проти людяності та, в майбутньому, злочину агресії. По-третє, ратифікація створює міжнародно-правову базу для притягнення до відповідальності найвищих посадових осіб держави-агресора, адже юрисдикція МКС не визнає інституту імунітету для президентів та міністрів [4]. Таким чином, потенційно можливе відкриття провадження щодо керівництва росії за злочини проти миру. Крім того, для внутрішньої правової системи України цей крок є свідченням інтеграції до загальноєвропейського правового простору та зміцнення верховенства права. Українські науковці та правники вказують, що участь у МКС сприятиме гармонізації українського </w:t>
      </w:r>
      <w:r w:rsidRPr="00511005">
        <w:rPr>
          <w:rFonts w:ascii="Arial" w:eastAsia="Times New Roman" w:hAnsi="Arial" w:cs="Arial"/>
          <w:szCs w:val="28"/>
          <w:lang w:eastAsia="ru-RU"/>
        </w:rPr>
        <w:lastRenderedPageBreak/>
        <w:t>кримінального та кримінального процесуального законодавства з міжнародними стандартами. Також важливо підкреслити, що Україна може стати ініціатором подальших реформ у самому МКС, зокрема в частині уточнення юрисдикції щодо злочину агресії, що є надзвичайно актуальним у сучасних умовах.</w:t>
      </w:r>
    </w:p>
    <w:p w14:paraId="0AFA2612"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Ратифікація стала історичним рішенням, яке є результатом багаторічної праці фахівців, громадських активістів, політиків і міжнародних партнерів. Вона відкриває перед Україною нові можливості не лише в правовому, а й у дипломатичному сенсі — демонструючи готовність держави бути частиною глобальної системи відповідальності та захисту людських прав. У нинішніх умовах війни це також сильний сигнал світу про намір України боротися за справедливість, документувати злочини, і врешті-решт — домогтися притягнення винних до відповідальності за міжнародним правом.</w:t>
      </w:r>
    </w:p>
    <w:p w14:paraId="29F54414" w14:textId="7394C162" w:rsidR="00220D3E"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4141841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1. Римський статут Міжнародного кримінального суду від 17 липня 1998 року. URL</w:t>
      </w:r>
      <w:hyperlink r:id="rId402" w:anchor="Text">
        <w:r w:rsidRPr="00511005">
          <w:rPr>
            <w:rFonts w:ascii="Arial" w:eastAsia="Times New Roman" w:hAnsi="Arial" w:cs="Arial"/>
            <w:szCs w:val="28"/>
            <w:lang w:eastAsia="ru-RU"/>
          </w:rPr>
          <w:t>: https://zakon.rada.gov.ua/laws/show/995_588#Text</w:t>
        </w:r>
      </w:hyperlink>
    </w:p>
    <w:p w14:paraId="0976260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2. Постанова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«Про визнання юрисдикції Міжнародного кримінального суду щодо злочинів, вчинених на території України» від 25 лютого 2014 року.</w:t>
      </w:r>
    </w:p>
    <w:p w14:paraId="149CA33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3. Політова А. С., Грушко М. В. Юрисдикція Міжнародного кримінального суду як спеціального суб’єкта протидії гендерно зумовленого насильству в умовах збройного конфлікту. </w:t>
      </w:r>
      <w:r w:rsidRPr="00511005">
        <w:rPr>
          <w:rFonts w:ascii="Arial" w:eastAsia="Times New Roman" w:hAnsi="Arial" w:cs="Arial"/>
          <w:i/>
          <w:szCs w:val="28"/>
          <w:lang w:eastAsia="ru-RU"/>
        </w:rPr>
        <w:t xml:space="preserve">Наукові перспективи. </w:t>
      </w:r>
      <w:r w:rsidRPr="00511005">
        <w:rPr>
          <w:rFonts w:ascii="Arial" w:eastAsia="Times New Roman" w:hAnsi="Arial" w:cs="Arial"/>
          <w:szCs w:val="28"/>
          <w:lang w:eastAsia="ru-RU"/>
        </w:rPr>
        <w:t xml:space="preserve">2023. № 8. С. 529-540. URL: </w:t>
      </w:r>
      <w:hyperlink r:id="rId403">
        <w:r w:rsidRPr="00511005">
          <w:rPr>
            <w:rFonts w:ascii="Arial" w:eastAsia="Times New Roman" w:hAnsi="Arial" w:cs="Arial"/>
            <w:szCs w:val="28"/>
            <w:lang w:eastAsia="ru-RU"/>
          </w:rPr>
          <w:t>http://perspectives.pp.ua/index.php/np/article/view/6073</w:t>
        </w:r>
      </w:hyperlink>
    </w:p>
    <w:p w14:paraId="582D7CC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4. Коротка Д. О. Ратифікація Римського статуту: юридичні наслідки для України // Юридичний науковий електронний журнал. – 2023. – № 1. – С. 542–545.</w:t>
      </w:r>
    </w:p>
    <w:p w14:paraId="64196A76" w14:textId="286E29FF" w:rsidR="00220D3E" w:rsidRPr="00511005" w:rsidRDefault="007B2628" w:rsidP="003A292D">
      <w:pPr>
        <w:tabs>
          <w:tab w:val="left" w:pos="709"/>
        </w:tabs>
        <w:spacing w:line="264" w:lineRule="auto"/>
        <w:rPr>
          <w:rFonts w:ascii="Arial" w:eastAsia="Times New Roman" w:hAnsi="Arial" w:cs="Arial"/>
          <w:b/>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римський статут, розслідування, воєнні злочини, ратифікація, правосуддя, визнання.</w:t>
      </w:r>
    </w:p>
    <w:p w14:paraId="3E160E3A" w14:textId="61914147"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Rome Statute, investigation, war crimes, ratification, justice, recognition.</w:t>
      </w:r>
    </w:p>
    <w:p w14:paraId="6F2CAD58" w14:textId="44E55454"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доцент кафедри, к.ю.н. Грушко М.В.</w:t>
      </w:r>
    </w:p>
    <w:p w14:paraId="200306DA"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p>
    <w:p w14:paraId="2F2A92AB" w14:textId="77777777" w:rsidR="00220D3E" w:rsidRPr="00511005" w:rsidRDefault="00220D3E" w:rsidP="003A292D">
      <w:pPr>
        <w:spacing w:line="264" w:lineRule="auto"/>
        <w:ind w:firstLine="0"/>
        <w:jc w:val="center"/>
        <w:rPr>
          <w:rFonts w:ascii="Arial" w:eastAsia="Times New Roman" w:hAnsi="Arial" w:cs="Arial"/>
          <w:b/>
          <w:i/>
          <w:szCs w:val="28"/>
          <w:lang w:val="uk-UA" w:eastAsia="ru-RU"/>
        </w:rPr>
      </w:pPr>
    </w:p>
    <w:p w14:paraId="0F4969D0" w14:textId="77777777" w:rsidR="00220D3E" w:rsidRPr="00511005" w:rsidRDefault="00220D3E" w:rsidP="003A292D">
      <w:pPr>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Кобець Поліна Олегівна</w:t>
      </w:r>
    </w:p>
    <w:p w14:paraId="5CE68A27" w14:textId="04BF6934" w:rsidR="007B2628" w:rsidRPr="00511005" w:rsidRDefault="00536AAB"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09856B2F" w14:textId="2A2EA682" w:rsidR="00220D3E"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E6DA8A3" w14:textId="77777777" w:rsidR="00220D3E" w:rsidRPr="00511005" w:rsidRDefault="00220D3E" w:rsidP="003A292D">
      <w:pPr>
        <w:spacing w:line="264" w:lineRule="auto"/>
        <w:ind w:firstLine="0"/>
        <w:jc w:val="center"/>
        <w:rPr>
          <w:rFonts w:ascii="Arial" w:eastAsia="Times New Roman" w:hAnsi="Arial" w:cs="Arial"/>
          <w:b/>
          <w:szCs w:val="28"/>
          <w:lang w:val="uk-UA" w:eastAsia="ru-RU"/>
        </w:rPr>
      </w:pPr>
    </w:p>
    <w:p w14:paraId="2FEB68C1" w14:textId="77777777" w:rsidR="00220D3E" w:rsidRPr="00511005" w:rsidRDefault="00220D3E" w:rsidP="003A292D">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ДИПЛОМАТИЧНА НЕДОТОРКАННІСТЬ ЯК ЕЛЕМЕНТ ГАРАНТІЙ НЕЗАЛЕЖНОСТІ ЗОВНІШНІХ ЗНОСИН</w:t>
      </w:r>
    </w:p>
    <w:p w14:paraId="751E9165" w14:textId="29204AB8" w:rsidR="00220D3E" w:rsidRPr="00511005" w:rsidRDefault="00220D3E" w:rsidP="003A292D">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 xml:space="preserve">У сучасному світі жодна держава не може функціонувати ізольовано. Її існування та розвиток безпосередньо залежать від ефективної взаємодії з </w:t>
      </w:r>
      <w:r w:rsidRPr="00511005">
        <w:rPr>
          <w:rFonts w:ascii="Arial" w:eastAsia="Times New Roman" w:hAnsi="Arial" w:cs="Arial"/>
          <w:szCs w:val="28"/>
          <w:lang w:eastAsia="ru-RU"/>
        </w:rPr>
        <w:lastRenderedPageBreak/>
        <w:t>іншими суб’єктами міжнародного права, передусім — з державами. Виходячи на міжнародну арену, країна встановлює дипломатичні відносини, використовує потенціал інших держав, а також впливає на глобальні процеси. Основним</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інструментом</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взаємодії</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є</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дипломатія. Дипломатія – діяльність уряду та спеціальних органів зовнішніх зносин щодо здійснення зовнішньої міжнародної політики держави, а також захисту</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інтересів</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держави</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кордоном</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[1,</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с.</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296]. Для ефективного виконання цієї функції дипломатичним працівникам надаються спеціальні гарантії — привілеї та імунітети. Дипломатичні привілеї та імунітети — це особливі права, якими користуються не лише дипломати, а й консульські працівники, представники при міжнародних організаціях та делегації на міжурядових конференціях [2, с. 100]. Вони забезпечують безперешкодне виконання посадових обов’язків, незалежність та захист від впливу з боку держави перебування. Міжнародне нормативне закріплення цих норм відбулося у 1961 році на Другому Віденському конгресі, результатом якого стала Віденська конвенція про дипломатичні зносини. Документ систематизував норми дипломатичного права, перевівши їх із звичаєвих у конвенційні, й удосконалив юридичну форму їх застосування. Привілеї дипломатів походять, насамперед, із принципу взаємної ввічливості між державами, а імунітети — з міжнародних звичаїв. Згодом обидва поняття набули договірного та конвенційного статусу [3 с. 192]. </w:t>
      </w:r>
    </w:p>
    <w:p w14:paraId="30BCD55D" w14:textId="4ACCDB71" w:rsidR="00220D3E" w:rsidRPr="00511005" w:rsidRDefault="00220D3E" w:rsidP="003A292D">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 xml:space="preserve">Віденська конвенція про дипломатичні зносини була прийнята 18 квітня 1961 року більшістю в 72 голоси при одній утриманій державі (Туніс) і жодному голосі «проти». Документ складався з 53 статей і преамбули, та врегулював основні питання дипломатичних зносин, привілеїв та імунітетів, що значно покращило умови діяльності дипломатів та представництв [4, с. 125]. Терміни «привілеї» та «імунітети» мають різне правове наповнення і не є синонімічними. Привілеї надають дипломатичним представництвам і їхнім співробітникам певні переваги порівняно з громадянами держави перебування. До них належать, зокрема, право використовувати державні символи, вільно підтримувати зв’язок з державою акредитації, а також отримувати податкові та інші пільги. Імунітети ж спрямовані на захист від втручання юрисдикції приймаючої держави, і охоплюють особисту недоторканність, захист житла та звільнення від судового переслідування. У сучасній дипломатичній практиці ці положення розглядаються не як прояви статусності, а як необхідні інструменти для належного виконання професійних обов’язків. Проте межа між службовими та особистими діями у повсякденному житті доволі тонка, тому більшість держав на практиці прагнуть уникати конфліктів, надаючи дипломатам максимально сприятливі умови. Де-юре, ці гарантії мають абсолютний характер. Привілеї та імунітети ґрунтуються на трьох основних принципах: екстериторіальності (визнання представництва частиною території акредитуючої держави), функціональної </w:t>
      </w:r>
      <w:r w:rsidRPr="00511005">
        <w:rPr>
          <w:rFonts w:ascii="Arial" w:eastAsia="Times New Roman" w:hAnsi="Arial" w:cs="Arial"/>
          <w:szCs w:val="28"/>
          <w:lang w:eastAsia="ru-RU"/>
        </w:rPr>
        <w:lastRenderedPageBreak/>
        <w:t>необхідності (для безперешкодного виконання функцій) та представницького характеру (дипломат як обличчя держави).</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Також міжнародна практика диференціює привілеї та імунітети за двома рівнями: для представництв (недоторканість приміщень, архівів, свобода зносин тощо); для співробітників (особиста недоторканість, імунітет від судового переслідування, фіскальні пільги під час митного контролю) [5, с. 20].</w:t>
      </w:r>
    </w:p>
    <w:p w14:paraId="57522C6C" w14:textId="77777777" w:rsidR="00220D3E" w:rsidRPr="00511005" w:rsidRDefault="00220D3E" w:rsidP="003A292D">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Відповідно до Віденської конвенції про дипломатичні зносини 1961 року встановлює ключові принципи дипломатичного права, зокрема недоторканність дипломатичних представництв та особисту недоторканність дипломатичних агентів. Стаття 22 Конвенції визначає, що приміщення дипломатичного представництва є недоторканними: влада держави перебування не може входити до них без згоди глави представництва</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3</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Це положення діє без винятків, навіть у надзвичайних ситуаціях. Держава перебування зобов'язана вживати всіх необхідних заходів для захисту приміщень від будь-якого вторгнення чи заподіяння шкоди. Стаття 29 гарантує особисту недоторканність дипломатичного агента, що означає його звільнення від будь-якої форми арешту чи затримання. Держава перебування повинна ставитися до дипломата з належною повагою та вживати всіх необхідних заходів для запобігання посяганням на його особу, свободу чи гідність. Попри важливість дипломатичних імунітетів для забезпечення належного функціонування дипломатичних місій, трапляються випадки їхнього зловживання. Так, у 1984 році з території посольства Лівії в Лондоні був відкритий вогонь, унаслідок чого загинула британська поліцейська Івонн Флетчер. Цей випадок спровокував суспільну та політичну дискусію щодо потреби в можливому перегляді абсолютності імунітету дипломатичних установ, аби не допустити їх використання для протиправної діяльності. Відтак, постає завдання знайти оптимальний баланс між необхідністю захисту дипломатів та дотриманням законності на території держави перебування.</w:t>
      </w:r>
    </w:p>
    <w:p w14:paraId="067F0AB2" w14:textId="401A81C6" w:rsidR="00220D3E" w:rsidRPr="00511005" w:rsidRDefault="00220D3E" w:rsidP="003A292D">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Конвенція 1973 року про запобігання та покарання злочинів проти осіб, які користуються міжнародним захистом, зокрема дипломатів, детально розкриває юридичні ознаки таких злочинів [6].</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Об'єктом виступає життя та свобода особи з міжнародним захистом. Об'єктивна сторона охоплює: а) напади чи замахи на життя чи свободу; б) насильницькі дії щодо приміщень чи транспорту, що можуть становити загрозу; в) загрози, спроби чи співучасть у таких діях. Суб'єкт – особа віком від 14 років, суб'єктивна сторона – прямий умисел із спеціальною метою, наприклад: вплив на особу, державу чи організацію, або загострення міждержавних відносин. Важливим аспектом є імунітет від юрисдикції держави перебування (ст. 32 Конвенції). Проте на практиці можливі винятки: 1) акредитуюча держава може добровільно відмовитись від імунітету, як у справі грузинського дипломата Махарадзе (Вашингтон, 1997), який став винуватцем ДТП зі смертельними </w:t>
      </w:r>
      <w:r w:rsidRPr="00511005">
        <w:rPr>
          <w:rFonts w:ascii="Arial" w:eastAsia="Times New Roman" w:hAnsi="Arial" w:cs="Arial"/>
          <w:szCs w:val="28"/>
          <w:lang w:eastAsia="ru-RU"/>
        </w:rPr>
        <w:lastRenderedPageBreak/>
        <w:t xml:space="preserve">наслідками; 2) дипломат може бути відкликаний і притягнутий до відповідальності в рідній країні. Така практика менш ефективна, адже, як у випадку індійської дипломатки Девіані Хобраґаде (Нью-Йорк, 2013), часто відповідальності уникнути вдається через переведення на іншу посаду. Сучасна міжнародна тенденція, зокрема в Європі та США, свідчить про поступове обмеження дипломатичного імунітету — з метою запобігання зловживанням і під тиском громадськості. Такі обмеження стосуються переважно адміністративної та кримінальної відповідальності, що сприяє зменшенню випадків безкарності дипломатів. </w:t>
      </w:r>
    </w:p>
    <w:p w14:paraId="52CA11E0" w14:textId="6E10B51E" w:rsidR="00220D3E" w:rsidRPr="00511005" w:rsidRDefault="00220D3E" w:rsidP="003A292D">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Принцип недоторканності є наріжним каменем дипломатичного права, що забезпечує стабільність та ефективність функціонування дипломатичних представництв. Його дотримання державою перебування гарантує належне виконання функцій представництва іноземної держави, а також сприяє формуванню сталих міжнародних відносин. Особиста недоторканність дипломата котрий закріплений в ст. 5 Загальної декларації прав людини і зумовлений важливістю здійснення покладених на особу обов’язків.</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Разом з тим, практика показує, що застосування дипломатичних імунітетів не є однозначним — трапляються випадки зловживань та правового свавілля. У зв’язку з цим зростає актуальність перегляду підходів до регламентації імунітетів задля запобігання порушенням і водночас забезпечення правового захисту дипломатів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міжнародних стандартів.</w:t>
      </w:r>
    </w:p>
    <w:p w14:paraId="2D1C9598" w14:textId="77777777" w:rsidR="00220D3E" w:rsidRPr="00511005" w:rsidRDefault="00220D3E" w:rsidP="003A292D">
      <w:pPr>
        <w:spacing w:line="264" w:lineRule="auto"/>
        <w:ind w:firstLine="567"/>
        <w:jc w:val="center"/>
        <w:rPr>
          <w:rFonts w:ascii="Arial" w:eastAsia="Times New Roman" w:hAnsi="Arial" w:cs="Arial"/>
          <w:b/>
          <w:szCs w:val="28"/>
          <w:lang w:val="uk-UA" w:eastAsia="ru-RU"/>
        </w:rPr>
      </w:pPr>
    </w:p>
    <w:p w14:paraId="3CA3AC2E" w14:textId="1DAE585A" w:rsidR="00220D3E" w:rsidRPr="00511005" w:rsidRDefault="007B2628" w:rsidP="007B2628">
      <w:pPr>
        <w:spacing w:line="264" w:lineRule="auto"/>
        <w:ind w:firstLine="567"/>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6E1130E2" w14:textId="507BAB70" w:rsidR="00220D3E" w:rsidRPr="00511005" w:rsidRDefault="00220D3E" w:rsidP="003A292D">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 xml:space="preserve">1. Сучасний тлумачний словник української </w:t>
      </w:r>
      <w:proofErr w:type="gramStart"/>
      <w:r w:rsidRPr="00511005">
        <w:rPr>
          <w:rFonts w:ascii="Arial" w:eastAsia="Times New Roman" w:hAnsi="Arial" w:cs="Arial"/>
          <w:szCs w:val="28"/>
          <w:lang w:eastAsia="ru-RU"/>
        </w:rPr>
        <w:t>мови :</w:t>
      </w:r>
      <w:proofErr w:type="gramEnd"/>
      <w:r w:rsidRPr="00511005">
        <w:rPr>
          <w:rFonts w:ascii="Arial" w:eastAsia="Times New Roman" w:hAnsi="Arial" w:cs="Arial"/>
          <w:szCs w:val="28"/>
          <w:lang w:eastAsia="ru-RU"/>
        </w:rPr>
        <w:t xml:space="preserve"> Для школярів,</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абітурієнтів, студентів, викл. </w:t>
      </w:r>
      <w:proofErr w:type="gramStart"/>
      <w:r w:rsidRPr="00511005">
        <w:rPr>
          <w:rFonts w:ascii="Arial" w:eastAsia="Times New Roman" w:hAnsi="Arial" w:cs="Arial"/>
          <w:szCs w:val="28"/>
          <w:lang w:eastAsia="ru-RU"/>
        </w:rPr>
        <w:t>Київ :</w:t>
      </w:r>
      <w:proofErr w:type="gramEnd"/>
      <w:r w:rsidRPr="00511005">
        <w:rPr>
          <w:rFonts w:ascii="Arial" w:eastAsia="Times New Roman" w:hAnsi="Arial" w:cs="Arial"/>
          <w:szCs w:val="28"/>
          <w:lang w:eastAsia="ru-RU"/>
        </w:rPr>
        <w:t xml:space="preserve"> Кобза, 2005. 544 с.</w:t>
      </w:r>
    </w:p>
    <w:p w14:paraId="248D3594" w14:textId="718DA414" w:rsidR="00220D3E" w:rsidRPr="00511005" w:rsidRDefault="00220D3E" w:rsidP="003A292D">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2.</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Грін О.О. Словник міжнародно-правових термінів / Укладач О.О. Грін. – Ужгород: ПП Данило С.І., 2010. –500 с. (серія «бібліотека юриста-міжнародника»).</w:t>
      </w:r>
    </w:p>
    <w:p w14:paraId="584D42C2" w14:textId="77777777" w:rsidR="00220D3E" w:rsidRPr="00511005" w:rsidRDefault="00220D3E" w:rsidP="003A292D">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3. Фалалеева Л.Г. Дипломатичні імунітети: принципи, норми, практика застосування / Л.Г. Фалалеева, В.В. Мараховський. – Вісник Академії адвокатури України. – 2009 р. – No 14. – 308 с.</w:t>
      </w:r>
    </w:p>
    <w:p w14:paraId="2706FE12" w14:textId="77777777" w:rsidR="00220D3E" w:rsidRPr="00511005" w:rsidRDefault="00220D3E" w:rsidP="003A292D">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4. Гуменюк Б.І. Дипломатична служба: правове регулювання: Навч. посібник. – К.: Либідь, 2007. – 224 с.</w:t>
      </w:r>
    </w:p>
    <w:p w14:paraId="524DBA1A" w14:textId="77777777" w:rsidR="00220D3E" w:rsidRPr="00511005" w:rsidRDefault="00220D3E" w:rsidP="003A292D">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5. Панов А.В. Дипломатична і консульська служба: Навчальний посібник. – Ужгород: Поліграфцентр «Ліра», 2010. – 112 с.</w:t>
      </w:r>
    </w:p>
    <w:p w14:paraId="0AE94ED1" w14:textId="3D6E58EA" w:rsidR="00220D3E" w:rsidRPr="00511005" w:rsidRDefault="00220D3E" w:rsidP="003A292D">
      <w:pPr>
        <w:spacing w:line="264" w:lineRule="auto"/>
        <w:ind w:firstLine="567"/>
        <w:rPr>
          <w:rFonts w:ascii="Arial" w:eastAsia="Times New Roman" w:hAnsi="Arial" w:cs="Arial"/>
          <w:i/>
          <w:szCs w:val="28"/>
          <w:lang w:eastAsia="ru-RU"/>
        </w:rPr>
      </w:pPr>
      <w:r w:rsidRPr="00511005">
        <w:rPr>
          <w:rFonts w:ascii="Arial" w:eastAsia="Times New Roman" w:hAnsi="Arial" w:cs="Arial"/>
          <w:szCs w:val="28"/>
          <w:lang w:eastAsia="ru-RU"/>
        </w:rPr>
        <w:t>6. Конвенція</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про</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запобігання</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та</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покарання</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злочинів</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проти</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осіб,</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які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користуються</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міжнародним</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захистом,</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у тому числі дипломатичних агентів від 14 грудня 1973 р. No 995_389. Режим доступу: </w:t>
      </w:r>
      <w:hyperlink r:id="rId404">
        <w:r w:rsidRPr="00511005">
          <w:rPr>
            <w:rFonts w:ascii="Arial" w:eastAsia="Times New Roman" w:hAnsi="Arial" w:cs="Arial"/>
            <w:szCs w:val="28"/>
            <w:lang w:eastAsia="ru-RU"/>
          </w:rPr>
          <w:t>https://zakon.rada.gov.ua/laws/show/995_389#Text</w:t>
        </w:r>
      </w:hyperlink>
    </w:p>
    <w:p w14:paraId="33815376" w14:textId="37D55D44" w:rsidR="00220D3E" w:rsidRPr="00511005" w:rsidRDefault="007B2628" w:rsidP="003A292D">
      <w:pPr>
        <w:spacing w:line="264" w:lineRule="auto"/>
        <w:ind w:firstLine="567"/>
        <w:jc w:val="left"/>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дипломатія, дипломатичні відносини, недоторканність, дипломатичні представництва, дипломатичні імунітети, міжнародні стандарти.</w:t>
      </w:r>
    </w:p>
    <w:p w14:paraId="036B9DCD" w14:textId="46BD4517" w:rsidR="00220D3E" w:rsidRPr="00511005" w:rsidRDefault="007B2628" w:rsidP="003A292D">
      <w:pPr>
        <w:spacing w:line="264" w:lineRule="auto"/>
        <w:ind w:firstLine="567"/>
        <w:jc w:val="left"/>
        <w:rPr>
          <w:rFonts w:ascii="Arial" w:eastAsia="Times New Roman" w:hAnsi="Arial" w:cs="Arial"/>
          <w:szCs w:val="28"/>
          <w:lang w:val="en-US" w:eastAsia="ru-RU"/>
        </w:rPr>
      </w:pPr>
      <w:r w:rsidRPr="00511005">
        <w:rPr>
          <w:rFonts w:ascii="Arial" w:eastAsia="Times New Roman" w:hAnsi="Arial" w:cs="Arial"/>
          <w:b/>
          <w:i/>
          <w:szCs w:val="28"/>
          <w:lang w:val="en-US" w:eastAsia="ru-RU"/>
        </w:rPr>
        <w:lastRenderedPageBreak/>
        <w:t xml:space="preserve">Key words: </w:t>
      </w:r>
      <w:r w:rsidR="00220D3E" w:rsidRPr="00511005">
        <w:rPr>
          <w:rFonts w:ascii="Arial" w:eastAsia="Times New Roman" w:hAnsi="Arial" w:cs="Arial"/>
          <w:szCs w:val="28"/>
          <w:lang w:val="en-US" w:eastAsia="ru-RU"/>
        </w:rPr>
        <w:t>diplomacy, diplomatic relations, immunity, diplomatic missions, diplomatic immunities, international standards.</w:t>
      </w:r>
    </w:p>
    <w:p w14:paraId="52918355" w14:textId="4F585E38" w:rsidR="00220D3E" w:rsidRPr="00511005" w:rsidRDefault="007B2628" w:rsidP="003A292D">
      <w:pPr>
        <w:spacing w:line="264" w:lineRule="auto"/>
        <w:ind w:firstLine="567"/>
        <w:rPr>
          <w:rFonts w:ascii="Arial" w:eastAsia="Calibri" w:hAnsi="Arial" w:cs="Arial"/>
          <w:i/>
          <w:iCs/>
          <w:szCs w:val="28"/>
        </w:rPr>
      </w:pPr>
      <w:r w:rsidRPr="00511005">
        <w:rPr>
          <w:rFonts w:ascii="Arial" w:eastAsia="Calibri" w:hAnsi="Arial" w:cs="Arial"/>
          <w:b/>
          <w:i/>
          <w:iCs/>
          <w:szCs w:val="28"/>
          <w:lang w:val="uk-UA"/>
        </w:rPr>
        <w:t xml:space="preserve">Науковий керівник: </w:t>
      </w:r>
      <w:r w:rsidR="00220D3E" w:rsidRPr="00511005">
        <w:rPr>
          <w:rFonts w:ascii="Arial" w:eastAsia="Calibri" w:hAnsi="Arial" w:cs="Arial"/>
          <w:i/>
          <w:iCs/>
          <w:szCs w:val="28"/>
          <w:lang w:val="uk-UA"/>
        </w:rPr>
        <w:t>доктор філософії і галузі міжнародного права, доцент</w:t>
      </w:r>
      <w:r w:rsidRPr="00511005">
        <w:rPr>
          <w:rFonts w:ascii="Arial" w:eastAsia="Calibri" w:hAnsi="Arial" w:cs="Arial"/>
          <w:i/>
          <w:iCs/>
          <w:szCs w:val="28"/>
          <w:lang w:val="uk-UA"/>
        </w:rPr>
        <w:t xml:space="preserve"> </w:t>
      </w:r>
      <w:r w:rsidR="00220D3E" w:rsidRPr="00511005">
        <w:rPr>
          <w:rFonts w:ascii="Arial" w:eastAsia="Calibri" w:hAnsi="Arial" w:cs="Arial"/>
          <w:i/>
          <w:iCs/>
          <w:szCs w:val="28"/>
          <w:lang w:val="uk-UA"/>
        </w:rPr>
        <w:t>Гребенюк Д.О.</w:t>
      </w:r>
    </w:p>
    <w:p w14:paraId="3368471F" w14:textId="77777777" w:rsidR="00220D3E" w:rsidRPr="00511005" w:rsidRDefault="00220D3E" w:rsidP="003A292D">
      <w:pPr>
        <w:tabs>
          <w:tab w:val="left" w:pos="709"/>
        </w:tabs>
        <w:spacing w:line="264" w:lineRule="auto"/>
        <w:rPr>
          <w:rFonts w:ascii="Arial" w:eastAsia="Times New Roman" w:hAnsi="Arial" w:cs="Arial"/>
          <w:i/>
          <w:szCs w:val="28"/>
          <w:lang w:eastAsia="ru-RU"/>
        </w:rPr>
      </w:pPr>
    </w:p>
    <w:p w14:paraId="427D31AD"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Khomych Andrii</w:t>
      </w:r>
    </w:p>
    <w:p w14:paraId="57E78347" w14:textId="77777777" w:rsidR="00220D3E" w:rsidRPr="00511005" w:rsidRDefault="00220D3E" w:rsidP="003A292D">
      <w:pPr>
        <w:tabs>
          <w:tab w:val="left" w:pos="709"/>
        </w:tabs>
        <w:spacing w:line="264" w:lineRule="auto"/>
        <w:jc w:val="center"/>
        <w:rPr>
          <w:rFonts w:ascii="Arial" w:eastAsia="Times New Roman" w:hAnsi="Arial" w:cs="Arial"/>
          <w:szCs w:val="28"/>
          <w:lang w:val="en-US" w:eastAsia="ru-RU"/>
        </w:rPr>
      </w:pPr>
      <w:r w:rsidRPr="00511005">
        <w:rPr>
          <w:rFonts w:ascii="Arial" w:eastAsia="Times New Roman" w:hAnsi="Arial" w:cs="Arial"/>
          <w:szCs w:val="28"/>
          <w:lang w:val="en-US" w:eastAsia="ru-RU"/>
        </w:rPr>
        <w:t>4th year student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of</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Prosecution and Investigation Faculty</w:t>
      </w:r>
    </w:p>
    <w:p w14:paraId="67A414EE"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National University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Odesa Law Academy</w:t>
      </w:r>
      <w:r w:rsidRPr="00511005">
        <w:rPr>
          <w:rFonts w:ascii="Arial" w:eastAsia="Times New Roman" w:hAnsi="Arial" w:cs="Arial"/>
          <w:szCs w:val="28"/>
          <w:lang w:val="uk-UA" w:eastAsia="ru-RU"/>
        </w:rPr>
        <w:t>»</w:t>
      </w:r>
    </w:p>
    <w:p w14:paraId="1CC3DC02"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20DC01A2"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LIMITATIONS OF HUMAN RIGHTS IN WAR: THE ROLE OF IHL</w:t>
      </w:r>
    </w:p>
    <w:p w14:paraId="33377394"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Human rights are the cornerstone of modern international law and are considered universal, inalienable, and indivisible. They apply to all individuals regardless of nationality, ethnicity, or political status and are intended to ensure dignity, freedom, and equality. However, in times of armed conflict, the full realization of these rights often becomes difficult or even impossible. In such contexts, international humanitarian law (IHL) comes into effect, complementing and, at times, limiting the scope of human rights protection for the sake of military necessity, public security, and the realities of war [1][3].</w:t>
      </w:r>
    </w:p>
    <w:p w14:paraId="7159B26E"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While human rights law applies at all times, including in times of peace and war, international humanitarian law is applicable specifically during situations of armed conflict, whether international or non-international. It governs the conduct of hostilities and seeks to limit their effects on both combatants and civilians. IHL is rooted in key international treaties, most notably the four Geneva Conventions of 1949 [3]. These legal instruments establish protections for the wounded and sick, prisoners of war, and civilians caught in the conflict. In many instances, IHL offers more context-specific guidance than general human rights law, which may be too broad or peacetime-oriented to address the realities of armed conflict effectively [6].</w:t>
      </w:r>
    </w:p>
    <w:p w14:paraId="191F129C"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limitation of human rights during war is not absolute but is instead regulated through derogation clauses in key human rights treaties, such as Article 4 of the International Covenant on Civil and Political Rights (ICCPR) [2]. These clauses allow states to temporarily suspend the application of certain rights in times of public emergency, including war, provided that the measures are strictly required by the situation and are not discriminatory. However, certain core rights are non-derogable, meaning they cannot be suspended under any circumstances. These include the right to life, the prohibition of torture and cruel treatment, the prohibition of slavery, and the right to recognition before the law [1]. IHL reinforces these non-derogable rights by imposing absolute prohibitions and obligations on parties to a conflict, regardless of the circumstances [3].</w:t>
      </w:r>
    </w:p>
    <w:p w14:paraId="5819ACD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In practical terms, many human rights face restrictions during armed conflict due to legitimate military objectives or security concerns. For instance, the freedom of movement may be limited due to curfews, blockades, or the </w:t>
      </w:r>
      <w:r w:rsidRPr="00511005">
        <w:rPr>
          <w:rFonts w:ascii="Arial" w:eastAsia="Times New Roman" w:hAnsi="Arial" w:cs="Arial"/>
          <w:szCs w:val="28"/>
          <w:lang w:val="en-US" w:eastAsia="ru-RU"/>
        </w:rPr>
        <w:lastRenderedPageBreak/>
        <w:t>establishment of military zones. The right to privacy may be compromised by increased surveillance or communications monitoring. Freedom of expression and access to information may be curtailed through censorship or restrictions on media activity [5]. While these limitations might be justified under both human rights law (via derogation) and IHL (as lawful under the laws of war), they must still meet strict legal tests: they must be proportionate, necessary, and non-arbitrary. Moreover, in situations of occupation or detention, IHL provides specific guarantees to ensure humane treatment, such as access to medical care, protection from violence, and respect for personal dignity [3].</w:t>
      </w:r>
    </w:p>
    <w:p w14:paraId="6C085020"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One of the fundamental contributions of IHL is the principle of distinction, which obliges warring parties to distinguish at all times between combatants and civilians. Attacks may only be directed at legitimate military targets and must avoid, to the extent possible, harm to civilian life and infrastructure. This principle directly supports the human right to life and personal security. Another key IHL principle is proportionality, which prohibits attacks that may cause excessive civilian harm in relation to the anticipated military advantage. These principles are not only legally binding but also reflect a moral imperative to preserve basic human rights even in the conduct of warfare [6].</w:t>
      </w:r>
    </w:p>
    <w:p w14:paraId="15F6D94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Importantly, the interplay between human rights law and IHL is not based on a hierarchy but on complementarity. Where both bodies of law apply, human rights obligations continue unless IHL provides more specific or contextual rules. For example, while the right to liberty under human rights law prohibits arbitrary detention, IHL permits the internment of enemy combatants and certain civilians under specific conditions and with appropriate safeguards [4]. In such cases, IHL becomes the lex specialis — the more specific legal framework that prevails in the context of armed conflict.</w:t>
      </w:r>
    </w:p>
    <w:p w14:paraId="39FA6A29"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Monitoring compliance with human rights and IHL during armed conflict remains a major challenge. Institutions such as the United Nations Human Rights Council, the International Committee of the Red Cross (ICRC), and regional human rights bodies play a critical role in documenting violations, offering humanitarian aid, and promoting accountability. War crimes, crimes against humanity, and grave breaches of IHL may be prosecuted by international tribunals, such as the International Criminal Court (ICC), reinforcing the legal consequences of violating either human rights or IHL during war [3].</w:t>
      </w:r>
    </w:p>
    <w:p w14:paraId="56C779E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War does not cancel human rights, but it changes how they work in practice.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Some rights can be limited during armed conflict, but these limits must follow clear rules. International humanitarian law helps protect people when war happens. It does not replace human rights law — they work together. IHL gives special rules for wartime, while human rights law stays in place unless a right is officially suspended. Even in the hardest situations, both systems aim to protect life, dignity, and basic values. This shows that law still matters, even in war.</w:t>
      </w:r>
    </w:p>
    <w:p w14:paraId="3D9CE9BD"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47BFC86F"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lastRenderedPageBreak/>
        <w:t>References</w:t>
      </w:r>
    </w:p>
    <w:p w14:paraId="23791CD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1. </w:t>
      </w:r>
      <w:r w:rsidRPr="00511005">
        <w:rPr>
          <w:rFonts w:ascii="Arial" w:eastAsia="Times New Roman" w:hAnsi="Arial" w:cs="Arial"/>
          <w:szCs w:val="28"/>
          <w:lang w:val="en-US" w:eastAsia="ru-RU"/>
        </w:rPr>
        <w:tab/>
        <w:t xml:space="preserve">Universal Declaration of Human Rights adopted by the United Nations General Assembly on 10 Dec. 1948. URL: </w:t>
      </w:r>
      <w:hyperlink r:id="rId405" w:history="1">
        <w:r w:rsidRPr="00511005">
          <w:rPr>
            <w:rFonts w:ascii="Arial" w:eastAsia="Times New Roman" w:hAnsi="Arial" w:cs="Arial"/>
            <w:szCs w:val="28"/>
            <w:lang w:val="en-US" w:eastAsia="ru-RU"/>
          </w:rPr>
          <w:t>https://www.un.org/en/about-us/universal-declaration-of-human-rights</w:t>
        </w:r>
      </w:hyperlink>
      <w:r w:rsidRPr="00511005">
        <w:rPr>
          <w:rFonts w:ascii="Arial" w:eastAsia="Times New Roman" w:hAnsi="Arial" w:cs="Arial"/>
          <w:szCs w:val="28"/>
          <w:lang w:val="en-US" w:eastAsia="ru-RU"/>
        </w:rPr>
        <w:t xml:space="preserve"> (accessed: 0</w:t>
      </w:r>
      <w:r w:rsidRPr="00511005">
        <w:rPr>
          <w:rFonts w:ascii="Arial" w:eastAsia="Times New Roman" w:hAnsi="Arial" w:cs="Arial"/>
          <w:szCs w:val="28"/>
          <w:lang w:val="uk-UA" w:eastAsia="ru-RU"/>
        </w:rPr>
        <w:t>7</w:t>
      </w:r>
      <w:r w:rsidRPr="00511005">
        <w:rPr>
          <w:rFonts w:ascii="Arial" w:eastAsia="Times New Roman" w:hAnsi="Arial" w:cs="Arial"/>
          <w:szCs w:val="28"/>
          <w:lang w:val="en-US" w:eastAsia="ru-RU"/>
        </w:rPr>
        <w:t>.05.2025)</w:t>
      </w:r>
    </w:p>
    <w:p w14:paraId="78537D9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2. </w:t>
      </w:r>
      <w:r w:rsidRPr="00511005">
        <w:rPr>
          <w:rFonts w:ascii="Arial" w:eastAsia="Times New Roman" w:hAnsi="Arial" w:cs="Arial"/>
          <w:szCs w:val="28"/>
          <w:lang w:val="en-US" w:eastAsia="ru-RU"/>
        </w:rPr>
        <w:tab/>
        <w:t xml:space="preserve">International Covenant on Civil and Political Rights adopted by the United Nations General Assembly on </w:t>
      </w:r>
      <w:r w:rsidRPr="00511005">
        <w:rPr>
          <w:rFonts w:ascii="Arial" w:eastAsia="Times New Roman" w:hAnsi="Arial" w:cs="Arial"/>
          <w:b/>
          <w:bCs/>
          <w:szCs w:val="28"/>
          <w:lang w:val="en-US" w:eastAsia="ru-RU"/>
        </w:rPr>
        <w:t>16 De</w:t>
      </w:r>
      <w:r w:rsidRPr="00511005">
        <w:rPr>
          <w:rFonts w:ascii="Arial" w:eastAsia="Times New Roman" w:hAnsi="Arial" w:cs="Arial"/>
          <w:b/>
          <w:bCs/>
          <w:szCs w:val="28"/>
          <w:lang w:val="uk-UA" w:eastAsia="ru-RU"/>
        </w:rPr>
        <w:t>с.</w:t>
      </w:r>
      <w:r w:rsidRPr="00511005">
        <w:rPr>
          <w:rFonts w:ascii="Arial" w:eastAsia="Times New Roman" w:hAnsi="Arial" w:cs="Arial"/>
          <w:b/>
          <w:bCs/>
          <w:szCs w:val="28"/>
          <w:lang w:val="en-US" w:eastAsia="ru-RU"/>
        </w:rPr>
        <w:t xml:space="preserve"> 1966</w:t>
      </w:r>
      <w:r w:rsidRPr="00511005">
        <w:rPr>
          <w:rFonts w:ascii="Arial" w:eastAsia="Times New Roman" w:hAnsi="Arial" w:cs="Arial"/>
          <w:b/>
          <w:bCs/>
          <w:szCs w:val="28"/>
          <w:lang w:val="uk-UA" w:eastAsia="ru-RU"/>
        </w:rPr>
        <w:t xml:space="preserve">. </w:t>
      </w:r>
      <w:r w:rsidRPr="00511005">
        <w:rPr>
          <w:rFonts w:ascii="Arial" w:eastAsia="Times New Roman" w:hAnsi="Arial" w:cs="Arial"/>
          <w:szCs w:val="28"/>
          <w:lang w:val="en-US" w:eastAsia="ru-RU"/>
        </w:rPr>
        <w:t xml:space="preserve">URL: </w:t>
      </w:r>
      <w:hyperlink r:id="rId406" w:history="1">
        <w:r w:rsidRPr="00511005">
          <w:rPr>
            <w:rFonts w:ascii="Arial" w:eastAsia="Times New Roman" w:hAnsi="Arial" w:cs="Arial"/>
            <w:szCs w:val="28"/>
            <w:lang w:val="en-US" w:eastAsia="ru-RU"/>
          </w:rPr>
          <w:t>https://www.ohchr.org/en/instruments-mechanisms/instruments/international-covenant-civil-and-political-rights</w:t>
        </w:r>
      </w:hyperlink>
      <w:r w:rsidRPr="00511005">
        <w:rPr>
          <w:rFonts w:ascii="Arial" w:eastAsia="Times New Roman" w:hAnsi="Arial" w:cs="Arial"/>
          <w:szCs w:val="28"/>
          <w:lang w:val="en-US" w:eastAsia="ru-RU"/>
        </w:rPr>
        <w:t xml:space="preserve"> (accessed: 0</w:t>
      </w:r>
      <w:r w:rsidRPr="00511005">
        <w:rPr>
          <w:rFonts w:ascii="Arial" w:eastAsia="Times New Roman" w:hAnsi="Arial" w:cs="Arial"/>
          <w:szCs w:val="28"/>
          <w:lang w:val="uk-UA" w:eastAsia="ru-RU"/>
        </w:rPr>
        <w:t>7</w:t>
      </w:r>
      <w:r w:rsidRPr="00511005">
        <w:rPr>
          <w:rFonts w:ascii="Arial" w:eastAsia="Times New Roman" w:hAnsi="Arial" w:cs="Arial"/>
          <w:szCs w:val="28"/>
          <w:lang w:val="en-US" w:eastAsia="ru-RU"/>
        </w:rPr>
        <w:t>.05.2025)</w:t>
      </w:r>
    </w:p>
    <w:p w14:paraId="36066A91"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3. </w:t>
      </w:r>
      <w:r w:rsidRPr="00511005">
        <w:rPr>
          <w:rFonts w:ascii="Arial" w:eastAsia="Times New Roman" w:hAnsi="Arial" w:cs="Arial"/>
          <w:szCs w:val="28"/>
          <w:lang w:val="en-US" w:eastAsia="ru-RU"/>
        </w:rPr>
        <w:tab/>
        <w:t>Geneva Conventions adopted on 12 August 1949</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URL: </w:t>
      </w:r>
      <w:hyperlink r:id="rId407" w:history="1">
        <w:r w:rsidRPr="00511005">
          <w:rPr>
            <w:rFonts w:ascii="Arial" w:eastAsia="Times New Roman" w:hAnsi="Arial" w:cs="Arial"/>
            <w:szCs w:val="28"/>
            <w:lang w:val="en-US" w:eastAsia="ru-RU"/>
          </w:rPr>
          <w:t>https://www.icrc.org/sites/default/files/external/doc/en/assets/files/publications/icrc-002-0173.pdf</w:t>
        </w:r>
      </w:hyperlink>
      <w:r w:rsidRPr="00511005">
        <w:rPr>
          <w:rFonts w:ascii="Arial" w:eastAsia="Times New Roman" w:hAnsi="Arial" w:cs="Arial"/>
          <w:szCs w:val="28"/>
          <w:lang w:val="en-US" w:eastAsia="ru-RU"/>
        </w:rPr>
        <w:t xml:space="preserve"> (accessed: 0</w:t>
      </w:r>
      <w:r w:rsidRPr="00511005">
        <w:rPr>
          <w:rFonts w:ascii="Arial" w:eastAsia="Times New Roman" w:hAnsi="Arial" w:cs="Arial"/>
          <w:szCs w:val="28"/>
          <w:lang w:val="uk-UA" w:eastAsia="ru-RU"/>
        </w:rPr>
        <w:t>7</w:t>
      </w:r>
      <w:r w:rsidRPr="00511005">
        <w:rPr>
          <w:rFonts w:ascii="Arial" w:eastAsia="Times New Roman" w:hAnsi="Arial" w:cs="Arial"/>
          <w:szCs w:val="28"/>
          <w:lang w:val="en-US" w:eastAsia="ru-RU"/>
        </w:rPr>
        <w:t>.05.2025)</w:t>
      </w:r>
    </w:p>
    <w:p w14:paraId="2F330CA0"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4. </w:t>
      </w:r>
      <w:r w:rsidRPr="00511005">
        <w:rPr>
          <w:rFonts w:ascii="Arial" w:eastAsia="Times New Roman" w:hAnsi="Arial" w:cs="Arial"/>
          <w:szCs w:val="28"/>
          <w:lang w:val="en-US" w:eastAsia="ru-RU"/>
        </w:rPr>
        <w:tab/>
        <w:t>International Humanitarian Law and Human Rights: Distinctions and Overlaps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w:t>
      </w:r>
    </w:p>
    <w:p w14:paraId="547828B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URL: </w:t>
      </w:r>
      <w:hyperlink r:id="rId408" w:history="1">
        <w:r w:rsidRPr="00511005">
          <w:rPr>
            <w:rFonts w:ascii="Arial" w:eastAsia="Times New Roman" w:hAnsi="Arial" w:cs="Arial"/>
            <w:szCs w:val="28"/>
            <w:lang w:val="en-US" w:eastAsia="ru-RU"/>
          </w:rPr>
          <w:t>https://www.icrc.org/en/download/file/1402/ihl-and-ihrl.pdf</w:t>
        </w:r>
      </w:hyperlink>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(accessed: 0</w:t>
      </w:r>
      <w:r w:rsidRPr="00511005">
        <w:rPr>
          <w:rFonts w:ascii="Arial" w:eastAsia="Times New Roman" w:hAnsi="Arial" w:cs="Arial"/>
          <w:szCs w:val="28"/>
          <w:lang w:val="uk-UA" w:eastAsia="ru-RU"/>
        </w:rPr>
        <w:t>7</w:t>
      </w:r>
      <w:r w:rsidRPr="00511005">
        <w:rPr>
          <w:rFonts w:ascii="Arial" w:eastAsia="Times New Roman" w:hAnsi="Arial" w:cs="Arial"/>
          <w:szCs w:val="28"/>
          <w:lang w:val="en-US" w:eastAsia="ru-RU"/>
        </w:rPr>
        <w:t>.05.2025)</w:t>
      </w:r>
    </w:p>
    <w:p w14:paraId="20BE14F3"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5. </w:t>
      </w:r>
      <w:r w:rsidRPr="00511005">
        <w:rPr>
          <w:rFonts w:ascii="Arial" w:eastAsia="Times New Roman" w:hAnsi="Arial" w:cs="Arial"/>
          <w:szCs w:val="28"/>
          <w:lang w:val="en-US" w:eastAsia="ru-RU"/>
        </w:rPr>
        <w:tab/>
        <w:t>Derogations from Human Rights Treaties in Emergencies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w:t>
      </w:r>
    </w:p>
    <w:p w14:paraId="3736716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URL:</w:t>
      </w:r>
      <w:hyperlink r:id="rId409" w:history="1">
        <w:r w:rsidRPr="00511005">
          <w:rPr>
            <w:rFonts w:ascii="Arial" w:eastAsia="Times New Roman" w:hAnsi="Arial" w:cs="Arial"/>
            <w:szCs w:val="28"/>
            <w:lang w:val="en-US" w:eastAsia="ru-RU"/>
          </w:rPr>
          <w:t>https://www.ohchr.org/Documents/Publications/training9chapter16en.pdf</w:t>
        </w:r>
      </w:hyperlink>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(accessed: 0</w:t>
      </w:r>
      <w:r w:rsidRPr="00511005">
        <w:rPr>
          <w:rFonts w:ascii="Arial" w:eastAsia="Times New Roman" w:hAnsi="Arial" w:cs="Arial"/>
          <w:szCs w:val="28"/>
          <w:lang w:val="uk-UA" w:eastAsia="ru-RU"/>
        </w:rPr>
        <w:t>7</w:t>
      </w:r>
      <w:r w:rsidRPr="00511005">
        <w:rPr>
          <w:rFonts w:ascii="Arial" w:eastAsia="Times New Roman" w:hAnsi="Arial" w:cs="Arial"/>
          <w:szCs w:val="28"/>
          <w:lang w:val="en-US" w:eastAsia="ru-RU"/>
        </w:rPr>
        <w:t>.05.2025)</w:t>
      </w:r>
    </w:p>
    <w:p w14:paraId="3EA9BFC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6. </w:t>
      </w:r>
      <w:r w:rsidRPr="00511005">
        <w:rPr>
          <w:rFonts w:ascii="Arial" w:eastAsia="Times New Roman" w:hAnsi="Arial" w:cs="Arial"/>
          <w:szCs w:val="28"/>
          <w:lang w:val="en-US" w:eastAsia="ru-RU"/>
        </w:rPr>
        <w:tab/>
        <w:t>Cordula D. The Interplay between International Humanitarian Law and International Human Rights Law in Situations of Armed Conflict. Israel Law</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Review</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Vol. 40</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No. 2</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2007</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w:t>
      </w:r>
    </w:p>
    <w:p w14:paraId="112E3D90"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URL:</w:t>
      </w:r>
      <w:hyperlink r:id="rId410" w:history="1">
        <w:r w:rsidRPr="00511005">
          <w:rPr>
            <w:rFonts w:ascii="Arial" w:eastAsia="Times New Roman" w:hAnsi="Arial" w:cs="Arial"/>
            <w:szCs w:val="28"/>
            <w:lang w:val="en-US" w:eastAsia="ru-RU"/>
          </w:rPr>
          <w:t>https://www.icrc.org/sites/default/files/external/doc/en/assets/files/other/interplay-article-droege.pdf</w:t>
        </w:r>
      </w:hyperlink>
      <w:r w:rsidRPr="00511005">
        <w:rPr>
          <w:rFonts w:ascii="Arial" w:eastAsia="Times New Roman" w:hAnsi="Arial" w:cs="Arial"/>
          <w:szCs w:val="28"/>
          <w:lang w:val="en-US" w:eastAsia="ru-RU"/>
        </w:rPr>
        <w:t xml:space="preserve"> (accessed: 0</w:t>
      </w:r>
      <w:r w:rsidRPr="00511005">
        <w:rPr>
          <w:rFonts w:ascii="Arial" w:eastAsia="Times New Roman" w:hAnsi="Arial" w:cs="Arial"/>
          <w:szCs w:val="28"/>
          <w:lang w:val="uk-UA" w:eastAsia="ru-RU"/>
        </w:rPr>
        <w:t>7</w:t>
      </w:r>
      <w:r w:rsidRPr="00511005">
        <w:rPr>
          <w:rFonts w:ascii="Arial" w:eastAsia="Times New Roman" w:hAnsi="Arial" w:cs="Arial"/>
          <w:szCs w:val="28"/>
          <w:lang w:val="en-US" w:eastAsia="ru-RU"/>
        </w:rPr>
        <w:t>.05.2025)</w:t>
      </w:r>
    </w:p>
    <w:p w14:paraId="35FC66C0"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2EFE9863" w14:textId="16159170"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Human rights, War, International Humanitarian Law, Limitations, Civilians, Derogation, Geneva Conventions, Protection.</w:t>
      </w:r>
    </w:p>
    <w:p w14:paraId="7828D020" w14:textId="1A095141"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Права людини, Війна, Міжнародне гуманітарне право, Обмеження, Цивільні особи, Відступлення від зобов’язань, Женевські конвенції, Захист.</w:t>
      </w:r>
    </w:p>
    <w:p w14:paraId="50C54460" w14:textId="7D95921C" w:rsidR="00220D3E" w:rsidRPr="00511005" w:rsidRDefault="006C2EDA" w:rsidP="003A292D">
      <w:pPr>
        <w:tabs>
          <w:tab w:val="left" w:pos="709"/>
        </w:tabs>
        <w:spacing w:line="264" w:lineRule="auto"/>
        <w:jc w:val="left"/>
        <w:rPr>
          <w:rFonts w:ascii="Arial" w:eastAsia="Times New Roman" w:hAnsi="Arial" w:cs="Arial"/>
          <w:i/>
          <w:iCs/>
          <w:szCs w:val="28"/>
          <w:lang w:val="uk-UA"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Times New Roman" w:hAnsi="Arial" w:cs="Arial"/>
          <w:i/>
          <w:iCs/>
          <w:szCs w:val="28"/>
          <w:lang w:val="en-US" w:eastAsia="ru-RU"/>
        </w:rPr>
        <w:t>PhD in Law, Associate Professor Dronov V.</w:t>
      </w:r>
    </w:p>
    <w:p w14:paraId="3ADCEE51"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48AF724A"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Кремлівська Анна Андріївна</w:t>
      </w:r>
    </w:p>
    <w:p w14:paraId="024748A0" w14:textId="24B68566" w:rsidR="008C34CC" w:rsidRPr="00511005" w:rsidRDefault="00536AAB"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03B9CC63" w14:textId="77777777" w:rsidR="008C34CC" w:rsidRPr="00511005" w:rsidRDefault="008C34CC"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9D7E0B0" w14:textId="26E90AE8"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eastAsia="ru-RU"/>
        </w:rPr>
        <w:t>Національного університету «Одеська юридична академія»</w:t>
      </w:r>
    </w:p>
    <w:p w14:paraId="59D3894B"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2346D56B"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ПРАВО НА АБОРТ ЯК РЕПРОДУКТИВНЕ ПРАВО ЖІНКИ: МІЖНАРОДНО-ПРАВОВИЙ АСПЕКТ</w:t>
      </w:r>
    </w:p>
    <w:p w14:paraId="6F76352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сучасному світі питання забезпечення гендерної рівності та охорони прав людини тісно пов’язане з визнанням і реалізацією репродуктивних прав жінок. Одним із ключових аспектів цих прав є право на аборт — можливість жінки самостійно приймати рішення щодо продовження або переривання </w:t>
      </w:r>
      <w:r w:rsidRPr="00511005">
        <w:rPr>
          <w:rFonts w:ascii="Arial" w:eastAsia="Times New Roman" w:hAnsi="Arial" w:cs="Arial"/>
          <w:szCs w:val="28"/>
          <w:lang w:eastAsia="ru-RU"/>
        </w:rPr>
        <w:lastRenderedPageBreak/>
        <w:t>вагітності. В умовах глобалізації та розвитку міжнародного права право на аборт поступово визнається не лише як медичне чи етичне питання, але й як складова права на приватне життя, людську гідність, фізичну недоторканність та свободу від дискримінації.</w:t>
      </w:r>
    </w:p>
    <w:p w14:paraId="24E2C7E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 даній темі важливо розпочати з визначення поняття «репродуктивного права», яке не є новим поняттям у сучасній правовій науці, але, його уніфікація не в повній мірі реалізовуються як в Україні, так і в інших країнах Європи. Репродуктивні права — це право самостійно й усвідомлено визначати час, кількість та доцільність народження дітей. Європейська судова практика під репродуктивними правами розуміє право особи жіночої та чоловічої статі мати генетично рідну дитину, а для особи жіночої статі – також право самостійно виносити дитину та право на фізіологічні пологи. В українському законодавстві була спроба визначити дане поняття, у ст. 1 Проекту Закону України «Про репродуктивні права та гарантії їх здійснення», де передбачалося, що це передбачені законом права людини на здійснення та охорону її репродуктивного здоров'я і вільне прийняття рішень про народження чи відмови від народження дитини в шлюбі чи поза ним, а також на медико-соціальну, інформаційну і консультативну допомогу в цій сфері [1]. </w:t>
      </w:r>
    </w:p>
    <w:p w14:paraId="2B1AD5F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Чіткого визначення даного поняття в міжнародно-правових актах відсутнє, норми щодо захисту репродуктивних прав не є прямими, а грунтуються на загальній концепції забезпечення права на охорону здоров’я. Наприклад, ст. 12 Міжнародного пакту про економічні, соціальні і культурні права визначає право кожної людини на найвищий і досяжний рівень фізичного і психічного здоров’я [2]. Також, ст. 11 Конвенції ООН про ліквідацію всіх форм дискримінації щодо жінок закріплює право на охорону здоров’я та безпечні умови праці, зокрема із урахуванням необхідності захисту репродуктивної функції. Як у прямій, так і в непрямій формі, положення Конвенції спрямовані на захист репродуктивних прав особи, визначає, що жінки мають однакові права вільно і відповідально вирішувати питання про кількість дітей, щодо проміжків між їх народженням та повинні мати доступ до інформації, освіти, а також до засобів, які дають змогу здійснювати їм це право [3]. Важливою є ст. 8 Конвенція основоположних прав і свобод людини, яка передбачає, що кожен має право на повагу до свого приватного і сімейного життя, до свого житла і кореспонденції [4]. </w:t>
      </w:r>
    </w:p>
    <w:p w14:paraId="3F8FF6D2" w14:textId="05D168FF"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Щодо відношення права на аборт до репродуктивних прав жінки, в літературі дане питання є суперечним. Деякі автори зазначають, що зміст репродуктивних прав пов'язаний з прийняттям рішень щодо народження дітей, а не з питанням їх можливого припинення на ранніх етапах розвитку. Компромісний підхід вказує на те, що переривання вагітності розглядається як дія, спрямована на припинення продовження роду та знищення життя на самому початковому етапі розвитку. У цьому контексті межа репродуктивних </w:t>
      </w:r>
      <w:r w:rsidRPr="00511005">
        <w:rPr>
          <w:rFonts w:ascii="Arial" w:eastAsia="Times New Roman" w:hAnsi="Arial" w:cs="Arial"/>
          <w:szCs w:val="28"/>
          <w:lang w:eastAsia="ru-RU"/>
        </w:rPr>
        <w:lastRenderedPageBreak/>
        <w:t>прав, зокрема свободи вибору, полягає в захисті права дитини на життя під час її внутрішньоутробного розвитку [5].</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Протилежна точка зору полягає в тому, що репродуктивні права включають право жінки на вільне прийняття рішень щодо свого тіла, у тому числі й можливість переривання вагітності на ранніх етапах розвитку. Це право є частиною загальної свободи індивіда контролювати свою репродуктивну функцію без зовнішнього втручання або примусу. Згідно з таким підходом, право жінки на аборт є невід'ємною складовою її прав на автономію, здоров'я та благополуччя. </w:t>
      </w:r>
    </w:p>
    <w:p w14:paraId="10FC9AB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 даному етапі розвитку суспільства, у кожної людини сформувалася своя особиста позиція щодо можливості переривання вагітності. Існують різні організації, які працюють над привертанням уваги до проблеми прав жінок на аборт. Наприклад, одним із таких рухів є PROLIFE, який об’єднує людей по всьому світу з метою захисту життя ненароджених дітей та підтримки родин, що прагнуть створити щасливу сім’ю. Прихильники цього руху вважають, що життя людини починається з моменту зачаття, виступають за заборону абортів і покарання тих, хто бере участь у цій процедурі. З їхньої точки зору, ембріон не є власністю жінки, і вона не повинна мати право приймати рішення щодо його життя.</w:t>
      </w:r>
    </w:p>
    <w:p w14:paraId="45C798A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 іншого боку, феміністичні рухи активно підтримують права жінок, зокрема право на аборт, вважаючи це невід'ємною частиною контролю над власним тілом. Феміністки вважають, що вагітність значно змінює життя жінки, адже вона повинна адаптувати свої потреби і здоров'я під потреби майбутньої дитини. Тому право на аборт вони сприймають як важливе для збереження автономії жінки і її права на вибір щодо того, як розпоряджатися своїм тілом.</w:t>
      </w:r>
    </w:p>
    <w:p w14:paraId="1537E70F" w14:textId="4DAA1DC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 результатами дослідження, встановлено, що</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результати заборони жінкам права на аборт тягнуть за собою такі наслідки: збільшення кількості незаконних абортів, без належного медичного контролю, що в свою чергу збільшує ризик інфекцій, травм та ускладнень, що можуть призвести до серйозних наслідків для здоров'я жінки, включаючи летальні випадки; розвиток «абортного туризму», коли жінки їдуть за кордон для проведення процедури; порушення психіки та навіть самогубства жінок, адже вони ще не готові до материнства, можуть зазнати стресу, депресії, або інших психічних розладів, що підвищує ризик суїцидальних настроїв і погіршення здоров'я; протести проти заборони абортів [6].</w:t>
      </w:r>
    </w:p>
    <w:p w14:paraId="1CA7DA4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 мою думку, переривання вагітності є частиною репродуктивного права жінки. Це питання стосується не лише біологічного процесу, а й особистої свободи, гідності, здоров’я та права жінки ухвалювати рішення щодо власного тіла й життя. Жінка має право самостійно вирішувати, чи готова вона виносити і виховувати дитину, зважаючи на свої обставини, а саме, фізичний і психічний стан, соціальні умови, економічні можливості тощо. Примус до вагітності чи материнства-навіть непрямий, через заборону </w:t>
      </w:r>
      <w:r w:rsidRPr="00511005">
        <w:rPr>
          <w:rFonts w:ascii="Arial" w:eastAsia="Times New Roman" w:hAnsi="Arial" w:cs="Arial"/>
          <w:szCs w:val="28"/>
          <w:lang w:eastAsia="ru-RU"/>
        </w:rPr>
        <w:lastRenderedPageBreak/>
        <w:t>абортів є формою порушення її основоположних прав. Таке право не означає знецінення потенційного життя, а навпаки визнання того, що складне й особисте рішення про материнство має залишатися за тією, хто його безпосередньо втілює. Забезпечення доступу до безпечних абортів є не тільки медичне, а й правове зобов’язання держав, спрямоване на захист життя і здоров’я жінок.</w:t>
      </w:r>
    </w:p>
    <w:p w14:paraId="6E6CC51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Отже, з урахуванням наведеної інформації, можна зробити висновок, що право жінки на аборт є важливою складовою її особистої свободи та права на фізичне і психічне здоров’я. Заборона абортів не лише не вирішує соціальні чи демографічні проблеми, а навпаки — створює нові виклики: зростання кількості небезпечних абортів, психологічний тиск на жінок, розвиток абортного туризму та зростання протестних настроїв. Міжнародні правові стандарти вимагають від держав забезпечення безпечного, доступного та законного доступу до процедур переривання вагітності, з урахуванням балансу між правами жінки та медичною етикою. </w:t>
      </w:r>
    </w:p>
    <w:p w14:paraId="5DD28050" w14:textId="77777777" w:rsidR="00220D3E" w:rsidRPr="00511005" w:rsidRDefault="00220D3E" w:rsidP="003A292D">
      <w:pPr>
        <w:pBdr>
          <w:top w:val="none" w:sz="0" w:space="0" w:color="E3E3E3"/>
          <w:left w:val="none" w:sz="0" w:space="0" w:color="E3E3E3"/>
          <w:bottom w:val="none" w:sz="0" w:space="0" w:color="E3E3E3"/>
          <w:right w:val="none" w:sz="0" w:space="0" w:color="E3E3E3"/>
          <w:between w:val="none" w:sz="0" w:space="0" w:color="E3E3E3"/>
        </w:pBdr>
        <w:tabs>
          <w:tab w:val="left" w:pos="709"/>
        </w:tabs>
        <w:spacing w:line="264" w:lineRule="auto"/>
        <w:jc w:val="center"/>
        <w:rPr>
          <w:rFonts w:ascii="Arial" w:eastAsia="Times New Roman" w:hAnsi="Arial" w:cs="Arial"/>
          <w:b/>
          <w:szCs w:val="28"/>
          <w:lang w:val="uk-UA" w:eastAsia="ru-RU"/>
        </w:rPr>
      </w:pPr>
    </w:p>
    <w:p w14:paraId="6F915F4A" w14:textId="05E4F6E4" w:rsidR="00220D3E" w:rsidRPr="00511005" w:rsidRDefault="007B2628" w:rsidP="007B2628">
      <w:pPr>
        <w:pBdr>
          <w:top w:val="none" w:sz="0" w:space="0" w:color="E3E3E3"/>
          <w:left w:val="none" w:sz="0" w:space="0" w:color="E3E3E3"/>
          <w:bottom w:val="none" w:sz="0" w:space="0" w:color="E3E3E3"/>
          <w:right w:val="none" w:sz="0" w:space="0" w:color="E3E3E3"/>
          <w:between w:val="none" w:sz="0" w:space="0" w:color="E3E3E3"/>
        </w:pBd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b/>
          <w:szCs w:val="28"/>
          <w:lang w:val="uk-UA" w:eastAsia="ru-RU"/>
        </w:rPr>
        <w:t>Список використаних джерел</w:t>
      </w:r>
    </w:p>
    <w:p w14:paraId="37019F1B" w14:textId="77777777" w:rsidR="00220D3E" w:rsidRPr="00511005" w:rsidRDefault="00220D3E" w:rsidP="003F6A5D">
      <w:pPr>
        <w:numPr>
          <w:ilvl w:val="0"/>
          <w:numId w:val="121"/>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Проект Закону про репродуктивні права та гарантії їх здійснення від 10.02.2004 No 5105. Офіційний веб-портал ВРУ. URL: </w:t>
      </w:r>
      <w:hyperlink r:id="rId411">
        <w:r w:rsidRPr="00511005">
          <w:rPr>
            <w:rFonts w:ascii="Arial" w:eastAsia="Times New Roman" w:hAnsi="Arial" w:cs="Arial"/>
            <w:szCs w:val="28"/>
            <w:lang w:eastAsia="ru-RU"/>
          </w:rPr>
          <w:t>http://w1.c1.rada.gov.ua/pls/zweb2/webproc4_2?id=&amp;pf3516=5105&amp;skl=5</w:t>
        </w:r>
      </w:hyperlink>
      <w:r w:rsidRPr="00511005">
        <w:rPr>
          <w:rFonts w:ascii="Arial" w:eastAsia="Times New Roman" w:hAnsi="Arial" w:cs="Arial"/>
          <w:szCs w:val="28"/>
          <w:lang w:eastAsia="ru-RU"/>
        </w:rPr>
        <w:t xml:space="preserve"> (дата звернення 15.04.2025)</w:t>
      </w:r>
    </w:p>
    <w:p w14:paraId="5441A726" w14:textId="77777777" w:rsidR="00220D3E" w:rsidRPr="00511005" w:rsidRDefault="00220D3E" w:rsidP="003F6A5D">
      <w:pPr>
        <w:numPr>
          <w:ilvl w:val="0"/>
          <w:numId w:val="122"/>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Міжнародний пакт про економічні, соціальні і культурні права. Міжнародний документ від 16.12.1966. URL: </w:t>
      </w:r>
      <w:hyperlink r:id="rId412" w:anchor="o60">
        <w:r w:rsidRPr="00511005">
          <w:rPr>
            <w:rFonts w:ascii="Arial" w:eastAsia="Times New Roman" w:hAnsi="Arial" w:cs="Arial"/>
            <w:szCs w:val="28"/>
            <w:lang w:eastAsia="ru-RU"/>
          </w:rPr>
          <w:t>https://zakon.rada.gov.ua/laws/show/995_042#o60</w:t>
        </w:r>
      </w:hyperlink>
      <w:r w:rsidRPr="00511005">
        <w:rPr>
          <w:rFonts w:ascii="Arial" w:eastAsia="Times New Roman" w:hAnsi="Arial" w:cs="Arial"/>
          <w:szCs w:val="28"/>
          <w:lang w:eastAsia="ru-RU"/>
        </w:rPr>
        <w:t xml:space="preserve"> </w:t>
      </w:r>
      <w:proofErr w:type="gramStart"/>
      <w:r w:rsidRPr="00511005">
        <w:rPr>
          <w:rFonts w:ascii="Arial" w:eastAsia="Times New Roman" w:hAnsi="Arial" w:cs="Arial"/>
          <w:szCs w:val="28"/>
          <w:lang w:eastAsia="ru-RU"/>
        </w:rPr>
        <w:t>( дата</w:t>
      </w:r>
      <w:proofErr w:type="gramEnd"/>
      <w:r w:rsidRPr="00511005">
        <w:rPr>
          <w:rFonts w:ascii="Arial" w:eastAsia="Times New Roman" w:hAnsi="Arial" w:cs="Arial"/>
          <w:szCs w:val="28"/>
          <w:lang w:eastAsia="ru-RU"/>
        </w:rPr>
        <w:t xml:space="preserve"> звернення 15.04.2025)</w:t>
      </w:r>
    </w:p>
    <w:p w14:paraId="75B63C8F" w14:textId="77777777" w:rsidR="00220D3E" w:rsidRPr="00511005" w:rsidRDefault="00220D3E" w:rsidP="003F6A5D">
      <w:pPr>
        <w:numPr>
          <w:ilvl w:val="0"/>
          <w:numId w:val="122"/>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Конвенція ООН про ліквідацію усіх форм дискримінації щодо жінок. Міжнародний документ від 18.12.1979. URL: </w:t>
      </w:r>
      <w:hyperlink r:id="rId413" w:anchor="Text">
        <w:r w:rsidRPr="00511005">
          <w:rPr>
            <w:rFonts w:ascii="Arial" w:eastAsia="Times New Roman" w:hAnsi="Arial" w:cs="Arial"/>
            <w:szCs w:val="28"/>
            <w:lang w:eastAsia="ru-RU"/>
          </w:rPr>
          <w:t>https://zakon.rada.gov.ua/laws/show/995_207#Text</w:t>
        </w:r>
      </w:hyperlink>
      <w:r w:rsidRPr="00511005">
        <w:rPr>
          <w:rFonts w:ascii="Arial" w:eastAsia="Times New Roman" w:hAnsi="Arial" w:cs="Arial"/>
          <w:szCs w:val="28"/>
          <w:lang w:eastAsia="ru-RU"/>
        </w:rPr>
        <w:t xml:space="preserve"> </w:t>
      </w:r>
      <w:proofErr w:type="gramStart"/>
      <w:r w:rsidRPr="00511005">
        <w:rPr>
          <w:rFonts w:ascii="Arial" w:eastAsia="Times New Roman" w:hAnsi="Arial" w:cs="Arial"/>
          <w:szCs w:val="28"/>
          <w:lang w:eastAsia="ru-RU"/>
        </w:rPr>
        <w:t>( дата</w:t>
      </w:r>
      <w:proofErr w:type="gramEnd"/>
      <w:r w:rsidRPr="00511005">
        <w:rPr>
          <w:rFonts w:ascii="Arial" w:eastAsia="Times New Roman" w:hAnsi="Arial" w:cs="Arial"/>
          <w:szCs w:val="28"/>
          <w:lang w:eastAsia="ru-RU"/>
        </w:rPr>
        <w:t xml:space="preserve"> звернення 15.04.2025)</w:t>
      </w:r>
    </w:p>
    <w:p w14:paraId="6B3E3F65" w14:textId="77777777" w:rsidR="00220D3E" w:rsidRPr="00511005" w:rsidRDefault="00220D3E" w:rsidP="003F6A5D">
      <w:pPr>
        <w:numPr>
          <w:ilvl w:val="0"/>
          <w:numId w:val="122"/>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Конвенція про захист прав людини і основоположних свобод. Міжнародний документ, Протокол від 04.11.1950 URL: </w:t>
      </w:r>
      <w:hyperlink r:id="rId414" w:anchor="n340">
        <w:r w:rsidRPr="00511005">
          <w:rPr>
            <w:rFonts w:ascii="Arial" w:eastAsia="Times New Roman" w:hAnsi="Arial" w:cs="Arial"/>
            <w:szCs w:val="28"/>
            <w:lang w:eastAsia="ru-RU"/>
          </w:rPr>
          <w:t>https://zakon.rada.gov.ua/laws/show/995_004#n340</w:t>
        </w:r>
      </w:hyperlink>
      <w:r w:rsidRPr="00511005">
        <w:rPr>
          <w:rFonts w:ascii="Arial" w:eastAsia="Times New Roman" w:hAnsi="Arial" w:cs="Arial"/>
          <w:szCs w:val="28"/>
          <w:lang w:eastAsia="ru-RU"/>
        </w:rPr>
        <w:t xml:space="preserve"> (дата звернення 15.04.2025)</w:t>
      </w:r>
    </w:p>
    <w:p w14:paraId="4E12F2DD" w14:textId="77777777" w:rsidR="00220D3E" w:rsidRPr="00511005" w:rsidRDefault="00220D3E" w:rsidP="003F6A5D">
      <w:pPr>
        <w:numPr>
          <w:ilvl w:val="0"/>
          <w:numId w:val="122"/>
        </w:numPr>
        <w:tabs>
          <w:tab w:val="left" w:pos="709"/>
        </w:tabs>
        <w:spacing w:line="264" w:lineRule="auto"/>
        <w:ind w:left="0" w:firstLine="709"/>
        <w:jc w:val="left"/>
        <w:rPr>
          <w:rFonts w:ascii="Arial" w:eastAsia="Times New Roman" w:hAnsi="Arial" w:cs="Arial"/>
          <w:szCs w:val="28"/>
          <w:lang w:val="pl-PL" w:eastAsia="ru-RU"/>
        </w:rPr>
      </w:pPr>
      <w:r w:rsidRPr="00511005">
        <w:rPr>
          <w:rFonts w:ascii="Arial" w:eastAsia="Times New Roman" w:hAnsi="Arial" w:cs="Arial"/>
          <w:szCs w:val="28"/>
          <w:lang w:val="pl-PL" w:eastAsia="ru-RU"/>
        </w:rPr>
        <w:t xml:space="preserve">BACH-GOLECKA DOBROCHNA. Wydzial Prawa i Administracji Uniwersytetu Warszawskiego. Rozwazania o kontrowersjach i konsekwencjach koncepcji praw reprodukcyjnych. </w:t>
      </w:r>
      <w:r w:rsidRPr="00511005">
        <w:rPr>
          <w:rFonts w:ascii="Arial" w:eastAsia="Times New Roman" w:hAnsi="Arial" w:cs="Arial"/>
          <w:i/>
          <w:szCs w:val="28"/>
          <w:lang w:val="pl-PL" w:eastAsia="ru-RU"/>
        </w:rPr>
        <w:t>Polski Pocznik Praw Czlowieka s Prawa Humanitarnego.</w:t>
      </w:r>
    </w:p>
    <w:p w14:paraId="47FBD4C9" w14:textId="77777777" w:rsidR="00220D3E" w:rsidRPr="00511005" w:rsidRDefault="00220D3E" w:rsidP="003F6A5D">
      <w:pPr>
        <w:numPr>
          <w:ilvl w:val="0"/>
          <w:numId w:val="122"/>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Право на аборт як репродуктивне право жінки: юридичний науковий електронний журнал, 2022. 45-48 с.</w:t>
      </w:r>
    </w:p>
    <w:p w14:paraId="231F0E52" w14:textId="07DE8CBF"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репродуктивні права, аборт, правове регулювання, жінки.</w:t>
      </w:r>
    </w:p>
    <w:p w14:paraId="79751775" w14:textId="1F917948"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reproductive rights, abortion, legal regulation, women.</w:t>
      </w:r>
    </w:p>
    <w:p w14:paraId="1C11E223" w14:textId="449652F2"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lastRenderedPageBreak/>
        <w:t xml:space="preserve">Науковий керівник: </w:t>
      </w:r>
      <w:r w:rsidR="00220D3E" w:rsidRPr="00511005">
        <w:rPr>
          <w:rFonts w:ascii="Arial" w:eastAsia="Times New Roman" w:hAnsi="Arial" w:cs="Arial"/>
          <w:i/>
          <w:szCs w:val="28"/>
          <w:lang w:eastAsia="ru-RU"/>
        </w:rPr>
        <w:t>к.ю.н., доцент</w:t>
      </w:r>
      <w:r w:rsidRPr="00511005">
        <w:rPr>
          <w:rFonts w:ascii="Arial" w:eastAsia="Times New Roman" w:hAnsi="Arial" w:cs="Arial"/>
          <w:i/>
          <w:szCs w:val="28"/>
          <w:lang w:eastAsia="ru-RU"/>
        </w:rPr>
        <w:t xml:space="preserve"> </w:t>
      </w:r>
      <w:r w:rsidR="00220D3E" w:rsidRPr="00511005">
        <w:rPr>
          <w:rFonts w:ascii="Arial" w:eastAsia="Times New Roman" w:hAnsi="Arial" w:cs="Arial"/>
          <w:i/>
          <w:szCs w:val="28"/>
          <w:lang w:eastAsia="ru-RU"/>
        </w:rPr>
        <w:t>Гриб А.М.</w:t>
      </w:r>
    </w:p>
    <w:p w14:paraId="751D0B4A" w14:textId="77777777" w:rsidR="00220D3E" w:rsidRPr="00511005" w:rsidRDefault="00220D3E" w:rsidP="003A292D">
      <w:pPr>
        <w:tabs>
          <w:tab w:val="left" w:pos="709"/>
        </w:tabs>
        <w:spacing w:line="264" w:lineRule="auto"/>
        <w:jc w:val="center"/>
        <w:rPr>
          <w:rFonts w:ascii="Arial" w:eastAsia="Times New Roman" w:hAnsi="Arial" w:cs="Arial"/>
          <w:i/>
          <w:szCs w:val="28"/>
          <w:lang w:val="uk-UA" w:eastAsia="ru-RU"/>
        </w:rPr>
      </w:pPr>
    </w:p>
    <w:p w14:paraId="76470706" w14:textId="77777777" w:rsidR="00220D3E" w:rsidRPr="00511005" w:rsidRDefault="00220D3E" w:rsidP="003A292D">
      <w:pPr>
        <w:tabs>
          <w:tab w:val="left" w:pos="709"/>
        </w:tabs>
        <w:spacing w:line="264" w:lineRule="auto"/>
        <w:jc w:val="center"/>
        <w:rPr>
          <w:rFonts w:ascii="Arial" w:eastAsia="Times New Roman" w:hAnsi="Arial" w:cs="Arial"/>
          <w:i/>
          <w:szCs w:val="28"/>
          <w:lang w:val="uk-UA" w:eastAsia="ru-RU"/>
        </w:rPr>
      </w:pPr>
    </w:p>
    <w:p w14:paraId="1DE555D0"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Колеснікова Анастасія Юріївна</w:t>
      </w:r>
    </w:p>
    <w:p w14:paraId="0219BDF2" w14:textId="5E489C3B"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309894ED" w14:textId="1B8BBE2E"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89621C9"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629B1D1F"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РОЛЬ МІЖНАРОДНОГО СУДУ ООН У РОЗВИТКУ МІЖНАРОДНОГО ПРАВА</w:t>
      </w:r>
    </w:p>
    <w:p w14:paraId="72071A35" w14:textId="77777777" w:rsidR="00F45230" w:rsidRPr="00511005" w:rsidRDefault="00F45230" w:rsidP="003A292D">
      <w:pPr>
        <w:tabs>
          <w:tab w:val="left" w:pos="709"/>
        </w:tabs>
        <w:spacing w:line="264" w:lineRule="auto"/>
        <w:rPr>
          <w:rFonts w:ascii="Arial" w:eastAsia="Times New Roman" w:hAnsi="Arial" w:cs="Arial"/>
          <w:iCs/>
          <w:szCs w:val="28"/>
          <w:lang w:eastAsia="ru-RU"/>
        </w:rPr>
      </w:pPr>
      <w:r w:rsidRPr="00511005">
        <w:rPr>
          <w:rFonts w:ascii="Arial" w:eastAsia="Times New Roman" w:hAnsi="Arial" w:cs="Arial"/>
          <w:bCs/>
          <w:iCs/>
          <w:szCs w:val="28"/>
          <w:lang w:eastAsia="ru-RU"/>
        </w:rPr>
        <w:t xml:space="preserve">Міжнародний Суд ООН займає ключову позицію в системі міжнародного правосуддя, виконуючи важливу роль у вирішенні правових суперечок між державами та наданні консультацій щодо питань міжнародного права. Згідно статті 92 </w:t>
      </w:r>
      <w:r w:rsidRPr="00511005">
        <w:rPr>
          <w:rFonts w:ascii="Arial" w:eastAsia="Times New Roman" w:hAnsi="Arial" w:cs="Arial"/>
          <w:iCs/>
          <w:spacing w:val="-12"/>
          <w:szCs w:val="28"/>
          <w:lang w:eastAsia="ru-RU"/>
        </w:rPr>
        <w:t xml:space="preserve">Статуту ООН </w:t>
      </w:r>
      <w:r w:rsidRPr="00511005">
        <w:rPr>
          <w:rFonts w:ascii="Arial" w:eastAsia="Times New Roman" w:hAnsi="Arial" w:cs="Arial"/>
          <w:iCs/>
          <w:szCs w:val="28"/>
          <w:lang w:eastAsia="ru-RU"/>
        </w:rPr>
        <w:t>«</w:t>
      </w:r>
      <w:r w:rsidRPr="00511005">
        <w:rPr>
          <w:rFonts w:ascii="Arial" w:eastAsia="Times New Roman" w:hAnsi="Arial" w:cs="Arial"/>
          <w:iCs/>
          <w:spacing w:val="-5"/>
          <w:szCs w:val="28"/>
          <w:shd w:val="clear" w:color="auto" w:fill="FFFFFF"/>
          <w:lang w:eastAsia="ru-RU"/>
        </w:rPr>
        <w:t xml:space="preserve">Міжнародний суд ООН є головним судовим органом Організації Об'єднаних Націй. Вона функціонує відповідно до доданого Статуту, який базується на Статуті Постійної палати міжнародного правосуддя і є невід'ємною частиною цього </w:t>
      </w:r>
      <w:proofErr w:type="gramStart"/>
      <w:r w:rsidRPr="00511005">
        <w:rPr>
          <w:rFonts w:ascii="Arial" w:eastAsia="Times New Roman" w:hAnsi="Arial" w:cs="Arial"/>
          <w:iCs/>
          <w:spacing w:val="-5"/>
          <w:szCs w:val="28"/>
          <w:shd w:val="clear" w:color="auto" w:fill="FFFFFF"/>
          <w:lang w:eastAsia="ru-RU"/>
        </w:rPr>
        <w:t>Статуту</w:t>
      </w:r>
      <w:r w:rsidRPr="00511005">
        <w:rPr>
          <w:rFonts w:ascii="Arial" w:eastAsia="Times New Roman" w:hAnsi="Arial" w:cs="Arial"/>
          <w:iCs/>
          <w:szCs w:val="28"/>
          <w:lang w:eastAsia="ru-RU"/>
        </w:rPr>
        <w:t>»[</w:t>
      </w:r>
      <w:proofErr w:type="gramEnd"/>
      <w:r w:rsidRPr="00511005">
        <w:rPr>
          <w:rFonts w:ascii="Arial" w:eastAsia="Times New Roman" w:hAnsi="Arial" w:cs="Arial"/>
          <w:iCs/>
          <w:szCs w:val="28"/>
          <w:lang w:eastAsia="ru-RU"/>
        </w:rPr>
        <w:t>1].</w:t>
      </w:r>
    </w:p>
    <w:p w14:paraId="54AEE54D"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Мiжнародний Суд ООН (МС ООН) створений для вирішення юридичних спорів між державами та надання консультативних висновків з питань міжнародного права. Суд має важливе значення як для забезпечення миру і стабільності на міжнародній арені, так і для розвитку самого міжнародного права. Його діяльність сприяє не лише вирішенню конкретних суперечок між державами, але й вдосконаленню правової системи в цілому, розширюючи межі застосування міжнародних норм до нових ситуацій та викликів. Міжнародний Суд є основним органом, який визначає принципи застосування міжнародних норм і формує правову базу, що забезпечує глобальний правопорядок, що регулює відносини між державами та іншими суб'єктами міжнародного права. Завдяки своїй юрисдикції та можливості створювати правові прецеденти, Суд займає ключову роль у визначенні того, як повинні застосовуватися міжнародні договори та угоди, а також як адаптувати міжнародне право до сучасних умов.</w:t>
      </w:r>
    </w:p>
    <w:p w14:paraId="08116D44"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Говорячи про історію створення та повноваження Міжнародного Суду ООН, то важливо зазначити, що Міжнародний Суд ООН був заснований у 1945 році відповідно до Статуту ООН, ухваленого на конференції в Сан-Франциско, і почав свою діяльність у 1946 р. Суд розташований у Гаазі, Нідерланди, і є не лише судовим органом, але й важливим інструментом для вирішення міжнародних спорів мирним шляхом. Відповідно до Статуту, Міжнародний Суд має два основні повноваження: він вирішує спори між державами щодо порушення міжнародних норм і угод, а також надає консультативні висновки з правових питань на запит органів ООН або інших міжнародних установ.</w:t>
      </w:r>
    </w:p>
    <w:p w14:paraId="547E4088" w14:textId="549F8DD8"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Одним із основних завдань Суду є встановлення правових норм, які визначають права та обов'язки держав у їхніх взаєминах. Це дозволяє уникати потенційних конфліктів і створює сприятливі умови для ефективної взаємодії між державами, які поважають міжнародне право.</w:t>
      </w:r>
    </w:p>
    <w:p w14:paraId="0A7E7E8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Найактуальніше питання залишається саме про «Роль Міжнародного Суду ООН у розвитку міжнародного права». Міжнародний суд ООН відіграє важливу роль у розвитку міжнародного права через кілька ключових аспектів.</w:t>
      </w:r>
    </w:p>
    <w:p w14:paraId="31C96BD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Cs/>
          <w:szCs w:val="28"/>
          <w:lang w:eastAsia="ru-RU"/>
        </w:rPr>
        <w:t>По-перше</w:t>
      </w:r>
      <w:r w:rsidRPr="00511005">
        <w:rPr>
          <w:rFonts w:ascii="Arial" w:eastAsia="Times New Roman" w:hAnsi="Arial" w:cs="Arial"/>
          <w:szCs w:val="28"/>
          <w:lang w:eastAsia="ru-RU"/>
        </w:rPr>
        <w:t>, Суд займається інтерпретацією міжнародних договорів і конвенцій, даючи чітке визначення прав і обов'язків держав у різних ситуаціях. Це є важливим для забезпечення стабільності міжнародних відносин, адже інтерпретація міжнародного права безпосередньо впливає на те, як держави виконують свої зобов'язання на міжнародній арені</w:t>
      </w:r>
      <w:r w:rsidRPr="00511005">
        <w:rPr>
          <w:rFonts w:ascii="Arial" w:eastAsia="Times New Roman" w:hAnsi="Arial" w:cs="Arial"/>
          <w:szCs w:val="28"/>
          <w:shd w:val="clear" w:color="auto" w:fill="FFFFFF"/>
          <w:lang w:eastAsia="ru-RU"/>
        </w:rPr>
        <w:t xml:space="preserve"> Роль Суду полягає у вирішенні згідно з міжнародним правом правових спорів між державами, що пов’язані з порушенням міжнародних договорів і зобов’язань або виникають при їх тлумаченні. МС ООН не має юрисдикції судити осіб, звинувачених у воєнних злочинах або злочинах проти людяності. Він не є кримінальним судом і тому не має прокурора, здатного порушити справу. Суд не є вищим судом, до якого можуть звертатися національні суди, чи судом останньої інстанції для окремих осіб. Він також не є апеляційним судом для будь-якого міжнародного трибуналу.</w:t>
      </w:r>
      <w:r w:rsidRPr="00511005">
        <w:rPr>
          <w:rFonts w:ascii="Arial" w:eastAsia="Times New Roman" w:hAnsi="Arial" w:cs="Arial"/>
          <w:szCs w:val="28"/>
          <w:lang w:eastAsia="ru-RU"/>
        </w:rPr>
        <w:t xml:space="preserve"> Завдяки діяльності Суду ці суперечності можуть бути вирішені через чітке тлумачення.</w:t>
      </w:r>
    </w:p>
    <w:p w14:paraId="173C0788" w14:textId="77777777" w:rsidR="00220D3E" w:rsidRPr="00511005" w:rsidRDefault="00220D3E" w:rsidP="003A292D">
      <w:pPr>
        <w:tabs>
          <w:tab w:val="left" w:pos="709"/>
        </w:tabs>
        <w:spacing w:line="264" w:lineRule="auto"/>
        <w:rPr>
          <w:rFonts w:ascii="Arial" w:eastAsia="Times New Roman" w:hAnsi="Arial" w:cs="Arial"/>
          <w:szCs w:val="28"/>
          <w:lang w:eastAsia="ru-RU"/>
        </w:rPr>
      </w:pPr>
      <w:proofErr w:type="gramStart"/>
      <w:r w:rsidRPr="00511005">
        <w:rPr>
          <w:rFonts w:ascii="Arial" w:eastAsia="Times New Roman" w:hAnsi="Arial" w:cs="Arial"/>
          <w:bCs/>
          <w:szCs w:val="28"/>
          <w:lang w:eastAsia="ru-RU"/>
        </w:rPr>
        <w:t>По-друге</w:t>
      </w:r>
      <w:proofErr w:type="gramEnd"/>
      <w:r w:rsidRPr="00511005">
        <w:rPr>
          <w:rFonts w:ascii="Arial" w:eastAsia="Times New Roman" w:hAnsi="Arial" w:cs="Arial"/>
          <w:szCs w:val="28"/>
          <w:lang w:eastAsia="ru-RU"/>
        </w:rPr>
        <w:t>, рішення Міжнародного Суду часто стають прецедентами для інших країн, що дозволяє створювати єдину правову практику в міжнародних відносинах. Прецеденти, що виникають на основі рішень Суду, використовуються іншими державами для вирішення схожих правових ситуацій у майбутньому. Це сприяє стабільності та передбачуваності у міжнародних правових відносинах, що є важливим для забезпечення довіри між державами.</w:t>
      </w:r>
    </w:p>
    <w:p w14:paraId="74F9A4C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Cs/>
          <w:szCs w:val="28"/>
          <w:lang w:eastAsia="ru-RU"/>
        </w:rPr>
        <w:t>По-третє</w:t>
      </w:r>
      <w:r w:rsidRPr="00511005">
        <w:rPr>
          <w:rFonts w:ascii="Arial" w:eastAsia="Times New Roman" w:hAnsi="Arial" w:cs="Arial"/>
          <w:szCs w:val="28"/>
          <w:lang w:eastAsia="ru-RU"/>
        </w:rPr>
        <w:t>, Міжнародний Суд ООН є важливим інструментом для розвитку міжнародного гуманітарного права та прав людини. Його рішення допомагають розвивати міжнародні стандарти, що забезпечують права осіб у різних ситуаціях, зокрема під час збройних конфліктів або в умовах окупації. Це особливо актуально для захисту прав осіб, які перебувають у вразливих ситуаціях, як, наприклад, біженці або жертви війни.</w:t>
      </w:r>
    </w:p>
    <w:p w14:paraId="28324A5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Також, Міжнародний Суд ООН відіграє значну роль у розвитку міжнародного морського права. Одним з найбільш важливих аспектів цієї діяльності є визначення морських кордонів, а також прав держав на використання морських ресурсів. Суд розглядає питання екологічної безпеки, зокрема щодо забруднення океанів, охорони морських екосистем та ресурсів, що є важливими для сталого розвитку на планеті.</w:t>
      </w:r>
    </w:p>
    <w:p w14:paraId="5E4480CE"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Наводячи конкретні приклади впливу Міжнародного Суду на міжнародне право, слід зазначити що практика Міжнародного Суду ООН містить низку рішень, що суттєво вплинули на розвиток міжнародного права та міжнародних відносин. Одним із найбільш важливих прикладів є справа між Австралією та Францією щодо ядерних випробувань </w:t>
      </w:r>
      <w:proofErr w:type="gramStart"/>
      <w:r w:rsidRPr="00511005">
        <w:rPr>
          <w:rFonts w:ascii="Arial" w:eastAsia="Times New Roman" w:hAnsi="Arial" w:cs="Arial"/>
          <w:szCs w:val="28"/>
          <w:lang w:eastAsia="ru-RU"/>
        </w:rPr>
        <w:t>у Тихому</w:t>
      </w:r>
      <w:proofErr w:type="gramEnd"/>
      <w:r w:rsidRPr="00511005">
        <w:rPr>
          <w:rFonts w:ascii="Arial" w:eastAsia="Times New Roman" w:hAnsi="Arial" w:cs="Arial"/>
          <w:szCs w:val="28"/>
          <w:lang w:eastAsia="ru-RU"/>
        </w:rPr>
        <w:t xml:space="preserve"> океані. Суд визначив, що проведення ядерних випробувань може порушувати права інших держав на екологічну безпеку, а також на здоров'я та життя своїх громадян. Це рішення стало важливим для розвитку міжнародного екологічного права, адже воно підтвердило, що забруднення навколишнього середовища, навіть якщо воно відбувається за межами національних кордонів, може мати міжнародне правове значення. Іншим важливим прикладом є справа про морську межу між Канадою та США. </w:t>
      </w:r>
      <w:r w:rsidRPr="00511005">
        <w:rPr>
          <w:rFonts w:ascii="Arial" w:eastAsia="Times New Roman" w:hAnsi="Arial" w:cs="Arial"/>
          <w:szCs w:val="28"/>
          <w:shd w:val="clear" w:color="auto" w:fill="FFFFFF"/>
          <w:lang w:eastAsia="ru-RU"/>
        </w:rPr>
        <w:t>Цікаво, що кордон між ними називають найдовшим незахищеним кордоном у світі у військовому сенсі, оскільки тут справді дуже низький рівень заходів безпеки. Присутні лише цивільні правоохоронні органи.</w:t>
      </w:r>
      <w:r w:rsidRPr="00511005">
        <w:rPr>
          <w:rFonts w:ascii="Arial" w:eastAsia="Times New Roman" w:hAnsi="Arial" w:cs="Arial"/>
          <w:szCs w:val="28"/>
          <w:lang w:eastAsia="ru-RU"/>
        </w:rPr>
        <w:t xml:space="preserve"> Це рішення стало основою для розробки міжнародних правових норм, що регулюють права держав на використання морських ресурсів. Воно визначило принципи, на яких ґрунтуються взаємні права країн на використання та охорону природних ресурсів, що знаходяться в морях і океанах.</w:t>
      </w:r>
    </w:p>
    <w:p w14:paraId="599F2810" w14:textId="1F997C5B"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Значущим також є консультативний висновок Суду щодо будівництва стіни Ізраїлем на Західному березі річки Йордан. Це рішення стало важливим для розвитку міжнародного гуманітарного права, оскільки воно підтвердило, що такі дії порушують права осіб, які перебувають під окупацією, та є порушенням міжнародних норм щодо прав людини. Воно також встановило важливі принципи щодо прав осіб на вільне пересування та доступ до базових прав і свобод під час збройних конфліктів. </w:t>
      </w:r>
    </w:p>
    <w:p w14:paraId="49D0DD1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Підсумовуючи вищесказане можна дійти до такого висновку, що Міжнародний Суд має великий потенціал для подальшого розвитку. Однак перед ним стоять кілька важливих викликів, які потребують нових підходів та адаптації до сучасних глобальних умов. Серед основних проблем можна виділити політичні обмеження, пов'язані з тим, що не всі держави виконують рішення Суду, якщо вони не відповідають їхнім національним інтересам. Це створює ситуацію, коли рішення Суду можуть залишатись невиконаними або оскарженими на політичному рівні. Крім того, сучасні глобальні проблеми, такі як зміни клімату, кібербезпека, тероризм, війни в кіберпросторі, потребують нових юридичних підходів. Міжнародний Суд повинен стати більш гнучким і здатним адаптувати міжнародне право до нових викликів. В цьому контексті роль Суду у визначенні правових норм для вирішення сучасних проблем стає ще більш важливою. Висновки Міжнародний Суд ООН відіграє критичну роль у розвитку міжнародного права. Його діяльність сприяє мирному вирішенню спорів між державами, допомагаючи підтримувати стабільність і правопорядок на міжнародній </w:t>
      </w:r>
      <w:r w:rsidRPr="00511005">
        <w:rPr>
          <w:rFonts w:ascii="Arial" w:eastAsia="Times New Roman" w:hAnsi="Arial" w:cs="Arial"/>
          <w:szCs w:val="28"/>
          <w:lang w:eastAsia="ru-RU"/>
        </w:rPr>
        <w:lastRenderedPageBreak/>
        <w:t>арені. Суд також визначає ключові принципи та норми, що регулюють глобальні відносини, включаючи права людини, міжнародне морське право та екологічну безпеку. Однак для більш ефективного виконання своїх функцій Міжнародний Суд повинен подолати існуючі політичні бар'єри та адаптуватися до нових викликів глобалізації.</w:t>
      </w:r>
    </w:p>
    <w:p w14:paraId="6CBE3E5A" w14:textId="77777777" w:rsidR="00220D3E" w:rsidRPr="00511005" w:rsidRDefault="00220D3E" w:rsidP="003A292D">
      <w:pPr>
        <w:tabs>
          <w:tab w:val="left" w:pos="709"/>
        </w:tabs>
        <w:spacing w:line="264" w:lineRule="auto"/>
        <w:rPr>
          <w:rFonts w:ascii="Arial" w:eastAsia="Times New Roman" w:hAnsi="Arial" w:cs="Arial"/>
          <w:b/>
          <w:szCs w:val="28"/>
          <w:lang w:eastAsia="ru-RU"/>
        </w:rPr>
      </w:pPr>
    </w:p>
    <w:p w14:paraId="0E9B2B46" w14:textId="23093E6F" w:rsidR="007B2628"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7D41C09E" w14:textId="77777777" w:rsidR="007B2628" w:rsidRPr="00511005" w:rsidRDefault="00220D3E" w:rsidP="003F6A5D">
      <w:pPr>
        <w:numPr>
          <w:ilvl w:val="0"/>
          <w:numId w:val="123"/>
        </w:numPr>
        <w:tabs>
          <w:tab w:val="left" w:pos="709"/>
        </w:tabs>
        <w:spacing w:line="264" w:lineRule="auto"/>
        <w:ind w:left="0" w:firstLine="709"/>
        <w:contextualSpacing/>
        <w:jc w:val="left"/>
        <w:rPr>
          <w:rFonts w:ascii="Arial" w:eastAsia="Times New Roman" w:hAnsi="Arial" w:cs="Arial"/>
          <w:szCs w:val="28"/>
          <w:lang w:val="en-US"/>
        </w:rPr>
      </w:pPr>
      <w:r w:rsidRPr="00511005">
        <w:rPr>
          <w:rFonts w:ascii="Arial" w:eastAsia="Calibri" w:hAnsi="Arial" w:cs="Arial"/>
          <w:szCs w:val="28"/>
          <w:lang w:val="en-US"/>
        </w:rPr>
        <w:t xml:space="preserve">United Nations. (n.d.). </w:t>
      </w:r>
      <w:r w:rsidRPr="00511005">
        <w:rPr>
          <w:rFonts w:ascii="Arial" w:eastAsia="Calibri" w:hAnsi="Arial" w:cs="Arial"/>
          <w:i/>
          <w:iCs/>
          <w:szCs w:val="28"/>
          <w:lang w:val="en-US"/>
        </w:rPr>
        <w:t>Charter of the United Nations – Chapter XIV: The International Court of Justice</w:t>
      </w:r>
      <w:r w:rsidRPr="00511005">
        <w:rPr>
          <w:rFonts w:ascii="Arial" w:eastAsia="Calibri" w:hAnsi="Arial" w:cs="Arial"/>
          <w:szCs w:val="28"/>
          <w:lang w:val="en-US"/>
        </w:rPr>
        <w:t xml:space="preserve">. United Nations. Retrieved April 16, 2025, from </w:t>
      </w:r>
      <w:hyperlink r:id="rId415" w:tgtFrame="_new" w:history="1">
        <w:r w:rsidRPr="00511005">
          <w:rPr>
            <w:rFonts w:ascii="Arial" w:eastAsia="Calibri" w:hAnsi="Arial" w:cs="Arial"/>
            <w:szCs w:val="28"/>
            <w:lang w:val="en-US"/>
          </w:rPr>
          <w:t>https://www.un.org/en/about-us/un-charter/chapter-14</w:t>
        </w:r>
      </w:hyperlink>
    </w:p>
    <w:p w14:paraId="0A7F15F9" w14:textId="77777777" w:rsidR="007B2628" w:rsidRPr="00511005" w:rsidRDefault="00220D3E" w:rsidP="003F6A5D">
      <w:pPr>
        <w:numPr>
          <w:ilvl w:val="0"/>
          <w:numId w:val="123"/>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Calibri" w:hAnsi="Arial" w:cs="Arial"/>
          <w:szCs w:val="28"/>
        </w:rPr>
        <w:t>Роль Міжнародного Суду ООН в сучасних умовах розвитку міжнародного правопорядку / В. Маньгора та ін. </w:t>
      </w:r>
      <w:r w:rsidRPr="00511005">
        <w:rPr>
          <w:rFonts w:ascii="Arial" w:eastAsia="Calibri" w:hAnsi="Arial" w:cs="Arial"/>
          <w:iCs/>
          <w:szCs w:val="28"/>
        </w:rPr>
        <w:t>Актуальні питання у сучасній науці</w:t>
      </w:r>
      <w:r w:rsidRPr="00511005">
        <w:rPr>
          <w:rFonts w:ascii="Arial" w:eastAsia="Calibri" w:hAnsi="Arial" w:cs="Arial"/>
          <w:szCs w:val="28"/>
        </w:rPr>
        <w:t>. 2025. № 1(31). URL: </w:t>
      </w:r>
      <w:hyperlink r:id="rId416" w:tgtFrame="_blank" w:history="1">
        <w:r w:rsidRPr="00511005">
          <w:rPr>
            <w:rFonts w:ascii="Arial" w:eastAsia="Calibri" w:hAnsi="Arial" w:cs="Arial"/>
            <w:szCs w:val="28"/>
          </w:rPr>
          <w:t>https://doi.org/10.52058/2786-6300-2025-1(31)-542-556</w:t>
        </w:r>
      </w:hyperlink>
      <w:r w:rsidRPr="00511005">
        <w:rPr>
          <w:rFonts w:ascii="Arial" w:eastAsia="Calibri" w:hAnsi="Arial" w:cs="Arial"/>
          <w:szCs w:val="28"/>
        </w:rPr>
        <w:t> (дата звернення: 15.04.2025).</w:t>
      </w:r>
    </w:p>
    <w:p w14:paraId="26FEB501" w14:textId="77777777" w:rsidR="007B2628" w:rsidRPr="00511005" w:rsidRDefault="00220D3E" w:rsidP="003F6A5D">
      <w:pPr>
        <w:numPr>
          <w:ilvl w:val="0"/>
          <w:numId w:val="123"/>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Шумілін, А. О. </w:t>
      </w:r>
      <w:r w:rsidRPr="00511005">
        <w:rPr>
          <w:rFonts w:ascii="Arial" w:eastAsia="Calibri" w:hAnsi="Arial" w:cs="Arial"/>
          <w:i/>
          <w:iCs/>
          <w:szCs w:val="28"/>
        </w:rPr>
        <w:t>Міжнародне публічне право</w:t>
      </w:r>
      <w:r w:rsidRPr="00511005">
        <w:rPr>
          <w:rFonts w:ascii="Arial" w:eastAsia="Calibri" w:hAnsi="Arial" w:cs="Arial"/>
          <w:szCs w:val="28"/>
        </w:rPr>
        <w:t>. – Київ: Центр учбової літератури, 2020. – 496 с.</w:t>
      </w:r>
    </w:p>
    <w:p w14:paraId="55B1F3AC" w14:textId="487AB857" w:rsidR="00220D3E" w:rsidRPr="00511005" w:rsidRDefault="00220D3E" w:rsidP="003F6A5D">
      <w:pPr>
        <w:numPr>
          <w:ilvl w:val="0"/>
          <w:numId w:val="123"/>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Calibri" w:hAnsi="Arial" w:cs="Arial"/>
          <w:szCs w:val="28"/>
        </w:rPr>
        <w:t xml:space="preserve">Кравчук, М. І. Діяльність Міжнародного Суду ООН: сучасні тенденції та виклики // </w:t>
      </w:r>
      <w:r w:rsidRPr="00511005">
        <w:rPr>
          <w:rFonts w:ascii="Arial" w:eastAsia="Calibri" w:hAnsi="Arial" w:cs="Arial"/>
          <w:i/>
          <w:iCs/>
          <w:szCs w:val="28"/>
        </w:rPr>
        <w:t>Юридичний журнал «Право України»</w:t>
      </w:r>
      <w:r w:rsidRPr="00511005">
        <w:rPr>
          <w:rFonts w:ascii="Arial" w:eastAsia="Calibri" w:hAnsi="Arial" w:cs="Arial"/>
          <w:szCs w:val="28"/>
        </w:rPr>
        <w:t>. – 2021. – № 4. – С. 34–40.</w:t>
      </w:r>
    </w:p>
    <w:p w14:paraId="26DDF26A" w14:textId="77777777" w:rsidR="00220D3E" w:rsidRPr="00511005" w:rsidRDefault="00220D3E" w:rsidP="003F6A5D">
      <w:pPr>
        <w:numPr>
          <w:ilvl w:val="0"/>
          <w:numId w:val="123"/>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Calibri" w:hAnsi="Arial" w:cs="Arial"/>
          <w:szCs w:val="28"/>
        </w:rPr>
        <w:t xml:space="preserve">ECPL. Міжнародний суд ООН як механізм розслідування порушень прав людини [Електронний ресурс] // ECPL – Центр політико-правових реформ. – 2024. – Режим доступу: </w:t>
      </w:r>
      <w:hyperlink r:id="rId417" w:tgtFrame="_new" w:history="1">
        <w:r w:rsidRPr="00511005">
          <w:rPr>
            <w:rFonts w:ascii="Arial" w:eastAsia="Calibri" w:hAnsi="Arial" w:cs="Arial"/>
            <w:szCs w:val="28"/>
          </w:rPr>
          <w:t>https://ecpl.com.ua/news/mizhnarodnyy-sud-oon-iak-mekhanizm-rozsliduvannia-porushen-prav-liudyny/</w:t>
        </w:r>
      </w:hyperlink>
    </w:p>
    <w:p w14:paraId="2BA999AF" w14:textId="77777777" w:rsidR="00220D3E" w:rsidRPr="00511005" w:rsidRDefault="00220D3E" w:rsidP="003A292D">
      <w:pPr>
        <w:tabs>
          <w:tab w:val="left" w:pos="709"/>
        </w:tabs>
        <w:spacing w:line="264" w:lineRule="auto"/>
        <w:rPr>
          <w:rFonts w:ascii="Arial" w:eastAsia="Times New Roman" w:hAnsi="Arial" w:cs="Arial"/>
          <w:b/>
          <w:szCs w:val="28"/>
          <w:lang w:eastAsia="ru-RU"/>
        </w:rPr>
      </w:pPr>
    </w:p>
    <w:p w14:paraId="2479ABDD" w14:textId="0BDED5AA"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суд, право, завдання, роль, значення, проблеми.</w:t>
      </w:r>
    </w:p>
    <w:p w14:paraId="6AC2F63A" w14:textId="4774DEB2"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court, law, tasks, role, meaning, problems.</w:t>
      </w:r>
    </w:p>
    <w:p w14:paraId="546D1112" w14:textId="47CE9512"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 Грушко М.В.</w:t>
      </w:r>
    </w:p>
    <w:p w14:paraId="7734BEFF"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3D902636"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Колеснікова Анастасія Юріївна</w:t>
      </w:r>
    </w:p>
    <w:p w14:paraId="5E16BCE8" w14:textId="3541207E"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p>
    <w:p w14:paraId="295A0193" w14:textId="67C628D9"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CFB3073"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4B7EB9FE"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ДИПЛОМАТИЧНІ ПРИВІЛЕЇ ТА ІМУНІТЕТИ: НЕОБХІДНИЙ ЗАХИСТ ЧИ ЗЛОВЖИННЯ</w:t>
      </w:r>
    </w:p>
    <w:p w14:paraId="57B215D2"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У сучасному світі, де міжнародні відносини відіграють ключову роль у глобальній політиці, дипломатична служба забезпечує зв’язок між державами, сприяє мирному вирішенню конфліктів, налагодженню співпраці у сфері безпеки, економіки, культури та багатьох інших. З огляду на делікатність і складність функцій, які виконують дипломати, міжнародне право створило спеціальні правові механізми для їхнього захисту, найважливішим серед яких є система дипломатичних привілеїв та імунітетів. </w:t>
      </w:r>
      <w:r w:rsidRPr="00511005">
        <w:rPr>
          <w:rFonts w:ascii="Arial" w:eastAsia="Times New Roman" w:hAnsi="Arial" w:cs="Arial"/>
          <w:szCs w:val="28"/>
          <w:lang w:eastAsia="ru-RU"/>
        </w:rPr>
        <w:lastRenderedPageBreak/>
        <w:t>Ці гарантії повинні забезпечити незалежність та ефективність роботи дипломатичних представників. Проте в останні десятиліття все частіше виникають питання щодо меж дії таких привілеїв, а також випадків їх зловживання, що ставить під сумнів справедливість та ефективність чинної системи.</w:t>
      </w:r>
    </w:p>
    <w:p w14:paraId="65FBFD3E"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Правова основа дипломатичних привілеїв та імунітетів міститься насамперед у Віденській конвенції про дипломатичні зносини 1961 року, яка закріплює основні принципи статусу дипломатичних агентів. Відповідно до її положень, дипломатичні представники користуються імунітетом від кримінальної, цивільної та адміністративної юрисдикції держави перебування, мають особисту недоторканність, недоторканність житла, транспортних засобів, архівів, документів, а також право на звільнення від податків, митних зборів тощо. Крім того, недоторканними вважаються приміщення дипломатичних представництв, що створює додаткові умови для конфіденційної та безпечної дипломатичної роботи. Усі ці норми покликані гарантувати, що дипломат не буде зазнавати втручання, переслідування чи тиску з боку органів влади держави, в якій він працює, а отже, зможе ефективно представляти інтереси своєї країни.</w:t>
      </w:r>
    </w:p>
    <w:p w14:paraId="0F2F1934"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Концепція дипломатичного імунітету виникла ще в давнину, коли послів вважали недоторканними особами, яким надається особлива повага, незалежно від обставин. З часом ця ідея трансформувалася в систему правових норм, які були кодифіковані у XX столітті, особливо після Другої світової війни, коли міжнародна дипломатія набула нового значення в умовах глобальної політики та конфліктів. Віденська конвенція стала компромісним результатом зусиль багатьох держав і визначила чіткі межі того, що дозволено дипломатичним представникам. Але як показує практика, ці межі нерідко порушуються.</w:t>
      </w:r>
    </w:p>
    <w:p w14:paraId="1CE6A607"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Однією з основних проблем, що виникає у зв’язку з функціонуванням інституту дипломатичних імунітетів, є зловживання правовим статусом. Імунітет, покликаний гарантувати захист дипломатів від втручання з боку держави перебування, іноді перетворюється на інструмент уникнення законної відповідальності. Замість захисту службової діяльності дипломатів, імунітет може прикривати дії, що мають протиправний характер.</w:t>
      </w:r>
    </w:p>
    <w:p w14:paraId="577C0E9E"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До найпоширеніших форм зловживань належать: порушення ПДР, участь у ДТП, фінансові махінації, контрабанда, незаконна праця та експлуатація персоналу, а також ігнорування норм держави перебування. Відомим прикладом є справа у Великій Британії (2019), коли дружина американського дипломата Анн Сакулас, скоївши смертельну ДТП, скористалася імунітетом і покинула країну, уникнувши відповідальності. Цей випадок викликав значний резонанс і посилив дискусію щодо меж дії дипломатичних привілеїв.</w:t>
      </w:r>
    </w:p>
    <w:p w14:paraId="4D49A674"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lastRenderedPageBreak/>
        <w:t>Ще однією формою зловживання є використання дипломатичної пошти для перевезення заборонених речовин або коштів. Згідно з міжнародним правом, така пошта не підлягає перевірці, що відкриває можливості для зловживань. Так, у 2013 році в Італії в авто з дипломатичними номерами було виявлено партію наркотиків, але водій уникнув покарання через свій статус. Подібні ситуації негативно впливають на довіру до дипломатичних представництв і погіршують міждержавні відносини.</w:t>
      </w:r>
    </w:p>
    <w:p w14:paraId="1D838EED"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У міжнародному праві існують кілька механізмів реагування на випадки зловживання дипломатичним імунітетом. Згідно статті 9 Віденської конвенції про дипломатичні зносини, одним із таких механізмів є оголошення особи </w:t>
      </w:r>
      <w:r w:rsidRPr="00511005">
        <w:rPr>
          <w:rFonts w:ascii="Arial" w:eastAsia="Times New Roman" w:hAnsi="Arial" w:cs="Arial"/>
          <w:bCs/>
          <w:szCs w:val="28"/>
          <w:lang w:eastAsia="ru-RU"/>
        </w:rPr>
        <w:t>persona non grata</w:t>
      </w:r>
      <w:r w:rsidRPr="00511005">
        <w:rPr>
          <w:rFonts w:ascii="Arial" w:eastAsia="Times New Roman" w:hAnsi="Arial" w:cs="Arial"/>
          <w:szCs w:val="28"/>
          <w:lang w:eastAsia="ru-RU"/>
        </w:rPr>
        <w:t xml:space="preserve"> «1. Держава перебування може в будь-який час і без пояснення свого рішення повідомити акредитуючу державу про те, що глава представництва або будь-який член дипломатичного персоналу представництва є персоною нон-грата або що будь-який інший член персоналу представництва є неприйнятним. У будь-якому такому випадку акредитуюча держава повинна, залежно від обставин, або відкликати відповідну особу, або припинити її роботу в представництві. Особа може бути оголошена персоною нон-грата або неприйнятною до прибуття на територію держави перебування</w:t>
      </w:r>
      <w:proofErr w:type="gramStart"/>
      <w:r w:rsidRPr="00511005">
        <w:rPr>
          <w:rFonts w:ascii="Arial" w:eastAsia="Times New Roman" w:hAnsi="Arial" w:cs="Arial"/>
          <w:szCs w:val="28"/>
          <w:lang w:eastAsia="ru-RU"/>
        </w:rPr>
        <w:t>.»[</w:t>
      </w:r>
      <w:proofErr w:type="gramEnd"/>
      <w:r w:rsidRPr="00511005">
        <w:rPr>
          <w:rFonts w:ascii="Arial" w:eastAsia="Times New Roman" w:hAnsi="Arial" w:cs="Arial"/>
          <w:szCs w:val="28"/>
          <w:lang w:eastAsia="ru-RU"/>
        </w:rPr>
        <w:t>1]. Також можливе зняття імунітету з дипломатів акредитуючою державою, що надає право на притягнення до юридичної відповідальності. Проте на практиці ці заходи застосовуються рідко, оскільки більшість країн не погоджуються на зняття імунітету своїх дипломатів, навіть за наявності переконливих доказів порушення закону. Це породжує ефект безкарності, коли дипломати, що скоїли правопорушення, залишаються поза межами юридичної відповідальності. Таке становище підриває довіру до міжнародних правових механізмів і ставить під сумнів ефективність чинної системи дипломатичних імунітетів.</w:t>
      </w:r>
    </w:p>
    <w:p w14:paraId="5B0EEB52"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У наукових колах активно обговорюється реформування системи дипломатичних імунітетів. Частина дослідників пропонує звузити їхню дію лише до ситуацій, пов’язаних із виконанням службових обов’язків, зокрема виключити застосування в разі цивільних або адміністративних правопорушень. Інші застерігають, що такі зміни можуть зробити дипломатів вразливими до політичного тиску, особливо в нестабільних країнах, і порушити баланс між захистом дипломатів і їхньою відповідальністю.</w:t>
      </w:r>
    </w:p>
    <w:p w14:paraId="66667EBB"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Отже, проблема зловживання дипломатичним імунітетом залишається надзвичайно актуальною і потребує системного перегляду на міжнародному рівні. Необхідно знайти оптимальний баланс між забезпеченням захисту дипломатичної служби та збереженням принципу верховенства права, що є основою демократичного суспільства. Лише шляхом збалансованого підходу можна забезпечити ефективне функціонування дипломатії та запобігти можливим зловживанням, які шкодять міжнародним відносинам.</w:t>
      </w:r>
    </w:p>
    <w:p w14:paraId="0518B2E4"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lastRenderedPageBreak/>
        <w:t>Таким чином, дипломатичні привілеї та імунітети залишаються важливою складовою зовнішньополітичної діяльності, що гарантує ефективність та безпеку міжнародної комунікації. Проте в умовах сьогодення необхідно не лише дотримуватись чинних норм, а й постійно переглядати практику їх застосування з урахуванням нових викликів і загроз. Зловживання дипломатичним статусом не тільки шкодить авторитету окремих осіб, але й ставить під сумнів легітимність всієї системи дипломатичних відносин. Світова спільнота має об’єднати зусилля задля того, щоб зберегти ефективний інститут дипломатичних імунітетів, водночас не допускаючи безкарності і зловживань. Можливими напрямами удосконалення можуть бути посилення міждержавної відповідальності, розширення практики добровільного зняття імунітету у випадках грубих правопорушень, розробка єдиних міжнародних стандартів поведінки дипломатичного персоналу.</w:t>
      </w:r>
    </w:p>
    <w:p w14:paraId="1F9377F9"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Підсумовуючи, можна стверджувати, що дипломатичні привілеї — це необхідний механізм міжнародного правопорядку, але для збереження їх легітимності потрібен постійний контроль, відкритість до реформ і політична відповідальність як з боку дипломатів, так і з боку держав, які їх направляють. Лише за таких умов можливо забезпечити справедливий баланс між правом і відповідальністю у сфері зовнішніх зносин.</w:t>
      </w:r>
    </w:p>
    <w:p w14:paraId="776E4633" w14:textId="77777777" w:rsidR="00220D3E" w:rsidRPr="00511005" w:rsidRDefault="00220D3E" w:rsidP="003A292D">
      <w:pPr>
        <w:tabs>
          <w:tab w:val="left" w:pos="709"/>
        </w:tabs>
        <w:spacing w:line="264" w:lineRule="auto"/>
        <w:contextualSpacing/>
        <w:jc w:val="center"/>
        <w:rPr>
          <w:rFonts w:ascii="Arial" w:eastAsia="Times New Roman" w:hAnsi="Arial" w:cs="Arial"/>
          <w:b/>
          <w:szCs w:val="28"/>
          <w:lang w:val="uk-UA" w:eastAsia="ru-RU"/>
        </w:rPr>
      </w:pPr>
    </w:p>
    <w:p w14:paraId="5C87FBF3" w14:textId="6A198F5F" w:rsidR="00220D3E" w:rsidRPr="00511005" w:rsidRDefault="007B2628" w:rsidP="007B2628">
      <w:pPr>
        <w:tabs>
          <w:tab w:val="left" w:pos="709"/>
        </w:tabs>
        <w:spacing w:line="264" w:lineRule="auto"/>
        <w:contextualSpacing/>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67D988FE" w14:textId="77777777" w:rsidR="00220D3E" w:rsidRPr="00511005" w:rsidRDefault="00220D3E" w:rsidP="003F6A5D">
      <w:pPr>
        <w:numPr>
          <w:ilvl w:val="0"/>
          <w:numId w:val="124"/>
        </w:numPr>
        <w:tabs>
          <w:tab w:val="left" w:pos="709"/>
        </w:tabs>
        <w:spacing w:line="264" w:lineRule="auto"/>
        <w:ind w:left="0" w:firstLine="709"/>
        <w:contextualSpacing/>
        <w:jc w:val="left"/>
        <w:rPr>
          <w:rFonts w:ascii="Arial" w:eastAsia="Times New Roman" w:hAnsi="Arial" w:cs="Arial"/>
          <w:szCs w:val="28"/>
          <w:lang w:val="en-US"/>
        </w:rPr>
      </w:pPr>
      <w:r w:rsidRPr="00511005">
        <w:rPr>
          <w:rFonts w:ascii="Arial" w:eastAsia="Calibri" w:hAnsi="Arial" w:cs="Arial"/>
          <w:szCs w:val="28"/>
          <w:lang w:val="en-US"/>
        </w:rPr>
        <w:t>United Nations. Vienna Convention on Diplomatic Relations, 1961 [</w:t>
      </w:r>
      <w:r w:rsidRPr="00511005">
        <w:rPr>
          <w:rFonts w:ascii="Arial" w:eastAsia="Calibri" w:hAnsi="Arial" w:cs="Arial"/>
          <w:szCs w:val="28"/>
        </w:rPr>
        <w:t>Електронний</w:t>
      </w:r>
      <w:r w:rsidRPr="00511005">
        <w:rPr>
          <w:rFonts w:ascii="Arial" w:eastAsia="Calibri" w:hAnsi="Arial" w:cs="Arial"/>
          <w:szCs w:val="28"/>
          <w:lang w:val="en-US"/>
        </w:rPr>
        <w:t xml:space="preserve"> </w:t>
      </w:r>
      <w:r w:rsidRPr="00511005">
        <w:rPr>
          <w:rFonts w:ascii="Arial" w:eastAsia="Calibri" w:hAnsi="Arial" w:cs="Arial"/>
          <w:szCs w:val="28"/>
        </w:rPr>
        <w:t>ресурс</w:t>
      </w:r>
      <w:r w:rsidRPr="00511005">
        <w:rPr>
          <w:rFonts w:ascii="Arial" w:eastAsia="Calibri" w:hAnsi="Arial" w:cs="Arial"/>
          <w:szCs w:val="28"/>
          <w:lang w:val="en-US"/>
        </w:rPr>
        <w:t xml:space="preserve">]. – New York: United Nations, 1961. – </w:t>
      </w:r>
      <w:r w:rsidRPr="00511005">
        <w:rPr>
          <w:rFonts w:ascii="Arial" w:eastAsia="Calibri" w:hAnsi="Arial" w:cs="Arial"/>
          <w:szCs w:val="28"/>
        </w:rPr>
        <w:t>Режим</w:t>
      </w:r>
      <w:r w:rsidRPr="00511005">
        <w:rPr>
          <w:rFonts w:ascii="Arial" w:eastAsia="Calibri" w:hAnsi="Arial" w:cs="Arial"/>
          <w:szCs w:val="28"/>
          <w:lang w:val="en-US"/>
        </w:rPr>
        <w:t xml:space="preserve"> </w:t>
      </w:r>
      <w:r w:rsidRPr="00511005">
        <w:rPr>
          <w:rFonts w:ascii="Arial" w:eastAsia="Calibri" w:hAnsi="Arial" w:cs="Arial"/>
          <w:szCs w:val="28"/>
        </w:rPr>
        <w:t>доступу</w:t>
      </w:r>
      <w:r w:rsidRPr="00511005">
        <w:rPr>
          <w:rFonts w:ascii="Arial" w:eastAsia="Calibri" w:hAnsi="Arial" w:cs="Arial"/>
          <w:szCs w:val="28"/>
          <w:lang w:val="en-US"/>
        </w:rPr>
        <w:t xml:space="preserve">: </w:t>
      </w:r>
      <w:hyperlink r:id="rId418" w:tgtFrame="_new" w:history="1">
        <w:r w:rsidRPr="00511005">
          <w:rPr>
            <w:rFonts w:ascii="Arial" w:eastAsia="Calibri" w:hAnsi="Arial" w:cs="Arial"/>
            <w:szCs w:val="28"/>
            <w:lang w:val="en-US"/>
          </w:rPr>
          <w:t>https://legal.un.org/ilc/texts/instruments/english/conventions/9_1_1961.pdf</w:t>
        </w:r>
      </w:hyperlink>
      <w:r w:rsidRPr="00511005">
        <w:rPr>
          <w:rFonts w:ascii="Arial" w:eastAsia="Calibri" w:hAnsi="Arial" w:cs="Arial"/>
          <w:szCs w:val="28"/>
          <w:lang w:val="en-US"/>
        </w:rPr>
        <w:t>.</w:t>
      </w:r>
    </w:p>
    <w:p w14:paraId="1F6971CF" w14:textId="77777777" w:rsidR="00220D3E" w:rsidRPr="00511005" w:rsidRDefault="00220D3E" w:rsidP="003F6A5D">
      <w:pPr>
        <w:numPr>
          <w:ilvl w:val="0"/>
          <w:numId w:val="12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b/>
          <w:bCs/>
          <w:szCs w:val="28"/>
        </w:rPr>
        <w:t>Харламов, В. Ю.</w:t>
      </w:r>
      <w:r w:rsidRPr="00511005">
        <w:rPr>
          <w:rFonts w:ascii="Arial" w:eastAsia="Calibri" w:hAnsi="Arial" w:cs="Arial"/>
          <w:szCs w:val="28"/>
        </w:rPr>
        <w:t xml:space="preserve"> (2015). Зловживання дипломатичними імунітетами: правові аспекти та методи протидії. </w:t>
      </w:r>
      <w:r w:rsidRPr="00511005">
        <w:rPr>
          <w:rFonts w:ascii="Arial" w:eastAsia="Calibri" w:hAnsi="Arial" w:cs="Arial"/>
          <w:i/>
          <w:iCs/>
          <w:szCs w:val="28"/>
        </w:rPr>
        <w:t>Вісник міжнародного права</w:t>
      </w:r>
      <w:r w:rsidRPr="00511005">
        <w:rPr>
          <w:rFonts w:ascii="Arial" w:eastAsia="Calibri" w:hAnsi="Arial" w:cs="Arial"/>
          <w:i/>
          <w:szCs w:val="28"/>
        </w:rPr>
        <w:t>,</w:t>
      </w:r>
      <w:r w:rsidRPr="00511005">
        <w:rPr>
          <w:rFonts w:ascii="Arial" w:eastAsia="Calibri" w:hAnsi="Arial" w:cs="Arial"/>
          <w:szCs w:val="28"/>
        </w:rPr>
        <w:t xml:space="preserve"> 32(4), 123-139.</w:t>
      </w:r>
    </w:p>
    <w:p w14:paraId="2B3FDD81" w14:textId="77777777" w:rsidR="00220D3E" w:rsidRPr="00511005" w:rsidRDefault="00220D3E" w:rsidP="003F6A5D">
      <w:pPr>
        <w:numPr>
          <w:ilvl w:val="0"/>
          <w:numId w:val="12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b/>
          <w:bCs/>
          <w:szCs w:val="28"/>
        </w:rPr>
        <w:t>Проблеми зловживання дипломатичним імунітетом у міжнародній практиці</w:t>
      </w:r>
      <w:r w:rsidRPr="00511005">
        <w:rPr>
          <w:rFonts w:ascii="Arial" w:eastAsia="Calibri" w:hAnsi="Arial" w:cs="Arial"/>
          <w:szCs w:val="28"/>
        </w:rPr>
        <w:t>/ Науковий вісник міжнародного права. – 2021. – № 3. – С. 45–51.</w:t>
      </w:r>
    </w:p>
    <w:p w14:paraId="4C216665" w14:textId="77777777" w:rsidR="00220D3E" w:rsidRPr="00511005" w:rsidRDefault="00220D3E" w:rsidP="003F6A5D">
      <w:pPr>
        <w:numPr>
          <w:ilvl w:val="0"/>
          <w:numId w:val="124"/>
        </w:numPr>
        <w:tabs>
          <w:tab w:val="left" w:pos="709"/>
        </w:tabs>
        <w:spacing w:line="264" w:lineRule="auto"/>
        <w:ind w:left="0" w:firstLine="709"/>
        <w:contextualSpacing/>
        <w:jc w:val="left"/>
        <w:rPr>
          <w:rFonts w:ascii="Arial" w:eastAsia="Calibri" w:hAnsi="Arial" w:cs="Arial"/>
          <w:b/>
          <w:szCs w:val="28"/>
        </w:rPr>
      </w:pPr>
      <w:r w:rsidRPr="00511005">
        <w:rPr>
          <w:rFonts w:ascii="Arial" w:eastAsia="Calibri" w:hAnsi="Arial" w:cs="Arial"/>
          <w:b/>
          <w:bCs/>
          <w:szCs w:val="28"/>
        </w:rPr>
        <w:t>Тимченко, А. М.</w:t>
      </w:r>
      <w:r w:rsidRPr="00511005">
        <w:rPr>
          <w:rFonts w:ascii="Arial" w:eastAsia="Calibri" w:hAnsi="Arial" w:cs="Arial"/>
          <w:szCs w:val="28"/>
        </w:rPr>
        <w:t> (2021). Зловживання дипломатичним імунітетом: міжнародно-правові виклики. </w:t>
      </w:r>
      <w:r w:rsidRPr="00511005">
        <w:rPr>
          <w:rFonts w:ascii="Arial" w:eastAsia="Calibri" w:hAnsi="Arial" w:cs="Arial"/>
          <w:i/>
          <w:iCs/>
          <w:szCs w:val="28"/>
        </w:rPr>
        <w:t>Юридичний огляд</w:t>
      </w:r>
      <w:r w:rsidRPr="00511005">
        <w:rPr>
          <w:rFonts w:ascii="Arial" w:eastAsia="Calibri" w:hAnsi="Arial" w:cs="Arial"/>
          <w:szCs w:val="28"/>
        </w:rPr>
        <w:t xml:space="preserve">. Доступно за посиланням: </w:t>
      </w:r>
      <w:hyperlink r:id="rId419" w:tgtFrame="_new" w:history="1">
        <w:r w:rsidRPr="00511005">
          <w:rPr>
            <w:rFonts w:ascii="Arial" w:eastAsia="Calibri" w:hAnsi="Arial" w:cs="Arial"/>
            <w:szCs w:val="28"/>
          </w:rPr>
          <w:t>https://www.legalreview.com</w:t>
        </w:r>
      </w:hyperlink>
      <w:r w:rsidRPr="00511005">
        <w:rPr>
          <w:rFonts w:ascii="Arial" w:eastAsia="Calibri" w:hAnsi="Arial" w:cs="Arial"/>
          <w:szCs w:val="28"/>
        </w:rPr>
        <w:t xml:space="preserve"> [доступ: 16.04.2025].</w:t>
      </w:r>
    </w:p>
    <w:p w14:paraId="386203F0" w14:textId="77777777" w:rsidR="00220D3E" w:rsidRPr="00511005" w:rsidRDefault="00220D3E" w:rsidP="003A292D">
      <w:pPr>
        <w:tabs>
          <w:tab w:val="left" w:pos="709"/>
        </w:tabs>
        <w:spacing w:line="264" w:lineRule="auto"/>
        <w:contextualSpacing/>
        <w:rPr>
          <w:rFonts w:ascii="Arial" w:eastAsia="Times New Roman" w:hAnsi="Arial" w:cs="Arial"/>
          <w:b/>
          <w:szCs w:val="28"/>
          <w:lang w:eastAsia="ru-RU"/>
        </w:rPr>
      </w:pPr>
    </w:p>
    <w:p w14:paraId="233DE076" w14:textId="65734777" w:rsidR="00220D3E" w:rsidRPr="00511005" w:rsidRDefault="007B2628"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привілей, імунітет, зловживання, захист, відповідальність.</w:t>
      </w:r>
    </w:p>
    <w:p w14:paraId="17D8D348" w14:textId="5CC5AE7D" w:rsidR="00220D3E" w:rsidRPr="00511005" w:rsidRDefault="007B2628"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privilege, immunity, abuse, protection, liability.</w:t>
      </w:r>
    </w:p>
    <w:p w14:paraId="742E1E69" w14:textId="4FD9C71B" w:rsidR="00220D3E" w:rsidRPr="00511005" w:rsidRDefault="007B2628" w:rsidP="003A292D">
      <w:pPr>
        <w:tabs>
          <w:tab w:val="left" w:pos="709"/>
        </w:tabs>
        <w:spacing w:line="264" w:lineRule="auto"/>
        <w:contextualSpacing/>
        <w:rPr>
          <w:rFonts w:ascii="Arial" w:eastAsia="Times New Roman" w:hAnsi="Arial" w:cs="Arial"/>
          <w:b/>
          <w:bCs/>
          <w:szCs w:val="28"/>
          <w:shd w:val="clear" w:color="auto" w:fill="FFFFFF"/>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 Бєлогубова О. О.</w:t>
      </w:r>
    </w:p>
    <w:p w14:paraId="28519742" w14:textId="77777777" w:rsidR="00220D3E" w:rsidRPr="00511005" w:rsidRDefault="00220D3E" w:rsidP="003A292D">
      <w:pPr>
        <w:tabs>
          <w:tab w:val="left" w:pos="709"/>
        </w:tabs>
        <w:spacing w:line="264" w:lineRule="auto"/>
        <w:contextualSpacing/>
        <w:jc w:val="center"/>
        <w:rPr>
          <w:rFonts w:ascii="Arial" w:eastAsia="Times New Roman" w:hAnsi="Arial" w:cs="Arial"/>
          <w:b/>
          <w:i/>
          <w:szCs w:val="28"/>
          <w:lang w:val="uk-UA" w:eastAsia="ru-RU"/>
        </w:rPr>
      </w:pPr>
    </w:p>
    <w:p w14:paraId="5D249538" w14:textId="77777777" w:rsidR="00220D3E" w:rsidRPr="00511005" w:rsidRDefault="00220D3E" w:rsidP="003A292D">
      <w:pPr>
        <w:tabs>
          <w:tab w:val="left" w:pos="709"/>
        </w:tabs>
        <w:spacing w:line="264" w:lineRule="auto"/>
        <w:contextualSpacing/>
        <w:jc w:val="center"/>
        <w:rPr>
          <w:rFonts w:ascii="Arial" w:eastAsia="Times New Roman" w:hAnsi="Arial" w:cs="Arial"/>
          <w:b/>
          <w:i/>
          <w:szCs w:val="28"/>
          <w:lang w:val="uk-UA" w:eastAsia="ru-RU"/>
        </w:rPr>
      </w:pPr>
      <w:r w:rsidRPr="00511005">
        <w:rPr>
          <w:rFonts w:ascii="Arial" w:eastAsia="Times New Roman" w:hAnsi="Arial" w:cs="Arial"/>
          <w:b/>
          <w:i/>
          <w:szCs w:val="28"/>
          <w:lang w:eastAsia="ru-RU"/>
        </w:rPr>
        <w:t>Колеснікова Анастасія Юріївна</w:t>
      </w:r>
    </w:p>
    <w:p w14:paraId="5F7D61CE" w14:textId="6F047528" w:rsidR="00220D3E" w:rsidRPr="00511005" w:rsidRDefault="00536AAB" w:rsidP="003A292D">
      <w:pPr>
        <w:tabs>
          <w:tab w:val="left" w:pos="709"/>
        </w:tabs>
        <w:spacing w:line="264" w:lineRule="auto"/>
        <w:contextualSpacing/>
        <w:jc w:val="center"/>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681DFB38" w14:textId="592572F1" w:rsidR="00220D3E" w:rsidRPr="00511005" w:rsidRDefault="007B2628" w:rsidP="003A292D">
      <w:pPr>
        <w:tabs>
          <w:tab w:val="left" w:pos="709"/>
        </w:tabs>
        <w:spacing w:line="264" w:lineRule="auto"/>
        <w:contextualSpacing/>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13B75F3"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p>
    <w:p w14:paraId="4128C69D" w14:textId="77777777" w:rsidR="00220D3E" w:rsidRPr="00511005" w:rsidRDefault="00220D3E" w:rsidP="003A292D">
      <w:pPr>
        <w:tabs>
          <w:tab w:val="left" w:pos="709"/>
        </w:tabs>
        <w:spacing w:line="264" w:lineRule="auto"/>
        <w:contextualSpacing/>
        <w:jc w:val="center"/>
        <w:rPr>
          <w:rFonts w:ascii="Arial" w:eastAsia="Times New Roman" w:hAnsi="Arial" w:cs="Arial"/>
          <w:b/>
          <w:szCs w:val="28"/>
          <w:lang w:eastAsia="ru-RU"/>
        </w:rPr>
      </w:pPr>
      <w:r w:rsidRPr="00511005">
        <w:rPr>
          <w:rFonts w:ascii="Arial" w:eastAsia="Times New Roman" w:hAnsi="Arial" w:cs="Arial"/>
          <w:b/>
          <w:szCs w:val="28"/>
          <w:lang w:eastAsia="ru-RU"/>
        </w:rPr>
        <w:t>ВИЗНАННЯ ТА ВИКОНАННЯ РІШЕНЬ ІНОЗЕМНИХ СУДІВ В УКРАЇНІ</w:t>
      </w:r>
    </w:p>
    <w:p w14:paraId="54585EFC"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Cs/>
          <w:szCs w:val="28"/>
          <w:lang w:eastAsia="ru-RU"/>
        </w:rPr>
        <w:t>У сучасному світі</w:t>
      </w:r>
      <w:r w:rsidRPr="00511005">
        <w:rPr>
          <w:rFonts w:ascii="Arial" w:eastAsia="Times New Roman" w:hAnsi="Arial" w:cs="Arial"/>
          <w:szCs w:val="28"/>
          <w:lang w:eastAsia="ru-RU"/>
        </w:rPr>
        <w:t xml:space="preserve">, що характеризується зростанням міжнародної комунікації та переміщенням осіб і капіталу через кордони, усе більшої актуальності набуває питання визнання та виконання рішень іноземних судів. </w:t>
      </w:r>
      <w:r w:rsidRPr="00511005">
        <w:rPr>
          <w:rFonts w:ascii="Arial" w:eastAsia="Times New Roman" w:hAnsi="Arial" w:cs="Arial"/>
          <w:bCs/>
          <w:szCs w:val="28"/>
          <w:lang w:eastAsia="ru-RU"/>
        </w:rPr>
        <w:t>Україна</w:t>
      </w:r>
      <w:r w:rsidRPr="00511005">
        <w:rPr>
          <w:rFonts w:ascii="Arial" w:eastAsia="Times New Roman" w:hAnsi="Arial" w:cs="Arial"/>
          <w:szCs w:val="28"/>
          <w:lang w:eastAsia="ru-RU"/>
        </w:rPr>
        <w:t>, як держава, що активно бере участь у міжнародному правовому співтоваристві, не може залишатися осторонь цих процесів. Забезпечення ефективного механізму реалізації іноземних судових рішень на території України є невід’ємною складовою правової системи, орієнтованої на захист прав людини, правову визначеність та міжнародне співробітництво.</w:t>
      </w:r>
    </w:p>
    <w:p w14:paraId="5D40BD3E"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Cs/>
          <w:szCs w:val="28"/>
          <w:lang w:eastAsia="ru-RU"/>
        </w:rPr>
        <w:t>Нормативне регулювання процедури визнання та виконання рішень іноземних судів в Україні</w:t>
      </w:r>
      <w:r w:rsidRPr="00511005">
        <w:rPr>
          <w:rFonts w:ascii="Arial" w:eastAsia="Times New Roman" w:hAnsi="Arial" w:cs="Arial"/>
          <w:szCs w:val="28"/>
          <w:lang w:eastAsia="ru-RU"/>
        </w:rPr>
        <w:t xml:space="preserve"> передбачене, насамперед, Цивільним процесуальним кодексом України (глава IX), міжнародними договорами, укладеними Україною, а також загальновизнаними принципами міжнародного приватного права. Зокрема, статті 467–479 ЦПК України визначають загальний порядок подання заяви про визнання або надання дозволу на виконання іноземного судового рішення, а також містять перелік документів, які необхідно подати </w:t>
      </w:r>
      <w:proofErr w:type="gramStart"/>
      <w:r w:rsidRPr="00511005">
        <w:rPr>
          <w:rFonts w:ascii="Arial" w:eastAsia="Times New Roman" w:hAnsi="Arial" w:cs="Arial"/>
          <w:szCs w:val="28"/>
          <w:lang w:eastAsia="ru-RU"/>
        </w:rPr>
        <w:t>до суду</w:t>
      </w:r>
      <w:proofErr w:type="gramEnd"/>
      <w:r w:rsidRPr="00511005">
        <w:rPr>
          <w:rFonts w:ascii="Arial" w:eastAsia="Times New Roman" w:hAnsi="Arial" w:cs="Arial"/>
          <w:szCs w:val="28"/>
          <w:lang w:eastAsia="ru-RU"/>
        </w:rPr>
        <w:t>.</w:t>
      </w:r>
    </w:p>
    <w:p w14:paraId="17A8C93F"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Cs/>
          <w:szCs w:val="28"/>
          <w:lang w:eastAsia="ru-RU"/>
        </w:rPr>
        <w:t>Умови визнання іноземних судових рішень в Україні</w:t>
      </w:r>
      <w:r w:rsidRPr="00511005">
        <w:rPr>
          <w:rFonts w:ascii="Arial" w:eastAsia="Times New Roman" w:hAnsi="Arial" w:cs="Arial"/>
          <w:szCs w:val="28"/>
          <w:lang w:eastAsia="ru-RU"/>
        </w:rPr>
        <w:t xml:space="preserve"> залежать від наявності міждержавного договору або принципу взаємності. Україна визнає іноземні рішення на підставі двосторонніх або багатосторонніх угод про правову допомогу. У разі відсутності договору між Україною та відповідною державою допускається можливість визнання рішення на підставі принципу взаємності, який, однак, складно підтвердити на практиці.</w:t>
      </w:r>
    </w:p>
    <w:p w14:paraId="413D2192"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Cs/>
          <w:szCs w:val="28"/>
          <w:lang w:eastAsia="ru-RU"/>
        </w:rPr>
        <w:t>Суд може відмовити у визнанні або виконанні іноземного рішення</w:t>
      </w:r>
      <w:r w:rsidRPr="00511005">
        <w:rPr>
          <w:rFonts w:ascii="Arial" w:eastAsia="Times New Roman" w:hAnsi="Arial" w:cs="Arial"/>
          <w:szCs w:val="28"/>
          <w:lang w:eastAsia="ru-RU"/>
        </w:rPr>
        <w:t>, якщо наявні передбачені законом підстави, зокрема: суперечність публічному порядку України; розгляд справи судом, який не мав належної юрисдикції; порушення прав сторін на справедливий судовий розгляд; ухвалення рішення у справі, що вже була предметом розгляду в українському суді; невідповідність форми та змісту поданих документів вимогам українського законодавства.</w:t>
      </w:r>
    </w:p>
    <w:p w14:paraId="613DB3E8"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Cs/>
          <w:szCs w:val="28"/>
          <w:lang w:eastAsia="ru-RU"/>
        </w:rPr>
        <w:t>Окремої уваги заслуговує поняття публічного порядку.</w:t>
      </w:r>
      <w:r w:rsidRPr="00511005">
        <w:rPr>
          <w:rFonts w:ascii="Arial" w:eastAsia="Times New Roman" w:hAnsi="Arial" w:cs="Arial"/>
          <w:szCs w:val="28"/>
          <w:lang w:eastAsia="ru-RU"/>
        </w:rPr>
        <w:t xml:space="preserve"> У судовій практиці України спостерігається неоднозначність у його тлумаченні. Іноді відмови у визнанні іноземного рішення обґрунтовуються тим, що його виконання «може зашкодити суверенітету» або «не відповідає основним засадам правопорядку України», при цьому не надається чіткого обґрунтування. Це створює ризики зловживань і правової невизначеності.</w:t>
      </w:r>
    </w:p>
    <w:p w14:paraId="172BAB44"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Cs/>
          <w:szCs w:val="28"/>
          <w:lang w:eastAsia="ru-RU"/>
        </w:rPr>
        <w:lastRenderedPageBreak/>
        <w:t>Згідно зі статтею 474 Цивільного процесуального кодексу України</w:t>
      </w:r>
      <w:r w:rsidRPr="00511005">
        <w:rPr>
          <w:rFonts w:ascii="Arial" w:eastAsia="Times New Roman" w:hAnsi="Arial" w:cs="Arial"/>
          <w:szCs w:val="28"/>
          <w:lang w:eastAsia="ru-RU"/>
        </w:rPr>
        <w:t>:</w:t>
      </w:r>
      <w:r w:rsidRPr="00511005">
        <w:rPr>
          <w:rFonts w:ascii="Arial" w:eastAsia="Times New Roman" w:hAnsi="Arial" w:cs="Arial"/>
          <w:szCs w:val="28"/>
          <w:lang w:eastAsia="ru-RU"/>
        </w:rPr>
        <w:br/>
        <w:t>«Рішення міжнародного комерційного арбітражу (якщо його місце знаходиться за межами України), незалежно від того, в якій країні воно було винесене, визнається та виконується в Україні, якщо їх визнання та виконання передбачено міжнародним договором, згода на обов’язковість якого надана Верховною Радою України, або за принципом взаємності» [1].</w:t>
      </w:r>
    </w:p>
    <w:p w14:paraId="01561D55"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Крім того, виникають труднощі й під час оформлення документів, необхідних для подання </w:t>
      </w:r>
      <w:proofErr w:type="gramStart"/>
      <w:r w:rsidRPr="00511005">
        <w:rPr>
          <w:rFonts w:ascii="Arial" w:eastAsia="Times New Roman" w:hAnsi="Arial" w:cs="Arial"/>
          <w:szCs w:val="28"/>
          <w:lang w:eastAsia="ru-RU"/>
        </w:rPr>
        <w:t>до суду</w:t>
      </w:r>
      <w:proofErr w:type="gramEnd"/>
      <w:r w:rsidRPr="00511005">
        <w:rPr>
          <w:rFonts w:ascii="Arial" w:eastAsia="Times New Roman" w:hAnsi="Arial" w:cs="Arial"/>
          <w:szCs w:val="28"/>
          <w:lang w:eastAsia="ru-RU"/>
        </w:rPr>
        <w:t>. У вимогах до заяви зазначено, що документи мають бути легалізовані (якщо інше не передбачено договором), а також перекладені українською мовою. Проблеми часто виникають через недотримання формальних вимог до оформлення копій рішень, засвідчення перекладів тощо.</w:t>
      </w:r>
    </w:p>
    <w:p w14:paraId="5FB0003F"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Cs/>
          <w:szCs w:val="28"/>
          <w:lang w:eastAsia="ru-RU"/>
        </w:rPr>
        <w:t>Окрему увагу варто приділити практиці визнання та виконання рішень міжнародних арбітражів.</w:t>
      </w:r>
      <w:r w:rsidRPr="00511005">
        <w:rPr>
          <w:rFonts w:ascii="Arial" w:eastAsia="Times New Roman" w:hAnsi="Arial" w:cs="Arial"/>
          <w:szCs w:val="28"/>
          <w:lang w:eastAsia="ru-RU"/>
        </w:rPr>
        <w:t xml:space="preserve"> Україна є стороною Нью-Йоркської конвенції 1958 року, яка зобов’язує визнавати й виконувати арбітражні рішення, винесені в інших державах-учасницях. Попри це, у вітчизняній практиці досі трапляються випадки необґрунтованих відмов у виконанні таких рішень.</w:t>
      </w:r>
    </w:p>
    <w:p w14:paraId="7E065DD5"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Cs/>
          <w:szCs w:val="28"/>
          <w:lang w:eastAsia="ru-RU"/>
        </w:rPr>
        <w:t>Європейський досвід</w:t>
      </w:r>
      <w:r w:rsidRPr="00511005">
        <w:rPr>
          <w:rFonts w:ascii="Arial" w:eastAsia="Times New Roman" w:hAnsi="Arial" w:cs="Arial"/>
          <w:szCs w:val="28"/>
          <w:lang w:eastAsia="ru-RU"/>
        </w:rPr>
        <w:t xml:space="preserve"> свідчить про прагнення країн ЄС до спрощення та уніфікації процедур визнання судових рішень. Брюссельський регламент № 1215/2012, зокрема, передбачає автоматичне визнання судових рішень без необхідності проходження додаткових процедур, що значно підвищує ефективність судового захисту в транскордонних спорах. Україні варто врахувати ці підходи у своєму законодавстві, особливо в контексті євроінтеграції.</w:t>
      </w:r>
    </w:p>
    <w:p w14:paraId="554A9DBA"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Cs/>
          <w:szCs w:val="28"/>
          <w:lang w:eastAsia="ru-RU"/>
        </w:rPr>
        <w:t>Отже, ефективність механізму визнання та виконання іноземних судових рішень в Україні потребує вдосконалення.</w:t>
      </w:r>
      <w:r w:rsidRPr="00511005">
        <w:rPr>
          <w:rFonts w:ascii="Arial" w:eastAsia="Times New Roman" w:hAnsi="Arial" w:cs="Arial"/>
          <w:szCs w:val="28"/>
          <w:lang w:eastAsia="ru-RU"/>
        </w:rPr>
        <w:t xml:space="preserve"> Серед першочергових кроків — уточнення поняття «публічного порядку», запровадження чітких критеріїв підтвердження взаємності, створення єдиної бази практики українських судів у цій сфері, спрощення вимог до форми та змісту документів. Крім того, важливим є підвищення рівня правової культури суддів і адвокатів у сфері міжнародного приватного права, а також активізація укладення двосторонніх договорів про правову допомогу.</w:t>
      </w:r>
    </w:p>
    <w:p w14:paraId="2A91D166"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Cs/>
          <w:szCs w:val="28"/>
          <w:lang w:eastAsia="ru-RU"/>
        </w:rPr>
        <w:t>Таким чином, удосконалення національного механізму визнання та виконання іноземних судових рішень</w:t>
      </w:r>
      <w:r w:rsidRPr="00511005">
        <w:rPr>
          <w:rFonts w:ascii="Arial" w:eastAsia="Times New Roman" w:hAnsi="Arial" w:cs="Arial"/>
          <w:szCs w:val="28"/>
          <w:lang w:eastAsia="ru-RU"/>
        </w:rPr>
        <w:t xml:space="preserve"> є важливим чинником зміцнення міжнародної довіри до судової системи України, захисту прав учасників транскордонних правовідносин і наближення до європейських стандартів правосуддя.</w:t>
      </w:r>
    </w:p>
    <w:p w14:paraId="371AEDF4"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p>
    <w:p w14:paraId="1F277073" w14:textId="5885E019" w:rsidR="00220D3E" w:rsidRPr="00511005" w:rsidRDefault="007B2628" w:rsidP="007B2628">
      <w:pPr>
        <w:tabs>
          <w:tab w:val="left" w:pos="709"/>
        </w:tabs>
        <w:spacing w:line="264" w:lineRule="auto"/>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0C9F50CA" w14:textId="77777777" w:rsidR="007B2628" w:rsidRPr="00511005" w:rsidRDefault="00220D3E" w:rsidP="003F6A5D">
      <w:pPr>
        <w:numPr>
          <w:ilvl w:val="0"/>
          <w:numId w:val="17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b/>
          <w:bCs/>
          <w:szCs w:val="28"/>
        </w:rPr>
        <w:t xml:space="preserve">Цивільний процесуальний кодекс України, стаття 474. Умови визнання та надання дозволу на виконання рішення </w:t>
      </w:r>
      <w:r w:rsidRPr="00511005">
        <w:rPr>
          <w:rFonts w:ascii="Arial" w:eastAsia="Calibri" w:hAnsi="Arial" w:cs="Arial"/>
          <w:b/>
          <w:bCs/>
          <w:szCs w:val="28"/>
        </w:rPr>
        <w:lastRenderedPageBreak/>
        <w:t>міжнародного комерційного арбітражу, якщо його місце знаходиться за межами України.</w:t>
      </w:r>
      <w:r w:rsidRPr="00511005">
        <w:rPr>
          <w:rFonts w:ascii="Arial" w:eastAsia="Calibri" w:hAnsi="Arial" w:cs="Arial"/>
          <w:b/>
          <w:szCs w:val="28"/>
        </w:rPr>
        <w:t xml:space="preserve"> </w:t>
      </w:r>
      <w:r w:rsidRPr="00511005">
        <w:rPr>
          <w:rFonts w:ascii="Arial" w:eastAsia="Calibri" w:hAnsi="Arial" w:cs="Arial"/>
          <w:szCs w:val="28"/>
        </w:rPr>
        <w:t xml:space="preserve">URL: </w:t>
      </w:r>
      <w:hyperlink r:id="rId420" w:anchor="Text" w:history="1">
        <w:r w:rsidRPr="00511005">
          <w:rPr>
            <w:rFonts w:ascii="Arial" w:eastAsia="Calibri" w:hAnsi="Arial" w:cs="Arial"/>
            <w:szCs w:val="28"/>
          </w:rPr>
          <w:t>https://zakon.rada.gov.ua/laws/show/1618-15#Text</w:t>
        </w:r>
      </w:hyperlink>
      <w:r w:rsidRPr="00511005">
        <w:rPr>
          <w:rFonts w:ascii="Arial" w:eastAsia="Calibri" w:hAnsi="Arial" w:cs="Arial"/>
          <w:szCs w:val="28"/>
        </w:rPr>
        <w:t>.</w:t>
      </w:r>
    </w:p>
    <w:p w14:paraId="0DD48739" w14:textId="1472A136" w:rsidR="00220D3E" w:rsidRPr="00511005" w:rsidRDefault="00220D3E" w:rsidP="003F6A5D">
      <w:pPr>
        <w:numPr>
          <w:ilvl w:val="0"/>
          <w:numId w:val="17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Закон України «Про міжнародне приватне право» від 23.06.2005 № 2709-IV. URL:</w:t>
      </w:r>
      <w:r w:rsidRPr="00511005">
        <w:rPr>
          <w:rFonts w:ascii="Arial" w:eastAsia="Calibri" w:hAnsi="Arial" w:cs="Arial"/>
          <w:szCs w:val="28"/>
          <w:lang w:val="uk-UA"/>
        </w:rPr>
        <w:t xml:space="preserve"> https://zakon.rada.gov.ua/laws/show/2709-15#Text.</w:t>
      </w:r>
    </w:p>
    <w:p w14:paraId="2D545180" w14:textId="77777777" w:rsidR="00220D3E" w:rsidRPr="00511005" w:rsidRDefault="00220D3E" w:rsidP="003F6A5D">
      <w:pPr>
        <w:numPr>
          <w:ilvl w:val="0"/>
          <w:numId w:val="17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b/>
          <w:bCs/>
          <w:szCs w:val="28"/>
        </w:rPr>
        <w:t>Нью-Йоркська конвенція про визнання і виконання іноземних арбітражних рішень від 10 червня 1958 року.</w:t>
      </w:r>
      <w:r w:rsidRPr="00511005">
        <w:rPr>
          <w:rFonts w:ascii="Arial" w:eastAsia="Calibri" w:hAnsi="Arial" w:cs="Arial"/>
          <w:szCs w:val="28"/>
        </w:rPr>
        <w:t xml:space="preserve"> URL: </w:t>
      </w:r>
      <w:hyperlink r:id="rId421" w:tgtFrame="_new" w:history="1">
        <w:r w:rsidRPr="00511005">
          <w:rPr>
            <w:rFonts w:ascii="Arial" w:eastAsia="Calibri" w:hAnsi="Arial" w:cs="Arial"/>
            <w:szCs w:val="28"/>
          </w:rPr>
          <w:t>https://uncitral.un.org/en/texts/arbitration/conventions/foreign_arbitral_awards</w:t>
        </w:r>
      </w:hyperlink>
      <w:r w:rsidRPr="00511005">
        <w:rPr>
          <w:rFonts w:ascii="Arial" w:eastAsia="Calibri" w:hAnsi="Arial" w:cs="Arial"/>
          <w:szCs w:val="28"/>
        </w:rPr>
        <w:t>.Постанова Верховного Суду у справі № 761/40486/20 від 15.12.2021.</w:t>
      </w:r>
    </w:p>
    <w:p w14:paraId="16C77365" w14:textId="77777777" w:rsidR="00220D3E" w:rsidRPr="00511005" w:rsidRDefault="00220D3E" w:rsidP="003F6A5D">
      <w:pPr>
        <w:numPr>
          <w:ilvl w:val="0"/>
          <w:numId w:val="170"/>
        </w:numPr>
        <w:tabs>
          <w:tab w:val="left" w:pos="709"/>
        </w:tabs>
        <w:spacing w:line="264" w:lineRule="auto"/>
        <w:ind w:left="0" w:firstLine="709"/>
        <w:contextualSpacing/>
        <w:jc w:val="left"/>
        <w:rPr>
          <w:rFonts w:ascii="Arial" w:eastAsia="Calibri" w:hAnsi="Arial" w:cs="Arial"/>
          <w:szCs w:val="28"/>
          <w:lang w:val="pl-PL"/>
        </w:rPr>
      </w:pPr>
      <w:r w:rsidRPr="00511005">
        <w:rPr>
          <w:rFonts w:ascii="Arial" w:eastAsia="Calibri" w:hAnsi="Arial" w:cs="Arial"/>
          <w:b/>
          <w:bCs/>
          <w:szCs w:val="28"/>
          <w:lang w:val="en-US"/>
        </w:rPr>
        <w:t>Regulation (EU) No 1215/2012 of the European Parliament and of the Council of 12 December 2012 on jurisdiction and the recognition and enforcement of judgments in civil and commercial matters.</w:t>
      </w:r>
      <w:r w:rsidRPr="00511005">
        <w:rPr>
          <w:rFonts w:ascii="Arial" w:eastAsia="Calibri" w:hAnsi="Arial" w:cs="Arial"/>
          <w:b/>
          <w:szCs w:val="28"/>
          <w:lang w:val="en-US"/>
        </w:rPr>
        <w:t xml:space="preserve"> </w:t>
      </w:r>
      <w:r w:rsidRPr="00511005">
        <w:rPr>
          <w:rFonts w:ascii="Arial" w:eastAsia="Calibri" w:hAnsi="Arial" w:cs="Arial"/>
          <w:szCs w:val="28"/>
          <w:lang w:val="pl-PL"/>
        </w:rPr>
        <w:t xml:space="preserve">URL: </w:t>
      </w:r>
      <w:hyperlink r:id="rId422" w:tgtFrame="_new" w:history="1">
        <w:r w:rsidRPr="00511005">
          <w:rPr>
            <w:rFonts w:ascii="Arial" w:eastAsia="Calibri" w:hAnsi="Arial" w:cs="Arial"/>
            <w:szCs w:val="28"/>
            <w:lang w:val="pl-PL"/>
          </w:rPr>
          <w:t>https://eur-lex.europa.eu/legal-content/EN/TXT/?uri=CELEX%3A32012R1215</w:t>
        </w:r>
      </w:hyperlink>
      <w:r w:rsidRPr="00511005">
        <w:rPr>
          <w:rFonts w:ascii="Arial" w:eastAsia="Calibri" w:hAnsi="Arial" w:cs="Arial"/>
          <w:szCs w:val="28"/>
          <w:lang w:val="pl-PL"/>
        </w:rPr>
        <w:t>.</w:t>
      </w:r>
    </w:p>
    <w:p w14:paraId="7CA29FA3" w14:textId="3F84518E" w:rsidR="00220D3E" w:rsidRPr="00511005" w:rsidRDefault="007B2628"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іноземний суд, судові рішення, публічний доступ, закон, механізм визнання.</w:t>
      </w:r>
    </w:p>
    <w:p w14:paraId="05D32807" w14:textId="424A718C" w:rsidR="00220D3E" w:rsidRPr="00511005" w:rsidRDefault="007B2628" w:rsidP="003A292D">
      <w:pPr>
        <w:tabs>
          <w:tab w:val="left" w:pos="709"/>
        </w:tabs>
        <w:spacing w:line="264" w:lineRule="auto"/>
        <w:contextualSpacing/>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foreign court, court decisions, public access, law, recognition mechanism.</w:t>
      </w:r>
    </w:p>
    <w:p w14:paraId="10B3591B" w14:textId="67376A91" w:rsidR="00220D3E" w:rsidRPr="00511005" w:rsidRDefault="007B2628" w:rsidP="003A292D">
      <w:pPr>
        <w:tabs>
          <w:tab w:val="left" w:pos="709"/>
        </w:tabs>
        <w:spacing w:line="264" w:lineRule="auto"/>
        <w:contextualSpacing/>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асистент кафедри Бугаєць А. С.</w:t>
      </w:r>
    </w:p>
    <w:p w14:paraId="4B6E1C00" w14:textId="77777777" w:rsidR="00220D3E" w:rsidRPr="00511005" w:rsidRDefault="00220D3E" w:rsidP="003A292D">
      <w:pPr>
        <w:tabs>
          <w:tab w:val="left" w:pos="709"/>
        </w:tabs>
        <w:spacing w:line="264" w:lineRule="auto"/>
        <w:contextualSpacing/>
        <w:rPr>
          <w:rFonts w:ascii="Arial" w:eastAsia="Times New Roman" w:hAnsi="Arial" w:cs="Arial"/>
          <w:b/>
          <w:szCs w:val="28"/>
          <w:lang w:val="uk-UA" w:eastAsia="ru-RU"/>
        </w:rPr>
      </w:pPr>
    </w:p>
    <w:p w14:paraId="5A3518DF" w14:textId="77777777" w:rsidR="00220D3E" w:rsidRPr="00511005" w:rsidRDefault="00220D3E" w:rsidP="003A292D">
      <w:pPr>
        <w:tabs>
          <w:tab w:val="left" w:pos="709"/>
        </w:tabs>
        <w:spacing w:line="264" w:lineRule="auto"/>
        <w:ind w:firstLine="0"/>
        <w:contextualSpacing/>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Корінець Ангеліна Михайлівна</w:t>
      </w:r>
    </w:p>
    <w:p w14:paraId="09E2B688" w14:textId="6EC7F750" w:rsidR="008C34CC" w:rsidRPr="00511005" w:rsidRDefault="00536AAB"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59812B3B" w14:textId="77777777" w:rsidR="008C34CC" w:rsidRPr="00511005" w:rsidRDefault="008C34CC"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FB2E44E" w14:textId="74B52D41" w:rsidR="00220D3E" w:rsidRPr="00511005" w:rsidRDefault="007B2628" w:rsidP="003A292D">
      <w:pPr>
        <w:tabs>
          <w:tab w:val="left" w:pos="709"/>
        </w:tabs>
        <w:spacing w:line="264" w:lineRule="auto"/>
        <w:ind w:firstLine="0"/>
        <w:contextualSpacing/>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7CED43F2" w14:textId="77777777" w:rsidR="00220D3E" w:rsidRPr="00511005" w:rsidRDefault="00220D3E" w:rsidP="003A292D">
      <w:pPr>
        <w:tabs>
          <w:tab w:val="left" w:pos="709"/>
        </w:tabs>
        <w:spacing w:line="264" w:lineRule="auto"/>
        <w:ind w:firstLine="0"/>
        <w:contextualSpacing/>
        <w:jc w:val="center"/>
        <w:rPr>
          <w:rFonts w:ascii="Arial" w:eastAsia="Times New Roman" w:hAnsi="Arial" w:cs="Arial"/>
          <w:szCs w:val="28"/>
          <w:lang w:val="uk-UA" w:eastAsia="ru-RU"/>
        </w:rPr>
      </w:pPr>
    </w:p>
    <w:p w14:paraId="3554A349" w14:textId="77777777" w:rsidR="00220D3E" w:rsidRPr="00511005" w:rsidRDefault="00220D3E" w:rsidP="003A292D">
      <w:pPr>
        <w:tabs>
          <w:tab w:val="left" w:pos="709"/>
        </w:tabs>
        <w:spacing w:line="264" w:lineRule="auto"/>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ГЕНДЕРНА РІВНІСТЬ ТА ПРАВА ЖІНОК У МІЖНАРОДНОМУ ПРАВІ</w:t>
      </w:r>
    </w:p>
    <w:p w14:paraId="0B08F17A"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Питання захисту прав жінок неодноразово ставало предметом досліджень учених у багатьох країнах світу. У різні періоди історичного розвитку суспільства правовий статус жінки зазнавав змін. Найчастіше вона розглядалася як підлегла чоловікові, відповідно до патріархальної моделі, де її обов’язком було слухатися його та займатися вихованням дітей. Водночас у правових системах Стародавнього Єгипту та Вавилону жінка мала вагоме становище в родині, що свідчить про певні елементи рівноправності між подружжям.</w:t>
      </w:r>
    </w:p>
    <w:p w14:paraId="71249382"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val="uk-UA" w:eastAsia="ru-RU"/>
        </w:rPr>
        <w:t xml:space="preserve">Гендерна рівність та забезпечення прав жінок у контексті міжнародного права в африканських державах є складною і багатогранною темою, яка охоплює правові, культурні, соціальні та економічні чинники. Більшість країн Африки ратифікували Конвенцію ООН про ліквідацію всіх форм дискримінації щодо жінок (CEDAW), хоча деякі з них зробили застереження щодо окремих положень, що суперечать місцевим традиціям або релігійним переконанням. Одним із ключових регіональних актів є Протокол Мапуто 2003 року, що є доповненням до Африканської хартії прав людини і народів та спрямований на захист прав жінок. Документ охоплює низку важливих аспектів, зокрема заборону жіночого обрізання, участь жінок у політичному </w:t>
      </w:r>
      <w:r w:rsidRPr="00511005">
        <w:rPr>
          <w:rFonts w:ascii="Arial" w:eastAsia="Times New Roman" w:hAnsi="Arial" w:cs="Arial"/>
          <w:szCs w:val="28"/>
          <w:lang w:val="uk-UA" w:eastAsia="ru-RU"/>
        </w:rPr>
        <w:lastRenderedPageBreak/>
        <w:t xml:space="preserve">житті, доступ до освіти та медичних послуг, право на власність і захист від будь-яких форм насильства. Крім того, чимало африканських держав долучилися до реалізації Цілей сталого розвитку ООН, зокрема п’ятої цілі, що присвячена досягненню гендерної рівності </w:t>
      </w:r>
      <w:r w:rsidRPr="00511005">
        <w:rPr>
          <w:rFonts w:ascii="Arial" w:eastAsia="Times New Roman" w:hAnsi="Arial" w:cs="Arial"/>
          <w:szCs w:val="28"/>
          <w:lang w:eastAsia="ru-RU"/>
        </w:rPr>
        <w:t>[7].</w:t>
      </w:r>
    </w:p>
    <w:p w14:paraId="233BD94A"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Незважаючи на наявність міжнародних правових інструментів, країни Африки й досі стикаються з серйозними викликами у сфері забезпечення прав жінок. Особливо гостро постають проблеми ранніх і примусових шлюбів, поширених у Західній та Центральній Африці, а також практика жіночого обрізання, яка залишається актуальною в таких країнах, як Сомалі, Судан, Малі та Єгипет. У багатьох регіонах жінки мають обмежений доступ до освіти, економічної самостійності та участі у політичному житті. Крім того, проблема домашнього та сексуального насильства залишається вкрай гострою.</w:t>
      </w:r>
    </w:p>
    <w:p w14:paraId="4A0BB77C"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Попри це, в окремих державах фіксуються позитивні зміни. Наприклад, Руанда займає перше місце у світі за часткою жінок у парламенті — понад 60%. У Південній Африці законодавча база чітко захищає права жінок, зокрема існують спеціальні закони для боротьби з гендерним насильством. В Ефіопії, Кенії та Гані зростає кількість ініціатив, спрямованих на підтримку жіночого підприємництва та розширення доступу до освіти.</w:t>
      </w:r>
    </w:p>
    <w:p w14:paraId="3E8AF474"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Основні перешкоди для реалізації міжнародних норм у сфері прав жінок пов’язані з глибоко вкоріненими традиціями, релігійними переконаннями, недостатньою політичною волею, обмеженими фінансовими можливостями, а також низьким рівнем обізнаності жінок щодо своїх прав. Додатково, конфлікти та гуманітарні кризи в регіоні лише поглиблюють існуючі проблеми та підвищують вразливість жінок [6].</w:t>
      </w:r>
    </w:p>
    <w:p w14:paraId="73D0C8E6"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val="uk-UA" w:eastAsia="ru-RU"/>
        </w:rPr>
        <w:t>Водночас питання рівності у міжнародному праві в ісламських країнах є складною і часто суперечливою темою, яка знаходиться на перетині між міжнародними стандартами прав людини та нормами ісламського права (шаріату). Більшість ісламських країн є учасниками міжнародних договорів, зокрема Конвенції ООН про ліквідацію всіх форм дискримінації щодо жінок (CEDAW), однак багато з них ратифікували її із застереженнями, які дозволяють не виконувати ті положення, що суперечать їхнім релігійним або культурним нормам. Це часто стосується питань рівності у шлюбі, розлученні, спадкуванні та опіці над дітьми [7].</w:t>
      </w:r>
    </w:p>
    <w:p w14:paraId="2BB819B0"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 ісламських країнах національні закони часто базуються на шаріаті, який у різних інтерпретаціях надає чоловікам і жінкам різні права та обов’язки. У багатьох випадках жінки стикаються з обмеженнями щодо свободи пересування, вибору одягу, права голосу, участі в політичному житті або трудової діяльності. Однак ситуація значною мірою залежить від країни: наприклад, у Саудівській Аравії донедавна жінки не мали права керувати автомобілем чи подорожувати без дозволу чоловіка, тоді як у таких </w:t>
      </w:r>
      <w:r w:rsidRPr="00511005">
        <w:rPr>
          <w:rFonts w:ascii="Arial" w:eastAsia="Times New Roman" w:hAnsi="Arial" w:cs="Arial"/>
          <w:szCs w:val="28"/>
          <w:lang w:val="uk-UA" w:eastAsia="ru-RU"/>
        </w:rPr>
        <w:lastRenderedPageBreak/>
        <w:t>країнах як Туніс, Марокко чи Індонезія діють більш ліберальні закони, що забезпечують жінкам ширші можливості та захист.</w:t>
      </w:r>
    </w:p>
    <w:p w14:paraId="50BE51C6"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У той же час, у багатьох ісламських країнах зростає суспільна та міжнародна підтримка реформ, спрямованих на покращення становища жінок. Розвиваються освітні програми, зростає кількість жінок у вищих навчальних закладах, бізнесі та навіть політиці. Деякі країни також проводять правові реформи, що покликані забезпечити захист жінок від насильства, зокрема домашнього чи сексуального. Проте, виклики залишаються значними, зокрема у питаннях гармонізації норм шаріату з міжнародним правом, забезпечення реальної рівності у практиці, а не лише в законах, та подолання глибоко вкорінених патріархальних норм у суспільстві.</w:t>
      </w:r>
    </w:p>
    <w:p w14:paraId="3053F4CB"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права жінок в ісламських країнах у сфері міжнародного права формуються в умовах балансу між релігійною традицією, державним суверенітетом і зобов’язаннями перед міжнародною спільнотою. Успіх цих процесів багато в чому залежить від політичної волі, активності громадянського суспільства та здатності інтегрувати універсальні принципи прав людини у відповідні культурні та релігійні контексти. Шлях до рівноправ’я між жінками та чоловіками був тривалим і непростим. Жінки змушені були наполегливо боротися за можливість отримати хоча б базові права — брати участь у політичному житті своєї держави чи мати доступ до професійної діяльності. Це дозволяло їм поступово виходити за межі традиційної ролі, нав’язаної суспільством, як виключно домогосподарки та хранительки сімейного затишку [2].</w:t>
      </w:r>
    </w:p>
    <w:p w14:paraId="1FE2DDC0"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Основним нормативно-правовим документом України, який гарантує жінкам і чоловікам реалізацію рівних прав та можливостей, є Конституція. У ній закріплено принцип рівноправ’я між статями. Зокрема, стаття 24 Конституції України проголошує, що не допускаються жодні привілеї чи обмеження за ознаками раси, кольору шкіри, політичних, релігійних або інших переконань, статі, етнічного чи соціального походження, майнового стану, місця проживання, мови чи будь-яких інших підстав [1]. </w:t>
      </w:r>
    </w:p>
    <w:p w14:paraId="5D61C599"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Окрім Основного закону України, існує також чимало важливих нормативно-правових документів, що мають на меті забезпечення гендерної рівності.</w:t>
      </w:r>
    </w:p>
    <w:p w14:paraId="0AE656ED"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Щодо міжнародного регулювання даного питання, одним з головних актів, який відіграє важливу роль у розширенні участі жінок у миротворчих процесах та відбудові після конфліктів, є Резолюція Ради Безпеки ООН 1325 «Жінки, мир, безпека», прийнята у 2000 році.</w:t>
      </w:r>
    </w:p>
    <w:p w14:paraId="41A17B7E"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Вона закликає всі сторони враховувати специфічні потреби жінок і дівчат у процесі укладання та реалізації мирних угод, зокрема під час репатріації, переселення, а також у питаннях, що стосуються реабілітації, реінтеграції та постконфліктного відновлення. Також документ наголошує на </w:t>
      </w:r>
      <w:r w:rsidRPr="00511005">
        <w:rPr>
          <w:rFonts w:ascii="Arial" w:eastAsia="Times New Roman" w:hAnsi="Arial" w:cs="Arial"/>
          <w:szCs w:val="28"/>
          <w:lang w:val="uk-UA" w:eastAsia="ru-RU"/>
        </w:rPr>
        <w:lastRenderedPageBreak/>
        <w:t>важливості підтримки ініціатив жінок у сфері місцевого миротворення та участі у процесах врегулювання конфліктів на місцевому рівні. [3]</w:t>
      </w:r>
    </w:p>
    <w:p w14:paraId="6B0B6FDB"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Варто звернути увагу на Європейську конвенцію з прав людини та основоположних свобод, яка відіграє важливу роль у захисті осіб, що постраждали від насильства. Європейський суд з прав людини розглядає справи, пов’язані з насильством проти жінок, а його рішення є обов’язковими для виконання державами-учасницями.</w:t>
      </w:r>
    </w:p>
    <w:p w14:paraId="30CF11A8"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У випадку, коли держава не забезпечує належну законодавчу базу та не гарантує на практиці рівний доступ до правового захисту, особа, яка зазнала домашнього насильства, може опинитися в ситуації дискримінації та порушення свого права на ефективний захист [4].</w:t>
      </w:r>
    </w:p>
    <w:p w14:paraId="12E51F7E"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val="uk-UA" w:eastAsia="ru-RU"/>
        </w:rPr>
        <w:t>Конвенція Ради Європи про запобігання та боротьбу з насильством щодо жінок і домашнім насильством, відома як Стамбульська конвенція, є важливим міжнародним документом, розробленим за участі всіх держав-членів Ради Європи, включно з Україною у 2011 році. Україна вже ратифікувала цю конвенцію, що стало значним кроком у напрямку посилення захисту жертв насильства.</w:t>
      </w:r>
      <w:r w:rsidRPr="00511005">
        <w:rPr>
          <w:rFonts w:ascii="Arial" w:eastAsia="Times New Roman" w:hAnsi="Arial" w:cs="Arial"/>
          <w:szCs w:val="28"/>
          <w:lang w:eastAsia="ru-RU"/>
        </w:rPr>
        <w:t>[5]</w:t>
      </w:r>
    </w:p>
    <w:p w14:paraId="7AF5E6DB"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Стамбульська конвенція передбачає низку заходів, спрямованих на ефективну протидію насильству над жінками. Зокрема, це впровадження комплексної системи заходів щодо боротьби з усіма формами гендерного насильства; розширення кола осіб, які можуть бути притягнуті до відповідальності за домашнє насильство (включаючи партнера, друга, керівника тощо); надання правоохоронним органам повноважень негайно усувати кривдника з оселі задля безпеки постраждалої; створення спеціалізованих притулків для тимчасового перебування жертв; підтримка роботи «гарячих» телефонних ліній, які забезпечують доступ до інформації про права та можливу допомогу [3].</w:t>
      </w:r>
    </w:p>
    <w:p w14:paraId="46A667B4"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Удосконалення механізмів забезпечення рівних прав та можливостей для жінок і чоловіків в Україні є важливим кроком до досягнення дотримання та захисту прав людини, що є однією з основних цінностей демократичної та правової держави. Для цього необхідно впровадити відповідні заходи, спрямовані на усунення порушень у різних сферах соціальних відносин.</w:t>
      </w:r>
    </w:p>
    <w:p w14:paraId="78E53FE0"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Ми — громадяни європейської країни, які прагнуть жити в безпечному суспільстві, де кожен з нас та наші діти мають змогу захистити свої права, гідність і честь від будь-яких форм насильства, дискримінації та гендерної нерівності.</w:t>
      </w:r>
    </w:p>
    <w:p w14:paraId="0DD06C43" w14:textId="5E2D4870" w:rsidR="00220D3E" w:rsidRPr="00511005" w:rsidRDefault="007B2628" w:rsidP="007B2628">
      <w:pPr>
        <w:keepNext/>
        <w:widowControl w:val="0"/>
        <w:tabs>
          <w:tab w:val="left" w:pos="709"/>
        </w:tabs>
        <w:spacing w:line="264" w:lineRule="auto"/>
        <w:contextualSpacing/>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0FD611CC" w14:textId="77777777" w:rsidR="00220D3E" w:rsidRPr="00511005" w:rsidRDefault="00220D3E" w:rsidP="003F6A5D">
      <w:pPr>
        <w:keepNext/>
        <w:widowControl w:val="0"/>
        <w:numPr>
          <w:ilvl w:val="0"/>
          <w:numId w:val="125"/>
        </w:numPr>
        <w:tabs>
          <w:tab w:val="left" w:pos="709"/>
        </w:tabs>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bCs/>
          <w:szCs w:val="28"/>
          <w:lang w:val="uk-UA"/>
        </w:rPr>
        <w:t xml:space="preserve">Конституція України: </w:t>
      </w:r>
      <w:r w:rsidRPr="00511005">
        <w:rPr>
          <w:rFonts w:ascii="Arial" w:eastAsia="Calibri" w:hAnsi="Arial" w:cs="Arial"/>
          <w:szCs w:val="28"/>
          <w:lang w:val="uk-UA"/>
        </w:rPr>
        <w:t xml:space="preserve">офіц. Текст від 26.08.1996 № 254к/96-ВР станом на 01.01.2020 </w:t>
      </w:r>
      <w:r w:rsidRPr="00511005">
        <w:rPr>
          <w:rFonts w:ascii="Arial" w:eastAsia="Calibri" w:hAnsi="Arial" w:cs="Arial"/>
          <w:bCs/>
          <w:szCs w:val="28"/>
          <w:lang w:val="uk-UA"/>
        </w:rPr>
        <w:t xml:space="preserve">URL: </w:t>
      </w:r>
      <w:hyperlink r:id="rId423" w:anchor="Text" w:history="1">
        <w:r w:rsidRPr="00511005">
          <w:rPr>
            <w:rFonts w:ascii="Arial" w:eastAsia="Calibri" w:hAnsi="Arial" w:cs="Arial"/>
            <w:bCs/>
            <w:szCs w:val="28"/>
            <w:lang w:val="uk-UA"/>
          </w:rPr>
          <w:t>https://zakon.rada.gov.ua/laws/show/254%D0%BA/96-%D0%B2%D1%80#Text</w:t>
        </w:r>
      </w:hyperlink>
      <w:r w:rsidRPr="00511005">
        <w:rPr>
          <w:rFonts w:ascii="Arial" w:eastAsia="Calibri" w:hAnsi="Arial" w:cs="Arial"/>
          <w:bCs/>
          <w:szCs w:val="28"/>
          <w:lang w:val="uk-UA"/>
        </w:rPr>
        <w:t xml:space="preserve"> ( дата звернення 23.04.2025р)</w:t>
      </w:r>
    </w:p>
    <w:p w14:paraId="22756F37" w14:textId="77777777" w:rsidR="00220D3E" w:rsidRPr="00511005" w:rsidRDefault="00220D3E" w:rsidP="003F6A5D">
      <w:pPr>
        <w:keepNext/>
        <w:widowControl w:val="0"/>
        <w:numPr>
          <w:ilvl w:val="0"/>
          <w:numId w:val="125"/>
        </w:numPr>
        <w:tabs>
          <w:tab w:val="left" w:pos="709"/>
        </w:tabs>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szCs w:val="28"/>
          <w:lang w:val="uk-UA"/>
        </w:rPr>
        <w:t xml:space="preserve">Загальна декларація прав людини : Декларація ООН від </w:t>
      </w:r>
      <w:r w:rsidRPr="00511005">
        <w:rPr>
          <w:rFonts w:ascii="Arial" w:eastAsia="Calibri" w:hAnsi="Arial" w:cs="Arial"/>
          <w:szCs w:val="28"/>
          <w:lang w:val="uk-UA"/>
        </w:rPr>
        <w:lastRenderedPageBreak/>
        <w:t>10.12.1948 р. Офіційний вісник України. 2016. С. 30</w:t>
      </w:r>
    </w:p>
    <w:p w14:paraId="0E385BFD" w14:textId="77777777" w:rsidR="00220D3E" w:rsidRPr="00511005" w:rsidRDefault="00220D3E" w:rsidP="003F6A5D">
      <w:pPr>
        <w:keepNext/>
        <w:widowControl w:val="0"/>
        <w:numPr>
          <w:ilvl w:val="0"/>
          <w:numId w:val="125"/>
        </w:numPr>
        <w:tabs>
          <w:tab w:val="left" w:pos="709"/>
        </w:tabs>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szCs w:val="28"/>
          <w:lang w:val="uk-UA"/>
        </w:rPr>
        <w:t xml:space="preserve">Жінки. Мир. Безпека: Інформаційно-навчальний посібник з ґендерних аспектів конфліктів для фахівців соціальної сфери. Київ. 2017. C. 172 </w:t>
      </w:r>
    </w:p>
    <w:p w14:paraId="232DA592" w14:textId="4CC6C07A" w:rsidR="00220D3E" w:rsidRPr="00511005" w:rsidRDefault="00220D3E" w:rsidP="003F6A5D">
      <w:pPr>
        <w:numPr>
          <w:ilvl w:val="0"/>
          <w:numId w:val="125"/>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Європейська конвенція про права людини (змінена та доповнена Протоколом № 11). Strasbourg : Directorate General of Human Rights Council of Europe. Текст від 11.05.1995р. № 11 994_536 </w:t>
      </w:r>
      <w:r w:rsidRPr="00511005">
        <w:rPr>
          <w:rFonts w:ascii="Arial" w:eastAsia="Calibri" w:hAnsi="Arial" w:cs="Arial"/>
          <w:bCs/>
          <w:szCs w:val="28"/>
          <w:lang w:val="uk-UA"/>
        </w:rPr>
        <w:t xml:space="preserve">URL: </w:t>
      </w:r>
      <w:hyperlink r:id="rId424" w:anchor="Text" w:history="1">
        <w:r w:rsidRPr="00511005">
          <w:rPr>
            <w:rFonts w:ascii="Arial" w:eastAsia="Calibri" w:hAnsi="Arial" w:cs="Arial"/>
            <w:bCs/>
            <w:szCs w:val="28"/>
            <w:lang w:val="uk-UA"/>
          </w:rPr>
          <w:t>https://zakon.rada.gov.ua/laws/show/994_536#Text</w:t>
        </w:r>
      </w:hyperlink>
      <w:r w:rsidR="007B2628" w:rsidRPr="00511005">
        <w:rPr>
          <w:rFonts w:ascii="Arial" w:eastAsia="Calibri" w:hAnsi="Arial" w:cs="Arial"/>
          <w:bCs/>
          <w:szCs w:val="28"/>
          <w:lang w:val="uk-UA"/>
        </w:rPr>
        <w:t xml:space="preserve"> </w:t>
      </w:r>
      <w:r w:rsidRPr="00511005">
        <w:rPr>
          <w:rFonts w:ascii="Arial" w:eastAsia="Calibri" w:hAnsi="Arial" w:cs="Arial"/>
          <w:szCs w:val="28"/>
          <w:lang w:val="uk-UA"/>
        </w:rPr>
        <w:t>(дата звернення 02.05.2025р)</w:t>
      </w:r>
    </w:p>
    <w:p w14:paraId="29358F68" w14:textId="56132965" w:rsidR="00220D3E" w:rsidRPr="00511005" w:rsidRDefault="00220D3E" w:rsidP="003F6A5D">
      <w:pPr>
        <w:numPr>
          <w:ilvl w:val="0"/>
          <w:numId w:val="125"/>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bCs/>
          <w:szCs w:val="28"/>
          <w:lang w:val="uk-UA"/>
        </w:rPr>
        <w:t xml:space="preserve">Конвенція Ради Європи про запобігання насильству стосовно жінок і домашньому насильству та боротьбу із цими явищами. Текст від 11.05.2011р ратифікація від 20.06.2022, підстава - 2319-IX URL: </w:t>
      </w:r>
      <w:hyperlink r:id="rId425" w:anchor="Text" w:history="1">
        <w:r w:rsidRPr="00511005">
          <w:rPr>
            <w:rFonts w:ascii="Arial" w:eastAsia="Calibri" w:hAnsi="Arial" w:cs="Arial"/>
            <w:bCs/>
            <w:szCs w:val="28"/>
            <w:lang w:val="uk-UA"/>
          </w:rPr>
          <w:t>https://zakon.rada.gov.ua/laws/show/994_001-11#Text</w:t>
        </w:r>
      </w:hyperlink>
      <w:r w:rsidR="007B2628" w:rsidRPr="00511005">
        <w:rPr>
          <w:rFonts w:ascii="Arial" w:eastAsia="Calibri" w:hAnsi="Arial" w:cs="Arial"/>
          <w:bCs/>
          <w:szCs w:val="28"/>
          <w:lang w:val="uk-UA"/>
        </w:rPr>
        <w:t xml:space="preserve"> </w:t>
      </w:r>
      <w:r w:rsidRPr="00511005">
        <w:rPr>
          <w:rFonts w:ascii="Arial" w:eastAsia="Calibri" w:hAnsi="Arial" w:cs="Arial"/>
          <w:szCs w:val="28"/>
          <w:lang w:val="uk-UA"/>
        </w:rPr>
        <w:t>(дата звернення 02.05.2025р)</w:t>
      </w:r>
    </w:p>
    <w:p w14:paraId="06CB598F" w14:textId="77777777" w:rsidR="00220D3E" w:rsidRPr="00511005" w:rsidRDefault="00220D3E" w:rsidP="003F6A5D">
      <w:pPr>
        <w:numPr>
          <w:ilvl w:val="0"/>
          <w:numId w:val="125"/>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Протокол Мапуто (Протокол до Африканської хартії прав людини і народів щодо прав жінок в Африці)</w:t>
      </w:r>
      <w:r w:rsidRPr="00511005">
        <w:rPr>
          <w:rFonts w:ascii="Arial" w:eastAsia="Calibri" w:hAnsi="Arial" w:cs="Arial"/>
          <w:szCs w:val="28"/>
        </w:rPr>
        <w:t xml:space="preserve"> </w:t>
      </w:r>
      <w:r w:rsidRPr="00511005">
        <w:rPr>
          <w:rFonts w:ascii="Arial" w:eastAsia="Calibri" w:hAnsi="Arial" w:cs="Arial"/>
          <w:szCs w:val="28"/>
          <w:lang w:val="uk-UA"/>
        </w:rPr>
        <w:t xml:space="preserve">від 11.07.2003р </w:t>
      </w:r>
      <w:r w:rsidRPr="00511005">
        <w:rPr>
          <w:rFonts w:ascii="Arial" w:eastAsia="Calibri" w:hAnsi="Arial" w:cs="Arial"/>
          <w:bCs/>
          <w:szCs w:val="28"/>
          <w:lang w:val="uk-UA"/>
        </w:rPr>
        <w:t xml:space="preserve">URL: </w:t>
      </w:r>
      <w:hyperlink r:id="rId426" w:history="1">
        <w:r w:rsidRPr="00511005">
          <w:rPr>
            <w:rFonts w:ascii="Arial" w:eastAsia="Calibri" w:hAnsi="Arial" w:cs="Arial"/>
            <w:bCs/>
            <w:szCs w:val="28"/>
            <w:lang w:val="uk-UA"/>
          </w:rPr>
          <w:t>https://www.endcrsv.org/uk/guidebook/%D1%81%D0%B0%D1%81/</w:t>
        </w:r>
      </w:hyperlink>
      <w:r w:rsidRPr="00511005">
        <w:rPr>
          <w:rFonts w:ascii="Arial" w:eastAsia="Calibri" w:hAnsi="Arial" w:cs="Arial"/>
          <w:bCs/>
          <w:szCs w:val="28"/>
          <w:lang w:val="uk-UA"/>
        </w:rPr>
        <w:t xml:space="preserve"> </w:t>
      </w:r>
      <w:r w:rsidRPr="00511005">
        <w:rPr>
          <w:rFonts w:ascii="Arial" w:eastAsia="Calibri" w:hAnsi="Arial" w:cs="Arial"/>
          <w:szCs w:val="28"/>
          <w:lang w:val="uk-UA"/>
        </w:rPr>
        <w:t>(дата звернення 02.05.2025р)</w:t>
      </w:r>
    </w:p>
    <w:p w14:paraId="42376F15" w14:textId="70904735" w:rsidR="00220D3E" w:rsidRPr="00511005" w:rsidRDefault="00220D3E" w:rsidP="003F6A5D">
      <w:pPr>
        <w:numPr>
          <w:ilvl w:val="0"/>
          <w:numId w:val="125"/>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Конвенція Організації Об'єднаних Націй про ліквідацію всіх форм дискримінації щодо жінок. Текст від 06.10.1999, підстава - 995_794 </w:t>
      </w:r>
      <w:r w:rsidRPr="00511005">
        <w:rPr>
          <w:rFonts w:ascii="Arial" w:eastAsia="Calibri" w:hAnsi="Arial" w:cs="Arial"/>
          <w:bCs/>
          <w:szCs w:val="28"/>
          <w:lang w:val="uk-UA"/>
        </w:rPr>
        <w:t>URL:</w:t>
      </w:r>
      <w:r w:rsidR="007B2628" w:rsidRPr="00511005">
        <w:rPr>
          <w:rFonts w:ascii="Arial" w:eastAsia="Calibri" w:hAnsi="Arial" w:cs="Arial"/>
          <w:bCs/>
          <w:szCs w:val="28"/>
          <w:lang w:val="uk-UA"/>
        </w:rPr>
        <w:t xml:space="preserve"> </w:t>
      </w:r>
      <w:hyperlink r:id="rId427" w:anchor="Text" w:history="1">
        <w:r w:rsidRPr="00511005">
          <w:rPr>
            <w:rFonts w:ascii="Arial" w:eastAsia="Calibri" w:hAnsi="Arial" w:cs="Arial"/>
            <w:szCs w:val="28"/>
            <w:lang w:val="uk-UA"/>
          </w:rPr>
          <w:t>https://zakon.rada.gov.ua/laws/show/995_207#Text</w:t>
        </w:r>
      </w:hyperlink>
      <w:r w:rsidRPr="00511005">
        <w:rPr>
          <w:rFonts w:ascii="Arial" w:eastAsia="Calibri" w:hAnsi="Arial" w:cs="Arial"/>
          <w:szCs w:val="28"/>
          <w:lang w:val="uk-UA"/>
        </w:rPr>
        <w:t xml:space="preserve"> (дата звернення 02.05.2025р)</w:t>
      </w:r>
    </w:p>
    <w:p w14:paraId="63AD51F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0B2D782D" w14:textId="05CBF541" w:rsidR="00220D3E" w:rsidRPr="00511005" w:rsidRDefault="007B2628" w:rsidP="003A292D">
      <w:pPr>
        <w:tabs>
          <w:tab w:val="left" w:pos="709"/>
        </w:tabs>
        <w:spacing w:line="264" w:lineRule="auto"/>
        <w:contextualSpacing/>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20D3E" w:rsidRPr="00511005">
        <w:rPr>
          <w:rFonts w:ascii="Arial" w:eastAsia="Calibri" w:hAnsi="Arial" w:cs="Arial"/>
          <w:szCs w:val="28"/>
          <w:lang w:val="uk-UA"/>
        </w:rPr>
        <w:t>гендерна нерівність, права жінок, конвенція, рівноправ’я, демократія</w:t>
      </w:r>
    </w:p>
    <w:p w14:paraId="6A67FFDB" w14:textId="6A408F0D" w:rsidR="00220D3E" w:rsidRPr="00511005" w:rsidRDefault="007B2628" w:rsidP="003A292D">
      <w:pPr>
        <w:tabs>
          <w:tab w:val="left" w:pos="709"/>
        </w:tabs>
        <w:spacing w:line="264" w:lineRule="auto"/>
        <w:contextualSpacing/>
        <w:rPr>
          <w:rFonts w:ascii="Arial" w:eastAsia="Calibri" w:hAnsi="Arial" w:cs="Arial"/>
          <w:i/>
          <w:szCs w:val="28"/>
          <w:lang w:val="uk-UA"/>
        </w:rPr>
      </w:pPr>
      <w:r w:rsidRPr="00511005">
        <w:rPr>
          <w:rFonts w:ascii="Arial" w:eastAsia="Calibri" w:hAnsi="Arial" w:cs="Arial"/>
          <w:b/>
          <w:i/>
          <w:szCs w:val="28"/>
          <w:lang w:val="uk-UA"/>
        </w:rPr>
        <w:t xml:space="preserve">Key words: </w:t>
      </w:r>
      <w:r w:rsidR="00220D3E" w:rsidRPr="00511005">
        <w:rPr>
          <w:rFonts w:ascii="Arial" w:eastAsia="Calibri" w:hAnsi="Arial" w:cs="Arial"/>
          <w:szCs w:val="28"/>
          <w:lang w:val="uk-UA"/>
        </w:rPr>
        <w:t>gender inequality, women's rights, convention, equal rights, democracy</w:t>
      </w:r>
    </w:p>
    <w:p w14:paraId="32CF6687" w14:textId="2591736A" w:rsidR="00220D3E" w:rsidRPr="00511005" w:rsidRDefault="007B2628" w:rsidP="003A292D">
      <w:pPr>
        <w:tabs>
          <w:tab w:val="left" w:pos="709"/>
        </w:tabs>
        <w:spacing w:line="264" w:lineRule="auto"/>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220D3E" w:rsidRPr="00511005">
        <w:rPr>
          <w:rFonts w:ascii="Arial" w:eastAsia="Calibri" w:hAnsi="Arial" w:cs="Arial"/>
          <w:i/>
          <w:szCs w:val="28"/>
          <w:lang w:val="uk-UA"/>
        </w:rPr>
        <w:t>к.ю.н., доцент</w:t>
      </w:r>
      <w:r w:rsidRPr="00511005">
        <w:rPr>
          <w:rFonts w:ascii="Arial" w:eastAsia="Calibri" w:hAnsi="Arial" w:cs="Arial"/>
          <w:i/>
          <w:szCs w:val="28"/>
          <w:lang w:val="uk-UA"/>
        </w:rPr>
        <w:t xml:space="preserve"> </w:t>
      </w:r>
      <w:r w:rsidR="00220D3E" w:rsidRPr="00511005">
        <w:rPr>
          <w:rFonts w:ascii="Arial" w:eastAsia="Calibri" w:hAnsi="Arial" w:cs="Arial"/>
          <w:i/>
          <w:szCs w:val="28"/>
          <w:lang w:val="uk-UA"/>
        </w:rPr>
        <w:t>Гриб А.М.</w:t>
      </w:r>
    </w:p>
    <w:p w14:paraId="599D0715"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p>
    <w:p w14:paraId="782599C0"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Костюк Мар</w:t>
      </w:r>
      <w:r w:rsidRPr="00511005">
        <w:rPr>
          <w:rFonts w:ascii="Arial" w:eastAsia="Times New Roman" w:hAnsi="Arial" w:cs="Arial"/>
          <w:b/>
          <w:i/>
          <w:szCs w:val="28"/>
          <w:lang w:eastAsia="ru-RU"/>
        </w:rPr>
        <w:t>’</w:t>
      </w:r>
      <w:r w:rsidRPr="00511005">
        <w:rPr>
          <w:rFonts w:ascii="Arial" w:eastAsia="Times New Roman" w:hAnsi="Arial" w:cs="Arial"/>
          <w:b/>
          <w:i/>
          <w:szCs w:val="28"/>
          <w:lang w:val="uk-UA" w:eastAsia="ru-RU"/>
        </w:rPr>
        <w:t>яна Іванівна</w:t>
      </w:r>
    </w:p>
    <w:p w14:paraId="4B644AFB" w14:textId="0940D210" w:rsidR="008C34CC" w:rsidRPr="00511005" w:rsidRDefault="00536AAB"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619D5C3E" w14:textId="77777777" w:rsidR="008C34CC" w:rsidRPr="00511005" w:rsidRDefault="008C34CC"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A2D3EEF" w14:textId="45D45144"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64D4590C"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416915B9"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УНІВЕРСАЛЬНІ ТА РЕГІОНАЛЬНІ МЕХАНІЗМИ ЗАХИСТУ ПРАВ ЛЮДИНИ: ПОРІВНЯЛЬНИЙ АНАЛІЗ ЇХ ЕФЕКТИВНОСТІ</w:t>
      </w:r>
    </w:p>
    <w:p w14:paraId="7773376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Універсальні та регіональні механізми захисту прав людини є двома основними рівнями систем міжнародного права, покликаними гарантувати дотримання фундаментальних прав особи. Універсальні механізми діють у межах Організації Об’єднаних Націй (ООН) і охоплюють усі держави-члени, натомість регіональні функціонують у межах конкретних географічних регіонів (Європа, Америка, Африка тощо). Порівняльний аналіз їх </w:t>
      </w:r>
      <w:r w:rsidRPr="00511005">
        <w:rPr>
          <w:rFonts w:ascii="Arial" w:eastAsia="Times New Roman" w:hAnsi="Arial" w:cs="Arial"/>
          <w:szCs w:val="28"/>
          <w:lang w:val="uk-UA" w:eastAsia="ru-RU"/>
        </w:rPr>
        <w:lastRenderedPageBreak/>
        <w:t>ефективності дозволяє глибше зрозуміти сильні та слабкі сторони кожної моделі захисту прав людини.</w:t>
      </w:r>
    </w:p>
    <w:p w14:paraId="1A21DC3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Універсальні механізми захисту прав людини охоплюють комплекс інституцій та процедур, які функціонують під егідою ООН з метою забезпечення реалізації загальнолюдських стандартів у сфері прав і свобод особи. До таких механізмів відносяться, зокрема, Рада ООН з прав людини, договірні органи, які здійснюють моніторинг виконання міжнародних договорів (наприклад, Комітет ООН з прав людини, Комітет проти катувань, Комітет з ліквідації расової дискримінації), а також Універсальний періодичний огляд (УПО), що є новітнім інструментом перевірки дотримання прав людини в усіх країнах-членах ООН [1, с. 152].</w:t>
      </w:r>
    </w:p>
    <w:p w14:paraId="2009E37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Центральне місце серед універсальних механізмів захисту прав людини посідає Рада ООН з прав людини (РПЛ), яка є основним міжурядовим органом системи ООН у цій сфері. Механізми її роботи включають: спеціальні процедури, УПО та розгляд скарг. Процедура розгляду скарг – це механізм, який дає змогу звертатися зі скаргами на грубі та систематичні порушення прав людини, навіть без прив’язки до окремих міжнародних договорів.</w:t>
      </w:r>
    </w:p>
    <w:p w14:paraId="366798D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Окрім Ради ООН з прав людини, до універсальних механізмів захисту прав людини належить також Управління Верховного комісара ООН з прав людини - головний інституційний орган, що виконує роль секретаріату для РПЛ, а також координує спеціальні процедури, забезпечує моніторинг, технічну підтримку, публікацію звітів і просвітницьку діяльність у сфері прав людини.</w:t>
      </w:r>
    </w:p>
    <w:p w14:paraId="3F5EE5F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Перевагою універсальних механізмів є їх глобальний масштаб, охоплення усіх держав незалежно від географічного положення, рівня розвитку чи політичного режиму. Вони встановлюють єдині для всіх міжнародні стандарти, які мають еталонне значення у сфері прав людини, і забезпечують формально рівний підхід до всіх країн. Так, наприклад, під час проходження УПО кожна держава підлягає оцінці з боку інших держав-членів ООН на основі попередніх зобов’язань, поданих національних звітів і доповідей незалежних експертів. Це створює певний механізм морального та політичного тиску, спрямований на поліпшення ситуації з правами людини.</w:t>
      </w:r>
    </w:p>
    <w:p w14:paraId="36AA071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Проте ефективність цих механізмів обмежується переважно консультативним характером їхніх рекомендацій. Органи ООН не мають інструментів прямого примусу або санкцій щодо держав, які порушують права людини. Більшість рішень носять рекомендаційний характер і залежать від доброї волі урядів щодо їх реалізації. Наприклад, навіть якщо Комітет з прав людини встановлює порушення Міжнародного пакту про громадянські і політичні права, його висновки не мають юридично </w:t>
      </w:r>
      <w:r w:rsidRPr="00511005">
        <w:rPr>
          <w:rFonts w:ascii="Arial" w:eastAsia="Times New Roman" w:hAnsi="Arial" w:cs="Arial"/>
          <w:szCs w:val="28"/>
          <w:lang w:val="uk-UA" w:eastAsia="ru-RU"/>
        </w:rPr>
        <w:lastRenderedPageBreak/>
        <w:t>зобов’язувального статусу, а виконання рекомендацій залишається добровільним.</w:t>
      </w:r>
    </w:p>
    <w:p w14:paraId="33DF7BB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Крім того, значна частина універсальних механізмів є вразливою до політичного впливу. Зокрема, Рада ООН з прав людини неодноразово зазнавала критики за вибірковість у реагуванні на порушення, переважання політичних міркувань над об’єктивною правозахисною оцінкою ситуації, а також за присутність у її складі держав, самі підозрювані у систематичних порушеннях прав людини. Це знижує рівень довіри до інституції та ставить під сумнів її здатність ефективно реагувати на масштабні або системні кризи [3, с. 214].</w:t>
      </w:r>
    </w:p>
    <w:p w14:paraId="1F9ACED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Ще одним суттєвим недоліком є складність процедур звернення до договірних органів для індивідів: звернення потребують вичерпання всіх національних засобів захисту, можуть тривати роками, а заявникам часто бракує підтримки чи інформації про можливості такого захисту. У підсумку, хоча універсальні механізми мають значний вплив на формування глобальних стандартів і правозахисної риторики, на практиці їхня ефективність обмежена політичними бар’єрами, браком обов’язковості та складністю доступу для пересічних громадян.</w:t>
      </w:r>
    </w:p>
    <w:p w14:paraId="10FDC508" w14:textId="42D8A03D"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Регіональні механізми щодо захисту прав людини є опором для становлення міжнародної системи захисту прав людини [2, с. 89].</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Такі механізми як-от Європейський суд з прав людини, Міжамериканська комісія та суд з прав людини, Африканський суд з прав людини та народів, демонструють вищу ефективність завдяки глибшій інтеграції в конкретні правові, культурні та соціальні контексти відповідних регіонів. Їхня діяльність базується на регіональних конвенціях про захист прав людини, які деталізують міжнародні стандарти, враховуючи історичні, політичні та правові особливості країн-учасниць. Ці механізми, на відміну від універсальних, функціонують як повноцінні судові або квазісудові інституції з визначеними процесуальними процедурами, обов’язковістю виконання рішень і прямою можливістю подання індивідуальних скарг.</w:t>
      </w:r>
    </w:p>
    <w:p w14:paraId="727C7CD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Зокрема, Європейський суд з прав людини, який діє в межах Ради Європи, є найбільш розвиненим прикладом регіонального механізму. Його рішення мають обов’язкову силу для держав-членів і підлягають виконанню відповідно до національного законодавства, що забезпечує прямий вплив на правову систему держави, включно із переглядом судових рішень, змінами у законах та адміністративній практиці [1, с. 156]. Суд має усталену й об’ємну практику тлумачення Європейської конвенції з прав людини, що забезпечує стабільність, послідовність і передбачуваність правозастосування.</w:t>
      </w:r>
    </w:p>
    <w:p w14:paraId="2CCE92D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Подібні функції виконують Міжамериканська комісія з прав людини та Міжамериканський суд з прав людини, які працюють у межах Організації американських держав. Ці інституції мають право розглядати індивідуальні </w:t>
      </w:r>
      <w:r w:rsidRPr="00511005">
        <w:rPr>
          <w:rFonts w:ascii="Arial" w:eastAsia="Times New Roman" w:hAnsi="Arial" w:cs="Arial"/>
          <w:szCs w:val="28"/>
          <w:lang w:val="uk-UA" w:eastAsia="ru-RU"/>
        </w:rPr>
        <w:lastRenderedPageBreak/>
        <w:t>скарги, здійснювати моніторинг дотримання прав людини, видавати обов’язкові рішення та рекомендації. Проте ефективність у Латинській Америці варіюється залежно від рівня правової культури та політичної волі держав, хоча у ряді випадків рішення Міжамериканського суду відіграли ключову роль у виправленні системних порушень.</w:t>
      </w:r>
    </w:p>
    <w:p w14:paraId="0BE3D4E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Африканський суд з прав людини і народів є відносно новим органом, створеним на базі Африканської хартії прав людини і народів. Його юрисдикція поступово розширюється, хоча рівень визнання його повноважень окремими державами є ще недостатнім. Попри це, він виступає перспективною платформою для розвитку регіональної юриспруденції в галузі прав людини та зміцнення інституційного контролю над дотриманням правових стандартів [3, с. 211].</w:t>
      </w:r>
    </w:p>
    <w:p w14:paraId="3E6BDF3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Перевагою регіональних механізмів також є більша процесуальна доступність для осіб, оскільки вони діють у межах менших за обсягом і більш однорідних груп держав, що полегшує звернення громадян і дозволяє швидше реагувати на порушення. Рішення таких органів, як правило, виконуються з вищим ступенем відповідальності, оскільки держави, які входять до відповідних регіональних організацій, зацікавлені у збереженні авторитету й уникненні санкцій або публічного осуду в межах спільноти.</w:t>
      </w:r>
    </w:p>
    <w:p w14:paraId="4B5E078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Проте регіональні механізми не є універсальними, не всі регіони мають ефективну систему захисту. Наприклад, в Азії досі не існує загальноазійського механізму захисту прав людини. Крім того, ефективність навіть наявних регіональних інституцій залежить від політичної волі держав та їх правових традицій.</w:t>
      </w:r>
    </w:p>
    <w:p w14:paraId="7153D71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універсальні механізми забезпечують загальні стандарти прав людини і мають глобальну легітимність, проте поступаються в ефективності регіональним, які, своєю чергою, є більш дієвими в контексті виконання рішень і близькості до заявників. Ідеальним є поєднання обох рівнів, коли універсальні інститути встановлюють загальну рамку, а регіональні забезпечують реалізацію на практиці.</w:t>
      </w:r>
    </w:p>
    <w:p w14:paraId="386FF376"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39DBC8D0" w14:textId="7785F696"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3FB3B05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1.</w:t>
      </w:r>
      <w:r w:rsidRPr="00511005">
        <w:rPr>
          <w:rFonts w:ascii="Arial" w:eastAsia="Times New Roman" w:hAnsi="Arial" w:cs="Arial"/>
          <w:szCs w:val="28"/>
          <w:lang w:val="uk-UA" w:eastAsia="ru-RU"/>
        </w:rPr>
        <w:tab/>
        <w:t xml:space="preserve">Буроменський М.В. Міжнародне право: підручник. Київ: Юрінком Інтер, 2019. 784 с. </w:t>
      </w:r>
      <w:proofErr w:type="gramStart"/>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https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fpk</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in</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images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biblioteka</w:t>
      </w:r>
      <w:r w:rsidRPr="00511005">
        <w:rPr>
          <w:rFonts w:ascii="Arial" w:eastAsia="Times New Roman" w:hAnsi="Arial" w:cs="Arial"/>
          <w:szCs w:val="28"/>
          <w:lang w:val="uk-UA" w:eastAsia="ru-RU"/>
        </w:rPr>
        <w:t>/3</w:t>
      </w:r>
      <w:r w:rsidRPr="00511005">
        <w:rPr>
          <w:rFonts w:ascii="Arial" w:eastAsia="Times New Roman" w:hAnsi="Arial" w:cs="Arial"/>
          <w:szCs w:val="28"/>
          <w:lang w:val="en-US" w:eastAsia="ru-RU"/>
        </w:rPr>
        <w:t>FMB</w:t>
      </w:r>
      <w:r w:rsidRPr="00511005">
        <w:rPr>
          <w:rFonts w:ascii="Arial" w:eastAsia="Times New Roman" w:hAnsi="Arial" w:cs="Arial"/>
          <w:szCs w:val="28"/>
          <w:lang w:val="uk-UA" w:eastAsia="ru-RU"/>
        </w:rPr>
        <w:t>_</w:t>
      </w:r>
      <w:r w:rsidRPr="00511005">
        <w:rPr>
          <w:rFonts w:ascii="Arial" w:eastAsia="Times New Roman" w:hAnsi="Arial" w:cs="Arial"/>
          <w:szCs w:val="28"/>
          <w:lang w:val="en-US" w:eastAsia="ru-RU"/>
        </w:rPr>
        <w:t>Pravo</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Mizhnarodne</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publichne</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pravo</w:t>
      </w:r>
      <w:r w:rsidRPr="00511005">
        <w:rPr>
          <w:rFonts w:ascii="Arial" w:eastAsia="Times New Roman" w:hAnsi="Arial" w:cs="Arial"/>
          <w:szCs w:val="28"/>
          <w:lang w:val="uk-UA" w:eastAsia="ru-RU"/>
        </w:rPr>
        <w:t>-2023.</w:t>
      </w:r>
      <w:r w:rsidRPr="00511005">
        <w:rPr>
          <w:rFonts w:ascii="Arial" w:eastAsia="Times New Roman" w:hAnsi="Arial" w:cs="Arial"/>
          <w:szCs w:val="28"/>
          <w:lang w:val="en-US" w:eastAsia="ru-RU"/>
        </w:rPr>
        <w:t>pdf</w:t>
      </w:r>
      <w:proofErr w:type="gramEnd"/>
    </w:p>
    <w:p w14:paraId="6B80350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2.</w:t>
      </w:r>
      <w:r w:rsidRPr="00511005">
        <w:rPr>
          <w:rFonts w:ascii="Arial" w:eastAsia="Times New Roman" w:hAnsi="Arial" w:cs="Arial"/>
          <w:szCs w:val="28"/>
          <w:lang w:val="uk-UA" w:eastAsia="ru-RU"/>
        </w:rPr>
        <w:tab/>
        <w:t xml:space="preserve">Трамбач О. Регіональний механізм захисту прав людини С.87-89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:https://dspace.onu.edu.ua/server/api/core/bitstreams/f8a04d33-1f22-4c1a-814f-a109cb7f1903/content</w:t>
      </w:r>
    </w:p>
    <w:p w14:paraId="307FDF7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3.</w:t>
      </w:r>
      <w:r w:rsidRPr="00511005">
        <w:rPr>
          <w:rFonts w:ascii="Arial" w:eastAsia="Times New Roman" w:hAnsi="Arial" w:cs="Arial"/>
          <w:szCs w:val="28"/>
          <w:lang w:val="uk-UA" w:eastAsia="ru-RU"/>
        </w:rPr>
        <w:tab/>
        <w:t xml:space="preserve">Скакун О.Ф. Теорія держави і права: підручник. 2-ге вид. Харків: Право, 2018. 728 с. </w:t>
      </w:r>
      <w:hyperlink r:id="rId428" w:history="1">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:http://politics.ellib.org.ua/pages-cat-51.html</w:t>
        </w:r>
      </w:hyperlink>
    </w:p>
    <w:p w14:paraId="34AD4E8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77AA202D" w14:textId="34E4984D"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lastRenderedPageBreak/>
        <w:t xml:space="preserve">Ключові слова: </w:t>
      </w:r>
      <w:r w:rsidR="00220D3E" w:rsidRPr="00511005">
        <w:rPr>
          <w:rFonts w:ascii="Arial" w:eastAsia="Times New Roman" w:hAnsi="Arial" w:cs="Arial"/>
          <w:szCs w:val="28"/>
          <w:lang w:val="uk-UA" w:eastAsia="ru-RU"/>
        </w:rPr>
        <w:t>універсальний механізм, регіональний</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механізм, аналіз, ефективність.</w:t>
      </w:r>
    </w:p>
    <w:p w14:paraId="54A152B6" w14:textId="4F1C66EE"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uk-UA" w:eastAsia="ru-RU"/>
        </w:rPr>
        <w:t>universal mechanism</w:t>
      </w:r>
      <w:r w:rsidR="00220D3E" w:rsidRPr="00511005">
        <w:rPr>
          <w:rFonts w:ascii="Arial" w:eastAsia="Times New Roman" w:hAnsi="Arial" w:cs="Arial"/>
          <w:szCs w:val="28"/>
          <w:lang w:val="en-US" w:eastAsia="ru-RU"/>
        </w:rPr>
        <w:t>, regional mechanism, analysis, efficiency.</w:t>
      </w:r>
    </w:p>
    <w:p w14:paraId="4BEEED67" w14:textId="660884F3"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eastAsia="ru-RU"/>
        </w:rPr>
        <w:t>доцент кафедри, к</w:t>
      </w:r>
      <w:r w:rsidR="00220D3E" w:rsidRPr="00511005">
        <w:rPr>
          <w:rFonts w:ascii="Arial" w:eastAsia="Times New Roman" w:hAnsi="Arial" w:cs="Arial"/>
          <w:i/>
          <w:szCs w:val="28"/>
          <w:lang w:val="uk-UA" w:eastAsia="ru-RU"/>
        </w:rPr>
        <w:t>.ю.н Гриб А.М.</w:t>
      </w:r>
    </w:p>
    <w:p w14:paraId="281667BB"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p>
    <w:p w14:paraId="7E962634"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p>
    <w:p w14:paraId="61449EB6"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p>
    <w:p w14:paraId="208995D8"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Кравчук Тетяна Валеріївна</w:t>
      </w:r>
    </w:p>
    <w:p w14:paraId="6CE8A74A" w14:textId="7C4CA7A0" w:rsidR="008C34CC" w:rsidRPr="00511005" w:rsidRDefault="00536AAB"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3466A9E2" w14:textId="77777777" w:rsidR="008C34CC" w:rsidRPr="00511005" w:rsidRDefault="008C34CC"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9A5AC60" w14:textId="5EC514F4" w:rsidR="00220D3E" w:rsidRPr="00511005" w:rsidRDefault="007B2628"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3D298F2" w14:textId="77777777" w:rsidR="00220D3E" w:rsidRPr="00511005" w:rsidRDefault="00220D3E" w:rsidP="003A292D">
      <w:pPr>
        <w:pBdr>
          <w:top w:val="nil"/>
          <w:left w:val="nil"/>
          <w:bottom w:val="nil"/>
          <w:right w:val="nil"/>
          <w:between w:val="nil"/>
        </w:pBdr>
        <w:tabs>
          <w:tab w:val="left" w:pos="709"/>
        </w:tabs>
        <w:spacing w:line="264" w:lineRule="auto"/>
        <w:ind w:firstLine="0"/>
        <w:jc w:val="center"/>
        <w:rPr>
          <w:rFonts w:ascii="Arial" w:eastAsia="Times New Roman" w:hAnsi="Arial" w:cs="Arial"/>
          <w:b/>
          <w:szCs w:val="28"/>
          <w:lang w:val="uk-UA" w:eastAsia="ru-RU"/>
        </w:rPr>
      </w:pPr>
    </w:p>
    <w:p w14:paraId="31424CFD" w14:textId="77777777" w:rsidR="00220D3E" w:rsidRPr="00511005" w:rsidRDefault="00220D3E" w:rsidP="003A292D">
      <w:pPr>
        <w:pBdr>
          <w:top w:val="nil"/>
          <w:left w:val="nil"/>
          <w:bottom w:val="nil"/>
          <w:right w:val="nil"/>
          <w:between w:val="nil"/>
        </w:pBdr>
        <w:tabs>
          <w:tab w:val="left" w:pos="709"/>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МІЖНАРОДНИЙ ЗАХИСТ ПРАВ ЛЮДИНИ В КОНТЕКСТІ РОЗВИТКУ ШТУЧНОГО ІНТЕЛЕКТУ.</w:t>
      </w:r>
    </w:p>
    <w:p w14:paraId="57904DEA" w14:textId="77777777" w:rsidR="00220D3E" w:rsidRPr="00511005" w:rsidRDefault="00220D3E" w:rsidP="003A292D">
      <w:pPr>
        <w:pBdr>
          <w:top w:val="nil"/>
          <w:left w:val="nil"/>
          <w:bottom w:val="nil"/>
          <w:right w:val="nil"/>
          <w:between w:val="nil"/>
        </w:pBd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21 квітня 2021 року Європейська Комісія запропонувала законодавчу ініціативу — Закон про штучний інтелект (AI Act) [1], щодо якої у грудні 2023 року було досягнуто політичної згоди між Європейським Парламентом та Радою ЄС [2]. Цей нормативний акт передбачає комплексне регулювання сфери ШІ на основі ризик-орієнтованого підходу, що поділяє системи на категорії за рівнем ризику: мінімальний, високий, неприйнятний та інші, з особливим акцентом на прозорість. Для систем високого ризику передбачені суворі вимоги щодо управління ризиками, точності, безпеки, захисту даних, а також обмеження на використання певних технологій, зокрема дистанційної біометричної ідентифікації [3].</w:t>
      </w:r>
    </w:p>
    <w:p w14:paraId="5609F933" w14:textId="77777777" w:rsidR="00220D3E" w:rsidRPr="00511005" w:rsidRDefault="00220D3E" w:rsidP="003A292D">
      <w:pPr>
        <w:pBdr>
          <w:top w:val="nil"/>
          <w:left w:val="nil"/>
          <w:bottom w:val="nil"/>
          <w:right w:val="nil"/>
          <w:between w:val="nil"/>
        </w:pBd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статті 3 Закону подано визначення ключових термінів, таких як "система ШІ", "біометричні дані" та "серйозний інцидент" [3].</w:t>
      </w:r>
    </w:p>
    <w:p w14:paraId="57AA08A5" w14:textId="77777777" w:rsidR="00220D3E" w:rsidRPr="00511005" w:rsidRDefault="00220D3E" w:rsidP="003A292D">
      <w:pPr>
        <w:pBdr>
          <w:top w:val="nil"/>
          <w:left w:val="nil"/>
          <w:bottom w:val="nil"/>
          <w:right w:val="nil"/>
          <w:between w:val="nil"/>
        </w:pBd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Закон охоплює широке коло ШІ-систем та їх компонентів, включаючи програмне забезпечення, алгоритми, дані, процеси навчання й валідації, а також фізичні пристрої. Регулювання поширюється на всі етапи життєвого циклу систем — від розробки до експлуатації.</w:t>
      </w:r>
    </w:p>
    <w:p w14:paraId="311A8A18" w14:textId="77777777" w:rsidR="00220D3E" w:rsidRPr="00511005" w:rsidRDefault="00220D3E" w:rsidP="003A292D">
      <w:pPr>
        <w:pBdr>
          <w:top w:val="nil"/>
          <w:left w:val="nil"/>
          <w:bottom w:val="nil"/>
          <w:right w:val="nil"/>
          <w:between w:val="nil"/>
        </w:pBd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Одним із центральних завдань Закону є забезпечення дотримання прав і свобод людини. У ньому наголошено на необхідності поваги до приватного життя, гідності особи, недискримінації. Використання високоризикових ШІ-систем має супроводжуватися незалежною оцінкою впливу на права людини, а також тестуванням на дискримінацію та упередженість для посилення соціальної справедливості.</w:t>
      </w:r>
    </w:p>
    <w:p w14:paraId="623080A0" w14:textId="77777777" w:rsidR="00220D3E" w:rsidRPr="00511005" w:rsidRDefault="00220D3E" w:rsidP="003A292D">
      <w:pPr>
        <w:pBdr>
          <w:top w:val="nil"/>
          <w:left w:val="nil"/>
          <w:bottom w:val="nil"/>
          <w:right w:val="nil"/>
          <w:between w:val="nil"/>
        </w:pBd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Однак </w:t>
      </w:r>
      <w:proofErr w:type="gramStart"/>
      <w:r w:rsidRPr="00511005">
        <w:rPr>
          <w:rFonts w:ascii="Arial" w:eastAsia="Times New Roman" w:hAnsi="Arial" w:cs="Arial"/>
          <w:szCs w:val="28"/>
          <w:lang w:eastAsia="ru-RU"/>
        </w:rPr>
        <w:t>у документах</w:t>
      </w:r>
      <w:proofErr w:type="gramEnd"/>
      <w:r w:rsidRPr="00511005">
        <w:rPr>
          <w:rFonts w:ascii="Arial" w:eastAsia="Times New Roman" w:hAnsi="Arial" w:cs="Arial"/>
          <w:szCs w:val="28"/>
          <w:lang w:eastAsia="ru-RU"/>
        </w:rPr>
        <w:t xml:space="preserve"> щодо стандартизації, які розробляються за ініціативою Європейської Комісії [4], не передбачено окремих стандартів щодо прав людини — йдеться лише про загальні вказівки. Це створює ризик, що відповідні положення Закону залишаться декларативними.</w:t>
      </w:r>
    </w:p>
    <w:p w14:paraId="79C36605" w14:textId="77777777" w:rsidR="00220D3E" w:rsidRPr="00511005" w:rsidRDefault="00220D3E" w:rsidP="003A292D">
      <w:pPr>
        <w:pBdr>
          <w:top w:val="nil"/>
          <w:left w:val="nil"/>
          <w:bottom w:val="nil"/>
          <w:right w:val="nil"/>
          <w:between w:val="nil"/>
        </w:pBd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Позиція країн G7 і ЄС у сфері правового регулювання ШІ викладена у Хіросімському процесі [5][6]. Також 8 листопада 2023 року OECD ухвалила рекомендації щодо ШІ [7], які наголошують на потребі у сталому міжнародному правовому середовищі для формування довіри до ШІ. Принципи OECD були враховані і в українській Концепції розвитку ШІ [8].</w:t>
      </w:r>
    </w:p>
    <w:p w14:paraId="582DBD3C" w14:textId="77777777" w:rsidR="00220D3E" w:rsidRPr="00511005" w:rsidRDefault="00220D3E" w:rsidP="003A292D">
      <w:pPr>
        <w:pBdr>
          <w:top w:val="nil"/>
          <w:left w:val="nil"/>
          <w:bottom w:val="nil"/>
          <w:right w:val="nil"/>
          <w:between w:val="nil"/>
        </w:pBd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Українська Концепція визначає, що використання ШІ має базуватися на дотриманні прав людини, верховенства права та захисту персональних даних. Вона також проголошує недопустимість дискримінації та порушення прав через використання ШІ. Проте, як і європейський AI Act, Концепція не містить чітких механізмів забезпечення цих гарантій.</w:t>
      </w:r>
    </w:p>
    <w:p w14:paraId="6DC18488" w14:textId="77777777" w:rsidR="00220D3E" w:rsidRPr="00511005" w:rsidRDefault="00220D3E" w:rsidP="003A292D">
      <w:pPr>
        <w:pBdr>
          <w:top w:val="nil"/>
          <w:left w:val="nil"/>
          <w:bottom w:val="nil"/>
          <w:right w:val="nil"/>
          <w:between w:val="nil"/>
        </w:pBd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жовтні 2023 року Україна презентувала дорожню карту з регулювання ШІ [9][10], яка передбачає імплементацію AI Act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євроінтеграції. При цьому відсутнє правове врегулювання використання ШІ в умовах збройного конфлікту, зокрема автономної зброї, що суперечить принципам міжнародного гуманітарного права (МГП), зокрема вибірковості та пропорційності.</w:t>
      </w:r>
    </w:p>
    <w:p w14:paraId="3406382A" w14:textId="77777777" w:rsidR="00220D3E" w:rsidRPr="00511005" w:rsidRDefault="00220D3E" w:rsidP="003A292D">
      <w:pPr>
        <w:pBdr>
          <w:top w:val="nil"/>
          <w:left w:val="nil"/>
          <w:bottom w:val="nil"/>
          <w:right w:val="nil"/>
          <w:between w:val="nil"/>
        </w:pBd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Наразі немає чітких норм, які б регламентували застосування автономної зброї з ШІ, що ускладнює притягнення до відповідальності за можливі порушення. Це може спровокувати гонку озброєнь у сфері автономних технологій, яка важко піддається контролю.</w:t>
      </w:r>
    </w:p>
    <w:p w14:paraId="6DA56651" w14:textId="77777777" w:rsidR="00220D3E" w:rsidRPr="00511005" w:rsidRDefault="00220D3E" w:rsidP="003A292D">
      <w:pPr>
        <w:pBdr>
          <w:top w:val="nil"/>
          <w:left w:val="nil"/>
          <w:bottom w:val="nil"/>
          <w:right w:val="nil"/>
          <w:between w:val="nil"/>
        </w:pBd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Проект регулювання, запропонований групою держав [11], передбачає заборону розробки автономних систем, що не відповідають МГП, а також необхідність людського контролю за використанням таких систем. Мета — гарантувати прозорість, підзвітність, можливість оскарження рішень та відшкодування шкоди. </w:t>
      </w:r>
    </w:p>
    <w:p w14:paraId="7D532111" w14:textId="77777777" w:rsidR="00220D3E" w:rsidRPr="00511005" w:rsidRDefault="00220D3E" w:rsidP="003A292D">
      <w:pPr>
        <w:pBdr>
          <w:top w:val="nil"/>
          <w:left w:val="nil"/>
          <w:bottom w:val="nil"/>
          <w:right w:val="nil"/>
          <w:between w:val="nil"/>
        </w:pBd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лише за умови дотримання міжнародних правових принципів ШІ зможе служити на благо людства, не порушуючи прав окремої людини.</w:t>
      </w:r>
    </w:p>
    <w:p w14:paraId="79287BE3" w14:textId="77777777" w:rsidR="00220D3E" w:rsidRPr="00511005" w:rsidRDefault="00220D3E" w:rsidP="003A292D">
      <w:pPr>
        <w:pBdr>
          <w:top w:val="nil"/>
          <w:left w:val="nil"/>
          <w:bottom w:val="nil"/>
          <w:right w:val="nil"/>
          <w:between w:val="nil"/>
        </w:pBdr>
        <w:tabs>
          <w:tab w:val="left" w:pos="709"/>
        </w:tabs>
        <w:spacing w:line="264" w:lineRule="auto"/>
        <w:jc w:val="left"/>
        <w:rPr>
          <w:rFonts w:ascii="Arial" w:eastAsia="Times New Roman" w:hAnsi="Arial" w:cs="Arial"/>
          <w:szCs w:val="28"/>
          <w:lang w:eastAsia="ru-RU"/>
        </w:rPr>
      </w:pPr>
    </w:p>
    <w:p w14:paraId="2125B744" w14:textId="004FA051" w:rsidR="00220D3E" w:rsidRPr="00511005" w:rsidRDefault="007B2628" w:rsidP="007B2628">
      <w:pPr>
        <w:pBdr>
          <w:top w:val="nil"/>
          <w:left w:val="nil"/>
          <w:bottom w:val="nil"/>
          <w:right w:val="nil"/>
          <w:between w:val="nil"/>
        </w:pBdr>
        <w:tabs>
          <w:tab w:val="left" w:pos="709"/>
        </w:tabs>
        <w:spacing w:line="264" w:lineRule="auto"/>
        <w:ind w:left="709" w:firstLine="0"/>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3EF472A9" w14:textId="77777777" w:rsidR="00220D3E" w:rsidRPr="00511005" w:rsidRDefault="00220D3E" w:rsidP="003F6A5D">
      <w:pPr>
        <w:numPr>
          <w:ilvl w:val="0"/>
          <w:numId w:val="126"/>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Artificial Intelligence Act. URL: </w:t>
      </w:r>
      <w:hyperlink r:id="rId429">
        <w:r w:rsidRPr="00511005">
          <w:rPr>
            <w:rFonts w:ascii="Arial" w:eastAsia="Times New Roman" w:hAnsi="Arial" w:cs="Arial"/>
            <w:szCs w:val="28"/>
            <w:lang w:val="en-US" w:eastAsia="ru-RU"/>
          </w:rPr>
          <w:t>https://artificialintelligenceact.com</w:t>
        </w:r>
      </w:hyperlink>
      <w:r w:rsidRPr="00511005">
        <w:rPr>
          <w:rFonts w:ascii="Arial" w:eastAsia="Times New Roman" w:hAnsi="Arial" w:cs="Arial"/>
          <w:szCs w:val="28"/>
          <w:lang w:val="en-US" w:eastAsia="ru-RU"/>
        </w:rPr>
        <w:t xml:space="preserve"> </w:t>
      </w:r>
    </w:p>
    <w:p w14:paraId="42DF97C2" w14:textId="77777777" w:rsidR="00220D3E" w:rsidRPr="00511005" w:rsidRDefault="00220D3E" w:rsidP="003F6A5D">
      <w:pPr>
        <w:numPr>
          <w:ilvl w:val="0"/>
          <w:numId w:val="126"/>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Convention on Prohibitions or Restrictions on the Use of Certain Conventional Weapons Which May Be Deemed to Be Excessively Injurious or to Have Indiscriminate Effects. United Nations Office for Disarmament Affairs 13 March 2023. URL: https://docs-library.unoda.org/Convention_on _Certain_Conventional_Weapons-Group_of_Governmental_Experts_on_Lethal_Autonomous_Weapons _Systems</w:t>
      </w:r>
      <w:proofErr w:type="gramStart"/>
      <w:r w:rsidRPr="00511005">
        <w:rPr>
          <w:rFonts w:ascii="Arial" w:eastAsia="Times New Roman" w:hAnsi="Arial" w:cs="Arial"/>
          <w:szCs w:val="28"/>
          <w:lang w:val="en-US" w:eastAsia="ru-RU"/>
        </w:rPr>
        <w:t>_(</w:t>
      </w:r>
      <w:proofErr w:type="gramEnd"/>
      <w:r w:rsidRPr="00511005">
        <w:rPr>
          <w:rFonts w:ascii="Arial" w:eastAsia="Times New Roman" w:hAnsi="Arial" w:cs="Arial"/>
          <w:szCs w:val="28"/>
          <w:lang w:val="en-US" w:eastAsia="ru-RU"/>
        </w:rPr>
        <w:t>2023)/CCW_GGE1_2023_WP.4_Rev1.pdf</w:t>
      </w:r>
    </w:p>
    <w:p w14:paraId="16CDC991" w14:textId="77777777" w:rsidR="00220D3E" w:rsidRPr="00511005" w:rsidRDefault="00220D3E" w:rsidP="003F6A5D">
      <w:pPr>
        <w:numPr>
          <w:ilvl w:val="0"/>
          <w:numId w:val="126"/>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Draft standardisation request to the European Standardisation Organisations in support of safe and trustworthy artificial intelligence. Document date: 05.12.2022. URL: https://ec.europa.eu/docsroom/ documents/52376?locale=en </w:t>
      </w:r>
    </w:p>
    <w:p w14:paraId="6FBA7C37" w14:textId="77777777" w:rsidR="00220D3E" w:rsidRPr="00511005" w:rsidRDefault="00220D3E" w:rsidP="003F6A5D">
      <w:pPr>
        <w:numPr>
          <w:ilvl w:val="0"/>
          <w:numId w:val="126"/>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val="pl-PL" w:eastAsia="ru-RU"/>
        </w:rPr>
      </w:pPr>
      <w:r w:rsidRPr="00511005">
        <w:rPr>
          <w:rFonts w:ascii="Arial" w:eastAsia="Times New Roman" w:hAnsi="Arial" w:cs="Arial"/>
          <w:szCs w:val="28"/>
          <w:lang w:val="en-US" w:eastAsia="ru-RU"/>
        </w:rPr>
        <w:lastRenderedPageBreak/>
        <w:t xml:space="preserve">Europe fit for the Digital Age: Commission proposes new rules and actions for excellence and trust in Artificial Intelligence. </w:t>
      </w:r>
      <w:r w:rsidRPr="00511005">
        <w:rPr>
          <w:rFonts w:ascii="Arial" w:eastAsia="Times New Roman" w:hAnsi="Arial" w:cs="Arial"/>
          <w:szCs w:val="28"/>
          <w:lang w:val="pl-PL" w:eastAsia="ru-RU"/>
        </w:rPr>
        <w:t xml:space="preserve">URL: https://ec.europa.eu/commission/presscorner/detail/en/IP_21_1682 </w:t>
      </w:r>
    </w:p>
    <w:p w14:paraId="603C4131" w14:textId="77777777" w:rsidR="00220D3E" w:rsidRPr="00511005" w:rsidRDefault="00220D3E" w:rsidP="003F6A5D">
      <w:pPr>
        <w:numPr>
          <w:ilvl w:val="0"/>
          <w:numId w:val="126"/>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Hiroshima Process International Code of Conduct for Organizations Developing Advanced AI Systems. On 30 October (JST) 2023. URL: </w:t>
      </w:r>
      <w:hyperlink r:id="rId430">
        <w:r w:rsidRPr="00511005">
          <w:rPr>
            <w:rFonts w:ascii="Arial" w:eastAsia="Times New Roman" w:hAnsi="Arial" w:cs="Arial"/>
            <w:szCs w:val="28"/>
            <w:lang w:val="en-US" w:eastAsia="ru-RU"/>
          </w:rPr>
          <w:t>https://www.mofa.go.jp/files/100573473.pdf</w:t>
        </w:r>
      </w:hyperlink>
      <w:r w:rsidRPr="00511005">
        <w:rPr>
          <w:rFonts w:ascii="Arial" w:eastAsia="Times New Roman" w:hAnsi="Arial" w:cs="Arial"/>
          <w:szCs w:val="28"/>
          <w:lang w:val="en-US" w:eastAsia="ru-RU"/>
        </w:rPr>
        <w:t xml:space="preserve"> </w:t>
      </w:r>
    </w:p>
    <w:p w14:paraId="029DCE58" w14:textId="77777777" w:rsidR="00220D3E" w:rsidRPr="00511005" w:rsidRDefault="00220D3E" w:rsidP="003F6A5D">
      <w:pPr>
        <w:numPr>
          <w:ilvl w:val="0"/>
          <w:numId w:val="126"/>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Hiroshima Process International Guiding Principles for Organizations Developing Advanced AI System. On 30 October (JST) 2023. URL: </w:t>
      </w:r>
      <w:hyperlink r:id="rId431">
        <w:r w:rsidRPr="00511005">
          <w:rPr>
            <w:rFonts w:ascii="Arial" w:eastAsia="Times New Roman" w:hAnsi="Arial" w:cs="Arial"/>
            <w:szCs w:val="28"/>
            <w:lang w:val="en-US" w:eastAsia="ru-RU"/>
          </w:rPr>
          <w:t>https://www.mofa.go.jp/files/100573471.pdf</w:t>
        </w:r>
      </w:hyperlink>
      <w:r w:rsidRPr="00511005">
        <w:rPr>
          <w:rFonts w:ascii="Arial" w:eastAsia="Times New Roman" w:hAnsi="Arial" w:cs="Arial"/>
          <w:szCs w:val="28"/>
          <w:lang w:val="en-US" w:eastAsia="ru-RU"/>
        </w:rPr>
        <w:t xml:space="preserve"> </w:t>
      </w:r>
    </w:p>
    <w:p w14:paraId="7B01BBC4" w14:textId="77777777" w:rsidR="00220D3E" w:rsidRPr="00511005" w:rsidRDefault="00220D3E" w:rsidP="003F6A5D">
      <w:pPr>
        <w:numPr>
          <w:ilvl w:val="0"/>
          <w:numId w:val="126"/>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Recommendation of the Council on Artificial Intelligence. OECD/LEGAL/0449. URL: </w:t>
      </w:r>
      <w:hyperlink r:id="rId432">
        <w:r w:rsidRPr="00511005">
          <w:rPr>
            <w:rFonts w:ascii="Arial" w:eastAsia="Times New Roman" w:hAnsi="Arial" w:cs="Arial"/>
            <w:szCs w:val="28"/>
            <w:lang w:val="en-US" w:eastAsia="ru-RU"/>
          </w:rPr>
          <w:t>https://legalinstruments.oecd.org/api/print?ids=648&amp;lang=en</w:t>
        </w:r>
      </w:hyperlink>
      <w:r w:rsidRPr="00511005">
        <w:rPr>
          <w:rFonts w:ascii="Arial" w:eastAsia="Times New Roman" w:hAnsi="Arial" w:cs="Arial"/>
          <w:szCs w:val="28"/>
          <w:lang w:val="en-US" w:eastAsia="ru-RU"/>
        </w:rPr>
        <w:t xml:space="preserve"> </w:t>
      </w:r>
    </w:p>
    <w:p w14:paraId="0C8D3815" w14:textId="77777777" w:rsidR="00220D3E" w:rsidRPr="00511005" w:rsidRDefault="00220D3E" w:rsidP="003F6A5D">
      <w:pPr>
        <w:numPr>
          <w:ilvl w:val="0"/>
          <w:numId w:val="126"/>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Дорожня карта з регулювання штучного інтелекту в Україні. </w:t>
      </w:r>
      <w:r w:rsidRPr="00511005">
        <w:rPr>
          <w:rFonts w:ascii="Arial" w:eastAsia="Times New Roman" w:hAnsi="Arial" w:cs="Arial"/>
          <w:szCs w:val="28"/>
          <w:lang w:val="en-US" w:eastAsia="ru-RU"/>
        </w:rPr>
        <w:t xml:space="preserve">Bottom-Up </w:t>
      </w:r>
      <w:r w:rsidRPr="00511005">
        <w:rPr>
          <w:rFonts w:ascii="Arial" w:eastAsia="Times New Roman" w:hAnsi="Arial" w:cs="Arial"/>
          <w:szCs w:val="28"/>
          <w:lang w:eastAsia="ru-RU"/>
        </w:rPr>
        <w:t>Підхід</w:t>
      </w:r>
      <w:r w:rsidRPr="00511005">
        <w:rPr>
          <w:rFonts w:ascii="Arial" w:eastAsia="Times New Roman" w:hAnsi="Arial" w:cs="Arial"/>
          <w:szCs w:val="28"/>
          <w:lang w:val="en-US" w:eastAsia="ru-RU"/>
        </w:rPr>
        <w:t xml:space="preserve">. URL: </w:t>
      </w:r>
      <w:hyperlink r:id="rId433">
        <w:r w:rsidRPr="00511005">
          <w:rPr>
            <w:rFonts w:ascii="Arial" w:eastAsia="Times New Roman" w:hAnsi="Arial" w:cs="Arial"/>
            <w:szCs w:val="28"/>
            <w:lang w:val="en-US" w:eastAsia="ru-RU"/>
          </w:rPr>
          <w:t>https://cms.thedigital.gov.ua/storage/uploads/files/page/community/docs_compressed.pdf</w:t>
        </w:r>
      </w:hyperlink>
      <w:r w:rsidRPr="00511005">
        <w:rPr>
          <w:rFonts w:ascii="Arial" w:eastAsia="Times New Roman" w:hAnsi="Arial" w:cs="Arial"/>
          <w:szCs w:val="28"/>
          <w:lang w:val="en-US" w:eastAsia="ru-RU"/>
        </w:rPr>
        <w:t xml:space="preserve"> </w:t>
      </w:r>
    </w:p>
    <w:p w14:paraId="20AD3AFF" w14:textId="77777777" w:rsidR="00220D3E" w:rsidRPr="00511005" w:rsidRDefault="00220D3E" w:rsidP="003F6A5D">
      <w:pPr>
        <w:numPr>
          <w:ilvl w:val="0"/>
          <w:numId w:val="126"/>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Європейська Комісія вітає політичну домовленість щодо Закону про штучний інтелект. Представництво Європейського Союзу в Україні. – (11 грудня 2023 року). URL: https://www.eeas. europa.eu/delegations/ukraine </w:t>
      </w:r>
    </w:p>
    <w:p w14:paraId="30BD1969" w14:textId="77777777" w:rsidR="00220D3E" w:rsidRPr="00511005" w:rsidRDefault="00220D3E" w:rsidP="003F6A5D">
      <w:pPr>
        <w:numPr>
          <w:ilvl w:val="0"/>
          <w:numId w:val="126"/>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схвалення Концепції розвитку штучного інтелекту в Україні: Розпорядження КМУ від 02.12.20 р. № 1556-р. URL: </w:t>
      </w:r>
      <w:hyperlink r:id="rId434" w:anchor="Text">
        <w:r w:rsidRPr="00511005">
          <w:rPr>
            <w:rFonts w:ascii="Arial" w:eastAsia="Times New Roman" w:hAnsi="Arial" w:cs="Arial"/>
            <w:szCs w:val="28"/>
            <w:lang w:eastAsia="ru-RU"/>
          </w:rPr>
          <w:t>https://zakon.rada.gov.ua/laws/show/1556-2020-%D1%80#Text</w:t>
        </w:r>
      </w:hyperlink>
      <w:r w:rsidRPr="00511005">
        <w:rPr>
          <w:rFonts w:ascii="Arial" w:eastAsia="Times New Roman" w:hAnsi="Arial" w:cs="Arial"/>
          <w:szCs w:val="28"/>
          <w:lang w:eastAsia="ru-RU"/>
        </w:rPr>
        <w:t xml:space="preserve"> </w:t>
      </w:r>
    </w:p>
    <w:p w14:paraId="6184A3A4" w14:textId="77777777" w:rsidR="00220D3E" w:rsidRPr="00511005" w:rsidRDefault="00220D3E" w:rsidP="003F6A5D">
      <w:pPr>
        <w:numPr>
          <w:ilvl w:val="0"/>
          <w:numId w:val="126"/>
        </w:numPr>
        <w:pBdr>
          <w:top w:val="nil"/>
          <w:left w:val="nil"/>
          <w:bottom w:val="nil"/>
          <w:right w:val="nil"/>
          <w:between w:val="nil"/>
        </w:pBdr>
        <w:tabs>
          <w:tab w:val="left" w:pos="709"/>
        </w:tabs>
        <w:spacing w:line="264" w:lineRule="auto"/>
        <w:ind w:left="0" w:firstLine="709"/>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Регулювання штучного інтелекту в Україні: презентуємо дорожню карту. – (Міністерство цифрової трансформації України, 07.10.23 р.). </w:t>
      </w:r>
      <w:r w:rsidRPr="00511005">
        <w:rPr>
          <w:rFonts w:ascii="Arial" w:eastAsia="Times New Roman" w:hAnsi="Arial" w:cs="Arial"/>
          <w:szCs w:val="28"/>
          <w:lang w:val="pl-PL" w:eastAsia="ru-RU"/>
        </w:rPr>
        <w:t xml:space="preserve">URL: https://thedigital.gov.ua/news/ regulyuvannyashtuchnogo-intelektu-v-ukraini-prezentuemo-dorozhnyu-kartu </w:t>
      </w:r>
    </w:p>
    <w:p w14:paraId="3886A3E5" w14:textId="451CCFDB"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штучний інтелект, права людини, ризик-орієнтований підхід, автономна зброя, стандартизація.</w:t>
      </w:r>
    </w:p>
    <w:p w14:paraId="204A4F73" w14:textId="5C7D5611"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artificial intelligence, human rights, risk-based approach, autonomous weapons, standardization.</w:t>
      </w:r>
    </w:p>
    <w:p w14:paraId="5DD6BEA6" w14:textId="338AEB03"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w:t>
      </w:r>
      <w:r w:rsidRPr="00511005">
        <w:rPr>
          <w:rFonts w:ascii="Arial" w:eastAsia="Times New Roman" w:hAnsi="Arial" w:cs="Arial"/>
          <w:i/>
          <w:szCs w:val="28"/>
          <w:lang w:eastAsia="ru-RU"/>
        </w:rPr>
        <w:t xml:space="preserve"> </w:t>
      </w:r>
      <w:r w:rsidR="00220D3E" w:rsidRPr="00511005">
        <w:rPr>
          <w:rFonts w:ascii="Arial" w:eastAsia="Times New Roman" w:hAnsi="Arial" w:cs="Arial"/>
          <w:i/>
          <w:szCs w:val="28"/>
          <w:lang w:eastAsia="ru-RU"/>
        </w:rPr>
        <w:t>Гриб А.М.</w:t>
      </w:r>
    </w:p>
    <w:p w14:paraId="125CD846" w14:textId="77777777" w:rsidR="00220D3E" w:rsidRPr="00511005" w:rsidRDefault="00220D3E" w:rsidP="003A292D">
      <w:pPr>
        <w:tabs>
          <w:tab w:val="left" w:pos="709"/>
        </w:tabs>
        <w:spacing w:line="264" w:lineRule="auto"/>
        <w:jc w:val="center"/>
        <w:rPr>
          <w:rFonts w:ascii="Arial" w:eastAsia="Times New Roman" w:hAnsi="Arial" w:cs="Arial"/>
          <w:i/>
          <w:szCs w:val="28"/>
          <w:lang w:val="uk-UA" w:eastAsia="ru-RU"/>
        </w:rPr>
      </w:pPr>
    </w:p>
    <w:p w14:paraId="0EE1B379"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Крутих Валерія Євгенівна</w:t>
      </w:r>
    </w:p>
    <w:p w14:paraId="6190216F" w14:textId="3DC7F1B5" w:rsidR="008C34CC" w:rsidRPr="00511005" w:rsidRDefault="00536AAB"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715F9376" w14:textId="77777777" w:rsidR="008C34CC" w:rsidRPr="00511005" w:rsidRDefault="008C34CC"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4CAF4B8" w14:textId="28C21A2A"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91B2B23"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72528D97"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ОСОБЛИВОСТІ ПРИНЦИПУ МИРНОГО ВИРІШЕННЯ МІЖНАРОЖНИХ СПОРІВ</w:t>
      </w:r>
    </w:p>
    <w:p w14:paraId="640EDCA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сучасному світі, що характеризується зростанням міжнародної напруги, збройних конфліктів та геополітичної нестабільності, принцип мирного вирішення міжнародних спорів набуває особливої актуальності. Він </w:t>
      </w:r>
      <w:r w:rsidRPr="00511005">
        <w:rPr>
          <w:rFonts w:ascii="Arial" w:eastAsia="Times New Roman" w:hAnsi="Arial" w:cs="Arial"/>
          <w:szCs w:val="28"/>
          <w:lang w:val="uk-UA" w:eastAsia="ru-RU"/>
        </w:rPr>
        <w:lastRenderedPageBreak/>
        <w:t>закріплений у низці ключових міжнародно-правових актів, зокрема у Статуті ООН, і є наріжним каменем сучасного міжнародного правопорядку. Цей принцип вимагає від держав утримуватись від застосування сили та вирішувати всі спори, що можуть загрожувати міжнародному миру та безпеці, виключно мирними засобами — переговорами, медіацією, арбітражем, судовим розглядом та іншими формами.</w:t>
      </w:r>
    </w:p>
    <w:p w14:paraId="2934DEB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Разом із тим, практична реалізація цього принципу стикається з низкою викликів: політизація спорів, небажання сторін до компромісу, недосконалість механізмів примусового виконання рішень. Саме ці аспекти, а також правові та інституційні особливості реалізації принципу мирного вирішення спорів у сучасному міжнародному праві, становлять предмет дослідження даних тез.</w:t>
      </w:r>
    </w:p>
    <w:p w14:paraId="6C520F9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Принцип мирного вирішення міжнародних спорів передбачає, що кожна держава зобов’язана використовувати виключно мирні засоби для врегулювання будь-яких конфліктів міжнародного характеру. Учасники спору не мають права ухилятися від мирного врегулювання, а також не можуть виводити окремі спори з-під дії цього принципу.</w:t>
      </w:r>
    </w:p>
    <w:p w14:paraId="232C00C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Положення щодо тлумачення принципу мирного врегулювання міжнародних спорів викладені в низці важливих міжнародно-правових документів, серед яких: Декларація про принципи міжнародного права, що регулюють дружні відносини та співпрацю між державами згідно з положеннями Статуту ООН (1970 р.), Заключний акт Наради з безпеки і співробітництва в Європі (1975 р.), Манільська декларація про мирне врегулювання міжнародних спорів (1982 р.), Декларація 1988 року щодо запобігання конфліктам і зміцнення ролі ООН у підтриманні миру, а також Підсумковий документ Віденської зустрічі держав-учасниць НБСЄ 1989 року тощо.</w:t>
      </w:r>
    </w:p>
    <w:p w14:paraId="6A26705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У міжнародному праві важливим аспектом є класифікація засобів мирного вирішення спорів, що дозволяє ефективно обирати найбільш доречний механізм реагування на конкретну ситуацію. Залежно від характеру участі сторін у процесі врегулювання, усі способи мирного вирішення міжнародних конфліктів умовно поділяють на дві основні групи.</w:t>
      </w:r>
      <w:r w:rsidRPr="00511005">
        <w:rPr>
          <w:rFonts w:ascii="Arial" w:eastAsia="Times New Roman" w:hAnsi="Arial" w:cs="Arial"/>
          <w:szCs w:val="28"/>
          <w:lang w:val="uk-UA" w:eastAsia="ru-RU"/>
        </w:rPr>
        <w:t xml:space="preserve"> Як зазначає Галіахметов І.А.: «Перша група – дипломатичні способи. До них науковці відносять: переговори, посередництво, розслідування та примирення, оскільки сторони зберігають контроль над суперечкою і можуть прийняти або відхилити запропоноване врегулювання, як вони вважають за потрібне. </w:t>
      </w:r>
      <w:r w:rsidRPr="00511005">
        <w:rPr>
          <w:rFonts w:ascii="Arial" w:eastAsia="Times New Roman" w:hAnsi="Arial" w:cs="Arial"/>
          <w:szCs w:val="28"/>
          <w:lang w:eastAsia="ru-RU"/>
        </w:rPr>
        <w:t>Друга група – судові способи урегулювання міжнародних конфліктів, тобто способи, які передбачають залучення юрисдикційного суб’єкта. До них належать: арбітраж і судове врегулювання. Судове врегулювання передбачає передачу спору до Міжнародного суду чи іншого постійно діючого трибуналу, наприклад, Європейського суду з прав людини</w:t>
      </w:r>
      <w:r w:rsidRPr="00511005">
        <w:rPr>
          <w:rFonts w:ascii="Arial" w:eastAsia="Times New Roman" w:hAnsi="Arial" w:cs="Arial"/>
          <w:szCs w:val="28"/>
          <w:lang w:val="uk-UA" w:eastAsia="ru-RU"/>
        </w:rPr>
        <w:t>» [1].</w:t>
      </w:r>
    </w:p>
    <w:p w14:paraId="5FB08D3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Як зазначає Шаповалов В.О., «проведений аналіз принципу мирного вирішення міжнародних спорів дає підстави виділити наступні найбільш важливі елементи цього принципу: 1) обов'язок вирішувати спори на основі міжнародного права і справедливості; 2) Усі країни зобов'язані прагнути вирішувати свої міжнародні суперечки найшвидшим і справедливим способом; 3) Держави зобов'язані уникати будь-яких дій, які можуть загострити суперечки, коли міжнародний мир і безпека знаходяться під загрозою; 4) суди і арбітражі дотримуються правила, згідно з яким, після того як спір оформиться, ніякі дії будь-якої зі сторін, спрямовані на отримання односторонніх переваг, не можуть розцінюватися як докази правоти; 5) спір не дає правових підстав для протиправного застосування сили, з метою захоплення спірної території» [2].</w:t>
      </w:r>
    </w:p>
    <w:p w14:paraId="1326B8D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Значну роль у забезпеченні реалізації цього принципу відіграють міжнародні організації, зокрема ООН, Міжнародний суд ООН, Постійна палата третейського суду, а також регіональні механізми врегулювання спорів. Вони виступають не лише як платформи для вирішення конфліктів, але й як суб’єкти, здатні здійснювати моніторинг за дотриманням державами своїх міжнародних зобов’язань.</w:t>
      </w:r>
    </w:p>
    <w:p w14:paraId="4F8D267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Проте, існують випадки, коли досягнення згоди при вирішенні спору немає. Щодо цього Патлашинська І.В. зазначає наступне: «При недосягнені згоди між сторонами шляхом консультацій, переговорів та іншими дипломатичними методами, сторони спору мають можливість розгляду справи Міжнародним Судом Організації Об'єднаних Націй. </w:t>
      </w:r>
      <w:r w:rsidRPr="00511005">
        <w:rPr>
          <w:rFonts w:ascii="Arial" w:eastAsia="Times New Roman" w:hAnsi="Arial" w:cs="Arial"/>
          <w:szCs w:val="28"/>
          <w:lang w:eastAsia="ru-RU"/>
        </w:rPr>
        <w:t>Міжнародний Суд ООН є найвпливовішим судовим органом. Однак, навіть для нього на сьогоднішній день найбільшим викликом є Російсько-українська війна. Вона перекреслила більшість міжнародних нормативно-правових актів у сфері забезпечення миру. Ця війна є найстрашнішою у Європі з часів Другої світової війни</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3</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75092BF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Попри формальну зобов’язаність держав дотримуватись цього принципу, на практиці нерідко виникають ситуації, коли одна зі сторін уникає мирного діалогу, вдаючись до односторонніх дій, у тому числі із застосуванням сили чи погрозою її застосування. Це створює небезпечні прецеденти, що підривають ефективність міжнародного правового порядку та призводять до затяжних конфліктів, таких як російсько-українська війна, де механізми мирного врегулювання були фактично проігноровані агресором.</w:t>
      </w:r>
    </w:p>
    <w:p w14:paraId="7BE9B92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Таким чином, ефективне функціонування принципу мирного вирішення міжнародних спорів потребує не лише формального закріплення на рівні міжнародного права, але й реального забезпечення його дотримання. Важливо, щоб міжнародна спільнота, зокрема впливові міждержавні об’єднання, вживали заходів до примусу сторін конфлікту до мирного </w:t>
      </w:r>
      <w:r w:rsidRPr="00511005">
        <w:rPr>
          <w:rFonts w:ascii="Arial" w:eastAsia="Times New Roman" w:hAnsi="Arial" w:cs="Arial"/>
          <w:szCs w:val="28"/>
          <w:lang w:val="uk-UA" w:eastAsia="ru-RU"/>
        </w:rPr>
        <w:lastRenderedPageBreak/>
        <w:t>врегулювання та надавали ефективні інструменти контролю і санкцій у разі порушення цього принципу.</w:t>
      </w:r>
    </w:p>
    <w:p w14:paraId="50707C4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Не менш важливою складовою є роль дипломатичних зусиль у врегулюванні спорів, які ґрунтуються на принципах взаємної поваги, недискримінації та добросовісності. Використання таких методів, як переговори та медіація, дозволяє уникнути ескалації конфліктів та зберегти стабільність на міжнародній арені. Особливої актуальності ці методи набувають у врегулюванні спорів між державами, що мають тривалі історичні, політичні чи територіальні суперечності.</w:t>
      </w:r>
    </w:p>
    <w:p w14:paraId="065DC1A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Успішна реалізація цього принципу також залежить від готовності держав поважати рішення міжнародних судових і арбітражних органів. Водночас, через відсутність обов’язкового механізму виконання таких рішень, багато спорів залишаються невирішеними або повертаються до активної фази. Це вказує на необхідність реформування існуючих механізмів міжнародного правосуддя, зокрема посилення відповідальності держав за недотримання взятих на себе зобов’язань.</w:t>
      </w:r>
    </w:p>
    <w:p w14:paraId="55DA430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принцип мирного вирішення міжнародних спорів є фундаментальним елементом міжнародного правопорядку, спрямованим на підтримання стабільності, безпеки та справедливості у світі. Його ефективне застосування можливе лише за умови дотримання міжнародного права всіма учасниками міжнародних відносин та наявності дієвих механізмів контролю і відповідальності. У сучасних умовах глобальних загроз надзвичайно важливо, щоб міжнародна спільнота не лише декларувала прихильність до цього принципу, але й активно сприяла його практичному втіленню, використовуючи дипломатичні, юридичні та інституційні інструменти впливу. Лише за таких умов можна забезпечити тривалий мир та розвиток міжнародного співтовариства.</w:t>
      </w:r>
    </w:p>
    <w:p w14:paraId="314997CB"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6F510815" w14:textId="0A786F47" w:rsidR="00220D3E" w:rsidRPr="00511005" w:rsidRDefault="007B2628" w:rsidP="007B2628">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12AFF675" w14:textId="77777777" w:rsidR="00220D3E" w:rsidRPr="00511005" w:rsidRDefault="00220D3E" w:rsidP="003F6A5D">
      <w:pPr>
        <w:numPr>
          <w:ilvl w:val="0"/>
          <w:numId w:val="12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rPr>
        <w:t>Галіахметов</w:t>
      </w:r>
      <w:r w:rsidRPr="00511005">
        <w:rPr>
          <w:rFonts w:ascii="Arial" w:eastAsia="Calibri" w:hAnsi="Arial" w:cs="Arial"/>
          <w:szCs w:val="28"/>
          <w:lang w:val="uk-UA"/>
        </w:rPr>
        <w:t xml:space="preserve"> І.А.</w:t>
      </w:r>
      <w:r w:rsidRPr="00511005">
        <w:rPr>
          <w:rFonts w:ascii="Arial" w:eastAsia="Calibri" w:hAnsi="Arial" w:cs="Arial"/>
          <w:szCs w:val="28"/>
        </w:rPr>
        <w:t xml:space="preserve"> </w:t>
      </w:r>
      <w:r w:rsidRPr="00511005">
        <w:rPr>
          <w:rFonts w:ascii="Arial" w:eastAsia="Calibri" w:hAnsi="Arial" w:cs="Arial"/>
          <w:szCs w:val="28"/>
          <w:lang w:val="uk-UA"/>
        </w:rPr>
        <w:t>С</w:t>
      </w:r>
      <w:r w:rsidRPr="00511005">
        <w:rPr>
          <w:rFonts w:ascii="Arial" w:eastAsia="Calibri" w:hAnsi="Arial" w:cs="Arial"/>
          <w:szCs w:val="28"/>
        </w:rPr>
        <w:t>пособи мирного вирішення міжнародних конфліктів</w:t>
      </w:r>
      <w:r w:rsidRPr="00511005">
        <w:rPr>
          <w:rFonts w:ascii="Arial" w:eastAsia="Calibri" w:hAnsi="Arial" w:cs="Arial"/>
          <w:szCs w:val="28"/>
          <w:lang w:val="uk-UA"/>
        </w:rPr>
        <w:t xml:space="preserve">. URL: </w:t>
      </w:r>
      <w:hyperlink r:id="rId435" w:history="1">
        <w:r w:rsidRPr="00511005">
          <w:rPr>
            <w:rFonts w:ascii="Arial" w:eastAsia="Calibri" w:hAnsi="Arial" w:cs="Arial"/>
            <w:szCs w:val="28"/>
            <w:lang w:val="uk-UA"/>
          </w:rPr>
          <w:t>https://ir.kneu.edu.ua/server/api/core/bitstreams/8ede29cb-685d-4938-9d63-8906b64dee68/content</w:t>
        </w:r>
      </w:hyperlink>
      <w:r w:rsidRPr="00511005">
        <w:rPr>
          <w:rFonts w:ascii="Arial" w:eastAsia="Calibri" w:hAnsi="Arial" w:cs="Arial"/>
          <w:szCs w:val="28"/>
          <w:lang w:val="uk-UA"/>
        </w:rPr>
        <w:t xml:space="preserve"> (дата звернення: 14.04.2025).</w:t>
      </w:r>
    </w:p>
    <w:p w14:paraId="038E9E7B" w14:textId="77777777" w:rsidR="00220D3E" w:rsidRPr="00511005" w:rsidRDefault="00220D3E" w:rsidP="003F6A5D">
      <w:pPr>
        <w:numPr>
          <w:ilvl w:val="0"/>
          <w:numId w:val="12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Шаповал В.О. Мирне вирішення міжнародних спорів. URL: </w:t>
      </w:r>
      <w:hyperlink r:id="rId436" w:history="1">
        <w:r w:rsidRPr="00511005">
          <w:rPr>
            <w:rFonts w:ascii="Arial" w:eastAsia="Calibri" w:hAnsi="Arial" w:cs="Arial"/>
            <w:szCs w:val="28"/>
            <w:lang w:val="uk-UA"/>
          </w:rPr>
          <w:t>http://ir.polissiauniver.edu.ua/bitstream/123456789/12726/1/Shapovalov_VO_KR_081_2021.pdf</w:t>
        </w:r>
      </w:hyperlink>
      <w:r w:rsidRPr="00511005">
        <w:rPr>
          <w:rFonts w:ascii="Arial" w:eastAsia="Calibri" w:hAnsi="Arial" w:cs="Arial"/>
          <w:szCs w:val="28"/>
          <w:lang w:val="uk-UA"/>
        </w:rPr>
        <w:t xml:space="preserve"> (дата звернення: 14.04.2025).</w:t>
      </w:r>
    </w:p>
    <w:p w14:paraId="11627C19" w14:textId="77777777" w:rsidR="00220D3E" w:rsidRPr="00511005" w:rsidRDefault="00220D3E" w:rsidP="003F6A5D">
      <w:pPr>
        <w:numPr>
          <w:ilvl w:val="0"/>
          <w:numId w:val="12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rPr>
        <w:t xml:space="preserve">Патлашинська І.В. </w:t>
      </w:r>
      <w:r w:rsidRPr="00511005">
        <w:rPr>
          <w:rFonts w:ascii="Arial" w:eastAsia="Calibri" w:hAnsi="Arial" w:cs="Arial"/>
          <w:szCs w:val="28"/>
          <w:lang w:val="uk-UA"/>
        </w:rPr>
        <w:t>А</w:t>
      </w:r>
      <w:r w:rsidRPr="00511005">
        <w:rPr>
          <w:rFonts w:ascii="Arial" w:eastAsia="Calibri" w:hAnsi="Arial" w:cs="Arial"/>
          <w:szCs w:val="28"/>
        </w:rPr>
        <w:t>наліз шляхів мирного вирішення міжнародних спорів: відповідь на сучасні виклики</w:t>
      </w:r>
      <w:r w:rsidRPr="00511005">
        <w:rPr>
          <w:rFonts w:ascii="Arial" w:eastAsia="Calibri" w:hAnsi="Arial" w:cs="Arial"/>
          <w:szCs w:val="28"/>
          <w:lang w:val="uk-UA"/>
        </w:rPr>
        <w:t>. URL:</w:t>
      </w:r>
      <w:r w:rsidRPr="00511005">
        <w:rPr>
          <w:rFonts w:ascii="Arial" w:eastAsia="Calibri" w:hAnsi="Arial" w:cs="Arial"/>
          <w:szCs w:val="28"/>
        </w:rPr>
        <w:t xml:space="preserve"> </w:t>
      </w:r>
      <w:hyperlink r:id="rId437" w:history="1">
        <w:r w:rsidRPr="00511005">
          <w:rPr>
            <w:rFonts w:ascii="Arial" w:eastAsia="Calibri" w:hAnsi="Arial" w:cs="Arial"/>
            <w:szCs w:val="28"/>
            <w:lang w:val="uk-UA"/>
          </w:rPr>
          <w:t>http://lsej.org.ua/9_2022/140.pdf</w:t>
        </w:r>
      </w:hyperlink>
      <w:r w:rsidRPr="00511005">
        <w:rPr>
          <w:rFonts w:ascii="Arial" w:eastAsia="Calibri" w:hAnsi="Arial" w:cs="Arial"/>
          <w:szCs w:val="28"/>
          <w:lang w:val="uk-UA"/>
        </w:rPr>
        <w:t xml:space="preserve"> (дата звернення: 14.04.2025).</w:t>
      </w:r>
    </w:p>
    <w:p w14:paraId="0A3F9364"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440621AB" w14:textId="3B8100FC"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спори, принцип, мирне вирішення, згода, переговори</w:t>
      </w:r>
    </w:p>
    <w:p w14:paraId="3A467BC2" w14:textId="0D50755B" w:rsidR="00220D3E" w:rsidRPr="00511005" w:rsidRDefault="007B2628" w:rsidP="003A292D">
      <w:pPr>
        <w:tabs>
          <w:tab w:val="left" w:pos="709"/>
        </w:tabs>
        <w:spacing w:line="264" w:lineRule="auto"/>
        <w:rPr>
          <w:rFonts w:ascii="Arial" w:eastAsia="Times New Roman" w:hAnsi="Arial" w:cs="Arial"/>
          <w:b/>
          <w:bCs/>
          <w:i/>
          <w:iCs/>
          <w:szCs w:val="28"/>
          <w:lang w:val="uk-UA" w:eastAsia="ru-RU"/>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uk-UA" w:eastAsia="ru-RU"/>
        </w:rPr>
        <w:t>disputes, principle, peaceful resolution, agreement, negotiations</w:t>
      </w:r>
    </w:p>
    <w:p w14:paraId="3D0684C3" w14:textId="440FA472" w:rsidR="00220D3E" w:rsidRPr="00511005" w:rsidRDefault="007B2628" w:rsidP="003A292D">
      <w:pPr>
        <w:pBdr>
          <w:top w:val="nil"/>
          <w:left w:val="nil"/>
          <w:bottom w:val="nil"/>
          <w:right w:val="nil"/>
          <w:between w:val="nil"/>
          <w:bar w:val="nil"/>
        </w:pBdr>
        <w:tabs>
          <w:tab w:val="left" w:pos="709"/>
        </w:tabs>
        <w:spacing w:line="264" w:lineRule="auto"/>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lastRenderedPageBreak/>
        <w:t xml:space="preserve">Науковий керівник: </w:t>
      </w:r>
      <w:r w:rsidR="00220D3E" w:rsidRPr="00511005">
        <w:rPr>
          <w:rFonts w:ascii="Arial" w:eastAsia="Times New Roman" w:hAnsi="Arial" w:cs="Arial"/>
          <w:bCs/>
          <w:i/>
          <w:iCs/>
          <w:szCs w:val="28"/>
          <w:lang w:val="uk-UA" w:eastAsia="ru-RU"/>
        </w:rPr>
        <w:t>к.ю.н., доцент</w:t>
      </w:r>
      <w:r w:rsidRPr="00511005">
        <w:rPr>
          <w:rFonts w:ascii="Arial" w:eastAsia="Times New Roman" w:hAnsi="Arial" w:cs="Arial"/>
          <w:bCs/>
          <w:i/>
          <w:iCs/>
          <w:szCs w:val="28"/>
          <w:lang w:val="uk-UA" w:eastAsia="ru-RU"/>
        </w:rPr>
        <w:t xml:space="preserve"> </w:t>
      </w:r>
      <w:r w:rsidR="00220D3E" w:rsidRPr="00511005">
        <w:rPr>
          <w:rFonts w:ascii="Arial" w:eastAsia="Times New Roman" w:hAnsi="Arial" w:cs="Arial"/>
          <w:bCs/>
          <w:i/>
          <w:iCs/>
          <w:szCs w:val="28"/>
          <w:lang w:val="uk-UA" w:eastAsia="ru-RU"/>
        </w:rPr>
        <w:t>Гриб А.М.</w:t>
      </w:r>
    </w:p>
    <w:p w14:paraId="3E200B06" w14:textId="77777777" w:rsidR="00220D3E" w:rsidRPr="00511005" w:rsidRDefault="00220D3E" w:rsidP="003A292D">
      <w:pPr>
        <w:pBdr>
          <w:top w:val="nil"/>
          <w:left w:val="nil"/>
          <w:bottom w:val="nil"/>
          <w:right w:val="nil"/>
          <w:between w:val="nil"/>
          <w:bar w:val="nil"/>
        </w:pBdr>
        <w:tabs>
          <w:tab w:val="left" w:pos="709"/>
        </w:tabs>
        <w:spacing w:line="264" w:lineRule="auto"/>
        <w:jc w:val="center"/>
        <w:rPr>
          <w:rFonts w:ascii="Arial" w:eastAsia="Times New Roman" w:hAnsi="Arial" w:cs="Arial"/>
          <w:b/>
          <w:bCs/>
          <w:i/>
          <w:iCs/>
          <w:szCs w:val="28"/>
          <w:lang w:val="uk-UA" w:eastAsia="ru-RU"/>
        </w:rPr>
      </w:pPr>
    </w:p>
    <w:p w14:paraId="6E53CB61" w14:textId="77777777" w:rsidR="00220D3E" w:rsidRPr="00511005" w:rsidRDefault="00220D3E" w:rsidP="003A292D">
      <w:pPr>
        <w:pBdr>
          <w:top w:val="nil"/>
          <w:left w:val="nil"/>
          <w:bottom w:val="nil"/>
          <w:right w:val="nil"/>
          <w:between w:val="nil"/>
          <w:bar w:val="nil"/>
        </w:pBdr>
        <w:tabs>
          <w:tab w:val="left" w:pos="709"/>
        </w:tabs>
        <w:spacing w:line="264" w:lineRule="auto"/>
        <w:ind w:firstLine="0"/>
        <w:jc w:val="center"/>
        <w:rPr>
          <w:rFonts w:ascii="Arial" w:eastAsia="Arial Unicode MS" w:hAnsi="Arial" w:cs="Arial"/>
          <w:b/>
          <w:i/>
          <w:iCs/>
          <w:szCs w:val="28"/>
          <w:bdr w:val="nil"/>
          <w:lang w:val="en-US" w:eastAsia="ru-RU"/>
        </w:rPr>
      </w:pPr>
      <w:r w:rsidRPr="00511005">
        <w:rPr>
          <w:rFonts w:ascii="Arial" w:eastAsia="Arial Unicode MS" w:hAnsi="Arial" w:cs="Arial"/>
          <w:b/>
          <w:i/>
          <w:iCs/>
          <w:szCs w:val="28"/>
          <w:bdr w:val="nil"/>
          <w:lang w:val="en-US" w:eastAsia="ru-RU"/>
        </w:rPr>
        <w:t xml:space="preserve">Kupriyanova Veronika </w:t>
      </w:r>
    </w:p>
    <w:p w14:paraId="1FAE3F27" w14:textId="77777777" w:rsidR="00220D3E" w:rsidRPr="00511005" w:rsidRDefault="00220D3E" w:rsidP="003A292D">
      <w:pPr>
        <w:pBdr>
          <w:top w:val="nil"/>
          <w:left w:val="nil"/>
          <w:bottom w:val="nil"/>
          <w:right w:val="nil"/>
          <w:between w:val="nil"/>
          <w:bar w:val="nil"/>
        </w:pBdr>
        <w:tabs>
          <w:tab w:val="left" w:pos="709"/>
        </w:tabs>
        <w:spacing w:line="264" w:lineRule="auto"/>
        <w:ind w:firstLine="0"/>
        <w:jc w:val="center"/>
        <w:rPr>
          <w:rFonts w:ascii="Arial" w:eastAsia="Arial Unicode MS" w:hAnsi="Arial" w:cs="Arial"/>
          <w:iCs/>
          <w:szCs w:val="28"/>
          <w:bdr w:val="nil"/>
          <w:lang w:val="en-US" w:eastAsia="ru-RU"/>
        </w:rPr>
      </w:pPr>
      <w:r w:rsidRPr="00511005">
        <w:rPr>
          <w:rFonts w:ascii="Arial" w:eastAsia="Arial Unicode MS" w:hAnsi="Arial" w:cs="Arial"/>
          <w:iCs/>
          <w:szCs w:val="28"/>
          <w:bdr w:val="nil"/>
          <w:lang w:val="en-US" w:eastAsia="ru-RU"/>
        </w:rPr>
        <w:t xml:space="preserve">4th year student of the Faculty of judicial and international law </w:t>
      </w:r>
    </w:p>
    <w:p w14:paraId="7AB978D5" w14:textId="5A93A654" w:rsidR="00220D3E" w:rsidRPr="00511005" w:rsidRDefault="00220D3E" w:rsidP="003A292D">
      <w:pPr>
        <w:pBdr>
          <w:top w:val="nil"/>
          <w:left w:val="nil"/>
          <w:bottom w:val="nil"/>
          <w:right w:val="nil"/>
          <w:between w:val="nil"/>
          <w:bar w:val="nil"/>
        </w:pBdr>
        <w:tabs>
          <w:tab w:val="left" w:pos="709"/>
        </w:tabs>
        <w:spacing w:line="264" w:lineRule="auto"/>
        <w:ind w:firstLine="0"/>
        <w:jc w:val="center"/>
        <w:rPr>
          <w:rFonts w:ascii="Arial" w:eastAsia="Arial Unicode MS" w:hAnsi="Arial" w:cs="Arial"/>
          <w:iCs/>
          <w:szCs w:val="28"/>
          <w:bdr w:val="nil"/>
          <w:lang w:val="uk-UA" w:eastAsia="ru-RU"/>
        </w:rPr>
      </w:pPr>
      <w:r w:rsidRPr="00511005">
        <w:rPr>
          <w:rFonts w:ascii="Arial" w:eastAsia="Arial Unicode MS" w:hAnsi="Arial" w:cs="Arial"/>
          <w:iCs/>
          <w:szCs w:val="28"/>
          <w:bdr w:val="nil"/>
          <w:lang w:val="en-US" w:eastAsia="ru-RU"/>
        </w:rPr>
        <w:t xml:space="preserve">National University </w:t>
      </w:r>
      <w:r w:rsidRPr="00511005">
        <w:rPr>
          <w:rFonts w:ascii="Arial" w:eastAsia="Arial Unicode MS" w:hAnsi="Arial" w:cs="Arial"/>
          <w:iCs/>
          <w:szCs w:val="28"/>
          <w:bdr w:val="nil"/>
          <w:lang w:val="uk-UA" w:eastAsia="ru-RU"/>
        </w:rPr>
        <w:t>«</w:t>
      </w:r>
      <w:r w:rsidRPr="00511005">
        <w:rPr>
          <w:rFonts w:ascii="Arial" w:eastAsia="Arial Unicode MS" w:hAnsi="Arial" w:cs="Arial"/>
          <w:iCs/>
          <w:szCs w:val="28"/>
          <w:bdr w:val="nil"/>
          <w:lang w:val="en-US" w:eastAsia="ru-RU"/>
        </w:rPr>
        <w:t>Odesa Law Academy</w:t>
      </w:r>
      <w:r w:rsidRPr="00511005">
        <w:rPr>
          <w:rFonts w:ascii="Arial" w:eastAsia="Arial Unicode MS" w:hAnsi="Arial" w:cs="Arial"/>
          <w:iCs/>
          <w:szCs w:val="28"/>
          <w:bdr w:val="nil"/>
          <w:lang w:val="uk-UA" w:eastAsia="ru-RU"/>
        </w:rPr>
        <w:t>»</w:t>
      </w:r>
    </w:p>
    <w:p w14:paraId="385D7007" w14:textId="77777777" w:rsidR="00220D3E" w:rsidRPr="00511005" w:rsidRDefault="00220D3E" w:rsidP="003A292D">
      <w:pPr>
        <w:pBdr>
          <w:top w:val="nil"/>
          <w:left w:val="nil"/>
          <w:bottom w:val="nil"/>
          <w:right w:val="nil"/>
          <w:between w:val="nil"/>
          <w:bar w:val="nil"/>
        </w:pBdr>
        <w:tabs>
          <w:tab w:val="left" w:pos="709"/>
        </w:tabs>
        <w:spacing w:line="264" w:lineRule="auto"/>
        <w:ind w:firstLine="0"/>
        <w:jc w:val="center"/>
        <w:rPr>
          <w:rFonts w:ascii="Arial" w:eastAsia="Arial Unicode MS" w:hAnsi="Arial" w:cs="Arial"/>
          <w:b/>
          <w:iCs/>
          <w:szCs w:val="28"/>
          <w:bdr w:val="nil"/>
          <w:lang w:val="uk-UA" w:eastAsia="ru-RU"/>
        </w:rPr>
      </w:pPr>
    </w:p>
    <w:p w14:paraId="739F7EB4" w14:textId="77777777" w:rsidR="00220D3E" w:rsidRPr="00511005" w:rsidRDefault="00220D3E" w:rsidP="003A292D">
      <w:pPr>
        <w:pBdr>
          <w:top w:val="nil"/>
          <w:left w:val="nil"/>
          <w:bottom w:val="nil"/>
          <w:right w:val="nil"/>
          <w:between w:val="nil"/>
          <w:bar w:val="nil"/>
        </w:pBdr>
        <w:tabs>
          <w:tab w:val="left" w:pos="709"/>
        </w:tabs>
        <w:spacing w:line="264" w:lineRule="auto"/>
        <w:ind w:firstLine="0"/>
        <w:jc w:val="center"/>
        <w:rPr>
          <w:rFonts w:ascii="Arial" w:eastAsia="Arial Unicode MS" w:hAnsi="Arial" w:cs="Arial"/>
          <w:b/>
          <w:iCs/>
          <w:szCs w:val="28"/>
          <w:bdr w:val="nil"/>
          <w:lang w:val="en-US" w:eastAsia="ru-RU"/>
        </w:rPr>
      </w:pPr>
      <w:r w:rsidRPr="00511005">
        <w:rPr>
          <w:rFonts w:ascii="Arial" w:eastAsia="Arial Unicode MS" w:hAnsi="Arial" w:cs="Arial"/>
          <w:b/>
          <w:iCs/>
          <w:szCs w:val="28"/>
          <w:bdr w:val="nil"/>
          <w:lang w:val="en-US" w:eastAsia="ru-RU"/>
        </w:rPr>
        <w:t>THE RIGHT TO A FAIR TRIAL IN THE CONTEXT OF ARTICLE 6 OF THE CONVENTION FOR THE PROTECTION OF HUMAN RIGHTS AND FUNDAMENTAL FREEDOMS</w:t>
      </w:r>
    </w:p>
    <w:p w14:paraId="48CCA824" w14:textId="368B453F"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ab/>
        <w:t>Problem statement: The Ukrainian legal system is always trying to keep a balance between the principles of justice and the effectiveness of court proceedings. The necessity for a comprehensive examination and modernization of current legal processes is shown by the increasing volume of applications to the European Court of Human Rights (ECHR) concerning violations of Article 6 of the Convention for the Protection of Human Rights and Fundamental Freedoms (ECHR).</w:t>
      </w:r>
      <w:r w:rsidR="007B2628" w:rsidRPr="00511005">
        <w:rPr>
          <w:rFonts w:ascii="Arial" w:eastAsia="Arial Unicode MS" w:hAnsi="Arial" w:cs="Arial"/>
          <w:szCs w:val="28"/>
          <w:bdr w:val="nil"/>
          <w:lang w:val="en-US" w:eastAsia="ru-RU"/>
        </w:rPr>
        <w:t xml:space="preserve"> </w:t>
      </w:r>
    </w:p>
    <w:p w14:paraId="6E5B4484"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iCs/>
          <w:szCs w:val="28"/>
          <w:bdr w:val="nil"/>
          <w:lang w:val="en-US" w:eastAsia="ru-RU"/>
        </w:rPr>
      </w:pPr>
      <w:r w:rsidRPr="00511005">
        <w:rPr>
          <w:rFonts w:ascii="Arial" w:eastAsia="Arial Unicode MS" w:hAnsi="Arial" w:cs="Arial"/>
          <w:i/>
          <w:szCs w:val="28"/>
          <w:bdr w:val="nil"/>
          <w:lang w:val="en-US" w:eastAsia="ru-RU"/>
        </w:rPr>
        <w:t>T</w:t>
      </w:r>
      <w:r w:rsidRPr="00511005">
        <w:rPr>
          <w:rFonts w:ascii="Arial" w:eastAsia="Arial Unicode MS" w:hAnsi="Arial" w:cs="Arial"/>
          <w:i/>
          <w:iCs/>
          <w:szCs w:val="28"/>
          <w:bdr w:val="nil"/>
          <w:lang w:val="en-US" w:eastAsia="ru-RU"/>
        </w:rPr>
        <w:t xml:space="preserve">he main material of the study. </w:t>
      </w:r>
      <w:r w:rsidRPr="00511005">
        <w:rPr>
          <w:rFonts w:ascii="Arial" w:eastAsia="Arial Unicode MS" w:hAnsi="Arial" w:cs="Arial"/>
          <w:iCs/>
          <w:szCs w:val="28"/>
          <w:bdr w:val="nil"/>
          <w:lang w:val="en-US" w:eastAsia="ru-RU"/>
        </w:rPr>
        <w:t xml:space="preserve">One of the most important constitutional guarantees for ensuring and protecting the rights and liberties of a person is the consolidation of the right to judicial protection. Article 55 of the Constitution of Ukraine establishes protection of the rights and liberties of man and citizen by the court. </w:t>
      </w:r>
    </w:p>
    <w:p w14:paraId="3E607B2F"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iCs/>
          <w:szCs w:val="28"/>
          <w:bdr w:val="nil"/>
          <w:lang w:val="en-US" w:eastAsia="ru-RU"/>
        </w:rPr>
      </w:pPr>
      <w:r w:rsidRPr="00511005">
        <w:rPr>
          <w:rFonts w:ascii="Arial" w:eastAsia="Arial Unicode MS" w:hAnsi="Arial" w:cs="Arial"/>
          <w:iCs/>
          <w:szCs w:val="28"/>
          <w:bdr w:val="nil"/>
          <w:lang w:val="en-US" w:eastAsia="ru-RU"/>
        </w:rPr>
        <w:t>With the accession of our state to the C</w:t>
      </w:r>
      <w:r w:rsidRPr="00511005">
        <w:rPr>
          <w:rFonts w:ascii="Arial" w:eastAsia="Arial Unicode MS" w:hAnsi="Arial" w:cs="Arial"/>
          <w:bCs/>
          <w:iCs/>
          <w:szCs w:val="28"/>
          <w:bdr w:val="nil"/>
          <w:lang w:val="en-US" w:eastAsia="ru-RU"/>
        </w:rPr>
        <w:t>onvention for the Protection of Human Rights and Fundamental Freedoms</w:t>
      </w:r>
      <w:r w:rsidRPr="00511005">
        <w:rPr>
          <w:rFonts w:ascii="Arial" w:eastAsia="Arial Unicode MS" w:hAnsi="Arial" w:cs="Arial"/>
          <w:iCs/>
          <w:szCs w:val="28"/>
          <w:bdr w:val="nil"/>
          <w:lang w:val="en-US" w:eastAsia="ru-RU"/>
        </w:rPr>
        <w:t xml:space="preserve">, this resulted in possibility for everyone whose rights have been violated by the state to appeal to the European Court of Human Rights as the highest authority within 4 months from the date of the final decision at the national level. </w:t>
      </w:r>
      <w:r w:rsidRPr="00511005">
        <w:rPr>
          <w:rFonts w:ascii="Arial" w:eastAsia="Arial Unicode MS" w:hAnsi="Arial" w:cs="Arial"/>
          <w:szCs w:val="28"/>
          <w:bdr w:val="nil"/>
          <w:lang w:val="en-US" w:eastAsia="ru-RU"/>
        </w:rPr>
        <w:t>When determining a person's civil rights and obligations or when evaluating any criminal charge against them, Article 6 of the Convention for the Protection of Human Rights and Fundamental Freedoms (henceforth referred to as the Convention) guarantees the right to a fair and public trial within a reasonable amount of time by an independent and impartial court established by law.</w:t>
      </w:r>
    </w:p>
    <w:p w14:paraId="16627E09"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 xml:space="preserve">The rule of law and the appropriate administration of justice are the two main tenets of Article 6 of the Convention. The right to a fair trial is likewise based on these fundamental concepts. The main elements of the right to judicial protection in accordance with Part 1 of Art. 6 of the Convention are: 1) the right to trial; 2) the fairness of the trial; 3) publicity of the case and the announcement of the decision; 4) reasonable time for consideration of the case; 5) consideration of the case by a court established by law; 6) independence and impartiality of the court. Although the institutional requirements of Article 6 § 1 serve specific purposes as separate guarantees of a fair trial, they are all aimed at respecting the fundamental principles of the rule of law and separation of powers. At the heart of each of these demands is the need to maintain public confidence in the </w:t>
      </w:r>
      <w:r w:rsidRPr="00511005">
        <w:rPr>
          <w:rFonts w:ascii="Arial" w:eastAsia="Arial Unicode MS" w:hAnsi="Arial" w:cs="Arial"/>
          <w:szCs w:val="28"/>
          <w:bdr w:val="nil"/>
          <w:lang w:val="en-US" w:eastAsia="ru-RU"/>
        </w:rPr>
        <w:lastRenderedPageBreak/>
        <w:t>judiciary and guarantee its independence from other branches of government ("Gumundur Andrí Ástrásson v. Iceland) [B], 2020, § 233). [3]</w:t>
      </w:r>
    </w:p>
    <w:p w14:paraId="5B89EF71" w14:textId="62AFD2EB"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Ukrainian legislation does not disclose the content of the right to a fair trial in a specific legal norm, but embodies and consolidates its individual components in various regulatory legal acts. In this regard, we draw attention to the position of V. Gorodovenko, who notes that the Constitution of Ukraine, without directly recognizing the principle of justice, embodied its numerous components in sections I "General Principles" and II "Rights, Freedoms and duties of Man and Citizen".</w:t>
      </w:r>
      <w:r w:rsidR="007B2628" w:rsidRPr="00511005">
        <w:rPr>
          <w:rFonts w:ascii="Arial" w:eastAsia="Arial Unicode MS" w:hAnsi="Arial" w:cs="Arial"/>
          <w:szCs w:val="28"/>
          <w:bdr w:val="nil"/>
          <w:lang w:val="en-US" w:eastAsia="ru-RU"/>
        </w:rPr>
        <w:t xml:space="preserve"> </w:t>
      </w:r>
      <w:r w:rsidRPr="00511005">
        <w:rPr>
          <w:rFonts w:ascii="Arial" w:eastAsia="Arial Unicode MS" w:hAnsi="Arial" w:cs="Arial"/>
          <w:szCs w:val="28"/>
          <w:bdr w:val="nil"/>
          <w:lang w:val="en-US" w:eastAsia="ru-RU"/>
        </w:rPr>
        <w:t>[2]</w:t>
      </w:r>
    </w:p>
    <w:p w14:paraId="55B3A987"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Analyzing the scientific developments, in particular the position of A. B. Prokopenko, we can come to the conclusion about two aspects of a fair trial, which together constitute the system. 1) the material aspect is distinguished, consisting in the content of the decision taken by the court (the punishment determined by it or the application/application of other measures of coercion), which should be appropriate (that is, proportional) to the act committed; 2) the procedural aspect, which is determined by the fact that the proceedings (in particular criminal) are carried out in conformity with the established legal procedure, which essentially satisfies the standards of justice.</w:t>
      </w:r>
    </w:p>
    <w:p w14:paraId="687B73F6"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The most meaningful review of the implementation of the norms of Article 6 of the ECHR in national legislation and in practice will be through the analysis of decisions made in cases against Ukraine on violations of this article. Therefore, I propose to consider some of them.</w:t>
      </w:r>
    </w:p>
    <w:p w14:paraId="631C8EFD"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 xml:space="preserve">Regarding the limits of application of Art. 6, consider the Court's decision set forth in the case of Shabelnik v. Ukraine. The ECHR noted in the decision that in the Supreme Court the applicant claimed as if the records of the examination of the scene and the testimony of witnesses, which confirmed the applicant's presentation of the circumstances of the attack on Ms. K, given in his confession, could not serve as a basis for leaving the sentence against him unchanged after how these confessions were excluded from the evidence base, since the only evidential value of these protocols and witness statements was to confirm the statement of circumstances by the applicant contained in his currently excluded confessions. </w:t>
      </w:r>
    </w:p>
    <w:p w14:paraId="59A66BF5"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 xml:space="preserve">However, the panel of the Supreme Court has so far referred to these records and the testimony of witnesses, without providing any answer to the applicant's arguments, despite the fact that they were specific and, in the circumstances of the case, very expedient and important. Although the main purpose of Article 6 with regard to criminal proceedings is to ensure a fair trial by a "court" competent to establish the validity of "any... criminal charge, "this does not mean that this article does not apply to pre-trial proceedings. After all, the fairness of the trial can be violated even before the trial in court. Therefore, the requirements of Article 6 (in particular paragraph 3) may also be applicable even </w:t>
      </w:r>
      <w:r w:rsidRPr="00511005">
        <w:rPr>
          <w:rFonts w:ascii="Arial" w:eastAsia="Arial Unicode MS" w:hAnsi="Arial" w:cs="Arial"/>
          <w:szCs w:val="28"/>
          <w:bdr w:val="nil"/>
          <w:lang w:val="en-US" w:eastAsia="ru-RU"/>
        </w:rPr>
        <w:lastRenderedPageBreak/>
        <w:t xml:space="preserve">before the case is sent to the court, non-compliance with such requirements at the very beginning can seriously affect the fairness of the trial. </w:t>
      </w:r>
    </w:p>
    <w:p w14:paraId="60886CFE"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In the case "Sokurenko and Strigun against Ukraine", the Court restates that, as previously stated, the term "established by law" refers to both the legal foundation for the "court's" very existence as well as the observance by such a court of certain regulations controlling its operations. In the judgment in Zand v. Austria, mentioned earlier, the Commission expressed the view that the term "court established by law" in Article 6 § 1 provided for "the whole organisational structure of the courts, including (...) matters falling within the jurisdiction of certain categories of courts (...)."</w:t>
      </w:r>
    </w:p>
    <w:p w14:paraId="6CCA480D"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The Court notes that there was no other rule of law that would empower the Supreme Court to make such decisions. Finally, the Court considers that the general provisions of the Constitution of Ukraine referred to by the Government could not serve as a sufficient legal basis for such specific competence, which was not provided by the relevant legislation.</w:t>
      </w:r>
    </w:p>
    <w:p w14:paraId="273B1DA0"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The Court reiterates that in some cases it has recognised that the highest judicial authority empowered to interpret the law could make a decision which was not clearly defined by law. Such application of the law, however, was exceptional and the said court provided clear and plausible grounds for such exceptional derogation from the application of its prescribed powers. (Julio Bou Gibert and El Hogar Y La Moda J. A. X. A. v. Spain). [5] But in this instance, the Supreme Court went beyond its authority by willfully going against norms in the Commercial Procedure Code and providing such decisions, which the Government stated had become the Supreme Court of Ukraine's standard practice. The Court also failed to offer any justification for its decision. The ECHR claims that the Supreme Court cannot be regarded as a "court established by law" in the sense of paragraph 1 of Article 6 of the Convention with regard to the contested proceedings since it has overreached its authority, which was expressly granted in the Commercial Procedure Code.</w:t>
      </w:r>
    </w:p>
    <w:p w14:paraId="21EC4331"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Also, as a procedural protection of the rights of the suspect and the accused in criminal proceedings, the presumption of innocence should be considered in the context of the right to a fair trial. It is based on the standard of proof "beyond a reasonable doubt", which, given the practice of the ECHR, not only forbids the court from prematurely stating that the person "accused of committing a crime" is guilty before the crime has been established to be proven in line with the law, but also extends to statements made by other public bodies regarding criminal proceedings, and which encourage the public to think about the guilt of the suspect and determine in advance the assessment of the facts by the competent judicial authority.</w:t>
      </w:r>
    </w:p>
    <w:p w14:paraId="7FDA6DE3"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 xml:space="preserve">In Ukraine, the presumption of innocence is most often violated in three cases: when making public statements by politicians and prosecutors about someone's guilt long before the end of the trial, when a court decision, which is </w:t>
      </w:r>
      <w:r w:rsidRPr="00511005">
        <w:rPr>
          <w:rFonts w:ascii="Arial" w:eastAsia="Arial Unicode MS" w:hAnsi="Arial" w:cs="Arial"/>
          <w:szCs w:val="28"/>
          <w:bdr w:val="nil"/>
          <w:lang w:val="en-US" w:eastAsia="ru-RU"/>
        </w:rPr>
        <w:lastRenderedPageBreak/>
        <w:t>not a conviction, reflects the opinion about the guilt of a person, and when detaining persons suspected and/or accused of committing a crime, and choosing a preventive measure. In particular, the ECHR ruled on Ukraine's violation of Part 2 of Art. 6 in the case of Shagin v. Ukraine, and noted the statement of the first deputy prosecutor of Kyiv, which was equally quoted by three different newspapers and which was made long before the applicant's indictment was drawn up, that the applicant was the "actual leader" of a group of killers and "his orders [to kill] were systematic."</w:t>
      </w:r>
    </w:p>
    <w:p w14:paraId="79B69B6B"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val="en-US" w:eastAsia="ru-RU"/>
        </w:rPr>
      </w:pPr>
      <w:r w:rsidRPr="00511005">
        <w:rPr>
          <w:rFonts w:ascii="Arial" w:eastAsia="Arial Unicode MS" w:hAnsi="Arial" w:cs="Arial"/>
          <w:szCs w:val="28"/>
          <w:bdr w:val="nil"/>
          <w:lang w:val="uk-UA" w:eastAsia="ru-RU"/>
        </w:rPr>
        <w:t>Conclusions: the implementation and realization of the right to a fair trial in domestic legislation is a key aspect in ensuring the rule of law and human rights protection in Ukraine. This right covers a number of fundamental guarantees, including the independence and impartiality of the court, the consideration of the case within a reasonable time, the publicity of the trial and the right to effective protection. Bringing the Ukrainian legal system in line with the norms of the ECHR helps to strengthen public confidence in justice.</w:t>
      </w:r>
      <w:r w:rsidRPr="00511005">
        <w:rPr>
          <w:rFonts w:ascii="Arial" w:eastAsia="Arial Unicode MS" w:hAnsi="Arial" w:cs="Arial"/>
          <w:szCs w:val="28"/>
          <w:bdr w:val="nil"/>
          <w:lang w:val="en-US" w:eastAsia="ru-RU"/>
        </w:rPr>
        <w:t xml:space="preserve"> In connection with Ukraine's desire to become a full member of the European Union, an important issue today is ensuring and exercising the right to a fair trial, which is a key element of European standards of justice.</w:t>
      </w:r>
    </w:p>
    <w:p w14:paraId="6D753EBF" w14:textId="77777777" w:rsidR="00220D3E" w:rsidRPr="00511005" w:rsidRDefault="00220D3E" w:rsidP="003A292D">
      <w:pPr>
        <w:pBdr>
          <w:top w:val="nil"/>
          <w:left w:val="nil"/>
          <w:bottom w:val="nil"/>
          <w:right w:val="nil"/>
          <w:between w:val="nil"/>
          <w:bar w:val="nil"/>
        </w:pBdr>
        <w:tabs>
          <w:tab w:val="left" w:pos="709"/>
        </w:tabs>
        <w:spacing w:line="264" w:lineRule="auto"/>
        <w:jc w:val="left"/>
        <w:rPr>
          <w:rFonts w:ascii="Arial" w:eastAsia="Arial Unicode MS" w:hAnsi="Arial" w:cs="Arial"/>
          <w:b/>
          <w:bCs/>
          <w:i/>
          <w:iCs/>
          <w:szCs w:val="28"/>
          <w:bdr w:val="nil"/>
          <w:lang w:val="en-GB" w:eastAsia="ru-RU"/>
        </w:rPr>
      </w:pPr>
    </w:p>
    <w:p w14:paraId="45F50E5C" w14:textId="77777777" w:rsidR="00220D3E" w:rsidRPr="00511005" w:rsidRDefault="00220D3E" w:rsidP="003A292D">
      <w:pPr>
        <w:pBdr>
          <w:top w:val="nil"/>
          <w:left w:val="nil"/>
          <w:bottom w:val="nil"/>
          <w:right w:val="nil"/>
          <w:between w:val="nil"/>
          <w:bar w:val="nil"/>
        </w:pBdr>
        <w:tabs>
          <w:tab w:val="left" w:pos="709"/>
        </w:tabs>
        <w:spacing w:line="264" w:lineRule="auto"/>
        <w:jc w:val="center"/>
        <w:rPr>
          <w:rFonts w:ascii="Arial" w:eastAsia="Arial Unicode MS" w:hAnsi="Arial" w:cs="Arial"/>
          <w:b/>
          <w:bCs/>
          <w:i/>
          <w:iCs/>
          <w:szCs w:val="28"/>
          <w:bdr w:val="nil"/>
          <w:lang w:val="uk-UA" w:eastAsia="ru-RU"/>
        </w:rPr>
      </w:pPr>
      <w:r w:rsidRPr="00511005">
        <w:rPr>
          <w:rFonts w:ascii="Arial" w:eastAsia="Arial Unicode MS" w:hAnsi="Arial" w:cs="Arial"/>
          <w:b/>
          <w:bCs/>
          <w:i/>
          <w:iCs/>
          <w:szCs w:val="28"/>
          <w:bdr w:val="nil"/>
          <w:lang w:val="en-US" w:eastAsia="ru-RU"/>
        </w:rPr>
        <w:t>References</w:t>
      </w:r>
    </w:p>
    <w:p w14:paraId="6534CBB1"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bCs/>
          <w:iCs/>
          <w:szCs w:val="28"/>
          <w:bdr w:val="nil"/>
          <w:lang w:val="en-GB" w:eastAsia="ru-RU"/>
        </w:rPr>
      </w:pPr>
      <w:r w:rsidRPr="00511005">
        <w:rPr>
          <w:rFonts w:ascii="Arial" w:eastAsia="Arial Unicode MS" w:hAnsi="Arial" w:cs="Arial"/>
          <w:bCs/>
          <w:iCs/>
          <w:szCs w:val="28"/>
          <w:bdr w:val="nil"/>
          <w:lang w:val="en-US" w:eastAsia="ru-RU"/>
        </w:rPr>
        <w:t>1.</w:t>
      </w:r>
      <w:r w:rsidRPr="00511005">
        <w:rPr>
          <w:rFonts w:ascii="Arial" w:eastAsia="Arial Unicode MS" w:hAnsi="Arial" w:cs="Arial"/>
          <w:bCs/>
          <w:iCs/>
          <w:szCs w:val="28"/>
          <w:bdr w:val="nil"/>
          <w:lang w:val="en-US" w:eastAsia="ru-RU"/>
        </w:rPr>
        <w:tab/>
        <w:t xml:space="preserve">European Convention for the Protection of Human Rights and Fundamental Freedoms, ratified by Law No. 475/97-VR of 17 July 1997. URL: </w:t>
      </w:r>
      <w:hyperlink r:id="rId438" w:history="1">
        <w:r w:rsidRPr="00511005">
          <w:rPr>
            <w:rFonts w:ascii="Arial" w:eastAsia="Times New Roman" w:hAnsi="Arial" w:cs="Arial"/>
            <w:szCs w:val="28"/>
            <w:lang w:val="uk-UA" w:eastAsia="uk-UA"/>
          </w:rPr>
          <w:t>https://zakon.rada.gov.ua/go/475/97-%D0%B2%D1%80</w:t>
        </w:r>
      </w:hyperlink>
      <w:r w:rsidRPr="00511005">
        <w:rPr>
          <w:rFonts w:ascii="Arial" w:eastAsia="Times New Roman" w:hAnsi="Arial" w:cs="Arial"/>
          <w:szCs w:val="28"/>
          <w:lang w:val="en-GB" w:eastAsia="uk-UA"/>
        </w:rPr>
        <w:t xml:space="preserve"> (date of reference: 06.05.2025)</w:t>
      </w:r>
    </w:p>
    <w:p w14:paraId="35773133"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bCs/>
          <w:iCs/>
          <w:szCs w:val="28"/>
          <w:bdr w:val="nil"/>
          <w:lang w:val="en-US" w:eastAsia="ru-RU"/>
        </w:rPr>
      </w:pPr>
      <w:r w:rsidRPr="00511005">
        <w:rPr>
          <w:rFonts w:ascii="Arial" w:eastAsia="Arial Unicode MS" w:hAnsi="Arial" w:cs="Arial"/>
          <w:bCs/>
          <w:iCs/>
          <w:szCs w:val="28"/>
          <w:bdr w:val="nil"/>
          <w:lang w:val="en-US" w:eastAsia="ru-RU"/>
        </w:rPr>
        <w:t>2.</w:t>
      </w:r>
      <w:r w:rsidRPr="00511005">
        <w:rPr>
          <w:rFonts w:ascii="Arial" w:eastAsia="Arial Unicode MS" w:hAnsi="Arial" w:cs="Arial"/>
          <w:bCs/>
          <w:iCs/>
          <w:szCs w:val="28"/>
          <w:bdr w:val="nil"/>
          <w:lang w:val="en-US" w:eastAsia="ru-RU"/>
        </w:rPr>
        <w:tab/>
        <w:t xml:space="preserve">Gorodovenko V.V. Principles of justice of the judiciary: general theoretical aspects. Lawyer. Nº 2. 2012. URL: </w:t>
      </w:r>
      <w:hyperlink r:id="rId439" w:history="1">
        <w:r w:rsidRPr="00511005">
          <w:rPr>
            <w:rFonts w:ascii="Arial" w:eastAsia="Arial Unicode MS" w:hAnsi="Arial" w:cs="Arial"/>
            <w:bCs/>
            <w:iCs/>
            <w:szCs w:val="28"/>
            <w:bdr w:val="nil"/>
            <w:lang w:val="en-US" w:eastAsia="ru-RU"/>
          </w:rPr>
          <w:t>http://nbuv.gov.ua/UJRN/adv_2012_2_3</w:t>
        </w:r>
      </w:hyperlink>
      <w:r w:rsidRPr="00511005">
        <w:rPr>
          <w:rFonts w:ascii="Arial" w:eastAsia="Arial Unicode MS" w:hAnsi="Arial" w:cs="Arial"/>
          <w:bCs/>
          <w:iCs/>
          <w:szCs w:val="28"/>
          <w:bdr w:val="nil"/>
          <w:lang w:val="en-US" w:eastAsia="ru-RU"/>
        </w:rPr>
        <w:t xml:space="preserve">. </w:t>
      </w:r>
      <w:r w:rsidRPr="00511005">
        <w:rPr>
          <w:rFonts w:ascii="Arial" w:eastAsia="Times New Roman" w:hAnsi="Arial" w:cs="Arial"/>
          <w:szCs w:val="28"/>
          <w:lang w:val="en-GB" w:eastAsia="uk-UA"/>
        </w:rPr>
        <w:t>(date of reference: 06.05.2025)</w:t>
      </w:r>
    </w:p>
    <w:p w14:paraId="38A73A95" w14:textId="2EEACD23"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bCs/>
          <w:iCs/>
          <w:szCs w:val="28"/>
          <w:bdr w:val="nil"/>
          <w:lang w:val="en-US" w:eastAsia="ru-RU"/>
        </w:rPr>
      </w:pPr>
      <w:r w:rsidRPr="00511005">
        <w:rPr>
          <w:rFonts w:ascii="Arial" w:eastAsia="Arial Unicode MS" w:hAnsi="Arial" w:cs="Arial"/>
          <w:bCs/>
          <w:iCs/>
          <w:szCs w:val="28"/>
          <w:bdr w:val="nil"/>
          <w:lang w:val="en-US" w:eastAsia="ru-RU"/>
        </w:rPr>
        <w:t>3.</w:t>
      </w:r>
      <w:r w:rsidR="007B2628" w:rsidRPr="00511005">
        <w:rPr>
          <w:rFonts w:ascii="Arial" w:eastAsia="Arial Unicode MS" w:hAnsi="Arial" w:cs="Arial"/>
          <w:bCs/>
          <w:iCs/>
          <w:szCs w:val="28"/>
          <w:bdr w:val="nil"/>
          <w:lang w:val="en-US" w:eastAsia="ru-RU"/>
        </w:rPr>
        <w:t xml:space="preserve"> </w:t>
      </w:r>
      <w:r w:rsidRPr="00511005">
        <w:rPr>
          <w:rFonts w:ascii="Arial" w:eastAsia="Arial Unicode MS" w:hAnsi="Arial" w:cs="Arial"/>
          <w:bCs/>
          <w:iCs/>
          <w:szCs w:val="28"/>
          <w:bdr w:val="nil"/>
          <w:lang w:val="en-US" w:eastAsia="ru-RU"/>
        </w:rPr>
        <w:t xml:space="preserve">Guide to Article 6 right to a fair trial. Council of Europe – ECHR. 2020. URL: </w:t>
      </w:r>
      <w:hyperlink r:id="rId440" w:history="1">
        <w:r w:rsidRPr="00511005">
          <w:rPr>
            <w:rFonts w:ascii="Arial" w:eastAsia="Arial Unicode MS" w:hAnsi="Arial" w:cs="Arial"/>
            <w:bCs/>
            <w:iCs/>
            <w:szCs w:val="28"/>
            <w:bdr w:val="nil"/>
            <w:lang w:val="en-US" w:eastAsia="ru-RU"/>
          </w:rPr>
          <w:t>https://www.echr.coe.int/Documents/Guide_Art_6_criminal_UKR.pdf</w:t>
        </w:r>
      </w:hyperlink>
      <w:r w:rsidRPr="00511005">
        <w:rPr>
          <w:rFonts w:ascii="Arial" w:eastAsia="Arial Unicode MS" w:hAnsi="Arial" w:cs="Arial"/>
          <w:bCs/>
          <w:iCs/>
          <w:szCs w:val="28"/>
          <w:bdr w:val="nil"/>
          <w:lang w:val="en-US" w:eastAsia="ru-RU"/>
        </w:rPr>
        <w:t xml:space="preserve"> </w:t>
      </w:r>
      <w:r w:rsidRPr="00511005">
        <w:rPr>
          <w:rFonts w:ascii="Arial" w:eastAsia="Times New Roman" w:hAnsi="Arial" w:cs="Arial"/>
          <w:szCs w:val="28"/>
          <w:lang w:val="en-GB" w:eastAsia="uk-UA"/>
        </w:rPr>
        <w:t>(date of reference: 06.05.2025)</w:t>
      </w:r>
    </w:p>
    <w:p w14:paraId="027F43CB"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bCs/>
          <w:iCs/>
          <w:szCs w:val="28"/>
          <w:bdr w:val="nil"/>
          <w:lang w:val="en-GB" w:eastAsia="ru-RU"/>
        </w:rPr>
      </w:pPr>
      <w:r w:rsidRPr="00511005">
        <w:rPr>
          <w:rFonts w:ascii="Arial" w:eastAsia="Arial Unicode MS" w:hAnsi="Arial" w:cs="Arial"/>
          <w:bCs/>
          <w:iCs/>
          <w:szCs w:val="28"/>
          <w:bdr w:val="nil"/>
          <w:lang w:val="en-US" w:eastAsia="ru-RU"/>
        </w:rPr>
        <w:t>4.</w:t>
      </w:r>
      <w:r w:rsidRPr="00511005">
        <w:rPr>
          <w:rFonts w:ascii="Arial" w:eastAsia="Arial Unicode MS" w:hAnsi="Arial" w:cs="Arial"/>
          <w:bCs/>
          <w:iCs/>
          <w:szCs w:val="28"/>
          <w:bdr w:val="nil"/>
          <w:lang w:val="en-US" w:eastAsia="ru-RU"/>
        </w:rPr>
        <w:tab/>
      </w:r>
      <w:r w:rsidRPr="00511005">
        <w:rPr>
          <w:rFonts w:ascii="Arial" w:eastAsia="Arial Unicode MS" w:hAnsi="Arial" w:cs="Arial"/>
          <w:bCs/>
          <w:iCs/>
          <w:szCs w:val="28"/>
          <w:bdr w:val="nil"/>
          <w:lang w:val="en-GB" w:eastAsia="zh-CN"/>
        </w:rPr>
        <w:t xml:space="preserve">Stratiy O. V. </w:t>
      </w:r>
      <w:r w:rsidRPr="00511005">
        <w:rPr>
          <w:rFonts w:ascii="Arial" w:eastAsia="Arial Unicode MS" w:hAnsi="Arial" w:cs="Arial"/>
          <w:bCs/>
          <w:iCs/>
          <w:szCs w:val="28"/>
          <w:bdr w:val="nil"/>
          <w:lang w:val="en-US" w:eastAsia="ru-RU"/>
        </w:rPr>
        <w:t>The right to a fair trial as an element of the principle of the rule of law.</w:t>
      </w:r>
      <w:r w:rsidRPr="00511005">
        <w:rPr>
          <w:rFonts w:ascii="Arial" w:eastAsia="Arial Unicode MS" w:hAnsi="Arial" w:cs="Arial"/>
          <w:bCs/>
          <w:iCs/>
          <w:szCs w:val="28"/>
          <w:bdr w:val="nil"/>
          <w:lang w:val="uk-UA" w:eastAsia="ru-RU"/>
        </w:rPr>
        <w:t xml:space="preserve"> </w:t>
      </w:r>
      <w:r w:rsidRPr="00511005">
        <w:rPr>
          <w:rFonts w:ascii="Arial" w:eastAsia="Arial Unicode MS" w:hAnsi="Arial" w:cs="Arial"/>
          <w:bCs/>
          <w:iCs/>
          <w:szCs w:val="28"/>
          <w:bdr w:val="nil"/>
          <w:lang w:val="en-US" w:eastAsia="ru-RU"/>
        </w:rPr>
        <w:t>Nº</w:t>
      </w:r>
      <w:r w:rsidRPr="00511005">
        <w:rPr>
          <w:rFonts w:ascii="Arial" w:eastAsia="Arial Unicode MS" w:hAnsi="Arial" w:cs="Arial"/>
          <w:bCs/>
          <w:iCs/>
          <w:szCs w:val="28"/>
          <w:bdr w:val="nil"/>
          <w:lang w:val="uk-UA" w:eastAsia="ru-RU"/>
        </w:rPr>
        <w:t xml:space="preserve"> 11. 2024. </w:t>
      </w:r>
      <w:r w:rsidRPr="00511005">
        <w:rPr>
          <w:rFonts w:ascii="Arial" w:eastAsia="Arial Unicode MS" w:hAnsi="Arial" w:cs="Arial"/>
          <w:bCs/>
          <w:iCs/>
          <w:szCs w:val="28"/>
          <w:bdr w:val="nil"/>
          <w:lang w:val="en-GB" w:eastAsia="ru-RU"/>
        </w:rPr>
        <w:t xml:space="preserve">URL: </w:t>
      </w:r>
      <w:hyperlink r:id="rId441" w:history="1">
        <w:r w:rsidRPr="00511005">
          <w:rPr>
            <w:rFonts w:ascii="Arial" w:eastAsia="Arial Unicode MS" w:hAnsi="Arial" w:cs="Arial"/>
            <w:bCs/>
            <w:iCs/>
            <w:szCs w:val="28"/>
            <w:bdr w:val="nil"/>
            <w:lang w:val="en-GB" w:eastAsia="ru-RU"/>
          </w:rPr>
          <w:t>http://lsej.org.ua/11_2024/118.pdf</w:t>
        </w:r>
      </w:hyperlink>
      <w:r w:rsidRPr="00511005">
        <w:rPr>
          <w:rFonts w:ascii="Arial" w:eastAsia="Arial Unicode MS" w:hAnsi="Arial" w:cs="Arial"/>
          <w:bCs/>
          <w:iCs/>
          <w:szCs w:val="28"/>
          <w:bdr w:val="nil"/>
          <w:lang w:val="en-GB" w:eastAsia="ru-RU"/>
        </w:rPr>
        <w:t xml:space="preserve"> </w:t>
      </w:r>
      <w:r w:rsidRPr="00511005">
        <w:rPr>
          <w:rFonts w:ascii="Arial" w:eastAsia="Times New Roman" w:hAnsi="Arial" w:cs="Arial"/>
          <w:szCs w:val="28"/>
          <w:lang w:val="en-GB" w:eastAsia="uk-UA"/>
        </w:rPr>
        <w:t>(date of reference: 06.05.2025)</w:t>
      </w:r>
    </w:p>
    <w:p w14:paraId="6758782B"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lang w:val="en-US" w:eastAsia="uk-UA"/>
        </w:rPr>
      </w:pPr>
      <w:r w:rsidRPr="00511005">
        <w:rPr>
          <w:rFonts w:ascii="Arial" w:eastAsia="Arial Unicode MS" w:hAnsi="Arial" w:cs="Arial"/>
          <w:bCs/>
          <w:iCs/>
          <w:szCs w:val="28"/>
          <w:bdr w:val="nil"/>
          <w:lang w:val="en-US" w:eastAsia="ru-RU"/>
        </w:rPr>
        <w:t>5.</w:t>
      </w:r>
      <w:r w:rsidRPr="00511005">
        <w:rPr>
          <w:rFonts w:ascii="Arial" w:eastAsia="Arial Unicode MS" w:hAnsi="Arial" w:cs="Arial"/>
          <w:bCs/>
          <w:iCs/>
          <w:szCs w:val="28"/>
          <w:bdr w:val="nil"/>
          <w:lang w:val="en-US" w:eastAsia="ru-RU"/>
        </w:rPr>
        <w:tab/>
        <w:t xml:space="preserve">Fuley T.I. Application of the practice of the European Court of Human Rights in the administration of justice: Scientific and methodological manual for judges. 2nd ed. K., 2015. 208 p. URL: </w:t>
      </w:r>
      <w:hyperlink r:id="rId442" w:history="1">
        <w:r w:rsidRPr="00511005">
          <w:rPr>
            <w:rFonts w:ascii="Arial" w:eastAsia="Arial Unicode MS" w:hAnsi="Arial" w:cs="Arial"/>
            <w:bCs/>
            <w:iCs/>
            <w:szCs w:val="28"/>
            <w:bdr w:val="nil"/>
            <w:lang w:val="en-US" w:eastAsia="ru-RU"/>
          </w:rPr>
          <w:t>https://www.osce.org/files/f/documents/4/7/232716.pdf</w:t>
        </w:r>
      </w:hyperlink>
      <w:r w:rsidRPr="00511005">
        <w:rPr>
          <w:rFonts w:ascii="Arial" w:eastAsia="Arial Unicode MS" w:hAnsi="Arial" w:cs="Arial"/>
          <w:bCs/>
          <w:iCs/>
          <w:szCs w:val="28"/>
          <w:bdr w:val="nil"/>
          <w:lang w:val="en-US" w:eastAsia="ru-RU"/>
        </w:rPr>
        <w:t xml:space="preserve"> </w:t>
      </w:r>
      <w:r w:rsidRPr="00511005">
        <w:rPr>
          <w:rFonts w:ascii="Arial" w:eastAsia="Times New Roman" w:hAnsi="Arial" w:cs="Arial"/>
          <w:szCs w:val="28"/>
          <w:lang w:val="en-GB" w:eastAsia="uk-UA"/>
        </w:rPr>
        <w:t>(date of reference: 06.05.2025)</w:t>
      </w:r>
      <w:r w:rsidRPr="00511005">
        <w:rPr>
          <w:rFonts w:ascii="Arial" w:eastAsia="Times New Roman" w:hAnsi="Arial" w:cs="Arial"/>
          <w:szCs w:val="28"/>
          <w:lang w:val="en-US" w:eastAsia="uk-UA"/>
        </w:rPr>
        <w:t xml:space="preserve"> </w:t>
      </w:r>
    </w:p>
    <w:p w14:paraId="4806F705"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Times New Roman" w:hAnsi="Arial" w:cs="Arial"/>
          <w:szCs w:val="28"/>
          <w:lang w:val="en-US" w:eastAsia="uk-UA"/>
        </w:rPr>
      </w:pPr>
    </w:p>
    <w:p w14:paraId="4E3F4CCA" w14:textId="03AFC12D" w:rsidR="00220D3E" w:rsidRPr="00511005" w:rsidRDefault="007B2628" w:rsidP="003A292D">
      <w:pPr>
        <w:pBdr>
          <w:top w:val="nil"/>
          <w:left w:val="nil"/>
          <w:bottom w:val="nil"/>
          <w:right w:val="nil"/>
          <w:between w:val="nil"/>
          <w:bar w:val="nil"/>
        </w:pBdr>
        <w:tabs>
          <w:tab w:val="left" w:pos="709"/>
        </w:tabs>
        <w:spacing w:line="264" w:lineRule="auto"/>
        <w:rPr>
          <w:rFonts w:ascii="Arial" w:eastAsia="Arial Unicode MS" w:hAnsi="Arial" w:cs="Arial"/>
          <w:bCs/>
          <w:iCs/>
          <w:szCs w:val="28"/>
          <w:bdr w:val="nil"/>
          <w:lang w:val="en-US" w:eastAsia="ru-RU"/>
        </w:rPr>
      </w:pPr>
      <w:r w:rsidRPr="00511005">
        <w:rPr>
          <w:rFonts w:ascii="Arial" w:eastAsia="Arial Unicode MS" w:hAnsi="Arial" w:cs="Arial"/>
          <w:b/>
          <w:bCs/>
          <w:i/>
          <w:iCs/>
          <w:szCs w:val="28"/>
          <w:bdr w:val="nil"/>
          <w:lang w:val="en-US" w:eastAsia="ru-RU"/>
        </w:rPr>
        <w:t xml:space="preserve">Key words: </w:t>
      </w:r>
      <w:r w:rsidR="00220D3E" w:rsidRPr="00511005">
        <w:rPr>
          <w:rFonts w:ascii="Arial" w:eastAsia="Arial Unicode MS" w:hAnsi="Arial" w:cs="Arial"/>
          <w:bCs/>
          <w:iCs/>
          <w:szCs w:val="28"/>
          <w:bdr w:val="nil"/>
          <w:lang w:val="en-US" w:eastAsia="ru-RU"/>
        </w:rPr>
        <w:t xml:space="preserve">fair trial, judicial protection, Convention for the Protection of Human Rights and Fundamental Freedoms, violation of rights, European Court </w:t>
      </w:r>
      <w:r w:rsidR="00220D3E" w:rsidRPr="00511005">
        <w:rPr>
          <w:rFonts w:ascii="Arial" w:eastAsia="Arial Unicode MS" w:hAnsi="Arial" w:cs="Arial"/>
          <w:bCs/>
          <w:iCs/>
          <w:szCs w:val="28"/>
          <w:bdr w:val="nil"/>
          <w:lang w:val="en-US" w:eastAsia="ru-RU"/>
        </w:rPr>
        <w:lastRenderedPageBreak/>
        <w:t>of Human Rights, access to justice, fair court proceedings, presumption of innocence,</w:t>
      </w:r>
      <w:r w:rsidRPr="00511005">
        <w:rPr>
          <w:rFonts w:ascii="Arial" w:eastAsia="Arial Unicode MS" w:hAnsi="Arial" w:cs="Arial"/>
          <w:bCs/>
          <w:iCs/>
          <w:szCs w:val="28"/>
          <w:bdr w:val="nil"/>
          <w:lang w:val="en-US" w:eastAsia="ru-RU"/>
        </w:rPr>
        <w:t xml:space="preserve"> </w:t>
      </w:r>
      <w:r w:rsidR="00220D3E" w:rsidRPr="00511005">
        <w:rPr>
          <w:rFonts w:ascii="Arial" w:eastAsia="Arial Unicode MS" w:hAnsi="Arial" w:cs="Arial"/>
          <w:bCs/>
          <w:iCs/>
          <w:szCs w:val="28"/>
          <w:bdr w:val="nil"/>
          <w:lang w:val="en-US" w:eastAsia="ru-RU"/>
        </w:rPr>
        <w:t>independent and impartial court established by law.</w:t>
      </w:r>
    </w:p>
    <w:p w14:paraId="6D71B048" w14:textId="7640A32F" w:rsidR="00220D3E" w:rsidRPr="00511005" w:rsidRDefault="007B2628" w:rsidP="003A292D">
      <w:pPr>
        <w:pBdr>
          <w:top w:val="nil"/>
          <w:left w:val="nil"/>
          <w:bottom w:val="nil"/>
          <w:right w:val="nil"/>
          <w:between w:val="nil"/>
          <w:bar w:val="nil"/>
        </w:pBdr>
        <w:tabs>
          <w:tab w:val="left" w:pos="709"/>
        </w:tabs>
        <w:spacing w:line="264" w:lineRule="auto"/>
        <w:rPr>
          <w:rFonts w:ascii="Arial" w:eastAsia="Arial Unicode MS" w:hAnsi="Arial" w:cs="Arial"/>
          <w:szCs w:val="28"/>
          <w:bdr w:val="nil"/>
          <w:lang w:eastAsia="ru-RU"/>
        </w:rPr>
      </w:pPr>
      <w:r w:rsidRPr="00511005">
        <w:rPr>
          <w:rFonts w:ascii="Arial" w:eastAsia="Arial Unicode MS" w:hAnsi="Arial" w:cs="Arial"/>
          <w:b/>
          <w:i/>
          <w:szCs w:val="28"/>
          <w:bdr w:val="nil"/>
          <w:lang w:eastAsia="ru-RU"/>
        </w:rPr>
        <w:t xml:space="preserve">Ключові слова: </w:t>
      </w:r>
      <w:r w:rsidR="00220D3E" w:rsidRPr="00511005">
        <w:rPr>
          <w:rFonts w:ascii="Arial" w:eastAsia="Arial Unicode MS" w:hAnsi="Arial" w:cs="Arial"/>
          <w:b/>
          <w:szCs w:val="28"/>
          <w:bdr w:val="nil"/>
          <w:lang w:eastAsia="ru-RU"/>
        </w:rPr>
        <w:t>с</w:t>
      </w:r>
      <w:r w:rsidR="00220D3E" w:rsidRPr="00511005">
        <w:rPr>
          <w:rFonts w:ascii="Arial" w:eastAsia="Arial Unicode MS" w:hAnsi="Arial" w:cs="Arial"/>
          <w:szCs w:val="28"/>
          <w:bdr w:val="nil"/>
          <w:lang w:eastAsia="ru-RU"/>
        </w:rPr>
        <w:t xml:space="preserve">праведливий суд, судовий захист, Конвенція про захист прав людини та основоположних свобод, порушення прав, Європейський суд з прав людини, доступ до правосуддя, справедливий судовий розгляд, презумпція невинуватості, незалежний та неупереджений суд, встановлений законом. </w:t>
      </w:r>
    </w:p>
    <w:p w14:paraId="3D849E43" w14:textId="705C7EF0" w:rsidR="00220D3E" w:rsidRPr="00511005" w:rsidRDefault="006C2EDA" w:rsidP="003A292D">
      <w:pPr>
        <w:pBdr>
          <w:top w:val="nil"/>
          <w:left w:val="nil"/>
          <w:bottom w:val="nil"/>
          <w:right w:val="nil"/>
          <w:between w:val="nil"/>
          <w:bar w:val="nil"/>
        </w:pBdr>
        <w:tabs>
          <w:tab w:val="left" w:pos="709"/>
        </w:tabs>
        <w:spacing w:line="264" w:lineRule="auto"/>
        <w:rPr>
          <w:rFonts w:ascii="Arial" w:eastAsia="Arial Unicode MS" w:hAnsi="Arial" w:cs="Arial"/>
          <w:i/>
          <w:szCs w:val="28"/>
          <w:bdr w:val="nil"/>
          <w:lang w:val="en-US"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Arial Unicode MS" w:hAnsi="Arial" w:cs="Arial"/>
          <w:i/>
          <w:szCs w:val="28"/>
          <w:bdr w:val="nil"/>
          <w:lang w:val="en-US" w:eastAsia="ru-RU"/>
        </w:rPr>
        <w:t>PhD in Law, Associate Professor Dronov V.</w:t>
      </w:r>
    </w:p>
    <w:p w14:paraId="468DBC15" w14:textId="77777777" w:rsidR="00F45230" w:rsidRPr="00511005" w:rsidRDefault="00F45230" w:rsidP="003A292D">
      <w:pPr>
        <w:pBdr>
          <w:top w:val="nil"/>
          <w:left w:val="nil"/>
          <w:bottom w:val="nil"/>
          <w:right w:val="nil"/>
          <w:between w:val="nil"/>
          <w:bar w:val="nil"/>
        </w:pBdr>
        <w:tabs>
          <w:tab w:val="left" w:pos="709"/>
        </w:tabs>
        <w:spacing w:line="264" w:lineRule="auto"/>
        <w:rPr>
          <w:rFonts w:ascii="Arial" w:eastAsia="Arial Unicode MS" w:hAnsi="Arial" w:cs="Arial"/>
          <w:i/>
          <w:szCs w:val="28"/>
          <w:bdr w:val="nil"/>
          <w:lang w:val="en-US" w:eastAsia="ru-RU"/>
        </w:rPr>
      </w:pPr>
    </w:p>
    <w:p w14:paraId="1AA3E5E0" w14:textId="220DA09C" w:rsidR="00F45230" w:rsidRPr="006C2EDA" w:rsidRDefault="00F45230" w:rsidP="003A292D">
      <w:pPr>
        <w:tabs>
          <w:tab w:val="left" w:pos="709"/>
        </w:tabs>
        <w:spacing w:line="264" w:lineRule="auto"/>
        <w:ind w:right="139" w:firstLine="0"/>
        <w:jc w:val="center"/>
        <w:rPr>
          <w:rFonts w:ascii="Arial" w:eastAsia="Times New Roman" w:hAnsi="Arial" w:cs="Arial"/>
          <w:i/>
          <w:iCs/>
          <w:szCs w:val="28"/>
          <w:lang w:eastAsia="ru-RU"/>
        </w:rPr>
      </w:pPr>
      <w:r w:rsidRPr="006C2EDA">
        <w:rPr>
          <w:rFonts w:ascii="Arial" w:eastAsia="Times New Roman" w:hAnsi="Arial" w:cs="Arial"/>
          <w:b/>
          <w:bCs/>
          <w:i/>
          <w:iCs/>
          <w:spacing w:val="-2"/>
          <w:szCs w:val="28"/>
          <w:lang w:val="uk-UA"/>
        </w:rPr>
        <w:t>Кривошея</w:t>
      </w:r>
      <w:r w:rsidRPr="006C2EDA">
        <w:rPr>
          <w:rFonts w:ascii="Arial" w:eastAsia="Times New Roman" w:hAnsi="Arial" w:cs="Arial"/>
          <w:b/>
          <w:bCs/>
          <w:i/>
          <w:iCs/>
          <w:szCs w:val="28"/>
          <w:lang w:val="uk-UA"/>
        </w:rPr>
        <w:t xml:space="preserve"> Софія Віталіївна</w:t>
      </w:r>
    </w:p>
    <w:p w14:paraId="5067435C" w14:textId="7DD018A6" w:rsidR="00220D3E" w:rsidRPr="00511005" w:rsidRDefault="00536AAB" w:rsidP="003A292D">
      <w:pPr>
        <w:tabs>
          <w:tab w:val="left" w:pos="709"/>
        </w:tabs>
        <w:spacing w:line="264" w:lineRule="auto"/>
        <w:ind w:right="139"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248FFC83" w14:textId="79A30834" w:rsidR="00220D3E" w:rsidRPr="00511005" w:rsidRDefault="007B2628" w:rsidP="003A292D">
      <w:pPr>
        <w:tabs>
          <w:tab w:val="left" w:pos="709"/>
        </w:tabs>
        <w:spacing w:line="264" w:lineRule="auto"/>
        <w:ind w:right="139" w:firstLine="0"/>
        <w:jc w:val="center"/>
        <w:rPr>
          <w:rFonts w:ascii="Arial" w:eastAsia="Times New Roman" w:hAnsi="Arial" w:cs="Arial"/>
          <w:spacing w:val="-2"/>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DE44861" w14:textId="39B9A78D" w:rsidR="00F45230" w:rsidRPr="00511005" w:rsidRDefault="00F45230" w:rsidP="003A292D">
      <w:pPr>
        <w:tabs>
          <w:tab w:val="left" w:pos="709"/>
        </w:tabs>
        <w:spacing w:line="264" w:lineRule="auto"/>
        <w:ind w:right="139" w:firstLine="0"/>
        <w:jc w:val="center"/>
        <w:rPr>
          <w:rFonts w:ascii="Arial" w:eastAsia="Times New Roman" w:hAnsi="Arial" w:cs="Arial"/>
          <w:spacing w:val="-2"/>
          <w:szCs w:val="28"/>
          <w:lang w:eastAsia="ru-RU"/>
        </w:rPr>
      </w:pPr>
    </w:p>
    <w:p w14:paraId="225D9EDF" w14:textId="7722B00D" w:rsidR="00F45230" w:rsidRPr="00511005" w:rsidRDefault="00F45230" w:rsidP="003A292D">
      <w:pPr>
        <w:tabs>
          <w:tab w:val="left" w:pos="709"/>
        </w:tabs>
        <w:spacing w:line="264" w:lineRule="auto"/>
        <w:ind w:right="139" w:firstLine="0"/>
        <w:jc w:val="center"/>
        <w:rPr>
          <w:rFonts w:ascii="Arial" w:eastAsia="Times New Roman" w:hAnsi="Arial" w:cs="Arial"/>
          <w:szCs w:val="28"/>
          <w:lang w:eastAsia="ru-RU"/>
        </w:rPr>
      </w:pPr>
      <w:r w:rsidRPr="00511005">
        <w:rPr>
          <w:rFonts w:ascii="Arial" w:eastAsia="Times New Roman" w:hAnsi="Arial" w:cs="Arial"/>
          <w:b/>
          <w:bCs/>
          <w:szCs w:val="28"/>
          <w:lang w:val="uk-UA"/>
        </w:rPr>
        <w:t>ЗАСТОСУВАННЯ</w:t>
      </w:r>
      <w:r w:rsidRPr="00511005">
        <w:rPr>
          <w:rFonts w:ascii="Arial" w:eastAsia="Times New Roman" w:hAnsi="Arial" w:cs="Arial"/>
          <w:b/>
          <w:bCs/>
          <w:spacing w:val="-14"/>
          <w:szCs w:val="28"/>
          <w:lang w:val="uk-UA"/>
        </w:rPr>
        <w:t xml:space="preserve"> </w:t>
      </w:r>
      <w:r w:rsidRPr="00511005">
        <w:rPr>
          <w:rFonts w:ascii="Arial" w:eastAsia="Times New Roman" w:hAnsi="Arial" w:cs="Arial"/>
          <w:b/>
          <w:bCs/>
          <w:szCs w:val="28"/>
          <w:lang w:val="uk-UA"/>
        </w:rPr>
        <w:t>МІЖНАРОДНОГО</w:t>
      </w:r>
      <w:r w:rsidRPr="00511005">
        <w:rPr>
          <w:rFonts w:ascii="Arial" w:eastAsia="Times New Roman" w:hAnsi="Arial" w:cs="Arial"/>
          <w:b/>
          <w:bCs/>
          <w:spacing w:val="-14"/>
          <w:szCs w:val="28"/>
          <w:lang w:val="uk-UA"/>
        </w:rPr>
        <w:t xml:space="preserve"> </w:t>
      </w:r>
      <w:r w:rsidRPr="00511005">
        <w:rPr>
          <w:rFonts w:ascii="Arial" w:eastAsia="Times New Roman" w:hAnsi="Arial" w:cs="Arial"/>
          <w:b/>
          <w:bCs/>
          <w:szCs w:val="28"/>
          <w:lang w:val="uk-UA"/>
        </w:rPr>
        <w:t>ПРАВА</w:t>
      </w:r>
      <w:r w:rsidRPr="00511005">
        <w:rPr>
          <w:rFonts w:ascii="Arial" w:eastAsia="Times New Roman" w:hAnsi="Arial" w:cs="Arial"/>
          <w:b/>
          <w:bCs/>
          <w:spacing w:val="-14"/>
          <w:szCs w:val="28"/>
          <w:lang w:val="uk-UA"/>
        </w:rPr>
        <w:t xml:space="preserve"> </w:t>
      </w:r>
      <w:r w:rsidRPr="00511005">
        <w:rPr>
          <w:rFonts w:ascii="Arial" w:eastAsia="Times New Roman" w:hAnsi="Arial" w:cs="Arial"/>
          <w:b/>
          <w:bCs/>
          <w:szCs w:val="28"/>
          <w:lang w:val="uk-UA"/>
        </w:rPr>
        <w:t>В</w:t>
      </w:r>
      <w:r w:rsidRPr="00511005">
        <w:rPr>
          <w:rFonts w:ascii="Arial" w:eastAsia="Times New Roman" w:hAnsi="Arial" w:cs="Arial"/>
          <w:b/>
          <w:bCs/>
          <w:spacing w:val="-15"/>
          <w:szCs w:val="28"/>
          <w:lang w:val="uk-UA"/>
        </w:rPr>
        <w:t xml:space="preserve"> </w:t>
      </w:r>
      <w:r w:rsidRPr="00511005">
        <w:rPr>
          <w:rFonts w:ascii="Arial" w:eastAsia="Times New Roman" w:hAnsi="Arial" w:cs="Arial"/>
          <w:b/>
          <w:bCs/>
          <w:szCs w:val="28"/>
          <w:lang w:val="uk-UA"/>
        </w:rPr>
        <w:t>ЗБРОЙНИХ</w:t>
      </w:r>
      <w:r w:rsidRPr="00511005">
        <w:rPr>
          <w:rFonts w:ascii="Arial" w:eastAsia="Times New Roman" w:hAnsi="Arial" w:cs="Arial"/>
          <w:b/>
          <w:bCs/>
          <w:spacing w:val="-14"/>
          <w:szCs w:val="28"/>
          <w:lang w:val="uk-UA"/>
        </w:rPr>
        <w:t xml:space="preserve"> </w:t>
      </w:r>
      <w:r w:rsidRPr="00511005">
        <w:rPr>
          <w:rFonts w:ascii="Arial" w:eastAsia="Times New Roman" w:hAnsi="Arial" w:cs="Arial"/>
          <w:b/>
          <w:bCs/>
          <w:szCs w:val="28"/>
          <w:lang w:val="uk-UA"/>
        </w:rPr>
        <w:t>КОНФЛІКТАХ</w:t>
      </w:r>
      <w:r w:rsidRPr="00511005">
        <w:rPr>
          <w:rFonts w:ascii="Arial" w:eastAsia="Times New Roman" w:hAnsi="Arial" w:cs="Arial"/>
          <w:b/>
          <w:bCs/>
          <w:spacing w:val="-14"/>
          <w:szCs w:val="28"/>
          <w:lang w:val="uk-UA"/>
        </w:rPr>
        <w:t xml:space="preserve"> </w:t>
      </w:r>
      <w:r w:rsidRPr="00511005">
        <w:rPr>
          <w:rFonts w:ascii="Arial" w:eastAsia="Times New Roman" w:hAnsi="Arial" w:cs="Arial"/>
          <w:b/>
          <w:bCs/>
          <w:szCs w:val="28"/>
          <w:lang w:val="uk-UA"/>
        </w:rPr>
        <w:t xml:space="preserve">НЕМІЖНАРОДНОГО </w:t>
      </w:r>
      <w:r w:rsidRPr="00511005">
        <w:rPr>
          <w:rFonts w:ascii="Arial" w:eastAsia="Times New Roman" w:hAnsi="Arial" w:cs="Arial"/>
          <w:b/>
          <w:bCs/>
          <w:spacing w:val="-2"/>
          <w:szCs w:val="28"/>
          <w:lang w:val="uk-UA"/>
        </w:rPr>
        <w:t>ХАРАКТЕРУ</w:t>
      </w:r>
    </w:p>
    <w:p w14:paraId="54ABDCF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Сучасні міжнародні відносини свідчать про зростаючу кількість збройних конфліктів неміжнародного характеру, які стають головною формою воєнного протистояння у XXI столітті. Події в колишній Югославії, Руанді, Афганістані, Іраку, Ліберії, на Кавказі, а також повномасштабна війна, розв’язана російською федерацією проти України в 2022 році, яскраво демонструють зміну характеру сучасних збройних конфліктів та нагальну потребу у правовому врегулюванні цих явищ [7].</w:t>
      </w:r>
    </w:p>
    <w:p w14:paraId="6049D17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Міжнародне гуманітарне право (МГП), покликане обмежити наслідки збройного насильства, все більше спрямовується не лише на врегулювання міждержавних воєн, але й на регламентацію внутрішніх конфліктів, які часто мають міжнародне відлуння. Зростає кількість випадків, коли неміжнародні збройні конфлікти набувають рис інтернаціоналізації через втручання третіх держав або транснаціональний характер сторін конфлікту. Це робить питання кваліфікації таких конфліктів надзвичайно складним, але водночас критично важливим як для правозастосування, так і для забезпечення захисту жертв [12].</w:t>
      </w:r>
    </w:p>
    <w:p w14:paraId="0AF5B03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Правильне визначення типу збройного конфлікту є ключовим для застосування відповідних норм міжнародного права, а саме міжнародного гуманітарного та міжнародного кримінального права. Зокрема, у випадку неміжнародного збройного конфлікту (НМЗК), йдеться про конфлікт, який не має міжнародного характеру і розгортається в межах однієї держави [6]. Відповідно </w:t>
      </w:r>
      <w:proofErr w:type="gramStart"/>
      <w:r w:rsidRPr="00511005">
        <w:rPr>
          <w:rFonts w:ascii="Arial" w:eastAsia="Times New Roman" w:hAnsi="Arial" w:cs="Arial"/>
          <w:szCs w:val="28"/>
          <w:lang w:eastAsia="ru-RU"/>
        </w:rPr>
        <w:t>до пункту</w:t>
      </w:r>
      <w:proofErr w:type="gramEnd"/>
      <w:r w:rsidRPr="00511005">
        <w:rPr>
          <w:rFonts w:ascii="Arial" w:eastAsia="Times New Roman" w:hAnsi="Arial" w:cs="Arial"/>
          <w:szCs w:val="28"/>
          <w:lang w:eastAsia="ru-RU"/>
        </w:rPr>
        <w:t xml:space="preserve"> 70 Рішення Апеляційної палати Міжнародного кримінального трибуналу щодо колишньої Югославії у справі Прокурор проти Душко</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Тадіча</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від</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2</w:t>
      </w:r>
      <w:r w:rsidRPr="00511005">
        <w:rPr>
          <w:rFonts w:ascii="Arial" w:eastAsia="Times New Roman" w:hAnsi="Arial" w:cs="Arial"/>
          <w:spacing w:val="5"/>
          <w:szCs w:val="28"/>
          <w:lang w:eastAsia="ru-RU"/>
        </w:rPr>
        <w:t xml:space="preserve"> </w:t>
      </w:r>
      <w:r w:rsidRPr="00511005">
        <w:rPr>
          <w:rFonts w:ascii="Arial" w:eastAsia="Times New Roman" w:hAnsi="Arial" w:cs="Arial"/>
          <w:szCs w:val="28"/>
          <w:lang w:eastAsia="ru-RU"/>
        </w:rPr>
        <w:t>жовтня</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1995</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року,</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під</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НМЗК</w:t>
      </w:r>
      <w:r w:rsidRPr="00511005">
        <w:rPr>
          <w:rFonts w:ascii="Arial" w:eastAsia="Times New Roman" w:hAnsi="Arial" w:cs="Arial"/>
          <w:spacing w:val="5"/>
          <w:szCs w:val="28"/>
          <w:lang w:eastAsia="ru-RU"/>
        </w:rPr>
        <w:t xml:space="preserve"> </w:t>
      </w:r>
      <w:r w:rsidRPr="00511005">
        <w:rPr>
          <w:rFonts w:ascii="Arial" w:eastAsia="Times New Roman" w:hAnsi="Arial" w:cs="Arial"/>
          <w:szCs w:val="28"/>
          <w:lang w:eastAsia="ru-RU"/>
        </w:rPr>
        <w:t>слід</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розуміти</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тривале</w:t>
      </w:r>
      <w:r w:rsidRPr="00511005">
        <w:rPr>
          <w:rFonts w:ascii="Arial" w:eastAsia="Times New Roman" w:hAnsi="Arial" w:cs="Arial"/>
          <w:spacing w:val="5"/>
          <w:szCs w:val="28"/>
          <w:lang w:eastAsia="ru-RU"/>
        </w:rPr>
        <w:t xml:space="preserve"> </w:t>
      </w:r>
      <w:r w:rsidRPr="00511005">
        <w:rPr>
          <w:rFonts w:ascii="Arial" w:eastAsia="Times New Roman" w:hAnsi="Arial" w:cs="Arial"/>
          <w:spacing w:val="-2"/>
          <w:szCs w:val="28"/>
          <w:lang w:eastAsia="ru-RU"/>
        </w:rPr>
        <w:t>збройне</w:t>
      </w:r>
      <w:r w:rsidRPr="00511005">
        <w:rPr>
          <w:rFonts w:ascii="Arial" w:eastAsia="Times New Roman" w:hAnsi="Arial" w:cs="Arial"/>
          <w:spacing w:val="-2"/>
          <w:szCs w:val="28"/>
          <w:lang w:val="uk-UA" w:eastAsia="ru-RU"/>
        </w:rPr>
        <w:t xml:space="preserve"> </w:t>
      </w:r>
      <w:r w:rsidRPr="00511005">
        <w:rPr>
          <w:rFonts w:ascii="Arial" w:eastAsia="Times New Roman" w:hAnsi="Arial" w:cs="Arial"/>
          <w:szCs w:val="28"/>
          <w:lang w:eastAsia="ru-RU"/>
        </w:rPr>
        <w:t xml:space="preserve">протистояння між державними збройними силами і організованими збройними групами, або між самими такими групами на території певної держави. Це визначення </w:t>
      </w:r>
      <w:r w:rsidRPr="00511005">
        <w:rPr>
          <w:rFonts w:ascii="Arial" w:eastAsia="Times New Roman" w:hAnsi="Arial" w:cs="Arial"/>
          <w:spacing w:val="10"/>
          <w:szCs w:val="28"/>
          <w:lang w:eastAsia="ru-RU"/>
        </w:rPr>
        <w:t xml:space="preserve">підкреслює </w:t>
      </w:r>
      <w:r w:rsidRPr="00511005">
        <w:rPr>
          <w:rFonts w:ascii="Arial" w:eastAsia="Times New Roman" w:hAnsi="Arial" w:cs="Arial"/>
          <w:szCs w:val="28"/>
          <w:lang w:eastAsia="ru-RU"/>
        </w:rPr>
        <w:t xml:space="preserve">дві ключові умови: </w:t>
      </w:r>
      <w:r w:rsidRPr="00511005">
        <w:rPr>
          <w:rFonts w:ascii="Arial" w:eastAsia="Times New Roman" w:hAnsi="Arial" w:cs="Arial"/>
          <w:spacing w:val="11"/>
          <w:szCs w:val="28"/>
          <w:lang w:eastAsia="ru-RU"/>
        </w:rPr>
        <w:t>по-</w:t>
      </w:r>
      <w:r w:rsidRPr="00511005">
        <w:rPr>
          <w:rFonts w:ascii="Arial" w:eastAsia="Times New Roman" w:hAnsi="Arial" w:cs="Arial"/>
          <w:spacing w:val="9"/>
          <w:szCs w:val="28"/>
          <w:lang w:eastAsia="ru-RU"/>
        </w:rPr>
        <w:t xml:space="preserve">перше, </w:t>
      </w:r>
      <w:r w:rsidRPr="00511005">
        <w:rPr>
          <w:rFonts w:ascii="Arial" w:eastAsia="Times New Roman" w:hAnsi="Arial" w:cs="Arial"/>
          <w:spacing w:val="10"/>
          <w:szCs w:val="28"/>
          <w:lang w:eastAsia="ru-RU"/>
        </w:rPr>
        <w:lastRenderedPageBreak/>
        <w:t xml:space="preserve">тривалість </w:t>
      </w:r>
      <w:r w:rsidRPr="00511005">
        <w:rPr>
          <w:rFonts w:ascii="Arial" w:eastAsia="Times New Roman" w:hAnsi="Arial" w:cs="Arial"/>
          <w:szCs w:val="28"/>
          <w:lang w:eastAsia="ru-RU"/>
        </w:rPr>
        <w:t xml:space="preserve">та інтенсивність збройного насильства, і </w:t>
      </w:r>
      <w:proofErr w:type="gramStart"/>
      <w:r w:rsidRPr="00511005">
        <w:rPr>
          <w:rFonts w:ascii="Arial" w:eastAsia="Times New Roman" w:hAnsi="Arial" w:cs="Arial"/>
          <w:szCs w:val="28"/>
          <w:lang w:eastAsia="ru-RU"/>
        </w:rPr>
        <w:t>по-друге</w:t>
      </w:r>
      <w:proofErr w:type="gramEnd"/>
      <w:r w:rsidRPr="00511005">
        <w:rPr>
          <w:rFonts w:ascii="Arial" w:eastAsia="Times New Roman" w:hAnsi="Arial" w:cs="Arial"/>
          <w:szCs w:val="28"/>
          <w:lang w:eastAsia="ru-RU"/>
        </w:rPr>
        <w:t xml:space="preserve"> — достатній рівень організації залучених сторін [8].</w:t>
      </w:r>
    </w:p>
    <w:p w14:paraId="0E766D6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Цей підхід знайшов своє відображення і в міжнародних нормативно- правових актах. Зокрема, стаття 3, спільна для Женевської конвенції про поліпшення долі поранених і хворих у регулярних арміях на полі бою, Женевської конвенції про поліпшення долі поранених, хворих і осіб, що потерпіли корабельну аварію, зі складу збройних сил на морі, Женевської конвенції про поводження з військовополоненими та Женевської конвенції про захист</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цивільного</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населення</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під</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час</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війни</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передбачає,</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що</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у</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випадках</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 xml:space="preserve">збройного конфлікту неміжнародного характеру, який виникає на території однієї з </w:t>
      </w:r>
      <w:r w:rsidRPr="00511005">
        <w:rPr>
          <w:rFonts w:ascii="Arial" w:eastAsia="Times New Roman" w:hAnsi="Arial" w:cs="Arial"/>
          <w:spacing w:val="10"/>
          <w:szCs w:val="28"/>
          <w:lang w:eastAsia="ru-RU"/>
        </w:rPr>
        <w:t xml:space="preserve">Високих Договірних </w:t>
      </w:r>
      <w:r w:rsidRPr="00511005">
        <w:rPr>
          <w:rFonts w:ascii="Arial" w:eastAsia="Times New Roman" w:hAnsi="Arial" w:cs="Arial"/>
          <w:spacing w:val="9"/>
          <w:szCs w:val="28"/>
          <w:lang w:eastAsia="ru-RU"/>
        </w:rPr>
        <w:t xml:space="preserve">Сторін, </w:t>
      </w:r>
      <w:r w:rsidRPr="00511005">
        <w:rPr>
          <w:rFonts w:ascii="Arial" w:eastAsia="Times New Roman" w:hAnsi="Arial" w:cs="Arial"/>
          <w:szCs w:val="28"/>
          <w:lang w:eastAsia="ru-RU"/>
        </w:rPr>
        <w:t xml:space="preserve">кожна зі </w:t>
      </w:r>
      <w:r w:rsidRPr="00511005">
        <w:rPr>
          <w:rFonts w:ascii="Arial" w:eastAsia="Times New Roman" w:hAnsi="Arial" w:cs="Arial"/>
          <w:spacing w:val="9"/>
          <w:szCs w:val="28"/>
          <w:lang w:eastAsia="ru-RU"/>
        </w:rPr>
        <w:t xml:space="preserve">сторін </w:t>
      </w:r>
      <w:r w:rsidRPr="00511005">
        <w:rPr>
          <w:rFonts w:ascii="Arial" w:eastAsia="Times New Roman" w:hAnsi="Arial" w:cs="Arial"/>
          <w:szCs w:val="28"/>
          <w:lang w:eastAsia="ru-RU"/>
        </w:rPr>
        <w:t xml:space="preserve">конфлікту </w:t>
      </w:r>
      <w:r w:rsidRPr="00511005">
        <w:rPr>
          <w:rFonts w:ascii="Arial" w:eastAsia="Times New Roman" w:hAnsi="Arial" w:cs="Arial"/>
          <w:spacing w:val="10"/>
          <w:szCs w:val="28"/>
          <w:lang w:eastAsia="ru-RU"/>
        </w:rPr>
        <w:t xml:space="preserve">зобов’язана </w:t>
      </w:r>
      <w:r w:rsidRPr="00511005">
        <w:rPr>
          <w:rFonts w:ascii="Arial" w:eastAsia="Times New Roman" w:hAnsi="Arial" w:cs="Arial"/>
          <w:szCs w:val="28"/>
          <w:lang w:eastAsia="ru-RU"/>
        </w:rPr>
        <w:t>дотримуватися певного мінімального стандарту гуманного поводження. Це положення є фундаментальним, адже закріплює принципи захисту жертв збройного</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конфлікту</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навіть</w:t>
      </w:r>
      <w:r w:rsidRPr="00511005">
        <w:rPr>
          <w:rFonts w:ascii="Arial" w:eastAsia="Times New Roman" w:hAnsi="Arial" w:cs="Arial"/>
          <w:spacing w:val="-2"/>
          <w:szCs w:val="28"/>
          <w:lang w:eastAsia="ru-RU"/>
        </w:rPr>
        <w:t xml:space="preserve"> </w:t>
      </w:r>
      <w:proofErr w:type="gramStart"/>
      <w:r w:rsidRPr="00511005">
        <w:rPr>
          <w:rFonts w:ascii="Arial" w:eastAsia="Times New Roman" w:hAnsi="Arial" w:cs="Arial"/>
          <w:szCs w:val="28"/>
          <w:lang w:eastAsia="ru-RU"/>
        </w:rPr>
        <w:t>у</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межах</w:t>
      </w:r>
      <w:proofErr w:type="gramEnd"/>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внутрішніх</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воєн,</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які</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традиційно</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вважалися справою внутрішньої юрисдикції держав [3].</w:t>
      </w:r>
    </w:p>
    <w:p w14:paraId="7050A59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Крім</w:t>
      </w:r>
      <w:r w:rsidRPr="00511005">
        <w:rPr>
          <w:rFonts w:ascii="Arial" w:eastAsia="Times New Roman" w:hAnsi="Arial" w:cs="Arial"/>
          <w:spacing w:val="-10"/>
          <w:szCs w:val="28"/>
          <w:lang w:eastAsia="ru-RU"/>
        </w:rPr>
        <w:t xml:space="preserve"> </w:t>
      </w:r>
      <w:r w:rsidRPr="00511005">
        <w:rPr>
          <w:rFonts w:ascii="Arial" w:eastAsia="Times New Roman" w:hAnsi="Arial" w:cs="Arial"/>
          <w:szCs w:val="28"/>
          <w:lang w:eastAsia="ru-RU"/>
        </w:rPr>
        <w:t>того,</w:t>
      </w:r>
      <w:r w:rsidRPr="00511005">
        <w:rPr>
          <w:rFonts w:ascii="Arial" w:eastAsia="Times New Roman" w:hAnsi="Arial" w:cs="Arial"/>
          <w:spacing w:val="-10"/>
          <w:szCs w:val="28"/>
          <w:lang w:eastAsia="ru-RU"/>
        </w:rPr>
        <w:t xml:space="preserve"> </w:t>
      </w:r>
      <w:r w:rsidRPr="00511005">
        <w:rPr>
          <w:rFonts w:ascii="Arial" w:eastAsia="Times New Roman" w:hAnsi="Arial" w:cs="Arial"/>
          <w:szCs w:val="28"/>
          <w:lang w:eastAsia="ru-RU"/>
        </w:rPr>
        <w:t>важливе</w:t>
      </w:r>
      <w:r w:rsidRPr="00511005">
        <w:rPr>
          <w:rFonts w:ascii="Arial" w:eastAsia="Times New Roman" w:hAnsi="Arial" w:cs="Arial"/>
          <w:spacing w:val="-10"/>
          <w:szCs w:val="28"/>
          <w:lang w:eastAsia="ru-RU"/>
        </w:rPr>
        <w:t xml:space="preserve"> </w:t>
      </w:r>
      <w:r w:rsidRPr="00511005">
        <w:rPr>
          <w:rFonts w:ascii="Arial" w:eastAsia="Times New Roman" w:hAnsi="Arial" w:cs="Arial"/>
          <w:szCs w:val="28"/>
          <w:lang w:eastAsia="ru-RU"/>
        </w:rPr>
        <w:t>уточнення</w:t>
      </w:r>
      <w:r w:rsidRPr="00511005">
        <w:rPr>
          <w:rFonts w:ascii="Arial" w:eastAsia="Times New Roman" w:hAnsi="Arial" w:cs="Arial"/>
          <w:spacing w:val="-10"/>
          <w:szCs w:val="28"/>
          <w:lang w:eastAsia="ru-RU"/>
        </w:rPr>
        <w:t xml:space="preserve"> </w:t>
      </w:r>
      <w:r w:rsidRPr="00511005">
        <w:rPr>
          <w:rFonts w:ascii="Arial" w:eastAsia="Times New Roman" w:hAnsi="Arial" w:cs="Arial"/>
          <w:szCs w:val="28"/>
          <w:lang w:eastAsia="ru-RU"/>
        </w:rPr>
        <w:t>щодо</w:t>
      </w:r>
      <w:r w:rsidRPr="00511005">
        <w:rPr>
          <w:rFonts w:ascii="Arial" w:eastAsia="Times New Roman" w:hAnsi="Arial" w:cs="Arial"/>
          <w:spacing w:val="-10"/>
          <w:szCs w:val="28"/>
          <w:lang w:eastAsia="ru-RU"/>
        </w:rPr>
        <w:t xml:space="preserve"> </w:t>
      </w:r>
      <w:r w:rsidRPr="00511005">
        <w:rPr>
          <w:rFonts w:ascii="Arial" w:eastAsia="Times New Roman" w:hAnsi="Arial" w:cs="Arial"/>
          <w:szCs w:val="28"/>
          <w:lang w:eastAsia="ru-RU"/>
        </w:rPr>
        <w:t>неміжнародних</w:t>
      </w:r>
      <w:r w:rsidRPr="00511005">
        <w:rPr>
          <w:rFonts w:ascii="Arial" w:eastAsia="Times New Roman" w:hAnsi="Arial" w:cs="Arial"/>
          <w:spacing w:val="-10"/>
          <w:szCs w:val="28"/>
          <w:lang w:eastAsia="ru-RU"/>
        </w:rPr>
        <w:t xml:space="preserve"> </w:t>
      </w:r>
      <w:r w:rsidRPr="00511005">
        <w:rPr>
          <w:rFonts w:ascii="Arial" w:eastAsia="Times New Roman" w:hAnsi="Arial" w:cs="Arial"/>
          <w:szCs w:val="28"/>
          <w:lang w:eastAsia="ru-RU"/>
        </w:rPr>
        <w:t>збройних</w:t>
      </w:r>
      <w:r w:rsidRPr="00511005">
        <w:rPr>
          <w:rFonts w:ascii="Arial" w:eastAsia="Times New Roman" w:hAnsi="Arial" w:cs="Arial"/>
          <w:spacing w:val="-10"/>
          <w:szCs w:val="28"/>
          <w:lang w:eastAsia="ru-RU"/>
        </w:rPr>
        <w:t xml:space="preserve"> </w:t>
      </w:r>
      <w:r w:rsidRPr="00511005">
        <w:rPr>
          <w:rFonts w:ascii="Arial" w:eastAsia="Times New Roman" w:hAnsi="Arial" w:cs="Arial"/>
          <w:szCs w:val="28"/>
          <w:lang w:eastAsia="ru-RU"/>
        </w:rPr>
        <w:t>конфліктів міститься і в Римському статуті Міжнародного кримінального суду. У статті 8 пункту 2 (f) визначено, що такі конфлікти — це ті, які не відповідають критеріям міжнародного збройного конфлікту, але характеризуються тривалим насильством</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між</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урядовими</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силами</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та</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організованими</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озброєними</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групами</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або між такими групами [2].</w:t>
      </w:r>
    </w:p>
    <w:p w14:paraId="60ED9E7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Доповнення до цього підходу надає також Другий додатковий протокол до</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Женевських</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конвенцій</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від</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12</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серпня</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1949</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року,</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що</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стосується</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захисту</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жертв негромадянських збройних конфліктів (Протокол II), ухвалений 8 червня 1977 року [1]. Частина 1 статті 1 Протоколу уточнює, що його положення застосовуються до конфліктів, які відбуваються на території держави між її збройними силами та організованими збройними групами або між самими групами,</w:t>
      </w:r>
      <w:r w:rsidRPr="00511005">
        <w:rPr>
          <w:rFonts w:ascii="Arial" w:eastAsia="Times New Roman" w:hAnsi="Arial" w:cs="Arial"/>
          <w:spacing w:val="71"/>
          <w:w w:val="150"/>
          <w:szCs w:val="28"/>
          <w:lang w:eastAsia="ru-RU"/>
        </w:rPr>
        <w:t xml:space="preserve"> </w:t>
      </w:r>
      <w:r w:rsidRPr="00511005">
        <w:rPr>
          <w:rFonts w:ascii="Arial" w:eastAsia="Times New Roman" w:hAnsi="Arial" w:cs="Arial"/>
          <w:szCs w:val="28"/>
          <w:lang w:eastAsia="ru-RU"/>
        </w:rPr>
        <w:t>за</w:t>
      </w:r>
      <w:r w:rsidRPr="00511005">
        <w:rPr>
          <w:rFonts w:ascii="Arial" w:eastAsia="Times New Roman" w:hAnsi="Arial" w:cs="Arial"/>
          <w:spacing w:val="74"/>
          <w:w w:val="150"/>
          <w:szCs w:val="28"/>
          <w:lang w:eastAsia="ru-RU"/>
        </w:rPr>
        <w:t xml:space="preserve"> </w:t>
      </w:r>
      <w:r w:rsidRPr="00511005">
        <w:rPr>
          <w:rFonts w:ascii="Arial" w:eastAsia="Times New Roman" w:hAnsi="Arial" w:cs="Arial"/>
          <w:szCs w:val="28"/>
          <w:lang w:eastAsia="ru-RU"/>
        </w:rPr>
        <w:t>умови,</w:t>
      </w:r>
      <w:r w:rsidRPr="00511005">
        <w:rPr>
          <w:rFonts w:ascii="Arial" w:eastAsia="Times New Roman" w:hAnsi="Arial" w:cs="Arial"/>
          <w:spacing w:val="74"/>
          <w:w w:val="150"/>
          <w:szCs w:val="28"/>
          <w:lang w:eastAsia="ru-RU"/>
        </w:rPr>
        <w:t xml:space="preserve"> </w:t>
      </w:r>
      <w:r w:rsidRPr="00511005">
        <w:rPr>
          <w:rFonts w:ascii="Arial" w:eastAsia="Times New Roman" w:hAnsi="Arial" w:cs="Arial"/>
          <w:szCs w:val="28"/>
          <w:lang w:eastAsia="ru-RU"/>
        </w:rPr>
        <w:t>що</w:t>
      </w:r>
      <w:r w:rsidRPr="00511005">
        <w:rPr>
          <w:rFonts w:ascii="Arial" w:eastAsia="Times New Roman" w:hAnsi="Arial" w:cs="Arial"/>
          <w:spacing w:val="74"/>
          <w:w w:val="150"/>
          <w:szCs w:val="28"/>
          <w:lang w:eastAsia="ru-RU"/>
        </w:rPr>
        <w:t xml:space="preserve"> </w:t>
      </w:r>
      <w:r w:rsidRPr="00511005">
        <w:rPr>
          <w:rFonts w:ascii="Arial" w:eastAsia="Times New Roman" w:hAnsi="Arial" w:cs="Arial"/>
          <w:szCs w:val="28"/>
          <w:lang w:eastAsia="ru-RU"/>
        </w:rPr>
        <w:t>останні</w:t>
      </w:r>
      <w:r w:rsidRPr="00511005">
        <w:rPr>
          <w:rFonts w:ascii="Arial" w:eastAsia="Times New Roman" w:hAnsi="Arial" w:cs="Arial"/>
          <w:spacing w:val="74"/>
          <w:w w:val="150"/>
          <w:szCs w:val="28"/>
          <w:lang w:eastAsia="ru-RU"/>
        </w:rPr>
        <w:t xml:space="preserve"> </w:t>
      </w:r>
      <w:r w:rsidRPr="00511005">
        <w:rPr>
          <w:rFonts w:ascii="Arial" w:eastAsia="Times New Roman" w:hAnsi="Arial" w:cs="Arial"/>
          <w:szCs w:val="28"/>
          <w:lang w:eastAsia="ru-RU"/>
        </w:rPr>
        <w:t>діють</w:t>
      </w:r>
      <w:r w:rsidRPr="00511005">
        <w:rPr>
          <w:rFonts w:ascii="Arial" w:eastAsia="Times New Roman" w:hAnsi="Arial" w:cs="Arial"/>
          <w:spacing w:val="74"/>
          <w:w w:val="150"/>
          <w:szCs w:val="28"/>
          <w:lang w:eastAsia="ru-RU"/>
        </w:rPr>
        <w:t xml:space="preserve"> </w:t>
      </w:r>
      <w:r w:rsidRPr="00511005">
        <w:rPr>
          <w:rFonts w:ascii="Arial" w:eastAsia="Times New Roman" w:hAnsi="Arial" w:cs="Arial"/>
          <w:szCs w:val="28"/>
          <w:lang w:eastAsia="ru-RU"/>
        </w:rPr>
        <w:t>під</w:t>
      </w:r>
      <w:r w:rsidRPr="00511005">
        <w:rPr>
          <w:rFonts w:ascii="Arial" w:eastAsia="Times New Roman" w:hAnsi="Arial" w:cs="Arial"/>
          <w:spacing w:val="74"/>
          <w:w w:val="150"/>
          <w:szCs w:val="28"/>
          <w:lang w:eastAsia="ru-RU"/>
        </w:rPr>
        <w:t xml:space="preserve"> </w:t>
      </w:r>
      <w:r w:rsidRPr="00511005">
        <w:rPr>
          <w:rFonts w:ascii="Arial" w:eastAsia="Times New Roman" w:hAnsi="Arial" w:cs="Arial"/>
          <w:szCs w:val="28"/>
          <w:lang w:eastAsia="ru-RU"/>
        </w:rPr>
        <w:t>відповідальним</w:t>
      </w:r>
      <w:r w:rsidRPr="00511005">
        <w:rPr>
          <w:rFonts w:ascii="Arial" w:eastAsia="Times New Roman" w:hAnsi="Arial" w:cs="Arial"/>
          <w:spacing w:val="74"/>
          <w:w w:val="150"/>
          <w:szCs w:val="28"/>
          <w:lang w:eastAsia="ru-RU"/>
        </w:rPr>
        <w:t xml:space="preserve"> </w:t>
      </w:r>
      <w:r w:rsidRPr="00511005">
        <w:rPr>
          <w:rFonts w:ascii="Arial" w:eastAsia="Times New Roman" w:hAnsi="Arial" w:cs="Arial"/>
          <w:spacing w:val="-2"/>
          <w:szCs w:val="28"/>
          <w:lang w:eastAsia="ru-RU"/>
        </w:rPr>
        <w:t>командуванням,</w:t>
      </w:r>
      <w:r w:rsidRPr="00511005">
        <w:rPr>
          <w:rFonts w:ascii="Arial" w:eastAsia="Times New Roman" w:hAnsi="Arial" w:cs="Arial"/>
          <w:spacing w:val="-2"/>
          <w:szCs w:val="28"/>
          <w:lang w:val="uk-UA" w:eastAsia="ru-RU"/>
        </w:rPr>
        <w:t xml:space="preserve"> </w:t>
      </w:r>
      <w:r w:rsidRPr="00511005">
        <w:rPr>
          <w:rFonts w:ascii="Arial" w:eastAsia="Times New Roman" w:hAnsi="Arial" w:cs="Arial"/>
          <w:szCs w:val="28"/>
          <w:lang w:eastAsia="ru-RU"/>
        </w:rPr>
        <w:t xml:space="preserve">контролюють частину території держави, що дозволяє їм вести безперервні та узгоджені військові операції, а також забезпечує можливість дотримання </w:t>
      </w:r>
      <w:r w:rsidRPr="00511005">
        <w:rPr>
          <w:rFonts w:ascii="Arial" w:eastAsia="Times New Roman" w:hAnsi="Arial" w:cs="Arial"/>
          <w:spacing w:val="-2"/>
          <w:szCs w:val="28"/>
          <w:lang w:eastAsia="ru-RU"/>
        </w:rPr>
        <w:t>Протоколу.</w:t>
      </w:r>
    </w:p>
    <w:p w14:paraId="16E645B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Таким чином, міжнародне право закріплює низку критеріїв, що дозволяють ідентифікувати НМЗК: це тривалість конфлікту, організованість учасників, контроль над територією та здатність до виконання міжнародно- </w:t>
      </w:r>
      <w:r w:rsidRPr="00511005">
        <w:rPr>
          <w:rFonts w:ascii="Arial" w:eastAsia="Times New Roman" w:hAnsi="Arial" w:cs="Arial"/>
          <w:spacing w:val="23"/>
          <w:szCs w:val="28"/>
          <w:lang w:eastAsia="ru-RU"/>
        </w:rPr>
        <w:t xml:space="preserve">правових </w:t>
      </w:r>
      <w:r w:rsidRPr="00511005">
        <w:rPr>
          <w:rFonts w:ascii="Arial" w:eastAsia="Times New Roman" w:hAnsi="Arial" w:cs="Arial"/>
          <w:spacing w:val="22"/>
          <w:szCs w:val="28"/>
          <w:lang w:eastAsia="ru-RU"/>
        </w:rPr>
        <w:t>зобов’</w:t>
      </w:r>
      <w:r w:rsidRPr="00511005">
        <w:rPr>
          <w:rFonts w:ascii="Arial" w:eastAsia="Times New Roman" w:hAnsi="Arial" w:cs="Arial"/>
          <w:spacing w:val="-18"/>
          <w:szCs w:val="28"/>
          <w:lang w:eastAsia="ru-RU"/>
        </w:rPr>
        <w:t xml:space="preserve"> </w:t>
      </w:r>
      <w:r w:rsidRPr="00511005">
        <w:rPr>
          <w:rFonts w:ascii="Arial" w:eastAsia="Times New Roman" w:hAnsi="Arial" w:cs="Arial"/>
          <w:spacing w:val="22"/>
          <w:szCs w:val="28"/>
          <w:lang w:eastAsia="ru-RU"/>
        </w:rPr>
        <w:t xml:space="preserve">язань. </w:t>
      </w:r>
      <w:r w:rsidRPr="00511005">
        <w:rPr>
          <w:rFonts w:ascii="Arial" w:eastAsia="Times New Roman" w:hAnsi="Arial" w:cs="Arial"/>
          <w:spacing w:val="20"/>
          <w:szCs w:val="28"/>
          <w:lang w:eastAsia="ru-RU"/>
        </w:rPr>
        <w:t xml:space="preserve">Саме </w:t>
      </w:r>
      <w:r w:rsidRPr="00511005">
        <w:rPr>
          <w:rFonts w:ascii="Arial" w:eastAsia="Times New Roman" w:hAnsi="Arial" w:cs="Arial"/>
          <w:spacing w:val="13"/>
          <w:szCs w:val="28"/>
          <w:lang w:eastAsia="ru-RU"/>
        </w:rPr>
        <w:t xml:space="preserve">ці </w:t>
      </w:r>
      <w:r w:rsidRPr="00511005">
        <w:rPr>
          <w:rFonts w:ascii="Arial" w:eastAsia="Times New Roman" w:hAnsi="Arial" w:cs="Arial"/>
          <w:spacing w:val="24"/>
          <w:szCs w:val="28"/>
          <w:lang w:eastAsia="ru-RU"/>
        </w:rPr>
        <w:t xml:space="preserve">характеристики </w:t>
      </w:r>
      <w:r w:rsidRPr="00511005">
        <w:rPr>
          <w:rFonts w:ascii="Arial" w:eastAsia="Times New Roman" w:hAnsi="Arial" w:cs="Arial"/>
          <w:szCs w:val="28"/>
          <w:lang w:eastAsia="ru-RU"/>
        </w:rPr>
        <w:t>є о</w:t>
      </w:r>
      <w:r w:rsidRPr="00511005">
        <w:rPr>
          <w:rFonts w:ascii="Arial" w:eastAsia="Times New Roman" w:hAnsi="Arial" w:cs="Arial"/>
          <w:spacing w:val="-18"/>
          <w:szCs w:val="28"/>
          <w:lang w:eastAsia="ru-RU"/>
        </w:rPr>
        <w:t xml:space="preserve"> </w:t>
      </w:r>
      <w:r w:rsidRPr="00511005">
        <w:rPr>
          <w:rFonts w:ascii="Arial" w:eastAsia="Times New Roman" w:hAnsi="Arial" w:cs="Arial"/>
          <w:spacing w:val="22"/>
          <w:szCs w:val="28"/>
          <w:lang w:eastAsia="ru-RU"/>
        </w:rPr>
        <w:t xml:space="preserve">сновою </w:t>
      </w:r>
      <w:r w:rsidRPr="00511005">
        <w:rPr>
          <w:rFonts w:ascii="Arial" w:eastAsia="Times New Roman" w:hAnsi="Arial" w:cs="Arial"/>
          <w:spacing w:val="18"/>
          <w:szCs w:val="28"/>
          <w:lang w:eastAsia="ru-RU"/>
        </w:rPr>
        <w:t xml:space="preserve">для </w:t>
      </w:r>
      <w:r w:rsidRPr="00511005">
        <w:rPr>
          <w:rFonts w:ascii="Arial" w:eastAsia="Times New Roman" w:hAnsi="Arial" w:cs="Arial"/>
          <w:szCs w:val="28"/>
          <w:lang w:eastAsia="ru-RU"/>
        </w:rPr>
        <w:t>правозастосування норм МГП і міжнародного кримінального права.</w:t>
      </w:r>
    </w:p>
    <w:p w14:paraId="1B0DD76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Виходячи з наведеного, доцільно виокремити два основні різновиди НМЗК. Перший охоплює ситуації, коли організовані збройні групи не здійснюють контроль над певною територією держави — у цьому випадку застосовується стаття 3 Женевської конвенції про поліпшення долі поранених і хворих у регулярних арміях на полі бою, Женевської конвенції про поліпшення долі поранених, хворих і осіб, що потерпіли корабельну </w:t>
      </w:r>
      <w:r w:rsidRPr="00511005">
        <w:rPr>
          <w:rFonts w:ascii="Arial" w:eastAsia="Times New Roman" w:hAnsi="Arial" w:cs="Arial"/>
          <w:szCs w:val="28"/>
          <w:lang w:eastAsia="ru-RU"/>
        </w:rPr>
        <w:lastRenderedPageBreak/>
        <w:t xml:space="preserve">аварію, зі складу </w:t>
      </w:r>
      <w:r w:rsidRPr="00511005">
        <w:rPr>
          <w:rFonts w:ascii="Arial" w:eastAsia="Times New Roman" w:hAnsi="Arial" w:cs="Arial"/>
          <w:spacing w:val="20"/>
          <w:szCs w:val="28"/>
          <w:lang w:eastAsia="ru-RU"/>
        </w:rPr>
        <w:t xml:space="preserve">збройних </w:t>
      </w:r>
      <w:r w:rsidRPr="00511005">
        <w:rPr>
          <w:rFonts w:ascii="Arial" w:eastAsia="Times New Roman" w:hAnsi="Arial" w:cs="Arial"/>
          <w:spacing w:val="15"/>
          <w:szCs w:val="28"/>
          <w:lang w:eastAsia="ru-RU"/>
        </w:rPr>
        <w:t xml:space="preserve">сил </w:t>
      </w:r>
      <w:r w:rsidRPr="00511005">
        <w:rPr>
          <w:rFonts w:ascii="Arial" w:eastAsia="Times New Roman" w:hAnsi="Arial" w:cs="Arial"/>
          <w:spacing w:val="11"/>
          <w:szCs w:val="28"/>
          <w:lang w:eastAsia="ru-RU"/>
        </w:rPr>
        <w:t xml:space="preserve">на </w:t>
      </w:r>
      <w:r w:rsidRPr="00511005">
        <w:rPr>
          <w:rFonts w:ascii="Arial" w:eastAsia="Times New Roman" w:hAnsi="Arial" w:cs="Arial"/>
          <w:spacing w:val="18"/>
          <w:szCs w:val="28"/>
          <w:lang w:eastAsia="ru-RU"/>
        </w:rPr>
        <w:t xml:space="preserve">морі, </w:t>
      </w:r>
      <w:r w:rsidRPr="00511005">
        <w:rPr>
          <w:rFonts w:ascii="Arial" w:eastAsia="Times New Roman" w:hAnsi="Arial" w:cs="Arial"/>
          <w:spacing w:val="17"/>
          <w:szCs w:val="28"/>
          <w:lang w:eastAsia="ru-RU"/>
        </w:rPr>
        <w:t xml:space="preserve">Женевської </w:t>
      </w:r>
      <w:r w:rsidRPr="00511005">
        <w:rPr>
          <w:rFonts w:ascii="Arial" w:eastAsia="Times New Roman" w:hAnsi="Arial" w:cs="Arial"/>
          <w:spacing w:val="18"/>
          <w:szCs w:val="28"/>
          <w:lang w:eastAsia="ru-RU"/>
        </w:rPr>
        <w:t xml:space="preserve">конвенції </w:t>
      </w:r>
      <w:r w:rsidRPr="00511005">
        <w:rPr>
          <w:rFonts w:ascii="Arial" w:eastAsia="Times New Roman" w:hAnsi="Arial" w:cs="Arial"/>
          <w:spacing w:val="15"/>
          <w:szCs w:val="28"/>
          <w:lang w:eastAsia="ru-RU"/>
        </w:rPr>
        <w:t xml:space="preserve">про </w:t>
      </w:r>
      <w:r w:rsidRPr="00511005">
        <w:rPr>
          <w:rFonts w:ascii="Arial" w:eastAsia="Times New Roman" w:hAnsi="Arial" w:cs="Arial"/>
          <w:spacing w:val="19"/>
          <w:szCs w:val="28"/>
          <w:lang w:eastAsia="ru-RU"/>
        </w:rPr>
        <w:t xml:space="preserve">поводження </w:t>
      </w:r>
      <w:r w:rsidRPr="00511005">
        <w:rPr>
          <w:rFonts w:ascii="Arial" w:eastAsia="Times New Roman" w:hAnsi="Arial" w:cs="Arial"/>
          <w:szCs w:val="28"/>
          <w:lang w:eastAsia="ru-RU"/>
        </w:rPr>
        <w:t>з військовополоненими, Женевської конвенції про захист цивільного населення під</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час</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війни.</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Другий</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тип</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конфлікту</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це</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коли</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така</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організована</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збройна</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 xml:space="preserve">група вже встановила ефективний контроль над частиною території, що дозволяє їй проводити систематичні військові операції, — тоді, крім статті 3 ЖК, застосовуються положення Другого додаткового протоколу до Женевських </w:t>
      </w:r>
      <w:r w:rsidRPr="00511005">
        <w:rPr>
          <w:rFonts w:ascii="Arial" w:eastAsia="Times New Roman" w:hAnsi="Arial" w:cs="Arial"/>
          <w:spacing w:val="10"/>
          <w:szCs w:val="28"/>
          <w:lang w:eastAsia="ru-RU"/>
        </w:rPr>
        <w:t xml:space="preserve">конвенцій </w:t>
      </w:r>
      <w:r w:rsidRPr="00511005">
        <w:rPr>
          <w:rFonts w:ascii="Arial" w:eastAsia="Times New Roman" w:hAnsi="Arial" w:cs="Arial"/>
          <w:spacing w:val="9"/>
          <w:szCs w:val="28"/>
          <w:lang w:eastAsia="ru-RU"/>
        </w:rPr>
        <w:t xml:space="preserve">від </w:t>
      </w:r>
      <w:r w:rsidRPr="00511005">
        <w:rPr>
          <w:rFonts w:ascii="Arial" w:eastAsia="Times New Roman" w:hAnsi="Arial" w:cs="Arial"/>
          <w:szCs w:val="28"/>
          <w:lang w:eastAsia="ru-RU"/>
        </w:rPr>
        <w:t xml:space="preserve">12 </w:t>
      </w:r>
      <w:r w:rsidRPr="00511005">
        <w:rPr>
          <w:rFonts w:ascii="Arial" w:eastAsia="Times New Roman" w:hAnsi="Arial" w:cs="Arial"/>
          <w:spacing w:val="12"/>
          <w:szCs w:val="28"/>
          <w:lang w:eastAsia="ru-RU"/>
        </w:rPr>
        <w:t xml:space="preserve">серпня </w:t>
      </w:r>
      <w:r w:rsidRPr="00511005">
        <w:rPr>
          <w:rFonts w:ascii="Arial" w:eastAsia="Times New Roman" w:hAnsi="Arial" w:cs="Arial"/>
          <w:spacing w:val="10"/>
          <w:szCs w:val="28"/>
          <w:lang w:eastAsia="ru-RU"/>
        </w:rPr>
        <w:t xml:space="preserve">1949 </w:t>
      </w:r>
      <w:r w:rsidRPr="00511005">
        <w:rPr>
          <w:rFonts w:ascii="Arial" w:eastAsia="Times New Roman" w:hAnsi="Arial" w:cs="Arial"/>
          <w:szCs w:val="28"/>
          <w:lang w:eastAsia="ru-RU"/>
        </w:rPr>
        <w:t xml:space="preserve">року, що </w:t>
      </w:r>
      <w:r w:rsidRPr="00511005">
        <w:rPr>
          <w:rFonts w:ascii="Arial" w:eastAsia="Times New Roman" w:hAnsi="Arial" w:cs="Arial"/>
          <w:spacing w:val="12"/>
          <w:szCs w:val="28"/>
          <w:lang w:eastAsia="ru-RU"/>
        </w:rPr>
        <w:t xml:space="preserve">стосується </w:t>
      </w:r>
      <w:r w:rsidRPr="00511005">
        <w:rPr>
          <w:rFonts w:ascii="Arial" w:eastAsia="Times New Roman" w:hAnsi="Arial" w:cs="Arial"/>
          <w:spacing w:val="11"/>
          <w:szCs w:val="28"/>
          <w:lang w:eastAsia="ru-RU"/>
        </w:rPr>
        <w:t xml:space="preserve">захисту </w:t>
      </w:r>
      <w:r w:rsidRPr="00511005">
        <w:rPr>
          <w:rFonts w:ascii="Arial" w:eastAsia="Times New Roman" w:hAnsi="Arial" w:cs="Arial"/>
          <w:spacing w:val="10"/>
          <w:szCs w:val="28"/>
          <w:lang w:eastAsia="ru-RU"/>
        </w:rPr>
        <w:t xml:space="preserve">жертв </w:t>
      </w:r>
      <w:r w:rsidRPr="00511005">
        <w:rPr>
          <w:rFonts w:ascii="Arial" w:eastAsia="Times New Roman" w:hAnsi="Arial" w:cs="Arial"/>
          <w:szCs w:val="28"/>
          <w:lang w:eastAsia="ru-RU"/>
        </w:rPr>
        <w:t>негромадянських збройних конфліктів (Протоколу II) 1977 року. Важливо підкреслити, що до обох типів НМЗК рівною мірою застосовуються звичаєві норми міжнародного гуманітарного права, а також положення статті 8 Римського статуту, за умови, що держава, на території якої відбувається конфлікт, є учасницею цього міжнародного договору [5].</w:t>
      </w:r>
    </w:p>
    <w:p w14:paraId="7D0C3971" w14:textId="54E0CE22"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Слід зауважити, що формальне визначення поняття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неміжнародний збройний</w:t>
      </w:r>
      <w:r w:rsidRPr="00511005">
        <w:rPr>
          <w:rFonts w:ascii="Arial" w:eastAsia="Times New Roman" w:hAnsi="Arial" w:cs="Arial"/>
          <w:spacing w:val="-13"/>
          <w:szCs w:val="28"/>
          <w:lang w:eastAsia="ru-RU"/>
        </w:rPr>
        <w:t xml:space="preserve"> </w:t>
      </w:r>
      <w:r w:rsidRPr="00511005">
        <w:rPr>
          <w:rFonts w:ascii="Arial" w:eastAsia="Times New Roman" w:hAnsi="Arial" w:cs="Arial"/>
          <w:szCs w:val="28"/>
          <w:lang w:eastAsia="ru-RU"/>
        </w:rPr>
        <w:t>конфлікт</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міститься</w:t>
      </w:r>
      <w:r w:rsidRPr="00511005">
        <w:rPr>
          <w:rFonts w:ascii="Arial" w:eastAsia="Times New Roman" w:hAnsi="Arial" w:cs="Arial"/>
          <w:spacing w:val="-13"/>
          <w:szCs w:val="28"/>
          <w:lang w:eastAsia="ru-RU"/>
        </w:rPr>
        <w:t xml:space="preserve"> </w:t>
      </w:r>
      <w:r w:rsidRPr="00511005">
        <w:rPr>
          <w:rFonts w:ascii="Arial" w:eastAsia="Times New Roman" w:hAnsi="Arial" w:cs="Arial"/>
          <w:szCs w:val="28"/>
          <w:lang w:eastAsia="ru-RU"/>
        </w:rPr>
        <w:t>виключно</w:t>
      </w:r>
      <w:r w:rsidRPr="00511005">
        <w:rPr>
          <w:rFonts w:ascii="Arial" w:eastAsia="Times New Roman" w:hAnsi="Arial" w:cs="Arial"/>
          <w:spacing w:val="-13"/>
          <w:szCs w:val="28"/>
          <w:lang w:eastAsia="ru-RU"/>
        </w:rPr>
        <w:t xml:space="preserve"> </w:t>
      </w:r>
      <w:r w:rsidRPr="00511005">
        <w:rPr>
          <w:rFonts w:ascii="Arial" w:eastAsia="Times New Roman" w:hAnsi="Arial" w:cs="Arial"/>
          <w:szCs w:val="28"/>
          <w:lang w:eastAsia="ru-RU"/>
        </w:rPr>
        <w:t>у</w:t>
      </w:r>
      <w:r w:rsidRPr="00511005">
        <w:rPr>
          <w:rFonts w:ascii="Arial" w:eastAsia="Times New Roman" w:hAnsi="Arial" w:cs="Arial"/>
          <w:spacing w:val="-13"/>
          <w:szCs w:val="28"/>
          <w:lang w:eastAsia="ru-RU"/>
        </w:rPr>
        <w:t xml:space="preserve"> </w:t>
      </w:r>
      <w:r w:rsidRPr="00511005">
        <w:rPr>
          <w:rFonts w:ascii="Arial" w:eastAsia="Times New Roman" w:hAnsi="Arial" w:cs="Arial"/>
          <w:szCs w:val="28"/>
          <w:lang w:eastAsia="ru-RU"/>
        </w:rPr>
        <w:t>статті</w:t>
      </w:r>
      <w:r w:rsidRPr="00511005">
        <w:rPr>
          <w:rFonts w:ascii="Arial" w:eastAsia="Times New Roman" w:hAnsi="Arial" w:cs="Arial"/>
          <w:spacing w:val="-13"/>
          <w:szCs w:val="28"/>
          <w:lang w:eastAsia="ru-RU"/>
        </w:rPr>
        <w:t xml:space="preserve"> </w:t>
      </w:r>
      <w:r w:rsidRPr="00511005">
        <w:rPr>
          <w:rFonts w:ascii="Arial" w:eastAsia="Times New Roman" w:hAnsi="Arial" w:cs="Arial"/>
          <w:szCs w:val="28"/>
          <w:lang w:eastAsia="ru-RU"/>
        </w:rPr>
        <w:t>1</w:t>
      </w:r>
      <w:r w:rsidRPr="00511005">
        <w:rPr>
          <w:rFonts w:ascii="Arial" w:eastAsia="Times New Roman" w:hAnsi="Arial" w:cs="Arial"/>
          <w:spacing w:val="-13"/>
          <w:szCs w:val="28"/>
          <w:lang w:eastAsia="ru-RU"/>
        </w:rPr>
        <w:t xml:space="preserve"> </w:t>
      </w:r>
      <w:r w:rsidRPr="00511005">
        <w:rPr>
          <w:rFonts w:ascii="Arial" w:eastAsia="Times New Roman" w:hAnsi="Arial" w:cs="Arial"/>
          <w:szCs w:val="28"/>
          <w:lang w:eastAsia="ru-RU"/>
        </w:rPr>
        <w:t>Додаткового</w:t>
      </w:r>
      <w:r w:rsidRPr="00511005">
        <w:rPr>
          <w:rFonts w:ascii="Arial" w:eastAsia="Times New Roman" w:hAnsi="Arial" w:cs="Arial"/>
          <w:spacing w:val="-13"/>
          <w:szCs w:val="28"/>
          <w:lang w:eastAsia="ru-RU"/>
        </w:rPr>
        <w:t xml:space="preserve"> </w:t>
      </w:r>
      <w:r w:rsidRPr="00511005">
        <w:rPr>
          <w:rFonts w:ascii="Arial" w:eastAsia="Times New Roman" w:hAnsi="Arial" w:cs="Arial"/>
          <w:szCs w:val="28"/>
          <w:lang w:eastAsia="ru-RU"/>
        </w:rPr>
        <w:t>протоколу</w:t>
      </w:r>
      <w:r w:rsidRPr="00511005">
        <w:rPr>
          <w:rFonts w:ascii="Arial" w:eastAsia="Times New Roman" w:hAnsi="Arial" w:cs="Arial"/>
          <w:spacing w:val="-13"/>
          <w:szCs w:val="28"/>
          <w:lang w:eastAsia="ru-RU"/>
        </w:rPr>
        <w:t xml:space="preserve"> </w:t>
      </w:r>
      <w:r w:rsidRPr="00511005">
        <w:rPr>
          <w:rFonts w:ascii="Arial" w:eastAsia="Times New Roman" w:hAnsi="Arial" w:cs="Arial"/>
          <w:szCs w:val="28"/>
          <w:lang w:eastAsia="ru-RU"/>
        </w:rPr>
        <w:t>II.</w:t>
      </w:r>
      <w:r w:rsidRPr="00511005">
        <w:rPr>
          <w:rFonts w:ascii="Arial" w:eastAsia="Times New Roman" w:hAnsi="Arial" w:cs="Arial"/>
          <w:spacing w:val="-13"/>
          <w:szCs w:val="28"/>
          <w:lang w:eastAsia="ru-RU"/>
        </w:rPr>
        <w:t xml:space="preserve"> </w:t>
      </w:r>
      <w:r w:rsidRPr="00511005">
        <w:rPr>
          <w:rFonts w:ascii="Arial" w:eastAsia="Times New Roman" w:hAnsi="Arial" w:cs="Arial"/>
          <w:szCs w:val="28"/>
          <w:lang w:eastAsia="ru-RU"/>
        </w:rPr>
        <w:t>На відміну від неї, стаття 3 ЖК не містить чіткого визначення, обмежуючись лише основними</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положеннями</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про</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захист</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жертв</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конфлікту.</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Згідно</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зі</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статтею</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1</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ДП</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II, до</w:t>
      </w:r>
      <w:r w:rsidR="007B2628" w:rsidRPr="00511005">
        <w:rPr>
          <w:rFonts w:ascii="Arial" w:eastAsia="Times New Roman" w:hAnsi="Arial" w:cs="Arial"/>
          <w:spacing w:val="31"/>
          <w:szCs w:val="28"/>
          <w:lang w:eastAsia="ru-RU"/>
        </w:rPr>
        <w:t xml:space="preserve"> </w:t>
      </w:r>
      <w:r w:rsidRPr="00511005">
        <w:rPr>
          <w:rFonts w:ascii="Arial" w:eastAsia="Times New Roman" w:hAnsi="Arial" w:cs="Arial"/>
          <w:szCs w:val="28"/>
          <w:lang w:eastAsia="ru-RU"/>
        </w:rPr>
        <w:t>НМЗК</w:t>
      </w:r>
      <w:r w:rsidR="007B2628" w:rsidRPr="00511005">
        <w:rPr>
          <w:rFonts w:ascii="Arial" w:eastAsia="Times New Roman" w:hAnsi="Arial" w:cs="Arial"/>
          <w:spacing w:val="32"/>
          <w:szCs w:val="28"/>
          <w:lang w:eastAsia="ru-RU"/>
        </w:rPr>
        <w:t xml:space="preserve"> </w:t>
      </w:r>
      <w:r w:rsidRPr="00511005">
        <w:rPr>
          <w:rFonts w:ascii="Arial" w:eastAsia="Times New Roman" w:hAnsi="Arial" w:cs="Arial"/>
          <w:szCs w:val="28"/>
          <w:lang w:eastAsia="ru-RU"/>
        </w:rPr>
        <w:t>належать</w:t>
      </w:r>
      <w:r w:rsidR="007B2628" w:rsidRPr="00511005">
        <w:rPr>
          <w:rFonts w:ascii="Arial" w:eastAsia="Times New Roman" w:hAnsi="Arial" w:cs="Arial"/>
          <w:spacing w:val="31"/>
          <w:szCs w:val="28"/>
          <w:lang w:eastAsia="ru-RU"/>
        </w:rPr>
        <w:t xml:space="preserve"> </w:t>
      </w:r>
      <w:r w:rsidRPr="00511005">
        <w:rPr>
          <w:rFonts w:ascii="Arial" w:eastAsia="Times New Roman" w:hAnsi="Arial" w:cs="Arial"/>
          <w:szCs w:val="28"/>
          <w:lang w:eastAsia="ru-RU"/>
        </w:rPr>
        <w:t>усі</w:t>
      </w:r>
      <w:r w:rsidR="007B2628" w:rsidRPr="00511005">
        <w:rPr>
          <w:rFonts w:ascii="Arial" w:eastAsia="Times New Roman" w:hAnsi="Arial" w:cs="Arial"/>
          <w:spacing w:val="32"/>
          <w:szCs w:val="28"/>
          <w:lang w:eastAsia="ru-RU"/>
        </w:rPr>
        <w:t xml:space="preserve"> </w:t>
      </w:r>
      <w:r w:rsidRPr="00511005">
        <w:rPr>
          <w:rFonts w:ascii="Arial" w:eastAsia="Times New Roman" w:hAnsi="Arial" w:cs="Arial"/>
          <w:szCs w:val="28"/>
          <w:lang w:eastAsia="ru-RU"/>
        </w:rPr>
        <w:t>випадки</w:t>
      </w:r>
      <w:r w:rsidR="007B2628" w:rsidRPr="00511005">
        <w:rPr>
          <w:rFonts w:ascii="Arial" w:eastAsia="Times New Roman" w:hAnsi="Arial" w:cs="Arial"/>
          <w:spacing w:val="31"/>
          <w:szCs w:val="28"/>
          <w:lang w:eastAsia="ru-RU"/>
        </w:rPr>
        <w:t xml:space="preserve"> </w:t>
      </w:r>
      <w:r w:rsidRPr="00511005">
        <w:rPr>
          <w:rFonts w:ascii="Arial" w:eastAsia="Times New Roman" w:hAnsi="Arial" w:cs="Arial"/>
          <w:szCs w:val="28"/>
          <w:lang w:eastAsia="ru-RU"/>
        </w:rPr>
        <w:t>тривалого</w:t>
      </w:r>
      <w:r w:rsidR="007B2628" w:rsidRPr="00511005">
        <w:rPr>
          <w:rFonts w:ascii="Arial" w:eastAsia="Times New Roman" w:hAnsi="Arial" w:cs="Arial"/>
          <w:spacing w:val="32"/>
          <w:szCs w:val="28"/>
          <w:lang w:eastAsia="ru-RU"/>
        </w:rPr>
        <w:t xml:space="preserve"> </w:t>
      </w:r>
      <w:r w:rsidRPr="00511005">
        <w:rPr>
          <w:rFonts w:ascii="Arial" w:eastAsia="Times New Roman" w:hAnsi="Arial" w:cs="Arial"/>
          <w:szCs w:val="28"/>
          <w:lang w:eastAsia="ru-RU"/>
        </w:rPr>
        <w:t>збройного</w:t>
      </w:r>
      <w:r w:rsidR="007B2628" w:rsidRPr="00511005">
        <w:rPr>
          <w:rFonts w:ascii="Arial" w:eastAsia="Times New Roman" w:hAnsi="Arial" w:cs="Arial"/>
          <w:spacing w:val="31"/>
          <w:szCs w:val="28"/>
          <w:lang w:eastAsia="ru-RU"/>
        </w:rPr>
        <w:t xml:space="preserve"> </w:t>
      </w:r>
      <w:r w:rsidRPr="00511005">
        <w:rPr>
          <w:rFonts w:ascii="Arial" w:eastAsia="Times New Roman" w:hAnsi="Arial" w:cs="Arial"/>
          <w:szCs w:val="28"/>
          <w:lang w:eastAsia="ru-RU"/>
        </w:rPr>
        <w:t>протистояння,</w:t>
      </w:r>
      <w:r w:rsidR="007B2628" w:rsidRPr="00511005">
        <w:rPr>
          <w:rFonts w:ascii="Arial" w:eastAsia="Times New Roman" w:hAnsi="Arial" w:cs="Arial"/>
          <w:spacing w:val="32"/>
          <w:szCs w:val="28"/>
          <w:lang w:eastAsia="ru-RU"/>
        </w:rPr>
        <w:t xml:space="preserve"> </w:t>
      </w:r>
      <w:r w:rsidRPr="00511005">
        <w:rPr>
          <w:rFonts w:ascii="Arial" w:eastAsia="Times New Roman" w:hAnsi="Arial" w:cs="Arial"/>
          <w:spacing w:val="-5"/>
          <w:szCs w:val="28"/>
          <w:lang w:eastAsia="ru-RU"/>
        </w:rPr>
        <w:t>які</w:t>
      </w:r>
      <w:r w:rsidRPr="00511005">
        <w:rPr>
          <w:rFonts w:ascii="Arial" w:eastAsia="Times New Roman" w:hAnsi="Arial" w:cs="Arial"/>
          <w:szCs w:val="28"/>
          <w:lang w:eastAsia="ru-RU"/>
        </w:rPr>
        <w:t xml:space="preserve">відбуваються на території держави між її регулярними збройними силами та </w:t>
      </w:r>
      <w:r w:rsidRPr="00511005">
        <w:rPr>
          <w:rFonts w:ascii="Arial" w:eastAsia="Times New Roman" w:hAnsi="Arial" w:cs="Arial"/>
          <w:spacing w:val="11"/>
          <w:szCs w:val="28"/>
          <w:lang w:eastAsia="ru-RU"/>
        </w:rPr>
        <w:t xml:space="preserve">організованими збройними угрупованнями, </w:t>
      </w:r>
      <w:r w:rsidRPr="00511005">
        <w:rPr>
          <w:rFonts w:ascii="Arial" w:eastAsia="Times New Roman" w:hAnsi="Arial" w:cs="Arial"/>
          <w:szCs w:val="28"/>
          <w:lang w:eastAsia="ru-RU"/>
        </w:rPr>
        <w:t xml:space="preserve">або між </w:t>
      </w:r>
      <w:r w:rsidRPr="00511005">
        <w:rPr>
          <w:rFonts w:ascii="Arial" w:eastAsia="Times New Roman" w:hAnsi="Arial" w:cs="Arial"/>
          <w:spacing w:val="11"/>
          <w:szCs w:val="28"/>
          <w:lang w:eastAsia="ru-RU"/>
        </w:rPr>
        <w:t xml:space="preserve">самими </w:t>
      </w:r>
      <w:r w:rsidRPr="00511005">
        <w:rPr>
          <w:rFonts w:ascii="Arial" w:eastAsia="Times New Roman" w:hAnsi="Arial" w:cs="Arial"/>
          <w:szCs w:val="28"/>
          <w:lang w:eastAsia="ru-RU"/>
        </w:rPr>
        <w:t>такими угрупованнями [1]. Обов’язковими умовами є наявність відповідального командування у збройних груп і встановлення ними контролю над частиною території,</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що</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дозволяє</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здійснювати</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безперервні,</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узгоджені</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військові</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операції</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та виконувати положення Протоколу.</w:t>
      </w:r>
    </w:p>
    <w:p w14:paraId="59048D6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 основі вищезазначеного, можна виокремити кілька ключових критеріїв, які дозволяють віднести ситуацію до категорії НМЗК. По-перше, конфлікт має відбуватися в межах території однієї держави. При цьому допускаються ситуації, коли збройна група, що базується в одній країні, здійснює напад на сили іншої держави, але за умови, що збройні сили першої держави безпосередньо участі в конфлікті не беруть. Такі транснаціональні випадки також підпадають під режим НМЗК. </w:t>
      </w:r>
      <w:proofErr w:type="gramStart"/>
      <w:r w:rsidRPr="00511005">
        <w:rPr>
          <w:rFonts w:ascii="Arial" w:eastAsia="Times New Roman" w:hAnsi="Arial" w:cs="Arial"/>
          <w:szCs w:val="28"/>
          <w:lang w:eastAsia="ru-RU"/>
        </w:rPr>
        <w:t>По-друге</w:t>
      </w:r>
      <w:proofErr w:type="gramEnd"/>
      <w:r w:rsidRPr="00511005">
        <w:rPr>
          <w:rFonts w:ascii="Arial" w:eastAsia="Times New Roman" w:hAnsi="Arial" w:cs="Arial"/>
          <w:szCs w:val="28"/>
          <w:lang w:eastAsia="ru-RU"/>
        </w:rPr>
        <w:t>, сторони конфлікту можуть бути представлені як регулярними державними військами проти організованих антиурядових угруповань, так і виключно недержавними збройними</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формуваннями.</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По-третє,</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організовані</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сили</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мають</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діяти</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під</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єдиним, відповідальним командуванням, що здатне забезпечити дотримання норм гуманітарного права. Контроль над територією не є обов’язковою умовою для кваліфікації конфлікту як НМЗК загалом, однак він є ключовим критерієм для застосування</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Додаткового</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протоколу</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II.</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По-четверте,</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збройне</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протистояння</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 xml:space="preserve">має носити безперервний, системний і достатньо інтенсивний характер. Ситуації, пов’язані лише з локальними заворушеннями, епізодами внутрішньої напруженості чи </w:t>
      </w:r>
      <w:r w:rsidRPr="00511005">
        <w:rPr>
          <w:rFonts w:ascii="Arial" w:eastAsia="Times New Roman" w:hAnsi="Arial" w:cs="Arial"/>
          <w:szCs w:val="28"/>
          <w:lang w:eastAsia="ru-RU"/>
        </w:rPr>
        <w:lastRenderedPageBreak/>
        <w:t>кримінальними виступами, не можуть вважатися НМЗК у правовому розумінні [9].</w:t>
      </w:r>
    </w:p>
    <w:p w14:paraId="1EB16AE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Щодо визначення інтенсивності, міжнародна практика пропонує низку критеріїв, які варто враховувати при юридичній оцінці конфлікту. Серед них: кількість, тривалість і частота збройних зіткнень; характер та рівень використаного озброєння, зокрема калібр снарядів і технологічна оснащеність; масштаби людських втрат серед комбатантів і цивільного населення; обсяги матеріальних</w:t>
      </w:r>
      <w:r w:rsidRPr="00511005">
        <w:rPr>
          <w:rFonts w:ascii="Arial" w:eastAsia="Times New Roman" w:hAnsi="Arial" w:cs="Arial"/>
          <w:spacing w:val="67"/>
          <w:szCs w:val="28"/>
          <w:lang w:eastAsia="ru-RU"/>
        </w:rPr>
        <w:t xml:space="preserve"> </w:t>
      </w:r>
      <w:r w:rsidRPr="00511005">
        <w:rPr>
          <w:rFonts w:ascii="Arial" w:eastAsia="Times New Roman" w:hAnsi="Arial" w:cs="Arial"/>
          <w:szCs w:val="28"/>
          <w:lang w:eastAsia="ru-RU"/>
        </w:rPr>
        <w:t>руйнувань;</w:t>
      </w:r>
      <w:r w:rsidRPr="00511005">
        <w:rPr>
          <w:rFonts w:ascii="Arial" w:eastAsia="Times New Roman" w:hAnsi="Arial" w:cs="Arial"/>
          <w:spacing w:val="68"/>
          <w:szCs w:val="28"/>
          <w:lang w:eastAsia="ru-RU"/>
        </w:rPr>
        <w:t xml:space="preserve"> </w:t>
      </w:r>
      <w:r w:rsidRPr="00511005">
        <w:rPr>
          <w:rFonts w:ascii="Arial" w:eastAsia="Times New Roman" w:hAnsi="Arial" w:cs="Arial"/>
          <w:szCs w:val="28"/>
          <w:lang w:eastAsia="ru-RU"/>
        </w:rPr>
        <w:t>чисельність</w:t>
      </w:r>
      <w:r w:rsidRPr="00511005">
        <w:rPr>
          <w:rFonts w:ascii="Arial" w:eastAsia="Times New Roman" w:hAnsi="Arial" w:cs="Arial"/>
          <w:spacing w:val="68"/>
          <w:szCs w:val="28"/>
          <w:lang w:eastAsia="ru-RU"/>
        </w:rPr>
        <w:t xml:space="preserve"> </w:t>
      </w:r>
      <w:r w:rsidRPr="00511005">
        <w:rPr>
          <w:rFonts w:ascii="Arial" w:eastAsia="Times New Roman" w:hAnsi="Arial" w:cs="Arial"/>
          <w:szCs w:val="28"/>
          <w:lang w:eastAsia="ru-RU"/>
        </w:rPr>
        <w:t>осіб,</w:t>
      </w:r>
      <w:r w:rsidRPr="00511005">
        <w:rPr>
          <w:rFonts w:ascii="Arial" w:eastAsia="Times New Roman" w:hAnsi="Arial" w:cs="Arial"/>
          <w:spacing w:val="68"/>
          <w:szCs w:val="28"/>
          <w:lang w:eastAsia="ru-RU"/>
        </w:rPr>
        <w:t xml:space="preserve"> </w:t>
      </w:r>
      <w:r w:rsidRPr="00511005">
        <w:rPr>
          <w:rFonts w:ascii="Arial" w:eastAsia="Times New Roman" w:hAnsi="Arial" w:cs="Arial"/>
          <w:szCs w:val="28"/>
          <w:lang w:eastAsia="ru-RU"/>
        </w:rPr>
        <w:t>які</w:t>
      </w:r>
      <w:r w:rsidRPr="00511005">
        <w:rPr>
          <w:rFonts w:ascii="Arial" w:eastAsia="Times New Roman" w:hAnsi="Arial" w:cs="Arial"/>
          <w:spacing w:val="68"/>
          <w:szCs w:val="28"/>
          <w:lang w:eastAsia="ru-RU"/>
        </w:rPr>
        <w:t xml:space="preserve"> </w:t>
      </w:r>
      <w:r w:rsidRPr="00511005">
        <w:rPr>
          <w:rFonts w:ascii="Arial" w:eastAsia="Times New Roman" w:hAnsi="Arial" w:cs="Arial"/>
          <w:szCs w:val="28"/>
          <w:lang w:eastAsia="ru-RU"/>
        </w:rPr>
        <w:t>були</w:t>
      </w:r>
      <w:r w:rsidRPr="00511005">
        <w:rPr>
          <w:rFonts w:ascii="Arial" w:eastAsia="Times New Roman" w:hAnsi="Arial" w:cs="Arial"/>
          <w:spacing w:val="68"/>
          <w:szCs w:val="28"/>
          <w:lang w:eastAsia="ru-RU"/>
        </w:rPr>
        <w:t xml:space="preserve"> </w:t>
      </w:r>
      <w:r w:rsidRPr="00511005">
        <w:rPr>
          <w:rFonts w:ascii="Arial" w:eastAsia="Times New Roman" w:hAnsi="Arial" w:cs="Arial"/>
          <w:szCs w:val="28"/>
          <w:lang w:eastAsia="ru-RU"/>
        </w:rPr>
        <w:t>змушені</w:t>
      </w:r>
      <w:r w:rsidRPr="00511005">
        <w:rPr>
          <w:rFonts w:ascii="Arial" w:eastAsia="Times New Roman" w:hAnsi="Arial" w:cs="Arial"/>
          <w:spacing w:val="68"/>
          <w:szCs w:val="28"/>
          <w:lang w:eastAsia="ru-RU"/>
        </w:rPr>
        <w:t xml:space="preserve"> </w:t>
      </w:r>
      <w:r w:rsidRPr="00511005">
        <w:rPr>
          <w:rFonts w:ascii="Arial" w:eastAsia="Times New Roman" w:hAnsi="Arial" w:cs="Arial"/>
          <w:szCs w:val="28"/>
          <w:lang w:eastAsia="ru-RU"/>
        </w:rPr>
        <w:t>залишити</w:t>
      </w:r>
      <w:r w:rsidRPr="00511005">
        <w:rPr>
          <w:rFonts w:ascii="Arial" w:eastAsia="Times New Roman" w:hAnsi="Arial" w:cs="Arial"/>
          <w:spacing w:val="68"/>
          <w:szCs w:val="28"/>
          <w:lang w:eastAsia="ru-RU"/>
        </w:rPr>
        <w:t xml:space="preserve"> </w:t>
      </w:r>
      <w:r w:rsidRPr="00511005">
        <w:rPr>
          <w:rFonts w:ascii="Arial" w:eastAsia="Times New Roman" w:hAnsi="Arial" w:cs="Arial"/>
          <w:spacing w:val="-4"/>
          <w:szCs w:val="28"/>
          <w:lang w:eastAsia="ru-RU"/>
        </w:rPr>
        <w:t>зону</w:t>
      </w:r>
      <w:r w:rsidRPr="00511005">
        <w:rPr>
          <w:rFonts w:ascii="Arial" w:eastAsia="Times New Roman" w:hAnsi="Arial" w:cs="Arial"/>
          <w:szCs w:val="28"/>
          <w:lang w:eastAsia="ru-RU"/>
        </w:rPr>
        <w:t xml:space="preserve">бойових дій. Участь чи </w:t>
      </w:r>
      <w:proofErr w:type="gramStart"/>
      <w:r w:rsidRPr="00511005">
        <w:rPr>
          <w:rFonts w:ascii="Arial" w:eastAsia="Times New Roman" w:hAnsi="Arial" w:cs="Arial"/>
          <w:szCs w:val="28"/>
          <w:lang w:eastAsia="ru-RU"/>
        </w:rPr>
        <w:t>реакція</w:t>
      </w:r>
      <w:proofErr w:type="gramEnd"/>
      <w:r w:rsidRPr="00511005">
        <w:rPr>
          <w:rFonts w:ascii="Arial" w:eastAsia="Times New Roman" w:hAnsi="Arial" w:cs="Arial"/>
          <w:szCs w:val="28"/>
          <w:lang w:eastAsia="ru-RU"/>
        </w:rPr>
        <w:t xml:space="preserve"> Ради Безпеки ООН також може вказувати на високий рівень інтенсивності збройного конфлікту [4].</w:t>
      </w:r>
    </w:p>
    <w:p w14:paraId="175E180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Правове регулювання НМЗК включає кілька ключових джерел. Першим і базовим є стаття 3, спільна для всіх Женевських конвенцій. Вона має обов’язкову силу не тільки як норма міжнародного договірного права, але й як елемент загального звичаєвого гуманітарного права. Її зміст обмежується базовими положеннями щодо гуманного поводження з особами, які не беруть активної участі у бойових діях або вибули з них. Другим джерелом є Додатковий протокол II 1977 року, який, хоч і невеликий за обсягом (лише 28 </w:t>
      </w:r>
      <w:r w:rsidRPr="00511005">
        <w:rPr>
          <w:rFonts w:ascii="Arial" w:eastAsia="Times New Roman" w:hAnsi="Arial" w:cs="Arial"/>
          <w:spacing w:val="9"/>
          <w:szCs w:val="28"/>
          <w:lang w:eastAsia="ru-RU"/>
        </w:rPr>
        <w:t xml:space="preserve">статей), суттєво </w:t>
      </w:r>
      <w:r w:rsidRPr="00511005">
        <w:rPr>
          <w:rFonts w:ascii="Arial" w:eastAsia="Times New Roman" w:hAnsi="Arial" w:cs="Arial"/>
          <w:spacing w:val="10"/>
          <w:szCs w:val="28"/>
          <w:lang w:eastAsia="ru-RU"/>
        </w:rPr>
        <w:t xml:space="preserve">розширює гуманітарний захист </w:t>
      </w:r>
      <w:r w:rsidRPr="00511005">
        <w:rPr>
          <w:rFonts w:ascii="Arial" w:eastAsia="Times New Roman" w:hAnsi="Arial" w:cs="Arial"/>
          <w:szCs w:val="28"/>
          <w:lang w:eastAsia="ru-RU"/>
        </w:rPr>
        <w:t xml:space="preserve">у контексті </w:t>
      </w:r>
      <w:r w:rsidRPr="00511005">
        <w:rPr>
          <w:rFonts w:ascii="Arial" w:eastAsia="Times New Roman" w:hAnsi="Arial" w:cs="Arial"/>
          <w:spacing w:val="9"/>
          <w:szCs w:val="28"/>
          <w:lang w:eastAsia="ru-RU"/>
        </w:rPr>
        <w:t xml:space="preserve">НМЗК, </w:t>
      </w:r>
      <w:r w:rsidRPr="00511005">
        <w:rPr>
          <w:rFonts w:ascii="Arial" w:eastAsia="Times New Roman" w:hAnsi="Arial" w:cs="Arial"/>
          <w:szCs w:val="28"/>
          <w:lang w:eastAsia="ru-RU"/>
        </w:rPr>
        <w:t>доповнюючи і конкретизуючи положення статті 3 [9].</w:t>
      </w:r>
    </w:p>
    <w:p w14:paraId="0FCB7EC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Третім джерелом є звичаєве міжнародне гуманітарне право. Оскільки недержавні збройні формування, як правило, не є сторонами міжнародних договорів, саме неписані звичаєві норми набувають особливої ваги. Саме вони дозволяють застосовувати до недержавних акторів обмеження щодо методів ведення бойових дій та засобів ураження. Додатково, як джерело правового регулювання виступають і спеціальні угоди, які можуть бути укладені безпосередньо між сторонами конфлікту. Стаття 3 ЖК прямо закликає до таких </w:t>
      </w:r>
      <w:r w:rsidRPr="00511005">
        <w:rPr>
          <w:rFonts w:ascii="Arial" w:eastAsia="Times New Roman" w:hAnsi="Arial" w:cs="Arial"/>
          <w:spacing w:val="10"/>
          <w:szCs w:val="28"/>
          <w:lang w:eastAsia="ru-RU"/>
        </w:rPr>
        <w:t xml:space="preserve">домовленостей </w:t>
      </w:r>
      <w:r w:rsidRPr="00511005">
        <w:rPr>
          <w:rFonts w:ascii="Arial" w:eastAsia="Times New Roman" w:hAnsi="Arial" w:cs="Arial"/>
          <w:szCs w:val="28"/>
          <w:lang w:eastAsia="ru-RU"/>
        </w:rPr>
        <w:t xml:space="preserve">з метою </w:t>
      </w:r>
      <w:r w:rsidRPr="00511005">
        <w:rPr>
          <w:rFonts w:ascii="Arial" w:eastAsia="Times New Roman" w:hAnsi="Arial" w:cs="Arial"/>
          <w:spacing w:val="9"/>
          <w:szCs w:val="28"/>
          <w:lang w:eastAsia="ru-RU"/>
        </w:rPr>
        <w:t xml:space="preserve">повнішого застосування </w:t>
      </w:r>
      <w:r w:rsidRPr="00511005">
        <w:rPr>
          <w:rFonts w:ascii="Arial" w:eastAsia="Times New Roman" w:hAnsi="Arial" w:cs="Arial"/>
          <w:szCs w:val="28"/>
          <w:lang w:eastAsia="ru-RU"/>
        </w:rPr>
        <w:t>норм міжнародного гуманітарного права, які зазвичай використовуються у контексті міжнародних збройних</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конфліктів.</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Прикладом</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таких</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домовленостей</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можуть</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бути</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угоди</w:t>
      </w:r>
      <w:r w:rsidRPr="00511005">
        <w:rPr>
          <w:rFonts w:ascii="Arial" w:eastAsia="Times New Roman" w:hAnsi="Arial" w:cs="Arial"/>
          <w:spacing w:val="-8"/>
          <w:szCs w:val="28"/>
          <w:lang w:eastAsia="ru-RU"/>
        </w:rPr>
        <w:t xml:space="preserve"> </w:t>
      </w:r>
      <w:r w:rsidRPr="00511005">
        <w:rPr>
          <w:rFonts w:ascii="Arial" w:eastAsia="Times New Roman" w:hAnsi="Arial" w:cs="Arial"/>
          <w:szCs w:val="28"/>
          <w:lang w:eastAsia="ru-RU"/>
        </w:rPr>
        <w:t>щодо гуманного поводження з учасниками бойових дій відповідно до положень III Женевської конвенції про поводження з військовополоненими [10].</w:t>
      </w:r>
    </w:p>
    <w:p w14:paraId="0CCC97A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Таким чином, система правового регулювання НМЗК — хоча й менш розгалужена,</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ніж</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у</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випадку</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міжнародних</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збройних</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конфліктів</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все</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ж</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є</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досить структурованою та спирається як на договірні, так і на звичаєві норми, які мають на меті забезпечити базовий рівень захисту жертв навіть у найбільш складних внутрішніх конфліктах.</w:t>
      </w:r>
    </w:p>
    <w:p w14:paraId="1FE1B975" w14:textId="77777777" w:rsidR="00220D3E" w:rsidRPr="00511005" w:rsidRDefault="00220D3E" w:rsidP="003A292D">
      <w:pPr>
        <w:widowControl w:val="0"/>
        <w:tabs>
          <w:tab w:val="left" w:pos="709"/>
        </w:tabs>
        <w:autoSpaceDE w:val="0"/>
        <w:autoSpaceDN w:val="0"/>
        <w:spacing w:line="264" w:lineRule="auto"/>
        <w:ind w:left="709" w:right="139" w:firstLine="0"/>
        <w:jc w:val="center"/>
        <w:rPr>
          <w:rFonts w:ascii="Arial" w:eastAsia="Times New Roman" w:hAnsi="Arial" w:cs="Arial"/>
          <w:b/>
          <w:spacing w:val="-2"/>
          <w:szCs w:val="28"/>
          <w:lang w:val="uk-UA" w:eastAsia="ru-RU"/>
        </w:rPr>
      </w:pPr>
    </w:p>
    <w:p w14:paraId="3194794C" w14:textId="5B9BFEA9" w:rsidR="00220D3E" w:rsidRPr="00511005" w:rsidRDefault="007B2628" w:rsidP="007B2628">
      <w:pPr>
        <w:widowControl w:val="0"/>
        <w:tabs>
          <w:tab w:val="left" w:pos="709"/>
        </w:tabs>
        <w:autoSpaceDE w:val="0"/>
        <w:autoSpaceDN w:val="0"/>
        <w:spacing w:line="264" w:lineRule="auto"/>
        <w:ind w:left="709" w:right="139" w:firstLine="0"/>
        <w:jc w:val="center"/>
        <w:rPr>
          <w:rFonts w:ascii="Arial" w:eastAsia="Calibri" w:hAnsi="Arial" w:cs="Arial"/>
          <w:b/>
          <w:szCs w:val="28"/>
        </w:rPr>
      </w:pPr>
      <w:r w:rsidRPr="00511005">
        <w:rPr>
          <w:rFonts w:ascii="Arial" w:eastAsia="Times New Roman" w:hAnsi="Arial" w:cs="Arial"/>
          <w:b/>
          <w:spacing w:val="-2"/>
          <w:szCs w:val="28"/>
          <w:lang w:val="uk-UA" w:eastAsia="ru-RU"/>
        </w:rPr>
        <w:t>Список використаних джерел</w:t>
      </w:r>
    </w:p>
    <w:p w14:paraId="27FE3081" w14:textId="77777777" w:rsidR="00220D3E" w:rsidRPr="00511005" w:rsidRDefault="00220D3E" w:rsidP="003F6A5D">
      <w:pPr>
        <w:widowControl w:val="0"/>
        <w:numPr>
          <w:ilvl w:val="0"/>
          <w:numId w:val="171"/>
        </w:numPr>
        <w:tabs>
          <w:tab w:val="left" w:pos="709"/>
        </w:tabs>
        <w:autoSpaceDE w:val="0"/>
        <w:autoSpaceDN w:val="0"/>
        <w:spacing w:line="264" w:lineRule="auto"/>
        <w:ind w:left="0" w:right="139" w:firstLine="709"/>
        <w:jc w:val="left"/>
        <w:rPr>
          <w:rFonts w:ascii="Arial" w:eastAsia="Calibri" w:hAnsi="Arial" w:cs="Arial"/>
          <w:szCs w:val="28"/>
        </w:rPr>
      </w:pPr>
      <w:r w:rsidRPr="00511005">
        <w:rPr>
          <w:rFonts w:ascii="Arial" w:eastAsia="Calibri" w:hAnsi="Arial" w:cs="Arial"/>
          <w:szCs w:val="28"/>
        </w:rPr>
        <w:t xml:space="preserve">Додатковий протокол до Женевських конвенцій від 12 серпня 1949 року, що стосується захисту жертв збройних конфліктів </w:t>
      </w:r>
      <w:r w:rsidRPr="00511005">
        <w:rPr>
          <w:rFonts w:ascii="Arial" w:eastAsia="Calibri" w:hAnsi="Arial" w:cs="Arial"/>
          <w:szCs w:val="28"/>
        </w:rPr>
        <w:lastRenderedPageBreak/>
        <w:t>неміжнародного характеру (Протокол II), від 8 червня 1977 року (укр/рос</w:t>
      </w:r>
      <w:proofErr w:type="gramStart"/>
      <w:r w:rsidRPr="00511005">
        <w:rPr>
          <w:rFonts w:ascii="Arial" w:eastAsia="Calibri" w:hAnsi="Arial" w:cs="Arial"/>
          <w:szCs w:val="28"/>
        </w:rPr>
        <w:t>) :</w:t>
      </w:r>
      <w:proofErr w:type="gramEnd"/>
      <w:r w:rsidRPr="00511005">
        <w:rPr>
          <w:rFonts w:ascii="Arial" w:eastAsia="Calibri" w:hAnsi="Arial" w:cs="Arial"/>
          <w:szCs w:val="28"/>
        </w:rPr>
        <w:t xml:space="preserve"> Протокол Орг. Об'єдн. Націй від </w:t>
      </w:r>
      <w:proofErr w:type="gramStart"/>
      <w:r w:rsidRPr="00511005">
        <w:rPr>
          <w:rFonts w:ascii="Arial" w:eastAsia="Calibri" w:hAnsi="Arial" w:cs="Arial"/>
          <w:szCs w:val="28"/>
        </w:rPr>
        <w:t>08.06.1977 :</w:t>
      </w:r>
      <w:proofErr w:type="gramEnd"/>
      <w:r w:rsidRPr="00511005">
        <w:rPr>
          <w:rFonts w:ascii="Arial" w:eastAsia="Calibri" w:hAnsi="Arial" w:cs="Arial"/>
          <w:szCs w:val="28"/>
        </w:rPr>
        <w:t xml:space="preserve"> станом на 8 груд. 2005 р. URL: </w:t>
      </w:r>
      <w:r w:rsidRPr="00511005">
        <w:rPr>
          <w:rFonts w:ascii="Arial" w:eastAsia="Calibri" w:hAnsi="Arial" w:cs="Arial"/>
          <w:szCs w:val="28"/>
          <w:u w:color="0000EE"/>
        </w:rPr>
        <w:t>https://</w:t>
      </w:r>
      <w:r w:rsidRPr="00511005">
        <w:rPr>
          <w:rFonts w:ascii="Arial" w:eastAsia="Calibri" w:hAnsi="Arial" w:cs="Arial"/>
          <w:szCs w:val="28"/>
        </w:rPr>
        <w:t xml:space="preserve"> </w:t>
      </w:r>
      <w:r w:rsidRPr="00511005">
        <w:rPr>
          <w:rFonts w:ascii="Arial" w:eastAsia="Calibri" w:hAnsi="Arial" w:cs="Arial"/>
          <w:szCs w:val="28"/>
          <w:u w:color="0000EE"/>
        </w:rPr>
        <w:t>zakon.rada.gov.ua/laws/show/995_200#Text</w:t>
      </w:r>
      <w:r w:rsidRPr="00511005">
        <w:rPr>
          <w:rFonts w:ascii="Arial" w:eastAsia="Calibri" w:hAnsi="Arial" w:cs="Arial"/>
          <w:szCs w:val="28"/>
        </w:rPr>
        <w:t xml:space="preserve"> (дата звернення: 13.04.2025).</w:t>
      </w:r>
    </w:p>
    <w:p w14:paraId="5D977ACF" w14:textId="77777777" w:rsidR="00220D3E" w:rsidRPr="00511005" w:rsidRDefault="00220D3E" w:rsidP="003F6A5D">
      <w:pPr>
        <w:widowControl w:val="0"/>
        <w:numPr>
          <w:ilvl w:val="0"/>
          <w:numId w:val="171"/>
        </w:numPr>
        <w:tabs>
          <w:tab w:val="left" w:pos="709"/>
        </w:tabs>
        <w:autoSpaceDE w:val="0"/>
        <w:autoSpaceDN w:val="0"/>
        <w:spacing w:line="264" w:lineRule="auto"/>
        <w:ind w:left="0" w:right="135" w:firstLine="709"/>
        <w:jc w:val="left"/>
        <w:rPr>
          <w:rFonts w:ascii="Arial" w:eastAsia="Calibri" w:hAnsi="Arial" w:cs="Arial"/>
          <w:szCs w:val="28"/>
        </w:rPr>
      </w:pPr>
      <w:r w:rsidRPr="00511005">
        <w:rPr>
          <w:rFonts w:ascii="Arial" w:eastAsia="Calibri" w:hAnsi="Arial" w:cs="Arial"/>
          <w:szCs w:val="28"/>
        </w:rPr>
        <w:t xml:space="preserve">Римський статут міжнародного кримінального </w:t>
      </w:r>
      <w:proofErr w:type="gramStart"/>
      <w:r w:rsidRPr="00511005">
        <w:rPr>
          <w:rFonts w:ascii="Arial" w:eastAsia="Calibri" w:hAnsi="Arial" w:cs="Arial"/>
          <w:szCs w:val="28"/>
        </w:rPr>
        <w:t>суду :</w:t>
      </w:r>
      <w:proofErr w:type="gramEnd"/>
      <w:r w:rsidRPr="00511005">
        <w:rPr>
          <w:rFonts w:ascii="Arial" w:eastAsia="Calibri" w:hAnsi="Arial" w:cs="Arial"/>
          <w:szCs w:val="28"/>
        </w:rPr>
        <w:t xml:space="preserve"> Статут Міжнар. судів від 17.07.1998 : станом на 21 серп. 2024 р. URL: </w:t>
      </w:r>
      <w:r w:rsidRPr="00511005">
        <w:rPr>
          <w:rFonts w:ascii="Arial" w:eastAsia="Calibri" w:hAnsi="Arial" w:cs="Arial"/>
          <w:szCs w:val="28"/>
          <w:u w:color="0000EE"/>
        </w:rPr>
        <w:t>https://</w:t>
      </w:r>
      <w:r w:rsidRPr="00511005">
        <w:rPr>
          <w:rFonts w:ascii="Arial" w:eastAsia="Calibri" w:hAnsi="Arial" w:cs="Arial"/>
          <w:szCs w:val="28"/>
        </w:rPr>
        <w:t xml:space="preserve"> </w:t>
      </w:r>
      <w:r w:rsidRPr="00511005">
        <w:rPr>
          <w:rFonts w:ascii="Arial" w:eastAsia="Calibri" w:hAnsi="Arial" w:cs="Arial"/>
          <w:szCs w:val="28"/>
          <w:u w:color="0000EE"/>
        </w:rPr>
        <w:t>zakon.rada.gov.ua/laws/show/995_588#Text</w:t>
      </w:r>
      <w:r w:rsidRPr="00511005">
        <w:rPr>
          <w:rFonts w:ascii="Arial" w:eastAsia="Calibri" w:hAnsi="Arial" w:cs="Arial"/>
          <w:szCs w:val="28"/>
        </w:rPr>
        <w:t xml:space="preserve"> (дата звернення: 13.04.2025).</w:t>
      </w:r>
    </w:p>
    <w:p w14:paraId="174F4F03" w14:textId="77777777" w:rsidR="00220D3E" w:rsidRPr="00511005" w:rsidRDefault="00220D3E" w:rsidP="003F6A5D">
      <w:pPr>
        <w:widowControl w:val="0"/>
        <w:numPr>
          <w:ilvl w:val="0"/>
          <w:numId w:val="171"/>
        </w:numPr>
        <w:tabs>
          <w:tab w:val="left" w:pos="709"/>
        </w:tabs>
        <w:autoSpaceDE w:val="0"/>
        <w:autoSpaceDN w:val="0"/>
        <w:spacing w:line="264" w:lineRule="auto"/>
        <w:ind w:left="0" w:right="139" w:firstLine="709"/>
        <w:jc w:val="left"/>
        <w:rPr>
          <w:rFonts w:ascii="Arial" w:eastAsia="Calibri" w:hAnsi="Arial" w:cs="Arial"/>
          <w:szCs w:val="28"/>
        </w:rPr>
      </w:pPr>
      <w:r w:rsidRPr="00511005">
        <w:rPr>
          <w:rFonts w:ascii="Arial" w:eastAsia="Calibri" w:hAnsi="Arial" w:cs="Arial"/>
          <w:szCs w:val="28"/>
          <w:lang w:val="en-US"/>
        </w:rPr>
        <w:t xml:space="preserve">Klapouschak D. Regarding the international legal protection of the civilian population during an armed conflict. </w:t>
      </w:r>
      <w:r w:rsidRPr="00511005">
        <w:rPr>
          <w:rFonts w:ascii="Arial" w:eastAsia="Calibri" w:hAnsi="Arial" w:cs="Arial"/>
          <w:szCs w:val="28"/>
        </w:rPr>
        <w:t>Uzhhorod National University Herald. Series: Law. 2023. Т. 2, № 77. С. 294–298.</w:t>
      </w:r>
    </w:p>
    <w:p w14:paraId="5896EA93" w14:textId="77777777" w:rsidR="00220D3E" w:rsidRPr="00511005" w:rsidRDefault="00220D3E" w:rsidP="003F6A5D">
      <w:pPr>
        <w:widowControl w:val="0"/>
        <w:numPr>
          <w:ilvl w:val="0"/>
          <w:numId w:val="171"/>
        </w:numPr>
        <w:tabs>
          <w:tab w:val="left" w:pos="709"/>
        </w:tabs>
        <w:autoSpaceDE w:val="0"/>
        <w:autoSpaceDN w:val="0"/>
        <w:spacing w:line="264" w:lineRule="auto"/>
        <w:ind w:left="0" w:right="139" w:firstLine="709"/>
        <w:jc w:val="left"/>
        <w:rPr>
          <w:rFonts w:ascii="Arial" w:eastAsia="Calibri" w:hAnsi="Arial" w:cs="Arial"/>
          <w:szCs w:val="28"/>
        </w:rPr>
      </w:pPr>
      <w:r w:rsidRPr="00511005">
        <w:rPr>
          <w:rFonts w:ascii="Arial" w:eastAsia="Calibri" w:hAnsi="Arial" w:cs="Arial"/>
          <w:szCs w:val="28"/>
          <w:lang w:val="en-US"/>
        </w:rPr>
        <w:t>Pashynna L. Criteria for defining "armed conflict" in international</w:t>
      </w:r>
      <w:r w:rsidRPr="00511005">
        <w:rPr>
          <w:rFonts w:ascii="Arial" w:eastAsia="Calibri" w:hAnsi="Arial" w:cs="Arial"/>
          <w:spacing w:val="40"/>
          <w:szCs w:val="28"/>
          <w:lang w:val="en-US"/>
        </w:rPr>
        <w:t xml:space="preserve"> </w:t>
      </w:r>
      <w:r w:rsidRPr="00511005">
        <w:rPr>
          <w:rFonts w:ascii="Arial" w:eastAsia="Calibri" w:hAnsi="Arial" w:cs="Arial"/>
          <w:szCs w:val="28"/>
          <w:lang w:val="en-US"/>
        </w:rPr>
        <w:t xml:space="preserve">humanitarian law: historical background, current challenges and legal realities. </w:t>
      </w:r>
      <w:r w:rsidRPr="00511005">
        <w:rPr>
          <w:rFonts w:ascii="Arial" w:eastAsia="Calibri" w:hAnsi="Arial" w:cs="Arial"/>
          <w:szCs w:val="28"/>
        </w:rPr>
        <w:t>Uzhhorod National University Herald. Series: Law. 2024. Т. 4, № 84. С. 326–</w:t>
      </w:r>
    </w:p>
    <w:p w14:paraId="30B1E3FE"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pacing w:val="-4"/>
          <w:szCs w:val="28"/>
          <w:lang w:eastAsia="ru-RU"/>
        </w:rPr>
        <w:t>333.</w:t>
      </w:r>
    </w:p>
    <w:p w14:paraId="338451E7" w14:textId="77777777" w:rsidR="00220D3E" w:rsidRPr="00511005" w:rsidRDefault="00220D3E" w:rsidP="003F6A5D">
      <w:pPr>
        <w:widowControl w:val="0"/>
        <w:numPr>
          <w:ilvl w:val="0"/>
          <w:numId w:val="171"/>
        </w:numPr>
        <w:tabs>
          <w:tab w:val="left" w:pos="709"/>
        </w:tabs>
        <w:autoSpaceDE w:val="0"/>
        <w:autoSpaceDN w:val="0"/>
        <w:spacing w:line="264" w:lineRule="auto"/>
        <w:ind w:left="0" w:right="139" w:firstLine="709"/>
        <w:jc w:val="left"/>
        <w:rPr>
          <w:rFonts w:ascii="Arial" w:eastAsia="Calibri" w:hAnsi="Arial" w:cs="Arial"/>
          <w:szCs w:val="28"/>
        </w:rPr>
      </w:pPr>
      <w:r w:rsidRPr="00511005">
        <w:rPr>
          <w:rFonts w:ascii="Arial" w:eastAsia="Calibri" w:hAnsi="Arial" w:cs="Arial"/>
          <w:szCs w:val="28"/>
        </w:rPr>
        <w:t xml:space="preserve">Войтенко О., Єлігулашвілі М., Козорог О. Вивчаючи міжнародне гуманітарне </w:t>
      </w:r>
      <w:proofErr w:type="gramStart"/>
      <w:r w:rsidRPr="00511005">
        <w:rPr>
          <w:rFonts w:ascii="Arial" w:eastAsia="Calibri" w:hAnsi="Arial" w:cs="Arial"/>
          <w:szCs w:val="28"/>
        </w:rPr>
        <w:t>право :</w:t>
      </w:r>
      <w:proofErr w:type="gramEnd"/>
      <w:r w:rsidRPr="00511005">
        <w:rPr>
          <w:rFonts w:ascii="Arial" w:eastAsia="Calibri" w:hAnsi="Arial" w:cs="Arial"/>
          <w:szCs w:val="28"/>
        </w:rPr>
        <w:t xml:space="preserve"> навч. посіб. / ред. Т. Короткий. 2-ге вид. </w:t>
      </w:r>
      <w:proofErr w:type="gramStart"/>
      <w:r w:rsidRPr="00511005">
        <w:rPr>
          <w:rFonts w:ascii="Arial" w:eastAsia="Calibri" w:hAnsi="Arial" w:cs="Arial"/>
          <w:szCs w:val="28"/>
        </w:rPr>
        <w:t>Одеса :</w:t>
      </w:r>
      <w:proofErr w:type="gramEnd"/>
      <w:r w:rsidRPr="00511005">
        <w:rPr>
          <w:rFonts w:ascii="Arial" w:eastAsia="Calibri" w:hAnsi="Arial" w:cs="Arial"/>
          <w:szCs w:val="28"/>
        </w:rPr>
        <w:t xml:space="preserve"> Фенікс, 2021. 268 с.</w:t>
      </w:r>
    </w:p>
    <w:p w14:paraId="7646E175" w14:textId="77777777" w:rsidR="00220D3E" w:rsidRPr="00511005" w:rsidRDefault="00220D3E" w:rsidP="003F6A5D">
      <w:pPr>
        <w:widowControl w:val="0"/>
        <w:numPr>
          <w:ilvl w:val="0"/>
          <w:numId w:val="171"/>
        </w:numPr>
        <w:tabs>
          <w:tab w:val="left" w:pos="709"/>
        </w:tabs>
        <w:autoSpaceDE w:val="0"/>
        <w:autoSpaceDN w:val="0"/>
        <w:spacing w:line="264" w:lineRule="auto"/>
        <w:ind w:left="0" w:right="139" w:firstLine="709"/>
        <w:jc w:val="left"/>
        <w:rPr>
          <w:rFonts w:ascii="Arial" w:eastAsia="Calibri" w:hAnsi="Arial" w:cs="Arial"/>
          <w:szCs w:val="28"/>
        </w:rPr>
      </w:pPr>
      <w:r w:rsidRPr="00511005">
        <w:rPr>
          <w:rFonts w:ascii="Arial" w:eastAsia="Calibri" w:hAnsi="Arial" w:cs="Arial"/>
          <w:szCs w:val="28"/>
        </w:rPr>
        <w:t>Грушко М. В. Окремі аспекти захисту цивільного населення в період окупації: Автономна Республіка Крим і м. Севастополь. Право і суспільство. 2020. Т. 5. С. 230–238.</w:t>
      </w:r>
    </w:p>
    <w:p w14:paraId="18443DD7" w14:textId="77777777" w:rsidR="00220D3E" w:rsidRPr="00511005" w:rsidRDefault="00220D3E" w:rsidP="003F6A5D">
      <w:pPr>
        <w:widowControl w:val="0"/>
        <w:numPr>
          <w:ilvl w:val="0"/>
          <w:numId w:val="171"/>
        </w:numPr>
        <w:tabs>
          <w:tab w:val="left" w:pos="709"/>
        </w:tabs>
        <w:autoSpaceDE w:val="0"/>
        <w:autoSpaceDN w:val="0"/>
        <w:spacing w:line="264" w:lineRule="auto"/>
        <w:ind w:left="0" w:right="139" w:firstLine="709"/>
        <w:jc w:val="left"/>
        <w:rPr>
          <w:rFonts w:ascii="Arial" w:eastAsia="Calibri" w:hAnsi="Arial" w:cs="Arial"/>
          <w:szCs w:val="28"/>
        </w:rPr>
      </w:pPr>
      <w:r w:rsidRPr="00511005">
        <w:rPr>
          <w:rFonts w:ascii="Arial" w:eastAsia="Calibri" w:hAnsi="Arial" w:cs="Arial"/>
          <w:szCs w:val="28"/>
        </w:rPr>
        <w:t>Капітан О.І., Саміло А.В. Міжнародне гуманітарне право як результат викликів збройних конфліктів. Аналітично-порівняльне правознавство. 2024. № 5. С. 892–899.</w:t>
      </w:r>
    </w:p>
    <w:p w14:paraId="0D053029" w14:textId="77777777" w:rsidR="00220D3E" w:rsidRPr="00511005" w:rsidRDefault="00220D3E" w:rsidP="003F6A5D">
      <w:pPr>
        <w:widowControl w:val="0"/>
        <w:numPr>
          <w:ilvl w:val="0"/>
          <w:numId w:val="171"/>
        </w:numPr>
        <w:tabs>
          <w:tab w:val="left" w:pos="709"/>
        </w:tabs>
        <w:autoSpaceDE w:val="0"/>
        <w:autoSpaceDN w:val="0"/>
        <w:spacing w:line="264" w:lineRule="auto"/>
        <w:ind w:left="0" w:right="139" w:firstLine="709"/>
        <w:jc w:val="left"/>
        <w:rPr>
          <w:rFonts w:ascii="Arial" w:eastAsia="Calibri" w:hAnsi="Arial" w:cs="Arial"/>
          <w:szCs w:val="28"/>
        </w:rPr>
      </w:pPr>
      <w:r w:rsidRPr="00511005">
        <w:rPr>
          <w:rFonts w:ascii="Arial" w:eastAsia="Calibri" w:hAnsi="Arial" w:cs="Arial"/>
          <w:szCs w:val="28"/>
        </w:rPr>
        <w:t>Комісарчук Ю. А., Бурак М. В., Небитова Н. Ю. Розслідування сексуального</w:t>
      </w:r>
      <w:r w:rsidRPr="00511005">
        <w:rPr>
          <w:rFonts w:ascii="Arial" w:eastAsia="Calibri" w:hAnsi="Arial" w:cs="Arial"/>
          <w:spacing w:val="40"/>
          <w:szCs w:val="28"/>
        </w:rPr>
        <w:t xml:space="preserve"> </w:t>
      </w:r>
      <w:r w:rsidRPr="00511005">
        <w:rPr>
          <w:rFonts w:ascii="Arial" w:eastAsia="Calibri" w:hAnsi="Arial" w:cs="Arial"/>
          <w:szCs w:val="28"/>
        </w:rPr>
        <w:t>насильства,</w:t>
      </w:r>
      <w:r w:rsidRPr="00511005">
        <w:rPr>
          <w:rFonts w:ascii="Arial" w:eastAsia="Calibri" w:hAnsi="Arial" w:cs="Arial"/>
          <w:spacing w:val="40"/>
          <w:szCs w:val="28"/>
        </w:rPr>
        <w:t xml:space="preserve"> </w:t>
      </w:r>
      <w:r w:rsidRPr="00511005">
        <w:rPr>
          <w:rFonts w:ascii="Arial" w:eastAsia="Calibri" w:hAnsi="Arial" w:cs="Arial"/>
          <w:szCs w:val="28"/>
        </w:rPr>
        <w:t>пов’язаного</w:t>
      </w:r>
      <w:r w:rsidRPr="00511005">
        <w:rPr>
          <w:rFonts w:ascii="Arial" w:eastAsia="Calibri" w:hAnsi="Arial" w:cs="Arial"/>
          <w:spacing w:val="40"/>
          <w:szCs w:val="28"/>
        </w:rPr>
        <w:t xml:space="preserve"> </w:t>
      </w:r>
      <w:r w:rsidRPr="00511005">
        <w:rPr>
          <w:rFonts w:ascii="Arial" w:eastAsia="Calibri" w:hAnsi="Arial" w:cs="Arial"/>
          <w:szCs w:val="28"/>
        </w:rPr>
        <w:t>із</w:t>
      </w:r>
      <w:r w:rsidRPr="00511005">
        <w:rPr>
          <w:rFonts w:ascii="Arial" w:eastAsia="Calibri" w:hAnsi="Arial" w:cs="Arial"/>
          <w:spacing w:val="40"/>
          <w:szCs w:val="28"/>
        </w:rPr>
        <w:t xml:space="preserve"> </w:t>
      </w:r>
      <w:r w:rsidRPr="00511005">
        <w:rPr>
          <w:rFonts w:ascii="Arial" w:eastAsia="Calibri" w:hAnsi="Arial" w:cs="Arial"/>
          <w:szCs w:val="28"/>
        </w:rPr>
        <w:t>збройним</w:t>
      </w:r>
      <w:r w:rsidRPr="00511005">
        <w:rPr>
          <w:rFonts w:ascii="Arial" w:eastAsia="Calibri" w:hAnsi="Arial" w:cs="Arial"/>
          <w:spacing w:val="40"/>
          <w:szCs w:val="28"/>
        </w:rPr>
        <w:t xml:space="preserve"> </w:t>
      </w:r>
      <w:proofErr w:type="gramStart"/>
      <w:r w:rsidRPr="00511005">
        <w:rPr>
          <w:rFonts w:ascii="Arial" w:eastAsia="Calibri" w:hAnsi="Arial" w:cs="Arial"/>
          <w:szCs w:val="28"/>
        </w:rPr>
        <w:t>конфліктом</w:t>
      </w:r>
      <w:r w:rsidRPr="00511005">
        <w:rPr>
          <w:rFonts w:ascii="Arial" w:eastAsia="Calibri" w:hAnsi="Arial" w:cs="Arial"/>
          <w:spacing w:val="40"/>
          <w:szCs w:val="28"/>
        </w:rPr>
        <w:t xml:space="preserve"> </w:t>
      </w:r>
      <w:r w:rsidRPr="00511005">
        <w:rPr>
          <w:rFonts w:ascii="Arial" w:eastAsia="Calibri" w:hAnsi="Arial" w:cs="Arial"/>
          <w:szCs w:val="28"/>
        </w:rPr>
        <w:t>:</w:t>
      </w:r>
      <w:proofErr w:type="gramEnd"/>
      <w:r w:rsidRPr="00511005">
        <w:rPr>
          <w:rFonts w:ascii="Arial" w:eastAsia="Calibri" w:hAnsi="Arial" w:cs="Arial"/>
          <w:spacing w:val="40"/>
          <w:szCs w:val="28"/>
        </w:rPr>
        <w:t xml:space="preserve"> </w:t>
      </w:r>
      <w:r w:rsidRPr="00511005">
        <w:rPr>
          <w:rFonts w:ascii="Arial" w:eastAsia="Calibri" w:hAnsi="Arial" w:cs="Arial"/>
          <w:szCs w:val="28"/>
        </w:rPr>
        <w:t xml:space="preserve">метод.рек. / ред. М. С. Цуцкірідзе. </w:t>
      </w:r>
      <w:proofErr w:type="gramStart"/>
      <w:r w:rsidRPr="00511005">
        <w:rPr>
          <w:rFonts w:ascii="Arial" w:eastAsia="Calibri" w:hAnsi="Arial" w:cs="Arial"/>
          <w:szCs w:val="28"/>
        </w:rPr>
        <w:t>Львів :</w:t>
      </w:r>
      <w:proofErr w:type="gramEnd"/>
      <w:r w:rsidRPr="00511005">
        <w:rPr>
          <w:rFonts w:ascii="Arial" w:eastAsia="Calibri" w:hAnsi="Arial" w:cs="Arial"/>
          <w:szCs w:val="28"/>
        </w:rPr>
        <w:t xml:space="preserve"> Львівський державний університет внутрішніх справ, 2024. 152 с.</w:t>
      </w:r>
    </w:p>
    <w:p w14:paraId="1B153A36" w14:textId="77777777" w:rsidR="00220D3E" w:rsidRPr="00511005" w:rsidRDefault="00220D3E" w:rsidP="003F6A5D">
      <w:pPr>
        <w:widowControl w:val="0"/>
        <w:numPr>
          <w:ilvl w:val="0"/>
          <w:numId w:val="171"/>
        </w:numPr>
        <w:tabs>
          <w:tab w:val="left" w:pos="709"/>
        </w:tabs>
        <w:autoSpaceDE w:val="0"/>
        <w:autoSpaceDN w:val="0"/>
        <w:spacing w:line="264" w:lineRule="auto"/>
        <w:ind w:left="0" w:right="139" w:firstLine="709"/>
        <w:jc w:val="left"/>
        <w:rPr>
          <w:rFonts w:ascii="Arial" w:eastAsia="Calibri" w:hAnsi="Arial" w:cs="Arial"/>
          <w:szCs w:val="28"/>
        </w:rPr>
      </w:pPr>
      <w:r w:rsidRPr="00511005">
        <w:rPr>
          <w:rFonts w:ascii="Arial" w:eastAsia="Calibri" w:hAnsi="Arial" w:cs="Arial"/>
          <w:szCs w:val="28"/>
        </w:rPr>
        <w:t xml:space="preserve">Т. Короткий, А. Галай, М. Єлігулашвілі, І. Заворотько, М. Пашковський, В. Пузирний, Н. Хендель. Міжнародне гуманітарне </w:t>
      </w:r>
      <w:proofErr w:type="gramStart"/>
      <w:r w:rsidRPr="00511005">
        <w:rPr>
          <w:rFonts w:ascii="Arial" w:eastAsia="Calibri" w:hAnsi="Arial" w:cs="Arial"/>
          <w:szCs w:val="28"/>
        </w:rPr>
        <w:t>право :</w:t>
      </w:r>
      <w:proofErr w:type="gramEnd"/>
      <w:r w:rsidRPr="00511005">
        <w:rPr>
          <w:rFonts w:ascii="Arial" w:eastAsia="Calibri" w:hAnsi="Arial" w:cs="Arial"/>
          <w:szCs w:val="28"/>
        </w:rPr>
        <w:t xml:space="preserve"> посіб. для працівників</w:t>
      </w:r>
      <w:r w:rsidRPr="00511005">
        <w:rPr>
          <w:rFonts w:ascii="Arial" w:eastAsia="Calibri" w:hAnsi="Arial" w:cs="Arial"/>
          <w:spacing w:val="-12"/>
          <w:szCs w:val="28"/>
        </w:rPr>
        <w:t xml:space="preserve"> </w:t>
      </w:r>
      <w:r w:rsidRPr="00511005">
        <w:rPr>
          <w:rFonts w:ascii="Arial" w:eastAsia="Calibri" w:hAnsi="Arial" w:cs="Arial"/>
          <w:szCs w:val="28"/>
        </w:rPr>
        <w:t>Держ.</w:t>
      </w:r>
      <w:r w:rsidRPr="00511005">
        <w:rPr>
          <w:rFonts w:ascii="Arial" w:eastAsia="Calibri" w:hAnsi="Arial" w:cs="Arial"/>
          <w:spacing w:val="-12"/>
          <w:szCs w:val="28"/>
        </w:rPr>
        <w:t xml:space="preserve"> </w:t>
      </w:r>
      <w:r w:rsidRPr="00511005">
        <w:rPr>
          <w:rFonts w:ascii="Arial" w:eastAsia="Calibri" w:hAnsi="Arial" w:cs="Arial"/>
          <w:szCs w:val="28"/>
        </w:rPr>
        <w:t>кримінал.</w:t>
      </w:r>
      <w:r w:rsidRPr="00511005">
        <w:rPr>
          <w:rFonts w:ascii="Arial" w:eastAsia="Calibri" w:hAnsi="Arial" w:cs="Arial"/>
          <w:spacing w:val="-12"/>
          <w:szCs w:val="28"/>
        </w:rPr>
        <w:t xml:space="preserve"> </w:t>
      </w:r>
      <w:r w:rsidRPr="00511005">
        <w:rPr>
          <w:rFonts w:ascii="Arial" w:eastAsia="Calibri" w:hAnsi="Arial" w:cs="Arial"/>
          <w:szCs w:val="28"/>
        </w:rPr>
        <w:t>викон.</w:t>
      </w:r>
      <w:r w:rsidRPr="00511005">
        <w:rPr>
          <w:rFonts w:ascii="Arial" w:eastAsia="Calibri" w:hAnsi="Arial" w:cs="Arial"/>
          <w:spacing w:val="-12"/>
          <w:szCs w:val="28"/>
        </w:rPr>
        <w:t xml:space="preserve"> </w:t>
      </w:r>
      <w:r w:rsidRPr="00511005">
        <w:rPr>
          <w:rFonts w:ascii="Arial" w:eastAsia="Calibri" w:hAnsi="Arial" w:cs="Arial"/>
          <w:szCs w:val="28"/>
        </w:rPr>
        <w:t>служби</w:t>
      </w:r>
      <w:r w:rsidRPr="00511005">
        <w:rPr>
          <w:rFonts w:ascii="Arial" w:eastAsia="Calibri" w:hAnsi="Arial" w:cs="Arial"/>
          <w:spacing w:val="-12"/>
          <w:szCs w:val="28"/>
        </w:rPr>
        <w:t xml:space="preserve"> </w:t>
      </w:r>
      <w:r w:rsidRPr="00511005">
        <w:rPr>
          <w:rFonts w:ascii="Arial" w:eastAsia="Calibri" w:hAnsi="Arial" w:cs="Arial"/>
          <w:szCs w:val="28"/>
        </w:rPr>
        <w:t>України.</w:t>
      </w:r>
      <w:r w:rsidRPr="00511005">
        <w:rPr>
          <w:rFonts w:ascii="Arial" w:eastAsia="Calibri" w:hAnsi="Arial" w:cs="Arial"/>
          <w:spacing w:val="-12"/>
          <w:szCs w:val="28"/>
        </w:rPr>
        <w:t xml:space="preserve"> </w:t>
      </w:r>
      <w:proofErr w:type="gramStart"/>
      <w:r w:rsidRPr="00511005">
        <w:rPr>
          <w:rFonts w:ascii="Arial" w:eastAsia="Calibri" w:hAnsi="Arial" w:cs="Arial"/>
          <w:szCs w:val="28"/>
        </w:rPr>
        <w:t>Одеса</w:t>
      </w:r>
      <w:r w:rsidRPr="00511005">
        <w:rPr>
          <w:rFonts w:ascii="Arial" w:eastAsia="Calibri" w:hAnsi="Arial" w:cs="Arial"/>
          <w:spacing w:val="-12"/>
          <w:szCs w:val="28"/>
        </w:rPr>
        <w:t xml:space="preserve"> </w:t>
      </w:r>
      <w:r w:rsidRPr="00511005">
        <w:rPr>
          <w:rFonts w:ascii="Arial" w:eastAsia="Calibri" w:hAnsi="Arial" w:cs="Arial"/>
          <w:szCs w:val="28"/>
        </w:rPr>
        <w:t>:</w:t>
      </w:r>
      <w:proofErr w:type="gramEnd"/>
      <w:r w:rsidRPr="00511005">
        <w:rPr>
          <w:rFonts w:ascii="Arial" w:eastAsia="Calibri" w:hAnsi="Arial" w:cs="Arial"/>
          <w:spacing w:val="-12"/>
          <w:szCs w:val="28"/>
        </w:rPr>
        <w:t xml:space="preserve"> </w:t>
      </w:r>
      <w:r w:rsidRPr="00511005">
        <w:rPr>
          <w:rFonts w:ascii="Arial" w:eastAsia="Calibri" w:hAnsi="Arial" w:cs="Arial"/>
          <w:szCs w:val="28"/>
        </w:rPr>
        <w:t>Фенікс,</w:t>
      </w:r>
      <w:r w:rsidRPr="00511005">
        <w:rPr>
          <w:rFonts w:ascii="Arial" w:eastAsia="Calibri" w:hAnsi="Arial" w:cs="Arial"/>
          <w:spacing w:val="-12"/>
          <w:szCs w:val="28"/>
        </w:rPr>
        <w:t xml:space="preserve"> </w:t>
      </w:r>
      <w:r w:rsidRPr="00511005">
        <w:rPr>
          <w:rFonts w:ascii="Arial" w:eastAsia="Calibri" w:hAnsi="Arial" w:cs="Arial"/>
          <w:szCs w:val="28"/>
        </w:rPr>
        <w:t>2023. 236 с.</w:t>
      </w:r>
    </w:p>
    <w:p w14:paraId="1866EEA1" w14:textId="77777777" w:rsidR="00220D3E" w:rsidRPr="00511005" w:rsidRDefault="00220D3E" w:rsidP="003F6A5D">
      <w:pPr>
        <w:widowControl w:val="0"/>
        <w:numPr>
          <w:ilvl w:val="0"/>
          <w:numId w:val="171"/>
        </w:numPr>
        <w:tabs>
          <w:tab w:val="left" w:pos="709"/>
        </w:tabs>
        <w:autoSpaceDE w:val="0"/>
        <w:autoSpaceDN w:val="0"/>
        <w:spacing w:line="264" w:lineRule="auto"/>
        <w:ind w:left="0" w:right="140" w:firstLine="709"/>
        <w:jc w:val="left"/>
        <w:rPr>
          <w:rFonts w:ascii="Arial" w:eastAsia="Calibri" w:hAnsi="Arial" w:cs="Arial"/>
          <w:szCs w:val="28"/>
        </w:rPr>
      </w:pPr>
      <w:r w:rsidRPr="00511005">
        <w:rPr>
          <w:rFonts w:ascii="Arial" w:eastAsia="Calibri" w:hAnsi="Arial" w:cs="Arial"/>
          <w:szCs w:val="28"/>
        </w:rPr>
        <w:t xml:space="preserve">Т.Р. Короткий, Є.В. Лук’янченко. Звичаєві норми міжнародного гуманітарного права. </w:t>
      </w:r>
      <w:proofErr w:type="gramStart"/>
      <w:r w:rsidRPr="00511005">
        <w:rPr>
          <w:rFonts w:ascii="Arial" w:eastAsia="Calibri" w:hAnsi="Arial" w:cs="Arial"/>
          <w:szCs w:val="28"/>
        </w:rPr>
        <w:t>Одеса :</w:t>
      </w:r>
      <w:proofErr w:type="gramEnd"/>
      <w:r w:rsidRPr="00511005">
        <w:rPr>
          <w:rFonts w:ascii="Arial" w:eastAsia="Calibri" w:hAnsi="Arial" w:cs="Arial"/>
          <w:szCs w:val="28"/>
        </w:rPr>
        <w:t xml:space="preserve"> Фенікс, 2017. 40 с.</w:t>
      </w:r>
    </w:p>
    <w:p w14:paraId="3FDD5521" w14:textId="77777777" w:rsidR="00220D3E" w:rsidRPr="00511005" w:rsidRDefault="00220D3E" w:rsidP="003F6A5D">
      <w:pPr>
        <w:widowControl w:val="0"/>
        <w:numPr>
          <w:ilvl w:val="0"/>
          <w:numId w:val="171"/>
        </w:numPr>
        <w:tabs>
          <w:tab w:val="left" w:pos="709"/>
        </w:tabs>
        <w:autoSpaceDE w:val="0"/>
        <w:autoSpaceDN w:val="0"/>
        <w:spacing w:line="264" w:lineRule="auto"/>
        <w:ind w:left="0" w:firstLine="709"/>
        <w:jc w:val="left"/>
        <w:rPr>
          <w:rFonts w:ascii="Arial" w:eastAsia="Calibri" w:hAnsi="Arial" w:cs="Arial"/>
          <w:szCs w:val="28"/>
        </w:rPr>
      </w:pPr>
      <w:r w:rsidRPr="00511005">
        <w:rPr>
          <w:rFonts w:ascii="Arial" w:eastAsia="Calibri" w:hAnsi="Arial" w:cs="Arial"/>
          <w:szCs w:val="28"/>
        </w:rPr>
        <w:t>Сенаторова</w:t>
      </w:r>
      <w:r w:rsidRPr="00511005">
        <w:rPr>
          <w:rFonts w:ascii="Arial" w:eastAsia="Calibri" w:hAnsi="Arial" w:cs="Arial"/>
          <w:spacing w:val="14"/>
          <w:szCs w:val="28"/>
        </w:rPr>
        <w:t xml:space="preserve"> </w:t>
      </w:r>
      <w:r w:rsidRPr="00511005">
        <w:rPr>
          <w:rFonts w:ascii="Arial" w:eastAsia="Calibri" w:hAnsi="Arial" w:cs="Arial"/>
          <w:szCs w:val="28"/>
        </w:rPr>
        <w:t>О.</w:t>
      </w:r>
      <w:r w:rsidRPr="00511005">
        <w:rPr>
          <w:rFonts w:ascii="Arial" w:eastAsia="Calibri" w:hAnsi="Arial" w:cs="Arial"/>
          <w:spacing w:val="16"/>
          <w:szCs w:val="28"/>
        </w:rPr>
        <w:t xml:space="preserve"> </w:t>
      </w:r>
      <w:r w:rsidRPr="00511005">
        <w:rPr>
          <w:rFonts w:ascii="Arial" w:eastAsia="Calibri" w:hAnsi="Arial" w:cs="Arial"/>
          <w:szCs w:val="28"/>
        </w:rPr>
        <w:t>В.</w:t>
      </w:r>
      <w:r w:rsidRPr="00511005">
        <w:rPr>
          <w:rFonts w:ascii="Arial" w:eastAsia="Calibri" w:hAnsi="Arial" w:cs="Arial"/>
          <w:spacing w:val="16"/>
          <w:szCs w:val="28"/>
        </w:rPr>
        <w:t xml:space="preserve"> </w:t>
      </w:r>
      <w:r w:rsidRPr="00511005">
        <w:rPr>
          <w:rFonts w:ascii="Arial" w:eastAsia="Calibri" w:hAnsi="Arial" w:cs="Arial"/>
          <w:szCs w:val="28"/>
        </w:rPr>
        <w:t>Права</w:t>
      </w:r>
      <w:r w:rsidRPr="00511005">
        <w:rPr>
          <w:rFonts w:ascii="Arial" w:eastAsia="Calibri" w:hAnsi="Arial" w:cs="Arial"/>
          <w:spacing w:val="17"/>
          <w:szCs w:val="28"/>
        </w:rPr>
        <w:t xml:space="preserve"> </w:t>
      </w:r>
      <w:r w:rsidRPr="00511005">
        <w:rPr>
          <w:rFonts w:ascii="Arial" w:eastAsia="Calibri" w:hAnsi="Arial" w:cs="Arial"/>
          <w:szCs w:val="28"/>
        </w:rPr>
        <w:t>людини</w:t>
      </w:r>
      <w:r w:rsidRPr="00511005">
        <w:rPr>
          <w:rFonts w:ascii="Arial" w:eastAsia="Calibri" w:hAnsi="Arial" w:cs="Arial"/>
          <w:spacing w:val="16"/>
          <w:szCs w:val="28"/>
        </w:rPr>
        <w:t xml:space="preserve"> </w:t>
      </w:r>
      <w:r w:rsidRPr="00511005">
        <w:rPr>
          <w:rFonts w:ascii="Arial" w:eastAsia="Calibri" w:hAnsi="Arial" w:cs="Arial"/>
          <w:szCs w:val="28"/>
        </w:rPr>
        <w:t>і</w:t>
      </w:r>
      <w:r w:rsidRPr="00511005">
        <w:rPr>
          <w:rFonts w:ascii="Arial" w:eastAsia="Calibri" w:hAnsi="Arial" w:cs="Arial"/>
          <w:spacing w:val="16"/>
          <w:szCs w:val="28"/>
        </w:rPr>
        <w:t xml:space="preserve"> </w:t>
      </w:r>
      <w:r w:rsidRPr="00511005">
        <w:rPr>
          <w:rFonts w:ascii="Arial" w:eastAsia="Calibri" w:hAnsi="Arial" w:cs="Arial"/>
          <w:szCs w:val="28"/>
        </w:rPr>
        <w:t>збройні</w:t>
      </w:r>
      <w:r w:rsidRPr="00511005">
        <w:rPr>
          <w:rFonts w:ascii="Arial" w:eastAsia="Calibri" w:hAnsi="Arial" w:cs="Arial"/>
          <w:spacing w:val="16"/>
          <w:szCs w:val="28"/>
        </w:rPr>
        <w:t xml:space="preserve"> </w:t>
      </w:r>
      <w:proofErr w:type="gramStart"/>
      <w:r w:rsidRPr="00511005">
        <w:rPr>
          <w:rFonts w:ascii="Arial" w:eastAsia="Calibri" w:hAnsi="Arial" w:cs="Arial"/>
          <w:szCs w:val="28"/>
        </w:rPr>
        <w:t>конфлікти</w:t>
      </w:r>
      <w:r w:rsidRPr="00511005">
        <w:rPr>
          <w:rFonts w:ascii="Arial" w:eastAsia="Calibri" w:hAnsi="Arial" w:cs="Arial"/>
          <w:spacing w:val="17"/>
          <w:szCs w:val="28"/>
        </w:rPr>
        <w:t xml:space="preserve"> </w:t>
      </w:r>
      <w:r w:rsidRPr="00511005">
        <w:rPr>
          <w:rFonts w:ascii="Arial" w:eastAsia="Calibri" w:hAnsi="Arial" w:cs="Arial"/>
          <w:szCs w:val="28"/>
        </w:rPr>
        <w:t>:</w:t>
      </w:r>
      <w:proofErr w:type="gramEnd"/>
      <w:r w:rsidRPr="00511005">
        <w:rPr>
          <w:rFonts w:ascii="Arial" w:eastAsia="Calibri" w:hAnsi="Arial" w:cs="Arial"/>
          <w:spacing w:val="16"/>
          <w:szCs w:val="28"/>
        </w:rPr>
        <w:t xml:space="preserve"> </w:t>
      </w:r>
      <w:r w:rsidRPr="00511005">
        <w:rPr>
          <w:rFonts w:ascii="Arial" w:eastAsia="Calibri" w:hAnsi="Arial" w:cs="Arial"/>
          <w:szCs w:val="28"/>
        </w:rPr>
        <w:t>навч.</w:t>
      </w:r>
      <w:r w:rsidRPr="00511005">
        <w:rPr>
          <w:rFonts w:ascii="Arial" w:eastAsia="Calibri" w:hAnsi="Arial" w:cs="Arial"/>
          <w:spacing w:val="16"/>
          <w:szCs w:val="28"/>
        </w:rPr>
        <w:t xml:space="preserve"> </w:t>
      </w:r>
      <w:r w:rsidRPr="00511005">
        <w:rPr>
          <w:rFonts w:ascii="Arial" w:eastAsia="Calibri" w:hAnsi="Arial" w:cs="Arial"/>
          <w:szCs w:val="28"/>
        </w:rPr>
        <w:t>посіб.</w:t>
      </w:r>
      <w:r w:rsidRPr="00511005">
        <w:rPr>
          <w:rFonts w:ascii="Arial" w:eastAsia="Calibri" w:hAnsi="Arial" w:cs="Arial"/>
          <w:spacing w:val="16"/>
          <w:szCs w:val="28"/>
        </w:rPr>
        <w:t xml:space="preserve"> </w:t>
      </w:r>
      <w:proofErr w:type="gramStart"/>
      <w:r w:rsidRPr="00511005">
        <w:rPr>
          <w:rFonts w:ascii="Arial" w:eastAsia="Calibri" w:hAnsi="Arial" w:cs="Arial"/>
          <w:szCs w:val="28"/>
        </w:rPr>
        <w:t>Київ</w:t>
      </w:r>
      <w:r w:rsidRPr="00511005">
        <w:rPr>
          <w:rFonts w:ascii="Arial" w:eastAsia="Calibri" w:hAnsi="Arial" w:cs="Arial"/>
          <w:spacing w:val="17"/>
          <w:szCs w:val="28"/>
        </w:rPr>
        <w:t xml:space="preserve"> </w:t>
      </w:r>
      <w:r w:rsidRPr="00511005">
        <w:rPr>
          <w:rFonts w:ascii="Arial" w:eastAsia="Calibri" w:hAnsi="Arial" w:cs="Arial"/>
          <w:spacing w:val="-10"/>
          <w:szCs w:val="28"/>
        </w:rPr>
        <w:t>:</w:t>
      </w:r>
      <w:proofErr w:type="gramEnd"/>
      <w:r w:rsidRPr="00511005">
        <w:rPr>
          <w:rFonts w:ascii="Arial" w:eastAsia="Calibri" w:hAnsi="Arial" w:cs="Arial"/>
          <w:spacing w:val="-10"/>
          <w:szCs w:val="28"/>
          <w:lang w:val="uk-UA"/>
        </w:rPr>
        <w:t xml:space="preserve"> </w:t>
      </w:r>
      <w:r w:rsidRPr="00511005">
        <w:rPr>
          <w:rFonts w:ascii="Arial" w:eastAsia="Calibri" w:hAnsi="Arial" w:cs="Arial"/>
          <w:szCs w:val="28"/>
        </w:rPr>
        <w:t>ФОП</w:t>
      </w:r>
      <w:r w:rsidRPr="00511005">
        <w:rPr>
          <w:rFonts w:ascii="Arial" w:eastAsia="Calibri" w:hAnsi="Arial" w:cs="Arial"/>
          <w:spacing w:val="-7"/>
          <w:szCs w:val="28"/>
        </w:rPr>
        <w:t xml:space="preserve"> </w:t>
      </w:r>
      <w:r w:rsidRPr="00511005">
        <w:rPr>
          <w:rFonts w:ascii="Arial" w:eastAsia="Calibri" w:hAnsi="Arial" w:cs="Arial"/>
          <w:szCs w:val="28"/>
        </w:rPr>
        <w:t>Голембовська</w:t>
      </w:r>
      <w:r w:rsidRPr="00511005">
        <w:rPr>
          <w:rFonts w:ascii="Arial" w:eastAsia="Calibri" w:hAnsi="Arial" w:cs="Arial"/>
          <w:spacing w:val="-7"/>
          <w:szCs w:val="28"/>
        </w:rPr>
        <w:t xml:space="preserve"> </w:t>
      </w:r>
      <w:r w:rsidRPr="00511005">
        <w:rPr>
          <w:rFonts w:ascii="Arial" w:eastAsia="Calibri" w:hAnsi="Arial" w:cs="Arial"/>
          <w:szCs w:val="28"/>
        </w:rPr>
        <w:t>О.</w:t>
      </w:r>
      <w:r w:rsidRPr="00511005">
        <w:rPr>
          <w:rFonts w:ascii="Arial" w:eastAsia="Calibri" w:hAnsi="Arial" w:cs="Arial"/>
          <w:spacing w:val="-6"/>
          <w:szCs w:val="28"/>
        </w:rPr>
        <w:t xml:space="preserve"> </w:t>
      </w:r>
      <w:r w:rsidRPr="00511005">
        <w:rPr>
          <w:rFonts w:ascii="Arial" w:eastAsia="Calibri" w:hAnsi="Arial" w:cs="Arial"/>
          <w:szCs w:val="28"/>
        </w:rPr>
        <w:t>О.,</w:t>
      </w:r>
      <w:r w:rsidRPr="00511005">
        <w:rPr>
          <w:rFonts w:ascii="Arial" w:eastAsia="Calibri" w:hAnsi="Arial" w:cs="Arial"/>
          <w:spacing w:val="-6"/>
          <w:szCs w:val="28"/>
        </w:rPr>
        <w:t xml:space="preserve"> </w:t>
      </w:r>
      <w:r w:rsidRPr="00511005">
        <w:rPr>
          <w:rFonts w:ascii="Arial" w:eastAsia="Calibri" w:hAnsi="Arial" w:cs="Arial"/>
          <w:szCs w:val="28"/>
        </w:rPr>
        <w:t>2018.</w:t>
      </w:r>
      <w:r w:rsidRPr="00511005">
        <w:rPr>
          <w:rFonts w:ascii="Arial" w:eastAsia="Calibri" w:hAnsi="Arial" w:cs="Arial"/>
          <w:spacing w:val="-7"/>
          <w:szCs w:val="28"/>
        </w:rPr>
        <w:t xml:space="preserve"> </w:t>
      </w:r>
      <w:r w:rsidRPr="00511005">
        <w:rPr>
          <w:rFonts w:ascii="Arial" w:eastAsia="Calibri" w:hAnsi="Arial" w:cs="Arial"/>
          <w:szCs w:val="28"/>
        </w:rPr>
        <w:t>208</w:t>
      </w:r>
      <w:r w:rsidRPr="00511005">
        <w:rPr>
          <w:rFonts w:ascii="Arial" w:eastAsia="Calibri" w:hAnsi="Arial" w:cs="Arial"/>
          <w:spacing w:val="-6"/>
          <w:szCs w:val="28"/>
        </w:rPr>
        <w:t xml:space="preserve"> </w:t>
      </w:r>
      <w:r w:rsidRPr="00511005">
        <w:rPr>
          <w:rFonts w:ascii="Arial" w:eastAsia="Calibri" w:hAnsi="Arial" w:cs="Arial"/>
          <w:spacing w:val="-5"/>
          <w:szCs w:val="28"/>
        </w:rPr>
        <w:t>с.</w:t>
      </w:r>
    </w:p>
    <w:p w14:paraId="2917A722" w14:textId="77777777" w:rsidR="00220D3E" w:rsidRPr="00511005" w:rsidRDefault="00220D3E" w:rsidP="003F6A5D">
      <w:pPr>
        <w:widowControl w:val="0"/>
        <w:numPr>
          <w:ilvl w:val="0"/>
          <w:numId w:val="171"/>
        </w:numPr>
        <w:tabs>
          <w:tab w:val="left" w:pos="709"/>
        </w:tabs>
        <w:autoSpaceDE w:val="0"/>
        <w:autoSpaceDN w:val="0"/>
        <w:spacing w:line="264" w:lineRule="auto"/>
        <w:ind w:left="0" w:firstLine="709"/>
        <w:jc w:val="left"/>
        <w:rPr>
          <w:rFonts w:ascii="Arial" w:eastAsia="Calibri" w:hAnsi="Arial" w:cs="Arial"/>
          <w:szCs w:val="28"/>
        </w:rPr>
      </w:pPr>
      <w:r w:rsidRPr="00511005">
        <w:rPr>
          <w:rFonts w:ascii="Arial" w:eastAsia="Calibri" w:hAnsi="Arial" w:cs="Arial"/>
          <w:szCs w:val="28"/>
        </w:rPr>
        <w:t>Сорока</w:t>
      </w:r>
      <w:r w:rsidRPr="00511005">
        <w:rPr>
          <w:rFonts w:ascii="Arial" w:eastAsia="Calibri" w:hAnsi="Arial" w:cs="Arial"/>
          <w:spacing w:val="31"/>
          <w:szCs w:val="28"/>
        </w:rPr>
        <w:t xml:space="preserve"> </w:t>
      </w:r>
      <w:r w:rsidRPr="00511005">
        <w:rPr>
          <w:rFonts w:ascii="Arial" w:eastAsia="Calibri" w:hAnsi="Arial" w:cs="Arial"/>
          <w:szCs w:val="28"/>
        </w:rPr>
        <w:t>Г.</w:t>
      </w:r>
      <w:r w:rsidRPr="00511005">
        <w:rPr>
          <w:rFonts w:ascii="Arial" w:eastAsia="Calibri" w:hAnsi="Arial" w:cs="Arial"/>
          <w:spacing w:val="32"/>
          <w:szCs w:val="28"/>
        </w:rPr>
        <w:t xml:space="preserve"> </w:t>
      </w:r>
      <w:r w:rsidRPr="00511005">
        <w:rPr>
          <w:rFonts w:ascii="Arial" w:eastAsia="Calibri" w:hAnsi="Arial" w:cs="Arial"/>
          <w:szCs w:val="28"/>
        </w:rPr>
        <w:t>Міжнародне</w:t>
      </w:r>
      <w:r w:rsidRPr="00511005">
        <w:rPr>
          <w:rFonts w:ascii="Arial" w:eastAsia="Calibri" w:hAnsi="Arial" w:cs="Arial"/>
          <w:spacing w:val="32"/>
          <w:szCs w:val="28"/>
        </w:rPr>
        <w:t xml:space="preserve"> </w:t>
      </w:r>
      <w:r w:rsidRPr="00511005">
        <w:rPr>
          <w:rFonts w:ascii="Arial" w:eastAsia="Calibri" w:hAnsi="Arial" w:cs="Arial"/>
          <w:szCs w:val="28"/>
        </w:rPr>
        <w:t>гуманітарне</w:t>
      </w:r>
      <w:r w:rsidRPr="00511005">
        <w:rPr>
          <w:rFonts w:ascii="Arial" w:eastAsia="Calibri" w:hAnsi="Arial" w:cs="Arial"/>
          <w:spacing w:val="32"/>
          <w:szCs w:val="28"/>
        </w:rPr>
        <w:t xml:space="preserve"> </w:t>
      </w:r>
      <w:r w:rsidRPr="00511005">
        <w:rPr>
          <w:rFonts w:ascii="Arial" w:eastAsia="Calibri" w:hAnsi="Arial" w:cs="Arial"/>
          <w:szCs w:val="28"/>
        </w:rPr>
        <w:t>право</w:t>
      </w:r>
      <w:r w:rsidRPr="00511005">
        <w:rPr>
          <w:rFonts w:ascii="Arial" w:eastAsia="Calibri" w:hAnsi="Arial" w:cs="Arial"/>
          <w:spacing w:val="32"/>
          <w:szCs w:val="28"/>
        </w:rPr>
        <w:t xml:space="preserve"> </w:t>
      </w:r>
      <w:r w:rsidRPr="00511005">
        <w:rPr>
          <w:rFonts w:ascii="Arial" w:eastAsia="Calibri" w:hAnsi="Arial" w:cs="Arial"/>
          <w:szCs w:val="28"/>
        </w:rPr>
        <w:t>у</w:t>
      </w:r>
      <w:r w:rsidRPr="00511005">
        <w:rPr>
          <w:rFonts w:ascii="Arial" w:eastAsia="Calibri" w:hAnsi="Arial" w:cs="Arial"/>
          <w:spacing w:val="32"/>
          <w:szCs w:val="28"/>
        </w:rPr>
        <w:t xml:space="preserve"> </w:t>
      </w:r>
      <w:r w:rsidRPr="00511005">
        <w:rPr>
          <w:rFonts w:ascii="Arial" w:eastAsia="Calibri" w:hAnsi="Arial" w:cs="Arial"/>
          <w:szCs w:val="28"/>
        </w:rPr>
        <w:t>ХХІ</w:t>
      </w:r>
      <w:r w:rsidRPr="00511005">
        <w:rPr>
          <w:rFonts w:ascii="Arial" w:eastAsia="Calibri" w:hAnsi="Arial" w:cs="Arial"/>
          <w:spacing w:val="32"/>
          <w:szCs w:val="28"/>
        </w:rPr>
        <w:t xml:space="preserve"> </w:t>
      </w:r>
      <w:r w:rsidRPr="00511005">
        <w:rPr>
          <w:rFonts w:ascii="Arial" w:eastAsia="Calibri" w:hAnsi="Arial" w:cs="Arial"/>
          <w:szCs w:val="28"/>
        </w:rPr>
        <w:t>столітті.</w:t>
      </w:r>
      <w:r w:rsidRPr="00511005">
        <w:rPr>
          <w:rFonts w:ascii="Arial" w:eastAsia="Calibri" w:hAnsi="Arial" w:cs="Arial"/>
          <w:spacing w:val="32"/>
          <w:szCs w:val="28"/>
        </w:rPr>
        <w:t xml:space="preserve"> </w:t>
      </w:r>
      <w:r w:rsidRPr="00511005">
        <w:rPr>
          <w:rFonts w:ascii="Arial" w:eastAsia="Calibri" w:hAnsi="Arial" w:cs="Arial"/>
          <w:szCs w:val="28"/>
        </w:rPr>
        <w:t>Віче.</w:t>
      </w:r>
      <w:r w:rsidRPr="00511005">
        <w:rPr>
          <w:rFonts w:ascii="Arial" w:eastAsia="Calibri" w:hAnsi="Arial" w:cs="Arial"/>
          <w:spacing w:val="32"/>
          <w:szCs w:val="28"/>
        </w:rPr>
        <w:t xml:space="preserve"> </w:t>
      </w:r>
      <w:r w:rsidRPr="00511005">
        <w:rPr>
          <w:rFonts w:ascii="Arial" w:eastAsia="Calibri" w:hAnsi="Arial" w:cs="Arial"/>
          <w:szCs w:val="28"/>
        </w:rPr>
        <w:t>2013.</w:t>
      </w:r>
      <w:r w:rsidRPr="00511005">
        <w:rPr>
          <w:rFonts w:ascii="Arial" w:eastAsia="Calibri" w:hAnsi="Arial" w:cs="Arial"/>
          <w:spacing w:val="32"/>
          <w:szCs w:val="28"/>
        </w:rPr>
        <w:t xml:space="preserve"> </w:t>
      </w:r>
      <w:r w:rsidRPr="00511005">
        <w:rPr>
          <w:rFonts w:ascii="Arial" w:eastAsia="Calibri" w:hAnsi="Arial" w:cs="Arial"/>
          <w:spacing w:val="-10"/>
          <w:szCs w:val="28"/>
        </w:rPr>
        <w:t>№</w:t>
      </w:r>
      <w:r w:rsidRPr="00511005">
        <w:rPr>
          <w:rFonts w:ascii="Arial" w:eastAsia="Calibri" w:hAnsi="Arial" w:cs="Arial"/>
          <w:spacing w:val="-10"/>
          <w:szCs w:val="28"/>
          <w:lang w:val="uk-UA"/>
        </w:rPr>
        <w:t xml:space="preserve"> </w:t>
      </w:r>
      <w:r w:rsidRPr="00511005">
        <w:rPr>
          <w:rFonts w:ascii="Arial" w:eastAsia="Calibri" w:hAnsi="Arial" w:cs="Arial"/>
          <w:szCs w:val="28"/>
        </w:rPr>
        <w:t xml:space="preserve">18. С. </w:t>
      </w:r>
      <w:r w:rsidRPr="00511005">
        <w:rPr>
          <w:rFonts w:ascii="Arial" w:eastAsia="Calibri" w:hAnsi="Arial" w:cs="Arial"/>
          <w:spacing w:val="-2"/>
          <w:szCs w:val="28"/>
        </w:rPr>
        <w:t>24–25.</w:t>
      </w:r>
    </w:p>
    <w:p w14:paraId="0B739C85" w14:textId="3D39B864" w:rsidR="00220D3E" w:rsidRPr="00511005" w:rsidRDefault="007B2628" w:rsidP="003A292D">
      <w:pPr>
        <w:tabs>
          <w:tab w:val="left" w:pos="709"/>
        </w:tabs>
        <w:spacing w:line="264" w:lineRule="auto"/>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 Грушко М.В.</w:t>
      </w:r>
    </w:p>
    <w:p w14:paraId="6D4853A2"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0ABD6C56"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 xml:space="preserve">Кубська Яна Богданівна </w:t>
      </w:r>
    </w:p>
    <w:p w14:paraId="7AA90488" w14:textId="559C65FC" w:rsidR="008C34CC" w:rsidRPr="00511005" w:rsidRDefault="00536AAB"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411FE08C" w14:textId="77777777" w:rsidR="008C34CC" w:rsidRPr="00511005" w:rsidRDefault="008C34CC"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8EEC862" w14:textId="5B7BCA8E"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lastRenderedPageBreak/>
        <w:t>Національного університету «Одеська юридична академія»</w:t>
      </w:r>
    </w:p>
    <w:p w14:paraId="1B8A1D36"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p>
    <w:p w14:paraId="1C8F70A5"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 xml:space="preserve">ПРИНЦИП НЕДИСКРИМІНАЦІЇ У МІЖНАРОДНОМУ МЕХАНІЗМІ ЗАХИСТУ ПРАВ ЛЮДИНИ </w:t>
      </w:r>
    </w:p>
    <w:p w14:paraId="45E11D1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Попри прийняття численних міжнародних документів, які проголошують рівність прав і свобод, проблема дискримінації й надалі залишається актуальною у світі. Принцип недискримінації посідає ключове місце у системі міжнародного захисту прав людини, адже його дотримання є основою для забезпечення гідності, рівноправ’я та справедливого ставлення до кожної особи. Заборона дискримінації є загальновизнаною нормою сучасного міжнародного права, яка має змішаний договірно-звичайний характер, тому що вона визнається більшістю держав, не дивлячись на рівень їхнього соціально-економічного розвитку</w:t>
      </w:r>
      <w:r w:rsidRPr="00511005">
        <w:rPr>
          <w:rFonts w:ascii="Arial" w:eastAsia="Times New Roman" w:hAnsi="Arial" w:cs="Arial"/>
          <w:szCs w:val="28"/>
          <w:lang w:eastAsia="ru-RU"/>
        </w:rPr>
        <w:sym w:font="Symbol" w:char="F05B"/>
      </w:r>
      <w:r w:rsidRPr="00511005">
        <w:rPr>
          <w:rFonts w:ascii="Arial" w:eastAsia="Times New Roman" w:hAnsi="Arial" w:cs="Arial"/>
          <w:szCs w:val="28"/>
          <w:lang w:eastAsia="ru-RU"/>
        </w:rPr>
        <w:t>1</w:t>
      </w:r>
      <w:r w:rsidRPr="00511005">
        <w:rPr>
          <w:rFonts w:ascii="Arial" w:eastAsia="Times New Roman" w:hAnsi="Arial" w:cs="Arial"/>
          <w:szCs w:val="28"/>
          <w:lang w:eastAsia="ru-RU"/>
        </w:rPr>
        <w:sym w:font="Symbol" w:char="F05D"/>
      </w:r>
      <w:r w:rsidRPr="00511005">
        <w:rPr>
          <w:rFonts w:ascii="Arial" w:eastAsia="Times New Roman" w:hAnsi="Arial" w:cs="Arial"/>
          <w:szCs w:val="28"/>
          <w:lang w:eastAsia="ru-RU"/>
        </w:rPr>
        <w:t>.</w:t>
      </w:r>
    </w:p>
    <w:p w14:paraId="6826E40F" w14:textId="69A9AB22"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Принцип недискримінації передбачає недопущення будь-яких обмежень прав людини на підставі раси, кольору шкіри, статі, мови, релігійних, політичних чи інших переконань, національного або соціального походження, матеріального становища, народження або іншого характерного статусу</w:t>
      </w:r>
      <w:r w:rsidRPr="00511005">
        <w:rPr>
          <w:rFonts w:ascii="Arial" w:eastAsia="Times New Roman" w:hAnsi="Arial" w:cs="Arial"/>
          <w:szCs w:val="28"/>
          <w:lang w:eastAsia="ru-RU"/>
        </w:rPr>
        <w:sym w:font="Symbol" w:char="F05B"/>
      </w:r>
      <w:r w:rsidRPr="00511005">
        <w:rPr>
          <w:rFonts w:ascii="Arial" w:eastAsia="Times New Roman" w:hAnsi="Arial" w:cs="Arial"/>
          <w:szCs w:val="28"/>
          <w:lang w:eastAsia="ru-RU"/>
        </w:rPr>
        <w:t>2</w:t>
      </w:r>
      <w:r w:rsidRPr="00511005">
        <w:rPr>
          <w:rFonts w:ascii="Arial" w:eastAsia="Times New Roman" w:hAnsi="Arial" w:cs="Arial"/>
          <w:szCs w:val="28"/>
          <w:lang w:eastAsia="ru-RU"/>
        </w:rPr>
        <w:sym w:font="Symbol" w:char="F05D"/>
      </w:r>
      <w:r w:rsidRPr="00511005">
        <w:rPr>
          <w:rFonts w:ascii="Arial" w:eastAsia="Times New Roman" w:hAnsi="Arial" w:cs="Arial"/>
          <w:szCs w:val="28"/>
          <w:lang w:eastAsia="ru-RU"/>
        </w:rPr>
        <w:t>. Принцип недискримінації є невід’ємною частиною правової системи та нерозривно пов’язаний не лише з принципом рівності, а й із засадами пропорційності, справедливості, об’єктивності,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верховенства права та поваги до людських прав.</w:t>
      </w:r>
    </w:p>
    <w:p w14:paraId="2BD3A482"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Історичний досвід людства, зокрема масові порушення прав людини на ґрунті раси, статі, національності чи релігії, показав необхідність створення чітких міжнародно-правових стандартів, що захищають від дискримінації. Саме тому міжнародні організації, зокрема ООН, визнали принцип недискримінації як одну з базових норм, яка лежить в основі сучасної системи захисту прав людини.</w:t>
      </w:r>
    </w:p>
    <w:p w14:paraId="488E25E1" w14:textId="6C69A45E"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Європейській конвенції з прав людини у статті 14 зазначено, що забезпечення прав і свобод повинно здійснюватися без будь-якої дискримінації — незалежно від статі, раси, кольору шкіри, мови, релігії, політичних або інших переконань, національного чи соціального походження, приналежності до національних меншин, матеріального становища, походження або будь-яких інших ознак </w:t>
      </w:r>
      <w:r w:rsidRPr="00511005">
        <w:rPr>
          <w:rFonts w:ascii="Arial" w:eastAsia="Times New Roman" w:hAnsi="Arial" w:cs="Arial"/>
          <w:szCs w:val="28"/>
          <w:lang w:eastAsia="ru-RU"/>
        </w:rPr>
        <w:sym w:font="Symbol" w:char="F05B"/>
      </w:r>
      <w:r w:rsidRPr="00511005">
        <w:rPr>
          <w:rFonts w:ascii="Arial" w:eastAsia="Times New Roman" w:hAnsi="Arial" w:cs="Arial"/>
          <w:szCs w:val="28"/>
          <w:lang w:eastAsia="ru-RU"/>
        </w:rPr>
        <w:t>3</w:t>
      </w:r>
      <w:r w:rsidRPr="00511005">
        <w:rPr>
          <w:rFonts w:ascii="Arial" w:eastAsia="Times New Roman" w:hAnsi="Arial" w:cs="Arial"/>
          <w:szCs w:val="28"/>
          <w:lang w:eastAsia="ru-RU"/>
        </w:rPr>
        <w:sym w:font="Symbol" w:char="F05D"/>
      </w:r>
      <w:r w:rsidRPr="00511005">
        <w:rPr>
          <w:rFonts w:ascii="Arial" w:eastAsia="Times New Roman" w:hAnsi="Arial" w:cs="Arial"/>
          <w:szCs w:val="28"/>
          <w:lang w:eastAsia="ru-RU"/>
        </w:rPr>
        <w:t xml:space="preserve">. Також про дискримінацію зазначається у Загальній декларації прав людини, а саме у статті 2 </w:t>
      </w:r>
      <w:r w:rsidRPr="00511005">
        <w:rPr>
          <w:rFonts w:ascii="Arial" w:eastAsia="Times New Roman" w:hAnsi="Arial" w:cs="Arial"/>
          <w:szCs w:val="28"/>
          <w:lang w:eastAsia="ru-RU"/>
        </w:rPr>
        <w:sym w:font="Symbol" w:char="F05B"/>
      </w:r>
      <w:r w:rsidRPr="00511005">
        <w:rPr>
          <w:rFonts w:ascii="Arial" w:eastAsia="Times New Roman" w:hAnsi="Arial" w:cs="Arial"/>
          <w:szCs w:val="28"/>
          <w:lang w:eastAsia="ru-RU"/>
        </w:rPr>
        <w:t>4</w:t>
      </w:r>
      <w:r w:rsidRPr="00511005">
        <w:rPr>
          <w:rFonts w:ascii="Arial" w:eastAsia="Times New Roman" w:hAnsi="Arial" w:cs="Arial"/>
          <w:szCs w:val="28"/>
          <w:lang w:eastAsia="ru-RU"/>
        </w:rPr>
        <w:sym w:font="Symbol" w:char="F05D"/>
      </w:r>
      <w:r w:rsidRPr="00511005">
        <w:rPr>
          <w:rFonts w:ascii="Arial" w:eastAsia="Times New Roman" w:hAnsi="Arial" w:cs="Arial"/>
          <w:szCs w:val="28"/>
          <w:lang w:eastAsia="ru-RU"/>
        </w:rPr>
        <w:t xml:space="preserve"> . У 1965 та 1979 роках були прийняті Конвенція про ліквідацію всіх форм расової дискримінації та Конвенція про ліквідацію всіх форм дискримінації щодо жінок. Принцип недискримінації ще закріплено у Конвенції про права осіб з </w:t>
      </w:r>
      <w:proofErr w:type="gramStart"/>
      <w:r w:rsidRPr="00511005">
        <w:rPr>
          <w:rFonts w:ascii="Arial" w:eastAsia="Times New Roman" w:hAnsi="Arial" w:cs="Arial"/>
          <w:szCs w:val="28"/>
          <w:lang w:eastAsia="ru-RU"/>
        </w:rPr>
        <w:t>інвалідністю ,</w:t>
      </w:r>
      <w:proofErr w:type="gramEnd"/>
      <w:r w:rsidRPr="00511005">
        <w:rPr>
          <w:rFonts w:ascii="Arial" w:eastAsia="Times New Roman" w:hAnsi="Arial" w:cs="Arial"/>
          <w:szCs w:val="28"/>
          <w:lang w:eastAsia="ru-RU"/>
        </w:rPr>
        <w:t xml:space="preserve"> яка націлена на усунення бар'єрів і дискримінації щодо людей з інвалідністю.</w:t>
      </w:r>
    </w:p>
    <w:p w14:paraId="1050029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 міжнародному рівні функціонує низка органів, що здійснюють моніторинг дотримання принципу недискримінації. Наприклад, Комітети ООН (з прав людини, з ліквідації расової дискримінації, з прав жінок, з прав </w:t>
      </w:r>
      <w:r w:rsidRPr="00511005">
        <w:rPr>
          <w:rFonts w:ascii="Arial" w:eastAsia="Times New Roman" w:hAnsi="Arial" w:cs="Arial"/>
          <w:szCs w:val="28"/>
          <w:lang w:eastAsia="ru-RU"/>
        </w:rPr>
        <w:lastRenderedPageBreak/>
        <w:t xml:space="preserve">осіб з інвалідністю) — аналізують регулярні звіти держав і розглядають індивідуальні звернення про порушення прав. Рада ООН з прав людини — проводить Універсальний періодичний огляд стану прав людини в усіх державах-членах ООН. Європейський суд з прав людини — розглядає скарги громадян щодо порушення їхніх прав, зокрема в контексті дискримінації. Суд Європейського Союзу — забезпечує реалізацію прав громадян ЄС та запобігає дискримінаційним практикам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правової системи Європейського Союзу.</w:t>
      </w:r>
    </w:p>
    <w:p w14:paraId="687FB96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реальному житті принцип недискримінації дає змогу особам звертатися до міжнародних інститутів за захистом у разі порушення їхніх прав через упереджене ставлення. Судова практика, зокрема Європейського суду з прав людини, постійно уточнює і розвиває тлумачення цього принципу, надаючи йому практичну значимість.</w:t>
      </w:r>
    </w:p>
    <w:p w14:paraId="06F9D71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Принцип недискримінації є одним із основних елементів міжнародного механізму захисту прав людини. Його втілення забезпечує рівність і справедливість, а також сприяє стабільності та миру в суспільстві. Міжнародні документи та органи створюють міцну основу для боротьби з усіма формами дискримінації, але для реального досягнення результатів необхідна постійна співпраця між державами та громадянським суспільством.</w:t>
      </w:r>
    </w:p>
    <w:p w14:paraId="39BCE87E"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1F2FF587" w14:textId="3E96BFF7" w:rsidR="00220D3E" w:rsidRPr="00511005" w:rsidRDefault="007B2628" w:rsidP="007B2628">
      <w:pPr>
        <w:pBdr>
          <w:top w:val="none" w:sz="0" w:space="0" w:color="E3E3E3"/>
          <w:left w:val="none" w:sz="0" w:space="0" w:color="E3E3E3"/>
          <w:bottom w:val="none" w:sz="0" w:space="0" w:color="E3E3E3"/>
          <w:right w:val="none" w:sz="0" w:space="0" w:color="E3E3E3"/>
        </w:pBd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bookmarkStart w:id="47" w:name="_oufep8h26gkw" w:colFirst="0" w:colLast="0"/>
      <w:bookmarkEnd w:id="47"/>
    </w:p>
    <w:p w14:paraId="0DEB0806" w14:textId="77777777" w:rsidR="00220D3E" w:rsidRPr="00511005" w:rsidRDefault="00220D3E" w:rsidP="003A292D">
      <w:pPr>
        <w:tabs>
          <w:tab w:val="num" w:pos="142"/>
        </w:tabs>
        <w:spacing w:line="264" w:lineRule="auto"/>
        <w:ind w:left="142" w:firstLine="567"/>
        <w:contextualSpacing/>
        <w:rPr>
          <w:rFonts w:ascii="Arial" w:eastAsia="Times New Roman" w:hAnsi="Arial" w:cs="Arial"/>
          <w:szCs w:val="28"/>
          <w:lang w:val="uk-UA"/>
        </w:rPr>
      </w:pPr>
      <w:r w:rsidRPr="00511005">
        <w:rPr>
          <w:rFonts w:ascii="Arial" w:eastAsia="Times New Roman" w:hAnsi="Arial" w:cs="Arial"/>
          <w:szCs w:val="28"/>
        </w:rPr>
        <w:t>Кузнецова М.Ю. Принцип недискримінації в міжнародному механізмі захисту прав людини .2020. 32 с.</w:t>
      </w:r>
      <w:bookmarkStart w:id="48" w:name="_hvrdzgb1ycl1" w:colFirst="0" w:colLast="0"/>
      <w:bookmarkEnd w:id="48"/>
      <w:r w:rsidRPr="00511005">
        <w:rPr>
          <w:rFonts w:ascii="Arial" w:eastAsia="Times New Roman" w:hAnsi="Arial" w:cs="Arial"/>
          <w:szCs w:val="28"/>
        </w:rPr>
        <w:t>Мороз Ю. К., Принцип недискримінації: поняття та співвідношення з принципом рівності. 2015. 41 с.</w:t>
      </w:r>
    </w:p>
    <w:p w14:paraId="0C9F88B4" w14:textId="77777777" w:rsidR="00220D3E" w:rsidRPr="00511005" w:rsidRDefault="00220D3E" w:rsidP="003A292D">
      <w:pPr>
        <w:tabs>
          <w:tab w:val="num" w:pos="142"/>
        </w:tabs>
        <w:spacing w:line="264" w:lineRule="auto"/>
        <w:ind w:left="142" w:firstLine="567"/>
        <w:contextualSpacing/>
        <w:rPr>
          <w:rFonts w:ascii="Arial" w:eastAsia="Times New Roman" w:hAnsi="Arial" w:cs="Arial"/>
          <w:szCs w:val="28"/>
          <w:lang w:val="uk-UA"/>
        </w:rPr>
      </w:pPr>
      <w:r w:rsidRPr="00511005">
        <w:rPr>
          <w:rFonts w:ascii="Arial" w:eastAsia="Times New Roman" w:hAnsi="Arial" w:cs="Arial"/>
          <w:szCs w:val="28"/>
        </w:rPr>
        <w:t xml:space="preserve">Конвенція про захист прав людини і основоположних свобод (з протоколами) (Європейська конвенція з прав людини). </w:t>
      </w:r>
      <w:r w:rsidRPr="00511005">
        <w:rPr>
          <w:rFonts w:ascii="Arial" w:eastAsia="Times New Roman" w:hAnsi="Arial" w:cs="Arial"/>
          <w:szCs w:val="28"/>
          <w:lang w:val="en-US"/>
        </w:rPr>
        <w:t>No</w:t>
      </w:r>
      <w:r w:rsidRPr="00511005">
        <w:rPr>
          <w:rFonts w:ascii="Arial" w:eastAsia="Times New Roman" w:hAnsi="Arial" w:cs="Arial"/>
          <w:szCs w:val="28"/>
        </w:rPr>
        <w:t xml:space="preserve"> 995_004: станом на 01.08.2021. </w:t>
      </w:r>
      <w:r w:rsidRPr="00511005">
        <w:rPr>
          <w:rFonts w:ascii="Arial" w:eastAsia="Times New Roman" w:hAnsi="Arial" w:cs="Arial"/>
          <w:szCs w:val="28"/>
          <w:lang w:val="en-US"/>
        </w:rPr>
        <w:t>URL</w:t>
      </w:r>
      <w:r w:rsidRPr="00511005">
        <w:rPr>
          <w:rFonts w:ascii="Arial" w:eastAsia="Times New Roman" w:hAnsi="Arial" w:cs="Arial"/>
          <w:szCs w:val="28"/>
        </w:rPr>
        <w:t>:</w:t>
      </w:r>
      <w:hyperlink r:id="rId443" w:anchor="Text"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zakon</w:t>
        </w:r>
        <w:r w:rsidRPr="00511005">
          <w:rPr>
            <w:rFonts w:ascii="Arial" w:eastAsia="Times New Roman" w:hAnsi="Arial" w:cs="Arial"/>
            <w:szCs w:val="28"/>
          </w:rPr>
          <w:t>.</w:t>
        </w:r>
        <w:r w:rsidRPr="00511005">
          <w:rPr>
            <w:rFonts w:ascii="Arial" w:eastAsia="Times New Roman" w:hAnsi="Arial" w:cs="Arial"/>
            <w:szCs w:val="28"/>
            <w:lang w:val="en-US"/>
          </w:rPr>
          <w:t>rada</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laws</w:t>
        </w:r>
        <w:r w:rsidRPr="00511005">
          <w:rPr>
            <w:rFonts w:ascii="Arial" w:eastAsia="Times New Roman" w:hAnsi="Arial" w:cs="Arial"/>
            <w:szCs w:val="28"/>
          </w:rPr>
          <w:t>/</w:t>
        </w:r>
        <w:r w:rsidRPr="00511005">
          <w:rPr>
            <w:rFonts w:ascii="Arial" w:eastAsia="Times New Roman" w:hAnsi="Arial" w:cs="Arial"/>
            <w:szCs w:val="28"/>
            <w:lang w:val="en-US"/>
          </w:rPr>
          <w:t>show</w:t>
        </w:r>
        <w:r w:rsidRPr="00511005">
          <w:rPr>
            <w:rFonts w:ascii="Arial" w:eastAsia="Times New Roman" w:hAnsi="Arial" w:cs="Arial"/>
            <w:szCs w:val="28"/>
          </w:rPr>
          <w:t>/995_004#</w:t>
        </w:r>
        <w:r w:rsidRPr="00511005">
          <w:rPr>
            <w:rFonts w:ascii="Arial" w:eastAsia="Times New Roman" w:hAnsi="Arial" w:cs="Arial"/>
            <w:szCs w:val="28"/>
            <w:lang w:val="en-US"/>
          </w:rPr>
          <w:t>Text</w:t>
        </w:r>
      </w:hyperlink>
      <w:r w:rsidRPr="00511005">
        <w:rPr>
          <w:rFonts w:ascii="Arial" w:eastAsia="Times New Roman" w:hAnsi="Arial" w:cs="Arial"/>
          <w:szCs w:val="28"/>
        </w:rPr>
        <w:t xml:space="preserve"> (дата звернення 15.04.2025).</w:t>
      </w:r>
      <w:bookmarkStart w:id="49" w:name="_yg2yq3j55f96" w:colFirst="0" w:colLast="0"/>
      <w:bookmarkEnd w:id="49"/>
    </w:p>
    <w:p w14:paraId="5F4C0F8B" w14:textId="77777777" w:rsidR="00220D3E" w:rsidRPr="00511005" w:rsidRDefault="00220D3E" w:rsidP="003A292D">
      <w:pPr>
        <w:tabs>
          <w:tab w:val="num" w:pos="142"/>
        </w:tabs>
        <w:spacing w:line="264" w:lineRule="auto"/>
        <w:ind w:left="142" w:firstLine="567"/>
        <w:contextualSpacing/>
        <w:rPr>
          <w:rFonts w:ascii="Arial" w:eastAsia="Times New Roman" w:hAnsi="Arial" w:cs="Arial"/>
          <w:szCs w:val="28"/>
        </w:rPr>
      </w:pPr>
      <w:r w:rsidRPr="00511005">
        <w:rPr>
          <w:rFonts w:ascii="Arial" w:eastAsia="Times New Roman" w:hAnsi="Arial" w:cs="Arial"/>
          <w:szCs w:val="28"/>
        </w:rPr>
        <w:t xml:space="preserve">Загальна декларація прав людини. </w:t>
      </w:r>
      <w:r w:rsidRPr="00511005">
        <w:rPr>
          <w:rFonts w:ascii="Arial" w:eastAsia="Times New Roman" w:hAnsi="Arial" w:cs="Arial"/>
          <w:szCs w:val="28"/>
          <w:lang w:val="en-US"/>
        </w:rPr>
        <w:t>No</w:t>
      </w:r>
      <w:r w:rsidRPr="00511005">
        <w:rPr>
          <w:rFonts w:ascii="Arial" w:eastAsia="Times New Roman" w:hAnsi="Arial" w:cs="Arial"/>
          <w:szCs w:val="28"/>
        </w:rPr>
        <w:t xml:space="preserve"> 995_015. </w:t>
      </w:r>
      <w:r w:rsidRPr="00511005">
        <w:rPr>
          <w:rFonts w:ascii="Arial" w:eastAsia="Times New Roman" w:hAnsi="Arial" w:cs="Arial"/>
          <w:szCs w:val="28"/>
          <w:lang w:val="en-US"/>
        </w:rPr>
        <w:t>URL</w:t>
      </w:r>
      <w:r w:rsidRPr="00511005">
        <w:rPr>
          <w:rFonts w:ascii="Arial" w:eastAsia="Times New Roman" w:hAnsi="Arial" w:cs="Arial"/>
          <w:szCs w:val="28"/>
        </w:rPr>
        <w:t xml:space="preserve">: </w:t>
      </w:r>
      <w:hyperlink r:id="rId444" w:anchor="Text"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zakon</w:t>
        </w:r>
        <w:r w:rsidRPr="00511005">
          <w:rPr>
            <w:rFonts w:ascii="Arial" w:eastAsia="Times New Roman" w:hAnsi="Arial" w:cs="Arial"/>
            <w:szCs w:val="28"/>
          </w:rPr>
          <w:t>.</w:t>
        </w:r>
        <w:r w:rsidRPr="00511005">
          <w:rPr>
            <w:rFonts w:ascii="Arial" w:eastAsia="Times New Roman" w:hAnsi="Arial" w:cs="Arial"/>
            <w:szCs w:val="28"/>
            <w:lang w:val="en-US"/>
          </w:rPr>
          <w:t>rada</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laws</w:t>
        </w:r>
        <w:r w:rsidRPr="00511005">
          <w:rPr>
            <w:rFonts w:ascii="Arial" w:eastAsia="Times New Roman" w:hAnsi="Arial" w:cs="Arial"/>
            <w:szCs w:val="28"/>
          </w:rPr>
          <w:t>/</w:t>
        </w:r>
        <w:r w:rsidRPr="00511005">
          <w:rPr>
            <w:rFonts w:ascii="Arial" w:eastAsia="Times New Roman" w:hAnsi="Arial" w:cs="Arial"/>
            <w:szCs w:val="28"/>
            <w:lang w:val="en-US"/>
          </w:rPr>
          <w:t>show</w:t>
        </w:r>
        <w:r w:rsidRPr="00511005">
          <w:rPr>
            <w:rFonts w:ascii="Arial" w:eastAsia="Times New Roman" w:hAnsi="Arial" w:cs="Arial"/>
            <w:szCs w:val="28"/>
          </w:rPr>
          <w:t>/995_015#</w:t>
        </w:r>
        <w:r w:rsidRPr="00511005">
          <w:rPr>
            <w:rFonts w:ascii="Arial" w:eastAsia="Times New Roman" w:hAnsi="Arial" w:cs="Arial"/>
            <w:szCs w:val="28"/>
            <w:lang w:val="en-US"/>
          </w:rPr>
          <w:t>Text</w:t>
        </w:r>
      </w:hyperlink>
      <w:r w:rsidRPr="00511005">
        <w:rPr>
          <w:rFonts w:ascii="Arial" w:eastAsia="Times New Roman" w:hAnsi="Arial" w:cs="Arial"/>
          <w:szCs w:val="28"/>
        </w:rPr>
        <w:t xml:space="preserve"> (дата звернення 15.04.2025).</w:t>
      </w:r>
      <w:bookmarkStart w:id="50" w:name="_1vx0g1xaqv2j" w:colFirst="0" w:colLast="0"/>
      <w:bookmarkEnd w:id="50"/>
    </w:p>
    <w:p w14:paraId="03FD4382" w14:textId="77777777" w:rsidR="00220D3E" w:rsidRPr="00511005" w:rsidRDefault="00220D3E" w:rsidP="003A292D">
      <w:pPr>
        <w:tabs>
          <w:tab w:val="left" w:pos="709"/>
        </w:tabs>
        <w:spacing w:line="264" w:lineRule="auto"/>
        <w:rPr>
          <w:rFonts w:ascii="Arial" w:eastAsia="Times New Roman" w:hAnsi="Arial" w:cs="Arial"/>
          <w:b/>
          <w:szCs w:val="28"/>
          <w:lang w:eastAsia="ru-RU"/>
        </w:rPr>
      </w:pPr>
    </w:p>
    <w:p w14:paraId="261376F1" w14:textId="180A3BB3"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дискримінація, людина, принцип, конвенція, права людини.</w:t>
      </w:r>
    </w:p>
    <w:p w14:paraId="53C6D58A" w14:textId="7964277C"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discrimination, person, principle, convention, human rights.</w:t>
      </w:r>
    </w:p>
    <w:p w14:paraId="0DFAEEBF" w14:textId="0D45B77C"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w:t>
      </w:r>
      <w:r w:rsidRPr="00511005">
        <w:rPr>
          <w:rFonts w:ascii="Arial" w:eastAsia="Times New Roman" w:hAnsi="Arial" w:cs="Arial"/>
          <w:i/>
          <w:szCs w:val="28"/>
          <w:lang w:eastAsia="ru-RU"/>
        </w:rPr>
        <w:t xml:space="preserve"> </w:t>
      </w:r>
      <w:r w:rsidR="00220D3E" w:rsidRPr="00511005">
        <w:rPr>
          <w:rFonts w:ascii="Arial" w:eastAsia="Times New Roman" w:hAnsi="Arial" w:cs="Arial"/>
          <w:i/>
          <w:szCs w:val="28"/>
          <w:lang w:eastAsia="ru-RU"/>
        </w:rPr>
        <w:t>Гриб А.М.</w:t>
      </w:r>
    </w:p>
    <w:p w14:paraId="6EA5C02B"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bidi="uk-UA"/>
        </w:rPr>
      </w:pPr>
    </w:p>
    <w:p w14:paraId="67CA26F5"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bidi="uk-UA"/>
        </w:rPr>
      </w:pPr>
      <w:r w:rsidRPr="00511005">
        <w:rPr>
          <w:rFonts w:ascii="Arial" w:eastAsia="Times New Roman" w:hAnsi="Arial" w:cs="Arial"/>
          <w:b/>
          <w:i/>
          <w:szCs w:val="28"/>
          <w:lang w:val="uk-UA" w:eastAsia="ru-RU" w:bidi="uk-UA"/>
        </w:rPr>
        <w:t>Кузовко Злата Вікторівна</w:t>
      </w:r>
    </w:p>
    <w:p w14:paraId="5145703A" w14:textId="6B514CF9" w:rsidR="00220D3E" w:rsidRPr="00511005" w:rsidRDefault="00220D3E" w:rsidP="003A292D">
      <w:pPr>
        <w:tabs>
          <w:tab w:val="left" w:pos="709"/>
        </w:tabs>
        <w:spacing w:line="264" w:lineRule="auto"/>
        <w:jc w:val="center"/>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студентка 5-го курсу </w:t>
      </w:r>
      <w:r w:rsidR="001B7B25" w:rsidRPr="00511005">
        <w:rPr>
          <w:rFonts w:ascii="Arial" w:eastAsia="Times New Roman" w:hAnsi="Arial" w:cs="Arial"/>
          <w:szCs w:val="28"/>
          <w:lang w:val="uk-UA" w:eastAsia="ru-RU" w:bidi="uk-UA"/>
        </w:rPr>
        <w:t>факультету судового та міжнародного права</w:t>
      </w:r>
    </w:p>
    <w:p w14:paraId="6FEF3822" w14:textId="5008455B" w:rsidR="00220D3E" w:rsidRPr="00511005" w:rsidRDefault="00C66506" w:rsidP="003A292D">
      <w:pPr>
        <w:tabs>
          <w:tab w:val="left" w:pos="709"/>
        </w:tabs>
        <w:spacing w:line="264" w:lineRule="auto"/>
        <w:jc w:val="center"/>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Національного університету «Одеська юридична академія»</w:t>
      </w:r>
    </w:p>
    <w:p w14:paraId="4749731A"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bidi="uk-UA"/>
        </w:rPr>
      </w:pPr>
    </w:p>
    <w:p w14:paraId="67D184EF"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bidi="uk-UA"/>
        </w:rPr>
      </w:pPr>
      <w:r w:rsidRPr="00511005">
        <w:rPr>
          <w:rFonts w:ascii="Arial" w:eastAsia="Times New Roman" w:hAnsi="Arial" w:cs="Arial"/>
          <w:b/>
          <w:szCs w:val="28"/>
          <w:lang w:eastAsia="ru-RU" w:bidi="uk-UA"/>
        </w:rPr>
        <w:lastRenderedPageBreak/>
        <w:t>ВИКОНАННЯ РІШЕНЬ МІЖНАРОДНИХ СУДОВИХ ІНСТИТУЦІЙ В УМОВАХ ЗБРОЙНОЇ АГРЕСІЇ: ВИКЛИКИ ДЛЯ УКРАЇНИ</w:t>
      </w:r>
    </w:p>
    <w:p w14:paraId="6BE5B284" w14:textId="77777777" w:rsidR="00220D3E" w:rsidRPr="00511005" w:rsidRDefault="00220D3E" w:rsidP="003A292D">
      <w:pPr>
        <w:tabs>
          <w:tab w:val="left" w:pos="709"/>
        </w:tabs>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З огляду на сучасні геополітичні реалії та триваючу збройну агресію проти України, проблема виконання рішень міжнародних судових інституцій набула надзвичайної актуальності. У мирний час взаємодія держав із міжнародною юрисдикцією будується на принципах добровільного дотримання міжнародних зобов’язань, верховенства права та поваги до рішень судових органів. Проте в умовах воєнного конфлікту ці принципи зазнають серйозних викликів, що призводить до системних ускладнень у механізмах виконання рішень Міжнародного суду ООН, Європейського суду з прав людини, Міжнародного кримінального суду та інших установ.</w:t>
      </w:r>
    </w:p>
    <w:p w14:paraId="65FE6F28" w14:textId="77777777" w:rsidR="00220D3E" w:rsidRPr="00511005" w:rsidRDefault="00220D3E" w:rsidP="003A292D">
      <w:pPr>
        <w:tabs>
          <w:tab w:val="left" w:pos="709"/>
        </w:tabs>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Особливе місце у цій системі посідає Європейський суд з прав людини (ЄСПЛ), юрисдикція якого охоплює широкий спектр порушень прав людини, пов’язаних з діями та бездіяльністю держав у часи збройних конфліктів. Україна вже має значний обсяг справ проти держави-агресора, більшість з яких стосуються масових порушень статей Конвенції про захист прав людини і основоположних свобод. Водночас ефективне виконання рішень ЄСПЛ стикається з низкою труднощів. З одного боку, держави, які ведуть агресивну політику, зазвичай ігнорують або прямо заперечують юрисдикцію ЄСПЛ чи інших міжнародних інституцій. З іншого боку, саме для постраждалих країн залишається важливим не лише домогтися визнання порушень, але й забезпечити реальне виконання відповідних рішень.</w:t>
      </w:r>
    </w:p>
    <w:p w14:paraId="6CFB3F73" w14:textId="77777777" w:rsidR="00220D3E" w:rsidRPr="00511005" w:rsidRDefault="00220D3E" w:rsidP="003A292D">
      <w:pPr>
        <w:tabs>
          <w:tab w:val="left" w:pos="709"/>
        </w:tabs>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Міжнародний суд ООН також розглядає важливі справи, що стосуються відповідальності за порушення норм міжнародного гуманітарного права та злочину агресії. У випадку з Україною ключовим є позов проти Російської Федерації щодо тлумачення й застосування Конвенції про запобігання геноциду, в якому Міжнародний суд закликав до припинення збройної агресії. Однак, незважаючи на зобов’язальний характер рішень Суду, відсутність дієвих міжнародних примусових механізмів виконання часто зводить ці рішення до політичного сигналу без гарантії реального впливу. Особливої актуальності ця проблема набуває, коли йдеться про державу, яка зловживає правом вето в Раді Безпеки ООН, тим самим паралізуючи спроби міжнародної спільноти примусити до виконання правових рішень.</w:t>
      </w:r>
    </w:p>
    <w:p w14:paraId="7DBE0A85" w14:textId="77777777" w:rsidR="00220D3E" w:rsidRPr="00511005" w:rsidRDefault="00220D3E" w:rsidP="003A292D">
      <w:pPr>
        <w:tabs>
          <w:tab w:val="left" w:pos="709"/>
        </w:tabs>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Іншою важливою інституцією у системі міжнародного кримінального правосуддя є Міжнародний кримінальний суд (МКС), який розглядає справи щодо найтяжчих міжнародних злочинів, включно з воєнними злочинами, злочинами проти людяності та геноцидом. У 2023 році МКС видав ордер на арешт президента Росії за звинуваченням у депортації українських дітей з окупованих територій</w:t>
      </w:r>
      <w:r w:rsidRPr="00511005">
        <w:rPr>
          <w:rFonts w:ascii="Arial" w:eastAsia="Times New Roman" w:hAnsi="Arial" w:cs="Arial"/>
          <w:szCs w:val="28"/>
          <w:lang w:eastAsia="ru-RU" w:bidi="uk-UA"/>
        </w:rPr>
        <w:t xml:space="preserve"> [3]</w:t>
      </w:r>
      <w:r w:rsidRPr="00511005">
        <w:rPr>
          <w:rFonts w:ascii="Arial" w:eastAsia="Times New Roman" w:hAnsi="Arial" w:cs="Arial"/>
          <w:szCs w:val="28"/>
          <w:lang w:val="uk-UA" w:eastAsia="ru-RU" w:bidi="uk-UA"/>
        </w:rPr>
        <w:t xml:space="preserve">. Така дія стала безпрецедентною, однак знову постає питання: як реалізувати рішення МКС, коли держава, що не визнає юрисдикцію Суду, не співпрацює із системою міжнародного правосуддя? </w:t>
      </w:r>
      <w:r w:rsidRPr="00511005">
        <w:rPr>
          <w:rFonts w:ascii="Arial" w:eastAsia="Times New Roman" w:hAnsi="Arial" w:cs="Arial"/>
          <w:szCs w:val="28"/>
          <w:lang w:val="uk-UA" w:eastAsia="ru-RU" w:bidi="uk-UA"/>
        </w:rPr>
        <w:lastRenderedPageBreak/>
        <w:t>Україна, у свою чергу, попри те, що не є повноправною стороною Римського статуту, визнала юрисдикцію МКС щодо подій на своїй території, чим продемонструвала політичну й правову прихильність до міжнародного кримінального правосуддя.</w:t>
      </w:r>
    </w:p>
    <w:p w14:paraId="7EA6984F" w14:textId="77777777" w:rsidR="00220D3E" w:rsidRPr="00511005" w:rsidRDefault="00220D3E" w:rsidP="003A292D">
      <w:pPr>
        <w:tabs>
          <w:tab w:val="left" w:pos="709"/>
        </w:tabs>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У вітчизняному законодавстві імплементація норм міжнародного права, включаючи положення міжнародних судових рішень, здійснюється через відповідні положення Конституції України, зокрема статтю 9, згідно з якою чинні міжнародні договори, згода на обов'язковість яких надана Верховною Радою України, є частиною національного законодавства [1]. Стаття 17 Конституції акцентує на необхідності забезпечення національної безпеки, що безпосередньо пов’язано з виконанням рішень міжнародних судових інституцій як елемента гарантування державного суверенітету. Закон України "Про виконання рішень і застосування практики Європейського суду з прав людини" встановлює механізми втілення рішень ЄСПЛ у правову систему України, передбачаючи не лише індивідуальні заходи щодо постраждалих осіб, але й загальні – щодо усунення системних порушень [2].</w:t>
      </w:r>
    </w:p>
    <w:p w14:paraId="582E029D" w14:textId="77777777" w:rsidR="00220D3E" w:rsidRPr="00511005" w:rsidRDefault="00220D3E" w:rsidP="003A292D">
      <w:pPr>
        <w:tabs>
          <w:tab w:val="left" w:pos="709"/>
        </w:tabs>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У контексті збройної агресії критичною стає проблема забезпечення доказової бази для міжнародного судового переслідування. В умовах війни фіксація фактів порушень міжнародного гуманітарного права, воєнних злочинів, злочинів проти людяності здійснюється як державними, так і неурядовими організаціями. Ці докази мають відповідати суворим процесуальним стандартам, прийнятним у міжнародному судочинстві. Проте їхня подальша оцінка та врахування у рішеннях міжнародних інституцій не гарантують миттєвого правового впливу на державу-порушника. Таким чином, навіть за наявності рішень, що констатують відповідальність держави-агресора, виникає проблема реального механізму впливу на неї з метою їх виконання.</w:t>
      </w:r>
    </w:p>
    <w:p w14:paraId="78271ADF" w14:textId="77777777" w:rsidR="00220D3E" w:rsidRPr="00511005" w:rsidRDefault="00220D3E" w:rsidP="003A292D">
      <w:pPr>
        <w:tabs>
          <w:tab w:val="left" w:pos="709"/>
        </w:tabs>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Значну роль у процесі виконання міжнародних рішень відіграє міжнародний тиск, санкційна політика та дипломатичні інструменти. В умовах війни виконання рішень часто стає питанням політичної волі, міжнародної солідарності та рівня об’єднання держав у підтримці постраждалої сторони. Для України надзвичайно важливо, аби рішення міжнародних судів ставали підґрунтям для майбутньої відповідальності, репарацій і визнання правди на глобальному рівні. </w:t>
      </w:r>
    </w:p>
    <w:p w14:paraId="0F3ED50D" w14:textId="77777777" w:rsidR="00220D3E" w:rsidRPr="00511005" w:rsidRDefault="00220D3E" w:rsidP="003A292D">
      <w:pPr>
        <w:tabs>
          <w:tab w:val="left" w:pos="709"/>
        </w:tabs>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Проблеми виконання таких рішень ускладнюються також через відсутність чітко регламентованих механізмів відповідальності для держав, які їх ігнорують. Наприклад, незважаючи на численні рішення ЄСПЛ проти Росії, жоден з них не було повністю реалізовано внаслідок політичного протистояння. Це свідчить про серйозну кризу ефективності міжнародної правової системи у випадках воєнної агресії. Тому перед Україною стоїть завдання не лише адвокатування власної позиції у міжнародних судових </w:t>
      </w:r>
      <w:r w:rsidRPr="00511005">
        <w:rPr>
          <w:rFonts w:ascii="Arial" w:eastAsia="Times New Roman" w:hAnsi="Arial" w:cs="Arial"/>
          <w:szCs w:val="28"/>
          <w:lang w:val="uk-UA" w:eastAsia="ru-RU" w:bidi="uk-UA"/>
        </w:rPr>
        <w:lastRenderedPageBreak/>
        <w:t>інституціях, але й сприяння реформуванню системи міжнародного правосуддя, зокрема через розвиток універсальних механізмів примусового виконання [4].</w:t>
      </w:r>
    </w:p>
    <w:p w14:paraId="788006E5" w14:textId="77777777" w:rsidR="00220D3E" w:rsidRPr="00511005" w:rsidRDefault="00220D3E" w:rsidP="003A292D">
      <w:pPr>
        <w:tabs>
          <w:tab w:val="left" w:pos="709"/>
        </w:tabs>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Таким чином, виконання рішень міжнародних судових інституцій в умовах збройної агресії проти України є надзвичайно складним, але водночас критично важливим завданням. Виклики, що виникають на цьому шляху, потребують комплексного підходу, який охоплює як реформування внутрішніх правових процедур, так і активізацію міжнародної співпраці. Україна має продовжувати курс на забезпечення верховенства права на міжнародному рівні, розширення доказової бази щодо воєнних злочинів, а також посилення правового і політичного тиску на державу-агресора з метою реалізації прийнятих рішень.</w:t>
      </w:r>
    </w:p>
    <w:p w14:paraId="629581B7"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bidi="uk-UA"/>
        </w:rPr>
      </w:pPr>
    </w:p>
    <w:p w14:paraId="1C9E3382"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bidi="uk-UA"/>
        </w:rPr>
      </w:pPr>
      <w:r w:rsidRPr="00511005">
        <w:rPr>
          <w:rFonts w:ascii="Arial" w:eastAsia="Times New Roman" w:hAnsi="Arial" w:cs="Arial"/>
          <w:b/>
          <w:szCs w:val="28"/>
          <w:lang w:val="en-US" w:eastAsia="ru-RU" w:bidi="uk-UA"/>
        </w:rPr>
        <w:t>C</w:t>
      </w:r>
      <w:r w:rsidRPr="00511005">
        <w:rPr>
          <w:rFonts w:ascii="Arial" w:eastAsia="Times New Roman" w:hAnsi="Arial" w:cs="Arial"/>
          <w:b/>
          <w:szCs w:val="28"/>
          <w:lang w:val="uk-UA" w:eastAsia="ru-RU" w:bidi="uk-UA"/>
        </w:rPr>
        <w:t>писок використаних джерел</w:t>
      </w:r>
    </w:p>
    <w:p w14:paraId="457E5BF0" w14:textId="77777777" w:rsidR="007B2628" w:rsidRPr="00511005" w:rsidRDefault="00220D3E" w:rsidP="003F6A5D">
      <w:pPr>
        <w:numPr>
          <w:ilvl w:val="0"/>
          <w:numId w:val="162"/>
        </w:numPr>
        <w:tabs>
          <w:tab w:val="left" w:pos="709"/>
          <w:tab w:val="left" w:pos="993"/>
        </w:tabs>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bCs/>
          <w:szCs w:val="28"/>
        </w:rPr>
        <w:t xml:space="preserve">Конституція України: </w:t>
      </w:r>
      <w:r w:rsidRPr="00511005">
        <w:rPr>
          <w:rFonts w:ascii="Arial" w:eastAsia="Calibri" w:hAnsi="Arial" w:cs="Arial"/>
          <w:bCs/>
          <w:szCs w:val="28"/>
          <w:lang w:val="uk-UA"/>
        </w:rPr>
        <w:t>Закон від 28 черв. 1996 р. № 254к</w:t>
      </w:r>
      <w:r w:rsidRPr="00511005">
        <w:rPr>
          <w:rFonts w:ascii="Arial" w:eastAsia="Calibri" w:hAnsi="Arial" w:cs="Arial"/>
          <w:bCs/>
          <w:szCs w:val="28"/>
        </w:rPr>
        <w:t>/</w:t>
      </w:r>
      <w:r w:rsidRPr="00511005">
        <w:rPr>
          <w:rFonts w:ascii="Arial" w:eastAsia="Calibri" w:hAnsi="Arial" w:cs="Arial"/>
          <w:bCs/>
          <w:szCs w:val="28"/>
          <w:lang w:val="uk-UA"/>
        </w:rPr>
        <w:t xml:space="preserve">96-ВР. </w:t>
      </w:r>
      <w:r w:rsidRPr="00511005">
        <w:rPr>
          <w:rFonts w:ascii="Arial" w:eastAsia="Calibri" w:hAnsi="Arial" w:cs="Arial"/>
          <w:bCs/>
          <w:szCs w:val="28"/>
        </w:rPr>
        <w:t xml:space="preserve">URL: https://zakon.rada.gov.ua/laws/show/254к/96-вр (дата звернення: </w:t>
      </w:r>
      <w:r w:rsidRPr="00511005">
        <w:rPr>
          <w:rFonts w:ascii="Arial" w:eastAsia="Calibri" w:hAnsi="Arial" w:cs="Arial"/>
          <w:bCs/>
          <w:szCs w:val="28"/>
          <w:lang w:val="uk-UA"/>
        </w:rPr>
        <w:t>1</w:t>
      </w:r>
      <w:r w:rsidRPr="00511005">
        <w:rPr>
          <w:rFonts w:ascii="Arial" w:eastAsia="Calibri" w:hAnsi="Arial" w:cs="Arial"/>
          <w:bCs/>
          <w:szCs w:val="28"/>
        </w:rPr>
        <w:t>9</w:t>
      </w:r>
      <w:r w:rsidRPr="00511005">
        <w:rPr>
          <w:rFonts w:ascii="Arial" w:eastAsia="Calibri" w:hAnsi="Arial" w:cs="Arial"/>
          <w:bCs/>
          <w:szCs w:val="28"/>
          <w:lang w:val="uk-UA"/>
        </w:rPr>
        <w:t xml:space="preserve"> квіт</w:t>
      </w:r>
      <w:r w:rsidRPr="00511005">
        <w:rPr>
          <w:rFonts w:ascii="Arial" w:eastAsia="Calibri" w:hAnsi="Arial" w:cs="Arial"/>
          <w:bCs/>
          <w:szCs w:val="28"/>
        </w:rPr>
        <w:t>.</w:t>
      </w:r>
      <w:r w:rsidRPr="00511005">
        <w:rPr>
          <w:rFonts w:ascii="Arial" w:eastAsia="Calibri" w:hAnsi="Arial" w:cs="Arial"/>
          <w:bCs/>
          <w:szCs w:val="28"/>
          <w:lang w:val="uk-UA"/>
        </w:rPr>
        <w:t xml:space="preserve"> </w:t>
      </w:r>
      <w:r w:rsidRPr="00511005">
        <w:rPr>
          <w:rFonts w:ascii="Arial" w:eastAsia="Calibri" w:hAnsi="Arial" w:cs="Arial"/>
          <w:bCs/>
          <w:szCs w:val="28"/>
        </w:rPr>
        <w:t>2025)</w:t>
      </w:r>
    </w:p>
    <w:p w14:paraId="0DA92AA5" w14:textId="715ADA87" w:rsidR="00220D3E" w:rsidRPr="00511005" w:rsidRDefault="00220D3E" w:rsidP="003F6A5D">
      <w:pPr>
        <w:widowControl w:val="0"/>
        <w:numPr>
          <w:ilvl w:val="0"/>
          <w:numId w:val="162"/>
        </w:numPr>
        <w:tabs>
          <w:tab w:val="left" w:pos="709"/>
          <w:tab w:val="left" w:pos="993"/>
        </w:tabs>
        <w:autoSpaceDE w:val="0"/>
        <w:autoSpaceDN w:val="0"/>
        <w:adjustRightInd w:val="0"/>
        <w:spacing w:line="264" w:lineRule="auto"/>
        <w:ind w:left="0" w:firstLine="709"/>
        <w:contextualSpacing/>
        <w:jc w:val="left"/>
        <w:rPr>
          <w:rFonts w:ascii="Arial" w:eastAsia="Calibri" w:hAnsi="Arial" w:cs="Arial"/>
          <w:b/>
          <w:bCs/>
          <w:szCs w:val="28"/>
          <w:lang w:val="uk-UA" w:bidi="uk-UA"/>
        </w:rPr>
      </w:pPr>
      <w:r w:rsidRPr="00511005">
        <w:rPr>
          <w:rFonts w:ascii="Arial" w:eastAsia="Calibri" w:hAnsi="Arial" w:cs="Arial"/>
          <w:b/>
          <w:bCs/>
          <w:szCs w:val="28"/>
        </w:rPr>
        <w:t>Міжнародний кримінальний суд видав ордер на арешт Путіна</w:t>
      </w:r>
      <w:r w:rsidRPr="00511005">
        <w:rPr>
          <w:rFonts w:ascii="Arial" w:eastAsia="Calibri" w:hAnsi="Arial" w:cs="Arial"/>
          <w:b/>
          <w:bCs/>
          <w:szCs w:val="28"/>
          <w:lang w:val="uk-UA"/>
        </w:rPr>
        <w:t xml:space="preserve"> </w:t>
      </w:r>
      <w:r w:rsidRPr="00511005">
        <w:rPr>
          <w:rFonts w:ascii="Arial" w:eastAsia="Calibri" w:hAnsi="Arial" w:cs="Arial"/>
          <w:b/>
          <w:bCs/>
          <w:szCs w:val="28"/>
        </w:rPr>
        <w:t>[</w:t>
      </w:r>
      <w:r w:rsidRPr="00511005">
        <w:rPr>
          <w:rFonts w:ascii="Arial" w:eastAsia="Calibri" w:hAnsi="Arial" w:cs="Arial"/>
          <w:b/>
          <w:bCs/>
          <w:szCs w:val="28"/>
          <w:lang w:val="uk-UA"/>
        </w:rPr>
        <w:t>Електронний ресурс</w:t>
      </w:r>
      <w:r w:rsidRPr="00511005">
        <w:rPr>
          <w:rFonts w:ascii="Arial" w:eastAsia="Calibri" w:hAnsi="Arial" w:cs="Arial"/>
          <w:b/>
          <w:bCs/>
          <w:szCs w:val="28"/>
        </w:rPr>
        <w:t>]</w:t>
      </w:r>
      <w:r w:rsidRPr="00511005">
        <w:rPr>
          <w:rFonts w:ascii="Arial" w:eastAsia="Calibri" w:hAnsi="Arial" w:cs="Arial"/>
          <w:b/>
          <w:szCs w:val="28"/>
        </w:rPr>
        <w:t xml:space="preserve"> //</w:t>
      </w:r>
      <w:r w:rsidRPr="00511005">
        <w:rPr>
          <w:rFonts w:ascii="Arial" w:eastAsia="Calibri" w:hAnsi="Arial" w:cs="Arial"/>
          <w:szCs w:val="28"/>
        </w:rPr>
        <w:t xml:space="preserve"> </w:t>
      </w:r>
      <w:r w:rsidRPr="00511005">
        <w:rPr>
          <w:rFonts w:ascii="Arial" w:eastAsia="Calibri" w:hAnsi="Arial" w:cs="Arial"/>
          <w:szCs w:val="28"/>
          <w:lang w:val="uk-UA"/>
        </w:rPr>
        <w:t xml:space="preserve">Офіційне інтернет-представництво </w:t>
      </w:r>
      <w:r w:rsidRPr="00511005">
        <w:rPr>
          <w:rFonts w:ascii="Arial" w:eastAsia="Calibri" w:hAnsi="Arial" w:cs="Arial"/>
          <w:szCs w:val="28"/>
        </w:rPr>
        <w:t>Президент</w:t>
      </w:r>
      <w:r w:rsidRPr="00511005">
        <w:rPr>
          <w:rFonts w:ascii="Arial" w:eastAsia="Calibri" w:hAnsi="Arial" w:cs="Arial"/>
          <w:szCs w:val="28"/>
          <w:lang w:val="uk-UA"/>
        </w:rPr>
        <w:t>а</w:t>
      </w:r>
      <w:r w:rsidRPr="00511005">
        <w:rPr>
          <w:rFonts w:ascii="Arial" w:eastAsia="Calibri" w:hAnsi="Arial" w:cs="Arial"/>
          <w:szCs w:val="28"/>
        </w:rPr>
        <w:t xml:space="preserve"> України</w:t>
      </w:r>
      <w:r w:rsidRPr="00511005">
        <w:rPr>
          <w:rFonts w:ascii="Arial" w:eastAsia="Calibri" w:hAnsi="Arial" w:cs="Arial"/>
          <w:szCs w:val="28"/>
          <w:lang w:val="uk-UA"/>
        </w:rPr>
        <w:t>.</w:t>
      </w:r>
      <w:r w:rsidR="007B2628" w:rsidRPr="00511005">
        <w:rPr>
          <w:rFonts w:ascii="Arial" w:eastAsia="Calibri" w:hAnsi="Arial" w:cs="Arial"/>
          <w:szCs w:val="28"/>
          <w:lang w:val="uk-UA"/>
        </w:rPr>
        <w:t xml:space="preserve"> </w:t>
      </w:r>
      <w:r w:rsidRPr="00511005">
        <w:rPr>
          <w:rFonts w:ascii="Arial" w:eastAsia="Calibri" w:hAnsi="Arial" w:cs="Arial"/>
          <w:szCs w:val="28"/>
        </w:rPr>
        <w:t>17 берез</w:t>
      </w:r>
      <w:r w:rsidRPr="00511005">
        <w:rPr>
          <w:rFonts w:ascii="Arial" w:eastAsia="Calibri" w:hAnsi="Arial" w:cs="Arial"/>
          <w:szCs w:val="28"/>
          <w:lang w:val="uk-UA"/>
        </w:rPr>
        <w:t xml:space="preserve">. </w:t>
      </w:r>
      <w:r w:rsidRPr="00511005">
        <w:rPr>
          <w:rFonts w:ascii="Arial" w:eastAsia="Calibri" w:hAnsi="Arial" w:cs="Arial"/>
          <w:szCs w:val="28"/>
        </w:rPr>
        <w:t>2023</w:t>
      </w:r>
      <w:r w:rsidRPr="00511005">
        <w:rPr>
          <w:rFonts w:ascii="Arial" w:eastAsia="Calibri" w:hAnsi="Arial" w:cs="Arial"/>
          <w:szCs w:val="28"/>
          <w:lang w:val="uk-UA"/>
        </w:rPr>
        <w:t xml:space="preserve"> р</w:t>
      </w:r>
      <w:r w:rsidRPr="00511005">
        <w:rPr>
          <w:rFonts w:ascii="Arial" w:eastAsia="Calibri" w:hAnsi="Arial" w:cs="Arial"/>
          <w:szCs w:val="28"/>
        </w:rPr>
        <w:t xml:space="preserve">. URL: </w:t>
      </w:r>
      <w:hyperlink r:id="rId445" w:tgtFrame="_new" w:history="1">
        <w:r w:rsidRPr="00511005">
          <w:rPr>
            <w:rFonts w:ascii="Arial" w:eastAsia="Calibri" w:hAnsi="Arial" w:cs="Arial"/>
            <w:szCs w:val="28"/>
          </w:rPr>
          <w:t>https://www.president.gov.ua/news/mizhnarodnij-kriminalnij-sud-vidav-order-na-aresht-putina-is-81665</w:t>
        </w:r>
      </w:hyperlink>
      <w:r w:rsidRPr="00511005">
        <w:rPr>
          <w:rFonts w:ascii="Arial" w:eastAsia="Calibri" w:hAnsi="Arial" w:cs="Arial"/>
          <w:szCs w:val="28"/>
        </w:rPr>
        <w:t xml:space="preserve"> (дата звернення: </w:t>
      </w:r>
      <w:r w:rsidRPr="00511005">
        <w:rPr>
          <w:rFonts w:ascii="Arial" w:eastAsia="Calibri" w:hAnsi="Arial" w:cs="Arial"/>
          <w:szCs w:val="28"/>
          <w:lang w:val="uk-UA"/>
        </w:rPr>
        <w:t>1</w:t>
      </w:r>
      <w:r w:rsidRPr="00511005">
        <w:rPr>
          <w:rFonts w:ascii="Arial" w:eastAsia="Calibri" w:hAnsi="Arial" w:cs="Arial"/>
          <w:szCs w:val="28"/>
        </w:rPr>
        <w:t xml:space="preserve">9 </w:t>
      </w:r>
      <w:r w:rsidRPr="00511005">
        <w:rPr>
          <w:rFonts w:ascii="Arial" w:eastAsia="Calibri" w:hAnsi="Arial" w:cs="Arial"/>
          <w:szCs w:val="28"/>
          <w:lang w:val="uk-UA"/>
        </w:rPr>
        <w:t>квіт</w:t>
      </w:r>
      <w:r w:rsidRPr="00511005">
        <w:rPr>
          <w:rFonts w:ascii="Arial" w:eastAsia="Calibri" w:hAnsi="Arial" w:cs="Arial"/>
          <w:szCs w:val="28"/>
        </w:rPr>
        <w:t>.</w:t>
      </w:r>
      <w:r w:rsidRPr="00511005">
        <w:rPr>
          <w:rFonts w:ascii="Arial" w:eastAsia="Calibri" w:hAnsi="Arial" w:cs="Arial"/>
          <w:szCs w:val="28"/>
          <w:lang w:val="uk-UA"/>
        </w:rPr>
        <w:t xml:space="preserve"> </w:t>
      </w:r>
      <w:r w:rsidRPr="00511005">
        <w:rPr>
          <w:rFonts w:ascii="Arial" w:eastAsia="Calibri" w:hAnsi="Arial" w:cs="Arial"/>
          <w:szCs w:val="28"/>
        </w:rPr>
        <w:t>2025)</w:t>
      </w:r>
    </w:p>
    <w:p w14:paraId="2DD5A813" w14:textId="743CD4B7" w:rsidR="00220D3E" w:rsidRPr="00511005" w:rsidRDefault="00220D3E" w:rsidP="003F6A5D">
      <w:pPr>
        <w:widowControl w:val="0"/>
        <w:numPr>
          <w:ilvl w:val="0"/>
          <w:numId w:val="162"/>
        </w:numPr>
        <w:tabs>
          <w:tab w:val="left" w:pos="709"/>
          <w:tab w:val="left" w:pos="993"/>
        </w:tabs>
        <w:autoSpaceDE w:val="0"/>
        <w:autoSpaceDN w:val="0"/>
        <w:adjustRightInd w:val="0"/>
        <w:spacing w:line="264" w:lineRule="auto"/>
        <w:ind w:left="0" w:firstLine="709"/>
        <w:contextualSpacing/>
        <w:jc w:val="left"/>
        <w:rPr>
          <w:rFonts w:ascii="Arial" w:eastAsia="Calibri" w:hAnsi="Arial" w:cs="Arial"/>
          <w:b/>
          <w:bCs/>
          <w:szCs w:val="28"/>
          <w:lang w:val="uk-UA" w:bidi="uk-UA"/>
        </w:rPr>
      </w:pPr>
      <w:r w:rsidRPr="00511005">
        <w:rPr>
          <w:rFonts w:ascii="Arial" w:eastAsia="Calibri" w:hAnsi="Arial" w:cs="Arial"/>
          <w:bCs/>
          <w:szCs w:val="28"/>
          <w:lang w:val="uk-UA" w:bidi="uk-UA"/>
        </w:rPr>
        <w:t xml:space="preserve">Повар П. Виклики адаптації українського законодавства до європейських стандартів в умовах воєнного стану // Актуальні питання та перспективи інноваційного розвитку науки та освіти в умовах євроінтеграції : зб. тез доповідей учасн. </w:t>
      </w:r>
      <w:r w:rsidRPr="00511005">
        <w:rPr>
          <w:rFonts w:ascii="Arial" w:eastAsia="Calibri" w:hAnsi="Arial" w:cs="Arial"/>
          <w:bCs/>
          <w:szCs w:val="28"/>
          <w:lang w:bidi="uk-UA"/>
        </w:rPr>
        <w:t xml:space="preserve">Міжнар. наук.-практ. конф. (м. Рівне, 14 листоп. 2024 р.) </w:t>
      </w:r>
      <w:proofErr w:type="gramStart"/>
      <w:r w:rsidRPr="00511005">
        <w:rPr>
          <w:rFonts w:ascii="Arial" w:eastAsia="Calibri" w:hAnsi="Arial" w:cs="Arial"/>
          <w:bCs/>
          <w:szCs w:val="28"/>
          <w:lang w:bidi="uk-UA"/>
        </w:rPr>
        <w:t>Рівне :</w:t>
      </w:r>
      <w:proofErr w:type="gramEnd"/>
      <w:r w:rsidRPr="00511005">
        <w:rPr>
          <w:rFonts w:ascii="Arial" w:eastAsia="Calibri" w:hAnsi="Arial" w:cs="Arial"/>
          <w:bCs/>
          <w:szCs w:val="28"/>
          <w:lang w:bidi="uk-UA"/>
        </w:rPr>
        <w:t xml:space="preserve"> МЕГУ, 2024.</w:t>
      </w:r>
      <w:r w:rsidR="007B2628" w:rsidRPr="00511005">
        <w:rPr>
          <w:rFonts w:ascii="Arial" w:eastAsia="Calibri" w:hAnsi="Arial" w:cs="Arial"/>
          <w:bCs/>
          <w:szCs w:val="28"/>
          <w:lang w:bidi="uk-UA"/>
        </w:rPr>
        <w:t xml:space="preserve"> </w:t>
      </w:r>
      <w:r w:rsidRPr="00511005">
        <w:rPr>
          <w:rFonts w:ascii="Arial" w:eastAsia="Calibri" w:hAnsi="Arial" w:cs="Arial"/>
          <w:bCs/>
          <w:szCs w:val="28"/>
          <w:lang w:bidi="uk-UA"/>
        </w:rPr>
        <w:t>Ч</w:t>
      </w:r>
      <w:r w:rsidRPr="00511005">
        <w:rPr>
          <w:rFonts w:ascii="Arial" w:eastAsia="Calibri" w:hAnsi="Arial" w:cs="Arial"/>
          <w:bCs/>
          <w:szCs w:val="28"/>
          <w:lang w:val="uk-UA" w:bidi="uk-UA"/>
        </w:rPr>
        <w:t>.</w:t>
      </w:r>
      <w:r w:rsidRPr="00511005">
        <w:rPr>
          <w:rFonts w:ascii="Arial" w:eastAsia="Calibri" w:hAnsi="Arial" w:cs="Arial"/>
          <w:bCs/>
          <w:szCs w:val="28"/>
          <w:lang w:bidi="uk-UA"/>
        </w:rPr>
        <w:t>І.</w:t>
      </w:r>
      <w:r w:rsidR="007B2628" w:rsidRPr="00511005">
        <w:rPr>
          <w:rFonts w:ascii="Arial" w:eastAsia="Calibri" w:hAnsi="Arial" w:cs="Arial"/>
          <w:bCs/>
          <w:szCs w:val="28"/>
          <w:lang w:bidi="uk-UA"/>
        </w:rPr>
        <w:t xml:space="preserve"> </w:t>
      </w:r>
      <w:r w:rsidRPr="00511005">
        <w:rPr>
          <w:rFonts w:ascii="Arial" w:eastAsia="Calibri" w:hAnsi="Arial" w:cs="Arial"/>
          <w:bCs/>
          <w:szCs w:val="28"/>
          <w:lang w:bidi="uk-UA"/>
        </w:rPr>
        <w:t>С. 51-53.</w:t>
      </w:r>
      <w:r w:rsidR="007B2628" w:rsidRPr="00511005">
        <w:rPr>
          <w:rFonts w:ascii="Arial" w:eastAsia="Calibri" w:hAnsi="Arial" w:cs="Arial"/>
          <w:bCs/>
          <w:szCs w:val="28"/>
          <w:lang w:bidi="uk-UA"/>
        </w:rPr>
        <w:t xml:space="preserve"> </w:t>
      </w:r>
      <w:r w:rsidRPr="00511005">
        <w:rPr>
          <w:rFonts w:ascii="Arial" w:eastAsia="Calibri" w:hAnsi="Arial" w:cs="Arial"/>
          <w:szCs w:val="28"/>
        </w:rPr>
        <w:t xml:space="preserve">URL: </w:t>
      </w:r>
      <w:hyperlink r:id="rId446" w:history="1">
        <w:r w:rsidRPr="00511005">
          <w:rPr>
            <w:rFonts w:ascii="Arial" w:eastAsia="Calibri" w:hAnsi="Arial" w:cs="Arial"/>
            <w:bCs/>
            <w:szCs w:val="28"/>
            <w:lang w:val="en-US" w:bidi="uk-UA"/>
          </w:rPr>
          <w:t>http</w:t>
        </w:r>
        <w:r w:rsidRPr="00511005">
          <w:rPr>
            <w:rFonts w:ascii="Arial" w:eastAsia="Calibri" w:hAnsi="Arial" w:cs="Arial"/>
            <w:bCs/>
            <w:szCs w:val="28"/>
            <w:lang w:bidi="uk-UA"/>
          </w:rPr>
          <w:t>://</w:t>
        </w:r>
        <w:r w:rsidRPr="00511005">
          <w:rPr>
            <w:rFonts w:ascii="Arial" w:eastAsia="Calibri" w:hAnsi="Arial" w:cs="Arial"/>
            <w:bCs/>
            <w:szCs w:val="28"/>
            <w:lang w:val="en-US" w:bidi="uk-UA"/>
          </w:rPr>
          <w:t>dspace</w:t>
        </w:r>
        <w:r w:rsidRPr="00511005">
          <w:rPr>
            <w:rFonts w:ascii="Arial" w:eastAsia="Calibri" w:hAnsi="Arial" w:cs="Arial"/>
            <w:bCs/>
            <w:szCs w:val="28"/>
            <w:lang w:bidi="uk-UA"/>
          </w:rPr>
          <w:t>.</w:t>
        </w:r>
        <w:r w:rsidRPr="00511005">
          <w:rPr>
            <w:rFonts w:ascii="Arial" w:eastAsia="Calibri" w:hAnsi="Arial" w:cs="Arial"/>
            <w:bCs/>
            <w:szCs w:val="28"/>
            <w:lang w:val="en-US" w:bidi="uk-UA"/>
          </w:rPr>
          <w:t>megu</w:t>
        </w:r>
        <w:r w:rsidRPr="00511005">
          <w:rPr>
            <w:rFonts w:ascii="Arial" w:eastAsia="Calibri" w:hAnsi="Arial" w:cs="Arial"/>
            <w:bCs/>
            <w:szCs w:val="28"/>
            <w:lang w:bidi="uk-UA"/>
          </w:rPr>
          <w:t>.</w:t>
        </w:r>
        <w:r w:rsidRPr="00511005">
          <w:rPr>
            <w:rFonts w:ascii="Arial" w:eastAsia="Calibri" w:hAnsi="Arial" w:cs="Arial"/>
            <w:bCs/>
            <w:szCs w:val="28"/>
            <w:lang w:val="en-US" w:bidi="uk-UA"/>
          </w:rPr>
          <w:t>edu</w:t>
        </w:r>
        <w:r w:rsidRPr="00511005">
          <w:rPr>
            <w:rFonts w:ascii="Arial" w:eastAsia="Calibri" w:hAnsi="Arial" w:cs="Arial"/>
            <w:bCs/>
            <w:szCs w:val="28"/>
            <w:lang w:bidi="uk-UA"/>
          </w:rPr>
          <w:t>.</w:t>
        </w:r>
        <w:r w:rsidRPr="00511005">
          <w:rPr>
            <w:rFonts w:ascii="Arial" w:eastAsia="Calibri" w:hAnsi="Arial" w:cs="Arial"/>
            <w:bCs/>
            <w:szCs w:val="28"/>
            <w:lang w:val="en-US" w:bidi="uk-UA"/>
          </w:rPr>
          <w:t>ua</w:t>
        </w:r>
        <w:r w:rsidRPr="00511005">
          <w:rPr>
            <w:rFonts w:ascii="Arial" w:eastAsia="Calibri" w:hAnsi="Arial" w:cs="Arial"/>
            <w:bCs/>
            <w:szCs w:val="28"/>
            <w:lang w:bidi="uk-UA"/>
          </w:rPr>
          <w:t>:8080/</w:t>
        </w:r>
        <w:r w:rsidRPr="00511005">
          <w:rPr>
            <w:rFonts w:ascii="Arial" w:eastAsia="Calibri" w:hAnsi="Arial" w:cs="Arial"/>
            <w:bCs/>
            <w:szCs w:val="28"/>
            <w:lang w:val="en-US" w:bidi="uk-UA"/>
          </w:rPr>
          <w:t>jspui</w:t>
        </w:r>
        <w:r w:rsidRPr="00511005">
          <w:rPr>
            <w:rFonts w:ascii="Arial" w:eastAsia="Calibri" w:hAnsi="Arial" w:cs="Arial"/>
            <w:bCs/>
            <w:szCs w:val="28"/>
            <w:lang w:bidi="uk-UA"/>
          </w:rPr>
          <w:t>/</w:t>
        </w:r>
        <w:r w:rsidRPr="00511005">
          <w:rPr>
            <w:rFonts w:ascii="Arial" w:eastAsia="Calibri" w:hAnsi="Arial" w:cs="Arial"/>
            <w:bCs/>
            <w:szCs w:val="28"/>
            <w:lang w:val="en-US" w:bidi="uk-UA"/>
          </w:rPr>
          <w:t>handle</w:t>
        </w:r>
        <w:r w:rsidRPr="00511005">
          <w:rPr>
            <w:rFonts w:ascii="Arial" w:eastAsia="Calibri" w:hAnsi="Arial" w:cs="Arial"/>
            <w:bCs/>
            <w:szCs w:val="28"/>
            <w:lang w:bidi="uk-UA"/>
          </w:rPr>
          <w:t>/123456789/5231</w:t>
        </w:r>
      </w:hyperlink>
      <w:r w:rsidRPr="00511005">
        <w:rPr>
          <w:rFonts w:ascii="Arial" w:eastAsia="Calibri" w:hAnsi="Arial" w:cs="Arial"/>
          <w:bCs/>
          <w:szCs w:val="28"/>
          <w:lang w:bidi="uk-UA"/>
        </w:rPr>
        <w:t xml:space="preserve"> </w:t>
      </w:r>
      <w:r w:rsidRPr="00511005">
        <w:rPr>
          <w:rFonts w:ascii="Arial" w:eastAsia="Calibri" w:hAnsi="Arial" w:cs="Arial"/>
          <w:szCs w:val="28"/>
        </w:rPr>
        <w:t xml:space="preserve">(дата звернення: 29 </w:t>
      </w:r>
      <w:r w:rsidRPr="00511005">
        <w:rPr>
          <w:rFonts w:ascii="Arial" w:eastAsia="Calibri" w:hAnsi="Arial" w:cs="Arial"/>
          <w:szCs w:val="28"/>
          <w:lang w:val="uk-UA"/>
        </w:rPr>
        <w:t>квіт</w:t>
      </w:r>
      <w:r w:rsidRPr="00511005">
        <w:rPr>
          <w:rFonts w:ascii="Arial" w:eastAsia="Calibri" w:hAnsi="Arial" w:cs="Arial"/>
          <w:szCs w:val="28"/>
        </w:rPr>
        <w:t>.</w:t>
      </w:r>
      <w:r w:rsidRPr="00511005">
        <w:rPr>
          <w:rFonts w:ascii="Arial" w:eastAsia="Calibri" w:hAnsi="Arial" w:cs="Arial"/>
          <w:szCs w:val="28"/>
          <w:lang w:val="uk-UA"/>
        </w:rPr>
        <w:t xml:space="preserve"> </w:t>
      </w:r>
      <w:r w:rsidRPr="00511005">
        <w:rPr>
          <w:rFonts w:ascii="Arial" w:eastAsia="Calibri" w:hAnsi="Arial" w:cs="Arial"/>
          <w:szCs w:val="28"/>
        </w:rPr>
        <w:t>2025)</w:t>
      </w:r>
    </w:p>
    <w:p w14:paraId="789DBA37" w14:textId="77777777" w:rsidR="00220D3E" w:rsidRPr="00511005" w:rsidRDefault="00220D3E" w:rsidP="003F6A5D">
      <w:pPr>
        <w:widowControl w:val="0"/>
        <w:numPr>
          <w:ilvl w:val="0"/>
          <w:numId w:val="162"/>
        </w:numPr>
        <w:tabs>
          <w:tab w:val="left" w:pos="709"/>
          <w:tab w:val="left" w:pos="993"/>
        </w:tabs>
        <w:autoSpaceDE w:val="0"/>
        <w:autoSpaceDN w:val="0"/>
        <w:adjustRightInd w:val="0"/>
        <w:spacing w:line="264" w:lineRule="auto"/>
        <w:ind w:left="0" w:firstLine="709"/>
        <w:contextualSpacing/>
        <w:jc w:val="left"/>
        <w:rPr>
          <w:rFonts w:ascii="Arial" w:eastAsia="Calibri" w:hAnsi="Arial" w:cs="Arial"/>
          <w:b/>
          <w:bCs/>
          <w:szCs w:val="28"/>
          <w:lang w:val="uk-UA" w:bidi="uk-UA"/>
        </w:rPr>
      </w:pPr>
      <w:r w:rsidRPr="00511005">
        <w:rPr>
          <w:rFonts w:ascii="Arial" w:eastAsia="Calibri" w:hAnsi="Arial" w:cs="Arial"/>
          <w:b/>
          <w:bCs/>
          <w:szCs w:val="28"/>
        </w:rPr>
        <w:t>Про виконання рішень та застосування практики Європейського суду з прав людини:</w:t>
      </w:r>
      <w:r w:rsidRPr="00511005">
        <w:rPr>
          <w:rFonts w:ascii="Arial" w:eastAsia="Calibri" w:hAnsi="Arial" w:cs="Arial"/>
          <w:b/>
          <w:bCs/>
          <w:szCs w:val="28"/>
          <w:lang w:val="uk-UA"/>
        </w:rPr>
        <w:t xml:space="preserve"> Закон України</w:t>
      </w:r>
      <w:r w:rsidRPr="00511005">
        <w:rPr>
          <w:rFonts w:ascii="Arial" w:eastAsia="Calibri" w:hAnsi="Arial" w:cs="Arial"/>
          <w:szCs w:val="28"/>
        </w:rPr>
        <w:t xml:space="preserve"> від 23</w:t>
      </w:r>
      <w:r w:rsidRPr="00511005">
        <w:rPr>
          <w:rFonts w:ascii="Arial" w:eastAsia="Calibri" w:hAnsi="Arial" w:cs="Arial"/>
          <w:szCs w:val="28"/>
          <w:lang w:val="uk-UA"/>
        </w:rPr>
        <w:t xml:space="preserve"> лют</w:t>
      </w:r>
      <w:r w:rsidRPr="00511005">
        <w:rPr>
          <w:rFonts w:ascii="Arial" w:eastAsia="Calibri" w:hAnsi="Arial" w:cs="Arial"/>
          <w:szCs w:val="28"/>
        </w:rPr>
        <w:t>.</w:t>
      </w:r>
      <w:r w:rsidRPr="00511005">
        <w:rPr>
          <w:rFonts w:ascii="Arial" w:eastAsia="Calibri" w:hAnsi="Arial" w:cs="Arial"/>
          <w:szCs w:val="28"/>
          <w:lang w:val="uk-UA"/>
        </w:rPr>
        <w:t xml:space="preserve"> </w:t>
      </w:r>
      <w:r w:rsidRPr="00511005">
        <w:rPr>
          <w:rFonts w:ascii="Arial" w:eastAsia="Calibri" w:hAnsi="Arial" w:cs="Arial"/>
          <w:szCs w:val="28"/>
        </w:rPr>
        <w:t>2006</w:t>
      </w:r>
      <w:r w:rsidRPr="00511005">
        <w:rPr>
          <w:rFonts w:ascii="Arial" w:eastAsia="Calibri" w:hAnsi="Arial" w:cs="Arial"/>
          <w:szCs w:val="28"/>
          <w:lang w:val="uk-UA"/>
        </w:rPr>
        <w:t xml:space="preserve"> р.</w:t>
      </w:r>
      <w:r w:rsidRPr="00511005">
        <w:rPr>
          <w:rFonts w:ascii="Arial" w:eastAsia="Calibri" w:hAnsi="Arial" w:cs="Arial"/>
          <w:szCs w:val="28"/>
        </w:rPr>
        <w:t xml:space="preserve"> № 3477-IV</w:t>
      </w:r>
      <w:r w:rsidRPr="00511005">
        <w:rPr>
          <w:rFonts w:ascii="Arial" w:eastAsia="Calibri" w:hAnsi="Arial" w:cs="Arial"/>
          <w:szCs w:val="28"/>
          <w:lang w:val="uk-UA"/>
        </w:rPr>
        <w:t>-ВР</w:t>
      </w:r>
      <w:r w:rsidRPr="00511005">
        <w:rPr>
          <w:rFonts w:ascii="Arial" w:eastAsia="Calibri" w:hAnsi="Arial" w:cs="Arial"/>
          <w:szCs w:val="28"/>
        </w:rPr>
        <w:t xml:space="preserve">. URL: </w:t>
      </w:r>
      <w:hyperlink r:id="rId447" w:tgtFrame="_new" w:history="1">
        <w:r w:rsidRPr="00511005">
          <w:rPr>
            <w:rFonts w:ascii="Arial" w:eastAsia="Calibri" w:hAnsi="Arial" w:cs="Arial"/>
            <w:szCs w:val="28"/>
          </w:rPr>
          <w:t>https://zakon.rada.gov.ua/go/3477-15</w:t>
        </w:r>
      </w:hyperlink>
      <w:r w:rsidRPr="00511005">
        <w:rPr>
          <w:rFonts w:ascii="Arial" w:eastAsia="Calibri" w:hAnsi="Arial" w:cs="Arial"/>
          <w:szCs w:val="28"/>
        </w:rPr>
        <w:t xml:space="preserve"> (дата звернення: </w:t>
      </w:r>
      <w:r w:rsidRPr="00511005">
        <w:rPr>
          <w:rFonts w:ascii="Arial" w:eastAsia="Calibri" w:hAnsi="Arial" w:cs="Arial"/>
          <w:szCs w:val="28"/>
          <w:lang w:val="uk-UA"/>
        </w:rPr>
        <w:t>1</w:t>
      </w:r>
      <w:r w:rsidRPr="00511005">
        <w:rPr>
          <w:rFonts w:ascii="Arial" w:eastAsia="Calibri" w:hAnsi="Arial" w:cs="Arial"/>
          <w:szCs w:val="28"/>
        </w:rPr>
        <w:t>9</w:t>
      </w:r>
      <w:r w:rsidRPr="00511005">
        <w:rPr>
          <w:rFonts w:ascii="Arial" w:eastAsia="Calibri" w:hAnsi="Arial" w:cs="Arial"/>
          <w:szCs w:val="28"/>
          <w:lang w:val="uk-UA"/>
        </w:rPr>
        <w:t xml:space="preserve"> квіт</w:t>
      </w:r>
      <w:r w:rsidRPr="00511005">
        <w:rPr>
          <w:rFonts w:ascii="Arial" w:eastAsia="Calibri" w:hAnsi="Arial" w:cs="Arial"/>
          <w:szCs w:val="28"/>
        </w:rPr>
        <w:t>.</w:t>
      </w:r>
      <w:r w:rsidRPr="00511005">
        <w:rPr>
          <w:rFonts w:ascii="Arial" w:eastAsia="Calibri" w:hAnsi="Arial" w:cs="Arial"/>
          <w:szCs w:val="28"/>
          <w:lang w:val="uk-UA"/>
        </w:rPr>
        <w:t xml:space="preserve"> </w:t>
      </w:r>
      <w:r w:rsidRPr="00511005">
        <w:rPr>
          <w:rFonts w:ascii="Arial" w:eastAsia="Calibri" w:hAnsi="Arial" w:cs="Arial"/>
          <w:szCs w:val="28"/>
        </w:rPr>
        <w:t>2025)</w:t>
      </w:r>
    </w:p>
    <w:p w14:paraId="55FDBD99"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025F8CE6" w14:textId="4A80F5D1"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виконання рішень, міжнародні судові інституції, збройна агресія, міжнародне право, міжнародне правосуддя, дипломатичний тиск, порушення прав людини.</w:t>
      </w:r>
    </w:p>
    <w:p w14:paraId="26ACFFC4" w14:textId="6A66B977" w:rsidR="00220D3E" w:rsidRPr="00511005" w:rsidRDefault="007B2628" w:rsidP="003A292D">
      <w:pPr>
        <w:tabs>
          <w:tab w:val="left" w:pos="709"/>
        </w:tabs>
        <w:spacing w:line="264" w:lineRule="auto"/>
        <w:rPr>
          <w:rFonts w:ascii="Arial" w:eastAsia="Times New Roman" w:hAnsi="Arial" w:cs="Arial"/>
          <w:b/>
          <w:szCs w:val="28"/>
          <w:lang w:val="uk-UA" w:eastAsia="ru-RU" w:bidi="uk-UA"/>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enforcement</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of</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decisions</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international</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judicial</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institutions</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armed</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aggression</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international</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law</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international</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justice</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diplomatic</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pressure</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human</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rights</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violations</w:t>
      </w:r>
      <w:r w:rsidR="00220D3E" w:rsidRPr="00511005">
        <w:rPr>
          <w:rFonts w:ascii="Arial" w:eastAsia="Times New Roman" w:hAnsi="Arial" w:cs="Arial"/>
          <w:szCs w:val="28"/>
          <w:lang w:val="uk-UA" w:eastAsia="ru-RU"/>
        </w:rPr>
        <w:t>.</w:t>
      </w:r>
    </w:p>
    <w:p w14:paraId="55DCBC20" w14:textId="09CE9D48" w:rsidR="00220D3E" w:rsidRPr="00511005" w:rsidRDefault="007B2628" w:rsidP="003A292D">
      <w:pPr>
        <w:tabs>
          <w:tab w:val="left" w:pos="709"/>
        </w:tabs>
        <w:spacing w:line="264" w:lineRule="auto"/>
        <w:rPr>
          <w:rFonts w:ascii="Arial" w:eastAsia="Calibri" w:hAnsi="Arial" w:cs="Arial"/>
          <w:i/>
          <w:szCs w:val="28"/>
          <w:lang w:val="uk-UA" w:bidi="uk-UA"/>
        </w:rPr>
      </w:pPr>
      <w:r w:rsidRPr="00511005">
        <w:rPr>
          <w:rFonts w:ascii="Arial" w:eastAsia="Calibri" w:hAnsi="Arial" w:cs="Arial"/>
          <w:b/>
          <w:i/>
          <w:szCs w:val="28"/>
          <w:lang w:val="uk-UA" w:bidi="uk-UA"/>
        </w:rPr>
        <w:t xml:space="preserve">Науковий керівник: </w:t>
      </w:r>
      <w:r w:rsidR="00220D3E" w:rsidRPr="00511005">
        <w:rPr>
          <w:rFonts w:ascii="Arial" w:eastAsia="Calibri" w:hAnsi="Arial" w:cs="Arial"/>
          <w:i/>
          <w:szCs w:val="28"/>
          <w:lang w:val="uk-UA" w:bidi="uk-UA"/>
        </w:rPr>
        <w:t>к.ю.н., доцент Канєнберг-Сандул О.К.</w:t>
      </w:r>
    </w:p>
    <w:p w14:paraId="1029F1C4"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p>
    <w:p w14:paraId="342CB363" w14:textId="77777777" w:rsidR="00220D3E" w:rsidRPr="00511005" w:rsidRDefault="00220D3E" w:rsidP="003A292D">
      <w:pPr>
        <w:tabs>
          <w:tab w:val="left" w:pos="709"/>
        </w:tabs>
        <w:spacing w:line="264" w:lineRule="auto"/>
        <w:ind w:firstLine="142"/>
        <w:jc w:val="center"/>
        <w:rPr>
          <w:rFonts w:ascii="Arial" w:eastAsia="Times New Roman" w:hAnsi="Arial" w:cs="Arial"/>
          <w:b/>
          <w:i/>
          <w:szCs w:val="28"/>
          <w:lang w:val="uk-UA" w:eastAsia="ru-RU"/>
        </w:rPr>
      </w:pPr>
      <w:bookmarkStart w:id="51" w:name="_e7a0csslnyte" w:colFirst="0" w:colLast="0"/>
      <w:bookmarkEnd w:id="51"/>
      <w:r w:rsidRPr="00511005">
        <w:rPr>
          <w:rFonts w:ascii="Arial" w:eastAsia="Times New Roman" w:hAnsi="Arial" w:cs="Arial"/>
          <w:b/>
          <w:i/>
          <w:szCs w:val="28"/>
          <w:lang w:val="uk-UA" w:eastAsia="ru-RU"/>
        </w:rPr>
        <w:lastRenderedPageBreak/>
        <w:t>Кулага Валерія Вячеславівна</w:t>
      </w:r>
    </w:p>
    <w:p w14:paraId="31EAA5DF" w14:textId="6B27BBCC" w:rsidR="00220D3E" w:rsidRPr="00511005" w:rsidRDefault="00536AAB" w:rsidP="003A292D">
      <w:pPr>
        <w:tabs>
          <w:tab w:val="left" w:pos="709"/>
        </w:tabs>
        <w:spacing w:line="264" w:lineRule="auto"/>
        <w:ind w:firstLine="142"/>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4-го курсу </w:t>
      </w:r>
      <w:r w:rsidR="001B7B25" w:rsidRPr="00511005">
        <w:rPr>
          <w:rFonts w:ascii="Arial" w:eastAsia="Times New Roman" w:hAnsi="Arial" w:cs="Arial"/>
          <w:szCs w:val="28"/>
          <w:lang w:val="uk-UA" w:eastAsia="ru-RU"/>
        </w:rPr>
        <w:t>факультету судового та міжнародного права</w:t>
      </w:r>
    </w:p>
    <w:p w14:paraId="11EA2BBD" w14:textId="75CDFD7E" w:rsidR="00220D3E" w:rsidRPr="00511005" w:rsidRDefault="007B2628" w:rsidP="003A292D">
      <w:pPr>
        <w:tabs>
          <w:tab w:val="left" w:pos="709"/>
        </w:tabs>
        <w:spacing w:line="264" w:lineRule="auto"/>
        <w:ind w:firstLine="142"/>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A88F45F" w14:textId="1313A2E7" w:rsidR="00F45230" w:rsidRPr="00511005" w:rsidRDefault="00F45230" w:rsidP="003A292D">
      <w:pPr>
        <w:tabs>
          <w:tab w:val="left" w:pos="709"/>
        </w:tabs>
        <w:spacing w:line="264" w:lineRule="auto"/>
        <w:ind w:firstLine="142"/>
        <w:jc w:val="center"/>
        <w:rPr>
          <w:rFonts w:ascii="Arial" w:eastAsia="Times New Roman" w:hAnsi="Arial" w:cs="Arial"/>
          <w:szCs w:val="28"/>
          <w:lang w:val="uk-UA" w:eastAsia="ru-RU"/>
        </w:rPr>
      </w:pPr>
    </w:p>
    <w:p w14:paraId="735D28D8" w14:textId="07A16ED3" w:rsidR="00F45230" w:rsidRPr="00511005" w:rsidRDefault="00F45230" w:rsidP="003A292D">
      <w:pPr>
        <w:tabs>
          <w:tab w:val="left" w:pos="709"/>
        </w:tabs>
        <w:spacing w:line="264" w:lineRule="auto"/>
        <w:ind w:firstLine="142"/>
        <w:jc w:val="center"/>
        <w:rPr>
          <w:rFonts w:ascii="Arial" w:eastAsia="Times New Roman" w:hAnsi="Arial" w:cs="Arial"/>
          <w:szCs w:val="28"/>
          <w:lang w:val="uk-UA" w:eastAsia="ru-RU"/>
        </w:rPr>
      </w:pPr>
      <w:r w:rsidRPr="00511005">
        <w:rPr>
          <w:rFonts w:ascii="Arial" w:eastAsia="Times New Roman" w:hAnsi="Arial" w:cs="Arial"/>
          <w:b/>
          <w:szCs w:val="28"/>
          <w:lang w:eastAsia="ru-RU"/>
        </w:rPr>
        <w:t>МІЖНАРОДНО-ПРАВОВИЙ ЗАХИСТ ЖЕРТВ КАТУВАНЬ У КОНТЕКСТІ ВІЙНИ В УКРАЇНІ</w:t>
      </w:r>
    </w:p>
    <w:p w14:paraId="07424D7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Заборона катування належить до категорії абсолютних прав людини, заборонених міжнародним правом без жодних винятків. Навіть за умов надзвичайних ситуацій та станів, таких як збройний конфлікт чи загроза національній безпеці, заборона катувань залишається абсолютним правом людини. Ця норма закріплена в міжнародно-правових актах, таких як Конвенція проти катувань та інших жорстоких, нелюдських або таких, що принижують гідність, видів поводження і покарання 1984 року (далі Конвенція ООН проти катувань), Конвенція про захист прав людини і основоположних свобод 1950 року (далі Європейська конвенція з прав людини), та Женевській Конвенції 1949 року.</w:t>
      </w:r>
    </w:p>
    <w:p w14:paraId="15A368D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Повномасштабна війна в Україні призвела до масових випадків порушення прав людини, власне серед яких значний відсоток займають порушення заборони катувань. За таких обставин питання міжнародно-правового захисту жертв катувань отримав особливу актуальність у контексті війни в Україні. </w:t>
      </w:r>
    </w:p>
    <w:p w14:paraId="38FA9F7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Незважаючи на те, що як на національному рівні, так і в міжнародно-правових актах закріплена категорична заборона катувань, часто за такі порушення не відбувається проведення належного розслідування, а відповідно – відсутня відповідальність для винних.</w:t>
      </w:r>
    </w:p>
    <w:p w14:paraId="01C415B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Конвенція ООН проти катувань 1984 р. закріплює поняття до розуміння катування у статті 1 і визначає його як будь-яку дію, яка навмисно заподіює сильного болю або страждань, воно може бути як фізичне, так і моральне і здійснюється з метою отримання інформації, покарання особи, залякування або примусу до певних дій [1]. Важливою ознакою тут буде те, що катування повинні здійснювати державні посадові особи чи інші особи, які виступають як офіційні, або за їх мовчазної згоди. </w:t>
      </w:r>
    </w:p>
    <w:p w14:paraId="5A80ADA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Таке визначення підкреслює саме на прямому умислі заподіяння болю та страждань людині, а також на тому, що наявна конкретна мета, що є ключовим у визначенні що діяння являє собою саме катування, а не інші форми жорстокого поводження.</w:t>
      </w:r>
    </w:p>
    <w:p w14:paraId="159363D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Статтею 3</w:t>
      </w:r>
      <w:r w:rsidRPr="00511005">
        <w:rPr>
          <w:rFonts w:ascii="Arial" w:eastAsia="Times New Roman" w:hAnsi="Arial" w:cs="Arial"/>
          <w:szCs w:val="28"/>
          <w:lang w:eastAsia="ru-RU"/>
        </w:rPr>
        <w:t xml:space="preserve"> Європейської конвенції з прав людини </w:t>
      </w:r>
      <w:r w:rsidRPr="00511005">
        <w:rPr>
          <w:rFonts w:ascii="Arial" w:eastAsia="Times New Roman" w:hAnsi="Arial" w:cs="Arial"/>
          <w:szCs w:val="28"/>
          <w:lang w:val="uk-UA" w:eastAsia="ru-RU"/>
        </w:rPr>
        <w:t xml:space="preserve">заборонено застосувати </w:t>
      </w:r>
      <w:r w:rsidRPr="00511005">
        <w:rPr>
          <w:rFonts w:ascii="Arial" w:eastAsia="Times New Roman" w:hAnsi="Arial" w:cs="Arial"/>
          <w:szCs w:val="28"/>
          <w:lang w:eastAsia="ru-RU"/>
        </w:rPr>
        <w:t>катування, нелюдсь</w:t>
      </w:r>
      <w:r w:rsidRPr="00511005">
        <w:rPr>
          <w:rFonts w:ascii="Arial" w:eastAsia="Times New Roman" w:hAnsi="Arial" w:cs="Arial"/>
          <w:szCs w:val="28"/>
          <w:lang w:val="uk-UA" w:eastAsia="ru-RU"/>
        </w:rPr>
        <w:t>кого поводження, а також такого</w:t>
      </w:r>
      <w:r w:rsidRPr="00511005">
        <w:rPr>
          <w:rFonts w:ascii="Arial" w:eastAsia="Times New Roman" w:hAnsi="Arial" w:cs="Arial"/>
          <w:szCs w:val="28"/>
          <w:lang w:eastAsia="ru-RU"/>
        </w:rPr>
        <w:t>, що принижу</w:t>
      </w:r>
      <w:r w:rsidRPr="00511005">
        <w:rPr>
          <w:rFonts w:ascii="Arial" w:eastAsia="Times New Roman" w:hAnsi="Arial" w:cs="Arial"/>
          <w:szCs w:val="28"/>
          <w:lang w:val="uk-UA" w:eastAsia="ru-RU"/>
        </w:rPr>
        <w:t xml:space="preserve">ватиме </w:t>
      </w:r>
      <w:r w:rsidRPr="00511005">
        <w:rPr>
          <w:rFonts w:ascii="Arial" w:eastAsia="Times New Roman" w:hAnsi="Arial" w:cs="Arial"/>
          <w:szCs w:val="28"/>
          <w:lang w:eastAsia="ru-RU"/>
        </w:rPr>
        <w:t>гідність особи або покарання. Європейськ</w:t>
      </w:r>
      <w:r w:rsidRPr="00511005">
        <w:rPr>
          <w:rFonts w:ascii="Arial" w:eastAsia="Times New Roman" w:hAnsi="Arial" w:cs="Arial"/>
          <w:szCs w:val="28"/>
          <w:lang w:val="uk-UA" w:eastAsia="ru-RU"/>
        </w:rPr>
        <w:t>им</w:t>
      </w:r>
      <w:r w:rsidRPr="00511005">
        <w:rPr>
          <w:rFonts w:ascii="Arial" w:eastAsia="Times New Roman" w:hAnsi="Arial" w:cs="Arial"/>
          <w:szCs w:val="28"/>
          <w:lang w:eastAsia="ru-RU"/>
        </w:rPr>
        <w:t xml:space="preserve"> суд</w:t>
      </w:r>
      <w:r w:rsidRPr="00511005">
        <w:rPr>
          <w:rFonts w:ascii="Arial" w:eastAsia="Times New Roman" w:hAnsi="Arial" w:cs="Arial"/>
          <w:szCs w:val="28"/>
          <w:lang w:val="uk-UA" w:eastAsia="ru-RU"/>
        </w:rPr>
        <w:t>ом</w:t>
      </w:r>
      <w:r w:rsidRPr="00511005">
        <w:rPr>
          <w:rFonts w:ascii="Arial" w:eastAsia="Times New Roman" w:hAnsi="Arial" w:cs="Arial"/>
          <w:szCs w:val="28"/>
          <w:lang w:eastAsia="ru-RU"/>
        </w:rPr>
        <w:t xml:space="preserve"> з прав людини (ЄСПЛ) розгляда</w:t>
      </w:r>
      <w:r w:rsidRPr="00511005">
        <w:rPr>
          <w:rFonts w:ascii="Arial" w:eastAsia="Times New Roman" w:hAnsi="Arial" w:cs="Arial"/>
          <w:szCs w:val="28"/>
          <w:lang w:val="uk-UA" w:eastAsia="ru-RU"/>
        </w:rPr>
        <w:t>ються</w:t>
      </w:r>
      <w:r w:rsidRPr="00511005">
        <w:rPr>
          <w:rFonts w:ascii="Arial" w:eastAsia="Times New Roman" w:hAnsi="Arial" w:cs="Arial"/>
          <w:szCs w:val="28"/>
          <w:lang w:eastAsia="ru-RU"/>
        </w:rPr>
        <w:t xml:space="preserve"> справи, що стосуються порушення цієї статті, і постійно наголошує на її абсолютності підкреслюючи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що навіть у випадку війни або надзвичайних ситуацій ця заборона не може бути </w:t>
      </w:r>
      <w:r w:rsidRPr="00511005">
        <w:rPr>
          <w:rFonts w:ascii="Arial" w:eastAsia="Times New Roman" w:hAnsi="Arial" w:cs="Arial"/>
          <w:szCs w:val="28"/>
          <w:lang w:val="uk-UA" w:eastAsia="ru-RU"/>
        </w:rPr>
        <w:lastRenderedPageBreak/>
        <w:t>зупинена</w:t>
      </w:r>
      <w:r w:rsidRPr="00511005">
        <w:rPr>
          <w:rFonts w:ascii="Arial" w:eastAsia="Times New Roman" w:hAnsi="Arial" w:cs="Arial"/>
          <w:szCs w:val="28"/>
          <w:lang w:eastAsia="ru-RU"/>
        </w:rPr>
        <w:t xml:space="preserve"> або обмежена [</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 xml:space="preserve">]. Для того, щоб ЄСПЛ визначив порушення ст. 3, поведінка повинна досягти мінімального рівня жорстокості, що характеризується, </w:t>
      </w:r>
      <w:r w:rsidRPr="00511005">
        <w:rPr>
          <w:rFonts w:ascii="Arial" w:eastAsia="Times New Roman" w:hAnsi="Arial" w:cs="Arial"/>
          <w:szCs w:val="28"/>
          <w:lang w:val="uk-UA" w:eastAsia="ru-RU"/>
        </w:rPr>
        <w:t>перш за все це</w:t>
      </w:r>
      <w:r w:rsidRPr="00511005">
        <w:rPr>
          <w:rFonts w:ascii="Arial" w:eastAsia="Times New Roman" w:hAnsi="Arial" w:cs="Arial"/>
          <w:szCs w:val="28"/>
          <w:lang w:eastAsia="ru-RU"/>
        </w:rPr>
        <w:t xml:space="preserve"> тілесними ушкодженнями або психічними стражданнями.</w:t>
      </w:r>
    </w:p>
    <w:p w14:paraId="526952F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Женевські конвенції, особливо IV Конвенція, що стосується захисту </w:t>
      </w:r>
      <w:r w:rsidRPr="00511005">
        <w:rPr>
          <w:rFonts w:ascii="Arial" w:eastAsia="Times New Roman" w:hAnsi="Arial" w:cs="Arial"/>
          <w:szCs w:val="28"/>
          <w:lang w:val="uk-UA" w:eastAsia="ru-RU"/>
        </w:rPr>
        <w:t>цивільного населення</w:t>
      </w:r>
      <w:r w:rsidRPr="00511005">
        <w:rPr>
          <w:rFonts w:ascii="Arial" w:eastAsia="Times New Roman" w:hAnsi="Arial" w:cs="Arial"/>
          <w:szCs w:val="28"/>
          <w:lang w:eastAsia="ru-RU"/>
        </w:rPr>
        <w:t xml:space="preserve"> під час війни [</w:t>
      </w:r>
      <w:r w:rsidRPr="00511005">
        <w:rPr>
          <w:rFonts w:ascii="Arial" w:eastAsia="Times New Roman" w:hAnsi="Arial" w:cs="Arial"/>
          <w:szCs w:val="28"/>
          <w:lang w:val="uk-UA" w:eastAsia="ru-RU"/>
        </w:rPr>
        <w:t>3</w:t>
      </w:r>
      <w:r w:rsidRPr="00511005">
        <w:rPr>
          <w:rFonts w:ascii="Arial" w:eastAsia="Times New Roman" w:hAnsi="Arial" w:cs="Arial"/>
          <w:szCs w:val="28"/>
          <w:lang w:eastAsia="ru-RU"/>
        </w:rPr>
        <w:t>], і III Конвенція, яка регулює поводження з військовополоненими, також містять положення щодо заборони катувань і жорстокого поводження з особами, які перебувають під контролем іншої держави чи сторони конфлікту [</w:t>
      </w:r>
      <w:r w:rsidRPr="00511005">
        <w:rPr>
          <w:rFonts w:ascii="Arial" w:eastAsia="Times New Roman" w:hAnsi="Arial" w:cs="Arial"/>
          <w:szCs w:val="28"/>
          <w:lang w:val="uk-UA" w:eastAsia="ru-RU"/>
        </w:rPr>
        <w:t>4</w:t>
      </w:r>
      <w:r w:rsidRPr="00511005">
        <w:rPr>
          <w:rFonts w:ascii="Arial" w:eastAsia="Times New Roman" w:hAnsi="Arial" w:cs="Arial"/>
          <w:szCs w:val="28"/>
          <w:lang w:eastAsia="ru-RU"/>
        </w:rPr>
        <w:t>]. Це ключовий елемент міжнародного гуманітарного права, що передбачає захист осіб, які не беруть</w:t>
      </w:r>
      <w:r w:rsidRPr="00511005">
        <w:rPr>
          <w:rFonts w:ascii="Arial" w:eastAsia="Times New Roman" w:hAnsi="Arial" w:cs="Arial"/>
          <w:szCs w:val="28"/>
          <w:lang w:val="uk-UA" w:eastAsia="ru-RU"/>
        </w:rPr>
        <w:t xml:space="preserve"> прямої</w:t>
      </w:r>
      <w:r w:rsidRPr="00511005">
        <w:rPr>
          <w:rFonts w:ascii="Arial" w:eastAsia="Times New Roman" w:hAnsi="Arial" w:cs="Arial"/>
          <w:szCs w:val="28"/>
          <w:lang w:eastAsia="ru-RU"/>
        </w:rPr>
        <w:t xml:space="preserve"> участі у збройному конфлікті, зокрема </w:t>
      </w:r>
      <w:r w:rsidRPr="00511005">
        <w:rPr>
          <w:rFonts w:ascii="Arial" w:eastAsia="Times New Roman" w:hAnsi="Arial" w:cs="Arial"/>
          <w:szCs w:val="28"/>
          <w:lang w:val="uk-UA" w:eastAsia="ru-RU"/>
        </w:rPr>
        <w:t xml:space="preserve">це </w:t>
      </w:r>
      <w:r w:rsidRPr="00511005">
        <w:rPr>
          <w:rFonts w:ascii="Arial" w:eastAsia="Times New Roman" w:hAnsi="Arial" w:cs="Arial"/>
          <w:szCs w:val="28"/>
          <w:lang w:eastAsia="ru-RU"/>
        </w:rPr>
        <w:t>мирного населення та військовополонених.</w:t>
      </w:r>
    </w:p>
    <w:p w14:paraId="2D9FD7B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Особливу роль у забезпеченні прав жертв катувань відіграють міжнародні правозахисні механізми, такі як Комітет ООН проти катувань, Європейський суд з прав людини (ЄСПЛ) та Міжнародний кримінальний суд.</w:t>
      </w:r>
    </w:p>
    <w:p w14:paraId="6823847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Комітет ООН, відповідно до статті 20 Конвенції проти катувань, має повноваження здійснювати перевірки та розслідування порушень, а також надавати рекомендації чи зауваження державам для покращення ситуації із захистом прав людини. ЄСПЛ, в свою чергу, реалізує контроль за дотриманням державами членами Ради Європи положень Європейської конвенції, а Міжнародний кримінальний суд може здійснювати притягнення до відповідальності осіб за злочини, скоєні під час збройних конфліктів, зокрема і за катування [1].</w:t>
      </w:r>
    </w:p>
    <w:p w14:paraId="359D7BC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Європейськи</w:t>
      </w:r>
      <w:r w:rsidRPr="00511005">
        <w:rPr>
          <w:rFonts w:ascii="Arial" w:eastAsia="Times New Roman" w:hAnsi="Arial" w:cs="Arial"/>
          <w:szCs w:val="28"/>
          <w:lang w:val="uk-UA" w:eastAsia="ru-RU"/>
        </w:rPr>
        <w:t>м</w:t>
      </w:r>
      <w:r w:rsidRPr="00511005">
        <w:rPr>
          <w:rFonts w:ascii="Arial" w:eastAsia="Times New Roman" w:hAnsi="Arial" w:cs="Arial"/>
          <w:szCs w:val="28"/>
          <w:lang w:eastAsia="ru-RU"/>
        </w:rPr>
        <w:t xml:space="preserve"> суд</w:t>
      </w:r>
      <w:r w:rsidRPr="00511005">
        <w:rPr>
          <w:rFonts w:ascii="Arial" w:eastAsia="Times New Roman" w:hAnsi="Arial" w:cs="Arial"/>
          <w:szCs w:val="28"/>
          <w:lang w:val="uk-UA" w:eastAsia="ru-RU"/>
        </w:rPr>
        <w:t>ом</w:t>
      </w:r>
      <w:r w:rsidRPr="00511005">
        <w:rPr>
          <w:rFonts w:ascii="Arial" w:eastAsia="Times New Roman" w:hAnsi="Arial" w:cs="Arial"/>
          <w:szCs w:val="28"/>
          <w:lang w:eastAsia="ru-RU"/>
        </w:rPr>
        <w:t xml:space="preserve"> з прав людини здійснює</w:t>
      </w:r>
      <w:r w:rsidRPr="00511005">
        <w:rPr>
          <w:rFonts w:ascii="Arial" w:eastAsia="Times New Roman" w:hAnsi="Arial" w:cs="Arial"/>
          <w:szCs w:val="28"/>
          <w:lang w:val="uk-UA" w:eastAsia="ru-RU"/>
        </w:rPr>
        <w:t>ться</w:t>
      </w:r>
      <w:r w:rsidRPr="00511005">
        <w:rPr>
          <w:rFonts w:ascii="Arial" w:eastAsia="Times New Roman" w:hAnsi="Arial" w:cs="Arial"/>
          <w:szCs w:val="28"/>
          <w:lang w:eastAsia="ru-RU"/>
        </w:rPr>
        <w:t xml:space="preserve"> контроль за дотриманням державами-учасницями положень Європейської конвенції про захист прав людини 1950 року.</w:t>
      </w:r>
      <w:r w:rsidRPr="00511005">
        <w:rPr>
          <w:rFonts w:ascii="Arial" w:eastAsia="Times New Roman" w:hAnsi="Arial" w:cs="Arial"/>
          <w:szCs w:val="28"/>
          <w:lang w:val="uk-UA" w:eastAsia="ru-RU"/>
        </w:rPr>
        <w:t xml:space="preserve"> Згідно зі статтею 3 </w:t>
      </w:r>
      <w:r w:rsidRPr="00511005">
        <w:rPr>
          <w:rFonts w:ascii="Arial" w:eastAsia="Times New Roman" w:hAnsi="Arial" w:cs="Arial"/>
          <w:szCs w:val="28"/>
          <w:lang w:eastAsia="ru-RU"/>
        </w:rPr>
        <w:t>Європейської конвенції, «нікого не може бути піддано катуванню або нелюдському чи такому, що принижує гідність, поводженню або покаранню» [</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 xml:space="preserve">]. </w:t>
      </w:r>
    </w:p>
    <w:p w14:paraId="75A37EF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Статт</w:t>
      </w:r>
      <w:r w:rsidRPr="00511005">
        <w:rPr>
          <w:rFonts w:ascii="Arial" w:eastAsia="Times New Roman" w:hAnsi="Arial" w:cs="Arial"/>
          <w:szCs w:val="28"/>
          <w:lang w:val="uk-UA" w:eastAsia="ru-RU"/>
        </w:rPr>
        <w:t>я</w:t>
      </w:r>
      <w:r w:rsidRPr="00511005">
        <w:rPr>
          <w:rFonts w:ascii="Arial" w:eastAsia="Times New Roman" w:hAnsi="Arial" w:cs="Arial"/>
          <w:szCs w:val="28"/>
          <w:lang w:eastAsia="ru-RU"/>
        </w:rPr>
        <w:t xml:space="preserve"> 34 </w:t>
      </w:r>
      <w:r w:rsidRPr="00511005">
        <w:rPr>
          <w:rFonts w:ascii="Arial" w:eastAsia="Times New Roman" w:hAnsi="Arial" w:cs="Arial"/>
          <w:szCs w:val="28"/>
          <w:lang w:val="uk-UA" w:eastAsia="ru-RU"/>
        </w:rPr>
        <w:t>Європейської конвенції з прав людини</w:t>
      </w:r>
      <w:r w:rsidRPr="00511005">
        <w:rPr>
          <w:rFonts w:ascii="Arial" w:eastAsia="Times New Roman" w:hAnsi="Arial" w:cs="Arial"/>
          <w:szCs w:val="28"/>
          <w:lang w:eastAsia="ru-RU"/>
        </w:rPr>
        <w:t xml:space="preserve"> гарантує право на подачу заяви </w:t>
      </w:r>
      <w:r w:rsidRPr="00511005">
        <w:rPr>
          <w:rFonts w:ascii="Arial" w:eastAsia="Times New Roman" w:hAnsi="Arial" w:cs="Arial"/>
          <w:szCs w:val="28"/>
          <w:lang w:val="uk-UA" w:eastAsia="ru-RU"/>
        </w:rPr>
        <w:t xml:space="preserve">індивідуального характеру </w:t>
      </w:r>
      <w:r w:rsidRPr="00511005">
        <w:rPr>
          <w:rFonts w:ascii="Arial" w:eastAsia="Times New Roman" w:hAnsi="Arial" w:cs="Arial"/>
          <w:szCs w:val="28"/>
          <w:lang w:eastAsia="ru-RU"/>
        </w:rPr>
        <w:t xml:space="preserve">до Європейського суду з прав людини. </w:t>
      </w:r>
      <w:r w:rsidRPr="00511005">
        <w:rPr>
          <w:rFonts w:ascii="Arial" w:eastAsia="Times New Roman" w:hAnsi="Arial" w:cs="Arial"/>
          <w:szCs w:val="28"/>
          <w:lang w:val="uk-UA" w:eastAsia="ru-RU"/>
        </w:rPr>
        <w:t>Відповідно</w:t>
      </w:r>
      <w:r w:rsidRPr="00511005">
        <w:rPr>
          <w:rFonts w:ascii="Arial" w:eastAsia="Times New Roman" w:hAnsi="Arial" w:cs="Arial"/>
          <w:szCs w:val="28"/>
          <w:lang w:eastAsia="ru-RU"/>
        </w:rPr>
        <w:t xml:space="preserve">, будь-яка особа, неурядова організація або група осіб, яка вважає себе особисто і безпосередньо потерпілою від порушення прав, передбачених Конвенцією або її </w:t>
      </w:r>
      <w:r w:rsidRPr="00511005">
        <w:rPr>
          <w:rFonts w:ascii="Arial" w:eastAsia="Times New Roman" w:hAnsi="Arial" w:cs="Arial"/>
          <w:szCs w:val="28"/>
          <w:lang w:val="uk-UA" w:eastAsia="ru-RU"/>
        </w:rPr>
        <w:t>П</w:t>
      </w:r>
      <w:r w:rsidRPr="00511005">
        <w:rPr>
          <w:rFonts w:ascii="Arial" w:eastAsia="Times New Roman" w:hAnsi="Arial" w:cs="Arial"/>
          <w:szCs w:val="28"/>
          <w:lang w:eastAsia="ru-RU"/>
        </w:rPr>
        <w:t xml:space="preserve">ротоколами, </w:t>
      </w:r>
      <w:r w:rsidRPr="00511005">
        <w:rPr>
          <w:rFonts w:ascii="Arial" w:eastAsia="Times New Roman" w:hAnsi="Arial" w:cs="Arial"/>
          <w:szCs w:val="28"/>
          <w:lang w:val="uk-UA" w:eastAsia="ru-RU"/>
        </w:rPr>
        <w:t>залишає за собою право на звернення</w:t>
      </w:r>
      <w:r w:rsidRPr="00511005">
        <w:rPr>
          <w:rFonts w:ascii="Arial" w:eastAsia="Times New Roman" w:hAnsi="Arial" w:cs="Arial"/>
          <w:szCs w:val="28"/>
          <w:lang w:eastAsia="ru-RU"/>
        </w:rPr>
        <w:t xml:space="preserve"> до Суду з метою захисту своїх прав.</w:t>
      </w:r>
      <w:r w:rsidRPr="00511005">
        <w:rPr>
          <w:rFonts w:ascii="Arial" w:eastAsia="Times New Roman" w:hAnsi="Arial" w:cs="Arial"/>
          <w:szCs w:val="28"/>
          <w:lang w:val="uk-UA" w:eastAsia="ru-RU"/>
        </w:rPr>
        <w:t xml:space="preserve"> Крім того, статтею 34 Європейської Конвенції визначено обов’язок держав-учасниць виконувати остаточні рішення Європейського суду у справах, у яких вони є сторонами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Це положення спрямоване не те щоб забезпечити реальний і ефективний механізм захисту прав людини.</w:t>
      </w:r>
    </w:p>
    <w:p w14:paraId="1C4B214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Міжнародний кримінальний суд є судовим органом, постійно діючим, який уповноважений проводити розслідування та притягнення до відповідальності осіб за найтяжчі міжнародні злочини, включно з такими як геноцид, злочини проти людяності, воєнні злочини та злочин агресії. </w:t>
      </w:r>
      <w:r w:rsidRPr="00511005">
        <w:rPr>
          <w:rFonts w:ascii="Arial" w:eastAsia="Times New Roman" w:hAnsi="Arial" w:cs="Arial"/>
          <w:szCs w:val="28"/>
          <w:lang w:val="uk-UA" w:eastAsia="ru-RU"/>
        </w:rPr>
        <w:lastRenderedPageBreak/>
        <w:t>Відповідно до Римського статуту Міжнародного Кримінального Суду 1998 року, стаття 7 позначає катування як один з актів, що може кваліфікуватися як злочин проти людяності, якщо вчиняється у межах широкомасштабного або систематичного нападу на цивільне населення. Разом з цим</w:t>
      </w:r>
      <w:r w:rsidRPr="00511005">
        <w:rPr>
          <w:rFonts w:ascii="Arial" w:eastAsia="Times New Roman" w:hAnsi="Arial" w:cs="Arial"/>
          <w:szCs w:val="28"/>
          <w:lang w:eastAsia="ru-RU"/>
        </w:rPr>
        <w:t xml:space="preserve">, стаття 8 Римського статуту відносить катування до складу </w:t>
      </w:r>
      <w:r w:rsidRPr="00511005">
        <w:rPr>
          <w:rFonts w:ascii="Arial" w:eastAsia="Times New Roman" w:hAnsi="Arial" w:cs="Arial"/>
          <w:szCs w:val="28"/>
          <w:lang w:val="uk-UA" w:eastAsia="ru-RU"/>
        </w:rPr>
        <w:t>воєнних</w:t>
      </w:r>
      <w:r w:rsidRPr="00511005">
        <w:rPr>
          <w:rFonts w:ascii="Arial" w:eastAsia="Times New Roman" w:hAnsi="Arial" w:cs="Arial"/>
          <w:szCs w:val="28"/>
          <w:lang w:eastAsia="ru-RU"/>
        </w:rPr>
        <w:t xml:space="preserve"> злочинів [</w:t>
      </w:r>
      <w:r w:rsidRPr="00511005">
        <w:rPr>
          <w:rFonts w:ascii="Arial" w:eastAsia="Times New Roman" w:hAnsi="Arial" w:cs="Arial"/>
          <w:szCs w:val="28"/>
          <w:lang w:val="uk-UA" w:eastAsia="ru-RU"/>
        </w:rPr>
        <w:t>5</w:t>
      </w:r>
      <w:r w:rsidRPr="00511005">
        <w:rPr>
          <w:rFonts w:ascii="Arial" w:eastAsia="Times New Roman" w:hAnsi="Arial" w:cs="Arial"/>
          <w:szCs w:val="28"/>
          <w:lang w:eastAsia="ru-RU"/>
        </w:rPr>
        <w:t xml:space="preserve">]. </w:t>
      </w:r>
    </w:p>
    <w:p w14:paraId="094950C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Незважаючи на наявні</w:t>
      </w:r>
      <w:r w:rsidRPr="00511005">
        <w:rPr>
          <w:rFonts w:ascii="Arial" w:eastAsia="Times New Roman" w:hAnsi="Arial" w:cs="Arial"/>
          <w:szCs w:val="28"/>
          <w:lang w:eastAsia="ru-RU"/>
        </w:rPr>
        <w:t xml:space="preserve"> міжнародні механізми та існування орган</w:t>
      </w:r>
      <w:r w:rsidRPr="00511005">
        <w:rPr>
          <w:rFonts w:ascii="Arial" w:eastAsia="Times New Roman" w:hAnsi="Arial" w:cs="Arial"/>
          <w:szCs w:val="28"/>
          <w:lang w:val="uk-UA" w:eastAsia="ru-RU"/>
        </w:rPr>
        <w:t>ів</w:t>
      </w:r>
      <w:r w:rsidRPr="00511005">
        <w:rPr>
          <w:rFonts w:ascii="Arial" w:eastAsia="Times New Roman" w:hAnsi="Arial" w:cs="Arial"/>
          <w:szCs w:val="28"/>
          <w:lang w:eastAsia="ru-RU"/>
        </w:rPr>
        <w:t xml:space="preserve">, що здійснюють контроль за дотриманням заборони катувань, на практиці проблема ефективного захисту прав жертв катувань залишається </w:t>
      </w:r>
      <w:r w:rsidRPr="00511005">
        <w:rPr>
          <w:rFonts w:ascii="Arial" w:eastAsia="Times New Roman" w:hAnsi="Arial" w:cs="Arial"/>
          <w:szCs w:val="28"/>
          <w:lang w:val="uk-UA" w:eastAsia="ru-RU"/>
        </w:rPr>
        <w:t>відкритою</w:t>
      </w:r>
      <w:r w:rsidRPr="00511005">
        <w:rPr>
          <w:rFonts w:ascii="Arial" w:eastAsia="Times New Roman" w:hAnsi="Arial" w:cs="Arial"/>
          <w:szCs w:val="28"/>
          <w:lang w:eastAsia="ru-RU"/>
        </w:rPr>
        <w:t xml:space="preserve">. В умовах війни в Україні </w:t>
      </w:r>
      <w:r w:rsidRPr="00511005">
        <w:rPr>
          <w:rFonts w:ascii="Arial" w:eastAsia="Times New Roman" w:hAnsi="Arial" w:cs="Arial"/>
          <w:szCs w:val="28"/>
          <w:lang w:val="uk-UA" w:eastAsia="ru-RU"/>
        </w:rPr>
        <w:t>можна спостерігати</w:t>
      </w:r>
      <w:r w:rsidRPr="00511005">
        <w:rPr>
          <w:rFonts w:ascii="Arial" w:eastAsia="Times New Roman" w:hAnsi="Arial" w:cs="Arial"/>
          <w:szCs w:val="28"/>
          <w:lang w:eastAsia="ru-RU"/>
        </w:rPr>
        <w:t xml:space="preserve"> значне збільшення випадків катувань, які часто залишаються без належного розслідування</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а</w:t>
      </w:r>
      <w:r w:rsidRPr="00511005">
        <w:rPr>
          <w:rFonts w:ascii="Arial" w:eastAsia="Times New Roman" w:hAnsi="Arial" w:cs="Arial"/>
          <w:szCs w:val="28"/>
          <w:lang w:val="uk-UA" w:eastAsia="ru-RU"/>
        </w:rPr>
        <w:t xml:space="preserve"> відповідно -</w:t>
      </w:r>
      <w:r w:rsidRPr="00511005">
        <w:rPr>
          <w:rFonts w:ascii="Arial" w:eastAsia="Times New Roman" w:hAnsi="Arial" w:cs="Arial"/>
          <w:szCs w:val="28"/>
          <w:lang w:eastAsia="ru-RU"/>
        </w:rPr>
        <w:t xml:space="preserve"> відповідальності для винних.</w:t>
      </w:r>
    </w:p>
    <w:p w14:paraId="5CACB8E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Після </w:t>
      </w:r>
      <w:r w:rsidRPr="00511005">
        <w:rPr>
          <w:rFonts w:ascii="Arial" w:eastAsia="Times New Roman" w:hAnsi="Arial" w:cs="Arial"/>
          <w:szCs w:val="28"/>
          <w:lang w:val="uk-UA" w:eastAsia="ru-RU"/>
        </w:rPr>
        <w:t xml:space="preserve">почату </w:t>
      </w:r>
      <w:r w:rsidRPr="00511005">
        <w:rPr>
          <w:rFonts w:ascii="Arial" w:eastAsia="Times New Roman" w:hAnsi="Arial" w:cs="Arial"/>
          <w:szCs w:val="28"/>
          <w:lang w:eastAsia="ru-RU"/>
        </w:rPr>
        <w:t xml:space="preserve">повномасштабного вторгнення Україну випадки катувань значно зросли. Зокрема, катування </w:t>
      </w:r>
      <w:r w:rsidRPr="00511005">
        <w:rPr>
          <w:rFonts w:ascii="Arial" w:eastAsia="Times New Roman" w:hAnsi="Arial" w:cs="Arial"/>
          <w:szCs w:val="28"/>
          <w:lang w:val="uk-UA" w:eastAsia="ru-RU"/>
        </w:rPr>
        <w:t>відбуваються</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як стосовно</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мирного населення</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для </w:t>
      </w:r>
      <w:r w:rsidRPr="00511005">
        <w:rPr>
          <w:rFonts w:ascii="Arial" w:eastAsia="Times New Roman" w:hAnsi="Arial" w:cs="Arial"/>
          <w:szCs w:val="28"/>
          <w:lang w:eastAsia="ru-RU"/>
        </w:rPr>
        <w:t xml:space="preserve">придушення проукраїнських настроїв на окупованих територіях, </w:t>
      </w:r>
      <w:r w:rsidRPr="00511005">
        <w:rPr>
          <w:rFonts w:ascii="Arial" w:eastAsia="Times New Roman" w:hAnsi="Arial" w:cs="Arial"/>
          <w:szCs w:val="28"/>
          <w:lang w:val="uk-UA" w:eastAsia="ru-RU"/>
        </w:rPr>
        <w:t>так і до</w:t>
      </w:r>
      <w:r w:rsidRPr="00511005">
        <w:rPr>
          <w:rFonts w:ascii="Arial" w:eastAsia="Times New Roman" w:hAnsi="Arial" w:cs="Arial"/>
          <w:szCs w:val="28"/>
          <w:lang w:eastAsia="ru-RU"/>
        </w:rPr>
        <w:t xml:space="preserve"> українських військовополонених. Регулярно зʼявляються повідомлення про закатованих до смерті військовополонених</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Одним з найбільш резонансних випадків стала загибель українських військовополонених в Оленівці Донецької області 29 липня 2022 року, коли російські військові вбили полонених для приховування катувань і неналежних умов утримання [</w:t>
      </w:r>
      <w:r w:rsidRPr="00511005">
        <w:rPr>
          <w:rFonts w:ascii="Arial" w:eastAsia="Times New Roman" w:hAnsi="Arial" w:cs="Arial"/>
          <w:szCs w:val="28"/>
          <w:lang w:val="uk-UA" w:eastAsia="ru-RU"/>
        </w:rPr>
        <w:t>6</w:t>
      </w:r>
      <w:r w:rsidRPr="00511005">
        <w:rPr>
          <w:rFonts w:ascii="Arial" w:eastAsia="Times New Roman" w:hAnsi="Arial" w:cs="Arial"/>
          <w:szCs w:val="28"/>
          <w:lang w:eastAsia="ru-RU"/>
        </w:rPr>
        <w:t>].</w:t>
      </w:r>
    </w:p>
    <w:p w14:paraId="693E9B9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Міжнародні розслідування воєнних злочинів, у тому числі катувань, почались відразу після вторгнення</w:t>
      </w:r>
      <w:r w:rsidRPr="00511005">
        <w:rPr>
          <w:rFonts w:ascii="Arial" w:eastAsia="Times New Roman" w:hAnsi="Arial" w:cs="Arial"/>
          <w:szCs w:val="28"/>
          <w:lang w:val="uk-UA" w:eastAsia="ru-RU"/>
        </w:rPr>
        <w:t xml:space="preserve"> в Україну</w:t>
      </w:r>
      <w:r w:rsidRPr="00511005">
        <w:rPr>
          <w:rFonts w:ascii="Arial" w:eastAsia="Times New Roman" w:hAnsi="Arial" w:cs="Arial"/>
          <w:szCs w:val="28"/>
          <w:lang w:eastAsia="ru-RU"/>
        </w:rPr>
        <w:t xml:space="preserve">. 3 березня 2022 року головний прокурор Міжнародного кримінального суду, Карім Хан, проводить збір доказів воєнних злочинів, скоєних російськими військовими на території України. </w:t>
      </w:r>
      <w:r w:rsidRPr="00511005">
        <w:rPr>
          <w:rFonts w:ascii="Arial" w:eastAsia="Times New Roman" w:hAnsi="Arial" w:cs="Arial"/>
          <w:szCs w:val="28"/>
          <w:lang w:val="uk-UA" w:eastAsia="ru-RU"/>
        </w:rPr>
        <w:t>Проте</w:t>
      </w:r>
      <w:r w:rsidRPr="00511005">
        <w:rPr>
          <w:rFonts w:ascii="Arial" w:eastAsia="Times New Roman" w:hAnsi="Arial" w:cs="Arial"/>
          <w:szCs w:val="28"/>
          <w:lang w:eastAsia="ru-RU"/>
        </w:rPr>
        <w:t xml:space="preserve">, через масштабність таких правопорушень розслідування просуваються повільно як через значне навантаження на правоохоронні органи та судову систему, так і через небажання агресора визнавати факти </w:t>
      </w:r>
      <w:r w:rsidRPr="00511005">
        <w:rPr>
          <w:rFonts w:ascii="Arial" w:eastAsia="Times New Roman" w:hAnsi="Arial" w:cs="Arial"/>
          <w:szCs w:val="28"/>
          <w:lang w:val="uk-UA" w:eastAsia="ru-RU"/>
        </w:rPr>
        <w:t xml:space="preserve">таких </w:t>
      </w:r>
      <w:r w:rsidRPr="00511005">
        <w:rPr>
          <w:rFonts w:ascii="Arial" w:eastAsia="Times New Roman" w:hAnsi="Arial" w:cs="Arial"/>
          <w:szCs w:val="28"/>
          <w:lang w:eastAsia="ru-RU"/>
        </w:rPr>
        <w:t>порушень. [7]</w:t>
      </w:r>
      <w:r w:rsidRPr="00511005">
        <w:rPr>
          <w:rFonts w:ascii="Arial" w:eastAsia="Times New Roman" w:hAnsi="Arial" w:cs="Arial"/>
          <w:szCs w:val="28"/>
          <w:lang w:val="uk-UA" w:eastAsia="ru-RU"/>
        </w:rPr>
        <w:t>.</w:t>
      </w:r>
    </w:p>
    <w:p w14:paraId="21E3944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 недавнього часу однією з основних проблем України у розслідуванні воєнних злочинів </w:t>
      </w:r>
      <w:r w:rsidRPr="00511005">
        <w:rPr>
          <w:rFonts w:ascii="Arial" w:eastAsia="Times New Roman" w:hAnsi="Arial" w:cs="Arial"/>
          <w:szCs w:val="28"/>
          <w:lang w:val="uk-UA" w:eastAsia="ru-RU"/>
        </w:rPr>
        <w:t xml:space="preserve">також </w:t>
      </w:r>
      <w:r w:rsidRPr="00511005">
        <w:rPr>
          <w:rFonts w:ascii="Arial" w:eastAsia="Times New Roman" w:hAnsi="Arial" w:cs="Arial"/>
          <w:szCs w:val="28"/>
          <w:lang w:eastAsia="ru-RU"/>
        </w:rPr>
        <w:t xml:space="preserve">було </w:t>
      </w:r>
      <w:r w:rsidRPr="00511005">
        <w:rPr>
          <w:rFonts w:ascii="Arial" w:eastAsia="Times New Roman" w:hAnsi="Arial" w:cs="Arial"/>
          <w:szCs w:val="28"/>
          <w:lang w:val="uk-UA" w:eastAsia="ru-RU"/>
        </w:rPr>
        <w:t>те, що</w:t>
      </w:r>
      <w:r w:rsidRPr="00511005">
        <w:rPr>
          <w:rFonts w:ascii="Arial" w:eastAsia="Times New Roman" w:hAnsi="Arial" w:cs="Arial"/>
          <w:szCs w:val="28"/>
          <w:lang w:eastAsia="ru-RU"/>
        </w:rPr>
        <w:t xml:space="preserve"> Римський статут не був ратифікований, який </w:t>
      </w:r>
      <w:r w:rsidRPr="00511005">
        <w:rPr>
          <w:rFonts w:ascii="Arial" w:eastAsia="Times New Roman" w:hAnsi="Arial" w:cs="Arial"/>
          <w:szCs w:val="28"/>
          <w:lang w:val="uk-UA" w:eastAsia="ru-RU"/>
        </w:rPr>
        <w:t xml:space="preserve">власне, був </w:t>
      </w:r>
      <w:r w:rsidRPr="00511005">
        <w:rPr>
          <w:rFonts w:ascii="Arial" w:eastAsia="Times New Roman" w:hAnsi="Arial" w:cs="Arial"/>
          <w:szCs w:val="28"/>
          <w:lang w:eastAsia="ru-RU"/>
        </w:rPr>
        <w:t xml:space="preserve">основним документом для співпраці з Міжнародним кримінальним судом. Однак 21 серпня 2024 року Верховна Рада України ратифікувала Римський статут, що відкриває нові можливості для </w:t>
      </w:r>
      <w:r w:rsidRPr="00511005">
        <w:rPr>
          <w:rFonts w:ascii="Arial" w:eastAsia="Times New Roman" w:hAnsi="Arial" w:cs="Arial"/>
          <w:szCs w:val="28"/>
          <w:lang w:val="uk-UA" w:eastAsia="ru-RU"/>
        </w:rPr>
        <w:t>України в</w:t>
      </w:r>
      <w:r w:rsidRPr="00511005">
        <w:rPr>
          <w:rFonts w:ascii="Arial" w:eastAsia="Times New Roman" w:hAnsi="Arial" w:cs="Arial"/>
          <w:szCs w:val="28"/>
          <w:lang w:eastAsia="ru-RU"/>
        </w:rPr>
        <w:t xml:space="preserve"> міжнародно-правовому полі боротьби з воєнними злочинами [8].</w:t>
      </w:r>
    </w:p>
    <w:p w14:paraId="32BBFF8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w:t>
      </w:r>
      <w:r w:rsidRPr="00511005">
        <w:rPr>
          <w:rFonts w:ascii="Arial" w:eastAsia="Times New Roman" w:hAnsi="Arial" w:cs="Arial"/>
          <w:szCs w:val="28"/>
          <w:lang w:eastAsia="ru-RU"/>
        </w:rPr>
        <w:t xml:space="preserve">, незважаючи на абсолютну заборону катувань у міжнародному праві та </w:t>
      </w:r>
      <w:r w:rsidRPr="00511005">
        <w:rPr>
          <w:rFonts w:ascii="Arial" w:eastAsia="Times New Roman" w:hAnsi="Arial" w:cs="Arial"/>
          <w:szCs w:val="28"/>
          <w:lang w:val="uk-UA" w:eastAsia="ru-RU"/>
        </w:rPr>
        <w:t>наявності чітких</w:t>
      </w:r>
      <w:r w:rsidRPr="00511005">
        <w:rPr>
          <w:rFonts w:ascii="Arial" w:eastAsia="Times New Roman" w:hAnsi="Arial" w:cs="Arial"/>
          <w:szCs w:val="28"/>
          <w:lang w:eastAsia="ru-RU"/>
        </w:rPr>
        <w:t xml:space="preserve"> механізмів контролю, війна в Україні </w:t>
      </w:r>
      <w:r w:rsidRPr="00511005">
        <w:rPr>
          <w:rFonts w:ascii="Arial" w:eastAsia="Times New Roman" w:hAnsi="Arial" w:cs="Arial"/>
          <w:szCs w:val="28"/>
          <w:lang w:val="uk-UA" w:eastAsia="ru-RU"/>
        </w:rPr>
        <w:t>чітко вказала на</w:t>
      </w:r>
      <w:r w:rsidRPr="00511005">
        <w:rPr>
          <w:rFonts w:ascii="Arial" w:eastAsia="Times New Roman" w:hAnsi="Arial" w:cs="Arial"/>
          <w:szCs w:val="28"/>
          <w:lang w:eastAsia="ru-RU"/>
        </w:rPr>
        <w:t xml:space="preserve"> наявні недоліки </w:t>
      </w:r>
      <w:r w:rsidRPr="00511005">
        <w:rPr>
          <w:rFonts w:ascii="Arial" w:eastAsia="Times New Roman" w:hAnsi="Arial" w:cs="Arial"/>
          <w:szCs w:val="28"/>
          <w:lang w:val="uk-UA" w:eastAsia="ru-RU"/>
        </w:rPr>
        <w:t>в питанні</w:t>
      </w:r>
      <w:r w:rsidRPr="00511005">
        <w:rPr>
          <w:rFonts w:ascii="Arial" w:eastAsia="Times New Roman" w:hAnsi="Arial" w:cs="Arial"/>
          <w:szCs w:val="28"/>
          <w:lang w:eastAsia="ru-RU"/>
        </w:rPr>
        <w:t xml:space="preserve"> запобігання катуванням і захисту жертв таких порушень. </w:t>
      </w:r>
      <w:r w:rsidRPr="00511005">
        <w:rPr>
          <w:rFonts w:ascii="Arial" w:eastAsia="Times New Roman" w:hAnsi="Arial" w:cs="Arial"/>
          <w:szCs w:val="28"/>
          <w:lang w:val="uk-UA" w:eastAsia="ru-RU"/>
        </w:rPr>
        <w:t>Масовість таких випадків</w:t>
      </w:r>
      <w:r w:rsidRPr="00511005">
        <w:rPr>
          <w:rFonts w:ascii="Arial" w:eastAsia="Times New Roman" w:hAnsi="Arial" w:cs="Arial"/>
          <w:szCs w:val="28"/>
          <w:lang w:eastAsia="ru-RU"/>
        </w:rPr>
        <w:t xml:space="preserve"> в умовах збройного конфлікту показали, що </w:t>
      </w:r>
      <w:r w:rsidRPr="00511005">
        <w:rPr>
          <w:rFonts w:ascii="Arial" w:eastAsia="Times New Roman" w:hAnsi="Arial" w:cs="Arial"/>
          <w:szCs w:val="28"/>
          <w:lang w:val="uk-UA" w:eastAsia="ru-RU"/>
        </w:rPr>
        <w:t>наявні</w:t>
      </w:r>
      <w:r w:rsidRPr="00511005">
        <w:rPr>
          <w:rFonts w:ascii="Arial" w:eastAsia="Times New Roman" w:hAnsi="Arial" w:cs="Arial"/>
          <w:szCs w:val="28"/>
          <w:lang w:eastAsia="ru-RU"/>
        </w:rPr>
        <w:t xml:space="preserve"> міжнародні і національні механізми виявилися недостатньо ефективними для своєчасного реагування, розслідування та </w:t>
      </w:r>
      <w:r w:rsidRPr="00511005">
        <w:rPr>
          <w:rFonts w:ascii="Arial" w:eastAsia="Times New Roman" w:hAnsi="Arial" w:cs="Arial"/>
          <w:szCs w:val="28"/>
          <w:lang w:val="uk-UA" w:eastAsia="ru-RU"/>
        </w:rPr>
        <w:t>притягнення до відповідальності винних</w:t>
      </w:r>
      <w:r w:rsidRPr="00511005">
        <w:rPr>
          <w:rFonts w:ascii="Arial" w:eastAsia="Times New Roman" w:hAnsi="Arial" w:cs="Arial"/>
          <w:szCs w:val="28"/>
          <w:lang w:eastAsia="ru-RU"/>
        </w:rPr>
        <w:t>.</w:t>
      </w:r>
    </w:p>
    <w:p w14:paraId="71476796" w14:textId="77777777" w:rsidR="00220D3E" w:rsidRPr="00511005" w:rsidRDefault="00220D3E" w:rsidP="003A292D">
      <w:pPr>
        <w:tabs>
          <w:tab w:val="left" w:pos="709"/>
        </w:tabs>
        <w:spacing w:line="264" w:lineRule="auto"/>
        <w:jc w:val="left"/>
        <w:rPr>
          <w:rFonts w:ascii="Arial" w:eastAsia="Times New Roman" w:hAnsi="Arial" w:cs="Arial"/>
          <w:b/>
          <w:szCs w:val="28"/>
          <w:lang w:val="uk-UA" w:eastAsia="ru-RU"/>
        </w:rPr>
      </w:pPr>
    </w:p>
    <w:p w14:paraId="5B5DDB81"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вкористаних джерел</w:t>
      </w:r>
    </w:p>
    <w:p w14:paraId="3ABAC100" w14:textId="77777777" w:rsidR="00220D3E" w:rsidRPr="00511005" w:rsidRDefault="00220D3E" w:rsidP="003F6A5D">
      <w:pPr>
        <w:numPr>
          <w:ilvl w:val="0"/>
          <w:numId w:val="12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Конвенція проти катувань та інших жорстоких, нелюдських або таких, що принижують гідність, видів поводження і </w:t>
      </w:r>
      <w:proofErr w:type="gramStart"/>
      <w:r w:rsidRPr="00511005">
        <w:rPr>
          <w:rFonts w:ascii="Arial" w:eastAsia="Calibri" w:hAnsi="Arial" w:cs="Arial"/>
          <w:szCs w:val="28"/>
        </w:rPr>
        <w:t>покарання</w:t>
      </w:r>
      <w:r w:rsidRPr="00511005">
        <w:rPr>
          <w:rFonts w:ascii="Arial" w:eastAsia="Calibri" w:hAnsi="Arial" w:cs="Arial"/>
          <w:szCs w:val="28"/>
          <w:lang w:val="pl-PL"/>
        </w:rPr>
        <w:t> </w:t>
      </w:r>
      <w:r w:rsidRPr="00511005">
        <w:rPr>
          <w:rFonts w:ascii="Arial" w:eastAsia="Calibri" w:hAnsi="Arial" w:cs="Arial"/>
          <w:szCs w:val="28"/>
        </w:rPr>
        <w:t>:</w:t>
      </w:r>
      <w:proofErr w:type="gramEnd"/>
      <w:r w:rsidRPr="00511005">
        <w:rPr>
          <w:rFonts w:ascii="Arial" w:eastAsia="Calibri" w:hAnsi="Arial" w:cs="Arial"/>
          <w:szCs w:val="28"/>
        </w:rPr>
        <w:t xml:space="preserve"> Конвенція Орг. Об'єдн. Націй від </w:t>
      </w:r>
      <w:proofErr w:type="gramStart"/>
      <w:r w:rsidRPr="00511005">
        <w:rPr>
          <w:rFonts w:ascii="Arial" w:eastAsia="Calibri" w:hAnsi="Arial" w:cs="Arial"/>
          <w:szCs w:val="28"/>
        </w:rPr>
        <w:t>10.12.1984</w:t>
      </w:r>
      <w:r w:rsidRPr="00511005">
        <w:rPr>
          <w:rFonts w:ascii="Arial" w:eastAsia="Calibri" w:hAnsi="Arial" w:cs="Arial"/>
          <w:szCs w:val="28"/>
          <w:lang w:val="pl-PL"/>
        </w:rPr>
        <w:t> </w:t>
      </w:r>
      <w:r w:rsidRPr="00511005">
        <w:rPr>
          <w:rFonts w:ascii="Arial" w:eastAsia="Calibri" w:hAnsi="Arial" w:cs="Arial"/>
          <w:szCs w:val="28"/>
        </w:rPr>
        <w:t>:</w:t>
      </w:r>
      <w:proofErr w:type="gramEnd"/>
      <w:r w:rsidRPr="00511005">
        <w:rPr>
          <w:rFonts w:ascii="Arial" w:eastAsia="Calibri" w:hAnsi="Arial" w:cs="Arial"/>
          <w:szCs w:val="28"/>
        </w:rPr>
        <w:t xml:space="preserve"> станом на 13</w:t>
      </w:r>
      <w:r w:rsidRPr="00511005">
        <w:rPr>
          <w:rFonts w:ascii="Arial" w:eastAsia="Calibri" w:hAnsi="Arial" w:cs="Arial"/>
          <w:szCs w:val="28"/>
          <w:lang w:val="pl-PL"/>
        </w:rPr>
        <w:t> </w:t>
      </w:r>
      <w:r w:rsidRPr="00511005">
        <w:rPr>
          <w:rFonts w:ascii="Arial" w:eastAsia="Calibri" w:hAnsi="Arial" w:cs="Arial"/>
          <w:szCs w:val="28"/>
        </w:rPr>
        <w:t>листоп. 1998</w:t>
      </w:r>
      <w:r w:rsidRPr="00511005">
        <w:rPr>
          <w:rFonts w:ascii="Arial" w:eastAsia="Calibri" w:hAnsi="Arial" w:cs="Arial"/>
          <w:szCs w:val="28"/>
          <w:lang w:val="pl-PL"/>
        </w:rPr>
        <w:t> </w:t>
      </w:r>
      <w:r w:rsidRPr="00511005">
        <w:rPr>
          <w:rFonts w:ascii="Arial" w:eastAsia="Calibri" w:hAnsi="Arial" w:cs="Arial"/>
          <w:szCs w:val="28"/>
        </w:rPr>
        <w:t xml:space="preserve">р. </w:t>
      </w:r>
      <w:r w:rsidRPr="00511005">
        <w:rPr>
          <w:rFonts w:ascii="Arial" w:eastAsia="Calibri" w:hAnsi="Arial" w:cs="Arial"/>
          <w:szCs w:val="28"/>
          <w:lang w:val="pl-PL"/>
        </w:rPr>
        <w:t>URL</w:t>
      </w:r>
      <w:r w:rsidRPr="00511005">
        <w:rPr>
          <w:rFonts w:ascii="Arial" w:eastAsia="Calibri" w:hAnsi="Arial" w:cs="Arial"/>
          <w:szCs w:val="28"/>
        </w:rPr>
        <w:t>:</w:t>
      </w:r>
      <w:r w:rsidRPr="00511005">
        <w:rPr>
          <w:rFonts w:ascii="Arial" w:eastAsia="Calibri" w:hAnsi="Arial" w:cs="Arial"/>
          <w:szCs w:val="28"/>
          <w:lang w:val="pl-PL"/>
        </w:rPr>
        <w:t> </w:t>
      </w:r>
      <w:hyperlink r:id="rId448" w:anchor="Text" w:tgtFrame="_blank" w:history="1">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zakon</w:t>
        </w:r>
        <w:r w:rsidRPr="00511005">
          <w:rPr>
            <w:rFonts w:ascii="Arial" w:eastAsia="Calibri" w:hAnsi="Arial" w:cs="Arial"/>
            <w:szCs w:val="28"/>
          </w:rPr>
          <w:t>.</w:t>
        </w:r>
        <w:r w:rsidRPr="00511005">
          <w:rPr>
            <w:rFonts w:ascii="Arial" w:eastAsia="Calibri" w:hAnsi="Arial" w:cs="Arial"/>
            <w:szCs w:val="28"/>
            <w:lang w:val="pl-PL"/>
          </w:rPr>
          <w:t>rada</w:t>
        </w:r>
        <w:r w:rsidRPr="00511005">
          <w:rPr>
            <w:rFonts w:ascii="Arial" w:eastAsia="Calibri" w:hAnsi="Arial" w:cs="Arial"/>
            <w:szCs w:val="28"/>
          </w:rPr>
          <w:t>.</w:t>
        </w:r>
        <w:r w:rsidRPr="00511005">
          <w:rPr>
            <w:rFonts w:ascii="Arial" w:eastAsia="Calibri" w:hAnsi="Arial" w:cs="Arial"/>
            <w:szCs w:val="28"/>
            <w:lang w:val="pl-PL"/>
          </w:rPr>
          <w:t>gov</w:t>
        </w:r>
        <w:r w:rsidRPr="00511005">
          <w:rPr>
            <w:rFonts w:ascii="Arial" w:eastAsia="Calibri" w:hAnsi="Arial" w:cs="Arial"/>
            <w:szCs w:val="28"/>
          </w:rPr>
          <w:t>.</w:t>
        </w:r>
        <w:r w:rsidRPr="00511005">
          <w:rPr>
            <w:rFonts w:ascii="Arial" w:eastAsia="Calibri" w:hAnsi="Arial" w:cs="Arial"/>
            <w:szCs w:val="28"/>
            <w:lang w:val="pl-PL"/>
          </w:rPr>
          <w:t>ua</w:t>
        </w:r>
        <w:r w:rsidRPr="00511005">
          <w:rPr>
            <w:rFonts w:ascii="Arial" w:eastAsia="Calibri" w:hAnsi="Arial" w:cs="Arial"/>
            <w:szCs w:val="28"/>
          </w:rPr>
          <w:t>/</w:t>
        </w:r>
        <w:r w:rsidRPr="00511005">
          <w:rPr>
            <w:rFonts w:ascii="Arial" w:eastAsia="Calibri" w:hAnsi="Arial" w:cs="Arial"/>
            <w:szCs w:val="28"/>
            <w:lang w:val="pl-PL"/>
          </w:rPr>
          <w:t>laws</w:t>
        </w:r>
        <w:r w:rsidRPr="00511005">
          <w:rPr>
            <w:rFonts w:ascii="Arial" w:eastAsia="Calibri" w:hAnsi="Arial" w:cs="Arial"/>
            <w:szCs w:val="28"/>
          </w:rPr>
          <w:t>/</w:t>
        </w:r>
        <w:r w:rsidRPr="00511005">
          <w:rPr>
            <w:rFonts w:ascii="Arial" w:eastAsia="Calibri" w:hAnsi="Arial" w:cs="Arial"/>
            <w:szCs w:val="28"/>
            <w:lang w:val="pl-PL"/>
          </w:rPr>
          <w:t>show</w:t>
        </w:r>
        <w:r w:rsidRPr="00511005">
          <w:rPr>
            <w:rFonts w:ascii="Arial" w:eastAsia="Calibri" w:hAnsi="Arial" w:cs="Arial"/>
            <w:szCs w:val="28"/>
          </w:rPr>
          <w:t>/995_085#</w:t>
        </w:r>
        <w:r w:rsidRPr="00511005">
          <w:rPr>
            <w:rFonts w:ascii="Arial" w:eastAsia="Calibri" w:hAnsi="Arial" w:cs="Arial"/>
            <w:szCs w:val="28"/>
            <w:lang w:val="pl-PL"/>
          </w:rPr>
          <w:t>Text</w:t>
        </w:r>
      </w:hyperlink>
      <w:r w:rsidRPr="00511005">
        <w:rPr>
          <w:rFonts w:ascii="Arial" w:eastAsia="Calibri" w:hAnsi="Arial" w:cs="Arial"/>
          <w:szCs w:val="28"/>
          <w:lang w:val="pl-PL"/>
        </w:rPr>
        <w:t> </w:t>
      </w:r>
      <w:r w:rsidRPr="00511005">
        <w:rPr>
          <w:rFonts w:ascii="Arial" w:eastAsia="Calibri" w:hAnsi="Arial" w:cs="Arial"/>
          <w:szCs w:val="28"/>
        </w:rPr>
        <w:t>(дата звернення: 27.04.2025).</w:t>
      </w:r>
    </w:p>
    <w:p w14:paraId="298AEE60" w14:textId="77777777" w:rsidR="00220D3E" w:rsidRPr="00511005" w:rsidRDefault="00220D3E" w:rsidP="003F6A5D">
      <w:pPr>
        <w:numPr>
          <w:ilvl w:val="0"/>
          <w:numId w:val="12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Конвенція про захист прав людини і основоположних </w:t>
      </w:r>
      <w:proofErr w:type="gramStart"/>
      <w:r w:rsidRPr="00511005">
        <w:rPr>
          <w:rFonts w:ascii="Arial" w:eastAsia="Calibri" w:hAnsi="Arial" w:cs="Arial"/>
          <w:szCs w:val="28"/>
        </w:rPr>
        <w:t>свобод</w:t>
      </w:r>
      <w:r w:rsidRPr="00511005">
        <w:rPr>
          <w:rFonts w:ascii="Arial" w:eastAsia="Calibri" w:hAnsi="Arial" w:cs="Arial"/>
          <w:szCs w:val="28"/>
          <w:lang w:val="pl-PL"/>
        </w:rPr>
        <w:t> </w:t>
      </w:r>
      <w:r w:rsidRPr="00511005">
        <w:rPr>
          <w:rFonts w:ascii="Arial" w:eastAsia="Calibri" w:hAnsi="Arial" w:cs="Arial"/>
          <w:szCs w:val="28"/>
        </w:rPr>
        <w:t>:</w:t>
      </w:r>
      <w:proofErr w:type="gramEnd"/>
      <w:r w:rsidRPr="00511005">
        <w:rPr>
          <w:rFonts w:ascii="Arial" w:eastAsia="Calibri" w:hAnsi="Arial" w:cs="Arial"/>
          <w:szCs w:val="28"/>
        </w:rPr>
        <w:t xml:space="preserve"> Конвенція Ради Європи від 04.11.1950</w:t>
      </w:r>
      <w:r w:rsidRPr="00511005">
        <w:rPr>
          <w:rFonts w:ascii="Arial" w:eastAsia="Calibri" w:hAnsi="Arial" w:cs="Arial"/>
          <w:szCs w:val="28"/>
          <w:lang w:val="pl-PL"/>
        </w:rPr>
        <w:t> </w:t>
      </w:r>
      <w:r w:rsidRPr="00511005">
        <w:rPr>
          <w:rFonts w:ascii="Arial" w:eastAsia="Calibri" w:hAnsi="Arial" w:cs="Arial"/>
          <w:szCs w:val="28"/>
        </w:rPr>
        <w:t>: станом на 1</w:t>
      </w:r>
      <w:r w:rsidRPr="00511005">
        <w:rPr>
          <w:rFonts w:ascii="Arial" w:eastAsia="Calibri" w:hAnsi="Arial" w:cs="Arial"/>
          <w:szCs w:val="28"/>
          <w:lang w:val="pl-PL"/>
        </w:rPr>
        <w:t> </w:t>
      </w:r>
      <w:r w:rsidRPr="00511005">
        <w:rPr>
          <w:rFonts w:ascii="Arial" w:eastAsia="Calibri" w:hAnsi="Arial" w:cs="Arial"/>
          <w:szCs w:val="28"/>
        </w:rPr>
        <w:t>серп. 2021</w:t>
      </w:r>
      <w:r w:rsidRPr="00511005">
        <w:rPr>
          <w:rFonts w:ascii="Arial" w:eastAsia="Calibri" w:hAnsi="Arial" w:cs="Arial"/>
          <w:szCs w:val="28"/>
          <w:lang w:val="pl-PL"/>
        </w:rPr>
        <w:t> </w:t>
      </w:r>
      <w:r w:rsidRPr="00511005">
        <w:rPr>
          <w:rFonts w:ascii="Arial" w:eastAsia="Calibri" w:hAnsi="Arial" w:cs="Arial"/>
          <w:szCs w:val="28"/>
        </w:rPr>
        <w:t xml:space="preserve">р. </w:t>
      </w:r>
      <w:r w:rsidRPr="00511005">
        <w:rPr>
          <w:rFonts w:ascii="Arial" w:eastAsia="Calibri" w:hAnsi="Arial" w:cs="Arial"/>
          <w:szCs w:val="28"/>
          <w:lang w:val="pl-PL"/>
        </w:rPr>
        <w:t>URL</w:t>
      </w:r>
      <w:r w:rsidRPr="00511005">
        <w:rPr>
          <w:rFonts w:ascii="Arial" w:eastAsia="Calibri" w:hAnsi="Arial" w:cs="Arial"/>
          <w:szCs w:val="28"/>
        </w:rPr>
        <w:t>:</w:t>
      </w:r>
      <w:r w:rsidRPr="00511005">
        <w:rPr>
          <w:rFonts w:ascii="Arial" w:eastAsia="Calibri" w:hAnsi="Arial" w:cs="Arial"/>
          <w:szCs w:val="28"/>
          <w:lang w:val="pl-PL"/>
        </w:rPr>
        <w:t> </w:t>
      </w:r>
      <w:hyperlink r:id="rId449" w:anchor="Text" w:tgtFrame="_blank" w:history="1">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zakon</w:t>
        </w:r>
        <w:r w:rsidRPr="00511005">
          <w:rPr>
            <w:rFonts w:ascii="Arial" w:eastAsia="Calibri" w:hAnsi="Arial" w:cs="Arial"/>
            <w:szCs w:val="28"/>
          </w:rPr>
          <w:t>.</w:t>
        </w:r>
        <w:r w:rsidRPr="00511005">
          <w:rPr>
            <w:rFonts w:ascii="Arial" w:eastAsia="Calibri" w:hAnsi="Arial" w:cs="Arial"/>
            <w:szCs w:val="28"/>
            <w:lang w:val="pl-PL"/>
          </w:rPr>
          <w:t>rada</w:t>
        </w:r>
        <w:r w:rsidRPr="00511005">
          <w:rPr>
            <w:rFonts w:ascii="Arial" w:eastAsia="Calibri" w:hAnsi="Arial" w:cs="Arial"/>
            <w:szCs w:val="28"/>
          </w:rPr>
          <w:t>.</w:t>
        </w:r>
        <w:r w:rsidRPr="00511005">
          <w:rPr>
            <w:rFonts w:ascii="Arial" w:eastAsia="Calibri" w:hAnsi="Arial" w:cs="Arial"/>
            <w:szCs w:val="28"/>
            <w:lang w:val="pl-PL"/>
          </w:rPr>
          <w:t>gov</w:t>
        </w:r>
        <w:r w:rsidRPr="00511005">
          <w:rPr>
            <w:rFonts w:ascii="Arial" w:eastAsia="Calibri" w:hAnsi="Arial" w:cs="Arial"/>
            <w:szCs w:val="28"/>
          </w:rPr>
          <w:t>.</w:t>
        </w:r>
        <w:r w:rsidRPr="00511005">
          <w:rPr>
            <w:rFonts w:ascii="Arial" w:eastAsia="Calibri" w:hAnsi="Arial" w:cs="Arial"/>
            <w:szCs w:val="28"/>
            <w:lang w:val="pl-PL"/>
          </w:rPr>
          <w:t>ua</w:t>
        </w:r>
        <w:r w:rsidRPr="00511005">
          <w:rPr>
            <w:rFonts w:ascii="Arial" w:eastAsia="Calibri" w:hAnsi="Arial" w:cs="Arial"/>
            <w:szCs w:val="28"/>
          </w:rPr>
          <w:t>/</w:t>
        </w:r>
        <w:r w:rsidRPr="00511005">
          <w:rPr>
            <w:rFonts w:ascii="Arial" w:eastAsia="Calibri" w:hAnsi="Arial" w:cs="Arial"/>
            <w:szCs w:val="28"/>
            <w:lang w:val="pl-PL"/>
          </w:rPr>
          <w:t>laws</w:t>
        </w:r>
        <w:r w:rsidRPr="00511005">
          <w:rPr>
            <w:rFonts w:ascii="Arial" w:eastAsia="Calibri" w:hAnsi="Arial" w:cs="Arial"/>
            <w:szCs w:val="28"/>
          </w:rPr>
          <w:t>/</w:t>
        </w:r>
        <w:r w:rsidRPr="00511005">
          <w:rPr>
            <w:rFonts w:ascii="Arial" w:eastAsia="Calibri" w:hAnsi="Arial" w:cs="Arial"/>
            <w:szCs w:val="28"/>
            <w:lang w:val="pl-PL"/>
          </w:rPr>
          <w:t>show</w:t>
        </w:r>
        <w:r w:rsidRPr="00511005">
          <w:rPr>
            <w:rFonts w:ascii="Arial" w:eastAsia="Calibri" w:hAnsi="Arial" w:cs="Arial"/>
            <w:szCs w:val="28"/>
          </w:rPr>
          <w:t>/995_004#</w:t>
        </w:r>
        <w:r w:rsidRPr="00511005">
          <w:rPr>
            <w:rFonts w:ascii="Arial" w:eastAsia="Calibri" w:hAnsi="Arial" w:cs="Arial"/>
            <w:szCs w:val="28"/>
            <w:lang w:val="pl-PL"/>
          </w:rPr>
          <w:t>Text</w:t>
        </w:r>
      </w:hyperlink>
      <w:r w:rsidRPr="00511005">
        <w:rPr>
          <w:rFonts w:ascii="Arial" w:eastAsia="Calibri" w:hAnsi="Arial" w:cs="Arial"/>
          <w:szCs w:val="28"/>
          <w:lang w:val="pl-PL"/>
        </w:rPr>
        <w:t> </w:t>
      </w:r>
      <w:r w:rsidRPr="00511005">
        <w:rPr>
          <w:rFonts w:ascii="Arial" w:eastAsia="Calibri" w:hAnsi="Arial" w:cs="Arial"/>
          <w:szCs w:val="28"/>
        </w:rPr>
        <w:t>(дата звернення: 27.04.2025).</w:t>
      </w:r>
    </w:p>
    <w:p w14:paraId="51E79664" w14:textId="77777777" w:rsidR="00220D3E" w:rsidRPr="00511005" w:rsidRDefault="00220D3E" w:rsidP="003F6A5D">
      <w:pPr>
        <w:numPr>
          <w:ilvl w:val="0"/>
          <w:numId w:val="12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Питання виконання Женевської конвенції про захист цивільного населення під час війни від 12 серпня 1949 </w:t>
      </w:r>
      <w:proofErr w:type="gramStart"/>
      <w:r w:rsidRPr="00511005">
        <w:rPr>
          <w:rFonts w:ascii="Arial" w:eastAsia="Calibri" w:hAnsi="Arial" w:cs="Arial"/>
          <w:szCs w:val="28"/>
        </w:rPr>
        <w:t>року</w:t>
      </w:r>
      <w:r w:rsidRPr="00511005">
        <w:rPr>
          <w:rFonts w:ascii="Arial" w:eastAsia="Calibri" w:hAnsi="Arial" w:cs="Arial"/>
          <w:szCs w:val="28"/>
          <w:lang w:val="pl-PL"/>
        </w:rPr>
        <w:t> </w:t>
      </w:r>
      <w:r w:rsidRPr="00511005">
        <w:rPr>
          <w:rFonts w:ascii="Arial" w:eastAsia="Calibri" w:hAnsi="Arial" w:cs="Arial"/>
          <w:szCs w:val="28"/>
        </w:rPr>
        <w:t>:</w:t>
      </w:r>
      <w:proofErr w:type="gramEnd"/>
      <w:r w:rsidRPr="00511005">
        <w:rPr>
          <w:rFonts w:ascii="Arial" w:eastAsia="Calibri" w:hAnsi="Arial" w:cs="Arial"/>
          <w:szCs w:val="28"/>
        </w:rPr>
        <w:t xml:space="preserve"> Розпорядж. Каб. Міністрів України від 31.05.2022 №</w:t>
      </w:r>
      <w:r w:rsidRPr="00511005">
        <w:rPr>
          <w:rFonts w:ascii="Arial" w:eastAsia="Calibri" w:hAnsi="Arial" w:cs="Arial"/>
          <w:szCs w:val="28"/>
          <w:lang w:val="pl-PL"/>
        </w:rPr>
        <w:t> </w:t>
      </w:r>
      <w:r w:rsidRPr="00511005">
        <w:rPr>
          <w:rFonts w:ascii="Arial" w:eastAsia="Calibri" w:hAnsi="Arial" w:cs="Arial"/>
          <w:szCs w:val="28"/>
        </w:rPr>
        <w:t xml:space="preserve">434-р. </w:t>
      </w:r>
      <w:r w:rsidRPr="00511005">
        <w:rPr>
          <w:rFonts w:ascii="Arial" w:eastAsia="Calibri" w:hAnsi="Arial" w:cs="Arial"/>
          <w:szCs w:val="28"/>
          <w:lang w:val="pl-PL"/>
        </w:rPr>
        <w:t>URL</w:t>
      </w:r>
      <w:r w:rsidRPr="00511005">
        <w:rPr>
          <w:rFonts w:ascii="Arial" w:eastAsia="Calibri" w:hAnsi="Arial" w:cs="Arial"/>
          <w:szCs w:val="28"/>
        </w:rPr>
        <w:t>:</w:t>
      </w:r>
      <w:r w:rsidRPr="00511005">
        <w:rPr>
          <w:rFonts w:ascii="Arial" w:eastAsia="Calibri" w:hAnsi="Arial" w:cs="Arial"/>
          <w:szCs w:val="28"/>
          <w:lang w:val="pl-PL"/>
        </w:rPr>
        <w:t> </w:t>
      </w:r>
      <w:hyperlink r:id="rId450" w:anchor="Text" w:tgtFrame="_blank" w:history="1">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zakon</w:t>
        </w:r>
        <w:r w:rsidRPr="00511005">
          <w:rPr>
            <w:rFonts w:ascii="Arial" w:eastAsia="Calibri" w:hAnsi="Arial" w:cs="Arial"/>
            <w:szCs w:val="28"/>
          </w:rPr>
          <w:t>.</w:t>
        </w:r>
        <w:r w:rsidRPr="00511005">
          <w:rPr>
            <w:rFonts w:ascii="Arial" w:eastAsia="Calibri" w:hAnsi="Arial" w:cs="Arial"/>
            <w:szCs w:val="28"/>
            <w:lang w:val="pl-PL"/>
          </w:rPr>
          <w:t>rada</w:t>
        </w:r>
        <w:r w:rsidRPr="00511005">
          <w:rPr>
            <w:rFonts w:ascii="Arial" w:eastAsia="Calibri" w:hAnsi="Arial" w:cs="Arial"/>
            <w:szCs w:val="28"/>
          </w:rPr>
          <w:t>.</w:t>
        </w:r>
        <w:r w:rsidRPr="00511005">
          <w:rPr>
            <w:rFonts w:ascii="Arial" w:eastAsia="Calibri" w:hAnsi="Arial" w:cs="Arial"/>
            <w:szCs w:val="28"/>
            <w:lang w:val="pl-PL"/>
          </w:rPr>
          <w:t>gov</w:t>
        </w:r>
        <w:r w:rsidRPr="00511005">
          <w:rPr>
            <w:rFonts w:ascii="Arial" w:eastAsia="Calibri" w:hAnsi="Arial" w:cs="Arial"/>
            <w:szCs w:val="28"/>
          </w:rPr>
          <w:t>.</w:t>
        </w:r>
        <w:r w:rsidRPr="00511005">
          <w:rPr>
            <w:rFonts w:ascii="Arial" w:eastAsia="Calibri" w:hAnsi="Arial" w:cs="Arial"/>
            <w:szCs w:val="28"/>
            <w:lang w:val="pl-PL"/>
          </w:rPr>
          <w:t>ua</w:t>
        </w:r>
        <w:r w:rsidRPr="00511005">
          <w:rPr>
            <w:rFonts w:ascii="Arial" w:eastAsia="Calibri" w:hAnsi="Arial" w:cs="Arial"/>
            <w:szCs w:val="28"/>
          </w:rPr>
          <w:t>/</w:t>
        </w:r>
        <w:r w:rsidRPr="00511005">
          <w:rPr>
            <w:rFonts w:ascii="Arial" w:eastAsia="Calibri" w:hAnsi="Arial" w:cs="Arial"/>
            <w:szCs w:val="28"/>
            <w:lang w:val="pl-PL"/>
          </w:rPr>
          <w:t>laws</w:t>
        </w:r>
        <w:r w:rsidRPr="00511005">
          <w:rPr>
            <w:rFonts w:ascii="Arial" w:eastAsia="Calibri" w:hAnsi="Arial" w:cs="Arial"/>
            <w:szCs w:val="28"/>
          </w:rPr>
          <w:t>/</w:t>
        </w:r>
        <w:r w:rsidRPr="00511005">
          <w:rPr>
            <w:rFonts w:ascii="Arial" w:eastAsia="Calibri" w:hAnsi="Arial" w:cs="Arial"/>
            <w:szCs w:val="28"/>
            <w:lang w:val="pl-PL"/>
          </w:rPr>
          <w:t>show</w:t>
        </w:r>
        <w:r w:rsidRPr="00511005">
          <w:rPr>
            <w:rFonts w:ascii="Arial" w:eastAsia="Calibri" w:hAnsi="Arial" w:cs="Arial"/>
            <w:szCs w:val="28"/>
          </w:rPr>
          <w:t>/434-2022-р#</w:t>
        </w:r>
        <w:r w:rsidRPr="00511005">
          <w:rPr>
            <w:rFonts w:ascii="Arial" w:eastAsia="Calibri" w:hAnsi="Arial" w:cs="Arial"/>
            <w:szCs w:val="28"/>
            <w:lang w:val="pl-PL"/>
          </w:rPr>
          <w:t>Text</w:t>
        </w:r>
      </w:hyperlink>
      <w:r w:rsidRPr="00511005">
        <w:rPr>
          <w:rFonts w:ascii="Arial" w:eastAsia="Calibri" w:hAnsi="Arial" w:cs="Arial"/>
          <w:szCs w:val="28"/>
          <w:lang w:val="pl-PL"/>
        </w:rPr>
        <w:t> </w:t>
      </w:r>
      <w:r w:rsidRPr="00511005">
        <w:rPr>
          <w:rFonts w:ascii="Arial" w:eastAsia="Calibri" w:hAnsi="Arial" w:cs="Arial"/>
          <w:szCs w:val="28"/>
        </w:rPr>
        <w:t>(дата звернення: 27.04.2025).</w:t>
      </w:r>
    </w:p>
    <w:p w14:paraId="3C81590A" w14:textId="77777777" w:rsidR="00220D3E" w:rsidRPr="00511005" w:rsidRDefault="00220D3E" w:rsidP="003F6A5D">
      <w:pPr>
        <w:numPr>
          <w:ilvl w:val="0"/>
          <w:numId w:val="12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Женевська конвенція про поводження з військовополоненими (укр/рос</w:t>
      </w:r>
      <w:proofErr w:type="gramStart"/>
      <w:r w:rsidRPr="00511005">
        <w:rPr>
          <w:rFonts w:ascii="Arial" w:eastAsia="Calibri" w:hAnsi="Arial" w:cs="Arial"/>
          <w:szCs w:val="28"/>
        </w:rPr>
        <w:t>)</w:t>
      </w:r>
      <w:r w:rsidRPr="00511005">
        <w:rPr>
          <w:rFonts w:ascii="Arial" w:eastAsia="Calibri" w:hAnsi="Arial" w:cs="Arial"/>
          <w:szCs w:val="28"/>
          <w:lang w:val="pl-PL"/>
        </w:rPr>
        <w:t> </w:t>
      </w:r>
      <w:r w:rsidRPr="00511005">
        <w:rPr>
          <w:rFonts w:ascii="Arial" w:eastAsia="Calibri" w:hAnsi="Arial" w:cs="Arial"/>
          <w:szCs w:val="28"/>
        </w:rPr>
        <w:t>:</w:t>
      </w:r>
      <w:proofErr w:type="gramEnd"/>
      <w:r w:rsidRPr="00511005">
        <w:rPr>
          <w:rFonts w:ascii="Arial" w:eastAsia="Calibri" w:hAnsi="Arial" w:cs="Arial"/>
          <w:szCs w:val="28"/>
        </w:rPr>
        <w:t xml:space="preserve"> Конвенція Орг. Об'єдн. Націй від </w:t>
      </w:r>
      <w:proofErr w:type="gramStart"/>
      <w:r w:rsidRPr="00511005">
        <w:rPr>
          <w:rFonts w:ascii="Arial" w:eastAsia="Calibri" w:hAnsi="Arial" w:cs="Arial"/>
          <w:szCs w:val="28"/>
        </w:rPr>
        <w:t>12.08.1949</w:t>
      </w:r>
      <w:r w:rsidRPr="00511005">
        <w:rPr>
          <w:rFonts w:ascii="Arial" w:eastAsia="Calibri" w:hAnsi="Arial" w:cs="Arial"/>
          <w:szCs w:val="28"/>
          <w:lang w:val="pl-PL"/>
        </w:rPr>
        <w:t> </w:t>
      </w:r>
      <w:r w:rsidRPr="00511005">
        <w:rPr>
          <w:rFonts w:ascii="Arial" w:eastAsia="Calibri" w:hAnsi="Arial" w:cs="Arial"/>
          <w:szCs w:val="28"/>
        </w:rPr>
        <w:t>:</w:t>
      </w:r>
      <w:proofErr w:type="gramEnd"/>
      <w:r w:rsidRPr="00511005">
        <w:rPr>
          <w:rFonts w:ascii="Arial" w:eastAsia="Calibri" w:hAnsi="Arial" w:cs="Arial"/>
          <w:szCs w:val="28"/>
        </w:rPr>
        <w:t xml:space="preserve"> станом на 23</w:t>
      </w:r>
      <w:r w:rsidRPr="00511005">
        <w:rPr>
          <w:rFonts w:ascii="Arial" w:eastAsia="Calibri" w:hAnsi="Arial" w:cs="Arial"/>
          <w:szCs w:val="28"/>
          <w:lang w:val="pl-PL"/>
        </w:rPr>
        <w:t> </w:t>
      </w:r>
      <w:r w:rsidRPr="00511005">
        <w:rPr>
          <w:rFonts w:ascii="Arial" w:eastAsia="Calibri" w:hAnsi="Arial" w:cs="Arial"/>
          <w:szCs w:val="28"/>
        </w:rPr>
        <w:t>лют. 2023</w:t>
      </w:r>
      <w:r w:rsidRPr="00511005">
        <w:rPr>
          <w:rFonts w:ascii="Arial" w:eastAsia="Calibri" w:hAnsi="Arial" w:cs="Arial"/>
          <w:szCs w:val="28"/>
          <w:lang w:val="pl-PL"/>
        </w:rPr>
        <w:t> </w:t>
      </w:r>
      <w:r w:rsidRPr="00511005">
        <w:rPr>
          <w:rFonts w:ascii="Arial" w:eastAsia="Calibri" w:hAnsi="Arial" w:cs="Arial"/>
          <w:szCs w:val="28"/>
        </w:rPr>
        <w:t xml:space="preserve">р. </w:t>
      </w:r>
      <w:r w:rsidRPr="00511005">
        <w:rPr>
          <w:rFonts w:ascii="Arial" w:eastAsia="Calibri" w:hAnsi="Arial" w:cs="Arial"/>
          <w:szCs w:val="28"/>
          <w:lang w:val="pl-PL"/>
        </w:rPr>
        <w:t>URL</w:t>
      </w:r>
      <w:r w:rsidRPr="00511005">
        <w:rPr>
          <w:rFonts w:ascii="Arial" w:eastAsia="Calibri" w:hAnsi="Arial" w:cs="Arial"/>
          <w:szCs w:val="28"/>
        </w:rPr>
        <w:t>:</w:t>
      </w:r>
      <w:r w:rsidRPr="00511005">
        <w:rPr>
          <w:rFonts w:ascii="Arial" w:eastAsia="Calibri" w:hAnsi="Arial" w:cs="Arial"/>
          <w:szCs w:val="28"/>
          <w:lang w:val="pl-PL"/>
        </w:rPr>
        <w:t> </w:t>
      </w:r>
      <w:hyperlink r:id="rId451" w:anchor="Text" w:tgtFrame="_blank" w:history="1">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zakon</w:t>
        </w:r>
        <w:r w:rsidRPr="00511005">
          <w:rPr>
            <w:rFonts w:ascii="Arial" w:eastAsia="Calibri" w:hAnsi="Arial" w:cs="Arial"/>
            <w:szCs w:val="28"/>
          </w:rPr>
          <w:t>.</w:t>
        </w:r>
        <w:r w:rsidRPr="00511005">
          <w:rPr>
            <w:rFonts w:ascii="Arial" w:eastAsia="Calibri" w:hAnsi="Arial" w:cs="Arial"/>
            <w:szCs w:val="28"/>
            <w:lang w:val="pl-PL"/>
          </w:rPr>
          <w:t>rada</w:t>
        </w:r>
        <w:r w:rsidRPr="00511005">
          <w:rPr>
            <w:rFonts w:ascii="Arial" w:eastAsia="Calibri" w:hAnsi="Arial" w:cs="Arial"/>
            <w:szCs w:val="28"/>
          </w:rPr>
          <w:t>.</w:t>
        </w:r>
        <w:r w:rsidRPr="00511005">
          <w:rPr>
            <w:rFonts w:ascii="Arial" w:eastAsia="Calibri" w:hAnsi="Arial" w:cs="Arial"/>
            <w:szCs w:val="28"/>
            <w:lang w:val="pl-PL"/>
          </w:rPr>
          <w:t>gov</w:t>
        </w:r>
        <w:r w:rsidRPr="00511005">
          <w:rPr>
            <w:rFonts w:ascii="Arial" w:eastAsia="Calibri" w:hAnsi="Arial" w:cs="Arial"/>
            <w:szCs w:val="28"/>
          </w:rPr>
          <w:t>.</w:t>
        </w:r>
        <w:r w:rsidRPr="00511005">
          <w:rPr>
            <w:rFonts w:ascii="Arial" w:eastAsia="Calibri" w:hAnsi="Arial" w:cs="Arial"/>
            <w:szCs w:val="28"/>
            <w:lang w:val="pl-PL"/>
          </w:rPr>
          <w:t>ua</w:t>
        </w:r>
        <w:r w:rsidRPr="00511005">
          <w:rPr>
            <w:rFonts w:ascii="Arial" w:eastAsia="Calibri" w:hAnsi="Arial" w:cs="Arial"/>
            <w:szCs w:val="28"/>
          </w:rPr>
          <w:t>/</w:t>
        </w:r>
        <w:r w:rsidRPr="00511005">
          <w:rPr>
            <w:rFonts w:ascii="Arial" w:eastAsia="Calibri" w:hAnsi="Arial" w:cs="Arial"/>
            <w:szCs w:val="28"/>
            <w:lang w:val="pl-PL"/>
          </w:rPr>
          <w:t>laws</w:t>
        </w:r>
        <w:r w:rsidRPr="00511005">
          <w:rPr>
            <w:rFonts w:ascii="Arial" w:eastAsia="Calibri" w:hAnsi="Arial" w:cs="Arial"/>
            <w:szCs w:val="28"/>
          </w:rPr>
          <w:t>/</w:t>
        </w:r>
        <w:r w:rsidRPr="00511005">
          <w:rPr>
            <w:rFonts w:ascii="Arial" w:eastAsia="Calibri" w:hAnsi="Arial" w:cs="Arial"/>
            <w:szCs w:val="28"/>
            <w:lang w:val="pl-PL"/>
          </w:rPr>
          <w:t>show</w:t>
        </w:r>
        <w:r w:rsidRPr="00511005">
          <w:rPr>
            <w:rFonts w:ascii="Arial" w:eastAsia="Calibri" w:hAnsi="Arial" w:cs="Arial"/>
            <w:szCs w:val="28"/>
          </w:rPr>
          <w:t>/995_153#</w:t>
        </w:r>
        <w:r w:rsidRPr="00511005">
          <w:rPr>
            <w:rFonts w:ascii="Arial" w:eastAsia="Calibri" w:hAnsi="Arial" w:cs="Arial"/>
            <w:szCs w:val="28"/>
            <w:lang w:val="pl-PL"/>
          </w:rPr>
          <w:t>Text</w:t>
        </w:r>
      </w:hyperlink>
      <w:r w:rsidRPr="00511005">
        <w:rPr>
          <w:rFonts w:ascii="Arial" w:eastAsia="Calibri" w:hAnsi="Arial" w:cs="Arial"/>
          <w:szCs w:val="28"/>
          <w:lang w:val="pl-PL"/>
        </w:rPr>
        <w:t> </w:t>
      </w:r>
      <w:r w:rsidRPr="00511005">
        <w:rPr>
          <w:rFonts w:ascii="Arial" w:eastAsia="Calibri" w:hAnsi="Arial" w:cs="Arial"/>
          <w:szCs w:val="28"/>
        </w:rPr>
        <w:t>(дата звернення: 27.04.2025).</w:t>
      </w:r>
    </w:p>
    <w:p w14:paraId="49419EE3" w14:textId="77777777" w:rsidR="00220D3E" w:rsidRPr="00511005" w:rsidRDefault="00220D3E" w:rsidP="003F6A5D">
      <w:pPr>
        <w:numPr>
          <w:ilvl w:val="0"/>
          <w:numId w:val="12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Римський статут міжнародного кримінального </w:t>
      </w:r>
      <w:proofErr w:type="gramStart"/>
      <w:r w:rsidRPr="00511005">
        <w:rPr>
          <w:rFonts w:ascii="Arial" w:eastAsia="Calibri" w:hAnsi="Arial" w:cs="Arial"/>
          <w:szCs w:val="28"/>
        </w:rPr>
        <w:t>суду</w:t>
      </w:r>
      <w:r w:rsidRPr="00511005">
        <w:rPr>
          <w:rFonts w:ascii="Arial" w:eastAsia="Calibri" w:hAnsi="Arial" w:cs="Arial"/>
          <w:szCs w:val="28"/>
          <w:lang w:val="pl-PL"/>
        </w:rPr>
        <w:t> </w:t>
      </w:r>
      <w:r w:rsidRPr="00511005">
        <w:rPr>
          <w:rFonts w:ascii="Arial" w:eastAsia="Calibri" w:hAnsi="Arial" w:cs="Arial"/>
          <w:szCs w:val="28"/>
        </w:rPr>
        <w:t>:</w:t>
      </w:r>
      <w:proofErr w:type="gramEnd"/>
      <w:r w:rsidRPr="00511005">
        <w:rPr>
          <w:rFonts w:ascii="Arial" w:eastAsia="Calibri" w:hAnsi="Arial" w:cs="Arial"/>
          <w:szCs w:val="28"/>
        </w:rPr>
        <w:t xml:space="preserve"> Статут Міжнар. судів від 17.07.1998</w:t>
      </w:r>
      <w:r w:rsidRPr="00511005">
        <w:rPr>
          <w:rFonts w:ascii="Arial" w:eastAsia="Calibri" w:hAnsi="Arial" w:cs="Arial"/>
          <w:szCs w:val="28"/>
          <w:lang w:val="pl-PL"/>
        </w:rPr>
        <w:t> </w:t>
      </w:r>
      <w:r w:rsidRPr="00511005">
        <w:rPr>
          <w:rFonts w:ascii="Arial" w:eastAsia="Calibri" w:hAnsi="Arial" w:cs="Arial"/>
          <w:szCs w:val="28"/>
        </w:rPr>
        <w:t>: станом на 21</w:t>
      </w:r>
      <w:r w:rsidRPr="00511005">
        <w:rPr>
          <w:rFonts w:ascii="Arial" w:eastAsia="Calibri" w:hAnsi="Arial" w:cs="Arial"/>
          <w:szCs w:val="28"/>
          <w:lang w:val="pl-PL"/>
        </w:rPr>
        <w:t> </w:t>
      </w:r>
      <w:r w:rsidRPr="00511005">
        <w:rPr>
          <w:rFonts w:ascii="Arial" w:eastAsia="Calibri" w:hAnsi="Arial" w:cs="Arial"/>
          <w:szCs w:val="28"/>
        </w:rPr>
        <w:t>серп. 2024</w:t>
      </w:r>
      <w:r w:rsidRPr="00511005">
        <w:rPr>
          <w:rFonts w:ascii="Arial" w:eastAsia="Calibri" w:hAnsi="Arial" w:cs="Arial"/>
          <w:szCs w:val="28"/>
          <w:lang w:val="pl-PL"/>
        </w:rPr>
        <w:t> </w:t>
      </w:r>
      <w:r w:rsidRPr="00511005">
        <w:rPr>
          <w:rFonts w:ascii="Arial" w:eastAsia="Calibri" w:hAnsi="Arial" w:cs="Arial"/>
          <w:szCs w:val="28"/>
        </w:rPr>
        <w:t xml:space="preserve">р. </w:t>
      </w:r>
      <w:r w:rsidRPr="00511005">
        <w:rPr>
          <w:rFonts w:ascii="Arial" w:eastAsia="Calibri" w:hAnsi="Arial" w:cs="Arial"/>
          <w:szCs w:val="28"/>
          <w:lang w:val="pl-PL"/>
        </w:rPr>
        <w:t>URL</w:t>
      </w:r>
      <w:r w:rsidRPr="00511005">
        <w:rPr>
          <w:rFonts w:ascii="Arial" w:eastAsia="Calibri" w:hAnsi="Arial" w:cs="Arial"/>
          <w:szCs w:val="28"/>
        </w:rPr>
        <w:t>:</w:t>
      </w:r>
      <w:r w:rsidRPr="00511005">
        <w:rPr>
          <w:rFonts w:ascii="Arial" w:eastAsia="Calibri" w:hAnsi="Arial" w:cs="Arial"/>
          <w:szCs w:val="28"/>
          <w:lang w:val="pl-PL"/>
        </w:rPr>
        <w:t> </w:t>
      </w:r>
      <w:hyperlink r:id="rId452" w:anchor="Text" w:tgtFrame="_blank" w:history="1">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zakon</w:t>
        </w:r>
        <w:r w:rsidRPr="00511005">
          <w:rPr>
            <w:rFonts w:ascii="Arial" w:eastAsia="Calibri" w:hAnsi="Arial" w:cs="Arial"/>
            <w:szCs w:val="28"/>
          </w:rPr>
          <w:t>.</w:t>
        </w:r>
        <w:r w:rsidRPr="00511005">
          <w:rPr>
            <w:rFonts w:ascii="Arial" w:eastAsia="Calibri" w:hAnsi="Arial" w:cs="Arial"/>
            <w:szCs w:val="28"/>
            <w:lang w:val="pl-PL"/>
          </w:rPr>
          <w:t>rada</w:t>
        </w:r>
        <w:r w:rsidRPr="00511005">
          <w:rPr>
            <w:rFonts w:ascii="Arial" w:eastAsia="Calibri" w:hAnsi="Arial" w:cs="Arial"/>
            <w:szCs w:val="28"/>
          </w:rPr>
          <w:t>.</w:t>
        </w:r>
        <w:r w:rsidRPr="00511005">
          <w:rPr>
            <w:rFonts w:ascii="Arial" w:eastAsia="Calibri" w:hAnsi="Arial" w:cs="Arial"/>
            <w:szCs w:val="28"/>
            <w:lang w:val="pl-PL"/>
          </w:rPr>
          <w:t>gov</w:t>
        </w:r>
        <w:r w:rsidRPr="00511005">
          <w:rPr>
            <w:rFonts w:ascii="Arial" w:eastAsia="Calibri" w:hAnsi="Arial" w:cs="Arial"/>
            <w:szCs w:val="28"/>
          </w:rPr>
          <w:t>.</w:t>
        </w:r>
        <w:r w:rsidRPr="00511005">
          <w:rPr>
            <w:rFonts w:ascii="Arial" w:eastAsia="Calibri" w:hAnsi="Arial" w:cs="Arial"/>
            <w:szCs w:val="28"/>
            <w:lang w:val="pl-PL"/>
          </w:rPr>
          <w:t>ua</w:t>
        </w:r>
        <w:r w:rsidRPr="00511005">
          <w:rPr>
            <w:rFonts w:ascii="Arial" w:eastAsia="Calibri" w:hAnsi="Arial" w:cs="Arial"/>
            <w:szCs w:val="28"/>
          </w:rPr>
          <w:t>/</w:t>
        </w:r>
        <w:r w:rsidRPr="00511005">
          <w:rPr>
            <w:rFonts w:ascii="Arial" w:eastAsia="Calibri" w:hAnsi="Arial" w:cs="Arial"/>
            <w:szCs w:val="28"/>
            <w:lang w:val="pl-PL"/>
          </w:rPr>
          <w:t>laws</w:t>
        </w:r>
        <w:r w:rsidRPr="00511005">
          <w:rPr>
            <w:rFonts w:ascii="Arial" w:eastAsia="Calibri" w:hAnsi="Arial" w:cs="Arial"/>
            <w:szCs w:val="28"/>
          </w:rPr>
          <w:t>/</w:t>
        </w:r>
        <w:r w:rsidRPr="00511005">
          <w:rPr>
            <w:rFonts w:ascii="Arial" w:eastAsia="Calibri" w:hAnsi="Arial" w:cs="Arial"/>
            <w:szCs w:val="28"/>
            <w:lang w:val="pl-PL"/>
          </w:rPr>
          <w:t>show</w:t>
        </w:r>
        <w:r w:rsidRPr="00511005">
          <w:rPr>
            <w:rFonts w:ascii="Arial" w:eastAsia="Calibri" w:hAnsi="Arial" w:cs="Arial"/>
            <w:szCs w:val="28"/>
          </w:rPr>
          <w:t>/995_588#</w:t>
        </w:r>
        <w:r w:rsidRPr="00511005">
          <w:rPr>
            <w:rFonts w:ascii="Arial" w:eastAsia="Calibri" w:hAnsi="Arial" w:cs="Arial"/>
            <w:szCs w:val="28"/>
            <w:lang w:val="pl-PL"/>
          </w:rPr>
          <w:t>Text</w:t>
        </w:r>
      </w:hyperlink>
      <w:r w:rsidRPr="00511005">
        <w:rPr>
          <w:rFonts w:ascii="Arial" w:eastAsia="Calibri" w:hAnsi="Arial" w:cs="Arial"/>
          <w:szCs w:val="28"/>
          <w:lang w:val="pl-PL"/>
        </w:rPr>
        <w:t> </w:t>
      </w:r>
      <w:r w:rsidRPr="00511005">
        <w:rPr>
          <w:rFonts w:ascii="Arial" w:eastAsia="Calibri" w:hAnsi="Arial" w:cs="Arial"/>
          <w:szCs w:val="28"/>
        </w:rPr>
        <w:t>(дата звернення: 28.04.2025).</w:t>
      </w:r>
    </w:p>
    <w:p w14:paraId="75794487" w14:textId="77777777" w:rsidR="00220D3E" w:rsidRPr="00511005" w:rsidRDefault="00220D3E" w:rsidP="003F6A5D">
      <w:pPr>
        <w:numPr>
          <w:ilvl w:val="0"/>
          <w:numId w:val="12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Головне</w:t>
      </w:r>
      <w:r w:rsidRPr="00511005">
        <w:rPr>
          <w:rFonts w:ascii="Arial" w:eastAsia="Calibri" w:hAnsi="Arial" w:cs="Arial"/>
          <w:szCs w:val="28"/>
          <w:lang w:val="pl-PL"/>
        </w:rPr>
        <w:t> </w:t>
      </w:r>
      <w:r w:rsidRPr="00511005">
        <w:rPr>
          <w:rFonts w:ascii="Arial" w:eastAsia="Calibri" w:hAnsi="Arial" w:cs="Arial"/>
          <w:szCs w:val="28"/>
        </w:rPr>
        <w:t xml:space="preserve">упр. розвідки МО України. Щодо окремих фактів вбивства українських військовополонених. </w:t>
      </w:r>
      <w:r w:rsidRPr="00511005">
        <w:rPr>
          <w:rFonts w:ascii="Arial" w:eastAsia="Calibri" w:hAnsi="Arial" w:cs="Arial"/>
          <w:szCs w:val="28"/>
          <w:lang w:val="pl-PL"/>
        </w:rPr>
        <w:t>URL</w:t>
      </w:r>
      <w:r w:rsidRPr="00511005">
        <w:rPr>
          <w:rFonts w:ascii="Arial" w:eastAsia="Calibri" w:hAnsi="Arial" w:cs="Arial"/>
          <w:szCs w:val="28"/>
        </w:rPr>
        <w:t>:</w:t>
      </w:r>
      <w:r w:rsidRPr="00511005">
        <w:rPr>
          <w:rFonts w:ascii="Arial" w:eastAsia="Calibri" w:hAnsi="Arial" w:cs="Arial"/>
          <w:szCs w:val="28"/>
          <w:lang w:val="pl-PL"/>
        </w:rPr>
        <w:t> </w:t>
      </w:r>
      <w:hyperlink r:id="rId453" w:tgtFrame="_blank" w:history="1">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t</w:t>
        </w:r>
        <w:r w:rsidRPr="00511005">
          <w:rPr>
            <w:rFonts w:ascii="Arial" w:eastAsia="Calibri" w:hAnsi="Arial" w:cs="Arial"/>
            <w:szCs w:val="28"/>
          </w:rPr>
          <w:t>.</w:t>
        </w:r>
        <w:r w:rsidRPr="00511005">
          <w:rPr>
            <w:rFonts w:ascii="Arial" w:eastAsia="Calibri" w:hAnsi="Arial" w:cs="Arial"/>
            <w:szCs w:val="28"/>
            <w:lang w:val="pl-PL"/>
          </w:rPr>
          <w:t>me</w:t>
        </w:r>
        <w:r w:rsidRPr="00511005">
          <w:rPr>
            <w:rFonts w:ascii="Arial" w:eastAsia="Calibri" w:hAnsi="Arial" w:cs="Arial"/>
            <w:szCs w:val="28"/>
          </w:rPr>
          <w:t>/</w:t>
        </w:r>
        <w:r w:rsidRPr="00511005">
          <w:rPr>
            <w:rFonts w:ascii="Arial" w:eastAsia="Calibri" w:hAnsi="Arial" w:cs="Arial"/>
            <w:szCs w:val="28"/>
            <w:lang w:val="pl-PL"/>
          </w:rPr>
          <w:t>DIUkraine</w:t>
        </w:r>
        <w:r w:rsidRPr="00511005">
          <w:rPr>
            <w:rFonts w:ascii="Arial" w:eastAsia="Calibri" w:hAnsi="Arial" w:cs="Arial"/>
            <w:szCs w:val="28"/>
          </w:rPr>
          <w:t>/1039</w:t>
        </w:r>
      </w:hyperlink>
      <w:r w:rsidRPr="00511005">
        <w:rPr>
          <w:rFonts w:ascii="Arial" w:eastAsia="Calibri" w:hAnsi="Arial" w:cs="Arial"/>
          <w:szCs w:val="28"/>
          <w:lang w:val="pl-PL"/>
        </w:rPr>
        <w:t> </w:t>
      </w:r>
      <w:r w:rsidRPr="00511005">
        <w:rPr>
          <w:rFonts w:ascii="Arial" w:eastAsia="Calibri" w:hAnsi="Arial" w:cs="Arial"/>
          <w:szCs w:val="28"/>
        </w:rPr>
        <w:t>(дата звернення: 27.04.2025).</w:t>
      </w:r>
    </w:p>
    <w:p w14:paraId="4846D59F" w14:textId="77777777" w:rsidR="00220D3E" w:rsidRPr="00511005" w:rsidRDefault="00220D3E" w:rsidP="003F6A5D">
      <w:pPr>
        <w:numPr>
          <w:ilvl w:val="0"/>
          <w:numId w:val="12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Українська правда. Слідчі суду в Гаазі вже в Україні, збирають докази проти РФ – Зеленський. </w:t>
      </w:r>
      <w:r w:rsidRPr="00511005">
        <w:rPr>
          <w:rFonts w:ascii="Arial" w:eastAsia="Calibri" w:hAnsi="Arial" w:cs="Arial"/>
          <w:szCs w:val="28"/>
          <w:lang w:val="pl-PL"/>
        </w:rPr>
        <w:t>2022. URL: </w:t>
      </w:r>
      <w:hyperlink r:id="rId454" w:tgtFrame="_blank" w:history="1">
        <w:r w:rsidRPr="00511005">
          <w:rPr>
            <w:rFonts w:ascii="Arial" w:eastAsia="Calibri" w:hAnsi="Arial" w:cs="Arial"/>
            <w:szCs w:val="28"/>
            <w:lang w:val="pl-PL"/>
          </w:rPr>
          <w:t>https://www.pravda.com.ua/news/2022/03/16/7331869/</w:t>
        </w:r>
      </w:hyperlink>
      <w:r w:rsidRPr="00511005">
        <w:rPr>
          <w:rFonts w:ascii="Arial" w:eastAsia="Calibri" w:hAnsi="Arial" w:cs="Arial"/>
          <w:szCs w:val="28"/>
          <w:lang w:val="pl-PL"/>
        </w:rPr>
        <w:t> (дата звернення: 2</w:t>
      </w:r>
      <w:r w:rsidRPr="00511005">
        <w:rPr>
          <w:rFonts w:ascii="Arial" w:eastAsia="Calibri" w:hAnsi="Arial" w:cs="Arial"/>
          <w:szCs w:val="28"/>
          <w:lang w:val="uk-UA"/>
        </w:rPr>
        <w:t>8</w:t>
      </w:r>
      <w:r w:rsidRPr="00511005">
        <w:rPr>
          <w:rFonts w:ascii="Arial" w:eastAsia="Calibri" w:hAnsi="Arial" w:cs="Arial"/>
          <w:szCs w:val="28"/>
          <w:lang w:val="pl-PL"/>
        </w:rPr>
        <w:t>.04.2025).</w:t>
      </w:r>
    </w:p>
    <w:p w14:paraId="607E01DC" w14:textId="77777777" w:rsidR="00220D3E" w:rsidRPr="00511005" w:rsidRDefault="00220D3E" w:rsidP="003F6A5D">
      <w:pPr>
        <w:numPr>
          <w:ilvl w:val="0"/>
          <w:numId w:val="12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Про ратифікацію Римського статуту Міжнародного кримінального суду та поправок до </w:t>
      </w:r>
      <w:proofErr w:type="gramStart"/>
      <w:r w:rsidRPr="00511005">
        <w:rPr>
          <w:rFonts w:ascii="Arial" w:eastAsia="Calibri" w:hAnsi="Arial" w:cs="Arial"/>
          <w:szCs w:val="28"/>
        </w:rPr>
        <w:t>нього :</w:t>
      </w:r>
      <w:proofErr w:type="gramEnd"/>
      <w:r w:rsidRPr="00511005">
        <w:rPr>
          <w:rFonts w:ascii="Arial" w:eastAsia="Calibri" w:hAnsi="Arial" w:cs="Arial"/>
          <w:szCs w:val="28"/>
        </w:rPr>
        <w:t xml:space="preserve"> Закон України від 21.08.2024 № 3909-IX. URL: </w:t>
      </w:r>
      <w:hyperlink r:id="rId455" w:anchor="Text" w:tgtFrame="_blank" w:history="1">
        <w:r w:rsidRPr="00511005">
          <w:rPr>
            <w:rFonts w:ascii="Arial" w:eastAsia="Calibri" w:hAnsi="Arial" w:cs="Arial"/>
            <w:szCs w:val="28"/>
          </w:rPr>
          <w:t>https://zakon.rada.gov.ua/laws/show/3909-20#Text</w:t>
        </w:r>
      </w:hyperlink>
      <w:r w:rsidRPr="00511005">
        <w:rPr>
          <w:rFonts w:ascii="Arial" w:eastAsia="Calibri" w:hAnsi="Arial" w:cs="Arial"/>
          <w:szCs w:val="28"/>
        </w:rPr>
        <w:t> (дата звернення: 28.04.2025).</w:t>
      </w:r>
    </w:p>
    <w:p w14:paraId="5D1A519A"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55B96460" w14:textId="0948BAE7"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катування, міжнародне право, збройний конфлікт, права людини, заборона катувань, воєнні злочини, захист жертв, розслідування, війна в Україні, гуманітарне право, відповідальність.</w:t>
      </w:r>
    </w:p>
    <w:p w14:paraId="444C9223" w14:textId="7ED90BE5" w:rsidR="00220D3E" w:rsidRPr="00511005" w:rsidRDefault="007B2628" w:rsidP="003A292D">
      <w:pPr>
        <w:tabs>
          <w:tab w:val="left" w:pos="709"/>
        </w:tabs>
        <w:spacing w:line="264" w:lineRule="auto"/>
        <w:rPr>
          <w:rFonts w:ascii="Arial" w:eastAsia="Times New Roman" w:hAnsi="Arial" w:cs="Arial"/>
          <w:b/>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uk-UA" w:eastAsia="ru-RU"/>
        </w:rPr>
        <w:t>torture, international law, armed conflict, human rights, prohibition of torture, war crimes, protection of victims, investigation, war in Ukraine, humanitarian law, accountability.</w:t>
      </w:r>
    </w:p>
    <w:p w14:paraId="488F2BB2" w14:textId="515D6F81" w:rsidR="00220D3E" w:rsidRPr="00511005" w:rsidRDefault="007B2628" w:rsidP="003A292D">
      <w:pPr>
        <w:tabs>
          <w:tab w:val="left" w:pos="709"/>
        </w:tabs>
        <w:spacing w:line="264" w:lineRule="auto"/>
        <w:jc w:val="left"/>
        <w:rPr>
          <w:rFonts w:ascii="Arial" w:eastAsia="Times New Roman" w:hAnsi="Arial" w:cs="Arial"/>
          <w:i/>
          <w:szCs w:val="28"/>
          <w:lang w:val="uk-UA" w:eastAsia="ru-RU"/>
        </w:rPr>
      </w:pPr>
      <w:r w:rsidRPr="00511005">
        <w:rPr>
          <w:rFonts w:ascii="Arial" w:eastAsia="Times New Roman" w:hAnsi="Arial" w:cs="Arial"/>
          <w:b/>
          <w:i/>
          <w:szCs w:val="28"/>
          <w:lang w:eastAsia="ru-RU"/>
        </w:rPr>
        <w:lastRenderedPageBreak/>
        <w:t xml:space="preserve">Науковий керівник: </w:t>
      </w:r>
      <w:r w:rsidR="00220D3E" w:rsidRPr="00511005">
        <w:rPr>
          <w:rFonts w:ascii="Arial" w:eastAsia="Times New Roman" w:hAnsi="Arial" w:cs="Arial"/>
          <w:i/>
          <w:szCs w:val="28"/>
          <w:lang w:eastAsia="ru-RU"/>
        </w:rPr>
        <w:t xml:space="preserve">к.ю.н., </w:t>
      </w:r>
      <w:r w:rsidR="00220D3E" w:rsidRPr="00511005">
        <w:rPr>
          <w:rFonts w:ascii="Arial" w:eastAsia="Times New Roman" w:hAnsi="Arial" w:cs="Arial"/>
          <w:i/>
          <w:szCs w:val="28"/>
          <w:lang w:val="uk-UA" w:eastAsia="ru-RU"/>
        </w:rPr>
        <w:t>доцент</w:t>
      </w:r>
      <w:r w:rsidR="00220D3E" w:rsidRPr="00511005">
        <w:rPr>
          <w:rFonts w:ascii="Arial" w:eastAsia="Times New Roman" w:hAnsi="Arial" w:cs="Arial"/>
          <w:i/>
          <w:szCs w:val="28"/>
          <w:lang w:eastAsia="ru-RU"/>
        </w:rPr>
        <w:t xml:space="preserve"> </w:t>
      </w:r>
      <w:r w:rsidR="00220D3E" w:rsidRPr="00511005">
        <w:rPr>
          <w:rFonts w:ascii="Arial" w:eastAsia="Times New Roman" w:hAnsi="Arial" w:cs="Arial"/>
          <w:i/>
          <w:szCs w:val="28"/>
          <w:lang w:val="uk-UA" w:eastAsia="ru-RU"/>
        </w:rPr>
        <w:t>Дронов В.Ю.</w:t>
      </w:r>
    </w:p>
    <w:p w14:paraId="378C237B"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p>
    <w:p w14:paraId="1639FB08"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eastAsia="ru-RU"/>
        </w:rPr>
        <w:t>Куліченко Аліна Василівна</w:t>
      </w:r>
    </w:p>
    <w:p w14:paraId="4960111C" w14:textId="461EE3F0"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4-го курсу </w:t>
      </w:r>
      <w:r w:rsidR="007B2628" w:rsidRPr="00511005">
        <w:rPr>
          <w:rFonts w:ascii="Arial" w:eastAsia="Times New Roman" w:hAnsi="Arial" w:cs="Arial"/>
          <w:szCs w:val="28"/>
          <w:lang w:eastAsia="ru-RU"/>
        </w:rPr>
        <w:t>факультету цивільної та господарської юстиції</w:t>
      </w:r>
      <w:r w:rsidR="00220D3E" w:rsidRPr="00511005">
        <w:rPr>
          <w:rFonts w:ascii="Arial" w:eastAsia="Times New Roman" w:hAnsi="Arial" w:cs="Arial"/>
          <w:szCs w:val="28"/>
          <w:lang w:eastAsia="ru-RU"/>
        </w:rPr>
        <w:t xml:space="preserve"> </w:t>
      </w:r>
    </w:p>
    <w:p w14:paraId="057D49A6" w14:textId="02EBD606"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8374998" w14:textId="77777777" w:rsidR="007B2628" w:rsidRPr="00511005" w:rsidRDefault="007B2628" w:rsidP="003A292D">
      <w:pPr>
        <w:tabs>
          <w:tab w:val="left" w:pos="709"/>
        </w:tabs>
        <w:spacing w:line="264" w:lineRule="auto"/>
        <w:jc w:val="center"/>
        <w:rPr>
          <w:rFonts w:ascii="Arial" w:eastAsia="Times New Roman" w:hAnsi="Arial" w:cs="Arial"/>
          <w:i/>
          <w:szCs w:val="28"/>
          <w:lang w:eastAsia="ru-RU"/>
        </w:rPr>
      </w:pPr>
    </w:p>
    <w:p w14:paraId="518A5AF5" w14:textId="1B99D96F" w:rsidR="00220D3E" w:rsidRPr="00511005" w:rsidRDefault="00220D3E" w:rsidP="003A292D">
      <w:pPr>
        <w:tabs>
          <w:tab w:val="left" w:pos="709"/>
        </w:tabs>
        <w:spacing w:line="264" w:lineRule="auto"/>
        <w:jc w:val="center"/>
        <w:rPr>
          <w:rFonts w:ascii="Arial" w:eastAsia="Times New Roman" w:hAnsi="Arial" w:cs="Arial"/>
          <w:b/>
          <w:caps/>
          <w:szCs w:val="28"/>
          <w:lang w:eastAsia="ru-RU"/>
        </w:rPr>
      </w:pPr>
      <w:r w:rsidRPr="00511005">
        <w:rPr>
          <w:rFonts w:ascii="Arial" w:eastAsia="Times New Roman" w:hAnsi="Arial" w:cs="Arial"/>
          <w:b/>
          <w:caps/>
          <w:szCs w:val="28"/>
          <w:lang w:eastAsia="ru-RU"/>
        </w:rPr>
        <w:t>Закон місцезнаходження майна як колізійна привʼязка у сфері права власності</w:t>
      </w:r>
    </w:p>
    <w:p w14:paraId="43D03DA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Сучасний етап розвитку міжнародного права характеризується формуванням спеціалізованих підгалузей, серед яких виділяється міжнародне майнове право. Право власності, що становить основу системи речових прав, вже не обмежується лише внутрішньодержавним регулюванням, а набуває міжнародно-правового закріплення. Варто зазначити, що право власності є комплексним інститутом, який одночасно належить до публічно-правової та приватноправової сфер. Ключовим питанням є визначення того, право якої держави слід застосовувати до таких правовідносин. У міжнародному приватному праві це питання вирішується за допомогою колізійних норм — спеціальних правових приписів, які вказують на застосовне право. Однією з найважливіших колізійних прив’язок у сфері речових прав є закон місцезнаходження майна, або lex rei sitae.</w:t>
      </w:r>
    </w:p>
    <w:p w14:paraId="26DAD31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Lex rei sitae — це юридичне правило, відповідно до якого речові права на майно визначаються за правом тієї держави, на території якої перебуває це майно. Така прив’язка забезпечує стабільність та правову визначеність у міжнародних правовідносинах, оскільки речові права, як правило, тісно пов’язані з територією, де розташоване майно. Дана колізійна прив’язка застосовується у кількох ключових випадках. Вона використовується для визначення змісту права власності, тобто обсягу правомочностей власника. За допомогою цієї прив’язки встановлюється порядок набуття і припинення речових прав, включаючи право власності та інші речові права. Також lex rei sitae використовується для з’ясування, чи є особа добросовісним набувачем майна </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Окрім того, ця норма визначає правовий режим спільної власності, зокрема порядок користування і розпорядження майном, що належить кільком особам </w:t>
      </w:r>
      <w:r w:rsidRPr="00511005">
        <w:rPr>
          <w:rFonts w:ascii="Arial" w:eastAsia="Times New Roman" w:hAnsi="Arial" w:cs="Arial"/>
          <w:szCs w:val="28"/>
          <w:lang w:val="uk-UA" w:eastAsia="ru-RU"/>
        </w:rPr>
        <w:t>[3].</w:t>
      </w:r>
    </w:p>
    <w:p w14:paraId="33DFF60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В Україні питання застосування lex rei sitae врегульовано Законом України «Про міжнародне приватне право». Згідно зі статтею 57 цього Закону речові права на майно визначаються за правом держави, на території якої це майно перебуває. Це положення повністю відповідає класичній концепції міжнародного приватного права і застосовується до всіх видів речових прав, включно з правом власності, правом користування, сервітутами тощо. Законодавство визначає, що сторони можуть обрати право, яке регулюватиме речові права за їхнім правочином, але цей вибір </w:t>
      </w:r>
      <w:r w:rsidRPr="00511005">
        <w:rPr>
          <w:rFonts w:ascii="Arial" w:eastAsia="Times New Roman" w:hAnsi="Arial" w:cs="Arial"/>
          <w:szCs w:val="28"/>
          <w:lang w:eastAsia="ru-RU"/>
        </w:rPr>
        <w:lastRenderedPageBreak/>
        <w:t>не порушує права третіх осіб. При набувальній давності застосовується право держави місцезнаходження майна на момент закінчення строку цієї давності. Загалом, питання виникнення та припинення права власності вирішуються відповідно до правил колізійного регулювання з можливістю певної автономії сторін</w:t>
      </w:r>
      <w:r w:rsidRPr="00511005">
        <w:rPr>
          <w:rFonts w:ascii="Arial" w:eastAsia="Times New Roman" w:hAnsi="Arial" w:cs="Arial"/>
          <w:szCs w:val="28"/>
          <w:lang w:val="uk-UA" w:eastAsia="ru-RU"/>
        </w:rPr>
        <w:t xml:space="preserve"> [1]</w:t>
      </w:r>
      <w:r w:rsidRPr="00511005">
        <w:rPr>
          <w:rFonts w:ascii="Arial" w:eastAsia="Times New Roman" w:hAnsi="Arial" w:cs="Arial"/>
          <w:szCs w:val="28"/>
          <w:lang w:eastAsia="ru-RU"/>
        </w:rPr>
        <w:t>.</w:t>
      </w:r>
    </w:p>
    <w:p w14:paraId="31EDABD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міжнародній практиці правило застосування закону місцезнаходження майна також визнається основним. Наприклад, </w:t>
      </w:r>
      <w:proofErr w:type="gramStart"/>
      <w:r w:rsidRPr="00511005">
        <w:rPr>
          <w:rFonts w:ascii="Arial" w:eastAsia="Times New Roman" w:hAnsi="Arial" w:cs="Arial"/>
          <w:szCs w:val="28"/>
          <w:lang w:eastAsia="ru-RU"/>
        </w:rPr>
        <w:t>у проектах</w:t>
      </w:r>
      <w:proofErr w:type="gramEnd"/>
      <w:r w:rsidRPr="00511005">
        <w:rPr>
          <w:rFonts w:ascii="Arial" w:eastAsia="Times New Roman" w:hAnsi="Arial" w:cs="Arial"/>
          <w:szCs w:val="28"/>
          <w:lang w:eastAsia="ru-RU"/>
        </w:rPr>
        <w:t xml:space="preserve"> Гаазької конференції з міжнародного приватного права, Регламенті ЄС № 1215/2012, а також у доктринальних підходах, закріплених у багатьох державах, саме lex rei sitae є універсальним критерієм для визначення застосовного права.</w:t>
      </w:r>
    </w:p>
    <w:p w14:paraId="05E5BC9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Ця колізійна прив’язка охоплює як нерухоме, так і рухоме майно. У випадку з нерухомістю застосування правила не викликає труднощів — застосовується право країни, де розташований об’єкт. З рухомим майном ситуація складніша: виникають питання щодо того, яке місце вважати місцезнаходженням — місце реєстрації, фактичного перебування, чи юрисдикції власника. Такі труднощі особливо актуальні для транспортних засобів, суден, літаків, або речей, що постійно переміщуються. Цінні папери, електронні активи та криптоактиви також не мають сталого фізичного місцезнаходження, що ускладнює застосування традиційної колізійної прив’язки lex rei sitae. У зв’язку з цим виникає потреба в адаптації або переосмисленні для зазначених категорій майна. Ще однією проблемою є конфлікт законів при зміні місцезнаходження майна. Наприклад, якщо право власності на річ виникло відповідно до законодавства однієї держави, а згодом ця річ була переміщена до іншої держави.</w:t>
      </w:r>
    </w:p>
    <w:p w14:paraId="59806E6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Ситуацію ускладнює і відсутність уніфікованих міжнародних підходів. Різні правові системи дотримуються різних колізійних норм щодо окремих видів майна, що призводить до правової невизначеності у транснаціональних правовідносинах [4].</w:t>
      </w:r>
    </w:p>
    <w:p w14:paraId="2F1944A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Незважаючи на окремі складнощі, переваги lex rei sitae полягають в простоті застосування та забезпечення п</w:t>
      </w:r>
      <w:r w:rsidRPr="00511005">
        <w:rPr>
          <w:rFonts w:ascii="Arial" w:eastAsia="Times New Roman" w:hAnsi="Arial" w:cs="Arial"/>
          <w:szCs w:val="28"/>
          <w:lang w:val="uk-UA" w:eastAsia="ru-RU"/>
        </w:rPr>
        <w:t>о</w:t>
      </w:r>
      <w:r w:rsidRPr="00511005">
        <w:rPr>
          <w:rFonts w:ascii="Arial" w:eastAsia="Times New Roman" w:hAnsi="Arial" w:cs="Arial"/>
          <w:szCs w:val="28"/>
          <w:lang w:eastAsia="ru-RU"/>
        </w:rPr>
        <w:t>равової визначеності і передбачуваності. Також гарантується територіальна суверенність правового режиму.</w:t>
      </w:r>
    </w:p>
    <w:p w14:paraId="776CB56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Підсумовуючи викладене, можна зробити висновок, що колізійна прив’язка lex rei sitae є основоположним принципом міжнародного приватного права у сфері речових прав. Вона забезпечує територіальну прив’язаність правового режиму </w:t>
      </w:r>
      <w:proofErr w:type="gramStart"/>
      <w:r w:rsidRPr="00511005">
        <w:rPr>
          <w:rFonts w:ascii="Arial" w:eastAsia="Times New Roman" w:hAnsi="Arial" w:cs="Arial"/>
          <w:szCs w:val="28"/>
          <w:lang w:eastAsia="ru-RU"/>
        </w:rPr>
        <w:t>до майна</w:t>
      </w:r>
      <w:proofErr w:type="gramEnd"/>
      <w:r w:rsidRPr="00511005">
        <w:rPr>
          <w:rFonts w:ascii="Arial" w:eastAsia="Times New Roman" w:hAnsi="Arial" w:cs="Arial"/>
          <w:szCs w:val="28"/>
          <w:lang w:eastAsia="ru-RU"/>
        </w:rPr>
        <w:t xml:space="preserve">, що сприяє стабільності правовідносин, їх передбачуваності та правовій визначеності. Саме тому більшість правових систем визнають її як головний критерій для визначення застосовного права щодо майна. Проте сучасні глобалізаційні процеси, збільшення обсягів транснаціонального обігу рухомого майна, розвиток цифрових активів та фінансових інструментів породжують нові </w:t>
      </w:r>
      <w:r w:rsidRPr="00511005">
        <w:rPr>
          <w:rFonts w:ascii="Arial" w:eastAsia="Times New Roman" w:hAnsi="Arial" w:cs="Arial"/>
          <w:szCs w:val="28"/>
          <w:lang w:eastAsia="ru-RU"/>
        </w:rPr>
        <w:lastRenderedPageBreak/>
        <w:t xml:space="preserve">правовідносини для традиційного застосування цього принципу. У зв’язку з цим виникає необхідність у виробленні гнучкіших колізійних норм або спеціального правового режиму для окремих категорій майна, зокрема такого, що не має постійного фізичного місцезнаходження. Попри ці труднощі, </w:t>
      </w:r>
      <w:r w:rsidRPr="00511005">
        <w:rPr>
          <w:rFonts w:ascii="Arial" w:eastAsia="Times New Roman" w:hAnsi="Arial" w:cs="Arial"/>
          <w:iCs/>
          <w:szCs w:val="28"/>
          <w:lang w:eastAsia="ru-RU"/>
        </w:rPr>
        <w:t>lex rei sitae</w:t>
      </w:r>
      <w:r w:rsidRPr="00511005">
        <w:rPr>
          <w:rFonts w:ascii="Arial" w:eastAsia="Times New Roman" w:hAnsi="Arial" w:cs="Arial"/>
          <w:szCs w:val="28"/>
          <w:lang w:eastAsia="ru-RU"/>
        </w:rPr>
        <w:t xml:space="preserve"> залишається незамінним інструментом правового регулювання речових прав у міжнародному приватному праві, поєднуючи юридичну традицію з актуальними викликами сучасності.</w:t>
      </w:r>
    </w:p>
    <w:p w14:paraId="20791E3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61891B7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63F07FB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1C61AD76" w14:textId="5521DF0D" w:rsidR="00220D3E"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caps/>
          <w:szCs w:val="28"/>
          <w:lang w:val="uk-UA" w:eastAsia="ru-RU"/>
        </w:rPr>
        <w:t>Список використаних джерел</w:t>
      </w:r>
    </w:p>
    <w:p w14:paraId="6A4850FF"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1. Про міжнародне приватне </w:t>
      </w:r>
      <w:proofErr w:type="gramStart"/>
      <w:r w:rsidRPr="00511005">
        <w:rPr>
          <w:rFonts w:ascii="Arial" w:eastAsia="Times New Roman" w:hAnsi="Arial" w:cs="Arial"/>
          <w:szCs w:val="28"/>
          <w:lang w:eastAsia="uk-UA"/>
        </w:rPr>
        <w:t>право :</w:t>
      </w:r>
      <w:proofErr w:type="gramEnd"/>
      <w:r w:rsidRPr="00511005">
        <w:rPr>
          <w:rFonts w:ascii="Arial" w:eastAsia="Times New Roman" w:hAnsi="Arial" w:cs="Arial"/>
          <w:szCs w:val="28"/>
          <w:lang w:eastAsia="uk-UA"/>
        </w:rPr>
        <w:t xml:space="preserve"> Закон України від 23.06.2005 № 2709-IV : станом на 23 груд. 2022 р. URL: </w:t>
      </w:r>
      <w:hyperlink r:id="rId456" w:anchor="Text" w:tgtFrame="_blank" w:history="1">
        <w:r w:rsidRPr="00511005">
          <w:rPr>
            <w:rFonts w:ascii="Arial" w:eastAsia="Times New Roman" w:hAnsi="Arial" w:cs="Arial"/>
            <w:szCs w:val="28"/>
            <w:lang w:eastAsia="uk-UA"/>
          </w:rPr>
          <w:t>https://zakon.rada.gov.ua/laws/show/2709-15#Text</w:t>
        </w:r>
      </w:hyperlink>
      <w:r w:rsidRPr="00511005">
        <w:rPr>
          <w:rFonts w:ascii="Arial" w:eastAsia="Times New Roman" w:hAnsi="Arial" w:cs="Arial"/>
          <w:szCs w:val="28"/>
          <w:lang w:eastAsia="uk-UA"/>
        </w:rPr>
        <w:t> </w:t>
      </w:r>
    </w:p>
    <w:p w14:paraId="73582B43"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2. Цибульська О. Ю. Міжнародне приватне </w:t>
      </w:r>
      <w:proofErr w:type="gramStart"/>
      <w:r w:rsidRPr="00511005">
        <w:rPr>
          <w:rFonts w:ascii="Arial" w:eastAsia="Times New Roman" w:hAnsi="Arial" w:cs="Arial"/>
          <w:szCs w:val="28"/>
          <w:lang w:eastAsia="uk-UA"/>
        </w:rPr>
        <w:t>право :</w:t>
      </w:r>
      <w:proofErr w:type="gramEnd"/>
      <w:r w:rsidRPr="00511005">
        <w:rPr>
          <w:rFonts w:ascii="Arial" w:eastAsia="Times New Roman" w:hAnsi="Arial" w:cs="Arial"/>
          <w:szCs w:val="28"/>
          <w:lang w:eastAsia="uk-UA"/>
        </w:rPr>
        <w:t xml:space="preserve"> навч.-метод. посіб. для бакалаврів спец. 293 «Міжнародне право» / О. Ю. Цибульська ; за ред. Х. Н. Бехруза ; Нац. ун-т «Одеська юридична академія». [Електронне видання] – </w:t>
      </w:r>
      <w:proofErr w:type="gramStart"/>
      <w:r w:rsidRPr="00511005">
        <w:rPr>
          <w:rFonts w:ascii="Arial" w:eastAsia="Times New Roman" w:hAnsi="Arial" w:cs="Arial"/>
          <w:szCs w:val="28"/>
          <w:lang w:eastAsia="uk-UA"/>
        </w:rPr>
        <w:t>Одеса :</w:t>
      </w:r>
      <w:proofErr w:type="gramEnd"/>
      <w:r w:rsidRPr="00511005">
        <w:rPr>
          <w:rFonts w:ascii="Arial" w:eastAsia="Times New Roman" w:hAnsi="Arial" w:cs="Arial"/>
          <w:szCs w:val="28"/>
          <w:lang w:eastAsia="uk-UA"/>
        </w:rPr>
        <w:t xml:space="preserve"> Фенікс, 2022. – 59 с.</w:t>
      </w:r>
    </w:p>
    <w:p w14:paraId="1880A75F"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3.</w:t>
      </w:r>
      <w:r w:rsidRPr="00511005">
        <w:rPr>
          <w:rFonts w:ascii="Arial" w:eastAsia="Times New Roman" w:hAnsi="Arial" w:cs="Arial"/>
          <w:szCs w:val="28"/>
          <w:lang w:eastAsia="ru-RU"/>
        </w:rPr>
        <w:t xml:space="preserve"> </w:t>
      </w:r>
      <w:r w:rsidRPr="00511005">
        <w:rPr>
          <w:rFonts w:ascii="Arial" w:eastAsia="Times New Roman" w:hAnsi="Arial" w:cs="Arial"/>
          <w:szCs w:val="28"/>
          <w:lang w:eastAsia="uk-UA"/>
        </w:rPr>
        <w:t>Колізійні норми в міжнародному приватному праві | Коментар. </w:t>
      </w:r>
      <w:r w:rsidRPr="00511005">
        <w:rPr>
          <w:rFonts w:ascii="Arial" w:eastAsia="Times New Roman" w:hAnsi="Arial" w:cs="Arial"/>
          <w:i/>
          <w:iCs/>
          <w:szCs w:val="28"/>
          <w:lang w:eastAsia="uk-UA"/>
        </w:rPr>
        <w:t>Мего-Інфо - Юридичний портал України №1, Коментар ЦПК, КПК, КУПАП, ККУ, ЦК</w:t>
      </w:r>
      <w:r w:rsidRPr="00511005">
        <w:rPr>
          <w:rFonts w:ascii="Arial" w:eastAsia="Times New Roman" w:hAnsi="Arial" w:cs="Arial"/>
          <w:szCs w:val="28"/>
          <w:lang w:eastAsia="uk-UA"/>
        </w:rPr>
        <w:t>. URL: </w:t>
      </w:r>
      <w:hyperlink r:id="rId457" w:tgtFrame="_blank" w:history="1">
        <w:r w:rsidRPr="00511005">
          <w:rPr>
            <w:rFonts w:ascii="Arial" w:eastAsia="Times New Roman" w:hAnsi="Arial" w:cs="Arial"/>
            <w:szCs w:val="28"/>
            <w:lang w:eastAsia="uk-UA"/>
          </w:rPr>
          <w:t>http://mego.info/колізійні-норми-в-міжнародному-приватному-праві?page=3</w:t>
        </w:r>
      </w:hyperlink>
      <w:r w:rsidRPr="00511005">
        <w:rPr>
          <w:rFonts w:ascii="Arial" w:eastAsia="Times New Roman" w:hAnsi="Arial" w:cs="Arial"/>
          <w:szCs w:val="28"/>
          <w:lang w:eastAsia="uk-UA"/>
        </w:rPr>
        <w:t>.</w:t>
      </w:r>
    </w:p>
    <w:p w14:paraId="1AA1AF12" w14:textId="77777777" w:rsidR="00220D3E" w:rsidRPr="00511005" w:rsidRDefault="00220D3E" w:rsidP="003A292D">
      <w:pPr>
        <w:tabs>
          <w:tab w:val="left" w:pos="709"/>
        </w:tabs>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4. </w:t>
      </w:r>
      <w:r w:rsidRPr="00511005">
        <w:rPr>
          <w:rFonts w:ascii="Arial" w:eastAsia="Times New Roman" w:hAnsi="Arial" w:cs="Arial"/>
          <w:szCs w:val="28"/>
          <w:lang w:eastAsia="ru-RU"/>
        </w:rPr>
        <w:t xml:space="preserve">Бровдій А. М. Законодавче забезпечення приватноправових відносин. Частина 1. Міжнародне приватне </w:t>
      </w:r>
      <w:proofErr w:type="gramStart"/>
      <w:r w:rsidRPr="00511005">
        <w:rPr>
          <w:rFonts w:ascii="Arial" w:eastAsia="Times New Roman" w:hAnsi="Arial" w:cs="Arial"/>
          <w:szCs w:val="28"/>
          <w:lang w:eastAsia="ru-RU"/>
        </w:rPr>
        <w:t>право :</w:t>
      </w:r>
      <w:proofErr w:type="gramEnd"/>
      <w:r w:rsidRPr="00511005">
        <w:rPr>
          <w:rFonts w:ascii="Arial" w:eastAsia="Times New Roman" w:hAnsi="Arial" w:cs="Arial"/>
          <w:szCs w:val="28"/>
          <w:lang w:eastAsia="ru-RU"/>
        </w:rPr>
        <w:t xml:space="preserve"> конспект лекцій для студентів усіх форм навчання всіх спеціальностей та напрямів підготовки / А. М. Бровдій, І. І. Килимник; Харків. нац. ун-т міськ. госп-ва ім. О. М. Бекетова. – </w:t>
      </w:r>
      <w:proofErr w:type="gramStart"/>
      <w:r w:rsidRPr="00511005">
        <w:rPr>
          <w:rFonts w:ascii="Arial" w:eastAsia="Times New Roman" w:hAnsi="Arial" w:cs="Arial"/>
          <w:szCs w:val="28"/>
          <w:lang w:eastAsia="ru-RU"/>
        </w:rPr>
        <w:t>Харків :</w:t>
      </w:r>
      <w:proofErr w:type="gramEnd"/>
      <w:r w:rsidRPr="00511005">
        <w:rPr>
          <w:rFonts w:ascii="Arial" w:eastAsia="Times New Roman" w:hAnsi="Arial" w:cs="Arial"/>
          <w:szCs w:val="28"/>
          <w:lang w:eastAsia="ru-RU"/>
        </w:rPr>
        <w:t xml:space="preserve"> ХНУМГ ім. О. М. Бекетова, 2018. – 102 с.</w:t>
      </w:r>
    </w:p>
    <w:p w14:paraId="47C60AEC" w14:textId="77777777" w:rsidR="00220D3E" w:rsidRPr="00511005" w:rsidRDefault="00220D3E" w:rsidP="003A292D">
      <w:pPr>
        <w:tabs>
          <w:tab w:val="left" w:pos="709"/>
        </w:tabs>
        <w:spacing w:line="264" w:lineRule="auto"/>
        <w:rPr>
          <w:rFonts w:ascii="Arial" w:eastAsia="Times New Roman" w:hAnsi="Arial" w:cs="Arial"/>
          <w:b/>
          <w:szCs w:val="28"/>
          <w:lang w:val="uk-UA" w:eastAsia="ru-RU"/>
        </w:rPr>
      </w:pPr>
    </w:p>
    <w:p w14:paraId="139DE138" w14:textId="4311C79D" w:rsidR="00220D3E" w:rsidRPr="00511005" w:rsidRDefault="007B2628" w:rsidP="003A292D">
      <w:pPr>
        <w:tabs>
          <w:tab w:val="left" w:pos="709"/>
        </w:tabs>
        <w:spacing w:line="264" w:lineRule="auto"/>
        <w:rPr>
          <w:rFonts w:ascii="Arial" w:eastAsia="Times New Roman" w:hAnsi="Arial" w:cs="Arial"/>
          <w:b/>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bCs/>
          <w:szCs w:val="28"/>
          <w:lang w:eastAsia="ru-RU"/>
        </w:rPr>
        <w:t>закон місцезнаходження майна</w:t>
      </w:r>
      <w:r w:rsidR="00220D3E" w:rsidRPr="00511005">
        <w:rPr>
          <w:rFonts w:ascii="Arial" w:eastAsia="Times New Roman" w:hAnsi="Arial" w:cs="Arial"/>
          <w:szCs w:val="28"/>
          <w:lang w:eastAsia="ru-RU"/>
        </w:rPr>
        <w:t>, р</w:t>
      </w:r>
      <w:r w:rsidR="00220D3E" w:rsidRPr="00511005">
        <w:rPr>
          <w:rFonts w:ascii="Arial" w:eastAsia="Times New Roman" w:hAnsi="Arial" w:cs="Arial"/>
          <w:bCs/>
          <w:szCs w:val="28"/>
          <w:lang w:eastAsia="ru-RU"/>
        </w:rPr>
        <w:t>ечові права</w:t>
      </w:r>
      <w:r w:rsidR="00220D3E" w:rsidRPr="00511005">
        <w:rPr>
          <w:rFonts w:ascii="Arial" w:eastAsia="Times New Roman" w:hAnsi="Arial" w:cs="Arial"/>
          <w:szCs w:val="28"/>
          <w:lang w:eastAsia="ru-RU"/>
        </w:rPr>
        <w:t xml:space="preserve">, </w:t>
      </w:r>
      <w:r w:rsidR="00220D3E" w:rsidRPr="00511005">
        <w:rPr>
          <w:rFonts w:ascii="Arial" w:eastAsia="Times New Roman" w:hAnsi="Arial" w:cs="Arial"/>
          <w:bCs/>
          <w:szCs w:val="28"/>
          <w:lang w:eastAsia="ru-RU"/>
        </w:rPr>
        <w:t>міжнародне приватне право,</w:t>
      </w:r>
      <w:r w:rsidR="00220D3E" w:rsidRPr="00511005">
        <w:rPr>
          <w:rFonts w:ascii="Arial" w:eastAsia="Times New Roman" w:hAnsi="Arial" w:cs="Arial"/>
          <w:szCs w:val="28"/>
          <w:lang w:eastAsia="ru-RU"/>
        </w:rPr>
        <w:t xml:space="preserve"> п</w:t>
      </w:r>
      <w:r w:rsidR="00220D3E" w:rsidRPr="00511005">
        <w:rPr>
          <w:rFonts w:ascii="Arial" w:eastAsia="Times New Roman" w:hAnsi="Arial" w:cs="Arial"/>
          <w:bCs/>
          <w:szCs w:val="28"/>
          <w:lang w:eastAsia="ru-RU"/>
        </w:rPr>
        <w:t>раво власності</w:t>
      </w:r>
      <w:r w:rsidR="00220D3E" w:rsidRPr="00511005">
        <w:rPr>
          <w:rFonts w:ascii="Arial" w:eastAsia="Times New Roman" w:hAnsi="Arial" w:cs="Arial"/>
          <w:szCs w:val="28"/>
          <w:lang w:eastAsia="ru-RU"/>
        </w:rPr>
        <w:t>, к</w:t>
      </w:r>
      <w:r w:rsidR="00220D3E" w:rsidRPr="00511005">
        <w:rPr>
          <w:rFonts w:ascii="Arial" w:eastAsia="Times New Roman" w:hAnsi="Arial" w:cs="Arial"/>
          <w:bCs/>
          <w:szCs w:val="28"/>
          <w:lang w:eastAsia="ru-RU"/>
        </w:rPr>
        <w:t>олізійна прив’язка</w:t>
      </w:r>
    </w:p>
    <w:p w14:paraId="2AD5E0E2" w14:textId="08BEC857"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uk-UA"/>
        </w:rPr>
        <w:t>law of location of property, property rights, private international law, property law, conflict of laws</w:t>
      </w:r>
    </w:p>
    <w:p w14:paraId="6A211923" w14:textId="6A3830DB" w:rsidR="00220D3E" w:rsidRPr="00511005" w:rsidRDefault="007B2628" w:rsidP="003A292D">
      <w:pPr>
        <w:tabs>
          <w:tab w:val="left" w:pos="709"/>
        </w:tabs>
        <w:spacing w:line="264" w:lineRule="auto"/>
        <w:rPr>
          <w:rFonts w:ascii="Arial" w:eastAsia="Times New Roman" w:hAnsi="Arial" w:cs="Arial"/>
          <w:bCs/>
          <w:i/>
          <w:szCs w:val="28"/>
          <w:lang w:val="uk-UA" w:eastAsia="ru-RU"/>
        </w:rPr>
      </w:pPr>
      <w:r w:rsidRPr="00511005">
        <w:rPr>
          <w:rFonts w:ascii="Arial" w:eastAsia="Times New Roman" w:hAnsi="Arial" w:cs="Arial"/>
          <w:b/>
          <w:bCs/>
          <w:i/>
          <w:szCs w:val="28"/>
          <w:lang w:eastAsia="ru-RU"/>
        </w:rPr>
        <w:t xml:space="preserve">Науковий керівник: </w:t>
      </w:r>
      <w:r w:rsidR="00220D3E" w:rsidRPr="00511005">
        <w:rPr>
          <w:rFonts w:ascii="Arial" w:eastAsia="Times New Roman" w:hAnsi="Arial" w:cs="Arial"/>
          <w:bCs/>
          <w:i/>
          <w:szCs w:val="28"/>
          <w:lang w:eastAsia="ru-RU"/>
        </w:rPr>
        <w:t>асистент кафедри Бугаєць А. С.</w:t>
      </w:r>
    </w:p>
    <w:p w14:paraId="12CE4828"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p>
    <w:p w14:paraId="0EB2E45A" w14:textId="16CD4BAF" w:rsidR="00220D3E" w:rsidRPr="00511005" w:rsidRDefault="00220D3E" w:rsidP="003A292D">
      <w:pPr>
        <w:tabs>
          <w:tab w:val="left" w:pos="142"/>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b/>
          <w:bCs/>
          <w:i/>
          <w:iCs/>
          <w:szCs w:val="28"/>
          <w:lang w:eastAsia="ru-RU"/>
        </w:rPr>
        <w:t>Купенко Артем Ігорович</w:t>
      </w:r>
    </w:p>
    <w:p w14:paraId="7EF64089" w14:textId="16214E80" w:rsidR="008C34CC" w:rsidRPr="00511005" w:rsidRDefault="00536AAB"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 4-го курсу </w:t>
      </w:r>
    </w:p>
    <w:p w14:paraId="4816B444" w14:textId="77777777" w:rsidR="008C34CC" w:rsidRPr="00511005" w:rsidRDefault="008C34CC" w:rsidP="008C34CC">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EA8475C" w14:textId="077C881F" w:rsidR="00220D3E" w:rsidRPr="00511005" w:rsidRDefault="007B2628" w:rsidP="003A292D">
      <w:pPr>
        <w:tabs>
          <w:tab w:val="left" w:pos="142"/>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68C649B2" w14:textId="77777777" w:rsidR="00220D3E" w:rsidRPr="00511005" w:rsidRDefault="00220D3E" w:rsidP="003A292D">
      <w:pPr>
        <w:tabs>
          <w:tab w:val="left" w:pos="142"/>
          <w:tab w:val="left" w:pos="709"/>
        </w:tabs>
        <w:spacing w:line="264" w:lineRule="auto"/>
        <w:ind w:firstLine="0"/>
        <w:jc w:val="center"/>
        <w:rPr>
          <w:rFonts w:ascii="Arial" w:eastAsia="Times New Roman" w:hAnsi="Arial" w:cs="Arial"/>
          <w:szCs w:val="28"/>
          <w:lang w:eastAsia="ru-RU"/>
        </w:rPr>
      </w:pPr>
    </w:p>
    <w:p w14:paraId="1A061120" w14:textId="77777777" w:rsidR="00220D3E" w:rsidRPr="00511005" w:rsidRDefault="00220D3E" w:rsidP="003A292D">
      <w:pPr>
        <w:tabs>
          <w:tab w:val="left" w:pos="142"/>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b/>
          <w:bCs/>
          <w:i/>
          <w:iCs/>
          <w:szCs w:val="28"/>
          <w:lang w:eastAsia="ru-RU"/>
        </w:rPr>
        <w:t>ГЕНДЕРНА РІВНІСТЬ У МІЖНАРОДНОМУ ПРАВІ ПРАВ ЛЮДИНИ</w:t>
      </w:r>
    </w:p>
    <w:p w14:paraId="75CBBBD5" w14:textId="77777777" w:rsidR="00220D3E" w:rsidRPr="00511005" w:rsidRDefault="00220D3E" w:rsidP="003A292D">
      <w:pPr>
        <w:tabs>
          <w:tab w:val="left" w:pos="142"/>
          <w:tab w:val="left" w:pos="709"/>
        </w:tabs>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 xml:space="preserve">Проблематика гендерної рівності залишається одним із ключових викликів міжнародного права прав людини у </w:t>
      </w:r>
      <w:r w:rsidRPr="00511005">
        <w:rPr>
          <w:rFonts w:ascii="Arial" w:eastAsia="Times New Roman" w:hAnsi="Arial" w:cs="Arial"/>
          <w:szCs w:val="28"/>
          <w:lang w:val="en-US" w:eastAsia="ru-RU"/>
        </w:rPr>
        <w:t>XXI</w:t>
      </w:r>
      <w:r w:rsidRPr="00511005">
        <w:rPr>
          <w:rFonts w:ascii="Arial" w:eastAsia="Times New Roman" w:hAnsi="Arial" w:cs="Arial"/>
          <w:szCs w:val="28"/>
          <w:lang w:eastAsia="ru-RU"/>
        </w:rPr>
        <w:t xml:space="preserve"> столітті. Незважаючи на значний </w:t>
      </w:r>
      <w:r w:rsidRPr="00511005">
        <w:rPr>
          <w:rFonts w:ascii="Arial" w:eastAsia="Times New Roman" w:hAnsi="Arial" w:cs="Arial"/>
          <w:szCs w:val="28"/>
          <w:lang w:eastAsia="ru-RU"/>
        </w:rPr>
        <w:lastRenderedPageBreak/>
        <w:t>прогрес у розвитку міжнародно-правових стандартів та механізмів захисту прав жінок, статистичні дані свідчать про збереження суттєвих гендерних диспропорцій у глобальному вимірі. За даними Світового економічного форуму, для досягнення повної гендерної рівності за поточних темпів знадобиться близько 135,6 років. Особливо гострими залишаються проблеми гендерно зумовленого насильства, дискримінації у політичній та економічній сферах, а також нерівного доступу до ресурсів, освіти та охорони здоров'я. Саме тому дослідження міжнародно-правових механізмів забезпечення гендерної рівності набуває особливої актуальності.</w:t>
      </w:r>
    </w:p>
    <w:p w14:paraId="23F1D7F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Формування міжнародно-правових стандартів гендерної рівності має тривалу історію. Першим універсальним документом, що закріпив принцип рівності незалежно від статі, стала Загальна декларація прав людини 1948 року. Подальший розвиток міжнародно-правового регулювання гендерної рівності пов'язаний із прийняттям Конвенції про політичні права жінок 1952 року, Конвенції про громадянство заміжньої жінки 1957 року, Конвенції про згоду на вступ у шлюб, мінімальний шлюбний вік та реєстрацію шлюбів 1962 року [1, с. 45]. Ключовим документом у сфері забезпечення гендерної рівності є Конвенція про ліквідацію всіх форм дискримінації щодо жінок (</w:t>
      </w:r>
      <w:r w:rsidRPr="00511005">
        <w:rPr>
          <w:rFonts w:ascii="Arial" w:eastAsia="Times New Roman" w:hAnsi="Arial" w:cs="Arial"/>
          <w:szCs w:val="28"/>
          <w:lang w:val="en-US" w:eastAsia="ru-RU"/>
        </w:rPr>
        <w:t>CEDAW</w:t>
      </w:r>
      <w:r w:rsidRPr="00511005">
        <w:rPr>
          <w:rFonts w:ascii="Arial" w:eastAsia="Times New Roman" w:hAnsi="Arial" w:cs="Arial"/>
          <w:szCs w:val="28"/>
          <w:lang w:eastAsia="ru-RU"/>
        </w:rPr>
        <w:t>) 1979 року, яка закріпила комплексний підхід до подолання гендерної дискримінації та створила спеціальний механізм моніторингу — Комітет з ліквідації дискримінації щодо жінок [2, с. 118].</w:t>
      </w:r>
    </w:p>
    <w:p w14:paraId="0FF6BC5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Важливими віхами у розвитку міжнародних стандартів гендерної рівності стали Всесвітні конференції зі становища жінок, особливо Четверта Всесвітня конференція зі становища жінок у Пекіні 1995 року, що ухвалила Пекінську декларацію та Платформу дій. Ці документи сформулювали комплексний підхід до подолання гендерної нерівності в дванадцяти критичних сферах, серед яких: бідність, освіта, охорона здоров'я, насильство щодо жінок, збройні конфлікти, економіка, владні структури та процес прийняття рішень, інституційні механізми покращення становища жінок, права людини, засоби масової інформації, навколишнє середовище, становище дівчат [3, с. 67].</w:t>
      </w:r>
    </w:p>
    <w:p w14:paraId="07A3B2B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Регіональні системи захисту прав людини також розробили власні механізми забезпечення гендерної рівності. В європейському контексті ключовими документами є Європейська конвенція про захист прав людини і основоположних свобод, Європейська соціальна хартія, </w:t>
      </w:r>
      <w:proofErr w:type="gramStart"/>
      <w:r w:rsidRPr="00511005">
        <w:rPr>
          <w:rFonts w:ascii="Arial" w:eastAsia="Times New Roman" w:hAnsi="Arial" w:cs="Arial"/>
          <w:szCs w:val="28"/>
          <w:lang w:eastAsia="ru-RU"/>
        </w:rPr>
        <w:t>Конвенція</w:t>
      </w:r>
      <w:proofErr w:type="gramEnd"/>
      <w:r w:rsidRPr="00511005">
        <w:rPr>
          <w:rFonts w:ascii="Arial" w:eastAsia="Times New Roman" w:hAnsi="Arial" w:cs="Arial"/>
          <w:szCs w:val="28"/>
          <w:lang w:eastAsia="ru-RU"/>
        </w:rPr>
        <w:t xml:space="preserve"> Ради Європи про запобігання насильству стосовно жінок і домашньому насильству та боротьбу з цими явищами (Стамбульська конвенція). В рамках Африканського союзу діє Протокол до Африканської хартії прав людини і народів про права жінок в Африці (Мапутський протокол), а в міжамериканській системі — Міжамериканська конвенція про запобігання, покарання та викорінення насильства щодо жінок (Конвенція Белем-ду-Пара) [4, с. 93].</w:t>
      </w:r>
    </w:p>
    <w:p w14:paraId="2E0AF16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Аналіз сучасних тенденцій розвитку міжнародного права прав людини свідчить про поступовий перехід від формального розуміння рівності до концепції субстантивної рівності, яка визнає необхідність врахування різних потреб жінок і чоловіків та застосування тимчасових спеціальних заходів для подолання історично сформованої нерівності. Як зазначають Петренко В. О. та Симоненко О. М., така трансформація підходів відображає розуміння комплексного характеру гендерної дискримінації та необхідності системних змін на структурному рівні [2, с. 122].</w:t>
      </w:r>
    </w:p>
    <w:p w14:paraId="74DC436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Особливої уваги заслуговує проблема гендерно зумовленого насильства як однієї з найбільш поширених форм порушення прав жінок. За даними ВООЗ, кожна третя жінка у світі зазнає фізичного або сексуального насильства протягом життя. Міжнародно-правові стандарти у цій сфері включають Декларацію про викорінення насильства щодо жінок 1993 року, Загальну рекомендацію №19 Комітету </w:t>
      </w:r>
      <w:r w:rsidRPr="00511005">
        <w:rPr>
          <w:rFonts w:ascii="Arial" w:eastAsia="Times New Roman" w:hAnsi="Arial" w:cs="Arial"/>
          <w:szCs w:val="28"/>
          <w:lang w:val="en-US" w:eastAsia="ru-RU"/>
        </w:rPr>
        <w:t>CEDAW</w:t>
      </w:r>
      <w:r w:rsidRPr="00511005">
        <w:rPr>
          <w:rFonts w:ascii="Arial" w:eastAsia="Times New Roman" w:hAnsi="Arial" w:cs="Arial"/>
          <w:szCs w:val="28"/>
          <w:lang w:eastAsia="ru-RU"/>
        </w:rPr>
        <w:t xml:space="preserve"> про насильство щодо жінок та Загальну рекомендацію №35 про гендерне насильство щодо жінок. Дослідження Реут А. Г. та Климович Н. О. свідчать про поступове визнання міжнародним правом того, що гендерно зумовлене насильство є формою дискримінації та порушенням прав людини, а не приватною справою [5, с. 205].</w:t>
      </w:r>
    </w:p>
    <w:p w14:paraId="4113973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 контексті імплементації міжнародних стандартів гендерної рівності в національне законодавство України важливо відзначити прийняття Закону України «Про забезпечення рівних прав та можливостей жінок і чоловіків» (2005), Закону України «Про засади запобігання та протидії дискримінації в Україні» (2012), Закону України «Про запобігання та протидію домашньому насильству» (2017), а також ратифікацію Стамбульської конвенції (2022). Однак, як зазначають Петренко В. О. та Симоненко О. М., існує розрив між нормативним закріпленням принципу гендерної рівності та його практичною реалізацією [2, с. 127].</w:t>
      </w:r>
    </w:p>
    <w:p w14:paraId="279D2B7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Важливим інструментом просування гендерної рівності є гендерна інтеграція (</w:t>
      </w:r>
      <w:r w:rsidRPr="00511005">
        <w:rPr>
          <w:rFonts w:ascii="Arial" w:eastAsia="Times New Roman" w:hAnsi="Arial" w:cs="Arial"/>
          <w:szCs w:val="28"/>
          <w:lang w:val="en-US" w:eastAsia="ru-RU"/>
        </w:rPr>
        <w:t>gender</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mainstreaming</w:t>
      </w:r>
      <w:r w:rsidRPr="00511005">
        <w:rPr>
          <w:rFonts w:ascii="Arial" w:eastAsia="Times New Roman" w:hAnsi="Arial" w:cs="Arial"/>
          <w:szCs w:val="28"/>
          <w:lang w:eastAsia="ru-RU"/>
        </w:rPr>
        <w:t>) — стратегія, спрямована на врахування гендерного аспекту в усіх напрямках політики та програм. Концепція гендерної інтеграції була офіційно визнана на міжнародному рівні під час Четвертої Всесвітньої конференції зі становища жінок у Пекіні та згодом включена в документи ООН, включаючи Цілі сталого розвитку [3, с. 70]. Дослідження Реут А. Г. та Климович Н. О. демонструють, що ефективна гендерна інтеграція потребує комплексного підходу, включаючи гендерний аналіз, гендерно чутливе бюджетування та гендерний моніторинг програм та політик [5, с. 210].</w:t>
      </w:r>
    </w:p>
    <w:p w14:paraId="5399523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 підставі проведеного дослідження можна запропонувати наступні шляхи вдосконалення міжнародно-правових механізмів забезпечення гендерної рівності:</w:t>
      </w:r>
    </w:p>
    <w:p w14:paraId="3BF2F319" w14:textId="77777777" w:rsidR="00220D3E" w:rsidRPr="00511005" w:rsidRDefault="00220D3E" w:rsidP="003F6A5D">
      <w:pPr>
        <w:numPr>
          <w:ilvl w:val="0"/>
          <w:numId w:val="129"/>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посилення системи моніторингу виконання міжнародних зобов'язань у сфері гендерної рівності, включаючи розширення повноважень Комітету </w:t>
      </w:r>
      <w:r w:rsidRPr="00511005">
        <w:rPr>
          <w:rFonts w:ascii="Arial" w:eastAsia="Times New Roman" w:hAnsi="Arial" w:cs="Arial"/>
          <w:szCs w:val="28"/>
          <w:lang w:val="en-US" w:eastAsia="ru-RU"/>
        </w:rPr>
        <w:t>CEDAW</w:t>
      </w:r>
      <w:r w:rsidRPr="00511005">
        <w:rPr>
          <w:rFonts w:ascii="Arial" w:eastAsia="Times New Roman" w:hAnsi="Arial" w:cs="Arial"/>
          <w:szCs w:val="28"/>
          <w:lang w:eastAsia="ru-RU"/>
        </w:rPr>
        <w:t xml:space="preserve"> та інших договірних органів;</w:t>
      </w:r>
    </w:p>
    <w:p w14:paraId="7264E2FE" w14:textId="77777777" w:rsidR="00220D3E" w:rsidRPr="00511005" w:rsidRDefault="00220D3E" w:rsidP="003F6A5D">
      <w:pPr>
        <w:numPr>
          <w:ilvl w:val="0"/>
          <w:numId w:val="129"/>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розробка універсальних індикаторів для оцінки прогресу в забезпеченні гендерної рівності з урахуванням різноманітності культурних, соціальних та економічних контекстів;</w:t>
      </w:r>
    </w:p>
    <w:p w14:paraId="23650D1B" w14:textId="77777777" w:rsidR="00220D3E" w:rsidRPr="00511005" w:rsidRDefault="00220D3E" w:rsidP="003F6A5D">
      <w:pPr>
        <w:numPr>
          <w:ilvl w:val="0"/>
          <w:numId w:val="129"/>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інтеграція гендерного підходу в діяльність усіх органів та установ міжнародних організацій, включаючи процеси миробудування та постконфліктної відбудови;</w:t>
      </w:r>
    </w:p>
    <w:p w14:paraId="76B48EC3" w14:textId="77777777" w:rsidR="00220D3E" w:rsidRPr="00511005" w:rsidRDefault="00220D3E" w:rsidP="003F6A5D">
      <w:pPr>
        <w:numPr>
          <w:ilvl w:val="0"/>
          <w:numId w:val="129"/>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розвиток механізмів притягнення до відповідальності за гендерно зумовлене насильство та дискримінацію на міжнародному рівні;</w:t>
      </w:r>
    </w:p>
    <w:p w14:paraId="07D5B366" w14:textId="77777777" w:rsidR="00220D3E" w:rsidRPr="00511005" w:rsidRDefault="00220D3E" w:rsidP="003F6A5D">
      <w:pPr>
        <w:numPr>
          <w:ilvl w:val="0"/>
          <w:numId w:val="129"/>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посилення взаємодії між універсальними та регіональними механізмами захисту прав жінок для обміну найкращими практиками та гармонізації стандартів;</w:t>
      </w:r>
    </w:p>
    <w:p w14:paraId="2C4FFA8A" w14:textId="77777777" w:rsidR="00220D3E" w:rsidRPr="00511005" w:rsidRDefault="00220D3E" w:rsidP="003F6A5D">
      <w:pPr>
        <w:numPr>
          <w:ilvl w:val="0"/>
          <w:numId w:val="129"/>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підтримка національних інституцій з прав людини та неурядових організацій, що працюють у сфері захисту прав жінок та просування гендерної рівності;</w:t>
      </w:r>
    </w:p>
    <w:p w14:paraId="134B599A" w14:textId="77777777" w:rsidR="00220D3E" w:rsidRPr="00511005" w:rsidRDefault="00220D3E" w:rsidP="003F6A5D">
      <w:pPr>
        <w:numPr>
          <w:ilvl w:val="0"/>
          <w:numId w:val="129"/>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впровадження освітніх програм з питань гендерної рівності та прав жінок для суддів, прокурорів, правоохоронців та інших фахівців, які працюють у сфері правосуддя.</w:t>
      </w:r>
    </w:p>
    <w:p w14:paraId="4CB917C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гендерна рівність у міжнародному праві прав людини — це складна та багатоаспектна концепція, яка потребує комплексного підходу. Незважаючи на значний прогрес у розвитку міжнародно-правової бази, практична реалізація принципу гендерної рівності залишається викликом для міжнародної спільноти. Подальший розвиток міжнародного права у цій сфері має бути спрямований на подолання розриву між нормативним визнанням рівності та її забезпеченням на практиці, з урахуванням різноманітності контекстів та потреб жінок у різних частинах світу.</w:t>
      </w:r>
    </w:p>
    <w:p w14:paraId="73D1F4EC"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58ADF473" w14:textId="5FD12D45" w:rsidR="00220D3E" w:rsidRPr="00511005" w:rsidRDefault="007B2628" w:rsidP="007B2628">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2487BD37" w14:textId="77777777" w:rsidR="00220D3E" w:rsidRPr="00511005" w:rsidRDefault="00220D3E" w:rsidP="003F6A5D">
      <w:pPr>
        <w:numPr>
          <w:ilvl w:val="0"/>
          <w:numId w:val="130"/>
        </w:numPr>
        <w:tabs>
          <w:tab w:val="clear" w:pos="720"/>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Морозова Т. Р. Міжнародно-правові стандарти гендерної рівності: теорія та </w:t>
      </w:r>
      <w:proofErr w:type="gramStart"/>
      <w:r w:rsidRPr="00511005">
        <w:rPr>
          <w:rFonts w:ascii="Arial" w:eastAsia="Times New Roman" w:hAnsi="Arial" w:cs="Arial"/>
          <w:szCs w:val="28"/>
          <w:lang w:eastAsia="ru-RU"/>
        </w:rPr>
        <w:t>практика :</w:t>
      </w:r>
      <w:proofErr w:type="gramEnd"/>
      <w:r w:rsidRPr="00511005">
        <w:rPr>
          <w:rFonts w:ascii="Arial" w:eastAsia="Times New Roman" w:hAnsi="Arial" w:cs="Arial"/>
          <w:szCs w:val="28"/>
          <w:lang w:eastAsia="ru-RU"/>
        </w:rPr>
        <w:t xml:space="preserve"> навч. посіб. </w:t>
      </w:r>
      <w:proofErr w:type="gramStart"/>
      <w:r w:rsidRPr="00511005">
        <w:rPr>
          <w:rFonts w:ascii="Arial" w:eastAsia="Times New Roman" w:hAnsi="Arial" w:cs="Arial"/>
          <w:szCs w:val="28"/>
          <w:lang w:val="en-US" w:eastAsia="ru-RU"/>
        </w:rPr>
        <w:t>Київ :</w:t>
      </w:r>
      <w:proofErr w:type="gramEnd"/>
      <w:r w:rsidRPr="00511005">
        <w:rPr>
          <w:rFonts w:ascii="Arial" w:eastAsia="Times New Roman" w:hAnsi="Arial" w:cs="Arial"/>
          <w:szCs w:val="28"/>
          <w:lang w:val="en-US" w:eastAsia="ru-RU"/>
        </w:rPr>
        <w:t xml:space="preserve"> Алерта, 2023. 224 с.</w:t>
      </w:r>
    </w:p>
    <w:p w14:paraId="0672ADDE" w14:textId="77777777" w:rsidR="00220D3E" w:rsidRPr="00511005" w:rsidRDefault="00220D3E" w:rsidP="003F6A5D">
      <w:pPr>
        <w:numPr>
          <w:ilvl w:val="0"/>
          <w:numId w:val="130"/>
        </w:numPr>
        <w:tabs>
          <w:tab w:val="clear" w:pos="720"/>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Петренко В. О., Симоненко О. М. Захист прав жінок у міжнародному праві: проблеми та </w:t>
      </w:r>
      <w:proofErr w:type="gramStart"/>
      <w:r w:rsidRPr="00511005">
        <w:rPr>
          <w:rFonts w:ascii="Arial" w:eastAsia="Times New Roman" w:hAnsi="Arial" w:cs="Arial"/>
          <w:szCs w:val="28"/>
          <w:lang w:eastAsia="ru-RU"/>
        </w:rPr>
        <w:t>перспективи :</w:t>
      </w:r>
      <w:proofErr w:type="gramEnd"/>
      <w:r w:rsidRPr="00511005">
        <w:rPr>
          <w:rFonts w:ascii="Arial" w:eastAsia="Times New Roman" w:hAnsi="Arial" w:cs="Arial"/>
          <w:szCs w:val="28"/>
          <w:lang w:eastAsia="ru-RU"/>
        </w:rPr>
        <w:t xml:space="preserve"> монографія. </w:t>
      </w:r>
      <w:proofErr w:type="gramStart"/>
      <w:r w:rsidRPr="00511005">
        <w:rPr>
          <w:rFonts w:ascii="Arial" w:eastAsia="Times New Roman" w:hAnsi="Arial" w:cs="Arial"/>
          <w:szCs w:val="28"/>
          <w:lang w:val="en-US" w:eastAsia="ru-RU"/>
        </w:rPr>
        <w:t>Харків :</w:t>
      </w:r>
      <w:proofErr w:type="gramEnd"/>
      <w:r w:rsidRPr="00511005">
        <w:rPr>
          <w:rFonts w:ascii="Arial" w:eastAsia="Times New Roman" w:hAnsi="Arial" w:cs="Arial"/>
          <w:szCs w:val="28"/>
          <w:lang w:val="en-US" w:eastAsia="ru-RU"/>
        </w:rPr>
        <w:t xml:space="preserve"> Право, 2022. 304 с.</w:t>
      </w:r>
    </w:p>
    <w:p w14:paraId="7884CAAD" w14:textId="77777777" w:rsidR="00220D3E" w:rsidRPr="00511005" w:rsidRDefault="00220D3E" w:rsidP="003F6A5D">
      <w:pPr>
        <w:numPr>
          <w:ilvl w:val="0"/>
          <w:numId w:val="130"/>
        </w:numPr>
        <w:tabs>
          <w:tab w:val="clear" w:pos="720"/>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Карпенко С. П., Демченко Л. В. Гендерна інтеграція в міжнародному праві прав </w:t>
      </w:r>
      <w:proofErr w:type="gramStart"/>
      <w:r w:rsidRPr="00511005">
        <w:rPr>
          <w:rFonts w:ascii="Arial" w:eastAsia="Times New Roman" w:hAnsi="Arial" w:cs="Arial"/>
          <w:szCs w:val="28"/>
          <w:lang w:eastAsia="ru-RU"/>
        </w:rPr>
        <w:t>людини :</w:t>
      </w:r>
      <w:proofErr w:type="gramEnd"/>
      <w:r w:rsidRPr="00511005">
        <w:rPr>
          <w:rFonts w:ascii="Arial" w:eastAsia="Times New Roman" w:hAnsi="Arial" w:cs="Arial"/>
          <w:szCs w:val="28"/>
          <w:lang w:eastAsia="ru-RU"/>
        </w:rPr>
        <w:t xml:space="preserve"> навч.-метод. посіб. </w:t>
      </w:r>
      <w:proofErr w:type="gramStart"/>
      <w:r w:rsidRPr="00511005">
        <w:rPr>
          <w:rFonts w:ascii="Arial" w:eastAsia="Times New Roman" w:hAnsi="Arial" w:cs="Arial"/>
          <w:szCs w:val="28"/>
          <w:lang w:val="en-US" w:eastAsia="ru-RU"/>
        </w:rPr>
        <w:t>Одеса :</w:t>
      </w:r>
      <w:proofErr w:type="gramEnd"/>
      <w:r w:rsidRPr="00511005">
        <w:rPr>
          <w:rFonts w:ascii="Arial" w:eastAsia="Times New Roman" w:hAnsi="Arial" w:cs="Arial"/>
          <w:szCs w:val="28"/>
          <w:lang w:val="en-US" w:eastAsia="ru-RU"/>
        </w:rPr>
        <w:t xml:space="preserve"> Фенікс, 2022. 176 с.</w:t>
      </w:r>
    </w:p>
    <w:p w14:paraId="1960556C" w14:textId="77777777" w:rsidR="00220D3E" w:rsidRPr="00511005" w:rsidRDefault="00220D3E" w:rsidP="003F6A5D">
      <w:pPr>
        <w:numPr>
          <w:ilvl w:val="0"/>
          <w:numId w:val="130"/>
        </w:numPr>
        <w:tabs>
          <w:tab w:val="clear" w:pos="720"/>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Войтенко О. М., Василенко І. Д. Регіональні механізми захисту прав жінок: порівняльно-правовий </w:t>
      </w:r>
      <w:proofErr w:type="gramStart"/>
      <w:r w:rsidRPr="00511005">
        <w:rPr>
          <w:rFonts w:ascii="Arial" w:eastAsia="Times New Roman" w:hAnsi="Arial" w:cs="Arial"/>
          <w:szCs w:val="28"/>
          <w:lang w:eastAsia="ru-RU"/>
        </w:rPr>
        <w:t>аналіз :</w:t>
      </w:r>
      <w:proofErr w:type="gramEnd"/>
      <w:r w:rsidRPr="00511005">
        <w:rPr>
          <w:rFonts w:ascii="Arial" w:eastAsia="Times New Roman" w:hAnsi="Arial" w:cs="Arial"/>
          <w:szCs w:val="28"/>
          <w:lang w:eastAsia="ru-RU"/>
        </w:rPr>
        <w:t xml:space="preserve"> навч. посіб. </w:t>
      </w:r>
      <w:proofErr w:type="gramStart"/>
      <w:r w:rsidRPr="00511005">
        <w:rPr>
          <w:rFonts w:ascii="Arial" w:eastAsia="Times New Roman" w:hAnsi="Arial" w:cs="Arial"/>
          <w:szCs w:val="28"/>
          <w:lang w:val="en-US" w:eastAsia="ru-RU"/>
        </w:rPr>
        <w:t>Львів :</w:t>
      </w:r>
      <w:proofErr w:type="gramEnd"/>
      <w:r w:rsidRPr="00511005">
        <w:rPr>
          <w:rFonts w:ascii="Arial" w:eastAsia="Times New Roman" w:hAnsi="Arial" w:cs="Arial"/>
          <w:szCs w:val="28"/>
          <w:lang w:val="en-US" w:eastAsia="ru-RU"/>
        </w:rPr>
        <w:t xml:space="preserve"> Магнолія 2006, 2023. 218 с.</w:t>
      </w:r>
    </w:p>
    <w:p w14:paraId="1FB9CC67" w14:textId="77777777" w:rsidR="00220D3E" w:rsidRPr="00511005" w:rsidRDefault="00220D3E" w:rsidP="003F6A5D">
      <w:pPr>
        <w:numPr>
          <w:ilvl w:val="0"/>
          <w:numId w:val="130"/>
        </w:numPr>
        <w:tabs>
          <w:tab w:val="clear" w:pos="720"/>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lastRenderedPageBreak/>
        <w:t xml:space="preserve">Реут А. Г., Климович Н. О. Гендерно зумовлене насильство: міжнародні стандарти та національні </w:t>
      </w:r>
      <w:proofErr w:type="gramStart"/>
      <w:r w:rsidRPr="00511005">
        <w:rPr>
          <w:rFonts w:ascii="Arial" w:eastAsia="Times New Roman" w:hAnsi="Arial" w:cs="Arial"/>
          <w:szCs w:val="28"/>
          <w:lang w:eastAsia="ru-RU"/>
        </w:rPr>
        <w:t>практики :</w:t>
      </w:r>
      <w:proofErr w:type="gramEnd"/>
      <w:r w:rsidRPr="00511005">
        <w:rPr>
          <w:rFonts w:ascii="Arial" w:eastAsia="Times New Roman" w:hAnsi="Arial" w:cs="Arial"/>
          <w:szCs w:val="28"/>
          <w:lang w:eastAsia="ru-RU"/>
        </w:rPr>
        <w:t xml:space="preserve"> колективна монографія. </w:t>
      </w:r>
      <w:proofErr w:type="gramStart"/>
      <w:r w:rsidRPr="00511005">
        <w:rPr>
          <w:rFonts w:ascii="Arial" w:eastAsia="Times New Roman" w:hAnsi="Arial" w:cs="Arial"/>
          <w:szCs w:val="28"/>
          <w:lang w:val="en-US" w:eastAsia="ru-RU"/>
        </w:rPr>
        <w:t>Київ :</w:t>
      </w:r>
      <w:proofErr w:type="gramEnd"/>
      <w:r w:rsidRPr="00511005">
        <w:rPr>
          <w:rFonts w:ascii="Arial" w:eastAsia="Times New Roman" w:hAnsi="Arial" w:cs="Arial"/>
          <w:szCs w:val="28"/>
          <w:lang w:val="en-US" w:eastAsia="ru-RU"/>
        </w:rPr>
        <w:t xml:space="preserve"> Видавничий дім «Гельветика», 2022. 386 с.</w:t>
      </w:r>
    </w:p>
    <w:p w14:paraId="35E35FCA"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6EDE9016" w14:textId="1ECAAA75"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 xml:space="preserve">гендерна рівність, міжнародне право прав людини, дискримінація за ознакою статі, права жінок, гендерно зумовлене насильство, </w:t>
      </w:r>
      <w:r w:rsidR="00220D3E" w:rsidRPr="00511005">
        <w:rPr>
          <w:rFonts w:ascii="Arial" w:eastAsia="Times New Roman" w:hAnsi="Arial" w:cs="Arial"/>
          <w:szCs w:val="28"/>
          <w:lang w:val="en-US" w:eastAsia="ru-RU"/>
        </w:rPr>
        <w:t>CEDAW</w:t>
      </w:r>
      <w:r w:rsidR="00220D3E" w:rsidRPr="00511005">
        <w:rPr>
          <w:rFonts w:ascii="Arial" w:eastAsia="Times New Roman" w:hAnsi="Arial" w:cs="Arial"/>
          <w:szCs w:val="28"/>
          <w:lang w:val="uk-UA" w:eastAsia="ru-RU"/>
        </w:rPr>
        <w:t>, гендерна інтеграція, Пекінська платформа дій, Стамбульська конвенція, субстантивна рівність.</w:t>
      </w:r>
    </w:p>
    <w:p w14:paraId="6B4A95AC" w14:textId="3588C130"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gender equality, international human rights law, sex discrimination, women's rights, gender-based violence, CEDAW, gender mainstreaming, Beijing Platform for Action, Istanbul Convention, substantive equality.</w:t>
      </w:r>
    </w:p>
    <w:p w14:paraId="275CE717" w14:textId="75521653" w:rsidR="00220D3E" w:rsidRPr="00511005" w:rsidRDefault="007B2628" w:rsidP="003A292D">
      <w:pPr>
        <w:tabs>
          <w:tab w:val="left" w:pos="709"/>
        </w:tabs>
        <w:spacing w:line="264" w:lineRule="auto"/>
        <w:jc w:val="left"/>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eastAsia="ru-RU"/>
        </w:rPr>
        <w:t>к.ю.н., доцент</w:t>
      </w:r>
      <w:r w:rsidRPr="00511005">
        <w:rPr>
          <w:rFonts w:ascii="Arial" w:eastAsia="Times New Roman" w:hAnsi="Arial" w:cs="Arial"/>
          <w:i/>
          <w:iCs/>
          <w:szCs w:val="28"/>
          <w:lang w:eastAsia="ru-RU"/>
        </w:rPr>
        <w:t xml:space="preserve"> </w:t>
      </w:r>
      <w:r w:rsidR="00220D3E" w:rsidRPr="00511005">
        <w:rPr>
          <w:rFonts w:ascii="Arial" w:eastAsia="Times New Roman" w:hAnsi="Arial" w:cs="Arial"/>
          <w:i/>
          <w:iCs/>
          <w:szCs w:val="28"/>
          <w:lang w:eastAsia="ru-RU"/>
        </w:rPr>
        <w:t>Гриб А.М.</w:t>
      </w:r>
    </w:p>
    <w:p w14:paraId="321A1DB8"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2EF2F6CF"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eastAsia="ru-RU"/>
        </w:rPr>
        <w:t>Куцерубова Пол</w:t>
      </w:r>
      <w:r w:rsidRPr="00511005">
        <w:rPr>
          <w:rFonts w:ascii="Arial" w:eastAsia="Times New Roman" w:hAnsi="Arial" w:cs="Arial"/>
          <w:b/>
          <w:bCs/>
          <w:i/>
          <w:iCs/>
          <w:szCs w:val="28"/>
          <w:lang w:val="uk-UA" w:eastAsia="ru-RU"/>
        </w:rPr>
        <w:t>іна Євгенівна</w:t>
      </w:r>
    </w:p>
    <w:p w14:paraId="39F32A4F" w14:textId="6DEDCAFA" w:rsidR="00220D3E" w:rsidRPr="00511005" w:rsidRDefault="00536AAB" w:rsidP="003A292D">
      <w:pPr>
        <w:tabs>
          <w:tab w:val="left" w:pos="709"/>
        </w:tabs>
        <w:spacing w:line="264" w:lineRule="auto"/>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 xml:space="preserve">студентка 2-го курсу </w:t>
      </w:r>
      <w:r w:rsidR="001B7B25" w:rsidRPr="00511005">
        <w:rPr>
          <w:rFonts w:ascii="Arial" w:eastAsia="Times New Roman" w:hAnsi="Arial" w:cs="Arial"/>
          <w:iCs/>
          <w:szCs w:val="28"/>
          <w:lang w:val="uk-UA" w:eastAsia="ru-RU"/>
        </w:rPr>
        <w:t>факультету судового та міжнародного права</w:t>
      </w:r>
    </w:p>
    <w:p w14:paraId="40AADAA3" w14:textId="4C9545C1" w:rsidR="00220D3E" w:rsidRPr="00511005" w:rsidRDefault="007B2628" w:rsidP="003A292D">
      <w:pPr>
        <w:tabs>
          <w:tab w:val="left" w:pos="709"/>
        </w:tabs>
        <w:spacing w:line="264" w:lineRule="auto"/>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p>
    <w:p w14:paraId="7592730F" w14:textId="77777777" w:rsidR="00220D3E" w:rsidRPr="00511005" w:rsidRDefault="00220D3E" w:rsidP="003A292D">
      <w:pPr>
        <w:tabs>
          <w:tab w:val="left" w:pos="709"/>
        </w:tabs>
        <w:spacing w:line="264" w:lineRule="auto"/>
        <w:jc w:val="center"/>
        <w:rPr>
          <w:rFonts w:ascii="Arial" w:eastAsia="Times New Roman" w:hAnsi="Arial" w:cs="Arial"/>
          <w:i/>
          <w:iCs/>
          <w:szCs w:val="28"/>
          <w:lang w:val="uk-UA" w:eastAsia="ru-RU"/>
        </w:rPr>
      </w:pPr>
    </w:p>
    <w:p w14:paraId="0E54EA1B"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ПИТАННЯ ЕКСТРАДИЦІЇ У МІЖНАРОДНОМУ ПРАВІ: ТЕОРІЯ ТА ПРАКТИКА</w:t>
      </w:r>
    </w:p>
    <w:p w14:paraId="6AA5D7C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добу стрімкої трансформації міжнародних відносин та зростання глобальної мобільності, механізми юридичної взаємодії між державами набувають особливої ваги. Струмкі тендеції глобалізації сьогоденного світу дозволяють питанню екстрадиції набути особливої актуальності, адже злочинність дедалі частіше набуває транснаціонального характеру. Ефективне переслідування осіб, які ухиляються від кримінальної відповідальності шляхом перетину державних кордонів, можливе лише за умови тісної співпраці між державами. На перетині міжнародного та національного права, екстрадиція постає як правовий феномен, що поєднує принципи суверенітету, міжнародної солідарності у боротьбі зі злочинністю та фундаментальні гарантії прав людини.</w:t>
      </w:r>
    </w:p>
    <w:p w14:paraId="7753386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Однак попри усталену нормативну базу та широку договірну практику, екстрадиційні процедури залишаються сферою, де щоразу відчутно зіштовхуються не лише юрисдикційні повноваження, а й політичні інтереси, етичні дилеми та гуманітарні міркування. Відмова у видачі за мотивами політичного переслідування, заборона екстрадиції у разі загрози застосування тортур або смертної кари, проблематика подвійної інкримінації — усе це свідчить про багатовимірність та правову складність досліджуваного інституту.</w:t>
      </w:r>
    </w:p>
    <w:p w14:paraId="4EA74B6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ab/>
        <w:t xml:space="preserve">Актуальність дослідження питань екстрадиції у міжнародному праві зумовлена зростанням кількості злочинів транснаціонального характеру та необхідністю ефективного міжнародного співробітництва у </w:t>
      </w:r>
      <w:r w:rsidRPr="00511005">
        <w:rPr>
          <w:rFonts w:ascii="Arial" w:eastAsia="Times New Roman" w:hAnsi="Arial" w:cs="Arial"/>
          <w:szCs w:val="28"/>
          <w:lang w:val="uk-UA" w:eastAsia="ru-RU"/>
        </w:rPr>
        <w:lastRenderedPageBreak/>
        <w:t>сфері кримінального правосуддя. Разом з тим зазначена актуальність ускладнюється значною кількістю колізій у правозастосовній практиці, розбіжності між національними законодавствами, відсутність універсального міжнародного документа, який би всебічно регламентував процедуру екстрадиції. Все вищевизначене обумовлює потребу у аналізі цього інституту.</w:t>
      </w:r>
    </w:p>
    <w:p w14:paraId="030406E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ab/>
        <w:t>В науковій літературі відсутній єдиний підхід до трактування поняття екстрадиції, з чого породжується існування певного дуалізмі ідей та підходів для визначення. У кримінальному процесі цей правовий інструмент часто описують як складне явище, що включає не тільки передачу особи для судового розгляду або виконання судового рішення у вузькому значенні, але й переміщення особи для відбуття призначеного покарання чи застосування примусових медичних заходів. Отже, екстрадицію з цього боку розглядають безпосередньом як спосіб міжнародної правової взаємодії, що ґрунтується на міжнародних домовленостях і охоплює дії з видачі (передачі, конвоювання) особи [1, с.374].</w:t>
      </w:r>
    </w:p>
    <w:p w14:paraId="4C8ABCD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ab/>
        <w:t>З іншого боку, П. Р. Ізмайлов визначає екстрадицію як різновид правової підтримки між суб'єктами міжнародного права, що здійснюється за їхнім зверненням або вимогою. Цей процес передбачає передачу обвинувачених або засуджених осіб для притягнення їх до відповідальності згідно з кримінальним законодавством або для відбування призначеного їм покарання, спираючись на міжнародні та національні правові норми [2, с.46].</w:t>
      </w:r>
    </w:p>
    <w:p w14:paraId="017C536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ab/>
        <w:t xml:space="preserve">На думку дослідника Н. Сафарова, екстрадиція є ключовим механізмом, що гарантує дію принципу обов'язкового притягнення до кримінальної відповідальності та покарання осіб, які переховуються за межами держави. У цьому контексті виникає потреба в міжнародній взаємодії, що знаходить своє відображення в укладанні двосторонніх та багатосторонніх угод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3, с.135</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1998CDE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ab/>
        <w:t>Аналіз вищенаведених підходів дає змогу визначити, що екстрадиція в міжнародному праві розглядається як комплексне явище, що поєднує ознаки кримінально-процесуального інституту та форми міжнародної правової співпраці. Вона виконує важливу функцію у забезпеченні принципу невідворотності кримінальної відповідальності, виступаючи інструментом, який дозволяє державам реалізовувати спільні зобов’язання у сфері боротьби зі злочинністю.</w:t>
      </w:r>
    </w:p>
    <w:p w14:paraId="162083F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ab/>
        <w:t xml:space="preserve">За своєю природою екстрадиція як сукупність процесуальних кроків у кримінальній сфері об'єднує як універсальні, так і спеціалізовані процедури. Навіть розглядаючи передачу особи як елемент кримінального права, її втілення в життя неминуче передбачає виконання певних процесуальних дій та налагодження співробітництва з іноземними державами, що належить виключно до сфери кримінального судочинства [4, с.160]. </w:t>
      </w:r>
      <w:r w:rsidRPr="00511005">
        <w:rPr>
          <w:rFonts w:ascii="Arial" w:eastAsia="Times New Roman" w:hAnsi="Arial" w:cs="Arial"/>
          <w:szCs w:val="28"/>
          <w:lang w:eastAsia="ru-RU"/>
        </w:rPr>
        <w:t xml:space="preserve">На думку Бадалової Т. Г. та Федченка В. М., екстрадиція є </w:t>
      </w:r>
      <w:r w:rsidRPr="00511005">
        <w:rPr>
          <w:rFonts w:ascii="Arial" w:eastAsia="Times New Roman" w:hAnsi="Arial" w:cs="Arial"/>
          <w:szCs w:val="28"/>
          <w:lang w:eastAsia="ru-RU"/>
        </w:rPr>
        <w:lastRenderedPageBreak/>
        <w:t>багатоетапним правовим процесом, реалізація якого є нездійсненною (навіть за умови існування спеціального нормативного акта, такого як Європейська конвенція про видачу 1957 року або національний Закон про видачу) без застосування положень конституційного, кримінального, кримінально-процесуального та інших правових напрямків [5, с.146].</w:t>
      </w:r>
    </w:p>
    <w:p w14:paraId="78748185" w14:textId="4D4BD196"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ab/>
        <w:t>Значна кількість проблемних аспектів, що стосуються екстрадиції, врегульовуються нормами внутрішнього законодавства, включаючи відомчі акти. Ці рішення ґрунтуються на засадах міжнародної взаємодії, а саме добровільності та взаємної вигоди.</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Незважаючи на відмінності в національних підходах, існує загальна домовленість, що екстрадиція здійснюється виключно тоді, коли діяння кваліфікується як злочин відповідно до правових систем обох країн, що є сторонами угоди. Саме тому принцип взаємної криміналізації закріплений у всіх екстрадиційних договорах і на сьогодні є загальновизнаною нормою міжнародного права [</w:t>
      </w:r>
      <w:r w:rsidRPr="00511005">
        <w:rPr>
          <w:rFonts w:ascii="Arial" w:eastAsia="Times New Roman" w:hAnsi="Arial" w:cs="Arial"/>
          <w:szCs w:val="28"/>
          <w:lang w:val="uk-UA" w:eastAsia="ru-RU"/>
        </w:rPr>
        <w:t>1</w:t>
      </w:r>
      <w:r w:rsidRPr="00511005">
        <w:rPr>
          <w:rFonts w:ascii="Arial" w:eastAsia="Times New Roman" w:hAnsi="Arial" w:cs="Arial"/>
          <w:szCs w:val="28"/>
          <w:lang w:eastAsia="ru-RU"/>
        </w:rPr>
        <w:t>, с.230]. Разом з тим, передача іноземців та осіб без громадянства, як правило, можлива лише у випадках, визначених міжнародною угодою, що є обов'язковою для зацікавлених країн, або на підставі законного рішення держави. Укладені двосторонні договори про екстрадицію самі по собі не створюють підстав для здійснення видачі. Вони є лише правовим підґрунтям для потенційного застосування такого заходу [7 с.89].</w:t>
      </w:r>
    </w:p>
    <w:p w14:paraId="2899D67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ab/>
        <w:t xml:space="preserve">Екстрадиційна процедура включає декілька стадій. На початковому етапі необхідно визначити наявність достатніх юридичних підстав для передачі особи. На цьому кроці сторона, що ініціює запит, аналізує чинну договірно-правову основу та положення національного законодавства, що регулюють питання видачі, з метою з'ясування можливості витребування особи, яка перебуває на території іншої держави. Після встановлення такої можливості, сторона, що запитує, готує офіційне звернення (запит, вимогу, клопотання) про видачу. На другому етапі держава, до якої направлено запит, розглядає його та приймає рішення по суті. У разі позитивного рішення, запитувана сторона інформує ініціатора про місце та час передачі особи. Наступним етапом є прийняття осіб, переданих </w:t>
      </w:r>
      <w:proofErr w:type="gramStart"/>
      <w:r w:rsidRPr="00511005">
        <w:rPr>
          <w:rFonts w:ascii="Arial" w:eastAsia="Times New Roman" w:hAnsi="Arial" w:cs="Arial"/>
          <w:szCs w:val="28"/>
          <w:lang w:eastAsia="ru-RU"/>
        </w:rPr>
        <w:t>у порядку</w:t>
      </w:r>
      <w:proofErr w:type="gramEnd"/>
      <w:r w:rsidRPr="00511005">
        <w:rPr>
          <w:rFonts w:ascii="Arial" w:eastAsia="Times New Roman" w:hAnsi="Arial" w:cs="Arial"/>
          <w:szCs w:val="28"/>
          <w:lang w:eastAsia="ru-RU"/>
        </w:rPr>
        <w:t xml:space="preserve"> екстрадиції. Ця діяльність зазвичай відбувається через пункти пропуску прикордонних служб запитуючої держави та фіксується відповідним протоколом [2, с.162].</w:t>
      </w:r>
    </w:p>
    <w:p w14:paraId="30C69C1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ab/>
        <w:t>Як у теоретичних дослідженнях, так і на практиці, процедура екстрадиції слугує своєрідним механізмом подолання перешкод, що виникають у ситуаціях, коли підозрюваний фізично перебуває за межами юрисдикції держави, яка домагається його кримінального переслідування та судового розгляду справи. Крім того, принцип взаємної криміналізації та правило спеціалізації потребують гнучкого застосування, особливо враховуючи швидкість технологічних та суспільних змін [</w:t>
      </w:r>
      <w:r w:rsidRPr="00511005">
        <w:rPr>
          <w:rFonts w:ascii="Arial" w:eastAsia="Times New Roman" w:hAnsi="Arial" w:cs="Arial"/>
          <w:szCs w:val="28"/>
          <w:lang w:val="uk-UA" w:eastAsia="ru-RU"/>
        </w:rPr>
        <w:t>6</w:t>
      </w:r>
      <w:r w:rsidRPr="00511005">
        <w:rPr>
          <w:rFonts w:ascii="Arial" w:eastAsia="Times New Roman" w:hAnsi="Arial" w:cs="Arial"/>
          <w:szCs w:val="28"/>
          <w:lang w:eastAsia="ru-RU"/>
        </w:rPr>
        <w:t xml:space="preserve">, с.91]. У </w:t>
      </w:r>
      <w:r w:rsidRPr="00511005">
        <w:rPr>
          <w:rFonts w:ascii="Arial" w:eastAsia="Times New Roman" w:hAnsi="Arial" w:cs="Arial"/>
          <w:szCs w:val="28"/>
          <w:lang w:eastAsia="ru-RU"/>
        </w:rPr>
        <w:lastRenderedPageBreak/>
        <w:t>практичній площині інституту екстрадиції потенційно можливе виникнення колізійних ситуацій щодо запитів про видачу, зокрема, у випадку надходження вимог стосовно однієї й тієї ж фізичної особи у зв'язку з інкримінуванням одного або множини кримінальних правопорушень від кількох держав-суб'єктів міжнародного права. За загальноприйнятим принципом, пріоритет у видачі особи надається тій державі, на чиїй суверенній території було скоєно інкриміноване діяння; однак, остаточне врегулювання зазначеного питання ad hoc здійснюється уповноваженим центральним органом запитуваної держави, на який покладено функції реалізації міжнародного співробітництва у кримінально-правовій сфері [</w:t>
      </w:r>
      <w:r w:rsidRPr="00511005">
        <w:rPr>
          <w:rFonts w:ascii="Arial" w:eastAsia="Times New Roman" w:hAnsi="Arial" w:cs="Arial"/>
          <w:szCs w:val="28"/>
          <w:lang w:val="uk-UA" w:eastAsia="ru-RU"/>
        </w:rPr>
        <w:t>7</w:t>
      </w:r>
      <w:r w:rsidRPr="00511005">
        <w:rPr>
          <w:rFonts w:ascii="Arial" w:eastAsia="Times New Roman" w:hAnsi="Arial" w:cs="Arial"/>
          <w:szCs w:val="28"/>
          <w:lang w:eastAsia="ru-RU"/>
        </w:rPr>
        <w:t>, с</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178].</w:t>
      </w:r>
    </w:p>
    <w:p w14:paraId="4E5E923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ab/>
      </w:r>
      <w:r w:rsidRPr="00511005">
        <w:rPr>
          <w:rFonts w:ascii="Arial" w:eastAsia="Times New Roman" w:hAnsi="Arial" w:cs="Arial"/>
          <w:szCs w:val="28"/>
          <w:lang w:val="uk-UA" w:eastAsia="ru-RU"/>
        </w:rPr>
        <w:t>Таким чином, беручи до уваги усе вищевикладене, надходимо висновку про те що інститут екстрадиції відіграє ключову роль у системі міжнародного співробітництва у сфері кримінального правосуддя, забезпечуючи механізми притягнення до відповідальності осіб, які переховуються за межами юрисдикції держави вчинення злочину. Теоретичний аналіз та освітлення практичних екстрадиційних процедур свідчать про низку правових, політичних та гуманітарних викликів, серед яких особливу увагу слід приділити колізіям між нормами національного та міжнародного права. З цього формуємо думку про те, що колізії не лише ускладнюють реалізацію екстрадиції, але й потребують гнучкого, правового підходу з боку компетентних органів та міжнародних інституцій. У цьому контексті особливої актуальності набуває гармонізація національного законодавства з міжнародно-правовими стандартами, що сприятиме підвищенню ефективності екстрадиційного співробітництва та зміцненню загальної архітектури міжнародного правопорядку при одночасному забезпеченні належного рівня захисту прав і свобод людини.</w:t>
      </w:r>
    </w:p>
    <w:p w14:paraId="1D1C37D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5E9760F0" w14:textId="2419ADF3"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706EC09C" w14:textId="77777777" w:rsidR="00220D3E" w:rsidRPr="00511005" w:rsidRDefault="00220D3E" w:rsidP="003F6A5D">
      <w:pPr>
        <w:numPr>
          <w:ilvl w:val="0"/>
          <w:numId w:val="131"/>
        </w:num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Березняк В. С. Сучасні погляди на поняття «екстрадиція» у науці кримінально-процесуального права. Науковий вісник Дніпропетровського державного університету внутрішніх справ. 2014. № 4. С. 373–375.</w:t>
      </w:r>
    </w:p>
    <w:p w14:paraId="63E01050" w14:textId="77777777" w:rsidR="00220D3E" w:rsidRPr="00511005" w:rsidRDefault="00220D3E" w:rsidP="003F6A5D">
      <w:pPr>
        <w:numPr>
          <w:ilvl w:val="0"/>
          <w:numId w:val="131"/>
        </w:num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Ізмайлов П. Р. Проблеми екстрадиції в міжнародному публічному праві / П. Р. Ізмайлов. – № 5. – 2010. – С. 46-55</w:t>
      </w:r>
    </w:p>
    <w:p w14:paraId="25DEBFC8" w14:textId="77777777" w:rsidR="00220D3E" w:rsidRPr="00511005" w:rsidRDefault="00220D3E" w:rsidP="003F6A5D">
      <w:pPr>
        <w:numPr>
          <w:ilvl w:val="0"/>
          <w:numId w:val="131"/>
        </w:num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Демидюк О.Б. Екстрадиція як інститут кримінально-процесуального права / О.Б. Демидюк // Вісник Академії адвокатури України. – 2011. – No 2. – С. 134–138.</w:t>
      </w:r>
    </w:p>
    <w:p w14:paraId="6D7012A7" w14:textId="77777777" w:rsidR="00220D3E" w:rsidRPr="00511005" w:rsidRDefault="00220D3E" w:rsidP="003F6A5D">
      <w:pPr>
        <w:numPr>
          <w:ilvl w:val="0"/>
          <w:numId w:val="131"/>
        </w:num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zh-CN"/>
        </w:rPr>
        <w:t>Брітова Е.А. Поняття видачі злочинців (екстрадиції) та екстрадиційні правовідносини / Е.А. Брітова // Закарпатські правові читання. – 2015. – No 2. – С. 159–163.</w:t>
      </w:r>
    </w:p>
    <w:p w14:paraId="7F8876F1" w14:textId="77777777" w:rsidR="00220D3E" w:rsidRPr="00511005" w:rsidRDefault="00220D3E" w:rsidP="003F6A5D">
      <w:pPr>
        <w:numPr>
          <w:ilvl w:val="0"/>
          <w:numId w:val="131"/>
        </w:num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Бадалова Т. Г., Федченко В. М. Дніпровський науковий часопис публічного управління, психології, права. Випуск 3, 2022. С. 144-151</w:t>
      </w:r>
    </w:p>
    <w:p w14:paraId="3147F982" w14:textId="77777777" w:rsidR="00220D3E" w:rsidRPr="00511005" w:rsidRDefault="00220D3E" w:rsidP="003F6A5D">
      <w:pPr>
        <w:numPr>
          <w:ilvl w:val="0"/>
          <w:numId w:val="131"/>
        </w:num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Молчанова А. П, Маланчук П. М. Видача особи (екстрадиція) у кримінальному провадженні щодо злочинів міжнародного характеру. Правові горизонти. 2017. С. 86–91</w:t>
      </w:r>
    </w:p>
    <w:p w14:paraId="313BB0BE" w14:textId="77777777" w:rsidR="00220D3E" w:rsidRPr="00511005" w:rsidRDefault="00220D3E" w:rsidP="003F6A5D">
      <w:pPr>
        <w:numPr>
          <w:ilvl w:val="0"/>
          <w:numId w:val="131"/>
        </w:numPr>
        <w:tabs>
          <w:tab w:val="left" w:pos="709"/>
        </w:tabs>
        <w:spacing w:line="264" w:lineRule="auto"/>
        <w:jc w:val="left"/>
        <w:rPr>
          <w:rFonts w:ascii="Arial" w:eastAsia="Times New Roman" w:hAnsi="Arial" w:cs="Arial"/>
          <w:b/>
          <w:bCs/>
          <w:szCs w:val="28"/>
          <w:lang w:val="uk-UA" w:eastAsia="ru-RU"/>
        </w:rPr>
      </w:pPr>
      <w:r w:rsidRPr="00511005">
        <w:rPr>
          <w:rFonts w:ascii="Arial" w:eastAsia="Times New Roman" w:hAnsi="Arial" w:cs="Arial"/>
          <w:szCs w:val="28"/>
          <w:lang w:val="uk-UA" w:eastAsia="zh-CN"/>
        </w:rPr>
        <w:t>Лєшукова І.В. Процесуальні особливості міжнародної співпраці слідчих ОВС України при розв'язанні питань про видачу (екстрадицію) / І.В. Лєшукова // Кримінальний процес. – 2009. – No 11. – С. 175–179.</w:t>
      </w:r>
    </w:p>
    <w:p w14:paraId="59F82B8F"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20ABF22E" w14:textId="146639CC"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міжнародне співробітництво, правова допомога, видача осіб, екстрадиція, екстрадиційний арешт.</w:t>
      </w:r>
    </w:p>
    <w:p w14:paraId="7F769165" w14:textId="6953D829"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international cooperation, legal assistance, extradition, extradition arrest.</w:t>
      </w:r>
    </w:p>
    <w:p w14:paraId="02B4C2DC" w14:textId="5AF17315" w:rsidR="00220D3E" w:rsidRPr="00511005" w:rsidRDefault="00220D3E"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szCs w:val="28"/>
          <w:lang w:val="en-US" w:eastAsia="ru-RU"/>
        </w:rPr>
        <w:tab/>
      </w:r>
      <w:r w:rsidR="007B2628" w:rsidRPr="00511005">
        <w:rPr>
          <w:rFonts w:ascii="Arial" w:eastAsia="Times New Roman" w:hAnsi="Arial" w:cs="Arial"/>
          <w:b/>
          <w:i/>
          <w:iCs/>
          <w:szCs w:val="28"/>
          <w:lang w:eastAsia="ru-RU"/>
        </w:rPr>
        <w:t xml:space="preserve">Науковий керівник: </w:t>
      </w:r>
      <w:proofErr w:type="gramStart"/>
      <w:r w:rsidRPr="00511005">
        <w:rPr>
          <w:rFonts w:ascii="Arial" w:eastAsia="Times New Roman" w:hAnsi="Arial" w:cs="Arial"/>
          <w:i/>
          <w:iCs/>
          <w:szCs w:val="28"/>
          <w:lang w:val="uk-UA" w:eastAsia="ru-RU"/>
        </w:rPr>
        <w:t>к.ю.н ,</w:t>
      </w:r>
      <w:proofErr w:type="gramEnd"/>
      <w:r w:rsidRPr="00511005">
        <w:rPr>
          <w:rFonts w:ascii="Arial" w:eastAsia="Times New Roman" w:hAnsi="Arial" w:cs="Arial"/>
          <w:i/>
          <w:iCs/>
          <w:szCs w:val="28"/>
          <w:lang w:val="uk-UA" w:eastAsia="ru-RU"/>
        </w:rPr>
        <w:t xml:space="preserve"> доцент Грушко М.В.</w:t>
      </w:r>
    </w:p>
    <w:p w14:paraId="6BA42C70" w14:textId="77777777" w:rsidR="00220D3E" w:rsidRPr="00511005" w:rsidRDefault="00220D3E" w:rsidP="003A292D">
      <w:pPr>
        <w:tabs>
          <w:tab w:val="left" w:pos="709"/>
        </w:tabs>
        <w:spacing w:line="264" w:lineRule="auto"/>
        <w:rPr>
          <w:rFonts w:ascii="Arial" w:eastAsia="Times New Roman" w:hAnsi="Arial" w:cs="Arial"/>
          <w:i/>
          <w:iCs/>
          <w:szCs w:val="28"/>
          <w:lang w:val="uk-UA" w:eastAsia="ru-RU"/>
        </w:rPr>
      </w:pPr>
    </w:p>
    <w:p w14:paraId="1449BF93"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eastAsia="ru-RU"/>
        </w:rPr>
        <w:t>Стафєєва Олександра Русланівна</w:t>
      </w:r>
      <w:r w:rsidRPr="00511005">
        <w:rPr>
          <w:rFonts w:ascii="Arial" w:eastAsia="Times New Roman" w:hAnsi="Arial" w:cs="Arial"/>
          <w:b/>
          <w:i/>
          <w:szCs w:val="28"/>
          <w:lang w:val="uk-UA" w:eastAsia="ru-RU"/>
        </w:rPr>
        <w:t xml:space="preserve">, </w:t>
      </w:r>
    </w:p>
    <w:p w14:paraId="6C4730C2"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Кушнірова Антоніна Сергіївна</w:t>
      </w:r>
    </w:p>
    <w:p w14:paraId="022671D3"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студентки</w:t>
      </w:r>
      <w:r w:rsidRPr="00511005">
        <w:rPr>
          <w:rFonts w:ascii="Arial" w:eastAsia="Times New Roman" w:hAnsi="Arial" w:cs="Arial"/>
          <w:szCs w:val="28"/>
          <w:lang w:eastAsia="ru-RU"/>
        </w:rPr>
        <w:t xml:space="preserve"> 4-го курсу </w:t>
      </w:r>
    </w:p>
    <w:p w14:paraId="6EBD81F7" w14:textId="20F5843D" w:rsidR="007B2628"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t>факультету адвокатури та антикорупційної діяльності</w:t>
      </w:r>
    </w:p>
    <w:p w14:paraId="6E804BD5" w14:textId="7DBA350F" w:rsidR="00220D3E" w:rsidRPr="00511005" w:rsidRDefault="007B2628"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AEA2629"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rPr>
      </w:pPr>
    </w:p>
    <w:p w14:paraId="13C6CF6F"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БІЖЕНЕЦЬ І ШУКАЧ ПРИТУЛКУ: ПРАВОВЕ РОЗМЕЖУВАННЯ У КОНТЕКСТІ ПРАВА ЄС</w:t>
      </w:r>
    </w:p>
    <w:p w14:paraId="4D10955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сучасному світі, що характеризується глобалізаційними процесами, збільшенням кількості збройних конфліктів, екологічних катастроф та політичних переслідувань, питання міграції та притулку набуває дедалі більшого значення. У цьому контексті Європейський Союз, як одна з ключових геополітичних сил, розробив складну та багаторівневу систему норм, спрямовану на врегулювання статусу осіб, які шукають захисту на його території. Важливим елементом цієї системи є чітке розмежування між поняттями «біженець» та «шукач притулку», оскільки кожен із цих статусів має окреме нормативне наповнення, правові наслідки та умови надання.</w:t>
      </w:r>
    </w:p>
    <w:p w14:paraId="103CFC8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Актуальність теми зумовлена, з одного боку, гуманітарними викликами, спричиненими воєнним станом в Україні, а з іншого — необхідністю забезпечення ефективного функціонування Спільної європейської системи притулку (CEAS). Розмежування понять «біженець» і «шукач притулку» не є суто термінологічним питанням — йдеться про гарантії правового статусу, соціального захисту, доступу </w:t>
      </w:r>
      <w:proofErr w:type="gramStart"/>
      <w:r w:rsidRPr="00511005">
        <w:rPr>
          <w:rFonts w:ascii="Arial" w:eastAsia="Times New Roman" w:hAnsi="Arial" w:cs="Arial"/>
          <w:szCs w:val="28"/>
          <w:lang w:eastAsia="ru-RU"/>
        </w:rPr>
        <w:t>до ринку</w:t>
      </w:r>
      <w:proofErr w:type="gramEnd"/>
      <w:r w:rsidRPr="00511005">
        <w:rPr>
          <w:rFonts w:ascii="Arial" w:eastAsia="Times New Roman" w:hAnsi="Arial" w:cs="Arial"/>
          <w:szCs w:val="28"/>
          <w:lang w:eastAsia="ru-RU"/>
        </w:rPr>
        <w:t xml:space="preserve"> праці, охорони здоров’я та освіти. Невизначеність або помилки у застосуванні цих понять можуть призвести до порушень фундаментальних прав людини, гарантованих як правом ЄС, так і міжнародними договорами, зокрема Конвенцією про статус біженців 1951 року.</w:t>
      </w:r>
    </w:p>
    <w:p w14:paraId="0EB1629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Таким чином, дослідження правового розмежування між біженцем та шукачем притулку у контексті права ЄС має не лише наукове, але й </w:t>
      </w:r>
      <w:r w:rsidRPr="00511005">
        <w:rPr>
          <w:rFonts w:ascii="Arial" w:eastAsia="Times New Roman" w:hAnsi="Arial" w:cs="Arial"/>
          <w:szCs w:val="28"/>
          <w:lang w:eastAsia="ru-RU"/>
        </w:rPr>
        <w:lastRenderedPageBreak/>
        <w:t>практичне значення для формування ефективної та гуманної міграційної політики.</w:t>
      </w:r>
    </w:p>
    <w:p w14:paraId="461F617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Поняття «біженець» увійшло в міжнародно-правову термінологію в період Другої світової війни як реакція на масштабні порушення прав людини, спричинені тоталітарними режимами та масовими насильницькими переміщеннями населення. Саме у цей час міжнародна спільнота усвідомила необхідність створення правових механізмів захисту осіб, які були змушені покинути свої країни через загрозу життю, свободі або гідності. У повоєнний період, з огляду на збройні конфлікти, політичні репресії, етнічні чистки та інші форми насильства, проблема вимушеної міграції набула глобального характеру. </w:t>
      </w:r>
    </w:p>
    <w:p w14:paraId="3CEAF7A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Як слушно зазначає </w:t>
      </w:r>
      <w:r w:rsidRPr="00511005">
        <w:rPr>
          <w:rFonts w:ascii="Arial" w:eastAsia="Times New Roman" w:hAnsi="Arial" w:cs="Arial"/>
          <w:szCs w:val="28"/>
          <w:shd w:val="clear" w:color="auto" w:fill="FFFFFF"/>
          <w:lang w:eastAsia="ru-RU"/>
        </w:rPr>
        <w:t xml:space="preserve">А.Й. Головач, </w:t>
      </w:r>
      <w:r w:rsidRPr="00511005">
        <w:rPr>
          <w:rFonts w:ascii="Arial" w:eastAsia="Times New Roman" w:hAnsi="Arial" w:cs="Arial"/>
          <w:szCs w:val="28"/>
          <w:lang w:eastAsia="ru-RU"/>
        </w:rPr>
        <w:t>це зумовило потребу у формуванні спеціального міжнародно-правового інструментарію для врегулювання правового статусу біженців, внутрішньо переміщених осіб та вимушених переселенців. Визнання за такими особами особливого правового становища є необхідною умовою забезпечення їхніх фундаментальних прав, включно з правом на безпечне місце проживання, захист від повернення до країн, де їм загрожує переслідування, та доступ до гуманітарної допомоги [1, с. 474]. Таким чином, міжнародно-правове розуміння статусу біженця еволюціонувало від суто історичних обставин до універсального правозахисного механізму, що застосовується у разі будь-яких ситуацій, коли особа змушена залишити територію своєї держави з огляду на реальну загрозу.</w:t>
      </w:r>
    </w:p>
    <w:p w14:paraId="1D2CCC2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Статус біженця надається особам, які відповідно до ч.2 ст. 1 Конвенції про статус біженців 1951 року мають обґрунтовані підстави побоюватися переслідування з мотивів расової належності, релігії, громадянства, належності до певної соціальної групи або політичних переконань, перебувають за межами країни свого походження та не можуть або не бажають скористатися її захистом [2]. Отримання такого статусу надає особі право на тривале перебування в державах Європейського Союзу. Водночас, у випадках масового переміщення осіб, зумовленого, зокрема, збройним конфліктом, не завжди можна стверджувати про індивідуалізоване переслідування кожної особи. Адже у таких ситуаціях загроза має широкий, невибірковий характер і спрямована проти цивільного населення загалом, що ускладнює застосування критеріїв, передбачених для визнання статусу біженця у класичному розумінні.</w:t>
      </w:r>
    </w:p>
    <w:p w14:paraId="5AA14E0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науковій та правозастосовній практиці термін «шукач притулку» нерідко використовується як синонім поняття «біженець», однак ці категорії не є тотожними. Шукач притулку – це окрема правова категорія осіб, які подали офіційне звернення до компетентних органів з проханням про надання міжнародного захисту через обґрунтовані побоювання за своє життя, свободу чи безпеку внаслідок загроз, що існують у державі їхнього </w:t>
      </w:r>
      <w:r w:rsidRPr="00511005">
        <w:rPr>
          <w:rFonts w:ascii="Arial" w:eastAsia="Times New Roman" w:hAnsi="Arial" w:cs="Arial"/>
          <w:szCs w:val="28"/>
          <w:lang w:eastAsia="ru-RU"/>
        </w:rPr>
        <w:lastRenderedPageBreak/>
        <w:t>походження або постійного проживання. Варто зазначити, що кожна особа, яка зрештою отримує статус біженця, спочатку перебуває в статусі шукача притулку. Однак, не всі шукачі притулку визнаються біженцями: у разі відсутності необхідних підстав їхнє клопотання може бути відхилено або їм може бути надано інший вид захисту. Таким чином, статус шукача притулку зберігається за особою протягом усього часу розгляду її звернення щодо надання міжнародного захисту [3, с.41].</w:t>
      </w:r>
    </w:p>
    <w:p w14:paraId="793C776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Є.С. Герасименко акцентує на складності чіткого розмежування між статусами «біженець» і «особа, яка шукає політичного притулку», вказуючи на їхню концептуальну близькість та міждисциплінарну переплетеність. Політичний притулок розглядається як специфічна форма міжнародного захисту, що межує з інститутом біженства. Конвенція 1951 року визнає політичні переконання однією з підстав для визнання особи біженцем, що спричиняє різні підходи до трактування політичного притулку. Зокрема, політичний притулок може надаватися біженцям згідно з Конвенцією; особам, які зазнали переслідувань, але не підпадають під її визначення; або ж як окрема форма притулку, регульована іншими нормами міжнародного чи національного права. На думку дослідника, така множинність інтерпретацій є наслідком відсутності уніфікованих підходів до формування інституту притулку як у міжнародному, так і в національному правовому полі [4, с.210].</w:t>
      </w:r>
    </w:p>
    <w:p w14:paraId="1FBCAD9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межах права Європейського Союзу, розмежування понять «біженець» і «шукач притулку» знайшло своє нормативне закріплення у положеннях Спільної європейської системи притулку, що включає низку директив та регламентів, зокрема Директиву 2011/95/ЄС (Кваліфікаційну директиву) [5], яка встановлює стандарти для визнання статусу міжнародного захисту, та Директиву 2013/32/ЄС (Процедурну директиву) [6], що регулює процедури розгляду заяв на надання притулку. Ключова відмінність між двома статусами полягає у стадії процедури та правових наслідках. Статус шукача притулку є тимчасовим і не гарантує отримання захисту, тоді як статус біженця засвідчує факт визнання особи такою, що відповідає критеріям міжнародного захисту.</w:t>
      </w:r>
    </w:p>
    <w:p w14:paraId="245C3C5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випадку масового притоку мігрантів, зумовленого збройним конфліктом, як у випадку України, традиційні механізми надання статусу біженця або допоміжного захисту виявилися неефективними через складність індивідуалізованої оцінки. Це актуалізувало застосування Директиви 2001/55/ЄС про тимчасовий захист, яка дозволяє швидко надати базовий захист великій кількості осіб, не вдаючись до тривалих адміністративних процедур [7]. Цей механізм, з одного боку, спрощує доступ до притулку, а з іншого — не вирішує питання довготривалого правового статусу, що зумовлює потребу в подальшому реформуванні CEAS.</w:t>
      </w:r>
    </w:p>
    <w:p w14:paraId="0182CDB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В умовах перманентних криз ЄС змушений адаптувати нормативні підходи, зберігаючи баланс між принципами прав людини, безпекою держав-членів та спроможністю системи надавати ефективний захист. Саме тому в 2023 році було схвалено Пакт про міграцію та притулок, який передбачає вдосконалення процедур, посилення солідарності між державами-членами та впровадження більш ефективної, уніфікованої системи захисту.</w:t>
      </w:r>
    </w:p>
    <w:p w14:paraId="12199FB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Розмежування понять «біженець» і «шукач притулку» у контексті права ЄС має ключове значення для ефективного функціонування системи міжнародного захисту. Правильне розуміння цього розмежування дозволяє уникнути правової невизначеності, забезпечити належний рівень захисту особам, які його потребують, та створити умови для реалізації гуманітарної політики ЄС. Події останніх років, зокрема агресія проти України, продемонстрували обмеженість традиційних механізмів та актуалізували застосування тимчасового захисту як гнучкого інструменту реагування. Водночас, ефективне забезпечення прав і свобод переміщених осіб вимагає поглибленої гармонізації законодавства, посилення інституційної спроможності та вироблення спільного бачення щодо майбутнього притулку в Європі.</w:t>
      </w:r>
    </w:p>
    <w:p w14:paraId="7C122ED0"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609AD164" w14:textId="29B1F370"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2E5FDA3F" w14:textId="77777777" w:rsidR="00220D3E" w:rsidRPr="00511005" w:rsidRDefault="00220D3E" w:rsidP="003F6A5D">
      <w:pPr>
        <w:numPr>
          <w:ilvl w:val="0"/>
          <w:numId w:val="132"/>
        </w:numPr>
        <w:tabs>
          <w:tab w:val="left" w:pos="709"/>
        </w:tabs>
        <w:spacing w:line="264" w:lineRule="auto"/>
        <w:contextualSpacing/>
        <w:jc w:val="left"/>
        <w:rPr>
          <w:rFonts w:ascii="Arial" w:eastAsia="Times New Roman" w:hAnsi="Arial" w:cs="Arial"/>
          <w:szCs w:val="28"/>
        </w:rPr>
      </w:pPr>
      <w:r w:rsidRPr="00511005">
        <w:rPr>
          <w:rFonts w:ascii="Arial" w:eastAsia="Times New Roman" w:hAnsi="Arial" w:cs="Arial"/>
          <w:szCs w:val="28"/>
          <w:shd w:val="clear" w:color="auto" w:fill="FFFFFF"/>
        </w:rPr>
        <w:t xml:space="preserve">Головач А.Й. Співвідношення інституту притулку та інституту біженців у міжнародному та національному праві. </w:t>
      </w:r>
      <w:r w:rsidRPr="00511005">
        <w:rPr>
          <w:rFonts w:ascii="Arial" w:eastAsia="Times New Roman" w:hAnsi="Arial" w:cs="Arial"/>
          <w:i/>
          <w:szCs w:val="28"/>
          <w:shd w:val="clear" w:color="auto" w:fill="FFFFFF"/>
        </w:rPr>
        <w:t>Аналітично-порівняльне правознавство</w:t>
      </w:r>
      <w:r w:rsidRPr="00511005">
        <w:rPr>
          <w:rFonts w:ascii="Arial" w:eastAsia="Times New Roman" w:hAnsi="Arial" w:cs="Arial"/>
          <w:szCs w:val="28"/>
          <w:shd w:val="clear" w:color="auto" w:fill="FFFFFF"/>
        </w:rPr>
        <w:t xml:space="preserve">. 2022. </w:t>
      </w:r>
      <w:r w:rsidRPr="00511005">
        <w:rPr>
          <w:rFonts w:ascii="Arial" w:eastAsia="Segoe UI Symbol" w:hAnsi="Arial" w:cs="Arial"/>
          <w:szCs w:val="28"/>
          <w:shd w:val="clear" w:color="auto" w:fill="FFFFFF"/>
        </w:rPr>
        <w:t>№</w:t>
      </w:r>
      <w:r w:rsidRPr="00511005">
        <w:rPr>
          <w:rFonts w:ascii="Arial" w:eastAsia="Times New Roman" w:hAnsi="Arial" w:cs="Arial"/>
          <w:szCs w:val="28"/>
          <w:shd w:val="clear" w:color="auto" w:fill="FFFFFF"/>
        </w:rPr>
        <w:t>5. С. 473-478.</w:t>
      </w:r>
    </w:p>
    <w:p w14:paraId="2E447276" w14:textId="77777777" w:rsidR="00220D3E" w:rsidRPr="00511005" w:rsidRDefault="00220D3E" w:rsidP="003F6A5D">
      <w:pPr>
        <w:numPr>
          <w:ilvl w:val="0"/>
          <w:numId w:val="132"/>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Конвенція про статус біженців: Конвенція Орг. Об'єдн. Націй від 28.07.1951 р. URL: </w:t>
      </w:r>
      <w:hyperlink r:id="rId458" w:anchor="Text">
        <w:r w:rsidRPr="00511005">
          <w:rPr>
            <w:rFonts w:ascii="Arial" w:eastAsia="Times New Roman" w:hAnsi="Arial" w:cs="Arial"/>
            <w:szCs w:val="28"/>
            <w:lang w:eastAsia="ru-RU"/>
          </w:rPr>
          <w:t>https://zakon.rada.gov.ua/laws/show/995_011#Text</w:t>
        </w:r>
      </w:hyperlink>
      <w:r w:rsidRPr="00511005">
        <w:rPr>
          <w:rFonts w:ascii="Arial" w:eastAsia="Times New Roman" w:hAnsi="Arial" w:cs="Arial"/>
          <w:szCs w:val="28"/>
          <w:lang w:eastAsia="ru-RU"/>
        </w:rPr>
        <w:t xml:space="preserve"> (дата звернення: 21.04.2025).</w:t>
      </w:r>
    </w:p>
    <w:p w14:paraId="12E7EEF6" w14:textId="3CC8F1E4" w:rsidR="00220D3E" w:rsidRPr="00511005" w:rsidRDefault="00220D3E" w:rsidP="003F6A5D">
      <w:pPr>
        <w:numPr>
          <w:ilvl w:val="0"/>
          <w:numId w:val="132"/>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shd w:val="clear" w:color="auto" w:fill="FFFFFF"/>
          <w:lang w:eastAsia="ru-RU"/>
        </w:rPr>
        <w:t xml:space="preserve">Грабова Я.О. Особливості правового регулювання реалізації особою конституційного права на притулок в Україні. </w:t>
      </w:r>
      <w:r w:rsidRPr="00511005">
        <w:rPr>
          <w:rFonts w:ascii="Arial" w:eastAsia="Times New Roman" w:hAnsi="Arial" w:cs="Arial"/>
          <w:i/>
          <w:szCs w:val="28"/>
          <w:shd w:val="clear" w:color="auto" w:fill="FFFFFF"/>
          <w:lang w:eastAsia="ru-RU"/>
        </w:rPr>
        <w:t>Прикарпатський</w:t>
      </w:r>
      <w:r w:rsidR="007B2628" w:rsidRPr="00511005">
        <w:rPr>
          <w:rFonts w:ascii="Arial" w:eastAsia="Times New Roman" w:hAnsi="Arial" w:cs="Arial"/>
          <w:i/>
          <w:szCs w:val="28"/>
          <w:shd w:val="clear" w:color="auto" w:fill="FFFFFF"/>
          <w:lang w:eastAsia="ru-RU"/>
        </w:rPr>
        <w:t xml:space="preserve"> </w:t>
      </w:r>
      <w:r w:rsidRPr="00511005">
        <w:rPr>
          <w:rFonts w:ascii="Arial" w:eastAsia="Times New Roman" w:hAnsi="Arial" w:cs="Arial"/>
          <w:i/>
          <w:szCs w:val="28"/>
          <w:shd w:val="clear" w:color="auto" w:fill="FFFFFF"/>
          <w:lang w:eastAsia="ru-RU"/>
        </w:rPr>
        <w:t>юридичний</w:t>
      </w:r>
      <w:r w:rsidR="007B2628" w:rsidRPr="00511005">
        <w:rPr>
          <w:rFonts w:ascii="Arial" w:eastAsia="Times New Roman" w:hAnsi="Arial" w:cs="Arial"/>
          <w:i/>
          <w:szCs w:val="28"/>
          <w:shd w:val="clear" w:color="auto" w:fill="FFFFFF"/>
          <w:lang w:eastAsia="ru-RU"/>
        </w:rPr>
        <w:t xml:space="preserve"> </w:t>
      </w:r>
      <w:r w:rsidRPr="00511005">
        <w:rPr>
          <w:rFonts w:ascii="Arial" w:eastAsia="Times New Roman" w:hAnsi="Arial" w:cs="Arial"/>
          <w:i/>
          <w:szCs w:val="28"/>
          <w:shd w:val="clear" w:color="auto" w:fill="FFFFFF"/>
          <w:lang w:eastAsia="ru-RU"/>
        </w:rPr>
        <w:t>вісник</w:t>
      </w:r>
      <w:r w:rsidRPr="00511005">
        <w:rPr>
          <w:rFonts w:ascii="Arial" w:eastAsia="Times New Roman" w:hAnsi="Arial" w:cs="Arial"/>
          <w:szCs w:val="28"/>
          <w:shd w:val="clear" w:color="auto" w:fill="FFFFFF"/>
          <w:lang w:eastAsia="ru-RU"/>
        </w:rPr>
        <w:t xml:space="preserve">. 2016. </w:t>
      </w:r>
      <w:r w:rsidRPr="00511005">
        <w:rPr>
          <w:rFonts w:ascii="Arial" w:eastAsia="Segoe UI Symbol" w:hAnsi="Arial" w:cs="Arial"/>
          <w:szCs w:val="28"/>
          <w:shd w:val="clear" w:color="auto" w:fill="FFFFFF"/>
          <w:lang w:eastAsia="ru-RU"/>
        </w:rPr>
        <w:t>№</w:t>
      </w:r>
      <w:proofErr w:type="gramStart"/>
      <w:r w:rsidRPr="00511005">
        <w:rPr>
          <w:rFonts w:ascii="Arial" w:eastAsia="Times New Roman" w:hAnsi="Arial" w:cs="Arial"/>
          <w:szCs w:val="28"/>
          <w:shd w:val="clear" w:color="auto" w:fill="FFFFFF"/>
          <w:lang w:eastAsia="ru-RU"/>
        </w:rPr>
        <w:t>6.С.</w:t>
      </w:r>
      <w:proofErr w:type="gramEnd"/>
      <w:r w:rsidRPr="00511005">
        <w:rPr>
          <w:rFonts w:ascii="Arial" w:eastAsia="Times New Roman" w:hAnsi="Arial" w:cs="Arial"/>
          <w:szCs w:val="28"/>
          <w:shd w:val="clear" w:color="auto" w:fill="FFFFFF"/>
          <w:lang w:eastAsia="ru-RU"/>
        </w:rPr>
        <w:t xml:space="preserve">40-43. </w:t>
      </w:r>
    </w:p>
    <w:p w14:paraId="66C721E4" w14:textId="77777777" w:rsidR="00220D3E" w:rsidRPr="00511005" w:rsidRDefault="00220D3E" w:rsidP="003F6A5D">
      <w:pPr>
        <w:numPr>
          <w:ilvl w:val="0"/>
          <w:numId w:val="132"/>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shd w:val="clear" w:color="auto" w:fill="FFFFFF"/>
          <w:lang w:eastAsia="ru-RU"/>
        </w:rPr>
        <w:t xml:space="preserve">Герасименко Є.С. Визначення притулку в законодавстві України: його співвідношення з правовим статусом біженців та внутрішньо переміщених осіб. </w:t>
      </w:r>
      <w:r w:rsidRPr="00511005">
        <w:rPr>
          <w:rFonts w:ascii="Arial" w:eastAsia="Times New Roman" w:hAnsi="Arial" w:cs="Arial"/>
          <w:i/>
          <w:szCs w:val="28"/>
          <w:shd w:val="clear" w:color="auto" w:fill="FFFFFF"/>
          <w:lang w:eastAsia="ru-RU"/>
        </w:rPr>
        <w:t>Адміністративне право і процес</w:t>
      </w:r>
      <w:r w:rsidRPr="00511005">
        <w:rPr>
          <w:rFonts w:ascii="Arial" w:eastAsia="Times New Roman" w:hAnsi="Arial" w:cs="Arial"/>
          <w:szCs w:val="28"/>
          <w:shd w:val="clear" w:color="auto" w:fill="FFFFFF"/>
          <w:lang w:eastAsia="ru-RU"/>
        </w:rPr>
        <w:t xml:space="preserve">. 2014. </w:t>
      </w:r>
      <w:r w:rsidRPr="00511005">
        <w:rPr>
          <w:rFonts w:ascii="Arial" w:eastAsia="Segoe UI Symbol" w:hAnsi="Arial" w:cs="Arial"/>
          <w:szCs w:val="28"/>
          <w:shd w:val="clear" w:color="auto" w:fill="FFFFFF"/>
          <w:lang w:eastAsia="ru-RU"/>
        </w:rPr>
        <w:t>№</w:t>
      </w:r>
      <w:r w:rsidRPr="00511005">
        <w:rPr>
          <w:rFonts w:ascii="Arial" w:eastAsia="Times New Roman" w:hAnsi="Arial" w:cs="Arial"/>
          <w:szCs w:val="28"/>
          <w:shd w:val="clear" w:color="auto" w:fill="FFFFFF"/>
          <w:lang w:eastAsia="ru-RU"/>
        </w:rPr>
        <w:t>3(9). С. 208-219.</w:t>
      </w:r>
    </w:p>
    <w:p w14:paraId="006C0F75" w14:textId="77777777" w:rsidR="00220D3E" w:rsidRPr="00511005" w:rsidRDefault="00220D3E" w:rsidP="003F6A5D">
      <w:pPr>
        <w:numPr>
          <w:ilvl w:val="0"/>
          <w:numId w:val="132"/>
        </w:numPr>
        <w:tabs>
          <w:tab w:val="left" w:pos="709"/>
        </w:tabs>
        <w:spacing w:line="264" w:lineRule="auto"/>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Directive 2011/95/EU of the European Parliament URL: </w:t>
      </w:r>
      <w:hyperlink r:id="rId459">
        <w:r w:rsidRPr="00511005">
          <w:rPr>
            <w:rFonts w:ascii="Arial" w:eastAsia="Times New Roman" w:hAnsi="Arial" w:cs="Arial"/>
            <w:szCs w:val="28"/>
            <w:lang w:val="en-US" w:eastAsia="ru-RU"/>
          </w:rPr>
          <w:t>https://www.refworld.org/legal/reglegislation/council/2011/en/84781</w:t>
        </w:r>
      </w:hyperlink>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21.04.2025).</w:t>
      </w:r>
    </w:p>
    <w:p w14:paraId="4C99B6FF" w14:textId="5A230C2B" w:rsidR="00220D3E" w:rsidRPr="00511005" w:rsidRDefault="00220D3E" w:rsidP="003F6A5D">
      <w:pPr>
        <w:numPr>
          <w:ilvl w:val="0"/>
          <w:numId w:val="132"/>
        </w:numPr>
        <w:tabs>
          <w:tab w:val="left" w:pos="709"/>
        </w:tabs>
        <w:spacing w:line="264" w:lineRule="auto"/>
        <w:jc w:val="left"/>
        <w:rPr>
          <w:rFonts w:ascii="Arial" w:eastAsia="Times New Roman" w:hAnsi="Arial" w:cs="Arial"/>
          <w:szCs w:val="28"/>
          <w:lang w:val="en-US" w:eastAsia="ru-RU"/>
        </w:rPr>
      </w:pPr>
      <w:r w:rsidRPr="00511005">
        <w:rPr>
          <w:rFonts w:ascii="Arial" w:eastAsia="Times New Roman" w:hAnsi="Arial" w:cs="Arial"/>
          <w:szCs w:val="28"/>
          <w:lang w:val="en-US" w:eastAsia="ru-RU"/>
        </w:rPr>
        <w:t>Directive 2013/32/EU of the European Parliament URL:</w:t>
      </w:r>
      <w:r w:rsidR="007B2628" w:rsidRPr="00511005">
        <w:rPr>
          <w:rFonts w:ascii="Arial" w:eastAsia="Times New Roman" w:hAnsi="Arial" w:cs="Arial"/>
          <w:szCs w:val="28"/>
          <w:lang w:val="en-US" w:eastAsia="ru-RU"/>
        </w:rPr>
        <w:t xml:space="preserve"> </w:t>
      </w:r>
      <w:hyperlink r:id="rId460">
        <w:r w:rsidRPr="00511005">
          <w:rPr>
            <w:rFonts w:ascii="Arial" w:eastAsia="Times New Roman" w:hAnsi="Arial" w:cs="Arial"/>
            <w:szCs w:val="28"/>
            <w:lang w:val="en-US" w:eastAsia="ru-RU"/>
          </w:rPr>
          <w:t>https://www.refworld.org/legal/reglegislation/council/2013/en/97663</w:t>
        </w:r>
      </w:hyperlink>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21.04.2025).</w:t>
      </w:r>
    </w:p>
    <w:p w14:paraId="400E3705" w14:textId="6A9FC923" w:rsidR="00220D3E" w:rsidRPr="00511005" w:rsidRDefault="00220D3E" w:rsidP="003F6A5D">
      <w:pPr>
        <w:numPr>
          <w:ilvl w:val="0"/>
          <w:numId w:val="132"/>
        </w:numPr>
        <w:tabs>
          <w:tab w:val="left" w:pos="709"/>
        </w:tabs>
        <w:spacing w:line="264" w:lineRule="auto"/>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Council Directive 2001/55/EC URL: </w:t>
      </w:r>
      <w:hyperlink r:id="rId461">
        <w:r w:rsidRPr="00511005">
          <w:rPr>
            <w:rFonts w:ascii="Arial" w:eastAsia="Times New Roman" w:hAnsi="Arial" w:cs="Arial"/>
            <w:szCs w:val="28"/>
            <w:lang w:val="en-US" w:eastAsia="ru-RU"/>
          </w:rPr>
          <w:t>https://eur-lex.europa.eu/eli/dir/2001/55/oj/eng</w:t>
        </w:r>
      </w:hyperlink>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21.04.2025).</w:t>
      </w:r>
    </w:p>
    <w:p w14:paraId="7C618CB6"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45601069" w14:textId="6CE39675"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біженець, шукач притулку, правове розмежування, міжнародний захист, право ЄС, тимчасовий захист.</w:t>
      </w:r>
    </w:p>
    <w:p w14:paraId="1162745F" w14:textId="076B554E"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refugee, asylum seeker, legal distinction, international protection, EU law, temporary protection.</w:t>
      </w:r>
    </w:p>
    <w:p w14:paraId="09172D64" w14:textId="433F939E" w:rsidR="00220D3E" w:rsidRPr="00511005" w:rsidRDefault="00EE666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i/>
          <w:szCs w:val="28"/>
          <w:lang w:eastAsia="ru-RU"/>
        </w:rPr>
        <w:t>Науковий керівник:</w:t>
      </w:r>
      <w:r w:rsidR="00220D3E" w:rsidRPr="00511005">
        <w:rPr>
          <w:rFonts w:ascii="Arial" w:eastAsia="Times New Roman" w:hAnsi="Arial" w:cs="Arial"/>
          <w:i/>
          <w:szCs w:val="28"/>
          <w:lang w:eastAsia="ru-RU"/>
        </w:rPr>
        <w:t xml:space="preserve"> д.ю.н., професор Сурілова О.О.</w:t>
      </w:r>
    </w:p>
    <w:p w14:paraId="593516BD"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64B64074" w14:textId="77777777" w:rsidR="00220D3E" w:rsidRPr="00511005" w:rsidRDefault="00220D3E" w:rsidP="003A292D">
      <w:pPr>
        <w:tabs>
          <w:tab w:val="left" w:pos="709"/>
        </w:tabs>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en-US" w:eastAsia="ru-RU"/>
        </w:rPr>
        <w:t>Latysh</w:t>
      </w:r>
      <w:r w:rsidRPr="00511005">
        <w:rPr>
          <w:rFonts w:ascii="Arial" w:eastAsia="Times New Roman" w:hAnsi="Arial" w:cs="Arial"/>
          <w:b/>
          <w:bCs/>
          <w:i/>
          <w:iCs/>
          <w:szCs w:val="28"/>
          <w:lang w:val="uk-UA" w:eastAsia="ru-RU"/>
        </w:rPr>
        <w:t xml:space="preserve"> </w:t>
      </w:r>
      <w:r w:rsidRPr="00511005">
        <w:rPr>
          <w:rFonts w:ascii="Arial" w:eastAsia="Times New Roman" w:hAnsi="Arial" w:cs="Arial"/>
          <w:b/>
          <w:bCs/>
          <w:i/>
          <w:iCs/>
          <w:szCs w:val="28"/>
          <w:lang w:val="en-US" w:eastAsia="ru-RU"/>
        </w:rPr>
        <w:t>Yana</w:t>
      </w:r>
    </w:p>
    <w:p w14:paraId="3ED37C48"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en-US" w:eastAsia="ru-RU"/>
        </w:rPr>
      </w:pPr>
      <w:r w:rsidRPr="00511005">
        <w:rPr>
          <w:rFonts w:ascii="Arial" w:eastAsia="Times New Roman" w:hAnsi="Arial" w:cs="Arial"/>
          <w:szCs w:val="28"/>
          <w:lang w:val="en-US" w:eastAsia="ru-RU"/>
        </w:rPr>
        <w:t>4th-year student</w:t>
      </w:r>
      <w:r w:rsidRPr="00511005">
        <w:rPr>
          <w:rFonts w:ascii="Arial" w:eastAsia="Times New Roman" w:hAnsi="Arial" w:cs="Arial"/>
          <w:szCs w:val="28"/>
          <w:lang w:val="uk-UA" w:eastAsia="ru-RU"/>
        </w:rPr>
        <w:t xml:space="preserve"> of </w:t>
      </w:r>
      <w:r w:rsidRPr="00511005">
        <w:rPr>
          <w:rFonts w:ascii="Arial" w:eastAsia="Times New Roman" w:hAnsi="Arial" w:cs="Arial"/>
          <w:szCs w:val="28"/>
          <w:lang w:val="en-US" w:eastAsia="ru-RU"/>
        </w:rPr>
        <w:t>Faculty of Judicial and International Law</w:t>
      </w:r>
    </w:p>
    <w:p w14:paraId="52539D56"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National University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Odesa Law Academy</w:t>
      </w:r>
      <w:r w:rsidRPr="00511005">
        <w:rPr>
          <w:rFonts w:ascii="Arial" w:eastAsia="Times New Roman" w:hAnsi="Arial" w:cs="Arial"/>
          <w:szCs w:val="28"/>
          <w:lang w:val="uk-UA" w:eastAsia="ru-RU"/>
        </w:rPr>
        <w:t>»</w:t>
      </w:r>
    </w:p>
    <w:p w14:paraId="6CC7DB82"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en-US" w:eastAsia="ru-RU"/>
        </w:rPr>
      </w:pPr>
    </w:p>
    <w:p w14:paraId="4A3D0050" w14:textId="77777777" w:rsidR="00220D3E" w:rsidRPr="00511005" w:rsidRDefault="00220D3E" w:rsidP="003A292D">
      <w:pPr>
        <w:tabs>
          <w:tab w:val="left" w:pos="709"/>
        </w:tabs>
        <w:spacing w:line="264" w:lineRule="auto"/>
        <w:ind w:firstLine="0"/>
        <w:jc w:val="center"/>
        <w:rPr>
          <w:rFonts w:ascii="Arial" w:eastAsia="Calibri" w:hAnsi="Arial" w:cs="Arial"/>
          <w:b/>
          <w:bCs/>
          <w:szCs w:val="28"/>
          <w:lang w:val="en-US"/>
        </w:rPr>
      </w:pPr>
      <w:r w:rsidRPr="00511005">
        <w:rPr>
          <w:rFonts w:ascii="Arial" w:eastAsia="Calibri" w:hAnsi="Arial" w:cs="Arial"/>
          <w:b/>
          <w:bCs/>
          <w:szCs w:val="28"/>
          <w:lang w:val="en-US"/>
        </w:rPr>
        <w:t>THE INSTITUTIONAL STRUCTURE OF THE UNITED NATIONS HUMAN RIGHTS SYSTEM: FUNCTIONING AND CONTEMPORARY CHALLENGES</w:t>
      </w:r>
    </w:p>
    <w:p w14:paraId="2141E11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In today’s complex and unstable world, the protection of human rights is more urgent than ever. Ongoing armed conflicts, growing authoritarianism, digital surveillance, and forced displacement have posed serious threats to fundamental freedoms and human dignity. The United Nations (UN), founded in the aftermath of World War II, has long positioned itself as a guardian of human rights globally. However, the ability of its institutional system to respond effectively to current challenges has increasingly come under scrutiny. Understanding how the UN human rights system functions—and how it addresses the crises of our time—is crucial for evaluating its ongoing relevance and credibility.</w:t>
      </w:r>
    </w:p>
    <w:p w14:paraId="77651C00"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UN human rights system is built on a structured network of charter-based bodies, treaty-based organs, and support entities that form the foundation of global human rights governance. Central to this framework is the UN Charter, which embeds human rights in its core purposes and assigns relevant roles to primary UN bodies. The General Assembly, though lacking binding authority, plays a normative role, having adopted key texts like the Universal Declaration of Human Rights (1948) [1].</w:t>
      </w:r>
    </w:p>
    <w:p w14:paraId="7CF0145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Economic and Social Council (ECOSOC) coordinates UN agencies in the social sphere and formerly supervised the Commission on Human Rights, which in 2006 was replaced by the Human Rights Council (UNHRC). The Council, with 47 rotating member states, addresses country-specific and thematic issues, and operates the Universal Periodic Review (UPR)—a mechanism that regularly evaluates all UN member states on their human rights performance [2].</w:t>
      </w:r>
    </w:p>
    <w:p w14:paraId="214A81C4"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Office of the High Commissioner for Human Rights (OHCHR) supports both the Council and treaty bodies. It monitors violations, assists national institutions, and advocates implementation of recommendations. The High Commissioner is the UN’s top human rights spokesperson [3].</w:t>
      </w:r>
    </w:p>
    <w:p w14:paraId="4260FC6B"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Treaty bodies, made up of independent experts, ensure compliance with major human rights conventions like the ICCPR and CEDAW. They review state </w:t>
      </w:r>
      <w:r w:rsidRPr="00511005">
        <w:rPr>
          <w:rFonts w:ascii="Arial" w:eastAsia="Times New Roman" w:hAnsi="Arial" w:cs="Arial"/>
          <w:szCs w:val="28"/>
          <w:lang w:val="en-US" w:eastAsia="ru-RU"/>
        </w:rPr>
        <w:lastRenderedPageBreak/>
        <w:t>reports, issue legal interpretations, and in some cases, consider individual complaints [4].</w:t>
      </w:r>
    </w:p>
    <w:p w14:paraId="1DC061E6"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Together, these components form a comprehensive yet increasingly strained system for upholding human rights in a world of mounting crises.</w:t>
      </w:r>
    </w:p>
    <w:p w14:paraId="787883E7"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Perhaps the most defining issue of the UN human rights system in recent years has been Russia’s full-scale invasion of Ukraine in 2022. The conflict has resulted in thousands of civilian casualties, massive displacement, destruction of civilian infrastructure, and widespread allegations of war crimes, including torture, summary executions, and attacks on hospitals and schools. The UN Human Rights Monitoring Mission in Ukraine (HRMMU) has documented many of these abuses. Despite these efforts, the UN Security Council has been paralyzed in responding to the crisis due to Russia’s veto power, which it has used to block resolutions condemning its actions or referring the situation to international tribunals [5].</w:t>
      </w:r>
    </w:p>
    <w:p w14:paraId="42691C7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This situation starkly exposes one of the greatest structural weaknesses of the UN system: the inability to act decisively when a permanent Security Council member is involved in violations. The very architecture of the Security Council—which was designed to ensure global stability—has made it functionally ineffective in upholding accountability in conflicts involving its most powerful members.</w:t>
      </w:r>
    </w:p>
    <w:p w14:paraId="557602A1"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Beyond Ukraine, the UN system has also failed to prevent or effectively respond to other grave human rights crises, such as in Syria and Myanmar. In Syria, repeated use of chemical weapons, indiscriminate bombing, and mass displacement have occurred with little meaningful intervention from the UN, again due to vetoes in the Security Council. Similarly, in Myanmar, the military’s brutal repression of the Rohingya population, widely recognized as ethnic cleansing or genocide, has faced minimal enforcement action at the international level. Despite UN fact-finding missions and resolutions, there has been no binding accountability mechanism [5].</w:t>
      </w:r>
    </w:p>
    <w:p w14:paraId="2B4FCEEE"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Politicization of human rights discourse further complicates the UN's work. Countries frequently accuse one another of violations not out of genuine concern, but to score geopolitical points. Some notorious violators have even held seats on the Human Rights Council, undermining the body’s legitimacy and credibility in the eyes of civil society.</w:t>
      </w:r>
    </w:p>
    <w:p w14:paraId="2FC23E47"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Underfunding and operational constraints also limit the UN’s ability to respond to emergencies. The OHCHR and special rapporteurs lack the staff and budget to monitor every crisis comprehensively. This can delay investigations or lead to gaps in global coverage.</w:t>
      </w:r>
    </w:p>
    <w:p w14:paraId="49DBFE03"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Despite these challenges, the UN human rights system continues to serve as an essential normative force—documenting violations, supporting victims, and promoting international dialogue. However, its future relevance will depend on its </w:t>
      </w:r>
      <w:r w:rsidRPr="00511005">
        <w:rPr>
          <w:rFonts w:ascii="Arial" w:eastAsia="Times New Roman" w:hAnsi="Arial" w:cs="Arial"/>
          <w:szCs w:val="28"/>
          <w:lang w:val="en-US" w:eastAsia="ru-RU"/>
        </w:rPr>
        <w:lastRenderedPageBreak/>
        <w:t>ability to adapt, overcome political inertia, and restore public confidence in multilateralism.</w:t>
      </w:r>
    </w:p>
    <w:p w14:paraId="17AC993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537EFB45"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References</w:t>
      </w:r>
    </w:p>
    <w:p w14:paraId="497A5E8E" w14:textId="488006D7" w:rsidR="00220D3E" w:rsidRPr="00511005" w:rsidRDefault="00220D3E" w:rsidP="003F6A5D">
      <w:pPr>
        <w:numPr>
          <w:ilvl w:val="0"/>
          <w:numId w:val="133"/>
        </w:numPr>
        <w:tabs>
          <w:tab w:val="clear" w:pos="720"/>
          <w:tab w:val="left" w:pos="709"/>
        </w:tabs>
        <w:spacing w:line="264" w:lineRule="auto"/>
        <w:ind w:left="0"/>
        <w:jc w:val="left"/>
        <w:rPr>
          <w:rFonts w:ascii="Arial" w:eastAsia="Times New Roman" w:hAnsi="Arial" w:cs="Arial"/>
          <w:szCs w:val="28"/>
          <w:lang w:val="en-US" w:eastAsia="ru-RU"/>
        </w:rPr>
      </w:pPr>
      <w:r w:rsidRPr="00511005">
        <w:rPr>
          <w:rFonts w:ascii="Arial" w:eastAsia="Times New Roman" w:hAnsi="Arial" w:cs="Arial"/>
          <w:szCs w:val="28"/>
          <w:lang w:val="en-US" w:eastAsia="ru-RU"/>
        </w:rPr>
        <w:t>United Nations. Charter of the United Nations and Statute of the International Court of Justice. San Francisco, 1945. [Online].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URL: </w:t>
      </w:r>
      <w:hyperlink r:id="rId462" w:history="1">
        <w:r w:rsidRPr="00511005">
          <w:rPr>
            <w:rFonts w:ascii="Arial" w:eastAsia="Times New Roman" w:hAnsi="Arial" w:cs="Arial"/>
            <w:szCs w:val="28"/>
            <w:lang w:val="en-US" w:eastAsia="ru-RU"/>
          </w:rPr>
          <w:t>https://www.un.org/en/about-us/un-charter</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(accessed: 0</w:t>
      </w:r>
      <w:r w:rsidRPr="00511005">
        <w:rPr>
          <w:rFonts w:ascii="Arial" w:eastAsia="Times New Roman" w:hAnsi="Arial" w:cs="Arial"/>
          <w:szCs w:val="28"/>
          <w:lang w:val="uk-UA" w:eastAsia="ru-RU"/>
        </w:rPr>
        <w:t xml:space="preserve">5 </w:t>
      </w:r>
      <w:r w:rsidRPr="00511005">
        <w:rPr>
          <w:rFonts w:ascii="Arial" w:eastAsia="Times New Roman" w:hAnsi="Arial" w:cs="Arial"/>
          <w:szCs w:val="28"/>
          <w:lang w:val="en-US" w:eastAsia="ru-RU"/>
        </w:rPr>
        <w:t>May 2025).</w:t>
      </w:r>
    </w:p>
    <w:p w14:paraId="768A5B47" w14:textId="17109FC1" w:rsidR="00220D3E" w:rsidRPr="00511005" w:rsidRDefault="00220D3E" w:rsidP="003F6A5D">
      <w:pPr>
        <w:numPr>
          <w:ilvl w:val="0"/>
          <w:numId w:val="133"/>
        </w:numPr>
        <w:tabs>
          <w:tab w:val="clear" w:pos="720"/>
          <w:tab w:val="left" w:pos="709"/>
        </w:tabs>
        <w:spacing w:line="264" w:lineRule="auto"/>
        <w:ind w:left="0"/>
        <w:jc w:val="left"/>
        <w:rPr>
          <w:rFonts w:ascii="Arial" w:eastAsia="Times New Roman" w:hAnsi="Arial" w:cs="Arial"/>
          <w:szCs w:val="28"/>
          <w:lang w:val="en-US" w:eastAsia="ru-RU"/>
        </w:rPr>
      </w:pPr>
      <w:r w:rsidRPr="00511005">
        <w:rPr>
          <w:rFonts w:ascii="Arial" w:eastAsia="Times New Roman" w:hAnsi="Arial" w:cs="Arial"/>
          <w:szCs w:val="28"/>
          <w:lang w:val="en-US" w:eastAsia="ru-RU"/>
        </w:rPr>
        <w:t>United Nations Human Rights Council. Universal Periodic Review.</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[Online].</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URL: </w:t>
      </w:r>
      <w:hyperlink r:id="rId463" w:history="1">
        <w:r w:rsidRPr="00511005">
          <w:rPr>
            <w:rFonts w:ascii="Arial" w:eastAsia="Times New Roman" w:hAnsi="Arial" w:cs="Arial"/>
            <w:szCs w:val="28"/>
            <w:lang w:val="en-US" w:eastAsia="ru-RU"/>
          </w:rPr>
          <w:t>https://www.ohchr.org/en/hr-bodies/upr</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(accessed: 0</w:t>
      </w:r>
      <w:r w:rsidRPr="00511005">
        <w:rPr>
          <w:rFonts w:ascii="Arial" w:eastAsia="Times New Roman" w:hAnsi="Arial" w:cs="Arial"/>
          <w:szCs w:val="28"/>
          <w:lang w:val="uk-UA" w:eastAsia="ru-RU"/>
        </w:rPr>
        <w:t xml:space="preserve">5 </w:t>
      </w:r>
      <w:r w:rsidRPr="00511005">
        <w:rPr>
          <w:rFonts w:ascii="Arial" w:eastAsia="Times New Roman" w:hAnsi="Arial" w:cs="Arial"/>
          <w:szCs w:val="28"/>
          <w:lang w:val="en-US" w:eastAsia="ru-RU"/>
        </w:rPr>
        <w:t>May 2025).</w:t>
      </w:r>
      <w:r w:rsidR="007B2628" w:rsidRPr="00511005">
        <w:rPr>
          <w:rFonts w:ascii="Arial" w:eastAsia="Times New Roman" w:hAnsi="Arial" w:cs="Arial"/>
          <w:szCs w:val="28"/>
          <w:lang w:val="uk-UA" w:eastAsia="ru-RU"/>
        </w:rPr>
        <w:t xml:space="preserve"> </w:t>
      </w:r>
    </w:p>
    <w:p w14:paraId="34DCB000" w14:textId="2C7C67CD" w:rsidR="00220D3E" w:rsidRPr="00511005" w:rsidRDefault="00220D3E" w:rsidP="003F6A5D">
      <w:pPr>
        <w:numPr>
          <w:ilvl w:val="0"/>
          <w:numId w:val="133"/>
        </w:numPr>
        <w:tabs>
          <w:tab w:val="clear" w:pos="720"/>
          <w:tab w:val="left" w:pos="709"/>
        </w:tabs>
        <w:spacing w:line="264" w:lineRule="auto"/>
        <w:ind w:left="0"/>
        <w:jc w:val="left"/>
        <w:rPr>
          <w:rFonts w:ascii="Arial" w:eastAsia="Times New Roman" w:hAnsi="Arial" w:cs="Arial"/>
          <w:szCs w:val="28"/>
          <w:lang w:val="en-US" w:eastAsia="ru-RU"/>
        </w:rPr>
      </w:pPr>
      <w:r w:rsidRPr="00511005">
        <w:rPr>
          <w:rFonts w:ascii="Arial" w:eastAsia="Times New Roman" w:hAnsi="Arial" w:cs="Arial"/>
          <w:szCs w:val="28"/>
          <w:lang w:val="en-US" w:eastAsia="ru-RU"/>
        </w:rPr>
        <w:t>Office of the High Commissioner for Human Rights (OHCHR). Who We Are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[Online].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URL: </w:t>
      </w:r>
      <w:hyperlink r:id="rId464" w:history="1">
        <w:r w:rsidRPr="00511005">
          <w:rPr>
            <w:rFonts w:ascii="Arial" w:eastAsia="Times New Roman" w:hAnsi="Arial" w:cs="Arial"/>
            <w:szCs w:val="28"/>
            <w:lang w:val="en-US" w:eastAsia="ru-RU"/>
          </w:rPr>
          <w:t>https://www.ohchr.org/en/about-us/who-we-are</w:t>
        </w:r>
      </w:hyperlink>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(accessed: 0</w:t>
      </w:r>
      <w:r w:rsidRPr="00511005">
        <w:rPr>
          <w:rFonts w:ascii="Arial" w:eastAsia="Times New Roman" w:hAnsi="Arial" w:cs="Arial"/>
          <w:szCs w:val="28"/>
          <w:lang w:val="uk-UA" w:eastAsia="ru-RU"/>
        </w:rPr>
        <w:t xml:space="preserve">5 </w:t>
      </w:r>
      <w:r w:rsidRPr="00511005">
        <w:rPr>
          <w:rFonts w:ascii="Arial" w:eastAsia="Times New Roman" w:hAnsi="Arial" w:cs="Arial"/>
          <w:szCs w:val="28"/>
          <w:lang w:val="en-US" w:eastAsia="ru-RU"/>
        </w:rPr>
        <w:t>May 2025).</w:t>
      </w:r>
    </w:p>
    <w:p w14:paraId="1158B78F" w14:textId="1893F8A3" w:rsidR="00220D3E" w:rsidRPr="00511005" w:rsidRDefault="00220D3E" w:rsidP="003F6A5D">
      <w:pPr>
        <w:numPr>
          <w:ilvl w:val="0"/>
          <w:numId w:val="133"/>
        </w:numPr>
        <w:tabs>
          <w:tab w:val="clear" w:pos="720"/>
          <w:tab w:val="left" w:pos="709"/>
        </w:tabs>
        <w:spacing w:line="264" w:lineRule="auto"/>
        <w:ind w:left="0"/>
        <w:jc w:val="left"/>
        <w:rPr>
          <w:rFonts w:ascii="Arial" w:eastAsia="Times New Roman" w:hAnsi="Arial" w:cs="Arial"/>
          <w:szCs w:val="28"/>
          <w:lang w:val="en-US" w:eastAsia="ru-RU"/>
        </w:rPr>
      </w:pPr>
      <w:r w:rsidRPr="00511005">
        <w:rPr>
          <w:rFonts w:ascii="Arial" w:eastAsia="Times New Roman" w:hAnsi="Arial" w:cs="Arial"/>
          <w:szCs w:val="28"/>
          <w:lang w:val="en-US" w:eastAsia="ru-RU"/>
        </w:rPr>
        <w:t>Bayefsky A. The UN Human Rights Treaty System: Universality at the Crossroads. 2021.</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[Online].</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URL: </w:t>
      </w:r>
      <w:hyperlink r:id="rId465" w:history="1">
        <w:r w:rsidRPr="00511005">
          <w:rPr>
            <w:rFonts w:ascii="Arial" w:eastAsia="Times New Roman" w:hAnsi="Arial" w:cs="Arial"/>
            <w:szCs w:val="28"/>
            <w:lang w:val="en-US" w:eastAsia="ru-RU"/>
          </w:rPr>
          <w:t>https://www.bayefsky.com</w:t>
        </w:r>
      </w:hyperlink>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(accessed: 0</w:t>
      </w:r>
      <w:r w:rsidRPr="00511005">
        <w:rPr>
          <w:rFonts w:ascii="Arial" w:eastAsia="Times New Roman" w:hAnsi="Arial" w:cs="Arial"/>
          <w:szCs w:val="28"/>
          <w:lang w:val="uk-UA" w:eastAsia="ru-RU"/>
        </w:rPr>
        <w:t xml:space="preserve">5 </w:t>
      </w:r>
      <w:r w:rsidRPr="00511005">
        <w:rPr>
          <w:rFonts w:ascii="Arial" w:eastAsia="Times New Roman" w:hAnsi="Arial" w:cs="Arial"/>
          <w:szCs w:val="28"/>
          <w:lang w:val="en-US" w:eastAsia="ru-RU"/>
        </w:rPr>
        <w:t>May 2025)</w:t>
      </w:r>
      <w:r w:rsidRPr="00511005">
        <w:rPr>
          <w:rFonts w:ascii="Arial" w:eastAsia="Times New Roman" w:hAnsi="Arial" w:cs="Arial"/>
          <w:szCs w:val="28"/>
          <w:lang w:val="uk-UA" w:eastAsia="ru-RU"/>
        </w:rPr>
        <w:t>.</w:t>
      </w:r>
    </w:p>
    <w:p w14:paraId="1386AE56" w14:textId="77777777" w:rsidR="00220D3E" w:rsidRPr="00511005" w:rsidRDefault="00220D3E" w:rsidP="003F6A5D">
      <w:pPr>
        <w:numPr>
          <w:ilvl w:val="0"/>
          <w:numId w:val="133"/>
        </w:numPr>
        <w:tabs>
          <w:tab w:val="clear" w:pos="720"/>
          <w:tab w:val="left" w:pos="709"/>
        </w:tabs>
        <w:spacing w:line="264" w:lineRule="auto"/>
        <w:ind w:left="0"/>
        <w:jc w:val="left"/>
        <w:rPr>
          <w:rFonts w:ascii="Arial" w:eastAsia="Times New Roman" w:hAnsi="Arial" w:cs="Arial"/>
          <w:szCs w:val="28"/>
          <w:lang w:val="en-US" w:eastAsia="ru-RU"/>
        </w:rPr>
      </w:pPr>
      <w:r w:rsidRPr="00511005">
        <w:rPr>
          <w:rFonts w:ascii="Arial" w:eastAsia="Times New Roman" w:hAnsi="Arial" w:cs="Arial"/>
          <w:szCs w:val="28"/>
          <w:lang w:val="en-US" w:eastAsia="ru-RU"/>
        </w:rPr>
        <w:t>Weiss T.G. What’s Wrong with the United Nations and How to Fix It. Cambridge: Polity Press, 2012.</w:t>
      </w:r>
    </w:p>
    <w:p w14:paraId="30DAD45D"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5611B353" w14:textId="0D0019E7"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iCs/>
          <w:szCs w:val="28"/>
          <w:lang w:val="en-US" w:eastAsia="ru-RU"/>
        </w:rPr>
        <w:t xml:space="preserve">Key words: </w:t>
      </w:r>
      <w:r w:rsidR="00220D3E" w:rsidRPr="00511005">
        <w:rPr>
          <w:rFonts w:ascii="Arial" w:eastAsia="Times New Roman" w:hAnsi="Arial" w:cs="Arial"/>
          <w:szCs w:val="28"/>
          <w:lang w:val="en-US" w:eastAsia="ru-RU"/>
        </w:rPr>
        <w:t>United Nations, human rights, international order, institutional structure, treaty bodies, contemporary crises</w:t>
      </w:r>
      <w:r w:rsidR="00220D3E" w:rsidRPr="00511005">
        <w:rPr>
          <w:rFonts w:ascii="Arial" w:eastAsia="Times New Roman" w:hAnsi="Arial" w:cs="Arial"/>
          <w:szCs w:val="28"/>
          <w:lang w:val="uk-UA" w:eastAsia="ru-RU"/>
        </w:rPr>
        <w:t>.</w:t>
      </w:r>
    </w:p>
    <w:p w14:paraId="00195232" w14:textId="6BEC7EC7"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iCs/>
          <w:szCs w:val="28"/>
          <w:lang w:val="uk-UA" w:eastAsia="ru-RU"/>
        </w:rPr>
        <w:t xml:space="preserve">Ключові слова: </w:t>
      </w:r>
      <w:r w:rsidR="00220D3E" w:rsidRPr="00511005">
        <w:rPr>
          <w:rFonts w:ascii="Arial" w:eastAsia="Times New Roman" w:hAnsi="Arial" w:cs="Arial"/>
          <w:szCs w:val="28"/>
          <w:lang w:val="uk-UA" w:eastAsia="ru-RU"/>
        </w:rPr>
        <w:t>Організація Об'єднаних Націй, права людини, міжнародний порядок, інституційна структура, договірні органи, сучасні кризи.</w:t>
      </w:r>
    </w:p>
    <w:p w14:paraId="6672EFE0" w14:textId="3FCDA9C5" w:rsidR="00220D3E" w:rsidRPr="00511005" w:rsidRDefault="006C2EDA" w:rsidP="003A292D">
      <w:pPr>
        <w:tabs>
          <w:tab w:val="left" w:pos="709"/>
        </w:tabs>
        <w:spacing w:line="264" w:lineRule="auto"/>
        <w:rPr>
          <w:rFonts w:ascii="Arial" w:eastAsia="Times New Roman" w:hAnsi="Arial" w:cs="Arial"/>
          <w:i/>
          <w:iCs/>
          <w:szCs w:val="28"/>
          <w:lang w:val="uk-UA"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Times New Roman" w:hAnsi="Arial" w:cs="Arial"/>
          <w:i/>
          <w:iCs/>
          <w:szCs w:val="28"/>
          <w:lang w:val="uk-UA" w:eastAsia="ru-RU"/>
        </w:rPr>
        <w:t>PhD in Law, Associate Professor Dronov V.</w:t>
      </w:r>
    </w:p>
    <w:p w14:paraId="6269488E" w14:textId="77777777" w:rsidR="00220D3E" w:rsidRPr="00511005" w:rsidRDefault="00220D3E" w:rsidP="003A292D">
      <w:pPr>
        <w:tabs>
          <w:tab w:val="left" w:pos="709"/>
        </w:tabs>
        <w:spacing w:line="264" w:lineRule="auto"/>
        <w:jc w:val="center"/>
        <w:rPr>
          <w:rFonts w:ascii="Arial" w:eastAsia="Times New Roman" w:hAnsi="Arial" w:cs="Arial"/>
          <w:i/>
          <w:iCs/>
          <w:szCs w:val="28"/>
          <w:lang w:val="uk-UA" w:eastAsia="ru-RU"/>
        </w:rPr>
      </w:pPr>
    </w:p>
    <w:p w14:paraId="7C115170"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Левшина Єлизавета</w:t>
      </w:r>
    </w:p>
    <w:p w14:paraId="3F6E3E6F" w14:textId="6C8B2734" w:rsidR="00220D3E" w:rsidRPr="00511005" w:rsidRDefault="00536AAB" w:rsidP="003A292D">
      <w:pPr>
        <w:tabs>
          <w:tab w:val="left" w:pos="709"/>
        </w:tabs>
        <w:spacing w:line="264" w:lineRule="auto"/>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r w:rsidR="007B2628" w:rsidRPr="00511005">
        <w:rPr>
          <w:rFonts w:ascii="Arial" w:eastAsia="Times New Roman" w:hAnsi="Arial" w:cs="Arial"/>
          <w:bCs/>
          <w:iCs/>
          <w:szCs w:val="28"/>
          <w:lang w:val="uk-UA" w:eastAsia="ru-RU"/>
        </w:rPr>
        <w:t>факультету цивільної та господарської юстиції</w:t>
      </w:r>
      <w:r w:rsidR="00220D3E" w:rsidRPr="00511005">
        <w:rPr>
          <w:rFonts w:ascii="Arial" w:eastAsia="Times New Roman" w:hAnsi="Arial" w:cs="Arial"/>
          <w:bCs/>
          <w:iCs/>
          <w:szCs w:val="28"/>
          <w:lang w:val="uk-UA" w:eastAsia="ru-RU"/>
        </w:rPr>
        <w:t xml:space="preserve"> </w:t>
      </w:r>
    </w:p>
    <w:p w14:paraId="035DEED6" w14:textId="6C505001" w:rsidR="00220D3E" w:rsidRPr="00511005" w:rsidRDefault="007B2628" w:rsidP="003A292D">
      <w:pPr>
        <w:tabs>
          <w:tab w:val="left" w:pos="709"/>
        </w:tabs>
        <w:spacing w:line="264" w:lineRule="auto"/>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Національного університету «Одеська юридична академія»</w:t>
      </w:r>
    </w:p>
    <w:p w14:paraId="45A0384C" w14:textId="77777777" w:rsidR="00220D3E" w:rsidRPr="00511005" w:rsidRDefault="00220D3E" w:rsidP="003A292D">
      <w:pPr>
        <w:tabs>
          <w:tab w:val="left" w:pos="709"/>
        </w:tabs>
        <w:spacing w:line="264" w:lineRule="auto"/>
        <w:jc w:val="center"/>
        <w:rPr>
          <w:rFonts w:ascii="Arial" w:eastAsia="Times New Roman" w:hAnsi="Arial" w:cs="Arial"/>
          <w:bCs/>
          <w:iCs/>
          <w:szCs w:val="28"/>
          <w:lang w:val="uk-UA" w:eastAsia="ru-RU"/>
        </w:rPr>
      </w:pPr>
    </w:p>
    <w:p w14:paraId="2E9C8A10" w14:textId="77777777" w:rsidR="00220D3E" w:rsidRPr="00511005" w:rsidRDefault="00220D3E" w:rsidP="003A292D">
      <w:pPr>
        <w:tabs>
          <w:tab w:val="left" w:pos="709"/>
        </w:tabs>
        <w:spacing w:line="264" w:lineRule="auto"/>
        <w:ind w:firstLine="0"/>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 xml:space="preserve">ЮРИСДИКЦІЙНА ПРИНАЛЕЖНІСТЬ ТА </w:t>
      </w:r>
    </w:p>
    <w:p w14:paraId="4669421B" w14:textId="77777777" w:rsidR="00220D3E" w:rsidRPr="00511005" w:rsidRDefault="00220D3E" w:rsidP="003A292D">
      <w:pPr>
        <w:tabs>
          <w:tab w:val="left" w:pos="709"/>
        </w:tabs>
        <w:spacing w:line="264" w:lineRule="auto"/>
        <w:ind w:firstLine="0"/>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ПРАВОВИЙ СТАТУС КРИПТОАКТИВІВ У МІЖНАРОДНОМУ ПРИВАТНОМУ ПРАВІ</w:t>
      </w:r>
    </w:p>
    <w:p w14:paraId="4F19EBC9"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У сучасному світі криптоактиви — від біткоїнів до NFT — стали не лише фінансовим інструментом, а й новим викликом для правових систем держав. З розвитком цифрової економіки питання їх правового статусу та юрисдикційної приналежності набуває особливої актуальності. Децентралізована природа блокчейну, а також можливість укладання транзакцій між учасниками з різних країн без фізичного переміщення активів, створюють серйозні труднощі для визначення компетентного органу вирішення спору та застосовного права.</w:t>
      </w:r>
    </w:p>
    <w:p w14:paraId="30776007"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У межах міжнародного приватного права постає низка фундаментальних запитань: до якої юрисдикції належать криптоактиви? Як </w:t>
      </w:r>
      <w:r w:rsidRPr="00511005">
        <w:rPr>
          <w:rFonts w:ascii="Arial" w:eastAsia="Times New Roman" w:hAnsi="Arial" w:cs="Arial"/>
          <w:bCs/>
          <w:iCs/>
          <w:szCs w:val="28"/>
          <w:lang w:val="uk-UA" w:eastAsia="ru-RU"/>
        </w:rPr>
        <w:lastRenderedPageBreak/>
        <w:t>визначити державу, право якої підлягає застосуванню до угод з цифровими активами? Чи можна вважати криптовалюту майном, і якщо так — яким чином вона підлягає регулюванню у транскордонному контексті? У відповідях на ці запитання держави світу демонструють різний підхід — від повного визнання до заборони.</w:t>
      </w:r>
    </w:p>
    <w:p w14:paraId="6EABB67F"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Особливо актуальним це питання постає для України, яка, попри активне використання криптоактивів громадянами та юридичними особами, лише формує національну правову базу у цій сфері. У роботі розглядатимуться основні підходи до визначення юрисдикції та правового статусу криптоактивів у міжнародному приватному праві, а також специфіка їх застосування в українських умовах.</w:t>
      </w:r>
    </w:p>
    <w:p w14:paraId="4C850AB1"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В Україні поняття «віртуальний актив» закріплене в Законі України «Про віртуальні активи» від 17 лютого 2022 року № 2074 IX. Цей закон визначає віртуальний актив як нематеріальне благо, що є об’єктом цивільних прав, має вартість та виражене сукупністю даних в електронній формі, причому його існування та оборотоздатність забезпечуються спеціальною системою обігу віртуальних активів, а сам актив може посвідчувати майнові права, зокрема права вимоги на інші об’єкти цивільних прав [1].</w:t>
      </w:r>
    </w:p>
    <w:p w14:paraId="26F7F926"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Блокчейн у свою чергу розглядають як цифровий реєстр, який безпечно та незмінно записує дані транзакцій у розподіленій мережі комп’ютерів. Кожен новий блок містить набір транзакцій і криптографічний зв’язок із попереднім блоком, що гарантує цілісність і прозорість історії операцій без потреби в центральному органі управління.</w:t>
      </w:r>
    </w:p>
    <w:p w14:paraId="121E0046"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На міжнародному рівні ключовим нормативним актом, який прямо згадує криптоактиви та блокчейн, є Регламент (ЄС) 2023/1114 «Про ринки криптоактивів» (MiCA). Згідно з цим регламентом, криптоактиви визначаються як цифрове представлення вартості або прав, яке може передаватися та зберігатися в електронному вигляді із застосуванням розподіленого реєстру або подібних технологій (тобто блокчейн) або аналогічних систем [2].</w:t>
      </w:r>
    </w:p>
    <w:p w14:paraId="23FD2C43"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У міжнародному приватному праві визначення юрисдикційної приналежності криптоактивів ускладнюється їх децентралізованою природою та відсутністю чіткої територіальної прив’язки. Криптовалюти та токени існують у глобальному розподіленому реєстрі, що унеможливлює встановлення єдиного місця зберігання чи обігу активу. Водночас для застосування норм приватного міжнародного права необхідно ідентифікувати суб’єктів відносин і ланки, де відбуваються операції, щоб визначити компетентний суд та застосовне право. В Україні питання належності права, що регулює транскордонні криптоугоди, лише починають формуватися — Закон «Про віртуальні активи» встановив базові принципи, але не містить колізійних норм. Відтак з’являється потреба в гармонізації </w:t>
      </w:r>
      <w:r w:rsidRPr="00511005">
        <w:rPr>
          <w:rFonts w:ascii="Arial" w:eastAsia="Times New Roman" w:hAnsi="Arial" w:cs="Arial"/>
          <w:bCs/>
          <w:iCs/>
          <w:szCs w:val="28"/>
          <w:lang w:val="uk-UA" w:eastAsia="ru-RU"/>
        </w:rPr>
        <w:lastRenderedPageBreak/>
        <w:t>національної практики з європейською рамкою (MiCA) та з міжнародними інструментами приватного права (наприклад, Римською конвенцією чи майбутніми ініціативами UNCITRAL).</w:t>
      </w:r>
    </w:p>
    <w:p w14:paraId="4297CDF9"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Найбільш проблемними в межах української юрисдикції є кейси, пов’язані з визначенням компетентності суду у спорах між іноземними користувачами та українськими криптобіржами. Відсутність у договорі з користувачем чіткої вибірки застосовного права та обумовлених арбітражних умов унеможливлює прогнозоване вирішення спору й створює ризики одночасного порушення норм різних країн. Анонімність адрес у блокчейні та складність ідентифікації реальних власників криптогаманців призводять до затягування проваджень та неможливості стягнення активів на виконання судових рішень. Також гостро стоїть питання визнання результатів «smart» контрактів: хоча вони автоматизують виконання угод, у разі технічної помилки чи шахрайства нема зрозумілих механізмів їх оскарження в українських судах [3].</w:t>
      </w:r>
    </w:p>
    <w:p w14:paraId="54C595CF"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Іншим болючим кейсом є спадкування криптоактивів. Недосконалість чинної моделі спадкового права не враховує специфіки цифрових приватних ключів — без доступу до них спадкоємці фактично втрачають право на актив. Українське законодавство потребує запровадження норм про зберігання ключів у депозитаріях чи нотаріальному архіві, а також механізмів обміну інформацією з іноземними реєстрами для встановлення факту спадкування по транскордонних ланцюжках. Загалом для подолання цих прогалин необхідно розробити спеціальний розділ колізійних норм у Цивільному кодексі або прийняти окремий закон про приватноправові колізії у сфері віртуальних активів, гармонізований із міжнародними стандартами.</w:t>
      </w:r>
    </w:p>
    <w:p w14:paraId="3B11038F"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Питання юрисдикційної приналежності та правового статусу криптоактивів у міжнародному приватному праві в Україні перебувають на перехідному етапі: з одного боку, існує базове національне законодавство, яке вперше надало визначення віртуальним активам і закріпило фундаментальні принципи їх обігу, з іншого — відсутні чіткі колізійні норми, які б дозволили однозначно визначати застосовне право та компетентний орган для вирішення транснаціональних спорів.</w:t>
      </w:r>
    </w:p>
    <w:p w14:paraId="16C26B3B"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Децентралізована природа блокчейн-технологій, анонімність учасників мережі та відсутність територіального «локусу» зберігання активів ускладнюють застосування традиційних підходів міжнародного приватного права. Практичний досвід конфліктів між іноземними користувачами та українськими криптобіржами демонструє, що без узгоджених «choice of law» та «forum selection clauses» сторони залишаються в ситуації правової невизначеності, а державні органи — із проблемами виконання судових рішень.</w:t>
      </w:r>
    </w:p>
    <w:p w14:paraId="3B986796"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Необхідними кроками для вдосконалення правового регулювання є розробка та затвердження спеціальних колізійних норм у Цивільному кодексі </w:t>
      </w:r>
      <w:r w:rsidRPr="00511005">
        <w:rPr>
          <w:rFonts w:ascii="Arial" w:eastAsia="Times New Roman" w:hAnsi="Arial" w:cs="Arial"/>
          <w:bCs/>
          <w:iCs/>
          <w:szCs w:val="28"/>
          <w:lang w:val="uk-UA" w:eastAsia="ru-RU"/>
        </w:rPr>
        <w:lastRenderedPageBreak/>
        <w:t>або виділення окремого закону про приватноправові аспекти віртуальних активів. У цьому контексті доцільно гармонізувати українське законодавство з регламентом MiCA ЄС та міжнародними угодами, наприклад, Римською конвенцією, а також передбачити механізми реєстрації та зберігання приватних ключів у надійних депозитаріях чи нотаріальних архівах.</w:t>
      </w:r>
    </w:p>
    <w:p w14:paraId="60CAC553"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Лише за умови наявності прозорих, прогнозованих та універсальних правил вибору права та юрисдикції український ринок криптоактивів зможе ефективно інтегруватися в глобальну фінансову систему, а учасники — захистити свої права в разі транскордонних суперечок. Такий підхід сприятиме не лише правовій безпеці, але й розвитку інноваційних проєктів в Україні.</w:t>
      </w:r>
    </w:p>
    <w:p w14:paraId="5E00E734"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p>
    <w:p w14:paraId="63B29EDD" w14:textId="420794A2" w:rsidR="00220D3E" w:rsidRPr="00511005" w:rsidRDefault="007B2628" w:rsidP="007B2628">
      <w:pPr>
        <w:tabs>
          <w:tab w:val="left" w:pos="709"/>
        </w:tabs>
        <w:spacing w:line="264" w:lineRule="auto"/>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Список використаних джерел</w:t>
      </w:r>
    </w:p>
    <w:p w14:paraId="5685707B"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1.</w:t>
      </w:r>
      <w:r w:rsidRPr="00511005">
        <w:rPr>
          <w:rFonts w:ascii="Arial" w:eastAsia="Times New Roman" w:hAnsi="Arial" w:cs="Arial"/>
          <w:bCs/>
          <w:iCs/>
          <w:szCs w:val="28"/>
          <w:lang w:val="uk-UA" w:eastAsia="ru-RU"/>
        </w:rPr>
        <w:tab/>
        <w:t>Закон України «Про віртуальні активи»; ухвалений 17.02.2022 № 2074 IX; ВВВР, 2022, № 11, ст. 63.</w:t>
      </w:r>
    </w:p>
    <w:p w14:paraId="5839039C"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2.</w:t>
      </w:r>
      <w:r w:rsidRPr="00511005">
        <w:rPr>
          <w:rFonts w:ascii="Arial" w:eastAsia="Times New Roman" w:hAnsi="Arial" w:cs="Arial"/>
          <w:bCs/>
          <w:iCs/>
          <w:szCs w:val="28"/>
          <w:lang w:val="uk-UA" w:eastAsia="ru-RU"/>
        </w:rPr>
        <w:tab/>
        <w:t>Regulation (EU) 2023/1114 of the European Parliament and of the Council of 31 May 2023 on Markets in Crypto</w:t>
      </w:r>
      <w:r w:rsidRPr="00511005">
        <w:rPr>
          <w:rFonts w:ascii="Cambria Math" w:eastAsia="Times New Roman" w:hAnsi="Cambria Math" w:cs="Cambria Math"/>
          <w:bCs/>
          <w:iCs/>
          <w:szCs w:val="28"/>
          <w:lang w:val="uk-UA" w:eastAsia="ru-RU"/>
        </w:rPr>
        <w:t>‑</w:t>
      </w:r>
      <w:r w:rsidRPr="00511005">
        <w:rPr>
          <w:rFonts w:ascii="Arial" w:eastAsia="Times New Roman" w:hAnsi="Arial" w:cs="Arial"/>
          <w:bCs/>
          <w:iCs/>
          <w:szCs w:val="28"/>
          <w:lang w:val="uk-UA" w:eastAsia="ru-RU"/>
        </w:rPr>
        <w:t>assets; Official Journal of the European Union L 159, 07.06.2023, p. 5–68.</w:t>
      </w:r>
    </w:p>
    <w:p w14:paraId="1E4C6B37"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3.</w:t>
      </w:r>
      <w:r w:rsidRPr="00511005">
        <w:rPr>
          <w:rFonts w:ascii="Arial" w:eastAsia="Times New Roman" w:hAnsi="Arial" w:cs="Arial"/>
          <w:bCs/>
          <w:iCs/>
          <w:szCs w:val="28"/>
          <w:lang w:val="uk-UA" w:eastAsia="ru-RU"/>
        </w:rPr>
        <w:tab/>
        <w:t>Коліснікова О. В.; Проблеми застосування колізійних норм до правового статусу криптоактивів у міжнародному приватному праві / О. В. Коліснікова; Вісник Нац. Ун-ту «Острозька академія». Серія: Право. — 2023. — № 2. — C. 112–119..</w:t>
      </w:r>
    </w:p>
    <w:p w14:paraId="74B9D3E6" w14:textId="296A3619" w:rsidR="00220D3E" w:rsidRPr="00511005" w:rsidRDefault="007B2628"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
          <w:bCs/>
          <w:i/>
          <w:iCs/>
          <w:szCs w:val="28"/>
          <w:lang w:val="uk-UA" w:eastAsia="ru-RU"/>
        </w:rPr>
        <w:t xml:space="preserve">Ключові слова: </w:t>
      </w:r>
      <w:r w:rsidR="00220D3E" w:rsidRPr="00511005">
        <w:rPr>
          <w:rFonts w:ascii="Arial" w:eastAsia="Times New Roman" w:hAnsi="Arial" w:cs="Arial"/>
          <w:bCs/>
          <w:iCs/>
          <w:szCs w:val="28"/>
          <w:lang w:val="uk-UA" w:eastAsia="ru-RU"/>
        </w:rPr>
        <w:t>криптоактиви, блокчейн, юрисдикційна приналежність, міжнародне приватне право, правовий статус, колізійні норми;</w:t>
      </w:r>
    </w:p>
    <w:p w14:paraId="1803243B" w14:textId="6BFB11BE" w:rsidR="00220D3E" w:rsidRPr="00511005" w:rsidRDefault="007B2628"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
          <w:bCs/>
          <w:i/>
          <w:iCs/>
          <w:szCs w:val="28"/>
          <w:lang w:val="uk-UA" w:eastAsia="ru-RU"/>
        </w:rPr>
        <w:t xml:space="preserve">Key words: </w:t>
      </w:r>
      <w:r w:rsidR="00220D3E" w:rsidRPr="00511005">
        <w:rPr>
          <w:rFonts w:ascii="Arial" w:eastAsia="Times New Roman" w:hAnsi="Arial" w:cs="Arial"/>
          <w:bCs/>
          <w:iCs/>
          <w:szCs w:val="28"/>
          <w:lang w:val="uk-UA" w:eastAsia="ru-RU"/>
        </w:rPr>
        <w:t>crypto assets, blockchain, jurisdictional affiliation, private international law, legal status, conflict of laws.</w:t>
      </w:r>
    </w:p>
    <w:p w14:paraId="4B91A0B5" w14:textId="4684D84B" w:rsidR="00220D3E" w:rsidRPr="00511005" w:rsidRDefault="007B2628" w:rsidP="003A292D">
      <w:pPr>
        <w:tabs>
          <w:tab w:val="left" w:pos="709"/>
        </w:tabs>
        <w:spacing w:line="264" w:lineRule="auto"/>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val="uk-UA" w:eastAsia="ru-RU"/>
        </w:rPr>
        <w:t>асистент кафедри Бугаєць А. С.</w:t>
      </w:r>
    </w:p>
    <w:p w14:paraId="2CCF1F37" w14:textId="77777777" w:rsidR="00220D3E" w:rsidRPr="00511005" w:rsidRDefault="00220D3E" w:rsidP="003A292D">
      <w:pPr>
        <w:tabs>
          <w:tab w:val="left" w:pos="709"/>
        </w:tabs>
        <w:spacing w:line="264" w:lineRule="auto"/>
        <w:rPr>
          <w:rFonts w:ascii="Arial" w:eastAsia="Times New Roman" w:hAnsi="Arial" w:cs="Arial"/>
          <w:bCs/>
          <w:iCs/>
          <w:szCs w:val="28"/>
          <w:lang w:val="uk-UA" w:eastAsia="ru-RU"/>
        </w:rPr>
      </w:pPr>
    </w:p>
    <w:p w14:paraId="20ED4432" w14:textId="77777777" w:rsidR="00220D3E" w:rsidRPr="00511005" w:rsidRDefault="00220D3E" w:rsidP="003A292D">
      <w:pPr>
        <w:tabs>
          <w:tab w:val="left" w:pos="709"/>
        </w:tabs>
        <w:spacing w:line="264" w:lineRule="auto"/>
        <w:ind w:firstLine="0"/>
        <w:jc w:val="center"/>
        <w:rPr>
          <w:rFonts w:ascii="Arial" w:eastAsia="Times New Roman" w:hAnsi="Arial" w:cs="Arial"/>
          <w:b/>
          <w:bCs/>
          <w:i/>
          <w:szCs w:val="28"/>
          <w:lang w:eastAsia="ru-RU"/>
        </w:rPr>
      </w:pPr>
      <w:r w:rsidRPr="00511005">
        <w:rPr>
          <w:rFonts w:ascii="Arial" w:eastAsia="Times New Roman" w:hAnsi="Arial" w:cs="Arial"/>
          <w:b/>
          <w:bCs/>
          <w:i/>
          <w:szCs w:val="28"/>
          <w:lang w:eastAsia="ru-RU"/>
        </w:rPr>
        <w:t>Лейфура Вікторія Олександрівна</w:t>
      </w:r>
    </w:p>
    <w:p w14:paraId="495DE304" w14:textId="11071F82" w:rsidR="00220D3E" w:rsidRPr="00511005" w:rsidRDefault="00536AAB" w:rsidP="003A292D">
      <w:pPr>
        <w:tabs>
          <w:tab w:val="left" w:pos="709"/>
        </w:tabs>
        <w:spacing w:line="264" w:lineRule="auto"/>
        <w:ind w:firstLine="0"/>
        <w:jc w:val="center"/>
        <w:rPr>
          <w:rFonts w:ascii="Arial" w:eastAsia="Times New Roman" w:hAnsi="Arial" w:cs="Arial"/>
          <w:bCs/>
          <w:szCs w:val="28"/>
          <w:lang w:eastAsia="ru-RU"/>
        </w:rPr>
      </w:pPr>
      <w:r w:rsidRPr="00511005">
        <w:rPr>
          <w:rFonts w:ascii="Arial" w:eastAsia="Times New Roman" w:hAnsi="Arial" w:cs="Arial"/>
          <w:bCs/>
          <w:szCs w:val="28"/>
          <w:lang w:eastAsia="ru-RU"/>
        </w:rPr>
        <w:t xml:space="preserve">студентка 4-го курсу </w:t>
      </w:r>
      <w:r w:rsidR="007B2628" w:rsidRPr="00511005">
        <w:rPr>
          <w:rFonts w:ascii="Arial" w:eastAsia="Times New Roman" w:hAnsi="Arial" w:cs="Arial"/>
          <w:bCs/>
          <w:szCs w:val="28"/>
          <w:lang w:eastAsia="ru-RU"/>
        </w:rPr>
        <w:t>факультету цивільної та господарської юстиції</w:t>
      </w:r>
    </w:p>
    <w:p w14:paraId="31DAFAC7" w14:textId="66A6C1B3" w:rsidR="00220D3E" w:rsidRPr="00511005" w:rsidRDefault="007B2628" w:rsidP="003A292D">
      <w:pPr>
        <w:tabs>
          <w:tab w:val="left" w:pos="709"/>
        </w:tabs>
        <w:spacing w:line="264" w:lineRule="auto"/>
        <w:ind w:firstLine="0"/>
        <w:jc w:val="center"/>
        <w:rPr>
          <w:rFonts w:ascii="Arial" w:eastAsia="Times New Roman" w:hAnsi="Arial" w:cs="Arial"/>
          <w:bCs/>
          <w:szCs w:val="28"/>
          <w:lang w:eastAsia="ru-RU"/>
        </w:rPr>
      </w:pPr>
      <w:r w:rsidRPr="00511005">
        <w:rPr>
          <w:rFonts w:ascii="Arial" w:eastAsia="Times New Roman" w:hAnsi="Arial" w:cs="Arial"/>
          <w:bCs/>
          <w:szCs w:val="28"/>
          <w:lang w:eastAsia="ru-RU"/>
        </w:rPr>
        <w:t>Національного університету «Одеська юридична академія»</w:t>
      </w:r>
    </w:p>
    <w:p w14:paraId="38D37478" w14:textId="77777777" w:rsidR="00220D3E" w:rsidRPr="00511005" w:rsidRDefault="00220D3E" w:rsidP="003A292D">
      <w:pPr>
        <w:tabs>
          <w:tab w:val="left" w:pos="709"/>
        </w:tabs>
        <w:spacing w:line="264" w:lineRule="auto"/>
        <w:ind w:firstLine="0"/>
        <w:jc w:val="left"/>
        <w:rPr>
          <w:rFonts w:ascii="Arial" w:eastAsia="Times New Roman" w:hAnsi="Arial" w:cs="Arial"/>
          <w:b/>
          <w:bCs/>
          <w:szCs w:val="28"/>
          <w:lang w:eastAsia="ru-RU"/>
        </w:rPr>
      </w:pPr>
    </w:p>
    <w:p w14:paraId="2327E0B5"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ВИНИКНЕННЯ ТА ПРИПИНЕННЯ ПРАВА ВЛАСНОСТІ ТА ІНШИХ РЕЧОВИХ ПРАВ У МІЖНАРОДНОМУ ПРИВАТНОМУ ПРАВІ</w:t>
      </w:r>
    </w:p>
    <w:p w14:paraId="4BE453A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Глобалізація економічних відносин, міжнародний рух капіталів, товарів та послуг, а також міграційні процеси неминуче призводять до виникнення правовідносин, пов'язаних з майном, що ускладнені іноземним елементом. </w:t>
      </w:r>
      <w:r w:rsidRPr="00511005">
        <w:rPr>
          <w:rFonts w:ascii="Arial" w:eastAsia="Times New Roman" w:hAnsi="Arial" w:cs="Arial"/>
          <w:szCs w:val="28"/>
          <w:lang w:eastAsia="ru-RU"/>
        </w:rPr>
        <w:t xml:space="preserve">Питання про те, як виникають та припиняються права власності та інші речові права (такі як право користування, володіння, застава) в таких умовах, є одним із центральних у міжнародному приватному праві (МПП). Необхідність визначення чітких правових механізмів виникає, коли, </w:t>
      </w:r>
      <w:r w:rsidRPr="00511005">
        <w:rPr>
          <w:rFonts w:ascii="Arial" w:eastAsia="Times New Roman" w:hAnsi="Arial" w:cs="Arial"/>
          <w:szCs w:val="28"/>
          <w:lang w:eastAsia="ru-RU"/>
        </w:rPr>
        <w:lastRenderedPageBreak/>
        <w:t>наприклад, об'єкт нерухомості знаходиться в одній державі, а його власник чи набувач є громадянином іншої, або коли договір щодо рухомого майна укладається між суб'єктами різних юрисдикцій чи виконується за кордоном.</w:t>
      </w:r>
    </w:p>
    <w:p w14:paraId="116AD81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Регулювання питань виникнення та припинення права власності та інших речових прав у міжнародному приватному праві (МПП) на міжнародному рівні є досить фрагментарним. Основне регулювання цих питань відбувається на рівні </w:t>
      </w:r>
      <w:r w:rsidRPr="00511005">
        <w:rPr>
          <w:rFonts w:ascii="Arial" w:eastAsia="Times New Roman" w:hAnsi="Arial" w:cs="Arial"/>
          <w:bCs/>
          <w:szCs w:val="28"/>
          <w:lang w:eastAsia="ru-RU"/>
        </w:rPr>
        <w:t>національного законодавства</w:t>
      </w:r>
      <w:r w:rsidRPr="00511005">
        <w:rPr>
          <w:rFonts w:ascii="Arial" w:eastAsia="Times New Roman" w:hAnsi="Arial" w:cs="Arial"/>
          <w:szCs w:val="28"/>
          <w:lang w:eastAsia="ru-RU"/>
        </w:rPr>
        <w:t xml:space="preserve"> кожної окремої держави; в Україні таким актом є Закон "Про міжнародне приватне право". Ці національні закони, однак, здебільшого закріплюють та розвивають загальновизнані в міжнародній практиці принципи МПП, зокрема, ключовий принцип застосування закону місця знаходження речі.</w:t>
      </w:r>
    </w:p>
    <w:p w14:paraId="4AF16FD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Незважаючи на відсутність єдиного кодексу, існує низка </w:t>
      </w:r>
      <w:r w:rsidRPr="00511005">
        <w:rPr>
          <w:rFonts w:ascii="Arial" w:eastAsia="Times New Roman" w:hAnsi="Arial" w:cs="Arial"/>
          <w:bCs/>
          <w:szCs w:val="28"/>
          <w:lang w:eastAsia="ru-RU"/>
        </w:rPr>
        <w:t>специфічних міжнародних нормативно-правових актів та інструментів</w:t>
      </w:r>
      <w:r w:rsidRPr="00511005">
        <w:rPr>
          <w:rFonts w:ascii="Arial" w:eastAsia="Times New Roman" w:hAnsi="Arial" w:cs="Arial"/>
          <w:szCs w:val="28"/>
          <w:lang w:eastAsia="ru-RU"/>
        </w:rPr>
        <w:t xml:space="preserve">, які відіграють важливу роль у регулюванні окремих аспектів виникнення та припинення речових прав у міжнародному контексті, особливо щодо певних видів майна або специфічних правовідносин. Значний внесок у розробку таких інструментів робить </w:t>
      </w:r>
      <w:r w:rsidRPr="00511005">
        <w:rPr>
          <w:rFonts w:ascii="Arial" w:eastAsia="Times New Roman" w:hAnsi="Arial" w:cs="Arial"/>
          <w:bCs/>
          <w:szCs w:val="28"/>
          <w:lang w:eastAsia="ru-RU"/>
        </w:rPr>
        <w:t>Гаазька конференція з міжнародного приватного права (HCCH)</w:t>
      </w:r>
      <w:r w:rsidRPr="00511005">
        <w:rPr>
          <w:rFonts w:ascii="Arial" w:eastAsia="Times New Roman" w:hAnsi="Arial" w:cs="Arial"/>
          <w:szCs w:val="28"/>
          <w:lang w:eastAsia="ru-RU"/>
        </w:rPr>
        <w:t xml:space="preserve">. Серед її конвенцій, що стосуються речових прав, варто виділити </w:t>
      </w:r>
      <w:r w:rsidRPr="00511005">
        <w:rPr>
          <w:rFonts w:ascii="Arial" w:eastAsia="Times New Roman" w:hAnsi="Arial" w:cs="Arial"/>
          <w:bCs/>
          <w:szCs w:val="28"/>
          <w:lang w:eastAsia="ru-RU"/>
        </w:rPr>
        <w:t>Гаазьку конвенцію про право, що застосовується до певних прав стосовно цінних паперів, які знаходяться у володінні посередника (2006 р.)</w:t>
      </w:r>
      <w:r w:rsidRPr="00511005">
        <w:rPr>
          <w:rFonts w:ascii="Arial" w:eastAsia="Times New Roman" w:hAnsi="Arial" w:cs="Arial"/>
          <w:szCs w:val="28"/>
          <w:lang w:eastAsia="ru-RU"/>
        </w:rPr>
        <w:t xml:space="preserve">. Вона встановлює сучасні колізійні норми для визначення права, що регулює права на бездокументарні цінні папери, які обліковуються через глобальну мережу фінансових посередників. Також важливою є </w:t>
      </w:r>
      <w:r w:rsidRPr="00511005">
        <w:rPr>
          <w:rFonts w:ascii="Arial" w:eastAsia="Times New Roman" w:hAnsi="Arial" w:cs="Arial"/>
          <w:bCs/>
          <w:szCs w:val="28"/>
          <w:lang w:eastAsia="ru-RU"/>
        </w:rPr>
        <w:t>Гаазька конвенція про право, що застосовується до трастів, та про їх визнання (1985 р.)</w:t>
      </w:r>
      <w:r w:rsidRPr="00511005">
        <w:rPr>
          <w:rFonts w:ascii="Arial" w:eastAsia="Times New Roman" w:hAnsi="Arial" w:cs="Arial"/>
          <w:szCs w:val="28"/>
          <w:lang w:eastAsia="ru-RU"/>
        </w:rPr>
        <w:t xml:space="preserve">, яка уніфікує підходи до визначення права, що регулює трасти – інститут, нерозривно пов'язаний з управлінням та володінням майном. Крім того, хоча й опосередковано, на перехід речових прав впливають Гаазькі конвенції </w:t>
      </w:r>
      <w:proofErr w:type="gramStart"/>
      <w:r w:rsidRPr="00511005">
        <w:rPr>
          <w:rFonts w:ascii="Arial" w:eastAsia="Times New Roman" w:hAnsi="Arial" w:cs="Arial"/>
          <w:szCs w:val="28"/>
          <w:lang w:eastAsia="ru-RU"/>
        </w:rPr>
        <w:t>у сферах</w:t>
      </w:r>
      <w:proofErr w:type="gramEnd"/>
      <w:r w:rsidRPr="00511005">
        <w:rPr>
          <w:rFonts w:ascii="Arial" w:eastAsia="Times New Roman" w:hAnsi="Arial" w:cs="Arial"/>
          <w:szCs w:val="28"/>
          <w:lang w:eastAsia="ru-RU"/>
        </w:rPr>
        <w:t xml:space="preserve"> </w:t>
      </w:r>
      <w:r w:rsidRPr="00511005">
        <w:rPr>
          <w:rFonts w:ascii="Arial" w:eastAsia="Times New Roman" w:hAnsi="Arial" w:cs="Arial"/>
          <w:bCs/>
          <w:szCs w:val="28"/>
          <w:lang w:eastAsia="ru-RU"/>
        </w:rPr>
        <w:t>спадкування</w:t>
      </w:r>
      <w:r w:rsidRPr="00511005">
        <w:rPr>
          <w:rFonts w:ascii="Arial" w:eastAsia="Times New Roman" w:hAnsi="Arial" w:cs="Arial"/>
          <w:szCs w:val="28"/>
          <w:lang w:eastAsia="ru-RU"/>
        </w:rPr>
        <w:t xml:space="preserve"> та </w:t>
      </w:r>
      <w:r w:rsidRPr="00511005">
        <w:rPr>
          <w:rFonts w:ascii="Arial" w:eastAsia="Times New Roman" w:hAnsi="Arial" w:cs="Arial"/>
          <w:bCs/>
          <w:szCs w:val="28"/>
          <w:lang w:eastAsia="ru-RU"/>
        </w:rPr>
        <w:t>майнових режимів подружжя</w:t>
      </w:r>
      <w:r w:rsidRPr="00511005">
        <w:rPr>
          <w:rFonts w:ascii="Arial" w:eastAsia="Times New Roman" w:hAnsi="Arial" w:cs="Arial"/>
          <w:szCs w:val="28"/>
          <w:lang w:eastAsia="ru-RU"/>
        </w:rPr>
        <w:t xml:space="preserve">, оскільки вони визначають коло спадкоємців чи розподіл майна подружжя, що потім реалізується через норми речового права. Іншою важливою організацією є </w:t>
      </w:r>
      <w:r w:rsidRPr="00511005">
        <w:rPr>
          <w:rFonts w:ascii="Arial" w:eastAsia="Times New Roman" w:hAnsi="Arial" w:cs="Arial"/>
          <w:bCs/>
          <w:szCs w:val="28"/>
          <w:lang w:eastAsia="ru-RU"/>
        </w:rPr>
        <w:t>Міжнародний інститут уніфікації приватного права (UNIDROIT)</w:t>
      </w:r>
      <w:r w:rsidRPr="00511005">
        <w:rPr>
          <w:rFonts w:ascii="Arial" w:eastAsia="Times New Roman" w:hAnsi="Arial" w:cs="Arial"/>
          <w:szCs w:val="28"/>
          <w:lang w:eastAsia="ru-RU"/>
        </w:rPr>
        <w:t xml:space="preserve">. Під його егідою була розроблена </w:t>
      </w:r>
      <w:r w:rsidRPr="00511005">
        <w:rPr>
          <w:rFonts w:ascii="Arial" w:eastAsia="Times New Roman" w:hAnsi="Arial" w:cs="Arial"/>
          <w:bCs/>
          <w:szCs w:val="28"/>
          <w:lang w:eastAsia="ru-RU"/>
        </w:rPr>
        <w:t>Конвенція УНІДРУА про викрадені або незаконно вивезені культурні цінності (1995 р.)</w:t>
      </w:r>
      <w:r w:rsidRPr="00511005">
        <w:rPr>
          <w:rFonts w:ascii="Arial" w:eastAsia="Times New Roman" w:hAnsi="Arial" w:cs="Arial"/>
          <w:szCs w:val="28"/>
          <w:lang w:eastAsia="ru-RU"/>
        </w:rPr>
        <w:t xml:space="preserve">. Цей акт є унікальним тим, що містить не лише колізійні, а й прямі матеріально-правові норми, які значно полегшують реституцію (повернення) таких цінностей їхнім законним власникам, зокрема, встановлюючи суворіші умови для посилання на добросовісне набуття. Таким чином, конвенція прямо впливає на припинення прав недобросовісних чи навіть добросовісних набувачів та на відновлення прав первинних власників. Крім уніфікаційних конвенцій, існують також </w:t>
      </w:r>
      <w:r w:rsidRPr="00511005">
        <w:rPr>
          <w:rFonts w:ascii="Arial" w:eastAsia="Times New Roman" w:hAnsi="Arial" w:cs="Arial"/>
          <w:bCs/>
          <w:szCs w:val="28"/>
          <w:lang w:eastAsia="ru-RU"/>
        </w:rPr>
        <w:t>спеціальні міжнародні договори</w:t>
      </w:r>
      <w:r w:rsidRPr="00511005">
        <w:rPr>
          <w:rFonts w:ascii="Arial" w:eastAsia="Times New Roman" w:hAnsi="Arial" w:cs="Arial"/>
          <w:szCs w:val="28"/>
          <w:lang w:eastAsia="ru-RU"/>
        </w:rPr>
        <w:t xml:space="preserve"> галузевого характеру, що містять окремі норми стосовно речових прав. Наприклад, </w:t>
      </w:r>
      <w:r w:rsidRPr="00511005">
        <w:rPr>
          <w:rFonts w:ascii="Arial" w:eastAsia="Times New Roman" w:hAnsi="Arial" w:cs="Arial"/>
          <w:bCs/>
          <w:szCs w:val="28"/>
          <w:lang w:eastAsia="ru-RU"/>
        </w:rPr>
        <w:t>Конвенція ООН з морського права (1982 р.)</w:t>
      </w:r>
      <w:r w:rsidRPr="00511005">
        <w:rPr>
          <w:rFonts w:ascii="Arial" w:eastAsia="Times New Roman" w:hAnsi="Arial" w:cs="Arial"/>
          <w:szCs w:val="28"/>
          <w:lang w:eastAsia="ru-RU"/>
        </w:rPr>
        <w:t xml:space="preserve"> регулює права на морські ресурси, а </w:t>
      </w:r>
      <w:r w:rsidRPr="00511005">
        <w:rPr>
          <w:rFonts w:ascii="Arial" w:eastAsia="Times New Roman" w:hAnsi="Arial" w:cs="Arial"/>
          <w:bCs/>
          <w:szCs w:val="28"/>
          <w:lang w:eastAsia="ru-RU"/>
        </w:rPr>
        <w:t xml:space="preserve">Договір про </w:t>
      </w:r>
      <w:r w:rsidRPr="00511005">
        <w:rPr>
          <w:rFonts w:ascii="Arial" w:eastAsia="Times New Roman" w:hAnsi="Arial" w:cs="Arial"/>
          <w:bCs/>
          <w:szCs w:val="28"/>
          <w:lang w:eastAsia="ru-RU"/>
        </w:rPr>
        <w:lastRenderedPageBreak/>
        <w:t>космос (1967 р.)</w:t>
      </w:r>
      <w:r w:rsidRPr="00511005">
        <w:rPr>
          <w:rFonts w:ascii="Arial" w:eastAsia="Times New Roman" w:hAnsi="Arial" w:cs="Arial"/>
          <w:szCs w:val="28"/>
          <w:lang w:eastAsia="ru-RU"/>
        </w:rPr>
        <w:t xml:space="preserve"> – питання юрисдикції та контролю над космічними об'єктами на основі їх державної реєстрації.</w:t>
      </w:r>
    </w:p>
    <w:p w14:paraId="2B5CFB8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Ключовим для вирішення питань виникнення та припинення речових прав у міжнародному контексті є визначення права, яке підлягає застосуванню до цих відносин. Загальновизнаним підходом, закріпленим як у міжнародній практиці, так і в національному законодавстві багатьох країн, включно з Україною, є застосування права держави, на території якої знаходиться відповідне майно. Стаття 38 Закону України "Про міжнародне приватне право" прямо вказує, що "Право власності та інші речові права на нерухоме та рухоме майно визначаються правом держави, у якій це майно знаходиться...". Саме це право визначає підстави, момент та процедуру набуття та втрати речових прав.</w:t>
      </w:r>
    </w:p>
    <w:p w14:paraId="292B25A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Виникнення права власності в міжнародних ситуаціях відбувається різними шляхами, і кожен з них підпорядковується зазначеному принципу. Якщо право власності набувається за договором (купівлі-продажу, дарування тощо), то саме закон місця знаходження майна на момент вчинення юридично значущих дій (наприклад, передачі речі, укладання угоди, якщо це передбачено) визначатиме вимоги до форми договору (в частині речових наслідків), момент переходу права власності від відчужувача до набувача, а також необхідність та наслідки державної реєстрації такого переходу. Аналогічно, право власності на новостворене майно виникає відповідно до норм права тієї країни, де річ була створена та знаходилась на момент завершення цього процесу. Особливим випадком є набуття права власності за давністю володіння (набувальна давність) – згідно зі статтею 40 Закону України "Про міжнародне приватне право", застосовується право держави, де майно знаходилося на момент спливу строку набувальної давності. Навіть при спадкуванні, яке в цілому регулюється окремими правилами міжнародного приватного права, безпосередній перехід речових прав на конкретне майно (особливо нерухоме) часто відбувається за правилами закону місця його знаходження.</w:t>
      </w:r>
    </w:p>
    <w:p w14:paraId="774FE11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Припинення права власності також регулюється переважно правом місця знаходження майна. Відчуження майна за договором призводить до припинення права власності у відчужувача на умовах та з моменту, що визначені застосовним правом країни знаходження речі. Фізичне знищення майна як підстава припинення права власності оцінюється за фактичними обставинами та відповідно </w:t>
      </w:r>
      <w:proofErr w:type="gramStart"/>
      <w:r w:rsidRPr="00511005">
        <w:rPr>
          <w:rFonts w:ascii="Arial" w:eastAsia="Times New Roman" w:hAnsi="Arial" w:cs="Arial"/>
          <w:szCs w:val="28"/>
          <w:lang w:eastAsia="ru-RU"/>
        </w:rPr>
        <w:t>до закону</w:t>
      </w:r>
      <w:proofErr w:type="gramEnd"/>
      <w:r w:rsidRPr="00511005">
        <w:rPr>
          <w:rFonts w:ascii="Arial" w:eastAsia="Times New Roman" w:hAnsi="Arial" w:cs="Arial"/>
          <w:szCs w:val="28"/>
          <w:lang w:eastAsia="ru-RU"/>
        </w:rPr>
        <w:t xml:space="preserve"> місця, де майно знаходилось і було знищене. Можливість, процедура та наслідки добровільної відмови власника від свого права на майно також визначаються цим же правом. Складнішими є випадки примусового припинення права власності з боку держави – націоналізація, конфіскація, реквізиція. Хоча сам акт примусового вилучення відбувається за законами держави, яка його здійснює, його визнання та правові наслідки за кордоном можуть залежати від відповідності </w:t>
      </w:r>
      <w:r w:rsidRPr="00511005">
        <w:rPr>
          <w:rFonts w:ascii="Arial" w:eastAsia="Times New Roman" w:hAnsi="Arial" w:cs="Arial"/>
          <w:szCs w:val="28"/>
          <w:lang w:eastAsia="ru-RU"/>
        </w:rPr>
        <w:lastRenderedPageBreak/>
        <w:t>міжнародним стандартам захисту власності та відсутності суперечності публічному порядку тієї країни, де ставиться питання про визнання.</w:t>
      </w:r>
    </w:p>
    <w:p w14:paraId="4E7BFBE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Принцип застосування закону місця знаходження майна застосовується як до нерухомого, так і до рухомого майна, однак з певними особливостями. Щодо нерухомості (землі, будівель тощо) цей принцип діє майже без винятків – усі питання виникнення та припинення прав регулюються правом країни розташування об'єкта. Для рухомого майна існують важливі уточнення, особливо коли воно знаходиться в процесі переміщення через кордони (так звані </w:t>
      </w:r>
      <w:r w:rsidRPr="00511005">
        <w:rPr>
          <w:rFonts w:ascii="Arial" w:eastAsia="Times New Roman" w:hAnsi="Arial" w:cs="Arial"/>
          <w:i/>
          <w:iCs/>
          <w:szCs w:val="28"/>
          <w:lang w:eastAsia="ru-RU"/>
        </w:rPr>
        <w:t>res in transitu</w:t>
      </w:r>
      <w:r w:rsidRPr="00511005">
        <w:rPr>
          <w:rFonts w:ascii="Arial" w:eastAsia="Times New Roman" w:hAnsi="Arial" w:cs="Arial"/>
          <w:szCs w:val="28"/>
          <w:lang w:eastAsia="ru-RU"/>
        </w:rPr>
        <w:t xml:space="preserve"> – речі в дорозі). У таких ситуаціях, відповідно до статті 41 Закону України "Про МПП", речові права можуть визначатися правом держави, з якої майно відправлене, або правом держави призначення, якщо сторони не домовились про інше. Також спеціальні правила діють для транспортних засобів та інших об'єктів, що підлягають державній реєстрації (морські та повітряні судна, космічні об'єкти): речові права на них регулюються правом держави реєстрації (стаття 42 Закону України "Про МПП").</w:t>
      </w:r>
    </w:p>
    <w:p w14:paraId="057B121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Важливу роль у багатьох юрисдикціях відіграє державна реєстрація виникнення, переходу чи припинення речових прав, особливо на нерухомість та певні види рухомого майна. Необхідність такої реєстрації, її процедура та правові наслідки (наприклад, чи має реєстрація конститутивний, тобто правостворюючий, характер) визначаються законом країни, де знаходиться майно, або країни, де ведеться відповідний реєстр. Крім того, на регулювання відносин власності в міжнародному аспекті можуть впливати міжнародні договори, які встановлюють уніфіковані норми для специфічних категорій майна (наприклад, культурні цінності, рухоме обладнання) або окремих ситуацій, тим самим доповнюючи або модифікуючи загальні підходи МПП.</w:t>
      </w:r>
    </w:p>
    <w:p w14:paraId="5D7232B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Отже, виникнення та припинення права власності та інших речових прав у сфері міжнародного приватного права визначається комплексом норм, центральне місце серед яких посідає принцип прив'язки до права держави місця знаходження майна. Цей підхід забезпечує визначеність та передбачуваність у регулюванні майнових відносин, ускладнених іноземним елементом. Водночас існують спеціальні правила </w:t>
      </w:r>
      <w:proofErr w:type="gramStart"/>
      <w:r w:rsidRPr="00511005">
        <w:rPr>
          <w:rFonts w:ascii="Arial" w:eastAsia="Times New Roman" w:hAnsi="Arial" w:cs="Arial"/>
          <w:szCs w:val="28"/>
          <w:lang w:eastAsia="ru-RU"/>
        </w:rPr>
        <w:t>для майна</w:t>
      </w:r>
      <w:proofErr w:type="gramEnd"/>
      <w:r w:rsidRPr="00511005">
        <w:rPr>
          <w:rFonts w:ascii="Arial" w:eastAsia="Times New Roman" w:hAnsi="Arial" w:cs="Arial"/>
          <w:szCs w:val="28"/>
          <w:lang w:eastAsia="ru-RU"/>
        </w:rPr>
        <w:t xml:space="preserve"> в дорозі, зареєстрованих транспортних засобів та інших об'єктів, а також враховується вплив міжнародних угод та застереження про публічний порядок. Розуміння цих засад є необхідним для належного правового супроводу міжнародних операцій з майном та захисту речових прав у глобалізованому світі.</w:t>
      </w:r>
    </w:p>
    <w:p w14:paraId="01110E1F"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0815CCEF" w14:textId="568FAC7D" w:rsidR="00220D3E" w:rsidRPr="00511005" w:rsidRDefault="007B2628" w:rsidP="007B2628">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b/>
          <w:bCs/>
          <w:szCs w:val="28"/>
          <w:lang w:val="uk-UA" w:eastAsia="ru-RU"/>
        </w:rPr>
        <w:t>Список використаних джерел</w:t>
      </w:r>
    </w:p>
    <w:p w14:paraId="47638F71" w14:textId="77777777" w:rsidR="00220D3E" w:rsidRPr="00511005" w:rsidRDefault="00220D3E" w:rsidP="003F6A5D">
      <w:pPr>
        <w:numPr>
          <w:ilvl w:val="0"/>
          <w:numId w:val="176"/>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Про міжнародне приватне </w:t>
      </w:r>
      <w:proofErr w:type="gramStart"/>
      <w:r w:rsidRPr="00511005">
        <w:rPr>
          <w:rFonts w:ascii="Arial" w:eastAsia="Times New Roman" w:hAnsi="Arial" w:cs="Arial"/>
          <w:szCs w:val="28"/>
          <w:lang w:eastAsia="ru-RU"/>
        </w:rPr>
        <w:t>право :</w:t>
      </w:r>
      <w:proofErr w:type="gramEnd"/>
      <w:r w:rsidRPr="00511005">
        <w:rPr>
          <w:rFonts w:ascii="Arial" w:eastAsia="Times New Roman" w:hAnsi="Arial" w:cs="Arial"/>
          <w:szCs w:val="28"/>
          <w:lang w:eastAsia="ru-RU"/>
        </w:rPr>
        <w:t xml:space="preserve"> Закон України від 23.06.2005 р. № 2709-IV. </w:t>
      </w:r>
      <w:r w:rsidRPr="00511005">
        <w:rPr>
          <w:rFonts w:ascii="Arial" w:eastAsia="Times New Roman" w:hAnsi="Arial" w:cs="Arial"/>
          <w:i/>
          <w:iCs/>
          <w:szCs w:val="28"/>
          <w:lang w:eastAsia="ru-RU"/>
        </w:rPr>
        <w:t xml:space="preserve">Відомості </w:t>
      </w:r>
      <w:proofErr w:type="gramStart"/>
      <w:r w:rsidRPr="00511005">
        <w:rPr>
          <w:rFonts w:ascii="Arial" w:eastAsia="Times New Roman" w:hAnsi="Arial" w:cs="Arial"/>
          <w:i/>
          <w:iCs/>
          <w:szCs w:val="28"/>
          <w:lang w:eastAsia="ru-RU"/>
        </w:rPr>
        <w:t>Верховної</w:t>
      </w:r>
      <w:proofErr w:type="gramEnd"/>
      <w:r w:rsidRPr="00511005">
        <w:rPr>
          <w:rFonts w:ascii="Arial" w:eastAsia="Times New Roman" w:hAnsi="Arial" w:cs="Arial"/>
          <w:i/>
          <w:iCs/>
          <w:szCs w:val="28"/>
          <w:lang w:eastAsia="ru-RU"/>
        </w:rPr>
        <w:t xml:space="preserve"> Ради України</w:t>
      </w:r>
      <w:r w:rsidRPr="00511005">
        <w:rPr>
          <w:rFonts w:ascii="Arial" w:eastAsia="Times New Roman" w:hAnsi="Arial" w:cs="Arial"/>
          <w:szCs w:val="28"/>
          <w:lang w:eastAsia="ru-RU"/>
        </w:rPr>
        <w:t xml:space="preserve">. 2005. № 32. Ст. 422. URL: </w:t>
      </w:r>
      <w:hyperlink r:id="rId466" w:tgtFrame="_blank" w:history="1">
        <w:r w:rsidRPr="00511005">
          <w:rPr>
            <w:rFonts w:ascii="Arial" w:eastAsia="Times New Roman" w:hAnsi="Arial" w:cs="Arial"/>
            <w:szCs w:val="28"/>
            <w:lang w:eastAsia="ru-RU"/>
          </w:rPr>
          <w:t>https://zakon.rada.gov.ua/laws/show/2709-15</w:t>
        </w:r>
      </w:hyperlink>
    </w:p>
    <w:p w14:paraId="5182B8BE" w14:textId="77777777" w:rsidR="00220D3E" w:rsidRPr="00511005" w:rsidRDefault="00220D3E" w:rsidP="003F6A5D">
      <w:pPr>
        <w:numPr>
          <w:ilvl w:val="0"/>
          <w:numId w:val="176"/>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Цивільний кодекс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Закон України від 16.01.2003 р. № 435-IV. </w:t>
      </w:r>
      <w:r w:rsidRPr="00511005">
        <w:rPr>
          <w:rFonts w:ascii="Arial" w:eastAsia="Times New Roman" w:hAnsi="Arial" w:cs="Arial"/>
          <w:i/>
          <w:iCs/>
          <w:szCs w:val="28"/>
          <w:lang w:eastAsia="ru-RU"/>
        </w:rPr>
        <w:t xml:space="preserve">Відомості </w:t>
      </w:r>
      <w:proofErr w:type="gramStart"/>
      <w:r w:rsidRPr="00511005">
        <w:rPr>
          <w:rFonts w:ascii="Arial" w:eastAsia="Times New Roman" w:hAnsi="Arial" w:cs="Arial"/>
          <w:i/>
          <w:iCs/>
          <w:szCs w:val="28"/>
          <w:lang w:eastAsia="ru-RU"/>
        </w:rPr>
        <w:t>Верховної</w:t>
      </w:r>
      <w:proofErr w:type="gramEnd"/>
      <w:r w:rsidRPr="00511005">
        <w:rPr>
          <w:rFonts w:ascii="Arial" w:eastAsia="Times New Roman" w:hAnsi="Arial" w:cs="Arial"/>
          <w:i/>
          <w:iCs/>
          <w:szCs w:val="28"/>
          <w:lang w:eastAsia="ru-RU"/>
        </w:rPr>
        <w:t xml:space="preserve"> Ради України</w:t>
      </w:r>
      <w:r w:rsidRPr="00511005">
        <w:rPr>
          <w:rFonts w:ascii="Arial" w:eastAsia="Times New Roman" w:hAnsi="Arial" w:cs="Arial"/>
          <w:szCs w:val="28"/>
          <w:lang w:eastAsia="ru-RU"/>
        </w:rPr>
        <w:t xml:space="preserve">. 2003. № 40-44. Ст. 356. URL: </w:t>
      </w:r>
      <w:hyperlink r:id="rId467" w:tgtFrame="_blank" w:history="1">
        <w:r w:rsidRPr="00511005">
          <w:rPr>
            <w:rFonts w:ascii="Arial" w:eastAsia="Times New Roman" w:hAnsi="Arial" w:cs="Arial"/>
            <w:szCs w:val="28"/>
            <w:lang w:eastAsia="ru-RU"/>
          </w:rPr>
          <w:t>https://zakon.rada.gov.ua/laws/show/435-15</w:t>
        </w:r>
      </w:hyperlink>
    </w:p>
    <w:p w14:paraId="1EF630EF" w14:textId="77777777" w:rsidR="00220D3E" w:rsidRPr="00511005" w:rsidRDefault="00220D3E" w:rsidP="003F6A5D">
      <w:pPr>
        <w:numPr>
          <w:ilvl w:val="0"/>
          <w:numId w:val="176"/>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Фединяк Г. С., Фединяк Л. С. Міжнародне приватне </w:t>
      </w:r>
      <w:proofErr w:type="gramStart"/>
      <w:r w:rsidRPr="00511005">
        <w:rPr>
          <w:rFonts w:ascii="Arial" w:eastAsia="Times New Roman" w:hAnsi="Arial" w:cs="Arial"/>
          <w:szCs w:val="28"/>
          <w:lang w:eastAsia="ru-RU"/>
        </w:rPr>
        <w:t>право :</w:t>
      </w:r>
      <w:proofErr w:type="gramEnd"/>
      <w:r w:rsidRPr="00511005">
        <w:rPr>
          <w:rFonts w:ascii="Arial" w:eastAsia="Times New Roman" w:hAnsi="Arial" w:cs="Arial"/>
          <w:szCs w:val="28"/>
          <w:lang w:eastAsia="ru-RU"/>
        </w:rPr>
        <w:t xml:space="preserve"> підручник. 8-ме вид., переробл. і доповн. </w:t>
      </w:r>
      <w:proofErr w:type="gramStart"/>
      <w:r w:rsidRPr="00511005">
        <w:rPr>
          <w:rFonts w:ascii="Arial" w:eastAsia="Times New Roman" w:hAnsi="Arial" w:cs="Arial"/>
          <w:szCs w:val="28"/>
          <w:lang w:eastAsia="ru-RU"/>
        </w:rPr>
        <w:t>Київ :</w:t>
      </w:r>
      <w:proofErr w:type="gramEnd"/>
      <w:r w:rsidRPr="00511005">
        <w:rPr>
          <w:rFonts w:ascii="Arial" w:eastAsia="Times New Roman" w:hAnsi="Arial" w:cs="Arial"/>
          <w:szCs w:val="28"/>
          <w:lang w:eastAsia="ru-RU"/>
        </w:rPr>
        <w:t xml:space="preserve"> Атіка, 2019. 592 с.</w:t>
      </w:r>
    </w:p>
    <w:p w14:paraId="65C0077B" w14:textId="77777777" w:rsidR="00220D3E" w:rsidRPr="00511005" w:rsidRDefault="00220D3E" w:rsidP="003F6A5D">
      <w:pPr>
        <w:numPr>
          <w:ilvl w:val="0"/>
          <w:numId w:val="176"/>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Міжнародне приватне право: Науково-практичний коментар Закону України «Про міжнародне приватне право» / за ред. А. Довгерта. </w:t>
      </w:r>
      <w:proofErr w:type="gramStart"/>
      <w:r w:rsidRPr="00511005">
        <w:rPr>
          <w:rFonts w:ascii="Arial" w:eastAsia="Times New Roman" w:hAnsi="Arial" w:cs="Arial"/>
          <w:szCs w:val="28"/>
          <w:lang w:eastAsia="ru-RU"/>
        </w:rPr>
        <w:t>Харків :</w:t>
      </w:r>
      <w:proofErr w:type="gramEnd"/>
      <w:r w:rsidRPr="00511005">
        <w:rPr>
          <w:rFonts w:ascii="Arial" w:eastAsia="Times New Roman" w:hAnsi="Arial" w:cs="Arial"/>
          <w:szCs w:val="28"/>
          <w:lang w:eastAsia="ru-RU"/>
        </w:rPr>
        <w:t xml:space="preserve"> ТОВ «Одіссей», 2008. 352 с.</w:t>
      </w:r>
    </w:p>
    <w:p w14:paraId="12EBDE8A"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7DC51A56" w14:textId="1AB9FF12" w:rsidR="00220D3E" w:rsidRPr="00511005" w:rsidRDefault="007B2628" w:rsidP="003A292D">
      <w:pPr>
        <w:tabs>
          <w:tab w:val="left" w:pos="709"/>
        </w:tabs>
        <w:spacing w:line="264" w:lineRule="auto"/>
        <w:contextualSpacing/>
        <w:rPr>
          <w:rFonts w:ascii="Arial" w:eastAsia="Calibri" w:hAnsi="Arial" w:cs="Arial"/>
          <w:szCs w:val="28"/>
        </w:rPr>
      </w:pPr>
      <w:r w:rsidRPr="00511005">
        <w:rPr>
          <w:rFonts w:ascii="Arial" w:eastAsia="Calibri" w:hAnsi="Arial" w:cs="Arial"/>
          <w:b/>
          <w:bCs/>
          <w:i/>
          <w:szCs w:val="28"/>
        </w:rPr>
        <w:t xml:space="preserve">Ключові слова: </w:t>
      </w:r>
      <w:r w:rsidR="00220D3E" w:rsidRPr="00511005">
        <w:rPr>
          <w:rFonts w:ascii="Arial" w:eastAsia="Calibri" w:hAnsi="Arial" w:cs="Arial"/>
          <w:szCs w:val="28"/>
        </w:rPr>
        <w:t>міжнародне приватне право, речові права, право власності, виникнення права власності, припинення права власності, місце знаходження майна, рухоме майно, нерухоме майно, набуття права, втрата права, державна реєстрація прав, міжнародні договори.</w:t>
      </w:r>
    </w:p>
    <w:p w14:paraId="0D905D04" w14:textId="70EC1613" w:rsidR="00220D3E" w:rsidRPr="00511005" w:rsidRDefault="007B2628" w:rsidP="003A292D">
      <w:pPr>
        <w:tabs>
          <w:tab w:val="left" w:pos="709"/>
        </w:tabs>
        <w:spacing w:line="264" w:lineRule="auto"/>
        <w:contextualSpacing/>
        <w:rPr>
          <w:rFonts w:ascii="Arial" w:eastAsia="Calibri" w:hAnsi="Arial" w:cs="Arial"/>
          <w:szCs w:val="28"/>
          <w:lang w:val="uk-UA"/>
        </w:rPr>
      </w:pPr>
      <w:r w:rsidRPr="00511005">
        <w:rPr>
          <w:rFonts w:ascii="Arial" w:eastAsia="Calibri" w:hAnsi="Arial" w:cs="Arial"/>
          <w:b/>
          <w:bCs/>
          <w:i/>
          <w:szCs w:val="28"/>
          <w:lang w:val="en-US"/>
        </w:rPr>
        <w:t xml:space="preserve">Key words: </w:t>
      </w:r>
      <w:r w:rsidR="00220D3E" w:rsidRPr="00511005">
        <w:rPr>
          <w:rFonts w:ascii="Arial" w:eastAsia="Calibri" w:hAnsi="Arial" w:cs="Arial"/>
          <w:szCs w:val="28"/>
          <w:lang w:val="en-US"/>
        </w:rPr>
        <w:t>Private International Law, property rights, ownership rights, emergence of ownership, termination of ownership, location of property, movable property, immovable property, acquisition of rights, loss of rights, state registration of rights, international treaties.</w:t>
      </w:r>
    </w:p>
    <w:p w14:paraId="764D1B05" w14:textId="1D3CF07B" w:rsidR="00220D3E" w:rsidRPr="00511005" w:rsidRDefault="007B2628" w:rsidP="003A292D">
      <w:p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b/>
          <w:bCs/>
          <w:i/>
          <w:szCs w:val="28"/>
          <w:lang w:eastAsia="ru-RU"/>
        </w:rPr>
        <w:t xml:space="preserve">Науковий керівник: </w:t>
      </w:r>
      <w:r w:rsidR="00220D3E" w:rsidRPr="00511005">
        <w:rPr>
          <w:rFonts w:ascii="Arial" w:eastAsia="Times New Roman" w:hAnsi="Arial" w:cs="Arial"/>
          <w:bCs/>
          <w:i/>
          <w:szCs w:val="28"/>
          <w:lang w:eastAsia="ru-RU"/>
        </w:rPr>
        <w:t>асистент кафедри Бугаєць А. С.</w:t>
      </w:r>
    </w:p>
    <w:p w14:paraId="07129458"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p>
    <w:p w14:paraId="6ED19B74" w14:textId="77777777" w:rsidR="00220D3E" w:rsidRPr="00511005" w:rsidRDefault="00220D3E" w:rsidP="003A292D">
      <w:pPr>
        <w:tabs>
          <w:tab w:val="left" w:pos="709"/>
        </w:tabs>
        <w:spacing w:line="264" w:lineRule="auto"/>
        <w:ind w:firstLine="0"/>
        <w:jc w:val="center"/>
        <w:rPr>
          <w:rFonts w:ascii="Arial" w:eastAsia="Times New Roman" w:hAnsi="Arial" w:cs="Arial"/>
          <w:b/>
          <w:bCs/>
          <w:i/>
          <w:iCs/>
          <w:szCs w:val="28"/>
          <w:lang w:val="en-US" w:eastAsia="ru-RU"/>
        </w:rPr>
      </w:pPr>
      <w:r w:rsidRPr="00511005">
        <w:rPr>
          <w:rFonts w:ascii="Arial" w:eastAsia="Times New Roman" w:hAnsi="Arial" w:cs="Arial"/>
          <w:b/>
          <w:bCs/>
          <w:i/>
          <w:iCs/>
          <w:szCs w:val="28"/>
          <w:lang w:val="en-US" w:eastAsia="ru-RU"/>
        </w:rPr>
        <w:t>Lieshan Antonina Gennadiivna</w:t>
      </w:r>
    </w:p>
    <w:p w14:paraId="7A45A6C6"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en-US" w:eastAsia="ru-RU"/>
        </w:rPr>
      </w:pPr>
      <w:r w:rsidRPr="00511005">
        <w:rPr>
          <w:rFonts w:ascii="Arial" w:eastAsia="Times New Roman" w:hAnsi="Arial" w:cs="Arial"/>
          <w:szCs w:val="28"/>
          <w:lang w:val="en-US" w:eastAsia="ru-RU"/>
        </w:rPr>
        <w:t>4th year student</w:t>
      </w:r>
      <w:r w:rsidRPr="00511005">
        <w:rPr>
          <w:rFonts w:ascii="Arial" w:eastAsia="Times New Roman" w:hAnsi="Arial" w:cs="Arial"/>
          <w:szCs w:val="28"/>
          <w:lang w:val="uk-UA" w:eastAsia="ru-RU"/>
        </w:rPr>
        <w:t xml:space="preserve"> of </w:t>
      </w:r>
      <w:r w:rsidRPr="00511005">
        <w:rPr>
          <w:rFonts w:ascii="Arial" w:eastAsia="Times New Roman" w:hAnsi="Arial" w:cs="Arial"/>
          <w:szCs w:val="28"/>
          <w:lang w:val="en-US" w:eastAsia="ru-RU"/>
        </w:rPr>
        <w:t>Faculty of Judicial and International Law</w:t>
      </w:r>
    </w:p>
    <w:p w14:paraId="5D1C0106"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National University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Odesa Law Academy</w:t>
      </w:r>
      <w:r w:rsidRPr="00511005">
        <w:rPr>
          <w:rFonts w:ascii="Arial" w:eastAsia="Times New Roman" w:hAnsi="Arial" w:cs="Arial"/>
          <w:szCs w:val="28"/>
          <w:lang w:val="uk-UA" w:eastAsia="ru-RU"/>
        </w:rPr>
        <w:t>»</w:t>
      </w:r>
    </w:p>
    <w:p w14:paraId="16603034"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0325F963"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PROTECTION OF CHILDREN'S RIGHTS: INTERNATIONAL MECHANISMS AND THEIR EFFECTIVENESS</w:t>
      </w:r>
    </w:p>
    <w:p w14:paraId="62DCEACF" w14:textId="77777777" w:rsidR="00220D3E" w:rsidRPr="00511005" w:rsidRDefault="00220D3E" w:rsidP="003A292D">
      <w:pPr>
        <w:tabs>
          <w:tab w:val="left" w:pos="709"/>
        </w:tabs>
        <w:spacing w:line="264" w:lineRule="auto"/>
        <w:ind w:firstLine="0"/>
        <w:rPr>
          <w:rFonts w:ascii="Arial" w:eastAsia="Times New Roman" w:hAnsi="Arial" w:cs="Arial"/>
          <w:szCs w:val="28"/>
          <w:lang w:val="en-US" w:eastAsia="ru-RU"/>
        </w:rPr>
      </w:pPr>
      <w:r w:rsidRPr="00511005">
        <w:rPr>
          <w:rFonts w:ascii="Arial" w:eastAsia="Times New Roman" w:hAnsi="Arial" w:cs="Arial"/>
          <w:szCs w:val="28"/>
          <w:lang w:val="uk-UA" w:eastAsia="ru-RU"/>
        </w:rPr>
        <w:tab/>
      </w:r>
      <w:r w:rsidRPr="00511005">
        <w:rPr>
          <w:rFonts w:ascii="Arial" w:eastAsia="Times New Roman" w:hAnsi="Arial" w:cs="Arial"/>
          <w:szCs w:val="28"/>
          <w:lang w:val="en-US" w:eastAsia="ru-RU"/>
        </w:rPr>
        <w:t>The protection of children's rights constitutes one of the fundamental directions of activity for the international community, gaining particular relevance in the face of modern global challenges. Over the past century, the global community has developed a comprehensive system of mechanisms aimed at ensuring children's well-being, creating conditions for their full development, and safeguarding them from various forms of violence, exploitation, and discrimination. The establishment of the international child protection system evolved gradually—from declarative statements to the formation of legally binding instruments and the creation of specialized institutions responsible for monitoring compliance with children's rights on a global scale [1]. Despite significant achievements, the effectiveness of existing child protection mechanisms remains ambiguous, prompting the need for critical analysis and the search for improvement strategies.</w:t>
      </w:r>
    </w:p>
    <w:p w14:paraId="5028E89C"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The historical development of the international child protection system began after World War I, when the widespread suffering of children drew the attention of the global community to the necessity of developing specific protective measures. The first international document dedicated to children's rights was the Geneva Declaration of the Rights of the Child, adopted by the League of Nations in 1924. The declaration defined five key principles of child protection, emphasizing the need to prioritize children's needs. After World War II, with the establishment of the United Nations, the process of institutionalizing international child protection gained new momentum. In 1946, the United Nations International Children's Emergency Fund (UNICEF) was created, initially focusing on emergency assistance to children in war-affected countries. Over time, it transformed into a global organization committed to the comprehensive protection of childhood worldwide [2].</w:t>
      </w:r>
    </w:p>
    <w:p w14:paraId="4C70783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 turning point in the development of the international child protection system was the adoption of the UN Convention on the Rights of the Child in 1989, which has been ratified by nearly all countries in the world (with the exception of the United States). The Convention is a comprehensive document encompassing the civil, political, economic, social, and cultural rights of children and establishes minimum standards for their protection. Unlike earlier declarative documents, the Convention is legally binding for State Parties, obliging them to implement its provisions in national legislation and practice. The fundamental principles of the Convention include: non-discrimination; the best interests of the child; the right to life, survival, and development; and respect for the views of the child [3].</w:t>
      </w:r>
    </w:p>
    <w:p w14:paraId="11C1DEFC"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To strengthen specific provisions of the Convention, three Optional Protocols were adopted: on the involvement of children in armed conflict (2000); on the sale of children, child prostitution, and child pornography (2000); and on a communications procedure (2011), which introduces a mechanism for individual complaints to the UN Committee on the Rights of the Child [5]. Each of these protocols is aimed at enhancing the protection of children in high-risk areas and details the obligations of states to prevent and respond to relevant violations of children's rights.</w:t>
      </w:r>
    </w:p>
    <w:p w14:paraId="559411B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 crucial component of the international child protection system is the institutional mechanisms established to monitor and ensure compliance with international standards. Chief among them is the UN Committee on the Rights of the Child—an independent body of experts that monitors the implementation of the Convention and its Optional Protocols by State Parties. States are required to submit regular reports on the measures they have taken to implement the Convention, while the Committee provides concluding observations and recommendations for improvement [6]. UNICEF also plays a pivotal role in the international child protection system, with field offices in over 190 countries, implementing a wide range of programs aimed at ensuring children’s survival, development, protection, and participation [4].</w:t>
      </w:r>
    </w:p>
    <w:p w14:paraId="2C783462"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At the regional level, additional mechanisms exist to complement the global system and address region-specific challenges. In the European context, the Council of Europe plays a key role, having developed several specialized conventions aimed at protecting children from violence and exploitation, including the Convention on the Protection of Children against Sexual Exploitation and Sexual Abuse, the Convention on Action against Trafficking in Human Beings, and the European Convention on the Exercise of Children's Rights [7-9]. The European Court of Human Rights also adjudicates cases involving violations of children's rights within the framework of the European Convention on Human Rights, thereby contributing significantly to the jurisprudence in this area.</w:t>
      </w:r>
    </w:p>
    <w:p w14:paraId="1A7E4F19"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Analyzing the effectiveness of international child protection mechanisms reveals both achievements and challenges faced by the global community. Notable positive outcomes include the development of a comprehensive normative framework; broad recognition of the principle of the best interests of the child in decision-making processes; a reduction in child mortality and improved access to essential services in many countries; and heightened public awareness of children’s rights [1]. However, several factors continue to hinder the full effectiveness of these mechanisms: inconsistent implementation of the Convention at the national level; limited authority of monitoring bodies to enforce compliance; insufficient funding for relevant programs and initiatives; and the destabilizing impact of political unrest, armed conflicts, natural disasters, and pandemics.</w:t>
      </w:r>
    </w:p>
    <w:p w14:paraId="7AAD2E19"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Child protection during armed conflicts remains an especially acute issue, as children are often victims of violence, recruitment into armed groups, and sexual exploitation. Despite the existence of special protection mechanisms—such as the Special Representative of the UN Secretary-General for Children and Armed Conflict—their effectiveness is constrained by political factors and a lack of enforcement tools to influence conflict parties [6]. Another serious challenge is child trafficking, child labor, and sexual exploitation. According to the International Labour Organization, approximately 160 million children globally are engaged in child labor, with more than 70 million performing hazardous work [3].</w:t>
      </w:r>
    </w:p>
    <w:p w14:paraId="60CE61E0"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To enhance the effectiveness of international child protection mechanisms, it is essential to strengthen state accountability for non-compliance with international child rights obligations; ensure the integration of the Convention’s principles into all areas of public policy and practice; foster international cooperation in child protection; and promote children’s active participation in decision-making processes through the development of inclusive child participation mechanisms at all levels [5].</w:t>
      </w:r>
    </w:p>
    <w:p w14:paraId="688DC4A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In conclusion, the international system for the protection of children's rights represents a multi-layered framework of legal norms, institutions, and mechanisms aimed at ensuring the well-being of children globally. Despite significant progress in establishing international child protection standards, </w:t>
      </w:r>
      <w:r w:rsidRPr="00511005">
        <w:rPr>
          <w:rFonts w:ascii="Arial" w:eastAsia="Times New Roman" w:hAnsi="Arial" w:cs="Arial"/>
          <w:szCs w:val="28"/>
          <w:lang w:val="en-US" w:eastAsia="ru-RU"/>
        </w:rPr>
        <w:lastRenderedPageBreak/>
        <w:t>serious challenges persist in implementing these standards at the national level and in responding effectively to emerging threats to children's rights. Improving the efficiency of international mechanisms requires enhanced state accountability, stronger international cooperation, meaningful child participation, and a holistic approach to addressing childhood-related issues.</w:t>
      </w:r>
    </w:p>
    <w:p w14:paraId="21BF6683" w14:textId="77777777" w:rsidR="00220D3E" w:rsidRPr="00511005" w:rsidRDefault="00220D3E" w:rsidP="003A292D">
      <w:pPr>
        <w:spacing w:line="264" w:lineRule="auto"/>
        <w:ind w:left="709" w:firstLine="0"/>
        <w:contextualSpacing/>
        <w:jc w:val="center"/>
        <w:rPr>
          <w:rFonts w:ascii="Arial" w:eastAsia="Times New Roman" w:hAnsi="Arial" w:cs="Arial"/>
          <w:szCs w:val="28"/>
          <w:lang w:val="en-US" w:eastAsia="ru-RU"/>
        </w:rPr>
      </w:pPr>
      <w:r w:rsidRPr="00511005">
        <w:rPr>
          <w:rFonts w:ascii="Arial" w:eastAsia="Times New Roman" w:hAnsi="Arial" w:cs="Arial"/>
          <w:b/>
          <w:bCs/>
          <w:iCs/>
          <w:szCs w:val="28"/>
          <w:lang w:val="uk-UA" w:eastAsia="ru-RU"/>
        </w:rPr>
        <w:t>References</w:t>
      </w:r>
    </w:p>
    <w:p w14:paraId="46CC6982" w14:textId="77777777" w:rsidR="00220D3E" w:rsidRPr="00511005" w:rsidRDefault="00220D3E" w:rsidP="003F6A5D">
      <w:pPr>
        <w:numPr>
          <w:ilvl w:val="0"/>
          <w:numId w:val="134"/>
        </w:numPr>
        <w:tabs>
          <w:tab w:val="clear" w:pos="720"/>
          <w:tab w:val="left" w:pos="709"/>
        </w:tabs>
        <w:spacing w:line="264" w:lineRule="auto"/>
        <w:contextualSpacing/>
        <w:jc w:val="left"/>
        <w:rPr>
          <w:rFonts w:ascii="Arial" w:eastAsia="Times New Roman" w:hAnsi="Arial" w:cs="Arial"/>
          <w:szCs w:val="28"/>
          <w:lang w:val="en-US" w:eastAsia="ru-RU"/>
        </w:rPr>
      </w:pPr>
      <w:r w:rsidRPr="00511005">
        <w:rPr>
          <w:rFonts w:ascii="Arial" w:eastAsia="Calibri" w:hAnsi="Arial" w:cs="Arial"/>
          <w:szCs w:val="28"/>
          <w:lang w:val="en-US"/>
        </w:rPr>
        <w:t>Opolska N. M. Criteria for the effectiveness of the mechanism for ensuring the rights and freedoms of the child.</w:t>
      </w:r>
      <w:r w:rsidRPr="00511005">
        <w:rPr>
          <w:rFonts w:ascii="Arial" w:eastAsia="Calibri" w:hAnsi="Arial" w:cs="Arial"/>
          <w:szCs w:val="28"/>
          <w:lang w:val="uk-UA"/>
        </w:rPr>
        <w:t xml:space="preserve"> </w:t>
      </w:r>
      <w:r w:rsidRPr="00511005">
        <w:rPr>
          <w:rFonts w:ascii="Arial" w:eastAsia="Times New Roman" w:hAnsi="Arial" w:cs="Arial"/>
          <w:szCs w:val="28"/>
          <w:lang w:val="uk-UA" w:eastAsia="ru-RU"/>
        </w:rPr>
        <w:t xml:space="preserve">2009.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468" w:history="1">
        <w:r w:rsidRPr="00511005">
          <w:rPr>
            <w:rFonts w:ascii="Arial" w:eastAsia="Times New Roman" w:hAnsi="Arial" w:cs="Arial"/>
            <w:szCs w:val="28"/>
            <w:lang w:val="en-US"/>
          </w:rPr>
          <w:t>http://dspace.nbuv.gov.ua/Opolska</w:t>
        </w:r>
      </w:hyperlink>
      <w:r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w:t>
      </w:r>
      <w:r w:rsidRPr="00511005">
        <w:rPr>
          <w:rFonts w:ascii="Arial" w:eastAsia="Calibri" w:hAnsi="Arial" w:cs="Arial"/>
          <w:szCs w:val="28"/>
          <w:lang w:val="en-US"/>
        </w:rPr>
        <w:t>accessed</w:t>
      </w:r>
      <w:r w:rsidRPr="00511005">
        <w:rPr>
          <w:rFonts w:ascii="Arial" w:eastAsia="Calibri" w:hAnsi="Arial" w:cs="Arial"/>
          <w:szCs w:val="28"/>
          <w:lang w:val="uk-UA"/>
        </w:rPr>
        <w:t>: 05.05.2025).</w:t>
      </w:r>
    </w:p>
    <w:p w14:paraId="2AF889BA" w14:textId="77777777" w:rsidR="00220D3E" w:rsidRPr="00511005" w:rsidRDefault="00220D3E" w:rsidP="003F6A5D">
      <w:pPr>
        <w:numPr>
          <w:ilvl w:val="0"/>
          <w:numId w:val="134"/>
        </w:numPr>
        <w:tabs>
          <w:tab w:val="clear" w:pos="720"/>
          <w:tab w:val="left" w:pos="709"/>
        </w:tabs>
        <w:spacing w:line="264" w:lineRule="auto"/>
        <w:contextualSpacing/>
        <w:jc w:val="left"/>
        <w:rPr>
          <w:rFonts w:ascii="Arial" w:eastAsia="Times New Roman" w:hAnsi="Arial" w:cs="Arial"/>
          <w:szCs w:val="28"/>
          <w:lang w:val="en-US" w:eastAsia="ru-RU"/>
        </w:rPr>
      </w:pPr>
      <w:r w:rsidRPr="00511005">
        <w:rPr>
          <w:rFonts w:ascii="Arial" w:eastAsia="Times New Roman" w:hAnsi="Arial" w:cs="Arial"/>
          <w:szCs w:val="28"/>
          <w:lang w:val="en-US" w:eastAsia="ru-RU"/>
        </w:rPr>
        <w:t>International Labour Organization. Child Labour: Global estimates 2020, trends and the road forward. 2021. URL:</w:t>
      </w:r>
      <w:hyperlink r:id="rId469" w:history="1">
        <w:r w:rsidRPr="00511005">
          <w:rPr>
            <w:rFonts w:ascii="Arial" w:eastAsia="Times New Roman" w:hAnsi="Arial" w:cs="Arial"/>
            <w:szCs w:val="28"/>
            <w:lang w:val="en-US"/>
          </w:rPr>
          <w:t>https://www.ilo.org/wcmsp5/groups/public</w:t>
        </w:r>
      </w:hyperlink>
      <w:r w:rsidRPr="00511005">
        <w:rPr>
          <w:rFonts w:ascii="Arial" w:eastAsia="Times New Roman" w:hAnsi="Arial" w:cs="Arial"/>
          <w:szCs w:val="28"/>
          <w:lang w:val="en-US" w:eastAsia="ru-RU"/>
        </w:rPr>
        <w:t xml:space="preserve"> </w:t>
      </w:r>
      <w:r w:rsidRPr="00511005">
        <w:rPr>
          <w:rFonts w:ascii="Arial" w:eastAsia="Calibri" w:hAnsi="Arial" w:cs="Arial"/>
          <w:szCs w:val="28"/>
          <w:lang w:val="uk-UA"/>
        </w:rPr>
        <w:t>(</w:t>
      </w:r>
      <w:r w:rsidRPr="00511005">
        <w:rPr>
          <w:rFonts w:ascii="Arial" w:eastAsia="Calibri" w:hAnsi="Arial" w:cs="Arial"/>
          <w:szCs w:val="28"/>
          <w:lang w:val="en-US"/>
        </w:rPr>
        <w:t>accessed</w:t>
      </w:r>
      <w:r w:rsidRPr="00511005">
        <w:rPr>
          <w:rFonts w:ascii="Arial" w:eastAsia="Calibri" w:hAnsi="Arial" w:cs="Arial"/>
          <w:szCs w:val="28"/>
          <w:lang w:val="uk-UA"/>
        </w:rPr>
        <w:t>: 05.05.2025).</w:t>
      </w:r>
    </w:p>
    <w:p w14:paraId="1BC874D2" w14:textId="56AA1102" w:rsidR="00220D3E" w:rsidRPr="00511005" w:rsidRDefault="00220D3E" w:rsidP="003F6A5D">
      <w:pPr>
        <w:numPr>
          <w:ilvl w:val="0"/>
          <w:numId w:val="134"/>
        </w:numPr>
        <w:tabs>
          <w:tab w:val="clear" w:pos="720"/>
          <w:tab w:val="left" w:pos="709"/>
        </w:tabs>
        <w:spacing w:line="264" w:lineRule="auto"/>
        <w:contextualSpacing/>
        <w:jc w:val="left"/>
        <w:rPr>
          <w:rFonts w:ascii="Arial" w:eastAsia="Times New Roman" w:hAnsi="Arial" w:cs="Arial"/>
          <w:szCs w:val="28"/>
          <w:lang w:val="en-US" w:eastAsia="ru-RU"/>
        </w:rPr>
      </w:pPr>
      <w:r w:rsidRPr="00511005">
        <w:rPr>
          <w:rFonts w:ascii="Arial" w:eastAsia="Times New Roman" w:hAnsi="Arial" w:cs="Arial"/>
          <w:szCs w:val="28"/>
          <w:lang w:val="en-US" w:eastAsia="ru-RU"/>
        </w:rPr>
        <w:t>United Nations. Convention on the Rights of the Child approved by the United Nations' General Assembly on the 20 November 1989 URL:</w:t>
      </w:r>
      <w:r w:rsidR="007B2628" w:rsidRPr="00511005">
        <w:rPr>
          <w:rFonts w:ascii="Arial" w:eastAsia="Times New Roman" w:hAnsi="Arial" w:cs="Arial"/>
          <w:szCs w:val="28"/>
          <w:lang w:val="en-US" w:eastAsia="ru-RU"/>
        </w:rPr>
        <w:t xml:space="preserve"> </w:t>
      </w:r>
      <w:hyperlink r:id="rId470" w:history="1">
        <w:r w:rsidRPr="00511005">
          <w:rPr>
            <w:rFonts w:ascii="Arial" w:eastAsia="Times New Roman" w:hAnsi="Arial" w:cs="Arial"/>
            <w:szCs w:val="28"/>
            <w:lang w:val="en-US"/>
          </w:rPr>
          <w:t>https://www.ohchr.org/en</w:t>
        </w:r>
      </w:hyperlink>
      <w:r w:rsidRPr="00511005">
        <w:rPr>
          <w:rFonts w:ascii="Arial" w:eastAsia="Times New Roman" w:hAnsi="Arial" w:cs="Arial"/>
          <w:szCs w:val="28"/>
          <w:lang w:val="en-US" w:eastAsia="ru-RU"/>
        </w:rPr>
        <w:t xml:space="preserve"> </w:t>
      </w:r>
      <w:r w:rsidRPr="00511005">
        <w:rPr>
          <w:rFonts w:ascii="Arial" w:eastAsia="Calibri" w:hAnsi="Arial" w:cs="Arial"/>
          <w:szCs w:val="28"/>
          <w:lang w:val="en-US"/>
        </w:rPr>
        <w:t>(accessed: 05.05.2025).</w:t>
      </w:r>
    </w:p>
    <w:p w14:paraId="7436645E" w14:textId="77777777" w:rsidR="00220D3E" w:rsidRPr="00511005" w:rsidRDefault="00220D3E" w:rsidP="003F6A5D">
      <w:pPr>
        <w:numPr>
          <w:ilvl w:val="0"/>
          <w:numId w:val="134"/>
        </w:numPr>
        <w:tabs>
          <w:tab w:val="clear" w:pos="720"/>
          <w:tab w:val="left" w:pos="709"/>
        </w:tabs>
        <w:spacing w:line="264" w:lineRule="auto"/>
        <w:contextualSpacing/>
        <w:jc w:val="left"/>
        <w:rPr>
          <w:rFonts w:ascii="Arial" w:eastAsia="Times New Roman" w:hAnsi="Arial" w:cs="Arial"/>
          <w:szCs w:val="28"/>
          <w:lang w:eastAsia="ru-RU"/>
        </w:rPr>
      </w:pPr>
      <w:r w:rsidRPr="00511005">
        <w:rPr>
          <w:rFonts w:ascii="Arial" w:eastAsia="Times New Roman" w:hAnsi="Arial" w:cs="Arial"/>
          <w:szCs w:val="28"/>
          <w:lang w:val="en-US" w:eastAsia="ru-RU"/>
        </w:rPr>
        <w:t>UNICEF. The State of the World's Children 2023: For Every Child, Vaccination. 2023. URL</w:t>
      </w:r>
      <w:r w:rsidRPr="00511005">
        <w:rPr>
          <w:rFonts w:ascii="Arial" w:eastAsia="Times New Roman" w:hAnsi="Arial" w:cs="Arial"/>
          <w:szCs w:val="28"/>
          <w:lang w:eastAsia="ru-RU"/>
        </w:rPr>
        <w:t xml:space="preserve">: </w:t>
      </w:r>
      <w:hyperlink r:id="rId471" w:history="1">
        <w:r w:rsidRPr="00511005">
          <w:rPr>
            <w:rFonts w:ascii="Arial" w:eastAsia="Times New Roman" w:hAnsi="Arial" w:cs="Arial"/>
            <w:szCs w:val="28"/>
          </w:rPr>
          <w:t>https://www.unicef.org/reports</w:t>
        </w:r>
      </w:hyperlink>
      <w:r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w:t>
      </w:r>
      <w:r w:rsidRPr="00511005">
        <w:rPr>
          <w:rFonts w:ascii="Arial" w:eastAsia="Calibri" w:hAnsi="Arial" w:cs="Arial"/>
          <w:szCs w:val="28"/>
          <w:lang w:val="en-US"/>
        </w:rPr>
        <w:t>accessed</w:t>
      </w:r>
      <w:r w:rsidRPr="00511005">
        <w:rPr>
          <w:rFonts w:ascii="Arial" w:eastAsia="Calibri" w:hAnsi="Arial" w:cs="Arial"/>
          <w:szCs w:val="28"/>
          <w:lang w:val="uk-UA"/>
        </w:rPr>
        <w:t>: 05.05.2025).</w:t>
      </w:r>
    </w:p>
    <w:p w14:paraId="65B5604F" w14:textId="77777777" w:rsidR="00220D3E" w:rsidRPr="00511005" w:rsidRDefault="00220D3E" w:rsidP="003F6A5D">
      <w:pPr>
        <w:numPr>
          <w:ilvl w:val="0"/>
          <w:numId w:val="134"/>
        </w:numPr>
        <w:tabs>
          <w:tab w:val="clear" w:pos="720"/>
          <w:tab w:val="left" w:pos="709"/>
        </w:tabs>
        <w:spacing w:line="264" w:lineRule="auto"/>
        <w:contextualSpacing/>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United Nations Human Rights Office of the High Commissioner. Optional Protocol to the Convention on the Rights of the Child on a communications procedure. 2014. URL: </w:t>
      </w:r>
      <w:hyperlink r:id="rId472" w:history="1">
        <w:r w:rsidRPr="00511005">
          <w:rPr>
            <w:rFonts w:ascii="Arial" w:eastAsia="Times New Roman" w:hAnsi="Arial" w:cs="Arial"/>
            <w:szCs w:val="28"/>
            <w:lang w:val="en-US"/>
          </w:rPr>
          <w:t>https://www.ohchr.org/en/instruments-mechanism</w:t>
        </w:r>
      </w:hyperlink>
      <w:r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w:t>
      </w:r>
      <w:r w:rsidRPr="00511005">
        <w:rPr>
          <w:rFonts w:ascii="Arial" w:eastAsia="Calibri" w:hAnsi="Arial" w:cs="Arial"/>
          <w:szCs w:val="28"/>
          <w:lang w:val="en-US"/>
        </w:rPr>
        <w:t>accessed</w:t>
      </w:r>
      <w:r w:rsidRPr="00511005">
        <w:rPr>
          <w:rFonts w:ascii="Arial" w:eastAsia="Calibri" w:hAnsi="Arial" w:cs="Arial"/>
          <w:szCs w:val="28"/>
          <w:lang w:val="uk-UA"/>
        </w:rPr>
        <w:t>: 05.05.2025).</w:t>
      </w:r>
    </w:p>
    <w:p w14:paraId="7A3CA1C5" w14:textId="77777777" w:rsidR="00220D3E" w:rsidRPr="00511005" w:rsidRDefault="00220D3E" w:rsidP="003F6A5D">
      <w:pPr>
        <w:numPr>
          <w:ilvl w:val="0"/>
          <w:numId w:val="134"/>
        </w:numPr>
        <w:tabs>
          <w:tab w:val="clear" w:pos="720"/>
          <w:tab w:val="left" w:pos="709"/>
        </w:tabs>
        <w:spacing w:line="264" w:lineRule="auto"/>
        <w:contextualSpacing/>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Office of the Special Representative of the Secretary-General for Children and Armed Conflict. Annual Report of the Secretary-General on Children and Armed Conflict. 2023. URL: </w:t>
      </w:r>
      <w:hyperlink r:id="rId473" w:history="1">
        <w:r w:rsidRPr="00511005">
          <w:rPr>
            <w:rFonts w:ascii="Arial" w:eastAsia="Times New Roman" w:hAnsi="Arial" w:cs="Arial"/>
            <w:szCs w:val="28"/>
            <w:lang w:val="en-US"/>
          </w:rPr>
          <w:t>https://docs.un.org</w:t>
        </w:r>
      </w:hyperlink>
      <w:r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w:t>
      </w:r>
      <w:r w:rsidRPr="00511005">
        <w:rPr>
          <w:rFonts w:ascii="Arial" w:eastAsia="Calibri" w:hAnsi="Arial" w:cs="Arial"/>
          <w:szCs w:val="28"/>
          <w:lang w:val="en-US"/>
        </w:rPr>
        <w:t>accessed</w:t>
      </w:r>
      <w:r w:rsidRPr="00511005">
        <w:rPr>
          <w:rFonts w:ascii="Arial" w:eastAsia="Calibri" w:hAnsi="Arial" w:cs="Arial"/>
          <w:szCs w:val="28"/>
          <w:lang w:val="uk-UA"/>
        </w:rPr>
        <w:t>: 05.05.2025).</w:t>
      </w:r>
    </w:p>
    <w:p w14:paraId="0316F210" w14:textId="77777777" w:rsidR="00220D3E" w:rsidRPr="00511005" w:rsidRDefault="00220D3E" w:rsidP="003F6A5D">
      <w:pPr>
        <w:numPr>
          <w:ilvl w:val="0"/>
          <w:numId w:val="134"/>
        </w:numPr>
        <w:tabs>
          <w:tab w:val="clear" w:pos="720"/>
          <w:tab w:val="left" w:pos="709"/>
        </w:tabs>
        <w:spacing w:line="264" w:lineRule="auto"/>
        <w:contextualSpacing/>
        <w:jc w:val="left"/>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en-US"/>
        </w:rPr>
        <w:t>Council of Europe</w:t>
      </w:r>
      <w:r w:rsidRPr="00511005">
        <w:rPr>
          <w:rFonts w:ascii="Arial" w:eastAsia="Calibri" w:hAnsi="Arial" w:cs="Arial"/>
          <w:szCs w:val="28"/>
          <w:shd w:val="clear" w:color="auto" w:fill="FFFFFF"/>
          <w:lang w:val="uk-UA"/>
        </w:rPr>
        <w:t>.</w:t>
      </w:r>
      <w:r w:rsidRPr="00511005">
        <w:rPr>
          <w:rFonts w:ascii="Arial" w:eastAsia="Calibri" w:hAnsi="Arial" w:cs="Arial"/>
          <w:szCs w:val="28"/>
          <w:lang w:val="en-US"/>
        </w:rPr>
        <w:t xml:space="preserve"> </w:t>
      </w:r>
      <w:r w:rsidRPr="00511005">
        <w:rPr>
          <w:rFonts w:ascii="Arial" w:eastAsia="Calibri" w:hAnsi="Arial" w:cs="Arial"/>
          <w:szCs w:val="28"/>
          <w:shd w:val="clear" w:color="auto" w:fill="FFFFFF"/>
          <w:lang w:val="uk-UA"/>
        </w:rPr>
        <w:t>Convention on the Protection of Children against Sexual Exploitation and Sexual Abuse. 2007.</w:t>
      </w:r>
      <w:r w:rsidRPr="00511005">
        <w:rPr>
          <w:rFonts w:ascii="Arial" w:eastAsia="Times New Roman" w:hAnsi="Arial" w:cs="Arial"/>
          <w:szCs w:val="28"/>
          <w:lang w:val="en-US" w:eastAsia="ru-RU"/>
        </w:rPr>
        <w:t xml:space="preserve"> URL: </w:t>
      </w:r>
      <w:hyperlink r:id="rId474" w:history="1">
        <w:r w:rsidRPr="00511005">
          <w:rPr>
            <w:rFonts w:ascii="Arial" w:eastAsia="Calibri" w:hAnsi="Arial" w:cs="Arial"/>
            <w:szCs w:val="28"/>
            <w:shd w:val="clear" w:color="auto" w:fill="FFFFFF"/>
            <w:lang w:val="uk-UA"/>
          </w:rPr>
          <w:t>https://rm.coe.int/1680084822</w:t>
        </w:r>
      </w:hyperlink>
      <w:r w:rsidRPr="00511005">
        <w:rPr>
          <w:rFonts w:ascii="Arial" w:eastAsia="Calibri" w:hAnsi="Arial" w:cs="Arial"/>
          <w:szCs w:val="28"/>
          <w:shd w:val="clear" w:color="auto" w:fill="FFFFFF"/>
          <w:lang w:val="uk-UA"/>
        </w:rPr>
        <w:t xml:space="preserve"> </w:t>
      </w:r>
      <w:r w:rsidRPr="00511005">
        <w:rPr>
          <w:rFonts w:ascii="Arial" w:eastAsia="Calibri" w:hAnsi="Arial" w:cs="Arial"/>
          <w:szCs w:val="28"/>
          <w:lang w:val="uk-UA"/>
        </w:rPr>
        <w:t>(</w:t>
      </w:r>
      <w:r w:rsidRPr="00511005">
        <w:rPr>
          <w:rFonts w:ascii="Arial" w:eastAsia="Calibri" w:hAnsi="Arial" w:cs="Arial"/>
          <w:szCs w:val="28"/>
          <w:lang w:val="en-US"/>
        </w:rPr>
        <w:t>accessed</w:t>
      </w:r>
      <w:r w:rsidRPr="00511005">
        <w:rPr>
          <w:rFonts w:ascii="Arial" w:eastAsia="Calibri" w:hAnsi="Arial" w:cs="Arial"/>
          <w:szCs w:val="28"/>
          <w:lang w:val="uk-UA"/>
        </w:rPr>
        <w:t>: 05.05.2025).</w:t>
      </w:r>
    </w:p>
    <w:p w14:paraId="22510E14" w14:textId="77777777" w:rsidR="00220D3E" w:rsidRPr="00511005" w:rsidRDefault="00220D3E" w:rsidP="003F6A5D">
      <w:pPr>
        <w:numPr>
          <w:ilvl w:val="0"/>
          <w:numId w:val="134"/>
        </w:numPr>
        <w:tabs>
          <w:tab w:val="clear" w:pos="720"/>
          <w:tab w:val="left" w:pos="709"/>
        </w:tabs>
        <w:spacing w:line="264" w:lineRule="auto"/>
        <w:contextualSpacing/>
        <w:jc w:val="left"/>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en-US"/>
        </w:rPr>
        <w:t>Council of Europe</w:t>
      </w:r>
      <w:r w:rsidRPr="00511005">
        <w:rPr>
          <w:rFonts w:ascii="Arial" w:eastAsia="Calibri" w:hAnsi="Arial" w:cs="Arial"/>
          <w:szCs w:val="28"/>
          <w:shd w:val="clear" w:color="auto" w:fill="FFFFFF"/>
          <w:lang w:val="uk-UA"/>
        </w:rPr>
        <w:t xml:space="preserve">. Тhe Convention on Action against Trafficking in Human Beings. 2005. </w:t>
      </w:r>
      <w:r w:rsidRPr="00511005">
        <w:rPr>
          <w:rFonts w:ascii="Arial" w:eastAsia="Times New Roman" w:hAnsi="Arial" w:cs="Arial"/>
          <w:szCs w:val="28"/>
          <w:lang w:val="en-US" w:eastAsia="ru-RU"/>
        </w:rPr>
        <w:t xml:space="preserve">URL: </w:t>
      </w:r>
      <w:hyperlink r:id="rId475" w:history="1">
        <w:r w:rsidRPr="00511005">
          <w:rPr>
            <w:rFonts w:ascii="Arial" w:eastAsia="Calibri" w:hAnsi="Arial" w:cs="Arial"/>
            <w:szCs w:val="28"/>
            <w:shd w:val="clear" w:color="auto" w:fill="FFFFFF"/>
            <w:lang w:val="uk-UA"/>
          </w:rPr>
          <w:t>https://rm.coe.int/168008371d</w:t>
        </w:r>
      </w:hyperlink>
      <w:r w:rsidRPr="00511005">
        <w:rPr>
          <w:rFonts w:ascii="Arial" w:eastAsia="Calibri" w:hAnsi="Arial" w:cs="Arial"/>
          <w:szCs w:val="28"/>
          <w:shd w:val="clear" w:color="auto" w:fill="FFFFFF"/>
          <w:lang w:val="uk-UA"/>
        </w:rPr>
        <w:t xml:space="preserve"> </w:t>
      </w:r>
      <w:r w:rsidRPr="00511005">
        <w:rPr>
          <w:rFonts w:ascii="Arial" w:eastAsia="Calibri" w:hAnsi="Arial" w:cs="Arial"/>
          <w:szCs w:val="28"/>
          <w:lang w:val="uk-UA"/>
        </w:rPr>
        <w:t>(</w:t>
      </w:r>
      <w:r w:rsidRPr="00511005">
        <w:rPr>
          <w:rFonts w:ascii="Arial" w:eastAsia="Calibri" w:hAnsi="Arial" w:cs="Arial"/>
          <w:szCs w:val="28"/>
          <w:lang w:val="en-US"/>
        </w:rPr>
        <w:t>accessed</w:t>
      </w:r>
      <w:r w:rsidRPr="00511005">
        <w:rPr>
          <w:rFonts w:ascii="Arial" w:eastAsia="Calibri" w:hAnsi="Arial" w:cs="Arial"/>
          <w:szCs w:val="28"/>
          <w:lang w:val="uk-UA"/>
        </w:rPr>
        <w:t>: 05.05.2025).</w:t>
      </w:r>
    </w:p>
    <w:p w14:paraId="1A95ECF0" w14:textId="2F6D47A3" w:rsidR="00220D3E" w:rsidRPr="00511005" w:rsidRDefault="00220D3E" w:rsidP="003F6A5D">
      <w:pPr>
        <w:numPr>
          <w:ilvl w:val="0"/>
          <w:numId w:val="134"/>
        </w:numPr>
        <w:tabs>
          <w:tab w:val="clear" w:pos="720"/>
          <w:tab w:val="left" w:pos="709"/>
        </w:tabs>
        <w:spacing w:line="264" w:lineRule="auto"/>
        <w:contextualSpacing/>
        <w:jc w:val="left"/>
        <w:rPr>
          <w:rFonts w:ascii="Arial" w:eastAsia="Times New Roman" w:hAnsi="Arial" w:cs="Arial"/>
          <w:szCs w:val="28"/>
          <w:lang w:val="en-US" w:eastAsia="ru-RU"/>
        </w:rPr>
      </w:pPr>
      <w:r w:rsidRPr="00511005">
        <w:rPr>
          <w:rFonts w:ascii="Arial" w:eastAsia="Calibri" w:hAnsi="Arial" w:cs="Arial"/>
          <w:szCs w:val="28"/>
          <w:shd w:val="clear" w:color="auto" w:fill="FFFFFF"/>
          <w:lang w:val="en-US"/>
        </w:rPr>
        <w:t>Council of Europe</w:t>
      </w:r>
      <w:r w:rsidRPr="00511005">
        <w:rPr>
          <w:rFonts w:ascii="Arial" w:eastAsia="Calibri" w:hAnsi="Arial" w:cs="Arial"/>
          <w:szCs w:val="28"/>
          <w:shd w:val="clear" w:color="auto" w:fill="FFFFFF"/>
          <w:lang w:val="uk-UA"/>
        </w:rPr>
        <w:t>.</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Т</w:t>
      </w:r>
      <w:r w:rsidRPr="00511005">
        <w:rPr>
          <w:rFonts w:ascii="Arial" w:eastAsia="Times New Roman" w:hAnsi="Arial" w:cs="Arial"/>
          <w:szCs w:val="28"/>
          <w:lang w:val="en-US" w:eastAsia="ru-RU"/>
        </w:rPr>
        <w:t>he European Convention on the Exercise of Children's Rights. 1996.</w:t>
      </w:r>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 xml:space="preserve">URL: </w:t>
      </w:r>
      <w:hyperlink r:id="rId476" w:history="1">
        <w:r w:rsidRPr="00511005">
          <w:rPr>
            <w:rFonts w:ascii="Arial" w:eastAsia="Times New Roman" w:hAnsi="Arial" w:cs="Arial"/>
            <w:szCs w:val="28"/>
            <w:lang w:val="en-US"/>
          </w:rPr>
          <w:t>https://rm.coe.int/european-convention-on-the-exercise-of-children-s-rights/1680a40f72</w:t>
        </w:r>
      </w:hyperlink>
      <w:r w:rsidRPr="00511005">
        <w:rPr>
          <w:rFonts w:ascii="Arial" w:eastAsia="Calibri" w:hAnsi="Arial" w:cs="Arial"/>
          <w:szCs w:val="28"/>
          <w:lang w:val="uk-UA"/>
        </w:rPr>
        <w:t xml:space="preserve"> (</w:t>
      </w:r>
      <w:r w:rsidRPr="00511005">
        <w:rPr>
          <w:rFonts w:ascii="Arial" w:eastAsia="Calibri" w:hAnsi="Arial" w:cs="Arial"/>
          <w:szCs w:val="28"/>
          <w:lang w:val="en-US"/>
        </w:rPr>
        <w:t>accessed</w:t>
      </w:r>
      <w:r w:rsidRPr="00511005">
        <w:rPr>
          <w:rFonts w:ascii="Arial" w:eastAsia="Calibri" w:hAnsi="Arial" w:cs="Arial"/>
          <w:szCs w:val="28"/>
          <w:lang w:val="uk-UA"/>
        </w:rPr>
        <w:t>: 05.05.2025).</w:t>
      </w:r>
    </w:p>
    <w:p w14:paraId="04AF6B3D"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58B1B18A" w14:textId="48746059" w:rsidR="00220D3E" w:rsidRPr="00511005" w:rsidRDefault="007B2628" w:rsidP="003A292D">
      <w:pPr>
        <w:tabs>
          <w:tab w:val="left" w:pos="709"/>
        </w:tabs>
        <w:spacing w:line="264" w:lineRule="auto"/>
        <w:contextualSpacing/>
        <w:rPr>
          <w:rFonts w:ascii="Arial" w:eastAsia="Calibri" w:hAnsi="Arial" w:cs="Arial"/>
          <w:b/>
          <w:bCs/>
          <w:szCs w:val="28"/>
          <w:lang w:val="uk-UA"/>
        </w:rPr>
      </w:pPr>
      <w:r w:rsidRPr="00511005">
        <w:rPr>
          <w:rFonts w:ascii="Arial" w:eastAsia="Calibri" w:hAnsi="Arial" w:cs="Arial"/>
          <w:b/>
          <w:bCs/>
          <w:i/>
          <w:szCs w:val="28"/>
          <w:lang w:val="uk-UA"/>
        </w:rPr>
        <w:t xml:space="preserve">Ключові слова: </w:t>
      </w:r>
      <w:r w:rsidR="00220D3E" w:rsidRPr="00511005">
        <w:rPr>
          <w:rFonts w:ascii="Arial" w:eastAsia="Calibri" w:hAnsi="Arial" w:cs="Arial"/>
          <w:szCs w:val="28"/>
          <w:lang w:val="uk-UA"/>
        </w:rPr>
        <w:t>права дитини, міжнародні механізми захисту, Конвенція ООН про права дитини, Комітет ООН з прав дитини, ЮНІСЕФ, міжнародне співробітництво, імплементація, регіональні механізми, факультативні протоколи, ефективність захисту, діти у збройних конфліктах.</w:t>
      </w:r>
      <w:r w:rsidR="00220D3E" w:rsidRPr="00511005">
        <w:rPr>
          <w:rFonts w:ascii="Arial" w:eastAsia="Calibri" w:hAnsi="Arial" w:cs="Arial"/>
          <w:b/>
          <w:bCs/>
          <w:szCs w:val="28"/>
          <w:lang w:val="en-US"/>
        </w:rPr>
        <w:t xml:space="preserve"> </w:t>
      </w:r>
    </w:p>
    <w:p w14:paraId="33F4E5AF" w14:textId="2864E6D6" w:rsidR="00220D3E" w:rsidRPr="00511005" w:rsidRDefault="007B2628" w:rsidP="003A292D">
      <w:pPr>
        <w:tabs>
          <w:tab w:val="left" w:pos="709"/>
        </w:tabs>
        <w:spacing w:line="264" w:lineRule="auto"/>
        <w:contextualSpacing/>
        <w:rPr>
          <w:rFonts w:ascii="Arial" w:eastAsia="Calibri" w:hAnsi="Arial" w:cs="Arial"/>
          <w:szCs w:val="28"/>
          <w:lang w:val="uk-UA"/>
        </w:rPr>
      </w:pPr>
      <w:r w:rsidRPr="00511005">
        <w:rPr>
          <w:rFonts w:ascii="Arial" w:eastAsia="Calibri" w:hAnsi="Arial" w:cs="Arial"/>
          <w:b/>
          <w:bCs/>
          <w:i/>
          <w:szCs w:val="28"/>
          <w:lang w:val="en-US"/>
        </w:rPr>
        <w:lastRenderedPageBreak/>
        <w:t xml:space="preserve">Key words: </w:t>
      </w:r>
      <w:r w:rsidR="00220D3E" w:rsidRPr="00511005">
        <w:rPr>
          <w:rFonts w:ascii="Arial" w:eastAsia="Calibri" w:hAnsi="Arial" w:cs="Arial"/>
          <w:szCs w:val="28"/>
          <w:lang w:val="en-US"/>
        </w:rPr>
        <w:t>child rights, international protection mechanisms, UN Convention on the Rights of the Child, UN Committee on the Rights of the Child, UNICEF, international cooperation, implementation, regional mechanisms, optional protocols, effectiveness of protection, children in armed conflicts.</w:t>
      </w:r>
    </w:p>
    <w:p w14:paraId="551C294A" w14:textId="4A74A8F6" w:rsidR="00220D3E" w:rsidRPr="00511005" w:rsidRDefault="006C2EDA" w:rsidP="003A292D">
      <w:pPr>
        <w:tabs>
          <w:tab w:val="left" w:pos="709"/>
        </w:tabs>
        <w:spacing w:line="264" w:lineRule="auto"/>
        <w:rPr>
          <w:rFonts w:ascii="Arial" w:eastAsia="Times New Roman" w:hAnsi="Arial" w:cs="Arial"/>
          <w:i/>
          <w:iCs/>
          <w:szCs w:val="28"/>
          <w:lang w:val="uk-UA"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Times New Roman" w:hAnsi="Arial" w:cs="Arial"/>
          <w:i/>
          <w:iCs/>
          <w:szCs w:val="28"/>
          <w:lang w:val="en-US" w:eastAsia="ru-RU"/>
        </w:rPr>
        <w:t>PhD in Law, Associate Professor Dronov V.</w:t>
      </w:r>
    </w:p>
    <w:p w14:paraId="3468D6F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350CC9AE" w14:textId="77777777" w:rsidR="00220D3E" w:rsidRPr="00511005" w:rsidRDefault="00220D3E" w:rsidP="003A292D">
      <w:pPr>
        <w:tabs>
          <w:tab w:val="left" w:pos="709"/>
        </w:tabs>
        <w:spacing w:line="264" w:lineRule="auto"/>
        <w:ind w:firstLine="0"/>
        <w:jc w:val="center"/>
        <w:rPr>
          <w:rFonts w:ascii="Arial" w:eastAsia="Calibri" w:hAnsi="Arial" w:cs="Arial"/>
          <w:b/>
          <w:i/>
          <w:szCs w:val="28"/>
          <w:lang w:val="uk-UA" w:eastAsia="ru-RU"/>
        </w:rPr>
      </w:pPr>
      <w:r w:rsidRPr="00511005">
        <w:rPr>
          <w:rFonts w:ascii="Arial" w:eastAsia="Calibri" w:hAnsi="Arial" w:cs="Arial"/>
          <w:b/>
          <w:i/>
          <w:szCs w:val="28"/>
          <w:lang w:val="uk-UA" w:eastAsia="ru-RU"/>
        </w:rPr>
        <w:t xml:space="preserve">Лукашевич Аліна Леонідівна, </w:t>
      </w:r>
    </w:p>
    <w:p w14:paraId="46A1F845" w14:textId="77777777" w:rsidR="00220D3E" w:rsidRPr="00511005" w:rsidRDefault="00220D3E" w:rsidP="003A292D">
      <w:pPr>
        <w:tabs>
          <w:tab w:val="left" w:pos="709"/>
        </w:tabs>
        <w:spacing w:line="264" w:lineRule="auto"/>
        <w:ind w:firstLine="0"/>
        <w:jc w:val="center"/>
        <w:rPr>
          <w:rFonts w:ascii="Arial" w:eastAsia="Calibri" w:hAnsi="Arial" w:cs="Arial"/>
          <w:b/>
          <w:i/>
          <w:szCs w:val="28"/>
          <w:lang w:val="uk-UA" w:eastAsia="ru-RU"/>
        </w:rPr>
      </w:pPr>
      <w:r w:rsidRPr="00511005">
        <w:rPr>
          <w:rFonts w:ascii="Arial" w:eastAsia="Calibri" w:hAnsi="Arial" w:cs="Arial"/>
          <w:b/>
          <w:i/>
          <w:szCs w:val="28"/>
          <w:lang w:val="uk-UA" w:eastAsia="ru-RU"/>
        </w:rPr>
        <w:t>Мідяна Вероніка Олександрівна</w:t>
      </w:r>
    </w:p>
    <w:p w14:paraId="4EBE43A9" w14:textId="54642244" w:rsidR="00220D3E" w:rsidRPr="00511005" w:rsidRDefault="00220D3E" w:rsidP="003A292D">
      <w:pPr>
        <w:tabs>
          <w:tab w:val="left" w:pos="709"/>
        </w:tabs>
        <w:spacing w:line="264" w:lineRule="auto"/>
        <w:ind w:firstLine="0"/>
        <w:jc w:val="center"/>
        <w:rPr>
          <w:rFonts w:ascii="Arial" w:eastAsia="Calibri" w:hAnsi="Arial" w:cs="Arial"/>
          <w:b/>
          <w:szCs w:val="28"/>
          <w:lang w:val="uk-UA" w:eastAsia="ru-RU"/>
        </w:rPr>
      </w:pPr>
      <w:r w:rsidRPr="00511005">
        <w:rPr>
          <w:rFonts w:ascii="Arial" w:eastAsia="Calibri" w:hAnsi="Arial" w:cs="Arial"/>
          <w:szCs w:val="28"/>
          <w:lang w:val="uk-UA" w:eastAsia="ru-RU"/>
        </w:rPr>
        <w:t xml:space="preserve">студентки </w:t>
      </w:r>
      <w:r w:rsidR="007B2628" w:rsidRPr="00511005">
        <w:rPr>
          <w:rFonts w:ascii="Arial" w:eastAsia="Calibri" w:hAnsi="Arial" w:cs="Arial"/>
          <w:szCs w:val="28"/>
          <w:lang w:val="uk-UA" w:eastAsia="ru-RU"/>
        </w:rPr>
        <w:t>4-го курсу</w:t>
      </w:r>
      <w:r w:rsidRPr="00511005">
        <w:rPr>
          <w:rFonts w:ascii="Arial" w:eastAsia="Calibri" w:hAnsi="Arial" w:cs="Arial"/>
          <w:b/>
          <w:szCs w:val="28"/>
          <w:lang w:val="uk-UA" w:eastAsia="ru-RU"/>
        </w:rPr>
        <w:t xml:space="preserve"> </w:t>
      </w:r>
      <w:r w:rsidR="00536AAB" w:rsidRPr="00511005">
        <w:rPr>
          <w:rFonts w:ascii="Arial" w:eastAsia="Times New Roman" w:hAnsi="Arial" w:cs="Arial"/>
          <w:szCs w:val="28"/>
          <w:shd w:val="clear" w:color="auto" w:fill="FFFFFF"/>
          <w:lang w:eastAsia="ru-RU"/>
        </w:rPr>
        <w:t>факультету адвокатури та антикорупційної діяльності</w:t>
      </w:r>
      <w:r w:rsidRPr="00511005">
        <w:rPr>
          <w:rFonts w:ascii="Arial" w:eastAsia="Times New Roman" w:hAnsi="Arial" w:cs="Arial"/>
          <w:szCs w:val="28"/>
          <w:shd w:val="clear" w:color="auto" w:fill="FFFFFF"/>
          <w:lang w:eastAsia="ru-RU"/>
        </w:rPr>
        <w:t xml:space="preserve"> </w:t>
      </w:r>
      <w:r w:rsidR="007B2628" w:rsidRPr="00511005">
        <w:rPr>
          <w:rFonts w:ascii="Arial" w:eastAsia="Times New Roman" w:hAnsi="Arial" w:cs="Arial"/>
          <w:szCs w:val="28"/>
          <w:shd w:val="clear" w:color="auto" w:fill="FFFFFF"/>
          <w:lang w:eastAsia="ru-RU"/>
        </w:rPr>
        <w:t>Національного університету «Одеська юридична академія»</w:t>
      </w:r>
    </w:p>
    <w:p w14:paraId="74368701" w14:textId="77777777" w:rsidR="00220D3E" w:rsidRPr="00511005" w:rsidRDefault="00220D3E" w:rsidP="003A292D">
      <w:pPr>
        <w:tabs>
          <w:tab w:val="left" w:pos="709"/>
        </w:tabs>
        <w:spacing w:line="264" w:lineRule="auto"/>
        <w:ind w:firstLine="0"/>
        <w:jc w:val="left"/>
        <w:rPr>
          <w:rFonts w:ascii="Arial" w:eastAsia="Calibri" w:hAnsi="Arial" w:cs="Arial"/>
          <w:b/>
          <w:szCs w:val="28"/>
          <w:lang w:val="uk-UA" w:eastAsia="ru-RU"/>
        </w:rPr>
      </w:pPr>
    </w:p>
    <w:p w14:paraId="6AE61EAE" w14:textId="77777777" w:rsidR="00220D3E" w:rsidRPr="00511005" w:rsidRDefault="00220D3E" w:rsidP="003A292D">
      <w:pPr>
        <w:tabs>
          <w:tab w:val="left" w:pos="709"/>
        </w:tabs>
        <w:spacing w:line="264" w:lineRule="auto"/>
        <w:ind w:firstLine="0"/>
        <w:jc w:val="center"/>
        <w:rPr>
          <w:rFonts w:ascii="Arial" w:eastAsia="Calibri" w:hAnsi="Arial" w:cs="Arial"/>
          <w:b/>
          <w:szCs w:val="28"/>
          <w:lang w:val="uk-UA" w:eastAsia="ru-RU"/>
        </w:rPr>
      </w:pPr>
      <w:r w:rsidRPr="00511005">
        <w:rPr>
          <w:rFonts w:ascii="Arial" w:eastAsia="Calibri" w:hAnsi="Arial" w:cs="Arial"/>
          <w:b/>
          <w:szCs w:val="28"/>
          <w:lang w:eastAsia="ru-RU"/>
        </w:rPr>
        <w:t xml:space="preserve">МЕХАНІЗМ ВЕРХОВЕНСТВА ПРАВА В ЄС: </w:t>
      </w:r>
      <w:r w:rsidRPr="00511005">
        <w:rPr>
          <w:rFonts w:ascii="Arial" w:eastAsia="Calibri" w:hAnsi="Arial" w:cs="Arial"/>
          <w:b/>
          <w:szCs w:val="28"/>
          <w:lang w:val="uk-UA" w:eastAsia="ru-RU"/>
        </w:rPr>
        <w:t>РЕАКЦІЯ ЄВРОПЕЙСЬКОГО СОЮЗУ НА ВІДХИЛЕННЯ ВІД ДЕМОКРАТИЧНИХ СТАНДАРТІВ У</w:t>
      </w:r>
      <w:r w:rsidRPr="00511005">
        <w:rPr>
          <w:rFonts w:ascii="Arial" w:eastAsia="Calibri" w:hAnsi="Arial" w:cs="Arial"/>
          <w:b/>
          <w:szCs w:val="28"/>
          <w:lang w:eastAsia="ru-RU"/>
        </w:rPr>
        <w:t xml:space="preserve"> КРАЇНАХ-ЧЛЕНАХ</w:t>
      </w:r>
    </w:p>
    <w:p w14:paraId="1933FA04" w14:textId="77777777"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eastAsia="ru-RU"/>
        </w:rPr>
        <w:t xml:space="preserve">Європейський Союз (ЄС) — це не лише економічне об’єднання, а й правова спільнота, заснована на спільних цінностях, </w:t>
      </w:r>
      <w:r w:rsidRPr="00511005">
        <w:rPr>
          <w:rFonts w:ascii="Arial" w:eastAsia="Calibri" w:hAnsi="Arial" w:cs="Arial"/>
          <w:szCs w:val="28"/>
          <w:lang w:val="uk-UA" w:eastAsia="ru-RU"/>
        </w:rPr>
        <w:t>серед яких центральне місце займають «повага до людської гідності, свободи, демократії, рівності, верховенства права та поваги до прав людини» [1]. Ці принципи закріплені у статті 2 Договору про Європейський Союз (ДЄС), яка визначає, що вони «є спільними для всіх держав-членів у суспільстві, де панує плюралізм недискримінація, толерантність, правосуддя, солідарність та рівність жінок і чоловіків» [1]. Тобто вони є своєрідним підґрунтям для європейської інтеграції. Проте останніми роками дотримання цих принципів, особливо верховенства права, стало предметом серйозної занепокоєності щодо деяких країн-членів, насамперед Польщі та Угорщини.</w:t>
      </w:r>
    </w:p>
    <w:p w14:paraId="7A0B2837" w14:textId="77777777"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eastAsia="ru-RU"/>
        </w:rPr>
        <w:t xml:space="preserve">Верховенство права є ключовим принципом, на якому базується функціонування ЄС. За визначенням Європейської Комісії, </w:t>
      </w:r>
      <w:r w:rsidRPr="00511005">
        <w:rPr>
          <w:rFonts w:ascii="Arial" w:eastAsia="Calibri" w:hAnsi="Arial" w:cs="Arial"/>
          <w:szCs w:val="28"/>
          <w:lang w:val="uk-UA" w:eastAsia="ru-RU"/>
        </w:rPr>
        <w:t>«верховенство права — це те, що зв’язує Європейський Союз в одне ціле. Приєднуючись до ЄС, усі 27 держав-членів зобов’язалися відстоювати верховенство права, що є суттєвим для захисту цінностей, на яких побудовано ЄС»[2].</w:t>
      </w:r>
      <w:r w:rsidRPr="00511005">
        <w:rPr>
          <w:rFonts w:ascii="Arial" w:eastAsia="Calibri" w:hAnsi="Arial" w:cs="Arial"/>
          <w:szCs w:val="28"/>
          <w:lang w:eastAsia="ru-RU"/>
        </w:rPr>
        <w:t xml:space="preserve"> </w:t>
      </w:r>
      <w:r w:rsidRPr="00511005">
        <w:rPr>
          <w:rFonts w:ascii="Arial" w:eastAsia="Calibri" w:hAnsi="Arial" w:cs="Arial"/>
          <w:szCs w:val="28"/>
          <w:lang w:val="uk-UA" w:eastAsia="ru-RU"/>
        </w:rPr>
        <w:t>Тому, як зазначає Куровська І.А. «</w:t>
      </w:r>
      <w:r w:rsidRPr="00511005">
        <w:rPr>
          <w:rFonts w:ascii="Arial" w:eastAsia="Calibri" w:hAnsi="Arial" w:cs="Arial"/>
          <w:szCs w:val="28"/>
          <w:lang w:eastAsia="ru-RU"/>
        </w:rPr>
        <w:t>першими кроками на шляху євроінтеграції для кожної країни Європи, яка набуває</w:t>
      </w:r>
      <w:r w:rsidRPr="00511005">
        <w:rPr>
          <w:rFonts w:ascii="Arial" w:eastAsia="Calibri" w:hAnsi="Arial" w:cs="Arial"/>
          <w:szCs w:val="28"/>
          <w:lang w:val="uk-UA" w:eastAsia="ru-RU"/>
        </w:rPr>
        <w:t xml:space="preserve"> </w:t>
      </w:r>
      <w:r w:rsidRPr="00511005">
        <w:rPr>
          <w:rFonts w:ascii="Arial" w:eastAsia="Calibri" w:hAnsi="Arial" w:cs="Arial"/>
          <w:szCs w:val="28"/>
          <w:lang w:eastAsia="ru-RU"/>
        </w:rPr>
        <w:t>членство в ЄС або прагне до нього, є розбудова на своїй території правової, демократичної та</w:t>
      </w:r>
      <w:r w:rsidRPr="00511005">
        <w:rPr>
          <w:rFonts w:ascii="Arial" w:eastAsia="Calibri" w:hAnsi="Arial" w:cs="Arial"/>
          <w:szCs w:val="28"/>
          <w:lang w:val="uk-UA" w:eastAsia="ru-RU"/>
        </w:rPr>
        <w:t xml:space="preserve"> </w:t>
      </w:r>
      <w:r w:rsidRPr="00511005">
        <w:rPr>
          <w:rFonts w:ascii="Arial" w:eastAsia="Calibri" w:hAnsi="Arial" w:cs="Arial"/>
          <w:szCs w:val="28"/>
          <w:lang w:eastAsia="ru-RU"/>
        </w:rPr>
        <w:t>соціальної держави на основі принципу верховенства права</w:t>
      </w:r>
      <w:r w:rsidRPr="00511005">
        <w:rPr>
          <w:rFonts w:ascii="Arial" w:eastAsia="Calibri" w:hAnsi="Arial" w:cs="Arial"/>
          <w:szCs w:val="28"/>
          <w:lang w:val="uk-UA" w:eastAsia="ru-RU"/>
        </w:rPr>
        <w:t>» [3, с. 86].</w:t>
      </w:r>
    </w:p>
    <w:p w14:paraId="1912D219" w14:textId="77777777"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Однією з країн, яка стала об’єктом критики з боку ЄС, була Польща у зв’язку з реформами судової системи, що поставили під сумнів дотримання принципу незалежності судової влади. У 2017 році було внесено зміни до законодавства, які надали Міністерству Юстиції вплив на призначення та звільнення суддів, а також було створено Дисциплінарну палату Верховного суду, що мала повноваження розглядати справи щодо поведінки суддів.</w:t>
      </w:r>
    </w:p>
    <w:p w14:paraId="0212D656" w14:textId="77777777"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 xml:space="preserve">Ці законодавчі зміни викликали серйозне занепокоєння Європейського Союзу, оскільки створена Дисциплінарна палата не відповідала критеріям </w:t>
      </w:r>
      <w:r w:rsidRPr="00511005">
        <w:rPr>
          <w:rFonts w:ascii="Arial" w:eastAsia="Calibri" w:hAnsi="Arial" w:cs="Arial"/>
          <w:szCs w:val="28"/>
          <w:lang w:val="uk-UA" w:eastAsia="ru-RU"/>
        </w:rPr>
        <w:lastRenderedPageBreak/>
        <w:t>незалежності та неупередженості. У справі C-791/19 Комісія проти Польщі, Суд ЄС дійшов висновку, що діяльність цієї палати суперечить статті 19(1) Договору про Європейський Союз, оскільки створює ризики політичного впливу на судову систему [4].</w:t>
      </w:r>
    </w:p>
    <w:p w14:paraId="27B55F23" w14:textId="77777777"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Крім того, ще раніше у справі C-619/18 Суд визнав несумісним із правом ЄС зниження пенсійного віку суддів Верховного суду, що дозволяло звільняти їх до завершення повноважень[5], а у справі C-192/18 аналогічне рішення було ухвалено щодо суддів загальних судів. У кожному з цих випадків Суд ЄС підкреслював, що подібні дії є прямим порушенням принципу незалежності судової влади, який є наріжним каменем верховенства права в ЄС.</w:t>
      </w:r>
    </w:p>
    <w:p w14:paraId="740F768A" w14:textId="618409F7"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Угорщина, як і Польща, неодноразово ставала об’єктом критики Європейського Союзу через системні порушення принципів верховенства права. З початку 2010-х років</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в країні спостерігається послідовна концентрація влади урядом Віктора Орбана. Серед ключових проблем — обмеження незалежності судової влади, зменшення свободи ЗМІ, тиск на громадянське суспільство, дискримінаційні закони щодо ЛГБТ - спільноти, а також відсутність належної протидії корупції. Окрему занепокоєність викликає міграційна політика Угорщини: країна не виконує рішень Суду ЄС щодо прийому шукачів притулку, посилюючи антиімміграційний курс, що суперечить зобов’язанням у межах права ЄС.</w:t>
      </w:r>
    </w:p>
    <w:p w14:paraId="10437F27" w14:textId="28D9249F" w:rsidR="00220D3E" w:rsidRPr="00511005" w:rsidRDefault="00220D3E" w:rsidP="003A292D">
      <w:pPr>
        <w:tabs>
          <w:tab w:val="left" w:pos="709"/>
        </w:tabs>
        <w:spacing w:line="264" w:lineRule="auto"/>
        <w:rPr>
          <w:rFonts w:ascii="Arial" w:eastAsia="Calibri" w:hAnsi="Arial" w:cs="Arial"/>
          <w:szCs w:val="28"/>
          <w:lang w:eastAsia="ru-RU"/>
        </w:rPr>
      </w:pPr>
      <w:r w:rsidRPr="00511005">
        <w:rPr>
          <w:rFonts w:ascii="Arial" w:eastAsia="Calibri" w:hAnsi="Arial" w:cs="Arial"/>
          <w:szCs w:val="28"/>
          <w:lang w:val="uk-UA" w:eastAsia="ru-RU"/>
        </w:rPr>
        <w:t>Низка порушень уже стала предметом розгляду в Суді ЄС. У справі C-821/19 Угорщина була визнана винною у порушенні права ЄС через відмову приймати шукачів притулку, а у березні 2025 року Суд ЄС</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у справі C-247/23 постановив, що Угорщина порушила права трансгендерного біженця з Ірану, коли відмовила йому у внесенні змін до гендерних даних у державному реєстрі [6]</w:t>
      </w:r>
      <w:r w:rsidRPr="00511005">
        <w:rPr>
          <w:rFonts w:ascii="Arial" w:eastAsia="Calibri" w:hAnsi="Arial" w:cs="Arial"/>
          <w:szCs w:val="28"/>
          <w:lang w:eastAsia="ru-RU"/>
        </w:rPr>
        <w:t>.</w:t>
      </w:r>
    </w:p>
    <w:p w14:paraId="0871A7C1" w14:textId="77777777" w:rsidR="00220D3E" w:rsidRPr="00511005" w:rsidRDefault="00220D3E" w:rsidP="003A292D">
      <w:pPr>
        <w:tabs>
          <w:tab w:val="left" w:pos="709"/>
        </w:tabs>
        <w:spacing w:line="264" w:lineRule="auto"/>
        <w:rPr>
          <w:rFonts w:ascii="Arial" w:eastAsia="Segoe UI Symbol" w:hAnsi="Arial" w:cs="Arial"/>
          <w:szCs w:val="28"/>
          <w:lang w:val="uk-UA" w:eastAsia="ru-RU"/>
        </w:rPr>
      </w:pPr>
      <w:r w:rsidRPr="00511005">
        <w:rPr>
          <w:rFonts w:ascii="Arial" w:eastAsia="Segoe UI Symbol" w:hAnsi="Arial" w:cs="Arial"/>
          <w:szCs w:val="28"/>
          <w:lang w:val="uk-UA" w:eastAsia="ru-RU"/>
        </w:rPr>
        <w:t>З метою запобігання та реагування на порушення, пов’язані з верховенством права, Європейський Союз запровадив низку інституційних механізмів. Центральним інструментом є щорічні Звіти про стан верховенства права (Rule of Law Reports), які публікує Європейська Комісія починаючи з 2020 року. У разі виявлення проблем Комісія може надати рекомендації щодо їх усунення та здійснює моніторинг їх виконання. Ці звіти виконують превентивну функцію, стимулюючи держави-члени до зміцнення правової держави ще до того, як виникне потреба у застосуванні більш жорстких заходів. Окрім того,</w:t>
      </w:r>
      <w:r w:rsidRPr="00511005">
        <w:rPr>
          <w:rFonts w:ascii="Arial" w:eastAsia="Times New Roman" w:hAnsi="Arial" w:cs="Arial"/>
          <w:szCs w:val="28"/>
          <w:lang w:val="uk-UA" w:eastAsia="ru-RU"/>
        </w:rPr>
        <w:t xml:space="preserve"> </w:t>
      </w:r>
      <w:r w:rsidRPr="00511005">
        <w:rPr>
          <w:rFonts w:ascii="Arial" w:eastAsia="Segoe UI Symbol" w:hAnsi="Arial" w:cs="Arial"/>
          <w:szCs w:val="28"/>
          <w:lang w:val="uk-UA" w:eastAsia="ru-RU"/>
        </w:rPr>
        <w:t>Регламентом 2020/2092 Європейського Парламенту та Ради від 16 грудня 2020 року встановлено можливість призупинення фінансування з бюджету ЄС, якщо країна-член порушує верховенство права, що може загрожувати фінансовим інтересам Союзу. Саме за цим регламентом з 2022 року було заморожено фінансування для Угорщини в рамках заходів, спрямованих на захист принципу верховенства права.</w:t>
      </w:r>
    </w:p>
    <w:p w14:paraId="0B3D4D84" w14:textId="77777777" w:rsidR="00220D3E" w:rsidRPr="00511005" w:rsidRDefault="00220D3E" w:rsidP="003A292D">
      <w:pPr>
        <w:tabs>
          <w:tab w:val="left" w:pos="709"/>
        </w:tabs>
        <w:spacing w:line="264" w:lineRule="auto"/>
        <w:rPr>
          <w:rFonts w:ascii="Arial" w:eastAsia="Segoe UI Symbol" w:hAnsi="Arial" w:cs="Arial"/>
          <w:szCs w:val="28"/>
          <w:lang w:val="uk-UA" w:eastAsia="ru-RU"/>
        </w:rPr>
      </w:pPr>
      <w:r w:rsidRPr="00511005">
        <w:rPr>
          <w:rFonts w:ascii="Arial" w:eastAsia="Segoe UI Symbol" w:hAnsi="Arial" w:cs="Arial"/>
          <w:szCs w:val="28"/>
          <w:lang w:val="uk-UA" w:eastAsia="ru-RU"/>
        </w:rPr>
        <w:lastRenderedPageBreak/>
        <w:t>У разі систематичного порушення, що було у випадках Польщі та Угорщини, застосовується ст. 7 ДЄС, що є більш жорстким інструментом реагування на порушення цінностей ЄС. Її мета — відредагувати на серйозні та системні порушення, і в крайньому випадку це може призвести до призупинення права голосу держави-члена в Раді ЄС.</w:t>
      </w:r>
    </w:p>
    <w:p w14:paraId="49D36F7C" w14:textId="77777777" w:rsidR="00220D3E" w:rsidRPr="00511005" w:rsidRDefault="00220D3E" w:rsidP="003A292D">
      <w:pPr>
        <w:tabs>
          <w:tab w:val="left" w:pos="709"/>
        </w:tabs>
        <w:spacing w:line="264" w:lineRule="auto"/>
        <w:rPr>
          <w:rFonts w:ascii="Arial" w:eastAsia="Segoe UI Symbol" w:hAnsi="Arial" w:cs="Arial"/>
          <w:szCs w:val="28"/>
          <w:lang w:val="uk-UA" w:eastAsia="ru-RU"/>
        </w:rPr>
      </w:pPr>
      <w:r w:rsidRPr="00511005">
        <w:rPr>
          <w:rFonts w:ascii="Arial" w:eastAsia="Segoe UI Symbol" w:hAnsi="Arial" w:cs="Arial"/>
          <w:szCs w:val="28"/>
          <w:lang w:val="uk-UA" w:eastAsia="ru-RU"/>
        </w:rPr>
        <w:t>Для того щоб застосувати даний механізм «Європейська Рада, діючи одностайно на пропозицію однієї третини держав-членів або Комісії та після отримання згоди Європейського Парламенту, може встановити існування постійного та істотного порушення однією з держав-членів цінностей» [1] та «кваліфікованою більшістю вирішити призупинити певні права відповідної держави-члена, що випливають із застосування Договорів» [1]. Тобто сам механізм є достатньо проблемним, зважаючи на потребу діяти одностайно.</w:t>
      </w:r>
    </w:p>
    <w:p w14:paraId="4F68BA2B" w14:textId="77777777" w:rsidR="00220D3E" w:rsidRPr="00511005" w:rsidRDefault="00220D3E" w:rsidP="003A292D">
      <w:pPr>
        <w:tabs>
          <w:tab w:val="left" w:pos="709"/>
        </w:tabs>
        <w:spacing w:line="264" w:lineRule="auto"/>
        <w:rPr>
          <w:rFonts w:ascii="Arial" w:eastAsia="Segoe UI Symbol" w:hAnsi="Arial" w:cs="Arial"/>
          <w:szCs w:val="28"/>
          <w:lang w:val="uk-UA" w:eastAsia="ru-RU"/>
        </w:rPr>
      </w:pPr>
      <w:r w:rsidRPr="00511005">
        <w:rPr>
          <w:rFonts w:ascii="Arial" w:eastAsia="Segoe UI Symbol" w:hAnsi="Arial" w:cs="Arial"/>
          <w:szCs w:val="28"/>
          <w:lang w:val="uk-UA" w:eastAsia="ru-RU"/>
        </w:rPr>
        <w:t>В 2024 році Польща вже змогла зняти застереження, висловлені ще в 2017 році, що стали підставою для ініціювання застосування статті 7 ДЄС. Водночас стосовно Угорщини ситуація на сьогодні є складнішою, адже, не зважаючи на невиконання рекомендацій ЄС, на такі системні та серйозні порушення, досі в повній мірі не застосовано статтю 7 ДЄС.</w:t>
      </w:r>
    </w:p>
    <w:p w14:paraId="7FBAE074" w14:textId="77777777" w:rsidR="00220D3E" w:rsidRPr="00511005" w:rsidRDefault="00220D3E" w:rsidP="003A292D">
      <w:pPr>
        <w:tabs>
          <w:tab w:val="left" w:pos="709"/>
        </w:tabs>
        <w:spacing w:line="264" w:lineRule="auto"/>
        <w:rPr>
          <w:rFonts w:ascii="Arial" w:eastAsia="Segoe UI Symbol" w:hAnsi="Arial" w:cs="Arial"/>
          <w:szCs w:val="28"/>
          <w:lang w:val="uk-UA" w:eastAsia="ru-RU"/>
        </w:rPr>
      </w:pPr>
      <w:r w:rsidRPr="00511005">
        <w:rPr>
          <w:rFonts w:ascii="Arial" w:eastAsia="Segoe UI Symbol" w:hAnsi="Arial" w:cs="Arial"/>
          <w:szCs w:val="28"/>
          <w:lang w:val="uk-UA" w:eastAsia="ru-RU"/>
        </w:rPr>
        <w:t>Зважаючи на це, можна помітити, що механізми, які має ЄС для забезпечення верховенства права, поступово вдосконалюються. Стаття 7 ДЄС, попри свою символічну вагу, виявилася малоефективною через політичні перепони. Оскільки рішення повинні прийматися одностайно, це значно уповільнює процес реагування на серйозні порушення. Водночас запровадження фінансової умовності дає змогу ЄС реагувати жорсткіше й точково. Хоча в результаті деякі держави все ж продовжують ігнорувати вимоги ЄС без належних наслідків.</w:t>
      </w:r>
    </w:p>
    <w:p w14:paraId="3F41C45E" w14:textId="77777777" w:rsidR="00220D3E" w:rsidRPr="00511005" w:rsidRDefault="00220D3E" w:rsidP="003A292D">
      <w:pPr>
        <w:tabs>
          <w:tab w:val="left" w:pos="709"/>
        </w:tabs>
        <w:spacing w:line="264" w:lineRule="auto"/>
        <w:rPr>
          <w:rFonts w:ascii="Arial" w:eastAsia="Segoe UI Symbol" w:hAnsi="Arial" w:cs="Arial"/>
          <w:szCs w:val="28"/>
          <w:lang w:val="uk-UA" w:eastAsia="ru-RU"/>
        </w:rPr>
      </w:pPr>
      <w:r w:rsidRPr="00511005">
        <w:rPr>
          <w:rFonts w:ascii="Arial" w:eastAsia="Segoe UI Symbol" w:hAnsi="Arial" w:cs="Arial"/>
          <w:szCs w:val="28"/>
          <w:lang w:val="uk-UA" w:eastAsia="ru-RU"/>
        </w:rPr>
        <w:t>Для вирішення цієї проблеми необхідно було б впровадити зміни, які дозволять значно прискорити процес прийняття рішень щодо застосування санкцій, зокрема шляхом зменшення необхідності в одностайності при ініціюванні статті 7. Крім того, важливо посилити систему моніторингу, зробивши її більш прозорою та незалежною від політичних впливів.</w:t>
      </w:r>
    </w:p>
    <w:p w14:paraId="5917184C" w14:textId="77777777" w:rsidR="00220D3E" w:rsidRPr="00511005" w:rsidRDefault="00220D3E" w:rsidP="003A292D">
      <w:pPr>
        <w:tabs>
          <w:tab w:val="left" w:pos="709"/>
        </w:tabs>
        <w:spacing w:line="264" w:lineRule="auto"/>
        <w:rPr>
          <w:rFonts w:ascii="Arial" w:eastAsia="Segoe UI Symbol" w:hAnsi="Arial" w:cs="Arial"/>
          <w:szCs w:val="28"/>
          <w:lang w:val="uk-UA" w:eastAsia="ru-RU"/>
        </w:rPr>
      </w:pPr>
      <w:r w:rsidRPr="00511005">
        <w:rPr>
          <w:rFonts w:ascii="Arial" w:eastAsia="Calibri" w:hAnsi="Arial" w:cs="Arial"/>
          <w:szCs w:val="28"/>
          <w:lang w:val="uk-UA" w:eastAsia="ru-RU"/>
        </w:rPr>
        <w:t>Необхідно враховувати, що з</w:t>
      </w:r>
      <w:r w:rsidRPr="00511005">
        <w:rPr>
          <w:rFonts w:ascii="Arial" w:eastAsia="Calibri" w:hAnsi="Arial" w:cs="Arial"/>
          <w:szCs w:val="28"/>
          <w:lang w:eastAsia="ru-RU"/>
        </w:rPr>
        <w:t xml:space="preserve">ахист верховенства права в ЄС — це не лише юридична, а й політична проблема. З одного боку, втручання ЄС у внутрішні справи держав може розглядатися як посягання на суверенітет. З іншого — потурання порушенням підриває довіру до ЄС як до ціннісної спільноти. </w:t>
      </w:r>
      <w:r w:rsidRPr="00511005">
        <w:rPr>
          <w:rFonts w:ascii="Arial" w:eastAsia="Calibri" w:hAnsi="Arial" w:cs="Arial"/>
          <w:szCs w:val="28"/>
          <w:lang w:val="uk-UA" w:eastAsia="ru-RU"/>
        </w:rPr>
        <w:t>Тому, для того, щоб Європейський Союз міг ефективно захищати свої цінності, потрібно вдосконалити механізми реагування на порушення принципу верховенства права.</w:t>
      </w:r>
    </w:p>
    <w:p w14:paraId="660C06C1" w14:textId="77777777" w:rsidR="00220D3E" w:rsidRPr="00511005" w:rsidRDefault="00220D3E" w:rsidP="003A292D">
      <w:pPr>
        <w:tabs>
          <w:tab w:val="left" w:pos="709"/>
        </w:tabs>
        <w:spacing w:line="264" w:lineRule="auto"/>
        <w:jc w:val="left"/>
        <w:rPr>
          <w:rFonts w:ascii="Arial" w:eastAsia="Calibri" w:hAnsi="Arial" w:cs="Arial"/>
          <w:szCs w:val="28"/>
          <w:lang w:eastAsia="ru-RU"/>
        </w:rPr>
      </w:pPr>
    </w:p>
    <w:p w14:paraId="766C1092" w14:textId="04DEBA40" w:rsidR="00220D3E" w:rsidRPr="00511005" w:rsidRDefault="007B2628" w:rsidP="007B2628">
      <w:pPr>
        <w:tabs>
          <w:tab w:val="left" w:pos="709"/>
        </w:tabs>
        <w:spacing w:line="264" w:lineRule="auto"/>
        <w:jc w:val="center"/>
        <w:rPr>
          <w:rFonts w:ascii="Arial" w:eastAsia="Segoe UI Symbol" w:hAnsi="Arial" w:cs="Arial"/>
          <w:b/>
          <w:szCs w:val="28"/>
          <w:lang w:val="az-Latn-AZ" w:eastAsia="ru-RU"/>
        </w:rPr>
      </w:pPr>
      <w:r w:rsidRPr="00511005">
        <w:rPr>
          <w:rFonts w:ascii="Arial" w:eastAsia="Segoe UI Symbol" w:hAnsi="Arial" w:cs="Arial"/>
          <w:b/>
          <w:szCs w:val="28"/>
          <w:lang w:val="uk-UA" w:eastAsia="ru-RU"/>
        </w:rPr>
        <w:t>Список використаних джерел</w:t>
      </w:r>
    </w:p>
    <w:p w14:paraId="2AC4B7E9" w14:textId="77777777"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 xml:space="preserve">1. </w:t>
      </w:r>
      <w:r w:rsidRPr="00511005">
        <w:rPr>
          <w:rFonts w:ascii="Arial" w:eastAsia="Calibri" w:hAnsi="Arial" w:cs="Arial"/>
          <w:szCs w:val="28"/>
          <w:lang w:eastAsia="ru-RU"/>
        </w:rPr>
        <w:t xml:space="preserve">Консолідовані версії Договору про Європейський Союз та Договору про функціонування Європейського Союзу з протоколами та </w:t>
      </w:r>
      <w:proofErr w:type="gramStart"/>
      <w:r w:rsidRPr="00511005">
        <w:rPr>
          <w:rFonts w:ascii="Arial" w:eastAsia="Calibri" w:hAnsi="Arial" w:cs="Arial"/>
          <w:szCs w:val="28"/>
          <w:lang w:eastAsia="ru-RU"/>
        </w:rPr>
        <w:t>деклараціями :</w:t>
      </w:r>
      <w:proofErr w:type="gramEnd"/>
      <w:r w:rsidRPr="00511005">
        <w:rPr>
          <w:rFonts w:ascii="Arial" w:eastAsia="Calibri" w:hAnsi="Arial" w:cs="Arial"/>
          <w:szCs w:val="28"/>
          <w:lang w:eastAsia="ru-RU"/>
        </w:rPr>
        <w:t xml:space="preserve"> Договір Європ. Союзу від </w:t>
      </w:r>
      <w:proofErr w:type="gramStart"/>
      <w:r w:rsidRPr="00511005">
        <w:rPr>
          <w:rFonts w:ascii="Arial" w:eastAsia="Calibri" w:hAnsi="Arial" w:cs="Arial"/>
          <w:szCs w:val="28"/>
          <w:lang w:eastAsia="ru-RU"/>
        </w:rPr>
        <w:t>07.02.1992 :</w:t>
      </w:r>
      <w:proofErr w:type="gramEnd"/>
      <w:r w:rsidRPr="00511005">
        <w:rPr>
          <w:rFonts w:ascii="Arial" w:eastAsia="Calibri" w:hAnsi="Arial" w:cs="Arial"/>
          <w:szCs w:val="28"/>
          <w:lang w:eastAsia="ru-RU"/>
        </w:rPr>
        <w:t xml:space="preserve"> станом на 30 берез. 2010 р. URL: </w:t>
      </w:r>
      <w:hyperlink r:id="rId477" w:anchor="Text" w:history="1">
        <w:r w:rsidRPr="00511005">
          <w:rPr>
            <w:rFonts w:ascii="Arial" w:eastAsia="Calibri" w:hAnsi="Arial" w:cs="Arial"/>
            <w:szCs w:val="28"/>
            <w:lang w:eastAsia="ru-RU"/>
          </w:rPr>
          <w:t>https://zakon.rada.gov.ua/laws/show/994_b06#Text</w:t>
        </w:r>
      </w:hyperlink>
      <w:r w:rsidRPr="00511005">
        <w:rPr>
          <w:rFonts w:ascii="Arial" w:eastAsia="Calibri" w:hAnsi="Arial" w:cs="Arial"/>
          <w:szCs w:val="28"/>
          <w:lang w:eastAsia="ru-RU"/>
        </w:rPr>
        <w:t xml:space="preserve"> (дата звернення: 15.04.2025</w:t>
      </w:r>
      <w:proofErr w:type="gramStart"/>
      <w:r w:rsidRPr="00511005">
        <w:rPr>
          <w:rFonts w:ascii="Arial" w:eastAsia="Calibri" w:hAnsi="Arial" w:cs="Arial"/>
          <w:szCs w:val="28"/>
          <w:lang w:eastAsia="ru-RU"/>
        </w:rPr>
        <w:t>)</w:t>
      </w:r>
      <w:r w:rsidRPr="00511005">
        <w:rPr>
          <w:rFonts w:ascii="Arial" w:eastAsia="Calibri" w:hAnsi="Arial" w:cs="Arial"/>
          <w:szCs w:val="28"/>
          <w:lang w:val="uk-UA" w:eastAsia="ru-RU"/>
        </w:rPr>
        <w:t xml:space="preserve"> .</w:t>
      </w:r>
      <w:proofErr w:type="gramEnd"/>
    </w:p>
    <w:p w14:paraId="57D03DAF" w14:textId="256A1750"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 xml:space="preserve">2. Європейська Комісія. Становище Союзу у 2022 році. Звіт "Захист цінностей ЄС". 2022. URL: </w:t>
      </w:r>
      <w:hyperlink r:id="rId478" w:history="1">
        <w:r w:rsidRPr="00511005">
          <w:rPr>
            <w:rFonts w:ascii="Arial" w:eastAsia="Calibri" w:hAnsi="Arial" w:cs="Arial"/>
            <w:szCs w:val="28"/>
            <w:lang w:val="uk-UA" w:eastAsia="ru-RU"/>
          </w:rPr>
          <w:t>https://state-of-the-union.ec.europa.eu/state-union-2022/state-union-achievements/defending-eu-values_uk</w:t>
        </w:r>
      </w:hyperlink>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(дата звернення: 15.04.2025).</w:t>
      </w:r>
    </w:p>
    <w:p w14:paraId="6ADB4CD2" w14:textId="77777777"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 xml:space="preserve">3. Куровська І. А. Принцип "верховенства права" як провідний принцип права Європейського Союзу та Ради Європи / І. А. Куровська // Наукові записки Інституту законодавства Верховної Ради України. - 2016. - № 3. - С. 86-89. - Режим доступу: </w:t>
      </w:r>
      <w:hyperlink r:id="rId479" w:history="1">
        <w:r w:rsidRPr="00511005">
          <w:rPr>
            <w:rFonts w:ascii="Arial" w:eastAsia="Calibri" w:hAnsi="Arial" w:cs="Arial"/>
            <w:szCs w:val="28"/>
            <w:lang w:val="uk-UA" w:eastAsia="ru-RU"/>
          </w:rPr>
          <w:t>http://nbuv.gov.ua/UJRN/Nzizvru_2016_3_16</w:t>
        </w:r>
      </w:hyperlink>
      <w:r w:rsidRPr="00511005">
        <w:rPr>
          <w:rFonts w:ascii="Arial" w:eastAsia="Calibri" w:hAnsi="Arial" w:cs="Arial"/>
          <w:szCs w:val="28"/>
          <w:lang w:val="uk-UA" w:eastAsia="ru-RU"/>
        </w:rPr>
        <w:t xml:space="preserve"> (дата звернення: 15.04.2025).</w:t>
      </w:r>
    </w:p>
    <w:p w14:paraId="7A1F03DB" w14:textId="77777777"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4.</w:t>
      </w:r>
      <w:r w:rsidRPr="00511005">
        <w:rPr>
          <w:rFonts w:ascii="Arial" w:eastAsia="Times New Roman" w:hAnsi="Arial" w:cs="Arial"/>
          <w:szCs w:val="28"/>
          <w:lang w:val="en-US" w:eastAsia="ru-RU"/>
        </w:rPr>
        <w:t xml:space="preserve"> </w:t>
      </w:r>
      <w:r w:rsidRPr="00511005">
        <w:rPr>
          <w:rFonts w:ascii="Arial" w:eastAsia="Calibri" w:hAnsi="Arial" w:cs="Arial"/>
          <w:szCs w:val="28"/>
          <w:lang w:val="uk-UA" w:eastAsia="ru-RU"/>
        </w:rPr>
        <w:t xml:space="preserve">Judgment of the Court (Grand Chamber) of 15 July 2021, European Commission v Republic of Poland, C-791/19, ECLI:EU:C:2021:596 </w:t>
      </w:r>
      <w:r w:rsidRPr="00511005">
        <w:rPr>
          <w:rFonts w:ascii="Arial" w:eastAsia="Calibri" w:hAnsi="Arial" w:cs="Arial"/>
          <w:szCs w:val="28"/>
          <w:lang w:val="en-US" w:eastAsia="ru-RU"/>
        </w:rPr>
        <w:t>URL:</w:t>
      </w:r>
      <w:r w:rsidRPr="00511005">
        <w:rPr>
          <w:rFonts w:ascii="Arial" w:eastAsia="Calibri" w:hAnsi="Arial" w:cs="Arial"/>
          <w:szCs w:val="28"/>
          <w:lang w:val="uk-UA" w:eastAsia="ru-RU"/>
        </w:rPr>
        <w:t xml:space="preserve"> </w:t>
      </w:r>
      <w:hyperlink r:id="rId480" w:history="1">
        <w:r w:rsidRPr="00511005">
          <w:rPr>
            <w:rFonts w:ascii="Arial" w:eastAsia="Calibri" w:hAnsi="Arial" w:cs="Arial"/>
            <w:szCs w:val="28"/>
            <w:lang w:val="uk-UA" w:eastAsia="ru-RU"/>
          </w:rPr>
          <w:t>https://eur-lex.europa.eu/legal-content/EN/TXT/?uri=CELEX%3A62019CJ0791</w:t>
        </w:r>
      </w:hyperlink>
      <w:r w:rsidRPr="00511005">
        <w:rPr>
          <w:rFonts w:ascii="Arial" w:eastAsia="Calibri" w:hAnsi="Arial" w:cs="Arial"/>
          <w:szCs w:val="28"/>
          <w:lang w:val="uk-UA" w:eastAsia="ru-RU"/>
        </w:rPr>
        <w:t>.</w:t>
      </w:r>
    </w:p>
    <w:p w14:paraId="12E3D43C" w14:textId="77777777"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5. Judgment of the Court (Grand Chamber) of 24 June 2019, European Commission v Republic of Poland,</w:t>
      </w:r>
      <w:r w:rsidRPr="00511005">
        <w:rPr>
          <w:rFonts w:ascii="Arial" w:eastAsia="Calibri" w:hAnsi="Arial" w:cs="Arial"/>
          <w:szCs w:val="28"/>
          <w:lang w:val="az-Latn-AZ" w:eastAsia="ru-RU"/>
        </w:rPr>
        <w:t xml:space="preserve"> </w:t>
      </w:r>
      <w:r w:rsidRPr="00511005">
        <w:rPr>
          <w:rFonts w:ascii="Arial" w:eastAsia="Calibri" w:hAnsi="Arial" w:cs="Arial"/>
          <w:szCs w:val="28"/>
          <w:lang w:val="uk-UA" w:eastAsia="ru-RU"/>
        </w:rPr>
        <w:t xml:space="preserve">C-619/18, ECLI:EU:C:2019:531 </w:t>
      </w:r>
      <w:r w:rsidRPr="00511005">
        <w:rPr>
          <w:rFonts w:ascii="Arial" w:eastAsia="Calibri" w:hAnsi="Arial" w:cs="Arial"/>
          <w:szCs w:val="28"/>
          <w:lang w:val="en-US" w:eastAsia="ru-RU"/>
        </w:rPr>
        <w:t>URL:</w:t>
      </w:r>
      <w:r w:rsidRPr="00511005">
        <w:rPr>
          <w:rFonts w:ascii="Arial" w:eastAsia="Calibri" w:hAnsi="Arial" w:cs="Arial"/>
          <w:szCs w:val="28"/>
          <w:lang w:val="uk-UA" w:eastAsia="ru-RU"/>
        </w:rPr>
        <w:t xml:space="preserve"> </w:t>
      </w:r>
      <w:hyperlink r:id="rId481" w:history="1">
        <w:r w:rsidRPr="00511005">
          <w:rPr>
            <w:rFonts w:ascii="Arial" w:eastAsia="Calibri" w:hAnsi="Arial" w:cs="Arial"/>
            <w:szCs w:val="28"/>
            <w:lang w:val="uk-UA" w:eastAsia="ru-RU"/>
          </w:rPr>
          <w:t>https://eur-lex.europa.eu/legal-content/EN/TXT/?uri=celex:62018CJ0619</w:t>
        </w:r>
      </w:hyperlink>
      <w:r w:rsidRPr="00511005">
        <w:rPr>
          <w:rFonts w:ascii="Arial" w:eastAsia="Calibri" w:hAnsi="Arial" w:cs="Arial"/>
          <w:szCs w:val="28"/>
          <w:lang w:val="uk-UA" w:eastAsia="ru-RU"/>
        </w:rPr>
        <w:t>.</w:t>
      </w:r>
    </w:p>
    <w:p w14:paraId="4951B606" w14:textId="77777777" w:rsidR="00220D3E" w:rsidRPr="00511005" w:rsidRDefault="00220D3E" w:rsidP="003A292D">
      <w:pPr>
        <w:tabs>
          <w:tab w:val="left" w:pos="709"/>
        </w:tabs>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6. Judgment of 13 March 2025,</w:t>
      </w:r>
      <w:r w:rsidRPr="00511005">
        <w:rPr>
          <w:rFonts w:ascii="Arial" w:eastAsia="Calibri" w:hAnsi="Arial" w:cs="Arial"/>
          <w:szCs w:val="28"/>
          <w:lang w:val="az-Latn-AZ" w:eastAsia="ru-RU"/>
        </w:rPr>
        <w:t xml:space="preserve"> Deldits, C</w:t>
      </w:r>
      <w:r w:rsidRPr="00511005">
        <w:rPr>
          <w:rFonts w:ascii="Arial" w:eastAsia="Calibri" w:hAnsi="Arial" w:cs="Arial"/>
          <w:szCs w:val="28"/>
          <w:lang w:val="uk-UA" w:eastAsia="ru-RU"/>
        </w:rPr>
        <w:t>-</w:t>
      </w:r>
      <w:r w:rsidRPr="00511005">
        <w:rPr>
          <w:rFonts w:ascii="Arial" w:eastAsia="Calibri" w:hAnsi="Arial" w:cs="Arial"/>
          <w:szCs w:val="28"/>
          <w:lang w:val="az-Latn-AZ" w:eastAsia="ru-RU"/>
        </w:rPr>
        <w:t xml:space="preserve">247/23, ECLI:EU:C:2025:172 </w:t>
      </w:r>
      <w:r w:rsidRPr="00511005">
        <w:rPr>
          <w:rFonts w:ascii="Arial" w:eastAsia="Calibri" w:hAnsi="Arial" w:cs="Arial"/>
          <w:szCs w:val="28"/>
          <w:lang w:val="en-US" w:eastAsia="ru-RU"/>
        </w:rPr>
        <w:t xml:space="preserve">URL: </w:t>
      </w:r>
      <w:hyperlink r:id="rId482" w:history="1">
        <w:r w:rsidRPr="00511005">
          <w:rPr>
            <w:rFonts w:ascii="Arial" w:eastAsia="Calibri" w:hAnsi="Arial" w:cs="Arial"/>
            <w:szCs w:val="28"/>
            <w:lang w:val="en-US" w:eastAsia="ru-RU"/>
          </w:rPr>
          <w:t>https://curia.europa.eu/juris/document/document.jsf?text=&amp;docid=296550&amp;pageIndex=0&amp;doclang=en&amp;mode=lst&amp;dir=&amp;occ=first&amp;part=1&amp;cid=6329012</w:t>
        </w:r>
      </w:hyperlink>
      <w:r w:rsidRPr="00511005">
        <w:rPr>
          <w:rFonts w:ascii="Arial" w:eastAsia="Calibri" w:hAnsi="Arial" w:cs="Arial"/>
          <w:szCs w:val="28"/>
          <w:lang w:val="uk-UA" w:eastAsia="ru-RU"/>
        </w:rPr>
        <w:t>.</w:t>
      </w:r>
    </w:p>
    <w:p w14:paraId="5EC0CECF" w14:textId="77777777" w:rsidR="00220D3E" w:rsidRPr="00511005" w:rsidRDefault="00220D3E" w:rsidP="003A292D">
      <w:pPr>
        <w:keepNext/>
        <w:tabs>
          <w:tab w:val="left" w:pos="709"/>
        </w:tabs>
        <w:spacing w:line="264" w:lineRule="auto"/>
        <w:rPr>
          <w:rFonts w:ascii="Arial" w:eastAsia="Times New Roman" w:hAnsi="Arial" w:cs="Arial"/>
          <w:b/>
          <w:szCs w:val="28"/>
          <w:lang w:val="uk-UA" w:eastAsia="ru-RU"/>
        </w:rPr>
      </w:pPr>
    </w:p>
    <w:p w14:paraId="25CAB1BE" w14:textId="4449C16A" w:rsidR="00220D3E" w:rsidRPr="00511005" w:rsidRDefault="007B2628" w:rsidP="003A292D">
      <w:pPr>
        <w:keepNext/>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Європейський Союз, верховенство права, цінності, Суд ЄС, Польща, Угорщина, порушення.</w:t>
      </w:r>
    </w:p>
    <w:p w14:paraId="6C1197FE" w14:textId="73DBC09E" w:rsidR="00220D3E" w:rsidRPr="00511005" w:rsidRDefault="007B2628" w:rsidP="003A292D">
      <w:pPr>
        <w:keepNext/>
        <w:tabs>
          <w:tab w:val="left" w:pos="709"/>
        </w:tabs>
        <w:spacing w:line="264" w:lineRule="auto"/>
        <w:rPr>
          <w:rFonts w:ascii="Arial" w:eastAsia="Times New Roman" w:hAnsi="Arial" w:cs="Arial"/>
          <w:bCs/>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bCs/>
          <w:szCs w:val="28"/>
          <w:lang w:val="en-US" w:eastAsia="ru-RU"/>
        </w:rPr>
        <w:t>European Union, rule of law, values, EU Court of Justice, Poland, Hungary, violations</w:t>
      </w:r>
      <w:r w:rsidR="00220D3E" w:rsidRPr="00511005">
        <w:rPr>
          <w:rFonts w:ascii="Arial" w:eastAsia="Times New Roman" w:hAnsi="Arial" w:cs="Arial"/>
          <w:bCs/>
          <w:szCs w:val="28"/>
          <w:lang w:val="uk-UA" w:eastAsia="ru-RU"/>
        </w:rPr>
        <w:t>.</w:t>
      </w:r>
    </w:p>
    <w:p w14:paraId="7A00E088" w14:textId="4A270EBB" w:rsidR="00220D3E" w:rsidRPr="00511005" w:rsidRDefault="00EE6668" w:rsidP="003A292D">
      <w:pPr>
        <w:tabs>
          <w:tab w:val="left" w:pos="709"/>
        </w:tabs>
        <w:spacing w:line="264" w:lineRule="auto"/>
        <w:jc w:val="left"/>
        <w:rPr>
          <w:rFonts w:ascii="Arial" w:eastAsia="Times New Roman" w:hAnsi="Arial" w:cs="Arial"/>
          <w:bCs/>
          <w:i/>
          <w:iCs/>
          <w:szCs w:val="28"/>
          <w:lang w:val="uk-UA" w:eastAsia="ru-RU"/>
        </w:rPr>
      </w:pPr>
      <w:r w:rsidRPr="00511005">
        <w:rPr>
          <w:rFonts w:ascii="Arial" w:eastAsia="Times New Roman" w:hAnsi="Arial" w:cs="Arial"/>
          <w:bCs/>
          <w:i/>
          <w:iCs/>
          <w:szCs w:val="28"/>
          <w:lang w:val="uk-UA" w:eastAsia="ru-RU"/>
        </w:rPr>
        <w:t>Науковий керівник:</w:t>
      </w:r>
      <w:r w:rsidR="00220D3E" w:rsidRPr="00511005">
        <w:rPr>
          <w:rFonts w:ascii="Arial" w:eastAsia="Times New Roman" w:hAnsi="Arial" w:cs="Arial"/>
          <w:bCs/>
          <w:i/>
          <w:iCs/>
          <w:szCs w:val="28"/>
          <w:lang w:val="uk-UA" w:eastAsia="ru-RU"/>
        </w:rPr>
        <w:t xml:space="preserve"> д.ю.н., професор Сурілова О.О.</w:t>
      </w:r>
    </w:p>
    <w:p w14:paraId="0EB2CBF4" w14:textId="77777777" w:rsidR="00220D3E" w:rsidRPr="00511005" w:rsidRDefault="00220D3E" w:rsidP="003A292D">
      <w:pPr>
        <w:tabs>
          <w:tab w:val="left" w:pos="709"/>
        </w:tabs>
        <w:spacing w:line="264" w:lineRule="auto"/>
        <w:jc w:val="left"/>
        <w:rPr>
          <w:rFonts w:ascii="Arial" w:eastAsia="Calibri" w:hAnsi="Arial" w:cs="Arial"/>
          <w:szCs w:val="28"/>
          <w:lang w:val="uk-UA" w:eastAsia="ru-RU"/>
        </w:rPr>
      </w:pPr>
    </w:p>
    <w:p w14:paraId="7C46FD91" w14:textId="77777777" w:rsidR="00220D3E" w:rsidRPr="00511005" w:rsidRDefault="00220D3E" w:rsidP="003A292D">
      <w:pPr>
        <w:tabs>
          <w:tab w:val="left" w:pos="709"/>
        </w:tabs>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Мазур Назарій Володимирович</w:t>
      </w:r>
    </w:p>
    <w:p w14:paraId="34B4A395" w14:textId="7E2F77AC"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10F44AF9"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3AA8C2E" w14:textId="1BFAC175"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0D0AAE3"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ru-RU"/>
        </w:rPr>
      </w:pPr>
    </w:p>
    <w:p w14:paraId="603888B3"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ПРОБЛЕМИ ЗАХИСТУ ПРАВ ПОТЕРПІЛИХ ВІД КАТУВАНЬ: МІЖНАРОДНІ МЕХАНІЗМИ ТА ВІТЧИЗНЯНА ПРАКТИКА</w:t>
      </w:r>
    </w:p>
    <w:p w14:paraId="73E12AB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Питання катувань, нелюдських видів поводження чи покарань, є актуальним у зв’язку зі складною геополітичною ситуацією в світі, тенденції до розвитку якої набувають актуальності протягом останніх декількох років. Ряд внутрішньодержавних, а також міжнародних правових документів прямо передбачають заборону до застосування нелюдських видів поводження, катувань, а також застосування інших заходів, спрямованих на приниження людської гідності.</w:t>
      </w:r>
      <w:r w:rsidRPr="00511005">
        <w:rPr>
          <w:rFonts w:ascii="Arial" w:eastAsia="Times New Roman" w:hAnsi="Arial" w:cs="Arial"/>
          <w:szCs w:val="28"/>
          <w:lang w:eastAsia="ru-RU"/>
        </w:rPr>
        <w:t>[1]</w:t>
      </w:r>
    </w:p>
    <w:p w14:paraId="2031C00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lastRenderedPageBreak/>
        <w:t>Однією з ключових норм є стаття 3 Європейської конвенції з прав людини, яка встановлює, що н</w:t>
      </w:r>
      <w:r w:rsidRPr="00511005">
        <w:rPr>
          <w:rFonts w:ascii="Arial" w:eastAsia="Times New Roman" w:hAnsi="Arial" w:cs="Arial"/>
          <w:szCs w:val="28"/>
          <w:lang w:eastAsia="ru-RU"/>
        </w:rPr>
        <w:t xml:space="preserve">ікого не може бути піддано катуванню або нелюдському чи такому, що принижує гідність, поводженню або покаранню. Конвенція ООН проти катувань дає чітке визначення цього явища: катуванням вважаються будь-які дії, за допомогою яких умисно завдаються сильний біль або страждання з метою отримання інформації, зізнання, покарання, залякування або дискримінації. Заборона катувань має абсолютний характер і не допускає жодних винятків, навіть у випадках війни чи надзвичайного стану, </w:t>
      </w:r>
      <w:r w:rsidRPr="00511005">
        <w:rPr>
          <w:rFonts w:ascii="Arial" w:eastAsia="Times New Roman" w:hAnsi="Arial" w:cs="Arial"/>
          <w:szCs w:val="28"/>
          <w:lang w:val="uk-UA" w:eastAsia="ru-RU"/>
        </w:rPr>
        <w:t>а також передбачає обов’язкове кримінальне переслідування за зазначені діяння.</w:t>
      </w:r>
      <w:r w:rsidRPr="00511005">
        <w:rPr>
          <w:rFonts w:ascii="Arial" w:eastAsia="Times New Roman" w:hAnsi="Arial" w:cs="Arial"/>
          <w:szCs w:val="28"/>
          <w:lang w:eastAsia="ru-RU"/>
        </w:rPr>
        <w:t>[2]</w:t>
      </w:r>
    </w:p>
    <w:p w14:paraId="2FA0698B" w14:textId="7A833329"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Запобігання катуванням, нелюдському або такому, що принижує гідність людини поводженню, застосуванню покарань які мають тотожну зазначеній мету є одним із центральних питань системи міжнародного захисту прав людини. </w:t>
      </w:r>
      <w:r w:rsidRPr="00511005">
        <w:rPr>
          <w:rFonts w:ascii="Arial" w:eastAsia="Times New Roman" w:hAnsi="Arial" w:cs="Arial"/>
          <w:szCs w:val="28"/>
          <w:lang w:eastAsia="ru-RU"/>
        </w:rPr>
        <w:t>Особливо загрозливою ця проблема стає під час збройного конфлікту, коли зростає кількість затриманих осіб, а також ризик безкарності.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 початком широкомасштабної агресії РФ проти України у 2022 році</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спостерігається систематичне порушення заборони катувань з боку держави-агресора</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Такі дії кваліфікуються як воєнні злочини та злочини проти людяності відповідно до Римського статуту Міжнародного кримінального суду.[3]</w:t>
      </w:r>
    </w:p>
    <w:p w14:paraId="37FDB84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Звіти ООН, ОБСЄ, Amnesty International, Human Rights Watch, а також уповноваженого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з прав людини свідчать про застосування побиття, удушення, електрошоку, зґвалтувань, катувань у "фільтраційних таборах", а також психологічного тиску і погроз родинам.[4]</w:t>
      </w:r>
    </w:p>
    <w:p w14:paraId="1B93AA9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Зафіксовані випадки катувань не лише щодо військовополонених, а й цивільного населення — що є прямим порушенням Женевської конвенції про захист цивільного населення. </w:t>
      </w:r>
      <w:r w:rsidRPr="00511005">
        <w:rPr>
          <w:rFonts w:ascii="Arial" w:eastAsia="Times New Roman" w:hAnsi="Arial" w:cs="Arial"/>
          <w:szCs w:val="28"/>
          <w:lang w:val="uk-UA" w:eastAsia="ru-RU"/>
        </w:rPr>
        <w:t>Більше того, такі дії набули значного резонансу в суспільстві в результаті розповсюдження фото-відеоматеріалів в засобах масової інформації із задокументованими фактами катувань, нелюдського і жорстокого поводження з боку збройних формувань держави-агресора щодо військовополонених, а також цивільних осіб зокрема</w:t>
      </w:r>
      <w:r w:rsidRPr="00511005">
        <w:rPr>
          <w:rFonts w:ascii="Arial" w:eastAsia="Times New Roman" w:hAnsi="Arial" w:cs="Arial"/>
          <w:szCs w:val="28"/>
          <w:lang w:eastAsia="ru-RU"/>
        </w:rPr>
        <w:t>.[7]</w:t>
      </w:r>
    </w:p>
    <w:p w14:paraId="0B04A6D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Окремої уваги потребують випадки жорстокого поводження з боку працівників правоохоронних органів, у пенітенціарній системі. У 2020 році Комітет опублікував звіт щодо України, де зазначалося, що попри певні покращення, у деяких відділках поліції та ізоляторах залишаються практики фізичного тиску на затриманих, зокрема у формі побиття чи тривалого утримання в позі, що викликає біль.[10]</w:t>
      </w:r>
    </w:p>
    <w:p w14:paraId="4C82731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Разом з тим, спостерігається тенденція до припинення випадків жорстого поводження з боку працівників правоохоронних органів. Позитивним прикладом є рекомендації CPT, які були враховані при оновленні стандартів утримання в СІЗО, включаючи доступ до медичної допомоги, адвокатів та фіксацію тілесних ушкоджень.</w:t>
      </w:r>
    </w:p>
    <w:p w14:paraId="4385BDB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Європейський суд з прав людини неодноразово визнавав порушення Україною ст. 3 Конвенції, зокрема через неналежні умови тримання під вартою, затягування розслідувань скарг на катування, відсутність ефективного механізму захисту. Проблема ускладнюється також браком незалежності судово-медичної експертизи та недовірою до правоохоронців.[10]</w:t>
      </w:r>
    </w:p>
    <w:p w14:paraId="7CCB6A6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Міжнародна практика демонструє низку ефективних підходів до протидії катуванням. Наприклад, у Німеччині та Великій Британії функціонують незалежні інспекції місць несвободи. У Франції діє Національний превентивний механізм, який забезпечує регулярні візити до установ утримання. В Україні аналогічна структура — Уповноважений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з прав людини — має повноваження здійснювати превентивні візити, однак ресурси для ефективної роботи обмежені.[9]</w:t>
      </w:r>
    </w:p>
    <w:p w14:paraId="22BD93E3" w14:textId="77777777" w:rsidR="00220D3E" w:rsidRPr="00511005" w:rsidRDefault="00220D3E" w:rsidP="003A292D">
      <w:pPr>
        <w:tabs>
          <w:tab w:val="left" w:pos="709"/>
        </w:tabs>
        <w:spacing w:line="264" w:lineRule="auto"/>
        <w:rPr>
          <w:rFonts w:ascii="Arial" w:eastAsia="Times New Roman" w:hAnsi="Arial" w:cs="Arial"/>
          <w:b/>
          <w:bCs/>
          <w:szCs w:val="28"/>
          <w:lang w:eastAsia="ru-RU"/>
        </w:rPr>
      </w:pPr>
      <w:r w:rsidRPr="00511005">
        <w:rPr>
          <w:rFonts w:ascii="Arial" w:eastAsia="Times New Roman" w:hAnsi="Arial" w:cs="Arial"/>
          <w:szCs w:val="28"/>
          <w:lang w:eastAsia="ru-RU"/>
        </w:rPr>
        <w:t>Конвенція ООН проти катувань</w:t>
      </w:r>
      <w:r w:rsidRPr="00511005">
        <w:rPr>
          <w:rFonts w:ascii="Arial" w:eastAsia="Times New Roman" w:hAnsi="Arial" w:cs="Arial"/>
          <w:b/>
          <w:bCs/>
          <w:szCs w:val="28"/>
          <w:lang w:eastAsia="ru-RU"/>
        </w:rPr>
        <w:t xml:space="preserve"> </w:t>
      </w:r>
      <w:r w:rsidRPr="00511005">
        <w:rPr>
          <w:rFonts w:ascii="Arial" w:eastAsia="Times New Roman" w:hAnsi="Arial" w:cs="Arial"/>
          <w:szCs w:val="28"/>
          <w:lang w:eastAsia="ru-RU"/>
        </w:rPr>
        <w:t>покладає на держави-учасниці обов’язок криміналізувати катування в національному законодавстві. Наприклад, Україна, ратифікувавши Конвенцію у 1987 році, зобов’язалася вжити законодавчих, адміністративних і судових заходів для запобігання катуванням. У 2012 році до Кримінального кодексу України було внесено ст. 127, яка чітко визначає поняття катування та встановлює покарання.[8]</w:t>
      </w:r>
    </w:p>
    <w:p w14:paraId="5DDF343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Конвенція також передбачає принцип </w:t>
      </w:r>
      <w:r w:rsidRPr="00511005">
        <w:rPr>
          <w:rFonts w:ascii="Arial" w:eastAsia="Times New Roman" w:hAnsi="Arial" w:cs="Arial"/>
          <w:b/>
          <w:bCs/>
          <w:szCs w:val="28"/>
          <w:lang w:eastAsia="ru-RU"/>
        </w:rPr>
        <w:t>non-refoulement</w:t>
      </w:r>
      <w:r w:rsidRPr="00511005">
        <w:rPr>
          <w:rFonts w:ascii="Arial" w:eastAsia="Times New Roman" w:hAnsi="Arial" w:cs="Arial"/>
          <w:szCs w:val="28"/>
          <w:lang w:eastAsia="ru-RU"/>
        </w:rPr>
        <w:t xml:space="preserve"> — заборону видавати або депортувати особу до країни, де їй загрожує катування. Цей принцип був застосований у справі </w:t>
      </w:r>
      <w:r w:rsidRPr="00511005">
        <w:rPr>
          <w:rFonts w:ascii="Arial" w:eastAsia="Times New Roman" w:hAnsi="Arial" w:cs="Arial"/>
          <w:i/>
          <w:iCs/>
          <w:szCs w:val="28"/>
          <w:lang w:eastAsia="ru-RU"/>
        </w:rPr>
        <w:t>Agiza v. Sweden</w:t>
      </w:r>
      <w:r w:rsidRPr="00511005">
        <w:rPr>
          <w:rFonts w:ascii="Arial" w:eastAsia="Times New Roman" w:hAnsi="Arial" w:cs="Arial"/>
          <w:szCs w:val="28"/>
          <w:lang w:eastAsia="ru-RU"/>
        </w:rPr>
        <w:t xml:space="preserve"> (2005), коли Комітет проти катувань визнав порушення, бо Швеція депортувала єгипетського громадянина, попри ризик катувань.</w:t>
      </w:r>
    </w:p>
    <w:p w14:paraId="56E3307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Окрім положень КК України, існують інші правові механізми такі як діяльність Національного превентивного механізму (НПМ) у форматі Уповноваженого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з прав людини і громадські монітори.</w:t>
      </w:r>
    </w:p>
    <w:p w14:paraId="64C83E0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Незважаючи на значний прогрес в удосконаленні правових норм, спрямованих на захист суспільства від злочинів катувань, нелюдського поводження і такого, що принижує гідність людини, з метою запобігання таких явищ в Україні доцільним є:</w:t>
      </w:r>
    </w:p>
    <w:p w14:paraId="710117E4" w14:textId="77777777" w:rsidR="00220D3E" w:rsidRPr="00511005" w:rsidRDefault="00220D3E" w:rsidP="003F6A5D">
      <w:pPr>
        <w:numPr>
          <w:ilvl w:val="0"/>
          <w:numId w:val="135"/>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посилення незалежності органів розслідування скарг на катування;</w:t>
      </w:r>
    </w:p>
    <w:p w14:paraId="51FE753F" w14:textId="77777777" w:rsidR="00220D3E" w:rsidRPr="00511005" w:rsidRDefault="00220D3E" w:rsidP="003F6A5D">
      <w:pPr>
        <w:numPr>
          <w:ilvl w:val="0"/>
          <w:numId w:val="135"/>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запровадження відеофіксації всіх етапів затримання та допитів;</w:t>
      </w:r>
    </w:p>
    <w:p w14:paraId="29E4CFA0" w14:textId="77777777" w:rsidR="00220D3E" w:rsidRPr="00511005" w:rsidRDefault="00220D3E" w:rsidP="003F6A5D">
      <w:pPr>
        <w:numPr>
          <w:ilvl w:val="0"/>
          <w:numId w:val="135"/>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забезпечення права на адвоката з моменту фактичного затримання;</w:t>
      </w:r>
    </w:p>
    <w:p w14:paraId="49FDE984" w14:textId="77777777" w:rsidR="00220D3E" w:rsidRPr="00511005" w:rsidRDefault="00220D3E" w:rsidP="003F6A5D">
      <w:pPr>
        <w:numPr>
          <w:ilvl w:val="0"/>
          <w:numId w:val="135"/>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створення ефективної системи підтримки жертв катувань, включаючи медичну та соціальну реабілітацію;</w:t>
      </w:r>
    </w:p>
    <w:p w14:paraId="2CF4563B" w14:textId="77777777" w:rsidR="00220D3E" w:rsidRPr="00511005" w:rsidRDefault="00220D3E" w:rsidP="003F6A5D">
      <w:pPr>
        <w:numPr>
          <w:ilvl w:val="0"/>
          <w:numId w:val="135"/>
        </w:numPr>
        <w:tabs>
          <w:tab w:val="clear" w:pos="720"/>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підвищення кваліфікації працівників правоохоронних органів щодо стандартів прав людини.</w:t>
      </w:r>
    </w:p>
    <w:p w14:paraId="349CD0C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По-перше, необхідно гарантувати реальну незалежність органів, що розслідують скарги на катування. Це дозволить усунути конфлікт інтересів і </w:t>
      </w:r>
      <w:r w:rsidRPr="00511005">
        <w:rPr>
          <w:rFonts w:ascii="Arial" w:eastAsia="Times New Roman" w:hAnsi="Arial" w:cs="Arial"/>
          <w:szCs w:val="28"/>
          <w:lang w:eastAsia="ru-RU"/>
        </w:rPr>
        <w:lastRenderedPageBreak/>
        <w:t>забезпечити об’єктивне, неупереджене вивчення фактів порушень з боку працівників правоохоронних органів.</w:t>
      </w:r>
    </w:p>
    <w:p w14:paraId="7F0236BC" w14:textId="77777777" w:rsidR="00220D3E" w:rsidRPr="00511005" w:rsidRDefault="00220D3E" w:rsidP="003A292D">
      <w:pPr>
        <w:tabs>
          <w:tab w:val="left" w:pos="709"/>
        </w:tabs>
        <w:spacing w:line="264" w:lineRule="auto"/>
        <w:rPr>
          <w:rFonts w:ascii="Arial" w:eastAsia="Times New Roman" w:hAnsi="Arial" w:cs="Arial"/>
          <w:szCs w:val="28"/>
          <w:lang w:eastAsia="ru-RU"/>
        </w:rPr>
      </w:pPr>
      <w:proofErr w:type="gramStart"/>
      <w:r w:rsidRPr="00511005">
        <w:rPr>
          <w:rFonts w:ascii="Arial" w:eastAsia="Times New Roman" w:hAnsi="Arial" w:cs="Arial"/>
          <w:szCs w:val="28"/>
          <w:lang w:eastAsia="ru-RU"/>
        </w:rPr>
        <w:t>По-друге</w:t>
      </w:r>
      <w:proofErr w:type="gramEnd"/>
      <w:r w:rsidRPr="00511005">
        <w:rPr>
          <w:rFonts w:ascii="Arial" w:eastAsia="Times New Roman" w:hAnsi="Arial" w:cs="Arial"/>
          <w:szCs w:val="28"/>
          <w:lang w:eastAsia="ru-RU"/>
        </w:rPr>
        <w:t>, важливим запобіжним механізмом є обов’язкова відеофіксація усіх етапів затримання та проведення допитів. Такий підхід підвищить прозорість дій правоохоронців, дозволить фіксувати порушення процесуальних норм і знижуватиме ризики застосування насильства і в решті слугуватиме допустими доказом в матеріалах відповідних проваджень.</w:t>
      </w:r>
    </w:p>
    <w:p w14:paraId="12FABF5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Крім того, необхідно створити дієву систему підтримки осіб, які постраждали внаслідок катувань. Вона має включати комплексну медичну, психологічну, соціальну та правову допомогу, що сприятиме їхній реабілітації та мотивації звертатися по захист, а також дозволить повноцінно ресоціалізувати таких осіб в силу особливості впливу такого роду злочинів на психіку індивида.</w:t>
      </w:r>
    </w:p>
    <w:p w14:paraId="388B159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Слід підкреслити, що суттєвим фактором змін має стати системне підвищення рівня обізнаності та кваліфікації працівників правоохоронних органів щодо стандартів прав людини. Створення якісно нових освітніх програм які повинні формувати правову культуру, професійну етику та практичні навички недопущення жорстокого поводження.</w:t>
      </w:r>
    </w:p>
    <w:p w14:paraId="4AC8296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викорінення катувань — це не лише питання закону, а й формування культури поваги до прав людини в суспільстві та органах державної влади і правоохоронних органів, зокрема. Україна, як держава, що прагне до європейської інтеграції, має зобов’язання не лише на папері, а й на практиці гарантувати кожному захист від нелюдського поводження, особливо в умовах правового режиму воєнного стану.</w:t>
      </w:r>
    </w:p>
    <w:p w14:paraId="7BE955AA" w14:textId="77777777" w:rsidR="00220D3E" w:rsidRPr="00511005" w:rsidRDefault="00220D3E" w:rsidP="003A292D">
      <w:pPr>
        <w:tabs>
          <w:tab w:val="left" w:pos="709"/>
        </w:tabs>
        <w:spacing w:line="264" w:lineRule="auto"/>
        <w:jc w:val="left"/>
        <w:rPr>
          <w:rFonts w:ascii="Arial" w:eastAsia="Times New Roman" w:hAnsi="Arial" w:cs="Arial"/>
          <w:b/>
          <w:bCs/>
          <w:szCs w:val="28"/>
          <w:lang w:val="uk-UA" w:eastAsia="ru-RU"/>
        </w:rPr>
      </w:pPr>
    </w:p>
    <w:p w14:paraId="418867A0" w14:textId="496F9D3E" w:rsidR="00220D3E" w:rsidRPr="00511005" w:rsidRDefault="007B2628" w:rsidP="007B2628">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28FC2B2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1.Конвенція ООН проти катувань - 1984 URL:</w:t>
      </w:r>
      <w:hyperlink r:id="rId483" w:anchor="Text" w:history="1">
        <w:r w:rsidRPr="00511005">
          <w:rPr>
            <w:rFonts w:ascii="Arial" w:eastAsia="Times New Roman" w:hAnsi="Arial" w:cs="Arial"/>
            <w:szCs w:val="28"/>
            <w:lang w:eastAsia="ru-RU"/>
          </w:rPr>
          <w:t>https://zakon.rada.gov.ua/laws/show/995_085#Text</w:t>
        </w:r>
      </w:hyperlink>
      <w:r w:rsidRPr="00511005">
        <w:rPr>
          <w:rFonts w:ascii="Arial" w:eastAsia="Times New Roman" w:hAnsi="Arial" w:cs="Arial"/>
          <w:szCs w:val="28"/>
          <w:lang w:eastAsia="ru-RU"/>
        </w:rPr>
        <w:t xml:space="preserve"> (дата звернення 02.05.2025)</w:t>
      </w:r>
    </w:p>
    <w:p w14:paraId="6D117D8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2. Європейська конвенція з прав людини - 1950 URL:</w:t>
      </w:r>
      <w:hyperlink r:id="rId484" w:anchor="Text" w:history="1">
        <w:r w:rsidRPr="00511005">
          <w:rPr>
            <w:rFonts w:ascii="Arial" w:eastAsia="Times New Roman" w:hAnsi="Arial" w:cs="Arial"/>
            <w:szCs w:val="28"/>
            <w:lang w:eastAsia="ru-RU"/>
          </w:rPr>
          <w:t>https://zakon.rada.gov.ua/laws/show/995_004#Text</w:t>
        </w:r>
      </w:hyperlink>
      <w:r w:rsidRPr="00511005">
        <w:rPr>
          <w:rFonts w:ascii="Arial" w:eastAsia="Times New Roman" w:hAnsi="Arial" w:cs="Arial"/>
          <w:szCs w:val="28"/>
          <w:lang w:eastAsia="ru-RU"/>
        </w:rPr>
        <w:t xml:space="preserve"> (дата звернення 02.05.2025)</w:t>
      </w:r>
    </w:p>
    <w:p w14:paraId="530A24A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3. Римський статут Міжнародного кримінального суду – 1998 URL:</w:t>
      </w:r>
      <w:hyperlink r:id="rId485" w:anchor="Text" w:history="1">
        <w:r w:rsidRPr="00511005">
          <w:rPr>
            <w:rFonts w:ascii="Arial" w:eastAsia="Times New Roman" w:hAnsi="Arial" w:cs="Arial"/>
            <w:szCs w:val="28"/>
            <w:lang w:eastAsia="ru-RU"/>
          </w:rPr>
          <w:t>https://zakon.rada.gov.ua/laws/show/995_588#Text</w:t>
        </w:r>
      </w:hyperlink>
      <w:r w:rsidRPr="00511005">
        <w:rPr>
          <w:rFonts w:ascii="Arial" w:eastAsia="Times New Roman" w:hAnsi="Arial" w:cs="Arial"/>
          <w:szCs w:val="28"/>
          <w:lang w:eastAsia="ru-RU"/>
        </w:rPr>
        <w:t xml:space="preserve"> (дата звернення 03.05.2025)</w:t>
      </w:r>
    </w:p>
    <w:p w14:paraId="472DB8F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4. Amnesty International: Ukraine – torture and ill-treatment during conflict. – 2023 URL:</w:t>
      </w:r>
      <w:hyperlink r:id="rId486" w:history="1">
        <w:r w:rsidRPr="00511005">
          <w:rPr>
            <w:rFonts w:ascii="Arial" w:eastAsia="Times New Roman" w:hAnsi="Arial" w:cs="Arial"/>
            <w:szCs w:val="28"/>
            <w:lang w:val="en-US" w:eastAsia="ru-RU"/>
          </w:rPr>
          <w:t>https://www.amnesty.org</w:t>
        </w:r>
      </w:hyperlink>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xml:space="preserve"> 01.05.2025)</w:t>
      </w:r>
    </w:p>
    <w:p w14:paraId="401DDDCE" w14:textId="4BEEEB3B"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5.</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Звіти Управління Верховного комісара ООН з прав людини щодо ситуації в Україні – 2022–2024 рр.</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URL: </w:t>
      </w:r>
      <w:hyperlink r:id="rId487" w:history="1">
        <w:r w:rsidRPr="00511005">
          <w:rPr>
            <w:rFonts w:ascii="Arial" w:eastAsia="Times New Roman" w:hAnsi="Arial" w:cs="Arial"/>
            <w:szCs w:val="28"/>
            <w:lang w:eastAsia="ru-RU"/>
          </w:rPr>
          <w:t>https://surl.li/yqqndh</w:t>
        </w:r>
      </w:hyperlink>
      <w:r w:rsidRPr="00511005">
        <w:rPr>
          <w:rFonts w:ascii="Arial" w:eastAsia="Times New Roman" w:hAnsi="Arial" w:cs="Arial"/>
          <w:szCs w:val="28"/>
          <w:lang w:eastAsia="ru-RU"/>
        </w:rPr>
        <w:t xml:space="preserve"> (дата звернення 05.05.2025)</w:t>
      </w:r>
    </w:p>
    <w:p w14:paraId="54D30E43" w14:textId="04B8380D"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6.</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Інформація Уповноваженого Верховної Ради України з прав людини URL:</w:t>
      </w:r>
      <w:hyperlink r:id="rId488" w:history="1">
        <w:r w:rsidRPr="00511005">
          <w:rPr>
            <w:rFonts w:ascii="Arial" w:eastAsia="Times New Roman" w:hAnsi="Arial" w:cs="Arial"/>
            <w:szCs w:val="28"/>
            <w:lang w:eastAsia="ru-RU"/>
          </w:rPr>
          <w:t>https://ombudsman.gov.ua</w:t>
        </w:r>
      </w:hyperlink>
    </w:p>
    <w:p w14:paraId="3FD705CB" w14:textId="664F9075" w:rsidR="00220D3E" w:rsidRPr="00511005" w:rsidRDefault="00220D3E" w:rsidP="003A292D">
      <w:pPr>
        <w:tabs>
          <w:tab w:val="left" w:pos="709"/>
        </w:tabs>
        <w:spacing w:line="264" w:lineRule="auto"/>
        <w:rPr>
          <w:rFonts w:ascii="Arial" w:eastAsia="Times New Roman" w:hAnsi="Arial" w:cs="Arial"/>
          <w:szCs w:val="28"/>
          <w:lang w:val="pl-PL" w:eastAsia="ru-RU"/>
        </w:rPr>
      </w:pPr>
      <w:r w:rsidRPr="00511005">
        <w:rPr>
          <w:rFonts w:ascii="Arial" w:eastAsia="Times New Roman" w:hAnsi="Arial" w:cs="Arial"/>
          <w:szCs w:val="28"/>
          <w:lang w:val="en-US" w:eastAsia="ru-RU"/>
        </w:rPr>
        <w:t>7.</w:t>
      </w:r>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 xml:space="preserve">Human Rights Watch. Russia/Ukraine: Executions, Torture During Occupation – 2023. </w:t>
      </w:r>
      <w:r w:rsidRPr="00511005">
        <w:rPr>
          <w:rFonts w:ascii="Arial" w:eastAsia="Times New Roman" w:hAnsi="Arial" w:cs="Arial"/>
          <w:szCs w:val="28"/>
          <w:lang w:val="pl-PL" w:eastAsia="ru-RU"/>
        </w:rPr>
        <w:t xml:space="preserve">URL: </w:t>
      </w:r>
      <w:hyperlink r:id="rId489" w:history="1">
        <w:r w:rsidRPr="00511005">
          <w:rPr>
            <w:rFonts w:ascii="Arial" w:eastAsia="Times New Roman" w:hAnsi="Arial" w:cs="Arial"/>
            <w:szCs w:val="28"/>
            <w:lang w:val="pl-PL" w:eastAsia="ru-RU"/>
          </w:rPr>
          <w:t>https://www.hrw.org/news/2022/05/18/ukraine-executions-torture-during-russian-occupation</w:t>
        </w:r>
      </w:hyperlink>
    </w:p>
    <w:p w14:paraId="37061457" w14:textId="176BDA35"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8.</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Кримінальний кодекс України. – Ст. 127 URL:</w:t>
      </w:r>
      <w:hyperlink r:id="rId490" w:anchor="Text" w:history="1">
        <w:r w:rsidRPr="00511005">
          <w:rPr>
            <w:rFonts w:ascii="Arial" w:eastAsia="Times New Roman" w:hAnsi="Arial" w:cs="Arial"/>
            <w:szCs w:val="28"/>
            <w:lang w:eastAsia="ru-RU"/>
          </w:rPr>
          <w:t>https://zakon.rada.gov.ua/laws/show/2341-14#Text</w:t>
        </w:r>
      </w:hyperlink>
      <w:r w:rsidRPr="00511005">
        <w:rPr>
          <w:rFonts w:ascii="Arial" w:eastAsia="Times New Roman" w:hAnsi="Arial" w:cs="Arial"/>
          <w:szCs w:val="28"/>
          <w:lang w:eastAsia="ru-RU"/>
        </w:rPr>
        <w:t xml:space="preserve"> (дата звернення 07.05.2025)</w:t>
      </w:r>
    </w:p>
    <w:p w14:paraId="7F470E0A" w14:textId="2B1C5B8E"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9.</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Центр громадянських свобод. Документація злочинів в Україні – 2022–2024 URL:</w:t>
      </w:r>
      <w:r w:rsidRPr="00511005">
        <w:rPr>
          <w:rFonts w:ascii="Arial" w:eastAsia="Times New Roman" w:hAnsi="Arial" w:cs="Arial"/>
          <w:szCs w:val="28"/>
          <w:lang w:eastAsia="ru-RU"/>
        </w:rPr>
        <w:tab/>
      </w:r>
      <w:hyperlink r:id="rId491" w:history="1">
        <w:r w:rsidRPr="00511005">
          <w:rPr>
            <w:rFonts w:ascii="Arial" w:eastAsia="Times New Roman" w:hAnsi="Arial" w:cs="Arial"/>
            <w:szCs w:val="28"/>
            <w:lang w:eastAsia="ru-RU"/>
          </w:rPr>
          <w:t>https://ccl.org.ua/positions/</w:t>
        </w:r>
      </w:hyperlink>
    </w:p>
    <w:p w14:paraId="63F29DED" w14:textId="34741BED"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en-US" w:eastAsia="ru-RU"/>
        </w:rPr>
        <w:t>10.</w:t>
      </w:r>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Рішення</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ЄСПЛ</w:t>
      </w:r>
      <w:r w:rsidRPr="00511005">
        <w:rPr>
          <w:rFonts w:ascii="Arial" w:eastAsia="Times New Roman" w:hAnsi="Arial" w:cs="Arial"/>
          <w:szCs w:val="28"/>
          <w:lang w:val="en-US" w:eastAsia="ru-RU"/>
        </w:rPr>
        <w:t xml:space="preserve">: Kaverzin v. Ukraine, Application no. 23893/03. </w:t>
      </w:r>
      <w:r w:rsidRPr="00511005">
        <w:rPr>
          <w:rFonts w:ascii="Arial" w:eastAsia="Times New Roman" w:hAnsi="Arial" w:cs="Arial"/>
          <w:szCs w:val="28"/>
          <w:lang w:eastAsia="ru-RU"/>
        </w:rPr>
        <w:t>URL:</w:t>
      </w:r>
      <w:hyperlink r:id="rId492" w:anchor="Text" w:history="1">
        <w:r w:rsidRPr="00511005">
          <w:rPr>
            <w:rFonts w:ascii="Arial" w:eastAsia="Times New Roman" w:hAnsi="Arial" w:cs="Arial"/>
            <w:szCs w:val="28"/>
            <w:lang w:eastAsia="ru-RU"/>
          </w:rPr>
          <w:t>https://zakon.rada.gov.ua/laws/show/974_851#Text</w:t>
        </w:r>
      </w:hyperlink>
      <w:r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ab/>
        <w:t xml:space="preserve"> (дата звернення 01.05.2025)</w:t>
      </w:r>
    </w:p>
    <w:p w14:paraId="6DA17685"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664CBBF5" w14:textId="4B56204B"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катування, нелюдське поводження, покарання, що принижує гідність, права людини, жорстоке поводження, захист прав людини, міжнародне гуманітарне право, воєнні злочини, злочини проти людяності</w:t>
      </w:r>
    </w:p>
    <w:p w14:paraId="28D398B9" w14:textId="71968117"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torture, inhuman treatment, degrading punishment, human rights, cruel treatment, human rights protection, international humanitarian law, war crimes, crimes against humanity.</w:t>
      </w:r>
    </w:p>
    <w:p w14:paraId="5896A834" w14:textId="18D82527" w:rsidR="00220D3E" w:rsidRPr="00511005" w:rsidRDefault="007B2628" w:rsidP="003A292D">
      <w:pPr>
        <w:tabs>
          <w:tab w:val="left" w:pos="709"/>
        </w:tabs>
        <w:spacing w:line="264" w:lineRule="auto"/>
        <w:rPr>
          <w:rFonts w:ascii="Arial" w:eastAsia="Times New Roman" w:hAnsi="Arial" w:cs="Arial"/>
          <w:bCs/>
          <w:i/>
          <w:szCs w:val="28"/>
          <w:lang w:val="uk-UA" w:eastAsia="ru-RU"/>
        </w:rPr>
      </w:pPr>
      <w:r w:rsidRPr="00511005">
        <w:rPr>
          <w:rFonts w:ascii="Arial" w:eastAsia="Times New Roman" w:hAnsi="Arial" w:cs="Arial"/>
          <w:b/>
          <w:bCs/>
          <w:i/>
          <w:szCs w:val="28"/>
          <w:lang w:val="uk-UA" w:eastAsia="ru-RU"/>
        </w:rPr>
        <w:t xml:space="preserve">Науковий керівник: </w:t>
      </w:r>
      <w:r w:rsidR="00220D3E" w:rsidRPr="00511005">
        <w:rPr>
          <w:rFonts w:ascii="Arial" w:eastAsia="Times New Roman" w:hAnsi="Arial" w:cs="Arial"/>
          <w:bCs/>
          <w:i/>
          <w:szCs w:val="28"/>
          <w:lang w:val="uk-UA" w:eastAsia="ru-RU"/>
        </w:rPr>
        <w:t>к.ю.н., доцент</w:t>
      </w:r>
      <w:r w:rsidRPr="00511005">
        <w:rPr>
          <w:rFonts w:ascii="Arial" w:eastAsia="Times New Roman" w:hAnsi="Arial" w:cs="Arial"/>
          <w:bCs/>
          <w:i/>
          <w:szCs w:val="28"/>
          <w:lang w:val="uk-UA" w:eastAsia="ru-RU"/>
        </w:rPr>
        <w:t xml:space="preserve"> </w:t>
      </w:r>
      <w:r w:rsidR="00220D3E" w:rsidRPr="00511005">
        <w:rPr>
          <w:rFonts w:ascii="Arial" w:eastAsia="Times New Roman" w:hAnsi="Arial" w:cs="Arial"/>
          <w:bCs/>
          <w:i/>
          <w:szCs w:val="28"/>
          <w:lang w:val="uk-UA" w:eastAsia="ru-RU"/>
        </w:rPr>
        <w:t>Гриб А.М.</w:t>
      </w:r>
    </w:p>
    <w:p w14:paraId="26BFB92B"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242F7E24" w14:textId="77777777" w:rsidR="00220D3E" w:rsidRPr="00511005" w:rsidRDefault="00220D3E" w:rsidP="003A292D">
      <w:pPr>
        <w:tabs>
          <w:tab w:val="left" w:pos="709"/>
        </w:tabs>
        <w:spacing w:line="264" w:lineRule="auto"/>
        <w:ind w:firstLine="0"/>
        <w:jc w:val="center"/>
        <w:rPr>
          <w:rFonts w:ascii="Arial" w:eastAsia="Times New Roman" w:hAnsi="Arial" w:cs="Arial"/>
          <w:b/>
          <w:i/>
          <w:iCs/>
          <w:szCs w:val="28"/>
          <w:lang w:val="uk-UA" w:eastAsia="ru-RU"/>
        </w:rPr>
      </w:pPr>
      <w:r w:rsidRPr="00511005">
        <w:rPr>
          <w:rFonts w:ascii="Arial" w:eastAsia="Times New Roman" w:hAnsi="Arial" w:cs="Arial"/>
          <w:b/>
          <w:i/>
          <w:szCs w:val="28"/>
          <w:lang w:val="uk-UA" w:eastAsia="ru-RU"/>
        </w:rPr>
        <w:t>Маковійчук Софія Віталіївна</w:t>
      </w:r>
      <w:bookmarkStart w:id="52" w:name="_Hlk197435223"/>
    </w:p>
    <w:bookmarkEnd w:id="52"/>
    <w:p w14:paraId="06ECDCA5" w14:textId="1ED504BA"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47D96388"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A7B379F" w14:textId="087C904D" w:rsidR="00220D3E" w:rsidRPr="00511005" w:rsidRDefault="007B2628"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54119498"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417E7026" w14:textId="77777777" w:rsidR="00220D3E" w:rsidRPr="00511005" w:rsidRDefault="00220D3E" w:rsidP="003A292D">
      <w:pPr>
        <w:keepNext/>
        <w:widowControl w:val="0"/>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ПРАВА ЛЮДИНИ В ЕПОХУ ШТУЧНОГО ІНТЕЛЕКТУ: ВИКЛИКИ ТА МІЖНАРОДНО-ПРАВОВЕ РЕГУЛЮВАННЯ</w:t>
      </w:r>
    </w:p>
    <w:p w14:paraId="2AA12EFC" w14:textId="77777777" w:rsidR="00220D3E" w:rsidRPr="00511005" w:rsidRDefault="00220D3E" w:rsidP="003A292D">
      <w:pPr>
        <w:keepNext/>
        <w:widowControl w:val="0"/>
        <w:tabs>
          <w:tab w:val="left" w:pos="709"/>
        </w:tabs>
        <w:spacing w:line="264" w:lineRule="auto"/>
        <w:ind w:firstLine="0"/>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ab/>
        <w:t>Розвиток штучного інтелекту ( далі - ШІ) є однією з найважливіших технологічних трансформацій XXI століття, що впливає на всі сфери суспільного життя. Застосування ШІ в медицині, юриспруденції, освіті, економіці і навіть обороні відкриває нові можливості, але водночас створює істотні ризики для дотримання прав людини. Ці ризики обумовлюють необхідність удосконалення міжнародно-правових механізмів контролю над розробкою та застосуванням ШІ.</w:t>
      </w:r>
    </w:p>
    <w:p w14:paraId="04943079"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Насамперед, значні побоювання викликає можливість порушення права на приватність. Системи штучного інтелекту здатні масово обробляти персональні дані, використовуючи такі технології, як розпізнавання облич, моніторинг геолокації, аналіз поведінкових патернів. Практики масового стеження за допомогою ШІ, особливо в авторитарних режимах, загрожують </w:t>
      </w:r>
      <w:r w:rsidRPr="00511005">
        <w:rPr>
          <w:rFonts w:ascii="Arial" w:eastAsia="Times New Roman" w:hAnsi="Arial" w:cs="Arial"/>
          <w:bCs/>
          <w:szCs w:val="28"/>
          <w:lang w:val="uk-UA" w:eastAsia="ru-RU"/>
        </w:rPr>
        <w:lastRenderedPageBreak/>
        <w:t>формуванням суспільств тотального нагляду [1]. Особливо гостро це питання стоїть у контексті використання систем розпізнавання облич у публічних просторах без попереднього інформування чи згоди громадян.</w:t>
      </w:r>
    </w:p>
    <w:p w14:paraId="44144AE7"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Алгоритмічна дискримінація є ще одним серйозним викликом. Прикладами її прояву є системи, що ухвалюють рішення про надання кредитів, відбір працівників або визначення рівня ризику злочинності. У таких випадках машинне навчання може "успадкувати" існуючі соціальні упередження, поглиблюючи нерівність. Один із найбільш відомих прикладів — справа SyRI у Нідерландах, де автоматизована система виявлення шахрайства у соціальному забезпеченні була визнана дискримінаційною [1].</w:t>
      </w:r>
    </w:p>
    <w:p w14:paraId="598A5B8E"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Прозорість алгоритмів та можливість їх аудиту є критично важливою для дотримання принципу верховенства права. Відсутність доступу до логіки прийняття рішень ШІ обмежує можливість ефективного оскарження дискримінаційних або необґрунтованих рішень у суді [2].</w:t>
      </w:r>
    </w:p>
    <w:p w14:paraId="2BE7360C"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Окремо варто зазначити, що ШІ дедалі частіше використовується для впливу на суспільну думку через маніпуляції інформацією в соціальних мережах, створення фальшивого контенту (deepfake) та поширення дезінформації, що ставить під загрозу свободу слова і демократичні інститути [3].</w:t>
      </w:r>
    </w:p>
    <w:p w14:paraId="60112D92"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У відповідь на ці виклики міжнародні організації розробляють нормативно-правові документи та етичні рамки. ЮНЕСКО у 2021 році ухвалило "Recommendation on the Ethics of Artificial Intelligence", де наголошується на необхідності забезпечення людської гідності, недискримінації, прозорості, приватності й підзвітності у розвитку та застосуванні ШІ [2].</w:t>
      </w:r>
    </w:p>
    <w:p w14:paraId="0E0E1142" w14:textId="50830DB0"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Європейський Союз запропонував проєкт "Artificial Intelligence Act", який передбачає ризик-орієнтоване регулювання: системи високого ризику підлягатимуть суворим вимогам до безпеки, прозорості та аудиту. Заборонено використання ШІ для соціального скорингу громадян та маніпулювання поведінкою людей у шкідливий спосіб</w:t>
      </w:r>
      <w:r w:rsidR="007B2628"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val="uk-UA" w:eastAsia="ru-RU"/>
        </w:rPr>
        <w:t>[3].</w:t>
      </w:r>
    </w:p>
    <w:p w14:paraId="4CB8D4F0"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У США запропоновано "Blueprint for an AI Bill of Rights", який акцентує на п'яти принципах: безпечність систем, запобігання дискримінації, захист приватності, прозорість та контроль над автоматизованими рішеннями [4].</w:t>
      </w:r>
    </w:p>
    <w:p w14:paraId="69CDCB5C"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Організація економічного співробітництва та розвитку (OECD) ще у 2019 році ухвалила "Recommendation on Artificial Intelligence", в якій ШІ визначено як технологію, що має слугувати людині, поважати верховенство права та сприяти сталому розвитку [5].</w:t>
      </w:r>
    </w:p>
    <w:p w14:paraId="16FF6FE7"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У межах Ради Європи розробляється Рамкова конвенція з питань штучного інтелекту, що має забезпечити відповідність використання ШІ стандартам захисту прав людини і демократії [1].</w:t>
      </w:r>
    </w:p>
    <w:p w14:paraId="60749E79" w14:textId="76C2FDED"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Україна, як держава-учасник багатьох міжнародних ініціатив, активізує свої зусилля щодо впровадження етичних стандартів у сфері ШІ. Прийнята </w:t>
      </w:r>
      <w:r w:rsidRPr="00511005">
        <w:rPr>
          <w:rFonts w:ascii="Arial" w:eastAsia="Times New Roman" w:hAnsi="Arial" w:cs="Arial"/>
          <w:bCs/>
          <w:szCs w:val="28"/>
          <w:lang w:val="uk-UA" w:eastAsia="ru-RU"/>
        </w:rPr>
        <w:lastRenderedPageBreak/>
        <w:t>Концепція розвитку ШІ в Україні до 2030 року, Дорожня карта з регулювання ШІ (2023), а також участь у міжнародних платформах (EU4DigitalUA, Блетчлійська декларація) свідчать про прагнення держави впроваджувати найкращі світові практики</w:t>
      </w:r>
      <w:r w:rsidR="007B2628"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val="uk-UA" w:eastAsia="ru-RU"/>
        </w:rPr>
        <w:t>[7].</w:t>
      </w:r>
    </w:p>
    <w:p w14:paraId="74F07294"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Таким чином, епоха штучного інтелекту знаменує собою не просто технологічну революцію, а фундаментальну зміну парадигми суспільного розвитку. Проникаючи в усі аспекти людської діяльності, ШІ обіцяє безпрецедентні можливості для оптимізації процесів, наукових відкриттів та підвищення якості життя. Однак, ця трансформаційна сила несе в собі глибокі екзистенційні ризики для самої сутності прав людини та демократичних цінностей.</w:t>
      </w:r>
    </w:p>
    <w:p w14:paraId="476883D0"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Реакція міжнародних організацій та окремих держав на вищеописані виклики, як це відображено в розробці етичних рекомендацій та законодавчих актів, є важливим, але лише першим кроком. Ефективне регулювання ШІ вимагає не лише встановлення правових норм, але й глибокого міждисциплінарного діалогу, залучення експертів з права, етики, технологій та представників громадянського суспільства.</w:t>
      </w:r>
    </w:p>
    <w:p w14:paraId="0F9599B5"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Ключовим завданням є формування такої екосистеми розвитку ШІ, в якій технологічний прогрес не відбувається ціною фундаментальних прав і свобод. Це передбачає не лише розробку інструментів контролю та нагляду за ШІ, але й сприяння розвитку технологій, орієнтованих на приватність та справедливість за замовчуванням ("privacy and fairness by design").</w:t>
      </w:r>
    </w:p>
    <w:p w14:paraId="793671BE"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Більше того, епоха ШІ вимагає від суспільства якісно нового рівня цифрової грамотності та критичного мислення. Громадяни повинні бути здатні розуміти принципи роботи ШІ, оцінювати його вплив на їхнє життя та активно брати участь у формуванні політики щодо його регулювання.</w:t>
      </w:r>
    </w:p>
    <w:p w14:paraId="38B680AF" w14:textId="77777777" w:rsidR="00220D3E" w:rsidRPr="00511005" w:rsidRDefault="00220D3E" w:rsidP="003A292D">
      <w:pPr>
        <w:keepNext/>
        <w:widowControl w:val="0"/>
        <w:tabs>
          <w:tab w:val="left" w:pos="709"/>
        </w:tabs>
        <w:spacing w:line="264" w:lineRule="auto"/>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Зрештою, майбутнє співіснування людства та штучного інтелекту визначатиметься нашою здатністю дотримуватися гуманістичних цінностей у процесі технологічного розвитку. Права людини повинні залишатися невід'ємним орієнтиром, а технології мають служити інструментом для розширення можливостей та гідності кожної людини, а не для її обмеження чи контролю. Це вимагає постійної пильності, адаптивності та готовності до переосмислення усталених норм у новій цифровій реальності.</w:t>
      </w:r>
    </w:p>
    <w:p w14:paraId="4C737A63" w14:textId="77777777" w:rsidR="00220D3E" w:rsidRPr="00511005" w:rsidRDefault="00220D3E" w:rsidP="003A292D">
      <w:pPr>
        <w:keepNext/>
        <w:widowControl w:val="0"/>
        <w:tabs>
          <w:tab w:val="left" w:pos="709"/>
        </w:tabs>
        <w:spacing w:line="264" w:lineRule="auto"/>
        <w:jc w:val="center"/>
        <w:rPr>
          <w:rFonts w:ascii="Arial" w:eastAsia="Times New Roman" w:hAnsi="Arial" w:cs="Arial"/>
          <w:b/>
          <w:bCs/>
          <w:szCs w:val="28"/>
          <w:lang w:val="uk-UA" w:eastAsia="ru-RU"/>
        </w:rPr>
      </w:pPr>
    </w:p>
    <w:p w14:paraId="052B0661" w14:textId="6DFD9AF9" w:rsidR="00220D3E" w:rsidRPr="00511005" w:rsidRDefault="007B2628" w:rsidP="007B2628">
      <w:pPr>
        <w:keepNext/>
        <w:widowControl w:val="0"/>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5EA0659E" w14:textId="77777777" w:rsidR="00220D3E" w:rsidRPr="00511005" w:rsidRDefault="00220D3E" w:rsidP="003F6A5D">
      <w:pPr>
        <w:keepNext/>
        <w:widowControl w:val="0"/>
        <w:numPr>
          <w:ilvl w:val="0"/>
          <w:numId w:val="136"/>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Офіс Уповноваженого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з прав людини. Права людини в епоху штучного інтелекту: виклики та правове регулювання. Київ, 2024. </w:t>
      </w:r>
      <w:r w:rsidRPr="00511005">
        <w:rPr>
          <w:rFonts w:ascii="Arial" w:eastAsia="Times New Roman" w:hAnsi="Arial" w:cs="Arial"/>
          <w:szCs w:val="28"/>
          <w:lang w:val="en-US" w:eastAsia="ru-RU"/>
        </w:rPr>
        <w:t xml:space="preserve">URL: </w:t>
      </w:r>
      <w:hyperlink r:id="rId493" w:history="1">
        <w:r w:rsidRPr="00511005">
          <w:rPr>
            <w:rFonts w:ascii="Arial" w:eastAsia="Times New Roman" w:hAnsi="Arial" w:cs="Arial"/>
            <w:szCs w:val="28"/>
            <w:lang w:eastAsia="ru-RU"/>
          </w:rPr>
          <w:t>https://surl.li/dwvpot</w:t>
        </w:r>
      </w:hyperlink>
      <w:r w:rsidRPr="00511005">
        <w:rPr>
          <w:rFonts w:ascii="Arial" w:eastAsia="Times New Roman" w:hAnsi="Arial" w:cs="Arial"/>
          <w:szCs w:val="28"/>
          <w:lang w:val="uk-UA" w:eastAsia="ru-RU"/>
        </w:rPr>
        <w:t xml:space="preserve"> </w:t>
      </w:r>
    </w:p>
    <w:p w14:paraId="4A6748F2" w14:textId="77777777" w:rsidR="00220D3E" w:rsidRPr="00511005" w:rsidRDefault="00220D3E" w:rsidP="003F6A5D">
      <w:pPr>
        <w:keepNext/>
        <w:widowControl w:val="0"/>
        <w:numPr>
          <w:ilvl w:val="0"/>
          <w:numId w:val="136"/>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UNESCO. Recommendation on the Ethics of Artificial Intelligence. Paris, 2021. URL: </w:t>
      </w:r>
      <w:hyperlink r:id="rId494" w:history="1">
        <w:r w:rsidRPr="00511005">
          <w:rPr>
            <w:rFonts w:ascii="Arial" w:eastAsia="Times New Roman" w:hAnsi="Arial" w:cs="Arial"/>
            <w:szCs w:val="28"/>
            <w:lang w:val="en-US" w:eastAsia="ru-RU"/>
          </w:rPr>
          <w:t>https://unesdoc.unesco.org/ark:/48223/pf0000381137</w:t>
        </w:r>
      </w:hyperlink>
    </w:p>
    <w:p w14:paraId="776650FD" w14:textId="77777777" w:rsidR="00220D3E" w:rsidRPr="00511005" w:rsidRDefault="00220D3E" w:rsidP="003F6A5D">
      <w:pPr>
        <w:keepNext/>
        <w:widowControl w:val="0"/>
        <w:numPr>
          <w:ilvl w:val="0"/>
          <w:numId w:val="136"/>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European Commission. Proposal for a Regulation Laying Down Harmonised Rules on Artificial Intelligence (Artificial Intelligence Act). Brussels, </w:t>
      </w:r>
      <w:r w:rsidRPr="00511005">
        <w:rPr>
          <w:rFonts w:ascii="Arial" w:eastAsia="Times New Roman" w:hAnsi="Arial" w:cs="Arial"/>
          <w:szCs w:val="28"/>
          <w:lang w:val="en-US" w:eastAsia="ru-RU"/>
        </w:rPr>
        <w:lastRenderedPageBreak/>
        <w:t xml:space="preserve">2021. URL: </w:t>
      </w:r>
      <w:hyperlink r:id="rId495" w:history="1">
        <w:r w:rsidRPr="00511005">
          <w:rPr>
            <w:rFonts w:ascii="Arial" w:eastAsia="Times New Roman" w:hAnsi="Arial" w:cs="Arial"/>
            <w:szCs w:val="28"/>
            <w:lang w:eastAsia="ru-RU"/>
          </w:rPr>
          <w:t>https://surl.li/mgktlr</w:t>
        </w:r>
      </w:hyperlink>
    </w:p>
    <w:p w14:paraId="2B3DFB63" w14:textId="77777777" w:rsidR="00220D3E" w:rsidRPr="00511005" w:rsidRDefault="00220D3E" w:rsidP="003F6A5D">
      <w:pPr>
        <w:keepNext/>
        <w:widowControl w:val="0"/>
        <w:numPr>
          <w:ilvl w:val="0"/>
          <w:numId w:val="136"/>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White House Office of Science and Technology Policy. Blueprint for an AI Bill of Rights. Washington, D.C., 2022. URL: </w:t>
      </w:r>
      <w:hyperlink r:id="rId496" w:history="1">
        <w:r w:rsidRPr="00511005">
          <w:rPr>
            <w:rFonts w:ascii="Arial" w:eastAsia="Times New Roman" w:hAnsi="Arial" w:cs="Arial"/>
            <w:szCs w:val="28"/>
            <w:lang w:val="en-US" w:eastAsia="ru-RU"/>
          </w:rPr>
          <w:t>https://www.whitehouse.gov/ostp/ai-bill-of-rights/</w:t>
        </w:r>
      </w:hyperlink>
    </w:p>
    <w:p w14:paraId="03E1DA03" w14:textId="77777777" w:rsidR="00220D3E" w:rsidRPr="00511005" w:rsidRDefault="00220D3E" w:rsidP="003F6A5D">
      <w:pPr>
        <w:keepNext/>
        <w:widowControl w:val="0"/>
        <w:numPr>
          <w:ilvl w:val="0"/>
          <w:numId w:val="136"/>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OECD. Recommendation of the Council on Artificial Intelligence. Paris, 2019. URL: </w:t>
      </w:r>
      <w:hyperlink r:id="rId497" w:history="1">
        <w:r w:rsidRPr="00511005">
          <w:rPr>
            <w:rFonts w:ascii="Arial" w:eastAsia="Times New Roman" w:hAnsi="Arial" w:cs="Arial"/>
            <w:szCs w:val="28"/>
            <w:lang w:val="en-US" w:eastAsia="ru-RU"/>
          </w:rPr>
          <w:t>https://legalinstruments.oecd.org/en/instruments/OECD-LEGAL-0449</w:t>
        </w:r>
      </w:hyperlink>
    </w:p>
    <w:p w14:paraId="0A755ECA" w14:textId="77777777" w:rsidR="00220D3E" w:rsidRPr="00511005" w:rsidRDefault="00220D3E" w:rsidP="003F6A5D">
      <w:pPr>
        <w:keepNext/>
        <w:widowControl w:val="0"/>
        <w:numPr>
          <w:ilvl w:val="0"/>
          <w:numId w:val="136"/>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European Union. General Data Protection Regulation (GDPR). Regulation (EU) 2016/679. URL: https://eur-lex.europa.eu/eli/reg/2016/679/oj</w:t>
      </w:r>
    </w:p>
    <w:p w14:paraId="53C2199D" w14:textId="77777777" w:rsidR="00220D3E" w:rsidRPr="00511005" w:rsidRDefault="00220D3E" w:rsidP="003F6A5D">
      <w:pPr>
        <w:keepNext/>
        <w:widowControl w:val="0"/>
        <w:numPr>
          <w:ilvl w:val="0"/>
          <w:numId w:val="136"/>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The Bletchley Declaration. The Bletchley Declaration on AI Safety. AI Safety Summit, 2023. URL: </w:t>
      </w:r>
      <w:hyperlink r:id="rId498" w:history="1">
        <w:r w:rsidRPr="00511005">
          <w:rPr>
            <w:rFonts w:ascii="Arial" w:eastAsia="Times New Roman" w:hAnsi="Arial" w:cs="Arial"/>
            <w:szCs w:val="28"/>
            <w:lang w:eastAsia="ru-RU"/>
          </w:rPr>
          <w:t>https://surl.lu/zdyice</w:t>
        </w:r>
      </w:hyperlink>
      <w:r w:rsidRPr="00511005">
        <w:rPr>
          <w:rFonts w:ascii="Arial" w:eastAsia="Times New Roman" w:hAnsi="Arial" w:cs="Arial"/>
          <w:szCs w:val="28"/>
          <w:lang w:val="uk-UA" w:eastAsia="ru-RU"/>
        </w:rPr>
        <w:t xml:space="preserve"> </w:t>
      </w:r>
    </w:p>
    <w:p w14:paraId="585D78A5" w14:textId="77777777" w:rsidR="00220D3E" w:rsidRPr="00511005" w:rsidRDefault="00220D3E" w:rsidP="003A292D">
      <w:pPr>
        <w:keepNext/>
        <w:tabs>
          <w:tab w:val="left" w:pos="709"/>
        </w:tabs>
        <w:spacing w:line="264" w:lineRule="auto"/>
        <w:rPr>
          <w:rFonts w:ascii="Arial" w:eastAsia="Times New Roman" w:hAnsi="Arial" w:cs="Arial"/>
          <w:b/>
          <w:szCs w:val="28"/>
          <w:lang w:val="uk-UA" w:eastAsia="ru-RU"/>
        </w:rPr>
      </w:pPr>
    </w:p>
    <w:p w14:paraId="14EA3F44" w14:textId="23488F5B" w:rsidR="00220D3E" w:rsidRPr="00511005" w:rsidRDefault="007B2628" w:rsidP="003A292D">
      <w:pPr>
        <w:keepNext/>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Штучний інтелект (ШІ)</w:t>
      </w:r>
      <w:r w:rsidR="00220D3E" w:rsidRPr="00511005">
        <w:rPr>
          <w:rFonts w:ascii="Arial" w:eastAsia="Times New Roman" w:hAnsi="Arial" w:cs="Arial"/>
          <w:szCs w:val="28"/>
          <w:lang w:val="uk-UA" w:eastAsia="ru-RU"/>
        </w:rPr>
        <w:t>, р</w:t>
      </w:r>
      <w:r w:rsidR="00220D3E" w:rsidRPr="00511005">
        <w:rPr>
          <w:rFonts w:ascii="Arial" w:eastAsia="Times New Roman" w:hAnsi="Arial" w:cs="Arial"/>
          <w:szCs w:val="28"/>
          <w:lang w:eastAsia="ru-RU"/>
        </w:rPr>
        <w:t>озвиток ШІ</w:t>
      </w:r>
      <w:r w:rsidR="00220D3E" w:rsidRPr="00511005">
        <w:rPr>
          <w:rFonts w:ascii="Arial" w:eastAsia="Times New Roman" w:hAnsi="Arial" w:cs="Arial"/>
          <w:szCs w:val="28"/>
          <w:lang w:val="uk-UA" w:eastAsia="ru-RU"/>
        </w:rPr>
        <w:t>, т</w:t>
      </w:r>
      <w:r w:rsidR="00220D3E" w:rsidRPr="00511005">
        <w:rPr>
          <w:rFonts w:ascii="Arial" w:eastAsia="Times New Roman" w:hAnsi="Arial" w:cs="Arial"/>
          <w:szCs w:val="28"/>
          <w:lang w:eastAsia="ru-RU"/>
        </w:rPr>
        <w:t>рансформація</w:t>
      </w:r>
      <w:r w:rsidR="00220D3E" w:rsidRPr="00511005">
        <w:rPr>
          <w:rFonts w:ascii="Arial" w:eastAsia="Times New Roman" w:hAnsi="Arial" w:cs="Arial"/>
          <w:szCs w:val="28"/>
          <w:lang w:val="uk-UA" w:eastAsia="ru-RU"/>
        </w:rPr>
        <w:t>, п</w:t>
      </w:r>
      <w:r w:rsidR="00220D3E" w:rsidRPr="00511005">
        <w:rPr>
          <w:rFonts w:ascii="Arial" w:eastAsia="Times New Roman" w:hAnsi="Arial" w:cs="Arial"/>
          <w:szCs w:val="28"/>
          <w:lang w:eastAsia="ru-RU"/>
        </w:rPr>
        <w:t>рава людини</w:t>
      </w:r>
      <w:r w:rsidR="00220D3E" w:rsidRPr="00511005">
        <w:rPr>
          <w:rFonts w:ascii="Arial" w:eastAsia="Times New Roman" w:hAnsi="Arial" w:cs="Arial"/>
          <w:szCs w:val="28"/>
          <w:lang w:val="uk-UA" w:eastAsia="ru-RU"/>
        </w:rPr>
        <w:t>, п</w:t>
      </w:r>
      <w:r w:rsidR="00220D3E" w:rsidRPr="00511005">
        <w:rPr>
          <w:rFonts w:ascii="Arial" w:eastAsia="Times New Roman" w:hAnsi="Arial" w:cs="Arial"/>
          <w:szCs w:val="28"/>
          <w:lang w:eastAsia="ru-RU"/>
        </w:rPr>
        <w:t>риватність</w:t>
      </w:r>
      <w:r w:rsidR="00220D3E" w:rsidRPr="00511005">
        <w:rPr>
          <w:rFonts w:ascii="Arial" w:eastAsia="Times New Roman" w:hAnsi="Arial" w:cs="Arial"/>
          <w:szCs w:val="28"/>
          <w:lang w:val="uk-UA" w:eastAsia="ru-RU"/>
        </w:rPr>
        <w:t>, н</w:t>
      </w:r>
      <w:r w:rsidR="00220D3E" w:rsidRPr="00511005">
        <w:rPr>
          <w:rFonts w:ascii="Arial" w:eastAsia="Times New Roman" w:hAnsi="Arial" w:cs="Arial"/>
          <w:szCs w:val="28"/>
          <w:lang w:eastAsia="ru-RU"/>
        </w:rPr>
        <w:t>едискримінація</w:t>
      </w:r>
      <w:r w:rsidR="00220D3E" w:rsidRPr="00511005">
        <w:rPr>
          <w:rFonts w:ascii="Arial" w:eastAsia="Times New Roman" w:hAnsi="Arial" w:cs="Arial"/>
          <w:szCs w:val="28"/>
          <w:lang w:val="uk-UA" w:eastAsia="ru-RU"/>
        </w:rPr>
        <w:t>, с</w:t>
      </w:r>
      <w:r w:rsidR="00220D3E" w:rsidRPr="00511005">
        <w:rPr>
          <w:rFonts w:ascii="Arial" w:eastAsia="Times New Roman" w:hAnsi="Arial" w:cs="Arial"/>
          <w:szCs w:val="28"/>
          <w:lang w:eastAsia="ru-RU"/>
        </w:rPr>
        <w:t>праведливий суд</w:t>
      </w:r>
      <w:r w:rsidR="00220D3E" w:rsidRPr="00511005">
        <w:rPr>
          <w:rFonts w:ascii="Arial" w:eastAsia="Times New Roman" w:hAnsi="Arial" w:cs="Arial"/>
          <w:szCs w:val="28"/>
          <w:lang w:val="uk-UA" w:eastAsia="ru-RU"/>
        </w:rPr>
        <w:t>, с</w:t>
      </w:r>
      <w:r w:rsidR="00220D3E" w:rsidRPr="00511005">
        <w:rPr>
          <w:rFonts w:ascii="Arial" w:eastAsia="Times New Roman" w:hAnsi="Arial" w:cs="Arial"/>
          <w:szCs w:val="28"/>
          <w:lang w:eastAsia="ru-RU"/>
        </w:rPr>
        <w:t>вобода слова</w:t>
      </w:r>
    </w:p>
    <w:p w14:paraId="7989C7B3" w14:textId="5C68EA62" w:rsidR="00220D3E" w:rsidRPr="00511005" w:rsidRDefault="007B2628" w:rsidP="003A292D">
      <w:pPr>
        <w:keepNext/>
        <w:tabs>
          <w:tab w:val="left" w:pos="709"/>
        </w:tabs>
        <w:spacing w:line="264" w:lineRule="auto"/>
        <w:rPr>
          <w:rFonts w:ascii="Arial" w:eastAsia="Times New Roman" w:hAnsi="Arial" w:cs="Arial"/>
          <w:bCs/>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bCs/>
          <w:szCs w:val="28"/>
          <w:lang w:val="en-US" w:eastAsia="ru-RU"/>
        </w:rPr>
        <w:t>Artificial Intelligence (AI)</w:t>
      </w:r>
      <w:r w:rsidR="00220D3E" w:rsidRPr="00511005">
        <w:rPr>
          <w:rFonts w:ascii="Arial" w:eastAsia="Times New Roman" w:hAnsi="Arial" w:cs="Arial"/>
          <w:bCs/>
          <w:szCs w:val="28"/>
          <w:lang w:val="uk-UA" w:eastAsia="ru-RU"/>
        </w:rPr>
        <w:t xml:space="preserve">, </w:t>
      </w:r>
      <w:r w:rsidR="00220D3E" w:rsidRPr="00511005">
        <w:rPr>
          <w:rFonts w:ascii="Arial" w:eastAsia="Times New Roman" w:hAnsi="Arial" w:cs="Arial"/>
          <w:bCs/>
          <w:szCs w:val="28"/>
          <w:lang w:val="en-US" w:eastAsia="ru-RU"/>
        </w:rPr>
        <w:t>AI Development</w:t>
      </w:r>
      <w:r w:rsidR="00220D3E" w:rsidRPr="00511005">
        <w:rPr>
          <w:rFonts w:ascii="Arial" w:eastAsia="Times New Roman" w:hAnsi="Arial" w:cs="Arial"/>
          <w:bCs/>
          <w:szCs w:val="28"/>
          <w:lang w:val="uk-UA" w:eastAsia="ru-RU"/>
        </w:rPr>
        <w:t xml:space="preserve">, </w:t>
      </w:r>
      <w:r w:rsidR="00220D3E" w:rsidRPr="00511005">
        <w:rPr>
          <w:rFonts w:ascii="Arial" w:eastAsia="Times New Roman" w:hAnsi="Arial" w:cs="Arial"/>
          <w:bCs/>
          <w:szCs w:val="28"/>
          <w:lang w:val="en-US" w:eastAsia="ru-RU"/>
        </w:rPr>
        <w:t>transformation</w:t>
      </w:r>
      <w:r w:rsidR="00220D3E" w:rsidRPr="00511005">
        <w:rPr>
          <w:rFonts w:ascii="Arial" w:eastAsia="Times New Roman" w:hAnsi="Arial" w:cs="Arial"/>
          <w:bCs/>
          <w:szCs w:val="28"/>
          <w:lang w:val="uk-UA" w:eastAsia="ru-RU"/>
        </w:rPr>
        <w:t xml:space="preserve">, </w:t>
      </w:r>
      <w:r w:rsidR="00220D3E" w:rsidRPr="00511005">
        <w:rPr>
          <w:rFonts w:ascii="Arial" w:eastAsia="Times New Roman" w:hAnsi="Arial" w:cs="Arial"/>
          <w:bCs/>
          <w:szCs w:val="28"/>
          <w:lang w:val="en-US" w:eastAsia="ru-RU"/>
        </w:rPr>
        <w:t>human rights</w:t>
      </w:r>
      <w:r w:rsidR="00220D3E" w:rsidRPr="00511005">
        <w:rPr>
          <w:rFonts w:ascii="Arial" w:eastAsia="Times New Roman" w:hAnsi="Arial" w:cs="Arial"/>
          <w:bCs/>
          <w:szCs w:val="28"/>
          <w:lang w:val="uk-UA" w:eastAsia="ru-RU"/>
        </w:rPr>
        <w:t xml:space="preserve">, </w:t>
      </w:r>
      <w:r w:rsidR="00220D3E" w:rsidRPr="00511005">
        <w:rPr>
          <w:rFonts w:ascii="Arial" w:eastAsia="Times New Roman" w:hAnsi="Arial" w:cs="Arial"/>
          <w:bCs/>
          <w:szCs w:val="28"/>
          <w:lang w:val="en-US" w:eastAsia="ru-RU"/>
        </w:rPr>
        <w:t>privacy</w:t>
      </w:r>
      <w:r w:rsidR="00220D3E" w:rsidRPr="00511005">
        <w:rPr>
          <w:rFonts w:ascii="Arial" w:eastAsia="Times New Roman" w:hAnsi="Arial" w:cs="Arial"/>
          <w:bCs/>
          <w:szCs w:val="28"/>
          <w:lang w:val="uk-UA" w:eastAsia="ru-RU"/>
        </w:rPr>
        <w:t xml:space="preserve">, </w:t>
      </w:r>
      <w:r w:rsidR="00220D3E" w:rsidRPr="00511005">
        <w:rPr>
          <w:rFonts w:ascii="Arial" w:eastAsia="Times New Roman" w:hAnsi="Arial" w:cs="Arial"/>
          <w:bCs/>
          <w:szCs w:val="28"/>
          <w:lang w:val="en-US" w:eastAsia="ru-RU"/>
        </w:rPr>
        <w:t>non-discrimination</w:t>
      </w:r>
      <w:r w:rsidR="00220D3E" w:rsidRPr="00511005">
        <w:rPr>
          <w:rFonts w:ascii="Arial" w:eastAsia="Times New Roman" w:hAnsi="Arial" w:cs="Arial"/>
          <w:bCs/>
          <w:szCs w:val="28"/>
          <w:lang w:val="uk-UA" w:eastAsia="ru-RU"/>
        </w:rPr>
        <w:t xml:space="preserve">, </w:t>
      </w:r>
      <w:r w:rsidR="00220D3E" w:rsidRPr="00511005">
        <w:rPr>
          <w:rFonts w:ascii="Arial" w:eastAsia="Times New Roman" w:hAnsi="Arial" w:cs="Arial"/>
          <w:bCs/>
          <w:szCs w:val="28"/>
          <w:lang w:val="en-US" w:eastAsia="ru-RU"/>
        </w:rPr>
        <w:t>fair trial</w:t>
      </w:r>
      <w:r w:rsidR="00220D3E" w:rsidRPr="00511005">
        <w:rPr>
          <w:rFonts w:ascii="Arial" w:eastAsia="Times New Roman" w:hAnsi="Arial" w:cs="Arial"/>
          <w:bCs/>
          <w:szCs w:val="28"/>
          <w:lang w:val="uk-UA" w:eastAsia="ru-RU"/>
        </w:rPr>
        <w:t xml:space="preserve">, </w:t>
      </w:r>
      <w:r w:rsidR="00220D3E" w:rsidRPr="00511005">
        <w:rPr>
          <w:rFonts w:ascii="Arial" w:eastAsia="Times New Roman" w:hAnsi="Arial" w:cs="Arial"/>
          <w:bCs/>
          <w:szCs w:val="28"/>
          <w:lang w:val="en-US" w:eastAsia="ru-RU"/>
        </w:rPr>
        <w:t>freedom of speech</w:t>
      </w:r>
    </w:p>
    <w:p w14:paraId="35BF207A" w14:textId="62C64963" w:rsidR="00220D3E" w:rsidRPr="00511005" w:rsidRDefault="007B2628" w:rsidP="003A292D">
      <w:pPr>
        <w:tabs>
          <w:tab w:val="left" w:pos="709"/>
        </w:tabs>
        <w:spacing w:line="264" w:lineRule="auto"/>
        <w:jc w:val="left"/>
        <w:rPr>
          <w:rFonts w:ascii="Arial" w:eastAsia="Times New Roman" w:hAnsi="Arial" w:cs="Arial"/>
          <w:bCs/>
          <w:i/>
          <w:iCs/>
          <w:szCs w:val="28"/>
          <w:lang w:val="uk-UA" w:eastAsia="ru-RU"/>
        </w:rPr>
      </w:pPr>
      <w:r w:rsidRPr="00511005">
        <w:rPr>
          <w:rFonts w:ascii="Arial" w:eastAsia="Times New Roman" w:hAnsi="Arial" w:cs="Arial"/>
          <w:b/>
          <w:bCs/>
          <w:i/>
          <w:iCs/>
          <w:szCs w:val="28"/>
          <w:lang w:eastAsia="ru-RU"/>
        </w:rPr>
        <w:t xml:space="preserve">Науковий керівник: </w:t>
      </w:r>
      <w:r w:rsidR="00220D3E" w:rsidRPr="00511005">
        <w:rPr>
          <w:rFonts w:ascii="Arial" w:eastAsia="Times New Roman" w:hAnsi="Arial" w:cs="Arial"/>
          <w:bCs/>
          <w:i/>
          <w:iCs/>
          <w:szCs w:val="28"/>
          <w:lang w:eastAsia="ru-RU"/>
        </w:rPr>
        <w:t>к.ю.н., доцент</w:t>
      </w:r>
      <w:r w:rsidRPr="00511005">
        <w:rPr>
          <w:rFonts w:ascii="Arial" w:eastAsia="Times New Roman" w:hAnsi="Arial" w:cs="Arial"/>
          <w:bCs/>
          <w:i/>
          <w:iCs/>
          <w:szCs w:val="28"/>
          <w:lang w:eastAsia="ru-RU"/>
        </w:rPr>
        <w:t xml:space="preserve"> </w:t>
      </w:r>
      <w:r w:rsidR="00220D3E" w:rsidRPr="00511005">
        <w:rPr>
          <w:rFonts w:ascii="Arial" w:eastAsia="Times New Roman" w:hAnsi="Arial" w:cs="Arial"/>
          <w:bCs/>
          <w:i/>
          <w:iCs/>
          <w:szCs w:val="28"/>
          <w:lang w:eastAsia="ru-RU"/>
        </w:rPr>
        <w:t>Гриб А.М.</w:t>
      </w:r>
    </w:p>
    <w:p w14:paraId="004DCB4E"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437D20CA"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i/>
          <w:iCs/>
          <w:szCs w:val="28"/>
          <w:lang w:eastAsia="ru-RU"/>
        </w:rPr>
        <w:t>Макутіна Софія Олександрівна</w:t>
      </w:r>
    </w:p>
    <w:p w14:paraId="325FBABB" w14:textId="0B982750" w:rsidR="00220D3E" w:rsidRPr="00511005" w:rsidRDefault="00536AAB" w:rsidP="003A292D">
      <w:pPr>
        <w:tabs>
          <w:tab w:val="left" w:pos="709"/>
        </w:tabs>
        <w:spacing w:line="264" w:lineRule="auto"/>
        <w:ind w:firstLine="0"/>
        <w:jc w:val="center"/>
        <w:rPr>
          <w:rFonts w:ascii="Arial" w:eastAsia="Times New Roman" w:hAnsi="Arial" w:cs="Arial"/>
          <w:iCs/>
          <w:szCs w:val="28"/>
          <w:lang w:val="uk-UA" w:eastAsia="ru-RU"/>
        </w:rPr>
      </w:pPr>
      <w:r w:rsidRPr="00511005">
        <w:rPr>
          <w:rFonts w:ascii="Arial" w:eastAsia="Times New Roman" w:hAnsi="Arial" w:cs="Arial"/>
          <w:iCs/>
          <w:szCs w:val="28"/>
          <w:lang w:eastAsia="ru-RU"/>
        </w:rPr>
        <w:t xml:space="preserve">студентка 2-го курсу </w:t>
      </w:r>
      <w:r w:rsidR="001B7B25" w:rsidRPr="00511005">
        <w:rPr>
          <w:rFonts w:ascii="Arial" w:eastAsia="Times New Roman" w:hAnsi="Arial" w:cs="Arial"/>
          <w:iCs/>
          <w:szCs w:val="28"/>
          <w:lang w:eastAsia="ru-RU"/>
        </w:rPr>
        <w:t>факультету судового та міжнародного права</w:t>
      </w:r>
      <w:r w:rsidR="00220D3E" w:rsidRPr="00511005">
        <w:rPr>
          <w:rFonts w:ascii="Arial" w:eastAsia="Times New Roman" w:hAnsi="Arial" w:cs="Arial"/>
          <w:iCs/>
          <w:szCs w:val="28"/>
          <w:lang w:eastAsia="ru-RU"/>
        </w:rPr>
        <w:t xml:space="preserve"> </w:t>
      </w:r>
    </w:p>
    <w:p w14:paraId="1D8B5587" w14:textId="1B201193" w:rsidR="00220D3E" w:rsidRPr="00511005" w:rsidRDefault="007B2628" w:rsidP="003A292D">
      <w:pPr>
        <w:tabs>
          <w:tab w:val="left" w:pos="709"/>
        </w:tabs>
        <w:spacing w:line="264" w:lineRule="auto"/>
        <w:ind w:firstLine="0"/>
        <w:jc w:val="center"/>
        <w:rPr>
          <w:rFonts w:ascii="Arial" w:eastAsia="Times New Roman" w:hAnsi="Arial" w:cs="Arial"/>
          <w:i/>
          <w:iCs/>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r w:rsidR="00220D3E" w:rsidRPr="00511005">
        <w:rPr>
          <w:rFonts w:ascii="Arial" w:eastAsia="Times New Roman" w:hAnsi="Arial" w:cs="Arial"/>
          <w:i/>
          <w:iCs/>
          <w:szCs w:val="28"/>
          <w:lang w:eastAsia="ru-RU"/>
        </w:rPr>
        <w:t> </w:t>
      </w:r>
    </w:p>
    <w:p w14:paraId="055CDB5C"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56581E8E"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ru-RU"/>
        </w:rPr>
      </w:pPr>
      <w:bookmarkStart w:id="53" w:name="OLE_LINK1"/>
      <w:r w:rsidRPr="00511005">
        <w:rPr>
          <w:rFonts w:ascii="Arial" w:eastAsia="Times New Roman" w:hAnsi="Arial" w:cs="Arial"/>
          <w:b/>
          <w:bCs/>
          <w:szCs w:val="28"/>
          <w:lang w:eastAsia="ru-RU"/>
        </w:rPr>
        <w:t>РОЛЬ МІЖНАРОДНИХ ОРГАНІЗАЦІЙ У ВИРІШЕННІ ГУМАНІТАРНИХ КРИЗ ПІД ЧАС ЗБРОЙНИХ КОНФЛІКТІВ</w:t>
      </w:r>
    </w:p>
    <w:p w14:paraId="0D990807" w14:textId="3387AD8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Гуманітарні кризи, що виникають унаслідок збройних конфліктів, становлять одну з найгостріших проблем сучасності. Вони призводять до масового переміщення людей, нестачі їжі, води, медичної допомоги, руйнування соціальної інфраструктури та порушення прав людини</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 xml:space="preserve">і </w:t>
      </w:r>
      <w:r w:rsidRPr="00511005">
        <w:rPr>
          <w:rFonts w:ascii="Arial" w:eastAsia="Times New Roman" w:hAnsi="Arial" w:cs="Arial"/>
          <w:szCs w:val="28"/>
          <w:lang w:eastAsia="ru-RU"/>
        </w:rPr>
        <w:t>часто залишають по собі не тільки руйнування, а й масштабні гуманітарні</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кризи.</w:t>
      </w:r>
      <w:r w:rsidRPr="00511005">
        <w:rPr>
          <w:rFonts w:ascii="Arial" w:eastAsia="Times New Roman" w:hAnsi="Arial" w:cs="Arial"/>
          <w:szCs w:val="28"/>
          <w:lang w:val="uk-UA" w:eastAsia="ru-RU"/>
        </w:rPr>
        <w:t xml:space="preserve"> Як зауважує Пищуліна О.М., «гуманітарна ситуація в умовах війни характеризується критичною нестачею базових ресурсів, руйнуванням медичної, освітньої та соціальної систем». Соціальні послуги перестають функціонувати, а права людини систематично порушуються.</w:t>
      </w:r>
      <w:r w:rsidR="007B2628" w:rsidRPr="00055389">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У таких умовах міжнародні організації відіграють ключову роль у захисті цивільного населення, забезпеченні гуманітарної допомоги та сприянні стабілізації ситуації. </w:t>
      </w:r>
    </w:p>
    <w:p w14:paraId="42D5B13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 словами Вишнякова О.В., «сучасна гуманітарна система функціонує в умовах постійної турбулентності та потребує гнучких стратегій адаптації». У такому контексті міжнародні організації виступають ключовими суб'єктами, здатними забезпечити захист цивільного населення, гуманітарну підтримку та моніторинг дотримання міжнародного </w:t>
      </w:r>
      <w:r w:rsidRPr="00511005">
        <w:rPr>
          <w:rFonts w:ascii="Arial" w:eastAsia="Times New Roman" w:hAnsi="Arial" w:cs="Arial"/>
          <w:szCs w:val="28"/>
          <w:lang w:val="uk-UA" w:eastAsia="ru-RU"/>
        </w:rPr>
        <w:lastRenderedPageBreak/>
        <w:t xml:space="preserve">гуманітарного права, діють як посередники між сторонами конфлікту, координатори допомоги та гаранти дотримання міжнародного гуманітарного права. Їхня діяльність охоплює як надання негайної допомоги, так і довготривалі програми з відновлення інфраструктури, медичної системи, освіти та забезпечення базових потреб постраждалих. </w:t>
      </w:r>
    </w:p>
    <w:p w14:paraId="1AFD299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Організація Об'єднаних Націй (ООН) є головним глобальним актором у сфері реагування на гуманітарні кризи. Через такі установи, як Управління Верховного комісара ООН у справах біженців (УВКБ), Управління з координації гуманітарних питань (УКГП), Всесвітню продовольчу програму (ВПП) та ЮНІСЕФ, ООН забезпечує допомогу мільйонам постраждалих від війни. Ці структури здійснюють розподіл продовольства, забезпечують притулок, медичну допомогу та захист вразливих груп, включаючи жінок і дітей.</w:t>
      </w:r>
    </w:p>
    <w:p w14:paraId="7D310A5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ООН також координує міжнародну допомогу, мобілізуючи ресурси для забезпечення ефективної підтримки в умовах гуманітарної кризи. Наприклад, під час війни в Україні її структури відіграють важливу роль у забезпеченні внутрішньо переміщених осіб (ВПО) необхідними базовими потребами, такими як житло, медичне обслуговування та психологічна підтримка. Завдяки тісній співпраці з урядами, місцевими організаціями та іншими гуманітарними агентствами, ООН забезпечує своєчасне реагування на змінювані обставини.</w:t>
      </w:r>
    </w:p>
    <w:p w14:paraId="5D66F4A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Крім того, ООН активно працює над виявленням і вирішенням проблем прав людини, які виникають під час збройних конфліктів. Це включає захист прав біженців, неповнолітніх та інших уразливих груп, а також надання допомоги в ситуаціях, де порушуються міжнародні гуманітарні стандарти. В Україні, зокрема, велика увага приділяється підтримці осіб, які постраждали від обстрілів і військових дій, а також від знищення критичної інфраструктури. Як зазначає ООН у звіті про діяльність в Україні, «у 2023 році гуманітарна допомога досягла понад 11 мільйонів осіб, включаючи внутрішньо переміщених і тих, хто залишився в зоні конфлікту». </w:t>
      </w:r>
    </w:p>
    <w:p w14:paraId="51C3F83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Важливим аспектом діяльності ООН є також моніторинг і оцінка гуманітарної ситуації, що дозволяє оперативно реагувати на зміни та оптимізувати використання допомоги, орієнтуючи її на найбільш постраждалі регіони та категорії населення.</w:t>
      </w:r>
    </w:p>
    <w:p w14:paraId="661732F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Міжнародний Комітет Червоного Хреста (МКЧХ) має особливий мандат, визначений Женевськими конвенціями, надавати гуманітарну допомогу під час збройних конфліктів. Його діяльність спрямована на захист цивільного населення, відвідування військовополонених, сприяння дотриманню норм міжнародного гуманітарного права та документування порушень.</w:t>
      </w:r>
    </w:p>
    <w:p w14:paraId="230C3DA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Відповідно до загальної статті 3, Міжнародний Комітет Червоного Хреста (МКЧХ) також бере активну участь у забезпеченні гуманітарної </w:t>
      </w:r>
      <w:r w:rsidRPr="00511005">
        <w:rPr>
          <w:rFonts w:ascii="Arial" w:eastAsia="Times New Roman" w:hAnsi="Arial" w:cs="Arial"/>
          <w:szCs w:val="28"/>
          <w:lang w:val="uk-UA" w:eastAsia="ru-RU"/>
        </w:rPr>
        <w:lastRenderedPageBreak/>
        <w:t>допомоги в зонах збройних конфліктів, зокрема, через доставку медикаментів, продуктів харчування та води в райони, де цивільне населення зазнає найбільших труднощів. Однією з основних його функцій є забезпечення належного гуманітарного доступу до осіб, що перебувають в умовах обмеженого доступу, таких як осіб, утримуваних у полоні, або жителів блокованих міст. МКЧХ активно працює над забезпеченням зв'язку між родинами, розділеними внаслідок конфліктів, сприяючи обміну повідомленнями та поверненню зниклих безвісти осіб. Крім того, організація проводить навчання щодо міжнародного гуманітарного права серед збройних сил і інших учасників конфлікту, щоб знизити кількість порушень прав цивільного населення.</w:t>
      </w:r>
    </w:p>
    <w:p w14:paraId="27A4E69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контексті збройного конфлікту міжнародного характеру в Україні МКЧХ активно співпрацює з українським урядом, місцевими організаціями та міжнародними партнерами, забезпечуючи доставку гуманітарної допомоги в постраждалі регіони. МКЧХ регулярно оцінює гуманітарні потреби в країні та сприяє наданню медичних послуг, а також підтримує лікарні та медичні установи, які зазнали руйнувань або переповнені внаслідок великої кількості постраждалих.</w:t>
      </w:r>
    </w:p>
    <w:p w14:paraId="7C2DE81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Світовий досвід підтверджує, що ефективна діяльність міжнародних організацій у зоні збройного конфлікту вимагає тісної координації з урядами, місцевими громадами та іншими неурядовими організаціями. Наприклад, у Сирії, Південному Судані, Ємені та Україні міжнародні організації відіграють критичну роль у забезпеченні базових потреб мільйонів людей.</w:t>
      </w:r>
    </w:p>
    <w:p w14:paraId="082CD88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Збройна агресія росії проти України стала серйозним викликом для міжнародної гуманітарної системи. У відповідь на цю кризу, багато організацій, зокрема УВКБ, МКЧХ, Міжнародна організація з міграції (МОМ), Офіс ООН з прав людини (OHCHR) та гуманітарні структури ЄС, швидко мобілізували ресурси для допомоги внутрішньо переміщеним особам, забезпечення продуктами, ліками, притулком, а також документування воєнних злочинів і порушень прав людини.</w:t>
      </w:r>
    </w:p>
    <w:p w14:paraId="3B7A77F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Окрім безпосередньої допомоги, міжнародні організації відіграють значну роль у зборі інформації, моніторингу та доповіданні про порушення міжнародного гуманітарного права та прав людини. Це створює основу для міжнародного притягнення до відповідальності винних у злочинах, зокрема злочинах проти людяності. Яскравим прикладом є ситуація навколо Сектора Гази: у квітні 2025 року Міжнародний суд ООН розпочав слухання щодо обмеження Ізраїлем гуманітарної допомоги для мешканців регіону. </w:t>
      </w:r>
      <w:r w:rsidRPr="00511005">
        <w:rPr>
          <w:rFonts w:ascii="Arial" w:eastAsia="Times New Roman" w:hAnsi="Arial" w:cs="Arial"/>
          <w:szCs w:val="28"/>
          <w:lang w:eastAsia="ru-RU"/>
        </w:rPr>
        <w:t xml:space="preserve">Участь у слуханнях беруть представники понад 40 країн і чотирьох міжнародних організацій. Ізраїль відмовився від усних виступів, але має право надати письмову позицію. Нагадаємо, у березні 2025 року Ізраїль повністю припинив постачання гуманітарної допомоги до Сектора Гази після того, як угруповання ХАМАС не погодилося на запропоновану США угоду щодо </w:t>
      </w:r>
      <w:r w:rsidRPr="00511005">
        <w:rPr>
          <w:rFonts w:ascii="Arial" w:eastAsia="Times New Roman" w:hAnsi="Arial" w:cs="Arial"/>
          <w:szCs w:val="28"/>
          <w:lang w:eastAsia="ru-RU"/>
        </w:rPr>
        <w:lastRenderedPageBreak/>
        <w:t>продовження першої фази перемир’я. Слухання мають тривати до 2 травня. Цей приклад ілюструє, наскільки важливими є міжнародні правові механізми в питаннях гуманітарного захисту, а також участь міжнародних організацій у формуванні юридичних підстав для реагування на гуманітарні кризи.</w:t>
      </w:r>
    </w:p>
    <w:p w14:paraId="645869C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Міжнародна співпраця в гуманітарній сфері відбувається також у рамках партнерств, таких як кластерна система ООН, яка передбачає розподіл відповідальності між організаціями за певні сектори (продовольство, охорона здоров’я, освіта, житло тощо). Вона дозволяє уникнути дублювання зусиль різних організацій та забезпечити більш цілеспрямоване надання допомоги. Як вказано в дослідженні Journal of Humanitarian Affairs, «кластерний підхід довів свою ефективність у кризових зонах, особливо коли мова йде про швидке реагування та координацію між структурами» Такий підхід підвищує ефективність допомоги і максимальне охоплення потреб населення.</w:t>
      </w:r>
    </w:p>
    <w:p w14:paraId="2EDE386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Діяльність міжнародних організацій під час збройних конфліктів регулюється міжнародним гуманітарним правом, зокрема нормами Женевських конвенцій та їх додаткових протоколів. Вони встановлюють правові підстави для гуманітарного доступу, захисту цивільних осіб і гуманітарних працівників.</w:t>
      </w:r>
    </w:p>
    <w:p w14:paraId="1E279E9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Попри значні зусилля, міжнародні організації часто стикаються з перешкодами: обмеженим доступом до зони бойових дій, ризиками для персоналу, відсутністю фінансування або політичною протидією. Це вимагає постійного вдосконалення координації, нарощування ресурсів та забезпечення безпеки місій.</w:t>
      </w:r>
    </w:p>
    <w:p w14:paraId="70FBDD6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міжнародні організації відіграють ключову роль у вирішенні гуманітарних криз під час збройних конфліктів. Їхня діяльність спрямована не лише на порятунок життя і пом’якшення страждань, а й на захист основоположних прав людини та сприяння довготривалому миру і стабільності.</w:t>
      </w:r>
    </w:p>
    <w:p w14:paraId="0969640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роль міжнародних організацій у вирішенні гуманітарних криз під час збройних конфліктів є незамінною. Завдяки їхній діяльності, мільйони людей отримують необхідну допомогу, що включає продовольство, медичну підтримку, притулок і захист прав. Організації, такі як ООН, Міжнародний Комітет Червоного Хреста та інші гуманітарні агентства, активно працюють у зонах конфліктів, забезпечуючи належний доступ до допомоги та захисту для найбільш уразливих верств населення, таких як жінки, діти та біженці. Крім того, вони сприяють дотриманню міжнародного гуманітарного права та зберігають документи порушень прав людини, що є важливим для притягнення винних до відповідальності.</w:t>
      </w:r>
    </w:p>
    <w:p w14:paraId="2B2F2F9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Міжнародна співпраця та координація між різними гуманітарними організаціями, державами та місцевими громадськими організаціями дозволяють ефективно розподіляти ресурси і надавати допомогу в найбільш </w:t>
      </w:r>
      <w:r w:rsidRPr="00511005">
        <w:rPr>
          <w:rFonts w:ascii="Arial" w:eastAsia="Times New Roman" w:hAnsi="Arial" w:cs="Arial"/>
          <w:szCs w:val="28"/>
          <w:lang w:val="uk-UA" w:eastAsia="ru-RU"/>
        </w:rPr>
        <w:lastRenderedPageBreak/>
        <w:t>постраждалих регіонах. Однак, незважаючи на значні зусилля, міжнародні організації стикаються з численними викликами, такими як обмежений доступ до зони конфлікту, політичні перешкоди та небезпеки для гуманітарного персоналу.</w:t>
      </w:r>
    </w:p>
    <w:p w14:paraId="4C41A5E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хоча міжнародні організації відіграють критичну роль у мінімізації наслідків збройних конфліктів, їхня діяльність потребує постійного вдосконалення та адаптації до змінюваних умов. Збереження безпеки гуманітарного персоналу, оптимізація координації допомоги та збільшення фінансування — це ключові фактори для підвищення ефективності міжнародної гуманітарної діяльності. В кінцевому рахунку, завдяки зусиллям міжнародних організацій можна не тільки пом'якшити наслідки гуманітарних криз, але й сприяти мирному вирішенню конфліктів і відновленню стабільності в постраждалих регіонах.</w:t>
      </w:r>
    </w:p>
    <w:p w14:paraId="0D862D91" w14:textId="77777777" w:rsidR="00220D3E" w:rsidRPr="00511005" w:rsidRDefault="00220D3E" w:rsidP="003A292D">
      <w:pPr>
        <w:tabs>
          <w:tab w:val="left" w:pos="709"/>
        </w:tabs>
        <w:spacing w:line="264" w:lineRule="auto"/>
        <w:ind w:left="709" w:firstLine="0"/>
        <w:contextualSpacing/>
        <w:jc w:val="center"/>
        <w:rPr>
          <w:rFonts w:ascii="Arial" w:eastAsia="Times New Roman" w:hAnsi="Arial" w:cs="Arial"/>
          <w:b/>
          <w:bCs/>
          <w:szCs w:val="28"/>
          <w:lang w:val="uk-UA" w:eastAsia="ru-RU"/>
        </w:rPr>
      </w:pPr>
    </w:p>
    <w:p w14:paraId="6F8ED250" w14:textId="6DC485AE" w:rsidR="00220D3E" w:rsidRPr="00511005" w:rsidRDefault="007B2628" w:rsidP="007B2628">
      <w:pPr>
        <w:tabs>
          <w:tab w:val="left" w:pos="709"/>
        </w:tabs>
        <w:spacing w:line="264" w:lineRule="auto"/>
        <w:ind w:left="709" w:firstLine="0"/>
        <w:contextualSpacing/>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55274192" w14:textId="0E181A91" w:rsidR="00220D3E" w:rsidRPr="00511005" w:rsidRDefault="00220D3E" w:rsidP="003F6A5D">
      <w:pPr>
        <w:numPr>
          <w:ilvl w:val="0"/>
          <w:numId w:val="137"/>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Базиляк, Н. О. (2023). Трансформація базових науково-теоретичних засад державної гуманітарної політики щодо формування новітнього соціокультурного простору в Україні. Таврійський науковий вісник. Серія: Публічне управління та адміністрування, 1, с. 3-8.</w:t>
      </w:r>
      <w:r w:rsidR="007B2628" w:rsidRPr="00511005">
        <w:rPr>
          <w:rFonts w:ascii="Arial" w:eastAsia="Times New Roman" w:hAnsi="Arial" w:cs="Arial"/>
          <w:szCs w:val="28"/>
          <w:lang w:val="uk-UA" w:eastAsia="ru-RU"/>
        </w:rPr>
        <w:t xml:space="preserve"> </w:t>
      </w:r>
    </w:p>
    <w:p w14:paraId="5E0B5747" w14:textId="77777777" w:rsidR="00220D3E" w:rsidRPr="00511005" w:rsidRDefault="00220D3E" w:rsidP="003F6A5D">
      <w:pPr>
        <w:numPr>
          <w:ilvl w:val="0"/>
          <w:numId w:val="137"/>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Вишняков, О. В., 2023. Сучасна міжнародна гуманітарна система: динамічні зміни в умовах поглиблення гуманітарних криз. </w:t>
      </w:r>
      <w:r w:rsidRPr="00511005">
        <w:rPr>
          <w:rFonts w:ascii="Arial" w:eastAsia="Times New Roman" w:hAnsi="Arial" w:cs="Arial"/>
          <w:i/>
          <w:iCs/>
          <w:szCs w:val="28"/>
          <w:lang w:eastAsia="ru-RU"/>
        </w:rPr>
        <w:t>Вісник Маріупольського державного університету. Сер.: Економіка</w:t>
      </w:r>
      <w:r w:rsidRPr="00511005">
        <w:rPr>
          <w:rFonts w:ascii="Arial" w:eastAsia="Times New Roman" w:hAnsi="Arial" w:cs="Arial"/>
          <w:szCs w:val="28"/>
          <w:lang w:eastAsia="ru-RU"/>
        </w:rPr>
        <w:t>, 26, c.</w:t>
      </w:r>
      <w:r w:rsidRPr="00511005">
        <w:rPr>
          <w:rFonts w:ascii="Arial" w:eastAsia="Times New Roman" w:hAnsi="Arial" w:cs="Arial"/>
          <w:szCs w:val="28"/>
          <w:lang w:val="en-US" w:eastAsia="ru-RU"/>
        </w:rPr>
        <w:t> </w:t>
      </w:r>
      <w:r w:rsidRPr="00511005">
        <w:rPr>
          <w:rFonts w:ascii="Arial" w:eastAsia="Times New Roman" w:hAnsi="Arial" w:cs="Arial"/>
          <w:szCs w:val="28"/>
          <w:lang w:eastAsia="ru-RU"/>
        </w:rPr>
        <w:t>97–103. </w:t>
      </w:r>
    </w:p>
    <w:p w14:paraId="74202571" w14:textId="77777777" w:rsidR="00220D3E" w:rsidRPr="00511005" w:rsidRDefault="00220D3E" w:rsidP="003F6A5D">
      <w:pPr>
        <w:numPr>
          <w:ilvl w:val="0"/>
          <w:numId w:val="137"/>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Гринів, Н, Т., &amp; Равліковська, А. А. (2022). Перебудова логістики в умовах воєнного стану в Україні. Академічні візії, </w:t>
      </w:r>
      <w:r w:rsidRPr="00511005">
        <w:rPr>
          <w:rFonts w:ascii="Arial" w:eastAsia="Times New Roman" w:hAnsi="Arial" w:cs="Arial"/>
          <w:szCs w:val="28"/>
          <w:lang w:val="en-US" w:eastAsia="ru-RU"/>
        </w:rPr>
        <w:t>c</w:t>
      </w:r>
      <w:r w:rsidRPr="00511005">
        <w:rPr>
          <w:rFonts w:ascii="Arial" w:eastAsia="Times New Roman" w:hAnsi="Arial" w:cs="Arial"/>
          <w:szCs w:val="28"/>
          <w:lang w:val="uk-UA" w:eastAsia="ru-RU"/>
        </w:rPr>
        <w:t>. 13.</w:t>
      </w:r>
    </w:p>
    <w:p w14:paraId="10495A69" w14:textId="77777777" w:rsidR="00220D3E" w:rsidRPr="00511005" w:rsidRDefault="00220D3E" w:rsidP="003F6A5D">
      <w:pPr>
        <w:numPr>
          <w:ilvl w:val="0"/>
          <w:numId w:val="137"/>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Грушко М. В. Міжнародне гуманітарне право : навчально-методичний посібник / за ред. завідувача кафедри міжнародного та європейського права, професора О. В. Бігняка. – Одеса : Видавничий дім «Гельветика», 2022. – 136 с.</w:t>
      </w:r>
    </w:p>
    <w:p w14:paraId="691E3972" w14:textId="77777777" w:rsidR="00220D3E" w:rsidRPr="00511005" w:rsidRDefault="00220D3E" w:rsidP="003F6A5D">
      <w:pPr>
        <w:numPr>
          <w:ilvl w:val="0"/>
          <w:numId w:val="137"/>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Грушко М. В. Становлення та специфіка міжнародно-правового режиму військовополонених : автореф. дис. ... канд. юрид. наук : 12.00.11 / Мальвіна Валеріївна Грушко ; Нац. ун-т «Одеська юридична академія». – Одеса, 2015. – 20 с.</w:t>
      </w:r>
    </w:p>
    <w:p w14:paraId="478EB94F" w14:textId="77777777" w:rsidR="00220D3E" w:rsidRPr="00511005" w:rsidRDefault="00220D3E" w:rsidP="003F6A5D">
      <w:pPr>
        <w:numPr>
          <w:ilvl w:val="0"/>
          <w:numId w:val="137"/>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Механізм надання державою гуманітарної допомоги в умовах воєнного стану: аналітична довідка. (2022). Київ. НАЗК, с. 75.</w:t>
      </w:r>
    </w:p>
    <w:p w14:paraId="4967DEF2" w14:textId="77777777" w:rsidR="00220D3E" w:rsidRPr="00511005" w:rsidRDefault="00220D3E" w:rsidP="003F6A5D">
      <w:pPr>
        <w:numPr>
          <w:ilvl w:val="0"/>
          <w:numId w:val="137"/>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Пищуліна, О. (2022). Загальний огляд гуманітарної ситуації в Україні. Аналітична записка. Центр Разумкова. Київ, с. 14.</w:t>
      </w:r>
    </w:p>
    <w:p w14:paraId="30E0BC30" w14:textId="77777777" w:rsidR="00220D3E" w:rsidRPr="00511005" w:rsidRDefault="00220D3E" w:rsidP="003F6A5D">
      <w:pPr>
        <w:numPr>
          <w:ilvl w:val="0"/>
          <w:numId w:val="137"/>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Портал гуманітарної допомоги. (2023). Офіційний сайт.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Електронний ресурс</w:t>
      </w:r>
      <w:proofErr w:type="gramStart"/>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proofErr w:type="gramEnd"/>
      <w:r w:rsidRPr="00511005">
        <w:rPr>
          <w:rFonts w:ascii="Arial" w:eastAsia="Times New Roman" w:hAnsi="Arial" w:cs="Arial"/>
          <w:szCs w:val="28"/>
          <w:lang w:val="uk-UA" w:eastAsia="ru-RU"/>
        </w:rPr>
        <w:t xml:space="preserve"> Режим доступу: </w:t>
      </w:r>
      <w:hyperlink r:id="rId499" w:history="1">
        <w:r w:rsidRPr="00511005">
          <w:rPr>
            <w:rFonts w:ascii="Arial" w:eastAsia="Times New Roman" w:hAnsi="Arial" w:cs="Arial"/>
            <w:szCs w:val="28"/>
            <w:lang w:val="uk-UA"/>
          </w:rPr>
          <w:t>https://help.gov.ua</w:t>
        </w:r>
      </w:hyperlink>
      <w:r w:rsidRPr="00511005">
        <w:rPr>
          <w:rFonts w:ascii="Arial" w:eastAsia="Times New Roman" w:hAnsi="Arial" w:cs="Arial"/>
          <w:szCs w:val="28"/>
          <w:lang w:val="uk-UA" w:eastAsia="ru-RU"/>
        </w:rPr>
        <w:t xml:space="preserve"> </w:t>
      </w:r>
    </w:p>
    <w:p w14:paraId="38A041D9" w14:textId="77777777" w:rsidR="00220D3E" w:rsidRPr="00511005" w:rsidRDefault="00220D3E" w:rsidP="003F6A5D">
      <w:pPr>
        <w:numPr>
          <w:ilvl w:val="0"/>
          <w:numId w:val="137"/>
        </w:numPr>
        <w:tabs>
          <w:tab w:val="left" w:pos="709"/>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Journal of Humanitarian Affairs. (2025). "The Evolving Role of International Organizations in Conflict Zones."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Електронний ресурс</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Режим доступу: </w:t>
      </w:r>
      <w:hyperlink r:id="rId500" w:history="1">
        <w:r w:rsidRPr="00511005">
          <w:rPr>
            <w:rFonts w:ascii="Arial" w:eastAsia="Times New Roman" w:hAnsi="Arial" w:cs="Arial"/>
            <w:szCs w:val="28"/>
            <w:lang w:val="uk-UA"/>
          </w:rPr>
          <w:t>https://www.manchesterhive.com/view/journals/jha/jha-overview.xml</w:t>
        </w:r>
      </w:hyperlink>
      <w:r w:rsidRPr="00511005">
        <w:rPr>
          <w:rFonts w:ascii="Arial" w:eastAsia="Times New Roman" w:hAnsi="Arial" w:cs="Arial"/>
          <w:szCs w:val="28"/>
          <w:lang w:val="uk-UA" w:eastAsia="ru-RU"/>
        </w:rPr>
        <w:t xml:space="preserve"> </w:t>
      </w:r>
    </w:p>
    <w:p w14:paraId="770AF573"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7A7731E3" w14:textId="54778DA1"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міжнародні організації, гуманітарна криза, збройний конфлікт, міжнародне гуманітарне право, ООН, Міжнародний комітет Червоного Хреста, гуманітарна допомога, права людини, захист цивільного населення, міжнародна безпека, миротворчі місії, гуманітарне реагування, переміщені особи, біженці, координація допомоги.</w:t>
      </w:r>
    </w:p>
    <w:p w14:paraId="49C1CE12" w14:textId="230D41AD" w:rsidR="00220D3E" w:rsidRPr="00511005" w:rsidRDefault="002611B5" w:rsidP="003A292D">
      <w:pPr>
        <w:tabs>
          <w:tab w:val="left" w:pos="709"/>
        </w:tabs>
        <w:spacing w:line="264" w:lineRule="auto"/>
        <w:rPr>
          <w:rFonts w:ascii="Arial" w:eastAsia="Times New Roman" w:hAnsi="Arial" w:cs="Arial"/>
          <w:szCs w:val="28"/>
          <w:lang w:val="uk-UA" w:eastAsia="ru-RU"/>
        </w:rPr>
      </w:pPr>
      <w:r w:rsidRPr="00511005">
        <w:rPr>
          <w:rFonts w:ascii="Arial" w:eastAsia="Segoe UI" w:hAnsi="Arial" w:cs="Arial"/>
          <w:b/>
          <w:bCs/>
          <w:i/>
          <w:szCs w:val="28"/>
          <w:shd w:val="clear" w:color="auto" w:fill="FFFFFF"/>
          <w:lang w:val="en-US" w:eastAsia="ru-RU"/>
        </w:rPr>
        <w:t xml:space="preserve">Key words: </w:t>
      </w:r>
      <w:r w:rsidR="00220D3E" w:rsidRPr="00511005">
        <w:rPr>
          <w:rFonts w:ascii="Arial" w:eastAsia="Times New Roman" w:hAnsi="Arial" w:cs="Arial"/>
          <w:szCs w:val="28"/>
          <w:lang w:val="en-US" w:eastAsia="ru-RU"/>
        </w:rPr>
        <w:t>international organisations, humanitarian crisis, armed conflict, international humanitarian law, UN, International Committee of the Red Cross, humanitarian aid, human rights, protection of civilians, international security, peacekeeping missions, humanitarian response, displaced persons, refugees, aid coordination.</w:t>
      </w:r>
    </w:p>
    <w:bookmarkEnd w:id="53"/>
    <w:p w14:paraId="2B0B6514" w14:textId="79C58920" w:rsidR="00220D3E" w:rsidRPr="00511005" w:rsidRDefault="007B2628" w:rsidP="003A292D">
      <w:pPr>
        <w:tabs>
          <w:tab w:val="left" w:pos="709"/>
        </w:tabs>
        <w:spacing w:line="264" w:lineRule="auto"/>
        <w:rPr>
          <w:rFonts w:ascii="Arial" w:eastAsia="Times New Roman" w:hAnsi="Arial" w:cs="Arial"/>
          <w:bCs/>
          <w:i/>
          <w:szCs w:val="28"/>
          <w:lang w:val="uk-UA" w:eastAsia="ru-RU"/>
        </w:rPr>
      </w:pPr>
      <w:r w:rsidRPr="00511005">
        <w:rPr>
          <w:rFonts w:ascii="Arial" w:eastAsia="Times New Roman" w:hAnsi="Arial" w:cs="Arial"/>
          <w:b/>
          <w:bCs/>
          <w:i/>
          <w:szCs w:val="28"/>
          <w:lang w:eastAsia="ru-RU"/>
        </w:rPr>
        <w:t xml:space="preserve">Науковий керівник: </w:t>
      </w:r>
      <w:r w:rsidR="00220D3E" w:rsidRPr="00511005">
        <w:rPr>
          <w:rFonts w:ascii="Arial" w:eastAsia="Times New Roman" w:hAnsi="Arial" w:cs="Arial"/>
          <w:bCs/>
          <w:i/>
          <w:szCs w:val="28"/>
          <w:lang w:eastAsia="ru-RU"/>
        </w:rPr>
        <w:t>к.ю.н., доцент Грушко М.В.</w:t>
      </w:r>
    </w:p>
    <w:p w14:paraId="6F317040"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56AC4C19" w14:textId="77777777" w:rsidR="00220D3E" w:rsidRPr="00511005" w:rsidRDefault="00220D3E"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i/>
          <w:iCs/>
          <w:szCs w:val="28"/>
          <w:lang w:eastAsia="ru-RU"/>
        </w:rPr>
        <w:t>Макутіна Софія Олександрівна</w:t>
      </w:r>
    </w:p>
    <w:p w14:paraId="2AF036DF" w14:textId="25F6A93F" w:rsidR="00220D3E" w:rsidRPr="00511005" w:rsidRDefault="00536AAB" w:rsidP="003A292D">
      <w:pPr>
        <w:tabs>
          <w:tab w:val="left" w:pos="709"/>
        </w:tabs>
        <w:spacing w:line="264" w:lineRule="auto"/>
        <w:ind w:firstLine="0"/>
        <w:jc w:val="center"/>
        <w:rPr>
          <w:rFonts w:ascii="Arial" w:eastAsia="Times New Roman" w:hAnsi="Arial" w:cs="Arial"/>
          <w:iCs/>
          <w:szCs w:val="28"/>
          <w:lang w:val="uk-UA" w:eastAsia="ru-RU"/>
        </w:rPr>
      </w:pPr>
      <w:r w:rsidRPr="00511005">
        <w:rPr>
          <w:rFonts w:ascii="Arial" w:eastAsia="Times New Roman" w:hAnsi="Arial" w:cs="Arial"/>
          <w:iCs/>
          <w:szCs w:val="28"/>
          <w:lang w:eastAsia="ru-RU"/>
        </w:rPr>
        <w:t xml:space="preserve">студентка 2-го курсу </w:t>
      </w:r>
      <w:r w:rsidR="001B7B25" w:rsidRPr="00511005">
        <w:rPr>
          <w:rFonts w:ascii="Arial" w:eastAsia="Times New Roman" w:hAnsi="Arial" w:cs="Arial"/>
          <w:iCs/>
          <w:szCs w:val="28"/>
          <w:lang w:eastAsia="ru-RU"/>
        </w:rPr>
        <w:t>факультету судового та міжнародного права</w:t>
      </w:r>
      <w:r w:rsidR="00220D3E" w:rsidRPr="00511005">
        <w:rPr>
          <w:rFonts w:ascii="Arial" w:eastAsia="Times New Roman" w:hAnsi="Arial" w:cs="Arial"/>
          <w:iCs/>
          <w:szCs w:val="28"/>
          <w:lang w:eastAsia="ru-RU"/>
        </w:rPr>
        <w:t xml:space="preserve"> </w:t>
      </w:r>
    </w:p>
    <w:p w14:paraId="5C75D00B" w14:textId="476FE568" w:rsidR="00220D3E" w:rsidRPr="00511005" w:rsidRDefault="007B2628" w:rsidP="003A292D">
      <w:pPr>
        <w:tabs>
          <w:tab w:val="left" w:pos="709"/>
        </w:tabs>
        <w:spacing w:line="264" w:lineRule="auto"/>
        <w:ind w:firstLine="0"/>
        <w:jc w:val="center"/>
        <w:rPr>
          <w:rFonts w:ascii="Arial" w:eastAsia="Times New Roman" w:hAnsi="Arial" w:cs="Arial"/>
          <w:i/>
          <w:iCs/>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r w:rsidR="00220D3E" w:rsidRPr="00511005">
        <w:rPr>
          <w:rFonts w:ascii="Arial" w:eastAsia="Times New Roman" w:hAnsi="Arial" w:cs="Arial"/>
          <w:i/>
          <w:iCs/>
          <w:szCs w:val="28"/>
          <w:lang w:eastAsia="ru-RU"/>
        </w:rPr>
        <w:t> </w:t>
      </w:r>
    </w:p>
    <w:p w14:paraId="2EBB1754" w14:textId="77777777" w:rsidR="00220D3E" w:rsidRPr="00511005" w:rsidRDefault="00220D3E" w:rsidP="003A292D">
      <w:pPr>
        <w:tabs>
          <w:tab w:val="left" w:pos="709"/>
        </w:tabs>
        <w:spacing w:line="264" w:lineRule="auto"/>
        <w:ind w:firstLine="0"/>
        <w:jc w:val="center"/>
        <w:rPr>
          <w:rFonts w:ascii="Arial" w:eastAsia="Times New Roman" w:hAnsi="Arial" w:cs="Arial"/>
          <w:i/>
          <w:iCs/>
          <w:szCs w:val="28"/>
          <w:lang w:val="uk-UA" w:eastAsia="ru-RU"/>
        </w:rPr>
      </w:pPr>
    </w:p>
    <w:p w14:paraId="5A7AC97B" w14:textId="77777777" w:rsidR="00220D3E" w:rsidRPr="00511005" w:rsidRDefault="00220D3E" w:rsidP="003A292D">
      <w:pPr>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СЬОГОДЕННІ ВИКЛИКИ АДАПТАЦІЇ ТРУДОВОГО ПРАВА УКРАЇНИ ПІД МІЖНАРОДНІ СТАНДАРТИ</w:t>
      </w:r>
    </w:p>
    <w:p w14:paraId="339056F7" w14:textId="77777777" w:rsidR="00220D3E" w:rsidRPr="00511005" w:rsidRDefault="00220D3E"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Трудове право в Україні наразі перебуває у процесі поступового оновлення, що зумовлене як внутрішніми соціально-економічними трансформаціями, так і зовнішніми викликами – зокрема, інтеграцією до європейського правового простору, зростанням мобільності робочої сили, впливом цифрової економіки та збройною агресією проти України. Усі ці фактори вимагають осучаснення підходів до регулювання трудових відносин.</w:t>
      </w:r>
    </w:p>
    <w:p w14:paraId="43650F0E" w14:textId="77777777" w:rsidR="00220D3E" w:rsidRPr="00511005" w:rsidRDefault="00220D3E"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Ключовим нормативним актом залишається Кодекс законів про працю України, проте його положення, значною мірою, сформовані ще за радянської правової моделі і вже не відповідають реаліям сучасного ринку праці. В останнє десятиліття спостерігається поетапна кодифікація трудового законодавства, підготовка проєктів нового Трудового кодексу, а також спроби глибшого впровадження договірних принципів у сферу праці. Зокрема, зростає частка індивідуально-договірного регулювання умов праці між сторонами.</w:t>
      </w:r>
    </w:p>
    <w:p w14:paraId="16FF7750" w14:textId="77777777" w:rsidR="00220D3E" w:rsidRPr="00511005" w:rsidRDefault="00220D3E"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Окремої уваги потребує питання правового статусу нових форм зайнятості: фрілансу, гіг-економіки, дистанційної та гнучкої роботи. Традиційна нормативна база не встигає за динамікою технологічного розвитку, що спричиняє прогалини у правовому полі, особливо у частині забезпечення соціальних гарантій для нестандартно зайнятих осіб. У цьому контексті набуває актуальності гармонізація українського законодавства із стандартами МОП, директивами ЄС та кращими практиками держав-членів Європейського Союзу.</w:t>
      </w:r>
    </w:p>
    <w:p w14:paraId="6190E8C4" w14:textId="77777777" w:rsidR="00220D3E" w:rsidRPr="00511005" w:rsidRDefault="00220D3E" w:rsidP="003A292D">
      <w:pPr>
        <w:spacing w:line="264" w:lineRule="auto"/>
        <w:rPr>
          <w:rFonts w:ascii="Arial" w:eastAsia="Times New Roman" w:hAnsi="Arial" w:cs="Arial"/>
          <w:szCs w:val="28"/>
          <w:lang w:val="uk-UA" w:eastAsia="ru-RU"/>
        </w:rPr>
      </w:pPr>
    </w:p>
    <w:p w14:paraId="0F3E8398" w14:textId="77777777" w:rsidR="00220D3E" w:rsidRPr="00511005" w:rsidRDefault="00220D3E"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Окремим вектором розвитку є посилення ролі прав людини у сфері праці. Трудові права дедалі більше розглядаються не тільки як інструмент взаємин "працівник-роботодавець", а й як складова частина системи базових прав і свобод людини. Це вимагає врахування принципів недискримінації, гендерної рівності, поваги до людської гідності в усіх аспектах трудового процесу.</w:t>
      </w:r>
    </w:p>
    <w:p w14:paraId="6C4B1045" w14:textId="77777777" w:rsidR="00220D3E" w:rsidRPr="00511005" w:rsidRDefault="00220D3E"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Значущими викликами залишаються проблеми правозастосування: неповна реалізація норм законодавства, тіньова зайнятість, обмежені можливості для захисту прав найманих працівників у судовому порядку, а також обмежений розвиток інституцій соціального діалогу. Перспективним напрямом є інституційне посилення ролі профспілок та представницьких організацій працівників у процесах прийняття рішень.</w:t>
      </w:r>
    </w:p>
    <w:p w14:paraId="16BC0DCC" w14:textId="77777777" w:rsidR="00220D3E" w:rsidRPr="00511005" w:rsidRDefault="00220D3E"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 умовах воєнного стану та післявоєнного відновлення економіки виникає потреба в оперативному перегляді окремих норм трудового законодавства. Зокрема, це стосується гнучкості режимів праці, можливості швидкого залучення кадрів, захисту прав внутрішньо переміщених осіб, а також створення правових умов для залучення іноземних інвестицій, що потребують конкурентного ринку праці. З одного боку, держава забезпечує гнучкість трудових механізмів, а з іншого – прагне зберегти ключові трудові права громадян.</w:t>
      </w:r>
    </w:p>
    <w:p w14:paraId="4769FFC9" w14:textId="77777777" w:rsidR="00220D3E" w:rsidRPr="00511005" w:rsidRDefault="00220D3E"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Серед основних тенденцій розвитку трудового права у цей період можна виокремити кілька важливих напрямів:</w:t>
      </w:r>
    </w:p>
    <w:p w14:paraId="48869018" w14:textId="77777777" w:rsidR="00220D3E" w:rsidRPr="00511005" w:rsidRDefault="00220D3E" w:rsidP="003F6A5D">
      <w:pPr>
        <w:numPr>
          <w:ilvl w:val="0"/>
          <w:numId w:val="204"/>
        </w:numPr>
        <w:spacing w:line="264" w:lineRule="auto"/>
        <w:ind w:left="426"/>
        <w:contextualSpacing/>
        <w:jc w:val="left"/>
        <w:rPr>
          <w:rFonts w:ascii="Arial" w:eastAsia="Calibri" w:hAnsi="Arial" w:cs="Arial"/>
          <w:szCs w:val="28"/>
          <w:lang w:val="uk-UA"/>
        </w:rPr>
      </w:pPr>
      <w:r w:rsidRPr="00511005">
        <w:rPr>
          <w:rFonts w:ascii="Arial" w:eastAsia="Calibri" w:hAnsi="Arial" w:cs="Arial"/>
          <w:szCs w:val="28"/>
          <w:lang w:val="uk-UA"/>
        </w:rPr>
        <w:t>Запровадження особливого правового режиму трудових відносин, який передбачає тимчасові обмеження, але не скасовує основних трудових прав. Це стосується, наприклад, можливості переведення працівників без їхньої згоди у випадках виробничої потреби або безпеки.</w:t>
      </w:r>
    </w:p>
    <w:p w14:paraId="6D52CCE5" w14:textId="77777777" w:rsidR="00220D3E" w:rsidRPr="00511005" w:rsidRDefault="00220D3E" w:rsidP="003F6A5D">
      <w:pPr>
        <w:numPr>
          <w:ilvl w:val="0"/>
          <w:numId w:val="204"/>
        </w:numPr>
        <w:spacing w:line="264" w:lineRule="auto"/>
        <w:ind w:left="426"/>
        <w:contextualSpacing/>
        <w:jc w:val="left"/>
        <w:rPr>
          <w:rFonts w:ascii="Arial" w:eastAsia="Calibri" w:hAnsi="Arial" w:cs="Arial"/>
          <w:szCs w:val="28"/>
          <w:lang w:val="uk-UA"/>
        </w:rPr>
      </w:pPr>
      <w:r w:rsidRPr="00511005">
        <w:rPr>
          <w:rFonts w:ascii="Arial" w:eastAsia="Calibri" w:hAnsi="Arial" w:cs="Arial"/>
          <w:szCs w:val="28"/>
          <w:lang w:val="uk-UA"/>
        </w:rPr>
        <w:t>Посилення ролі договірного регулювання, зокрема укладення індивідуальних трудових договорів із врахуванням воєнних умов. Зростає значення узгодження між сторонами гнучких режимів праці, умов оплати, дистанційної або змішаної зайнятості.</w:t>
      </w:r>
    </w:p>
    <w:p w14:paraId="1C8B67C7" w14:textId="77777777" w:rsidR="00220D3E" w:rsidRPr="00511005" w:rsidRDefault="00220D3E" w:rsidP="003F6A5D">
      <w:pPr>
        <w:numPr>
          <w:ilvl w:val="0"/>
          <w:numId w:val="204"/>
        </w:numPr>
        <w:spacing w:line="264" w:lineRule="auto"/>
        <w:ind w:left="426"/>
        <w:contextualSpacing/>
        <w:jc w:val="left"/>
        <w:rPr>
          <w:rFonts w:ascii="Arial" w:eastAsia="Calibri" w:hAnsi="Arial" w:cs="Arial"/>
          <w:szCs w:val="28"/>
          <w:lang w:val="uk-UA"/>
        </w:rPr>
      </w:pPr>
      <w:r w:rsidRPr="00511005">
        <w:rPr>
          <w:rFonts w:ascii="Arial" w:eastAsia="Calibri" w:hAnsi="Arial" w:cs="Arial"/>
          <w:szCs w:val="28"/>
          <w:lang w:val="uk-UA"/>
        </w:rPr>
        <w:t>Підтримка мобільності працівників – трудове законодавство дозволяє швидке залучення працівників до виконання важливих завдань, особливо у сфері оборони, логістики, медицини та критичної інфраструктури.</w:t>
      </w:r>
    </w:p>
    <w:p w14:paraId="2B18F710" w14:textId="77777777" w:rsidR="00220D3E" w:rsidRPr="00511005" w:rsidRDefault="00220D3E" w:rsidP="003F6A5D">
      <w:pPr>
        <w:numPr>
          <w:ilvl w:val="0"/>
          <w:numId w:val="204"/>
        </w:numPr>
        <w:spacing w:line="264" w:lineRule="auto"/>
        <w:ind w:left="426"/>
        <w:contextualSpacing/>
        <w:jc w:val="left"/>
        <w:rPr>
          <w:rFonts w:ascii="Arial" w:eastAsia="Calibri" w:hAnsi="Arial" w:cs="Arial"/>
          <w:szCs w:val="28"/>
          <w:lang w:val="uk-UA"/>
        </w:rPr>
      </w:pPr>
      <w:r w:rsidRPr="00511005">
        <w:rPr>
          <w:rFonts w:ascii="Arial" w:eastAsia="Calibri" w:hAnsi="Arial" w:cs="Arial"/>
          <w:szCs w:val="28"/>
          <w:lang w:val="uk-UA"/>
        </w:rPr>
        <w:t>Забезпечення мінімальних трудових гарантій, попри обмеження. Законодавство гарантує оплату праці, відпустки, охорону праці, права на звільнення згідно з чітко визначеними підставами.</w:t>
      </w:r>
    </w:p>
    <w:p w14:paraId="77CAFC5F" w14:textId="77777777" w:rsidR="00220D3E" w:rsidRPr="00511005" w:rsidRDefault="00220D3E" w:rsidP="003F6A5D">
      <w:pPr>
        <w:numPr>
          <w:ilvl w:val="0"/>
          <w:numId w:val="204"/>
        </w:numPr>
        <w:spacing w:line="264" w:lineRule="auto"/>
        <w:ind w:left="426"/>
        <w:contextualSpacing/>
        <w:jc w:val="left"/>
        <w:rPr>
          <w:rFonts w:ascii="Arial" w:eastAsia="Calibri" w:hAnsi="Arial" w:cs="Arial"/>
          <w:szCs w:val="28"/>
          <w:lang w:val="uk-UA"/>
        </w:rPr>
      </w:pPr>
      <w:r w:rsidRPr="00511005">
        <w:rPr>
          <w:rFonts w:ascii="Arial" w:eastAsia="Calibri" w:hAnsi="Arial" w:cs="Arial"/>
          <w:szCs w:val="28"/>
          <w:lang w:val="uk-UA"/>
        </w:rPr>
        <w:t>Посилення захисту трудових прав у нестабільних умовах, зокрема щодо працівників, які є внутрішньо переміщеними особами або постраждали від бойових дій.</w:t>
      </w:r>
    </w:p>
    <w:p w14:paraId="4140C75E" w14:textId="77777777" w:rsidR="00220D3E" w:rsidRPr="00511005" w:rsidRDefault="00220D3E" w:rsidP="003F6A5D">
      <w:pPr>
        <w:numPr>
          <w:ilvl w:val="0"/>
          <w:numId w:val="204"/>
        </w:numPr>
        <w:spacing w:line="264" w:lineRule="auto"/>
        <w:ind w:left="426"/>
        <w:contextualSpacing/>
        <w:jc w:val="left"/>
        <w:rPr>
          <w:rFonts w:ascii="Arial" w:eastAsia="Calibri" w:hAnsi="Arial" w:cs="Arial"/>
          <w:szCs w:val="28"/>
          <w:lang w:val="uk-UA"/>
        </w:rPr>
      </w:pPr>
      <w:r w:rsidRPr="00511005">
        <w:rPr>
          <w:rFonts w:ascii="Arial" w:eastAsia="Calibri" w:hAnsi="Arial" w:cs="Arial"/>
          <w:szCs w:val="28"/>
          <w:lang w:val="uk-UA"/>
        </w:rPr>
        <w:lastRenderedPageBreak/>
        <w:t>Збереження системності трудового права – навіть в умовах надзвичайного стану українське законодавство намагається не допустити руйнування трудового права як окремої галузі. Підтримується його принципова структура: предмет, методи, принципи, джерела та функції</w:t>
      </w:r>
    </w:p>
    <w:p w14:paraId="6D2D288D" w14:textId="77777777" w:rsidR="00220D3E" w:rsidRPr="00511005" w:rsidRDefault="00220D3E"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перспективи розвитку трудового права в Україні полягають у:</w:t>
      </w:r>
    </w:p>
    <w:p w14:paraId="7879AD65" w14:textId="77777777" w:rsidR="00220D3E" w:rsidRPr="00511005" w:rsidRDefault="00220D3E" w:rsidP="003F6A5D">
      <w:pPr>
        <w:numPr>
          <w:ilvl w:val="0"/>
          <w:numId w:val="20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глибокій модернізації законодавчої бази;</w:t>
      </w:r>
    </w:p>
    <w:p w14:paraId="6EFDE56A" w14:textId="77777777" w:rsidR="00220D3E" w:rsidRPr="00511005" w:rsidRDefault="00220D3E" w:rsidP="003F6A5D">
      <w:pPr>
        <w:numPr>
          <w:ilvl w:val="0"/>
          <w:numId w:val="20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розширенні сфери правового захисту на нові типи трудових відносин;</w:t>
      </w:r>
    </w:p>
    <w:p w14:paraId="1D56F8BD" w14:textId="77777777" w:rsidR="00220D3E" w:rsidRPr="00511005" w:rsidRDefault="00220D3E" w:rsidP="003F6A5D">
      <w:pPr>
        <w:numPr>
          <w:ilvl w:val="0"/>
          <w:numId w:val="20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впровадженні інноваційних механізмів соціального діалогу;</w:t>
      </w:r>
    </w:p>
    <w:p w14:paraId="2C912D6C" w14:textId="77777777" w:rsidR="00220D3E" w:rsidRPr="00511005" w:rsidRDefault="00220D3E" w:rsidP="003F6A5D">
      <w:pPr>
        <w:numPr>
          <w:ilvl w:val="0"/>
          <w:numId w:val="20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забезпеченні балансу інтересів працівника і роботодавця;</w:t>
      </w:r>
    </w:p>
    <w:p w14:paraId="58885C01" w14:textId="77777777" w:rsidR="00220D3E" w:rsidRPr="00511005" w:rsidRDefault="00220D3E" w:rsidP="003F6A5D">
      <w:pPr>
        <w:numPr>
          <w:ilvl w:val="0"/>
          <w:numId w:val="20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активному використанні міжнародного досвіду та правових стандартів.</w:t>
      </w:r>
    </w:p>
    <w:p w14:paraId="023E6F0E" w14:textId="77777777" w:rsidR="00220D3E" w:rsidRPr="00511005" w:rsidRDefault="00220D3E"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Ці зміни покликані забезпечити ефективність, справедливість і адаптивність трудового права до сучасних викликів і потреб українського суспільства.</w:t>
      </w:r>
    </w:p>
    <w:p w14:paraId="303713A6" w14:textId="77777777" w:rsidR="00220D3E" w:rsidRPr="00511005" w:rsidRDefault="00220D3E"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Отже, розвиток трудового права в Україні є невід’ємною частиною загального процесу реформування правової системи та адаптації її до сучасних європейських і міжнародних стандартів. В умовах глобальних викликів – економічних, технологічних, соціальних і безпекових – на перший план виходить необхідність оновлення законодавства, що регулює сферу праці, з урахуванням нових форм зайнятості та змін у трудових відносинах. В умовах воєнного стану трудове право України зазнає адаптації до нових реалій, зберігаючи при цьому свою соціальну спрямованість і основоположні принципи. Його розвиток спрямований на гнучкість, захист прав працівників та стабільність трудових відносин, що є важливими чинниками підтримки економіки та суспільства у період кризи. Окрім оновлення нормативної бази, ключовими аспектами залишаються підвищення ефективності реалізації трудових прав, посилення ролі соціального діалогу, забезпечення рівності та захисту людської гідності в трудовому процесі. Тільки через комплексний підхід та співпрацю на всіх рівнях – державному, роботодавчому та громадському – можливе створення сучасної, гнучкої та справедливої моделі трудового права, яка відповідатиме як національним потребам, так і міжнародним зобов’язанням України.</w:t>
      </w:r>
    </w:p>
    <w:p w14:paraId="4BF99D8D" w14:textId="77777777" w:rsidR="00220D3E" w:rsidRPr="00511005" w:rsidRDefault="00220D3E" w:rsidP="003A292D">
      <w:pPr>
        <w:tabs>
          <w:tab w:val="left" w:pos="709"/>
        </w:tabs>
        <w:spacing w:line="264" w:lineRule="auto"/>
        <w:ind w:left="360" w:firstLine="0"/>
        <w:jc w:val="center"/>
        <w:rPr>
          <w:rFonts w:ascii="Arial" w:eastAsia="Times New Roman" w:hAnsi="Arial" w:cs="Arial"/>
          <w:b/>
          <w:szCs w:val="28"/>
          <w:lang w:val="uk-UA" w:eastAsia="ru-RU"/>
        </w:rPr>
      </w:pPr>
    </w:p>
    <w:p w14:paraId="421DF753" w14:textId="4685BCB6" w:rsidR="00220D3E" w:rsidRPr="00511005" w:rsidRDefault="007B2628" w:rsidP="007B2628">
      <w:pPr>
        <w:tabs>
          <w:tab w:val="left" w:pos="709"/>
        </w:tabs>
        <w:spacing w:line="264" w:lineRule="auto"/>
        <w:ind w:left="360" w:firstLine="0"/>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12A60179" w14:textId="77777777" w:rsidR="00220D3E" w:rsidRPr="00511005" w:rsidRDefault="00220D3E" w:rsidP="003F6A5D">
      <w:pPr>
        <w:numPr>
          <w:ilvl w:val="0"/>
          <w:numId w:val="205"/>
        </w:numPr>
        <w:tabs>
          <w:tab w:val="left" w:pos="142"/>
        </w:tabs>
        <w:spacing w:line="264" w:lineRule="auto"/>
        <w:ind w:left="0" w:firstLine="426"/>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Бандурка О. М. Право соціального забезпечення як форма реалізації конституційних прав і свобод людини і громадянина в Україні // Сучасний стан забезпечення трудових прав і прав у сфері соціального забезпечення та перспективи його поліпшення: матеріали ІХ Всеукр. наук.-практ. конф.(м. Харків, 4 черв. 2021 р.).Xарків, 2021. С. 22-24.</w:t>
      </w:r>
    </w:p>
    <w:p w14:paraId="05933C07" w14:textId="77777777" w:rsidR="00220D3E" w:rsidRPr="00511005" w:rsidRDefault="00220D3E" w:rsidP="003F6A5D">
      <w:pPr>
        <w:numPr>
          <w:ilvl w:val="0"/>
          <w:numId w:val="205"/>
        </w:numPr>
        <w:tabs>
          <w:tab w:val="left" w:pos="142"/>
        </w:tabs>
        <w:spacing w:line="264" w:lineRule="auto"/>
        <w:ind w:left="0" w:firstLine="426"/>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Вишновецька С.В. Методологія науки трудового права : монографія. Київ : Ніка-Центр, 2018. 168 с.</w:t>
      </w:r>
    </w:p>
    <w:p w14:paraId="7C728D70" w14:textId="77777777" w:rsidR="00220D3E" w:rsidRPr="00511005" w:rsidRDefault="00220D3E" w:rsidP="003F6A5D">
      <w:pPr>
        <w:numPr>
          <w:ilvl w:val="0"/>
          <w:numId w:val="205"/>
        </w:numPr>
        <w:tabs>
          <w:tab w:val="left" w:pos="142"/>
        </w:tabs>
        <w:spacing w:line="264" w:lineRule="auto"/>
        <w:ind w:left="0" w:firstLine="426"/>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Дутчак А. В. Соціальне забезпечення громадян: сучасний стан та перспективи розвитку. Молодий вчений. 2017. №5 С.568-572.</w:t>
      </w:r>
    </w:p>
    <w:p w14:paraId="51A90B08" w14:textId="77777777" w:rsidR="00220D3E" w:rsidRPr="00511005" w:rsidRDefault="00220D3E" w:rsidP="003F6A5D">
      <w:pPr>
        <w:numPr>
          <w:ilvl w:val="0"/>
          <w:numId w:val="205"/>
        </w:numPr>
        <w:tabs>
          <w:tab w:val="left" w:pos="142"/>
        </w:tabs>
        <w:spacing w:line="264" w:lineRule="auto"/>
        <w:ind w:left="0" w:firstLine="426"/>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Жигалкін І.П. Система принципів трудового права України : монографія. Харків : Право, 2015. 360 с</w:t>
      </w:r>
    </w:p>
    <w:p w14:paraId="5D1909CC" w14:textId="77777777" w:rsidR="00220D3E" w:rsidRPr="00511005" w:rsidRDefault="00220D3E" w:rsidP="003F6A5D">
      <w:pPr>
        <w:numPr>
          <w:ilvl w:val="0"/>
          <w:numId w:val="205"/>
        </w:numPr>
        <w:tabs>
          <w:tab w:val="left" w:pos="142"/>
        </w:tabs>
        <w:spacing w:line="264" w:lineRule="auto"/>
        <w:ind w:left="0" w:firstLine="426"/>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Завадських Г.М., Тебенко В.М. Соціальне підприємництво як інноваційний вектор розвитку економіки України. The I International Science Conference on Multidisciplinary Research. January 19-21, 2021. Berlin, Germany. P. 229-235 </w:t>
      </w:r>
    </w:p>
    <w:p w14:paraId="2499B36C" w14:textId="4660378C" w:rsidR="00220D3E" w:rsidRPr="00511005" w:rsidRDefault="00220D3E" w:rsidP="003F6A5D">
      <w:pPr>
        <w:numPr>
          <w:ilvl w:val="0"/>
          <w:numId w:val="205"/>
        </w:numPr>
        <w:tabs>
          <w:tab w:val="left" w:pos="142"/>
        </w:tabs>
        <w:spacing w:line="264" w:lineRule="auto"/>
        <w:ind w:left="0" w:firstLine="426"/>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Синчук С.М. До питання про недержавне соціальне забезпечення за рахунок роботодавця. Університетські наукові записки. 2011. № 2. С. 194-198.</w:t>
      </w:r>
      <w:r w:rsidR="007B2628" w:rsidRPr="00511005">
        <w:rPr>
          <w:rFonts w:ascii="Arial" w:eastAsia="Times New Roman" w:hAnsi="Arial" w:cs="Arial"/>
          <w:szCs w:val="28"/>
          <w:lang w:val="uk-UA" w:eastAsia="ru-RU"/>
        </w:rPr>
        <w:t xml:space="preserve"> </w:t>
      </w:r>
    </w:p>
    <w:p w14:paraId="378507AF" w14:textId="4FFE6CF7" w:rsidR="00220D3E" w:rsidRPr="00511005" w:rsidRDefault="00220D3E" w:rsidP="003F6A5D">
      <w:pPr>
        <w:numPr>
          <w:ilvl w:val="0"/>
          <w:numId w:val="205"/>
        </w:numPr>
        <w:tabs>
          <w:tab w:val="left" w:pos="142"/>
        </w:tabs>
        <w:spacing w:line="264" w:lineRule="auto"/>
        <w:ind w:left="0" w:firstLine="426"/>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w:t>
      </w:r>
      <w:r w:rsidRPr="00511005">
        <w:rPr>
          <w:rFonts w:ascii="Arial" w:eastAsia="Times New Roman" w:hAnsi="Arial" w:cs="Arial"/>
          <w:szCs w:val="28"/>
          <w:lang w:val="uk-UA" w:eastAsia="ru-RU"/>
        </w:rPr>
        <w:t>Електронний ресурс</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Режим доступу:</w:t>
      </w:r>
      <w:r w:rsidR="007B2628" w:rsidRPr="00511005">
        <w:rPr>
          <w:rFonts w:ascii="Arial" w:eastAsia="Times New Roman" w:hAnsi="Arial" w:cs="Arial"/>
          <w:szCs w:val="28"/>
          <w:lang w:val="uk-UA" w:eastAsia="ru-RU"/>
        </w:rPr>
        <w:t xml:space="preserve"> </w:t>
      </w:r>
      <w:hyperlink r:id="rId501" w:history="1">
        <w:r w:rsidRPr="00511005">
          <w:rPr>
            <w:rFonts w:ascii="Arial" w:eastAsia="Calibri" w:hAnsi="Arial" w:cs="Arial"/>
            <w:szCs w:val="28"/>
            <w:lang w:val="uk-UA"/>
          </w:rPr>
          <w:t>https://dspace.hnpu.edu.ua/server/api/core/bitstreams/c4190ee0-1da4-486b-bf02-e64ab39cd092/content</w:t>
        </w:r>
      </w:hyperlink>
      <w:r w:rsidRPr="00511005">
        <w:rPr>
          <w:rFonts w:ascii="Arial" w:eastAsia="Calibri" w:hAnsi="Arial" w:cs="Arial"/>
          <w:szCs w:val="28"/>
        </w:rPr>
        <w:t xml:space="preserve"> </w:t>
      </w:r>
    </w:p>
    <w:p w14:paraId="05848910" w14:textId="1BFA02CD" w:rsidR="00220D3E" w:rsidRPr="00511005" w:rsidRDefault="00220D3E" w:rsidP="003F6A5D">
      <w:pPr>
        <w:numPr>
          <w:ilvl w:val="0"/>
          <w:numId w:val="205"/>
        </w:numPr>
        <w:tabs>
          <w:tab w:val="left" w:pos="142"/>
        </w:tabs>
        <w:spacing w:line="264" w:lineRule="auto"/>
        <w:ind w:left="0" w:firstLine="426"/>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w:t>
      </w:r>
      <w:r w:rsidRPr="00511005">
        <w:rPr>
          <w:rFonts w:ascii="Arial" w:eastAsia="Times New Roman" w:hAnsi="Arial" w:cs="Arial"/>
          <w:szCs w:val="28"/>
          <w:lang w:val="uk-UA" w:eastAsia="ru-RU"/>
        </w:rPr>
        <w:t>Електронний ресурс</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Режим доступу:</w:t>
      </w:r>
      <w:r w:rsidR="007B2628" w:rsidRPr="00511005">
        <w:rPr>
          <w:rFonts w:ascii="Arial" w:eastAsia="Times New Roman" w:hAnsi="Arial" w:cs="Arial"/>
          <w:szCs w:val="28"/>
          <w:lang w:val="uk-UA" w:eastAsia="ru-RU"/>
        </w:rPr>
        <w:t xml:space="preserve"> </w:t>
      </w:r>
      <w:hyperlink r:id="rId502" w:history="1">
        <w:r w:rsidRPr="00511005">
          <w:rPr>
            <w:rFonts w:ascii="Arial" w:eastAsia="Calibri" w:hAnsi="Arial" w:cs="Arial"/>
            <w:szCs w:val="28"/>
            <w:lang w:val="uk-UA"/>
          </w:rPr>
          <w:t>http://visnyk-pravo.uzhnu.edu.ua/article/view/263505</w:t>
        </w:r>
      </w:hyperlink>
      <w:r w:rsidRPr="00511005">
        <w:rPr>
          <w:rFonts w:ascii="Arial" w:eastAsia="Calibri" w:hAnsi="Arial" w:cs="Arial"/>
          <w:szCs w:val="28"/>
          <w:lang w:val="uk-UA"/>
        </w:rPr>
        <w:t xml:space="preserve"> </w:t>
      </w:r>
    </w:p>
    <w:p w14:paraId="488ADF0A" w14:textId="22801AB5" w:rsidR="00220D3E"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трудове право, соціальне забезпечення, трудові відносини, нові форми зайнятості, гіг-економіка, трудовий договір, соціальний діалог, трудові права, Трудовий кодекс, євроінтеграція, правова модернізація, дистанційна робота, правовий захист, міжнародні стандарти, реформа законодавства.</w:t>
      </w:r>
    </w:p>
    <w:p w14:paraId="129B4D44" w14:textId="27FA2D28" w:rsidR="00220D3E" w:rsidRPr="00511005" w:rsidRDefault="007B2628" w:rsidP="003A292D">
      <w:pPr>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labour law, social security, labour relations, new forms of employment, gig economy, employment contract, social dialogue, labour rights, Labour Code, European integration, legal modernization, remote work, legal protection, international standards, legislative reform.</w:t>
      </w:r>
    </w:p>
    <w:p w14:paraId="6AEFD9E1" w14:textId="3B5C8549" w:rsidR="00220D3E" w:rsidRPr="00511005" w:rsidRDefault="007B2628" w:rsidP="003A292D">
      <w:pPr>
        <w:tabs>
          <w:tab w:val="left" w:pos="709"/>
        </w:tabs>
        <w:spacing w:line="264" w:lineRule="auto"/>
        <w:contextualSpacing/>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 Акіменко Ю.Ю.</w:t>
      </w:r>
    </w:p>
    <w:p w14:paraId="0E868514"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59ABF8F3" w14:textId="77777777" w:rsidR="00220D3E" w:rsidRPr="00511005" w:rsidRDefault="00220D3E" w:rsidP="003A292D">
      <w:pPr>
        <w:tabs>
          <w:tab w:val="left" w:pos="709"/>
        </w:tabs>
        <w:spacing w:line="264" w:lineRule="auto"/>
        <w:ind w:firstLine="0"/>
        <w:contextualSpacing/>
        <w:jc w:val="center"/>
        <w:rPr>
          <w:rFonts w:ascii="Arial" w:eastAsia="Times New Roman" w:hAnsi="Arial" w:cs="Arial"/>
          <w:b/>
          <w:i/>
          <w:szCs w:val="28"/>
          <w:lang w:eastAsia="ru-RU"/>
        </w:rPr>
      </w:pPr>
      <w:r w:rsidRPr="00511005">
        <w:rPr>
          <w:rFonts w:ascii="Arial" w:eastAsia="Times New Roman" w:hAnsi="Arial" w:cs="Arial"/>
          <w:b/>
          <w:i/>
          <w:szCs w:val="28"/>
          <w:lang w:eastAsia="ru-RU"/>
        </w:rPr>
        <w:t>Марущак Софія Павлівна</w:t>
      </w:r>
    </w:p>
    <w:p w14:paraId="357A7452" w14:textId="3E0CCE04" w:rsidR="00220D3E" w:rsidRPr="00511005" w:rsidRDefault="00536AAB" w:rsidP="003A292D">
      <w:pPr>
        <w:tabs>
          <w:tab w:val="left" w:pos="709"/>
        </w:tabs>
        <w:spacing w:line="264" w:lineRule="auto"/>
        <w:ind w:firstLine="0"/>
        <w:contextualSpacing/>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35CD32CD" w14:textId="3DE6E284" w:rsidR="00220D3E" w:rsidRPr="00511005" w:rsidRDefault="007B2628" w:rsidP="003A292D">
      <w:pPr>
        <w:tabs>
          <w:tab w:val="left" w:pos="709"/>
        </w:tabs>
        <w:spacing w:line="264" w:lineRule="auto"/>
        <w:ind w:firstLine="0"/>
        <w:contextualSpacing/>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C22A11D" w14:textId="77777777" w:rsidR="00220D3E" w:rsidRPr="00511005" w:rsidRDefault="00220D3E" w:rsidP="003A292D">
      <w:pPr>
        <w:tabs>
          <w:tab w:val="left" w:pos="709"/>
        </w:tabs>
        <w:spacing w:line="264" w:lineRule="auto"/>
        <w:ind w:firstLine="0"/>
        <w:contextualSpacing/>
        <w:jc w:val="center"/>
        <w:rPr>
          <w:rFonts w:ascii="Arial" w:eastAsia="Times New Roman" w:hAnsi="Arial" w:cs="Arial"/>
          <w:szCs w:val="28"/>
          <w:lang w:eastAsia="ru-RU"/>
        </w:rPr>
      </w:pPr>
    </w:p>
    <w:p w14:paraId="778BA9AD" w14:textId="77777777" w:rsidR="00220D3E" w:rsidRPr="00511005" w:rsidRDefault="00220D3E" w:rsidP="003A292D">
      <w:pPr>
        <w:tabs>
          <w:tab w:val="left" w:pos="709"/>
        </w:tabs>
        <w:spacing w:line="264" w:lineRule="auto"/>
        <w:ind w:firstLine="0"/>
        <w:contextualSpacing/>
        <w:jc w:val="center"/>
        <w:rPr>
          <w:rFonts w:ascii="Arial" w:eastAsia="Times New Roman" w:hAnsi="Arial" w:cs="Arial"/>
          <w:b/>
          <w:szCs w:val="28"/>
          <w:lang w:eastAsia="ru-RU"/>
        </w:rPr>
      </w:pPr>
      <w:r w:rsidRPr="00511005">
        <w:rPr>
          <w:rFonts w:ascii="Arial" w:eastAsia="Times New Roman" w:hAnsi="Arial" w:cs="Arial"/>
          <w:b/>
          <w:szCs w:val="28"/>
          <w:lang w:eastAsia="ru-RU"/>
        </w:rPr>
        <w:t>МІЖНАРОДНІ САНКЦІЇ: ПРАВОВА ПРИРОДА ТА НАСЛІДКИ</w:t>
      </w:r>
    </w:p>
    <w:p w14:paraId="6704B715" w14:textId="77777777" w:rsidR="007B2628"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У сучасному світі санкції стали потужним інструментом впливу на держави, що порушують міжнародне право або загрожують міжнародній безпеці в цілому. Їх застосування викликає численні юридичні, політичні та економічні дискусії, оскільки санкції безпосередньо впливають не лише на політику цілих держав, але й на добробут населення, розвиток економіки та стабільність міжнародної системи.</w:t>
      </w:r>
    </w:p>
    <w:p w14:paraId="3721190F" w14:textId="77777777" w:rsidR="007B2628"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ab/>
        <w:t xml:space="preserve">Перш за все, варто зазначити визначення терміну- санкції. «Санкції являють собою засіб політичного та економічного тиску, що </w:t>
      </w:r>
      <w:r w:rsidRPr="00511005">
        <w:rPr>
          <w:rFonts w:ascii="Arial" w:eastAsia="Times New Roman" w:hAnsi="Arial" w:cs="Arial"/>
          <w:szCs w:val="28"/>
          <w:lang w:eastAsia="ru-RU"/>
        </w:rPr>
        <w:lastRenderedPageBreak/>
        <w:t>застосовується державами або міжнародними організаціями з метою вплинути на політику окремого уряду чи групи урядів шляхом обмеження торговельних відносин, інвестиційної діяльності або інших форм економічної взаємодії» [1].</w:t>
      </w:r>
    </w:p>
    <w:p w14:paraId="5E6898CE" w14:textId="3AF07E11"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У системі міжнародного права виділяють кілька основних видів санкцій, що відрізняються за характером та правовою основою. До них належать економічні санкції, тобто повне припинення торговельних відносин або їх обмеження в окремих секторах; дипломатичні санкції — зменшення дипломатичної присутності чи припинення дипломатичних відносин на рівні посольств; військові санкції — військова інтервенція; спортивні санкції — обмеження участі у міжнародних спортивних заходах та санкції щодо довкілля — заходи, спрямовані на захист навколишнього середовища. Ці санкції можуть бути як індивідуальними так і секторальними. «Типові заходи включають ембарго на постачання зброї, обмеження на в’їзд осіб зі списку (заборона на поїздки), заморожування активів, що належать особам або організаціям, включеним до списку, та обмеження щодо певних секторів економічної діяльності, включаючи заборону на імпорт або експорт певних товарів, заборону на інвестиції, надання певних послуг тощо» [7,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.58-61]. Дослідження показують, що санкції можуть бути ефективними у досягненні поставлених цілей, але часто мають значні гуманітарні наслідки для цивільного населення. Наприклад, санкції проти Іраку в 1990-х роках призвели до серйозних гуманітарних криз, що викликало міжнародні дебати щодо моральності та ефективності таких заходів. З іншого боку, санкції проти Південної Африки у період апартеїду значно вплинули на зміну політичного режиму в країні. Економічна ізоляція, обмеження торгівлі, інвестицій та міжнародних фінансових операцій призвели до серйозної економічної кризи. Крім того, культурні та спортивні обмеження поглибили відчуття ізольованості та тиску з боку світової спільноти. Усе це змусило уряд ПАР почати переговори з опозицією і поступово скасувати систему апартеїду. У результаті цих змін країна перейшла до демократичного управління.</w:t>
      </w:r>
    </w:p>
    <w:p w14:paraId="6DBAFFCF" w14:textId="373FC7B0"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Хочемо звернути увагу на правову природу міжнародних санкцій. Вони є примусовими заходами, які застосовуються суб'єктами міжнародного права з метою забезпечення дотримання міжнародних норм та підтримання міжнародного правопорядку. Можуть бути як збройного, так і неозброєного характеру, залежно від конкретної ситуації та цілей застосування. Санкції можуть бути ініційовані як індивідуально окремими державами, так і колективно в рамках міжнародних організацій, таких як Організація Об'єднаних Націй або Європейський Союз. Колективні санкції, ухвалені міжнародними організаціями, мають обов'язкову юридичну силу для держав-членів. «Рада Безпеки ООН має повноваження приймати резолюції </w:t>
      </w:r>
      <w:r w:rsidRPr="00511005">
        <w:rPr>
          <w:rFonts w:ascii="Arial" w:eastAsia="Times New Roman" w:hAnsi="Arial" w:cs="Arial"/>
          <w:szCs w:val="28"/>
          <w:lang w:eastAsia="ru-RU"/>
        </w:rPr>
        <w:lastRenderedPageBreak/>
        <w:t>щодо застосування санкцій, які є обов'язковими для виконання всіма державами-членами ООН» відповідно до</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[6].</w:t>
      </w:r>
    </w:p>
    <w:p w14:paraId="39F49465" w14:textId="3C23695A"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«Щодо системи введення санкцій, рішення про запровадження санкцій приймається Радою ЄС одноголосно, що може бути ускладнено через різні політичні інтереси держав-членів. Після досягнення консенсусу Рада ухвалює відповідні правові акти».[4]</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Відповідальність за виконання санкцій покладається на держави-члени ЄС, які можуть застосовувати різні підходи до імплементації, що іноді призводить до неоднорідності та зниження ефективності санкційних заходів, а також Європейська комісія та Європейська служба зовнішніх справ здійснюють нагляд за дотриманням санкцій та оцінюють їхню результативність. Однак відсутність єдиної системи оцінки та нечітке визначення цілей санкцій ускладнюють цей процес.</w:t>
      </w:r>
    </w:p>
    <w:p w14:paraId="0BC469AE" w14:textId="77777777" w:rsidR="007B2628"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«На міжнародному рівні, Організація Об'єднаних Націй (ООН) також застосовує санкції через рішення Ради Безпеки. Ці санкції є обов'язковими для всіх держав-членів ООН. Проте, через право вето постійних членів Ради Безпеки, ухвалення таких рішень може бути заблоковано, що спонукає окремі країни та міжнародні організації, такі як ЄС, запроваджувати власні санкційні </w:t>
      </w:r>
      <w:proofErr w:type="gramStart"/>
      <w:r w:rsidRPr="00511005">
        <w:rPr>
          <w:rFonts w:ascii="Arial" w:eastAsia="Times New Roman" w:hAnsi="Arial" w:cs="Arial"/>
          <w:szCs w:val="28"/>
          <w:lang w:eastAsia="ru-RU"/>
        </w:rPr>
        <w:t>режими»[</w:t>
      </w:r>
      <w:proofErr w:type="gramEnd"/>
      <w:r w:rsidRPr="00511005">
        <w:rPr>
          <w:rFonts w:ascii="Arial" w:eastAsia="Times New Roman" w:hAnsi="Arial" w:cs="Arial"/>
          <w:szCs w:val="28"/>
          <w:lang w:eastAsia="ru-RU"/>
        </w:rPr>
        <w:t xml:space="preserve">3,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 416]. Варто зазначити, що ефективність санкцій залежить від їхньої ретельної розробки, чіткого визначення цілей та узгодженості дій між міжнародними партнерами. Досвід ЄС у цій сфері може бути корисним для інших країн, зокрема України, при формуванні власної санкційної політики. Окрім санкцій, альтернативними заходами можуть бути дипломатичний тиск, міжнародна ізоляція, блокування активів, військові операції, інформаційна війна або підтримка опозиційних рухів.</w:t>
      </w:r>
    </w:p>
    <w:p w14:paraId="1BA95FF1" w14:textId="0BCB27D9" w:rsidR="00220D3E" w:rsidRPr="00511005" w:rsidRDefault="00220D3E" w:rsidP="003A292D">
      <w:pPr>
        <w:tabs>
          <w:tab w:val="left" w:pos="709"/>
        </w:tabs>
        <w:spacing w:line="264" w:lineRule="auto"/>
        <w:contextualSpacing/>
        <w:rPr>
          <w:rFonts w:ascii="Arial" w:eastAsia="Times New Roman" w:hAnsi="Arial" w:cs="Arial"/>
          <w:szCs w:val="28"/>
          <w:lang w:eastAsia="uk-UA"/>
        </w:rPr>
      </w:pPr>
      <w:r w:rsidRPr="00511005">
        <w:rPr>
          <w:rFonts w:ascii="Arial" w:eastAsia="Times New Roman" w:hAnsi="Arial" w:cs="Arial"/>
          <w:szCs w:val="28"/>
          <w:lang w:eastAsia="ru-RU"/>
        </w:rPr>
        <w:t xml:space="preserve">Існує багато прикладів застосування міжнародних санкцій у сучасній практиці, перш за все хочемо зазначити «засоби впливу проти російської федерації у відповідь на анексію Криму в 2014 році та подальшу агресію на сході України. Вони включають економічні обмеження, заборону на інвестиції, експортні обмеження на ключові галузі, такі як енергетика, фінансовий сектор та військово-промисловий комплекс. Це призвело до значного зниження економічного зростання країни, девальвації рубля та зменшення притоку іноземних </w:t>
      </w:r>
      <w:proofErr w:type="gramStart"/>
      <w:r w:rsidRPr="00511005">
        <w:rPr>
          <w:rFonts w:ascii="Arial" w:eastAsia="Times New Roman" w:hAnsi="Arial" w:cs="Arial"/>
          <w:szCs w:val="28"/>
          <w:lang w:eastAsia="ru-RU"/>
        </w:rPr>
        <w:t>інвестицій»[</w:t>
      </w:r>
      <w:proofErr w:type="gramEnd"/>
      <w:r w:rsidRPr="00511005">
        <w:rPr>
          <w:rFonts w:ascii="Arial" w:eastAsia="Times New Roman" w:hAnsi="Arial" w:cs="Arial"/>
          <w:szCs w:val="28"/>
          <w:lang w:eastAsia="ru-RU"/>
        </w:rPr>
        <w:t>2].</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w:t>
      </w:r>
      <w:r w:rsidRPr="00511005">
        <w:rPr>
          <w:rFonts w:ascii="Arial" w:eastAsia="Times New Roman" w:hAnsi="Arial" w:cs="Arial"/>
          <w:szCs w:val="28"/>
          <w:shd w:val="clear" w:color="auto" w:fill="FFFFFF"/>
          <w:lang w:eastAsia="ru-RU"/>
        </w:rPr>
        <w:t>Повернення до зазначених вище</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 xml:space="preserve">принципів і повноважень урядів сьогодні має істотну відмінність – вони застосовуються не до власних ворогів держав, які використовують </w:t>
      </w:r>
      <w:r w:rsidRPr="00511005">
        <w:rPr>
          <w:rFonts w:ascii="Arial" w:eastAsia="Times New Roman" w:hAnsi="Arial" w:cs="Arial"/>
          <w:szCs w:val="28"/>
          <w:lang w:eastAsia="ru-RU"/>
        </w:rPr>
        <w:t>санкції</w:t>
      </w:r>
      <w:r w:rsidRPr="00511005">
        <w:rPr>
          <w:rFonts w:ascii="Arial" w:eastAsia="Times New Roman" w:hAnsi="Arial" w:cs="Arial"/>
          <w:szCs w:val="28"/>
          <w:shd w:val="clear" w:color="auto" w:fill="FFFFFF"/>
          <w:lang w:eastAsia="ru-RU"/>
        </w:rPr>
        <w:t xml:space="preserve">, а на знак солідарності з іншою державою (Україною), яка зазнала агресії. </w:t>
      </w:r>
      <w:r w:rsidRPr="00511005">
        <w:rPr>
          <w:rFonts w:ascii="Arial" w:eastAsia="Times New Roman" w:hAnsi="Arial" w:cs="Arial"/>
          <w:szCs w:val="28"/>
          <w:lang w:eastAsia="uk-UA"/>
        </w:rPr>
        <w:t xml:space="preserve">Велика Британія заморозила найбільше російських банківських активів з-поміж інших країн, які запровадили </w:t>
      </w:r>
      <w:r w:rsidRPr="00511005">
        <w:rPr>
          <w:rFonts w:ascii="Arial" w:eastAsia="Times New Roman" w:hAnsi="Arial" w:cs="Arial"/>
          <w:szCs w:val="28"/>
          <w:lang w:eastAsia="ru-RU"/>
        </w:rPr>
        <w:t>санкції</w:t>
      </w:r>
      <w:r w:rsidRPr="00511005">
        <w:rPr>
          <w:rFonts w:ascii="Arial" w:eastAsia="Times New Roman" w:hAnsi="Arial" w:cs="Arial"/>
          <w:szCs w:val="28"/>
          <w:lang w:eastAsia="uk-UA"/>
        </w:rPr>
        <w:t xml:space="preserve"> до росії. За повідомленням Міністерства закордонних справ, держава заморозила банківські активи на загальну суму 258,8 мільярда фунтів стерлінгів, порівняно з 240 мільярдами фунтів стерлінгів у США та 33,8 мільярдами фунтів стерлінгів у ЄС</w:t>
      </w:r>
      <w:r w:rsidRPr="00511005">
        <w:rPr>
          <w:rFonts w:ascii="Arial" w:eastAsia="Times New Roman" w:hAnsi="Arial" w:cs="Arial"/>
          <w:szCs w:val="28"/>
          <w:lang w:eastAsia="ru-RU"/>
        </w:rPr>
        <w:t xml:space="preserve">» [5,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.10].</w:t>
      </w:r>
      <w:r w:rsidRPr="00511005">
        <w:rPr>
          <w:rFonts w:ascii="Arial" w:eastAsia="Times New Roman" w:hAnsi="Arial" w:cs="Arial"/>
          <w:szCs w:val="28"/>
          <w:lang w:eastAsia="uk-UA"/>
        </w:rPr>
        <w:t xml:space="preserve"> Друга хвиля санкцій щодо замороження активів компаній становила 18 </w:t>
      </w:r>
      <w:r w:rsidRPr="00511005">
        <w:rPr>
          <w:rFonts w:ascii="Arial" w:eastAsia="Times New Roman" w:hAnsi="Arial" w:cs="Arial"/>
          <w:szCs w:val="28"/>
          <w:lang w:eastAsia="uk-UA"/>
        </w:rPr>
        <w:lastRenderedPageBreak/>
        <w:t>мільярдів фунтів стерлінгів</w:t>
      </w:r>
      <w:r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lang w:eastAsia="ru-RU"/>
        </w:rPr>
        <w:t>Західні санкції обмежили доступ росії до сучасних технологій та фінансових ринків, що суттєво позначилося на розвитку нафтогазової та високотехнологічної галузей.</w:t>
      </w:r>
    </w:p>
    <w:p w14:paraId="4BD2579F"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Таким чином, санкції є потужним інструментом впливу на держави, що порушують міжнародне право або створюють загрозу міжнародній безпеці. Вони можуть бути ефективними у стримуванні агресії, змушуючи держави змінювати свою політику, але водночас мають і негативні наслідки, особливо для цивільного населення. Досвід санкційної політики ЄС та ООН свідчить про необхідність чіткої стратегії, координації між міжнародними партнерами та ретельного моніторингу виконання санкційних обмежень. Для України санкційна політика стала важливим елементом боротьби з агресією російської федерації. Введення санкцій проти рф після 2014 року було важливим кроком, але їх подальша ефективність залежатиме від жорсткого контролю за виконанням обмежень і уникнення їхнього обходу. Крім того, Україна може активніше співпрацювати з міжнародними партнерами щодо посилення санкційного тиску на рф, зокрема шляхом розширення списків осіб і компаній, які підтримують військову агресію, а також шляхом залучення третіх країн до санкційного режиму. У майбутньому Україна може розвивати власний санкційний механізм, запроваджуючи національні санкції за прикладом ЄС та США. Це вимагатиме створення спеціального органу, який буде займатися розробкою, впровадженням та контролем санкцій, а також механізмів для боротьби з обходом обмежень. Окрім санкцій, важливим є посилення дипломатичного тиску, юридичне переслідування воєнних злочинців, інформаційна протидія російській пропаганді та економічна диверсифікація, що зменшить залежність від ворожих країн. </w:t>
      </w:r>
    </w:p>
    <w:p w14:paraId="5F785C01"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p>
    <w:p w14:paraId="276E8C20" w14:textId="4CB84157" w:rsidR="00220D3E" w:rsidRPr="00511005" w:rsidRDefault="007B2628" w:rsidP="007B2628">
      <w:pPr>
        <w:tabs>
          <w:tab w:val="left" w:pos="709"/>
        </w:tabs>
        <w:spacing w:line="264" w:lineRule="auto"/>
        <w:contextualSpacing/>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57026178" w14:textId="77777777" w:rsidR="00220D3E" w:rsidRPr="00511005" w:rsidRDefault="00220D3E" w:rsidP="003F6A5D">
      <w:pPr>
        <w:numPr>
          <w:ilvl w:val="0"/>
          <w:numId w:val="13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Гомля І., Микитенко Д., Маринів І. Правова природа санкцій ЄС, їх місце в системі зовнішньої політики та безпеки. </w:t>
      </w:r>
      <w:r w:rsidRPr="00511005">
        <w:rPr>
          <w:rFonts w:ascii="Arial" w:eastAsia="Calibri" w:hAnsi="Arial" w:cs="Arial"/>
          <w:i/>
          <w:iCs/>
          <w:szCs w:val="28"/>
        </w:rPr>
        <w:t xml:space="preserve">ΛΌГOΣ. </w:t>
      </w:r>
      <w:r w:rsidRPr="00511005">
        <w:rPr>
          <w:rFonts w:ascii="Arial" w:eastAsia="Calibri" w:hAnsi="Arial" w:cs="Arial"/>
          <w:iCs/>
          <w:szCs w:val="28"/>
        </w:rPr>
        <w:t>Мистецтво</w:t>
      </w:r>
      <w:r w:rsidRPr="00511005">
        <w:rPr>
          <w:rFonts w:ascii="Arial" w:eastAsia="Calibri" w:hAnsi="Arial" w:cs="Arial"/>
          <w:i/>
          <w:iCs/>
          <w:szCs w:val="28"/>
        </w:rPr>
        <w:t xml:space="preserve"> </w:t>
      </w:r>
      <w:r w:rsidRPr="00511005">
        <w:rPr>
          <w:rFonts w:ascii="Arial" w:eastAsia="Calibri" w:hAnsi="Arial" w:cs="Arial"/>
          <w:iCs/>
          <w:szCs w:val="28"/>
        </w:rPr>
        <w:t>наукової думки</w:t>
      </w:r>
      <w:r w:rsidRPr="00511005">
        <w:rPr>
          <w:rFonts w:ascii="Arial" w:eastAsia="Calibri" w:hAnsi="Arial" w:cs="Arial"/>
          <w:szCs w:val="28"/>
        </w:rPr>
        <w:t>. 2019. № 8. С. 140–145. URL: </w:t>
      </w:r>
      <w:hyperlink r:id="rId503" w:history="1">
        <w:r w:rsidRPr="00511005">
          <w:rPr>
            <w:rFonts w:ascii="Arial" w:eastAsia="Calibri" w:hAnsi="Arial" w:cs="Arial"/>
            <w:szCs w:val="28"/>
          </w:rPr>
          <w:t>https://doi.org/10.36074/2617-7064.08.034</w:t>
        </w:r>
      </w:hyperlink>
    </w:p>
    <w:p w14:paraId="11621B21" w14:textId="77777777" w:rsidR="00220D3E" w:rsidRPr="00511005" w:rsidRDefault="00220D3E" w:rsidP="003F6A5D">
      <w:pPr>
        <w:numPr>
          <w:ilvl w:val="0"/>
          <w:numId w:val="13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Міжнародні санкції проти росії у світовій діамантовій галузі. Аналітичний</w:t>
      </w:r>
      <w:r w:rsidRPr="00511005">
        <w:rPr>
          <w:rFonts w:ascii="Arial" w:eastAsia="Calibri" w:hAnsi="Arial" w:cs="Arial"/>
          <w:szCs w:val="28"/>
          <w:lang w:val="en-US"/>
        </w:rPr>
        <w:t xml:space="preserve"> </w:t>
      </w:r>
      <w:r w:rsidRPr="00511005">
        <w:rPr>
          <w:rFonts w:ascii="Arial" w:eastAsia="Calibri" w:hAnsi="Arial" w:cs="Arial"/>
          <w:szCs w:val="28"/>
        </w:rPr>
        <w:t>огляд</w:t>
      </w:r>
      <w:r w:rsidRPr="00511005">
        <w:rPr>
          <w:rFonts w:ascii="Arial" w:eastAsia="Calibri" w:hAnsi="Arial" w:cs="Arial"/>
          <w:szCs w:val="28"/>
          <w:lang w:val="en-US"/>
        </w:rPr>
        <w:t>. </w:t>
      </w:r>
      <w:r w:rsidRPr="00511005">
        <w:rPr>
          <w:rFonts w:ascii="Arial" w:eastAsia="Calibri" w:hAnsi="Arial" w:cs="Arial"/>
          <w:i/>
          <w:iCs/>
          <w:szCs w:val="28"/>
          <w:lang w:val="en-US"/>
        </w:rPr>
        <w:t>Scientific practical journal Precious and Decorative Stones</w:t>
      </w:r>
      <w:r w:rsidRPr="00511005">
        <w:rPr>
          <w:rFonts w:ascii="Arial" w:eastAsia="Calibri" w:hAnsi="Arial" w:cs="Arial"/>
          <w:szCs w:val="28"/>
          <w:lang w:val="en-US"/>
        </w:rPr>
        <w:t xml:space="preserve">. </w:t>
      </w:r>
      <w:r w:rsidRPr="00511005">
        <w:rPr>
          <w:rFonts w:ascii="Arial" w:eastAsia="Calibri" w:hAnsi="Arial" w:cs="Arial"/>
          <w:szCs w:val="28"/>
        </w:rPr>
        <w:t>2024. URL: </w:t>
      </w:r>
      <w:hyperlink r:id="rId504" w:history="1">
        <w:r w:rsidRPr="00511005">
          <w:rPr>
            <w:rFonts w:ascii="Arial" w:eastAsia="Calibri" w:hAnsi="Arial" w:cs="Arial"/>
            <w:szCs w:val="28"/>
          </w:rPr>
          <w:t>https://doi.org/10.53036/2024-2(116)-3</w:t>
        </w:r>
      </w:hyperlink>
    </w:p>
    <w:p w14:paraId="7BB76EFE" w14:textId="77777777" w:rsidR="00220D3E" w:rsidRPr="00511005" w:rsidRDefault="00220D3E" w:rsidP="003F6A5D">
      <w:pPr>
        <w:numPr>
          <w:ilvl w:val="0"/>
          <w:numId w:val="13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Микієвич М. Інституційне право Європейського Союзу у сфері зовнішньої політики та безпеки. </w:t>
      </w:r>
      <w:proofErr w:type="gramStart"/>
      <w:r w:rsidRPr="00511005">
        <w:rPr>
          <w:rFonts w:ascii="Arial" w:eastAsia="Calibri" w:hAnsi="Arial" w:cs="Arial"/>
          <w:szCs w:val="28"/>
        </w:rPr>
        <w:t>Львів :</w:t>
      </w:r>
      <w:proofErr w:type="gramEnd"/>
      <w:r w:rsidRPr="00511005">
        <w:rPr>
          <w:rFonts w:ascii="Arial" w:eastAsia="Calibri" w:hAnsi="Arial" w:cs="Arial"/>
          <w:szCs w:val="28"/>
        </w:rPr>
        <w:t xml:space="preserve"> Львів. нац. ун-т ім. І.Франка, 2005. 416 с. </w:t>
      </w:r>
    </w:p>
    <w:p w14:paraId="4729F458" w14:textId="77777777" w:rsidR="00220D3E" w:rsidRPr="00511005" w:rsidRDefault="00220D3E" w:rsidP="003F6A5D">
      <w:pPr>
        <w:numPr>
          <w:ilvl w:val="0"/>
          <w:numId w:val="13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Санкції – що це таке, навіщо потрібні та які бувають. </w:t>
      </w:r>
      <w:r w:rsidRPr="00511005">
        <w:rPr>
          <w:rFonts w:ascii="Arial" w:eastAsia="Calibri" w:hAnsi="Arial" w:cs="Arial"/>
          <w:i/>
          <w:iCs/>
          <w:szCs w:val="28"/>
        </w:rPr>
        <w:t>Termin.in.ua</w:t>
      </w:r>
      <w:r w:rsidRPr="00511005">
        <w:rPr>
          <w:rFonts w:ascii="Arial" w:eastAsia="Calibri" w:hAnsi="Arial" w:cs="Arial"/>
          <w:szCs w:val="28"/>
        </w:rPr>
        <w:t>. URL: </w:t>
      </w:r>
      <w:hyperlink r:id="rId505" w:history="1">
        <w:r w:rsidRPr="00511005">
          <w:rPr>
            <w:rFonts w:ascii="Arial" w:eastAsia="Calibri" w:hAnsi="Arial" w:cs="Arial"/>
            <w:szCs w:val="28"/>
          </w:rPr>
          <w:t>https://termin.in.ua/sanktsii/</w:t>
        </w:r>
      </w:hyperlink>
      <w:r w:rsidRPr="00511005">
        <w:rPr>
          <w:rFonts w:ascii="Arial" w:eastAsia="Calibri" w:hAnsi="Arial" w:cs="Arial"/>
          <w:szCs w:val="28"/>
        </w:rPr>
        <w:t xml:space="preserve"> </w:t>
      </w:r>
    </w:p>
    <w:p w14:paraId="2F8FA75E" w14:textId="77777777" w:rsidR="00220D3E" w:rsidRPr="00511005" w:rsidRDefault="00220D3E" w:rsidP="003F6A5D">
      <w:pPr>
        <w:numPr>
          <w:ilvl w:val="0"/>
          <w:numId w:val="138"/>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rPr>
        <w:t>Туренко А., Яковюк І. Конфіскація російських активів для відновлення України: правові проблеми реалізації. </w:t>
      </w:r>
      <w:r w:rsidRPr="00511005">
        <w:rPr>
          <w:rFonts w:ascii="Arial" w:eastAsia="Calibri" w:hAnsi="Arial" w:cs="Arial"/>
          <w:i/>
          <w:iCs/>
          <w:szCs w:val="28"/>
          <w:lang w:val="en-US"/>
        </w:rPr>
        <w:t>Problems of legality</w:t>
      </w:r>
      <w:r w:rsidRPr="00511005">
        <w:rPr>
          <w:rFonts w:ascii="Arial" w:eastAsia="Calibri" w:hAnsi="Arial" w:cs="Arial"/>
          <w:szCs w:val="28"/>
          <w:lang w:val="en-US"/>
        </w:rPr>
        <w:t xml:space="preserve">. 2023. </w:t>
      </w:r>
      <w:r w:rsidRPr="00511005">
        <w:rPr>
          <w:rFonts w:ascii="Arial" w:eastAsia="Calibri" w:hAnsi="Arial" w:cs="Arial"/>
          <w:szCs w:val="28"/>
        </w:rPr>
        <w:t>С</w:t>
      </w:r>
      <w:r w:rsidRPr="00511005">
        <w:rPr>
          <w:rFonts w:ascii="Arial" w:eastAsia="Calibri" w:hAnsi="Arial" w:cs="Arial"/>
          <w:szCs w:val="28"/>
          <w:lang w:val="en-US"/>
        </w:rPr>
        <w:t>.10-12. URL: </w:t>
      </w:r>
      <w:hyperlink r:id="rId506" w:history="1">
        <w:r w:rsidRPr="00511005">
          <w:rPr>
            <w:rFonts w:ascii="Arial" w:eastAsia="Calibri" w:hAnsi="Arial" w:cs="Arial"/>
            <w:szCs w:val="28"/>
            <w:lang w:val="en-US"/>
          </w:rPr>
          <w:t>http://plaw.nlu.edu.ua/article/view/277365/277490</w:t>
        </w:r>
      </w:hyperlink>
      <w:r w:rsidRPr="00511005">
        <w:rPr>
          <w:rFonts w:ascii="Arial" w:eastAsia="Calibri" w:hAnsi="Arial" w:cs="Arial"/>
          <w:szCs w:val="28"/>
          <w:lang w:val="en-US"/>
        </w:rPr>
        <w:t xml:space="preserve"> </w:t>
      </w:r>
    </w:p>
    <w:p w14:paraId="35147AFE" w14:textId="2A6A8DAA" w:rsidR="00220D3E" w:rsidRPr="00511005" w:rsidRDefault="00220D3E" w:rsidP="003F6A5D">
      <w:pPr>
        <w:numPr>
          <w:ilvl w:val="0"/>
          <w:numId w:val="13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lastRenderedPageBreak/>
        <w:t>Чиста політика, правовий механізм чи просто вендетта? - Українська Гельсінська спілка з прав людини. </w:t>
      </w:r>
      <w:r w:rsidRPr="00511005">
        <w:rPr>
          <w:rFonts w:ascii="Arial" w:eastAsia="Calibri" w:hAnsi="Arial" w:cs="Arial"/>
          <w:i/>
          <w:iCs/>
          <w:szCs w:val="28"/>
        </w:rPr>
        <w:t>Українська Гельсінська спілка з прав людини</w:t>
      </w:r>
      <w:r w:rsidRPr="00511005">
        <w:rPr>
          <w:rFonts w:ascii="Arial" w:eastAsia="Calibri" w:hAnsi="Arial" w:cs="Arial"/>
          <w:szCs w:val="28"/>
        </w:rPr>
        <w:t>. URL: </w:t>
      </w:r>
      <w:hyperlink r:id="rId507" w:history="1">
        <w:r w:rsidRPr="00511005">
          <w:rPr>
            <w:rFonts w:ascii="Arial" w:eastAsia="Calibri" w:hAnsi="Arial" w:cs="Arial"/>
            <w:szCs w:val="28"/>
          </w:rPr>
          <w:t>https://www.helsinki.org.ua/articles/chysta-polityka-pravovyy-mekhanizm-chy-prosto-vendetta/</w:t>
        </w:r>
      </w:hyperlink>
      <w:r w:rsidR="007B2628" w:rsidRPr="00511005">
        <w:rPr>
          <w:rFonts w:ascii="Arial" w:eastAsia="Calibri" w:hAnsi="Arial" w:cs="Arial"/>
          <w:szCs w:val="28"/>
        </w:rPr>
        <w:t xml:space="preserve"> </w:t>
      </w:r>
    </w:p>
    <w:p w14:paraId="6DBF44CD" w14:textId="77777777" w:rsidR="00220D3E" w:rsidRPr="00511005" w:rsidRDefault="00220D3E" w:rsidP="003F6A5D">
      <w:pPr>
        <w:numPr>
          <w:ilvl w:val="0"/>
          <w:numId w:val="13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Ясько Т., Ткаченко О. санкції в міжнародному праві: баланс між законністю, ефективністю та гуманітарними проблемами. </w:t>
      </w:r>
      <w:r w:rsidRPr="00511005">
        <w:rPr>
          <w:rFonts w:ascii="Arial" w:eastAsia="Calibri" w:hAnsi="Arial" w:cs="Arial"/>
          <w:i/>
          <w:iCs/>
          <w:szCs w:val="28"/>
        </w:rPr>
        <w:t>Молодий вчений</w:t>
      </w:r>
      <w:r w:rsidRPr="00511005">
        <w:rPr>
          <w:rFonts w:ascii="Arial" w:eastAsia="Calibri" w:hAnsi="Arial" w:cs="Arial"/>
          <w:szCs w:val="28"/>
        </w:rPr>
        <w:t>. 2024. № 2 (126). С. 58–61. URL: </w:t>
      </w:r>
      <w:hyperlink r:id="rId508" w:history="1">
        <w:r w:rsidRPr="00511005">
          <w:rPr>
            <w:rFonts w:ascii="Arial" w:eastAsia="Calibri" w:hAnsi="Arial" w:cs="Arial"/>
            <w:szCs w:val="28"/>
          </w:rPr>
          <w:t>https://doi.org/10.32839/2304-5809/2024-2-126-13</w:t>
        </w:r>
      </w:hyperlink>
      <w:r w:rsidRPr="00511005">
        <w:rPr>
          <w:rFonts w:ascii="Arial" w:eastAsia="Calibri" w:hAnsi="Arial" w:cs="Arial"/>
          <w:szCs w:val="28"/>
        </w:rPr>
        <w:t xml:space="preserve"> </w:t>
      </w:r>
    </w:p>
    <w:p w14:paraId="5DBF6734" w14:textId="72C24D4D" w:rsidR="00220D3E" w:rsidRPr="00511005" w:rsidRDefault="007B2628"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санкції, міжнародне право, економічні обмеження, дипломатичний тиск, заморожування активів, міжнародні організації.</w:t>
      </w:r>
    </w:p>
    <w:p w14:paraId="12E7241D" w14:textId="6B535F6C" w:rsidR="00220D3E" w:rsidRPr="00511005" w:rsidRDefault="007B2628" w:rsidP="003A292D">
      <w:pPr>
        <w:tabs>
          <w:tab w:val="left" w:pos="709"/>
        </w:tabs>
        <w:spacing w:line="264" w:lineRule="auto"/>
        <w:contextualSpacing/>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sanctions, international law, economic restrictions, diplomatic pressure, asset freezing, international organizations.</w:t>
      </w:r>
    </w:p>
    <w:p w14:paraId="4861276E" w14:textId="1CD029C8" w:rsidR="00220D3E" w:rsidRPr="00511005" w:rsidRDefault="007B2628" w:rsidP="003A292D">
      <w:pPr>
        <w:tabs>
          <w:tab w:val="left" w:pos="709"/>
        </w:tabs>
        <w:spacing w:line="264" w:lineRule="auto"/>
        <w:contextualSpacing/>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 Грушко М.В.</w:t>
      </w:r>
    </w:p>
    <w:p w14:paraId="523277F5" w14:textId="77777777" w:rsidR="00220D3E" w:rsidRPr="00511005" w:rsidRDefault="00220D3E" w:rsidP="003A292D">
      <w:pPr>
        <w:tabs>
          <w:tab w:val="left" w:pos="709"/>
        </w:tabs>
        <w:spacing w:line="264" w:lineRule="auto"/>
        <w:contextualSpacing/>
        <w:rPr>
          <w:rFonts w:ascii="Arial" w:eastAsia="Times New Roman" w:hAnsi="Arial" w:cs="Arial"/>
          <w:szCs w:val="28"/>
          <w:lang w:val="uk-UA" w:eastAsia="ru-RU"/>
        </w:rPr>
      </w:pPr>
    </w:p>
    <w:p w14:paraId="7530D967" w14:textId="77777777" w:rsidR="00220D3E" w:rsidRPr="00511005" w:rsidRDefault="00220D3E" w:rsidP="003A292D">
      <w:pPr>
        <w:tabs>
          <w:tab w:val="left" w:pos="709"/>
        </w:tabs>
        <w:spacing w:line="264" w:lineRule="auto"/>
        <w:contextualSpacing/>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Масловська Єлизавета Денисівна</w:t>
      </w:r>
    </w:p>
    <w:p w14:paraId="79CC3E15" w14:textId="75E3113B"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2B769820"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7618B77" w14:textId="7AF62D73" w:rsidR="00220D3E" w:rsidRPr="00511005" w:rsidRDefault="007B2628" w:rsidP="00DE2391">
      <w:pPr>
        <w:spacing w:line="264" w:lineRule="auto"/>
        <w:ind w:firstLine="0"/>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p>
    <w:p w14:paraId="3430319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37EB5422"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ЗАХИСТ ПРАВ ДІТЕЙ В УМОВАХ ЗБРОЙНИХ КОНФЛІКТІВ: МІЖНАРОДНО-ПРАВОВІ МЕХАНІЗМИ ТА ВИКЛИКИ В КОНТЕКСТІ СУЧАСНИХ ВОЄН</w:t>
      </w:r>
    </w:p>
    <w:p w14:paraId="5A0773D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Збройні конфлікти, які точаться у різних куточках світу, особливо в останні роки, призводять до численних порушень прав людини. Найбільш вразливою категорією серед цивільного населення залишаються діти. Їхні права масово порушуються, що вимагає посиленої уваги з боку міжнародної спільноти. На прикладі війни в Україні видно, як систематично ігноруються базові принципи захисту дитинства.</w:t>
      </w:r>
    </w:p>
    <w:p w14:paraId="6AF4EB7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Захист прав дітей під час війни закріплений у низці міжнародних документів. Найбільш фундаментальним є Конвенція ООН про права дитини (1989), яка визначає базові права кожної дитини на життя, освіту, охорону здоров’я, захист від насильства та експлуатації [1]. Факультативний протокол до Конвенції (2000) додатково забороняє участь дітей у збройних конфліктах [2]. Окрім цього, положення Женевських конвенцій (1949) та Додаткових протоколів до них також надають дітям особливий статус як особливо вразливій категорії цивільного населення [3].</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Ці акти закріплюють чіткі норми: діти мають право на життя, розвиток, освіту, і не повинні брати участь у бойових діях. Проте на практиці, як показує ситуація в Україні, виконання цих норм стикається з серйозними перешкодами.</w:t>
      </w:r>
    </w:p>
    <w:p w14:paraId="50FAB3B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 жаль, ці механізми не завжди ефективно діють на практиці. З початку повномасштабного вторгнення Росії в Україну у 2022 році, міжнародні організації фіксують масові порушення прав дітей. Згідно з </w:t>
      </w:r>
      <w:r w:rsidRPr="00511005">
        <w:rPr>
          <w:rFonts w:ascii="Arial" w:eastAsia="Times New Roman" w:hAnsi="Arial" w:cs="Arial"/>
          <w:szCs w:val="28"/>
          <w:lang w:eastAsia="ru-RU"/>
        </w:rPr>
        <w:lastRenderedPageBreak/>
        <w:t xml:space="preserve">даними Офісу Уповноваженого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з прав людини, діти зазнають вбивств, поранень, депортацій, примусового переміщення до Росії, а також позбавляються доступу до освіти та медичних послуг через руйнування інфраструктури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[4].</w:t>
      </w:r>
    </w:p>
    <w:p w14:paraId="3CCE1C6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Разом із тисячами цивільних діти стають жертвами бойових дій: </w:t>
      </w:r>
      <w:r w:rsidRPr="00511005">
        <w:rPr>
          <w:rFonts w:ascii="Arial" w:eastAsia="Times New Roman" w:hAnsi="Arial" w:cs="Arial"/>
          <w:szCs w:val="28"/>
          <w:lang w:eastAsia="ru-RU"/>
        </w:rPr>
        <w:t>обстрілів, авіаударів, вибухів мін.</w:t>
      </w:r>
      <w:r w:rsidRPr="00511005">
        <w:rPr>
          <w:rFonts w:ascii="Arial" w:eastAsia="Times New Roman" w:hAnsi="Arial" w:cs="Arial"/>
          <w:szCs w:val="28"/>
          <w:lang w:val="uk-UA" w:eastAsia="ru-RU"/>
        </w:rPr>
        <w:t xml:space="preserve"> </w:t>
      </w:r>
      <w:proofErr w:type="gramStart"/>
      <w:r w:rsidRPr="00511005">
        <w:rPr>
          <w:rFonts w:ascii="Arial" w:eastAsia="Times New Roman" w:hAnsi="Arial" w:cs="Arial"/>
          <w:szCs w:val="28"/>
          <w:lang w:eastAsia="ru-RU"/>
        </w:rPr>
        <w:t>У зонах</w:t>
      </w:r>
      <w:proofErr w:type="gramEnd"/>
      <w:r w:rsidRPr="00511005">
        <w:rPr>
          <w:rFonts w:ascii="Arial" w:eastAsia="Times New Roman" w:hAnsi="Arial" w:cs="Arial"/>
          <w:szCs w:val="28"/>
          <w:lang w:eastAsia="ru-RU"/>
        </w:rPr>
        <w:t xml:space="preserve"> бойових дій фіксуються випадки жорстокого поводження з дітьми, включаючи тортури та сексуальне насильство, особливо на тимчасово окупованих територіях.</w:t>
      </w:r>
    </w:p>
    <w:p w14:paraId="4A252F0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Одним із найсерйозніших порушень є насильницьке вивезення українських дітей до Російської Федерації або на захоплені території.</w:t>
      </w:r>
      <w:r w:rsidRPr="00511005">
        <w:rPr>
          <w:rFonts w:ascii="Arial" w:eastAsia="Times New Roman" w:hAnsi="Arial" w:cs="Arial"/>
          <w:szCs w:val="28"/>
          <w:lang w:val="uk-UA" w:eastAsia="ru-RU"/>
        </w:rPr>
        <w:t xml:space="preserve"> Дітям міняють імена, прізвища, їхню ідентичність, змушують прийняти громадянство агресора. </w:t>
      </w:r>
      <w:r w:rsidRPr="00511005">
        <w:rPr>
          <w:rFonts w:ascii="Arial" w:eastAsia="Times New Roman" w:hAnsi="Arial" w:cs="Arial"/>
          <w:szCs w:val="28"/>
          <w:lang w:eastAsia="ru-RU"/>
        </w:rPr>
        <w:t>Ці дії можуть бути кваліфіковані як воєнні злочини відповідно до міжнародного права [5].</w:t>
      </w:r>
    </w:p>
    <w:p w14:paraId="0F89160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Велику роль відіграє знищення освітньої інфраструктури. </w:t>
      </w:r>
      <w:r w:rsidRPr="00511005">
        <w:rPr>
          <w:rFonts w:ascii="Arial" w:eastAsia="Times New Roman" w:hAnsi="Arial" w:cs="Arial"/>
          <w:szCs w:val="28"/>
          <w:lang w:eastAsia="ru-RU"/>
        </w:rPr>
        <w:t>Руйнування шкіл, дитсадків, університетів призводить до відсутності доступу до базової освіти. За даними Міністерства освіти і науки України, сотні навчальних закладів були пошкоджені або повністю зруйновані [6].</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Дітям доводиться вчитися дистанційно в умовах нестабільного інтернету,</w:t>
      </w:r>
      <w:r w:rsidRPr="00511005">
        <w:rPr>
          <w:rFonts w:ascii="Arial" w:eastAsia="Times New Roman" w:hAnsi="Arial" w:cs="Arial"/>
          <w:szCs w:val="28"/>
          <w:lang w:val="uk-UA" w:eastAsia="ru-RU"/>
        </w:rPr>
        <w:t xml:space="preserve"> відключень світла,</w:t>
      </w:r>
      <w:r w:rsidRPr="00511005">
        <w:rPr>
          <w:rFonts w:ascii="Arial" w:eastAsia="Times New Roman" w:hAnsi="Arial" w:cs="Arial"/>
          <w:szCs w:val="28"/>
          <w:lang w:eastAsia="ru-RU"/>
        </w:rPr>
        <w:t xml:space="preserve"> без належного освітнього середовища.</w:t>
      </w:r>
    </w:p>
    <w:p w14:paraId="191FBEA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Психологічні травми, завдані війною, залишаються з дітьми надовго — навіть після завершення бойових дій. З перших днів повномасштабного вторгнення багато українських дітей стали свідками насильства, втрати рідних, руйнувань домівок і шкіл. Такий досвід часто призводить до розвитку посттравматичного стресового розладу (ПТСР), підвищеного рівня тривоги, депресії, проблем зі сном, агресивної або, навпаки, ізольованої поведінки.</w:t>
      </w:r>
    </w:p>
    <w:p w14:paraId="71E1BC8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Особливо вразливими є діти, які втратили батьків, опинилися в евакуації або на окупованих територіях. Їм потрібна довготривала психосоціальна підтримка, адаптована до вікових та індивідуальних потреб. На жаль, така допомога доступна не завжди: в окремих регіонах немає достатньої кількості кваліфікованих психологів, а системна підтримка часто зосереджена лише в більших містах. Потреба в мобільних командах психологів, онлайн-консультаціях та програмах реабілітації сьогодні є критично важливою.</w:t>
      </w:r>
    </w:p>
    <w:p w14:paraId="7C0B235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Варто підкреслити, що дитяча психіка набагато чутливіша до стресу, ніж доросла. Травми, які не були своєчасно опрацьовані, можуть проявлятися вже в дорослому віці у вигляді проблем із соціалізацією, навчанням, міжособистісними стосунками.</w:t>
      </w:r>
    </w:p>
    <w:p w14:paraId="5256E05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Одним із найцинічніших проявів війни стало використання дітей як інструменту пропаганди. Російська Федерація активно показує депортованих українських дітей у телевізійних сюжетах, стверджуючи, що вони були «врятовані» та «знайшли новий дім». У таких сюжетах часто </w:t>
      </w:r>
      <w:r w:rsidRPr="00511005">
        <w:rPr>
          <w:rFonts w:ascii="Arial" w:eastAsia="Times New Roman" w:hAnsi="Arial" w:cs="Arial"/>
          <w:szCs w:val="28"/>
          <w:lang w:eastAsia="ru-RU"/>
        </w:rPr>
        <w:lastRenderedPageBreak/>
        <w:t>зображують «усиновлення» українських дітей російськими родинами, без згоди українських опікунів чи державних органів.</w:t>
      </w:r>
    </w:p>
    <w:p w14:paraId="69E89A6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Це не лише порушення прав дитини, а й спроба переписати ідентичність: змінюються імена, громадянство, мовне середовище. Така практика несе загрозу втрати національної самоідентичності дитини та може розглядатися як елемент культурного геноциду. Додатково — це моральна травма для сімей, які залишилися в Україні й не можуть повернути своїх дітей.</w:t>
      </w:r>
    </w:p>
    <w:p w14:paraId="1B7861D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Крім того, демонстрація дітей у ролі «вдячних врятованих» слугує виправданням агресії, формує у російському суспільстві ілюзію «моральної переваги», що є класичним прикладом маніпуляції свідомістю через інформаційні технології.</w:t>
      </w:r>
    </w:p>
    <w:p w14:paraId="744E820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Серед основних механізмів міжнародного захисту прав дітей у збройних конфліктах варто виокремити діяльність таких інституцій, як ЮНІСЕФ, Міжнародний кримінальний суд, Комітет ООН з прав дитини, а також спеціальні процедури Ради ООН з прав людини. Вони здійснюють моніторинг ситуації, документують воєнні злочини проти дітей, а також координують гуманітарні програми допомоги. Одним із важливих інструментів є подання державами індивідуальних звернень, періодичних звітів та скарг, які розглядаються Комітетом ООН з прав дитини. Цей механізм дозволяє не лише виявити порушення, а й надає рекомендації для держав щодо посилення національного законодавства та політики захисту прав дітей.</w:t>
      </w:r>
    </w:p>
    <w:p w14:paraId="02DFD36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відповідь на численні порушення прав дітей Україна активно використовує міжнародно-правові механізми для привернення уваги світової спільноти. Одним із ключових напрямів є співпраця з Комітетом ООН з прав дитини. У 2023 році Україна подала офіційні звернення до Комітету з детальними звітами про порушення, включаючи депортацію дітей, їхнє примусове усиновлення та насильницьку зміну громадянства. Комітет, у свою чергу, закликав до незалежного розслідування таких випадків і наголосив на необхідності забезпечення повернення дітей до України, відновлення їхньої ідентичності та надання психологічної допомоги. Така взаємодія демонструє ефективність міжнародних інституцій у реагуванні на кризи та посилює юридичний тиск на агресора.</w:t>
      </w:r>
    </w:p>
    <w:p w14:paraId="5FBD4C5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Незважаючи на значну кількість міжнародних організацій і юридичних інструментів, ефективність їх дій у реальних умовах війни часто залишається обмеженою. Бюрократичні процедури, політичні бар’єри та відсутність доступу до окупованих територій ускладнюють допомогу</w:t>
      </w:r>
      <w:r w:rsidRPr="00511005">
        <w:rPr>
          <w:rFonts w:ascii="Arial" w:eastAsia="Times New Roman" w:hAnsi="Arial" w:cs="Arial"/>
          <w:szCs w:val="28"/>
          <w:lang w:val="uk-UA" w:eastAsia="ru-RU"/>
        </w:rPr>
        <w:t>.</w:t>
      </w:r>
    </w:p>
    <w:p w14:paraId="7C25809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Однак одним із значних бар’єрів </w:t>
      </w:r>
      <w:proofErr w:type="gramStart"/>
      <w:r w:rsidRPr="00511005">
        <w:rPr>
          <w:rFonts w:ascii="Arial" w:eastAsia="Times New Roman" w:hAnsi="Arial" w:cs="Arial"/>
          <w:szCs w:val="28"/>
          <w:lang w:eastAsia="ru-RU"/>
        </w:rPr>
        <w:t>на шляху</w:t>
      </w:r>
      <w:proofErr w:type="gramEnd"/>
      <w:r w:rsidRPr="00511005">
        <w:rPr>
          <w:rFonts w:ascii="Arial" w:eastAsia="Times New Roman" w:hAnsi="Arial" w:cs="Arial"/>
          <w:szCs w:val="28"/>
          <w:lang w:eastAsia="ru-RU"/>
        </w:rPr>
        <w:t xml:space="preserve"> до ефективного захисту є повільність міжнародного реагування. Бюрократичні процедури часто затримують прийняття рішень та надання допомоги постраждалим дітям. Це особливо актуально у випадках гуманітарної кризи, де кожна хвилина </w:t>
      </w:r>
      <w:r w:rsidRPr="00511005">
        <w:rPr>
          <w:rFonts w:ascii="Arial" w:eastAsia="Times New Roman" w:hAnsi="Arial" w:cs="Arial"/>
          <w:szCs w:val="28"/>
          <w:lang w:eastAsia="ru-RU"/>
        </w:rPr>
        <w:lastRenderedPageBreak/>
        <w:t xml:space="preserve">зволікання може призвести до непоправних наслідків для життя та здоров’я дітей. Тягар паперової роботи, погоджень та узгоджень між міжнародними організаціями, урядами країн та іншими сторонами створює штучні перешкоди </w:t>
      </w:r>
      <w:proofErr w:type="gramStart"/>
      <w:r w:rsidRPr="00511005">
        <w:rPr>
          <w:rFonts w:ascii="Arial" w:eastAsia="Times New Roman" w:hAnsi="Arial" w:cs="Arial"/>
          <w:szCs w:val="28"/>
          <w:lang w:eastAsia="ru-RU"/>
        </w:rPr>
        <w:t>на шляху</w:t>
      </w:r>
      <w:proofErr w:type="gramEnd"/>
      <w:r w:rsidRPr="00511005">
        <w:rPr>
          <w:rFonts w:ascii="Arial" w:eastAsia="Times New Roman" w:hAnsi="Arial" w:cs="Arial"/>
          <w:szCs w:val="28"/>
          <w:lang w:eastAsia="ru-RU"/>
        </w:rPr>
        <w:t xml:space="preserve"> до ефективного захисту.</w:t>
      </w:r>
    </w:p>
    <w:p w14:paraId="45C3F8E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Системний підхід, що об’єднує правові, гуманітарні та соціальні зусилля, є критично важливим для забезпечення прав дітей. Збільшення відповідальності за воєнні злочини проти дітей, скорочення бюрократичних процедур, посилення оперативності реагування та розширення програм допомоги допоможуть мінімізувати руйнівний вплив конфліктів на найуразливішу категорію населення. У перспективі лише спільні дії міжнародної спільноти, урядів та громадських організацій зможуть гарантувати дітям право на безпечне дитинство навіть у складних умовах збройних конфліктів.</w:t>
      </w:r>
    </w:p>
    <w:p w14:paraId="0A317989"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271043A7" w14:textId="0D4A1953"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3600311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1. </w:t>
      </w:r>
      <w:r w:rsidRPr="00511005">
        <w:rPr>
          <w:rFonts w:ascii="Arial" w:eastAsia="Times New Roman" w:hAnsi="Arial" w:cs="Arial"/>
          <w:szCs w:val="28"/>
          <w:lang w:eastAsia="ru-RU"/>
        </w:rPr>
        <w:t xml:space="preserve">Конвенція про права </w:t>
      </w:r>
      <w:proofErr w:type="gramStart"/>
      <w:r w:rsidRPr="00511005">
        <w:rPr>
          <w:rFonts w:ascii="Arial" w:eastAsia="Times New Roman" w:hAnsi="Arial" w:cs="Arial"/>
          <w:szCs w:val="28"/>
          <w:lang w:eastAsia="ru-RU"/>
        </w:rPr>
        <w:t>дитини :</w:t>
      </w:r>
      <w:proofErr w:type="gramEnd"/>
      <w:r w:rsidRPr="00511005">
        <w:rPr>
          <w:rFonts w:ascii="Arial" w:eastAsia="Times New Roman" w:hAnsi="Arial" w:cs="Arial"/>
          <w:szCs w:val="28"/>
          <w:lang w:eastAsia="ru-RU"/>
        </w:rPr>
        <w:t xml:space="preserve"> Конвенція Орг. Об'єдн. Націй від </w:t>
      </w:r>
      <w:proofErr w:type="gramStart"/>
      <w:r w:rsidRPr="00511005">
        <w:rPr>
          <w:rFonts w:ascii="Arial" w:eastAsia="Times New Roman" w:hAnsi="Arial" w:cs="Arial"/>
          <w:szCs w:val="28"/>
          <w:lang w:eastAsia="ru-RU"/>
        </w:rPr>
        <w:t>20.11.1989 :</w:t>
      </w:r>
      <w:proofErr w:type="gramEnd"/>
      <w:r w:rsidRPr="00511005">
        <w:rPr>
          <w:rFonts w:ascii="Arial" w:eastAsia="Times New Roman" w:hAnsi="Arial" w:cs="Arial"/>
          <w:szCs w:val="28"/>
          <w:lang w:eastAsia="ru-RU"/>
        </w:rPr>
        <w:t xml:space="preserve"> станом на 16 листоп. 2023 р. URL: </w:t>
      </w:r>
      <w:hyperlink r:id="rId509" w:anchor="Text" w:tgtFrame="_blank" w:history="1">
        <w:r w:rsidRPr="00511005">
          <w:rPr>
            <w:rFonts w:ascii="Arial" w:eastAsia="Times New Roman" w:hAnsi="Arial" w:cs="Arial"/>
            <w:szCs w:val="28"/>
            <w:lang w:eastAsia="ru-RU"/>
          </w:rPr>
          <w:t>https://zakon.rada.gov.ua/laws/show/995_021#Text</w:t>
        </w:r>
      </w:hyperlink>
      <w:r w:rsidRPr="00511005">
        <w:rPr>
          <w:rFonts w:ascii="Arial" w:eastAsia="Times New Roman" w:hAnsi="Arial" w:cs="Arial"/>
          <w:szCs w:val="28"/>
          <w:lang w:eastAsia="ru-RU"/>
        </w:rPr>
        <w:t> </w:t>
      </w:r>
    </w:p>
    <w:p w14:paraId="4067130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2. </w:t>
      </w:r>
      <w:r w:rsidRPr="00511005">
        <w:rPr>
          <w:rFonts w:ascii="Arial" w:eastAsia="Times New Roman" w:hAnsi="Arial" w:cs="Arial"/>
          <w:szCs w:val="28"/>
          <w:lang w:eastAsia="ru-RU"/>
        </w:rPr>
        <w:t>ЮНІСЕФ: Захист дітей у збройних конфліктах</w:t>
      </w:r>
      <w:r w:rsidRPr="00511005">
        <w:rPr>
          <w:rFonts w:ascii="Arial" w:eastAsia="Times New Roman" w:hAnsi="Arial" w:cs="Arial"/>
          <w:szCs w:val="28"/>
          <w:lang w:eastAsia="ru-RU"/>
        </w:rPr>
        <w:br/>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510" w:history="1">
        <w:r w:rsidRPr="00511005">
          <w:rPr>
            <w:rFonts w:ascii="Arial" w:eastAsia="Times New Roman" w:hAnsi="Arial" w:cs="Arial"/>
            <w:szCs w:val="28"/>
            <w:lang w:eastAsia="ru-RU"/>
          </w:rPr>
          <w:t>https://www.unicef.org/protection/children-in-armed-conflict</w:t>
        </w:r>
      </w:hyperlink>
    </w:p>
    <w:p w14:paraId="4D51895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 </w:t>
      </w:r>
      <w:r w:rsidRPr="00511005">
        <w:rPr>
          <w:rFonts w:ascii="Arial" w:eastAsia="Times New Roman" w:hAnsi="Arial" w:cs="Arial"/>
          <w:szCs w:val="28"/>
          <w:lang w:eastAsia="ru-RU"/>
        </w:rPr>
        <w:t>Міжнародний Комітет Червоного Хреста: Женевські конвенції</w:t>
      </w:r>
      <w:r w:rsidRPr="00511005">
        <w:rPr>
          <w:rFonts w:ascii="Arial" w:eastAsia="Times New Roman" w:hAnsi="Arial" w:cs="Arial"/>
          <w:szCs w:val="28"/>
          <w:lang w:eastAsia="ru-RU"/>
        </w:rPr>
        <w:br/>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511" w:history="1">
        <w:r w:rsidRPr="00511005">
          <w:rPr>
            <w:rFonts w:ascii="Arial" w:eastAsia="Times New Roman" w:hAnsi="Arial" w:cs="Arial"/>
            <w:szCs w:val="28"/>
            <w:lang w:eastAsia="ru-RU"/>
          </w:rPr>
          <w:t>https://ihl-databases.icrc.org/en</w:t>
        </w:r>
      </w:hyperlink>
    </w:p>
    <w:p w14:paraId="4C0EEFB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4. </w:t>
      </w:r>
      <w:r w:rsidRPr="00511005">
        <w:rPr>
          <w:rFonts w:ascii="Arial" w:eastAsia="Times New Roman" w:hAnsi="Arial" w:cs="Arial"/>
          <w:szCs w:val="28"/>
          <w:lang w:eastAsia="ru-RU"/>
        </w:rPr>
        <w:t>Уповноважений Верховної Ради України з прав людини: Грубі порушення прав дитини внаслідок збройної агресії проти України</w:t>
      </w:r>
      <w:r w:rsidRPr="00511005">
        <w:rPr>
          <w:rFonts w:ascii="Arial" w:eastAsia="Times New Roman" w:hAnsi="Arial" w:cs="Arial"/>
          <w:szCs w:val="28"/>
          <w:lang w:eastAsia="ru-RU"/>
        </w:rPr>
        <w:br/>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512" w:history="1">
        <w:r w:rsidRPr="00511005">
          <w:rPr>
            <w:rFonts w:ascii="Arial" w:eastAsia="Times New Roman" w:hAnsi="Arial" w:cs="Arial"/>
            <w:szCs w:val="28"/>
            <w:lang w:eastAsia="ru-RU"/>
          </w:rPr>
          <w:t>https://ombudsman.gov.ua/childrenofwar-2023/hrubi-porushennia-prav-dytyny-vnaslidok-zbroinoi-ahresii-proty-ukrainy-zahalnyi-ohliad</w:t>
        </w:r>
      </w:hyperlink>
    </w:p>
    <w:p w14:paraId="740E941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5. Уповноважений Верховної Ради України з прав людини: Депортація дітей</w:t>
      </w:r>
      <w:r w:rsidRPr="00511005">
        <w:rPr>
          <w:rFonts w:ascii="Arial" w:eastAsia="Times New Roman" w:hAnsi="Arial" w:cs="Arial"/>
          <w:szCs w:val="28"/>
          <w:lang w:eastAsia="ru-RU"/>
        </w:rPr>
        <w:br/>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513" w:history="1">
        <w:r w:rsidRPr="00511005">
          <w:rPr>
            <w:rFonts w:ascii="Arial" w:eastAsia="Times New Roman" w:hAnsi="Arial" w:cs="Arial"/>
            <w:szCs w:val="28"/>
            <w:lang w:eastAsia="ru-RU"/>
          </w:rPr>
          <w:t>https://ombudsman.gov.ua/childrenofwar-2023/deportatsiya-ditei</w:t>
        </w:r>
      </w:hyperlink>
    </w:p>
    <w:p w14:paraId="6E54566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6. </w:t>
      </w:r>
      <w:r w:rsidRPr="00511005">
        <w:rPr>
          <w:rFonts w:ascii="Arial" w:eastAsia="Times New Roman" w:hAnsi="Arial" w:cs="Arial"/>
          <w:szCs w:val="28"/>
          <w:lang w:eastAsia="ru-RU"/>
        </w:rPr>
        <w:t>Міністерство освіти і науки України: Освітня мапа пошкоджених та зруйнованих закладів освіти</w:t>
      </w:r>
      <w:r w:rsidRPr="00511005">
        <w:rPr>
          <w:rFonts w:ascii="Arial" w:eastAsia="Times New Roman" w:hAnsi="Arial" w:cs="Arial"/>
          <w:szCs w:val="28"/>
          <w:lang w:eastAsia="ru-RU"/>
        </w:rPr>
        <w:br/>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514" w:history="1">
        <w:r w:rsidRPr="00511005">
          <w:rPr>
            <w:rFonts w:ascii="Arial" w:eastAsia="Times New Roman" w:hAnsi="Arial" w:cs="Arial"/>
            <w:szCs w:val="28"/>
            <w:lang w:eastAsia="ru-RU"/>
          </w:rPr>
          <w:t>https://saveschools.in.ua/</w:t>
        </w:r>
      </w:hyperlink>
    </w:p>
    <w:p w14:paraId="348386A9" w14:textId="77777777" w:rsidR="00220D3E" w:rsidRPr="00511005" w:rsidRDefault="00220D3E" w:rsidP="003A292D">
      <w:pPr>
        <w:spacing w:line="264" w:lineRule="auto"/>
        <w:ind w:firstLine="680"/>
        <w:rPr>
          <w:rFonts w:ascii="Arial" w:eastAsia="Times New Roman" w:hAnsi="Arial" w:cs="Arial"/>
          <w:b/>
          <w:bCs/>
          <w:szCs w:val="28"/>
          <w:lang w:val="uk-UA" w:eastAsia="ru-RU"/>
        </w:rPr>
      </w:pPr>
    </w:p>
    <w:p w14:paraId="34D1C1C2" w14:textId="1429B1D4" w:rsidR="00220D3E" w:rsidRPr="00511005" w:rsidRDefault="00220D3E"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b/>
          <w:bCs/>
          <w:szCs w:val="28"/>
          <w:lang w:val="uk-UA" w:eastAsia="ru-RU"/>
        </w:rPr>
        <w:tab/>
      </w:r>
      <w:r w:rsidR="007B2628" w:rsidRPr="00511005">
        <w:rPr>
          <w:rFonts w:ascii="Arial" w:eastAsia="Times New Roman" w:hAnsi="Arial" w:cs="Arial"/>
          <w:b/>
          <w:bCs/>
          <w:i/>
          <w:szCs w:val="28"/>
          <w:lang w:val="uk-UA" w:eastAsia="ru-RU"/>
        </w:rPr>
        <w:t xml:space="preserve">Ключові слова: </w:t>
      </w:r>
      <w:r w:rsidRPr="00511005">
        <w:rPr>
          <w:rFonts w:ascii="Arial" w:eastAsia="Times New Roman" w:hAnsi="Arial" w:cs="Arial"/>
          <w:szCs w:val="28"/>
          <w:lang w:val="uk-UA" w:eastAsia="ru-RU"/>
        </w:rPr>
        <w:t>захист</w:t>
      </w:r>
      <w:r w:rsidRPr="00511005">
        <w:rPr>
          <w:rFonts w:ascii="Arial" w:eastAsia="Times New Roman" w:hAnsi="Arial" w:cs="Arial"/>
          <w:b/>
          <w:bCs/>
          <w:szCs w:val="28"/>
          <w:lang w:val="uk-UA" w:eastAsia="ru-RU"/>
        </w:rPr>
        <w:t xml:space="preserve"> </w:t>
      </w:r>
      <w:r w:rsidRPr="00511005">
        <w:rPr>
          <w:rFonts w:ascii="Arial" w:eastAsia="Times New Roman" w:hAnsi="Arial" w:cs="Arial"/>
          <w:szCs w:val="28"/>
          <w:lang w:val="uk-UA" w:eastAsia="ru-RU"/>
        </w:rPr>
        <w:t>дітей, права дітей, міжнародні документи, війна, збройний конфлікт, міжнародні-правові механізми.</w:t>
      </w:r>
    </w:p>
    <w:p w14:paraId="6E030A70" w14:textId="7A1F7D77" w:rsidR="00220D3E" w:rsidRPr="00511005" w:rsidRDefault="007B2628"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uk-UA" w:eastAsia="ru-RU"/>
        </w:rPr>
        <w:t>child protection, children's rights, international documents, war, armed conflict, international legal mechanisms.</w:t>
      </w:r>
    </w:p>
    <w:p w14:paraId="05B45829" w14:textId="3592E2B8" w:rsidR="00220D3E" w:rsidRPr="00511005" w:rsidRDefault="007B2628" w:rsidP="003A292D">
      <w:pPr>
        <w:tabs>
          <w:tab w:val="left" w:pos="709"/>
          <w:tab w:val="left" w:pos="1215"/>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к.ю.н., доцент</w:t>
      </w:r>
      <w:r w:rsidRPr="00511005">
        <w:rPr>
          <w:rFonts w:ascii="Arial" w:eastAsia="Times New Roman" w:hAnsi="Arial" w:cs="Arial"/>
          <w:i/>
          <w:iCs/>
          <w:szCs w:val="28"/>
          <w:lang w:val="uk-UA" w:eastAsia="ru-RU"/>
        </w:rPr>
        <w:t xml:space="preserve"> </w:t>
      </w:r>
      <w:r w:rsidR="00220D3E" w:rsidRPr="00511005">
        <w:rPr>
          <w:rFonts w:ascii="Arial" w:eastAsia="Times New Roman" w:hAnsi="Arial" w:cs="Arial"/>
          <w:i/>
          <w:iCs/>
          <w:szCs w:val="28"/>
          <w:lang w:val="uk-UA" w:eastAsia="ru-RU"/>
        </w:rPr>
        <w:t>Гриб А.М.</w:t>
      </w:r>
    </w:p>
    <w:p w14:paraId="72A6DEE7" w14:textId="77777777" w:rsidR="00220D3E" w:rsidRPr="00511005" w:rsidRDefault="00220D3E" w:rsidP="003A292D">
      <w:pPr>
        <w:tabs>
          <w:tab w:val="left" w:pos="709"/>
          <w:tab w:val="left" w:pos="1215"/>
        </w:tabs>
        <w:spacing w:line="264" w:lineRule="auto"/>
        <w:rPr>
          <w:rFonts w:ascii="Arial" w:eastAsia="Times New Roman" w:hAnsi="Arial" w:cs="Arial"/>
          <w:b/>
          <w:bCs/>
          <w:szCs w:val="28"/>
          <w:lang w:val="uk-UA" w:eastAsia="ru-RU"/>
        </w:rPr>
      </w:pPr>
    </w:p>
    <w:p w14:paraId="06C24519" w14:textId="77777777" w:rsidR="00220D3E" w:rsidRPr="00511005" w:rsidRDefault="00220D3E" w:rsidP="003A292D">
      <w:pPr>
        <w:pBdr>
          <w:top w:val="nil"/>
          <w:left w:val="nil"/>
          <w:bottom w:val="nil"/>
          <w:right w:val="nil"/>
          <w:between w:val="nil"/>
        </w:pBdr>
        <w:tabs>
          <w:tab w:val="left" w:pos="709"/>
        </w:tabs>
        <w:spacing w:line="264" w:lineRule="auto"/>
        <w:contextualSpacing/>
        <w:jc w:val="center"/>
        <w:rPr>
          <w:rFonts w:ascii="Arial" w:eastAsia="Times New Roman" w:hAnsi="Arial" w:cs="Arial"/>
          <w:b/>
          <w:i/>
          <w:iCs/>
          <w:noProof/>
          <w:szCs w:val="28"/>
          <w:lang w:val="uk-UA" w:eastAsia="ru-RU"/>
        </w:rPr>
      </w:pPr>
      <w:r w:rsidRPr="00511005">
        <w:rPr>
          <w:rFonts w:ascii="Arial" w:eastAsia="Times New Roman" w:hAnsi="Arial" w:cs="Arial"/>
          <w:b/>
          <w:i/>
          <w:iCs/>
          <w:noProof/>
          <w:szCs w:val="28"/>
          <w:lang w:val="uk-UA" w:eastAsia="ru-RU"/>
        </w:rPr>
        <w:t>М</w:t>
      </w:r>
      <w:r w:rsidRPr="00511005">
        <w:rPr>
          <w:rFonts w:ascii="Arial" w:eastAsia="Times New Roman" w:hAnsi="Arial" w:cs="Arial"/>
          <w:b/>
          <w:i/>
          <w:iCs/>
          <w:noProof/>
          <w:szCs w:val="28"/>
          <w:lang w:eastAsia="ru-RU"/>
        </w:rPr>
        <w:t>a</w:t>
      </w:r>
      <w:r w:rsidRPr="00511005">
        <w:rPr>
          <w:rFonts w:ascii="Arial" w:eastAsia="Times New Roman" w:hAnsi="Arial" w:cs="Arial"/>
          <w:b/>
          <w:i/>
          <w:iCs/>
          <w:noProof/>
          <w:szCs w:val="28"/>
          <w:lang w:val="uk-UA" w:eastAsia="ru-RU"/>
        </w:rPr>
        <w:t>сляк</w:t>
      </w:r>
      <w:r w:rsidRPr="00511005">
        <w:rPr>
          <w:rFonts w:ascii="Arial" w:eastAsia="Times New Roman" w:hAnsi="Arial" w:cs="Arial"/>
          <w:b/>
          <w:i/>
          <w:iCs/>
          <w:noProof/>
          <w:szCs w:val="28"/>
          <w:lang w:eastAsia="ru-RU"/>
        </w:rPr>
        <w:t>o</w:t>
      </w:r>
      <w:r w:rsidRPr="00511005">
        <w:rPr>
          <w:rFonts w:ascii="Arial" w:eastAsia="Times New Roman" w:hAnsi="Arial" w:cs="Arial"/>
          <w:b/>
          <w:i/>
          <w:iCs/>
          <w:noProof/>
          <w:szCs w:val="28"/>
          <w:lang w:val="uk-UA" w:eastAsia="ru-RU"/>
        </w:rPr>
        <w:t>в</w:t>
      </w:r>
      <w:r w:rsidRPr="00511005">
        <w:rPr>
          <w:rFonts w:ascii="Arial" w:eastAsia="Times New Roman" w:hAnsi="Arial" w:cs="Arial"/>
          <w:b/>
          <w:i/>
          <w:iCs/>
          <w:noProof/>
          <w:szCs w:val="28"/>
          <w:lang w:eastAsia="ru-RU"/>
        </w:rPr>
        <w:t>a</w:t>
      </w:r>
      <w:r w:rsidRPr="00511005">
        <w:rPr>
          <w:rFonts w:ascii="Arial" w:eastAsia="Times New Roman" w:hAnsi="Arial" w:cs="Arial"/>
          <w:b/>
          <w:i/>
          <w:iCs/>
          <w:noProof/>
          <w:szCs w:val="28"/>
          <w:lang w:val="uk-UA" w:eastAsia="ru-RU"/>
        </w:rPr>
        <w:t xml:space="preserve"> </w:t>
      </w:r>
      <w:r w:rsidRPr="00511005">
        <w:rPr>
          <w:rFonts w:ascii="Arial" w:eastAsia="Times New Roman" w:hAnsi="Arial" w:cs="Arial"/>
          <w:b/>
          <w:i/>
          <w:iCs/>
          <w:noProof/>
          <w:szCs w:val="28"/>
          <w:lang w:eastAsia="ru-RU"/>
        </w:rPr>
        <w:t>A</w:t>
      </w:r>
      <w:r w:rsidRPr="00511005">
        <w:rPr>
          <w:rFonts w:ascii="Arial" w:eastAsia="Times New Roman" w:hAnsi="Arial" w:cs="Arial"/>
          <w:b/>
          <w:i/>
          <w:iCs/>
          <w:noProof/>
          <w:szCs w:val="28"/>
          <w:lang w:val="uk-UA" w:eastAsia="ru-RU"/>
        </w:rPr>
        <w:t xml:space="preserve">нна Вікторівна </w:t>
      </w:r>
    </w:p>
    <w:p w14:paraId="50AA019B" w14:textId="77777777" w:rsidR="007B2628" w:rsidRPr="00511005" w:rsidRDefault="00220D3E" w:rsidP="003A292D">
      <w:pPr>
        <w:pBdr>
          <w:top w:val="nil"/>
          <w:left w:val="nil"/>
          <w:bottom w:val="nil"/>
          <w:right w:val="nil"/>
          <w:between w:val="nil"/>
        </w:pBdr>
        <w:tabs>
          <w:tab w:val="left" w:pos="709"/>
        </w:tabs>
        <w:spacing w:line="264" w:lineRule="auto"/>
        <w:contextualSpacing/>
        <w:jc w:val="center"/>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ст</w:t>
      </w:r>
      <w:r w:rsidRPr="00511005">
        <w:rPr>
          <w:rFonts w:ascii="Arial" w:eastAsia="Times New Roman" w:hAnsi="Arial" w:cs="Arial"/>
          <w:iCs/>
          <w:noProof/>
          <w:szCs w:val="28"/>
          <w:lang w:eastAsia="ru-RU"/>
        </w:rPr>
        <w:t>y</w:t>
      </w:r>
      <w:r w:rsidRPr="00511005">
        <w:rPr>
          <w:rFonts w:ascii="Arial" w:eastAsia="Times New Roman" w:hAnsi="Arial" w:cs="Arial"/>
          <w:iCs/>
          <w:noProof/>
          <w:szCs w:val="28"/>
          <w:lang w:val="uk-UA" w:eastAsia="ru-RU"/>
        </w:rPr>
        <w:t>д</w:t>
      </w:r>
      <w:r w:rsidRPr="00511005">
        <w:rPr>
          <w:rFonts w:ascii="Arial" w:eastAsia="Times New Roman" w:hAnsi="Arial" w:cs="Arial"/>
          <w:iCs/>
          <w:noProof/>
          <w:szCs w:val="28"/>
          <w:lang w:eastAsia="ru-RU"/>
        </w:rPr>
        <w:t>e</w:t>
      </w:r>
      <w:r w:rsidRPr="00511005">
        <w:rPr>
          <w:rFonts w:ascii="Arial" w:eastAsia="Times New Roman" w:hAnsi="Arial" w:cs="Arial"/>
          <w:iCs/>
          <w:noProof/>
          <w:szCs w:val="28"/>
          <w:lang w:val="uk-UA" w:eastAsia="ru-RU"/>
        </w:rPr>
        <w:t>нтка 4-го к</w:t>
      </w:r>
      <w:r w:rsidRPr="00511005">
        <w:rPr>
          <w:rFonts w:ascii="Arial" w:eastAsia="Times New Roman" w:hAnsi="Arial" w:cs="Arial"/>
          <w:iCs/>
          <w:noProof/>
          <w:szCs w:val="28"/>
          <w:lang w:eastAsia="ru-RU"/>
        </w:rPr>
        <w:t>yp</w:t>
      </w:r>
      <w:r w:rsidRPr="00511005">
        <w:rPr>
          <w:rFonts w:ascii="Arial" w:eastAsia="Times New Roman" w:hAnsi="Arial" w:cs="Arial"/>
          <w:iCs/>
          <w:noProof/>
          <w:szCs w:val="28"/>
          <w:lang w:val="uk-UA" w:eastAsia="ru-RU"/>
        </w:rPr>
        <w:t>с</w:t>
      </w:r>
      <w:r w:rsidRPr="00511005">
        <w:rPr>
          <w:rFonts w:ascii="Arial" w:eastAsia="Times New Roman" w:hAnsi="Arial" w:cs="Arial"/>
          <w:iCs/>
          <w:noProof/>
          <w:szCs w:val="28"/>
          <w:lang w:eastAsia="ru-RU"/>
        </w:rPr>
        <w:t>y</w:t>
      </w:r>
      <w:r w:rsidRPr="00511005">
        <w:rPr>
          <w:rFonts w:ascii="Arial" w:eastAsia="Times New Roman" w:hAnsi="Arial" w:cs="Arial"/>
          <w:iCs/>
          <w:noProof/>
          <w:szCs w:val="28"/>
          <w:lang w:val="uk-UA" w:eastAsia="ru-RU"/>
        </w:rPr>
        <w:t xml:space="preserve"> </w:t>
      </w:r>
    </w:p>
    <w:p w14:paraId="185B4CCC" w14:textId="0916F462" w:rsidR="00220D3E" w:rsidRPr="00511005" w:rsidRDefault="00220D3E" w:rsidP="003A292D">
      <w:pPr>
        <w:pBdr>
          <w:top w:val="nil"/>
          <w:left w:val="nil"/>
          <w:bottom w:val="nil"/>
          <w:right w:val="nil"/>
          <w:between w:val="nil"/>
        </w:pBdr>
        <w:tabs>
          <w:tab w:val="left" w:pos="709"/>
        </w:tabs>
        <w:spacing w:line="264" w:lineRule="auto"/>
        <w:contextualSpacing/>
        <w:jc w:val="center"/>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ф</w:t>
      </w:r>
      <w:r w:rsidRPr="00511005">
        <w:rPr>
          <w:rFonts w:ascii="Arial" w:eastAsia="Times New Roman" w:hAnsi="Arial" w:cs="Arial"/>
          <w:iCs/>
          <w:noProof/>
          <w:szCs w:val="28"/>
          <w:lang w:eastAsia="ru-RU"/>
        </w:rPr>
        <w:t>a</w:t>
      </w:r>
      <w:r w:rsidRPr="00511005">
        <w:rPr>
          <w:rFonts w:ascii="Arial" w:eastAsia="Times New Roman" w:hAnsi="Arial" w:cs="Arial"/>
          <w:iCs/>
          <w:noProof/>
          <w:szCs w:val="28"/>
          <w:lang w:val="uk-UA" w:eastAsia="ru-RU"/>
        </w:rPr>
        <w:t>к</w:t>
      </w:r>
      <w:r w:rsidRPr="00511005">
        <w:rPr>
          <w:rFonts w:ascii="Arial" w:eastAsia="Times New Roman" w:hAnsi="Arial" w:cs="Arial"/>
          <w:iCs/>
          <w:noProof/>
          <w:szCs w:val="28"/>
          <w:lang w:eastAsia="ru-RU"/>
        </w:rPr>
        <w:t>y</w:t>
      </w:r>
      <w:r w:rsidRPr="00511005">
        <w:rPr>
          <w:rFonts w:ascii="Arial" w:eastAsia="Times New Roman" w:hAnsi="Arial" w:cs="Arial"/>
          <w:iCs/>
          <w:noProof/>
          <w:szCs w:val="28"/>
          <w:lang w:val="uk-UA" w:eastAsia="ru-RU"/>
        </w:rPr>
        <w:t>льт</w:t>
      </w:r>
      <w:r w:rsidRPr="00511005">
        <w:rPr>
          <w:rFonts w:ascii="Arial" w:eastAsia="Times New Roman" w:hAnsi="Arial" w:cs="Arial"/>
          <w:iCs/>
          <w:noProof/>
          <w:szCs w:val="28"/>
          <w:lang w:eastAsia="ru-RU"/>
        </w:rPr>
        <w:t>e</w:t>
      </w:r>
      <w:r w:rsidRPr="00511005">
        <w:rPr>
          <w:rFonts w:ascii="Arial" w:eastAsia="Times New Roman" w:hAnsi="Arial" w:cs="Arial"/>
          <w:iCs/>
          <w:noProof/>
          <w:szCs w:val="28"/>
          <w:lang w:val="uk-UA" w:eastAsia="ru-RU"/>
        </w:rPr>
        <w:t>т</w:t>
      </w:r>
      <w:r w:rsidRPr="00511005">
        <w:rPr>
          <w:rFonts w:ascii="Arial" w:eastAsia="Times New Roman" w:hAnsi="Arial" w:cs="Arial"/>
          <w:iCs/>
          <w:noProof/>
          <w:szCs w:val="28"/>
          <w:lang w:eastAsia="ru-RU"/>
        </w:rPr>
        <w:t>y</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eastAsia="ru-RU"/>
        </w:rPr>
        <w:t>a</w:t>
      </w:r>
      <w:r w:rsidRPr="00511005">
        <w:rPr>
          <w:rFonts w:ascii="Arial" w:eastAsia="Times New Roman" w:hAnsi="Arial" w:cs="Arial"/>
          <w:iCs/>
          <w:noProof/>
          <w:szCs w:val="28"/>
          <w:lang w:val="uk-UA" w:eastAsia="ru-RU"/>
        </w:rPr>
        <w:t>дв</w:t>
      </w:r>
      <w:r w:rsidRPr="00511005">
        <w:rPr>
          <w:rFonts w:ascii="Arial" w:eastAsia="Times New Roman" w:hAnsi="Arial" w:cs="Arial"/>
          <w:iCs/>
          <w:noProof/>
          <w:szCs w:val="28"/>
          <w:lang w:eastAsia="ru-RU"/>
        </w:rPr>
        <w:t>o</w:t>
      </w:r>
      <w:r w:rsidRPr="00511005">
        <w:rPr>
          <w:rFonts w:ascii="Arial" w:eastAsia="Times New Roman" w:hAnsi="Arial" w:cs="Arial"/>
          <w:iCs/>
          <w:noProof/>
          <w:szCs w:val="28"/>
          <w:lang w:val="uk-UA" w:eastAsia="ru-RU"/>
        </w:rPr>
        <w:t>к</w:t>
      </w:r>
      <w:r w:rsidRPr="00511005">
        <w:rPr>
          <w:rFonts w:ascii="Arial" w:eastAsia="Times New Roman" w:hAnsi="Arial" w:cs="Arial"/>
          <w:iCs/>
          <w:noProof/>
          <w:szCs w:val="28"/>
          <w:lang w:eastAsia="ru-RU"/>
        </w:rPr>
        <w:t>a</w:t>
      </w:r>
      <w:r w:rsidRPr="00511005">
        <w:rPr>
          <w:rFonts w:ascii="Arial" w:eastAsia="Times New Roman" w:hAnsi="Arial" w:cs="Arial"/>
          <w:iCs/>
          <w:noProof/>
          <w:szCs w:val="28"/>
          <w:lang w:val="uk-UA" w:eastAsia="ru-RU"/>
        </w:rPr>
        <w:t>т</w:t>
      </w:r>
      <w:r w:rsidRPr="00511005">
        <w:rPr>
          <w:rFonts w:ascii="Arial" w:eastAsia="Times New Roman" w:hAnsi="Arial" w:cs="Arial"/>
          <w:iCs/>
          <w:noProof/>
          <w:szCs w:val="28"/>
          <w:lang w:eastAsia="ru-RU"/>
        </w:rPr>
        <w:t>yp</w:t>
      </w:r>
      <w:r w:rsidRPr="00511005">
        <w:rPr>
          <w:rFonts w:ascii="Arial" w:eastAsia="Times New Roman" w:hAnsi="Arial" w:cs="Arial"/>
          <w:iCs/>
          <w:noProof/>
          <w:szCs w:val="28"/>
          <w:lang w:val="uk-UA" w:eastAsia="ru-RU"/>
        </w:rPr>
        <w:t>и т</w:t>
      </w:r>
      <w:r w:rsidRPr="00511005">
        <w:rPr>
          <w:rFonts w:ascii="Arial" w:eastAsia="Times New Roman" w:hAnsi="Arial" w:cs="Arial"/>
          <w:iCs/>
          <w:noProof/>
          <w:szCs w:val="28"/>
          <w:lang w:eastAsia="ru-RU"/>
        </w:rPr>
        <w:t>a</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eastAsia="ru-RU"/>
        </w:rPr>
        <w:t>a</w:t>
      </w:r>
      <w:r w:rsidRPr="00511005">
        <w:rPr>
          <w:rFonts w:ascii="Arial" w:eastAsia="Times New Roman" w:hAnsi="Arial" w:cs="Arial"/>
          <w:iCs/>
          <w:noProof/>
          <w:szCs w:val="28"/>
          <w:lang w:val="uk-UA" w:eastAsia="ru-RU"/>
        </w:rPr>
        <w:t>нтик</w:t>
      </w:r>
      <w:r w:rsidRPr="00511005">
        <w:rPr>
          <w:rFonts w:ascii="Arial" w:eastAsia="Times New Roman" w:hAnsi="Arial" w:cs="Arial"/>
          <w:iCs/>
          <w:noProof/>
          <w:szCs w:val="28"/>
          <w:lang w:eastAsia="ru-RU"/>
        </w:rPr>
        <w:t>opy</w:t>
      </w:r>
      <w:r w:rsidRPr="00511005">
        <w:rPr>
          <w:rFonts w:ascii="Arial" w:eastAsia="Times New Roman" w:hAnsi="Arial" w:cs="Arial"/>
          <w:iCs/>
          <w:noProof/>
          <w:szCs w:val="28"/>
          <w:lang w:val="uk-UA" w:eastAsia="ru-RU"/>
        </w:rPr>
        <w:t>пц</w:t>
      </w:r>
      <w:r w:rsidRPr="00511005">
        <w:rPr>
          <w:rFonts w:ascii="Arial" w:eastAsia="Times New Roman" w:hAnsi="Arial" w:cs="Arial"/>
          <w:iCs/>
          <w:noProof/>
          <w:szCs w:val="28"/>
          <w:lang w:eastAsia="ru-RU"/>
        </w:rPr>
        <w:t>i</w:t>
      </w:r>
      <w:r w:rsidRPr="00511005">
        <w:rPr>
          <w:rFonts w:ascii="Arial" w:eastAsia="Times New Roman" w:hAnsi="Arial" w:cs="Arial"/>
          <w:iCs/>
          <w:noProof/>
          <w:szCs w:val="28"/>
          <w:lang w:val="uk-UA" w:eastAsia="ru-RU"/>
        </w:rPr>
        <w:t>йн</w:t>
      </w:r>
      <w:r w:rsidRPr="00511005">
        <w:rPr>
          <w:rFonts w:ascii="Arial" w:eastAsia="Times New Roman" w:hAnsi="Arial" w:cs="Arial"/>
          <w:iCs/>
          <w:noProof/>
          <w:szCs w:val="28"/>
          <w:lang w:eastAsia="ru-RU"/>
        </w:rPr>
        <w:t>o</w:t>
      </w:r>
      <w:r w:rsidRPr="00511005">
        <w:rPr>
          <w:rFonts w:ascii="Arial" w:eastAsia="Times New Roman" w:hAnsi="Arial" w:cs="Arial"/>
          <w:iCs/>
          <w:noProof/>
          <w:szCs w:val="28"/>
          <w:lang w:val="uk-UA" w:eastAsia="ru-RU"/>
        </w:rPr>
        <w:t>ї д</w:t>
      </w:r>
      <w:r w:rsidRPr="00511005">
        <w:rPr>
          <w:rFonts w:ascii="Arial" w:eastAsia="Times New Roman" w:hAnsi="Arial" w:cs="Arial"/>
          <w:iCs/>
          <w:noProof/>
          <w:szCs w:val="28"/>
          <w:lang w:eastAsia="ru-RU"/>
        </w:rPr>
        <w:t>i</w:t>
      </w:r>
      <w:r w:rsidRPr="00511005">
        <w:rPr>
          <w:rFonts w:ascii="Arial" w:eastAsia="Times New Roman" w:hAnsi="Arial" w:cs="Arial"/>
          <w:iCs/>
          <w:noProof/>
          <w:szCs w:val="28"/>
          <w:lang w:val="uk-UA" w:eastAsia="ru-RU"/>
        </w:rPr>
        <w:t>яльн</w:t>
      </w:r>
      <w:r w:rsidRPr="00511005">
        <w:rPr>
          <w:rFonts w:ascii="Arial" w:eastAsia="Times New Roman" w:hAnsi="Arial" w:cs="Arial"/>
          <w:iCs/>
          <w:noProof/>
          <w:szCs w:val="28"/>
          <w:lang w:eastAsia="ru-RU"/>
        </w:rPr>
        <w:t>o</w:t>
      </w:r>
      <w:r w:rsidRPr="00511005">
        <w:rPr>
          <w:rFonts w:ascii="Arial" w:eastAsia="Times New Roman" w:hAnsi="Arial" w:cs="Arial"/>
          <w:iCs/>
          <w:noProof/>
          <w:szCs w:val="28"/>
          <w:lang w:val="uk-UA" w:eastAsia="ru-RU"/>
        </w:rPr>
        <w:t>ст</w:t>
      </w:r>
      <w:r w:rsidRPr="00511005">
        <w:rPr>
          <w:rFonts w:ascii="Arial" w:eastAsia="Times New Roman" w:hAnsi="Arial" w:cs="Arial"/>
          <w:iCs/>
          <w:noProof/>
          <w:szCs w:val="28"/>
          <w:lang w:eastAsia="ru-RU"/>
        </w:rPr>
        <w:t>i</w:t>
      </w:r>
    </w:p>
    <w:p w14:paraId="019DDAD9" w14:textId="77777777" w:rsidR="00220D3E" w:rsidRPr="00511005" w:rsidRDefault="00220D3E" w:rsidP="003A292D">
      <w:pPr>
        <w:pBdr>
          <w:top w:val="nil"/>
          <w:left w:val="nil"/>
          <w:bottom w:val="nil"/>
          <w:right w:val="nil"/>
          <w:between w:val="nil"/>
        </w:pBdr>
        <w:tabs>
          <w:tab w:val="left" w:pos="709"/>
        </w:tabs>
        <w:spacing w:line="264" w:lineRule="auto"/>
        <w:contextualSpacing/>
        <w:jc w:val="center"/>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lastRenderedPageBreak/>
        <w:t>Н</w:t>
      </w:r>
      <w:r w:rsidRPr="00511005">
        <w:rPr>
          <w:rFonts w:ascii="Arial" w:eastAsia="Times New Roman" w:hAnsi="Arial" w:cs="Arial"/>
          <w:iCs/>
          <w:noProof/>
          <w:szCs w:val="28"/>
          <w:lang w:eastAsia="ru-RU"/>
        </w:rPr>
        <w:t>a</w:t>
      </w:r>
      <w:r w:rsidRPr="00511005">
        <w:rPr>
          <w:rFonts w:ascii="Arial" w:eastAsia="Times New Roman" w:hAnsi="Arial" w:cs="Arial"/>
          <w:iCs/>
          <w:noProof/>
          <w:szCs w:val="28"/>
          <w:lang w:val="uk-UA" w:eastAsia="ru-RU"/>
        </w:rPr>
        <w:t>ц</w:t>
      </w:r>
      <w:r w:rsidRPr="00511005">
        <w:rPr>
          <w:rFonts w:ascii="Arial" w:eastAsia="Times New Roman" w:hAnsi="Arial" w:cs="Arial"/>
          <w:iCs/>
          <w:noProof/>
          <w:szCs w:val="28"/>
          <w:lang w:eastAsia="ru-RU"/>
        </w:rPr>
        <w:t>io</w:t>
      </w:r>
      <w:r w:rsidRPr="00511005">
        <w:rPr>
          <w:rFonts w:ascii="Arial" w:eastAsia="Times New Roman" w:hAnsi="Arial" w:cs="Arial"/>
          <w:iCs/>
          <w:noProof/>
          <w:szCs w:val="28"/>
          <w:lang w:val="uk-UA" w:eastAsia="ru-RU"/>
        </w:rPr>
        <w:t>н</w:t>
      </w:r>
      <w:r w:rsidRPr="00511005">
        <w:rPr>
          <w:rFonts w:ascii="Arial" w:eastAsia="Times New Roman" w:hAnsi="Arial" w:cs="Arial"/>
          <w:iCs/>
          <w:noProof/>
          <w:szCs w:val="28"/>
          <w:lang w:eastAsia="ru-RU"/>
        </w:rPr>
        <w:t>a</w:t>
      </w:r>
      <w:r w:rsidRPr="00511005">
        <w:rPr>
          <w:rFonts w:ascii="Arial" w:eastAsia="Times New Roman" w:hAnsi="Arial" w:cs="Arial"/>
          <w:iCs/>
          <w:noProof/>
          <w:szCs w:val="28"/>
          <w:lang w:val="uk-UA" w:eastAsia="ru-RU"/>
        </w:rPr>
        <w:t>льн</w:t>
      </w:r>
      <w:r w:rsidRPr="00511005">
        <w:rPr>
          <w:rFonts w:ascii="Arial" w:eastAsia="Times New Roman" w:hAnsi="Arial" w:cs="Arial"/>
          <w:iCs/>
          <w:noProof/>
          <w:szCs w:val="28"/>
          <w:lang w:eastAsia="ru-RU"/>
        </w:rPr>
        <w:t>o</w:t>
      </w:r>
      <w:r w:rsidRPr="00511005">
        <w:rPr>
          <w:rFonts w:ascii="Arial" w:eastAsia="Times New Roman" w:hAnsi="Arial" w:cs="Arial"/>
          <w:iCs/>
          <w:noProof/>
          <w:szCs w:val="28"/>
          <w:lang w:val="uk-UA" w:eastAsia="ru-RU"/>
        </w:rPr>
        <w:t>г</w:t>
      </w:r>
      <w:r w:rsidRPr="00511005">
        <w:rPr>
          <w:rFonts w:ascii="Arial" w:eastAsia="Times New Roman" w:hAnsi="Arial" w:cs="Arial"/>
          <w:iCs/>
          <w:noProof/>
          <w:szCs w:val="28"/>
          <w:lang w:eastAsia="ru-RU"/>
        </w:rPr>
        <w:t>o</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eastAsia="ru-RU"/>
        </w:rPr>
        <w:t>y</w:t>
      </w:r>
      <w:r w:rsidRPr="00511005">
        <w:rPr>
          <w:rFonts w:ascii="Arial" w:eastAsia="Times New Roman" w:hAnsi="Arial" w:cs="Arial"/>
          <w:iCs/>
          <w:noProof/>
          <w:szCs w:val="28"/>
          <w:lang w:val="uk-UA" w:eastAsia="ru-RU"/>
        </w:rPr>
        <w:t>н</w:t>
      </w:r>
      <w:r w:rsidRPr="00511005">
        <w:rPr>
          <w:rFonts w:ascii="Arial" w:eastAsia="Times New Roman" w:hAnsi="Arial" w:cs="Arial"/>
          <w:iCs/>
          <w:noProof/>
          <w:szCs w:val="28"/>
          <w:lang w:eastAsia="ru-RU"/>
        </w:rPr>
        <w:t>i</w:t>
      </w:r>
      <w:r w:rsidRPr="00511005">
        <w:rPr>
          <w:rFonts w:ascii="Arial" w:eastAsia="Times New Roman" w:hAnsi="Arial" w:cs="Arial"/>
          <w:iCs/>
          <w:noProof/>
          <w:szCs w:val="28"/>
          <w:lang w:val="uk-UA" w:eastAsia="ru-RU"/>
        </w:rPr>
        <w:t>в</w:t>
      </w:r>
      <w:r w:rsidRPr="00511005">
        <w:rPr>
          <w:rFonts w:ascii="Arial" w:eastAsia="Times New Roman" w:hAnsi="Arial" w:cs="Arial"/>
          <w:iCs/>
          <w:noProof/>
          <w:szCs w:val="28"/>
          <w:lang w:eastAsia="ru-RU"/>
        </w:rPr>
        <w:t>ep</w:t>
      </w:r>
      <w:r w:rsidRPr="00511005">
        <w:rPr>
          <w:rFonts w:ascii="Arial" w:eastAsia="Times New Roman" w:hAnsi="Arial" w:cs="Arial"/>
          <w:iCs/>
          <w:noProof/>
          <w:szCs w:val="28"/>
          <w:lang w:val="uk-UA" w:eastAsia="ru-RU"/>
        </w:rPr>
        <w:t>сит</w:t>
      </w:r>
      <w:r w:rsidRPr="00511005">
        <w:rPr>
          <w:rFonts w:ascii="Arial" w:eastAsia="Times New Roman" w:hAnsi="Arial" w:cs="Arial"/>
          <w:iCs/>
          <w:noProof/>
          <w:szCs w:val="28"/>
          <w:lang w:eastAsia="ru-RU"/>
        </w:rPr>
        <w:t>e</w:t>
      </w:r>
      <w:r w:rsidRPr="00511005">
        <w:rPr>
          <w:rFonts w:ascii="Arial" w:eastAsia="Times New Roman" w:hAnsi="Arial" w:cs="Arial"/>
          <w:iCs/>
          <w:noProof/>
          <w:szCs w:val="28"/>
          <w:lang w:val="uk-UA" w:eastAsia="ru-RU"/>
        </w:rPr>
        <w:t>т</w:t>
      </w:r>
      <w:r w:rsidRPr="00511005">
        <w:rPr>
          <w:rFonts w:ascii="Arial" w:eastAsia="Times New Roman" w:hAnsi="Arial" w:cs="Arial"/>
          <w:iCs/>
          <w:noProof/>
          <w:szCs w:val="28"/>
          <w:lang w:eastAsia="ru-RU"/>
        </w:rPr>
        <w:t>y</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eastAsia="ru-RU"/>
        </w:rPr>
        <w:t>O</w:t>
      </w:r>
      <w:r w:rsidRPr="00511005">
        <w:rPr>
          <w:rFonts w:ascii="Arial" w:eastAsia="Times New Roman" w:hAnsi="Arial" w:cs="Arial"/>
          <w:iCs/>
          <w:noProof/>
          <w:szCs w:val="28"/>
          <w:lang w:val="uk-UA" w:eastAsia="ru-RU"/>
        </w:rPr>
        <w:t>д</w:t>
      </w:r>
      <w:r w:rsidRPr="00511005">
        <w:rPr>
          <w:rFonts w:ascii="Arial" w:eastAsia="Times New Roman" w:hAnsi="Arial" w:cs="Arial"/>
          <w:iCs/>
          <w:noProof/>
          <w:szCs w:val="28"/>
          <w:lang w:eastAsia="ru-RU"/>
        </w:rPr>
        <w:t>e</w:t>
      </w:r>
      <w:r w:rsidRPr="00511005">
        <w:rPr>
          <w:rFonts w:ascii="Arial" w:eastAsia="Times New Roman" w:hAnsi="Arial" w:cs="Arial"/>
          <w:iCs/>
          <w:noProof/>
          <w:szCs w:val="28"/>
          <w:lang w:val="uk-UA" w:eastAsia="ru-RU"/>
        </w:rPr>
        <w:t>ськ</w:t>
      </w:r>
      <w:r w:rsidRPr="00511005">
        <w:rPr>
          <w:rFonts w:ascii="Arial" w:eastAsia="Times New Roman" w:hAnsi="Arial" w:cs="Arial"/>
          <w:iCs/>
          <w:noProof/>
          <w:szCs w:val="28"/>
          <w:lang w:eastAsia="ru-RU"/>
        </w:rPr>
        <w:t>a</w:t>
      </w:r>
      <w:r w:rsidRPr="00511005">
        <w:rPr>
          <w:rFonts w:ascii="Arial" w:eastAsia="Times New Roman" w:hAnsi="Arial" w:cs="Arial"/>
          <w:iCs/>
          <w:noProof/>
          <w:szCs w:val="28"/>
          <w:lang w:val="uk-UA" w:eastAsia="ru-RU"/>
        </w:rPr>
        <w:t xml:space="preserve"> ю</w:t>
      </w:r>
      <w:r w:rsidRPr="00511005">
        <w:rPr>
          <w:rFonts w:ascii="Arial" w:eastAsia="Times New Roman" w:hAnsi="Arial" w:cs="Arial"/>
          <w:iCs/>
          <w:noProof/>
          <w:szCs w:val="28"/>
          <w:lang w:eastAsia="ru-RU"/>
        </w:rPr>
        <w:t>p</w:t>
      </w:r>
      <w:r w:rsidRPr="00511005">
        <w:rPr>
          <w:rFonts w:ascii="Arial" w:eastAsia="Times New Roman" w:hAnsi="Arial" w:cs="Arial"/>
          <w:iCs/>
          <w:noProof/>
          <w:szCs w:val="28"/>
          <w:lang w:val="uk-UA" w:eastAsia="ru-RU"/>
        </w:rPr>
        <w:t>идичн</w:t>
      </w:r>
      <w:r w:rsidRPr="00511005">
        <w:rPr>
          <w:rFonts w:ascii="Arial" w:eastAsia="Times New Roman" w:hAnsi="Arial" w:cs="Arial"/>
          <w:iCs/>
          <w:noProof/>
          <w:szCs w:val="28"/>
          <w:lang w:eastAsia="ru-RU"/>
        </w:rPr>
        <w:t>a</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eastAsia="ru-RU"/>
        </w:rPr>
        <w:t>a</w:t>
      </w:r>
      <w:r w:rsidRPr="00511005">
        <w:rPr>
          <w:rFonts w:ascii="Arial" w:eastAsia="Times New Roman" w:hAnsi="Arial" w:cs="Arial"/>
          <w:iCs/>
          <w:noProof/>
          <w:szCs w:val="28"/>
          <w:lang w:val="uk-UA" w:eastAsia="ru-RU"/>
        </w:rPr>
        <w:t>к</w:t>
      </w:r>
      <w:r w:rsidRPr="00511005">
        <w:rPr>
          <w:rFonts w:ascii="Arial" w:eastAsia="Times New Roman" w:hAnsi="Arial" w:cs="Arial"/>
          <w:iCs/>
          <w:noProof/>
          <w:szCs w:val="28"/>
          <w:lang w:eastAsia="ru-RU"/>
        </w:rPr>
        <w:t>a</w:t>
      </w:r>
      <w:r w:rsidRPr="00511005">
        <w:rPr>
          <w:rFonts w:ascii="Arial" w:eastAsia="Times New Roman" w:hAnsi="Arial" w:cs="Arial"/>
          <w:iCs/>
          <w:noProof/>
          <w:szCs w:val="28"/>
          <w:lang w:val="uk-UA" w:eastAsia="ru-RU"/>
        </w:rPr>
        <w:t>д</w:t>
      </w:r>
      <w:r w:rsidRPr="00511005">
        <w:rPr>
          <w:rFonts w:ascii="Arial" w:eastAsia="Times New Roman" w:hAnsi="Arial" w:cs="Arial"/>
          <w:iCs/>
          <w:noProof/>
          <w:szCs w:val="28"/>
          <w:lang w:eastAsia="ru-RU"/>
        </w:rPr>
        <w:t>e</w:t>
      </w:r>
      <w:r w:rsidRPr="00511005">
        <w:rPr>
          <w:rFonts w:ascii="Arial" w:eastAsia="Times New Roman" w:hAnsi="Arial" w:cs="Arial"/>
          <w:iCs/>
          <w:noProof/>
          <w:szCs w:val="28"/>
          <w:lang w:val="uk-UA" w:eastAsia="ru-RU"/>
        </w:rPr>
        <w:t>м</w:t>
      </w:r>
      <w:r w:rsidRPr="00511005">
        <w:rPr>
          <w:rFonts w:ascii="Arial" w:eastAsia="Times New Roman" w:hAnsi="Arial" w:cs="Arial"/>
          <w:iCs/>
          <w:noProof/>
          <w:szCs w:val="28"/>
          <w:lang w:eastAsia="ru-RU"/>
        </w:rPr>
        <w:t>i</w:t>
      </w:r>
      <w:r w:rsidRPr="00511005">
        <w:rPr>
          <w:rFonts w:ascii="Arial" w:eastAsia="Times New Roman" w:hAnsi="Arial" w:cs="Arial"/>
          <w:iCs/>
          <w:noProof/>
          <w:szCs w:val="28"/>
          <w:lang w:val="uk-UA" w:eastAsia="ru-RU"/>
        </w:rPr>
        <w:t>я»</w:t>
      </w:r>
    </w:p>
    <w:p w14:paraId="1FE154CE" w14:textId="77777777" w:rsidR="00220D3E" w:rsidRPr="00511005" w:rsidRDefault="00220D3E" w:rsidP="003A292D">
      <w:pPr>
        <w:pBdr>
          <w:top w:val="nil"/>
          <w:left w:val="nil"/>
          <w:bottom w:val="nil"/>
          <w:right w:val="nil"/>
          <w:between w:val="nil"/>
        </w:pBdr>
        <w:tabs>
          <w:tab w:val="left" w:pos="709"/>
        </w:tabs>
        <w:spacing w:line="264" w:lineRule="auto"/>
        <w:contextualSpacing/>
        <w:jc w:val="center"/>
        <w:rPr>
          <w:rFonts w:ascii="Arial" w:eastAsia="Times New Roman" w:hAnsi="Arial" w:cs="Arial"/>
          <w:iCs/>
          <w:noProof/>
          <w:szCs w:val="28"/>
          <w:lang w:val="uk-UA" w:eastAsia="ru-RU"/>
        </w:rPr>
      </w:pPr>
    </w:p>
    <w:p w14:paraId="227F2F7E" w14:textId="77777777" w:rsidR="00220D3E"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МІЖНАРОДНЕ ПРИВАТНЕ ПРАВО ТА ЙОГО ВПЛИВ НА МІГРАЦІЮ ТА ПОДВІЙНЕ ГРОМАДЯНСТВО</w:t>
      </w:r>
    </w:p>
    <w:p w14:paraId="044DACC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сучасному глобалізованому світі, де кордони між державами дедалі більше розмиваються під впливом економічних, соціокультурних і політичних процесів, особливої актуальності набуває міжнародне приватне право як механізм правового врегулювання міжособистісних та економічних відносин з «іноземним елементом». Одним із таких складників виступає міграція, що охоплює переміщення фізичних осіб з однієї держави до іншої, а також набуття, зміна чи втрата громадянства. У цьому контексті міжнародне приватне право не лише виконує координаційну функцію між правовими системами різних держав, але й безпосередньо впливає на правовий статус особи, яка перетинає межі національної юрисдикції.</w:t>
      </w:r>
    </w:p>
    <w:p w14:paraId="32EA591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Особливе місце в площині міжнародного приватного права займає проблема подвійного громадянства — явища, що є водночас правовим, політичним і етичним викликом. Подвійне громадянство може створювати як сприятливі можливості для особи (розширення прав, свободи переміщення, доступ до різних соціальних систем), так і правову невизначеність, пов’язану з колізією обов’язків перед різними державами. Наявність множинного громадянства стає причиною суперечностей у питаннях юрисдикції, військового обов’язку, податкового резидентства, реалізації політичних прав тощо.</w:t>
      </w:r>
    </w:p>
    <w:p w14:paraId="6368ED8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Зважаючи на те, що міграційні процеси дедалі інтенсивніше набувають транснаціонального характеру, міжнародне приватне право виступає важливою правовою платформою для забезпечення юридичної визначеності, захисту прав людини, врегулювання конфліктів громадянств та ефективної взаємодії між державами. Національні законодавства, міжнародні договори, судова практика, а також тенденції гармонізації права в межах регіональних об’єднань (таких як ЄС) суттєво впливають на формування сучасного підходу до правового регулювання подвійного громадянства і міграційного статусу осіб.</w:t>
      </w:r>
    </w:p>
    <w:p w14:paraId="4B6C791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Проблематика тимчасової трудової міграції українців різко загострилася з початком повномасштабної війни. За даними УВКБ ООН, станом на липень 2024 року понад 6,5 мільйона громадян України змушені були залишити країну, значна частина з яких інтегрувалась </w:t>
      </w:r>
      <w:proofErr w:type="gramStart"/>
      <w:r w:rsidRPr="00511005">
        <w:rPr>
          <w:rFonts w:ascii="Arial" w:eastAsia="Times New Roman" w:hAnsi="Arial" w:cs="Arial"/>
          <w:szCs w:val="28"/>
          <w:lang w:eastAsia="ru-RU"/>
        </w:rPr>
        <w:t>у ринки</w:t>
      </w:r>
      <w:proofErr w:type="gramEnd"/>
      <w:r w:rsidRPr="00511005">
        <w:rPr>
          <w:rFonts w:ascii="Arial" w:eastAsia="Times New Roman" w:hAnsi="Arial" w:cs="Arial"/>
          <w:szCs w:val="28"/>
          <w:lang w:eastAsia="ru-RU"/>
        </w:rPr>
        <w:t xml:space="preserve"> праці держав ЄС. При цьому, ще до війни приблизно 3 мільйони українців працювали за кордоном на тимчасовій основі. У відповідь на нову міграційну хвилю Європейський Союз активував Директиву 2001/55/EC, яка дозволяє тимчасово захищеним особам працювати без додаткових дозволів. Це відкрило шлях для масового залучення українських мігрантів до трудових відносин у європейських країнах.</w:t>
      </w:r>
    </w:p>
    <w:p w14:paraId="1B6F50D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Однак трудова міграція супроводжується суттєвими складнощами – від мовного бар’єра до нерозуміння правового статусу в приймаючій країні. У результаті недосконалості національного законодавства українські громадяни часто не знають, які правові норми застосовуються до їхніх трудових відносин або до якого суду звертатися у разі порушення прав. Саме тут набуває актуальності міжнародне приватне право, яке допомагає визначити як юрисдикцію, так і застосовне право у правовідносинах із «іноземним елементом», що стає критичним, зокрема у питаннях, пов’язаних із подвійним громадянством.</w:t>
      </w:r>
    </w:p>
    <w:p w14:paraId="187BF80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Зростання обсягів трудової міграції зумовлене поєднанням соціально-економічних чинників: військові дії, економічна нестабільність, зниження рівня життя, глобалізація ринку праці, а також спрощення процедур працевлаштування за кордоном. У результаті виникає подвійна реальність: країни ЄС отримують необхідні трудові ресурси, тоді як Україна втрачає кваліфіковану робочу силу, що поглиблює дефіцит кадрів та створює демографічні виклики. Ще до 2022 року від 2 до 5 мільйонів українців щорічно працювали за межами держави, що лише підтверджує її стабільну роль як донора робочої сили.</w:t>
      </w:r>
    </w:p>
    <w:p w14:paraId="66E714C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При цьому міграційна політика України тривалий час залишалася формальною. Лише у 2017 році було ухвалено Стратегію міграційної політики до 2025 року, яка визнала як позитивні (збільшення грошових переказів, поширення нових знань), так і негативні наслідки (послаблення родинних зв’язків, зменшення народжуваності, споживча інфляція) трудової міграції. Водночас для країн-реципієнтів така політика вигідна: вони вирішують проблему браку робочої сили без збільшення навантаження на пенсійні системи. Однак науковці наголошують, що тимчасові трудові мігранти часто стикаються з експлуатацією, дискримінацією та нестабільністю правового статусу, а масове використання дешевої праці гальмує розвиток внутрішнього ринку праці приймаючих країн.</w:t>
      </w:r>
    </w:p>
    <w:p w14:paraId="4A15409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Попри певні кроки вперед, українське законодавство залишається непідготовленим до ефективного регулювання тимчасової трудової міграції. Відсутність уніфікованої термінології, нечітке визначення кола мігрантів, брак спеціальних гарантій та правових механізмів захисту створюють правову невизначеність. На міжнародному рівні ситуація не краща: навіть Міжнародна організація праці фіксує відсутність єдиного визначення поняття «тимчасова трудова міграція» [1].</w:t>
      </w:r>
    </w:p>
    <w:p w14:paraId="2C5C4F2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Ці обставини свідчать про потребу в комплексній модернізації як національного, так і міжнародного правового регулювання у сфері трудової міграції. Йдеться не лише про чітке правове оформлення понятійного апарату, а й про створення дієвих юридичних інструментів захисту прав мігрантів, включно з тими, хто має подвійне громадянство, що вимагає </w:t>
      </w:r>
      <w:r w:rsidRPr="00511005">
        <w:rPr>
          <w:rFonts w:ascii="Arial" w:eastAsia="Times New Roman" w:hAnsi="Arial" w:cs="Arial"/>
          <w:szCs w:val="28"/>
          <w:lang w:eastAsia="ru-RU"/>
        </w:rPr>
        <w:lastRenderedPageBreak/>
        <w:t>особливого регулювання з огляду на юрисдикційні конфлікти та специфіку застосування міжнародного приватного права.</w:t>
      </w:r>
    </w:p>
    <w:p w14:paraId="6C54702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Правове регулювання трудової міграції охоплює три ключові напрями: трудове право, міграційне право та міжнародне приватне право. Кожна з цих сфер виконує свою функцію: перша — забезпечує гарантії трудових прав, друга — встановлює умови перетину кордону та перебування, а третя — визначає механізми вирішення транскордонних трудових спорів. Особливо вагому роль відіграє міжнародне приватне право, яке дозволяє збалансувати інтереси працівників, роботодавців та держав, і є ключовим при правовій оцінці випадків, коли трудові відносини виникають за участю осіб із подвійним громадянством.</w:t>
      </w:r>
    </w:p>
    <w:p w14:paraId="7E5EF60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Порівняння українського законодавства щодо тимчасової трудової міграції з правовими системами інших країн ЄС, таких як Фінляндія, Німеччина та Франція, показує схожість у підходах до регулювання цієї сфери, але з певними відмінностями.</w:t>
      </w:r>
    </w:p>
    <w:p w14:paraId="1C1192E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Фінляндія регулює тимчасову трудову міграцію через Закон про трудові договори (Työsopimuslaki 55/2001), Закон про відрядження працівників (447/2016) та Закон про іноземців (301/2004). Іноземці мають право працювати лише за наявності посвідки на проживання, яка зазвичай видається на термін від трьох місяців до двох років із необхідністю поновлення. Спори з міжнародними трудовими контрактами регулюються фінським законодавством, якщо в договорі не зазначено інше, а в разі колізії норм застосовується Регламент (ЄС) № 593/2008 (Рим I).</w:t>
      </w:r>
    </w:p>
    <w:p w14:paraId="693DADD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Німеччина регулює трудову міграцію через Закон про перебування іноземців та відповідні підзаконні акти, включаючи Employment Ordinance. Іноземці можуть працювати тільки за наявності дозволу від Федерального агентства зайнятості, причому дозвіл містить конкретні обмеження чи умови. Для виконання короткострокових робіт також необхідне погодження з агентством. Працевлаштування без дозволу можливе лише за умови наявності міжурядових угод або за спеціальними правовими актами.</w:t>
      </w:r>
    </w:p>
    <w:p w14:paraId="7E41F51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Франція регулює тимчасову трудову міграцію через Кодекс про в’їзд та перебування іноземців і Трудовий кодекс. Тимчасове працевлаштування обмежене строком від одного місяця до вісімнадцяти місяців, і іноземці можуть працювати лише після отримання дозволу на працевлаштування. Строкові трудові договори дозволяються тільки в обмежених випадках, таких як заміна працівників чи сезонні роботи. Усі юрисдикційні застереження, включені в трудові договори, мають відповідати французькому законодавству.</w:t>
      </w:r>
    </w:p>
    <w:p w14:paraId="4364DFE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підсумку, правове регулювання тимчасової трудової міграції в цих країнах суворо регламентує умови перебування іноземців на території, а також вимоги щодо дозволів на працевлаштування. У разі трудових спорів застосовується національне законодавство країни, де фактично </w:t>
      </w:r>
      <w:r w:rsidRPr="00511005">
        <w:rPr>
          <w:rFonts w:ascii="Arial" w:eastAsia="Times New Roman" w:hAnsi="Arial" w:cs="Arial"/>
          <w:szCs w:val="28"/>
          <w:lang w:eastAsia="ru-RU"/>
        </w:rPr>
        <w:lastRenderedPageBreak/>
        <w:t>виконуються трудові обов'язки, за винятком ситуацій, коли інше визначено договором згідно з положеннями Рим I.</w:t>
      </w:r>
    </w:p>
    <w:p w14:paraId="0FEE8BB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 українському контексті правова база трудової міграції охоплює Конституцію, Кодекс законів про працю, Закон «Про зайнятість населення», «Про зовнішню трудову міграцію» та «Про міжнародне приватне право». Аналіз цих актів виявляє брак цілісного підходу до тимчасової трудової міграції, зокрема відсутність чіткого визначення цього явища, суб’єктного складу, податкового та соціального статусу тимчасових мігрантів. Ця прогалина особливо загострюється у випадках, коли йдеться про осіб з подвійним громадянством, правовий статус яких часто ускладнюється колізією юрисдикцій.</w:t>
      </w:r>
    </w:p>
    <w:p w14:paraId="4D71D8E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Конституція України гарантує право на працю (ст. 43), що охоплює й можливість укладення трудових договорів з іноземними роботодавцями [2]. Закон «Про зайнятість населення» визнає право громадян України на легальну трудову діяльність за кордоном за умови дотримання законодавства України, держави перебування та норм міжнародних договорів [3]. Таким чином, правове становище трудових мігрантів визначається взаємодією трьох правових систем, що особливо критично в контексті подвійного громадянства, оскільки особа може одночасно підпадати під юрисдикцію двох держав.</w:t>
      </w:r>
    </w:p>
    <w:p w14:paraId="239BA47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Українське законодавство передбачає регламентацію працевлаштування іноземців на території України. Особи зі статусом біженця, з дозволом на імміграцію або постійним місцем проживання мають рівні з громадянами України права на працю. Для інших іноземців передбачено дозвільний порядок. Водночас питання працевлаштування громадян України за кордоном залишаються менш деталізованими, зокрема в аспектах, які стосуються осіб із подвійним громадянством, для яких відсутній механізм обрання «переважного громадянства» у трудових відносинах.</w:t>
      </w:r>
    </w:p>
    <w:p w14:paraId="2501FF3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КЗпП України лише побіжно зачіпає питання іноземного елементу в трудових відносинах, передаючи основне навантаження Закону «Про міжнародне приватне право». Проте останній містить переважно колізійні норми. Наприклад, стаття 52 встановлює, що трудові відносини регулюються правом держави, на території якої виконується робота, якщо інше не визначено договором або законом [4]. Водночас допускається застосування іншого права, що важливо для осіб з подвійним громадянством, у випадках, коли важко визначити, яка держава має пріоритетну юрисдикцію.</w:t>
      </w:r>
    </w:p>
    <w:p w14:paraId="58A8B67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Згідно зі статтею 53, українське право застосовується до трудових відносин громадян України, які працюють за кордоном у дипломатичних установах чи за контрактами з українськими роботодавцями [4]. Але у випадку подвійного громадянства виникає колізія: чи має особа вважатися </w:t>
      </w:r>
      <w:r w:rsidRPr="00511005">
        <w:rPr>
          <w:rFonts w:ascii="Arial" w:eastAsia="Times New Roman" w:hAnsi="Arial" w:cs="Arial"/>
          <w:szCs w:val="28"/>
          <w:lang w:eastAsia="ru-RU"/>
        </w:rPr>
        <w:lastRenderedPageBreak/>
        <w:t>громадянином України для цілей застосування цієї норми, якщо вона одночасно є громадянином іншої держави? Відповіді на ці питання в українському законодавстві наразі бракує.</w:t>
      </w:r>
    </w:p>
    <w:p w14:paraId="5B6D237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Для іноземців та осіб без громадянства, що працюють в Україні, стаття 54 встановлює застосування українського трудового законодавства. Винятки передбачено лише для дипломатичних представництв та ситуацій, коли особа працює на іноземного роботодавця [4]. Але якщо працівник має подвійне громадянство і працює в Україні, питання правового режиму знову потребує окремого врегулювання.</w:t>
      </w:r>
    </w:p>
    <w:p w14:paraId="04F6481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Комплексний підхід до зовнішньої трудової міграції міститься у Законі «Про зовнішню трудову міграцію». Закон визначає таку міграцію як виїзд громадян України з метою отримання прибутку за кордоном, проте не обмежує її часовими рамками, що дозволяє охопити як тимчасову, так і постійну міграцію [5]. Він поширюється на осіб, що працюють за контрактом, здійснюють самостійну діяльність, надають послуги або займаються іншою законною прибутковою справою. Проте закон не регулює ситуації, коли трудова діяльність здійснюється в межах подвійного громадянства або у формі тимчасової трудової міграції (наприклад, сезонні працівники, відряджені фахівці).</w:t>
      </w:r>
    </w:p>
    <w:p w14:paraId="7738C5F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Це створює нормативний вакуум: тимчасові форми праці часто залишаються поза межами правового поля, незважаючи на визнання їхньої ваги з боку міжнародних організацій. Міжнародне приватне право, попри свою функцію встановлення застосовного права, не вирішує всіх практичних питань подвійного громадянства — наприклад, визначення, які соціальні гарантії та зобов’язання мають переважати, або яка держава повинна надавати захист.</w:t>
      </w:r>
    </w:p>
    <w:p w14:paraId="580E86B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підсумку, сучасне українське законодавство у сфері трудової міграції потребує системного оновлення з урахуванням міжнародної практики та специфіки подвійного громадянства. Насамперед слід створити чіткі правові рамки для тимчасової трудової міграції та закріпити у законодавстві механізми регулювання правового статусу осіб з подвійним громадянством. Це дозволить забезпечити ефективний захист прав трудових мігрантів та уникнути колізій між нормами внутрішнього й міжнародного права.</w:t>
      </w:r>
    </w:p>
    <w:p w14:paraId="4053F8EC"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70813DAA" w14:textId="77777777" w:rsidR="00220D3E"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Cписок використаних джерел</w:t>
      </w:r>
    </w:p>
    <w:p w14:paraId="29278AFC" w14:textId="77777777" w:rsidR="00220D3E" w:rsidRPr="00511005" w:rsidRDefault="00220D3E" w:rsidP="003F6A5D">
      <w:pPr>
        <w:numPr>
          <w:ilvl w:val="0"/>
          <w:numId w:val="172"/>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International Labour Organization (2022). Temporary labour migration. Retrieved from: </w:t>
      </w:r>
      <w:hyperlink r:id="rId515" w:history="1">
        <w:r w:rsidRPr="00511005">
          <w:rPr>
            <w:rFonts w:ascii="Arial" w:eastAsia="Calibri" w:hAnsi="Arial" w:cs="Arial"/>
            <w:szCs w:val="28"/>
            <w:lang w:val="en-US"/>
          </w:rPr>
          <w:t>https://www.ilo.org/global/topics/labour-migration/publications/WCMS_746184</w:t>
        </w:r>
      </w:hyperlink>
    </w:p>
    <w:p w14:paraId="6D0BB27F" w14:textId="77777777" w:rsidR="00220D3E" w:rsidRPr="00511005" w:rsidRDefault="00220D3E" w:rsidP="003F6A5D">
      <w:pPr>
        <w:numPr>
          <w:ilvl w:val="0"/>
          <w:numId w:val="1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Конституція України: Закон України № 254к/96-ВР від 28.06.1996. Відомості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(ВВР), 1996, № 30, ст. 141</w:t>
      </w:r>
    </w:p>
    <w:p w14:paraId="74CBA0E1" w14:textId="77777777" w:rsidR="00220D3E" w:rsidRPr="00511005" w:rsidRDefault="00220D3E" w:rsidP="003F6A5D">
      <w:pPr>
        <w:numPr>
          <w:ilvl w:val="0"/>
          <w:numId w:val="1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Про зайнятість населення: Закон України № 5067-VI від 05.07.2012. Відомості Верховної Ради (ВВР), 2013, № 24, ст.243</w:t>
      </w:r>
    </w:p>
    <w:p w14:paraId="42E7C38F" w14:textId="47E49000" w:rsidR="00220D3E" w:rsidRPr="00511005" w:rsidRDefault="00220D3E" w:rsidP="003F6A5D">
      <w:pPr>
        <w:numPr>
          <w:ilvl w:val="0"/>
          <w:numId w:val="1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lastRenderedPageBreak/>
        <w:t>Про міжнародне приватне право: Закон України № 2709-IV, від</w:t>
      </w:r>
      <w:r w:rsidR="007B2628" w:rsidRPr="00511005">
        <w:rPr>
          <w:rFonts w:ascii="Arial" w:eastAsia="Calibri" w:hAnsi="Arial" w:cs="Arial"/>
          <w:szCs w:val="28"/>
        </w:rPr>
        <w:t xml:space="preserve"> </w:t>
      </w:r>
      <w:r w:rsidRPr="00511005">
        <w:rPr>
          <w:rFonts w:ascii="Arial" w:eastAsia="Calibri" w:hAnsi="Arial" w:cs="Arial"/>
          <w:szCs w:val="28"/>
        </w:rPr>
        <w:t xml:space="preserve">23.06.2005. Відомості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(ВВР), 2005, № 32, ст.422</w:t>
      </w:r>
    </w:p>
    <w:p w14:paraId="50462D79" w14:textId="75F5C43E" w:rsidR="00220D3E" w:rsidRPr="00511005" w:rsidRDefault="00220D3E" w:rsidP="003F6A5D">
      <w:pPr>
        <w:numPr>
          <w:ilvl w:val="0"/>
          <w:numId w:val="17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Про зовнішню трудову міграцію: Закон України № 761-VIII, від 05.11.2015</w:t>
      </w:r>
      <w:r w:rsidR="007B2628" w:rsidRPr="00511005">
        <w:rPr>
          <w:rFonts w:ascii="Arial" w:eastAsia="Calibri" w:hAnsi="Arial" w:cs="Arial"/>
          <w:szCs w:val="28"/>
        </w:rPr>
        <w:t xml:space="preserve"> </w:t>
      </w:r>
      <w:r w:rsidRPr="00511005">
        <w:rPr>
          <w:rFonts w:ascii="Arial" w:eastAsia="Calibri" w:hAnsi="Arial" w:cs="Arial"/>
          <w:szCs w:val="28"/>
        </w:rPr>
        <w:t>Відомості Верховної Ради (ВВР), 2015, № 49-50, ст.463</w:t>
      </w:r>
    </w:p>
    <w:p w14:paraId="2F4B63B5"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7A3CEE0B" w14:textId="42A2405D" w:rsidR="00220D3E" w:rsidRPr="00511005" w:rsidRDefault="007B2628" w:rsidP="003A292D">
      <w:pPr>
        <w:tabs>
          <w:tab w:val="left" w:pos="709"/>
          <w:tab w:val="left" w:pos="1276"/>
          <w:tab w:val="left" w:pos="2540"/>
        </w:tabs>
        <w:spacing w:line="264" w:lineRule="auto"/>
        <w:rPr>
          <w:rFonts w:ascii="Arial" w:eastAsia="Times New Roman" w:hAnsi="Arial" w:cs="Arial"/>
          <w:iCs/>
          <w:szCs w:val="28"/>
          <w:lang w:eastAsia="ru-RU"/>
        </w:rPr>
      </w:pPr>
      <w:r w:rsidRPr="00511005">
        <w:rPr>
          <w:rFonts w:ascii="Arial" w:eastAsia="Times New Roman" w:hAnsi="Arial" w:cs="Arial"/>
          <w:b/>
          <w:bCs/>
          <w:i/>
          <w:iCs/>
          <w:szCs w:val="28"/>
          <w:lang w:eastAsia="ru-RU"/>
        </w:rPr>
        <w:t xml:space="preserve">Ключові слова: </w:t>
      </w:r>
      <w:r w:rsidR="00220D3E" w:rsidRPr="00511005">
        <w:rPr>
          <w:rFonts w:ascii="Arial" w:eastAsia="Times New Roman" w:hAnsi="Arial" w:cs="Arial"/>
          <w:iCs/>
          <w:szCs w:val="28"/>
          <w:lang w:eastAsia="ru-RU"/>
        </w:rPr>
        <w:t>міжнародне приватне право, трудова міграція, подвійне громадянство, юрисдикція, правовий статус, правове регулювання, законодавство України, директива ЄС, колізія норм, тимчасова міграція.</w:t>
      </w:r>
    </w:p>
    <w:p w14:paraId="0E850D4A" w14:textId="6695BC16" w:rsidR="00220D3E" w:rsidRPr="00511005" w:rsidRDefault="007B2628" w:rsidP="003A292D">
      <w:pPr>
        <w:tabs>
          <w:tab w:val="left" w:pos="709"/>
          <w:tab w:val="left" w:pos="1276"/>
          <w:tab w:val="left" w:pos="2540"/>
        </w:tabs>
        <w:spacing w:line="264" w:lineRule="auto"/>
        <w:rPr>
          <w:rFonts w:ascii="Arial" w:eastAsia="Times New Roman" w:hAnsi="Arial" w:cs="Arial"/>
          <w:iCs/>
          <w:szCs w:val="28"/>
          <w:lang w:val="en-US" w:eastAsia="ru-RU"/>
        </w:rPr>
      </w:pPr>
      <w:r w:rsidRPr="00511005">
        <w:rPr>
          <w:rFonts w:ascii="Arial" w:eastAsia="Times New Roman" w:hAnsi="Arial" w:cs="Arial"/>
          <w:b/>
          <w:bCs/>
          <w:i/>
          <w:iCs/>
          <w:szCs w:val="28"/>
          <w:lang w:val="en-US" w:eastAsia="ru-RU"/>
        </w:rPr>
        <w:t xml:space="preserve">Key words: </w:t>
      </w:r>
      <w:r w:rsidR="00220D3E" w:rsidRPr="00511005">
        <w:rPr>
          <w:rFonts w:ascii="Arial" w:eastAsia="Times New Roman" w:hAnsi="Arial" w:cs="Arial"/>
          <w:iCs/>
          <w:szCs w:val="28"/>
          <w:lang w:val="en-US" w:eastAsia="ru-RU"/>
        </w:rPr>
        <w:t>private international law, labor migration, dual citizenship, jurisdiction, legal status, legal regulation, Ukrainian legislation, EU directive, conflict of laws, temporary migration.</w:t>
      </w:r>
    </w:p>
    <w:p w14:paraId="215B9BF0" w14:textId="18C3B0F9"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асистент кафедри Бугаєць А. С.</w:t>
      </w:r>
    </w:p>
    <w:p w14:paraId="527A07A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2E85483F" w14:textId="77777777" w:rsidR="00220D3E" w:rsidRPr="00511005" w:rsidRDefault="00220D3E" w:rsidP="003A292D">
      <w:pPr>
        <w:keepNext/>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Микитюк Олександра Миколаївна</w:t>
      </w:r>
    </w:p>
    <w:p w14:paraId="4A316EE7" w14:textId="132123F6"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4-го курсу </w:t>
      </w:r>
    </w:p>
    <w:p w14:paraId="657881D6" w14:textId="6E63FB42"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факультету адвокатури та антикорупційної діяльності</w:t>
      </w:r>
      <w:r w:rsidR="007B2628" w:rsidRPr="00511005">
        <w:rPr>
          <w:rFonts w:ascii="Arial" w:eastAsia="Times New Roman" w:hAnsi="Arial" w:cs="Arial"/>
          <w:szCs w:val="28"/>
          <w:lang w:val="uk-UA" w:eastAsia="ru-RU"/>
        </w:rPr>
        <w:t xml:space="preserve"> </w:t>
      </w:r>
    </w:p>
    <w:p w14:paraId="5B19DA7D" w14:textId="4E91FD04"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9DFCEE5" w14:textId="77777777" w:rsidR="00220D3E" w:rsidRPr="00511005" w:rsidRDefault="00220D3E" w:rsidP="003A292D">
      <w:pPr>
        <w:keepNext/>
        <w:tabs>
          <w:tab w:val="left" w:pos="709"/>
        </w:tabs>
        <w:spacing w:line="264" w:lineRule="auto"/>
        <w:jc w:val="center"/>
        <w:rPr>
          <w:rFonts w:ascii="Arial" w:eastAsia="Times New Roman" w:hAnsi="Arial" w:cs="Arial"/>
          <w:i/>
          <w:szCs w:val="28"/>
          <w:lang w:val="uk-UA" w:eastAsia="ru-RU"/>
        </w:rPr>
      </w:pPr>
    </w:p>
    <w:p w14:paraId="6A10E6BA"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ОСОБЛИВОСТІ ПОРЯДКУ ВСТУПУ НОВИХ ДЕРЖАВ-ЧЛЕНІВ ДО СКЛАДУ ЄС: УКРАЇНА – ЯК КАНДИДАТ НА ВСТУП ДО ЄС</w:t>
      </w:r>
    </w:p>
    <w:p w14:paraId="25706EF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Процес розширення Європейського Союзу (ЄС) є ключовим елементом європейської інтеграції, спрямованим на забезпечення миру, стабільності та економічного розвитку на континенті [3]. Приєднання нових держав-членів відбувається за суворо регламентованою процедурою, що передбачає відповідність політичним, економічним та правовим критеріям, встановленим на рівні Союзу. Однією з найважливіших вимог до країн-кандидатів є виконання так званих Копенгагенських критеріїв, а також спроможність гармонізувати національне законодавство із правовим доробком ЄС (acquis communautaire) [3].</w:t>
      </w:r>
    </w:p>
    <w:p w14:paraId="655E148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Надання Україні статусу кандидата на вступ до ЄС у червні 2022 року стало історичним рішенням, яке заклало підґрунтя для нового етапу європейської інтеграції країни [2]. Водночас особливі обставини, пов’язані з триваючим збройним конфліктом та необхідністю проведення масштабних внутрішніх реформ, визначають специфіку українського євроінтеграційного процесу.</w:t>
      </w:r>
    </w:p>
    <w:p w14:paraId="6546899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Розширення Європейського Союзу є складним політико-правовим процесом, який передбачає інтеграцію нових держав-членів до існуючої спільноти на основі суворої відповідності спільним цінностям та нормам права. Вступ держав до ЄС завжди був не тільки юридичною процедурою, а й актом політичного вибору, що змінював стратегічний баланс у Європі. Досвід попередніх розширень, особливо у 2004 та 2007 роках, коли до ЄС приєдналися країни Центральної та Східної Європи, показав, що процес </w:t>
      </w:r>
      <w:r w:rsidRPr="00511005">
        <w:rPr>
          <w:rFonts w:ascii="Arial" w:eastAsia="Times New Roman" w:hAnsi="Arial" w:cs="Arial"/>
          <w:szCs w:val="28"/>
          <w:lang w:val="uk-UA" w:eastAsia="ru-RU"/>
        </w:rPr>
        <w:lastRenderedPageBreak/>
        <w:t>адаптації нового члена триває роками та вимагає глибоких змін у політичних, економічних та соціальних системах [3]. Критерії, закріплені в Копенгагенських домовленостях 1993 року, зобов'язують державу-кандидата продемонструвати стабільність демократичних інститутів, функціонування ринкової економіки, а також спроможність імплементувати acquis communautaire.</w:t>
      </w:r>
    </w:p>
    <w:p w14:paraId="5E1913B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цьому контексті статус України як держави-кандидата має як спільні риси з попередніми прикладами розширення, так і принципові відмінності. Заявка України на вступ була подана у виняткових обставинах — у розпал збройної агресії Російської Федерації, що вже саме по собі стало унікальним прецедентом у практиці ЄС. Відповідь інституцій Союзу на цей виклик була швидкою і політично мотивованою: Європейська комісія всього за кілька місяців завершила оцінку спроможностей України, а Європейська рада ухвалила рішення надати статус кандидата [2]. Це рішення було водночас актом солідарності, визнанням європейської перспективи України та закликом до неї здійснити системні перетворення.</w:t>
      </w:r>
    </w:p>
    <w:p w14:paraId="03160D4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Вимоги, що висуваються до України, охоплюють не лише традиційні сфери, такі як судова реформа, антикорупційна діяльність чи захист прав людини, а й комплексні питання функціонування державного управління, забезпечення свободи слова, прозорості у сфері публічних фінансів, реформування інститутів безпеки. Однією з головних умов для подальшого просування переговорного процесу є ефективне впровадження антикорупційних механізмів, зокрема реформа діяльності Спеціалізованої антикорупційної прокуратури та забезпечення незалежності Національного антикорупційного бюро України. ЄС приділяє особливу увагу не лише ухваленню необхідних законів, але й їх фактичній імплементації та стабільному застосуванню на практиці, що було наголошено у відповідних звітах Європейської комісії за 2023 та 2024 роки [1].</w:t>
      </w:r>
    </w:p>
    <w:p w14:paraId="00072BD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Аналізуючи досвід попередніх країн-членів, зокрема Хорватії, яка приєдналася до ЄС у 2013 році після десятирічного процесу реформ та переговорів, слід зазначити, що дотримання умов acquis communautaire вимагає не лише змін у законодавстві, а й створення відповідної інституційної спроможності для його впровадження [3]. У випадку України важливу роль відіграє також аспект післявоєнної відбудови, оскільки інтеграція у внутрішній ринок ЄС передбачає високі стандарти в галузях екології, енергетики, транспорту та цифрової економіки [1]. Таким чином, завдання України полягає не лише у досягненні формальної відповідності правовим нормам Союзу, але й у практичній модернізації ключових секторів економіки та управління відповідно до європейських стандартів [1].</w:t>
      </w:r>
    </w:p>
    <w:p w14:paraId="2E28A30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Окремої уваги потребує питання політичної динаміки всередині самого Європейського Союзу. Розширення завжди має геополітичний вимір, а ситуація в Україні суттєво впливає на безпекову архітектуру континенту [2]. </w:t>
      </w:r>
      <w:r w:rsidRPr="00511005">
        <w:rPr>
          <w:rFonts w:ascii="Arial" w:eastAsia="Times New Roman" w:hAnsi="Arial" w:cs="Arial"/>
          <w:szCs w:val="28"/>
          <w:lang w:val="uk-UA" w:eastAsia="ru-RU"/>
        </w:rPr>
        <w:lastRenderedPageBreak/>
        <w:t>Підтримка процесу розширення сьогодні залежить від консолідованої позиції держав-членів, які мають власні бачення темпів і глибини інтеграції. Наявність побоювань щодо спроможності ЄС інтегрувати нових членів без втрати ефективності прийняття рішень вимагає від України демонстрації не лише прагнення до вступу, але й реальної готовності сприяти стабільності та розвитку об’єднання.</w:t>
      </w:r>
    </w:p>
    <w:p w14:paraId="68042E6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огляду на стратегічне значення європейської інтеграції для України, внутрішні реформи мають розглядатися не як зовнішнє зобов’язання перед Брюсселем, а як внутрішня потреба держави забезпечити верховенство права, розвинену ринкову економіку та сталу демократію [1]. Такий підхід є ключовим для досягнення стійкого прогресу на шляху до членства в ЄС. Зокрема, реформи у сферах корпоративного управління, державної служби, енергетичної безпеки й діджиталізації стають маркерами готовності країни відповідати сучасним викликам інтегрованого європейського простору.</w:t>
      </w:r>
    </w:p>
    <w:p w14:paraId="03757BA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Процес вступу нових держав до Європейського Союзу є складною багаторівневою процедурою, що вимагає глибокої відповідності політичним, економічним і правовим стандартам об’єднання [3]. Досвід попередніх розширень ЄС демонструє, що інтеграція потребує не тільки формального прийняття acquis communautaire, а й реальної зміни інституцій та практик управління. Україна, отримавши статус кандидата у 2022 році, опинилася перед складним завданням провести масштабні реформи у сферах верховенства права, боротьби з корупцією, економічної стабільності та захисту прав людини.</w:t>
      </w:r>
    </w:p>
    <w:p w14:paraId="4D1671D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Особливістю українського процесу є його політична й безпекова значущість, оскільки вступ України до ЄС розглядається як чинник зміцнення стабільності на континенті [2]. Разом із цим, шлях до членства потребує сталості реформ, ефективної імплементації прийнятих змін і консолідованої підтримки з боку держав-членів ЄС. </w:t>
      </w:r>
    </w:p>
    <w:p w14:paraId="711B193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процес вступу України до Європейського Союзу є не лише технічною реалізацією відповідності критеріям acquis communautaire, але й глибоким політичним і цивілізаційним вибором. Успіх цієї інтеграції залежатиме від політичної волі державного керівництва, ефективності інституційних перетворень, підтримки громадянського суспільства та готовності самого ЄС адаптуватися до нових реалій розширення.</w:t>
      </w:r>
    </w:p>
    <w:p w14:paraId="37A2CBA3" w14:textId="77777777" w:rsidR="00220D3E" w:rsidRPr="00511005" w:rsidRDefault="00220D3E" w:rsidP="003A292D">
      <w:pPr>
        <w:tabs>
          <w:tab w:val="left" w:pos="709"/>
        </w:tabs>
        <w:spacing w:line="264" w:lineRule="auto"/>
        <w:jc w:val="center"/>
        <w:rPr>
          <w:rFonts w:ascii="Arial" w:eastAsia="Times New Roman" w:hAnsi="Arial" w:cs="Arial"/>
          <w:b/>
          <w:iCs/>
          <w:szCs w:val="28"/>
          <w:lang w:val="uk-UA" w:eastAsia="ru-RU"/>
        </w:rPr>
      </w:pPr>
    </w:p>
    <w:p w14:paraId="7B6B0DD8" w14:textId="79E1A13C" w:rsidR="00220D3E" w:rsidRPr="00511005" w:rsidRDefault="007B2628" w:rsidP="007B2628">
      <w:pPr>
        <w:tabs>
          <w:tab w:val="left" w:pos="709"/>
        </w:tabs>
        <w:spacing w:line="264" w:lineRule="auto"/>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54FF0B4F" w14:textId="77777777" w:rsidR="00220D3E" w:rsidRPr="00511005" w:rsidRDefault="00220D3E" w:rsidP="003F6A5D">
      <w:pPr>
        <w:numPr>
          <w:ilvl w:val="0"/>
          <w:numId w:val="139"/>
        </w:numPr>
        <w:tabs>
          <w:tab w:val="left" w:pos="709"/>
        </w:tabs>
        <w:spacing w:line="264" w:lineRule="auto"/>
        <w:ind w:left="0" w:firstLine="709"/>
        <w:contextualSpacing/>
        <w:jc w:val="left"/>
        <w:rPr>
          <w:rFonts w:ascii="Arial" w:eastAsia="Calibri" w:hAnsi="Arial" w:cs="Arial"/>
          <w:bCs/>
          <w:iCs/>
          <w:szCs w:val="28"/>
          <w:lang w:val="uk-UA"/>
        </w:rPr>
      </w:pPr>
      <w:r w:rsidRPr="00511005">
        <w:rPr>
          <w:rFonts w:ascii="Arial" w:eastAsia="Calibri" w:hAnsi="Arial" w:cs="Arial"/>
          <w:bCs/>
          <w:iCs/>
          <w:szCs w:val="28"/>
          <w:lang w:val="uk-UA"/>
        </w:rPr>
        <w:t>European Commission. Ukraine Report 2024</w:t>
      </w:r>
      <w:r w:rsidRPr="00511005">
        <w:rPr>
          <w:rFonts w:ascii="Arial" w:eastAsia="Calibri" w:hAnsi="Arial" w:cs="Arial"/>
          <w:bCs/>
          <w:iCs/>
          <w:szCs w:val="28"/>
          <w:lang w:val="en-US"/>
        </w:rPr>
        <w:t xml:space="preserve"> URL</w:t>
      </w:r>
      <w:r w:rsidRPr="00511005">
        <w:rPr>
          <w:rFonts w:ascii="Arial" w:eastAsia="Calibri" w:hAnsi="Arial" w:cs="Arial"/>
          <w:bCs/>
          <w:iCs/>
          <w:szCs w:val="28"/>
          <w:lang w:val="uk-UA"/>
        </w:rPr>
        <w:t>: </w:t>
      </w:r>
      <w:hyperlink r:id="rId516" w:tgtFrame="_new" w:history="1">
        <w:r w:rsidRPr="00511005">
          <w:rPr>
            <w:rFonts w:ascii="Arial" w:eastAsia="Calibri" w:hAnsi="Arial" w:cs="Arial"/>
            <w:bCs/>
            <w:iCs/>
            <w:szCs w:val="28"/>
            <w:lang w:val="uk-UA"/>
          </w:rPr>
          <w:t>https://enlargement.ec.europa.eu/ukraine-report-2024_en</w:t>
        </w:r>
      </w:hyperlink>
      <w:r w:rsidRPr="00511005">
        <w:rPr>
          <w:rFonts w:ascii="Arial" w:eastAsia="Calibri" w:hAnsi="Arial" w:cs="Arial"/>
          <w:bCs/>
          <w:iCs/>
          <w:szCs w:val="28"/>
          <w:lang w:val="uk-UA"/>
        </w:rPr>
        <w:t> </w:t>
      </w:r>
    </w:p>
    <w:p w14:paraId="5761A8A5" w14:textId="1CD9C63B" w:rsidR="00220D3E" w:rsidRPr="00511005" w:rsidRDefault="00220D3E" w:rsidP="003F6A5D">
      <w:pPr>
        <w:numPr>
          <w:ilvl w:val="0"/>
          <w:numId w:val="139"/>
        </w:numPr>
        <w:tabs>
          <w:tab w:val="left" w:pos="709"/>
        </w:tabs>
        <w:spacing w:line="264" w:lineRule="auto"/>
        <w:ind w:left="0" w:firstLine="709"/>
        <w:contextualSpacing/>
        <w:jc w:val="left"/>
        <w:rPr>
          <w:rFonts w:ascii="Arial" w:eastAsia="Calibri" w:hAnsi="Arial" w:cs="Arial"/>
          <w:bCs/>
          <w:iCs/>
          <w:szCs w:val="28"/>
          <w:lang w:val="uk-UA"/>
        </w:rPr>
      </w:pPr>
      <w:r w:rsidRPr="00511005">
        <w:rPr>
          <w:rFonts w:ascii="Arial" w:eastAsia="Calibri" w:hAnsi="Arial" w:cs="Arial"/>
          <w:bCs/>
          <w:iCs/>
          <w:szCs w:val="28"/>
          <w:lang w:val="uk-UA"/>
        </w:rPr>
        <w:t>European Commission. Ukraine's Path Towards EU Accession</w:t>
      </w:r>
      <w:r w:rsidR="007B2628" w:rsidRPr="00511005">
        <w:rPr>
          <w:rFonts w:ascii="Arial" w:eastAsia="Calibri" w:hAnsi="Arial" w:cs="Arial"/>
          <w:bCs/>
          <w:iCs/>
          <w:szCs w:val="28"/>
          <w:lang w:val="en-US"/>
        </w:rPr>
        <w:t xml:space="preserve"> </w:t>
      </w:r>
      <w:r w:rsidRPr="00511005">
        <w:rPr>
          <w:rFonts w:ascii="Arial" w:eastAsia="Calibri" w:hAnsi="Arial" w:cs="Arial"/>
          <w:bCs/>
          <w:iCs/>
          <w:szCs w:val="28"/>
          <w:lang w:val="en-US"/>
        </w:rPr>
        <w:t>URL</w:t>
      </w:r>
      <w:r w:rsidRPr="00511005">
        <w:rPr>
          <w:rFonts w:ascii="Arial" w:eastAsia="Calibri" w:hAnsi="Arial" w:cs="Arial"/>
          <w:bCs/>
          <w:iCs/>
          <w:szCs w:val="28"/>
          <w:lang w:val="uk-UA"/>
        </w:rPr>
        <w:t>: </w:t>
      </w:r>
      <w:hyperlink r:id="rId517" w:tgtFrame="_new" w:history="1">
        <w:r w:rsidRPr="00511005">
          <w:rPr>
            <w:rFonts w:ascii="Arial" w:eastAsia="Calibri" w:hAnsi="Arial" w:cs="Arial"/>
            <w:bCs/>
            <w:iCs/>
            <w:szCs w:val="28"/>
            <w:lang w:val="uk-UA"/>
          </w:rPr>
          <w:t>https://commission.europa.eu/topics/eu-solidarity-ukraine/ukraines-path-towards-eu-accession_en</w:t>
        </w:r>
      </w:hyperlink>
      <w:r w:rsidRPr="00511005">
        <w:rPr>
          <w:rFonts w:ascii="Arial" w:eastAsia="Calibri" w:hAnsi="Arial" w:cs="Arial"/>
          <w:bCs/>
          <w:iCs/>
          <w:szCs w:val="28"/>
          <w:lang w:val="uk-UA"/>
        </w:rPr>
        <w:t> </w:t>
      </w:r>
    </w:p>
    <w:p w14:paraId="588F9EB4" w14:textId="77777777" w:rsidR="00220D3E" w:rsidRPr="00511005" w:rsidRDefault="00220D3E" w:rsidP="003F6A5D">
      <w:pPr>
        <w:numPr>
          <w:ilvl w:val="0"/>
          <w:numId w:val="139"/>
        </w:numPr>
        <w:tabs>
          <w:tab w:val="left" w:pos="709"/>
        </w:tabs>
        <w:spacing w:line="264" w:lineRule="auto"/>
        <w:ind w:left="0" w:firstLine="709"/>
        <w:contextualSpacing/>
        <w:jc w:val="left"/>
        <w:rPr>
          <w:rFonts w:ascii="Arial" w:eastAsia="Calibri" w:hAnsi="Arial" w:cs="Arial"/>
          <w:bCs/>
          <w:iCs/>
          <w:szCs w:val="28"/>
          <w:lang w:val="uk-UA"/>
        </w:rPr>
      </w:pPr>
      <w:r w:rsidRPr="00511005">
        <w:rPr>
          <w:rFonts w:ascii="Arial" w:eastAsia="Calibri" w:hAnsi="Arial" w:cs="Arial"/>
          <w:bCs/>
          <w:iCs/>
          <w:szCs w:val="28"/>
          <w:lang w:val="uk-UA"/>
        </w:rPr>
        <w:lastRenderedPageBreak/>
        <w:t>European Union. EU Enlargement – Principles, Countries, History</w:t>
      </w:r>
      <w:r w:rsidRPr="00511005">
        <w:rPr>
          <w:rFonts w:ascii="Arial" w:eastAsia="Calibri" w:hAnsi="Arial" w:cs="Arial"/>
          <w:bCs/>
          <w:iCs/>
          <w:szCs w:val="28"/>
          <w:lang w:val="en-US"/>
        </w:rPr>
        <w:t xml:space="preserve"> URL</w:t>
      </w:r>
      <w:r w:rsidRPr="00511005">
        <w:rPr>
          <w:rFonts w:ascii="Arial" w:eastAsia="Calibri" w:hAnsi="Arial" w:cs="Arial"/>
          <w:bCs/>
          <w:iCs/>
          <w:szCs w:val="28"/>
          <w:lang w:val="uk-UA"/>
        </w:rPr>
        <w:t>: </w:t>
      </w:r>
      <w:hyperlink r:id="rId518" w:tgtFrame="_new" w:history="1">
        <w:r w:rsidRPr="00511005">
          <w:rPr>
            <w:rFonts w:ascii="Arial" w:eastAsia="Calibri" w:hAnsi="Arial" w:cs="Arial"/>
            <w:bCs/>
            <w:iCs/>
            <w:szCs w:val="28"/>
            <w:lang w:val="uk-UA"/>
          </w:rPr>
          <w:t>https://european-union.europa.eu/principles-countries-history/eu-enlargement_en</w:t>
        </w:r>
      </w:hyperlink>
      <w:r w:rsidRPr="00511005">
        <w:rPr>
          <w:rFonts w:ascii="Arial" w:eastAsia="Calibri" w:hAnsi="Arial" w:cs="Arial"/>
          <w:bCs/>
          <w:iCs/>
          <w:szCs w:val="28"/>
          <w:lang w:val="uk-UA"/>
        </w:rPr>
        <w:t> </w:t>
      </w:r>
    </w:p>
    <w:p w14:paraId="18C83449" w14:textId="77777777" w:rsidR="00220D3E" w:rsidRPr="00511005" w:rsidRDefault="00220D3E" w:rsidP="003A292D">
      <w:pPr>
        <w:tabs>
          <w:tab w:val="left" w:pos="709"/>
        </w:tabs>
        <w:spacing w:line="264" w:lineRule="auto"/>
        <w:rPr>
          <w:rFonts w:ascii="Arial" w:eastAsia="Times New Roman" w:hAnsi="Arial" w:cs="Arial"/>
          <w:b/>
          <w:bCs/>
          <w:iCs/>
          <w:szCs w:val="28"/>
          <w:lang w:val="uk-UA" w:eastAsia="ru-RU"/>
        </w:rPr>
      </w:pPr>
    </w:p>
    <w:p w14:paraId="538AA6A4" w14:textId="4873EFA2" w:rsidR="00220D3E" w:rsidRPr="00511005" w:rsidRDefault="007B2628"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
          <w:bCs/>
          <w:i/>
          <w:iCs/>
          <w:szCs w:val="28"/>
          <w:lang w:val="uk-UA" w:eastAsia="ru-RU"/>
        </w:rPr>
        <w:t xml:space="preserve">Ключові слова: </w:t>
      </w:r>
      <w:r w:rsidR="00220D3E" w:rsidRPr="00511005">
        <w:rPr>
          <w:rFonts w:ascii="Arial" w:eastAsia="Times New Roman" w:hAnsi="Arial" w:cs="Arial"/>
          <w:bCs/>
          <w:iCs/>
          <w:szCs w:val="28"/>
          <w:lang w:val="uk-UA" w:eastAsia="ru-RU"/>
        </w:rPr>
        <w:t>Європейський Союз, розширення ЄС, вступ України до ЄС, Копенгагенські критерії, acquis communautaire, європейська інтеграція, реформи в Україні.</w:t>
      </w:r>
    </w:p>
    <w:p w14:paraId="0927BE6B" w14:textId="6E6F7461" w:rsidR="00220D3E" w:rsidRPr="00511005" w:rsidRDefault="007B2628" w:rsidP="003A292D">
      <w:pPr>
        <w:tabs>
          <w:tab w:val="left" w:pos="709"/>
        </w:tabs>
        <w:spacing w:line="264" w:lineRule="auto"/>
        <w:rPr>
          <w:rFonts w:ascii="Arial" w:eastAsia="Times New Roman" w:hAnsi="Arial" w:cs="Arial"/>
          <w:bCs/>
          <w:iCs/>
          <w:szCs w:val="28"/>
          <w:lang w:val="uk-UA" w:eastAsia="ru-RU"/>
        </w:rPr>
      </w:pPr>
      <w:r w:rsidRPr="00511005">
        <w:rPr>
          <w:rFonts w:ascii="Arial" w:eastAsia="Times New Roman" w:hAnsi="Arial" w:cs="Arial"/>
          <w:b/>
          <w:bCs/>
          <w:i/>
          <w:iCs/>
          <w:szCs w:val="28"/>
          <w:lang w:val="uk-UA" w:eastAsia="ru-RU"/>
        </w:rPr>
        <w:t xml:space="preserve">Key words: </w:t>
      </w:r>
      <w:r w:rsidR="00220D3E" w:rsidRPr="00511005">
        <w:rPr>
          <w:rFonts w:ascii="Arial" w:eastAsia="Times New Roman" w:hAnsi="Arial" w:cs="Arial"/>
          <w:bCs/>
          <w:iCs/>
          <w:szCs w:val="28"/>
          <w:lang w:val="uk-UA" w:eastAsia="ru-RU"/>
        </w:rPr>
        <w:t>European Union, EU enlargement, Ukraine’s accession to the EU, Copenhagen criteria, acquis communautaire, European integration, reforms in Ukraine.</w:t>
      </w:r>
    </w:p>
    <w:p w14:paraId="54C0C45E" w14:textId="07DE9878" w:rsidR="00220D3E" w:rsidRPr="00511005" w:rsidRDefault="00EE6668" w:rsidP="003A292D">
      <w:pPr>
        <w:tabs>
          <w:tab w:val="left" w:pos="709"/>
        </w:tabs>
        <w:spacing w:line="264" w:lineRule="auto"/>
        <w:jc w:val="left"/>
        <w:rPr>
          <w:rFonts w:ascii="Arial" w:eastAsia="Times New Roman" w:hAnsi="Arial" w:cs="Arial"/>
          <w:bCs/>
          <w:i/>
          <w:iCs/>
          <w:szCs w:val="28"/>
          <w:lang w:val="uk-UA" w:eastAsia="ru-RU"/>
        </w:rPr>
      </w:pPr>
      <w:r w:rsidRPr="00511005">
        <w:rPr>
          <w:rFonts w:ascii="Arial" w:eastAsia="Times New Roman" w:hAnsi="Arial" w:cs="Arial"/>
          <w:bCs/>
          <w:i/>
          <w:iCs/>
          <w:szCs w:val="28"/>
          <w:lang w:val="uk-UA" w:eastAsia="ru-RU"/>
        </w:rPr>
        <w:t>Науковий керівник:</w:t>
      </w:r>
      <w:r w:rsidR="00220D3E" w:rsidRPr="00511005">
        <w:rPr>
          <w:rFonts w:ascii="Arial" w:eastAsia="Times New Roman" w:hAnsi="Arial" w:cs="Arial"/>
          <w:bCs/>
          <w:i/>
          <w:iCs/>
          <w:szCs w:val="28"/>
          <w:lang w:val="uk-UA" w:eastAsia="ru-RU"/>
        </w:rPr>
        <w:t xml:space="preserve"> д.ю.н., професор Сурілова О.О.</w:t>
      </w:r>
    </w:p>
    <w:p w14:paraId="023A3E84"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0F7D04CE" w14:textId="77777777" w:rsidR="00220D3E" w:rsidRPr="00511005" w:rsidRDefault="00220D3E" w:rsidP="003A292D">
      <w:pPr>
        <w:tabs>
          <w:tab w:val="left" w:pos="0"/>
          <w:tab w:val="left" w:pos="709"/>
        </w:tabs>
        <w:spacing w:line="264" w:lineRule="auto"/>
        <w:ind w:firstLine="0"/>
        <w:jc w:val="center"/>
        <w:rPr>
          <w:rFonts w:ascii="Arial" w:eastAsia="Times New Roman" w:hAnsi="Arial" w:cs="Arial"/>
          <w:b/>
          <w:i/>
          <w:szCs w:val="28"/>
          <w:lang w:val="en-US" w:eastAsia="ru-RU"/>
        </w:rPr>
      </w:pPr>
      <w:r w:rsidRPr="00511005">
        <w:rPr>
          <w:rFonts w:ascii="Arial" w:eastAsia="Times New Roman" w:hAnsi="Arial" w:cs="Arial"/>
          <w:b/>
          <w:i/>
          <w:szCs w:val="28"/>
          <w:lang w:val="en-US" w:eastAsia="ru-RU"/>
        </w:rPr>
        <w:t>Mokanu Polina</w:t>
      </w:r>
    </w:p>
    <w:p w14:paraId="6C65AD8E" w14:textId="77777777" w:rsidR="007B2628" w:rsidRPr="00511005" w:rsidRDefault="00220D3E" w:rsidP="003A292D">
      <w:pPr>
        <w:tabs>
          <w:tab w:val="left" w:pos="0"/>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en-US" w:eastAsia="ru-RU"/>
        </w:rPr>
        <w:t>4th year student of faculty of International and Judicial Law</w:t>
      </w:r>
    </w:p>
    <w:p w14:paraId="627B9652" w14:textId="250C8561"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National University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Odesa Law Academy</w:t>
      </w:r>
      <w:r w:rsidRPr="00511005">
        <w:rPr>
          <w:rFonts w:ascii="Arial" w:eastAsia="Times New Roman" w:hAnsi="Arial" w:cs="Arial"/>
          <w:szCs w:val="28"/>
          <w:lang w:val="uk-UA" w:eastAsia="ru-RU"/>
        </w:rPr>
        <w:t>»</w:t>
      </w:r>
    </w:p>
    <w:p w14:paraId="3A42C42C" w14:textId="77777777" w:rsidR="00220D3E" w:rsidRPr="00511005" w:rsidRDefault="00220D3E" w:rsidP="003A292D">
      <w:pPr>
        <w:tabs>
          <w:tab w:val="left" w:pos="709"/>
        </w:tabs>
        <w:spacing w:line="264" w:lineRule="auto"/>
        <w:jc w:val="left"/>
        <w:rPr>
          <w:rFonts w:ascii="Arial" w:eastAsia="Times New Roman" w:hAnsi="Arial" w:cs="Arial"/>
          <w:szCs w:val="28"/>
          <w:lang w:val="en-US" w:eastAsia="ru-RU"/>
        </w:rPr>
      </w:pPr>
    </w:p>
    <w:p w14:paraId="2E6C938B"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POSITIVE OBLIGATIONS OF THE STATES UNDER THE AMERICAN CONVENTION ON HUMAN RIGHTS</w:t>
      </w:r>
    </w:p>
    <w:p w14:paraId="166500E2"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Positive obligations of states are a key aspect of international human rights law, requiring active measures by the state to ensure the implementation and protection of human rights, in contrast to negative obligations, which require abstention from interference. The American Convention on Human Rights of 1969 establishes a comprehensive system of positive obligations for the States Parties, which has been developed through the jurisprudence of the Inter-American Court of Human Rights (IACtHR) and the Inter-American Commission on Human Rights (IACHR).</w:t>
      </w:r>
    </w:p>
    <w:p w14:paraId="3BDF993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 distinctive feature of the Inter-American system is the historical context in which it was formed. Most countries in the region experienced periods of authoritarian regimes, military dictatorships, and internal armed conflicts during the second half of the 20th century, which were marked by widespread human rights violations. This background influenced the development of the doctrine of positive obligations, with a particular focus on combating impunity and restoring historical justice [1].</w:t>
      </w:r>
    </w:p>
    <w:p w14:paraId="0C05DF40"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The normative basis for positive obligations under the ACHR is found in Article 1(1), which imposes a general duty on States Parties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to respect the rights and freedoms recognized herein and to ensure to all persons subject to their jurisdiction the free and full exercise of those rights and freedoms, without any discrimination.</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Article 2 adds the obligation to adopt legislative or other measures necessary to give effect to the rights and freedoms set forth in the Convention [2].</w:t>
      </w:r>
    </w:p>
    <w:p w14:paraId="58524EE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Let us consider the main categories of positive obligations. The first is the doctrine of due diligence. In its fundamental rulings, the Inter-American Court of </w:t>
      </w:r>
      <w:r w:rsidRPr="00511005">
        <w:rPr>
          <w:rFonts w:ascii="Arial" w:eastAsia="Times New Roman" w:hAnsi="Arial" w:cs="Arial"/>
          <w:szCs w:val="28"/>
          <w:lang w:val="en-US" w:eastAsia="ru-RU"/>
        </w:rPr>
        <w:lastRenderedPageBreak/>
        <w:t xml:space="preserve">Human Rights has established that Article 1(1) of the Convention imposes on States not only the obligation to refrain from violations, but also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the obligation to undertake all reasonable measures to prevent human rights violations, to carry out serious investigations, to identify those responsible, to impose appropriate sanctions, and to ensure adequate reparation to the victim</w:t>
      </w:r>
      <w:r w:rsidRPr="00511005">
        <w:rPr>
          <w:rFonts w:ascii="Arial" w:eastAsia="Times New Roman" w:hAnsi="Arial" w:cs="Arial"/>
          <w:szCs w:val="28"/>
          <w:lang w:val="uk-UA" w:eastAsia="ru-RU"/>
        </w:rPr>
        <w:t>».</w:t>
      </w:r>
    </w:p>
    <w:p w14:paraId="68AAA82C"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An important aspect is the concept of due diligence. States are obliged not only to ensure that their agents do not violate rights, but also to take reasonable steps to prevent, investigate, and punish violations committed by private individuals. A representative example of the application of the due diligence doctrine is the case of </w:t>
      </w:r>
      <w:r w:rsidRPr="00511005">
        <w:rPr>
          <w:rFonts w:ascii="Arial" w:eastAsia="Times New Roman" w:hAnsi="Arial" w:cs="Arial"/>
          <w:i/>
          <w:iCs/>
          <w:szCs w:val="28"/>
          <w:lang w:val="en-US" w:eastAsia="ru-RU"/>
        </w:rPr>
        <w:t>Velásquez Rodríguez v. Honduras</w:t>
      </w:r>
      <w:r w:rsidRPr="00511005">
        <w:rPr>
          <w:rFonts w:ascii="Arial" w:eastAsia="Times New Roman" w:hAnsi="Arial" w:cs="Arial"/>
          <w:szCs w:val="28"/>
          <w:lang w:val="en-US" w:eastAsia="ru-RU"/>
        </w:rPr>
        <w:t xml:space="preserve"> (1988), where the Court held that the State has an obligation to investigate and punish disappearances, even in the absence of direct evidence of involvement by state agents. The Court emphasized that the State’s failure to prevent and investigate such cases makes it responsible for violations of the Convention [3].</w:t>
      </w:r>
    </w:p>
    <w:p w14:paraId="76028429"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Another particular feature of positive obligations under the ACHR is their application not only to civil and political rights, but also to socio-economic ones. Although Article 26 of the Convention only briefly mentions economic, social, and cultural rights, the Inter-American Court has progressively developed an approach whereby States are seen to have positive obligations regarding these rights. The Court has recognized violations of the right to employment stability, as well as rights to water, food, a healthy environment, and cultural identity, demonstrating a trend toward strengthening States’ positive obligations in the socio-economic sphere.</w:t>
      </w:r>
    </w:p>
    <w:p w14:paraId="5995137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Among the key categories of positive obligations, procedural duties to conduct effective investigations into human rights violations are of particular importance. The Inter-American Court of Human Rights has ruled that amnesty laws preventing investigation and punishment for serious human rights violations are incompatible with the Convention. These rulings had a revolutionary impact on combating impunity in the region, leading to the repeal or limitation of amnesty laws in many countries. A concrete example is the case of </w:t>
      </w:r>
      <w:r w:rsidRPr="00511005">
        <w:rPr>
          <w:rFonts w:ascii="Arial" w:eastAsia="Times New Roman" w:hAnsi="Arial" w:cs="Arial"/>
          <w:i/>
          <w:iCs/>
          <w:szCs w:val="28"/>
          <w:lang w:val="en-US" w:eastAsia="ru-RU"/>
        </w:rPr>
        <w:t>Barrios Altos v. Peru</w:t>
      </w:r>
      <w:r w:rsidRPr="00511005">
        <w:rPr>
          <w:rFonts w:ascii="Arial" w:eastAsia="Times New Roman" w:hAnsi="Arial" w:cs="Arial"/>
          <w:szCs w:val="28"/>
          <w:lang w:val="en-US" w:eastAsia="ru-RU"/>
        </w:rPr>
        <w:t xml:space="preserve"> (2001), in which the Court found Peru’s amnesty laws incompatible with the American Convention because they obstructed the investigation of the mass killing of 15 individuals by paramilitary forces. This judgment became a precedent for repealing similar amnesty laws across the region [4].</w:t>
      </w:r>
    </w:p>
    <w:p w14:paraId="47190F74"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An extremely important aspect of positive obligations is the right of victims of serious violations to reparation. The Court has developed a comprehensive approach to reparations that goes beyond traditional compensatory measures. In its judgments, the Court has required states not only to compensate the families of victims but also to adopt structural measures to prevent future violations. These include training law enforcement personnel, creating databases of disappeared persons, constructing memorials, and establishing educational and healthcare support programs for victims and their families.</w:t>
      </w:r>
    </w:p>
    <w:p w14:paraId="2772B0B4"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The Inter-American system has also developed a distinctive approach to positive obligations concerning vulnerable groups. Inter-American human rights bodies have recognized that states have special positive obligations to protect indigenous peoples, particularly their lands and natural resources.</w:t>
      </w:r>
    </w:p>
    <w:p w14:paraId="75F1C1E1"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Inter-American Court of Human Rights emphasizes the obligation of States to delimit, demarcate, and legally recognize the traditional lands of indigenous peoples, as well as to guarantee their right to cultural identity. Regarding freedom of expression, the Court has affirmed the State’s positive obligation to protect journalists from attacks and threats, particularly in politically polarized contexts. Freedom of expression is regarded as a cornerstone of democracy, requiring the creation of conditions for pluralism of opinions, including media pluralism and preventing concentration of media ownership.</w:t>
      </w:r>
    </w:p>
    <w:p w14:paraId="56A7C26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 distinctive feature of the Inter-American system is its significant focus on collective rights. The Court has recognized the collective right of indigenous peoples and tribal communities to property over their traditional lands and natural resources, establishing the positive obligation to obtain the free, prior, and informed consent of the community before granting resource extraction concessions [5].</w:t>
      </w:r>
    </w:p>
    <w:p w14:paraId="7CDAF32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Court has also required States not only to consult with indigenous communities regarding extractive activities on their lands, but to ensure adequate information is provided concerning the environmental and social impacts of such projects.</w:t>
      </w:r>
    </w:p>
    <w:p w14:paraId="76AF801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An important aspect of positive obligations is the duty of States to comply with the Court’s rulings. The Court has underscored that Article 68 of the Convention, which affirms the binding nature of its decisions, includes a positive obligation to take all necessary measures to ensure effective compliance, including legislative changes, institutional reforms, and procedural mechanisms.</w:t>
      </w:r>
    </w:p>
    <w:p w14:paraId="45D24A60"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When comparing the approach to positive obligations in the Inter-American and European systems, both similarities and significant differences can be observed. Both systems recognize that states bear both negative and positive obligations. However, the Inter-American system demonstrates a more progressive and expansive approach, particularly regarding collective rights, the rights of indigenous peoples, and reparations [6].</w:t>
      </w:r>
    </w:p>
    <w:p w14:paraId="2F7C1221"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Inter-American Court of Human Rights is more inclined to prescribe specific measures for states, including structural reforms, while the European Court of Human Rights generally allows states greater discretion in determining how to implement its judgments.</w:t>
      </w:r>
    </w:p>
    <w:p w14:paraId="45D039E1"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A continuing challenge for the Inter-American system is the effective enforcement of the Court’s rulings, especially those addressing structural problems requiring substantial legislative and institutional reforms. Some states, such as Venezuela and previously Trinidad and Tobago, have even denounced </w:t>
      </w:r>
      <w:r w:rsidRPr="00511005">
        <w:rPr>
          <w:rFonts w:ascii="Arial" w:eastAsia="Times New Roman" w:hAnsi="Arial" w:cs="Arial"/>
          <w:szCs w:val="28"/>
          <w:lang w:val="en-US" w:eastAsia="ru-RU"/>
        </w:rPr>
        <w:lastRenderedPageBreak/>
        <w:t>the American Convention on Human Rights or withdrawn from the Court’s jurisdiction in protest against its expansive interpretation of the Convention.</w:t>
      </w:r>
    </w:p>
    <w:p w14:paraId="604947ED"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Despite these challenges, the doctrine of positive obligations in the Inter-American system continues to evolve and influence national human rights protection systems in the region. This is especially true in the context of combating impunity for serious violations, protecting vulnerable groups, and ensuring effective legal remedies for victims.</w:t>
      </w:r>
    </w:p>
    <w:p w14:paraId="76592B1B"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Given the ongoing human rights issues in Latin America — including high levels of violence, corruption, inequality, and social marginalization — the doctrine of positive obligations provides a crucial tool for advancing structural change. Its future development will likely focus on strengthening the protection of socio-economic rights, addressing discrimination and gender-based violence, and adapting to new challenges such as climate change and digital technologies.</w:t>
      </w:r>
    </w:p>
    <w:p w14:paraId="55D7AD1C" w14:textId="77777777" w:rsidR="00220D3E" w:rsidRPr="00511005" w:rsidRDefault="00220D3E" w:rsidP="003A292D">
      <w:pPr>
        <w:tabs>
          <w:tab w:val="left" w:pos="709"/>
        </w:tabs>
        <w:spacing w:line="264" w:lineRule="auto"/>
        <w:jc w:val="left"/>
        <w:rPr>
          <w:rFonts w:ascii="Arial" w:eastAsia="Times New Roman" w:hAnsi="Arial" w:cs="Arial"/>
          <w:szCs w:val="28"/>
          <w:lang w:val="en-US" w:eastAsia="ru-RU"/>
        </w:rPr>
      </w:pPr>
    </w:p>
    <w:p w14:paraId="4E18E037"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References</w:t>
      </w:r>
    </w:p>
    <w:p w14:paraId="2B5E7E0A"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1. Engstrom, P. (2021). The Inter-American Human Rights System: Impact Beyond Compliance. Cambridge University Press, p. 45-48. URL: </w:t>
      </w:r>
      <w:hyperlink r:id="rId519" w:history="1">
        <w:r w:rsidRPr="00511005">
          <w:rPr>
            <w:rFonts w:ascii="Arial" w:eastAsia="Times New Roman" w:hAnsi="Arial" w:cs="Arial"/>
            <w:szCs w:val="28"/>
            <w:lang w:val="en-US" w:eastAsia="ru-RU"/>
          </w:rPr>
          <w:t>https://www.researchgate.net/publication/323175169_Inter-American_Human_Rights_System_Impact_Beyond_Compliance</w:t>
        </w:r>
      </w:hyperlink>
      <w:r w:rsidRPr="00511005">
        <w:rPr>
          <w:rFonts w:ascii="Arial" w:eastAsia="Times New Roman" w:hAnsi="Arial" w:cs="Arial"/>
          <w:szCs w:val="28"/>
          <w:lang w:val="en-US" w:eastAsia="ru-RU"/>
        </w:rPr>
        <w:t xml:space="preserve"> </w:t>
      </w:r>
    </w:p>
    <w:p w14:paraId="63161A3A" w14:textId="77777777" w:rsidR="00220D3E" w:rsidRPr="00511005" w:rsidRDefault="00220D3E" w:rsidP="003A292D">
      <w:pPr>
        <w:tabs>
          <w:tab w:val="left" w:pos="709"/>
        </w:tabs>
        <w:spacing w:line="264" w:lineRule="auto"/>
        <w:rPr>
          <w:rFonts w:ascii="Arial" w:eastAsia="Times New Roman" w:hAnsi="Arial" w:cs="Arial"/>
          <w:b/>
          <w:bCs/>
          <w:szCs w:val="28"/>
          <w:lang w:val="en-US" w:eastAsia="ru-RU"/>
        </w:rPr>
      </w:pPr>
      <w:r w:rsidRPr="00511005">
        <w:rPr>
          <w:rFonts w:ascii="Arial" w:eastAsia="Times New Roman" w:hAnsi="Arial" w:cs="Arial"/>
          <w:szCs w:val="28"/>
          <w:lang w:val="en-US" w:eastAsia="ru-RU"/>
        </w:rPr>
        <w:t xml:space="preserve">2. American Convention on Human Rights, "Pact of San Jose", Costa Rica. 1989. </w:t>
      </w:r>
    </w:p>
    <w:p w14:paraId="61F8FFAE"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URL: </w:t>
      </w:r>
      <w:hyperlink r:id="rId520" w:history="1">
        <w:r w:rsidRPr="00511005">
          <w:rPr>
            <w:rFonts w:ascii="Arial" w:eastAsia="Times New Roman" w:hAnsi="Arial" w:cs="Arial"/>
            <w:szCs w:val="28"/>
            <w:lang w:val="en-US" w:eastAsia="ru-RU"/>
          </w:rPr>
          <w:t>https://www.refworld.org/legal/agreements/oas/1969/en/20081</w:t>
        </w:r>
      </w:hyperlink>
      <w:r w:rsidRPr="00511005">
        <w:rPr>
          <w:rFonts w:ascii="Arial" w:eastAsia="Times New Roman" w:hAnsi="Arial" w:cs="Arial"/>
          <w:szCs w:val="28"/>
          <w:lang w:val="en-US" w:eastAsia="ru-RU"/>
        </w:rPr>
        <w:t xml:space="preserve"> (accessed: 04.05.2025)</w:t>
      </w:r>
    </w:p>
    <w:p w14:paraId="2875A388" w14:textId="05A97C58"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3. Inter-American Court of Human Rights (1988). </w:t>
      </w:r>
      <w:r w:rsidRPr="00511005">
        <w:rPr>
          <w:rFonts w:ascii="Arial" w:eastAsia="Times New Roman" w:hAnsi="Arial" w:cs="Arial"/>
          <w:i/>
          <w:iCs/>
          <w:szCs w:val="28"/>
          <w:lang w:val="en-US" w:eastAsia="ru-RU"/>
        </w:rPr>
        <w:t>Velásquez Rodríguez v. Honduras</w:t>
      </w:r>
      <w:r w:rsidRPr="00511005">
        <w:rPr>
          <w:rFonts w:ascii="Arial" w:eastAsia="Times New Roman" w:hAnsi="Arial" w:cs="Arial"/>
          <w:szCs w:val="28"/>
          <w:lang w:val="en-US" w:eastAsia="ru-RU"/>
        </w:rPr>
        <w:t>. Judgment of July 29, 1988. URL:</w:t>
      </w:r>
      <w:r w:rsidR="007B2628" w:rsidRPr="00511005">
        <w:rPr>
          <w:rFonts w:ascii="Arial" w:eastAsia="Times New Roman" w:hAnsi="Arial" w:cs="Arial"/>
          <w:szCs w:val="28"/>
          <w:lang w:val="en-US" w:eastAsia="ru-RU"/>
        </w:rPr>
        <w:t xml:space="preserve"> </w:t>
      </w:r>
      <w:hyperlink r:id="rId521" w:history="1">
        <w:r w:rsidRPr="00511005">
          <w:rPr>
            <w:rFonts w:ascii="Arial" w:eastAsia="Times New Roman" w:hAnsi="Arial" w:cs="Arial"/>
            <w:szCs w:val="28"/>
            <w:lang w:val="en-US" w:eastAsia="ru-RU"/>
          </w:rPr>
          <w:t>https://www.corteidh.or.cr/docs/casos/articulos/seriec_04_ing.pdf</w:t>
        </w:r>
      </w:hyperlink>
      <w:r w:rsidRPr="00511005">
        <w:rPr>
          <w:rFonts w:ascii="Arial" w:eastAsia="Times New Roman" w:hAnsi="Arial" w:cs="Arial"/>
          <w:szCs w:val="28"/>
          <w:lang w:val="en-US" w:eastAsia="ru-RU"/>
        </w:rPr>
        <w:t xml:space="preserve"> (accessed: 04.05.2025).</w:t>
      </w:r>
    </w:p>
    <w:p w14:paraId="440F72C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4. Inter-American Court of Human Rights (2001). </w:t>
      </w:r>
      <w:r w:rsidRPr="00511005">
        <w:rPr>
          <w:rFonts w:ascii="Arial" w:eastAsia="Times New Roman" w:hAnsi="Arial" w:cs="Arial"/>
          <w:i/>
          <w:iCs/>
          <w:szCs w:val="28"/>
          <w:lang w:val="en-US" w:eastAsia="ru-RU"/>
        </w:rPr>
        <w:t>Barrios Altos v. Peru</w:t>
      </w:r>
      <w:r w:rsidRPr="00511005">
        <w:rPr>
          <w:rFonts w:ascii="Arial" w:eastAsia="Times New Roman" w:hAnsi="Arial" w:cs="Arial"/>
          <w:szCs w:val="28"/>
          <w:lang w:val="en-US" w:eastAsia="ru-RU"/>
        </w:rPr>
        <w:t xml:space="preserve">. Judgment of March 14, 2001. URL: </w:t>
      </w:r>
      <w:hyperlink r:id="rId522" w:history="1">
        <w:r w:rsidRPr="00511005">
          <w:rPr>
            <w:rFonts w:ascii="Arial" w:eastAsia="Times New Roman" w:hAnsi="Arial" w:cs="Arial"/>
            <w:szCs w:val="28"/>
            <w:lang w:val="en-US" w:eastAsia="ru-RU"/>
          </w:rPr>
          <w:t>https://www.corteidh.or.cr/docs/casos/articulos/seriec_75_ing.pdf</w:t>
        </w:r>
      </w:hyperlink>
      <w:bookmarkStart w:id="54" w:name="_Hlk197461986"/>
      <w:r w:rsidRPr="00511005">
        <w:rPr>
          <w:rFonts w:ascii="Arial" w:eastAsia="Times New Roman" w:hAnsi="Arial" w:cs="Arial"/>
          <w:szCs w:val="28"/>
          <w:lang w:val="en-US" w:eastAsia="ru-RU"/>
        </w:rPr>
        <w:t xml:space="preserve"> (accessed: 04.05.2025) </w:t>
      </w:r>
    </w:p>
    <w:bookmarkEnd w:id="54"/>
    <w:p w14:paraId="1FB2CBA8" w14:textId="77777777" w:rsidR="00220D3E" w:rsidRPr="00511005" w:rsidRDefault="00220D3E" w:rsidP="003A292D">
      <w:pPr>
        <w:tabs>
          <w:tab w:val="left" w:pos="709"/>
        </w:tabs>
        <w:spacing w:line="264" w:lineRule="auto"/>
        <w:rPr>
          <w:rFonts w:ascii="Arial" w:eastAsia="Times New Roman" w:hAnsi="Arial" w:cs="Arial"/>
          <w:szCs w:val="28"/>
          <w:lang w:val="pl-PL" w:eastAsia="ru-RU"/>
        </w:rPr>
      </w:pPr>
      <w:r w:rsidRPr="00511005">
        <w:rPr>
          <w:rFonts w:ascii="Arial" w:eastAsia="Times New Roman" w:hAnsi="Arial" w:cs="Arial"/>
          <w:szCs w:val="28"/>
          <w:lang w:val="en-US" w:eastAsia="ru-RU"/>
        </w:rPr>
        <w:t xml:space="preserve">5. Khrystova, H. O. "The Doctrine of States’ Positive Obligations Regarding Human Rights: Key Stages of Development" / H. O. Khrystova // State Building and Local Self-Government. – 2013. – Issue 26. – P. 16–32. </w:t>
      </w:r>
      <w:r w:rsidRPr="00511005">
        <w:rPr>
          <w:rFonts w:ascii="Arial" w:eastAsia="Times New Roman" w:hAnsi="Arial" w:cs="Arial"/>
          <w:szCs w:val="28"/>
          <w:lang w:val="pl-PL" w:eastAsia="ru-RU"/>
        </w:rPr>
        <w:t xml:space="preserve">URL: </w:t>
      </w:r>
      <w:hyperlink r:id="rId523" w:history="1">
        <w:r w:rsidRPr="00511005">
          <w:rPr>
            <w:rFonts w:ascii="Arial" w:eastAsia="Times New Roman" w:hAnsi="Arial" w:cs="Arial"/>
            <w:szCs w:val="28"/>
            <w:lang w:val="pl-PL" w:eastAsia="ru-RU"/>
          </w:rPr>
          <w:t>https://www.researchgate.net/publication/334753331_Doktrina_pozitivnih_zobov'azan_derzavi_u_sferi_prav_ludini_osnovni_aspekti_rozuminna</w:t>
        </w:r>
      </w:hyperlink>
      <w:r w:rsidRPr="00511005">
        <w:rPr>
          <w:rFonts w:ascii="Arial" w:eastAsia="Times New Roman" w:hAnsi="Arial" w:cs="Arial"/>
          <w:szCs w:val="28"/>
          <w:lang w:val="pl-PL" w:eastAsia="ru-RU"/>
        </w:rPr>
        <w:t xml:space="preserve"> </w:t>
      </w:r>
    </w:p>
    <w:p w14:paraId="293BA893" w14:textId="77777777" w:rsidR="00220D3E" w:rsidRPr="00511005" w:rsidRDefault="00220D3E" w:rsidP="003A292D">
      <w:pPr>
        <w:tabs>
          <w:tab w:val="left" w:pos="709"/>
        </w:tabs>
        <w:spacing w:line="264" w:lineRule="auto"/>
        <w:rPr>
          <w:rFonts w:ascii="Arial" w:eastAsia="Times New Roman" w:hAnsi="Arial" w:cs="Arial"/>
          <w:szCs w:val="28"/>
          <w:lang w:val="pl-PL" w:eastAsia="ru-RU"/>
        </w:rPr>
      </w:pPr>
      <w:r w:rsidRPr="00511005">
        <w:rPr>
          <w:rFonts w:ascii="Arial" w:eastAsia="Times New Roman" w:hAnsi="Arial" w:cs="Arial"/>
          <w:szCs w:val="28"/>
          <w:lang w:val="en-US" w:eastAsia="ru-RU"/>
        </w:rPr>
        <w:t xml:space="preserve">6. Basch, Fernando F. The Doctrine of the Inter-American Court of Human Rights Regarding States' Duty to Punish Human Rights Violations and Its Dangers. </w:t>
      </w:r>
      <w:r w:rsidRPr="00511005">
        <w:rPr>
          <w:rFonts w:ascii="Arial" w:eastAsia="Times New Roman" w:hAnsi="Arial" w:cs="Arial"/>
          <w:szCs w:val="28"/>
          <w:lang w:val="pl-PL" w:eastAsia="ru-RU"/>
        </w:rPr>
        <w:t xml:space="preserve">2007. URL: </w:t>
      </w:r>
      <w:hyperlink r:id="rId524" w:history="1">
        <w:r w:rsidRPr="00511005">
          <w:rPr>
            <w:rFonts w:ascii="Arial" w:eastAsia="Times New Roman" w:hAnsi="Arial" w:cs="Arial"/>
            <w:szCs w:val="28"/>
            <w:lang w:val="pl-PL" w:eastAsia="ru-RU"/>
          </w:rPr>
          <w:t>https://www.academia.edu/4211406/The_Doctrine_of_the_Inter_American_Court_of_Human_Rights_Regarding_States_Duty_to_Punish_Human_Rights_Violations_and_Its_Dangers</w:t>
        </w:r>
      </w:hyperlink>
      <w:r w:rsidRPr="00511005">
        <w:rPr>
          <w:rFonts w:ascii="Arial" w:eastAsia="Times New Roman" w:hAnsi="Arial" w:cs="Arial"/>
          <w:szCs w:val="28"/>
          <w:lang w:val="pl-PL" w:eastAsia="ru-RU"/>
        </w:rPr>
        <w:t xml:space="preserve"> </w:t>
      </w:r>
    </w:p>
    <w:p w14:paraId="70BEE03F" w14:textId="77777777" w:rsidR="00220D3E" w:rsidRPr="00511005" w:rsidRDefault="00220D3E" w:rsidP="003A292D">
      <w:pPr>
        <w:tabs>
          <w:tab w:val="left" w:pos="709"/>
        </w:tabs>
        <w:spacing w:line="264" w:lineRule="auto"/>
        <w:jc w:val="left"/>
        <w:rPr>
          <w:rFonts w:ascii="Arial" w:eastAsia="Times New Roman" w:hAnsi="Arial" w:cs="Arial"/>
          <w:szCs w:val="28"/>
          <w:lang w:val="pl-PL" w:eastAsia="ru-RU"/>
        </w:rPr>
      </w:pPr>
    </w:p>
    <w:p w14:paraId="4C9FB82A" w14:textId="45FD3D8D" w:rsidR="007B2628"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eastAsia="ru-RU"/>
        </w:rPr>
        <w:t>Ключові</w:t>
      </w:r>
      <w:r w:rsidRPr="00055389">
        <w:rPr>
          <w:rFonts w:ascii="Arial" w:eastAsia="Times New Roman" w:hAnsi="Arial" w:cs="Arial"/>
          <w:b/>
          <w:bCs/>
          <w:i/>
          <w:szCs w:val="28"/>
          <w:lang w:val="pl-PL" w:eastAsia="ru-RU"/>
        </w:rPr>
        <w:t xml:space="preserve"> </w:t>
      </w:r>
      <w:r w:rsidRPr="00511005">
        <w:rPr>
          <w:rFonts w:ascii="Arial" w:eastAsia="Times New Roman" w:hAnsi="Arial" w:cs="Arial"/>
          <w:b/>
          <w:bCs/>
          <w:i/>
          <w:szCs w:val="28"/>
          <w:lang w:eastAsia="ru-RU"/>
        </w:rPr>
        <w:t>слова</w:t>
      </w:r>
      <w:r w:rsidRPr="00055389">
        <w:rPr>
          <w:rFonts w:ascii="Arial" w:eastAsia="Times New Roman" w:hAnsi="Arial" w:cs="Arial"/>
          <w:b/>
          <w:bCs/>
          <w:i/>
          <w:szCs w:val="28"/>
          <w:lang w:val="pl-PL" w:eastAsia="ru-RU"/>
        </w:rPr>
        <w:t xml:space="preserve">: </w:t>
      </w:r>
      <w:r w:rsidR="00220D3E" w:rsidRPr="00511005">
        <w:rPr>
          <w:rFonts w:ascii="Arial" w:eastAsia="Times New Roman" w:hAnsi="Arial" w:cs="Arial"/>
          <w:szCs w:val="28"/>
          <w:lang w:eastAsia="ru-RU"/>
        </w:rPr>
        <w:t>позитивні</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зобов</w:t>
      </w:r>
      <w:r w:rsidR="00220D3E" w:rsidRPr="00511005">
        <w:rPr>
          <w:rFonts w:ascii="Arial" w:eastAsia="Times New Roman" w:hAnsi="Arial" w:cs="Arial"/>
          <w:szCs w:val="28"/>
          <w:lang w:val="pl-PL" w:eastAsia="ru-RU"/>
        </w:rPr>
        <w:t>'</w:t>
      </w:r>
      <w:r w:rsidR="00220D3E" w:rsidRPr="00511005">
        <w:rPr>
          <w:rFonts w:ascii="Arial" w:eastAsia="Times New Roman" w:hAnsi="Arial" w:cs="Arial"/>
          <w:szCs w:val="28"/>
          <w:lang w:eastAsia="ru-RU"/>
        </w:rPr>
        <w:t>язання</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Міжамериканський</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суд</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з</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прав</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людини</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права</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людини</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зобов</w:t>
      </w:r>
      <w:r w:rsidR="00220D3E" w:rsidRPr="00511005">
        <w:rPr>
          <w:rFonts w:ascii="Arial" w:eastAsia="Times New Roman" w:hAnsi="Arial" w:cs="Arial"/>
          <w:szCs w:val="28"/>
          <w:lang w:val="pl-PL" w:eastAsia="ru-RU"/>
        </w:rPr>
        <w:t>'</w:t>
      </w:r>
      <w:r w:rsidR="00220D3E" w:rsidRPr="00511005">
        <w:rPr>
          <w:rFonts w:ascii="Arial" w:eastAsia="Times New Roman" w:hAnsi="Arial" w:cs="Arial"/>
          <w:szCs w:val="28"/>
          <w:lang w:eastAsia="ru-RU"/>
        </w:rPr>
        <w:t>язання</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держав</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міжнародне</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гуманітарне</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право</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судова</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практика</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Міжамериканської</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системи</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ефективне</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розслідування</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імплементація</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міжнародних</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стандартів</w:t>
      </w:r>
      <w:r w:rsidR="00220D3E" w:rsidRPr="00511005">
        <w:rPr>
          <w:rFonts w:ascii="Arial" w:eastAsia="Times New Roman" w:hAnsi="Arial" w:cs="Arial"/>
          <w:szCs w:val="28"/>
          <w:lang w:val="uk-UA" w:eastAsia="ru-RU"/>
        </w:rPr>
        <w:t>.</w:t>
      </w:r>
    </w:p>
    <w:p w14:paraId="582CD1D3" w14:textId="11675EBC"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positive obligations, Inter-American Court of Human Rights, human rights, state obligations, international humanitarian law, jurisprudence of the Inter-American system, effective investigation, implementation of international standards</w:t>
      </w:r>
      <w:r w:rsidR="00220D3E" w:rsidRPr="00511005">
        <w:rPr>
          <w:rFonts w:ascii="Arial" w:eastAsia="Times New Roman" w:hAnsi="Arial" w:cs="Arial"/>
          <w:szCs w:val="28"/>
          <w:lang w:val="uk-UA" w:eastAsia="ru-RU"/>
        </w:rPr>
        <w:t>.</w:t>
      </w:r>
    </w:p>
    <w:p w14:paraId="4A7A6138" w14:textId="48C91EA0" w:rsidR="00220D3E" w:rsidRPr="00511005" w:rsidRDefault="006C2EDA" w:rsidP="003A292D">
      <w:pPr>
        <w:tabs>
          <w:tab w:val="left" w:pos="709"/>
        </w:tabs>
        <w:spacing w:line="264" w:lineRule="auto"/>
        <w:jc w:val="left"/>
        <w:rPr>
          <w:rFonts w:ascii="Arial" w:eastAsia="Times New Roman" w:hAnsi="Arial" w:cs="Arial"/>
          <w:i/>
          <w:iCs/>
          <w:szCs w:val="28"/>
          <w:lang w:val="uk-UA"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Times New Roman" w:hAnsi="Arial" w:cs="Arial"/>
          <w:i/>
          <w:iCs/>
          <w:szCs w:val="28"/>
          <w:lang w:val="en-US" w:eastAsia="ru-RU"/>
        </w:rPr>
        <w:t>PhD in Law, Associate Professor Dronov V.</w:t>
      </w:r>
    </w:p>
    <w:p w14:paraId="53F08BD1" w14:textId="77777777" w:rsidR="00220D3E" w:rsidRPr="00511005" w:rsidRDefault="00220D3E" w:rsidP="003A292D">
      <w:pPr>
        <w:tabs>
          <w:tab w:val="left" w:pos="709"/>
        </w:tabs>
        <w:spacing w:line="264" w:lineRule="auto"/>
        <w:jc w:val="left"/>
        <w:rPr>
          <w:rFonts w:ascii="Arial" w:eastAsia="Times New Roman" w:hAnsi="Arial" w:cs="Arial"/>
          <w:i/>
          <w:iCs/>
          <w:szCs w:val="28"/>
          <w:lang w:val="uk-UA" w:eastAsia="ru-RU"/>
        </w:rPr>
      </w:pPr>
    </w:p>
    <w:p w14:paraId="3CB7CB81" w14:textId="2F25DB69" w:rsidR="00220D3E" w:rsidRPr="006C2EDA" w:rsidRDefault="00220D3E" w:rsidP="003A292D">
      <w:pPr>
        <w:tabs>
          <w:tab w:val="left" w:pos="709"/>
        </w:tabs>
        <w:spacing w:line="264" w:lineRule="auto"/>
        <w:jc w:val="center"/>
        <w:rPr>
          <w:rFonts w:ascii="Arial" w:eastAsia="Times New Roman" w:hAnsi="Arial" w:cs="Arial"/>
          <w:b/>
          <w:i/>
          <w:iCs/>
          <w:szCs w:val="28"/>
          <w:lang w:val="en-US" w:eastAsia="ru-RU"/>
        </w:rPr>
      </w:pPr>
      <w:r w:rsidRPr="006C2EDA">
        <w:rPr>
          <w:rFonts w:ascii="Arial" w:eastAsia="Times New Roman" w:hAnsi="Arial" w:cs="Arial"/>
          <w:b/>
          <w:i/>
          <w:iCs/>
          <w:szCs w:val="28"/>
          <w:lang w:val="en-US" w:eastAsia="ru-RU"/>
        </w:rPr>
        <w:t>Mokhammad Zhuak,</w:t>
      </w:r>
      <w:r w:rsidR="00146592" w:rsidRPr="006C2EDA">
        <w:rPr>
          <w:rFonts w:ascii="Arial" w:eastAsia="Times New Roman" w:hAnsi="Arial" w:cs="Arial"/>
          <w:b/>
          <w:i/>
          <w:iCs/>
          <w:szCs w:val="28"/>
          <w:lang w:val="uk-UA" w:eastAsia="ru-RU"/>
        </w:rPr>
        <w:t xml:space="preserve"> </w:t>
      </w:r>
      <w:r w:rsidRPr="006C2EDA">
        <w:rPr>
          <w:rFonts w:ascii="Arial" w:eastAsia="Times New Roman" w:hAnsi="Arial" w:cs="Arial"/>
          <w:b/>
          <w:i/>
          <w:iCs/>
          <w:szCs w:val="28"/>
          <w:lang w:val="en-US" w:eastAsia="ru-RU"/>
        </w:rPr>
        <w:t>Naida Kyrylo</w:t>
      </w:r>
    </w:p>
    <w:p w14:paraId="7206E888" w14:textId="77777777" w:rsidR="00220D3E" w:rsidRPr="00511005" w:rsidRDefault="00220D3E" w:rsidP="003A292D">
      <w:pPr>
        <w:tabs>
          <w:tab w:val="left" w:pos="709"/>
        </w:tabs>
        <w:spacing w:line="264" w:lineRule="auto"/>
        <w:jc w:val="center"/>
        <w:rPr>
          <w:rFonts w:ascii="Arial" w:eastAsia="Times New Roman" w:hAnsi="Arial" w:cs="Arial"/>
          <w:szCs w:val="28"/>
          <w:lang w:val="en-US" w:eastAsia="ru-RU"/>
        </w:rPr>
      </w:pPr>
      <w:r w:rsidRPr="00511005">
        <w:rPr>
          <w:rFonts w:ascii="Arial" w:eastAsia="Times New Roman" w:hAnsi="Arial" w:cs="Arial"/>
          <w:szCs w:val="28"/>
          <w:lang w:val="en-US" w:eastAsia="ru-RU"/>
        </w:rPr>
        <w:t>4th year students of the Faculty of Judicial and International Law</w:t>
      </w:r>
    </w:p>
    <w:p w14:paraId="0E138CFD"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szCs w:val="28"/>
          <w:lang w:val="en-US" w:eastAsia="ru-RU"/>
        </w:rPr>
        <w:t xml:space="preserve">National University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Odesa Law Academy</w:t>
      </w:r>
      <w:r w:rsidRPr="00511005">
        <w:rPr>
          <w:rFonts w:ascii="Arial" w:eastAsia="Times New Roman" w:hAnsi="Arial" w:cs="Arial"/>
          <w:szCs w:val="28"/>
          <w:lang w:val="uk-UA" w:eastAsia="ru-RU"/>
        </w:rPr>
        <w:t>»</w:t>
      </w:r>
    </w:p>
    <w:p w14:paraId="1F1488D3" w14:textId="77777777" w:rsidR="00220D3E" w:rsidRPr="00511005" w:rsidRDefault="00220D3E" w:rsidP="003A292D">
      <w:pPr>
        <w:tabs>
          <w:tab w:val="left" w:pos="709"/>
        </w:tabs>
        <w:spacing w:line="264" w:lineRule="auto"/>
        <w:rPr>
          <w:rFonts w:ascii="Arial" w:eastAsia="Times New Roman" w:hAnsi="Arial" w:cs="Arial"/>
          <w:b/>
          <w:szCs w:val="28"/>
          <w:lang w:val="en-US" w:eastAsia="ru-RU"/>
        </w:rPr>
      </w:pPr>
    </w:p>
    <w:p w14:paraId="71D1C1FE" w14:textId="77777777" w:rsidR="00220D3E" w:rsidRPr="00511005" w:rsidRDefault="00220D3E" w:rsidP="003A292D">
      <w:pPr>
        <w:tabs>
          <w:tab w:val="left" w:pos="709"/>
        </w:tabs>
        <w:spacing w:line="264" w:lineRule="auto"/>
        <w:jc w:val="center"/>
        <w:rPr>
          <w:rFonts w:ascii="Arial" w:eastAsia="Times New Roman" w:hAnsi="Arial" w:cs="Arial"/>
          <w:b/>
          <w:szCs w:val="28"/>
          <w:lang w:val="en-US" w:eastAsia="ru-RU"/>
        </w:rPr>
      </w:pPr>
      <w:r w:rsidRPr="00511005">
        <w:rPr>
          <w:rFonts w:ascii="Arial" w:eastAsia="Times New Roman" w:hAnsi="Arial" w:cs="Arial"/>
          <w:b/>
          <w:szCs w:val="28"/>
          <w:lang w:val="en-US" w:eastAsia="ru-RU"/>
        </w:rPr>
        <w:t>THE ROLE OF THE UN IN ENVIROMENTAL LAW</w:t>
      </w:r>
    </w:p>
    <w:p w14:paraId="170C2815"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Since the late 20th century, the United Nations has led global environmental law. Landmark UN conferences (Stockholm 1972, Rio 1992, etc.) have produced treaties addressing pollution, biodiversity and climate. For example, at the 1992 Rio Earth Summit, the Framework Convention on Climate Change (hereinafter - UNFCCC) was opened for signature, along with sister agreements on biodiversity and land degradation [1]. The UNFCCC (entered into force in 1994) was the first international treaty to address climate change directly, and it established an annual Conference of the Parties (COP) as a forum for negotiations. The Kyoto Protocol (1997/2005) and the Paris Agreement (2015) were later adopted. Each is a binding UN treaty that requires signatories to meet agreed climate targets, and progress is reviewed at COP meetings. Despite this legal framework, global CO2 emissions and concentrations continue to rise. As one analysis notes, even after Kyoto and Paris, "countries have agreed to reduce emissions, but the amount of carbon dioxide in the atmosphere continues to rise... warming the Earth at an alarming rate," with catastrophic extreme events (fires, floods, droughts) [4].</w:t>
      </w:r>
    </w:p>
    <w:p w14:paraId="486A7C61"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The UNFCCC laid the groundwork by codifying the goal of stabilizing greenhouse gases and initiating the COP process and enshrined the principle of "Common but Differentiated Responsibilities", meaning that industrialized countries bore the first obligations, while developing countries were initially exempt. For example, the Kyoto Protocol set binding targets for developed countries to reduce emissions by about 5.2% below 1990 levels over the period 2008–2012.</w:t>
      </w:r>
    </w:p>
    <w:p w14:paraId="38326B68"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The Paris Agreement expanded participation to all countries. It requires each country to submit a nationally determined contribution and pursue a temperature goal of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well below 2°C</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and to strive for 1.5°C above pre-industrial </w:t>
      </w:r>
      <w:r w:rsidRPr="00511005">
        <w:rPr>
          <w:rFonts w:ascii="Arial" w:eastAsia="Times New Roman" w:hAnsi="Arial" w:cs="Arial"/>
          <w:szCs w:val="28"/>
          <w:lang w:val="en-US" w:eastAsia="ru-RU"/>
        </w:rPr>
        <w:lastRenderedPageBreak/>
        <w:t xml:space="preserve">levels. Paris also formalized a 5-year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global stocktaking” to assess each COP’s collective progress. The UN has built a comprehensive framework: COP forums constantly discuss rules and update targets. These UN instruments have shaped global climate policy and norms, but there are shortcomings that highlight structural problems in international law. UN climate agreements have no supranational enforcement body; they rely on state consent and domestic implementation. Kyoto’s enforcement arm can declare non-compliance and apply limited penalties, but many countries have nevertheless fallen behind. Paris went a step further by removing any binding targets – it only requires parties to report emissions. Countries that do not meet their criteria face no international penalty, other than a review meeting with technical experts [2].</w:t>
      </w:r>
    </w:p>
    <w:p w14:paraId="014F4A47"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Financial and equity issues compound these problems. Developing countries argue that without guaranteed support, they cannot implement expensive mitigation or adaptation measures. Yet climate finance from rich countries is often delayed or partial. For example, reports note that adaptation finance is growing, but still only accounts for about 5% of total climate flows (down from 7%). Moreover, the funding is unevenly distributed: hard-hit regions such as Africa receive a tiny share (20%) of global adaptation finance, far below their needs. Similarly, the new Loss and Damage Fund (L&amp;D Fund), long sought by vulnerable states, has only started with ~$429 million in pledges by COP28 – a drop in the bucket compared to the ~$400 billion per year that developing countries estimate they need. Where the UN framework calls for financial assistance, resources have not materialized at scale. This deficit undermines trust and enforcement: why should developing countries bear costs they cannot afford when rich states fail to keep their promises? Thus, accountability falters not only in law but also in practice [3].</w:t>
      </w:r>
    </w:p>
    <w:p w14:paraId="59E142E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The United Nations has undoubtedly built the framework of modern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environmental law</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creating binding treaties and ongoing negotiations to address climate change. These instruments have set global norms, mobilized finance, and set targets for the clean energy transition. But they have also revealed the limits of voluntary diplomacy. Compliance remains largely voluntary or unenforced; financial commitments remain unfulfilled; and powerful industry players continue to influence outcomes.</w:t>
      </w:r>
    </w:p>
    <w:p w14:paraId="31D1AD0F"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53E8DC69" w14:textId="77777777" w:rsidR="00220D3E" w:rsidRPr="00511005" w:rsidRDefault="00220D3E" w:rsidP="003A292D">
      <w:pPr>
        <w:tabs>
          <w:tab w:val="left" w:pos="709"/>
        </w:tabs>
        <w:spacing w:line="264" w:lineRule="auto"/>
        <w:jc w:val="center"/>
        <w:rPr>
          <w:rFonts w:ascii="Arial" w:eastAsia="Times New Roman" w:hAnsi="Arial" w:cs="Arial"/>
          <w:b/>
          <w:szCs w:val="28"/>
          <w:lang w:val="en-US" w:eastAsia="ru-RU"/>
        </w:rPr>
      </w:pPr>
      <w:r w:rsidRPr="00511005">
        <w:rPr>
          <w:rFonts w:ascii="Arial" w:eastAsia="Times New Roman" w:hAnsi="Arial" w:cs="Arial"/>
          <w:b/>
          <w:szCs w:val="28"/>
          <w:lang w:val="en-US" w:eastAsia="ru-RU"/>
        </w:rPr>
        <w:t>References</w:t>
      </w:r>
    </w:p>
    <w:p w14:paraId="275C7852"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1. UN Climate Talks. URL: </w:t>
      </w:r>
      <w:hyperlink r:id="rId525">
        <w:r w:rsidRPr="00511005">
          <w:rPr>
            <w:rFonts w:ascii="Arial" w:eastAsia="Times New Roman" w:hAnsi="Arial" w:cs="Arial"/>
            <w:szCs w:val="28"/>
            <w:lang w:val="en-US" w:eastAsia="ru-RU"/>
          </w:rPr>
          <w:t>https://www.cfr.org/timeline/un-climate-talks</w:t>
        </w:r>
      </w:hyperlink>
      <w:r w:rsidRPr="00511005">
        <w:rPr>
          <w:rFonts w:ascii="Arial" w:eastAsia="Times New Roman" w:hAnsi="Arial" w:cs="Arial"/>
          <w:szCs w:val="28"/>
          <w:lang w:val="en-US" w:eastAsia="ru-RU"/>
        </w:rPr>
        <w:t xml:space="preserve"> (accessed May 5, 2025)</w:t>
      </w:r>
    </w:p>
    <w:p w14:paraId="2180A2E7"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2. The Kyoto Protocol. 1997. URL: https://unfccc.int/resource/docs/convkp/kpeng.pdf (Accessed May 5, 2025)</w:t>
      </w:r>
    </w:p>
    <w:p w14:paraId="5EF64BD6" w14:textId="61B8FB61"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t>3. The Paris Agreement. 2015. URL:</w:t>
      </w:r>
      <w:r w:rsidR="007B2628" w:rsidRPr="00511005">
        <w:rPr>
          <w:rFonts w:ascii="Arial" w:eastAsia="Times New Roman" w:hAnsi="Arial" w:cs="Arial"/>
          <w:szCs w:val="28"/>
          <w:lang w:val="en-US" w:eastAsia="ru-RU"/>
        </w:rPr>
        <w:t xml:space="preserve"> </w:t>
      </w:r>
      <w:r w:rsidRPr="00511005">
        <w:rPr>
          <w:rFonts w:ascii="Arial" w:eastAsia="Times New Roman" w:hAnsi="Arial" w:cs="Arial"/>
          <w:szCs w:val="28"/>
          <w:lang w:val="en-US" w:eastAsia="ru-RU"/>
        </w:rPr>
        <w:t>https://unfccc.int/sites/default/files/english_paris_agreement.pdf (Accessed May 5, 2025)</w:t>
      </w:r>
    </w:p>
    <w:p w14:paraId="29C83B5E"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szCs w:val="28"/>
          <w:lang w:val="en-US" w:eastAsia="ru-RU"/>
        </w:rPr>
        <w:lastRenderedPageBreak/>
        <w:t>4. The Framework Convention on Climate Change. 1992. URL: https://unfccc.int/ (Accessed May 5, 2025)</w:t>
      </w:r>
    </w:p>
    <w:p w14:paraId="019A4AD6" w14:textId="77777777" w:rsidR="00220D3E" w:rsidRPr="00511005" w:rsidRDefault="00220D3E" w:rsidP="003A292D">
      <w:pPr>
        <w:tabs>
          <w:tab w:val="left" w:pos="709"/>
        </w:tabs>
        <w:spacing w:line="264" w:lineRule="auto"/>
        <w:rPr>
          <w:rFonts w:ascii="Arial" w:eastAsia="Times New Roman" w:hAnsi="Arial" w:cs="Arial"/>
          <w:szCs w:val="28"/>
          <w:lang w:val="en-US" w:eastAsia="ru-RU"/>
        </w:rPr>
      </w:pPr>
    </w:p>
    <w:p w14:paraId="1735A460" w14:textId="6D6AB849" w:rsidR="00220D3E" w:rsidRPr="00511005" w:rsidRDefault="007B2628" w:rsidP="003A292D">
      <w:pPr>
        <w:tabs>
          <w:tab w:val="left" w:pos="709"/>
        </w:tabs>
        <w:spacing w:line="264" w:lineRule="auto"/>
        <w:rPr>
          <w:rFonts w:ascii="Arial" w:eastAsia="Times New Roman" w:hAnsi="Arial" w:cs="Arial"/>
          <w:b/>
          <w:szCs w:val="28"/>
          <w:lang w:val="en-US" w:eastAsia="ru-RU"/>
        </w:rPr>
      </w:pPr>
      <w:r w:rsidRPr="00511005">
        <w:rPr>
          <w:rFonts w:ascii="Arial" w:eastAsia="Times New Roman" w:hAnsi="Arial" w:cs="Arial"/>
          <w:b/>
          <w:i/>
          <w:szCs w:val="28"/>
          <w:lang w:eastAsia="ru-RU"/>
        </w:rPr>
        <w:t>Ключові</w:t>
      </w:r>
      <w:r w:rsidRPr="00055389">
        <w:rPr>
          <w:rFonts w:ascii="Arial" w:eastAsia="Times New Roman" w:hAnsi="Arial" w:cs="Arial"/>
          <w:b/>
          <w:i/>
          <w:szCs w:val="28"/>
          <w:lang w:val="en-US" w:eastAsia="ru-RU"/>
        </w:rPr>
        <w:t xml:space="preserve"> </w:t>
      </w:r>
      <w:r w:rsidRPr="00511005">
        <w:rPr>
          <w:rFonts w:ascii="Arial" w:eastAsia="Times New Roman" w:hAnsi="Arial" w:cs="Arial"/>
          <w:b/>
          <w:i/>
          <w:szCs w:val="28"/>
          <w:lang w:eastAsia="ru-RU"/>
        </w:rPr>
        <w:t>слова</w:t>
      </w:r>
      <w:r w:rsidRPr="00055389">
        <w:rPr>
          <w:rFonts w:ascii="Arial" w:eastAsia="Times New Roman" w:hAnsi="Arial" w:cs="Arial"/>
          <w:b/>
          <w:i/>
          <w:szCs w:val="28"/>
          <w:lang w:val="en-US" w:eastAsia="ru-RU"/>
        </w:rPr>
        <w:t xml:space="preserve">: </w:t>
      </w:r>
      <w:r w:rsidR="00220D3E" w:rsidRPr="00511005">
        <w:rPr>
          <w:rFonts w:ascii="Arial" w:eastAsia="Times New Roman" w:hAnsi="Arial" w:cs="Arial"/>
          <w:szCs w:val="28"/>
          <w:lang w:eastAsia="ru-RU"/>
        </w:rPr>
        <w:t>Угода</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адаптація</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країни</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клімат</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викиди</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Організація</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Об</w:t>
      </w:r>
      <w:r w:rsidR="00220D3E" w:rsidRPr="00511005">
        <w:rPr>
          <w:rFonts w:ascii="Arial" w:eastAsia="Times New Roman" w:hAnsi="Arial" w:cs="Arial"/>
          <w:szCs w:val="28"/>
          <w:lang w:val="en-US" w:eastAsia="ru-RU"/>
        </w:rPr>
        <w:t>'</w:t>
      </w:r>
      <w:r w:rsidR="00220D3E" w:rsidRPr="00511005">
        <w:rPr>
          <w:rFonts w:ascii="Arial" w:eastAsia="Times New Roman" w:hAnsi="Arial" w:cs="Arial"/>
          <w:szCs w:val="28"/>
          <w:lang w:eastAsia="ru-RU"/>
        </w:rPr>
        <w:t>єднаних</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Націй</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Париж</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Кіото</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фінанси</w:t>
      </w:r>
      <w:r w:rsidR="00220D3E" w:rsidRPr="00511005">
        <w:rPr>
          <w:rFonts w:ascii="Arial" w:eastAsia="Times New Roman" w:hAnsi="Arial" w:cs="Arial"/>
          <w:szCs w:val="28"/>
          <w:lang w:val="en-US" w:eastAsia="ru-RU"/>
        </w:rPr>
        <w:t>.</w:t>
      </w:r>
      <w:r w:rsidR="00220D3E" w:rsidRPr="00511005">
        <w:rPr>
          <w:rFonts w:ascii="Arial" w:eastAsia="Times New Roman" w:hAnsi="Arial" w:cs="Arial"/>
          <w:b/>
          <w:szCs w:val="28"/>
          <w:lang w:val="en-US" w:eastAsia="ru-RU"/>
        </w:rPr>
        <w:t xml:space="preserve"> </w:t>
      </w:r>
    </w:p>
    <w:p w14:paraId="7FEFA5ED" w14:textId="3526390A"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Agreement, adaptation, countries, climate, emissions, United Nations, Paris, Kyoto, finance.</w:t>
      </w:r>
    </w:p>
    <w:p w14:paraId="27BD8380" w14:textId="77777777" w:rsidR="00220D3E" w:rsidRPr="00511005" w:rsidRDefault="00220D3E" w:rsidP="003A292D">
      <w:pPr>
        <w:tabs>
          <w:tab w:val="left" w:pos="709"/>
        </w:tabs>
        <w:spacing w:line="264" w:lineRule="auto"/>
        <w:rPr>
          <w:rFonts w:ascii="Arial" w:eastAsia="Times New Roman" w:hAnsi="Arial" w:cs="Arial"/>
          <w:i/>
          <w:szCs w:val="28"/>
          <w:lang w:val="en-US" w:eastAsia="ru-RU"/>
        </w:rPr>
      </w:pPr>
      <w:r w:rsidRPr="00511005">
        <w:rPr>
          <w:rFonts w:ascii="Arial" w:eastAsia="Times New Roman" w:hAnsi="Arial" w:cs="Arial"/>
          <w:i/>
          <w:szCs w:val="28"/>
          <w:lang w:val="en-US" w:eastAsia="ru-RU"/>
        </w:rPr>
        <w:t>Academic supervisor: PhD in Law, Associate Professor Dronov V.</w:t>
      </w:r>
    </w:p>
    <w:p w14:paraId="2C6A9440" w14:textId="77777777" w:rsidR="00220D3E" w:rsidRPr="00511005" w:rsidRDefault="00220D3E" w:rsidP="003A292D">
      <w:pPr>
        <w:tabs>
          <w:tab w:val="left" w:pos="709"/>
        </w:tabs>
        <w:spacing w:line="264" w:lineRule="auto"/>
        <w:rPr>
          <w:rFonts w:ascii="Arial" w:eastAsia="Arial" w:hAnsi="Arial" w:cs="Arial"/>
          <w:szCs w:val="28"/>
          <w:lang w:val="en-US" w:eastAsia="ru-RU"/>
        </w:rPr>
      </w:pPr>
    </w:p>
    <w:p w14:paraId="0FC6316C"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Морозюк Влада Валеріївна</w:t>
      </w:r>
    </w:p>
    <w:p w14:paraId="24ED97D1" w14:textId="747D6C31" w:rsidR="007B2628" w:rsidRPr="00511005" w:rsidRDefault="00536AAB" w:rsidP="003A292D">
      <w:pPr>
        <w:tabs>
          <w:tab w:val="left" w:pos="709"/>
        </w:tabs>
        <w:spacing w:line="264" w:lineRule="auto"/>
        <w:jc w:val="center"/>
        <w:rPr>
          <w:rFonts w:ascii="Arial" w:eastAsia="Times New Roman" w:hAnsi="Arial" w:cs="Arial"/>
          <w:szCs w:val="28"/>
          <w:lang w:eastAsia="uk-UA"/>
        </w:rPr>
      </w:pPr>
      <w:r w:rsidRPr="00511005">
        <w:rPr>
          <w:rFonts w:ascii="Arial" w:eastAsia="Times New Roman" w:hAnsi="Arial" w:cs="Arial"/>
          <w:szCs w:val="28"/>
          <w:lang w:val="uk-UA" w:eastAsia="uk-UA"/>
        </w:rPr>
        <w:t xml:space="preserve">студентка 4-го курсу </w:t>
      </w:r>
    </w:p>
    <w:p w14:paraId="0154F24B" w14:textId="161AAAC7" w:rsidR="00220D3E" w:rsidRPr="00511005" w:rsidRDefault="00536AAB" w:rsidP="003A292D">
      <w:pPr>
        <w:tabs>
          <w:tab w:val="left" w:pos="709"/>
        </w:tabs>
        <w:spacing w:line="264" w:lineRule="auto"/>
        <w:jc w:val="center"/>
        <w:rPr>
          <w:rFonts w:ascii="Arial" w:eastAsia="Times New Roman" w:hAnsi="Arial" w:cs="Arial"/>
          <w:szCs w:val="28"/>
          <w:lang w:eastAsia="uk-UA"/>
        </w:rPr>
      </w:pPr>
      <w:r w:rsidRPr="00511005">
        <w:rPr>
          <w:rFonts w:ascii="Arial" w:eastAsia="Times New Roman" w:hAnsi="Arial" w:cs="Arial"/>
          <w:szCs w:val="28"/>
          <w:lang w:val="uk-UA" w:eastAsia="uk-UA"/>
        </w:rPr>
        <w:t>факультету адвокатури та антикорупційної діяльності</w:t>
      </w:r>
    </w:p>
    <w:p w14:paraId="32DFE31D" w14:textId="2C9D3694" w:rsidR="00220D3E" w:rsidRPr="00511005" w:rsidRDefault="007B2628" w:rsidP="003A292D">
      <w:pPr>
        <w:tabs>
          <w:tab w:val="left" w:pos="709"/>
        </w:tabs>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5218AE65" w14:textId="77777777" w:rsidR="00220D3E" w:rsidRPr="00511005" w:rsidRDefault="00220D3E" w:rsidP="003A292D">
      <w:pPr>
        <w:tabs>
          <w:tab w:val="left" w:pos="709"/>
        </w:tabs>
        <w:spacing w:line="264" w:lineRule="auto"/>
        <w:jc w:val="left"/>
        <w:rPr>
          <w:rFonts w:ascii="Arial" w:eastAsia="Arial" w:hAnsi="Arial" w:cs="Arial"/>
          <w:szCs w:val="28"/>
          <w:lang w:eastAsia="ru-RU"/>
        </w:rPr>
      </w:pPr>
    </w:p>
    <w:p w14:paraId="17E73C63" w14:textId="77777777" w:rsidR="00220D3E" w:rsidRPr="00511005" w:rsidRDefault="00220D3E" w:rsidP="003A292D">
      <w:pPr>
        <w:tabs>
          <w:tab w:val="left" w:pos="709"/>
        </w:tabs>
        <w:spacing w:line="264" w:lineRule="auto"/>
        <w:jc w:val="center"/>
        <w:rPr>
          <w:rFonts w:ascii="Arial" w:eastAsia="Arial" w:hAnsi="Arial" w:cs="Arial"/>
          <w:b/>
          <w:szCs w:val="28"/>
          <w:lang w:eastAsia="ru-RU"/>
        </w:rPr>
      </w:pPr>
      <w:r w:rsidRPr="00511005">
        <w:rPr>
          <w:rFonts w:ascii="Arial" w:eastAsia="Arial" w:hAnsi="Arial" w:cs="Arial"/>
          <w:b/>
          <w:szCs w:val="28"/>
          <w:lang w:eastAsia="ru-RU"/>
        </w:rPr>
        <w:t>ЗАХИСТ ЦИВІЛЬНОГО НАСЕЛЕННЯ В УМОВАХ ЗБРОЙНОГО КОНФЛІКТУ: СТАНДАРТИ МІЖНАРОДНОГО ГУМАНІТАРНОГО ПРАВА ТА ПРОБЛЕМИ ЇХ РЕАЛІЗАЦІЇ</w:t>
      </w:r>
    </w:p>
    <w:p w14:paraId="1D045C1D"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У ХХІ столітті збройні конфлікти набувають нового характеру — гібридного, асиметричного, з широким залученням недержавних елементів. Це ускладнює практичне застосування основних норм міжнародного гуманітарного права, зокрема вимог щодо захисту цивільного населення.</w:t>
      </w:r>
    </w:p>
    <w:p w14:paraId="4B4E7636"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 xml:space="preserve">Особливої уваги заслуговують порушення положень статті 49 IV Женевської конвенції 1949 року. Відповідно до цієї статті, окупаційна держава не повинна затримувати осіб, що перебувають під захистом, </w:t>
      </w:r>
      <w:proofErr w:type="gramStart"/>
      <w:r w:rsidRPr="00511005">
        <w:rPr>
          <w:rFonts w:ascii="Arial" w:eastAsia="Arial" w:hAnsi="Arial" w:cs="Arial"/>
          <w:szCs w:val="28"/>
          <w:lang w:eastAsia="ru-RU"/>
        </w:rPr>
        <w:t>у зонах</w:t>
      </w:r>
      <w:proofErr w:type="gramEnd"/>
      <w:r w:rsidRPr="00511005">
        <w:rPr>
          <w:rFonts w:ascii="Arial" w:eastAsia="Arial" w:hAnsi="Arial" w:cs="Arial"/>
          <w:szCs w:val="28"/>
          <w:lang w:eastAsia="ru-RU"/>
        </w:rPr>
        <w:t xml:space="preserve"> підвищеної небезпеки внаслідок бойових дій, якщо лише це не зумовлено безпековими або важливими військовими причинами. Також їй заборонено здійснювати переміщення або депортації частини свого громадянського населення на окуповану територію [1].</w:t>
      </w:r>
    </w:p>
    <w:p w14:paraId="1C19DFDE"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Однак практика свідчить, що ці заборони часто ігноруються. Наприклад, у сучасному міжнародному збройному конфлікті між росією та Україною міжнародні спостерігачі та правозахисні організації зафіксували:</w:t>
      </w:r>
    </w:p>
    <w:p w14:paraId="27AE10DB"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насильницькі переміщення українських цивільних осіб з тимчасово окупованих територій до росії або на територію, підконтрольну окупаційним адміністраціям;</w:t>
      </w:r>
    </w:p>
    <w:p w14:paraId="5BC966CA"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 xml:space="preserve">організацію </w:t>
      </w:r>
      <w:r w:rsidRPr="00511005">
        <w:rPr>
          <w:rFonts w:ascii="Arial" w:eastAsia="Times New Roman" w:hAnsi="Arial" w:cs="Arial"/>
          <w:szCs w:val="28"/>
          <w:lang w:eastAsia="ru-RU"/>
        </w:rPr>
        <w:t>«</w:t>
      </w:r>
      <w:r w:rsidRPr="00511005">
        <w:rPr>
          <w:rFonts w:ascii="Arial" w:eastAsia="Arial" w:hAnsi="Arial" w:cs="Arial"/>
          <w:szCs w:val="28"/>
          <w:lang w:eastAsia="ru-RU"/>
        </w:rPr>
        <w:t>фільтраційних таборів</w:t>
      </w:r>
      <w:r w:rsidRPr="00511005">
        <w:rPr>
          <w:rFonts w:ascii="Arial" w:eastAsia="Times New Roman" w:hAnsi="Arial" w:cs="Arial"/>
          <w:szCs w:val="28"/>
          <w:lang w:eastAsia="ru-RU"/>
        </w:rPr>
        <w:t xml:space="preserve">» </w:t>
      </w:r>
      <w:r w:rsidRPr="00511005">
        <w:rPr>
          <w:rFonts w:ascii="Arial" w:eastAsia="Arial" w:hAnsi="Arial" w:cs="Arial"/>
          <w:szCs w:val="28"/>
          <w:lang w:eastAsia="ru-RU"/>
        </w:rPr>
        <w:t>і депортацій;</w:t>
      </w:r>
    </w:p>
    <w:p w14:paraId="58794D4A"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цілеспрямовану зміну демографічного складу окупованих регіонів шляхом переселення громадян держави-окупанта на ці території.</w:t>
      </w:r>
    </w:p>
    <w:p w14:paraId="4096FE07"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 xml:space="preserve">Такі дії кваліфікуються як грубі порушення міжнародного гуманітарного права і можуть становити воєнні злочини згідно зі статтею 8 Римського статуту Міжнародного кримінального суду, відповідно до якої умисне спрямування нападів на цивільне населення як таке або на окремих цивільних осіб, що не беруть безпосередньої участі у воєнних діях; умисне </w:t>
      </w:r>
      <w:r w:rsidRPr="00511005">
        <w:rPr>
          <w:rFonts w:ascii="Arial" w:eastAsia="Arial" w:hAnsi="Arial" w:cs="Arial"/>
          <w:szCs w:val="28"/>
          <w:lang w:eastAsia="ru-RU"/>
        </w:rPr>
        <w:lastRenderedPageBreak/>
        <w:t>спрямування нападів на персонал, об’єкти, матеріали, підрозділи або транспортні засоби, задіяні в наданні гуманітарної допомоги чи в місії з підтримання миру відповідно до Статуту Організації Об’єднаних Націй, доки вони мають право на захист, яким користуються цивільні особи або цивільні об’єкти згідно з міжнародним правом збройних конфліктів є воєнним злочином [3].</w:t>
      </w:r>
    </w:p>
    <w:p w14:paraId="7B9C2CD4"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Крім того, сучасна війна в Україні показала системну проблему — відсутність оперативних механізмів припинення або ефективного запобігання таким порушенням навіть за наявності численних доповідей та резолюцій міжнародних організацій.</w:t>
      </w:r>
    </w:p>
    <w:p w14:paraId="3170BC80"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Таким чином, порушення норм статті 49 Конвенції не лише поглиблюють гуманітарні кризи, а й підривають фундаментальні принципи МГП щодо захисту цивільного населення під час окупації.</w:t>
      </w:r>
    </w:p>
    <w:p w14:paraId="4CFC3B2A"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Сучасна війна в Україні у зв’язку з агресією російської федерації проти України також виявила системні проблеми: відсутність оперативних міжнародних механізмів для запобігання таким порушенням і ефективного притягнення винних до відповідальності.</w:t>
      </w:r>
    </w:p>
    <w:p w14:paraId="03768ABC"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Аналізуючи національне законодавство, зокрема ст. 438 Кримінального кодексу України то, відповідно можна зазначити, що воно теж забороняє насильство, протизаконне знищення майна, а також протизаконне відібрання майна під приводом воєнної необхідності, вчинювані щодо населення в районі воєнних дій [2].</w:t>
      </w:r>
    </w:p>
    <w:p w14:paraId="75B504EB"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Такі діяння вважаються тяжкими воєнними злочинами і тягнуть за собою сувору кримінальну відповідальність.</w:t>
      </w:r>
    </w:p>
    <w:p w14:paraId="3C8A952C"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Національні кримінальні кодекси, за своєю природою, дублюють і конкретизують міжнародні зобовʼязання держав, спрямовані на захист цивільного населення.</w:t>
      </w:r>
    </w:p>
    <w:p w14:paraId="2B897EBF"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Проте навіть за наявності нормативної заборони як на міжнародному, так і на національному рівнях, практика порушень залишається поширеною. В умовах збройних конфліктів виникають складнощі із фіксацією фактів злочинів, збором доказів та подальшим притягненням винних осіб до відповідальності.</w:t>
      </w:r>
    </w:p>
    <w:p w14:paraId="54D01CFC"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Таким чином, ефективний захист цивільного населення залежить не лише від існування правових норм, але й від реального механізму їх дотримання та примусового застосування як на міжнародному, так і на внутрішньодержавному рівнях.</w:t>
      </w:r>
    </w:p>
    <w:p w14:paraId="4EF4C0D8"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Отже,</w:t>
      </w:r>
      <w:r w:rsidRPr="00511005">
        <w:rPr>
          <w:rFonts w:ascii="Arial" w:eastAsia="Arial" w:hAnsi="Arial" w:cs="Arial"/>
          <w:b/>
          <w:szCs w:val="28"/>
          <w:lang w:eastAsia="ru-RU"/>
        </w:rPr>
        <w:t xml:space="preserve"> </w:t>
      </w:r>
      <w:r w:rsidRPr="00511005">
        <w:rPr>
          <w:rFonts w:ascii="Arial" w:eastAsia="Arial" w:hAnsi="Arial" w:cs="Arial"/>
          <w:szCs w:val="28"/>
          <w:lang w:eastAsia="ru-RU"/>
        </w:rPr>
        <w:t xml:space="preserve">захист цивільного населення залишається центральним викликом для міжнародного гуманітарного права. Хоча юридичні норми досить чітко окреслені, їх дотримання залежить від поєднання правових, політичних та технічних чинників. </w:t>
      </w:r>
    </w:p>
    <w:p w14:paraId="1E96FB62"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У зв’язку з цим необхідним є: посилення механізмів відповідальності за порушення МГП;</w:t>
      </w:r>
    </w:p>
    <w:p w14:paraId="21369B12"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lastRenderedPageBreak/>
        <w:t>запровадження ефективного механізму відповідальності за порушення МГП;</w:t>
      </w:r>
    </w:p>
    <w:p w14:paraId="46E7CB6B"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адаптація гуманітарних норм до реалій новітніх воєнних технологій;</w:t>
      </w:r>
    </w:p>
    <w:p w14:paraId="4573A575"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залучення міжнародних фахівців з різних держав задля контролю та забезпечення дотримання основоположних норм та принципів МГП;</w:t>
      </w:r>
    </w:p>
    <w:p w14:paraId="009F4E54"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активне залучення міжнародної спільноти до фіксації та розслідування порушень.</w:t>
      </w:r>
    </w:p>
    <w:p w14:paraId="7A8C914D"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 xml:space="preserve">Однак, виникає питання, як кваліфікувати дії, спрямовані на виведення з ладу критичної інфраструктури, що має подвійне призначення. </w:t>
      </w:r>
    </w:p>
    <w:p w14:paraId="7DAF3E4A"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 xml:space="preserve">Крім того важливим є питання розширення ключових аспектів і адаптації МГП до нових форм воєнних дій з врахуванням оновленого міжнародно-правового досвіду. Перспективними є ініціативи з удосконалення звітності, наприклад, розробка автоматизованих систем моніторингу порушень. Також бажання і політична </w:t>
      </w:r>
      <w:proofErr w:type="gramStart"/>
      <w:r w:rsidRPr="00511005">
        <w:rPr>
          <w:rFonts w:ascii="Arial" w:eastAsia="Arial" w:hAnsi="Arial" w:cs="Arial"/>
          <w:szCs w:val="28"/>
          <w:lang w:eastAsia="ru-RU"/>
        </w:rPr>
        <w:t>воля</w:t>
      </w:r>
      <w:proofErr w:type="gramEnd"/>
      <w:r w:rsidRPr="00511005">
        <w:rPr>
          <w:rFonts w:ascii="Arial" w:eastAsia="Arial" w:hAnsi="Arial" w:cs="Arial"/>
          <w:szCs w:val="28"/>
          <w:lang w:eastAsia="ru-RU"/>
        </w:rPr>
        <w:t xml:space="preserve"> держав дотримуватись норм МГП, адже без цього будь-які спроби дотримуватись норм МГП однією держави не забезпечують дотримання їх іншою стороною.</w:t>
      </w:r>
    </w:p>
    <w:p w14:paraId="46F5AA46" w14:textId="77777777" w:rsidR="00220D3E" w:rsidRPr="00511005" w:rsidRDefault="00220D3E" w:rsidP="003A292D">
      <w:pPr>
        <w:tabs>
          <w:tab w:val="left" w:pos="709"/>
        </w:tabs>
        <w:spacing w:line="264" w:lineRule="auto"/>
        <w:rPr>
          <w:rFonts w:ascii="Arial" w:eastAsia="Arial" w:hAnsi="Arial" w:cs="Arial"/>
          <w:szCs w:val="28"/>
          <w:lang w:eastAsia="ru-RU"/>
        </w:rPr>
      </w:pPr>
      <w:r w:rsidRPr="00511005">
        <w:rPr>
          <w:rFonts w:ascii="Arial" w:eastAsia="Arial" w:hAnsi="Arial" w:cs="Arial"/>
          <w:szCs w:val="28"/>
          <w:lang w:eastAsia="ru-RU"/>
        </w:rPr>
        <w:t>Однією з ключових проблем є відсутність ефективного механізму притягнення до відповідальності за порушення МГП. Хоча Міжнародний кримінальний суд (МКС) має юрисдикцію щодо воєнних злочинів, практика розслідувань і судових вироків залишається обмеженою.</w:t>
      </w:r>
    </w:p>
    <w:p w14:paraId="59920FFA" w14:textId="77777777" w:rsidR="00220D3E" w:rsidRPr="00511005" w:rsidRDefault="00220D3E" w:rsidP="003A292D">
      <w:pPr>
        <w:tabs>
          <w:tab w:val="left" w:pos="709"/>
        </w:tabs>
        <w:spacing w:line="264" w:lineRule="auto"/>
        <w:rPr>
          <w:rFonts w:ascii="Arial" w:eastAsia="Arial" w:hAnsi="Arial" w:cs="Arial"/>
          <w:szCs w:val="28"/>
          <w:lang w:eastAsia="ru-RU"/>
        </w:rPr>
      </w:pPr>
    </w:p>
    <w:p w14:paraId="537BCDC6" w14:textId="18559CAF" w:rsidR="00220D3E" w:rsidRPr="00511005" w:rsidRDefault="007B2628" w:rsidP="007B2628">
      <w:pPr>
        <w:tabs>
          <w:tab w:val="left" w:pos="709"/>
        </w:tabs>
        <w:spacing w:line="264" w:lineRule="auto"/>
        <w:contextualSpacing/>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4F920A9B" w14:textId="77777777" w:rsidR="00220D3E" w:rsidRPr="00511005" w:rsidRDefault="00220D3E" w:rsidP="003F6A5D">
      <w:pPr>
        <w:numPr>
          <w:ilvl w:val="0"/>
          <w:numId w:val="14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Женевська конвенція про захист цивільного населення під час війни від 12 серпня 1949 </w:t>
      </w:r>
      <w:proofErr w:type="gramStart"/>
      <w:r w:rsidRPr="00511005">
        <w:rPr>
          <w:rFonts w:ascii="Arial" w:eastAsia="Calibri" w:hAnsi="Arial" w:cs="Arial"/>
          <w:szCs w:val="28"/>
        </w:rPr>
        <w:t>року :</w:t>
      </w:r>
      <w:proofErr w:type="gramEnd"/>
      <w:r w:rsidRPr="00511005">
        <w:rPr>
          <w:rFonts w:ascii="Arial" w:eastAsia="Calibri" w:hAnsi="Arial" w:cs="Arial"/>
          <w:szCs w:val="28"/>
        </w:rPr>
        <w:t xml:space="preserve"> Конвенція; ООН. // База даних «Законодавство України» / Верховна Рада України. URL: https://zakon.rada.gov.ua/laws/show/995_588#Text (дата звернення: 26.04.2025).</w:t>
      </w:r>
    </w:p>
    <w:p w14:paraId="30ADC8CE" w14:textId="159CD6CD" w:rsidR="00220D3E" w:rsidRPr="00511005" w:rsidRDefault="00220D3E" w:rsidP="003F6A5D">
      <w:pPr>
        <w:numPr>
          <w:ilvl w:val="0"/>
          <w:numId w:val="14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Кримінальний кодекс України від 05.04.2001 № 2341-111. [Електронний ресурс].</w:t>
      </w:r>
      <w:r w:rsidR="007B2628" w:rsidRPr="00511005">
        <w:rPr>
          <w:rFonts w:ascii="Arial" w:eastAsia="Calibri" w:hAnsi="Arial" w:cs="Arial"/>
          <w:szCs w:val="28"/>
        </w:rPr>
        <w:t xml:space="preserve"> </w:t>
      </w:r>
      <w:r w:rsidRPr="00511005">
        <w:rPr>
          <w:rFonts w:ascii="Arial" w:eastAsia="Calibri" w:hAnsi="Arial" w:cs="Arial"/>
          <w:szCs w:val="28"/>
        </w:rPr>
        <w:t>- Режим доступу: URL: https://zakon.rada.gov.ua/laws/show/995_154#Text (дата звернення: 26.04.2025).</w:t>
      </w:r>
    </w:p>
    <w:p w14:paraId="15FD6147" w14:textId="77777777" w:rsidR="00220D3E" w:rsidRPr="00511005" w:rsidRDefault="00220D3E" w:rsidP="003F6A5D">
      <w:pPr>
        <w:numPr>
          <w:ilvl w:val="0"/>
          <w:numId w:val="14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Римський статут Міжнародного кримінального суду. URL: https://zakon.rada.gov.ua/laws/show/995_588 (дата звернення: 05.02.2025).</w:t>
      </w:r>
    </w:p>
    <w:p w14:paraId="34899D7C" w14:textId="77777777" w:rsidR="00220D3E" w:rsidRPr="00511005" w:rsidRDefault="00220D3E" w:rsidP="003A292D">
      <w:pPr>
        <w:tabs>
          <w:tab w:val="left" w:pos="709"/>
        </w:tabs>
        <w:spacing w:line="264" w:lineRule="auto"/>
        <w:contextualSpacing/>
        <w:rPr>
          <w:rFonts w:ascii="Arial" w:eastAsia="Calibri" w:hAnsi="Arial" w:cs="Arial"/>
          <w:szCs w:val="28"/>
        </w:rPr>
      </w:pPr>
    </w:p>
    <w:p w14:paraId="1E6B7CD5" w14:textId="78F26BFC" w:rsidR="00220D3E" w:rsidRPr="00511005" w:rsidRDefault="007B2628" w:rsidP="003A292D">
      <w:pPr>
        <w:tabs>
          <w:tab w:val="left" w:pos="709"/>
        </w:tabs>
        <w:spacing w:line="264" w:lineRule="auto"/>
        <w:rPr>
          <w:rFonts w:ascii="Arial" w:eastAsia="Arial" w:hAnsi="Arial" w:cs="Arial"/>
          <w:szCs w:val="28"/>
          <w:lang w:eastAsia="ru-RU"/>
        </w:rPr>
      </w:pPr>
      <w:r w:rsidRPr="00511005">
        <w:rPr>
          <w:rFonts w:ascii="Arial" w:eastAsia="Arial" w:hAnsi="Arial" w:cs="Arial"/>
          <w:b/>
          <w:i/>
          <w:szCs w:val="28"/>
          <w:lang w:eastAsia="ru-RU"/>
        </w:rPr>
        <w:t xml:space="preserve">Ключові слова: </w:t>
      </w:r>
      <w:r w:rsidR="00220D3E" w:rsidRPr="00511005">
        <w:rPr>
          <w:rFonts w:ascii="Arial" w:eastAsia="Arial" w:hAnsi="Arial" w:cs="Arial"/>
          <w:szCs w:val="28"/>
          <w:lang w:eastAsia="ru-RU"/>
        </w:rPr>
        <w:t>міжнародне гуманітарне право, цивільне населення, збройний конфлікт, принцип розмежування, захист цивільних.</w:t>
      </w:r>
    </w:p>
    <w:p w14:paraId="1CA0C89B" w14:textId="267B70CD" w:rsidR="00220D3E" w:rsidRPr="00511005" w:rsidRDefault="007B2628" w:rsidP="003A292D">
      <w:pPr>
        <w:tabs>
          <w:tab w:val="left" w:pos="709"/>
        </w:tabs>
        <w:spacing w:line="264" w:lineRule="auto"/>
        <w:rPr>
          <w:rFonts w:ascii="Arial" w:eastAsia="Arial" w:hAnsi="Arial" w:cs="Arial"/>
          <w:szCs w:val="28"/>
          <w:lang w:val="en-US" w:eastAsia="ru-RU"/>
        </w:rPr>
      </w:pPr>
      <w:r w:rsidRPr="00511005">
        <w:rPr>
          <w:rFonts w:ascii="Arial" w:eastAsia="Arial" w:hAnsi="Arial" w:cs="Arial"/>
          <w:b/>
          <w:i/>
          <w:szCs w:val="28"/>
          <w:lang w:val="en-US" w:eastAsia="ru-RU"/>
        </w:rPr>
        <w:t xml:space="preserve">Key words: </w:t>
      </w:r>
      <w:r w:rsidR="00220D3E" w:rsidRPr="00511005">
        <w:rPr>
          <w:rFonts w:ascii="Arial" w:eastAsia="Arial" w:hAnsi="Arial" w:cs="Arial"/>
          <w:szCs w:val="28"/>
          <w:lang w:val="en-US" w:eastAsia="ru-RU"/>
        </w:rPr>
        <w:t>international humanitarian law, civilian population, armed conflict, principle of distinction, protection of civilians.</w:t>
      </w:r>
    </w:p>
    <w:p w14:paraId="5F3C91E3" w14:textId="77777777" w:rsidR="00220D3E" w:rsidRPr="00511005" w:rsidRDefault="00220D3E" w:rsidP="003A292D">
      <w:pPr>
        <w:tabs>
          <w:tab w:val="left" w:pos="709"/>
        </w:tabs>
        <w:spacing w:line="264" w:lineRule="auto"/>
        <w:contextualSpacing/>
        <w:rPr>
          <w:rFonts w:ascii="Arial" w:eastAsia="Calibri" w:hAnsi="Arial" w:cs="Arial"/>
          <w:bCs/>
          <w:i/>
          <w:iCs/>
          <w:szCs w:val="28"/>
          <w:lang w:val="en-US"/>
        </w:rPr>
      </w:pPr>
    </w:p>
    <w:p w14:paraId="31B5986B" w14:textId="2409A1FF" w:rsidR="00220D3E" w:rsidRPr="00511005" w:rsidRDefault="007B2628" w:rsidP="003A292D">
      <w:pPr>
        <w:tabs>
          <w:tab w:val="left" w:pos="709"/>
        </w:tabs>
        <w:spacing w:line="264" w:lineRule="auto"/>
        <w:contextualSpacing/>
        <w:rPr>
          <w:rFonts w:ascii="Arial" w:eastAsia="Calibri" w:hAnsi="Arial" w:cs="Arial"/>
          <w:bCs/>
          <w:i/>
          <w:iCs/>
          <w:szCs w:val="28"/>
        </w:rPr>
      </w:pPr>
      <w:r w:rsidRPr="00511005">
        <w:rPr>
          <w:rFonts w:ascii="Arial" w:eastAsia="Calibri" w:hAnsi="Arial" w:cs="Arial"/>
          <w:b/>
          <w:bCs/>
          <w:i/>
          <w:iCs/>
          <w:szCs w:val="28"/>
        </w:rPr>
        <w:t xml:space="preserve">Науковий керівник: </w:t>
      </w:r>
      <w:r w:rsidR="00220D3E" w:rsidRPr="00511005">
        <w:rPr>
          <w:rFonts w:ascii="Arial" w:eastAsia="Calibri" w:hAnsi="Arial" w:cs="Arial"/>
          <w:bCs/>
          <w:i/>
          <w:iCs/>
          <w:szCs w:val="28"/>
        </w:rPr>
        <w:t>к.ю.н., доцент</w:t>
      </w:r>
      <w:r w:rsidRPr="00511005">
        <w:rPr>
          <w:rFonts w:ascii="Arial" w:eastAsia="Calibri" w:hAnsi="Arial" w:cs="Arial"/>
          <w:bCs/>
          <w:i/>
          <w:iCs/>
          <w:szCs w:val="28"/>
        </w:rPr>
        <w:t xml:space="preserve"> </w:t>
      </w:r>
      <w:r w:rsidR="00220D3E" w:rsidRPr="00511005">
        <w:rPr>
          <w:rFonts w:ascii="Arial" w:eastAsia="Calibri" w:hAnsi="Arial" w:cs="Arial"/>
          <w:bCs/>
          <w:i/>
          <w:iCs/>
          <w:szCs w:val="28"/>
        </w:rPr>
        <w:t>Мануїлова К.В.</w:t>
      </w:r>
    </w:p>
    <w:p w14:paraId="1EA50A61" w14:textId="77777777" w:rsidR="00220D3E" w:rsidRPr="00511005" w:rsidRDefault="00220D3E" w:rsidP="003A292D">
      <w:pPr>
        <w:tabs>
          <w:tab w:val="left" w:pos="709"/>
        </w:tabs>
        <w:spacing w:line="264" w:lineRule="auto"/>
        <w:rPr>
          <w:rFonts w:ascii="Arial" w:eastAsia="Times New Roman" w:hAnsi="Arial" w:cs="Arial"/>
          <w:b/>
          <w:i/>
          <w:szCs w:val="28"/>
          <w:lang w:val="uk-UA" w:eastAsia="ru-RU"/>
        </w:rPr>
      </w:pPr>
    </w:p>
    <w:p w14:paraId="3C8BE5FC" w14:textId="77777777" w:rsidR="00220D3E" w:rsidRPr="00511005" w:rsidRDefault="00220D3E" w:rsidP="003A292D">
      <w:pPr>
        <w:tabs>
          <w:tab w:val="left" w:pos="709"/>
        </w:tabs>
        <w:spacing w:line="264" w:lineRule="auto"/>
        <w:jc w:val="center"/>
        <w:rPr>
          <w:rFonts w:ascii="Arial" w:eastAsia="Times New Roman" w:hAnsi="Arial" w:cs="Arial"/>
          <w:i/>
          <w:szCs w:val="28"/>
          <w:lang w:val="uk-UA" w:eastAsia="ru-RU"/>
        </w:rPr>
      </w:pPr>
      <w:r w:rsidRPr="00511005">
        <w:rPr>
          <w:rFonts w:ascii="Arial" w:eastAsia="Times New Roman" w:hAnsi="Arial" w:cs="Arial"/>
          <w:b/>
          <w:i/>
          <w:szCs w:val="28"/>
          <w:lang w:val="uk-UA" w:eastAsia="ru-RU"/>
        </w:rPr>
        <w:t>Мялківська Яна Юріївна</w:t>
      </w:r>
    </w:p>
    <w:p w14:paraId="5E02B79B" w14:textId="4A61DFBE" w:rsidR="00220D3E" w:rsidRPr="00511005" w:rsidRDefault="00536AAB" w:rsidP="003A292D">
      <w:pPr>
        <w:tabs>
          <w:tab w:val="left" w:pos="709"/>
        </w:tabs>
        <w:spacing w:line="264" w:lineRule="auto"/>
        <w:jc w:val="center"/>
        <w:rPr>
          <w:rFonts w:ascii="Arial" w:eastAsia="Times New Roman" w:hAnsi="Arial" w:cs="Arial"/>
          <w:iCs/>
          <w:szCs w:val="28"/>
          <w:lang w:eastAsia="ru-RU"/>
        </w:rPr>
      </w:pPr>
      <w:r w:rsidRPr="00511005">
        <w:rPr>
          <w:rFonts w:ascii="Arial" w:eastAsia="Times New Roman" w:hAnsi="Arial" w:cs="Arial"/>
          <w:iCs/>
          <w:szCs w:val="28"/>
          <w:lang w:eastAsia="ru-RU"/>
        </w:rPr>
        <w:lastRenderedPageBreak/>
        <w:t xml:space="preserve">студентка 2-го курсу </w:t>
      </w:r>
      <w:r w:rsidR="001B7B25" w:rsidRPr="00511005">
        <w:rPr>
          <w:rFonts w:ascii="Arial" w:eastAsia="Times New Roman" w:hAnsi="Arial" w:cs="Arial"/>
          <w:iCs/>
          <w:szCs w:val="28"/>
          <w:lang w:eastAsia="ru-RU"/>
        </w:rPr>
        <w:t>факультету судового та міжнародного права</w:t>
      </w:r>
      <w:r w:rsidR="00220D3E" w:rsidRPr="00511005">
        <w:rPr>
          <w:rFonts w:ascii="Arial" w:eastAsia="Times New Roman" w:hAnsi="Arial" w:cs="Arial"/>
          <w:iCs/>
          <w:szCs w:val="28"/>
          <w:lang w:eastAsia="ru-RU"/>
        </w:rPr>
        <w:t xml:space="preserve"> </w:t>
      </w:r>
    </w:p>
    <w:p w14:paraId="294AA4F4" w14:textId="0B12AA0C" w:rsidR="00220D3E" w:rsidRPr="00511005" w:rsidRDefault="007B2628"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2FA6F0D8"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32725DE5"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ЮРИДИЧНА ВІДПОВІДАЛЬНІСТЬ ДЕРЖАВ ЗА ЕКОЛОГІЧНІ КАТАСТРОФИ</w:t>
      </w:r>
    </w:p>
    <w:p w14:paraId="6888E25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Охорона довкілля є однією з ключових функцій держави, оскільки екологічні катастрофи та правопорушення в цій сфері несуть загрозу не лише природним ресурсам, а й життю та здоров’ю людей. Враховуючи зростаючу кількість екологічних криз, питання юридичної відповідальності за заподіяну шкоду навколишньому середовищу стає все більш актуальним. Держава зобов’язана не лише запобігати екологічним правопорушенням, а й притягати винних осіб до відповідальності та забезпечувати відновлення екологічної рівноваги.</w:t>
      </w:r>
    </w:p>
    <w:p w14:paraId="6660471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Національне законодавство України передбачає різні види юридичної відповідальності за порушення екологічних норм, включаючи кримінальну, адміністративну, цивільну та дисциплінарну відповідальність. Основним нормативно-правовим актом у цій сфері є Закон України «Про охорону навколишнього природного середовища» від 25 червня 1991 року [1]. Він визначає правові засади екологічної політики держави, встановлює обов’язки громадян та суб’єктів господарювання щодо збереження природного середовища, а також передбачає санкції за порушення встановлених екологічних норм.</w:t>
      </w:r>
    </w:p>
    <w:p w14:paraId="169470F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Відповідно до Конституції України, держава несе відповідальність за збереження природних ресурсів, екологічну безпеку та мінімізацію наслідків техногенних катастроф. Зокрема, стаття 16 Основного Закону визначає, що забезпечення екологічної рівноваги, подолання наслідків Чорнобильської катастрофи та захист генофонду нації є одним із головних обов’язків держави [2]. Це передбачає розробку ефективних заходів екологічного контролю, відповідних санкцій для порушників та створення правових механізмів ліквідації наслідків екологічних катастроф.</w:t>
      </w:r>
    </w:p>
    <w:p w14:paraId="57BE4FE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Кримінальна відповідальність є найсуворішою формою юридичних санкцій за екологічні злочини. Вона застосовується у випадках, коли екологічні правопорушення призводять до значних негативних наслідків, зокрема забруднення довкілля, знищення природних ресурсів або створення загрози для життя і здоров’я людей. Кримінальний кодекс України містить спеціальні норми, спрямовані на покарання осіб, які вчинили екологічні злочини, що спричинили серйозні наслідки.</w:t>
      </w:r>
    </w:p>
    <w:p w14:paraId="3B0C362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Натомість адміністративні санкції застосовуються до фізичних та юридичних осіб у випадках порушення екологічних стандартів та норм. До таких правопорушень належать забруднення повітря, водних ресурсів, ґрунту, незаконне використання природних ресурсів, недотримання вимог щодо поводження з відходами та інші дії, що суперечать екологічному </w:t>
      </w:r>
      <w:r w:rsidRPr="00511005">
        <w:rPr>
          <w:rFonts w:ascii="Arial" w:eastAsia="Times New Roman" w:hAnsi="Arial" w:cs="Arial"/>
          <w:szCs w:val="28"/>
          <w:lang w:val="uk-UA" w:eastAsia="ru-RU"/>
        </w:rPr>
        <w:lastRenderedPageBreak/>
        <w:t>законодавству. Відповідно до Кодексу України про адміністративні правопорушення, правопорушники можуть бути оштрафовані або піддані іншим адміністративним заходам впливу [3, с. 145].</w:t>
      </w:r>
    </w:p>
    <w:p w14:paraId="5E86127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Цивільно-правова відповідальність передбачає обов’язок відшкодування шкоди, заподіяної внаслідок екологічного правопорушення. Вона застосовується як до фізичних, так і до юридичних осіб, які своїми діями спричинили екологічні збитки. Основна мета цивільної відповідальності – компенсація завданої шкоди та відновлення порушених прав у сфері екологічної безпеки.</w:t>
      </w:r>
    </w:p>
    <w:p w14:paraId="5880389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Дисциплінарна відповідальність стосується працівників, які в процесі виконання своїх професійних обов’язків допустили порушення екологічних норм та стандартів. Згідно зі ст. 147 Кодексу законів про працю України, за такі правопорушення можуть бути застосовані заходи дисциплінарного впливу, включаючи догану чи звільнення [4, с. 240].</w:t>
      </w:r>
    </w:p>
    <w:p w14:paraId="4A07403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Напрями вдосконалення юридичної відповідальності за екологічні правопорушення Попри наявність законодавчих механізмів притягнення до відповідальності за екологічні правопорушення, існує низка проблем, що перешкоджають ефективній реалізації екологічного права. До них належать:</w:t>
      </w:r>
    </w:p>
    <w:p w14:paraId="1337252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недостатній контроль з боку державних органів – у багатьох випадках екологічні порушення залишаються без належного реагування з боку компетентних органів;</w:t>
      </w:r>
    </w:p>
    <w:p w14:paraId="4599BC6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низький рівень екологічної відповідальності суб’єктів господарювання – економічна вигода від порушення екологічних норм часто переважає над загрозою покарання;</w:t>
      </w:r>
    </w:p>
    <w:p w14:paraId="35DCECA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недостатня ефективність санкцій – існуючі штрафи та інші покарання не завжди є достатньо суворими, щоб стримувати порушників;</w:t>
      </w:r>
    </w:p>
    <w:p w14:paraId="777039A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відсутність належного механізму компенсації екологічної шкоди – у багатьох випадках відшкодування завданих збитків не відповідає реальним витратам на відновлення навколишнього середовища.</w:t>
      </w:r>
    </w:p>
    <w:p w14:paraId="275FC9B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метою підвищення ефективності юридичної відповідальності за екологічні правопорушення необхідно вдосконалити механізми екологічного контролю, збільшити розмір санкцій за екологічні злочини, а також запровадити системний моніторинг стану довкілля з метою своєчасного виявлення та попередження екологічних загроз.</w:t>
      </w:r>
    </w:p>
    <w:p w14:paraId="20C9CDB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Отже, державна відповідальність за екологічні катастрофи є комплексною правовою категорією, що охоплює різні форми відповідальності, спрямовані на захист довкілля та забезпечення екологічної безпеки. Українське законодавство містить норми, що регулюють питання екологічної відповідальності, проте їхня реалізація потребує вдосконалення. Посилення правового контролю, підвищення екологічної свідомості громадян та ефективне застосування санкцій є </w:t>
      </w:r>
      <w:r w:rsidRPr="00511005">
        <w:rPr>
          <w:rFonts w:ascii="Arial" w:eastAsia="Times New Roman" w:hAnsi="Arial" w:cs="Arial"/>
          <w:szCs w:val="28"/>
          <w:lang w:val="uk-UA" w:eastAsia="ru-RU"/>
        </w:rPr>
        <w:lastRenderedPageBreak/>
        <w:t>ключовими факторами для мінімізації ризиків екологічних катастроф та забезпечення сталого розвитку суспільства.</w:t>
      </w:r>
    </w:p>
    <w:p w14:paraId="78E6B33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4575F981" w14:textId="74E960B1" w:rsidR="00220D3E" w:rsidRPr="00511005" w:rsidRDefault="007B2628" w:rsidP="007B2628">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Список використаних джерел</w:t>
      </w:r>
    </w:p>
    <w:p w14:paraId="59F1B07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1. Про охорону навколишнього природного середовища: Закон України від 25.06.1991. № 1264-XII. Відомості Верховної Ради України (ВВР), 1991, № 41, ст. 546. URL: </w:t>
      </w:r>
      <w:hyperlink r:id="rId526" w:anchor="Text" w:history="1">
        <w:r w:rsidRPr="00511005">
          <w:rPr>
            <w:rFonts w:ascii="Arial" w:eastAsia="Times New Roman" w:hAnsi="Arial" w:cs="Arial"/>
            <w:szCs w:val="28"/>
            <w:lang w:val="uk-UA" w:eastAsia="ru-RU"/>
          </w:rPr>
          <w:t>https://zakon.rada.gov.ua/laws/show/1264-12#Text</w:t>
        </w:r>
      </w:hyperlink>
      <w:r w:rsidRPr="00511005">
        <w:rPr>
          <w:rFonts w:ascii="Arial" w:eastAsia="Times New Roman" w:hAnsi="Arial" w:cs="Arial"/>
          <w:szCs w:val="28"/>
          <w:lang w:val="uk-UA" w:eastAsia="ru-RU"/>
        </w:rPr>
        <w:t xml:space="preserve"> </w:t>
      </w:r>
    </w:p>
    <w:p w14:paraId="280AAC1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2. Конституція України: Закон від 28.06.1996 № 254к/96-ВР. Відомості Верховної Ради України (ВВР), 1996, № 30, ст. 141. URL: </w:t>
      </w:r>
      <w:hyperlink r:id="rId527" w:anchor="Text" w:history="1">
        <w:r w:rsidRPr="00511005">
          <w:rPr>
            <w:rFonts w:ascii="Arial" w:eastAsia="Times New Roman" w:hAnsi="Arial" w:cs="Arial"/>
            <w:szCs w:val="28"/>
            <w:lang w:val="uk-UA" w:eastAsia="ru-RU"/>
          </w:rPr>
          <w:t>https://zakon.rada.gov.ua/laws/show/254%D0%BA/96-%D0%B2%D1%80#Text</w:t>
        </w:r>
      </w:hyperlink>
      <w:r w:rsidRPr="00511005">
        <w:rPr>
          <w:rFonts w:ascii="Arial" w:eastAsia="Times New Roman" w:hAnsi="Arial" w:cs="Arial"/>
          <w:szCs w:val="28"/>
          <w:lang w:val="uk-UA" w:eastAsia="ru-RU"/>
        </w:rPr>
        <w:t xml:space="preserve"> </w:t>
      </w:r>
    </w:p>
    <w:p w14:paraId="3C784A9D" w14:textId="48DA3E8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3. Парасюк В. М., Лаврушко Н. Р.</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Юридична відповідальність за екологічні правопорушення в Україні: деякі питання. In The 24th International scientific and practical conference «Technologies of scientists and implementation of modern methods» (June 18-21, 2024) Copenhagen, Denmark. International Science Group. 2024. С. 144-148.</w:t>
      </w:r>
    </w:p>
    <w:p w14:paraId="6DD3509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4. Гетьман А. П. Юридична відповідальність в екологічному законодавстві: проблеми становлення та розвитку. Проблеми правової відповідальності: монографія / за ред.: В. Я. Тацій, А. П. Гетьман, В. І. Борисова. Харків: Право, 2014. С. 235-256.</w:t>
      </w:r>
    </w:p>
    <w:p w14:paraId="5EC76561"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228920D1" w14:textId="4A5D0C03"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Охорона довкілля, Екологічні катастрофи, Правопорушення , Юридична відповідальність, Природні ресурси, Екологічна безпека, Санкції, Екологічне законодавство, Кримінальна відповідальність, Адміністративна відповідальність, Цивільна відповідальність, Дисциплінарна відповідальність , Екологічний контроль, Компенсація шкоди, Сталий розвиток.</w:t>
      </w:r>
    </w:p>
    <w:p w14:paraId="01BCBEF5" w14:textId="5922B505"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Environmental protection, Ecological disasters, Offenses, Legal responsibility, Natural resources, Environmental safety, Sanctions, Environmental legislation, Criminal liability, Administrative liability, Civil liability, Disciplinary liability, Environmental control, Compensation for damage, Sustainable development.</w:t>
      </w:r>
    </w:p>
    <w:p w14:paraId="40F665FD" w14:textId="1613E308"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к.ю.н.,доцент Грушко М.В.</w:t>
      </w:r>
    </w:p>
    <w:p w14:paraId="47B38277" w14:textId="77777777" w:rsidR="00220D3E" w:rsidRPr="00511005" w:rsidRDefault="00220D3E" w:rsidP="003A292D">
      <w:pPr>
        <w:tabs>
          <w:tab w:val="left" w:pos="709"/>
        </w:tabs>
        <w:spacing w:line="264" w:lineRule="auto"/>
        <w:rPr>
          <w:rFonts w:ascii="Arial" w:hAnsi="Arial" w:cs="Arial"/>
          <w:iCs/>
          <w:szCs w:val="28"/>
          <w:lang w:val="uk-UA" w:eastAsia="ru-RU"/>
        </w:rPr>
      </w:pPr>
    </w:p>
    <w:p w14:paraId="4CA0DAC2" w14:textId="77777777" w:rsidR="00220D3E" w:rsidRPr="00511005" w:rsidRDefault="00220D3E" w:rsidP="003A292D">
      <w:pPr>
        <w:tabs>
          <w:tab w:val="left" w:pos="709"/>
        </w:tabs>
        <w:spacing w:line="264" w:lineRule="auto"/>
        <w:jc w:val="center"/>
        <w:rPr>
          <w:rFonts w:ascii="Arial" w:eastAsia="Calibri" w:hAnsi="Arial" w:cs="Arial"/>
          <w:i/>
          <w:szCs w:val="28"/>
          <w:lang w:val="uk-UA"/>
        </w:rPr>
      </w:pPr>
      <w:r w:rsidRPr="00511005">
        <w:rPr>
          <w:rFonts w:ascii="Arial" w:eastAsia="Calibri" w:hAnsi="Arial" w:cs="Arial"/>
          <w:b/>
          <w:i/>
          <w:szCs w:val="28"/>
          <w:lang w:val="uk-UA"/>
        </w:rPr>
        <w:t>Мялківська Яна Юріївна</w:t>
      </w:r>
    </w:p>
    <w:p w14:paraId="51F521E9" w14:textId="251CCDDB" w:rsidR="00220D3E" w:rsidRPr="00511005" w:rsidRDefault="00536AAB" w:rsidP="003A292D">
      <w:pPr>
        <w:tabs>
          <w:tab w:val="left" w:pos="709"/>
        </w:tabs>
        <w:spacing w:line="264" w:lineRule="auto"/>
        <w:jc w:val="center"/>
        <w:rPr>
          <w:rFonts w:ascii="Arial" w:eastAsia="Calibri" w:hAnsi="Arial" w:cs="Arial"/>
          <w:iCs/>
          <w:szCs w:val="28"/>
          <w:lang w:val="uk-UA"/>
        </w:rPr>
      </w:pPr>
      <w:r w:rsidRPr="00511005">
        <w:rPr>
          <w:rFonts w:ascii="Arial" w:eastAsia="Calibri" w:hAnsi="Arial" w:cs="Arial"/>
          <w:iCs/>
          <w:szCs w:val="28"/>
        </w:rPr>
        <w:t xml:space="preserve">студентка 2-го курсу </w:t>
      </w:r>
      <w:r w:rsidR="001B7B25" w:rsidRPr="00511005">
        <w:rPr>
          <w:rFonts w:ascii="Arial" w:eastAsia="Calibri" w:hAnsi="Arial" w:cs="Arial"/>
          <w:iCs/>
          <w:szCs w:val="28"/>
        </w:rPr>
        <w:t>факультету судового та міжнародного права</w:t>
      </w:r>
    </w:p>
    <w:p w14:paraId="4422D4E4" w14:textId="6485EB25" w:rsidR="00220D3E" w:rsidRPr="00511005" w:rsidRDefault="007B2628" w:rsidP="003A292D">
      <w:pPr>
        <w:tabs>
          <w:tab w:val="left" w:pos="709"/>
        </w:tabs>
        <w:spacing w:line="264" w:lineRule="auto"/>
        <w:jc w:val="center"/>
        <w:rPr>
          <w:rFonts w:ascii="Arial" w:eastAsia="Calibri" w:hAnsi="Arial" w:cs="Arial"/>
          <w:iCs/>
          <w:szCs w:val="28"/>
          <w:lang w:val="uk-UA"/>
        </w:rPr>
      </w:pPr>
      <w:r w:rsidRPr="00511005">
        <w:rPr>
          <w:rFonts w:ascii="Arial" w:eastAsia="Calibri" w:hAnsi="Arial" w:cs="Arial"/>
          <w:iCs/>
          <w:szCs w:val="28"/>
        </w:rPr>
        <w:t>Національного університету «Одеська юридична академія»</w:t>
      </w:r>
    </w:p>
    <w:p w14:paraId="074E023A" w14:textId="77777777" w:rsidR="00220D3E" w:rsidRPr="00511005" w:rsidRDefault="00220D3E" w:rsidP="003A292D">
      <w:pPr>
        <w:tabs>
          <w:tab w:val="left" w:pos="709"/>
        </w:tabs>
        <w:spacing w:line="264" w:lineRule="auto"/>
        <w:jc w:val="center"/>
        <w:rPr>
          <w:rFonts w:ascii="Arial" w:eastAsia="Calibri" w:hAnsi="Arial" w:cs="Arial"/>
          <w:iCs/>
          <w:szCs w:val="28"/>
          <w:lang w:val="uk-UA"/>
        </w:rPr>
      </w:pPr>
    </w:p>
    <w:p w14:paraId="56B824EA" w14:textId="77777777" w:rsidR="00220D3E" w:rsidRPr="00511005" w:rsidRDefault="00220D3E" w:rsidP="003A292D">
      <w:pPr>
        <w:tabs>
          <w:tab w:val="left" w:pos="0"/>
          <w:tab w:val="left" w:pos="284"/>
          <w:tab w:val="left" w:pos="709"/>
        </w:tabs>
        <w:spacing w:line="264" w:lineRule="auto"/>
        <w:ind w:firstLine="0"/>
        <w:jc w:val="center"/>
        <w:rPr>
          <w:rFonts w:ascii="Arial" w:eastAsia="Calibri" w:hAnsi="Arial" w:cs="Arial"/>
          <w:b/>
          <w:szCs w:val="28"/>
          <w:lang w:val="uk-UA"/>
        </w:rPr>
      </w:pPr>
      <w:r w:rsidRPr="00511005">
        <w:rPr>
          <w:rFonts w:ascii="Arial" w:eastAsia="Calibri" w:hAnsi="Arial" w:cs="Arial"/>
          <w:b/>
          <w:iCs/>
          <w:szCs w:val="28"/>
          <w:lang w:val="uk-UA"/>
        </w:rPr>
        <w:t xml:space="preserve">ПРАВОВІ НАСЛІДКИ ПОДВІЙНОГО ГРОМАДЯНСТВА В МІЖНАРОДНИХ ПРИВАТНО-ПРАВОВИХ СПОРАХ </w:t>
      </w:r>
    </w:p>
    <w:p w14:paraId="716D0789"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 xml:space="preserve">У сучасному глобалізованому світі феномен подвійного громадянства вже давно перестав бути рідкісним винятком і дедалі частіше стає причиною </w:t>
      </w:r>
      <w:r w:rsidRPr="00511005">
        <w:rPr>
          <w:rFonts w:ascii="Arial" w:eastAsia="Calibri" w:hAnsi="Arial" w:cs="Arial"/>
          <w:szCs w:val="28"/>
          <w:lang w:val="uk-UA"/>
        </w:rPr>
        <w:lastRenderedPageBreak/>
        <w:t>складних юридичних колізій, особливо у сфері міжнародного приватного права. Подвійне громадянство породжує чимало питань, які виходять за межі формальної належності особи до тієї чи іншої держави, адже впливає на обсяг її прав і обов’язків, порядок вирішення конфліктів юрисдикцій, застосування національного законодавства та забезпечення правових гарантій. У міжнародних приватно-правових спорах, які охоплюють відносини з іноземним елементом, правові наслідки подвійного громадянства можуть бути неоднозначними, особливо коли йдеться про визначення особистого закону фізичної особи, застосування колізійних норм або юрисдикційної компетенції суду.</w:t>
      </w:r>
    </w:p>
    <w:p w14:paraId="7EC70D80"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Почати слід із визначення подвійного громадянства як ситуації, за якої одна й та сама особа одночасно визнається громадянином двох або більше держав. Це можливо як за народженням, так і в результаті натуралізації, укладення шлюбу, усиновлення, зміни місця проживання або внаслідок колізії правових систем різних країн. Так, зокрема, у сфері міжнародного приватного права громадянство виконує одну з ключових функцій – служить основним критерієм при визначенні особистого закону фізичної особи, який регулює, зокрема, її дієздатність, право на ім’я, право на спадкування, шлюбно-сімейні відносини та інші питання, що стосуються особистого статусу [1, с. 137-138].</w:t>
      </w:r>
    </w:p>
    <w:p w14:paraId="355DD5B8"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Одним із головних наслідків подвійного громадянства є складність у визначенні того, право якої держави має застосовуватись у конкретній правовій ситуації. Наприклад, коли особа з подвійним громадянством вступає у шлюб або укладає спадковий договір, постає питання – яке з громадянств має пріоритет при визначенні її особистого закону. У правових системах різних країн існують різні підходи до вирішення цієї дилеми. У деяких державах діє принцип ефективного громадянства, згідно з яким застосовується право тієї держави, з якою особа пов’язана тісніше на момент виникнення правовідносин. В інших – діє принцип доміцілю (місця постійного проживання), що також може мати вирішальне значення для визначення компетентної правової системи.</w:t>
      </w:r>
    </w:p>
    <w:p w14:paraId="6BDCD52C"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У міжнародній практиці особливої актуальності набуває Конвенція про скорочення випадків множинного громадянства 1963 року, розроблена в рамках Ради Європи, яка передбачає поступове зменшення кількості випадків множинного громадянства. Проте її положення мають здебільшого політико-правовий характер і не охоплюють повною мірою специфіку приватноправових спорів. Водночас Гаазька конференція з міжнародного приватного права неодноразово підкреслювала необхідність уніфікації підходів до вирішення проблем, пов’язаних із множинним громадянством, зокрема в контексті колізійного регулювання.</w:t>
      </w:r>
    </w:p>
    <w:p w14:paraId="11EAF751"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 xml:space="preserve">Серйозними є наслідки подвійного громадянства і для юрисдикційної компетенції судів. У спорах за участю осіб з подвійним громадянством </w:t>
      </w:r>
      <w:r w:rsidRPr="00511005">
        <w:rPr>
          <w:rFonts w:ascii="Arial" w:eastAsia="Calibri" w:hAnsi="Arial" w:cs="Arial"/>
          <w:szCs w:val="28"/>
          <w:lang w:val="uk-UA"/>
        </w:rPr>
        <w:lastRenderedPageBreak/>
        <w:t>нерідко виникає конфлікт юрисдикцій, коли кожна держава вважає особу своїм громадянином і претендує на право вирішувати спір у своїх судах. У таких випадках особливої уваги набувають принципи міжнародної ввічливості (comity), неприпустимості подвійного переслідування (ne bis in idem) і поваги до справедливої правової процедури. Наприклад, якщо особа з подвійним громадянством подає позов про розірвання шлюбу у державі, яка визнає лише одне з її громадянств, суд може або відмовити у розгляді справи, або застосувати власне законодавство, ігноруючи право іншої держави [2, с. 105].</w:t>
      </w:r>
    </w:p>
    <w:p w14:paraId="7E1E9B7D"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Окремою проблемою є виконання судових рішень у державах, які не визнають подвійне громадянство або розглядають особу виключно як свого громадянина. Це може призводити до ситуацій, коли рішення, ухвалене в іноземній державі, не підлягає примусовому виконанню з міркувань публічного порядку, що істотно ускладнює правовий захист інтересів сторін та реалізацію принципу правової визначеності.</w:t>
      </w:r>
    </w:p>
    <w:p w14:paraId="77400C08"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У контексті українського законодавства слід зазначити, що Конституція України визнає єдине громадянство, хоча на практиці можливі ситуації, коли особа має й інше громадянство, що визнається іноземною державою. У зв’язку з цим в українських судах виникають питання щодо визначення колізійних норм, що застосовуються до осіб з подвійним громадянством, а також до визначення належної юрисдикції та компетентного суду. При цьому Україна, як і більшість європейських держав, поступово адаптує підходи до вирішення таких питань відповідно до міжнародних стандартів.</w:t>
      </w:r>
    </w:p>
    <w:p w14:paraId="6F1A9866"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Особливу увагу слід звернути на те, що в умовах зростаючої мобільності населення, численних шлюбів між громадянами різних країн, транснаціонального бізнесу та міграції працівників, ситуації подвійного громадянства вже не є винятковими і вимагають системного правового осмислення та уніфікації. Уніфіковані міжнародні акти, такі як модельні закони ЮНСІТРАЛ чи принципи УНІДРУА, можуть бути основою для гармонізації підходів до врегулювання приватно-правових спорів, де фігурують особи з множинним громадянством [3, с. 90].</w:t>
      </w:r>
    </w:p>
    <w:p w14:paraId="6A5566E1"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 xml:space="preserve">Таким чином, подвійне громадянство як правовий феномен має глибокі й багатовимірні наслідки для міжнародних приватно-правових спорів. Від вибору особистого закону до визначення юрисдикції, від застосування колізійних норм до виконання судових рішень – усі ці аспекти вимагають комплексного, гнучкого й збалансованого підходу, заснованого на принципах правової певності, справедливості та міждержавної поваги. Уніфікація колізійних норм, визнання ефективного громадянства як ключового критерію, посилення міжнародного співробітництва в сфері приватного права – усе це є необхідними кроками до створення стійкої й прогнозованої системи правового регулювання в умовах зростаючої кількості осіб із множинним громадянством. Врешті-решт, подолання </w:t>
      </w:r>
      <w:r w:rsidRPr="00511005">
        <w:rPr>
          <w:rFonts w:ascii="Arial" w:eastAsia="Calibri" w:hAnsi="Arial" w:cs="Arial"/>
          <w:szCs w:val="28"/>
          <w:lang w:val="uk-UA"/>
        </w:rPr>
        <w:lastRenderedPageBreak/>
        <w:t>правової невизначеності, пов’язаної з подвійним громадянством, сприятиме утвердженню верховенства права у глобальному масштабі.</w:t>
      </w:r>
    </w:p>
    <w:p w14:paraId="6958C03E" w14:textId="77777777" w:rsidR="00220D3E" w:rsidRPr="00511005" w:rsidRDefault="00220D3E" w:rsidP="003A292D">
      <w:pPr>
        <w:tabs>
          <w:tab w:val="left" w:pos="709"/>
        </w:tabs>
        <w:spacing w:line="264" w:lineRule="auto"/>
        <w:jc w:val="center"/>
        <w:rPr>
          <w:rFonts w:ascii="Arial" w:eastAsia="Calibri" w:hAnsi="Arial" w:cs="Arial"/>
          <w:b/>
          <w:szCs w:val="28"/>
          <w:lang w:val="uk-UA"/>
        </w:rPr>
      </w:pPr>
    </w:p>
    <w:p w14:paraId="0CD40A0E" w14:textId="0A713796" w:rsidR="00220D3E" w:rsidRPr="00511005" w:rsidRDefault="007B2628" w:rsidP="007B2628">
      <w:pPr>
        <w:tabs>
          <w:tab w:val="left" w:pos="709"/>
        </w:tabs>
        <w:spacing w:line="264" w:lineRule="auto"/>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D927468"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 xml:space="preserve">1. </w:t>
      </w:r>
      <w:r w:rsidRPr="00511005">
        <w:rPr>
          <w:rFonts w:ascii="Arial" w:eastAsia="Times New Roman" w:hAnsi="Arial" w:cs="Arial"/>
          <w:szCs w:val="28"/>
          <w:lang w:eastAsia="uk-UA"/>
        </w:rPr>
        <w:t xml:space="preserve">Цибульська О. Ю. Міжнародне приватне </w:t>
      </w:r>
      <w:proofErr w:type="gramStart"/>
      <w:r w:rsidRPr="00511005">
        <w:rPr>
          <w:rFonts w:ascii="Arial" w:eastAsia="Times New Roman" w:hAnsi="Arial" w:cs="Arial"/>
          <w:szCs w:val="28"/>
          <w:lang w:eastAsia="uk-UA"/>
        </w:rPr>
        <w:t>право :</w:t>
      </w:r>
      <w:proofErr w:type="gramEnd"/>
      <w:r w:rsidRPr="00511005">
        <w:rPr>
          <w:rFonts w:ascii="Arial" w:eastAsia="Times New Roman" w:hAnsi="Arial" w:cs="Arial"/>
          <w:szCs w:val="28"/>
          <w:lang w:eastAsia="uk-UA"/>
        </w:rPr>
        <w:t xml:space="preserve"> навч.-метод. посіб. для бакалаврів спец. 293 «Міжнародне право» / О. Ю. Цибульська ; за ред. Х. Н. Бехруза ; Нац. ун-т «Одеська юридична академія». [Електронне видання] – </w:t>
      </w:r>
      <w:proofErr w:type="gramStart"/>
      <w:r w:rsidRPr="00511005">
        <w:rPr>
          <w:rFonts w:ascii="Arial" w:eastAsia="Times New Roman" w:hAnsi="Arial" w:cs="Arial"/>
          <w:szCs w:val="28"/>
          <w:lang w:eastAsia="uk-UA"/>
        </w:rPr>
        <w:t>Одеса :</w:t>
      </w:r>
      <w:proofErr w:type="gramEnd"/>
      <w:r w:rsidRPr="00511005">
        <w:rPr>
          <w:rFonts w:ascii="Arial" w:eastAsia="Times New Roman" w:hAnsi="Arial" w:cs="Arial"/>
          <w:szCs w:val="28"/>
          <w:lang w:eastAsia="uk-UA"/>
        </w:rPr>
        <w:t xml:space="preserve"> Фенікс, 2022. – 59 с.</w:t>
      </w:r>
    </w:p>
    <w:p w14:paraId="368891E6"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2. Міжнародне право: Підручник. Заг. ред. В.А. Ліпкана. Київ: КНТ. 2009. 752 с.</w:t>
      </w:r>
    </w:p>
    <w:p w14:paraId="3051EF69"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3. Міжнародні відносини: навч. посіб.; за ред. М.З. Мальського, Ю.М. Мороза. Київ: Знання, 2010. 463 с.</w:t>
      </w:r>
    </w:p>
    <w:p w14:paraId="525A543A" w14:textId="77777777" w:rsidR="00220D3E" w:rsidRPr="00511005" w:rsidRDefault="00220D3E" w:rsidP="003A292D">
      <w:pPr>
        <w:tabs>
          <w:tab w:val="left" w:pos="709"/>
        </w:tabs>
        <w:spacing w:line="264" w:lineRule="auto"/>
        <w:rPr>
          <w:rFonts w:ascii="Arial" w:eastAsia="Calibri" w:hAnsi="Arial" w:cs="Arial"/>
          <w:b/>
          <w:bCs/>
          <w:szCs w:val="28"/>
          <w:lang w:val="uk-UA"/>
        </w:rPr>
      </w:pPr>
    </w:p>
    <w:p w14:paraId="6E5E210A" w14:textId="6FADB5D9" w:rsidR="00220D3E" w:rsidRPr="00511005" w:rsidRDefault="007B2628" w:rsidP="003A292D">
      <w:pPr>
        <w:tabs>
          <w:tab w:val="left" w:pos="709"/>
        </w:tabs>
        <w:spacing w:line="264" w:lineRule="auto"/>
        <w:rPr>
          <w:rFonts w:ascii="Arial" w:eastAsia="Calibri" w:hAnsi="Arial" w:cs="Arial"/>
          <w:bCs/>
          <w:szCs w:val="28"/>
          <w:lang w:val="uk-UA"/>
        </w:rPr>
      </w:pPr>
      <w:r w:rsidRPr="00511005">
        <w:rPr>
          <w:rFonts w:ascii="Arial" w:eastAsia="Calibri" w:hAnsi="Arial" w:cs="Arial"/>
          <w:b/>
          <w:bCs/>
          <w:i/>
          <w:szCs w:val="28"/>
          <w:lang w:val="uk-UA"/>
        </w:rPr>
        <w:t xml:space="preserve">Ключові слова: </w:t>
      </w:r>
      <w:r w:rsidR="00220D3E" w:rsidRPr="00511005">
        <w:rPr>
          <w:rFonts w:ascii="Arial" w:eastAsia="Calibri" w:hAnsi="Arial" w:cs="Arial"/>
          <w:szCs w:val="28"/>
          <w:lang w:val="uk-UA"/>
        </w:rPr>
        <w:t>подвійне громадянство, міжнародне приватне право, особистий закон, колізійні норми, юрисдикція, ефективне громадянство, доміціль, виконання судових рішень, правова певність, уніфікація</w:t>
      </w:r>
    </w:p>
    <w:p w14:paraId="2C267305" w14:textId="1BCA43E7" w:rsidR="00220D3E" w:rsidRPr="00511005" w:rsidRDefault="007B2628" w:rsidP="003A292D">
      <w:pPr>
        <w:tabs>
          <w:tab w:val="left" w:pos="709"/>
        </w:tabs>
        <w:spacing w:line="264" w:lineRule="auto"/>
        <w:rPr>
          <w:rFonts w:ascii="Arial" w:eastAsia="Calibri" w:hAnsi="Arial" w:cs="Arial"/>
          <w:bCs/>
          <w:szCs w:val="28"/>
          <w:lang w:val="uk-UA"/>
        </w:rPr>
      </w:pPr>
      <w:r w:rsidRPr="00511005">
        <w:rPr>
          <w:rFonts w:ascii="Arial" w:eastAsia="Calibri" w:hAnsi="Arial" w:cs="Arial"/>
          <w:b/>
          <w:bCs/>
          <w:i/>
          <w:szCs w:val="28"/>
          <w:lang w:val="uk-UA"/>
        </w:rPr>
        <w:t xml:space="preserve">Key words: </w:t>
      </w:r>
      <w:r w:rsidR="00220D3E" w:rsidRPr="00511005">
        <w:rPr>
          <w:rFonts w:ascii="Arial" w:eastAsia="Calibri" w:hAnsi="Arial" w:cs="Arial"/>
          <w:szCs w:val="28"/>
          <w:lang w:val="uk-UA"/>
        </w:rPr>
        <w:t>dual citizenship, private international law, personal law, conflict of laws, jurisdiction, effective nationality, domicile, enforcement of court decisions, legal certainty, unification</w:t>
      </w:r>
    </w:p>
    <w:p w14:paraId="5A17605B" w14:textId="624675D7" w:rsidR="00220D3E" w:rsidRPr="00511005" w:rsidRDefault="007B2628" w:rsidP="003A292D">
      <w:pPr>
        <w:tabs>
          <w:tab w:val="left" w:pos="709"/>
        </w:tabs>
        <w:spacing w:line="264" w:lineRule="auto"/>
        <w:jc w:val="left"/>
        <w:rPr>
          <w:rFonts w:ascii="Arial" w:eastAsia="Times New Roman" w:hAnsi="Arial" w:cs="Arial"/>
          <w:szCs w:val="28"/>
          <w:lang w:val="uk-UA" w:eastAsia="ru-RU"/>
        </w:rPr>
      </w:pPr>
      <w:r w:rsidRPr="00511005">
        <w:rPr>
          <w:rFonts w:ascii="Arial" w:eastAsia="Calibri" w:hAnsi="Arial" w:cs="Arial"/>
          <w:b/>
          <w:i/>
          <w:szCs w:val="28"/>
          <w:lang w:val="uk-UA"/>
        </w:rPr>
        <w:t xml:space="preserve">Науковий керівник: </w:t>
      </w:r>
      <w:r w:rsidR="00220D3E" w:rsidRPr="00511005">
        <w:rPr>
          <w:rFonts w:ascii="Arial" w:eastAsia="Calibri" w:hAnsi="Arial" w:cs="Arial"/>
          <w:i/>
          <w:szCs w:val="28"/>
          <w:lang w:val="uk-UA"/>
        </w:rPr>
        <w:t>асистент кафедри Бугаєць А. С.</w:t>
      </w:r>
    </w:p>
    <w:p w14:paraId="4DD85F38"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p>
    <w:p w14:paraId="00C9D139"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 xml:space="preserve">Мішеніна Євгенія Володимирівна </w:t>
      </w:r>
    </w:p>
    <w:p w14:paraId="4DA09946" w14:textId="19B0FC5F"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25250299"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3CA7262" w14:textId="519BB3F3" w:rsidR="00220D3E" w:rsidRPr="00511005" w:rsidRDefault="007B2628"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892D060"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2350C440"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МІЖНАРОДНА ПРАВОВА ОЦІНКА ЗЛОЧИНІВ, ЩО ВЧИНЯЮТЬСЯ В УКРАЇНІ З 2014 РОКУ</w:t>
      </w:r>
    </w:p>
    <w:p w14:paraId="6C8588C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 2014 року Україна пережила низку подій, які суттєво вплинули на її політичну, економічну та соціокультурну ситуацію. Ключовими серед них стали Антитерористична операція (2014–2018), Операція Обʼєднаних Сил (2018–2022) та повномасштабне вторгнення Росії з 24 лютого 2022 року. Ці події супроводжувались серйозними порушеннями прав людини, включно зі злочинами проти людяності.</w:t>
      </w:r>
    </w:p>
    <w:p w14:paraId="59DCA5E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До таких злочинів належать масові вбивства, насильство, примусове переселення, руйнування цивільної інфраструктури та інші акти жорстокості, що суперечать нормам міжнародного гуманітарного права. Вони викликали міжнародний резонанс і привернули увагу світової спільноти.</w:t>
      </w:r>
    </w:p>
    <w:p w14:paraId="00D5CC4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Сьогодні питання встановлення винних, забезпечення справедливого розслідування та притягнення до відповідальності стає особливо актуальним. Аналіз цих злочинів є важливим для розуміння причин </w:t>
      </w:r>
      <w:r w:rsidRPr="00511005">
        <w:rPr>
          <w:rFonts w:ascii="Arial" w:eastAsia="Times New Roman" w:hAnsi="Arial" w:cs="Arial"/>
          <w:szCs w:val="28"/>
          <w:lang w:eastAsia="ru-RU"/>
        </w:rPr>
        <w:lastRenderedPageBreak/>
        <w:t>конфлікту, захисту прав людини та забезпечення справедливості для постраждалих.</w:t>
      </w:r>
    </w:p>
    <w:p w14:paraId="250A006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Хоча тема злочинів проти людяності в Україні залишається недостатньо дослідженою, вона вже привернула увагу окремих науковців. Серед дослідників, які зробили внесок у її вивчення, варто згадати К. </w:t>
      </w:r>
      <w:proofErr w:type="gramStart"/>
      <w:r w:rsidRPr="00511005">
        <w:rPr>
          <w:rFonts w:ascii="Arial" w:eastAsia="Times New Roman" w:hAnsi="Arial" w:cs="Arial"/>
          <w:szCs w:val="28"/>
          <w:lang w:eastAsia="ru-RU"/>
        </w:rPr>
        <w:t>Громовенка,,</w:t>
      </w:r>
      <w:proofErr w:type="gramEnd"/>
      <w:r w:rsidRPr="00511005">
        <w:rPr>
          <w:rFonts w:ascii="Arial" w:eastAsia="Times New Roman" w:hAnsi="Arial" w:cs="Arial"/>
          <w:szCs w:val="28"/>
          <w:lang w:eastAsia="ru-RU"/>
        </w:rPr>
        <w:t xml:space="preserve"> В. Пилипенко, О. Виговська, С. Гельдт та Я. Єрьоменко.[1, с.929]</w:t>
      </w:r>
    </w:p>
    <w:p w14:paraId="0BBE560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Із джерел особливе значення мають звіти Організації з безпеки і співробітництва в Європі, Організації Об’єднаних Націй, а також діяльність Міжнародного кримінального суду, який співпрацює з українськими органами у розслідуванні злочинів.</w:t>
      </w:r>
    </w:p>
    <w:p w14:paraId="1FF5F02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Війна на сході України, що розпочалась у 2014 році, супроводжувалась численними злочинами проти людяності, серед яких масові вбивства, сексуальне насильство, примусове переселення та інші форми жорстокості щодо цивільних. Міжнародна спільнота відреагувала санкціями та підтримкою розслідувань. Однак питання покарання винних і забезпечення справедливого правосуддя залишається відкритим.</w:t>
      </w:r>
    </w:p>
    <w:p w14:paraId="390B594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Учасники Загальних зборів НАПН України наголошують, що внаслідок військової та інформаційної агресії з боку російської федерації на тимчасово окупованих територіях України відбуваються грубі порушення прав людини та прав дитини. Ці порушення суперечать основним міжнародним і національним правовим актам, зокрема: Конституції України (1996), Закону України «Про охорону дитинства» (2001), Європейській конвенції з прав людини (1950), Конвенції ООН про права дитини (1989), Міжнародному пакту про громадянські і політичні права (1966), Декларації прав дитини (1959) та Загальній декларації прав людини (1948). Злочини проти людяності в Україні свідчать про масштабні порушення міжнародно-правових норм у сфері прав людини. [2, с.7]</w:t>
      </w:r>
    </w:p>
    <w:p w14:paraId="036BFA95" w14:textId="77777777" w:rsidR="00220D3E" w:rsidRPr="00511005" w:rsidRDefault="00220D3E" w:rsidP="003A292D">
      <w:pPr>
        <w:tabs>
          <w:tab w:val="left" w:pos="709"/>
          <w:tab w:val="left" w:pos="1160"/>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Злочини проти людяності, скоєні в Україні з 2014 року, стали предметом особливої уваги з боку ОБСЄ — важливого міжнародного механізму моніторингу. Організація фіксувала події, аналізувала правопорушення та гуманітарні проблеми в зоні АТО та ООС. У Звіті ОБСЄ про ситуацію з 24 лютого 2022 року зазначено, що росія є агресором і несе відповідальність за всі людські страждання в Україні. Хоча експерти не могли відвідати Україну, а росія відмовилась від співпраці, у звіті узагальнено публічні дані, що свідчать про численні порушення міжнародного гуманітарного права.[308]</w:t>
      </w:r>
    </w:p>
    <w:p w14:paraId="6078C765" w14:textId="77777777" w:rsidR="00220D3E" w:rsidRPr="00511005" w:rsidRDefault="00220D3E" w:rsidP="003A292D">
      <w:pPr>
        <w:tabs>
          <w:tab w:val="left" w:pos="709"/>
          <w:tab w:val="left" w:pos="1160"/>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Незалежна комісія ООН підтвердила вчинення Росією злочинів проти людяності в Україні. У своєму звіті вона зазначає, що дії РФ, зокрема обстріли цивільних об'єктів, вбивства, тортури, сексуальне насильство, незаконне ув'язнення та депортація дітей, мають ознаки таких злочинів. Зібрані докази свідчать про умисні напади на мирне населення, а також </w:t>
      </w:r>
      <w:r w:rsidRPr="00511005">
        <w:rPr>
          <w:rFonts w:ascii="Arial" w:eastAsia="Times New Roman" w:hAnsi="Arial" w:cs="Arial"/>
          <w:szCs w:val="28"/>
          <w:lang w:eastAsia="ru-RU"/>
        </w:rPr>
        <w:lastRenderedPageBreak/>
        <w:t>використання вибухової зброї у населених пунктах без урахування шкоди для цивільних. Особливо підкреслено, що ці злочини скоювались на територіях, контрольованих російськими військами.[4]</w:t>
      </w:r>
    </w:p>
    <w:p w14:paraId="1486606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Комісія ООН у своєму звіті зазначає, що напади на енергетичну інфраструктуру України та катування мають ознаки злочинів проти людяності, вчинених Росією. На відміну від воєнних злочинів, злочини проти людяності не потребують наявності збройного конфлікту — ключовими є систематичність дій та їхній широкомасштабний характер. Це означає цілеспрямовані напади за єдиною схемою, що охоплюють сотні тисяч осіб і значні території країни.[5]</w:t>
      </w:r>
    </w:p>
    <w:p w14:paraId="022D5325" w14:textId="77777777" w:rsidR="00220D3E" w:rsidRPr="00511005" w:rsidRDefault="00220D3E" w:rsidP="003A292D">
      <w:pPr>
        <w:tabs>
          <w:tab w:val="left" w:pos="709"/>
          <w:tab w:val="left" w:pos="1160"/>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4 березня 2022 року була проголошена Декларація про створення Спеціального трибуналу для розслідування злочину агресії проти України. Основна мета — персональне кримінальне переслідування вищого керівництва РФ як найбільш ефективний спосіб забезпечити відповідальність за порушення міжнародного гуманітарного та кримінального права, а також прав людини.</w:t>
      </w:r>
    </w:p>
    <w:p w14:paraId="1FDB725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Директор з питань Європи та Центральної Азії міжнародної правозахисної організації </w:t>
      </w:r>
      <w:r w:rsidRPr="00511005">
        <w:rPr>
          <w:rFonts w:ascii="Arial" w:eastAsia="Times New Roman" w:hAnsi="Arial" w:cs="Arial"/>
          <w:i/>
          <w:iCs/>
          <w:szCs w:val="28"/>
          <w:lang w:eastAsia="ru-RU"/>
        </w:rPr>
        <w:t>Human Rights Watch</w:t>
      </w:r>
      <w:r w:rsidRPr="00511005">
        <w:rPr>
          <w:rFonts w:ascii="Arial" w:eastAsia="Times New Roman" w:hAnsi="Arial" w:cs="Arial"/>
          <w:szCs w:val="28"/>
          <w:lang w:eastAsia="ru-RU"/>
        </w:rPr>
        <w:t xml:space="preserve"> (HRW) Г'ю Вільямсон наголосив на жахливому характері злочинів, які задокументували представники організації в Україні. За його словами, ці дії свідчать про свідомо вчинене, надзвичайно жорстоке насильство щодо мирного населення. До найтяжчих злочинів, зафіксованих HRW, належать зґвалтування, умисні вбивства, катування та інші форми насильства, що здійснювались над цивільними особами, які потрапили у полон або під варту російських військових.</w:t>
      </w:r>
    </w:p>
    <w:p w14:paraId="40BEE49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Особливу увагу Вільямсон звертає на те, що масштаби та систематичність цих дій дозволяють кваліфікувати їх не просто як воєнні злочини, а саме як злочини проти людяності. Він підкреслив, що такі дії повинні бути об'єктом міжнародного розслідування з метою притягнення винних до відповідальності. Проведення об’єктивного і неупередженого слідства щодо цих злочинів є важливим як для встановлення істини, так і для гарантування справедливості для постраждалих.[6]</w:t>
      </w:r>
    </w:p>
    <w:p w14:paraId="7653D23C" w14:textId="77777777" w:rsidR="00220D3E" w:rsidRPr="00511005" w:rsidRDefault="00220D3E" w:rsidP="003A292D">
      <w:pPr>
        <w:tabs>
          <w:tab w:val="left" w:pos="709"/>
          <w:tab w:val="left" w:pos="1160"/>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Злочини проти людяності, що мали місце в Україні з 2014 року до сьогодні, вимагають всебічного й глибокого дослідження. Таке вивчення є ключовим кроком </w:t>
      </w:r>
      <w:proofErr w:type="gramStart"/>
      <w:r w:rsidRPr="00511005">
        <w:rPr>
          <w:rFonts w:ascii="Arial" w:eastAsia="Times New Roman" w:hAnsi="Arial" w:cs="Arial"/>
          <w:szCs w:val="28"/>
          <w:lang w:eastAsia="ru-RU"/>
        </w:rPr>
        <w:t>на шляху</w:t>
      </w:r>
      <w:proofErr w:type="gramEnd"/>
      <w:r w:rsidRPr="00511005">
        <w:rPr>
          <w:rFonts w:ascii="Arial" w:eastAsia="Times New Roman" w:hAnsi="Arial" w:cs="Arial"/>
          <w:szCs w:val="28"/>
          <w:lang w:eastAsia="ru-RU"/>
        </w:rPr>
        <w:t xml:space="preserve"> до справедливості та притягнення винних до відповідальності. Аналіз цих злочинів сприяє виявленню причин їх вчинення, а також формуванню ефективних механізмів для їх запобігання в майбутньому. Оскільки злочини проти людяності мають міжнародний вимір, їх дослідження відіграє важливу роль у процесі встановлення відповідальності на міжнародному рівні. Ретельне вивчення дозволяє краще зрозуміти природу, масштаби та контекст скоєного, що є необхідним для ефективного реагування на ці виклики.</w:t>
      </w:r>
    </w:p>
    <w:p w14:paraId="08B54B26" w14:textId="77777777" w:rsidR="00220D3E" w:rsidRPr="00511005" w:rsidRDefault="00220D3E" w:rsidP="003A292D">
      <w:pPr>
        <w:tabs>
          <w:tab w:val="left" w:pos="709"/>
          <w:tab w:val="left" w:pos="1160"/>
        </w:tabs>
        <w:spacing w:line="264" w:lineRule="auto"/>
        <w:jc w:val="left"/>
        <w:rPr>
          <w:rFonts w:ascii="Arial" w:eastAsia="Times New Roman" w:hAnsi="Arial" w:cs="Arial"/>
          <w:szCs w:val="28"/>
          <w:lang w:eastAsia="ru-RU"/>
        </w:rPr>
      </w:pPr>
    </w:p>
    <w:p w14:paraId="2E10B451" w14:textId="01B91D2D" w:rsidR="00220D3E" w:rsidRPr="00511005" w:rsidRDefault="007B2628" w:rsidP="007B2628">
      <w:pPr>
        <w:tabs>
          <w:tab w:val="left" w:pos="709"/>
          <w:tab w:val="left" w:pos="1160"/>
        </w:tabs>
        <w:spacing w:line="264" w:lineRule="auto"/>
        <w:ind w:left="709" w:firstLine="0"/>
        <w:contextualSpacing/>
        <w:jc w:val="center"/>
        <w:rPr>
          <w:rFonts w:ascii="Arial" w:eastAsia="Calibri" w:hAnsi="Arial" w:cs="Arial"/>
          <w:b/>
          <w:szCs w:val="28"/>
        </w:rPr>
      </w:pPr>
      <w:r w:rsidRPr="00511005">
        <w:rPr>
          <w:rFonts w:ascii="Arial" w:eastAsia="Times New Roman" w:hAnsi="Arial" w:cs="Arial"/>
          <w:b/>
          <w:szCs w:val="28"/>
          <w:lang w:val="uk-UA" w:eastAsia="ru-RU"/>
        </w:rPr>
        <w:t>Список використаних джерел</w:t>
      </w:r>
    </w:p>
    <w:p w14:paraId="51E25427" w14:textId="77777777" w:rsidR="00220D3E" w:rsidRPr="00511005" w:rsidRDefault="00220D3E" w:rsidP="003F6A5D">
      <w:pPr>
        <w:numPr>
          <w:ilvl w:val="0"/>
          <w:numId w:val="141"/>
        </w:numPr>
        <w:tabs>
          <w:tab w:val="left" w:pos="709"/>
          <w:tab w:val="left" w:pos="1160"/>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Єрьоменко Я., Гаріна Д. та інші. Військові злочини Росії під час війни з Україною та юридична відповідальність за скоєне. </w:t>
      </w:r>
      <w:r w:rsidRPr="00511005">
        <w:rPr>
          <w:rFonts w:ascii="Arial" w:eastAsia="Calibri" w:hAnsi="Arial" w:cs="Arial"/>
          <w:szCs w:val="28"/>
          <w:lang w:val="en-US"/>
        </w:rPr>
        <w:t xml:space="preserve">Proceedings of the 5th International scientific and practical conference. SPC. Lviv, 2022. </w:t>
      </w:r>
      <w:r w:rsidRPr="00511005">
        <w:rPr>
          <w:rFonts w:ascii="Arial" w:eastAsia="Calibri" w:hAnsi="Arial" w:cs="Arial"/>
          <w:szCs w:val="28"/>
        </w:rPr>
        <w:t xml:space="preserve">С. 928-932. URL </w:t>
      </w:r>
      <w:hyperlink r:id="rId528" w:history="1">
        <w:r w:rsidRPr="00511005">
          <w:rPr>
            <w:rFonts w:ascii="Arial" w:eastAsia="Calibri" w:hAnsi="Arial" w:cs="Arial"/>
            <w:szCs w:val="28"/>
          </w:rPr>
          <w:t>https://dspace.onua.edu.ua/server/api/core/bitstreams/f0ec278d-b6b1-4b54-a42d-5302861dd926/content</w:t>
        </w:r>
      </w:hyperlink>
      <w:r w:rsidRPr="00511005">
        <w:rPr>
          <w:rFonts w:ascii="Arial" w:eastAsia="Calibri" w:hAnsi="Arial" w:cs="Arial"/>
          <w:szCs w:val="28"/>
        </w:rPr>
        <w:t xml:space="preserve"> ( дата доступу: 23.04.2025)</w:t>
      </w:r>
    </w:p>
    <w:p w14:paraId="72C33601" w14:textId="72D5F295" w:rsidR="00220D3E" w:rsidRPr="00511005" w:rsidRDefault="00220D3E" w:rsidP="003F6A5D">
      <w:pPr>
        <w:numPr>
          <w:ilvl w:val="0"/>
          <w:numId w:val="141"/>
        </w:numPr>
        <w:tabs>
          <w:tab w:val="left" w:pos="709"/>
          <w:tab w:val="left" w:pos="1160"/>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Виговська О. Міжнародний злочин на Донбасі: духовний геноцид проти українців. Звернення учасників загальних зборів НАПН України до 224 міжнародних організацій, які провадять діяльність в Україні щодо врегулювання конфлікту на Донбасі. Директор школи, ліцею, гімназії. 2018. №19, ч. 3. С. 7–8. URL: </w:t>
      </w:r>
      <w:hyperlink r:id="rId529" w:history="1">
        <w:r w:rsidRPr="00511005">
          <w:rPr>
            <w:rFonts w:ascii="Arial" w:eastAsia="Calibri" w:hAnsi="Arial" w:cs="Arial"/>
            <w:szCs w:val="28"/>
          </w:rPr>
          <w:t>https://director-ua.info/index.php/dslg/article/view/66/62</w:t>
        </w:r>
      </w:hyperlink>
      <w:r w:rsidR="007B2628" w:rsidRPr="00511005">
        <w:rPr>
          <w:rFonts w:ascii="Arial" w:eastAsia="Calibri" w:hAnsi="Arial" w:cs="Arial"/>
          <w:szCs w:val="28"/>
        </w:rPr>
        <w:t xml:space="preserve"> </w:t>
      </w:r>
      <w:r w:rsidRPr="00511005">
        <w:rPr>
          <w:rFonts w:ascii="Arial" w:eastAsia="Calibri" w:hAnsi="Arial" w:cs="Arial"/>
          <w:szCs w:val="28"/>
        </w:rPr>
        <w:t>( дата доступу: 23.04.2025)</w:t>
      </w:r>
    </w:p>
    <w:p w14:paraId="45FBBC66" w14:textId="77777777" w:rsidR="00220D3E" w:rsidRPr="00511005" w:rsidRDefault="00220D3E" w:rsidP="003F6A5D">
      <w:pPr>
        <w:numPr>
          <w:ilvl w:val="0"/>
          <w:numId w:val="141"/>
        </w:numPr>
        <w:tabs>
          <w:tab w:val="left" w:pos="709"/>
          <w:tab w:val="left" w:pos="1160"/>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The OSCE Report on War Crimes in Ukraine: Key Takeaways. Just Security. URL: </w:t>
      </w:r>
      <w:hyperlink r:id="rId530" w:history="1">
        <w:r w:rsidRPr="00511005">
          <w:rPr>
            <w:rFonts w:ascii="Arial" w:eastAsia="Calibri" w:hAnsi="Arial" w:cs="Arial"/>
            <w:szCs w:val="28"/>
            <w:lang w:val="en-US"/>
          </w:rPr>
          <w:t>https://www.justsecurity.org/81218/the-osce-report-on-war-crimes-in-ukraine-key-takeaways-ua/</w:t>
        </w:r>
      </w:hyperlink>
      <w:r w:rsidRPr="00511005">
        <w:rPr>
          <w:rFonts w:ascii="Arial" w:eastAsia="Calibri" w:hAnsi="Arial" w:cs="Arial"/>
          <w:szCs w:val="28"/>
          <w:lang w:val="en-US"/>
        </w:rPr>
        <w:t xml:space="preserve"> ( </w:t>
      </w:r>
      <w:r w:rsidRPr="00511005">
        <w:rPr>
          <w:rFonts w:ascii="Arial" w:eastAsia="Calibri" w:hAnsi="Arial" w:cs="Arial"/>
          <w:szCs w:val="28"/>
        </w:rPr>
        <w:t>дата</w:t>
      </w:r>
      <w:r w:rsidRPr="00511005">
        <w:rPr>
          <w:rFonts w:ascii="Arial" w:eastAsia="Calibri" w:hAnsi="Arial" w:cs="Arial"/>
          <w:szCs w:val="28"/>
          <w:lang w:val="en-US"/>
        </w:rPr>
        <w:t xml:space="preserve"> </w:t>
      </w:r>
      <w:r w:rsidRPr="00511005">
        <w:rPr>
          <w:rFonts w:ascii="Arial" w:eastAsia="Calibri" w:hAnsi="Arial" w:cs="Arial"/>
          <w:szCs w:val="28"/>
        </w:rPr>
        <w:t>доступу</w:t>
      </w:r>
      <w:r w:rsidRPr="00511005">
        <w:rPr>
          <w:rFonts w:ascii="Arial" w:eastAsia="Calibri" w:hAnsi="Arial" w:cs="Arial"/>
          <w:szCs w:val="28"/>
          <w:lang w:val="en-US"/>
        </w:rPr>
        <w:t>: 23.04.2025)</w:t>
      </w:r>
    </w:p>
    <w:p w14:paraId="65776E98" w14:textId="77777777" w:rsidR="00220D3E" w:rsidRPr="00511005" w:rsidRDefault="00220D3E" w:rsidP="003F6A5D">
      <w:pPr>
        <w:numPr>
          <w:ilvl w:val="0"/>
          <w:numId w:val="141"/>
        </w:numPr>
        <w:tabs>
          <w:tab w:val="left" w:pos="709"/>
          <w:tab w:val="left" w:pos="1160"/>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Європейська правда. Незалежна комісія ООН підтвердила, що Росія скоїла воєнні злочини в Україні. Європейська правда. URL: </w:t>
      </w:r>
      <w:hyperlink r:id="rId531"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www</w:t>
        </w:r>
        <w:r w:rsidRPr="00511005">
          <w:rPr>
            <w:rFonts w:ascii="Arial" w:eastAsia="Calibri" w:hAnsi="Arial" w:cs="Arial"/>
            <w:szCs w:val="28"/>
          </w:rPr>
          <w:t>.</w:t>
        </w:r>
        <w:r w:rsidRPr="00511005">
          <w:rPr>
            <w:rFonts w:ascii="Arial" w:eastAsia="Calibri" w:hAnsi="Arial" w:cs="Arial"/>
            <w:szCs w:val="28"/>
            <w:lang w:val="en-US"/>
          </w:rPr>
          <w:t>eurointegration</w:t>
        </w:r>
        <w:r w:rsidRPr="00511005">
          <w:rPr>
            <w:rFonts w:ascii="Arial" w:eastAsia="Calibri" w:hAnsi="Arial" w:cs="Arial"/>
            <w:szCs w:val="28"/>
          </w:rPr>
          <w:t>.</w:t>
        </w:r>
        <w:r w:rsidRPr="00511005">
          <w:rPr>
            <w:rFonts w:ascii="Arial" w:eastAsia="Calibri" w:hAnsi="Arial" w:cs="Arial"/>
            <w:szCs w:val="28"/>
            <w:lang w:val="en-US"/>
          </w:rPr>
          <w:t>com</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news</w:t>
        </w:r>
        <w:r w:rsidRPr="00511005">
          <w:rPr>
            <w:rFonts w:ascii="Arial" w:eastAsia="Calibri" w:hAnsi="Arial" w:cs="Arial"/>
            <w:szCs w:val="28"/>
          </w:rPr>
          <w:t>/2023/03/16/7158124/</w:t>
        </w:r>
      </w:hyperlink>
      <w:r w:rsidRPr="00511005">
        <w:rPr>
          <w:rFonts w:ascii="Arial" w:eastAsia="Calibri" w:hAnsi="Arial" w:cs="Arial"/>
          <w:szCs w:val="28"/>
        </w:rPr>
        <w:t xml:space="preserve"> </w:t>
      </w:r>
      <w:proofErr w:type="gramStart"/>
      <w:r w:rsidRPr="00511005">
        <w:rPr>
          <w:rFonts w:ascii="Arial" w:eastAsia="Calibri" w:hAnsi="Arial" w:cs="Arial"/>
          <w:szCs w:val="28"/>
        </w:rPr>
        <w:t>( дата</w:t>
      </w:r>
      <w:proofErr w:type="gramEnd"/>
      <w:r w:rsidRPr="00511005">
        <w:rPr>
          <w:rFonts w:ascii="Arial" w:eastAsia="Calibri" w:hAnsi="Arial" w:cs="Arial"/>
          <w:szCs w:val="28"/>
        </w:rPr>
        <w:t xml:space="preserve"> доступу: 23.04.2025)</w:t>
      </w:r>
    </w:p>
    <w:p w14:paraId="31DA9962" w14:textId="77777777" w:rsidR="00220D3E" w:rsidRPr="00511005" w:rsidRDefault="00220D3E" w:rsidP="003F6A5D">
      <w:pPr>
        <w:numPr>
          <w:ilvl w:val="0"/>
          <w:numId w:val="141"/>
        </w:numPr>
        <w:tabs>
          <w:tab w:val="left" w:pos="709"/>
          <w:tab w:val="left" w:pos="1160"/>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rPr>
        <w:t xml:space="preserve">Злочини проти людяності в Україні: відмінність від воєнних злочинів та проблематика притягнення до відповідальності. </w:t>
      </w:r>
      <w:r w:rsidRPr="00511005">
        <w:rPr>
          <w:rFonts w:ascii="Arial" w:eastAsia="Calibri" w:hAnsi="Arial" w:cs="Arial"/>
          <w:szCs w:val="28"/>
          <w:lang w:val="en-US"/>
        </w:rPr>
        <w:t xml:space="preserve">European Business Association. European Business Association. URL </w:t>
      </w:r>
      <w:hyperlink r:id="rId532" w:history="1">
        <w:r w:rsidRPr="00511005">
          <w:rPr>
            <w:rFonts w:ascii="Arial" w:eastAsia="Calibri" w:hAnsi="Arial" w:cs="Arial"/>
            <w:szCs w:val="28"/>
            <w:lang w:val="en-US"/>
          </w:rPr>
          <w:t>https://eba.com.ua/zlochyny-proty-lyudyanosti-v-ukrayini-vidminnist-vid-voyennyh-zlochyniv-ta-problematyka-prytyagnennya-do-vidpovidalnosti/</w:t>
        </w:r>
      </w:hyperlink>
      <w:r w:rsidRPr="00511005">
        <w:rPr>
          <w:rFonts w:ascii="Arial" w:eastAsia="Calibri" w:hAnsi="Arial" w:cs="Arial"/>
          <w:szCs w:val="28"/>
          <w:lang w:val="en-US"/>
        </w:rPr>
        <w:t xml:space="preserve"> ( </w:t>
      </w:r>
      <w:r w:rsidRPr="00511005">
        <w:rPr>
          <w:rFonts w:ascii="Arial" w:eastAsia="Calibri" w:hAnsi="Arial" w:cs="Arial"/>
          <w:szCs w:val="28"/>
        </w:rPr>
        <w:t>дата</w:t>
      </w:r>
      <w:r w:rsidRPr="00511005">
        <w:rPr>
          <w:rFonts w:ascii="Arial" w:eastAsia="Calibri" w:hAnsi="Arial" w:cs="Arial"/>
          <w:szCs w:val="28"/>
          <w:lang w:val="en-US"/>
        </w:rPr>
        <w:t xml:space="preserve"> </w:t>
      </w:r>
      <w:r w:rsidRPr="00511005">
        <w:rPr>
          <w:rFonts w:ascii="Arial" w:eastAsia="Calibri" w:hAnsi="Arial" w:cs="Arial"/>
          <w:szCs w:val="28"/>
        </w:rPr>
        <w:t>доступу</w:t>
      </w:r>
      <w:r w:rsidRPr="00511005">
        <w:rPr>
          <w:rFonts w:ascii="Arial" w:eastAsia="Calibri" w:hAnsi="Arial" w:cs="Arial"/>
          <w:szCs w:val="28"/>
          <w:lang w:val="en-US"/>
        </w:rPr>
        <w:t>: 23.04.2025)</w:t>
      </w:r>
    </w:p>
    <w:p w14:paraId="2A3B081D" w14:textId="60C717BA" w:rsidR="00220D3E" w:rsidRPr="00511005" w:rsidRDefault="00220D3E" w:rsidP="003F6A5D">
      <w:pPr>
        <w:numPr>
          <w:ilvl w:val="0"/>
          <w:numId w:val="141"/>
        </w:numPr>
        <w:tabs>
          <w:tab w:val="left" w:pos="709"/>
          <w:tab w:val="left" w:pos="1160"/>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Organization for Security and Cooperation in Europe Office for Democratic Institutions and Human Rights. ODIHR. GAL/26/22/Rev.1. 2022. URL: </w:t>
      </w:r>
      <w:hyperlink r:id="rId533" w:history="1">
        <w:r w:rsidRPr="00511005">
          <w:rPr>
            <w:rFonts w:ascii="Arial" w:eastAsia="Calibri" w:hAnsi="Arial" w:cs="Arial"/>
            <w:szCs w:val="28"/>
            <w:lang w:val="en-US"/>
          </w:rPr>
          <w:t>https://www.osce.org/files/f/documents/f/a/515868.pdf</w:t>
        </w:r>
      </w:hyperlink>
      <w:r w:rsidR="007B2628" w:rsidRPr="00511005">
        <w:rPr>
          <w:rFonts w:ascii="Arial" w:eastAsia="Calibri" w:hAnsi="Arial" w:cs="Arial"/>
          <w:szCs w:val="28"/>
          <w:lang w:val="en-US"/>
        </w:rPr>
        <w:t xml:space="preserve"> </w:t>
      </w:r>
      <w:r w:rsidRPr="00511005">
        <w:rPr>
          <w:rFonts w:ascii="Arial" w:eastAsia="Calibri" w:hAnsi="Arial" w:cs="Arial"/>
          <w:szCs w:val="28"/>
          <w:lang w:val="en-US"/>
        </w:rPr>
        <w:t xml:space="preserve">( </w:t>
      </w:r>
      <w:r w:rsidRPr="00511005">
        <w:rPr>
          <w:rFonts w:ascii="Arial" w:eastAsia="Calibri" w:hAnsi="Arial" w:cs="Arial"/>
          <w:szCs w:val="28"/>
        </w:rPr>
        <w:t>дата</w:t>
      </w:r>
      <w:r w:rsidRPr="00511005">
        <w:rPr>
          <w:rFonts w:ascii="Arial" w:eastAsia="Calibri" w:hAnsi="Arial" w:cs="Arial"/>
          <w:szCs w:val="28"/>
          <w:lang w:val="en-US"/>
        </w:rPr>
        <w:t xml:space="preserve"> </w:t>
      </w:r>
      <w:r w:rsidRPr="00511005">
        <w:rPr>
          <w:rFonts w:ascii="Arial" w:eastAsia="Calibri" w:hAnsi="Arial" w:cs="Arial"/>
          <w:szCs w:val="28"/>
        </w:rPr>
        <w:t>доступу</w:t>
      </w:r>
      <w:r w:rsidRPr="00511005">
        <w:rPr>
          <w:rFonts w:ascii="Arial" w:eastAsia="Calibri" w:hAnsi="Arial" w:cs="Arial"/>
          <w:szCs w:val="28"/>
          <w:lang w:val="en-US"/>
        </w:rPr>
        <w:t>: 23.04.2025)</w:t>
      </w:r>
    </w:p>
    <w:p w14:paraId="35B30D43" w14:textId="77777777" w:rsidR="00220D3E" w:rsidRPr="00511005" w:rsidRDefault="00220D3E" w:rsidP="003A292D">
      <w:pPr>
        <w:tabs>
          <w:tab w:val="left" w:pos="709"/>
          <w:tab w:val="left" w:pos="1160"/>
        </w:tabs>
        <w:spacing w:line="264" w:lineRule="auto"/>
        <w:jc w:val="left"/>
        <w:rPr>
          <w:rFonts w:ascii="Arial" w:eastAsia="Times New Roman" w:hAnsi="Arial" w:cs="Arial"/>
          <w:szCs w:val="28"/>
          <w:lang w:val="en-US" w:eastAsia="ru-RU"/>
        </w:rPr>
      </w:pPr>
    </w:p>
    <w:p w14:paraId="31109D2E" w14:textId="33AA6C6B" w:rsidR="00220D3E" w:rsidRPr="00511005" w:rsidRDefault="007B2628" w:rsidP="003A292D">
      <w:pPr>
        <w:tabs>
          <w:tab w:val="left" w:pos="709"/>
          <w:tab w:val="left" w:pos="1160"/>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злочин проти людяності, війна, комісія ООН, міжнародна спільнота</w:t>
      </w:r>
    </w:p>
    <w:p w14:paraId="656ABF61" w14:textId="25A044F5" w:rsidR="00220D3E" w:rsidRPr="00511005" w:rsidRDefault="007B2628" w:rsidP="003A292D">
      <w:pPr>
        <w:tabs>
          <w:tab w:val="left" w:pos="709"/>
          <w:tab w:val="left" w:pos="1160"/>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crime against humanity, war, UN commission, international community</w:t>
      </w:r>
    </w:p>
    <w:p w14:paraId="4B3CEBFE" w14:textId="23E01E8E" w:rsidR="00220D3E" w:rsidRPr="00511005" w:rsidRDefault="007B2628" w:rsidP="003A292D">
      <w:pPr>
        <w:tabs>
          <w:tab w:val="left" w:pos="709"/>
          <w:tab w:val="left" w:pos="1160"/>
        </w:tabs>
        <w:spacing w:line="264" w:lineRule="auto"/>
        <w:jc w:val="left"/>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w:t>
      </w:r>
      <w:r w:rsidRPr="00511005">
        <w:rPr>
          <w:rFonts w:ascii="Arial" w:eastAsia="Times New Roman" w:hAnsi="Arial" w:cs="Arial"/>
          <w:i/>
          <w:szCs w:val="28"/>
          <w:lang w:eastAsia="ru-RU"/>
        </w:rPr>
        <w:t xml:space="preserve"> </w:t>
      </w:r>
      <w:r w:rsidR="00220D3E" w:rsidRPr="00511005">
        <w:rPr>
          <w:rFonts w:ascii="Arial" w:eastAsia="Times New Roman" w:hAnsi="Arial" w:cs="Arial"/>
          <w:i/>
          <w:szCs w:val="28"/>
          <w:lang w:eastAsia="ru-RU"/>
        </w:rPr>
        <w:t>Гриб А.М.</w:t>
      </w:r>
    </w:p>
    <w:p w14:paraId="7B363D7F" w14:textId="77777777" w:rsidR="00220D3E" w:rsidRPr="00511005" w:rsidRDefault="00220D3E" w:rsidP="003A292D">
      <w:pPr>
        <w:tabs>
          <w:tab w:val="left" w:pos="709"/>
          <w:tab w:val="left" w:pos="1160"/>
        </w:tabs>
        <w:spacing w:line="264" w:lineRule="auto"/>
        <w:jc w:val="left"/>
        <w:rPr>
          <w:rFonts w:ascii="Arial" w:eastAsia="Times New Roman" w:hAnsi="Arial" w:cs="Arial"/>
          <w:szCs w:val="28"/>
          <w:lang w:val="uk-UA" w:eastAsia="ru-RU"/>
        </w:rPr>
      </w:pPr>
    </w:p>
    <w:p w14:paraId="6AE22340"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Овчіннікова Валерія Олексіївна</w:t>
      </w:r>
    </w:p>
    <w:p w14:paraId="006F40AB" w14:textId="18A715C9"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r w:rsidR="00220D3E" w:rsidRPr="00511005">
        <w:rPr>
          <w:rFonts w:ascii="Arial" w:eastAsia="Times New Roman" w:hAnsi="Arial" w:cs="Arial"/>
          <w:szCs w:val="28"/>
          <w:lang w:eastAsia="ru-RU"/>
        </w:rPr>
        <w:br/>
      </w:r>
      <w:r w:rsidR="007B2628" w:rsidRPr="00511005">
        <w:rPr>
          <w:rFonts w:ascii="Arial" w:eastAsia="Times New Roman" w:hAnsi="Arial" w:cs="Arial"/>
          <w:szCs w:val="28"/>
          <w:lang w:eastAsia="ru-RU"/>
        </w:rPr>
        <w:t>Національного університету «Одеська юридична академія»</w:t>
      </w:r>
    </w:p>
    <w:p w14:paraId="4710A1AF"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64178DF1"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b/>
          <w:szCs w:val="28"/>
          <w:lang w:eastAsia="ru-RU"/>
        </w:rPr>
        <w:lastRenderedPageBreak/>
        <w:t>МІЖНАРОДНО-ПРАВОВІ МЕХАНІЗМИ БОРОТЬБИ З ДИСКРИМІНАЦІЄЮ</w:t>
      </w:r>
    </w:p>
    <w:p w14:paraId="76AD33E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Важливість питання про боротьбу з дискримінацією в теперішньому світі, особливо де принципи рівності та недискримінації є наріжними каменями міжнародного права, є вирішальною. Більшість людей в своєму житті хоча б раз стикалися з проявом цього явища, що здійснюється за багатьма ознаками (мова, вік, релігія, нетрадиційна точка зору та інше). Явище дискримінації несе руйнівний характер, який роз’єднує суспільство на групи, що в подальшому будуть суперечити одна одній та спричиняти конфлікти. Таким чином, дискримінація продовжує залишатися серйозним викликом для суспільства, обмежуючи права мільйонів людей по світу.</w:t>
      </w:r>
    </w:p>
    <w:p w14:paraId="6DAD57EB" w14:textId="77777777" w:rsidR="00220D3E" w:rsidRPr="00511005" w:rsidRDefault="00220D3E" w:rsidP="003A292D">
      <w:pPr>
        <w:tabs>
          <w:tab w:val="left" w:pos="709"/>
        </w:tabs>
        <w:spacing w:line="264" w:lineRule="auto"/>
        <w:rPr>
          <w:rFonts w:ascii="Arial" w:eastAsia="Times New Roman" w:hAnsi="Arial" w:cs="Arial"/>
          <w:b/>
          <w:bCs/>
          <w:szCs w:val="28"/>
          <w:lang w:eastAsia="ru-RU"/>
        </w:rPr>
      </w:pPr>
      <w:r w:rsidRPr="00511005">
        <w:rPr>
          <w:rFonts w:ascii="Arial" w:eastAsia="Times New Roman" w:hAnsi="Arial" w:cs="Arial"/>
          <w:szCs w:val="28"/>
          <w:lang w:eastAsia="ru-RU"/>
        </w:rPr>
        <w:t>Метою даної доповіді є ознайомлення з міжнародно-правовою базою, її джерелами, які зробили внесок у захист прав людини та запобігання дискримінації. Досить важливим є розглянути саме такі джерела: Декларація незалежності США (1776 р.); Декларація прав людини і громадянина (1789 р.); Загальна декларація прав людини (ВДПЛ) та Європейська конвенція з прав людини.</w:t>
      </w:r>
    </w:p>
    <w:p w14:paraId="2E12D054" w14:textId="5854A74F"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Почнемо з визначення поняття «дискримінація» за українським законодавством. Згідно з Законом України «Про засади запобігання та протидії дискримінації в Україні» ст. 1, п. 2</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«дискримінація - ситуація, за якої особа та/або група осіб за їх ознаками раси, кольору шкіри, політичних, релігійних та інших переконань, статі, віку, інвалідності, етнічного та соціального походження, громадянства, сімейного та майнового стану, місця проживання, мовними або іншими ознаками, які були, є та можуть бути дійсними або припущеними (далі - певні ознаки), зазнає обмеження у визнанні, реалізації або користуванні правами і свободами в будь-якій формі, встановленій цим Законом, крім випадків, коли таке обмеження має правомірну, об’єктивно обґрунтовану мету, способи досягнення якої є належними та необхідними» [1].</w:t>
      </w:r>
    </w:p>
    <w:p w14:paraId="22CEE70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 всю історію міжнародного права було винайдено безліч правових механізмів боротьби з дискримінацією. Перші нормативні акти, які закріпили основні віхи захисту прав людини були Декларації незалежності США (1776 р.) та Декларації прав людини і громадянина (1789 р.). </w:t>
      </w:r>
    </w:p>
    <w:p w14:paraId="7681E07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Декларацію незалежності США структурно поділяють на три основні частини. Початковий розділ проголошує фундаментальну рівність усіх людей та їхні невідчужувані права, серед яких першочерговими є право на життя, свободу та пошуки щастя. Обґрунтовується, що саме для гарантування цих прав людство створює уряди, влада яких походить від народу, що надає йому право та навіть обов'язок змінювати або ліквідувати неефективний уряд. Ця частина має універсальний характер для будь-якої нації. Другий розділ Декларації містить конкретний перелік дій британського монарха, які, на думку авторів, порушували права та свободи жителів </w:t>
      </w:r>
      <w:r w:rsidRPr="00511005">
        <w:rPr>
          <w:rFonts w:ascii="Arial" w:eastAsia="Times New Roman" w:hAnsi="Arial" w:cs="Arial"/>
          <w:szCs w:val="28"/>
          <w:lang w:eastAsia="ru-RU"/>
        </w:rPr>
        <w:lastRenderedPageBreak/>
        <w:t xml:space="preserve">північноамериканських колоній. На підставі викладених у перших двох частинах аргументів, третій розділ містить безпосередній висновок про проголошення незалежності від британської корони [6,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.185-186].</w:t>
      </w:r>
    </w:p>
    <w:p w14:paraId="6F8C344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Декларація прав людини і громадянина 1789 року мала визначальний вплив на становлення ліберальної демократії у світовому масштабі. У 2003 році її було включено до міжнародного реєстру ЮНЕСКО "Пам'ять світу", що підкреслює її виняткову значущість. Аналізуючи документ, можна стверджувати, що Декларація стала маніфестом, спрямованим проти феодальних порядків, та закріпила політичні й правові прагнення буржуазії на початковому етапі революції. Саме з неї випливають ключові принципи буржуазного права. Проголошені у французькій Декларації 1789 року права та свободи людини і громадянина набули всесвітнього значення, ставши важливими орієнтирами для оновлення та гуманізації суспільного і державного устрою в багатьох країнах [5,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 xml:space="preserve">.33-34]. </w:t>
      </w:r>
    </w:p>
    <w:p w14:paraId="70BE70EA" w14:textId="12B8EF41"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Наступним важливим компонентом у формуванні прав людини є Загальна декларація прав людини (ВДПЛ), яка є віхою в історії прав людини.</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декларація, прийнята Генеральною Асамблеєю ООН 10 грудня 1948 року в Паризькому палаці Шайо. Розроблений представниками з різним правовим і культурним походженням з усіх регіонів світу, він вперше встановлює основні права людини, які мають бути захищені повсюдно. Наприклад, стаття 7 цієї Декларації вказує на те, що всі мають рівність перед законом, а також мають право, без будь-якої різниці, на рівний захист перед законом [2].</w:t>
      </w:r>
    </w:p>
    <w:p w14:paraId="54FEBB3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Проривом у міжнародному праві стала Європейська конвенція з прав людини, адже до цієї конвенції не існувало міжнародного органу, до якого могла б звернутися фізична особа проти держави. Європейська конвенція з прав людини була відкрита для підписання в Римі 4 листопада 1950 року та набула чинності 3 вересня 1953 року. Це був перший документ, який закріпив певні права, викладені в Загальній декларації прав людини, і зробив їх обов’язковими [3]. У даній конвенції в статті 14 вказано на заборону дискримінації таким чином: «Користування правами та свободами, визнаними в цій Конвенції, має бути забезпечене без дискримінації за будь-якою ознакою - статі, раси, кольору шкіри, мови, релігії, політичних чи інших переконань, національного чи соціального походження, належності до національних меншин, майнового стану, народження, або за іншою ознакою» [4,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.13].</w:t>
      </w:r>
    </w:p>
    <w:p w14:paraId="4B6110B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Таким чином, дослідження підкреслює актуальність боротьби з дискримінацією як ключового завдання міжнародного права, адже це явище руйнує суспільство. Аналіз українського законодавства демонструє розуміння проблеми. Розгляд історичного контексту виявляє еволюцію поглядів на рівність, від Декларації незалежності США та Декларації прав людини і громадянина до Загальної декларації прав людини та </w:t>
      </w:r>
      <w:r w:rsidRPr="00511005">
        <w:rPr>
          <w:rFonts w:ascii="Arial" w:eastAsia="Times New Roman" w:hAnsi="Arial" w:cs="Arial"/>
          <w:szCs w:val="28"/>
          <w:lang w:eastAsia="ru-RU"/>
        </w:rPr>
        <w:lastRenderedPageBreak/>
        <w:t>Європейської конвенції з прав людини, яка створила дієвий механізм захисту.</w:t>
      </w:r>
    </w:p>
    <w:p w14:paraId="65CAE6E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Отже, міжнародно-правові механізми пройшли значний розвиток, але дискримінація залишається викликом, що потребує вдосконалення правових інструментів та їхньої імплементації. Подальші дослідження можуть аналізувати ефективність існуючих механізмів для дієвішої протидії дискримінації.</w:t>
      </w:r>
    </w:p>
    <w:p w14:paraId="34088B53"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46D5C877" w14:textId="78F1C2C9" w:rsidR="00220D3E" w:rsidRPr="00511005" w:rsidRDefault="007B2628" w:rsidP="007B2628">
      <w:pPr>
        <w:keepNext/>
        <w:widowControl w:val="0"/>
        <w:tabs>
          <w:tab w:val="left" w:pos="709"/>
        </w:tabs>
        <w:spacing w:line="264" w:lineRule="auto"/>
        <w:contextualSpacing/>
        <w:jc w:val="center"/>
        <w:rPr>
          <w:rFonts w:ascii="Arial" w:eastAsia="Calibri" w:hAnsi="Arial" w:cs="Arial"/>
          <w:b/>
          <w:iCs/>
          <w:szCs w:val="28"/>
        </w:rPr>
      </w:pPr>
      <w:r w:rsidRPr="00511005">
        <w:rPr>
          <w:rFonts w:ascii="Arial" w:eastAsia="Calibri" w:hAnsi="Arial" w:cs="Arial"/>
          <w:b/>
          <w:iCs/>
          <w:szCs w:val="28"/>
          <w:lang w:val="uk-UA"/>
        </w:rPr>
        <w:t>Список використаних джерел</w:t>
      </w:r>
    </w:p>
    <w:p w14:paraId="12786ADB" w14:textId="77777777" w:rsidR="00220D3E" w:rsidRPr="00511005" w:rsidRDefault="00220D3E" w:rsidP="003F6A5D">
      <w:pPr>
        <w:numPr>
          <w:ilvl w:val="0"/>
          <w:numId w:val="14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Про засади запобігання та протидії дискримінації в </w:t>
      </w:r>
      <w:proofErr w:type="gramStart"/>
      <w:r w:rsidRPr="00511005">
        <w:rPr>
          <w:rFonts w:ascii="Arial" w:eastAsia="Calibri" w:hAnsi="Arial" w:cs="Arial"/>
          <w:szCs w:val="28"/>
        </w:rPr>
        <w:t>Україні :</w:t>
      </w:r>
      <w:proofErr w:type="gramEnd"/>
      <w:r w:rsidRPr="00511005">
        <w:rPr>
          <w:rFonts w:ascii="Arial" w:eastAsia="Calibri" w:hAnsi="Arial" w:cs="Arial"/>
          <w:szCs w:val="28"/>
        </w:rPr>
        <w:t xml:space="preserve"> Закон України від 06.09.2012 № 5207-VI : станом на 30 трав. 2014 р. URL: </w:t>
      </w:r>
      <w:hyperlink r:id="rId534" w:anchor="Text" w:tgtFrame="_blank" w:history="1">
        <w:r w:rsidRPr="00511005">
          <w:rPr>
            <w:rFonts w:ascii="Arial" w:eastAsia="Calibri" w:hAnsi="Arial" w:cs="Arial"/>
            <w:szCs w:val="28"/>
          </w:rPr>
          <w:t>https://zakon.rada.gov.ua/laws/show/5207-17#Text</w:t>
        </w:r>
      </w:hyperlink>
      <w:r w:rsidRPr="00511005">
        <w:rPr>
          <w:rFonts w:ascii="Arial" w:eastAsia="Calibri" w:hAnsi="Arial" w:cs="Arial"/>
          <w:szCs w:val="28"/>
        </w:rPr>
        <w:t> (дата звернення: 09.04.2025).</w:t>
      </w:r>
    </w:p>
    <w:p w14:paraId="30A7FD12" w14:textId="77777777" w:rsidR="00220D3E" w:rsidRPr="00511005" w:rsidRDefault="00220D3E" w:rsidP="003F6A5D">
      <w:pPr>
        <w:numPr>
          <w:ilvl w:val="0"/>
          <w:numId w:val="14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Загальна декларація прав людини: Декларація Орг. Об'єдн. Націй від 10.12.1948. URL: </w:t>
      </w:r>
      <w:hyperlink r:id="rId535" w:anchor="Text" w:tgtFrame="_blank" w:history="1">
        <w:r w:rsidRPr="00511005">
          <w:rPr>
            <w:rFonts w:ascii="Arial" w:eastAsia="Calibri" w:hAnsi="Arial" w:cs="Arial"/>
            <w:szCs w:val="28"/>
          </w:rPr>
          <w:t>https://zakon.rada.gov.ua/laws/show/995_015#Text</w:t>
        </w:r>
      </w:hyperlink>
      <w:r w:rsidRPr="00511005">
        <w:rPr>
          <w:rFonts w:ascii="Arial" w:eastAsia="Calibri" w:hAnsi="Arial" w:cs="Arial"/>
          <w:szCs w:val="28"/>
        </w:rPr>
        <w:t> (дата звернення: 09.04.2025).</w:t>
      </w:r>
    </w:p>
    <w:p w14:paraId="37A46724" w14:textId="77777777" w:rsidR="00220D3E" w:rsidRPr="00511005" w:rsidRDefault="00220D3E" w:rsidP="003F6A5D">
      <w:pPr>
        <w:numPr>
          <w:ilvl w:val="0"/>
          <w:numId w:val="142"/>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European convention on human rights. </w:t>
      </w:r>
      <w:r w:rsidRPr="00511005">
        <w:rPr>
          <w:rFonts w:ascii="Arial" w:eastAsia="Calibri" w:hAnsi="Arial" w:cs="Arial"/>
          <w:i/>
          <w:iCs/>
          <w:szCs w:val="28"/>
          <w:lang w:val="en-US"/>
        </w:rPr>
        <w:t>European Court of Human Rights</w:t>
      </w:r>
      <w:r w:rsidRPr="00511005">
        <w:rPr>
          <w:rFonts w:ascii="Arial" w:eastAsia="Calibri" w:hAnsi="Arial" w:cs="Arial"/>
          <w:szCs w:val="28"/>
          <w:lang w:val="en-US"/>
        </w:rPr>
        <w:t>. URL: </w:t>
      </w:r>
      <w:hyperlink r:id="rId536" w:tgtFrame="_blank" w:history="1">
        <w:r w:rsidRPr="00511005">
          <w:rPr>
            <w:rFonts w:ascii="Arial" w:eastAsia="Calibri" w:hAnsi="Arial" w:cs="Arial"/>
            <w:szCs w:val="28"/>
            <w:lang w:val="en-US"/>
          </w:rPr>
          <w:t>https://www.echr.coe.int/european-convention-on-human-rights</w:t>
        </w:r>
      </w:hyperlink>
      <w:r w:rsidRPr="00511005">
        <w:rPr>
          <w:rFonts w:ascii="Arial" w:eastAsia="Calibri" w:hAnsi="Arial" w:cs="Arial"/>
          <w:szCs w:val="28"/>
          <w:lang w:val="en-US"/>
        </w:rPr>
        <w:t> (date of access: 09.04.2025).</w:t>
      </w:r>
    </w:p>
    <w:p w14:paraId="3915B47C" w14:textId="77777777" w:rsidR="00220D3E" w:rsidRPr="00511005" w:rsidRDefault="00220D3E" w:rsidP="003F6A5D">
      <w:pPr>
        <w:numPr>
          <w:ilvl w:val="0"/>
          <w:numId w:val="142"/>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European convention on human rights. Oxford University Press, Incorporated, 2005. URL: </w:t>
      </w:r>
      <w:hyperlink r:id="rId537" w:tgtFrame="_blank" w:history="1">
        <w:r w:rsidRPr="00511005">
          <w:rPr>
            <w:rFonts w:ascii="Arial" w:eastAsia="Calibri" w:hAnsi="Arial" w:cs="Arial"/>
            <w:szCs w:val="28"/>
            <w:lang w:val="en-US"/>
          </w:rPr>
          <w:t>https://www.echr.coe.int/documents/d/echr/convention_ENG</w:t>
        </w:r>
      </w:hyperlink>
      <w:r w:rsidRPr="00511005">
        <w:rPr>
          <w:rFonts w:ascii="Arial" w:eastAsia="Calibri" w:hAnsi="Arial" w:cs="Arial"/>
          <w:szCs w:val="28"/>
          <w:lang w:val="en-US"/>
        </w:rPr>
        <w:t> (date of access: 09.04.2025).</w:t>
      </w:r>
    </w:p>
    <w:p w14:paraId="10B9BBD0" w14:textId="77777777" w:rsidR="00220D3E" w:rsidRPr="00511005" w:rsidRDefault="00220D3E" w:rsidP="003F6A5D">
      <w:pPr>
        <w:numPr>
          <w:ilvl w:val="0"/>
          <w:numId w:val="14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Любенна Т. К. ДЕКЛАРАЦІЯ ПРАВ ЛЮДИНИ І ГРОМАДЯНИНА 1789 р. ЯК ІДЕОЛОГІЧНА ПІДВАЛИНА УТВЕРДЖЕННЯ ДЕМОКРАТИЧНОГО ПРАВОВОГО РЕЖИМУ У ФРАНЦІЇ. м. Полтава / ред. В. Стрілець. Полтава. С. 33–34. URL: </w:t>
      </w:r>
      <w:hyperlink r:id="rId538" w:tgtFrame="_blank" w:history="1">
        <w:r w:rsidRPr="00511005">
          <w:rPr>
            <w:rFonts w:ascii="Arial" w:eastAsia="Calibri" w:hAnsi="Arial" w:cs="Arial"/>
            <w:szCs w:val="28"/>
          </w:rPr>
          <w:t>http://dspace.pnpu.edu.ua/bitstream/123456789/3643/1/Ljubenna.pdf</w:t>
        </w:r>
      </w:hyperlink>
      <w:r w:rsidRPr="00511005">
        <w:rPr>
          <w:rFonts w:ascii="Arial" w:eastAsia="Calibri" w:hAnsi="Arial" w:cs="Arial"/>
          <w:szCs w:val="28"/>
        </w:rPr>
        <w:t> (дата звернення: 09.04.2025).</w:t>
      </w:r>
    </w:p>
    <w:p w14:paraId="4066C7F8" w14:textId="77777777" w:rsidR="00220D3E" w:rsidRPr="00511005" w:rsidRDefault="00220D3E" w:rsidP="003F6A5D">
      <w:pPr>
        <w:numPr>
          <w:ilvl w:val="0"/>
          <w:numId w:val="142"/>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Віловецька М. Декларація незалежності Сполучених Штатів Америки 1776 року, її принципи та значення. 2019. С. 185–186. URL: </w:t>
      </w:r>
      <w:hyperlink r:id="rId539" w:tgtFrame="_blank" w:history="1">
        <w:r w:rsidRPr="00511005">
          <w:rPr>
            <w:rFonts w:ascii="Arial" w:eastAsia="Calibri" w:hAnsi="Arial" w:cs="Arial"/>
            <w:szCs w:val="28"/>
          </w:rPr>
          <w:t>http://eprints.zu.edu.ua/30316/1/Волівецька_макет_збірн%20ЖНАЕУ%202019%20готовий.-страницы-183-186.pdf</w:t>
        </w:r>
      </w:hyperlink>
      <w:r w:rsidRPr="00511005">
        <w:rPr>
          <w:rFonts w:ascii="Arial" w:eastAsia="Calibri" w:hAnsi="Arial" w:cs="Arial"/>
          <w:szCs w:val="28"/>
        </w:rPr>
        <w:t> (дата звернення: 09.04.2025).</w:t>
      </w:r>
    </w:p>
    <w:p w14:paraId="421251C8" w14:textId="30A0ED20" w:rsidR="00220D3E" w:rsidRPr="00511005" w:rsidRDefault="007B2628" w:rsidP="003A292D">
      <w:pPr>
        <w:tabs>
          <w:tab w:val="left" w:pos="709"/>
        </w:tabs>
        <w:spacing w:line="264" w:lineRule="auto"/>
        <w:rPr>
          <w:rFonts w:ascii="Arial" w:eastAsia="Times New Roman" w:hAnsi="Arial" w:cs="Arial"/>
          <w:bCs/>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bCs/>
          <w:szCs w:val="28"/>
          <w:lang w:eastAsia="ru-RU"/>
        </w:rPr>
        <w:t>дискримінація, боротьба з дискримінацією, міжнародно-правові механізми, права людини, Загальна декларація з прав людини, Європейська конвенція з прав людини, захист прав людини, рівність.</w:t>
      </w:r>
    </w:p>
    <w:p w14:paraId="53D83395" w14:textId="6DFA2245"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discrimination, fight against discrimination, international legal mechanisms, human rights, Universal Declaration of Human Rights, European Convention on Human Rights, protection of human rights, equality.</w:t>
      </w:r>
    </w:p>
    <w:p w14:paraId="283FB160" w14:textId="0584ABF4" w:rsidR="00220D3E" w:rsidRPr="00511005" w:rsidRDefault="007B2628" w:rsidP="003A292D">
      <w:pPr>
        <w:tabs>
          <w:tab w:val="left" w:pos="709"/>
        </w:tabs>
        <w:spacing w:line="264" w:lineRule="auto"/>
        <w:jc w:val="left"/>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eastAsia="ru-RU"/>
        </w:rPr>
        <w:t>к.ю.н., доцент Грушко М.В.</w:t>
      </w:r>
      <w:r w:rsidR="00220D3E" w:rsidRPr="00511005">
        <w:rPr>
          <w:rFonts w:ascii="Arial" w:eastAsia="Times New Roman" w:hAnsi="Arial" w:cs="Arial"/>
          <w:i/>
          <w:iCs/>
          <w:szCs w:val="28"/>
          <w:lang w:val="uk-UA" w:eastAsia="ru-RU"/>
        </w:rPr>
        <w:t xml:space="preserve"> </w:t>
      </w:r>
    </w:p>
    <w:p w14:paraId="2E8465FA" w14:textId="77777777" w:rsidR="00220D3E" w:rsidRPr="00511005" w:rsidRDefault="00220D3E" w:rsidP="003A292D">
      <w:pPr>
        <w:tabs>
          <w:tab w:val="left" w:pos="709"/>
        </w:tabs>
        <w:spacing w:line="264" w:lineRule="auto"/>
        <w:jc w:val="left"/>
        <w:rPr>
          <w:rFonts w:ascii="Arial" w:eastAsia="Times New Roman" w:hAnsi="Arial" w:cs="Arial"/>
          <w:i/>
          <w:iCs/>
          <w:szCs w:val="28"/>
          <w:lang w:val="uk-UA" w:eastAsia="ru-RU"/>
        </w:rPr>
      </w:pPr>
    </w:p>
    <w:p w14:paraId="2848E0D8" w14:textId="77777777" w:rsidR="00220D3E" w:rsidRPr="00511005" w:rsidRDefault="00220D3E" w:rsidP="003A292D">
      <w:pPr>
        <w:tabs>
          <w:tab w:val="left" w:pos="709"/>
        </w:tabs>
        <w:spacing w:line="264" w:lineRule="auto"/>
        <w:jc w:val="left"/>
        <w:rPr>
          <w:rFonts w:ascii="Arial" w:eastAsia="Times New Roman" w:hAnsi="Arial" w:cs="Arial"/>
          <w:i/>
          <w:iCs/>
          <w:szCs w:val="28"/>
          <w:lang w:val="uk-UA" w:eastAsia="ru-RU"/>
        </w:rPr>
      </w:pPr>
    </w:p>
    <w:p w14:paraId="0EE67AB7" w14:textId="77777777" w:rsidR="00220D3E" w:rsidRPr="00511005" w:rsidRDefault="00220D3E" w:rsidP="003A292D">
      <w:pPr>
        <w:tabs>
          <w:tab w:val="left" w:pos="709"/>
        </w:tabs>
        <w:spacing w:line="264" w:lineRule="auto"/>
        <w:jc w:val="left"/>
        <w:rPr>
          <w:rFonts w:ascii="Arial" w:eastAsia="Times New Roman" w:hAnsi="Arial" w:cs="Arial"/>
          <w:i/>
          <w:iCs/>
          <w:szCs w:val="28"/>
          <w:lang w:val="uk-UA" w:eastAsia="ru-RU"/>
        </w:rPr>
      </w:pPr>
    </w:p>
    <w:p w14:paraId="3AFE7375"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 xml:space="preserve">Озерова Вікторія Сергіївна </w:t>
      </w:r>
    </w:p>
    <w:p w14:paraId="4EA01317" w14:textId="3803045C"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r w:rsidR="00220D3E"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6E092D0C" w14:textId="77777777" w:rsidR="00220D3E" w:rsidRPr="00511005" w:rsidRDefault="00220D3E" w:rsidP="003A292D">
      <w:pPr>
        <w:tabs>
          <w:tab w:val="left" w:pos="709"/>
        </w:tabs>
        <w:spacing w:line="264" w:lineRule="auto"/>
        <w:ind w:firstLine="0"/>
        <w:jc w:val="left"/>
        <w:rPr>
          <w:rFonts w:ascii="Arial" w:eastAsia="Times New Roman" w:hAnsi="Arial" w:cs="Arial"/>
          <w:b/>
          <w:szCs w:val="28"/>
          <w:lang w:val="uk-UA" w:eastAsia="ru-RU"/>
        </w:rPr>
      </w:pPr>
    </w:p>
    <w:p w14:paraId="71122170"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РОЛЬ ООН У ЗАХИСТІ МІЖНАРОДНОГО МИРУ І БЕЗПЕКИ</w:t>
      </w:r>
    </w:p>
    <w:p w14:paraId="5F99BE18" w14:textId="77777777" w:rsidR="00220D3E" w:rsidRPr="00511005" w:rsidRDefault="00220D3E" w:rsidP="003A292D">
      <w:pPr>
        <w:tabs>
          <w:tab w:val="left" w:pos="709"/>
        </w:tabs>
        <w:spacing w:line="264" w:lineRule="auto"/>
        <w:ind w:right="-1"/>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Після Другої світової війни міжнародне співтовариство усвідомило потребу створення механізму, який би забезпечував мир і безпеку на глобальному рівні. </w:t>
      </w:r>
      <w:r w:rsidRPr="00511005">
        <w:rPr>
          <w:rFonts w:ascii="Arial" w:eastAsia="Times New Roman" w:hAnsi="Arial" w:cs="Arial"/>
          <w:szCs w:val="28"/>
          <w:lang w:eastAsia="ru-RU"/>
        </w:rPr>
        <w:t xml:space="preserve">Таким механізмом стала Організація Об’єднаних Націй (ООН), заснована у 1945 році. Її головна місія, зафіксована у Статуті ООН, полягає у підтриманні міжнародного миру та безпеки, а також у розвитку дружніх відносин між націями, сприянні співпраці для вирішення міжнародних проблем та заохоченні поваги до прав людини [1][3]. </w:t>
      </w:r>
      <w:r w:rsidRPr="00511005">
        <w:rPr>
          <w:rFonts w:ascii="Arial" w:eastAsia="Times New Roman" w:hAnsi="Arial" w:cs="Arial"/>
          <w:szCs w:val="28"/>
          <w:lang w:val="uk-UA" w:eastAsia="ru-RU"/>
        </w:rPr>
        <w:t xml:space="preserve">Підтримання міжнародного миру і безпеки є однією з ключових функцій Організації Об’єднаних Націй (ООН), що передбачено у Статуті ООН. </w:t>
      </w:r>
      <w:r w:rsidRPr="00511005">
        <w:rPr>
          <w:rFonts w:ascii="Arial" w:eastAsia="Times New Roman" w:hAnsi="Arial" w:cs="Arial"/>
          <w:szCs w:val="28"/>
          <w:lang w:eastAsia="ru-RU"/>
        </w:rPr>
        <w:t>В умовах сучасного світу, який характеризується численними збройними конфліктами, терористичними загрозами, порушеннями прав людини та екологічними катастрофами, роль ООН набуває особливого значення. Вона виступає глобальним інструментом координації зусиль міжнародної спільноти для запобігання, врегулювання та подолання конфліктів.</w:t>
      </w:r>
    </w:p>
    <w:p w14:paraId="281E9B07" w14:textId="77777777" w:rsidR="00220D3E" w:rsidRPr="00511005" w:rsidRDefault="00220D3E" w:rsidP="003A292D">
      <w:pPr>
        <w:tabs>
          <w:tab w:val="left" w:pos="709"/>
        </w:tabs>
        <w:spacing w:line="264" w:lineRule="auto"/>
        <w:ind w:right="-1"/>
        <w:rPr>
          <w:rFonts w:ascii="Arial" w:eastAsia="Times New Roman" w:hAnsi="Arial" w:cs="Arial"/>
          <w:szCs w:val="28"/>
          <w:lang w:val="uk-UA" w:eastAsia="ru-RU"/>
        </w:rPr>
      </w:pPr>
      <w:r w:rsidRPr="00511005">
        <w:rPr>
          <w:rFonts w:ascii="Arial" w:eastAsia="Times New Roman" w:hAnsi="Arial" w:cs="Arial"/>
          <w:szCs w:val="28"/>
          <w:lang w:val="uk-UA" w:eastAsia="ru-RU"/>
        </w:rPr>
        <w:t>1. ПРАВОВІ ЗАСАДИ ДІЯЛЬНОСТІ ООН У СФЕРІ МИРУ І БЕЗПЕКИ</w:t>
      </w:r>
      <w:r w:rsidRPr="00511005">
        <w:rPr>
          <w:rFonts w:ascii="Arial" w:eastAsia="Times New Roman" w:hAnsi="Arial" w:cs="Arial"/>
          <w:szCs w:val="28"/>
          <w:lang w:val="uk-UA" w:eastAsia="ru-RU"/>
        </w:rPr>
        <w:br/>
        <w:t xml:space="preserve">Статут ООН є основоположним міжнародно-правовим актом, що закріплює цілі та принципи діяльності ООН. </w:t>
      </w:r>
      <w:r w:rsidRPr="00511005">
        <w:rPr>
          <w:rFonts w:ascii="Arial" w:eastAsia="Times New Roman" w:hAnsi="Arial" w:cs="Arial"/>
          <w:szCs w:val="28"/>
          <w:lang w:eastAsia="ru-RU"/>
        </w:rPr>
        <w:t xml:space="preserve">Серед них – збереження миру, запобігання агресії, врегулювання спорів мирними засобами, утримання від застосування сили, а також забезпечення колективної безпеки (розділи I-VII Статуту ООН) [1]. Рада Безпеки, як єдиний орган, уповноважений приймати обов’язкові рішення, визначає загрози миру, акти агресії та ухвалює відповідні заходи (санкції, миротворчі операції) [3][14]. Статут ООН (1945) визначає головну мету організації – підтримання міжнародного миру і безпеки [ст.1]. Рада Безпеки ООН несе основну відповідальність за забезпечення миру. Вона має право приймати обов’язкові рішення, зокрема щодо застосування санкцій або проведення миротворчих операцій (статті 39–51 Статуту) [1]. Застосування Статуту відображається і в практиці ЄСПЛ, зокрема при розгляді заяв про порушення прав у контексті збройних конфліктів [2][17]. Успішність ООН як гаранта миру значною мірою залежить від політичної волі її членів, зокрема п’яти постійних </w:t>
      </w:r>
      <w:proofErr w:type="gramStart"/>
      <w:r w:rsidRPr="00511005">
        <w:rPr>
          <w:rFonts w:ascii="Arial" w:eastAsia="Times New Roman" w:hAnsi="Arial" w:cs="Arial"/>
          <w:szCs w:val="28"/>
          <w:lang w:eastAsia="ru-RU"/>
        </w:rPr>
        <w:t>членів</w:t>
      </w:r>
      <w:proofErr w:type="gramEnd"/>
      <w:r w:rsidRPr="00511005">
        <w:rPr>
          <w:rFonts w:ascii="Arial" w:eastAsia="Times New Roman" w:hAnsi="Arial" w:cs="Arial"/>
          <w:szCs w:val="28"/>
          <w:lang w:eastAsia="ru-RU"/>
        </w:rPr>
        <w:t xml:space="preserve"> Ради Безпеки, які мають право вето.</w:t>
      </w:r>
    </w:p>
    <w:p w14:paraId="392E1C22" w14:textId="525C46C5" w:rsidR="00220D3E" w:rsidRPr="00511005" w:rsidRDefault="00220D3E" w:rsidP="003A292D">
      <w:pPr>
        <w:tabs>
          <w:tab w:val="left" w:pos="709"/>
        </w:tabs>
        <w:spacing w:line="264" w:lineRule="auto"/>
        <w:ind w:right="-1"/>
        <w:rPr>
          <w:rFonts w:ascii="Arial" w:eastAsia="Times New Roman" w:hAnsi="Arial" w:cs="Arial"/>
          <w:szCs w:val="28"/>
          <w:lang w:val="uk-UA" w:eastAsia="ru-RU"/>
        </w:rPr>
      </w:pPr>
      <w:r w:rsidRPr="00511005">
        <w:rPr>
          <w:rFonts w:ascii="Arial" w:eastAsia="Times New Roman" w:hAnsi="Arial" w:cs="Arial"/>
          <w:szCs w:val="28"/>
          <w:lang w:val="uk-UA" w:eastAsia="ru-RU"/>
        </w:rPr>
        <w:t>2. МИРОТВОРЧІ ОПЕРАЦІЇ ООН</w:t>
      </w:r>
      <w:r w:rsidRPr="00511005">
        <w:rPr>
          <w:rFonts w:ascii="Arial" w:eastAsia="Times New Roman" w:hAnsi="Arial" w:cs="Arial"/>
          <w:szCs w:val="28"/>
          <w:lang w:val="uk-UA" w:eastAsia="ru-RU"/>
        </w:rPr>
        <w:br/>
        <w:t xml:space="preserve">Миротворчі місії є одним з найвідоміших і найбільш видимих інструментів діяльності ООН. </w:t>
      </w:r>
      <w:r w:rsidRPr="00511005">
        <w:rPr>
          <w:rFonts w:ascii="Arial" w:eastAsia="Times New Roman" w:hAnsi="Arial" w:cs="Arial"/>
          <w:szCs w:val="28"/>
          <w:lang w:eastAsia="ru-RU"/>
        </w:rPr>
        <w:t xml:space="preserve">З 1948 року ООН провела понад 70 миротворчих операцій </w:t>
      </w:r>
      <w:r w:rsidRPr="00511005">
        <w:rPr>
          <w:rFonts w:ascii="Arial" w:eastAsia="Times New Roman" w:hAnsi="Arial" w:cs="Arial"/>
          <w:szCs w:val="28"/>
          <w:lang w:eastAsia="ru-RU"/>
        </w:rPr>
        <w:lastRenderedPageBreak/>
        <w:t xml:space="preserve">[8]. Основними принципами таких операцій є згода сторін, нейтральність та незастосування сили, за винятком самооборони/Миротворчість ООН є найпомітнішим інструментом у сфері безпеки. Операції розгортаються за </w:t>
      </w:r>
      <w:proofErr w:type="gramStart"/>
      <w:r w:rsidRPr="00511005">
        <w:rPr>
          <w:rFonts w:ascii="Arial" w:eastAsia="Times New Roman" w:hAnsi="Arial" w:cs="Arial"/>
          <w:szCs w:val="28"/>
          <w:lang w:eastAsia="ru-RU"/>
        </w:rPr>
        <w:t>мандатом</w:t>
      </w:r>
      <w:proofErr w:type="gramEnd"/>
      <w:r w:rsidRPr="00511005">
        <w:rPr>
          <w:rFonts w:ascii="Arial" w:eastAsia="Times New Roman" w:hAnsi="Arial" w:cs="Arial"/>
          <w:szCs w:val="28"/>
          <w:lang w:eastAsia="ru-RU"/>
        </w:rPr>
        <w:t xml:space="preserve"> Ради Безпеки і лише за згодою держави, на території якої вони здійснюються [8]. Вони включають: контроль за режимом припинення вогню, роззброєння, допомогу у виборах, відновлення державних інституцій. Успішні приклади включають місію UNAMSIL у Сьєрра-Леоне та UNTAET у Східному Тиморі, які сприяли відновленню стабільності після громадянських війн [10][11].</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Ці операції дозволили стабілізувати ситуацію, відновити державні інституції, провести демократичні вибори та забезпечити базову безпеку [9][24]. Проте деякі місії, наприклад у Руанді, зазнали критики через неефективність або брак ресурсів [6][7].</w:t>
      </w:r>
      <w:r w:rsidRPr="00511005">
        <w:rPr>
          <w:rFonts w:ascii="Arial" w:eastAsia="Times New Roman" w:hAnsi="Arial" w:cs="Arial"/>
          <w:szCs w:val="28"/>
          <w:lang w:eastAsia="ru-RU"/>
        </w:rPr>
        <w:br/>
      </w:r>
      <w:r w:rsidRPr="00511005">
        <w:rPr>
          <w:rFonts w:ascii="Arial" w:eastAsia="Times New Roman" w:hAnsi="Arial" w:cs="Arial"/>
          <w:szCs w:val="28"/>
          <w:lang w:val="uk-UA" w:eastAsia="ru-RU"/>
        </w:rPr>
        <w:tab/>
        <w:t>3. САНКЦІЙНА ПОЛІТИКА ТА МЕХАНІЗМИ ВПЛИВУ</w:t>
      </w:r>
      <w:r w:rsidRPr="00511005">
        <w:rPr>
          <w:rFonts w:ascii="Arial" w:eastAsia="Times New Roman" w:hAnsi="Arial" w:cs="Arial"/>
          <w:szCs w:val="28"/>
          <w:lang w:val="uk-UA" w:eastAsia="ru-RU"/>
        </w:rPr>
        <w:br/>
        <w:t>ООН застосовує обмежувальні заходи- санкції для стримування агресорів та забезпечення дотримання міжнародного права. Вони можуть бути цільовими (економічними, дипломатичними, військовими [12]) або всеохопними. Приклади включають санкції проти КНДР, Ірану та терористичних організацій (Аль-Каїда, ІДІЛ) [13]. Ефективність санкцій залежить від їхньої підтримки з боку міжнародної спільноти та дотримання механізмів контролю [18][19].</w:t>
      </w:r>
      <w:r w:rsidRPr="00511005">
        <w:rPr>
          <w:rFonts w:ascii="Arial" w:eastAsia="Times New Roman" w:hAnsi="Arial" w:cs="Arial"/>
          <w:szCs w:val="28"/>
          <w:lang w:val="uk-UA" w:eastAsia="ru-RU"/>
        </w:rPr>
        <w:br/>
      </w:r>
      <w:r w:rsidRPr="00511005">
        <w:rPr>
          <w:rFonts w:ascii="Arial" w:eastAsia="Times New Roman" w:hAnsi="Arial" w:cs="Arial"/>
          <w:szCs w:val="28"/>
          <w:lang w:val="uk-UA" w:eastAsia="ru-RU"/>
        </w:rPr>
        <w:tab/>
        <w:t>4. ЗАХИСТ ПРАВ ЛЮДИНИ І ГУМАНІТАРНА ДОПОМОГА</w:t>
      </w:r>
      <w:r w:rsidRPr="00511005">
        <w:rPr>
          <w:rFonts w:ascii="Arial" w:eastAsia="Times New Roman" w:hAnsi="Arial" w:cs="Arial"/>
          <w:szCs w:val="28"/>
          <w:lang w:val="uk-UA" w:eastAsia="ru-RU"/>
        </w:rPr>
        <w:br/>
        <w:t xml:space="preserve">ООН через свої агентства – УВКБ, ЮНІСЕФ, ВПП – захищає права цивільного населення в умовах конфлікту, надає гуманітарну допомогу, захищає навколишнє середовище [5][15]. Спеціальні доповідачі та комісії з розслідування допомагають виявити порушення та притягнути винних до відповідальності. </w:t>
      </w:r>
      <w:r w:rsidRPr="00511005">
        <w:rPr>
          <w:rFonts w:ascii="Arial" w:eastAsia="Times New Roman" w:hAnsi="Arial" w:cs="Arial"/>
          <w:szCs w:val="28"/>
          <w:lang w:eastAsia="ru-RU"/>
        </w:rPr>
        <w:t>Важливою сферою є також захист навколишнього середовища під час збройних конфліктів [5][16], що стає новим напрямом міжнародного права. Гуманітарні місії у Сирії, Україні, Афганістані свідчать про критичну роль ООН у забезпеченні базових потреб цивільного населення. Також велику роль відіграє співпраця з Європейським судом з прав людини щодо захисту колективних прав, зокрема права на об’єднання [2].</w:t>
      </w:r>
    </w:p>
    <w:p w14:paraId="38FA0DDB" w14:textId="77777777" w:rsidR="00220D3E" w:rsidRPr="00511005" w:rsidRDefault="00220D3E" w:rsidP="003A292D">
      <w:pPr>
        <w:tabs>
          <w:tab w:val="left" w:pos="-284"/>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5. ПРОБЛЕМИ І ПЕРСПЕКТИВИ РЕФОРМУВАННЯ</w:t>
      </w:r>
      <w:r w:rsidRPr="00511005">
        <w:rPr>
          <w:rFonts w:ascii="Arial" w:eastAsia="Times New Roman" w:hAnsi="Arial" w:cs="Arial"/>
          <w:szCs w:val="28"/>
          <w:lang w:eastAsia="ru-RU"/>
        </w:rPr>
        <w:br/>
        <w:t xml:space="preserve">Існуюча система безпеки ООН зазнає критики через неефективність, політизацію </w:t>
      </w:r>
      <w:proofErr w:type="gramStart"/>
      <w:r w:rsidRPr="00511005">
        <w:rPr>
          <w:rFonts w:ascii="Arial" w:eastAsia="Times New Roman" w:hAnsi="Arial" w:cs="Arial"/>
          <w:szCs w:val="28"/>
          <w:lang w:eastAsia="ru-RU"/>
        </w:rPr>
        <w:t>рішень</w:t>
      </w:r>
      <w:proofErr w:type="gramEnd"/>
      <w:r w:rsidRPr="00511005">
        <w:rPr>
          <w:rFonts w:ascii="Arial" w:eastAsia="Times New Roman" w:hAnsi="Arial" w:cs="Arial"/>
          <w:szCs w:val="28"/>
          <w:lang w:eastAsia="ru-RU"/>
        </w:rPr>
        <w:t xml:space="preserve"> Ради Безпеки, право вето постійних членів [20][21]. У фокусі змін – розширення кількості постійних членів, обмеження права вето, посилення співпраці з регіональними організаціями [20][21][23]. Сучасні виклики – гібридні війни, тероризм, кібератаки, кліматичні загрози – потребують нових механізмів. Серед пропозицій реформ: обмеження вето у випадках геноциду, розширення </w:t>
      </w:r>
      <w:proofErr w:type="gramStart"/>
      <w:r w:rsidRPr="00511005">
        <w:rPr>
          <w:rFonts w:ascii="Arial" w:eastAsia="Times New Roman" w:hAnsi="Arial" w:cs="Arial"/>
          <w:szCs w:val="28"/>
          <w:lang w:eastAsia="ru-RU"/>
        </w:rPr>
        <w:t>складу</w:t>
      </w:r>
      <w:proofErr w:type="gramEnd"/>
      <w:r w:rsidRPr="00511005">
        <w:rPr>
          <w:rFonts w:ascii="Arial" w:eastAsia="Times New Roman" w:hAnsi="Arial" w:cs="Arial"/>
          <w:szCs w:val="28"/>
          <w:lang w:eastAsia="ru-RU"/>
        </w:rPr>
        <w:t xml:space="preserve"> Ради Безпеки, посилення ролі Генеральної Асамблеї [22][23]. ООН також потребує активнішої взаємодії з регіональними організаціями (ЄС, НАТО, Африканський союз) [27].</w:t>
      </w:r>
    </w:p>
    <w:p w14:paraId="6BF26BAA" w14:textId="0C7C0ADE" w:rsidR="00220D3E" w:rsidRPr="00511005" w:rsidRDefault="00220D3E" w:rsidP="003A292D">
      <w:pPr>
        <w:tabs>
          <w:tab w:val="left" w:pos="-284"/>
          <w:tab w:val="left" w:pos="709"/>
        </w:tabs>
        <w:spacing w:line="264" w:lineRule="auto"/>
        <w:ind w:right="-1"/>
        <w:rPr>
          <w:rFonts w:ascii="Arial" w:eastAsia="Times New Roman" w:hAnsi="Arial" w:cs="Arial"/>
          <w:szCs w:val="28"/>
          <w:lang w:val="uk-UA" w:eastAsia="ru-RU"/>
        </w:rPr>
      </w:pPr>
      <w:r w:rsidRPr="00511005">
        <w:rPr>
          <w:rFonts w:ascii="Arial" w:eastAsia="Times New Roman" w:hAnsi="Arial" w:cs="Arial"/>
          <w:szCs w:val="28"/>
          <w:lang w:eastAsia="ru-RU"/>
        </w:rPr>
        <w:lastRenderedPageBreak/>
        <w:t>ВИСНОВКИ</w:t>
      </w:r>
      <w:r w:rsidRPr="00511005">
        <w:rPr>
          <w:rFonts w:ascii="Arial" w:eastAsia="Times New Roman" w:hAnsi="Arial" w:cs="Arial"/>
          <w:szCs w:val="28"/>
          <w:lang w:eastAsia="ru-RU"/>
        </w:rPr>
        <w:br/>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ab/>
      </w:r>
      <w:r w:rsidRPr="00511005">
        <w:rPr>
          <w:rFonts w:ascii="Arial" w:eastAsia="Times New Roman" w:hAnsi="Arial" w:cs="Arial"/>
          <w:szCs w:val="28"/>
          <w:lang w:eastAsia="ru-RU"/>
        </w:rPr>
        <w:t xml:space="preserve">ООН залишається центральним елементом глобальної </w:t>
      </w:r>
      <w:r w:rsidRPr="00511005">
        <w:rPr>
          <w:rFonts w:ascii="Arial" w:eastAsia="Times New Roman" w:hAnsi="Arial" w:cs="Arial"/>
          <w:szCs w:val="28"/>
          <w:lang w:val="uk-UA" w:eastAsia="ru-RU"/>
        </w:rPr>
        <w:t>архітектури миру і безпеки</w:t>
      </w:r>
      <w:r w:rsidRPr="00511005">
        <w:rPr>
          <w:rFonts w:ascii="Arial" w:eastAsia="Times New Roman" w:hAnsi="Arial" w:cs="Arial"/>
          <w:szCs w:val="28"/>
          <w:lang w:eastAsia="ru-RU"/>
        </w:rPr>
        <w:t xml:space="preserve">. Попри </w:t>
      </w:r>
      <w:r w:rsidRPr="00511005">
        <w:rPr>
          <w:rFonts w:ascii="Arial" w:eastAsia="Times New Roman" w:hAnsi="Arial" w:cs="Arial"/>
          <w:szCs w:val="28"/>
          <w:lang w:val="uk-UA" w:eastAsia="ru-RU"/>
        </w:rPr>
        <w:t xml:space="preserve">різні виклики та </w:t>
      </w:r>
      <w:r w:rsidRPr="00511005">
        <w:rPr>
          <w:rFonts w:ascii="Arial" w:eastAsia="Times New Roman" w:hAnsi="Arial" w:cs="Arial"/>
          <w:szCs w:val="28"/>
          <w:lang w:eastAsia="ru-RU"/>
        </w:rPr>
        <w:t xml:space="preserve">складнощі, </w:t>
      </w:r>
      <w:r w:rsidRPr="00511005">
        <w:rPr>
          <w:rFonts w:ascii="Arial" w:eastAsia="Times New Roman" w:hAnsi="Arial" w:cs="Arial"/>
          <w:szCs w:val="28"/>
          <w:lang w:val="uk-UA" w:eastAsia="ru-RU"/>
        </w:rPr>
        <w:t xml:space="preserve">вона демонструє значну здатність до адаптації і впливу, </w:t>
      </w:r>
      <w:r w:rsidRPr="00511005">
        <w:rPr>
          <w:rFonts w:ascii="Arial" w:eastAsia="Times New Roman" w:hAnsi="Arial" w:cs="Arial"/>
          <w:szCs w:val="28"/>
          <w:lang w:eastAsia="ru-RU"/>
        </w:rPr>
        <w:t>її діяльність у сфері миротворчості, санкційної політики, захисту прав людини та гуманітарної допомоги залишається незамінною для стабільності міжнародного порядку.</w:t>
      </w:r>
      <w:r w:rsidRPr="00511005">
        <w:rPr>
          <w:rFonts w:ascii="Arial" w:eastAsia="Times New Roman" w:hAnsi="Arial" w:cs="Arial"/>
          <w:szCs w:val="28"/>
          <w:lang w:val="uk-UA" w:eastAsia="ru-RU"/>
        </w:rPr>
        <w:t xml:space="preserve"> У майбутньому ефективність ООН залежатиме від її здатності реформуватися та зберігати довіру міжнародної спільноти.</w:t>
      </w:r>
    </w:p>
    <w:p w14:paraId="0DB99A6D" w14:textId="24660EC8" w:rsidR="001E775A" w:rsidRPr="00511005" w:rsidRDefault="001E775A" w:rsidP="003A292D">
      <w:pPr>
        <w:tabs>
          <w:tab w:val="left" w:pos="-284"/>
          <w:tab w:val="left" w:pos="709"/>
        </w:tabs>
        <w:spacing w:line="264" w:lineRule="auto"/>
        <w:ind w:right="-1"/>
        <w:rPr>
          <w:rFonts w:ascii="Arial" w:eastAsia="Times New Roman" w:hAnsi="Arial" w:cs="Arial"/>
          <w:szCs w:val="28"/>
          <w:lang w:val="uk-UA" w:eastAsia="ru-RU"/>
        </w:rPr>
      </w:pPr>
    </w:p>
    <w:p w14:paraId="7A51D78F" w14:textId="0DCFCF34" w:rsidR="001E775A" w:rsidRPr="00511005" w:rsidRDefault="007B2628" w:rsidP="007B2628">
      <w:pPr>
        <w:tabs>
          <w:tab w:val="left" w:pos="-284"/>
          <w:tab w:val="left" w:pos="709"/>
        </w:tabs>
        <w:spacing w:line="264" w:lineRule="auto"/>
        <w:ind w:right="-1"/>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Список використаних джерел</w:t>
      </w:r>
    </w:p>
    <w:p w14:paraId="3A0CCE6E"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uk-UA"/>
        </w:rPr>
      </w:pPr>
      <w:r w:rsidRPr="00511005">
        <w:rPr>
          <w:rFonts w:ascii="Arial" w:eastAsia="Times New Roman" w:hAnsi="Arial" w:cs="Arial"/>
          <w:szCs w:val="28"/>
        </w:rPr>
        <w:t xml:space="preserve">1. Статут ООН. </w:t>
      </w:r>
      <w:r w:rsidRPr="00511005">
        <w:rPr>
          <w:rFonts w:ascii="Arial" w:eastAsia="Times New Roman" w:hAnsi="Arial" w:cs="Arial"/>
          <w:szCs w:val="28"/>
          <w:lang w:val="pl-PL"/>
        </w:rPr>
        <w:t xml:space="preserve">URL: </w:t>
      </w:r>
      <w:hyperlink r:id="rId540" w:history="1">
        <w:r w:rsidRPr="00511005">
          <w:rPr>
            <w:rFonts w:ascii="Arial" w:eastAsia="Times New Roman" w:hAnsi="Arial" w:cs="Arial"/>
            <w:szCs w:val="28"/>
            <w:lang w:val="pl-PL"/>
          </w:rPr>
          <w:t>https://www.un.org/ru/about-us/un-charter</w:t>
        </w:r>
      </w:hyperlink>
      <w:r w:rsidRPr="00511005">
        <w:rPr>
          <w:rFonts w:ascii="Arial" w:eastAsia="Times New Roman" w:hAnsi="Arial" w:cs="Arial"/>
          <w:szCs w:val="28"/>
          <w:lang w:val="uk-UA"/>
        </w:rPr>
        <w:t xml:space="preserve"> </w:t>
      </w:r>
    </w:p>
    <w:p w14:paraId="18582522"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rPr>
        <w:t xml:space="preserve">2. Бааджи Н. А., Грушко М. В. Право на свободу об’єднання в асоціації та профспілки: практика ЄСПЛ. </w:t>
      </w:r>
      <w:r w:rsidRPr="00511005">
        <w:rPr>
          <w:rFonts w:ascii="Arial" w:eastAsia="Times New Roman" w:hAnsi="Arial" w:cs="Arial"/>
          <w:szCs w:val="28"/>
          <w:lang w:val="en-US"/>
        </w:rPr>
        <w:t xml:space="preserve">Право і суспільство. 2024. № 5. С. 332–338.URL: </w:t>
      </w:r>
      <w:hyperlink r:id="rId541" w:history="1">
        <w:r w:rsidRPr="00511005">
          <w:rPr>
            <w:rFonts w:ascii="Arial" w:eastAsia="Times New Roman" w:hAnsi="Arial" w:cs="Arial"/>
            <w:szCs w:val="28"/>
            <w:lang w:val="en-US"/>
          </w:rPr>
          <w:t>https://doi.org/10.32842/2078-3736/2024.5.48</w:t>
        </w:r>
      </w:hyperlink>
      <w:r w:rsidRPr="00511005">
        <w:rPr>
          <w:rFonts w:ascii="Arial" w:eastAsia="Times New Roman" w:hAnsi="Arial" w:cs="Arial"/>
          <w:szCs w:val="28"/>
          <w:lang w:val="en-US"/>
        </w:rPr>
        <w:t xml:space="preserve"> </w:t>
      </w:r>
    </w:p>
    <w:p w14:paraId="089554A9"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3. United Nations. Security Council. URL: </w:t>
      </w:r>
      <w:hyperlink r:id="rId542" w:history="1">
        <w:r w:rsidRPr="00511005">
          <w:rPr>
            <w:rFonts w:ascii="Arial" w:eastAsia="Times New Roman" w:hAnsi="Arial" w:cs="Arial"/>
            <w:szCs w:val="28"/>
            <w:lang w:val="en-US"/>
          </w:rPr>
          <w:t>https://www.un.org/securitycouncil</w:t>
        </w:r>
      </w:hyperlink>
      <w:r w:rsidRPr="00511005">
        <w:rPr>
          <w:rFonts w:ascii="Arial" w:eastAsia="Times New Roman" w:hAnsi="Arial" w:cs="Arial"/>
          <w:szCs w:val="28"/>
          <w:lang w:val="en-US"/>
        </w:rPr>
        <w:t xml:space="preserve"> </w:t>
      </w:r>
    </w:p>
    <w:p w14:paraId="63DD798F"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4. Boutros-Ghali B. An Agenda for Peace. UN Doc. A/47/277-S/24111, 1992. URL: </w:t>
      </w:r>
      <w:hyperlink r:id="rId543" w:history="1">
        <w:r w:rsidRPr="00511005">
          <w:rPr>
            <w:rFonts w:ascii="Arial" w:eastAsia="Times New Roman" w:hAnsi="Arial" w:cs="Arial"/>
            <w:szCs w:val="28"/>
            <w:lang w:val="en-US"/>
          </w:rPr>
          <w:t>https://digitallibrary.un.org/record/145749?ln=en</w:t>
        </w:r>
      </w:hyperlink>
      <w:r w:rsidRPr="00511005">
        <w:rPr>
          <w:rFonts w:ascii="Arial" w:eastAsia="Times New Roman" w:hAnsi="Arial" w:cs="Arial"/>
          <w:szCs w:val="28"/>
          <w:lang w:val="en-US"/>
        </w:rPr>
        <w:t xml:space="preserve"> </w:t>
      </w:r>
    </w:p>
    <w:p w14:paraId="428D5C8F" w14:textId="4914D0EF" w:rsidR="00220D3E" w:rsidRPr="00055389" w:rsidRDefault="00220D3E" w:rsidP="003A292D">
      <w:pPr>
        <w:tabs>
          <w:tab w:val="left" w:pos="709"/>
        </w:tabs>
        <w:spacing w:line="264" w:lineRule="auto"/>
        <w:ind w:right="-1" w:firstLine="0"/>
        <w:contextualSpacing/>
        <w:rPr>
          <w:rFonts w:ascii="Arial" w:eastAsia="Times New Roman" w:hAnsi="Arial" w:cs="Arial"/>
          <w:szCs w:val="28"/>
        </w:rPr>
      </w:pPr>
      <w:r w:rsidRPr="00055389">
        <w:rPr>
          <w:rFonts w:ascii="Arial" w:eastAsia="Times New Roman" w:hAnsi="Arial" w:cs="Arial"/>
          <w:szCs w:val="28"/>
        </w:rPr>
        <w:t xml:space="preserve">5. </w:t>
      </w:r>
      <w:r w:rsidRPr="00511005">
        <w:rPr>
          <w:rFonts w:ascii="Arial" w:eastAsia="Times New Roman" w:hAnsi="Arial" w:cs="Arial"/>
          <w:szCs w:val="28"/>
        </w:rPr>
        <w:t>Бехруз</w:t>
      </w:r>
      <w:r w:rsidRPr="00055389">
        <w:rPr>
          <w:rFonts w:ascii="Arial" w:eastAsia="Times New Roman" w:hAnsi="Arial" w:cs="Arial"/>
          <w:szCs w:val="28"/>
        </w:rPr>
        <w:t xml:space="preserve"> </w:t>
      </w:r>
      <w:r w:rsidRPr="00511005">
        <w:rPr>
          <w:rFonts w:ascii="Arial" w:eastAsia="Times New Roman" w:hAnsi="Arial" w:cs="Arial"/>
          <w:szCs w:val="28"/>
        </w:rPr>
        <w:t>Х</w:t>
      </w:r>
      <w:r w:rsidRPr="00055389">
        <w:rPr>
          <w:rFonts w:ascii="Arial" w:eastAsia="Times New Roman" w:hAnsi="Arial" w:cs="Arial"/>
          <w:szCs w:val="28"/>
        </w:rPr>
        <w:t xml:space="preserve">. </w:t>
      </w:r>
      <w:r w:rsidRPr="00511005">
        <w:rPr>
          <w:rFonts w:ascii="Arial" w:eastAsia="Times New Roman" w:hAnsi="Arial" w:cs="Arial"/>
          <w:szCs w:val="28"/>
        </w:rPr>
        <w:t>Н</w:t>
      </w:r>
      <w:r w:rsidRPr="00055389">
        <w:rPr>
          <w:rFonts w:ascii="Arial" w:eastAsia="Times New Roman" w:hAnsi="Arial" w:cs="Arial"/>
          <w:szCs w:val="28"/>
        </w:rPr>
        <w:t xml:space="preserve">., </w:t>
      </w:r>
      <w:r w:rsidRPr="00511005">
        <w:rPr>
          <w:rFonts w:ascii="Arial" w:eastAsia="Times New Roman" w:hAnsi="Arial" w:cs="Arial"/>
          <w:szCs w:val="28"/>
        </w:rPr>
        <w:t>Грушко</w:t>
      </w:r>
      <w:r w:rsidRPr="00055389">
        <w:rPr>
          <w:rFonts w:ascii="Arial" w:eastAsia="Times New Roman" w:hAnsi="Arial" w:cs="Arial"/>
          <w:szCs w:val="28"/>
        </w:rPr>
        <w:t xml:space="preserve"> </w:t>
      </w:r>
      <w:r w:rsidRPr="00511005">
        <w:rPr>
          <w:rFonts w:ascii="Arial" w:eastAsia="Times New Roman" w:hAnsi="Arial" w:cs="Arial"/>
          <w:szCs w:val="28"/>
        </w:rPr>
        <w:t>М</w:t>
      </w:r>
      <w:r w:rsidRPr="00055389">
        <w:rPr>
          <w:rFonts w:ascii="Arial" w:eastAsia="Times New Roman" w:hAnsi="Arial" w:cs="Arial"/>
          <w:szCs w:val="28"/>
        </w:rPr>
        <w:t xml:space="preserve">. </w:t>
      </w:r>
      <w:r w:rsidRPr="00511005">
        <w:rPr>
          <w:rFonts w:ascii="Arial" w:eastAsia="Times New Roman" w:hAnsi="Arial" w:cs="Arial"/>
          <w:szCs w:val="28"/>
        </w:rPr>
        <w:t>В</w:t>
      </w:r>
      <w:r w:rsidRPr="00055389">
        <w:rPr>
          <w:rFonts w:ascii="Arial" w:eastAsia="Times New Roman" w:hAnsi="Arial" w:cs="Arial"/>
          <w:szCs w:val="28"/>
        </w:rPr>
        <w:t xml:space="preserve">. </w:t>
      </w:r>
      <w:r w:rsidRPr="00511005">
        <w:rPr>
          <w:rFonts w:ascii="Arial" w:eastAsia="Times New Roman" w:hAnsi="Arial" w:cs="Arial"/>
          <w:szCs w:val="28"/>
        </w:rPr>
        <w:t>Захист</w:t>
      </w:r>
      <w:r w:rsidRPr="00055389">
        <w:rPr>
          <w:rFonts w:ascii="Arial" w:eastAsia="Times New Roman" w:hAnsi="Arial" w:cs="Arial"/>
          <w:szCs w:val="28"/>
        </w:rPr>
        <w:t xml:space="preserve"> </w:t>
      </w:r>
      <w:r w:rsidRPr="00511005">
        <w:rPr>
          <w:rFonts w:ascii="Arial" w:eastAsia="Times New Roman" w:hAnsi="Arial" w:cs="Arial"/>
          <w:szCs w:val="28"/>
        </w:rPr>
        <w:t>навколишнього</w:t>
      </w:r>
      <w:r w:rsidRPr="00055389">
        <w:rPr>
          <w:rFonts w:ascii="Arial" w:eastAsia="Times New Roman" w:hAnsi="Arial" w:cs="Arial"/>
          <w:szCs w:val="28"/>
        </w:rPr>
        <w:t xml:space="preserve"> </w:t>
      </w:r>
      <w:r w:rsidRPr="00511005">
        <w:rPr>
          <w:rFonts w:ascii="Arial" w:eastAsia="Times New Roman" w:hAnsi="Arial" w:cs="Arial"/>
          <w:szCs w:val="28"/>
        </w:rPr>
        <w:t>середовища</w:t>
      </w:r>
      <w:r w:rsidRPr="00055389">
        <w:rPr>
          <w:rFonts w:ascii="Arial" w:eastAsia="Times New Roman" w:hAnsi="Arial" w:cs="Arial"/>
          <w:szCs w:val="28"/>
        </w:rPr>
        <w:t xml:space="preserve"> </w:t>
      </w:r>
      <w:r w:rsidRPr="00511005">
        <w:rPr>
          <w:rFonts w:ascii="Arial" w:eastAsia="Times New Roman" w:hAnsi="Arial" w:cs="Arial"/>
          <w:szCs w:val="28"/>
        </w:rPr>
        <w:t>від</w:t>
      </w:r>
      <w:r w:rsidRPr="00055389">
        <w:rPr>
          <w:rFonts w:ascii="Arial" w:eastAsia="Times New Roman" w:hAnsi="Arial" w:cs="Arial"/>
          <w:szCs w:val="28"/>
        </w:rPr>
        <w:t xml:space="preserve"> </w:t>
      </w:r>
      <w:r w:rsidRPr="00511005">
        <w:rPr>
          <w:rFonts w:ascii="Arial" w:eastAsia="Times New Roman" w:hAnsi="Arial" w:cs="Arial"/>
          <w:szCs w:val="28"/>
        </w:rPr>
        <w:t>час</w:t>
      </w:r>
      <w:r w:rsidRPr="00055389">
        <w:rPr>
          <w:rFonts w:ascii="Arial" w:eastAsia="Times New Roman" w:hAnsi="Arial" w:cs="Arial"/>
          <w:szCs w:val="28"/>
        </w:rPr>
        <w:t xml:space="preserve"> </w:t>
      </w:r>
      <w:r w:rsidRPr="00511005">
        <w:rPr>
          <w:rFonts w:ascii="Arial" w:eastAsia="Times New Roman" w:hAnsi="Arial" w:cs="Arial"/>
          <w:szCs w:val="28"/>
        </w:rPr>
        <w:t>збройного</w:t>
      </w:r>
      <w:r w:rsidRPr="00055389">
        <w:rPr>
          <w:rFonts w:ascii="Arial" w:eastAsia="Times New Roman" w:hAnsi="Arial" w:cs="Arial"/>
          <w:szCs w:val="28"/>
        </w:rPr>
        <w:t xml:space="preserve"> </w:t>
      </w:r>
      <w:r w:rsidRPr="00511005">
        <w:rPr>
          <w:rFonts w:ascii="Arial" w:eastAsia="Times New Roman" w:hAnsi="Arial" w:cs="Arial"/>
          <w:szCs w:val="28"/>
        </w:rPr>
        <w:t>конфлікту</w:t>
      </w:r>
      <w:r w:rsidRPr="00055389">
        <w:rPr>
          <w:rFonts w:ascii="Arial" w:eastAsia="Times New Roman" w:hAnsi="Arial" w:cs="Arial"/>
          <w:szCs w:val="28"/>
        </w:rPr>
        <w:t xml:space="preserve">. </w:t>
      </w:r>
      <w:r w:rsidRPr="00511005">
        <w:rPr>
          <w:rFonts w:ascii="Arial" w:eastAsia="Times New Roman" w:hAnsi="Arial" w:cs="Arial"/>
          <w:szCs w:val="28"/>
        </w:rPr>
        <w:t>Академічні</w:t>
      </w:r>
      <w:r w:rsidRPr="00055389">
        <w:rPr>
          <w:rFonts w:ascii="Arial" w:eastAsia="Times New Roman" w:hAnsi="Arial" w:cs="Arial"/>
          <w:szCs w:val="28"/>
        </w:rPr>
        <w:t xml:space="preserve"> </w:t>
      </w:r>
      <w:r w:rsidRPr="00511005">
        <w:rPr>
          <w:rFonts w:ascii="Arial" w:eastAsia="Times New Roman" w:hAnsi="Arial" w:cs="Arial"/>
          <w:szCs w:val="28"/>
        </w:rPr>
        <w:t>візії</w:t>
      </w:r>
      <w:r w:rsidRPr="00055389">
        <w:rPr>
          <w:rFonts w:ascii="Arial" w:eastAsia="Times New Roman" w:hAnsi="Arial" w:cs="Arial"/>
          <w:szCs w:val="28"/>
        </w:rPr>
        <w:t>. 2023. № 20.</w:t>
      </w:r>
      <w:r w:rsidRPr="00511005">
        <w:rPr>
          <w:rFonts w:ascii="Arial" w:eastAsia="Times New Roman" w:hAnsi="Arial" w:cs="Arial"/>
          <w:szCs w:val="28"/>
          <w:lang w:val="en-US"/>
        </w:rPr>
        <w:t>URL</w:t>
      </w:r>
      <w:r w:rsidRPr="00055389">
        <w:rPr>
          <w:rFonts w:ascii="Arial" w:eastAsia="Times New Roman" w:hAnsi="Arial" w:cs="Arial"/>
          <w:szCs w:val="28"/>
        </w:rPr>
        <w:t>:</w:t>
      </w:r>
      <w:r w:rsidR="007B2628" w:rsidRPr="00055389">
        <w:rPr>
          <w:rFonts w:ascii="Arial" w:eastAsia="Times New Roman" w:hAnsi="Arial" w:cs="Arial"/>
          <w:szCs w:val="28"/>
        </w:rPr>
        <w:t xml:space="preserve"> </w:t>
      </w:r>
      <w:hyperlink r:id="rId544" w:history="1">
        <w:r w:rsidRPr="00511005">
          <w:rPr>
            <w:rFonts w:ascii="Arial" w:eastAsia="Times New Roman" w:hAnsi="Arial" w:cs="Arial"/>
            <w:szCs w:val="28"/>
            <w:lang w:val="en-US"/>
          </w:rPr>
          <w:t>https</w:t>
        </w:r>
        <w:r w:rsidRPr="00055389">
          <w:rPr>
            <w:rFonts w:ascii="Arial" w:eastAsia="Times New Roman" w:hAnsi="Arial" w:cs="Arial"/>
            <w:szCs w:val="28"/>
          </w:rPr>
          <w:t>://</w:t>
        </w:r>
        <w:r w:rsidRPr="00511005">
          <w:rPr>
            <w:rFonts w:ascii="Arial" w:eastAsia="Times New Roman" w:hAnsi="Arial" w:cs="Arial"/>
            <w:szCs w:val="28"/>
            <w:lang w:val="en-US"/>
          </w:rPr>
          <w:t>academy</w:t>
        </w:r>
        <w:r w:rsidRPr="00055389">
          <w:rPr>
            <w:rFonts w:ascii="Arial" w:eastAsia="Times New Roman" w:hAnsi="Arial" w:cs="Arial"/>
            <w:szCs w:val="28"/>
          </w:rPr>
          <w:t>-</w:t>
        </w:r>
        <w:r w:rsidRPr="00511005">
          <w:rPr>
            <w:rFonts w:ascii="Arial" w:eastAsia="Times New Roman" w:hAnsi="Arial" w:cs="Arial"/>
            <w:szCs w:val="28"/>
            <w:lang w:val="en-US"/>
          </w:rPr>
          <w:t>vision</w:t>
        </w:r>
        <w:r w:rsidRPr="00055389">
          <w:rPr>
            <w:rFonts w:ascii="Arial" w:eastAsia="Times New Roman" w:hAnsi="Arial" w:cs="Arial"/>
            <w:szCs w:val="28"/>
          </w:rPr>
          <w:t>.</w:t>
        </w:r>
        <w:r w:rsidRPr="00511005">
          <w:rPr>
            <w:rFonts w:ascii="Arial" w:eastAsia="Times New Roman" w:hAnsi="Arial" w:cs="Arial"/>
            <w:szCs w:val="28"/>
            <w:lang w:val="en-US"/>
          </w:rPr>
          <w:t>org</w:t>
        </w:r>
        <w:r w:rsidRPr="00055389">
          <w:rPr>
            <w:rFonts w:ascii="Arial" w:eastAsia="Times New Roman" w:hAnsi="Arial" w:cs="Arial"/>
            <w:szCs w:val="28"/>
          </w:rPr>
          <w:t>/</w:t>
        </w:r>
        <w:r w:rsidRPr="00511005">
          <w:rPr>
            <w:rFonts w:ascii="Arial" w:eastAsia="Times New Roman" w:hAnsi="Arial" w:cs="Arial"/>
            <w:szCs w:val="28"/>
            <w:lang w:val="en-US"/>
          </w:rPr>
          <w:t>index</w:t>
        </w:r>
        <w:r w:rsidRPr="00055389">
          <w:rPr>
            <w:rFonts w:ascii="Arial" w:eastAsia="Times New Roman" w:hAnsi="Arial" w:cs="Arial"/>
            <w:szCs w:val="28"/>
          </w:rPr>
          <w:t>.</w:t>
        </w:r>
        <w:r w:rsidRPr="00511005">
          <w:rPr>
            <w:rFonts w:ascii="Arial" w:eastAsia="Times New Roman" w:hAnsi="Arial" w:cs="Arial"/>
            <w:szCs w:val="28"/>
            <w:lang w:val="en-US"/>
          </w:rPr>
          <w:t>php</w:t>
        </w:r>
        <w:r w:rsidRPr="00055389">
          <w:rPr>
            <w:rFonts w:ascii="Arial" w:eastAsia="Times New Roman" w:hAnsi="Arial" w:cs="Arial"/>
            <w:szCs w:val="28"/>
          </w:rPr>
          <w:t>/</w:t>
        </w:r>
        <w:r w:rsidRPr="00511005">
          <w:rPr>
            <w:rFonts w:ascii="Arial" w:eastAsia="Times New Roman" w:hAnsi="Arial" w:cs="Arial"/>
            <w:szCs w:val="28"/>
            <w:lang w:val="en-US"/>
          </w:rPr>
          <w:t>av</w:t>
        </w:r>
        <w:r w:rsidRPr="00055389">
          <w:rPr>
            <w:rFonts w:ascii="Arial" w:eastAsia="Times New Roman" w:hAnsi="Arial" w:cs="Arial"/>
            <w:szCs w:val="28"/>
          </w:rPr>
          <w:t>/</w:t>
        </w:r>
        <w:r w:rsidRPr="00511005">
          <w:rPr>
            <w:rFonts w:ascii="Arial" w:eastAsia="Times New Roman" w:hAnsi="Arial" w:cs="Arial"/>
            <w:szCs w:val="28"/>
            <w:lang w:val="en-US"/>
          </w:rPr>
          <w:t>article</w:t>
        </w:r>
        <w:r w:rsidRPr="00055389">
          <w:rPr>
            <w:rFonts w:ascii="Arial" w:eastAsia="Times New Roman" w:hAnsi="Arial" w:cs="Arial"/>
            <w:szCs w:val="28"/>
          </w:rPr>
          <w:t>/</w:t>
        </w:r>
        <w:r w:rsidRPr="00511005">
          <w:rPr>
            <w:rFonts w:ascii="Arial" w:eastAsia="Times New Roman" w:hAnsi="Arial" w:cs="Arial"/>
            <w:szCs w:val="28"/>
            <w:lang w:val="en-US"/>
          </w:rPr>
          <w:t>view</w:t>
        </w:r>
        <w:r w:rsidRPr="00055389">
          <w:rPr>
            <w:rFonts w:ascii="Arial" w:eastAsia="Times New Roman" w:hAnsi="Arial" w:cs="Arial"/>
            <w:szCs w:val="28"/>
          </w:rPr>
          <w:t>/744</w:t>
        </w:r>
      </w:hyperlink>
      <w:r w:rsidRPr="00055389">
        <w:rPr>
          <w:rFonts w:ascii="Arial" w:eastAsia="Times New Roman" w:hAnsi="Arial" w:cs="Arial"/>
          <w:szCs w:val="28"/>
        </w:rPr>
        <w:t xml:space="preserve"> </w:t>
      </w:r>
    </w:p>
    <w:p w14:paraId="4424AC38"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6. Bell C. On the Law of Peace: Peace Agreements and the Lex Pacificatoria. Oxford University Press, 2008. URL: </w:t>
      </w:r>
      <w:hyperlink r:id="rId545" w:history="1">
        <w:r w:rsidRPr="00511005">
          <w:rPr>
            <w:rFonts w:ascii="Arial" w:eastAsia="Times New Roman" w:hAnsi="Arial" w:cs="Arial"/>
            <w:szCs w:val="28"/>
            <w:lang w:val="en-US"/>
          </w:rPr>
          <w:t>https://academic.oup.com/book/32844</w:t>
        </w:r>
      </w:hyperlink>
      <w:r w:rsidRPr="00511005">
        <w:rPr>
          <w:rFonts w:ascii="Arial" w:eastAsia="Times New Roman" w:hAnsi="Arial" w:cs="Arial"/>
          <w:szCs w:val="28"/>
          <w:lang w:val="en-US"/>
        </w:rPr>
        <w:t xml:space="preserve"> </w:t>
      </w:r>
    </w:p>
    <w:p w14:paraId="4DEFCB1E"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7. Durch W. The Evolution of UN Peacekeeping. St. Martin's Press, 1993.URL: </w:t>
      </w:r>
      <w:hyperlink r:id="rId546" w:history="1">
        <w:r w:rsidRPr="00511005">
          <w:rPr>
            <w:rFonts w:ascii="Arial" w:eastAsia="Times New Roman" w:hAnsi="Arial" w:cs="Arial"/>
            <w:szCs w:val="28"/>
            <w:lang w:val="en-US"/>
          </w:rPr>
          <w:t>https://brill.com/view/journals/joup/1/2/article-p74_.xml?language=en&amp;srsltid=AfmBOoreM2bt6p8K97Rz7JeRWEwjggJJ_G3yEYTx1VvzucuSRY8tTfej</w:t>
        </w:r>
      </w:hyperlink>
      <w:r w:rsidRPr="00511005">
        <w:rPr>
          <w:rFonts w:ascii="Arial" w:eastAsia="Times New Roman" w:hAnsi="Arial" w:cs="Arial"/>
          <w:szCs w:val="28"/>
          <w:lang w:val="en-US"/>
        </w:rPr>
        <w:t xml:space="preserve"> </w:t>
      </w:r>
    </w:p>
    <w:p w14:paraId="03501186"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8. United Nations Peacekeeping. </w:t>
      </w:r>
      <w:hyperlink r:id="rId547" w:history="1">
        <w:r w:rsidRPr="00511005">
          <w:rPr>
            <w:rFonts w:ascii="Arial" w:eastAsia="Times New Roman" w:hAnsi="Arial" w:cs="Arial"/>
            <w:szCs w:val="28"/>
            <w:lang w:val="en-US"/>
          </w:rPr>
          <w:t>URL:https://peacekeeping.un.org</w:t>
        </w:r>
      </w:hyperlink>
      <w:r w:rsidRPr="00511005">
        <w:rPr>
          <w:rFonts w:ascii="Arial" w:eastAsia="Times New Roman" w:hAnsi="Arial" w:cs="Arial"/>
          <w:szCs w:val="28"/>
          <w:lang w:val="en-US"/>
        </w:rPr>
        <w:t xml:space="preserve"> </w:t>
      </w:r>
    </w:p>
    <w:p w14:paraId="31BCEA11"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9. Fortna V. P. Does Peacekeeping Work? Princeton University Press, 2008.URL: </w:t>
      </w:r>
      <w:hyperlink r:id="rId548" w:history="1">
        <w:r w:rsidRPr="00511005">
          <w:rPr>
            <w:rFonts w:ascii="Arial" w:eastAsia="Times New Roman" w:hAnsi="Arial" w:cs="Arial"/>
            <w:szCs w:val="28"/>
            <w:lang w:val="en-US"/>
          </w:rPr>
          <w:t>https://press.princeton.edu/books/paperback/9780691136714/does-peacekeeping-work</w:t>
        </w:r>
      </w:hyperlink>
      <w:r w:rsidRPr="00511005">
        <w:rPr>
          <w:rFonts w:ascii="Arial" w:eastAsia="Times New Roman" w:hAnsi="Arial" w:cs="Arial"/>
          <w:szCs w:val="28"/>
          <w:lang w:val="en-US"/>
        </w:rPr>
        <w:t xml:space="preserve"> </w:t>
      </w:r>
    </w:p>
    <w:p w14:paraId="376C6459"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10. UNAMSIL: Sierra Leone – UN Mission Facts. </w:t>
      </w:r>
      <w:hyperlink r:id="rId549" w:history="1">
        <w:r w:rsidRPr="00511005">
          <w:rPr>
            <w:rFonts w:ascii="Arial" w:eastAsia="Times New Roman" w:hAnsi="Arial" w:cs="Arial"/>
            <w:szCs w:val="28"/>
            <w:lang w:val="en-US"/>
          </w:rPr>
          <w:t>URL:https://peacekeeping.un.org/en/mission/unamsil</w:t>
        </w:r>
      </w:hyperlink>
      <w:r w:rsidRPr="00511005">
        <w:rPr>
          <w:rFonts w:ascii="Arial" w:eastAsia="Times New Roman" w:hAnsi="Arial" w:cs="Arial"/>
          <w:szCs w:val="28"/>
          <w:lang w:val="en-US"/>
        </w:rPr>
        <w:t xml:space="preserve"> </w:t>
      </w:r>
    </w:p>
    <w:p w14:paraId="54527077"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11. UNTAET – East Timor. </w:t>
      </w:r>
      <w:hyperlink r:id="rId550" w:history="1">
        <w:r w:rsidRPr="00511005">
          <w:rPr>
            <w:rFonts w:ascii="Arial" w:eastAsia="Times New Roman" w:hAnsi="Arial" w:cs="Arial"/>
            <w:szCs w:val="28"/>
            <w:lang w:val="en-US"/>
          </w:rPr>
          <w:t>URL:https://peacekeeping.un.org/en/mission/past/etimor.htm</w:t>
        </w:r>
      </w:hyperlink>
      <w:r w:rsidRPr="00511005">
        <w:rPr>
          <w:rFonts w:ascii="Arial" w:eastAsia="Times New Roman" w:hAnsi="Arial" w:cs="Arial"/>
          <w:szCs w:val="28"/>
          <w:lang w:val="en-US"/>
        </w:rPr>
        <w:t xml:space="preserve"> </w:t>
      </w:r>
    </w:p>
    <w:p w14:paraId="79B15FAA"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12. Cortright D., Lopez G. The Sanctions Decade: Assessing UN Strategies in the 1990s. Lynne Rienner, 2000.URL: </w:t>
      </w:r>
      <w:hyperlink r:id="rId551" w:history="1">
        <w:r w:rsidRPr="00511005">
          <w:rPr>
            <w:rFonts w:ascii="Arial" w:eastAsia="Times New Roman" w:hAnsi="Arial" w:cs="Arial"/>
            <w:szCs w:val="28"/>
            <w:lang w:val="en-US"/>
          </w:rPr>
          <w:t>https://www.degruyter.com/document/doi/10.1515/9781685858490/html</w:t>
        </w:r>
      </w:hyperlink>
      <w:r w:rsidRPr="00511005">
        <w:rPr>
          <w:rFonts w:ascii="Arial" w:eastAsia="Times New Roman" w:hAnsi="Arial" w:cs="Arial"/>
          <w:szCs w:val="28"/>
          <w:lang w:val="en-US"/>
        </w:rPr>
        <w:t xml:space="preserve"> </w:t>
      </w:r>
    </w:p>
    <w:p w14:paraId="24B0062E"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13. Security Council Resolutions: Iran, DPRK. </w:t>
      </w:r>
      <w:hyperlink r:id="rId552" w:history="1">
        <w:r w:rsidRPr="00511005">
          <w:rPr>
            <w:rFonts w:ascii="Arial" w:eastAsia="Times New Roman" w:hAnsi="Arial" w:cs="Arial"/>
            <w:szCs w:val="28"/>
            <w:lang w:val="en-US"/>
          </w:rPr>
          <w:t>URL:https://www.un.org/securitycouncil/content/resolutions</w:t>
        </w:r>
      </w:hyperlink>
      <w:r w:rsidRPr="00511005">
        <w:rPr>
          <w:rFonts w:ascii="Arial" w:eastAsia="Times New Roman" w:hAnsi="Arial" w:cs="Arial"/>
          <w:szCs w:val="28"/>
          <w:lang w:val="en-US"/>
        </w:rPr>
        <w:t xml:space="preserve"> </w:t>
      </w:r>
    </w:p>
    <w:p w14:paraId="0FE9CB49"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de-DE"/>
        </w:rPr>
      </w:pPr>
      <w:r w:rsidRPr="00511005">
        <w:rPr>
          <w:rFonts w:ascii="Arial" w:eastAsia="Times New Roman" w:hAnsi="Arial" w:cs="Arial"/>
          <w:szCs w:val="28"/>
          <w:lang w:val="en-US"/>
        </w:rPr>
        <w:t xml:space="preserve">14. Malone D. M. The UN Security Council: From the Cold War to the 21st Century. </w:t>
      </w:r>
      <w:r w:rsidRPr="00511005">
        <w:rPr>
          <w:rFonts w:ascii="Arial" w:eastAsia="Times New Roman" w:hAnsi="Arial" w:cs="Arial"/>
          <w:szCs w:val="28"/>
          <w:lang w:val="de-DE"/>
        </w:rPr>
        <w:t xml:space="preserve">Lynne Rienner, 2004.URL: </w:t>
      </w:r>
      <w:hyperlink r:id="rId553" w:history="1">
        <w:r w:rsidRPr="00511005">
          <w:rPr>
            <w:rFonts w:ascii="Arial" w:eastAsia="Times New Roman" w:hAnsi="Arial" w:cs="Arial"/>
            <w:szCs w:val="28"/>
            <w:lang w:val="de-DE"/>
          </w:rPr>
          <w:t>https://www.rienner.com/title/The_UN_Security_Council_From_the_Cold_War_to_the_21st_Century</w:t>
        </w:r>
      </w:hyperlink>
      <w:r w:rsidRPr="00511005">
        <w:rPr>
          <w:rFonts w:ascii="Arial" w:eastAsia="Times New Roman" w:hAnsi="Arial" w:cs="Arial"/>
          <w:szCs w:val="28"/>
          <w:lang w:val="de-DE"/>
        </w:rPr>
        <w:t xml:space="preserve"> </w:t>
      </w:r>
    </w:p>
    <w:p w14:paraId="17286851"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15. UNHCR – The UN Refugee Agency. URL: </w:t>
      </w:r>
      <w:hyperlink r:id="rId554" w:history="1">
        <w:r w:rsidRPr="00511005">
          <w:rPr>
            <w:rFonts w:ascii="Arial" w:eastAsia="Times New Roman" w:hAnsi="Arial" w:cs="Arial"/>
            <w:szCs w:val="28"/>
            <w:lang w:val="en-US"/>
          </w:rPr>
          <w:t>https://www.unhcr.org</w:t>
        </w:r>
      </w:hyperlink>
      <w:r w:rsidRPr="00511005">
        <w:rPr>
          <w:rFonts w:ascii="Arial" w:eastAsia="Times New Roman" w:hAnsi="Arial" w:cs="Arial"/>
          <w:szCs w:val="28"/>
          <w:lang w:val="en-US"/>
        </w:rPr>
        <w:t xml:space="preserve"> </w:t>
      </w:r>
    </w:p>
    <w:p w14:paraId="0436B921"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16. UNEP. Environmental cooperation for peacebuilding. </w:t>
      </w:r>
      <w:hyperlink r:id="rId555" w:history="1">
        <w:r w:rsidRPr="00511005">
          <w:rPr>
            <w:rFonts w:ascii="Arial" w:eastAsia="Times New Roman" w:hAnsi="Arial" w:cs="Arial"/>
            <w:szCs w:val="28"/>
            <w:lang w:val="en-US"/>
          </w:rPr>
          <w:t>URL:https://www.unep.org</w:t>
        </w:r>
      </w:hyperlink>
      <w:r w:rsidRPr="00511005">
        <w:rPr>
          <w:rFonts w:ascii="Arial" w:eastAsia="Times New Roman" w:hAnsi="Arial" w:cs="Arial"/>
          <w:szCs w:val="28"/>
          <w:lang w:val="en-US"/>
        </w:rPr>
        <w:t xml:space="preserve"> </w:t>
      </w:r>
    </w:p>
    <w:p w14:paraId="4268E853"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17. European Court of Human Rights. Case law database. </w:t>
      </w:r>
      <w:hyperlink r:id="rId556" w:history="1">
        <w:r w:rsidRPr="00511005">
          <w:rPr>
            <w:rFonts w:ascii="Arial" w:eastAsia="Times New Roman" w:hAnsi="Arial" w:cs="Arial"/>
            <w:szCs w:val="28"/>
            <w:lang w:val="en-US"/>
          </w:rPr>
          <w:t>URL:https://hudoc.echr.coe.int</w:t>
        </w:r>
      </w:hyperlink>
      <w:r w:rsidRPr="00511005">
        <w:rPr>
          <w:rFonts w:ascii="Arial" w:eastAsia="Times New Roman" w:hAnsi="Arial" w:cs="Arial"/>
          <w:szCs w:val="28"/>
          <w:lang w:val="en-US"/>
        </w:rPr>
        <w:t xml:space="preserve"> </w:t>
      </w:r>
    </w:p>
    <w:p w14:paraId="4DA5A0FA"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uk-UA"/>
        </w:rPr>
      </w:pPr>
      <w:r w:rsidRPr="00511005">
        <w:rPr>
          <w:rFonts w:ascii="Arial" w:eastAsia="Times New Roman" w:hAnsi="Arial" w:cs="Arial"/>
          <w:szCs w:val="28"/>
          <w:lang w:val="en-US"/>
        </w:rPr>
        <w:t>18. Luck E. UN Security Council: Practice and Promise. Routledge, 2006.</w:t>
      </w:r>
      <w:r w:rsidRPr="00511005">
        <w:rPr>
          <w:rFonts w:ascii="Arial" w:eastAsia="Times New Roman" w:hAnsi="Arial" w:cs="Arial"/>
          <w:szCs w:val="28"/>
          <w:lang w:val="uk-UA"/>
        </w:rPr>
        <w:t xml:space="preserve"> </w:t>
      </w:r>
      <w:r w:rsidRPr="00511005">
        <w:rPr>
          <w:rFonts w:ascii="Arial" w:eastAsia="Times New Roman" w:hAnsi="Arial" w:cs="Arial"/>
          <w:szCs w:val="28"/>
          <w:lang w:val="en-US"/>
        </w:rPr>
        <w:t>URL</w:t>
      </w:r>
      <w:r w:rsidRPr="00511005">
        <w:rPr>
          <w:rFonts w:ascii="Arial" w:eastAsia="Times New Roman" w:hAnsi="Arial" w:cs="Arial"/>
          <w:szCs w:val="28"/>
          <w:lang w:val="uk-UA"/>
        </w:rPr>
        <w:t>:</w:t>
      </w:r>
      <w:hyperlink r:id="rId557" w:history="1">
        <w:r w:rsidRPr="00511005">
          <w:rPr>
            <w:rFonts w:ascii="Arial" w:eastAsia="Times New Roman" w:hAnsi="Arial" w:cs="Arial"/>
            <w:szCs w:val="28"/>
            <w:lang w:val="en-US"/>
          </w:rPr>
          <w:t>https</w:t>
        </w:r>
        <w:r w:rsidRPr="00511005">
          <w:rPr>
            <w:rFonts w:ascii="Arial" w:eastAsia="Times New Roman" w:hAnsi="Arial" w:cs="Arial"/>
            <w:szCs w:val="28"/>
            <w:lang w:val="uk-UA"/>
          </w:rPr>
          <w:t>://</w:t>
        </w:r>
        <w:r w:rsidRPr="00511005">
          <w:rPr>
            <w:rFonts w:ascii="Arial" w:eastAsia="Times New Roman" w:hAnsi="Arial" w:cs="Arial"/>
            <w:szCs w:val="28"/>
            <w:lang w:val="en-US"/>
          </w:rPr>
          <w:t>www</w:t>
        </w:r>
        <w:r w:rsidRPr="00511005">
          <w:rPr>
            <w:rFonts w:ascii="Arial" w:eastAsia="Times New Roman" w:hAnsi="Arial" w:cs="Arial"/>
            <w:szCs w:val="28"/>
            <w:lang w:val="uk-UA"/>
          </w:rPr>
          <w:t>.</w:t>
        </w:r>
        <w:r w:rsidRPr="00511005">
          <w:rPr>
            <w:rFonts w:ascii="Arial" w:eastAsia="Times New Roman" w:hAnsi="Arial" w:cs="Arial"/>
            <w:szCs w:val="28"/>
            <w:lang w:val="en-US"/>
          </w:rPr>
          <w:t>taylorfrancis</w:t>
        </w:r>
        <w:r w:rsidRPr="00511005">
          <w:rPr>
            <w:rFonts w:ascii="Arial" w:eastAsia="Times New Roman" w:hAnsi="Arial" w:cs="Arial"/>
            <w:szCs w:val="28"/>
            <w:lang w:val="uk-UA"/>
          </w:rPr>
          <w:t>.</w:t>
        </w:r>
        <w:r w:rsidRPr="00511005">
          <w:rPr>
            <w:rFonts w:ascii="Arial" w:eastAsia="Times New Roman" w:hAnsi="Arial" w:cs="Arial"/>
            <w:szCs w:val="28"/>
            <w:lang w:val="en-US"/>
          </w:rPr>
          <w:t>com</w:t>
        </w:r>
        <w:r w:rsidRPr="00511005">
          <w:rPr>
            <w:rFonts w:ascii="Arial" w:eastAsia="Times New Roman" w:hAnsi="Arial" w:cs="Arial"/>
            <w:szCs w:val="28"/>
            <w:lang w:val="uk-UA"/>
          </w:rPr>
          <w:t>/</w:t>
        </w:r>
        <w:r w:rsidRPr="00511005">
          <w:rPr>
            <w:rFonts w:ascii="Arial" w:eastAsia="Times New Roman" w:hAnsi="Arial" w:cs="Arial"/>
            <w:szCs w:val="28"/>
            <w:lang w:val="en-US"/>
          </w:rPr>
          <w:t>books</w:t>
        </w:r>
        <w:r w:rsidRPr="00511005">
          <w:rPr>
            <w:rFonts w:ascii="Arial" w:eastAsia="Times New Roman" w:hAnsi="Arial" w:cs="Arial"/>
            <w:szCs w:val="28"/>
            <w:lang w:val="uk-UA"/>
          </w:rPr>
          <w:t>/</w:t>
        </w:r>
        <w:r w:rsidRPr="00511005">
          <w:rPr>
            <w:rFonts w:ascii="Arial" w:eastAsia="Times New Roman" w:hAnsi="Arial" w:cs="Arial"/>
            <w:szCs w:val="28"/>
            <w:lang w:val="en-US"/>
          </w:rPr>
          <w:t>mono</w:t>
        </w:r>
        <w:r w:rsidRPr="00511005">
          <w:rPr>
            <w:rFonts w:ascii="Arial" w:eastAsia="Times New Roman" w:hAnsi="Arial" w:cs="Arial"/>
            <w:szCs w:val="28"/>
            <w:lang w:val="uk-UA"/>
          </w:rPr>
          <w:t>/10.4324/9780203969335/</w:t>
        </w:r>
        <w:r w:rsidRPr="00511005">
          <w:rPr>
            <w:rFonts w:ascii="Arial" w:eastAsia="Times New Roman" w:hAnsi="Arial" w:cs="Arial"/>
            <w:szCs w:val="28"/>
            <w:lang w:val="en-US"/>
          </w:rPr>
          <w:t>un</w:t>
        </w:r>
        <w:r w:rsidRPr="00511005">
          <w:rPr>
            <w:rFonts w:ascii="Arial" w:eastAsia="Times New Roman" w:hAnsi="Arial" w:cs="Arial"/>
            <w:szCs w:val="28"/>
            <w:lang w:val="uk-UA"/>
          </w:rPr>
          <w:t>-</w:t>
        </w:r>
        <w:r w:rsidRPr="00511005">
          <w:rPr>
            <w:rFonts w:ascii="Arial" w:eastAsia="Times New Roman" w:hAnsi="Arial" w:cs="Arial"/>
            <w:szCs w:val="28"/>
            <w:lang w:val="en-US"/>
          </w:rPr>
          <w:t>security</w:t>
        </w:r>
        <w:r w:rsidRPr="00511005">
          <w:rPr>
            <w:rFonts w:ascii="Arial" w:eastAsia="Times New Roman" w:hAnsi="Arial" w:cs="Arial"/>
            <w:szCs w:val="28"/>
            <w:lang w:val="uk-UA"/>
          </w:rPr>
          <w:t>-</w:t>
        </w:r>
        <w:r w:rsidRPr="00511005">
          <w:rPr>
            <w:rFonts w:ascii="Arial" w:eastAsia="Times New Roman" w:hAnsi="Arial" w:cs="Arial"/>
            <w:szCs w:val="28"/>
            <w:lang w:val="en-US"/>
          </w:rPr>
          <w:t>council</w:t>
        </w:r>
        <w:r w:rsidRPr="00511005">
          <w:rPr>
            <w:rFonts w:ascii="Arial" w:eastAsia="Times New Roman" w:hAnsi="Arial" w:cs="Arial"/>
            <w:szCs w:val="28"/>
            <w:lang w:val="uk-UA"/>
          </w:rPr>
          <w:t>-</w:t>
        </w:r>
        <w:r w:rsidRPr="00511005">
          <w:rPr>
            <w:rFonts w:ascii="Arial" w:eastAsia="Times New Roman" w:hAnsi="Arial" w:cs="Arial"/>
            <w:szCs w:val="28"/>
            <w:lang w:val="en-US"/>
          </w:rPr>
          <w:t>edward</w:t>
        </w:r>
        <w:r w:rsidRPr="00511005">
          <w:rPr>
            <w:rFonts w:ascii="Arial" w:eastAsia="Times New Roman" w:hAnsi="Arial" w:cs="Arial"/>
            <w:szCs w:val="28"/>
            <w:lang w:val="uk-UA"/>
          </w:rPr>
          <w:t>-</w:t>
        </w:r>
        <w:r w:rsidRPr="00511005">
          <w:rPr>
            <w:rFonts w:ascii="Arial" w:eastAsia="Times New Roman" w:hAnsi="Arial" w:cs="Arial"/>
            <w:szCs w:val="28"/>
            <w:lang w:val="en-US"/>
          </w:rPr>
          <w:t>luck</w:t>
        </w:r>
        <w:r w:rsidRPr="00511005">
          <w:rPr>
            <w:rFonts w:ascii="Arial" w:eastAsia="Times New Roman" w:hAnsi="Arial" w:cs="Arial"/>
            <w:szCs w:val="28"/>
            <w:lang w:val="uk-UA"/>
          </w:rPr>
          <w:t>?</w:t>
        </w:r>
        <w:r w:rsidRPr="00511005">
          <w:rPr>
            <w:rFonts w:ascii="Arial" w:eastAsia="Times New Roman" w:hAnsi="Arial" w:cs="Arial"/>
            <w:szCs w:val="28"/>
            <w:lang w:val="en-US"/>
          </w:rPr>
          <w:t>utm</w:t>
        </w:r>
        <w:r w:rsidRPr="00511005">
          <w:rPr>
            <w:rFonts w:ascii="Arial" w:eastAsia="Times New Roman" w:hAnsi="Arial" w:cs="Arial"/>
            <w:szCs w:val="28"/>
            <w:lang w:val="uk-UA"/>
          </w:rPr>
          <w:t>_</w:t>
        </w:r>
        <w:r w:rsidRPr="00511005">
          <w:rPr>
            <w:rFonts w:ascii="Arial" w:eastAsia="Times New Roman" w:hAnsi="Arial" w:cs="Arial"/>
            <w:szCs w:val="28"/>
            <w:lang w:val="en-US"/>
          </w:rPr>
          <w:t>source</w:t>
        </w:r>
        <w:r w:rsidRPr="00511005">
          <w:rPr>
            <w:rFonts w:ascii="Arial" w:eastAsia="Times New Roman" w:hAnsi="Arial" w:cs="Arial"/>
            <w:szCs w:val="28"/>
            <w:lang w:val="uk-UA"/>
          </w:rPr>
          <w:t>=</w:t>
        </w:r>
        <w:r w:rsidRPr="00511005">
          <w:rPr>
            <w:rFonts w:ascii="Arial" w:eastAsia="Times New Roman" w:hAnsi="Arial" w:cs="Arial"/>
            <w:szCs w:val="28"/>
            <w:lang w:val="en-US"/>
          </w:rPr>
          <w:t>chatgpt</w:t>
        </w:r>
        <w:r w:rsidRPr="00511005">
          <w:rPr>
            <w:rFonts w:ascii="Arial" w:eastAsia="Times New Roman" w:hAnsi="Arial" w:cs="Arial"/>
            <w:szCs w:val="28"/>
            <w:lang w:val="uk-UA"/>
          </w:rPr>
          <w:t>.</w:t>
        </w:r>
        <w:r w:rsidRPr="00511005">
          <w:rPr>
            <w:rFonts w:ascii="Arial" w:eastAsia="Times New Roman" w:hAnsi="Arial" w:cs="Arial"/>
            <w:szCs w:val="28"/>
            <w:lang w:val="en-US"/>
          </w:rPr>
          <w:t>com</w:t>
        </w:r>
      </w:hyperlink>
      <w:r w:rsidRPr="00511005">
        <w:rPr>
          <w:rFonts w:ascii="Arial" w:eastAsia="Times New Roman" w:hAnsi="Arial" w:cs="Arial"/>
          <w:szCs w:val="28"/>
          <w:lang w:val="uk-UA"/>
        </w:rPr>
        <w:t xml:space="preserve"> </w:t>
      </w:r>
    </w:p>
    <w:p w14:paraId="661D7514"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19. Boulden J. Responding to Conflict: Strategies for the UN. Palgrave Macmillan, 2003.URL: </w:t>
      </w:r>
      <w:hyperlink r:id="rId558" w:history="1">
        <w:r w:rsidRPr="00511005">
          <w:rPr>
            <w:rFonts w:ascii="Arial" w:eastAsia="Times New Roman" w:hAnsi="Arial" w:cs="Arial"/>
            <w:szCs w:val="28"/>
            <w:lang w:val="en-US"/>
          </w:rPr>
          <w:t>https://link.springer.com/book/10.1057/9781403982209?utm_source=chatgpt.com</w:t>
        </w:r>
      </w:hyperlink>
      <w:r w:rsidRPr="00511005">
        <w:rPr>
          <w:rFonts w:ascii="Arial" w:eastAsia="Times New Roman" w:hAnsi="Arial" w:cs="Arial"/>
          <w:szCs w:val="28"/>
          <w:lang w:val="en-US"/>
        </w:rPr>
        <w:t xml:space="preserve"> </w:t>
      </w:r>
    </w:p>
    <w:p w14:paraId="13216D70"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uk-UA"/>
        </w:rPr>
      </w:pPr>
      <w:r w:rsidRPr="00511005">
        <w:rPr>
          <w:rFonts w:ascii="Arial" w:eastAsia="Times New Roman" w:hAnsi="Arial" w:cs="Arial"/>
          <w:szCs w:val="28"/>
          <w:lang w:val="en-US"/>
        </w:rPr>
        <w:t xml:space="preserve">20. Weiss T. G. What’s Wrong with the United Nations and How to Fix It. </w:t>
      </w:r>
      <w:r w:rsidRPr="00511005">
        <w:rPr>
          <w:rFonts w:ascii="Arial" w:eastAsia="Times New Roman" w:hAnsi="Arial" w:cs="Arial"/>
          <w:szCs w:val="28"/>
          <w:lang w:val="pl-PL"/>
        </w:rPr>
        <w:t>Polity, 2016.</w:t>
      </w:r>
      <w:r w:rsidRPr="00511005">
        <w:rPr>
          <w:rFonts w:ascii="Arial" w:eastAsia="Times New Roman" w:hAnsi="Arial" w:cs="Arial"/>
          <w:szCs w:val="28"/>
          <w:lang w:val="uk-UA"/>
        </w:rPr>
        <w:t xml:space="preserve"> ГКДЖ</w:t>
      </w:r>
      <w:r w:rsidRPr="00511005">
        <w:rPr>
          <w:rFonts w:ascii="Arial" w:eastAsia="Times New Roman" w:hAnsi="Arial" w:cs="Arial"/>
          <w:szCs w:val="28"/>
          <w:lang w:val="pl-PL"/>
        </w:rPr>
        <w:t xml:space="preserve"> </w:t>
      </w:r>
      <w:hyperlink r:id="rId559" w:history="1">
        <w:r w:rsidRPr="00511005">
          <w:rPr>
            <w:rFonts w:ascii="Arial" w:eastAsia="Times New Roman" w:hAnsi="Arial" w:cs="Arial"/>
            <w:szCs w:val="28"/>
            <w:lang w:val="uk-UA"/>
          </w:rPr>
          <w:t>https://www.researchgate.net/publication/270834157_What's_Wrong_with_the_United_Nations_and_How_to_Fix_It</w:t>
        </w:r>
      </w:hyperlink>
      <w:r w:rsidRPr="00511005">
        <w:rPr>
          <w:rFonts w:ascii="Arial" w:eastAsia="Times New Roman" w:hAnsi="Arial" w:cs="Arial"/>
          <w:szCs w:val="28"/>
          <w:lang w:val="uk-UA"/>
        </w:rPr>
        <w:t xml:space="preserve"> </w:t>
      </w:r>
    </w:p>
    <w:p w14:paraId="04702E1E"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21. Global Policy Forum. Security Council Reform. </w:t>
      </w:r>
      <w:hyperlink r:id="rId560" w:history="1">
        <w:r w:rsidRPr="00511005">
          <w:rPr>
            <w:rFonts w:ascii="Arial" w:eastAsia="Times New Roman" w:hAnsi="Arial" w:cs="Arial"/>
            <w:szCs w:val="28"/>
            <w:lang w:val="en-US"/>
          </w:rPr>
          <w:t>URL:https://www.globalpolicy.org</w:t>
        </w:r>
      </w:hyperlink>
      <w:r w:rsidRPr="00511005">
        <w:rPr>
          <w:rFonts w:ascii="Arial" w:eastAsia="Times New Roman" w:hAnsi="Arial" w:cs="Arial"/>
          <w:szCs w:val="28"/>
          <w:lang w:val="en-US"/>
        </w:rPr>
        <w:t xml:space="preserve"> </w:t>
      </w:r>
    </w:p>
    <w:p w14:paraId="5EA5F2DD"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de-DE"/>
        </w:rPr>
      </w:pPr>
      <w:r w:rsidRPr="00511005">
        <w:rPr>
          <w:rFonts w:ascii="Arial" w:eastAsia="Times New Roman" w:hAnsi="Arial" w:cs="Arial"/>
          <w:szCs w:val="28"/>
          <w:lang w:val="en-US"/>
        </w:rPr>
        <w:t xml:space="preserve">22. Taddeo M., Floridi L. The Responsibility of Online Service Providers. </w:t>
      </w:r>
      <w:r w:rsidRPr="00511005">
        <w:rPr>
          <w:rFonts w:ascii="Arial" w:eastAsia="Times New Roman" w:hAnsi="Arial" w:cs="Arial"/>
          <w:szCs w:val="28"/>
          <w:lang w:val="de-DE"/>
        </w:rPr>
        <w:t xml:space="preserve">Springer, 2017. URL: </w:t>
      </w:r>
      <w:hyperlink r:id="rId561" w:history="1">
        <w:r w:rsidRPr="00511005">
          <w:rPr>
            <w:rFonts w:ascii="Arial" w:eastAsia="Times New Roman" w:hAnsi="Arial" w:cs="Arial"/>
            <w:szCs w:val="28"/>
            <w:lang w:val="de-DE"/>
          </w:rPr>
          <w:t>https://content.e-bookshelf.de/media/reading/L-8572386-e698942655.pdf</w:t>
        </w:r>
      </w:hyperlink>
      <w:r w:rsidRPr="00511005">
        <w:rPr>
          <w:rFonts w:ascii="Arial" w:eastAsia="Times New Roman" w:hAnsi="Arial" w:cs="Arial"/>
          <w:szCs w:val="28"/>
          <w:lang w:val="de-DE"/>
        </w:rPr>
        <w:t xml:space="preserve"> </w:t>
      </w:r>
    </w:p>
    <w:p w14:paraId="1F62EA72"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23. Williams P. D. Regional Peacekeeping in Africa. Oxford University Press, 2016. URL: </w:t>
      </w:r>
      <w:hyperlink r:id="rId562" w:history="1">
        <w:r w:rsidRPr="00511005">
          <w:rPr>
            <w:rFonts w:ascii="Arial" w:eastAsia="Times New Roman" w:hAnsi="Arial" w:cs="Arial"/>
            <w:szCs w:val="28"/>
            <w:lang w:val="en-US"/>
          </w:rPr>
          <w:t>https://www.ipinst.org/by/paul-williams</w:t>
        </w:r>
      </w:hyperlink>
      <w:r w:rsidRPr="00511005">
        <w:rPr>
          <w:rFonts w:ascii="Arial" w:eastAsia="Times New Roman" w:hAnsi="Arial" w:cs="Arial"/>
          <w:szCs w:val="28"/>
          <w:lang w:val="en-US"/>
        </w:rPr>
        <w:t xml:space="preserve"> </w:t>
      </w:r>
    </w:p>
    <w:p w14:paraId="30C8C8F1"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24. Doyle M., Sambanis N. Making War and Building Peace. Princeton University Press, 2006. URL: </w:t>
      </w:r>
      <w:hyperlink r:id="rId563" w:history="1">
        <w:r w:rsidRPr="00511005">
          <w:rPr>
            <w:rFonts w:ascii="Arial" w:eastAsia="Times New Roman" w:hAnsi="Arial" w:cs="Arial"/>
            <w:szCs w:val="28"/>
            <w:lang w:val="en-US"/>
          </w:rPr>
          <w:t>https://press.princeton.edu/books/paperback/9780691122755/making-war-and-building-peace?srsltid=AfmBOoqAA3b2n_YuxWjyt5JiARSF0PC0_ok8kU9lr1LKaUCXnRHwCjKw</w:t>
        </w:r>
      </w:hyperlink>
      <w:r w:rsidRPr="00511005">
        <w:rPr>
          <w:rFonts w:ascii="Arial" w:eastAsia="Times New Roman" w:hAnsi="Arial" w:cs="Arial"/>
          <w:szCs w:val="28"/>
          <w:lang w:val="en-US"/>
        </w:rPr>
        <w:t xml:space="preserve"> </w:t>
      </w:r>
    </w:p>
    <w:p w14:paraId="21D1A1DD"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25. OCHA – UN Office for the Coordination of Humanitarian Affairs. </w:t>
      </w:r>
      <w:hyperlink r:id="rId564" w:history="1">
        <w:r w:rsidRPr="00511005">
          <w:rPr>
            <w:rFonts w:ascii="Arial" w:eastAsia="Times New Roman" w:hAnsi="Arial" w:cs="Arial"/>
            <w:szCs w:val="28"/>
            <w:lang w:val="en-US"/>
          </w:rPr>
          <w:t>URL:https://www.unocha.org</w:t>
        </w:r>
      </w:hyperlink>
      <w:r w:rsidRPr="00511005">
        <w:rPr>
          <w:rFonts w:ascii="Arial" w:eastAsia="Times New Roman" w:hAnsi="Arial" w:cs="Arial"/>
          <w:szCs w:val="28"/>
          <w:lang w:val="en-US"/>
        </w:rPr>
        <w:t xml:space="preserve"> </w:t>
      </w:r>
    </w:p>
    <w:p w14:paraId="023B6CBC"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26. OHCHR – Office of the High Commissioner for Human Rights. </w:t>
      </w:r>
      <w:hyperlink r:id="rId565" w:history="1">
        <w:r w:rsidRPr="00511005">
          <w:rPr>
            <w:rFonts w:ascii="Arial" w:eastAsia="Times New Roman" w:hAnsi="Arial" w:cs="Arial"/>
            <w:szCs w:val="28"/>
            <w:lang w:val="en-US"/>
          </w:rPr>
          <w:t>URL:https://www.ohchr.org</w:t>
        </w:r>
      </w:hyperlink>
      <w:r w:rsidRPr="00511005">
        <w:rPr>
          <w:rFonts w:ascii="Arial" w:eastAsia="Times New Roman" w:hAnsi="Arial" w:cs="Arial"/>
          <w:szCs w:val="28"/>
          <w:lang w:val="en-US"/>
        </w:rPr>
        <w:t xml:space="preserve"> </w:t>
      </w:r>
    </w:p>
    <w:p w14:paraId="3CC72CC8"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27. UNODC – UN Office on Drugs and Crime.URL:</w:t>
      </w:r>
      <w:hyperlink r:id="rId566" w:history="1">
        <w:r w:rsidRPr="00511005">
          <w:rPr>
            <w:rFonts w:ascii="Arial" w:eastAsia="Times New Roman" w:hAnsi="Arial" w:cs="Arial"/>
            <w:szCs w:val="28"/>
            <w:lang w:val="en-US"/>
          </w:rPr>
          <w:t>https://www.unodc.org</w:t>
        </w:r>
      </w:hyperlink>
      <w:r w:rsidRPr="00511005">
        <w:rPr>
          <w:rFonts w:ascii="Arial" w:eastAsia="Times New Roman" w:hAnsi="Arial" w:cs="Arial"/>
          <w:szCs w:val="28"/>
          <w:lang w:val="en-US"/>
        </w:rPr>
        <w:t xml:space="preserve"> </w:t>
      </w:r>
    </w:p>
    <w:p w14:paraId="400DCF3F"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28. International Law Commission.URL: </w:t>
      </w:r>
      <w:hyperlink r:id="rId567" w:history="1">
        <w:r w:rsidRPr="00511005">
          <w:rPr>
            <w:rFonts w:ascii="Arial" w:eastAsia="Times New Roman" w:hAnsi="Arial" w:cs="Arial"/>
            <w:szCs w:val="28"/>
            <w:lang w:val="en-US"/>
          </w:rPr>
          <w:t>https://legal.un.org/ilc</w:t>
        </w:r>
      </w:hyperlink>
      <w:r w:rsidRPr="00511005">
        <w:rPr>
          <w:rFonts w:ascii="Arial" w:eastAsia="Times New Roman" w:hAnsi="Arial" w:cs="Arial"/>
          <w:szCs w:val="28"/>
          <w:lang w:val="en-US"/>
        </w:rPr>
        <w:t xml:space="preserve"> </w:t>
      </w:r>
    </w:p>
    <w:p w14:paraId="6CD48584" w14:textId="77777777" w:rsidR="00220D3E" w:rsidRPr="00511005" w:rsidRDefault="00220D3E" w:rsidP="003A292D">
      <w:pPr>
        <w:tabs>
          <w:tab w:val="left" w:pos="709"/>
        </w:tabs>
        <w:spacing w:line="264" w:lineRule="auto"/>
        <w:ind w:right="-1" w:firstLine="0"/>
        <w:contextualSpacing/>
        <w:rPr>
          <w:rFonts w:ascii="Arial" w:eastAsia="Times New Roman" w:hAnsi="Arial" w:cs="Arial"/>
          <w:szCs w:val="28"/>
          <w:lang w:val="en-US"/>
        </w:rPr>
      </w:pPr>
      <w:r w:rsidRPr="00511005">
        <w:rPr>
          <w:rFonts w:ascii="Arial" w:eastAsia="Times New Roman" w:hAnsi="Arial" w:cs="Arial"/>
          <w:szCs w:val="28"/>
          <w:lang w:val="en-US"/>
        </w:rPr>
        <w:t xml:space="preserve">29. International Criminal Court. </w:t>
      </w:r>
      <w:hyperlink r:id="rId568" w:history="1">
        <w:r w:rsidRPr="00511005">
          <w:rPr>
            <w:rFonts w:ascii="Arial" w:eastAsia="Times New Roman" w:hAnsi="Arial" w:cs="Arial"/>
            <w:szCs w:val="28"/>
            <w:lang w:val="en-US"/>
          </w:rPr>
          <w:t>URL:https://www.icc-cpi.int</w:t>
        </w:r>
      </w:hyperlink>
      <w:r w:rsidRPr="00511005">
        <w:rPr>
          <w:rFonts w:ascii="Arial" w:eastAsia="Times New Roman" w:hAnsi="Arial" w:cs="Arial"/>
          <w:szCs w:val="28"/>
          <w:lang w:val="en-US"/>
        </w:rPr>
        <w:t xml:space="preserve"> </w:t>
      </w:r>
    </w:p>
    <w:p w14:paraId="30130CCB" w14:textId="248716F7" w:rsidR="00220D3E" w:rsidRPr="00511005" w:rsidRDefault="00220D3E" w:rsidP="003A292D">
      <w:pPr>
        <w:tabs>
          <w:tab w:val="left" w:pos="709"/>
        </w:tabs>
        <w:spacing w:line="264" w:lineRule="auto"/>
        <w:ind w:right="-1" w:firstLine="0"/>
        <w:contextualSpacing/>
        <w:rPr>
          <w:rFonts w:ascii="Arial" w:eastAsia="Times New Roman" w:hAnsi="Arial" w:cs="Arial"/>
          <w:szCs w:val="28"/>
        </w:rPr>
      </w:pPr>
      <w:r w:rsidRPr="00511005">
        <w:rPr>
          <w:rFonts w:ascii="Arial" w:eastAsia="Times New Roman" w:hAnsi="Arial" w:cs="Arial"/>
          <w:szCs w:val="28"/>
          <w:lang w:val="uk-UA"/>
        </w:rPr>
        <w:t>30.</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en-US"/>
        </w:rPr>
        <w:t xml:space="preserve">International Committee of the Red Cross. </w:t>
      </w:r>
      <w:hyperlink r:id="rId569"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www</w:t>
        </w:r>
        <w:r w:rsidRPr="00511005">
          <w:rPr>
            <w:rFonts w:ascii="Arial" w:eastAsia="Times New Roman" w:hAnsi="Arial" w:cs="Arial"/>
            <w:szCs w:val="28"/>
          </w:rPr>
          <w:t>.</w:t>
        </w:r>
        <w:r w:rsidRPr="00511005">
          <w:rPr>
            <w:rFonts w:ascii="Arial" w:eastAsia="Times New Roman" w:hAnsi="Arial" w:cs="Arial"/>
            <w:szCs w:val="28"/>
            <w:lang w:val="en-US"/>
          </w:rPr>
          <w:t>icrc</w:t>
        </w:r>
        <w:r w:rsidRPr="00511005">
          <w:rPr>
            <w:rFonts w:ascii="Arial" w:eastAsia="Times New Roman" w:hAnsi="Arial" w:cs="Arial"/>
            <w:szCs w:val="28"/>
          </w:rPr>
          <w:t>.</w:t>
        </w:r>
        <w:r w:rsidRPr="00511005">
          <w:rPr>
            <w:rFonts w:ascii="Arial" w:eastAsia="Times New Roman" w:hAnsi="Arial" w:cs="Arial"/>
            <w:szCs w:val="28"/>
            <w:lang w:val="en-US"/>
          </w:rPr>
          <w:t>org</w:t>
        </w:r>
      </w:hyperlink>
    </w:p>
    <w:p w14:paraId="65DE9AB1" w14:textId="77777777" w:rsidR="00220D3E" w:rsidRPr="00511005" w:rsidRDefault="00220D3E" w:rsidP="003A292D">
      <w:pPr>
        <w:tabs>
          <w:tab w:val="left" w:pos="709"/>
        </w:tabs>
        <w:spacing w:line="264" w:lineRule="auto"/>
        <w:ind w:right="850"/>
        <w:contextualSpacing/>
        <w:jc w:val="left"/>
        <w:rPr>
          <w:rFonts w:ascii="Arial" w:eastAsia="Times New Roman" w:hAnsi="Arial" w:cs="Arial"/>
          <w:b/>
          <w:szCs w:val="28"/>
          <w:lang w:val="uk-UA"/>
        </w:rPr>
      </w:pPr>
    </w:p>
    <w:p w14:paraId="27E15510" w14:textId="5B595AF1" w:rsidR="00220D3E" w:rsidRPr="00511005" w:rsidRDefault="007B2628" w:rsidP="003A292D">
      <w:pPr>
        <w:tabs>
          <w:tab w:val="left" w:pos="709"/>
        </w:tabs>
        <w:spacing w:line="264" w:lineRule="auto"/>
        <w:ind w:right="-1"/>
        <w:contextualSpacing/>
        <w:rPr>
          <w:rFonts w:ascii="Arial" w:eastAsia="Times New Roman" w:hAnsi="Arial" w:cs="Arial"/>
          <w:szCs w:val="28"/>
        </w:rPr>
      </w:pPr>
      <w:r w:rsidRPr="00511005">
        <w:rPr>
          <w:rFonts w:ascii="Arial" w:eastAsia="Times New Roman" w:hAnsi="Arial" w:cs="Arial"/>
          <w:b/>
          <w:i/>
          <w:szCs w:val="28"/>
        </w:rPr>
        <w:t xml:space="preserve">Ключові слова: </w:t>
      </w:r>
      <w:r w:rsidR="00220D3E" w:rsidRPr="00511005">
        <w:rPr>
          <w:rFonts w:ascii="Arial" w:eastAsia="Times New Roman" w:hAnsi="Arial" w:cs="Arial"/>
          <w:szCs w:val="28"/>
        </w:rPr>
        <w:t>ООН, миротворчі операції, міжнародна безпека, Статут ООН, Рада Безпеки, санкції, права людини, гуманітарна допомога.</w:t>
      </w:r>
    </w:p>
    <w:p w14:paraId="0A891BB6" w14:textId="4C145493" w:rsidR="00220D3E" w:rsidRPr="00511005" w:rsidRDefault="007B2628" w:rsidP="003A292D">
      <w:pPr>
        <w:tabs>
          <w:tab w:val="left" w:pos="709"/>
        </w:tabs>
        <w:spacing w:line="264" w:lineRule="auto"/>
        <w:ind w:right="-1"/>
        <w:contextualSpacing/>
        <w:rPr>
          <w:rFonts w:ascii="Arial" w:eastAsia="Times New Roman" w:hAnsi="Arial" w:cs="Arial"/>
          <w:szCs w:val="28"/>
          <w:lang w:val="en-US"/>
        </w:rPr>
      </w:pPr>
      <w:r w:rsidRPr="00511005">
        <w:rPr>
          <w:rFonts w:ascii="Arial" w:eastAsia="Times New Roman" w:hAnsi="Arial" w:cs="Arial"/>
          <w:b/>
          <w:i/>
          <w:szCs w:val="28"/>
          <w:lang w:val="en-US"/>
        </w:rPr>
        <w:lastRenderedPageBreak/>
        <w:t xml:space="preserve">Key words: </w:t>
      </w:r>
      <w:r w:rsidR="00220D3E" w:rsidRPr="00511005">
        <w:rPr>
          <w:rFonts w:ascii="Arial" w:eastAsia="Times New Roman" w:hAnsi="Arial" w:cs="Arial"/>
          <w:szCs w:val="28"/>
          <w:lang w:val="en-US"/>
        </w:rPr>
        <w:t>UN, peacekeeping operations, international security, UN Charter, Security Council, sanctions, human rights, humanitarian aid.</w:t>
      </w:r>
    </w:p>
    <w:p w14:paraId="48F8C0E0" w14:textId="27E2CE4C" w:rsidR="00220D3E" w:rsidRPr="00511005" w:rsidRDefault="007B2628" w:rsidP="003A292D">
      <w:pPr>
        <w:tabs>
          <w:tab w:val="left" w:pos="709"/>
        </w:tabs>
        <w:spacing w:line="264" w:lineRule="auto"/>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val="uk-UA" w:eastAsia="ru-RU"/>
        </w:rPr>
        <w:t>доцент кафедри, к.ю.н. Грушко М.В.</w:t>
      </w:r>
    </w:p>
    <w:p w14:paraId="0A0C2E37" w14:textId="77777777" w:rsidR="00220D3E" w:rsidRPr="00511005" w:rsidRDefault="00220D3E" w:rsidP="003A292D">
      <w:pPr>
        <w:tabs>
          <w:tab w:val="left" w:pos="709"/>
        </w:tabs>
        <w:spacing w:line="264" w:lineRule="auto"/>
        <w:rPr>
          <w:rFonts w:ascii="Arial" w:eastAsia="Times New Roman" w:hAnsi="Arial" w:cs="Arial"/>
          <w:bCs/>
          <w:i/>
          <w:iCs/>
          <w:szCs w:val="28"/>
          <w:lang w:val="uk-UA" w:eastAsia="ru-RU"/>
        </w:rPr>
      </w:pPr>
    </w:p>
    <w:p w14:paraId="1055A97C"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Олійник Марія Ігорівна</w:t>
      </w:r>
    </w:p>
    <w:p w14:paraId="4153A1AF" w14:textId="4FADB11B"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eastAsia="ru-RU"/>
        </w:rPr>
        <w:t xml:space="preserve">студентка 4-го курсу </w:t>
      </w:r>
    </w:p>
    <w:p w14:paraId="406E93C9" w14:textId="2DC89454"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факультету адвокатури та антикорупційної діяльності</w:t>
      </w:r>
    </w:p>
    <w:p w14:paraId="6D285E5C" w14:textId="0CAEF62B"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0B8CF2E" w14:textId="77777777" w:rsidR="00220D3E" w:rsidRPr="00511005" w:rsidRDefault="00220D3E" w:rsidP="003A292D">
      <w:pPr>
        <w:tabs>
          <w:tab w:val="left" w:pos="709"/>
        </w:tabs>
        <w:spacing w:line="264" w:lineRule="auto"/>
        <w:jc w:val="center"/>
        <w:rPr>
          <w:rFonts w:ascii="Arial" w:eastAsia="Times New Roman" w:hAnsi="Arial" w:cs="Arial"/>
          <w:i/>
          <w:iCs/>
          <w:szCs w:val="28"/>
          <w:lang w:eastAsia="ru-RU"/>
        </w:rPr>
      </w:pPr>
    </w:p>
    <w:p w14:paraId="0CF0F6F3" w14:textId="77777777" w:rsidR="00220D3E"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МІЖНАРОДНО-ПРАВОВЕ РЕГУЛЮВАННЯ ЗАХИСТУ ПРАВ ДІТЕЙ</w:t>
      </w:r>
    </w:p>
    <w:p w14:paraId="15096822"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Протягом останніх десятиліть в рамках міжнародного співтовариства надзвичайно актуальним залишається питання захисту прав та інтересів людини. Пріоритетне значення в даному аспекті міжнародної співпраці відіграє питання захисту прав дитини як окремої особистості, здатної мати власні права.</w:t>
      </w:r>
    </w:p>
    <w:p w14:paraId="5E5815B5" w14:textId="49E5EEDD"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Поглиблена увага міжнародної спільноти до питання захисту прав дітей пов’язана, зокрема, з тим, що останні є вкрай вразливою та незахищеною категорією населення. В силу своєї біологічної та психологічної незрілості діти не те що не можуть самостійно захистити свої права та основоположні свободи, але й навіть не є здатними повністю усвідомлювати самого факту порушення їхніх прав, а тому більшість протиправних дій проти них, на жаль, залишаються непоміченими. </w:t>
      </w:r>
    </w:p>
    <w:p w14:paraId="7445A9F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Для початку, варто зазначити, що права дітей знайшли відображення в основних міжнародних документах з прав людини, таких як Загальна декларація прав людини 1948 року, Міжнародний пакт про громадянські та політичні права 1966 року, Міжнародний пакт про економічні, соціальні та культурні права 1966 року та Конвенція про захист прав людини і основоположних свобод 1950 року.</w:t>
      </w:r>
    </w:p>
    <w:p w14:paraId="2F95D06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Зокрема, у Загальній декларації прав людини 1948 року було визначено: «дитина в силу своєї фізичної та емоційної незрілості, потребує спеціальної охорони та захисту, включаючи і належну правову допомогу, як до, так і після її народження» [1</w:t>
      </w:r>
      <w:proofErr w:type="gramStart"/>
      <w:r w:rsidRPr="00511005">
        <w:rPr>
          <w:rFonts w:ascii="Arial" w:eastAsia="Times New Roman" w:hAnsi="Arial" w:cs="Arial"/>
          <w:szCs w:val="28"/>
          <w:lang w:eastAsia="ru-RU"/>
        </w:rPr>
        <w:t>] .</w:t>
      </w:r>
      <w:proofErr w:type="gramEnd"/>
    </w:p>
    <w:p w14:paraId="2167F1E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Пунктом 1 статті 24 Пакту про громадянські та політичні права стосовно прав дітей було закріплено наступне: «Кожна дитина без будь-якої дискримінації за ознакою раси, кольору шкіри, статі, мови, релігії, національного чи соціального походження, майнового стану або народження має право на такі заходи захисту, які є необхідними в її становищі, як малолітньої, з боку її сім’ї, суспільства і держави» [2].</w:t>
      </w:r>
    </w:p>
    <w:p w14:paraId="2BB71A02" w14:textId="55B85F44"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 свою чергу, Конвенція про захист прав людини і основоположних свобод 1950 року в своєму тексті не містить окремих положень, присвячених конкретно правам дитини, але цей міжнародно-правовий акт є</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загальним документом, який охоплює весь спектр прав людини, більшістю з яких може </w:t>
      </w:r>
      <w:r w:rsidRPr="00511005">
        <w:rPr>
          <w:rFonts w:ascii="Arial" w:eastAsia="Times New Roman" w:hAnsi="Arial" w:cs="Arial"/>
          <w:szCs w:val="28"/>
          <w:lang w:eastAsia="ru-RU"/>
        </w:rPr>
        <w:lastRenderedPageBreak/>
        <w:t xml:space="preserve">користуватися будь-яка людина, незалежно від будь-яких характеристик, у тому числі вікових. Зокрема, в статті 1 цієї Конвенції безпосередньо закріплено, що «Високі Договірні Сторони гарантують кожному, хто перебуває під їхньою юрисдикцією, права і свободи, визначені в </w:t>
      </w:r>
      <w:hyperlink r:id="rId570" w:anchor="n299">
        <w:r w:rsidRPr="00511005">
          <w:rPr>
            <w:rFonts w:ascii="Arial" w:eastAsia="Times New Roman" w:hAnsi="Arial" w:cs="Arial"/>
            <w:b/>
            <w:i/>
            <w:szCs w:val="28"/>
            <w:lang w:eastAsia="ru-RU"/>
          </w:rPr>
          <w:t>розділі I</w:t>
        </w:r>
      </w:hyperlink>
      <w:r w:rsidRPr="00511005">
        <w:rPr>
          <w:rFonts w:ascii="Arial" w:eastAsia="Times New Roman" w:hAnsi="Arial" w:cs="Arial"/>
          <w:szCs w:val="28"/>
          <w:lang w:eastAsia="ru-RU"/>
        </w:rPr>
        <w:t xml:space="preserve"> цієї Конвенції» [3].</w:t>
      </w:r>
    </w:p>
    <w:p w14:paraId="2A6D8D54" w14:textId="2CED07A2"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Початок активізації правозахисної діяльності безпосередньо у сфері прав дітей, пов’язується з завершенням Першої світової війни, коли вся світова спільнота,</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проаналізувавши пагубні наслідки війни на цивільне населення, спрямувала свої зусилля на впровадження ефективних міжнародних заходів у галузі захисту прав усіх людей, а особливо дітей. Так, вже в 1919 році Лігою Націй був створений Комітет дитячого благополуччя, до компетенції якого входила розробка необхідних заходів щодо положення безпритульних дітей, рабства, дитячої праці, торгівлі дітьми та проституції неповнолітніх.</w:t>
      </w:r>
    </w:p>
    <w:p w14:paraId="47D397B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 1924 році Ліга Націй прийняла перший міжнародний документ у сфері прав та інтересів дитини - Декларацію прав дитини (Женевську декларацію), в якій вперше було сформовано основні цілі та принципи захисту прав дітей. У даному міжнародному документі вперше було порушено питання стосовно обов’язку держав забезпечувати встановлення обов'язкової освіти для дітей, а також про необхідність заборони експлуатації дитячої праці.</w:t>
      </w:r>
    </w:p>
    <w:p w14:paraId="1B71582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Міжнародна система захисту прав дитини, як частини загальних прав людини, остаточно сформувалася після Другої світової війни під егідою Організації Об'єднаних Націй. Саме в той період міжнародною спільнотою було усвідомлено необхідність здійснення кодифікації, правової регламентації, інституціоналізації прав дитини, створення та розвитку в міжнародному праві відповідного адекватного механізму реалізації прав дитини. Це, зі свого боку, підштовхнуло Організацію Об'єднаних Націй до прийняття у 1959 році спеціального документа, повністю присвяченого правам дитини, а саме Декларації прав дитини. </w:t>
      </w:r>
    </w:p>
    <w:p w14:paraId="664E800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Прийнята в 1959 році Декларація прав дитини (далі - Декларація) складалася з десяти статей, які встановлювали соціальні та юридичні принципи для забезпечення охорони та захисту прав та благополуччя дітей, як в національних, так і в міжнародних масштабах. Декларація прав дитини визначає «щасливе дитинство» як одну із головних цілей діяльності міжнародного співтовариства. В тексті її положень особливо підкреслюється, що «дитині для повного і гармонійного розвитку її особи необхідно зростати в сімейному оточенні, в атмосфері щастя, любові і розуміння» [4]. </w:t>
      </w:r>
    </w:p>
    <w:p w14:paraId="6C9202B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Декларація 1959 року не обмежувалася лише базовими потребами дитини, такими як їжа та житло, а й включала потребу в любові та взаєморозумінні. Вона підкреслювала на необхідності збереження єдності сім'ї, надання медичної </w:t>
      </w:r>
      <w:proofErr w:type="gramStart"/>
      <w:r w:rsidRPr="00511005">
        <w:rPr>
          <w:rFonts w:ascii="Arial" w:eastAsia="Times New Roman" w:hAnsi="Arial" w:cs="Arial"/>
          <w:szCs w:val="28"/>
          <w:lang w:eastAsia="ru-RU"/>
        </w:rPr>
        <w:t>до- та</w:t>
      </w:r>
      <w:proofErr w:type="gramEnd"/>
      <w:r w:rsidRPr="00511005">
        <w:rPr>
          <w:rFonts w:ascii="Arial" w:eastAsia="Times New Roman" w:hAnsi="Arial" w:cs="Arial"/>
          <w:szCs w:val="28"/>
          <w:lang w:eastAsia="ru-RU"/>
        </w:rPr>
        <w:t xml:space="preserve"> післяпологової допомоги матері та дитині, а </w:t>
      </w:r>
      <w:r w:rsidRPr="00511005">
        <w:rPr>
          <w:rFonts w:ascii="Arial" w:eastAsia="Times New Roman" w:hAnsi="Arial" w:cs="Arial"/>
          <w:szCs w:val="28"/>
          <w:lang w:eastAsia="ru-RU"/>
        </w:rPr>
        <w:lastRenderedPageBreak/>
        <w:t>також проголошувала право на ім'я та громадянство. Крім того, цей міжнародний документ гарантував безкоштовну обов’язкову початкову освіту, право дитини на гру та творчість, а також встановлював заборону експлуатації дитячої праці.</w:t>
      </w:r>
    </w:p>
    <w:p w14:paraId="387F7B4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Декларація 1959 року стала фундаментом для створення Конвенції про права дитини. У 1978 році польський уряд запропонував Комісії ООН з прав людини розглянути початковий проєкт, розроблений на основі цієї Декларації. Очікувалося, що його приймуть у 1979 році, який був оголошений Міжнародним роком дитини. Однак комісія вирішила, що текст потребує більш детального та глибокого аналізу. Робоча група досягла згоди щодо остаточного варіанту незадовго до сесії Генеральної Асамблеї ООН. 20 листопада 1989 року, у 30-ту річницю Декларації 1959 року, була прийнята Конвенція про права дитини.</w:t>
      </w:r>
    </w:p>
    <w:p w14:paraId="0DA9273E" w14:textId="746D9C3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Конвенція складається з 54 статей, якими встановлює політичні, економічні, соціальні та культурні права дітей до 18 років, гарантуючи їхній захист та покладаючи на держави обов'язок створювати необхідні для цього умови. Для забезпечення захисту прав дитини держава має не лише розробити ефективну систему їх реалізації, але й забезпечити їхнє практичне впровадження. Так, відповідно до ст. 44 Конвенції ООН про права дитини, «усі країни-учасники, що ратифікували Конвенцію, повинні періодично – раз на чотири роки – звітувати про прогрес у впровадженні цього міжнародного правозахисного інструменту, а також про виклики, які унеможливлюють повне забезпечення захисту прав дитини» [5]. Окрім цього, Факультативним протоколом до Конвенції про права дитини 1989 року також було передбачено необхідність додаткового захисту дітей, котрі знаходяться в особливих умовах, а саме</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під час збройних конфліктів [6].</w:t>
      </w:r>
    </w:p>
    <w:p w14:paraId="2D531DD6" w14:textId="52CDA3BC"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Контроль за реалізацією та виконанням ключових положень Конвенції (статті 42-45) покладено на Комітет із прав дитини. Його першочерговим завданням є оцінка прогресу, досягнутого державою-учасницею в процесі впровадження Конвенції ООН про права дитини. Держави-учасниці повинні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протягом двох років із дня ратифікації Конвенції регулярно, кожні 5 років, подавати звіти Комітету про права дитини в межах їхніх країн. Комітет значною мірою покладається на неурядові організації, особливо на національні, які надають додаткову інформацію до звітів держав, поширюють висновки та рекомендації, розроблені Комітетом після аналізу цих звітів, і сприяють їхньому практичному впровадженню.</w:t>
      </w:r>
    </w:p>
    <w:p w14:paraId="68AC69F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Для захисту прав дітей в усьому світі, як у мирний час, так і під час збройних конфліктів, на основі Декларації прав дитини 1959 року та Конвенції про права дитини 1989 року, було прийнято цілу низку інших спеціальних актів. Ці документи охоплюють широкий спектр питань, включаючи захист прав дітей-біженців, внутрішньо переміщених дітей, дітей при усиновленні та тих, хто перебуває в конфлікті із законом. Зокрема, в </w:t>
      </w:r>
      <w:r w:rsidRPr="00511005">
        <w:rPr>
          <w:rFonts w:ascii="Arial" w:eastAsia="Times New Roman" w:hAnsi="Arial" w:cs="Arial"/>
          <w:szCs w:val="28"/>
          <w:lang w:eastAsia="ru-RU"/>
        </w:rPr>
        <w:lastRenderedPageBreak/>
        <w:t>рамках даного питання міжнародної співпраці визначальними є такі міжнародні договори як: Конвенція про обмеження нічної праці дітей та підлітків на непромислових роботах, 1946 р.; Конвенція про стягнення аліментів за кордоном, 1956 р.; Європейська конвенція про правовий статус дітей, народжених поза шлюбом, 1975 р.; Конвенція про захист дітей та співробітництво з питань міждержавного усиновлення, 1993 р.; Конвенція про контакт з дітьми, 2003 р. та багато інших.</w:t>
      </w:r>
    </w:p>
    <w:p w14:paraId="39691C2A" w14:textId="031C08B5"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можемо зробити висновок, що протягом останніх десятиліть</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діяльність, спрямована на забезпечення благополуччя та розвиток кожної дитини, є пріоритетною в рамках міжнародно-правової співпраці. Про необхідність особливого захисту прав дітей як найбільш вразливої категорії населення було наголошено в багатьох основних міжнародно-правових актах з прав людини. В свою чергу, прийняття таких міжнародних актів, як Женевської декларації 1924 року, Декларації прав дитини 1959 року, Конвенції ООН про права дитини 1989 року, стало важливим кроком у забезпеченні гідного життя та розвитку кожної дитини. Ці міжнародні документи визначають основні права дітей, встановлюють стандарти їхнього захисту від насильства, експлуатації та дискримінації, а також сприяють створенню сприятливих умов для їхнього всебічного розвитку.</w:t>
      </w:r>
    </w:p>
    <w:p w14:paraId="106A5A64"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5B1A6DB7" w14:textId="308AFCD7" w:rsidR="00220D3E" w:rsidRPr="00511005" w:rsidRDefault="007B2628" w:rsidP="007B2628">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1FEFF8F2" w14:textId="77777777" w:rsidR="00220D3E" w:rsidRPr="00511005" w:rsidRDefault="00220D3E" w:rsidP="003F6A5D">
      <w:pPr>
        <w:numPr>
          <w:ilvl w:val="0"/>
          <w:numId w:val="195"/>
        </w:numPr>
        <w:tabs>
          <w:tab w:val="left" w:pos="709"/>
        </w:tabs>
        <w:spacing w:line="264" w:lineRule="auto"/>
        <w:ind w:left="0" w:firstLine="709"/>
        <w:contextualSpacing/>
        <w:jc w:val="left"/>
        <w:rPr>
          <w:rFonts w:ascii="Arial" w:eastAsia="Times New Roman" w:hAnsi="Arial" w:cs="Arial"/>
          <w:szCs w:val="28"/>
          <w:lang w:val="pl-PL"/>
        </w:rPr>
      </w:pPr>
      <w:r w:rsidRPr="00511005">
        <w:rPr>
          <w:rFonts w:ascii="Arial" w:eastAsia="Times New Roman" w:hAnsi="Arial" w:cs="Arial"/>
          <w:szCs w:val="28"/>
        </w:rPr>
        <w:t xml:space="preserve">Загальна декларація прав людини від 10.12.1948 року. </w:t>
      </w:r>
      <w:r w:rsidRPr="00511005">
        <w:rPr>
          <w:rFonts w:ascii="Arial" w:eastAsia="Times New Roman" w:hAnsi="Arial" w:cs="Arial"/>
          <w:szCs w:val="28"/>
          <w:lang w:val="pl-PL"/>
        </w:rPr>
        <w:t xml:space="preserve">URL: </w:t>
      </w:r>
      <w:hyperlink r:id="rId571" w:anchor="Text">
        <w:r w:rsidRPr="00511005">
          <w:rPr>
            <w:rFonts w:ascii="Arial" w:eastAsia="Times New Roman" w:hAnsi="Arial" w:cs="Arial"/>
            <w:szCs w:val="28"/>
            <w:lang w:val="pl-PL"/>
          </w:rPr>
          <w:t>https://zakon.rada.gov.ua/laws/show/995_015#Text</w:t>
        </w:r>
      </w:hyperlink>
    </w:p>
    <w:p w14:paraId="542E323B" w14:textId="77777777" w:rsidR="00220D3E" w:rsidRPr="00511005" w:rsidRDefault="00220D3E" w:rsidP="003F6A5D">
      <w:pPr>
        <w:numPr>
          <w:ilvl w:val="0"/>
          <w:numId w:val="195"/>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Times New Roman" w:hAnsi="Arial" w:cs="Arial"/>
          <w:szCs w:val="28"/>
        </w:rPr>
        <w:t xml:space="preserve">Міжнародний пакт про громадянські та політичні права від 16.12.1966 року. URL: </w:t>
      </w:r>
      <w:hyperlink r:id="rId572" w:anchor="Text">
        <w:r w:rsidRPr="00511005">
          <w:rPr>
            <w:rFonts w:ascii="Arial" w:eastAsia="Times New Roman" w:hAnsi="Arial" w:cs="Arial"/>
            <w:szCs w:val="28"/>
          </w:rPr>
          <w:t>https://zakon.rada.gov.ua/laws/show/995_043#Text</w:t>
        </w:r>
      </w:hyperlink>
    </w:p>
    <w:p w14:paraId="0B49E4DE" w14:textId="77777777" w:rsidR="00220D3E" w:rsidRPr="00511005" w:rsidRDefault="00220D3E" w:rsidP="003F6A5D">
      <w:pPr>
        <w:numPr>
          <w:ilvl w:val="0"/>
          <w:numId w:val="195"/>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Times New Roman" w:hAnsi="Arial" w:cs="Arial"/>
          <w:szCs w:val="28"/>
        </w:rPr>
        <w:t xml:space="preserve">Конвенція про захист прав людини і основоположних свобод від 04.11.1950 року. URL: </w:t>
      </w:r>
      <w:hyperlink r:id="rId573" w:anchor="Text">
        <w:r w:rsidRPr="00511005">
          <w:rPr>
            <w:rFonts w:ascii="Arial" w:eastAsia="Times New Roman" w:hAnsi="Arial" w:cs="Arial"/>
            <w:i/>
            <w:szCs w:val="28"/>
          </w:rPr>
          <w:t>https://zakon.rada.gov.ua/laws/show/995_004#Text</w:t>
        </w:r>
      </w:hyperlink>
    </w:p>
    <w:p w14:paraId="2CDDCD8D" w14:textId="77777777" w:rsidR="00220D3E" w:rsidRPr="00511005" w:rsidRDefault="00220D3E" w:rsidP="003F6A5D">
      <w:pPr>
        <w:numPr>
          <w:ilvl w:val="0"/>
          <w:numId w:val="195"/>
        </w:numPr>
        <w:tabs>
          <w:tab w:val="left" w:pos="709"/>
        </w:tabs>
        <w:spacing w:line="264" w:lineRule="auto"/>
        <w:ind w:left="0" w:firstLine="709"/>
        <w:contextualSpacing/>
        <w:jc w:val="left"/>
        <w:rPr>
          <w:rFonts w:ascii="Arial" w:eastAsia="Times New Roman" w:hAnsi="Arial" w:cs="Arial"/>
          <w:szCs w:val="28"/>
          <w:lang w:val="pl-PL"/>
        </w:rPr>
      </w:pPr>
      <w:r w:rsidRPr="00511005">
        <w:rPr>
          <w:rFonts w:ascii="Arial" w:eastAsia="Times New Roman" w:hAnsi="Arial" w:cs="Arial"/>
          <w:szCs w:val="28"/>
        </w:rPr>
        <w:t xml:space="preserve">Декларація прав дитини від 20.11.1959 року. </w:t>
      </w:r>
      <w:r w:rsidRPr="00511005">
        <w:rPr>
          <w:rFonts w:ascii="Arial" w:eastAsia="Times New Roman" w:hAnsi="Arial" w:cs="Arial"/>
          <w:szCs w:val="28"/>
          <w:lang w:val="pl-PL"/>
        </w:rPr>
        <w:t xml:space="preserve">URL: </w:t>
      </w:r>
      <w:hyperlink r:id="rId574" w:anchor="Text">
        <w:r w:rsidRPr="00511005">
          <w:rPr>
            <w:rFonts w:ascii="Arial" w:eastAsia="Times New Roman" w:hAnsi="Arial" w:cs="Arial"/>
            <w:szCs w:val="28"/>
            <w:lang w:val="pl-PL"/>
          </w:rPr>
          <w:t>https://zakon.rada.gov.ua/laws/show/995_384#Text</w:t>
        </w:r>
      </w:hyperlink>
    </w:p>
    <w:p w14:paraId="542356D7" w14:textId="77777777" w:rsidR="00220D3E" w:rsidRPr="00511005" w:rsidRDefault="00220D3E" w:rsidP="003F6A5D">
      <w:pPr>
        <w:numPr>
          <w:ilvl w:val="0"/>
          <w:numId w:val="195"/>
        </w:numPr>
        <w:tabs>
          <w:tab w:val="left" w:pos="709"/>
        </w:tabs>
        <w:spacing w:line="264" w:lineRule="auto"/>
        <w:ind w:left="0" w:firstLine="709"/>
        <w:contextualSpacing/>
        <w:jc w:val="left"/>
        <w:rPr>
          <w:rFonts w:ascii="Arial" w:eastAsia="Times New Roman" w:hAnsi="Arial" w:cs="Arial"/>
          <w:szCs w:val="28"/>
          <w:lang w:val="pl-PL"/>
        </w:rPr>
      </w:pPr>
      <w:r w:rsidRPr="00511005">
        <w:rPr>
          <w:rFonts w:ascii="Arial" w:eastAsia="Times New Roman" w:hAnsi="Arial" w:cs="Arial"/>
          <w:szCs w:val="28"/>
        </w:rPr>
        <w:t xml:space="preserve">Конвенція ООН про права дитини від 20.11.1989. </w:t>
      </w:r>
      <w:r w:rsidRPr="00511005">
        <w:rPr>
          <w:rFonts w:ascii="Arial" w:eastAsia="Times New Roman" w:hAnsi="Arial" w:cs="Arial"/>
          <w:szCs w:val="28"/>
          <w:lang w:val="pl-PL"/>
        </w:rPr>
        <w:t xml:space="preserve">URL: </w:t>
      </w:r>
      <w:hyperlink r:id="rId575" w:anchor="Text">
        <w:r w:rsidRPr="00511005">
          <w:rPr>
            <w:rFonts w:ascii="Arial" w:eastAsia="Times New Roman" w:hAnsi="Arial" w:cs="Arial"/>
            <w:szCs w:val="28"/>
            <w:lang w:val="pl-PL"/>
          </w:rPr>
          <w:t>https://zakon.rada.gov.ua/laws/show/995_021#Text</w:t>
        </w:r>
      </w:hyperlink>
    </w:p>
    <w:p w14:paraId="6AC74DEB" w14:textId="77777777" w:rsidR="00220D3E" w:rsidRPr="00511005" w:rsidRDefault="00220D3E" w:rsidP="003F6A5D">
      <w:pPr>
        <w:numPr>
          <w:ilvl w:val="0"/>
          <w:numId w:val="195"/>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Times New Roman" w:hAnsi="Arial" w:cs="Arial"/>
          <w:szCs w:val="28"/>
        </w:rPr>
        <w:t xml:space="preserve">Факультативний протокол до Конвенції про права дитини щодо участі дітей у збройних конфліктах. </w:t>
      </w:r>
    </w:p>
    <w:p w14:paraId="7B052C13" w14:textId="77777777" w:rsidR="00220D3E" w:rsidRPr="00511005" w:rsidRDefault="00220D3E" w:rsidP="003A292D">
      <w:pPr>
        <w:tabs>
          <w:tab w:val="left" w:pos="709"/>
        </w:tabs>
        <w:spacing w:line="264" w:lineRule="auto"/>
        <w:contextualSpacing/>
        <w:rPr>
          <w:rFonts w:ascii="Arial" w:eastAsia="Times New Roman" w:hAnsi="Arial" w:cs="Arial"/>
          <w:szCs w:val="28"/>
          <w:lang w:val="pl-PL"/>
        </w:rPr>
      </w:pPr>
      <w:r w:rsidRPr="00511005">
        <w:rPr>
          <w:rFonts w:ascii="Arial" w:eastAsia="Times New Roman" w:hAnsi="Arial" w:cs="Arial"/>
          <w:szCs w:val="28"/>
          <w:lang w:val="pl-PL"/>
        </w:rPr>
        <w:t xml:space="preserve">URL: </w:t>
      </w:r>
      <w:hyperlink r:id="rId576" w:anchor="Text">
        <w:r w:rsidRPr="00511005">
          <w:rPr>
            <w:rFonts w:ascii="Arial" w:eastAsia="Times New Roman" w:hAnsi="Arial" w:cs="Arial"/>
            <w:i/>
            <w:szCs w:val="28"/>
            <w:lang w:val="pl-PL"/>
          </w:rPr>
          <w:t>https://zakon.rada.gov.ua/laws/show/995_795#Text</w:t>
        </w:r>
      </w:hyperlink>
    </w:p>
    <w:p w14:paraId="1078D0E9" w14:textId="77777777" w:rsidR="00220D3E" w:rsidRPr="00511005" w:rsidRDefault="00220D3E" w:rsidP="003A292D">
      <w:pPr>
        <w:tabs>
          <w:tab w:val="left" w:pos="709"/>
        </w:tabs>
        <w:spacing w:line="264" w:lineRule="auto"/>
        <w:rPr>
          <w:rFonts w:ascii="Arial" w:eastAsia="Times New Roman" w:hAnsi="Arial" w:cs="Arial"/>
          <w:szCs w:val="28"/>
          <w:lang w:val="pl-PL" w:eastAsia="ru-RU"/>
        </w:rPr>
      </w:pPr>
    </w:p>
    <w:p w14:paraId="05F345CD" w14:textId="187C63BE"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міжнародно-правове регулювання, міжнародно-правовий захист, дитина, права дитини,</w:t>
      </w:r>
      <w:r w:rsidRPr="00511005">
        <w:rPr>
          <w:rFonts w:ascii="Arial" w:eastAsia="Times New Roman" w:hAnsi="Arial" w:cs="Arial"/>
          <w:szCs w:val="28"/>
          <w:lang w:eastAsia="ru-RU"/>
        </w:rPr>
        <w:t xml:space="preserve"> </w:t>
      </w:r>
      <w:r w:rsidR="00220D3E" w:rsidRPr="00511005">
        <w:rPr>
          <w:rFonts w:ascii="Arial" w:eastAsia="Times New Roman" w:hAnsi="Arial" w:cs="Arial"/>
          <w:szCs w:val="28"/>
          <w:lang w:eastAsia="ru-RU"/>
        </w:rPr>
        <w:t>міжнародне співтовариство, міжнародно-правові акти.</w:t>
      </w:r>
    </w:p>
    <w:p w14:paraId="60C98411" w14:textId="0678999D"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international legal regulation, international legal protection, child, child's rights, international community, international legal acts.</w:t>
      </w:r>
    </w:p>
    <w:p w14:paraId="2DDC5BAA" w14:textId="7EB150A4"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eastAsia="ru-RU"/>
        </w:rPr>
        <w:t>асистент кафедри Бугаєць А. С.</w:t>
      </w:r>
    </w:p>
    <w:p w14:paraId="79B55A47" w14:textId="77777777" w:rsidR="00220D3E" w:rsidRPr="00511005" w:rsidRDefault="00220D3E" w:rsidP="003A292D">
      <w:pPr>
        <w:tabs>
          <w:tab w:val="left" w:pos="709"/>
        </w:tabs>
        <w:spacing w:line="264" w:lineRule="auto"/>
        <w:ind w:right="850"/>
        <w:contextualSpacing/>
        <w:jc w:val="left"/>
        <w:rPr>
          <w:rFonts w:ascii="Arial" w:eastAsia="Times New Roman" w:hAnsi="Arial" w:cs="Arial"/>
          <w:szCs w:val="28"/>
          <w:lang w:val="uk-UA"/>
        </w:rPr>
      </w:pPr>
    </w:p>
    <w:p w14:paraId="3D55479C"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uk-UA"/>
        </w:rPr>
      </w:pPr>
      <w:r w:rsidRPr="00511005">
        <w:rPr>
          <w:rFonts w:ascii="Arial" w:eastAsia="Times New Roman" w:hAnsi="Arial" w:cs="Arial"/>
          <w:b/>
          <w:bCs/>
          <w:i/>
          <w:iCs/>
          <w:szCs w:val="28"/>
          <w:lang w:val="uk-UA" w:eastAsia="uk-UA"/>
        </w:rPr>
        <w:t xml:space="preserve">Осипенко Ольга Олександрівна </w:t>
      </w:r>
    </w:p>
    <w:p w14:paraId="0BA90238" w14:textId="4B54077C" w:rsidR="00220D3E" w:rsidRPr="00511005" w:rsidRDefault="00536AAB" w:rsidP="003A292D">
      <w:pPr>
        <w:tabs>
          <w:tab w:val="left" w:pos="709"/>
        </w:tabs>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4-го курсу </w:t>
      </w:r>
    </w:p>
    <w:p w14:paraId="6DC6C9F3" w14:textId="2CE0C26E" w:rsidR="00220D3E" w:rsidRPr="00511005" w:rsidRDefault="00536AAB" w:rsidP="003A292D">
      <w:pPr>
        <w:tabs>
          <w:tab w:val="left" w:pos="709"/>
        </w:tabs>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адвокатури та антикорупційної діяльності</w:t>
      </w:r>
    </w:p>
    <w:p w14:paraId="7E3E6489" w14:textId="75409393" w:rsidR="00220D3E" w:rsidRPr="00511005" w:rsidRDefault="007B2628" w:rsidP="003A292D">
      <w:pPr>
        <w:tabs>
          <w:tab w:val="left" w:pos="709"/>
        </w:tabs>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3AA3E650" w14:textId="77777777" w:rsidR="00220D3E" w:rsidRPr="00511005" w:rsidRDefault="00220D3E" w:rsidP="003A292D">
      <w:pPr>
        <w:tabs>
          <w:tab w:val="left" w:pos="709"/>
        </w:tabs>
        <w:spacing w:line="264" w:lineRule="auto"/>
        <w:contextualSpacing/>
        <w:jc w:val="center"/>
        <w:rPr>
          <w:rFonts w:ascii="Arial" w:eastAsia="Times New Roman" w:hAnsi="Arial" w:cs="Arial"/>
          <w:b/>
          <w:bCs/>
          <w:szCs w:val="28"/>
          <w:shd w:val="clear" w:color="auto" w:fill="FFFFFF"/>
          <w:lang w:eastAsia="ru-RU"/>
        </w:rPr>
      </w:pPr>
    </w:p>
    <w:p w14:paraId="3CC75F5B" w14:textId="77777777" w:rsidR="00220D3E" w:rsidRPr="00511005" w:rsidRDefault="00220D3E" w:rsidP="003A292D">
      <w:pPr>
        <w:tabs>
          <w:tab w:val="left" w:pos="709"/>
        </w:tabs>
        <w:spacing w:line="264" w:lineRule="auto"/>
        <w:contextualSpacing/>
        <w:jc w:val="center"/>
        <w:rPr>
          <w:rFonts w:ascii="Arial" w:eastAsia="Times New Roman" w:hAnsi="Arial" w:cs="Arial"/>
          <w:b/>
          <w:bCs/>
          <w:szCs w:val="28"/>
          <w:shd w:val="clear" w:color="auto" w:fill="FFFFFF"/>
          <w:lang w:eastAsia="ru-RU"/>
        </w:rPr>
      </w:pPr>
      <w:r w:rsidRPr="00511005">
        <w:rPr>
          <w:rFonts w:ascii="Arial" w:eastAsia="Times New Roman" w:hAnsi="Arial" w:cs="Arial"/>
          <w:b/>
          <w:bCs/>
          <w:szCs w:val="28"/>
          <w:shd w:val="clear" w:color="auto" w:fill="FFFFFF"/>
          <w:lang w:eastAsia="ru-RU"/>
        </w:rPr>
        <w:t>МІЖНАРОДНО-ПРАВОВИЙ СТАТУС БІЖЕНЦІВ І ВИМУШЕНО ПЕРЕМІЩЕНИХ ОСІБ</w:t>
      </w:r>
    </w:p>
    <w:p w14:paraId="47A20D29"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Міжнародно-правовий статус біженців і внутрішньо переміщених осіб (ВПО) формується на основі комплексу міжнародних та національних правових норм, які спрямовані на забезпечення захисту прав людини, безпеки та гідності осіб, які змушені залишити свої домівки через надзвичайні обставини. </w:t>
      </w:r>
    </w:p>
    <w:p w14:paraId="2EDFB556"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bCs/>
          <w:iCs/>
          <w:szCs w:val="28"/>
          <w:lang w:eastAsia="ru-RU"/>
        </w:rPr>
        <w:t>Актуальність теми</w:t>
      </w:r>
      <w:r w:rsidRPr="00511005">
        <w:rPr>
          <w:rFonts w:ascii="Arial" w:eastAsia="Times New Roman" w:hAnsi="Arial" w:cs="Arial"/>
          <w:szCs w:val="28"/>
          <w:lang w:eastAsia="ru-RU"/>
        </w:rPr>
        <w:t xml:space="preserve"> зумовлена зростанням масштабів збройних конфліктів, політичних переслідувань, порушень прав людини та гуманітарних криз у різних регіонах світу, зокрема в Україні. Мільйони людей щороку змушені залишати свої домівки в пошуках безпеки та захисту, що потребує ефективного міжнародного правового регулювання та дієвих механізмів реагування з боку держав.</w:t>
      </w:r>
    </w:p>
    <w:p w14:paraId="573C7D1B"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Біженці — це особи, які змушені залишити територію своєї держави через обґрунтований страх за власне життя, свободу або безпеку. Такий страх виникає внаслідок переслідувань за ознаками расової чи етнічної належності, релігійних переконань, національності, членства у певній соціальній групі чи політичних поглядів. Перетинаючи міжнародний кордон, ці люди шукають захисту в іншій країні, оскільки держава, з якої вони походять, не здатна або не бажає їх захистити. У міжнародному праві питання визначення та захисту біженців врегульовано головним чином Конвенцією ООН про статус біженців 1951 року та Протоколом до неї 1967 року [1; 2]. </w:t>
      </w:r>
    </w:p>
    <w:p w14:paraId="46985EFB"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Згідно з положеннями Конвенції, біженці мають право на притулок, що означає юридичний і фактичний захист від примусового повернення до країни, де їхньому життю або свободі може загрожувати небезпека. Це виражено в принципі non-refoulement, який є центральним елементом міжнародного захисту. Окрім того, біженці мають право на вільний доступ </w:t>
      </w:r>
      <w:proofErr w:type="gramStart"/>
      <w:r w:rsidRPr="00511005">
        <w:rPr>
          <w:rFonts w:ascii="Arial" w:eastAsia="Times New Roman" w:hAnsi="Arial" w:cs="Arial"/>
          <w:szCs w:val="28"/>
          <w:lang w:eastAsia="ru-RU"/>
        </w:rPr>
        <w:t>до ринку</w:t>
      </w:r>
      <w:proofErr w:type="gramEnd"/>
      <w:r w:rsidRPr="00511005">
        <w:rPr>
          <w:rFonts w:ascii="Arial" w:eastAsia="Times New Roman" w:hAnsi="Arial" w:cs="Arial"/>
          <w:szCs w:val="28"/>
          <w:lang w:eastAsia="ru-RU"/>
        </w:rPr>
        <w:t xml:space="preserve"> праці, отримання освіти, медичних послуг, свободу пересування в межах приймаючої держави, а також право на документи, що посвідчують особу. </w:t>
      </w:r>
    </w:p>
    <w:p w14:paraId="5E80ABC8"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Окрім цих документів, важливе значення має Загальна декларація прав людини 1948 року, яка визначає універсальні права, що належать усім людям, включно з біженцями, незалежно від їхнього юридичного статусу [3]. Додатковий захист забезпечують регіональні інструменти, зокрема </w:t>
      </w:r>
      <w:r w:rsidRPr="00511005">
        <w:rPr>
          <w:rFonts w:ascii="Arial" w:eastAsia="Times New Roman" w:hAnsi="Arial" w:cs="Arial"/>
          <w:szCs w:val="28"/>
          <w:lang w:eastAsia="ru-RU"/>
        </w:rPr>
        <w:lastRenderedPageBreak/>
        <w:t xml:space="preserve">Європейська конвенція з прав людини, яка дозволяє особам, чиї права порушено, звертатися до Європейського суду з прав людини [4]. </w:t>
      </w:r>
    </w:p>
    <w:p w14:paraId="094B0761"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В Україні правове регулювання статусу біженців і осіб, які потребують додаткового або тимчасового захисту, здійснюється відповідно до Закону України «Про біженців та осіб, які потребують додаткового або тимчасового захисту», який набрав чинності у 2011 році [5]. Цей закон адаптований до основних міжнародних стандартів у сфері захисту прав біженців і слугує головним нормативним актом, що визначає правовий статус таких осіб в Україні. </w:t>
      </w:r>
    </w:p>
    <w:p w14:paraId="1E66C10C"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Окрему увагу закон приділяє гарантіям прав для осіб, які отримали захист. Зокрема, однією з ключових норм є заборона примусового повернення особи до країни, де їй може загрожувати переслідування, катування або інша серйозна небезпека. Закон також передбачає право на безоплатну правову допомогу на всіх етапах розгляду справи, що дозволяє заявникам ефективно захищати свої інтереси в державних органах та судах. Важливими соціальними гарантіями є можливість возз’єднання з членами сім’ї, доступ до державної системи освіти, право на працю без потреби в отриманні додаткового дозволу, а також забезпечення медичного обслуговування та соціального захисту на рівні з громадянами України.</w:t>
      </w:r>
    </w:p>
    <w:p w14:paraId="6708B4A9"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Щодо внутрішньо переміщених осіб (ВПО), їхня ситуація відрізняється тим, що вони залишають свої домівки, але не перетинають міжнародно визнані кордони своєї держави. Вони залишаються під юрисдикцією своєї держави, яка несе основну відповідальність за їхній захист. Хоча немає окремої глобальної конвенції щодо ВПО, їхні права закріплені в низці міжнародних актів, серед яких ключовим є Керівні принципи ООН з питання переміщення всередині країни 1998 року [6]. Ці принципи встановлюють стандарти щодо запобігання внутрішньому переміщенню, захисту під час переміщення та допомоги у поверненні, переселенні чи інтеграції таких осіб. </w:t>
      </w:r>
    </w:p>
    <w:p w14:paraId="5407A64A"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В Україні правовий статус внутрішньо переміщених осіб (ВПО) регулюється Законом України «Про забезпечення прав і свобод внутрішньо переміщених осіб», ухваленим у 2014 році у відповідь на масове внутрішнє переміщення людей внаслідок збройного конфлікту на сході країни та анексії Криму [7]. Цей закон став ключовим інструментом правового захисту громадян, які були змушені залишити своє постійне місце проживання, але не перетнули державного кордону України. Закон визначає ВПО як особу, яка залишила своє місце проживання внаслідок або з метою уникнення негативних наслідків збройного конфлікту, тимчасової окупації, повсюдних проявів насильства, порушень прав людини або стихійного лиха.</w:t>
      </w:r>
    </w:p>
    <w:p w14:paraId="44833821"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Нормативний акт гарантує ВПО низку основоположних прав і свобод, серед яких — право на житло, отримання адресної грошової допомоги, доступ до освіти, медичного обслуговування, соціального захисту, працевлаштування та пенсійного забезпечення. Також передбачено </w:t>
      </w:r>
      <w:r w:rsidRPr="00511005">
        <w:rPr>
          <w:rFonts w:ascii="Arial" w:eastAsia="Times New Roman" w:hAnsi="Arial" w:cs="Arial"/>
          <w:szCs w:val="28"/>
          <w:lang w:eastAsia="ru-RU"/>
        </w:rPr>
        <w:lastRenderedPageBreak/>
        <w:t xml:space="preserve">сприяння держави у відновленні документів, що посвідчують особу, доступ до безоплатної правової допомоги, можливість участі у виборах за новим місцем проживання. У випадках, коли держава не виконує свої зобов’язання щодо біженців чи ВПО або порушує їхні права, такі особи мають право на міжнародно-правовий захист. </w:t>
      </w:r>
    </w:p>
    <w:p w14:paraId="790D1C42" w14:textId="77777777" w:rsidR="00220D3E" w:rsidRPr="00511005" w:rsidRDefault="00220D3E" w:rsidP="003A292D">
      <w:pPr>
        <w:tabs>
          <w:tab w:val="left" w:pos="709"/>
        </w:tabs>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Отже, міжнародно-правовий та національний статус біженців і внутрішньо переміщених осіб в Україні базується на загальновизнаних міжнародних нормах і адаптованих законодавчих механізмах, які спрямовані на забезпечення їхніх прав, безпеки та гідності. Біженці отримують захист як за міжнародними договорами, так і відповідно до українського законодавства, що визначає порядок надання статусу та соціальні гарантії, тоді як ВПО, залишаючись під юрисдикцією держави, користуються правами, визначеними національним законом, включно з доступом до житла, медицини, освіти та праці. Обидві категорії мають право на міжнародний захист у разі порушення прав, що підкреслює необхідність дотримання стандартів прав людини навіть у кризових умовах.</w:t>
      </w:r>
    </w:p>
    <w:p w14:paraId="0701FAC1" w14:textId="77777777" w:rsidR="00220D3E" w:rsidRPr="00511005" w:rsidRDefault="00220D3E" w:rsidP="003A292D">
      <w:pPr>
        <w:tabs>
          <w:tab w:val="left" w:pos="709"/>
        </w:tabs>
        <w:spacing w:line="264" w:lineRule="auto"/>
        <w:contextualSpacing/>
        <w:jc w:val="center"/>
        <w:rPr>
          <w:rFonts w:ascii="Arial" w:eastAsia="Times New Roman" w:hAnsi="Arial" w:cs="Arial"/>
          <w:b/>
          <w:bCs/>
          <w:szCs w:val="28"/>
          <w:lang w:eastAsia="ru-RU"/>
        </w:rPr>
      </w:pPr>
    </w:p>
    <w:p w14:paraId="71FD6B71" w14:textId="663CB5DD" w:rsidR="00220D3E" w:rsidRPr="00511005" w:rsidRDefault="007B2628" w:rsidP="007B2628">
      <w:pPr>
        <w:tabs>
          <w:tab w:val="left" w:pos="709"/>
        </w:tabs>
        <w:spacing w:line="264" w:lineRule="auto"/>
        <w:contextualSpacing/>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220FCA22" w14:textId="77777777" w:rsidR="00220D3E" w:rsidRPr="00511005" w:rsidRDefault="00220D3E" w:rsidP="003F6A5D">
      <w:pPr>
        <w:numPr>
          <w:ilvl w:val="0"/>
          <w:numId w:val="14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Конвенція про статус біженців, 28 липня 1951 р. </w:t>
      </w:r>
      <w:r w:rsidRPr="00511005">
        <w:rPr>
          <w:rFonts w:ascii="Arial" w:eastAsia="Calibri" w:hAnsi="Arial" w:cs="Arial"/>
          <w:i/>
          <w:iCs/>
          <w:szCs w:val="28"/>
        </w:rPr>
        <w:t>Офіційний вісник України</w:t>
      </w:r>
      <w:r w:rsidRPr="00511005">
        <w:rPr>
          <w:rFonts w:ascii="Arial" w:eastAsia="Calibri" w:hAnsi="Arial" w:cs="Arial"/>
          <w:szCs w:val="28"/>
        </w:rPr>
        <w:t xml:space="preserve">. 2002. № 12. Ст. 564. URL: </w:t>
      </w:r>
      <w:hyperlink r:id="rId577" w:tooltip="https://ips.ligazakon.net/document/MU51K02U" w:history="1">
        <w:r w:rsidRPr="00511005">
          <w:rPr>
            <w:rFonts w:ascii="Arial" w:eastAsia="Calibri" w:hAnsi="Arial" w:cs="Arial"/>
            <w:szCs w:val="28"/>
          </w:rPr>
          <w:t>https://ips.ligazakon.net/document/MU51K02U</w:t>
        </w:r>
      </w:hyperlink>
      <w:r w:rsidRPr="00511005">
        <w:rPr>
          <w:rFonts w:ascii="Arial" w:eastAsia="Calibri" w:hAnsi="Arial" w:cs="Arial"/>
          <w:szCs w:val="28"/>
        </w:rPr>
        <w:t xml:space="preserve"> </w:t>
      </w:r>
    </w:p>
    <w:p w14:paraId="52CA4C66" w14:textId="0A2171B7" w:rsidR="00220D3E" w:rsidRPr="00511005" w:rsidRDefault="00220D3E" w:rsidP="003F6A5D">
      <w:pPr>
        <w:numPr>
          <w:ilvl w:val="0"/>
          <w:numId w:val="14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Протокол щодо статусу біженців, 31 січня 1967 р.</w:t>
      </w:r>
      <w:r w:rsidR="007B2628" w:rsidRPr="00511005">
        <w:rPr>
          <w:rFonts w:ascii="Arial" w:eastAsia="Calibri" w:hAnsi="Arial" w:cs="Arial"/>
          <w:szCs w:val="28"/>
        </w:rPr>
        <w:t xml:space="preserve"> </w:t>
      </w:r>
      <w:r w:rsidRPr="00511005">
        <w:rPr>
          <w:rFonts w:ascii="Arial" w:eastAsia="Calibri" w:hAnsi="Arial" w:cs="Arial"/>
          <w:i/>
          <w:iCs/>
          <w:szCs w:val="28"/>
        </w:rPr>
        <w:t xml:space="preserve">Офіційний вісник України. </w:t>
      </w:r>
      <w:r w:rsidRPr="00511005">
        <w:rPr>
          <w:rFonts w:ascii="Arial" w:eastAsia="Calibri" w:hAnsi="Arial" w:cs="Arial"/>
          <w:szCs w:val="28"/>
        </w:rPr>
        <w:t xml:space="preserve">2002. № 12. Ст. 565. URL: </w:t>
      </w:r>
      <w:hyperlink r:id="rId578" w:anchor="Text" w:tooltip="https://zakon.rada.gov.ua/laws/show/995_363#Text" w:history="1">
        <w:r w:rsidRPr="00511005">
          <w:rPr>
            <w:rFonts w:ascii="Arial" w:eastAsia="Calibri" w:hAnsi="Arial" w:cs="Arial"/>
            <w:szCs w:val="28"/>
          </w:rPr>
          <w:t>https://zakon.rada.gov.ua/laws/show/995_363#Text</w:t>
        </w:r>
      </w:hyperlink>
      <w:r w:rsidRPr="00511005">
        <w:rPr>
          <w:rFonts w:ascii="Arial" w:eastAsia="Calibri" w:hAnsi="Arial" w:cs="Arial"/>
          <w:szCs w:val="28"/>
        </w:rPr>
        <w:t xml:space="preserve"> </w:t>
      </w:r>
    </w:p>
    <w:p w14:paraId="35E1BAEC" w14:textId="581E97C1" w:rsidR="00220D3E" w:rsidRPr="00511005" w:rsidRDefault="00220D3E" w:rsidP="003F6A5D">
      <w:pPr>
        <w:numPr>
          <w:ilvl w:val="0"/>
          <w:numId w:val="14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Загальна декларація прав </w:t>
      </w:r>
      <w:proofErr w:type="gramStart"/>
      <w:r w:rsidRPr="00511005">
        <w:rPr>
          <w:rFonts w:ascii="Arial" w:eastAsia="Calibri" w:hAnsi="Arial" w:cs="Arial"/>
          <w:szCs w:val="28"/>
        </w:rPr>
        <w:t>людини :</w:t>
      </w:r>
      <w:proofErr w:type="gramEnd"/>
      <w:r w:rsidRPr="00511005">
        <w:rPr>
          <w:rFonts w:ascii="Arial" w:eastAsia="Calibri" w:hAnsi="Arial" w:cs="Arial"/>
          <w:szCs w:val="28"/>
        </w:rPr>
        <w:t xml:space="preserve"> прийнята Генеральною Асамблеєю ООН 10 грудня 1948 р.</w:t>
      </w:r>
      <w:r w:rsidR="007B2628" w:rsidRPr="00511005">
        <w:rPr>
          <w:rFonts w:ascii="Arial" w:eastAsia="Calibri" w:hAnsi="Arial" w:cs="Arial"/>
          <w:szCs w:val="28"/>
        </w:rPr>
        <w:t xml:space="preserve"> </w:t>
      </w:r>
      <w:r w:rsidRPr="00511005">
        <w:rPr>
          <w:rFonts w:ascii="Arial" w:eastAsia="Calibri" w:hAnsi="Arial" w:cs="Arial"/>
          <w:i/>
          <w:iCs/>
          <w:szCs w:val="28"/>
        </w:rPr>
        <w:t>Відомості Верховної Ради УРСР</w:t>
      </w:r>
      <w:r w:rsidRPr="00511005">
        <w:rPr>
          <w:rFonts w:ascii="Arial" w:eastAsia="Calibri" w:hAnsi="Arial" w:cs="Arial"/>
          <w:szCs w:val="28"/>
        </w:rPr>
        <w:t>. 1951.</w:t>
      </w:r>
      <w:r w:rsidR="007B2628" w:rsidRPr="00511005">
        <w:rPr>
          <w:rFonts w:ascii="Arial" w:eastAsia="Calibri" w:hAnsi="Arial" w:cs="Arial"/>
          <w:szCs w:val="28"/>
        </w:rPr>
        <w:t xml:space="preserve"> </w:t>
      </w:r>
      <w:r w:rsidRPr="00511005">
        <w:rPr>
          <w:rFonts w:ascii="Arial" w:eastAsia="Calibri" w:hAnsi="Arial" w:cs="Arial"/>
          <w:szCs w:val="28"/>
        </w:rPr>
        <w:t>№ 6.</w:t>
      </w:r>
      <w:r w:rsidR="007B2628" w:rsidRPr="00511005">
        <w:rPr>
          <w:rFonts w:ascii="Arial" w:eastAsia="Calibri" w:hAnsi="Arial" w:cs="Arial"/>
          <w:szCs w:val="28"/>
        </w:rPr>
        <w:t xml:space="preserve"> </w:t>
      </w:r>
      <w:r w:rsidRPr="00511005">
        <w:rPr>
          <w:rFonts w:ascii="Arial" w:eastAsia="Calibri" w:hAnsi="Arial" w:cs="Arial"/>
          <w:szCs w:val="28"/>
        </w:rPr>
        <w:t>Ст. 44. URL:</w:t>
      </w:r>
      <w:r w:rsidR="007B2628" w:rsidRPr="00511005">
        <w:rPr>
          <w:rFonts w:ascii="Arial" w:eastAsia="Calibri" w:hAnsi="Arial" w:cs="Arial"/>
          <w:szCs w:val="28"/>
        </w:rPr>
        <w:t xml:space="preserve"> </w:t>
      </w:r>
      <w:hyperlink r:id="rId579" w:anchor="Text" w:tooltip="https://zakon.rada.gov.ua/laws/show/995_015#Text" w:history="1">
        <w:r w:rsidRPr="00511005">
          <w:rPr>
            <w:rFonts w:ascii="Arial" w:eastAsia="Calibri" w:hAnsi="Arial" w:cs="Arial"/>
            <w:szCs w:val="28"/>
          </w:rPr>
          <w:t>https://zakon.rada.gov.ua/laws/show/995_015#Text</w:t>
        </w:r>
      </w:hyperlink>
      <w:r w:rsidRPr="00511005">
        <w:rPr>
          <w:rFonts w:ascii="Arial" w:eastAsia="Calibri" w:hAnsi="Arial" w:cs="Arial"/>
          <w:szCs w:val="28"/>
        </w:rPr>
        <w:t xml:space="preserve"> </w:t>
      </w:r>
    </w:p>
    <w:p w14:paraId="2FCCCFB8" w14:textId="77777777" w:rsidR="00220D3E" w:rsidRPr="00511005" w:rsidRDefault="00220D3E" w:rsidP="003F6A5D">
      <w:pPr>
        <w:numPr>
          <w:ilvl w:val="0"/>
          <w:numId w:val="14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Європейська конвенція з прав </w:t>
      </w:r>
      <w:proofErr w:type="gramStart"/>
      <w:r w:rsidRPr="00511005">
        <w:rPr>
          <w:rFonts w:ascii="Arial" w:eastAsia="Calibri" w:hAnsi="Arial" w:cs="Arial"/>
          <w:szCs w:val="28"/>
        </w:rPr>
        <w:t>людини :</w:t>
      </w:r>
      <w:proofErr w:type="gramEnd"/>
      <w:r w:rsidRPr="00511005">
        <w:rPr>
          <w:rFonts w:ascii="Arial" w:eastAsia="Calibri" w:hAnsi="Arial" w:cs="Arial"/>
          <w:szCs w:val="28"/>
        </w:rPr>
        <w:t xml:space="preserve"> підписана 4 листопада 1950 р. у Римі. </w:t>
      </w:r>
      <w:r w:rsidRPr="00511005">
        <w:rPr>
          <w:rFonts w:ascii="Arial" w:eastAsia="Calibri" w:hAnsi="Arial" w:cs="Arial"/>
          <w:i/>
          <w:iCs/>
          <w:szCs w:val="28"/>
        </w:rPr>
        <w:t>Офіційний вісник України</w:t>
      </w:r>
      <w:r w:rsidRPr="00511005">
        <w:rPr>
          <w:rFonts w:ascii="Arial" w:eastAsia="Calibri" w:hAnsi="Arial" w:cs="Arial"/>
          <w:szCs w:val="28"/>
        </w:rPr>
        <w:t xml:space="preserve">. 1998. № 13. Ст. 517. URL: </w:t>
      </w:r>
      <w:hyperlink r:id="rId580" w:anchor="Text" w:tooltip="https://zakon.rada.gov.ua/laws/show/995_004#Text" w:history="1">
        <w:r w:rsidRPr="00511005">
          <w:rPr>
            <w:rFonts w:ascii="Arial" w:eastAsia="Calibri" w:hAnsi="Arial" w:cs="Arial"/>
            <w:szCs w:val="28"/>
          </w:rPr>
          <w:t>https://zakon.rada.gov.ua/laws/show/995_004#Text</w:t>
        </w:r>
      </w:hyperlink>
      <w:r w:rsidRPr="00511005">
        <w:rPr>
          <w:rFonts w:ascii="Arial" w:eastAsia="Calibri" w:hAnsi="Arial" w:cs="Arial"/>
          <w:szCs w:val="28"/>
        </w:rPr>
        <w:t xml:space="preserve"> </w:t>
      </w:r>
    </w:p>
    <w:p w14:paraId="5F499378" w14:textId="77777777" w:rsidR="00220D3E" w:rsidRPr="00511005" w:rsidRDefault="00220D3E" w:rsidP="003F6A5D">
      <w:pPr>
        <w:numPr>
          <w:ilvl w:val="0"/>
          <w:numId w:val="144"/>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Про біженців та осіб, які потребують додаткового або тимчасового </w:t>
      </w:r>
      <w:proofErr w:type="gramStart"/>
      <w:r w:rsidRPr="00511005">
        <w:rPr>
          <w:rFonts w:ascii="Arial" w:eastAsia="Calibri" w:hAnsi="Arial" w:cs="Arial"/>
          <w:szCs w:val="28"/>
        </w:rPr>
        <w:t>захисту :</w:t>
      </w:r>
      <w:proofErr w:type="gramEnd"/>
      <w:r w:rsidRPr="00511005">
        <w:rPr>
          <w:rFonts w:ascii="Arial" w:eastAsia="Calibri" w:hAnsi="Arial" w:cs="Arial"/>
          <w:szCs w:val="28"/>
        </w:rPr>
        <w:t xml:space="preserve"> Закон України від 8 липня 2011 р. № 3671-VI. </w:t>
      </w:r>
      <w:r w:rsidRPr="00511005">
        <w:rPr>
          <w:rFonts w:ascii="Arial" w:eastAsia="Calibri" w:hAnsi="Arial" w:cs="Arial"/>
          <w:i/>
          <w:iCs/>
          <w:szCs w:val="28"/>
        </w:rPr>
        <w:t xml:space="preserve">Відомості </w:t>
      </w:r>
      <w:proofErr w:type="gramStart"/>
      <w:r w:rsidRPr="00511005">
        <w:rPr>
          <w:rFonts w:ascii="Arial" w:eastAsia="Calibri" w:hAnsi="Arial" w:cs="Arial"/>
          <w:i/>
          <w:iCs/>
          <w:szCs w:val="28"/>
        </w:rPr>
        <w:t>Верховної</w:t>
      </w:r>
      <w:proofErr w:type="gramEnd"/>
      <w:r w:rsidRPr="00511005">
        <w:rPr>
          <w:rFonts w:ascii="Arial" w:eastAsia="Calibri" w:hAnsi="Arial" w:cs="Arial"/>
          <w:i/>
          <w:iCs/>
          <w:szCs w:val="28"/>
        </w:rPr>
        <w:t xml:space="preserve"> Ради України.</w:t>
      </w:r>
      <w:r w:rsidRPr="00511005">
        <w:rPr>
          <w:rFonts w:ascii="Arial" w:eastAsia="Calibri" w:hAnsi="Arial" w:cs="Arial"/>
          <w:szCs w:val="28"/>
        </w:rPr>
        <w:t xml:space="preserve"> 2012. № 16. Ст. 146. URL: </w:t>
      </w:r>
      <w:hyperlink r:id="rId581" w:anchor="Text" w:tooltip="https://zakon.rada.gov.ua/laws/show/3671-17#Text" w:history="1">
        <w:r w:rsidRPr="00511005">
          <w:rPr>
            <w:rFonts w:ascii="Arial" w:eastAsia="Calibri" w:hAnsi="Arial" w:cs="Arial"/>
            <w:szCs w:val="28"/>
          </w:rPr>
          <w:t>https://zakon.rada.gov.ua/laws/show/3671-17#Text</w:t>
        </w:r>
      </w:hyperlink>
      <w:r w:rsidRPr="00511005">
        <w:rPr>
          <w:rFonts w:ascii="Arial" w:eastAsia="Calibri" w:hAnsi="Arial" w:cs="Arial"/>
          <w:szCs w:val="28"/>
        </w:rPr>
        <w:t xml:space="preserve"> </w:t>
      </w:r>
    </w:p>
    <w:p w14:paraId="24AB4354" w14:textId="1C01836F" w:rsidR="00220D3E" w:rsidRPr="00511005" w:rsidRDefault="00220D3E" w:rsidP="003F6A5D">
      <w:pPr>
        <w:numPr>
          <w:ilvl w:val="0"/>
          <w:numId w:val="144"/>
        </w:numPr>
        <w:tabs>
          <w:tab w:val="left" w:pos="709"/>
        </w:tabs>
        <w:spacing w:line="264" w:lineRule="auto"/>
        <w:ind w:left="0" w:firstLine="709"/>
        <w:contextualSpacing/>
        <w:jc w:val="left"/>
        <w:rPr>
          <w:rFonts w:ascii="Arial" w:eastAsia="Calibri" w:hAnsi="Arial" w:cs="Arial"/>
          <w:szCs w:val="28"/>
          <w:lang w:val="pl-PL"/>
        </w:rPr>
      </w:pPr>
      <w:r w:rsidRPr="00511005">
        <w:rPr>
          <w:rFonts w:ascii="Arial" w:eastAsia="Calibri" w:hAnsi="Arial" w:cs="Arial"/>
          <w:szCs w:val="28"/>
        </w:rPr>
        <w:t xml:space="preserve">Керівні принципи з питання переміщення всередині країни. Комісія ООН з прав людини. 1998. </w:t>
      </w:r>
      <w:r w:rsidRPr="00511005">
        <w:rPr>
          <w:rFonts w:ascii="Arial" w:eastAsia="Calibri" w:hAnsi="Arial" w:cs="Arial"/>
          <w:szCs w:val="28"/>
          <w:lang w:val="pl-PL"/>
        </w:rPr>
        <w:t xml:space="preserve">URL: </w:t>
      </w:r>
      <w:hyperlink r:id="rId582" w:tooltip="https://www.ombudsman.gov.ua/uk/kerivni-principi-oon-z-pitan-vnutrishnogo-peremishchennya-vseredini-krayini" w:history="1">
        <w:r w:rsidRPr="00511005">
          <w:rPr>
            <w:rFonts w:ascii="Arial" w:eastAsia="Calibri" w:hAnsi="Arial" w:cs="Arial"/>
            <w:szCs w:val="28"/>
            <w:lang w:val="pl-PL"/>
          </w:rPr>
          <w:t>https://www.ombudsman.gov.ua/uk/kerivni-principi-oon-z-pitan-vnutrishnogo-peremishchennya-vseredini-krayini</w:t>
        </w:r>
      </w:hyperlink>
      <w:r w:rsidR="007B2628" w:rsidRPr="00511005">
        <w:rPr>
          <w:rFonts w:ascii="Arial" w:eastAsia="Calibri" w:hAnsi="Arial" w:cs="Arial"/>
          <w:szCs w:val="28"/>
          <w:lang w:val="pl-PL"/>
        </w:rPr>
        <w:t xml:space="preserve"> </w:t>
      </w:r>
    </w:p>
    <w:p w14:paraId="5942B419" w14:textId="77777777" w:rsidR="00220D3E" w:rsidRPr="00511005" w:rsidRDefault="00220D3E" w:rsidP="003F6A5D">
      <w:pPr>
        <w:numPr>
          <w:ilvl w:val="0"/>
          <w:numId w:val="144"/>
        </w:numPr>
        <w:tabs>
          <w:tab w:val="left" w:pos="709"/>
        </w:tabs>
        <w:spacing w:line="264" w:lineRule="auto"/>
        <w:ind w:left="0" w:firstLine="709"/>
        <w:contextualSpacing/>
        <w:jc w:val="left"/>
        <w:rPr>
          <w:rFonts w:ascii="Arial" w:eastAsia="Calibri" w:hAnsi="Arial" w:cs="Arial"/>
          <w:szCs w:val="28"/>
          <w:lang w:val="pl-PL"/>
        </w:rPr>
      </w:pPr>
      <w:r w:rsidRPr="00511005">
        <w:rPr>
          <w:rFonts w:ascii="Arial" w:eastAsia="Calibri" w:hAnsi="Arial" w:cs="Arial"/>
          <w:szCs w:val="28"/>
        </w:rPr>
        <w:t>Про</w:t>
      </w:r>
      <w:r w:rsidRPr="00511005">
        <w:rPr>
          <w:rFonts w:ascii="Arial" w:eastAsia="Calibri" w:hAnsi="Arial" w:cs="Arial"/>
          <w:szCs w:val="28"/>
          <w:lang w:val="pl-PL"/>
        </w:rPr>
        <w:t xml:space="preserve"> </w:t>
      </w:r>
      <w:r w:rsidRPr="00511005">
        <w:rPr>
          <w:rFonts w:ascii="Arial" w:eastAsia="Calibri" w:hAnsi="Arial" w:cs="Arial"/>
          <w:szCs w:val="28"/>
        </w:rPr>
        <w:t>забезпечення</w:t>
      </w:r>
      <w:r w:rsidRPr="00511005">
        <w:rPr>
          <w:rFonts w:ascii="Arial" w:eastAsia="Calibri" w:hAnsi="Arial" w:cs="Arial"/>
          <w:szCs w:val="28"/>
          <w:lang w:val="pl-PL"/>
        </w:rPr>
        <w:t xml:space="preserve"> </w:t>
      </w:r>
      <w:r w:rsidRPr="00511005">
        <w:rPr>
          <w:rFonts w:ascii="Arial" w:eastAsia="Calibri" w:hAnsi="Arial" w:cs="Arial"/>
          <w:szCs w:val="28"/>
        </w:rPr>
        <w:t>прав</w:t>
      </w:r>
      <w:r w:rsidRPr="00511005">
        <w:rPr>
          <w:rFonts w:ascii="Arial" w:eastAsia="Calibri" w:hAnsi="Arial" w:cs="Arial"/>
          <w:szCs w:val="28"/>
          <w:lang w:val="pl-PL"/>
        </w:rPr>
        <w:t xml:space="preserve"> </w:t>
      </w:r>
      <w:r w:rsidRPr="00511005">
        <w:rPr>
          <w:rFonts w:ascii="Arial" w:eastAsia="Calibri" w:hAnsi="Arial" w:cs="Arial"/>
          <w:szCs w:val="28"/>
        </w:rPr>
        <w:t>і</w:t>
      </w:r>
      <w:r w:rsidRPr="00511005">
        <w:rPr>
          <w:rFonts w:ascii="Arial" w:eastAsia="Calibri" w:hAnsi="Arial" w:cs="Arial"/>
          <w:szCs w:val="28"/>
          <w:lang w:val="pl-PL"/>
        </w:rPr>
        <w:t xml:space="preserve"> </w:t>
      </w:r>
      <w:r w:rsidRPr="00511005">
        <w:rPr>
          <w:rFonts w:ascii="Arial" w:eastAsia="Calibri" w:hAnsi="Arial" w:cs="Arial"/>
          <w:szCs w:val="28"/>
        </w:rPr>
        <w:t>свобод</w:t>
      </w:r>
      <w:r w:rsidRPr="00511005">
        <w:rPr>
          <w:rFonts w:ascii="Arial" w:eastAsia="Calibri" w:hAnsi="Arial" w:cs="Arial"/>
          <w:szCs w:val="28"/>
          <w:lang w:val="pl-PL"/>
        </w:rPr>
        <w:t xml:space="preserve"> </w:t>
      </w:r>
      <w:r w:rsidRPr="00511005">
        <w:rPr>
          <w:rFonts w:ascii="Arial" w:eastAsia="Calibri" w:hAnsi="Arial" w:cs="Arial"/>
          <w:szCs w:val="28"/>
        </w:rPr>
        <w:t>внутрішньо</w:t>
      </w:r>
      <w:r w:rsidRPr="00511005">
        <w:rPr>
          <w:rFonts w:ascii="Arial" w:eastAsia="Calibri" w:hAnsi="Arial" w:cs="Arial"/>
          <w:szCs w:val="28"/>
          <w:lang w:val="pl-PL"/>
        </w:rPr>
        <w:t xml:space="preserve"> </w:t>
      </w:r>
      <w:r w:rsidRPr="00511005">
        <w:rPr>
          <w:rFonts w:ascii="Arial" w:eastAsia="Calibri" w:hAnsi="Arial" w:cs="Arial"/>
          <w:szCs w:val="28"/>
        </w:rPr>
        <w:t>переміщених</w:t>
      </w:r>
      <w:r w:rsidRPr="00511005">
        <w:rPr>
          <w:rFonts w:ascii="Arial" w:eastAsia="Calibri" w:hAnsi="Arial" w:cs="Arial"/>
          <w:szCs w:val="28"/>
          <w:lang w:val="pl-PL"/>
        </w:rPr>
        <w:t xml:space="preserve"> </w:t>
      </w:r>
      <w:proofErr w:type="gramStart"/>
      <w:r w:rsidRPr="00511005">
        <w:rPr>
          <w:rFonts w:ascii="Arial" w:eastAsia="Calibri" w:hAnsi="Arial" w:cs="Arial"/>
          <w:szCs w:val="28"/>
        </w:rPr>
        <w:t>осіб</w:t>
      </w:r>
      <w:r w:rsidRPr="00511005">
        <w:rPr>
          <w:rFonts w:ascii="Arial" w:eastAsia="Calibri" w:hAnsi="Arial" w:cs="Arial"/>
          <w:szCs w:val="28"/>
          <w:lang w:val="pl-PL"/>
        </w:rPr>
        <w:t xml:space="preserve"> :</w:t>
      </w:r>
      <w:proofErr w:type="gramEnd"/>
      <w:r w:rsidRPr="00511005">
        <w:rPr>
          <w:rFonts w:ascii="Arial" w:eastAsia="Calibri" w:hAnsi="Arial" w:cs="Arial"/>
          <w:szCs w:val="28"/>
          <w:lang w:val="pl-PL"/>
        </w:rPr>
        <w:t xml:space="preserve"> </w:t>
      </w:r>
      <w:r w:rsidRPr="00511005">
        <w:rPr>
          <w:rFonts w:ascii="Arial" w:eastAsia="Calibri" w:hAnsi="Arial" w:cs="Arial"/>
          <w:szCs w:val="28"/>
        </w:rPr>
        <w:t>Закон</w:t>
      </w:r>
      <w:r w:rsidRPr="00511005">
        <w:rPr>
          <w:rFonts w:ascii="Arial" w:eastAsia="Calibri" w:hAnsi="Arial" w:cs="Arial"/>
          <w:szCs w:val="28"/>
          <w:lang w:val="pl-PL"/>
        </w:rPr>
        <w:t xml:space="preserve"> </w:t>
      </w:r>
      <w:r w:rsidRPr="00511005">
        <w:rPr>
          <w:rFonts w:ascii="Arial" w:eastAsia="Calibri" w:hAnsi="Arial" w:cs="Arial"/>
          <w:szCs w:val="28"/>
        </w:rPr>
        <w:t>України</w:t>
      </w:r>
      <w:r w:rsidRPr="00511005">
        <w:rPr>
          <w:rFonts w:ascii="Arial" w:eastAsia="Calibri" w:hAnsi="Arial" w:cs="Arial"/>
          <w:szCs w:val="28"/>
          <w:lang w:val="pl-PL"/>
        </w:rPr>
        <w:t xml:space="preserve"> </w:t>
      </w:r>
      <w:r w:rsidRPr="00511005">
        <w:rPr>
          <w:rFonts w:ascii="Arial" w:eastAsia="Calibri" w:hAnsi="Arial" w:cs="Arial"/>
          <w:szCs w:val="28"/>
        </w:rPr>
        <w:t>від</w:t>
      </w:r>
      <w:r w:rsidRPr="00511005">
        <w:rPr>
          <w:rFonts w:ascii="Arial" w:eastAsia="Calibri" w:hAnsi="Arial" w:cs="Arial"/>
          <w:szCs w:val="28"/>
          <w:lang w:val="pl-PL"/>
        </w:rPr>
        <w:t xml:space="preserve"> 20 </w:t>
      </w:r>
      <w:r w:rsidRPr="00511005">
        <w:rPr>
          <w:rFonts w:ascii="Arial" w:eastAsia="Calibri" w:hAnsi="Arial" w:cs="Arial"/>
          <w:szCs w:val="28"/>
        </w:rPr>
        <w:t>жовтня</w:t>
      </w:r>
      <w:r w:rsidRPr="00511005">
        <w:rPr>
          <w:rFonts w:ascii="Arial" w:eastAsia="Calibri" w:hAnsi="Arial" w:cs="Arial"/>
          <w:szCs w:val="28"/>
          <w:lang w:val="pl-PL"/>
        </w:rPr>
        <w:t xml:space="preserve"> 2014 </w:t>
      </w:r>
      <w:r w:rsidRPr="00511005">
        <w:rPr>
          <w:rFonts w:ascii="Arial" w:eastAsia="Calibri" w:hAnsi="Arial" w:cs="Arial"/>
          <w:szCs w:val="28"/>
        </w:rPr>
        <w:t>р</w:t>
      </w:r>
      <w:r w:rsidRPr="00511005">
        <w:rPr>
          <w:rFonts w:ascii="Arial" w:eastAsia="Calibri" w:hAnsi="Arial" w:cs="Arial"/>
          <w:szCs w:val="28"/>
          <w:lang w:val="pl-PL"/>
        </w:rPr>
        <w:t xml:space="preserve">. № 1706-VII. </w:t>
      </w:r>
      <w:r w:rsidRPr="00511005">
        <w:rPr>
          <w:rFonts w:ascii="Arial" w:eastAsia="Calibri" w:hAnsi="Arial" w:cs="Arial"/>
          <w:i/>
          <w:iCs/>
          <w:szCs w:val="28"/>
        </w:rPr>
        <w:t>Відомості</w:t>
      </w:r>
      <w:r w:rsidRPr="00511005">
        <w:rPr>
          <w:rFonts w:ascii="Arial" w:eastAsia="Calibri" w:hAnsi="Arial" w:cs="Arial"/>
          <w:i/>
          <w:iCs/>
          <w:szCs w:val="28"/>
          <w:lang w:val="pl-PL"/>
        </w:rPr>
        <w:t xml:space="preserve"> </w:t>
      </w:r>
      <w:proofErr w:type="gramStart"/>
      <w:r w:rsidRPr="00511005">
        <w:rPr>
          <w:rFonts w:ascii="Arial" w:eastAsia="Calibri" w:hAnsi="Arial" w:cs="Arial"/>
          <w:i/>
          <w:iCs/>
          <w:szCs w:val="28"/>
        </w:rPr>
        <w:t>Верховної</w:t>
      </w:r>
      <w:proofErr w:type="gramEnd"/>
      <w:r w:rsidRPr="00511005">
        <w:rPr>
          <w:rFonts w:ascii="Arial" w:eastAsia="Calibri" w:hAnsi="Arial" w:cs="Arial"/>
          <w:i/>
          <w:iCs/>
          <w:szCs w:val="28"/>
          <w:lang w:val="pl-PL"/>
        </w:rPr>
        <w:t xml:space="preserve"> </w:t>
      </w:r>
      <w:r w:rsidRPr="00511005">
        <w:rPr>
          <w:rFonts w:ascii="Arial" w:eastAsia="Calibri" w:hAnsi="Arial" w:cs="Arial"/>
          <w:i/>
          <w:iCs/>
          <w:szCs w:val="28"/>
        </w:rPr>
        <w:t>Ради</w:t>
      </w:r>
      <w:r w:rsidRPr="00511005">
        <w:rPr>
          <w:rFonts w:ascii="Arial" w:eastAsia="Calibri" w:hAnsi="Arial" w:cs="Arial"/>
          <w:i/>
          <w:iCs/>
          <w:szCs w:val="28"/>
          <w:lang w:val="pl-PL"/>
        </w:rPr>
        <w:t xml:space="preserve"> </w:t>
      </w:r>
      <w:r w:rsidRPr="00511005">
        <w:rPr>
          <w:rFonts w:ascii="Arial" w:eastAsia="Calibri" w:hAnsi="Arial" w:cs="Arial"/>
          <w:i/>
          <w:iCs/>
          <w:szCs w:val="28"/>
        </w:rPr>
        <w:t>України</w:t>
      </w:r>
      <w:r w:rsidRPr="00511005">
        <w:rPr>
          <w:rFonts w:ascii="Arial" w:eastAsia="Calibri" w:hAnsi="Arial" w:cs="Arial"/>
          <w:szCs w:val="28"/>
          <w:lang w:val="pl-PL"/>
        </w:rPr>
        <w:t xml:space="preserve">. 2015. № 1. </w:t>
      </w:r>
      <w:r w:rsidRPr="00511005">
        <w:rPr>
          <w:rFonts w:ascii="Arial" w:eastAsia="Calibri" w:hAnsi="Arial" w:cs="Arial"/>
          <w:szCs w:val="28"/>
        </w:rPr>
        <w:t>Ст</w:t>
      </w:r>
      <w:r w:rsidRPr="00511005">
        <w:rPr>
          <w:rFonts w:ascii="Arial" w:eastAsia="Calibri" w:hAnsi="Arial" w:cs="Arial"/>
          <w:szCs w:val="28"/>
          <w:lang w:val="pl-PL"/>
        </w:rPr>
        <w:t xml:space="preserve">. 1. URL: </w:t>
      </w:r>
      <w:hyperlink r:id="rId583" w:anchor="Text" w:tooltip="https://zakon.rada.gov.ua/laws/show/1706-18#Text" w:history="1">
        <w:r w:rsidRPr="00511005">
          <w:rPr>
            <w:rFonts w:ascii="Arial" w:eastAsia="Calibri" w:hAnsi="Arial" w:cs="Arial"/>
            <w:szCs w:val="28"/>
            <w:lang w:val="pl-PL"/>
          </w:rPr>
          <w:t>https://zakon.rada.gov.ua/laws/show/1706-18#Text</w:t>
        </w:r>
      </w:hyperlink>
      <w:r w:rsidRPr="00511005">
        <w:rPr>
          <w:rFonts w:ascii="Arial" w:eastAsia="Calibri" w:hAnsi="Arial" w:cs="Arial"/>
          <w:szCs w:val="28"/>
          <w:lang w:val="pl-PL"/>
        </w:rPr>
        <w:t xml:space="preserve"> </w:t>
      </w:r>
    </w:p>
    <w:p w14:paraId="6F0400F7" w14:textId="77777777" w:rsidR="00220D3E" w:rsidRPr="00511005" w:rsidRDefault="00220D3E" w:rsidP="003A292D">
      <w:pPr>
        <w:tabs>
          <w:tab w:val="left" w:pos="709"/>
        </w:tabs>
        <w:spacing w:line="264" w:lineRule="auto"/>
        <w:contextualSpacing/>
        <w:rPr>
          <w:rFonts w:ascii="Arial" w:eastAsia="Calibri" w:hAnsi="Arial" w:cs="Arial"/>
          <w:szCs w:val="28"/>
          <w:lang w:val="pl-PL"/>
        </w:rPr>
      </w:pPr>
    </w:p>
    <w:p w14:paraId="07A5F46D" w14:textId="0329A27C" w:rsidR="00220D3E" w:rsidRPr="00511005" w:rsidRDefault="007B2628" w:rsidP="003A292D">
      <w:pPr>
        <w:tabs>
          <w:tab w:val="left" w:pos="709"/>
        </w:tabs>
        <w:spacing w:line="264" w:lineRule="auto"/>
        <w:contextualSpacing/>
        <w:rPr>
          <w:rFonts w:ascii="Arial" w:eastAsia="Calibri" w:hAnsi="Arial" w:cs="Arial"/>
          <w:b/>
          <w:szCs w:val="28"/>
        </w:rPr>
      </w:pPr>
      <w:r w:rsidRPr="00511005">
        <w:rPr>
          <w:rFonts w:ascii="Arial" w:eastAsia="Calibri" w:hAnsi="Arial" w:cs="Arial"/>
          <w:b/>
          <w:i/>
          <w:szCs w:val="28"/>
        </w:rPr>
        <w:t xml:space="preserve">Ключові слова: </w:t>
      </w:r>
      <w:r w:rsidR="00220D3E" w:rsidRPr="00511005">
        <w:rPr>
          <w:rFonts w:ascii="Arial" w:eastAsia="Calibri" w:hAnsi="Arial" w:cs="Arial"/>
          <w:bCs/>
          <w:iCs/>
          <w:szCs w:val="28"/>
        </w:rPr>
        <w:t>біженці, внутрішньо переміщені особи (ВПО), міжнародне право, Закон України.</w:t>
      </w:r>
    </w:p>
    <w:p w14:paraId="049EB445" w14:textId="1BA1D0BD" w:rsidR="00220D3E" w:rsidRPr="00511005" w:rsidRDefault="007B2628" w:rsidP="003A292D">
      <w:pPr>
        <w:tabs>
          <w:tab w:val="left" w:pos="709"/>
        </w:tabs>
        <w:spacing w:line="264" w:lineRule="auto"/>
        <w:contextualSpacing/>
        <w:rPr>
          <w:rFonts w:ascii="Arial" w:eastAsia="Calibri" w:hAnsi="Arial" w:cs="Arial"/>
          <w:bCs/>
          <w:szCs w:val="28"/>
          <w:lang w:val="en-US"/>
        </w:rPr>
      </w:pPr>
      <w:r w:rsidRPr="00511005">
        <w:rPr>
          <w:rFonts w:ascii="Arial" w:eastAsia="Calibri" w:hAnsi="Arial" w:cs="Arial"/>
          <w:b/>
          <w:i/>
          <w:szCs w:val="28"/>
          <w:lang w:val="en-US"/>
        </w:rPr>
        <w:t xml:space="preserve">Key words: </w:t>
      </w:r>
      <w:r w:rsidR="00220D3E" w:rsidRPr="00511005">
        <w:rPr>
          <w:rFonts w:ascii="Arial" w:eastAsia="Calibri" w:hAnsi="Arial" w:cs="Arial"/>
          <w:bCs/>
          <w:szCs w:val="28"/>
          <w:lang w:val="en-US"/>
        </w:rPr>
        <w:t>refugees, internally displaced persons (IDPs), international law, Law of Ukraine.</w:t>
      </w:r>
    </w:p>
    <w:p w14:paraId="57767728" w14:textId="198128B9" w:rsidR="00220D3E" w:rsidRPr="00511005" w:rsidRDefault="007B2628" w:rsidP="003A292D">
      <w:pPr>
        <w:tabs>
          <w:tab w:val="left" w:pos="709"/>
        </w:tabs>
        <w:spacing w:line="264" w:lineRule="auto"/>
        <w:rPr>
          <w:rFonts w:ascii="Arial" w:eastAsia="Calibri" w:hAnsi="Arial" w:cs="Arial"/>
          <w:bCs/>
          <w:i/>
          <w:iCs/>
          <w:szCs w:val="28"/>
          <w:lang w:val="uk-UA"/>
        </w:rPr>
      </w:pPr>
      <w:r w:rsidRPr="00511005">
        <w:rPr>
          <w:rFonts w:ascii="Arial" w:eastAsia="Calibri" w:hAnsi="Arial" w:cs="Arial"/>
          <w:b/>
          <w:bCs/>
          <w:i/>
          <w:iCs/>
          <w:szCs w:val="28"/>
        </w:rPr>
        <w:t xml:space="preserve">Науковий керівник: </w:t>
      </w:r>
      <w:r w:rsidR="00220D3E" w:rsidRPr="00511005">
        <w:rPr>
          <w:rFonts w:ascii="Arial" w:eastAsia="Calibri" w:hAnsi="Arial" w:cs="Arial"/>
          <w:bCs/>
          <w:i/>
          <w:iCs/>
          <w:szCs w:val="28"/>
        </w:rPr>
        <w:t>к.ю.н., доцент</w:t>
      </w:r>
      <w:r w:rsidRPr="00511005">
        <w:rPr>
          <w:rFonts w:ascii="Arial" w:eastAsia="Calibri" w:hAnsi="Arial" w:cs="Arial"/>
          <w:bCs/>
          <w:i/>
          <w:iCs/>
          <w:szCs w:val="28"/>
        </w:rPr>
        <w:t xml:space="preserve"> </w:t>
      </w:r>
      <w:r w:rsidR="00220D3E" w:rsidRPr="00511005">
        <w:rPr>
          <w:rFonts w:ascii="Arial" w:eastAsia="Calibri" w:hAnsi="Arial" w:cs="Arial"/>
          <w:bCs/>
          <w:i/>
          <w:iCs/>
          <w:szCs w:val="28"/>
        </w:rPr>
        <w:t>Мануїлова К.В.</w:t>
      </w:r>
    </w:p>
    <w:p w14:paraId="76C62D4B" w14:textId="77777777" w:rsidR="00220D3E" w:rsidRPr="00511005" w:rsidRDefault="00220D3E" w:rsidP="003A292D">
      <w:pPr>
        <w:tabs>
          <w:tab w:val="left" w:pos="709"/>
        </w:tabs>
        <w:spacing w:line="264" w:lineRule="auto"/>
        <w:jc w:val="center"/>
        <w:rPr>
          <w:rFonts w:ascii="Arial" w:eastAsia="Calibri" w:hAnsi="Arial" w:cs="Arial"/>
          <w:bCs/>
          <w:i/>
          <w:iCs/>
          <w:szCs w:val="28"/>
          <w:lang w:val="uk-UA"/>
        </w:rPr>
      </w:pPr>
    </w:p>
    <w:p w14:paraId="2BC48870" w14:textId="77777777" w:rsidR="00220D3E" w:rsidRPr="00511005" w:rsidRDefault="00220D3E" w:rsidP="003A292D">
      <w:pPr>
        <w:tabs>
          <w:tab w:val="left" w:pos="709"/>
        </w:tabs>
        <w:spacing w:line="264" w:lineRule="auto"/>
        <w:ind w:firstLine="0"/>
        <w:jc w:val="center"/>
        <w:rPr>
          <w:rFonts w:ascii="Arial" w:eastAsia="Times New Roman" w:hAnsi="Arial" w:cs="Arial"/>
          <w:i/>
          <w:szCs w:val="28"/>
          <w:lang w:eastAsia="ru-RU"/>
        </w:rPr>
      </w:pPr>
      <w:r w:rsidRPr="00511005">
        <w:rPr>
          <w:rFonts w:ascii="Arial" w:eastAsia="Times New Roman" w:hAnsi="Arial" w:cs="Arial"/>
          <w:b/>
          <w:i/>
          <w:szCs w:val="28"/>
          <w:lang w:eastAsia="ru-RU"/>
        </w:rPr>
        <w:t>Остафій Діана Русланівна</w:t>
      </w:r>
    </w:p>
    <w:p w14:paraId="2DB303A2" w14:textId="1493A1B1" w:rsidR="00220D3E"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r w:rsidR="00220D3E" w:rsidRPr="00511005">
        <w:rPr>
          <w:rFonts w:ascii="Arial" w:eastAsia="Times New Roman" w:hAnsi="Arial" w:cs="Arial"/>
          <w:szCs w:val="28"/>
          <w:lang w:eastAsia="ru-RU"/>
        </w:rPr>
        <w:t xml:space="preserve"> </w:t>
      </w:r>
    </w:p>
    <w:p w14:paraId="479F3A9D" w14:textId="147532CC" w:rsidR="00220D3E" w:rsidRPr="00511005" w:rsidRDefault="007B2628"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2986DEE" w14:textId="77777777" w:rsidR="00220D3E" w:rsidRPr="00511005" w:rsidRDefault="00220D3E" w:rsidP="003A292D">
      <w:pPr>
        <w:tabs>
          <w:tab w:val="left" w:pos="709"/>
        </w:tabs>
        <w:spacing w:line="264" w:lineRule="auto"/>
        <w:ind w:right="2"/>
        <w:jc w:val="center"/>
        <w:rPr>
          <w:rFonts w:ascii="Arial" w:eastAsia="Times New Roman" w:hAnsi="Arial" w:cs="Arial"/>
          <w:b/>
          <w:szCs w:val="28"/>
          <w:lang w:val="uk-UA" w:eastAsia="ru-RU"/>
        </w:rPr>
      </w:pPr>
    </w:p>
    <w:p w14:paraId="6CBE1594" w14:textId="77777777" w:rsidR="00220D3E" w:rsidRPr="00511005" w:rsidRDefault="00220D3E" w:rsidP="003A292D">
      <w:pPr>
        <w:tabs>
          <w:tab w:val="left" w:pos="709"/>
        </w:tabs>
        <w:spacing w:line="264" w:lineRule="auto"/>
        <w:ind w:right="2"/>
        <w:jc w:val="center"/>
        <w:rPr>
          <w:rFonts w:ascii="Arial" w:eastAsia="Times New Roman" w:hAnsi="Arial" w:cs="Arial"/>
          <w:szCs w:val="28"/>
          <w:lang w:eastAsia="ru-RU"/>
        </w:rPr>
      </w:pPr>
      <w:r w:rsidRPr="00511005">
        <w:rPr>
          <w:rFonts w:ascii="Arial" w:eastAsia="Times New Roman" w:hAnsi="Arial" w:cs="Arial"/>
          <w:b/>
          <w:szCs w:val="28"/>
          <w:lang w:eastAsia="ru-RU"/>
        </w:rPr>
        <w:t>РОЛЬ САНКЦІЙ У МІЖНАРОДНОМУ ПУБЛІЧНОМУ ПРАВІ: ЕФЕКТИВНІСТЬ ТА ПРАВОВІ НАСЛІДКИ</w:t>
      </w:r>
    </w:p>
    <w:p w14:paraId="534ED1F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Санкції в міжнародному публічному праві є одним із ключових інструментів, які застосовуються для забезпечення дотримання норм і принципів міжнародного правопорядку. Вони виступають як засіб впливу на суб’єктів міжнародного права, переважно держави, що порушують свої міжнародні зобов’язання. У сучасному світі санкції набули особливого значення через зростання кількості конфліктів, порушень прав людини та загроз глобальній безпеці. Водночас їхня ефективність і правові наслідки залишаються предметом дискусій серед дослідників і практиків міжнародного права.</w:t>
      </w:r>
    </w:p>
    <w:p w14:paraId="11D9CCA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Санкції в міжнародному праві традиційно асоціюються з концепцією міжнародної відповідальності держав. Ця концепція бере свій початок із розуміння того, що держава як суб’єкт міжнародного права несе відповідальність за свої дії або бездіяльність, які суперечать міжнародним зобов’язанням. Генеза ідеї міжнародної відповідальності, за словами Т.А. Грабович, пов’язана з поступовим формуванням норм, спрямованих на захист міжнародного правопорядку від порушень [1].</w:t>
      </w:r>
    </w:p>
    <w:p w14:paraId="6B8D911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Сучасна концепція міжнародно-правової відповідальності, як зазначає Я. Жукорська, базується на принципах кодифікації, здійсненої Комісією міжнародного права ООН, зокрема у проєкті статей про відповідальність держав за міжнародно-протиправні діяння (2001 рік). Цей документ визначає, що санкції можуть бути застосовані як контрзаходи у відповідь на порушення, якщо вони відповідають принципам пропорційності та законності [2].</w:t>
      </w:r>
    </w:p>
    <w:p w14:paraId="3103F87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Санкції в міжнародному праві поділяються на кілька основних категорій залежно від їхнього походження та мети. Перш за все, це санкції, запроваджені міжнародними організаціями, зокрема Радою Безпеки ООН на підставі глави VII Статуту ООН. Такі санкції є обов’язковими для всіх держав-членів і мають чітку правову основу. </w:t>
      </w:r>
      <w:proofErr w:type="gramStart"/>
      <w:r w:rsidRPr="00511005">
        <w:rPr>
          <w:rFonts w:ascii="Arial" w:eastAsia="Times New Roman" w:hAnsi="Arial" w:cs="Arial"/>
          <w:szCs w:val="28"/>
          <w:lang w:eastAsia="ru-RU"/>
        </w:rPr>
        <w:t>По-друге</w:t>
      </w:r>
      <w:proofErr w:type="gramEnd"/>
      <w:r w:rsidRPr="00511005">
        <w:rPr>
          <w:rFonts w:ascii="Arial" w:eastAsia="Times New Roman" w:hAnsi="Arial" w:cs="Arial"/>
          <w:szCs w:val="28"/>
          <w:lang w:eastAsia="ru-RU"/>
        </w:rPr>
        <w:t xml:space="preserve">, це односторонні санкції, які застосовуються окремими державами або групами держав без прямої </w:t>
      </w:r>
      <w:r w:rsidRPr="00511005">
        <w:rPr>
          <w:rFonts w:ascii="Arial" w:eastAsia="Times New Roman" w:hAnsi="Arial" w:cs="Arial"/>
          <w:szCs w:val="28"/>
          <w:lang w:eastAsia="ru-RU"/>
        </w:rPr>
        <w:lastRenderedPageBreak/>
        <w:t>санкції міжнародних інституцій. Їхня правомірність часто оскаржується, оскільки вони можуть суперечити принципам суверенної рівності та невтручання у внутрішні справи.</w:t>
      </w:r>
    </w:p>
    <w:p w14:paraId="005F063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 своєю природою санкції можуть бути економічними (торговельні ембарго, фінансові обмеження), політичними (дипломатична ізоляція) або військовими (обмежені збройні заходи). К.В. Громовенко та Я.О. Тицька зазначають, що ефективність санкцій залежить від їхньої цільової спрямованості та здатності вплинути на поведінку держави-порушника без надмірного порушення прав інших суб’єктів. Водночас правові наслідки санкцій можуть включати як позитивні результати (відновлення правопорядку), так і негативні (ескалація конфлікту, гуманітарні кризи) [3].</w:t>
      </w:r>
    </w:p>
    <w:p w14:paraId="587DDC1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Ефективність санкцій як інструменту міжнародного права є одним із найбільш дискусійних питань. Теоретично санкції мають три основні функції: стримування (deterrence), примус (coercion) і покарання (punishment). Проте на практиці їхній успіх залежить від низки факторів, зокрема рівня міжнародної підтримки, економічної вразливості цільової держави та чіткості поставлених цілей. В.А. Ведькал та Е.А. Агамалієв підкреслюють, що санкції часто виявляються неефективними через відсутність скоординованості між державами, які їх застосовують, а також через здатність держав-порушників адаптуватися до обмежень [4].</w:t>
      </w:r>
    </w:p>
    <w:p w14:paraId="6F71717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Прикладом часткової ефективності санкцій є їхнє застосування проти Ірану у зв’язку з ядерною програмою. Економічні санкції, запроваджені Радою Безпеки ООН і доповнені односторонніми заходами США та ЄС, сприяли укладенню Спільного всеосяжного плану дій (JCPOA) у 2015 році. Однак після виходу США з угоди у 2018 році та поновлення санкцій ефективність цього інструменту знову опинилася під питанням. Це свідчить про те, що санкції можуть досягати короткострокових цілей, але їхній довгостроковий вплив часто обмежений.</w:t>
      </w:r>
    </w:p>
    <w:p w14:paraId="6E19D36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Застосування санкцій має значні правові наслідки як для держав, що їх запроваджують, так і для тих, проти кого вони спрямовані.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міжнародного права санкції повинні відповідати принципам пропорційності, необхідності та гуманності. Порушення цих принципів може призвести до визнання санкцій незаконними, що, у свою чергу, породжує відповідальність держав, які їх застосували. Наприклад, надмірні економічні санкції, що спричиняють гуманітарну кризу, можуть бути кваліфіковані як порушення норм міжнародного гуманітарного права [2].</w:t>
      </w:r>
    </w:p>
    <w:p w14:paraId="6FD081E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Отже, санкції відіграють важливу роль у системі міжнародного публічного права як інструмент забезпечення дотримання норм і принципів міжнародного правопорядку. Їхня ефективність залежить від скоординованості дій міжнародного співтовариства, чіткості цілей і врахування гуманітарних наслідків. Водночас правові наслідки санкцій є багатогранними: вони можуть сприяти відновленню справедливості, але </w:t>
      </w:r>
      <w:r w:rsidRPr="00511005">
        <w:rPr>
          <w:rFonts w:ascii="Arial" w:eastAsia="Times New Roman" w:hAnsi="Arial" w:cs="Arial"/>
          <w:szCs w:val="28"/>
          <w:lang w:eastAsia="ru-RU"/>
        </w:rPr>
        <w:lastRenderedPageBreak/>
        <w:t>також породжувати нові конфлікти та правові суперечки. У сучасних умовах особливого значення набуває проблема легітимності односторонніх санкцій, що вимагає подальшого вдосконалення нормативної бази міжнародного права. Таким чином, санкції залишаються потужним, але неоднозначним інструментом, ефективність якого залежить від балансу між правовими, політичними та гуманітарними аспектами їхнього застосування.</w:t>
      </w:r>
    </w:p>
    <w:p w14:paraId="2D14EA5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166DE617" w14:textId="71BCFCD3" w:rsidR="00220D3E" w:rsidRPr="00511005" w:rsidRDefault="007B2628" w:rsidP="007B2628">
      <w:pPr>
        <w:tabs>
          <w:tab w:val="left" w:pos="709"/>
        </w:tabs>
        <w:spacing w:line="264" w:lineRule="auto"/>
        <w:ind w:left="709" w:firstLine="0"/>
        <w:jc w:val="center"/>
        <w:rPr>
          <w:rFonts w:ascii="Arial" w:eastAsia="Times New Roman" w:hAnsi="Arial" w:cs="Arial"/>
          <w:szCs w:val="28"/>
          <w:lang w:eastAsia="ru-RU"/>
        </w:rPr>
      </w:pPr>
      <w:r w:rsidRPr="00511005">
        <w:rPr>
          <w:rFonts w:ascii="Arial" w:eastAsia="Times New Roman" w:hAnsi="Arial" w:cs="Arial"/>
          <w:b/>
          <w:szCs w:val="28"/>
          <w:lang w:val="uk-UA" w:eastAsia="ru-RU"/>
        </w:rPr>
        <w:t>Список використаних джерел</w:t>
      </w:r>
    </w:p>
    <w:p w14:paraId="1120D0D5" w14:textId="77777777" w:rsidR="00220D3E" w:rsidRPr="00511005" w:rsidRDefault="00220D3E" w:rsidP="003F6A5D">
      <w:pPr>
        <w:numPr>
          <w:ilvl w:val="0"/>
          <w:numId w:val="177"/>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Грабович Т.А. Генеза концепції міжнародної відповідальності держав. </w:t>
      </w:r>
      <w:r w:rsidRPr="00511005">
        <w:rPr>
          <w:rFonts w:ascii="Arial" w:eastAsia="Times New Roman" w:hAnsi="Arial" w:cs="Arial"/>
          <w:i/>
          <w:szCs w:val="28"/>
          <w:lang w:eastAsia="ru-RU"/>
        </w:rPr>
        <w:t>Правова держава.</w:t>
      </w:r>
      <w:r w:rsidRPr="00511005">
        <w:rPr>
          <w:rFonts w:ascii="Arial" w:eastAsia="Times New Roman" w:hAnsi="Arial" w:cs="Arial"/>
          <w:szCs w:val="28"/>
          <w:lang w:eastAsia="ru-RU"/>
        </w:rPr>
        <w:t xml:space="preserve"> 2020. № 39. С. 55–61.</w:t>
      </w:r>
    </w:p>
    <w:p w14:paraId="32F83201" w14:textId="77777777" w:rsidR="00220D3E" w:rsidRPr="00511005" w:rsidRDefault="00220D3E" w:rsidP="003F6A5D">
      <w:pPr>
        <w:numPr>
          <w:ilvl w:val="0"/>
          <w:numId w:val="177"/>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Жукорська Я. Сучасна концепція міжнародно-правової</w:t>
      </w:r>
    </w:p>
    <w:p w14:paraId="76A313CC"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відповідальності. </w:t>
      </w:r>
      <w:r w:rsidRPr="00511005">
        <w:rPr>
          <w:rFonts w:ascii="Arial" w:eastAsia="Times New Roman" w:hAnsi="Arial" w:cs="Arial"/>
          <w:i/>
          <w:szCs w:val="28"/>
          <w:lang w:eastAsia="ru-RU"/>
        </w:rPr>
        <w:t>Актуальні проблеми правознавства</w:t>
      </w:r>
      <w:r w:rsidRPr="00511005">
        <w:rPr>
          <w:rFonts w:ascii="Arial" w:eastAsia="Times New Roman" w:hAnsi="Arial" w:cs="Arial"/>
          <w:szCs w:val="28"/>
          <w:lang w:eastAsia="ru-RU"/>
        </w:rPr>
        <w:t>. 2019. № 3. С. 36–40</w:t>
      </w:r>
    </w:p>
    <w:p w14:paraId="693B653B" w14:textId="77777777" w:rsidR="00220D3E" w:rsidRPr="00511005" w:rsidRDefault="00220D3E" w:rsidP="003F6A5D">
      <w:pPr>
        <w:numPr>
          <w:ilvl w:val="0"/>
          <w:numId w:val="177"/>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Громовенко К.В., Тицька Я.О. Міжнародно-правова відповідальність держав як засіб забезпечення дотримання норм міжнародного права: від теорії до практики. </w:t>
      </w:r>
      <w:r w:rsidRPr="00511005">
        <w:rPr>
          <w:rFonts w:ascii="Arial" w:eastAsia="Times New Roman" w:hAnsi="Arial" w:cs="Arial"/>
          <w:i/>
          <w:szCs w:val="28"/>
          <w:lang w:eastAsia="ru-RU"/>
        </w:rPr>
        <w:t>Право і суспільство</w:t>
      </w:r>
      <w:r w:rsidRPr="00511005">
        <w:rPr>
          <w:rFonts w:ascii="Arial" w:eastAsia="Times New Roman" w:hAnsi="Arial" w:cs="Arial"/>
          <w:szCs w:val="28"/>
          <w:lang w:eastAsia="ru-RU"/>
        </w:rPr>
        <w:t>. 2023. № 3. С. 306–313</w:t>
      </w:r>
    </w:p>
    <w:p w14:paraId="26A76678" w14:textId="77777777" w:rsidR="00220D3E" w:rsidRPr="00511005" w:rsidRDefault="00220D3E" w:rsidP="003F6A5D">
      <w:pPr>
        <w:numPr>
          <w:ilvl w:val="0"/>
          <w:numId w:val="177"/>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Ведькал В.А., Агамалієв Е.А. Теоретичні та практичні аспекти санкцій у міжнародному праві. </w:t>
      </w:r>
      <w:r w:rsidRPr="00511005">
        <w:rPr>
          <w:rFonts w:ascii="Arial" w:eastAsia="Times New Roman" w:hAnsi="Arial" w:cs="Arial"/>
          <w:i/>
          <w:szCs w:val="28"/>
          <w:lang w:eastAsia="ru-RU"/>
        </w:rPr>
        <w:t>Юридичний науковий електронний журнал</w:t>
      </w:r>
      <w:r w:rsidRPr="00511005">
        <w:rPr>
          <w:rFonts w:ascii="Arial" w:eastAsia="Times New Roman" w:hAnsi="Arial" w:cs="Arial"/>
          <w:szCs w:val="28"/>
          <w:lang w:eastAsia="ru-RU"/>
        </w:rPr>
        <w:t>.</w:t>
      </w:r>
    </w:p>
    <w:p w14:paraId="7F12E1DB"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eastAsia="ru-RU"/>
        </w:rPr>
        <w:t>2021. № 10. С. 575–577</w:t>
      </w:r>
      <w:r w:rsidRPr="00511005">
        <w:rPr>
          <w:rFonts w:ascii="Arial" w:eastAsia="Times New Roman" w:hAnsi="Arial" w:cs="Arial"/>
          <w:szCs w:val="28"/>
          <w:lang w:val="uk-UA" w:eastAsia="ru-RU"/>
        </w:rPr>
        <w:t>.</w:t>
      </w:r>
    </w:p>
    <w:p w14:paraId="126F8DB7" w14:textId="2F58CD4A" w:rsidR="00220D3E"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санкції, міжнародне публічне право, міжнародна відповідальність, контрзаходи, Рада Безпеки ООН, односторонні санкції, економічні санкції, гуманітарне право, ефективність санкцій, правові наслідки.</w:t>
      </w:r>
    </w:p>
    <w:p w14:paraId="5C9C6265" w14:textId="6C7040BB" w:rsidR="00220D3E" w:rsidRPr="00511005" w:rsidRDefault="007B2628" w:rsidP="003A292D">
      <w:pPr>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sanctions, public international law, international responsibility, countermeasures, UN Security Council, unilateral sanctions, economic sanctions, humanitarian law, effectiveness of sanctions, legal consequences.</w:t>
      </w:r>
    </w:p>
    <w:p w14:paraId="7677B061" w14:textId="30D1BAA1" w:rsidR="00220D3E" w:rsidRPr="00511005" w:rsidRDefault="007B2628" w:rsidP="003A292D">
      <w:pPr>
        <w:tabs>
          <w:tab w:val="left" w:pos="709"/>
        </w:tabs>
        <w:spacing w:line="264" w:lineRule="auto"/>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 Грушко М.В.</w:t>
      </w:r>
    </w:p>
    <w:p w14:paraId="68B66475"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3838DA02"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Перерва Єлизавета Владиславівна</w:t>
      </w:r>
    </w:p>
    <w:p w14:paraId="78106214" w14:textId="122AA500"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278F93ED" w14:textId="4CDEDE72"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A2AABE9"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6211E80D"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ПРОБЛЕМИ КОЛІЗІЙНОГО РЕГУЛЮВАННЯ РОЗІРВАННЯ ШЛЮБУ В МІЖНАРОДНОМУ ПРИВАТНОМУ ПРАВІ</w:t>
      </w:r>
    </w:p>
    <w:p w14:paraId="640035D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сучасному світі, де кордони між державами стають дедалі прозорішими, а міжособистісні зв'язки набувають глобального характеру, питання розірвання шлюбу з іноземним елементом стає не лише особистою драмою, але й складною юридичною проблемою. Різноманіття національних правових систем, культурних традицій та релігійних переконань створює унікальний виклик для міжнародного приватного права, яке покликане забезпечити справедливе та ефективне вирішення таких </w:t>
      </w:r>
      <w:r w:rsidRPr="00511005">
        <w:rPr>
          <w:rFonts w:ascii="Arial" w:eastAsia="Times New Roman" w:hAnsi="Arial" w:cs="Arial"/>
          <w:szCs w:val="28"/>
          <w:lang w:eastAsia="ru-RU"/>
        </w:rPr>
        <w:lastRenderedPageBreak/>
        <w:t>справ. Колізійне регулювання розірвання шлюбу вимагає від юристів глибокого розуміння не лише норм національного законодавства, але й міжнародних договорів, судової практики та принципів справедливості.</w:t>
      </w:r>
    </w:p>
    <w:p w14:paraId="771DF09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 Україні ключовим джерелом, яке регламентує сферу міжнародного приватного права, виступає Закон «Про міжнародне приватне право». У його положеннях, зокрема в статті 63, міститься припис про те, що процес розірвання шлюбу та юридичні наслідки цього кроку мають регулюватися тим правопорядком, який визначає правові наслідки самого шлюбу на момент його припинення. Інакше кажучи, щоб з'ясувати, яке саме право має застосовуватися, необхідно звернутися до статті 60 цього ж закону. Вона передбачає, що правові наслідки шлюбу повинні встановлюватися згідно із спільним особистим законом подружжя. Якщо такого спільного закону немає, то застосовується законодавство тієї країни, де подружжя востаннє проживало разом, за умови, що хоча б один із них і далі мешкає в цій державі. У випадку, коли й це правило не дає результату, береться до уваги право тієї юрисдикції, з якою подружжя пов'язане найтіснішими особистими чи життєвими обставинами [1].</w:t>
      </w:r>
    </w:p>
    <w:p w14:paraId="52A2A96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Окрім норм національного законодавства, вагоме місце у врегулюванні процедур розірвання шлюбу, якщо присутній іноземний елемент, належить міжнародно-правовим актам. Серед них особливе значення має Гаазька конвенція від 1 червня 1970 року, яка стосується визнання рішень про розлучення та про окреме проживання подружжя. Її положення охоплюють ситуації, коли одне з договірних держав повинне визнати юридичну чинність рішень, ухвалених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судових або інших офіційних проваджень в іншій державі-учасниці, за умови, що ці рішення мають силу закону в країні їх винесення. Однак дія Конвенції обмежена: вона не охоплює питання визначення винуватості у розірванні шлюбу, а також не поширюється на додаткові положення, які могли бути винесені одночасно з рішенням про розлучення чи окреме проживання. Зокрема, йдеться про норми, що регулюють розподіл майна або встановлення опіки над дітьми, – ці питання залишаються поза межами сфери застосування документа [2].</w:t>
      </w:r>
    </w:p>
    <w:p w14:paraId="45493C8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Застосування її положень в Україні спостерігається, зокрема, у процесах визнання та виконання рішень іноземних судів про утримання, коли такі рішення подаються до українських судів для надання дозволу на їх примусове виконання. При цьому, суди України керуються як нормами цієї Конвенції, так і положеннями Цивільного процесуального кодексу України, що забезпечує комплексне та ефективне правове регулювання транснаціональних питань сімейного права. Однак, практичне застосування Конвенції досі стикається з низкою викликів, пов’язаних із недостатньою поінформованістю учасників процесу, складністю процедур співробітництва з іноземними юрисдикціями та потребою в додаткових роз’ясненнях щодо окремих її положень.</w:t>
      </w:r>
    </w:p>
    <w:p w14:paraId="25A36FF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Також важливо зауважити, про </w:t>
      </w:r>
      <w:proofErr w:type="gramStart"/>
      <w:r w:rsidRPr="00511005">
        <w:rPr>
          <w:rFonts w:ascii="Arial" w:eastAsia="Times New Roman" w:hAnsi="Arial" w:cs="Arial"/>
          <w:szCs w:val="28"/>
          <w:lang w:eastAsia="ru-RU"/>
        </w:rPr>
        <w:t>регламент</w:t>
      </w:r>
      <w:proofErr w:type="gramEnd"/>
      <w:r w:rsidRPr="00511005">
        <w:rPr>
          <w:rFonts w:ascii="Arial" w:eastAsia="Times New Roman" w:hAnsi="Arial" w:cs="Arial"/>
          <w:szCs w:val="28"/>
          <w:lang w:eastAsia="ru-RU"/>
        </w:rPr>
        <w:t xml:space="preserve"> Ради Європейського Союзу №1259/10 від 20 грудня 2010 року, також відомий як «Рим ІІІ». Він запроваджує унікальну можливість для подружжя з транскордонними зв’язками самостійно обирати право, яке буде застосовуватися до їхнього розірвання шлюбу або юридичної сепарації. Відповідно до статті 5 цього Регламенту, подружжя може за взаємною згодою обрати застосовне право з-поміж наступних: право держави, де вони мають звичайне місце проживання на момент укладення угоди; право держави, де вони останнім часом мали звичайне місце проживання, якщо один із них все ще там проживає; право держави, громадянином якої є один із подружжя; або право держави суду, до якого вони звертаються. Цей підхід сприяє гнучкості та передбачуваності у вирішенні сімейних спорів, дозволяючи сторонам уникнути несподіваних правових наслідків, пов’язаних із застосуванням незнайомого або несприятливого національного законодавства. У разі відсутності домовленості між подружжям щодо вибору права, стаття 8 Регламенту передбачає послідовність колізійних прив’язок, які автоматично визначають застосовне право, починаючи з права держави звичайного місця проживання подружжя та закінчуючи правом держави суду, що розглядає справу [3].</w:t>
      </w:r>
    </w:p>
    <w:p w14:paraId="0A0B32A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Незважаючи на існування міжнародних договорів та національних законодавств, що регулюють ці питання, на практиці виникає низка проблем, пов'язаних із визначенням застосовуваного права, юрисдикції судів та визнанням рішень про розірвання шлюбу, ухвалених в інших державах. Ці проблеми ускладнюють процес розірвання шлюбу для подружжя, особливо коли один або обидва з них є громадянами різних країн або проживають за межами своєї держави.</w:t>
      </w:r>
    </w:p>
    <w:p w14:paraId="6AA39F1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Однією з ключових проблем є визначення застосовуваного права при розірванні шлюбу, коли подружжя має різне громадянство або проживає в різних країнах. У таких випадках виникає питання: яке право слід застосовувати – право країни громадянства, місця проживання чи країни, де подано позов? Різні країни мають власні підходи до вирішення цього питання. Наприклад, у деяких державах застосовується принцип «lex domicilii» (право місця проживання), в інших – «lex patriae» (право громадянства). Це призводить до ситуацій, коли одна й та сама справа може бути розглянута за різними правовими нормами, залежно від обраної юрисдикції. Такі розбіжності створюють правову невизначеність та можуть призвести до несправедливих рішень [4, c. 227].</w:t>
      </w:r>
    </w:p>
    <w:p w14:paraId="221B0E7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Ще однією суттєвою проблемою є визнання та виконання рішень про розірвання шлюбу, ухвалених судами інших держав. Хоча існують міжнародні договори, які регулюють ці питання, на практиці виникають труднощі з визнанням таких рішень. Наприклад, якщо рішення про розірвання шлюбу було ухвалене в країні, з якою відсутній відповідний </w:t>
      </w:r>
      <w:r w:rsidRPr="00511005">
        <w:rPr>
          <w:rFonts w:ascii="Arial" w:eastAsia="Times New Roman" w:hAnsi="Arial" w:cs="Arial"/>
          <w:szCs w:val="28"/>
          <w:lang w:eastAsia="ru-RU"/>
        </w:rPr>
        <w:lastRenderedPageBreak/>
        <w:t>міжнародний договір, або якщо процедура розірвання не відповідає вимогам національного законодавства, таке рішення може не бути визнане. Це створює ситуації, коли особа вважається розлученою в одній країні, але залишається одруженою в іншій, що ускладнює її правовий статус та може мати серйозні наслідки, наприклад, при укладенні нового шлюбу або вирішенні питань опіки над дітьми [5].</w:t>
      </w:r>
    </w:p>
    <w:p w14:paraId="0306042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Проблема визначення юрисдикції суду також є актуальною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розірвання шлюбу з іноземним елементом. У багатьох випадках подружжя має можливість обрати суд, який розглядатиме їхню справу, що може призвести до так званого «forum shopping» – вибору найбільш сприятливої юрисдикції. Це може створити ситуації, коли одна й та сама справа розглядається в різних країнах, що призводить до конфлікту рішень та ускладнює їх виконання. Крім того, відсутність чітких критеріїв визначення юрисдикції може призвести до затягування процесу розірвання шлюбу та збільшення витрат для сторін [5].</w:t>
      </w:r>
    </w:p>
    <w:p w14:paraId="18D9423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Ще однією проблемою є відмінності </w:t>
      </w:r>
      <w:proofErr w:type="gramStart"/>
      <w:r w:rsidRPr="00511005">
        <w:rPr>
          <w:rFonts w:ascii="Arial" w:eastAsia="Times New Roman" w:hAnsi="Arial" w:cs="Arial"/>
          <w:szCs w:val="28"/>
          <w:lang w:eastAsia="ru-RU"/>
        </w:rPr>
        <w:t>у процедурах</w:t>
      </w:r>
      <w:proofErr w:type="gramEnd"/>
      <w:r w:rsidRPr="00511005">
        <w:rPr>
          <w:rFonts w:ascii="Arial" w:eastAsia="Times New Roman" w:hAnsi="Arial" w:cs="Arial"/>
          <w:szCs w:val="28"/>
          <w:lang w:eastAsia="ru-RU"/>
        </w:rPr>
        <w:t xml:space="preserve"> розірвання шлюбу в різних країнах. У деяких державах розірвання шлюбу можливе лише через суд, в інших – також через адміністративні органи. Крім того, умови для розірвання шлюбу можуть суттєво відрізнятися. Наприклад, у деяких країнах вимагається обов'язковий період роздільного проживання перед поданням заяви про розірвання, в інших – достатньо згоди обох сторін. Ці відмінності можуть створювати труднощі для подружжя, яке проживає в різних країнах або має різне громадянство, оскільки вони можуть бути змушені дотримуватися процедур, які не відповідають їхнім очікуванням або можливостям [6, c. 225-226].</w:t>
      </w:r>
    </w:p>
    <w:p w14:paraId="61CE758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Проблема «обходу закону» також є актуальною у сфері колізійного регулювання розірвання шлюбу. У деяких випадках сторони можуть намагатися обійти вимоги національного законодавства, звертаючись до юрисдикцій з більш сприятливими умовами для розірвання шлюбу. Це може призвести до ситуацій, коли розірвання шлюбу визнається в одній країні, але не визнається в іншій, що створює правову невизначеність та може мати серйозні наслідки для сторін. Крім того, такий підхід може підривати авторитет національного законодавства та створювати прецеденти для подальших спроб обходу закону [7, c. 345].</w:t>
      </w:r>
    </w:p>
    <w:p w14:paraId="488081D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усі ці проблеми свідчать про необхідність уніфікації підходів до колізійного регулювання розірвання шлюбу в міжнародному приватному праві. Запровадження міжнародних стандартів, які б уніфікували підходи до визначення застосовного права при розірванні шлюбу, сприятиме передбачуваності та стабільності правовідносин. Також важливо забезпечити механізми автоматичного або спрощеного визнання іноземних рішень про розлучення, що зменшить кількість «шкутильгаючих» правовідносин і забезпечить правову визначеність для подружжя.</w:t>
      </w:r>
    </w:p>
    <w:p w14:paraId="05019988"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296B9F05" w14:textId="722ADAF5" w:rsidR="00220D3E"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20C04787" w14:textId="77777777" w:rsidR="00220D3E" w:rsidRPr="00511005" w:rsidRDefault="00220D3E" w:rsidP="003F6A5D">
      <w:pPr>
        <w:numPr>
          <w:ilvl w:val="0"/>
          <w:numId w:val="178"/>
        </w:numPr>
        <w:tabs>
          <w:tab w:val="left" w:pos="360"/>
          <w:tab w:val="left" w:pos="709"/>
        </w:tabs>
        <w:spacing w:line="264" w:lineRule="auto"/>
        <w:jc w:val="left"/>
        <w:rPr>
          <w:rFonts w:ascii="Arial" w:eastAsia="Calibri" w:hAnsi="Arial" w:cs="Arial"/>
          <w:szCs w:val="28"/>
          <w:lang w:val="pl-PL"/>
        </w:rPr>
      </w:pPr>
      <w:r w:rsidRPr="00511005">
        <w:rPr>
          <w:rFonts w:ascii="Arial" w:eastAsia="Calibri" w:hAnsi="Arial" w:cs="Arial"/>
          <w:szCs w:val="28"/>
        </w:rPr>
        <w:t xml:space="preserve">Про міжнародне приватне </w:t>
      </w:r>
      <w:proofErr w:type="gramStart"/>
      <w:r w:rsidRPr="00511005">
        <w:rPr>
          <w:rFonts w:ascii="Arial" w:eastAsia="Calibri" w:hAnsi="Arial" w:cs="Arial"/>
          <w:szCs w:val="28"/>
        </w:rPr>
        <w:t>право</w:t>
      </w:r>
      <w:r w:rsidRPr="00511005">
        <w:rPr>
          <w:rFonts w:ascii="Arial" w:eastAsia="Calibri" w:hAnsi="Arial" w:cs="Arial"/>
          <w:szCs w:val="28"/>
          <w:lang w:val="en-US"/>
        </w:rPr>
        <w:t> </w:t>
      </w:r>
      <w:r w:rsidRPr="00511005">
        <w:rPr>
          <w:rFonts w:ascii="Arial" w:eastAsia="Calibri" w:hAnsi="Arial" w:cs="Arial"/>
          <w:szCs w:val="28"/>
        </w:rPr>
        <w:t>:</w:t>
      </w:r>
      <w:proofErr w:type="gramEnd"/>
      <w:r w:rsidRPr="00511005">
        <w:rPr>
          <w:rFonts w:ascii="Arial" w:eastAsia="Calibri" w:hAnsi="Arial" w:cs="Arial"/>
          <w:szCs w:val="28"/>
        </w:rPr>
        <w:t xml:space="preserve"> Закон України від 23.06.2005 №</w:t>
      </w:r>
      <w:r w:rsidRPr="00511005">
        <w:rPr>
          <w:rFonts w:ascii="Arial" w:eastAsia="Calibri" w:hAnsi="Arial" w:cs="Arial"/>
          <w:szCs w:val="28"/>
          <w:lang w:val="en-US"/>
        </w:rPr>
        <w:t> </w:t>
      </w:r>
      <w:r w:rsidRPr="00511005">
        <w:rPr>
          <w:rFonts w:ascii="Arial" w:eastAsia="Calibri" w:hAnsi="Arial" w:cs="Arial"/>
          <w:szCs w:val="28"/>
        </w:rPr>
        <w:t>2709-</w:t>
      </w:r>
      <w:r w:rsidRPr="00511005">
        <w:rPr>
          <w:rFonts w:ascii="Arial" w:eastAsia="Calibri" w:hAnsi="Arial" w:cs="Arial"/>
          <w:szCs w:val="28"/>
          <w:lang w:val="en-US"/>
        </w:rPr>
        <w:t>IV </w:t>
      </w:r>
      <w:r w:rsidRPr="00511005">
        <w:rPr>
          <w:rFonts w:ascii="Arial" w:eastAsia="Calibri" w:hAnsi="Arial" w:cs="Arial"/>
          <w:szCs w:val="28"/>
        </w:rPr>
        <w:t>: станом на 23</w:t>
      </w:r>
      <w:r w:rsidRPr="00511005">
        <w:rPr>
          <w:rFonts w:ascii="Arial" w:eastAsia="Calibri" w:hAnsi="Arial" w:cs="Arial"/>
          <w:szCs w:val="28"/>
          <w:lang w:val="en-US"/>
        </w:rPr>
        <w:t> </w:t>
      </w:r>
      <w:r w:rsidRPr="00511005">
        <w:rPr>
          <w:rFonts w:ascii="Arial" w:eastAsia="Calibri" w:hAnsi="Arial" w:cs="Arial"/>
          <w:szCs w:val="28"/>
        </w:rPr>
        <w:t xml:space="preserve">груд. </w:t>
      </w:r>
      <w:r w:rsidRPr="00511005">
        <w:rPr>
          <w:rFonts w:ascii="Arial" w:eastAsia="Calibri" w:hAnsi="Arial" w:cs="Arial"/>
          <w:szCs w:val="28"/>
          <w:lang w:val="pl-PL"/>
        </w:rPr>
        <w:t>2022 </w:t>
      </w:r>
      <w:r w:rsidRPr="00511005">
        <w:rPr>
          <w:rFonts w:ascii="Arial" w:eastAsia="Calibri" w:hAnsi="Arial" w:cs="Arial"/>
          <w:szCs w:val="28"/>
          <w:lang w:val="en-US"/>
        </w:rPr>
        <w:t>р</w:t>
      </w:r>
      <w:r w:rsidRPr="00511005">
        <w:rPr>
          <w:rFonts w:ascii="Arial" w:eastAsia="Calibri" w:hAnsi="Arial" w:cs="Arial"/>
          <w:szCs w:val="28"/>
          <w:lang w:val="pl-PL"/>
        </w:rPr>
        <w:t xml:space="preserve">. URL: </w:t>
      </w:r>
      <w:hyperlink r:id="rId584" w:anchor="Text" w:history="1">
        <w:r w:rsidRPr="00511005">
          <w:rPr>
            <w:rFonts w:ascii="Arial" w:eastAsia="Calibri" w:hAnsi="Arial" w:cs="Arial"/>
            <w:szCs w:val="28"/>
            <w:lang w:val="pl-PL"/>
          </w:rPr>
          <w:t>https://zakon.rada.gov.ua/laws/show/2709-15#Text</w:t>
        </w:r>
      </w:hyperlink>
      <w:r w:rsidRPr="00511005">
        <w:rPr>
          <w:rFonts w:ascii="Arial" w:eastAsia="Calibri" w:hAnsi="Arial" w:cs="Arial"/>
          <w:szCs w:val="28"/>
          <w:lang w:val="pl-PL"/>
        </w:rPr>
        <w:t>.</w:t>
      </w:r>
    </w:p>
    <w:p w14:paraId="0B84CF2D" w14:textId="77777777" w:rsidR="00220D3E" w:rsidRPr="00511005" w:rsidRDefault="00220D3E" w:rsidP="003A292D">
      <w:pPr>
        <w:tabs>
          <w:tab w:val="left" w:pos="360"/>
          <w:tab w:val="left" w:pos="709"/>
        </w:tabs>
        <w:spacing w:line="264" w:lineRule="auto"/>
        <w:rPr>
          <w:rFonts w:ascii="Arial" w:eastAsia="Calibri" w:hAnsi="Arial" w:cs="Arial"/>
          <w:szCs w:val="28"/>
        </w:rPr>
      </w:pPr>
      <w:r w:rsidRPr="00511005">
        <w:rPr>
          <w:rFonts w:ascii="Arial" w:eastAsia="Calibri" w:hAnsi="Arial" w:cs="Arial"/>
          <w:szCs w:val="28"/>
        </w:rPr>
        <w:t xml:space="preserve">Конвенція про визнання розлучень та рішень щодо окремого проживання </w:t>
      </w:r>
      <w:proofErr w:type="gramStart"/>
      <w:r w:rsidRPr="00511005">
        <w:rPr>
          <w:rFonts w:ascii="Arial" w:eastAsia="Calibri" w:hAnsi="Arial" w:cs="Arial"/>
          <w:szCs w:val="28"/>
        </w:rPr>
        <w:t>подружжя</w:t>
      </w:r>
      <w:r w:rsidRPr="00511005">
        <w:rPr>
          <w:rFonts w:ascii="Arial" w:eastAsia="Calibri" w:hAnsi="Arial" w:cs="Arial"/>
          <w:szCs w:val="28"/>
          <w:lang w:val="en-US"/>
        </w:rPr>
        <w:t> </w:t>
      </w:r>
      <w:r w:rsidRPr="00511005">
        <w:rPr>
          <w:rFonts w:ascii="Arial" w:eastAsia="Calibri" w:hAnsi="Arial" w:cs="Arial"/>
          <w:szCs w:val="28"/>
        </w:rPr>
        <w:t>:</w:t>
      </w:r>
      <w:proofErr w:type="gramEnd"/>
      <w:r w:rsidRPr="00511005">
        <w:rPr>
          <w:rFonts w:ascii="Arial" w:eastAsia="Calibri" w:hAnsi="Arial" w:cs="Arial"/>
          <w:szCs w:val="28"/>
        </w:rPr>
        <w:t xml:space="preserve"> Конвенція Орг. Об'єдн. Націй від 01.06.1970. </w:t>
      </w:r>
      <w:r w:rsidRPr="00511005">
        <w:rPr>
          <w:rFonts w:ascii="Arial" w:eastAsia="Calibri" w:hAnsi="Arial" w:cs="Arial"/>
          <w:szCs w:val="28"/>
          <w:lang w:val="en-US"/>
        </w:rPr>
        <w:t>URL</w:t>
      </w:r>
      <w:r w:rsidRPr="00511005">
        <w:rPr>
          <w:rFonts w:ascii="Arial" w:eastAsia="Calibri" w:hAnsi="Arial" w:cs="Arial"/>
          <w:szCs w:val="28"/>
        </w:rPr>
        <w:t xml:space="preserve">: </w:t>
      </w:r>
      <w:hyperlink r:id="rId585" w:anchor="Text"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zakon</w:t>
        </w:r>
        <w:r w:rsidRPr="00511005">
          <w:rPr>
            <w:rFonts w:ascii="Arial" w:eastAsia="Calibri" w:hAnsi="Arial" w:cs="Arial"/>
            <w:szCs w:val="28"/>
          </w:rPr>
          <w:t>.</w:t>
        </w:r>
        <w:r w:rsidRPr="00511005">
          <w:rPr>
            <w:rFonts w:ascii="Arial" w:eastAsia="Calibri" w:hAnsi="Arial" w:cs="Arial"/>
            <w:szCs w:val="28"/>
            <w:lang w:val="en-US"/>
          </w:rPr>
          <w:t>rada</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laws</w:t>
        </w:r>
        <w:r w:rsidRPr="00511005">
          <w:rPr>
            <w:rFonts w:ascii="Arial" w:eastAsia="Calibri" w:hAnsi="Arial" w:cs="Arial"/>
            <w:szCs w:val="28"/>
          </w:rPr>
          <w:t>/</w:t>
        </w:r>
        <w:r w:rsidRPr="00511005">
          <w:rPr>
            <w:rFonts w:ascii="Arial" w:eastAsia="Calibri" w:hAnsi="Arial" w:cs="Arial"/>
            <w:szCs w:val="28"/>
            <w:lang w:val="en-US"/>
          </w:rPr>
          <w:t>show</w:t>
        </w:r>
        <w:r w:rsidRPr="00511005">
          <w:rPr>
            <w:rFonts w:ascii="Arial" w:eastAsia="Calibri" w:hAnsi="Arial" w:cs="Arial"/>
            <w:szCs w:val="28"/>
          </w:rPr>
          <w:t>/995_925#</w:t>
        </w:r>
        <w:r w:rsidRPr="00511005">
          <w:rPr>
            <w:rFonts w:ascii="Arial" w:eastAsia="Calibri" w:hAnsi="Arial" w:cs="Arial"/>
            <w:szCs w:val="28"/>
            <w:lang w:val="en-US"/>
          </w:rPr>
          <w:t>Text</w:t>
        </w:r>
      </w:hyperlink>
      <w:r w:rsidRPr="00511005">
        <w:rPr>
          <w:rFonts w:ascii="Arial" w:eastAsia="Calibri" w:hAnsi="Arial" w:cs="Arial"/>
          <w:szCs w:val="28"/>
        </w:rPr>
        <w:t>.</w:t>
      </w:r>
    </w:p>
    <w:p w14:paraId="010CAF9E" w14:textId="77777777" w:rsidR="00220D3E" w:rsidRPr="00511005" w:rsidRDefault="00220D3E" w:rsidP="003A292D">
      <w:pPr>
        <w:tabs>
          <w:tab w:val="left" w:pos="360"/>
          <w:tab w:val="left" w:pos="709"/>
        </w:tabs>
        <w:spacing w:line="264" w:lineRule="auto"/>
        <w:rPr>
          <w:rFonts w:ascii="Arial" w:eastAsia="Calibri" w:hAnsi="Arial" w:cs="Arial"/>
          <w:szCs w:val="28"/>
          <w:lang w:val="pl-PL"/>
        </w:rPr>
      </w:pPr>
      <w:r w:rsidRPr="00511005">
        <w:rPr>
          <w:rFonts w:ascii="Arial" w:eastAsia="Calibri" w:hAnsi="Arial" w:cs="Arial"/>
          <w:szCs w:val="28"/>
          <w:lang w:val="en-US"/>
        </w:rPr>
        <w:t xml:space="preserve">Council regulation no 1259/2010. </w:t>
      </w:r>
      <w:r w:rsidRPr="00511005">
        <w:rPr>
          <w:rFonts w:ascii="Arial" w:eastAsia="Calibri" w:hAnsi="Arial" w:cs="Arial"/>
          <w:i/>
          <w:szCs w:val="28"/>
          <w:lang w:val="en-US"/>
        </w:rPr>
        <w:t>EUR-Lex</w:t>
      </w:r>
      <w:r w:rsidRPr="00511005">
        <w:rPr>
          <w:rFonts w:ascii="Arial" w:eastAsia="Calibri" w:hAnsi="Arial" w:cs="Arial"/>
          <w:szCs w:val="28"/>
          <w:lang w:val="en-US"/>
        </w:rPr>
        <w:t xml:space="preserve">. </w:t>
      </w:r>
      <w:r w:rsidRPr="00511005">
        <w:rPr>
          <w:rFonts w:ascii="Arial" w:eastAsia="Calibri" w:hAnsi="Arial" w:cs="Arial"/>
          <w:szCs w:val="28"/>
          <w:lang w:val="pl-PL"/>
        </w:rPr>
        <w:t xml:space="preserve">URL: </w:t>
      </w:r>
      <w:hyperlink r:id="rId586" w:history="1">
        <w:r w:rsidRPr="00511005">
          <w:rPr>
            <w:rFonts w:ascii="Arial" w:eastAsia="Calibri" w:hAnsi="Arial" w:cs="Arial"/>
            <w:szCs w:val="28"/>
            <w:lang w:val="pl-PL"/>
          </w:rPr>
          <w:t>https://eur-lex.europa.eu/eli/reg/2010/1259/oj/eng</w:t>
        </w:r>
      </w:hyperlink>
      <w:r w:rsidRPr="00511005">
        <w:rPr>
          <w:rFonts w:ascii="Arial" w:eastAsia="Calibri" w:hAnsi="Arial" w:cs="Arial"/>
          <w:szCs w:val="28"/>
          <w:lang w:val="pl-PL"/>
        </w:rPr>
        <w:t>.</w:t>
      </w:r>
    </w:p>
    <w:p w14:paraId="5EB9F1B3" w14:textId="77777777" w:rsidR="00220D3E" w:rsidRPr="00511005" w:rsidRDefault="00220D3E" w:rsidP="003A292D">
      <w:pPr>
        <w:tabs>
          <w:tab w:val="left" w:pos="360"/>
          <w:tab w:val="left" w:pos="709"/>
        </w:tabs>
        <w:spacing w:line="264" w:lineRule="auto"/>
        <w:rPr>
          <w:rFonts w:ascii="Arial" w:eastAsia="Calibri" w:hAnsi="Arial" w:cs="Arial"/>
          <w:szCs w:val="28"/>
        </w:rPr>
      </w:pPr>
      <w:r w:rsidRPr="00511005">
        <w:rPr>
          <w:rFonts w:ascii="Arial" w:eastAsia="Calibri" w:hAnsi="Arial" w:cs="Arial"/>
          <w:szCs w:val="28"/>
        </w:rPr>
        <w:t>Простибоженко</w:t>
      </w:r>
      <w:r w:rsidRPr="00511005">
        <w:rPr>
          <w:rFonts w:ascii="Arial" w:eastAsia="Calibri" w:hAnsi="Arial" w:cs="Arial"/>
          <w:szCs w:val="28"/>
          <w:lang w:val="en-US"/>
        </w:rPr>
        <w:t> </w:t>
      </w:r>
      <w:r w:rsidRPr="00511005">
        <w:rPr>
          <w:rFonts w:ascii="Arial" w:eastAsia="Calibri" w:hAnsi="Arial" w:cs="Arial"/>
          <w:szCs w:val="28"/>
        </w:rPr>
        <w:t xml:space="preserve">О. Розірвання шлюбу з іноземним елементом: колізійні прив’язки щодо застосовуваного права в законодавстві єс, Сша, </w:t>
      </w:r>
      <w:proofErr w:type="gramStart"/>
      <w:r w:rsidRPr="00511005">
        <w:rPr>
          <w:rFonts w:ascii="Arial" w:eastAsia="Calibri" w:hAnsi="Arial" w:cs="Arial"/>
          <w:szCs w:val="28"/>
        </w:rPr>
        <w:t>Китаю,та</w:t>
      </w:r>
      <w:proofErr w:type="gramEnd"/>
      <w:r w:rsidRPr="00511005">
        <w:rPr>
          <w:rFonts w:ascii="Arial" w:eastAsia="Calibri" w:hAnsi="Arial" w:cs="Arial"/>
          <w:szCs w:val="28"/>
        </w:rPr>
        <w:t xml:space="preserve"> України. </w:t>
      </w:r>
      <w:r w:rsidRPr="00511005">
        <w:rPr>
          <w:rFonts w:ascii="Arial" w:eastAsia="Calibri" w:hAnsi="Arial" w:cs="Arial"/>
          <w:i/>
          <w:szCs w:val="28"/>
        </w:rPr>
        <w:t>Альманах міжнародного права</w:t>
      </w:r>
      <w:r w:rsidRPr="00511005">
        <w:rPr>
          <w:rFonts w:ascii="Arial" w:eastAsia="Calibri" w:hAnsi="Arial" w:cs="Arial"/>
          <w:szCs w:val="28"/>
        </w:rPr>
        <w:t>. 2020. С.</w:t>
      </w:r>
      <w:r w:rsidRPr="00511005">
        <w:rPr>
          <w:rFonts w:ascii="Arial" w:eastAsia="Calibri" w:hAnsi="Arial" w:cs="Arial"/>
          <w:szCs w:val="28"/>
          <w:lang w:val="en-US"/>
        </w:rPr>
        <w:t> </w:t>
      </w:r>
      <w:r w:rsidRPr="00511005">
        <w:rPr>
          <w:rFonts w:ascii="Arial" w:eastAsia="Calibri" w:hAnsi="Arial" w:cs="Arial"/>
          <w:szCs w:val="28"/>
        </w:rPr>
        <w:t xml:space="preserve">225–235. </w:t>
      </w:r>
      <w:r w:rsidRPr="00511005">
        <w:rPr>
          <w:rFonts w:ascii="Arial" w:eastAsia="Calibri" w:hAnsi="Arial" w:cs="Arial"/>
          <w:szCs w:val="28"/>
          <w:lang w:val="en-US"/>
        </w:rPr>
        <w:t>URL</w:t>
      </w:r>
      <w:r w:rsidRPr="00511005">
        <w:rPr>
          <w:rFonts w:ascii="Arial" w:eastAsia="Calibri" w:hAnsi="Arial" w:cs="Arial"/>
          <w:szCs w:val="28"/>
        </w:rPr>
        <w:t xml:space="preserve">: </w:t>
      </w:r>
      <w:hyperlink r:id="rId587" w:history="1">
        <w:r w:rsidRPr="00511005">
          <w:rPr>
            <w:rFonts w:ascii="Arial" w:eastAsia="Calibri" w:hAnsi="Arial" w:cs="Arial"/>
            <w:szCs w:val="28"/>
            <w:lang w:val="en-US"/>
          </w:rPr>
          <w:t>http</w:t>
        </w:r>
        <w:r w:rsidRPr="00511005">
          <w:rPr>
            <w:rFonts w:ascii="Arial" w:eastAsia="Calibri" w:hAnsi="Arial" w:cs="Arial"/>
            <w:szCs w:val="28"/>
          </w:rPr>
          <w:t>://</w:t>
        </w:r>
        <w:r w:rsidRPr="00511005">
          <w:rPr>
            <w:rFonts w:ascii="Arial" w:eastAsia="Calibri" w:hAnsi="Arial" w:cs="Arial"/>
            <w:szCs w:val="28"/>
            <w:lang w:val="en-US"/>
          </w:rPr>
          <w:t>inlawalmanac</w:t>
        </w:r>
        <w:r w:rsidRPr="00511005">
          <w:rPr>
            <w:rFonts w:ascii="Arial" w:eastAsia="Calibri" w:hAnsi="Arial" w:cs="Arial"/>
            <w:szCs w:val="28"/>
          </w:rPr>
          <w:t>.</w:t>
        </w:r>
        <w:r w:rsidRPr="00511005">
          <w:rPr>
            <w:rFonts w:ascii="Arial" w:eastAsia="Calibri" w:hAnsi="Arial" w:cs="Arial"/>
            <w:szCs w:val="28"/>
            <w:lang w:val="en-US"/>
          </w:rPr>
          <w:t>mgu</w:t>
        </w:r>
        <w:r w:rsidRPr="00511005">
          <w:rPr>
            <w:rFonts w:ascii="Arial" w:eastAsia="Calibri" w:hAnsi="Arial" w:cs="Arial"/>
            <w:szCs w:val="28"/>
          </w:rPr>
          <w:t>.</w:t>
        </w:r>
        <w:r w:rsidRPr="00511005">
          <w:rPr>
            <w:rFonts w:ascii="Arial" w:eastAsia="Calibri" w:hAnsi="Arial" w:cs="Arial"/>
            <w:szCs w:val="28"/>
            <w:lang w:val="en-US"/>
          </w:rPr>
          <w:t>od</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v</w:t>
        </w:r>
        <w:r w:rsidRPr="00511005">
          <w:rPr>
            <w:rFonts w:ascii="Arial" w:eastAsia="Calibri" w:hAnsi="Arial" w:cs="Arial"/>
            <w:szCs w:val="28"/>
          </w:rPr>
          <w:t>23/28.</w:t>
        </w:r>
        <w:r w:rsidRPr="00511005">
          <w:rPr>
            <w:rFonts w:ascii="Arial" w:eastAsia="Calibri" w:hAnsi="Arial" w:cs="Arial"/>
            <w:szCs w:val="28"/>
            <w:lang w:val="en-US"/>
          </w:rPr>
          <w:t>pdf</w:t>
        </w:r>
      </w:hyperlink>
      <w:r w:rsidRPr="00511005">
        <w:rPr>
          <w:rFonts w:ascii="Arial" w:eastAsia="Calibri" w:hAnsi="Arial" w:cs="Arial"/>
          <w:szCs w:val="28"/>
        </w:rPr>
        <w:t>.</w:t>
      </w:r>
    </w:p>
    <w:p w14:paraId="1E7A4DCD" w14:textId="77777777" w:rsidR="00220D3E" w:rsidRPr="00511005" w:rsidRDefault="00220D3E" w:rsidP="003A292D">
      <w:pPr>
        <w:tabs>
          <w:tab w:val="left" w:pos="360"/>
          <w:tab w:val="left" w:pos="709"/>
        </w:tabs>
        <w:spacing w:line="264" w:lineRule="auto"/>
        <w:rPr>
          <w:rFonts w:ascii="Arial" w:eastAsia="Calibri" w:hAnsi="Arial" w:cs="Arial"/>
          <w:szCs w:val="28"/>
        </w:rPr>
      </w:pPr>
      <w:r w:rsidRPr="00511005">
        <w:rPr>
          <w:rFonts w:ascii="Arial" w:eastAsia="Calibri" w:hAnsi="Arial" w:cs="Arial"/>
          <w:szCs w:val="28"/>
        </w:rPr>
        <w:t>Черняк</w:t>
      </w:r>
      <w:r w:rsidRPr="00511005">
        <w:rPr>
          <w:rFonts w:ascii="Arial" w:eastAsia="Calibri" w:hAnsi="Arial" w:cs="Arial"/>
          <w:szCs w:val="28"/>
          <w:lang w:val="en-US"/>
        </w:rPr>
        <w:t> </w:t>
      </w:r>
      <w:r w:rsidRPr="00511005">
        <w:rPr>
          <w:rFonts w:ascii="Arial" w:eastAsia="Calibri" w:hAnsi="Arial" w:cs="Arial"/>
          <w:szCs w:val="28"/>
        </w:rPr>
        <w:t xml:space="preserve">Ю. Юрисдикційні питання справ про розірвання іноземних шлюбів в Україні. </w:t>
      </w:r>
      <w:r w:rsidRPr="00511005">
        <w:rPr>
          <w:rFonts w:ascii="Arial" w:eastAsia="Calibri" w:hAnsi="Arial" w:cs="Arial"/>
          <w:i/>
          <w:szCs w:val="28"/>
        </w:rPr>
        <w:t>Верховний Суд</w:t>
      </w:r>
      <w:r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hyperlink r:id="rId588"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supreme</w:t>
        </w:r>
        <w:r w:rsidRPr="00511005">
          <w:rPr>
            <w:rFonts w:ascii="Arial" w:eastAsia="Calibri" w:hAnsi="Arial" w:cs="Arial"/>
            <w:szCs w:val="28"/>
          </w:rPr>
          <w:t>.</w:t>
        </w:r>
        <w:r w:rsidRPr="00511005">
          <w:rPr>
            <w:rFonts w:ascii="Arial" w:eastAsia="Calibri" w:hAnsi="Arial" w:cs="Arial"/>
            <w:szCs w:val="28"/>
            <w:lang w:val="en-US"/>
          </w:rPr>
          <w:t>court</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supreme</w:t>
        </w:r>
        <w:r w:rsidRPr="00511005">
          <w:rPr>
            <w:rFonts w:ascii="Arial" w:eastAsia="Calibri" w:hAnsi="Arial" w:cs="Arial"/>
            <w:szCs w:val="28"/>
          </w:rPr>
          <w:t>/</w:t>
        </w:r>
        <w:r w:rsidRPr="00511005">
          <w:rPr>
            <w:rFonts w:ascii="Arial" w:eastAsia="Calibri" w:hAnsi="Arial" w:cs="Arial"/>
            <w:szCs w:val="28"/>
            <w:lang w:val="en-US"/>
          </w:rPr>
          <w:t>pres</w:t>
        </w:r>
        <w:r w:rsidRPr="00511005">
          <w:rPr>
            <w:rFonts w:ascii="Arial" w:eastAsia="Calibri" w:hAnsi="Arial" w:cs="Arial"/>
            <w:szCs w:val="28"/>
          </w:rPr>
          <w:t>-</w:t>
        </w:r>
        <w:r w:rsidRPr="00511005">
          <w:rPr>
            <w:rFonts w:ascii="Arial" w:eastAsia="Calibri" w:hAnsi="Arial" w:cs="Arial"/>
            <w:szCs w:val="28"/>
            <w:lang w:val="en-US"/>
          </w:rPr>
          <w:t>centr</w:t>
        </w:r>
        <w:r w:rsidRPr="00511005">
          <w:rPr>
            <w:rFonts w:ascii="Arial" w:eastAsia="Calibri" w:hAnsi="Arial" w:cs="Arial"/>
            <w:szCs w:val="28"/>
          </w:rPr>
          <w:t>/</w:t>
        </w:r>
        <w:r w:rsidRPr="00511005">
          <w:rPr>
            <w:rFonts w:ascii="Arial" w:eastAsia="Calibri" w:hAnsi="Arial" w:cs="Arial"/>
            <w:szCs w:val="28"/>
            <w:lang w:val="en-US"/>
          </w:rPr>
          <w:t>zmi</w:t>
        </w:r>
        <w:r w:rsidRPr="00511005">
          <w:rPr>
            <w:rFonts w:ascii="Arial" w:eastAsia="Calibri" w:hAnsi="Arial" w:cs="Arial"/>
            <w:szCs w:val="28"/>
          </w:rPr>
          <w:t>/1216716/</w:t>
        </w:r>
      </w:hyperlink>
      <w:r w:rsidRPr="00511005">
        <w:rPr>
          <w:rFonts w:ascii="Arial" w:eastAsia="Calibri" w:hAnsi="Arial" w:cs="Arial"/>
          <w:szCs w:val="28"/>
        </w:rPr>
        <w:t>.</w:t>
      </w:r>
    </w:p>
    <w:p w14:paraId="55077462" w14:textId="77777777" w:rsidR="00220D3E" w:rsidRPr="00511005" w:rsidRDefault="00220D3E" w:rsidP="003A292D">
      <w:pPr>
        <w:tabs>
          <w:tab w:val="left" w:pos="360"/>
          <w:tab w:val="left" w:pos="709"/>
        </w:tabs>
        <w:spacing w:line="264" w:lineRule="auto"/>
        <w:rPr>
          <w:rFonts w:ascii="Arial" w:eastAsia="Calibri" w:hAnsi="Arial" w:cs="Arial"/>
          <w:szCs w:val="28"/>
          <w:lang w:val="en-US"/>
        </w:rPr>
      </w:pPr>
      <w:r w:rsidRPr="00511005">
        <w:rPr>
          <w:rFonts w:ascii="Arial" w:eastAsia="Calibri" w:hAnsi="Arial" w:cs="Arial"/>
          <w:szCs w:val="28"/>
        </w:rPr>
        <w:t xml:space="preserve">Колізійні питання укладення і розірвання шлюбу в міжнародному приватному праві. </w:t>
      </w:r>
      <w:r w:rsidRPr="00511005">
        <w:rPr>
          <w:rFonts w:ascii="Arial" w:eastAsia="Calibri" w:hAnsi="Arial" w:cs="Arial"/>
          <w:i/>
          <w:szCs w:val="28"/>
          <w:lang w:val="en-US"/>
        </w:rPr>
        <w:t>Lviv polytechnic national university</w:t>
      </w:r>
      <w:r w:rsidRPr="00511005">
        <w:rPr>
          <w:rFonts w:ascii="Arial" w:eastAsia="Calibri" w:hAnsi="Arial" w:cs="Arial"/>
          <w:szCs w:val="28"/>
          <w:lang w:val="en-US"/>
        </w:rPr>
        <w:t xml:space="preserve">. 2020. С. 223–227. URL: </w:t>
      </w:r>
      <w:hyperlink r:id="rId589" w:history="1">
        <w:r w:rsidRPr="00511005">
          <w:rPr>
            <w:rFonts w:ascii="Arial" w:eastAsia="Calibri" w:hAnsi="Arial" w:cs="Arial"/>
            <w:szCs w:val="28"/>
            <w:lang w:val="en-US"/>
          </w:rPr>
          <w:t>https://ena.lpnu.ua:8443/server/api/core/bitstreams/f8ddefef-39a4-433c-80ad-cf23029ab434/content</w:t>
        </w:r>
      </w:hyperlink>
      <w:r w:rsidRPr="00511005">
        <w:rPr>
          <w:rFonts w:ascii="Arial" w:eastAsia="Calibri" w:hAnsi="Arial" w:cs="Arial"/>
          <w:szCs w:val="28"/>
          <w:lang w:val="en-US"/>
        </w:rPr>
        <w:t>.</w:t>
      </w:r>
    </w:p>
    <w:p w14:paraId="1A08B550" w14:textId="77777777" w:rsidR="00220D3E" w:rsidRPr="00511005" w:rsidRDefault="00220D3E" w:rsidP="003A292D">
      <w:pPr>
        <w:tabs>
          <w:tab w:val="left" w:pos="360"/>
          <w:tab w:val="left" w:pos="709"/>
        </w:tabs>
        <w:spacing w:line="264" w:lineRule="auto"/>
        <w:rPr>
          <w:rFonts w:ascii="Arial" w:eastAsia="Calibri" w:hAnsi="Arial" w:cs="Arial"/>
          <w:szCs w:val="28"/>
        </w:rPr>
      </w:pPr>
      <w:r w:rsidRPr="00511005">
        <w:rPr>
          <w:rFonts w:ascii="Arial" w:eastAsia="Calibri" w:hAnsi="Arial" w:cs="Arial"/>
          <w:szCs w:val="28"/>
        </w:rPr>
        <w:t>Дуброва</w:t>
      </w:r>
      <w:r w:rsidRPr="00511005">
        <w:rPr>
          <w:rFonts w:ascii="Arial" w:eastAsia="Calibri" w:hAnsi="Arial" w:cs="Arial"/>
          <w:szCs w:val="28"/>
          <w:lang w:val="en-US"/>
        </w:rPr>
        <w:t> </w:t>
      </w:r>
      <w:r w:rsidRPr="00511005">
        <w:rPr>
          <w:rFonts w:ascii="Arial" w:eastAsia="Calibri" w:hAnsi="Arial" w:cs="Arial"/>
          <w:szCs w:val="28"/>
        </w:rPr>
        <w:t xml:space="preserve">Т. Особливості правового регулювання розірвання шлюбу в міжнародному приватному праві. </w:t>
      </w:r>
      <w:r w:rsidRPr="00511005">
        <w:rPr>
          <w:rFonts w:ascii="Arial" w:eastAsia="Calibri" w:hAnsi="Arial" w:cs="Arial"/>
          <w:i/>
          <w:szCs w:val="28"/>
        </w:rPr>
        <w:t>Національного юридичного університету імені Ярослава Мудрого</w:t>
      </w:r>
      <w:r w:rsidRPr="00511005">
        <w:rPr>
          <w:rFonts w:ascii="Arial" w:eastAsia="Calibri" w:hAnsi="Arial" w:cs="Arial"/>
          <w:szCs w:val="28"/>
        </w:rPr>
        <w:t>. 2021. С.</w:t>
      </w:r>
      <w:r w:rsidRPr="00511005">
        <w:rPr>
          <w:rFonts w:ascii="Arial" w:eastAsia="Calibri" w:hAnsi="Arial" w:cs="Arial"/>
          <w:szCs w:val="28"/>
          <w:lang w:val="en-US"/>
        </w:rPr>
        <w:t> </w:t>
      </w:r>
      <w:r w:rsidRPr="00511005">
        <w:rPr>
          <w:rFonts w:ascii="Arial" w:eastAsia="Calibri" w:hAnsi="Arial" w:cs="Arial"/>
          <w:szCs w:val="28"/>
        </w:rPr>
        <w:t xml:space="preserve">342–346. </w:t>
      </w:r>
      <w:r w:rsidRPr="00511005">
        <w:rPr>
          <w:rFonts w:ascii="Arial" w:eastAsia="Calibri" w:hAnsi="Arial" w:cs="Arial"/>
          <w:szCs w:val="28"/>
          <w:lang w:val="en-US"/>
        </w:rPr>
        <w:t>URL</w:t>
      </w:r>
      <w:r w:rsidRPr="00511005">
        <w:rPr>
          <w:rFonts w:ascii="Arial" w:eastAsia="Calibri" w:hAnsi="Arial" w:cs="Arial"/>
          <w:szCs w:val="28"/>
        </w:rPr>
        <w:t xml:space="preserve">: </w:t>
      </w:r>
      <w:hyperlink r:id="rId590"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dspace</w:t>
        </w:r>
        <w:r w:rsidRPr="00511005">
          <w:rPr>
            <w:rFonts w:ascii="Arial" w:eastAsia="Calibri" w:hAnsi="Arial" w:cs="Arial"/>
            <w:szCs w:val="28"/>
          </w:rPr>
          <w:t>.</w:t>
        </w:r>
        <w:r w:rsidRPr="00511005">
          <w:rPr>
            <w:rFonts w:ascii="Arial" w:eastAsia="Calibri" w:hAnsi="Arial" w:cs="Arial"/>
            <w:szCs w:val="28"/>
            <w:lang w:val="en-US"/>
          </w:rPr>
          <w:t>nlu</w:t>
        </w:r>
        <w:r w:rsidRPr="00511005">
          <w:rPr>
            <w:rFonts w:ascii="Arial" w:eastAsia="Calibri" w:hAnsi="Arial" w:cs="Arial"/>
            <w:szCs w:val="28"/>
          </w:rPr>
          <w:t>.</w:t>
        </w:r>
        <w:r w:rsidRPr="00511005">
          <w:rPr>
            <w:rFonts w:ascii="Arial" w:eastAsia="Calibri" w:hAnsi="Arial" w:cs="Arial"/>
            <w:szCs w:val="28"/>
            <w:lang w:val="en-US"/>
          </w:rPr>
          <w:t>edu</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bitstream</w:t>
        </w:r>
        <w:r w:rsidRPr="00511005">
          <w:rPr>
            <w:rFonts w:ascii="Arial" w:eastAsia="Calibri" w:hAnsi="Arial" w:cs="Arial"/>
            <w:szCs w:val="28"/>
          </w:rPr>
          <w:t>/123456789/11857/1/</w:t>
        </w:r>
        <w:r w:rsidRPr="00511005">
          <w:rPr>
            <w:rFonts w:ascii="Arial" w:eastAsia="Calibri" w:hAnsi="Arial" w:cs="Arial"/>
            <w:szCs w:val="28"/>
            <w:lang w:val="en-US"/>
          </w:rPr>
          <w:t>Dubrova</w:t>
        </w:r>
        <w:r w:rsidRPr="00511005">
          <w:rPr>
            <w:rFonts w:ascii="Arial" w:eastAsia="Calibri" w:hAnsi="Arial" w:cs="Arial"/>
            <w:szCs w:val="28"/>
          </w:rPr>
          <w:t>.</w:t>
        </w:r>
        <w:r w:rsidRPr="00511005">
          <w:rPr>
            <w:rFonts w:ascii="Arial" w:eastAsia="Calibri" w:hAnsi="Arial" w:cs="Arial"/>
            <w:szCs w:val="28"/>
            <w:lang w:val="en-US"/>
          </w:rPr>
          <w:t>pdf</w:t>
        </w:r>
      </w:hyperlink>
      <w:r w:rsidRPr="00511005">
        <w:rPr>
          <w:rFonts w:ascii="Arial" w:eastAsia="Calibri" w:hAnsi="Arial" w:cs="Arial"/>
          <w:szCs w:val="28"/>
        </w:rPr>
        <w:t>.</w:t>
      </w:r>
    </w:p>
    <w:p w14:paraId="5B206C24" w14:textId="2BB59C1C" w:rsidR="00220D3E" w:rsidRPr="00511005" w:rsidRDefault="007B2628" w:rsidP="003A292D">
      <w:pPr>
        <w:tabs>
          <w:tab w:val="left" w:pos="709"/>
        </w:tabs>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20D3E" w:rsidRPr="00511005">
        <w:rPr>
          <w:rFonts w:ascii="Arial" w:eastAsia="Calibri" w:hAnsi="Arial" w:cs="Arial"/>
          <w:szCs w:val="28"/>
          <w:lang w:val="uk-UA"/>
        </w:rPr>
        <w:t>міжнародне приватне право, розірвання шлюбу,колізійне регулювання розірвання шлюбу.</w:t>
      </w:r>
    </w:p>
    <w:p w14:paraId="24688CBF" w14:textId="53A41A02" w:rsidR="007B2628" w:rsidRPr="00511005" w:rsidRDefault="007B2628" w:rsidP="003A292D">
      <w:pPr>
        <w:tabs>
          <w:tab w:val="left" w:pos="709"/>
        </w:tabs>
        <w:spacing w:line="264" w:lineRule="auto"/>
        <w:rPr>
          <w:rFonts w:ascii="Arial" w:eastAsia="Calibri" w:hAnsi="Arial" w:cs="Arial"/>
          <w:szCs w:val="28"/>
          <w:lang w:val="uk-UA"/>
        </w:rPr>
      </w:pPr>
      <w:r w:rsidRPr="00511005">
        <w:rPr>
          <w:rFonts w:ascii="Arial" w:eastAsia="Calibri" w:hAnsi="Arial" w:cs="Arial"/>
          <w:b/>
          <w:i/>
          <w:szCs w:val="28"/>
          <w:lang w:val="en-US"/>
        </w:rPr>
        <w:t xml:space="preserve">Key words: </w:t>
      </w:r>
      <w:r w:rsidR="00220D3E" w:rsidRPr="00511005">
        <w:rPr>
          <w:rFonts w:ascii="Arial" w:eastAsia="Calibri" w:hAnsi="Arial" w:cs="Arial"/>
          <w:szCs w:val="28"/>
          <w:lang w:val="en-US"/>
        </w:rPr>
        <w:t>international private law, divorce, collision regulation of divorce.</w:t>
      </w:r>
    </w:p>
    <w:p w14:paraId="3A48CC19" w14:textId="626B292C" w:rsidR="00220D3E" w:rsidRPr="00511005" w:rsidRDefault="007B2628" w:rsidP="003A292D">
      <w:pPr>
        <w:tabs>
          <w:tab w:val="left" w:pos="142"/>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 xml:space="preserve">асистент </w:t>
      </w:r>
      <w:r w:rsidR="00220D3E" w:rsidRPr="00511005">
        <w:rPr>
          <w:rFonts w:ascii="Arial" w:eastAsia="Times New Roman" w:hAnsi="Arial" w:cs="Arial"/>
          <w:i/>
          <w:szCs w:val="28"/>
          <w:lang w:val="uk-UA" w:eastAsia="ru-RU"/>
        </w:rPr>
        <w:t xml:space="preserve">кафедри </w:t>
      </w:r>
      <w:r w:rsidR="00220D3E" w:rsidRPr="00511005">
        <w:rPr>
          <w:rFonts w:ascii="Arial" w:eastAsia="Times New Roman" w:hAnsi="Arial" w:cs="Arial"/>
          <w:i/>
          <w:szCs w:val="28"/>
          <w:lang w:eastAsia="ru-RU"/>
        </w:rPr>
        <w:t>Бугаєць А.С.</w:t>
      </w:r>
    </w:p>
    <w:p w14:paraId="15CAB4B3" w14:textId="77777777" w:rsidR="00220D3E" w:rsidRPr="00511005" w:rsidRDefault="00220D3E" w:rsidP="003A292D">
      <w:pPr>
        <w:tabs>
          <w:tab w:val="left" w:pos="709"/>
        </w:tabs>
        <w:spacing w:line="264" w:lineRule="auto"/>
        <w:contextualSpacing/>
        <w:rPr>
          <w:rFonts w:ascii="Arial" w:eastAsia="Calibri" w:hAnsi="Arial" w:cs="Arial"/>
          <w:bCs/>
          <w:i/>
          <w:iCs/>
          <w:szCs w:val="28"/>
          <w:lang w:val="uk-UA"/>
        </w:rPr>
      </w:pPr>
    </w:p>
    <w:p w14:paraId="1C82F3CC" w14:textId="77777777" w:rsidR="00220D3E" w:rsidRPr="00511005" w:rsidRDefault="00220D3E" w:rsidP="003A292D">
      <w:pPr>
        <w:tabs>
          <w:tab w:val="left" w:pos="709"/>
        </w:tabs>
        <w:spacing w:line="264" w:lineRule="auto"/>
        <w:contextualSpacing/>
        <w:rPr>
          <w:rFonts w:ascii="Arial" w:eastAsia="Calibri" w:hAnsi="Arial" w:cs="Arial"/>
          <w:bCs/>
          <w:i/>
          <w:iCs/>
          <w:szCs w:val="28"/>
          <w:lang w:val="uk-UA"/>
        </w:rPr>
      </w:pPr>
    </w:p>
    <w:p w14:paraId="66CF987F"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Перерва Єлизавета Владиславівна</w:t>
      </w:r>
    </w:p>
    <w:p w14:paraId="451A339A" w14:textId="2B3332A6"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193A7144" w14:textId="6C3EBCB3"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217FAC4" w14:textId="77777777" w:rsidR="00220D3E" w:rsidRPr="00511005" w:rsidRDefault="00220D3E" w:rsidP="003A292D">
      <w:pPr>
        <w:tabs>
          <w:tab w:val="left" w:pos="709"/>
        </w:tabs>
        <w:spacing w:line="264" w:lineRule="auto"/>
        <w:jc w:val="center"/>
        <w:rPr>
          <w:rFonts w:ascii="Arial" w:eastAsia="Times New Roman" w:hAnsi="Arial" w:cs="Arial"/>
          <w:i/>
          <w:szCs w:val="28"/>
          <w:lang w:eastAsia="ru-RU"/>
        </w:rPr>
      </w:pPr>
    </w:p>
    <w:p w14:paraId="1CFC32D5"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ПИТАННЯ ЕКОЦИДУ: НАЦІОНАЛЬНИЙ ТА МІЖНАРОДНИЙ АСПЕКТ</w:t>
      </w:r>
    </w:p>
    <w:p w14:paraId="1236D22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сучасному світі, що стикається з безпрецедентними екологічними викликами та збройними конфліктами, поняття «екоцид» набуває особливої актуальності. Термін «екоцид» використовується для опису дій, які </w:t>
      </w:r>
      <w:r w:rsidRPr="00511005">
        <w:rPr>
          <w:rFonts w:ascii="Arial" w:eastAsia="Times New Roman" w:hAnsi="Arial" w:cs="Arial"/>
          <w:szCs w:val="28"/>
          <w:lang w:eastAsia="ru-RU"/>
        </w:rPr>
        <w:lastRenderedPageBreak/>
        <w:t>спричиняють серйозне та тривале пошкодження екосистем, ставлячи під загрозу існування людства та природи.</w:t>
      </w:r>
    </w:p>
    <w:p w14:paraId="5C28BB3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Поняття «екоцид» походить від грецького слова «oikos» (дім) та латинського «caedere» (вбивати), що буквально означає «вбивство </w:t>
      </w:r>
      <w:proofErr w:type="gramStart"/>
      <w:r w:rsidRPr="00511005">
        <w:rPr>
          <w:rFonts w:ascii="Arial" w:eastAsia="Times New Roman" w:hAnsi="Arial" w:cs="Arial"/>
          <w:szCs w:val="28"/>
          <w:lang w:eastAsia="ru-RU"/>
        </w:rPr>
        <w:t>дому»[</w:t>
      </w:r>
      <w:proofErr w:type="gramEnd"/>
      <w:r w:rsidRPr="00511005">
        <w:rPr>
          <w:rFonts w:ascii="Arial" w:eastAsia="Times New Roman" w:hAnsi="Arial" w:cs="Arial"/>
          <w:szCs w:val="28"/>
          <w:lang w:eastAsia="ru-RU"/>
        </w:rPr>
        <w:t xml:space="preserve">1,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 155]. Воно охоплює масове знищення рослинного або тваринного світу, отруєння атмосфери чи водних ресурсів, а також інші дії, які можуть спричинити екологічну катастрофу. В Україні екоцид визначений як кримінальне правопорушення у статті 441 Кримінального кодексу України [2</w:t>
      </w:r>
      <w:proofErr w:type="gramStart"/>
      <w:r w:rsidRPr="00511005">
        <w:rPr>
          <w:rFonts w:ascii="Arial" w:eastAsia="Times New Roman" w:hAnsi="Arial" w:cs="Arial"/>
          <w:szCs w:val="28"/>
          <w:lang w:eastAsia="ru-RU"/>
        </w:rPr>
        <w:t>].На</w:t>
      </w:r>
      <w:proofErr w:type="gramEnd"/>
      <w:r w:rsidRPr="00511005">
        <w:rPr>
          <w:rFonts w:ascii="Arial" w:eastAsia="Times New Roman" w:hAnsi="Arial" w:cs="Arial"/>
          <w:szCs w:val="28"/>
          <w:lang w:eastAsia="ru-RU"/>
        </w:rPr>
        <w:t xml:space="preserve"> міжнародному рівні екоцид поки не визнаний окремим злочином. Римський статут Міжнародного кримінального суду не містить положень про екоцид, хоча деякі його статті опосередковано стосуються воєнних злочинів проти довкілля [3]. Визнання екоциду як міжнародного злочину є предметом обговорення на різних рівнях. У 2023 році Парламентська асамблея Ради Європи прийняла резолюцію, що закликає до включення екоциду до Римського </w:t>
      </w:r>
      <w:proofErr w:type="gramStart"/>
      <w:r w:rsidRPr="00511005">
        <w:rPr>
          <w:rFonts w:ascii="Arial" w:eastAsia="Times New Roman" w:hAnsi="Arial" w:cs="Arial"/>
          <w:szCs w:val="28"/>
          <w:lang w:eastAsia="ru-RU"/>
        </w:rPr>
        <w:t>статуту .</w:t>
      </w:r>
      <w:proofErr w:type="gramEnd"/>
      <w:r w:rsidRPr="00511005">
        <w:rPr>
          <w:rFonts w:ascii="Arial" w:eastAsia="Times New Roman" w:hAnsi="Arial" w:cs="Arial"/>
          <w:szCs w:val="28"/>
          <w:lang w:eastAsia="ru-RU"/>
        </w:rPr>
        <w:t xml:space="preserve"> Крім того, деякі країни, такі як Франція та Бельгія, вже внесли екоцид до свого національного законодавства, що свідчить про зростаюче міжнародне визнання необхідності криміналізації таких дій [1,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 156].​</w:t>
      </w:r>
    </w:p>
    <w:p w14:paraId="21A23A4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Збройні конфлікти часто супроводжуються значними екологічними руйнуваннями. Наприклад, під час війни у В'єтнамі американські військові використовували дефоліанти, такі як «Agent Orange», що призвело до знищення лісів та сільськогосподарських угідь на величезних площах [4]. </w:t>
      </w:r>
    </w:p>
    <w:p w14:paraId="67A2190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сучасному контексті, збройна агресія російської федерації проти України спричинила значні екологічні збитки, включаючи руйнування інфраструктури, забруднення територій та знищення природних ресурсів. Однак, застосування цієї норми на практиці стикається з низкою труднощів. Насамперед, відсутність чіткого визначення понять «масове знищення» та «екологічна катастрофа» ускладнює кваліфікацію злочину та доведення вини. Наприклад, не визначено, який обсяг знищення рослинного чи тваринного світу вважати «масовим», або які конкретні наслідки підпадають під поняття «екологічної катастрофи». Це створює правову невизначеність та може призводити до різночитань під час судових розглядів.</w:t>
      </w:r>
    </w:p>
    <w:p w14:paraId="50A6B83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Крім того, складність доведення причинно-наслідкового зв'язку між діями обвинуваченого та настанням екологічної катастрофи є ще однією перешкодою в застосуванні статті 441. Наприклад, у випадку обстрілів нафтобаз або хімічних підприємств під час бойових дій, встановлення прямого зв'язку між наказами конкретних осіб та завданою шкодою довкіллю потребує ретельного розслідування та експертних висновків [5].</w:t>
      </w:r>
    </w:p>
    <w:p w14:paraId="26F7242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Застосування норми, передбаченої статтею 441 Кримінального кодексу України, на практиці викликає значні труднощі, що підтверджується реальними прикладами. Так, Офіс Генерального прокурора України наводить унікальний випадок - перше у світі кримінальне провадження за </w:t>
      </w:r>
      <w:r w:rsidRPr="00511005">
        <w:rPr>
          <w:rFonts w:ascii="Arial" w:eastAsia="Times New Roman" w:hAnsi="Arial" w:cs="Arial"/>
          <w:szCs w:val="28"/>
          <w:lang w:eastAsia="ru-RU"/>
        </w:rPr>
        <w:lastRenderedPageBreak/>
        <w:t>фактом екоциду, скоєного в умовах збройного конфлікту. Йдеться про навмисні обстріли ядерного об’єкта - підкритичної установки «Джерело нейтронів», а також сховища радіоактивних матеріалів, розташованих на території Харківського фізико-технічного інституту. У лютому 2024 року українськими правоохоронцями було офіційно оголошено підозру російському високопосадовцю у військовому званні генерал-полковника та ще чотирьом офіцерам, підпорядкованим йому, у вчиненні злочину, який підпадає під кваліфікацію екоциду згідно з національним кримінальним законодавством [5].</w:t>
      </w:r>
    </w:p>
    <w:p w14:paraId="7232A8C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Важливо згадати обстріл та знищення нафтобаз, що призвело до масштабного забруднення довкілля. Зокрема, внаслідок обстрілів було знищено понад 60 нафтобаз та інших сховищ паливно-мастильних матеріалів у 23 областях України. Ці атаки спричинили значні викиди токсичних речовин в атмосферу, забруднення ґрунтів та водних ресурсів. Для порівняння, пожежа на нафтобазі БРСМ у Василькові 2015 року, відома як «Васильківська трагедія», вважалася другою за масштабом екологічною катастрофою в Україні після аварії на ЧАЕС. Однак, під час війни 2022 року масштаби руйнувань нафтобаз значно перевищили цей інцидент, що підкреслює серйозність екологічних наслідків від обстрілів паливних об'єктів [6]. Також, 14 березня 2022 року внаслідок артилерійського удару, завданого збройними силами Російської Федерації, зазнали значних руйнувань очисні споруди Василівського експлуатаційного цеху системи водопостачання та водовідведення, розташовані в селі Верхня Криниця Запорізької області. У результаті атаки була знищена інфраструктура, зокрема будівля та технічне оснащення каналізаційної насосної станції №1. Наслідком цих дій стало те, що стічні води з ряду житлових масивів Запоріжжя почали безперешкодно скидатися безпосередньо в річку Дніпро, минаючи етапи очистки. Така ситуація створила серйозну загрозу екологічній безпеці та здоров’ю мешканців регіону через інтенсивне забруднення водних </w:t>
      </w:r>
      <w:proofErr w:type="gramStart"/>
      <w:r w:rsidRPr="00511005">
        <w:rPr>
          <w:rFonts w:ascii="Arial" w:eastAsia="Times New Roman" w:hAnsi="Arial" w:cs="Arial"/>
          <w:szCs w:val="28"/>
          <w:lang w:eastAsia="ru-RU"/>
        </w:rPr>
        <w:t>ресурсів[</w:t>
      </w:r>
      <w:proofErr w:type="gramEnd"/>
      <w:r w:rsidRPr="00511005">
        <w:rPr>
          <w:rFonts w:ascii="Arial" w:eastAsia="Times New Roman" w:hAnsi="Arial" w:cs="Arial"/>
          <w:szCs w:val="28"/>
          <w:lang w:eastAsia="ru-RU"/>
        </w:rPr>
        <w:t>7].</w:t>
      </w:r>
    </w:p>
    <w:p w14:paraId="1C81FED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Щодо міжнародного аспекту, важливо зауважити, що у вересні 2024 року тихоокеанські острівні держави Вануату, Фіджі та Самоа офіційно подали пропозицію про внесення екоциду до переліку злочинів, що підпадають під юрисдикцію </w:t>
      </w:r>
      <w:proofErr w:type="gramStart"/>
      <w:r w:rsidRPr="00511005">
        <w:rPr>
          <w:rFonts w:ascii="Arial" w:eastAsia="Times New Roman" w:hAnsi="Arial" w:cs="Arial"/>
          <w:szCs w:val="28"/>
          <w:lang w:eastAsia="ru-RU"/>
        </w:rPr>
        <w:t>МКС .</w:t>
      </w:r>
      <w:proofErr w:type="gramEnd"/>
      <w:r w:rsidRPr="00511005">
        <w:rPr>
          <w:rFonts w:ascii="Arial" w:eastAsia="Times New Roman" w:hAnsi="Arial" w:cs="Arial"/>
          <w:szCs w:val="28"/>
          <w:lang w:eastAsia="ru-RU"/>
        </w:rPr>
        <w:t xml:space="preserve"> Ця ініціатива підкреслює зростаючу стурбованість малих острівних держав щодо руйнівних наслідків екологічних злочинів для їхніх територій та населення [8].</w:t>
      </w:r>
    </w:p>
    <w:p w14:paraId="421A2D1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 національному рівні деякі країни вже вжили заходів для криміналізації екоциду. У лютому 2024 року Бельгія стала першою європейською країною, яка визнала екоцид злочином як на національному, так і на міжнародному рівнях. Згідно з новим Кримінальним кодексом Бельгії, екоцид визначається як «навмисне вчинення незаконної дії, що спричиняє серйозну, масштабну та довготривалу шкоду довкіллю, з усвідомленням </w:t>
      </w:r>
      <w:r w:rsidRPr="00511005">
        <w:rPr>
          <w:rFonts w:ascii="Arial" w:eastAsia="Times New Roman" w:hAnsi="Arial" w:cs="Arial"/>
          <w:szCs w:val="28"/>
          <w:lang w:eastAsia="ru-RU"/>
        </w:rPr>
        <w:lastRenderedPageBreak/>
        <w:t>того, що така дія спричиняє таку шкоду». Покарання передбачає до 20 років ув'язнення та штрафи до 1,6 мільйона євро для юридичних осіб [9].</w:t>
      </w:r>
    </w:p>
    <w:p w14:paraId="01407A9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Попри ці позитивні зрушення, офіційне визнання екоциду як міжнародного злочину залишається складним завданням. Для внесення змін до Римського статуту необхідна підтримка двох третин із 125 держав-учасниць </w:t>
      </w:r>
      <w:proofErr w:type="gramStart"/>
      <w:r w:rsidRPr="00511005">
        <w:rPr>
          <w:rFonts w:ascii="Arial" w:eastAsia="Times New Roman" w:hAnsi="Arial" w:cs="Arial"/>
          <w:szCs w:val="28"/>
          <w:lang w:eastAsia="ru-RU"/>
        </w:rPr>
        <w:t>МКС .</w:t>
      </w:r>
      <w:proofErr w:type="gramEnd"/>
      <w:r w:rsidRPr="00511005">
        <w:rPr>
          <w:rFonts w:ascii="Arial" w:eastAsia="Times New Roman" w:hAnsi="Arial" w:cs="Arial"/>
          <w:szCs w:val="28"/>
          <w:lang w:eastAsia="ru-RU"/>
        </w:rPr>
        <w:t xml:space="preserve"> Крім того, існують побоювання щодо ефективності МКС у розгляді таких справ та потенційних політичних перешкод [10].</w:t>
      </w:r>
    </w:p>
    <w:p w14:paraId="21AAAA6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Визнання екоциду міжнародним злочином має потенціал не лише для притягнення винних до відповідальності, але й для запобігання майбутнім екологічним катастрофам. Як зазначає Верховний комісар ООН з прав людини Фолькер Тюрк, «визнаючи екоцид міжнародним злочином, міжнародне співтовариство також сприятиме реалізації прав людини на доступ до правосуддя та ефективні засоби правового захисту» [11].</w:t>
      </w:r>
    </w:p>
    <w:p w14:paraId="2B58CF5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проблема екоциду набуває критичної актуальності як на національному, так і на міжнародному рівнях. В Україні, зокрема, збройна агресія російської федерації спричинила масштабні екологічні катастрофи, що підкреслює необхідність удосконалення національного законодавства та механізмів притягнення до відповідальності за екоцид. На міжнародній арені відсутність офіційного визнання екоциду як окремого злочину ускладнює притягнення винних до відповідальності. Однак зростаюча підтримка ініціатив щодо включення екоциду до переліку міжнародних злочинів, а також приклади країн, які вже імплементували відповідні норми в національне законодавство, свідчать про поступовий рух у напрямку посилення правового захисту довкілля. Це підкреслює необхідність консолідації зусиль міжнародної спільноти для ефективної боротьби з екоцидом та запобігання майбутнім екологічним катастрофам.</w:t>
      </w:r>
    </w:p>
    <w:p w14:paraId="09174DB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25D36257" w14:textId="477883EF" w:rsidR="00220D3E"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397068FD" w14:textId="77777777" w:rsidR="00220D3E" w:rsidRPr="00511005" w:rsidRDefault="00220D3E" w:rsidP="003F6A5D">
      <w:pPr>
        <w:numPr>
          <w:ilvl w:val="0"/>
          <w:numId w:val="143"/>
        </w:numPr>
        <w:tabs>
          <w:tab w:val="left" w:pos="360"/>
          <w:tab w:val="left" w:pos="709"/>
        </w:tabs>
        <w:spacing w:line="264" w:lineRule="auto"/>
        <w:ind w:left="0" w:firstLine="709"/>
        <w:jc w:val="left"/>
        <w:rPr>
          <w:rFonts w:ascii="Arial" w:eastAsia="Calibri" w:hAnsi="Arial" w:cs="Arial"/>
          <w:szCs w:val="28"/>
        </w:rPr>
      </w:pPr>
      <w:r w:rsidRPr="00511005">
        <w:rPr>
          <w:rFonts w:ascii="Arial" w:eastAsia="Calibri" w:hAnsi="Arial" w:cs="Arial"/>
          <w:szCs w:val="28"/>
        </w:rPr>
        <w:t xml:space="preserve">Кримінальний кодекс </w:t>
      </w:r>
      <w:proofErr w:type="gramStart"/>
      <w:r w:rsidRPr="00511005">
        <w:rPr>
          <w:rFonts w:ascii="Arial" w:eastAsia="Calibri" w:hAnsi="Arial" w:cs="Arial"/>
          <w:szCs w:val="28"/>
        </w:rPr>
        <w:t>України</w:t>
      </w:r>
      <w:r w:rsidRPr="00511005">
        <w:rPr>
          <w:rFonts w:ascii="Arial" w:eastAsia="Calibri" w:hAnsi="Arial" w:cs="Arial"/>
          <w:szCs w:val="28"/>
          <w:lang w:val="en-US"/>
        </w:rPr>
        <w:t> </w:t>
      </w:r>
      <w:r w:rsidRPr="00511005">
        <w:rPr>
          <w:rFonts w:ascii="Arial" w:eastAsia="Calibri" w:hAnsi="Arial" w:cs="Arial"/>
          <w:szCs w:val="28"/>
        </w:rPr>
        <w:t>:</w:t>
      </w:r>
      <w:proofErr w:type="gramEnd"/>
      <w:r w:rsidRPr="00511005">
        <w:rPr>
          <w:rFonts w:ascii="Arial" w:eastAsia="Calibri" w:hAnsi="Arial" w:cs="Arial"/>
          <w:szCs w:val="28"/>
        </w:rPr>
        <w:t xml:space="preserve"> Кодекс України від 05.04.2001 №</w:t>
      </w:r>
      <w:r w:rsidRPr="00511005">
        <w:rPr>
          <w:rFonts w:ascii="Arial" w:eastAsia="Calibri" w:hAnsi="Arial" w:cs="Arial"/>
          <w:szCs w:val="28"/>
          <w:lang w:val="en-US"/>
        </w:rPr>
        <w:t> </w:t>
      </w:r>
      <w:r w:rsidRPr="00511005">
        <w:rPr>
          <w:rFonts w:ascii="Arial" w:eastAsia="Calibri" w:hAnsi="Arial" w:cs="Arial"/>
          <w:szCs w:val="28"/>
        </w:rPr>
        <w:t>2341-</w:t>
      </w:r>
      <w:r w:rsidRPr="00511005">
        <w:rPr>
          <w:rFonts w:ascii="Arial" w:eastAsia="Calibri" w:hAnsi="Arial" w:cs="Arial"/>
          <w:szCs w:val="28"/>
          <w:lang w:val="en-US"/>
        </w:rPr>
        <w:t>III </w:t>
      </w:r>
      <w:r w:rsidRPr="00511005">
        <w:rPr>
          <w:rFonts w:ascii="Arial" w:eastAsia="Calibri" w:hAnsi="Arial" w:cs="Arial"/>
          <w:szCs w:val="28"/>
        </w:rPr>
        <w:t>: станом на 1</w:t>
      </w:r>
      <w:r w:rsidRPr="00511005">
        <w:rPr>
          <w:rFonts w:ascii="Arial" w:eastAsia="Calibri" w:hAnsi="Arial" w:cs="Arial"/>
          <w:szCs w:val="28"/>
          <w:lang w:val="en-US"/>
        </w:rPr>
        <w:t> </w:t>
      </w:r>
      <w:r w:rsidRPr="00511005">
        <w:rPr>
          <w:rFonts w:ascii="Arial" w:eastAsia="Calibri" w:hAnsi="Arial" w:cs="Arial"/>
          <w:szCs w:val="28"/>
        </w:rPr>
        <w:t>лют. 2025</w:t>
      </w:r>
      <w:r w:rsidRPr="00511005">
        <w:rPr>
          <w:rFonts w:ascii="Arial" w:eastAsia="Calibri" w:hAnsi="Arial" w:cs="Arial"/>
          <w:szCs w:val="28"/>
          <w:lang w:val="en-US"/>
        </w:rPr>
        <w:t> </w:t>
      </w:r>
      <w:r w:rsidRPr="00511005">
        <w:rPr>
          <w:rFonts w:ascii="Arial" w:eastAsia="Calibri" w:hAnsi="Arial" w:cs="Arial"/>
          <w:szCs w:val="28"/>
        </w:rPr>
        <w:t xml:space="preserve">р. </w:t>
      </w:r>
      <w:r w:rsidRPr="00511005">
        <w:rPr>
          <w:rFonts w:ascii="Arial" w:eastAsia="Calibri" w:hAnsi="Arial" w:cs="Arial"/>
          <w:szCs w:val="28"/>
          <w:lang w:val="en-US"/>
        </w:rPr>
        <w:t>URL</w:t>
      </w:r>
      <w:r w:rsidRPr="00511005">
        <w:rPr>
          <w:rFonts w:ascii="Arial" w:eastAsia="Calibri" w:hAnsi="Arial" w:cs="Arial"/>
          <w:szCs w:val="28"/>
        </w:rPr>
        <w:t xml:space="preserve">: </w:t>
      </w:r>
      <w:hyperlink r:id="rId591" w:anchor="Text"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zakon</w:t>
        </w:r>
        <w:r w:rsidRPr="00511005">
          <w:rPr>
            <w:rFonts w:ascii="Arial" w:eastAsia="Calibri" w:hAnsi="Arial" w:cs="Arial"/>
            <w:szCs w:val="28"/>
          </w:rPr>
          <w:t>.</w:t>
        </w:r>
        <w:r w:rsidRPr="00511005">
          <w:rPr>
            <w:rFonts w:ascii="Arial" w:eastAsia="Calibri" w:hAnsi="Arial" w:cs="Arial"/>
            <w:szCs w:val="28"/>
            <w:lang w:val="en-US"/>
          </w:rPr>
          <w:t>rada</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laws</w:t>
        </w:r>
        <w:r w:rsidRPr="00511005">
          <w:rPr>
            <w:rFonts w:ascii="Arial" w:eastAsia="Calibri" w:hAnsi="Arial" w:cs="Arial"/>
            <w:szCs w:val="28"/>
          </w:rPr>
          <w:t>/</w:t>
        </w:r>
        <w:r w:rsidRPr="00511005">
          <w:rPr>
            <w:rFonts w:ascii="Arial" w:eastAsia="Calibri" w:hAnsi="Arial" w:cs="Arial"/>
            <w:szCs w:val="28"/>
            <w:lang w:val="en-US"/>
          </w:rPr>
          <w:t>show</w:t>
        </w:r>
        <w:r w:rsidRPr="00511005">
          <w:rPr>
            <w:rFonts w:ascii="Arial" w:eastAsia="Calibri" w:hAnsi="Arial" w:cs="Arial"/>
            <w:szCs w:val="28"/>
          </w:rPr>
          <w:t>/2341-14#</w:t>
        </w:r>
        <w:r w:rsidRPr="00511005">
          <w:rPr>
            <w:rFonts w:ascii="Arial" w:eastAsia="Calibri" w:hAnsi="Arial" w:cs="Arial"/>
            <w:szCs w:val="28"/>
            <w:lang w:val="en-US"/>
          </w:rPr>
          <w:t>Text</w:t>
        </w:r>
      </w:hyperlink>
      <w:r w:rsidRPr="00511005">
        <w:rPr>
          <w:rFonts w:ascii="Arial" w:eastAsia="Calibri" w:hAnsi="Arial" w:cs="Arial"/>
          <w:szCs w:val="28"/>
        </w:rPr>
        <w:t>.</w:t>
      </w:r>
    </w:p>
    <w:p w14:paraId="28789365" w14:textId="77777777" w:rsidR="00220D3E" w:rsidRPr="00511005" w:rsidRDefault="00220D3E" w:rsidP="003F6A5D">
      <w:pPr>
        <w:numPr>
          <w:ilvl w:val="0"/>
          <w:numId w:val="143"/>
        </w:numPr>
        <w:tabs>
          <w:tab w:val="left" w:pos="360"/>
          <w:tab w:val="left" w:pos="709"/>
        </w:tabs>
        <w:spacing w:line="264" w:lineRule="auto"/>
        <w:ind w:left="0" w:firstLine="709"/>
        <w:jc w:val="left"/>
        <w:rPr>
          <w:rFonts w:ascii="Arial" w:eastAsia="Calibri" w:hAnsi="Arial" w:cs="Arial"/>
          <w:szCs w:val="28"/>
          <w:lang w:val="pl-PL"/>
        </w:rPr>
      </w:pPr>
      <w:r w:rsidRPr="00511005">
        <w:rPr>
          <w:rFonts w:ascii="Arial" w:eastAsia="Calibri" w:hAnsi="Arial" w:cs="Arial"/>
          <w:szCs w:val="28"/>
        </w:rPr>
        <w:t xml:space="preserve">Римський статут міжнародного кримінального </w:t>
      </w:r>
      <w:proofErr w:type="gramStart"/>
      <w:r w:rsidRPr="00511005">
        <w:rPr>
          <w:rFonts w:ascii="Arial" w:eastAsia="Calibri" w:hAnsi="Arial" w:cs="Arial"/>
          <w:szCs w:val="28"/>
        </w:rPr>
        <w:t>суду</w:t>
      </w:r>
      <w:r w:rsidRPr="00511005">
        <w:rPr>
          <w:rFonts w:ascii="Arial" w:eastAsia="Calibri" w:hAnsi="Arial" w:cs="Arial"/>
          <w:szCs w:val="28"/>
          <w:lang w:val="en-US"/>
        </w:rPr>
        <w:t> </w:t>
      </w:r>
      <w:r w:rsidRPr="00511005">
        <w:rPr>
          <w:rFonts w:ascii="Arial" w:eastAsia="Calibri" w:hAnsi="Arial" w:cs="Arial"/>
          <w:szCs w:val="28"/>
        </w:rPr>
        <w:t>:</w:t>
      </w:r>
      <w:proofErr w:type="gramEnd"/>
      <w:r w:rsidRPr="00511005">
        <w:rPr>
          <w:rFonts w:ascii="Arial" w:eastAsia="Calibri" w:hAnsi="Arial" w:cs="Arial"/>
          <w:szCs w:val="28"/>
        </w:rPr>
        <w:t xml:space="preserve"> Статут Міжнар. судів від 17.07.1998</w:t>
      </w:r>
      <w:r w:rsidRPr="00511005">
        <w:rPr>
          <w:rFonts w:ascii="Arial" w:eastAsia="Calibri" w:hAnsi="Arial" w:cs="Arial"/>
          <w:szCs w:val="28"/>
          <w:lang w:val="en-US"/>
        </w:rPr>
        <w:t> </w:t>
      </w:r>
      <w:r w:rsidRPr="00511005">
        <w:rPr>
          <w:rFonts w:ascii="Arial" w:eastAsia="Calibri" w:hAnsi="Arial" w:cs="Arial"/>
          <w:szCs w:val="28"/>
        </w:rPr>
        <w:t>: станом на 21</w:t>
      </w:r>
      <w:r w:rsidRPr="00511005">
        <w:rPr>
          <w:rFonts w:ascii="Arial" w:eastAsia="Calibri" w:hAnsi="Arial" w:cs="Arial"/>
          <w:szCs w:val="28"/>
          <w:lang w:val="en-US"/>
        </w:rPr>
        <w:t> </w:t>
      </w:r>
      <w:r w:rsidRPr="00511005">
        <w:rPr>
          <w:rFonts w:ascii="Arial" w:eastAsia="Calibri" w:hAnsi="Arial" w:cs="Arial"/>
          <w:szCs w:val="28"/>
        </w:rPr>
        <w:t xml:space="preserve">серп. </w:t>
      </w:r>
      <w:r w:rsidRPr="00511005">
        <w:rPr>
          <w:rFonts w:ascii="Arial" w:eastAsia="Calibri" w:hAnsi="Arial" w:cs="Arial"/>
          <w:szCs w:val="28"/>
          <w:lang w:val="pl-PL"/>
        </w:rPr>
        <w:t>2024 </w:t>
      </w:r>
      <w:r w:rsidRPr="00511005">
        <w:rPr>
          <w:rFonts w:ascii="Arial" w:eastAsia="Calibri" w:hAnsi="Arial" w:cs="Arial"/>
          <w:szCs w:val="28"/>
          <w:lang w:val="en-US"/>
        </w:rPr>
        <w:t>р</w:t>
      </w:r>
      <w:r w:rsidRPr="00511005">
        <w:rPr>
          <w:rFonts w:ascii="Arial" w:eastAsia="Calibri" w:hAnsi="Arial" w:cs="Arial"/>
          <w:szCs w:val="28"/>
          <w:lang w:val="pl-PL"/>
        </w:rPr>
        <w:t xml:space="preserve">. URL: </w:t>
      </w:r>
      <w:hyperlink r:id="rId592" w:anchor="Text" w:history="1">
        <w:r w:rsidRPr="00511005">
          <w:rPr>
            <w:rFonts w:ascii="Arial" w:eastAsia="Calibri" w:hAnsi="Arial" w:cs="Arial"/>
            <w:szCs w:val="28"/>
            <w:lang w:val="pl-PL"/>
          </w:rPr>
          <w:t>https://zakon.rada.gov.ua/laws/show/995_588#Text</w:t>
        </w:r>
      </w:hyperlink>
      <w:r w:rsidRPr="00511005">
        <w:rPr>
          <w:rFonts w:ascii="Arial" w:eastAsia="Calibri" w:hAnsi="Arial" w:cs="Arial"/>
          <w:szCs w:val="28"/>
          <w:lang w:val="pl-PL"/>
        </w:rPr>
        <w:t>.</w:t>
      </w:r>
    </w:p>
    <w:p w14:paraId="34BB493B" w14:textId="77777777" w:rsidR="00220D3E" w:rsidRPr="00511005" w:rsidRDefault="00220D3E" w:rsidP="003F6A5D">
      <w:pPr>
        <w:numPr>
          <w:ilvl w:val="0"/>
          <w:numId w:val="143"/>
        </w:numPr>
        <w:tabs>
          <w:tab w:val="left" w:pos="360"/>
          <w:tab w:val="left" w:pos="709"/>
        </w:tabs>
        <w:spacing w:line="264" w:lineRule="auto"/>
        <w:ind w:left="0" w:firstLine="709"/>
        <w:jc w:val="left"/>
        <w:rPr>
          <w:rFonts w:ascii="Arial" w:eastAsia="Calibri" w:hAnsi="Arial" w:cs="Arial"/>
          <w:szCs w:val="28"/>
          <w:lang w:val="pl-PL"/>
        </w:rPr>
      </w:pPr>
      <w:r w:rsidRPr="00511005">
        <w:rPr>
          <w:rFonts w:ascii="Arial" w:eastAsia="Calibri" w:hAnsi="Arial" w:cs="Arial"/>
          <w:szCs w:val="28"/>
        </w:rPr>
        <w:t>Вереша</w:t>
      </w:r>
      <w:r w:rsidRPr="00511005">
        <w:rPr>
          <w:rFonts w:ascii="Arial" w:eastAsia="Calibri" w:hAnsi="Arial" w:cs="Arial"/>
          <w:szCs w:val="28"/>
          <w:lang w:val="en-US"/>
        </w:rPr>
        <w:t> </w:t>
      </w:r>
      <w:r w:rsidRPr="00511005">
        <w:rPr>
          <w:rFonts w:ascii="Arial" w:eastAsia="Calibri" w:hAnsi="Arial" w:cs="Arial"/>
          <w:szCs w:val="28"/>
        </w:rPr>
        <w:t>Р., Кучинська</w:t>
      </w:r>
      <w:r w:rsidRPr="00511005">
        <w:rPr>
          <w:rFonts w:ascii="Arial" w:eastAsia="Calibri" w:hAnsi="Arial" w:cs="Arial"/>
          <w:szCs w:val="28"/>
          <w:lang w:val="en-US"/>
        </w:rPr>
        <w:t> </w:t>
      </w:r>
      <w:r w:rsidRPr="00511005">
        <w:rPr>
          <w:rFonts w:ascii="Arial" w:eastAsia="Calibri" w:hAnsi="Arial" w:cs="Arial"/>
          <w:szCs w:val="28"/>
        </w:rPr>
        <w:t>О., Ковтун</w:t>
      </w:r>
      <w:r w:rsidRPr="00511005">
        <w:rPr>
          <w:rFonts w:ascii="Arial" w:eastAsia="Calibri" w:hAnsi="Arial" w:cs="Arial"/>
          <w:szCs w:val="28"/>
          <w:lang w:val="en-US"/>
        </w:rPr>
        <w:t> </w:t>
      </w:r>
      <w:r w:rsidRPr="00511005">
        <w:rPr>
          <w:rFonts w:ascii="Arial" w:eastAsia="Calibri" w:hAnsi="Arial" w:cs="Arial"/>
          <w:szCs w:val="28"/>
        </w:rPr>
        <w:t xml:space="preserve">О. Екоцид у національному та міжнародному кримінальному праві: сучасні виклики та перспективи нормативно-правового регулювання. </w:t>
      </w:r>
      <w:r w:rsidRPr="00511005">
        <w:rPr>
          <w:rFonts w:ascii="Arial" w:eastAsia="Calibri" w:hAnsi="Arial" w:cs="Arial"/>
          <w:i/>
          <w:szCs w:val="28"/>
        </w:rPr>
        <w:t>Науковий вісник ужгородського національного університету</w:t>
      </w:r>
      <w:r w:rsidRPr="00511005">
        <w:rPr>
          <w:rFonts w:ascii="Arial" w:eastAsia="Calibri" w:hAnsi="Arial" w:cs="Arial"/>
          <w:szCs w:val="28"/>
        </w:rPr>
        <w:t xml:space="preserve">. </w:t>
      </w:r>
      <w:r w:rsidRPr="00511005">
        <w:rPr>
          <w:rFonts w:ascii="Arial" w:eastAsia="Calibri" w:hAnsi="Arial" w:cs="Arial"/>
          <w:szCs w:val="28"/>
          <w:lang w:val="pl-PL"/>
        </w:rPr>
        <w:t xml:space="preserve">2023. </w:t>
      </w:r>
      <w:r w:rsidRPr="00511005">
        <w:rPr>
          <w:rFonts w:ascii="Arial" w:eastAsia="Calibri" w:hAnsi="Arial" w:cs="Arial"/>
          <w:szCs w:val="28"/>
          <w:lang w:val="en-US"/>
        </w:rPr>
        <w:t>С</w:t>
      </w:r>
      <w:r w:rsidRPr="00511005">
        <w:rPr>
          <w:rFonts w:ascii="Arial" w:eastAsia="Calibri" w:hAnsi="Arial" w:cs="Arial"/>
          <w:szCs w:val="28"/>
          <w:lang w:val="pl-PL"/>
        </w:rPr>
        <w:t xml:space="preserve">. 152–159. URL: </w:t>
      </w:r>
      <w:hyperlink r:id="rId593" w:history="1">
        <w:r w:rsidRPr="00511005">
          <w:rPr>
            <w:rFonts w:ascii="Arial" w:eastAsia="Calibri" w:hAnsi="Arial" w:cs="Arial"/>
            <w:szCs w:val="28"/>
            <w:lang w:val="pl-PL"/>
          </w:rPr>
          <w:t>https://visnyk-juris-uzhnu.com/wp-content/uploads/2023/08/26.pdf</w:t>
        </w:r>
      </w:hyperlink>
      <w:r w:rsidRPr="00511005">
        <w:rPr>
          <w:rFonts w:ascii="Arial" w:eastAsia="Calibri" w:hAnsi="Arial" w:cs="Arial"/>
          <w:szCs w:val="28"/>
          <w:lang w:val="pl-PL"/>
        </w:rPr>
        <w:t>.</w:t>
      </w:r>
    </w:p>
    <w:p w14:paraId="0FF5377A" w14:textId="77777777" w:rsidR="00220D3E" w:rsidRPr="00511005" w:rsidRDefault="00220D3E" w:rsidP="003F6A5D">
      <w:pPr>
        <w:numPr>
          <w:ilvl w:val="0"/>
          <w:numId w:val="143"/>
        </w:numPr>
        <w:tabs>
          <w:tab w:val="left" w:pos="360"/>
          <w:tab w:val="left" w:pos="709"/>
        </w:tabs>
        <w:spacing w:line="264" w:lineRule="auto"/>
        <w:ind w:left="0" w:firstLine="709"/>
        <w:jc w:val="left"/>
        <w:rPr>
          <w:rFonts w:ascii="Arial" w:eastAsia="Calibri" w:hAnsi="Arial" w:cs="Arial"/>
          <w:szCs w:val="28"/>
          <w:lang w:val="pl-PL"/>
        </w:rPr>
      </w:pPr>
      <w:r w:rsidRPr="00511005">
        <w:rPr>
          <w:rFonts w:ascii="Arial" w:eastAsia="Calibri" w:hAnsi="Arial" w:cs="Arial"/>
          <w:szCs w:val="28"/>
          <w:lang w:val="pl-PL"/>
        </w:rPr>
        <w:t xml:space="preserve">Deutsche Welle. «Agent orange»: </w:t>
      </w:r>
      <w:r w:rsidRPr="00511005">
        <w:rPr>
          <w:rFonts w:ascii="Arial" w:eastAsia="Calibri" w:hAnsi="Arial" w:cs="Arial"/>
          <w:szCs w:val="28"/>
          <w:lang w:val="en-US"/>
        </w:rPr>
        <w:t>В</w:t>
      </w:r>
      <w:r w:rsidRPr="00511005">
        <w:rPr>
          <w:rFonts w:ascii="Arial" w:eastAsia="Calibri" w:hAnsi="Arial" w:cs="Arial"/>
          <w:szCs w:val="28"/>
          <w:lang w:val="pl-PL"/>
        </w:rPr>
        <w:t>’</w:t>
      </w:r>
      <w:r w:rsidRPr="00511005">
        <w:rPr>
          <w:rFonts w:ascii="Arial" w:eastAsia="Calibri" w:hAnsi="Arial" w:cs="Arial"/>
          <w:szCs w:val="28"/>
          <w:lang w:val="en-US"/>
        </w:rPr>
        <w:t>єтнам</w:t>
      </w:r>
      <w:r w:rsidRPr="00511005">
        <w:rPr>
          <w:rFonts w:ascii="Arial" w:eastAsia="Calibri" w:hAnsi="Arial" w:cs="Arial"/>
          <w:szCs w:val="28"/>
          <w:lang w:val="pl-PL"/>
        </w:rPr>
        <w:t xml:space="preserve"> </w:t>
      </w:r>
      <w:r w:rsidRPr="00511005">
        <w:rPr>
          <w:rFonts w:ascii="Arial" w:eastAsia="Calibri" w:hAnsi="Arial" w:cs="Arial"/>
          <w:szCs w:val="28"/>
          <w:lang w:val="en-US"/>
        </w:rPr>
        <w:t>і</w:t>
      </w:r>
      <w:r w:rsidRPr="00511005">
        <w:rPr>
          <w:rFonts w:ascii="Arial" w:eastAsia="Calibri" w:hAnsi="Arial" w:cs="Arial"/>
          <w:szCs w:val="28"/>
          <w:lang w:val="pl-PL"/>
        </w:rPr>
        <w:t xml:space="preserve"> </w:t>
      </w:r>
      <w:r w:rsidRPr="00511005">
        <w:rPr>
          <w:rFonts w:ascii="Arial" w:eastAsia="Calibri" w:hAnsi="Arial" w:cs="Arial"/>
          <w:szCs w:val="28"/>
          <w:lang w:val="en-US"/>
        </w:rPr>
        <w:t>США</w:t>
      </w:r>
      <w:r w:rsidRPr="00511005">
        <w:rPr>
          <w:rFonts w:ascii="Arial" w:eastAsia="Calibri" w:hAnsi="Arial" w:cs="Arial"/>
          <w:szCs w:val="28"/>
          <w:lang w:val="pl-PL"/>
        </w:rPr>
        <w:t xml:space="preserve"> </w:t>
      </w:r>
      <w:r w:rsidRPr="00511005">
        <w:rPr>
          <w:rFonts w:ascii="Arial" w:eastAsia="Calibri" w:hAnsi="Arial" w:cs="Arial"/>
          <w:szCs w:val="28"/>
          <w:lang w:val="en-US"/>
        </w:rPr>
        <w:t>ліквідують</w:t>
      </w:r>
      <w:r w:rsidRPr="00511005">
        <w:rPr>
          <w:rFonts w:ascii="Arial" w:eastAsia="Calibri" w:hAnsi="Arial" w:cs="Arial"/>
          <w:szCs w:val="28"/>
          <w:lang w:val="pl-PL"/>
        </w:rPr>
        <w:t xml:space="preserve"> </w:t>
      </w:r>
      <w:r w:rsidRPr="00511005">
        <w:rPr>
          <w:rFonts w:ascii="Arial" w:eastAsia="Calibri" w:hAnsi="Arial" w:cs="Arial"/>
          <w:szCs w:val="28"/>
          <w:lang w:val="en-US"/>
        </w:rPr>
        <w:t>наслідки</w:t>
      </w:r>
      <w:r w:rsidRPr="00511005">
        <w:rPr>
          <w:rFonts w:ascii="Arial" w:eastAsia="Calibri" w:hAnsi="Arial" w:cs="Arial"/>
          <w:szCs w:val="28"/>
          <w:lang w:val="pl-PL"/>
        </w:rPr>
        <w:t xml:space="preserve"> </w:t>
      </w:r>
      <w:r w:rsidRPr="00511005">
        <w:rPr>
          <w:rFonts w:ascii="Arial" w:eastAsia="Calibri" w:hAnsi="Arial" w:cs="Arial"/>
          <w:szCs w:val="28"/>
          <w:lang w:val="en-US"/>
        </w:rPr>
        <w:t>війни</w:t>
      </w:r>
      <w:r w:rsidRPr="00511005">
        <w:rPr>
          <w:rFonts w:ascii="Arial" w:eastAsia="Calibri" w:hAnsi="Arial" w:cs="Arial"/>
          <w:szCs w:val="28"/>
          <w:lang w:val="pl-PL"/>
        </w:rPr>
        <w:t xml:space="preserve"> </w:t>
      </w:r>
      <w:r w:rsidRPr="00511005">
        <w:rPr>
          <w:rFonts w:ascii="Arial" w:eastAsia="Calibri" w:hAnsi="Arial" w:cs="Arial"/>
          <w:szCs w:val="28"/>
          <w:lang w:val="en-US"/>
        </w:rPr>
        <w:t>для</w:t>
      </w:r>
      <w:r w:rsidRPr="00511005">
        <w:rPr>
          <w:rFonts w:ascii="Arial" w:eastAsia="Calibri" w:hAnsi="Arial" w:cs="Arial"/>
          <w:szCs w:val="28"/>
          <w:lang w:val="pl-PL"/>
        </w:rPr>
        <w:t xml:space="preserve"> </w:t>
      </w:r>
      <w:r w:rsidRPr="00511005">
        <w:rPr>
          <w:rFonts w:ascii="Arial" w:eastAsia="Calibri" w:hAnsi="Arial" w:cs="Arial"/>
          <w:szCs w:val="28"/>
          <w:lang w:val="en-US"/>
        </w:rPr>
        <w:t>екології</w:t>
      </w:r>
      <w:r w:rsidRPr="00511005">
        <w:rPr>
          <w:rFonts w:ascii="Arial" w:eastAsia="Calibri" w:hAnsi="Arial" w:cs="Arial"/>
          <w:szCs w:val="28"/>
          <w:lang w:val="pl-PL"/>
        </w:rPr>
        <w:t xml:space="preserve">. </w:t>
      </w:r>
      <w:r w:rsidRPr="00511005">
        <w:rPr>
          <w:rFonts w:ascii="Arial" w:eastAsia="Calibri" w:hAnsi="Arial" w:cs="Arial"/>
          <w:i/>
          <w:szCs w:val="28"/>
          <w:lang w:val="pl-PL"/>
        </w:rPr>
        <w:t>dw.com</w:t>
      </w:r>
      <w:r w:rsidRPr="00511005">
        <w:rPr>
          <w:rFonts w:ascii="Arial" w:eastAsia="Calibri" w:hAnsi="Arial" w:cs="Arial"/>
          <w:szCs w:val="28"/>
          <w:lang w:val="pl-PL"/>
        </w:rPr>
        <w:t xml:space="preserve">. URL: </w:t>
      </w:r>
      <w:hyperlink r:id="rId594" w:history="1">
        <w:r w:rsidRPr="00511005">
          <w:rPr>
            <w:rFonts w:ascii="Arial" w:eastAsia="Calibri" w:hAnsi="Arial" w:cs="Arial"/>
            <w:szCs w:val="28"/>
            <w:lang w:val="pl-PL"/>
          </w:rPr>
          <w:t>https://www.dw.com/uk/agent-orange-</w:t>
        </w:r>
        <w:r w:rsidRPr="00511005">
          <w:rPr>
            <w:rFonts w:ascii="Arial" w:eastAsia="Calibri" w:hAnsi="Arial" w:cs="Arial"/>
            <w:szCs w:val="28"/>
            <w:lang w:val="en-US"/>
          </w:rPr>
          <w:t>вєтнам</w:t>
        </w:r>
        <w:r w:rsidRPr="00511005">
          <w:rPr>
            <w:rFonts w:ascii="Arial" w:eastAsia="Calibri" w:hAnsi="Arial" w:cs="Arial"/>
            <w:szCs w:val="28"/>
            <w:lang w:val="pl-PL"/>
          </w:rPr>
          <w:t>-</w:t>
        </w:r>
        <w:r w:rsidRPr="00511005">
          <w:rPr>
            <w:rFonts w:ascii="Arial" w:eastAsia="Calibri" w:hAnsi="Arial" w:cs="Arial"/>
            <w:szCs w:val="28"/>
            <w:lang w:val="en-US"/>
          </w:rPr>
          <w:t>і</w:t>
        </w:r>
        <w:r w:rsidRPr="00511005">
          <w:rPr>
            <w:rFonts w:ascii="Arial" w:eastAsia="Calibri" w:hAnsi="Arial" w:cs="Arial"/>
            <w:szCs w:val="28"/>
            <w:lang w:val="pl-PL"/>
          </w:rPr>
          <w:t>-</w:t>
        </w:r>
        <w:r w:rsidRPr="00511005">
          <w:rPr>
            <w:rFonts w:ascii="Arial" w:eastAsia="Calibri" w:hAnsi="Arial" w:cs="Arial"/>
            <w:szCs w:val="28"/>
            <w:lang w:val="en-US"/>
          </w:rPr>
          <w:t>сша</w:t>
        </w:r>
        <w:r w:rsidRPr="00511005">
          <w:rPr>
            <w:rFonts w:ascii="Arial" w:eastAsia="Calibri" w:hAnsi="Arial" w:cs="Arial"/>
            <w:szCs w:val="28"/>
            <w:lang w:val="pl-PL"/>
          </w:rPr>
          <w:t>-</w:t>
        </w:r>
        <w:r w:rsidRPr="00511005">
          <w:rPr>
            <w:rFonts w:ascii="Arial" w:eastAsia="Calibri" w:hAnsi="Arial" w:cs="Arial"/>
            <w:szCs w:val="28"/>
            <w:lang w:val="en-US"/>
          </w:rPr>
          <w:t>ліквідують</w:t>
        </w:r>
        <w:r w:rsidRPr="00511005">
          <w:rPr>
            <w:rFonts w:ascii="Arial" w:eastAsia="Calibri" w:hAnsi="Arial" w:cs="Arial"/>
            <w:szCs w:val="28"/>
            <w:lang w:val="pl-PL"/>
          </w:rPr>
          <w:t>-</w:t>
        </w:r>
        <w:r w:rsidRPr="00511005">
          <w:rPr>
            <w:rFonts w:ascii="Arial" w:eastAsia="Calibri" w:hAnsi="Arial" w:cs="Arial"/>
            <w:szCs w:val="28"/>
            <w:lang w:val="en-US"/>
          </w:rPr>
          <w:t>наслідки</w:t>
        </w:r>
        <w:r w:rsidRPr="00511005">
          <w:rPr>
            <w:rFonts w:ascii="Arial" w:eastAsia="Calibri" w:hAnsi="Arial" w:cs="Arial"/>
            <w:szCs w:val="28"/>
            <w:lang w:val="pl-PL"/>
          </w:rPr>
          <w:t>-</w:t>
        </w:r>
        <w:r w:rsidRPr="00511005">
          <w:rPr>
            <w:rFonts w:ascii="Arial" w:eastAsia="Calibri" w:hAnsi="Arial" w:cs="Arial"/>
            <w:szCs w:val="28"/>
            <w:lang w:val="en-US"/>
          </w:rPr>
          <w:t>війни</w:t>
        </w:r>
        <w:r w:rsidRPr="00511005">
          <w:rPr>
            <w:rFonts w:ascii="Arial" w:eastAsia="Calibri" w:hAnsi="Arial" w:cs="Arial"/>
            <w:szCs w:val="28"/>
            <w:lang w:val="pl-PL"/>
          </w:rPr>
          <w:t>-</w:t>
        </w:r>
        <w:r w:rsidRPr="00511005">
          <w:rPr>
            <w:rFonts w:ascii="Arial" w:eastAsia="Calibri" w:hAnsi="Arial" w:cs="Arial"/>
            <w:szCs w:val="28"/>
            <w:lang w:val="en-US"/>
          </w:rPr>
          <w:t>для</w:t>
        </w:r>
        <w:r w:rsidRPr="00511005">
          <w:rPr>
            <w:rFonts w:ascii="Arial" w:eastAsia="Calibri" w:hAnsi="Arial" w:cs="Arial"/>
            <w:szCs w:val="28"/>
            <w:lang w:val="pl-PL"/>
          </w:rPr>
          <w:t>-</w:t>
        </w:r>
        <w:r w:rsidRPr="00511005">
          <w:rPr>
            <w:rFonts w:ascii="Arial" w:eastAsia="Calibri" w:hAnsi="Arial" w:cs="Arial"/>
            <w:szCs w:val="28"/>
            <w:lang w:val="en-US"/>
          </w:rPr>
          <w:t>екології</w:t>
        </w:r>
        <w:r w:rsidRPr="00511005">
          <w:rPr>
            <w:rFonts w:ascii="Arial" w:eastAsia="Calibri" w:hAnsi="Arial" w:cs="Arial"/>
            <w:szCs w:val="28"/>
            <w:lang w:val="pl-PL"/>
          </w:rPr>
          <w:t>/a-15187940</w:t>
        </w:r>
      </w:hyperlink>
      <w:r w:rsidRPr="00511005">
        <w:rPr>
          <w:rFonts w:ascii="Arial" w:eastAsia="Calibri" w:hAnsi="Arial" w:cs="Arial"/>
          <w:szCs w:val="28"/>
          <w:lang w:val="pl-PL"/>
        </w:rPr>
        <w:t>.</w:t>
      </w:r>
    </w:p>
    <w:p w14:paraId="4D5DEB08" w14:textId="77777777" w:rsidR="00220D3E" w:rsidRPr="00511005" w:rsidRDefault="00220D3E" w:rsidP="003F6A5D">
      <w:pPr>
        <w:numPr>
          <w:ilvl w:val="0"/>
          <w:numId w:val="143"/>
        </w:numPr>
        <w:tabs>
          <w:tab w:val="left" w:pos="360"/>
          <w:tab w:val="left" w:pos="709"/>
        </w:tabs>
        <w:spacing w:line="264" w:lineRule="auto"/>
        <w:ind w:left="0" w:firstLine="709"/>
        <w:jc w:val="left"/>
        <w:rPr>
          <w:rFonts w:ascii="Arial" w:eastAsia="Calibri" w:hAnsi="Arial" w:cs="Arial"/>
          <w:szCs w:val="28"/>
        </w:rPr>
      </w:pPr>
      <w:r w:rsidRPr="00511005">
        <w:rPr>
          <w:rFonts w:ascii="Arial" w:eastAsia="Calibri" w:hAnsi="Arial" w:cs="Arial"/>
          <w:szCs w:val="28"/>
        </w:rPr>
        <w:lastRenderedPageBreak/>
        <w:t xml:space="preserve">Війна та шкода для довкілля: чи можна притягнути росію до відповідальності. </w:t>
      </w:r>
      <w:r w:rsidRPr="00511005">
        <w:rPr>
          <w:rFonts w:ascii="Arial" w:eastAsia="Calibri" w:hAnsi="Arial" w:cs="Arial"/>
          <w:i/>
          <w:szCs w:val="28"/>
        </w:rPr>
        <w:t>Екодія</w:t>
      </w:r>
      <w:r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hyperlink r:id="rId595"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ecoaction</w:t>
        </w:r>
        <w:r w:rsidRPr="00511005">
          <w:rPr>
            <w:rFonts w:ascii="Arial" w:eastAsia="Calibri" w:hAnsi="Arial" w:cs="Arial"/>
            <w:szCs w:val="28"/>
          </w:rPr>
          <w:t>.</w:t>
        </w:r>
        <w:r w:rsidRPr="00511005">
          <w:rPr>
            <w:rFonts w:ascii="Arial" w:eastAsia="Calibri" w:hAnsi="Arial" w:cs="Arial"/>
            <w:szCs w:val="28"/>
            <w:lang w:val="en-US"/>
          </w:rPr>
          <w:t>org</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vijna</w:t>
        </w:r>
        <w:r w:rsidRPr="00511005">
          <w:rPr>
            <w:rFonts w:ascii="Arial" w:eastAsia="Calibri" w:hAnsi="Arial" w:cs="Arial"/>
            <w:szCs w:val="28"/>
          </w:rPr>
          <w:t>-</w:t>
        </w:r>
        <w:r w:rsidRPr="00511005">
          <w:rPr>
            <w:rFonts w:ascii="Arial" w:eastAsia="Calibri" w:hAnsi="Arial" w:cs="Arial"/>
            <w:szCs w:val="28"/>
            <w:lang w:val="en-US"/>
          </w:rPr>
          <w:t>ta</w:t>
        </w:r>
        <w:r w:rsidRPr="00511005">
          <w:rPr>
            <w:rFonts w:ascii="Arial" w:eastAsia="Calibri" w:hAnsi="Arial" w:cs="Arial"/>
            <w:szCs w:val="28"/>
          </w:rPr>
          <w:t>-</w:t>
        </w:r>
        <w:r w:rsidRPr="00511005">
          <w:rPr>
            <w:rFonts w:ascii="Arial" w:eastAsia="Calibri" w:hAnsi="Arial" w:cs="Arial"/>
            <w:szCs w:val="28"/>
            <w:lang w:val="en-US"/>
          </w:rPr>
          <w:t>shkoda</w:t>
        </w:r>
        <w:r w:rsidRPr="00511005">
          <w:rPr>
            <w:rFonts w:ascii="Arial" w:eastAsia="Calibri" w:hAnsi="Arial" w:cs="Arial"/>
            <w:szCs w:val="28"/>
          </w:rPr>
          <w:t>-</w:t>
        </w:r>
        <w:r w:rsidRPr="00511005">
          <w:rPr>
            <w:rFonts w:ascii="Arial" w:eastAsia="Calibri" w:hAnsi="Arial" w:cs="Arial"/>
            <w:szCs w:val="28"/>
            <w:lang w:val="en-US"/>
          </w:rPr>
          <w:t>dlia</w:t>
        </w:r>
        <w:r w:rsidRPr="00511005">
          <w:rPr>
            <w:rFonts w:ascii="Arial" w:eastAsia="Calibri" w:hAnsi="Arial" w:cs="Arial"/>
            <w:szCs w:val="28"/>
          </w:rPr>
          <w:t>-</w:t>
        </w:r>
        <w:r w:rsidRPr="00511005">
          <w:rPr>
            <w:rFonts w:ascii="Arial" w:eastAsia="Calibri" w:hAnsi="Arial" w:cs="Arial"/>
            <w:szCs w:val="28"/>
            <w:lang w:val="en-US"/>
          </w:rPr>
          <w:t>dovkillia</w:t>
        </w:r>
        <w:r w:rsidRPr="00511005">
          <w:rPr>
            <w:rFonts w:ascii="Arial" w:eastAsia="Calibri" w:hAnsi="Arial" w:cs="Arial"/>
            <w:szCs w:val="28"/>
          </w:rPr>
          <w:t>-</w:t>
        </w:r>
        <w:r w:rsidRPr="00511005">
          <w:rPr>
            <w:rFonts w:ascii="Arial" w:eastAsia="Calibri" w:hAnsi="Arial" w:cs="Arial"/>
            <w:szCs w:val="28"/>
            <w:lang w:val="en-US"/>
          </w:rPr>
          <w:t>prytiahnuty</w:t>
        </w:r>
        <w:r w:rsidRPr="00511005">
          <w:rPr>
            <w:rFonts w:ascii="Arial" w:eastAsia="Calibri" w:hAnsi="Arial" w:cs="Arial"/>
            <w:szCs w:val="28"/>
          </w:rPr>
          <w:t>-</w:t>
        </w:r>
        <w:r w:rsidRPr="00511005">
          <w:rPr>
            <w:rFonts w:ascii="Arial" w:eastAsia="Calibri" w:hAnsi="Arial" w:cs="Arial"/>
            <w:szCs w:val="28"/>
            <w:lang w:val="en-US"/>
          </w:rPr>
          <w:t>rosiu</w:t>
        </w:r>
        <w:r w:rsidRPr="00511005">
          <w:rPr>
            <w:rFonts w:ascii="Arial" w:eastAsia="Calibri" w:hAnsi="Arial" w:cs="Arial"/>
            <w:szCs w:val="28"/>
          </w:rPr>
          <w:t>.</w:t>
        </w:r>
        <w:r w:rsidRPr="00511005">
          <w:rPr>
            <w:rFonts w:ascii="Arial" w:eastAsia="Calibri" w:hAnsi="Arial" w:cs="Arial"/>
            <w:szCs w:val="28"/>
            <w:lang w:val="en-US"/>
          </w:rPr>
          <w:t>html</w:t>
        </w:r>
      </w:hyperlink>
      <w:r w:rsidRPr="00511005">
        <w:rPr>
          <w:rFonts w:ascii="Arial" w:eastAsia="Calibri" w:hAnsi="Arial" w:cs="Arial"/>
          <w:szCs w:val="28"/>
        </w:rPr>
        <w:t>.</w:t>
      </w:r>
    </w:p>
    <w:p w14:paraId="270E7616" w14:textId="77777777" w:rsidR="00220D3E" w:rsidRPr="00511005" w:rsidRDefault="00220D3E" w:rsidP="003F6A5D">
      <w:pPr>
        <w:numPr>
          <w:ilvl w:val="0"/>
          <w:numId w:val="143"/>
        </w:numPr>
        <w:tabs>
          <w:tab w:val="left" w:pos="360"/>
          <w:tab w:val="left" w:pos="709"/>
        </w:tabs>
        <w:spacing w:line="264" w:lineRule="auto"/>
        <w:ind w:left="0" w:firstLine="709"/>
        <w:jc w:val="left"/>
        <w:rPr>
          <w:rFonts w:ascii="Arial" w:eastAsia="Calibri" w:hAnsi="Arial" w:cs="Arial"/>
          <w:szCs w:val="28"/>
          <w:lang w:val="pl-PL"/>
        </w:rPr>
      </w:pPr>
      <w:r w:rsidRPr="00511005">
        <w:rPr>
          <w:rFonts w:ascii="Arial" w:eastAsia="Calibri" w:hAnsi="Arial" w:cs="Arial"/>
          <w:szCs w:val="28"/>
        </w:rPr>
        <w:t xml:space="preserve">Навколишнє середовище – тиха жертва війни: як росія вчиняє екологічні злочини - </w:t>
      </w:r>
      <w:r w:rsidRPr="00511005">
        <w:rPr>
          <w:rFonts w:ascii="Arial" w:eastAsia="Calibri" w:hAnsi="Arial" w:cs="Arial"/>
          <w:szCs w:val="28"/>
          <w:lang w:val="en-US"/>
        </w:rPr>
        <w:t>MIC</w:t>
      </w:r>
      <w:r w:rsidRPr="00511005">
        <w:rPr>
          <w:rFonts w:ascii="Arial" w:eastAsia="Calibri" w:hAnsi="Arial" w:cs="Arial"/>
          <w:szCs w:val="28"/>
        </w:rPr>
        <w:t xml:space="preserve">. </w:t>
      </w:r>
      <w:r w:rsidRPr="00511005">
        <w:rPr>
          <w:rFonts w:ascii="Arial" w:eastAsia="Calibri" w:hAnsi="Arial" w:cs="Arial"/>
          <w:i/>
          <w:szCs w:val="28"/>
          <w:lang w:val="en-US"/>
        </w:rPr>
        <w:t>MIC</w:t>
      </w:r>
      <w:r w:rsidRPr="00511005">
        <w:rPr>
          <w:rFonts w:ascii="Arial" w:eastAsia="Calibri" w:hAnsi="Arial" w:cs="Arial"/>
          <w:szCs w:val="28"/>
        </w:rPr>
        <w:t xml:space="preserve">. </w:t>
      </w:r>
      <w:r w:rsidRPr="00511005">
        <w:rPr>
          <w:rFonts w:ascii="Arial" w:eastAsia="Calibri" w:hAnsi="Arial" w:cs="Arial"/>
          <w:szCs w:val="28"/>
          <w:lang w:val="pl-PL"/>
        </w:rPr>
        <w:t xml:space="preserve">URL: </w:t>
      </w:r>
      <w:hyperlink r:id="rId596" w:history="1">
        <w:r w:rsidRPr="00511005">
          <w:rPr>
            <w:rFonts w:ascii="Arial" w:eastAsia="Calibri" w:hAnsi="Arial" w:cs="Arial"/>
            <w:szCs w:val="28"/>
            <w:lang w:val="pl-PL"/>
          </w:rPr>
          <w:t>https://mis.dp.ua/news-ua/navkolyshnye-seredovyshhe-tyha-zhertva-vijny-yak-rosiya-vchynyaye-ekologichni-zlochyny</w:t>
        </w:r>
      </w:hyperlink>
      <w:r w:rsidRPr="00511005">
        <w:rPr>
          <w:rFonts w:ascii="Arial" w:eastAsia="Calibri" w:hAnsi="Arial" w:cs="Arial"/>
          <w:szCs w:val="28"/>
          <w:lang w:val="pl-PL"/>
        </w:rPr>
        <w:t>.</w:t>
      </w:r>
    </w:p>
    <w:p w14:paraId="70D4FE35" w14:textId="77777777" w:rsidR="00220D3E" w:rsidRPr="00511005" w:rsidRDefault="00220D3E" w:rsidP="003F6A5D">
      <w:pPr>
        <w:numPr>
          <w:ilvl w:val="0"/>
          <w:numId w:val="143"/>
        </w:numPr>
        <w:tabs>
          <w:tab w:val="left" w:pos="360"/>
          <w:tab w:val="left" w:pos="709"/>
        </w:tabs>
        <w:spacing w:line="264" w:lineRule="auto"/>
        <w:ind w:left="0" w:firstLine="709"/>
        <w:jc w:val="left"/>
        <w:rPr>
          <w:rFonts w:ascii="Arial" w:eastAsia="Calibri" w:hAnsi="Arial" w:cs="Arial"/>
          <w:szCs w:val="28"/>
        </w:rPr>
      </w:pPr>
      <w:r w:rsidRPr="00511005">
        <w:rPr>
          <w:rFonts w:ascii="Arial" w:eastAsia="Calibri" w:hAnsi="Arial" w:cs="Arial"/>
          <w:szCs w:val="28"/>
          <w:lang w:val="en-US"/>
        </w:rPr>
        <w:t>Екологічні</w:t>
      </w:r>
      <w:r w:rsidRPr="00511005">
        <w:rPr>
          <w:rFonts w:ascii="Arial" w:eastAsia="Calibri" w:hAnsi="Arial" w:cs="Arial"/>
          <w:szCs w:val="28"/>
          <w:lang w:val="pl-PL"/>
        </w:rPr>
        <w:t xml:space="preserve"> </w:t>
      </w:r>
      <w:r w:rsidRPr="00511005">
        <w:rPr>
          <w:rFonts w:ascii="Arial" w:eastAsia="Calibri" w:hAnsi="Arial" w:cs="Arial"/>
          <w:szCs w:val="28"/>
          <w:lang w:val="en-US"/>
        </w:rPr>
        <w:t>наслідки</w:t>
      </w:r>
      <w:r w:rsidRPr="00511005">
        <w:rPr>
          <w:rFonts w:ascii="Arial" w:eastAsia="Calibri" w:hAnsi="Arial" w:cs="Arial"/>
          <w:szCs w:val="28"/>
          <w:lang w:val="pl-PL"/>
        </w:rPr>
        <w:t xml:space="preserve"> </w:t>
      </w:r>
      <w:r w:rsidRPr="00511005">
        <w:rPr>
          <w:rFonts w:ascii="Arial" w:eastAsia="Calibri" w:hAnsi="Arial" w:cs="Arial"/>
          <w:szCs w:val="28"/>
          <w:lang w:val="en-US"/>
        </w:rPr>
        <w:t>війни</w:t>
      </w:r>
      <w:r w:rsidRPr="00511005">
        <w:rPr>
          <w:rFonts w:ascii="Arial" w:eastAsia="Calibri" w:hAnsi="Arial" w:cs="Arial"/>
          <w:szCs w:val="28"/>
          <w:lang w:val="pl-PL"/>
        </w:rPr>
        <w:t xml:space="preserve"> </w:t>
      </w:r>
      <w:r w:rsidRPr="00511005">
        <w:rPr>
          <w:rFonts w:ascii="Arial" w:eastAsia="Calibri" w:hAnsi="Arial" w:cs="Arial"/>
          <w:szCs w:val="28"/>
          <w:lang w:val="en-US"/>
        </w:rPr>
        <w:t>Росії</w:t>
      </w:r>
      <w:r w:rsidRPr="00511005">
        <w:rPr>
          <w:rFonts w:ascii="Arial" w:eastAsia="Calibri" w:hAnsi="Arial" w:cs="Arial"/>
          <w:szCs w:val="28"/>
          <w:lang w:val="pl-PL"/>
        </w:rPr>
        <w:t xml:space="preserve"> </w:t>
      </w:r>
      <w:r w:rsidRPr="00511005">
        <w:rPr>
          <w:rFonts w:ascii="Arial" w:eastAsia="Calibri" w:hAnsi="Arial" w:cs="Arial"/>
          <w:szCs w:val="28"/>
          <w:lang w:val="en-US"/>
        </w:rPr>
        <w:t>проти</w:t>
      </w:r>
      <w:r w:rsidRPr="00511005">
        <w:rPr>
          <w:rFonts w:ascii="Arial" w:eastAsia="Calibri" w:hAnsi="Arial" w:cs="Arial"/>
          <w:szCs w:val="28"/>
          <w:lang w:val="pl-PL"/>
        </w:rPr>
        <w:t xml:space="preserve"> </w:t>
      </w:r>
      <w:r w:rsidRPr="00511005">
        <w:rPr>
          <w:rFonts w:ascii="Arial" w:eastAsia="Calibri" w:hAnsi="Arial" w:cs="Arial"/>
          <w:szCs w:val="28"/>
          <w:lang w:val="en-US"/>
        </w:rPr>
        <w:t>України</w:t>
      </w:r>
      <w:r w:rsidRPr="00511005">
        <w:rPr>
          <w:rFonts w:ascii="Arial" w:eastAsia="Calibri" w:hAnsi="Arial" w:cs="Arial"/>
          <w:szCs w:val="28"/>
          <w:lang w:val="pl-PL"/>
        </w:rPr>
        <w:t xml:space="preserve"> – </w:t>
      </w:r>
      <w:r w:rsidRPr="00511005">
        <w:rPr>
          <w:rFonts w:ascii="Arial" w:eastAsia="Calibri" w:hAnsi="Arial" w:cs="Arial"/>
          <w:szCs w:val="28"/>
          <w:lang w:val="en-US"/>
        </w:rPr>
        <w:t>Державна</w:t>
      </w:r>
      <w:r w:rsidRPr="00511005">
        <w:rPr>
          <w:rFonts w:ascii="Arial" w:eastAsia="Calibri" w:hAnsi="Arial" w:cs="Arial"/>
          <w:szCs w:val="28"/>
          <w:lang w:val="pl-PL"/>
        </w:rPr>
        <w:t xml:space="preserve"> </w:t>
      </w:r>
      <w:r w:rsidRPr="00511005">
        <w:rPr>
          <w:rFonts w:ascii="Arial" w:eastAsia="Calibri" w:hAnsi="Arial" w:cs="Arial"/>
          <w:szCs w:val="28"/>
          <w:lang w:val="en-US"/>
        </w:rPr>
        <w:t>установа</w:t>
      </w:r>
      <w:r w:rsidRPr="00511005">
        <w:rPr>
          <w:rFonts w:ascii="Arial" w:eastAsia="Calibri" w:hAnsi="Arial" w:cs="Arial"/>
          <w:szCs w:val="28"/>
          <w:lang w:val="pl-PL"/>
        </w:rPr>
        <w:t xml:space="preserve"> «</w:t>
      </w:r>
      <w:r w:rsidRPr="00511005">
        <w:rPr>
          <w:rFonts w:ascii="Arial" w:eastAsia="Calibri" w:hAnsi="Arial" w:cs="Arial"/>
          <w:szCs w:val="28"/>
          <w:lang w:val="en-US"/>
        </w:rPr>
        <w:t>Інститут</w:t>
      </w:r>
      <w:r w:rsidRPr="00511005">
        <w:rPr>
          <w:rFonts w:ascii="Arial" w:eastAsia="Calibri" w:hAnsi="Arial" w:cs="Arial"/>
          <w:szCs w:val="28"/>
          <w:lang w:val="pl-PL"/>
        </w:rPr>
        <w:t xml:space="preserve"> </w:t>
      </w:r>
      <w:r w:rsidRPr="00511005">
        <w:rPr>
          <w:rFonts w:ascii="Arial" w:eastAsia="Calibri" w:hAnsi="Arial" w:cs="Arial"/>
          <w:szCs w:val="28"/>
          <w:lang w:val="en-US"/>
        </w:rPr>
        <w:t>всесвітньої</w:t>
      </w:r>
      <w:r w:rsidRPr="00511005">
        <w:rPr>
          <w:rFonts w:ascii="Arial" w:eastAsia="Calibri" w:hAnsi="Arial" w:cs="Arial"/>
          <w:szCs w:val="28"/>
          <w:lang w:val="pl-PL"/>
        </w:rPr>
        <w:t xml:space="preserve"> </w:t>
      </w:r>
      <w:r w:rsidRPr="00511005">
        <w:rPr>
          <w:rFonts w:ascii="Arial" w:eastAsia="Calibri" w:hAnsi="Arial" w:cs="Arial"/>
          <w:szCs w:val="28"/>
          <w:lang w:val="en-US"/>
        </w:rPr>
        <w:t>історії</w:t>
      </w:r>
      <w:r w:rsidRPr="00511005">
        <w:rPr>
          <w:rFonts w:ascii="Arial" w:eastAsia="Calibri" w:hAnsi="Arial" w:cs="Arial"/>
          <w:szCs w:val="28"/>
          <w:lang w:val="pl-PL"/>
        </w:rPr>
        <w:t xml:space="preserve"> </w:t>
      </w:r>
      <w:r w:rsidRPr="00511005">
        <w:rPr>
          <w:rFonts w:ascii="Arial" w:eastAsia="Calibri" w:hAnsi="Arial" w:cs="Arial"/>
          <w:szCs w:val="28"/>
          <w:lang w:val="en-US"/>
        </w:rPr>
        <w:t>НАН</w:t>
      </w:r>
      <w:r w:rsidRPr="00511005">
        <w:rPr>
          <w:rFonts w:ascii="Arial" w:eastAsia="Calibri" w:hAnsi="Arial" w:cs="Arial"/>
          <w:szCs w:val="28"/>
          <w:lang w:val="pl-PL"/>
        </w:rPr>
        <w:t xml:space="preserve"> </w:t>
      </w:r>
      <w:r w:rsidRPr="00511005">
        <w:rPr>
          <w:rFonts w:ascii="Arial" w:eastAsia="Calibri" w:hAnsi="Arial" w:cs="Arial"/>
          <w:szCs w:val="28"/>
          <w:lang w:val="en-US"/>
        </w:rPr>
        <w:t>України</w:t>
      </w:r>
      <w:r w:rsidRPr="00511005">
        <w:rPr>
          <w:rFonts w:ascii="Arial" w:eastAsia="Calibri" w:hAnsi="Arial" w:cs="Arial"/>
          <w:szCs w:val="28"/>
          <w:lang w:val="pl-PL"/>
        </w:rPr>
        <w:t xml:space="preserve">». </w:t>
      </w:r>
      <w:r w:rsidRPr="00511005">
        <w:rPr>
          <w:rFonts w:ascii="Arial" w:eastAsia="Calibri" w:hAnsi="Arial" w:cs="Arial"/>
          <w:i/>
          <w:szCs w:val="28"/>
        </w:rPr>
        <w:t>Головна – Державна установа «Інститут всесвітньої історії НАН України»</w:t>
      </w:r>
      <w:r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hyperlink r:id="rId597"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ivinas</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viina</w:t>
        </w:r>
        <w:r w:rsidRPr="00511005">
          <w:rPr>
            <w:rFonts w:ascii="Arial" w:eastAsia="Calibri" w:hAnsi="Arial" w:cs="Arial"/>
            <w:szCs w:val="28"/>
          </w:rPr>
          <w:t>-</w:t>
        </w:r>
        <w:r w:rsidRPr="00511005">
          <w:rPr>
            <w:rFonts w:ascii="Arial" w:eastAsia="Calibri" w:hAnsi="Arial" w:cs="Arial"/>
            <w:szCs w:val="28"/>
            <w:lang w:val="en-US"/>
          </w:rPr>
          <w:t>rf</w:t>
        </w:r>
        <w:r w:rsidRPr="00511005">
          <w:rPr>
            <w:rFonts w:ascii="Arial" w:eastAsia="Calibri" w:hAnsi="Arial" w:cs="Arial"/>
            <w:szCs w:val="28"/>
          </w:rPr>
          <w:t>-</w:t>
        </w:r>
        <w:r w:rsidRPr="00511005">
          <w:rPr>
            <w:rFonts w:ascii="Arial" w:eastAsia="Calibri" w:hAnsi="Arial" w:cs="Arial"/>
            <w:szCs w:val="28"/>
            <w:lang w:val="en-US"/>
          </w:rPr>
          <w:t>proty</w:t>
        </w:r>
        <w:r w:rsidRPr="00511005">
          <w:rPr>
            <w:rFonts w:ascii="Arial" w:eastAsia="Calibri" w:hAnsi="Arial" w:cs="Arial"/>
            <w:szCs w:val="28"/>
          </w:rPr>
          <w:t>-</w:t>
        </w:r>
        <w:r w:rsidRPr="00511005">
          <w:rPr>
            <w:rFonts w:ascii="Arial" w:eastAsia="Calibri" w:hAnsi="Arial" w:cs="Arial"/>
            <w:szCs w:val="28"/>
            <w:lang w:val="en-US"/>
          </w:rPr>
          <w:t>ukrainy</w:t>
        </w:r>
        <w:r w:rsidRPr="00511005">
          <w:rPr>
            <w:rFonts w:ascii="Arial" w:eastAsia="Calibri" w:hAnsi="Arial" w:cs="Arial"/>
            <w:szCs w:val="28"/>
          </w:rPr>
          <w:t>/</w:t>
        </w:r>
        <w:r w:rsidRPr="00511005">
          <w:rPr>
            <w:rFonts w:ascii="Arial" w:eastAsia="Calibri" w:hAnsi="Arial" w:cs="Arial"/>
            <w:szCs w:val="28"/>
            <w:lang w:val="en-US"/>
          </w:rPr>
          <w:t>ekolohichni</w:t>
        </w:r>
        <w:r w:rsidRPr="00511005">
          <w:rPr>
            <w:rFonts w:ascii="Arial" w:eastAsia="Calibri" w:hAnsi="Arial" w:cs="Arial"/>
            <w:szCs w:val="28"/>
          </w:rPr>
          <w:t>-</w:t>
        </w:r>
        <w:r w:rsidRPr="00511005">
          <w:rPr>
            <w:rFonts w:ascii="Arial" w:eastAsia="Calibri" w:hAnsi="Arial" w:cs="Arial"/>
            <w:szCs w:val="28"/>
            <w:lang w:val="en-US"/>
          </w:rPr>
          <w:t>naslidky</w:t>
        </w:r>
        <w:r w:rsidRPr="00511005">
          <w:rPr>
            <w:rFonts w:ascii="Arial" w:eastAsia="Calibri" w:hAnsi="Arial" w:cs="Arial"/>
            <w:szCs w:val="28"/>
          </w:rPr>
          <w:t>-</w:t>
        </w:r>
        <w:r w:rsidRPr="00511005">
          <w:rPr>
            <w:rFonts w:ascii="Arial" w:eastAsia="Calibri" w:hAnsi="Arial" w:cs="Arial"/>
            <w:szCs w:val="28"/>
            <w:lang w:val="en-US"/>
          </w:rPr>
          <w:t>viiny</w:t>
        </w:r>
        <w:r w:rsidRPr="00511005">
          <w:rPr>
            <w:rFonts w:ascii="Arial" w:eastAsia="Calibri" w:hAnsi="Arial" w:cs="Arial"/>
            <w:szCs w:val="28"/>
          </w:rPr>
          <w:t>-</w:t>
        </w:r>
        <w:r w:rsidRPr="00511005">
          <w:rPr>
            <w:rFonts w:ascii="Arial" w:eastAsia="Calibri" w:hAnsi="Arial" w:cs="Arial"/>
            <w:szCs w:val="28"/>
            <w:lang w:val="en-US"/>
          </w:rPr>
          <w:t>rosii</w:t>
        </w:r>
        <w:r w:rsidRPr="00511005">
          <w:rPr>
            <w:rFonts w:ascii="Arial" w:eastAsia="Calibri" w:hAnsi="Arial" w:cs="Arial"/>
            <w:szCs w:val="28"/>
          </w:rPr>
          <w:t>-</w:t>
        </w:r>
        <w:r w:rsidRPr="00511005">
          <w:rPr>
            <w:rFonts w:ascii="Arial" w:eastAsia="Calibri" w:hAnsi="Arial" w:cs="Arial"/>
            <w:szCs w:val="28"/>
            <w:lang w:val="en-US"/>
          </w:rPr>
          <w:t>proty</w:t>
        </w:r>
        <w:r w:rsidRPr="00511005">
          <w:rPr>
            <w:rFonts w:ascii="Arial" w:eastAsia="Calibri" w:hAnsi="Arial" w:cs="Arial"/>
            <w:szCs w:val="28"/>
          </w:rPr>
          <w:t>-</w:t>
        </w:r>
        <w:r w:rsidRPr="00511005">
          <w:rPr>
            <w:rFonts w:ascii="Arial" w:eastAsia="Calibri" w:hAnsi="Arial" w:cs="Arial"/>
            <w:szCs w:val="28"/>
            <w:lang w:val="en-US"/>
          </w:rPr>
          <w:t>ukrainy</w:t>
        </w:r>
        <w:r w:rsidRPr="00511005">
          <w:rPr>
            <w:rFonts w:ascii="Arial" w:eastAsia="Calibri" w:hAnsi="Arial" w:cs="Arial"/>
            <w:szCs w:val="28"/>
          </w:rPr>
          <w:t>.</w:t>
        </w:r>
        <w:r w:rsidRPr="00511005">
          <w:rPr>
            <w:rFonts w:ascii="Arial" w:eastAsia="Calibri" w:hAnsi="Arial" w:cs="Arial"/>
            <w:szCs w:val="28"/>
            <w:lang w:val="en-US"/>
          </w:rPr>
          <w:t>html</w:t>
        </w:r>
      </w:hyperlink>
      <w:r w:rsidRPr="00511005">
        <w:rPr>
          <w:rFonts w:ascii="Arial" w:eastAsia="Calibri" w:hAnsi="Arial" w:cs="Arial"/>
          <w:szCs w:val="28"/>
        </w:rPr>
        <w:t>.</w:t>
      </w:r>
    </w:p>
    <w:p w14:paraId="36293DC0" w14:textId="77777777" w:rsidR="00220D3E" w:rsidRPr="00511005" w:rsidRDefault="00220D3E" w:rsidP="003F6A5D">
      <w:pPr>
        <w:numPr>
          <w:ilvl w:val="0"/>
          <w:numId w:val="143"/>
        </w:numPr>
        <w:tabs>
          <w:tab w:val="left" w:pos="360"/>
          <w:tab w:val="left" w:pos="709"/>
        </w:tabs>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 xml:space="preserve">Mass destruction of nature reaches international criminal court (ICC) as pacific island states propose recognition of </w:t>
      </w:r>
      <w:r w:rsidRPr="00511005">
        <w:rPr>
          <w:rFonts w:ascii="Arial" w:eastAsia="Calibri" w:hAnsi="Arial" w:cs="Arial"/>
          <w:szCs w:val="28"/>
          <w:lang w:val="uk-UA"/>
        </w:rPr>
        <w:t>«</w:t>
      </w:r>
      <w:r w:rsidRPr="00511005">
        <w:rPr>
          <w:rFonts w:ascii="Arial" w:eastAsia="Calibri" w:hAnsi="Arial" w:cs="Arial"/>
          <w:szCs w:val="28"/>
          <w:lang w:val="en-US"/>
        </w:rPr>
        <w:t>ecocide</w:t>
      </w:r>
      <w:r w:rsidRPr="00511005">
        <w:rPr>
          <w:rFonts w:ascii="Arial" w:eastAsia="Calibri" w:hAnsi="Arial" w:cs="Arial"/>
          <w:szCs w:val="28"/>
          <w:lang w:val="uk-UA"/>
        </w:rPr>
        <w:t xml:space="preserve">» </w:t>
      </w:r>
      <w:r w:rsidRPr="00511005">
        <w:rPr>
          <w:rFonts w:ascii="Arial" w:eastAsia="Calibri" w:hAnsi="Arial" w:cs="Arial"/>
          <w:szCs w:val="28"/>
          <w:lang w:val="en-US"/>
        </w:rPr>
        <w:t xml:space="preserve">as international crime. – stop ecocide international. </w:t>
      </w:r>
      <w:r w:rsidRPr="00511005">
        <w:rPr>
          <w:rFonts w:ascii="Arial" w:eastAsia="Calibri" w:hAnsi="Arial" w:cs="Arial"/>
          <w:i/>
          <w:szCs w:val="28"/>
          <w:lang w:val="en-US"/>
        </w:rPr>
        <w:t>Stop Ecocide International</w:t>
      </w:r>
      <w:r w:rsidRPr="00511005">
        <w:rPr>
          <w:rFonts w:ascii="Arial" w:eastAsia="Calibri" w:hAnsi="Arial" w:cs="Arial"/>
          <w:szCs w:val="28"/>
          <w:lang w:val="en-US"/>
        </w:rPr>
        <w:t xml:space="preserve">. URL: </w:t>
      </w:r>
      <w:hyperlink r:id="rId598" w:history="1">
        <w:r w:rsidRPr="00511005">
          <w:rPr>
            <w:rFonts w:ascii="Arial" w:eastAsia="Calibri" w:hAnsi="Arial" w:cs="Arial"/>
            <w:szCs w:val="28"/>
            <w:lang w:val="en-US"/>
          </w:rPr>
          <w:t>https://www.stopecocide.earth/2024/mass-destruction-of-nature-reaches-international-criminal-court-icc-as-pacific-island-states-propose-recognition-of-ecocide-as-international-crime</w:t>
        </w:r>
      </w:hyperlink>
      <w:r w:rsidRPr="00511005">
        <w:rPr>
          <w:rFonts w:ascii="Arial" w:eastAsia="Calibri" w:hAnsi="Arial" w:cs="Arial"/>
          <w:szCs w:val="28"/>
          <w:lang w:val="en-US"/>
        </w:rPr>
        <w:t>.</w:t>
      </w:r>
    </w:p>
    <w:p w14:paraId="6732CA63" w14:textId="77777777" w:rsidR="00220D3E" w:rsidRPr="00511005" w:rsidRDefault="00220D3E" w:rsidP="003F6A5D">
      <w:pPr>
        <w:numPr>
          <w:ilvl w:val="0"/>
          <w:numId w:val="143"/>
        </w:numPr>
        <w:tabs>
          <w:tab w:val="left" w:pos="360"/>
          <w:tab w:val="left" w:pos="709"/>
        </w:tabs>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 xml:space="preserve">Belgium becomes first European country to recognise ecocide as international level crime – Stop Ecocide International. </w:t>
      </w:r>
      <w:r w:rsidRPr="00511005">
        <w:rPr>
          <w:rFonts w:ascii="Arial" w:eastAsia="Calibri" w:hAnsi="Arial" w:cs="Arial"/>
          <w:i/>
          <w:szCs w:val="28"/>
          <w:lang w:val="en-US"/>
        </w:rPr>
        <w:t>Stop Ecocide International</w:t>
      </w:r>
      <w:r w:rsidRPr="00511005">
        <w:rPr>
          <w:rFonts w:ascii="Arial" w:eastAsia="Calibri" w:hAnsi="Arial" w:cs="Arial"/>
          <w:szCs w:val="28"/>
          <w:lang w:val="en-US"/>
        </w:rPr>
        <w:t xml:space="preserve">. URL: </w:t>
      </w:r>
      <w:hyperlink r:id="rId599" w:history="1">
        <w:r w:rsidRPr="00511005">
          <w:rPr>
            <w:rFonts w:ascii="Arial" w:eastAsia="Calibri" w:hAnsi="Arial" w:cs="Arial"/>
            <w:szCs w:val="28"/>
            <w:lang w:val="en-US"/>
          </w:rPr>
          <w:t>https://www.stopecocide.earth/2024/belgium-becomes-first-european-country-to-recognise-ecocide-as-international-level-crime</w:t>
        </w:r>
      </w:hyperlink>
      <w:r w:rsidRPr="00511005">
        <w:rPr>
          <w:rFonts w:ascii="Arial" w:eastAsia="Calibri" w:hAnsi="Arial" w:cs="Arial"/>
          <w:szCs w:val="28"/>
          <w:lang w:val="en-US"/>
        </w:rPr>
        <w:t>.</w:t>
      </w:r>
    </w:p>
    <w:p w14:paraId="228B176D" w14:textId="77777777" w:rsidR="00220D3E" w:rsidRPr="00511005" w:rsidRDefault="00220D3E" w:rsidP="003F6A5D">
      <w:pPr>
        <w:numPr>
          <w:ilvl w:val="0"/>
          <w:numId w:val="143"/>
        </w:numPr>
        <w:tabs>
          <w:tab w:val="left" w:pos="360"/>
          <w:tab w:val="left" w:pos="709"/>
        </w:tabs>
        <w:spacing w:line="264" w:lineRule="auto"/>
        <w:ind w:left="0" w:firstLine="709"/>
        <w:jc w:val="left"/>
        <w:rPr>
          <w:rFonts w:ascii="Arial" w:eastAsia="Calibri" w:hAnsi="Arial" w:cs="Arial"/>
          <w:szCs w:val="28"/>
          <w:lang w:val="pl-PL"/>
        </w:rPr>
      </w:pPr>
      <w:r w:rsidRPr="00511005">
        <w:rPr>
          <w:rFonts w:ascii="Arial" w:eastAsia="Calibri" w:hAnsi="Arial" w:cs="Arial"/>
          <w:szCs w:val="28"/>
          <w:lang w:val="en-US"/>
        </w:rPr>
        <w:t xml:space="preserve">Cooke B. Efforts to criminalise ecocide gather pace. </w:t>
      </w:r>
      <w:r w:rsidRPr="00511005">
        <w:rPr>
          <w:rFonts w:ascii="Arial" w:eastAsia="Calibri" w:hAnsi="Arial" w:cs="Arial"/>
          <w:i/>
          <w:szCs w:val="28"/>
          <w:lang w:val="en-US"/>
        </w:rPr>
        <w:t>The Times &amp; The Sunday Times</w:t>
      </w:r>
      <w:r w:rsidRPr="00511005">
        <w:rPr>
          <w:rFonts w:ascii="Arial" w:eastAsia="Calibri" w:hAnsi="Arial" w:cs="Arial"/>
          <w:szCs w:val="28"/>
          <w:lang w:val="en-US"/>
        </w:rPr>
        <w:t xml:space="preserve">. </w:t>
      </w:r>
      <w:r w:rsidRPr="00511005">
        <w:rPr>
          <w:rFonts w:ascii="Arial" w:eastAsia="Calibri" w:hAnsi="Arial" w:cs="Arial"/>
          <w:szCs w:val="28"/>
          <w:lang w:val="pl-PL"/>
        </w:rPr>
        <w:t xml:space="preserve">URL: </w:t>
      </w:r>
      <w:hyperlink r:id="rId600" w:history="1">
        <w:r w:rsidRPr="00511005">
          <w:rPr>
            <w:rFonts w:ascii="Arial" w:eastAsia="Calibri" w:hAnsi="Arial" w:cs="Arial"/>
            <w:szCs w:val="28"/>
            <w:lang w:val="pl-PL"/>
          </w:rPr>
          <w:t>https://www.thetimes.com/uk/law/article/efforts-to-criminalise-ecocide-gather-pace-7hsgxv02b</w:t>
        </w:r>
      </w:hyperlink>
      <w:r w:rsidRPr="00511005">
        <w:rPr>
          <w:rFonts w:ascii="Arial" w:eastAsia="Calibri" w:hAnsi="Arial" w:cs="Arial"/>
          <w:szCs w:val="28"/>
          <w:lang w:val="pl-PL"/>
        </w:rPr>
        <w:t>.</w:t>
      </w:r>
    </w:p>
    <w:p w14:paraId="4D0E73CF" w14:textId="77777777" w:rsidR="00220D3E" w:rsidRPr="00511005" w:rsidRDefault="00220D3E" w:rsidP="003F6A5D">
      <w:pPr>
        <w:numPr>
          <w:ilvl w:val="0"/>
          <w:numId w:val="143"/>
        </w:numPr>
        <w:tabs>
          <w:tab w:val="left" w:pos="360"/>
          <w:tab w:val="left" w:pos="709"/>
        </w:tabs>
        <w:spacing w:line="264" w:lineRule="auto"/>
        <w:ind w:left="0" w:firstLine="709"/>
        <w:jc w:val="left"/>
        <w:rPr>
          <w:rFonts w:ascii="Arial" w:eastAsia="Calibri" w:hAnsi="Arial" w:cs="Arial"/>
          <w:szCs w:val="28"/>
          <w:lang w:val="pl-PL"/>
        </w:rPr>
      </w:pPr>
      <w:r w:rsidRPr="00511005">
        <w:rPr>
          <w:rFonts w:ascii="Arial" w:eastAsia="Calibri" w:hAnsi="Arial" w:cs="Arial"/>
          <w:szCs w:val="28"/>
          <w:lang w:val="en-US"/>
        </w:rPr>
        <w:t xml:space="preserve">HC Türk on recognising ecocide as an international crime. </w:t>
      </w:r>
      <w:r w:rsidRPr="00511005">
        <w:rPr>
          <w:rFonts w:ascii="Arial" w:eastAsia="Calibri" w:hAnsi="Arial" w:cs="Arial"/>
          <w:szCs w:val="28"/>
          <w:lang w:val="pl-PL"/>
        </w:rPr>
        <w:t xml:space="preserve">URL: </w:t>
      </w:r>
      <w:hyperlink r:id="rId601" w:history="1">
        <w:r w:rsidRPr="00511005">
          <w:rPr>
            <w:rFonts w:ascii="Arial" w:eastAsia="Calibri" w:hAnsi="Arial" w:cs="Arial"/>
            <w:szCs w:val="28"/>
            <w:lang w:val="pl-PL"/>
          </w:rPr>
          <w:t>https://www.ohchr.org/en/statements-and-speeches/2024/12/hc-turk-recognising-ecocide-international-crime</w:t>
        </w:r>
      </w:hyperlink>
      <w:r w:rsidRPr="00511005">
        <w:rPr>
          <w:rFonts w:ascii="Arial" w:eastAsia="Calibri" w:hAnsi="Arial" w:cs="Arial"/>
          <w:szCs w:val="28"/>
          <w:lang w:val="pl-PL"/>
        </w:rPr>
        <w:t>.</w:t>
      </w:r>
    </w:p>
    <w:p w14:paraId="3E7DA36B" w14:textId="77777777" w:rsidR="00220D3E" w:rsidRPr="00511005" w:rsidRDefault="00220D3E" w:rsidP="003A292D">
      <w:pPr>
        <w:tabs>
          <w:tab w:val="left" w:pos="709"/>
        </w:tabs>
        <w:spacing w:line="264" w:lineRule="auto"/>
        <w:rPr>
          <w:rFonts w:ascii="Arial" w:eastAsia="Times New Roman" w:hAnsi="Arial" w:cs="Arial"/>
          <w:szCs w:val="28"/>
          <w:lang w:val="pl-PL" w:eastAsia="ru-RU"/>
        </w:rPr>
      </w:pPr>
    </w:p>
    <w:p w14:paraId="74F303D4" w14:textId="4037AEDE" w:rsidR="00220D3E" w:rsidRPr="00511005" w:rsidRDefault="007B2628" w:rsidP="003A292D">
      <w:pPr>
        <w:tabs>
          <w:tab w:val="left" w:pos="709"/>
        </w:tabs>
        <w:spacing w:line="264" w:lineRule="auto"/>
        <w:rPr>
          <w:rFonts w:ascii="Arial" w:eastAsia="Times New Roman" w:hAnsi="Arial" w:cs="Arial"/>
          <w:szCs w:val="28"/>
          <w:lang w:val="pl-PL" w:eastAsia="ru-RU"/>
        </w:rPr>
      </w:pPr>
      <w:r w:rsidRPr="00511005">
        <w:rPr>
          <w:rFonts w:ascii="Arial" w:eastAsia="Times New Roman" w:hAnsi="Arial" w:cs="Arial"/>
          <w:b/>
          <w:i/>
          <w:szCs w:val="28"/>
          <w:lang w:eastAsia="ru-RU"/>
        </w:rPr>
        <w:t>Ключові</w:t>
      </w:r>
      <w:r w:rsidRPr="00055389">
        <w:rPr>
          <w:rFonts w:ascii="Arial" w:eastAsia="Times New Roman" w:hAnsi="Arial" w:cs="Arial"/>
          <w:b/>
          <w:i/>
          <w:szCs w:val="28"/>
          <w:lang w:val="pl-PL" w:eastAsia="ru-RU"/>
        </w:rPr>
        <w:t xml:space="preserve"> </w:t>
      </w:r>
      <w:r w:rsidRPr="00511005">
        <w:rPr>
          <w:rFonts w:ascii="Arial" w:eastAsia="Times New Roman" w:hAnsi="Arial" w:cs="Arial"/>
          <w:b/>
          <w:i/>
          <w:szCs w:val="28"/>
          <w:lang w:eastAsia="ru-RU"/>
        </w:rPr>
        <w:t>слова</w:t>
      </w:r>
      <w:r w:rsidRPr="00055389">
        <w:rPr>
          <w:rFonts w:ascii="Arial" w:eastAsia="Times New Roman" w:hAnsi="Arial" w:cs="Arial"/>
          <w:b/>
          <w:i/>
          <w:szCs w:val="28"/>
          <w:lang w:val="pl-PL" w:eastAsia="ru-RU"/>
        </w:rPr>
        <w:t xml:space="preserve">: </w:t>
      </w:r>
      <w:r w:rsidR="00220D3E" w:rsidRPr="00511005">
        <w:rPr>
          <w:rFonts w:ascii="Arial" w:eastAsia="Times New Roman" w:hAnsi="Arial" w:cs="Arial"/>
          <w:szCs w:val="28"/>
          <w:lang w:eastAsia="ru-RU"/>
        </w:rPr>
        <w:t>екоцид</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міжнародне</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кримінальне</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право</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національне</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законодавство</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екологічні</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злочини</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Римський</w:t>
      </w:r>
      <w:r w:rsidR="00220D3E" w:rsidRPr="00511005">
        <w:rPr>
          <w:rFonts w:ascii="Arial" w:eastAsia="Times New Roman" w:hAnsi="Arial" w:cs="Arial"/>
          <w:szCs w:val="28"/>
          <w:lang w:val="pl-PL" w:eastAsia="ru-RU"/>
        </w:rPr>
        <w:t xml:space="preserve"> </w:t>
      </w:r>
      <w:proofErr w:type="gramStart"/>
      <w:r w:rsidR="00220D3E" w:rsidRPr="00511005">
        <w:rPr>
          <w:rFonts w:ascii="Arial" w:eastAsia="Times New Roman" w:hAnsi="Arial" w:cs="Arial"/>
          <w:szCs w:val="28"/>
          <w:lang w:eastAsia="ru-RU"/>
        </w:rPr>
        <w:t>статут</w:t>
      </w:r>
      <w:r w:rsidR="00220D3E" w:rsidRPr="00511005">
        <w:rPr>
          <w:rFonts w:ascii="Arial" w:eastAsia="Times New Roman" w:hAnsi="Arial" w:cs="Arial"/>
          <w:szCs w:val="28"/>
          <w:lang w:val="pl-PL" w:eastAsia="ru-RU"/>
        </w:rPr>
        <w:t>,</w:t>
      </w:r>
      <w:r w:rsidR="00220D3E" w:rsidRPr="00511005">
        <w:rPr>
          <w:rFonts w:ascii="Arial" w:eastAsia="Times New Roman" w:hAnsi="Arial" w:cs="Arial"/>
          <w:szCs w:val="28"/>
          <w:lang w:eastAsia="ru-RU"/>
        </w:rPr>
        <w:t>міжнародний</w:t>
      </w:r>
      <w:proofErr w:type="gramEnd"/>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кримінальний</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суд</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екологічна</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безпека</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відповідальність</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за</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екоцид</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захист</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довкілля</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екологічна</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катастрофа</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воєнні</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злочини</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проти</w:t>
      </w:r>
      <w:r w:rsidR="00220D3E" w:rsidRPr="00511005">
        <w:rPr>
          <w:rFonts w:ascii="Arial" w:eastAsia="Times New Roman" w:hAnsi="Arial" w:cs="Arial"/>
          <w:szCs w:val="28"/>
          <w:lang w:val="pl-PL" w:eastAsia="ru-RU"/>
        </w:rPr>
        <w:t xml:space="preserve"> </w:t>
      </w:r>
      <w:r w:rsidR="00220D3E" w:rsidRPr="00511005">
        <w:rPr>
          <w:rFonts w:ascii="Arial" w:eastAsia="Times New Roman" w:hAnsi="Arial" w:cs="Arial"/>
          <w:szCs w:val="28"/>
          <w:lang w:eastAsia="ru-RU"/>
        </w:rPr>
        <w:t>довкілля</w:t>
      </w:r>
      <w:r w:rsidR="00220D3E" w:rsidRPr="00511005">
        <w:rPr>
          <w:rFonts w:ascii="Arial" w:eastAsia="Times New Roman" w:hAnsi="Arial" w:cs="Arial"/>
          <w:szCs w:val="28"/>
          <w:lang w:val="pl-PL" w:eastAsia="ru-RU"/>
        </w:rPr>
        <w:t>.</w:t>
      </w:r>
    </w:p>
    <w:p w14:paraId="29E6D28E" w14:textId="0E416BC7"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ecocide, international criminal law, national legislation, environmental crimes, Rome Statute, international criminal court, environmental safety, liability for ecocide, environmental protection, environmental disaster, war crimes against the environment.</w:t>
      </w:r>
    </w:p>
    <w:p w14:paraId="172852DA" w14:textId="5280FF40" w:rsidR="00220D3E" w:rsidRPr="00511005" w:rsidRDefault="007B2628" w:rsidP="003A292D">
      <w:pPr>
        <w:keepNext/>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 Грушко М.В.</w:t>
      </w:r>
    </w:p>
    <w:p w14:paraId="00FF30B1" w14:textId="77777777" w:rsidR="00220D3E" w:rsidRPr="00511005" w:rsidRDefault="00220D3E" w:rsidP="003A292D">
      <w:pPr>
        <w:spacing w:line="264" w:lineRule="auto"/>
        <w:ind w:firstLine="0"/>
        <w:jc w:val="center"/>
        <w:rPr>
          <w:rFonts w:ascii="Arial" w:eastAsia="Times New Roman" w:hAnsi="Arial" w:cs="Arial"/>
          <w:b/>
          <w:i/>
          <w:szCs w:val="28"/>
          <w:lang w:val="uk-UA" w:eastAsia="ru-RU"/>
        </w:rPr>
      </w:pPr>
    </w:p>
    <w:p w14:paraId="58FBB251" w14:textId="77777777" w:rsidR="00220D3E" w:rsidRPr="00511005" w:rsidRDefault="00220D3E" w:rsidP="003A292D">
      <w:pPr>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Перерва Єлизавета Владиславівна</w:t>
      </w:r>
    </w:p>
    <w:p w14:paraId="4AF4BA39" w14:textId="15AA7AB0" w:rsidR="00220D3E" w:rsidRPr="00511005" w:rsidRDefault="00536AAB"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2998F81F" w14:textId="6FE7DA7A" w:rsidR="00220D3E"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C7387D0" w14:textId="77777777" w:rsidR="00220D3E" w:rsidRPr="00511005" w:rsidRDefault="00220D3E" w:rsidP="003A292D">
      <w:pPr>
        <w:spacing w:line="264" w:lineRule="auto"/>
        <w:ind w:firstLine="0"/>
        <w:jc w:val="center"/>
        <w:rPr>
          <w:rFonts w:ascii="Arial" w:eastAsia="Times New Roman" w:hAnsi="Arial" w:cs="Arial"/>
          <w:szCs w:val="28"/>
          <w:lang w:eastAsia="ru-RU"/>
        </w:rPr>
      </w:pPr>
    </w:p>
    <w:p w14:paraId="272E2C80" w14:textId="77777777" w:rsidR="00220D3E" w:rsidRPr="00511005" w:rsidRDefault="00220D3E" w:rsidP="003A292D">
      <w:pPr>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lastRenderedPageBreak/>
        <w:t>КОНСУЛЬСЬКІ ЗНОСИНИ ЯК ІНСТРУМЕНТ ЗАХИСТУ ПРАВ ГРОМАДЯН ЗА КОРДОНОМ</w:t>
      </w:r>
    </w:p>
    <w:p w14:paraId="316E00BE" w14:textId="77777777" w:rsidR="00220D3E" w:rsidRPr="00511005" w:rsidRDefault="00220D3E" w:rsidP="000C392A">
      <w:pPr>
        <w:numPr>
          <w:ilvl w:val="0"/>
          <w:numId w:val="64"/>
        </w:numPr>
        <w:spacing w:line="264" w:lineRule="auto"/>
        <w:ind w:left="0" w:firstLine="709"/>
        <w:jc w:val="left"/>
        <w:rPr>
          <w:rFonts w:ascii="Arial" w:eastAsia="Calibri" w:hAnsi="Arial" w:cs="Arial"/>
          <w:iCs/>
          <w:szCs w:val="28"/>
          <w:lang w:val="uk-UA"/>
        </w:rPr>
      </w:pPr>
      <w:r w:rsidRPr="00511005">
        <w:rPr>
          <w:rFonts w:ascii="Arial" w:eastAsia="Calibri" w:hAnsi="Arial" w:cs="Arial"/>
          <w:iCs/>
          <w:szCs w:val="28"/>
          <w:lang w:val="uk-UA"/>
        </w:rPr>
        <w:t>Консульські зносини посідають ключове місце в системі міжнародної правової охорони особи, адже саме через них держава реалізує зобов’язання щодо захисту своїх громадян за кордоном, закріплені ще Віденською конвенцією про консульські зносини 1963 р. Її стаття 36 запровадила індивідуальне право особи на безперешкодний контакт із власним консулом у разі затримання чи іншого обмеження свободи та поклала на державу перебування позитивний обов’язок негайно повідомляти консульську установу про такі ситуації, що стало наріжним каменем подальшої судової практики Міжнародного суду ООН і національних юрисдикцій щодо забезпечення прав людини [1]. Водночас еволюція глобальної мобільності, а також пандемія COVID</w:t>
      </w:r>
      <w:r w:rsidRPr="00511005">
        <w:rPr>
          <w:rFonts w:ascii="Cambria Math" w:eastAsia="MS Mincho" w:hAnsi="Cambria Math" w:cs="Cambria Math"/>
          <w:iCs/>
          <w:szCs w:val="28"/>
          <w:lang w:val="uk-UA"/>
        </w:rPr>
        <w:t>‑</w:t>
      </w:r>
      <w:r w:rsidRPr="00511005">
        <w:rPr>
          <w:rFonts w:ascii="Arial" w:eastAsia="Calibri" w:hAnsi="Arial" w:cs="Arial"/>
          <w:iCs/>
          <w:szCs w:val="28"/>
          <w:lang w:val="uk-UA"/>
        </w:rPr>
        <w:t>19 і війна pосії проти України продемонстрували, що традиційні механізми потребують докорінного оновлення.</w:t>
      </w:r>
    </w:p>
    <w:p w14:paraId="641F557C"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Європейський Союз, визнаючи консульський захист фундаментальним правом громадянського статусу, у 2023 р. підготував ґрунтовний перегляд Директиви 2015/637, аби усунути прогалини координації та гарантувати єдиний мінімум послуг для «нерепрезентованих» громадян на випадок кризових евакуацій, зокрема з Афганістану, Судану або сектору Гази. </w:t>
      </w:r>
      <w:r w:rsidRPr="00511005">
        <w:rPr>
          <w:rFonts w:ascii="Arial" w:eastAsia="Times New Roman" w:hAnsi="Arial" w:cs="Arial"/>
          <w:szCs w:val="28"/>
          <w:lang w:eastAsia="ru-RU"/>
        </w:rPr>
        <w:t>Запропоновано також модернізувати Європейський екстрений проїзний документ, що спростить повернення людей, котрі втратили паспорти під час надзвичайних подій, і підвищить оперативність реагування консульських служб [2].</w:t>
      </w:r>
    </w:p>
    <w:p w14:paraId="211F556F"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Українська дипломатична служба, інтегруючись у цифровий простір, у грудні 2024 р. представила законопроєкт, який переводить більшість нотаріальних та реєстраційних процедур у режим «єдиного вікна» на порталі «Дія», що мінімізує бюрократію та створює передумови для «консульства без черг» [3]. Паралельно МЗС роз’яснило, що тимчасові обмеження на прийняття нових заяв не стосуються екстреної допомоги у разі загрози життю чи здоров’ю, підтвердивши пріоритет права людини над адміністративною доцільністю навіть в умовах воєнного стану. Усе це є продовженням курсу на «цифрову консульську трансформацію», започаткованого методичними рекомендаціями профільних вишів і наукових центрів у 2023</w:t>
      </w:r>
      <w:r w:rsidRPr="00511005">
        <w:rPr>
          <w:rFonts w:ascii="Cambria Math" w:eastAsia="MS Mincho" w:hAnsi="Cambria Math" w:cs="Cambria Math"/>
          <w:szCs w:val="28"/>
          <w:lang w:eastAsia="ru-RU"/>
        </w:rPr>
        <w:t>‑</w:t>
      </w:r>
      <w:r w:rsidRPr="00511005">
        <w:rPr>
          <w:rFonts w:ascii="Arial" w:eastAsia="Times New Roman" w:hAnsi="Arial" w:cs="Arial"/>
          <w:szCs w:val="28"/>
          <w:lang w:eastAsia="ru-RU"/>
        </w:rPr>
        <w:t>2024 рр., які акцентують на необхідності випереджального навчання дипломатів роботі з електронними реєстрами та штучним інтелектом.</w:t>
      </w:r>
    </w:p>
    <w:p w14:paraId="4A1D3F91"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Кризові ситуації доводять ефективність або слабкість національних моделей «duty of care». Звіт Офісу головного інспектора Держдепартаменту США про евакуацію з Судану зафіксував, що лише завдяки попередньо відпрацьованим алгоритмам Smart Traveler Enrollment Program вдалося оперативно локалізувати понад 1000 громадян США і координувати їхнє </w:t>
      </w:r>
      <w:r w:rsidRPr="00511005">
        <w:rPr>
          <w:rFonts w:ascii="Arial" w:eastAsia="Times New Roman" w:hAnsi="Arial" w:cs="Arial"/>
          <w:szCs w:val="28"/>
          <w:lang w:eastAsia="ru-RU"/>
        </w:rPr>
        <w:lastRenderedPageBreak/>
        <w:t>вивезення авіаперевізниками</w:t>
      </w:r>
      <w:r w:rsidRPr="00511005">
        <w:rPr>
          <w:rFonts w:ascii="Cambria Math" w:eastAsia="MS Mincho" w:hAnsi="Cambria Math" w:cs="Cambria Math"/>
          <w:szCs w:val="28"/>
          <w:lang w:eastAsia="ru-RU"/>
        </w:rPr>
        <w:t>‑</w:t>
      </w:r>
      <w:r w:rsidRPr="00511005">
        <w:rPr>
          <w:rFonts w:ascii="Arial" w:eastAsia="Times New Roman" w:hAnsi="Arial" w:cs="Arial"/>
          <w:szCs w:val="28"/>
          <w:lang w:eastAsia="ru-RU"/>
        </w:rPr>
        <w:t>партнерами [4]. Аналогічне дослідження ірландського МЗС показало, що обсяг консульських звернень 2020</w:t>
      </w:r>
      <w:r w:rsidRPr="00511005">
        <w:rPr>
          <w:rFonts w:ascii="Cambria Math" w:eastAsia="MS Mincho" w:hAnsi="Cambria Math" w:cs="Cambria Math"/>
          <w:szCs w:val="28"/>
          <w:lang w:eastAsia="ru-RU"/>
        </w:rPr>
        <w:t>‑</w:t>
      </w:r>
      <w:r w:rsidRPr="00511005">
        <w:rPr>
          <w:rFonts w:ascii="Arial" w:eastAsia="Times New Roman" w:hAnsi="Arial" w:cs="Arial"/>
          <w:szCs w:val="28"/>
          <w:lang w:eastAsia="ru-RU"/>
        </w:rPr>
        <w:t>2023 рр. зріс майже вдвічі, а головними викликами стали психологічна підтримка та комунікація з родинами затриманих [5].</w:t>
      </w:r>
    </w:p>
    <w:p w14:paraId="5F1C7903"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Війна проти України актуалізувала проблему «громадян у заручниках» авторитарних держав. Австралійський сенат у 2024 р. попередив про зростання практики «дипломатії заручників» і запропонував ввести посаду спеціального представника для звільнення незаконно утримуваних осіб – крок, що демонструє, як консульський захист перетворюється на елемент безпекової політики [6]. Схожі ініціативи обговорюються і в Конгресі США, де законопроєкт Cardin Act прямо пов’язує підтримку правозахисників за кордоном із розширеними повноваженнями консульських посадових осіб.</w:t>
      </w:r>
    </w:p>
    <w:p w14:paraId="625B5209"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науковому дискурсі 2023</w:t>
      </w:r>
      <w:r w:rsidRPr="00511005">
        <w:rPr>
          <w:rFonts w:ascii="Cambria Math" w:eastAsia="MS Mincho" w:hAnsi="Cambria Math" w:cs="Cambria Math"/>
          <w:szCs w:val="28"/>
          <w:lang w:eastAsia="ru-RU"/>
        </w:rPr>
        <w:t>‑</w:t>
      </w:r>
      <w:r w:rsidRPr="00511005">
        <w:rPr>
          <w:rFonts w:ascii="Arial" w:eastAsia="Times New Roman" w:hAnsi="Arial" w:cs="Arial"/>
          <w:szCs w:val="28"/>
          <w:lang w:eastAsia="ru-RU"/>
        </w:rPr>
        <w:t>2024 рр. формується концепція «консульського інтернаціоналізму», яка розглядає консульства як автономні майданчики «м’якої сили» держави, здатні ініціювати правочинні практики навіть без участі дипломатичних представництв. В українській доктрині зроблено акцент на специфіці консульського захисту громадян у державі</w:t>
      </w:r>
      <w:r w:rsidRPr="00511005">
        <w:rPr>
          <w:rFonts w:ascii="Cambria Math" w:eastAsia="MS Mincho" w:hAnsi="Cambria Math" w:cs="Cambria Math"/>
          <w:szCs w:val="28"/>
          <w:lang w:eastAsia="ru-RU"/>
        </w:rPr>
        <w:t>‑</w:t>
      </w:r>
      <w:r w:rsidRPr="00511005">
        <w:rPr>
          <w:rFonts w:ascii="Arial" w:eastAsia="Times New Roman" w:hAnsi="Arial" w:cs="Arial"/>
          <w:szCs w:val="28"/>
          <w:lang w:eastAsia="ru-RU"/>
        </w:rPr>
        <w:t xml:space="preserve">агресорі; автори підкреслюють, що розірвання дипломатичних відносин не скасовує обов’язку РФ забезпечувати доступ до консулів, а отже потрібні альтернативні канали взаємодії через правозахисні НУО та інституцію омбудсмена [7,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 87].</w:t>
      </w:r>
    </w:p>
    <w:p w14:paraId="64671D53"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Дослідження REDRESS класифікує чотири моделі закріплення консульської допомоги у внутрішньому праві – від суто політичної до конституційно</w:t>
      </w:r>
      <w:r w:rsidRPr="00511005">
        <w:rPr>
          <w:rFonts w:ascii="Cambria Math" w:eastAsia="MS Mincho" w:hAnsi="Cambria Math" w:cs="Cambria Math"/>
          <w:szCs w:val="28"/>
          <w:lang w:eastAsia="ru-RU"/>
        </w:rPr>
        <w:t>‑</w:t>
      </w:r>
      <w:r w:rsidRPr="00511005">
        <w:rPr>
          <w:rFonts w:ascii="Arial" w:eastAsia="Times New Roman" w:hAnsi="Arial" w:cs="Arial"/>
          <w:szCs w:val="28"/>
          <w:lang w:eastAsia="ru-RU"/>
        </w:rPr>
        <w:t>законодавчої – і доводить, що лише остання дає громадянам реальний механізм судового захисту, коли держава бездіяльна [8]. При цьому навіть у країнах із найсильнішою правовою базою бюджетні обмеження у постковідний період змушують скорочувати консульські штати, що підсилює значення регіональної та міждержавної кооперації, зокрема через спільні кризові центри ЄС.</w:t>
      </w:r>
    </w:p>
    <w:p w14:paraId="62DCF53B"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квітні 2024 р. Європарламент ухвалив резолюцію про обов’язкове розміщення </w:t>
      </w:r>
      <w:proofErr w:type="gramStart"/>
      <w:r w:rsidRPr="00511005">
        <w:rPr>
          <w:rFonts w:ascii="Arial" w:eastAsia="Times New Roman" w:hAnsi="Arial" w:cs="Arial"/>
          <w:szCs w:val="28"/>
          <w:lang w:eastAsia="ru-RU"/>
        </w:rPr>
        <w:t>у паспортах</w:t>
      </w:r>
      <w:proofErr w:type="gramEnd"/>
      <w:r w:rsidRPr="00511005">
        <w:rPr>
          <w:rFonts w:ascii="Arial" w:eastAsia="Times New Roman" w:hAnsi="Arial" w:cs="Arial"/>
          <w:szCs w:val="28"/>
          <w:lang w:eastAsia="ru-RU"/>
        </w:rPr>
        <w:t xml:space="preserve"> тексту статті 23 ДФЄС з роз’ясненням права на допомогу інших консульств, аби підвищити обізнаність мандрівників і полегшити роботу консульських чергових у третіх державах. Комунікаційні кампанії доповнює впровадження мобільних додатків, які за геолокацією пропонують контакти найближчої дипломатичної або партнерської установи та алгоритм дій у разі НС.</w:t>
      </w:r>
    </w:p>
    <w:p w14:paraId="51B8D0D8"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Серйозні дискусії точаться довкола балансу між правом держави обмежувати консульські послуги у воєнний час і зобов’язанням захищати громадян. Тимчасове призупинення оформлення закордонних паспортів для чоловіків 18–60 років, запроваджене Україною у квітні 2024 р., викликало критику з боку правозахисників та ЗМІ, але МЗС наголосило, що екстрена допомога – репатріація тіл, шпиталізація, евакуація з небезпечних регіонів – </w:t>
      </w:r>
      <w:r w:rsidRPr="00511005">
        <w:rPr>
          <w:rFonts w:ascii="Arial" w:eastAsia="Times New Roman" w:hAnsi="Arial" w:cs="Arial"/>
          <w:szCs w:val="28"/>
          <w:lang w:eastAsia="ru-RU"/>
        </w:rPr>
        <w:lastRenderedPageBreak/>
        <w:t>надаватиметься безумовно. Цей приклад демонструє, як консульська політика перетинається з мобілізаційними потребами та національною безпекою.</w:t>
      </w:r>
    </w:p>
    <w:p w14:paraId="3A30C456"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Зростання практики примусових обшуків чи навіть штурмів консульських приміщень (як у випадку поліційного рейду в посольстві Мексики в Кіто у 2024 р.) показує крихкість консульських гарантій і потребу в швидких колективних реакціях міжнародної спільноти на порушення Конвенції [9]. У відповідь держави</w:t>
      </w:r>
      <w:r w:rsidRPr="00511005">
        <w:rPr>
          <w:rFonts w:ascii="Cambria Math" w:eastAsia="MS Mincho" w:hAnsi="Cambria Math" w:cs="Cambria Math"/>
          <w:szCs w:val="28"/>
          <w:lang w:eastAsia="ru-RU"/>
        </w:rPr>
        <w:t>‑</w:t>
      </w:r>
      <w:r w:rsidRPr="00511005">
        <w:rPr>
          <w:rFonts w:ascii="Arial" w:eastAsia="Times New Roman" w:hAnsi="Arial" w:cs="Arial"/>
          <w:szCs w:val="28"/>
          <w:lang w:eastAsia="ru-RU"/>
        </w:rPr>
        <w:t>учасниці ОАД та ЄС посилили політичні санкційні важелі, підкресливши, що недоторканність консульських будівель є складовою глобальної архітектури захисту прав людини.</w:t>
      </w:r>
    </w:p>
    <w:p w14:paraId="7BE8F739" w14:textId="77777777" w:rsidR="00220D3E" w:rsidRPr="00511005" w:rsidRDefault="00220D3E"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консульські зносини в 2023</w:t>
      </w:r>
      <w:r w:rsidRPr="00511005">
        <w:rPr>
          <w:rFonts w:ascii="Cambria Math" w:eastAsia="MS Mincho" w:hAnsi="Cambria Math" w:cs="Cambria Math"/>
          <w:szCs w:val="28"/>
          <w:lang w:eastAsia="ru-RU"/>
        </w:rPr>
        <w:t>‑</w:t>
      </w:r>
      <w:r w:rsidRPr="00511005">
        <w:rPr>
          <w:rFonts w:ascii="Arial" w:eastAsia="Times New Roman" w:hAnsi="Arial" w:cs="Arial"/>
          <w:szCs w:val="28"/>
          <w:lang w:eastAsia="ru-RU"/>
        </w:rPr>
        <w:t>2025 рр. утвердилися як універсальний інструмент не лише «гуманітарної дипломатії», а й системного правового захисту громадян у світі комплексних криз. Нормативні ініціативи ЄС, цифровізація української служби, посилення міжнародних стандартів «duty of care», а також доктринальний поворот до «консульського інтернаціоналізму» свідчать про поступове перетворення консульських інституцій на багаторівневу мережу, що здатна забезпечити ефективну взаємодію держав, регіональних організацій і громадянського суспільства в ім’я захисту фундаментальних прав особи незалежно від кордонів.</w:t>
      </w:r>
    </w:p>
    <w:p w14:paraId="336139B2" w14:textId="77777777" w:rsidR="00220D3E" w:rsidRPr="00511005" w:rsidRDefault="00220D3E" w:rsidP="003A292D">
      <w:pPr>
        <w:spacing w:line="264" w:lineRule="auto"/>
        <w:rPr>
          <w:rFonts w:ascii="Arial" w:eastAsia="Times New Roman" w:hAnsi="Arial" w:cs="Arial"/>
          <w:szCs w:val="28"/>
          <w:lang w:eastAsia="ru-RU"/>
        </w:rPr>
      </w:pPr>
    </w:p>
    <w:p w14:paraId="33EF4266" w14:textId="0A8DCF9A" w:rsidR="00220D3E" w:rsidRPr="00511005" w:rsidRDefault="007B2628" w:rsidP="007B2628">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7CD309A2" w14:textId="77777777" w:rsidR="00220D3E" w:rsidRPr="00511005" w:rsidRDefault="00220D3E" w:rsidP="003F6A5D">
      <w:pPr>
        <w:numPr>
          <w:ilvl w:val="0"/>
          <w:numId w:val="201"/>
        </w:numPr>
        <w:tabs>
          <w:tab w:val="num" w:pos="0"/>
        </w:tabs>
        <w:spacing w:line="264" w:lineRule="auto"/>
        <w:ind w:left="0" w:firstLine="491"/>
        <w:jc w:val="left"/>
        <w:rPr>
          <w:rFonts w:ascii="Arial" w:eastAsia="Times New Roman" w:hAnsi="Arial" w:cs="Arial"/>
          <w:szCs w:val="28"/>
        </w:rPr>
      </w:pPr>
      <w:r w:rsidRPr="00511005">
        <w:rPr>
          <w:rFonts w:ascii="Arial" w:eastAsia="Times New Roman" w:hAnsi="Arial" w:cs="Arial"/>
          <w:szCs w:val="28"/>
        </w:rPr>
        <w:t xml:space="preserve">Віденська Конвенція про консульські </w:t>
      </w:r>
      <w:proofErr w:type="gramStart"/>
      <w:r w:rsidRPr="00511005">
        <w:rPr>
          <w:rFonts w:ascii="Arial" w:eastAsia="Times New Roman" w:hAnsi="Arial" w:cs="Arial"/>
          <w:szCs w:val="28"/>
        </w:rPr>
        <w:t>зносини</w:t>
      </w:r>
      <w:r w:rsidRPr="00511005">
        <w:rPr>
          <w:rFonts w:ascii="Arial" w:eastAsia="Times New Roman" w:hAnsi="Arial" w:cs="Arial"/>
          <w:szCs w:val="28"/>
          <w:lang w:val="en-US"/>
        </w:rPr>
        <w:t> </w:t>
      </w:r>
      <w:r w:rsidRPr="00511005">
        <w:rPr>
          <w:rFonts w:ascii="Arial" w:eastAsia="Times New Roman" w:hAnsi="Arial" w:cs="Arial"/>
          <w:szCs w:val="28"/>
        </w:rPr>
        <w:t>:</w:t>
      </w:r>
      <w:proofErr w:type="gramEnd"/>
      <w:r w:rsidRPr="00511005">
        <w:rPr>
          <w:rFonts w:ascii="Arial" w:eastAsia="Times New Roman" w:hAnsi="Arial" w:cs="Arial"/>
          <w:szCs w:val="28"/>
        </w:rPr>
        <w:t xml:space="preserve"> Конвенція Орг. Об'єдн. Націй від 24.04.1963. </w:t>
      </w:r>
      <w:r w:rsidRPr="00511005">
        <w:rPr>
          <w:rFonts w:ascii="Arial" w:eastAsia="Times New Roman" w:hAnsi="Arial" w:cs="Arial"/>
          <w:szCs w:val="28"/>
          <w:lang w:val="en-US"/>
        </w:rPr>
        <w:t>URL</w:t>
      </w:r>
      <w:r w:rsidRPr="00511005">
        <w:rPr>
          <w:rFonts w:ascii="Arial" w:eastAsia="Times New Roman" w:hAnsi="Arial" w:cs="Arial"/>
          <w:szCs w:val="28"/>
        </w:rPr>
        <w:t xml:space="preserve">: </w:t>
      </w:r>
      <w:hyperlink r:id="rId602" w:anchor="Text"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zakon</w:t>
        </w:r>
        <w:r w:rsidRPr="00511005">
          <w:rPr>
            <w:rFonts w:ascii="Arial" w:eastAsia="Times New Roman" w:hAnsi="Arial" w:cs="Arial"/>
            <w:szCs w:val="28"/>
          </w:rPr>
          <w:t>.</w:t>
        </w:r>
        <w:r w:rsidRPr="00511005">
          <w:rPr>
            <w:rFonts w:ascii="Arial" w:eastAsia="Times New Roman" w:hAnsi="Arial" w:cs="Arial"/>
            <w:szCs w:val="28"/>
            <w:lang w:val="en-US"/>
          </w:rPr>
          <w:t>rada</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laws</w:t>
        </w:r>
        <w:r w:rsidRPr="00511005">
          <w:rPr>
            <w:rFonts w:ascii="Arial" w:eastAsia="Times New Roman" w:hAnsi="Arial" w:cs="Arial"/>
            <w:szCs w:val="28"/>
          </w:rPr>
          <w:t>/</w:t>
        </w:r>
        <w:r w:rsidRPr="00511005">
          <w:rPr>
            <w:rFonts w:ascii="Arial" w:eastAsia="Times New Roman" w:hAnsi="Arial" w:cs="Arial"/>
            <w:szCs w:val="28"/>
            <w:lang w:val="en-US"/>
          </w:rPr>
          <w:t>show</w:t>
        </w:r>
        <w:r w:rsidRPr="00511005">
          <w:rPr>
            <w:rFonts w:ascii="Arial" w:eastAsia="Times New Roman" w:hAnsi="Arial" w:cs="Arial"/>
            <w:szCs w:val="28"/>
          </w:rPr>
          <w:t>/995_047#</w:t>
        </w:r>
        <w:r w:rsidRPr="00511005">
          <w:rPr>
            <w:rFonts w:ascii="Arial" w:eastAsia="Times New Roman" w:hAnsi="Arial" w:cs="Arial"/>
            <w:szCs w:val="28"/>
            <w:lang w:val="en-US"/>
          </w:rPr>
          <w:t>Text</w:t>
        </w:r>
      </w:hyperlink>
      <w:r w:rsidRPr="00511005">
        <w:rPr>
          <w:rFonts w:ascii="Arial" w:eastAsia="Times New Roman" w:hAnsi="Arial" w:cs="Arial"/>
          <w:szCs w:val="28"/>
        </w:rPr>
        <w:t>.</w:t>
      </w:r>
    </w:p>
    <w:p w14:paraId="4725901A" w14:textId="77777777" w:rsidR="00220D3E" w:rsidRPr="00511005" w:rsidRDefault="00220D3E" w:rsidP="003F6A5D">
      <w:pPr>
        <w:numPr>
          <w:ilvl w:val="0"/>
          <w:numId w:val="143"/>
        </w:numPr>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 xml:space="preserve">Consular protection and the EU emergency travel document. </w:t>
      </w:r>
      <w:r w:rsidRPr="00511005">
        <w:rPr>
          <w:rFonts w:ascii="Arial" w:eastAsia="Calibri" w:hAnsi="Arial" w:cs="Arial"/>
          <w:i/>
          <w:szCs w:val="28"/>
          <w:lang w:val="en-US"/>
        </w:rPr>
        <w:t>European parliament</w:t>
      </w:r>
      <w:r w:rsidRPr="00511005">
        <w:rPr>
          <w:rFonts w:ascii="Arial" w:eastAsia="Calibri" w:hAnsi="Arial" w:cs="Arial"/>
          <w:szCs w:val="28"/>
          <w:lang w:val="en-US"/>
        </w:rPr>
        <w:t xml:space="preserve">. 2024. P. 9. URL: </w:t>
      </w:r>
      <w:hyperlink r:id="rId603" w:history="1">
        <w:r w:rsidRPr="00511005">
          <w:rPr>
            <w:rFonts w:ascii="Arial" w:eastAsia="Calibri" w:hAnsi="Arial" w:cs="Arial"/>
            <w:szCs w:val="28"/>
            <w:lang w:val="en-US"/>
          </w:rPr>
          <w:t>https://www.europarl.europa.eu/RegData/etudes/BRIE/2024/762364/EPRS_BRI(2024)762364_EN.pdf</w:t>
        </w:r>
      </w:hyperlink>
      <w:r w:rsidRPr="00511005">
        <w:rPr>
          <w:rFonts w:ascii="Arial" w:eastAsia="Calibri" w:hAnsi="Arial" w:cs="Arial"/>
          <w:szCs w:val="28"/>
          <w:lang w:val="en-US"/>
        </w:rPr>
        <w:t>.</w:t>
      </w:r>
    </w:p>
    <w:p w14:paraId="0715FFDA" w14:textId="77777777" w:rsidR="00220D3E" w:rsidRPr="00511005" w:rsidRDefault="00220D3E" w:rsidP="003F6A5D">
      <w:pPr>
        <w:numPr>
          <w:ilvl w:val="0"/>
          <w:numId w:val="143"/>
        </w:numPr>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 xml:space="preserve">Consular services for Ukrainians abroad have been simplified: explanation from the Ministry of Foreign Affairs. </w:t>
      </w:r>
      <w:r w:rsidRPr="00511005">
        <w:rPr>
          <w:rFonts w:ascii="Arial" w:eastAsia="Calibri" w:hAnsi="Arial" w:cs="Arial"/>
          <w:i/>
          <w:szCs w:val="28"/>
          <w:lang w:val="en-US"/>
        </w:rPr>
        <w:t>Visit Ukraine</w:t>
      </w:r>
      <w:r w:rsidRPr="00511005">
        <w:rPr>
          <w:rFonts w:ascii="Arial" w:eastAsia="Calibri" w:hAnsi="Arial" w:cs="Arial"/>
          <w:szCs w:val="28"/>
          <w:lang w:val="en-US"/>
        </w:rPr>
        <w:t xml:space="preserve">. URL: </w:t>
      </w:r>
      <w:hyperlink r:id="rId604" w:history="1">
        <w:r w:rsidRPr="00511005">
          <w:rPr>
            <w:rFonts w:ascii="Arial" w:eastAsia="Calibri" w:hAnsi="Arial" w:cs="Arial"/>
            <w:szCs w:val="28"/>
            <w:lang w:val="en-US"/>
          </w:rPr>
          <w:t>https://visitukraine.today/it/blog/5339/consular-services-for-ukrainians-abroad-have-been-simplified-explanation-from-the-ministry-of-foreign-affairs?srsltid=AfmBOorY-qX7fvhoH2RM12XD7eZCl8FoGTX9Tl60fZvlS8RoyDGExJSs&amp;amp;amp</w:t>
        </w:r>
      </w:hyperlink>
      <w:r w:rsidRPr="00511005">
        <w:rPr>
          <w:rFonts w:ascii="Arial" w:eastAsia="Calibri" w:hAnsi="Arial" w:cs="Arial"/>
          <w:szCs w:val="28"/>
          <w:lang w:val="en-US"/>
        </w:rPr>
        <w:t>.</w:t>
      </w:r>
    </w:p>
    <w:p w14:paraId="72050FD4" w14:textId="77777777" w:rsidR="00220D3E" w:rsidRPr="00511005" w:rsidRDefault="00220D3E" w:rsidP="003F6A5D">
      <w:pPr>
        <w:numPr>
          <w:ilvl w:val="0"/>
          <w:numId w:val="143"/>
        </w:numPr>
        <w:spacing w:line="264" w:lineRule="auto"/>
        <w:ind w:left="0" w:firstLine="709"/>
        <w:jc w:val="left"/>
        <w:rPr>
          <w:rFonts w:ascii="Arial" w:eastAsia="Calibri" w:hAnsi="Arial" w:cs="Arial"/>
          <w:szCs w:val="28"/>
          <w:lang w:val="pl-PL"/>
        </w:rPr>
      </w:pPr>
      <w:r w:rsidRPr="00511005">
        <w:rPr>
          <w:rFonts w:ascii="Arial" w:eastAsia="Calibri" w:hAnsi="Arial" w:cs="Arial"/>
          <w:szCs w:val="28"/>
          <w:lang w:val="en-US"/>
        </w:rPr>
        <w:t xml:space="preserve">OIG’s review of the department of state’s evacuation of U.S. embassy kabul, afghanistan. </w:t>
      </w:r>
      <w:r w:rsidRPr="00511005">
        <w:rPr>
          <w:rFonts w:ascii="Arial" w:eastAsia="Calibri" w:hAnsi="Arial" w:cs="Arial"/>
          <w:i/>
          <w:szCs w:val="28"/>
          <w:lang w:val="pl-PL"/>
        </w:rPr>
        <w:t>13</w:t>
      </w:r>
      <w:r w:rsidRPr="00511005">
        <w:rPr>
          <w:rFonts w:ascii="Arial" w:eastAsia="Calibri" w:hAnsi="Arial" w:cs="Arial"/>
          <w:szCs w:val="28"/>
          <w:lang w:val="pl-PL"/>
        </w:rPr>
        <w:t xml:space="preserve">. 2023. P. 13. URL: </w:t>
      </w:r>
      <w:hyperlink r:id="rId605" w:history="1">
        <w:r w:rsidRPr="00511005">
          <w:rPr>
            <w:rFonts w:ascii="Arial" w:eastAsia="Calibri" w:hAnsi="Arial" w:cs="Arial"/>
            <w:szCs w:val="28"/>
            <w:lang w:val="pl-PL"/>
          </w:rPr>
          <w:t>https://www.stateoig.gov/uploads/report/report_pdf_file/aud-mero-23-33.pdf</w:t>
        </w:r>
      </w:hyperlink>
      <w:r w:rsidRPr="00511005">
        <w:rPr>
          <w:rFonts w:ascii="Arial" w:eastAsia="Calibri" w:hAnsi="Arial" w:cs="Arial"/>
          <w:szCs w:val="28"/>
          <w:lang w:val="pl-PL"/>
        </w:rPr>
        <w:t>.</w:t>
      </w:r>
    </w:p>
    <w:p w14:paraId="473D3CB7" w14:textId="77777777" w:rsidR="00220D3E" w:rsidRPr="00511005" w:rsidRDefault="00220D3E" w:rsidP="003F6A5D">
      <w:pPr>
        <w:numPr>
          <w:ilvl w:val="0"/>
          <w:numId w:val="143"/>
        </w:numPr>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 xml:space="preserve">Alby A., Power A., Flaherty G. Analysis of consular assistance provided to Irish citizens abroad, 2014–2023. </w:t>
      </w:r>
      <w:r w:rsidRPr="00511005">
        <w:rPr>
          <w:rFonts w:ascii="Arial" w:eastAsia="Calibri" w:hAnsi="Arial" w:cs="Arial"/>
          <w:i/>
          <w:szCs w:val="28"/>
          <w:lang w:val="en-US"/>
        </w:rPr>
        <w:t>Travel Medicine and Infectious Disease</w:t>
      </w:r>
      <w:r w:rsidRPr="00511005">
        <w:rPr>
          <w:rFonts w:ascii="Arial" w:eastAsia="Calibri" w:hAnsi="Arial" w:cs="Arial"/>
          <w:szCs w:val="28"/>
          <w:lang w:val="en-US"/>
        </w:rPr>
        <w:t xml:space="preserve">. URL: </w:t>
      </w:r>
      <w:hyperlink r:id="rId606" w:history="1">
        <w:r w:rsidRPr="00511005">
          <w:rPr>
            <w:rFonts w:ascii="Arial" w:eastAsia="Calibri" w:hAnsi="Arial" w:cs="Arial"/>
            <w:szCs w:val="28"/>
            <w:lang w:val="en-US"/>
          </w:rPr>
          <w:t>https://www.sciencedirect.com/science/article/pii/S1477893925000092</w:t>
        </w:r>
      </w:hyperlink>
      <w:r w:rsidRPr="00511005">
        <w:rPr>
          <w:rFonts w:ascii="Arial" w:eastAsia="Calibri" w:hAnsi="Arial" w:cs="Arial"/>
          <w:szCs w:val="28"/>
          <w:lang w:val="en-US"/>
        </w:rPr>
        <w:t>.</w:t>
      </w:r>
    </w:p>
    <w:p w14:paraId="134F0656" w14:textId="77777777" w:rsidR="00220D3E" w:rsidRPr="00511005" w:rsidRDefault="00220D3E" w:rsidP="003F6A5D">
      <w:pPr>
        <w:numPr>
          <w:ilvl w:val="0"/>
          <w:numId w:val="143"/>
        </w:numPr>
        <w:spacing w:line="264" w:lineRule="auto"/>
        <w:ind w:left="0" w:firstLine="709"/>
        <w:jc w:val="left"/>
        <w:rPr>
          <w:rFonts w:ascii="Arial" w:eastAsia="Calibri" w:hAnsi="Arial" w:cs="Arial"/>
          <w:szCs w:val="28"/>
          <w:lang w:val="pl-PL"/>
        </w:rPr>
      </w:pPr>
      <w:r w:rsidRPr="00511005">
        <w:rPr>
          <w:rFonts w:ascii="Arial" w:eastAsia="Calibri" w:hAnsi="Arial" w:cs="Arial"/>
          <w:szCs w:val="28"/>
          <w:lang w:val="en-US"/>
        </w:rPr>
        <w:lastRenderedPageBreak/>
        <w:t xml:space="preserve">Doherty B. Australians abroad at growing risk of being detained and ‘used as pawns’ by rogue nations, inquiry warns. </w:t>
      </w:r>
      <w:r w:rsidRPr="00511005">
        <w:rPr>
          <w:rFonts w:ascii="Arial" w:eastAsia="Calibri" w:hAnsi="Arial" w:cs="Arial"/>
          <w:i/>
          <w:szCs w:val="28"/>
          <w:lang w:val="en-US"/>
        </w:rPr>
        <w:t>the Guardian</w:t>
      </w:r>
      <w:r w:rsidRPr="00511005">
        <w:rPr>
          <w:rFonts w:ascii="Arial" w:eastAsia="Calibri" w:hAnsi="Arial" w:cs="Arial"/>
          <w:szCs w:val="28"/>
          <w:lang w:val="en-US"/>
        </w:rPr>
        <w:t xml:space="preserve">. </w:t>
      </w:r>
      <w:r w:rsidRPr="00511005">
        <w:rPr>
          <w:rFonts w:ascii="Arial" w:eastAsia="Calibri" w:hAnsi="Arial" w:cs="Arial"/>
          <w:szCs w:val="28"/>
          <w:lang w:val="pl-PL"/>
        </w:rPr>
        <w:t xml:space="preserve">URL: </w:t>
      </w:r>
      <w:hyperlink r:id="rId607" w:history="1">
        <w:r w:rsidRPr="00511005">
          <w:rPr>
            <w:rFonts w:ascii="Arial" w:eastAsia="Calibri" w:hAnsi="Arial" w:cs="Arial"/>
            <w:szCs w:val="28"/>
            <w:lang w:val="pl-PL"/>
          </w:rPr>
          <w:t>https://www.theguardian.com/australia-news/2024/nov/30/australians-abroad-at-growing-risk-of-being-detained-and-used-as-pawns-by-rogue-nations-inquiry-warns</w:t>
        </w:r>
      </w:hyperlink>
      <w:r w:rsidRPr="00511005">
        <w:rPr>
          <w:rFonts w:ascii="Arial" w:eastAsia="Calibri" w:hAnsi="Arial" w:cs="Arial"/>
          <w:szCs w:val="28"/>
          <w:lang w:val="pl-PL"/>
        </w:rPr>
        <w:t>.</w:t>
      </w:r>
    </w:p>
    <w:p w14:paraId="59B2BA27" w14:textId="63A25CEC" w:rsidR="00220D3E" w:rsidRPr="00511005" w:rsidRDefault="00220D3E" w:rsidP="003F6A5D">
      <w:pPr>
        <w:numPr>
          <w:ilvl w:val="0"/>
          <w:numId w:val="143"/>
        </w:numPr>
        <w:spacing w:line="264" w:lineRule="auto"/>
        <w:ind w:left="0" w:firstLine="709"/>
        <w:jc w:val="left"/>
        <w:rPr>
          <w:rFonts w:ascii="Arial" w:eastAsia="Calibri" w:hAnsi="Arial" w:cs="Arial"/>
          <w:szCs w:val="28"/>
        </w:rPr>
      </w:pPr>
      <w:r w:rsidRPr="00511005">
        <w:rPr>
          <w:rFonts w:ascii="Arial" w:eastAsia="Calibri" w:hAnsi="Arial" w:cs="Arial"/>
          <w:szCs w:val="28"/>
        </w:rPr>
        <w:t>Дракохруст</w:t>
      </w:r>
      <w:r w:rsidRPr="00511005">
        <w:rPr>
          <w:rFonts w:ascii="Arial" w:eastAsia="Calibri" w:hAnsi="Arial" w:cs="Arial"/>
          <w:szCs w:val="28"/>
          <w:lang w:val="en-US"/>
        </w:rPr>
        <w:t> </w:t>
      </w:r>
      <w:r w:rsidRPr="00511005">
        <w:rPr>
          <w:rFonts w:ascii="Arial" w:eastAsia="Calibri" w:hAnsi="Arial" w:cs="Arial"/>
          <w:szCs w:val="28"/>
        </w:rPr>
        <w:t xml:space="preserve">Т. Особливості консульського захисту </w:t>
      </w:r>
      <w:proofErr w:type="gramStart"/>
      <w:r w:rsidRPr="00511005">
        <w:rPr>
          <w:rFonts w:ascii="Arial" w:eastAsia="Calibri" w:hAnsi="Arial" w:cs="Arial"/>
          <w:szCs w:val="28"/>
        </w:rPr>
        <w:t>українців,які</w:t>
      </w:r>
      <w:proofErr w:type="gramEnd"/>
      <w:r w:rsidRPr="00511005">
        <w:rPr>
          <w:rFonts w:ascii="Arial" w:eastAsia="Calibri" w:hAnsi="Arial" w:cs="Arial"/>
          <w:szCs w:val="28"/>
        </w:rPr>
        <w:t xml:space="preserve"> перебувають у</w:t>
      </w:r>
      <w:r w:rsidR="007B2628" w:rsidRPr="00511005">
        <w:rPr>
          <w:rFonts w:ascii="Arial" w:eastAsia="Calibri" w:hAnsi="Arial" w:cs="Arial"/>
          <w:szCs w:val="28"/>
        </w:rPr>
        <w:t xml:space="preserve"> </w:t>
      </w:r>
      <w:r w:rsidRPr="00511005">
        <w:rPr>
          <w:rFonts w:ascii="Arial" w:eastAsia="Calibri" w:hAnsi="Arial" w:cs="Arial"/>
          <w:szCs w:val="28"/>
        </w:rPr>
        <w:t xml:space="preserve">російській федерації в період війни. </w:t>
      </w:r>
      <w:r w:rsidRPr="00511005">
        <w:rPr>
          <w:rFonts w:ascii="Arial" w:eastAsia="Calibri" w:hAnsi="Arial" w:cs="Arial"/>
          <w:i/>
          <w:szCs w:val="28"/>
        </w:rPr>
        <w:t>Правовий часопис Донбасу</w:t>
      </w:r>
      <w:r w:rsidRPr="00511005">
        <w:rPr>
          <w:rFonts w:ascii="Arial" w:eastAsia="Calibri" w:hAnsi="Arial" w:cs="Arial"/>
          <w:szCs w:val="28"/>
        </w:rPr>
        <w:t>. 2022. С.</w:t>
      </w:r>
      <w:r w:rsidRPr="00511005">
        <w:rPr>
          <w:rFonts w:ascii="Arial" w:eastAsia="Calibri" w:hAnsi="Arial" w:cs="Arial"/>
          <w:szCs w:val="28"/>
          <w:lang w:val="en-US"/>
        </w:rPr>
        <w:t> </w:t>
      </w:r>
      <w:r w:rsidRPr="00511005">
        <w:rPr>
          <w:rFonts w:ascii="Arial" w:eastAsia="Calibri" w:hAnsi="Arial" w:cs="Arial"/>
          <w:szCs w:val="28"/>
        </w:rPr>
        <w:t xml:space="preserve">86–89. </w:t>
      </w:r>
      <w:r w:rsidRPr="00511005">
        <w:rPr>
          <w:rFonts w:ascii="Arial" w:eastAsia="Calibri" w:hAnsi="Arial" w:cs="Arial"/>
          <w:szCs w:val="28"/>
          <w:lang w:val="en-US"/>
        </w:rPr>
        <w:t>URL</w:t>
      </w:r>
      <w:r w:rsidRPr="00511005">
        <w:rPr>
          <w:rFonts w:ascii="Arial" w:eastAsia="Calibri" w:hAnsi="Arial" w:cs="Arial"/>
          <w:szCs w:val="28"/>
        </w:rPr>
        <w:t xml:space="preserve">: </w:t>
      </w:r>
      <w:hyperlink r:id="rId608"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ljd</w:t>
        </w:r>
        <w:r w:rsidRPr="00511005">
          <w:rPr>
            <w:rFonts w:ascii="Arial" w:eastAsia="Calibri" w:hAnsi="Arial" w:cs="Arial"/>
            <w:szCs w:val="28"/>
          </w:rPr>
          <w:t>.</w:t>
        </w:r>
        <w:r w:rsidRPr="00511005">
          <w:rPr>
            <w:rFonts w:ascii="Arial" w:eastAsia="Calibri" w:hAnsi="Arial" w:cs="Arial"/>
            <w:szCs w:val="28"/>
            <w:lang w:val="en-US"/>
          </w:rPr>
          <w:t>dnuvs</w:t>
        </w:r>
        <w:r w:rsidRPr="00511005">
          <w:rPr>
            <w:rFonts w:ascii="Arial" w:eastAsia="Calibri" w:hAnsi="Arial" w:cs="Arial"/>
            <w:szCs w:val="28"/>
          </w:rPr>
          <w:t>.</w:t>
        </w:r>
        <w:r w:rsidRPr="00511005">
          <w:rPr>
            <w:rFonts w:ascii="Arial" w:eastAsia="Calibri" w:hAnsi="Arial" w:cs="Arial"/>
            <w:szCs w:val="28"/>
            <w:lang w:val="en-US"/>
          </w:rPr>
          <w:t>ukr</w:t>
        </w:r>
        <w:r w:rsidRPr="00511005">
          <w:rPr>
            <w:rFonts w:ascii="Arial" w:eastAsia="Calibri" w:hAnsi="Arial" w:cs="Arial"/>
            <w:szCs w:val="28"/>
          </w:rPr>
          <w:t>.</w:t>
        </w:r>
        <w:r w:rsidRPr="00511005">
          <w:rPr>
            <w:rFonts w:ascii="Arial" w:eastAsia="Calibri" w:hAnsi="Arial" w:cs="Arial"/>
            <w:szCs w:val="28"/>
            <w:lang w:val="en-US"/>
          </w:rPr>
          <w:t>education</w:t>
        </w:r>
        <w:r w:rsidRPr="00511005">
          <w:rPr>
            <w:rFonts w:ascii="Arial" w:eastAsia="Calibri" w:hAnsi="Arial" w:cs="Arial"/>
            <w:szCs w:val="28"/>
          </w:rPr>
          <w:t>/</w:t>
        </w:r>
        <w:r w:rsidRPr="00511005">
          <w:rPr>
            <w:rFonts w:ascii="Arial" w:eastAsia="Calibri" w:hAnsi="Arial" w:cs="Arial"/>
            <w:szCs w:val="28"/>
            <w:lang w:val="en-US"/>
          </w:rPr>
          <w:t>index</w:t>
        </w:r>
        <w:r w:rsidRPr="00511005">
          <w:rPr>
            <w:rFonts w:ascii="Arial" w:eastAsia="Calibri" w:hAnsi="Arial" w:cs="Arial"/>
            <w:szCs w:val="28"/>
          </w:rPr>
          <w:t>.</w:t>
        </w:r>
        <w:r w:rsidRPr="00511005">
          <w:rPr>
            <w:rFonts w:ascii="Arial" w:eastAsia="Calibri" w:hAnsi="Arial" w:cs="Arial"/>
            <w:szCs w:val="28"/>
            <w:lang w:val="en-US"/>
          </w:rPr>
          <w:t>php</w:t>
        </w:r>
        <w:r w:rsidRPr="00511005">
          <w:rPr>
            <w:rFonts w:ascii="Arial" w:eastAsia="Calibri" w:hAnsi="Arial" w:cs="Arial"/>
            <w:szCs w:val="28"/>
          </w:rPr>
          <w:t>/</w:t>
        </w:r>
        <w:r w:rsidRPr="00511005">
          <w:rPr>
            <w:rFonts w:ascii="Arial" w:eastAsia="Calibri" w:hAnsi="Arial" w:cs="Arial"/>
            <w:szCs w:val="28"/>
            <w:lang w:val="en-US"/>
          </w:rPr>
          <w:t>ljd</w:t>
        </w:r>
        <w:r w:rsidRPr="00511005">
          <w:rPr>
            <w:rFonts w:ascii="Arial" w:eastAsia="Calibri" w:hAnsi="Arial" w:cs="Arial"/>
            <w:szCs w:val="28"/>
          </w:rPr>
          <w:t>/</w:t>
        </w:r>
        <w:r w:rsidRPr="00511005">
          <w:rPr>
            <w:rFonts w:ascii="Arial" w:eastAsia="Calibri" w:hAnsi="Arial" w:cs="Arial"/>
            <w:szCs w:val="28"/>
            <w:lang w:val="en-US"/>
          </w:rPr>
          <w:t>article</w:t>
        </w:r>
        <w:r w:rsidRPr="00511005">
          <w:rPr>
            <w:rFonts w:ascii="Arial" w:eastAsia="Calibri" w:hAnsi="Arial" w:cs="Arial"/>
            <w:szCs w:val="28"/>
          </w:rPr>
          <w:t>/</w:t>
        </w:r>
        <w:r w:rsidRPr="00511005">
          <w:rPr>
            <w:rFonts w:ascii="Arial" w:eastAsia="Calibri" w:hAnsi="Arial" w:cs="Arial"/>
            <w:szCs w:val="28"/>
            <w:lang w:val="en-US"/>
          </w:rPr>
          <w:t>view</w:t>
        </w:r>
        <w:r w:rsidRPr="00511005">
          <w:rPr>
            <w:rFonts w:ascii="Arial" w:eastAsia="Calibri" w:hAnsi="Arial" w:cs="Arial"/>
            <w:szCs w:val="28"/>
          </w:rPr>
          <w:t>/190/172</w:t>
        </w:r>
      </w:hyperlink>
      <w:r w:rsidRPr="00511005">
        <w:rPr>
          <w:rFonts w:ascii="Arial" w:eastAsia="Calibri" w:hAnsi="Arial" w:cs="Arial"/>
          <w:szCs w:val="28"/>
        </w:rPr>
        <w:t>.</w:t>
      </w:r>
    </w:p>
    <w:p w14:paraId="389C4AC0" w14:textId="77777777" w:rsidR="00220D3E" w:rsidRPr="00511005" w:rsidRDefault="00220D3E" w:rsidP="003F6A5D">
      <w:pPr>
        <w:numPr>
          <w:ilvl w:val="0"/>
          <w:numId w:val="143"/>
        </w:numPr>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 xml:space="preserve">Consular assistance in domestic legal frameworks. </w:t>
      </w:r>
      <w:r w:rsidRPr="00511005">
        <w:rPr>
          <w:rFonts w:ascii="Arial" w:eastAsia="Calibri" w:hAnsi="Arial" w:cs="Arial"/>
          <w:i/>
          <w:szCs w:val="28"/>
          <w:lang w:val="en-US"/>
        </w:rPr>
        <w:t>Redress</w:t>
      </w:r>
      <w:r w:rsidRPr="00511005">
        <w:rPr>
          <w:rFonts w:ascii="Arial" w:eastAsia="Calibri" w:hAnsi="Arial" w:cs="Arial"/>
          <w:szCs w:val="28"/>
          <w:lang w:val="en-US"/>
        </w:rPr>
        <w:t xml:space="preserve">. 2024. P. 12. URL: </w:t>
      </w:r>
      <w:hyperlink r:id="rId609" w:history="1">
        <w:r w:rsidRPr="00511005">
          <w:rPr>
            <w:rFonts w:ascii="Arial" w:eastAsia="Calibri" w:hAnsi="Arial" w:cs="Arial"/>
            <w:szCs w:val="28"/>
            <w:lang w:val="en-US"/>
          </w:rPr>
          <w:t>https://redress.org/wp-content/uploads/2024/05/2024-04-30-CONSULAR-comparative-CA-briefing_final.pdf</w:t>
        </w:r>
      </w:hyperlink>
      <w:r w:rsidRPr="00511005">
        <w:rPr>
          <w:rFonts w:ascii="Arial" w:eastAsia="Calibri" w:hAnsi="Arial" w:cs="Arial"/>
          <w:szCs w:val="28"/>
          <w:lang w:val="en-US"/>
        </w:rPr>
        <w:t>.</w:t>
      </w:r>
    </w:p>
    <w:p w14:paraId="5EEC86C2" w14:textId="77777777" w:rsidR="00220D3E" w:rsidRPr="00511005" w:rsidRDefault="00220D3E" w:rsidP="003F6A5D">
      <w:pPr>
        <w:numPr>
          <w:ilvl w:val="0"/>
          <w:numId w:val="143"/>
        </w:numPr>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 xml:space="preserve">Janetsky M. Ecuadorian police broke into Mexico's embassy, sparking outrage. Why is this such a big </w:t>
      </w:r>
      <w:proofErr w:type="gramStart"/>
      <w:r w:rsidRPr="00511005">
        <w:rPr>
          <w:rFonts w:ascii="Arial" w:eastAsia="Calibri" w:hAnsi="Arial" w:cs="Arial"/>
          <w:szCs w:val="28"/>
          <w:lang w:val="en-US"/>
        </w:rPr>
        <w:t>deal?.</w:t>
      </w:r>
      <w:proofErr w:type="gramEnd"/>
      <w:r w:rsidRPr="00511005">
        <w:rPr>
          <w:rFonts w:ascii="Arial" w:eastAsia="Calibri" w:hAnsi="Arial" w:cs="Arial"/>
          <w:szCs w:val="28"/>
          <w:lang w:val="en-US"/>
        </w:rPr>
        <w:t xml:space="preserve"> </w:t>
      </w:r>
      <w:r w:rsidRPr="00511005">
        <w:rPr>
          <w:rFonts w:ascii="Arial" w:eastAsia="Calibri" w:hAnsi="Arial" w:cs="Arial"/>
          <w:i/>
          <w:szCs w:val="28"/>
          <w:lang w:val="en-US"/>
        </w:rPr>
        <w:t>AP News</w:t>
      </w:r>
      <w:r w:rsidRPr="00511005">
        <w:rPr>
          <w:rFonts w:ascii="Arial" w:eastAsia="Calibri" w:hAnsi="Arial" w:cs="Arial"/>
          <w:szCs w:val="28"/>
          <w:lang w:val="en-US"/>
        </w:rPr>
        <w:t xml:space="preserve">. URL: </w:t>
      </w:r>
      <w:hyperlink r:id="rId610" w:history="1">
        <w:r w:rsidRPr="00511005">
          <w:rPr>
            <w:rFonts w:ascii="Arial" w:eastAsia="Calibri" w:hAnsi="Arial" w:cs="Arial"/>
            <w:szCs w:val="28"/>
            <w:lang w:val="en-US"/>
          </w:rPr>
          <w:t>https://apnews.com/article/mexico-ecuador-jorge-glas-diplomatic-immunity-embassy-c888b82d614f91ef9a7bd8faa09afe91</w:t>
        </w:r>
      </w:hyperlink>
      <w:r w:rsidRPr="00511005">
        <w:rPr>
          <w:rFonts w:ascii="Arial" w:eastAsia="Calibri" w:hAnsi="Arial" w:cs="Arial"/>
          <w:szCs w:val="28"/>
          <w:lang w:val="en-US"/>
        </w:rPr>
        <w:t>.</w:t>
      </w:r>
    </w:p>
    <w:p w14:paraId="32FAA69B" w14:textId="0AE1CF88" w:rsidR="00220D3E" w:rsidRPr="00511005" w:rsidRDefault="007B2628" w:rsidP="003A292D">
      <w:pPr>
        <w:spacing w:line="264" w:lineRule="auto"/>
        <w:ind w:left="709" w:firstLine="0"/>
        <w:rPr>
          <w:rFonts w:ascii="Arial" w:eastAsia="Calibri" w:hAnsi="Arial" w:cs="Arial"/>
          <w:i/>
          <w:iCs/>
          <w:szCs w:val="28"/>
        </w:rPr>
      </w:pPr>
      <w:r w:rsidRPr="00511005">
        <w:rPr>
          <w:rFonts w:ascii="Arial" w:eastAsia="Calibri" w:hAnsi="Arial" w:cs="Arial"/>
          <w:b/>
          <w:i/>
          <w:iCs/>
          <w:szCs w:val="28"/>
          <w:lang w:val="uk-UA"/>
        </w:rPr>
        <w:t xml:space="preserve">Науковий керівник: </w:t>
      </w:r>
      <w:r w:rsidR="00220D3E" w:rsidRPr="00511005">
        <w:rPr>
          <w:rFonts w:ascii="Arial" w:eastAsia="Calibri" w:hAnsi="Arial" w:cs="Arial"/>
          <w:i/>
          <w:iCs/>
          <w:szCs w:val="28"/>
          <w:lang w:val="uk-UA"/>
        </w:rPr>
        <w:t>доктор філософії і галузі міжнародного права, доцент</w:t>
      </w:r>
      <w:r w:rsidRPr="00511005">
        <w:rPr>
          <w:rFonts w:ascii="Arial" w:eastAsia="Calibri" w:hAnsi="Arial" w:cs="Arial"/>
          <w:i/>
          <w:iCs/>
          <w:szCs w:val="28"/>
          <w:lang w:val="uk-UA"/>
        </w:rPr>
        <w:t xml:space="preserve"> </w:t>
      </w:r>
      <w:r w:rsidR="00220D3E" w:rsidRPr="00511005">
        <w:rPr>
          <w:rFonts w:ascii="Arial" w:eastAsia="Calibri" w:hAnsi="Arial" w:cs="Arial"/>
          <w:i/>
          <w:iCs/>
          <w:szCs w:val="28"/>
          <w:lang w:val="uk-UA"/>
        </w:rPr>
        <w:t>Гребенюк Д.О.</w:t>
      </w:r>
    </w:p>
    <w:p w14:paraId="54D651E3" w14:textId="77777777" w:rsidR="00220D3E" w:rsidRPr="00511005" w:rsidRDefault="00220D3E" w:rsidP="003A292D">
      <w:pPr>
        <w:keepNext/>
        <w:tabs>
          <w:tab w:val="left" w:pos="709"/>
        </w:tabs>
        <w:spacing w:line="264" w:lineRule="auto"/>
        <w:jc w:val="center"/>
        <w:rPr>
          <w:rFonts w:ascii="Arial" w:eastAsia="Times New Roman" w:hAnsi="Arial" w:cs="Arial"/>
          <w:i/>
          <w:szCs w:val="28"/>
          <w:lang w:eastAsia="ru-RU"/>
        </w:rPr>
      </w:pPr>
    </w:p>
    <w:p w14:paraId="3D10598A" w14:textId="77777777" w:rsidR="00220D3E" w:rsidRPr="00511005" w:rsidRDefault="00220D3E" w:rsidP="003A292D">
      <w:pPr>
        <w:keepNext/>
        <w:tabs>
          <w:tab w:val="left" w:pos="709"/>
        </w:tabs>
        <w:spacing w:line="264" w:lineRule="auto"/>
        <w:jc w:val="center"/>
        <w:rPr>
          <w:rFonts w:ascii="Arial" w:eastAsia="Times New Roman" w:hAnsi="Arial" w:cs="Arial"/>
          <w:b/>
          <w:i/>
          <w:noProof/>
          <w:szCs w:val="28"/>
          <w:lang w:val="uk-UA" w:eastAsia="ru-RU"/>
        </w:rPr>
      </w:pPr>
      <w:r w:rsidRPr="00511005">
        <w:rPr>
          <w:rFonts w:ascii="Arial" w:eastAsia="Times New Roman" w:hAnsi="Arial" w:cs="Arial"/>
          <w:b/>
          <w:i/>
          <w:noProof/>
          <w:szCs w:val="28"/>
          <w:lang w:val="uk-UA" w:eastAsia="ru-RU"/>
        </w:rPr>
        <w:t>Шмігельська Аліна Володимирівна</w:t>
      </w:r>
    </w:p>
    <w:p w14:paraId="3747E870" w14:textId="77777777" w:rsidR="00220D3E" w:rsidRPr="00511005" w:rsidRDefault="00220D3E" w:rsidP="003A292D">
      <w:pPr>
        <w:keepNext/>
        <w:tabs>
          <w:tab w:val="left" w:pos="709"/>
        </w:tabs>
        <w:spacing w:line="264" w:lineRule="auto"/>
        <w:jc w:val="center"/>
        <w:rPr>
          <w:rFonts w:ascii="Arial" w:eastAsia="Times New Roman" w:hAnsi="Arial" w:cs="Arial"/>
          <w:b/>
          <w:i/>
          <w:noProof/>
          <w:szCs w:val="28"/>
          <w:lang w:val="uk-UA" w:eastAsia="ru-RU"/>
        </w:rPr>
      </w:pPr>
      <w:r w:rsidRPr="00511005">
        <w:rPr>
          <w:rFonts w:ascii="Arial" w:eastAsia="Times New Roman" w:hAnsi="Arial" w:cs="Arial"/>
          <w:b/>
          <w:i/>
          <w:noProof/>
          <w:szCs w:val="28"/>
          <w:lang w:val="uk-UA" w:eastAsia="ru-RU"/>
        </w:rPr>
        <w:t>Погодіна Галина Ігорівна</w:t>
      </w:r>
    </w:p>
    <w:p w14:paraId="5CACDA57" w14:textId="29B06952"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студентки 4-го курсу </w:t>
      </w:r>
      <w:r w:rsidR="001B7B25" w:rsidRPr="00511005">
        <w:rPr>
          <w:rFonts w:ascii="Arial" w:eastAsia="Times New Roman" w:hAnsi="Arial" w:cs="Arial"/>
          <w:szCs w:val="28"/>
          <w:lang w:val="uk-UA" w:eastAsia="ru-RU"/>
        </w:rPr>
        <w:t>факультету судового та міжнародного права</w:t>
      </w:r>
      <w:r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6E412AA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550E037C"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ПРЕЦЕДЕНТНЕ ПРАВО ЄСПЛ ЩОДО ЗАХИСТУ ПРАВА НА СВОБОДУ ВИРАЖЕННЯ ПОГЛЯДІВ</w:t>
      </w:r>
    </w:p>
    <w:p w14:paraId="15A89C8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 умовах інформаційної епохи та гібридних загроз, право на свободу вираження поглядів набуває особливого значення для розвитку демократичного суспільства в Україні. Водночас, балансування між свободою слова та захистом інших прав і законних інтересів є складним завданням, що потребує глибокого аналізу прецедентного права Європейського суду з прав людини (далі – ЄСПЛ) як пріоритетного джерела тлумачення відповідних положень Конвенції про захист прав людини і основоположних свобод (далі – Конвенція).</w:t>
      </w:r>
    </w:p>
    <w:p w14:paraId="0089401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Невід’ємна складова демократичного устрою, свобода вираження поглядів, знайшла своє відображення в багатьох національних, європейських, міжнародних та регіональних правових актах, які сприяють зміцненню цієї політичної системи як єдино дієвого механізму гарантування прав людини. У своєму тлумаченні статті 10 Конвенції ЄСПЛ підкреслив фундаментальну роль свободи вираження поглядів, визначаючи її як одну з ключових засад демократичного суспільства та рушійну силу його прогресу й всебічного розвитку кожної особистості, а саме:</w:t>
      </w:r>
    </w:p>
    <w:p w14:paraId="2C6C2E1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«1. Кожен має право на свободу вираження поглядів. Це право включає свободу дотримуватися своїх поглядів, одержувати та передавати інформацію та ідеї без втручання органів державної влади та незалежно від кордонів» [2].</w:t>
      </w:r>
    </w:p>
    <w:p w14:paraId="4D30CE4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«2. Здійснення цих свобод, оскільки воно пов’язане з обов’язками та відповідальністю, може підлягати таким формальностям, умовам, обмеженням або санкціям, що встановлені законом і є необхідними в демократичному суспільстві в інтересах національної безпеки, територіальної цілісності або громадської безпеки, для запобігання заворушенням чи злочинам» [2].</w:t>
      </w:r>
    </w:p>
    <w:p w14:paraId="64660EF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Свобода вираження поглядів є однією з істотних засад демократичного суспільства та поширюється не лише на інформацію та ідеї, які сприймаються схвально чи вважаються необразливими, але й на ті, що ображають, шокують чи викликають занепокоєння, – рішення у справі«Хендісайд проти Сполученого Королівства»</w:t>
      </w:r>
      <w:r w:rsidRPr="00511005">
        <w:rPr>
          <w:rFonts w:ascii="Arial" w:eastAsia="Times New Roman" w:hAnsi="Arial" w:cs="Arial"/>
          <w:i/>
          <w:iCs/>
          <w:szCs w:val="28"/>
          <w:lang w:val="uk-UA" w:eastAsia="ru-RU"/>
        </w:rPr>
        <w:t>Handyside v. TheUnitedKingdom</w:t>
      </w:r>
      <w:r w:rsidRPr="00511005">
        <w:rPr>
          <w:rFonts w:ascii="Arial" w:eastAsia="Times New Roman" w:hAnsi="Arial" w:cs="Arial"/>
          <w:szCs w:val="28"/>
          <w:lang w:val="uk-UA" w:eastAsia="ru-RU"/>
        </w:rPr>
        <w:t>[3].</w:t>
      </w:r>
    </w:p>
    <w:p w14:paraId="3A58C61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szCs w:val="28"/>
          <w:lang w:val="uk-UA" w:eastAsia="ru-RU"/>
        </w:rPr>
        <w:t>Також існують ключовікритерії оцінки правомірності обмежень свободи вираження поглядів за практикою ЄСПЛ.У першу чергу, це наявність законної мети, тобто</w:t>
      </w:r>
      <w:r w:rsidRPr="00511005">
        <w:rPr>
          <w:rFonts w:ascii="Arial" w:eastAsia="Times New Roman" w:hAnsi="Arial" w:cs="Arial"/>
          <w:szCs w:val="28"/>
          <w:lang w:val="uk-UA" w:eastAsia="ru-RU"/>
        </w:rPr>
        <w:t xml:space="preserve">обмеження повинні переслідувати одну з легітимних цілей, визначених у частині 2 статті 10 Конвенції. </w:t>
      </w:r>
    </w:p>
    <w:p w14:paraId="7AB42835" w14:textId="77777777" w:rsidR="00220D3E" w:rsidRPr="00511005" w:rsidRDefault="00220D3E" w:rsidP="003A292D">
      <w:pPr>
        <w:tabs>
          <w:tab w:val="left" w:pos="709"/>
        </w:tabs>
        <w:spacing w:line="264" w:lineRule="auto"/>
        <w:rPr>
          <w:rFonts w:ascii="Arial" w:eastAsia="Times New Roman" w:hAnsi="Arial" w:cs="Arial"/>
          <w:iCs/>
          <w:szCs w:val="28"/>
          <w:lang w:val="uk-UA" w:eastAsia="ru-RU"/>
        </w:rPr>
      </w:pPr>
      <w:r w:rsidRPr="00511005">
        <w:rPr>
          <w:rFonts w:ascii="Arial" w:eastAsia="Times New Roman" w:hAnsi="Arial" w:cs="Arial"/>
          <w:szCs w:val="28"/>
          <w:lang w:val="uk-UA" w:eastAsia="ru-RU"/>
        </w:rPr>
        <w:t>Закон, що встановлює обмеження, має бути достатньо чітким та передбачуваним у своєму застосуванні рішення, як вбачається зі справі «</w:t>
      </w:r>
      <w:r w:rsidRPr="00511005">
        <w:rPr>
          <w:rFonts w:ascii="Arial" w:eastAsia="Times New Roman" w:hAnsi="Arial" w:cs="Arial"/>
          <w:i/>
          <w:iCs/>
          <w:szCs w:val="28"/>
          <w:lang w:val="uk-UA" w:eastAsia="ru-RU"/>
        </w:rPr>
        <w:t xml:space="preserve">SundayTimes v. TheUnitedKingdom»[3]. </w:t>
      </w:r>
      <w:r w:rsidRPr="00511005">
        <w:rPr>
          <w:rFonts w:ascii="Arial" w:eastAsia="Times New Roman" w:hAnsi="Arial" w:cs="Arial"/>
          <w:szCs w:val="28"/>
          <w:lang w:val="uk-UA" w:eastAsia="ru-RU"/>
        </w:rPr>
        <w:t>В Україні це кореспондується з принципом верховенства права – статтею 8Конституції України [1].</w:t>
      </w:r>
    </w:p>
    <w:p w14:paraId="6C7780D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iCs/>
          <w:szCs w:val="28"/>
          <w:lang w:val="uk-UA" w:eastAsia="ru-RU"/>
        </w:rPr>
        <w:t>Другий критерій, це н</w:t>
      </w:r>
      <w:r w:rsidRPr="00511005">
        <w:rPr>
          <w:rFonts w:ascii="Arial" w:eastAsia="Times New Roman" w:hAnsi="Arial" w:cs="Arial"/>
          <w:b/>
          <w:bCs/>
          <w:szCs w:val="28"/>
          <w:lang w:val="uk-UA" w:eastAsia="ru-RU"/>
        </w:rPr>
        <w:t>еобхідність у демократичному суспільстві–</w:t>
      </w:r>
      <w:r w:rsidRPr="00511005">
        <w:rPr>
          <w:rFonts w:ascii="Arial" w:eastAsia="Times New Roman" w:hAnsi="Arial" w:cs="Arial"/>
          <w:szCs w:val="28"/>
          <w:lang w:val="uk-UA" w:eastAsia="ru-RU"/>
        </w:rPr>
        <w:t>ЄСПЛ ретельно оцінює, чи існувала «нагальна суспільна потреба» у втручанні, чи було воно пропорційним переслідуваній меті та чи були наведені національними органами влади «відповідні та достатні» підстави для обмеження.</w:t>
      </w:r>
      <w:r w:rsidRPr="00511005">
        <w:rPr>
          <w:rFonts w:ascii="Arial" w:eastAsia="Times New Roman" w:hAnsi="Arial" w:cs="Arial"/>
          <w:iCs/>
          <w:szCs w:val="28"/>
          <w:lang w:val="uk-UA" w:eastAsia="ru-RU"/>
        </w:rPr>
        <w:t xml:space="preserve"> Що стосується </w:t>
      </w:r>
      <w:r w:rsidRPr="00511005">
        <w:rPr>
          <w:rFonts w:ascii="Arial" w:eastAsia="Times New Roman" w:hAnsi="Arial" w:cs="Arial"/>
          <w:b/>
          <w:bCs/>
          <w:szCs w:val="28"/>
          <w:lang w:val="uk-UA" w:eastAsia="ru-RU"/>
        </w:rPr>
        <w:t>балансу інтересів</w:t>
      </w:r>
      <w:r w:rsidRPr="00511005">
        <w:rPr>
          <w:rFonts w:ascii="Arial" w:eastAsia="Times New Roman" w:hAnsi="Arial" w:cs="Arial"/>
          <w:szCs w:val="28"/>
          <w:lang w:val="uk-UA" w:eastAsia="ru-RU"/>
        </w:rPr>
        <w:t>, у цьому випадку суд здійснює зважування між правом на свободу вираження поглядів та іншими захищеними правами та інтересами, враховуючи контекст справи та роль висловлювання у суспільній дискусії, наприклад рішення у справах щодо дифамації.</w:t>
      </w:r>
    </w:p>
    <w:p w14:paraId="3F97E286" w14:textId="77777777" w:rsidR="00220D3E" w:rsidRPr="00511005" w:rsidRDefault="00220D3E" w:rsidP="003A292D">
      <w:pPr>
        <w:tabs>
          <w:tab w:val="left" w:pos="709"/>
        </w:tabs>
        <w:spacing w:line="264" w:lineRule="auto"/>
        <w:rPr>
          <w:rFonts w:ascii="Arial" w:eastAsia="Times New Roman" w:hAnsi="Arial" w:cs="Arial"/>
          <w:iCs/>
          <w:szCs w:val="28"/>
          <w:lang w:val="uk-UA" w:eastAsia="ru-RU"/>
        </w:rPr>
      </w:pPr>
      <w:r w:rsidRPr="00511005">
        <w:rPr>
          <w:rFonts w:ascii="Arial" w:eastAsia="Times New Roman" w:hAnsi="Arial" w:cs="Arial"/>
          <w:iCs/>
          <w:szCs w:val="28"/>
          <w:lang w:val="uk-UA" w:eastAsia="ru-RU"/>
        </w:rPr>
        <w:t>Важливими аспектами прецедентного права ЄСПЛ у сфері свободи вираження поглядів є:</w:t>
      </w:r>
    </w:p>
    <w:p w14:paraId="40D9FDBB" w14:textId="77777777" w:rsidR="00220D3E" w:rsidRPr="00511005" w:rsidRDefault="00220D3E" w:rsidP="003A292D">
      <w:pPr>
        <w:tabs>
          <w:tab w:val="left" w:pos="709"/>
        </w:tabs>
        <w:spacing w:line="264" w:lineRule="auto"/>
        <w:rPr>
          <w:rFonts w:ascii="Arial" w:eastAsia="Times New Roman" w:hAnsi="Arial" w:cs="Arial"/>
          <w:iCs/>
          <w:szCs w:val="28"/>
          <w:lang w:val="uk-UA" w:eastAsia="ru-RU"/>
        </w:rPr>
      </w:pPr>
      <w:r w:rsidRPr="00511005">
        <w:rPr>
          <w:rFonts w:ascii="Arial" w:eastAsia="Times New Roman" w:hAnsi="Arial" w:cs="Arial"/>
          <w:iCs/>
          <w:szCs w:val="28"/>
          <w:lang w:val="uk-UA" w:eastAsia="ru-RU"/>
        </w:rPr>
        <w:t>По-перше, захист журналістів та ЗМІ: ЄСПЛ надає особливого значення ролі преси як «вартового пса» демократії та захищає право журналістів на збирання та поширення інформації з питань, що становлять суспільний інтерес. Суд також захищає конфіденційність джерел журналістів.</w:t>
      </w:r>
    </w:p>
    <w:p w14:paraId="05E7BA9D" w14:textId="77777777" w:rsidR="00220D3E" w:rsidRPr="00511005" w:rsidRDefault="00220D3E" w:rsidP="003A292D">
      <w:pPr>
        <w:tabs>
          <w:tab w:val="left" w:pos="709"/>
        </w:tabs>
        <w:spacing w:line="264" w:lineRule="auto"/>
        <w:rPr>
          <w:rFonts w:ascii="Arial" w:eastAsia="Times New Roman" w:hAnsi="Arial" w:cs="Arial"/>
          <w:iCs/>
          <w:szCs w:val="28"/>
          <w:lang w:val="uk-UA" w:eastAsia="ru-RU"/>
        </w:rPr>
      </w:pPr>
      <w:r w:rsidRPr="00511005">
        <w:rPr>
          <w:rFonts w:ascii="Arial" w:eastAsia="Times New Roman" w:hAnsi="Arial" w:cs="Arial"/>
          <w:iCs/>
          <w:szCs w:val="28"/>
          <w:lang w:val="uk-UA" w:eastAsia="ru-RU"/>
        </w:rPr>
        <w:lastRenderedPageBreak/>
        <w:t>По-друге, політична свобода вираження поглядів: свобода вираження поглядів є особливо важливою у політичній сфері. ЄСПЛ визнає, що межі допустимої критики щодо політиків є ширшими, ніж щодо приватних осіб.</w:t>
      </w:r>
    </w:p>
    <w:p w14:paraId="25EEDE0C" w14:textId="77777777" w:rsidR="00220D3E" w:rsidRPr="00511005" w:rsidRDefault="00220D3E" w:rsidP="003A292D">
      <w:pPr>
        <w:tabs>
          <w:tab w:val="left" w:pos="709"/>
        </w:tabs>
        <w:spacing w:line="264" w:lineRule="auto"/>
        <w:rPr>
          <w:rFonts w:ascii="Arial" w:eastAsia="Times New Roman" w:hAnsi="Arial" w:cs="Arial"/>
          <w:iCs/>
          <w:szCs w:val="28"/>
          <w:lang w:val="uk-UA" w:eastAsia="ru-RU"/>
        </w:rPr>
      </w:pPr>
      <w:r w:rsidRPr="00511005">
        <w:rPr>
          <w:rFonts w:ascii="Arial" w:eastAsia="Times New Roman" w:hAnsi="Arial" w:cs="Arial"/>
          <w:iCs/>
          <w:szCs w:val="28"/>
          <w:lang w:val="uk-UA" w:eastAsia="ru-RU"/>
        </w:rPr>
        <w:t>По-третє, мова ненависті: ЄСПЛ проводить розмежування між висловлюваннями, що становлять мову ненависті та не захищаються статтею 10, та висловлюваннями, які є образливими, шокуючими або такими, що непокоять, але все ж таки підпадають під захист свободи вираження поглядів, якщо вони сприяють публічній дискусії.</w:t>
      </w:r>
    </w:p>
    <w:p w14:paraId="57C93100" w14:textId="77777777" w:rsidR="00220D3E" w:rsidRPr="00511005" w:rsidRDefault="00220D3E" w:rsidP="003A292D">
      <w:pPr>
        <w:tabs>
          <w:tab w:val="left" w:pos="709"/>
        </w:tabs>
        <w:spacing w:line="264" w:lineRule="auto"/>
        <w:rPr>
          <w:rFonts w:ascii="Arial" w:eastAsia="Times New Roman" w:hAnsi="Arial" w:cs="Arial"/>
          <w:iCs/>
          <w:szCs w:val="28"/>
          <w:lang w:val="uk-UA" w:eastAsia="ru-RU"/>
        </w:rPr>
      </w:pPr>
      <w:r w:rsidRPr="00511005">
        <w:rPr>
          <w:rFonts w:ascii="Arial" w:eastAsia="Times New Roman" w:hAnsi="Arial" w:cs="Arial"/>
          <w:iCs/>
          <w:szCs w:val="28"/>
          <w:lang w:val="uk-UA" w:eastAsia="ru-RU"/>
        </w:rPr>
        <w:t>По-четверте, свобода вираження поглядів в інтернеті: ЄСПЛ застосовує принципи статті 10 до висловлювань, зроблених в інтернеті, враховуючи особливості цього середовища. Суд також розглядає питання відповідальності інтернет-платформ за контент, розміщений користувачами.</w:t>
      </w:r>
    </w:p>
    <w:p w14:paraId="5C69A125" w14:textId="77777777" w:rsidR="00220D3E" w:rsidRPr="00511005" w:rsidRDefault="00220D3E" w:rsidP="003A292D">
      <w:pPr>
        <w:tabs>
          <w:tab w:val="left" w:pos="709"/>
        </w:tabs>
        <w:spacing w:line="264" w:lineRule="auto"/>
        <w:rPr>
          <w:rFonts w:ascii="Arial" w:eastAsia="Times New Roman" w:hAnsi="Arial" w:cs="Arial"/>
          <w:iCs/>
          <w:szCs w:val="28"/>
          <w:lang w:val="uk-UA" w:eastAsia="ru-RU"/>
        </w:rPr>
      </w:pPr>
      <w:r w:rsidRPr="00511005">
        <w:rPr>
          <w:rFonts w:ascii="Arial" w:eastAsia="Times New Roman" w:hAnsi="Arial" w:cs="Arial"/>
          <w:iCs/>
          <w:szCs w:val="28"/>
          <w:lang w:val="uk-UA" w:eastAsia="ru-RU"/>
        </w:rPr>
        <w:t>По-п’яте, художнє вираження поглядів: ЄСПЛ захищає свободу художнього вираження поглядів, навіть якщо воно може бути сприйняте як образливе чи аморальне.</w:t>
      </w:r>
    </w:p>
    <w:p w14:paraId="5B57E19B" w14:textId="77777777" w:rsidR="00220D3E" w:rsidRPr="00511005" w:rsidRDefault="00220D3E" w:rsidP="003A292D">
      <w:pPr>
        <w:tabs>
          <w:tab w:val="left" w:pos="709"/>
        </w:tabs>
        <w:spacing w:line="264" w:lineRule="auto"/>
        <w:rPr>
          <w:rFonts w:ascii="Arial" w:eastAsia="Times New Roman" w:hAnsi="Arial" w:cs="Arial"/>
          <w:iCs/>
          <w:szCs w:val="28"/>
          <w:lang w:val="uk-UA" w:eastAsia="ru-RU"/>
        </w:rPr>
      </w:pPr>
      <w:r w:rsidRPr="00511005">
        <w:rPr>
          <w:rFonts w:ascii="Arial" w:eastAsia="Times New Roman" w:hAnsi="Arial" w:cs="Arial"/>
          <w:szCs w:val="28"/>
          <w:lang w:val="uk-UA" w:eastAsia="ru-RU"/>
        </w:rPr>
        <w:t>З необхідністю усунення причин порушення Україною Конвенції і протоколів до неї, тощо регулюються Законом України «Про виконання рішень та застосування практики Європейського суду з прав людини». Задля повного розуміння положень Європейської конвенції необхідно звертатись саме до рішень Європейського суду з прав людини[6].</w:t>
      </w:r>
    </w:p>
    <w:p w14:paraId="5576D6FE" w14:textId="479DCA69"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Справа «Швидка проти України»,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рішення за якою Європейський суд з прав людини (ЄСПЛ) ухвалив 30 жовтня 2014 року, має важливе значення для законодавства України.</w:t>
      </w:r>
    </w:p>
    <w:p w14:paraId="4B22A66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ЄСПЛ визнав порушення статті 10 Європейської конвенції з прав людини (право на свободу вираження поглядів) у зв'язку з притягненням заявниці до адміністративної відповідальності у вигляді арешту за відривання стрічки з написом «Президент України В.Ф. Янукович» від вінка, покладеного Президентом.Суд наголосив, що такий вчинок був формою вираження політичних поглядів і застосоване покарання було непропорційним.Це рішення підкреслило важливість захисту політичного вираження, навіть у формах, які можуть здаватися провокативними, та необхідність зваженого підходу до обмеження цього права.</w:t>
      </w:r>
    </w:p>
    <w:p w14:paraId="0B56152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Рішення у справі «Швидка проти України», як і інші рішення ЄСПЛ, є важливим джерелом тлумачення Конвенції та має враховуватися національними судами та органами влади.Це рішення стало одним із аргументів на користь необхідності реформування законодавства про адміністративні правопорушення в Україні, зокрема в частині забезпечення права на оскарження рішень про адміністративний арешт [4].</w:t>
      </w:r>
    </w:p>
    <w:p w14:paraId="0077712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Дана справа є знаковою, оскільки вона підкреслила важливість захисту свободи вираження поглядів, навіть у політично чутливих ситуаціях, а також наголосила на необхідності забезпечення права на оскарження у справах про адміністративні правопорушення, які можуть призвести до обмеження </w:t>
      </w:r>
      <w:r w:rsidRPr="00511005">
        <w:rPr>
          <w:rFonts w:ascii="Arial" w:eastAsia="Times New Roman" w:hAnsi="Arial" w:cs="Arial"/>
          <w:szCs w:val="28"/>
          <w:lang w:val="uk-UA" w:eastAsia="ru-RU"/>
        </w:rPr>
        <w:lastRenderedPageBreak/>
        <w:t>особистої свободи. Це рішення сприяло усвідомленню Україною своїх зобов'язань у сфері захисту прав людини відповідно до Європейської конвенції.</w:t>
      </w:r>
    </w:p>
    <w:p w14:paraId="013CF78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Прецедентне право ЄСПЛ відіграє ключову роль у захисті права на свободу вираження поглядів. ЄСПЛ визнає, що це право не є абсолютним і може бути обмежене за певних чітко визначених умов. Будь-які обмеження повинні бути передбачені законом, мати легітимну мету та бути необхідними в демократичному суспільстві, тобто пропорційними та зумовленими нагальною суспільною потребою.</w:t>
      </w:r>
    </w:p>
    <w:p w14:paraId="1AEFDFE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Функціонування сучасного міжнародного товариства неможливе без протистояння позицій і поглядів, притаманних певним суб'єктам. Тлумачення певних питань, наявних у практиці міжнародних відносин, отримують відмінні оцінки з боку учасників процесу[6].</w:t>
      </w:r>
    </w:p>
    <w:p w14:paraId="7F6CEC80" w14:textId="77777777" w:rsidR="00220D3E" w:rsidRPr="00511005" w:rsidRDefault="00220D3E" w:rsidP="003A292D">
      <w:pPr>
        <w:tabs>
          <w:tab w:val="left" w:pos="709"/>
        </w:tabs>
        <w:spacing w:line="264" w:lineRule="auto"/>
        <w:rPr>
          <w:rFonts w:ascii="Arial" w:eastAsia="Times New Roman" w:hAnsi="Arial" w:cs="Arial"/>
          <w:b/>
          <w:i/>
          <w:szCs w:val="28"/>
          <w:lang w:val="uk-UA" w:eastAsia="ru-RU"/>
        </w:rPr>
      </w:pPr>
      <w:r w:rsidRPr="00511005">
        <w:rPr>
          <w:rFonts w:ascii="Arial" w:eastAsia="Times New Roman" w:hAnsi="Arial" w:cs="Arial"/>
          <w:szCs w:val="28"/>
          <w:lang w:val="uk-UA" w:eastAsia="ru-RU"/>
        </w:rPr>
        <w:t>Прецедентне право ЄСПЛ є важливим орієнтиром для національних судів та законодавців у питанні забезпечення балансу між правом на свободу вираження поглядів та іншими легітимними цілями, сприяючи формуванню сталих демократичних практик у державах-членах Ради Європи, включаючи Україну.</w:t>
      </w:r>
      <w:r w:rsidRPr="00511005">
        <w:rPr>
          <w:rFonts w:ascii="Arial" w:eastAsia="Times New Roman" w:hAnsi="Arial" w:cs="Arial"/>
          <w:b/>
          <w:i/>
          <w:szCs w:val="28"/>
          <w:lang w:eastAsia="ru-RU"/>
        </w:rPr>
        <w:t xml:space="preserve"> </w:t>
      </w:r>
    </w:p>
    <w:p w14:paraId="10B9E4AC" w14:textId="77777777" w:rsidR="00220D3E" w:rsidRPr="00511005" w:rsidRDefault="00220D3E" w:rsidP="003A292D">
      <w:pPr>
        <w:tabs>
          <w:tab w:val="left" w:pos="709"/>
        </w:tabs>
        <w:spacing w:line="264" w:lineRule="auto"/>
        <w:rPr>
          <w:rFonts w:ascii="Arial" w:eastAsia="Times New Roman" w:hAnsi="Arial" w:cs="Arial"/>
          <w:b/>
          <w:szCs w:val="28"/>
          <w:lang w:val="uk-UA" w:eastAsia="ru-RU"/>
        </w:rPr>
      </w:pPr>
    </w:p>
    <w:p w14:paraId="46866796" w14:textId="2CB00F04"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 xml:space="preserve">свобода вираження поглядів, правомірність </w:t>
      </w:r>
      <w:r w:rsidR="00220D3E" w:rsidRPr="00070B72">
        <w:rPr>
          <w:rFonts w:ascii="Arial" w:eastAsia="Times New Roman" w:hAnsi="Arial" w:cs="Arial"/>
          <w:szCs w:val="28"/>
          <w:lang w:val="uk-UA" w:eastAsia="ru-RU"/>
        </w:rPr>
        <w:t>обмежень свободи,</w:t>
      </w:r>
      <w:r w:rsidR="00220D3E" w:rsidRPr="00511005">
        <w:rPr>
          <w:rFonts w:ascii="Arial" w:eastAsia="Times New Roman" w:hAnsi="Arial" w:cs="Arial"/>
          <w:szCs w:val="28"/>
          <w:lang w:val="uk-UA" w:eastAsia="ru-RU"/>
        </w:rPr>
        <w:t xml:space="preserve"> демократія, конвенція, законна мета, законодавство, права людини, свобода.</w:t>
      </w:r>
    </w:p>
    <w:p w14:paraId="2D40BBD0" w14:textId="5D940554" w:rsidR="00220D3E" w:rsidRPr="00511005" w:rsidRDefault="00220D3E" w:rsidP="003A292D">
      <w:pPr>
        <w:tabs>
          <w:tab w:val="left" w:pos="709"/>
        </w:tabs>
        <w:spacing w:line="264" w:lineRule="auto"/>
        <w:rPr>
          <w:rFonts w:ascii="Arial" w:eastAsia="Times New Roman" w:hAnsi="Arial" w:cs="Arial"/>
          <w:szCs w:val="28"/>
          <w:lang w:val="uk-UA" w:eastAsia="ru-RU"/>
        </w:rPr>
      </w:pPr>
      <w:r w:rsidRPr="00070B72">
        <w:rPr>
          <w:rFonts w:ascii="Arial" w:eastAsia="Times New Roman" w:hAnsi="Arial" w:cs="Arial"/>
          <w:b/>
          <w:i/>
          <w:iCs/>
          <w:szCs w:val="28"/>
          <w:lang w:val="en-US" w:eastAsia="ru-RU"/>
        </w:rPr>
        <w:t>Key</w:t>
      </w:r>
      <w:r w:rsidR="00070B72" w:rsidRPr="00070B72">
        <w:rPr>
          <w:rFonts w:ascii="Arial" w:eastAsia="Times New Roman" w:hAnsi="Arial" w:cs="Arial"/>
          <w:b/>
          <w:i/>
          <w:iCs/>
          <w:szCs w:val="28"/>
          <w:lang w:val="uk-UA" w:eastAsia="ru-RU"/>
        </w:rPr>
        <w:t xml:space="preserve"> </w:t>
      </w:r>
      <w:r w:rsidRPr="00070B72">
        <w:rPr>
          <w:rFonts w:ascii="Arial" w:eastAsia="Times New Roman" w:hAnsi="Arial" w:cs="Arial"/>
          <w:b/>
          <w:i/>
          <w:iCs/>
          <w:szCs w:val="28"/>
          <w:lang w:val="en-US" w:eastAsia="ru-RU"/>
        </w:rPr>
        <w:t>words:</w:t>
      </w:r>
      <w:r w:rsidR="00070B72">
        <w:rPr>
          <w:rFonts w:ascii="Arial" w:eastAsia="Times New Roman" w:hAnsi="Arial" w:cs="Arial"/>
          <w:b/>
          <w:szCs w:val="28"/>
          <w:lang w:val="uk-UA" w:eastAsia="ru-RU"/>
        </w:rPr>
        <w:t xml:space="preserve"> </w:t>
      </w:r>
      <w:hyperlink r:id="rId611" w:tgtFrame="_blank" w:tooltip="freedom" w:history="1">
        <w:r w:rsidRPr="00511005">
          <w:rPr>
            <w:rFonts w:ascii="Arial" w:eastAsia="Times New Roman" w:hAnsi="Arial" w:cs="Arial"/>
            <w:szCs w:val="28"/>
            <w:lang w:val="en-US" w:eastAsia="ru-RU"/>
          </w:rPr>
          <w:t>freedom</w:t>
        </w:r>
      </w:hyperlink>
      <w:r w:rsidR="00070B72">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of</w:t>
      </w:r>
      <w:r w:rsidR="00070B72">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expression,</w:t>
      </w:r>
      <w:r w:rsidR="00070B72">
        <w:rPr>
          <w:rFonts w:ascii="Arial" w:eastAsia="Times New Roman" w:hAnsi="Arial" w:cs="Arial"/>
          <w:szCs w:val="28"/>
          <w:lang w:val="uk-UA" w:eastAsia="ru-RU"/>
        </w:rPr>
        <w:t xml:space="preserve"> </w:t>
      </w:r>
      <w:hyperlink r:id="rId612" w:tgtFrame="_blank" w:tooltip="legitimacy" w:history="1">
        <w:r w:rsidRPr="00511005">
          <w:rPr>
            <w:rFonts w:ascii="Arial" w:eastAsia="Times New Roman" w:hAnsi="Arial" w:cs="Arial"/>
            <w:szCs w:val="28"/>
            <w:lang w:val="en-US" w:eastAsia="ru-RU"/>
          </w:rPr>
          <w:t>legitimacy</w:t>
        </w:r>
      </w:hyperlink>
      <w:r w:rsidR="00070B72">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restrictions</w:t>
      </w:r>
      <w:r w:rsidR="00070B72">
        <w:rPr>
          <w:rFonts w:ascii="Arial" w:eastAsia="Times New Roman" w:hAnsi="Arial" w:cs="Arial"/>
          <w:szCs w:val="28"/>
          <w:lang w:val="uk-UA" w:eastAsia="ru-RU"/>
        </w:rPr>
        <w:t xml:space="preserve"> </w:t>
      </w:r>
      <w:hyperlink r:id="rId613" w:tgtFrame="_blank" w:tooltip="freedom" w:history="1">
        <w:r w:rsidRPr="00511005">
          <w:rPr>
            <w:rFonts w:ascii="Arial" w:eastAsia="Times New Roman" w:hAnsi="Arial" w:cs="Arial"/>
            <w:szCs w:val="28"/>
            <w:lang w:val="en-US" w:eastAsia="ru-RU"/>
          </w:rPr>
          <w:t>freedom</w:t>
        </w:r>
      </w:hyperlink>
      <w:r w:rsidRPr="00511005">
        <w:rPr>
          <w:rFonts w:ascii="Arial" w:eastAsia="Times New Roman" w:hAnsi="Arial" w:cs="Arial"/>
          <w:szCs w:val="28"/>
          <w:lang w:val="en-US" w:eastAsia="ru-RU"/>
        </w:rPr>
        <w:t>,</w:t>
      </w:r>
      <w:r w:rsidR="00070B72">
        <w:rPr>
          <w:rFonts w:ascii="Arial" w:eastAsia="Times New Roman" w:hAnsi="Arial" w:cs="Arial"/>
          <w:szCs w:val="28"/>
          <w:lang w:val="uk-UA" w:eastAsia="ru-RU"/>
        </w:rPr>
        <w:t xml:space="preserve"> </w:t>
      </w:r>
      <w:hyperlink r:id="rId614" w:tgtFrame="_blank" w:tooltip="democracy" w:history="1">
        <w:r w:rsidRPr="00511005">
          <w:rPr>
            <w:rFonts w:ascii="Arial" w:eastAsia="Times New Roman" w:hAnsi="Arial" w:cs="Arial"/>
            <w:szCs w:val="28"/>
            <w:lang w:val="en-US" w:eastAsia="ru-RU"/>
          </w:rPr>
          <w:t>democracy</w:t>
        </w:r>
      </w:hyperlink>
      <w:r w:rsidRPr="00511005">
        <w:rPr>
          <w:rFonts w:ascii="Arial" w:eastAsia="Times New Roman" w:hAnsi="Arial" w:cs="Arial"/>
          <w:szCs w:val="28"/>
          <w:lang w:val="en-US" w:eastAsia="ru-RU"/>
        </w:rPr>
        <w:t>,</w:t>
      </w:r>
      <w:r w:rsidR="00070B72">
        <w:rPr>
          <w:rFonts w:ascii="Arial" w:eastAsia="Times New Roman" w:hAnsi="Arial" w:cs="Arial"/>
          <w:szCs w:val="28"/>
          <w:lang w:val="uk-UA" w:eastAsia="ru-RU"/>
        </w:rPr>
        <w:t xml:space="preserve"> </w:t>
      </w:r>
      <w:hyperlink r:id="rId615" w:tgtFrame="_blank" w:tooltip="convention" w:history="1">
        <w:r w:rsidRPr="00511005">
          <w:rPr>
            <w:rFonts w:ascii="Arial" w:eastAsia="Times New Roman" w:hAnsi="Arial" w:cs="Arial"/>
            <w:szCs w:val="28"/>
            <w:lang w:val="en-US" w:eastAsia="ru-RU"/>
          </w:rPr>
          <w:t>convention</w:t>
        </w:r>
      </w:hyperlink>
      <w:r w:rsidRPr="00511005">
        <w:rPr>
          <w:rFonts w:ascii="Arial" w:eastAsia="Times New Roman" w:hAnsi="Arial" w:cs="Arial"/>
          <w:szCs w:val="28"/>
          <w:lang w:val="en-US" w:eastAsia="ru-RU"/>
        </w:rPr>
        <w:t>,legitimate purpose,</w:t>
      </w:r>
      <w:hyperlink r:id="rId616" w:tgtFrame="_blank" w:tooltip="legislation" w:history="1">
        <w:r w:rsidRPr="00511005">
          <w:rPr>
            <w:rFonts w:ascii="Arial" w:eastAsia="Times New Roman" w:hAnsi="Arial" w:cs="Arial"/>
            <w:szCs w:val="28"/>
            <w:lang w:val="en-US" w:eastAsia="ru-RU"/>
          </w:rPr>
          <w:t>legislation</w:t>
        </w:r>
      </w:hyperlink>
      <w:r w:rsidRPr="00511005">
        <w:rPr>
          <w:rFonts w:ascii="Arial" w:eastAsia="Times New Roman" w:hAnsi="Arial" w:cs="Arial"/>
          <w:szCs w:val="28"/>
          <w:lang w:val="en-US" w:eastAsia="ru-RU"/>
        </w:rPr>
        <w:t>,human rights,</w:t>
      </w:r>
      <w:hyperlink r:id="rId617" w:tgtFrame="_blank" w:tooltip="freedom" w:history="1">
        <w:r w:rsidRPr="00511005">
          <w:rPr>
            <w:rFonts w:ascii="Arial" w:eastAsia="Times New Roman" w:hAnsi="Arial" w:cs="Arial"/>
            <w:szCs w:val="28"/>
            <w:lang w:val="en-US" w:eastAsia="ru-RU"/>
          </w:rPr>
          <w:t>freedom</w:t>
        </w:r>
      </w:hyperlink>
      <w:r w:rsidRPr="00511005">
        <w:rPr>
          <w:rFonts w:ascii="Arial" w:eastAsia="Times New Roman" w:hAnsi="Arial" w:cs="Arial"/>
          <w:szCs w:val="28"/>
          <w:lang w:val="en-US" w:eastAsia="ru-RU"/>
        </w:rPr>
        <w:t>.</w:t>
      </w:r>
    </w:p>
    <w:p w14:paraId="2771D7A2" w14:textId="128B6C4B" w:rsidR="00220D3E" w:rsidRPr="00511005" w:rsidRDefault="007B2628" w:rsidP="003A292D">
      <w:pPr>
        <w:keepNext/>
        <w:spacing w:line="264" w:lineRule="auto"/>
        <w:ind w:firstLine="851"/>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eastAsia="ru-RU"/>
        </w:rPr>
        <w:t>к.ю.н.,</w:t>
      </w:r>
      <w:r w:rsidR="00220D3E" w:rsidRPr="00511005">
        <w:rPr>
          <w:rFonts w:ascii="Arial" w:eastAsia="Times New Roman" w:hAnsi="Arial" w:cs="Arial"/>
          <w:bCs/>
          <w:i/>
          <w:iCs/>
          <w:szCs w:val="28"/>
          <w:lang w:val="uk-UA" w:eastAsia="ru-RU"/>
        </w:rPr>
        <w:t xml:space="preserve"> доцент Дронов В. Ю.</w:t>
      </w:r>
    </w:p>
    <w:p w14:paraId="556A16C0" w14:textId="77777777" w:rsidR="00220D3E" w:rsidRPr="00511005" w:rsidRDefault="00220D3E" w:rsidP="003A292D">
      <w:pPr>
        <w:keepNext/>
        <w:tabs>
          <w:tab w:val="left" w:pos="709"/>
        </w:tabs>
        <w:spacing w:line="264" w:lineRule="auto"/>
        <w:jc w:val="center"/>
        <w:rPr>
          <w:rFonts w:ascii="Arial" w:eastAsia="Times New Roman" w:hAnsi="Arial" w:cs="Arial"/>
          <w:b/>
          <w:i/>
          <w:szCs w:val="28"/>
          <w:lang w:val="uk-UA" w:eastAsia="ru-RU"/>
        </w:rPr>
      </w:pPr>
    </w:p>
    <w:p w14:paraId="74C42BBF" w14:textId="0AE1D9D9" w:rsidR="00220D3E" w:rsidRPr="00511005" w:rsidRDefault="00220D3E" w:rsidP="00146592">
      <w:pPr>
        <w:keepNext/>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Потелещенко Крістіна Анатоліївна</w:t>
      </w:r>
      <w:r w:rsidRPr="00511005">
        <w:rPr>
          <w:rFonts w:ascii="Arial" w:eastAsia="Times New Roman" w:hAnsi="Arial" w:cs="Arial"/>
          <w:b/>
          <w:i/>
          <w:szCs w:val="28"/>
          <w:lang w:val="uk-UA" w:eastAsia="ru-RU"/>
        </w:rPr>
        <w:t>,</w:t>
      </w:r>
      <w:r w:rsidR="00146592" w:rsidRPr="00511005">
        <w:rPr>
          <w:rFonts w:ascii="Arial" w:eastAsia="Times New Roman" w:hAnsi="Arial" w:cs="Arial"/>
          <w:b/>
          <w:i/>
          <w:szCs w:val="28"/>
          <w:lang w:val="uk-UA" w:eastAsia="ru-RU"/>
        </w:rPr>
        <w:t xml:space="preserve"> </w:t>
      </w:r>
      <w:r w:rsidRPr="00511005">
        <w:rPr>
          <w:rFonts w:ascii="Arial" w:eastAsia="Times New Roman" w:hAnsi="Arial" w:cs="Arial"/>
          <w:b/>
          <w:i/>
          <w:szCs w:val="28"/>
          <w:lang w:eastAsia="ru-RU"/>
        </w:rPr>
        <w:t>Яценко Надія Іванівна</w:t>
      </w:r>
    </w:p>
    <w:p w14:paraId="24CF3A18" w14:textId="7B33002E" w:rsidR="00220D3E" w:rsidRPr="00511005" w:rsidRDefault="00220D3E" w:rsidP="00146592">
      <w:pPr>
        <w:keepNext/>
        <w:tabs>
          <w:tab w:val="left" w:pos="709"/>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szCs w:val="28"/>
          <w:lang w:eastAsia="ru-RU"/>
        </w:rPr>
        <w:t xml:space="preserve">студентки 4-го курсу </w:t>
      </w:r>
      <w:r w:rsidR="001B7B25" w:rsidRPr="00511005">
        <w:rPr>
          <w:rFonts w:ascii="Arial" w:eastAsia="Times New Roman" w:hAnsi="Arial" w:cs="Arial"/>
          <w:szCs w:val="28"/>
          <w:lang w:eastAsia="ru-RU"/>
        </w:rPr>
        <w:t>факультету судового та міжнародного права</w:t>
      </w:r>
      <w:r w:rsidRPr="00511005">
        <w:rPr>
          <w:rFonts w:ascii="Arial" w:eastAsia="Times New Roman" w:hAnsi="Arial" w:cs="Arial"/>
          <w:szCs w:val="28"/>
          <w:lang w:eastAsia="ru-RU"/>
        </w:rPr>
        <w:br/>
      </w:r>
      <w:r w:rsidR="007B2628" w:rsidRPr="00511005">
        <w:rPr>
          <w:rFonts w:ascii="Arial" w:eastAsia="Times New Roman" w:hAnsi="Arial" w:cs="Arial"/>
          <w:szCs w:val="28"/>
          <w:lang w:eastAsia="ru-RU"/>
        </w:rPr>
        <w:t>Національного університету «Одеська юридична академія»</w:t>
      </w:r>
    </w:p>
    <w:p w14:paraId="3CF4805D" w14:textId="77777777" w:rsidR="00220D3E" w:rsidRPr="00511005" w:rsidRDefault="00220D3E" w:rsidP="00146592">
      <w:pPr>
        <w:tabs>
          <w:tab w:val="left" w:pos="709"/>
        </w:tabs>
        <w:spacing w:line="264" w:lineRule="auto"/>
        <w:ind w:firstLine="0"/>
        <w:jc w:val="center"/>
        <w:rPr>
          <w:rFonts w:ascii="Arial" w:eastAsia="Times New Roman" w:hAnsi="Arial" w:cs="Arial"/>
          <w:b/>
          <w:i/>
          <w:szCs w:val="28"/>
          <w:lang w:eastAsia="ru-RU"/>
        </w:rPr>
      </w:pPr>
    </w:p>
    <w:p w14:paraId="0AED3ADE" w14:textId="77777777" w:rsidR="00220D3E" w:rsidRPr="00511005" w:rsidRDefault="00220D3E" w:rsidP="00146592">
      <w:pPr>
        <w:tabs>
          <w:tab w:val="left" w:pos="709"/>
        </w:tabs>
        <w:spacing w:line="264" w:lineRule="auto"/>
        <w:ind w:firstLine="0"/>
        <w:jc w:val="center"/>
        <w:rPr>
          <w:rFonts w:ascii="Arial" w:eastAsia="Times New Roman" w:hAnsi="Arial" w:cs="Arial"/>
          <w:b/>
          <w:iCs/>
          <w:szCs w:val="28"/>
          <w:lang w:eastAsia="ru-RU"/>
        </w:rPr>
      </w:pPr>
      <w:r w:rsidRPr="00511005">
        <w:rPr>
          <w:rFonts w:ascii="Arial" w:eastAsia="Times New Roman" w:hAnsi="Arial" w:cs="Arial"/>
          <w:b/>
          <w:iCs/>
          <w:szCs w:val="28"/>
          <w:lang w:eastAsia="ru-RU"/>
        </w:rPr>
        <w:t>РОЛЬ ООН ТА РЕГІОНАЛЬНИХ ОРГАНІЗАЦІЙ У ЗАХИСТІ ПРАВ ЛЮДИНИ ПІД ЧАС ЗБРОЙНИХ КОНФЛІКТІВ</w:t>
      </w:r>
    </w:p>
    <w:p w14:paraId="49F80A46"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Збройні конфлікти є одним із найбільших викликів для забезпечення прав людини, оскільки саме під час воєнних дій правова система часто опиняється під серйозним тиском. У таких умовах органи, що відповідають за захист прав людини, зокрема Організація Об'єднаних Націй (ООН) та регіональні організації, відіграють ключову роль у підтримці міжнародного правопорядку та забезпеченні захисту прав людей у найскладніших ситуаціях. Важливо зрозуміти, що ефективна система міжнародного захисту прав людини включає як універсальні механізми, так і регіональні інституції, кожна з яких має свою специфіку та особливості функціонування [1].</w:t>
      </w:r>
    </w:p>
    <w:p w14:paraId="4BAEFF0A"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lastRenderedPageBreak/>
        <w:t>У сучасному світі збройні конфлікти, зокрема повномасштабна агресія Росії проти України, війна між Ізраїлем і ХАМАС, а також збройні протистояння в Судані, Ємені та інших регіонах, наочно демонструють глибокі порушення міжнародного гуманітарного права та прав людини. Ці конфлікти супроводжуються масовими порушеннями прав цивільного населення – зокрема, невибірковими атаками, примусовими переміщеннями, використанням тортур, сексуального насильства та іншими тяжкими злочинами.</w:t>
      </w:r>
    </w:p>
    <w:p w14:paraId="137AF3C8"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У таких умовах органи, що відповідають за захист прав людини, зокрема Організація Об'єднаних Націй (ООН) та регіональні організації, відіграють ключову роль у підтримці міжнародного правопорядку та забезпеченні захисту прав людей у найскладніших ситуаціях. Зокрема, ООН здійснює моніторинг ситуації в зоні конфліктів, публікує доповіді, закликає до припинення бойових дій та відкриває розслідування щодо можливих воєнних злочинів. Водночас, міжнародні механізми часто стикаються з політичними бар’єрами – такими як вето в Раді Безпеки ООН, відмова окремих держав співпрацювати з міжнародними судовими органами, або маніпуляції інформацією, що ускладнюють притягнення винних до відповідальності.</w:t>
      </w:r>
    </w:p>
    <w:p w14:paraId="6EE70EA1"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 xml:space="preserve">На сучасному етапі надзвичайно важливим є не лише реагування на факти порушень, а й розробка дієвих механізмів попередження конфліктів, зміцнення правових інституцій </w:t>
      </w:r>
      <w:proofErr w:type="gramStart"/>
      <w:r w:rsidRPr="00511005">
        <w:rPr>
          <w:rFonts w:ascii="Arial" w:eastAsia="Times New Roman" w:hAnsi="Arial" w:cs="Arial"/>
          <w:iCs/>
          <w:szCs w:val="28"/>
          <w:lang w:eastAsia="ru-RU"/>
        </w:rPr>
        <w:t>у державах</w:t>
      </w:r>
      <w:proofErr w:type="gramEnd"/>
      <w:r w:rsidRPr="00511005">
        <w:rPr>
          <w:rFonts w:ascii="Arial" w:eastAsia="Times New Roman" w:hAnsi="Arial" w:cs="Arial"/>
          <w:iCs/>
          <w:szCs w:val="28"/>
          <w:lang w:eastAsia="ru-RU"/>
        </w:rPr>
        <w:t xml:space="preserve">, що перебувають у стані війни або постконфліктної трансформації, а також гарантії справедливості для жертв. У цьому контексті особливу увагу привертає діяльність Міжнародного кримінального суду, який уже відкрив провадження щодо злочинів, скоєних </w:t>
      </w:r>
      <w:proofErr w:type="gramStart"/>
      <w:r w:rsidRPr="00511005">
        <w:rPr>
          <w:rFonts w:ascii="Arial" w:eastAsia="Times New Roman" w:hAnsi="Arial" w:cs="Arial"/>
          <w:iCs/>
          <w:szCs w:val="28"/>
          <w:lang w:eastAsia="ru-RU"/>
        </w:rPr>
        <w:t>у межах</w:t>
      </w:r>
      <w:proofErr w:type="gramEnd"/>
      <w:r w:rsidRPr="00511005">
        <w:rPr>
          <w:rFonts w:ascii="Arial" w:eastAsia="Times New Roman" w:hAnsi="Arial" w:cs="Arial"/>
          <w:iCs/>
          <w:szCs w:val="28"/>
          <w:lang w:eastAsia="ru-RU"/>
        </w:rPr>
        <w:t xml:space="preserve"> сучасних конфліктів, включно з ситуацією в Україні.</w:t>
      </w:r>
    </w:p>
    <w:p w14:paraId="31292190"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 xml:space="preserve">Міжнародна спільнота почала активно розглядати питання захисту прав людини </w:t>
      </w:r>
      <w:proofErr w:type="gramStart"/>
      <w:r w:rsidRPr="00511005">
        <w:rPr>
          <w:rFonts w:ascii="Arial" w:eastAsia="Times New Roman" w:hAnsi="Arial" w:cs="Arial"/>
          <w:iCs/>
          <w:szCs w:val="28"/>
          <w:lang w:eastAsia="ru-RU"/>
        </w:rPr>
        <w:t>на початку</w:t>
      </w:r>
      <w:proofErr w:type="gramEnd"/>
      <w:r w:rsidRPr="00511005">
        <w:rPr>
          <w:rFonts w:ascii="Arial" w:eastAsia="Times New Roman" w:hAnsi="Arial" w:cs="Arial"/>
          <w:iCs/>
          <w:szCs w:val="28"/>
          <w:lang w:eastAsia="ru-RU"/>
        </w:rPr>
        <w:t xml:space="preserve"> XX століття, коли після Першої світової війни Ліга Націй спробувала створити правову основу для захисту національних меншин. Однак трагедії Другої світової війни, звірства, що мали місце в цей період, змусили міжнародне співтовариство не тільки визнавати необхідність захисту прав людини, але й розробити нові механізми, що включають створення ООН як організації, що покликана забезпечити мир і стабільність у світі, а також захищати права людини на глобальному рівні. Основним завданням ООН стало забезпечення прав і свобод людини, що в свою чергу стало важливим аспектом міжнародної політики.</w:t>
      </w:r>
    </w:p>
    <w:p w14:paraId="11F95A85"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 xml:space="preserve">ООН, на відміну від інших міжнародних організацій, є найбільш універсальним інститутом, який має найширші повноваження в області захисту прав людини. Під егідою ООН були створені важливі документи, що визначають стандарти в цій сфері, зокрема Загальна декларація прав людини 1948 року, Міжнародний пакт про громадянські і політичні права, а також інші акти, що визначають глобальні принципи забезпечення прав </w:t>
      </w:r>
      <w:r w:rsidRPr="00511005">
        <w:rPr>
          <w:rFonts w:ascii="Arial" w:eastAsia="Times New Roman" w:hAnsi="Arial" w:cs="Arial"/>
          <w:iCs/>
          <w:szCs w:val="28"/>
          <w:lang w:eastAsia="ru-RU"/>
        </w:rPr>
        <w:lastRenderedPageBreak/>
        <w:t xml:space="preserve">людини. ООН активно працює над тим, щоб організувати моніторинг за дотриманням прав людини, надавати допомогу державам, що потребують підтримки, а також проводити розслідування порушень прав людини </w:t>
      </w:r>
      <w:proofErr w:type="gramStart"/>
      <w:r w:rsidRPr="00511005">
        <w:rPr>
          <w:rFonts w:ascii="Arial" w:eastAsia="Times New Roman" w:hAnsi="Arial" w:cs="Arial"/>
          <w:iCs/>
          <w:szCs w:val="28"/>
          <w:lang w:eastAsia="ru-RU"/>
        </w:rPr>
        <w:t>у зонах</w:t>
      </w:r>
      <w:proofErr w:type="gramEnd"/>
      <w:r w:rsidRPr="00511005">
        <w:rPr>
          <w:rFonts w:ascii="Arial" w:eastAsia="Times New Roman" w:hAnsi="Arial" w:cs="Arial"/>
          <w:iCs/>
          <w:szCs w:val="28"/>
          <w:lang w:eastAsia="ru-RU"/>
        </w:rPr>
        <w:t xml:space="preserve"> конфліктів [2].</w:t>
      </w:r>
    </w:p>
    <w:p w14:paraId="2612658D"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Важливу роль у діяльності ООН відіграє Верховний комісар з прав людини, створений у 1994 році, який координує роботу з правами людини в рамках ООН. Завданням цієї посади є захист прав людини, розвиток міжнародних стандартів та впровадження відповідних механізмів для реалізації цих стандартів у національних правових системах. Комісар має право виступати від імені міжнародної спільноти, щоб забезпечити правову підтримку та здійснити вплив на держави, що порушують міжнародні норми [3].</w:t>
      </w:r>
    </w:p>
    <w:p w14:paraId="2ACEA5C5"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Незважаючи на успіхи ООН у сфері захисту прав людини, ефективність її роботи часто залежить від політичної волі держав-членів. Це пов'язано з тим, що більшість рішень, що приймаються в рамках ООН, носять рекомендаційний характер, і їх реалізація залежить від прийняття відповідних заходів на національному рівні. Тому для ООН важливо забезпечити належну взаємодію з національними урядами та іншими міжнародними інституціями.</w:t>
      </w:r>
    </w:p>
    <w:p w14:paraId="54BA3E59"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 xml:space="preserve">Крім ООН, важливу роль у забезпеченні прав людини відіграють регіональні організації. Так, Європейський суд з прав людини є однією з найважливіших інституцій у Європі, яка здійснює нагляд за виконанням Конвенції про захист прав людини та основних свобод </w:t>
      </w:r>
      <w:proofErr w:type="gramStart"/>
      <w:r w:rsidRPr="00511005">
        <w:rPr>
          <w:rFonts w:ascii="Arial" w:eastAsia="Times New Roman" w:hAnsi="Arial" w:cs="Arial"/>
          <w:iCs/>
          <w:szCs w:val="28"/>
          <w:lang w:eastAsia="ru-RU"/>
        </w:rPr>
        <w:t>державами-членами</w:t>
      </w:r>
      <w:proofErr w:type="gramEnd"/>
      <w:r w:rsidRPr="00511005">
        <w:rPr>
          <w:rFonts w:ascii="Arial" w:eastAsia="Times New Roman" w:hAnsi="Arial" w:cs="Arial"/>
          <w:iCs/>
          <w:szCs w:val="28"/>
          <w:lang w:eastAsia="ru-RU"/>
        </w:rPr>
        <w:t xml:space="preserve"> Ради Європи. Цей суд має повноваження приймати рішення </w:t>
      </w:r>
      <w:proofErr w:type="gramStart"/>
      <w:r w:rsidRPr="00511005">
        <w:rPr>
          <w:rFonts w:ascii="Arial" w:eastAsia="Times New Roman" w:hAnsi="Arial" w:cs="Arial"/>
          <w:iCs/>
          <w:szCs w:val="28"/>
          <w:lang w:eastAsia="ru-RU"/>
        </w:rPr>
        <w:t>у справах</w:t>
      </w:r>
      <w:proofErr w:type="gramEnd"/>
      <w:r w:rsidRPr="00511005">
        <w:rPr>
          <w:rFonts w:ascii="Arial" w:eastAsia="Times New Roman" w:hAnsi="Arial" w:cs="Arial"/>
          <w:iCs/>
          <w:szCs w:val="28"/>
          <w:lang w:eastAsia="ru-RU"/>
        </w:rPr>
        <w:t>, що стосуються порушень прав людини, і його рішення є обов'язковими для держав, що підписали Конвенцію [4].</w:t>
      </w:r>
    </w:p>
    <w:p w14:paraId="07F6B6A0"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Міжамериканська система прав людини, зокрема Міжамериканський суд з прав людини, також має важливе значення для країн Америки. Ця організація розглядає справи про порушення прав людини на континенті та забезпечує ефективний моніторинг за дотриманням міжнародних стандартів. Африканський суд з прав людини та народів, у свою чергу, займається захистом прав людини на Африканському континенті, де виникає ряд специфічних викликів через конфлікти та порушення прав у регіоні. Регіональні організації мають ту перевагу, що вони краще розуміють контекст місцевих проблем і можуть діяти на більш гнучкому та оперативному рівні.</w:t>
      </w:r>
    </w:p>
    <w:p w14:paraId="1EC8C6E2"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 xml:space="preserve">Ще однією важливою складовою системи захисту прав людини є тимчасові трибунали, що створюються для розслідування серйозних міжнародних злочинів, зокрема воєнних злочинів, злочинів проти людяності та геноциду. Такі трибунали, як Міжнародний кримінальний трибунал для колишньої Югославії (МТКЮ) або Міжнародний кримінальний трибунал для Руанди (МТКР), забезпечили важливе правосуддя для жертв конфліктів у </w:t>
      </w:r>
      <w:r w:rsidRPr="00511005">
        <w:rPr>
          <w:rFonts w:ascii="Arial" w:eastAsia="Times New Roman" w:hAnsi="Arial" w:cs="Arial"/>
          <w:iCs/>
          <w:szCs w:val="28"/>
          <w:lang w:eastAsia="ru-RU"/>
        </w:rPr>
        <w:lastRenderedPageBreak/>
        <w:t>цих регіонах. Міжнародний кримінальний суд (МКС) є найбільш значущою інституцією у боротьбі з безкарністю за порушення прав людини на глобальному рівні [5].</w:t>
      </w:r>
    </w:p>
    <w:p w14:paraId="17828CC4"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Всі ці органи та інституції разом складають систему, що здатна впливати на ситуацію, коли збройні конфлікти загрожують правам людей. Однак потрібно зазначити, що, незважаючи на всі досягнення, система міжнародного захисту прав людини має свої обмеження. Порушення прав людини під час збройних конфліктів часто залишається безкарним через політичні інтереси держав або недостатні ресурси для проведення ефективних розслідувань. Також існують питання щодо незалежності та політичного впливу, який можуть мати окремі держави на міжнародні органи.</w:t>
      </w:r>
    </w:p>
    <w:p w14:paraId="065F0BAE" w14:textId="77777777" w:rsidR="00220D3E" w:rsidRPr="00511005" w:rsidRDefault="00220D3E" w:rsidP="003A292D">
      <w:pPr>
        <w:tabs>
          <w:tab w:val="left" w:pos="709"/>
        </w:tabs>
        <w:spacing w:line="264" w:lineRule="auto"/>
        <w:contextualSpacing/>
        <w:rPr>
          <w:rFonts w:ascii="Arial" w:eastAsia="Times New Roman" w:hAnsi="Arial" w:cs="Arial"/>
          <w:iCs/>
          <w:szCs w:val="28"/>
          <w:lang w:eastAsia="ru-RU"/>
        </w:rPr>
      </w:pPr>
      <w:r w:rsidRPr="00511005">
        <w:rPr>
          <w:rFonts w:ascii="Arial" w:eastAsia="Times New Roman" w:hAnsi="Arial" w:cs="Arial"/>
          <w:iCs/>
          <w:szCs w:val="28"/>
          <w:lang w:eastAsia="ru-RU"/>
        </w:rPr>
        <w:t>Таким чином, роль ООН та регіональних організацій у захисті прав людини під час збройних конфліктів є надзвичайно важливою, але вимагає подальших удосконалень, зокрема в частині забезпечення незалежності органів, розширення доступу до правосуддя для жертв та посилення міжнародної співпраці в боротьбі з порушеннями прав людини. Тільки комплексний підхід на глобальному та регіональному рівнях дозволить ефективно протистояти зростаючим викликам у цій сфері.</w:t>
      </w:r>
    </w:p>
    <w:p w14:paraId="074FC8D6" w14:textId="77777777" w:rsidR="00220D3E" w:rsidRPr="00511005" w:rsidRDefault="00220D3E" w:rsidP="003A292D">
      <w:pPr>
        <w:tabs>
          <w:tab w:val="left" w:pos="709"/>
        </w:tabs>
        <w:spacing w:line="264" w:lineRule="auto"/>
        <w:contextualSpacing/>
        <w:jc w:val="center"/>
        <w:rPr>
          <w:rFonts w:ascii="Arial" w:eastAsia="Times New Roman" w:hAnsi="Arial" w:cs="Arial"/>
          <w:b/>
          <w:iCs/>
          <w:szCs w:val="28"/>
          <w:lang w:eastAsia="ru-RU"/>
        </w:rPr>
      </w:pPr>
    </w:p>
    <w:p w14:paraId="1AD87D2E" w14:textId="34ED3A98" w:rsidR="00220D3E" w:rsidRPr="00511005" w:rsidRDefault="007B2628" w:rsidP="007B2628">
      <w:pPr>
        <w:tabs>
          <w:tab w:val="left" w:pos="709"/>
        </w:tabs>
        <w:spacing w:line="264" w:lineRule="auto"/>
        <w:contextualSpacing/>
        <w:jc w:val="center"/>
        <w:rPr>
          <w:rFonts w:ascii="Arial" w:eastAsia="Times New Roman" w:hAnsi="Arial" w:cs="Arial"/>
          <w:b/>
          <w:iCs/>
          <w:szCs w:val="28"/>
          <w:lang w:eastAsia="ru-RU"/>
        </w:rPr>
      </w:pPr>
      <w:r w:rsidRPr="00511005">
        <w:rPr>
          <w:rFonts w:ascii="Arial" w:eastAsia="Times New Roman" w:hAnsi="Arial" w:cs="Arial"/>
          <w:b/>
          <w:iCs/>
          <w:szCs w:val="28"/>
          <w:lang w:val="uk-UA" w:eastAsia="ru-RU"/>
        </w:rPr>
        <w:t>Список використаних джерел</w:t>
      </w:r>
    </w:p>
    <w:p w14:paraId="7E471377"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szCs w:val="28"/>
          <w:lang w:val="uk-UA" w:eastAsia="ru-RU"/>
        </w:rPr>
        <w:t>1</w:t>
      </w:r>
      <w:r w:rsidRPr="00511005">
        <w:rPr>
          <w:rFonts w:ascii="Arial" w:eastAsia="Times New Roman" w:hAnsi="Arial" w:cs="Arial"/>
          <w:szCs w:val="28"/>
          <w:lang w:eastAsia="ru-RU"/>
        </w:rPr>
        <w:t>.</w:t>
      </w:r>
      <w:r w:rsidRPr="00511005">
        <w:rPr>
          <w:rFonts w:ascii="Arial" w:eastAsia="Times New Roman" w:hAnsi="Arial" w:cs="Arial"/>
          <w:i/>
          <w:szCs w:val="28"/>
          <w:lang w:eastAsia="ru-RU"/>
        </w:rPr>
        <w:t xml:space="preserve"> </w:t>
      </w:r>
      <w:r w:rsidRPr="00511005">
        <w:rPr>
          <w:rFonts w:ascii="Arial" w:eastAsia="Times New Roman" w:hAnsi="Arial" w:cs="Arial"/>
          <w:iCs/>
          <w:szCs w:val="28"/>
          <w:lang w:eastAsia="ru-RU"/>
        </w:rPr>
        <w:t>Конституція України: Закон від 28.06.1996 № 254к/96-ВР</w:t>
      </w:r>
      <w:r w:rsidRPr="00511005">
        <w:rPr>
          <w:rFonts w:ascii="Arial" w:eastAsia="Times New Roman" w:hAnsi="Arial" w:cs="Arial"/>
          <w:i/>
          <w:szCs w:val="28"/>
          <w:lang w:eastAsia="ru-RU"/>
        </w:rPr>
        <w:t xml:space="preserve">. </w:t>
      </w:r>
      <w:r w:rsidRPr="00511005">
        <w:rPr>
          <w:rFonts w:ascii="Arial" w:eastAsia="Times New Roman" w:hAnsi="Arial" w:cs="Arial"/>
          <w:i/>
          <w:szCs w:val="28"/>
          <w:lang w:val="pl-PL" w:eastAsia="ru-RU"/>
        </w:rPr>
        <w:t xml:space="preserve">URL: </w:t>
      </w:r>
      <w:hyperlink r:id="rId618" w:anchor="Text" w:history="1">
        <w:r w:rsidRPr="00511005">
          <w:rPr>
            <w:rFonts w:ascii="Arial" w:eastAsia="Times New Roman" w:hAnsi="Arial" w:cs="Arial"/>
            <w:i/>
            <w:szCs w:val="28"/>
            <w:lang w:val="pl-PL" w:eastAsia="ru-RU"/>
          </w:rPr>
          <w:t>https://zakon.rada.gov.ua/laws/show/254%D0%BA/96-%D0%B2%D1%80#Text</w:t>
        </w:r>
      </w:hyperlink>
      <w:r w:rsidRPr="00511005">
        <w:rPr>
          <w:rFonts w:ascii="Arial" w:eastAsia="Times New Roman" w:hAnsi="Arial" w:cs="Arial"/>
          <w:i/>
          <w:szCs w:val="28"/>
          <w:lang w:val="pl-PL" w:eastAsia="ru-RU"/>
        </w:rPr>
        <w:t xml:space="preserve">. </w:t>
      </w:r>
      <w:r w:rsidRPr="00511005">
        <w:rPr>
          <w:rFonts w:ascii="Arial" w:eastAsia="Times New Roman" w:hAnsi="Arial" w:cs="Arial"/>
          <w:iCs/>
          <w:szCs w:val="28"/>
          <w:lang w:val="uk-UA" w:eastAsia="ru-RU"/>
        </w:rPr>
        <w:t>(дата звернення: 15.03.2025).</w:t>
      </w:r>
    </w:p>
    <w:p w14:paraId="07C2C08F" w14:textId="77777777" w:rsidR="00220D3E" w:rsidRPr="00511005" w:rsidRDefault="00220D3E" w:rsidP="003A292D">
      <w:pPr>
        <w:tabs>
          <w:tab w:val="left" w:pos="709"/>
        </w:tabs>
        <w:spacing w:line="264" w:lineRule="auto"/>
        <w:contextualSpacing/>
        <w:rPr>
          <w:rFonts w:ascii="Arial" w:eastAsia="Times New Roman" w:hAnsi="Arial" w:cs="Arial"/>
          <w:iCs/>
          <w:szCs w:val="28"/>
          <w:lang w:val="uk-UA" w:eastAsia="ru-RU"/>
        </w:rPr>
      </w:pPr>
      <w:r w:rsidRPr="00511005">
        <w:rPr>
          <w:rFonts w:ascii="Arial" w:eastAsia="Times New Roman" w:hAnsi="Arial" w:cs="Arial"/>
          <w:iCs/>
          <w:szCs w:val="28"/>
          <w:lang w:val="uk-UA" w:eastAsia="ru-RU"/>
        </w:rPr>
        <w:t xml:space="preserve">2. </w:t>
      </w:r>
      <w:r w:rsidRPr="00511005">
        <w:rPr>
          <w:rFonts w:ascii="Arial" w:eastAsia="Times New Roman" w:hAnsi="Arial" w:cs="Arial"/>
          <w:iCs/>
          <w:szCs w:val="28"/>
          <w:lang w:eastAsia="ru-RU"/>
        </w:rPr>
        <w:t>Міжнародний пакт про громадянські і політичні права</w:t>
      </w:r>
      <w:r w:rsidRPr="00511005">
        <w:rPr>
          <w:rFonts w:ascii="Arial" w:eastAsia="Times New Roman" w:hAnsi="Arial" w:cs="Arial"/>
          <w:iCs/>
          <w:szCs w:val="28"/>
          <w:lang w:val="uk-UA" w:eastAsia="ru-RU"/>
        </w:rPr>
        <w:t>, ратифіковано Указом Президії Верховної Ради Української РСР N 2148-VIII (2148-08) від 19.10.73</w:t>
      </w:r>
      <w:r w:rsidRPr="00511005">
        <w:rPr>
          <w:rFonts w:ascii="Arial" w:eastAsia="Times New Roman" w:hAnsi="Arial" w:cs="Arial"/>
          <w:i/>
          <w:szCs w:val="28"/>
          <w:lang w:val="uk-UA" w:eastAsia="ru-RU"/>
        </w:rPr>
        <w:t xml:space="preserve">. </w:t>
      </w:r>
      <w:r w:rsidRPr="00511005">
        <w:rPr>
          <w:rFonts w:ascii="Arial" w:eastAsia="Times New Roman" w:hAnsi="Arial" w:cs="Arial"/>
          <w:i/>
          <w:szCs w:val="28"/>
          <w:lang w:val="en-US" w:eastAsia="ru-RU"/>
        </w:rPr>
        <w:t>URL</w:t>
      </w:r>
      <w:r w:rsidRPr="00511005">
        <w:rPr>
          <w:rFonts w:ascii="Arial" w:eastAsia="Times New Roman" w:hAnsi="Arial" w:cs="Arial"/>
          <w:i/>
          <w:szCs w:val="28"/>
          <w:lang w:eastAsia="ru-RU"/>
        </w:rPr>
        <w:t xml:space="preserve">: </w:t>
      </w:r>
      <w:hyperlink r:id="rId619" w:anchor="Text" w:history="1">
        <w:r w:rsidRPr="00511005">
          <w:rPr>
            <w:rFonts w:ascii="Arial" w:eastAsia="Times New Roman" w:hAnsi="Arial" w:cs="Arial"/>
            <w:i/>
            <w:szCs w:val="28"/>
            <w:lang w:val="en-US" w:eastAsia="ru-RU"/>
          </w:rPr>
          <w:t>https</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zakon</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rada</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gov</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ua</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laws</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show</w:t>
        </w:r>
        <w:r w:rsidRPr="00511005">
          <w:rPr>
            <w:rFonts w:ascii="Arial" w:eastAsia="Times New Roman" w:hAnsi="Arial" w:cs="Arial"/>
            <w:i/>
            <w:szCs w:val="28"/>
            <w:lang w:eastAsia="ru-RU"/>
          </w:rPr>
          <w:t>/995_043#</w:t>
        </w:r>
        <w:r w:rsidRPr="00511005">
          <w:rPr>
            <w:rFonts w:ascii="Arial" w:eastAsia="Times New Roman" w:hAnsi="Arial" w:cs="Arial"/>
            <w:i/>
            <w:szCs w:val="28"/>
            <w:lang w:val="en-US" w:eastAsia="ru-RU"/>
          </w:rPr>
          <w:t>Text</w:t>
        </w:r>
      </w:hyperlink>
      <w:r w:rsidRPr="00511005">
        <w:rPr>
          <w:rFonts w:ascii="Arial" w:eastAsia="Times New Roman" w:hAnsi="Arial" w:cs="Arial"/>
          <w:i/>
          <w:szCs w:val="28"/>
          <w:lang w:val="uk-UA" w:eastAsia="ru-RU"/>
        </w:rPr>
        <w:t xml:space="preserve">. </w:t>
      </w:r>
      <w:r w:rsidRPr="00511005">
        <w:rPr>
          <w:rFonts w:ascii="Arial" w:eastAsia="Times New Roman" w:hAnsi="Arial" w:cs="Arial"/>
          <w:iCs/>
          <w:szCs w:val="28"/>
          <w:lang w:val="uk-UA" w:eastAsia="ru-RU"/>
        </w:rPr>
        <w:t>(дата звернення: 02.03.2025).</w:t>
      </w:r>
    </w:p>
    <w:p w14:paraId="5561D908" w14:textId="77777777" w:rsidR="00220D3E" w:rsidRPr="00511005" w:rsidRDefault="00220D3E" w:rsidP="003A292D">
      <w:pPr>
        <w:tabs>
          <w:tab w:val="left" w:pos="709"/>
        </w:tabs>
        <w:spacing w:line="264" w:lineRule="auto"/>
        <w:contextualSpacing/>
        <w:rPr>
          <w:rFonts w:ascii="Arial" w:eastAsia="Times New Roman" w:hAnsi="Arial" w:cs="Arial"/>
          <w:i/>
          <w:szCs w:val="28"/>
          <w:lang w:eastAsia="ru-RU"/>
        </w:rPr>
      </w:pPr>
      <w:r w:rsidRPr="00511005">
        <w:rPr>
          <w:rFonts w:ascii="Arial" w:eastAsia="Times New Roman" w:hAnsi="Arial" w:cs="Arial"/>
          <w:iCs/>
          <w:szCs w:val="28"/>
          <w:lang w:val="uk-UA" w:eastAsia="ru-RU"/>
        </w:rPr>
        <w:t>3</w:t>
      </w:r>
      <w:r w:rsidRPr="00511005">
        <w:rPr>
          <w:rFonts w:ascii="Arial" w:eastAsia="Times New Roman" w:hAnsi="Arial" w:cs="Arial"/>
          <w:iCs/>
          <w:szCs w:val="28"/>
          <w:lang w:eastAsia="ru-RU"/>
        </w:rPr>
        <w:t>. Вітковська А.Т. Міжнародні організаційно-правові механізми захисту прав людини.</w:t>
      </w:r>
      <w:r w:rsidRPr="00511005">
        <w:rPr>
          <w:rFonts w:ascii="Arial" w:eastAsia="Times New Roman" w:hAnsi="Arial" w:cs="Arial"/>
          <w:i/>
          <w:szCs w:val="28"/>
          <w:lang w:eastAsia="ru-RU"/>
        </w:rPr>
        <w:t xml:space="preserve"> Актуальні проблеми міжнародних відносин. 2010. Випуск 88. Частина 1. С. 111-113.</w:t>
      </w:r>
    </w:p>
    <w:p w14:paraId="25CFF2C2" w14:textId="77777777" w:rsidR="00220D3E" w:rsidRPr="00511005" w:rsidRDefault="00220D3E" w:rsidP="003A292D">
      <w:pPr>
        <w:tabs>
          <w:tab w:val="left" w:pos="709"/>
        </w:tabs>
        <w:spacing w:line="264" w:lineRule="auto"/>
        <w:contextualSpacing/>
        <w:rPr>
          <w:rFonts w:ascii="Arial" w:eastAsia="Times New Roman" w:hAnsi="Arial" w:cs="Arial"/>
          <w:i/>
          <w:szCs w:val="28"/>
          <w:lang w:eastAsia="ru-RU"/>
        </w:rPr>
      </w:pPr>
      <w:r w:rsidRPr="00511005">
        <w:rPr>
          <w:rFonts w:ascii="Arial" w:eastAsia="Times New Roman" w:hAnsi="Arial" w:cs="Arial"/>
          <w:iCs/>
          <w:szCs w:val="28"/>
          <w:lang w:val="uk-UA" w:eastAsia="ru-RU"/>
        </w:rPr>
        <w:t>4</w:t>
      </w:r>
      <w:r w:rsidRPr="00511005">
        <w:rPr>
          <w:rFonts w:ascii="Arial" w:eastAsia="Times New Roman" w:hAnsi="Arial" w:cs="Arial"/>
          <w:iCs/>
          <w:szCs w:val="28"/>
          <w:lang w:eastAsia="ru-RU"/>
        </w:rPr>
        <w:t>. Декларація</w:t>
      </w:r>
      <w:r w:rsidRPr="00511005">
        <w:rPr>
          <w:rFonts w:ascii="Arial" w:eastAsia="Times New Roman" w:hAnsi="Arial" w:cs="Arial"/>
          <w:iCs/>
          <w:szCs w:val="28"/>
          <w:lang w:val="uk-UA" w:eastAsia="ru-RU"/>
        </w:rPr>
        <w:t xml:space="preserve"> п</w:t>
      </w:r>
      <w:r w:rsidRPr="00511005">
        <w:rPr>
          <w:rFonts w:ascii="Arial" w:eastAsia="Times New Roman" w:hAnsi="Arial" w:cs="Arial"/>
          <w:iCs/>
          <w:szCs w:val="28"/>
          <w:lang w:eastAsia="ru-RU"/>
        </w:rPr>
        <w:t xml:space="preserve">ро державний суверенітет </w:t>
      </w:r>
      <w:r w:rsidRPr="00511005">
        <w:rPr>
          <w:rFonts w:ascii="Arial" w:eastAsia="Times New Roman" w:hAnsi="Arial" w:cs="Arial"/>
          <w:iCs/>
          <w:szCs w:val="28"/>
          <w:lang w:val="uk-UA" w:eastAsia="ru-RU"/>
        </w:rPr>
        <w:t>У</w:t>
      </w:r>
      <w:r w:rsidRPr="00511005">
        <w:rPr>
          <w:rFonts w:ascii="Arial" w:eastAsia="Times New Roman" w:hAnsi="Arial" w:cs="Arial"/>
          <w:iCs/>
          <w:szCs w:val="28"/>
          <w:lang w:eastAsia="ru-RU"/>
        </w:rPr>
        <w:t>країни</w:t>
      </w:r>
      <w:r w:rsidRPr="00511005">
        <w:rPr>
          <w:rFonts w:ascii="Arial" w:eastAsia="Times New Roman" w:hAnsi="Arial" w:cs="Arial"/>
          <w:i/>
          <w:szCs w:val="28"/>
          <w:lang w:val="uk-UA" w:eastAsia="ru-RU"/>
        </w:rPr>
        <w:t xml:space="preserve">. </w:t>
      </w:r>
      <w:r w:rsidRPr="00511005">
        <w:rPr>
          <w:rFonts w:ascii="Arial" w:eastAsia="Times New Roman" w:hAnsi="Arial" w:cs="Arial"/>
          <w:i/>
          <w:szCs w:val="28"/>
          <w:lang w:eastAsia="ru-RU"/>
        </w:rPr>
        <w:t>Відомості Верховної Ради УРСР (ВВР), 1990, N 31, ст.429</w:t>
      </w:r>
      <w:r w:rsidRPr="00511005">
        <w:rPr>
          <w:rFonts w:ascii="Arial" w:eastAsia="Times New Roman" w:hAnsi="Arial" w:cs="Arial"/>
          <w:i/>
          <w:szCs w:val="28"/>
          <w:lang w:val="uk-UA" w:eastAsia="ru-RU"/>
        </w:rPr>
        <w:t xml:space="preserve">. </w:t>
      </w:r>
      <w:r w:rsidRPr="00511005">
        <w:rPr>
          <w:rFonts w:ascii="Arial" w:eastAsia="Times New Roman" w:hAnsi="Arial" w:cs="Arial"/>
          <w:i/>
          <w:szCs w:val="28"/>
          <w:lang w:val="en-US" w:eastAsia="ru-RU"/>
        </w:rPr>
        <w:t>URL</w:t>
      </w:r>
      <w:r w:rsidRPr="00511005">
        <w:rPr>
          <w:rFonts w:ascii="Arial" w:eastAsia="Times New Roman" w:hAnsi="Arial" w:cs="Arial"/>
          <w:i/>
          <w:szCs w:val="28"/>
          <w:lang w:eastAsia="ru-RU"/>
        </w:rPr>
        <w:t xml:space="preserve">: </w:t>
      </w:r>
      <w:r w:rsidRPr="00511005">
        <w:rPr>
          <w:rFonts w:ascii="Arial" w:eastAsia="Times New Roman" w:hAnsi="Arial" w:cs="Arial"/>
          <w:i/>
          <w:szCs w:val="28"/>
          <w:lang w:val="en-US" w:eastAsia="ru-RU"/>
        </w:rPr>
        <w:t>https</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zakon</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rada</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gov</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ua</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laws</w:t>
      </w:r>
      <w:r w:rsidRPr="00511005">
        <w:rPr>
          <w:rFonts w:ascii="Arial" w:eastAsia="Times New Roman" w:hAnsi="Arial" w:cs="Arial"/>
          <w:i/>
          <w:szCs w:val="28"/>
          <w:lang w:eastAsia="ru-RU"/>
        </w:rPr>
        <w:t>/</w:t>
      </w:r>
      <w:r w:rsidRPr="00511005">
        <w:rPr>
          <w:rFonts w:ascii="Arial" w:eastAsia="Times New Roman" w:hAnsi="Arial" w:cs="Arial"/>
          <w:i/>
          <w:szCs w:val="28"/>
          <w:lang w:val="en-US" w:eastAsia="ru-RU"/>
        </w:rPr>
        <w:t>show</w:t>
      </w:r>
      <w:r w:rsidRPr="00511005">
        <w:rPr>
          <w:rFonts w:ascii="Arial" w:eastAsia="Times New Roman" w:hAnsi="Arial" w:cs="Arial"/>
          <w:i/>
          <w:szCs w:val="28"/>
          <w:lang w:eastAsia="ru-RU"/>
        </w:rPr>
        <w:t>/55-12#</w:t>
      </w:r>
      <w:r w:rsidRPr="00511005">
        <w:rPr>
          <w:rFonts w:ascii="Arial" w:eastAsia="Times New Roman" w:hAnsi="Arial" w:cs="Arial"/>
          <w:i/>
          <w:szCs w:val="28"/>
          <w:lang w:val="en-US" w:eastAsia="ru-RU"/>
        </w:rPr>
        <w:t>Text</w:t>
      </w:r>
      <w:r w:rsidRPr="00511005">
        <w:rPr>
          <w:rFonts w:ascii="Arial" w:eastAsia="Times New Roman" w:hAnsi="Arial" w:cs="Arial"/>
          <w:i/>
          <w:szCs w:val="28"/>
          <w:lang w:eastAsia="ru-RU"/>
        </w:rPr>
        <w:t>.</w:t>
      </w:r>
      <w:r w:rsidRPr="00511005">
        <w:rPr>
          <w:rFonts w:ascii="Arial" w:eastAsia="Times New Roman" w:hAnsi="Arial" w:cs="Arial"/>
          <w:i/>
          <w:szCs w:val="28"/>
          <w:lang w:val="uk-UA" w:eastAsia="ru-RU"/>
        </w:rPr>
        <w:t xml:space="preserve"> (дата звернення: 21.03.2025).</w:t>
      </w:r>
    </w:p>
    <w:p w14:paraId="35A0B0B4" w14:textId="77777777" w:rsidR="00220D3E" w:rsidRPr="00511005" w:rsidRDefault="00220D3E" w:rsidP="003A292D">
      <w:pPr>
        <w:tabs>
          <w:tab w:val="left" w:pos="709"/>
        </w:tabs>
        <w:spacing w:line="264" w:lineRule="auto"/>
        <w:contextualSpacing/>
        <w:rPr>
          <w:rFonts w:ascii="Arial" w:eastAsia="Times New Roman" w:hAnsi="Arial" w:cs="Arial"/>
          <w:b/>
          <w:i/>
          <w:szCs w:val="28"/>
          <w:lang w:val="uk-UA" w:eastAsia="ru-RU"/>
        </w:rPr>
      </w:pPr>
      <w:r w:rsidRPr="00511005">
        <w:rPr>
          <w:rFonts w:ascii="Arial" w:eastAsia="Times New Roman" w:hAnsi="Arial" w:cs="Arial"/>
          <w:iCs/>
          <w:szCs w:val="28"/>
          <w:lang w:val="uk-UA" w:eastAsia="ru-RU"/>
        </w:rPr>
        <w:t>5</w:t>
      </w:r>
      <w:r w:rsidRPr="00511005">
        <w:rPr>
          <w:rFonts w:ascii="Arial" w:eastAsia="Times New Roman" w:hAnsi="Arial" w:cs="Arial"/>
          <w:iCs/>
          <w:szCs w:val="28"/>
          <w:lang w:val="en-US" w:eastAsia="ru-RU"/>
        </w:rPr>
        <w:t>. Report on the Universal Periodic Review of Germany, 11.7.2018 (UN Doc. A</w:t>
      </w:r>
      <w:r w:rsidRPr="00055389">
        <w:rPr>
          <w:rFonts w:ascii="Arial" w:eastAsia="Times New Roman" w:hAnsi="Arial" w:cs="Arial"/>
          <w:iCs/>
          <w:szCs w:val="28"/>
          <w:lang w:val="en-US" w:eastAsia="ru-RU"/>
        </w:rPr>
        <w:t>/</w:t>
      </w:r>
      <w:r w:rsidRPr="00511005">
        <w:rPr>
          <w:rFonts w:ascii="Arial" w:eastAsia="Times New Roman" w:hAnsi="Arial" w:cs="Arial"/>
          <w:iCs/>
          <w:szCs w:val="28"/>
          <w:lang w:val="en-US" w:eastAsia="ru-RU"/>
        </w:rPr>
        <w:t>HRC</w:t>
      </w:r>
      <w:r w:rsidRPr="00055389">
        <w:rPr>
          <w:rFonts w:ascii="Arial" w:eastAsia="Times New Roman" w:hAnsi="Arial" w:cs="Arial"/>
          <w:iCs/>
          <w:szCs w:val="28"/>
          <w:lang w:val="en-US" w:eastAsia="ru-RU"/>
        </w:rPr>
        <w:t>/39/9).</w:t>
      </w:r>
      <w:r w:rsidRPr="00055389">
        <w:rPr>
          <w:rFonts w:ascii="Arial" w:eastAsia="Times New Roman" w:hAnsi="Arial" w:cs="Arial"/>
          <w:i/>
          <w:szCs w:val="28"/>
          <w:lang w:val="en-US" w:eastAsia="ru-RU"/>
        </w:rPr>
        <w:t xml:space="preserve"> </w:t>
      </w:r>
      <w:r w:rsidRPr="00511005">
        <w:rPr>
          <w:rFonts w:ascii="Arial" w:eastAsia="Times New Roman" w:hAnsi="Arial" w:cs="Arial"/>
          <w:i/>
          <w:szCs w:val="28"/>
          <w:lang w:val="en-US" w:eastAsia="ru-RU"/>
        </w:rPr>
        <w:t>URL</w:t>
      </w:r>
      <w:r w:rsidRPr="00055389">
        <w:rPr>
          <w:rFonts w:ascii="Arial" w:eastAsia="Times New Roman" w:hAnsi="Arial" w:cs="Arial"/>
          <w:i/>
          <w:szCs w:val="28"/>
          <w:lang w:val="en-US" w:eastAsia="ru-RU"/>
        </w:rPr>
        <w:t xml:space="preserve">: </w:t>
      </w:r>
      <w:r w:rsidRPr="00511005">
        <w:rPr>
          <w:rFonts w:ascii="Arial" w:eastAsia="Times New Roman" w:hAnsi="Arial" w:cs="Arial"/>
          <w:i/>
          <w:szCs w:val="28"/>
          <w:lang w:val="en-US" w:eastAsia="ru-RU"/>
        </w:rPr>
        <w:t>https</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www</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ohchr</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org</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en</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documents</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reports</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report</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working</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group</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universal</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periodic</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review</w:t>
      </w:r>
      <w:r w:rsidRPr="00055389">
        <w:rPr>
          <w:rFonts w:ascii="Arial" w:eastAsia="Times New Roman" w:hAnsi="Arial" w:cs="Arial"/>
          <w:i/>
          <w:szCs w:val="28"/>
          <w:lang w:val="en-US" w:eastAsia="ru-RU"/>
        </w:rPr>
        <w:t>-</w:t>
      </w:r>
      <w:r w:rsidRPr="00511005">
        <w:rPr>
          <w:rFonts w:ascii="Arial" w:eastAsia="Times New Roman" w:hAnsi="Arial" w:cs="Arial"/>
          <w:i/>
          <w:szCs w:val="28"/>
          <w:lang w:val="en-US" w:eastAsia="ru-RU"/>
        </w:rPr>
        <w:t>germany</w:t>
      </w:r>
      <w:r w:rsidRPr="00055389">
        <w:rPr>
          <w:rFonts w:ascii="Arial" w:eastAsia="Times New Roman" w:hAnsi="Arial" w:cs="Arial"/>
          <w:i/>
          <w:szCs w:val="28"/>
          <w:lang w:val="en-US" w:eastAsia="ru-RU"/>
        </w:rPr>
        <w:t>.</w:t>
      </w:r>
      <w:r w:rsidRPr="00511005">
        <w:rPr>
          <w:rFonts w:ascii="Arial" w:eastAsia="Times New Roman" w:hAnsi="Arial" w:cs="Arial"/>
          <w:i/>
          <w:szCs w:val="28"/>
          <w:lang w:val="uk-UA" w:eastAsia="ru-RU"/>
        </w:rPr>
        <w:t xml:space="preserve"> </w:t>
      </w:r>
      <w:r w:rsidRPr="00511005">
        <w:rPr>
          <w:rFonts w:ascii="Arial" w:eastAsia="Times New Roman" w:hAnsi="Arial" w:cs="Arial"/>
          <w:iCs/>
          <w:szCs w:val="28"/>
          <w:lang w:val="uk-UA" w:eastAsia="ru-RU"/>
        </w:rPr>
        <w:t>(дата звернення: 15.03.2025).</w:t>
      </w:r>
    </w:p>
    <w:p w14:paraId="70A7B404" w14:textId="77777777" w:rsidR="00220D3E" w:rsidRPr="00511005" w:rsidRDefault="00220D3E" w:rsidP="003A292D">
      <w:pPr>
        <w:spacing w:line="264" w:lineRule="auto"/>
        <w:rPr>
          <w:rFonts w:ascii="Arial" w:eastAsia="Times New Roman" w:hAnsi="Arial" w:cs="Arial"/>
          <w:b/>
          <w:bCs/>
          <w:szCs w:val="28"/>
          <w:lang w:val="uk-UA" w:eastAsia="ru-RU"/>
        </w:rPr>
      </w:pPr>
    </w:p>
    <w:p w14:paraId="6CB1FA5B" w14:textId="2C288D4A" w:rsidR="00220D3E"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 xml:space="preserve">права людини, збройні конфлікти, ООН, регіональні організації, міжнародне гуманітарне право, Міжнародний кримінальний суд, Верховний комісар ООН з прав людини, Європейський суд з прав людини, </w:t>
      </w:r>
      <w:r w:rsidR="00220D3E" w:rsidRPr="00511005">
        <w:rPr>
          <w:rFonts w:ascii="Arial" w:eastAsia="Times New Roman" w:hAnsi="Arial" w:cs="Arial"/>
          <w:szCs w:val="28"/>
          <w:lang w:val="uk-UA" w:eastAsia="ru-RU"/>
        </w:rPr>
        <w:lastRenderedPageBreak/>
        <w:t>Міжамериканський суд з прав людини, Африканський суд з прав людини, міжнародні трибунали.</w:t>
      </w:r>
    </w:p>
    <w:p w14:paraId="02DE6D79" w14:textId="1EFEBD2A" w:rsidR="00220D3E" w:rsidRPr="00511005" w:rsidRDefault="007B2628" w:rsidP="003A292D">
      <w:pPr>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human rights, armed conflicts, UN, regional organizations, international humanitarian law, International Criminal Court, UN High Commissioner for Human Rights, European Court of Human Rights, Inter-American Court of Human Rights, African Court on Human and Peoples' Rights, international tribunals.</w:t>
      </w:r>
    </w:p>
    <w:p w14:paraId="2A1A6A8A" w14:textId="0BE8FEE4" w:rsidR="00220D3E" w:rsidRPr="00511005" w:rsidRDefault="00C76181" w:rsidP="003A292D">
      <w:pPr>
        <w:tabs>
          <w:tab w:val="left" w:pos="709"/>
        </w:tabs>
        <w:spacing w:line="264" w:lineRule="auto"/>
        <w:jc w:val="left"/>
        <w:rPr>
          <w:rFonts w:ascii="Arial" w:eastAsia="Times New Roman" w:hAnsi="Arial" w:cs="Arial"/>
          <w:i/>
          <w:szCs w:val="28"/>
          <w:lang w:eastAsia="ru-RU"/>
        </w:rPr>
      </w:pPr>
      <w:r w:rsidRPr="00511005">
        <w:rPr>
          <w:rFonts w:ascii="Arial" w:eastAsia="Calibri" w:hAnsi="Arial" w:cs="Arial"/>
          <w:b/>
          <w:i/>
          <w:szCs w:val="28"/>
          <w:lang w:val="uk-UA"/>
        </w:rPr>
        <w:t>Науковий керівник:</w:t>
      </w:r>
      <w:r w:rsidR="007B2628" w:rsidRPr="00511005">
        <w:rPr>
          <w:rFonts w:ascii="Arial" w:eastAsia="Times New Roman" w:hAnsi="Arial" w:cs="Arial"/>
          <w:b/>
          <w:i/>
          <w:szCs w:val="28"/>
          <w:lang w:eastAsia="ru-RU"/>
        </w:rPr>
        <w:t xml:space="preserve"> </w:t>
      </w:r>
      <w:r w:rsidR="00220D3E" w:rsidRPr="00511005">
        <w:rPr>
          <w:rFonts w:ascii="Arial" w:eastAsia="Times New Roman" w:hAnsi="Arial" w:cs="Arial"/>
          <w:i/>
          <w:szCs w:val="28"/>
          <w:lang w:eastAsia="ru-RU"/>
        </w:rPr>
        <w:t>к.ю.н., доцент Дронов В.Ю.</w:t>
      </w:r>
    </w:p>
    <w:p w14:paraId="5275F0B9" w14:textId="77777777" w:rsidR="00220D3E" w:rsidRPr="00511005" w:rsidRDefault="00220D3E" w:rsidP="003A292D">
      <w:pPr>
        <w:tabs>
          <w:tab w:val="left" w:pos="709"/>
        </w:tabs>
        <w:spacing w:line="264" w:lineRule="auto"/>
        <w:ind w:firstLine="0"/>
        <w:rPr>
          <w:rFonts w:ascii="Arial" w:eastAsia="Times New Roman" w:hAnsi="Arial" w:cs="Arial"/>
          <w:i/>
          <w:iCs/>
          <w:szCs w:val="28"/>
          <w:lang w:val="uk-UA" w:eastAsia="ru-RU"/>
        </w:rPr>
      </w:pPr>
    </w:p>
    <w:p w14:paraId="11A0C9B8"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Приєзжева Ольга Олександрівна</w:t>
      </w:r>
    </w:p>
    <w:p w14:paraId="60674985" w14:textId="0A3A06CD"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4-го курсу </w:t>
      </w:r>
      <w:r w:rsidR="007B2628" w:rsidRPr="00511005">
        <w:rPr>
          <w:rFonts w:ascii="Arial" w:eastAsia="Times New Roman" w:hAnsi="Arial" w:cs="Arial"/>
          <w:szCs w:val="28"/>
          <w:lang w:eastAsia="ru-RU"/>
        </w:rPr>
        <w:t>факультету цивільної та господарської юстиції</w:t>
      </w:r>
    </w:p>
    <w:p w14:paraId="757C5D90" w14:textId="5020DFEE"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F1E4CE2"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5A12C94D" w14:textId="77777777" w:rsidR="007B2628"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ПРАВО ВЛАСНОСТІ В МІЖНАРОДНОМУ ПРИВАТНОМУ ПРАВІ: КОЛІЗІЙНІ ПИТАННЯ ТА ЗАХИСТ ПРАВА ВЛАСНОСТІ ЗА КОРДОНОМ</w:t>
      </w:r>
    </w:p>
    <w:p w14:paraId="082579A9" w14:textId="59EC5201"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Належне врегулювання права власності в міжнародному приватному праві є необхідною передумовою для стабільного економічного співробітництва, залучення інвестицій та захисту майнових інтересів українських суб'єктів на міжнародній арені, особливо в контексті сучасних викликів, пов'язаних із необхідністю захисту активів за кордоном. </w:t>
      </w:r>
      <w:r w:rsidRPr="00511005">
        <w:rPr>
          <w:rFonts w:ascii="Arial" w:eastAsia="Times New Roman" w:hAnsi="Arial" w:cs="Arial"/>
          <w:szCs w:val="28"/>
          <w:lang w:eastAsia="ru-RU"/>
        </w:rPr>
        <w:t>Центральне місце у регулюванні речових прав у міжнародному приватному праві посідають колізійні норми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Саме вони вирішують ключове питання: право якої держави має бути застосоване до правовідносин власності, що мають зв'язок з кількома правопорядками? У цьому контексті ключове значення має процес кваліфікації юридичних понять, таких як «майно», «рухоме майно», «нерухоме майно», «речове право». Оскільки ці категорії можуть мати різний зміст у різних правових системах, виникає питання, за правом якої держави слід здійснювати їх тлумачення. Зазвичай первинна кваліфікація здійснюється за правом суду (</w:t>
      </w:r>
      <w:r w:rsidRPr="00511005">
        <w:rPr>
          <w:rFonts w:ascii="Arial" w:eastAsia="Times New Roman" w:hAnsi="Arial" w:cs="Arial"/>
          <w:i/>
          <w:iCs/>
          <w:szCs w:val="28"/>
          <w:lang w:eastAsia="ru-RU"/>
        </w:rPr>
        <w:t>lex fori</w:t>
      </w:r>
      <w:r w:rsidRPr="00511005">
        <w:rPr>
          <w:rFonts w:ascii="Arial" w:eastAsia="Times New Roman" w:hAnsi="Arial" w:cs="Arial"/>
          <w:szCs w:val="28"/>
          <w:lang w:eastAsia="ru-RU"/>
        </w:rPr>
        <w:t>), однак можливі й інші підходи, що може призводити до так званих "колізій кваліфікацій" та впливати на кінцевий вибір застосовного права.</w:t>
      </w:r>
    </w:p>
    <w:p w14:paraId="20B90C0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Основним колізійним принципом, що застосовується до права власності та інших речових прав у МПП, є принцип </w:t>
      </w:r>
      <w:r w:rsidRPr="00511005">
        <w:rPr>
          <w:rFonts w:ascii="Arial" w:eastAsia="Times New Roman" w:hAnsi="Arial" w:cs="Arial"/>
          <w:i/>
          <w:iCs/>
          <w:szCs w:val="28"/>
          <w:lang w:eastAsia="ru-RU"/>
        </w:rPr>
        <w:t>lex rei sitae</w:t>
      </w:r>
      <w:r w:rsidRPr="00511005">
        <w:rPr>
          <w:rFonts w:ascii="Arial" w:eastAsia="Times New Roman" w:hAnsi="Arial" w:cs="Arial"/>
          <w:szCs w:val="28"/>
          <w:lang w:eastAsia="ru-RU"/>
        </w:rPr>
        <w:t xml:space="preserve"> – закон місця знаходження речі. Цей принцип означає, що правовий режим майна (речовий статут) визначається за правом тієї держави, на території якої це майно фізично знаходиться. Обґрунтування домінування </w:t>
      </w:r>
      <w:r w:rsidRPr="00511005">
        <w:rPr>
          <w:rFonts w:ascii="Arial" w:eastAsia="Times New Roman" w:hAnsi="Arial" w:cs="Arial"/>
          <w:i/>
          <w:iCs/>
          <w:szCs w:val="28"/>
          <w:lang w:eastAsia="ru-RU"/>
        </w:rPr>
        <w:t>lex rei sitae</w:t>
      </w:r>
      <w:r w:rsidRPr="00511005">
        <w:rPr>
          <w:rFonts w:ascii="Arial" w:eastAsia="Times New Roman" w:hAnsi="Arial" w:cs="Arial"/>
          <w:szCs w:val="28"/>
          <w:lang w:eastAsia="ru-RU"/>
        </w:rPr>
        <w:t xml:space="preserve"> полягає в кількох аспектах. По-перше, існує очевидний зв'язок між річчю та територією держави, де вона знаходиться. </w:t>
      </w:r>
      <w:proofErr w:type="gramStart"/>
      <w:r w:rsidRPr="00511005">
        <w:rPr>
          <w:rFonts w:ascii="Arial" w:eastAsia="Times New Roman" w:hAnsi="Arial" w:cs="Arial"/>
          <w:szCs w:val="28"/>
          <w:lang w:eastAsia="ru-RU"/>
        </w:rPr>
        <w:t>По-друге</w:t>
      </w:r>
      <w:proofErr w:type="gramEnd"/>
      <w:r w:rsidRPr="00511005">
        <w:rPr>
          <w:rFonts w:ascii="Arial" w:eastAsia="Times New Roman" w:hAnsi="Arial" w:cs="Arial"/>
          <w:szCs w:val="28"/>
          <w:lang w:eastAsia="ru-RU"/>
        </w:rPr>
        <w:t xml:space="preserve">, застосування права місця знаходження речі найкраще забезпечує інтереси публічного порядку відповідної держави, оскільки саме вона зацікавлена в регулюванні обігу майна на своїй території. По-третє, саме в місці знаходження речі найефективніше можуть бути реалізовані та захищені речові права, оскільки </w:t>
      </w:r>
      <w:r w:rsidRPr="00511005">
        <w:rPr>
          <w:rFonts w:ascii="Arial" w:eastAsia="Times New Roman" w:hAnsi="Arial" w:cs="Arial"/>
          <w:szCs w:val="28"/>
          <w:lang w:eastAsia="ru-RU"/>
        </w:rPr>
        <w:lastRenderedPageBreak/>
        <w:t xml:space="preserve">там можливе реальне виконання судових рішень щодо майна. В українському законодавстві принцип </w:t>
      </w:r>
      <w:r w:rsidRPr="00511005">
        <w:rPr>
          <w:rFonts w:ascii="Arial" w:eastAsia="Times New Roman" w:hAnsi="Arial" w:cs="Arial"/>
          <w:i/>
          <w:iCs/>
          <w:szCs w:val="28"/>
          <w:lang w:eastAsia="ru-RU"/>
        </w:rPr>
        <w:t>lex rei sitae</w:t>
      </w:r>
      <w:r w:rsidRPr="00511005">
        <w:rPr>
          <w:rFonts w:ascii="Arial" w:eastAsia="Times New Roman" w:hAnsi="Arial" w:cs="Arial"/>
          <w:szCs w:val="28"/>
          <w:lang w:eastAsia="ru-RU"/>
        </w:rPr>
        <w:t xml:space="preserve"> закріплений як загальне правило у статті 38 Закону України «Про міжнародне приватне право» від 23 червня 2005 року № 2709-IV. Відповідно до цієї статті, «право власності та інші речові права на нерухоме та рухоме майно визначаються правом держави, у якій це майно знаходиться, якщо інше не передбачено законом» [1].</w:t>
      </w:r>
    </w:p>
    <w:p w14:paraId="76104FB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Незважаючи на свою фундаментальність, принцип </w:t>
      </w:r>
      <w:r w:rsidRPr="00511005">
        <w:rPr>
          <w:rFonts w:ascii="Arial" w:eastAsia="Times New Roman" w:hAnsi="Arial" w:cs="Arial"/>
          <w:i/>
          <w:iCs/>
          <w:szCs w:val="28"/>
          <w:lang w:eastAsia="ru-RU"/>
        </w:rPr>
        <w:t>lex rei sitae</w:t>
      </w:r>
      <w:r w:rsidRPr="00511005">
        <w:rPr>
          <w:rFonts w:ascii="Arial" w:eastAsia="Times New Roman" w:hAnsi="Arial" w:cs="Arial"/>
          <w:szCs w:val="28"/>
          <w:lang w:eastAsia="ru-RU"/>
        </w:rPr>
        <w:t xml:space="preserve"> стикається з певними труднощами при застосуванні до сучасних видів активів. Якщо для традиційних матеріальних об'єктів визначення місця знаходження зазвичай не викликає проблем, то для нематеріальних активів, таких як права інтелектуальної власності, дематеріалізовані цінні папери або цифрові активи, поняття «місце знаходження» є умовним. Це змушує шукати альтернативні колізійні прив'язки (наприклад, місце реєстрації прав, місцезнаходження емітента чи власника) або розробляти спеціальні колізійні норми, як це зроблено для прав інтелектуальної власності у статті 36 Закону «Про міжнародне приватне право». Багато питань, що стосуються нерухомості (наприклад, державна реєстрація прав, обмеження щодо обігу земель сільськогосподарського призначення), регулюються імперативними нормами права місця її знаходження. </w:t>
      </w:r>
    </w:p>
    <w:p w14:paraId="6AD04A5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Закон «Про міжнародне приватне право», встановлюючи </w:t>
      </w:r>
      <w:r w:rsidRPr="00511005">
        <w:rPr>
          <w:rFonts w:ascii="Arial" w:eastAsia="Times New Roman" w:hAnsi="Arial" w:cs="Arial"/>
          <w:i/>
          <w:iCs/>
          <w:szCs w:val="28"/>
          <w:lang w:eastAsia="ru-RU"/>
        </w:rPr>
        <w:t>lex rei sitae</w:t>
      </w:r>
      <w:r w:rsidRPr="00511005">
        <w:rPr>
          <w:rFonts w:ascii="Arial" w:eastAsia="Times New Roman" w:hAnsi="Arial" w:cs="Arial"/>
          <w:szCs w:val="28"/>
          <w:lang w:eastAsia="ru-RU"/>
        </w:rPr>
        <w:t xml:space="preserve"> як загальне правило, містить також низку спеціальних норм, що враховують специфіку окремих видів майна та правових ситуацій. Особливі труднощі виникають при визначенні застосовного права до рухомого майна, яке знаходиться в процесі транспортування між державами (</w:t>
      </w:r>
      <w:r w:rsidRPr="00511005">
        <w:rPr>
          <w:rFonts w:ascii="Arial" w:eastAsia="Times New Roman" w:hAnsi="Arial" w:cs="Arial"/>
          <w:i/>
          <w:iCs/>
          <w:szCs w:val="28"/>
          <w:lang w:eastAsia="ru-RU"/>
        </w:rPr>
        <w:t>res in transitu</w:t>
      </w:r>
      <w:r w:rsidRPr="00511005">
        <w:rPr>
          <w:rFonts w:ascii="Arial" w:eastAsia="Times New Roman" w:hAnsi="Arial" w:cs="Arial"/>
          <w:szCs w:val="28"/>
          <w:lang w:eastAsia="ru-RU"/>
        </w:rPr>
        <w:t xml:space="preserve">), оскільки його місцезнаходження постійно змінюється. Для вирішення цієї проблеми стаття 41 Закону про МПП встановлює спеціальну колізійну норму – «Право власності та інші речові права на рухоме майно, що перебуває в дорозі за правочином, визначаються правом держави, з якої це майно відправлене, якщо інше не встановлено за згодою сторін». Ця норма є диспозитивною, тобто сторони мають можливість обрати інше застосовне право, реалізуючи принцип автономії волі. За відсутності такого вибору застосовується право держави відправлення. Ще одним важливим винятком з принципу </w:t>
      </w:r>
      <w:r w:rsidRPr="00511005">
        <w:rPr>
          <w:rFonts w:ascii="Arial" w:eastAsia="Times New Roman" w:hAnsi="Arial" w:cs="Arial"/>
          <w:i/>
          <w:iCs/>
          <w:szCs w:val="28"/>
          <w:lang w:eastAsia="ru-RU"/>
        </w:rPr>
        <w:t>lex rei sitae</w:t>
      </w:r>
      <w:r w:rsidRPr="00511005">
        <w:rPr>
          <w:rFonts w:ascii="Arial" w:eastAsia="Times New Roman" w:hAnsi="Arial" w:cs="Arial"/>
          <w:szCs w:val="28"/>
          <w:lang w:eastAsia="ru-RU"/>
        </w:rPr>
        <w:t xml:space="preserve">, хоча й прямо не закріпленим у статтях 38-42 Закону «Про міжнародне приватне право», але визнаним у міжнародній практиці та доктрині, є правило щодо транспортних засобів, що підлягають державній реєстрації (морські та річкові судна, повітряні судна, космічні об'єкти). З огляду на їх постійне переміщення через кордони, застосування </w:t>
      </w:r>
      <w:r w:rsidRPr="00511005">
        <w:rPr>
          <w:rFonts w:ascii="Arial" w:eastAsia="Times New Roman" w:hAnsi="Arial" w:cs="Arial"/>
          <w:i/>
          <w:iCs/>
          <w:szCs w:val="28"/>
          <w:lang w:eastAsia="ru-RU"/>
        </w:rPr>
        <w:t>lex rei sitae</w:t>
      </w:r>
      <w:r w:rsidRPr="00511005">
        <w:rPr>
          <w:rFonts w:ascii="Arial" w:eastAsia="Times New Roman" w:hAnsi="Arial" w:cs="Arial"/>
          <w:szCs w:val="28"/>
          <w:lang w:eastAsia="ru-RU"/>
        </w:rPr>
        <w:t xml:space="preserve"> є недоцільним. Тому речовий статус таких об'єктів найчастіше визначається за правом держави їх реєстрації, тобто за законом прапора (</w:t>
      </w:r>
      <w:r w:rsidRPr="00511005">
        <w:rPr>
          <w:rFonts w:ascii="Arial" w:eastAsia="Times New Roman" w:hAnsi="Arial" w:cs="Arial"/>
          <w:i/>
          <w:iCs/>
          <w:szCs w:val="28"/>
          <w:lang w:eastAsia="ru-RU"/>
        </w:rPr>
        <w:t>lex banderae</w:t>
      </w:r>
      <w:r w:rsidRPr="00511005">
        <w:rPr>
          <w:rFonts w:ascii="Arial" w:eastAsia="Times New Roman" w:hAnsi="Arial" w:cs="Arial"/>
          <w:szCs w:val="28"/>
          <w:lang w:eastAsia="ru-RU"/>
        </w:rPr>
        <w:t xml:space="preserve"> або </w:t>
      </w:r>
      <w:r w:rsidRPr="00511005">
        <w:rPr>
          <w:rFonts w:ascii="Arial" w:eastAsia="Times New Roman" w:hAnsi="Arial" w:cs="Arial"/>
          <w:i/>
          <w:iCs/>
          <w:szCs w:val="28"/>
          <w:lang w:eastAsia="ru-RU"/>
        </w:rPr>
        <w:t>lex flagi</w:t>
      </w:r>
      <w:r w:rsidRPr="00511005">
        <w:rPr>
          <w:rFonts w:ascii="Arial" w:eastAsia="Times New Roman" w:hAnsi="Arial" w:cs="Arial"/>
          <w:szCs w:val="28"/>
          <w:lang w:eastAsia="ru-RU"/>
        </w:rPr>
        <w:t xml:space="preserve">). </w:t>
      </w:r>
    </w:p>
    <w:p w14:paraId="53C10AD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Права інтелектуальної власності (далі- ІВ), хоча й відносяться до майнових прав, мають нематеріальну природу і зазвичай не розглядаються в рамках класичних речових прав. Однак колізійні питання виникають як щодо самих прав ІВ, так і щодо правочинів стосовно них та прав на матеріальні носії, в яких втілені об'єкти ІВ. Закон «Про міжнародне приватне право» містить спеціальну колізійну норму, що відображає принцип територіальності захисту прав ІВ (</w:t>
      </w:r>
      <w:r w:rsidRPr="00511005">
        <w:rPr>
          <w:rFonts w:ascii="Arial" w:eastAsia="Times New Roman" w:hAnsi="Arial" w:cs="Arial"/>
          <w:i/>
          <w:iCs/>
          <w:szCs w:val="28"/>
          <w:lang w:eastAsia="ru-RU"/>
        </w:rPr>
        <w:t>lex loci protectionis</w:t>
      </w:r>
      <w:r w:rsidRPr="00511005">
        <w:rPr>
          <w:rFonts w:ascii="Arial" w:eastAsia="Times New Roman" w:hAnsi="Arial" w:cs="Arial"/>
          <w:szCs w:val="28"/>
          <w:lang w:eastAsia="ru-RU"/>
        </w:rPr>
        <w:t xml:space="preserve">), згідно з яким «існування, зміст та захист права ІВ визначаються за правом тієї країни, де запитується охорона». Важливо пам'ятати, що ця сфера значною мірою регулюється міжнародними конвенціями (Бернською, Паризькою, Угодою ТРІПС тощо), які мають пріоритет над національним законодавством. У наукових дискусіях часто піднімається питання про необхідність гнучкого застосування традиційних колізійних прив'язок, зокрема </w:t>
      </w:r>
      <w:r w:rsidRPr="00511005">
        <w:rPr>
          <w:rFonts w:ascii="Arial" w:eastAsia="Times New Roman" w:hAnsi="Arial" w:cs="Arial"/>
          <w:i/>
          <w:iCs/>
          <w:szCs w:val="28"/>
          <w:lang w:eastAsia="ru-RU"/>
        </w:rPr>
        <w:t>lex rei sitae</w:t>
      </w:r>
      <w:r w:rsidRPr="00511005">
        <w:rPr>
          <w:rFonts w:ascii="Arial" w:eastAsia="Times New Roman" w:hAnsi="Arial" w:cs="Arial"/>
          <w:szCs w:val="28"/>
          <w:lang w:eastAsia="ru-RU"/>
        </w:rPr>
        <w:t xml:space="preserve">, в умовах появи нових, нематеріальних об'єктів цивільного обороту. Як зазначає А.С. Довгерт, «розвиток міжнародного приватного права тісно пов'язаний із загальними тенденціями розвитку приватного права та необхідністю врахування правничого менталітету та міжнародних </w:t>
      </w:r>
      <w:proofErr w:type="gramStart"/>
      <w:r w:rsidRPr="00511005">
        <w:rPr>
          <w:rFonts w:ascii="Arial" w:eastAsia="Times New Roman" w:hAnsi="Arial" w:cs="Arial"/>
          <w:szCs w:val="28"/>
          <w:lang w:eastAsia="ru-RU"/>
        </w:rPr>
        <w:t>стандартів»[</w:t>
      </w:r>
      <w:proofErr w:type="gramEnd"/>
      <w:r w:rsidRPr="00511005">
        <w:rPr>
          <w:rFonts w:ascii="Arial" w:eastAsia="Times New Roman" w:hAnsi="Arial" w:cs="Arial"/>
          <w:szCs w:val="28"/>
          <w:lang w:eastAsia="ru-RU"/>
        </w:rPr>
        <w:t>2].</w:t>
      </w:r>
    </w:p>
    <w:p w14:paraId="2FC9406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Забезпечення ефективного захисту права власності громадян та юридичних осіб України за кордоном є важливим завданням держави. Цей захист реалізується через комплекс міжнародно-правових та національних механізмів. Двосторонні угоди про сприяння та взаємний захист інвестицій (Bilateral Investment Treaties - BITs) є ключовим інструментом захисту прав іноземних інвесторів, включаючи їхні майнові права. Україна уклала значну кількість BITs з різними країнами світу, зокрема з </w:t>
      </w:r>
      <w:proofErr w:type="gramStart"/>
      <w:r w:rsidRPr="00511005">
        <w:rPr>
          <w:rFonts w:ascii="Arial" w:eastAsia="Times New Roman" w:hAnsi="Arial" w:cs="Arial"/>
          <w:szCs w:val="28"/>
          <w:lang w:eastAsia="ru-RU"/>
        </w:rPr>
        <w:t>Польщею ,</w:t>
      </w:r>
      <w:proofErr w:type="gramEnd"/>
      <w:r w:rsidRPr="00511005">
        <w:rPr>
          <w:rFonts w:ascii="Arial" w:eastAsia="Times New Roman" w:hAnsi="Arial" w:cs="Arial"/>
          <w:szCs w:val="28"/>
          <w:lang w:eastAsia="ru-RU"/>
        </w:rPr>
        <w:t xml:space="preserve"> Латвією , США , Канадою, Китаєм, Німеччиною, Францією та багатьма іншими. BITs зазвичай передбачають низку стандартів захисту для інвесторів та їхніх інвестицій, таких як: справедливий та рівний режим; повний захист та безпека; національний режим; режим найбільшого сприяння; захист від незаконної експропріації та вимога щодо виплати компенсації у разі законної експропріації; гарантія вільного переказу коштів, пов'язаних з інвестиціями.</w:t>
      </w:r>
    </w:p>
    <w:p w14:paraId="56B8A40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Двосторонні договори про правову допомогу у цивільних справах відіграють важливу роль у забезпеченні транскордонного правосуддя. Вони спрощують співпрацю між судовими органами різних країн, зокрема, у питаннях вручення судових та позасудових документів, отримання доказів (допити свідків, експертизи, витребування документів), визнання та виконання судових рішень. Окрім двосторонніх угод, важливу роль відіграють універсальні багатосторонні конвенції, зокрема ті, що розроблені під егідою Гаазької конференції з міжнародного приватного права. </w:t>
      </w:r>
      <w:r w:rsidRPr="00511005">
        <w:rPr>
          <w:rFonts w:ascii="Arial" w:eastAsia="Times New Roman" w:hAnsi="Arial" w:cs="Arial"/>
          <w:bCs/>
          <w:szCs w:val="28"/>
          <w:lang w:eastAsia="ru-RU"/>
        </w:rPr>
        <w:t>Гаазька конвенція про визнання та виконання іноземних судових рішень у цивільних або комерційних справах 2019 року</w:t>
      </w:r>
      <w:r w:rsidRPr="00511005">
        <w:rPr>
          <w:rFonts w:ascii="Arial" w:eastAsia="Times New Roman" w:hAnsi="Arial" w:cs="Arial"/>
          <w:szCs w:val="28"/>
          <w:lang w:eastAsia="ru-RU"/>
        </w:rPr>
        <w:t xml:space="preserve"> встановлює чіткі підстави, за наявності яких рішення суду однієї договірної держави підлягає визнанню та </w:t>
      </w:r>
      <w:r w:rsidRPr="00511005">
        <w:rPr>
          <w:rFonts w:ascii="Arial" w:eastAsia="Times New Roman" w:hAnsi="Arial" w:cs="Arial"/>
          <w:szCs w:val="28"/>
          <w:lang w:eastAsia="ru-RU"/>
        </w:rPr>
        <w:lastRenderedPageBreak/>
        <w:t xml:space="preserve">виконанню в іншій. Україна підписала та ратифікувала цю Конвенцію Законом № 2342-IX від 01.07.2022. </w:t>
      </w:r>
    </w:p>
    <w:p w14:paraId="0478AC7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 відсутності міжнародного договору, що регулює визнання та виконання судових рішень між Україною та відповідною іноземною державою, застосовуються норми національного процесуального законодавства цієї іноземної держави. Як правило, для надання рішенню українського суду юридичної сили та можливості примусового виконання на території іншої країни необхідно пройти спеціальну судову процедуру, відому як процедура екзекватури (</w:t>
      </w:r>
      <w:r w:rsidRPr="00511005">
        <w:rPr>
          <w:rFonts w:ascii="Arial" w:eastAsia="Times New Roman" w:hAnsi="Arial" w:cs="Arial"/>
          <w:i/>
          <w:iCs/>
          <w:szCs w:val="28"/>
          <w:lang w:eastAsia="ru-RU"/>
        </w:rPr>
        <w:t>exequatur</w:t>
      </w:r>
      <w:r w:rsidRPr="00511005">
        <w:rPr>
          <w:rFonts w:ascii="Arial" w:eastAsia="Times New Roman" w:hAnsi="Arial" w:cs="Arial"/>
          <w:szCs w:val="28"/>
          <w:lang w:eastAsia="ru-RU"/>
        </w:rPr>
        <w:t xml:space="preserve">). Заявник (стягувач за українським рішенням) повинен звернутися до компетентного суду іноземної держави з клопотанням про визнання та дозвіл на примусове виконання рішення українського суду. Іноземний суд перевіряє відповідність українського рішення умовам, встановленим його національним правом. </w:t>
      </w:r>
    </w:p>
    <w:p w14:paraId="247DB6A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Незважаючи на свою центральну роль, принцип </w:t>
      </w:r>
      <w:r w:rsidRPr="00511005">
        <w:rPr>
          <w:rFonts w:ascii="Arial" w:eastAsia="Times New Roman" w:hAnsi="Arial" w:cs="Arial"/>
          <w:i/>
          <w:iCs/>
          <w:szCs w:val="28"/>
          <w:lang w:eastAsia="ru-RU"/>
        </w:rPr>
        <w:t>lex rei sitae</w:t>
      </w:r>
      <w:r w:rsidRPr="00511005">
        <w:rPr>
          <w:rFonts w:ascii="Arial" w:eastAsia="Times New Roman" w:hAnsi="Arial" w:cs="Arial"/>
          <w:szCs w:val="28"/>
          <w:lang w:eastAsia="ru-RU"/>
        </w:rPr>
        <w:t xml:space="preserve"> породжує низку проблем у сучасних умовах. Як вже зазначалося, найбільші труднощі виникають при спробі застосувати </w:t>
      </w:r>
      <w:r w:rsidRPr="00511005">
        <w:rPr>
          <w:rFonts w:ascii="Arial" w:eastAsia="Times New Roman" w:hAnsi="Arial" w:cs="Arial"/>
          <w:i/>
          <w:iCs/>
          <w:szCs w:val="28"/>
          <w:lang w:eastAsia="ru-RU"/>
        </w:rPr>
        <w:t>lex rei sitae</w:t>
      </w:r>
      <w:r w:rsidRPr="00511005">
        <w:rPr>
          <w:rFonts w:ascii="Arial" w:eastAsia="Times New Roman" w:hAnsi="Arial" w:cs="Arial"/>
          <w:szCs w:val="28"/>
          <w:lang w:eastAsia="ru-RU"/>
        </w:rPr>
        <w:t xml:space="preserve"> до об'єктів, що не мають чіткої фізичної локалізації. Це стосується прав інтелектуальної власності, цінних паперів у бездокументарній формі (де важливим може бути право місця знаходження депозитарію або посередника), доменних імен, баз даних, а також новітніх цифрових активів, таких як криптовалюти. У цих випадках практика та законодавство змушені шукати альтернативні прив'язки: </w:t>
      </w:r>
      <w:r w:rsidRPr="00511005">
        <w:rPr>
          <w:rFonts w:ascii="Arial" w:eastAsia="Times New Roman" w:hAnsi="Arial" w:cs="Arial"/>
          <w:i/>
          <w:iCs/>
          <w:szCs w:val="28"/>
          <w:lang w:eastAsia="ru-RU"/>
        </w:rPr>
        <w:t>lex loci protectionis</w:t>
      </w:r>
      <w:r w:rsidRPr="00511005">
        <w:rPr>
          <w:rFonts w:ascii="Arial" w:eastAsia="Times New Roman" w:hAnsi="Arial" w:cs="Arial"/>
          <w:szCs w:val="28"/>
          <w:lang w:eastAsia="ru-RU"/>
        </w:rPr>
        <w:t xml:space="preserve"> (право країни, де запитується захист) для ІВ, право емітента або право місця ведення реєстру для цінних паперів, право реєстратора для доменних імен тощо. </w:t>
      </w:r>
      <w:r w:rsidRPr="00511005">
        <w:rPr>
          <w:rFonts w:ascii="Arial" w:eastAsia="Times New Roman" w:hAnsi="Arial" w:cs="Arial"/>
          <w:szCs w:val="28"/>
          <w:lang w:val="uk-UA" w:eastAsia="ru-RU"/>
        </w:rPr>
        <w:t>[4]</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r w:rsidRPr="00511005">
        <w:rPr>
          <w:rFonts w:ascii="Arial" w:eastAsia="Times New Roman" w:hAnsi="Arial" w:cs="Arial"/>
          <w:bCs/>
          <w:szCs w:val="28"/>
          <w:lang w:val="uk-UA" w:eastAsia="ru-RU"/>
        </w:rPr>
        <w:t xml:space="preserve">Також можливі </w:t>
      </w:r>
      <w:r w:rsidRPr="00511005">
        <w:rPr>
          <w:rFonts w:ascii="Arial" w:eastAsia="Times New Roman" w:hAnsi="Arial" w:cs="Arial"/>
          <w:szCs w:val="28"/>
          <w:lang w:val="uk-UA" w:eastAsia="ru-RU"/>
        </w:rPr>
        <w:t>ситуації, коли різні аспекти правовідносин щодо однієї речі підпорядковуються різним правопорядкам. Наприклад, договірні зобов'язання щодо речі можуть регулюватися правом, обраним сторонами (</w:t>
      </w:r>
      <w:r w:rsidRPr="00511005">
        <w:rPr>
          <w:rFonts w:ascii="Arial" w:eastAsia="Times New Roman" w:hAnsi="Arial" w:cs="Arial"/>
          <w:i/>
          <w:iCs/>
          <w:szCs w:val="28"/>
          <w:lang w:eastAsia="ru-RU"/>
        </w:rPr>
        <w:t>lex</w:t>
      </w:r>
      <w:r w:rsidRPr="00511005">
        <w:rPr>
          <w:rFonts w:ascii="Arial" w:eastAsia="Times New Roman" w:hAnsi="Arial" w:cs="Arial"/>
          <w:i/>
          <w:iCs/>
          <w:szCs w:val="28"/>
          <w:lang w:val="uk-UA" w:eastAsia="ru-RU"/>
        </w:rPr>
        <w:t xml:space="preserve"> </w:t>
      </w:r>
      <w:r w:rsidRPr="00511005">
        <w:rPr>
          <w:rFonts w:ascii="Arial" w:eastAsia="Times New Roman" w:hAnsi="Arial" w:cs="Arial"/>
          <w:i/>
          <w:iCs/>
          <w:szCs w:val="28"/>
          <w:lang w:eastAsia="ru-RU"/>
        </w:rPr>
        <w:t>voluntatis</w:t>
      </w:r>
      <w:r w:rsidRPr="00511005">
        <w:rPr>
          <w:rFonts w:ascii="Arial" w:eastAsia="Times New Roman" w:hAnsi="Arial" w:cs="Arial"/>
          <w:szCs w:val="28"/>
          <w:lang w:val="uk-UA" w:eastAsia="ru-RU"/>
        </w:rPr>
        <w:t>), тоді як речові права на цю ж річ – правом її місцезнаходження (</w:t>
      </w:r>
      <w:r w:rsidRPr="00511005">
        <w:rPr>
          <w:rFonts w:ascii="Arial" w:eastAsia="Times New Roman" w:hAnsi="Arial" w:cs="Arial"/>
          <w:i/>
          <w:iCs/>
          <w:szCs w:val="28"/>
          <w:lang w:eastAsia="ru-RU"/>
        </w:rPr>
        <w:t>lex</w:t>
      </w:r>
      <w:r w:rsidRPr="00511005">
        <w:rPr>
          <w:rFonts w:ascii="Arial" w:eastAsia="Times New Roman" w:hAnsi="Arial" w:cs="Arial"/>
          <w:i/>
          <w:iCs/>
          <w:szCs w:val="28"/>
          <w:lang w:val="uk-UA" w:eastAsia="ru-RU"/>
        </w:rPr>
        <w:t xml:space="preserve"> </w:t>
      </w:r>
      <w:r w:rsidRPr="00511005">
        <w:rPr>
          <w:rFonts w:ascii="Arial" w:eastAsia="Times New Roman" w:hAnsi="Arial" w:cs="Arial"/>
          <w:i/>
          <w:iCs/>
          <w:szCs w:val="28"/>
          <w:lang w:eastAsia="ru-RU"/>
        </w:rPr>
        <w:t>rei</w:t>
      </w:r>
      <w:r w:rsidRPr="00511005">
        <w:rPr>
          <w:rFonts w:ascii="Arial" w:eastAsia="Times New Roman" w:hAnsi="Arial" w:cs="Arial"/>
          <w:i/>
          <w:iCs/>
          <w:szCs w:val="28"/>
          <w:lang w:val="uk-UA" w:eastAsia="ru-RU"/>
        </w:rPr>
        <w:t xml:space="preserve"> </w:t>
      </w:r>
      <w:r w:rsidRPr="00511005">
        <w:rPr>
          <w:rFonts w:ascii="Arial" w:eastAsia="Times New Roman" w:hAnsi="Arial" w:cs="Arial"/>
          <w:i/>
          <w:iCs/>
          <w:szCs w:val="28"/>
          <w:lang w:eastAsia="ru-RU"/>
        </w:rPr>
        <w:t>sitae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Це може створювати складнощі у координації різних правових режимів.</w:t>
      </w:r>
    </w:p>
    <w:p w14:paraId="05D55248"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63C2424F" w14:textId="37D02592"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2E76CCB5" w14:textId="77777777" w:rsidR="00220D3E" w:rsidRPr="00511005" w:rsidRDefault="00220D3E" w:rsidP="003F6A5D">
      <w:pPr>
        <w:numPr>
          <w:ilvl w:val="0"/>
          <w:numId w:val="179"/>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Закон України «Про міжнародне приватне право» від 23.06.2005 № 2709-IV. </w:t>
      </w:r>
      <w:r w:rsidRPr="00511005">
        <w:rPr>
          <w:rFonts w:ascii="Arial" w:eastAsia="Calibri" w:hAnsi="Arial" w:cs="Arial"/>
          <w:i/>
          <w:iCs/>
          <w:szCs w:val="28"/>
        </w:rPr>
        <w:t xml:space="preserve">Відомості </w:t>
      </w:r>
      <w:proofErr w:type="gramStart"/>
      <w:r w:rsidRPr="00511005">
        <w:rPr>
          <w:rFonts w:ascii="Arial" w:eastAsia="Calibri" w:hAnsi="Arial" w:cs="Arial"/>
          <w:i/>
          <w:iCs/>
          <w:szCs w:val="28"/>
        </w:rPr>
        <w:t>Верховної</w:t>
      </w:r>
      <w:proofErr w:type="gramEnd"/>
      <w:r w:rsidRPr="00511005">
        <w:rPr>
          <w:rFonts w:ascii="Arial" w:eastAsia="Calibri" w:hAnsi="Arial" w:cs="Arial"/>
          <w:i/>
          <w:iCs/>
          <w:szCs w:val="28"/>
        </w:rPr>
        <w:t xml:space="preserve"> Ради України</w:t>
      </w:r>
      <w:r w:rsidRPr="00511005">
        <w:rPr>
          <w:rFonts w:ascii="Arial" w:eastAsia="Calibri" w:hAnsi="Arial" w:cs="Arial"/>
          <w:szCs w:val="28"/>
        </w:rPr>
        <w:t xml:space="preserve">. 2005. № 32. Ст. 422. URL: </w:t>
      </w:r>
      <w:hyperlink r:id="rId620" w:tgtFrame="_blank" w:history="1">
        <w:r w:rsidRPr="00511005">
          <w:rPr>
            <w:rFonts w:ascii="Arial" w:eastAsia="Calibri" w:hAnsi="Arial" w:cs="Arial"/>
            <w:szCs w:val="28"/>
          </w:rPr>
          <w:t>https://zakon.rada.gov.ua/laws/show/2709-15</w:t>
        </w:r>
      </w:hyperlink>
    </w:p>
    <w:p w14:paraId="1E9806D6" w14:textId="77777777" w:rsidR="00220D3E" w:rsidRPr="00511005" w:rsidRDefault="00220D3E" w:rsidP="003F6A5D">
      <w:pPr>
        <w:numPr>
          <w:ilvl w:val="0"/>
          <w:numId w:val="179"/>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Довгерт А. С. Проблема обходу закону в міжнародному приватному праві // Міжнародне приватне право. Загальна </w:t>
      </w:r>
      <w:proofErr w:type="gramStart"/>
      <w:r w:rsidRPr="00511005">
        <w:rPr>
          <w:rFonts w:ascii="Arial" w:eastAsia="Calibri" w:hAnsi="Arial" w:cs="Arial"/>
          <w:szCs w:val="28"/>
        </w:rPr>
        <w:t>частина :</w:t>
      </w:r>
      <w:proofErr w:type="gramEnd"/>
      <w:r w:rsidRPr="00511005">
        <w:rPr>
          <w:rFonts w:ascii="Arial" w:eastAsia="Calibri" w:hAnsi="Arial" w:cs="Arial"/>
          <w:szCs w:val="28"/>
        </w:rPr>
        <w:t xml:space="preserve"> підручник / за ред. А. С. Довгерта, В. І. Кисіля. </w:t>
      </w:r>
      <w:proofErr w:type="gramStart"/>
      <w:r w:rsidRPr="00511005">
        <w:rPr>
          <w:rFonts w:ascii="Arial" w:eastAsia="Calibri" w:hAnsi="Arial" w:cs="Arial"/>
          <w:szCs w:val="28"/>
        </w:rPr>
        <w:t>Київ :</w:t>
      </w:r>
      <w:proofErr w:type="gramEnd"/>
      <w:r w:rsidRPr="00511005">
        <w:rPr>
          <w:rFonts w:ascii="Arial" w:eastAsia="Calibri" w:hAnsi="Arial" w:cs="Arial"/>
          <w:szCs w:val="28"/>
        </w:rPr>
        <w:t xml:space="preserve"> Алерта, 2012. С. 215–228.</w:t>
      </w:r>
    </w:p>
    <w:p w14:paraId="494AF35E" w14:textId="77777777" w:rsidR="00220D3E" w:rsidRPr="00511005" w:rsidRDefault="00220D3E" w:rsidP="003F6A5D">
      <w:pPr>
        <w:numPr>
          <w:ilvl w:val="0"/>
          <w:numId w:val="179"/>
        </w:numPr>
        <w:tabs>
          <w:tab w:val="left" w:pos="709"/>
        </w:tabs>
        <w:spacing w:line="264" w:lineRule="auto"/>
        <w:ind w:left="0" w:firstLine="709"/>
        <w:contextualSpacing/>
        <w:jc w:val="left"/>
        <w:rPr>
          <w:rFonts w:ascii="Arial" w:eastAsia="Calibri" w:hAnsi="Arial" w:cs="Arial"/>
          <w:szCs w:val="28"/>
          <w:lang w:val="pl-PL"/>
        </w:rPr>
      </w:pPr>
      <w:r w:rsidRPr="00511005">
        <w:rPr>
          <w:rFonts w:ascii="Arial" w:eastAsia="Calibri" w:hAnsi="Arial" w:cs="Arial"/>
          <w:szCs w:val="28"/>
        </w:rPr>
        <w:t xml:space="preserve">Гаазька конвенція про визнання та виконання іноземних судових рішень у цивільних або комерційних справах від 02.07.2019. </w:t>
      </w:r>
      <w:r w:rsidRPr="00511005">
        <w:rPr>
          <w:rFonts w:ascii="Arial" w:eastAsia="Calibri" w:hAnsi="Arial" w:cs="Arial"/>
          <w:szCs w:val="28"/>
          <w:lang w:val="pl-PL"/>
        </w:rPr>
        <w:t xml:space="preserve">URL: </w:t>
      </w:r>
      <w:hyperlink r:id="rId621" w:tgtFrame="_blank" w:history="1">
        <w:r w:rsidRPr="00511005">
          <w:rPr>
            <w:rFonts w:ascii="Arial" w:eastAsia="Calibri" w:hAnsi="Arial" w:cs="Arial"/>
            <w:szCs w:val="28"/>
            <w:lang w:val="pl-PL"/>
          </w:rPr>
          <w:t>https://assets.hcch.net/docs/0ad61de4-2633-4bf4-bbd6-fb8af7ea3bc7.pdf</w:t>
        </w:r>
      </w:hyperlink>
    </w:p>
    <w:p w14:paraId="5B673CC1" w14:textId="77777777" w:rsidR="00220D3E" w:rsidRPr="00511005" w:rsidRDefault="00220D3E" w:rsidP="003F6A5D">
      <w:pPr>
        <w:numPr>
          <w:ilvl w:val="0"/>
          <w:numId w:val="179"/>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lastRenderedPageBreak/>
        <w:t xml:space="preserve">Каракчі Г. Г. Колізійні питання права інтелектуальної власності в міжнародному приватному </w:t>
      </w:r>
      <w:proofErr w:type="gramStart"/>
      <w:r w:rsidRPr="00511005">
        <w:rPr>
          <w:rFonts w:ascii="Arial" w:eastAsia="Calibri" w:hAnsi="Arial" w:cs="Arial"/>
          <w:szCs w:val="28"/>
        </w:rPr>
        <w:t>праві :</w:t>
      </w:r>
      <w:proofErr w:type="gramEnd"/>
      <w:r w:rsidRPr="00511005">
        <w:rPr>
          <w:rFonts w:ascii="Arial" w:eastAsia="Calibri" w:hAnsi="Arial" w:cs="Arial"/>
          <w:szCs w:val="28"/>
        </w:rPr>
        <w:t xml:space="preserve"> дипломна робота спеціаліста / наук. кер. Е. Д. </w:t>
      </w:r>
      <w:proofErr w:type="gramStart"/>
      <w:r w:rsidRPr="00511005">
        <w:rPr>
          <w:rFonts w:ascii="Arial" w:eastAsia="Calibri" w:hAnsi="Arial" w:cs="Arial"/>
          <w:szCs w:val="28"/>
        </w:rPr>
        <w:t>Стрельцова ;</w:t>
      </w:r>
      <w:proofErr w:type="gramEnd"/>
      <w:r w:rsidRPr="00511005">
        <w:rPr>
          <w:rFonts w:ascii="Arial" w:eastAsia="Calibri" w:hAnsi="Arial" w:cs="Arial"/>
          <w:szCs w:val="28"/>
        </w:rPr>
        <w:t xml:space="preserve"> ОНУ ім. І.І. Мечникова. Одеса, 2016. 84 с. URL: </w:t>
      </w:r>
      <w:hyperlink r:id="rId622" w:tgtFrame="_blank" w:history="1">
        <w:r w:rsidRPr="00511005">
          <w:rPr>
            <w:rFonts w:ascii="Arial" w:eastAsia="Calibri" w:hAnsi="Arial" w:cs="Arial"/>
            <w:szCs w:val="28"/>
          </w:rPr>
          <w:t>https://dspace.onu.edu.ua/handle/123456789/15666</w:t>
        </w:r>
      </w:hyperlink>
    </w:p>
    <w:p w14:paraId="2292AFA0" w14:textId="77777777" w:rsidR="00220D3E" w:rsidRPr="00511005" w:rsidRDefault="00220D3E" w:rsidP="003A292D">
      <w:pPr>
        <w:tabs>
          <w:tab w:val="left" w:pos="709"/>
        </w:tabs>
        <w:spacing w:line="264" w:lineRule="auto"/>
        <w:rPr>
          <w:rFonts w:ascii="Arial" w:eastAsia="Times New Roman" w:hAnsi="Arial" w:cs="Arial"/>
          <w:b/>
          <w:szCs w:val="28"/>
          <w:lang w:val="uk-UA" w:eastAsia="ru-RU"/>
        </w:rPr>
      </w:pPr>
    </w:p>
    <w:p w14:paraId="70685C19" w14:textId="4A9C273B"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міжнародне приватне право, право власності, колізійні норми, речові права, нерухоме майно, рухоме майно, речі в дорозі, захист права власності, визнання та виконання судових рішень, міжнародні договори.</w:t>
      </w:r>
    </w:p>
    <w:p w14:paraId="6EA21627" w14:textId="2FD56BDF"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private international law, property rights, conflict of laws rules, real rights, immovable property, movable property, goods in transit, protection of property rights, recognition and enforcement of judgments, international treaties.</w:t>
      </w:r>
    </w:p>
    <w:p w14:paraId="5B38C5BC" w14:textId="19E8BEC1" w:rsidR="00220D3E" w:rsidRPr="00511005" w:rsidRDefault="007B2628" w:rsidP="003A292D">
      <w:pPr>
        <w:tabs>
          <w:tab w:val="left" w:pos="709"/>
        </w:tabs>
        <w:spacing w:line="264" w:lineRule="auto"/>
        <w:rPr>
          <w:rFonts w:ascii="Arial" w:eastAsia="Times New Roman" w:hAnsi="Arial" w:cs="Arial"/>
          <w:bCs/>
          <w:i/>
          <w:szCs w:val="28"/>
          <w:lang w:val="uk-UA" w:eastAsia="ru-RU"/>
        </w:rPr>
      </w:pPr>
      <w:r w:rsidRPr="00511005">
        <w:rPr>
          <w:rFonts w:ascii="Arial" w:eastAsia="Times New Roman" w:hAnsi="Arial" w:cs="Arial"/>
          <w:b/>
          <w:bCs/>
          <w:i/>
          <w:szCs w:val="28"/>
          <w:lang w:eastAsia="ru-RU"/>
        </w:rPr>
        <w:t xml:space="preserve">Науковий керівник: </w:t>
      </w:r>
      <w:r w:rsidR="00220D3E" w:rsidRPr="00511005">
        <w:rPr>
          <w:rFonts w:ascii="Arial" w:eastAsia="Times New Roman" w:hAnsi="Arial" w:cs="Arial"/>
          <w:bCs/>
          <w:i/>
          <w:szCs w:val="28"/>
          <w:lang w:eastAsia="ru-RU"/>
        </w:rPr>
        <w:t>асистент кафедри Бугаєць А.С.</w:t>
      </w:r>
    </w:p>
    <w:p w14:paraId="2C06A8F8" w14:textId="77777777" w:rsidR="00220D3E" w:rsidRPr="00511005" w:rsidRDefault="00220D3E" w:rsidP="003A292D">
      <w:pPr>
        <w:tabs>
          <w:tab w:val="left" w:pos="709"/>
        </w:tabs>
        <w:spacing w:line="264" w:lineRule="auto"/>
        <w:rPr>
          <w:rFonts w:ascii="Arial" w:eastAsia="Times New Roman" w:hAnsi="Arial" w:cs="Arial"/>
          <w:bCs/>
          <w:szCs w:val="28"/>
          <w:lang w:val="uk-UA" w:eastAsia="ru-RU"/>
        </w:rPr>
      </w:pPr>
    </w:p>
    <w:p w14:paraId="168D0C9C"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Прокопець Дар’я Миколаївна</w:t>
      </w:r>
    </w:p>
    <w:p w14:paraId="3C298055" w14:textId="44D45335"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1F2D178B" w14:textId="3DF09016"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35CBD04" w14:textId="77777777" w:rsidR="007B2628" w:rsidRPr="00511005" w:rsidRDefault="007B2628" w:rsidP="003A292D">
      <w:pPr>
        <w:tabs>
          <w:tab w:val="left" w:pos="709"/>
        </w:tabs>
        <w:spacing w:line="264" w:lineRule="auto"/>
        <w:jc w:val="center"/>
        <w:rPr>
          <w:rFonts w:ascii="Arial" w:eastAsia="Times New Roman" w:hAnsi="Arial" w:cs="Arial"/>
          <w:szCs w:val="28"/>
          <w:lang w:eastAsia="ru-RU"/>
        </w:rPr>
      </w:pPr>
    </w:p>
    <w:p w14:paraId="624FC823" w14:textId="1DC1801E" w:rsidR="00220D3E" w:rsidRPr="00511005" w:rsidRDefault="00220D3E" w:rsidP="003A292D">
      <w:pPr>
        <w:tabs>
          <w:tab w:val="left" w:pos="709"/>
        </w:tabs>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МІЖНАРОДНО-ПРАВОВИЙ ЗАХИСТ ЖІНОК В ПЕРІОД ЗБРОЙНІХ КОНФЛІКТІВ</w:t>
      </w:r>
    </w:p>
    <w:p w14:paraId="29BDDF6D" w14:textId="53D96AEF"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Calibri" w:hAnsi="Arial" w:cs="Arial"/>
          <w:szCs w:val="28"/>
          <w:lang w:val="uk-UA"/>
        </w:rPr>
        <w:t xml:space="preserve">Міжнародно-правовий захист жінок у збройних конфліктах залишається ключовим аспектом сучасної міжнародної безпеки, що потребує комплексного підходу до соціальної рівності, прав людини та гуманітарної допомоги. </w:t>
      </w:r>
      <w:r w:rsidRPr="00511005">
        <w:rPr>
          <w:rFonts w:ascii="Arial" w:eastAsia="Times New Roman" w:hAnsi="Arial" w:cs="Arial"/>
          <w:szCs w:val="28"/>
          <w:lang w:val="uk-UA" w:eastAsia="ru-RU"/>
        </w:rPr>
        <w:t xml:space="preserve">Починаючи з 2014 року, тобто з початку російської агресії на Сході України, анексії Автономної Республіки Крим і подальшого повномасштабного збройного вторгнення 24 лютого 2022 року, коли мільйони українців були вимушені залишити свої домівки, десятки тисяч людей втратили своє житло та стали жертвами тортур і насильства, питання гендерно зумовленого насильства стали особливо важливими для України. </w:t>
      </w:r>
      <w:r w:rsidRPr="00511005">
        <w:rPr>
          <w:rFonts w:ascii="Arial" w:eastAsia="Calibri" w:hAnsi="Arial" w:cs="Arial"/>
          <w:szCs w:val="28"/>
          <w:lang w:val="uk-UA"/>
        </w:rPr>
        <w:t>Насильство проти жінок у конфліктах значно зростає, охоплюючи сексуальне, гендерне, фізичне та психічне насильство як наслідок військових дій. Сучасне міжнародне гуманітарне право, зокрема Женевські конвенції 1949 року, які встановлюють основні норми міжнародного гуманітарного права, спрямовані на захист жертв збройних конфліктів. ЖК (I)</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про поліпшення долі поранених і хворих у діючих арміях,</w:t>
      </w:r>
      <w:r w:rsidRPr="00511005">
        <w:rPr>
          <w:rFonts w:ascii="Arial" w:eastAsia="Times New Roman" w:hAnsi="Arial" w:cs="Arial"/>
          <w:szCs w:val="28"/>
          <w:shd w:val="clear" w:color="auto" w:fill="FFFFFF"/>
          <w:lang w:val="uk-UA" w:eastAsia="ru-RU"/>
        </w:rPr>
        <w:t xml:space="preserve"> ЖК (II) </w:t>
      </w:r>
      <w:r w:rsidRPr="00511005">
        <w:rPr>
          <w:rFonts w:ascii="Arial" w:eastAsia="Times New Roman" w:hAnsi="Arial" w:cs="Arial"/>
          <w:szCs w:val="28"/>
          <w:lang w:val="uk-UA" w:eastAsia="ru-RU"/>
        </w:rPr>
        <w:t xml:space="preserve">про поліпшення долі поранених, хворих і осіб, потерпілих корабельну аварію, зі складу озброєних сил на морі, ЖК </w:t>
      </w:r>
      <w:r w:rsidRPr="00511005">
        <w:rPr>
          <w:rFonts w:ascii="Arial" w:eastAsia="Times New Roman" w:hAnsi="Arial" w:cs="Arial"/>
          <w:szCs w:val="28"/>
          <w:shd w:val="clear" w:color="auto" w:fill="FFFFFF"/>
          <w:lang w:val="uk-UA" w:eastAsia="ru-RU"/>
        </w:rPr>
        <w:t>(III) про поводження з військовополоненими, ЖК (IV) про захист цивільного населення під час війни</w:t>
      </w:r>
      <w:r w:rsidRPr="00511005">
        <w:rPr>
          <w:rFonts w:ascii="Arial" w:eastAsia="Calibri" w:hAnsi="Arial" w:cs="Arial"/>
          <w:szCs w:val="28"/>
          <w:lang w:val="uk-UA"/>
        </w:rPr>
        <w:t>. Вони зобов’язують держави дотримуватися гуманного поводження з усіма особами, які не беруть або припинили брати участь у бойових діях, і передбачають особливий захист жінок від насильства та приниження гідності». [4]</w:t>
      </w:r>
    </w:p>
    <w:p w14:paraId="743123F9" w14:textId="77777777" w:rsidR="00220D3E" w:rsidRPr="00511005" w:rsidRDefault="00220D3E" w:rsidP="003A292D">
      <w:pPr>
        <w:tabs>
          <w:tab w:val="left" w:pos="709"/>
        </w:tabs>
        <w:spacing w:line="264" w:lineRule="auto"/>
        <w:rPr>
          <w:rFonts w:ascii="Arial" w:eastAsia="Calibri" w:hAnsi="Arial" w:cs="Arial"/>
          <w:szCs w:val="28"/>
        </w:rPr>
      </w:pPr>
      <w:r w:rsidRPr="00511005">
        <w:rPr>
          <w:rFonts w:ascii="Arial" w:eastAsia="Calibri" w:hAnsi="Arial" w:cs="Arial"/>
          <w:szCs w:val="28"/>
          <w:lang w:val="uk-UA"/>
        </w:rPr>
        <w:lastRenderedPageBreak/>
        <w:t>Загальна стаття 3 Женевських конвенцій 1949 року застосовується до неміжнародних збройних конфліктів і встановлює мінімальні стандарти гуманного поводження з особами, які не беруть активної участі у бойових діях, зокрема пораненими, хворими, військовополоненими та цивільними. Вона забороняє вбивства, катування, жорстоке поводження, приниження гідності, а також захищає життя, честь і фізичну цілісність цих осіб. Стаття зобов’язує сторони конфлікту поводитися гуманно з усіма, хто вийшов із бойових дій або не бере в них участі, незалежно від їхнього статусу. Як підкреслював Жан Пікте ще в 1958 році, принцип гуманного поводження «насправді є лейтмотивом чотирьох Женевських конвенцій». Те, що є гуманним поводженням, логічно випливає з принципів і положень Конвенцій.</w:t>
      </w:r>
      <w:r w:rsidRPr="00511005">
        <w:rPr>
          <w:rFonts w:ascii="Arial" w:eastAsia="Calibri" w:hAnsi="Arial" w:cs="Arial"/>
          <w:szCs w:val="28"/>
        </w:rPr>
        <w:t xml:space="preserve"> [1</w:t>
      </w:r>
      <w:r w:rsidRPr="00511005">
        <w:rPr>
          <w:rFonts w:ascii="Arial" w:eastAsia="Calibri" w:hAnsi="Arial" w:cs="Arial"/>
          <w:szCs w:val="28"/>
          <w:lang w:val="uk-UA"/>
        </w:rPr>
        <w:t xml:space="preserve">, </w:t>
      </w:r>
      <w:r w:rsidRPr="00511005">
        <w:rPr>
          <w:rFonts w:ascii="Arial" w:eastAsia="Calibri" w:hAnsi="Arial" w:cs="Arial"/>
          <w:szCs w:val="28"/>
        </w:rPr>
        <w:t>3]</w:t>
      </w:r>
    </w:p>
    <w:p w14:paraId="1C3DFD52" w14:textId="77777777" w:rsidR="00220D3E" w:rsidRPr="00511005" w:rsidRDefault="00220D3E" w:rsidP="003A292D">
      <w:pPr>
        <w:tabs>
          <w:tab w:val="left" w:pos="709"/>
        </w:tabs>
        <w:spacing w:line="264" w:lineRule="auto"/>
        <w:rPr>
          <w:rFonts w:ascii="Arial" w:eastAsia="Calibri" w:hAnsi="Arial" w:cs="Arial"/>
          <w:szCs w:val="28"/>
        </w:rPr>
      </w:pPr>
      <w:r w:rsidRPr="00511005">
        <w:rPr>
          <w:rFonts w:ascii="Arial" w:eastAsia="Calibri" w:hAnsi="Arial" w:cs="Arial"/>
          <w:szCs w:val="28"/>
          <w:lang w:val="uk-UA"/>
        </w:rPr>
        <w:t>Захист жінок в збройному конфлікті додатково посилює Резолюцію 1325 2000 року. Резолюція 1325 Ради Безпеки ООН наголошує на важливості залучення жінок до процесів мирного врегулювання, миробудування та післяконфліктного відновлення. Однак реалізація положень цієї резолюції багато в чому залежить від політичної волі держав та їхніх здатностей інтегрувати гендерні підходи в національні стратегії безпеки та правового захисту. Без належної координації між міжнародними організаціями, неурядовими структурами та місцевими органами влади ефективне впровадження принципів захисту прав жінок неможливе. Досягнення гендерної рівності у сфері безпеки є не лише питанням прав людини, але й запорукою сталого миру.</w:t>
      </w:r>
      <w:r w:rsidRPr="00511005">
        <w:rPr>
          <w:rFonts w:ascii="Arial" w:eastAsia="Calibri" w:hAnsi="Arial" w:cs="Arial"/>
          <w:szCs w:val="28"/>
        </w:rPr>
        <w:t xml:space="preserve"> [5]</w:t>
      </w:r>
    </w:p>
    <w:p w14:paraId="112C01FE"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Жінки у збройних конфліктах не лише страждають, але й виступають ключовими учасницями гуманітарної допомоги, відбудови зруйнованої інфраструктури та стабілізації суспільства. Незважаючи на численні ризики, жінки займають активну позицію у миробудівництві та розвитку післяконфліктних територій, що вимагає забезпечення їхньої безпеки, підтримки та інтеграції у процес прийняття рішень. На рівні державних структур важливо впровадити програми професійної підготовки жінок для залучення їх до секторів управління, правоохоронних органів, а також системи правосуддя, що може суттєво підвищити їхню роль у забезпеченні безпеки на всіх етапах мирного врегулювання конфліктів.</w:t>
      </w:r>
    </w:p>
    <w:p w14:paraId="60552086"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 xml:space="preserve">Насильство проти жінок, зокрема сексуальне, у період збройних конфліктів часто використовується як інструмент військових стратегій, що несе за собою тривалі психічні, фізичні та соціальні наслідки для постраждалих. Сексуальне насильство руйнує фізичне та психічне здоров’я жінок, створюючи додаткові перешкоди на шляху до їхньої соціальної та економічної реінтеграції. Для зменшення ризику повторного насильства та надання допомоги потерпілим необхідно забезпечити доступ до якісної медичної допомоги, психологічної підтримки, юридичних консультацій, а також реабілітаційних та соціальних програм. Такий підхід сприятиме </w:t>
      </w:r>
      <w:r w:rsidRPr="00511005">
        <w:rPr>
          <w:rFonts w:ascii="Arial" w:eastAsia="Calibri" w:hAnsi="Arial" w:cs="Arial"/>
          <w:szCs w:val="28"/>
          <w:lang w:val="uk-UA"/>
        </w:rPr>
        <w:lastRenderedPageBreak/>
        <w:t>швидшій адаптації постраждалих жінок до суспільного життя та відновленню їхньої економічної незалежності.</w:t>
      </w:r>
    </w:p>
    <w:p w14:paraId="3CCD97CF" w14:textId="77777777" w:rsidR="00220D3E" w:rsidRPr="00511005" w:rsidRDefault="00220D3E" w:rsidP="003A292D">
      <w:pPr>
        <w:tabs>
          <w:tab w:val="left" w:pos="709"/>
        </w:tabs>
        <w:spacing w:line="264" w:lineRule="auto"/>
        <w:rPr>
          <w:rFonts w:ascii="Arial" w:eastAsia="Calibri" w:hAnsi="Arial" w:cs="Arial"/>
          <w:szCs w:val="28"/>
        </w:rPr>
      </w:pPr>
      <w:r w:rsidRPr="00511005">
        <w:rPr>
          <w:rFonts w:ascii="Arial" w:eastAsia="Calibri" w:hAnsi="Arial" w:cs="Arial"/>
          <w:szCs w:val="28"/>
          <w:lang w:val="uk-UA"/>
        </w:rPr>
        <w:t>Важливою частиною захисту прав жінок є боротьба з безкарністю за злочини проти жінок під час збройних конфліктів. Міжнародний кримінальний суд, а також національні судові органи повинні активно долучатися до процесів розслідування випадків насильства, притягнення винних до відповідальності, а також забезпечення справедливості для постраждалих жінок. Відповідно, посилення міжнародного правосуддя та створення прецедентів є не лише основою правового захисту жінок, а й важливим елементом зміцнення норм міжнародного гуманітарного права. Ефективний захист потребує посиленої співпраці між урядовими та неурядовими організаціями, які відіграють важливу роль у моніторингу випадків насильства, наданні гуманітарної підтримки, поширенні інформації про права жінок. [</w:t>
      </w:r>
      <w:r w:rsidRPr="00511005">
        <w:rPr>
          <w:rFonts w:ascii="Arial" w:eastAsia="Calibri" w:hAnsi="Arial" w:cs="Arial"/>
          <w:szCs w:val="28"/>
        </w:rPr>
        <w:t>6]</w:t>
      </w:r>
    </w:p>
    <w:p w14:paraId="3645C5F4" w14:textId="77777777" w:rsidR="00220D3E" w:rsidRPr="00511005" w:rsidRDefault="00220D3E" w:rsidP="003A292D">
      <w:pPr>
        <w:tabs>
          <w:tab w:val="left" w:pos="709"/>
        </w:tabs>
        <w:spacing w:line="264" w:lineRule="auto"/>
        <w:rPr>
          <w:rFonts w:ascii="Arial" w:eastAsia="Calibri" w:hAnsi="Arial" w:cs="Arial"/>
          <w:szCs w:val="28"/>
        </w:rPr>
      </w:pPr>
      <w:r w:rsidRPr="00511005">
        <w:rPr>
          <w:rFonts w:ascii="Arial" w:eastAsia="Calibri" w:hAnsi="Arial" w:cs="Arial"/>
          <w:szCs w:val="28"/>
          <w:lang w:val="uk-UA"/>
        </w:rPr>
        <w:t>Залучення жінок до мирного врегулювання конфліктів стає вагомим аспектом створення інклюзивного суспільства, де враховуються потреби та інтереси всіх його членів. Жінки повинні мати рівні можливості для впливу на процес прийняття рішень у питаннях національної безпеки, що забезпечить сталий розвиток суспільства після конфлікту. Зокрема, жінки мають бути включені в процеси планування постконфліктної відбудови, управління ресурсами, гуманітарну допомогу, медичне обслуговування та програми соціальної реінтеграції, що дозволить забезпечити комплексний підхід до стабілізації суспільства. [</w:t>
      </w:r>
      <w:r w:rsidRPr="00511005">
        <w:rPr>
          <w:rFonts w:ascii="Arial" w:eastAsia="Calibri" w:hAnsi="Arial" w:cs="Arial"/>
          <w:szCs w:val="28"/>
        </w:rPr>
        <w:t>2]</w:t>
      </w:r>
    </w:p>
    <w:p w14:paraId="2DC7EEBE"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Інтеграція гендерного підходу в питання безпеки є необхідною умовою для досягнення стійкого миру. Залучення жінок до мирних ініціатив сприятиме створенню інклюзивної атмосфери взаєморозуміння, у якій буде враховано соціальні потреби та права всіх членів суспільства. Сучасні виклики вимагають активної співпраці з міжнародними та місцевими організаціями, які надають гуманітарну допомогу, проводять моніторинг дотримання прав жінок та забезпечують реабілітацію постраждалих від насильства. Підвищення уваги до прав жінок у збройних конфліктах повинно бути не лише гуманітарним обов'язком, а й стратегічним напрямом національних і міжнародних політик.</w:t>
      </w:r>
    </w:p>
    <w:p w14:paraId="6A1EC557" w14:textId="77777777" w:rsidR="00220D3E" w:rsidRPr="00511005" w:rsidRDefault="00220D3E" w:rsidP="003A292D">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 xml:space="preserve">Отже, захист прав жінок у збройних конфліктах є критично важливим елементом міжнародної безпеки, що вимагає комплексного підходу з боку держав, міжнародних організацій і неурядових структур. Успішне вирішення цього питання передбачає посилення правових норм, належне правосуддя, забезпечення реабілітації та економічної підтримки постраждалих жінок, а також залучення їх до процесів мирного врегулювання. Гендерний підхід у сфері безпеки є необхідним для досягнення сталого миру і соціальної рівності. Лише завдяки скоординованим зусиллям можна забезпечити </w:t>
      </w:r>
      <w:r w:rsidRPr="00511005">
        <w:rPr>
          <w:rFonts w:ascii="Arial" w:eastAsia="Calibri" w:hAnsi="Arial" w:cs="Arial"/>
          <w:szCs w:val="28"/>
          <w:lang w:val="uk-UA"/>
        </w:rPr>
        <w:lastRenderedPageBreak/>
        <w:t>повноцінний захист прав жінок і створити безпечні умови для їхньої реінтеграції в суспільство після конфліктів.</w:t>
      </w:r>
    </w:p>
    <w:p w14:paraId="39857E09" w14:textId="77777777" w:rsidR="00220D3E" w:rsidRPr="00511005" w:rsidRDefault="00220D3E" w:rsidP="003A292D">
      <w:pPr>
        <w:tabs>
          <w:tab w:val="left" w:pos="709"/>
        </w:tabs>
        <w:spacing w:line="264" w:lineRule="auto"/>
        <w:ind w:firstLine="0"/>
        <w:rPr>
          <w:rFonts w:ascii="Arial" w:eastAsia="Calibri" w:hAnsi="Arial" w:cs="Arial"/>
          <w:szCs w:val="28"/>
          <w:lang w:val="uk-UA"/>
        </w:rPr>
      </w:pPr>
    </w:p>
    <w:p w14:paraId="5140FA88" w14:textId="3811DDCE" w:rsidR="00220D3E" w:rsidRPr="00511005" w:rsidRDefault="007B2628" w:rsidP="007B2628">
      <w:pPr>
        <w:tabs>
          <w:tab w:val="left" w:pos="709"/>
        </w:tabs>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44D81663" w14:textId="24253449" w:rsidR="00220D3E" w:rsidRPr="00511005" w:rsidRDefault="00220D3E" w:rsidP="003F6A5D">
      <w:pPr>
        <w:numPr>
          <w:ilvl w:val="0"/>
          <w:numId w:val="18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Гнатовський, М. М., Кориневич, А. О., &amp; Лисенко, О. М. (2015). Війна і права людини. Дослідження Української Гельсінської спілки з прав людини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(А. О. Кориневич &amp; О. А. Мартиненко, Ред.). КВІЦ. </w:t>
      </w:r>
      <w:r w:rsidRPr="00511005">
        <w:rPr>
          <w:rFonts w:ascii="Arial" w:eastAsia="Calibri" w:hAnsi="Arial" w:cs="Arial"/>
          <w:szCs w:val="28"/>
          <w:lang w:val="en-US"/>
        </w:rPr>
        <w:t xml:space="preserve">URL: </w:t>
      </w:r>
      <w:hyperlink r:id="rId623" w:history="1">
        <w:r w:rsidRPr="00511005">
          <w:rPr>
            <w:rFonts w:ascii="Arial" w:eastAsia="Calibri" w:hAnsi="Arial" w:cs="Arial"/>
            <w:szCs w:val="28"/>
            <w:lang w:val="uk-UA"/>
          </w:rPr>
          <w:t>https://www.helsinki.org.ua/files/docs/1439184931.pdf</w:t>
        </w:r>
      </w:hyperlink>
    </w:p>
    <w:p w14:paraId="30DFABC8" w14:textId="77777777" w:rsidR="00220D3E" w:rsidRPr="00511005" w:rsidRDefault="00220D3E" w:rsidP="003F6A5D">
      <w:pPr>
        <w:numPr>
          <w:ilvl w:val="0"/>
          <w:numId w:val="18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Грушко М. В. Захист прав жінок-військовополонених в умовах збройного конфлікту. </w:t>
      </w:r>
      <w:r w:rsidRPr="00511005">
        <w:rPr>
          <w:rFonts w:ascii="Arial" w:eastAsia="Calibri" w:hAnsi="Arial" w:cs="Arial"/>
          <w:i/>
          <w:iCs/>
          <w:szCs w:val="28"/>
          <w:lang w:val="uk-UA"/>
        </w:rPr>
        <w:t>Часопис Київського університету права</w:t>
      </w:r>
      <w:r w:rsidRPr="00511005">
        <w:rPr>
          <w:rFonts w:ascii="Arial" w:eastAsia="Calibri" w:hAnsi="Arial" w:cs="Arial"/>
          <w:szCs w:val="28"/>
          <w:lang w:val="uk-UA"/>
        </w:rPr>
        <w:t>. 2010/3. С. 294-299.</w:t>
      </w:r>
    </w:p>
    <w:p w14:paraId="0FCDED01" w14:textId="77777777" w:rsidR="00220D3E" w:rsidRPr="00511005" w:rsidRDefault="00220D3E" w:rsidP="003F6A5D">
      <w:pPr>
        <w:numPr>
          <w:ilvl w:val="0"/>
          <w:numId w:val="18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Політова А. С., Грушко М. В. Юрисдикція Міжнародного кримінального суду як спеціального суб’єкта протидії гендерно зумовленого насильству в умовах збройного конфлікту. Наукові перспективи. 2023. № 8. С. 529-540. URL: </w:t>
      </w:r>
      <w:hyperlink r:id="rId624" w:history="1">
        <w:r w:rsidRPr="00511005">
          <w:rPr>
            <w:rFonts w:ascii="Arial" w:eastAsia="Calibri" w:hAnsi="Arial" w:cs="Arial"/>
            <w:szCs w:val="28"/>
            <w:lang w:val="uk-UA"/>
          </w:rPr>
          <w:t>http://perspectives.pp.ua/index.php/np/article/view/6073</w:t>
        </w:r>
      </w:hyperlink>
    </w:p>
    <w:p w14:paraId="6A09EE91" w14:textId="77777777" w:rsidR="00220D3E" w:rsidRPr="00511005" w:rsidRDefault="00220D3E" w:rsidP="003F6A5D">
      <w:pPr>
        <w:numPr>
          <w:ilvl w:val="0"/>
          <w:numId w:val="18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Поліщук Г.Р., Груша Ю.Р. Роль держави у забезпеченні сталого розвитку економіки України Юридичний науковий електронний журнал. 2023. № 8. С. 529-531. </w:t>
      </w:r>
      <w:r w:rsidRPr="00511005">
        <w:rPr>
          <w:rFonts w:ascii="Arial" w:eastAsia="Calibri" w:hAnsi="Arial" w:cs="Arial"/>
          <w:szCs w:val="28"/>
          <w:lang w:val="en-US"/>
        </w:rPr>
        <w:t>URL</w:t>
      </w:r>
      <w:r w:rsidRPr="00511005">
        <w:rPr>
          <w:rFonts w:ascii="Arial" w:eastAsia="Calibri" w:hAnsi="Arial" w:cs="Arial"/>
          <w:szCs w:val="28"/>
          <w:lang w:val="uk-UA"/>
        </w:rPr>
        <w:t>:</w:t>
      </w:r>
      <w:hyperlink r:id="rId625" w:history="1">
        <w:r w:rsidRPr="00511005">
          <w:rPr>
            <w:rFonts w:ascii="Arial" w:eastAsia="Calibri" w:hAnsi="Arial" w:cs="Arial"/>
            <w:szCs w:val="28"/>
            <w:lang w:val="uk-UA"/>
          </w:rPr>
          <w:t>https://repository.mu.edu.ua/jspui/bitstream/123456789/4838/1/pol_gru_yur_2023_8_529.pdf</w:t>
        </w:r>
      </w:hyperlink>
      <w:r w:rsidRPr="00511005">
        <w:rPr>
          <w:rFonts w:ascii="Arial" w:eastAsia="Calibri" w:hAnsi="Arial" w:cs="Arial"/>
          <w:szCs w:val="28"/>
          <w:lang w:val="uk-UA"/>
        </w:rPr>
        <w:t xml:space="preserve"> </w:t>
      </w:r>
    </w:p>
    <w:p w14:paraId="1A121B27" w14:textId="77777777" w:rsidR="00220D3E" w:rsidRPr="00511005" w:rsidRDefault="00220D3E" w:rsidP="003F6A5D">
      <w:pPr>
        <w:numPr>
          <w:ilvl w:val="0"/>
          <w:numId w:val="18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Elisabeth Rehn and Ellen Johnson Sirleaf Women, War, Peace. 2002. Vol. 1. United Nations Development Fund for Women. 2002. P. 22-29.</w:t>
      </w:r>
    </w:p>
    <w:p w14:paraId="43A85EEA" w14:textId="77777777" w:rsidR="00220D3E" w:rsidRPr="00511005" w:rsidRDefault="00220D3E" w:rsidP="003F6A5D">
      <w:pPr>
        <w:numPr>
          <w:ilvl w:val="0"/>
          <w:numId w:val="180"/>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Niamh Reilly. Women’s Human Rights. Polity Press, 2009. Р. 93-98. </w:t>
      </w:r>
      <w:r w:rsidRPr="00511005">
        <w:rPr>
          <w:rFonts w:ascii="Arial" w:eastAsia="Calibri" w:hAnsi="Arial" w:cs="Arial"/>
          <w:szCs w:val="28"/>
          <w:lang w:val="en-GB"/>
        </w:rPr>
        <w:t>URL</w:t>
      </w:r>
      <w:r w:rsidRPr="00511005">
        <w:rPr>
          <w:rFonts w:ascii="Arial" w:eastAsia="Calibri" w:hAnsi="Arial" w:cs="Arial"/>
          <w:szCs w:val="28"/>
          <w:lang w:val="uk-UA"/>
        </w:rPr>
        <w:t>:</w:t>
      </w:r>
      <w:r w:rsidRPr="00511005">
        <w:rPr>
          <w:rFonts w:ascii="Arial" w:eastAsia="Calibri" w:hAnsi="Arial" w:cs="Arial"/>
          <w:szCs w:val="28"/>
          <w:lang w:val="en-GB"/>
        </w:rPr>
        <w:t xml:space="preserve"> </w:t>
      </w:r>
      <w:hyperlink r:id="rId626" w:history="1">
        <w:r w:rsidRPr="00511005">
          <w:rPr>
            <w:rFonts w:ascii="Arial" w:eastAsia="Calibri" w:hAnsi="Arial" w:cs="Arial"/>
            <w:szCs w:val="28"/>
            <w:lang w:val="uk-UA"/>
          </w:rPr>
          <w:t>https://download.e-bookshelf.de/download/0003/7722/06/L-X-0003772206-0002179786.XHTML/index.xhtml</w:t>
        </w:r>
      </w:hyperlink>
      <w:r w:rsidRPr="00511005">
        <w:rPr>
          <w:rFonts w:ascii="Arial" w:eastAsia="Calibri" w:hAnsi="Arial" w:cs="Arial"/>
          <w:szCs w:val="28"/>
          <w:lang w:val="uk-UA"/>
        </w:rPr>
        <w:t xml:space="preserve">. </w:t>
      </w:r>
    </w:p>
    <w:p w14:paraId="2D4E163E" w14:textId="77777777" w:rsidR="00220D3E" w:rsidRPr="00511005" w:rsidRDefault="00220D3E" w:rsidP="003A292D">
      <w:pPr>
        <w:tabs>
          <w:tab w:val="left" w:pos="709"/>
        </w:tabs>
        <w:spacing w:line="264" w:lineRule="auto"/>
        <w:rPr>
          <w:rFonts w:ascii="Arial" w:eastAsia="Calibri" w:hAnsi="Arial" w:cs="Arial"/>
          <w:szCs w:val="28"/>
          <w:lang w:val="en-US"/>
        </w:rPr>
      </w:pPr>
    </w:p>
    <w:p w14:paraId="27B81D32" w14:textId="20707D6F" w:rsidR="00220D3E" w:rsidRPr="00511005" w:rsidRDefault="007B2628" w:rsidP="003A292D">
      <w:pPr>
        <w:tabs>
          <w:tab w:val="left" w:pos="709"/>
        </w:tabs>
        <w:spacing w:line="264" w:lineRule="auto"/>
        <w:rPr>
          <w:rFonts w:ascii="Arial" w:eastAsia="Calibri" w:hAnsi="Arial" w:cs="Arial"/>
          <w:szCs w:val="28"/>
          <w:lang w:val="uk-UA"/>
        </w:rPr>
      </w:pPr>
      <w:r w:rsidRPr="00511005">
        <w:rPr>
          <w:rFonts w:ascii="Arial" w:eastAsia="Calibri" w:hAnsi="Arial" w:cs="Arial"/>
          <w:b/>
          <w:i/>
          <w:szCs w:val="28"/>
        </w:rPr>
        <w:t>Ключові</w:t>
      </w:r>
      <w:r w:rsidRPr="00055389">
        <w:rPr>
          <w:rFonts w:ascii="Arial" w:eastAsia="Calibri" w:hAnsi="Arial" w:cs="Arial"/>
          <w:b/>
          <w:i/>
          <w:szCs w:val="28"/>
          <w:lang w:val="en-US"/>
        </w:rPr>
        <w:t xml:space="preserve"> </w:t>
      </w:r>
      <w:r w:rsidRPr="00511005">
        <w:rPr>
          <w:rFonts w:ascii="Arial" w:eastAsia="Calibri" w:hAnsi="Arial" w:cs="Arial"/>
          <w:b/>
          <w:i/>
          <w:szCs w:val="28"/>
        </w:rPr>
        <w:t>слова</w:t>
      </w:r>
      <w:r w:rsidRPr="00055389">
        <w:rPr>
          <w:rFonts w:ascii="Arial" w:eastAsia="Calibri" w:hAnsi="Arial" w:cs="Arial"/>
          <w:b/>
          <w:i/>
          <w:szCs w:val="28"/>
          <w:lang w:val="en-US"/>
        </w:rPr>
        <w:t xml:space="preserve">: </w:t>
      </w:r>
      <w:r w:rsidR="00220D3E" w:rsidRPr="00511005">
        <w:rPr>
          <w:rFonts w:ascii="Arial" w:eastAsia="Calibri" w:hAnsi="Arial" w:cs="Arial"/>
          <w:szCs w:val="28"/>
        </w:rPr>
        <w:t>права</w:t>
      </w:r>
      <w:r w:rsidR="00220D3E" w:rsidRPr="00511005">
        <w:rPr>
          <w:rFonts w:ascii="Arial" w:eastAsia="Calibri" w:hAnsi="Arial" w:cs="Arial"/>
          <w:szCs w:val="28"/>
          <w:lang w:val="en-US"/>
        </w:rPr>
        <w:t xml:space="preserve"> </w:t>
      </w:r>
      <w:r w:rsidR="00220D3E" w:rsidRPr="00511005">
        <w:rPr>
          <w:rFonts w:ascii="Arial" w:eastAsia="Calibri" w:hAnsi="Arial" w:cs="Arial"/>
          <w:szCs w:val="28"/>
        </w:rPr>
        <w:t>людини</w:t>
      </w:r>
      <w:r w:rsidR="00220D3E" w:rsidRPr="00511005">
        <w:rPr>
          <w:rFonts w:ascii="Arial" w:eastAsia="Calibri" w:hAnsi="Arial" w:cs="Arial"/>
          <w:szCs w:val="28"/>
          <w:lang w:val="en-US"/>
        </w:rPr>
        <w:t>,</w:t>
      </w:r>
      <w:r w:rsidR="00220D3E" w:rsidRPr="00511005">
        <w:rPr>
          <w:rFonts w:ascii="Arial" w:eastAsia="Calibri" w:hAnsi="Arial" w:cs="Arial"/>
          <w:szCs w:val="28"/>
          <w:lang w:val="uk-UA"/>
        </w:rPr>
        <w:t xml:space="preserve"> </w:t>
      </w:r>
      <w:r w:rsidR="00220D3E" w:rsidRPr="00511005">
        <w:rPr>
          <w:rFonts w:ascii="Arial" w:eastAsia="Calibri" w:hAnsi="Arial" w:cs="Arial"/>
          <w:szCs w:val="28"/>
        </w:rPr>
        <w:t>збройні</w:t>
      </w:r>
      <w:r w:rsidR="00220D3E" w:rsidRPr="00511005">
        <w:rPr>
          <w:rFonts w:ascii="Arial" w:eastAsia="Calibri" w:hAnsi="Arial" w:cs="Arial"/>
          <w:szCs w:val="28"/>
          <w:lang w:val="en-US"/>
        </w:rPr>
        <w:t xml:space="preserve"> </w:t>
      </w:r>
      <w:r w:rsidR="00220D3E" w:rsidRPr="00511005">
        <w:rPr>
          <w:rFonts w:ascii="Arial" w:eastAsia="Calibri" w:hAnsi="Arial" w:cs="Arial"/>
          <w:szCs w:val="28"/>
        </w:rPr>
        <w:t>конфлікти</w:t>
      </w:r>
      <w:r w:rsidR="00220D3E" w:rsidRPr="00511005">
        <w:rPr>
          <w:rFonts w:ascii="Arial" w:eastAsia="Calibri" w:hAnsi="Arial" w:cs="Arial"/>
          <w:szCs w:val="28"/>
          <w:lang w:val="en-US"/>
        </w:rPr>
        <w:t>,</w:t>
      </w:r>
      <w:r w:rsidR="00220D3E" w:rsidRPr="00511005">
        <w:rPr>
          <w:rFonts w:ascii="Arial" w:eastAsia="Calibri" w:hAnsi="Arial" w:cs="Arial"/>
          <w:szCs w:val="28"/>
          <w:lang w:val="uk-UA"/>
        </w:rPr>
        <w:t xml:space="preserve"> Женевські конвенції, міжнародне гуманітарне право, міжнародне кримінальне право, правосуддя, кримінальнй суд, ООН, бойові дії.</w:t>
      </w:r>
    </w:p>
    <w:p w14:paraId="5D44C461" w14:textId="4B98DFE5" w:rsidR="00220D3E" w:rsidRPr="00511005" w:rsidRDefault="007B2628" w:rsidP="003A292D">
      <w:pPr>
        <w:tabs>
          <w:tab w:val="left" w:pos="709"/>
        </w:tabs>
        <w:spacing w:line="264" w:lineRule="auto"/>
        <w:rPr>
          <w:rFonts w:ascii="Arial" w:eastAsia="Calibri" w:hAnsi="Arial" w:cs="Arial"/>
          <w:szCs w:val="28"/>
          <w:lang w:val="uk-UA"/>
        </w:rPr>
      </w:pPr>
      <w:r w:rsidRPr="00511005">
        <w:rPr>
          <w:rFonts w:ascii="Arial" w:eastAsia="Calibri" w:hAnsi="Arial" w:cs="Arial"/>
          <w:b/>
          <w:i/>
          <w:szCs w:val="28"/>
          <w:lang w:val="en-US"/>
        </w:rPr>
        <w:t xml:space="preserve">Key words: </w:t>
      </w:r>
      <w:r w:rsidR="00220D3E" w:rsidRPr="00511005">
        <w:rPr>
          <w:rFonts w:ascii="Arial" w:eastAsia="Calibri" w:hAnsi="Arial" w:cs="Arial"/>
          <w:szCs w:val="28"/>
          <w:lang w:val="uk-UA"/>
        </w:rPr>
        <w:t>human rights, armed conflicts, Geneva Conventions, international humanitarian law, international criminal law, justice, criminal court, UN, hostilities.</w:t>
      </w:r>
    </w:p>
    <w:p w14:paraId="322EA670" w14:textId="189F7856" w:rsidR="00220D3E" w:rsidRPr="00511005" w:rsidRDefault="007B2628" w:rsidP="003A292D">
      <w:pPr>
        <w:tabs>
          <w:tab w:val="left" w:pos="709"/>
        </w:tabs>
        <w:spacing w:line="264" w:lineRule="auto"/>
        <w:rPr>
          <w:rFonts w:ascii="Arial" w:eastAsia="Calibri" w:hAnsi="Arial" w:cs="Arial"/>
          <w:szCs w:val="28"/>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eastAsia="ru-RU"/>
        </w:rPr>
        <w:t>к.ю.н., доцент Грушко М.В.</w:t>
      </w:r>
    </w:p>
    <w:p w14:paraId="42B3F16D" w14:textId="77777777" w:rsidR="00220D3E" w:rsidRPr="00511005" w:rsidRDefault="00220D3E" w:rsidP="003A292D">
      <w:pPr>
        <w:tabs>
          <w:tab w:val="left" w:pos="709"/>
        </w:tabs>
        <w:spacing w:line="264" w:lineRule="auto"/>
        <w:ind w:firstLine="0"/>
        <w:jc w:val="left"/>
        <w:rPr>
          <w:rFonts w:ascii="Arial" w:eastAsia="Times New Roman" w:hAnsi="Arial" w:cs="Arial"/>
          <w:b/>
          <w:i/>
          <w:iCs/>
          <w:szCs w:val="28"/>
          <w:lang w:val="uk-UA" w:eastAsia="ru-RU"/>
        </w:rPr>
      </w:pPr>
    </w:p>
    <w:p w14:paraId="0C41BB2B" w14:textId="77777777" w:rsidR="00220D3E" w:rsidRPr="00511005" w:rsidRDefault="00220D3E" w:rsidP="003A292D">
      <w:pPr>
        <w:tabs>
          <w:tab w:val="left" w:pos="709"/>
        </w:tabs>
        <w:spacing w:line="264" w:lineRule="auto"/>
        <w:jc w:val="center"/>
        <w:rPr>
          <w:rFonts w:ascii="Arial" w:eastAsia="Times New Roman" w:hAnsi="Arial" w:cs="Arial"/>
          <w:b/>
          <w:i/>
          <w:iCs/>
          <w:szCs w:val="28"/>
          <w:lang w:val="uk-UA" w:eastAsia="ru-RU"/>
        </w:rPr>
      </w:pPr>
      <w:r w:rsidRPr="00511005">
        <w:rPr>
          <w:rFonts w:ascii="Arial" w:eastAsia="Times New Roman" w:hAnsi="Arial" w:cs="Arial"/>
          <w:b/>
          <w:i/>
          <w:iCs/>
          <w:szCs w:val="28"/>
          <w:lang w:val="uk-UA" w:eastAsia="ru-RU"/>
        </w:rPr>
        <w:t>Прохорова Олена Сергіївна</w:t>
      </w:r>
    </w:p>
    <w:p w14:paraId="50B6088F" w14:textId="42B65DE2"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eastAsia="ru-RU"/>
        </w:rPr>
        <w:t xml:space="preserve">студентка 4-го курсу </w:t>
      </w:r>
    </w:p>
    <w:p w14:paraId="727328AB" w14:textId="3965F12C" w:rsidR="00220D3E" w:rsidRPr="00511005" w:rsidRDefault="00536AAB" w:rsidP="003A292D">
      <w:pPr>
        <w:tabs>
          <w:tab w:val="left" w:pos="709"/>
        </w:tabs>
        <w:spacing w:line="264" w:lineRule="auto"/>
        <w:jc w:val="center"/>
        <w:rPr>
          <w:rFonts w:ascii="Arial" w:eastAsia="Times New Roman" w:hAnsi="Arial" w:cs="Arial"/>
          <w:noProof/>
          <w:szCs w:val="28"/>
          <w:lang w:val="uk-UA" w:eastAsia="ru-RU"/>
        </w:rPr>
      </w:pPr>
      <w:r w:rsidRPr="00511005">
        <w:rPr>
          <w:rFonts w:ascii="Arial" w:eastAsia="Times New Roman" w:hAnsi="Arial" w:cs="Arial"/>
          <w:szCs w:val="28"/>
          <w:lang w:eastAsia="ru-RU"/>
        </w:rPr>
        <w:t>факультету адвокатури та антикорупційної діяльності</w:t>
      </w:r>
    </w:p>
    <w:p w14:paraId="46EC1657" w14:textId="00BF294E"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eastAsia="ru-RU"/>
        </w:rPr>
        <w:t>Національного університету «Одеська юридична академія»</w:t>
      </w:r>
    </w:p>
    <w:p w14:paraId="6A21E8EF"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31F21728"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МІГРАЦІЙНА ПОЛІТИКА ЄС: СУЧАСНИЙ СТАН ТА ПЕРСПЕКТИВИ РОЗВИТКУ</w:t>
      </w:r>
    </w:p>
    <w:p w14:paraId="2F6F167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Станом на сьогоднішній день міграційна політика держав-членів Європейського Союзу (далі – ЄС) є одним з найважливіших факторів забезпечення безпеки, розвитку соціально-економічних та політичних відносин. </w:t>
      </w:r>
    </w:p>
    <w:p w14:paraId="53BD071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Міграційна криза, що почалася з 2015 року (неконтрольованим потоком біженців із регіону Близького сходу, африканських та азіатських держав, криза на Білоруському кордоні з ЄС у 2021, криза в Середземномор’ї, війна України та рф). Ці чинники тільки поглиблюють проблему міграції у ЄС [1, с. 49].</w:t>
      </w:r>
    </w:p>
    <w:p w14:paraId="15C65BA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Через політичний курс, який обрано державами-членами ЄС, спостерігається зростання кількості мігрантів, зокрема нелегальних, та «старіння нації», що призводить до вимушеного залучення спеціалістів з різних галузей до роботи у країні, в яку вони прибули. </w:t>
      </w:r>
    </w:p>
    <w:p w14:paraId="75B7862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Європейською комісією у 2008 році було проведено аналіз ситуації, яка склалася у міграційній сфері ЄС та було сформовано основні принципи міграційної політики: підгрунтя для легальної міграції, відповідність міграції ринку праці, взаємна довіра та розподіл обов’язків між державами-членами[2].</w:t>
      </w:r>
    </w:p>
    <w:p w14:paraId="1CA3BBD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Правову основу міграційної політики складають Шенгенські угоди, Договір про Європейський Союз, Амстердамський договір, Лісабонський договір, Пакт імміграції та надання притулку[3, с. 3]. Проблемним питанням лишається ліберальних підхід у міграційних угодах, що спричиняє збільшення потоку мігрантів в країни ЄС та виникнення міграційних криз.</w:t>
      </w:r>
    </w:p>
    <w:p w14:paraId="50696624" w14:textId="77777777" w:rsidR="00220D3E" w:rsidRPr="00511005" w:rsidRDefault="00220D3E" w:rsidP="003A292D">
      <w:pPr>
        <w:shd w:val="clear" w:color="auto" w:fill="FFFFFF"/>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 оцінками Європейського агентства з охорони зовнішніх кордонів країн-членів ЄС станом на 2023 рік міграційний тиск на Європу продовжить зростати через кількість воєнних конфліктів, що у свою чергу приводить до нестабільності регіону, економічного розриву та масового безробіття в багатьох країнах світу [4].</w:t>
      </w:r>
    </w:p>
    <w:p w14:paraId="768060C5" w14:textId="77777777" w:rsidR="00220D3E" w:rsidRPr="00511005" w:rsidRDefault="00220D3E" w:rsidP="003A292D">
      <w:pPr>
        <w:shd w:val="clear" w:color="auto" w:fill="FFFFFF"/>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Окрім країн Близького сходу, ще один потік мігрантів відкрито з України через збройний конфлікт останньої з рф. За статею </w:t>
      </w:r>
      <w:r w:rsidRPr="00511005">
        <w:rPr>
          <w:rFonts w:ascii="Arial" w:eastAsia="Times New Roman" w:hAnsi="Arial" w:cs="Arial"/>
          <w:szCs w:val="28"/>
          <w:lang w:val="en-US" w:eastAsia="ru-RU"/>
        </w:rPr>
        <w:t>Forbes</w:t>
      </w:r>
      <w:r w:rsidRPr="00511005">
        <w:rPr>
          <w:rFonts w:ascii="Arial" w:eastAsia="Times New Roman" w:hAnsi="Arial" w:cs="Arial"/>
          <w:szCs w:val="28"/>
          <w:lang w:val="uk-UA" w:eastAsia="ru-RU"/>
        </w:rPr>
        <w:t xml:space="preserve"> близько 4,2 млн Українців мали статус тимчасового захисту в країнах ЄС станом на 31 серпня 2024 року [5]. За інформацією від НБУ очікується, що Україну покинуть ще близько 200 тис. українців, і це лише офіційні цифри[6]. </w:t>
      </w:r>
    </w:p>
    <w:p w14:paraId="360D62C6" w14:textId="77777777" w:rsidR="00220D3E" w:rsidRPr="00511005" w:rsidRDefault="00220D3E" w:rsidP="003A292D">
      <w:pPr>
        <w:shd w:val="clear" w:color="auto" w:fill="FFFFFF"/>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Тобто сучасний стан можна описати наступним чином: велика кількість мігрантів дестабілізує соціально-економічне та політичне життя громадян держав-учасниць ЄС. Так, з одного боку робочі місця постійно зайняті, з іншого боку це призводить до неконкуретноспроможності громадян і мігрантів, так як мігранти працюють більше та заробляють менше за ту роботу, за яку корінне населення не зацікавлене працювати. Звісно, державі сплачуються податки та виконуюються певні завдання в економіці, але питання стоїть доволі гостро. Наступною проблемою є лояльне ставлення до осіб, з так званих «країн третього світу» серед яких є такі, що поводять </w:t>
      </w:r>
      <w:r w:rsidRPr="00511005">
        <w:rPr>
          <w:rFonts w:ascii="Arial" w:eastAsia="Times New Roman" w:hAnsi="Arial" w:cs="Arial"/>
          <w:szCs w:val="28"/>
          <w:lang w:val="uk-UA" w:eastAsia="ru-RU"/>
        </w:rPr>
        <w:lastRenderedPageBreak/>
        <w:t xml:space="preserve">себе вкрай агресивно або ті, які вчиняють кримінальні правопорушення, терористичні акти тощо, та яких, чомусь, не депортують або не притягують до кримінальної відповідальності. Актуальною є проблема, коли особі дають робоче місце тільки за те, що має певний колір шкіри, а не відповідні навички, професіоналізм або освіту. Від таких випадків дуже страждає, зокрема, медична сфера. Наступною проблемою є те, що більшість мігрантів не обізнані у правовій сфері ЄС, тому їм складно адаптуватись до «нової» правової системи. Однак, з плюсів можна виділити те, про що згадувалось вище, зокрема те, що мігранти готові працювати за меншу заробітну плату, виконуючи ту саму роботу, що частково позитивно сказується на економіці країни, проте велика кількість мігрантів живе в ЄС за рахунок асигнувань з бюджету та різні пільги, тому питання вигоди залишається відкритим. Великий потік мігрантів призводить до того, що корінне населення фактично заміщується новим. Так, часті випадки, коли у школах великих міст із 34 учнів лише 2 – корінне населення. Це може свідчити про те, що люди, які не є громадянами ЄС, можуть почати диктувати країні, як жити, що не є позитивним рухом. </w:t>
      </w:r>
    </w:p>
    <w:p w14:paraId="3A930D7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перспектив розвиту слід виділити наступні: Європа вимагає негайних та дієвих реформ, спрямованих на посилення контролю за реформами, встановлення рамок отримання допомоги та депортації нелегальних мігрантів або тих, хто порушує право ЄС, притягнення до відповідальності тих, хто посягає на життя та здоров’я людей. Через бездіяльність та неналежний контроль за міграційними потоками ЄС може опинитися на грані розпаду, так як подібна політика руйнує ті керівні ідеї і положення, що стоять у витоків ЄС.</w:t>
      </w:r>
    </w:p>
    <w:p w14:paraId="367939C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Проаналізувавши все вищевикладене, ми прийшли до наступних висновків: наразі міграційна політика ЄС переживає патову ситуацію, що у свою чергу підриває довіру європейців до своєї влади, через що дестабілізується політичне життя, утримує велику кількість мігрантів, які не працюють, що у свою чергу сказується на економіці. Також спостерігається нерівномірне розподілення мігрантів, наприклад у Польщі їх значно менше, аніж у Нідерландах та Німеччині. Європа може отримати кваліфіковані кадри, потенційних робітників тощо, а натомість утримує за свій рахунок злодіїв та надає перевагу тим, хто виїхав з певного регіону, а не тим, хто має певний рівень підготовки. Це все може призвести до того, що Європа як культурна назва може зникнути, так як соціальний, культурний, політичний, історичний, економічний рівень зміниться. Для того аби стабілізувати ситуації пропонуємо кардинально змінити підхід компетентних органів ЄС задля подолання міграційної кризи та стабілізації ситуації в регіоні. Одним з дієвих механізмів реалізації може стати масова депортація нелегальних мігрантів, встановлення часових рамок отримання допомоги від держави, </w:t>
      </w:r>
      <w:r w:rsidRPr="00511005">
        <w:rPr>
          <w:rFonts w:ascii="Arial" w:eastAsia="Times New Roman" w:hAnsi="Arial" w:cs="Arial"/>
          <w:szCs w:val="28"/>
          <w:lang w:val="uk-UA" w:eastAsia="ru-RU"/>
        </w:rPr>
        <w:lastRenderedPageBreak/>
        <w:t>депортація та притягнення до відповідальності тих, хто вчиняв кримінальні правопорушення.</w:t>
      </w:r>
    </w:p>
    <w:p w14:paraId="63AB023A" w14:textId="77777777" w:rsidR="00220D3E" w:rsidRPr="00511005" w:rsidRDefault="00220D3E" w:rsidP="003A292D">
      <w:pPr>
        <w:tabs>
          <w:tab w:val="left" w:pos="709"/>
        </w:tabs>
        <w:spacing w:line="264" w:lineRule="auto"/>
        <w:ind w:firstLine="0"/>
        <w:jc w:val="left"/>
        <w:rPr>
          <w:rFonts w:ascii="Arial" w:eastAsia="Times New Roman" w:hAnsi="Arial" w:cs="Arial"/>
          <w:b/>
          <w:szCs w:val="28"/>
          <w:lang w:val="uk-UA" w:eastAsia="ru-RU"/>
        </w:rPr>
      </w:pPr>
    </w:p>
    <w:p w14:paraId="328150F9" w14:textId="752F210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 xml:space="preserve">Список </w:t>
      </w:r>
      <w:r w:rsidR="00875A11">
        <w:rPr>
          <w:rFonts w:ascii="Arial" w:eastAsia="Times New Roman" w:hAnsi="Arial" w:cs="Arial"/>
          <w:b/>
          <w:szCs w:val="28"/>
          <w:lang w:val="uk-UA" w:eastAsia="ru-RU"/>
        </w:rPr>
        <w:t>використаних джерел</w:t>
      </w:r>
    </w:p>
    <w:p w14:paraId="260C3B7F" w14:textId="77777777" w:rsidR="00220D3E" w:rsidRPr="00511005" w:rsidRDefault="00220D3E" w:rsidP="003F6A5D">
      <w:pPr>
        <w:numPr>
          <w:ilvl w:val="0"/>
          <w:numId w:val="145"/>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rPr>
        <w:t>ГРЕЧКА О. МІГРАЦІЙНА КРИЗА В ЄВРОПІ ЯК ЗАГРОЗА БЕЗПЕЦІ ЄС: ФАКТИ, ВИКЛИКИ ТА МОЖЛИВІ РІШЕННЯ. </w:t>
      </w:r>
      <w:r w:rsidRPr="00511005">
        <w:rPr>
          <w:rFonts w:ascii="Arial" w:eastAsia="Calibri" w:hAnsi="Arial" w:cs="Arial"/>
          <w:i/>
          <w:iCs/>
          <w:szCs w:val="28"/>
        </w:rPr>
        <w:t>Наукові праці Міжрегіональної Академії управління персоналом. Політичні науки та публічне управління</w:t>
      </w:r>
      <w:r w:rsidRPr="00511005">
        <w:rPr>
          <w:rFonts w:ascii="Arial" w:eastAsia="Calibri" w:hAnsi="Arial" w:cs="Arial"/>
          <w:szCs w:val="28"/>
        </w:rPr>
        <w:t>. 2022. № 2(62). С. 48–53. URL: </w:t>
      </w:r>
      <w:hyperlink r:id="rId627" w:tgtFrame="_blank" w:history="1">
        <w:r w:rsidRPr="00511005">
          <w:rPr>
            <w:rFonts w:ascii="Arial" w:eastAsia="Calibri" w:hAnsi="Arial" w:cs="Arial"/>
            <w:szCs w:val="28"/>
          </w:rPr>
          <w:t>https://doi.org/10.32689/2523-4625-2022-2(62)-7</w:t>
        </w:r>
      </w:hyperlink>
      <w:r w:rsidRPr="00511005">
        <w:rPr>
          <w:rFonts w:ascii="Arial" w:eastAsia="Calibri" w:hAnsi="Arial" w:cs="Arial"/>
          <w:szCs w:val="28"/>
        </w:rPr>
        <w:t> </w:t>
      </w:r>
    </w:p>
    <w:p w14:paraId="3E534536" w14:textId="77777777" w:rsidR="00220D3E" w:rsidRPr="00511005" w:rsidRDefault="00220D3E" w:rsidP="003F6A5D">
      <w:pPr>
        <w:numPr>
          <w:ilvl w:val="0"/>
          <w:numId w:val="145"/>
        </w:numPr>
        <w:tabs>
          <w:tab w:val="left" w:pos="709"/>
        </w:tabs>
        <w:spacing w:line="264" w:lineRule="auto"/>
        <w:ind w:left="0" w:firstLine="709"/>
        <w:contextualSpacing/>
        <w:jc w:val="left"/>
        <w:rPr>
          <w:rFonts w:ascii="Arial" w:eastAsia="Calibri" w:hAnsi="Arial" w:cs="Arial"/>
          <w:szCs w:val="28"/>
          <w:lang w:val="pl-PL"/>
        </w:rPr>
      </w:pPr>
      <w:r w:rsidRPr="00511005">
        <w:rPr>
          <w:rFonts w:ascii="Arial" w:eastAsia="Calibri" w:hAnsi="Arial" w:cs="Arial"/>
          <w:szCs w:val="28"/>
        </w:rPr>
        <w:t>С</w:t>
      </w:r>
      <w:r w:rsidRPr="00511005">
        <w:rPr>
          <w:rFonts w:ascii="Arial" w:eastAsia="Calibri" w:hAnsi="Arial" w:cs="Arial"/>
          <w:szCs w:val="28"/>
          <w:lang w:val="en-US"/>
        </w:rPr>
        <w:t>ommunication from the Commission to the European Parliament, the Council, the Economic and Social Committee and the Committee of the Regions. A Common Immigration Policy for Europe: Principles, actions and tools (</w:t>
      </w:r>
      <w:proofErr w:type="gramStart"/>
      <w:r w:rsidRPr="00511005">
        <w:rPr>
          <w:rFonts w:ascii="Arial" w:eastAsia="Calibri" w:hAnsi="Arial" w:cs="Arial"/>
          <w:szCs w:val="28"/>
          <w:lang w:val="en-US"/>
        </w:rPr>
        <w:t>COM(</w:t>
      </w:r>
      <w:proofErr w:type="gramEnd"/>
      <w:r w:rsidRPr="00511005">
        <w:rPr>
          <w:rFonts w:ascii="Arial" w:eastAsia="Calibri" w:hAnsi="Arial" w:cs="Arial"/>
          <w:szCs w:val="28"/>
          <w:lang w:val="en-US"/>
        </w:rPr>
        <w:t xml:space="preserve">2008) 359 final). </w:t>
      </w:r>
      <w:r w:rsidRPr="00511005">
        <w:rPr>
          <w:rFonts w:ascii="Arial" w:eastAsia="Calibri" w:hAnsi="Arial" w:cs="Arial"/>
          <w:szCs w:val="28"/>
          <w:lang w:val="pl-PL"/>
        </w:rPr>
        <w:t xml:space="preserve">URL: </w:t>
      </w:r>
      <w:hyperlink r:id="rId628" w:history="1">
        <w:r w:rsidRPr="00511005">
          <w:rPr>
            <w:rFonts w:ascii="Arial" w:eastAsia="Calibri" w:hAnsi="Arial" w:cs="Arial"/>
            <w:szCs w:val="28"/>
            <w:lang w:val="pl-PL"/>
          </w:rPr>
          <w:t>http://eur-lex.europa.eu/LexUriServ/LexUriServ.do?uri=COM:2008:0359:FIN:EN:PDF</w:t>
        </w:r>
      </w:hyperlink>
    </w:p>
    <w:p w14:paraId="1B930CCD" w14:textId="77777777" w:rsidR="00220D3E" w:rsidRPr="00511005" w:rsidRDefault="00220D3E" w:rsidP="003F6A5D">
      <w:pPr>
        <w:numPr>
          <w:ilvl w:val="0"/>
          <w:numId w:val="145"/>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rPr>
        <w:t>Курилюк Ю., Родінова Н., Овчар П. ПРОБЛЕМИ ТА ПЕРСПЕКТИВИ МІГРАЦІЙНОЇ ПОЛІТИКИ ЄС. </w:t>
      </w:r>
      <w:r w:rsidRPr="00511005">
        <w:rPr>
          <w:rFonts w:ascii="Arial" w:eastAsia="Calibri" w:hAnsi="Arial" w:cs="Arial"/>
          <w:i/>
          <w:iCs/>
          <w:szCs w:val="28"/>
        </w:rPr>
        <w:t>Економіка та суспільство</w:t>
      </w:r>
      <w:r w:rsidRPr="00511005">
        <w:rPr>
          <w:rFonts w:ascii="Arial" w:eastAsia="Calibri" w:hAnsi="Arial" w:cs="Arial"/>
          <w:szCs w:val="28"/>
        </w:rPr>
        <w:t>. 2022. № 46. URL: </w:t>
      </w:r>
      <w:hyperlink r:id="rId629" w:tgtFrame="_blank" w:history="1">
        <w:r w:rsidRPr="00511005">
          <w:rPr>
            <w:rFonts w:ascii="Arial" w:eastAsia="Calibri" w:hAnsi="Arial" w:cs="Arial"/>
            <w:szCs w:val="28"/>
          </w:rPr>
          <w:t>https://doi.org/10.32782/2524-0072/2022-46-34</w:t>
        </w:r>
      </w:hyperlink>
      <w:r w:rsidRPr="00511005">
        <w:rPr>
          <w:rFonts w:ascii="Arial" w:eastAsia="Calibri" w:hAnsi="Arial" w:cs="Arial"/>
          <w:szCs w:val="28"/>
        </w:rPr>
        <w:t> </w:t>
      </w:r>
    </w:p>
    <w:p w14:paraId="735EC253" w14:textId="77777777" w:rsidR="00220D3E" w:rsidRPr="00511005" w:rsidRDefault="00220D3E" w:rsidP="003F6A5D">
      <w:pPr>
        <w:numPr>
          <w:ilvl w:val="0"/>
          <w:numId w:val="145"/>
        </w:numPr>
        <w:shd w:val="clear" w:color="auto" w:fill="FFFFFF"/>
        <w:tabs>
          <w:tab w:val="left" w:pos="709"/>
        </w:tabs>
        <w:spacing w:line="264" w:lineRule="auto"/>
        <w:ind w:left="0" w:firstLine="709"/>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Рігерт Б. Що зміниться в міграційній політиці ЄС в 2023 році? </w:t>
      </w:r>
      <w:r w:rsidRPr="00511005">
        <w:rPr>
          <w:rFonts w:ascii="Arial" w:eastAsia="Times New Roman" w:hAnsi="Arial" w:cs="Arial"/>
          <w:szCs w:val="28"/>
          <w:lang w:val="pl-PL" w:eastAsia="ru-RU"/>
        </w:rPr>
        <w:t xml:space="preserve">DW. 2022. URL: </w:t>
      </w:r>
      <w:hyperlink r:id="rId630" w:history="1">
        <w:r w:rsidRPr="00511005">
          <w:rPr>
            <w:rFonts w:ascii="Arial" w:eastAsia="Times New Roman" w:hAnsi="Arial" w:cs="Arial"/>
            <w:szCs w:val="28"/>
            <w:lang w:val="pl-PL"/>
          </w:rPr>
          <w:t>https://www.dw.com/uk/so-zminitsa-u-migracijnij-politici-es-v-2023-roci/a-64220445</w:t>
        </w:r>
      </w:hyperlink>
      <w:r w:rsidRPr="00511005">
        <w:rPr>
          <w:rFonts w:ascii="Arial" w:eastAsia="Times New Roman" w:hAnsi="Arial" w:cs="Arial"/>
          <w:szCs w:val="28"/>
          <w:lang w:val="pl-PL" w:eastAsia="ru-RU"/>
        </w:rPr>
        <w:t>.</w:t>
      </w:r>
    </w:p>
    <w:p w14:paraId="1551F0A7" w14:textId="77777777" w:rsidR="00220D3E" w:rsidRPr="00511005" w:rsidRDefault="00220D3E" w:rsidP="003F6A5D">
      <w:pPr>
        <w:numPr>
          <w:ilvl w:val="0"/>
          <w:numId w:val="145"/>
        </w:numPr>
        <w:shd w:val="clear" w:color="auto" w:fill="FFFFFF"/>
        <w:tabs>
          <w:tab w:val="left" w:pos="709"/>
        </w:tabs>
        <w:spacing w:line="264" w:lineRule="auto"/>
        <w:ind w:left="0" w:firstLine="709"/>
        <w:contextualSpacing/>
        <w:jc w:val="left"/>
        <w:rPr>
          <w:rFonts w:ascii="Arial" w:eastAsia="Times New Roman" w:hAnsi="Arial" w:cs="Arial"/>
          <w:szCs w:val="28"/>
          <w:lang w:eastAsia="ru-RU"/>
        </w:rPr>
      </w:pPr>
      <w:r w:rsidRPr="00511005">
        <w:rPr>
          <w:rFonts w:ascii="Arial" w:eastAsia="Calibri" w:hAnsi="Arial" w:cs="Arial"/>
          <w:szCs w:val="28"/>
        </w:rPr>
        <w:t>Ukraine F. Майже 450 000 українців виїхали і не повернулися додому: в 2024 році за три роки війни - близько 3 млн. URL: </w:t>
      </w:r>
      <w:hyperlink r:id="rId631" w:tgtFrame="_blank" w:history="1">
        <w:r w:rsidRPr="00511005">
          <w:rPr>
            <w:rFonts w:ascii="Arial" w:eastAsia="Calibri" w:hAnsi="Arial" w:cs="Arial"/>
            <w:szCs w:val="28"/>
          </w:rPr>
          <w:t>https://forbes.ua/news/mayzhe-450-000-ukraintsiv-viikhali-i-ne-povernulisya-dodomu-v-2024-rotsi-za-tri-roki-viyni-blizko-3-mln-15012025-26301</w:t>
        </w:r>
      </w:hyperlink>
      <w:r w:rsidRPr="00511005">
        <w:rPr>
          <w:rFonts w:ascii="Arial" w:eastAsia="Calibri" w:hAnsi="Arial" w:cs="Arial"/>
          <w:szCs w:val="28"/>
        </w:rPr>
        <w:t> </w:t>
      </w:r>
    </w:p>
    <w:p w14:paraId="0389EBF2" w14:textId="77777777" w:rsidR="00220D3E" w:rsidRPr="00511005" w:rsidRDefault="00220D3E" w:rsidP="003F6A5D">
      <w:pPr>
        <w:numPr>
          <w:ilvl w:val="0"/>
          <w:numId w:val="145"/>
        </w:numPr>
        <w:shd w:val="clear" w:color="auto" w:fill="FFFFFF"/>
        <w:tabs>
          <w:tab w:val="left" w:pos="709"/>
        </w:tabs>
        <w:spacing w:line="264" w:lineRule="auto"/>
        <w:ind w:left="0" w:firstLine="709"/>
        <w:contextualSpacing/>
        <w:jc w:val="left"/>
        <w:rPr>
          <w:rFonts w:ascii="Arial" w:eastAsia="Calibri" w:hAnsi="Arial" w:cs="Arial"/>
          <w:b/>
          <w:bCs/>
          <w:szCs w:val="28"/>
          <w:lang w:val="uk-UA"/>
        </w:rPr>
      </w:pPr>
      <w:r w:rsidRPr="00511005">
        <w:rPr>
          <w:rFonts w:ascii="Arial" w:eastAsia="Times New Roman" w:hAnsi="Arial" w:cs="Arial"/>
          <w:szCs w:val="28"/>
          <w:lang w:eastAsia="ru-RU"/>
        </w:rPr>
        <w:t xml:space="preserve">З України в 2024 році виїхали півмільйона громадян і це не межа – НБУ дав невтішний прогноз. </w:t>
      </w:r>
      <w:r w:rsidRPr="00511005">
        <w:rPr>
          <w:rFonts w:ascii="Arial" w:eastAsia="Times New Roman" w:hAnsi="Arial" w:cs="Arial"/>
          <w:szCs w:val="28"/>
          <w:lang w:val="pl-PL" w:eastAsia="ru-RU"/>
        </w:rPr>
        <w:t xml:space="preserve">URL: </w:t>
      </w:r>
      <w:hyperlink r:id="rId632" w:history="1">
        <w:r w:rsidRPr="00511005">
          <w:rPr>
            <w:rFonts w:ascii="Arial" w:eastAsia="Times New Roman" w:hAnsi="Arial" w:cs="Arial"/>
            <w:szCs w:val="28"/>
            <w:lang w:val="pl-PL"/>
          </w:rPr>
          <w:t>https://www.unian.ua/economics/finance/z-ukrajini-v-2024-roci-vijihali-pivmilyona-gromadyan-i-ce-ne-mezha-nbu-dav-nevtishniy-prognoz-12901326.html</w:t>
        </w:r>
      </w:hyperlink>
      <w:r w:rsidRPr="00511005">
        <w:rPr>
          <w:rFonts w:ascii="Arial" w:eastAsia="Times New Roman" w:hAnsi="Arial" w:cs="Arial"/>
          <w:szCs w:val="28"/>
          <w:lang w:val="pl-PL" w:eastAsia="ru-RU"/>
        </w:rPr>
        <w:t xml:space="preserve"> </w:t>
      </w:r>
    </w:p>
    <w:p w14:paraId="5D2D5C02" w14:textId="16999552" w:rsidR="00220D3E" w:rsidRPr="00511005" w:rsidRDefault="007B2628" w:rsidP="003A292D">
      <w:pPr>
        <w:tabs>
          <w:tab w:val="left" w:pos="709"/>
        </w:tabs>
        <w:spacing w:line="264" w:lineRule="auto"/>
        <w:rPr>
          <w:rFonts w:ascii="Arial" w:eastAsia="Times New Roman" w:hAnsi="Arial" w:cs="Arial"/>
          <w:iCs/>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iCs/>
          <w:szCs w:val="28"/>
          <w:lang w:val="uk-UA" w:eastAsia="ru-RU"/>
        </w:rPr>
        <w:t>Міграційна політика ЄС, міграційна криза, нелегальна міграція, перспективи розвитку міграційної політики ЄС.</w:t>
      </w:r>
    </w:p>
    <w:p w14:paraId="302FA24D" w14:textId="1A9A180B" w:rsidR="00220D3E" w:rsidRPr="00511005" w:rsidRDefault="007B2628" w:rsidP="003A292D">
      <w:pPr>
        <w:tabs>
          <w:tab w:val="left" w:pos="709"/>
        </w:tabs>
        <w:spacing w:line="264" w:lineRule="auto"/>
        <w:rPr>
          <w:rFonts w:ascii="Arial" w:eastAsia="Times New Roman" w:hAnsi="Arial" w:cs="Arial"/>
          <w:iCs/>
          <w:szCs w:val="28"/>
          <w:lang w:val="uk-UA"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iCs/>
          <w:szCs w:val="28"/>
          <w:lang w:val="en-US" w:eastAsia="ru-RU"/>
        </w:rPr>
        <w:t>EU migration policy, migration crisis, illegal migration, prospects for the development of EU migration policy.</w:t>
      </w:r>
    </w:p>
    <w:p w14:paraId="2E723B31" w14:textId="71E40FE9" w:rsidR="00220D3E" w:rsidRPr="00511005" w:rsidRDefault="00EE6668" w:rsidP="003A292D">
      <w:pPr>
        <w:tabs>
          <w:tab w:val="left" w:pos="709"/>
        </w:tabs>
        <w:spacing w:line="264" w:lineRule="auto"/>
        <w:rPr>
          <w:rFonts w:ascii="Arial" w:eastAsia="Times New Roman" w:hAnsi="Arial" w:cs="Arial"/>
          <w:bCs/>
          <w:i/>
          <w:szCs w:val="28"/>
          <w:lang w:val="uk-UA" w:eastAsia="ru-RU"/>
        </w:rPr>
      </w:pPr>
      <w:r w:rsidRPr="00511005">
        <w:rPr>
          <w:rFonts w:ascii="Arial" w:eastAsia="Times New Roman" w:hAnsi="Arial" w:cs="Arial"/>
          <w:bCs/>
          <w:i/>
          <w:szCs w:val="28"/>
          <w:lang w:val="uk-UA" w:eastAsia="ru-RU"/>
        </w:rPr>
        <w:t>Науковий керівник:</w:t>
      </w:r>
      <w:r w:rsidR="00220D3E" w:rsidRPr="00511005">
        <w:rPr>
          <w:rFonts w:ascii="Arial" w:eastAsia="Times New Roman" w:hAnsi="Arial" w:cs="Arial"/>
          <w:bCs/>
          <w:i/>
          <w:szCs w:val="28"/>
          <w:lang w:val="uk-UA" w:eastAsia="ru-RU"/>
        </w:rPr>
        <w:t xml:space="preserve"> д.ю.н., професор Сурілова О.О.</w:t>
      </w:r>
    </w:p>
    <w:p w14:paraId="6F558AC2"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p>
    <w:p w14:paraId="3FB92B03"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Чудімова Анастасія Валеріївна</w:t>
      </w:r>
    </w:p>
    <w:p w14:paraId="3DB3F9B7"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Радецька Мирослава Валеріївна</w:t>
      </w:r>
    </w:p>
    <w:p w14:paraId="3C7FC356" w14:textId="3F9CE153"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студентки 4-го курсу </w:t>
      </w:r>
      <w:r w:rsidR="001B7B25" w:rsidRPr="00511005">
        <w:rPr>
          <w:rFonts w:ascii="Arial" w:eastAsia="Times New Roman" w:hAnsi="Arial" w:cs="Arial"/>
          <w:szCs w:val="28"/>
          <w:lang w:val="uk-UA" w:eastAsia="ru-RU"/>
        </w:rPr>
        <w:t>факультету судового та міжнародного права</w:t>
      </w:r>
    </w:p>
    <w:p w14:paraId="0C759CA0" w14:textId="6201AF1E"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7066C8F"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6C7F79E5"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ЗАБЕЗПЕЧЕННЯ ПРАВ ЛЮДИНИ В УМОВАХ ВІЙНИ</w:t>
      </w:r>
    </w:p>
    <w:p w14:paraId="71743F1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lastRenderedPageBreak/>
        <w:t xml:space="preserve">24 лютого 2022 року Російська Федерація розпочала широкомасштабне збройне вторгнення в Україну із застосуванням сухопутних, військово-повітряних і військово-морських сил, одночасно завдаючи ударів крилатими ракетами по всій території України [1, с. 531]. Збройна агресія Росії проти України стала тяжким потрясінням не лише для нашого українського народу, а і всієї світової спільноти. </w:t>
      </w:r>
      <w:r w:rsidRPr="00511005">
        <w:rPr>
          <w:rFonts w:ascii="Arial" w:eastAsia="Times New Roman" w:hAnsi="Arial" w:cs="Arial"/>
          <w:szCs w:val="28"/>
          <w:lang w:eastAsia="ru-RU"/>
        </w:rPr>
        <w:t xml:space="preserve">Рівень жорстокості, яку проявляють російські військові до людини в XXI столітті, виходить за межі моральних уявлень. </w:t>
      </w:r>
    </w:p>
    <w:p w14:paraId="13A68F1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Правове регулювання забезпечення прав людини в умовах </w:t>
      </w:r>
      <w:r w:rsidRPr="00511005">
        <w:rPr>
          <w:rFonts w:ascii="Arial" w:eastAsia="Times New Roman" w:hAnsi="Arial" w:cs="Arial"/>
          <w:szCs w:val="28"/>
          <w:lang w:val="uk-UA" w:eastAsia="ru-RU"/>
        </w:rPr>
        <w:t>воєнного стану</w:t>
      </w:r>
      <w:r w:rsidRPr="00511005">
        <w:rPr>
          <w:rFonts w:ascii="Arial" w:eastAsia="Times New Roman" w:hAnsi="Arial" w:cs="Arial"/>
          <w:szCs w:val="28"/>
          <w:lang w:eastAsia="ru-RU"/>
        </w:rPr>
        <w:t xml:space="preserve"> є доволі складним та багатогранним процесом, що базується на фундаментальних міжнародно-правових документах. Європейська конвенція з прав людини у статті 15 передбачає можливість тимчасового відступу від деяких зобов'язань у разі надзвичайної ситуації. Водночас Хартія основоположних прав Європейського Союзу </w:t>
      </w:r>
      <w:r w:rsidRPr="00511005">
        <w:rPr>
          <w:rFonts w:ascii="Arial" w:eastAsia="Times New Roman" w:hAnsi="Arial" w:cs="Arial"/>
          <w:szCs w:val="28"/>
          <w:lang w:val="uk-UA" w:eastAsia="ru-RU"/>
        </w:rPr>
        <w:t>чітко окреслює</w:t>
      </w:r>
      <w:r w:rsidRPr="00511005">
        <w:rPr>
          <w:rFonts w:ascii="Arial" w:eastAsia="Times New Roman" w:hAnsi="Arial" w:cs="Arial"/>
          <w:szCs w:val="28"/>
          <w:lang w:eastAsia="ru-RU"/>
        </w:rPr>
        <w:t xml:space="preserve"> обмеження щодо таких відступів, наголошуючи на неприпустимості порушення абсолютних прав, таких як право на життя, заборона катувань та жорстокого поводження. </w:t>
      </w:r>
    </w:p>
    <w:p w14:paraId="77CB039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Воєнний стан створює таку правову ситуацію, за якої традиційні механізми захисту прав людини зазнають серйозних випробувань. Серед основних проблемних питань постають питання балансування між забезпеченням національної безпеки та дотриманням прав людини, механізми судового захисту під час воєнного стану, особливості обмеження окремих прав і свобод особистості, а також міжнародно-правові стандарти захисту прав людини в надзвичайних умовах. Дослідження цієї проблематики набуває особливої значущості та акутальності в контексті збройної агресії Російської Федерації проти України, яка висвітлила серйозні проблеми забезпечення прав людини в умовах воєнного конфлікту. </w:t>
      </w:r>
    </w:p>
    <w:p w14:paraId="4255D38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Ключовими міжнародними документами, що регулюють питання прав людини в період воєнного стану, є Женевська конвенція [3], Міжнародний пакт про громадянські та політичні права, </w:t>
      </w:r>
      <w:proofErr w:type="gramStart"/>
      <w:r w:rsidRPr="00511005">
        <w:rPr>
          <w:rFonts w:ascii="Arial" w:eastAsia="Times New Roman" w:hAnsi="Arial" w:cs="Arial"/>
          <w:szCs w:val="28"/>
          <w:lang w:eastAsia="ru-RU"/>
        </w:rPr>
        <w:t>Резолюція</w:t>
      </w:r>
      <w:proofErr w:type="gramEnd"/>
      <w:r w:rsidRPr="00511005">
        <w:rPr>
          <w:rFonts w:ascii="Arial" w:eastAsia="Times New Roman" w:hAnsi="Arial" w:cs="Arial"/>
          <w:szCs w:val="28"/>
          <w:lang w:eastAsia="ru-RU"/>
        </w:rPr>
        <w:t xml:space="preserve"> Ради Безпеки ООН 1325 «Жінки, мир безпека» та інші. Сучасна практика висвітлює системні виклики забезпечення прав людини під час воєнного стану, серед яких складність документування, обмеження доступу міжнародних моніторингових місій, психологічні травми цивільного населення, порушення майнових прав та проблеми медичного забезпечення. Особливої уваги заслуговує питання захисту прав вразливих груп населення під час воєнного стану, серед яких діти, жінки, люди похилого віку та особи з інвалідністю. Вони потребують посиленого захисту та спеціальних механізмів забезпечення їхніх прав. Не менш важливим аспектом є також інформаційна безпека та захист приватних даних в умовах воєнного стану. Держави часто вдаються до посилення контролю за інформаційними потоками, що може </w:t>
      </w:r>
      <w:r w:rsidRPr="00511005">
        <w:rPr>
          <w:rFonts w:ascii="Arial" w:eastAsia="Times New Roman" w:hAnsi="Arial" w:cs="Arial"/>
          <w:szCs w:val="28"/>
          <w:lang w:eastAsia="ru-RU"/>
        </w:rPr>
        <w:lastRenderedPageBreak/>
        <w:t xml:space="preserve">призводити до необґрунтованих обмежень свободи слова та права на інформацію. </w:t>
      </w:r>
    </w:p>
    <w:p w14:paraId="71A1D9C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В</w:t>
      </w:r>
      <w:r w:rsidRPr="00511005">
        <w:rPr>
          <w:rFonts w:ascii="Arial" w:eastAsia="Times New Roman" w:hAnsi="Arial" w:cs="Arial"/>
          <w:szCs w:val="28"/>
          <w:lang w:eastAsia="ru-RU"/>
        </w:rPr>
        <w:t>ійськова агресія Росії проти України та супутні бойові дії стали рушійною силою, що породила численні порушення прав людини з боку окупаційних сил, які зачепили як військовослужбовців, так і мирне цивільне населення [1, с. 533]. Кожного дня кількість жертв і постраждалих швидко зростає, незважаючи на чіткі заборони міжнародних нормативно-правових актів щодо вчинення таких дій. Зокрема на це звертає увагу Конвенція про захист цивільного населення під час війни [2, с. 353-355].</w:t>
      </w:r>
    </w:p>
    <w:p w14:paraId="692DB14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Варто зазначити, що у 1949 році були розроблені та укладені чотири Женевські конвенції, спрямовані на захист жертв війни. Ці документи містили положення щодо покращення умов для поранених і хворих серед військовослужбовців, правила поводження з військовополоненими, а також механізми захисту цивільного населення під час збройних конфліктів [4]. На основі досвіду Другої світової війни в конвенціях був встановлений правовий режим для цивільного населення на територіях, які зазнали міжнародних збройних конфліктів. Особливо підкреслювалася заборона на руйнування об'єктів приватної власності, державного і суспільного майна, яке не обґрунтовано військовою необхідністю.</w:t>
      </w:r>
    </w:p>
    <w:p w14:paraId="18F65A3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процесі формування та розвитку законів і звичаїв ведення війни значну роль відіграють міжнародні організації, як міжурядові, так і неурядові. До них належать: Ліга Націй, Організація Об'єднаних Націй, Міжнародний Комітет Червоного Хреста, Ліга товариств Червоного Хреста, Інститут міжнародного права, Асоціація міжнародного права та інші [1, с. 532]. </w:t>
      </w:r>
    </w:p>
    <w:p w14:paraId="3DF0BC8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контексті цієї теми особливо важливо дослідити питання особливостей захисту прав військовополонених під час збройних конфліктів. Женевська конвенція про поводження з військовополоненими регулює режим їх перебування, підкреслюючи, що вони знаходяться під контролем ворожої держави, а не конкретних осіб чи військових груп, які їх захопили. З ними слід поводитися гуманно, також не допуска</w:t>
      </w:r>
      <w:r w:rsidRPr="00511005">
        <w:rPr>
          <w:rFonts w:ascii="Arial" w:eastAsia="Times New Roman" w:hAnsi="Arial" w:cs="Arial"/>
          <w:szCs w:val="28"/>
          <w:lang w:val="uk-UA" w:eastAsia="ru-RU"/>
        </w:rPr>
        <w:t>ється дискримінація та</w:t>
      </w:r>
      <w:r w:rsidRPr="00511005">
        <w:rPr>
          <w:rFonts w:ascii="Arial" w:eastAsia="Times New Roman" w:hAnsi="Arial" w:cs="Arial"/>
          <w:szCs w:val="28"/>
          <w:lang w:eastAsia="ru-RU"/>
        </w:rPr>
        <w:t xml:space="preserve"> заборонено завдавати їм тілесних ушкоджень або проводити над ними експерименти. Якщо держава залучає військовополонених до робіт, що не пов'язані з воєнними діями, вона повинна забезпечити їм належні умови праці та її охорону. У разі скоєння злочину їх можуть притягнути до відповідальності, але з дотриманням усіх гарантій справедливого правосуддя. </w:t>
      </w:r>
    </w:p>
    <w:p w14:paraId="577CCC1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 цієї теми не менш важливо зазначити, що положення Додаткового протоколу I спрямовані на захист цивільного населення від авіаударів. Повітряні атаки можуть бути спрямовані тільки на військові об’єкти. Напад або загроза нападу, які мають на меті тероризувати мирне населення, категорично заборонені. Особлива заборона накладається на невибірковий напад, тобто такий, що спрямований як на військові, так і на невійськові </w:t>
      </w:r>
      <w:r w:rsidRPr="00511005">
        <w:rPr>
          <w:rFonts w:ascii="Arial" w:eastAsia="Times New Roman" w:hAnsi="Arial" w:cs="Arial"/>
          <w:szCs w:val="28"/>
          <w:lang w:eastAsia="ru-RU"/>
        </w:rPr>
        <w:lastRenderedPageBreak/>
        <w:t>об’єкти. При веденні бойових дій у повітрі обов’язково потрібно переконатися у військовому характері цілей та обрати такі методи та засоби, які мінімізують випадкові пошкодження цивільних об’єктів і населення.</w:t>
      </w:r>
    </w:p>
    <w:p w14:paraId="69ADD09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Загальна декларація прав людини заслуговує на окремий аналіз з кількох причин. По-перше, вона не передбачає можливості відступу від зобов’язань навіть у надзвичайних ситуаціях. </w:t>
      </w:r>
      <w:proofErr w:type="gramStart"/>
      <w:r w:rsidRPr="00511005">
        <w:rPr>
          <w:rFonts w:ascii="Arial" w:eastAsia="Times New Roman" w:hAnsi="Arial" w:cs="Arial"/>
          <w:szCs w:val="28"/>
          <w:lang w:eastAsia="ru-RU"/>
        </w:rPr>
        <w:t>По-друге</w:t>
      </w:r>
      <w:proofErr w:type="gramEnd"/>
      <w:r w:rsidRPr="00511005">
        <w:rPr>
          <w:rFonts w:ascii="Arial" w:eastAsia="Times New Roman" w:hAnsi="Arial" w:cs="Arial"/>
          <w:szCs w:val="28"/>
          <w:lang w:eastAsia="ru-RU"/>
        </w:rPr>
        <w:t xml:space="preserve">, в статті 2 (2) є важливий момент щодо військової окупації: «...не повинно існувати жодного розрізнення на основі політичного, правового або міжнародного статусу країни або території, до якої людина належить, незалежно від того, чи є ця територія незалежною, підопічною, несамоврядованою». Незважаючи на різні обставини, існування основних прав людини не підлягає запереченню, адже ці права мають характер невідступних, як під час мирного періоду, так і у воєнний час: недоторканість особи, заборона дискримінації та забезпечення особистої безпеки [5]. </w:t>
      </w:r>
    </w:p>
    <w:p w14:paraId="4C28FD7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Варто підкреслити, що саме норми міжнародного права повинні слугувати гарантією захисту осіб, які є воєнними або не беруть безпосередньої участі у воєнних діях. Так, категорично заборонено жорстоке поводження та насильство над життям і особистістю. Втім, з лютого 2022 року були задокументовані «...численні випадки порушення правил поводження з цивільним населенням, військовополоненими та іншими особами, які втратили можливість брати участь у бойових діях. Війна спричина масове переміщення цивільного населення України, що серйозно вплинуло на реалізацію прав людини, включаючи економічні та соціальні права. За оцінками, вже більше шести з половиною мільйонів людей переміщено в межах України, і ще приблизно стільки ж стали біженцями поза її межами» [1, с. 533]. </w:t>
      </w:r>
    </w:p>
    <w:p w14:paraId="5B907D5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Аналіз текстів міжнародних актів підводить до висновку, що права людини мають бути захищені верховенством права. Визнаючи гідність людини та її рівні й невід'ємні права, ми закладаємо основу для свободи, справедливості та загального миру. Важливу роль у цьому відіграє держава, яка має гарантувати та забезпечити захист таких прав людини і діяти відповідно до них.</w:t>
      </w:r>
    </w:p>
    <w:p w14:paraId="51248A6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Підсумовуючи, можна дійти висновку що, забезпечення прав людини в умовах воєнного стану є надзвичайно необхідним і актуальним для правової системи, де, наприклад, Європейський Союз демонструє найбільш розвинену систему правового захисту, яка ґрунтується на фундаментальних міжнародно-правових документах та принципах недискримінації і пропорційності. Правові механізми ЄС передбачають можливість тимчасового обмеження прав людини в надзвичайних умовах, але з принциповими застереженнями: абсолютні права за будь-яких обставин не можуть бути обмежені. Європейський суд з прав людини визначив чіткі критерії правомірності таких обмежень: наявність реальної загрози державі, </w:t>
      </w:r>
      <w:r w:rsidRPr="00511005">
        <w:rPr>
          <w:rFonts w:ascii="Arial" w:eastAsia="Times New Roman" w:hAnsi="Arial" w:cs="Arial"/>
          <w:szCs w:val="28"/>
          <w:lang w:eastAsia="ru-RU"/>
        </w:rPr>
        <w:lastRenderedPageBreak/>
        <w:t xml:space="preserve">пропорційність обмежень та їх тимчасовий характер. Ключовою рекомендацією для України та держав загалом є необхідність постійного поліпшення механізмів забезпечення прав людини в часи воєнного стану. Це потребує розвитку міжнародного співробітництва, імплементації практик захисту прав і свобод, комплексного підходу з урахуванням міжнародних стандартів та специфіки конкретної держави. </w:t>
      </w:r>
    </w:p>
    <w:p w14:paraId="01DD920B"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2C386B91" w14:textId="11908FA0"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0B835CAB" w14:textId="1D110D18"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1. Канєнберг-Сандул О.</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К. Порушення прав людини в умовах військової агресії РФ проти України. </w:t>
      </w:r>
      <w:r w:rsidRPr="00511005">
        <w:rPr>
          <w:rFonts w:ascii="Arial" w:eastAsia="Times New Roman" w:hAnsi="Arial" w:cs="Arial"/>
          <w:i/>
          <w:iCs/>
          <w:szCs w:val="28"/>
          <w:lang w:eastAsia="ru-RU"/>
        </w:rPr>
        <w:t xml:space="preserve">Юридичний науковий електронний журнал. </w:t>
      </w:r>
      <w:r w:rsidRPr="00511005">
        <w:rPr>
          <w:rFonts w:ascii="Arial" w:eastAsia="Times New Roman" w:hAnsi="Arial" w:cs="Arial"/>
          <w:szCs w:val="28"/>
          <w:lang w:eastAsia="ru-RU"/>
        </w:rPr>
        <w:t xml:space="preserve">2023. № 1. </w:t>
      </w:r>
      <w:r w:rsidRPr="00511005">
        <w:rPr>
          <w:rFonts w:ascii="Arial" w:eastAsia="Times New Roman" w:hAnsi="Arial" w:cs="Arial"/>
          <w:szCs w:val="28"/>
          <w:lang w:val="uk-UA" w:eastAsia="ru-RU"/>
        </w:rPr>
        <w:t>С. 531-533.</w:t>
      </w:r>
      <w:r w:rsidRPr="00511005">
        <w:rPr>
          <w:rFonts w:ascii="Arial" w:eastAsia="Times New Roman" w:hAnsi="Arial" w:cs="Arial"/>
          <w:szCs w:val="28"/>
          <w:lang w:eastAsia="ru-RU"/>
        </w:rPr>
        <w:t xml:space="preserve"> </w:t>
      </w:r>
      <w:bookmarkStart w:id="55" w:name="_Hlk196769027"/>
      <w:r w:rsidRPr="00511005">
        <w:rPr>
          <w:rFonts w:ascii="Arial" w:eastAsia="Times New Roman" w:hAnsi="Arial" w:cs="Arial"/>
          <w:szCs w:val="28"/>
          <w:lang w:eastAsia="ru-RU"/>
        </w:rPr>
        <w:t xml:space="preserve">URL: </w:t>
      </w:r>
      <w:bookmarkEnd w:id="55"/>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HYPERLINK "http://lsej.org.ua/1_2023/122.pdf" </w:instrText>
      </w:r>
      <w:r w:rsidRPr="00511005">
        <w:rPr>
          <w:rFonts w:ascii="Arial" w:eastAsia="Times New Roman" w:hAnsi="Arial" w:cs="Arial"/>
          <w:szCs w:val="28"/>
          <w:lang w:eastAsia="ru-RU"/>
        </w:rPr>
        <w:fldChar w:fldCharType="separate"/>
      </w:r>
      <w:r w:rsidRPr="00511005">
        <w:rPr>
          <w:rFonts w:ascii="Arial" w:eastAsia="Times New Roman" w:hAnsi="Arial" w:cs="Arial"/>
          <w:szCs w:val="28"/>
          <w:lang w:eastAsia="ru-RU"/>
        </w:rPr>
        <w:t>http://lsej.org.ua/1_2023/122.pdf</w:t>
      </w:r>
      <w:r w:rsidRPr="00511005">
        <w:rPr>
          <w:rFonts w:ascii="Arial" w:eastAsia="Times New Roman" w:hAnsi="Arial" w:cs="Arial"/>
          <w:szCs w:val="28"/>
          <w:lang w:eastAsia="ru-RU"/>
        </w:rPr>
        <w:fldChar w:fldCharType="end"/>
      </w:r>
      <w:r w:rsidRPr="00511005">
        <w:rPr>
          <w:rFonts w:ascii="Arial" w:eastAsia="Times New Roman" w:hAnsi="Arial" w:cs="Arial"/>
          <w:szCs w:val="28"/>
          <w:lang w:val="uk-UA" w:eastAsia="ru-RU"/>
        </w:rPr>
        <w:t xml:space="preserve"> (дата звернення: 28.04.2025).</w:t>
      </w:r>
    </w:p>
    <w:p w14:paraId="4986BF1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2. Канєнберг-Сандул О. К. Проблеми та перспективи захисту прав людини в режимі військової окупації конфліктів. </w:t>
      </w:r>
      <w:r w:rsidRPr="00511005">
        <w:rPr>
          <w:rFonts w:ascii="Arial" w:eastAsia="Times New Roman" w:hAnsi="Arial" w:cs="Arial"/>
          <w:i/>
          <w:iCs/>
          <w:szCs w:val="28"/>
          <w:lang w:eastAsia="ru-RU"/>
        </w:rPr>
        <w:t>Міжнародна науково-практична Інтернет-конференція, присвячена 25-річчю Національному університету «Одеська юридична академія»</w:t>
      </w:r>
      <w:r w:rsidRPr="00511005">
        <w:rPr>
          <w:rFonts w:ascii="Arial" w:eastAsia="Times New Roman" w:hAnsi="Arial" w:cs="Arial"/>
          <w:szCs w:val="28"/>
          <w:lang w:eastAsia="ru-RU"/>
        </w:rPr>
        <w:t>. м. Одеса, 2023. С.</w:t>
      </w:r>
      <w:r w:rsidRPr="00511005">
        <w:rPr>
          <w:rFonts w:ascii="Arial" w:eastAsia="Times New Roman" w:hAnsi="Arial" w:cs="Arial"/>
          <w:szCs w:val="28"/>
          <w:lang w:val="uk-UA" w:eastAsia="ru-RU"/>
        </w:rPr>
        <w:t xml:space="preserve"> 353-355.</w:t>
      </w:r>
      <w:r w:rsidRPr="00511005">
        <w:rPr>
          <w:rFonts w:ascii="Arial" w:eastAsia="Times New Roman" w:hAnsi="Arial" w:cs="Arial"/>
          <w:szCs w:val="28"/>
          <w:lang w:eastAsia="ru-RU"/>
        </w:rPr>
        <w:t xml:space="preserve"> URL: </w:t>
      </w:r>
      <w:hyperlink r:id="rId633" w:history="1">
        <w:r w:rsidRPr="00511005">
          <w:rPr>
            <w:rFonts w:ascii="Arial" w:eastAsia="Times New Roman" w:hAnsi="Arial" w:cs="Arial"/>
            <w:szCs w:val="28"/>
            <w:lang w:eastAsia="ru-RU"/>
          </w:rPr>
          <w:t>https://dspace.onua.edu.ua/server/api/core/bitstreams/e88d244e-e222-4550-a63c-3de8915e6992/content</w:t>
        </w:r>
      </w:hyperlink>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(дата звернення: 28.04.2025).</w:t>
      </w:r>
    </w:p>
    <w:p w14:paraId="515D0329" w14:textId="7B7730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3. Конвенція про захист цивільного населення під час війни : ратифіковано</w:t>
      </w:r>
      <w:r w:rsidR="007B2628" w:rsidRPr="00511005">
        <w:rPr>
          <w:rFonts w:ascii="Arial" w:eastAsia="Times New Roman" w:hAnsi="Arial" w:cs="Arial"/>
          <w:szCs w:val="28"/>
          <w:lang w:eastAsia="ru-RU"/>
        </w:rPr>
        <w:t xml:space="preserve"> </w:t>
      </w:r>
      <w:hyperlink r:id="rId634" w:tgtFrame="_blank" w:history="1">
        <w:r w:rsidRPr="00511005">
          <w:rPr>
            <w:rFonts w:ascii="Arial" w:eastAsia="Times New Roman" w:hAnsi="Arial" w:cs="Arial"/>
            <w:szCs w:val="28"/>
            <w:lang w:eastAsia="ru-RU"/>
          </w:rPr>
          <w:t>Указом ПВР УРСР від 03.07.1954</w:t>
        </w:r>
      </w:hyperlink>
      <w:r w:rsidRPr="00511005">
        <w:rPr>
          <w:rFonts w:ascii="Arial" w:eastAsia="Times New Roman" w:hAnsi="Arial" w:cs="Arial"/>
          <w:szCs w:val="28"/>
          <w:lang w:eastAsia="ru-RU"/>
        </w:rPr>
        <w:t xml:space="preserve"> . </w:t>
      </w:r>
      <w:r w:rsidRPr="00511005">
        <w:rPr>
          <w:rFonts w:ascii="Arial" w:eastAsia="Times New Roman" w:hAnsi="Arial" w:cs="Arial"/>
          <w:i/>
          <w:iCs/>
          <w:szCs w:val="28"/>
          <w:lang w:eastAsia="ru-RU"/>
        </w:rPr>
        <w:t xml:space="preserve">Офіційний портал </w:t>
      </w:r>
      <w:proofErr w:type="gramStart"/>
      <w:r w:rsidRPr="00511005">
        <w:rPr>
          <w:rFonts w:ascii="Arial" w:eastAsia="Times New Roman" w:hAnsi="Arial" w:cs="Arial"/>
          <w:i/>
          <w:iCs/>
          <w:szCs w:val="28"/>
          <w:lang w:eastAsia="ru-RU"/>
        </w:rPr>
        <w:t>Верховної</w:t>
      </w:r>
      <w:proofErr w:type="gramEnd"/>
      <w:r w:rsidRPr="00511005">
        <w:rPr>
          <w:rFonts w:ascii="Arial" w:eastAsia="Times New Roman" w:hAnsi="Arial" w:cs="Arial"/>
          <w:i/>
          <w:iCs/>
          <w:szCs w:val="28"/>
          <w:lang w:eastAsia="ru-RU"/>
        </w:rPr>
        <w:t xml:space="preserve"> Ради України</w:t>
      </w:r>
      <w:r w:rsidRPr="00511005">
        <w:rPr>
          <w:rFonts w:ascii="Arial" w:eastAsia="Times New Roman" w:hAnsi="Arial" w:cs="Arial"/>
          <w:szCs w:val="28"/>
          <w:lang w:eastAsia="ru-RU"/>
        </w:rPr>
        <w:t xml:space="preserve">. URL: </w:t>
      </w:r>
      <w:hyperlink r:id="rId635" w:anchor="Text" w:history="1">
        <w:r w:rsidRPr="00511005">
          <w:rPr>
            <w:rFonts w:ascii="Arial" w:eastAsia="Times New Roman" w:hAnsi="Arial" w:cs="Arial"/>
            <w:szCs w:val="28"/>
            <w:lang w:eastAsia="ru-RU"/>
          </w:rPr>
          <w:t>https://zakon.rada.gov.ua/laws/show/995_154#Text</w:t>
        </w:r>
      </w:hyperlink>
      <w:r w:rsidRPr="00511005">
        <w:rPr>
          <w:rFonts w:ascii="Arial" w:eastAsia="Times New Roman" w:hAnsi="Arial" w:cs="Arial"/>
          <w:szCs w:val="28"/>
          <w:lang w:val="uk-UA" w:eastAsia="ru-RU"/>
        </w:rPr>
        <w:t xml:space="preserve"> (дата звернення: 28.04.2025).</w:t>
      </w:r>
    </w:p>
    <w:p w14:paraId="784F0BC4" w14:textId="46DF917C"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4. Римський статут Міжнародного кримінального суду: ратифіковано</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Законом </w:t>
      </w:r>
      <w:hyperlink r:id="rId636" w:anchor="n2" w:tgtFrame="_blank" w:history="1">
        <w:r w:rsidRPr="00511005">
          <w:rPr>
            <w:rFonts w:ascii="Arial" w:eastAsia="Times New Roman" w:hAnsi="Arial" w:cs="Arial"/>
            <w:szCs w:val="28"/>
            <w:lang w:eastAsia="ru-RU"/>
          </w:rPr>
          <w:t>№ 3909-IX від 21.08.2024</w:t>
        </w:r>
      </w:hyperlink>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 xml:space="preserve">Офіційний портал </w:t>
      </w:r>
      <w:proofErr w:type="gramStart"/>
      <w:r w:rsidRPr="00511005">
        <w:rPr>
          <w:rFonts w:ascii="Arial" w:eastAsia="Times New Roman" w:hAnsi="Arial" w:cs="Arial"/>
          <w:i/>
          <w:iCs/>
          <w:szCs w:val="28"/>
          <w:lang w:eastAsia="ru-RU"/>
        </w:rPr>
        <w:t>Верховної</w:t>
      </w:r>
      <w:proofErr w:type="gramEnd"/>
      <w:r w:rsidRPr="00511005">
        <w:rPr>
          <w:rFonts w:ascii="Arial" w:eastAsia="Times New Roman" w:hAnsi="Arial" w:cs="Arial"/>
          <w:i/>
          <w:iCs/>
          <w:szCs w:val="28"/>
          <w:lang w:eastAsia="ru-RU"/>
        </w:rPr>
        <w:t xml:space="preserve"> Ради України</w:t>
      </w:r>
      <w:r w:rsidRPr="00511005">
        <w:rPr>
          <w:rFonts w:ascii="Arial" w:eastAsia="Times New Roman" w:hAnsi="Arial" w:cs="Arial"/>
          <w:szCs w:val="28"/>
          <w:lang w:eastAsia="ru-RU"/>
        </w:rPr>
        <w:t xml:space="preserve">. URL: </w:t>
      </w:r>
      <w:hyperlink r:id="rId637" w:anchor="Text" w:history="1">
        <w:r w:rsidRPr="00511005">
          <w:rPr>
            <w:rFonts w:ascii="Arial" w:eastAsia="Times New Roman" w:hAnsi="Arial" w:cs="Arial"/>
            <w:szCs w:val="28"/>
            <w:lang w:eastAsia="ru-RU"/>
          </w:rPr>
          <w:t>https://zakon.rada.gov.ua/laws/show/995_588#Text</w:t>
        </w:r>
      </w:hyperlink>
      <w:r w:rsidRPr="00511005">
        <w:rPr>
          <w:rFonts w:ascii="Arial" w:eastAsia="Times New Roman" w:hAnsi="Arial" w:cs="Arial"/>
          <w:szCs w:val="28"/>
          <w:lang w:val="uk-UA" w:eastAsia="ru-RU"/>
        </w:rPr>
        <w:t xml:space="preserve"> (дата звернення: 28.04.2025).</w:t>
      </w:r>
    </w:p>
    <w:p w14:paraId="0B83502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5</w:t>
      </w:r>
      <w:r w:rsidRPr="00511005">
        <w:rPr>
          <w:rFonts w:ascii="Arial" w:eastAsia="Times New Roman" w:hAnsi="Arial" w:cs="Arial"/>
          <w:szCs w:val="28"/>
          <w:lang w:val="en-US" w:eastAsia="ru-RU"/>
        </w:rPr>
        <w:t>. The laws of armed conflicts: a collection of conventions, resolutions and other documents. Edited by Dietrich Schnidler and Jiri Toman, Martinus Nijhoff Publishers, Dordrecht. Henry Dunant institute, Geneva, 19882016. 321 p. URL</w:t>
      </w:r>
      <w:r w:rsidRPr="00511005">
        <w:rPr>
          <w:rFonts w:ascii="Arial" w:eastAsia="Times New Roman" w:hAnsi="Arial" w:cs="Arial"/>
          <w:szCs w:val="28"/>
          <w:lang w:val="uk-UA" w:eastAsia="ru-RU"/>
        </w:rPr>
        <w:t xml:space="preserve">: </w:t>
      </w:r>
      <w:hyperlink r:id="rId638" w:history="1">
        <w:r w:rsidRPr="00511005">
          <w:rPr>
            <w:rFonts w:ascii="Arial" w:eastAsia="Times New Roman" w:hAnsi="Arial" w:cs="Arial"/>
            <w:szCs w:val="28"/>
            <w:lang w:val="uk-UA" w:eastAsia="ru-RU"/>
          </w:rPr>
          <w:t>https://international-review.icrc.org/sites/default/files/S003533610017858Xa.pdf</w:t>
        </w:r>
      </w:hyperlink>
      <w:r w:rsidRPr="00511005">
        <w:rPr>
          <w:rFonts w:ascii="Arial" w:eastAsia="Times New Roman" w:hAnsi="Arial" w:cs="Arial"/>
          <w:szCs w:val="28"/>
          <w:lang w:val="uk-UA" w:eastAsia="ru-RU"/>
        </w:rPr>
        <w:t xml:space="preserve"> (дата звернення: 28.04.2025).</w:t>
      </w:r>
    </w:p>
    <w:p w14:paraId="47A7661A"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7C04BD2C" w14:textId="76F3957E"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eastAsia="ru-RU"/>
        </w:rPr>
        <w:t xml:space="preserve">міжнародне право, збройний конфлікт, захист прав людини під час агресії, </w:t>
      </w:r>
      <w:r w:rsidR="00220D3E" w:rsidRPr="00511005">
        <w:rPr>
          <w:rFonts w:ascii="Arial" w:eastAsia="Times New Roman" w:hAnsi="Arial" w:cs="Arial"/>
          <w:szCs w:val="28"/>
          <w:lang w:val="uk-UA" w:eastAsia="ru-RU"/>
        </w:rPr>
        <w:t>воєнний час.</w:t>
      </w:r>
    </w:p>
    <w:p w14:paraId="5CDA36FF" w14:textId="141D1C01"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international law, armed conflict, protection of human rights during aggressionts, armed conflict, protection of human rights during aggression., protection of human rights during aggression</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en-US" w:eastAsia="ru-RU"/>
        </w:rPr>
        <w:t>wartime.</w:t>
      </w:r>
    </w:p>
    <w:p w14:paraId="3A7CB1C6" w14:textId="59261346"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к.ю.н., доцент Дронов В.Ю.</w:t>
      </w:r>
    </w:p>
    <w:p w14:paraId="5CBCCA4D" w14:textId="77777777" w:rsidR="00220D3E" w:rsidRPr="00511005" w:rsidRDefault="00220D3E" w:rsidP="003A292D">
      <w:pPr>
        <w:tabs>
          <w:tab w:val="left" w:pos="709"/>
        </w:tabs>
        <w:spacing w:line="264" w:lineRule="auto"/>
        <w:jc w:val="center"/>
        <w:rPr>
          <w:rFonts w:ascii="Arial" w:eastAsia="Times New Roman" w:hAnsi="Arial" w:cs="Arial"/>
          <w:i/>
          <w:iCs/>
          <w:szCs w:val="28"/>
          <w:lang w:val="uk-UA" w:eastAsia="ru-RU"/>
        </w:rPr>
      </w:pPr>
    </w:p>
    <w:p w14:paraId="51A9CFDA"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b/>
          <w:bCs/>
          <w:i/>
          <w:iCs/>
          <w:szCs w:val="28"/>
          <w:lang w:val="uk-UA" w:eastAsia="ru-RU"/>
        </w:rPr>
        <w:t>Разумій Карина Володимирівна</w:t>
      </w:r>
    </w:p>
    <w:p w14:paraId="29FC36BA" w14:textId="55F561CB" w:rsidR="007B2628" w:rsidRPr="00511005" w:rsidRDefault="00536AAB" w:rsidP="003A292D">
      <w:pPr>
        <w:tabs>
          <w:tab w:val="left" w:pos="709"/>
        </w:tab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r w:rsidR="00220D3E" w:rsidRPr="00511005">
        <w:rPr>
          <w:rFonts w:ascii="Arial" w:eastAsia="Times New Roman" w:hAnsi="Arial" w:cs="Arial"/>
          <w:szCs w:val="28"/>
          <w:lang w:eastAsia="ru-RU"/>
        </w:rPr>
        <w:t xml:space="preserve"> </w:t>
      </w:r>
    </w:p>
    <w:p w14:paraId="2A36DA89" w14:textId="4B52868C" w:rsidR="00220D3E" w:rsidRPr="00511005" w:rsidRDefault="007B2628" w:rsidP="003A292D">
      <w:pPr>
        <w:tabs>
          <w:tab w:val="left" w:pos="709"/>
        </w:tabs>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szCs w:val="28"/>
          <w:lang w:eastAsia="ru-RU"/>
        </w:rPr>
        <w:lastRenderedPageBreak/>
        <w:t>Національного університету «Одеська юридична академія»</w:t>
      </w:r>
    </w:p>
    <w:p w14:paraId="156A93E9"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34B918D4" w14:textId="0549A532"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П</w:t>
      </w:r>
      <w:r w:rsidRPr="00511005">
        <w:rPr>
          <w:rFonts w:ascii="Arial" w:eastAsia="Times New Roman" w:hAnsi="Arial" w:cs="Arial"/>
          <w:b/>
          <w:bCs/>
          <w:szCs w:val="28"/>
          <w:lang w:val="uk-UA" w:eastAsia="ru-RU"/>
        </w:rPr>
        <w:t>ОРУШЕННЯ</w:t>
      </w:r>
      <w:r w:rsidRPr="00511005">
        <w:rPr>
          <w:rFonts w:ascii="Arial" w:eastAsia="Times New Roman" w:hAnsi="Arial" w:cs="Arial"/>
          <w:b/>
          <w:bCs/>
          <w:szCs w:val="28"/>
          <w:lang w:eastAsia="ru-RU"/>
        </w:rPr>
        <w:t xml:space="preserve"> </w:t>
      </w:r>
      <w:r w:rsidRPr="00511005">
        <w:rPr>
          <w:rFonts w:ascii="Arial" w:eastAsia="Times New Roman" w:hAnsi="Arial" w:cs="Arial"/>
          <w:b/>
          <w:bCs/>
          <w:szCs w:val="28"/>
          <w:lang w:val="uk-UA" w:eastAsia="ru-RU"/>
        </w:rPr>
        <w:t>ДИПЛОМАТИЧНОГО</w:t>
      </w:r>
      <w:r w:rsidRPr="00511005">
        <w:rPr>
          <w:rFonts w:ascii="Arial" w:eastAsia="Times New Roman" w:hAnsi="Arial" w:cs="Arial"/>
          <w:b/>
          <w:bCs/>
          <w:szCs w:val="28"/>
          <w:lang w:eastAsia="ru-RU"/>
        </w:rPr>
        <w:t xml:space="preserve"> </w:t>
      </w:r>
      <w:r w:rsidRPr="00511005">
        <w:rPr>
          <w:rFonts w:ascii="Arial" w:eastAsia="Times New Roman" w:hAnsi="Arial" w:cs="Arial"/>
          <w:b/>
          <w:bCs/>
          <w:szCs w:val="28"/>
          <w:lang w:val="uk-UA" w:eastAsia="ru-RU"/>
        </w:rPr>
        <w:t>ІМУНІТЕТУ</w:t>
      </w:r>
      <w:r w:rsidRPr="00511005">
        <w:rPr>
          <w:rFonts w:ascii="Arial" w:eastAsia="Times New Roman" w:hAnsi="Arial" w:cs="Arial"/>
          <w:b/>
          <w:bCs/>
          <w:szCs w:val="28"/>
          <w:lang w:eastAsia="ru-RU"/>
        </w:rPr>
        <w:t xml:space="preserve">: </w:t>
      </w:r>
      <w:r w:rsidRPr="00511005">
        <w:rPr>
          <w:rFonts w:ascii="Arial" w:eastAsia="Times New Roman" w:hAnsi="Arial" w:cs="Arial"/>
          <w:b/>
          <w:bCs/>
          <w:szCs w:val="28"/>
          <w:lang w:val="uk-UA" w:eastAsia="ru-RU"/>
        </w:rPr>
        <w:t>ВІДПОВІДАЛЬНІСТЬ</w:t>
      </w:r>
      <w:r w:rsidR="007B2628" w:rsidRPr="00511005">
        <w:rPr>
          <w:rFonts w:ascii="Arial" w:eastAsia="Times New Roman" w:hAnsi="Arial" w:cs="Arial"/>
          <w:b/>
          <w:bCs/>
          <w:szCs w:val="28"/>
          <w:lang w:val="uk-UA" w:eastAsia="ru-RU"/>
        </w:rPr>
        <w:t xml:space="preserve"> </w:t>
      </w:r>
      <w:r w:rsidRPr="00511005">
        <w:rPr>
          <w:rFonts w:ascii="Arial" w:eastAsia="Times New Roman" w:hAnsi="Arial" w:cs="Arial"/>
          <w:b/>
          <w:bCs/>
          <w:szCs w:val="28"/>
          <w:lang w:val="uk-UA" w:eastAsia="ru-RU"/>
        </w:rPr>
        <w:t>ТА</w:t>
      </w:r>
      <w:r w:rsidRPr="00511005">
        <w:rPr>
          <w:rFonts w:ascii="Arial" w:eastAsia="Times New Roman" w:hAnsi="Arial" w:cs="Arial"/>
          <w:b/>
          <w:bCs/>
          <w:szCs w:val="28"/>
          <w:lang w:eastAsia="ru-RU"/>
        </w:rPr>
        <w:t xml:space="preserve"> </w:t>
      </w:r>
      <w:r w:rsidRPr="00511005">
        <w:rPr>
          <w:rFonts w:ascii="Arial" w:eastAsia="Times New Roman" w:hAnsi="Arial" w:cs="Arial"/>
          <w:b/>
          <w:bCs/>
          <w:szCs w:val="28"/>
          <w:lang w:val="uk-UA" w:eastAsia="ru-RU"/>
        </w:rPr>
        <w:t>МІЖНАРОДНА</w:t>
      </w:r>
      <w:r w:rsidRPr="00511005">
        <w:rPr>
          <w:rFonts w:ascii="Arial" w:eastAsia="Times New Roman" w:hAnsi="Arial" w:cs="Arial"/>
          <w:b/>
          <w:bCs/>
          <w:szCs w:val="28"/>
          <w:lang w:eastAsia="ru-RU"/>
        </w:rPr>
        <w:t xml:space="preserve"> </w:t>
      </w:r>
      <w:r w:rsidRPr="00511005">
        <w:rPr>
          <w:rFonts w:ascii="Arial" w:eastAsia="Times New Roman" w:hAnsi="Arial" w:cs="Arial"/>
          <w:b/>
          <w:bCs/>
          <w:szCs w:val="28"/>
          <w:lang w:val="uk-UA" w:eastAsia="ru-RU"/>
        </w:rPr>
        <w:t>ПРАКТИКА</w:t>
      </w:r>
    </w:p>
    <w:p w14:paraId="3BFA45E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Дипломатичний імунітет — це не просто формальність, а ключовий механізм, який забезпечує ефективну роботу дипломатів і стабільність міжнародних відносин. Він захищає їх від втручання з боку приймаючої держави та створює умови для вільного виконання обов’язків.</w:t>
      </w:r>
    </w:p>
    <w:p w14:paraId="0B593E7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Коли порушується дипломатичний імунітет, н</w:t>
      </w:r>
      <w:r w:rsidRPr="00511005">
        <w:rPr>
          <w:rFonts w:ascii="Arial" w:eastAsia="Times New Roman" w:hAnsi="Arial" w:cs="Arial"/>
          <w:szCs w:val="28"/>
          <w:lang w:eastAsia="ru-RU"/>
        </w:rPr>
        <w:t>аслідки можуть бути серйозними — не лише для конкретних людей, але й для цілих держав. Це може зашкодити дипломатичним зв’язкам, зіпсувати міжнародний імідж країни й навіть похитнути політичну стабільність.</w:t>
      </w:r>
    </w:p>
    <w:p w14:paraId="79BDF28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Надалі потрібно</w:t>
      </w:r>
      <w:r w:rsidRPr="00511005">
        <w:rPr>
          <w:rFonts w:ascii="Arial" w:eastAsia="Times New Roman" w:hAnsi="Arial" w:cs="Arial"/>
          <w:szCs w:val="28"/>
          <w:lang w:eastAsia="ru-RU"/>
        </w:rPr>
        <w:t xml:space="preserve"> розглян</w:t>
      </w:r>
      <w:r w:rsidRPr="00511005">
        <w:rPr>
          <w:rFonts w:ascii="Arial" w:eastAsia="Times New Roman" w:hAnsi="Arial" w:cs="Arial"/>
          <w:szCs w:val="28"/>
          <w:lang w:val="uk-UA" w:eastAsia="ru-RU"/>
        </w:rPr>
        <w:t>ути</w:t>
      </w:r>
      <w:r w:rsidRPr="00511005">
        <w:rPr>
          <w:rFonts w:ascii="Arial" w:eastAsia="Times New Roman" w:hAnsi="Arial" w:cs="Arial"/>
          <w:szCs w:val="28"/>
          <w:lang w:eastAsia="ru-RU"/>
        </w:rPr>
        <w:t>, як працює дипломатичний імунітет, які бувають порушення, хто за них відповідає та як подібні ситуації вирішуються в рамках міжнародного права.</w:t>
      </w:r>
    </w:p>
    <w:p w14:paraId="070E380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Основною метою цього інституту є гарантування незалежності дипломатів від місцевої влади та створення умов для виконання ними своїх обов’язків без страху втручання, переслідування чи тиску.</w:t>
      </w:r>
    </w:p>
    <w:p w14:paraId="4789333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Зазначу , що г</w:t>
      </w:r>
      <w:r w:rsidRPr="00511005">
        <w:rPr>
          <w:rFonts w:ascii="Arial" w:eastAsia="Times New Roman" w:hAnsi="Arial" w:cs="Arial"/>
          <w:szCs w:val="28"/>
          <w:lang w:eastAsia="ru-RU"/>
        </w:rPr>
        <w:t>оловними складовими дипломатичного імунітету є</w:t>
      </w:r>
      <w:r w:rsidRPr="00511005">
        <w:rPr>
          <w:rFonts w:ascii="Arial" w:eastAsia="Times New Roman" w:hAnsi="Arial" w:cs="Arial"/>
          <w:szCs w:val="28"/>
          <w:lang w:val="uk-UA" w:eastAsia="ru-RU"/>
        </w:rPr>
        <w:t xml:space="preserve"> о</w:t>
      </w:r>
      <w:r w:rsidRPr="00511005">
        <w:rPr>
          <w:rFonts w:ascii="Arial" w:eastAsia="Times New Roman" w:hAnsi="Arial" w:cs="Arial"/>
          <w:szCs w:val="28"/>
          <w:lang w:eastAsia="ru-RU"/>
        </w:rPr>
        <w:t>собиста недоторканність дипломата;</w:t>
      </w:r>
      <w:r w:rsidRPr="00511005">
        <w:rPr>
          <w:rFonts w:ascii="Arial" w:eastAsia="Times New Roman" w:hAnsi="Arial" w:cs="Arial"/>
          <w:szCs w:val="28"/>
          <w:lang w:val="uk-UA" w:eastAsia="ru-RU"/>
        </w:rPr>
        <w:t xml:space="preserve"> н</w:t>
      </w:r>
      <w:r w:rsidRPr="00511005">
        <w:rPr>
          <w:rFonts w:ascii="Arial" w:eastAsia="Times New Roman" w:hAnsi="Arial" w:cs="Arial"/>
          <w:szCs w:val="28"/>
          <w:lang w:eastAsia="ru-RU"/>
        </w:rPr>
        <w:t>едоторканність службових приміщень, архівів і кореспонденції;</w:t>
      </w:r>
      <w:r w:rsidRPr="00511005">
        <w:rPr>
          <w:rFonts w:ascii="Arial" w:eastAsia="Times New Roman" w:hAnsi="Arial" w:cs="Arial"/>
          <w:szCs w:val="28"/>
          <w:lang w:val="uk-UA" w:eastAsia="ru-RU"/>
        </w:rPr>
        <w:t xml:space="preserve"> і</w:t>
      </w:r>
      <w:r w:rsidRPr="00511005">
        <w:rPr>
          <w:rFonts w:ascii="Arial" w:eastAsia="Times New Roman" w:hAnsi="Arial" w:cs="Arial"/>
          <w:szCs w:val="28"/>
          <w:lang w:eastAsia="ru-RU"/>
        </w:rPr>
        <w:t>мунітет від кримінальної, цивільної та адміністративної юрисдикції приймаючої держави</w:t>
      </w:r>
      <w:r w:rsidRPr="00511005">
        <w:rPr>
          <w:rFonts w:ascii="Arial" w:eastAsia="Times New Roman" w:hAnsi="Arial" w:cs="Arial"/>
          <w:szCs w:val="28"/>
          <w:lang w:val="uk-UA" w:eastAsia="ru-RU"/>
        </w:rPr>
        <w:t>; з</w:t>
      </w:r>
      <w:r w:rsidRPr="00511005">
        <w:rPr>
          <w:rFonts w:ascii="Arial" w:eastAsia="Times New Roman" w:hAnsi="Arial" w:cs="Arial"/>
          <w:szCs w:val="28"/>
          <w:lang w:eastAsia="ru-RU"/>
        </w:rPr>
        <w:t>вільнення від податків і митних зборів;</w:t>
      </w:r>
      <w:r w:rsidRPr="00511005">
        <w:rPr>
          <w:rFonts w:ascii="Arial" w:eastAsia="Times New Roman" w:hAnsi="Arial" w:cs="Arial"/>
          <w:szCs w:val="28"/>
          <w:lang w:val="uk-UA" w:eastAsia="ru-RU"/>
        </w:rPr>
        <w:t xml:space="preserve"> с</w:t>
      </w:r>
      <w:r w:rsidRPr="00511005">
        <w:rPr>
          <w:rFonts w:ascii="Arial" w:eastAsia="Times New Roman" w:hAnsi="Arial" w:cs="Arial"/>
          <w:szCs w:val="28"/>
          <w:lang w:eastAsia="ru-RU"/>
        </w:rPr>
        <w:t>вобода пересування і зносин з акредитуючою державою.</w:t>
      </w:r>
    </w:p>
    <w:p w14:paraId="757FE0A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Також в</w:t>
      </w:r>
      <w:r w:rsidRPr="00511005">
        <w:rPr>
          <w:rFonts w:ascii="Arial" w:eastAsia="Times New Roman" w:hAnsi="Arial" w:cs="Arial"/>
          <w:szCs w:val="28"/>
          <w:lang w:eastAsia="ru-RU"/>
        </w:rPr>
        <w:t>арто підкреслити, що дипломатичний імунітет не є особистою привілеєю дипломата, а інструментом, який забезпечує ефективне виконання функцій представництва держави.</w:t>
      </w:r>
    </w:p>
    <w:p w14:paraId="45D9A48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Головним міжнародним документом, що регулює питання дипломатичного імунітету, є Віденська конвенція про дипломатичні зносини 1961 року. Вона визначає статус дипломатичних агентів, порядок їх акредитації, а також обсяг імунітетів, якими вони користуються</w:t>
      </w:r>
      <w:r w:rsidRPr="00511005">
        <w:rPr>
          <w:rFonts w:ascii="Arial" w:eastAsia="Times New Roman" w:hAnsi="Arial" w:cs="Arial"/>
          <w:szCs w:val="28"/>
          <w:lang w:val="uk-UA" w:eastAsia="ru-RU"/>
        </w:rPr>
        <w:t>.</w:t>
      </w:r>
    </w:p>
    <w:p w14:paraId="4988DA3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Згідно з Конвенцією, дипломатичний агент користується імунітетом від кримінальної юрисдикції приймаючої держави, а також імунітетом від її цивільної та адміністративної юрисдикції, за винятком окремих випадків (наприклад, позови щодо приватної нерухомості); приймаюча держава зобов’язується не перешкоджати діяльності дипломатичної місії та забезпечувати її захист; у разі порушення дипломат агент може бути оголошений</w:t>
      </w:r>
      <w:r w:rsidRPr="00511005">
        <w:rPr>
          <w:rFonts w:ascii="Arial" w:eastAsia="Times New Roman" w:hAnsi="Arial" w:cs="Arial"/>
          <w:szCs w:val="28"/>
          <w:lang w:eastAsia="ru-RU"/>
        </w:rPr>
        <w:t> persona</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non</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grata</w:t>
      </w:r>
      <w:r w:rsidRPr="00511005">
        <w:rPr>
          <w:rFonts w:ascii="Arial" w:eastAsia="Times New Roman" w:hAnsi="Arial" w:cs="Arial"/>
          <w:szCs w:val="28"/>
          <w:lang w:val="uk-UA" w:eastAsia="ru-RU"/>
        </w:rPr>
        <w:t>, що означає вимогу залишити країну.</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2</w:t>
      </w:r>
      <w:r w:rsidRPr="00511005">
        <w:rPr>
          <w:rFonts w:ascii="Arial" w:hAnsi="Arial" w:cs="Arial"/>
          <w:szCs w:val="28"/>
          <w:shd w:val="clear" w:color="auto" w:fill="FFFFFF"/>
          <w:lang w:val="uk-UA" w:eastAsia="ru-RU"/>
        </w:rPr>
        <w:t>]</w:t>
      </w:r>
    </w:p>
    <w:p w14:paraId="2228DC7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Крім Віденської конвенції, питання імунітету регулюються також двосторонніми і багатосторонніми угодами, а в деяких випадках — національним законодавством.</w:t>
      </w:r>
    </w:p>
    <w:p w14:paraId="149E31E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lastRenderedPageBreak/>
        <w:t>Щодо п</w:t>
      </w:r>
      <w:r w:rsidRPr="00511005">
        <w:rPr>
          <w:rFonts w:ascii="Arial" w:eastAsia="Times New Roman" w:hAnsi="Arial" w:cs="Arial"/>
          <w:szCs w:val="28"/>
          <w:lang w:eastAsia="ru-RU"/>
        </w:rPr>
        <w:t>орушення дипломатичного імунітету</w:t>
      </w:r>
      <w:r w:rsidRPr="00511005">
        <w:rPr>
          <w:rFonts w:ascii="Arial" w:eastAsia="Times New Roman" w:hAnsi="Arial" w:cs="Arial"/>
          <w:szCs w:val="28"/>
          <w:lang w:val="uk-UA" w:eastAsia="ru-RU"/>
        </w:rPr>
        <w:t>, то це</w:t>
      </w:r>
      <w:r w:rsidRPr="00511005">
        <w:rPr>
          <w:rFonts w:ascii="Arial" w:eastAsia="Times New Roman" w:hAnsi="Arial" w:cs="Arial"/>
          <w:szCs w:val="28"/>
          <w:lang w:eastAsia="ru-RU"/>
        </w:rPr>
        <w:t xml:space="preserve"> є серйозним порушенням міжнародного права. За такі дії можуть нести відповідальність як країна, яка приймає дипломата, так і сам дипломат.</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2</w:t>
      </w:r>
      <w:r w:rsidRPr="00511005">
        <w:rPr>
          <w:rFonts w:ascii="Arial" w:hAnsi="Arial" w:cs="Arial"/>
          <w:szCs w:val="28"/>
          <w:shd w:val="clear" w:color="auto" w:fill="FFFFFF"/>
          <w:lang w:eastAsia="ru-RU"/>
        </w:rPr>
        <w:t>]</w:t>
      </w:r>
    </w:p>
    <w:p w14:paraId="13EC08C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Якщо країна, яка приймає дипломатів, порушує їхній імунітет — наприклад, затримує чи арештовує дипломата або проводить обшук у приміщеннях посольства — це може призвести до низки серйозних наслідків:</w:t>
      </w:r>
    </w:p>
    <w:p w14:paraId="6119D98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Дипломатичний скандал — ситуація, яка привертає увагу міжнародної спільноти і може стати темою для обговорення на глобальному рівні.</w:t>
      </w:r>
    </w:p>
    <w:p w14:paraId="37BA764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Розірвання або погіршення дипломатичних відносин — країни можуть припинити співпрацю, обміну послами або дипломатичними місіями, що суттєво ускладнює міжнародні відносини.</w:t>
      </w:r>
    </w:p>
    <w:p w14:paraId="0757FC5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Міжнародна відповідальність — порушення імунітету може вимагати компенсації збитків, офіційних вибачень або навіть накладання санкцій на країну, яка порушила правила.</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3</w:t>
      </w:r>
      <w:r w:rsidRPr="00511005">
        <w:rPr>
          <w:rFonts w:ascii="Arial" w:hAnsi="Arial" w:cs="Arial"/>
          <w:szCs w:val="28"/>
          <w:shd w:val="clear" w:color="auto" w:fill="FFFFFF"/>
          <w:lang w:eastAsia="ru-RU"/>
        </w:rPr>
        <w:t>]</w:t>
      </w:r>
    </w:p>
    <w:p w14:paraId="5577CC0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 історії були випадки, коли порушення дипломатичного імунітету призводило до серйозних міжнародних криз. Одним із таких прикладів є захоплення американських дипломатів у Тегерані в 1979 році, що спричинило тривалу кризу у відносинах між США та Іраном. Цей інцидент став величезним ударом по міжнародній репутації обох країн і надовго змінив їх дипломатичні взаємини.</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5</w:t>
      </w:r>
      <w:r w:rsidRPr="00511005">
        <w:rPr>
          <w:rFonts w:ascii="Arial" w:hAnsi="Arial" w:cs="Arial"/>
          <w:szCs w:val="28"/>
          <w:shd w:val="clear" w:color="auto" w:fill="FFFFFF"/>
          <w:lang w:eastAsia="ru-RU"/>
        </w:rPr>
        <w:t>]</w:t>
      </w:r>
    </w:p>
    <w:p w14:paraId="6FDAF42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Дипломатичний імунітет не означає безкарності. Якщо дипломат порушує закони приймаючої держави, вона може:</w:t>
      </w:r>
    </w:p>
    <w:p w14:paraId="3DD513D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Оголосити його persona non grata та вимагати залишити країну;</w:t>
      </w:r>
    </w:p>
    <w:p w14:paraId="32672E9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w:t>
      </w:r>
      <w:r w:rsidRPr="00511005">
        <w:rPr>
          <w:rFonts w:ascii="Arial" w:eastAsia="Times New Roman" w:hAnsi="Arial" w:cs="Arial"/>
          <w:szCs w:val="28"/>
          <w:lang w:eastAsia="ru-RU"/>
        </w:rPr>
        <w:t>Звернутися до акредитуючої держави з проханням зняти імунітет для притягнення до відповідальності;</w:t>
      </w:r>
    </w:p>
    <w:p w14:paraId="3B7350F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w:t>
      </w:r>
      <w:r w:rsidRPr="00511005">
        <w:rPr>
          <w:rFonts w:ascii="Arial" w:eastAsia="Times New Roman" w:hAnsi="Arial" w:cs="Arial"/>
          <w:szCs w:val="28"/>
          <w:lang w:eastAsia="ru-RU"/>
        </w:rPr>
        <w:t>Передати справу для розгляду компетентними органами держави, яку представляє дипломат.</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2</w:t>
      </w:r>
      <w:r w:rsidRPr="00511005">
        <w:rPr>
          <w:rFonts w:ascii="Arial" w:hAnsi="Arial" w:cs="Arial"/>
          <w:szCs w:val="28"/>
          <w:shd w:val="clear" w:color="auto" w:fill="FFFFFF"/>
          <w:lang w:eastAsia="ru-RU"/>
        </w:rPr>
        <w:t>]</w:t>
      </w:r>
    </w:p>
    <w:p w14:paraId="51F6D69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разі тяжких злочинів (наприклад, вбивство, ДТП з летальними наслідками) акредитуюча держава іноді добровільно знімає імунітет, щоб забезпечити справедливий розгляд справи.</w:t>
      </w:r>
    </w:p>
    <w:p w14:paraId="0593798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Міжнародна практика показує, що більшість інцидентів, пов'язаних із порушенням дипломатичного імунітету, зазвичай вирішуються шляхом дипломатичних переговорів, без необхідності залучення судових або силових методів. Це дозволяє країнам уникати ескалації конфлікту і зберігати стабільність у міжнародних відносинах. Дипломатичні канали дають змогу швидко знайти компроміс і розв'язати ситуацію мирним шляхом, що є важливим для підтримання довіри та співпраці між державами.</w:t>
      </w:r>
      <w:r w:rsidRPr="00511005">
        <w:rPr>
          <w:rFonts w:ascii="Arial" w:eastAsia="Times New Roman" w:hAnsi="Arial" w:cs="Arial"/>
          <w:szCs w:val="28"/>
          <w:lang w:val="uk-UA" w:eastAsia="ru-RU"/>
        </w:rPr>
        <w:t xml:space="preserve"> </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5</w:t>
      </w:r>
      <w:r w:rsidRPr="00511005">
        <w:rPr>
          <w:rFonts w:ascii="Arial" w:hAnsi="Arial" w:cs="Arial"/>
          <w:szCs w:val="28"/>
          <w:shd w:val="clear" w:color="auto" w:fill="FFFFFF"/>
          <w:lang w:val="uk-UA" w:eastAsia="ru-RU"/>
        </w:rPr>
        <w:t>]</w:t>
      </w:r>
    </w:p>
    <w:p w14:paraId="05A9467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Найпоширенішим способом реагування на порушення дипломатичного імунітету є оголошення дипломата </w:t>
      </w:r>
      <w:r w:rsidRPr="00511005">
        <w:rPr>
          <w:rFonts w:ascii="Arial" w:eastAsia="Times New Roman" w:hAnsi="Arial" w:cs="Arial"/>
          <w:szCs w:val="28"/>
          <w:lang w:eastAsia="ru-RU"/>
        </w:rPr>
        <w:t>persona</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non</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grata</w:t>
      </w:r>
      <w:r w:rsidRPr="00511005">
        <w:rPr>
          <w:rFonts w:ascii="Arial" w:eastAsia="Times New Roman" w:hAnsi="Arial" w:cs="Arial"/>
          <w:szCs w:val="28"/>
          <w:lang w:val="uk-UA" w:eastAsia="ru-RU"/>
        </w:rPr>
        <w:t xml:space="preserve">. Це означає, що країна, яка приймає дипломатичну місію, може безпосередньо </w:t>
      </w:r>
      <w:r w:rsidRPr="00511005">
        <w:rPr>
          <w:rFonts w:ascii="Arial" w:eastAsia="Times New Roman" w:hAnsi="Arial" w:cs="Arial"/>
          <w:szCs w:val="28"/>
          <w:lang w:val="uk-UA" w:eastAsia="ru-RU"/>
        </w:rPr>
        <w:lastRenderedPageBreak/>
        <w:t xml:space="preserve">вимагати від цієї особи покинути територію країни. </w:t>
      </w:r>
      <w:r w:rsidRPr="00511005">
        <w:rPr>
          <w:rFonts w:ascii="Arial" w:eastAsia="Times New Roman" w:hAnsi="Arial" w:cs="Arial"/>
          <w:szCs w:val="28"/>
          <w:lang w:eastAsia="ru-RU"/>
        </w:rPr>
        <w:t>Такий крок дозволяє швидко усунути особу, що порушила закон, не вдаючись до більш серйозних заходів і без загострення конфлікту. Це дипломатичне рішення допомагає зберігати баланс і уникати ескалації, водночас даючи чіткий сигнал про порушення міжнародних норм.</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2</w:t>
      </w:r>
      <w:r w:rsidRPr="00511005">
        <w:rPr>
          <w:rFonts w:ascii="Arial" w:hAnsi="Arial" w:cs="Arial"/>
          <w:szCs w:val="28"/>
          <w:shd w:val="clear" w:color="auto" w:fill="FFFFFF"/>
          <w:lang w:eastAsia="ru-RU"/>
        </w:rPr>
        <w:t>]</w:t>
      </w:r>
    </w:p>
    <w:p w14:paraId="4A01460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деяких випадках країна, яка акредитувала дипломата, може добровільно зняти з нього імунітет — особливо якщо мова йде про тяжкий злочин. Це трапляється нечасто, але такі приклади є. Наприклад, у 1997 році Грузія зняла дипломатичний імунітет зі свого представника в США після того, як він став винуватцем смертельної дорожньо-транспортної пригоди. У результаті дипломат був притягнутий до кримінальної відповідальності.</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5</w:t>
      </w:r>
      <w:r w:rsidRPr="00511005">
        <w:rPr>
          <w:rFonts w:ascii="Arial" w:hAnsi="Arial" w:cs="Arial"/>
          <w:szCs w:val="28"/>
          <w:shd w:val="clear" w:color="auto" w:fill="FFFFFF"/>
          <w:lang w:eastAsia="ru-RU"/>
        </w:rPr>
        <w:t>]</w:t>
      </w:r>
    </w:p>
    <w:p w14:paraId="2DE9667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Такий жест демонструє готовність країни діяти відповідально й дотримуватися принципів справедливості, навіть коли йдеться про її власних представників за кордоном.</w:t>
      </w:r>
    </w:p>
    <w:p w14:paraId="6E0CEC3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Іноді, щоб уникнути подальшого загострення ситуації, сторони домовляються про більш м’яке вирішення — наприклад, виплату компенсації постраждалим або надання офіційних вибачень. Такий підхід дозволяє залагодити конфлікт мирно, зберегти дипломатичні відносини і водночас визнати факт порушення. Це своєрідний компроміс, який дає змогу врахувати інтереси обох сторін без зайвого резонансу на міжнародному рівні.</w:t>
      </w:r>
      <w:r w:rsidRPr="00511005">
        <w:rPr>
          <w:rFonts w:ascii="Arial" w:eastAsia="Times New Roman" w:hAnsi="Arial" w:cs="Arial"/>
          <w:szCs w:val="28"/>
          <w:lang w:val="uk-UA" w:eastAsia="ru-RU"/>
        </w:rPr>
        <w:t xml:space="preserve"> </w:t>
      </w:r>
    </w:p>
    <w:p w14:paraId="00CE3BD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Деякі країни намагаються обмежити дипломатичний імунітет у разі незначних адміністративних правопорушень — наприклад, порушень правил дорожнього руху або несплати штрафів. Такі ініціативи виникають через прагнення до справедливості й бажання уникнути зловживань.</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1</w:t>
      </w:r>
      <w:r w:rsidRPr="00511005">
        <w:rPr>
          <w:rFonts w:ascii="Arial" w:hAnsi="Arial" w:cs="Arial"/>
          <w:szCs w:val="28"/>
          <w:shd w:val="clear" w:color="auto" w:fill="FFFFFF"/>
          <w:lang w:eastAsia="ru-RU"/>
        </w:rPr>
        <w:t>]</w:t>
      </w:r>
    </w:p>
    <w:p w14:paraId="02DB775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Однак подібні пропозиції часто викликають опір, адже можуть порушити ключовий принцип взаємності в дипломатії: як ти ставишся до наших дипломатів, так само ми ставимось до твоїх. Будь-яке послаблення імунітету в одній країні може стати приводом для аналогічних кроків в іншій, що, в підсумку, може негативно вплинути </w:t>
      </w:r>
      <w:proofErr w:type="gramStart"/>
      <w:r w:rsidRPr="00511005">
        <w:rPr>
          <w:rFonts w:ascii="Arial" w:eastAsia="Times New Roman" w:hAnsi="Arial" w:cs="Arial"/>
          <w:szCs w:val="28"/>
          <w:lang w:eastAsia="ru-RU"/>
        </w:rPr>
        <w:t>на роботу</w:t>
      </w:r>
      <w:proofErr w:type="gramEnd"/>
      <w:r w:rsidRPr="00511005">
        <w:rPr>
          <w:rFonts w:ascii="Arial" w:eastAsia="Times New Roman" w:hAnsi="Arial" w:cs="Arial"/>
          <w:szCs w:val="28"/>
          <w:lang w:eastAsia="ru-RU"/>
        </w:rPr>
        <w:t xml:space="preserve"> дипломатичних місій по всьому світу. Тому більшість держав обирають обережну політику і намагаються вирішувати такі питання не через законодавчі зміни, а шляхом дипломатичних домовленостей.</w:t>
      </w:r>
    </w:p>
    <w:p w14:paraId="387CEC5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Слід зазначити що д</w:t>
      </w:r>
      <w:r w:rsidRPr="00511005">
        <w:rPr>
          <w:rFonts w:ascii="Arial" w:eastAsia="Times New Roman" w:hAnsi="Arial" w:cs="Arial"/>
          <w:szCs w:val="28"/>
          <w:lang w:eastAsia="ru-RU"/>
        </w:rPr>
        <w:t>ипломатичний імунітет має певні обмеження:</w:t>
      </w:r>
    </w:p>
    <w:p w14:paraId="2B8488E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Він не поширюється на приватні цивільні справи, не пов’язані з виконанням службових обов’язків (наприклад, спадкові чи майнові спори).</w:t>
      </w:r>
    </w:p>
    <w:p w14:paraId="1684103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Консульські працівники та технічний персонал мають обмеженіший імунітет, який діє лише в межах виконання службових функцій.</w:t>
      </w:r>
    </w:p>
    <w:p w14:paraId="636E8D6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Дипломат зобов’язаний поважати закони та правила приймаючої держави</w:t>
      </w:r>
      <w:r w:rsidRPr="00511005">
        <w:rPr>
          <w:rFonts w:ascii="Arial" w:eastAsia="Times New Roman" w:hAnsi="Arial" w:cs="Arial"/>
          <w:szCs w:val="28"/>
          <w:lang w:val="uk-UA" w:eastAsia="ru-RU"/>
        </w:rPr>
        <w:t xml:space="preserve"> </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4</w:t>
      </w:r>
      <w:r w:rsidRPr="00511005">
        <w:rPr>
          <w:rFonts w:ascii="Arial" w:hAnsi="Arial" w:cs="Arial"/>
          <w:szCs w:val="28"/>
          <w:shd w:val="clear" w:color="auto" w:fill="FFFFFF"/>
          <w:lang w:eastAsia="ru-RU"/>
        </w:rPr>
        <w:t>]</w:t>
      </w:r>
    </w:p>
    <w:p w14:paraId="2332B10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Дипломатичний імунітет — це не лише привілей, а необхідна умова для ефективної роботи дипломатів і стабільних міжнародних відносин. Його </w:t>
      </w:r>
      <w:r w:rsidRPr="00511005">
        <w:rPr>
          <w:rFonts w:ascii="Arial" w:eastAsia="Times New Roman" w:hAnsi="Arial" w:cs="Arial"/>
          <w:szCs w:val="28"/>
          <w:lang w:eastAsia="ru-RU"/>
        </w:rPr>
        <w:lastRenderedPageBreak/>
        <w:t>порушення може мати серйозні політичні, правові та моральні наслідки. Відповідальність у таких випадках залежить від обставин і рівня співпраці між державами.</w:t>
      </w:r>
    </w:p>
    <w:p w14:paraId="6ABF58B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Здебільшого подібні інциденти вдається вирішити мирно — через дипломатичні канали, з урахуванням принципу взаємності й поваги до суверенітету.</w:t>
      </w:r>
      <w:r w:rsidRPr="00511005">
        <w:rPr>
          <w:rFonts w:ascii="Arial" w:eastAsia="Times New Roman" w:hAnsi="Arial" w:cs="Arial"/>
          <w:szCs w:val="28"/>
          <w:lang w:val="uk-UA" w:eastAsia="ru-RU"/>
        </w:rPr>
        <w:t xml:space="preserve"> Сучасні виклики, такі як тероризм, транснаціональна злочинність та зловживання дипломатичним статусом, спонукають міжнародну спільноту шукати шляхи збереження балансу між забезпеченням ефективного контролю та збереженням основ дипломатичного імунітету.</w:t>
      </w:r>
    </w:p>
    <w:p w14:paraId="49BBADF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Попри все, імунітет залишається ключовим принципом міжнародного права, що потребує постійного оновлення та уважного балансу між захистом дипломатів і дотриманням законів приймаючої країни.</w:t>
      </w:r>
    </w:p>
    <w:p w14:paraId="400DA0C4"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65DD5658" w14:textId="1ED33EA3"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77465152" w14:textId="77777777" w:rsidR="00220D3E" w:rsidRPr="00511005" w:rsidRDefault="00220D3E" w:rsidP="003F6A5D">
      <w:pPr>
        <w:numPr>
          <w:ilvl w:val="0"/>
          <w:numId w:val="146"/>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Дипломатів хочуть позбавити імунітету за порушення певних статей КУпАП. </w:t>
      </w:r>
      <w:r w:rsidRPr="00511005">
        <w:rPr>
          <w:rFonts w:ascii="Arial" w:eastAsia="Times New Roman" w:hAnsi="Arial" w:cs="Arial"/>
          <w:i/>
          <w:iCs/>
          <w:szCs w:val="28"/>
          <w:lang w:eastAsia="ru-RU"/>
        </w:rPr>
        <w:t>Судово-юридична газета</w:t>
      </w:r>
      <w:r w:rsidRPr="00511005">
        <w:rPr>
          <w:rFonts w:ascii="Arial" w:eastAsia="Times New Roman" w:hAnsi="Arial" w:cs="Arial"/>
          <w:szCs w:val="28"/>
          <w:lang w:eastAsia="ru-RU"/>
        </w:rPr>
        <w:t>. URL: </w:t>
      </w:r>
      <w:hyperlink r:id="rId639" w:tgtFrame="https://www.grafiati.com/uk/_blank" w:history="1">
        <w:r w:rsidRPr="00511005">
          <w:rPr>
            <w:rFonts w:ascii="Arial" w:eastAsia="Times New Roman" w:hAnsi="Arial" w:cs="Arial"/>
            <w:i/>
            <w:szCs w:val="28"/>
            <w:lang w:eastAsia="ru-RU"/>
          </w:rPr>
          <w:t>https://sud.ua/ru/news/publication/196603-u-radi-zareyestruvali-zakonoproekt-yakiy-peredbachaye-zvuzhennya-imunitetu-inozemnikh-gromadyan</w:t>
        </w:r>
      </w:hyperlink>
      <w:r w:rsidRPr="00511005">
        <w:rPr>
          <w:rFonts w:ascii="Arial" w:eastAsia="Times New Roman" w:hAnsi="Arial" w:cs="Arial"/>
          <w:szCs w:val="28"/>
          <w:lang w:eastAsia="ru-RU"/>
        </w:rPr>
        <w:t> (дата звернення: 16.04.2025).</w:t>
      </w:r>
    </w:p>
    <w:p w14:paraId="5FAAB172" w14:textId="77777777" w:rsidR="00220D3E" w:rsidRPr="00511005" w:rsidRDefault="00220D3E" w:rsidP="003F6A5D">
      <w:pPr>
        <w:numPr>
          <w:ilvl w:val="0"/>
          <w:numId w:val="146"/>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Імунітет від юрисдикції. </w:t>
      </w:r>
      <w:r w:rsidRPr="00511005">
        <w:rPr>
          <w:rFonts w:ascii="Arial" w:eastAsia="Times New Roman" w:hAnsi="Arial" w:cs="Arial"/>
          <w:i/>
          <w:iCs/>
          <w:szCs w:val="28"/>
          <w:lang w:eastAsia="ru-RU"/>
        </w:rPr>
        <w:t>Радник.Український вісник</w:t>
      </w:r>
      <w:r w:rsidRPr="00511005">
        <w:rPr>
          <w:rFonts w:ascii="Arial" w:eastAsia="Times New Roman" w:hAnsi="Arial" w:cs="Arial"/>
          <w:szCs w:val="28"/>
          <w:lang w:eastAsia="ru-RU"/>
        </w:rPr>
        <w:t>. URL: </w:t>
      </w:r>
      <w:hyperlink r:id="rId640" w:tgtFrame="https://www.grafiati.com/uk/_blank" w:history="1">
        <w:r w:rsidRPr="00511005">
          <w:rPr>
            <w:rFonts w:ascii="Arial" w:eastAsia="Times New Roman" w:hAnsi="Arial" w:cs="Arial"/>
            <w:i/>
            <w:szCs w:val="28"/>
            <w:lang w:eastAsia="ru-RU"/>
          </w:rPr>
          <w:t>http://radnuk.info/pidrychnuku/mishnarod-pravo/468-repetsku/8083-55---.html</w:t>
        </w:r>
      </w:hyperlink>
      <w:r w:rsidRPr="00511005">
        <w:rPr>
          <w:rFonts w:ascii="Arial" w:eastAsia="Times New Roman" w:hAnsi="Arial" w:cs="Arial"/>
          <w:szCs w:val="28"/>
          <w:lang w:eastAsia="ru-RU"/>
        </w:rPr>
        <w:t> (дата звернення: 16.04.2025).</w:t>
      </w:r>
    </w:p>
    <w:p w14:paraId="32664997" w14:textId="77777777" w:rsidR="00220D3E" w:rsidRPr="00511005" w:rsidRDefault="00220D3E" w:rsidP="003F6A5D">
      <w:pPr>
        <w:numPr>
          <w:ilvl w:val="0"/>
          <w:numId w:val="146"/>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Особисті дипломатичні привілеї і імунітети. </w:t>
      </w:r>
      <w:r w:rsidRPr="00511005">
        <w:rPr>
          <w:rFonts w:ascii="Arial" w:eastAsia="Times New Roman" w:hAnsi="Arial" w:cs="Arial"/>
          <w:i/>
          <w:iCs/>
          <w:szCs w:val="28"/>
          <w:lang w:eastAsia="ru-RU"/>
        </w:rPr>
        <w:t>Радник.Український юридичний портал</w:t>
      </w:r>
      <w:r w:rsidRPr="00511005">
        <w:rPr>
          <w:rFonts w:ascii="Arial" w:eastAsia="Times New Roman" w:hAnsi="Arial" w:cs="Arial"/>
          <w:szCs w:val="28"/>
          <w:lang w:eastAsia="ru-RU"/>
        </w:rPr>
        <w:t>. URL: </w:t>
      </w:r>
      <w:hyperlink r:id="rId641" w:tgtFrame="https://www.grafiati.com/uk/_blank" w:history="1">
        <w:r w:rsidRPr="00511005">
          <w:rPr>
            <w:rFonts w:ascii="Arial" w:eastAsia="Times New Roman" w:hAnsi="Arial" w:cs="Arial"/>
            <w:i/>
            <w:szCs w:val="28"/>
            <w:lang w:eastAsia="ru-RU"/>
          </w:rPr>
          <w:t>http://radnuk.info/pidrychnuku/mishnarod-pravo/45-byromensk/776-s-5-----.html</w:t>
        </w:r>
      </w:hyperlink>
      <w:r w:rsidRPr="00511005">
        <w:rPr>
          <w:rFonts w:ascii="Arial" w:eastAsia="Times New Roman" w:hAnsi="Arial" w:cs="Arial"/>
          <w:szCs w:val="28"/>
          <w:lang w:eastAsia="ru-RU"/>
        </w:rPr>
        <w:t> (дата звернення: 16.04.2025).</w:t>
      </w:r>
    </w:p>
    <w:p w14:paraId="19220445" w14:textId="77777777" w:rsidR="00220D3E" w:rsidRPr="00511005" w:rsidRDefault="00220D3E" w:rsidP="003F6A5D">
      <w:pPr>
        <w:numPr>
          <w:ilvl w:val="0"/>
          <w:numId w:val="146"/>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Учасники проектів Вікімедіа. Дипломатичний імунітет – Вікіпедія. </w:t>
      </w:r>
      <w:r w:rsidRPr="00511005">
        <w:rPr>
          <w:rFonts w:ascii="Arial" w:eastAsia="Times New Roman" w:hAnsi="Arial" w:cs="Arial"/>
          <w:i/>
          <w:iCs/>
          <w:szCs w:val="28"/>
          <w:lang w:eastAsia="ru-RU"/>
        </w:rPr>
        <w:t>Вікіпедія</w:t>
      </w:r>
      <w:r w:rsidRPr="00511005">
        <w:rPr>
          <w:rFonts w:ascii="Arial" w:eastAsia="Times New Roman" w:hAnsi="Arial" w:cs="Arial"/>
          <w:szCs w:val="28"/>
          <w:lang w:eastAsia="ru-RU"/>
        </w:rPr>
        <w:t>. URL: </w:t>
      </w:r>
      <w:hyperlink r:id="rId642" w:tgtFrame="https://www.grafiati.com/uk/_blank" w:history="1">
        <w:r w:rsidRPr="00511005">
          <w:rPr>
            <w:rFonts w:ascii="Arial" w:eastAsia="Times New Roman" w:hAnsi="Arial" w:cs="Arial"/>
            <w:i/>
            <w:szCs w:val="28"/>
            <w:lang w:eastAsia="ru-RU"/>
          </w:rPr>
          <w:t>https://uk.wikipedia.org/wiki/Дипломатичний_імунітет</w:t>
        </w:r>
      </w:hyperlink>
      <w:r w:rsidRPr="00511005">
        <w:rPr>
          <w:rFonts w:ascii="Arial" w:eastAsia="Times New Roman" w:hAnsi="Arial" w:cs="Arial"/>
          <w:szCs w:val="28"/>
          <w:lang w:eastAsia="ru-RU"/>
        </w:rPr>
        <w:t> (дата звернення: 16.04.2025).</w:t>
      </w:r>
    </w:p>
    <w:p w14:paraId="490A7972" w14:textId="77777777" w:rsidR="00220D3E" w:rsidRPr="00511005" w:rsidRDefault="00220D3E" w:rsidP="003F6A5D">
      <w:pPr>
        <w:numPr>
          <w:ilvl w:val="0"/>
          <w:numId w:val="146"/>
        </w:num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eastAsia="ru-RU"/>
        </w:rPr>
        <w:t>Чи повинні дипломати мати недоторканність? - BBC News Україна. BBC News Україна. URL: </w:t>
      </w:r>
      <w:hyperlink r:id="rId643" w:tgtFrame="https://www.grafiati.com/uk/_blank" w:history="1">
        <w:r w:rsidRPr="00511005">
          <w:rPr>
            <w:rFonts w:ascii="Arial" w:hAnsi="Arial" w:cs="Arial"/>
            <w:i/>
            <w:szCs w:val="28"/>
            <w:lang w:eastAsia="ru-RU"/>
          </w:rPr>
          <w:t>https://www.bbc.com/ukrainian/politics/2016/04/160401_diplomatic_immunity_or</w:t>
        </w:r>
      </w:hyperlink>
      <w:r w:rsidRPr="00511005">
        <w:rPr>
          <w:rFonts w:ascii="Arial" w:eastAsia="Times New Roman" w:hAnsi="Arial" w:cs="Arial"/>
          <w:szCs w:val="28"/>
          <w:lang w:eastAsia="ru-RU"/>
        </w:rPr>
        <w:t> (дата звернення: 17.04.2025).</w:t>
      </w:r>
    </w:p>
    <w:p w14:paraId="31E1F4F7"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447F6672" w14:textId="126EB09C"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дипломатичний імунітет , Віденська конвенція , міжнародне право , відповідальність дипломата, порушення, дипломатичні привілеї, міжнародна практика.</w:t>
      </w:r>
    </w:p>
    <w:p w14:paraId="73FE0578" w14:textId="22D7F73F" w:rsidR="007B2628"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diplomatic immunity, Vienna Convention, international law, diplomat's responsibility, violations, diplomatic privileges, international practice.</w:t>
      </w:r>
    </w:p>
    <w:p w14:paraId="56F65616" w14:textId="16D6107B" w:rsidR="00220D3E" w:rsidRPr="00511005" w:rsidRDefault="00C76181" w:rsidP="003A292D">
      <w:pPr>
        <w:tabs>
          <w:tab w:val="left" w:pos="709"/>
        </w:tabs>
        <w:spacing w:line="264" w:lineRule="auto"/>
        <w:rPr>
          <w:rFonts w:ascii="Arial" w:eastAsia="Times New Roman" w:hAnsi="Arial" w:cs="Arial"/>
          <w:szCs w:val="28"/>
          <w:lang w:val="uk-UA" w:eastAsia="ru-RU"/>
        </w:rPr>
      </w:pPr>
      <w:r w:rsidRPr="00511005">
        <w:rPr>
          <w:rFonts w:ascii="Arial" w:eastAsia="Calibri" w:hAnsi="Arial" w:cs="Arial"/>
          <w:b/>
          <w:i/>
          <w:szCs w:val="28"/>
          <w:lang w:val="uk-UA"/>
        </w:rPr>
        <w:t xml:space="preserve">Науковий керівник: </w:t>
      </w:r>
      <w:r w:rsidR="00220D3E" w:rsidRPr="00511005">
        <w:rPr>
          <w:rFonts w:ascii="Arial" w:eastAsia="Times New Roman" w:hAnsi="Arial" w:cs="Arial"/>
          <w:i/>
          <w:iCs/>
          <w:szCs w:val="28"/>
          <w:lang w:val="uk-UA" w:eastAsia="ru-RU"/>
        </w:rPr>
        <w:t>к.ю.н.,доцент Бєлогубова О.О.</w:t>
      </w:r>
    </w:p>
    <w:p w14:paraId="43516A0D"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p>
    <w:p w14:paraId="255E4952"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b/>
          <w:bCs/>
          <w:i/>
          <w:iCs/>
          <w:szCs w:val="28"/>
          <w:lang w:val="uk-UA" w:eastAsia="ru-RU"/>
        </w:rPr>
        <w:lastRenderedPageBreak/>
        <w:t>Разумій Карина Володимирівна</w:t>
      </w:r>
    </w:p>
    <w:p w14:paraId="2D2F850A" w14:textId="6A4B9E0B" w:rsidR="00220D3E" w:rsidRPr="00511005" w:rsidRDefault="00536AAB" w:rsidP="003A292D">
      <w:pPr>
        <w:tabs>
          <w:tab w:val="left" w:pos="709"/>
        </w:tabs>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r w:rsidR="007B2628" w:rsidRPr="00511005">
        <w:rPr>
          <w:rFonts w:ascii="Arial" w:eastAsia="Times New Roman" w:hAnsi="Arial" w:cs="Arial"/>
          <w:szCs w:val="28"/>
          <w:lang w:eastAsia="ru-RU"/>
        </w:rPr>
        <w:t xml:space="preserve"> Національного університету «Одеська юридична академія»</w:t>
      </w:r>
    </w:p>
    <w:p w14:paraId="130F9798" w14:textId="77777777" w:rsidR="00220D3E" w:rsidRPr="00511005" w:rsidRDefault="00220D3E" w:rsidP="003A292D">
      <w:pPr>
        <w:tabs>
          <w:tab w:val="left" w:pos="709"/>
        </w:tabs>
        <w:spacing w:line="264" w:lineRule="auto"/>
        <w:jc w:val="center"/>
        <w:rPr>
          <w:rFonts w:ascii="Arial" w:eastAsia="Times New Roman" w:hAnsi="Arial" w:cs="Arial"/>
          <w:b/>
          <w:bCs/>
          <w:i/>
          <w:szCs w:val="28"/>
          <w:lang w:val="uk-UA" w:eastAsia="ru-RU"/>
        </w:rPr>
      </w:pPr>
    </w:p>
    <w:p w14:paraId="58375638"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КОЛІЗІЇ ЗАКОНІВ ЩОДО ВИЗНАННЯ ТА РОЗІРВАННЯ ШЛЮБІВ З ІНОЗЕМНИМИ ЕЛЕМЕНТАМИ</w:t>
      </w:r>
    </w:p>
    <w:p w14:paraId="6231098D" w14:textId="77777777" w:rsidR="007B2628"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У нашому сучасному світі, де глобалізація, міграція та міжнародне спілкування стали звичними явищами, все частіше укладаються шлюби між людьми з різних країн. </w:t>
      </w:r>
      <w:r w:rsidRPr="00511005">
        <w:rPr>
          <w:rFonts w:ascii="Arial" w:eastAsia="Times New Roman" w:hAnsi="Arial" w:cs="Arial"/>
          <w:szCs w:val="28"/>
          <w:lang w:eastAsia="ru-RU"/>
        </w:rPr>
        <w:t>Це можуть бути як подружжя з різними громадянствами, так і партнери, які мешкають у різних державах. Такі міжнародні шлюби — не просто історії кохання, вони також піднімають чимало юридичних питань.</w:t>
      </w:r>
    </w:p>
    <w:p w14:paraId="614624DD" w14:textId="7324B49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Кожна держава має власну систему правового регулювання шлюбно-сімейних відносин, яка може істотно відрізнятися від норм інших країн. Унаслідок цього нерідко виникають колізії законодавств — ситуації, коли виникає невизначеність щодо того, право якої держави підлягає застосуванню в конкретному випадку </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2; с.78-80</w:t>
      </w:r>
      <w:r w:rsidRPr="00511005">
        <w:rPr>
          <w:rFonts w:ascii="Arial" w:hAnsi="Arial" w:cs="Arial"/>
          <w:szCs w:val="28"/>
          <w:shd w:val="clear" w:color="auto" w:fill="FFFFFF"/>
          <w:lang w:eastAsia="ru-RU"/>
        </w:rPr>
        <w:t>]</w:t>
      </w:r>
      <w:r w:rsidRPr="00511005">
        <w:rPr>
          <w:rFonts w:ascii="Arial" w:eastAsia="Times New Roman" w:hAnsi="Arial" w:cs="Arial"/>
          <w:szCs w:val="28"/>
          <w:lang w:eastAsia="ru-RU"/>
        </w:rPr>
        <w:t>.</w:t>
      </w:r>
    </w:p>
    <w:p w14:paraId="5B01297F" w14:textId="209AAC3D"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досл</w:t>
      </w:r>
      <w:r w:rsidRPr="00511005">
        <w:rPr>
          <w:rFonts w:ascii="Arial" w:eastAsia="Times New Roman" w:hAnsi="Arial" w:cs="Arial"/>
          <w:szCs w:val="28"/>
          <w:lang w:val="uk-UA" w:eastAsia="ru-RU"/>
        </w:rPr>
        <w:t>ідженні</w:t>
      </w:r>
      <w:r w:rsidRPr="00511005">
        <w:rPr>
          <w:rFonts w:ascii="Arial" w:eastAsia="Times New Roman" w:hAnsi="Arial" w:cs="Arial"/>
          <w:szCs w:val="28"/>
          <w:lang w:eastAsia="ru-RU"/>
        </w:rPr>
        <w:t xml:space="preserve"> зосереди</w:t>
      </w:r>
      <w:r w:rsidRPr="00511005">
        <w:rPr>
          <w:rFonts w:ascii="Arial" w:eastAsia="Times New Roman" w:hAnsi="Arial" w:cs="Arial"/>
          <w:szCs w:val="28"/>
          <w:lang w:val="uk-UA" w:eastAsia="ru-RU"/>
        </w:rPr>
        <w:t>мося</w:t>
      </w:r>
      <w:r w:rsidRPr="00511005">
        <w:rPr>
          <w:rFonts w:ascii="Arial" w:eastAsia="Times New Roman" w:hAnsi="Arial" w:cs="Arial"/>
          <w:szCs w:val="28"/>
          <w:lang w:eastAsia="ru-RU"/>
        </w:rPr>
        <w:t xml:space="preserve"> на основних юридичних аспектах, пов’язаних із тим, як визнаються і як можуть розриватися міжнародні шлюби</w:t>
      </w:r>
      <w:r w:rsidRPr="00511005">
        <w:rPr>
          <w:rFonts w:ascii="Arial" w:eastAsia="Times New Roman" w:hAnsi="Arial" w:cs="Arial"/>
          <w:szCs w:val="28"/>
          <w:lang w:val="uk-UA" w:eastAsia="ru-RU"/>
        </w:rPr>
        <w:t xml:space="preserve"> та розглянути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чому виникають правові суперечності, і які підходи існують для їх вирішення.</w:t>
      </w:r>
    </w:p>
    <w:p w14:paraId="56A1C69A" w14:textId="0573D075"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Шлюб із іноземним елементом може бути зареєстрований як у рідній країні одного з партнерів, так і за кордоном. Те, наскільки такий шлюб вважається дійсним, залежить не лише від законів країни, де його укладають, а й від міжнародних правових норм.</w:t>
      </w:r>
      <w:r w:rsidRPr="00511005">
        <w:rPr>
          <w:rFonts w:ascii="Arial" w:eastAsia="Times New Roman" w:hAnsi="Arial" w:cs="Arial"/>
          <w:szCs w:val="28"/>
          <w:lang w:val="uk-UA" w:eastAsia="ru-RU"/>
        </w:rPr>
        <w:t xml:space="preserve"> 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деяких державах існують суворі правила: обмеження за віком, необхідність офіційного дозволу від державних органів, релігійні та соціальні обмеження. Водночас</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є країни, де вимоги до шлюбу набагато м’якші </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1</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w:t>
      </w:r>
      <w:r w:rsidRPr="00511005">
        <w:rPr>
          <w:rFonts w:ascii="Arial" w:eastAsia="Times New Roman" w:hAnsi="Arial" w:cs="Arial"/>
          <w:szCs w:val="28"/>
          <w:lang w:val="uk-UA" w:eastAsia="ru-RU"/>
        </w:rPr>
        <w:t xml:space="preserve"> Наприклад, у таких країнах, як Японія, Єгипет, Тайвань та Пуерто-Ріко, встановлено підвищений мінімальний шлюбний вік — від 20 до 21 року для чоловіків і жінок, що перевищує загальноприйнятий у більшості держав показник у 18 років. У</w:t>
      </w:r>
      <w:r w:rsidRPr="00511005">
        <w:rPr>
          <w:rFonts w:ascii="Arial" w:eastAsia="Times New Roman" w:hAnsi="Arial" w:cs="Arial"/>
          <w:szCs w:val="28"/>
          <w:lang w:eastAsia="ru-RU"/>
        </w:rPr>
        <w:t xml:space="preserve"> ОАЕ шлюб може бути укладений з досягненням 18-річного віку. Водночас, якщо різниця у віці між нареченим і нареченою є значною (зокрема, якщо вік чоловіка удвічі перевищує вік жінки), обов’язковою умовою є отримання дозволу судової інстанції.</w:t>
      </w:r>
      <w:r w:rsidRPr="00511005">
        <w:rPr>
          <w:rFonts w:ascii="Arial" w:eastAsia="Times New Roman" w:hAnsi="Arial" w:cs="Arial"/>
          <w:szCs w:val="28"/>
          <w:lang w:val="uk-UA" w:eastAsia="ru-RU"/>
        </w:rPr>
        <w:t xml:space="preserve"> Щодо необхідності офіційного дозволу від державних органів, то слід навести приклади таких країн як</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Німеччина чи Австрія, де перед укладенням шлюбу обов’язковим є отримання спеціальної шлюбної ліцензії. Видача такої ліцензії передбачає попередню перевірку поданих документів та обставин майбутнього шлюбу. Процедура може тривати від двох до шести місяців, залежно від складності ситуації та повноти наданої інформації. Релігійні та соціальні обмеження діють у ОАЕ , які забороняють укладення одностатевих шлюбів, а також спільне проживання осіб різної </w:t>
      </w:r>
      <w:r w:rsidRPr="00511005">
        <w:rPr>
          <w:rFonts w:ascii="Arial" w:eastAsia="Times New Roman" w:hAnsi="Arial" w:cs="Arial"/>
          <w:szCs w:val="28"/>
          <w:lang w:val="uk-UA" w:eastAsia="ru-RU"/>
        </w:rPr>
        <w:lastRenderedPageBreak/>
        <w:t>статі до офіційної реєстрації шлюбу. Порушення цих норм може мати наслідком кримінального переслідування. А у Франції для осіб, які бажають укласти шлюб, встановлено обов’язкову умову попереднього проживання на території країни протягом щонайменше трьох місяців до моменту офіційної реєстрації шлюбу</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3</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w:t>
      </w:r>
    </w:p>
    <w:p w14:paraId="174CD72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Юридичні складнощі — або колізії — можуть виникати ще до самого укладення шлюбу. Обмірковуючи більш детальніше, якщо один з майбутнього подружжя — громадянин України, а інший — іноземець, то при укладенні шлюбу в Україні потрібно дотримуватись норм Сімейного кодексу України. Іноземець, своєю чергою, має надати офіційні документи, зокрема довідку про відсутність перешкод до шлюбу. Ці документи повинні бути легалізовані або апостильовані згідно з міжнародними правилами, щоб їх визнали в Україні </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5</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w:t>
      </w:r>
    </w:p>
    <w:p w14:paraId="79E647B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Особливу увагу слід приділити питанням визнання шлюбів, укладених за кордоном. Українське законодавство визнає такі шлюби дійсними за умови їх відповідності нормам Сімейного кодексу України та міжнародним договорам. Наприклад, якщо шлюб укладено в країні, де дозволені одностатеві союзи, Україна не визнає такий союз як шлюб через невідповідність національному законодавству.</w:t>
      </w:r>
    </w:p>
    <w:p w14:paraId="1259DD7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Щодо розірвання шлюбів з іноземним елементом , то це є складнішим процесом через необхідність врахування не лише національного законодавства, але й норм міжнародного приватного права </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2; с.91</w:t>
      </w:r>
      <w:r w:rsidRPr="00511005">
        <w:rPr>
          <w:rFonts w:ascii="Arial" w:hAnsi="Arial" w:cs="Arial"/>
          <w:szCs w:val="28"/>
          <w:shd w:val="clear" w:color="auto" w:fill="FFFFFF"/>
          <w:lang w:eastAsia="ru-RU"/>
        </w:rPr>
        <w:t>]</w:t>
      </w:r>
      <w:r w:rsidRPr="00511005">
        <w:rPr>
          <w:rFonts w:ascii="Arial" w:eastAsia="Times New Roman" w:hAnsi="Arial" w:cs="Arial"/>
          <w:szCs w:val="28"/>
          <w:lang w:val="uk-UA" w:eastAsia="ru-RU"/>
        </w:rPr>
        <w:t xml:space="preserve">. Основне правило полягає в тому, що розірвання шлюбу здійснюється відповідно до законодавства тієї країни, де подано заяву про розлучення. В Україні процедура розірвання шлюбу регулюється Сімейним кодексом України. Якщо один із подружжя є іноземцем або проживає за кордоном, суди України застосовують колізійні норми для визначення права, яке має бути застосоване до конкретної ситуації та розлучення може бути ініційоване в українському суді </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1</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w:t>
      </w:r>
      <w:r w:rsidRPr="00511005">
        <w:rPr>
          <w:rFonts w:ascii="Arial" w:eastAsia="Times New Roman" w:hAnsi="Arial" w:cs="Arial"/>
          <w:szCs w:val="28"/>
          <w:lang w:val="uk-UA" w:eastAsia="ru-RU"/>
        </w:rPr>
        <w:t xml:space="preserve"> Щодо прикладу, то відповідно до</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ч. 4 ст. 280 Сімейного кодексу, громадянин України, який проживає за межами України, має право звернутися з позовом про розірвання шлюбу до суду України, якщо другий з подружжя, незалежно від його громадянства, проживає за межами України. Наведене правило закріплене з метою захисту прав й інтересів насамперед громадян України, що уклали шлюб із іноземцями, законодавство країни громадянства яких забороняє розірвання шлюбу. Подібне розірвання, будучи дійсним в Україні, може бути невизнаним у країні проживання колишнього подружжя, якщо відсутні відповідні уніфіковані колізійні норми. З іншого боку, відповідно до</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ч. 1 ст. 280 Сімейного кодексу України</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 xml:space="preserve">розірвання шлюбу між громадянином України та іноземцем, здійснене за межами України за законом відповідної держави, є дійсним в Україні, якщо в момент розірвання шлюбу хоча б один із подружжя проживав за межами України </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4</w:t>
      </w:r>
      <w:r w:rsidRPr="00511005">
        <w:rPr>
          <w:rFonts w:ascii="Arial" w:hAnsi="Arial" w:cs="Arial"/>
          <w:szCs w:val="28"/>
          <w:shd w:val="clear" w:color="auto" w:fill="FFFFFF"/>
          <w:lang w:val="uk-UA" w:eastAsia="ru-RU"/>
        </w:rPr>
        <w:t>]</w:t>
      </w:r>
      <w:r w:rsidRPr="00511005">
        <w:rPr>
          <w:rFonts w:ascii="Arial" w:eastAsia="Times New Roman" w:hAnsi="Arial" w:cs="Arial"/>
          <w:szCs w:val="28"/>
          <w:shd w:val="clear" w:color="auto" w:fill="FFFFFF"/>
          <w:lang w:val="uk-UA" w:eastAsia="ru-RU"/>
        </w:rPr>
        <w:t>.</w:t>
      </w:r>
    </w:p>
    <w:p w14:paraId="1C92220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Міжнародні договори мають важливу роль у вирішенні таких питань. Наприклад, угоди між Україною та іншими країнами можуть спрощувати процес визнання рішень про розлучення або визначати, який суд має юрисдикцію у таких справах.</w:t>
      </w:r>
    </w:p>
    <w:p w14:paraId="2D3053C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Однак одна з головних проблем полягає в тому, що різні країни мають дуже різні підходи до сімейних відносин</w:t>
      </w:r>
      <w:r w:rsidRPr="00511005">
        <w:rPr>
          <w:rFonts w:ascii="Arial" w:eastAsia="Times New Roman" w:hAnsi="Arial" w:cs="Arial"/>
          <w:szCs w:val="28"/>
          <w:lang w:val="uk-UA" w:eastAsia="ru-RU"/>
        </w:rPr>
        <w:t>:</w:t>
      </w:r>
    </w:p>
    <w:p w14:paraId="320B3FC7" w14:textId="77777777" w:rsidR="00220D3E" w:rsidRPr="00511005" w:rsidRDefault="00220D3E" w:rsidP="003F6A5D">
      <w:pPr>
        <w:numPr>
          <w:ilvl w:val="0"/>
          <w:numId w:val="182"/>
        </w:numPr>
        <w:tabs>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У деяких країнах дозволено багатожонство чи дитячі шлюби, що суперечить українським законам.(Саудівіська Аравія і Нігерія характерна легалізованой полігамією, що</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не визнається Україною</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та порушує ст. 21 СКУ)</w:t>
      </w:r>
    </w:p>
    <w:p w14:paraId="749A957F" w14:textId="77777777" w:rsidR="00220D3E" w:rsidRPr="00511005" w:rsidRDefault="00220D3E" w:rsidP="003F6A5D">
      <w:pPr>
        <w:numPr>
          <w:ilvl w:val="0"/>
          <w:numId w:val="183"/>
        </w:num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Одностатеві шлюби є законними в багатьох країнах, прикладом є Нідерланди чи Бельгія, де повноцінне визнання одностатевих шлюбів</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з 2001–2003 років, але в Україні це все ще заборонено.</w:t>
      </w:r>
    </w:p>
    <w:p w14:paraId="69663207" w14:textId="69E43410" w:rsidR="00220D3E" w:rsidRPr="00511005" w:rsidRDefault="00220D3E" w:rsidP="003F6A5D">
      <w:pPr>
        <w:numPr>
          <w:ilvl w:val="0"/>
          <w:numId w:val="184"/>
        </w:numPr>
        <w:tabs>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Умови для розірвання шлюбу теж різняться: в одних країнах потрібно пройти тривалу судову процедуру або пройти медіацію перед розлученням: До 2019 року законодавство Ірландії</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вимагало обов’язкового періоду окремого проживання подружжя тривалістю щонайменше чотири роки перед зверненням до суду з позовом про розірвання шлюбу. У Італії та Філіпінах перед зверненням до суду щодо розлучення обов’язковим етапом є проходження процедури медіації, тоді як в Україні вона має лише рекомендаційний характер. У ОАЕ розгляд справ про розірвання шлюбу здійснюється протягом щонайменше трьох місяців та вимагає особистої присутності обох сторін. </w:t>
      </w:r>
      <w:r w:rsidRPr="00511005">
        <w:rPr>
          <w:rFonts w:ascii="Arial" w:eastAsia="Times New Roman" w:hAnsi="Arial" w:cs="Arial"/>
          <w:szCs w:val="28"/>
          <w:lang w:eastAsia="ru-RU"/>
        </w:rPr>
        <w:t xml:space="preserve">Крім того, у разі участі іноземців обов’язковим є переклад усіх документів арабською мовою </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1</w:t>
      </w:r>
      <w:r w:rsidRPr="00511005">
        <w:rPr>
          <w:rFonts w:ascii="Arial"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w:t>
      </w:r>
    </w:p>
    <w:p w14:paraId="109A315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Ще одним викликом є те, що сучасне право не завжди встигає за новими формами сімейних відносин. Наприклад, не всі країни визнають цивільні партнерства або шлюби з участю осіб, які ідентифікують себе як третій гендер. Через це виникає багато невизначеностей у правозастосуванні.</w:t>
      </w:r>
    </w:p>
    <w:p w14:paraId="0664186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Отже,</w:t>
      </w:r>
      <w:r w:rsidRPr="00511005">
        <w:rPr>
          <w:rFonts w:ascii="Arial" w:hAnsi="Arial" w:cs="Arial"/>
          <w:szCs w:val="28"/>
          <w:lang w:eastAsia="ru-RU"/>
        </w:rPr>
        <w:t xml:space="preserve"> правові суперечності щодо визнання та розірвання шлюбів із «міжнародним компонентом» і далі залишаються складним викликом для сучасного права. Проблема полягає в тому, що країни мають різні уявлення про те, яким має бути шлюб — як щодо його укладення, так і щодо розлучення. Ці відмінності ще більше ускладнюються, коли йдеться про нові форми сімейних стосунків, як-от цивільні партнерства, одностатеві шлюби чи союзи з участю людей із нетрадиційною гендерною ідентичністю. Те, що в одній країні вважається нормою, в іншій може не визн</w:t>
      </w:r>
      <w:r w:rsidRPr="00511005">
        <w:rPr>
          <w:rFonts w:ascii="Arial" w:eastAsia="Times New Roman" w:hAnsi="Arial" w:cs="Arial"/>
          <w:szCs w:val="28"/>
          <w:lang w:val="uk-UA" w:eastAsia="ru-RU"/>
        </w:rPr>
        <w:t xml:space="preserve">аватися взагалі. </w:t>
      </w:r>
      <w:r w:rsidRPr="00511005">
        <w:rPr>
          <w:rFonts w:ascii="Arial" w:hAnsi="Arial" w:cs="Arial"/>
          <w:szCs w:val="28"/>
          <w:lang w:val="uk-UA" w:eastAsia="ru-RU"/>
        </w:rPr>
        <w:t>Для ефективного вирішення таких правових конфліктів необхідне як вдосконалення внутрішнього законодавства, так і міжнародна співпраця, спрямована на узгодження підходів та підвищення передбачуваності правових рішень у транскордонних ситуаціях.</w:t>
      </w:r>
    </w:p>
    <w:p w14:paraId="4907C3B6" w14:textId="77777777" w:rsidR="00220D3E" w:rsidRPr="00511005" w:rsidRDefault="00220D3E" w:rsidP="003A292D">
      <w:pPr>
        <w:tabs>
          <w:tab w:val="left" w:pos="709"/>
        </w:tabs>
        <w:spacing w:line="264" w:lineRule="auto"/>
        <w:rPr>
          <w:rFonts w:ascii="Arial" w:hAnsi="Arial" w:cs="Arial"/>
          <w:szCs w:val="28"/>
          <w:lang w:val="uk-UA" w:eastAsia="ru-RU"/>
        </w:rPr>
      </w:pPr>
    </w:p>
    <w:p w14:paraId="49EBF6BB" w14:textId="6619998E"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lastRenderedPageBreak/>
        <w:t>Список використаних джерел</w:t>
      </w:r>
    </w:p>
    <w:p w14:paraId="7C65470F" w14:textId="77777777" w:rsidR="00220D3E" w:rsidRPr="00511005" w:rsidRDefault="00220D3E" w:rsidP="003F6A5D">
      <w:pPr>
        <w:numPr>
          <w:ilvl w:val="0"/>
          <w:numId w:val="181"/>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Барановська Т., Чарченко Є., Кондратенко Д. Колізійні аспекти реалізації права на шлюб у міжнародному приватному праві. </w:t>
      </w:r>
      <w:r w:rsidRPr="00511005">
        <w:rPr>
          <w:rFonts w:ascii="Arial" w:eastAsia="Times New Roman" w:hAnsi="Arial" w:cs="Arial"/>
          <w:i/>
          <w:iCs/>
          <w:szCs w:val="28"/>
          <w:lang w:eastAsia="ru-RU"/>
        </w:rPr>
        <w:t>Електронне наукове видання "Аналітично-порівняльне правознавство"</w:t>
      </w:r>
      <w:r w:rsidRPr="00511005">
        <w:rPr>
          <w:rFonts w:ascii="Arial" w:eastAsia="Times New Roman" w:hAnsi="Arial" w:cs="Arial"/>
          <w:szCs w:val="28"/>
          <w:lang w:eastAsia="ru-RU"/>
        </w:rPr>
        <w:t>. 2020. №</w:t>
      </w:r>
      <w:proofErr w:type="gramStart"/>
      <w:r w:rsidRPr="00511005">
        <w:rPr>
          <w:rFonts w:ascii="Arial" w:eastAsia="Times New Roman" w:hAnsi="Arial" w:cs="Arial"/>
          <w:szCs w:val="28"/>
          <w:lang w:eastAsia="ru-RU"/>
        </w:rPr>
        <w:t>2.С.</w:t>
      </w:r>
      <w:proofErr w:type="gramEnd"/>
      <w:r w:rsidRPr="00511005">
        <w:rPr>
          <w:rFonts w:ascii="Arial" w:eastAsia="Times New Roman" w:hAnsi="Arial" w:cs="Arial"/>
          <w:szCs w:val="28"/>
          <w:lang w:eastAsia="ru-RU"/>
        </w:rPr>
        <w:t> 387–391.</w:t>
      </w:r>
    </w:p>
    <w:p w14:paraId="54641690" w14:textId="77777777" w:rsidR="00220D3E" w:rsidRPr="00511005" w:rsidRDefault="00220D3E" w:rsidP="003F6A5D">
      <w:pPr>
        <w:numPr>
          <w:ilvl w:val="0"/>
          <w:numId w:val="181"/>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Чубарєв В. Л. Міжнародне приватне </w:t>
      </w:r>
      <w:proofErr w:type="gramStart"/>
      <w:r w:rsidRPr="00511005">
        <w:rPr>
          <w:rFonts w:ascii="Arial" w:eastAsia="Times New Roman" w:hAnsi="Arial" w:cs="Arial"/>
          <w:szCs w:val="28"/>
          <w:lang w:eastAsia="ru-RU"/>
        </w:rPr>
        <w:t>право :</w:t>
      </w:r>
      <w:proofErr w:type="gramEnd"/>
      <w:r w:rsidRPr="00511005">
        <w:rPr>
          <w:rFonts w:ascii="Arial" w:eastAsia="Times New Roman" w:hAnsi="Arial" w:cs="Arial"/>
          <w:szCs w:val="28"/>
          <w:lang w:eastAsia="ru-RU"/>
        </w:rPr>
        <w:t xml:space="preserve"> навч. посіб. </w:t>
      </w:r>
      <w:proofErr w:type="gramStart"/>
      <w:r w:rsidRPr="00511005">
        <w:rPr>
          <w:rFonts w:ascii="Arial" w:eastAsia="Times New Roman" w:hAnsi="Arial" w:cs="Arial"/>
          <w:szCs w:val="28"/>
          <w:lang w:eastAsia="ru-RU"/>
        </w:rPr>
        <w:t>Київ :</w:t>
      </w:r>
      <w:proofErr w:type="gramEnd"/>
      <w:r w:rsidRPr="00511005">
        <w:rPr>
          <w:rFonts w:ascii="Arial" w:eastAsia="Times New Roman" w:hAnsi="Arial" w:cs="Arial"/>
          <w:szCs w:val="28"/>
          <w:lang w:eastAsia="ru-RU"/>
        </w:rPr>
        <w:t xml:space="preserve"> Атіка, 2008. 608 с.</w:t>
      </w:r>
    </w:p>
    <w:p w14:paraId="1EC285EE" w14:textId="77777777" w:rsidR="00220D3E" w:rsidRPr="00511005" w:rsidRDefault="00220D3E" w:rsidP="003F6A5D">
      <w:pPr>
        <w:numPr>
          <w:ilvl w:val="0"/>
          <w:numId w:val="181"/>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Правила укладання шлюбу за кордоном у 2025 році. </w:t>
      </w:r>
      <w:r w:rsidRPr="00511005">
        <w:rPr>
          <w:rFonts w:ascii="Arial" w:eastAsia="Times New Roman" w:hAnsi="Arial" w:cs="Arial"/>
          <w:i/>
          <w:iCs/>
          <w:szCs w:val="28"/>
          <w:lang w:eastAsia="ru-RU"/>
        </w:rPr>
        <w:t xml:space="preserve">Migrant.biz.ua </w:t>
      </w:r>
      <w:r w:rsidRPr="00511005">
        <w:rPr>
          <w:rFonts w:ascii="Arial" w:eastAsia="Times New Roman" w:hAnsi="Arial" w:cs="Arial"/>
          <w:szCs w:val="28"/>
          <w:lang w:eastAsia="ru-RU"/>
        </w:rPr>
        <w:t>URL: </w:t>
      </w:r>
      <w:hyperlink r:id="rId644" w:tgtFrame="https://www.grafiati.com/uk/_blank" w:history="1">
        <w:r w:rsidRPr="00511005">
          <w:rPr>
            <w:rFonts w:ascii="Arial" w:eastAsia="Times New Roman" w:hAnsi="Arial" w:cs="Arial"/>
            <w:szCs w:val="28"/>
            <w:lang w:eastAsia="ru-RU"/>
          </w:rPr>
          <w:t>https://migrant.biz.ua/dovidkova/emigracia/shliub-za-kordonom.html</w:t>
        </w:r>
      </w:hyperlink>
      <w:r w:rsidRPr="00511005">
        <w:rPr>
          <w:rFonts w:ascii="Arial" w:eastAsia="Times New Roman" w:hAnsi="Arial" w:cs="Arial"/>
          <w:szCs w:val="28"/>
          <w:lang w:eastAsia="ru-RU"/>
        </w:rPr>
        <w:t> (дата звернення: 13.04.2025).</w:t>
      </w:r>
    </w:p>
    <w:p w14:paraId="2798B95B" w14:textId="77777777" w:rsidR="00220D3E" w:rsidRPr="00511005" w:rsidRDefault="00220D3E" w:rsidP="003F6A5D">
      <w:pPr>
        <w:numPr>
          <w:ilvl w:val="0"/>
          <w:numId w:val="181"/>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Розлучення з іноземцем в Україні: правда чи міф? </w:t>
      </w:r>
      <w:r w:rsidRPr="00511005">
        <w:rPr>
          <w:rFonts w:ascii="Arial" w:eastAsia="Times New Roman" w:hAnsi="Arial" w:cs="Arial"/>
          <w:i/>
          <w:iCs/>
          <w:szCs w:val="28"/>
          <w:lang w:eastAsia="ru-RU"/>
        </w:rPr>
        <w:t>Безоплатна правова допомога</w:t>
      </w:r>
      <w:r w:rsidRPr="00511005">
        <w:rPr>
          <w:rFonts w:ascii="Arial" w:eastAsia="Times New Roman" w:hAnsi="Arial" w:cs="Arial"/>
          <w:szCs w:val="28"/>
          <w:lang w:eastAsia="ru-RU"/>
        </w:rPr>
        <w:t>. URL: </w:t>
      </w:r>
      <w:hyperlink r:id="rId645" w:tgtFrame="https://www.grafiati.com/uk/_blank" w:history="1">
        <w:r w:rsidRPr="00511005">
          <w:rPr>
            <w:rFonts w:ascii="Arial" w:eastAsia="Times New Roman" w:hAnsi="Arial" w:cs="Arial"/>
            <w:szCs w:val="28"/>
            <w:lang w:eastAsia="ru-RU"/>
          </w:rPr>
          <w:t>https://legalaid.gov.ua/publikatsiyi/rozluchennya-z-inozemtsem-v-ukrayini-pravda-chy-mif/?utm_source=</w:t>
        </w:r>
      </w:hyperlink>
      <w:r w:rsidRPr="00511005">
        <w:rPr>
          <w:rFonts w:ascii="Arial" w:eastAsia="Times New Roman" w:hAnsi="Arial" w:cs="Arial"/>
          <w:szCs w:val="28"/>
          <w:lang w:eastAsia="ru-RU"/>
        </w:rPr>
        <w:t> (дата звернення: 13.04.2025).</w:t>
      </w:r>
    </w:p>
    <w:p w14:paraId="290B8CE3" w14:textId="77777777" w:rsidR="00220D3E" w:rsidRPr="00511005" w:rsidRDefault="00220D3E" w:rsidP="003F6A5D">
      <w:pPr>
        <w:numPr>
          <w:ilvl w:val="0"/>
          <w:numId w:val="181"/>
        </w:numPr>
        <w:tabs>
          <w:tab w:val="left" w:pos="709"/>
        </w:tabs>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Чи існують в інших державах обмеження щодо розірвання шлюбу? </w:t>
      </w:r>
      <w:r w:rsidRPr="00511005">
        <w:rPr>
          <w:rFonts w:ascii="Arial" w:eastAsia="Times New Roman" w:hAnsi="Arial" w:cs="Arial"/>
          <w:i/>
          <w:iCs/>
          <w:szCs w:val="28"/>
          <w:lang w:eastAsia="ru-RU"/>
        </w:rPr>
        <w:t>Jurfem</w:t>
      </w:r>
      <w:r w:rsidRPr="00511005">
        <w:rPr>
          <w:rFonts w:ascii="Arial" w:eastAsia="Times New Roman" w:hAnsi="Arial" w:cs="Arial"/>
          <w:szCs w:val="28"/>
          <w:lang w:eastAsia="ru-RU"/>
        </w:rPr>
        <w:t>. URL: </w:t>
      </w:r>
      <w:hyperlink r:id="rId646" w:tgtFrame="https://www.grafiati.com/uk/_blank" w:history="1">
        <w:r w:rsidRPr="00511005">
          <w:rPr>
            <w:rFonts w:ascii="Arial" w:eastAsia="Times New Roman" w:hAnsi="Arial" w:cs="Arial"/>
            <w:szCs w:val="28"/>
            <w:lang w:eastAsia="ru-RU"/>
          </w:rPr>
          <w:t>https://jurfem.com.ua/chy-isnuut-v-inshyh-derzhavah-obmezhennya-shodo-rozirvannya-shlubu/</w:t>
        </w:r>
      </w:hyperlink>
      <w:r w:rsidRPr="00511005">
        <w:rPr>
          <w:rFonts w:ascii="Arial" w:eastAsia="Times New Roman" w:hAnsi="Arial" w:cs="Arial"/>
          <w:szCs w:val="28"/>
          <w:lang w:eastAsia="ru-RU"/>
        </w:rPr>
        <w:t> (дата звернення: 13.04.2025).</w:t>
      </w:r>
    </w:p>
    <w:p w14:paraId="08C249F7" w14:textId="77777777" w:rsidR="007B2628" w:rsidRPr="00511005" w:rsidRDefault="00220D3E" w:rsidP="003F6A5D">
      <w:pPr>
        <w:numPr>
          <w:ilvl w:val="0"/>
          <w:numId w:val="181"/>
        </w:numPr>
        <w:tabs>
          <w:tab w:val="left" w:pos="709"/>
        </w:tabs>
        <w:spacing w:line="264" w:lineRule="auto"/>
        <w:jc w:val="left"/>
        <w:rPr>
          <w:rFonts w:ascii="Arial" w:eastAsia="Times New Roman" w:hAnsi="Arial" w:cs="Arial"/>
          <w:szCs w:val="28"/>
          <w:lang w:val="en-US" w:eastAsia="ru-RU"/>
        </w:rPr>
      </w:pPr>
      <w:r w:rsidRPr="00511005">
        <w:rPr>
          <w:rFonts w:ascii="Arial" w:eastAsia="Times New Roman" w:hAnsi="Arial" w:cs="Arial"/>
          <w:szCs w:val="28"/>
          <w:lang w:eastAsia="ru-RU"/>
        </w:rPr>
        <w:t>Як визнати шлюб, укладений за кордоном, в Україні</w:t>
      </w:r>
      <w:r w:rsidRPr="00511005">
        <w:rPr>
          <w:rFonts w:ascii="Arial" w:eastAsia="Times New Roman" w:hAnsi="Arial" w:cs="Arial"/>
          <w:szCs w:val="28"/>
          <w:lang w:val="uk-UA" w:eastAsia="ru-RU"/>
        </w:rPr>
        <w:t xml:space="preserve">. </w:t>
      </w:r>
      <w:r w:rsidRPr="00511005">
        <w:rPr>
          <w:rFonts w:ascii="Arial" w:eastAsia="Times New Roman" w:hAnsi="Arial" w:cs="Arial"/>
          <w:i/>
          <w:iCs/>
          <w:szCs w:val="28"/>
          <w:lang w:val="en-US" w:eastAsia="ru-RU"/>
        </w:rPr>
        <w:t>Family Law Help</w:t>
      </w:r>
      <w:r w:rsidRPr="00511005">
        <w:rPr>
          <w:rFonts w:ascii="Arial" w:eastAsia="Times New Roman" w:hAnsi="Arial" w:cs="Arial"/>
          <w:szCs w:val="28"/>
          <w:lang w:val="en-US" w:eastAsia="ru-RU"/>
        </w:rPr>
        <w:t>. URL: </w:t>
      </w:r>
      <w:hyperlink r:id="rId647" w:tgtFrame="https://www.grafiati.com/uk/_blank" w:history="1">
        <w:r w:rsidRPr="00511005">
          <w:rPr>
            <w:rFonts w:ascii="Arial" w:eastAsia="Times New Roman" w:hAnsi="Arial" w:cs="Arial"/>
            <w:szCs w:val="28"/>
            <w:lang w:val="en-US" w:eastAsia="ru-RU"/>
          </w:rPr>
          <w:t>https://familylawhelp.com.ua/yak-viznati-shlyub-ukladenij-za-kordonom-v-ukra</w:t>
        </w:r>
        <w:r w:rsidRPr="00511005">
          <w:rPr>
            <w:rFonts w:ascii="Arial" w:eastAsia="Times New Roman" w:hAnsi="Arial" w:cs="Arial"/>
            <w:szCs w:val="28"/>
            <w:lang w:eastAsia="ru-RU"/>
          </w:rPr>
          <w:t>ї</w:t>
        </w:r>
        <w:r w:rsidRPr="00511005">
          <w:rPr>
            <w:rFonts w:ascii="Arial" w:eastAsia="Times New Roman" w:hAnsi="Arial" w:cs="Arial"/>
            <w:szCs w:val="28"/>
            <w:lang w:val="en-US" w:eastAsia="ru-RU"/>
          </w:rPr>
          <w:t>ni/</w:t>
        </w:r>
      </w:hyperlink>
      <w:r w:rsidRPr="00511005">
        <w:rPr>
          <w:rFonts w:ascii="Arial" w:eastAsia="Times New Roman" w:hAnsi="Arial" w:cs="Arial"/>
          <w:szCs w:val="28"/>
          <w:lang w:val="en-US" w:eastAsia="ru-RU"/>
        </w:rPr>
        <w:t> (</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13.04.2025).</w:t>
      </w:r>
    </w:p>
    <w:p w14:paraId="25C1434A" w14:textId="555F5C0F" w:rsidR="007B2628"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колізійна норма, шлюбно-сімейні відносини, сімейні правовідносини, іноземний елемент, міжнародне приватне право.</w:t>
      </w:r>
    </w:p>
    <w:p w14:paraId="51B2A0ED" w14:textId="54F05BD9"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conflict of laws rule, marriage and family relations, family legal relations, foreign element, private international law.</w:t>
      </w:r>
    </w:p>
    <w:p w14:paraId="4CD47D30" w14:textId="313F708D" w:rsidR="00220D3E" w:rsidRPr="00511005" w:rsidRDefault="007B2628" w:rsidP="003A292D">
      <w:pPr>
        <w:tabs>
          <w:tab w:val="left" w:pos="142"/>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 xml:space="preserve">асистент </w:t>
      </w:r>
      <w:r w:rsidR="00220D3E" w:rsidRPr="00511005">
        <w:rPr>
          <w:rFonts w:ascii="Arial" w:eastAsia="Times New Roman" w:hAnsi="Arial" w:cs="Arial"/>
          <w:i/>
          <w:szCs w:val="28"/>
          <w:lang w:val="uk-UA" w:eastAsia="ru-RU"/>
        </w:rPr>
        <w:t xml:space="preserve">кафедри </w:t>
      </w:r>
      <w:r w:rsidR="00220D3E" w:rsidRPr="00511005">
        <w:rPr>
          <w:rFonts w:ascii="Arial" w:eastAsia="Times New Roman" w:hAnsi="Arial" w:cs="Arial"/>
          <w:i/>
          <w:szCs w:val="28"/>
          <w:lang w:eastAsia="ru-RU"/>
        </w:rPr>
        <w:t>Бугаєць А.С.</w:t>
      </w:r>
    </w:p>
    <w:p w14:paraId="0ED37328" w14:textId="77777777" w:rsidR="00220D3E" w:rsidRPr="00511005" w:rsidRDefault="00220D3E" w:rsidP="003A292D">
      <w:pPr>
        <w:tabs>
          <w:tab w:val="left" w:pos="709"/>
        </w:tabs>
        <w:spacing w:line="264" w:lineRule="auto"/>
        <w:ind w:firstLine="0"/>
        <w:jc w:val="left"/>
        <w:rPr>
          <w:rFonts w:ascii="Arial" w:eastAsia="Times New Roman" w:hAnsi="Arial" w:cs="Arial"/>
          <w:b/>
          <w:bCs/>
          <w:i/>
          <w:iCs/>
          <w:szCs w:val="28"/>
          <w:lang w:val="uk-UA" w:eastAsia="ru-RU"/>
        </w:rPr>
      </w:pPr>
    </w:p>
    <w:p w14:paraId="60F57B67"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 xml:space="preserve">Рачок Анна Ігорівна </w:t>
      </w:r>
    </w:p>
    <w:p w14:paraId="6B9A9E98" w14:textId="4FA480CF"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25C31106"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770EAEC"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1C6D324"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339ED0DD"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bookmarkStart w:id="56" w:name="OLE_LINK2"/>
      <w:r w:rsidRPr="00511005">
        <w:rPr>
          <w:rFonts w:ascii="Arial" w:eastAsia="Times New Roman" w:hAnsi="Arial" w:cs="Arial"/>
          <w:b/>
          <w:bCs/>
          <w:szCs w:val="28"/>
          <w:lang w:val="uk-UA" w:eastAsia="ru-RU"/>
        </w:rPr>
        <w:t>ОКРЕМІ АСПЕКТИ ЩОДО ОСОБЛИВОСТІ МІЖНАРОДНО-ПРАВОВИХ СТАНДАРТІВ ПРАВ ЛЮДИНИ</w:t>
      </w:r>
      <w:bookmarkEnd w:id="56"/>
    </w:p>
    <w:p w14:paraId="6EBF7E6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Забезпечення прав і свобод людини є одним із фундаментальних принципів сучасного демократичного суспільства та ключовим орієнтиром у діяльності як національних, так і міжнародних інституцій. У контексті глобалізації, активного розвитку міжнародного права та посилення міждержавної співпраці, особливого значення набуває дотримання міжнародно-правових стандартів у сфері прав людини. Ці стандарти сформовані на основі загальновизнаних принципів гуманізму, поваги до людської гідності, рівності та недискримінації, і вони є орієнтиром для правових систем держав світу.</w:t>
      </w:r>
    </w:p>
    <w:p w14:paraId="4360561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Міжнародно-правові стандарти у сфері прав людини слід розуміти як закріплені в міжнародних договорах, конвенціях та інших правових актах узагальнені підходи до визначення обсягу прав, якими повинна володіти кожна особа. Вони встановлюють певний мінімум гарантій і водночас формують позитивні обов’язки держав щодо реалізації, охорони та захисту цих прав. До таких стандартів відносять як загальновизнані норми, що діють на універсальному рівні, так і регіональні механізми, які враховують специфіку певних правових систем [1]. </w:t>
      </w:r>
    </w:p>
    <w:p w14:paraId="61D4483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Серед ключових характеристик міжнародно-правових стандартів слід виокремити їхню уніфіковану текстову форму, універсальний функціональний характер, а також абстрактність формулювань, що дозволяє застосовувати їх до широкого кола ситуацій. Важливо також, що їх дотримання несе за собою відповідальність — переважно у формі міжнародно-політичного чи політико-юридичного тиску [2]. </w:t>
      </w:r>
    </w:p>
    <w:p w14:paraId="27E329D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Формування таких стандартів є результатом багаторічної роботи міжнародних інституцій, зокрема Організації Об’єднаних Націй, яка приймає ключові документи (такі як Загальна декларація прав людини), створює спеціалізовані комітети та моніторингові органи. Не менш важливим є й внесок регіональних організацій, як-от Рада Європи, що втілила європейські стандарти у Європейській конвенції з прав людини [3].</w:t>
      </w:r>
    </w:p>
    <w:p w14:paraId="50C9F2D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Міжнародні стандарти суттєво впливають на національні правові системи. Українське законодавство активно гармонізується із міжнародно-правовими нормами, що підтверджується як на рівні нормативно-правових актів, так і в правозастосовній практиці судів. Така інтеграція сприяє підвищенню якості захисту прав людини та зміцненню демократичних засад державного управління. </w:t>
      </w:r>
    </w:p>
    <w:p w14:paraId="6E7680C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Крім того, міжнародно-правові стандарти враховують особливі потреби вразливих категорій населення: дітей, жінок, осіб з інвалідністю, біженців, національних меншин. Це забезпечується через прийняття спеціалізованих міжнародних документів — таких як Конвенція про права дитини, Конвенція про права осіб з інвалідністю, Конвенція про ліквідацію всіх форм дискримінації щодо жінок тощо [4]. Таким чином, міжнародні стандарти не є абстрактними — вони мають конкретне, практичне втілення.</w:t>
      </w:r>
    </w:p>
    <w:p w14:paraId="5337BF4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Окремо варто звернути увагу на механізми міжнародного контролю за дотриманням стандартів. Наприклад, Європейський суд з прав людини дає змогу кожній особі, яка вважає себе потерпілою від порушення прав, передбачених Конвенцією, звернутися за захистом [5]. Такий механізм стимулює держави забезпечувати не лише формальне, але й фактичне дотримання прав людини на національному рівні. Також сучасні тенденції свідчать про посилення ролі міжнародного співробітництва у сфері прав людини. Це виражається як у створенні нових міжнародних органів, так і в </w:t>
      </w:r>
      <w:r w:rsidRPr="00511005">
        <w:rPr>
          <w:rFonts w:ascii="Arial" w:eastAsia="Times New Roman" w:hAnsi="Arial" w:cs="Arial"/>
          <w:szCs w:val="28"/>
          <w:lang w:val="uk-UA" w:eastAsia="ru-RU"/>
        </w:rPr>
        <w:lastRenderedPageBreak/>
        <w:t>розробці механізмів обміну інформацією, кращими практиками, а також координації дій у випадках масових або системних порушень прав.</w:t>
      </w:r>
    </w:p>
    <w:p w14:paraId="1CB2681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міжнародно-правові стандарти прав людини є невід’ємною частиною правового простору сучасного світу. Їхнє впровадження, дотримання та розвиток забезпечують реальне функціонування принципу верховенства права, гарантують повагу до людської гідності та сприяють побудові правової держави як в Україні, так і за її межами.</w:t>
      </w:r>
    </w:p>
    <w:p w14:paraId="03508EB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447F6063" w14:textId="4259D886"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65A19D5E" w14:textId="77777777" w:rsidR="00220D3E" w:rsidRPr="00511005" w:rsidRDefault="00220D3E" w:rsidP="003F6A5D">
      <w:pPr>
        <w:numPr>
          <w:ilvl w:val="0"/>
          <w:numId w:val="147"/>
        </w:numPr>
        <w:tabs>
          <w:tab w:val="left" w:pos="709"/>
        </w:tabs>
        <w:spacing w:line="264" w:lineRule="auto"/>
        <w:ind w:left="0" w:firstLine="709"/>
        <w:contextualSpacing/>
        <w:jc w:val="left"/>
        <w:rPr>
          <w:rFonts w:ascii="Arial" w:eastAsia="Calibri" w:hAnsi="Arial" w:cs="Arial"/>
          <w:i/>
          <w:iCs/>
          <w:szCs w:val="28"/>
          <w:lang w:val="uk-UA"/>
        </w:rPr>
      </w:pPr>
      <w:r w:rsidRPr="00511005">
        <w:rPr>
          <w:rFonts w:ascii="Arial" w:eastAsia="Calibri" w:hAnsi="Arial" w:cs="Arial"/>
          <w:szCs w:val="28"/>
          <w:lang w:val="uk-UA"/>
        </w:rPr>
        <w:t xml:space="preserve">Хаустова М.Г. Міжнародні стандарти в контексті євроінтеграції процесів в Україні. </w:t>
      </w:r>
      <w:r w:rsidRPr="00511005">
        <w:rPr>
          <w:rFonts w:ascii="Arial" w:eastAsia="Calibri" w:hAnsi="Arial" w:cs="Arial"/>
          <w:i/>
          <w:iCs/>
          <w:szCs w:val="28"/>
          <w:lang w:val="uk-UA"/>
        </w:rPr>
        <w:t>Вісник Національної академії правових наук України.</w:t>
      </w:r>
      <w:r w:rsidRPr="00511005">
        <w:rPr>
          <w:rFonts w:ascii="Arial" w:eastAsia="Calibri" w:hAnsi="Arial" w:cs="Arial"/>
          <w:szCs w:val="28"/>
          <w:lang w:val="uk-UA"/>
        </w:rPr>
        <w:t xml:space="preserve"> 2017. № 2 (89). С. 43-53</w:t>
      </w:r>
    </w:p>
    <w:p w14:paraId="041F031B" w14:textId="77777777" w:rsidR="00220D3E" w:rsidRPr="00511005" w:rsidRDefault="00220D3E" w:rsidP="003F6A5D">
      <w:pPr>
        <w:numPr>
          <w:ilvl w:val="0"/>
          <w:numId w:val="14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Рабінович П. М. Міжнародні стандарти прав людини: властивості, загальне поняття, класифікація. </w:t>
      </w:r>
      <w:r w:rsidRPr="00511005">
        <w:rPr>
          <w:rFonts w:ascii="Arial" w:eastAsia="Calibri" w:hAnsi="Arial" w:cs="Arial"/>
          <w:i/>
          <w:iCs/>
          <w:szCs w:val="28"/>
          <w:lang w:val="uk-UA"/>
        </w:rPr>
        <w:t xml:space="preserve">Вісник Національної академії правових наук України. </w:t>
      </w:r>
      <w:r w:rsidRPr="00511005">
        <w:rPr>
          <w:rFonts w:ascii="Arial" w:eastAsia="Calibri" w:hAnsi="Arial" w:cs="Arial"/>
          <w:szCs w:val="28"/>
          <w:lang w:val="uk-UA"/>
        </w:rPr>
        <w:t>2016. № 1 (84). С. 19-30</w:t>
      </w:r>
    </w:p>
    <w:p w14:paraId="34C6E220" w14:textId="77777777" w:rsidR="00220D3E" w:rsidRPr="00511005" w:rsidRDefault="00220D3E" w:rsidP="003F6A5D">
      <w:pPr>
        <w:numPr>
          <w:ilvl w:val="0"/>
          <w:numId w:val="14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Ляхівець С. М. Міжнародні правові стандарти: до визначення поняття та видової характеристики. Держава і право. 2011. Вип. 51. С. 666-673</w:t>
      </w:r>
    </w:p>
    <w:p w14:paraId="4CDDABC2" w14:textId="77777777" w:rsidR="00220D3E" w:rsidRPr="00511005" w:rsidRDefault="00220D3E" w:rsidP="003F6A5D">
      <w:pPr>
        <w:numPr>
          <w:ilvl w:val="0"/>
          <w:numId w:val="14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Наливайко Л., Степаненко К. В. Міжнародно-правові стандарти прав людини: навчальний посібник. Дніпро: ДДУВС, 2019. 184 с. </w:t>
      </w:r>
    </w:p>
    <w:p w14:paraId="6F130BEA" w14:textId="77777777" w:rsidR="00220D3E" w:rsidRPr="00511005" w:rsidRDefault="00220D3E" w:rsidP="003F6A5D">
      <w:pPr>
        <w:numPr>
          <w:ilvl w:val="0"/>
          <w:numId w:val="147"/>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Шевчук С. Судовий захист прав людини: Практика Європейського суду з прав людини у контексті західної правової традиції: монографія. Київ: Реферат, 2007. 848 с. </w:t>
      </w:r>
    </w:p>
    <w:p w14:paraId="48BCF310" w14:textId="77777777" w:rsidR="00220D3E" w:rsidRPr="00511005" w:rsidRDefault="00220D3E" w:rsidP="003A292D">
      <w:pPr>
        <w:tabs>
          <w:tab w:val="left" w:pos="709"/>
        </w:tabs>
        <w:spacing w:line="264" w:lineRule="auto"/>
        <w:contextualSpacing/>
        <w:rPr>
          <w:rFonts w:ascii="Arial" w:eastAsia="Calibri" w:hAnsi="Arial" w:cs="Arial"/>
          <w:szCs w:val="28"/>
          <w:lang w:val="uk-UA"/>
        </w:rPr>
      </w:pPr>
    </w:p>
    <w:p w14:paraId="13C58BC0" w14:textId="41516B54"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 xml:space="preserve">міжнародні стандарти, міжнародний захист прав людини, особливості, характеристики, міжнародні інституції. </w:t>
      </w:r>
    </w:p>
    <w:p w14:paraId="1C8EFD8C" w14:textId="40F7A016"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uk-UA" w:eastAsia="ru-RU"/>
        </w:rPr>
        <w:t>international standards, international protection of human rights, features, characteristics, international institutions.</w:t>
      </w:r>
    </w:p>
    <w:p w14:paraId="34A1B190" w14:textId="0F3CF81D"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к.ю.н., доцент</w:t>
      </w:r>
      <w:r w:rsidRPr="00511005">
        <w:rPr>
          <w:rFonts w:ascii="Arial" w:eastAsia="Times New Roman" w:hAnsi="Arial" w:cs="Arial"/>
          <w:i/>
          <w:iCs/>
          <w:szCs w:val="28"/>
          <w:lang w:val="uk-UA" w:eastAsia="ru-RU"/>
        </w:rPr>
        <w:t xml:space="preserve"> </w:t>
      </w:r>
      <w:r w:rsidR="00220D3E" w:rsidRPr="00511005">
        <w:rPr>
          <w:rFonts w:ascii="Arial" w:eastAsia="Times New Roman" w:hAnsi="Arial" w:cs="Arial"/>
          <w:i/>
          <w:iCs/>
          <w:szCs w:val="28"/>
          <w:lang w:val="uk-UA" w:eastAsia="ru-RU"/>
        </w:rPr>
        <w:t>Гриб А.М.</w:t>
      </w:r>
    </w:p>
    <w:p w14:paraId="3A25A2A7" w14:textId="77777777" w:rsidR="00220D3E" w:rsidRPr="00511005" w:rsidRDefault="00220D3E" w:rsidP="003A292D">
      <w:pPr>
        <w:tabs>
          <w:tab w:val="left" w:pos="709"/>
        </w:tabs>
        <w:spacing w:line="264" w:lineRule="auto"/>
        <w:jc w:val="center"/>
        <w:rPr>
          <w:rFonts w:ascii="Arial" w:eastAsia="Times New Roman" w:hAnsi="Arial" w:cs="Arial"/>
          <w:i/>
          <w:iCs/>
          <w:szCs w:val="28"/>
          <w:lang w:val="uk-UA" w:eastAsia="ru-RU"/>
        </w:rPr>
      </w:pPr>
    </w:p>
    <w:p w14:paraId="50DDA321"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Савчук Вікторія Валентинівна</w:t>
      </w:r>
    </w:p>
    <w:p w14:paraId="61C8073F" w14:textId="41D72E56"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4-го курсу </w:t>
      </w:r>
      <w:r w:rsidR="001B7B25" w:rsidRPr="00511005">
        <w:rPr>
          <w:rFonts w:ascii="Arial" w:eastAsia="Times New Roman" w:hAnsi="Arial" w:cs="Arial"/>
          <w:szCs w:val="28"/>
          <w:lang w:eastAsia="ru-RU"/>
        </w:rPr>
        <w:t>факультету судового та міжнародного права</w:t>
      </w:r>
      <w:r w:rsidR="00220D3E" w:rsidRPr="00511005">
        <w:rPr>
          <w:rFonts w:ascii="Arial" w:eastAsia="Times New Roman" w:hAnsi="Arial" w:cs="Arial"/>
          <w:szCs w:val="28"/>
          <w:lang w:eastAsia="ru-RU"/>
        </w:rPr>
        <w:t xml:space="preserve"> </w:t>
      </w:r>
    </w:p>
    <w:p w14:paraId="51CAE90E" w14:textId="44BD50C5"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05BB0E0"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089D65B5" w14:textId="77777777" w:rsidR="00220D3E" w:rsidRPr="00511005" w:rsidRDefault="00220D3E" w:rsidP="003A292D">
      <w:pPr>
        <w:tabs>
          <w:tab w:val="left" w:pos="709"/>
        </w:tabs>
        <w:spacing w:line="264" w:lineRule="auto"/>
        <w:jc w:val="center"/>
        <w:rPr>
          <w:rFonts w:ascii="Arial" w:eastAsia="Times New Roman" w:hAnsi="Arial" w:cs="Arial"/>
          <w:b/>
          <w:bCs/>
          <w:caps/>
          <w:szCs w:val="28"/>
          <w:lang w:val="uk-UA" w:eastAsia="ru-RU"/>
        </w:rPr>
      </w:pPr>
      <w:r w:rsidRPr="00511005">
        <w:rPr>
          <w:rFonts w:ascii="Arial" w:eastAsia="Times New Roman" w:hAnsi="Arial" w:cs="Arial"/>
          <w:b/>
          <w:bCs/>
          <w:caps/>
          <w:szCs w:val="28"/>
          <w:lang w:eastAsia="ru-RU"/>
        </w:rPr>
        <w:t>Роль міжнародних організацій у забезпеченні прав людини в умовах збройних конфліктів</w:t>
      </w:r>
    </w:p>
    <w:p w14:paraId="19538CA0" w14:textId="77777777" w:rsidR="00220D3E" w:rsidRPr="00511005" w:rsidRDefault="00220D3E" w:rsidP="003A292D">
      <w:pPr>
        <w:tabs>
          <w:tab w:val="left" w:pos="709"/>
        </w:tabs>
        <w:spacing w:line="264" w:lineRule="auto"/>
        <w:rPr>
          <w:rFonts w:ascii="Arial" w:eastAsia="Times New Roman" w:hAnsi="Arial" w:cs="Arial"/>
          <w:b/>
          <w:bCs/>
          <w:szCs w:val="28"/>
          <w:lang w:eastAsia="ru-RU"/>
        </w:rPr>
      </w:pPr>
      <w:r w:rsidRPr="00511005">
        <w:rPr>
          <w:rFonts w:ascii="Arial" w:eastAsia="Times New Roman" w:hAnsi="Arial" w:cs="Arial"/>
          <w:szCs w:val="28"/>
          <w:lang w:val="uk-UA" w:eastAsia="ru-RU"/>
        </w:rPr>
        <w:t xml:space="preserve">У сучасному світі збройні конфлікти все частіше супроводжуються масштабними порушеннями прав людини. В умовах війни цивільне населення зазнає серйозних страждань, зростає кількість жертв, переміщених осіб та випадків жорстокого поводження. У цьому контексті міжнародні організації відіграють ключову роль у захисті прав людини, фіксації порушень і притягненні винних до відповідальності. </w:t>
      </w:r>
      <w:r w:rsidRPr="00511005">
        <w:rPr>
          <w:rFonts w:ascii="Arial" w:eastAsia="Times New Roman" w:hAnsi="Arial" w:cs="Arial"/>
          <w:szCs w:val="28"/>
          <w:lang w:eastAsia="ru-RU"/>
        </w:rPr>
        <w:t xml:space="preserve">Їхня діяльність </w:t>
      </w:r>
      <w:r w:rsidRPr="00511005">
        <w:rPr>
          <w:rFonts w:ascii="Arial" w:eastAsia="Times New Roman" w:hAnsi="Arial" w:cs="Arial"/>
          <w:szCs w:val="28"/>
          <w:lang w:eastAsia="ru-RU"/>
        </w:rPr>
        <w:lastRenderedPageBreak/>
        <w:t>стає особливо важливою тоді, коли національні механізми виявляються безсилими. Саме тому дослідження цієї теми є надзвичайно актуальним</w:t>
      </w:r>
      <w:r w:rsidRPr="00511005">
        <w:rPr>
          <w:rFonts w:ascii="Arial" w:eastAsia="Times New Roman" w:hAnsi="Arial" w:cs="Arial"/>
          <w:b/>
          <w:bCs/>
          <w:szCs w:val="28"/>
          <w:lang w:eastAsia="ru-RU"/>
        </w:rPr>
        <w:t>.</w:t>
      </w:r>
    </w:p>
    <w:p w14:paraId="35468E9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Збройні конфлікти, зокрема агресія Російської Федерації проти України, супроводжуються систематичними порушеннями прав людини. До найпоширеніших з них належать: умисні вбивства цивільних осіб, катування, насильницькі зникнення, сексуальне насильство, незаконне переміщення населення, обстріли житлових кварталів та руйнування об’єктів критичної інфраструктури. Ці дії не лише завдають шкоди окремим особам, але й порушують фундаментальні принципи міжнародного гуманітарного права [1].</w:t>
      </w:r>
    </w:p>
    <w:p w14:paraId="6EDA41F3" w14:textId="77777777" w:rsidR="00220D3E" w:rsidRPr="00511005" w:rsidRDefault="00220D3E" w:rsidP="003A292D">
      <w:pPr>
        <w:tabs>
          <w:tab w:val="left" w:pos="709"/>
        </w:tabs>
        <w:spacing w:line="264" w:lineRule="auto"/>
        <w:rPr>
          <w:rFonts w:ascii="Arial" w:eastAsia="Times New Roman" w:hAnsi="Arial" w:cs="Arial"/>
          <w:b/>
          <w:bCs/>
          <w:szCs w:val="28"/>
          <w:lang w:eastAsia="ru-RU"/>
        </w:rPr>
      </w:pPr>
      <w:r w:rsidRPr="00511005">
        <w:rPr>
          <w:rFonts w:ascii="Arial" w:eastAsia="Times New Roman" w:hAnsi="Arial" w:cs="Arial"/>
          <w:szCs w:val="28"/>
          <w:lang w:eastAsia="ru-RU"/>
        </w:rPr>
        <w:t>Міжнародне гуманітарне право, зокрема Женевські конвенції 1949 року та додаткові протоколи до них, встановлює чіткі правила щодо захисту цивільного населення, поранених, полонених та гуманітарного персоналу під час війни. Однак, попри наявність таких норм, вони часто порушуються — навмисно або через відсутність контролю з боку держави чи комбатантів [2].</w:t>
      </w:r>
    </w:p>
    <w:p w14:paraId="4620FF7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Особливу проблему становить порушення прав внутрішньо переміщених осіб, біженців, дітей-сиріт, осіб з інвалідністю та інших вразливих груп, які не мають належного доступу до захисту, допомоги чи правосуддя. У таких умовах особливої актуальності набуває міжнародна підтримка — як на рівні фіксації порушень, так і щодо притягнення винних до відповідальності [3].</w:t>
      </w:r>
    </w:p>
    <w:p w14:paraId="7AF53931" w14:textId="7AD2F1AF"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період збройних конфліктів, коли національні механізми захисту прав людини можуть бути ослаблені або недієві, міжнародні організації відіграють ключову роль у забезпеченні дотримання прав людини та міжнародного гуманітарного права. ​Організація Об’єднаних Націй (ООН)</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через Управління Верховного комісара з прав людини (УВКПЛ) здійснює моніторинг ситуації з правами людини в умовах конфліктів, проводить розслідування порушень та сприяє притягненню винних до відповідальності. УВКПЛ також підтримує місії з встановлення фактів для допомоги державам у вирішенні порушень міжнародного прав [4].</w:t>
      </w:r>
    </w:p>
    <w:p w14:paraId="2C9FF926" w14:textId="44419F7D"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Міжнародний комітет Червоного Хреста (МКЧХ) є нейтральною та незалежною організацією, яка забезпечує захист і допомогу жертвам збройних конфліктів. Його діяльність базується на міжнародному гуманітарному праві [2]. Комітет має мандат на відвідування полонених, сприяння обміну тілами загиблих, доставку гуманітарної допомоги та документування воєнних злочинів.​ Європейський суд з прав людини (ЄСПЛ) розглядає індивідуальні скарги на порушення прав людини, навіть у воєнний час. Його юрисдикція поширюється на держави-</w:t>
      </w:r>
      <w:proofErr w:type="gramStart"/>
      <w:r w:rsidRPr="00511005">
        <w:rPr>
          <w:rFonts w:ascii="Arial" w:eastAsia="Times New Roman" w:hAnsi="Arial" w:cs="Arial"/>
          <w:szCs w:val="28"/>
          <w:lang w:eastAsia="ru-RU"/>
        </w:rPr>
        <w:t>члени</w:t>
      </w:r>
      <w:proofErr w:type="gramEnd"/>
      <w:r w:rsidRPr="00511005">
        <w:rPr>
          <w:rFonts w:ascii="Arial" w:eastAsia="Times New Roman" w:hAnsi="Arial" w:cs="Arial"/>
          <w:szCs w:val="28"/>
          <w:lang w:eastAsia="ru-RU"/>
        </w:rPr>
        <w:t xml:space="preserve"> Ради Європи. Судові рішення мають зобов’язальний характер і часто стосуються неналежного розслідування порушень або бездіяльності держави під час конфліктів [5]. Міжнародний кримінальний суд (МКС) розглядає злочини геноциду, злочини </w:t>
      </w:r>
      <w:r w:rsidRPr="00511005">
        <w:rPr>
          <w:rFonts w:ascii="Arial" w:eastAsia="Times New Roman" w:hAnsi="Arial" w:cs="Arial"/>
          <w:szCs w:val="28"/>
          <w:lang w:eastAsia="ru-RU"/>
        </w:rPr>
        <w:lastRenderedPageBreak/>
        <w:t>проти людяності, воєнні злочини та злочин агресії. Його юрисдикція важлива для притягнення до відповідальності вищих посадових осіб, якщо національні суди неспроможні це зробити [1]. Неурядові організації</w:t>
      </w:r>
      <w:r w:rsidR="007B2628" w:rsidRPr="00511005">
        <w:rPr>
          <w:rFonts w:ascii="Arial" w:eastAsia="Times New Roman" w:hAnsi="Arial" w:cs="Arial"/>
          <w:b/>
          <w:bCs/>
          <w:szCs w:val="28"/>
          <w:lang w:eastAsia="ru-RU"/>
        </w:rPr>
        <w:t xml:space="preserve"> </w:t>
      </w:r>
      <w:r w:rsidRPr="00511005">
        <w:rPr>
          <w:rFonts w:ascii="Arial" w:eastAsia="Times New Roman" w:hAnsi="Arial" w:cs="Arial"/>
          <w:szCs w:val="28"/>
          <w:lang w:eastAsia="ru-RU"/>
        </w:rPr>
        <w:t xml:space="preserve">такі як </w:t>
      </w:r>
      <w:r w:rsidRPr="00511005">
        <w:rPr>
          <w:rFonts w:ascii="Arial" w:eastAsia="Times New Roman" w:hAnsi="Arial" w:cs="Arial"/>
          <w:i/>
          <w:iCs/>
          <w:szCs w:val="28"/>
          <w:lang w:eastAsia="ru-RU"/>
        </w:rPr>
        <w:t>Amnesty International</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Human Rights Watch</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Norwegian Refugee Council</w:t>
      </w:r>
      <w:r w:rsidRPr="00511005">
        <w:rPr>
          <w:rFonts w:ascii="Arial" w:eastAsia="Times New Roman" w:hAnsi="Arial" w:cs="Arial"/>
          <w:szCs w:val="28"/>
          <w:lang w:eastAsia="ru-RU"/>
        </w:rPr>
        <w:t>, відіграють значну роль у документуванні порушень прав людини та тиску на міжнародну спільноту з метою реагування. Вони часто першими повідомляють про злочини та надають голос постраждалим [3].</w:t>
      </w:r>
    </w:p>
    <w:p w14:paraId="1025F37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Незважаючи на значний внесок міжнародних організацій у захист прав людини під час збройних конфліктів, існує низка проблем, які ускладнюють їх ефективну діяльність. Ці проблеми мають як правові, так і політичні та оперативні аспекти.</w:t>
      </w:r>
    </w:p>
    <w:p w14:paraId="1AF9A26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Однією з основних проблем є політичні обмеження та втручання. Міжнародні організації часто стикаються з політичними бар'єрами з боку держав, які можуть мати свої інтереси у конфлікті. Країни можуть відмовляти у доступі міжнародним гуманітарним організаціям до своїх територій або до певних регіонів, що ускладнює виконання гуманітарних місій. В деяких випадках держави маніпулюють гуманітарною допомогою, використовуючи її як політичний інструмент для досягнення власних цілей.</w:t>
      </w:r>
    </w:p>
    <w:p w14:paraId="75D712A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Іншою важливою проблемою є відсутність ефективних механізмів примусу. Міжнародні організації часто не мають дієвих інструментів для змушування держав чи недержавних акторів дотримуватися міжнародних норм [5]. Це є особливо гострою проблемою, коли порушення прав людини здійснюються потужними сторонами конфлікту, які мають військову перевагу або політичну підтримку. Хоча Міжнародний кримінальний суд може проводити розслідування злочинів, він не має власних силових структур для затримання підозрюваних у воєнних злочинах.</w:t>
      </w:r>
    </w:p>
    <w:p w14:paraId="56F4032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Ще однією серйозною проблемою є нерівний доступ до правосуддя. У умовах збройного конфлікту доступ до міжнародних правових інструментів часто є обмеженим [4]. Біженці, внутрішньо переміщені особи та інші вразливі групи населення часто не мають належного доступу до правосуддя або гуманітарної допомоги. Це стає особливо очевидним у регіонах, які перебувають під контролем збройних угруповань, де відсутні механізми для захисту прав людини. </w:t>
      </w:r>
    </w:p>
    <w:p w14:paraId="6A29277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Нарешті, важливою проблемою є міжнародна конкуренція між організаціями. У деяких випадках між міжнародними та неурядовими організаціями виникає конкуренція за ресурси, доступ до територій або за підтримку місцевого населення. Це може призвести до недостатньої координації, розпорошення зусиль та зниження ефективності гуманітарних місій [3].</w:t>
      </w:r>
    </w:p>
    <w:p w14:paraId="47DBBA3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Міжнародні організації мають важливу роль у захисті прав людини під час збройних конфліктів, однак їх діяльність стикається з політичними, правовими та ресурсними обмеженнями. Основні проблеми включають </w:t>
      </w:r>
      <w:r w:rsidRPr="00511005">
        <w:rPr>
          <w:rFonts w:ascii="Arial" w:eastAsia="Times New Roman" w:hAnsi="Arial" w:cs="Arial"/>
          <w:szCs w:val="28"/>
          <w:lang w:eastAsia="ru-RU"/>
        </w:rPr>
        <w:lastRenderedPageBreak/>
        <w:t>політичні бар'єри, відсутність ефективних механізмів примусу та обмежений доступ до правосуддя для постраждалих. Для покращення ситуації необхідно посилити координацію між організаціями, використовувати новітні технології для моніторингу порушень та створити дієві механізми примусу. Успішна робота міжнародних організацій потребує більшої підтримки з боку держав і розвитку ефективних інструментів для захисту прав людини під час конфліктів.</w:t>
      </w:r>
    </w:p>
    <w:p w14:paraId="53840D2C"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0BFA437A" w14:textId="6D6559E2" w:rsidR="00220D3E" w:rsidRPr="00511005" w:rsidRDefault="007B2628" w:rsidP="007B2628">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4CC702E2" w14:textId="77777777" w:rsidR="007B2628" w:rsidRPr="00511005" w:rsidRDefault="00220D3E" w:rsidP="003F6A5D">
      <w:pPr>
        <w:numPr>
          <w:ilvl w:val="0"/>
          <w:numId w:val="148"/>
        </w:numPr>
        <w:tabs>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Щорічна доповідь Уповноваженого Верховної Ради України з прав людини Дмитра Лубінця про стан додержання та захисту прав і свобод людини і громадянина в Україні у 2022 році. URL: https://ombudsman.gov.ua/report-2023/rozdil-2-prava-hromadian-iaki-postrazhdaly-vnaslidok-zbroinoi-ahresii-proty-ukrainy (дата звернення: 28 квітня 2025 р.).</w:t>
      </w:r>
    </w:p>
    <w:p w14:paraId="39C90992" w14:textId="023F2DA7" w:rsidR="00220D3E" w:rsidRPr="00511005" w:rsidRDefault="00220D3E" w:rsidP="003F6A5D">
      <w:pPr>
        <w:numPr>
          <w:ilvl w:val="0"/>
          <w:numId w:val="148"/>
        </w:numPr>
        <w:tabs>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Міжнародний комітет Червоного Хреста. Міжнародне гуманітарне право і виклики сучасних збройних конфліктів. </w:t>
      </w:r>
      <w:r w:rsidRPr="00511005">
        <w:rPr>
          <w:rFonts w:ascii="Arial" w:eastAsia="Times New Roman" w:hAnsi="Arial" w:cs="Arial"/>
          <w:i/>
          <w:iCs/>
          <w:szCs w:val="28"/>
          <w:lang w:val="uk-UA" w:eastAsia="ru-RU"/>
        </w:rPr>
        <w:t>Блог МКЧХ в Україні.</w:t>
      </w:r>
      <w:r w:rsidRPr="00511005">
        <w:rPr>
          <w:rFonts w:ascii="Arial" w:eastAsia="Times New Roman" w:hAnsi="Arial" w:cs="Arial"/>
          <w:szCs w:val="28"/>
          <w:lang w:val="uk-UA" w:eastAsia="ru-RU"/>
        </w:rPr>
        <w:t xml:space="preserve"> 2023. URL: https://blogs.icrc.org/ua/2023/11/203/6530 (дата звернення: 28 квітня 2025 р.).</w:t>
      </w:r>
    </w:p>
    <w:p w14:paraId="7080FC6E" w14:textId="77777777" w:rsidR="00220D3E" w:rsidRPr="00511005" w:rsidRDefault="00220D3E" w:rsidP="003F6A5D">
      <w:pPr>
        <w:numPr>
          <w:ilvl w:val="0"/>
          <w:numId w:val="14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Карбачова Л. В. Роль міжнародних організацій із захисту прав людини в умовах конфлікту на сході України. </w:t>
      </w:r>
      <w:r w:rsidRPr="00511005">
        <w:rPr>
          <w:rFonts w:ascii="Arial" w:eastAsia="Calibri" w:hAnsi="Arial" w:cs="Arial"/>
          <w:i/>
          <w:iCs/>
          <w:szCs w:val="28"/>
        </w:rPr>
        <w:t>Вісник Харківського національного університету внутрішніх справ.</w:t>
      </w:r>
      <w:r w:rsidRPr="00511005">
        <w:rPr>
          <w:rFonts w:ascii="Arial" w:eastAsia="Calibri" w:hAnsi="Arial" w:cs="Arial"/>
          <w:szCs w:val="28"/>
        </w:rPr>
        <w:t xml:space="preserve"> 2021. № 1. С. 24–31. DOI: https://doi.org/10.37635/jnalsu.28(1).2021.24-31.</w:t>
      </w:r>
    </w:p>
    <w:p w14:paraId="1F60F25D" w14:textId="77777777" w:rsidR="00220D3E" w:rsidRPr="00511005" w:rsidRDefault="00220D3E" w:rsidP="003F6A5D">
      <w:pPr>
        <w:numPr>
          <w:ilvl w:val="0"/>
          <w:numId w:val="14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Задерейко С. Ю. Роль міжнародних організацій в період збройних конфліктів. </w:t>
      </w:r>
      <w:r w:rsidRPr="00511005">
        <w:rPr>
          <w:rFonts w:ascii="Arial" w:eastAsia="Calibri" w:hAnsi="Arial" w:cs="Arial"/>
          <w:i/>
          <w:iCs/>
          <w:szCs w:val="28"/>
        </w:rPr>
        <w:t>Актуальні проблеми права.</w:t>
      </w:r>
      <w:r w:rsidRPr="00511005">
        <w:rPr>
          <w:rFonts w:ascii="Arial" w:eastAsia="Calibri" w:hAnsi="Arial" w:cs="Arial"/>
          <w:szCs w:val="28"/>
        </w:rPr>
        <w:t xml:space="preserve"> 2024. № 16. С. 273–279. </w:t>
      </w:r>
      <w:r w:rsidRPr="00511005">
        <w:rPr>
          <w:rFonts w:ascii="Arial" w:eastAsia="Calibri" w:hAnsi="Arial" w:cs="Arial"/>
          <w:szCs w:val="28"/>
          <w:lang w:val="en-US"/>
        </w:rPr>
        <w:t>URL</w:t>
      </w:r>
      <w:r w:rsidRPr="00511005">
        <w:rPr>
          <w:rFonts w:ascii="Arial" w:eastAsia="Calibri" w:hAnsi="Arial" w:cs="Arial"/>
          <w:szCs w:val="28"/>
        </w:rPr>
        <w:t xml:space="preserve">: </w:t>
      </w:r>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pravo</w:t>
      </w:r>
      <w:r w:rsidRPr="00511005">
        <w:rPr>
          <w:rFonts w:ascii="Arial" w:eastAsia="Calibri" w:hAnsi="Arial" w:cs="Arial"/>
          <w:szCs w:val="28"/>
        </w:rPr>
        <w:t>.</w:t>
      </w:r>
      <w:r w:rsidRPr="00511005">
        <w:rPr>
          <w:rFonts w:ascii="Arial" w:eastAsia="Calibri" w:hAnsi="Arial" w:cs="Arial"/>
          <w:szCs w:val="28"/>
          <w:lang w:val="en-US"/>
        </w:rPr>
        <w:t>cusu</w:t>
      </w:r>
      <w:r w:rsidRPr="00511005">
        <w:rPr>
          <w:rFonts w:ascii="Arial" w:eastAsia="Calibri" w:hAnsi="Arial" w:cs="Arial"/>
          <w:szCs w:val="28"/>
        </w:rPr>
        <w:t>.</w:t>
      </w:r>
      <w:r w:rsidRPr="00511005">
        <w:rPr>
          <w:rFonts w:ascii="Arial" w:eastAsia="Calibri" w:hAnsi="Arial" w:cs="Arial"/>
          <w:szCs w:val="28"/>
          <w:lang w:val="en-US"/>
        </w:rPr>
        <w:t>edu</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index</w:t>
      </w:r>
      <w:r w:rsidRPr="00511005">
        <w:rPr>
          <w:rFonts w:ascii="Arial" w:eastAsia="Calibri" w:hAnsi="Arial" w:cs="Arial"/>
          <w:szCs w:val="28"/>
        </w:rPr>
        <w:t>.</w:t>
      </w:r>
      <w:r w:rsidRPr="00511005">
        <w:rPr>
          <w:rFonts w:ascii="Arial" w:eastAsia="Calibri" w:hAnsi="Arial" w:cs="Arial"/>
          <w:szCs w:val="28"/>
          <w:lang w:val="en-US"/>
        </w:rPr>
        <w:t>php</w:t>
      </w:r>
      <w:r w:rsidRPr="00511005">
        <w:rPr>
          <w:rFonts w:ascii="Arial" w:eastAsia="Calibri" w:hAnsi="Arial" w:cs="Arial"/>
          <w:szCs w:val="28"/>
        </w:rPr>
        <w:t>/</w:t>
      </w:r>
      <w:r w:rsidRPr="00511005">
        <w:rPr>
          <w:rFonts w:ascii="Arial" w:eastAsia="Calibri" w:hAnsi="Arial" w:cs="Arial"/>
          <w:szCs w:val="28"/>
          <w:lang w:val="en-US"/>
        </w:rPr>
        <w:t>pravo</w:t>
      </w:r>
      <w:r w:rsidRPr="00511005">
        <w:rPr>
          <w:rFonts w:ascii="Arial" w:eastAsia="Calibri" w:hAnsi="Arial" w:cs="Arial"/>
          <w:szCs w:val="28"/>
        </w:rPr>
        <w:t>/</w:t>
      </w:r>
      <w:r w:rsidRPr="00511005">
        <w:rPr>
          <w:rFonts w:ascii="Arial" w:eastAsia="Calibri" w:hAnsi="Arial" w:cs="Arial"/>
          <w:szCs w:val="28"/>
          <w:lang w:val="en-US"/>
        </w:rPr>
        <w:t>article</w:t>
      </w:r>
      <w:r w:rsidRPr="00511005">
        <w:rPr>
          <w:rFonts w:ascii="Arial" w:eastAsia="Calibri" w:hAnsi="Arial" w:cs="Arial"/>
          <w:szCs w:val="28"/>
        </w:rPr>
        <w:t>/</w:t>
      </w:r>
      <w:r w:rsidRPr="00511005">
        <w:rPr>
          <w:rFonts w:ascii="Arial" w:eastAsia="Calibri" w:hAnsi="Arial" w:cs="Arial"/>
          <w:szCs w:val="28"/>
          <w:lang w:val="en-US"/>
        </w:rPr>
        <w:t>view</w:t>
      </w:r>
      <w:r w:rsidRPr="00511005">
        <w:rPr>
          <w:rFonts w:ascii="Arial" w:eastAsia="Calibri" w:hAnsi="Arial" w:cs="Arial"/>
          <w:szCs w:val="28"/>
        </w:rPr>
        <w:t>/473/488.</w:t>
      </w:r>
    </w:p>
    <w:p w14:paraId="653E8A90" w14:textId="77777777" w:rsidR="00220D3E" w:rsidRPr="00511005" w:rsidRDefault="00220D3E" w:rsidP="003F6A5D">
      <w:pPr>
        <w:numPr>
          <w:ilvl w:val="0"/>
          <w:numId w:val="14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Гранкіна О. О. Міжнародно-правові механізми забезпечення прав людини в умовах збройної агресії. </w:t>
      </w:r>
      <w:r w:rsidRPr="00511005">
        <w:rPr>
          <w:rFonts w:ascii="Arial" w:eastAsia="Calibri" w:hAnsi="Arial" w:cs="Arial"/>
          <w:i/>
          <w:iCs/>
          <w:szCs w:val="28"/>
        </w:rPr>
        <w:t>Вісник юридичних наук Ужгородського національного університету.</w:t>
      </w:r>
      <w:r w:rsidRPr="00511005">
        <w:rPr>
          <w:rFonts w:ascii="Arial" w:eastAsia="Calibri" w:hAnsi="Arial" w:cs="Arial"/>
          <w:szCs w:val="28"/>
        </w:rPr>
        <w:t xml:space="preserve"> 2024. Т. 37, № 3. DOI: https://doi.org/10.24144/2307-3322.2024.86.1.4.35.</w:t>
      </w:r>
    </w:p>
    <w:p w14:paraId="2B5699AB"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3452096B" w14:textId="74E11C59"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війна, захист прав людини, міжнародні організації, міжнародне право, збройні конфлікти.</w:t>
      </w:r>
    </w:p>
    <w:p w14:paraId="4A400E9C" w14:textId="048EEF88"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war, human rights protection, international organizations, international law, armed conflicts.</w:t>
      </w:r>
    </w:p>
    <w:p w14:paraId="167D4E1E" w14:textId="79849E31" w:rsidR="00220D3E" w:rsidRPr="00511005" w:rsidRDefault="007B2628" w:rsidP="003A292D">
      <w:pPr>
        <w:tabs>
          <w:tab w:val="left" w:pos="709"/>
          <w:tab w:val="left" w:pos="7513"/>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к.ю.н., доцент Дронов В.Ю.</w:t>
      </w:r>
    </w:p>
    <w:p w14:paraId="602A8766" w14:textId="77777777" w:rsidR="00220D3E" w:rsidRPr="00511005" w:rsidRDefault="00220D3E" w:rsidP="003A292D">
      <w:pPr>
        <w:tabs>
          <w:tab w:val="left" w:pos="709"/>
          <w:tab w:val="left" w:pos="7513"/>
        </w:tabs>
        <w:spacing w:line="264" w:lineRule="auto"/>
        <w:jc w:val="center"/>
        <w:rPr>
          <w:rFonts w:ascii="Arial" w:eastAsia="Times New Roman" w:hAnsi="Arial" w:cs="Arial"/>
          <w:i/>
          <w:iCs/>
          <w:szCs w:val="28"/>
          <w:lang w:val="uk-UA" w:eastAsia="ru-RU"/>
        </w:rPr>
      </w:pPr>
    </w:p>
    <w:p w14:paraId="5A993E3A" w14:textId="77777777" w:rsidR="00220D3E" w:rsidRPr="00511005" w:rsidRDefault="00220D3E" w:rsidP="003A292D">
      <w:pPr>
        <w:tabs>
          <w:tab w:val="left" w:pos="709"/>
          <w:tab w:val="left" w:pos="7513"/>
        </w:tabs>
        <w:spacing w:line="264" w:lineRule="auto"/>
        <w:jc w:val="center"/>
        <w:rPr>
          <w:rFonts w:ascii="Arial" w:eastAsia="Times New Roman" w:hAnsi="Arial" w:cs="Arial"/>
          <w:szCs w:val="28"/>
          <w:lang w:val="uk-UA" w:eastAsia="ru-RU"/>
        </w:rPr>
      </w:pPr>
      <w:r w:rsidRPr="00511005">
        <w:rPr>
          <w:rFonts w:ascii="Arial" w:eastAsia="Times New Roman" w:hAnsi="Arial" w:cs="Arial"/>
          <w:b/>
          <w:bCs/>
          <w:i/>
          <w:iCs/>
          <w:szCs w:val="28"/>
          <w:lang w:val="uk-UA" w:eastAsia="ru-RU"/>
        </w:rPr>
        <w:t>Саргсян Ангеліна Арамівна</w:t>
      </w:r>
    </w:p>
    <w:p w14:paraId="43F51FAC" w14:textId="260A822F" w:rsidR="00220D3E" w:rsidRPr="00511005" w:rsidRDefault="00536AAB" w:rsidP="003A292D">
      <w:pPr>
        <w:tabs>
          <w:tab w:val="left" w:pos="709"/>
          <w:tab w:val="left" w:pos="7513"/>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4-го курсу </w:t>
      </w:r>
      <w:r w:rsidR="001B7B25" w:rsidRPr="00511005">
        <w:rPr>
          <w:rFonts w:ascii="Arial" w:eastAsia="Times New Roman" w:hAnsi="Arial" w:cs="Arial"/>
          <w:szCs w:val="28"/>
          <w:lang w:eastAsia="ru-RU"/>
        </w:rPr>
        <w:t>факультету судового та міжнародного права</w:t>
      </w:r>
    </w:p>
    <w:p w14:paraId="2DCCD2D7" w14:textId="2E7D0F68" w:rsidR="00220D3E" w:rsidRPr="00511005" w:rsidRDefault="007B2628" w:rsidP="003A292D">
      <w:pPr>
        <w:tabs>
          <w:tab w:val="left" w:pos="709"/>
          <w:tab w:val="left" w:pos="7513"/>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5C15547" w14:textId="7AFA739E" w:rsidR="00220D3E" w:rsidRPr="00511005" w:rsidRDefault="00220D3E" w:rsidP="003A292D">
      <w:pPr>
        <w:tabs>
          <w:tab w:val="left" w:pos="709"/>
          <w:tab w:val="left" w:pos="7513"/>
        </w:tabs>
        <w:spacing w:line="264" w:lineRule="auto"/>
        <w:jc w:val="center"/>
        <w:rPr>
          <w:rFonts w:ascii="Arial" w:eastAsia="Times New Roman" w:hAnsi="Arial" w:cs="Arial"/>
          <w:szCs w:val="28"/>
          <w:lang w:eastAsia="ru-RU"/>
        </w:rPr>
      </w:pPr>
    </w:p>
    <w:p w14:paraId="753261CA" w14:textId="32943E5A" w:rsidR="001E775A" w:rsidRPr="00511005" w:rsidRDefault="001E775A" w:rsidP="003A292D">
      <w:pPr>
        <w:tabs>
          <w:tab w:val="left" w:pos="709"/>
          <w:tab w:val="left" w:pos="7513"/>
        </w:tabs>
        <w:spacing w:line="264" w:lineRule="auto"/>
        <w:jc w:val="center"/>
        <w:rPr>
          <w:rFonts w:ascii="Arial" w:eastAsia="Times New Roman" w:hAnsi="Arial" w:cs="Arial"/>
          <w:szCs w:val="28"/>
          <w:lang w:eastAsia="ru-RU"/>
        </w:rPr>
      </w:pPr>
      <w:r w:rsidRPr="00511005">
        <w:rPr>
          <w:rFonts w:ascii="Arial" w:eastAsia="Times New Roman" w:hAnsi="Arial" w:cs="Arial"/>
          <w:b/>
          <w:bCs/>
          <w:kern w:val="36"/>
          <w:szCs w:val="28"/>
          <w:lang w:val="uk-UA" w:eastAsia="ru-RU"/>
        </w:rPr>
        <w:lastRenderedPageBreak/>
        <w:t>П</w:t>
      </w:r>
      <w:r w:rsidRPr="00511005">
        <w:rPr>
          <w:rFonts w:ascii="Arial" w:eastAsia="Times New Roman" w:hAnsi="Arial" w:cs="Arial"/>
          <w:b/>
          <w:bCs/>
          <w:kern w:val="36"/>
          <w:szCs w:val="28"/>
          <w:lang w:eastAsia="ru-RU"/>
        </w:rPr>
        <w:t>РАВОВИЙ СТАТУС ВІЙСЬКОВОПОЛОНЕНИХ: ЕВОЛЮЦІЯ МІЖНАРОДНО-ПРАВОВОГО РЕГУЛЮВАННЯ</w:t>
      </w:r>
    </w:p>
    <w:p w14:paraId="389A979D"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Проблема правового статусу військовополонених залишається однією з найбільш актуальних у сучасному міжнародному гуманітарному праві. Військові конфлікти, що тривають у різних регіонах світу, демонструють, що питання захисту прав осіб, які потрапили в полон під час збройних конфліктів, потребує постійної уваги міжнародної спільноти.</w:t>
      </w:r>
    </w:p>
    <w:p w14:paraId="1DB73548"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Незважаючи на розвинену систему міжнародно-правових норм у цій сфері, практика їх застосування виявляє численні прогалини та недоліки, що призводять до систематичних порушень прав військовополонених. Особливої гостроти ця проблема набуває в контексті сучасних збройних конфліктів, які часто мають гібридний характер або не підпадають під традиційне визначення міжнародного збройного конфлікту.</w:t>
      </w:r>
    </w:p>
    <w:p w14:paraId="1883DD6E"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 xml:space="preserve">Інститут військового полону пройшов довгий шлях еволюції від повної безправності полонених до визнання за ними певних прав та свобод. У стародавньому світі доля військовополонених цілком залежала від волі переможця – їх зазвичай перетворювали на рабів або страчували. Проте в деяких цивілізаціях (Стародавній Єгипет, Індія, Китай) поступово формувались звичаї, що обмежували свавілля щодо полонених. У Стародавній Греції та Римі з'явились перші елементи правової регламентації статусу полонених, включаючи можливість викупу або обміну та інститут "постлімінію", за яким колишній полонений відновлювався </w:t>
      </w:r>
      <w:proofErr w:type="gramStart"/>
      <w:r w:rsidRPr="00511005">
        <w:rPr>
          <w:rFonts w:ascii="Arial" w:eastAsia="Arial Unicode MS" w:hAnsi="Arial" w:cs="Arial"/>
          <w:szCs w:val="28"/>
          <w:u w:color="000000"/>
          <w:bdr w:val="nil"/>
          <w:lang w:eastAsia="uk-UA"/>
        </w:rPr>
        <w:t>у правах</w:t>
      </w:r>
      <w:proofErr w:type="gramEnd"/>
      <w:r w:rsidRPr="00511005">
        <w:rPr>
          <w:rFonts w:ascii="Arial" w:eastAsia="Arial Unicode MS" w:hAnsi="Arial" w:cs="Arial"/>
          <w:szCs w:val="28"/>
          <w:u w:color="000000"/>
          <w:bdr w:val="nil"/>
          <w:lang w:eastAsia="uk-UA"/>
        </w:rPr>
        <w:t xml:space="preserve"> [1].</w:t>
      </w:r>
    </w:p>
    <w:p w14:paraId="15D28960"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У Середньовіччі важливу роль відіграли лицарський кодекс честі, що регулював поводження з полоненими шляхетного походження, та релігійні приписи. Християнство та іслам закликали до гуманного ставлення до полонених, хоча на практиці ці принципи часто порушувались під час релігійних війн.</w:t>
      </w:r>
    </w:p>
    <w:p w14:paraId="48ECD522"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Еволюція міжнародно-правового регулювання статусу військовополонених розпочалася з Гаазької конвенції 1899 року (переглянутої в 1907 р.), яка встановила базові принципи: підпорядкування полонених уряду, а не окремим особам; гуманне поводження; збереження особистого майна; заборона примусу до розкриття військової інформації [2].</w:t>
      </w:r>
    </w:p>
    <w:p w14:paraId="40B9481A"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 xml:space="preserve">Перша світова війна з її масовим полоном, близько 8 млн осіб, виявила недосконалість цих норм. У відповідь Ліга Націй ухвалила Женевську конвенцію 1929 року, яка деталізувала умови утримання, праці, судових процедур та залучила Червоний Хрест </w:t>
      </w:r>
      <w:proofErr w:type="gramStart"/>
      <w:r w:rsidRPr="00511005">
        <w:rPr>
          <w:rFonts w:ascii="Arial" w:eastAsia="Arial Unicode MS" w:hAnsi="Arial" w:cs="Arial"/>
          <w:szCs w:val="28"/>
          <w:u w:color="000000"/>
          <w:bdr w:val="nil"/>
          <w:lang w:eastAsia="uk-UA"/>
        </w:rPr>
        <w:t>до контролю</w:t>
      </w:r>
      <w:proofErr w:type="gramEnd"/>
      <w:r w:rsidRPr="00511005">
        <w:rPr>
          <w:rFonts w:ascii="Arial" w:eastAsia="Arial Unicode MS" w:hAnsi="Arial" w:cs="Arial"/>
          <w:szCs w:val="28"/>
          <w:u w:color="000000"/>
          <w:bdr w:val="nil"/>
          <w:lang w:eastAsia="uk-UA"/>
        </w:rPr>
        <w:t xml:space="preserve"> за дотриманням правил [3].</w:t>
      </w:r>
    </w:p>
    <w:p w14:paraId="1F0FE39D"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 xml:space="preserve">Після Другої світової війни була прийнята Третя Женевська конвенція 1949 року, що діє донині. Вона розширила коло захищених осіб та визначила, що полон – не покарання, а запобіжний захід. Додаткові </w:t>
      </w:r>
      <w:r w:rsidRPr="00511005">
        <w:rPr>
          <w:rFonts w:ascii="Arial" w:eastAsia="Arial Unicode MS" w:hAnsi="Arial" w:cs="Arial"/>
          <w:szCs w:val="28"/>
          <w:u w:color="000000"/>
          <w:bdr w:val="nil"/>
          <w:lang w:eastAsia="uk-UA"/>
        </w:rPr>
        <w:lastRenderedPageBreak/>
        <w:t>протоколи 1977 року поширили захист на учасників національно-визвольних рухів та встановили гарантії для полонених у внутрішніх конфліктах [4].</w:t>
      </w:r>
    </w:p>
    <w:p w14:paraId="3F9BD387"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За статтею 4 Конвенції, статус військовополонених надається: військовослужбовцям, ополченцям, членам рухів опору, цивільному персоналу при збройних силах, екіпажам цивільних суден та місцевому населенню, що спонтанно чинить опір. У разі сумнівів щодо статусу, особа зберігає захист до рішення компетентного суду.</w:t>
      </w:r>
    </w:p>
    <w:p w14:paraId="580EC58C"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 xml:space="preserve">Основним принципом правового статусу військовополонених є принцип гуманного поводження з ними. Конвенція забороняє будь-які акти насильства, залякування, образи чи цікавість публіки щодо військовополонених. </w:t>
      </w:r>
    </w:p>
    <w:p w14:paraId="49BD6E17"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Військовополонені зберігають свою цивільну правоздатність, їм гарантується право на повагу до їхньої особи та честі. Вони мають право на медичну допомогу, на листування з родичами, на отримання посилок з допомогою, на відправлення релігійних обрядів тощо [5].</w:t>
      </w:r>
    </w:p>
    <w:p w14:paraId="03354738"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Одночасно військовополонені зобов'язані дотримуватись дисциплінарних правил, встановлених державою, що їх утримує. Вони можуть бути залучені до праці, але з урахуванням їхнього фізичного стану, статі, віку та військового звання. При цьому забороняється використовувати працю військовополонених на небезпечних роботах або роботах, що мають військовий характер.</w:t>
      </w:r>
    </w:p>
    <w:p w14:paraId="2DF9E12C"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Третя Женевська конвенція детально регламентує умови утримання військовополонених. Табори для військовополонених мають розташовуватись на суходолі в місцевостях, що забезпечують гігієну та охорону здоров'я. Приміщення повинні бути захищені від вогкості, мати опалення та освітлення.</w:t>
      </w:r>
    </w:p>
    <w:p w14:paraId="664026CE"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Військовополоненим має надаватись харчування, достатнє для підтримання здоров'я та запобігання втраті ваги. Їм також має бути забезпечено можливість дотримуватись правил особистої гігієни.</w:t>
      </w:r>
    </w:p>
    <w:p w14:paraId="461DAB2A"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Конвенція забороняє застосування тортур та інших форм жорстокого поводження для отримання від військовополонених будь-якої інформації. На допиті військовополонений зобов'язаний повідомити лише своє прізвище, ім'я, військове звання, дату народження та особистий номер.</w:t>
      </w:r>
    </w:p>
    <w:p w14:paraId="7B3C4D89"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Відповідно до Третьої Женевської конвенції, військовий полон припиняється після закінчення воєнних дій шляхом репатріації. Стаття 118 Конвенції передбачає, що військовополонені підлягають звільненню та репатріації без затримки після припинення активних воєнних дій.</w:t>
      </w:r>
    </w:p>
    <w:p w14:paraId="53777475"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При цьому жоден військовополонений не може бути репатрійований проти його волі під час воєнних дій. Це положення покликане захистити тих полонених, які можуть побоюватися переслідувань у своїй країні.</w:t>
      </w:r>
    </w:p>
    <w:p w14:paraId="28BB97BA"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lastRenderedPageBreak/>
        <w:t>Конвенція також передбачає можливість обміну важкопораненими та хворими військовополоненими до закінчення конфлікту, а також можливість інтернування військовополонених у нейтральних країнах.</w:t>
      </w:r>
    </w:p>
    <w:p w14:paraId="3FB891A3"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Еволюція міжнародно-правового регулювання статусу військовополонених відображає загальну тенденцію гуманізації міжнародного права. Від повної безправності в стародавньому світі до детально регламентованого статусу за сучасним міжнародним правом – такий шлях пройшло правове регулювання в цій сфері. Еволюція міжнародно-правового регулювання статусу військовополонених відображає загальну тенденцію гуманізації міжнародного права. Від повної безправності в стародавньому світі до детально регламентованого статусу за сучасним міжнародним правом – такий шлях пройшло правове регулювання в цій сфері [6].</w:t>
      </w:r>
    </w:p>
    <w:p w14:paraId="26B7F69A"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r w:rsidRPr="00511005">
        <w:rPr>
          <w:rFonts w:ascii="Arial" w:eastAsia="Arial Unicode MS" w:hAnsi="Arial" w:cs="Arial"/>
          <w:szCs w:val="28"/>
          <w:u w:color="000000"/>
          <w:bdr w:val="nil"/>
          <w:lang w:eastAsia="uk-UA"/>
        </w:rPr>
        <w:t>Однак практика сучасних збройних конфліктів виявляє низку проблем у застосуванні цих норм. Ці проблеми пов'язані як з особливостями сучасних конфліктів, що часто не вписуються в традиційне розуміння міжнародного збройного конфлікту, так і з політичними факторами, що впливають на готовність держав дотримуватись своїх міжнародно-правових зобов'язань.</w:t>
      </w:r>
    </w:p>
    <w:p w14:paraId="7A7C4A5C"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eastAsia="uk-UA"/>
        </w:rPr>
      </w:pPr>
    </w:p>
    <w:p w14:paraId="0D3D9227" w14:textId="0D9D519F" w:rsidR="00220D3E" w:rsidRPr="00511005" w:rsidRDefault="007B2628" w:rsidP="007B2628">
      <w:pPr>
        <w:pBdr>
          <w:top w:val="nil"/>
          <w:left w:val="nil"/>
          <w:bottom w:val="nil"/>
          <w:right w:val="nil"/>
          <w:between w:val="nil"/>
          <w:bar w:val="nil"/>
        </w:pBdr>
        <w:tabs>
          <w:tab w:val="left" w:pos="709"/>
        </w:tabs>
        <w:spacing w:line="264" w:lineRule="auto"/>
        <w:jc w:val="center"/>
        <w:rPr>
          <w:rFonts w:ascii="Arial" w:eastAsia="Arial Unicode MS" w:hAnsi="Arial" w:cs="Arial"/>
          <w:b/>
          <w:bCs/>
          <w:szCs w:val="28"/>
          <w:u w:color="000000"/>
          <w:bdr w:val="nil"/>
          <w:lang w:eastAsia="uk-UA"/>
        </w:rPr>
      </w:pPr>
      <w:r w:rsidRPr="00511005">
        <w:rPr>
          <w:rFonts w:ascii="Arial" w:eastAsia="Arial Unicode MS" w:hAnsi="Arial" w:cs="Arial"/>
          <w:b/>
          <w:bCs/>
          <w:szCs w:val="28"/>
          <w:bdr w:val="nil"/>
          <w:lang w:val="uk-UA" w:eastAsia="uk-UA"/>
        </w:rPr>
        <w:t>Список використаних джерел</w:t>
      </w:r>
    </w:p>
    <w:p w14:paraId="0E1C96D9" w14:textId="77777777" w:rsidR="00220D3E" w:rsidRPr="00511005" w:rsidRDefault="00220D3E" w:rsidP="003F6A5D">
      <w:pPr>
        <w:numPr>
          <w:ilvl w:val="0"/>
          <w:numId w:val="185"/>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Грушко М. В. Поняття "військовополонений" в міжнародному гуманітарному праві. Актуальні проблеми держави і права. 2010. Вип. 52. С. 377-387 </w:t>
      </w:r>
      <w:hyperlink r:id="rId648" w:history="1">
        <w:r w:rsidRPr="00511005">
          <w:rPr>
            <w:rFonts w:ascii="Arial" w:eastAsia="Times New Roman" w:hAnsi="Arial" w:cs="Arial"/>
            <w:szCs w:val="28"/>
            <w:lang w:val="uk-UA" w:eastAsia="ru-RU"/>
          </w:rPr>
          <w:t>http</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www</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irbis</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nbuv</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cgi</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bin</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irbis</w:t>
        </w:r>
        <w:r w:rsidRPr="00511005">
          <w:rPr>
            <w:rFonts w:ascii="Arial" w:eastAsia="Times New Roman" w:hAnsi="Arial" w:cs="Arial"/>
            <w:szCs w:val="28"/>
            <w:lang w:eastAsia="ru-RU"/>
          </w:rPr>
          <w:t>_</w:t>
        </w:r>
        <w:r w:rsidRPr="00511005">
          <w:rPr>
            <w:rFonts w:ascii="Arial" w:eastAsia="Times New Roman" w:hAnsi="Arial" w:cs="Arial"/>
            <w:szCs w:val="28"/>
            <w:lang w:val="uk-UA" w:eastAsia="ru-RU"/>
          </w:rPr>
          <w:t>nbuv</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cgiirbis</w:t>
        </w:r>
        <w:r w:rsidRPr="00511005">
          <w:rPr>
            <w:rFonts w:ascii="Arial" w:eastAsia="Times New Roman" w:hAnsi="Arial" w:cs="Arial"/>
            <w:szCs w:val="28"/>
            <w:lang w:eastAsia="ru-RU"/>
          </w:rPr>
          <w:t>_64</w:t>
        </w:r>
      </w:hyperlink>
      <w:r w:rsidRPr="00511005">
        <w:rPr>
          <w:rFonts w:ascii="Arial" w:eastAsia="Times New Roman" w:hAnsi="Arial" w:cs="Arial"/>
          <w:szCs w:val="28"/>
          <w:lang w:eastAsia="ru-RU"/>
        </w:rPr>
        <w:t xml:space="preserve"> (дата звернення 05.05.2025) </w:t>
      </w:r>
    </w:p>
    <w:p w14:paraId="79D3AA8A" w14:textId="528D6A4A" w:rsidR="00220D3E" w:rsidRPr="00511005" w:rsidRDefault="00220D3E" w:rsidP="003F6A5D">
      <w:pPr>
        <w:numPr>
          <w:ilvl w:val="0"/>
          <w:numId w:val="185"/>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І</w:t>
      </w:r>
      <w:r w:rsidRPr="00511005">
        <w:rPr>
          <w:rFonts w:ascii="Arial" w:eastAsia="Times New Roman" w:hAnsi="Arial" w:cs="Arial"/>
          <w:szCs w:val="28"/>
          <w:lang w:val="uk-UA" w:eastAsia="ru-RU"/>
        </w:rPr>
        <w:t>V</w:t>
      </w:r>
      <w:r w:rsidRPr="00511005">
        <w:rPr>
          <w:rFonts w:ascii="Arial" w:eastAsia="Times New Roman" w:hAnsi="Arial" w:cs="Arial"/>
          <w:szCs w:val="28"/>
          <w:lang w:eastAsia="ru-RU"/>
        </w:rPr>
        <w:t xml:space="preserve"> Конвенція про закони і звичаї війни на суходолі та додаток до неї: Положення про закони і звичаї війни на суходолі. Гаага, 18 жовтня 1907 року.</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URL</w:t>
      </w:r>
      <w:r w:rsidRPr="00511005">
        <w:rPr>
          <w:rFonts w:ascii="Arial" w:eastAsia="Times New Roman" w:hAnsi="Arial" w:cs="Arial"/>
          <w:szCs w:val="28"/>
          <w:lang w:eastAsia="ru-RU"/>
        </w:rPr>
        <w:t xml:space="preserve">: </w:t>
      </w:r>
      <w:hyperlink r:id="rId649" w:anchor="Text" w:history="1">
        <w:r w:rsidRPr="00511005">
          <w:rPr>
            <w:rFonts w:ascii="Arial" w:eastAsia="Times New Roman" w:hAnsi="Arial" w:cs="Arial"/>
            <w:szCs w:val="28"/>
            <w:lang w:val="uk-UA"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show</w:t>
        </w:r>
        <w:r w:rsidRPr="00511005">
          <w:rPr>
            <w:rFonts w:ascii="Arial" w:eastAsia="Times New Roman" w:hAnsi="Arial" w:cs="Arial"/>
            <w:szCs w:val="28"/>
            <w:lang w:eastAsia="ru-RU"/>
          </w:rPr>
          <w:t>/995_222#</w:t>
        </w:r>
        <w:r w:rsidRPr="00511005">
          <w:rPr>
            <w:rFonts w:ascii="Arial" w:eastAsia="Times New Roman" w:hAnsi="Arial" w:cs="Arial"/>
            <w:szCs w:val="28"/>
            <w:lang w:val="uk-UA" w:eastAsia="ru-RU"/>
          </w:rPr>
          <w:t>Text</w:t>
        </w:r>
      </w:hyperlink>
      <w:r w:rsidRPr="00511005">
        <w:rPr>
          <w:rFonts w:ascii="Arial" w:eastAsia="Times New Roman" w:hAnsi="Arial" w:cs="Arial"/>
          <w:szCs w:val="28"/>
          <w:lang w:eastAsia="ru-RU"/>
        </w:rPr>
        <w:t xml:space="preserve"> (дата звернення 05.05.2025) </w:t>
      </w:r>
    </w:p>
    <w:p w14:paraId="48427AAD" w14:textId="77777777" w:rsidR="00220D3E" w:rsidRPr="00511005" w:rsidRDefault="00220D3E" w:rsidP="003F6A5D">
      <w:pPr>
        <w:numPr>
          <w:ilvl w:val="0"/>
          <w:numId w:val="185"/>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Женевська конвенція про поводження з військовополоненими від 12 серп. 1949 року. </w:t>
      </w:r>
      <w:r w:rsidRPr="00511005">
        <w:rPr>
          <w:rFonts w:ascii="Arial" w:eastAsia="Times New Roman" w:hAnsi="Arial" w:cs="Arial"/>
          <w:szCs w:val="28"/>
          <w:lang w:val="uk-UA" w:eastAsia="ru-RU"/>
        </w:rPr>
        <w:t>URL</w:t>
      </w:r>
      <w:r w:rsidRPr="00511005">
        <w:rPr>
          <w:rFonts w:ascii="Arial" w:eastAsia="Times New Roman" w:hAnsi="Arial" w:cs="Arial"/>
          <w:szCs w:val="28"/>
          <w:lang w:eastAsia="ru-RU"/>
        </w:rPr>
        <w:t xml:space="preserve">: </w:t>
      </w:r>
      <w:hyperlink r:id="rId650" w:anchor="Text" w:history="1">
        <w:r w:rsidRPr="00511005">
          <w:rPr>
            <w:rFonts w:ascii="Arial" w:eastAsia="Times New Roman" w:hAnsi="Arial" w:cs="Arial"/>
            <w:szCs w:val="28"/>
            <w:lang w:val="uk-UA"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show</w:t>
        </w:r>
        <w:r w:rsidRPr="00511005">
          <w:rPr>
            <w:rFonts w:ascii="Arial" w:eastAsia="Times New Roman" w:hAnsi="Arial" w:cs="Arial"/>
            <w:szCs w:val="28"/>
            <w:lang w:eastAsia="ru-RU"/>
          </w:rPr>
          <w:t>/995_153#</w:t>
        </w:r>
        <w:r w:rsidRPr="00511005">
          <w:rPr>
            <w:rFonts w:ascii="Arial" w:eastAsia="Times New Roman" w:hAnsi="Arial" w:cs="Arial"/>
            <w:szCs w:val="28"/>
            <w:lang w:val="uk-UA" w:eastAsia="ru-RU"/>
          </w:rPr>
          <w:t>Text</w:t>
        </w:r>
      </w:hyperlink>
      <w:r w:rsidRPr="00511005">
        <w:rPr>
          <w:rFonts w:ascii="Arial" w:eastAsia="Times New Roman" w:hAnsi="Arial" w:cs="Arial"/>
          <w:szCs w:val="28"/>
          <w:lang w:eastAsia="ru-RU"/>
        </w:rPr>
        <w:t xml:space="preserve"> </w:t>
      </w:r>
    </w:p>
    <w:p w14:paraId="39691325" w14:textId="4FDBC855" w:rsidR="00220D3E" w:rsidRPr="00511005" w:rsidRDefault="00220D3E" w:rsidP="003F6A5D">
      <w:pPr>
        <w:numPr>
          <w:ilvl w:val="0"/>
          <w:numId w:val="185"/>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Додатковий протокол до Женевських конвенцій від 12 серпня 1949 року, що стосується захисту жертв міжнародних збройних конфліктів (Протокол </w:t>
      </w:r>
      <w:r w:rsidRPr="00511005">
        <w:rPr>
          <w:rFonts w:ascii="Arial" w:eastAsia="Times New Roman" w:hAnsi="Arial" w:cs="Arial"/>
          <w:szCs w:val="28"/>
          <w:lang w:val="uk-UA" w:eastAsia="ru-RU"/>
        </w:rPr>
        <w:t>I</w:t>
      </w:r>
      <w:r w:rsidRPr="00511005">
        <w:rPr>
          <w:rFonts w:ascii="Arial" w:eastAsia="Times New Roman" w:hAnsi="Arial" w:cs="Arial"/>
          <w:szCs w:val="28"/>
          <w:lang w:eastAsia="ru-RU"/>
        </w:rPr>
        <w:t>), від 8 червня 1977 року.</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URL</w:t>
      </w:r>
      <w:r w:rsidRPr="00511005">
        <w:rPr>
          <w:rFonts w:ascii="Arial" w:eastAsia="Times New Roman" w:hAnsi="Arial" w:cs="Arial"/>
          <w:szCs w:val="28"/>
          <w:lang w:eastAsia="ru-RU"/>
        </w:rPr>
        <w:t xml:space="preserve">: </w:t>
      </w:r>
      <w:hyperlink r:id="rId651" w:anchor="Text" w:history="1">
        <w:r w:rsidRPr="00511005">
          <w:rPr>
            <w:rFonts w:ascii="Arial" w:eastAsia="Times New Roman" w:hAnsi="Arial" w:cs="Arial"/>
            <w:szCs w:val="28"/>
            <w:lang w:val="uk-UA"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show</w:t>
        </w:r>
        <w:r w:rsidRPr="00511005">
          <w:rPr>
            <w:rFonts w:ascii="Arial" w:eastAsia="Times New Roman" w:hAnsi="Arial" w:cs="Arial"/>
            <w:szCs w:val="28"/>
            <w:lang w:eastAsia="ru-RU"/>
          </w:rPr>
          <w:t>/995_199#</w:t>
        </w:r>
        <w:r w:rsidRPr="00511005">
          <w:rPr>
            <w:rFonts w:ascii="Arial" w:eastAsia="Times New Roman" w:hAnsi="Arial" w:cs="Arial"/>
            <w:szCs w:val="28"/>
            <w:lang w:val="uk-UA" w:eastAsia="ru-RU"/>
          </w:rPr>
          <w:t>Text</w:t>
        </w:r>
      </w:hyperlink>
      <w:r w:rsidRPr="00511005">
        <w:rPr>
          <w:rFonts w:ascii="Arial" w:eastAsia="Times New Roman" w:hAnsi="Arial" w:cs="Arial"/>
          <w:szCs w:val="28"/>
          <w:lang w:eastAsia="ru-RU"/>
        </w:rPr>
        <w:t xml:space="preserve"> </w:t>
      </w:r>
    </w:p>
    <w:p w14:paraId="0F10332F" w14:textId="713464E1" w:rsidR="00220D3E" w:rsidRPr="00511005" w:rsidRDefault="00220D3E" w:rsidP="003F6A5D">
      <w:pPr>
        <w:numPr>
          <w:ilvl w:val="0"/>
          <w:numId w:val="185"/>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val="uk-UA" w:eastAsia="ru-RU"/>
        </w:rPr>
        <w:t xml:space="preserve">The Program for Humanitarian Policy and Conflict Research at Harvard University, «Brief Primer on IHL», Accessed at IHL.ihl research.or Archived 2010-04-19 at the Wayback Machine 2009. URL: </w:t>
      </w:r>
      <w:hyperlink r:id="rId652" w:history="1">
        <w:r w:rsidRPr="00511005">
          <w:rPr>
            <w:rFonts w:ascii="Arial" w:eastAsia="Times New Roman" w:hAnsi="Arial" w:cs="Arial"/>
            <w:szCs w:val="28"/>
            <w:lang w:val="uk-UA" w:eastAsia="ru-RU"/>
          </w:rPr>
          <w:t>https://hhi.harvard.edu/sites/g/files/omnuum6866/files/humanitarianinitiative/files/legal_aspects_of_israels_disengagement_plan_under_ihl.pdf</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(дата звернення 05.05.2025)</w:t>
      </w:r>
    </w:p>
    <w:p w14:paraId="7B884326" w14:textId="14BA6034" w:rsidR="00220D3E" w:rsidRPr="00511005" w:rsidRDefault="00220D3E" w:rsidP="003F6A5D">
      <w:pPr>
        <w:numPr>
          <w:ilvl w:val="0"/>
          <w:numId w:val="185"/>
        </w:numPr>
        <w:tabs>
          <w:tab w:val="left" w:pos="709"/>
        </w:tabs>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Шевчук Я., Жаровська І. Правове регулювання статусу військовополонених відповідно до норм міжнародного гуманітарного права: історична та сучасна ретроспектива. </w:t>
      </w:r>
      <w:r w:rsidRPr="00511005">
        <w:rPr>
          <w:rFonts w:ascii="Arial" w:eastAsia="Times New Roman" w:hAnsi="Arial" w:cs="Arial"/>
          <w:i/>
          <w:iCs/>
          <w:szCs w:val="28"/>
          <w:lang w:eastAsia="ru-RU"/>
        </w:rPr>
        <w:t>Вісник Національного університету «Львівська політехніка»</w:t>
      </w:r>
      <w:r w:rsidRPr="00511005">
        <w:rPr>
          <w:rFonts w:ascii="Arial" w:eastAsia="Times New Roman" w:hAnsi="Arial" w:cs="Arial"/>
          <w:szCs w:val="28"/>
          <w:lang w:eastAsia="ru-RU"/>
        </w:rPr>
        <w:t xml:space="preserve">. 2023. </w:t>
      </w:r>
      <w:r w:rsidRPr="00511005">
        <w:rPr>
          <w:rFonts w:ascii="Arial" w:eastAsia="Times New Roman" w:hAnsi="Arial" w:cs="Arial"/>
          <w:szCs w:val="28"/>
          <w:lang w:val="uk-UA" w:eastAsia="ru-RU"/>
        </w:rPr>
        <w:t>Volume</w:t>
      </w:r>
      <w:r w:rsidRPr="00511005">
        <w:rPr>
          <w:rFonts w:ascii="Arial" w:eastAsia="Times New Roman" w:hAnsi="Arial" w:cs="Arial"/>
          <w:szCs w:val="28"/>
          <w:lang w:eastAsia="ru-RU"/>
        </w:rPr>
        <w:t xml:space="preserve"> 10 № 4(40). 446 с.</w:t>
      </w:r>
      <w:r w:rsidRPr="00511005">
        <w:rPr>
          <w:rFonts w:ascii="Arial" w:eastAsia="Times New Roman" w:hAnsi="Arial" w:cs="Arial"/>
          <w:szCs w:val="28"/>
          <w:lang w:val="uk-UA" w:eastAsia="ru-RU"/>
        </w:rPr>
        <w:t xml:space="preserve"> URL</w:t>
      </w:r>
      <w:r w:rsidRPr="00511005">
        <w:rPr>
          <w:rFonts w:ascii="Arial" w:eastAsia="Times New Roman" w:hAnsi="Arial" w:cs="Arial"/>
          <w:szCs w:val="28"/>
          <w:lang w:eastAsia="ru-RU"/>
        </w:rPr>
        <w:t xml:space="preserve">: </w:t>
      </w:r>
      <w:hyperlink r:id="rId653" w:history="1">
        <w:r w:rsidRPr="00511005">
          <w:rPr>
            <w:rFonts w:ascii="Arial" w:eastAsia="Times New Roman" w:hAnsi="Arial" w:cs="Arial"/>
            <w:szCs w:val="28"/>
            <w:lang w:val="uk-UA"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science</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lpnu</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sites</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default</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files</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journal </w:t>
        </w:r>
      </w:hyperlink>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(дата звернення 05.05.2025)</w:t>
      </w:r>
    </w:p>
    <w:p w14:paraId="35850809"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4B92053B" w14:textId="343B320A"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військовополонені, міжнародне гуманітарне право, Женевські конвенції, збройні конфлікти, права людини, правовий статус.</w:t>
      </w:r>
    </w:p>
    <w:p w14:paraId="3BDF789C" w14:textId="48C99271"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prisoners of war, international humanitarian law, Geneva Conventions, armed conflicts, human rights, legal status.</w:t>
      </w:r>
    </w:p>
    <w:p w14:paraId="0722B9CA" w14:textId="27671F38"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 xml:space="preserve">к. ю. н., доцент Дронов В. Ю. </w:t>
      </w:r>
    </w:p>
    <w:p w14:paraId="5A3E27F0" w14:textId="7C28BFD5" w:rsidR="00220D3E" w:rsidRPr="00511005" w:rsidRDefault="00220D3E" w:rsidP="003A292D">
      <w:pPr>
        <w:tabs>
          <w:tab w:val="left" w:pos="709"/>
        </w:tabs>
        <w:spacing w:line="264" w:lineRule="auto"/>
        <w:rPr>
          <w:rFonts w:ascii="Arial" w:eastAsia="Times New Roman" w:hAnsi="Arial" w:cs="Arial"/>
          <w:szCs w:val="28"/>
          <w:lang w:val="uk-UA" w:eastAsia="ru-RU"/>
        </w:rPr>
      </w:pPr>
    </w:p>
    <w:p w14:paraId="425456F9" w14:textId="77777777" w:rsidR="001E775A" w:rsidRPr="00511005" w:rsidRDefault="001E775A" w:rsidP="003A292D">
      <w:pPr>
        <w:tabs>
          <w:tab w:val="left" w:pos="709"/>
        </w:tabs>
        <w:spacing w:line="264" w:lineRule="auto"/>
        <w:rPr>
          <w:rFonts w:ascii="Arial" w:eastAsia="Times New Roman" w:hAnsi="Arial" w:cs="Arial"/>
          <w:szCs w:val="28"/>
          <w:lang w:val="uk-UA" w:eastAsia="ru-RU"/>
        </w:rPr>
      </w:pPr>
    </w:p>
    <w:p w14:paraId="13EB4D40" w14:textId="38996D64"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Сень Дарʼя</w:t>
      </w:r>
      <w:r w:rsidRPr="00511005">
        <w:rPr>
          <w:rFonts w:ascii="Arial" w:eastAsia="Times New Roman" w:hAnsi="Arial" w:cs="Arial"/>
          <w:b/>
          <w:bCs/>
          <w:szCs w:val="28"/>
          <w:lang w:val="uk-UA" w:eastAsia="ru-RU"/>
        </w:rPr>
        <w:t xml:space="preserve"> Романівна</w:t>
      </w:r>
    </w:p>
    <w:p w14:paraId="44FF40E1" w14:textId="7EF27CEC" w:rsidR="00220D3E" w:rsidRPr="00511005" w:rsidRDefault="00536AAB" w:rsidP="003A292D">
      <w:pPr>
        <w:tabs>
          <w:tab w:val="left" w:pos="709"/>
        </w:tabs>
        <w:spacing w:line="264" w:lineRule="auto"/>
        <w:jc w:val="center"/>
        <w:rPr>
          <w:rFonts w:ascii="Arial" w:eastAsia="Times New Roman" w:hAnsi="Arial" w:cs="Arial"/>
          <w:iCs/>
          <w:szCs w:val="28"/>
          <w:lang w:eastAsia="ru-RU"/>
        </w:rPr>
      </w:pPr>
      <w:r w:rsidRPr="00511005">
        <w:rPr>
          <w:rFonts w:ascii="Arial" w:eastAsia="Times New Roman" w:hAnsi="Arial" w:cs="Arial"/>
          <w:iCs/>
          <w:szCs w:val="28"/>
          <w:lang w:eastAsia="ru-RU"/>
        </w:rPr>
        <w:t xml:space="preserve">студентка 2-го курсу </w:t>
      </w:r>
      <w:r w:rsidR="001B7B25" w:rsidRPr="00511005">
        <w:rPr>
          <w:rFonts w:ascii="Arial" w:eastAsia="Times New Roman" w:hAnsi="Arial" w:cs="Arial"/>
          <w:iCs/>
          <w:szCs w:val="28"/>
          <w:lang w:eastAsia="ru-RU"/>
        </w:rPr>
        <w:t>факультету судового та міжнародного права</w:t>
      </w:r>
    </w:p>
    <w:p w14:paraId="0F68CD29" w14:textId="2EB5E7C9" w:rsidR="00220D3E" w:rsidRPr="00511005" w:rsidRDefault="007B2628" w:rsidP="003A292D">
      <w:pPr>
        <w:tabs>
          <w:tab w:val="left" w:pos="709"/>
        </w:tabs>
        <w:spacing w:line="264" w:lineRule="auto"/>
        <w:jc w:val="center"/>
        <w:rPr>
          <w:rFonts w:ascii="Arial" w:eastAsia="Times New Roman" w:hAnsi="Arial" w:cs="Arial"/>
          <w:iCs/>
          <w:szCs w:val="28"/>
          <w:lang w:val="uk-UA"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42935411"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290CF688" w14:textId="77777777" w:rsidR="00220D3E"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ЗЛОЧИНИ ГЕНОЦИДУ: МІЖНАРОДНО-ПРАВОВА ХАРАКТЕРИСТИКА ТА ПРИТЯГНЕННЯ ДО ВІДПОВІДАЛЬНОСТІ</w:t>
      </w:r>
    </w:p>
    <w:p w14:paraId="715A778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Геноцид є одним із найтяжчих міжнародних злочинів, що посягає на фундаментальні права людини та основи існування цілих народів. Його правове визначення та механізми покарання закріплені в низці міжнародних договорів, зокрема у Конвенції ООН про запобігання злочину геноциду та покарання за нього (1948). Злочини геноциду спрямовані на знищення національних, етнічних, расових або релігійних груп і мають особливий склад — намір повного чи часткового винищення таких груп. У даній роботі буде проаналізовано міжнародно-правову характеристику геноциду, його юридичні ознаки та механізми притягнення до відповідальності, включаючи діяльність міжнародних трибуналів і національних судових органів.</w:t>
      </w:r>
    </w:p>
    <w:p w14:paraId="36A851C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Поняття геноциду як міжнародного злочину вперше було визнано у Резолюції Генеральної Асамблеї ООН від 11 грудня 1946 року. Подальше визначення геноциду було у Резолюції ООН 180 (II) від 21 листопада 1947 року, в якій зазначалося, що геноцид є злочином міжнародного характеру, що тягне за собою як національну, так і міжнародну відповідальність фізичних осіб і держав. Наступним вагомим кроком стало прийняття 9 грудня 1948 року Конвенції ООН про запобігання злочину геноциду і покарання за нього, яка набула чинності у 1951 році й стала основоположним документом у сфері міжнародно-правової боротьби з геноцидом. Згідно зі ст. 2 Конвенції про запобігання злочину геноциду і покарання за нього «геноцид» означає будь-яке з наступних діянь, що вчиняються з наміром знищити, повністю або частково, яку-небудь національну, етнічну, расову або релігійну групу як таку [1, c. 1]:</w:t>
      </w:r>
    </w:p>
    <w:p w14:paraId="72553F8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а) вбивство членів такої групи;</w:t>
      </w:r>
    </w:p>
    <w:p w14:paraId="4B73769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b) заподіяння серйозних тілесних ушкоджень або розумового розладу членам такої групи;</w:t>
      </w:r>
    </w:p>
    <w:p w14:paraId="2799303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c) навмисне створення для будь-якої групи таких життєвих умов, які розраховані на повне або часткове фізичне знищення її;</w:t>
      </w:r>
    </w:p>
    <w:p w14:paraId="3ADC3C2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d) заходи, розраховані на запобігання дітородіння в середовищі такої групи;</w:t>
      </w:r>
    </w:p>
    <w:p w14:paraId="2DFD3DA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е) насильницька передача дітей з однієї людської групи в іншу.</w:t>
      </w:r>
    </w:p>
    <w:p w14:paraId="6733D99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Зважаючи на вище заначені Конвенції спробуємо охарактеризувати геноцид: По-перше, такі діяння можуть бути спрямовані як проти окремих осіб, так і проти великої кількості людей. Хоча вони можуть за формою нагадувати інші злочини, такі як вбивство або викрадення, їх віднесення </w:t>
      </w:r>
      <w:proofErr w:type="gramStart"/>
      <w:r w:rsidRPr="00511005">
        <w:rPr>
          <w:rFonts w:ascii="Arial" w:eastAsia="Times New Roman" w:hAnsi="Arial" w:cs="Arial"/>
          <w:szCs w:val="28"/>
          <w:lang w:eastAsia="ru-RU"/>
        </w:rPr>
        <w:t>до геноциду</w:t>
      </w:r>
      <w:proofErr w:type="gramEnd"/>
      <w:r w:rsidRPr="00511005">
        <w:rPr>
          <w:rFonts w:ascii="Arial" w:eastAsia="Times New Roman" w:hAnsi="Arial" w:cs="Arial"/>
          <w:szCs w:val="28"/>
          <w:lang w:eastAsia="ru-RU"/>
        </w:rPr>
        <w:t xml:space="preserve"> вимагає встановлення специфічної ознаки. Тому щоб визнати такий злочин геноцидом, потрібно встановити ряд ознак: наявність наміру особи знищити, повністю або частково, цю національну, расову, релігійну або етнічну групу як таку. </w:t>
      </w:r>
    </w:p>
    <w:p w14:paraId="4B2F0AC3" w14:textId="09788AF0" w:rsidR="00220D3E" w:rsidRPr="00511005" w:rsidRDefault="00220D3E" w:rsidP="003A292D">
      <w:pPr>
        <w:tabs>
          <w:tab w:val="left" w:pos="709"/>
        </w:tabs>
        <w:spacing w:line="264" w:lineRule="auto"/>
        <w:rPr>
          <w:rFonts w:ascii="Arial" w:eastAsia="Times New Roman" w:hAnsi="Arial" w:cs="Arial"/>
          <w:szCs w:val="28"/>
          <w:lang w:eastAsia="ru-RU"/>
        </w:rPr>
      </w:pPr>
      <w:proofErr w:type="gramStart"/>
      <w:r w:rsidRPr="00511005">
        <w:rPr>
          <w:rFonts w:ascii="Arial" w:eastAsia="Times New Roman" w:hAnsi="Arial" w:cs="Arial"/>
          <w:szCs w:val="28"/>
          <w:lang w:eastAsia="ru-RU"/>
        </w:rPr>
        <w:t>По-друге</w:t>
      </w:r>
      <w:proofErr w:type="gramEnd"/>
      <w:r w:rsidRPr="00511005">
        <w:rPr>
          <w:rFonts w:ascii="Arial" w:eastAsia="Times New Roman" w:hAnsi="Arial" w:cs="Arial"/>
          <w:szCs w:val="28"/>
          <w:lang w:eastAsia="ru-RU"/>
        </w:rPr>
        <w:t>, для притягнення до відповідальності необхідно довести наявність спеціального умислу (dolus specialis) — цілеспрямованого наміру знищити цю групу як окремий суб’єкт. Це є обов’язковою складовою злочину.</w:t>
      </w:r>
      <w:r w:rsidR="007B2628" w:rsidRPr="00511005">
        <w:rPr>
          <w:rFonts w:ascii="Arial" w:eastAsia="Times New Roman" w:hAnsi="Arial" w:cs="Arial"/>
          <w:szCs w:val="28"/>
          <w:lang w:eastAsia="ru-RU"/>
        </w:rPr>
        <w:t xml:space="preserve"> </w:t>
      </w:r>
    </w:p>
    <w:p w14:paraId="66BCA85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Для подальшого аналізу злочину потрібно визначити відмінність часткового знищення та знищеня групи як таку. Перше означає намір ліквідувати значну частину представників групи, що повинно відповідати критерію суттєвості, а друге — вказує на прагнення знищити саму групу як окрему соціальну одиницю. Кінцевою метою є знищення групи, хоча це обов’язково вимагає вчинення злочинів проти її членів. Проаналізувавши і охарактеризувавши визначення геноциду, можна зробити висновок, що основною відмінністю геноциду від інших міжнародних злочинів є спеціальний суб’єктивний елемент – намір </w:t>
      </w:r>
      <w:r w:rsidRPr="00511005">
        <w:rPr>
          <w:rFonts w:ascii="Arial" w:eastAsia="Times New Roman" w:hAnsi="Arial" w:cs="Arial"/>
          <w:b/>
          <w:bCs/>
          <w:i/>
          <w:iCs/>
          <w:szCs w:val="28"/>
          <w:lang w:eastAsia="ru-RU"/>
        </w:rPr>
        <w:t>(dolus specialis)</w:t>
      </w:r>
      <w:r w:rsidRPr="00511005">
        <w:rPr>
          <w:rFonts w:ascii="Arial" w:eastAsia="Times New Roman" w:hAnsi="Arial" w:cs="Arial"/>
          <w:szCs w:val="28"/>
          <w:lang w:eastAsia="ru-RU"/>
        </w:rPr>
        <w:t xml:space="preserve"> знищити групу повністю або частково. Саме ця ознака відрізняє геноцид від злочинів проти людяності, воєнних злочинів та етнічних чисток. Аналогічне визначення геноциду міститься у низці міжнародних документів, зокрема у Статуті Міжнародного кримінального трибуналу для колишньої Югославії (ст. 4), Статуті Міжнародного кримінального трибуналу для Руанди (ст. 2) та Римському статуті Міжнародного кримінального суду (ст. 6) [2, с. 2–5].</w:t>
      </w:r>
    </w:p>
    <w:p w14:paraId="6E91FE3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Згідно зі ст. 3 Конвенції ООН про запобігання злочину геноциду та покарання за нього 1948 р. покарання передбачається за такі діяння: а) геноцид; б) змова з метою здійснення геноциду; в) пряме і публічне підбурювання до здійснення геноциду; г) замах на здійснення геноциду; д) співучасть у геноциді [1, c. 1].</w:t>
      </w:r>
    </w:p>
    <w:p w14:paraId="71D29F8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Субʼєктом геноциду відповідно до цієї Конвенції може бути як фізичні особи які є безпосередними виконавцями, так і держава може нести відповідальність за геноцид, якщо він був здійснений як частина її офіційної </w:t>
      </w:r>
      <w:r w:rsidRPr="00511005">
        <w:rPr>
          <w:rFonts w:ascii="Arial" w:eastAsia="Times New Roman" w:hAnsi="Arial" w:cs="Arial"/>
          <w:szCs w:val="28"/>
          <w:lang w:eastAsia="ru-RU"/>
        </w:rPr>
        <w:lastRenderedPageBreak/>
        <w:t>політики або якщо вона не запобігла злочину на своїй території. Так в ст. 4 Конвенції ООН про запобігання злочину геноциду та покарання за нього 1948 р. зазначено, що особи, які здійснюють геноцид або інші з перерахованих у статті 3 діянь, підлягають покаранню незалежно від того, чи є вони відповідальними за конституцією правителями, посадовими або приватними особами. Таким чином, відповідальність несуть як особи, що віддають накази, так і ті, хто їх виконує. Правосуддя вимагає, щоб усі ці особи несли відповідальність за скоєне. У ст. 6 цієї Конвенції, зокрема, зазначено, що одним із способів здійснення правосуддя є притягнення до відповідальності судом держави, на території якої було скоєно злочин. Це є суттєвим недоліком Конвенції, бо відсутня норма, яка б зобов’язала держави-учасниці здійснювати екстрадицію винних у геноциді осіб. Також не враховується і те, що субʼєктом може бути субʼєкт владних повноважень, який здійснює такий злочин.</w:t>
      </w:r>
    </w:p>
    <w:p w14:paraId="383F018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зв'язку з цим у теорії міжнародного кримінального права зазначається на складнощі та неоднозначності процесу залучення до відповідальності безпосередніх виконавців окремих дій, що входять </w:t>
      </w:r>
      <w:proofErr w:type="gramStart"/>
      <w:r w:rsidRPr="00511005">
        <w:rPr>
          <w:rFonts w:ascii="Arial" w:eastAsia="Times New Roman" w:hAnsi="Arial" w:cs="Arial"/>
          <w:szCs w:val="28"/>
          <w:lang w:eastAsia="ru-RU"/>
        </w:rPr>
        <w:t>до складу</w:t>
      </w:r>
      <w:proofErr w:type="gramEnd"/>
      <w:r w:rsidRPr="00511005">
        <w:rPr>
          <w:rFonts w:ascii="Arial" w:eastAsia="Times New Roman" w:hAnsi="Arial" w:cs="Arial"/>
          <w:szCs w:val="28"/>
          <w:lang w:eastAsia="ru-RU"/>
        </w:rPr>
        <w:t xml:space="preserve"> злочину геноциду. Яскравим прикладом притягнення до відповідальності за геноцид є справа Міжнародного кримінального суду "The Prosecutor v. Omar Hassan Ahmad Al Bashir". У звинуваченні зазначено, що з березня 2003 року до 14 липня 2008 року в Дарфурі тривав затяжний збройний конфлікт неміжнародного характеру між урядом Судану та кількома організованими збройними групами, зокрема суданською армією та Рухом за справедливість і рівність [3, с. 75].</w:t>
      </w:r>
    </w:p>
    <w:p w14:paraId="642B02F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Міжнародне право передбачає кілька механізмів покарання за геноцид. Одним із перших судових органів, що розглядали справи про геноцид, став Міжнародний військовий трибунал у Нюрнберзі (1945-1946), який притягнув до відповідальності нацистських лідерів.</w:t>
      </w:r>
    </w:p>
    <w:p w14:paraId="611CC26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Подальший розвиток системи міжнародного правосуддя привів до створення спеціалізованих міжнародних трибуналів, зокрема:</w:t>
      </w:r>
    </w:p>
    <w:p w14:paraId="275A9DA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iCs/>
          <w:szCs w:val="28"/>
          <w:lang w:eastAsia="ru-RU"/>
        </w:rPr>
        <w:t>Міжнародного трибуналу для колишньої Югославії</w:t>
      </w:r>
      <w:r w:rsidRPr="00511005">
        <w:rPr>
          <w:rFonts w:ascii="Arial" w:eastAsia="Times New Roman" w:hAnsi="Arial" w:cs="Arial"/>
          <w:szCs w:val="28"/>
          <w:lang w:eastAsia="ru-RU"/>
        </w:rPr>
        <w:t xml:space="preserve"> (МТКЮ, 1993-2017), який розглядав справи про геноцид у Сребрениці (1995);</w:t>
      </w:r>
    </w:p>
    <w:p w14:paraId="5A5E8D9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iCs/>
          <w:szCs w:val="28"/>
          <w:lang w:eastAsia="ru-RU"/>
        </w:rPr>
        <w:t>Міжнародного кримінального трибуналу для Руанди</w:t>
      </w:r>
      <w:r w:rsidRPr="00511005">
        <w:rPr>
          <w:rFonts w:ascii="Arial" w:eastAsia="Times New Roman" w:hAnsi="Arial" w:cs="Arial"/>
          <w:szCs w:val="28"/>
          <w:lang w:eastAsia="ru-RU"/>
        </w:rPr>
        <w:t xml:space="preserve"> (МТР, 1994-2015), що розслідував геноцид тутсі (1994);</w:t>
      </w:r>
    </w:p>
    <w:p w14:paraId="7869F09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iCs/>
          <w:szCs w:val="28"/>
          <w:lang w:eastAsia="ru-RU"/>
        </w:rPr>
        <w:t>Міжнародного кримінального суду</w:t>
      </w:r>
      <w:r w:rsidRPr="00511005">
        <w:rPr>
          <w:rFonts w:ascii="Arial" w:eastAsia="Times New Roman" w:hAnsi="Arial" w:cs="Arial"/>
          <w:szCs w:val="28"/>
          <w:lang w:eastAsia="ru-RU"/>
        </w:rPr>
        <w:t xml:space="preserve"> (МКС), який був створений на основі Римського статуту (1998) та має юрисдикцію щодо геноциду, воєнних злочинів і злочинів проти людяності [2, c. 75].</w:t>
      </w:r>
    </w:p>
    <w:p w14:paraId="133F561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Кожна країна може сама притягувати до відповідальності осіб, які вчинили злочин геноциду,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національної юрисдикції. Відповідно </w:t>
      </w:r>
      <w:proofErr w:type="gramStart"/>
      <w:r w:rsidRPr="00511005">
        <w:rPr>
          <w:rFonts w:ascii="Arial" w:eastAsia="Times New Roman" w:hAnsi="Arial" w:cs="Arial"/>
          <w:szCs w:val="28"/>
          <w:lang w:eastAsia="ru-RU"/>
        </w:rPr>
        <w:t>до принципу</w:t>
      </w:r>
      <w:proofErr w:type="gramEnd"/>
      <w:r w:rsidRPr="00511005">
        <w:rPr>
          <w:rFonts w:ascii="Arial" w:eastAsia="Times New Roman" w:hAnsi="Arial" w:cs="Arial"/>
          <w:szCs w:val="28"/>
          <w:lang w:eastAsia="ru-RU"/>
        </w:rPr>
        <w:t xml:space="preserve"> юрисдикції в міжнародному праві, держави мають зобов'язання притягувати до відповідальності осіб, винних у скоєнні злочинів, у тому числі геноциду, на основі їхніх внутрішніх законів. Це може здійснюватися через </w:t>
      </w:r>
      <w:r w:rsidRPr="00511005">
        <w:rPr>
          <w:rFonts w:ascii="Arial" w:eastAsia="Times New Roman" w:hAnsi="Arial" w:cs="Arial"/>
          <w:szCs w:val="28"/>
          <w:lang w:eastAsia="ru-RU"/>
        </w:rPr>
        <w:lastRenderedPageBreak/>
        <w:t xml:space="preserve">національні суди або за допомогою механізмів, передбачених міжнародними договорами, такими як Римський статут Міжнародного кримінального суду. Так в Україні відповідно до ст. 442 ККУ геноцид карається позбавленням волі </w:t>
      </w:r>
      <w:proofErr w:type="gramStart"/>
      <w:r w:rsidRPr="00511005">
        <w:rPr>
          <w:rFonts w:ascii="Arial" w:eastAsia="Times New Roman" w:hAnsi="Arial" w:cs="Arial"/>
          <w:szCs w:val="28"/>
          <w:lang w:eastAsia="ru-RU"/>
        </w:rPr>
        <w:t>на строк</w:t>
      </w:r>
      <w:proofErr w:type="gramEnd"/>
      <w:r w:rsidRPr="00511005">
        <w:rPr>
          <w:rFonts w:ascii="Arial" w:eastAsia="Times New Roman" w:hAnsi="Arial" w:cs="Arial"/>
          <w:szCs w:val="28"/>
          <w:lang w:eastAsia="ru-RU"/>
        </w:rPr>
        <w:t xml:space="preserve"> від десяти до п’ятнадцяти років або довічним позбавленням волі [4].</w:t>
      </w:r>
    </w:p>
    <w:p w14:paraId="7FD6F27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геноцид є міжнародним злочином, що посягає не лише на фізичне існування окремих осіб, а й на культурну, етнічну та соціальну самобутність цілих спільнот. Його особливість полягає в наявності умислу знищення окремої групи як такої. Правове визначення геноциду вперше було закріплене в Резолюції Генеральної Асамблеї ООН (1946), а згодом деталізоване в Конвенції 1948 року, яка стала основним джерелом міжнародного права у боротьбі з геноцидом. Незважаючи на наявність чітко регламентованих норм міжнародного права, практика притягнення до відповідальності досі є неоднозначною та складною. Тому подальше удосконалення міжнародної та національної юрисдикції є необхідною умовою для попередження нових актів геноциду та зміцнення системи міжнародного правопорядку.</w:t>
      </w:r>
    </w:p>
    <w:p w14:paraId="7421BDD0" w14:textId="2934E8A2" w:rsidR="00220D3E" w:rsidRPr="00511005" w:rsidRDefault="007B2628" w:rsidP="007B2628">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4D7BC016" w14:textId="7B004A1F" w:rsidR="00220D3E" w:rsidRPr="00511005" w:rsidRDefault="00220D3E" w:rsidP="003F6A5D">
      <w:pPr>
        <w:numPr>
          <w:ilvl w:val="0"/>
          <w:numId w:val="186"/>
        </w:numPr>
        <w:tabs>
          <w:tab w:val="left" w:pos="709"/>
        </w:tabs>
        <w:spacing w:line="264" w:lineRule="auto"/>
        <w:ind w:left="0" w:firstLine="709"/>
        <w:contextualSpacing/>
        <w:jc w:val="left"/>
        <w:rPr>
          <w:rFonts w:ascii="Arial" w:eastAsia="Times New Roman" w:hAnsi="Arial" w:cs="Arial"/>
          <w:szCs w:val="28"/>
        </w:rPr>
      </w:pPr>
      <w:r w:rsidRPr="00511005">
        <w:rPr>
          <w:rFonts w:ascii="Arial" w:eastAsia="Times New Roman" w:hAnsi="Arial" w:cs="Arial"/>
          <w:szCs w:val="28"/>
        </w:rPr>
        <w:t xml:space="preserve">Конвенция о предупреждении преступления геноцида и наказании за него, 9 декабря 1948 года. A/RES/260 A (III). Офіційний сайт </w:t>
      </w:r>
      <w:proofErr w:type="gramStart"/>
      <w:r w:rsidRPr="00511005">
        <w:rPr>
          <w:rFonts w:ascii="Arial" w:eastAsia="Times New Roman" w:hAnsi="Arial" w:cs="Arial"/>
          <w:szCs w:val="28"/>
        </w:rPr>
        <w:t>Верховної</w:t>
      </w:r>
      <w:proofErr w:type="gramEnd"/>
      <w:r w:rsidRPr="00511005">
        <w:rPr>
          <w:rFonts w:ascii="Arial" w:eastAsia="Times New Roman" w:hAnsi="Arial" w:cs="Arial"/>
          <w:szCs w:val="28"/>
        </w:rPr>
        <w:t xml:space="preserve"> Ради України. URL:</w:t>
      </w:r>
      <w:r w:rsidR="007B2628" w:rsidRPr="00511005">
        <w:rPr>
          <w:rFonts w:ascii="Arial" w:eastAsia="Times New Roman" w:hAnsi="Arial" w:cs="Arial"/>
          <w:szCs w:val="28"/>
        </w:rPr>
        <w:t xml:space="preserve"> </w:t>
      </w:r>
      <w:r w:rsidRPr="00511005">
        <w:rPr>
          <w:rFonts w:ascii="Arial" w:eastAsia="Times New Roman" w:hAnsi="Arial" w:cs="Arial"/>
          <w:szCs w:val="28"/>
        </w:rPr>
        <w:t>http://zakon4.rada.gov.ua/laws/show/995_155.</w:t>
      </w:r>
    </w:p>
    <w:p w14:paraId="1F84D8A5" w14:textId="77777777" w:rsidR="00220D3E" w:rsidRPr="00511005" w:rsidRDefault="00220D3E" w:rsidP="003F6A5D">
      <w:pPr>
        <w:numPr>
          <w:ilvl w:val="0"/>
          <w:numId w:val="186"/>
        </w:numPr>
        <w:tabs>
          <w:tab w:val="left" w:pos="709"/>
        </w:tabs>
        <w:spacing w:line="264" w:lineRule="auto"/>
        <w:ind w:left="0" w:firstLine="709"/>
        <w:contextualSpacing/>
        <w:jc w:val="left"/>
        <w:rPr>
          <w:rFonts w:ascii="Arial" w:eastAsia="Times New Roman" w:hAnsi="Arial" w:cs="Arial"/>
          <w:szCs w:val="28"/>
          <w:lang w:val="en-US"/>
        </w:rPr>
      </w:pPr>
      <w:r w:rsidRPr="00511005">
        <w:rPr>
          <w:rFonts w:ascii="Arial" w:eastAsia="Times New Roman" w:hAnsi="Arial" w:cs="Arial"/>
          <w:szCs w:val="28"/>
          <w:lang w:val="en-US"/>
        </w:rPr>
        <w:t>Elements of Crimes / Published by the International Criminal Court. The Hague (The Netherlands</w:t>
      </w:r>
      <w:proofErr w:type="gramStart"/>
      <w:r w:rsidRPr="00511005">
        <w:rPr>
          <w:rFonts w:ascii="Arial" w:eastAsia="Times New Roman" w:hAnsi="Arial" w:cs="Arial"/>
          <w:szCs w:val="28"/>
          <w:lang w:val="en-US"/>
        </w:rPr>
        <w:t>) :</w:t>
      </w:r>
      <w:proofErr w:type="gramEnd"/>
      <w:r w:rsidRPr="00511005">
        <w:rPr>
          <w:rFonts w:ascii="Arial" w:eastAsia="Times New Roman" w:hAnsi="Arial" w:cs="Arial"/>
          <w:szCs w:val="28"/>
          <w:lang w:val="en-US"/>
        </w:rPr>
        <w:t xml:space="preserve"> International Criminal Court, 2013. 30 p. The site of 197 8/2017 МІЖНАРОДНЕ ПРАВО the International Criminal Court. URL: </w:t>
      </w:r>
      <w:hyperlink r:id="rId654">
        <w:r w:rsidRPr="00511005">
          <w:rPr>
            <w:rFonts w:ascii="Arial" w:eastAsia="Times New Roman" w:hAnsi="Arial" w:cs="Arial"/>
            <w:szCs w:val="28"/>
            <w:lang w:val="en-US"/>
          </w:rPr>
          <w:t>https://www.icc-cpi.int/resource-library/Documents/</w:t>
        </w:r>
      </w:hyperlink>
      <w:r w:rsidRPr="00511005">
        <w:rPr>
          <w:rFonts w:ascii="Arial" w:eastAsia="Times New Roman" w:hAnsi="Arial" w:cs="Arial"/>
          <w:szCs w:val="28"/>
          <w:lang w:val="en-US"/>
        </w:rPr>
        <w:t xml:space="preserve"> ElementsOfCrimesEng.pdf.</w:t>
      </w:r>
    </w:p>
    <w:p w14:paraId="467804D0" w14:textId="77777777" w:rsidR="00220D3E" w:rsidRPr="00511005" w:rsidRDefault="00220D3E" w:rsidP="003F6A5D">
      <w:pPr>
        <w:numPr>
          <w:ilvl w:val="0"/>
          <w:numId w:val="186"/>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Times New Roman" w:hAnsi="Arial" w:cs="Arial"/>
          <w:szCs w:val="28"/>
          <w:lang w:val="en-US"/>
        </w:rPr>
        <w:t xml:space="preserve">THE ESSENCE OF THE DIFINITION CRIME OF GENOCIDE IN INTERNATIONAL Law Хаустова М.Г URL: </w:t>
      </w:r>
      <w:hyperlink r:id="rId655">
        <w:r w:rsidRPr="00511005">
          <w:rPr>
            <w:rFonts w:ascii="Arial" w:eastAsia="Calibri" w:hAnsi="Arial" w:cs="Arial"/>
            <w:szCs w:val="28"/>
            <w:lang w:val="en-US"/>
          </w:rPr>
          <w:t>СУТНІСТь ПОНЯТТЯ ЗЛОЧиНУ ГЕНОЦиДУ В ...Електронний репозитарій ДВНЗ "УжНУ"https://dspace.uzhnu.edu.ua › jspui › bitstream › lib</w:t>
        </w:r>
      </w:hyperlink>
    </w:p>
    <w:p w14:paraId="055D755C" w14:textId="77777777" w:rsidR="00220D3E" w:rsidRPr="00511005" w:rsidRDefault="00220D3E" w:rsidP="003F6A5D">
      <w:pPr>
        <w:numPr>
          <w:ilvl w:val="0"/>
          <w:numId w:val="186"/>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Times New Roman" w:hAnsi="Arial" w:cs="Arial"/>
          <w:szCs w:val="28"/>
        </w:rPr>
        <w:t>КРИМІНАЛЬНИЙ</w:t>
      </w:r>
      <w:r w:rsidRPr="00511005">
        <w:rPr>
          <w:rFonts w:ascii="Arial" w:eastAsia="Times New Roman" w:hAnsi="Arial" w:cs="Arial"/>
          <w:szCs w:val="28"/>
          <w:lang w:val="en-US"/>
        </w:rPr>
        <w:t xml:space="preserve"> </w:t>
      </w:r>
      <w:r w:rsidRPr="00511005">
        <w:rPr>
          <w:rFonts w:ascii="Arial" w:eastAsia="Times New Roman" w:hAnsi="Arial" w:cs="Arial"/>
          <w:szCs w:val="28"/>
        </w:rPr>
        <w:t>КОДЕКС</w:t>
      </w:r>
      <w:r w:rsidRPr="00511005">
        <w:rPr>
          <w:rFonts w:ascii="Arial" w:eastAsia="Times New Roman" w:hAnsi="Arial" w:cs="Arial"/>
          <w:szCs w:val="28"/>
          <w:lang w:val="en-US"/>
        </w:rPr>
        <w:t xml:space="preserve"> </w:t>
      </w:r>
      <w:r w:rsidRPr="00511005">
        <w:rPr>
          <w:rFonts w:ascii="Arial" w:eastAsia="Times New Roman" w:hAnsi="Arial" w:cs="Arial"/>
          <w:szCs w:val="28"/>
        </w:rPr>
        <w:t>УКРАЇНИ</w:t>
      </w:r>
      <w:r w:rsidRPr="00511005">
        <w:rPr>
          <w:rFonts w:ascii="Arial" w:eastAsia="Times New Roman" w:hAnsi="Arial" w:cs="Arial"/>
          <w:szCs w:val="28"/>
          <w:lang w:val="en-US"/>
        </w:rPr>
        <w:t xml:space="preserve"> (</w:t>
      </w:r>
      <w:r w:rsidRPr="00511005">
        <w:rPr>
          <w:rFonts w:ascii="Arial" w:eastAsia="Times New Roman" w:hAnsi="Arial" w:cs="Arial"/>
          <w:szCs w:val="28"/>
        </w:rPr>
        <w:t>Відомості</w:t>
      </w:r>
      <w:r w:rsidRPr="00511005">
        <w:rPr>
          <w:rFonts w:ascii="Arial" w:eastAsia="Times New Roman" w:hAnsi="Arial" w:cs="Arial"/>
          <w:szCs w:val="28"/>
          <w:lang w:val="en-US"/>
        </w:rPr>
        <w:t xml:space="preserve"> </w:t>
      </w:r>
      <w:r w:rsidRPr="00511005">
        <w:rPr>
          <w:rFonts w:ascii="Arial" w:eastAsia="Times New Roman" w:hAnsi="Arial" w:cs="Arial"/>
          <w:szCs w:val="28"/>
        </w:rPr>
        <w:t>Верховної</w:t>
      </w:r>
      <w:r w:rsidRPr="00511005">
        <w:rPr>
          <w:rFonts w:ascii="Arial" w:eastAsia="Times New Roman" w:hAnsi="Arial" w:cs="Arial"/>
          <w:szCs w:val="28"/>
          <w:lang w:val="en-US"/>
        </w:rPr>
        <w:t xml:space="preserve"> </w:t>
      </w:r>
      <w:r w:rsidRPr="00511005">
        <w:rPr>
          <w:rFonts w:ascii="Arial" w:eastAsia="Times New Roman" w:hAnsi="Arial" w:cs="Arial"/>
          <w:szCs w:val="28"/>
        </w:rPr>
        <w:t>Ради</w:t>
      </w:r>
      <w:r w:rsidRPr="00511005">
        <w:rPr>
          <w:rFonts w:ascii="Arial" w:eastAsia="Times New Roman" w:hAnsi="Arial" w:cs="Arial"/>
          <w:szCs w:val="28"/>
          <w:lang w:val="en-US"/>
        </w:rPr>
        <w:t xml:space="preserve"> </w:t>
      </w:r>
      <w:r w:rsidRPr="00511005">
        <w:rPr>
          <w:rFonts w:ascii="Arial" w:eastAsia="Times New Roman" w:hAnsi="Arial" w:cs="Arial"/>
          <w:szCs w:val="28"/>
        </w:rPr>
        <w:t>України</w:t>
      </w:r>
      <w:r w:rsidRPr="00511005">
        <w:rPr>
          <w:rFonts w:ascii="Arial" w:eastAsia="Times New Roman" w:hAnsi="Arial" w:cs="Arial"/>
          <w:szCs w:val="28"/>
          <w:lang w:val="en-US"/>
        </w:rPr>
        <w:t xml:space="preserve"> (</w:t>
      </w:r>
      <w:r w:rsidRPr="00511005">
        <w:rPr>
          <w:rFonts w:ascii="Arial" w:eastAsia="Times New Roman" w:hAnsi="Arial" w:cs="Arial"/>
          <w:szCs w:val="28"/>
        </w:rPr>
        <w:t>ВВР</w:t>
      </w:r>
      <w:r w:rsidRPr="00511005">
        <w:rPr>
          <w:rFonts w:ascii="Arial" w:eastAsia="Times New Roman" w:hAnsi="Arial" w:cs="Arial"/>
          <w:szCs w:val="28"/>
          <w:lang w:val="en-US"/>
        </w:rPr>
        <w:t xml:space="preserve">), 2001, № 25-26, </w:t>
      </w:r>
      <w:r w:rsidRPr="00511005">
        <w:rPr>
          <w:rFonts w:ascii="Arial" w:eastAsia="Times New Roman" w:hAnsi="Arial" w:cs="Arial"/>
          <w:szCs w:val="28"/>
        </w:rPr>
        <w:t>ст</w:t>
      </w:r>
      <w:r w:rsidRPr="00511005">
        <w:rPr>
          <w:rFonts w:ascii="Arial" w:eastAsia="Times New Roman" w:hAnsi="Arial" w:cs="Arial"/>
          <w:szCs w:val="28"/>
          <w:lang w:val="en-US"/>
        </w:rPr>
        <w:t xml:space="preserve">.131) URL: </w:t>
      </w:r>
      <w:hyperlink r:id="rId656">
        <w:r w:rsidRPr="00511005">
          <w:rPr>
            <w:rFonts w:ascii="Arial" w:eastAsia="Calibri" w:hAnsi="Arial" w:cs="Arial"/>
            <w:szCs w:val="28"/>
          </w:rPr>
          <w:t>Кримінальний</w:t>
        </w:r>
        <w:r w:rsidRPr="00511005">
          <w:rPr>
            <w:rFonts w:ascii="Arial" w:eastAsia="Calibri" w:hAnsi="Arial" w:cs="Arial"/>
            <w:szCs w:val="28"/>
            <w:lang w:val="en-US"/>
          </w:rPr>
          <w:t xml:space="preserve"> </w:t>
        </w:r>
        <w:r w:rsidRPr="00511005">
          <w:rPr>
            <w:rFonts w:ascii="Arial" w:eastAsia="Calibri" w:hAnsi="Arial" w:cs="Arial"/>
            <w:szCs w:val="28"/>
          </w:rPr>
          <w:t>кодекс</w:t>
        </w:r>
        <w:r w:rsidRPr="00511005">
          <w:rPr>
            <w:rFonts w:ascii="Arial" w:eastAsia="Calibri" w:hAnsi="Arial" w:cs="Arial"/>
            <w:szCs w:val="28"/>
            <w:lang w:val="en-US"/>
          </w:rPr>
          <w:t xml:space="preserve"> </w:t>
        </w:r>
        <w:r w:rsidRPr="00511005">
          <w:rPr>
            <w:rFonts w:ascii="Arial" w:eastAsia="Calibri" w:hAnsi="Arial" w:cs="Arial"/>
            <w:szCs w:val="28"/>
          </w:rPr>
          <w:t>УкраїниОфіційний</w:t>
        </w:r>
        <w:r w:rsidRPr="00511005">
          <w:rPr>
            <w:rFonts w:ascii="Arial" w:eastAsia="Calibri" w:hAnsi="Arial" w:cs="Arial"/>
            <w:szCs w:val="28"/>
            <w:lang w:val="en-US"/>
          </w:rPr>
          <w:t xml:space="preserve"> </w:t>
        </w:r>
        <w:r w:rsidRPr="00511005">
          <w:rPr>
            <w:rFonts w:ascii="Arial" w:eastAsia="Calibri" w:hAnsi="Arial" w:cs="Arial"/>
            <w:szCs w:val="28"/>
          </w:rPr>
          <w:t>портал</w:t>
        </w:r>
        <w:r w:rsidRPr="00511005">
          <w:rPr>
            <w:rFonts w:ascii="Arial" w:eastAsia="Calibri" w:hAnsi="Arial" w:cs="Arial"/>
            <w:szCs w:val="28"/>
            <w:lang w:val="en-US"/>
          </w:rPr>
          <w:t xml:space="preserve"> </w:t>
        </w:r>
        <w:r w:rsidRPr="00511005">
          <w:rPr>
            <w:rFonts w:ascii="Arial" w:eastAsia="Calibri" w:hAnsi="Arial" w:cs="Arial"/>
            <w:szCs w:val="28"/>
          </w:rPr>
          <w:t>Верховної</w:t>
        </w:r>
        <w:r w:rsidRPr="00511005">
          <w:rPr>
            <w:rFonts w:ascii="Arial" w:eastAsia="Calibri" w:hAnsi="Arial" w:cs="Arial"/>
            <w:szCs w:val="28"/>
            <w:lang w:val="en-US"/>
          </w:rPr>
          <w:t xml:space="preserve"> </w:t>
        </w:r>
        <w:r w:rsidRPr="00511005">
          <w:rPr>
            <w:rFonts w:ascii="Arial" w:eastAsia="Calibri" w:hAnsi="Arial" w:cs="Arial"/>
            <w:szCs w:val="28"/>
          </w:rPr>
          <w:t>Ради</w:t>
        </w:r>
        <w:r w:rsidRPr="00511005">
          <w:rPr>
            <w:rFonts w:ascii="Arial" w:eastAsia="Calibri" w:hAnsi="Arial" w:cs="Arial"/>
            <w:szCs w:val="28"/>
            <w:lang w:val="en-US"/>
          </w:rPr>
          <w:t xml:space="preserve"> </w:t>
        </w:r>
        <w:r w:rsidRPr="00511005">
          <w:rPr>
            <w:rFonts w:ascii="Arial" w:eastAsia="Calibri" w:hAnsi="Arial" w:cs="Arial"/>
            <w:szCs w:val="28"/>
          </w:rPr>
          <w:t>України</w:t>
        </w:r>
        <w:r w:rsidRPr="00511005">
          <w:rPr>
            <w:rFonts w:ascii="Arial" w:eastAsia="Calibri" w:hAnsi="Arial" w:cs="Arial"/>
            <w:szCs w:val="28"/>
            <w:lang w:val="en-US"/>
          </w:rPr>
          <w:t>https://zakon.rada.gov.ua › ...</w:t>
        </w:r>
      </w:hyperlink>
    </w:p>
    <w:p w14:paraId="6D6BFD12" w14:textId="0FC2396A" w:rsidR="00220D3E" w:rsidRPr="00511005" w:rsidRDefault="007B2628" w:rsidP="003A292D">
      <w:pPr>
        <w:tabs>
          <w:tab w:val="left" w:pos="709"/>
        </w:tabs>
        <w:spacing w:line="264" w:lineRule="auto"/>
        <w:rPr>
          <w:rFonts w:ascii="Arial" w:eastAsia="Times New Roman" w:hAnsi="Arial" w:cs="Arial"/>
          <w:i/>
          <w:szCs w:val="28"/>
          <w:lang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 Грушко М.В.</w:t>
      </w:r>
    </w:p>
    <w:p w14:paraId="29213FF9" w14:textId="7B9FEA3A" w:rsidR="00DE2391" w:rsidRPr="00511005" w:rsidRDefault="00DE2391" w:rsidP="003A292D">
      <w:pPr>
        <w:tabs>
          <w:tab w:val="left" w:pos="709"/>
        </w:tabs>
        <w:spacing w:line="264" w:lineRule="auto"/>
        <w:rPr>
          <w:rFonts w:ascii="Arial" w:eastAsia="Times New Roman" w:hAnsi="Arial" w:cs="Arial"/>
          <w:i/>
          <w:szCs w:val="28"/>
          <w:lang w:eastAsia="ru-RU"/>
        </w:rPr>
      </w:pPr>
    </w:p>
    <w:p w14:paraId="40E9AACE" w14:textId="77777777" w:rsidR="00DE2391" w:rsidRPr="00511005" w:rsidRDefault="00DE2391" w:rsidP="003A292D">
      <w:pPr>
        <w:tabs>
          <w:tab w:val="left" w:pos="709"/>
        </w:tabs>
        <w:spacing w:line="264" w:lineRule="auto"/>
        <w:rPr>
          <w:rFonts w:ascii="Arial" w:eastAsia="Times New Roman" w:hAnsi="Arial" w:cs="Arial"/>
          <w:i/>
          <w:szCs w:val="28"/>
          <w:lang w:val="uk-UA" w:eastAsia="ru-RU"/>
        </w:rPr>
      </w:pPr>
    </w:p>
    <w:p w14:paraId="62D893A6" w14:textId="77777777" w:rsidR="00220D3E" w:rsidRPr="00511005" w:rsidRDefault="00220D3E" w:rsidP="003A292D">
      <w:pPr>
        <w:tabs>
          <w:tab w:val="left" w:pos="709"/>
        </w:tabs>
        <w:spacing w:line="264" w:lineRule="auto"/>
        <w:ind w:right="1134" w:firstLine="284"/>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Склярук Кирило Олександрович</w:t>
      </w:r>
    </w:p>
    <w:p w14:paraId="51F12E1C" w14:textId="412025B6"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 4-го курсу </w:t>
      </w:r>
    </w:p>
    <w:p w14:paraId="2C82C1DD"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F53FF06"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8065B2A" w14:textId="77777777" w:rsidR="00220D3E" w:rsidRPr="00511005" w:rsidRDefault="00220D3E" w:rsidP="003A292D">
      <w:pPr>
        <w:tabs>
          <w:tab w:val="left" w:pos="709"/>
        </w:tabs>
        <w:spacing w:line="264" w:lineRule="auto"/>
        <w:ind w:firstLine="0"/>
        <w:jc w:val="center"/>
        <w:rPr>
          <w:rFonts w:ascii="Arial" w:eastAsia="Times New Roman" w:hAnsi="Arial" w:cs="Arial"/>
          <w:szCs w:val="28"/>
          <w:lang w:val="uk-UA" w:eastAsia="ru-RU"/>
        </w:rPr>
      </w:pPr>
    </w:p>
    <w:p w14:paraId="06E44961"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lastRenderedPageBreak/>
        <w:t>ЗАХИСТ ПРАВ ЛГБТ СПІЛЬНОТИ ПІД ЧАС ВІЙНИ В УКРАЇНІ ТА ПРАКТИКА ЄСПЛ</w:t>
      </w:r>
    </w:p>
    <w:p w14:paraId="7EDFD00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Російсько-українська війна стала новим викликом для ЛГБТ-спільноти: у цей час громадяни в одностатевих стосунках зазнають суттєвих обмежень своїх пра</w:t>
      </w:r>
      <w:r w:rsidRPr="00511005">
        <w:rPr>
          <w:rFonts w:ascii="Arial" w:eastAsia="Times New Roman" w:hAnsi="Arial" w:cs="Arial"/>
          <w:szCs w:val="28"/>
          <w:lang w:val="uk-UA" w:eastAsia="ru-RU"/>
        </w:rPr>
        <w:t>в</w:t>
      </w:r>
      <w:r w:rsidRPr="00511005">
        <w:rPr>
          <w:rFonts w:ascii="Arial" w:eastAsia="Times New Roman" w:hAnsi="Arial" w:cs="Arial"/>
          <w:szCs w:val="28"/>
          <w:lang w:eastAsia="ru-RU"/>
        </w:rPr>
        <w:t xml:space="preserve">. Водночас держава зобов’язана дотримуватися основних принципів прав людини і міжнародного гуманітарного права навіть під час війни. Зокрема, гарантії заборони дискримінації закріплені в ст. 14 ЄКПЛ (і в ст. 1 протоколу № 12), які діють «без винятків» під час будь-якого конфлікту. Таким чином, заборона дискримінації за ознакою сексуальної орієнтації та гендерної ідентичності є обов’язковою незалежно від надзвичайного стану. Зокрема, міжнародні зобов’язання України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Конвенції про захист прав людини передбачають рівний доступ до всіх прав, включно з правом на сімейне та приватне життя (ст. 8 ЄКПЛ), без огляду на сексуальну орієнтацію і гендерну ідентичність.</w:t>
      </w:r>
    </w:p>
    <w:p w14:paraId="6B3C627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 українському законодавстві відсутнє спеціальне закріплення правового статусу ЛГБТ-спільнот, що призводить до значних прогалин у їхніх права. Конституція України забороняє дискримінацію, але списку ознак «іншої» чи «сексуальної орієнтації» явно не містить; тому спори про застосування ст. 24 Конституції щодо ЛГБТ вирішуються з урахуванням загальних засад. Проте на практиці бракує можливостей легально оформити сімейний статус одностатевих пар: вони не можуть укласти шлюб і, як наслідок, не отримують тих самих соціально-правових гарантій, що й традиційні сім’ї [2</w:t>
      </w:r>
      <w:r w:rsidRPr="00511005">
        <w:rPr>
          <w:rFonts w:ascii="Arial" w:eastAsia="Times New Roman" w:hAnsi="Arial" w:cs="Arial"/>
          <w:szCs w:val="28"/>
          <w:lang w:val="uk-UA" w:eastAsia="ru-RU"/>
        </w:rPr>
        <w:t>, ст</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151]</w:t>
      </w:r>
      <w:r w:rsidRPr="00511005">
        <w:rPr>
          <w:rFonts w:ascii="Arial" w:eastAsia="Times New Roman" w:hAnsi="Arial" w:cs="Arial"/>
          <w:szCs w:val="28"/>
          <w:lang w:eastAsia="ru-RU"/>
        </w:rPr>
        <w:t>. Наприклад, якщо ЛГБТ-військовий загинув, його партнер не може отримати передбачених законом компенсацій чи у спадок перенести майно загиблог</w:t>
      </w:r>
      <w:r w:rsidRPr="00511005">
        <w:rPr>
          <w:rFonts w:ascii="Arial" w:eastAsia="Times New Roman" w:hAnsi="Arial" w:cs="Arial"/>
          <w:szCs w:val="28"/>
          <w:lang w:val="uk-UA" w:eastAsia="ru-RU"/>
        </w:rPr>
        <w:t>о</w:t>
      </w:r>
      <w:r w:rsidRPr="00511005">
        <w:rPr>
          <w:rFonts w:ascii="Arial" w:eastAsia="Times New Roman" w:hAnsi="Arial" w:cs="Arial"/>
          <w:szCs w:val="28"/>
          <w:lang w:eastAsia="ru-RU"/>
        </w:rPr>
        <w:t xml:space="preserve">. Посібник з прав ЛГБТ зауважує, що ЄСПЛ відводить регулювання шлюбу національному законодавству, але підкреслює: </w:t>
      </w:r>
      <w:r w:rsidRPr="00511005">
        <w:rPr>
          <w:rFonts w:ascii="Arial" w:eastAsia="Times New Roman" w:hAnsi="Arial" w:cs="Arial"/>
          <w:bCs/>
          <w:szCs w:val="28"/>
          <w:lang w:eastAsia="ru-RU"/>
        </w:rPr>
        <w:t>стаття 14 ЄКПЛ забороняє дискримінацію при реалізації прав, гарантованих Конвенцією</w:t>
      </w:r>
      <w:r w:rsidRPr="00511005">
        <w:rPr>
          <w:rFonts w:ascii="Arial" w:eastAsia="Times New Roman" w:hAnsi="Arial" w:cs="Arial"/>
          <w:szCs w:val="28"/>
          <w:lang w:eastAsia="ru-RU"/>
        </w:rPr>
        <w:t>. Тобто будь-яка відмова визнати відносини осіб лише через їхню сексуальну орієнтацію вважається недопустимою [4</w:t>
      </w:r>
      <w:r w:rsidRPr="00511005">
        <w:rPr>
          <w:rFonts w:ascii="Arial" w:eastAsia="Times New Roman" w:hAnsi="Arial" w:cs="Arial"/>
          <w:szCs w:val="28"/>
          <w:lang w:val="uk-UA" w:eastAsia="ru-RU"/>
        </w:rPr>
        <w:t>, ст. 16]</w:t>
      </w:r>
      <w:r w:rsidRPr="00511005">
        <w:rPr>
          <w:rFonts w:ascii="Arial" w:eastAsia="Times New Roman" w:hAnsi="Arial" w:cs="Arial"/>
          <w:szCs w:val="28"/>
          <w:lang w:eastAsia="ru-RU"/>
        </w:rPr>
        <w:t>.</w:t>
      </w:r>
    </w:p>
    <w:p w14:paraId="0699C1C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Практика Європейського суду з прав людини демонструє системне посилення захисту ЛГБТ-прав. Зокрема, у справі </w:t>
      </w:r>
      <w:r w:rsidRPr="00511005">
        <w:rPr>
          <w:rFonts w:ascii="Arial" w:eastAsia="Times New Roman" w:hAnsi="Arial" w:cs="Arial"/>
          <w:bCs/>
          <w:szCs w:val="28"/>
          <w:lang w:eastAsia="ru-RU"/>
        </w:rPr>
        <w:t>Маємалахін і Марков проти України</w:t>
      </w:r>
      <w:r w:rsidRPr="00511005">
        <w:rPr>
          <w:rFonts w:ascii="Arial" w:eastAsia="Times New Roman" w:hAnsi="Arial" w:cs="Arial"/>
          <w:szCs w:val="28"/>
          <w:lang w:eastAsia="ru-RU"/>
        </w:rPr>
        <w:t xml:space="preserve"> Суд констатував порушення ст. 8 (право на повагу до приватного і сімейного життя) та ст. 14 (заборона дискримінації) Конвенції через відсутність в українському законодавстві будь-якого механізму визнання одностатевих стосунків. Суд присудив невеликі компенсації, однак головне – надав українській владі чіткий сигнал: держава зобов’язана створити принаймні інститут юридичної реєстрації партнерства для ЛГБТ-па</w:t>
      </w:r>
      <w:r w:rsidRPr="00511005">
        <w:rPr>
          <w:rFonts w:ascii="Arial" w:eastAsia="Times New Roman" w:hAnsi="Arial" w:cs="Arial"/>
          <w:szCs w:val="28"/>
          <w:lang w:val="uk-UA" w:eastAsia="ru-RU"/>
        </w:rPr>
        <w:t>р</w:t>
      </w:r>
      <w:r w:rsidRPr="00511005">
        <w:rPr>
          <w:rFonts w:ascii="Arial" w:eastAsia="Times New Roman" w:hAnsi="Arial" w:cs="Arial"/>
          <w:szCs w:val="28"/>
          <w:lang w:eastAsia="ru-RU"/>
        </w:rPr>
        <w:t xml:space="preserve">. Подібна практика присутня й у рішеннях щодо інших країн: наприклад, у справі «Fedotova і Шипітко проти Росії» (ще розглядається ЄСПЛ) об’єднано позови трьох одностатевих пар, які заявили про неможливість укласти шлюб за національним законодавством. Усі ці приклади вказують на те, що </w:t>
      </w:r>
      <w:r w:rsidRPr="00511005">
        <w:rPr>
          <w:rFonts w:ascii="Arial" w:eastAsia="Times New Roman" w:hAnsi="Arial" w:cs="Arial"/>
          <w:szCs w:val="28"/>
          <w:lang w:eastAsia="ru-RU"/>
        </w:rPr>
        <w:lastRenderedPageBreak/>
        <w:t>сучасний Суд дотримується позиції про позитивний обов’язок держав надавати хоча б правові інструменти для визнання і захисту сімей одностатевих пар.</w:t>
      </w:r>
    </w:p>
    <w:p w14:paraId="53AAB2D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Гербут В. С. наголошує</w:t>
      </w:r>
      <w:r w:rsidRPr="00511005">
        <w:rPr>
          <w:rFonts w:ascii="Arial" w:eastAsia="Times New Roman" w:hAnsi="Arial" w:cs="Arial"/>
          <w:szCs w:val="28"/>
          <w:lang w:eastAsia="ru-RU"/>
        </w:rPr>
        <w:t>, що заборона змінювати Конституцію під час воєнного стану змушує шукати альтернативні рішення. Зокрема, вважається нагальним ухвалення закону «Про інститут зареєстрованих партнерств» (№ 9103 від 13.03.2023), який узаконив би відносини двох повнолітніх осіб будь-якої статі. За пропозицією автора зазначеної статті, це могло б зменшити дисбаланс прав ЛГБТ-військових та цивільних. Крім того, керівник проєкту зазначає, що європейська інтеграція зобов’язує Україну невідкладно захищати права людини і гендерну рівність</w:t>
      </w:r>
      <w:r w:rsidRPr="00511005">
        <w:rPr>
          <w:rFonts w:ascii="Arial" w:eastAsia="Times New Roman" w:hAnsi="Arial" w:cs="Arial"/>
          <w:szCs w:val="28"/>
          <w:lang w:val="uk-UA" w:eastAsia="ru-RU"/>
        </w:rPr>
        <w:t xml:space="preserve"> [2, ст. 110]</w:t>
      </w:r>
      <w:r w:rsidRPr="00511005">
        <w:rPr>
          <w:rFonts w:ascii="Arial" w:eastAsia="Times New Roman" w:hAnsi="Arial" w:cs="Arial"/>
          <w:szCs w:val="28"/>
          <w:lang w:eastAsia="ru-RU"/>
        </w:rPr>
        <w:t>. На практиці це означає необхідність адаптувати судову систему: наприклад, забезпечувати навчання суддів і юристів щодо ЄСПЛ</w:t>
      </w:r>
      <w:r w:rsidRPr="00511005">
        <w:rPr>
          <w:rFonts w:ascii="Arial" w:eastAsia="Times New Roman" w:hAnsi="Arial" w:cs="Arial"/>
          <w:szCs w:val="28"/>
          <w:lang w:eastAsia="ru-RU"/>
        </w:rPr>
        <w:noBreakHyphen/>
        <w:t>практики по ЛГБТ, стимулювати розгляд справ за ознакою дискримінації сексуальної орієнтації та гендерної ідентичності.</w:t>
      </w:r>
    </w:p>
    <w:p w14:paraId="569C0F5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Легалізація шлюбів між особами однієї статі матиме як позитивні, так і потенційно негативні наслідки. До позитивних варто віднести: розширення доступу до соціальних і юридичних гарантій (спадщина, компенсації, опіка тощо), зменшення дискримінації, відповідність практиці ЄСПЛ (наприклад, справа Маємалахін і Марков проти України), а також прогрес у контексті євроінтеграції. У свою чергу, можливими негативними наслідками можуть бути загострення суспільної поляризації, спротив з боку консервативних верств населення або релігійних спільнот, що може вплинути на політичну стабільність. У контексті цього питання також варто згадати Закон України «Про забезпечення рівних прав та можливостей жінок і чоловіків», який, хоч прямо й не регламентує ЛГБТ-відносини, закладає принцип рівності, що має застосовуватись незалежно від статі чи гендерної ідентичності, відповідно до тлумачення сучасної антидискримінаційної політики.</w:t>
      </w:r>
    </w:p>
    <w:p w14:paraId="3C0554A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Отже, юридична позиція держави щодо ЛГБТ</w:t>
      </w:r>
      <w:r w:rsidRPr="00511005">
        <w:rPr>
          <w:rFonts w:ascii="Arial" w:eastAsia="Times New Roman" w:hAnsi="Arial" w:cs="Arial"/>
          <w:szCs w:val="28"/>
          <w:lang w:eastAsia="ru-RU"/>
        </w:rPr>
        <w:noBreakHyphen/>
        <w:t xml:space="preserve">прав не повинна змінюватися в гірший бік через воєнний стан. Навпаки, держава має компенсувати відсутність конституційних змін законом про партнерства та активніше впроваджувати рекомендації ЄСПЛ. Як зазначено в українських дослідженнях, невиконання цих зобов’язань створює додаткові суспільні ризики (політичні, іміджеві) і породжує потенційно нові позови до міжнародних судів </w:t>
      </w:r>
      <w:r w:rsidRPr="00511005">
        <w:rPr>
          <w:rFonts w:ascii="Arial" w:eastAsia="MS Mincho" w:hAnsi="Arial" w:cs="Arial"/>
          <w:szCs w:val="28"/>
          <w:lang w:eastAsia="ru-RU"/>
        </w:rPr>
        <w:t>[</w:t>
      </w:r>
      <w:r w:rsidRPr="00511005">
        <w:rPr>
          <w:rFonts w:ascii="Arial" w:eastAsia="Times New Roman" w:hAnsi="Arial" w:cs="Arial"/>
          <w:szCs w:val="28"/>
          <w:lang w:eastAsia="ru-RU"/>
        </w:rPr>
        <w:t>1. ст. 15</w:t>
      </w:r>
      <w:r w:rsidRPr="00511005">
        <w:rPr>
          <w:rFonts w:ascii="Arial" w:eastAsia="Times New Roman" w:hAnsi="Arial" w:cs="Arial"/>
          <w:szCs w:val="28"/>
          <w:lang w:val="uk-UA" w:eastAsia="ru-RU"/>
        </w:rPr>
        <w:t>1</w:t>
      </w:r>
      <w:r w:rsidRPr="00511005">
        <w:rPr>
          <w:rFonts w:ascii="Arial" w:eastAsia="Times New Roman" w:hAnsi="Arial" w:cs="Arial"/>
          <w:szCs w:val="28"/>
          <w:lang w:eastAsia="ru-RU"/>
        </w:rPr>
        <w:t>]. Юридична і правозахисна практика свідчить: дискусія про захист ЛГБТ-прав в Україні в умовах війни має велике значення, адже саме сьогодні ЛГБТ-особи, на яких покладено обов’язок захищати Батьківщину, не повинні залишатися позбавленими прав і гарантій, передбачених українським та міжнародним право</w:t>
      </w:r>
      <w:r w:rsidRPr="00511005">
        <w:rPr>
          <w:rFonts w:ascii="Arial" w:eastAsia="Times New Roman" w:hAnsi="Arial" w:cs="Arial"/>
          <w:szCs w:val="28"/>
          <w:lang w:val="uk-UA" w:eastAsia="ru-RU"/>
        </w:rPr>
        <w:t>м.</w:t>
      </w:r>
    </w:p>
    <w:p w14:paraId="338D2831" w14:textId="77777777"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494BA901" w14:textId="7A7E53C2" w:rsidR="00220D3E" w:rsidRPr="00511005" w:rsidRDefault="007B2628" w:rsidP="007B2628">
      <w:pPr>
        <w:tabs>
          <w:tab w:val="left" w:pos="709"/>
        </w:tabs>
        <w:spacing w:line="264" w:lineRule="auto"/>
        <w:jc w:val="center"/>
        <w:rPr>
          <w:rFonts w:ascii="Arial" w:eastAsia="Times New Roman" w:hAnsi="Arial" w:cs="Arial"/>
          <w:szCs w:val="28"/>
          <w:lang w:val="en-US" w:eastAsia="ru-RU"/>
        </w:rPr>
      </w:pPr>
      <w:r w:rsidRPr="00511005">
        <w:rPr>
          <w:rFonts w:ascii="Arial" w:eastAsia="Times New Roman" w:hAnsi="Arial" w:cs="Arial"/>
          <w:b/>
          <w:bCs/>
          <w:szCs w:val="28"/>
          <w:lang w:val="uk-UA" w:eastAsia="ru-RU"/>
        </w:rPr>
        <w:t>Список використаних джерел</w:t>
      </w:r>
    </w:p>
    <w:p w14:paraId="769F76F5" w14:textId="77777777" w:rsidR="00220D3E" w:rsidRPr="00511005" w:rsidRDefault="00220D3E" w:rsidP="003F6A5D">
      <w:pPr>
        <w:numPr>
          <w:ilvl w:val="0"/>
          <w:numId w:val="149"/>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lastRenderedPageBreak/>
        <w:t>Шелевер</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Н</w:t>
      </w:r>
      <w:r w:rsidRPr="00511005">
        <w:rPr>
          <w:rFonts w:ascii="Arial" w:eastAsia="Times New Roman" w:hAnsi="Arial" w:cs="Arial"/>
          <w:szCs w:val="28"/>
          <w:lang w:val="en-US" w:eastAsia="ru-RU"/>
        </w:rPr>
        <w:t>.</w:t>
      </w:r>
      <w:r w:rsidRPr="00511005">
        <w:rPr>
          <w:rFonts w:ascii="Arial" w:eastAsia="Times New Roman" w:hAnsi="Arial" w:cs="Arial"/>
          <w:szCs w:val="28"/>
          <w:lang w:eastAsia="ru-RU"/>
        </w:rPr>
        <w:t>В</w:t>
      </w:r>
      <w:r w:rsidRPr="00511005">
        <w:rPr>
          <w:rFonts w:ascii="Arial" w:eastAsia="Times New Roman" w:hAnsi="Arial" w:cs="Arial"/>
          <w:szCs w:val="28"/>
          <w:lang w:val="en-US" w:eastAsia="ru-RU"/>
        </w:rPr>
        <w:t xml:space="preserve">. </w:t>
      </w:r>
      <w:r w:rsidRPr="00511005">
        <w:rPr>
          <w:rFonts w:ascii="Arial" w:eastAsia="Times New Roman" w:hAnsi="Arial" w:cs="Arial"/>
          <w:i/>
          <w:iCs/>
          <w:szCs w:val="28"/>
          <w:lang w:eastAsia="ru-RU"/>
        </w:rPr>
        <w:t>Захист</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прав</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ЛГБТ</w:t>
      </w:r>
      <w:r w:rsidRPr="00511005">
        <w:rPr>
          <w:rFonts w:ascii="Arial" w:eastAsia="Times New Roman" w:hAnsi="Arial" w:cs="Arial"/>
          <w:i/>
          <w:iCs/>
          <w:szCs w:val="28"/>
          <w:lang w:val="en-US" w:eastAsia="ru-RU"/>
        </w:rPr>
        <w:t>-</w:t>
      </w:r>
      <w:r w:rsidRPr="00511005">
        <w:rPr>
          <w:rFonts w:ascii="Arial" w:eastAsia="Times New Roman" w:hAnsi="Arial" w:cs="Arial"/>
          <w:i/>
          <w:iCs/>
          <w:szCs w:val="28"/>
          <w:lang w:eastAsia="ru-RU"/>
        </w:rPr>
        <w:t>спільноти</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під</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час</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війни</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в</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Україні</w:t>
      </w:r>
      <w:r w:rsidRPr="00511005">
        <w:rPr>
          <w:rFonts w:ascii="Arial" w:eastAsia="Times New Roman" w:hAnsi="Arial" w:cs="Arial"/>
          <w:szCs w:val="28"/>
          <w:lang w:val="en-US" w:eastAsia="ru-RU"/>
        </w:rPr>
        <w:t xml:space="preserve">. – </w:t>
      </w:r>
      <w:r w:rsidRPr="00511005">
        <w:rPr>
          <w:rFonts w:ascii="Arial" w:eastAsia="Times New Roman" w:hAnsi="Arial" w:cs="Arial"/>
          <w:szCs w:val="28"/>
          <w:lang w:eastAsia="ru-RU"/>
        </w:rPr>
        <w:t>Ужгород</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Видавництво</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УжНУ</w:t>
      </w:r>
      <w:r w:rsidRPr="00511005">
        <w:rPr>
          <w:rFonts w:ascii="Arial" w:eastAsia="Times New Roman" w:hAnsi="Arial" w:cs="Arial"/>
          <w:szCs w:val="28"/>
          <w:lang w:val="en-US" w:eastAsia="ru-RU"/>
        </w:rPr>
        <w:t xml:space="preserve">, 2024. – </w:t>
      </w:r>
      <w:r w:rsidRPr="00511005">
        <w:rPr>
          <w:rFonts w:ascii="Arial" w:eastAsia="Times New Roman" w:hAnsi="Arial" w:cs="Arial"/>
          <w:szCs w:val="28"/>
          <w:lang w:eastAsia="ru-RU"/>
        </w:rPr>
        <w:t>С</w:t>
      </w:r>
      <w:r w:rsidRPr="00511005">
        <w:rPr>
          <w:rFonts w:ascii="Arial" w:eastAsia="Times New Roman" w:hAnsi="Arial" w:cs="Arial"/>
          <w:szCs w:val="28"/>
          <w:lang w:val="en-US" w:eastAsia="ru-RU"/>
        </w:rPr>
        <w:t xml:space="preserve">. 151–154. – URL: </w:t>
      </w:r>
      <w:hyperlink r:id="rId657" w:history="1">
        <w:r w:rsidRPr="00511005">
          <w:rPr>
            <w:rFonts w:ascii="Arial" w:eastAsia="Times New Roman" w:hAnsi="Arial" w:cs="Arial"/>
            <w:szCs w:val="28"/>
            <w:lang w:val="en-US" w:eastAsia="ru-RU"/>
          </w:rPr>
          <w:t>https://visnyk-juris-uzhnu.com/wp-content/uploads/2024/07/23.pdf</w:t>
        </w:r>
      </w:hyperlink>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02.05.2025).</w:t>
      </w:r>
    </w:p>
    <w:p w14:paraId="5EA38EE9" w14:textId="77777777" w:rsidR="00220D3E" w:rsidRPr="00511005" w:rsidRDefault="00220D3E" w:rsidP="003F6A5D">
      <w:pPr>
        <w:numPr>
          <w:ilvl w:val="0"/>
          <w:numId w:val="149"/>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Гербут</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В</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С</w:t>
      </w:r>
      <w:r w:rsidRPr="00511005">
        <w:rPr>
          <w:rFonts w:ascii="Arial" w:eastAsia="Times New Roman" w:hAnsi="Arial" w:cs="Arial"/>
          <w:szCs w:val="28"/>
          <w:lang w:val="en-US" w:eastAsia="ru-RU"/>
        </w:rPr>
        <w:t xml:space="preserve">. </w:t>
      </w:r>
      <w:r w:rsidRPr="00511005">
        <w:rPr>
          <w:rFonts w:ascii="Arial" w:eastAsia="Times New Roman" w:hAnsi="Arial" w:cs="Arial"/>
          <w:i/>
          <w:iCs/>
          <w:szCs w:val="28"/>
          <w:lang w:eastAsia="ru-RU"/>
        </w:rPr>
        <w:t>Право</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на</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сексуальну</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орієнтацію</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та</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гендерну</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ідентичність</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сутнісний</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зміст</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та</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гарантії</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захисту</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Монографія</w:t>
      </w:r>
      <w:r w:rsidRPr="00511005">
        <w:rPr>
          <w:rFonts w:ascii="Arial" w:eastAsia="Times New Roman" w:hAnsi="Arial" w:cs="Arial"/>
          <w:szCs w:val="28"/>
          <w:lang w:val="en-US" w:eastAsia="ru-RU"/>
        </w:rPr>
        <w:t xml:space="preserve">. – </w:t>
      </w:r>
      <w:r w:rsidRPr="00511005">
        <w:rPr>
          <w:rFonts w:ascii="Arial" w:eastAsia="Times New Roman" w:hAnsi="Arial" w:cs="Arial"/>
          <w:szCs w:val="28"/>
          <w:lang w:eastAsia="ru-RU"/>
        </w:rPr>
        <w:t>Ужгород</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Поліграфцентр</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Ліра</w:t>
      </w:r>
      <w:r w:rsidRPr="00511005">
        <w:rPr>
          <w:rFonts w:ascii="Arial" w:eastAsia="Times New Roman" w:hAnsi="Arial" w:cs="Arial"/>
          <w:szCs w:val="28"/>
          <w:lang w:val="en-US" w:eastAsia="ru-RU"/>
        </w:rPr>
        <w:t xml:space="preserve">», 2019. – 264 </w:t>
      </w:r>
      <w:r w:rsidRPr="00511005">
        <w:rPr>
          <w:rFonts w:ascii="Arial" w:eastAsia="Times New Roman" w:hAnsi="Arial" w:cs="Arial"/>
          <w:szCs w:val="28"/>
          <w:lang w:eastAsia="ru-RU"/>
        </w:rPr>
        <w:t>с</w:t>
      </w:r>
      <w:r w:rsidRPr="00511005">
        <w:rPr>
          <w:rFonts w:ascii="Arial" w:eastAsia="Times New Roman" w:hAnsi="Arial" w:cs="Arial"/>
          <w:szCs w:val="28"/>
          <w:lang w:val="en-US" w:eastAsia="ru-RU"/>
        </w:rPr>
        <w:t xml:space="preserve">. – URL: </w:t>
      </w:r>
      <w:hyperlink r:id="rId658" w:history="1">
        <w:r w:rsidRPr="00511005">
          <w:rPr>
            <w:rFonts w:ascii="Arial" w:eastAsia="Times New Roman" w:hAnsi="Arial" w:cs="Arial"/>
            <w:szCs w:val="28"/>
            <w:lang w:val="en-US" w:eastAsia="ru-RU"/>
          </w:rPr>
          <w:t>https://dspace.uzhnu.edu.ua/jspui/bitstream/lib/30522/1/</w:t>
        </w:r>
        <w:r w:rsidRPr="00511005">
          <w:rPr>
            <w:rFonts w:ascii="Arial" w:eastAsia="Times New Roman" w:hAnsi="Arial" w:cs="Arial"/>
            <w:szCs w:val="28"/>
            <w:lang w:eastAsia="ru-RU"/>
          </w:rPr>
          <w:t>Монограф</w:t>
        </w:r>
        <w:r w:rsidRPr="00511005">
          <w:rPr>
            <w:rFonts w:ascii="Arial" w:eastAsia="Times New Roman" w:hAnsi="Arial" w:cs="Arial"/>
            <w:szCs w:val="28"/>
            <w:lang w:val="en-US" w:eastAsia="ru-RU"/>
          </w:rPr>
          <w:t>_</w:t>
        </w:r>
        <w:r w:rsidRPr="00511005">
          <w:rPr>
            <w:rFonts w:ascii="Arial" w:eastAsia="Times New Roman" w:hAnsi="Arial" w:cs="Arial"/>
            <w:szCs w:val="28"/>
            <w:lang w:eastAsia="ru-RU"/>
          </w:rPr>
          <w:t>Вікторія</w:t>
        </w:r>
        <w:r w:rsidRPr="00511005">
          <w:rPr>
            <w:rFonts w:ascii="Arial" w:eastAsia="Times New Roman" w:hAnsi="Arial" w:cs="Arial"/>
            <w:szCs w:val="28"/>
            <w:lang w:val="en-US" w:eastAsia="ru-RU"/>
          </w:rPr>
          <w:t>_</w:t>
        </w:r>
        <w:r w:rsidRPr="00511005">
          <w:rPr>
            <w:rFonts w:ascii="Arial" w:eastAsia="Times New Roman" w:hAnsi="Arial" w:cs="Arial"/>
            <w:szCs w:val="28"/>
            <w:lang w:eastAsia="ru-RU"/>
          </w:rPr>
          <w:t>Гербут</w:t>
        </w:r>
        <w:r w:rsidRPr="00511005">
          <w:rPr>
            <w:rFonts w:ascii="Arial" w:eastAsia="Times New Roman" w:hAnsi="Arial" w:cs="Arial"/>
            <w:szCs w:val="28"/>
            <w:lang w:val="en-US" w:eastAsia="ru-RU"/>
          </w:rPr>
          <w:t>%20</w:t>
        </w:r>
        <w:r w:rsidRPr="00511005">
          <w:rPr>
            <w:rFonts w:ascii="Arial" w:eastAsia="Times New Roman" w:hAnsi="Arial" w:cs="Arial"/>
            <w:szCs w:val="28"/>
            <w:lang w:eastAsia="ru-RU"/>
          </w:rPr>
          <w:t>нов</w:t>
        </w:r>
        <w:r w:rsidRPr="00511005">
          <w:rPr>
            <w:rFonts w:ascii="Arial" w:eastAsia="Times New Roman" w:hAnsi="Arial" w:cs="Arial"/>
            <w:szCs w:val="28"/>
            <w:lang w:val="en-US" w:eastAsia="ru-RU"/>
          </w:rPr>
          <w:t>.pdf</w:t>
        </w:r>
      </w:hyperlink>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02.05.2025).</w:t>
      </w:r>
    </w:p>
    <w:p w14:paraId="43AE6EDD" w14:textId="77777777" w:rsidR="00220D3E" w:rsidRPr="00511005" w:rsidRDefault="00220D3E" w:rsidP="003F6A5D">
      <w:pPr>
        <w:numPr>
          <w:ilvl w:val="0"/>
          <w:numId w:val="149"/>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Свящук</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Л</w:t>
      </w:r>
      <w:r w:rsidRPr="00511005">
        <w:rPr>
          <w:rFonts w:ascii="Arial" w:eastAsia="Times New Roman" w:hAnsi="Arial" w:cs="Arial"/>
          <w:szCs w:val="28"/>
          <w:lang w:val="en-US" w:eastAsia="ru-RU"/>
        </w:rPr>
        <w:t xml:space="preserve">. </w:t>
      </w:r>
      <w:r w:rsidRPr="00511005">
        <w:rPr>
          <w:rFonts w:ascii="Arial" w:eastAsia="Times New Roman" w:hAnsi="Arial" w:cs="Arial"/>
          <w:i/>
          <w:iCs/>
          <w:szCs w:val="28"/>
          <w:lang w:eastAsia="ru-RU"/>
        </w:rPr>
        <w:t>Правовий</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захист</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ЛГБТ</w:t>
      </w:r>
      <w:r w:rsidRPr="00511005">
        <w:rPr>
          <w:rFonts w:ascii="Arial" w:eastAsia="Times New Roman" w:hAnsi="Arial" w:cs="Arial"/>
          <w:i/>
          <w:iCs/>
          <w:szCs w:val="28"/>
          <w:lang w:val="en-US" w:eastAsia="ru-RU"/>
        </w:rPr>
        <w:t>-</w:t>
      </w:r>
      <w:r w:rsidRPr="00511005">
        <w:rPr>
          <w:rFonts w:ascii="Arial" w:eastAsia="Times New Roman" w:hAnsi="Arial" w:cs="Arial"/>
          <w:i/>
          <w:iCs/>
          <w:szCs w:val="28"/>
          <w:lang w:eastAsia="ru-RU"/>
        </w:rPr>
        <w:t>спільноти</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навчальний</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посібник</w:t>
      </w:r>
      <w:r w:rsidRPr="00511005">
        <w:rPr>
          <w:rFonts w:ascii="Arial" w:eastAsia="Times New Roman" w:hAnsi="Arial" w:cs="Arial"/>
          <w:szCs w:val="28"/>
          <w:lang w:val="en-US" w:eastAsia="ru-RU"/>
        </w:rPr>
        <w:t xml:space="preserve">. – </w:t>
      </w:r>
      <w:r w:rsidRPr="00511005">
        <w:rPr>
          <w:rFonts w:ascii="Arial" w:eastAsia="Times New Roman" w:hAnsi="Arial" w:cs="Arial"/>
          <w:szCs w:val="28"/>
          <w:lang w:eastAsia="ru-RU"/>
        </w:rPr>
        <w:t>Київ</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ФОП</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Голембовська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О</w:t>
      </w:r>
      <w:r w:rsidRPr="00511005">
        <w:rPr>
          <w:rFonts w:ascii="Arial" w:eastAsia="Times New Roman" w:hAnsi="Arial" w:cs="Arial"/>
          <w:szCs w:val="28"/>
          <w:lang w:val="en-US" w:eastAsia="ru-RU"/>
        </w:rPr>
        <w:t>.</w:t>
      </w:r>
      <w:r w:rsidRPr="00511005">
        <w:rPr>
          <w:rFonts w:ascii="Arial" w:eastAsia="Times New Roman" w:hAnsi="Arial" w:cs="Arial"/>
          <w:szCs w:val="28"/>
          <w:lang w:eastAsia="ru-RU"/>
        </w:rPr>
        <w:t>О</w:t>
      </w:r>
      <w:r w:rsidRPr="00511005">
        <w:rPr>
          <w:rFonts w:ascii="Arial" w:eastAsia="Times New Roman" w:hAnsi="Arial" w:cs="Arial"/>
          <w:szCs w:val="28"/>
          <w:lang w:val="en-US" w:eastAsia="ru-RU"/>
        </w:rPr>
        <w:t xml:space="preserve">., 2018. – 208 </w:t>
      </w:r>
      <w:r w:rsidRPr="00511005">
        <w:rPr>
          <w:rFonts w:ascii="Arial" w:eastAsia="Times New Roman" w:hAnsi="Arial" w:cs="Arial"/>
          <w:szCs w:val="28"/>
          <w:lang w:eastAsia="ru-RU"/>
        </w:rPr>
        <w:t>с</w:t>
      </w:r>
      <w:r w:rsidRPr="00511005">
        <w:rPr>
          <w:rFonts w:ascii="Arial" w:eastAsia="Times New Roman" w:hAnsi="Arial" w:cs="Arial"/>
          <w:szCs w:val="28"/>
          <w:lang w:val="en-US" w:eastAsia="ru-RU"/>
        </w:rPr>
        <w:t xml:space="preserve">. – URL: </w:t>
      </w:r>
      <w:hyperlink r:id="rId659" w:history="1">
        <w:r w:rsidRPr="00511005">
          <w:rPr>
            <w:rFonts w:ascii="Arial" w:eastAsia="Times New Roman" w:hAnsi="Arial" w:cs="Arial"/>
            <w:szCs w:val="28"/>
            <w:lang w:val="en-US" w:eastAsia="ru-RU"/>
          </w:rPr>
          <w:t>https://nlu.edu.ua/wp-content/uploads/2021/05/msc_4_copy.pdf</w:t>
        </w:r>
      </w:hyperlink>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02.05.2025).</w:t>
      </w:r>
    </w:p>
    <w:p w14:paraId="15DFF58C" w14:textId="77777777" w:rsidR="00220D3E" w:rsidRPr="00511005" w:rsidRDefault="00220D3E" w:rsidP="003F6A5D">
      <w:pPr>
        <w:numPr>
          <w:ilvl w:val="0"/>
          <w:numId w:val="149"/>
        </w:numPr>
        <w:tabs>
          <w:tab w:val="left" w:pos="709"/>
        </w:tabs>
        <w:spacing w:line="264" w:lineRule="auto"/>
        <w:ind w:left="0" w:firstLine="709"/>
        <w:jc w:val="left"/>
        <w:rPr>
          <w:rFonts w:ascii="Arial" w:eastAsia="Times New Roman" w:hAnsi="Arial" w:cs="Arial"/>
          <w:szCs w:val="28"/>
          <w:lang w:val="en-US" w:eastAsia="ru-RU"/>
        </w:rPr>
      </w:pPr>
      <w:r w:rsidRPr="00511005">
        <w:rPr>
          <w:rFonts w:ascii="Arial" w:eastAsia="Times New Roman" w:hAnsi="Arial" w:cs="Arial"/>
          <w:szCs w:val="28"/>
          <w:lang w:eastAsia="ru-RU"/>
        </w:rPr>
        <w:t>Ради</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Європи</w:t>
      </w:r>
      <w:r w:rsidRPr="00511005">
        <w:rPr>
          <w:rFonts w:ascii="Arial" w:eastAsia="Times New Roman" w:hAnsi="Arial" w:cs="Arial"/>
          <w:szCs w:val="28"/>
          <w:lang w:val="en-US" w:eastAsia="ru-RU"/>
        </w:rPr>
        <w:t>/</w:t>
      </w:r>
      <w:r w:rsidRPr="00511005">
        <w:rPr>
          <w:rFonts w:ascii="Arial" w:eastAsia="Times New Roman" w:hAnsi="Arial" w:cs="Arial"/>
          <w:szCs w:val="28"/>
          <w:lang w:eastAsia="ru-RU"/>
        </w:rPr>
        <w:t>ЄСПЛ</w:t>
      </w:r>
      <w:r w:rsidRPr="00511005">
        <w:rPr>
          <w:rFonts w:ascii="Arial" w:eastAsia="Times New Roman" w:hAnsi="Arial" w:cs="Arial"/>
          <w:szCs w:val="28"/>
          <w:lang w:val="en-US" w:eastAsia="ru-RU"/>
        </w:rPr>
        <w:t xml:space="preserve">. </w:t>
      </w:r>
      <w:r w:rsidRPr="00511005">
        <w:rPr>
          <w:rFonts w:ascii="Arial" w:eastAsia="Times New Roman" w:hAnsi="Arial" w:cs="Arial"/>
          <w:i/>
          <w:iCs/>
          <w:szCs w:val="28"/>
          <w:lang w:eastAsia="ru-RU"/>
        </w:rPr>
        <w:t>Посібник</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із</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судової</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практики</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Конвенції</w:t>
      </w:r>
      <w:r w:rsidRPr="00511005">
        <w:rPr>
          <w:rFonts w:ascii="Arial" w:eastAsia="Times New Roman" w:hAnsi="Arial" w:cs="Arial"/>
          <w:i/>
          <w:iCs/>
          <w:szCs w:val="28"/>
          <w:lang w:val="en-US" w:eastAsia="ru-RU"/>
        </w:rPr>
        <w:t xml:space="preserve"> — </w:t>
      </w:r>
      <w:r w:rsidRPr="00511005">
        <w:rPr>
          <w:rFonts w:ascii="Arial" w:eastAsia="Times New Roman" w:hAnsi="Arial" w:cs="Arial"/>
          <w:i/>
          <w:iCs/>
          <w:szCs w:val="28"/>
          <w:lang w:eastAsia="ru-RU"/>
        </w:rPr>
        <w:t>Права</w:t>
      </w:r>
      <w:r w:rsidRPr="00511005">
        <w:rPr>
          <w:rFonts w:ascii="Arial" w:eastAsia="Times New Roman" w:hAnsi="Arial" w:cs="Arial"/>
          <w:i/>
          <w:iCs/>
          <w:szCs w:val="28"/>
          <w:lang w:val="en-US" w:eastAsia="ru-RU"/>
        </w:rPr>
        <w:t xml:space="preserve"> </w:t>
      </w:r>
      <w:r w:rsidRPr="00511005">
        <w:rPr>
          <w:rFonts w:ascii="Arial" w:eastAsia="Times New Roman" w:hAnsi="Arial" w:cs="Arial"/>
          <w:i/>
          <w:iCs/>
          <w:szCs w:val="28"/>
          <w:lang w:eastAsia="ru-RU"/>
        </w:rPr>
        <w:t>ЛГБТІ</w:t>
      </w:r>
      <w:r w:rsidRPr="00511005">
        <w:rPr>
          <w:rFonts w:ascii="Arial" w:eastAsia="Times New Roman" w:hAnsi="Arial" w:cs="Arial"/>
          <w:szCs w:val="28"/>
          <w:lang w:val="en-US" w:eastAsia="ru-RU"/>
        </w:rPr>
        <w:t xml:space="preserve">. – </w:t>
      </w:r>
      <w:r w:rsidRPr="00511005">
        <w:rPr>
          <w:rFonts w:ascii="Arial" w:eastAsia="Times New Roman" w:hAnsi="Arial" w:cs="Arial"/>
          <w:szCs w:val="28"/>
          <w:lang w:eastAsia="ru-RU"/>
        </w:rPr>
        <w:t>Страсбург</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Європейський</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суд</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прав</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людини</w:t>
      </w:r>
      <w:r w:rsidRPr="00511005">
        <w:rPr>
          <w:rFonts w:ascii="Arial" w:eastAsia="Times New Roman" w:hAnsi="Arial" w:cs="Arial"/>
          <w:szCs w:val="28"/>
          <w:lang w:val="en-US" w:eastAsia="ru-RU"/>
        </w:rPr>
        <w:t xml:space="preserve">, 2025. – 65 </w:t>
      </w:r>
      <w:r w:rsidRPr="00511005">
        <w:rPr>
          <w:rFonts w:ascii="Arial" w:eastAsia="Times New Roman" w:hAnsi="Arial" w:cs="Arial"/>
          <w:szCs w:val="28"/>
          <w:lang w:eastAsia="ru-RU"/>
        </w:rPr>
        <w:t>с</w:t>
      </w:r>
      <w:r w:rsidRPr="00511005">
        <w:rPr>
          <w:rFonts w:ascii="Arial" w:eastAsia="Times New Roman" w:hAnsi="Arial" w:cs="Arial"/>
          <w:szCs w:val="28"/>
          <w:lang w:val="en-US" w:eastAsia="ru-RU"/>
        </w:rPr>
        <w:t xml:space="preserve">. – URL: </w:t>
      </w:r>
      <w:hyperlink r:id="rId660" w:history="1">
        <w:r w:rsidRPr="00511005">
          <w:rPr>
            <w:rFonts w:ascii="Arial" w:eastAsia="Times New Roman" w:hAnsi="Arial" w:cs="Arial"/>
            <w:szCs w:val="28"/>
            <w:lang w:val="en-US" w:eastAsia="ru-RU"/>
          </w:rPr>
          <w:t>https://ks.echr.coe.int/documents/d/echr-ks/guide_rights_of_lgbti_persons_ukr</w:t>
        </w:r>
      </w:hyperlink>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02.05.2025).</w:t>
      </w:r>
    </w:p>
    <w:p w14:paraId="4BDBA67E"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448F172D" w14:textId="12322A30" w:rsidR="00220D3E" w:rsidRPr="00511005" w:rsidRDefault="007B2628" w:rsidP="003A292D">
      <w:p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права людини, ЛГБТ-спільнота,</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eastAsia="ru-RU"/>
        </w:rPr>
        <w:t>дискримінація, воєнний стан, Європейський суд з прав людини, зареєстроване партнерство, сексуальна орієнтація, гендерна ідентичність</w:t>
      </w:r>
    </w:p>
    <w:p w14:paraId="4078E64D" w14:textId="07FB1ABA" w:rsidR="00220D3E" w:rsidRPr="00511005" w:rsidRDefault="007B2628" w:rsidP="003A292D">
      <w:p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human rights, LGBT community, discrimination, martial law, European Court of Human Rights, registered partnership, sexual orientation, gender identity</w:t>
      </w:r>
    </w:p>
    <w:p w14:paraId="7927E05A" w14:textId="497DD774" w:rsidR="00220D3E" w:rsidRPr="00511005" w:rsidRDefault="007B2628" w:rsidP="003A292D">
      <w:pPr>
        <w:tabs>
          <w:tab w:val="left" w:pos="709"/>
        </w:tabs>
        <w:spacing w:line="264" w:lineRule="auto"/>
        <w:jc w:val="left"/>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 xml:space="preserve">к. ю. н., доцент Гриб А. М. </w:t>
      </w:r>
    </w:p>
    <w:p w14:paraId="09D6C85F"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76DD5549" w14:textId="4F6DE1F1" w:rsidR="00220D3E" w:rsidRPr="00511005" w:rsidRDefault="00220D3E" w:rsidP="00146592">
      <w:pPr>
        <w:tabs>
          <w:tab w:val="left" w:pos="709"/>
        </w:tabs>
        <w:spacing w:line="264" w:lineRule="auto"/>
        <w:ind w:firstLine="0"/>
        <w:jc w:val="center"/>
        <w:rPr>
          <w:rFonts w:ascii="Arial" w:eastAsia="Times New Roman" w:hAnsi="Arial" w:cs="Arial"/>
          <w:b/>
          <w:bCs/>
          <w:i/>
          <w:szCs w:val="28"/>
          <w:lang w:val="uk-UA" w:eastAsia="ru-RU"/>
        </w:rPr>
      </w:pPr>
      <w:r w:rsidRPr="00511005">
        <w:rPr>
          <w:rFonts w:ascii="Arial" w:eastAsia="Times New Roman" w:hAnsi="Arial" w:cs="Arial"/>
          <w:b/>
          <w:bCs/>
          <w:i/>
          <w:szCs w:val="28"/>
          <w:lang w:val="uk-UA" w:eastAsia="ru-RU"/>
        </w:rPr>
        <w:t>Сорока Тетяна,</w:t>
      </w:r>
      <w:r w:rsidR="00146592" w:rsidRPr="00511005">
        <w:rPr>
          <w:rFonts w:ascii="Arial" w:eastAsia="Times New Roman" w:hAnsi="Arial" w:cs="Arial"/>
          <w:b/>
          <w:bCs/>
          <w:i/>
          <w:szCs w:val="28"/>
          <w:lang w:val="uk-UA" w:eastAsia="ru-RU"/>
        </w:rPr>
        <w:t xml:space="preserve"> </w:t>
      </w:r>
      <w:r w:rsidRPr="00511005">
        <w:rPr>
          <w:rFonts w:ascii="Arial" w:eastAsia="Times New Roman" w:hAnsi="Arial" w:cs="Arial"/>
          <w:b/>
          <w:bCs/>
          <w:i/>
          <w:szCs w:val="28"/>
          <w:lang w:val="uk-UA" w:eastAsia="ru-RU"/>
        </w:rPr>
        <w:t>Суниця Яна</w:t>
      </w:r>
    </w:p>
    <w:p w14:paraId="241DCE6D" w14:textId="1E0BB9D2" w:rsidR="00220D3E" w:rsidRPr="00511005" w:rsidRDefault="00146592" w:rsidP="00146592">
      <w:pPr>
        <w:tabs>
          <w:tab w:val="left" w:pos="709"/>
        </w:tabs>
        <w:spacing w:line="264" w:lineRule="auto"/>
        <w:ind w:firstLine="0"/>
        <w:jc w:val="center"/>
        <w:rPr>
          <w:rFonts w:ascii="Arial" w:eastAsia="Times New Roman" w:hAnsi="Arial" w:cs="Arial"/>
          <w:iCs/>
          <w:szCs w:val="28"/>
          <w:lang w:eastAsia="ru-RU"/>
        </w:rPr>
      </w:pPr>
      <w:r w:rsidRPr="00511005">
        <w:rPr>
          <w:rFonts w:ascii="Arial" w:eastAsia="Times New Roman" w:hAnsi="Arial" w:cs="Arial"/>
          <w:iCs/>
          <w:szCs w:val="28"/>
          <w:lang w:val="uk-UA" w:eastAsia="ru-RU"/>
        </w:rPr>
        <w:t>с</w:t>
      </w:r>
      <w:r w:rsidR="00220D3E" w:rsidRPr="00511005">
        <w:rPr>
          <w:rFonts w:ascii="Arial" w:eastAsia="Times New Roman" w:hAnsi="Arial" w:cs="Arial"/>
          <w:iCs/>
          <w:szCs w:val="28"/>
          <w:lang w:eastAsia="ru-RU"/>
        </w:rPr>
        <w:t>тудентк</w:t>
      </w:r>
      <w:r w:rsidR="00220D3E" w:rsidRPr="00511005">
        <w:rPr>
          <w:rFonts w:ascii="Arial" w:eastAsia="Times New Roman" w:hAnsi="Arial" w:cs="Arial"/>
          <w:iCs/>
          <w:szCs w:val="28"/>
          <w:lang w:val="uk-UA" w:eastAsia="ru-RU"/>
        </w:rPr>
        <w:t xml:space="preserve">и </w:t>
      </w:r>
      <w:r w:rsidR="007B2628" w:rsidRPr="00511005">
        <w:rPr>
          <w:rFonts w:ascii="Arial" w:eastAsia="Times New Roman" w:hAnsi="Arial" w:cs="Arial"/>
          <w:iCs/>
          <w:szCs w:val="28"/>
          <w:lang w:val="uk-UA" w:eastAsia="ru-RU"/>
        </w:rPr>
        <w:t>4-го курсу</w:t>
      </w:r>
      <w:r w:rsidR="00220D3E" w:rsidRPr="00511005">
        <w:rPr>
          <w:rFonts w:ascii="Arial" w:eastAsia="Times New Roman" w:hAnsi="Arial" w:cs="Arial"/>
          <w:iCs/>
          <w:szCs w:val="28"/>
          <w:lang w:val="uk-UA" w:eastAsia="ru-RU"/>
        </w:rPr>
        <w:t xml:space="preserve"> </w:t>
      </w:r>
      <w:r w:rsidR="001B7B25" w:rsidRPr="00511005">
        <w:rPr>
          <w:rFonts w:ascii="Arial" w:eastAsia="Times New Roman" w:hAnsi="Arial" w:cs="Arial"/>
          <w:iCs/>
          <w:szCs w:val="28"/>
          <w:lang w:eastAsia="ru-RU"/>
        </w:rPr>
        <w:t>факультету судового та міжнародного права</w:t>
      </w:r>
    </w:p>
    <w:p w14:paraId="2684FDA5" w14:textId="4A7EFB65" w:rsidR="00220D3E" w:rsidRPr="00511005" w:rsidRDefault="007B2628" w:rsidP="00146592">
      <w:pPr>
        <w:tabs>
          <w:tab w:val="left" w:pos="709"/>
        </w:tabs>
        <w:spacing w:line="264" w:lineRule="auto"/>
        <w:ind w:firstLine="0"/>
        <w:jc w:val="center"/>
        <w:rPr>
          <w:rFonts w:ascii="Arial" w:eastAsia="Times New Roman" w:hAnsi="Arial" w:cs="Arial"/>
          <w:iCs/>
          <w:szCs w:val="28"/>
          <w:lang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570378CF" w14:textId="77777777" w:rsidR="00220D3E" w:rsidRPr="00511005" w:rsidRDefault="00220D3E" w:rsidP="00146592">
      <w:pPr>
        <w:tabs>
          <w:tab w:val="left" w:pos="709"/>
          <w:tab w:val="left" w:pos="7088"/>
        </w:tabs>
        <w:spacing w:line="264" w:lineRule="auto"/>
        <w:ind w:firstLine="0"/>
        <w:jc w:val="center"/>
        <w:rPr>
          <w:rFonts w:ascii="Arial" w:eastAsia="Times New Roman" w:hAnsi="Arial" w:cs="Arial"/>
          <w:b/>
          <w:szCs w:val="28"/>
          <w:lang w:val="uk-UA" w:eastAsia="ru-RU" w:bidi="uk-UA"/>
        </w:rPr>
      </w:pPr>
    </w:p>
    <w:p w14:paraId="3B3E7D2F" w14:textId="0FC7A7A2" w:rsidR="00220D3E" w:rsidRPr="00511005" w:rsidRDefault="00220D3E" w:rsidP="00146592">
      <w:pPr>
        <w:tabs>
          <w:tab w:val="left" w:pos="709"/>
          <w:tab w:val="left" w:pos="7088"/>
        </w:tabs>
        <w:spacing w:line="264" w:lineRule="auto"/>
        <w:ind w:firstLine="0"/>
        <w:jc w:val="center"/>
        <w:rPr>
          <w:rFonts w:ascii="Arial" w:eastAsia="Times New Roman" w:hAnsi="Arial" w:cs="Arial"/>
          <w:b/>
          <w:szCs w:val="28"/>
          <w:lang w:eastAsia="ru-RU" w:bidi="uk-UA"/>
        </w:rPr>
      </w:pPr>
      <w:r w:rsidRPr="00511005">
        <w:rPr>
          <w:rFonts w:ascii="Arial" w:eastAsia="Times New Roman" w:hAnsi="Arial" w:cs="Arial"/>
          <w:b/>
          <w:szCs w:val="28"/>
          <w:lang w:eastAsia="ru-RU" w:bidi="uk-UA"/>
        </w:rPr>
        <w:t>ЗАХИСТ ЦИВІЛЬНОГО НАСЕЛЕННЯ ПРИ ВИКРАДЕННІ ТА ПРИМУСОВ</w:t>
      </w:r>
      <w:r w:rsidRPr="00511005">
        <w:rPr>
          <w:rFonts w:ascii="Arial" w:eastAsia="Times New Roman" w:hAnsi="Arial" w:cs="Arial"/>
          <w:b/>
          <w:szCs w:val="28"/>
          <w:lang w:val="uk-UA" w:eastAsia="ru-RU" w:bidi="uk-UA"/>
        </w:rPr>
        <w:t>ІЙ</w:t>
      </w:r>
      <w:r w:rsidRPr="00511005">
        <w:rPr>
          <w:rFonts w:ascii="Arial" w:eastAsia="Times New Roman" w:hAnsi="Arial" w:cs="Arial"/>
          <w:b/>
          <w:szCs w:val="28"/>
          <w:lang w:eastAsia="ru-RU" w:bidi="uk-UA"/>
        </w:rPr>
        <w:t xml:space="preserve"> ДЕПОРТАЦІЇ ВІДПОВІДНО ДО</w:t>
      </w:r>
      <w:r w:rsidR="007B2628" w:rsidRPr="00511005">
        <w:rPr>
          <w:rFonts w:ascii="Arial" w:eastAsia="Times New Roman" w:hAnsi="Arial" w:cs="Arial"/>
          <w:b/>
          <w:szCs w:val="28"/>
          <w:lang w:eastAsia="ru-RU" w:bidi="uk-UA"/>
        </w:rPr>
        <w:t xml:space="preserve"> </w:t>
      </w:r>
      <w:r w:rsidRPr="00511005">
        <w:rPr>
          <w:rFonts w:ascii="Arial" w:eastAsia="Times New Roman" w:hAnsi="Arial" w:cs="Arial"/>
          <w:b/>
          <w:szCs w:val="28"/>
          <w:lang w:eastAsia="ru-RU" w:bidi="uk-UA"/>
        </w:rPr>
        <w:t>МІЖНАРОДНОГО ПРАВА</w:t>
      </w:r>
    </w:p>
    <w:p w14:paraId="675541B3" w14:textId="77777777" w:rsidR="00220D3E" w:rsidRPr="00511005" w:rsidRDefault="00220D3E" w:rsidP="003A292D">
      <w:pPr>
        <w:tabs>
          <w:tab w:val="left" w:pos="709"/>
          <w:tab w:val="left" w:pos="7088"/>
        </w:tabs>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У сучасних умовах глобальної нестабільності питання захисту цивільного населення набуває особливої актуальності. У центрі міжнародного правового дискурсу дедалі частіше опиняються грубі порушення прав людини, зокрема випадки викрадення та примусової депортації цивільних осіб під час воєн. Такі дії суперечать фундаментальним принципам міжнародного гуманітарного права і часто розглядаються як серйозні злочини проти людяності. Одним із найбільш трагічних прикладів системного порушення цих норм став збройний конфлікт, розв’язаний Російською Федерацією проти України, яка призвела до масових примусових переміщень, зокрема дітей, з окупованих територій. </w:t>
      </w:r>
      <w:r w:rsidRPr="00511005">
        <w:rPr>
          <w:rFonts w:ascii="Arial" w:eastAsia="Times New Roman" w:hAnsi="Arial" w:cs="Arial"/>
          <w:bCs/>
          <w:szCs w:val="28"/>
          <w:lang w:val="uk-UA" w:eastAsia="ru-RU" w:bidi="uk-UA"/>
        </w:rPr>
        <w:lastRenderedPageBreak/>
        <w:t>Це питання виходить далеко за межі національного рівня і потребує комплексного міжнародного реагування.</w:t>
      </w:r>
    </w:p>
    <w:p w14:paraId="4CC650C2" w14:textId="77777777" w:rsidR="00220D3E" w:rsidRPr="00511005" w:rsidRDefault="00220D3E" w:rsidP="003A292D">
      <w:pPr>
        <w:tabs>
          <w:tab w:val="left" w:pos="709"/>
          <w:tab w:val="left" w:pos="7088"/>
        </w:tabs>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Міжнародне право чітко встановлює неприпустимість викрадень та примусових переміщень цивільних осіб. Женевські конвенції 1949 року, зокрема IV Женевська конвенція про захист цивільного населення під час війни, містять заборону на насильницьке переміщення осіб з окупованих територій, за винятком випадків, коли це продиктовано безпосередньою загрозою життю або необхідністю тимчасової евакуації. У статті 49 цієї конвенції прямо зазначено, що індивідуальні або масові примусові переміщення цивільного населення є незаконними і становлять серйозне порушення міжнародного права. Особливий акцент у нормах гуманітарного права зроблено на недоторканність гідності особи, її права на вільне пересування і на заборону дискримінаційних практик</w:t>
      </w:r>
      <w:r w:rsidRPr="00511005">
        <w:rPr>
          <w:rFonts w:ascii="Arial" w:eastAsia="Times New Roman" w:hAnsi="Arial" w:cs="Arial"/>
          <w:bCs/>
          <w:szCs w:val="28"/>
          <w:lang w:eastAsia="ru-RU" w:bidi="uk-UA"/>
        </w:rPr>
        <w:t xml:space="preserve"> [1]</w:t>
      </w:r>
      <w:r w:rsidRPr="00511005">
        <w:rPr>
          <w:rFonts w:ascii="Arial" w:eastAsia="Times New Roman" w:hAnsi="Arial" w:cs="Arial"/>
          <w:bCs/>
          <w:szCs w:val="28"/>
          <w:lang w:val="uk-UA" w:eastAsia="ru-RU" w:bidi="uk-UA"/>
        </w:rPr>
        <w:t>.</w:t>
      </w:r>
    </w:p>
    <w:p w14:paraId="6F150F6B" w14:textId="77777777" w:rsidR="00220D3E" w:rsidRPr="00511005" w:rsidRDefault="00220D3E" w:rsidP="003A292D">
      <w:pPr>
        <w:tabs>
          <w:tab w:val="left" w:pos="709"/>
          <w:tab w:val="left" w:pos="7088"/>
        </w:tabs>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Римський статут Міжнародного кримінального суду, який є основоположним документом у сфері міжнародного кримінального права, класифікує депортацію та насильницьке переміщення населення як злочини проти людяності, якщо ці дії вчиняються в межах широкомасштабного або системного нападу на цивільне населення. Вказані злочини передбачають індивідуальну кримінальну відповідальність осіб, які їх ініціюють або виконують.</w:t>
      </w:r>
    </w:p>
    <w:p w14:paraId="15FD801F" w14:textId="77777777" w:rsidR="00220D3E" w:rsidRPr="00511005" w:rsidRDefault="00220D3E" w:rsidP="003A292D">
      <w:pPr>
        <w:tabs>
          <w:tab w:val="left" w:pos="709"/>
          <w:tab w:val="left" w:pos="7088"/>
        </w:tabs>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У контексті збройного конфлікту, розв’язаного Російською Федерацією проти України у 2014 році з подальшим її перетворенням у повномасштабне вторгнення у 2022 році, світ став свідком грубих порушень міжнародного права, які стосуються саме викрадень і депортацій цивільного населення. З перших місяців вторгнення фіксуються випадки масового вивезення українських громадян із тимчасово окупованих територій, зокрема з Донецької, Луганської, Запорізької та Херсонської областей. Особливе занепокоєння викликає примусова депортація дітей, які без згоди батьків або опікунів опиняються в інтернатних закладах на території Росії або передаються у прийомні родини з подальшою спробою інтегрувати їх у російське суспільство шляхом асиміляції.</w:t>
      </w:r>
    </w:p>
    <w:p w14:paraId="3928EFAB" w14:textId="77777777" w:rsidR="00220D3E" w:rsidRPr="00511005" w:rsidRDefault="00220D3E" w:rsidP="003A292D">
      <w:pPr>
        <w:tabs>
          <w:tab w:val="left" w:pos="709"/>
          <w:tab w:val="left" w:pos="7088"/>
        </w:tabs>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Такі дії були офіційно визнані порушенням міжнародного права та розцінені як воєнні злочини. У 2023 році Міжнародний кримінальний суд видав ордери на арешт президента Російської Федерації Володимира Путіна та уповноваженої з прав дитини Марії Львової-Бєлової, звинувативши їх у відповідальності за незаконну депортацію та переміщення українських дітей. Це стало вагомим свідченням того, що міжнародне співтовариство визнає масштаби й системність цих злочинів, а також має намір реалізовувати принцип невідворотності покарання.</w:t>
      </w:r>
    </w:p>
    <w:p w14:paraId="727F34C1" w14:textId="77777777" w:rsidR="00220D3E" w:rsidRPr="00511005" w:rsidRDefault="00220D3E" w:rsidP="003A292D">
      <w:pPr>
        <w:tabs>
          <w:tab w:val="left" w:pos="709"/>
          <w:tab w:val="left" w:pos="7088"/>
        </w:tabs>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Викрадення та депортації супроводжуються низкою інших порушень — таких як утримання осіб у фільтраційних таборах, обмеження доступу до правової допомоги, ізоляція від сімей та спроби знищення національної </w:t>
      </w:r>
      <w:r w:rsidRPr="00511005">
        <w:rPr>
          <w:rFonts w:ascii="Arial" w:eastAsia="Times New Roman" w:hAnsi="Arial" w:cs="Arial"/>
          <w:bCs/>
          <w:szCs w:val="28"/>
          <w:lang w:val="uk-UA" w:eastAsia="ru-RU" w:bidi="uk-UA"/>
        </w:rPr>
        <w:lastRenderedPageBreak/>
        <w:t>ідентичності. Такі практики є частиною ширшої стратегії агресора, спрямованої на деморалізацію українського суспільства, знищення його соціальних структур і підрив національного суверенітету [3]. Все супроводжується систематичними спробами змінити етнічну та демографічну структуру захоплених територій, що заборонено міжнародним правом.</w:t>
      </w:r>
    </w:p>
    <w:p w14:paraId="1517D4D0" w14:textId="77777777" w:rsidR="00220D3E" w:rsidRPr="00511005" w:rsidRDefault="00220D3E" w:rsidP="003A292D">
      <w:pPr>
        <w:tabs>
          <w:tab w:val="left" w:pos="709"/>
          <w:tab w:val="left" w:pos="7088"/>
        </w:tabs>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З огляду на масштаби проблеми, постає необхідність не лише у фіксації фактів порушень, а й у реалізації ефективного механізму міжнародної співпраці, спрямованого на повернення депортованих осіб, забезпечення їм належної реабілітації, а також притягнення винних до відповідальності. Важливу роль у цьому процесі відіграють міжнародні організації, зокрема Організація Об’єднаних Націй (ООН), Міжнародний комітет Червоного Хреста, Міжнародний надзвичайний фонд допомоги дітям при Органіцації Об’єднаних Націй (ЮНІСЕФ), а також правозахисні ініціативи та адвокаційні мережі, які здійснюють моніторинг, документування та правовий супровід справ. Національні інституції України, включно з Уповноваженим Верховної Ради України з прав людини, Службою безпеки України та іншими органами, активно беруть участь у розслідуванні та взаємодіють із міжнародними партнерами [2].</w:t>
      </w:r>
    </w:p>
    <w:p w14:paraId="4E4BFD6A" w14:textId="77777777" w:rsidR="00220D3E" w:rsidRPr="00511005" w:rsidRDefault="00220D3E" w:rsidP="003A292D">
      <w:pPr>
        <w:tabs>
          <w:tab w:val="left" w:pos="709"/>
          <w:tab w:val="left" w:pos="7088"/>
        </w:tabs>
        <w:spacing w:line="264" w:lineRule="auto"/>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Таким чином, примусове переміщення та викрадення цивільного населення, що здійснюються під час війни, розв’язаної Російською Федерацією проти України, становлять грубе порушення норм міжнародного гуманітарного та кримінального права. Вони не лише завдають безпосередньої шкоди постраждалим особам, а й підривають основи міжнародного правопорядку. Реакція світової спільноти має бути не лише рішучою, а й послідовною: порушники мають понести відповідальність, а постраждалі — отримати захист, компенсацію та можливість повернення. Український досвід у боротьбі за права цивільних осіб у контексті сучасної війни має стати не лише джерелом правових уроків для інших держав, а й підґрунтям для посилення міжнародних механізмів захисту цивільного населення в умовах збройного конфлікту.</w:t>
      </w:r>
    </w:p>
    <w:p w14:paraId="54459AC8" w14:textId="77777777" w:rsidR="00220D3E" w:rsidRPr="00511005" w:rsidRDefault="00220D3E" w:rsidP="003A292D">
      <w:pPr>
        <w:tabs>
          <w:tab w:val="left" w:pos="709"/>
        </w:tabs>
        <w:spacing w:line="264" w:lineRule="auto"/>
        <w:ind w:firstLine="0"/>
        <w:jc w:val="left"/>
        <w:rPr>
          <w:rFonts w:ascii="Arial" w:eastAsia="Times New Roman" w:hAnsi="Arial" w:cs="Arial"/>
          <w:b/>
          <w:szCs w:val="28"/>
          <w:lang w:val="uk-UA" w:eastAsia="ru-RU" w:bidi="uk-UA"/>
        </w:rPr>
      </w:pPr>
    </w:p>
    <w:p w14:paraId="0D4FCB3E"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bidi="uk-UA"/>
        </w:rPr>
      </w:pPr>
      <w:r w:rsidRPr="00511005">
        <w:rPr>
          <w:rFonts w:ascii="Arial" w:eastAsia="Times New Roman" w:hAnsi="Arial" w:cs="Arial"/>
          <w:b/>
          <w:szCs w:val="28"/>
          <w:lang w:val="en-US" w:eastAsia="ru-RU" w:bidi="uk-UA"/>
        </w:rPr>
        <w:t>C</w:t>
      </w:r>
      <w:r w:rsidRPr="00511005">
        <w:rPr>
          <w:rFonts w:ascii="Arial" w:eastAsia="Times New Roman" w:hAnsi="Arial" w:cs="Arial"/>
          <w:b/>
          <w:szCs w:val="28"/>
          <w:lang w:val="uk-UA" w:eastAsia="ru-RU" w:bidi="uk-UA"/>
        </w:rPr>
        <w:t>писок використаних джерел</w:t>
      </w:r>
    </w:p>
    <w:p w14:paraId="4934C22B" w14:textId="77777777" w:rsidR="00220D3E" w:rsidRPr="00511005" w:rsidRDefault="00220D3E" w:rsidP="003F6A5D">
      <w:pPr>
        <w:widowControl w:val="0"/>
        <w:numPr>
          <w:ilvl w:val="0"/>
          <w:numId w:val="150"/>
        </w:numPr>
        <w:tabs>
          <w:tab w:val="left" w:pos="720"/>
          <w:tab w:val="left" w:pos="993"/>
          <w:tab w:val="left" w:pos="7088"/>
        </w:tabs>
        <w:autoSpaceDE w:val="0"/>
        <w:autoSpaceDN w:val="0"/>
        <w:adjustRightInd w:val="0"/>
        <w:spacing w:line="264" w:lineRule="auto"/>
        <w:ind w:left="0" w:firstLine="709"/>
        <w:contextualSpacing/>
        <w:jc w:val="left"/>
        <w:rPr>
          <w:rFonts w:ascii="Arial" w:eastAsia="Calibri" w:hAnsi="Arial" w:cs="Arial"/>
          <w:bCs/>
          <w:szCs w:val="28"/>
          <w:lang w:val="uk-UA" w:bidi="uk-UA"/>
        </w:rPr>
      </w:pPr>
      <w:r w:rsidRPr="00511005">
        <w:rPr>
          <w:rFonts w:ascii="Arial" w:eastAsia="Calibri" w:hAnsi="Arial" w:cs="Arial"/>
          <w:bCs/>
          <w:szCs w:val="28"/>
          <w:lang w:bidi="uk-UA"/>
        </w:rPr>
        <w:t>Женевська конвенція про захист цивільного населення під час війни від 12 серпня 1949 року</w:t>
      </w:r>
      <w:r w:rsidRPr="00511005">
        <w:rPr>
          <w:rFonts w:ascii="Arial" w:eastAsia="Calibri" w:hAnsi="Arial" w:cs="Arial"/>
          <w:bCs/>
          <w:szCs w:val="28"/>
          <w:lang w:val="uk-UA" w:bidi="uk-UA"/>
        </w:rPr>
        <w:t xml:space="preserve"> </w:t>
      </w:r>
      <w:r w:rsidRPr="00511005">
        <w:rPr>
          <w:rFonts w:ascii="Arial" w:eastAsia="Calibri" w:hAnsi="Arial" w:cs="Arial"/>
          <w:bCs/>
          <w:szCs w:val="28"/>
          <w:lang w:bidi="uk-UA"/>
        </w:rPr>
        <w:t xml:space="preserve">URL: </w:t>
      </w:r>
      <w:hyperlink r:id="rId661" w:history="1">
        <w:r w:rsidRPr="00511005">
          <w:rPr>
            <w:rFonts w:ascii="Arial" w:eastAsia="Calibri" w:hAnsi="Arial" w:cs="Arial"/>
            <w:bCs/>
            <w:szCs w:val="28"/>
            <w:lang w:bidi="uk-UA"/>
          </w:rPr>
          <w:t>https://zakon.rada.gov.ua/go/995_154</w:t>
        </w:r>
      </w:hyperlink>
      <w:r w:rsidRPr="00511005">
        <w:rPr>
          <w:rFonts w:ascii="Arial" w:eastAsia="Calibri" w:hAnsi="Arial" w:cs="Arial"/>
          <w:bCs/>
          <w:szCs w:val="28"/>
          <w:lang w:val="uk-UA" w:bidi="uk-UA"/>
        </w:rPr>
        <w:t xml:space="preserve"> </w:t>
      </w:r>
      <w:r w:rsidRPr="00511005">
        <w:rPr>
          <w:rFonts w:ascii="Arial" w:eastAsia="Calibri" w:hAnsi="Arial" w:cs="Arial"/>
          <w:bCs/>
          <w:szCs w:val="28"/>
          <w:lang w:bidi="uk-UA"/>
        </w:rPr>
        <w:t>(дата звернення: 12.04.2025)</w:t>
      </w:r>
    </w:p>
    <w:p w14:paraId="0809D1C1" w14:textId="5B015309" w:rsidR="00220D3E" w:rsidRPr="00511005" w:rsidRDefault="00220D3E" w:rsidP="003F6A5D">
      <w:pPr>
        <w:widowControl w:val="0"/>
        <w:numPr>
          <w:ilvl w:val="0"/>
          <w:numId w:val="150"/>
        </w:numPr>
        <w:tabs>
          <w:tab w:val="left" w:pos="720"/>
          <w:tab w:val="left" w:pos="993"/>
          <w:tab w:val="left" w:pos="7088"/>
        </w:tabs>
        <w:autoSpaceDE w:val="0"/>
        <w:autoSpaceDN w:val="0"/>
        <w:adjustRightInd w:val="0"/>
        <w:spacing w:line="264" w:lineRule="auto"/>
        <w:ind w:left="0" w:firstLine="709"/>
        <w:contextualSpacing/>
        <w:jc w:val="left"/>
        <w:rPr>
          <w:rFonts w:ascii="Arial" w:eastAsia="Calibri" w:hAnsi="Arial" w:cs="Arial"/>
          <w:szCs w:val="28"/>
          <w:lang w:val="uk-UA" w:bidi="uk-UA"/>
        </w:rPr>
      </w:pPr>
      <w:r w:rsidRPr="00511005">
        <w:rPr>
          <w:rFonts w:ascii="Arial" w:eastAsia="Calibri" w:hAnsi="Arial" w:cs="Arial"/>
          <w:szCs w:val="28"/>
          <w:lang w:val="uk-UA" w:bidi="uk-UA"/>
        </w:rPr>
        <w:t>Ткачов М. Актуальні проблеми соціального розвитку в суспільстві</w:t>
      </w:r>
      <w:r w:rsidR="007B2628" w:rsidRPr="00511005">
        <w:rPr>
          <w:rFonts w:ascii="Arial" w:eastAsia="Calibri" w:hAnsi="Arial" w:cs="Arial"/>
          <w:szCs w:val="28"/>
          <w:lang w:val="uk-UA" w:bidi="uk-UA"/>
        </w:rPr>
        <w:t xml:space="preserve"> </w:t>
      </w:r>
      <w:r w:rsidRPr="00511005">
        <w:rPr>
          <w:rFonts w:ascii="Arial" w:eastAsia="Calibri" w:hAnsi="Arial" w:cs="Arial"/>
          <w:szCs w:val="28"/>
          <w:lang w:val="uk-UA" w:bidi="uk-UA"/>
        </w:rPr>
        <w:t xml:space="preserve">змін. </w:t>
      </w:r>
      <w:r w:rsidRPr="00511005">
        <w:rPr>
          <w:rFonts w:ascii="Arial" w:eastAsia="Calibri" w:hAnsi="Arial" w:cs="Arial"/>
          <w:i/>
          <w:iCs/>
          <w:szCs w:val="28"/>
          <w:lang w:val="uk-UA" w:bidi="uk-UA"/>
        </w:rPr>
        <w:t>Міжнародно-правові засоби захисту прав дітей від депортації та примусового переміщення</w:t>
      </w:r>
      <w:r w:rsidRPr="00511005">
        <w:rPr>
          <w:rFonts w:ascii="Arial" w:eastAsia="Calibri" w:hAnsi="Arial" w:cs="Arial"/>
          <w:szCs w:val="28"/>
          <w:lang w:val="uk-UA" w:bidi="uk-UA"/>
        </w:rPr>
        <w:t xml:space="preserve">: Матеріали </w:t>
      </w:r>
      <w:r w:rsidRPr="00511005">
        <w:rPr>
          <w:rFonts w:ascii="Arial" w:eastAsia="Calibri" w:hAnsi="Arial" w:cs="Arial"/>
          <w:szCs w:val="28"/>
          <w:lang w:bidi="uk-UA"/>
        </w:rPr>
        <w:t>I</w:t>
      </w:r>
      <w:r w:rsidRPr="00511005">
        <w:rPr>
          <w:rFonts w:ascii="Arial" w:eastAsia="Calibri" w:hAnsi="Arial" w:cs="Arial"/>
          <w:szCs w:val="28"/>
          <w:lang w:val="uk-UA" w:bidi="uk-UA"/>
        </w:rPr>
        <w:t>І Міжнародної науково-практичної конференції</w:t>
      </w:r>
      <w:r w:rsidRPr="00511005">
        <w:rPr>
          <w:rFonts w:ascii="Arial" w:eastAsia="Calibri" w:hAnsi="Arial" w:cs="Arial"/>
          <w:szCs w:val="28"/>
          <w:lang w:val="uk-UA"/>
        </w:rPr>
        <w:t xml:space="preserve"> </w:t>
      </w:r>
      <w:r w:rsidRPr="00511005">
        <w:rPr>
          <w:rFonts w:ascii="Arial" w:eastAsia="Calibri" w:hAnsi="Arial" w:cs="Arial"/>
          <w:szCs w:val="28"/>
          <w:lang w:val="uk-UA" w:bidi="uk-UA"/>
        </w:rPr>
        <w:t>28-30 березня 2024 р. Харків 2024. С.105-106.</w:t>
      </w:r>
      <w:bookmarkStart w:id="57" w:name="_Hlk197088235"/>
      <w:r w:rsidRPr="00511005">
        <w:rPr>
          <w:rFonts w:ascii="Arial" w:eastAsia="Calibri" w:hAnsi="Arial" w:cs="Arial"/>
          <w:szCs w:val="28"/>
          <w:lang w:val="uk-UA" w:bidi="uk-UA"/>
        </w:rPr>
        <w:t xml:space="preserve"> URL:</w:t>
      </w:r>
      <w:bookmarkEnd w:id="57"/>
      <w:r w:rsidRPr="00511005">
        <w:rPr>
          <w:rFonts w:ascii="Arial" w:eastAsia="Calibri" w:hAnsi="Arial" w:cs="Arial"/>
          <w:szCs w:val="28"/>
          <w:lang w:val="uk-UA" w:bidi="uk-UA"/>
        </w:rPr>
        <w:t xml:space="preserve"> </w:t>
      </w:r>
      <w:hyperlink r:id="rId662" w:history="1">
        <w:r w:rsidRPr="00511005">
          <w:rPr>
            <w:rFonts w:ascii="Arial" w:eastAsia="Calibri" w:hAnsi="Arial" w:cs="Arial"/>
            <w:szCs w:val="28"/>
            <w:lang w:val="uk-UA" w:bidi="uk-UA"/>
          </w:rPr>
          <w:t>http://repository.kpi.kharkov.ua/server/api/core/bitstreams/5b49515d-b59f-4591-a8e3-8485eeda344e/content</w:t>
        </w:r>
      </w:hyperlink>
      <w:r w:rsidRPr="00511005">
        <w:rPr>
          <w:rFonts w:ascii="Arial" w:eastAsia="Calibri" w:hAnsi="Arial" w:cs="Arial"/>
          <w:szCs w:val="28"/>
          <w:lang w:val="uk-UA" w:bidi="uk-UA"/>
        </w:rPr>
        <w:t xml:space="preserve">. </w:t>
      </w:r>
    </w:p>
    <w:p w14:paraId="7BC07C54" w14:textId="67D761ED" w:rsidR="00220D3E" w:rsidRPr="00511005" w:rsidRDefault="00220D3E" w:rsidP="003F6A5D">
      <w:pPr>
        <w:widowControl w:val="0"/>
        <w:numPr>
          <w:ilvl w:val="0"/>
          <w:numId w:val="150"/>
        </w:numPr>
        <w:tabs>
          <w:tab w:val="left" w:pos="720"/>
          <w:tab w:val="left" w:pos="993"/>
          <w:tab w:val="left" w:pos="7088"/>
        </w:tabs>
        <w:autoSpaceDE w:val="0"/>
        <w:autoSpaceDN w:val="0"/>
        <w:adjustRightInd w:val="0"/>
        <w:spacing w:line="264" w:lineRule="auto"/>
        <w:ind w:left="0" w:firstLine="709"/>
        <w:contextualSpacing/>
        <w:jc w:val="left"/>
        <w:rPr>
          <w:rFonts w:ascii="Arial" w:eastAsia="Calibri" w:hAnsi="Arial" w:cs="Arial"/>
          <w:bCs/>
          <w:szCs w:val="28"/>
          <w:lang w:bidi="uk-UA"/>
        </w:rPr>
      </w:pPr>
      <w:r w:rsidRPr="00511005">
        <w:rPr>
          <w:rFonts w:ascii="Arial" w:eastAsia="Calibri" w:hAnsi="Arial" w:cs="Arial"/>
          <w:szCs w:val="28"/>
          <w:shd w:val="clear" w:color="auto" w:fill="FFFFFF"/>
          <w:lang w:val="uk-UA"/>
        </w:rPr>
        <w:lastRenderedPageBreak/>
        <w:t>Сікан О. М. Геноцид, викрадення чи депортація українських дітей агресором: окремі роздуми О. М. Сікан.</w:t>
      </w:r>
      <w:r w:rsidRPr="00511005">
        <w:rPr>
          <w:rFonts w:ascii="Arial" w:eastAsia="Calibri" w:hAnsi="Arial" w:cs="Arial"/>
          <w:i/>
          <w:iCs/>
          <w:szCs w:val="28"/>
          <w:shd w:val="clear" w:color="auto" w:fill="FFFFFF"/>
          <w:lang w:val="uk-UA"/>
        </w:rPr>
        <w:t xml:space="preserve"> Завдання кримінального права в умовах надзвичайного стану : </w:t>
      </w:r>
      <w:r w:rsidRPr="00511005">
        <w:rPr>
          <w:rFonts w:ascii="Arial" w:eastAsia="Calibri" w:hAnsi="Arial" w:cs="Arial"/>
          <w:szCs w:val="28"/>
          <w:shd w:val="clear" w:color="auto" w:fill="FFFFFF"/>
          <w:lang w:val="uk-UA"/>
        </w:rPr>
        <w:t>матеріали Міжнародної науково-практичної конференції. м. Одеса, 9 грудня 2022 року. Одеса.</w:t>
      </w:r>
      <w:r w:rsidRPr="00511005">
        <w:rPr>
          <w:rFonts w:ascii="Arial" w:eastAsia="Calibri" w:hAnsi="Arial" w:cs="Arial"/>
          <w:szCs w:val="28"/>
          <w:shd w:val="clear" w:color="auto" w:fill="FFFFFF"/>
        </w:rPr>
        <w:t xml:space="preserve"> 2022. С. 117-119.</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lang w:val="uk-UA" w:bidi="uk-UA"/>
        </w:rPr>
        <w:t xml:space="preserve">URL: </w:t>
      </w:r>
      <w:hyperlink r:id="rId663" w:history="1">
        <w:r w:rsidRPr="00511005">
          <w:rPr>
            <w:rFonts w:ascii="Arial" w:eastAsia="Calibri" w:hAnsi="Arial" w:cs="Arial"/>
            <w:szCs w:val="28"/>
            <w:shd w:val="clear" w:color="auto" w:fill="FFFFFF"/>
            <w:lang w:val="en-US"/>
          </w:rPr>
          <w:t>https</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dspace</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onua</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edu</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ua</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items</w:t>
        </w:r>
        <w:r w:rsidRPr="00511005">
          <w:rPr>
            <w:rFonts w:ascii="Arial" w:eastAsia="Calibri" w:hAnsi="Arial" w:cs="Arial"/>
            <w:szCs w:val="28"/>
            <w:shd w:val="clear" w:color="auto" w:fill="FFFFFF"/>
          </w:rPr>
          <w:t>/0</w:t>
        </w:r>
        <w:r w:rsidRPr="00511005">
          <w:rPr>
            <w:rFonts w:ascii="Arial" w:eastAsia="Calibri" w:hAnsi="Arial" w:cs="Arial"/>
            <w:szCs w:val="28"/>
            <w:shd w:val="clear" w:color="auto" w:fill="FFFFFF"/>
            <w:lang w:val="en-US"/>
          </w:rPr>
          <w:t>cb</w:t>
        </w:r>
        <w:r w:rsidRPr="00511005">
          <w:rPr>
            <w:rFonts w:ascii="Arial" w:eastAsia="Calibri" w:hAnsi="Arial" w:cs="Arial"/>
            <w:szCs w:val="28"/>
            <w:shd w:val="clear" w:color="auto" w:fill="FFFFFF"/>
          </w:rPr>
          <w:t>8</w:t>
        </w:r>
        <w:r w:rsidRPr="00511005">
          <w:rPr>
            <w:rFonts w:ascii="Arial" w:eastAsia="Calibri" w:hAnsi="Arial" w:cs="Arial"/>
            <w:szCs w:val="28"/>
            <w:shd w:val="clear" w:color="auto" w:fill="FFFFFF"/>
            <w:lang w:val="en-US"/>
          </w:rPr>
          <w:t>e</w:t>
        </w:r>
        <w:r w:rsidRPr="00511005">
          <w:rPr>
            <w:rFonts w:ascii="Arial" w:eastAsia="Calibri" w:hAnsi="Arial" w:cs="Arial"/>
            <w:szCs w:val="28"/>
            <w:shd w:val="clear" w:color="auto" w:fill="FFFFFF"/>
          </w:rPr>
          <w:t>7</w:t>
        </w:r>
        <w:r w:rsidRPr="00511005">
          <w:rPr>
            <w:rFonts w:ascii="Arial" w:eastAsia="Calibri" w:hAnsi="Arial" w:cs="Arial"/>
            <w:szCs w:val="28"/>
            <w:shd w:val="clear" w:color="auto" w:fill="FFFFFF"/>
            <w:lang w:val="en-US"/>
          </w:rPr>
          <w:t>d</w:t>
        </w:r>
        <w:r w:rsidRPr="00511005">
          <w:rPr>
            <w:rFonts w:ascii="Arial" w:eastAsia="Calibri" w:hAnsi="Arial" w:cs="Arial"/>
            <w:szCs w:val="28"/>
            <w:shd w:val="clear" w:color="auto" w:fill="FFFFFF"/>
          </w:rPr>
          <w:t>3-</w:t>
        </w:r>
        <w:r w:rsidRPr="00511005">
          <w:rPr>
            <w:rFonts w:ascii="Arial" w:eastAsia="Calibri" w:hAnsi="Arial" w:cs="Arial"/>
            <w:szCs w:val="28"/>
            <w:shd w:val="clear" w:color="auto" w:fill="FFFFFF"/>
            <w:lang w:val="en-US"/>
          </w:rPr>
          <w:t>a</w:t>
        </w:r>
        <w:r w:rsidRPr="00511005">
          <w:rPr>
            <w:rFonts w:ascii="Arial" w:eastAsia="Calibri" w:hAnsi="Arial" w:cs="Arial"/>
            <w:szCs w:val="28"/>
            <w:shd w:val="clear" w:color="auto" w:fill="FFFFFF"/>
          </w:rPr>
          <w:t>762-4</w:t>
        </w:r>
        <w:r w:rsidRPr="00511005">
          <w:rPr>
            <w:rFonts w:ascii="Arial" w:eastAsia="Calibri" w:hAnsi="Arial" w:cs="Arial"/>
            <w:szCs w:val="28"/>
            <w:shd w:val="clear" w:color="auto" w:fill="FFFFFF"/>
            <w:lang w:val="en-US"/>
          </w:rPr>
          <w:t>fe</w:t>
        </w:r>
        <w:r w:rsidRPr="00511005">
          <w:rPr>
            <w:rFonts w:ascii="Arial" w:eastAsia="Calibri" w:hAnsi="Arial" w:cs="Arial"/>
            <w:szCs w:val="28"/>
            <w:shd w:val="clear" w:color="auto" w:fill="FFFFFF"/>
          </w:rPr>
          <w:t>4-</w:t>
        </w:r>
        <w:r w:rsidRPr="00511005">
          <w:rPr>
            <w:rFonts w:ascii="Arial" w:eastAsia="Calibri" w:hAnsi="Arial" w:cs="Arial"/>
            <w:szCs w:val="28"/>
            <w:shd w:val="clear" w:color="auto" w:fill="FFFFFF"/>
            <w:lang w:val="en-US"/>
          </w:rPr>
          <w:t>aebe</w:t>
        </w:r>
        <w:r w:rsidRPr="00511005">
          <w:rPr>
            <w:rFonts w:ascii="Arial" w:eastAsia="Calibri" w:hAnsi="Arial" w:cs="Arial"/>
            <w:szCs w:val="28"/>
            <w:shd w:val="clear" w:color="auto" w:fill="FFFFFF"/>
          </w:rPr>
          <w:t>-6</w:t>
        </w:r>
        <w:r w:rsidRPr="00511005">
          <w:rPr>
            <w:rFonts w:ascii="Arial" w:eastAsia="Calibri" w:hAnsi="Arial" w:cs="Arial"/>
            <w:szCs w:val="28"/>
            <w:shd w:val="clear" w:color="auto" w:fill="FFFFFF"/>
            <w:lang w:val="en-US"/>
          </w:rPr>
          <w:t>f</w:t>
        </w:r>
        <w:r w:rsidRPr="00511005">
          <w:rPr>
            <w:rFonts w:ascii="Arial" w:eastAsia="Calibri" w:hAnsi="Arial" w:cs="Arial"/>
            <w:szCs w:val="28"/>
            <w:shd w:val="clear" w:color="auto" w:fill="FFFFFF"/>
          </w:rPr>
          <w:t>9</w:t>
        </w:r>
        <w:r w:rsidRPr="00511005">
          <w:rPr>
            <w:rFonts w:ascii="Arial" w:eastAsia="Calibri" w:hAnsi="Arial" w:cs="Arial"/>
            <w:szCs w:val="28"/>
            <w:shd w:val="clear" w:color="auto" w:fill="FFFFFF"/>
            <w:lang w:val="en-US"/>
          </w:rPr>
          <w:t>f</w:t>
        </w:r>
        <w:r w:rsidRPr="00511005">
          <w:rPr>
            <w:rFonts w:ascii="Arial" w:eastAsia="Calibri" w:hAnsi="Arial" w:cs="Arial"/>
            <w:szCs w:val="28"/>
            <w:shd w:val="clear" w:color="auto" w:fill="FFFFFF"/>
          </w:rPr>
          <w:t>2458</w:t>
        </w:r>
        <w:r w:rsidRPr="00511005">
          <w:rPr>
            <w:rFonts w:ascii="Arial" w:eastAsia="Calibri" w:hAnsi="Arial" w:cs="Arial"/>
            <w:szCs w:val="28"/>
            <w:shd w:val="clear" w:color="auto" w:fill="FFFFFF"/>
            <w:lang w:val="en-US"/>
          </w:rPr>
          <w:t>f</w:t>
        </w:r>
        <w:r w:rsidRPr="00511005">
          <w:rPr>
            <w:rFonts w:ascii="Arial" w:eastAsia="Calibri" w:hAnsi="Arial" w:cs="Arial"/>
            <w:szCs w:val="28"/>
            <w:shd w:val="clear" w:color="auto" w:fill="FFFFFF"/>
          </w:rPr>
          <w:t>160</w:t>
        </w:r>
      </w:hyperlink>
      <w:r w:rsidRPr="00511005">
        <w:rPr>
          <w:rFonts w:ascii="Arial" w:eastAsia="Calibri" w:hAnsi="Arial" w:cs="Arial"/>
          <w:szCs w:val="28"/>
          <w:shd w:val="clear" w:color="auto" w:fill="FFFFFF"/>
          <w:lang w:val="uk-UA"/>
        </w:rPr>
        <w:t xml:space="preserve"> </w:t>
      </w:r>
    </w:p>
    <w:p w14:paraId="226E8A98" w14:textId="76C9293B"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 Дронов В.Ю.</w:t>
      </w:r>
    </w:p>
    <w:p w14:paraId="05C7A83D" w14:textId="77777777" w:rsidR="00220D3E" w:rsidRPr="00511005" w:rsidRDefault="00220D3E" w:rsidP="003A292D">
      <w:pPr>
        <w:tabs>
          <w:tab w:val="left" w:pos="709"/>
        </w:tabs>
        <w:spacing w:line="264" w:lineRule="auto"/>
        <w:ind w:right="135" w:firstLine="0"/>
        <w:jc w:val="left"/>
        <w:rPr>
          <w:rFonts w:ascii="Arial" w:eastAsia="Times New Roman" w:hAnsi="Arial" w:cs="Arial"/>
          <w:b/>
          <w:i/>
          <w:szCs w:val="28"/>
          <w:lang w:val="uk-UA" w:eastAsia="ru-RU"/>
        </w:rPr>
      </w:pPr>
    </w:p>
    <w:p w14:paraId="578DD66B" w14:textId="77777777" w:rsidR="00220D3E" w:rsidRPr="00511005" w:rsidRDefault="00220D3E" w:rsidP="003A292D">
      <w:pPr>
        <w:tabs>
          <w:tab w:val="left" w:pos="709"/>
        </w:tabs>
        <w:spacing w:line="264" w:lineRule="auto"/>
        <w:ind w:right="-1"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Сорочан</w:t>
      </w:r>
      <w:r w:rsidRPr="00511005">
        <w:rPr>
          <w:rFonts w:ascii="Arial" w:eastAsia="Times New Roman" w:hAnsi="Arial" w:cs="Arial"/>
          <w:b/>
          <w:i/>
          <w:spacing w:val="-13"/>
          <w:szCs w:val="28"/>
          <w:lang w:eastAsia="ru-RU"/>
        </w:rPr>
        <w:t xml:space="preserve"> </w:t>
      </w:r>
      <w:r w:rsidRPr="00511005">
        <w:rPr>
          <w:rFonts w:ascii="Arial" w:eastAsia="Times New Roman" w:hAnsi="Arial" w:cs="Arial"/>
          <w:b/>
          <w:i/>
          <w:szCs w:val="28"/>
          <w:lang w:eastAsia="ru-RU"/>
        </w:rPr>
        <w:t>Анна</w:t>
      </w:r>
      <w:r w:rsidRPr="00511005">
        <w:rPr>
          <w:rFonts w:ascii="Arial" w:eastAsia="Times New Roman" w:hAnsi="Arial" w:cs="Arial"/>
          <w:b/>
          <w:i/>
          <w:spacing w:val="-12"/>
          <w:szCs w:val="28"/>
          <w:lang w:eastAsia="ru-RU"/>
        </w:rPr>
        <w:t xml:space="preserve"> </w:t>
      </w:r>
      <w:r w:rsidRPr="00511005">
        <w:rPr>
          <w:rFonts w:ascii="Arial" w:eastAsia="Times New Roman" w:hAnsi="Arial" w:cs="Arial"/>
          <w:b/>
          <w:i/>
          <w:spacing w:val="-2"/>
          <w:szCs w:val="28"/>
          <w:lang w:eastAsia="ru-RU"/>
        </w:rPr>
        <w:t>Віталіївна</w:t>
      </w:r>
    </w:p>
    <w:p w14:paraId="7767B1CA" w14:textId="0A12DFBC" w:rsidR="00220D3E" w:rsidRPr="00511005" w:rsidRDefault="00536AAB" w:rsidP="003A292D">
      <w:pPr>
        <w:tabs>
          <w:tab w:val="left" w:pos="709"/>
        </w:tabs>
        <w:spacing w:line="264" w:lineRule="auto"/>
        <w:ind w:right="-1"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r w:rsidR="00220D3E" w:rsidRPr="00511005">
        <w:rPr>
          <w:rFonts w:ascii="Arial" w:eastAsia="Times New Roman" w:hAnsi="Arial" w:cs="Arial"/>
          <w:szCs w:val="28"/>
          <w:lang w:eastAsia="ru-RU"/>
        </w:rPr>
        <w:t xml:space="preserve"> </w:t>
      </w:r>
      <w:r w:rsidR="007B2628" w:rsidRPr="00511005">
        <w:rPr>
          <w:rFonts w:ascii="Arial" w:eastAsia="Times New Roman" w:hAnsi="Arial" w:cs="Arial"/>
          <w:szCs w:val="28"/>
          <w:lang w:eastAsia="ru-RU"/>
        </w:rPr>
        <w:t>Національного університету «Одеська юридична академія»</w:t>
      </w:r>
    </w:p>
    <w:p w14:paraId="601C9A4D" w14:textId="7106747C" w:rsidR="00220D3E" w:rsidRPr="00511005" w:rsidRDefault="00220D3E" w:rsidP="003A292D">
      <w:pPr>
        <w:tabs>
          <w:tab w:val="left" w:pos="709"/>
        </w:tabs>
        <w:spacing w:line="264" w:lineRule="auto"/>
        <w:ind w:right="-1" w:firstLine="0"/>
        <w:jc w:val="center"/>
        <w:rPr>
          <w:rFonts w:ascii="Arial" w:eastAsia="Times New Roman" w:hAnsi="Arial" w:cs="Arial"/>
          <w:szCs w:val="28"/>
          <w:lang w:eastAsia="ru-RU"/>
        </w:rPr>
      </w:pPr>
    </w:p>
    <w:p w14:paraId="1FAFAD1D" w14:textId="17D92D83" w:rsidR="001E775A" w:rsidRPr="00511005" w:rsidRDefault="001E775A" w:rsidP="003A292D">
      <w:pPr>
        <w:tabs>
          <w:tab w:val="left" w:pos="709"/>
        </w:tabs>
        <w:spacing w:line="264" w:lineRule="auto"/>
        <w:ind w:right="-1" w:firstLine="0"/>
        <w:jc w:val="center"/>
        <w:rPr>
          <w:rFonts w:ascii="Arial" w:eastAsia="Times New Roman" w:hAnsi="Arial" w:cs="Arial"/>
          <w:szCs w:val="28"/>
          <w:lang w:eastAsia="ru-RU"/>
        </w:rPr>
      </w:pPr>
      <w:r w:rsidRPr="00511005">
        <w:rPr>
          <w:rFonts w:ascii="Arial" w:eastAsia="Times New Roman" w:hAnsi="Arial" w:cs="Arial"/>
          <w:b/>
          <w:szCs w:val="28"/>
          <w:lang w:eastAsia="ru-RU"/>
        </w:rPr>
        <w:t>КОДИФІКАЦІЯ</w:t>
      </w:r>
      <w:r w:rsidRPr="00511005">
        <w:rPr>
          <w:rFonts w:ascii="Arial" w:eastAsia="Times New Roman" w:hAnsi="Arial" w:cs="Arial"/>
          <w:b/>
          <w:spacing w:val="34"/>
          <w:szCs w:val="28"/>
          <w:lang w:eastAsia="ru-RU"/>
        </w:rPr>
        <w:t xml:space="preserve"> </w:t>
      </w:r>
      <w:r w:rsidRPr="00511005">
        <w:rPr>
          <w:rFonts w:ascii="Arial" w:eastAsia="Times New Roman" w:hAnsi="Arial" w:cs="Arial"/>
          <w:b/>
          <w:szCs w:val="28"/>
          <w:lang w:eastAsia="ru-RU"/>
        </w:rPr>
        <w:t>ПРАВА</w:t>
      </w:r>
      <w:r w:rsidRPr="00511005">
        <w:rPr>
          <w:rFonts w:ascii="Arial" w:eastAsia="Times New Roman" w:hAnsi="Arial" w:cs="Arial"/>
          <w:b/>
          <w:spacing w:val="34"/>
          <w:szCs w:val="28"/>
          <w:lang w:eastAsia="ru-RU"/>
        </w:rPr>
        <w:t xml:space="preserve"> </w:t>
      </w:r>
      <w:r w:rsidRPr="00511005">
        <w:rPr>
          <w:rFonts w:ascii="Arial" w:eastAsia="Times New Roman" w:hAnsi="Arial" w:cs="Arial"/>
          <w:b/>
          <w:szCs w:val="28"/>
          <w:lang w:eastAsia="ru-RU"/>
        </w:rPr>
        <w:t>ЗОВНІШНІХ</w:t>
      </w:r>
      <w:r w:rsidRPr="00511005">
        <w:rPr>
          <w:rFonts w:ascii="Arial" w:eastAsia="Times New Roman" w:hAnsi="Arial" w:cs="Arial"/>
          <w:b/>
          <w:spacing w:val="34"/>
          <w:szCs w:val="28"/>
          <w:lang w:eastAsia="ru-RU"/>
        </w:rPr>
        <w:t xml:space="preserve"> </w:t>
      </w:r>
      <w:r w:rsidRPr="00511005">
        <w:rPr>
          <w:rFonts w:ascii="Arial" w:eastAsia="Times New Roman" w:hAnsi="Arial" w:cs="Arial"/>
          <w:b/>
          <w:szCs w:val="28"/>
          <w:lang w:eastAsia="ru-RU"/>
        </w:rPr>
        <w:t>ЗНОСИН У</w:t>
      </w:r>
      <w:r w:rsidRPr="00511005">
        <w:rPr>
          <w:rFonts w:ascii="Arial" w:eastAsia="Times New Roman" w:hAnsi="Arial" w:cs="Arial"/>
          <w:b/>
          <w:spacing w:val="35"/>
          <w:szCs w:val="28"/>
          <w:lang w:eastAsia="ru-RU"/>
        </w:rPr>
        <w:t xml:space="preserve"> </w:t>
      </w:r>
      <w:r w:rsidRPr="00511005">
        <w:rPr>
          <w:rFonts w:ascii="Arial" w:eastAsia="Times New Roman" w:hAnsi="Arial" w:cs="Arial"/>
          <w:b/>
          <w:szCs w:val="28"/>
          <w:lang w:eastAsia="ru-RU"/>
        </w:rPr>
        <w:t>РАМКАХ</w:t>
      </w:r>
      <w:r w:rsidRPr="00511005">
        <w:rPr>
          <w:rFonts w:ascii="Arial" w:eastAsia="Times New Roman" w:hAnsi="Arial" w:cs="Arial"/>
          <w:b/>
          <w:spacing w:val="38"/>
          <w:szCs w:val="28"/>
          <w:lang w:eastAsia="ru-RU"/>
        </w:rPr>
        <w:t xml:space="preserve"> </w:t>
      </w:r>
      <w:r w:rsidRPr="00511005">
        <w:rPr>
          <w:rFonts w:ascii="Arial" w:eastAsia="Times New Roman" w:hAnsi="Arial" w:cs="Arial"/>
          <w:b/>
          <w:szCs w:val="28"/>
          <w:lang w:eastAsia="ru-RU"/>
        </w:rPr>
        <w:t>ДІЯЛЬНОСТІ КОМІСІЇ МІЖНАРОДНОГО ПРАВА ООН</w:t>
      </w:r>
    </w:p>
    <w:p w14:paraId="0EC0BD21"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bookmarkStart w:id="58" w:name="КОДИФІКАЦІЯ_ПРАВА_ЗОВНІШНІХ_ЗНОСИН_У_РАМ"/>
      <w:bookmarkEnd w:id="58"/>
      <w:r w:rsidRPr="00511005">
        <w:rPr>
          <w:rFonts w:ascii="Arial" w:eastAsia="Times New Roman" w:hAnsi="Arial" w:cs="Arial"/>
          <w:szCs w:val="28"/>
          <w:lang w:eastAsia="ru-RU"/>
        </w:rPr>
        <w:t>Кодифікація є ключовим елементом у процесі впорядкування правових норм, що передбачає їх перегляд, оновлення та об’єднання в цілісні нормативні акти, які регулюють певну сферу суспільних відносин. У сфері міжнародного права вона має особливе значення, адже дозволяє систематизувати численні міжнародні договори та звичаєві норми, усунути прогалини й суперечності, а також забезпечити правову ясність у відносинах між державами.</w:t>
      </w:r>
    </w:p>
    <w:p w14:paraId="13246133"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Вагоме місце в цьому процесі займає кодифікація норм, що регулюють зовнішні зносини, адже саме вони становлять основу правової взаємодії держав, охоплюючи питання дипломатичної і консульської діяльності, укладення міжнародних договорів та інші форми міжнародної співпраці. Ці норми мають бути чітко сформульованими, стабільними та універсальними, оскільки від них значною мірою залежить ефективність міжнародної політики та правопорядку на глобальному рівні.</w:t>
      </w:r>
    </w:p>
    <w:p w14:paraId="75B19C91"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Кодифікаційна робота у сфері міжнародного права, зокрема й права зовнішніх зносин, здійснюється за участю міждержавних інституцій. Однією з найважливіших є Комісія міжнародного права ООН (повна назва — Комісія з прогресивного розвитку і кодифікації міжнародного права), яка була створена як допоміжний орган Генеральної Асамблеї ООН відповідно до резолюції ГА ООН 174 (II). Її діяльність регламентується Положенням 1947 року (зі змінами), що визначає повноваження, склад та процедури роботи цього органу.</w:t>
      </w:r>
    </w:p>
    <w:p w14:paraId="39D06BF9" w14:textId="06D117F3" w:rsidR="00220D3E" w:rsidRPr="00511005" w:rsidRDefault="00220D3E" w:rsidP="003A292D">
      <w:pPr>
        <w:tabs>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Комісія складається з 34 юристів-міжнародників, які користуються загальновизнаним авторитетом у галузі міжнародного права. Їх обирає</w:t>
      </w:r>
      <w:r w:rsidRPr="00511005">
        <w:rPr>
          <w:rFonts w:ascii="Arial" w:eastAsia="Times New Roman" w:hAnsi="Arial" w:cs="Arial"/>
          <w:spacing w:val="80"/>
          <w:szCs w:val="28"/>
          <w:lang w:eastAsia="ru-RU"/>
        </w:rPr>
        <w:t xml:space="preserve"> </w:t>
      </w:r>
      <w:r w:rsidRPr="00511005">
        <w:rPr>
          <w:rFonts w:ascii="Arial" w:eastAsia="Times New Roman" w:hAnsi="Arial" w:cs="Arial"/>
          <w:szCs w:val="28"/>
          <w:lang w:eastAsia="ru-RU"/>
        </w:rPr>
        <w:t>Генеральна Асамблея строком на п’ять років, і вони діють в особистій якості, тобто не представляють безпосередньо уряди своїх держав, що забезпечує належний</w:t>
      </w:r>
      <w:r w:rsidR="007B2628" w:rsidRPr="00511005">
        <w:rPr>
          <w:rFonts w:ascii="Arial" w:eastAsia="Times New Roman" w:hAnsi="Arial" w:cs="Arial"/>
          <w:spacing w:val="40"/>
          <w:szCs w:val="28"/>
          <w:lang w:eastAsia="ru-RU"/>
        </w:rPr>
        <w:t xml:space="preserve"> </w:t>
      </w:r>
      <w:r w:rsidRPr="00511005">
        <w:rPr>
          <w:rFonts w:ascii="Arial" w:eastAsia="Times New Roman" w:hAnsi="Arial" w:cs="Arial"/>
          <w:szCs w:val="28"/>
          <w:lang w:eastAsia="ru-RU"/>
        </w:rPr>
        <w:t>рівень</w:t>
      </w:r>
      <w:r w:rsidR="007B2628" w:rsidRPr="00511005">
        <w:rPr>
          <w:rFonts w:ascii="Arial" w:eastAsia="Times New Roman" w:hAnsi="Arial" w:cs="Arial"/>
          <w:spacing w:val="40"/>
          <w:szCs w:val="28"/>
          <w:lang w:eastAsia="ru-RU"/>
        </w:rPr>
        <w:t xml:space="preserve"> </w:t>
      </w:r>
      <w:r w:rsidRPr="00511005">
        <w:rPr>
          <w:rFonts w:ascii="Arial" w:eastAsia="Times New Roman" w:hAnsi="Arial" w:cs="Arial"/>
          <w:szCs w:val="28"/>
          <w:lang w:eastAsia="ru-RU"/>
        </w:rPr>
        <w:t>незалежності</w:t>
      </w:r>
      <w:r w:rsidR="007B2628" w:rsidRPr="00511005">
        <w:rPr>
          <w:rFonts w:ascii="Arial" w:eastAsia="Times New Roman" w:hAnsi="Arial" w:cs="Arial"/>
          <w:spacing w:val="40"/>
          <w:szCs w:val="28"/>
          <w:lang w:eastAsia="ru-RU"/>
        </w:rPr>
        <w:t xml:space="preserve"> </w:t>
      </w:r>
      <w:r w:rsidRPr="00511005">
        <w:rPr>
          <w:rFonts w:ascii="Arial" w:eastAsia="Times New Roman" w:hAnsi="Arial" w:cs="Arial"/>
          <w:szCs w:val="28"/>
          <w:lang w:eastAsia="ru-RU"/>
        </w:rPr>
        <w:t>та</w:t>
      </w:r>
      <w:r w:rsidR="007B2628" w:rsidRPr="00511005">
        <w:rPr>
          <w:rFonts w:ascii="Arial" w:eastAsia="Times New Roman" w:hAnsi="Arial" w:cs="Arial"/>
          <w:spacing w:val="40"/>
          <w:szCs w:val="28"/>
          <w:lang w:eastAsia="ru-RU"/>
        </w:rPr>
        <w:t xml:space="preserve"> </w:t>
      </w:r>
      <w:r w:rsidRPr="00511005">
        <w:rPr>
          <w:rFonts w:ascii="Arial" w:eastAsia="Times New Roman" w:hAnsi="Arial" w:cs="Arial"/>
          <w:szCs w:val="28"/>
          <w:lang w:eastAsia="ru-RU"/>
        </w:rPr>
        <w:t>наукового</w:t>
      </w:r>
      <w:r w:rsidR="007B2628" w:rsidRPr="00511005">
        <w:rPr>
          <w:rFonts w:ascii="Arial" w:eastAsia="Times New Roman" w:hAnsi="Arial" w:cs="Arial"/>
          <w:spacing w:val="40"/>
          <w:szCs w:val="28"/>
          <w:lang w:eastAsia="ru-RU"/>
        </w:rPr>
        <w:t xml:space="preserve"> </w:t>
      </w:r>
      <w:r w:rsidRPr="00511005">
        <w:rPr>
          <w:rFonts w:ascii="Arial" w:eastAsia="Times New Roman" w:hAnsi="Arial" w:cs="Arial"/>
          <w:szCs w:val="28"/>
          <w:lang w:eastAsia="ru-RU"/>
        </w:rPr>
        <w:t>обґрунтування</w:t>
      </w:r>
      <w:r w:rsidR="007B2628" w:rsidRPr="00511005">
        <w:rPr>
          <w:rFonts w:ascii="Arial" w:eastAsia="Times New Roman" w:hAnsi="Arial" w:cs="Arial"/>
          <w:spacing w:val="40"/>
          <w:szCs w:val="28"/>
          <w:lang w:eastAsia="ru-RU"/>
        </w:rPr>
        <w:t xml:space="preserve"> </w:t>
      </w:r>
      <w:r w:rsidRPr="00511005">
        <w:rPr>
          <w:rFonts w:ascii="Arial" w:eastAsia="Times New Roman" w:hAnsi="Arial" w:cs="Arial"/>
          <w:szCs w:val="28"/>
          <w:lang w:eastAsia="ru-RU"/>
        </w:rPr>
        <w:t>її</w:t>
      </w:r>
      <w:r w:rsidR="007B2628" w:rsidRPr="00511005">
        <w:rPr>
          <w:rFonts w:ascii="Arial" w:eastAsia="Times New Roman" w:hAnsi="Arial" w:cs="Arial"/>
          <w:spacing w:val="40"/>
          <w:szCs w:val="28"/>
          <w:lang w:eastAsia="ru-RU"/>
        </w:rPr>
        <w:t xml:space="preserve"> </w:t>
      </w:r>
      <w:proofErr w:type="gramStart"/>
      <w:r w:rsidRPr="00511005">
        <w:rPr>
          <w:rFonts w:ascii="Arial" w:eastAsia="Times New Roman" w:hAnsi="Arial" w:cs="Arial"/>
          <w:szCs w:val="28"/>
          <w:lang w:eastAsia="ru-RU"/>
        </w:rPr>
        <w:t>діяльності.Головною</w:t>
      </w:r>
      <w:proofErr w:type="gramEnd"/>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метою</w:t>
      </w:r>
      <w:r w:rsidRPr="00511005">
        <w:rPr>
          <w:rFonts w:ascii="Arial" w:eastAsia="Times New Roman" w:hAnsi="Arial" w:cs="Arial"/>
          <w:spacing w:val="-1"/>
          <w:szCs w:val="28"/>
          <w:lang w:eastAsia="ru-RU"/>
        </w:rPr>
        <w:t xml:space="preserve"> </w:t>
      </w:r>
      <w:r w:rsidRPr="00511005">
        <w:rPr>
          <w:rFonts w:ascii="Arial" w:eastAsia="Times New Roman" w:hAnsi="Arial" w:cs="Arial"/>
          <w:szCs w:val="28"/>
          <w:lang w:eastAsia="ru-RU"/>
        </w:rPr>
        <w:t>Комісії</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є</w:t>
      </w:r>
      <w:r w:rsidRPr="00511005">
        <w:rPr>
          <w:rFonts w:ascii="Arial" w:eastAsia="Times New Roman" w:hAnsi="Arial" w:cs="Arial"/>
          <w:spacing w:val="-1"/>
          <w:szCs w:val="28"/>
          <w:lang w:eastAsia="ru-RU"/>
        </w:rPr>
        <w:t xml:space="preserve"> </w:t>
      </w:r>
      <w:r w:rsidRPr="00511005">
        <w:rPr>
          <w:rFonts w:ascii="Arial" w:eastAsia="Times New Roman" w:hAnsi="Arial" w:cs="Arial"/>
          <w:szCs w:val="28"/>
          <w:lang w:eastAsia="ru-RU"/>
        </w:rPr>
        <w:t>сприяння</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прогресивному розвитку</w:t>
      </w:r>
      <w:r w:rsidRPr="00511005">
        <w:rPr>
          <w:rFonts w:ascii="Arial" w:eastAsia="Times New Roman" w:hAnsi="Arial" w:cs="Arial"/>
          <w:spacing w:val="-1"/>
          <w:szCs w:val="28"/>
          <w:lang w:eastAsia="ru-RU"/>
        </w:rPr>
        <w:t xml:space="preserve"> </w:t>
      </w:r>
      <w:r w:rsidRPr="00511005">
        <w:rPr>
          <w:rFonts w:ascii="Arial" w:eastAsia="Times New Roman" w:hAnsi="Arial" w:cs="Arial"/>
          <w:szCs w:val="28"/>
          <w:lang w:eastAsia="ru-RU"/>
        </w:rPr>
        <w:t>та</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 xml:space="preserve">кодифікації міжнародного права — шляхом систематизації та формалізації </w:t>
      </w:r>
      <w:r w:rsidRPr="00511005">
        <w:rPr>
          <w:rFonts w:ascii="Arial" w:eastAsia="Times New Roman" w:hAnsi="Arial" w:cs="Arial"/>
          <w:szCs w:val="28"/>
          <w:lang w:eastAsia="ru-RU"/>
        </w:rPr>
        <w:lastRenderedPageBreak/>
        <w:t>міжнародно- правових норм у вигляді проектів статей чи міжнародних конвенцій.</w:t>
      </w:r>
    </w:p>
    <w:p w14:paraId="0BCB0EB2"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Комісія</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міжнародного</w:t>
      </w:r>
      <w:r w:rsidRPr="00511005">
        <w:rPr>
          <w:rFonts w:ascii="Arial" w:eastAsia="Times New Roman" w:hAnsi="Arial" w:cs="Arial"/>
          <w:spacing w:val="-1"/>
          <w:szCs w:val="28"/>
          <w:lang w:eastAsia="ru-RU"/>
        </w:rPr>
        <w:t xml:space="preserve"> </w:t>
      </w:r>
      <w:r w:rsidRPr="00511005">
        <w:rPr>
          <w:rFonts w:ascii="Arial" w:eastAsia="Times New Roman" w:hAnsi="Arial" w:cs="Arial"/>
          <w:szCs w:val="28"/>
          <w:lang w:eastAsia="ru-RU"/>
        </w:rPr>
        <w:t>права Організації Об’єднаних Націй відіграє важливу роль у прогресивному розвитку та кодифікації міжнародного права. Основний вектор її діяльності спрямований на систематизацію норм міжнародного публічного права, хоча в окремих випадках вона також звертається до питань міжнародного приватного права. Кодифікаційна робота Комісії реалізується через узгодження міжнародно-правових положень, усунення суперечностей</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 xml:space="preserve">між ними, а також шляхом скасування норм, що втратили актуальність, та їхньою заміною новими положеннями, які відповідають сучасним викликам у сфері міжнародного </w:t>
      </w:r>
      <w:r w:rsidRPr="00511005">
        <w:rPr>
          <w:rFonts w:ascii="Arial" w:eastAsia="Times New Roman" w:hAnsi="Arial" w:cs="Arial"/>
          <w:spacing w:val="-2"/>
          <w:szCs w:val="28"/>
          <w:lang w:eastAsia="ru-RU"/>
        </w:rPr>
        <w:t>права.</w:t>
      </w:r>
    </w:p>
    <w:p w14:paraId="07FF70F9"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Основною формою діяльності Комісії є підготовка проєктів статей та міжнародних конвенцій, що мають на меті кодифікацію і поступовий розвиток окремих напрямів або галузей міжнародного права. При цьому важливу роль у роботі Комісії відіграють уряди держав-членів ООН, які беруть участь у всіх етапах</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підготовки</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нормативних</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документів: надають</w:t>
      </w:r>
      <w:r w:rsidRPr="00511005">
        <w:rPr>
          <w:rFonts w:ascii="Arial" w:eastAsia="Times New Roman" w:hAnsi="Arial" w:cs="Arial"/>
          <w:spacing w:val="-6"/>
          <w:szCs w:val="28"/>
          <w:lang w:eastAsia="ru-RU"/>
        </w:rPr>
        <w:t xml:space="preserve"> </w:t>
      </w:r>
      <w:r w:rsidRPr="00511005">
        <w:rPr>
          <w:rFonts w:ascii="Arial" w:eastAsia="Times New Roman" w:hAnsi="Arial" w:cs="Arial"/>
          <w:szCs w:val="28"/>
          <w:lang w:eastAsia="ru-RU"/>
        </w:rPr>
        <w:t>необхідні</w:t>
      </w:r>
      <w:r w:rsidRPr="00511005">
        <w:rPr>
          <w:rFonts w:ascii="Arial" w:eastAsia="Times New Roman" w:hAnsi="Arial" w:cs="Arial"/>
          <w:spacing w:val="-1"/>
          <w:szCs w:val="28"/>
          <w:lang w:eastAsia="ru-RU"/>
        </w:rPr>
        <w:t xml:space="preserve"> </w:t>
      </w:r>
      <w:r w:rsidRPr="00511005">
        <w:rPr>
          <w:rFonts w:ascii="Arial" w:eastAsia="Times New Roman" w:hAnsi="Arial" w:cs="Arial"/>
          <w:szCs w:val="28"/>
          <w:lang w:eastAsia="ru-RU"/>
        </w:rPr>
        <w:t>дані,</w:t>
      </w:r>
      <w:r w:rsidRPr="00511005">
        <w:rPr>
          <w:rFonts w:ascii="Arial" w:eastAsia="Times New Roman" w:hAnsi="Arial" w:cs="Arial"/>
          <w:spacing w:val="-1"/>
          <w:szCs w:val="28"/>
          <w:lang w:eastAsia="ru-RU"/>
        </w:rPr>
        <w:t xml:space="preserve"> </w:t>
      </w:r>
      <w:r w:rsidRPr="00511005">
        <w:rPr>
          <w:rFonts w:ascii="Arial" w:eastAsia="Times New Roman" w:hAnsi="Arial" w:cs="Arial"/>
          <w:szCs w:val="28"/>
          <w:lang w:eastAsia="ru-RU"/>
        </w:rPr>
        <w:t>висловлюють зауваження до проєктів, а також беруть участь у визначенні пріоритетності окремих напрямів роботи.</w:t>
      </w:r>
    </w:p>
    <w:p w14:paraId="6D9DBDAC"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Комісія самостійно ініціює аналіз різних галузей міжнародного права з метою визначення перспективних тем для кодифікації. На початковому етапі роботи вона звертається до держав-членів ООН із проханням надати національні закони, судові рішення, тексти договорів, дипломатичне листування та інші документи, що мають значення для поглибленого вивчення відповідної тематики. На основі отриманих матеріалів Комісія готує відповідний проєкт, що містить статті або тексти конвенцій з пояснювальними записками та допоміжною інформацією. Згодом цей документ надсилається державам-членам ООН для ознайомлення та висловлення зауважень. Після розгляду зауважень Комісія доопрацьовує остаточний текст, який надалі подається на розгляд Генеральній Асамблеї ООН.На прохання Генеральної Асамблеї Комісія може терміново опрацьовувати окремі питання, що потребують першочергового врегулювання. Водночас значна увага</w:t>
      </w:r>
      <w:r w:rsidRPr="00511005">
        <w:rPr>
          <w:rFonts w:ascii="Arial" w:eastAsia="Times New Roman" w:hAnsi="Arial" w:cs="Arial"/>
          <w:spacing w:val="-1"/>
          <w:szCs w:val="28"/>
          <w:lang w:eastAsia="ru-RU"/>
        </w:rPr>
        <w:t xml:space="preserve"> </w:t>
      </w:r>
      <w:r w:rsidRPr="00511005">
        <w:rPr>
          <w:rFonts w:ascii="Arial" w:eastAsia="Times New Roman" w:hAnsi="Arial" w:cs="Arial"/>
          <w:szCs w:val="28"/>
          <w:lang w:eastAsia="ru-RU"/>
        </w:rPr>
        <w:t>приділяється опрацюванню звичаєвих норм</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міжнародного права. У зв’язку з цим Комісія збирає, аналізує та публікує матеріали, що відображають державну практику, а також рішення національних і міжнародних судів, після чого подає відповідні доповіді Генеральній Асамблеї.</w:t>
      </w:r>
    </w:p>
    <w:p w14:paraId="578258AF"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 xml:space="preserve">Одним із яскравих прикладів успішної кодифікаційної діяльності Комісії є розробка Віденської конвенції про дипломатичні зносини. Ще на першій сесії у 1949 році Комісія включила до переліку питань першочергової важливості проблему кодифікації дипломатичних і консульських зносин. Активна робота з цього питання тривала протягом 1954–1958 років, у результаті чого було підготовлено остаточний проєкт відповідного </w:t>
      </w:r>
      <w:r w:rsidRPr="00511005">
        <w:rPr>
          <w:rFonts w:ascii="Arial" w:eastAsia="Times New Roman" w:hAnsi="Arial" w:cs="Arial"/>
          <w:szCs w:val="28"/>
          <w:lang w:eastAsia="ru-RU"/>
        </w:rPr>
        <w:lastRenderedPageBreak/>
        <w:t>міжнародно-правового документа. Незважаючи на початкові дискусії щодо доцільності такої кодифікації серед делегатів у Шостому комітеті Генеральної Асамблеї, було прийнято рішення про скликання міжнародної конференції для офіційного ухвалення документа.</w:t>
      </w:r>
    </w:p>
    <w:p w14:paraId="3E910C50"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 xml:space="preserve">Ця конференція відбулася у Відні з 2 березня по 14 квітня 1961 року за участю делегацій з 81 держави, які схвалили текст Віденської конвенції про дипломатичні зносини. Документ охоплює всі ключові аспекти дипломатичних відносин, зокрема заснування дипломатичних представництв, їх функції, процедури призначення та відкликання глав і персоналу, а також докладну регламентацію привілеїв та імунітетів, що надаються різним категоріям </w:t>
      </w:r>
      <w:r w:rsidRPr="00511005">
        <w:rPr>
          <w:rFonts w:ascii="Arial" w:eastAsia="Times New Roman" w:hAnsi="Arial" w:cs="Arial"/>
          <w:spacing w:val="-2"/>
          <w:szCs w:val="28"/>
          <w:lang w:eastAsia="ru-RU"/>
        </w:rPr>
        <w:t>співробітників.</w:t>
      </w:r>
    </w:p>
    <w:p w14:paraId="5D9231A0"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Значення цієї Конвенції виходить далеко за межі юридичної систематизації норм дипломатичного права. Вона не лише вдосконалила правову форму дипломатичної діяльності, але й змінила юридичну природу багатьох норм, перевівши їх із звичаєвого у конвенційний статус. У деяких випадках відбулося також</w:t>
      </w:r>
      <w:r w:rsidRPr="00511005">
        <w:rPr>
          <w:rFonts w:ascii="Arial" w:eastAsia="Times New Roman" w:hAnsi="Arial" w:cs="Arial"/>
          <w:spacing w:val="-4"/>
          <w:szCs w:val="28"/>
          <w:lang w:eastAsia="ru-RU"/>
        </w:rPr>
        <w:t xml:space="preserve"> </w:t>
      </w:r>
      <w:r w:rsidRPr="00511005">
        <w:rPr>
          <w:rFonts w:ascii="Arial" w:eastAsia="Times New Roman" w:hAnsi="Arial" w:cs="Arial"/>
          <w:szCs w:val="28"/>
          <w:lang w:eastAsia="ru-RU"/>
        </w:rPr>
        <w:t>істотне оновлення</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змісту</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норм</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відповідно</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до</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нових</w:t>
      </w:r>
      <w:r w:rsidRPr="00511005">
        <w:rPr>
          <w:rFonts w:ascii="Arial" w:eastAsia="Times New Roman" w:hAnsi="Arial" w:cs="Arial"/>
          <w:spacing w:val="-5"/>
          <w:szCs w:val="28"/>
          <w:lang w:eastAsia="ru-RU"/>
        </w:rPr>
        <w:t xml:space="preserve"> </w:t>
      </w:r>
      <w:r w:rsidRPr="00511005">
        <w:rPr>
          <w:rFonts w:ascii="Arial" w:eastAsia="Times New Roman" w:hAnsi="Arial" w:cs="Arial"/>
          <w:szCs w:val="28"/>
          <w:lang w:eastAsia="ru-RU"/>
        </w:rPr>
        <w:t xml:space="preserve">міжнародних реалій. Це є яскравим прикладом того, як Комісія міжнародного права здатна не тільки фіксувати існуючу практику, а й задавати нові правові орієнтири для держав і міжнародної спільноти в </w:t>
      </w:r>
      <w:proofErr w:type="gramStart"/>
      <w:r w:rsidRPr="00511005">
        <w:rPr>
          <w:rFonts w:ascii="Arial" w:eastAsia="Times New Roman" w:hAnsi="Arial" w:cs="Arial"/>
          <w:szCs w:val="28"/>
          <w:lang w:eastAsia="ru-RU"/>
        </w:rPr>
        <w:t>цілому.На</w:t>
      </w:r>
      <w:proofErr w:type="gramEnd"/>
      <w:r w:rsidRPr="00511005">
        <w:rPr>
          <w:rFonts w:ascii="Arial" w:eastAsia="Times New Roman" w:hAnsi="Arial" w:cs="Arial"/>
          <w:szCs w:val="28"/>
          <w:lang w:eastAsia="ru-RU"/>
        </w:rPr>
        <w:t xml:space="preserve"> сьогодні до найвагоміших результатів діяльності Комісії можна також віднести напрацювання в галузях міжнародного договірного права, права міжнародних організацій, консульського права, міжнародного гуманітарного права. Саме на основі її проєктів були прийняті такі ключові документи, як Конвенція про відкрите море (1958 р.), Конвенція про скорочення без громадянства (1961 р.), Віденська конвенція про право міжнародних договорів (1969 р.) та інші.</w:t>
      </w:r>
    </w:p>
    <w:p w14:paraId="4C86BBCA"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Особливу увагу Комісія приділяє й розробці норм, що регулюють міжнародно-правову відповідальність держав, зокрема у випадках дій, які самі по собі не заборонені міжнародним правом, але можуть спричинити шкоду іншим суб’єктам міжнародного права.</w:t>
      </w:r>
    </w:p>
    <w:p w14:paraId="67DF071A"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довгострокової програми Комісія планує дослідження низки актуальних проблем, серед яких — права людини, відповідальність міжнародних організацій, вплив збройних конфліктів на дію міжнародних договорів, питання використання спільних ресурсів морів і океанів, висилка іноземців тощо.</w:t>
      </w:r>
    </w:p>
    <w:p w14:paraId="72205EA9" w14:textId="77777777" w:rsidR="00220D3E" w:rsidRPr="00511005" w:rsidRDefault="00220D3E" w:rsidP="003A292D">
      <w:pPr>
        <w:tabs>
          <w:tab w:val="left" w:pos="709"/>
        </w:tabs>
        <w:spacing w:line="264" w:lineRule="auto"/>
        <w:ind w:right="-1"/>
        <w:rPr>
          <w:rFonts w:ascii="Arial" w:eastAsia="Times New Roman" w:hAnsi="Arial" w:cs="Arial"/>
          <w:szCs w:val="28"/>
          <w:lang w:eastAsia="ru-RU"/>
        </w:rPr>
      </w:pPr>
      <w:r w:rsidRPr="00511005">
        <w:rPr>
          <w:rFonts w:ascii="Arial" w:eastAsia="Times New Roman" w:hAnsi="Arial" w:cs="Arial"/>
          <w:szCs w:val="28"/>
          <w:lang w:eastAsia="ru-RU"/>
        </w:rPr>
        <w:t>Таким чином, діяльність Комісії міжнародного права ООН є ключовою для забезпечення системності, послідовності та актуальності міжнародного правопорядку. Завдяки її роботі відбувається не лише закріплення вже сформованих правових норм, але й їхнє подальше вдосконалення відповідно до сучасних викликів міжнародних відносин.</w:t>
      </w:r>
    </w:p>
    <w:p w14:paraId="5EDC8103" w14:textId="01B3A71A" w:rsidR="00220D3E" w:rsidRPr="00511005" w:rsidRDefault="00220D3E" w:rsidP="003A292D">
      <w:pPr>
        <w:tabs>
          <w:tab w:val="left" w:pos="709"/>
        </w:tabs>
        <w:spacing w:line="264" w:lineRule="auto"/>
        <w:jc w:val="left"/>
        <w:rPr>
          <w:rFonts w:ascii="Arial" w:eastAsia="Times New Roman" w:hAnsi="Arial" w:cs="Arial"/>
          <w:szCs w:val="28"/>
          <w:lang w:eastAsia="ru-RU"/>
        </w:rPr>
      </w:pPr>
    </w:p>
    <w:p w14:paraId="641E4B60" w14:textId="12447FFC" w:rsidR="001E775A" w:rsidRPr="00055389" w:rsidRDefault="007B2628" w:rsidP="007B2628">
      <w:pPr>
        <w:tabs>
          <w:tab w:val="left" w:pos="709"/>
        </w:tabs>
        <w:spacing w:line="264" w:lineRule="auto"/>
        <w:jc w:val="center"/>
        <w:rPr>
          <w:rFonts w:ascii="Arial" w:eastAsia="Times New Roman" w:hAnsi="Arial" w:cs="Arial"/>
          <w:szCs w:val="28"/>
          <w:lang w:val="en-US" w:eastAsia="ru-RU"/>
        </w:rPr>
      </w:pPr>
      <w:r w:rsidRPr="00511005">
        <w:rPr>
          <w:rFonts w:ascii="Arial" w:eastAsia="Times New Roman" w:hAnsi="Arial" w:cs="Arial"/>
          <w:b/>
          <w:spacing w:val="-2"/>
          <w:szCs w:val="28"/>
          <w:lang w:val="uk-UA" w:eastAsia="ru-RU"/>
        </w:rPr>
        <w:t>Список використаних джерел</w:t>
      </w:r>
    </w:p>
    <w:p w14:paraId="721DADEB" w14:textId="77777777" w:rsidR="00220D3E" w:rsidRPr="00511005" w:rsidRDefault="00220D3E" w:rsidP="003A292D">
      <w:pPr>
        <w:tabs>
          <w:tab w:val="left" w:pos="709"/>
        </w:tabs>
        <w:spacing w:line="264" w:lineRule="auto"/>
        <w:ind w:right="-1"/>
        <w:rPr>
          <w:rFonts w:ascii="Arial" w:eastAsia="Times New Roman" w:hAnsi="Arial" w:cs="Arial"/>
          <w:szCs w:val="28"/>
          <w:lang w:val="uk-UA" w:eastAsia="ru-RU"/>
        </w:rPr>
      </w:pPr>
      <w:bookmarkStart w:id="59" w:name="Список_використаних_джерел"/>
      <w:bookmarkEnd w:id="59"/>
      <w:r w:rsidRPr="00511005">
        <w:rPr>
          <w:rFonts w:ascii="Arial" w:eastAsia="Times New Roman" w:hAnsi="Arial" w:cs="Arial"/>
          <w:szCs w:val="28"/>
          <w:lang w:val="en-US" w:eastAsia="ru-RU"/>
        </w:rPr>
        <w:lastRenderedPageBreak/>
        <w:t>1.</w:t>
      </w:r>
      <w:r w:rsidRPr="00511005">
        <w:rPr>
          <w:rFonts w:ascii="Arial" w:eastAsia="Times New Roman" w:hAnsi="Arial" w:cs="Arial"/>
          <w:szCs w:val="28"/>
          <w:lang w:val="en-US" w:eastAsia="ru-RU"/>
        </w:rPr>
        <w:tab/>
        <w:t>International</w:t>
      </w:r>
      <w:r w:rsidRPr="00511005">
        <w:rPr>
          <w:rFonts w:ascii="Arial" w:eastAsia="Times New Roman" w:hAnsi="Arial" w:cs="Arial"/>
          <w:szCs w:val="28"/>
          <w:lang w:val="en-US" w:eastAsia="ru-RU"/>
        </w:rPr>
        <w:tab/>
        <w:t>law</w:t>
      </w:r>
      <w:r w:rsidRPr="00511005">
        <w:rPr>
          <w:rFonts w:ascii="Arial" w:eastAsia="Times New Roman" w:hAnsi="Arial" w:cs="Arial"/>
          <w:szCs w:val="28"/>
          <w:lang w:val="en-US" w:eastAsia="ru-RU"/>
        </w:rPr>
        <w:tab/>
        <w:t>commission.</w:t>
      </w:r>
      <w:r w:rsidRPr="00511005">
        <w:rPr>
          <w:rFonts w:ascii="Arial" w:eastAsia="Times New Roman" w:hAnsi="Arial" w:cs="Arial"/>
          <w:szCs w:val="28"/>
          <w:lang w:val="en-US" w:eastAsia="ru-RU"/>
        </w:rPr>
        <w:tab/>
        <w:t>United</w:t>
      </w:r>
      <w:r w:rsidRPr="00511005">
        <w:rPr>
          <w:rFonts w:ascii="Arial" w:eastAsia="Times New Roman" w:hAnsi="Arial" w:cs="Arial"/>
          <w:szCs w:val="28"/>
          <w:lang w:val="en-US" w:eastAsia="ru-RU"/>
        </w:rPr>
        <w:tab/>
        <w:t>Nations</w:t>
      </w:r>
      <w:r w:rsidRPr="00511005">
        <w:rPr>
          <w:rFonts w:ascii="Arial" w:eastAsia="Times New Roman" w:hAnsi="Arial" w:cs="Arial"/>
          <w:szCs w:val="28"/>
          <w:lang w:val="en-US" w:eastAsia="ru-RU"/>
        </w:rPr>
        <w:tab/>
        <w:t>-</w:t>
      </w:r>
      <w:r w:rsidRPr="00511005">
        <w:rPr>
          <w:rFonts w:ascii="Arial" w:eastAsia="Times New Roman" w:hAnsi="Arial" w:cs="Arial"/>
          <w:szCs w:val="28"/>
          <w:lang w:val="en-US" w:eastAsia="ru-RU"/>
        </w:rPr>
        <w:tab/>
        <w:t>Office</w:t>
      </w:r>
      <w:r w:rsidRPr="00511005">
        <w:rPr>
          <w:rFonts w:ascii="Arial" w:eastAsia="Times New Roman" w:hAnsi="Arial" w:cs="Arial"/>
          <w:szCs w:val="28"/>
          <w:lang w:val="en-US" w:eastAsia="ru-RU"/>
        </w:rPr>
        <w:tab/>
        <w:t>of</w:t>
      </w:r>
      <w:r w:rsidRPr="00511005">
        <w:rPr>
          <w:rFonts w:ascii="Arial" w:eastAsia="Times New Roman" w:hAnsi="Arial" w:cs="Arial"/>
          <w:szCs w:val="28"/>
          <w:lang w:val="en-US" w:eastAsia="ru-RU"/>
        </w:rPr>
        <w:tab/>
        <w:t xml:space="preserve">Legal Affairs. URL: https://legal.un.org/ilc/ (date of access: 13.04.2025). </w:t>
      </w:r>
    </w:p>
    <w:p w14:paraId="77A5FB71" w14:textId="77777777" w:rsidR="00220D3E" w:rsidRPr="00511005" w:rsidRDefault="00220D3E" w:rsidP="003A292D">
      <w:pPr>
        <w:tabs>
          <w:tab w:val="left" w:pos="709"/>
        </w:tabs>
        <w:spacing w:line="264" w:lineRule="auto"/>
        <w:ind w:right="-1"/>
        <w:rPr>
          <w:rFonts w:ascii="Arial" w:eastAsia="Times New Roman" w:hAnsi="Arial" w:cs="Arial"/>
          <w:szCs w:val="28"/>
          <w:lang w:val="uk-UA" w:eastAsia="ru-RU"/>
        </w:rPr>
      </w:pPr>
      <w:r w:rsidRPr="00511005">
        <w:rPr>
          <w:rFonts w:ascii="Arial" w:eastAsia="Times New Roman" w:hAnsi="Arial" w:cs="Arial"/>
          <w:szCs w:val="28"/>
          <w:lang w:val="en-US" w:eastAsia="ru-RU"/>
        </w:rPr>
        <w:t>2.</w:t>
      </w:r>
      <w:r w:rsidRPr="00511005">
        <w:rPr>
          <w:rFonts w:ascii="Arial" w:eastAsia="Times New Roman" w:hAnsi="Arial" w:cs="Arial"/>
          <w:szCs w:val="28"/>
          <w:lang w:val="en-US" w:eastAsia="ru-RU"/>
        </w:rPr>
        <w:tab/>
        <w:t>UNTC. United Nations Treaty</w:t>
      </w:r>
      <w:r w:rsidRPr="00511005">
        <w:rPr>
          <w:rFonts w:ascii="Arial" w:eastAsia="Times New Roman" w:hAnsi="Arial" w:cs="Arial"/>
          <w:szCs w:val="28"/>
          <w:lang w:val="en-US" w:eastAsia="ru-RU"/>
        </w:rPr>
        <w:tab/>
        <w:t>Collection.</w:t>
      </w:r>
      <w:r w:rsidRPr="00511005">
        <w:rPr>
          <w:rFonts w:ascii="Arial" w:eastAsia="Times New Roman" w:hAnsi="Arial" w:cs="Arial"/>
          <w:szCs w:val="28"/>
          <w:lang w:val="en-US" w:eastAsia="ru-RU"/>
        </w:rPr>
        <w:tab/>
        <w:t>URL: https://treaties.un.org/pages/ViewDetails.aspx?src=TREATY&amp;amp;mtdsg_no=III -3&amp;</w:t>
      </w:r>
      <w:proofErr w:type="gramStart"/>
      <w:r w:rsidRPr="00511005">
        <w:rPr>
          <w:rFonts w:ascii="Arial" w:eastAsia="Times New Roman" w:hAnsi="Arial" w:cs="Arial"/>
          <w:szCs w:val="28"/>
          <w:lang w:val="en-US" w:eastAsia="ru-RU"/>
        </w:rPr>
        <w:t>amp;chapter</w:t>
      </w:r>
      <w:proofErr w:type="gramEnd"/>
      <w:r w:rsidRPr="00511005">
        <w:rPr>
          <w:rFonts w:ascii="Arial" w:eastAsia="Times New Roman" w:hAnsi="Arial" w:cs="Arial"/>
          <w:szCs w:val="28"/>
          <w:lang w:val="en-US" w:eastAsia="ru-RU"/>
        </w:rPr>
        <w:t xml:space="preserve">=3 (date of access: 13.04.2025). </w:t>
      </w:r>
    </w:p>
    <w:p w14:paraId="35AC0D9F" w14:textId="77777777" w:rsidR="00220D3E" w:rsidRPr="00511005" w:rsidRDefault="00220D3E" w:rsidP="003A292D">
      <w:pPr>
        <w:tabs>
          <w:tab w:val="left" w:pos="709"/>
        </w:tabs>
        <w:spacing w:line="264" w:lineRule="auto"/>
        <w:ind w:right="-1"/>
        <w:rPr>
          <w:rFonts w:ascii="Arial" w:eastAsia="Times New Roman" w:hAnsi="Arial" w:cs="Arial"/>
          <w:szCs w:val="28"/>
          <w:lang w:val="uk-UA" w:eastAsia="ru-RU"/>
        </w:rPr>
      </w:pPr>
      <w:r w:rsidRPr="00511005">
        <w:rPr>
          <w:rFonts w:ascii="Arial" w:eastAsia="Times New Roman" w:hAnsi="Arial" w:cs="Arial"/>
          <w:szCs w:val="28"/>
          <w:lang w:eastAsia="ru-RU"/>
        </w:rPr>
        <w:t>3.</w:t>
      </w:r>
      <w:r w:rsidRPr="00511005">
        <w:rPr>
          <w:rFonts w:ascii="Arial" w:eastAsia="Times New Roman" w:hAnsi="Arial" w:cs="Arial"/>
          <w:szCs w:val="28"/>
          <w:lang w:eastAsia="ru-RU"/>
        </w:rPr>
        <w:tab/>
        <w:t xml:space="preserve">Міжнародне </w:t>
      </w:r>
      <w:proofErr w:type="gramStart"/>
      <w:r w:rsidRPr="00511005">
        <w:rPr>
          <w:rFonts w:ascii="Arial" w:eastAsia="Times New Roman" w:hAnsi="Arial" w:cs="Arial"/>
          <w:szCs w:val="28"/>
          <w:lang w:eastAsia="ru-RU"/>
        </w:rPr>
        <w:t>право :</w:t>
      </w:r>
      <w:proofErr w:type="gramEnd"/>
      <w:r w:rsidRPr="00511005">
        <w:rPr>
          <w:rFonts w:ascii="Arial" w:eastAsia="Times New Roman" w:hAnsi="Arial" w:cs="Arial"/>
          <w:szCs w:val="28"/>
          <w:lang w:eastAsia="ru-RU"/>
        </w:rPr>
        <w:t xml:space="preserve"> навч. посіб. / ред. М. Буроменський. </w:t>
      </w:r>
      <w:proofErr w:type="gramStart"/>
      <w:r w:rsidRPr="00511005">
        <w:rPr>
          <w:rFonts w:ascii="Arial" w:eastAsia="Times New Roman" w:hAnsi="Arial" w:cs="Arial"/>
          <w:szCs w:val="28"/>
          <w:lang w:eastAsia="ru-RU"/>
        </w:rPr>
        <w:t>Київ :</w:t>
      </w:r>
      <w:proofErr w:type="gramEnd"/>
      <w:r w:rsidRPr="00511005">
        <w:rPr>
          <w:rFonts w:ascii="Arial" w:eastAsia="Times New Roman" w:hAnsi="Arial" w:cs="Arial"/>
          <w:szCs w:val="28"/>
          <w:lang w:eastAsia="ru-RU"/>
        </w:rPr>
        <w:t xml:space="preserve"> Юрінком Інтер, 2006. 336 с. </w:t>
      </w:r>
    </w:p>
    <w:p w14:paraId="24935213" w14:textId="77777777" w:rsidR="00220D3E" w:rsidRPr="00511005" w:rsidRDefault="00220D3E" w:rsidP="003A292D">
      <w:pPr>
        <w:tabs>
          <w:tab w:val="left" w:pos="709"/>
        </w:tabs>
        <w:spacing w:line="264" w:lineRule="auto"/>
        <w:ind w:right="-1"/>
        <w:rPr>
          <w:rFonts w:ascii="Arial" w:eastAsia="Times New Roman" w:hAnsi="Arial" w:cs="Arial"/>
          <w:szCs w:val="28"/>
          <w:lang w:val="uk-UA" w:eastAsia="ru-RU"/>
        </w:rPr>
      </w:pPr>
      <w:r w:rsidRPr="00511005">
        <w:rPr>
          <w:rFonts w:ascii="Arial" w:eastAsia="Times New Roman" w:hAnsi="Arial" w:cs="Arial"/>
          <w:szCs w:val="28"/>
          <w:lang w:eastAsia="ru-RU"/>
        </w:rPr>
        <w:t>4.</w:t>
      </w:r>
      <w:r w:rsidRPr="00511005">
        <w:rPr>
          <w:rFonts w:ascii="Arial" w:eastAsia="Times New Roman" w:hAnsi="Arial" w:cs="Arial"/>
          <w:szCs w:val="28"/>
          <w:lang w:eastAsia="ru-RU"/>
        </w:rPr>
        <w:tab/>
        <w:t>Кисіль</w:t>
      </w:r>
      <w:r w:rsidRPr="00511005">
        <w:rPr>
          <w:rFonts w:ascii="Arial" w:eastAsia="Times New Roman" w:hAnsi="Arial" w:cs="Arial"/>
          <w:szCs w:val="28"/>
          <w:lang w:eastAsia="ru-RU"/>
        </w:rPr>
        <w:tab/>
        <w:t>В. Актуальні</w:t>
      </w:r>
      <w:r w:rsidRPr="00511005">
        <w:rPr>
          <w:rFonts w:ascii="Arial" w:eastAsia="Times New Roman" w:hAnsi="Arial" w:cs="Arial"/>
          <w:szCs w:val="28"/>
          <w:lang w:eastAsia="ru-RU"/>
        </w:rPr>
        <w:tab/>
        <w:t xml:space="preserve">проблеми кодифікації міжнародного приватного права Український часопис міжнародного права. 2002. № 3. С. 5–26. </w:t>
      </w:r>
    </w:p>
    <w:p w14:paraId="42C0570D" w14:textId="77777777" w:rsidR="00220D3E" w:rsidRPr="00511005" w:rsidRDefault="00220D3E" w:rsidP="003A292D">
      <w:pPr>
        <w:tabs>
          <w:tab w:val="left" w:pos="709"/>
        </w:tabs>
        <w:spacing w:line="264" w:lineRule="auto"/>
        <w:ind w:right="-1"/>
        <w:rPr>
          <w:rFonts w:ascii="Arial" w:eastAsia="Times New Roman" w:hAnsi="Arial" w:cs="Arial"/>
          <w:szCs w:val="28"/>
          <w:lang w:val="uk-UA" w:eastAsia="ru-RU"/>
        </w:rPr>
      </w:pPr>
      <w:r w:rsidRPr="00511005">
        <w:rPr>
          <w:rFonts w:ascii="Arial" w:eastAsia="Times New Roman" w:hAnsi="Arial" w:cs="Arial"/>
          <w:szCs w:val="28"/>
          <w:lang w:eastAsia="ru-RU"/>
        </w:rPr>
        <w:t>5.</w:t>
      </w:r>
      <w:r w:rsidRPr="00511005">
        <w:rPr>
          <w:rFonts w:ascii="Arial" w:eastAsia="Times New Roman" w:hAnsi="Arial" w:cs="Arial"/>
          <w:szCs w:val="28"/>
          <w:lang w:eastAsia="ru-RU"/>
        </w:rPr>
        <w:tab/>
        <w:t xml:space="preserve">Кочубей Ю. М. Розвиток і кодифікація міжнародного права як один з пріоритетів у діяльності ООН. Актуальні проблеми міжнародних відносин. 2005. Вип. 58, ч. 2. С. 94–96. </w:t>
      </w:r>
    </w:p>
    <w:p w14:paraId="67D877BE" w14:textId="77777777" w:rsidR="00220D3E" w:rsidRPr="00511005" w:rsidRDefault="00220D3E" w:rsidP="003A292D">
      <w:pPr>
        <w:tabs>
          <w:tab w:val="left" w:pos="709"/>
        </w:tabs>
        <w:spacing w:line="264" w:lineRule="auto"/>
        <w:ind w:right="280"/>
        <w:jc w:val="left"/>
        <w:rPr>
          <w:rFonts w:ascii="Arial" w:eastAsia="Times New Roman" w:hAnsi="Arial" w:cs="Arial"/>
          <w:b/>
          <w:szCs w:val="28"/>
          <w:lang w:val="uk-UA" w:eastAsia="ru-RU"/>
        </w:rPr>
      </w:pPr>
    </w:p>
    <w:p w14:paraId="7676B50C" w14:textId="0ECBE37E" w:rsidR="00220D3E" w:rsidRPr="00511005" w:rsidRDefault="007B2628" w:rsidP="003A292D">
      <w:pPr>
        <w:tabs>
          <w:tab w:val="left" w:pos="709"/>
        </w:tabs>
        <w:spacing w:line="264" w:lineRule="auto"/>
        <w:ind w:right="28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кодифікація, міжнародне право, зовнішні зносини, Комісія міжнародного права ООН, Віденська конвенція, дипломатичні зносини, міжнародні договори, правова систематизація</w:t>
      </w:r>
    </w:p>
    <w:p w14:paraId="430C8552" w14:textId="0DEE4CE4" w:rsidR="00220D3E" w:rsidRPr="00511005" w:rsidRDefault="007B2628" w:rsidP="003A292D">
      <w:pPr>
        <w:tabs>
          <w:tab w:val="left" w:pos="709"/>
        </w:tabs>
        <w:spacing w:line="264" w:lineRule="auto"/>
        <w:ind w:right="281"/>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 xml:space="preserve">codification, international law, foreign relations, UN International Law Commission, Vienna Convention, diplomatic relations, international treaties, legal </w:t>
      </w:r>
      <w:r w:rsidR="00220D3E" w:rsidRPr="00511005">
        <w:rPr>
          <w:rFonts w:ascii="Arial" w:eastAsia="Times New Roman" w:hAnsi="Arial" w:cs="Arial"/>
          <w:spacing w:val="-2"/>
          <w:szCs w:val="28"/>
          <w:lang w:val="en-US" w:eastAsia="ru-RU"/>
        </w:rPr>
        <w:t>systematization</w:t>
      </w:r>
    </w:p>
    <w:p w14:paraId="52636D49" w14:textId="0E1D8C00" w:rsidR="00220D3E" w:rsidRPr="00511005" w:rsidRDefault="007B2628" w:rsidP="003A292D">
      <w:pPr>
        <w:tabs>
          <w:tab w:val="left" w:pos="709"/>
        </w:tabs>
        <w:spacing w:line="264" w:lineRule="auto"/>
        <w:rPr>
          <w:rFonts w:ascii="Arial" w:eastAsia="Times New Roman" w:hAnsi="Arial" w:cs="Arial"/>
          <w:i/>
          <w:szCs w:val="28"/>
          <w:lang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w:t>
      </w:r>
      <w:r w:rsidR="00220D3E" w:rsidRPr="00511005">
        <w:rPr>
          <w:rFonts w:ascii="Arial" w:eastAsia="Times New Roman" w:hAnsi="Arial" w:cs="Arial"/>
          <w:i/>
          <w:spacing w:val="-9"/>
          <w:szCs w:val="28"/>
          <w:lang w:eastAsia="ru-RU"/>
        </w:rPr>
        <w:t xml:space="preserve"> </w:t>
      </w:r>
      <w:r w:rsidR="00220D3E" w:rsidRPr="00511005">
        <w:rPr>
          <w:rFonts w:ascii="Arial" w:eastAsia="Times New Roman" w:hAnsi="Arial" w:cs="Arial"/>
          <w:i/>
          <w:szCs w:val="28"/>
          <w:lang w:eastAsia="ru-RU"/>
        </w:rPr>
        <w:t>доцент</w:t>
      </w:r>
      <w:r w:rsidR="00220D3E" w:rsidRPr="00511005">
        <w:rPr>
          <w:rFonts w:ascii="Arial" w:eastAsia="Times New Roman" w:hAnsi="Arial" w:cs="Arial"/>
          <w:i/>
          <w:spacing w:val="-13"/>
          <w:szCs w:val="28"/>
          <w:lang w:eastAsia="ru-RU"/>
        </w:rPr>
        <w:t xml:space="preserve"> </w:t>
      </w:r>
      <w:r w:rsidR="00220D3E" w:rsidRPr="00511005">
        <w:rPr>
          <w:rFonts w:ascii="Arial" w:eastAsia="Times New Roman" w:hAnsi="Arial" w:cs="Arial"/>
          <w:i/>
          <w:szCs w:val="28"/>
          <w:lang w:eastAsia="ru-RU"/>
        </w:rPr>
        <w:t>Бєлогубова</w:t>
      </w:r>
      <w:r w:rsidR="00220D3E" w:rsidRPr="00511005">
        <w:rPr>
          <w:rFonts w:ascii="Arial" w:eastAsia="Times New Roman" w:hAnsi="Arial" w:cs="Arial"/>
          <w:i/>
          <w:spacing w:val="-17"/>
          <w:szCs w:val="28"/>
          <w:lang w:eastAsia="ru-RU"/>
        </w:rPr>
        <w:t xml:space="preserve"> </w:t>
      </w:r>
      <w:r w:rsidR="00220D3E" w:rsidRPr="00511005">
        <w:rPr>
          <w:rFonts w:ascii="Arial" w:eastAsia="Times New Roman" w:hAnsi="Arial" w:cs="Arial"/>
          <w:i/>
          <w:szCs w:val="28"/>
          <w:lang w:eastAsia="ru-RU"/>
        </w:rPr>
        <w:t>О.</w:t>
      </w:r>
      <w:r w:rsidR="00220D3E" w:rsidRPr="00511005">
        <w:rPr>
          <w:rFonts w:ascii="Arial" w:eastAsia="Times New Roman" w:hAnsi="Arial" w:cs="Arial"/>
          <w:i/>
          <w:spacing w:val="-10"/>
          <w:szCs w:val="28"/>
          <w:lang w:eastAsia="ru-RU"/>
        </w:rPr>
        <w:t xml:space="preserve"> </w:t>
      </w:r>
      <w:r w:rsidR="00220D3E" w:rsidRPr="00511005">
        <w:rPr>
          <w:rFonts w:ascii="Arial" w:eastAsia="Times New Roman" w:hAnsi="Arial" w:cs="Arial"/>
          <w:i/>
          <w:spacing w:val="-5"/>
          <w:szCs w:val="28"/>
          <w:lang w:eastAsia="ru-RU"/>
        </w:rPr>
        <w:t>О.</w:t>
      </w:r>
    </w:p>
    <w:p w14:paraId="4B6462D5" w14:textId="77777777" w:rsidR="00220D3E" w:rsidRPr="00511005" w:rsidRDefault="00220D3E" w:rsidP="003A292D">
      <w:pPr>
        <w:tabs>
          <w:tab w:val="left" w:pos="709"/>
          <w:tab w:val="left" w:pos="993"/>
          <w:tab w:val="left" w:pos="7088"/>
        </w:tabs>
        <w:spacing w:line="264" w:lineRule="auto"/>
        <w:ind w:firstLine="0"/>
        <w:rPr>
          <w:rFonts w:ascii="Arial" w:eastAsia="Times New Roman" w:hAnsi="Arial" w:cs="Arial"/>
          <w:bCs/>
          <w:szCs w:val="28"/>
          <w:lang w:val="uk-UA" w:eastAsia="ru-RU" w:bidi="uk-UA"/>
        </w:rPr>
      </w:pPr>
    </w:p>
    <w:p w14:paraId="653072FF"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en-US" w:eastAsia="ru-RU"/>
        </w:rPr>
      </w:pPr>
      <w:r w:rsidRPr="00511005">
        <w:rPr>
          <w:rFonts w:ascii="Arial" w:eastAsia="Times New Roman" w:hAnsi="Arial" w:cs="Arial"/>
          <w:b/>
          <w:bCs/>
          <w:i/>
          <w:iCs/>
          <w:szCs w:val="28"/>
          <w:lang w:val="en-US" w:eastAsia="ru-RU"/>
        </w:rPr>
        <w:t>Stempel Alisa</w:t>
      </w:r>
    </w:p>
    <w:p w14:paraId="0EB896E0" w14:textId="77777777" w:rsidR="00220D3E" w:rsidRPr="00511005" w:rsidRDefault="00220D3E" w:rsidP="003A292D">
      <w:pPr>
        <w:tabs>
          <w:tab w:val="left" w:pos="709"/>
        </w:tabs>
        <w:spacing w:line="264" w:lineRule="auto"/>
        <w:jc w:val="center"/>
        <w:rPr>
          <w:rFonts w:ascii="Arial" w:eastAsia="Times New Roman" w:hAnsi="Arial" w:cs="Arial"/>
          <w:kern w:val="2"/>
          <w:szCs w:val="28"/>
          <w:lang w:val="uk-UA" w:eastAsia="ru-RU"/>
        </w:rPr>
      </w:pPr>
      <w:r w:rsidRPr="00511005">
        <w:rPr>
          <w:rFonts w:ascii="Arial" w:eastAsia="Times New Roman" w:hAnsi="Arial" w:cs="Arial"/>
          <w:kern w:val="2"/>
          <w:szCs w:val="28"/>
          <w:lang w:val="en-US" w:eastAsia="ru-RU"/>
        </w:rPr>
        <w:t>4th year student</w:t>
      </w:r>
      <w:r w:rsidRPr="00511005">
        <w:rPr>
          <w:rFonts w:ascii="Arial" w:eastAsia="Times New Roman" w:hAnsi="Arial" w:cs="Arial"/>
          <w:kern w:val="2"/>
          <w:szCs w:val="28"/>
          <w:lang w:val="uk-UA" w:eastAsia="ru-RU"/>
        </w:rPr>
        <w:t xml:space="preserve"> </w:t>
      </w:r>
      <w:r w:rsidRPr="00511005">
        <w:rPr>
          <w:rFonts w:ascii="Arial" w:eastAsia="Times New Roman" w:hAnsi="Arial" w:cs="Arial"/>
          <w:kern w:val="2"/>
          <w:szCs w:val="28"/>
          <w:lang w:val="en-US" w:eastAsia="ru-RU"/>
        </w:rPr>
        <w:t>faculty of Judicial and International Law</w:t>
      </w:r>
    </w:p>
    <w:p w14:paraId="5A80DAFA" w14:textId="77777777" w:rsidR="00220D3E" w:rsidRPr="00511005" w:rsidRDefault="00220D3E" w:rsidP="003A292D">
      <w:pPr>
        <w:tabs>
          <w:tab w:val="left" w:pos="709"/>
        </w:tabs>
        <w:spacing w:line="264" w:lineRule="auto"/>
        <w:jc w:val="center"/>
        <w:rPr>
          <w:rFonts w:ascii="Arial" w:eastAsia="Times New Roman" w:hAnsi="Arial" w:cs="Arial"/>
          <w:i/>
          <w:iCs/>
          <w:kern w:val="2"/>
          <w:szCs w:val="28"/>
          <w:lang w:val="uk-UA" w:eastAsia="ru-RU"/>
        </w:rPr>
      </w:pPr>
      <w:r w:rsidRPr="00511005">
        <w:rPr>
          <w:rFonts w:ascii="Arial" w:eastAsia="Times New Roman" w:hAnsi="Arial" w:cs="Arial"/>
          <w:kern w:val="2"/>
          <w:szCs w:val="28"/>
          <w:lang w:val="en-US" w:eastAsia="ru-RU"/>
        </w:rPr>
        <w:t xml:space="preserve">National University </w:t>
      </w:r>
      <w:r w:rsidRPr="00511005">
        <w:rPr>
          <w:rFonts w:ascii="Arial" w:eastAsia="Times New Roman" w:hAnsi="Arial" w:cs="Arial"/>
          <w:kern w:val="2"/>
          <w:szCs w:val="28"/>
          <w:lang w:val="uk-UA" w:eastAsia="ru-RU"/>
        </w:rPr>
        <w:t>«</w:t>
      </w:r>
      <w:r w:rsidRPr="00511005">
        <w:rPr>
          <w:rFonts w:ascii="Arial" w:eastAsia="Times New Roman" w:hAnsi="Arial" w:cs="Arial"/>
          <w:kern w:val="2"/>
          <w:szCs w:val="28"/>
          <w:lang w:val="en-US" w:eastAsia="ru-RU"/>
        </w:rPr>
        <w:t>Odesa Law Academy</w:t>
      </w:r>
      <w:r w:rsidRPr="00511005">
        <w:rPr>
          <w:rFonts w:ascii="Arial" w:eastAsia="Times New Roman" w:hAnsi="Arial" w:cs="Arial"/>
          <w:kern w:val="2"/>
          <w:szCs w:val="28"/>
          <w:lang w:val="uk-UA" w:eastAsia="ru-RU"/>
        </w:rPr>
        <w:t>»</w:t>
      </w:r>
    </w:p>
    <w:p w14:paraId="1C5D8D3A" w14:textId="77777777" w:rsidR="00220D3E" w:rsidRPr="00511005" w:rsidRDefault="00220D3E" w:rsidP="003A292D">
      <w:pPr>
        <w:tabs>
          <w:tab w:val="left" w:pos="709"/>
        </w:tabs>
        <w:spacing w:line="264" w:lineRule="auto"/>
        <w:jc w:val="center"/>
        <w:rPr>
          <w:rFonts w:ascii="Arial" w:eastAsia="Times New Roman" w:hAnsi="Arial" w:cs="Arial"/>
          <w:i/>
          <w:iCs/>
          <w:szCs w:val="28"/>
          <w:lang w:val="en-US" w:eastAsia="ru-RU"/>
        </w:rPr>
      </w:pPr>
    </w:p>
    <w:p w14:paraId="4BFFACD5" w14:textId="77777777" w:rsidR="00220D3E" w:rsidRPr="00511005" w:rsidRDefault="00220D3E" w:rsidP="003A292D">
      <w:pPr>
        <w:tabs>
          <w:tab w:val="left" w:pos="709"/>
        </w:tabs>
        <w:spacing w:line="264" w:lineRule="auto"/>
        <w:jc w:val="center"/>
        <w:rPr>
          <w:rFonts w:ascii="Arial" w:eastAsia="Times New Roman" w:hAnsi="Arial" w:cs="Arial"/>
          <w:b/>
          <w:bCs/>
          <w:szCs w:val="28"/>
          <w:lang w:val="en-US" w:eastAsia="ru-RU"/>
        </w:rPr>
      </w:pPr>
      <w:r w:rsidRPr="00511005">
        <w:rPr>
          <w:rFonts w:ascii="Arial" w:eastAsia="Times New Roman" w:hAnsi="Arial" w:cs="Arial"/>
          <w:b/>
          <w:bCs/>
          <w:szCs w:val="28"/>
          <w:lang w:val="en-US" w:eastAsia="ru-RU"/>
        </w:rPr>
        <w:t>VIOLATIONS OF PRISONERS OF WAR RIGHTS: ANALYSIS OF INTERNATIONAL HUMANITARIAN LAW IN THE CONTEXT OF THE WAR IN UKRAINE</w:t>
      </w:r>
    </w:p>
    <w:p w14:paraId="2A963B26"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r w:rsidRPr="00511005">
        <w:rPr>
          <w:rFonts w:ascii="Arial" w:eastAsia="Arial Unicode MS" w:hAnsi="Arial" w:cs="Arial"/>
          <w:szCs w:val="28"/>
          <w:u w:color="000000"/>
          <w:bdr w:val="nil"/>
          <w:lang w:val="en-US" w:eastAsia="uk-UA"/>
        </w:rPr>
        <w:t>The full-scale invasion of Ukraine by the Russian Federation, which began on February 24, 2022, has led to the largest armed conflict on the European continent since World War II. This conflict has been accompanied by numerous violations of international humanitarian law (IHL), including the treatment of prisoners of war. Despite the fact that the institution of military captivity and the corresponding legal mechanisms for protecting persons who find themselves in captivity have a centuries-old history and a well-developed regulatory framework, modern armed conflicts continue to demonstrate significant gaps in their practical application.</w:t>
      </w:r>
    </w:p>
    <w:p w14:paraId="6067FD7D"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r w:rsidRPr="00511005">
        <w:rPr>
          <w:rFonts w:ascii="Arial" w:eastAsia="Arial Unicode MS" w:hAnsi="Arial" w:cs="Arial"/>
          <w:szCs w:val="28"/>
          <w:u w:color="000000"/>
          <w:bdr w:val="nil"/>
          <w:lang w:val="en-US" w:eastAsia="uk-UA"/>
        </w:rPr>
        <w:t xml:space="preserve">International humanitarian law, at the core of which are the Geneva Conventions of 1949 and their Additional Protocols of 1977, establishes clear standards for the treatment of prisoners of war. However, despite the universal </w:t>
      </w:r>
      <w:r w:rsidRPr="00511005">
        <w:rPr>
          <w:rFonts w:ascii="Arial" w:eastAsia="Arial Unicode MS" w:hAnsi="Arial" w:cs="Arial"/>
          <w:szCs w:val="28"/>
          <w:u w:color="000000"/>
          <w:bdr w:val="nil"/>
          <w:lang w:val="en-US" w:eastAsia="uk-UA"/>
        </w:rPr>
        <w:lastRenderedPageBreak/>
        <w:t>ratification of these documents, violations of prisoners of war rights remain a common phenomenon in armed conflicts of the 21st century. The war in Ukraine has become a vivid example of how the declarative recognition of IHL norms can contradict the actual actions of the parties to the conflict.</w:t>
      </w:r>
    </w:p>
    <w:p w14:paraId="107498B4"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r w:rsidRPr="00511005">
        <w:rPr>
          <w:rFonts w:ascii="Arial" w:eastAsia="Arial Unicode MS" w:hAnsi="Arial" w:cs="Arial"/>
          <w:szCs w:val="28"/>
          <w:u w:color="000000"/>
          <w:bdr w:val="nil"/>
          <w:lang w:val="en-US" w:eastAsia="uk-UA"/>
        </w:rPr>
        <w:t>International humanitarian law establishes a complex of rights for prisoners of war aimed at ensuring their humane detention and protection. The key rights of prisoners of war are: the right to life and physical integrity (Articles 13-16 of the Third Geneva Convention prohibit killings, torture, and medical experiments); the right to humane treatment (Article 13); the right to respect for personal identity and dignity (Article 14, taking into account the special needs of women prisoners of war); the right to adequate detention conditions (Articles 25-32); the right to contact with the outside world (Articles 69-77 allow correspondence with family and visits by ICRC representatives); the right to a fair trial (Articles 82-108); the right to repatriation after the end of active hostilities (Articles 109-119) [1]. These rights create a comprehensive system for the protection of prisoners of war during armed conflict in accordance with the principles of humanity.</w:t>
      </w:r>
    </w:p>
    <w:p w14:paraId="6412E145"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uk-UA" w:eastAsia="uk-UA"/>
        </w:rPr>
      </w:pPr>
      <w:r w:rsidRPr="00511005">
        <w:rPr>
          <w:rFonts w:ascii="Arial" w:eastAsia="Arial Unicode MS" w:hAnsi="Arial" w:cs="Arial"/>
          <w:szCs w:val="28"/>
          <w:u w:color="000000"/>
          <w:bdr w:val="nil"/>
          <w:lang w:val="en-US" w:eastAsia="uk-UA"/>
        </w:rPr>
        <w:t>It is important to note that the International Committee of the Red Cross plays a key role in the system of protecting prisoners of war rights. According to the provisions of the Third Geneva Convention, ICRC representatives have the right to visit places of detention of prisoners of war, conduct private conversations with them without witnesses, and facilitate the establishment of connections between prisoners and their families. The ICRC also acts as a neutral intermediary between the parties to the conflict on issues related to the treatment of prisoners of war and their exchange</w:t>
      </w:r>
      <w:r w:rsidRPr="00511005">
        <w:rPr>
          <w:rFonts w:ascii="Arial" w:eastAsia="Arial Unicode MS" w:hAnsi="Arial" w:cs="Arial"/>
          <w:szCs w:val="28"/>
          <w:u w:color="000000"/>
          <w:bdr w:val="nil"/>
          <w:lang w:val="uk-UA" w:eastAsia="uk-UA"/>
        </w:rPr>
        <w:t>.</w:t>
      </w:r>
    </w:p>
    <w:p w14:paraId="4358F087"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r w:rsidRPr="00511005">
        <w:rPr>
          <w:rFonts w:ascii="Arial" w:eastAsia="Arial Unicode MS" w:hAnsi="Arial" w:cs="Arial"/>
          <w:szCs w:val="28"/>
          <w:u w:color="000000"/>
          <w:bdr w:val="nil"/>
          <w:lang w:val="en-US" w:eastAsia="uk-UA"/>
        </w:rPr>
        <w:t>Article 126 of the Third Geneva Convention guarantees ICRC representatives access to all places where prisoners of war may be held and the right to communicate with them without witnesses. Such activities of the ICRC are one of the most important practical mechanisms for ensuring compliance with IHL norms regarding the treatment of prisoners of war.</w:t>
      </w:r>
    </w:p>
    <w:p w14:paraId="46104A6D"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r w:rsidRPr="00511005">
        <w:rPr>
          <w:rFonts w:ascii="Arial" w:eastAsia="Arial Unicode MS" w:hAnsi="Arial" w:cs="Arial"/>
          <w:szCs w:val="28"/>
          <w:u w:color="000000"/>
          <w:bdr w:val="nil"/>
          <w:lang w:val="en-US" w:eastAsia="uk-UA"/>
        </w:rPr>
        <w:t>In general, since the beginning of the full-scale invasion of Ukraine by the Russian Federation, international organizations, including the UN, OSCE, the UN Human Rights Monitoring Mission in Ukraine, and human rights organizations such as Human Rights Watch and Amnesty International, have recorded numerous cases of violations of prisoners of war rights, which can be classified as follows: extrajudicial executions and killings of prisoners of war; torture and inhuman treatment; forced use of prisoners of war for propaganda purposes; failure to provide adequate detention conditions [2].</w:t>
      </w:r>
    </w:p>
    <w:p w14:paraId="7A041A33"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r w:rsidRPr="00511005">
        <w:rPr>
          <w:rFonts w:ascii="Arial" w:eastAsia="Arial Unicode MS" w:hAnsi="Arial" w:cs="Arial"/>
          <w:szCs w:val="28"/>
          <w:u w:color="000000"/>
          <w:bdr w:val="nil"/>
          <w:lang w:val="en-US" w:eastAsia="uk-UA"/>
        </w:rPr>
        <w:t xml:space="preserve">Individual documented cases of violations of prisoners of war rights in the context of the Russian-Ukrainian war require detailed analysis from the perspective of international humanitarian law: the tragedy in Olenivka on July 29, 2022, when an explosion in a barracks where Ukrainian prisoners of war were held led to the deaths of more than 50 people, can be qualified as a serious </w:t>
      </w:r>
      <w:r w:rsidRPr="00511005">
        <w:rPr>
          <w:rFonts w:ascii="Arial" w:eastAsia="Arial Unicode MS" w:hAnsi="Arial" w:cs="Arial"/>
          <w:szCs w:val="28"/>
          <w:u w:color="000000"/>
          <w:bdr w:val="nil"/>
          <w:lang w:val="en-US" w:eastAsia="uk-UA"/>
        </w:rPr>
        <w:lastRenderedPageBreak/>
        <w:t>violation of Article 13 of the Third Geneva Convention, which guarantees the protection of prisoners of war from acts of violence or intimidation, as well as a war crime under Article 8(2)(a)(i) of the Rome Statute of the International Criminal Court (willful killing); the refusal to conduct an independent international investigation of this incident is an additional violation of obligations under international humanitarian law [</w:t>
      </w:r>
      <w:r w:rsidRPr="00511005">
        <w:rPr>
          <w:rFonts w:ascii="Arial" w:eastAsia="Arial Unicode MS" w:hAnsi="Arial" w:cs="Arial"/>
          <w:szCs w:val="28"/>
          <w:u w:color="000000"/>
          <w:bdr w:val="nil"/>
          <w:lang w:val="uk-UA" w:eastAsia="uk-UA"/>
        </w:rPr>
        <w:t>3</w:t>
      </w:r>
      <w:r w:rsidRPr="00511005">
        <w:rPr>
          <w:rFonts w:ascii="Arial" w:eastAsia="Arial Unicode MS" w:hAnsi="Arial" w:cs="Arial"/>
          <w:szCs w:val="28"/>
          <w:u w:color="000000"/>
          <w:bdr w:val="nil"/>
          <w:lang w:val="en-US" w:eastAsia="uk-UA"/>
        </w:rPr>
        <w:t>]. Documented facts of systematic torture of prisoners of war in so-called filtration camps are a direct violation of Article 17 of the Third Geneva Convention, which prohibits physical or moral torture for the purpose of obtaining information, and fall under the definition of war crimes under Article 8(2)(a)(ii) of the Rome Statute (torture or inhuman treatment). Also, documented cases of refusal to provide adequate medical assistance to wounded prisoners of war are a violation of Articles 15 and 30 of the Third Geneva Convention, which obligate the detaining power to provide free medical services to prisoners of war.</w:t>
      </w:r>
    </w:p>
    <w:p w14:paraId="0A6E183B"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r w:rsidRPr="00511005">
        <w:rPr>
          <w:rFonts w:ascii="Arial" w:eastAsia="Arial Unicode MS" w:hAnsi="Arial" w:cs="Arial"/>
          <w:szCs w:val="28"/>
          <w:u w:color="000000"/>
          <w:bdr w:val="nil"/>
          <w:lang w:val="en-US" w:eastAsia="uk-UA"/>
        </w:rPr>
        <w:t>Responsibility for violations of prisoners of war rights is provided for by both international humanitarian law and international criminal law. According to Article 129 of the Third Geneva Convention, states parties are obligated to provide effective criminal sanctions for persons guilty of serious violations of the convention, including violations against prisoners of war.</w:t>
      </w:r>
    </w:p>
    <w:p w14:paraId="3CA45318"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r w:rsidRPr="00511005">
        <w:rPr>
          <w:rFonts w:ascii="Arial" w:eastAsia="Arial Unicode MS" w:hAnsi="Arial" w:cs="Arial"/>
          <w:szCs w:val="28"/>
          <w:u w:color="000000"/>
          <w:bdr w:val="nil"/>
          <w:lang w:val="en-US" w:eastAsia="uk-UA"/>
        </w:rPr>
        <w:t>The Rome Statute of the International Criminal Court qualifies serious violations of the Geneva Conventions as war crimes for which individual criminal responsibility is provided. In particular, Article 8(2)(a) of the Rome Statute classifies as war crimes willful killing, torture or inhuman treatment, willfully causing great suffering or serious bodily injury, unlawful confinement, and depriving the right to a fair trial in relation to persons protected under the Geneva Conventions, including prisoners of war [4].</w:t>
      </w:r>
    </w:p>
    <w:p w14:paraId="07149A63"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r w:rsidRPr="00511005">
        <w:rPr>
          <w:rFonts w:ascii="Arial" w:eastAsia="Arial Unicode MS" w:hAnsi="Arial" w:cs="Arial"/>
          <w:szCs w:val="28"/>
          <w:u w:color="000000"/>
          <w:bdr w:val="nil"/>
          <w:lang w:val="en-US" w:eastAsia="uk-UA"/>
        </w:rPr>
        <w:t>The principle of universal jurisdiction, applicable to serious violations of IHL, allows any state to prosecute persons suspected of committing such violations, regardless of their citizenship and the place where the crime was committed. This principle creates an additional mechanism for accountability for violations of prisoners of war rights.</w:t>
      </w:r>
    </w:p>
    <w:p w14:paraId="3C737333" w14:textId="77777777"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r w:rsidRPr="00511005">
        <w:rPr>
          <w:rFonts w:ascii="Arial" w:eastAsia="Arial Unicode MS" w:hAnsi="Arial" w:cs="Arial"/>
          <w:szCs w:val="28"/>
          <w:u w:color="000000"/>
          <w:bdr w:val="nil"/>
          <w:lang w:val="en-US" w:eastAsia="uk-UA"/>
        </w:rPr>
        <w:t xml:space="preserve">Analysis of violations of prisoners of war rights in the context of modern armed conflicts, particularly the war in Ukraine, indicates the need to strengthen and adapt the regulatory framework taking into account the challenges of the 21st century. It is necessary to develop an additional protocol to the Third Geneva Convention that would regulate the treatment of prisoners of war in conditions of hybrid conflicts and information warfare, particularly regarding the use of images and information about prisoners of war in the media and social networks [5]. It is also important to strengthen provisions regarding responsibility for violations of prisoners of war rights, including expanding the list of serious violations and implementing mechanisms for international cooperation in investigating such violations. Modern conflicts require clarification of the status of participants in </w:t>
      </w:r>
      <w:r w:rsidRPr="00511005">
        <w:rPr>
          <w:rFonts w:ascii="Arial" w:eastAsia="Arial Unicode MS" w:hAnsi="Arial" w:cs="Arial"/>
          <w:szCs w:val="28"/>
          <w:u w:color="000000"/>
          <w:bdr w:val="nil"/>
          <w:lang w:val="en-US" w:eastAsia="uk-UA"/>
        </w:rPr>
        <w:lastRenderedPageBreak/>
        <w:t>various forms of armed formations, where private military companies, volunteer formations, and other non-traditional armed groups often participate.</w:t>
      </w:r>
    </w:p>
    <w:p w14:paraId="34173DF3" w14:textId="29709AEE" w:rsidR="00220D3E" w:rsidRPr="00511005" w:rsidRDefault="00220D3E"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r w:rsidRPr="00511005">
        <w:rPr>
          <w:rFonts w:ascii="Arial" w:eastAsia="Arial Unicode MS" w:hAnsi="Arial" w:cs="Arial"/>
          <w:szCs w:val="28"/>
          <w:u w:color="000000"/>
          <w:bdr w:val="nil"/>
          <w:lang w:val="en-US" w:eastAsia="uk-UA"/>
        </w:rPr>
        <w:t>Analysis of violations of prisoners of war rights in the context of the Russian-Ukrainian war demonstrates serious challenges for international humanitarian law in the 21st century. Despite the existence of a developed regulatory framework and institutional mechanisms, prisoners of war continue to experience serious violations of their rights, including torture, inhuman treatment, and extrajudicial executions. The main problems in the field of protecting prisoners of war rights are: the lack of effective mechanisms to compel parties to the conflict to comply with IHL norms; limited access of international organizations to places of detention of prisoners of war; politicization of humanitarian issues and the use of prisoners of war as instruments of political pressure. To overcome these problems, comprehensive measures are needed, including regulatory changes, institutional reforms, and practical measures at the national and international levels. Special attention should be paid to strengthening accountability for violations of prisoners of war rights and developing mechanisms for independent monitoring. The experience of the Russian-Ukrainian war should become a stimulus for rethinking and improving the system of international protection of prisoners of war rights to ensure its effectiveness in the context of modern armed conflicts.</w:t>
      </w:r>
    </w:p>
    <w:p w14:paraId="5FF47600" w14:textId="405FBA29" w:rsidR="001E775A" w:rsidRPr="00511005" w:rsidRDefault="001E775A" w:rsidP="003A292D">
      <w:pPr>
        <w:pBdr>
          <w:top w:val="nil"/>
          <w:left w:val="nil"/>
          <w:bottom w:val="nil"/>
          <w:right w:val="nil"/>
          <w:between w:val="nil"/>
          <w:bar w:val="nil"/>
        </w:pBdr>
        <w:tabs>
          <w:tab w:val="left" w:pos="709"/>
        </w:tabs>
        <w:spacing w:line="264" w:lineRule="auto"/>
        <w:rPr>
          <w:rFonts w:ascii="Arial" w:eastAsia="Arial Unicode MS" w:hAnsi="Arial" w:cs="Arial"/>
          <w:szCs w:val="28"/>
          <w:u w:color="000000"/>
          <w:bdr w:val="nil"/>
          <w:lang w:val="en-US" w:eastAsia="uk-UA"/>
        </w:rPr>
      </w:pPr>
    </w:p>
    <w:p w14:paraId="3375A0C5" w14:textId="536ACBA8" w:rsidR="001E775A" w:rsidRPr="00511005" w:rsidRDefault="001E775A" w:rsidP="001E775A">
      <w:pPr>
        <w:pBdr>
          <w:top w:val="nil"/>
          <w:left w:val="nil"/>
          <w:bottom w:val="nil"/>
          <w:right w:val="nil"/>
          <w:between w:val="nil"/>
          <w:bar w:val="nil"/>
        </w:pBdr>
        <w:tabs>
          <w:tab w:val="left" w:pos="709"/>
        </w:tabs>
        <w:spacing w:line="264" w:lineRule="auto"/>
        <w:jc w:val="center"/>
        <w:rPr>
          <w:rFonts w:ascii="Arial" w:eastAsia="Arial Unicode MS" w:hAnsi="Arial" w:cs="Arial"/>
          <w:szCs w:val="28"/>
          <w:u w:color="000000"/>
          <w:bdr w:val="nil"/>
          <w:lang w:val="en-US" w:eastAsia="uk-UA"/>
        </w:rPr>
      </w:pPr>
      <w:r w:rsidRPr="00511005">
        <w:rPr>
          <w:rFonts w:ascii="Arial" w:eastAsia="Times New Roman" w:hAnsi="Arial" w:cs="Arial"/>
          <w:b/>
          <w:iCs/>
          <w:szCs w:val="28"/>
          <w:lang w:eastAsia="ru-RU"/>
        </w:rPr>
        <w:t>References</w:t>
      </w:r>
    </w:p>
    <w:p w14:paraId="5C377680" w14:textId="77777777" w:rsidR="00220D3E" w:rsidRPr="00511005" w:rsidRDefault="00220D3E" w:rsidP="003F6A5D">
      <w:pPr>
        <w:numPr>
          <w:ilvl w:val="0"/>
          <w:numId w:val="151"/>
        </w:numPr>
        <w:pBdr>
          <w:top w:val="nil"/>
          <w:left w:val="nil"/>
          <w:bottom w:val="nil"/>
          <w:right w:val="nil"/>
          <w:between w:val="nil"/>
          <w:bar w:val="nil"/>
        </w:pBdr>
        <w:tabs>
          <w:tab w:val="clear" w:pos="7920"/>
          <w:tab w:val="left" w:pos="560"/>
          <w:tab w:val="left" w:pos="1120"/>
          <w:tab w:val="left" w:pos="1680"/>
          <w:tab w:val="left" w:pos="280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s>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t xml:space="preserve">International Committee of the Red Cross. Geneva Convention Relative to the Treatment of Prisoners of War (Third Geneva Convention). Geneva, 1949. [Online]. URL: </w:t>
      </w:r>
      <w:r w:rsidRPr="00511005">
        <w:rPr>
          <w:rFonts w:ascii="Arial" w:eastAsia="Arial Unicode MS" w:hAnsi="Arial" w:cs="Arial"/>
          <w:szCs w:val="28"/>
          <w:u w:color="417FC6"/>
          <w:bdr w:val="nil"/>
          <w:lang w:val="en-US"/>
        </w:rPr>
        <w:t>https://www.icrc.org/en/doc/assets/files/publications/icrc-002-0173.pdf (accessed: 06 May 2025).</w:t>
      </w:r>
    </w:p>
    <w:p w14:paraId="56CA0283" w14:textId="77777777" w:rsidR="00220D3E" w:rsidRPr="00511005" w:rsidRDefault="00220D3E" w:rsidP="003F6A5D">
      <w:pPr>
        <w:numPr>
          <w:ilvl w:val="0"/>
          <w:numId w:val="151"/>
        </w:numPr>
        <w:pBdr>
          <w:top w:val="nil"/>
          <w:left w:val="nil"/>
          <w:bottom w:val="nil"/>
          <w:right w:val="nil"/>
          <w:between w:val="nil"/>
          <w:bar w:val="nil"/>
        </w:pBdr>
        <w:tabs>
          <w:tab w:val="clear" w:pos="7920"/>
          <w:tab w:val="left" w:pos="560"/>
          <w:tab w:val="left" w:pos="1120"/>
          <w:tab w:val="left" w:pos="1680"/>
          <w:tab w:val="left" w:pos="280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s>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417FC6"/>
          <w:bdr w:val="nil"/>
          <w:lang w:val="en-US"/>
        </w:rPr>
        <w:t>International Committee of the Red Cross. Protocol Additional to the Geneva Conventions of 12 August 1949, and relating to the Protection of Victims of International Armed Conflicts (Protocol I). Geneva, 1977. [Online]. URL: https://www.icrc.org/en/doc/assets/files/other/icrc_002_0321.pdf (accessed: 06 May 2025).</w:t>
      </w:r>
    </w:p>
    <w:p w14:paraId="1ECF38A7" w14:textId="77777777" w:rsidR="00220D3E" w:rsidRPr="00511005" w:rsidRDefault="00220D3E" w:rsidP="003F6A5D">
      <w:pPr>
        <w:numPr>
          <w:ilvl w:val="0"/>
          <w:numId w:val="151"/>
        </w:numPr>
        <w:pBdr>
          <w:top w:val="nil"/>
          <w:left w:val="nil"/>
          <w:bottom w:val="nil"/>
          <w:right w:val="nil"/>
          <w:between w:val="nil"/>
          <w:bar w:val="nil"/>
        </w:pBdr>
        <w:tabs>
          <w:tab w:val="clear" w:pos="7920"/>
          <w:tab w:val="left" w:pos="560"/>
          <w:tab w:val="left" w:pos="1120"/>
          <w:tab w:val="left" w:pos="1680"/>
          <w:tab w:val="left" w:pos="280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s>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417FC6"/>
          <w:bdr w:val="nil"/>
          <w:lang w:val="en-US"/>
        </w:rPr>
        <w:t>International Criminal Court. Rome Statute of the International Criminal Court. Rome, 1998. [Online]. URL: https://www.icc-cpi.int/sites/default/files/RS-Eng.pdf (accessed: 06 May 2025).</w:t>
      </w:r>
    </w:p>
    <w:p w14:paraId="0EBD2913" w14:textId="77777777" w:rsidR="00220D3E" w:rsidRPr="00511005" w:rsidRDefault="00220D3E" w:rsidP="003F6A5D">
      <w:pPr>
        <w:numPr>
          <w:ilvl w:val="0"/>
          <w:numId w:val="151"/>
        </w:numPr>
        <w:pBdr>
          <w:top w:val="nil"/>
          <w:left w:val="nil"/>
          <w:bottom w:val="nil"/>
          <w:right w:val="nil"/>
          <w:between w:val="nil"/>
          <w:bar w:val="nil"/>
        </w:pBdr>
        <w:tabs>
          <w:tab w:val="clear" w:pos="7920"/>
          <w:tab w:val="left" w:pos="560"/>
          <w:tab w:val="left" w:pos="1120"/>
          <w:tab w:val="left" w:pos="1680"/>
          <w:tab w:val="left" w:pos="280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s>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t xml:space="preserve">OSCE Office for Democratic Institutions and Human Rights. Moscow Mechanism Report: Ukraine. Warsaw, 2022. [Online]. URL: </w:t>
      </w:r>
      <w:hyperlink r:id="rId664" w:history="1">
        <w:r w:rsidRPr="00511005">
          <w:rPr>
            <w:rFonts w:ascii="Arial" w:eastAsia="Arial Unicode MS" w:hAnsi="Arial" w:cs="Arial"/>
            <w:szCs w:val="28"/>
            <w:u w:color="000000"/>
            <w:bdr w:val="nil"/>
            <w:lang w:val="en-US"/>
          </w:rPr>
          <w:t>https://www.osce.org/odihr/522616</w:t>
        </w:r>
      </w:hyperlink>
      <w:r w:rsidRPr="00511005">
        <w:rPr>
          <w:rFonts w:ascii="Arial" w:eastAsia="Arial Unicode MS" w:hAnsi="Arial" w:cs="Arial"/>
          <w:szCs w:val="28"/>
          <w:u w:color="000000"/>
          <w:bdr w:val="nil"/>
          <w:lang w:val="en-US"/>
        </w:rPr>
        <w:t xml:space="preserve"> (accessed: 06 May 2025).</w:t>
      </w:r>
    </w:p>
    <w:p w14:paraId="09DD7F8B" w14:textId="77777777" w:rsidR="00220D3E" w:rsidRPr="00511005" w:rsidRDefault="00220D3E" w:rsidP="003F6A5D">
      <w:pPr>
        <w:numPr>
          <w:ilvl w:val="0"/>
          <w:numId w:val="151"/>
        </w:numPr>
        <w:pBdr>
          <w:top w:val="nil"/>
          <w:left w:val="nil"/>
          <w:bottom w:val="nil"/>
          <w:right w:val="nil"/>
          <w:between w:val="nil"/>
          <w:bar w:val="nil"/>
        </w:pBdr>
        <w:tabs>
          <w:tab w:val="clear" w:pos="7920"/>
          <w:tab w:val="left" w:pos="560"/>
          <w:tab w:val="left" w:pos="1120"/>
          <w:tab w:val="left" w:pos="1680"/>
          <w:tab w:val="left" w:pos="280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40"/>
          <w:tab w:val="left" w:pos="7660"/>
          <w:tab w:val="left" w:pos="7680"/>
          <w:tab w:val="left" w:pos="7700"/>
          <w:tab w:val="left" w:pos="7720"/>
          <w:tab w:val="left" w:pos="7740"/>
          <w:tab w:val="left" w:pos="7740"/>
        </w:tabs>
        <w:suppressAutoHyphens/>
        <w:spacing w:line="264" w:lineRule="auto"/>
        <w:ind w:left="0" w:firstLine="709"/>
        <w:jc w:val="left"/>
        <w:rPr>
          <w:rFonts w:ascii="Arial" w:eastAsia="Arial Unicode MS" w:hAnsi="Arial" w:cs="Arial"/>
          <w:szCs w:val="28"/>
          <w:u w:color="000000"/>
          <w:bdr w:val="nil"/>
          <w:lang w:val="en-US"/>
        </w:rPr>
      </w:pPr>
      <w:r w:rsidRPr="00511005">
        <w:rPr>
          <w:rFonts w:ascii="Arial" w:eastAsia="Arial Unicode MS" w:hAnsi="Arial" w:cs="Arial"/>
          <w:szCs w:val="28"/>
          <w:u w:color="000000"/>
          <w:bdr w:val="nil"/>
          <w:lang w:val="en-US"/>
        </w:rPr>
        <w:t xml:space="preserve">Henckaerts, J.M. and Doswald-Beck, L. Customary International Humanitarian Law. Volume I: Rules. Cambridge: Cambridge University Press, 2005. [Online]. URL: </w:t>
      </w:r>
      <w:hyperlink r:id="rId665" w:history="1">
        <w:r w:rsidRPr="00511005">
          <w:rPr>
            <w:rFonts w:ascii="Arial" w:eastAsia="Arial Unicode MS" w:hAnsi="Arial" w:cs="Arial"/>
            <w:szCs w:val="28"/>
            <w:u w:color="000000"/>
            <w:bdr w:val="nil"/>
            <w:lang w:val="en-US"/>
          </w:rPr>
          <w:t>https://www.icrc.org/en/doc/assets/files/other/customary-international-humanitarian-law-i-icrc-eng.pdf</w:t>
        </w:r>
      </w:hyperlink>
      <w:r w:rsidRPr="00511005">
        <w:rPr>
          <w:rFonts w:ascii="Arial" w:eastAsia="Arial Unicode MS" w:hAnsi="Arial" w:cs="Arial"/>
          <w:szCs w:val="28"/>
          <w:u w:color="000000"/>
          <w:bdr w:val="nil"/>
          <w:lang w:val="en-US"/>
        </w:rPr>
        <w:t xml:space="preserve"> (accessed: 06 May 2025).</w:t>
      </w:r>
    </w:p>
    <w:p w14:paraId="1172AF78" w14:textId="43B8DDC7" w:rsidR="00220D3E" w:rsidRPr="00511005" w:rsidRDefault="007B2628" w:rsidP="003A292D">
      <w:pPr>
        <w:pBdr>
          <w:top w:val="nil"/>
          <w:left w:val="nil"/>
          <w:bottom w:val="nil"/>
          <w:right w:val="nil"/>
          <w:between w:val="nil"/>
          <w:bar w:val="nil"/>
        </w:pBdr>
        <w:tabs>
          <w:tab w:val="left" w:pos="142"/>
          <w:tab w:val="left" w:pos="560"/>
          <w:tab w:val="left" w:pos="1120"/>
          <w:tab w:val="left" w:pos="1416"/>
          <w:tab w:val="left" w:pos="1680"/>
          <w:tab w:val="left" w:pos="280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40"/>
          <w:tab w:val="left" w:pos="7660"/>
          <w:tab w:val="left" w:pos="7680"/>
          <w:tab w:val="left" w:pos="7700"/>
          <w:tab w:val="left" w:pos="7720"/>
          <w:tab w:val="left" w:pos="7740"/>
          <w:tab w:val="left" w:pos="7740"/>
          <w:tab w:val="left" w:pos="7788"/>
          <w:tab w:val="left" w:pos="8496"/>
          <w:tab w:val="left" w:pos="8849"/>
        </w:tabs>
        <w:suppressAutoHyphens/>
        <w:spacing w:line="264" w:lineRule="auto"/>
        <w:rPr>
          <w:rFonts w:ascii="Arial" w:eastAsia="Arial Unicode MS" w:hAnsi="Arial" w:cs="Arial"/>
          <w:szCs w:val="28"/>
          <w:u w:color="000000"/>
          <w:bdr w:val="nil"/>
          <w:lang w:val="uk-UA"/>
        </w:rPr>
      </w:pPr>
      <w:r w:rsidRPr="00511005">
        <w:rPr>
          <w:rFonts w:ascii="Arial" w:eastAsia="Arial Unicode MS" w:hAnsi="Arial" w:cs="Arial"/>
          <w:b/>
          <w:i/>
          <w:szCs w:val="28"/>
          <w:u w:color="000000"/>
          <w:bdr w:val="nil"/>
          <w:lang w:val="en-US"/>
        </w:rPr>
        <w:lastRenderedPageBreak/>
        <w:t xml:space="preserve">Key words: </w:t>
      </w:r>
      <w:r w:rsidR="00220D3E" w:rsidRPr="00511005">
        <w:rPr>
          <w:rFonts w:ascii="Arial" w:eastAsia="Arial Unicode MS" w:hAnsi="Arial" w:cs="Arial"/>
          <w:b/>
          <w:szCs w:val="28"/>
          <w:u w:color="000000"/>
          <w:bdr w:val="nil"/>
          <w:lang w:val="en-US"/>
        </w:rPr>
        <w:t>i</w:t>
      </w:r>
      <w:r w:rsidR="00220D3E" w:rsidRPr="00511005">
        <w:rPr>
          <w:rFonts w:ascii="Arial" w:eastAsia="Arial Unicode MS" w:hAnsi="Arial" w:cs="Arial"/>
          <w:szCs w:val="28"/>
          <w:u w:color="000000"/>
          <w:bdr w:val="nil"/>
          <w:lang w:val="en-US"/>
        </w:rPr>
        <w:t>nternational humanitarian law (IHL), prisoners of war (POWs), Geneva conventions, armed conflict, war in Ukraine, International Committee of the Red Cross (ICRC), Olenivka tragedy, filtration camps, armed formations, hybrid conflicts, repatriation, monitoring mechanisms</w:t>
      </w:r>
    </w:p>
    <w:p w14:paraId="77C25C5E" w14:textId="2787C2DB" w:rsidR="00220D3E" w:rsidRPr="00511005" w:rsidRDefault="007B2628" w:rsidP="003A292D">
      <w:pPr>
        <w:pBdr>
          <w:top w:val="nil"/>
          <w:left w:val="nil"/>
          <w:bottom w:val="nil"/>
          <w:right w:val="nil"/>
          <w:between w:val="nil"/>
          <w:bar w:val="nil"/>
        </w:pBdr>
        <w:tabs>
          <w:tab w:val="left" w:pos="142"/>
          <w:tab w:val="left" w:pos="560"/>
          <w:tab w:val="left" w:pos="1120"/>
          <w:tab w:val="left" w:pos="1416"/>
          <w:tab w:val="left" w:pos="1680"/>
          <w:tab w:val="left" w:pos="280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40"/>
          <w:tab w:val="left" w:pos="7660"/>
          <w:tab w:val="left" w:pos="7680"/>
          <w:tab w:val="left" w:pos="7700"/>
          <w:tab w:val="left" w:pos="7720"/>
          <w:tab w:val="left" w:pos="7740"/>
          <w:tab w:val="left" w:pos="7740"/>
          <w:tab w:val="left" w:pos="7788"/>
          <w:tab w:val="left" w:pos="8496"/>
          <w:tab w:val="left" w:pos="8849"/>
        </w:tabs>
        <w:suppressAutoHyphens/>
        <w:spacing w:line="264" w:lineRule="auto"/>
        <w:rPr>
          <w:rFonts w:ascii="Arial" w:eastAsia="Arial Unicode MS" w:hAnsi="Arial" w:cs="Arial"/>
          <w:szCs w:val="28"/>
          <w:u w:color="000000"/>
          <w:bdr w:val="nil"/>
          <w:lang w:val="uk-UA"/>
        </w:rPr>
      </w:pPr>
      <w:r w:rsidRPr="00511005">
        <w:rPr>
          <w:rFonts w:ascii="Arial" w:eastAsia="Helvetica Neue" w:hAnsi="Arial" w:cs="Arial"/>
          <w:b/>
          <w:i/>
          <w:szCs w:val="28"/>
          <w:u w:color="000000"/>
          <w:bdr w:val="nil"/>
          <w:lang w:val="uk-UA"/>
        </w:rPr>
        <w:t xml:space="preserve">Ключові слова: </w:t>
      </w:r>
      <w:r w:rsidR="00220D3E" w:rsidRPr="00511005">
        <w:rPr>
          <w:rFonts w:ascii="Arial" w:eastAsia="Helvetica Neue" w:hAnsi="Arial" w:cs="Arial"/>
          <w:szCs w:val="28"/>
          <w:u w:color="000000"/>
          <w:bdr w:val="nil"/>
          <w:lang w:val="uk-UA"/>
        </w:rPr>
        <w:t>міжнародне гуманітарне право (МГП), військовополонені, Женевські конвенції, збройний конфлікт, війна в Україні, Міжнародний комітет Червоного Хреста (МКЧХ), Оленівська трагедія, фільтраційні табори, збройні формування, гібридні конфлікти, репатріація, механізми моніторингу</w:t>
      </w:r>
    </w:p>
    <w:p w14:paraId="765E70D1" w14:textId="74DE68C6" w:rsidR="00220D3E" w:rsidRPr="00511005" w:rsidRDefault="006C2EDA" w:rsidP="003A292D">
      <w:pPr>
        <w:tabs>
          <w:tab w:val="left" w:pos="709"/>
          <w:tab w:val="left" w:pos="7088"/>
        </w:tabs>
        <w:spacing w:line="264" w:lineRule="auto"/>
        <w:rPr>
          <w:rFonts w:ascii="Arial" w:eastAsia="Times New Roman" w:hAnsi="Arial" w:cs="Arial"/>
          <w:i/>
          <w:iCs/>
          <w:szCs w:val="28"/>
          <w:lang w:val="uk-UA" w:eastAsia="ru-RU"/>
        </w:rPr>
      </w:pPr>
      <w:r w:rsidRPr="006C2EDA">
        <w:rPr>
          <w:rFonts w:ascii="Arial" w:eastAsia="Times New Roman" w:hAnsi="Arial" w:cs="Arial"/>
          <w:b/>
          <w:bCs/>
          <w:i/>
          <w:iCs/>
          <w:szCs w:val="28"/>
          <w:lang w:val="en-US" w:eastAsia="ru-RU"/>
        </w:rPr>
        <w:t xml:space="preserve">Academic supervisor: </w:t>
      </w:r>
      <w:r w:rsidR="00220D3E" w:rsidRPr="00511005">
        <w:rPr>
          <w:rFonts w:ascii="Arial" w:eastAsia="Times New Roman" w:hAnsi="Arial" w:cs="Arial"/>
          <w:i/>
          <w:iCs/>
          <w:szCs w:val="28"/>
          <w:lang w:val="en-US" w:eastAsia="ru-RU"/>
        </w:rPr>
        <w:t>PhD in Law, Associate Professor Dronov V.</w:t>
      </w:r>
    </w:p>
    <w:p w14:paraId="7E4B78C4" w14:textId="77777777" w:rsidR="006C2EDA" w:rsidRDefault="006C2EDA">
      <w:pPr>
        <w:spacing w:after="200" w:line="276" w:lineRule="auto"/>
        <w:ind w:firstLine="0"/>
        <w:jc w:val="left"/>
        <w:rPr>
          <w:rFonts w:ascii="Arial" w:eastAsia="Times New Roman" w:hAnsi="Arial" w:cs="Arial"/>
          <w:b/>
          <w:i/>
          <w:noProof/>
          <w:szCs w:val="28"/>
          <w:shd w:val="clear" w:color="auto" w:fill="FFFFFF"/>
          <w:lang w:val="uk-UA" w:eastAsia="ru-RU"/>
        </w:rPr>
      </w:pPr>
      <w:r>
        <w:rPr>
          <w:rFonts w:ascii="Arial" w:eastAsia="Times New Roman" w:hAnsi="Arial" w:cs="Arial"/>
          <w:b/>
          <w:i/>
          <w:noProof/>
          <w:szCs w:val="28"/>
          <w:shd w:val="clear" w:color="auto" w:fill="FFFFFF"/>
          <w:lang w:val="uk-UA" w:eastAsia="ru-RU"/>
        </w:rPr>
        <w:br w:type="page"/>
      </w:r>
    </w:p>
    <w:p w14:paraId="201AE6B5" w14:textId="6E84F8D8" w:rsidR="00220D3E" w:rsidRPr="00511005" w:rsidRDefault="00220D3E" w:rsidP="003A292D">
      <w:pPr>
        <w:tabs>
          <w:tab w:val="left" w:pos="709"/>
          <w:tab w:val="left" w:pos="7088"/>
        </w:tabs>
        <w:spacing w:line="264" w:lineRule="auto"/>
        <w:jc w:val="center"/>
        <w:rPr>
          <w:rFonts w:ascii="Arial" w:eastAsia="Times New Roman" w:hAnsi="Arial" w:cs="Arial"/>
          <w:b/>
          <w:i/>
          <w:noProof/>
          <w:szCs w:val="28"/>
          <w:shd w:val="clear" w:color="auto" w:fill="FFFFFF"/>
          <w:lang w:val="uk-UA" w:eastAsia="ru-RU"/>
        </w:rPr>
      </w:pPr>
      <w:r w:rsidRPr="00511005">
        <w:rPr>
          <w:rFonts w:ascii="Arial" w:eastAsia="Times New Roman" w:hAnsi="Arial" w:cs="Arial"/>
          <w:b/>
          <w:i/>
          <w:noProof/>
          <w:szCs w:val="28"/>
          <w:shd w:val="clear" w:color="auto" w:fill="FFFFFF"/>
          <w:lang w:val="uk-UA" w:eastAsia="ru-RU"/>
        </w:rPr>
        <w:lastRenderedPageBreak/>
        <w:t>Степановська Марина Ігорівна</w:t>
      </w:r>
    </w:p>
    <w:p w14:paraId="43116D12" w14:textId="443544B8" w:rsidR="00220D3E" w:rsidRPr="00511005" w:rsidRDefault="00536AAB" w:rsidP="003A292D">
      <w:pPr>
        <w:tabs>
          <w:tab w:val="left" w:pos="709"/>
          <w:tab w:val="left" w:pos="7088"/>
        </w:tabs>
        <w:spacing w:line="264" w:lineRule="auto"/>
        <w:jc w:val="center"/>
        <w:rPr>
          <w:rFonts w:ascii="Arial" w:eastAsia="Times New Roman" w:hAnsi="Arial" w:cs="Arial"/>
          <w:noProof/>
          <w:szCs w:val="28"/>
          <w:shd w:val="clear" w:color="auto" w:fill="FFFFFF"/>
          <w:lang w:val="uk-UA" w:eastAsia="ru-RU"/>
        </w:rPr>
      </w:pPr>
      <w:r w:rsidRPr="00511005">
        <w:rPr>
          <w:rFonts w:ascii="Arial" w:eastAsia="Times New Roman" w:hAnsi="Arial" w:cs="Arial"/>
          <w:noProof/>
          <w:szCs w:val="28"/>
          <w:shd w:val="clear" w:color="auto" w:fill="FFFFFF"/>
          <w:lang w:val="uk-UA" w:eastAsia="ru-RU"/>
        </w:rPr>
        <w:t xml:space="preserve">студентка 4-го курсу </w:t>
      </w:r>
      <w:r w:rsidR="001B7B25" w:rsidRPr="00511005">
        <w:rPr>
          <w:rFonts w:ascii="Arial" w:eastAsia="Times New Roman" w:hAnsi="Arial" w:cs="Arial"/>
          <w:noProof/>
          <w:szCs w:val="28"/>
          <w:shd w:val="clear" w:color="auto" w:fill="FFFFFF"/>
          <w:lang w:val="uk-UA" w:eastAsia="ru-RU"/>
        </w:rPr>
        <w:t>факультету судового та міжнародного права</w:t>
      </w:r>
    </w:p>
    <w:p w14:paraId="0E9211AD" w14:textId="32032FFC" w:rsidR="00220D3E" w:rsidRPr="00511005" w:rsidRDefault="007B2628" w:rsidP="003A292D">
      <w:pPr>
        <w:tabs>
          <w:tab w:val="left" w:pos="709"/>
          <w:tab w:val="left" w:pos="7088"/>
        </w:tabs>
        <w:spacing w:line="264" w:lineRule="auto"/>
        <w:jc w:val="center"/>
        <w:rPr>
          <w:rFonts w:ascii="Arial" w:eastAsia="Times New Roman" w:hAnsi="Arial" w:cs="Arial"/>
          <w:noProof/>
          <w:szCs w:val="28"/>
          <w:shd w:val="clear" w:color="auto" w:fill="FFFFFF"/>
          <w:lang w:val="uk-UA" w:eastAsia="ru-RU"/>
        </w:rPr>
      </w:pPr>
      <w:r w:rsidRPr="00511005">
        <w:rPr>
          <w:rFonts w:ascii="Arial" w:eastAsia="Times New Roman" w:hAnsi="Arial" w:cs="Arial"/>
          <w:noProof/>
          <w:szCs w:val="28"/>
          <w:shd w:val="clear" w:color="auto" w:fill="FFFFFF"/>
          <w:lang w:val="uk-UA" w:eastAsia="ru-RU"/>
        </w:rPr>
        <w:t>Національного університету «Одеська юридична академія»</w:t>
      </w:r>
    </w:p>
    <w:p w14:paraId="14BCCDED" w14:textId="77777777" w:rsidR="00220D3E" w:rsidRPr="00511005" w:rsidRDefault="00220D3E" w:rsidP="003A292D">
      <w:pPr>
        <w:tabs>
          <w:tab w:val="left" w:pos="709"/>
          <w:tab w:val="left" w:pos="7088"/>
        </w:tabs>
        <w:spacing w:line="264" w:lineRule="auto"/>
        <w:jc w:val="center"/>
        <w:rPr>
          <w:rFonts w:ascii="Arial" w:eastAsia="Times New Roman" w:hAnsi="Arial" w:cs="Arial"/>
          <w:noProof/>
          <w:szCs w:val="28"/>
          <w:shd w:val="clear" w:color="auto" w:fill="FFFFFF"/>
          <w:lang w:val="uk-UA" w:eastAsia="ru-RU"/>
        </w:rPr>
      </w:pPr>
    </w:p>
    <w:p w14:paraId="2A34B9CB" w14:textId="77777777" w:rsidR="00220D3E" w:rsidRPr="00511005" w:rsidRDefault="00220D3E" w:rsidP="003A292D">
      <w:pPr>
        <w:tabs>
          <w:tab w:val="left" w:pos="709"/>
          <w:tab w:val="left" w:pos="7088"/>
        </w:tabs>
        <w:spacing w:line="264" w:lineRule="auto"/>
        <w:jc w:val="center"/>
        <w:rPr>
          <w:rFonts w:ascii="Arial" w:eastAsia="Times New Roman" w:hAnsi="Arial" w:cs="Arial"/>
          <w:b/>
          <w:noProof/>
          <w:szCs w:val="28"/>
          <w:shd w:val="clear" w:color="auto" w:fill="FFFFFF"/>
          <w:lang w:val="uk-UA" w:eastAsia="ru-RU"/>
        </w:rPr>
      </w:pPr>
      <w:r w:rsidRPr="00511005">
        <w:rPr>
          <w:rFonts w:ascii="Arial" w:eastAsia="Times New Roman" w:hAnsi="Arial" w:cs="Arial"/>
          <w:b/>
          <w:noProof/>
          <w:szCs w:val="28"/>
          <w:shd w:val="clear" w:color="auto" w:fill="FFFFFF"/>
          <w:lang w:val="uk-UA" w:eastAsia="ru-RU"/>
        </w:rPr>
        <w:t>ПРАКТИКА ЄВРОПЕЙСЬКОГО СУДУ З ПРАВ ЛЮДИНИ ЩОДО ПРАВА НА ПОВАГУ ДО СІМЕЙНОГО ЖИТТЯ</w:t>
      </w:r>
    </w:p>
    <w:p w14:paraId="43C8592B"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Дослідження прав людини набрали широкої популярності в наукових колах. Вони є предметом наукових досліджень не тільки у теоретиків держави і права, а й дискусій юристів-практиків. Зокрема, окремим аспектам забезпечення прав людини та невтручання в її приватне і сімейне життя приділено значну увагу у працях С. Афанасенко, О. Басай, М. Баймуратова, Т. Дудаш, О. Грищук, Л. Ємчук, В. Назарова, С. Лихова, О. Пожар, П. Рабиновича, В. Паліюк, І. Мурована, О. Ткач та ін.</w:t>
      </w:r>
    </w:p>
    <w:p w14:paraId="781197D7"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Право на повагу до сімейного життя є одним із ключових елементів захисту прав людини, гарантованих статтею 8 Конвенції про захист прав людини і основоположних свобод [1]. Це право охоплює широке коло питань, пов'язаних зі створенням, розвитком та підтриманням родинних зв'язків, захистом особистого простору, визнанням і захистом різноманітних форм сімейних відносин. Європейський суд з прав людини у своїй практиці наголошує на тому, що право на повагу до сімейного життя має як негативний, так і позитивний характер: з одного боку, державі заборонено втручатися в сімейне життя без вагомих підстав, з іншого — вона зобов'язана забезпечувати умови для повноцінного здійснення цього права.</w:t>
      </w:r>
    </w:p>
    <w:p w14:paraId="55FB0F69"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Тлумачення права на сімейне життя Судом є динамічним і пристосованим до змін суспільних відносин. Під поняттям «сімейне життя» Суд розуміє не лише традиційний шлюбний союз, а й будь-які стосунки, що демонструють характерні риси стабільності, взаємної підтримки та емоційної близькості. Це може включати фактичні союзи без реєстрації шлюбу, стосунки між батьками та дітьми незалежно від їхнього правового оформлення, а також інші форми тісних особистісних зв’язків.</w:t>
      </w:r>
    </w:p>
    <w:p w14:paraId="1B8B162C"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Європейський суд з прав людини виходить із того, що дотримання права на повагу до сімейного життя передбачає не лише невтручання з боку держави, але й її обов’язок діяти проактивно, створюючи необхідні умови для ефективного захисту цього права. Зокрема, до позитивних зобов’язань держави належать забезпечення правових засобів для визнання родинних стосунків, запровадження ефективних процедур реалізації батьківських прав, сприяння возз’єднанню родин та підтримка стабільних сімейних взаємин [4].</w:t>
      </w:r>
    </w:p>
    <w:p w14:paraId="41DE6675"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 xml:space="preserve">Реальним прикладом цього підходу є справа «Kutzner v. Germany» (заява № 46544/99), у якій Суд постановив, що вилучення дітей із родини без достатніх підстав та відсутність зусиль з боку органів влади щодо збереження родинного зв’язку є порушенням статті 8 Конвенції. Суд </w:t>
      </w:r>
      <w:r w:rsidRPr="00511005">
        <w:rPr>
          <w:rFonts w:ascii="Arial" w:eastAsia="Calibri" w:hAnsi="Arial" w:cs="Arial"/>
          <w:noProof/>
          <w:szCs w:val="28"/>
          <w:lang w:val="uk-UA"/>
        </w:rPr>
        <w:lastRenderedPageBreak/>
        <w:t>наголосив, що держава повинна не лише уникати втручання у сімейне життя без нагальної потреби, а й активно сприяти збереженню та відновленню сімейних стосунків, коли це можливо.</w:t>
      </w:r>
    </w:p>
    <w:p w14:paraId="0C0D737E"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На мою думку, такий баланс між негативними й позитивними зобов’язаннями держави є основоположним у сфері захисту прав людини. Повага до сімейного життя — це не лише свобода від втручання, а й реальна підтримка, яку має гарантувати держава через законодавство, практику та інституції.</w:t>
      </w:r>
    </w:p>
    <w:p w14:paraId="7B146C35"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Втручання держави у право на сімейне життя допускається лише за умов, чітко передбачених Конвенцією. Таке втручання має відповідати трьом основним критеріям: воно повинно бути передбачене законом, переслідувати легітимну мету та бути необхідним у демократичному суспільстві. Легітимні цілі втручання можуть включати інтереси національної безпеки, громадського порядку, економічного добробуту країни, захист здоров’я чи моралі, а також захист прав і свобод інших осіб.</w:t>
      </w:r>
    </w:p>
    <w:p w14:paraId="59881960"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Одним із центральних принципів у справах щодо сімейного життя є принцип пропорційності, відповідно до якого втручання має бути співмірним поставленій меті. Суд при оцінці пропорційності бере до уваги такі фактори, як тривалість і стабільність сімейних стосунків, інтереси дитини, ступінь інтеграції особи у суспільство, емоційні та соціальні наслідки втручання.</w:t>
      </w:r>
    </w:p>
    <w:p w14:paraId="554255E9"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Європейський суд з прав людини у своїй практиці звертає увагу на питання дотримання стандартів «якості закону» у контексті забезпечення права на повагу до приватного листування осіб, які перебувають у попередньому ув'язненні. У випадках, коли національне законодавство не містить достатніх гарантій проти можливого зловживання чи необґрунтованого обмеження права на кореспонденцію, Суд визнає порушення Конвенції. Зокрема, відсутність чітких процедурних норм і механізмів контролю може призвести до незаконного обмеження права особи на надсилання або отримання листів під час тримання під вартою.</w:t>
      </w:r>
    </w:p>
    <w:p w14:paraId="6CE6A3E8"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Наприклад, у рішенні «Бєляєв та Дігтяр проти України (Belyaev and Digtyar v. Ukraine, заяви №№ 16984/04 та 9947/05) від 16 лютого 2012 року Судом констатовано порушення щодо прав обох заявників на повагу до кореспонденції під час попереднього ув’язнення в Сумському СІЗО у зв’язку з тим, що відповідне національне законодавство не відповідало стандартам «якості закону» і що відсутність відповідних гарантій могла призвести до незаконної відмови надіслати деякі листи заявників [2].</w:t>
      </w:r>
    </w:p>
    <w:p w14:paraId="672AFA6F"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 xml:space="preserve">Право на повагу до сімейного життя також є актуальним у контексті міграційної політики держав. При розгляді справ про депортацію або відмову у видачі дозволу на проживання Суд оцінює, наскільки такі заходи можуть негативно вплинути на існуючі сімейні зв’язки. У цьому контексті важливо враховувати, чи мала особа можливість побудувати сімейні стосунки за повної обізнаності про тимчасовий характер свого перебування в країні, чи </w:t>
      </w:r>
      <w:r w:rsidRPr="00511005">
        <w:rPr>
          <w:rFonts w:ascii="Arial" w:eastAsia="Calibri" w:hAnsi="Arial" w:cs="Arial"/>
          <w:noProof/>
          <w:szCs w:val="28"/>
          <w:lang w:val="uk-UA"/>
        </w:rPr>
        <w:lastRenderedPageBreak/>
        <w:t>мала держава альтернативні менш обмежувальні заходи, та наскільки міцними є її зв’язки із країною походження.</w:t>
      </w:r>
    </w:p>
    <w:p w14:paraId="76D6579A"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 xml:space="preserve">Значущим аспектом практики Суду є також визнання різноманіття форм сімейного життя. Так, Суд визнає сімейними стосунки не лише в межах традиційної нуклеарної родини, але й в інших формальних та неформальних об'єднаннях людей, які проявляють ознаки взаємної прив’язаності та відповідальності. У результаті розвиток суспільних уявлень про сім'ю безпосередньо впливає на змістовне наповнення права на повагу до сімейного життя </w:t>
      </w:r>
      <w:r w:rsidRPr="00511005">
        <w:rPr>
          <w:rFonts w:ascii="Arial" w:eastAsia="Calibri" w:hAnsi="Arial" w:cs="Arial"/>
          <w:noProof/>
          <w:szCs w:val="28"/>
        </w:rPr>
        <w:t>[3]</w:t>
      </w:r>
      <w:r w:rsidRPr="00511005">
        <w:rPr>
          <w:rFonts w:ascii="Arial" w:eastAsia="Calibri" w:hAnsi="Arial" w:cs="Arial"/>
          <w:noProof/>
          <w:szCs w:val="28"/>
          <w:lang w:val="uk-UA"/>
        </w:rPr>
        <w:t>.</w:t>
      </w:r>
    </w:p>
    <w:p w14:paraId="17EBA2A3" w14:textId="77777777" w:rsidR="00220D3E" w:rsidRPr="00511005" w:rsidRDefault="00220D3E" w:rsidP="003A292D">
      <w:pPr>
        <w:tabs>
          <w:tab w:val="left" w:pos="709"/>
          <w:tab w:val="left" w:pos="7088"/>
        </w:tabs>
        <w:spacing w:line="264" w:lineRule="auto"/>
        <w:rPr>
          <w:rFonts w:ascii="Arial" w:eastAsia="Calibri" w:hAnsi="Arial" w:cs="Arial"/>
          <w:noProof/>
          <w:szCs w:val="28"/>
          <w:lang w:val="uk-UA"/>
        </w:rPr>
      </w:pPr>
      <w:r w:rsidRPr="00511005">
        <w:rPr>
          <w:rFonts w:ascii="Arial" w:eastAsia="Calibri" w:hAnsi="Arial" w:cs="Arial"/>
          <w:noProof/>
          <w:szCs w:val="28"/>
          <w:lang w:val="uk-UA"/>
        </w:rPr>
        <w:t>В ході проведеного дослідження практики Європейського суду з прав людини щодо порушення статті 8 Конвенції, що гарантує право на повагу до приватного і сімейного життя, було встановлено, що це право є основоположним для забезпечення індивідуальної гідності та особистої свободи. Суд неодноразово вказував на те, що будь-які обмеження цього права повинні мати законне підґрунтя, бути необхідними в демократичному суспільстві та відповідати вимогам пропорційності. У разі порушення цих критеріїв держава може бути визнана відповідальною за порушення Конвенції, що негативно впливає на захист прав осіб. Зокрема, судові рішення демонструють, що важливою складовою захисту статті 8 є належне правове регулювання та забезпечення ефективних засобів правового захисту на національному рівні.</w:t>
      </w:r>
    </w:p>
    <w:p w14:paraId="45CB0C13" w14:textId="77777777" w:rsidR="00220D3E" w:rsidRPr="00511005" w:rsidRDefault="00220D3E" w:rsidP="003A292D">
      <w:pPr>
        <w:tabs>
          <w:tab w:val="left" w:pos="709"/>
        </w:tabs>
        <w:spacing w:line="264" w:lineRule="auto"/>
        <w:jc w:val="left"/>
        <w:rPr>
          <w:rFonts w:ascii="Arial" w:eastAsia="Times New Roman" w:hAnsi="Arial" w:cs="Arial"/>
          <w:b/>
          <w:noProof/>
          <w:szCs w:val="28"/>
          <w:lang w:val="uk-UA" w:eastAsia="ru-RU" w:bidi="uk-UA"/>
        </w:rPr>
      </w:pPr>
    </w:p>
    <w:p w14:paraId="199B0BF9" w14:textId="232A9A47" w:rsidR="00220D3E" w:rsidRPr="00511005" w:rsidRDefault="007B2628" w:rsidP="007B2628">
      <w:pPr>
        <w:tabs>
          <w:tab w:val="left" w:pos="709"/>
          <w:tab w:val="left" w:pos="7088"/>
        </w:tabs>
        <w:spacing w:line="264" w:lineRule="auto"/>
        <w:jc w:val="center"/>
        <w:rPr>
          <w:rFonts w:ascii="Arial" w:eastAsia="Times New Roman" w:hAnsi="Arial" w:cs="Arial"/>
          <w:b/>
          <w:noProof/>
          <w:szCs w:val="28"/>
          <w:lang w:val="uk-UA" w:eastAsia="ru-RU" w:bidi="uk-UA"/>
        </w:rPr>
      </w:pPr>
      <w:r w:rsidRPr="00511005">
        <w:rPr>
          <w:rFonts w:ascii="Arial" w:eastAsia="Times New Roman" w:hAnsi="Arial" w:cs="Arial"/>
          <w:b/>
          <w:noProof/>
          <w:szCs w:val="28"/>
          <w:lang w:val="uk-UA" w:eastAsia="ru-RU" w:bidi="uk-UA"/>
        </w:rPr>
        <w:t>Список використаних джерел</w:t>
      </w:r>
    </w:p>
    <w:p w14:paraId="6C27057A" w14:textId="267E20E9" w:rsidR="00220D3E" w:rsidRPr="00511005" w:rsidRDefault="00220D3E" w:rsidP="003F6A5D">
      <w:pPr>
        <w:widowControl w:val="0"/>
        <w:numPr>
          <w:ilvl w:val="0"/>
          <w:numId w:val="152"/>
        </w:numPr>
        <w:tabs>
          <w:tab w:val="left" w:pos="709"/>
          <w:tab w:val="left" w:pos="993"/>
          <w:tab w:val="left" w:pos="7088"/>
        </w:tabs>
        <w:autoSpaceDE w:val="0"/>
        <w:autoSpaceDN w:val="0"/>
        <w:adjustRightInd w:val="0"/>
        <w:spacing w:line="264" w:lineRule="auto"/>
        <w:contextualSpacing/>
        <w:jc w:val="left"/>
        <w:rPr>
          <w:rFonts w:ascii="Arial" w:eastAsia="Calibri" w:hAnsi="Arial" w:cs="Arial"/>
          <w:bCs/>
          <w:noProof/>
          <w:szCs w:val="28"/>
          <w:lang w:val="uk-UA" w:bidi="uk-UA"/>
        </w:rPr>
      </w:pPr>
      <w:r w:rsidRPr="00511005">
        <w:rPr>
          <w:rFonts w:ascii="Arial" w:eastAsia="Calibri" w:hAnsi="Arial" w:cs="Arial"/>
          <w:bCs/>
          <w:noProof/>
          <w:szCs w:val="28"/>
          <w:lang w:val="uk-UA" w:bidi="uk-UA"/>
        </w:rPr>
        <w:t>Конвенція про захист прав людини і основоположних свобод (з протоколами) (Європейська конвенція з прав людини) від 01.01.1990 р.</w:t>
      </w:r>
      <w:r w:rsidR="007B2628" w:rsidRPr="00511005">
        <w:rPr>
          <w:rFonts w:ascii="Arial" w:eastAsia="Calibri" w:hAnsi="Arial" w:cs="Arial"/>
          <w:bCs/>
          <w:noProof/>
          <w:szCs w:val="28"/>
          <w:lang w:val="uk-UA" w:bidi="uk-UA"/>
        </w:rPr>
        <w:t xml:space="preserve"> </w:t>
      </w:r>
      <w:r w:rsidRPr="00511005">
        <w:rPr>
          <w:rFonts w:ascii="Arial" w:eastAsia="Calibri" w:hAnsi="Arial" w:cs="Arial"/>
          <w:bCs/>
          <w:noProof/>
          <w:szCs w:val="28"/>
          <w:lang w:val="uk-UA" w:bidi="uk-UA"/>
        </w:rPr>
        <w:t xml:space="preserve">URL: </w:t>
      </w:r>
      <w:hyperlink r:id="rId666" w:anchor="Text" w:history="1">
        <w:r w:rsidRPr="00511005">
          <w:rPr>
            <w:rFonts w:ascii="Arial" w:eastAsia="Calibri" w:hAnsi="Arial" w:cs="Arial"/>
            <w:bCs/>
            <w:noProof/>
            <w:szCs w:val="28"/>
            <w:lang w:val="uk-UA" w:bidi="uk-UA"/>
          </w:rPr>
          <w:t>https://zakon.rada.gov.ua/laws/show/995_004#Text</w:t>
        </w:r>
      </w:hyperlink>
      <w:r w:rsidRPr="00511005">
        <w:rPr>
          <w:rFonts w:ascii="Arial" w:eastAsia="Calibri" w:hAnsi="Arial" w:cs="Arial"/>
          <w:bCs/>
          <w:noProof/>
          <w:szCs w:val="28"/>
          <w:lang w:val="uk-UA" w:bidi="uk-UA"/>
        </w:rPr>
        <w:t xml:space="preserve"> (дата звернення: 27.04.2025)</w:t>
      </w:r>
    </w:p>
    <w:p w14:paraId="300A181A" w14:textId="77777777" w:rsidR="00220D3E" w:rsidRPr="00511005" w:rsidRDefault="00220D3E" w:rsidP="003F6A5D">
      <w:pPr>
        <w:widowControl w:val="0"/>
        <w:numPr>
          <w:ilvl w:val="0"/>
          <w:numId w:val="152"/>
        </w:numPr>
        <w:tabs>
          <w:tab w:val="left" w:pos="709"/>
          <w:tab w:val="left" w:pos="993"/>
          <w:tab w:val="left" w:pos="7088"/>
        </w:tabs>
        <w:autoSpaceDE w:val="0"/>
        <w:autoSpaceDN w:val="0"/>
        <w:adjustRightInd w:val="0"/>
        <w:spacing w:line="264" w:lineRule="auto"/>
        <w:contextualSpacing/>
        <w:jc w:val="left"/>
        <w:rPr>
          <w:rFonts w:ascii="Arial" w:eastAsia="Calibri" w:hAnsi="Arial" w:cs="Arial"/>
          <w:bCs/>
          <w:noProof/>
          <w:szCs w:val="28"/>
          <w:lang w:val="uk-UA" w:bidi="uk-UA"/>
        </w:rPr>
      </w:pPr>
      <w:r w:rsidRPr="00511005">
        <w:rPr>
          <w:rFonts w:ascii="Arial" w:eastAsia="Calibri" w:hAnsi="Arial" w:cs="Arial"/>
          <w:bCs/>
          <w:noProof/>
          <w:szCs w:val="28"/>
          <w:lang w:val="uk-UA" w:bidi="uk-UA"/>
        </w:rPr>
        <w:t xml:space="preserve">Справа «Бєляєв та Дігтяр проти України» (Заяви №№ 16984/04 та 9947/05) від 16 лютого 2012 року URL: </w:t>
      </w:r>
      <w:hyperlink r:id="rId667" w:anchor="Text" w:history="1">
        <w:r w:rsidRPr="00511005">
          <w:rPr>
            <w:rFonts w:ascii="Arial" w:eastAsia="Calibri" w:hAnsi="Arial" w:cs="Arial"/>
            <w:bCs/>
            <w:noProof/>
            <w:szCs w:val="28"/>
            <w:lang w:val="uk-UA" w:bidi="uk-UA"/>
          </w:rPr>
          <w:t>https://zakon.rada.gov.ua/laws/show/974_938#Text</w:t>
        </w:r>
      </w:hyperlink>
      <w:r w:rsidRPr="00511005">
        <w:rPr>
          <w:rFonts w:ascii="Arial" w:eastAsia="Calibri" w:hAnsi="Arial" w:cs="Arial"/>
          <w:bCs/>
          <w:noProof/>
          <w:szCs w:val="28"/>
          <w:lang w:val="uk-UA" w:bidi="uk-UA"/>
        </w:rPr>
        <w:t xml:space="preserve"> (дата звернення: 27.04.2025)</w:t>
      </w:r>
    </w:p>
    <w:p w14:paraId="0E4B5DD0" w14:textId="77777777" w:rsidR="00220D3E" w:rsidRPr="00511005" w:rsidRDefault="00220D3E" w:rsidP="003F6A5D">
      <w:pPr>
        <w:widowControl w:val="0"/>
        <w:numPr>
          <w:ilvl w:val="0"/>
          <w:numId w:val="152"/>
        </w:numPr>
        <w:tabs>
          <w:tab w:val="left" w:pos="709"/>
          <w:tab w:val="left" w:pos="993"/>
          <w:tab w:val="left" w:pos="7088"/>
        </w:tabs>
        <w:autoSpaceDE w:val="0"/>
        <w:autoSpaceDN w:val="0"/>
        <w:adjustRightInd w:val="0"/>
        <w:spacing w:line="264" w:lineRule="auto"/>
        <w:contextualSpacing/>
        <w:jc w:val="left"/>
        <w:rPr>
          <w:rFonts w:ascii="Arial" w:eastAsia="Calibri" w:hAnsi="Arial" w:cs="Arial"/>
          <w:bCs/>
          <w:noProof/>
          <w:szCs w:val="28"/>
          <w:lang w:val="uk-UA" w:bidi="uk-UA"/>
        </w:rPr>
      </w:pPr>
      <w:r w:rsidRPr="00511005">
        <w:rPr>
          <w:rFonts w:ascii="Arial" w:eastAsia="Calibri" w:hAnsi="Arial" w:cs="Arial"/>
          <w:noProof/>
          <w:szCs w:val="28"/>
          <w:lang w:val="uk-UA" w:bidi="uk-UA"/>
        </w:rPr>
        <w:t>Рогова, А. С. (2021). Право на повагу до приватного та сімейного життя за законодавством України та практикою ЄСПЛ. </w:t>
      </w:r>
      <w:r w:rsidRPr="00511005">
        <w:rPr>
          <w:rFonts w:ascii="Arial" w:eastAsia="Calibri" w:hAnsi="Arial" w:cs="Arial"/>
          <w:i/>
          <w:iCs/>
          <w:noProof/>
          <w:szCs w:val="28"/>
          <w:lang w:val="uk-UA" w:bidi="uk-UA"/>
        </w:rPr>
        <w:t>Сучасні тенденції розбудови правової держави в Україні та світі</w:t>
      </w:r>
      <w:r w:rsidRPr="00511005">
        <w:rPr>
          <w:rFonts w:ascii="Arial" w:eastAsia="Calibri" w:hAnsi="Arial" w:cs="Arial"/>
          <w:noProof/>
          <w:szCs w:val="28"/>
          <w:lang w:val="uk-UA" w:bidi="uk-UA"/>
        </w:rPr>
        <w:t xml:space="preserve">, 61. </w:t>
      </w:r>
      <w:r w:rsidRPr="00511005">
        <w:rPr>
          <w:rFonts w:ascii="Arial" w:eastAsia="Calibri" w:hAnsi="Arial" w:cs="Arial"/>
          <w:bCs/>
          <w:noProof/>
          <w:szCs w:val="28"/>
          <w:lang w:val="uk-UA" w:bidi="uk-UA"/>
        </w:rPr>
        <w:t>URL:</w:t>
      </w:r>
      <w:r w:rsidRPr="00511005">
        <w:rPr>
          <w:rFonts w:ascii="Arial" w:eastAsia="Calibri" w:hAnsi="Arial" w:cs="Arial"/>
          <w:noProof/>
          <w:szCs w:val="28"/>
          <w:lang w:val="uk-UA"/>
        </w:rPr>
        <w:t xml:space="preserve"> </w:t>
      </w:r>
      <w:hyperlink r:id="rId668" w:history="1">
        <w:r w:rsidRPr="00511005">
          <w:rPr>
            <w:rFonts w:ascii="Arial" w:eastAsia="Calibri" w:hAnsi="Arial" w:cs="Arial"/>
            <w:bCs/>
            <w:noProof/>
            <w:szCs w:val="28"/>
            <w:lang w:val="uk-UA" w:bidi="uk-UA"/>
          </w:rPr>
          <w:t>https://surl.li/qgjbma</w:t>
        </w:r>
      </w:hyperlink>
      <w:r w:rsidRPr="00511005">
        <w:rPr>
          <w:rFonts w:ascii="Arial" w:eastAsia="Calibri" w:hAnsi="Arial" w:cs="Arial"/>
          <w:bCs/>
          <w:noProof/>
          <w:szCs w:val="28"/>
          <w:lang w:val="uk-UA" w:bidi="uk-UA"/>
        </w:rPr>
        <w:t xml:space="preserve"> (дата звернення: 27.04.2025)​ </w:t>
      </w:r>
    </w:p>
    <w:p w14:paraId="7C5AA929" w14:textId="77777777" w:rsidR="00220D3E" w:rsidRPr="00511005" w:rsidRDefault="00220D3E" w:rsidP="003A292D">
      <w:pPr>
        <w:tabs>
          <w:tab w:val="left" w:pos="709"/>
          <w:tab w:val="left" w:pos="993"/>
          <w:tab w:val="left" w:pos="7088"/>
        </w:tabs>
        <w:spacing w:line="264" w:lineRule="auto"/>
        <w:rPr>
          <w:rFonts w:ascii="Arial" w:eastAsia="Times New Roman" w:hAnsi="Arial" w:cs="Arial"/>
          <w:b/>
          <w:noProof/>
          <w:szCs w:val="28"/>
          <w:lang w:val="uk-UA" w:eastAsia="ru-RU"/>
        </w:rPr>
      </w:pPr>
    </w:p>
    <w:p w14:paraId="3D18775E" w14:textId="3FB37C18" w:rsidR="00220D3E" w:rsidRPr="00511005" w:rsidRDefault="007B2628" w:rsidP="003A292D">
      <w:pPr>
        <w:tabs>
          <w:tab w:val="left" w:pos="709"/>
          <w:tab w:val="left" w:pos="993"/>
          <w:tab w:val="left" w:pos="7088"/>
        </w:tabs>
        <w:spacing w:line="264" w:lineRule="auto"/>
        <w:rPr>
          <w:rFonts w:ascii="Arial" w:eastAsia="Times New Roman" w:hAnsi="Arial" w:cs="Arial"/>
          <w:noProof/>
          <w:szCs w:val="28"/>
          <w:lang w:val="uk-UA" w:eastAsia="ru-RU"/>
        </w:rPr>
      </w:pPr>
      <w:r w:rsidRPr="00511005">
        <w:rPr>
          <w:rFonts w:ascii="Arial" w:eastAsia="Times New Roman" w:hAnsi="Arial" w:cs="Arial"/>
          <w:b/>
          <w:i/>
          <w:noProof/>
          <w:szCs w:val="28"/>
          <w:lang w:val="uk-UA" w:eastAsia="ru-RU"/>
        </w:rPr>
        <w:t xml:space="preserve">Ключові слова: </w:t>
      </w:r>
      <w:r w:rsidR="00220D3E" w:rsidRPr="00511005">
        <w:rPr>
          <w:rFonts w:ascii="Arial" w:eastAsia="Times New Roman" w:hAnsi="Arial" w:cs="Arial"/>
          <w:noProof/>
          <w:szCs w:val="28"/>
          <w:lang w:val="uk-UA" w:eastAsia="ru-RU"/>
        </w:rPr>
        <w:t xml:space="preserve">право на повагу до приватного і сімейного життя, Європейський суд з прав людини, стаття 8 Конвенції, приватне життя, сімейне життя, кореспонденція, захист прав людини, обмеження прав, </w:t>
      </w:r>
      <w:r w:rsidR="00220D3E" w:rsidRPr="00511005">
        <w:rPr>
          <w:rFonts w:ascii="Arial" w:eastAsia="Times New Roman" w:hAnsi="Arial" w:cs="Arial"/>
          <w:noProof/>
          <w:szCs w:val="28"/>
          <w:lang w:val="uk-UA" w:eastAsia="ru-RU"/>
        </w:rPr>
        <w:lastRenderedPageBreak/>
        <w:t>демократичне суспільство, пропорційність, правовий захист, національне законодавство, порушення прав, міжнародні стандарти.</w:t>
      </w:r>
    </w:p>
    <w:p w14:paraId="6EA81328" w14:textId="5B4BD54C" w:rsidR="00220D3E" w:rsidRPr="00511005" w:rsidRDefault="007B2628" w:rsidP="003A292D">
      <w:pPr>
        <w:tabs>
          <w:tab w:val="left" w:pos="709"/>
          <w:tab w:val="left" w:pos="993"/>
          <w:tab w:val="left" w:pos="7088"/>
        </w:tabs>
        <w:spacing w:line="264" w:lineRule="auto"/>
        <w:rPr>
          <w:rFonts w:ascii="Arial" w:eastAsia="Times New Roman" w:hAnsi="Arial" w:cs="Arial"/>
          <w:noProof/>
          <w:szCs w:val="28"/>
          <w:lang w:val="uk-UA" w:eastAsia="ru-RU"/>
        </w:rPr>
      </w:pPr>
      <w:r w:rsidRPr="00511005">
        <w:rPr>
          <w:rFonts w:ascii="Arial" w:eastAsia="Times New Roman" w:hAnsi="Arial" w:cs="Arial"/>
          <w:b/>
          <w:i/>
          <w:noProof/>
          <w:szCs w:val="28"/>
          <w:lang w:val="uk-UA" w:eastAsia="ru-RU"/>
        </w:rPr>
        <w:t xml:space="preserve">Key words: </w:t>
      </w:r>
      <w:r w:rsidR="00220D3E" w:rsidRPr="00511005">
        <w:rPr>
          <w:rFonts w:ascii="Arial" w:eastAsia="Times New Roman" w:hAnsi="Arial" w:cs="Arial"/>
          <w:noProof/>
          <w:szCs w:val="28"/>
          <w:lang w:val="uk-UA" w:eastAsia="ru-RU"/>
        </w:rPr>
        <w:t>right to respect for private and family life, European Court of Human Rights, Article 8 of the Convention, private life, family life, correspondence, human rights protection, restrictions on rights, democratic society, proportionality, legal protection, national legislation, rights violations, international standards.</w:t>
      </w:r>
    </w:p>
    <w:p w14:paraId="40F3E6B5" w14:textId="2B082B0E" w:rsidR="00220D3E" w:rsidRPr="00511005" w:rsidRDefault="007B2628" w:rsidP="003A292D">
      <w:pPr>
        <w:tabs>
          <w:tab w:val="left" w:pos="709"/>
          <w:tab w:val="left" w:pos="993"/>
          <w:tab w:val="left" w:pos="7088"/>
        </w:tabs>
        <w:spacing w:line="264" w:lineRule="auto"/>
        <w:rPr>
          <w:rFonts w:ascii="Arial" w:eastAsia="Times New Roman" w:hAnsi="Arial" w:cs="Arial"/>
          <w:i/>
          <w:noProof/>
          <w:szCs w:val="28"/>
          <w:lang w:val="uk-UA" w:eastAsia="ru-RU"/>
        </w:rPr>
      </w:pPr>
      <w:r w:rsidRPr="00511005">
        <w:rPr>
          <w:rFonts w:ascii="Arial" w:eastAsia="Times New Roman" w:hAnsi="Arial" w:cs="Arial"/>
          <w:b/>
          <w:i/>
          <w:noProof/>
          <w:szCs w:val="28"/>
          <w:lang w:val="uk-UA" w:eastAsia="ru-RU"/>
        </w:rPr>
        <w:t xml:space="preserve">Науковий керівник: </w:t>
      </w:r>
      <w:r w:rsidR="00220D3E" w:rsidRPr="00511005">
        <w:rPr>
          <w:rFonts w:ascii="Arial" w:eastAsia="Times New Roman" w:hAnsi="Arial" w:cs="Arial"/>
          <w:i/>
          <w:noProof/>
          <w:szCs w:val="28"/>
          <w:lang w:val="uk-UA" w:eastAsia="ru-RU"/>
        </w:rPr>
        <w:t>к.ю.н., доцент Дронов В.Ю.</w:t>
      </w:r>
    </w:p>
    <w:p w14:paraId="67E68D49" w14:textId="77777777" w:rsidR="00220D3E" w:rsidRPr="00511005" w:rsidRDefault="00220D3E" w:rsidP="003A292D">
      <w:pPr>
        <w:tabs>
          <w:tab w:val="left" w:pos="709"/>
          <w:tab w:val="left" w:pos="993"/>
          <w:tab w:val="left" w:pos="7088"/>
        </w:tabs>
        <w:spacing w:line="264" w:lineRule="auto"/>
        <w:ind w:firstLine="0"/>
        <w:rPr>
          <w:rFonts w:ascii="Arial" w:eastAsia="Times New Roman" w:hAnsi="Arial" w:cs="Arial"/>
          <w:i/>
          <w:noProof/>
          <w:szCs w:val="28"/>
          <w:lang w:val="uk-UA" w:eastAsia="ru-RU" w:bidi="uk-UA"/>
        </w:rPr>
      </w:pPr>
    </w:p>
    <w:p w14:paraId="12C71A11" w14:textId="77777777" w:rsidR="00220D3E" w:rsidRPr="00511005" w:rsidRDefault="00220D3E" w:rsidP="003A292D">
      <w:pPr>
        <w:tabs>
          <w:tab w:val="left" w:pos="709"/>
          <w:tab w:val="left" w:pos="993"/>
          <w:tab w:val="left" w:pos="7088"/>
        </w:tabs>
        <w:spacing w:line="264" w:lineRule="auto"/>
        <w:jc w:val="center"/>
        <w:rPr>
          <w:rFonts w:ascii="Arial" w:eastAsia="Times New Roman" w:hAnsi="Arial" w:cs="Arial"/>
          <w:b/>
          <w:i/>
          <w:noProof/>
          <w:szCs w:val="28"/>
          <w:lang w:val="uk-UA" w:eastAsia="ru-RU" w:bidi="uk-UA"/>
        </w:rPr>
      </w:pPr>
      <w:r w:rsidRPr="00511005">
        <w:rPr>
          <w:rFonts w:ascii="Arial" w:eastAsia="Times New Roman" w:hAnsi="Arial" w:cs="Arial"/>
          <w:b/>
          <w:i/>
          <w:noProof/>
          <w:szCs w:val="28"/>
          <w:lang w:val="uk-UA" w:eastAsia="ru-RU" w:bidi="uk-UA"/>
        </w:rPr>
        <w:t>Сурник Анастасія Олександрівна</w:t>
      </w:r>
    </w:p>
    <w:p w14:paraId="7B3FAAE8" w14:textId="5F2F9910" w:rsidR="00220D3E" w:rsidRPr="00511005" w:rsidRDefault="00536AAB" w:rsidP="003A292D">
      <w:pPr>
        <w:tabs>
          <w:tab w:val="left" w:pos="709"/>
          <w:tab w:val="left" w:pos="993"/>
          <w:tab w:val="left" w:pos="7088"/>
        </w:tabs>
        <w:spacing w:line="264" w:lineRule="auto"/>
        <w:jc w:val="center"/>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студентка 4-го курсу </w:t>
      </w:r>
      <w:r w:rsidR="007B2628" w:rsidRPr="00511005">
        <w:rPr>
          <w:rFonts w:ascii="Arial" w:eastAsia="Times New Roman" w:hAnsi="Arial" w:cs="Arial"/>
          <w:noProof/>
          <w:szCs w:val="28"/>
          <w:lang w:val="uk-UA" w:eastAsia="ru-RU" w:bidi="uk-UA"/>
        </w:rPr>
        <w:t>факультету цивільної та господарської юстиції</w:t>
      </w:r>
    </w:p>
    <w:p w14:paraId="548C70FA" w14:textId="2F1C5658" w:rsidR="00220D3E" w:rsidRPr="00511005" w:rsidRDefault="007B2628" w:rsidP="003A292D">
      <w:pPr>
        <w:tabs>
          <w:tab w:val="left" w:pos="709"/>
          <w:tab w:val="left" w:pos="993"/>
          <w:tab w:val="left" w:pos="7088"/>
        </w:tabs>
        <w:spacing w:line="264" w:lineRule="auto"/>
        <w:jc w:val="center"/>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Національного університету «Одеська юридична академія»</w:t>
      </w:r>
    </w:p>
    <w:p w14:paraId="2AD719D6" w14:textId="77777777" w:rsidR="00220D3E" w:rsidRPr="00511005" w:rsidRDefault="00220D3E" w:rsidP="003A292D">
      <w:pPr>
        <w:tabs>
          <w:tab w:val="left" w:pos="709"/>
          <w:tab w:val="left" w:pos="993"/>
          <w:tab w:val="left" w:pos="7088"/>
        </w:tabs>
        <w:spacing w:line="264" w:lineRule="auto"/>
        <w:rPr>
          <w:rFonts w:ascii="Arial" w:eastAsia="Times New Roman" w:hAnsi="Arial" w:cs="Arial"/>
          <w:i/>
          <w:noProof/>
          <w:szCs w:val="28"/>
          <w:lang w:val="uk-UA" w:eastAsia="ru-RU" w:bidi="uk-UA"/>
        </w:rPr>
      </w:pPr>
    </w:p>
    <w:p w14:paraId="1906F99E" w14:textId="77777777" w:rsidR="00220D3E" w:rsidRPr="00511005" w:rsidRDefault="00220D3E" w:rsidP="003A292D">
      <w:pPr>
        <w:tabs>
          <w:tab w:val="left" w:pos="709"/>
          <w:tab w:val="left" w:pos="993"/>
          <w:tab w:val="left" w:pos="7088"/>
        </w:tabs>
        <w:spacing w:line="264" w:lineRule="auto"/>
        <w:rPr>
          <w:rFonts w:ascii="Arial" w:eastAsia="Times New Roman" w:hAnsi="Arial" w:cs="Arial"/>
          <w:b/>
          <w:noProof/>
          <w:szCs w:val="28"/>
          <w:lang w:val="uk-UA" w:eastAsia="ru-RU" w:bidi="uk-UA"/>
        </w:rPr>
      </w:pPr>
      <w:r w:rsidRPr="00511005">
        <w:rPr>
          <w:rFonts w:ascii="Arial" w:eastAsia="Times New Roman" w:hAnsi="Arial" w:cs="Arial"/>
          <w:b/>
          <w:noProof/>
          <w:szCs w:val="28"/>
          <w:lang w:val="uk-UA" w:eastAsia="ru-RU" w:bidi="uk-UA"/>
        </w:rPr>
        <w:t>МІЖНАРОДНЕ ПРИВАТНЕ ПРАВО У КОНТЕКСТІ ЗАХИСТУ ПРАВ ПЕРЕМІЩЕНИХ ОСІБ ПІД ЧАС ВОЄННОГО СТАНУ В УКРАЇНІ</w:t>
      </w:r>
    </w:p>
    <w:p w14:paraId="3BA2D1D4"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Під час збройного конфлікту в Україні питання захисту прав переміщених осіб стало надзвичайно важливим. Мільйони людей змушені були залишити свої домівки і шукати притулку як на батьківщині, так і за кордоном. У цьому контексті міжнародне приватне право (далі – МПрП) відіграє ключову роль у вирішенні питань юрисдикції, взаємодії правових систем та визнання рішень, що захищають права переміщених осіб. Це галузь права має забезпечити ефективний правовий захист в умовах посиленої міжнародної мобільності через війну. </w:t>
      </w:r>
    </w:p>
    <w:p w14:paraId="70588B07"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Одним із головних завдань МПрП є визначення компетентного суду та відповідного права для правових відносин з міжнародним елементом, які виникають через переміщення людей[1]. Наприклад, у випадках укладання шлюбу або майнових суперечок українцями за кордоном важливо з'ясувати, яке саме право буде застосовано. У воєнні часи ці питання ускладнюються, тому що сторони можуть втратити документи, доступ до реєстрів або можливість бути присутніми на судових засіданнях. </w:t>
      </w:r>
    </w:p>
    <w:p w14:paraId="0FDA83A8"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Особливу увагу слід приділити статусу внутрішньо переміщених осіб (ВПО) та їх правам у міжнародному середовищі. Хоча вони не перетинають державний кордон, у випадках міжнародного регулювання аліментів, спадщини або опіки виникає потреба в застосуванні норм міжнародного приватного права. Важливо враховувати й міжнародні зобов'язання України, такі як Конвенція про захист прав дитини або Гаазькі конвенції щодо міжнародної співпраці у сімейних справах. </w:t>
      </w:r>
    </w:p>
    <w:p w14:paraId="1F303AA8" w14:textId="77777777" w:rsidR="007B2628"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В умовах війни також стає важливим питання визнання та виконання іноземних судових рішень щодо переміщених осіб. Українці, які постраждали від конфлікту, набувають судових рішень в країнах тимчасового перебування стосовно розлучення, опіки чи аліментів. Після повернення в Україну постає питання правового статусу цих рішень. Тут діють принципи </w:t>
      </w:r>
      <w:r w:rsidRPr="00511005">
        <w:rPr>
          <w:rFonts w:ascii="Arial" w:eastAsia="Times New Roman" w:hAnsi="Arial" w:cs="Arial"/>
          <w:noProof/>
          <w:szCs w:val="28"/>
          <w:lang w:val="uk-UA" w:eastAsia="ru-RU" w:bidi="uk-UA"/>
        </w:rPr>
        <w:lastRenderedPageBreak/>
        <w:t>двосторонніх угод про правову допомогу або міжнародні конвенції, які Україна ратифікувала, зокрема Гаазька конвенція 1970 року.</w:t>
      </w:r>
    </w:p>
    <w:p w14:paraId="1A677C85" w14:textId="09C6802F"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У сфері сімейних стосунків війна створила численні труднощі, пов'язані з опікою над дітьми, розірванням шлюбів та визначенням місця проживання дитини. Наприклад, якщо один із батьків із дитиною знаходиться за кордоном, а інший — в Україні, виникають складнощі з визначенням міжнародної юрисдикції. У таких випадках важливими стають норми Гаазької конвенції 1980 року про цивільні аспекти викрадення дітей і Конвенції 1996 року про юрисдикцію та батьківську відповідальність. </w:t>
      </w:r>
    </w:p>
    <w:p w14:paraId="0F20C253"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МПрП регулює і питання укладення та виконання трудових договорів із переміщеними особами під час війни [2]. Багато українців, змушених переїхати за кордон, вступають у трудові стосунки з іноземними роботодавцями. Важливо правильно визначити застосовне право до трудового договору та розуміти соціальні гарантії згідно з законодавством країни перебування. Часто такі спори стосуються не лише зарплати, а й умов звільнення чи дискримінації через національну приналежність.</w:t>
      </w:r>
    </w:p>
    <w:p w14:paraId="76CBB2FB"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Важливе значення має захист майнових прав переміщених осіб. У ситуаціях, коли втрачається доступ до житла, бізнесу чи банківських рахунків, виникає питання про визнання права власності в іноземних юрисдикціях. Іноді такі особи можуть звертатися до судів інших країн з вимогою визнати або захистити їхній майновий статус. У цьому контексті слід брати до уваги колізійні норми, а також міжнародні принципи недискримінації та забезпечення доступу до правосуддя. </w:t>
      </w:r>
    </w:p>
    <w:p w14:paraId="7F9E364C"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Інше важливе питання — це захист персональних даних переміщених осіб через міжнародне приватне право. Перетин кордонів, реєстрація в системах соціального захисту чи отримання статусу біженця передбачають надання особистої інформації, яка має бути захищена згідно з національним та міжнародним законодавством. Наприклад, Регламент ЄС щодо захисту персональних даних (GDPR) охоплює всіх осіб, які перебувають у Євросоюзі, включаючи українських біженців. Це створює складне коло правових відносин, яке потребує комплексного регулювання. </w:t>
      </w:r>
    </w:p>
    <w:p w14:paraId="73961032"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Додатковою складністю є питання спадкування для переміщених осіб. Якщо спадкодавець і спадкоємці проживають у різних країнах, постає необхідність визначити компетентну юрисдикцію та застосовне право. За загальним правилом, спадкування рухомого майна регулюється законодавством останнього місця проживання спадкодавця, а нерухомого — за місцем його розташування. Однак військові події можуть ускладнити процедури отримання свідоцтва про право на спадщину чи визнання його за кордоном. </w:t>
      </w:r>
    </w:p>
    <w:p w14:paraId="5EF8417A"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Документальне забезпечення прав переміщених осіб також викликає чимало труднощів. В умовах війни багато людей втратили документи чи не мають можливості звернутися до українських консульських установ [3]. Це </w:t>
      </w:r>
      <w:r w:rsidRPr="00511005">
        <w:rPr>
          <w:rFonts w:ascii="Arial" w:eastAsia="Times New Roman" w:hAnsi="Arial" w:cs="Arial"/>
          <w:noProof/>
          <w:szCs w:val="28"/>
          <w:lang w:val="uk-UA" w:eastAsia="ru-RU" w:bidi="uk-UA"/>
        </w:rPr>
        <w:lastRenderedPageBreak/>
        <w:t xml:space="preserve">ускладнює підтвердження особи, громадянства та родинних зв'язків, що критично у справах, пов'язаних з дітьми або визнанням опіки. У таких випадках міжнародне приватне право пропонує механізми легалізації чи апостилювання документів, хоча практичне застосування цих механізмів залишається ускладненим. </w:t>
      </w:r>
    </w:p>
    <w:p w14:paraId="74F4D423"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Україна бере участь у багатьох міжнародних угодах, включаючи Гаазькі конвенції, що забезпечує міцну правову основу для захисту прав переміщених осіб. Проте ефективність застосування цих норм залежить від взаємодії національних судів, консульських установ і міжнародних партнерів. Україна адаптує своє законодавство до умов війни, але виклики все ще залишаються. Це стосується особливо забезпечення доступу до правосуддя для вразливих груп населення, таких як діти, літні люди та особи з інвалідністю.</w:t>
      </w:r>
    </w:p>
    <w:p w14:paraId="6F7B355A"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Однією з важливих сфер є розгляд суперечок, пов'язаних із біженцями, які подають заявки на тимчасовий захист або притулок за кордоном. Тут міжнародне приватне право переплітається з аспектами публічного міжнародного права та прав людини. Має критичне значення відповідність національних процедур міжнародним стандартам, знижуючи ризики дискримінації, затягувань чи відмови в правовому захисті. </w:t>
      </w:r>
    </w:p>
    <w:p w14:paraId="64BABA99"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Європейський суд з прав людини відіграє значну роль у формуванні судової практики. Хоча він не є традиційною частиною міжнародного приватного права, його рішення суттєво впливають на те, як національне законодавство тлумачить права переміщених осіб. У справах щодо неналежних умов проживання, затримок у визнанні статусу біженця або обмеження доступу до суду, Суд не раз фіксував порушення, вказані в Європейській конвенції з прав людини. </w:t>
      </w:r>
    </w:p>
    <w:p w14:paraId="6A9577FD"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 xml:space="preserve">Цифровізація процесів у міжнародному приватному праві також є важливою темою. Наприклад, запровадження електронного нотаріату та доступ до реєстрів спадщини, шлюбів, народжень або смертей в інших країнах[4]. Для переміщених осіб ці інструменти можуть стати єдиною можливістю швидко отримати документи чи захистити свої права. Однак це піднімає питання щодо автентичності документів, їхньої юридичної сили та доступу до захищених баз даних. </w:t>
      </w:r>
    </w:p>
    <w:p w14:paraId="03292125"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З огляду на сучасні виклики, міжнародне приватне право в Україні повинно стати більш гнучким і адаптивним. Потрібно продовжувати гармонізацію з законодавством ЄС, активніше брати участь у нових міжнародних конвенціях, а також вдосконалювати механізми правової допомоги й визнання іноземних документів. Зважаючи на масштаби переміщення людей через війну, цей напрям юриспруденції набуває ключового значення для забезпечення правового захисту мільйонів українців.</w:t>
      </w:r>
    </w:p>
    <w:p w14:paraId="5BE9420F"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p>
    <w:p w14:paraId="1E982D71" w14:textId="634123F7" w:rsidR="00220D3E" w:rsidRPr="00511005" w:rsidRDefault="007B2628" w:rsidP="007B2628">
      <w:pPr>
        <w:tabs>
          <w:tab w:val="left" w:pos="709"/>
          <w:tab w:val="left" w:pos="993"/>
          <w:tab w:val="left" w:pos="7088"/>
        </w:tabs>
        <w:spacing w:line="264" w:lineRule="auto"/>
        <w:jc w:val="center"/>
        <w:rPr>
          <w:rFonts w:ascii="Arial" w:eastAsia="Times New Roman" w:hAnsi="Arial" w:cs="Arial"/>
          <w:b/>
          <w:noProof/>
          <w:szCs w:val="28"/>
          <w:lang w:val="uk-UA" w:eastAsia="ru-RU" w:bidi="uk-UA"/>
        </w:rPr>
      </w:pPr>
      <w:r w:rsidRPr="00511005">
        <w:rPr>
          <w:rFonts w:ascii="Arial" w:eastAsia="Times New Roman" w:hAnsi="Arial" w:cs="Arial"/>
          <w:b/>
          <w:noProof/>
          <w:szCs w:val="28"/>
          <w:lang w:val="uk-UA" w:eastAsia="ru-RU" w:bidi="uk-UA"/>
        </w:rPr>
        <w:lastRenderedPageBreak/>
        <w:t>Список використаних джерел</w:t>
      </w:r>
    </w:p>
    <w:p w14:paraId="4F14196C"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1.</w:t>
      </w:r>
      <w:r w:rsidRPr="00511005">
        <w:rPr>
          <w:rFonts w:ascii="Arial" w:eastAsia="Times New Roman" w:hAnsi="Arial" w:cs="Arial"/>
          <w:noProof/>
          <w:szCs w:val="28"/>
          <w:lang w:val="uk-UA" w:eastAsia="ru-RU" w:bidi="uk-UA"/>
        </w:rPr>
        <w:tab/>
        <w:t>Міжнародне приватне право та захист прав людини в умовах військової агресії. Національний юридичний університет імені Ярослава Мудрого. URL: https://nauka.nlu.edu.ua/nauka/download/zbirniki_konf/15.11.2022.pdf.</w:t>
      </w:r>
    </w:p>
    <w:p w14:paraId="5120281D"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2.</w:t>
      </w:r>
      <w:r w:rsidRPr="00511005">
        <w:rPr>
          <w:rFonts w:ascii="Arial" w:eastAsia="Times New Roman" w:hAnsi="Arial" w:cs="Arial"/>
          <w:noProof/>
          <w:szCs w:val="28"/>
          <w:lang w:val="uk-UA" w:eastAsia="ru-RU" w:bidi="uk-UA"/>
        </w:rPr>
        <w:tab/>
        <w:t>Механізм забезпечення прав внутрішньо переміщених осіб: національний та міжнародний аспекти. Ужгородський національний університет. URL: https://dspace.uzhnu.edu.ua/jspui/bitstream/lib/17480/1/Mechanism%20of%20Providing%20Right's%20of%20IDP.pdf.</w:t>
      </w:r>
    </w:p>
    <w:p w14:paraId="59AFBF3E"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3.</w:t>
      </w:r>
      <w:r w:rsidRPr="00511005">
        <w:rPr>
          <w:rFonts w:ascii="Arial" w:eastAsia="Times New Roman" w:hAnsi="Arial" w:cs="Arial"/>
          <w:noProof/>
          <w:szCs w:val="28"/>
          <w:lang w:val="uk-UA" w:eastAsia="ru-RU" w:bidi="uk-UA"/>
        </w:rPr>
        <w:tab/>
        <w:t>Камінська Н., Бойко В. Міжнародно-правові стандарти захисту внутрішньо переміщених осіб: теоретичні й практичні аспекти. Journal «ScienceRise: Juridical Science». URL: https://journals.uran.ua/sr_law/article/download/286478/281307/663375.</w:t>
      </w:r>
    </w:p>
    <w:p w14:paraId="46489E24" w14:textId="77777777" w:rsidR="00220D3E" w:rsidRPr="00511005" w:rsidRDefault="00220D3E"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4.</w:t>
      </w:r>
      <w:r w:rsidRPr="00511005">
        <w:rPr>
          <w:rFonts w:ascii="Arial" w:eastAsia="Times New Roman" w:hAnsi="Arial" w:cs="Arial"/>
          <w:noProof/>
          <w:szCs w:val="28"/>
          <w:lang w:val="uk-UA" w:eastAsia="ru-RU" w:bidi="uk-UA"/>
        </w:rPr>
        <w:tab/>
        <w:t>Судовий захист прав внутрішньо переміщених осіб та осіб, які постраждали від збройної агресії проти України. Верховний Суд. URL: https://supreme.court.gov.ua/userfiles/media/new_folder_for_uploads/supreme/rizne/Judges_IDPs_course_Ukr.pdf.</w:t>
      </w:r>
    </w:p>
    <w:p w14:paraId="6AE7A524" w14:textId="77777777" w:rsidR="00220D3E" w:rsidRPr="00511005" w:rsidRDefault="00220D3E" w:rsidP="003A292D">
      <w:pPr>
        <w:tabs>
          <w:tab w:val="left" w:pos="709"/>
          <w:tab w:val="left" w:pos="993"/>
          <w:tab w:val="center" w:pos="5173"/>
        </w:tabs>
        <w:spacing w:line="264" w:lineRule="auto"/>
        <w:rPr>
          <w:rFonts w:ascii="Arial" w:eastAsia="Times New Roman" w:hAnsi="Arial" w:cs="Arial"/>
          <w:noProof/>
          <w:szCs w:val="28"/>
          <w:lang w:val="uk-UA" w:eastAsia="ru-RU" w:bidi="uk-UA"/>
        </w:rPr>
      </w:pPr>
      <w:r w:rsidRPr="00511005">
        <w:rPr>
          <w:rFonts w:ascii="Arial" w:eastAsia="Times New Roman" w:hAnsi="Arial" w:cs="Arial"/>
          <w:noProof/>
          <w:szCs w:val="28"/>
          <w:lang w:val="uk-UA" w:eastAsia="ru-RU" w:bidi="uk-UA"/>
        </w:rPr>
        <w:tab/>
      </w:r>
    </w:p>
    <w:p w14:paraId="53B73CA7" w14:textId="6C717AC1" w:rsidR="00220D3E" w:rsidRPr="00511005" w:rsidRDefault="007B2628"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b/>
          <w:i/>
          <w:noProof/>
          <w:szCs w:val="28"/>
          <w:lang w:val="uk-UA" w:eastAsia="ru-RU" w:bidi="uk-UA"/>
        </w:rPr>
        <w:t xml:space="preserve">Ключові слова: </w:t>
      </w:r>
      <w:r w:rsidR="00220D3E" w:rsidRPr="00511005">
        <w:rPr>
          <w:rFonts w:ascii="Arial" w:eastAsia="Times New Roman" w:hAnsi="Arial" w:cs="Arial"/>
          <w:noProof/>
          <w:szCs w:val="28"/>
          <w:lang w:val="uk-UA" w:eastAsia="ru-RU" w:bidi="uk-UA"/>
        </w:rPr>
        <w:t>міжнародне приватне право, переміщені особи, воєнний стан, юрисдикція, застосовне право, визнання судових рішень, внутрішньо переміщені особи, біженці, спадкування, сімейні спори, трудові відносини, персональні дані, Гаазькі конвенції, Європейський суд з прав людини, цифровізація правосуддя.</w:t>
      </w:r>
    </w:p>
    <w:p w14:paraId="379EC622" w14:textId="05E66A5E" w:rsidR="00220D3E" w:rsidRPr="00511005" w:rsidRDefault="007B2628" w:rsidP="003A292D">
      <w:pPr>
        <w:tabs>
          <w:tab w:val="left" w:pos="709"/>
          <w:tab w:val="left" w:pos="993"/>
          <w:tab w:val="left" w:pos="7088"/>
        </w:tabs>
        <w:spacing w:line="264" w:lineRule="auto"/>
        <w:rPr>
          <w:rFonts w:ascii="Arial" w:eastAsia="Times New Roman" w:hAnsi="Arial" w:cs="Arial"/>
          <w:noProof/>
          <w:szCs w:val="28"/>
          <w:lang w:val="uk-UA" w:eastAsia="ru-RU" w:bidi="uk-UA"/>
        </w:rPr>
      </w:pPr>
      <w:r w:rsidRPr="00511005">
        <w:rPr>
          <w:rFonts w:ascii="Arial" w:eastAsia="Times New Roman" w:hAnsi="Arial" w:cs="Arial"/>
          <w:b/>
          <w:i/>
          <w:noProof/>
          <w:szCs w:val="28"/>
          <w:lang w:val="uk-UA" w:eastAsia="ru-RU" w:bidi="uk-UA"/>
        </w:rPr>
        <w:t xml:space="preserve">Key words: </w:t>
      </w:r>
      <w:r w:rsidR="00220D3E" w:rsidRPr="00511005">
        <w:rPr>
          <w:rFonts w:ascii="Arial" w:eastAsia="Times New Roman" w:hAnsi="Arial" w:cs="Arial"/>
          <w:noProof/>
          <w:szCs w:val="28"/>
          <w:lang w:val="uk-UA" w:eastAsia="ru-RU" w:bidi="uk-UA"/>
        </w:rPr>
        <w:t>private international law, displaced persons, martial law, jurisdiction, applicable law, recognition of judgments, internally displaced persons, refugees, inheritance, family disputes, labor relations, personal data, Hague Conventions, European Court of Human Rights, digitalization of justice.</w:t>
      </w:r>
    </w:p>
    <w:p w14:paraId="6123DCAB" w14:textId="0A1E0C07" w:rsidR="00220D3E" w:rsidRPr="00511005" w:rsidRDefault="007B2628" w:rsidP="003A292D">
      <w:pPr>
        <w:tabs>
          <w:tab w:val="left" w:pos="709"/>
          <w:tab w:val="left" w:pos="993"/>
          <w:tab w:val="left" w:pos="7088"/>
        </w:tabs>
        <w:spacing w:line="264" w:lineRule="auto"/>
        <w:rPr>
          <w:rFonts w:ascii="Arial" w:eastAsia="Times New Roman" w:hAnsi="Arial" w:cs="Arial"/>
          <w:i/>
          <w:noProof/>
          <w:szCs w:val="28"/>
          <w:lang w:val="uk-UA" w:eastAsia="ru-RU" w:bidi="uk-UA"/>
        </w:rPr>
      </w:pPr>
      <w:r w:rsidRPr="00511005">
        <w:rPr>
          <w:rFonts w:ascii="Arial" w:eastAsia="Times New Roman" w:hAnsi="Arial" w:cs="Arial"/>
          <w:b/>
          <w:i/>
          <w:noProof/>
          <w:szCs w:val="28"/>
          <w:lang w:val="uk-UA" w:eastAsia="ru-RU" w:bidi="uk-UA"/>
        </w:rPr>
        <w:t xml:space="preserve">Науковий керівник: </w:t>
      </w:r>
      <w:r w:rsidR="00220D3E" w:rsidRPr="00511005">
        <w:rPr>
          <w:rFonts w:ascii="Arial" w:eastAsia="Times New Roman" w:hAnsi="Arial" w:cs="Arial"/>
          <w:i/>
          <w:noProof/>
          <w:szCs w:val="28"/>
          <w:lang w:val="uk-UA" w:eastAsia="ru-RU" w:bidi="uk-UA"/>
        </w:rPr>
        <w:t>асистент кафедри Бугаєць А.С.</w:t>
      </w:r>
    </w:p>
    <w:p w14:paraId="37D56F8D" w14:textId="77777777" w:rsidR="00220D3E" w:rsidRPr="00511005" w:rsidRDefault="00220D3E" w:rsidP="003A292D">
      <w:pPr>
        <w:tabs>
          <w:tab w:val="left" w:pos="709"/>
          <w:tab w:val="left" w:pos="993"/>
          <w:tab w:val="left" w:pos="7088"/>
        </w:tabs>
        <w:spacing w:line="264" w:lineRule="auto"/>
        <w:rPr>
          <w:rFonts w:ascii="Arial" w:eastAsia="Times New Roman" w:hAnsi="Arial" w:cs="Arial"/>
          <w:i/>
          <w:noProof/>
          <w:szCs w:val="28"/>
          <w:lang w:val="uk-UA" w:eastAsia="ru-RU" w:bidi="uk-UA"/>
        </w:rPr>
      </w:pPr>
    </w:p>
    <w:p w14:paraId="12254F7D" w14:textId="77777777" w:rsidR="00220D3E" w:rsidRPr="00511005" w:rsidRDefault="00220D3E" w:rsidP="003A292D">
      <w:pPr>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Сідельникова Єлизавета Русланівна</w:t>
      </w:r>
    </w:p>
    <w:p w14:paraId="3C672B07" w14:textId="17A51713"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4-го курсу </w:t>
      </w:r>
      <w:r w:rsidR="001B7B25" w:rsidRPr="00511005">
        <w:rPr>
          <w:rFonts w:ascii="Arial" w:eastAsia="Times New Roman" w:hAnsi="Arial" w:cs="Arial"/>
          <w:szCs w:val="28"/>
          <w:lang w:val="uk-UA" w:eastAsia="ru-RU"/>
        </w:rPr>
        <w:t>факультету судового та міжнародного права</w:t>
      </w:r>
    </w:p>
    <w:p w14:paraId="5CEA835C" w14:textId="6336278F"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2BBE35C4"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3B2175C6"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МІЖНАРОДНО-ПРАВОВЕ РЕГУЛЮВАННЯ ЗАХИСТУ ВНУТРІШНЬО ПЕРЕМІЩЕНИХ ОСІБ</w:t>
      </w:r>
    </w:p>
    <w:p w14:paraId="0DAFF10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Поняття «внутрішньо переміщені особи» (далі - ВПО) набуло широкого вжитку лише в кінці ХХ століття, коли міжнародна спільнота почала приділяти увагу цій категорії населення. До того часу міжнародне право зосереджувалось переважно на захисті біженців, які перетинали державні кордони, що знайшло відображення в Конвенції 1951 року про статус біженців. Однак ці інструменти не охоплювали людей, які змушені були </w:t>
      </w:r>
      <w:r w:rsidRPr="00511005">
        <w:rPr>
          <w:rFonts w:ascii="Arial" w:eastAsia="Times New Roman" w:hAnsi="Arial" w:cs="Arial"/>
          <w:szCs w:val="28"/>
          <w:lang w:val="uk-UA" w:eastAsia="ru-RU"/>
        </w:rPr>
        <w:lastRenderedPageBreak/>
        <w:t xml:space="preserve">залишити свої домівки, залишаючись у межах власної країни. Вирішення їхніх проблем залишалося виключною компетенцією національних урядів через принцип державного суверенітету. Відмінною рисою ВПО є те, що вони, як громадяни своєї держави, мають право на захист відповідно до її законодавства, а також основоположних міжнародних актів, таких як Загальна декларація прав людини та міжнародні пакти про права людини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1, с. 259</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31BEEAB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Дивлячись на данні Моніторингового центру внутрішнього переміщення, можна побачити, що у 2015 році кількість ВПО у світі досягла 40,8 млн осіб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Ця цифра вдвічі перевищувала кількість класичних біженців. За інформацією Агентства ООН у справах біженців у 2016 році загальна кількість біженців, шукачів притулку та ВПО перевищила 65,6 млн осіб [3].</w:t>
      </w:r>
    </w:p>
    <w:p w14:paraId="04405A4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Внаслідок повномасштабного вторгнення Росії станом на березень 2023 року в Україні офіційно зареєстровано понад 5 млн ВПО, а з урахуванням незареєстрованих – до 7 млн. Для порівняння: у 2016 році їх було 1,8 млн, а в 2018-му – 1,5 млн. Після 24 лютого 2022 року додалося масове зовнішнє переміщення – лише в ЄС 5 млн українців отримали спецстатус за рік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4</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w:t>
      </w:r>
    </w:p>
    <w:p w14:paraId="33D36AA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Перші спроби правового визначення статусу біженця сягають періоду діяльності Ліги Націй. Для ранньої системи захисту були характерні поодинокі, одноразові заходи допомоги та обмежений захист осіб, що залишають державу свого громадянства. У 1946 році Генеральна Асамблея ООН заснувала Міжнародну організацію у справах біженців, яка отримала мандат на реєстрацію біженців, надання захисту, організацію переселення та забезпечення репатріації. Ця подія стала важливим кроком у розвитку міжнародної системи захисту прав вимушених мігрантів</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5, с. 740</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50AF1F8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bookmarkStart w:id="60" w:name="_Hlk196334280"/>
      <w:r w:rsidRPr="00511005">
        <w:rPr>
          <w:rFonts w:ascii="Arial" w:eastAsia="Times New Roman" w:hAnsi="Arial" w:cs="Arial"/>
          <w:szCs w:val="28"/>
          <w:lang w:val="uk-UA" w:eastAsia="ru-RU"/>
        </w:rPr>
        <w:t xml:space="preserve">Міжнародні стандарти </w:t>
      </w:r>
      <w:bookmarkEnd w:id="60"/>
      <w:r w:rsidRPr="00511005">
        <w:rPr>
          <w:rFonts w:ascii="Arial" w:eastAsia="Times New Roman" w:hAnsi="Arial" w:cs="Arial"/>
          <w:szCs w:val="28"/>
          <w:lang w:val="uk-UA" w:eastAsia="ru-RU"/>
        </w:rPr>
        <w:t>щодо захисту ВПО почали активно формуватись пізніше, ніж інститути захисту біженців. Це було зумовлено загостренням збройних конфліктів, масовими порушеннями прав людини та гуманітарними кризами.</w:t>
      </w:r>
    </w:p>
    <w:p w14:paraId="69591A8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Попри спільне джерело — вимушену міграцію — статус біженців і ВПО має різну природу. За класифікацією швейцарського юриста Р. Перрушу, існує три основні групи мігрантів: біженці, які залишають свою країну; ВПО, що переміщуються всередині держави; та економічні мігранти, які змінюють місце проживання з економічних причин.</w:t>
      </w:r>
    </w:p>
    <w:p w14:paraId="1A5B14B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 Котляр виокремлює дві категорії осіб, які потребують міжнародного захисту: біженці de jure — особи, визнані згідно з Конвенцією 1951 року, Протоколом 1967 року та іншими міжнародними актами; і особи de facto під міжнародним захистом — ВПО, апатриди, шукачі притулку, палестинські біженці та жертви конфліктів, які не мають формального статусу біженця, але захищені міжнародними інституціями. Їхній правовий статус </w:t>
      </w:r>
      <w:r w:rsidRPr="00511005">
        <w:rPr>
          <w:rFonts w:ascii="Arial" w:eastAsia="Times New Roman" w:hAnsi="Arial" w:cs="Arial"/>
          <w:szCs w:val="28"/>
          <w:lang w:val="uk-UA" w:eastAsia="ru-RU"/>
        </w:rPr>
        <w:lastRenderedPageBreak/>
        <w:t>здебільшого регулюється рекомендаційними актами ООН, УВКБ ООН, UNRWA, а також нормами регіональних організацій та міжнародного права з прав людини. Основна різниця — у механізмах захисту: біженці підпадають під спеціальний правовий режим, ВПО — під захист своєї держави [6, с. 348].</w:t>
      </w:r>
    </w:p>
    <w:p w14:paraId="3335A2D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Система міжнародних стандартів для ВПО включає універсальні міжнародні договори, регіональні правові акти та спеціалізовані угоди. Ця система створює комплексний механізм захисту їхніх прав.</w:t>
      </w:r>
    </w:p>
    <w:p w14:paraId="2BB5ECF3" w14:textId="039D01BB"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Основні універсальні документи, що встановлюють загальні принципи захисту: Загальна декларація прав людини (1948),</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Міжнародний пакт про громадянські та політичні права (1966), Міжнародний пакт про економічні, соціальні та культурні права (1966), Конвенція про статус біженців (1951) та Протокол до неї (1967), Женевські конвенції (1949) та Додаткові протоколи (1977). Ці міжнародні акти, хоч і не створені спеціально для ВПО, формують правову основу для захисту їхніх прав і свобод, заповнюючи відсутність спеціалізованої конвенції щодо цієї категорії осіб.</w:t>
      </w:r>
    </w:p>
    <w:p w14:paraId="7D4FF8F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 числа спеціалізованих міжнародно-правових документів, що стосуються забезпечення прав ВПО, належать Керівні принципи з питань внутрішнього переміщення, схвалені ООН у 1998 році. Хоча цей документ не є обов’язковим з юридичної точки зору, він базується на положеннях універсальних міжнародних угод і конкретизує їх у контексті потреб ВПО. Керівні принципи містять рекомендації щодо порядку реалізації прав і гарантій ВПО та адаптовані до умов, пов’язаних із внутрішнім переміщенням населення [7, с. 404].</w:t>
      </w:r>
    </w:p>
    <w:p w14:paraId="00103CD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Цей документ вважається одним із найбільш авторитетних міжнародних джерел, що визначають стандарти, яких повинні дотримуватись держави та інші суб’єкти, включаючи Управління Верховного комісара ООН у справах біженців, при реагуванні на ситуації, пов’язані з внутрішнім переміщенням. Важливість Керівних принципів була офіційно визнана Радою ООН з прав людини та Генеральною Асамблеєю ООН, які розглядають їх як вагому основу міжнародного правового захисту ВПО.</w:t>
      </w:r>
    </w:p>
    <w:p w14:paraId="09FB7EE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Згідно з положеннями Керівних принципів, усі ВПО мають право на захист і підтримку з боку держави незалежно від причин їхнього переміщення. Це охоплює обов’язок держави запобігати примусовому переміщенню, забезпечувати допомогу під час самого процесу переміщення, а також гарантувати безпечне повернення, можливість переселення та підтримку на всіх етапах.</w:t>
      </w:r>
    </w:p>
    <w:p w14:paraId="103FC8C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Основна відповідальність за надання допомоги та захисту покладається на національні органи влади, які мають сприяти збереженню сімейної єдності, допомагати у пошуках зниклих родичів, а також забезпечувати оформлення усіх необхідних документів, включно з полегшеним механізмом відновлення втрачених. При цьому забороняється </w:t>
      </w:r>
      <w:r w:rsidRPr="00511005">
        <w:rPr>
          <w:rFonts w:ascii="Arial" w:eastAsia="Times New Roman" w:hAnsi="Arial" w:cs="Arial"/>
          <w:szCs w:val="28"/>
          <w:lang w:val="uk-UA" w:eastAsia="ru-RU"/>
        </w:rPr>
        <w:lastRenderedPageBreak/>
        <w:t>вимагати від ВПО повернення до попереднього місця проживання лише заради отримання документів.</w:t>
      </w:r>
    </w:p>
    <w:p w14:paraId="7A0704A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ВПО гарантується свобода пересування, включаючи право обирати безпечне місце для проживання в межах країни, а також право на виїзд за кордон і пошук притулку. Органи державної влади зобов’язані сприяти поверненню ВПО їхнього майна або надавати справедливу компенсацію у разі неможливості його повернення. Вони також відповідають за створення таких умов, які б дозволили особам безпечно повернутися до своїх осель або обрати інше місце проживання в межах країни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8, с. 8-26</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p>
    <w:p w14:paraId="7A4B754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Серед спеціалізованих універсальних документів, що стосуються захисту прав ВПО, варто згадати Принципи ООН щодо реституції житла та майна біженців і ВПО, затверджені в резолюції 2005/21 (відомі як Принципи Пін’єйру) [9]. </w:t>
      </w:r>
    </w:p>
    <w:p w14:paraId="3BDFD693"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Для України також мають суттєве значення регіональні стандарти правового захисту ВПО. Крім того, Європейська конвенція з прав людини 1950 року та Європейський суд з прав людини можуть розглядатися як ефективні інструменти правового захисту ВПО на загальних засадах — у випадках, коли держава порушує права, гарантовані Конвенцією та її протоколами.</w:t>
      </w:r>
    </w:p>
    <w:p w14:paraId="1537A9E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міжнародні стандарти захисту ВПО формують багаторівневу систему, яка забезпечує їх права та статус. Ця система базується на універсальних, регіональних і спеціалізованих міжнародних актах, впроваджених відповідними суб’єктами на різних рівнях. Стандарти розрізняються за обсягом дії — можуть бути обов’язковими або рекомендаційними, постійними чи тимчасовими. Незважаючи на подібність статусів ВПО, біженців і осіб із тимчасовим захистом, між ними існують ключові відмінності: біженці мають спеціальний режим за Конвенцією 1951 року, тоді як ВПО перебувають під захистом власної держави.</w:t>
      </w:r>
    </w:p>
    <w:p w14:paraId="137D0CD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3F621707" w14:textId="4641722B"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 xml:space="preserve">Список </w:t>
      </w:r>
      <w:r w:rsidR="00875A11">
        <w:rPr>
          <w:rFonts w:ascii="Arial" w:eastAsia="Times New Roman" w:hAnsi="Arial" w:cs="Arial"/>
          <w:b/>
          <w:szCs w:val="28"/>
          <w:lang w:val="uk-UA" w:eastAsia="ru-RU"/>
        </w:rPr>
        <w:t>використаних джерел</w:t>
      </w:r>
    </w:p>
    <w:p w14:paraId="311A449B" w14:textId="77777777" w:rsidR="00220D3E" w:rsidRPr="00511005" w:rsidRDefault="00220D3E" w:rsidP="003F6A5D">
      <w:pPr>
        <w:numPr>
          <w:ilvl w:val="0"/>
          <w:numId w:val="153"/>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rPr>
        <w:t>Козинець І. Г., Шестак Л. В. Міжнародні стандарти захисту та допомоги внутрішньо переміщеним особам.</w:t>
      </w:r>
      <w:r w:rsidRPr="00511005">
        <w:rPr>
          <w:rFonts w:ascii="Arial" w:eastAsia="Times New Roman" w:hAnsi="Arial" w:cs="Arial"/>
          <w:szCs w:val="28"/>
          <w:lang w:val="uk-UA"/>
        </w:rPr>
        <w:t xml:space="preserve"> </w:t>
      </w:r>
      <w:r w:rsidRPr="00511005">
        <w:rPr>
          <w:rFonts w:ascii="Arial" w:eastAsia="Times New Roman" w:hAnsi="Arial" w:cs="Arial"/>
          <w:i/>
          <w:iCs/>
          <w:szCs w:val="28"/>
          <w:lang w:val="uk-UA"/>
        </w:rPr>
        <w:t>Молодий вчений.</w:t>
      </w:r>
      <w:r w:rsidRPr="00511005">
        <w:rPr>
          <w:rFonts w:ascii="Arial" w:eastAsia="Times New Roman" w:hAnsi="Arial" w:cs="Arial"/>
          <w:szCs w:val="28"/>
          <w:lang w:val="en-US"/>
        </w:rPr>
        <w:t xml:space="preserve"> № 12 (15). 2014. С. 258–262.</w:t>
      </w:r>
      <w:r w:rsidRPr="00511005">
        <w:rPr>
          <w:rFonts w:ascii="Arial" w:eastAsia="Times New Roman" w:hAnsi="Arial" w:cs="Arial"/>
          <w:szCs w:val="28"/>
          <w:lang w:val="uk-UA"/>
        </w:rPr>
        <w:t xml:space="preserve"> </w:t>
      </w:r>
      <w:r w:rsidRPr="00511005">
        <w:rPr>
          <w:rFonts w:ascii="Arial" w:eastAsia="Times New Roman" w:hAnsi="Arial" w:cs="Arial"/>
          <w:szCs w:val="28"/>
          <w:lang w:val="en-US"/>
        </w:rPr>
        <w:t>URL</w:t>
      </w:r>
      <w:r w:rsidRPr="00511005">
        <w:rPr>
          <w:rFonts w:ascii="Arial" w:eastAsia="Times New Roman" w:hAnsi="Arial" w:cs="Arial"/>
          <w:szCs w:val="28"/>
          <w:lang w:val="uk-UA"/>
        </w:rPr>
        <w:t>:</w:t>
      </w:r>
      <w:r w:rsidRPr="00511005">
        <w:rPr>
          <w:rFonts w:ascii="Arial" w:eastAsia="Times New Roman" w:hAnsi="Arial" w:cs="Arial"/>
          <w:szCs w:val="28"/>
          <w:lang w:val="en-US"/>
        </w:rPr>
        <w:t xml:space="preserve"> </w:t>
      </w:r>
      <w:hyperlink r:id="rId669" w:history="1">
        <w:r w:rsidRPr="00511005">
          <w:rPr>
            <w:rFonts w:ascii="Arial" w:eastAsia="Times New Roman" w:hAnsi="Arial" w:cs="Arial"/>
            <w:szCs w:val="28"/>
            <w:lang w:val="uk-UA"/>
          </w:rPr>
          <w:t>file:///D:/Users/VivoBook/Downloads/molv_2014_12(1)__61.pdf</w:t>
        </w:r>
      </w:hyperlink>
    </w:p>
    <w:p w14:paraId="57C6B8B6" w14:textId="03498CDB" w:rsidR="00220D3E" w:rsidRPr="00511005" w:rsidRDefault="00220D3E" w:rsidP="003F6A5D">
      <w:pPr>
        <w:numPr>
          <w:ilvl w:val="0"/>
          <w:numId w:val="153"/>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Індекс інтеграції внутрішньо переміщених осіб. </w:t>
      </w:r>
      <w:r w:rsidRPr="00511005">
        <w:rPr>
          <w:rFonts w:ascii="Arial" w:eastAsia="Times New Roman" w:hAnsi="Arial" w:cs="Arial"/>
          <w:szCs w:val="28"/>
          <w:lang w:val="en-US"/>
        </w:rPr>
        <w:t>Cedos</w:t>
      </w:r>
      <w:r w:rsidRPr="00511005">
        <w:rPr>
          <w:rFonts w:ascii="Arial" w:eastAsia="Times New Roman" w:hAnsi="Arial" w:cs="Arial"/>
          <w:szCs w:val="28"/>
        </w:rPr>
        <w:t xml:space="preserve">. </w:t>
      </w:r>
      <w:r w:rsidRPr="00511005">
        <w:rPr>
          <w:rFonts w:ascii="Arial" w:eastAsia="Times New Roman" w:hAnsi="Arial" w:cs="Arial"/>
          <w:szCs w:val="28"/>
          <w:lang w:val="en-US"/>
        </w:rPr>
        <w:t>URL</w:t>
      </w:r>
      <w:r w:rsidRPr="00511005">
        <w:rPr>
          <w:rFonts w:ascii="Arial" w:eastAsia="Times New Roman" w:hAnsi="Arial" w:cs="Arial"/>
          <w:szCs w:val="28"/>
        </w:rPr>
        <w:t xml:space="preserve">: </w:t>
      </w:r>
      <w:hyperlink r:id="rId670"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cedos</w:t>
        </w:r>
        <w:r w:rsidRPr="00511005">
          <w:rPr>
            <w:rFonts w:ascii="Arial" w:eastAsia="Times New Roman" w:hAnsi="Arial" w:cs="Arial"/>
            <w:szCs w:val="28"/>
          </w:rPr>
          <w:t>.</w:t>
        </w:r>
        <w:r w:rsidRPr="00511005">
          <w:rPr>
            <w:rFonts w:ascii="Arial" w:eastAsia="Times New Roman" w:hAnsi="Arial" w:cs="Arial"/>
            <w:szCs w:val="28"/>
            <w:lang w:val="en-US"/>
          </w:rPr>
          <w:t>org</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researches</w:t>
        </w:r>
        <w:r w:rsidRPr="00511005">
          <w:rPr>
            <w:rFonts w:ascii="Arial" w:eastAsia="Times New Roman" w:hAnsi="Arial" w:cs="Arial"/>
            <w:szCs w:val="28"/>
          </w:rPr>
          <w:t>/</w:t>
        </w:r>
        <w:r w:rsidRPr="00511005">
          <w:rPr>
            <w:rFonts w:ascii="Arial" w:eastAsia="Times New Roman" w:hAnsi="Arial" w:cs="Arial"/>
            <w:szCs w:val="28"/>
            <w:lang w:val="en-US"/>
          </w:rPr>
          <w:t>vpo</w:t>
        </w:r>
        <w:r w:rsidRPr="00511005">
          <w:rPr>
            <w:rFonts w:ascii="Arial" w:eastAsia="Times New Roman" w:hAnsi="Arial" w:cs="Arial"/>
            <w:szCs w:val="28"/>
          </w:rPr>
          <w:t>-</w:t>
        </w:r>
        <w:r w:rsidRPr="00511005">
          <w:rPr>
            <w:rFonts w:ascii="Arial" w:eastAsia="Times New Roman" w:hAnsi="Arial" w:cs="Arial"/>
            <w:szCs w:val="28"/>
            <w:lang w:val="en-US"/>
          </w:rPr>
          <w:t>integration</w:t>
        </w:r>
        <w:r w:rsidRPr="00511005">
          <w:rPr>
            <w:rFonts w:ascii="Arial" w:eastAsia="Times New Roman" w:hAnsi="Arial" w:cs="Arial"/>
            <w:szCs w:val="28"/>
          </w:rPr>
          <w:t>-</w:t>
        </w:r>
        <w:r w:rsidRPr="00511005">
          <w:rPr>
            <w:rFonts w:ascii="Arial" w:eastAsia="Times New Roman" w:hAnsi="Arial" w:cs="Arial"/>
            <w:szCs w:val="28"/>
            <w:lang w:val="en-US"/>
          </w:rPr>
          <w:t>index</w:t>
        </w:r>
        <w:r w:rsidRPr="00511005">
          <w:rPr>
            <w:rFonts w:ascii="Arial" w:eastAsia="Times New Roman" w:hAnsi="Arial" w:cs="Arial"/>
            <w:szCs w:val="28"/>
          </w:rPr>
          <w:t>/</w:t>
        </w:r>
      </w:hyperlink>
      <w:r w:rsidR="007B2628" w:rsidRPr="00511005">
        <w:rPr>
          <w:rFonts w:ascii="Arial" w:eastAsia="Times New Roman" w:hAnsi="Arial" w:cs="Arial"/>
          <w:szCs w:val="28"/>
        </w:rPr>
        <w:t xml:space="preserve"> </w:t>
      </w:r>
      <w:r w:rsidRPr="00511005">
        <w:rPr>
          <w:rFonts w:ascii="Arial" w:eastAsia="Times New Roman" w:hAnsi="Arial" w:cs="Arial"/>
          <w:szCs w:val="28"/>
        </w:rPr>
        <w:t>(</w:t>
      </w:r>
      <w:bookmarkStart w:id="61" w:name="_Hlk196837407"/>
      <w:r w:rsidRPr="00511005">
        <w:rPr>
          <w:rFonts w:ascii="Arial" w:eastAsia="Times New Roman" w:hAnsi="Arial" w:cs="Arial"/>
          <w:szCs w:val="28"/>
        </w:rPr>
        <w:t xml:space="preserve">дата звернення: </w:t>
      </w:r>
      <w:bookmarkEnd w:id="61"/>
      <w:r w:rsidRPr="00511005">
        <w:rPr>
          <w:rFonts w:ascii="Arial" w:eastAsia="Times New Roman" w:hAnsi="Arial" w:cs="Arial"/>
          <w:szCs w:val="28"/>
        </w:rPr>
        <w:t>29.04.2025)</w:t>
      </w:r>
    </w:p>
    <w:p w14:paraId="7DA9061D" w14:textId="10903209" w:rsidR="00220D3E" w:rsidRPr="00511005" w:rsidRDefault="00220D3E" w:rsidP="003F6A5D">
      <w:pPr>
        <w:numPr>
          <w:ilvl w:val="0"/>
          <w:numId w:val="153"/>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Situation Ukraine Refugee Situation. Operational Data Portal. URL: </w:t>
      </w:r>
      <w:hyperlink r:id="rId671" w:history="1">
        <w:r w:rsidRPr="00511005">
          <w:rPr>
            <w:rFonts w:ascii="Arial" w:eastAsia="Times New Roman" w:hAnsi="Arial" w:cs="Arial"/>
            <w:szCs w:val="28"/>
            <w:lang w:val="uk-UA"/>
          </w:rPr>
          <w:t>https://data.unhcr.org/en/situations/ukraine</w:t>
        </w:r>
      </w:hyperlink>
      <w:r w:rsidRPr="00511005">
        <w:rPr>
          <w:rFonts w:ascii="Arial" w:eastAsia="Times New Roman" w:hAnsi="Arial" w:cs="Arial"/>
          <w:szCs w:val="28"/>
          <w:lang w:val="uk-UA"/>
        </w:rPr>
        <w:t xml:space="preserve"> (дата звернення:</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29.04.2025) </w:t>
      </w:r>
    </w:p>
    <w:p w14:paraId="585C8B3B" w14:textId="48FC3142" w:rsidR="00220D3E" w:rsidRPr="00511005" w:rsidRDefault="00220D3E" w:rsidP="003F6A5D">
      <w:pPr>
        <w:numPr>
          <w:ilvl w:val="0"/>
          <w:numId w:val="153"/>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В Україні 7 мільйонів незареєстрованих переселенців – Верещук. Суспільне Новини. 2018. URL: </w:t>
      </w:r>
      <w:hyperlink r:id="rId672" w:history="1">
        <w:r w:rsidRPr="00511005">
          <w:rPr>
            <w:rFonts w:ascii="Arial" w:eastAsia="Times New Roman" w:hAnsi="Arial" w:cs="Arial"/>
            <w:szCs w:val="28"/>
            <w:lang w:val="uk-UA"/>
          </w:rPr>
          <w:t>https://suspilne.media/412176-v-</w:t>
        </w:r>
        <w:r w:rsidRPr="00511005">
          <w:rPr>
            <w:rFonts w:ascii="Arial" w:eastAsia="Times New Roman" w:hAnsi="Arial" w:cs="Arial"/>
            <w:szCs w:val="28"/>
            <w:lang w:val="uk-UA"/>
          </w:rPr>
          <w:lastRenderedPageBreak/>
          <w:t>ukraini-7-miljoniv-nezareestrovanih-pereselenciv-veresuk/</w:t>
        </w:r>
      </w:hyperlink>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(дата звернення: 29.04.2025) </w:t>
      </w:r>
    </w:p>
    <w:p w14:paraId="71564AA5" w14:textId="5E9B31E2" w:rsidR="00220D3E" w:rsidRPr="00511005" w:rsidRDefault="00220D3E" w:rsidP="003F6A5D">
      <w:pPr>
        <w:numPr>
          <w:ilvl w:val="0"/>
          <w:numId w:val="153"/>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Павленко М. І. Міжнародна організація у справах біженців. Енциклопедія історії України: у 10 т.</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Редколегія: В. А. Смолій (голова) та ін. Інститут історії України НАН України. 2009. С. 706-784 с.</w:t>
      </w:r>
    </w:p>
    <w:p w14:paraId="167A9195" w14:textId="595B3762" w:rsidR="00220D3E" w:rsidRPr="00511005" w:rsidRDefault="00220D3E" w:rsidP="003F6A5D">
      <w:pPr>
        <w:numPr>
          <w:ilvl w:val="0"/>
          <w:numId w:val="153"/>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С. Б. Булеца, О.І. Котляр, Я.В. Лазур. Механізм забезпечення прав внутрішньо переміщених осіб: національний та міжнародний аспекти</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за заг. ред.: д-ра юрид. наук, проф. О.Я. Рогача; д-ра юрид. наук, проф. М.В. Савчина; к.ю.н., доц. М.В. Менджул. Ужгород. 2017.</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С. 348 </w:t>
      </w:r>
    </w:p>
    <w:p w14:paraId="772FBB7F" w14:textId="04EC99D9" w:rsidR="00220D3E" w:rsidRPr="00511005" w:rsidRDefault="00220D3E" w:rsidP="003F6A5D">
      <w:pPr>
        <w:numPr>
          <w:ilvl w:val="0"/>
          <w:numId w:val="153"/>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Бакумов О. С., Варунц Л. Д., Войціховський А. В., Гудзь Т. І.</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Права людини у міжнародному праві. Харків : ООО «Планета- Принт». 2021. С. 404</w:t>
      </w:r>
      <w:r w:rsidR="007B2628" w:rsidRPr="00511005">
        <w:rPr>
          <w:rFonts w:ascii="Arial" w:eastAsia="Times New Roman" w:hAnsi="Arial" w:cs="Arial"/>
          <w:szCs w:val="28"/>
          <w:lang w:val="uk-UA"/>
        </w:rPr>
        <w:t xml:space="preserve"> </w:t>
      </w:r>
    </w:p>
    <w:p w14:paraId="7D38E414" w14:textId="634CD8D5" w:rsidR="00220D3E" w:rsidRPr="00511005" w:rsidRDefault="00220D3E" w:rsidP="003F6A5D">
      <w:pPr>
        <w:numPr>
          <w:ilvl w:val="0"/>
          <w:numId w:val="153"/>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Френсіс М. Денга. Керівні принципи з питань внутрішнього переміщення. Т.1. №23. С. 26. URL: </w:t>
      </w:r>
      <w:hyperlink r:id="rId673" w:history="1">
        <w:r w:rsidRPr="00511005">
          <w:rPr>
            <w:rFonts w:ascii="Arial" w:eastAsia="Times New Roman" w:hAnsi="Arial" w:cs="Arial"/>
            <w:szCs w:val="28"/>
            <w:lang w:val="uk-UA"/>
          </w:rPr>
          <w:t>https://www.ohchr.org/sites/default/files/Documents/Issues/IDPersons/GPUkrainian.pdf</w:t>
        </w:r>
      </w:hyperlink>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(дата звернення: 29.04.2025).</w:t>
      </w:r>
    </w:p>
    <w:p w14:paraId="0A92D7AB" w14:textId="77777777" w:rsidR="00220D3E" w:rsidRPr="00511005" w:rsidRDefault="00220D3E" w:rsidP="003F6A5D">
      <w:pPr>
        <w:numPr>
          <w:ilvl w:val="0"/>
          <w:numId w:val="153"/>
        </w:numPr>
        <w:tabs>
          <w:tab w:val="left" w:pos="709"/>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rPr>
        <w:t>Підкомісія ООН з питань заохочення та захисту прав людини</w:t>
      </w:r>
      <w:r w:rsidRPr="00511005">
        <w:rPr>
          <w:rFonts w:ascii="Arial" w:eastAsia="Times New Roman" w:hAnsi="Arial" w:cs="Arial"/>
          <w:szCs w:val="28"/>
          <w:lang w:val="uk-UA"/>
        </w:rPr>
        <w:t>.</w:t>
      </w:r>
      <w:r w:rsidRPr="00511005">
        <w:rPr>
          <w:rFonts w:ascii="Arial" w:eastAsia="Times New Roman" w:hAnsi="Arial" w:cs="Arial"/>
          <w:szCs w:val="28"/>
        </w:rPr>
        <w:t xml:space="preserve"> Резолюція 2005/21</w:t>
      </w:r>
      <w:r w:rsidRPr="00511005">
        <w:rPr>
          <w:rFonts w:ascii="Arial" w:eastAsia="Times New Roman" w:hAnsi="Arial" w:cs="Arial"/>
          <w:szCs w:val="28"/>
          <w:lang w:val="uk-UA"/>
        </w:rPr>
        <w:t xml:space="preserve">. «Принципи ООН щодо реституції житла та майна в контексті повернення біженців та переміщених осіб», ухвалені 11 серпня 2005 р. </w:t>
      </w:r>
      <w:r w:rsidRPr="00511005">
        <w:rPr>
          <w:rFonts w:ascii="Arial" w:eastAsia="Times New Roman" w:hAnsi="Arial" w:cs="Arial"/>
          <w:szCs w:val="28"/>
        </w:rPr>
        <w:t>https</w:t>
      </w:r>
      <w:r w:rsidRPr="00511005">
        <w:rPr>
          <w:rFonts w:ascii="Arial" w:eastAsia="Times New Roman" w:hAnsi="Arial" w:cs="Arial"/>
          <w:szCs w:val="28"/>
          <w:lang w:val="uk-UA"/>
        </w:rPr>
        <w:t>://</w:t>
      </w:r>
      <w:r w:rsidRPr="00511005">
        <w:rPr>
          <w:rFonts w:ascii="Arial" w:eastAsia="Times New Roman" w:hAnsi="Arial" w:cs="Arial"/>
          <w:szCs w:val="28"/>
        </w:rPr>
        <w:t>www</w:t>
      </w:r>
      <w:r w:rsidRPr="00511005">
        <w:rPr>
          <w:rFonts w:ascii="Arial" w:eastAsia="Times New Roman" w:hAnsi="Arial" w:cs="Arial"/>
          <w:szCs w:val="28"/>
          <w:lang w:val="uk-UA"/>
        </w:rPr>
        <w:t>.</w:t>
      </w:r>
      <w:r w:rsidRPr="00511005">
        <w:rPr>
          <w:rFonts w:ascii="Arial" w:eastAsia="Times New Roman" w:hAnsi="Arial" w:cs="Arial"/>
          <w:szCs w:val="28"/>
        </w:rPr>
        <w:t>refworld</w:t>
      </w:r>
      <w:r w:rsidRPr="00511005">
        <w:rPr>
          <w:rFonts w:ascii="Arial" w:eastAsia="Times New Roman" w:hAnsi="Arial" w:cs="Arial"/>
          <w:szCs w:val="28"/>
          <w:lang w:val="uk-UA"/>
        </w:rPr>
        <w:t>.</w:t>
      </w:r>
      <w:r w:rsidRPr="00511005">
        <w:rPr>
          <w:rFonts w:ascii="Arial" w:eastAsia="Times New Roman" w:hAnsi="Arial" w:cs="Arial"/>
          <w:szCs w:val="28"/>
        </w:rPr>
        <w:t>org</w:t>
      </w:r>
      <w:r w:rsidRPr="00511005">
        <w:rPr>
          <w:rFonts w:ascii="Arial" w:eastAsia="Times New Roman" w:hAnsi="Arial" w:cs="Arial"/>
          <w:szCs w:val="28"/>
          <w:lang w:val="uk-UA"/>
        </w:rPr>
        <w:t>/</w:t>
      </w:r>
      <w:r w:rsidRPr="00511005">
        <w:rPr>
          <w:rFonts w:ascii="Arial" w:eastAsia="Times New Roman" w:hAnsi="Arial" w:cs="Arial"/>
          <w:szCs w:val="28"/>
        </w:rPr>
        <w:t>cgi</w:t>
      </w:r>
      <w:r w:rsidRPr="00511005">
        <w:rPr>
          <w:rFonts w:ascii="Arial" w:eastAsia="Times New Roman" w:hAnsi="Arial" w:cs="Arial"/>
          <w:szCs w:val="28"/>
          <w:lang w:val="uk-UA"/>
        </w:rPr>
        <w:t>-</w:t>
      </w:r>
      <w:r w:rsidRPr="00511005">
        <w:rPr>
          <w:rFonts w:ascii="Arial" w:eastAsia="Times New Roman" w:hAnsi="Arial" w:cs="Arial"/>
          <w:szCs w:val="28"/>
        </w:rPr>
        <w:t>bin</w:t>
      </w:r>
      <w:r w:rsidRPr="00511005">
        <w:rPr>
          <w:rFonts w:ascii="Arial" w:eastAsia="Times New Roman" w:hAnsi="Arial" w:cs="Arial"/>
          <w:szCs w:val="28"/>
          <w:lang w:val="uk-UA"/>
        </w:rPr>
        <w:t xml:space="preserve">/ </w:t>
      </w:r>
      <w:r w:rsidRPr="00511005">
        <w:rPr>
          <w:rFonts w:ascii="Arial" w:eastAsia="Times New Roman" w:hAnsi="Arial" w:cs="Arial"/>
          <w:szCs w:val="28"/>
        </w:rPr>
        <w:t>texis</w:t>
      </w:r>
      <w:r w:rsidRPr="00511005">
        <w:rPr>
          <w:rFonts w:ascii="Arial" w:eastAsia="Times New Roman" w:hAnsi="Arial" w:cs="Arial"/>
          <w:szCs w:val="28"/>
          <w:lang w:val="uk-UA"/>
        </w:rPr>
        <w:t>/</w:t>
      </w:r>
      <w:r w:rsidRPr="00511005">
        <w:rPr>
          <w:rFonts w:ascii="Arial" w:eastAsia="Times New Roman" w:hAnsi="Arial" w:cs="Arial"/>
          <w:szCs w:val="28"/>
        </w:rPr>
        <w:t>vtx</w:t>
      </w:r>
      <w:r w:rsidRPr="00511005">
        <w:rPr>
          <w:rFonts w:ascii="Arial" w:eastAsia="Times New Roman" w:hAnsi="Arial" w:cs="Arial"/>
          <w:szCs w:val="28"/>
          <w:lang w:val="uk-UA"/>
        </w:rPr>
        <w:t>/</w:t>
      </w:r>
      <w:r w:rsidRPr="00511005">
        <w:rPr>
          <w:rFonts w:ascii="Arial" w:eastAsia="Times New Roman" w:hAnsi="Arial" w:cs="Arial"/>
          <w:szCs w:val="28"/>
        </w:rPr>
        <w:t>rwmain</w:t>
      </w:r>
      <w:r w:rsidRPr="00511005">
        <w:rPr>
          <w:rFonts w:ascii="Arial" w:eastAsia="Times New Roman" w:hAnsi="Arial" w:cs="Arial"/>
          <w:szCs w:val="28"/>
          <w:lang w:val="uk-UA"/>
        </w:rPr>
        <w:t>/</w:t>
      </w:r>
      <w:r w:rsidRPr="00511005">
        <w:rPr>
          <w:rFonts w:ascii="Arial" w:eastAsia="Times New Roman" w:hAnsi="Arial" w:cs="Arial"/>
          <w:szCs w:val="28"/>
        </w:rPr>
        <w:t>opendocpdf</w:t>
      </w:r>
      <w:r w:rsidRPr="00511005">
        <w:rPr>
          <w:rFonts w:ascii="Arial" w:eastAsia="Times New Roman" w:hAnsi="Arial" w:cs="Arial"/>
          <w:szCs w:val="28"/>
          <w:lang w:val="uk-UA"/>
        </w:rPr>
        <w:t>.</w:t>
      </w:r>
      <w:r w:rsidRPr="00511005">
        <w:rPr>
          <w:rFonts w:ascii="Arial" w:eastAsia="Times New Roman" w:hAnsi="Arial" w:cs="Arial"/>
          <w:szCs w:val="28"/>
        </w:rPr>
        <w:t>pdf</w:t>
      </w:r>
      <w:r w:rsidRPr="00511005">
        <w:rPr>
          <w:rFonts w:ascii="Arial" w:eastAsia="Times New Roman" w:hAnsi="Arial" w:cs="Arial"/>
          <w:szCs w:val="28"/>
          <w:lang w:val="uk-UA"/>
        </w:rPr>
        <w:t>?</w:t>
      </w:r>
      <w:r w:rsidRPr="00511005">
        <w:rPr>
          <w:rFonts w:ascii="Arial" w:eastAsia="Times New Roman" w:hAnsi="Arial" w:cs="Arial"/>
          <w:szCs w:val="28"/>
        </w:rPr>
        <w:t>reldoc</w:t>
      </w:r>
      <w:r w:rsidRPr="00511005">
        <w:rPr>
          <w:rFonts w:ascii="Arial" w:eastAsia="Times New Roman" w:hAnsi="Arial" w:cs="Arial"/>
          <w:szCs w:val="28"/>
          <w:lang w:val="uk-UA"/>
        </w:rPr>
        <w:t>=</w:t>
      </w:r>
      <w:r w:rsidRPr="00511005">
        <w:rPr>
          <w:rFonts w:ascii="Arial" w:eastAsia="Times New Roman" w:hAnsi="Arial" w:cs="Arial"/>
          <w:szCs w:val="28"/>
        </w:rPr>
        <w:t>y</w:t>
      </w:r>
      <w:r w:rsidRPr="00511005">
        <w:rPr>
          <w:rFonts w:ascii="Arial" w:eastAsia="Times New Roman" w:hAnsi="Arial" w:cs="Arial"/>
          <w:szCs w:val="28"/>
          <w:lang w:val="uk-UA"/>
        </w:rPr>
        <w:t>&amp;</w:t>
      </w:r>
      <w:r w:rsidRPr="00511005">
        <w:rPr>
          <w:rFonts w:ascii="Arial" w:eastAsia="Times New Roman" w:hAnsi="Arial" w:cs="Arial"/>
          <w:szCs w:val="28"/>
        </w:rPr>
        <w:t>docid</w:t>
      </w:r>
      <w:r w:rsidRPr="00511005">
        <w:rPr>
          <w:rFonts w:ascii="Arial" w:eastAsia="Times New Roman" w:hAnsi="Arial" w:cs="Arial"/>
          <w:szCs w:val="28"/>
          <w:lang w:val="uk-UA"/>
        </w:rPr>
        <w:t>=4</w:t>
      </w:r>
      <w:r w:rsidRPr="00511005">
        <w:rPr>
          <w:rFonts w:ascii="Arial" w:eastAsia="Times New Roman" w:hAnsi="Arial" w:cs="Arial"/>
          <w:szCs w:val="28"/>
        </w:rPr>
        <w:t>b</w:t>
      </w:r>
      <w:r w:rsidRPr="00511005">
        <w:rPr>
          <w:rFonts w:ascii="Arial" w:eastAsia="Times New Roman" w:hAnsi="Arial" w:cs="Arial"/>
          <w:szCs w:val="28"/>
          <w:lang w:val="uk-UA"/>
        </w:rPr>
        <w:t>2</w:t>
      </w:r>
      <w:r w:rsidRPr="00511005">
        <w:rPr>
          <w:rFonts w:ascii="Arial" w:eastAsia="Times New Roman" w:hAnsi="Arial" w:cs="Arial"/>
          <w:szCs w:val="28"/>
        </w:rPr>
        <w:t>a</w:t>
      </w:r>
      <w:r w:rsidRPr="00511005">
        <w:rPr>
          <w:rFonts w:ascii="Arial" w:eastAsia="Times New Roman" w:hAnsi="Arial" w:cs="Arial"/>
          <w:szCs w:val="28"/>
          <w:lang w:val="uk-UA"/>
        </w:rPr>
        <w:t xml:space="preserve">01262 </w:t>
      </w:r>
    </w:p>
    <w:p w14:paraId="3E686D19"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472E37D7" w14:textId="2452BD81"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внутрішньо переміщені особи, міжнародні стандарти, права людини, гарантії, інституційний механізм, воєнний стан, інтеграція</w:t>
      </w:r>
    </w:p>
    <w:p w14:paraId="53211230" w14:textId="442B706A"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uk-UA" w:eastAsia="ru-RU"/>
        </w:rPr>
        <w:t>internally displaced persons, international standards, human rights, guarantees, institutional mechanism, martial law, integration</w:t>
      </w:r>
    </w:p>
    <w:p w14:paraId="36C3A889" w14:textId="0F7B2C6C" w:rsidR="00220D3E" w:rsidRPr="00511005" w:rsidRDefault="007B2628" w:rsidP="003A292D">
      <w:pPr>
        <w:tabs>
          <w:tab w:val="left" w:pos="709"/>
          <w:tab w:val="left" w:pos="993"/>
          <w:tab w:val="left" w:pos="7088"/>
        </w:tabs>
        <w:spacing w:line="264" w:lineRule="auto"/>
        <w:contextualSpacing/>
        <w:rPr>
          <w:rFonts w:ascii="Arial" w:eastAsia="Calibri" w:hAnsi="Arial" w:cs="Arial"/>
          <w:bCs/>
          <w:szCs w:val="28"/>
          <w:lang w:val="uk-UA" w:bidi="uk-UA"/>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val="uk-UA" w:eastAsia="ru-RU"/>
        </w:rPr>
        <w:t>к.ю.н., доцент Дронов В.Ю.</w:t>
      </w:r>
    </w:p>
    <w:p w14:paraId="0B25553B" w14:textId="77777777" w:rsidR="00220D3E" w:rsidRPr="00511005" w:rsidRDefault="00220D3E" w:rsidP="003A292D">
      <w:pPr>
        <w:tabs>
          <w:tab w:val="left" w:pos="709"/>
          <w:tab w:val="left" w:pos="993"/>
          <w:tab w:val="left" w:pos="7088"/>
        </w:tabs>
        <w:spacing w:line="264" w:lineRule="auto"/>
        <w:contextualSpacing/>
        <w:rPr>
          <w:rFonts w:ascii="Arial" w:eastAsia="Calibri" w:hAnsi="Arial" w:cs="Arial"/>
          <w:bCs/>
          <w:szCs w:val="28"/>
          <w:lang w:val="uk-UA" w:bidi="uk-UA"/>
        </w:rPr>
      </w:pPr>
    </w:p>
    <w:p w14:paraId="32437A86" w14:textId="77777777" w:rsidR="00220D3E" w:rsidRPr="00511005" w:rsidRDefault="00220D3E" w:rsidP="003A292D">
      <w:pPr>
        <w:keepNext/>
        <w:tabs>
          <w:tab w:val="left" w:pos="709"/>
        </w:tabs>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val="uk-UA" w:eastAsia="ru-RU"/>
        </w:rPr>
        <w:t>Тарасенко Марія Леонідівна</w:t>
      </w:r>
    </w:p>
    <w:p w14:paraId="48D7FEEE" w14:textId="5B3446AD"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215BD8D7"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B9A648E"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2E8F47F"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5DF876B0"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СВІТОВИЙ ДОСВІД ЗАСТОСУВАННЯ СМЕРТНОЇ КАРИ У МІЖНАРОДНОМУ ПРАВІ</w:t>
      </w:r>
    </w:p>
    <w:p w14:paraId="1FEE33E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Смертна кара – це найбільш суворий вид покарання, який має як і прихильників так і противників. Даний вид покарання полягає у страті людини, яку засуджено за вчинення тяжкого чи особливо тяжкого злочину за рішенням суду. Такий вид покарання є одним із найдавніших у світі та протягом тривалого історичного періоду широко застосовувався у правових системах більшості країн, сьогодні ж, смертна кара дозволена та </w:t>
      </w:r>
      <w:r w:rsidRPr="00511005">
        <w:rPr>
          <w:rFonts w:ascii="Arial" w:eastAsia="Times New Roman" w:hAnsi="Arial" w:cs="Arial"/>
          <w:szCs w:val="28"/>
          <w:lang w:val="uk-UA" w:eastAsia="ru-RU"/>
        </w:rPr>
        <w:lastRenderedPageBreak/>
        <w:t>використовується в меншості країн світу, але дискусії щодо її застосування є досі актуальними.</w:t>
      </w:r>
    </w:p>
    <w:p w14:paraId="1048EE79" w14:textId="4C8F5A91"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 Кравченко та М. Трегубенко зазначали, що : «першоджерелом смертної кари став звичай кровної помсти, який було сформовано ще у період первіснообщинного ладу» [</w:t>
      </w:r>
      <w:r w:rsidRPr="00511005">
        <w:rPr>
          <w:rFonts w:ascii="Arial" w:eastAsia="Times New Roman" w:hAnsi="Arial" w:cs="Arial"/>
          <w:szCs w:val="28"/>
          <w:lang w:eastAsia="ru-RU"/>
        </w:rPr>
        <w:fldChar w:fldCharType="begin"/>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instrText>REF</w:instrText>
      </w:r>
      <w:r w:rsidRPr="00511005">
        <w:rPr>
          <w:rFonts w:ascii="Arial" w:eastAsia="Times New Roman" w:hAnsi="Arial" w:cs="Arial"/>
          <w:szCs w:val="28"/>
          <w:lang w:val="uk-UA" w:eastAsia="ru-RU"/>
        </w:rPr>
        <w:instrText xml:space="preserve"> _</w:instrText>
      </w:r>
      <w:r w:rsidRPr="00511005">
        <w:rPr>
          <w:rFonts w:ascii="Arial" w:eastAsia="Times New Roman" w:hAnsi="Arial" w:cs="Arial"/>
          <w:szCs w:val="28"/>
          <w:lang w:eastAsia="ru-RU"/>
        </w:rPr>
        <w:instrText>Ref</w:instrText>
      </w:r>
      <w:r w:rsidRPr="00511005">
        <w:rPr>
          <w:rFonts w:ascii="Arial" w:eastAsia="Times New Roman" w:hAnsi="Arial" w:cs="Arial"/>
          <w:szCs w:val="28"/>
          <w:lang w:val="uk-UA" w:eastAsia="ru-RU"/>
        </w:rPr>
        <w:instrText>196462747 \</w:instrText>
      </w:r>
      <w:r w:rsidRPr="00511005">
        <w:rPr>
          <w:rFonts w:ascii="Arial" w:eastAsia="Times New Roman" w:hAnsi="Arial" w:cs="Arial"/>
          <w:szCs w:val="28"/>
          <w:lang w:eastAsia="ru-RU"/>
        </w:rPr>
        <w:instrText>r</w:instrText>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instrText>h</w:instrText>
      </w:r>
      <w:r w:rsidRPr="00511005">
        <w:rPr>
          <w:rFonts w:ascii="Arial" w:eastAsia="Times New Roman" w:hAnsi="Arial" w:cs="Arial"/>
          <w:szCs w:val="28"/>
          <w:lang w:val="uk-UA" w:eastAsia="ru-RU"/>
        </w:rPr>
        <w:instrText xml:space="preserve">  \* </w:instrText>
      </w:r>
      <w:r w:rsidRPr="00511005">
        <w:rPr>
          <w:rFonts w:ascii="Arial" w:eastAsia="Times New Roman" w:hAnsi="Arial" w:cs="Arial"/>
          <w:szCs w:val="28"/>
          <w:lang w:eastAsia="ru-RU"/>
        </w:rPr>
        <w:instrText>MERGEFORMAT</w:instrText>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sidRPr="006F7CE5">
        <w:rPr>
          <w:rFonts w:ascii="Arial" w:eastAsia="Times New Roman" w:hAnsi="Arial" w:cs="Arial"/>
          <w:szCs w:val="28"/>
          <w:lang w:val="uk-UA" w:eastAsia="ru-RU"/>
        </w:rPr>
        <w:t>3</w:t>
      </w:r>
      <w:r w:rsidRPr="00511005">
        <w:rPr>
          <w:rFonts w:ascii="Arial" w:eastAsia="Times New Roman" w:hAnsi="Arial" w:cs="Arial"/>
          <w:szCs w:val="28"/>
          <w:lang w:eastAsia="ru-RU"/>
        </w:rPr>
        <w:fldChar w:fldCharType="end"/>
      </w:r>
      <w:r w:rsidRPr="00511005">
        <w:rPr>
          <w:rFonts w:ascii="Arial" w:eastAsia="Times New Roman" w:hAnsi="Arial" w:cs="Arial"/>
          <w:szCs w:val="28"/>
          <w:lang w:val="uk-UA" w:eastAsia="ru-RU"/>
        </w:rPr>
        <w:t xml:space="preserve">, с. 297], яскраве відображення даного положення було сформовано в деяких релегійних виданнях, де було зазначено що : «Якщо хто заб'є ближнього свого, тоді той, хто заб'є, повинен бути убитий. </w:t>
      </w:r>
      <w:r w:rsidRPr="00511005">
        <w:rPr>
          <w:rFonts w:ascii="Arial" w:eastAsia="Times New Roman" w:hAnsi="Arial" w:cs="Arial"/>
          <w:szCs w:val="28"/>
          <w:lang w:eastAsia="ru-RU"/>
        </w:rPr>
        <w:t>Хто робитиме тяжке поранення ближньому своєму, той сам буде зламаний: око за око, зуб за зуб; як він зробив рану у людині, так само буде зроблено йому».</w:t>
      </w:r>
      <w:r w:rsidRPr="00511005">
        <w:rPr>
          <w:rFonts w:ascii="Arial" w:eastAsia="Times New Roman" w:hAnsi="Arial" w:cs="Arial"/>
          <w:szCs w:val="28"/>
          <w:lang w:val="uk-UA" w:eastAsia="ru-RU"/>
        </w:rPr>
        <w:t xml:space="preserve"> Даний інститут покарання зазнавав багато змін у процесі історичного розвитку людства, були різні види позбавлення життя (спалення на вогнищі, розчленування, страчення на гільйотині, розстріл, смертельна ін’єкція, електричний стілець під напругою у 2700 вольт, повішення, обезголовлення тощо) умови застосування (за вчинення різних злочинів), різні країни, які застосовували даний вид покарання.</w:t>
      </w:r>
    </w:p>
    <w:p w14:paraId="58F1401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Станом на грудень 202</w:t>
      </w:r>
      <w:r w:rsidRPr="00511005">
        <w:rPr>
          <w:rFonts w:ascii="Arial" w:eastAsia="Times New Roman" w:hAnsi="Arial" w:cs="Arial"/>
          <w:szCs w:val="28"/>
          <w:lang w:val="uk-UA" w:eastAsia="ru-RU"/>
        </w:rPr>
        <w:t>5</w:t>
      </w:r>
      <w:r w:rsidRPr="00511005">
        <w:rPr>
          <w:rFonts w:ascii="Arial" w:eastAsia="Times New Roman" w:hAnsi="Arial" w:cs="Arial"/>
          <w:szCs w:val="28"/>
          <w:lang w:eastAsia="ru-RU"/>
        </w:rPr>
        <w:t xml:space="preserve"> року понад дві третини держав-членів ООН підтримали резолюцію Генеральної Асамблеї ООН, що закликає до встановлення мораторію на виконання смертних вироків з метою їх подальшого скасування.</w:t>
      </w:r>
    </w:p>
    <w:p w14:paraId="3A35A686" w14:textId="3331B8C9"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На міжнародному рівні ключовими документами, що регламентують підходи до смертної кари, є Міжнародний пакт про громадянські і політичні права (</w:t>
      </w:r>
      <w:r w:rsidRPr="00511005">
        <w:rPr>
          <w:rFonts w:ascii="Arial" w:eastAsia="Times New Roman" w:hAnsi="Arial" w:cs="Arial"/>
          <w:szCs w:val="28"/>
          <w:lang w:val="uk-UA" w:eastAsia="ru-RU"/>
        </w:rPr>
        <w:t>далі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МПГПП) 1966 року, а також його Другий факультативний протокол, прийнятий у 1989 році, який спрямований на повне скасування смертної кари. Стаття 6 МПГПП</w:t>
      </w:r>
      <w:r w:rsidRPr="00511005">
        <w:rPr>
          <w:rFonts w:ascii="Arial" w:eastAsia="Times New Roman" w:hAnsi="Arial" w:cs="Arial"/>
          <w:szCs w:val="28"/>
          <w:lang w:val="uk-UA" w:eastAsia="ru-RU"/>
        </w:rPr>
        <w:t xml:space="preserve"> зазначає що : «</w:t>
      </w:r>
      <w:r w:rsidRPr="00511005">
        <w:rPr>
          <w:rFonts w:ascii="Arial" w:eastAsia="Times New Roman" w:hAnsi="Arial" w:cs="Arial"/>
          <w:szCs w:val="28"/>
          <w:lang w:eastAsia="ru-RU"/>
        </w:rPr>
        <w:t>В країнах,</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які не скасували смертної кари, смертні вироки можуть виноситися тільки за найтяжчі злочини відповідно до закону, </w:t>
      </w:r>
      <w:r w:rsidRPr="00511005">
        <w:rPr>
          <w:rFonts w:ascii="Arial" w:eastAsia="Times New Roman" w:hAnsi="Arial" w:cs="Arial"/>
          <w:szCs w:val="28"/>
          <w:lang w:eastAsia="ru-RU"/>
        </w:rPr>
        <w:br/>
        <w:t xml:space="preserve">який діяв під час вчинення злочину і який не суперечить постановам </w:t>
      </w:r>
      <w:r w:rsidRPr="00511005">
        <w:rPr>
          <w:rFonts w:ascii="Arial" w:eastAsia="Times New Roman" w:hAnsi="Arial" w:cs="Arial"/>
          <w:szCs w:val="28"/>
          <w:lang w:eastAsia="ru-RU"/>
        </w:rPr>
        <w:br/>
        <w:t>цього Пакту 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Конвенції</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про</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запобігання</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злочинові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геноциду</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і </w:t>
      </w:r>
      <w:r w:rsidRPr="00511005">
        <w:rPr>
          <w:rFonts w:ascii="Arial" w:eastAsia="Times New Roman" w:hAnsi="Arial" w:cs="Arial"/>
          <w:szCs w:val="28"/>
          <w:lang w:eastAsia="ru-RU"/>
        </w:rPr>
        <w:br/>
        <w:t>покарання</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нього ( </w:t>
      </w:r>
      <w:hyperlink r:id="rId674" w:tgtFrame="_blank" w:history="1">
        <w:r w:rsidRPr="00511005">
          <w:rPr>
            <w:rFonts w:ascii="Arial" w:eastAsia="Times New Roman" w:hAnsi="Arial" w:cs="Arial"/>
            <w:szCs w:val="28"/>
            <w:lang w:eastAsia="ru-RU"/>
          </w:rPr>
          <w:t>995_155</w:t>
        </w:r>
      </w:hyperlink>
      <w:r w:rsidRPr="00511005">
        <w:rPr>
          <w:rFonts w:ascii="Arial" w:eastAsia="Times New Roman" w:hAnsi="Arial" w:cs="Arial"/>
          <w:szCs w:val="28"/>
          <w:lang w:eastAsia="ru-RU"/>
        </w:rPr>
        <w:t xml:space="preserve"> ). Це покарання може бути здійснене </w:t>
      </w:r>
      <w:r w:rsidRPr="00511005">
        <w:rPr>
          <w:rFonts w:ascii="Arial" w:eastAsia="Times New Roman" w:hAnsi="Arial" w:cs="Arial"/>
          <w:szCs w:val="28"/>
          <w:lang w:eastAsia="ru-RU"/>
        </w:rPr>
        <w:br/>
        <w:t>тільки</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на</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виконання</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остаточного вироку, винесеного компетентним </w:t>
      </w:r>
      <w:r w:rsidRPr="00511005">
        <w:rPr>
          <w:rFonts w:ascii="Arial" w:eastAsia="Times New Roman" w:hAnsi="Arial" w:cs="Arial"/>
          <w:szCs w:val="28"/>
          <w:lang w:eastAsia="ru-RU"/>
        </w:rPr>
        <w:br/>
        <w:t>судом.</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_Ref196462789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0</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також в наступній частинні цієї статті зазначені обмеження - </w:t>
      </w:r>
      <w:r w:rsidRPr="00511005">
        <w:rPr>
          <w:rFonts w:ascii="Arial" w:eastAsia="Times New Roman" w:hAnsi="Arial" w:cs="Arial"/>
          <w:szCs w:val="28"/>
          <w:lang w:eastAsia="ru-RU"/>
        </w:rPr>
        <w:t>передбачено заборону застосування</w:t>
      </w:r>
      <w:r w:rsidRPr="00511005">
        <w:rPr>
          <w:rFonts w:ascii="Arial" w:eastAsia="Times New Roman" w:hAnsi="Arial" w:cs="Arial"/>
          <w:szCs w:val="28"/>
          <w:lang w:val="uk-UA" w:eastAsia="ru-RU"/>
        </w:rPr>
        <w:t xml:space="preserve"> даного виду покарання</w:t>
      </w:r>
      <w:r w:rsidRPr="00511005">
        <w:rPr>
          <w:rFonts w:ascii="Arial" w:eastAsia="Times New Roman" w:hAnsi="Arial" w:cs="Arial"/>
          <w:szCs w:val="28"/>
          <w:lang w:eastAsia="ru-RU"/>
        </w:rPr>
        <w:t xml:space="preserve"> до осіб, які не досягли 18 років на момент вчинення злочин</w:t>
      </w:r>
      <w:r w:rsidRPr="00511005">
        <w:rPr>
          <w:rFonts w:ascii="Arial" w:eastAsia="Times New Roman" w:hAnsi="Arial" w:cs="Arial"/>
          <w:szCs w:val="28"/>
          <w:lang w:val="uk-UA" w:eastAsia="ru-RU"/>
        </w:rPr>
        <w:t xml:space="preserve">у </w:t>
      </w:r>
      <w:r w:rsidRPr="00511005">
        <w:rPr>
          <w:rFonts w:ascii="Arial" w:eastAsia="Times New Roman" w:hAnsi="Arial" w:cs="Arial"/>
          <w:szCs w:val="28"/>
          <w:lang w:eastAsia="ru-RU"/>
        </w:rPr>
        <w:t>та до вагітних жінок.</w:t>
      </w:r>
    </w:p>
    <w:p w14:paraId="3742448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Другий факультативний протокол до Міжнародного пакту про громадянські та політичні права, прийнятий у 1989 році, забороняє смертну кару в усіх обставинах, зокрема в разі надзвичайної ситуації.</w:t>
      </w:r>
    </w:p>
    <w:p w14:paraId="044C1E28" w14:textId="0719F504"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У переважній більшості країн світу смертна кара розглядається як негуманне та невиправдано жорстоке покарання, що суперечить основоположному праву людини на життя, а також принижує її гідність та честь. Незважаючи на це, окремі держави продовжують практику її застосування. Як зазначає Є. Стрельцов</w:t>
      </w:r>
      <w:r w:rsidRPr="00511005">
        <w:rPr>
          <w:rFonts w:ascii="Arial" w:eastAsia="Times New Roman" w:hAnsi="Arial" w:cs="Arial"/>
          <w:szCs w:val="28"/>
          <w:lang w:val="uk-UA" w:eastAsia="ru-RU"/>
        </w:rPr>
        <w:t xml:space="preserve"> : «</w:t>
      </w:r>
      <w:r w:rsidRPr="00511005">
        <w:rPr>
          <w:rFonts w:ascii="Arial" w:eastAsia="Times New Roman" w:hAnsi="Arial" w:cs="Arial"/>
          <w:szCs w:val="28"/>
          <w:lang w:eastAsia="ru-RU"/>
        </w:rPr>
        <w:t xml:space="preserve">за критерієм ставлення до смертної кари держави світу можна умовно класифікувати на чотири групи: </w:t>
      </w:r>
      <w:r w:rsidRPr="00511005">
        <w:rPr>
          <w:rFonts w:ascii="Arial" w:eastAsia="Times New Roman" w:hAnsi="Arial" w:cs="Arial"/>
          <w:szCs w:val="28"/>
          <w:lang w:eastAsia="ru-RU"/>
        </w:rPr>
        <w:lastRenderedPageBreak/>
        <w:t>1) країни, де смертна кара є чинним видом покарання і фактично застосовується; 2) держави, у яких смертна кара формально дозволена, але не використовується на практиці; 3) країни, що скасували її для загального кримінального права, однак залишили можливість її застосування у виняткових умовах (наприклад, в Ізраїлі — у воєнний час); 4) держави, які повністю заборонили смертну кару на законодавчому рівні.</w:t>
      </w:r>
      <w:r w:rsidRPr="00511005">
        <w:rPr>
          <w:rFonts w:ascii="Arial" w:eastAsia="Times New Roman" w:hAnsi="Arial" w:cs="Arial"/>
          <w:szCs w:val="28"/>
          <w:lang w:val="uk-UA" w:eastAsia="ru-RU"/>
        </w:rPr>
        <w:t>»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_Ref196462798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3</w:t>
      </w:r>
      <w:r w:rsidRPr="00511005">
        <w:rPr>
          <w:rFonts w:ascii="Arial" w:eastAsia="Times New Roman" w:hAnsi="Arial" w:cs="Arial"/>
          <w:szCs w:val="28"/>
          <w:lang w:eastAsia="ru-RU"/>
        </w:rPr>
        <w:fldChar w:fldCharType="end"/>
      </w:r>
      <w:r w:rsidRPr="00511005">
        <w:rPr>
          <w:rFonts w:ascii="Arial" w:eastAsia="Times New Roman" w:hAnsi="Arial" w:cs="Arial"/>
          <w:szCs w:val="28"/>
          <w:lang w:val="uk-UA" w:eastAsia="ru-RU"/>
        </w:rPr>
        <w:t>].</w:t>
      </w:r>
    </w:p>
    <w:p w14:paraId="772D849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Станом на 202</w:t>
      </w:r>
      <w:r w:rsidRPr="00511005">
        <w:rPr>
          <w:rFonts w:ascii="Arial" w:eastAsia="Times New Roman" w:hAnsi="Arial" w:cs="Arial"/>
          <w:szCs w:val="28"/>
          <w:lang w:val="uk-UA" w:eastAsia="ru-RU"/>
        </w:rPr>
        <w:t>3</w:t>
      </w:r>
      <w:r w:rsidRPr="00511005">
        <w:rPr>
          <w:rFonts w:ascii="Arial" w:eastAsia="Times New Roman" w:hAnsi="Arial" w:cs="Arial"/>
          <w:szCs w:val="28"/>
          <w:lang w:eastAsia="ru-RU"/>
        </w:rPr>
        <w:t xml:space="preserve"> рік світова практика застосування смертної кари продовжує демонструвати суперечливі тенденції. З одного боку, зростає кількість країн, які відмовляються від ц</w:t>
      </w:r>
      <w:r w:rsidRPr="00511005">
        <w:rPr>
          <w:rFonts w:ascii="Arial" w:eastAsia="Times New Roman" w:hAnsi="Arial" w:cs="Arial"/>
          <w:szCs w:val="28"/>
          <w:lang w:val="uk-UA" w:eastAsia="ru-RU"/>
        </w:rPr>
        <w:t>ього виду</w:t>
      </w:r>
      <w:r w:rsidRPr="00511005">
        <w:rPr>
          <w:rFonts w:ascii="Arial" w:eastAsia="Times New Roman" w:hAnsi="Arial" w:cs="Arial"/>
          <w:szCs w:val="28"/>
          <w:lang w:eastAsia="ru-RU"/>
        </w:rPr>
        <w:t xml:space="preserve"> покарання, з іншого — у ряді держав фіксується різке збільшення кількості виконаних вироків</w:t>
      </w:r>
      <w:r w:rsidRPr="00511005">
        <w:rPr>
          <w:rFonts w:ascii="Arial" w:eastAsia="Times New Roman" w:hAnsi="Arial" w:cs="Arial"/>
          <w:szCs w:val="28"/>
          <w:lang w:val="uk-UA" w:eastAsia="ru-RU"/>
        </w:rPr>
        <w:t xml:space="preserve"> засуджених до смертної кари</w:t>
      </w:r>
      <w:r w:rsidRPr="00511005">
        <w:rPr>
          <w:rFonts w:ascii="Arial" w:eastAsia="Times New Roman" w:hAnsi="Arial" w:cs="Arial"/>
          <w:szCs w:val="28"/>
          <w:lang w:eastAsia="ru-RU"/>
        </w:rPr>
        <w:t>. За даними щорічного звіту Amnesty International, у 202</w:t>
      </w:r>
      <w:r w:rsidRPr="00511005">
        <w:rPr>
          <w:rFonts w:ascii="Arial" w:eastAsia="Times New Roman" w:hAnsi="Arial" w:cs="Arial"/>
          <w:szCs w:val="28"/>
          <w:lang w:val="uk-UA" w:eastAsia="ru-RU"/>
        </w:rPr>
        <w:t>3</w:t>
      </w:r>
      <w:r w:rsidRPr="00511005">
        <w:rPr>
          <w:rFonts w:ascii="Arial" w:eastAsia="Times New Roman" w:hAnsi="Arial" w:cs="Arial"/>
          <w:szCs w:val="28"/>
          <w:lang w:eastAsia="ru-RU"/>
        </w:rPr>
        <w:t xml:space="preserve"> році було здійснено 1 </w:t>
      </w:r>
      <w:r w:rsidRPr="00511005">
        <w:rPr>
          <w:rFonts w:ascii="Arial" w:eastAsia="Times New Roman" w:hAnsi="Arial" w:cs="Arial"/>
          <w:szCs w:val="28"/>
          <w:lang w:val="uk-UA" w:eastAsia="ru-RU"/>
        </w:rPr>
        <w:t>153</w:t>
      </w:r>
      <w:r w:rsidRPr="00511005">
        <w:rPr>
          <w:rFonts w:ascii="Arial" w:eastAsia="Times New Roman" w:hAnsi="Arial" w:cs="Arial"/>
          <w:szCs w:val="28"/>
          <w:lang w:eastAsia="ru-RU"/>
        </w:rPr>
        <w:t xml:space="preserve"> виконань смертних вироків — це найвищий показник за останнє десятиліття та на 3</w:t>
      </w:r>
      <w:r w:rsidRPr="00511005">
        <w:rPr>
          <w:rFonts w:ascii="Arial" w:eastAsia="Times New Roman" w:hAnsi="Arial" w:cs="Arial"/>
          <w:szCs w:val="28"/>
          <w:lang w:val="uk-UA" w:eastAsia="ru-RU"/>
        </w:rPr>
        <w:t>0</w:t>
      </w:r>
      <w:r w:rsidRPr="00511005">
        <w:rPr>
          <w:rFonts w:ascii="Arial" w:eastAsia="Times New Roman" w:hAnsi="Arial" w:cs="Arial"/>
          <w:szCs w:val="28"/>
          <w:lang w:eastAsia="ru-RU"/>
        </w:rPr>
        <w:t>% більше, ніж у 202</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 xml:space="preserve"> році.</w:t>
      </w:r>
    </w:p>
    <w:p w14:paraId="2844D7E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Основними країнами, де зосереджена найбільша кількість виконань, залишаються:</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Іран — не менше 972 смертних вироків (64% від загальної кількості у світі), з них переважна частина стосується злочинів, пов’язаних з наркотиками;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Саудівська Аравія — щонайменше 345 виконань, переважно за ненасильницькі злочини;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Ірак — не менше 63 виконань, усі за терористичними статтями;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США — 25 виконань, що є найвищим показником з 2018 року.</w:t>
      </w:r>
    </w:p>
    <w:p w14:paraId="741B3ED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Водночас, кількість країн, у яких реально застосовується смертна кара, зменшилася до 15, що є історичним мінімумом. Разом з тим, 144 держави світу наразі або повністю скасували смертну кару, або не застосовують її на практиці, серед них 112 країн є повними аболіціоністами.</w:t>
      </w:r>
      <w:r w:rsidRPr="00511005">
        <w:rPr>
          <w:rFonts w:ascii="Arial" w:eastAsia="Times New Roman" w:hAnsi="Arial" w:cs="Arial"/>
          <w:szCs w:val="28"/>
          <w:lang w:val="uk-UA" w:eastAsia="ru-RU"/>
        </w:rPr>
        <w:t xml:space="preserve"> </w:t>
      </w:r>
    </w:p>
    <w:p w14:paraId="54467EFE" w14:textId="6F30C4E8"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Фіксується суттєве порушення міжнародних стандартів, оскільки в більшості випадків смертна кара застосовується за злочини, що не відповідають критерію «найтяжчих» (наприклад, контрабанда наркотиків), що суперечить положенням статті 6 Міжнародного пакту про громадянські і політичні права.</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fldChar w:fldCharType="begin"/>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instrText>REF</w:instrText>
      </w:r>
      <w:r w:rsidRPr="00511005">
        <w:rPr>
          <w:rFonts w:ascii="Arial" w:eastAsia="Times New Roman" w:hAnsi="Arial" w:cs="Arial"/>
          <w:szCs w:val="28"/>
          <w:lang w:val="uk-UA" w:eastAsia="ru-RU"/>
        </w:rPr>
        <w:instrText xml:space="preserve"> _</w:instrText>
      </w:r>
      <w:r w:rsidRPr="00511005">
        <w:rPr>
          <w:rFonts w:ascii="Arial" w:eastAsia="Times New Roman" w:hAnsi="Arial" w:cs="Arial"/>
          <w:szCs w:val="28"/>
          <w:lang w:eastAsia="ru-RU"/>
        </w:rPr>
        <w:instrText>Ref</w:instrText>
      </w:r>
      <w:r w:rsidRPr="00511005">
        <w:rPr>
          <w:rFonts w:ascii="Arial" w:eastAsia="Times New Roman" w:hAnsi="Arial" w:cs="Arial"/>
          <w:szCs w:val="28"/>
          <w:lang w:val="uk-UA" w:eastAsia="ru-RU"/>
        </w:rPr>
        <w:instrText>196462807 \</w:instrText>
      </w:r>
      <w:r w:rsidRPr="00511005">
        <w:rPr>
          <w:rFonts w:ascii="Arial" w:eastAsia="Times New Roman" w:hAnsi="Arial" w:cs="Arial"/>
          <w:szCs w:val="28"/>
          <w:lang w:eastAsia="ru-RU"/>
        </w:rPr>
        <w:instrText>r</w:instrText>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instrText>h</w:instrText>
      </w:r>
      <w:r w:rsidRPr="00511005">
        <w:rPr>
          <w:rFonts w:ascii="Arial" w:eastAsia="Times New Roman" w:hAnsi="Arial" w:cs="Arial"/>
          <w:szCs w:val="28"/>
          <w:lang w:val="uk-UA" w:eastAsia="ru-RU"/>
        </w:rPr>
        <w:instrText xml:space="preserve">  \* </w:instrText>
      </w:r>
      <w:r w:rsidRPr="00511005">
        <w:rPr>
          <w:rFonts w:ascii="Arial" w:eastAsia="Times New Roman" w:hAnsi="Arial" w:cs="Arial"/>
          <w:szCs w:val="28"/>
          <w:lang w:eastAsia="ru-RU"/>
        </w:rPr>
        <w:instrText>MERGEFORMAT</w:instrText>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sidRPr="006F7CE5">
        <w:rPr>
          <w:rFonts w:ascii="Arial" w:eastAsia="Times New Roman" w:hAnsi="Arial" w:cs="Arial"/>
          <w:szCs w:val="28"/>
          <w:lang w:val="uk-UA" w:eastAsia="ru-RU"/>
        </w:rPr>
        <w:t>2</w:t>
      </w:r>
      <w:r w:rsidRPr="00511005">
        <w:rPr>
          <w:rFonts w:ascii="Arial" w:eastAsia="Times New Roman" w:hAnsi="Arial" w:cs="Arial"/>
          <w:szCs w:val="28"/>
          <w:lang w:eastAsia="ru-RU"/>
        </w:rPr>
        <w:fldChar w:fldCharType="end"/>
      </w:r>
      <w:r w:rsidRPr="00511005">
        <w:rPr>
          <w:rFonts w:ascii="Arial" w:eastAsia="Times New Roman" w:hAnsi="Arial" w:cs="Arial"/>
          <w:szCs w:val="28"/>
          <w:lang w:val="uk-UA" w:eastAsia="ru-RU"/>
        </w:rPr>
        <w:t>].</w:t>
      </w:r>
    </w:p>
    <w:p w14:paraId="2F82BBC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Під впливом міжнародного права та міжурядових організацій, таких як ООН, здійснюється певний тиск на держави з метою поступової відмови від смертної кари. </w:t>
      </w:r>
      <w:r w:rsidRPr="00511005">
        <w:rPr>
          <w:rFonts w:ascii="Arial" w:eastAsia="Times New Roman" w:hAnsi="Arial" w:cs="Arial"/>
          <w:szCs w:val="28"/>
          <w:lang w:eastAsia="ru-RU"/>
        </w:rPr>
        <w:t>Наприклад, Генеральна Асамблея ООН регулярно приймає резолюції щодо запровадження мораторію на смертну кару як кроку до її остаточного скасування.</w:t>
      </w:r>
    </w:p>
    <w:p w14:paraId="456B860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Таким чином, міжнародне право на сучасному етапі не встановлює абсолютної заборони на смертну кару, однак чітко формулює норми щодо обмеження її застосування, водночас активно сприяючи загальносвітовій тенденції до її скасування. Цей процес є невід’ємною частиною еволюції глобальної системи захисту прав людини та визнання права на життя як найвищої соціальної цінності.</w:t>
      </w:r>
    </w:p>
    <w:p w14:paraId="4901C39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lastRenderedPageBreak/>
        <w:t xml:space="preserve">Прихильники смертної кари вважають, що вона виконує не лише функцію відплати, а й стримує потенційних злочинців, слугуючи превентивним засобом. Такий вид покарання розглядається як найвища форма кримінальної відповідальності, що застосовується до особливо тяжких злочинів. Вони переконані, що </w:t>
      </w:r>
      <w:r w:rsidRPr="00511005">
        <w:rPr>
          <w:rFonts w:ascii="Arial" w:eastAsia="Times New Roman" w:hAnsi="Arial" w:cs="Arial"/>
          <w:szCs w:val="28"/>
          <w:lang w:val="uk-UA" w:eastAsia="ru-RU"/>
        </w:rPr>
        <w:t xml:space="preserve">саме цей вид покарання є </w:t>
      </w:r>
      <w:r w:rsidRPr="00511005">
        <w:rPr>
          <w:rFonts w:ascii="Arial" w:eastAsia="Times New Roman" w:hAnsi="Arial" w:cs="Arial"/>
          <w:szCs w:val="28"/>
          <w:lang w:eastAsia="ru-RU"/>
        </w:rPr>
        <w:t>справедлив</w:t>
      </w:r>
      <w:r w:rsidRPr="00511005">
        <w:rPr>
          <w:rFonts w:ascii="Arial" w:eastAsia="Times New Roman" w:hAnsi="Arial" w:cs="Arial"/>
          <w:szCs w:val="28"/>
          <w:lang w:val="uk-UA" w:eastAsia="ru-RU"/>
        </w:rPr>
        <w:t>им</w:t>
      </w:r>
      <w:r w:rsidRPr="00511005">
        <w:rPr>
          <w:rFonts w:ascii="Arial" w:eastAsia="Times New Roman" w:hAnsi="Arial" w:cs="Arial"/>
          <w:szCs w:val="28"/>
          <w:lang w:eastAsia="ru-RU"/>
        </w:rPr>
        <w:t xml:space="preserve"> та безкомпромісн</w:t>
      </w:r>
      <w:r w:rsidRPr="00511005">
        <w:rPr>
          <w:rFonts w:ascii="Arial" w:eastAsia="Times New Roman" w:hAnsi="Arial" w:cs="Arial"/>
          <w:szCs w:val="28"/>
          <w:lang w:val="uk-UA" w:eastAsia="ru-RU"/>
        </w:rPr>
        <w:t>им, адже</w:t>
      </w:r>
      <w:r w:rsidRPr="00511005">
        <w:rPr>
          <w:rFonts w:ascii="Arial" w:eastAsia="Times New Roman" w:hAnsi="Arial" w:cs="Arial"/>
          <w:szCs w:val="28"/>
          <w:lang w:eastAsia="ru-RU"/>
        </w:rPr>
        <w:t xml:space="preserve"> здатн</w:t>
      </w:r>
      <w:r w:rsidRPr="00511005">
        <w:rPr>
          <w:rFonts w:ascii="Arial" w:eastAsia="Times New Roman" w:hAnsi="Arial" w:cs="Arial"/>
          <w:szCs w:val="28"/>
          <w:lang w:val="uk-UA" w:eastAsia="ru-RU"/>
        </w:rPr>
        <w:t>ий</w:t>
      </w:r>
      <w:r w:rsidRPr="00511005">
        <w:rPr>
          <w:rFonts w:ascii="Arial" w:eastAsia="Times New Roman" w:hAnsi="Arial" w:cs="Arial"/>
          <w:szCs w:val="28"/>
          <w:lang w:eastAsia="ru-RU"/>
        </w:rPr>
        <w:t xml:space="preserve"> відновити почуття справедливості у постраждалих та їхніх близьких. Також підкреслюється економічна доцільність страти, яка вважається менш витратною для бюджета</w:t>
      </w:r>
      <w:r w:rsidRPr="00511005">
        <w:rPr>
          <w:rFonts w:ascii="Arial" w:eastAsia="Times New Roman" w:hAnsi="Arial" w:cs="Arial"/>
          <w:szCs w:val="28"/>
          <w:lang w:val="uk-UA" w:eastAsia="ru-RU"/>
        </w:rPr>
        <w:t xml:space="preserve"> країни</w:t>
      </w:r>
      <w:r w:rsidRPr="00511005">
        <w:rPr>
          <w:rFonts w:ascii="Arial" w:eastAsia="Times New Roman" w:hAnsi="Arial" w:cs="Arial"/>
          <w:szCs w:val="28"/>
          <w:lang w:eastAsia="ru-RU"/>
        </w:rPr>
        <w:t xml:space="preserve">, ніж довічне ув’язнення або тривале утримання злочинця у </w:t>
      </w:r>
      <w:r w:rsidRPr="00511005">
        <w:rPr>
          <w:rFonts w:ascii="Arial" w:eastAsia="Times New Roman" w:hAnsi="Arial" w:cs="Arial"/>
          <w:szCs w:val="28"/>
          <w:lang w:val="uk-UA" w:eastAsia="ru-RU"/>
        </w:rPr>
        <w:t>місцях позбавлення волі.</w:t>
      </w:r>
    </w:p>
    <w:p w14:paraId="63B933C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Опоненти смертної кари наголошують, що право на життя є фундаментальним, і держава не повинна його порушувати, навіть у випадку </w:t>
      </w:r>
      <w:r w:rsidRPr="00511005">
        <w:rPr>
          <w:rFonts w:ascii="Arial" w:eastAsia="Times New Roman" w:hAnsi="Arial" w:cs="Arial"/>
          <w:szCs w:val="28"/>
          <w:lang w:val="uk-UA" w:eastAsia="ru-RU"/>
        </w:rPr>
        <w:t xml:space="preserve">вчинення особою </w:t>
      </w:r>
      <w:r w:rsidRPr="00511005">
        <w:rPr>
          <w:rFonts w:ascii="Arial" w:eastAsia="Times New Roman" w:hAnsi="Arial" w:cs="Arial"/>
          <w:szCs w:val="28"/>
          <w:lang w:eastAsia="ru-RU"/>
        </w:rPr>
        <w:t xml:space="preserve">найтяжчих злочинів. Вони стверджують, що </w:t>
      </w:r>
      <w:r w:rsidRPr="00511005">
        <w:rPr>
          <w:rFonts w:ascii="Arial" w:eastAsia="Times New Roman" w:hAnsi="Arial" w:cs="Arial"/>
          <w:szCs w:val="28"/>
          <w:lang w:val="uk-UA" w:eastAsia="ru-RU"/>
        </w:rPr>
        <w:t>дане</w:t>
      </w:r>
      <w:r w:rsidRPr="00511005">
        <w:rPr>
          <w:rFonts w:ascii="Arial" w:eastAsia="Times New Roman" w:hAnsi="Arial" w:cs="Arial"/>
          <w:szCs w:val="28"/>
          <w:lang w:eastAsia="ru-RU"/>
        </w:rPr>
        <w:t xml:space="preserve"> покарання не може гарантувати абсолютну справедливість, особливо враховуючи можливість судової помилки, яка в разі страти є незворотною. Замість превентивної дії, смертна кара може лише породжувати атмосферу насильства і не доводить свою ефективність у зниженні рівня злочинності.</w:t>
      </w:r>
      <w:r w:rsidRPr="00511005">
        <w:rPr>
          <w:rFonts w:ascii="Arial" w:eastAsia="Times New Roman" w:hAnsi="Arial" w:cs="Arial"/>
          <w:szCs w:val="28"/>
          <w:lang w:val="uk-UA" w:eastAsia="ru-RU"/>
        </w:rPr>
        <w:t xml:space="preserve"> Противники також заперечують економічні аргументи, зазначаючи, що процеси, пов’язані з винесенням та оскарженням смертного вироку, часто коштують не менше, а іноді й більше, ніж утримання злочинця у в’язниці протягом життя, до того ж головною метою покарання у сучасному правовому суспільстві є не страта злочинця, а його перевиховання, ресоціалізація та попередження нових злочинів. </w:t>
      </w:r>
      <w:r w:rsidRPr="00511005">
        <w:rPr>
          <w:rFonts w:ascii="Arial" w:eastAsia="Times New Roman" w:hAnsi="Arial" w:cs="Arial"/>
          <w:szCs w:val="28"/>
          <w:lang w:eastAsia="ru-RU"/>
        </w:rPr>
        <w:t>Покарання має створювати умови для того, щоб людина усвідомила вчинене, розкаялася і більше не становила загрози для суспільства. Смертна кара повністю виключає можливість виправлення особи, порушуючи принцип гуманізму й позбавляючи людину шансу змінити своє життя. Тому багато хто вважає, що навіть у випадку найтяжчих злочинів держава повинна залишати шанс на виправлення, а не застосовувати найвищу міру остаточної й незворотної кари.</w:t>
      </w:r>
      <w:r w:rsidRPr="00511005">
        <w:rPr>
          <w:rFonts w:ascii="Arial" w:eastAsia="Times New Roman" w:hAnsi="Arial" w:cs="Arial"/>
          <w:szCs w:val="28"/>
          <w:lang w:val="uk-UA" w:eastAsia="ru-RU"/>
        </w:rPr>
        <w:t xml:space="preserve"> </w:t>
      </w:r>
    </w:p>
    <w:p w14:paraId="5304FEF0" w14:textId="12BB7E24"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Підсумовуючи вищевикладене можна зазначити, що світовий досвід застосування смертної кари демонструє глибоку різноманітність підходів у різних країнах і регіонах, що зумовлено історичними, культурними, правовими та релігійними чинниками. </w:t>
      </w:r>
      <w:r w:rsidRPr="00511005">
        <w:rPr>
          <w:rFonts w:ascii="Arial" w:eastAsia="Times New Roman" w:hAnsi="Arial" w:cs="Arial"/>
          <w:szCs w:val="28"/>
          <w:lang w:eastAsia="ru-RU"/>
        </w:rPr>
        <w:t xml:space="preserve">Проте загальна тенденція останніх десятиліть свідчить про поступове обмеження, а подекуди й повне скасування смертної кари. Міжнародні документи, такі як Другий факультативний протокол до Міжнародного пакту про громадянські і політичні права, закріплюють прагнення до повної ліквідації цього виду покарання. </w:t>
      </w:r>
      <w:r w:rsidRPr="00511005">
        <w:rPr>
          <w:rFonts w:ascii="Arial" w:eastAsia="Times New Roman" w:hAnsi="Arial" w:cs="Arial"/>
          <w:szCs w:val="28"/>
          <w:lang w:val="uk-UA" w:eastAsia="ru-RU"/>
        </w:rPr>
        <w:t>Міжнародні о</w:t>
      </w:r>
      <w:r w:rsidRPr="00511005">
        <w:rPr>
          <w:rFonts w:ascii="Arial" w:eastAsia="Times New Roman" w:hAnsi="Arial" w:cs="Arial"/>
          <w:szCs w:val="28"/>
          <w:lang w:eastAsia="ru-RU"/>
        </w:rPr>
        <w:t xml:space="preserve">рганізації активно просувають ідеї гуманізації правосуддя й захисту права на життя. Досвід країн, які відмовилися від смертної кари, свідчить, що це не призводить до зростання злочинності, а натомість сприяє утвердженню принципів прав людини та гуманізму. У </w:t>
      </w:r>
      <w:r w:rsidRPr="00511005">
        <w:rPr>
          <w:rFonts w:ascii="Arial" w:eastAsia="Times New Roman" w:hAnsi="Arial" w:cs="Arial"/>
          <w:szCs w:val="28"/>
          <w:lang w:eastAsia="ru-RU"/>
        </w:rPr>
        <w:lastRenderedPageBreak/>
        <w:t>цьому контексті міжнародне право відіграє ключову роль у формуванні глобальних стандартів правосуддя, орієнтованих на гідність людини, недопущення судових помилок і забезпечення права на справедливий суд.</w:t>
      </w:r>
    </w:p>
    <w:p w14:paraId="3DE2F7BB" w14:textId="77777777" w:rsidR="00DE2391" w:rsidRPr="00511005" w:rsidRDefault="00DE2391" w:rsidP="003A292D">
      <w:pPr>
        <w:tabs>
          <w:tab w:val="left" w:pos="709"/>
        </w:tabs>
        <w:spacing w:line="264" w:lineRule="auto"/>
        <w:rPr>
          <w:rFonts w:ascii="Arial" w:eastAsia="Times New Roman" w:hAnsi="Arial" w:cs="Arial"/>
          <w:szCs w:val="28"/>
          <w:lang w:val="uk-UA" w:eastAsia="ru-RU"/>
        </w:rPr>
      </w:pPr>
    </w:p>
    <w:p w14:paraId="01B51143" w14:textId="06B5C372"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bookmarkStart w:id="62" w:name="_Ref196462789"/>
    </w:p>
    <w:p w14:paraId="1A63E32D" w14:textId="4C0E7C89" w:rsidR="00220D3E" w:rsidRPr="00511005" w:rsidRDefault="00220D3E" w:rsidP="003F6A5D">
      <w:pPr>
        <w:numPr>
          <w:ilvl w:val="0"/>
          <w:numId w:val="198"/>
        </w:numPr>
        <w:spacing w:line="264" w:lineRule="auto"/>
        <w:ind w:left="0" w:firstLine="360"/>
        <w:contextualSpacing/>
        <w:jc w:val="left"/>
        <w:rPr>
          <w:rFonts w:ascii="Arial" w:eastAsia="Calibri" w:hAnsi="Arial" w:cs="Arial"/>
          <w:szCs w:val="28"/>
        </w:rPr>
      </w:pPr>
      <w:r w:rsidRPr="00511005">
        <w:rPr>
          <w:rFonts w:ascii="Arial" w:eastAsia="Calibri" w:hAnsi="Arial" w:cs="Arial"/>
          <w:szCs w:val="28"/>
        </w:rPr>
        <w:t>Міжнародний пакт про громадянські і політичні права. https://zakon.rada.gov.ua/laws/show/995_043#Text. URL: </w:t>
      </w:r>
      <w:hyperlink r:id="rId675" w:anchor="Text" w:tgtFrame="_blank" w:history="1">
        <w:r w:rsidRPr="00511005">
          <w:rPr>
            <w:rFonts w:ascii="Arial" w:eastAsia="Calibri" w:hAnsi="Arial" w:cs="Arial"/>
            <w:szCs w:val="28"/>
          </w:rPr>
          <w:t>https://zakon.rada.gov.ua/laws/show/995_043#Text</w:t>
        </w:r>
      </w:hyperlink>
      <w:bookmarkEnd w:id="62"/>
      <w:r w:rsidR="007B2628" w:rsidRPr="00511005">
        <w:rPr>
          <w:rFonts w:ascii="Arial" w:eastAsia="Calibri" w:hAnsi="Arial" w:cs="Arial"/>
          <w:szCs w:val="28"/>
        </w:rPr>
        <w:t xml:space="preserve"> </w:t>
      </w:r>
    </w:p>
    <w:p w14:paraId="050EF2CC" w14:textId="77777777" w:rsidR="00220D3E" w:rsidRPr="00511005" w:rsidRDefault="00220D3E" w:rsidP="003F6A5D">
      <w:pPr>
        <w:numPr>
          <w:ilvl w:val="0"/>
          <w:numId w:val="198"/>
        </w:numPr>
        <w:spacing w:line="264" w:lineRule="auto"/>
        <w:ind w:left="0" w:firstLine="360"/>
        <w:contextualSpacing/>
        <w:jc w:val="left"/>
        <w:rPr>
          <w:rFonts w:ascii="Arial" w:eastAsia="Calibri" w:hAnsi="Arial" w:cs="Arial"/>
          <w:szCs w:val="28"/>
          <w:lang w:val="en-US"/>
        </w:rPr>
      </w:pPr>
      <w:bookmarkStart w:id="63" w:name="_Ref196462807"/>
      <w:r w:rsidRPr="00511005">
        <w:rPr>
          <w:rFonts w:ascii="Arial" w:eastAsia="Calibri" w:hAnsi="Arial" w:cs="Arial"/>
          <w:szCs w:val="28"/>
          <w:lang w:val="en-US"/>
        </w:rPr>
        <w:t>Amnesty International. Death Penalty Report 2023. Home. URL: </w:t>
      </w:r>
      <w:hyperlink r:id="rId676" w:tgtFrame="_blank" w:history="1">
        <w:r w:rsidRPr="00511005">
          <w:rPr>
            <w:rFonts w:ascii="Arial" w:eastAsia="Calibri" w:hAnsi="Arial" w:cs="Arial"/>
            <w:szCs w:val="28"/>
            <w:lang w:val="en-US"/>
          </w:rPr>
          <w:t>https://www.amnesty.org.uk/resources/death-penalty-report-2023</w:t>
        </w:r>
      </w:hyperlink>
      <w:r w:rsidRPr="00511005">
        <w:rPr>
          <w:rFonts w:ascii="Arial" w:eastAsia="Calibri" w:hAnsi="Arial" w:cs="Arial"/>
          <w:szCs w:val="28"/>
          <w:lang w:val="en-US"/>
        </w:rPr>
        <w:t> </w:t>
      </w:r>
      <w:bookmarkEnd w:id="63"/>
    </w:p>
    <w:p w14:paraId="29851E21" w14:textId="77777777" w:rsidR="00220D3E" w:rsidRPr="00511005" w:rsidRDefault="00220D3E" w:rsidP="003F6A5D">
      <w:pPr>
        <w:numPr>
          <w:ilvl w:val="0"/>
          <w:numId w:val="198"/>
        </w:numPr>
        <w:spacing w:line="264" w:lineRule="auto"/>
        <w:ind w:left="0" w:firstLine="360"/>
        <w:contextualSpacing/>
        <w:jc w:val="left"/>
        <w:rPr>
          <w:rFonts w:ascii="Arial" w:eastAsia="Calibri" w:hAnsi="Arial" w:cs="Arial"/>
          <w:szCs w:val="28"/>
          <w:lang w:val="en-US"/>
        </w:rPr>
      </w:pPr>
      <w:bookmarkStart w:id="64" w:name="_Ref196462747"/>
      <w:r w:rsidRPr="00511005">
        <w:rPr>
          <w:rFonts w:ascii="Arial" w:eastAsia="Calibri" w:hAnsi="Arial" w:cs="Arial"/>
          <w:szCs w:val="28"/>
        </w:rPr>
        <w:t xml:space="preserve">Кравченко О., Трегубенко М. Історичні особливості застосування смертної кари. </w:t>
      </w:r>
      <w:r w:rsidRPr="00511005">
        <w:rPr>
          <w:rFonts w:ascii="Arial" w:eastAsia="Calibri" w:hAnsi="Arial" w:cs="Arial"/>
          <w:szCs w:val="28"/>
          <w:lang w:val="en-US"/>
        </w:rPr>
        <w:t xml:space="preserve">Conferința științifică internațională „OMUL, CRIMINOLOGIA, ȘTIINȚA”, ediția </w:t>
      </w:r>
      <w:proofErr w:type="gramStart"/>
      <w:r w:rsidRPr="00511005">
        <w:rPr>
          <w:rFonts w:ascii="Arial" w:eastAsia="Calibri" w:hAnsi="Arial" w:cs="Arial"/>
          <w:szCs w:val="28"/>
          <w:lang w:val="en-US"/>
        </w:rPr>
        <w:t>a</w:t>
      </w:r>
      <w:proofErr w:type="gramEnd"/>
      <w:r w:rsidRPr="00511005">
        <w:rPr>
          <w:rFonts w:ascii="Arial" w:eastAsia="Calibri" w:hAnsi="Arial" w:cs="Arial"/>
          <w:szCs w:val="28"/>
          <w:lang w:val="en-US"/>
        </w:rPr>
        <w:t xml:space="preserve"> II-a Chișinău, 24 martie 2023. </w:t>
      </w:r>
      <w:r w:rsidRPr="00511005">
        <w:rPr>
          <w:rFonts w:ascii="Arial" w:eastAsia="Calibri" w:hAnsi="Arial" w:cs="Arial"/>
          <w:szCs w:val="28"/>
        </w:rPr>
        <w:t>С</w:t>
      </w:r>
      <w:r w:rsidRPr="00511005">
        <w:rPr>
          <w:rFonts w:ascii="Arial" w:eastAsia="Calibri" w:hAnsi="Arial" w:cs="Arial"/>
          <w:szCs w:val="28"/>
          <w:lang w:val="en-US"/>
        </w:rPr>
        <w:t>. 297–299 URL:</w:t>
      </w:r>
      <w:bookmarkEnd w:id="64"/>
      <w:r w:rsidRPr="00511005">
        <w:rPr>
          <w:rFonts w:ascii="Arial" w:eastAsia="Calibri" w:hAnsi="Arial" w:cs="Arial"/>
          <w:szCs w:val="28"/>
          <w:lang w:val="en-US"/>
        </w:rPr>
        <w:t> </w:t>
      </w:r>
      <w:hyperlink r:id="rId677" w:tgtFrame="_blank" w:history="1">
        <w:r w:rsidRPr="00511005">
          <w:rPr>
            <w:rFonts w:ascii="Arial" w:eastAsia="Calibri" w:hAnsi="Arial" w:cs="Arial"/>
            <w:szCs w:val="28"/>
            <w:lang w:val="en-US"/>
          </w:rPr>
          <w:t>https://ibn.idsi.md/sites/default/files/imag_file/297-299_6.pdf</w:t>
        </w:r>
      </w:hyperlink>
      <w:r w:rsidRPr="00511005">
        <w:rPr>
          <w:rFonts w:ascii="Arial" w:eastAsia="Calibri" w:hAnsi="Arial" w:cs="Arial"/>
          <w:szCs w:val="28"/>
          <w:lang w:val="en-US"/>
        </w:rPr>
        <w:t>.</w:t>
      </w:r>
      <w:bookmarkStart w:id="65" w:name="_Ref196462798"/>
    </w:p>
    <w:p w14:paraId="72E19D4B" w14:textId="77777777" w:rsidR="00220D3E" w:rsidRPr="00511005" w:rsidRDefault="00220D3E" w:rsidP="003F6A5D">
      <w:pPr>
        <w:numPr>
          <w:ilvl w:val="0"/>
          <w:numId w:val="198"/>
        </w:numPr>
        <w:spacing w:line="264" w:lineRule="auto"/>
        <w:ind w:left="0" w:firstLine="360"/>
        <w:contextualSpacing/>
        <w:jc w:val="left"/>
        <w:rPr>
          <w:rFonts w:ascii="Arial" w:eastAsia="Calibri" w:hAnsi="Arial" w:cs="Arial"/>
          <w:szCs w:val="28"/>
        </w:rPr>
      </w:pPr>
      <w:r w:rsidRPr="00511005">
        <w:rPr>
          <w:rFonts w:ascii="Arial" w:eastAsia="Calibri" w:hAnsi="Arial" w:cs="Arial"/>
          <w:szCs w:val="28"/>
        </w:rPr>
        <w:t>Стрельцов Є. Л. Право на життя, смертна кара і властивості кримінального права. LexInform: Правові та юридичні новини, юридична практика, коментарі. URL: </w:t>
      </w:r>
      <w:hyperlink r:id="rId678" w:tgtFrame="_blank" w:history="1">
        <w:r w:rsidRPr="00511005">
          <w:rPr>
            <w:rFonts w:ascii="Arial" w:eastAsia="Calibri" w:hAnsi="Arial" w:cs="Arial"/>
            <w:szCs w:val="28"/>
          </w:rPr>
          <w:t>https://lexinform.com.ua/dumka-eksperta/pravo-na-zhyttya-smertna-kara-i-vlastyvosti-kryminalnogo-prava/</w:t>
        </w:r>
      </w:hyperlink>
      <w:r w:rsidRPr="00511005">
        <w:rPr>
          <w:rFonts w:ascii="Arial" w:eastAsia="Calibri" w:hAnsi="Arial" w:cs="Arial"/>
          <w:szCs w:val="28"/>
        </w:rPr>
        <w:t> </w:t>
      </w:r>
      <w:bookmarkEnd w:id="65"/>
    </w:p>
    <w:p w14:paraId="545C471F" w14:textId="5504816C" w:rsidR="00220D3E" w:rsidRPr="00511005" w:rsidRDefault="007B2628" w:rsidP="00DE2391">
      <w:pPr>
        <w:spacing w:line="264" w:lineRule="auto"/>
        <w:ind w:left="360" w:firstLine="0"/>
        <w:contextualSpacing/>
        <w:jc w:val="left"/>
        <w:rPr>
          <w:rFonts w:ascii="Arial" w:eastAsia="Calibri" w:hAnsi="Arial" w:cs="Arial"/>
          <w:szCs w:val="28"/>
        </w:rPr>
      </w:pPr>
      <w:r w:rsidRPr="00511005">
        <w:rPr>
          <w:rFonts w:ascii="Arial" w:eastAsia="Calibri" w:hAnsi="Arial" w:cs="Arial"/>
          <w:b/>
          <w:i/>
          <w:szCs w:val="28"/>
        </w:rPr>
        <w:t xml:space="preserve">Ключові слова: </w:t>
      </w:r>
      <w:r w:rsidR="00220D3E" w:rsidRPr="00511005">
        <w:rPr>
          <w:rFonts w:ascii="Arial" w:eastAsia="Calibri" w:hAnsi="Arial" w:cs="Arial"/>
          <w:szCs w:val="28"/>
        </w:rPr>
        <w:t>смертна кара, життя, права людини, покарання, кримінальна відпоівдальність, правосуддя, злочин.</w:t>
      </w:r>
    </w:p>
    <w:p w14:paraId="73215A48" w14:textId="216F3755" w:rsidR="00220D3E" w:rsidRPr="00511005" w:rsidRDefault="007B2628" w:rsidP="00DE2391">
      <w:pPr>
        <w:spacing w:line="264" w:lineRule="auto"/>
        <w:ind w:left="360" w:firstLine="0"/>
        <w:contextualSpacing/>
        <w:jc w:val="left"/>
        <w:rPr>
          <w:rFonts w:ascii="Arial" w:eastAsia="Calibri" w:hAnsi="Arial" w:cs="Arial"/>
          <w:szCs w:val="28"/>
          <w:lang w:val="en-US"/>
        </w:rPr>
      </w:pPr>
      <w:r w:rsidRPr="00511005">
        <w:rPr>
          <w:rFonts w:ascii="Arial" w:eastAsia="Calibri" w:hAnsi="Arial" w:cs="Arial"/>
          <w:b/>
          <w:i/>
          <w:szCs w:val="28"/>
          <w:lang w:val="en-US"/>
        </w:rPr>
        <w:t xml:space="preserve">Key words: </w:t>
      </w:r>
      <w:r w:rsidR="00220D3E" w:rsidRPr="00511005">
        <w:rPr>
          <w:rFonts w:ascii="Arial" w:eastAsia="Calibri" w:hAnsi="Arial" w:cs="Arial"/>
          <w:szCs w:val="28"/>
          <w:lang w:val="en-US"/>
        </w:rPr>
        <w:t>death penalty, life, human rights, punishment, criminal responsibility, justice, crime.</w:t>
      </w:r>
    </w:p>
    <w:p w14:paraId="61917D2E" w14:textId="474693CE" w:rsidR="00220D3E" w:rsidRPr="00511005" w:rsidRDefault="007B2628" w:rsidP="003A292D">
      <w:pPr>
        <w:spacing w:line="264" w:lineRule="auto"/>
        <w:ind w:left="360" w:firstLine="0"/>
        <w:contextualSpacing/>
        <w:rPr>
          <w:rFonts w:ascii="Arial" w:eastAsia="Calibri" w:hAnsi="Arial" w:cs="Arial"/>
          <w:bCs/>
          <w:i/>
          <w:iCs/>
          <w:szCs w:val="28"/>
        </w:rPr>
      </w:pPr>
      <w:r w:rsidRPr="00511005">
        <w:rPr>
          <w:rFonts w:ascii="Arial" w:eastAsia="Calibri" w:hAnsi="Arial" w:cs="Arial"/>
          <w:b/>
          <w:bCs/>
          <w:i/>
          <w:iCs/>
          <w:szCs w:val="28"/>
        </w:rPr>
        <w:t xml:space="preserve">Науковий керівник: </w:t>
      </w:r>
      <w:r w:rsidR="00220D3E" w:rsidRPr="00511005">
        <w:rPr>
          <w:rFonts w:ascii="Arial" w:eastAsia="Calibri" w:hAnsi="Arial" w:cs="Arial"/>
          <w:bCs/>
          <w:i/>
          <w:iCs/>
          <w:szCs w:val="28"/>
        </w:rPr>
        <w:t>к.ю.н., доцент</w:t>
      </w:r>
      <w:r w:rsidRPr="00511005">
        <w:rPr>
          <w:rFonts w:ascii="Arial" w:eastAsia="Calibri" w:hAnsi="Arial" w:cs="Arial"/>
          <w:bCs/>
          <w:i/>
          <w:iCs/>
          <w:szCs w:val="28"/>
        </w:rPr>
        <w:t xml:space="preserve"> </w:t>
      </w:r>
      <w:r w:rsidR="00220D3E" w:rsidRPr="00511005">
        <w:rPr>
          <w:rFonts w:ascii="Arial" w:eastAsia="Calibri" w:hAnsi="Arial" w:cs="Arial"/>
          <w:bCs/>
          <w:i/>
          <w:iCs/>
          <w:szCs w:val="28"/>
        </w:rPr>
        <w:t>Гриб А.М.</w:t>
      </w:r>
    </w:p>
    <w:p w14:paraId="79A11BA0" w14:textId="77777777" w:rsidR="00DE2391" w:rsidRPr="00511005" w:rsidRDefault="00DE2391" w:rsidP="003A292D">
      <w:pPr>
        <w:spacing w:line="264" w:lineRule="auto"/>
        <w:ind w:left="360" w:firstLine="0"/>
        <w:contextualSpacing/>
        <w:rPr>
          <w:rFonts w:ascii="Arial" w:eastAsia="Calibri" w:hAnsi="Arial" w:cs="Arial"/>
          <w:szCs w:val="28"/>
        </w:rPr>
      </w:pPr>
    </w:p>
    <w:p w14:paraId="257C45D3"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Тимошенко Софія Володимирівна</w:t>
      </w:r>
    </w:p>
    <w:p w14:paraId="34ADC881" w14:textId="2A879103"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09F1CE9D"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C901708"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48E34E3"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2E8FB4D1"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МІЖНАРОДНІ СТАНДАРТИ ЗАБЕЗПЕЧЕННЯ ТА ЗАХИСТУ ПРАВ ВІЙСЬКОВОПОЛОНЕНИХ</w:t>
      </w:r>
    </w:p>
    <w:p w14:paraId="5A18934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Проблема захисту військовополонених залишається актуальною через постійні порушення міжнародного гуманітарного права під час збройних конфліктів. Попри зусилля міжнародної спільноти, військовополонені досі часто зазнають тортур та жорстокого поводження.</w:t>
      </w:r>
    </w:p>
    <w:p w14:paraId="7BD73DC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Дотримання міжнародних стандартів прав людини відображає рівень правової свідомості суспільства. Внутрішні й міжнародні суперечності можуть призводити до збройних конфліктів, унаслідок чого часто порушуються як загальновизнані права людини, так і норми міжнародного гуманітарного права, зокрема щодо поводження з військовополоненими.</w:t>
      </w:r>
    </w:p>
    <w:p w14:paraId="0B6A92A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Термін «міжнародний стандарт прав людини» вперше був використаний у Мінімальних стандартних правилах поводження з </w:t>
      </w:r>
      <w:r w:rsidRPr="00511005">
        <w:rPr>
          <w:rFonts w:ascii="Arial" w:eastAsia="Times New Roman" w:hAnsi="Arial" w:cs="Arial"/>
          <w:szCs w:val="28"/>
          <w:lang w:eastAsia="ru-RU"/>
        </w:rPr>
        <w:lastRenderedPageBreak/>
        <w:t>ув’язненими, які були прийняті 30 серпня 1955 року на Першому Конгресі Організації Об’єднаних Націй (далі – ООН) з питань запобігання злочинності та поводження з правопорушниками [1].</w:t>
      </w:r>
    </w:p>
    <w:p w14:paraId="1287E3F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Міжнародні стандарти прав людини визначають обов’язки держав, перелік основних прав і свобод, їх зміст і умови реалізації. Узята державами відповідальність за дотримання цих норм передбачає можливість притягнення до відповідальності у разі їх порушення, що, у свою чергу, й утворює міжнародну систему захисту прав людини.</w:t>
      </w:r>
    </w:p>
    <w:p w14:paraId="0241140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До фундаментальних міжнародних стандартів, що регулюють захист і дотримання прав військовополонених, зокрема, можна віднести: Женевські конвенції, які визначають право на гуманне поводження, медичну допомогу, заборону катувань тощо [2, 3]; Додаткові протоколи до Женевської конвенції, що розширюють захист на учасників внутрішніх конфліктів [4]; Загальну Декларацію прав людини, а саме статтю третю [5]; Конвенцію ООН проти катувань та інших жорстоких, нелюдських або таких, що принижують гідність, видів поводження і покарання – закріплює міжнародний механізм боротьби з катуванням, що особливо актуально для військовополонених [6] тощо.</w:t>
      </w:r>
    </w:p>
    <w:p w14:paraId="15AB461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Зокрема, Женевські конвенції прийняті </w:t>
      </w:r>
      <w:r w:rsidRPr="00511005">
        <w:rPr>
          <w:rFonts w:ascii="Arial" w:eastAsia="Times New Roman" w:hAnsi="Arial" w:cs="Arial"/>
          <w:bCs/>
          <w:szCs w:val="28"/>
          <w:lang w:eastAsia="ru-RU"/>
        </w:rPr>
        <w:t>1949 року</w:t>
      </w:r>
      <w:r w:rsidRPr="00511005">
        <w:rPr>
          <w:rFonts w:ascii="Arial" w:eastAsia="Times New Roman" w:hAnsi="Arial" w:cs="Arial"/>
          <w:szCs w:val="28"/>
          <w:lang w:eastAsia="ru-RU"/>
        </w:rPr>
        <w:t xml:space="preserve"> за результатами міжнародних переговорів, що відбулися після Другої світової війни, є одним із найважливіших міжнародно-правових документів, які визначають права військовополонених і на сьогодні ратифіковані </w:t>
      </w:r>
      <w:r w:rsidRPr="00511005">
        <w:rPr>
          <w:rFonts w:ascii="Arial" w:eastAsia="Times New Roman" w:hAnsi="Arial" w:cs="Arial"/>
          <w:bCs/>
          <w:szCs w:val="28"/>
          <w:lang w:eastAsia="ru-RU"/>
        </w:rPr>
        <w:t>196 державами</w:t>
      </w:r>
      <w:r w:rsidRPr="00511005">
        <w:rPr>
          <w:rFonts w:ascii="Arial" w:eastAsia="Times New Roman" w:hAnsi="Arial" w:cs="Arial"/>
          <w:szCs w:val="28"/>
          <w:lang w:eastAsia="ru-RU"/>
        </w:rPr>
        <w:t xml:space="preserve"> [7].</w:t>
      </w:r>
    </w:p>
    <w:p w14:paraId="66AB99A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Третя конвенція визначає правила поводження з військовополоненими, а Четверта забезпечує захист цивільного населення в умовах війни. Вони визначають набір правил, що гарантують гуманне ставлення до військовополонених, захист їхніх прав та запобігання насильству й жорстокості щодо них. Ці конвенції гарантують гуманне ставлення до військовополонених, захист їхніх прав та запобігання насильству й жорстокості щодо них, включаючи заборону тортур, жорстокого або принизливого поводження, примусу до надання інформації чи самообвинувачення, а також гарантують справедливий суд та необхідну медичну допомогу [2, 3].</w:t>
      </w:r>
    </w:p>
    <w:p w14:paraId="60324AD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Окрім самих Женевських конвенцій, важливе значення мають і Додаткові протоколи до них 1977 року, що конкретизували та значно розширили права зазначеної категорії осіб, регулюючи як міжнародні, так і неміжнародні збройні конфлікти [7].</w:t>
      </w:r>
    </w:p>
    <w:p w14:paraId="046F377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 рамках діяльності ООН існує низка важливих резолюцій, спрямованих на забезпечення захисту прав військовополонених, які наполегливо вимагають від усіх сторін конфлікту дотримання принципів міжнародного гуманітарного права та шанування прав людини. До них, зокрема, відносяться: Резолюція Генеральної Асамблеї ООН від 20 грудня 1979 року «Захист прав осіб, які перебувають у полоні»; </w:t>
      </w:r>
      <w:proofErr w:type="gramStart"/>
      <w:r w:rsidRPr="00511005">
        <w:rPr>
          <w:rFonts w:ascii="Arial" w:eastAsia="Times New Roman" w:hAnsi="Arial" w:cs="Arial"/>
          <w:szCs w:val="28"/>
          <w:lang w:eastAsia="ru-RU"/>
        </w:rPr>
        <w:t>Резолюція</w:t>
      </w:r>
      <w:proofErr w:type="gramEnd"/>
      <w:r w:rsidRPr="00511005">
        <w:rPr>
          <w:rFonts w:ascii="Arial" w:eastAsia="Times New Roman" w:hAnsi="Arial" w:cs="Arial"/>
          <w:szCs w:val="28"/>
          <w:lang w:eastAsia="ru-RU"/>
        </w:rPr>
        <w:t xml:space="preserve"> Ради </w:t>
      </w:r>
      <w:r w:rsidRPr="00511005">
        <w:rPr>
          <w:rFonts w:ascii="Arial" w:eastAsia="Times New Roman" w:hAnsi="Arial" w:cs="Arial"/>
          <w:szCs w:val="28"/>
          <w:lang w:eastAsia="ru-RU"/>
        </w:rPr>
        <w:lastRenderedPageBreak/>
        <w:t xml:space="preserve">Безпеки ООН № 1265 від 17 вересня 1999 року «Про захист цивільного населення в умовах збройних конфліктів» тощо. </w:t>
      </w:r>
    </w:p>
    <w:p w14:paraId="39B06E2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Слід підкреслити, що ефективне застосування міжнародних стандартів ґрунтується на кількох фундаментальних принципах, які визначають підхід до поводження з військовополоненими. Серед головних з них варто виокремити три ключові принципи: принцип гуманності, принцип відсутності дискримінації та принцип взаємності.</w:t>
      </w:r>
    </w:p>
    <w:p w14:paraId="407ED3C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Незважаючи на існування міжнародних стандартів, у сфері утримання військовополонених нерідко фіксуються серйозні порушення їхніх прав, такі як фізичне та психологічне насильство, неналежні умови утримання, обмеження зв'язку зі світом та порушення права на справедливий суд [7].</w:t>
      </w:r>
    </w:p>
    <w:p w14:paraId="5C8EDAD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Слід наголосити, що дотримання міжнародних стандартів поводження з військовополоненими є не правом вибору, а юридичним зобов'язанням держав, які ратифікували відповідні міжнародні конвенції. Ігнорування цих стандартів може мати серйозні наслідки, включаючи міжнародну відповідальність та кримінальне переслідування у міжнародних трибуналах. Важливо також пам'ятати, що Женевські конвенції визначають мінімальні вимоги до поводження як з військовополоненими, так і з цивільними особами, які опинилися під контролем противника під час збройного конфлікту, встановлюючи чіткі зобов'язання для держав-учасниць та гарантуючи певні права і захист цим категоріям осіб.</w:t>
      </w:r>
    </w:p>
    <w:p w14:paraId="6F6F809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Слід погодитись з думкою Кравцової М.О. та Дацюк Т.К., що ключовим аспектом дієвого застосування міжнародних стандартів у сфері прав людини є їхнє впровадження в реальне життя, що потребує належної правової підготовки, ефективних способів перевірки виконання цих стандартів та залучення громадськості й міжнародних організацій до процесу спостереження та оцінювання [7].</w:t>
      </w:r>
    </w:p>
    <w:p w14:paraId="23A50A0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Важливим елементом є гарантування належного усвідомлення та належної поваги до міжнародних стандартів у сфері прав людини серед населення. Це сприятиме зменшенню порушень та ефективному їхньому виконанню через інформаційну роботу, залучення громадськості </w:t>
      </w:r>
      <w:proofErr w:type="gramStart"/>
      <w:r w:rsidRPr="00511005">
        <w:rPr>
          <w:rFonts w:ascii="Arial" w:eastAsia="Times New Roman" w:hAnsi="Arial" w:cs="Arial"/>
          <w:szCs w:val="28"/>
          <w:lang w:eastAsia="ru-RU"/>
        </w:rPr>
        <w:t>до контролю</w:t>
      </w:r>
      <w:proofErr w:type="gramEnd"/>
      <w:r w:rsidRPr="00511005">
        <w:rPr>
          <w:rFonts w:ascii="Arial" w:eastAsia="Times New Roman" w:hAnsi="Arial" w:cs="Arial"/>
          <w:szCs w:val="28"/>
          <w:lang w:eastAsia="ru-RU"/>
        </w:rPr>
        <w:t xml:space="preserve"> та створення доступного правосуддя.</w:t>
      </w:r>
    </w:p>
    <w:p w14:paraId="0D7F95D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Комплексний підхід до захисту прав військовополонених передбачає діяльність низки органів та інституцій на міжнародному та регіональному рівнях, наділених контрольними та моніторинговими повноваженнями щодо спостереження, дослідження, інспектування та фіксації порушень прав і свобод військовополонених.</w:t>
      </w:r>
    </w:p>
    <w:p w14:paraId="72A3983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 глобальному рівні провідну позицію займає Рада ООН з прав людини (РПЛ), яка через свої спеціальні процедури реагує на критичні ситуації. Наприклад, під час повномасштабної війни РФ проти України РПЛ ухвалила резолюцію 49/1 (2022), що засудила масові порушення прав українських полонених, включаючи тортури та позасудові страти. Спеціальні </w:t>
      </w:r>
      <w:r w:rsidRPr="00511005">
        <w:rPr>
          <w:rFonts w:ascii="Arial" w:eastAsia="Times New Roman" w:hAnsi="Arial" w:cs="Arial"/>
          <w:szCs w:val="28"/>
          <w:lang w:eastAsia="ru-RU"/>
        </w:rPr>
        <w:lastRenderedPageBreak/>
        <w:t>доповідачі РПЛ – з питань тортур, насильницьких зникнень, свободи слова – мають повноваження розслідувати конкретні випадки, відвідувати місця утримання та публікувати рекомендації.</w:t>
      </w:r>
    </w:p>
    <w:p w14:paraId="09136AA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Окрім цього, важливу роль відіграє </w:t>
      </w:r>
      <w:r w:rsidRPr="00511005">
        <w:rPr>
          <w:rFonts w:ascii="Arial" w:eastAsia="Times New Roman" w:hAnsi="Arial" w:cs="Arial"/>
          <w:bCs/>
          <w:szCs w:val="28"/>
          <w:lang w:eastAsia="ru-RU"/>
        </w:rPr>
        <w:t>Управління Верховного комісара ООН з прав людини (УВКПЛ)</w:t>
      </w:r>
      <w:r w:rsidRPr="00511005">
        <w:rPr>
          <w:rFonts w:ascii="Arial" w:eastAsia="Times New Roman" w:hAnsi="Arial" w:cs="Arial"/>
          <w:szCs w:val="28"/>
          <w:lang w:eastAsia="ru-RU"/>
        </w:rPr>
        <w:t>, яке системно документує порушення в зонах конфліктів. У 2024 році УВКПЛ опублікувало звіт, в якому зазначено, що з 174 опитаних українських військовополонених 169 повідомили про тортури або жорстоке поводження.</w:t>
      </w:r>
    </w:p>
    <w:p w14:paraId="48EF0EB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Важливу роль відіграють також українські правозахисні організації, які здійснюють незалежний моніторинг, документують випадки порушень прав військовополонених та надають юридичну допомогу постраждалим.</w:t>
      </w:r>
    </w:p>
    <w:p w14:paraId="1615377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 регіональному рівні ключовим механізмом залишається </w:t>
      </w:r>
      <w:r w:rsidRPr="00511005">
        <w:rPr>
          <w:rFonts w:ascii="Arial" w:eastAsia="Times New Roman" w:hAnsi="Arial" w:cs="Arial"/>
          <w:bCs/>
          <w:szCs w:val="28"/>
          <w:lang w:eastAsia="ru-RU"/>
        </w:rPr>
        <w:t>Європейський суд з прав людини (ЄСПЛ)</w:t>
      </w:r>
      <w:r w:rsidRPr="00511005">
        <w:rPr>
          <w:rFonts w:ascii="Arial" w:eastAsia="Times New Roman" w:hAnsi="Arial" w:cs="Arial"/>
          <w:szCs w:val="28"/>
          <w:lang w:eastAsia="ru-RU"/>
        </w:rPr>
        <w:t>, який розглядає скарги на порушення Європейської конвенції. Україна активно використовує цей інструмент: до ЄСПЛ подано низку справ проти РФ, зокрема щодо відмови у доступі до адвокатів, незаконних страт і зникнень полонених. Рішення Суду створюють прецеденти, які посилюють міжнародний тиск на агресора.</w:t>
      </w:r>
    </w:p>
    <w:p w14:paraId="46FE6D2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забезпечення дотримання міжнародних стандартів прав людини, особливо щодо військовополонених, залишається нагальною потребою, що вимагає комплексних зусиль від держав, міжнародних організацій та громадянського суспільства для запобігання порушенням та забезпечення ефективної реалізації існуючих правових норм.</w:t>
      </w:r>
    </w:p>
    <w:p w14:paraId="29AF7573"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4B397A4B" w14:textId="6008F0CB" w:rsidR="00220D3E"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77156DF4" w14:textId="77777777" w:rsidR="00220D3E" w:rsidRPr="00511005" w:rsidRDefault="00220D3E" w:rsidP="003F6A5D">
      <w:pPr>
        <w:numPr>
          <w:ilvl w:val="0"/>
          <w:numId w:val="155"/>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Мінімальні стандартні правила поводження з </w:t>
      </w:r>
      <w:proofErr w:type="gramStart"/>
      <w:r w:rsidRPr="00511005">
        <w:rPr>
          <w:rFonts w:ascii="Arial" w:eastAsia="Calibri" w:hAnsi="Arial" w:cs="Arial"/>
          <w:szCs w:val="28"/>
        </w:rPr>
        <w:t>в'язнями :</w:t>
      </w:r>
      <w:proofErr w:type="gramEnd"/>
      <w:r w:rsidRPr="00511005">
        <w:rPr>
          <w:rFonts w:ascii="Arial" w:eastAsia="Calibri" w:hAnsi="Arial" w:cs="Arial"/>
          <w:szCs w:val="28"/>
        </w:rPr>
        <w:t xml:space="preserve"> Правила Орг. Об'єдн. Націй від 30.08.1955. URL: </w:t>
      </w:r>
      <w:hyperlink r:id="rId679" w:anchor="Text" w:tgtFrame="_blank" w:history="1">
        <w:r w:rsidRPr="00511005">
          <w:rPr>
            <w:rFonts w:ascii="Arial" w:eastAsia="Calibri" w:hAnsi="Arial" w:cs="Arial"/>
            <w:szCs w:val="28"/>
          </w:rPr>
          <w:t>https://zakon.rada.gov.ua/laws/show/995_212#Text</w:t>
        </w:r>
      </w:hyperlink>
      <w:r w:rsidRPr="00511005">
        <w:rPr>
          <w:rFonts w:ascii="Arial" w:eastAsia="Calibri" w:hAnsi="Arial" w:cs="Arial"/>
          <w:szCs w:val="28"/>
        </w:rPr>
        <w:t> (дата звернення: 19.04.2025).</w:t>
      </w:r>
    </w:p>
    <w:p w14:paraId="0C281A43" w14:textId="77777777" w:rsidR="00220D3E" w:rsidRPr="00511005" w:rsidRDefault="00220D3E" w:rsidP="003F6A5D">
      <w:pPr>
        <w:numPr>
          <w:ilvl w:val="0"/>
          <w:numId w:val="155"/>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Женевська конвенція про поводження з військовополоненими: Конвенція Орг. Об'єдн. Націй від </w:t>
      </w:r>
      <w:proofErr w:type="gramStart"/>
      <w:r w:rsidRPr="00511005">
        <w:rPr>
          <w:rFonts w:ascii="Arial" w:eastAsia="Calibri" w:hAnsi="Arial" w:cs="Arial"/>
          <w:szCs w:val="28"/>
        </w:rPr>
        <w:t>12.08.1949 :</w:t>
      </w:r>
      <w:proofErr w:type="gramEnd"/>
      <w:r w:rsidRPr="00511005">
        <w:rPr>
          <w:rFonts w:ascii="Arial" w:eastAsia="Calibri" w:hAnsi="Arial" w:cs="Arial"/>
          <w:szCs w:val="28"/>
        </w:rPr>
        <w:t xml:space="preserve"> станом на 23 лют. 2023 р. URL: </w:t>
      </w:r>
      <w:hyperlink r:id="rId680" w:anchor="Text" w:tgtFrame="_blank" w:history="1">
        <w:r w:rsidRPr="00511005">
          <w:rPr>
            <w:rFonts w:ascii="Arial" w:eastAsia="Calibri" w:hAnsi="Arial" w:cs="Arial"/>
            <w:szCs w:val="28"/>
          </w:rPr>
          <w:t>https://zakon.rada.gov.ua/laws/show/995_153#Text</w:t>
        </w:r>
      </w:hyperlink>
      <w:r w:rsidRPr="00511005">
        <w:rPr>
          <w:rFonts w:ascii="Arial" w:eastAsia="Calibri" w:hAnsi="Arial" w:cs="Arial"/>
          <w:szCs w:val="28"/>
        </w:rPr>
        <w:t> (дата звернення: 19.04.2025).</w:t>
      </w:r>
      <w:r w:rsidRPr="00511005">
        <w:rPr>
          <w:rFonts w:ascii="Arial" w:eastAsia="Calibri" w:hAnsi="Arial" w:cs="Arial"/>
          <w:b/>
          <w:szCs w:val="28"/>
        </w:rPr>
        <w:t xml:space="preserve"> </w:t>
      </w:r>
    </w:p>
    <w:p w14:paraId="7984301D" w14:textId="77777777" w:rsidR="00220D3E" w:rsidRPr="00511005" w:rsidRDefault="00220D3E" w:rsidP="003F6A5D">
      <w:pPr>
        <w:numPr>
          <w:ilvl w:val="0"/>
          <w:numId w:val="155"/>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Конвенція про захист цивільного населення під час війни: Конвенція Орг. Об'єдн. Націй від </w:t>
      </w:r>
      <w:proofErr w:type="gramStart"/>
      <w:r w:rsidRPr="00511005">
        <w:rPr>
          <w:rFonts w:ascii="Arial" w:eastAsia="Calibri" w:hAnsi="Arial" w:cs="Arial"/>
          <w:szCs w:val="28"/>
        </w:rPr>
        <w:t>12.08.1949 :</w:t>
      </w:r>
      <w:proofErr w:type="gramEnd"/>
      <w:r w:rsidRPr="00511005">
        <w:rPr>
          <w:rFonts w:ascii="Arial" w:eastAsia="Calibri" w:hAnsi="Arial" w:cs="Arial"/>
          <w:szCs w:val="28"/>
        </w:rPr>
        <w:t xml:space="preserve"> станом на 23 лют. 2023 р. URL: </w:t>
      </w:r>
      <w:hyperlink r:id="rId681" w:anchor="Text" w:tgtFrame="_blank" w:history="1">
        <w:r w:rsidRPr="00511005">
          <w:rPr>
            <w:rFonts w:ascii="Arial" w:eastAsia="Calibri" w:hAnsi="Arial" w:cs="Arial"/>
            <w:szCs w:val="28"/>
          </w:rPr>
          <w:t>https://zakon.rada.gov.ua/laws/show/995_154#Text</w:t>
        </w:r>
      </w:hyperlink>
      <w:r w:rsidRPr="00511005">
        <w:rPr>
          <w:rFonts w:ascii="Arial" w:eastAsia="Calibri" w:hAnsi="Arial" w:cs="Arial"/>
          <w:szCs w:val="28"/>
        </w:rPr>
        <w:t> (дата звернення: 19.04.2025).</w:t>
      </w:r>
    </w:p>
    <w:p w14:paraId="5F36B614" w14:textId="77777777" w:rsidR="00220D3E" w:rsidRPr="00511005" w:rsidRDefault="00220D3E" w:rsidP="003F6A5D">
      <w:pPr>
        <w:numPr>
          <w:ilvl w:val="0"/>
          <w:numId w:val="155"/>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Додатковий протокол до Женевських конвенцій від 12 серпня 1949 року, що стосується захисту жертв міжнародних збройних конфліктів (Протокол I) з поправками від </w:t>
      </w:r>
      <w:proofErr w:type="gramStart"/>
      <w:r w:rsidRPr="00511005">
        <w:rPr>
          <w:rFonts w:ascii="Arial" w:eastAsia="Calibri" w:hAnsi="Arial" w:cs="Arial"/>
          <w:szCs w:val="28"/>
        </w:rPr>
        <w:t>30.11.93 :</w:t>
      </w:r>
      <w:proofErr w:type="gramEnd"/>
      <w:r w:rsidRPr="00511005">
        <w:rPr>
          <w:rFonts w:ascii="Arial" w:eastAsia="Calibri" w:hAnsi="Arial" w:cs="Arial"/>
          <w:szCs w:val="28"/>
        </w:rPr>
        <w:t xml:space="preserve"> Протокол Орг. Об'єдн. Націй від 30.11.1993. URL: </w:t>
      </w:r>
      <w:hyperlink r:id="rId682" w:anchor="Text" w:tgtFrame="_blank" w:history="1">
        <w:r w:rsidRPr="00511005">
          <w:rPr>
            <w:rFonts w:ascii="Arial" w:eastAsia="Calibri" w:hAnsi="Arial" w:cs="Arial"/>
            <w:szCs w:val="28"/>
          </w:rPr>
          <w:t>https://zakon.rada.gov.ua/laws/show/995_911#Text</w:t>
        </w:r>
      </w:hyperlink>
      <w:r w:rsidRPr="00511005">
        <w:rPr>
          <w:rFonts w:ascii="Arial" w:eastAsia="Calibri" w:hAnsi="Arial" w:cs="Arial"/>
          <w:szCs w:val="28"/>
        </w:rPr>
        <w:t> (дата звернення: 19.04.2025).</w:t>
      </w:r>
    </w:p>
    <w:p w14:paraId="50F40CAF" w14:textId="77777777" w:rsidR="00220D3E" w:rsidRPr="00511005" w:rsidRDefault="00220D3E" w:rsidP="003F6A5D">
      <w:pPr>
        <w:numPr>
          <w:ilvl w:val="0"/>
          <w:numId w:val="155"/>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lastRenderedPageBreak/>
        <w:t>Загальна декларація прав людини: Декларація Орг. Об'єдн. Націй від 10.12.1948. URL: </w:t>
      </w:r>
      <w:hyperlink r:id="rId683" w:anchor="Text" w:tgtFrame="_blank" w:history="1">
        <w:r w:rsidRPr="00511005">
          <w:rPr>
            <w:rFonts w:ascii="Arial" w:eastAsia="Calibri" w:hAnsi="Arial" w:cs="Arial"/>
            <w:szCs w:val="28"/>
          </w:rPr>
          <w:t>https://zakon.rada.gov.ua/laws/show/995_015#Text</w:t>
        </w:r>
      </w:hyperlink>
      <w:r w:rsidRPr="00511005">
        <w:rPr>
          <w:rFonts w:ascii="Arial" w:eastAsia="Calibri" w:hAnsi="Arial" w:cs="Arial"/>
          <w:szCs w:val="28"/>
        </w:rPr>
        <w:t> (дата звернення: 19.04.2025).</w:t>
      </w:r>
    </w:p>
    <w:p w14:paraId="3D97733C" w14:textId="77777777" w:rsidR="00220D3E" w:rsidRPr="00511005" w:rsidRDefault="00220D3E" w:rsidP="003F6A5D">
      <w:pPr>
        <w:numPr>
          <w:ilvl w:val="0"/>
          <w:numId w:val="155"/>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Конвенція проти катувань та інших жорстоких, нелюдських або таких, що принижують гідність, видів поводження і </w:t>
      </w:r>
      <w:proofErr w:type="gramStart"/>
      <w:r w:rsidRPr="00511005">
        <w:rPr>
          <w:rFonts w:ascii="Arial" w:eastAsia="Calibri" w:hAnsi="Arial" w:cs="Arial"/>
          <w:szCs w:val="28"/>
        </w:rPr>
        <w:t>покарання :</w:t>
      </w:r>
      <w:proofErr w:type="gramEnd"/>
      <w:r w:rsidRPr="00511005">
        <w:rPr>
          <w:rFonts w:ascii="Arial" w:eastAsia="Calibri" w:hAnsi="Arial" w:cs="Arial"/>
          <w:szCs w:val="28"/>
        </w:rPr>
        <w:t xml:space="preserve"> Конвенція Орг. Об'єдн. Націй від </w:t>
      </w:r>
      <w:proofErr w:type="gramStart"/>
      <w:r w:rsidRPr="00511005">
        <w:rPr>
          <w:rFonts w:ascii="Arial" w:eastAsia="Calibri" w:hAnsi="Arial" w:cs="Arial"/>
          <w:szCs w:val="28"/>
        </w:rPr>
        <w:t>10.12.1984 :</w:t>
      </w:r>
      <w:proofErr w:type="gramEnd"/>
      <w:r w:rsidRPr="00511005">
        <w:rPr>
          <w:rFonts w:ascii="Arial" w:eastAsia="Calibri" w:hAnsi="Arial" w:cs="Arial"/>
          <w:szCs w:val="28"/>
        </w:rPr>
        <w:t xml:space="preserve"> станом на 13 листоп. 1998 р. URL: </w:t>
      </w:r>
      <w:hyperlink r:id="rId684" w:anchor="Text" w:tgtFrame="_blank" w:history="1">
        <w:r w:rsidRPr="00511005">
          <w:rPr>
            <w:rFonts w:ascii="Arial" w:eastAsia="Calibri" w:hAnsi="Arial" w:cs="Arial"/>
            <w:szCs w:val="28"/>
          </w:rPr>
          <w:t>https://zakon.rada.gov.ua/laws/show/995_085#Text</w:t>
        </w:r>
      </w:hyperlink>
      <w:r w:rsidRPr="00511005">
        <w:rPr>
          <w:rFonts w:ascii="Arial" w:eastAsia="Calibri" w:hAnsi="Arial" w:cs="Arial"/>
          <w:szCs w:val="28"/>
        </w:rPr>
        <w:t> (дата звернення: 19.04.2025).</w:t>
      </w:r>
    </w:p>
    <w:p w14:paraId="762CA095" w14:textId="77777777" w:rsidR="00220D3E" w:rsidRPr="00511005" w:rsidRDefault="00220D3E" w:rsidP="003F6A5D">
      <w:pPr>
        <w:numPr>
          <w:ilvl w:val="0"/>
          <w:numId w:val="155"/>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Kravtsova M. O., Datsiuk T. K. International standards for the protection and observance of the rights of prisoners of war. </w:t>
      </w:r>
      <w:r w:rsidRPr="00511005">
        <w:rPr>
          <w:rFonts w:ascii="Arial" w:eastAsia="Calibri" w:hAnsi="Arial" w:cs="Arial"/>
          <w:i/>
          <w:iCs/>
          <w:szCs w:val="28"/>
          <w:lang w:val="en-US"/>
        </w:rPr>
        <w:t>Analytical and Comparative Jurisprudence</w:t>
      </w:r>
      <w:r w:rsidRPr="00511005">
        <w:rPr>
          <w:rFonts w:ascii="Arial" w:eastAsia="Calibri" w:hAnsi="Arial" w:cs="Arial"/>
          <w:szCs w:val="28"/>
          <w:lang w:val="en-US"/>
        </w:rPr>
        <w:t>. 2023. No. 2. P. 398–402. URL: </w:t>
      </w:r>
      <w:hyperlink r:id="rId685" w:tgtFrame="_blank" w:history="1">
        <w:r w:rsidRPr="00511005">
          <w:rPr>
            <w:rFonts w:ascii="Arial" w:eastAsia="Calibri" w:hAnsi="Arial" w:cs="Arial"/>
            <w:szCs w:val="28"/>
            <w:lang w:val="en-US"/>
          </w:rPr>
          <w:t>https://doi.org/10.24144/2788-6018.2023.02.69</w:t>
        </w:r>
      </w:hyperlink>
      <w:r w:rsidRPr="00511005">
        <w:rPr>
          <w:rFonts w:ascii="Arial" w:eastAsia="Calibri" w:hAnsi="Arial" w:cs="Arial"/>
          <w:szCs w:val="28"/>
          <w:lang w:val="en-US"/>
        </w:rPr>
        <w:t> (</w:t>
      </w:r>
      <w:r w:rsidRPr="00511005">
        <w:rPr>
          <w:rFonts w:ascii="Arial" w:eastAsia="Calibri" w:hAnsi="Arial" w:cs="Arial"/>
          <w:szCs w:val="28"/>
        </w:rPr>
        <w:t>дата</w:t>
      </w:r>
      <w:r w:rsidRPr="00511005">
        <w:rPr>
          <w:rFonts w:ascii="Arial" w:eastAsia="Calibri" w:hAnsi="Arial" w:cs="Arial"/>
          <w:szCs w:val="28"/>
          <w:lang w:val="en-US"/>
        </w:rPr>
        <w:t xml:space="preserve"> </w:t>
      </w:r>
      <w:r w:rsidRPr="00511005">
        <w:rPr>
          <w:rFonts w:ascii="Arial" w:eastAsia="Calibri" w:hAnsi="Arial" w:cs="Arial"/>
          <w:szCs w:val="28"/>
        </w:rPr>
        <w:t>звернення</w:t>
      </w:r>
      <w:r w:rsidRPr="00511005">
        <w:rPr>
          <w:rFonts w:ascii="Arial" w:eastAsia="Calibri" w:hAnsi="Arial" w:cs="Arial"/>
          <w:szCs w:val="28"/>
          <w:lang w:val="en-US"/>
        </w:rPr>
        <w:t>: 19.04.2025).</w:t>
      </w:r>
    </w:p>
    <w:p w14:paraId="29196187" w14:textId="77777777" w:rsidR="00220D3E" w:rsidRPr="00511005" w:rsidRDefault="00220D3E" w:rsidP="003F6A5D">
      <w:pPr>
        <w:numPr>
          <w:ilvl w:val="0"/>
          <w:numId w:val="155"/>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rPr>
        <w:t>УВКПЛ</w:t>
      </w:r>
      <w:r w:rsidRPr="00511005">
        <w:rPr>
          <w:rFonts w:ascii="Arial" w:eastAsia="Calibri" w:hAnsi="Arial" w:cs="Arial"/>
          <w:szCs w:val="28"/>
          <w:lang w:val="en-US"/>
        </w:rPr>
        <w:t>: «</w:t>
      </w:r>
      <w:r w:rsidRPr="00511005">
        <w:rPr>
          <w:rFonts w:ascii="Arial" w:eastAsia="Calibri" w:hAnsi="Arial" w:cs="Arial"/>
          <w:szCs w:val="28"/>
        </w:rPr>
        <w:t>Доповідь</w:t>
      </w:r>
      <w:r w:rsidRPr="00511005">
        <w:rPr>
          <w:rFonts w:ascii="Arial" w:eastAsia="Calibri" w:hAnsi="Arial" w:cs="Arial"/>
          <w:szCs w:val="28"/>
          <w:lang w:val="en-US"/>
        </w:rPr>
        <w:t xml:space="preserve"> </w:t>
      </w:r>
      <w:r w:rsidRPr="00511005">
        <w:rPr>
          <w:rFonts w:ascii="Arial" w:eastAsia="Calibri" w:hAnsi="Arial" w:cs="Arial"/>
          <w:szCs w:val="28"/>
        </w:rPr>
        <w:t>щодо</w:t>
      </w:r>
      <w:r w:rsidRPr="00511005">
        <w:rPr>
          <w:rFonts w:ascii="Arial" w:eastAsia="Calibri" w:hAnsi="Arial" w:cs="Arial"/>
          <w:szCs w:val="28"/>
          <w:lang w:val="en-US"/>
        </w:rPr>
        <w:t xml:space="preserve"> </w:t>
      </w:r>
      <w:r w:rsidRPr="00511005">
        <w:rPr>
          <w:rFonts w:ascii="Arial" w:eastAsia="Calibri" w:hAnsi="Arial" w:cs="Arial"/>
          <w:szCs w:val="28"/>
        </w:rPr>
        <w:t>ситуації</w:t>
      </w:r>
      <w:r w:rsidRPr="00511005">
        <w:rPr>
          <w:rFonts w:ascii="Arial" w:eastAsia="Calibri" w:hAnsi="Arial" w:cs="Arial"/>
          <w:szCs w:val="28"/>
          <w:lang w:val="en-US"/>
        </w:rPr>
        <w:t xml:space="preserve"> </w:t>
      </w:r>
      <w:r w:rsidRPr="00511005">
        <w:rPr>
          <w:rFonts w:ascii="Arial" w:eastAsia="Calibri" w:hAnsi="Arial" w:cs="Arial"/>
          <w:szCs w:val="28"/>
        </w:rPr>
        <w:t>з</w:t>
      </w:r>
      <w:r w:rsidRPr="00511005">
        <w:rPr>
          <w:rFonts w:ascii="Arial" w:eastAsia="Calibri" w:hAnsi="Arial" w:cs="Arial"/>
          <w:szCs w:val="28"/>
          <w:lang w:val="en-US"/>
        </w:rPr>
        <w:t xml:space="preserve"> </w:t>
      </w:r>
      <w:r w:rsidRPr="00511005">
        <w:rPr>
          <w:rFonts w:ascii="Arial" w:eastAsia="Calibri" w:hAnsi="Arial" w:cs="Arial"/>
          <w:szCs w:val="28"/>
        </w:rPr>
        <w:t>правами</w:t>
      </w:r>
      <w:r w:rsidRPr="00511005">
        <w:rPr>
          <w:rFonts w:ascii="Arial" w:eastAsia="Calibri" w:hAnsi="Arial" w:cs="Arial"/>
          <w:szCs w:val="28"/>
          <w:lang w:val="en-US"/>
        </w:rPr>
        <w:t xml:space="preserve"> </w:t>
      </w:r>
      <w:r w:rsidRPr="00511005">
        <w:rPr>
          <w:rFonts w:ascii="Arial" w:eastAsia="Calibri" w:hAnsi="Arial" w:cs="Arial"/>
          <w:szCs w:val="28"/>
        </w:rPr>
        <w:t>людини</w:t>
      </w:r>
      <w:r w:rsidRPr="00511005">
        <w:rPr>
          <w:rFonts w:ascii="Arial" w:eastAsia="Calibri" w:hAnsi="Arial" w:cs="Arial"/>
          <w:szCs w:val="28"/>
          <w:lang w:val="en-US"/>
        </w:rPr>
        <w:t xml:space="preserve"> </w:t>
      </w:r>
      <w:r w:rsidRPr="00511005">
        <w:rPr>
          <w:rFonts w:ascii="Arial" w:eastAsia="Calibri" w:hAnsi="Arial" w:cs="Arial"/>
          <w:szCs w:val="28"/>
        </w:rPr>
        <w:t>в</w:t>
      </w:r>
      <w:r w:rsidRPr="00511005">
        <w:rPr>
          <w:rFonts w:ascii="Arial" w:eastAsia="Calibri" w:hAnsi="Arial" w:cs="Arial"/>
          <w:szCs w:val="28"/>
          <w:lang w:val="en-US"/>
        </w:rPr>
        <w:t xml:space="preserve"> </w:t>
      </w:r>
      <w:r w:rsidRPr="00511005">
        <w:rPr>
          <w:rFonts w:ascii="Arial" w:eastAsia="Calibri" w:hAnsi="Arial" w:cs="Arial"/>
          <w:szCs w:val="28"/>
        </w:rPr>
        <w:t>Україні</w:t>
      </w:r>
      <w:r w:rsidRPr="00511005">
        <w:rPr>
          <w:rFonts w:ascii="Arial" w:eastAsia="Calibri" w:hAnsi="Arial" w:cs="Arial"/>
          <w:szCs w:val="28"/>
          <w:lang w:val="en-US"/>
        </w:rPr>
        <w:t xml:space="preserve">» (Report on the human rights situation in Ukraine) (1 </w:t>
      </w:r>
      <w:r w:rsidRPr="00511005">
        <w:rPr>
          <w:rFonts w:ascii="Arial" w:eastAsia="Calibri" w:hAnsi="Arial" w:cs="Arial"/>
          <w:szCs w:val="28"/>
        </w:rPr>
        <w:t>жовтня</w:t>
      </w:r>
      <w:r w:rsidRPr="00511005">
        <w:rPr>
          <w:rFonts w:ascii="Arial" w:eastAsia="Calibri" w:hAnsi="Arial" w:cs="Arial"/>
          <w:szCs w:val="28"/>
          <w:lang w:val="en-US"/>
        </w:rPr>
        <w:t xml:space="preserve"> 2024) URL: </w:t>
      </w:r>
      <w:hyperlink r:id="rId686" w:history="1">
        <w:r w:rsidRPr="00511005">
          <w:rPr>
            <w:rFonts w:ascii="Arial" w:eastAsia="Calibri" w:hAnsi="Arial" w:cs="Arial"/>
            <w:szCs w:val="28"/>
            <w:lang w:val="en-US"/>
          </w:rPr>
          <w:t>https://ukraine.ohchr.org/uk/Treatment-of-prisoners-of-war-and-Update-on-the-human-rights-situation-1-June-to-31-August-2024</w:t>
        </w:r>
      </w:hyperlink>
      <w:r w:rsidRPr="00511005">
        <w:rPr>
          <w:rFonts w:ascii="Arial" w:eastAsia="Calibri" w:hAnsi="Arial" w:cs="Arial"/>
          <w:szCs w:val="28"/>
          <w:lang w:val="en-US"/>
        </w:rPr>
        <w:t xml:space="preserve"> (</w:t>
      </w:r>
      <w:r w:rsidRPr="00511005">
        <w:rPr>
          <w:rFonts w:ascii="Arial" w:eastAsia="Calibri" w:hAnsi="Arial" w:cs="Arial"/>
          <w:szCs w:val="28"/>
        </w:rPr>
        <w:t>дата</w:t>
      </w:r>
      <w:r w:rsidRPr="00511005">
        <w:rPr>
          <w:rFonts w:ascii="Arial" w:eastAsia="Calibri" w:hAnsi="Arial" w:cs="Arial"/>
          <w:szCs w:val="28"/>
          <w:lang w:val="en-US"/>
        </w:rPr>
        <w:t xml:space="preserve"> </w:t>
      </w:r>
      <w:r w:rsidRPr="00511005">
        <w:rPr>
          <w:rFonts w:ascii="Arial" w:eastAsia="Calibri" w:hAnsi="Arial" w:cs="Arial"/>
          <w:szCs w:val="28"/>
        </w:rPr>
        <w:t>звернення</w:t>
      </w:r>
      <w:r w:rsidRPr="00511005">
        <w:rPr>
          <w:rFonts w:ascii="Arial" w:eastAsia="Calibri" w:hAnsi="Arial" w:cs="Arial"/>
          <w:szCs w:val="28"/>
          <w:lang w:val="en-US"/>
        </w:rPr>
        <w:t xml:space="preserve"> 19.04.2025).</w:t>
      </w:r>
    </w:p>
    <w:p w14:paraId="4DBF3303" w14:textId="77777777" w:rsidR="00220D3E" w:rsidRPr="00511005" w:rsidRDefault="00220D3E" w:rsidP="003A292D">
      <w:pPr>
        <w:tabs>
          <w:tab w:val="left" w:pos="709"/>
        </w:tabs>
        <w:spacing w:line="264" w:lineRule="auto"/>
        <w:contextualSpacing/>
        <w:rPr>
          <w:rFonts w:ascii="Arial" w:eastAsia="Calibri" w:hAnsi="Arial" w:cs="Arial"/>
          <w:b/>
          <w:szCs w:val="28"/>
          <w:lang w:val="uk-UA"/>
        </w:rPr>
      </w:pPr>
    </w:p>
    <w:p w14:paraId="3B14D20E" w14:textId="186A450C" w:rsidR="00220D3E" w:rsidRPr="00511005" w:rsidRDefault="007B2628" w:rsidP="003A292D">
      <w:pPr>
        <w:tabs>
          <w:tab w:val="left" w:pos="709"/>
        </w:tabs>
        <w:spacing w:line="264" w:lineRule="auto"/>
        <w:contextualSpacing/>
        <w:rPr>
          <w:rFonts w:ascii="Arial" w:eastAsia="Calibri" w:hAnsi="Arial" w:cs="Arial"/>
          <w:szCs w:val="28"/>
        </w:rPr>
      </w:pPr>
      <w:r w:rsidRPr="00511005">
        <w:rPr>
          <w:rFonts w:ascii="Arial" w:eastAsia="Calibri" w:hAnsi="Arial" w:cs="Arial"/>
          <w:b/>
          <w:i/>
          <w:szCs w:val="28"/>
        </w:rPr>
        <w:t xml:space="preserve">Ключові слова: </w:t>
      </w:r>
      <w:r w:rsidR="00220D3E" w:rsidRPr="00511005">
        <w:rPr>
          <w:rFonts w:ascii="Arial" w:eastAsia="Calibri" w:hAnsi="Arial" w:cs="Arial"/>
          <w:szCs w:val="28"/>
        </w:rPr>
        <w:t>міжнародні стандарти, військовополонені, Женевські конвенції, права військовополонених.</w:t>
      </w:r>
    </w:p>
    <w:p w14:paraId="28CB465E" w14:textId="201BC5C4"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international standards, prisoners of war, Geneva Conventions, rights of prisoners of war.</w:t>
      </w:r>
    </w:p>
    <w:p w14:paraId="1957517A" w14:textId="41EA1149" w:rsidR="00220D3E" w:rsidRPr="00511005" w:rsidRDefault="007B2628" w:rsidP="003A292D">
      <w:pPr>
        <w:tabs>
          <w:tab w:val="left" w:pos="709"/>
        </w:tabs>
        <w:spacing w:line="264" w:lineRule="auto"/>
        <w:rPr>
          <w:rFonts w:ascii="Arial" w:eastAsia="Times New Roman" w:hAnsi="Arial" w:cs="Arial"/>
          <w:bCs/>
          <w:i/>
          <w:iCs/>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bCs/>
          <w:i/>
          <w:iCs/>
          <w:szCs w:val="28"/>
          <w:lang w:eastAsia="ru-RU"/>
        </w:rPr>
        <w:t>к.ю.н., доцент Гриб А.М.</w:t>
      </w:r>
    </w:p>
    <w:p w14:paraId="45DD7A2E"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p>
    <w:p w14:paraId="5CA50DC7"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Тишко Ілонна Павлівна</w:t>
      </w:r>
    </w:p>
    <w:p w14:paraId="5ED05802" w14:textId="0F6F4C4B"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79CD3737"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0CC27CC"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7A06C28"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70622800"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eastAsia="ru-RU"/>
        </w:rPr>
        <w:t>МІЖНАРОДНИЙ ДОСВІД ТА ДОСВІД УКРАЇНИ У ЗАБЕЗПЕЧЕННІ ГЕНДЕРНОЇ РІВНОСТІ У СФЕРІ БЕЗПЕКИ І ОБОРОНИ</w:t>
      </w:r>
    </w:p>
    <w:p w14:paraId="00A5704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ХХІ столітті питання гендерної рівності в усіх сферах суспільного життя набуває все більшої актуальності. Зокрема, зростає усвідомлення важливості залучення жінок до формування політики у сфері безпеки та оборони. Сучасні жінки все частіше демонструють готовність брати на себе відповідальність, приймати виклики та реалізовувати себе у професіях, які ще донедавна вважалися виключно «чоловічими». Демократичні держави визнають необхідність створення рівних умов для всіх громадян незалежно від статі, зокрема і в таких стратегічно важливих галузях, як оборона і безпека.</w:t>
      </w:r>
    </w:p>
    <w:p w14:paraId="65D20DD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Гендерна рівність у сфері безпеки й оборони вже тривалий час визнається міжнародною спільнотою як один із ключових чинників забезпечення миру та стабільності. Особливу роль у просуванні цієї теми відіграє Рада Безпеки ООН, яка у 2000 році ухвалила Резолюцію 1325. У ній наголошено на необхідності ширшої участі жінок у миротворчих процесах, захисті прав людини, післяконфліктній відбудові та запобіганні гендерному насильству під час воєн. Подальші резолюції, зокрема 1820, 1888, 1889 та 1960, посилили акценти на боротьбі з сексуальним насильством у збройних конфліктах і забезпеченні доступу жінок до правосуддя. Вони стали основою для формування глобальної політики з інтеграції гендерного підходу в діяльність секторів безпеки та оборони. [1]</w:t>
      </w:r>
    </w:p>
    <w:p w14:paraId="4668EE9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2010 році Рада Безпеки ООН прийняла Резолюцію 1960, яка стала важливим кроком у боротьбі з сексуальним насильством під час збройних конфліктів. Основна мета документа — посилення відповідальності за подібні злочини, а також створення механізмів запобігання таким порушенням прав людини. Резолюція передбачає створення спеціальної робочої групи для моніторингу насильства в конфліктах і ведення списку збройних формувань, які використовують сексуальне насильство як засіб досягнення цілей.</w:t>
      </w:r>
    </w:p>
    <w:p w14:paraId="42959F6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Усі ухвалені </w:t>
      </w:r>
      <w:proofErr w:type="gramStart"/>
      <w:r w:rsidRPr="00511005">
        <w:rPr>
          <w:rFonts w:ascii="Arial" w:eastAsia="Times New Roman" w:hAnsi="Arial" w:cs="Arial"/>
          <w:szCs w:val="28"/>
          <w:lang w:eastAsia="ru-RU"/>
        </w:rPr>
        <w:t>резолюції</w:t>
      </w:r>
      <w:proofErr w:type="gramEnd"/>
      <w:r w:rsidRPr="00511005">
        <w:rPr>
          <w:rFonts w:ascii="Arial" w:eastAsia="Times New Roman" w:hAnsi="Arial" w:cs="Arial"/>
          <w:szCs w:val="28"/>
          <w:lang w:eastAsia="ru-RU"/>
        </w:rPr>
        <w:t xml:space="preserve"> Ради Безпеки щодо жінок, миру та безпеки формують глобальну рамку дій для держав. Хоча вони не є юридично обов’язковими, ці документи містять чіткий план дій, який впроваджується через національні стратегії. Україна, у свою чергу, реалізує політику відповідно до Резолюції 1325, зокрема через ухвалення Національного плану дій та регіональних програм. Ці ініціативи спрямовані на посилення ролі жінок у секторі безпеки, протидію насильству, врахування гендерних аспектів </w:t>
      </w:r>
      <w:proofErr w:type="gramStart"/>
      <w:r w:rsidRPr="00511005">
        <w:rPr>
          <w:rFonts w:ascii="Arial" w:eastAsia="Times New Roman" w:hAnsi="Arial" w:cs="Arial"/>
          <w:szCs w:val="28"/>
          <w:lang w:eastAsia="ru-RU"/>
        </w:rPr>
        <w:t>у реформах</w:t>
      </w:r>
      <w:proofErr w:type="gramEnd"/>
      <w:r w:rsidRPr="00511005">
        <w:rPr>
          <w:rFonts w:ascii="Arial" w:eastAsia="Times New Roman" w:hAnsi="Arial" w:cs="Arial"/>
          <w:szCs w:val="28"/>
          <w:lang w:eastAsia="ru-RU"/>
        </w:rPr>
        <w:t xml:space="preserve"> та зміну культури у військових структурах. [1]</w:t>
      </w:r>
    </w:p>
    <w:p w14:paraId="0110DAA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США реалізація принципів Резолюції 1325 відбувається через Національний план дій, першу редакцію якого ухвалили у 2011 році, а оновлену — у 2016-му. У 2017 році було підписано Закон «Про жінок, мир та безпеку», що започаткував розробку повноцінної національної стратегії з цієї тематики. У 2019 році США офіційно представили Стратегію WPS, яка визначила ключову роль жінок і дівчат у запобіганні конфліктам, миротворчості та боротьбі з тероризмом.</w:t>
      </w:r>
    </w:p>
    <w:p w14:paraId="7EA1274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Ця стратегія зосереджується на трьох цілях: підвищенні участі жінок у мирних процесах, забезпеченні їхнього захисту та рівного доступу до програм підтримки, а також розвитку партнерства з іншими державами у сфері безпеки з урахуванням гендерної рівності. Для реалізації поставлених завдань визначено чотири основні напрями дій: профілактика конфліктів, управління ними, їхнє пом’якшення, а також постконфліктне відновлення з акцентом на захист і розширення прав жінок. [2]</w:t>
      </w:r>
    </w:p>
    <w:p w14:paraId="076C131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Збройні Сили Ізраїлю є однією з небагатьох армій світу, де військова служба жінок закріплена на законодавчому рівні. Жінки беруть участь у службі з моменту створення армії в 1948 році. Спочатку вони працювали здебільшого в тилових службах, однак з часом почали допускатися до бойових посад. Рішучий прорив стався після 1996 року, коли ізраїльський суд визнав дискримінацією недопущення жінок до льотного навчання.</w:t>
      </w:r>
    </w:p>
    <w:p w14:paraId="5824AE4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2000 році було ухвалено закон, який надає жінкам рівне з чоловіками право обіймати будь-яку посаду в армії, якщо вони відповідають вимогам. Станом на 2011 рік жінки мали доступ до 88% посад, хоча фактично обіймали лише 69%. Кількість жінок у бойових частинах продовжує зростати — з 3% у 2012 році до 7% у 2016-му.</w:t>
      </w:r>
    </w:p>
    <w:p w14:paraId="123E7C4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Жінки можуть бути звільнені від служби з релігійних, сімейних чи медичних причин, а ті, хто прибуває до Ізраїлю після 17 років, звільняються від призову, але можуть служити добровільно. Резервна служба для жінок обмежена: зазвичай їх не призивають, якщо вони одружені або старші 24 років. [3]</w:t>
      </w:r>
    </w:p>
    <w:p w14:paraId="0231DF1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Досвід Німеччини у впровадженні гендерної рівності в секторі безпеки є прикладом ефективної реалізації положень Резолюції ООН 1325. Після 2001 року, коли німецький парламент відкрив усі військові посади для жінок, понад 18 тисяч німкень приєдналися до лав Бундесверу. Сьогодні жінки становлять близько 10% особового складу Збройних сил Німеччини, а уряд має на меті довести цей показник до 15%.</w:t>
      </w:r>
    </w:p>
    <w:p w14:paraId="4E4883D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Жінки також беруть участь у миротворчих місіях за межами країни, і досвід показує, що їхня служба сприймається позитивно як у військовому середовищі, так і в суспільстві. Дослідження вказують, що рішення жінок вступити до армії зазвичай більш обдумане й виважене, ніж у чоловіків. Хоча в Бундесвері поки не було жінок у генеральських званнях у бойових частинах, представниці санітарної служби вже досягли цього рівня. Загалом Німеччина активно підтримує імплементацію гендерної політики в армії, а також є однією з найбільших країн-донорів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європейських оборонних ініціатив. [4]</w:t>
      </w:r>
    </w:p>
    <w:p w14:paraId="4EF7C7E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Аналіз міжнародного досвіду свідчить про поступову, але впевнену інтеграцію принципів гендерної рівності у сфері безпеки й оборони. Такі країни, як США, Німеччина, Ізраїль, демонструють практичні приклади розширення прав жінок, їхньої участі в бойових діях, миротворчих місіях та стратегічному плануванні. Прийняття національних планів дій, ухвалення відповідного законодавства, а також системна підтримка на рівні урядів підтверджують, що гендерна рівність у секторі оборони — це не лише питання прав людини, а й фактор зміцнення національної та глобальної безпеки. </w:t>
      </w:r>
    </w:p>
    <w:p w14:paraId="12BD854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Україна активно долучається до цього процесу. Впровадження Національного плану дій на виконання Резолюції ООН 1325, розробка </w:t>
      </w:r>
      <w:r w:rsidRPr="00511005">
        <w:rPr>
          <w:rFonts w:ascii="Arial" w:eastAsia="Times New Roman" w:hAnsi="Arial" w:cs="Arial"/>
          <w:szCs w:val="28"/>
          <w:lang w:eastAsia="ru-RU"/>
        </w:rPr>
        <w:lastRenderedPageBreak/>
        <w:t>регіональних стратегій та участь жінок у секторі безпеки — усе це свідчить про готовність держави реалізовувати європейські підходи. Водночас, як і в багатьох країнах, українська армія ще стикається з викликами: потребою у зміні внутрішньої культури, подоланні стереотипів та створенні рівних умов для просування по службі.</w:t>
      </w:r>
    </w:p>
    <w:p w14:paraId="0BAE8E6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міжнародний та український досвід у сфері забезпечення гендерної рівності в оборонному секторі демонструє важливість комплексного підходу, де поєднуються законодавчі ініціативи, освітні програми та практична реалізація рівних прав. Такий підхід є необхідним для ефективної трансформації систем безпеки відповідно до викликів сучасного світу.</w:t>
      </w:r>
    </w:p>
    <w:p w14:paraId="429A7D5B" w14:textId="77777777" w:rsidR="00220D3E" w:rsidRPr="00511005" w:rsidRDefault="00220D3E" w:rsidP="003A292D">
      <w:pPr>
        <w:tabs>
          <w:tab w:val="left" w:pos="709"/>
        </w:tabs>
        <w:spacing w:line="264" w:lineRule="auto"/>
        <w:jc w:val="center"/>
        <w:rPr>
          <w:rFonts w:ascii="Arial" w:eastAsia="Times New Roman" w:hAnsi="Arial" w:cs="Arial"/>
          <w:b/>
          <w:szCs w:val="28"/>
          <w:lang w:eastAsia="ru-RU"/>
        </w:rPr>
      </w:pPr>
    </w:p>
    <w:p w14:paraId="3BC7E7C5" w14:textId="79F6E300" w:rsidR="00220D3E" w:rsidRPr="00511005" w:rsidRDefault="007B2628" w:rsidP="007B2628">
      <w:pPr>
        <w:tabs>
          <w:tab w:val="left" w:pos="709"/>
        </w:tabs>
        <w:spacing w:line="264" w:lineRule="auto"/>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7F1356FD" w14:textId="77777777" w:rsidR="00220D3E" w:rsidRPr="00511005" w:rsidRDefault="00220D3E" w:rsidP="003F6A5D">
      <w:pPr>
        <w:numPr>
          <w:ilvl w:val="0"/>
          <w:numId w:val="156"/>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ООН Жінки в Україні. Оцінка гендерного впливу на сектор безпеки та оборони України у 2017 році. URL: </w:t>
      </w:r>
      <w:hyperlink r:id="rId687" w:history="1">
        <w:r w:rsidRPr="00511005">
          <w:rPr>
            <w:rFonts w:ascii="Arial" w:eastAsia="Calibri" w:hAnsi="Arial" w:cs="Arial"/>
            <w:szCs w:val="28"/>
          </w:rPr>
          <w:t>chrome-extension://efaidnbmnnnibpcajpcglclefindmkaj/https://eca.unwomen.org/sites/default/files/Field%20Office%20ECA/Attachments/Publications/2018/Gender%20Impact%20Assessment%20Ukraine%202017_UA_fin.pdf</w:t>
        </w:r>
      </w:hyperlink>
      <w:r w:rsidRPr="00511005">
        <w:rPr>
          <w:rFonts w:ascii="Arial" w:eastAsia="Calibri" w:hAnsi="Arial" w:cs="Arial"/>
          <w:szCs w:val="28"/>
        </w:rPr>
        <w:t xml:space="preserve"> (дата звернення: 17.04.2025). </w:t>
      </w:r>
    </w:p>
    <w:p w14:paraId="23FD33BA" w14:textId="77777777" w:rsidR="00220D3E" w:rsidRPr="00511005" w:rsidRDefault="00220D3E" w:rsidP="003F6A5D">
      <w:pPr>
        <w:numPr>
          <w:ilvl w:val="0"/>
          <w:numId w:val="156"/>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lang w:val="en-US"/>
        </w:rPr>
        <w:t xml:space="preserve">United States Strategy on Women, Peace and Security of June 2019. </w:t>
      </w:r>
      <w:r w:rsidRPr="00511005">
        <w:rPr>
          <w:rFonts w:ascii="Arial" w:eastAsia="Calibri" w:hAnsi="Arial" w:cs="Arial"/>
          <w:szCs w:val="28"/>
        </w:rPr>
        <w:t xml:space="preserve">URL: </w:t>
      </w:r>
      <w:hyperlink r:id="rId688" w:history="1">
        <w:r w:rsidRPr="00511005">
          <w:rPr>
            <w:rFonts w:ascii="Arial" w:eastAsia="Calibri" w:hAnsi="Arial" w:cs="Arial"/>
            <w:szCs w:val="28"/>
          </w:rPr>
          <w:t>chrome-extension://efaidnbmnnnibpcajpcglclefindmkaj/https://trumpwhitehouse.archives.gov/wp-content/uploads/2019/06/WPS_Strategy_10_October2019.pdf</w:t>
        </w:r>
      </w:hyperlink>
      <w:r w:rsidRPr="00511005">
        <w:rPr>
          <w:rFonts w:ascii="Arial" w:eastAsia="Calibri" w:hAnsi="Arial" w:cs="Arial"/>
          <w:szCs w:val="28"/>
        </w:rPr>
        <w:t xml:space="preserve"> (дата звернення: 17.04.2025).</w:t>
      </w:r>
    </w:p>
    <w:p w14:paraId="43B63E50" w14:textId="77777777" w:rsidR="00220D3E" w:rsidRPr="00511005" w:rsidRDefault="00220D3E" w:rsidP="003F6A5D">
      <w:pPr>
        <w:numPr>
          <w:ilvl w:val="0"/>
          <w:numId w:val="156"/>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Women of the Israel Defense Forces: history in combat units. Jewish Virtual Library. URL: </w:t>
      </w:r>
      <w:hyperlink r:id="rId689" w:history="1">
        <w:r w:rsidRPr="00511005">
          <w:rPr>
            <w:rFonts w:ascii="Arial" w:eastAsia="Calibri" w:hAnsi="Arial" w:cs="Arial"/>
            <w:szCs w:val="28"/>
            <w:lang w:val="en-US"/>
          </w:rPr>
          <w:t>https://www.jewishvirtuallibrary.org/history-of-women-in-idf-combat-units</w:t>
        </w:r>
      </w:hyperlink>
      <w:r w:rsidRPr="00511005">
        <w:rPr>
          <w:rFonts w:ascii="Arial" w:eastAsia="Calibri" w:hAnsi="Arial" w:cs="Arial"/>
          <w:szCs w:val="28"/>
          <w:lang w:val="en-US"/>
        </w:rPr>
        <w:t xml:space="preserve"> (</w:t>
      </w:r>
      <w:r w:rsidRPr="00511005">
        <w:rPr>
          <w:rFonts w:ascii="Arial" w:eastAsia="Calibri" w:hAnsi="Arial" w:cs="Arial"/>
          <w:szCs w:val="28"/>
        </w:rPr>
        <w:t>дата</w:t>
      </w:r>
      <w:r w:rsidRPr="00511005">
        <w:rPr>
          <w:rFonts w:ascii="Arial" w:eastAsia="Calibri" w:hAnsi="Arial" w:cs="Arial"/>
          <w:szCs w:val="28"/>
          <w:lang w:val="en-US"/>
        </w:rPr>
        <w:t xml:space="preserve"> </w:t>
      </w:r>
      <w:r w:rsidRPr="00511005">
        <w:rPr>
          <w:rFonts w:ascii="Arial" w:eastAsia="Calibri" w:hAnsi="Arial" w:cs="Arial"/>
          <w:szCs w:val="28"/>
        </w:rPr>
        <w:t>звернення</w:t>
      </w:r>
      <w:r w:rsidRPr="00511005">
        <w:rPr>
          <w:rFonts w:ascii="Arial" w:eastAsia="Calibri" w:hAnsi="Arial" w:cs="Arial"/>
          <w:szCs w:val="28"/>
          <w:lang w:val="en-US"/>
        </w:rPr>
        <w:t>: 17.04.2025).</w:t>
      </w:r>
    </w:p>
    <w:p w14:paraId="41815170" w14:textId="18BCBEDB" w:rsidR="00220D3E" w:rsidRPr="00511005" w:rsidRDefault="00220D3E" w:rsidP="003F6A5D">
      <w:pPr>
        <w:numPr>
          <w:ilvl w:val="0"/>
          <w:numId w:val="156"/>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Goran Vasilevski &amp; Pavlov Ferdo (2013). Women involvement in creating and conducting defence and security policy in the world and in the </w:t>
      </w:r>
      <w:proofErr w:type="gramStart"/>
      <w:r w:rsidRPr="00511005">
        <w:rPr>
          <w:rFonts w:ascii="Arial" w:eastAsia="Calibri" w:hAnsi="Arial" w:cs="Arial"/>
          <w:szCs w:val="28"/>
          <w:lang w:val="en-US"/>
        </w:rPr>
        <w:t>republic of Macedonia</w:t>
      </w:r>
      <w:proofErr w:type="gramEnd"/>
      <w:r w:rsidRPr="00511005">
        <w:rPr>
          <w:rFonts w:ascii="Arial" w:eastAsia="Calibri" w:hAnsi="Arial" w:cs="Arial"/>
          <w:szCs w:val="28"/>
          <w:lang w:val="en-US"/>
        </w:rPr>
        <w:t xml:space="preserve">. Contemporary Macedonian Defense, Vol. 13. </w:t>
      </w:r>
      <w:r w:rsidRPr="00511005">
        <w:rPr>
          <w:rFonts w:ascii="Arial" w:eastAsia="Calibri" w:hAnsi="Arial" w:cs="Arial"/>
          <w:szCs w:val="28"/>
        </w:rPr>
        <w:t>Р</w:t>
      </w:r>
      <w:r w:rsidRPr="00511005">
        <w:rPr>
          <w:rFonts w:ascii="Arial" w:eastAsia="Calibri" w:hAnsi="Arial" w:cs="Arial"/>
          <w:szCs w:val="28"/>
          <w:lang w:val="en-US"/>
        </w:rPr>
        <w:t xml:space="preserve">. 93–106. URL: </w:t>
      </w:r>
      <w:hyperlink r:id="rId690" w:history="1">
        <w:r w:rsidRPr="00511005">
          <w:rPr>
            <w:rFonts w:ascii="Arial" w:eastAsia="Calibri" w:hAnsi="Arial" w:cs="Arial"/>
            <w:szCs w:val="28"/>
            <w:lang w:val="en-US"/>
          </w:rPr>
          <w:t>chrome-extension://efaidnbmnnnibpcajpcglclefindmkaj/https://eprints.ugd.edu.mk/12695/2/Trud%204%20-%20GENDER-EQUALITY-AND-GENDER-PERSPECTIVE-IN-DEFENCE-AND-SECURITY.pdf</w:t>
        </w:r>
      </w:hyperlink>
      <w:r w:rsidR="007B2628" w:rsidRPr="00511005">
        <w:rPr>
          <w:rFonts w:ascii="Arial" w:eastAsia="Calibri" w:hAnsi="Arial" w:cs="Arial"/>
          <w:szCs w:val="28"/>
          <w:lang w:val="en-US"/>
        </w:rPr>
        <w:t xml:space="preserve"> </w:t>
      </w:r>
      <w:r w:rsidRPr="00511005">
        <w:rPr>
          <w:rFonts w:ascii="Arial" w:eastAsia="Calibri" w:hAnsi="Arial" w:cs="Arial"/>
          <w:szCs w:val="28"/>
          <w:lang w:val="en-US"/>
        </w:rPr>
        <w:t>(</w:t>
      </w:r>
      <w:r w:rsidRPr="00511005">
        <w:rPr>
          <w:rFonts w:ascii="Arial" w:eastAsia="Calibri" w:hAnsi="Arial" w:cs="Arial"/>
          <w:szCs w:val="28"/>
        </w:rPr>
        <w:t>дата</w:t>
      </w:r>
      <w:r w:rsidRPr="00511005">
        <w:rPr>
          <w:rFonts w:ascii="Arial" w:eastAsia="Calibri" w:hAnsi="Arial" w:cs="Arial"/>
          <w:szCs w:val="28"/>
          <w:lang w:val="en-US"/>
        </w:rPr>
        <w:t xml:space="preserve"> </w:t>
      </w:r>
      <w:r w:rsidRPr="00511005">
        <w:rPr>
          <w:rFonts w:ascii="Arial" w:eastAsia="Calibri" w:hAnsi="Arial" w:cs="Arial"/>
          <w:szCs w:val="28"/>
        </w:rPr>
        <w:t>звернення</w:t>
      </w:r>
      <w:r w:rsidRPr="00511005">
        <w:rPr>
          <w:rFonts w:ascii="Arial" w:eastAsia="Calibri" w:hAnsi="Arial" w:cs="Arial"/>
          <w:szCs w:val="28"/>
          <w:lang w:val="en-US"/>
        </w:rPr>
        <w:t>: 17.04.2025).</w:t>
      </w:r>
    </w:p>
    <w:p w14:paraId="191E0F61" w14:textId="77777777" w:rsidR="00220D3E" w:rsidRPr="00511005" w:rsidRDefault="00220D3E" w:rsidP="003A292D">
      <w:pPr>
        <w:tabs>
          <w:tab w:val="left" w:pos="709"/>
        </w:tabs>
        <w:spacing w:line="264" w:lineRule="auto"/>
        <w:rPr>
          <w:rFonts w:ascii="Arial" w:eastAsia="Times New Roman" w:hAnsi="Arial" w:cs="Arial"/>
          <w:b/>
          <w:szCs w:val="28"/>
          <w:lang w:val="en-US" w:eastAsia="ru-RU"/>
        </w:rPr>
      </w:pPr>
    </w:p>
    <w:p w14:paraId="3140BFFA" w14:textId="3615E097"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eastAsia="ru-RU"/>
        </w:rPr>
        <w:t>Ключові</w:t>
      </w:r>
      <w:r w:rsidRPr="00055389">
        <w:rPr>
          <w:rFonts w:ascii="Arial" w:eastAsia="Times New Roman" w:hAnsi="Arial" w:cs="Arial"/>
          <w:b/>
          <w:i/>
          <w:szCs w:val="28"/>
          <w:lang w:val="en-US" w:eastAsia="ru-RU"/>
        </w:rPr>
        <w:t xml:space="preserve"> </w:t>
      </w:r>
      <w:r w:rsidRPr="00511005">
        <w:rPr>
          <w:rFonts w:ascii="Arial" w:eastAsia="Times New Roman" w:hAnsi="Arial" w:cs="Arial"/>
          <w:b/>
          <w:i/>
          <w:szCs w:val="28"/>
          <w:lang w:eastAsia="ru-RU"/>
        </w:rPr>
        <w:t>слова</w:t>
      </w:r>
      <w:r w:rsidRPr="00055389">
        <w:rPr>
          <w:rFonts w:ascii="Arial" w:eastAsia="Times New Roman" w:hAnsi="Arial" w:cs="Arial"/>
          <w:b/>
          <w:i/>
          <w:szCs w:val="28"/>
          <w:lang w:val="en-US" w:eastAsia="ru-RU"/>
        </w:rPr>
        <w:t xml:space="preserve">: </w:t>
      </w:r>
      <w:r w:rsidR="00220D3E" w:rsidRPr="00511005">
        <w:rPr>
          <w:rFonts w:ascii="Arial" w:eastAsia="Times New Roman" w:hAnsi="Arial" w:cs="Arial"/>
          <w:szCs w:val="28"/>
          <w:lang w:eastAsia="ru-RU"/>
        </w:rPr>
        <w:t>гендерна</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рівність</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сфера</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безпеки</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і</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оборони</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міжнародній</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досвід</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досвід</w:t>
      </w:r>
      <w:r w:rsidR="00220D3E" w:rsidRPr="00511005">
        <w:rPr>
          <w:rFonts w:ascii="Arial" w:eastAsia="Times New Roman" w:hAnsi="Arial" w:cs="Arial"/>
          <w:szCs w:val="28"/>
          <w:lang w:val="en-US" w:eastAsia="ru-RU"/>
        </w:rPr>
        <w:t xml:space="preserve"> </w:t>
      </w:r>
      <w:r w:rsidR="00220D3E" w:rsidRPr="00511005">
        <w:rPr>
          <w:rFonts w:ascii="Arial" w:eastAsia="Times New Roman" w:hAnsi="Arial" w:cs="Arial"/>
          <w:szCs w:val="28"/>
          <w:lang w:eastAsia="ru-RU"/>
        </w:rPr>
        <w:t>України</w:t>
      </w:r>
      <w:r w:rsidR="00220D3E" w:rsidRPr="00511005">
        <w:rPr>
          <w:rFonts w:ascii="Arial" w:eastAsia="Times New Roman" w:hAnsi="Arial" w:cs="Arial"/>
          <w:szCs w:val="28"/>
          <w:lang w:val="en-US" w:eastAsia="ru-RU"/>
        </w:rPr>
        <w:t>.</w:t>
      </w:r>
    </w:p>
    <w:p w14:paraId="1C119517" w14:textId="6B934246" w:rsidR="00220D3E" w:rsidRPr="00511005" w:rsidRDefault="007B2628" w:rsidP="003A292D">
      <w:pPr>
        <w:tabs>
          <w:tab w:val="left" w:pos="709"/>
        </w:tabs>
        <w:spacing w:line="264" w:lineRule="auto"/>
        <w:rPr>
          <w:rFonts w:ascii="Arial" w:eastAsia="Times New Roman" w:hAnsi="Arial" w:cs="Arial"/>
          <w:i/>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gender equality, security and defense, international experience, Ukrainian experience.</w:t>
      </w:r>
    </w:p>
    <w:p w14:paraId="699160D4" w14:textId="36ED2EAB" w:rsidR="00220D3E" w:rsidRPr="00511005" w:rsidRDefault="007B2628" w:rsidP="003A292D">
      <w:pPr>
        <w:tabs>
          <w:tab w:val="left" w:pos="709"/>
        </w:tabs>
        <w:spacing w:line="264" w:lineRule="auto"/>
        <w:rPr>
          <w:rFonts w:ascii="Arial" w:eastAsia="Times New Roman" w:hAnsi="Arial" w:cs="Arial"/>
          <w:i/>
          <w:szCs w:val="28"/>
          <w:lang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w:t>
      </w:r>
      <w:r w:rsidRPr="00511005">
        <w:rPr>
          <w:rFonts w:ascii="Arial" w:eastAsia="Times New Roman" w:hAnsi="Arial" w:cs="Arial"/>
          <w:i/>
          <w:szCs w:val="28"/>
          <w:lang w:eastAsia="ru-RU"/>
        </w:rPr>
        <w:t xml:space="preserve"> </w:t>
      </w:r>
      <w:r w:rsidR="00220D3E" w:rsidRPr="00511005">
        <w:rPr>
          <w:rFonts w:ascii="Arial" w:eastAsia="Times New Roman" w:hAnsi="Arial" w:cs="Arial"/>
          <w:i/>
          <w:szCs w:val="28"/>
          <w:lang w:eastAsia="ru-RU"/>
        </w:rPr>
        <w:t>Гриб А.М.</w:t>
      </w:r>
    </w:p>
    <w:p w14:paraId="093C9E2E"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758CF32B" w14:textId="77777777" w:rsidR="00220D3E" w:rsidRPr="00511005" w:rsidRDefault="00220D3E" w:rsidP="003A292D">
      <w:pPr>
        <w:tabs>
          <w:tab w:val="left" w:pos="709"/>
        </w:tabs>
        <w:spacing w:line="264" w:lineRule="auto"/>
        <w:ind w:right="74"/>
        <w:jc w:val="center"/>
        <w:rPr>
          <w:rFonts w:ascii="Arial" w:eastAsia="Times New Roman" w:hAnsi="Arial" w:cs="Arial"/>
          <w:szCs w:val="28"/>
          <w:lang w:eastAsia="ru-RU"/>
        </w:rPr>
      </w:pPr>
      <w:r w:rsidRPr="00511005">
        <w:rPr>
          <w:rFonts w:ascii="Arial" w:eastAsia="Times New Roman" w:hAnsi="Arial" w:cs="Arial"/>
          <w:b/>
          <w:i/>
          <w:szCs w:val="28"/>
          <w:lang w:eastAsia="ru-RU"/>
        </w:rPr>
        <w:t>Тютюнник Віра Олексіївна</w:t>
      </w:r>
    </w:p>
    <w:p w14:paraId="3B59BC1F" w14:textId="5B7676A6"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7C92C2B5" w14:textId="726681AD" w:rsidR="00220D3E" w:rsidRPr="00511005" w:rsidRDefault="007B2628" w:rsidP="003A292D">
      <w:pPr>
        <w:tabs>
          <w:tab w:val="left" w:pos="709"/>
        </w:tabs>
        <w:spacing w:line="264" w:lineRule="auto"/>
        <w:ind w:right="74"/>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544849B"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509FE2AF"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b/>
          <w:szCs w:val="28"/>
          <w:lang w:eastAsia="ru-RU"/>
        </w:rPr>
        <w:t>КОНСУЛЬСЬКІ ФУНКЦІЇ У СФЕРІ ЗАХИСТУ ПРАВ ГРОМАДЯН І ЮРИДИЧНИХ ОСІБ</w:t>
      </w:r>
    </w:p>
    <w:p w14:paraId="20C82C24" w14:textId="77777777" w:rsidR="00220D3E" w:rsidRPr="00511005" w:rsidRDefault="00220D3E" w:rsidP="003A292D">
      <w:pPr>
        <w:tabs>
          <w:tab w:val="left" w:pos="709"/>
        </w:tabs>
        <w:spacing w:line="264" w:lineRule="auto"/>
        <w:ind w:right="61"/>
        <w:rPr>
          <w:rFonts w:ascii="Arial" w:eastAsia="Times New Roman" w:hAnsi="Arial" w:cs="Arial"/>
          <w:szCs w:val="28"/>
          <w:lang w:eastAsia="ru-RU"/>
        </w:rPr>
      </w:pPr>
      <w:r w:rsidRPr="00511005">
        <w:rPr>
          <w:rFonts w:ascii="Arial" w:eastAsia="Times New Roman" w:hAnsi="Arial" w:cs="Arial"/>
          <w:szCs w:val="28"/>
          <w:lang w:eastAsia="ru-RU"/>
        </w:rPr>
        <w:t xml:space="preserve">У сучасних умовах глобалізації, посиленої міграції, зростання міжнародних контактів і конфліктних ситуацій за участю держав, особливої актуальності набуває питання захисту прав і законних інтересів громадян та юридичних осіб за кордоном. Це завдання покладається на консульські установи держави — інститути, що діють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міжнародного консульського права та внутрішнього законодавства, забезпечуючи зв’язок між державою та її громадянами або організаціями, які опинилися на території іноземної держави.</w:t>
      </w:r>
    </w:p>
    <w:p w14:paraId="3A522F61" w14:textId="77777777" w:rsidR="00220D3E" w:rsidRPr="00511005" w:rsidRDefault="00220D3E" w:rsidP="003A292D">
      <w:pPr>
        <w:tabs>
          <w:tab w:val="left" w:pos="709"/>
        </w:tabs>
        <w:spacing w:line="264" w:lineRule="auto"/>
        <w:ind w:right="61"/>
        <w:rPr>
          <w:rFonts w:ascii="Arial" w:eastAsia="Times New Roman" w:hAnsi="Arial" w:cs="Arial"/>
          <w:szCs w:val="28"/>
          <w:lang w:eastAsia="ru-RU"/>
        </w:rPr>
      </w:pPr>
      <w:r w:rsidRPr="00511005">
        <w:rPr>
          <w:rFonts w:ascii="Arial" w:eastAsia="Times New Roman" w:hAnsi="Arial" w:cs="Arial"/>
          <w:szCs w:val="28"/>
          <w:lang w:eastAsia="ru-RU"/>
        </w:rPr>
        <w:t>Україна, як суб'єкт міжнародного права, активно реалізує консульські функції через мережу консульських установ, керуючись при цьому як загальновизнаними міжнародними нормами (зокрема, Віденською конвенцією про консульські зносини 1963 року), так і національним законодавством, зокрема Законом України «Про консульську службу». Особливу важливість ці функції набувають у контексті нових викликів — збройної агресії росії проти України, збільшення кількості тимчасово переміщених осіб, масової трудової міграції, іноземних інвестицій, міжнародних шлюбів та спорів щодо дітей.</w:t>
      </w:r>
    </w:p>
    <w:p w14:paraId="7DF06EF5" w14:textId="77777777" w:rsidR="00220D3E" w:rsidRPr="00511005" w:rsidRDefault="00220D3E" w:rsidP="003A292D">
      <w:pPr>
        <w:tabs>
          <w:tab w:val="left" w:pos="709"/>
        </w:tabs>
        <w:spacing w:line="264" w:lineRule="auto"/>
        <w:ind w:right="61"/>
        <w:rPr>
          <w:rFonts w:ascii="Arial" w:eastAsia="Times New Roman" w:hAnsi="Arial" w:cs="Arial"/>
          <w:szCs w:val="28"/>
          <w:lang w:eastAsia="ru-RU"/>
        </w:rPr>
      </w:pPr>
      <w:r w:rsidRPr="00511005">
        <w:rPr>
          <w:rFonts w:ascii="Arial" w:eastAsia="Times New Roman" w:hAnsi="Arial" w:cs="Arial"/>
          <w:szCs w:val="28"/>
          <w:lang w:eastAsia="ru-RU"/>
        </w:rPr>
        <w:t>У сучасному світі зростання мобільності населення, міжнародної торгівлі, культурного обміну та глобальних конфліктів призводить до суттєвого розширення обсягу функцій, які виконують консульські установи держав. Серед найважливіших завдань цих органів – захист прав і законних інтересів громадян та юридичних осіб за межами своєї держави. У цьому контексті консульські функції мають як правове, так і гуманітарне значення, адже йдеться про допомогу реальним людям у складних життєвих ситуаціях, а також про забезпечення правової безпеки бізнесу в міжнародному середовищі [5,2].</w:t>
      </w:r>
    </w:p>
    <w:p w14:paraId="0BDD9B3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Консульські установи України діють відповідно до норм міжнародного та національного права. Основним міжнародним актом, що регламентує діяльність консулів, є Віденська конвенція про консульські зносини 1963 року. Вона містить перелік базових функцій консулів, зокрема захист інтересів держави та її громадян у державі перебування в межах, дозволених міжнародним правом; сприяння розвитку торговельних, економічних, культурних та наукових зв’язків; видача паспортів, документів, реєстраційні дії, допомога та правова підтримка тощо [5]. В українському законодавстві основними джерелами регулювання виступають Закон України «Про консульську службу», а також підзаконні акти Міністерства </w:t>
      </w:r>
      <w:r w:rsidRPr="00511005">
        <w:rPr>
          <w:rFonts w:ascii="Arial" w:eastAsia="Times New Roman" w:hAnsi="Arial" w:cs="Arial"/>
          <w:szCs w:val="28"/>
          <w:lang w:eastAsia="ru-RU"/>
        </w:rPr>
        <w:lastRenderedPageBreak/>
        <w:t>закордонних справ, інструкції та регламенти, що визначають порядок дій консульських посадових осіб у конкретних ситуаціях [6,1].</w:t>
      </w:r>
    </w:p>
    <w:p w14:paraId="4F98BB0A" w14:textId="77777777" w:rsidR="00220D3E" w:rsidRPr="00511005" w:rsidRDefault="00220D3E" w:rsidP="003A292D">
      <w:pPr>
        <w:tabs>
          <w:tab w:val="left" w:pos="709"/>
        </w:tabs>
        <w:spacing w:line="264" w:lineRule="auto"/>
        <w:ind w:right="61"/>
        <w:rPr>
          <w:rFonts w:ascii="Arial" w:eastAsia="Times New Roman" w:hAnsi="Arial" w:cs="Arial"/>
          <w:szCs w:val="28"/>
          <w:lang w:eastAsia="ru-RU"/>
        </w:rPr>
      </w:pPr>
      <w:r w:rsidRPr="00511005">
        <w:rPr>
          <w:rFonts w:ascii="Arial" w:eastAsia="Times New Roman" w:hAnsi="Arial" w:cs="Arial"/>
          <w:szCs w:val="28"/>
          <w:lang w:eastAsia="ru-RU"/>
        </w:rPr>
        <w:t>Одна з найважливіших сфер реалізації консульських функцій — це захист прав громадян. Коли українець потрапляє у складну ситуацію за кордоном — арешт, затримання, депортація, порушення прав у процесі судового провадження — саме консул стає представником держави, який повинен забезпечити йому правову допомогу, поінформованість та підтримку. Зокрема, консульська посадова особа має право відвідувати громадян у місцях утримання під вартою, перевіряти умови утримання, підтримувати зв’язок із родиною затриманого, надавати переклад документів, сприяти у наймі адвоката. Ці дії мають не лише правовий, але й психологічний ефект, адже дозволяють особі відчувати підтримку держави, не залишатися наодинці з іноземною правовою системою [6,4].</w:t>
      </w:r>
    </w:p>
    <w:p w14:paraId="314C469A" w14:textId="77777777" w:rsidR="00220D3E" w:rsidRPr="00511005" w:rsidRDefault="00220D3E" w:rsidP="003A292D">
      <w:pPr>
        <w:tabs>
          <w:tab w:val="left" w:pos="709"/>
        </w:tabs>
        <w:spacing w:line="264" w:lineRule="auto"/>
        <w:ind w:right="61"/>
        <w:rPr>
          <w:rFonts w:ascii="Arial" w:eastAsia="Times New Roman" w:hAnsi="Arial" w:cs="Arial"/>
          <w:szCs w:val="28"/>
          <w:lang w:eastAsia="ru-RU"/>
        </w:rPr>
      </w:pPr>
      <w:r w:rsidRPr="00511005">
        <w:rPr>
          <w:rFonts w:ascii="Arial" w:eastAsia="Times New Roman" w:hAnsi="Arial" w:cs="Arial"/>
          <w:szCs w:val="28"/>
          <w:lang w:eastAsia="ru-RU"/>
        </w:rPr>
        <w:t>Крім фізичних осіб, захисту потребують і українські юридичні особи — підприємства, установи, організації, які здійснюють діяльність за кордоном. Консульські установи виступають посередниками у комунікації з органами державної влади країни перебування, допомагають вирішувати конфліктні ситуації, пов’язані з укладенням та виконанням міжнародних контрактів, захищають інтереси у разі порушення умов торгівлі або неправомірного втручання у господарську діяльність. Також на консулів покладається завдання надавати роз’яснення щодо правил ведення бізнесу в конкретній юрисдикції, сприяти у визнанні документів, що стосуються українських компаній, легалізувати або апостилювати їх [2,3].</w:t>
      </w:r>
    </w:p>
    <w:p w14:paraId="563D3EDC" w14:textId="77777777" w:rsidR="00220D3E" w:rsidRPr="00511005" w:rsidRDefault="00220D3E" w:rsidP="003A292D">
      <w:pPr>
        <w:tabs>
          <w:tab w:val="left" w:pos="709"/>
        </w:tabs>
        <w:spacing w:line="264" w:lineRule="auto"/>
        <w:ind w:right="61"/>
        <w:rPr>
          <w:rFonts w:ascii="Arial" w:eastAsia="Times New Roman" w:hAnsi="Arial" w:cs="Arial"/>
          <w:szCs w:val="28"/>
          <w:lang w:eastAsia="ru-RU"/>
        </w:rPr>
      </w:pPr>
      <w:r w:rsidRPr="00511005">
        <w:rPr>
          <w:rFonts w:ascii="Arial" w:eastAsia="Times New Roman" w:hAnsi="Arial" w:cs="Arial"/>
          <w:szCs w:val="28"/>
          <w:lang w:eastAsia="ru-RU"/>
        </w:rPr>
        <w:t xml:space="preserve">Особливе місце в консульській діяльності посідає надання адміністративних та нотаріальних послуг. </w:t>
      </w:r>
      <w:proofErr w:type="gramStart"/>
      <w:r w:rsidRPr="00511005">
        <w:rPr>
          <w:rFonts w:ascii="Arial" w:eastAsia="Times New Roman" w:hAnsi="Arial" w:cs="Arial"/>
          <w:szCs w:val="28"/>
          <w:lang w:eastAsia="ru-RU"/>
        </w:rPr>
        <w:t>До прикладу</w:t>
      </w:r>
      <w:proofErr w:type="gramEnd"/>
      <w:r w:rsidRPr="00511005">
        <w:rPr>
          <w:rFonts w:ascii="Arial" w:eastAsia="Times New Roman" w:hAnsi="Arial" w:cs="Arial"/>
          <w:szCs w:val="28"/>
          <w:lang w:eastAsia="ru-RU"/>
        </w:rPr>
        <w:t>, консульства видають паспорти, посвідчення особи, довідки, оформлюють акти цивільного стану — свідоцтва про народження, шлюб, смерть, а також реєструють зміни прізвища чи громадянського стану. Це дозволяє громадянам реалізувати свої права, навіть перебуваючи далеко від території України. Важливо також, що консул може посвідчувати підписи, заповіти, доручення, що особливо актуально для українців, які ведуть активне життя в іншій країні, але мають юридичні чи майнові справи в Україні [6,3].</w:t>
      </w:r>
    </w:p>
    <w:p w14:paraId="06A1719D" w14:textId="77777777" w:rsidR="00220D3E" w:rsidRPr="00511005" w:rsidRDefault="00220D3E" w:rsidP="003A292D">
      <w:pPr>
        <w:tabs>
          <w:tab w:val="left" w:pos="709"/>
        </w:tabs>
        <w:spacing w:line="264" w:lineRule="auto"/>
        <w:ind w:right="61"/>
        <w:rPr>
          <w:rFonts w:ascii="Arial" w:eastAsia="Times New Roman" w:hAnsi="Arial" w:cs="Arial"/>
          <w:szCs w:val="28"/>
          <w:lang w:eastAsia="ru-RU"/>
        </w:rPr>
      </w:pPr>
      <w:r w:rsidRPr="00511005">
        <w:rPr>
          <w:rFonts w:ascii="Arial" w:eastAsia="Times New Roman" w:hAnsi="Arial" w:cs="Arial"/>
          <w:szCs w:val="28"/>
          <w:lang w:eastAsia="ru-RU"/>
        </w:rPr>
        <w:t xml:space="preserve">У зв’язку з повномасштабною агресією росії проти України, консульські функції набули нових, життєво важливих вимірів. Перед консульськими установами постали завдання з надання невідкладної допомоги громадянам, які евакуюються або вимушено залишають країну, зокрема тимчасово переміщеним особам. Це включає як документальне оформлення виїзду, отримання посвідчень особи, підтвердження родинних зв’язків, так і допомогу в забезпеченні доступу до медичних, освітніх, соціальних послуг у країні перебування. Особливо складною і чутливою сферою є повернення депортованих українських дітей — тут консульські </w:t>
      </w:r>
      <w:r w:rsidRPr="00511005">
        <w:rPr>
          <w:rFonts w:ascii="Arial" w:eastAsia="Times New Roman" w:hAnsi="Arial" w:cs="Arial"/>
          <w:szCs w:val="28"/>
          <w:lang w:eastAsia="ru-RU"/>
        </w:rPr>
        <w:lastRenderedPageBreak/>
        <w:t>установи діють у тісній співпраці з міжнародними організаціями, правозахисними структурами, залучаючи дипломатичні та юридичні інструменти для досягнення мети [4].</w:t>
      </w:r>
    </w:p>
    <w:p w14:paraId="7A9058E4" w14:textId="77777777" w:rsidR="00220D3E" w:rsidRPr="00511005" w:rsidRDefault="00220D3E" w:rsidP="003A292D">
      <w:pPr>
        <w:tabs>
          <w:tab w:val="left" w:pos="709"/>
        </w:tabs>
        <w:spacing w:line="264" w:lineRule="auto"/>
        <w:ind w:right="61"/>
        <w:rPr>
          <w:rFonts w:ascii="Arial" w:eastAsia="Times New Roman" w:hAnsi="Arial" w:cs="Arial"/>
          <w:szCs w:val="28"/>
          <w:lang w:eastAsia="ru-RU"/>
        </w:rPr>
      </w:pPr>
      <w:r w:rsidRPr="00511005">
        <w:rPr>
          <w:rFonts w:ascii="Arial" w:eastAsia="Times New Roman" w:hAnsi="Arial" w:cs="Arial"/>
          <w:szCs w:val="28"/>
          <w:lang w:eastAsia="ru-RU"/>
        </w:rPr>
        <w:t>Ще один важливий напрям — участь консулів у врегулюванні питань, пов’язаних із міжнародними шлюбами, спорами щодо дітей, визначенням опіки, аліментами та усиновленням. У таких справах часто перетинаються правові системи різних країн, тому консул виступає як координатор між українськими органами влади та іноземними юрисдикціями, допомагаючи знайти правове рішення, що відповідало б інтересам дитини та відповідало міжнародним стандартам прав людини [2].</w:t>
      </w:r>
    </w:p>
    <w:p w14:paraId="0EAF2043" w14:textId="77777777" w:rsidR="00220D3E" w:rsidRPr="00511005" w:rsidRDefault="00220D3E" w:rsidP="003A292D">
      <w:pPr>
        <w:tabs>
          <w:tab w:val="left" w:pos="709"/>
        </w:tabs>
        <w:spacing w:line="264" w:lineRule="auto"/>
        <w:ind w:right="61"/>
        <w:rPr>
          <w:rFonts w:ascii="Arial" w:eastAsia="Times New Roman" w:hAnsi="Arial" w:cs="Arial"/>
          <w:szCs w:val="28"/>
          <w:lang w:eastAsia="ru-RU"/>
        </w:rPr>
      </w:pPr>
      <w:r w:rsidRPr="00511005">
        <w:rPr>
          <w:rFonts w:ascii="Arial" w:eastAsia="Times New Roman" w:hAnsi="Arial" w:cs="Arial"/>
          <w:szCs w:val="28"/>
          <w:lang w:eastAsia="ru-RU"/>
        </w:rPr>
        <w:t xml:space="preserve">Проведений аналіз показує, що консульські функції є невід’ємним елементом механізму міжнародного правового захисту громадян та юридичних осіб за межами держави.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сучасного міжнародного права та з урахуванням внутрішнього законодавства, консульські установи України відіграють критично важливу роль у забезпеченні прав, свобод і законних інтересів своїх громадян та суб’єктів господарювання, які опинилися в іншій державі.</w:t>
      </w:r>
    </w:p>
    <w:p w14:paraId="6F756083" w14:textId="77777777" w:rsidR="00220D3E" w:rsidRPr="00511005" w:rsidRDefault="00220D3E" w:rsidP="003A292D">
      <w:pPr>
        <w:tabs>
          <w:tab w:val="left" w:pos="709"/>
        </w:tabs>
        <w:spacing w:line="264" w:lineRule="auto"/>
        <w:ind w:right="61"/>
        <w:rPr>
          <w:rFonts w:ascii="Arial" w:eastAsia="Times New Roman" w:hAnsi="Arial" w:cs="Arial"/>
          <w:szCs w:val="28"/>
          <w:lang w:eastAsia="ru-RU"/>
        </w:rPr>
      </w:pPr>
      <w:r w:rsidRPr="00511005">
        <w:rPr>
          <w:rFonts w:ascii="Arial" w:eastAsia="Times New Roman" w:hAnsi="Arial" w:cs="Arial"/>
          <w:szCs w:val="28"/>
          <w:lang w:eastAsia="ru-RU"/>
        </w:rPr>
        <w:t>Консульська діяльність охоплює широкий спектр завдань: від правового супроводу у випадках арешту чи судового переслідування — до адміністративного оформлення документів, надання нотаріальних послуг, сприяння у вирішенні сімейних спорів і захисті інтересів бізнесу. В умовах сучасних глобальних викликів — таких як воєнна агресія, масова міграція, посилення транснаціональних зв’язків — консульська служба України демонструє здатність адаптуватися до нових обставин та ефективно реагувати на потреби громадян.</w:t>
      </w:r>
    </w:p>
    <w:p w14:paraId="050467F2" w14:textId="77777777" w:rsidR="00220D3E" w:rsidRPr="00511005" w:rsidRDefault="00220D3E" w:rsidP="003A292D">
      <w:pPr>
        <w:tabs>
          <w:tab w:val="left" w:pos="709"/>
        </w:tabs>
        <w:spacing w:line="264" w:lineRule="auto"/>
        <w:ind w:right="61"/>
        <w:rPr>
          <w:rFonts w:ascii="Arial" w:eastAsia="Times New Roman" w:hAnsi="Arial" w:cs="Arial"/>
          <w:szCs w:val="28"/>
          <w:lang w:eastAsia="ru-RU"/>
        </w:rPr>
      </w:pPr>
      <w:r w:rsidRPr="00511005">
        <w:rPr>
          <w:rFonts w:ascii="Arial" w:eastAsia="Times New Roman" w:hAnsi="Arial" w:cs="Arial"/>
          <w:szCs w:val="28"/>
          <w:lang w:eastAsia="ru-RU"/>
        </w:rPr>
        <w:t>Таким чином, консульські функції є не лише інструментом дипломатії, а й практичним механізмом гарантування прав людини та правової безпеки українців у глобалізованому світі. Подальший розвиток консульської служби, її цифровізація, кадрове посилення та міжнародна координація — це ключові напрями, що визначатимуть якість консульського захисту в майбутньому.</w:t>
      </w:r>
    </w:p>
    <w:p w14:paraId="15146730" w14:textId="77777777" w:rsidR="00220D3E" w:rsidRPr="00511005" w:rsidRDefault="00220D3E" w:rsidP="003A292D">
      <w:pPr>
        <w:tabs>
          <w:tab w:val="left" w:pos="709"/>
        </w:tabs>
        <w:spacing w:line="264" w:lineRule="auto"/>
        <w:rPr>
          <w:rFonts w:ascii="Arial" w:eastAsia="Times New Roman" w:hAnsi="Arial" w:cs="Arial"/>
          <w:b/>
          <w:szCs w:val="28"/>
          <w:lang w:val="uk-UA" w:eastAsia="ru-RU"/>
        </w:rPr>
      </w:pPr>
    </w:p>
    <w:p w14:paraId="4AC75FB9" w14:textId="420ED9B5" w:rsidR="00220D3E" w:rsidRPr="00511005" w:rsidRDefault="007B2628" w:rsidP="007B2628">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b/>
          <w:szCs w:val="28"/>
          <w:lang w:val="uk-UA" w:eastAsia="ru-RU"/>
        </w:rPr>
        <w:t>Список використаних джерел</w:t>
      </w:r>
    </w:p>
    <w:p w14:paraId="5DB01A64" w14:textId="77777777" w:rsidR="00220D3E" w:rsidRPr="00511005" w:rsidRDefault="00220D3E" w:rsidP="003F6A5D">
      <w:pPr>
        <w:numPr>
          <w:ilvl w:val="0"/>
          <w:numId w:val="163"/>
        </w:numPr>
        <w:tabs>
          <w:tab w:val="left" w:pos="142"/>
        </w:tabs>
        <w:spacing w:line="264" w:lineRule="auto"/>
        <w:ind w:left="0" w:right="-1" w:firstLine="0"/>
        <w:jc w:val="left"/>
        <w:rPr>
          <w:rFonts w:ascii="Arial" w:eastAsia="Times New Roman" w:hAnsi="Arial" w:cs="Arial"/>
          <w:szCs w:val="28"/>
          <w:lang w:eastAsia="ru-RU"/>
        </w:rPr>
      </w:pPr>
      <w:r w:rsidRPr="00511005">
        <w:rPr>
          <w:rFonts w:ascii="Arial" w:eastAsia="Times New Roman" w:hAnsi="Arial" w:cs="Arial"/>
          <w:szCs w:val="28"/>
          <w:lang w:eastAsia="ru-RU"/>
        </w:rPr>
        <w:t>Про консульські установи України: Положення Кабінету Міністрів</w:t>
      </w:r>
    </w:p>
    <w:p w14:paraId="47F15488" w14:textId="77777777" w:rsidR="00220D3E" w:rsidRPr="00511005" w:rsidRDefault="00220D3E" w:rsidP="003A292D">
      <w:pPr>
        <w:tabs>
          <w:tab w:val="left" w:pos="142"/>
        </w:tabs>
        <w:spacing w:line="264" w:lineRule="auto"/>
        <w:ind w:right="-1" w:firstLine="0"/>
        <w:rPr>
          <w:rFonts w:ascii="Arial" w:eastAsia="Times New Roman" w:hAnsi="Arial" w:cs="Arial"/>
          <w:szCs w:val="28"/>
          <w:lang w:eastAsia="ru-RU"/>
        </w:rPr>
      </w:pPr>
      <w:r w:rsidRPr="00511005">
        <w:rPr>
          <w:rFonts w:ascii="Arial" w:eastAsia="Times New Roman" w:hAnsi="Arial" w:cs="Arial"/>
          <w:szCs w:val="28"/>
          <w:lang w:eastAsia="ru-RU"/>
        </w:rPr>
        <w:t>України від 1.06.2020 року</w:t>
      </w:r>
      <w:r w:rsidRPr="00511005">
        <w:rPr>
          <w:rFonts w:ascii="Arial" w:eastAsia="Times New Roman" w:hAnsi="Arial" w:cs="Arial"/>
          <w:szCs w:val="28"/>
          <w:lang w:val="uk-UA" w:eastAsia="ru-RU"/>
        </w:rPr>
        <w:t xml:space="preserve"> </w:t>
      </w:r>
      <w:proofErr w:type="gramStart"/>
      <w:r w:rsidRPr="00511005">
        <w:rPr>
          <w:rFonts w:ascii="Arial" w:eastAsia="Times New Roman" w:hAnsi="Arial" w:cs="Arial"/>
          <w:szCs w:val="28"/>
          <w:lang w:eastAsia="ru-RU"/>
        </w:rPr>
        <w:t>URL:</w:t>
      </w:r>
      <w:r w:rsidRPr="00511005">
        <w:rPr>
          <w:rFonts w:ascii="Arial" w:eastAsia="Times New Roman" w:hAnsi="Arial" w:cs="Arial"/>
          <w:szCs w:val="28"/>
          <w:u w:color="0563C1"/>
          <w:lang w:eastAsia="ru-RU"/>
        </w:rPr>
        <w:t>https://zakon.rada.gov.ua/laws/show/99/2021#Text</w:t>
      </w:r>
      <w:proofErr w:type="gramEnd"/>
    </w:p>
    <w:p w14:paraId="1044B5F5" w14:textId="77777777" w:rsidR="00220D3E" w:rsidRPr="00511005" w:rsidRDefault="00220D3E" w:rsidP="003F6A5D">
      <w:pPr>
        <w:numPr>
          <w:ilvl w:val="0"/>
          <w:numId w:val="163"/>
        </w:numPr>
        <w:tabs>
          <w:tab w:val="left" w:pos="142"/>
        </w:tabs>
        <w:spacing w:line="264" w:lineRule="auto"/>
        <w:ind w:left="0" w:right="-1" w:firstLine="0"/>
        <w:jc w:val="left"/>
        <w:rPr>
          <w:rFonts w:ascii="Arial" w:eastAsia="Times New Roman" w:hAnsi="Arial" w:cs="Arial"/>
          <w:szCs w:val="28"/>
          <w:lang w:eastAsia="ru-RU"/>
        </w:rPr>
      </w:pPr>
      <w:r w:rsidRPr="00511005">
        <w:rPr>
          <w:rFonts w:ascii="Arial" w:eastAsia="Times New Roman" w:hAnsi="Arial" w:cs="Arial"/>
          <w:szCs w:val="28"/>
          <w:lang w:eastAsia="ru-RU"/>
        </w:rPr>
        <w:t>Овчаренко О. В. Консульське право: навчальний посібник. Київ:</w:t>
      </w:r>
    </w:p>
    <w:p w14:paraId="37053599" w14:textId="77777777" w:rsidR="00220D3E" w:rsidRPr="00511005" w:rsidRDefault="00220D3E" w:rsidP="003A292D">
      <w:pPr>
        <w:tabs>
          <w:tab w:val="left" w:pos="142"/>
        </w:tabs>
        <w:spacing w:line="264" w:lineRule="auto"/>
        <w:ind w:right="-1" w:firstLine="0"/>
        <w:rPr>
          <w:rFonts w:ascii="Arial" w:eastAsia="Times New Roman" w:hAnsi="Arial" w:cs="Arial"/>
          <w:szCs w:val="28"/>
          <w:lang w:eastAsia="ru-RU"/>
        </w:rPr>
      </w:pPr>
      <w:r w:rsidRPr="00511005">
        <w:rPr>
          <w:rFonts w:ascii="Arial" w:eastAsia="Times New Roman" w:hAnsi="Arial" w:cs="Arial"/>
          <w:szCs w:val="28"/>
          <w:lang w:eastAsia="ru-RU"/>
        </w:rPr>
        <w:t>Юрінком Інтер, 2018.</w:t>
      </w:r>
      <w:r w:rsidRPr="00511005">
        <w:rPr>
          <w:rFonts w:ascii="Arial" w:eastAsia="Times New Roman" w:hAnsi="Arial" w:cs="Arial"/>
          <w:szCs w:val="28"/>
          <w:lang w:val="uk-UA" w:eastAsia="ru-RU"/>
        </w:rPr>
        <w:t xml:space="preserve"> </w:t>
      </w:r>
      <w:proofErr w:type="gramStart"/>
      <w:r w:rsidRPr="00511005">
        <w:rPr>
          <w:rFonts w:ascii="Arial" w:eastAsia="Times New Roman" w:hAnsi="Arial" w:cs="Arial"/>
          <w:szCs w:val="28"/>
          <w:lang w:eastAsia="ru-RU"/>
        </w:rPr>
        <w:t>URL:</w:t>
      </w:r>
      <w:r w:rsidRPr="00511005">
        <w:rPr>
          <w:rFonts w:ascii="Arial" w:eastAsia="Times New Roman" w:hAnsi="Arial" w:cs="Arial"/>
          <w:szCs w:val="28"/>
          <w:u w:color="0563C1"/>
          <w:lang w:eastAsia="ru-RU"/>
        </w:rPr>
        <w:t>https://internationalrelationstourism.karazin.ua/themes/irtb/resources/71e</w:t>
      </w:r>
      <w:proofErr w:type="gramEnd"/>
    </w:p>
    <w:p w14:paraId="5DE5EDE5" w14:textId="77777777" w:rsidR="00220D3E" w:rsidRPr="00511005" w:rsidRDefault="00220D3E" w:rsidP="003A292D">
      <w:pPr>
        <w:tabs>
          <w:tab w:val="left" w:pos="142"/>
        </w:tabs>
        <w:spacing w:line="264" w:lineRule="auto"/>
        <w:ind w:right="-1" w:firstLine="0"/>
        <w:rPr>
          <w:rFonts w:ascii="Arial" w:eastAsia="Times New Roman" w:hAnsi="Arial" w:cs="Arial"/>
          <w:szCs w:val="28"/>
          <w:lang w:eastAsia="ru-RU"/>
        </w:rPr>
      </w:pPr>
      <w:r w:rsidRPr="00511005">
        <w:rPr>
          <w:rFonts w:ascii="Arial" w:eastAsia="Times New Roman" w:hAnsi="Arial" w:cs="Arial"/>
          <w:szCs w:val="28"/>
          <w:u w:color="0563C1"/>
          <w:lang w:eastAsia="ru-RU"/>
        </w:rPr>
        <w:t>5a3a3a73d94ea54347f34127f03a3.pdf</w:t>
      </w:r>
    </w:p>
    <w:p w14:paraId="58E456B0" w14:textId="77777777" w:rsidR="00220D3E" w:rsidRPr="00511005" w:rsidRDefault="00220D3E" w:rsidP="003F6A5D">
      <w:pPr>
        <w:numPr>
          <w:ilvl w:val="0"/>
          <w:numId w:val="163"/>
        </w:numPr>
        <w:tabs>
          <w:tab w:val="left" w:pos="142"/>
        </w:tabs>
        <w:spacing w:line="264" w:lineRule="auto"/>
        <w:ind w:left="0" w:right="-1" w:firstLine="0"/>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Балабанов К. В. Дипломатична та консульська </w:t>
      </w:r>
      <w:proofErr w:type="gramStart"/>
      <w:r w:rsidRPr="00511005">
        <w:rPr>
          <w:rFonts w:ascii="Arial" w:eastAsia="Times New Roman" w:hAnsi="Arial" w:cs="Arial"/>
          <w:szCs w:val="28"/>
          <w:lang w:eastAsia="ru-RU"/>
        </w:rPr>
        <w:t>служба :</w:t>
      </w:r>
      <w:proofErr w:type="gramEnd"/>
      <w:r w:rsidRPr="00511005">
        <w:rPr>
          <w:rFonts w:ascii="Arial" w:eastAsia="Times New Roman" w:hAnsi="Arial" w:cs="Arial"/>
          <w:szCs w:val="28"/>
          <w:lang w:eastAsia="ru-RU"/>
        </w:rPr>
        <w:t xml:space="preserve"> підручник для студентів вищих навчальних закладів. Донецьк, 2012. – 442 с.</w:t>
      </w:r>
      <w:r w:rsidRPr="00511005">
        <w:rPr>
          <w:rFonts w:ascii="Arial" w:eastAsia="Times New Roman" w:hAnsi="Arial" w:cs="Arial"/>
          <w:szCs w:val="28"/>
          <w:lang w:val="uk-UA" w:eastAsia="ru-RU"/>
        </w:rPr>
        <w:t xml:space="preserve"> </w:t>
      </w:r>
      <w:proofErr w:type="gramStart"/>
      <w:r w:rsidRPr="00511005">
        <w:rPr>
          <w:rFonts w:ascii="Arial" w:eastAsia="Times New Roman" w:hAnsi="Arial" w:cs="Arial"/>
          <w:szCs w:val="28"/>
          <w:lang w:eastAsia="ru-RU"/>
        </w:rPr>
        <w:t>URL:</w:t>
      </w:r>
      <w:r w:rsidRPr="00511005">
        <w:rPr>
          <w:rFonts w:ascii="Arial" w:eastAsia="Times New Roman" w:hAnsi="Arial" w:cs="Arial"/>
          <w:szCs w:val="28"/>
          <w:u w:color="0563C1"/>
          <w:lang w:eastAsia="ru-RU"/>
        </w:rPr>
        <w:t>http://91.250.23.215:8080/jspui/handle/123456789/524</w:t>
      </w:r>
      <w:proofErr w:type="gramEnd"/>
    </w:p>
    <w:p w14:paraId="4ADE7860" w14:textId="77777777" w:rsidR="00220D3E" w:rsidRPr="00511005" w:rsidRDefault="00220D3E" w:rsidP="003F6A5D">
      <w:pPr>
        <w:numPr>
          <w:ilvl w:val="0"/>
          <w:numId w:val="163"/>
        </w:numPr>
        <w:tabs>
          <w:tab w:val="left" w:pos="142"/>
        </w:tabs>
        <w:spacing w:line="264" w:lineRule="auto"/>
        <w:ind w:left="0" w:right="-1" w:firstLine="0"/>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Правовий дискурс: Матеріали ІI Всеукраїнської науково-практичної конференції здобувачів та викладачів закладів вищої освіти. </w:t>
      </w:r>
      <w:proofErr w:type="gramStart"/>
      <w:r w:rsidRPr="00511005">
        <w:rPr>
          <w:rFonts w:ascii="Arial" w:eastAsia="Times New Roman" w:hAnsi="Arial" w:cs="Arial"/>
          <w:szCs w:val="28"/>
          <w:lang w:eastAsia="ru-RU"/>
        </w:rPr>
        <w:t>Черкаси :</w:t>
      </w:r>
      <w:proofErr w:type="gramEnd"/>
    </w:p>
    <w:p w14:paraId="53BCDDEE" w14:textId="77777777" w:rsidR="00220D3E" w:rsidRPr="00511005" w:rsidRDefault="00220D3E" w:rsidP="003A292D">
      <w:pPr>
        <w:tabs>
          <w:tab w:val="left" w:pos="142"/>
        </w:tabs>
        <w:spacing w:line="264" w:lineRule="auto"/>
        <w:ind w:right="-1" w:firstLine="0"/>
        <w:rPr>
          <w:rFonts w:ascii="Arial" w:eastAsia="Times New Roman" w:hAnsi="Arial" w:cs="Arial"/>
          <w:szCs w:val="28"/>
          <w:lang w:eastAsia="ru-RU"/>
        </w:rPr>
      </w:pPr>
      <w:r w:rsidRPr="00511005">
        <w:rPr>
          <w:rFonts w:ascii="Arial" w:eastAsia="Times New Roman" w:hAnsi="Arial" w:cs="Arial"/>
          <w:szCs w:val="28"/>
          <w:lang w:eastAsia="ru-RU"/>
        </w:rPr>
        <w:t>Видавець Третяков О. М., 2022. – 230 с.</w:t>
      </w:r>
      <w:r w:rsidRPr="00511005">
        <w:rPr>
          <w:rFonts w:ascii="Arial" w:eastAsia="Times New Roman" w:hAnsi="Arial" w:cs="Arial"/>
          <w:szCs w:val="28"/>
          <w:lang w:val="uk-UA" w:eastAsia="ru-RU"/>
        </w:rPr>
        <w:t xml:space="preserve"> </w:t>
      </w:r>
      <w:proofErr w:type="gramStart"/>
      <w:r w:rsidRPr="00511005">
        <w:rPr>
          <w:rFonts w:ascii="Arial" w:eastAsia="Times New Roman" w:hAnsi="Arial" w:cs="Arial"/>
          <w:szCs w:val="28"/>
          <w:lang w:eastAsia="ru-RU"/>
        </w:rPr>
        <w:t>URL:</w:t>
      </w:r>
      <w:r w:rsidRPr="00511005">
        <w:rPr>
          <w:rFonts w:ascii="Arial" w:eastAsia="Times New Roman" w:hAnsi="Arial" w:cs="Arial"/>
          <w:szCs w:val="28"/>
          <w:u w:color="0563C1"/>
          <w:lang w:eastAsia="ru-RU"/>
        </w:rPr>
        <w:t>https://sci.ldubgd.edu.ua/bitstream/123456789/11029/1/%D0%9F%D1%</w:t>
      </w:r>
      <w:proofErr w:type="gramEnd"/>
    </w:p>
    <w:p w14:paraId="0F9AD240" w14:textId="77777777" w:rsidR="00220D3E" w:rsidRPr="00511005" w:rsidRDefault="00220D3E" w:rsidP="003A292D">
      <w:pPr>
        <w:tabs>
          <w:tab w:val="left" w:pos="142"/>
        </w:tabs>
        <w:spacing w:line="264" w:lineRule="auto"/>
        <w:ind w:right="-1" w:firstLine="0"/>
        <w:rPr>
          <w:rFonts w:ascii="Arial" w:eastAsia="Times New Roman" w:hAnsi="Arial" w:cs="Arial"/>
          <w:szCs w:val="28"/>
          <w:lang w:val="en-US" w:eastAsia="ru-RU"/>
        </w:rPr>
      </w:pPr>
      <w:r w:rsidRPr="00511005">
        <w:rPr>
          <w:rFonts w:ascii="Arial" w:eastAsia="Times New Roman" w:hAnsi="Arial" w:cs="Arial"/>
          <w:szCs w:val="28"/>
          <w:u w:color="0563C1"/>
          <w:lang w:val="en-US" w:eastAsia="ru-RU"/>
        </w:rPr>
        <w:t>80%D0%B0%D0%B2%D0%BE%D0%B2%D0%B8%D0%B9%20%D0%B4 %D0%B8%D1%81%D0%BA%D1%83%D1%80%D1%81%2012.10.</w:t>
      </w:r>
      <w:proofErr w:type="gramStart"/>
      <w:r w:rsidRPr="00511005">
        <w:rPr>
          <w:rFonts w:ascii="Arial" w:eastAsia="Times New Roman" w:hAnsi="Arial" w:cs="Arial"/>
          <w:szCs w:val="28"/>
          <w:u w:color="0563C1"/>
          <w:lang w:val="en-US" w:eastAsia="ru-RU"/>
        </w:rPr>
        <w:t>22.%</w:t>
      </w:r>
      <w:proofErr w:type="gramEnd"/>
      <w:r w:rsidRPr="00511005">
        <w:rPr>
          <w:rFonts w:ascii="Arial" w:eastAsia="Times New Roman" w:hAnsi="Arial" w:cs="Arial"/>
          <w:szCs w:val="28"/>
          <w:u w:color="0563C1"/>
          <w:lang w:val="en-US" w:eastAsia="ru-RU"/>
        </w:rPr>
        <w:t>20 %281%29.pdf</w:t>
      </w:r>
    </w:p>
    <w:p w14:paraId="41808C1C" w14:textId="77777777" w:rsidR="00220D3E" w:rsidRPr="00511005" w:rsidRDefault="00220D3E" w:rsidP="003F6A5D">
      <w:pPr>
        <w:numPr>
          <w:ilvl w:val="0"/>
          <w:numId w:val="163"/>
        </w:numPr>
        <w:tabs>
          <w:tab w:val="left" w:pos="142"/>
        </w:tabs>
        <w:spacing w:line="264" w:lineRule="auto"/>
        <w:ind w:left="0" w:right="-1" w:firstLine="0"/>
        <w:jc w:val="left"/>
        <w:rPr>
          <w:rFonts w:ascii="Arial" w:eastAsia="Times New Roman" w:hAnsi="Arial" w:cs="Arial"/>
          <w:szCs w:val="28"/>
          <w:lang w:eastAsia="ru-RU"/>
        </w:rPr>
      </w:pPr>
      <w:r w:rsidRPr="00511005">
        <w:rPr>
          <w:rFonts w:ascii="Arial" w:eastAsia="Times New Roman" w:hAnsi="Arial" w:cs="Arial"/>
          <w:szCs w:val="28"/>
          <w:lang w:eastAsia="ru-RU"/>
        </w:rPr>
        <w:t xml:space="preserve">Віденська конвенція про консульські зносини від 24.04.1963 року </w:t>
      </w:r>
      <w:proofErr w:type="gramStart"/>
      <w:r w:rsidRPr="00511005">
        <w:rPr>
          <w:rFonts w:ascii="Arial" w:eastAsia="Times New Roman" w:hAnsi="Arial" w:cs="Arial"/>
          <w:szCs w:val="28"/>
          <w:lang w:eastAsia="ru-RU"/>
        </w:rPr>
        <w:t>URL:</w:t>
      </w:r>
      <w:r w:rsidRPr="00511005">
        <w:rPr>
          <w:rFonts w:ascii="Arial" w:eastAsia="Times New Roman" w:hAnsi="Arial" w:cs="Arial"/>
          <w:szCs w:val="28"/>
          <w:u w:color="0563C1"/>
          <w:lang w:eastAsia="ru-RU"/>
        </w:rPr>
        <w:t>https://ips.ligazakon.net/document/MU63K02R</w:t>
      </w:r>
      <w:proofErr w:type="gramEnd"/>
    </w:p>
    <w:p w14:paraId="7B8BE41C" w14:textId="77777777" w:rsidR="00220D3E" w:rsidRPr="00511005" w:rsidRDefault="00220D3E" w:rsidP="003F6A5D">
      <w:pPr>
        <w:numPr>
          <w:ilvl w:val="0"/>
          <w:numId w:val="163"/>
        </w:numPr>
        <w:tabs>
          <w:tab w:val="left" w:pos="142"/>
        </w:tabs>
        <w:spacing w:line="264" w:lineRule="auto"/>
        <w:ind w:left="0" w:right="-1" w:firstLine="0"/>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консульську службу: Закон України від 02.04.1994 року № 127/94-ВР </w:t>
      </w:r>
      <w:proofErr w:type="gramStart"/>
      <w:r w:rsidRPr="00511005">
        <w:rPr>
          <w:rFonts w:ascii="Arial" w:eastAsia="Times New Roman" w:hAnsi="Arial" w:cs="Arial"/>
          <w:szCs w:val="28"/>
          <w:lang w:eastAsia="ru-RU"/>
        </w:rPr>
        <w:t>URL:</w:t>
      </w:r>
      <w:r w:rsidRPr="00511005">
        <w:rPr>
          <w:rFonts w:ascii="Arial" w:eastAsia="Times New Roman" w:hAnsi="Arial" w:cs="Arial"/>
          <w:szCs w:val="28"/>
          <w:u w:color="0563C1"/>
          <w:lang w:eastAsia="ru-RU"/>
        </w:rPr>
        <w:t>https://zakon.rada.gov.ua/laws/show/127/94#Text</w:t>
      </w:r>
      <w:proofErr w:type="gramEnd"/>
    </w:p>
    <w:p w14:paraId="40BB137D" w14:textId="77777777" w:rsidR="00220D3E" w:rsidRPr="00511005" w:rsidRDefault="00220D3E" w:rsidP="003F6A5D">
      <w:pPr>
        <w:numPr>
          <w:ilvl w:val="0"/>
          <w:numId w:val="163"/>
        </w:numPr>
        <w:tabs>
          <w:tab w:val="left" w:pos="142"/>
        </w:tabs>
        <w:spacing w:line="264" w:lineRule="auto"/>
        <w:ind w:left="0" w:right="-1" w:firstLine="0"/>
        <w:jc w:val="left"/>
        <w:rPr>
          <w:rFonts w:ascii="Arial" w:eastAsia="Times New Roman" w:hAnsi="Arial" w:cs="Arial"/>
          <w:szCs w:val="28"/>
          <w:lang w:eastAsia="ru-RU"/>
        </w:rPr>
      </w:pPr>
      <w:r w:rsidRPr="00511005">
        <w:rPr>
          <w:rFonts w:ascii="Arial" w:eastAsia="Times New Roman" w:hAnsi="Arial" w:cs="Arial"/>
          <w:szCs w:val="28"/>
          <w:lang w:eastAsia="ru-RU"/>
        </w:rPr>
        <w:t>Конституція України від 28.06.1996 року</w:t>
      </w:r>
      <w:r w:rsidRPr="00511005">
        <w:rPr>
          <w:rFonts w:ascii="Arial" w:eastAsia="Times New Roman" w:hAnsi="Arial" w:cs="Arial"/>
          <w:szCs w:val="28"/>
          <w:lang w:val="uk-UA" w:eastAsia="ru-RU"/>
        </w:rPr>
        <w:t xml:space="preserve"> </w:t>
      </w:r>
      <w:proofErr w:type="gramStart"/>
      <w:r w:rsidRPr="00511005">
        <w:rPr>
          <w:rFonts w:ascii="Arial" w:eastAsia="Times New Roman" w:hAnsi="Arial" w:cs="Arial"/>
          <w:szCs w:val="28"/>
          <w:lang w:eastAsia="ru-RU"/>
        </w:rPr>
        <w:t>URL:</w:t>
      </w:r>
      <w:r w:rsidRPr="00511005">
        <w:rPr>
          <w:rFonts w:ascii="Arial" w:eastAsia="Times New Roman" w:hAnsi="Arial" w:cs="Arial"/>
          <w:szCs w:val="28"/>
          <w:u w:color="0563C1"/>
          <w:lang w:eastAsia="ru-RU"/>
        </w:rPr>
        <w:t>https://zakon.rada.gov.ua/laws/show/254%D0%BA/96-</w:t>
      </w:r>
      <w:proofErr w:type="gramEnd"/>
    </w:p>
    <w:p w14:paraId="63E76C10" w14:textId="77777777" w:rsidR="00220D3E" w:rsidRPr="00511005" w:rsidRDefault="00220D3E" w:rsidP="003A292D">
      <w:pPr>
        <w:tabs>
          <w:tab w:val="left" w:pos="142"/>
        </w:tabs>
        <w:spacing w:line="264" w:lineRule="auto"/>
        <w:ind w:right="-1" w:firstLine="0"/>
        <w:rPr>
          <w:rFonts w:ascii="Arial" w:eastAsia="Times New Roman" w:hAnsi="Arial" w:cs="Arial"/>
          <w:szCs w:val="28"/>
          <w:lang w:eastAsia="ru-RU"/>
        </w:rPr>
      </w:pPr>
      <w:r w:rsidRPr="00511005">
        <w:rPr>
          <w:rFonts w:ascii="Arial" w:eastAsia="Times New Roman" w:hAnsi="Arial" w:cs="Arial"/>
          <w:szCs w:val="28"/>
          <w:u w:color="0563C1"/>
          <w:lang w:eastAsia="ru-RU"/>
        </w:rPr>
        <w:t>%D0%B2%D1%80#Text</w:t>
      </w:r>
    </w:p>
    <w:p w14:paraId="402990DB" w14:textId="77635F77"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консульська служба, захист прав, громадяни, юридичні особи, міжнародне право, Віденська конвенція, консульські функції, закордонні установи, правова допомога, дипломатичні відносини.</w:t>
      </w:r>
    </w:p>
    <w:p w14:paraId="15A702BE" w14:textId="60B05ED4"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consular service, protection of rights, citizens, legal entities, international law, Vienna Convention, consular functions, foreign missions, legal assistance, diplomatic relations.</w:t>
      </w:r>
    </w:p>
    <w:p w14:paraId="4320FD0D" w14:textId="37DB69DF" w:rsidR="00220D3E" w:rsidRPr="00511005" w:rsidRDefault="007B2628" w:rsidP="003A292D">
      <w:pPr>
        <w:tabs>
          <w:tab w:val="left" w:pos="709"/>
        </w:tabs>
        <w:spacing w:line="264" w:lineRule="auto"/>
        <w:ind w:right="283"/>
        <w:jc w:val="center"/>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 Бєлогубова О. О.</w:t>
      </w:r>
    </w:p>
    <w:p w14:paraId="6398C73E" w14:textId="77777777" w:rsidR="00220D3E" w:rsidRPr="00511005" w:rsidRDefault="00220D3E" w:rsidP="003A292D">
      <w:pPr>
        <w:tabs>
          <w:tab w:val="left" w:pos="709"/>
        </w:tabs>
        <w:spacing w:line="264" w:lineRule="auto"/>
        <w:ind w:right="283"/>
        <w:jc w:val="center"/>
        <w:rPr>
          <w:rFonts w:ascii="Arial" w:eastAsia="Times New Roman" w:hAnsi="Arial" w:cs="Arial"/>
          <w:i/>
          <w:szCs w:val="28"/>
          <w:lang w:val="uk-UA" w:eastAsia="ru-RU"/>
        </w:rPr>
      </w:pPr>
    </w:p>
    <w:p w14:paraId="77208876" w14:textId="77777777" w:rsidR="00220D3E" w:rsidRPr="00511005" w:rsidRDefault="00220D3E" w:rsidP="003A292D">
      <w:pPr>
        <w:tabs>
          <w:tab w:val="left" w:pos="709"/>
        </w:tabs>
        <w:spacing w:line="264" w:lineRule="auto"/>
        <w:ind w:right="283"/>
        <w:jc w:val="center"/>
        <w:rPr>
          <w:rFonts w:ascii="Arial" w:eastAsia="Times New Roman" w:hAnsi="Arial" w:cs="Arial"/>
          <w:i/>
          <w:szCs w:val="28"/>
          <w:lang w:eastAsia="ru-RU"/>
        </w:rPr>
      </w:pPr>
      <w:r w:rsidRPr="00511005">
        <w:rPr>
          <w:rFonts w:ascii="Arial" w:eastAsia="Times New Roman" w:hAnsi="Arial" w:cs="Arial"/>
          <w:b/>
          <w:i/>
          <w:szCs w:val="28"/>
          <w:lang w:eastAsia="ru-RU"/>
        </w:rPr>
        <w:t>Тютюнник Віра Олексіївна</w:t>
      </w:r>
    </w:p>
    <w:p w14:paraId="36200922" w14:textId="624F806B" w:rsidR="00220D3E" w:rsidRPr="00511005" w:rsidRDefault="00536AAB" w:rsidP="003A292D">
      <w:pPr>
        <w:tabs>
          <w:tab w:val="left" w:pos="709"/>
        </w:tabs>
        <w:spacing w:line="264" w:lineRule="auto"/>
        <w:ind w:right="227"/>
        <w:jc w:val="center"/>
        <w:rPr>
          <w:rFonts w:ascii="Arial" w:eastAsia="Times New Roman" w:hAnsi="Arial" w:cs="Arial"/>
          <w:iCs/>
          <w:szCs w:val="28"/>
          <w:lang w:eastAsia="ru-RU"/>
        </w:rPr>
      </w:pPr>
      <w:r w:rsidRPr="00511005">
        <w:rPr>
          <w:rFonts w:ascii="Arial" w:eastAsia="Times New Roman" w:hAnsi="Arial" w:cs="Arial"/>
          <w:iCs/>
          <w:szCs w:val="28"/>
          <w:lang w:eastAsia="ru-RU"/>
        </w:rPr>
        <w:t xml:space="preserve">студентка 2-го курсу </w:t>
      </w:r>
      <w:r w:rsidR="001B7B25" w:rsidRPr="00511005">
        <w:rPr>
          <w:rFonts w:ascii="Arial" w:eastAsia="Times New Roman" w:hAnsi="Arial" w:cs="Arial"/>
          <w:iCs/>
          <w:szCs w:val="28"/>
          <w:lang w:eastAsia="ru-RU"/>
        </w:rPr>
        <w:t>факультету судового та міжнародного права</w:t>
      </w:r>
    </w:p>
    <w:p w14:paraId="060B3758" w14:textId="7BDA4055" w:rsidR="00220D3E" w:rsidRPr="00511005" w:rsidRDefault="007B2628" w:rsidP="003A292D">
      <w:pPr>
        <w:tabs>
          <w:tab w:val="left" w:pos="709"/>
        </w:tabs>
        <w:spacing w:line="264" w:lineRule="auto"/>
        <w:ind w:right="283"/>
        <w:jc w:val="center"/>
        <w:rPr>
          <w:rFonts w:ascii="Arial" w:eastAsia="Times New Roman" w:hAnsi="Arial" w:cs="Arial"/>
          <w:iCs/>
          <w:szCs w:val="28"/>
          <w:lang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7756E436" w14:textId="77777777" w:rsidR="00220D3E" w:rsidRPr="00511005" w:rsidRDefault="00220D3E" w:rsidP="003A292D">
      <w:pPr>
        <w:tabs>
          <w:tab w:val="left" w:pos="709"/>
        </w:tabs>
        <w:spacing w:line="264" w:lineRule="auto"/>
        <w:ind w:right="283"/>
        <w:jc w:val="center"/>
        <w:rPr>
          <w:rFonts w:ascii="Arial" w:eastAsia="Times New Roman" w:hAnsi="Arial" w:cs="Arial"/>
          <w:iCs/>
          <w:szCs w:val="28"/>
          <w:lang w:eastAsia="ru-RU"/>
        </w:rPr>
      </w:pPr>
    </w:p>
    <w:p w14:paraId="5B7DE320" w14:textId="77777777" w:rsidR="00220D3E" w:rsidRPr="00511005" w:rsidRDefault="00220D3E" w:rsidP="003A292D">
      <w:pPr>
        <w:tabs>
          <w:tab w:val="left" w:pos="709"/>
        </w:tabs>
        <w:spacing w:line="264" w:lineRule="auto"/>
        <w:ind w:right="283"/>
        <w:jc w:val="center"/>
        <w:rPr>
          <w:rFonts w:ascii="Arial" w:eastAsia="Times New Roman" w:hAnsi="Arial" w:cs="Arial"/>
          <w:b/>
          <w:szCs w:val="28"/>
          <w:lang w:eastAsia="ru-RU"/>
        </w:rPr>
      </w:pPr>
      <w:r w:rsidRPr="00511005">
        <w:rPr>
          <w:rFonts w:ascii="Arial" w:eastAsia="Times New Roman" w:hAnsi="Arial" w:cs="Arial"/>
          <w:b/>
          <w:szCs w:val="28"/>
          <w:lang w:eastAsia="ru-RU"/>
        </w:rPr>
        <w:t>ІНТЕЛЕКТУАЛЬНА ВЛАСНІСТЬ У МІЖНАРОДНОМУ ПРИВАТНОМУ ПРАВІ</w:t>
      </w:r>
    </w:p>
    <w:p w14:paraId="077F380B" w14:textId="77777777" w:rsidR="00220D3E" w:rsidRPr="00511005" w:rsidRDefault="00220D3E" w:rsidP="003A292D">
      <w:pPr>
        <w:tabs>
          <w:tab w:val="left" w:pos="709"/>
        </w:tabs>
        <w:spacing w:line="264" w:lineRule="auto"/>
        <w:ind w:right="141"/>
        <w:rPr>
          <w:rFonts w:ascii="Arial" w:eastAsia="Times New Roman" w:hAnsi="Arial" w:cs="Arial"/>
          <w:szCs w:val="28"/>
          <w:lang w:eastAsia="ru-RU"/>
        </w:rPr>
      </w:pPr>
      <w:r w:rsidRPr="00511005">
        <w:rPr>
          <w:rFonts w:ascii="Arial" w:eastAsia="Times New Roman" w:hAnsi="Arial" w:cs="Arial"/>
          <w:szCs w:val="28"/>
          <w:lang w:eastAsia="ru-RU"/>
        </w:rPr>
        <w:t xml:space="preserve">Інтелектуальна власність у системі міжнародного приватного права посідає особливе місце, оскільки вона поєднує в собі приватно-правову природу з транскордонним характером об’єктів, що підлягають охороні. З огляду на глобалізацію економіки, розвиток цифрових технологій, розширення можливостей доступу до результатів творчої діяльності через мережу Інтернет, ефективне правове регулювання міжнародних правовідносин у сфері інтелектуальної власності набуває стратегічного значення. Це стосується не лише створення правових механізмів охорони, а й забезпечення справедливого і передбачуваного порядку визначення юрисдикції та застосовного права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де наявні іноземні елементи.</w:t>
      </w:r>
    </w:p>
    <w:p w14:paraId="3695A350" w14:textId="77777777" w:rsidR="00220D3E" w:rsidRPr="00511005" w:rsidRDefault="00220D3E" w:rsidP="003A292D">
      <w:pPr>
        <w:tabs>
          <w:tab w:val="left" w:pos="709"/>
        </w:tabs>
        <w:spacing w:line="264" w:lineRule="auto"/>
        <w:ind w:right="141"/>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Українське законодавство заклало підґрунтя для врегулювання таких правовідносин через прийняття Закону України «Про міжнародне приватне право» від 23 червня 2005 року № 2709-IV. Положення цього Закону взаємодіють із нормами Цивільного кодексу України, а також з міжнародними договорами, учасницею яких є Україна. До ключових міжнародних актів, які формують рамки правової охорони об’єктів інтелектуальної власності, належать Бернська конвенція про охорону літературних і художніх творів (1886 р.), Паризька конвенція про охорону промислової власності (1883 р.), Угода про торговельні аспекти прав інтелектуальної власності (TRIPS, 1994 рік), а також ряд угод, що діють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Всесвітньої організації інтелектуальної власності.</w:t>
      </w:r>
    </w:p>
    <w:p w14:paraId="25A6F913" w14:textId="77777777" w:rsidR="00220D3E" w:rsidRPr="00511005" w:rsidRDefault="00220D3E" w:rsidP="003A292D">
      <w:pPr>
        <w:tabs>
          <w:tab w:val="left" w:pos="709"/>
        </w:tabs>
        <w:spacing w:line="264" w:lineRule="auto"/>
        <w:ind w:right="141"/>
        <w:rPr>
          <w:rFonts w:ascii="Arial" w:eastAsia="Times New Roman" w:hAnsi="Arial" w:cs="Arial"/>
          <w:szCs w:val="28"/>
          <w:lang w:eastAsia="ru-RU"/>
        </w:rPr>
      </w:pPr>
      <w:r w:rsidRPr="00511005">
        <w:rPr>
          <w:rFonts w:ascii="Arial" w:eastAsia="Times New Roman" w:hAnsi="Arial" w:cs="Arial"/>
          <w:szCs w:val="28"/>
          <w:lang w:eastAsia="ru-RU"/>
        </w:rPr>
        <w:t>У міжнародному приватному праві інтелектуальна власність розглядається крізь призму колізійних норм, які дозволяють встановити, право якої держави має бути застосоване до конкретного правовідношення. Особливість цієї сфери полягає в тому, що об'єкти інтелектуальної власності — авторські твори, патенти, товарні знаки тощо — за своєю природою не мають матеріальної форми, що ускладнює визначення місця їх виникнення, порушення чи використання. Проте сама правова охорона цих об’єктів реалізується на національному рівні, тобто в межах окремої держави, відповідно до її законодавства. Це створює необхідність у чітко визначених правилах для встановлення того, яке саме національне право слід застосовувати в кожному конкретному випадку.</w:t>
      </w:r>
    </w:p>
    <w:p w14:paraId="11AE0C8C" w14:textId="1D197897" w:rsidR="00220D3E" w:rsidRPr="00511005" w:rsidRDefault="00220D3E" w:rsidP="003A292D">
      <w:pPr>
        <w:tabs>
          <w:tab w:val="left" w:pos="709"/>
        </w:tabs>
        <w:spacing w:line="264" w:lineRule="auto"/>
        <w:ind w:right="141"/>
        <w:rPr>
          <w:rFonts w:ascii="Arial" w:eastAsia="Times New Roman" w:hAnsi="Arial" w:cs="Arial"/>
          <w:szCs w:val="28"/>
          <w:lang w:eastAsia="ru-RU"/>
        </w:rPr>
      </w:pPr>
      <w:r w:rsidRPr="00511005">
        <w:rPr>
          <w:rFonts w:ascii="Arial" w:eastAsia="Times New Roman" w:hAnsi="Arial" w:cs="Arial"/>
          <w:szCs w:val="28"/>
          <w:lang w:eastAsia="ru-RU"/>
        </w:rPr>
        <w:t>Згідно зі статтею 36 Закону України «Про міжнародне приватне право», право, що підлягає застосуванню до виникнення, змісту та припинення прав інтелектуальної власності, визначається як право тієї країни, для якої вимагається правова охорона. Такий підхід закріплюється у міжнародній практиці під терміном «право країни охорони» (лат. lex loci protectionis) і базується на принципі територіальності, відповідно до якого правова охорона надається лише на території тієї держави, де здійснюється реєстрація об’єкта права або де право вважається таким, що виникло. Наприклад, патент, зареєстрований в Україні, має юридичну силу виключно на її території, навіть якщо об'єкт винаходу має глобальне комерційне значення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_Ref197285284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10</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p>
    <w:p w14:paraId="5D2404A4" w14:textId="641269A5" w:rsidR="00220D3E" w:rsidRPr="00511005" w:rsidRDefault="00220D3E" w:rsidP="003A292D">
      <w:pPr>
        <w:tabs>
          <w:tab w:val="left" w:pos="709"/>
        </w:tabs>
        <w:spacing w:line="264" w:lineRule="auto"/>
        <w:ind w:right="141"/>
        <w:rPr>
          <w:rFonts w:ascii="Arial" w:eastAsia="Times New Roman" w:hAnsi="Arial" w:cs="Arial"/>
          <w:szCs w:val="28"/>
          <w:lang w:eastAsia="ru-RU"/>
        </w:rPr>
      </w:pPr>
      <w:r w:rsidRPr="00511005">
        <w:rPr>
          <w:rFonts w:ascii="Arial" w:eastAsia="Times New Roman" w:hAnsi="Arial" w:cs="Arial"/>
          <w:szCs w:val="28"/>
          <w:lang w:eastAsia="ru-RU"/>
        </w:rPr>
        <w:t xml:space="preserve">Особливого значення в сфері інтелектуальної власності набуває принцип автономії волі сторін, який дозволяє учасникам правовідносин самостійно обирати застосовне право до договірних зобов’язань, пов’язаних з передачею або ліцензуванням прав. Цей принцип, закріплений у статті 5 Закону України «Про міжнародне приватне право», відкриває можливість використовувати найбільш сприятливу правову систему для реалізації економічних інтересів сторін. Проте така автономія не є абсолютною, оскільки вибране право не повинно суперечити імперативним нормам тієї держави, де вимагається охорона прав. Таким </w:t>
      </w:r>
      <w:r w:rsidRPr="00511005">
        <w:rPr>
          <w:rFonts w:ascii="Arial" w:eastAsia="Times New Roman" w:hAnsi="Arial" w:cs="Arial"/>
          <w:szCs w:val="28"/>
          <w:lang w:eastAsia="ru-RU"/>
        </w:rPr>
        <w:lastRenderedPageBreak/>
        <w:t>чином, навіть за умови вибору іноземного права, правова охорона в межах України надається відповідно до її національного законодавства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_Ref197285284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10</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p>
    <w:p w14:paraId="49D2E0BE" w14:textId="34DA503F" w:rsidR="00220D3E" w:rsidRPr="00511005" w:rsidRDefault="00220D3E" w:rsidP="003A292D">
      <w:pPr>
        <w:tabs>
          <w:tab w:val="left" w:pos="709"/>
        </w:tabs>
        <w:spacing w:line="264" w:lineRule="auto"/>
        <w:ind w:right="141"/>
        <w:rPr>
          <w:rFonts w:ascii="Arial" w:eastAsia="Times New Roman" w:hAnsi="Arial" w:cs="Arial"/>
          <w:szCs w:val="28"/>
          <w:lang w:eastAsia="ru-RU"/>
        </w:rPr>
      </w:pPr>
      <w:r w:rsidRPr="00511005">
        <w:rPr>
          <w:rFonts w:ascii="Arial" w:eastAsia="Times New Roman" w:hAnsi="Arial" w:cs="Arial"/>
          <w:szCs w:val="28"/>
          <w:lang w:eastAsia="ru-RU"/>
        </w:rPr>
        <w:t>Окремо слід зупинитися на регулюванні немайнових прав, таких як право авторства або право на ім’я. Ці права зазвичай визначаються згідно з особистим законом фізичної особи (лат. lex personalis), тобто правом країни громадянства або постійного місця проживання автора. Це закріплено у статті 32 згаданого Закону. У Цивільному кодексі України (стаття 433) зазначено, що авторське право на твір виникає з моменту його створення і не потребує жодної реєстрації чи виконання інших формальностей,</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що відповідає нормам</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Бернської конвенції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_Ref197285284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10</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_Ref197285308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12</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p>
    <w:p w14:paraId="3A04B8B5" w14:textId="5DDD16D6" w:rsidR="00220D3E" w:rsidRPr="00511005" w:rsidRDefault="00220D3E" w:rsidP="003A292D">
      <w:pPr>
        <w:tabs>
          <w:tab w:val="left" w:pos="709"/>
        </w:tabs>
        <w:spacing w:line="264" w:lineRule="auto"/>
        <w:ind w:right="141"/>
        <w:rPr>
          <w:rFonts w:ascii="Arial" w:eastAsia="Times New Roman" w:hAnsi="Arial" w:cs="Arial"/>
          <w:szCs w:val="28"/>
          <w:lang w:eastAsia="ru-RU"/>
        </w:rPr>
      </w:pPr>
      <w:r w:rsidRPr="00511005">
        <w:rPr>
          <w:rFonts w:ascii="Arial" w:eastAsia="Times New Roman" w:hAnsi="Arial" w:cs="Arial"/>
          <w:szCs w:val="28"/>
          <w:lang w:eastAsia="ru-RU"/>
        </w:rPr>
        <w:t xml:space="preserve">Питання юрисдикції, тобто того, який суд має повноваження розглядати спір, пов’язаний з інтелектуальною власністю з іноземним елементом, також врегульоване в Законі України «Про міжнародне приватне право». Згідно зі статтею 76, юрисдикція українських судів визнається, якщо відповідач має місце проживання або місцезнаходження в Україні, якщо об'єкт інтелектуальної власності підлягає охороні на її території, або якщо сторони погодили підсудність українському суду. Особливої актуальності це питання набуває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порушення прав у мережі Інтернет. Суди нерідко зіштовхуються з труднощами встановлення юрисдикції через віртуальний характер правопорушення. Судова практика Європейського Союзу поступово формує підхід, згідно з яким місце порушення визнається там, де споживач отримав доступ до контрафактного продукту або де виникла економічна шкода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_Ref197285284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10</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_Ref197285343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9</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p>
    <w:p w14:paraId="622ECFDE" w14:textId="7B924624" w:rsidR="00220D3E" w:rsidRPr="00511005" w:rsidRDefault="00220D3E" w:rsidP="003A292D">
      <w:pPr>
        <w:tabs>
          <w:tab w:val="left" w:pos="709"/>
        </w:tabs>
        <w:spacing w:line="264" w:lineRule="auto"/>
        <w:ind w:right="141"/>
        <w:rPr>
          <w:rFonts w:ascii="Arial" w:eastAsia="Times New Roman" w:hAnsi="Arial" w:cs="Arial"/>
          <w:szCs w:val="28"/>
          <w:lang w:eastAsia="ru-RU"/>
        </w:rPr>
      </w:pPr>
      <w:r w:rsidRPr="00511005">
        <w:rPr>
          <w:rFonts w:ascii="Arial" w:eastAsia="Times New Roman" w:hAnsi="Arial" w:cs="Arial"/>
          <w:szCs w:val="28"/>
          <w:lang w:eastAsia="ru-RU"/>
        </w:rPr>
        <w:t xml:space="preserve">Не менш важливим є питання визнання та виконання рішень іноземних судів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інтелектуальну власність. Відповідно до статей 82–86 Закону України «Про міжнародне приватне право», такі рішення можуть бути визнані в Україні на підставі міжнародного договору про взаємну правову допомогу або принципу взаємності. Проте тут знову виявляється обмеження, пов’язане з територіальністю: рішення, що стосуються визнання недійсності охоронного документа (наприклад, патенту), не можуть бути реалізовані без участі національного органу — Українського інституту інтелектуальної власності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_Ref197285284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10</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p>
    <w:p w14:paraId="38E968DE" w14:textId="69FD7AE2" w:rsidR="00220D3E" w:rsidRPr="00511005" w:rsidRDefault="00220D3E" w:rsidP="003A292D">
      <w:pPr>
        <w:tabs>
          <w:tab w:val="left" w:pos="709"/>
        </w:tabs>
        <w:spacing w:line="264" w:lineRule="auto"/>
        <w:ind w:right="141"/>
        <w:rPr>
          <w:rFonts w:ascii="Arial" w:eastAsia="Times New Roman" w:hAnsi="Arial" w:cs="Arial"/>
          <w:szCs w:val="28"/>
          <w:lang w:eastAsia="ru-RU"/>
        </w:rPr>
      </w:pPr>
      <w:r w:rsidRPr="00511005">
        <w:rPr>
          <w:rFonts w:ascii="Arial" w:eastAsia="Times New Roman" w:hAnsi="Arial" w:cs="Arial"/>
          <w:szCs w:val="28"/>
          <w:lang w:eastAsia="ru-RU"/>
        </w:rPr>
        <w:t>Незважаючи на наявність основ колізійного регулювання, українська система охорони інтелектуальної власності у сфері міжнародного приватного права потребує подальшої модернізації. Про це свідчать наукові дослідження, зокрема праці Л.К. Печ та Р.С. Киріна, які зазначають, що нинішнє регулювання не встигає за динамікою цифрової трансформації. Особливе занепокоєння викликає відсутність уніфікованого підходу до новітніх об’єктів — програмного забезпечення, електронних баз даних, елементів штучного інтелекту та NFT, які вже активно використовуються у світовому правовому обігу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_Ref197285365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8</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p>
    <w:p w14:paraId="6D68D1BB" w14:textId="0CA25BB4" w:rsidR="00220D3E" w:rsidRPr="00511005" w:rsidRDefault="00220D3E" w:rsidP="003A292D">
      <w:pPr>
        <w:tabs>
          <w:tab w:val="left" w:pos="709"/>
        </w:tabs>
        <w:spacing w:line="264" w:lineRule="auto"/>
        <w:ind w:right="141"/>
        <w:rPr>
          <w:rFonts w:ascii="Arial" w:eastAsia="Times New Roman" w:hAnsi="Arial" w:cs="Arial"/>
          <w:szCs w:val="28"/>
          <w:lang w:eastAsia="ru-RU"/>
        </w:rPr>
      </w:pPr>
      <w:r w:rsidRPr="00511005">
        <w:rPr>
          <w:rFonts w:ascii="Arial" w:eastAsia="Times New Roman" w:hAnsi="Arial" w:cs="Arial"/>
          <w:szCs w:val="28"/>
          <w:lang w:eastAsia="ru-RU"/>
        </w:rPr>
        <w:lastRenderedPageBreak/>
        <w:t>У цьому контексті Україна зобов’язалася, відповідно до Угоди про асоціацію з Європейським Союзом, адаптувати національне законодавство до норм права ЄС, зокрема Регламенту № 1215/2012 щодо юрисдикції та визнання судових рішень, Римського регламенту I (№ 593/2008) та Римського регламенту II (№ 864/2007). Їх впровадження дозволить підвищити передбачуваність судової практики та забезпечити належний рівень правової визначеності для суб’єктів господарювання в межах європейського правового простору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_Ref197285382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4</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_Ref197285388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6</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_Ref197285392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7</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p>
    <w:p w14:paraId="6942DEE7" w14:textId="77777777" w:rsidR="00220D3E" w:rsidRPr="00511005" w:rsidRDefault="00220D3E" w:rsidP="003A292D">
      <w:pPr>
        <w:tabs>
          <w:tab w:val="left" w:pos="709"/>
        </w:tabs>
        <w:spacing w:line="264" w:lineRule="auto"/>
        <w:ind w:right="141"/>
        <w:rPr>
          <w:rFonts w:ascii="Arial" w:eastAsia="Times New Roman" w:hAnsi="Arial" w:cs="Arial"/>
          <w:szCs w:val="28"/>
          <w:lang w:eastAsia="ru-RU"/>
        </w:rPr>
      </w:pPr>
      <w:r w:rsidRPr="00511005">
        <w:rPr>
          <w:rFonts w:ascii="Arial" w:eastAsia="Times New Roman" w:hAnsi="Arial" w:cs="Arial"/>
          <w:szCs w:val="28"/>
          <w:lang w:eastAsia="ru-RU"/>
        </w:rPr>
        <w:t>Отже, інтелектуальна власність у міжнародному приватному праві є багатовимірним явищем, що вимагає глибокого аналізу та постійного вдосконалення. Правова система України вже має базові інструменти для врегулювання відповідних правовідносин, проте їх практична ефективність залежить від здатності адаптуватися до нових викликів: цифровізації, децентралізованих технологій, транснаціональної комерційної діяльності. Подальший розвиток має ґрунтуватися на принципах правової гармонізації, міжнародного співробітництва та верховенства права.</w:t>
      </w:r>
    </w:p>
    <w:p w14:paraId="456E3A61" w14:textId="77777777" w:rsidR="00220D3E" w:rsidRPr="00511005" w:rsidRDefault="00220D3E" w:rsidP="003A292D">
      <w:pPr>
        <w:tabs>
          <w:tab w:val="left" w:pos="709"/>
        </w:tabs>
        <w:spacing w:line="264" w:lineRule="auto"/>
        <w:ind w:right="141"/>
        <w:rPr>
          <w:rFonts w:ascii="Arial" w:eastAsia="Times New Roman" w:hAnsi="Arial" w:cs="Arial"/>
          <w:szCs w:val="28"/>
          <w:lang w:eastAsia="ru-RU"/>
        </w:rPr>
      </w:pPr>
    </w:p>
    <w:p w14:paraId="30C27BBF" w14:textId="21D89644" w:rsidR="00220D3E" w:rsidRPr="00511005" w:rsidRDefault="007B2628" w:rsidP="007B2628">
      <w:pPr>
        <w:tabs>
          <w:tab w:val="left" w:pos="709"/>
        </w:tabs>
        <w:spacing w:line="264" w:lineRule="auto"/>
        <w:ind w:right="141"/>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3012266E" w14:textId="60EF46A0"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Про приєднання України до Бернської конвенції для захисту літературних і художніх творів: Закон України від 27.09.1995 року</w:t>
      </w:r>
      <w:r w:rsidR="007B2628"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w:t>
      </w:r>
      <w:hyperlink r:id="rId691" w:anchor="Text" w:history="1">
        <w:r w:rsidRPr="00511005">
          <w:rPr>
            <w:rFonts w:ascii="Arial" w:eastAsia="Calibri" w:hAnsi="Arial" w:cs="Arial"/>
            <w:szCs w:val="28"/>
          </w:rPr>
          <w:t>https://zakon.rada.gov.ua/laws/show/189/95-%D0%B2%D1%80#Text</w:t>
        </w:r>
      </w:hyperlink>
    </w:p>
    <w:p w14:paraId="43590DD9" w14:textId="77777777"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Бернська конвенція про охорону літературних і художніх </w:t>
      </w:r>
      <w:proofErr w:type="gramStart"/>
      <w:r w:rsidRPr="00511005">
        <w:rPr>
          <w:rFonts w:ascii="Arial" w:eastAsia="Calibri" w:hAnsi="Arial" w:cs="Arial"/>
          <w:szCs w:val="28"/>
        </w:rPr>
        <w:t>творів :</w:t>
      </w:r>
      <w:proofErr w:type="gramEnd"/>
      <w:r w:rsidRPr="00511005">
        <w:rPr>
          <w:rFonts w:ascii="Arial" w:eastAsia="Calibri" w:hAnsi="Arial" w:cs="Arial"/>
          <w:szCs w:val="28"/>
        </w:rPr>
        <w:t xml:space="preserve"> Паризький Акт від 24.07.1971 року </w:t>
      </w:r>
      <w:r w:rsidRPr="00511005">
        <w:rPr>
          <w:rFonts w:ascii="Arial" w:eastAsia="Calibri" w:hAnsi="Arial" w:cs="Arial"/>
          <w:szCs w:val="28"/>
          <w:lang w:val="en-US"/>
        </w:rPr>
        <w:t>URL</w:t>
      </w:r>
      <w:r w:rsidRPr="00511005">
        <w:rPr>
          <w:rFonts w:ascii="Arial" w:eastAsia="Calibri" w:hAnsi="Arial" w:cs="Arial"/>
          <w:szCs w:val="28"/>
        </w:rPr>
        <w:t>:</w:t>
      </w:r>
      <w:hyperlink r:id="rId692" w:anchor="Text" w:history="1">
        <w:r w:rsidRPr="00511005">
          <w:rPr>
            <w:rFonts w:ascii="Arial" w:eastAsia="Calibri" w:hAnsi="Arial" w:cs="Arial"/>
            <w:szCs w:val="28"/>
          </w:rPr>
          <w:t>https://zakon.rada.gov.ua/laws/show/995_051#Text</w:t>
        </w:r>
      </w:hyperlink>
    </w:p>
    <w:p w14:paraId="4A750709" w14:textId="77777777"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Угода про торговельні аспекти прав інтелектуальної власності від 06.12.2005 року </w:t>
      </w:r>
      <w:r w:rsidRPr="00511005">
        <w:rPr>
          <w:rFonts w:ascii="Arial" w:eastAsia="Calibri" w:hAnsi="Arial" w:cs="Arial"/>
          <w:szCs w:val="28"/>
          <w:lang w:val="en-US"/>
        </w:rPr>
        <w:t>URL</w:t>
      </w:r>
      <w:r w:rsidRPr="00511005">
        <w:rPr>
          <w:rFonts w:ascii="Arial" w:eastAsia="Calibri" w:hAnsi="Arial" w:cs="Arial"/>
          <w:szCs w:val="28"/>
        </w:rPr>
        <w:t>:</w:t>
      </w:r>
      <w:hyperlink r:id="rId693" w:anchor="Text" w:history="1">
        <w:r w:rsidRPr="00511005">
          <w:rPr>
            <w:rFonts w:ascii="Arial" w:eastAsia="Calibri" w:hAnsi="Arial" w:cs="Arial"/>
            <w:szCs w:val="28"/>
          </w:rPr>
          <w:t>https://zakon.rada.gov.ua/laws/show/981_018#Text</w:t>
        </w:r>
      </w:hyperlink>
    </w:p>
    <w:p w14:paraId="069BCFDF" w14:textId="77777777"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bookmarkStart w:id="66" w:name="_Ref197285382"/>
      <w:r w:rsidRPr="00511005">
        <w:rPr>
          <w:rFonts w:ascii="Arial" w:eastAsia="Calibri" w:hAnsi="Arial" w:cs="Arial"/>
          <w:szCs w:val="28"/>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від 30.11.2023 року </w:t>
      </w:r>
      <w:r w:rsidRPr="00511005">
        <w:rPr>
          <w:rFonts w:ascii="Arial" w:eastAsia="Calibri" w:hAnsi="Arial" w:cs="Arial"/>
          <w:szCs w:val="28"/>
          <w:lang w:val="en-US"/>
        </w:rPr>
        <w:t>URL</w:t>
      </w:r>
      <w:r w:rsidRPr="00511005">
        <w:rPr>
          <w:rFonts w:ascii="Arial" w:eastAsia="Calibri" w:hAnsi="Arial" w:cs="Arial"/>
          <w:szCs w:val="28"/>
        </w:rPr>
        <w:t>:</w:t>
      </w:r>
      <w:hyperlink r:id="rId694" w:anchor="Text" w:history="1">
        <w:r w:rsidRPr="00511005">
          <w:rPr>
            <w:rFonts w:ascii="Arial" w:eastAsia="Calibri" w:hAnsi="Arial" w:cs="Arial"/>
            <w:szCs w:val="28"/>
          </w:rPr>
          <w:t>https://zakon.rada.gov.ua/laws/show/984_011#Text</w:t>
        </w:r>
      </w:hyperlink>
      <w:bookmarkEnd w:id="66"/>
    </w:p>
    <w:p w14:paraId="22824B32" w14:textId="6FC6007B"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Регламент ЄС № 1215/2012 про юрисдикцію та визнання судових рішень у цивільних і торговельних справах від 12.12.2012 року</w:t>
      </w:r>
      <w:r w:rsidR="007B2628"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w:t>
      </w:r>
      <w:hyperlink r:id="rId695" w:history="1">
        <w:r w:rsidRPr="00511005">
          <w:rPr>
            <w:rFonts w:ascii="Arial" w:eastAsia="Calibri" w:hAnsi="Arial" w:cs="Arial"/>
            <w:szCs w:val="28"/>
          </w:rPr>
          <w:t>https://eur-lex.europa.eu/eli/reg/2012/1215/2015-02-26</w:t>
        </w:r>
      </w:hyperlink>
    </w:p>
    <w:p w14:paraId="7B8B84F1" w14:textId="77777777"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bookmarkStart w:id="67" w:name="_Ref197285388"/>
      <w:r w:rsidRPr="00511005">
        <w:rPr>
          <w:rFonts w:ascii="Arial" w:eastAsia="Calibri" w:hAnsi="Arial" w:cs="Arial"/>
          <w:szCs w:val="28"/>
        </w:rPr>
        <w:t xml:space="preserve">Про право, яке підлягає до застосування щодо договірних зобов'язань: Римський регламент I № 593/2008 від 17.06.2008 року </w:t>
      </w:r>
      <w:r w:rsidRPr="00511005">
        <w:rPr>
          <w:rFonts w:ascii="Arial" w:eastAsia="Calibri" w:hAnsi="Arial" w:cs="Arial"/>
          <w:szCs w:val="28"/>
          <w:lang w:val="en-US"/>
        </w:rPr>
        <w:t>URL</w:t>
      </w:r>
      <w:r w:rsidRPr="00511005">
        <w:rPr>
          <w:rFonts w:ascii="Arial" w:eastAsia="Calibri" w:hAnsi="Arial" w:cs="Arial"/>
          <w:szCs w:val="28"/>
        </w:rPr>
        <w:t>:</w:t>
      </w:r>
      <w:hyperlink r:id="rId696" w:history="1">
        <w:r w:rsidRPr="00511005">
          <w:rPr>
            <w:rFonts w:ascii="Arial" w:eastAsia="Calibri" w:hAnsi="Arial" w:cs="Arial"/>
            <w:szCs w:val="28"/>
          </w:rPr>
          <w:t>https://zakononline.com.ua/documents/show/287485___287550</w:t>
        </w:r>
      </w:hyperlink>
      <w:bookmarkEnd w:id="67"/>
    </w:p>
    <w:p w14:paraId="32781234" w14:textId="77777777"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bookmarkStart w:id="68" w:name="_Ref197285392"/>
      <w:r w:rsidRPr="00511005">
        <w:rPr>
          <w:rFonts w:ascii="Arial" w:eastAsia="Calibri" w:hAnsi="Arial" w:cs="Arial"/>
          <w:szCs w:val="28"/>
        </w:rPr>
        <w:t xml:space="preserve">Про право, що застосовується до недоговірних зобов’язань: Римський регламент II від 11.07.2007 року </w:t>
      </w:r>
      <w:r w:rsidRPr="00511005">
        <w:rPr>
          <w:rFonts w:ascii="Arial" w:eastAsia="Calibri" w:hAnsi="Arial" w:cs="Arial"/>
          <w:szCs w:val="28"/>
          <w:lang w:val="en-US"/>
        </w:rPr>
        <w:t>URL</w:t>
      </w:r>
      <w:r w:rsidRPr="00511005">
        <w:rPr>
          <w:rFonts w:ascii="Arial" w:eastAsia="Calibri" w:hAnsi="Arial" w:cs="Arial"/>
          <w:szCs w:val="28"/>
        </w:rPr>
        <w:t>:</w:t>
      </w:r>
      <w:hyperlink r:id="rId697" w:history="1">
        <w:r w:rsidRPr="00511005">
          <w:rPr>
            <w:rFonts w:ascii="Arial" w:eastAsia="Calibri" w:hAnsi="Arial" w:cs="Arial"/>
            <w:szCs w:val="28"/>
          </w:rPr>
          <w:t>https://ips.ligazakon.net/document/EU070048</w:t>
        </w:r>
      </w:hyperlink>
      <w:bookmarkEnd w:id="68"/>
    </w:p>
    <w:p w14:paraId="435F2A16" w14:textId="77777777"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bookmarkStart w:id="69" w:name="_Ref197285365"/>
      <w:r w:rsidRPr="00511005">
        <w:rPr>
          <w:rFonts w:ascii="Arial" w:eastAsia="Calibri" w:hAnsi="Arial" w:cs="Arial"/>
          <w:szCs w:val="28"/>
        </w:rPr>
        <w:t>Інтелектуальна власність: підручник / Р.С. Кірін, В.Л. Хоменко, І.М. Коросташова. – Д.: Національний гірничий університет, 2012. – 320 с.</w:t>
      </w:r>
      <w:r w:rsidRPr="00511005">
        <w:rPr>
          <w:rFonts w:ascii="Arial" w:eastAsia="Calibri" w:hAnsi="Arial" w:cs="Arial"/>
          <w:szCs w:val="28"/>
          <w:lang w:val="en-US"/>
        </w:rPr>
        <w:t>URL</w:t>
      </w:r>
      <w:r w:rsidRPr="00511005">
        <w:rPr>
          <w:rFonts w:ascii="Arial" w:eastAsia="Calibri" w:hAnsi="Arial" w:cs="Arial"/>
          <w:szCs w:val="28"/>
        </w:rPr>
        <w:t>:</w:t>
      </w:r>
      <w:hyperlink r:id="rId698" w:history="1">
        <w:r w:rsidRPr="00511005">
          <w:rPr>
            <w:rFonts w:ascii="Arial" w:eastAsia="Calibri" w:hAnsi="Arial" w:cs="Arial"/>
            <w:szCs w:val="28"/>
          </w:rPr>
          <w:t>https://trrkk.nmu.org.ua/ua/peda_job/185/is/%D0%9A%D1%96%D1%80</w:t>
        </w:r>
        <w:r w:rsidRPr="00511005">
          <w:rPr>
            <w:rFonts w:ascii="Arial" w:eastAsia="Calibri" w:hAnsi="Arial" w:cs="Arial"/>
            <w:szCs w:val="28"/>
          </w:rPr>
          <w:lastRenderedPageBreak/>
          <w:t>%D1%96%D0%BD,%20%D0%A5%D0%BE%D0%BC%D0%B5%D0%BD%D0%BA%D0%BE,%20%D0%9A%D0%BE%D1%80%D0%BE%D1%81%D1%82%D0%B0%D1%88%D0%BE%D0%B2%D0%B0.%20%D0%9F%D1%96%D0%B4%D1%80%D1%83%D1%87%D0%BD%D0%B8%D0%BA%20%D0%86%D0%BD%D1%82%D0%B5%D0%BB%D0%B5%D0%BA%D1%82%D1%83%D0%B0%D0%BB%D1%8C%D0%BD%D0%B0%20%D0%B2%D0%BB%D0%B0%D1%81%D0%BD%D1%96%D1%81%D1%82%D1%8C.pdf</w:t>
        </w:r>
      </w:hyperlink>
      <w:bookmarkEnd w:id="69"/>
    </w:p>
    <w:p w14:paraId="34DE55A0" w14:textId="77777777"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bookmarkStart w:id="70" w:name="_Ref197285343"/>
      <w:r w:rsidRPr="00511005">
        <w:rPr>
          <w:rFonts w:ascii="Arial" w:eastAsia="Calibri" w:hAnsi="Arial" w:cs="Arial"/>
          <w:szCs w:val="28"/>
        </w:rPr>
        <w:t xml:space="preserve">Дахно І. І. Міжнародне приватне право: Навч. пос. – К.: Центр учбової літератури, 2008. – 316 с. </w:t>
      </w:r>
      <w:r w:rsidRPr="00511005">
        <w:rPr>
          <w:rFonts w:ascii="Arial" w:eastAsia="Calibri" w:hAnsi="Arial" w:cs="Arial"/>
          <w:szCs w:val="28"/>
          <w:lang w:val="en-US"/>
        </w:rPr>
        <w:t>URL</w:t>
      </w:r>
      <w:r w:rsidRPr="00511005">
        <w:rPr>
          <w:rFonts w:ascii="Arial" w:eastAsia="Calibri" w:hAnsi="Arial" w:cs="Arial"/>
          <w:szCs w:val="28"/>
        </w:rPr>
        <w:t>:</w:t>
      </w:r>
      <w:hyperlink r:id="rId699" w:history="1">
        <w:r w:rsidRPr="00511005">
          <w:rPr>
            <w:rFonts w:ascii="Arial" w:eastAsia="Calibri" w:hAnsi="Arial" w:cs="Arial"/>
            <w:szCs w:val="28"/>
          </w:rPr>
          <w:t>https://library.nlu.edu.ua/POLN_TEXT/CUL/26-Mijn_priv_pravo-Dahno.pdf</w:t>
        </w:r>
      </w:hyperlink>
      <w:bookmarkEnd w:id="70"/>
    </w:p>
    <w:p w14:paraId="5087A77A" w14:textId="77777777"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bookmarkStart w:id="71" w:name="_Ref197285284"/>
      <w:r w:rsidRPr="00511005">
        <w:rPr>
          <w:rFonts w:ascii="Arial" w:eastAsia="Calibri" w:hAnsi="Arial" w:cs="Arial"/>
          <w:szCs w:val="28"/>
        </w:rPr>
        <w:t xml:space="preserve">Про міжнародне приватне право: Закон України від 23.06.2005 року </w:t>
      </w:r>
      <w:hyperlink r:id="rId700" w:anchor="Text" w:history="1">
        <w:r w:rsidRPr="00511005">
          <w:rPr>
            <w:rFonts w:ascii="Arial" w:eastAsia="Calibri" w:hAnsi="Arial" w:cs="Arial"/>
            <w:szCs w:val="28"/>
          </w:rPr>
          <w:t>URL: htts://zakon.rada.gov.ua/laws/show/2709-15#Text</w:t>
        </w:r>
      </w:hyperlink>
      <w:bookmarkEnd w:id="71"/>
    </w:p>
    <w:p w14:paraId="7F30D0AD" w14:textId="77777777"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Паризька конвенція про охорону промислової власності від 20.03.1883 року </w:t>
      </w:r>
      <w:r w:rsidRPr="00511005">
        <w:rPr>
          <w:rFonts w:ascii="Arial" w:eastAsia="Calibri" w:hAnsi="Arial" w:cs="Arial"/>
          <w:szCs w:val="28"/>
          <w:lang w:val="en-US"/>
        </w:rPr>
        <w:t>URL</w:t>
      </w:r>
      <w:r w:rsidRPr="00511005">
        <w:rPr>
          <w:rFonts w:ascii="Arial" w:eastAsia="Calibri" w:hAnsi="Arial" w:cs="Arial"/>
          <w:szCs w:val="28"/>
        </w:rPr>
        <w:t>:</w:t>
      </w:r>
      <w:hyperlink r:id="rId701" w:anchor="Text" w:history="1">
        <w:r w:rsidRPr="00511005">
          <w:rPr>
            <w:rFonts w:ascii="Arial" w:eastAsia="Calibri" w:hAnsi="Arial" w:cs="Arial"/>
            <w:szCs w:val="28"/>
          </w:rPr>
          <w:t>https://zakon.rada.gov.ua/laws/show/995_123#Text</w:t>
        </w:r>
      </w:hyperlink>
    </w:p>
    <w:p w14:paraId="0EC2897E" w14:textId="0DA66BC5" w:rsidR="00220D3E" w:rsidRPr="00511005" w:rsidRDefault="00220D3E" w:rsidP="003F6A5D">
      <w:pPr>
        <w:numPr>
          <w:ilvl w:val="0"/>
          <w:numId w:val="187"/>
        </w:numPr>
        <w:tabs>
          <w:tab w:val="left" w:pos="709"/>
        </w:tabs>
        <w:spacing w:line="264" w:lineRule="auto"/>
        <w:ind w:left="0" w:firstLine="709"/>
        <w:contextualSpacing/>
        <w:jc w:val="left"/>
        <w:rPr>
          <w:rFonts w:ascii="Arial" w:eastAsia="Calibri" w:hAnsi="Arial" w:cs="Arial"/>
          <w:szCs w:val="28"/>
        </w:rPr>
      </w:pPr>
      <w:bookmarkStart w:id="72" w:name="_Ref197285308"/>
      <w:r w:rsidRPr="00511005">
        <w:rPr>
          <w:rFonts w:ascii="Arial" w:eastAsia="Calibri" w:hAnsi="Arial" w:cs="Arial"/>
          <w:szCs w:val="28"/>
        </w:rPr>
        <w:t>Цивільний кодекс України від 09.04.2025 року</w:t>
      </w:r>
      <w:r w:rsidR="007B2628"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w:t>
      </w:r>
      <w:hyperlink r:id="rId702" w:anchor="Text" w:history="1">
        <w:r w:rsidRPr="00511005">
          <w:rPr>
            <w:rFonts w:ascii="Arial" w:eastAsia="Calibri" w:hAnsi="Arial" w:cs="Arial"/>
            <w:szCs w:val="28"/>
          </w:rPr>
          <w:t>https://zakon.rada.gov.ua/laws/show/435-15#Text</w:t>
        </w:r>
      </w:hyperlink>
      <w:bookmarkEnd w:id="72"/>
    </w:p>
    <w:p w14:paraId="58215800" w14:textId="018AF7BE"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інтелектуальна власність, міжнародне приватне право, колізійне регулювання, право країни охорони, юрисдикція, застосовне право, цифрові об’єкти, автономія волі сторін, територіальність прав, транскордонний спір.</w:t>
      </w:r>
    </w:p>
    <w:p w14:paraId="1239DECE" w14:textId="5FB06973"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intellectual property, private international law, conflict of laws, law of the country of protection, jurisdiction, applicable law, digital objects, party autonomy, territoriality of rights, transnational dispute.</w:t>
      </w:r>
    </w:p>
    <w:p w14:paraId="51254067" w14:textId="084BDCF5" w:rsidR="00220D3E" w:rsidRPr="00511005" w:rsidRDefault="007B2628" w:rsidP="003A292D">
      <w:pPr>
        <w:tabs>
          <w:tab w:val="left" w:pos="709"/>
        </w:tabs>
        <w:spacing w:line="264" w:lineRule="auto"/>
        <w:rPr>
          <w:rFonts w:ascii="Arial" w:eastAsia="Times New Roman" w:hAnsi="Arial" w:cs="Arial"/>
          <w:i/>
          <w:szCs w:val="28"/>
          <w:lang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асистент кафедри Бугаєць А.С.</w:t>
      </w:r>
    </w:p>
    <w:p w14:paraId="1D2498C5" w14:textId="77777777" w:rsidR="00220D3E" w:rsidRPr="00511005" w:rsidRDefault="00220D3E" w:rsidP="003A292D">
      <w:pPr>
        <w:tabs>
          <w:tab w:val="left" w:pos="709"/>
          <w:tab w:val="left" w:pos="9072"/>
        </w:tabs>
        <w:spacing w:line="264" w:lineRule="auto"/>
        <w:ind w:right="850"/>
        <w:jc w:val="center"/>
        <w:rPr>
          <w:rFonts w:ascii="Arial" w:eastAsia="Times New Roman" w:hAnsi="Arial" w:cs="Arial"/>
          <w:b/>
          <w:i/>
          <w:szCs w:val="28"/>
          <w:lang w:val="uk-UA" w:eastAsia="ru-RU"/>
        </w:rPr>
      </w:pPr>
    </w:p>
    <w:p w14:paraId="20057FE1" w14:textId="77777777" w:rsidR="00220D3E" w:rsidRPr="00511005" w:rsidRDefault="00220D3E" w:rsidP="003A292D">
      <w:pPr>
        <w:tabs>
          <w:tab w:val="left" w:pos="709"/>
          <w:tab w:val="left" w:pos="9072"/>
        </w:tabs>
        <w:spacing w:line="264" w:lineRule="auto"/>
        <w:ind w:right="850"/>
        <w:jc w:val="center"/>
        <w:rPr>
          <w:rFonts w:ascii="Arial" w:eastAsia="Times New Roman" w:hAnsi="Arial" w:cs="Arial"/>
          <w:b/>
          <w:i/>
          <w:szCs w:val="28"/>
          <w:lang w:eastAsia="ru-RU"/>
        </w:rPr>
      </w:pPr>
      <w:r w:rsidRPr="00511005">
        <w:rPr>
          <w:rFonts w:ascii="Arial" w:eastAsia="Times New Roman" w:hAnsi="Arial" w:cs="Arial"/>
          <w:b/>
          <w:i/>
          <w:szCs w:val="28"/>
          <w:lang w:eastAsia="ru-RU"/>
        </w:rPr>
        <w:t>Тютюнник Надія Олексіївна</w:t>
      </w:r>
    </w:p>
    <w:p w14:paraId="0E07AB11" w14:textId="24B83CC4" w:rsidR="00220D3E" w:rsidRPr="00511005" w:rsidRDefault="00536AAB" w:rsidP="003A292D">
      <w:pPr>
        <w:tabs>
          <w:tab w:val="left" w:pos="709"/>
          <w:tab w:val="left" w:pos="9072"/>
        </w:tabs>
        <w:spacing w:line="264" w:lineRule="auto"/>
        <w:ind w:right="-444" w:hanging="142"/>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573A53DC" w14:textId="63171757" w:rsidR="00220D3E" w:rsidRPr="00511005" w:rsidRDefault="007B2628" w:rsidP="003A292D">
      <w:pPr>
        <w:tabs>
          <w:tab w:val="left" w:pos="709"/>
          <w:tab w:val="left" w:pos="9072"/>
        </w:tabs>
        <w:spacing w:line="264" w:lineRule="auto"/>
        <w:ind w:right="-444" w:hanging="142"/>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3B010F6" w14:textId="77777777" w:rsidR="00220D3E" w:rsidRPr="00511005" w:rsidRDefault="00220D3E" w:rsidP="003A292D">
      <w:pPr>
        <w:tabs>
          <w:tab w:val="left" w:pos="709"/>
        </w:tabs>
        <w:spacing w:line="264" w:lineRule="auto"/>
        <w:ind w:right="-324"/>
        <w:jc w:val="center"/>
        <w:rPr>
          <w:rFonts w:ascii="Arial" w:eastAsia="Times New Roman" w:hAnsi="Arial" w:cs="Arial"/>
          <w:b/>
          <w:szCs w:val="28"/>
          <w:lang w:eastAsia="ru-RU"/>
        </w:rPr>
      </w:pPr>
    </w:p>
    <w:p w14:paraId="448798BD" w14:textId="77777777" w:rsidR="00220D3E" w:rsidRPr="00511005" w:rsidRDefault="00220D3E" w:rsidP="003A292D">
      <w:pPr>
        <w:tabs>
          <w:tab w:val="left" w:pos="709"/>
        </w:tabs>
        <w:spacing w:line="264" w:lineRule="auto"/>
        <w:ind w:right="-324"/>
        <w:jc w:val="center"/>
        <w:rPr>
          <w:rFonts w:ascii="Arial" w:eastAsia="Times New Roman" w:hAnsi="Arial" w:cs="Arial"/>
          <w:szCs w:val="28"/>
          <w:lang w:val="uk-UA" w:eastAsia="ru-RU"/>
        </w:rPr>
      </w:pPr>
      <w:r w:rsidRPr="00511005">
        <w:rPr>
          <w:rFonts w:ascii="Arial" w:eastAsia="Times New Roman" w:hAnsi="Arial" w:cs="Arial"/>
          <w:b/>
          <w:szCs w:val="28"/>
          <w:lang w:eastAsia="ru-RU"/>
        </w:rPr>
        <w:t>ВИЗНАННЯ ТА ВИКОНАННЯ ІНОЗЕМНИХ РІШЕНЬ У СПРАВАХ ПРО РОЗІРВАННЯ ШЛЮБУ В УКРАЇНІ</w:t>
      </w:r>
    </w:p>
    <w:p w14:paraId="20FB6FB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У сучасному світі, де дедалі більше громадян вступають у шлюб за межами своєї країни або з іноземцями, питання визнання та виконання іноземних судових рішень у справах про розірвання шлюбу набуває особливої актуальності. </w:t>
      </w:r>
      <w:r w:rsidRPr="00511005">
        <w:rPr>
          <w:rFonts w:ascii="Arial" w:eastAsia="Times New Roman" w:hAnsi="Arial" w:cs="Arial"/>
          <w:szCs w:val="28"/>
          <w:lang w:eastAsia="ru-RU"/>
        </w:rPr>
        <w:t>Україна, як учасниця численних міжнародних договорів та конвенцій, зобов’язана забезпечувати відповідність національного законодавства міжнародним стандартам у сфері сімейного права. При цьому важливо дотримуватися принципів правової визначеності, недискримінації та захисту прав людини.</w:t>
      </w:r>
    </w:p>
    <w:p w14:paraId="68FA80C5" w14:textId="095DAA1C"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За ст. 81 Закону України «Про міжнародне приватне право» іноземні рішення в цивільних, трудових, сімейних та господарських справах можуть визнаватися в Україні, за умови їх набрання законної сили у державі </w:t>
      </w:r>
      <w:r w:rsidRPr="00511005">
        <w:rPr>
          <w:rFonts w:ascii="Arial" w:eastAsia="Times New Roman" w:hAnsi="Arial" w:cs="Arial"/>
          <w:szCs w:val="28"/>
          <w:lang w:eastAsia="ru-RU"/>
        </w:rPr>
        <w:lastRenderedPageBreak/>
        <w:t xml:space="preserve">ухвалення. Однак важливим є те, що визнання рішень про розірвання шлюбу не супроводжується примусовим виконанням (як, наприклад,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стягнення аліментів чи іншої майнової відповідальності), оскільки такі рішення за постановою Пленуму Верховного Суду України не потребують виконання механізмом примусового задоволення. Рішення іноземного суду про розірвання шлюбу має лише форму визнання – воно повинно бути зареєстровано в органах реєстрації актів цивільного стану, щоб надалі отримати документальне підтвердження факту розірвання шлюбу в Україні.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_Ref195476681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2</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p>
    <w:p w14:paraId="6D2B00F9" w14:textId="491CBF6F"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Щоб іноземне рішення про розірвання шлюбу було визнане в Україні, зацікавлена сторона повинна подати </w:t>
      </w:r>
      <w:proofErr w:type="gramStart"/>
      <w:r w:rsidRPr="00511005">
        <w:rPr>
          <w:rFonts w:ascii="Arial" w:eastAsia="Times New Roman" w:hAnsi="Arial" w:cs="Arial"/>
          <w:szCs w:val="28"/>
          <w:lang w:eastAsia="ru-RU"/>
        </w:rPr>
        <w:t>до суду</w:t>
      </w:r>
      <w:proofErr w:type="gramEnd"/>
      <w:r w:rsidRPr="00511005">
        <w:rPr>
          <w:rFonts w:ascii="Arial" w:eastAsia="Times New Roman" w:hAnsi="Arial" w:cs="Arial"/>
          <w:szCs w:val="28"/>
          <w:lang w:eastAsia="ru-RU"/>
        </w:rPr>
        <w:t xml:space="preserve"> клопотання, яке супроводжується повним пакетом документів. Серед обов’язкових документів – оригінал або засвідчена копія рішення (з апостилем або легалізацією), документ про набрання ним законної сили, а також нотаріально засвідчений переклад українською мовою. Суд перевіряє, чи не було раніше вирішено аналогічне питання в Україні (наприклад, чи не було раніше розглянуто та зареєстровано розірвання того самого шлюбу) та чи були дотримані права сторін у процесі розгляду справи за кордоном.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_Ref195476713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1</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p>
    <w:p w14:paraId="25D1308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Визнання іноземних рішень може здійснюватися на підставі наявності укладених міжнародно-правових договорів або за принципом взаємності. Якщо з країною ухвалення рішення (наприклад, Францією, Іспанією тощо) укладено відповідний договір, порядок визнання регулюється його положеннями. В разі відсутності такого договору, рішення визнається за принципом взаємності – вважається, що така процедура можлива, оскільки не представлено доказів протилежного.</w:t>
      </w:r>
    </w:p>
    <w:p w14:paraId="653F0CB2" w14:textId="76F13DFD" w:rsidR="00220D3E" w:rsidRPr="00511005" w:rsidRDefault="00220D3E" w:rsidP="003A292D">
      <w:pPr>
        <w:tabs>
          <w:tab w:val="left" w:pos="709"/>
        </w:tabs>
        <w:spacing w:line="264" w:lineRule="auto"/>
        <w:rPr>
          <w:rFonts w:ascii="Arial" w:eastAsia="Times New Roman" w:hAnsi="Arial" w:cs="Arial"/>
          <w:szCs w:val="28"/>
          <w:lang w:val="uk-UA" w:eastAsia="ru-RU"/>
        </w:rPr>
      </w:pP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розірвання шлюбу, де один або обидва подружжя проживають за кордоном, питання стає ще більш складним, оскільки українське законодавство має враховувати міжнародний аспект. З одного боку, рішення іноземного суду повинно бути визнане, щоб уникнути суперечностей із даними, що містяться в державних реєстрах (наприклад, відсутність документу про розірвання шлюбу в органах реєстрації актів цивільного стану). З іншого боку, часті випадки «forum shopping» передбачають вибір стороною найбільш зручного суду – що є важливим при визначенні підсудності.</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_Ref195476713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1</w:t>
      </w:r>
      <w:r w:rsidRPr="00511005">
        <w:rPr>
          <w:rFonts w:ascii="Arial" w:eastAsia="Times New Roman" w:hAnsi="Arial" w:cs="Arial"/>
          <w:szCs w:val="28"/>
          <w:lang w:eastAsia="ru-RU"/>
        </w:rPr>
        <w:fldChar w:fldCharType="end"/>
      </w:r>
      <w:r w:rsidRPr="00511005">
        <w:rPr>
          <w:rFonts w:ascii="Arial" w:eastAsia="Times New Roman" w:hAnsi="Arial" w:cs="Arial"/>
          <w:szCs w:val="28"/>
          <w:lang w:val="uk-UA" w:eastAsia="ru-RU"/>
        </w:rPr>
        <w:t>]</w:t>
      </w:r>
    </w:p>
    <w:p w14:paraId="3ED6F33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Визначення компетентності суду України для розгляду справи про розірвання шлюбу з іноземним елементом ґрунтується на альтернативних критеріях:</w:t>
      </w:r>
    </w:p>
    <w:p w14:paraId="573D43B2" w14:textId="1B84A5AE"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 місцем проживання або перебування однієї зі сторін;</w:t>
      </w:r>
    </w:p>
    <w:p w14:paraId="645ADEC6" w14:textId="5D52AFB6"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 місцезнаходженням майна боржника;</w:t>
      </w:r>
    </w:p>
    <w:p w14:paraId="0D214D57" w14:textId="52BECD2C"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 останнім спільним місцем проживання подружжя;</w:t>
      </w:r>
    </w:p>
    <w:p w14:paraId="51A0BC4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або за домовленістю сторін, якщо це підтверджено відповідними документами.</w:t>
      </w:r>
    </w:p>
    <w:p w14:paraId="1E64AA9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Український суд відмовляє у відкритті провадження, якщо доказано, що аналогічне провадження вже ведеться в іншій юрисдикції, що забезпечує принцип «хто першим подав клопотання, той першим матиме право на вирішення» (Qui prior est tempore, potior est jure).</w:t>
      </w:r>
    </w:p>
    <w:p w14:paraId="16F0594A" w14:textId="082BFA69"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Оскільки документи, видані іноземним судом, зазвичай складені іноземною мовою, вони мають бути нотаріально засвідченими перекладами на українську (або іншу мову, що передбачена міжнародними договорами). Це є важливим для того, щоб український суд міг правильно інтерпретувати зміст рішення, перевірити автентичність документів і переконатись у їхній відповідності вимогам українського законодавства.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_Ref195476796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3</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p>
    <w:p w14:paraId="1D9E32D8" w14:textId="16F20C95"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Навіть якщо рішення іноземного суду про розірвання шлюбу не підлягає примусовому виконанню як такому, його визнання має практичне значення. Визнане рішення подається до органів реєстрації актів цивільного стану для оформлення свідоцтва про розірвання шлюбу. Без такого визнання особа може залишатися формально одруженою в Україні, що може створювати проблеми при укладанні нових шлюбів, купівлі нерухомості чи вирішенні інших правових питань.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_Ref195476807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4</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p>
    <w:p w14:paraId="59113C7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Судова практика України підтверджує, що клопотання про визнання іноземного рішення часто задовольняється, якщо дотримано всі процедурні вимоги. Проте відмови можливі у випадках, коли:</w:t>
      </w:r>
    </w:p>
    <w:p w14:paraId="0549A3AF" w14:textId="5EE641F1"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рішення не набрало законної сили у країні його ухвалення;</w:t>
      </w:r>
    </w:p>
    <w:p w14:paraId="75192D1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сторона, проти якої воно винесене, не була належним чином повідомлена про судовий процес;</w:t>
      </w:r>
    </w:p>
    <w:p w14:paraId="61E4A8BF" w14:textId="20A0186F"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або вже існує аналогічне рішення, зареєстроване в Україні.</w:t>
      </w:r>
    </w:p>
    <w:p w14:paraId="1C2A80E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Важливо ретельно документувати кожен етап процесу як на території країни ухвалення, так і при поданні клопотання в Україні.</w:t>
      </w:r>
    </w:p>
    <w:p w14:paraId="25A0E04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Для ефективного захисту інтересів клієнтів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розірвання шлюбу з іноземним елементом рекомендується:</w:t>
      </w:r>
    </w:p>
    <w:p w14:paraId="27C82DD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своєчасно збирати докази проживання за кордоном (копії документів, свідоцтва про проживання, довідки з навчальних закладів тощо);</w:t>
      </w:r>
    </w:p>
    <w:p w14:paraId="4593D0E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ретельно перевіряти, чи відповідають документи вимогам українського законодавства (належне посвідчення, нотаріальне засвідчення апостилем або легалізація);</w:t>
      </w:r>
    </w:p>
    <w:p w14:paraId="52C2C79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звертатися за консультацією до адвокатів, спеціалізованих у міжнародному приватному праві, оскільки кожна справа має свої нюанси;</w:t>
      </w:r>
    </w:p>
    <w:p w14:paraId="156F241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звертати увагу на підсудність – обрати найбільш вигідну юрисдикцію, де можна подати клопотання для визнання рішення, виходячи із законодавчих вимог та наявності міжнародних договорів.</w:t>
      </w:r>
    </w:p>
    <w:p w14:paraId="63C7C64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Процедура визнання іноземних рішень про розірвання шлюбу в Україні є фундаментальним інструментом, який забезпечує реєстрацію змін у сімейному стані громадян, незалежно від того, де фактично було розірвано шлюб. Дотримання чітких процедурних вимог, врахування принципу </w:t>
      </w:r>
      <w:r w:rsidRPr="00511005">
        <w:rPr>
          <w:rFonts w:ascii="Arial" w:eastAsia="Times New Roman" w:hAnsi="Arial" w:cs="Arial"/>
          <w:szCs w:val="28"/>
          <w:lang w:eastAsia="ru-RU"/>
        </w:rPr>
        <w:lastRenderedPageBreak/>
        <w:t>взаємності і правильне оформлення документів – це запорука успішного визнання рішення в Україні. З огляду на зростання кількості міжнародних шлюбів, подальше удосконалення законодавства та розвиток судової практики сприятимуть забезпеченню стабільності правового статусу осіб, що проживають з іноземним елементом, та дадуть можливість уникнути правових суперечок у майбутньому.</w:t>
      </w:r>
    </w:p>
    <w:p w14:paraId="020EF97A" w14:textId="77777777" w:rsidR="00220D3E" w:rsidRPr="00511005" w:rsidRDefault="00220D3E" w:rsidP="003A292D">
      <w:pPr>
        <w:tabs>
          <w:tab w:val="left" w:pos="709"/>
        </w:tabs>
        <w:spacing w:line="264" w:lineRule="auto"/>
        <w:ind w:rightChars="10" w:right="28"/>
        <w:jc w:val="center"/>
        <w:rPr>
          <w:rFonts w:ascii="Arial" w:eastAsia="Times New Roman" w:hAnsi="Arial" w:cs="Arial"/>
          <w:szCs w:val="28"/>
          <w:lang w:val="uk-UA" w:eastAsia="ru-RU"/>
        </w:rPr>
      </w:pPr>
    </w:p>
    <w:p w14:paraId="138562B6" w14:textId="3CAC2903" w:rsidR="00220D3E" w:rsidRPr="00511005" w:rsidRDefault="007B2628" w:rsidP="007B2628">
      <w:pPr>
        <w:tabs>
          <w:tab w:val="left" w:pos="709"/>
        </w:tabs>
        <w:spacing w:line="264" w:lineRule="auto"/>
        <w:ind w:rightChars="10" w:right="28"/>
        <w:jc w:val="center"/>
        <w:rPr>
          <w:rFonts w:ascii="Arial" w:eastAsia="Times New Roman" w:hAnsi="Arial" w:cs="Arial"/>
          <w:szCs w:val="28"/>
          <w:lang w:eastAsia="ru-RU"/>
        </w:rPr>
      </w:pPr>
      <w:r w:rsidRPr="00511005">
        <w:rPr>
          <w:rFonts w:ascii="Arial" w:eastAsia="Times New Roman" w:hAnsi="Arial" w:cs="Arial"/>
          <w:b/>
          <w:szCs w:val="28"/>
          <w:lang w:val="uk-UA" w:eastAsia="ru-RU"/>
        </w:rPr>
        <w:t>Список використаних джерел</w:t>
      </w:r>
    </w:p>
    <w:p w14:paraId="7F28AC18" w14:textId="77777777" w:rsidR="00220D3E" w:rsidRPr="00511005" w:rsidRDefault="00220D3E" w:rsidP="003F6A5D">
      <w:pPr>
        <w:numPr>
          <w:ilvl w:val="0"/>
          <w:numId w:val="188"/>
        </w:numPr>
        <w:tabs>
          <w:tab w:val="left" w:pos="709"/>
        </w:tabs>
        <w:spacing w:line="264" w:lineRule="auto"/>
        <w:ind w:rightChars="10" w:right="28"/>
        <w:contextualSpacing/>
        <w:jc w:val="left"/>
        <w:rPr>
          <w:rFonts w:ascii="Arial" w:eastAsia="Times New Roman" w:hAnsi="Arial" w:cs="Arial"/>
          <w:szCs w:val="28"/>
        </w:rPr>
      </w:pPr>
      <w:bookmarkStart w:id="73" w:name="_Ref195476713"/>
      <w:r w:rsidRPr="00511005">
        <w:rPr>
          <w:rFonts w:ascii="Arial" w:eastAsia="Times New Roman" w:hAnsi="Arial" w:cs="Arial"/>
          <w:szCs w:val="28"/>
        </w:rPr>
        <w:t xml:space="preserve">Визнання рішення іноземного суду про розірвання шлюбу в Україні. Адвокатське об’єднання «V.I.Partners». Київ, 2016. URL: </w:t>
      </w:r>
      <w:hyperlink r:id="rId703">
        <w:r w:rsidRPr="00511005">
          <w:rPr>
            <w:rFonts w:ascii="Arial" w:eastAsia="Times New Roman" w:hAnsi="Arial" w:cs="Arial"/>
            <w:szCs w:val="28"/>
          </w:rPr>
          <w:t>https://vi-lawyers.com/uk/viznannya-rishennya-inozemnogo-sudu-pro-rozirvannya-shlyubu-v-ukrayini/</w:t>
        </w:r>
      </w:hyperlink>
      <w:bookmarkEnd w:id="73"/>
    </w:p>
    <w:p w14:paraId="565F0C9A" w14:textId="77777777" w:rsidR="00220D3E" w:rsidRPr="00511005" w:rsidRDefault="00220D3E" w:rsidP="003F6A5D">
      <w:pPr>
        <w:numPr>
          <w:ilvl w:val="0"/>
          <w:numId w:val="188"/>
        </w:numPr>
        <w:tabs>
          <w:tab w:val="left" w:pos="709"/>
        </w:tabs>
        <w:spacing w:line="264" w:lineRule="auto"/>
        <w:ind w:rightChars="10" w:right="28"/>
        <w:contextualSpacing/>
        <w:jc w:val="left"/>
        <w:rPr>
          <w:rFonts w:ascii="Arial" w:eastAsia="Times New Roman" w:hAnsi="Arial" w:cs="Arial"/>
          <w:szCs w:val="28"/>
        </w:rPr>
      </w:pPr>
      <w:bookmarkStart w:id="74" w:name="_Ref195476681"/>
      <w:r w:rsidRPr="00511005">
        <w:rPr>
          <w:rFonts w:ascii="Arial" w:eastAsia="Times New Roman" w:hAnsi="Arial" w:cs="Arial"/>
          <w:szCs w:val="28"/>
        </w:rPr>
        <w:t>Про міжнародне приватне право: Закон України від 23.06.2005 № 2709-IV URL:</w:t>
      </w:r>
      <w:hyperlink r:id="rId704" w:anchor="Text">
        <w:r w:rsidRPr="00511005">
          <w:rPr>
            <w:rFonts w:ascii="Arial" w:eastAsia="Times New Roman" w:hAnsi="Arial" w:cs="Arial"/>
            <w:szCs w:val="28"/>
          </w:rPr>
          <w:t>https://zakon.rada.gov.ua/laws/show/2709-15#Text</w:t>
        </w:r>
      </w:hyperlink>
      <w:bookmarkEnd w:id="74"/>
    </w:p>
    <w:p w14:paraId="177361C4" w14:textId="77777777" w:rsidR="00220D3E" w:rsidRPr="00511005" w:rsidRDefault="00220D3E" w:rsidP="003F6A5D">
      <w:pPr>
        <w:numPr>
          <w:ilvl w:val="0"/>
          <w:numId w:val="188"/>
        </w:numPr>
        <w:tabs>
          <w:tab w:val="left" w:pos="709"/>
        </w:tabs>
        <w:spacing w:line="264" w:lineRule="auto"/>
        <w:ind w:rightChars="10" w:right="28"/>
        <w:contextualSpacing/>
        <w:jc w:val="left"/>
        <w:rPr>
          <w:rFonts w:ascii="Arial" w:eastAsia="Times New Roman" w:hAnsi="Arial" w:cs="Arial"/>
          <w:szCs w:val="28"/>
        </w:rPr>
      </w:pPr>
      <w:bookmarkStart w:id="75" w:name="_Ref195476796"/>
      <w:r w:rsidRPr="00511005">
        <w:rPr>
          <w:rFonts w:ascii="Arial" w:eastAsia="Times New Roman" w:hAnsi="Arial" w:cs="Arial"/>
          <w:szCs w:val="28"/>
        </w:rPr>
        <w:t xml:space="preserve">Реєстрація та розірвання шлюбу. Міністерство закордонних справ України. Київ, 2020. URL: </w:t>
      </w:r>
      <w:hyperlink r:id="rId705">
        <w:r w:rsidRPr="00511005">
          <w:rPr>
            <w:rFonts w:ascii="Arial" w:eastAsia="Times New Roman" w:hAnsi="Arial" w:cs="Arial"/>
            <w:szCs w:val="28"/>
          </w:rPr>
          <w:t>https://mfa.gov.ua/consul/forua/reg/shlyub</w:t>
        </w:r>
      </w:hyperlink>
      <w:bookmarkEnd w:id="75"/>
    </w:p>
    <w:p w14:paraId="407A4C4F" w14:textId="77777777" w:rsidR="00220D3E" w:rsidRPr="00511005" w:rsidRDefault="00220D3E" w:rsidP="003F6A5D">
      <w:pPr>
        <w:numPr>
          <w:ilvl w:val="0"/>
          <w:numId w:val="188"/>
        </w:numPr>
        <w:tabs>
          <w:tab w:val="left" w:pos="709"/>
        </w:tabs>
        <w:spacing w:line="264" w:lineRule="auto"/>
        <w:ind w:rightChars="10" w:right="28"/>
        <w:contextualSpacing/>
        <w:jc w:val="left"/>
        <w:rPr>
          <w:rFonts w:ascii="Arial" w:eastAsia="Times New Roman" w:hAnsi="Arial" w:cs="Arial"/>
          <w:szCs w:val="28"/>
        </w:rPr>
      </w:pPr>
      <w:bookmarkStart w:id="76" w:name="_Ref195476807"/>
      <w:r w:rsidRPr="00511005">
        <w:rPr>
          <w:rFonts w:ascii="Arial" w:eastAsia="Times New Roman" w:hAnsi="Arial" w:cs="Arial"/>
          <w:szCs w:val="28"/>
        </w:rPr>
        <w:t xml:space="preserve">Тетяна Жук. Визнання та виконання рішення іноземного суду в Україні: що робити, якщо шлюб укладено в Україні, а розірвано за кордоном? Київ, 2025. URL: </w:t>
      </w:r>
      <w:hyperlink r:id="rId706">
        <w:r w:rsidRPr="00511005">
          <w:rPr>
            <w:rFonts w:ascii="Arial" w:eastAsia="Times New Roman" w:hAnsi="Arial" w:cs="Arial"/>
            <w:szCs w:val="28"/>
          </w:rPr>
          <w:t>https://rates.fm/ua-uk/expert-opinion/viznannya-ta-vikonannya-rishennya-inozemnogo-sudu-v-ukrayini-sho-robiti-yaksho-shlyub-ukladeno-v-ukrayini-a-rozirvano-za-kordonom/</w:t>
        </w:r>
      </w:hyperlink>
      <w:bookmarkEnd w:id="76"/>
    </w:p>
    <w:p w14:paraId="2ECE3DB4" w14:textId="77777777" w:rsidR="00220D3E" w:rsidRPr="00511005" w:rsidRDefault="00220D3E" w:rsidP="003A292D">
      <w:pPr>
        <w:tabs>
          <w:tab w:val="left" w:pos="709"/>
        </w:tabs>
        <w:spacing w:line="264" w:lineRule="auto"/>
        <w:ind w:rightChars="10" w:right="28"/>
        <w:rPr>
          <w:rFonts w:ascii="Arial" w:eastAsia="Times New Roman" w:hAnsi="Arial" w:cs="Arial"/>
          <w:szCs w:val="28"/>
          <w:lang w:eastAsia="ru-RU"/>
        </w:rPr>
      </w:pPr>
    </w:p>
    <w:p w14:paraId="3921F569" w14:textId="77777777" w:rsidR="00220D3E" w:rsidRPr="00511005" w:rsidRDefault="00220D3E" w:rsidP="003A292D">
      <w:pPr>
        <w:tabs>
          <w:tab w:val="left" w:pos="709"/>
        </w:tabs>
        <w:spacing w:line="264" w:lineRule="auto"/>
        <w:ind w:rightChars="10" w:right="28"/>
        <w:rPr>
          <w:rFonts w:ascii="Arial" w:eastAsia="Times New Roman" w:hAnsi="Arial" w:cs="Arial"/>
          <w:szCs w:val="28"/>
          <w:lang w:eastAsia="ru-RU"/>
        </w:rPr>
      </w:pPr>
    </w:p>
    <w:p w14:paraId="66D0A0DF" w14:textId="2E80FAC0" w:rsidR="00220D3E" w:rsidRPr="00511005" w:rsidRDefault="007B2628" w:rsidP="003A292D">
      <w:pPr>
        <w:tabs>
          <w:tab w:val="left" w:pos="709"/>
        </w:tabs>
        <w:spacing w:line="264" w:lineRule="auto"/>
        <w:ind w:rightChars="10" w:right="28"/>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 xml:space="preserve">визнання іноземних рішень, розірвання шлюбу, міжнародне приватне право, принцип взаємності, міжнародні договори, іноземний елемент, правова визначеність, захист прав людини, підсудність, компетентність суду, нотаріальний переклад, свідоцтво про розірвання шлюбу, правовий статус особи, сімейне право, міжнародні шлюби, правові наслідки, правове регулювання, захист інтересів клієнтів. </w:t>
      </w:r>
    </w:p>
    <w:p w14:paraId="6CB88225" w14:textId="59F66638" w:rsidR="00220D3E" w:rsidRPr="00511005" w:rsidRDefault="007B2628" w:rsidP="003A292D">
      <w:pPr>
        <w:tabs>
          <w:tab w:val="left" w:pos="709"/>
        </w:tabs>
        <w:spacing w:line="264" w:lineRule="auto"/>
        <w:ind w:rightChars="10" w:right="28"/>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Recognition of foreign judgments, divorce, private international law, principle of reciprocity, international treaties, foreign element, legal certainty, protection of human rights, jurisdiction, court competence, notarized translation, certificate of divorce, legal status of a person, family law, international marriages, legal consequences, legal regulation, protection of clients' interests.</w:t>
      </w:r>
    </w:p>
    <w:p w14:paraId="7D65BE4C" w14:textId="7A40848F" w:rsidR="00220D3E" w:rsidRPr="00511005" w:rsidRDefault="007B2628" w:rsidP="003A292D">
      <w:pPr>
        <w:tabs>
          <w:tab w:val="left" w:pos="709"/>
        </w:tabs>
        <w:spacing w:line="264" w:lineRule="auto"/>
        <w:ind w:rightChars="10" w:right="28"/>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асистент кафедри, Бугаєць А.С.</w:t>
      </w:r>
    </w:p>
    <w:p w14:paraId="4342695D" w14:textId="77777777" w:rsidR="00220D3E" w:rsidRPr="00511005" w:rsidRDefault="00220D3E" w:rsidP="003A292D">
      <w:pPr>
        <w:tabs>
          <w:tab w:val="left" w:pos="709"/>
          <w:tab w:val="left" w:pos="9072"/>
        </w:tabs>
        <w:spacing w:line="264" w:lineRule="auto"/>
        <w:ind w:right="850" w:firstLine="0"/>
        <w:jc w:val="left"/>
        <w:rPr>
          <w:rFonts w:ascii="Arial" w:eastAsia="Times New Roman" w:hAnsi="Arial" w:cs="Arial"/>
          <w:b/>
          <w:i/>
          <w:szCs w:val="28"/>
          <w:lang w:val="uk-UA" w:eastAsia="ru-RU"/>
        </w:rPr>
      </w:pPr>
    </w:p>
    <w:p w14:paraId="65D0E315" w14:textId="77777777" w:rsidR="00220D3E" w:rsidRPr="00511005" w:rsidRDefault="00220D3E" w:rsidP="003A292D">
      <w:pPr>
        <w:tabs>
          <w:tab w:val="left" w:pos="709"/>
          <w:tab w:val="left" w:pos="9072"/>
        </w:tabs>
        <w:spacing w:line="264" w:lineRule="auto"/>
        <w:ind w:right="850"/>
        <w:jc w:val="center"/>
        <w:rPr>
          <w:rFonts w:ascii="Arial" w:eastAsia="Times New Roman" w:hAnsi="Arial" w:cs="Arial"/>
          <w:b/>
          <w:i/>
          <w:szCs w:val="28"/>
          <w:lang w:eastAsia="ru-RU"/>
        </w:rPr>
      </w:pPr>
      <w:r w:rsidRPr="00511005">
        <w:rPr>
          <w:rFonts w:ascii="Arial" w:eastAsia="Times New Roman" w:hAnsi="Arial" w:cs="Arial"/>
          <w:b/>
          <w:i/>
          <w:szCs w:val="28"/>
          <w:lang w:eastAsia="ru-RU"/>
        </w:rPr>
        <w:t>Тютюнник Надія Олексіївна</w:t>
      </w:r>
    </w:p>
    <w:p w14:paraId="19A495B7" w14:textId="5A7DCC4A" w:rsidR="00220D3E" w:rsidRPr="00511005" w:rsidRDefault="00536AAB" w:rsidP="003A292D">
      <w:pPr>
        <w:tabs>
          <w:tab w:val="left" w:pos="709"/>
          <w:tab w:val="left" w:pos="9072"/>
        </w:tabs>
        <w:spacing w:line="264" w:lineRule="auto"/>
        <w:ind w:right="-444"/>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5A105556" w14:textId="4F6FD4C6" w:rsidR="00220D3E" w:rsidRPr="00511005" w:rsidRDefault="007B2628" w:rsidP="003A292D">
      <w:pPr>
        <w:tabs>
          <w:tab w:val="left" w:pos="709"/>
          <w:tab w:val="left" w:pos="9072"/>
        </w:tabs>
        <w:spacing w:line="264" w:lineRule="auto"/>
        <w:ind w:right="-444"/>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FA6A580" w14:textId="77777777" w:rsidR="00220D3E" w:rsidRPr="00511005" w:rsidRDefault="00220D3E" w:rsidP="003A292D">
      <w:pPr>
        <w:tabs>
          <w:tab w:val="left" w:pos="709"/>
          <w:tab w:val="left" w:pos="9072"/>
        </w:tabs>
        <w:spacing w:line="264" w:lineRule="auto"/>
        <w:ind w:right="-444"/>
        <w:jc w:val="center"/>
        <w:rPr>
          <w:rFonts w:ascii="Arial" w:eastAsia="Times New Roman" w:hAnsi="Arial" w:cs="Arial"/>
          <w:b/>
          <w:szCs w:val="28"/>
          <w:lang w:eastAsia="ru-RU"/>
        </w:rPr>
      </w:pPr>
    </w:p>
    <w:p w14:paraId="7727F07F" w14:textId="77777777" w:rsidR="00220D3E" w:rsidRPr="00511005" w:rsidRDefault="00220D3E" w:rsidP="003A292D">
      <w:pPr>
        <w:tabs>
          <w:tab w:val="left" w:pos="709"/>
          <w:tab w:val="left" w:pos="9072"/>
        </w:tabs>
        <w:spacing w:line="264" w:lineRule="auto"/>
        <w:ind w:right="-444"/>
        <w:jc w:val="center"/>
        <w:rPr>
          <w:rFonts w:ascii="Arial" w:eastAsia="Times New Roman" w:hAnsi="Arial" w:cs="Arial"/>
          <w:szCs w:val="28"/>
          <w:lang w:val="uk-UA" w:eastAsia="ru-RU"/>
        </w:rPr>
      </w:pPr>
      <w:r w:rsidRPr="00511005">
        <w:rPr>
          <w:rFonts w:ascii="Arial" w:eastAsia="Times New Roman" w:hAnsi="Arial" w:cs="Arial"/>
          <w:b/>
          <w:szCs w:val="28"/>
          <w:lang w:eastAsia="ru-RU"/>
        </w:rPr>
        <w:lastRenderedPageBreak/>
        <w:t>ПРАВО МІЖНАРОДНИХ ОРГАНІЗАЦІЙ У СФЕРІ МІЖНАРОДНИХ ВІДНОСИН</w:t>
      </w:r>
    </w:p>
    <w:p w14:paraId="52421F8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Сучасні міжнародні відносини характеризуються зростанням кількості та ролі міжнародних організацій, що стали ключовими інструментами для вирішення глобальних проблем - від забезпечення миру та безпеки до економічної інтеграції, вирішення гуманітарних криз і захисту прав людини. Правова база, що регулює їх діяльність, визначає не лише внутрішню організаційну систему, а й взаємовідносини з державами та іншими суб’єктами міжнародного права.</w:t>
      </w:r>
    </w:p>
    <w:p w14:paraId="4DC0BE1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Аналіз законодавчих норм, конституційних актів і міжнародних договорів, що створюють правовий режим міжнародних організацій, їх внутрішню структуру та зовнішню взаємодію в системі міжнародних відносин.</w:t>
      </w:r>
    </w:p>
    <w:p w14:paraId="76491A5F" w14:textId="53DAADF9"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 Віденською конвенцією 1975 року (яку часто цитують як нормативну базу щодо правового статусу міжнародних організацій), «міжнародною організацією» вважають таке добровільне об'єднання суверенних держав (або інших суб’єктів міжнародного права), що створене на підставі встановленого міжнародним договором (усвідомлено укладеного актом) з метою здійснення спільної політики в певній галузі міждержавного співробітництва.</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_Ref195473285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0</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w:t>
      </w:r>
      <w:r w:rsidR="007B2628" w:rsidRPr="00511005">
        <w:rPr>
          <w:rFonts w:ascii="Arial" w:eastAsia="Times New Roman" w:hAnsi="Arial" w:cs="Arial"/>
          <w:szCs w:val="28"/>
          <w:lang w:eastAsia="ru-RU"/>
        </w:rPr>
        <w:t xml:space="preserve"> </w:t>
      </w:r>
    </w:p>
    <w:p w14:paraId="6D859A2E" w14:textId="4AA7A464"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Сучасні міжнародні організації (як-от ООН, Європейський Союз, ЮНЕСКО) вже більше, ніж просто «списки» держав-членів. Вони стають окремими юридичними особами, які можуть самостійно ухвалювати рішення, укладати договори і брати участь у створенні норм міжнародного права. Це означає, що організація має власну «правову силу»</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яка не просто є сумою повноважень її членів, а створює новий суб’єкт у світовій системі.</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fldChar w:fldCharType="begin"/>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instrText>REF</w:instrText>
      </w:r>
      <w:r w:rsidRPr="00511005">
        <w:rPr>
          <w:rFonts w:ascii="Arial" w:eastAsia="Times New Roman" w:hAnsi="Arial" w:cs="Arial"/>
          <w:szCs w:val="28"/>
          <w:lang w:val="uk-UA" w:eastAsia="ru-RU"/>
        </w:rPr>
        <w:instrText xml:space="preserve"> _</w:instrText>
      </w:r>
      <w:r w:rsidRPr="00511005">
        <w:rPr>
          <w:rFonts w:ascii="Arial" w:eastAsia="Times New Roman" w:hAnsi="Arial" w:cs="Arial"/>
          <w:szCs w:val="28"/>
          <w:lang w:eastAsia="ru-RU"/>
        </w:rPr>
        <w:instrText>Ref</w:instrText>
      </w:r>
      <w:r w:rsidRPr="00511005">
        <w:rPr>
          <w:rFonts w:ascii="Arial" w:eastAsia="Times New Roman" w:hAnsi="Arial" w:cs="Arial"/>
          <w:szCs w:val="28"/>
          <w:lang w:val="uk-UA" w:eastAsia="ru-RU"/>
        </w:rPr>
        <w:instrText>195473387 \</w:instrText>
      </w:r>
      <w:r w:rsidRPr="00511005">
        <w:rPr>
          <w:rFonts w:ascii="Arial" w:eastAsia="Times New Roman" w:hAnsi="Arial" w:cs="Arial"/>
          <w:szCs w:val="28"/>
          <w:lang w:eastAsia="ru-RU"/>
        </w:rPr>
        <w:instrText>r</w:instrText>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instrText>h</w:instrText>
      </w:r>
      <w:r w:rsidRPr="00511005">
        <w:rPr>
          <w:rFonts w:ascii="Arial" w:eastAsia="Times New Roman" w:hAnsi="Arial" w:cs="Arial"/>
          <w:szCs w:val="28"/>
          <w:lang w:val="uk-UA" w:eastAsia="ru-RU"/>
        </w:rPr>
        <w:instrText xml:space="preserve">  \* </w:instrText>
      </w:r>
      <w:r w:rsidRPr="00511005">
        <w:rPr>
          <w:rFonts w:ascii="Arial" w:eastAsia="Times New Roman" w:hAnsi="Arial" w:cs="Arial"/>
          <w:szCs w:val="28"/>
          <w:lang w:eastAsia="ru-RU"/>
        </w:rPr>
        <w:instrText>MERGEFORMAT</w:instrText>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sidRPr="006F7CE5">
        <w:rPr>
          <w:rFonts w:ascii="Arial" w:eastAsia="Times New Roman" w:hAnsi="Arial" w:cs="Arial"/>
          <w:szCs w:val="28"/>
          <w:lang w:val="uk-UA" w:eastAsia="ru-RU"/>
        </w:rPr>
        <w:t>0</w:t>
      </w:r>
      <w:r w:rsidRPr="00511005">
        <w:rPr>
          <w:rFonts w:ascii="Arial" w:eastAsia="Times New Roman" w:hAnsi="Arial" w:cs="Arial"/>
          <w:szCs w:val="28"/>
          <w:lang w:eastAsia="ru-RU"/>
        </w:rPr>
        <w:fldChar w:fldCharType="end"/>
      </w:r>
      <w:r w:rsidRPr="00511005">
        <w:rPr>
          <w:rFonts w:ascii="Arial" w:eastAsia="Times New Roman" w:hAnsi="Arial" w:cs="Arial"/>
          <w:szCs w:val="28"/>
          <w:lang w:val="uk-UA" w:eastAsia="ru-RU"/>
        </w:rPr>
        <w:t xml:space="preserve">] </w:t>
      </w:r>
    </w:p>
    <w:p w14:paraId="3978D7A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 думкою низки авторитетних міжнародних правників – зокрема, Ганса Кельзена, А. Цорна та Людвіга Оппенгеймера – правосуб’єктність міжнародної організації визначається чотирма ключовими елементами:</w:t>
      </w:r>
    </w:p>
    <w:p w14:paraId="6BF65F75" w14:textId="1B935AC1"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Правоздатність;</w:t>
      </w:r>
    </w:p>
    <w:p w14:paraId="65B90F6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Організація може набувати прав і зобов’язань на міжнародній арені, подібно до того, як держава може брати на себе певні міжнародні зобов’язання та отримувати переваги.</w:t>
      </w:r>
    </w:p>
    <w:p w14:paraId="078FCA18" w14:textId="3FD71ECF"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Дієздатність;</w:t>
      </w:r>
    </w:p>
    <w:p w14:paraId="3248A3A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Це здатність організації самостійно вчиняти юридичні дії, зокрема укладати міжнародні договори, приймати рішення, організовувати свою внутрішню структуру та реалізовувати встановлені заходи.</w:t>
      </w:r>
    </w:p>
    <w:p w14:paraId="27BA3813" w14:textId="4F10EEB8"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Участь у правотворчому процесі;</w:t>
      </w:r>
    </w:p>
    <w:p w14:paraId="2E05E98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Міжнародна організація не обмежується лише виконанням своїх внутрішніх функцій - вона може брати участь у створенні нових міжнародних </w:t>
      </w:r>
      <w:r w:rsidRPr="00511005">
        <w:rPr>
          <w:rFonts w:ascii="Arial" w:eastAsia="Times New Roman" w:hAnsi="Arial" w:cs="Arial"/>
          <w:szCs w:val="28"/>
          <w:lang w:eastAsia="ru-RU"/>
        </w:rPr>
        <w:lastRenderedPageBreak/>
        <w:t>норм, пропонувати ідеї та рекомендації, які згодом можуть бути визнані загальновизнаними стандартами на світовій арені.</w:t>
      </w:r>
    </w:p>
    <w:p w14:paraId="33DD85FD" w14:textId="2099D155"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Здатність нести юридичну відповідальність;</w:t>
      </w:r>
    </w:p>
    <w:p w14:paraId="546A047D" w14:textId="5628C874"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Організація має бути готовою брати на себе наслідки власних дій і рішень. Якщо вона порушує встановлені норми або не виконує свої зобов’язання, визначені в її установчих документах (наприклад, у Статуті), це може призвести до юридичних наслідків або санкцій.</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fldChar w:fldCharType="begin"/>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instrText>REF</w:instrText>
      </w:r>
      <w:r w:rsidRPr="00511005">
        <w:rPr>
          <w:rFonts w:ascii="Arial" w:eastAsia="Times New Roman" w:hAnsi="Arial" w:cs="Arial"/>
          <w:szCs w:val="28"/>
          <w:lang w:val="uk-UA" w:eastAsia="ru-RU"/>
        </w:rPr>
        <w:instrText xml:space="preserve"> _</w:instrText>
      </w:r>
      <w:r w:rsidRPr="00511005">
        <w:rPr>
          <w:rFonts w:ascii="Arial" w:eastAsia="Times New Roman" w:hAnsi="Arial" w:cs="Arial"/>
          <w:szCs w:val="28"/>
          <w:lang w:eastAsia="ru-RU"/>
        </w:rPr>
        <w:instrText>Ref</w:instrText>
      </w:r>
      <w:r w:rsidRPr="00511005">
        <w:rPr>
          <w:rFonts w:ascii="Arial" w:eastAsia="Times New Roman" w:hAnsi="Arial" w:cs="Arial"/>
          <w:szCs w:val="28"/>
          <w:lang w:val="uk-UA" w:eastAsia="ru-RU"/>
        </w:rPr>
        <w:instrText>195473330 \</w:instrText>
      </w:r>
      <w:r w:rsidRPr="00511005">
        <w:rPr>
          <w:rFonts w:ascii="Arial" w:eastAsia="Times New Roman" w:hAnsi="Arial" w:cs="Arial"/>
          <w:szCs w:val="28"/>
          <w:lang w:eastAsia="ru-RU"/>
        </w:rPr>
        <w:instrText>r</w:instrText>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instrText>h</w:instrText>
      </w:r>
      <w:r w:rsidRPr="00511005">
        <w:rPr>
          <w:rFonts w:ascii="Arial" w:eastAsia="Times New Roman" w:hAnsi="Arial" w:cs="Arial"/>
          <w:szCs w:val="28"/>
          <w:lang w:val="uk-UA" w:eastAsia="ru-RU"/>
        </w:rPr>
        <w:instrText xml:space="preserve">  \* </w:instrText>
      </w:r>
      <w:r w:rsidRPr="00511005">
        <w:rPr>
          <w:rFonts w:ascii="Arial" w:eastAsia="Times New Roman" w:hAnsi="Arial" w:cs="Arial"/>
          <w:szCs w:val="28"/>
          <w:lang w:eastAsia="ru-RU"/>
        </w:rPr>
        <w:instrText>MERGEFORMAT</w:instrText>
      </w:r>
      <w:r w:rsidRPr="00511005">
        <w:rPr>
          <w:rFonts w:ascii="Arial" w:eastAsia="Times New Roman" w:hAnsi="Arial" w:cs="Arial"/>
          <w:szCs w:val="28"/>
          <w:lang w:val="uk-UA" w:eastAsia="ru-RU"/>
        </w:rPr>
        <w:instrText xml:space="preserve">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sidRPr="006F7CE5">
        <w:rPr>
          <w:rFonts w:ascii="Arial" w:eastAsia="Times New Roman" w:hAnsi="Arial" w:cs="Arial"/>
          <w:szCs w:val="28"/>
          <w:lang w:val="uk-UA" w:eastAsia="ru-RU"/>
        </w:rPr>
        <w:t>0</w:t>
      </w:r>
      <w:r w:rsidRPr="00511005">
        <w:rPr>
          <w:rFonts w:ascii="Arial" w:eastAsia="Times New Roman" w:hAnsi="Arial" w:cs="Arial"/>
          <w:szCs w:val="28"/>
          <w:lang w:eastAsia="ru-RU"/>
        </w:rPr>
        <w:fldChar w:fldCharType="end"/>
      </w:r>
      <w:r w:rsidRPr="00511005">
        <w:rPr>
          <w:rFonts w:ascii="Arial" w:eastAsia="Times New Roman" w:hAnsi="Arial" w:cs="Arial"/>
          <w:szCs w:val="28"/>
          <w:lang w:val="uk-UA" w:eastAsia="ru-RU"/>
        </w:rPr>
        <w:t>]</w:t>
      </w:r>
    </w:p>
    <w:p w14:paraId="023B177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Важливим аспектом є те, що межі правосуб’єктності кожної міжнародної організації чітко визначені її установчим актом. </w:t>
      </w:r>
      <w:r w:rsidRPr="00511005">
        <w:rPr>
          <w:rFonts w:ascii="Arial" w:eastAsia="Times New Roman" w:hAnsi="Arial" w:cs="Arial"/>
          <w:szCs w:val="28"/>
          <w:lang w:eastAsia="ru-RU"/>
        </w:rPr>
        <w:t>Саме ці документи стримано окреслюють, що організація може робити, а чого – ні, базуючись на свідомому погодженні між державами-членами щодо завдань і повноважень об’єднання.</w:t>
      </w:r>
    </w:p>
    <w:p w14:paraId="3000D55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Щоб міжнародна організація могла функціонувати як окремий суб’єкт міжнародного права, необхідно, щоб:</w:t>
      </w:r>
    </w:p>
    <w:p w14:paraId="2B05A75B" w14:textId="079FBA5B"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Держави-члени визнавали її правову особистість;</w:t>
      </w:r>
    </w:p>
    <w:p w14:paraId="12F2076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Це означає, що країни, які входять </w:t>
      </w:r>
      <w:proofErr w:type="gramStart"/>
      <w:r w:rsidRPr="00511005">
        <w:rPr>
          <w:rFonts w:ascii="Arial" w:eastAsia="Times New Roman" w:hAnsi="Arial" w:cs="Arial"/>
          <w:szCs w:val="28"/>
          <w:lang w:eastAsia="ru-RU"/>
        </w:rPr>
        <w:t>до складу</w:t>
      </w:r>
      <w:proofErr w:type="gramEnd"/>
      <w:r w:rsidRPr="00511005">
        <w:rPr>
          <w:rFonts w:ascii="Arial" w:eastAsia="Times New Roman" w:hAnsi="Arial" w:cs="Arial"/>
          <w:szCs w:val="28"/>
          <w:lang w:eastAsia="ru-RU"/>
        </w:rPr>
        <w:t xml:space="preserve"> організації, надають їй відповідні повноваження, визнані як частину міжнародного правопорядку. Наприклад, вони можуть делегувати певні сфери спільної відповідальності (економічні чи культурні питання).</w:t>
      </w:r>
    </w:p>
    <w:p w14:paraId="6A11EC5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Організація мала власні права і обов’язки, які відрізняються від прав її окремих членів;</w:t>
      </w:r>
    </w:p>
    <w:p w14:paraId="4CA529E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Встановлюються спеціальні норми, що дозволяють організації виконувати свої функції – як внутрішні (організаційні процедури, внутрішні рішення) і зовнішні (укладення договорів, участь у міжнародних зустрічах, взаємодія з іншими міжнародними структурами).</w:t>
      </w:r>
    </w:p>
    <w:p w14:paraId="7745BB17" w14:textId="5399A03E"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Вона має можливість самостійно формувати внутрішні правила (наприклад, регламент прийняття рішень або процедури голосування), що дозволяє їй ефективно виконувати свої завдання та функції у міжнародних відносинах</w:t>
      </w:r>
      <w:r w:rsidRPr="00511005">
        <w:rPr>
          <w:rFonts w:ascii="Arial" w:eastAsia="Times New Roman" w:hAnsi="Arial" w:cs="Arial"/>
          <w:szCs w:val="28"/>
          <w:lang w:val="uk-UA" w:eastAsia="ru-RU"/>
        </w:rPr>
        <w:t>;</w:t>
      </w:r>
    </w:p>
    <w:p w14:paraId="49274D54" w14:textId="2D16949C"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Організація може укладати міжнародні договори та інші правові акти, що підтверджує її здатність брати участь у формуванні правових норм на глобальному рівні.</w:t>
      </w:r>
    </w:p>
    <w:p w14:paraId="03CE5F9E" w14:textId="6BCDC3A8"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Це базується на положеннях Віденської конвенції про право договорів між державами та міжнародними організаціями (1986 р.), яка передбачає право такої організації укладати договори для реалізації своїх функцій.</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REF _Ref195473359 \r \h  \* MERGEFORMAT </w:instrText>
      </w:r>
      <w:r w:rsidRPr="00511005">
        <w:rPr>
          <w:rFonts w:ascii="Arial" w:eastAsia="Times New Roman" w:hAnsi="Arial" w:cs="Arial"/>
          <w:szCs w:val="28"/>
          <w:lang w:eastAsia="ru-RU"/>
        </w:rPr>
      </w:r>
      <w:r w:rsidRPr="00511005">
        <w:rPr>
          <w:rFonts w:ascii="Arial" w:eastAsia="Times New Roman" w:hAnsi="Arial" w:cs="Arial"/>
          <w:szCs w:val="28"/>
          <w:lang w:eastAsia="ru-RU"/>
        </w:rPr>
        <w:fldChar w:fldCharType="separate"/>
      </w:r>
      <w:r w:rsidR="006F7CE5">
        <w:rPr>
          <w:rFonts w:ascii="Arial" w:eastAsia="Times New Roman" w:hAnsi="Arial" w:cs="Arial"/>
          <w:szCs w:val="28"/>
          <w:lang w:eastAsia="ru-RU"/>
        </w:rPr>
        <w:t>0</w:t>
      </w:r>
      <w:r w:rsidRPr="00511005">
        <w:rPr>
          <w:rFonts w:ascii="Arial" w:eastAsia="Times New Roman" w:hAnsi="Arial" w:cs="Arial"/>
          <w:szCs w:val="28"/>
          <w:lang w:eastAsia="ru-RU"/>
        </w:rPr>
        <w:fldChar w:fldCharType="end"/>
      </w:r>
      <w:r w:rsidRPr="00511005">
        <w:rPr>
          <w:rFonts w:ascii="Arial" w:eastAsia="Times New Roman" w:hAnsi="Arial" w:cs="Arial"/>
          <w:szCs w:val="28"/>
          <w:lang w:val="uk-UA" w:eastAsia="ru-RU"/>
        </w:rPr>
        <w:t>]</w:t>
      </w:r>
    </w:p>
    <w:p w14:paraId="1F36EA8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Правосуб’єктність міжнародної організації не є просто академічним поняттям. Вона визначає, як організація може впливати на розв’язання глобальних проблем.</w:t>
      </w:r>
    </w:p>
    <w:p w14:paraId="18D0AE8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Наприклад, організація може створювати спеціальні робочі групи, приймати рекомендації або навіть встановлювати певні обов’язкові норми для співпраці між державами.</w:t>
      </w:r>
    </w:p>
    <w:p w14:paraId="18C4A80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Також, правосуб'єктність міжнародної організації формує підґрунтя для укладення договорів не тільки з членами, а й з іншими суб’єктами (навіть державами, що не є її членами).</w:t>
      </w:r>
    </w:p>
    <w:p w14:paraId="4B6E910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Міжнародні організації є ключовими суб'єктами сучасних міжнародних відносин, які сприяють вирішенню глобальних проблем через свою правосуб'єктність. Їх здатність укладати міжнародні договори, створювати нові правові норми та діяти незалежно від держав-членів робить їх важливим інструментом для забезпечення миру, економічної інтеграції, гуманітарної допомоги та захисту прав людини. Правова база, визначена установчими актами, встановлює межі та повноваження організацій, дозволяючи їм ефективно співпрацювати на міжнародній арені заради спільних цілей.</w:t>
      </w:r>
    </w:p>
    <w:p w14:paraId="6BBE5869" w14:textId="77777777" w:rsidR="00220D3E" w:rsidRPr="00511005" w:rsidRDefault="00220D3E" w:rsidP="003A292D">
      <w:pPr>
        <w:tabs>
          <w:tab w:val="left" w:pos="709"/>
          <w:tab w:val="left" w:pos="9072"/>
        </w:tabs>
        <w:spacing w:line="264" w:lineRule="auto"/>
        <w:ind w:right="-444" w:firstLine="0"/>
        <w:rPr>
          <w:rFonts w:ascii="Arial" w:eastAsia="Times New Roman" w:hAnsi="Arial" w:cs="Arial"/>
          <w:szCs w:val="28"/>
          <w:lang w:val="uk-UA" w:eastAsia="ru-RU"/>
        </w:rPr>
      </w:pPr>
    </w:p>
    <w:p w14:paraId="0052AE0F" w14:textId="7C7EEDCB" w:rsidR="00220D3E" w:rsidRPr="00511005" w:rsidRDefault="007B2628" w:rsidP="007B2628">
      <w:pPr>
        <w:tabs>
          <w:tab w:val="left" w:pos="709"/>
          <w:tab w:val="left" w:pos="9072"/>
        </w:tabs>
        <w:spacing w:line="264" w:lineRule="auto"/>
        <w:ind w:right="24"/>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7EEC16F0" w14:textId="542ECCEB" w:rsidR="00220D3E" w:rsidRPr="00511005" w:rsidRDefault="00220D3E" w:rsidP="003A292D">
      <w:pPr>
        <w:tabs>
          <w:tab w:val="left" w:pos="709"/>
          <w:tab w:val="left" w:pos="9072"/>
        </w:tabs>
        <w:spacing w:line="264" w:lineRule="auto"/>
        <w:ind w:right="24"/>
        <w:contextualSpacing/>
        <w:rPr>
          <w:rFonts w:ascii="Arial" w:eastAsia="Times New Roman" w:hAnsi="Arial" w:cs="Arial"/>
          <w:szCs w:val="28"/>
        </w:rPr>
      </w:pPr>
      <w:bookmarkStart w:id="77" w:name="_Ref195473359"/>
      <w:r w:rsidRPr="00511005">
        <w:rPr>
          <w:rFonts w:ascii="Arial" w:eastAsia="Times New Roman" w:hAnsi="Arial" w:cs="Arial"/>
          <w:szCs w:val="28"/>
          <w:lang w:val="uk-UA"/>
        </w:rPr>
        <w:t>1 .</w:t>
      </w:r>
      <w:r w:rsidRPr="00511005">
        <w:rPr>
          <w:rFonts w:ascii="Arial" w:eastAsia="Times New Roman" w:hAnsi="Arial" w:cs="Arial"/>
          <w:szCs w:val="28"/>
        </w:rPr>
        <w:t>Віденська конвенція про право міжнародних договорів. Конвенція від 23.05.1969</w:t>
      </w:r>
      <w:r w:rsidR="007B2628" w:rsidRPr="00511005">
        <w:rPr>
          <w:rFonts w:ascii="Arial" w:eastAsia="Times New Roman" w:hAnsi="Arial" w:cs="Arial"/>
          <w:szCs w:val="28"/>
        </w:rPr>
        <w:t xml:space="preserve"> </w:t>
      </w:r>
      <w:r w:rsidRPr="00511005">
        <w:rPr>
          <w:rFonts w:ascii="Arial" w:eastAsia="Times New Roman" w:hAnsi="Arial" w:cs="Arial"/>
          <w:szCs w:val="28"/>
        </w:rPr>
        <w:t xml:space="preserve">URL: </w:t>
      </w:r>
      <w:hyperlink r:id="rId707" w:anchor="Text">
        <w:r w:rsidRPr="00511005">
          <w:rPr>
            <w:rFonts w:ascii="Arial" w:eastAsia="Times New Roman" w:hAnsi="Arial" w:cs="Arial"/>
            <w:szCs w:val="28"/>
          </w:rPr>
          <w:t>https://zakon.rada.gov.ua/laws/show/995_118#Text</w:t>
        </w:r>
      </w:hyperlink>
      <w:bookmarkEnd w:id="77"/>
    </w:p>
    <w:p w14:paraId="4238FCCF" w14:textId="378238BB" w:rsidR="00220D3E" w:rsidRPr="00511005" w:rsidRDefault="00220D3E" w:rsidP="003A292D">
      <w:pPr>
        <w:tabs>
          <w:tab w:val="left" w:pos="709"/>
          <w:tab w:val="left" w:pos="9072"/>
        </w:tabs>
        <w:spacing w:line="264" w:lineRule="auto"/>
        <w:ind w:right="24"/>
        <w:contextualSpacing/>
        <w:rPr>
          <w:rFonts w:ascii="Arial" w:eastAsia="Times New Roman" w:hAnsi="Arial" w:cs="Arial"/>
          <w:szCs w:val="28"/>
        </w:rPr>
      </w:pPr>
      <w:bookmarkStart w:id="78" w:name="_Ref195473285"/>
      <w:r w:rsidRPr="00511005">
        <w:rPr>
          <w:rFonts w:ascii="Arial" w:eastAsia="Times New Roman" w:hAnsi="Arial" w:cs="Arial"/>
          <w:szCs w:val="28"/>
          <w:lang w:val="uk-UA"/>
        </w:rPr>
        <w:t xml:space="preserve">2. </w:t>
      </w:r>
      <w:r w:rsidRPr="00511005">
        <w:rPr>
          <w:rFonts w:ascii="Arial" w:eastAsia="Times New Roman" w:hAnsi="Arial" w:cs="Arial"/>
          <w:szCs w:val="28"/>
        </w:rPr>
        <w:t>Віденська конвенція про представництво держав у їх відносинах з міжнародними організаціями універсального характеру. Конвенція від 14.03.1975</w:t>
      </w:r>
      <w:r w:rsidR="007B2628" w:rsidRPr="00511005">
        <w:rPr>
          <w:rFonts w:ascii="Arial" w:eastAsia="Times New Roman" w:hAnsi="Arial" w:cs="Arial"/>
          <w:szCs w:val="28"/>
        </w:rPr>
        <w:t xml:space="preserve"> </w:t>
      </w:r>
      <w:r w:rsidRPr="00511005">
        <w:rPr>
          <w:rFonts w:ascii="Arial" w:eastAsia="Times New Roman" w:hAnsi="Arial" w:cs="Arial"/>
          <w:szCs w:val="28"/>
        </w:rPr>
        <w:t xml:space="preserve">URL: </w:t>
      </w:r>
      <w:hyperlink r:id="rId708">
        <w:r w:rsidRPr="00511005">
          <w:rPr>
            <w:rFonts w:ascii="Arial" w:eastAsia="Times New Roman" w:hAnsi="Arial" w:cs="Arial"/>
            <w:szCs w:val="28"/>
          </w:rPr>
          <w:t>https://ips.ligazakon.net/document/MU75K12U</w:t>
        </w:r>
      </w:hyperlink>
      <w:bookmarkEnd w:id="78"/>
    </w:p>
    <w:p w14:paraId="1F477096" w14:textId="3382B939" w:rsidR="00220D3E" w:rsidRPr="00511005" w:rsidRDefault="00220D3E" w:rsidP="003A292D">
      <w:pPr>
        <w:tabs>
          <w:tab w:val="left" w:pos="709"/>
          <w:tab w:val="left" w:pos="9072"/>
        </w:tabs>
        <w:spacing w:line="264" w:lineRule="auto"/>
        <w:ind w:right="24"/>
        <w:contextualSpacing/>
        <w:rPr>
          <w:rFonts w:ascii="Arial" w:eastAsia="Times New Roman" w:hAnsi="Arial" w:cs="Arial"/>
          <w:szCs w:val="28"/>
        </w:rPr>
      </w:pPr>
      <w:bookmarkStart w:id="79" w:name="_Ref195473387"/>
      <w:r w:rsidRPr="00511005">
        <w:rPr>
          <w:rFonts w:ascii="Arial" w:eastAsia="Times New Roman" w:hAnsi="Arial" w:cs="Arial"/>
          <w:szCs w:val="28"/>
          <w:lang w:val="uk-UA"/>
        </w:rPr>
        <w:t>3.</w:t>
      </w:r>
      <w:r w:rsidR="007B2628" w:rsidRPr="00511005">
        <w:rPr>
          <w:rFonts w:ascii="Arial" w:eastAsia="Times New Roman" w:hAnsi="Arial" w:cs="Arial"/>
          <w:szCs w:val="28"/>
          <w:lang w:val="uk-UA"/>
        </w:rPr>
        <w:t xml:space="preserve"> </w:t>
      </w:r>
      <w:r w:rsidRPr="00511005">
        <w:rPr>
          <w:rFonts w:ascii="Arial" w:eastAsia="Times New Roman" w:hAnsi="Arial" w:cs="Arial"/>
          <w:szCs w:val="28"/>
        </w:rPr>
        <w:t>Діяльність Міжнародної організації праці: навч. посіб. / [Ю. Д. Древаль та ін</w:t>
      </w:r>
      <w:proofErr w:type="gramStart"/>
      <w:r w:rsidRPr="00511005">
        <w:rPr>
          <w:rFonts w:ascii="Arial" w:eastAsia="Times New Roman" w:hAnsi="Arial" w:cs="Arial"/>
          <w:szCs w:val="28"/>
        </w:rPr>
        <w:t>. ;</w:t>
      </w:r>
      <w:proofErr w:type="gramEnd"/>
      <w:r w:rsidRPr="00511005">
        <w:rPr>
          <w:rFonts w:ascii="Arial" w:eastAsia="Times New Roman" w:hAnsi="Arial" w:cs="Arial"/>
          <w:szCs w:val="28"/>
        </w:rPr>
        <w:t xml:space="preserve"> за заг. ред. Ю. Д. Древаля]. </w:t>
      </w:r>
      <w:proofErr w:type="gramStart"/>
      <w:r w:rsidRPr="00511005">
        <w:rPr>
          <w:rFonts w:ascii="Arial" w:eastAsia="Times New Roman" w:hAnsi="Arial" w:cs="Arial"/>
          <w:szCs w:val="28"/>
        </w:rPr>
        <w:t>Харків :</w:t>
      </w:r>
      <w:proofErr w:type="gramEnd"/>
      <w:r w:rsidRPr="00511005">
        <w:rPr>
          <w:rFonts w:ascii="Arial" w:eastAsia="Times New Roman" w:hAnsi="Arial" w:cs="Arial"/>
          <w:szCs w:val="28"/>
        </w:rPr>
        <w:t xml:space="preserve"> ХНАДУ. 2015. 184 с.</w:t>
      </w:r>
      <w:bookmarkEnd w:id="79"/>
    </w:p>
    <w:p w14:paraId="12B6E6BD" w14:textId="77777777" w:rsidR="00220D3E" w:rsidRPr="00511005" w:rsidRDefault="00220D3E" w:rsidP="003A292D">
      <w:pPr>
        <w:tabs>
          <w:tab w:val="left" w:pos="709"/>
          <w:tab w:val="left" w:pos="9072"/>
        </w:tabs>
        <w:spacing w:line="264" w:lineRule="auto"/>
        <w:ind w:right="24"/>
        <w:contextualSpacing/>
        <w:rPr>
          <w:rFonts w:ascii="Arial" w:eastAsia="Times New Roman" w:hAnsi="Arial" w:cs="Arial"/>
          <w:szCs w:val="28"/>
        </w:rPr>
      </w:pPr>
      <w:r w:rsidRPr="00511005">
        <w:rPr>
          <w:rFonts w:ascii="Arial" w:eastAsia="Times New Roman" w:hAnsi="Arial" w:cs="Arial"/>
          <w:szCs w:val="28"/>
          <w:lang w:val="uk-UA"/>
        </w:rPr>
        <w:t xml:space="preserve">4. </w:t>
      </w:r>
      <w:r w:rsidRPr="00511005">
        <w:rPr>
          <w:rFonts w:ascii="Arial" w:eastAsia="Times New Roman" w:hAnsi="Arial" w:cs="Arial"/>
          <w:szCs w:val="28"/>
        </w:rPr>
        <w:t>Мельник Ю. Теоретико-правові основи застосування політичної відповідальності міжнародними організаціями. Право міжнародних організацій. Одеса, 2022. С. 9 URL:</w:t>
      </w:r>
      <w:hyperlink r:id="rId709">
        <w:r w:rsidRPr="00511005">
          <w:rPr>
            <w:rFonts w:ascii="Arial" w:eastAsia="Times New Roman" w:hAnsi="Arial" w:cs="Arial"/>
            <w:szCs w:val="28"/>
          </w:rPr>
          <w:t>http://www.inlawalmanac.mgu.od.ua/v27/2.pdf</w:t>
        </w:r>
      </w:hyperlink>
    </w:p>
    <w:p w14:paraId="0DBE95A3" w14:textId="727ECB1D" w:rsidR="00220D3E" w:rsidRPr="00511005" w:rsidRDefault="00220D3E" w:rsidP="003A292D">
      <w:pPr>
        <w:tabs>
          <w:tab w:val="left" w:pos="709"/>
          <w:tab w:val="left" w:pos="9072"/>
        </w:tabs>
        <w:spacing w:line="264" w:lineRule="auto"/>
        <w:ind w:right="24"/>
        <w:contextualSpacing/>
        <w:rPr>
          <w:rFonts w:ascii="Arial" w:eastAsia="Times New Roman" w:hAnsi="Arial" w:cs="Arial"/>
          <w:szCs w:val="28"/>
        </w:rPr>
      </w:pPr>
      <w:bookmarkStart w:id="80" w:name="_Ref195473330"/>
      <w:r w:rsidRPr="00511005">
        <w:rPr>
          <w:rFonts w:ascii="Arial" w:eastAsia="Times New Roman" w:hAnsi="Arial" w:cs="Arial"/>
          <w:szCs w:val="28"/>
          <w:lang w:val="uk-UA"/>
        </w:rPr>
        <w:t>5.</w:t>
      </w:r>
      <w:r w:rsidR="007B2628" w:rsidRPr="00511005">
        <w:rPr>
          <w:rFonts w:ascii="Arial" w:eastAsia="Times New Roman" w:hAnsi="Arial" w:cs="Arial"/>
          <w:szCs w:val="28"/>
          <w:lang w:val="uk-UA"/>
        </w:rPr>
        <w:t xml:space="preserve"> </w:t>
      </w:r>
      <w:r w:rsidRPr="00511005">
        <w:rPr>
          <w:rFonts w:ascii="Arial" w:eastAsia="Times New Roman" w:hAnsi="Arial" w:cs="Arial"/>
          <w:szCs w:val="28"/>
        </w:rPr>
        <w:t>Статут Організації Об'єднаних Націй і Статут Міжнародного Суду.</w:t>
      </w:r>
      <w:r w:rsidR="007B2628" w:rsidRPr="00511005">
        <w:rPr>
          <w:rFonts w:ascii="Arial" w:eastAsia="Times New Roman" w:hAnsi="Arial" w:cs="Arial"/>
          <w:szCs w:val="28"/>
        </w:rPr>
        <w:t xml:space="preserve"> </w:t>
      </w:r>
      <w:r w:rsidRPr="00511005">
        <w:rPr>
          <w:rFonts w:ascii="Arial" w:eastAsia="Times New Roman" w:hAnsi="Arial" w:cs="Arial"/>
          <w:szCs w:val="28"/>
        </w:rPr>
        <w:t xml:space="preserve">Статут від 26.06.1945 URL: </w:t>
      </w:r>
      <w:hyperlink r:id="rId710">
        <w:r w:rsidRPr="00511005">
          <w:rPr>
            <w:rFonts w:ascii="Arial" w:eastAsia="Times New Roman" w:hAnsi="Arial" w:cs="Arial"/>
            <w:szCs w:val="28"/>
          </w:rPr>
          <w:t>https://ips.ligazakon.net/document/MU45001U</w:t>
        </w:r>
      </w:hyperlink>
      <w:bookmarkEnd w:id="80"/>
    </w:p>
    <w:p w14:paraId="637F51CC" w14:textId="77777777" w:rsidR="00220D3E" w:rsidRPr="00511005" w:rsidRDefault="00220D3E" w:rsidP="003A292D">
      <w:pPr>
        <w:tabs>
          <w:tab w:val="left" w:pos="709"/>
          <w:tab w:val="left" w:pos="9072"/>
        </w:tabs>
        <w:spacing w:line="264" w:lineRule="auto"/>
        <w:ind w:right="24"/>
        <w:contextualSpacing/>
        <w:rPr>
          <w:rFonts w:ascii="Arial" w:eastAsia="Times New Roman" w:hAnsi="Arial" w:cs="Arial"/>
          <w:szCs w:val="28"/>
        </w:rPr>
      </w:pPr>
      <w:r w:rsidRPr="00511005">
        <w:rPr>
          <w:rFonts w:ascii="Arial" w:eastAsia="Times New Roman" w:hAnsi="Arial" w:cs="Arial"/>
          <w:szCs w:val="28"/>
        </w:rPr>
        <w:t>Стройко Т.В. Міжнародні організації: Навч. посіб.: К.: Кондор Видавництво. 2018. 250 с</w:t>
      </w:r>
    </w:p>
    <w:p w14:paraId="2671F92B" w14:textId="77777777" w:rsidR="00220D3E" w:rsidRPr="00511005" w:rsidRDefault="00220D3E" w:rsidP="003A292D">
      <w:pPr>
        <w:tabs>
          <w:tab w:val="left" w:pos="709"/>
          <w:tab w:val="left" w:pos="9072"/>
        </w:tabs>
        <w:spacing w:line="264" w:lineRule="auto"/>
        <w:ind w:right="24" w:firstLine="0"/>
        <w:rPr>
          <w:rFonts w:ascii="Arial" w:eastAsia="Times New Roman" w:hAnsi="Arial" w:cs="Arial"/>
          <w:szCs w:val="28"/>
          <w:lang w:val="uk-UA" w:eastAsia="ru-RU"/>
        </w:rPr>
      </w:pPr>
    </w:p>
    <w:p w14:paraId="7D70BC56" w14:textId="66A75710" w:rsidR="00220D3E" w:rsidRPr="00511005" w:rsidRDefault="007B2628" w:rsidP="003A292D">
      <w:pPr>
        <w:tabs>
          <w:tab w:val="left" w:pos="709"/>
          <w:tab w:val="left" w:pos="9072"/>
        </w:tabs>
        <w:spacing w:line="264" w:lineRule="auto"/>
        <w:ind w:right="24"/>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міжнародна організація, правосуб'єктність, економічна інтеграція, захист прав людини,</w:t>
      </w:r>
      <w:r w:rsidRPr="00511005">
        <w:rPr>
          <w:rFonts w:ascii="Arial" w:eastAsia="Times New Roman" w:hAnsi="Arial" w:cs="Arial"/>
          <w:szCs w:val="28"/>
          <w:lang w:val="uk-UA" w:eastAsia="ru-RU"/>
        </w:rPr>
        <w:t xml:space="preserve"> </w:t>
      </w:r>
      <w:r w:rsidR="00220D3E" w:rsidRPr="00511005">
        <w:rPr>
          <w:rFonts w:ascii="Arial" w:eastAsia="Times New Roman" w:hAnsi="Arial" w:cs="Arial"/>
          <w:szCs w:val="28"/>
          <w:lang w:val="uk-UA" w:eastAsia="ru-RU"/>
        </w:rPr>
        <w:t xml:space="preserve">установчий акт, міжнародний договір, Віденська конвенція, суверенні держави, повноваження, правоздатність, дієздатність, правотворчий процес, міжнародне право. </w:t>
      </w:r>
    </w:p>
    <w:p w14:paraId="68F627A6" w14:textId="426F6E75" w:rsidR="00220D3E" w:rsidRPr="00511005" w:rsidRDefault="007B2628" w:rsidP="003A292D">
      <w:pPr>
        <w:tabs>
          <w:tab w:val="left" w:pos="709"/>
          <w:tab w:val="left" w:pos="9072"/>
        </w:tabs>
        <w:spacing w:line="264" w:lineRule="auto"/>
        <w:ind w:right="24"/>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international organization, legal personality, economic integration, protection of human rights, founding act, international treaty, Vienna Convention, sovereign states, powers, legal capacity, capacity to act, law-making process, international law</w:t>
      </w:r>
    </w:p>
    <w:p w14:paraId="465C079C" w14:textId="2DD8FA59" w:rsidR="00220D3E" w:rsidRPr="00511005" w:rsidRDefault="007B2628" w:rsidP="003A292D">
      <w:pPr>
        <w:tabs>
          <w:tab w:val="left" w:pos="709"/>
          <w:tab w:val="left" w:pos="9072"/>
        </w:tabs>
        <w:spacing w:line="264" w:lineRule="auto"/>
        <w:ind w:right="24"/>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 Бєлогубова О. О.</w:t>
      </w:r>
    </w:p>
    <w:p w14:paraId="539CD29F" w14:textId="77777777" w:rsidR="00220D3E" w:rsidRPr="00511005" w:rsidRDefault="00220D3E" w:rsidP="003A292D">
      <w:pPr>
        <w:tabs>
          <w:tab w:val="left" w:pos="709"/>
          <w:tab w:val="left" w:pos="9072"/>
        </w:tabs>
        <w:spacing w:line="264" w:lineRule="auto"/>
        <w:ind w:right="24"/>
        <w:rPr>
          <w:rFonts w:ascii="Arial" w:eastAsia="Times New Roman" w:hAnsi="Arial" w:cs="Arial"/>
          <w:i/>
          <w:szCs w:val="28"/>
          <w:lang w:val="uk-UA" w:eastAsia="ru-RU"/>
        </w:rPr>
      </w:pPr>
    </w:p>
    <w:p w14:paraId="42490DA1" w14:textId="77777777" w:rsidR="00220D3E" w:rsidRPr="00511005" w:rsidRDefault="00220D3E" w:rsidP="003A292D">
      <w:pPr>
        <w:tabs>
          <w:tab w:val="left" w:pos="709"/>
        </w:tabs>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Уштаніт Олена Михайлівна</w:t>
      </w:r>
    </w:p>
    <w:p w14:paraId="431FAFD3" w14:textId="011E42AC"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31A90F04"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lastRenderedPageBreak/>
        <w:t>факультету прокуратури та слідства (кримінальна юстиція)</w:t>
      </w:r>
    </w:p>
    <w:p w14:paraId="3DB1CC5E"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67CBFE8"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ru-RU"/>
        </w:rPr>
      </w:pPr>
    </w:p>
    <w:p w14:paraId="5ADB1D11"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МІЖНАРОДНИЙ ЗАХИСТ ПРАВ ЛЮДИНИ У ПЕРІОД ЗБРОЙНОГО КОНФЛІКТУ</w:t>
      </w:r>
    </w:p>
    <w:p w14:paraId="22F703B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сучасному світі збройні конфлікти залишаються серйозною загрозою для захисту прав людини. Незважаючи на існуючі міжнародні норми та стандарти, збройні сутички часто ведуть до масових порушень прав людини, включаючи вбивства, насильство, тортури та порушення основних свобод і гуманітарних принципів. Це підкреслює необхідність ефективного міжнародного захисту прав людини під час конфліктів.</w:t>
      </w:r>
    </w:p>
    <w:p w14:paraId="79559A6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Зокрема, міжнародні правові інструменти, такі як Женевські конвенції та Римський статут Міжнародного кримінального суду, встановлюють норми, що регулюють поведінку військових сторін та захищають цивільних осіб від насильства та військових злочинів. Проте реалізація цих норм часто зустрічається з викликами, такими як неефективність міжнародних механізмів моніторингу та недостатня відповідальність за порушення.</w:t>
      </w:r>
    </w:p>
    <w:p w14:paraId="641254D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дослідження міжнародного захисту прав людини у контексті збройних конфліктів є актуальною темою, яка потребує подальшого аналізу та розробки стратегій для покращення захисту цивільних осіб та забезпечення відповідальності за воєнні злочини.</w:t>
      </w:r>
    </w:p>
    <w:p w14:paraId="2E4D7EB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контексті збройної агресії Російської Федерації проти України та тимчасової окупації частини українських територій питання дотримання прав людини набуває особливої ваги в межах міжнародного гуманітарного права. Попри укладені за роки численні міжнародні угоди, спрямовані на захист прав людини як у мирний час, так і під час збройних конфліктів, ці норми, на жаль, часто ігноруються, особливо коли йдеться про захист цивільного населення та військових у період бойових дій. До того ж, існуючі механізми не гарантують належної протидії свавіллю авторитарних режимів [1, c. 417].</w:t>
      </w:r>
    </w:p>
    <w:p w14:paraId="6E031EA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Збройний конфлікт в Україні, що розпочався з 2014 року та значно загострився у 2022 році після повномасштабного вторгнення Російської Федерації, поставив під загрозу основоположні права мільйонів українців. У цих умовах міжнародно-правові механізми захисту прав людини та норм міжнародного гуманітарного права набули критичної актуальності.</w:t>
      </w:r>
    </w:p>
    <w:p w14:paraId="08BCB7C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Основою міжнародного захисту прав людини у період збройного конфлікту є поєднання норм міжнародного гуманітарного права (МГП) та міжнародного права прав людини (МППЛ). Міжнародне гуманітарне право (МГП) є спеціалізованою галуззю міжнародного права, що діє винятково під час збройних конфліктів. Його положення спрямовані на захист таких категорій осіб:</w:t>
      </w:r>
    </w:p>
    <w:p w14:paraId="4AE31A8B" w14:textId="77777777" w:rsidR="00220D3E" w:rsidRPr="00511005" w:rsidRDefault="00220D3E" w:rsidP="003F6A5D">
      <w:pPr>
        <w:numPr>
          <w:ilvl w:val="0"/>
          <w:numId w:val="157"/>
        </w:numPr>
        <w:tabs>
          <w:tab w:val="clear" w:pos="720"/>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цивільне населення, включаючи жінок, дітей, осіб похилого віку, людей з інвалідністю;</w:t>
      </w:r>
    </w:p>
    <w:p w14:paraId="057E2AC1" w14:textId="77777777" w:rsidR="00220D3E" w:rsidRPr="00511005" w:rsidRDefault="00220D3E" w:rsidP="003F6A5D">
      <w:pPr>
        <w:numPr>
          <w:ilvl w:val="0"/>
          <w:numId w:val="157"/>
        </w:numPr>
        <w:tabs>
          <w:tab w:val="clear" w:pos="720"/>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поранені, хворі та медичний персонал, що потребують допомоги;</w:t>
      </w:r>
    </w:p>
    <w:p w14:paraId="543AE2F0" w14:textId="77777777" w:rsidR="00220D3E" w:rsidRPr="00511005" w:rsidRDefault="00220D3E" w:rsidP="003F6A5D">
      <w:pPr>
        <w:numPr>
          <w:ilvl w:val="0"/>
          <w:numId w:val="157"/>
        </w:numPr>
        <w:tabs>
          <w:tab w:val="clear" w:pos="720"/>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військовополонені та комбатанти, які припинили брати участь у бойових діях;</w:t>
      </w:r>
    </w:p>
    <w:p w14:paraId="7220ED32" w14:textId="77777777" w:rsidR="00220D3E" w:rsidRPr="00511005" w:rsidRDefault="00220D3E" w:rsidP="003F6A5D">
      <w:pPr>
        <w:numPr>
          <w:ilvl w:val="0"/>
          <w:numId w:val="157"/>
        </w:numPr>
        <w:tabs>
          <w:tab w:val="clear" w:pos="720"/>
          <w:tab w:val="left" w:pos="709"/>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особи, позбавлені волі у зв’язку із конфліктом, включаючи інтернованих осіб [2, с. 34-38].</w:t>
      </w:r>
    </w:p>
    <w:p w14:paraId="7438997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Ці категорії визначені у Женевських конвенціях 1949 року та їх Додаткових протоколах 1977 року, які зобов’язують сторони збройного конфлікту дотримуватися принципу гуманності, незалежно від того, чи є ці особи громадянами ворогуючих сторін.</w:t>
      </w:r>
    </w:p>
    <w:p w14:paraId="3A643F4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 відміну від МГП, міжнародне право прав людини (МППЛ) діє постійно — як у мирний час, так і під час війни чи надзвичайного стану. Такі документи, як Загальна декларація прав людини (1948), Міжнародний пакт про громадянські і політичні права (1966), а також Європейська конвенція з прав людини (1950), зобов'язують держави-учасниці дотримуватись прав людини за будь-яких обставин.</w:t>
      </w:r>
    </w:p>
    <w:p w14:paraId="32DC409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Навіть за умов війни певні права, наприклад, право на життя, заборона катувань або рабства, не можуть бути обмежені. Це підтверджено у рішенні Міжнародного Суду ООН у справі Конго проти Уганди (2005), де було зазначено, що МППЛ та МГП діють паралельно й взаємодоповнюють одне одного.</w:t>
      </w:r>
    </w:p>
    <w:p w14:paraId="46A5AFE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 жаль, реальність сучасного збройного конфлікту в Україні свідчить про численні порушення цих норм. За даними Управління Верховного комісара ООН з прав людини (УВКПЛ), станом на кінець березня 2025 року внаслідок бойових дій загинули близько 13 000 цивільних осіб, включно з 682 дітьми, а понад 30 700 отримали поранення. УВКПЛ також задокументувало численні випадки тортур, сексуального насильства та незаконних затримань, скоєних російськими військовими щодо українських цивільних осіб та військовополонених [3].</w:t>
      </w:r>
    </w:p>
    <w:p w14:paraId="5D58FCD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Міжнародні судові та квазісудові органи відіграють ключову роль у фіксації порушень та притягненні винних до відповідальності. Зокрема, Міжнародний кримінальний суд (МКС) відкрив розслідування ситуації в Україні та вже видав ордери на арешт Володимира Путіна та Марії Львової-Бєлової: 17 березня 2023 року МКС видав ордери на арешт президента РФ Володимира Путіна та уповноваженої з прав дитини Марії Львової-Бєлової за воєнні злочини, пов’язані з незаконною депортацією українських дітей до Росії. Україна повідомила, що ці ордери сприяли поверненню деяких депортованих дітей додому [4]. Важливим механізмом залишається також діяльність Європейського суду з прав людини (ЄСПЛ), який розглядає скарги громадян України щодо порушень Конвенції про захист прав людини і </w:t>
      </w:r>
      <w:r w:rsidRPr="00511005">
        <w:rPr>
          <w:rFonts w:ascii="Arial" w:eastAsia="Times New Roman" w:hAnsi="Arial" w:cs="Arial"/>
          <w:szCs w:val="28"/>
          <w:lang w:val="uk-UA" w:eastAsia="ru-RU"/>
        </w:rPr>
        <w:lastRenderedPageBreak/>
        <w:t>основоположних свобод. Наприклад, можна згадати міждержавну справу «Україна та Нідерланди проти Росії», де ЄСПЛ визнав прийнятною справу щодо систематичних порушень прав людини в Криму, включаючи катування, зникнення людей та незаконні затримання.</w:t>
      </w:r>
    </w:p>
    <w:p w14:paraId="39E997F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Не менш важливою є діяльність Комітету ООН з прав людини та Комітету ООН з прав дитини. Так, три неурядові організації подали скаргу до Комітету ООН з прав людини, стверджуючи, що Росія порушила право на життя, атакувавши місто Вінниця 14 липня 2022 року, що призвело до загибелі мирних жителів (скарга щодо атаки на Вінницю). Крім того, Комітет ООН з прав дитини рішуче засудив насильницьке переміщення (депортацію) тисяч українських дітей до Російської Федерації, вказавши на порушення прав дитини. У 2025 році були подані перші пілотні скарги до Комітету від імені українських дітей, депортованих Росією. Очікується, що до кінця року буде подано ще 10–15 скарг. </w:t>
      </w:r>
    </w:p>
    <w:p w14:paraId="51784F0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Слід також відзначити зусилля міжнародної спільноти, спрямовані на документування фактів злочинів та забезпечення правової оцінки дій агресора. Наприклад, Незалежна міжнародна комісія ООН з розслідування порушень в Україні регулярно публікує звіти про ситуацію на місцях, надаючи об’єктивну оцінку воєнним злочинам і злочинам проти людяності [5].</w:t>
      </w:r>
    </w:p>
    <w:p w14:paraId="0F7C870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Попри наявність міжнародних механізмів, ефективне притягнення до відповідальності винних у порушеннях прав людини стикається з численними викликами. Деякі країни, такі як Угорщина, оголосили про вихід з-під юрисдикції МКС, що ускладнює міжнародні зусилля з правосуддя. </w:t>
      </w:r>
    </w:p>
    <w:p w14:paraId="3754D5F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Водночас, міжнародна спільнота продовжує докладати зусиль для забезпечення справедливості та відновлення прав постраждалих. Документування злочинів, підтримка діяльності міжнародних судових органів та посилення санкційного тиску на порушників є важливими кроками на шляху до відновлення справедливості та дотримання міжнародного права.​</w:t>
      </w:r>
    </w:p>
    <w:p w14:paraId="4CA0FD9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міжнародний захист прав людини під час збройного конфлікту в Україні залишається критично важливим питанням, що потребує консолідованих зусиль усіх зацікавлених сторін для забезпечення правосуддя та недопущення безкарності за скоєні злочини.</w:t>
      </w:r>
    </w:p>
    <w:p w14:paraId="572E08D6"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1C15D84E" w14:textId="0601A9DD" w:rsidR="00220D3E" w:rsidRPr="00511005" w:rsidRDefault="007B2628" w:rsidP="007B2628">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0D17E4A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1. Примаков К.Ю., Бідняк С.С. Міжнародний захист прав людини під час збройних конфліктів. Аналітично-порівняльне правознавство. 2023. С. 417 – 420. URL:</w:t>
      </w:r>
      <w:r w:rsidRPr="00511005">
        <w:rPr>
          <w:rFonts w:ascii="Arial" w:eastAsia="Times New Roman" w:hAnsi="Arial" w:cs="Arial"/>
          <w:szCs w:val="28"/>
          <w:lang w:eastAsia="ru-RU"/>
        </w:rPr>
        <w:t xml:space="preserve"> </w:t>
      </w:r>
      <w:hyperlink r:id="rId711" w:history="1">
        <w:r w:rsidRPr="00511005">
          <w:rPr>
            <w:rFonts w:ascii="Arial" w:eastAsia="Times New Roman" w:hAnsi="Arial" w:cs="Arial"/>
            <w:szCs w:val="28"/>
            <w:lang w:val="en-GB"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GB" w:eastAsia="ru-RU"/>
          </w:rPr>
          <w:t>dspace</w:t>
        </w:r>
        <w:r w:rsidRPr="00511005">
          <w:rPr>
            <w:rFonts w:ascii="Arial" w:eastAsia="Times New Roman" w:hAnsi="Arial" w:cs="Arial"/>
            <w:szCs w:val="28"/>
            <w:lang w:eastAsia="ru-RU"/>
          </w:rPr>
          <w:t>.</w:t>
        </w:r>
        <w:r w:rsidRPr="00511005">
          <w:rPr>
            <w:rFonts w:ascii="Arial" w:eastAsia="Times New Roman" w:hAnsi="Arial" w:cs="Arial"/>
            <w:szCs w:val="28"/>
            <w:lang w:val="en-GB" w:eastAsia="ru-RU"/>
          </w:rPr>
          <w:t>uzhnu</w:t>
        </w:r>
        <w:r w:rsidRPr="00511005">
          <w:rPr>
            <w:rFonts w:ascii="Arial" w:eastAsia="Times New Roman" w:hAnsi="Arial" w:cs="Arial"/>
            <w:szCs w:val="28"/>
            <w:lang w:eastAsia="ru-RU"/>
          </w:rPr>
          <w:t>.</w:t>
        </w:r>
        <w:r w:rsidRPr="00511005">
          <w:rPr>
            <w:rFonts w:ascii="Arial" w:eastAsia="Times New Roman" w:hAnsi="Arial" w:cs="Arial"/>
            <w:szCs w:val="28"/>
            <w:lang w:val="en-GB" w:eastAsia="ru-RU"/>
          </w:rPr>
          <w:t>edu</w:t>
        </w:r>
        <w:r w:rsidRPr="00511005">
          <w:rPr>
            <w:rFonts w:ascii="Arial" w:eastAsia="Times New Roman" w:hAnsi="Arial" w:cs="Arial"/>
            <w:szCs w:val="28"/>
            <w:lang w:eastAsia="ru-RU"/>
          </w:rPr>
          <w:t>.</w:t>
        </w:r>
        <w:r w:rsidRPr="00511005">
          <w:rPr>
            <w:rFonts w:ascii="Arial" w:eastAsia="Times New Roman" w:hAnsi="Arial" w:cs="Arial"/>
            <w:szCs w:val="28"/>
            <w:lang w:val="en-GB"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GB" w:eastAsia="ru-RU"/>
          </w:rPr>
          <w:t>jspui</w:t>
        </w:r>
        <w:r w:rsidRPr="00511005">
          <w:rPr>
            <w:rFonts w:ascii="Arial" w:eastAsia="Times New Roman" w:hAnsi="Arial" w:cs="Arial"/>
            <w:szCs w:val="28"/>
            <w:lang w:eastAsia="ru-RU"/>
          </w:rPr>
          <w:t>/</w:t>
        </w:r>
        <w:r w:rsidRPr="00511005">
          <w:rPr>
            <w:rFonts w:ascii="Arial" w:eastAsia="Times New Roman" w:hAnsi="Arial" w:cs="Arial"/>
            <w:szCs w:val="28"/>
            <w:lang w:val="en-GB" w:eastAsia="ru-RU"/>
          </w:rPr>
          <w:t>bitstream</w:t>
        </w:r>
        <w:r w:rsidRPr="00511005">
          <w:rPr>
            <w:rFonts w:ascii="Arial" w:eastAsia="Times New Roman" w:hAnsi="Arial" w:cs="Arial"/>
            <w:szCs w:val="28"/>
            <w:lang w:eastAsia="ru-RU"/>
          </w:rPr>
          <w:t>/</w:t>
        </w:r>
        <w:r w:rsidRPr="00511005">
          <w:rPr>
            <w:rFonts w:ascii="Arial" w:eastAsia="Times New Roman" w:hAnsi="Arial" w:cs="Arial"/>
            <w:szCs w:val="28"/>
            <w:lang w:val="en-GB" w:eastAsia="ru-RU"/>
          </w:rPr>
          <w:t>lib</w:t>
        </w:r>
        <w:r w:rsidRPr="00511005">
          <w:rPr>
            <w:rFonts w:ascii="Arial" w:eastAsia="Times New Roman" w:hAnsi="Arial" w:cs="Arial"/>
            <w:szCs w:val="28"/>
            <w:lang w:eastAsia="ru-RU"/>
          </w:rPr>
          <w:t>/64152/1/282302-Текст%20статті-650664-1-10-20230618.</w:t>
        </w:r>
        <w:r w:rsidRPr="00511005">
          <w:rPr>
            <w:rFonts w:ascii="Arial" w:eastAsia="Times New Roman" w:hAnsi="Arial" w:cs="Arial"/>
            <w:szCs w:val="28"/>
            <w:lang w:val="en-GB" w:eastAsia="ru-RU"/>
          </w:rPr>
          <w:t>pdf</w:t>
        </w:r>
      </w:hyperlink>
      <w:r w:rsidRPr="00511005">
        <w:rPr>
          <w:rFonts w:ascii="Arial" w:eastAsia="Times New Roman" w:hAnsi="Arial" w:cs="Arial"/>
          <w:szCs w:val="28"/>
          <w:lang w:eastAsia="ru-RU"/>
        </w:rPr>
        <w:t xml:space="preserve"> </w:t>
      </w:r>
    </w:p>
    <w:p w14:paraId="68ABBCF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2. Міжнародне гуманітарне право. Посібник для юриста / О.О. Войтенко, М.М. Гнатовський, Т.Р. Короткий, А.О. Кориневич, В.М. Лисик, </w:t>
      </w:r>
      <w:r w:rsidRPr="00511005">
        <w:rPr>
          <w:rFonts w:ascii="Arial" w:eastAsia="Times New Roman" w:hAnsi="Arial" w:cs="Arial"/>
          <w:szCs w:val="28"/>
          <w:lang w:val="uk-UA" w:eastAsia="ru-RU"/>
        </w:rPr>
        <w:lastRenderedPageBreak/>
        <w:t xml:space="preserve">О.Р. Поєдинок, Н.В. Хендель; за ред. Т.Р. Короткого. Київ-Одеса. </w:t>
      </w:r>
      <w:r w:rsidRPr="00511005">
        <w:rPr>
          <w:rFonts w:ascii="Arial" w:eastAsia="Times New Roman" w:hAnsi="Arial" w:cs="Arial"/>
          <w:i/>
          <w:iCs/>
          <w:szCs w:val="28"/>
          <w:lang w:val="uk-UA" w:eastAsia="ru-RU"/>
        </w:rPr>
        <w:t>Українська гельсінська спілка з прав людин. Фенікс</w:t>
      </w:r>
      <w:r w:rsidRPr="00511005">
        <w:rPr>
          <w:rFonts w:ascii="Arial" w:eastAsia="Times New Roman" w:hAnsi="Arial" w:cs="Arial"/>
          <w:szCs w:val="28"/>
          <w:lang w:val="uk-UA" w:eastAsia="ru-RU"/>
        </w:rPr>
        <w:t xml:space="preserve">. 2017. 145 с. URL: </w:t>
      </w:r>
      <w:hyperlink r:id="rId712" w:history="1">
        <w:r w:rsidRPr="00511005">
          <w:rPr>
            <w:rFonts w:ascii="Arial" w:eastAsia="Times New Roman" w:hAnsi="Arial" w:cs="Arial"/>
            <w:szCs w:val="28"/>
            <w:lang w:val="uk-UA" w:eastAsia="ru-RU"/>
          </w:rPr>
          <w:t>https://www.helsinki.org.ua/wp-content/uploads/2017/03/WEB_01-2.pdf</w:t>
        </w:r>
      </w:hyperlink>
      <w:r w:rsidRPr="00511005">
        <w:rPr>
          <w:rFonts w:ascii="Arial" w:eastAsia="Times New Roman" w:hAnsi="Arial" w:cs="Arial"/>
          <w:szCs w:val="28"/>
          <w:lang w:val="uk-UA" w:eastAsia="ru-RU"/>
        </w:rPr>
        <w:t xml:space="preserve"> </w:t>
      </w:r>
    </w:p>
    <w:p w14:paraId="1F7D824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 Об’єднані нації права людини Управління Верховного Комісара. Доповідь щодо ситуації з правами людини в Україні. 2024. 32 с. URL: </w:t>
      </w:r>
      <w:hyperlink r:id="rId713" w:history="1">
        <w:r w:rsidRPr="00511005">
          <w:rPr>
            <w:rFonts w:ascii="Arial" w:eastAsia="Times New Roman" w:hAnsi="Arial" w:cs="Arial"/>
            <w:szCs w:val="28"/>
            <w:lang w:val="uk-UA" w:eastAsia="ru-RU"/>
          </w:rPr>
          <w:t>https://ukraine.un.org/sites/default/files/2025-01/2024-12-31%20OHCHR%2041st%20periodic%20report%20on%20Ukraine_UKR.pdf</w:t>
        </w:r>
      </w:hyperlink>
      <w:r w:rsidRPr="00511005">
        <w:rPr>
          <w:rFonts w:ascii="Arial" w:eastAsia="Times New Roman" w:hAnsi="Arial" w:cs="Arial"/>
          <w:szCs w:val="28"/>
          <w:lang w:val="uk-UA" w:eastAsia="ru-RU"/>
        </w:rPr>
        <w:t xml:space="preserve"> </w:t>
      </w:r>
    </w:p>
    <w:p w14:paraId="2CFBFE9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4. International Criminal Court (ICC). Statement of ICC Prosecutor. Ситуація в Україні: судді МКС видають ордери на арешт Володимира Володимировича Путіна та Марії Олексіївни Львової-Бєлової. 2023. URL: </w:t>
      </w:r>
      <w:hyperlink r:id="rId714" w:history="1">
        <w:r w:rsidRPr="00511005">
          <w:rPr>
            <w:rFonts w:ascii="Arial" w:eastAsia="Times New Roman" w:hAnsi="Arial" w:cs="Arial"/>
            <w:szCs w:val="28"/>
            <w:lang w:val="uk-UA" w:eastAsia="ru-RU"/>
          </w:rPr>
          <w:t>https://www.icc-cpi.int/news/situation-ukraine-icc-judges-issue-arrest-warrants-against-vladimir-vladimirovich-putin-and?lang=Ukrainian</w:t>
        </w:r>
      </w:hyperlink>
    </w:p>
    <w:p w14:paraId="5A62B90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5. Independent International Commission of Inquiry on Ukraine, UN Human Rights Counci. UN Human Rights Council. 2023. URL: </w:t>
      </w:r>
      <w:hyperlink r:id="rId715" w:history="1">
        <w:r w:rsidRPr="00511005">
          <w:rPr>
            <w:rFonts w:ascii="Arial" w:eastAsia="Times New Roman" w:hAnsi="Arial" w:cs="Arial"/>
            <w:szCs w:val="28"/>
            <w:lang w:val="uk-UA" w:eastAsia="ru-RU"/>
          </w:rPr>
          <w:t>https://www.ohchr.org/en/hr-bodies/hrc/iicihr-ukraine/index</w:t>
        </w:r>
      </w:hyperlink>
      <w:r w:rsidRPr="00511005">
        <w:rPr>
          <w:rFonts w:ascii="Arial" w:eastAsia="Times New Roman" w:hAnsi="Arial" w:cs="Arial"/>
          <w:szCs w:val="28"/>
          <w:lang w:val="uk-UA" w:eastAsia="ru-RU"/>
        </w:rPr>
        <w:t xml:space="preserve"> </w:t>
      </w:r>
    </w:p>
    <w:p w14:paraId="18620B88" w14:textId="43C166A5"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val="uk-UA" w:eastAsia="ru-RU"/>
        </w:rPr>
        <w:t>міжнародне гуманітарне право, збройний конфлікт, міжнародний захист, воєнні злочини, відповідальність за порушення прав людини</w:t>
      </w:r>
    </w:p>
    <w:p w14:paraId="046111CA" w14:textId="7696E2D2" w:rsidR="00220D3E" w:rsidRPr="00511005" w:rsidRDefault="007B2628" w:rsidP="003A292D">
      <w:pPr>
        <w:tabs>
          <w:tab w:val="left" w:pos="709"/>
        </w:tabs>
        <w:spacing w:line="264" w:lineRule="auto"/>
        <w:rPr>
          <w:rFonts w:ascii="Arial" w:eastAsia="Times New Roman" w:hAnsi="Arial" w:cs="Arial"/>
          <w:b/>
          <w:bCs/>
          <w:i/>
          <w:iCs/>
          <w:szCs w:val="28"/>
          <w:lang w:val="uk-UA" w:eastAsia="ru-RU"/>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uk-UA" w:eastAsia="ru-RU"/>
        </w:rPr>
        <w:t>international humanitarian law, armed conflict, international protection, war crimes, accountability for human rights violations</w:t>
      </w:r>
    </w:p>
    <w:p w14:paraId="1AF41A66" w14:textId="082A3743" w:rsidR="00220D3E" w:rsidRPr="00511005" w:rsidRDefault="007B2628" w:rsidP="003A292D">
      <w:pPr>
        <w:tabs>
          <w:tab w:val="left" w:pos="709"/>
        </w:tabs>
        <w:spacing w:line="264" w:lineRule="auto"/>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val="uk-UA" w:eastAsia="ru-RU"/>
        </w:rPr>
        <w:t>к.ю.н., доцент</w:t>
      </w:r>
      <w:r w:rsidRPr="00511005">
        <w:rPr>
          <w:rFonts w:ascii="Arial" w:eastAsia="Times New Roman" w:hAnsi="Arial" w:cs="Arial"/>
          <w:bCs/>
          <w:i/>
          <w:iCs/>
          <w:szCs w:val="28"/>
          <w:lang w:val="uk-UA" w:eastAsia="ru-RU"/>
        </w:rPr>
        <w:t xml:space="preserve"> </w:t>
      </w:r>
      <w:r w:rsidR="00220D3E" w:rsidRPr="00511005">
        <w:rPr>
          <w:rFonts w:ascii="Arial" w:eastAsia="Times New Roman" w:hAnsi="Arial" w:cs="Arial"/>
          <w:bCs/>
          <w:i/>
          <w:iCs/>
          <w:szCs w:val="28"/>
          <w:lang w:val="uk-UA" w:eastAsia="ru-RU"/>
        </w:rPr>
        <w:t>Гриб А.М.</w:t>
      </w:r>
    </w:p>
    <w:p w14:paraId="21A56E6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62886956" w14:textId="77777777" w:rsidR="00220D3E" w:rsidRPr="00511005" w:rsidRDefault="00220D3E" w:rsidP="003A292D">
      <w:pPr>
        <w:tabs>
          <w:tab w:val="left" w:pos="709"/>
        </w:tabs>
        <w:spacing w:line="264" w:lineRule="auto"/>
        <w:ind w:firstLine="0"/>
        <w:jc w:val="center"/>
        <w:rPr>
          <w:rFonts w:ascii="Arial" w:eastAsia="Times New Roman" w:hAnsi="Arial" w:cs="Arial"/>
          <w:b/>
          <w:i/>
          <w:szCs w:val="28"/>
          <w:lang w:eastAsia="uk-UA"/>
        </w:rPr>
      </w:pPr>
      <w:r w:rsidRPr="00511005">
        <w:rPr>
          <w:rFonts w:ascii="Arial" w:eastAsia="Times New Roman" w:hAnsi="Arial" w:cs="Arial"/>
          <w:b/>
          <w:i/>
          <w:szCs w:val="28"/>
          <w:lang w:eastAsia="uk-UA"/>
        </w:rPr>
        <w:t>Федчак Єлизавета Олегівна</w:t>
      </w:r>
    </w:p>
    <w:p w14:paraId="68FA09AA" w14:textId="23193BFE"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5B519E97"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53DECE8"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F9A94FD"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uk-UA"/>
        </w:rPr>
      </w:pPr>
    </w:p>
    <w:p w14:paraId="1852A31A" w14:textId="77777777" w:rsidR="00220D3E" w:rsidRPr="00511005" w:rsidRDefault="00220D3E" w:rsidP="003A292D">
      <w:pPr>
        <w:tabs>
          <w:tab w:val="left" w:pos="709"/>
        </w:tabs>
        <w:spacing w:line="264" w:lineRule="auto"/>
        <w:jc w:val="center"/>
        <w:rPr>
          <w:rFonts w:ascii="Arial" w:eastAsia="Times New Roman" w:hAnsi="Arial" w:cs="Arial"/>
          <w:b/>
          <w:szCs w:val="28"/>
          <w:lang w:eastAsia="uk-UA"/>
        </w:rPr>
      </w:pPr>
      <w:r w:rsidRPr="00511005">
        <w:rPr>
          <w:rFonts w:ascii="Arial" w:eastAsia="Times New Roman" w:hAnsi="Arial" w:cs="Arial"/>
          <w:b/>
          <w:szCs w:val="28"/>
          <w:lang w:eastAsia="uk-UA"/>
        </w:rPr>
        <w:t>ПРАВА ДІТЕЙ В УМОВАХ ЗБРОЙНИХ КОНФЛІКТІВ: МІЖНАРОДНО-ПРАВОВИЙ ЗАХИСТ</w:t>
      </w:r>
    </w:p>
    <w:p w14:paraId="3547D33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Збройні конфлікти, що відбуваються у різних частинах світу, мають катастрофічні наслідки як для суспільства загалом, так і для кожної людини окремо. Найбільш вразливою категорією населення в умовах війни є діти — ті, хто не мають ні засобів самозахисту, ні можливості вплинути на хід подій. За даними Дитячого фонду ООН (ЮНІСЕФ), понад 250 мільйонів дітей живуть у країнах, де тривають збройні конфлікти. Вони зазнають жорстокого порушення своїх прав, включаючи фізичне насильство, сексуальну експлуатацію, викрадення, вербування до збройних формувань, а також позбавлення доступу до базових благ, таких як освіта, харчування, медичне обслуговування та психологічна підтримка.</w:t>
      </w:r>
    </w:p>
    <w:p w14:paraId="1F7EDCB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Міжнародне право покликане забезпечити захист прав дитини навіть в умовах воєнного часу. Однак попри наявність численних міжнародних нормативно-правових актів, ефективність їх реалізації викликає серйозні </w:t>
      </w:r>
      <w:r w:rsidRPr="00511005">
        <w:rPr>
          <w:rFonts w:ascii="Arial" w:eastAsia="Times New Roman" w:hAnsi="Arial" w:cs="Arial"/>
          <w:szCs w:val="28"/>
          <w:lang w:eastAsia="ru-RU"/>
        </w:rPr>
        <w:lastRenderedPageBreak/>
        <w:t>сумніви. Однією з причин цього є відсутність дієвих механізмів контролю та відповідальності. Ще однією проблемою є політична заангажованість та брак інституційної спроможності органів, які мали б реагувати на порушення.</w:t>
      </w:r>
    </w:p>
    <w:p w14:paraId="60E63C5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Особливо яскравим прикладом такої невідповідності між задекларованими нормами й реальністю стала агресивна війна російської федерації проти України. Після повномасштабного вторгнення в лютому 2022 року було зафіксовано сотні випадків порушення прав дітей, зокрема насильницькі депортації, вбивства, поранення, зникнення безвісти, сексуальне насильство, а також довготривале психологічне травмування. Попри те, що міжнародні інституції засудили ці дії, жодна з них не змогла оперативно припинити чи запобігти цим злочинам.</w:t>
      </w:r>
    </w:p>
    <w:p w14:paraId="7BA6742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Міжнародно-правова система захисту прав дитини складається з низки базових документів, серед яких варто згадати Загальну декларацію прав людини (1948 р.), Декларацію прав дитини (1959 р.) та Конвенцію ООН про права дитини (1989 р.). Ці документи визначають основні права дитини, такі як право на життя, захист від насильства, доступ до освіти та медичної допомоги. Додатковий протокол до Женевських конвенцій (1977 р.) у статті 77 акцентує увагу на необхідності надання дітям особливого захисту в умовах воєнного конфлікту. Усі сторони конфлікту зобов’язані забезпечити дітям повагу, захист і допомогу, виходячи з їхнього віку та вразливості [1].</w:t>
      </w:r>
    </w:p>
    <w:p w14:paraId="3BC2069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Незважаючи на правову основу, яка нібито повинна гарантувати права дітей, на практиці виявляється низка серйозних викликів. Перш за все, виникають труднощі у визначенні конкретного порушника. У багатьох випадках, особливо в умовах хаотичної бойової ситуації, важко зібрати докази, встановити відповідальність та притягнути винних до відповідальності. Суди, що займаються міжнародними злочинами — зокрема Міжнародний кримінальний суд (МКС), Міжнародний суд ООН, Європейський суд з прав людини — мають обмежені повноваження, ресурси та іноді стикаються з політичним тиском, що унеможливлює ефективне реагування [2].</w:t>
      </w:r>
    </w:p>
    <w:p w14:paraId="1D84427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Важливо також відзначити, що механізми забезпечення прав дитини не охоплюють повною мірою всі аспекти, зокрема ті, що пов’язані з ментальним здоров’ям. Багато дітей, які опинилися в зоні бойових дій або на окупованих територіях, зазнають психологічних травм, які можуть мати довготривалі наслідки. Страх, втрата рідних, зруйновані домівки, постійне перебування у небезпеці формують у дитини стійкі психологічні розлади. На жаль, міжнародна правова система майже не передбачає ефективних механізмів реабілітації та підтримки постраждалих дітей.</w:t>
      </w:r>
    </w:p>
    <w:p w14:paraId="75F5FCF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Окрему увагу варто приділити проблемі доступу до гуманітарної допомоги. Декларація ООН 1974 року про захист прав жінок і дітей в надзвичайних обставинах прямо вимагає забезпечити доступ до базових засобів виживання — їжі, води, даху над головою та медичної допомоги [3]. </w:t>
      </w:r>
      <w:r w:rsidRPr="00511005">
        <w:rPr>
          <w:rFonts w:ascii="Arial" w:eastAsia="Times New Roman" w:hAnsi="Arial" w:cs="Arial"/>
          <w:szCs w:val="28"/>
          <w:lang w:eastAsia="ru-RU"/>
        </w:rPr>
        <w:lastRenderedPageBreak/>
        <w:t>Проте в умовах активних бойових дій гуманітарним організаціям часто відмовляють у доступі до постраждалих територій, або ж доступ надається лише частково, під жорстким контролем агресора. У випадку війни в Україні, це положення було неодноразово порушено росією, що призвело до гуманітарної катастрофи в ряді регіонів.</w:t>
      </w:r>
    </w:p>
    <w:p w14:paraId="78F6324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Задля ефективного захисту дітей необхідно посилити міжнародний контроль за дотриманням відповідних норм. Важливим кроком у цьому напрямку стало рішення Міжнародного кримінального суду видати ордер на арешт президента росії Володимира Путіна та уповноваженої з прав дитини Марії Львової-Білової за незаконну депортацію українських дітей. Це свідчить про здатність міжнародного права реагувати, хоча й із запізненням. Варто розуміти, що притягнення до відповідальності за міжнародні злочини — складний і тривалий процес.</w:t>
      </w:r>
    </w:p>
    <w:p w14:paraId="17F3773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Крім правової реакції, необхідно забезпечити системну гуманітарну підтримку дітей, які постраждали внаслідок війни. Вона має включати не лише матеріальну допомогу, але й організацію програм психологічної реабілітації, доступ до освіти, підтримку з боку суспільства та державних органів. Важливим напрямом є також просвітницька робота серед дорослих — батьків, педагогів, посадовців, що дозволить краще розуміти та реалізовувати права дитини в умовах кризи [4].</w:t>
      </w:r>
    </w:p>
    <w:p w14:paraId="7231D72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проблема захисту прав дітей під час збройних конфліктів є багатогранною та потребує комплексного вирішення. Необхідно активізувати міжнародне співробітництво, вдосконалити правові механізми, підвищити ефективність судових інституцій, а також забезпечити гуманітарну та психологічну підтримку дітям. Лише об’єднаними зусиллями міжнародної спільноти можна створити умови, за яких діти не стануть жертвами війни, а збережуть шанс на повноцінне майбутнє.</w:t>
      </w:r>
    </w:p>
    <w:p w14:paraId="7D176F91" w14:textId="77777777" w:rsidR="00220D3E" w:rsidRPr="00511005" w:rsidRDefault="00220D3E" w:rsidP="003A292D">
      <w:pPr>
        <w:tabs>
          <w:tab w:val="left" w:pos="709"/>
        </w:tabs>
        <w:spacing w:line="264" w:lineRule="auto"/>
        <w:ind w:left="709" w:firstLine="0"/>
        <w:contextualSpacing/>
        <w:rPr>
          <w:rFonts w:ascii="Arial" w:eastAsia="Times New Roman" w:hAnsi="Arial" w:cs="Arial"/>
          <w:b/>
          <w:szCs w:val="28"/>
          <w:lang w:val="uk-UA" w:eastAsia="ru-RU"/>
        </w:rPr>
      </w:pPr>
    </w:p>
    <w:p w14:paraId="072018AC" w14:textId="4D49E6A5" w:rsidR="00220D3E" w:rsidRPr="00511005" w:rsidRDefault="007B2628" w:rsidP="007B2628">
      <w:pPr>
        <w:tabs>
          <w:tab w:val="left" w:pos="709"/>
        </w:tabs>
        <w:spacing w:line="264" w:lineRule="auto"/>
        <w:ind w:left="709" w:firstLine="0"/>
        <w:contextualSpacing/>
        <w:jc w:val="center"/>
        <w:rPr>
          <w:rFonts w:ascii="Arial" w:eastAsia="Calibri" w:hAnsi="Arial" w:cs="Arial"/>
          <w:b/>
          <w:szCs w:val="28"/>
        </w:rPr>
      </w:pPr>
      <w:r w:rsidRPr="00511005">
        <w:rPr>
          <w:rFonts w:ascii="Arial" w:eastAsia="Times New Roman" w:hAnsi="Arial" w:cs="Arial"/>
          <w:b/>
          <w:szCs w:val="28"/>
          <w:lang w:val="uk-UA" w:eastAsia="ru-RU"/>
        </w:rPr>
        <w:t>Список використаних джерел</w:t>
      </w:r>
    </w:p>
    <w:p w14:paraId="755F2FDC" w14:textId="77777777" w:rsidR="00220D3E" w:rsidRPr="00511005" w:rsidRDefault="00220D3E" w:rsidP="003F6A5D">
      <w:pPr>
        <w:numPr>
          <w:ilvl w:val="0"/>
          <w:numId w:val="15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Декларація ООН про захист жінок і дітей при надзвичайних обставинах та під час збройних конфліктів : від 14.12.1974 р. URL: </w:t>
      </w:r>
      <w:hyperlink r:id="rId716" w:history="1">
        <w:r w:rsidRPr="00511005">
          <w:rPr>
            <w:rFonts w:ascii="Arial" w:eastAsia="Calibri" w:hAnsi="Arial" w:cs="Arial"/>
            <w:szCs w:val="28"/>
          </w:rPr>
          <w:t>https://zakon.cc/law/document/read/995_317</w:t>
        </w:r>
      </w:hyperlink>
      <w:r w:rsidRPr="00511005">
        <w:rPr>
          <w:rFonts w:ascii="Arial" w:eastAsia="Calibri" w:hAnsi="Arial" w:cs="Arial"/>
          <w:szCs w:val="28"/>
        </w:rPr>
        <w:t xml:space="preserve"> (дата звернення: 01.05.2025).</w:t>
      </w:r>
    </w:p>
    <w:p w14:paraId="5FBBFFA9" w14:textId="77777777" w:rsidR="00220D3E" w:rsidRPr="00511005" w:rsidRDefault="00220D3E" w:rsidP="003F6A5D">
      <w:pPr>
        <w:numPr>
          <w:ilvl w:val="0"/>
          <w:numId w:val="15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Додатковий протокол до Женевських конвенцій від 12 серпня 1949 року, що стосується захисту жертв міжнародних збройних конфліктів (Протокол I) : міжнар. док. від 08.06.1977 р. URL: </w:t>
      </w:r>
      <w:hyperlink r:id="rId717" w:anchor="Text" w:history="1">
        <w:r w:rsidRPr="00511005">
          <w:rPr>
            <w:rFonts w:ascii="Arial" w:eastAsia="Calibri" w:hAnsi="Arial" w:cs="Arial"/>
            <w:szCs w:val="28"/>
          </w:rPr>
          <w:t>https://zakon.rada.gov.ua/laws/show/995_199#Text</w:t>
        </w:r>
      </w:hyperlink>
      <w:r w:rsidRPr="00511005">
        <w:rPr>
          <w:rFonts w:ascii="Arial" w:eastAsia="Calibri" w:hAnsi="Arial" w:cs="Arial"/>
          <w:szCs w:val="28"/>
        </w:rPr>
        <w:t xml:space="preserve"> (дата звернення: 01.05.2025).</w:t>
      </w:r>
    </w:p>
    <w:p w14:paraId="4A4BD03C" w14:textId="77777777" w:rsidR="00220D3E" w:rsidRPr="00511005" w:rsidRDefault="00220D3E" w:rsidP="003F6A5D">
      <w:pPr>
        <w:numPr>
          <w:ilvl w:val="0"/>
          <w:numId w:val="158"/>
        </w:numPr>
        <w:tabs>
          <w:tab w:val="left" w:pos="709"/>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rPr>
        <w:t xml:space="preserve">Захист дітей в умовах збройного конфлікту у міжнародному праві. </w:t>
      </w:r>
      <w:r w:rsidRPr="00511005">
        <w:rPr>
          <w:rFonts w:ascii="Arial" w:eastAsia="Calibri" w:hAnsi="Arial" w:cs="Arial"/>
          <w:szCs w:val="28"/>
          <w:lang w:val="en-US"/>
        </w:rPr>
        <w:t>URL: https:// warchildhood.org/ua/children-and-armed-conflict-legal-framework/ (</w:t>
      </w:r>
      <w:r w:rsidRPr="00511005">
        <w:rPr>
          <w:rFonts w:ascii="Arial" w:eastAsia="Calibri" w:hAnsi="Arial" w:cs="Arial"/>
          <w:szCs w:val="28"/>
        </w:rPr>
        <w:t>дата</w:t>
      </w:r>
      <w:r w:rsidRPr="00511005">
        <w:rPr>
          <w:rFonts w:ascii="Arial" w:eastAsia="Calibri" w:hAnsi="Arial" w:cs="Arial"/>
          <w:szCs w:val="28"/>
          <w:lang w:val="en-US"/>
        </w:rPr>
        <w:t xml:space="preserve"> </w:t>
      </w:r>
      <w:r w:rsidRPr="00511005">
        <w:rPr>
          <w:rFonts w:ascii="Arial" w:eastAsia="Calibri" w:hAnsi="Arial" w:cs="Arial"/>
          <w:szCs w:val="28"/>
        </w:rPr>
        <w:t>звернення</w:t>
      </w:r>
      <w:r w:rsidRPr="00511005">
        <w:rPr>
          <w:rFonts w:ascii="Arial" w:eastAsia="Calibri" w:hAnsi="Arial" w:cs="Arial"/>
          <w:szCs w:val="28"/>
          <w:lang w:val="en-US"/>
        </w:rPr>
        <w:t>: 01.05.2025).</w:t>
      </w:r>
    </w:p>
    <w:p w14:paraId="59805F78" w14:textId="77777777" w:rsidR="00220D3E" w:rsidRPr="00511005" w:rsidRDefault="00220D3E" w:rsidP="003F6A5D">
      <w:pPr>
        <w:numPr>
          <w:ilvl w:val="0"/>
          <w:numId w:val="158"/>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Клапоущак Д. Щодо міжнародно-правового захисту цивільного населення під час збройного конфлікту. Науковий вісник Ужгородського </w:t>
      </w:r>
      <w:r w:rsidRPr="00511005">
        <w:rPr>
          <w:rFonts w:ascii="Arial" w:eastAsia="Calibri" w:hAnsi="Arial" w:cs="Arial"/>
          <w:szCs w:val="28"/>
        </w:rPr>
        <w:lastRenderedPageBreak/>
        <w:t xml:space="preserve">національного університету. </w:t>
      </w:r>
      <w:proofErr w:type="gramStart"/>
      <w:r w:rsidRPr="00511005">
        <w:rPr>
          <w:rFonts w:ascii="Arial" w:eastAsia="Calibri" w:hAnsi="Arial" w:cs="Arial"/>
          <w:szCs w:val="28"/>
        </w:rPr>
        <w:t>Серія :</w:t>
      </w:r>
      <w:proofErr w:type="gramEnd"/>
      <w:r w:rsidRPr="00511005">
        <w:rPr>
          <w:rFonts w:ascii="Arial" w:eastAsia="Calibri" w:hAnsi="Arial" w:cs="Arial"/>
          <w:szCs w:val="28"/>
        </w:rPr>
        <w:t xml:space="preserve"> Право. 2023. Вип. 77, ч. 2. С. 294–298. (дата звернення: 01.05.2025).</w:t>
      </w:r>
    </w:p>
    <w:p w14:paraId="2CDB57FC" w14:textId="22BE70D4"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збройний конфлікт, права дитини, міжнародне право, гуманітарна допомога, відповідальність.</w:t>
      </w:r>
    </w:p>
    <w:p w14:paraId="75CB2CC5" w14:textId="31327713"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Armed conflict, children's rights, international law, humanitarian aid, accountability.</w:t>
      </w:r>
    </w:p>
    <w:p w14:paraId="0E8173AF" w14:textId="6E62856D" w:rsidR="00220D3E" w:rsidRPr="00511005" w:rsidRDefault="007B2628" w:rsidP="003A292D">
      <w:pPr>
        <w:tabs>
          <w:tab w:val="left" w:pos="709"/>
        </w:tabs>
        <w:spacing w:line="264" w:lineRule="auto"/>
        <w:rPr>
          <w:rFonts w:ascii="Arial" w:eastAsia="Times New Roman" w:hAnsi="Arial" w:cs="Arial"/>
          <w:i/>
          <w:szCs w:val="28"/>
          <w:lang w:val="uk-UA"/>
        </w:rPr>
      </w:pPr>
      <w:r w:rsidRPr="00511005">
        <w:rPr>
          <w:rFonts w:ascii="Arial" w:eastAsia="Times New Roman" w:hAnsi="Arial" w:cs="Arial"/>
          <w:b/>
          <w:i/>
          <w:szCs w:val="28"/>
        </w:rPr>
        <w:t xml:space="preserve">Науковий керівник: </w:t>
      </w:r>
      <w:r w:rsidR="00220D3E" w:rsidRPr="00511005">
        <w:rPr>
          <w:rFonts w:ascii="Arial" w:eastAsia="Times New Roman" w:hAnsi="Arial" w:cs="Arial"/>
          <w:i/>
          <w:szCs w:val="28"/>
        </w:rPr>
        <w:t>к.ю.н., доцент</w:t>
      </w:r>
      <w:r w:rsidRPr="00511005">
        <w:rPr>
          <w:rFonts w:ascii="Arial" w:eastAsia="Times New Roman" w:hAnsi="Arial" w:cs="Arial"/>
          <w:i/>
          <w:szCs w:val="28"/>
        </w:rPr>
        <w:t xml:space="preserve"> </w:t>
      </w:r>
      <w:r w:rsidR="00220D3E" w:rsidRPr="00511005">
        <w:rPr>
          <w:rFonts w:ascii="Arial" w:eastAsia="Times New Roman" w:hAnsi="Arial" w:cs="Arial"/>
          <w:i/>
          <w:szCs w:val="28"/>
        </w:rPr>
        <w:t>Гриб А.М.</w:t>
      </w:r>
    </w:p>
    <w:p w14:paraId="173FCCA1" w14:textId="77777777" w:rsidR="00220D3E" w:rsidRPr="00511005" w:rsidRDefault="00220D3E" w:rsidP="003A292D">
      <w:pPr>
        <w:tabs>
          <w:tab w:val="left" w:pos="709"/>
        </w:tabs>
        <w:spacing w:line="264" w:lineRule="auto"/>
        <w:jc w:val="center"/>
        <w:rPr>
          <w:rFonts w:ascii="Arial" w:eastAsia="Times New Roman" w:hAnsi="Arial" w:cs="Arial"/>
          <w:i/>
          <w:szCs w:val="28"/>
          <w:lang w:val="uk-UA"/>
        </w:rPr>
      </w:pPr>
    </w:p>
    <w:p w14:paraId="0599FDFB" w14:textId="77777777" w:rsidR="00220D3E" w:rsidRPr="00511005" w:rsidRDefault="00220D3E" w:rsidP="003A292D">
      <w:pPr>
        <w:tabs>
          <w:tab w:val="left" w:pos="709"/>
        </w:tabs>
        <w:spacing w:line="264" w:lineRule="auto"/>
        <w:jc w:val="center"/>
        <w:rPr>
          <w:rFonts w:ascii="Arial" w:eastAsia="Times New Roman" w:hAnsi="Arial" w:cs="Arial"/>
          <w:b/>
          <w:bCs/>
          <w:i/>
          <w:szCs w:val="28"/>
          <w:lang w:eastAsia="ru-RU"/>
        </w:rPr>
      </w:pPr>
      <w:r w:rsidRPr="00511005">
        <w:rPr>
          <w:rFonts w:ascii="Arial" w:eastAsia="Times New Roman" w:hAnsi="Arial" w:cs="Arial"/>
          <w:b/>
          <w:bCs/>
          <w:i/>
          <w:szCs w:val="28"/>
          <w:lang w:eastAsia="ru-RU"/>
        </w:rPr>
        <w:t>Філон Олександра Ігорівна</w:t>
      </w:r>
    </w:p>
    <w:p w14:paraId="77565B9F" w14:textId="77777777" w:rsidR="007B2628" w:rsidRPr="00511005" w:rsidRDefault="00220D3E" w:rsidP="003A292D">
      <w:pPr>
        <w:tabs>
          <w:tab w:val="left" w:pos="709"/>
        </w:tabs>
        <w:spacing w:line="264" w:lineRule="auto"/>
        <w:jc w:val="center"/>
        <w:rPr>
          <w:rFonts w:ascii="Arial" w:eastAsia="Times New Roman" w:hAnsi="Arial" w:cs="Arial"/>
          <w:bCs/>
          <w:szCs w:val="28"/>
          <w:lang w:val="uk-UA" w:eastAsia="ru-RU"/>
        </w:rPr>
      </w:pPr>
      <w:r w:rsidRPr="00511005">
        <w:rPr>
          <w:rFonts w:ascii="Arial" w:eastAsia="Times New Roman" w:hAnsi="Arial" w:cs="Arial"/>
          <w:bCs/>
          <w:szCs w:val="28"/>
          <w:lang w:eastAsia="ru-RU"/>
        </w:rPr>
        <w:t>студентка 4-го курсу</w:t>
      </w:r>
    </w:p>
    <w:p w14:paraId="4B93AA5C" w14:textId="7897A3B3" w:rsidR="00220D3E" w:rsidRPr="00511005" w:rsidRDefault="00536AAB" w:rsidP="003A292D">
      <w:pPr>
        <w:tabs>
          <w:tab w:val="left" w:pos="709"/>
        </w:tabs>
        <w:spacing w:line="264" w:lineRule="auto"/>
        <w:jc w:val="center"/>
        <w:rPr>
          <w:rFonts w:ascii="Arial" w:eastAsia="Times New Roman" w:hAnsi="Arial" w:cs="Arial"/>
          <w:bCs/>
          <w:szCs w:val="28"/>
          <w:lang w:eastAsia="ru-RU"/>
        </w:rPr>
      </w:pPr>
      <w:r w:rsidRPr="00511005">
        <w:rPr>
          <w:rFonts w:ascii="Arial" w:eastAsia="Times New Roman" w:hAnsi="Arial" w:cs="Arial"/>
          <w:bCs/>
          <w:szCs w:val="28"/>
          <w:lang w:eastAsia="ru-RU"/>
        </w:rPr>
        <w:t>факультету адвокатури та антикорупційної діяльності</w:t>
      </w:r>
    </w:p>
    <w:p w14:paraId="7AFB7957" w14:textId="76B0784C" w:rsidR="00220D3E" w:rsidRPr="00511005" w:rsidRDefault="007B2628" w:rsidP="003A292D">
      <w:pPr>
        <w:tabs>
          <w:tab w:val="left" w:pos="709"/>
        </w:tabs>
        <w:spacing w:line="264" w:lineRule="auto"/>
        <w:jc w:val="center"/>
        <w:rPr>
          <w:rFonts w:ascii="Arial" w:eastAsia="Times New Roman" w:hAnsi="Arial" w:cs="Arial"/>
          <w:bCs/>
          <w:szCs w:val="28"/>
          <w:lang w:eastAsia="ru-RU"/>
        </w:rPr>
      </w:pPr>
      <w:r w:rsidRPr="00511005">
        <w:rPr>
          <w:rFonts w:ascii="Arial" w:eastAsia="Times New Roman" w:hAnsi="Arial" w:cs="Arial"/>
          <w:bCs/>
          <w:szCs w:val="28"/>
          <w:lang w:eastAsia="ru-RU"/>
        </w:rPr>
        <w:t>Національного університету «Одеська юридична академія»</w:t>
      </w:r>
    </w:p>
    <w:p w14:paraId="1C6AEA5B" w14:textId="77777777" w:rsidR="00220D3E" w:rsidRPr="00511005" w:rsidRDefault="00220D3E" w:rsidP="003A292D">
      <w:pPr>
        <w:tabs>
          <w:tab w:val="left" w:pos="709"/>
        </w:tabs>
        <w:spacing w:line="264" w:lineRule="auto"/>
        <w:jc w:val="center"/>
        <w:rPr>
          <w:rFonts w:ascii="Arial" w:eastAsia="Times New Roman" w:hAnsi="Arial" w:cs="Arial"/>
          <w:bCs/>
          <w:szCs w:val="28"/>
          <w:lang w:eastAsia="ru-RU"/>
        </w:rPr>
      </w:pPr>
    </w:p>
    <w:p w14:paraId="4CAD6054" w14:textId="77777777" w:rsidR="00220D3E" w:rsidRPr="00511005" w:rsidRDefault="00220D3E" w:rsidP="003A292D">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eastAsia="ru-RU"/>
        </w:rPr>
        <w:t>ПРОБЛЕМАТИКА МІЖНАРОДНО-ПРАВОВОГО РЕГУЛЮВАННЯ ВИКОРИСТАННЯ ЯДЕРНОЇ ЗБРОЇ</w:t>
      </w:r>
    </w:p>
    <w:p w14:paraId="325543F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Після Другої світової війни світове співтовариство переосмислило допустимість застосування ядерної зброї, з огляду на її катастрофічні наслідки для цивільного населення та навколишнього середовища. Хоча спершу її використання розцінювалось як морально неприйнятне, вже під час «холодної війни</w:t>
      </w:r>
      <w:r w:rsidRPr="00511005">
        <w:rPr>
          <w:rFonts w:ascii="Arial" w:eastAsia="Times New Roman" w:hAnsi="Arial" w:cs="Arial"/>
          <w:bCs/>
          <w:szCs w:val="28"/>
          <w:lang w:eastAsia="ru-RU"/>
        </w:rPr>
        <w:t>»</w:t>
      </w:r>
      <w:r w:rsidRPr="00511005">
        <w:rPr>
          <w:rFonts w:ascii="Arial" w:eastAsia="Times New Roman" w:hAnsi="Arial" w:cs="Arial"/>
          <w:szCs w:val="28"/>
          <w:lang w:eastAsia="ru-RU"/>
        </w:rPr>
        <w:t xml:space="preserve"> сформувалась доктрина обмеженого ядерного конфлікту, що породила серйозні міжнародні дискусії — зокрема, з юридичного та гуманітарного погляду.</w:t>
      </w:r>
    </w:p>
    <w:p w14:paraId="0C1E3A1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Незважаючи на відсутність спеціального договору, що прямо забороняв би застосування ядерної зброї, чинні норми міжнародного гуманітарного права — зокрема положення Женевських конвенцій, Гаазьких правил і звичаєве право — висувають низку принципів, які істотно обмежують її можливе використання. Серед них: заборона невибіркових атак, обов’язок мінімізувати шкоду цивільним, заборона надмірних страждань та довготривалої шкоди довкіллю.</w:t>
      </w:r>
    </w:p>
    <w:p w14:paraId="7EA6935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Втім, правова оцінка ускладнюється доктриною «військової необхідності</w:t>
      </w:r>
      <w:r w:rsidRPr="00511005">
        <w:rPr>
          <w:rFonts w:ascii="Arial" w:eastAsia="Times New Roman" w:hAnsi="Arial" w:cs="Arial"/>
          <w:bCs/>
          <w:szCs w:val="28"/>
          <w:lang w:eastAsia="ru-RU"/>
        </w:rPr>
        <w:t>»</w:t>
      </w:r>
      <w:r w:rsidRPr="00511005">
        <w:rPr>
          <w:rFonts w:ascii="Arial" w:eastAsia="Times New Roman" w:hAnsi="Arial" w:cs="Arial"/>
          <w:szCs w:val="28"/>
          <w:lang w:eastAsia="ru-RU"/>
        </w:rPr>
        <w:t>, яка в окремих випадках може слугувати виправданням навіть дій, що суперечать гуманітарним нормам. І хоча деякі юристи припускають можливість застосування ядерної зброї в межах права на самооборону, посилаючись на ст. 51 Статуту ООН, така точка зору є вкрай контроверсійною і не має широкої підтримки.</w:t>
      </w:r>
    </w:p>
    <w:p w14:paraId="577033E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Особливо гостро постає питання правомірності використання ядерної зброї за межами зони бойових дій, коли страждають нейтральні держави або порушуються базові принципи міжнародного права — у таких випадках ідеться вже не лише про порушення законів війни, а й про можливі злочини проти людяності.</w:t>
      </w:r>
    </w:p>
    <w:p w14:paraId="0684B62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Правова невизначеність також зумовлена відсутністю уніфікованого підходу: оцінка завжди залежить від конкретного контексту, цілей сторін та </w:t>
      </w:r>
      <w:r w:rsidRPr="00511005">
        <w:rPr>
          <w:rFonts w:ascii="Arial" w:eastAsia="Times New Roman" w:hAnsi="Arial" w:cs="Arial"/>
          <w:szCs w:val="28"/>
          <w:lang w:eastAsia="ru-RU"/>
        </w:rPr>
        <w:lastRenderedPageBreak/>
        <w:t>наслідків. Дослідження цього питання вимагає звернення до широкого кола джерел, а саме: міжнародних договорів, практики міжнародних судів і позицій впливових органів.</w:t>
      </w:r>
    </w:p>
    <w:p w14:paraId="2C4DED8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цьому контексті знаковим є консультативний висновок Міжнародного суду ООН 1996 року, який визнав застосування ядерної зброї, з формального боку, потенційно допустимим у ситуації крайньої самооборони, але водночас зазначив, що її фактичне використання, найімовірніше, порушує міжнародне гуманітарне право.</w:t>
      </w:r>
    </w:p>
    <w:p w14:paraId="449F618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правовий статус ядерної зброї залишається невизначеним. Відсутність прямої заборони поєднується з надзвичайними руйнівними наслідками, формуючи зону правової та моральної невизначеності. Це підкреслює нагальну потребу у створенні чітких міжнародно-правових механізмів, які б регулювали цю сферу, з метою запобігання потенційній ядерній ескалації та зміцнення глобальної безпеки.</w:t>
      </w:r>
    </w:p>
    <w:p w14:paraId="316DB5C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Також не втрачає актуальності питання, чи підпадає ядерна зброя під обмеження Женевського протоколу 1925 року, що забороняє використання отруйних речовин. Частина юристів виключає таку інтерпретацію, наголошуючи, що Протокол, який стосується лише хімічної та біологічної зброї. Інші, навпаки, стверджують, що радіоактивне забруднення за масштабами й наслідками може бути прирівняне до отруйних речовин, тож і підпадати під заборону [1]. Такий підхід набирає сили на тлі посилення екологічного чинника в питаннях глобальної безпеки.</w:t>
      </w:r>
    </w:p>
    <w:p w14:paraId="58E2D06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Консультативний висновок Міжнародного суду ООН 1996 </w:t>
      </w:r>
      <w:proofErr w:type="gramStart"/>
      <w:r w:rsidRPr="00511005">
        <w:rPr>
          <w:rFonts w:ascii="Arial" w:eastAsia="Times New Roman" w:hAnsi="Arial" w:cs="Arial"/>
          <w:szCs w:val="28"/>
          <w:lang w:eastAsia="ru-RU"/>
        </w:rPr>
        <w:t>року</w:t>
      </w:r>
      <w:proofErr w:type="gramEnd"/>
      <w:r w:rsidRPr="00511005">
        <w:rPr>
          <w:rFonts w:ascii="Arial" w:eastAsia="Times New Roman" w:hAnsi="Arial" w:cs="Arial"/>
          <w:szCs w:val="28"/>
          <w:lang w:eastAsia="ru-RU"/>
        </w:rPr>
        <w:t xml:space="preserve"> не дав остаточної відповіді щодо законності застосування ядерної зброї. Суд визнав, що пряма заборона її використання в міжнародному праві відсутня, однак водночас підкреслив її фактичну несумісність з принципами міжнародного гуманітарного права, зокрема через масову шкоду цивільним. Це спричинило ситуацію правового вакууму: формально застосування ядерної зброї не заборонене, але воно практично не узгоджується з нормами міжнародного гуманітарного права [2].</w:t>
      </w:r>
    </w:p>
    <w:p w14:paraId="1061119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Подібна невизначеність актуалізує потребу у новій правовій парадигмі, що охоплює створення чітких міжнародно-правових стандартів, ефективного контролю та відповідальності за можливе використання ядерної зброї. Особливої уваги заслуговує приклад України, яка після здобуття незалежності свідомо відмовилася від одного з найбільших ядерних арсеналів у світі. Цей крок був не лише політичним сигналом відданості глобальній безпеці, а й важливим актом формування національної ідентичності як держави, що прагне до мирного співіснування.</w:t>
      </w:r>
    </w:p>
    <w:p w14:paraId="76EC034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Після розпаду СРСР Україна отримала близько 5 тисяч ядерних боєзарядів і потужну стратегічну інфраструктуру. Однак замість утримання статусу ядерної держави, що міг би забезпечити тимчасову безпеку, Київ обрав шлях роззброєння — рішення, що формувалося під впливом як </w:t>
      </w:r>
      <w:r w:rsidRPr="00511005">
        <w:rPr>
          <w:rFonts w:ascii="Arial" w:eastAsia="Times New Roman" w:hAnsi="Arial" w:cs="Arial"/>
          <w:szCs w:val="28"/>
          <w:lang w:eastAsia="ru-RU"/>
        </w:rPr>
        <w:lastRenderedPageBreak/>
        <w:t>внутрішніх політичних процесів, так і міжнародного тиску. У цьому контексті Декларація про державний суверенітет 1990 року, яка забороняла розміщення ядерної зброї, стала основою мирної зовнішньополітичної орієнтації.</w:t>
      </w:r>
    </w:p>
    <w:p w14:paraId="5747851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Процес передачі зброї росії не був безпроблемним. Україна висловлювала сумніви щодо безпечності утилізації озброєнь, що й зумовило тимчасове призупинення передачі залишків арсеналу в 1993 році. Цей крок розглядався не лише як реакція на технічні труднощі, а й як засіб дипломатичного тиску. Попри зовнішній тиск, Україна прагнула досягти контролю над процесом роззброєння за участю міжнародних партнерів та забезпечити реальні гарантії безпеки, що пізніше стали предметом Будапештського меморандуму 1994 року [4].</w:t>
      </w:r>
    </w:p>
    <w:p w14:paraId="6DC91D8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цьому контексті Україна розглядала свій внесок у глобальне ядерне роззброєння як активну позицію, а не як слабкість. Саме тому вона вимагала чітких механізмів захисту без’ядерного статусу, що мало стати основою нової архітектури європейської безпеки. Таким чином, досвід України демонструє складність ядерного питання на перетині права, політики та стратегічної доцільності, підтверджуючи нагальну потребу у перегляді міжнародно-правових засад, здатних адекватно реагувати на виклики ядерної епохи.</w:t>
      </w:r>
    </w:p>
    <w:p w14:paraId="577E353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підсумку, відмова України від ядерної зброї була не лише політичним рішенням, а й виявом прагнення до національного суверенітету, міжнародної відповідальності та внеском у нову архітектуру безпеки після «холодної війни</w:t>
      </w:r>
      <w:r w:rsidRPr="00511005">
        <w:rPr>
          <w:rFonts w:ascii="Arial" w:eastAsia="Times New Roman" w:hAnsi="Arial" w:cs="Arial"/>
          <w:bCs/>
          <w:szCs w:val="28"/>
          <w:lang w:eastAsia="ru-RU"/>
        </w:rPr>
        <w:t>»</w:t>
      </w:r>
      <w:r w:rsidRPr="00511005">
        <w:rPr>
          <w:rFonts w:ascii="Arial" w:eastAsia="Times New Roman" w:hAnsi="Arial" w:cs="Arial"/>
          <w:szCs w:val="28"/>
          <w:lang w:eastAsia="ru-RU"/>
        </w:rPr>
        <w:t>.</w:t>
      </w:r>
    </w:p>
    <w:p w14:paraId="1FCC0D9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Внаслідок переговорів було підписано Лісабонський протокол до Договору СНО-1, який відкривав шлях до приєднання України до Договору про нерозповсюдження ядерної зброї (ДНЯЗ) як без’ядерної держави. Це рішення стало ключовим кроком у правовій інтеграції України в міжнародну систему безпеки [5]. Втім, ратифікація ДНЯЗ у Верховній Раді була тимчасово заморожена — через зміну політичного курсу США та невизначеність майбутніх гарантій безпеки.</w:t>
      </w:r>
    </w:p>
    <w:p w14:paraId="723243C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Переговори з росією виявили глибокі розбіжності: пропоновані гарантії не містили чітких зобов’язань щодо поваги до суверенітету, територіальної цілісності України та утримання від економічного тиску. Натомість США запропонували пакет політичних запевнень, що включав підтримку суверенітету України та дотримання міжнародного права.</w:t>
      </w:r>
    </w:p>
    <w:p w14:paraId="0D60098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Ратифікація СНО-1 стала можливою лише після внесення змін, які вимагали чітких гарантій безпеки, контролю над процесом утилізації озброєння та прозорості. У 1994 році на саміті ОБСЄ було підписано Будапештський меморандум — політичну угоду, в якій США, Велика Британія та росія підтвердили свої зобов’язання щодо недоторканності </w:t>
      </w:r>
      <w:r w:rsidRPr="00511005">
        <w:rPr>
          <w:rFonts w:ascii="Arial" w:eastAsia="Times New Roman" w:hAnsi="Arial" w:cs="Arial"/>
          <w:szCs w:val="28"/>
          <w:lang w:eastAsia="ru-RU"/>
        </w:rPr>
        <w:lastRenderedPageBreak/>
        <w:t>українських кордонів. Водночас меморандум не мав статусу міжнародного договору, що істотно знижувало його юридичну силу [6].</w:t>
      </w:r>
    </w:p>
    <w:p w14:paraId="385A7C3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Україна, попри наявні ризики, зуміла уникнути міжнародної ізоляції, заручившись підтримкою провідних держав. Її добровільна відмова від ядерної зброї стала важливою віхою </w:t>
      </w:r>
      <w:proofErr w:type="gramStart"/>
      <w:r w:rsidRPr="00511005">
        <w:rPr>
          <w:rFonts w:ascii="Arial" w:eastAsia="Times New Roman" w:hAnsi="Arial" w:cs="Arial"/>
          <w:szCs w:val="28"/>
          <w:lang w:eastAsia="ru-RU"/>
        </w:rPr>
        <w:t>на шляху</w:t>
      </w:r>
      <w:proofErr w:type="gramEnd"/>
      <w:r w:rsidRPr="00511005">
        <w:rPr>
          <w:rFonts w:ascii="Arial" w:eastAsia="Times New Roman" w:hAnsi="Arial" w:cs="Arial"/>
          <w:szCs w:val="28"/>
          <w:lang w:eastAsia="ru-RU"/>
        </w:rPr>
        <w:t xml:space="preserve"> до євроатлантичної інтеграції та сигналом про готовність сприяти глобальному роззброєнню.</w:t>
      </w:r>
    </w:p>
    <w:p w14:paraId="025B898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Проте анексія Криму та агресія росії у 2014 році кардинально змінили ситуацію. Виявилось, що міжнародні обіцянки безпеки, як-от Будапештський меморандум, не здатні стримувати державу-агресора. Порушення з боку рф поставило під сумнів ефективність подібних гарантій і загалом довіру до міжнародно-правових механізмів.</w:t>
      </w:r>
    </w:p>
    <w:p w14:paraId="0CB86B3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Подальше ускладнення безпекової картини спричинило ухвалення росією нової ядерної доктрини у 2020 році, яка істотно розширила умови допустимого застосування ядерної зброї. Формулювання документа дозволяють надто вільне трактування загроз, що відкриває простір для маніпуляцій ядерним потенціалом у конфліктах навіть звичайного масштабу.</w:t>
      </w:r>
    </w:p>
    <w:p w14:paraId="19F709E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контексті повномасштабної війни проти України, риторика Кремля щодо можливості застосування ядерної зброї перетворилася на інструмент тиску й шантажу, спрямований не лише на Україну, а й на західні демократії. Такі заяви — елемент психологічної війни, що виявляє прагнення Кремля використовувати ядерний фактор як геополітичний важіль.</w:t>
      </w:r>
    </w:p>
    <w:p w14:paraId="3543043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досвід України демонструє глибоку кризу довіри до існуючої архітектури безпеки. Крок, що колись символізував відданість миру, у нових умовах обернувся на вразливість. Відсутність ефективних механізмів притягнення до відповідальності за грубі порушення міжнародного права лише підсилює необхідність його глибинного переосмислення.</w:t>
      </w:r>
    </w:p>
    <w:p w14:paraId="6704F2B4"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43DFC13D" w14:textId="6390A62A" w:rsidR="00220D3E" w:rsidRPr="00511005" w:rsidRDefault="007B2628" w:rsidP="007B2628">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7A051B3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Cs/>
          <w:szCs w:val="28"/>
          <w:lang w:eastAsia="ru-RU"/>
        </w:rPr>
        <w:t xml:space="preserve">1. </w:t>
      </w:r>
      <w:r w:rsidRPr="00511005">
        <w:rPr>
          <w:rFonts w:ascii="Arial" w:eastAsia="Times New Roman" w:hAnsi="Arial" w:cs="Arial"/>
          <w:szCs w:val="28"/>
          <w:lang w:eastAsia="ru-RU"/>
        </w:rPr>
        <w:t xml:space="preserve">Женевський протокол про заборону застосування на війні задушливих, отруйних або інших подібних газів та бактеріологічних засобів, багатосторонній міжнародний договір, підписаний 17.06.1925. URL: </w:t>
      </w:r>
      <w:hyperlink r:id="rId718" w:history="1">
        <w:r w:rsidRPr="00511005">
          <w:rPr>
            <w:rFonts w:ascii="Arial" w:eastAsia="Times New Roman" w:hAnsi="Arial" w:cs="Arial"/>
            <w:szCs w:val="28"/>
            <w:lang w:eastAsia="ru-RU"/>
          </w:rPr>
          <w:t>https://zakononline.com.ua/documents/show/141100___141100</w:t>
        </w:r>
      </w:hyperlink>
      <w:r w:rsidRPr="00511005">
        <w:rPr>
          <w:rFonts w:ascii="Arial" w:eastAsia="Times New Roman" w:hAnsi="Arial" w:cs="Arial"/>
          <w:szCs w:val="28"/>
          <w:lang w:eastAsia="ru-RU"/>
        </w:rPr>
        <w:t xml:space="preserve"> </w:t>
      </w:r>
    </w:p>
    <w:p w14:paraId="30F24049"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2. Консультативний висновок Міжнародного Суду ООН з питань законності використання або загрози використання ядерної зброї у 1996 році.</w:t>
      </w:r>
    </w:p>
    <w:p w14:paraId="5898FD9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3. Декларації про Державний суверенітет України від 16.07.1990. Відомості Верховної Ради УРСР (ВВР), 1990, № 31, ст.429.</w:t>
      </w:r>
    </w:p>
    <w:p w14:paraId="00469315" w14:textId="77777777" w:rsidR="00220D3E" w:rsidRPr="00511005" w:rsidRDefault="00220D3E" w:rsidP="003A292D">
      <w:pPr>
        <w:tabs>
          <w:tab w:val="left" w:pos="709"/>
        </w:tabs>
        <w:spacing w:line="264" w:lineRule="auto"/>
        <w:rPr>
          <w:rFonts w:ascii="Arial" w:eastAsia="Times New Roman" w:hAnsi="Arial" w:cs="Arial"/>
          <w:bCs/>
          <w:szCs w:val="28"/>
          <w:lang w:eastAsia="ru-RU"/>
        </w:rPr>
      </w:pPr>
      <w:r w:rsidRPr="00511005">
        <w:rPr>
          <w:rFonts w:ascii="Arial" w:eastAsia="Times New Roman" w:hAnsi="Arial" w:cs="Arial"/>
          <w:szCs w:val="28"/>
          <w:lang w:eastAsia="ru-RU"/>
        </w:rPr>
        <w:t xml:space="preserve">4. Договір між Союзом Радянських Соціалістичних Республік і Сполученими Штатами Америки про скорочення й обмеження стратегічних </w:t>
      </w:r>
      <w:r w:rsidRPr="00511005">
        <w:rPr>
          <w:rFonts w:ascii="Arial" w:eastAsia="Times New Roman" w:hAnsi="Arial" w:cs="Arial"/>
          <w:szCs w:val="28"/>
          <w:lang w:eastAsia="ru-RU"/>
        </w:rPr>
        <w:lastRenderedPageBreak/>
        <w:t xml:space="preserve">наступальних озброєнь 1991 року. – URL: </w:t>
      </w:r>
      <w:hyperlink r:id="rId719" w:anchor="Text" w:history="1">
        <w:r w:rsidRPr="00511005">
          <w:rPr>
            <w:rFonts w:ascii="Arial" w:eastAsia="Times New Roman" w:hAnsi="Arial" w:cs="Arial"/>
            <w:szCs w:val="28"/>
            <w:lang w:eastAsia="ru-RU"/>
          </w:rPr>
          <w:t>https://zakon.rada.gov.ua/laws/show/840_050#Text</w:t>
        </w:r>
      </w:hyperlink>
      <w:r w:rsidRPr="00511005">
        <w:rPr>
          <w:rFonts w:ascii="Arial" w:eastAsia="Times New Roman" w:hAnsi="Arial" w:cs="Arial"/>
          <w:szCs w:val="28"/>
          <w:lang w:eastAsia="ru-RU"/>
        </w:rPr>
        <w:t xml:space="preserve"> </w:t>
      </w:r>
    </w:p>
    <w:p w14:paraId="2E8549B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5. Договір про нерозповсюдження ядерної зброї від 1 липня 1968 року. URL: </w:t>
      </w:r>
      <w:hyperlink r:id="rId720" w:anchor="Text" w:history="1">
        <w:r w:rsidRPr="00511005">
          <w:rPr>
            <w:rFonts w:ascii="Arial" w:eastAsia="Times New Roman" w:hAnsi="Arial" w:cs="Arial"/>
            <w:szCs w:val="28"/>
            <w:lang w:eastAsia="ru-RU"/>
          </w:rPr>
          <w:t>https://zakon.rada.gov.ua/laws/show/995_098#Text</w:t>
        </w:r>
      </w:hyperlink>
    </w:p>
    <w:p w14:paraId="4A690CE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6. Меморандум про гарантії безпеки у звʼязку з приєднанням України до Договору про нерозповсюдження ядерної зброї. URL: </w:t>
      </w:r>
      <w:hyperlink r:id="rId721" w:anchor="Text" w:history="1">
        <w:r w:rsidRPr="00511005">
          <w:rPr>
            <w:rFonts w:ascii="Arial" w:eastAsia="Times New Roman" w:hAnsi="Arial" w:cs="Arial"/>
            <w:szCs w:val="28"/>
            <w:lang w:eastAsia="ru-RU"/>
          </w:rPr>
          <w:t>https://zakon.rada.gov.ua/laws/show/998_158#Text</w:t>
        </w:r>
      </w:hyperlink>
    </w:p>
    <w:p w14:paraId="3B21D177"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1B6D9541" w14:textId="060227CB"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szCs w:val="28"/>
          <w:lang w:eastAsia="ru-RU"/>
        </w:rPr>
        <w:t>Ядерна зброя, правовий статус, міжнародне публічне право, доктрина «військової необхідності», ядерна держава, Консультативний висновок Міжнародного суду ООН, Будапештський меморандум, геополітичний важіль.</w:t>
      </w:r>
    </w:p>
    <w:p w14:paraId="56039BFB" w14:textId="6CF7A3E5"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szCs w:val="28"/>
          <w:lang w:val="en-US" w:eastAsia="ru-RU"/>
        </w:rPr>
        <w:t>Nuclear weapons, legal status, public international law, doctrine of «military necessity», nuclear state, Advisory Opinion of the International Court of Justice, Budapest Memorandum, geopolitical leverage.</w:t>
      </w:r>
    </w:p>
    <w:p w14:paraId="6383BCF4" w14:textId="6D1D5058"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220D3E" w:rsidRPr="00511005">
        <w:rPr>
          <w:rFonts w:ascii="Arial" w:eastAsia="Times New Roman" w:hAnsi="Arial" w:cs="Arial"/>
          <w:i/>
          <w:szCs w:val="28"/>
          <w:lang w:eastAsia="ru-RU"/>
        </w:rPr>
        <w:t>к.ю.н., доцент</w:t>
      </w:r>
      <w:r w:rsidRPr="00511005">
        <w:rPr>
          <w:rFonts w:ascii="Arial" w:eastAsia="Times New Roman" w:hAnsi="Arial" w:cs="Arial"/>
          <w:i/>
          <w:szCs w:val="28"/>
          <w:lang w:eastAsia="ru-RU"/>
        </w:rPr>
        <w:t xml:space="preserve"> </w:t>
      </w:r>
      <w:r w:rsidR="00220D3E" w:rsidRPr="00511005">
        <w:rPr>
          <w:rFonts w:ascii="Arial" w:eastAsia="Times New Roman" w:hAnsi="Arial" w:cs="Arial"/>
          <w:i/>
          <w:szCs w:val="28"/>
          <w:lang w:eastAsia="ru-RU"/>
        </w:rPr>
        <w:t>Мануїлова К.В.</w:t>
      </w:r>
    </w:p>
    <w:p w14:paraId="4FF4D580" w14:textId="77777777" w:rsidR="00220D3E" w:rsidRPr="00511005" w:rsidRDefault="00220D3E" w:rsidP="003A292D">
      <w:pPr>
        <w:tabs>
          <w:tab w:val="left" w:pos="709"/>
        </w:tabs>
        <w:spacing w:line="264" w:lineRule="auto"/>
        <w:rPr>
          <w:rFonts w:ascii="Arial" w:eastAsia="Times New Roman" w:hAnsi="Arial" w:cs="Arial"/>
          <w:i/>
          <w:szCs w:val="28"/>
          <w:lang w:val="uk-UA" w:eastAsia="ru-RU"/>
        </w:rPr>
      </w:pPr>
    </w:p>
    <w:p w14:paraId="7EAF68D0" w14:textId="77777777" w:rsidR="00220D3E" w:rsidRPr="00511005" w:rsidRDefault="00220D3E" w:rsidP="003A292D">
      <w:pPr>
        <w:tabs>
          <w:tab w:val="left" w:pos="709"/>
        </w:tabs>
        <w:spacing w:line="264" w:lineRule="auto"/>
        <w:jc w:val="center"/>
        <w:rPr>
          <w:rFonts w:ascii="Arial" w:eastAsia="Times New Roman" w:hAnsi="Arial" w:cs="Arial"/>
          <w:b/>
          <w:i/>
          <w:szCs w:val="28"/>
          <w:lang w:eastAsia="ru-RU"/>
        </w:rPr>
      </w:pPr>
      <w:r w:rsidRPr="00511005">
        <w:rPr>
          <w:rFonts w:ascii="Arial" w:eastAsia="Times New Roman" w:hAnsi="Arial" w:cs="Arial"/>
          <w:b/>
          <w:i/>
          <w:szCs w:val="28"/>
          <w:lang w:eastAsia="ru-RU"/>
        </w:rPr>
        <w:t>Філіппова Катерина Олександрівна</w:t>
      </w:r>
    </w:p>
    <w:p w14:paraId="2A54E12F" w14:textId="20D62724"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154F9807" w14:textId="12EBB756"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987F0C1" w14:textId="77777777" w:rsidR="00220D3E" w:rsidRPr="00511005" w:rsidRDefault="00220D3E" w:rsidP="003A292D">
      <w:pPr>
        <w:tabs>
          <w:tab w:val="left" w:pos="709"/>
        </w:tabs>
        <w:spacing w:line="264" w:lineRule="auto"/>
        <w:rPr>
          <w:rFonts w:ascii="Arial" w:eastAsia="Times New Roman" w:hAnsi="Arial" w:cs="Arial"/>
          <w:b/>
          <w:szCs w:val="28"/>
          <w:lang w:eastAsia="ru-RU"/>
        </w:rPr>
      </w:pPr>
    </w:p>
    <w:p w14:paraId="5F2BD608" w14:textId="77777777" w:rsidR="00220D3E" w:rsidRPr="00511005" w:rsidRDefault="00220D3E" w:rsidP="003A292D">
      <w:pPr>
        <w:tabs>
          <w:tab w:val="left" w:pos="709"/>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eastAsia="ru-RU"/>
        </w:rPr>
        <w:t>М</w:t>
      </w:r>
      <w:r w:rsidRPr="00511005">
        <w:rPr>
          <w:rFonts w:ascii="Arial" w:eastAsia="Times New Roman" w:hAnsi="Arial" w:cs="Arial"/>
          <w:b/>
          <w:szCs w:val="28"/>
          <w:lang w:val="uk-UA" w:eastAsia="ru-RU"/>
        </w:rPr>
        <w:t>ІЖНАРОДНО-ПРАВОВИЙ СТАТУС ВИМУШЕНО ПЕРЕМІЩЕНИХ ОСІБ В МІЖНАРОДНОМУ ПРАВІ</w:t>
      </w:r>
    </w:p>
    <w:p w14:paraId="2FBEDA68" w14:textId="70154728"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Внутрішньо переміщені особи – це індивіди чи групи людей, котрі змушені покинути свої домівки чи місця проживання, аби уникнути наслідків збройного конфлікту, масового насильства, порушень прав людини або природних чи антропогенних лих, при цьому не перетинаючи кордони, визнанні міжнародним правом </w:t>
      </w: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Щоб зрозуміти, як працює система захисту прав внутрішньо переміщених осіб, необхідно чітко визначити їхнє місце в міжнародно-правових відносинах та розрізняти їх від біженців. Хоча ці два терміни мають спільні риси, між ними існує важлива різниця, яка визначає їх як окрему категорію осіб у міжнародному праві. Біженець — це людина, котра вимушена покинути свою країну через деякі умови (перетнувши міжнародно визнаний рубіж). Натомість внутрішньо переміщена особа, з подібних причин (хоча можуть бути й певні відмінності), залишає своє житло, але залишається в межах своєї країни, отже, підпадає під її юрисдикцію та захист.</w:t>
      </w:r>
    </w:p>
    <w:p w14:paraId="47CD980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сучасних умовах глобалізації та посилення транскордонної мобільності населення спостерігається зростання масштабів використання міграційних процесів у злочинних фінансових схемах, зокрема з метою легалізації (відмивання) доходів, одержаних злочинним шляхом. Особливої актуальності набуває практика залучення до таких схем осіб, які </w:t>
      </w:r>
      <w:r w:rsidRPr="00511005">
        <w:rPr>
          <w:rFonts w:ascii="Arial" w:eastAsia="Times New Roman" w:hAnsi="Arial" w:cs="Arial"/>
          <w:szCs w:val="28"/>
          <w:lang w:val="uk-UA" w:eastAsia="ru-RU"/>
        </w:rPr>
        <w:lastRenderedPageBreak/>
        <w:t>перебувають у вразливому становищі – біженців, шукачів притулку, нелегальних мігрантів та осіб без громадянства. Вони використовуються як інструменти для маскування джерел і напрямків переміщення незаконних коштів, що суттєво ускладнює виявлення таких операцій як на національному, так і на міжнародному рівнях</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3</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354E32F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Внутрішньо переміщені особи мають право на захист з боку своєї держави. Хоча немає окремого міжнародно-правового акту, що регулює права цієї категорії, механізм їх захисту ґрунтується на застосуванні норм універсальних і спеціальних міжнародних угод, які визначають правові та процедурні аспекти забезпечення їхніх прав[2]. З огляду на масштабність вимушеного внутрішнього переміщення, на міжнародному рівні було розроблено ряд спеціалізованих актів, які спрямовані на захист прав і свобод цієї категорії осіб як на регіональному, так і на рівні ООН.</w:t>
      </w:r>
    </w:p>
    <w:p w14:paraId="1406E3B6"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Основними міжнародними організаціями, які займаються питаннями внутрішньо переміщених осіб (ВПО), є: ООН, ОБСЄ, ПАРЄ, Міжнародний комітет Червоного Хреста та Червоного Півмісяця, Німецьке товариство міжнародної співпраці, Африканська Рада із захисту ВПО на Африканському континенті, а також проекти Ради Європи, такі як "Посилення захисту прав людини ВПО в Україні" (2015–2017) та "Внутрішнє переміщення в Україні: розробка тривалих рішень" (2018–2020) та інші.</w:t>
      </w:r>
    </w:p>
    <w:p w14:paraId="675A81C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Основними міжнародними документами, які охоплюють захист прав людини в цілому та прав внутрішньо переміщених осіб зокрема, є наступні акти ООН: Загальна декларація прав людини (1948), Декларація прав дитини (1959), Міжнародний пакт про громадянські та політичні права (1966) та Міжнародний пакт про економічні, соціальні і культурні права (1966). До цього переліку слід також додати Конвенцію про статус біженців 1951 року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4</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та Протокол щодо статусу біженців 1967 року [5]. Ці документи регулюють питання статусу біженців, і багато процесуальних аспектів захисту прав біженців можуть бути застосовані аналогічно до внутрішньо переміщених осіб. </w:t>
      </w:r>
      <w:r w:rsidRPr="00511005">
        <w:rPr>
          <w:rFonts w:ascii="Arial" w:eastAsia="Times New Roman" w:hAnsi="Arial" w:cs="Arial"/>
          <w:szCs w:val="28"/>
          <w:lang w:eastAsia="ru-RU"/>
        </w:rPr>
        <w:t>Значну роль у забезпеченні прав внутрішньо переміщених осіб відіграють Женевські конвенції 1949 року та Додаткові протоколи до них 1977 року</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 Ці документи є основними міжнародно-правовими актами в сфері міжнародного гуманітарного права. Цілком логічно, що система захисту прав внутрішньо переміщених осіб базується на нормах міжнародного гуманітарного права, оскільки цей статус найчастіше виникає в умовах збройних конфліктів або схожих ситуацій, які регулюються саме цими нормами.</w:t>
      </w:r>
    </w:p>
    <w:p w14:paraId="16308B4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Серед особливих міжнародних документів, що визначають статус внутрішньо переміщених осіб, слід відзначити Керівні принципи з питань переміщення осіб усередині країни, ухвалені 1998 року. Незважаючи на їхню необов'язковість, ці Керівні принципи базуються на нормах загальних міжнародних договорів та роз'яснюють їхні положення з урахуванням </w:t>
      </w:r>
      <w:r w:rsidRPr="00511005">
        <w:rPr>
          <w:rFonts w:ascii="Arial" w:eastAsia="Times New Roman" w:hAnsi="Arial" w:cs="Arial"/>
          <w:szCs w:val="28"/>
          <w:lang w:val="uk-UA" w:eastAsia="ru-RU"/>
        </w:rPr>
        <w:lastRenderedPageBreak/>
        <w:t xml:space="preserve">особливих потреб внутрішньо переміщених осіб. Зазначений документ являє собою авторитетне формулювання стандартів, яких зобов'язані дотримуватися уряди держав та інші організації, включаючи Управління Верховного комісара ООН у справах біженців, реагуючи на складні обставини, в яких опиняються внутрішньо переміщені особи. Ба більше, Рада ООН з прав людини та Генеральна асамблея ООН визнали Керівні принципи важливою міжнародною правовою базою для забезпечення прав внутрішньо переміщених осіб. Основна мета Керівних принципів полягає в тому, щоб оберігати внутрішньо переміщених осіб від примусового переселення, підтримувати їх у процесі переміщення та створювати умови для їхнього безпечного повернення або облаштування на новому місці. До того ж, у них чітко визначені гарантії, які мають бути забезпечені на кожному етапі цього процесу </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w:t>
      </w:r>
    </w:p>
    <w:p w14:paraId="5F5BE52E"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Згідно з Керівними принципами, головне завдання щодо гарантування захисту та надання гуманітарної допомоги внутрішньо переміщеним особам покладається на національні уряди. Особливу увагу слід приділяти потребам найбільш вразливих груп, таких як діти, вагітні жінки та особи похилого віку. Влада повинна також сприяти збереженню сімейних зв'язків і пошуку зниклих родичів.</w:t>
      </w:r>
    </w:p>
    <w:p w14:paraId="6373ED00"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Категорія вимушено переміщених осіб займає особливе місце в сучасній системі захисту прав людини. У світлі зростання кількості збройних конфліктів, екологічних криз та політичної нестабільності проблема внутрішнього переміщення населення набуває глобального характеру. Хоч існує ряд нормативних актів, що стосуються вимушено переміщених осіб, міжнародне право все ще не забезпечує достатнього рівня зобов’язань для держав у гарантуванні прав ВПО. </w:t>
      </w:r>
    </w:p>
    <w:p w14:paraId="71580A4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міжнародно-правовий захист внутрішньо переміщених осіб вимагає не лише юридичних вдосконалень, а й політичної волі для реального впровадження принципів гуманізму та забезпечення основних прав людини.</w:t>
      </w:r>
    </w:p>
    <w:p w14:paraId="598FAB4C"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77AB6A88"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0622E124" w14:textId="19C2F655" w:rsidR="00220D3E" w:rsidRPr="00511005" w:rsidRDefault="007B2628" w:rsidP="007B2628">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Список використаних джерел</w:t>
      </w:r>
    </w:p>
    <w:p w14:paraId="0323CDC4" w14:textId="77777777" w:rsidR="00220D3E" w:rsidRPr="00511005" w:rsidRDefault="00220D3E" w:rsidP="003F6A5D">
      <w:pPr>
        <w:numPr>
          <w:ilvl w:val="0"/>
          <w:numId w:val="15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Міжнародне публічне право : навч.-метод. посіб. для здобувачів першого (бакалавр.) рівня вищ. осв. галузі знань 08, спец. 081 «Право» та галузі знань 29, спец. 293 «Міжнародне право» / К. В. Мануїлова, О. О. Бєлогубова, М. В. Грушко, О. К. Канєнберг-Сандул, Е. Е. Кузьмін, Ю. Ф. Цуркан-Сайфуліна, А. С. Бугаєць; Нац. ун-т «Одеська юрид. академія». – Одеса : Фенікс, 2024. – с.86.</w:t>
      </w:r>
    </w:p>
    <w:p w14:paraId="0F9987B6" w14:textId="77777777" w:rsidR="00220D3E" w:rsidRPr="00511005" w:rsidRDefault="00220D3E" w:rsidP="003F6A5D">
      <w:pPr>
        <w:numPr>
          <w:ilvl w:val="0"/>
          <w:numId w:val="15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Войціховський А. В. Особливості міжнародно-правового статусу внутрішньо переміщених осіб Міжнар. наук.-практ. конф. (27 жовтня 2023 р.). Запоріжжя-Львів-Одеса-Ужгород-Харків-Чернівці, 2023. Т. 1. С.71-75.</w:t>
      </w:r>
    </w:p>
    <w:p w14:paraId="0FF80ABE" w14:textId="77777777" w:rsidR="00220D3E" w:rsidRPr="00511005" w:rsidRDefault="00220D3E" w:rsidP="003F6A5D">
      <w:pPr>
        <w:numPr>
          <w:ilvl w:val="0"/>
          <w:numId w:val="15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Бехруз Х.Н., Грушко М.В. Міграція як інструмент відмивання доходів, одержаних злочинним шляхом: міжнародно-правовий аспект. Юридичний науковий електронний журнал №1, 2025. С-705-707. </w:t>
      </w:r>
    </w:p>
    <w:p w14:paraId="39C0D94A" w14:textId="77777777" w:rsidR="00220D3E" w:rsidRPr="00511005" w:rsidRDefault="00220D3E" w:rsidP="003F6A5D">
      <w:pPr>
        <w:numPr>
          <w:ilvl w:val="0"/>
          <w:numId w:val="15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Конвенція про статус біженців </w:t>
      </w:r>
      <w:r w:rsidRPr="00511005">
        <w:rPr>
          <w:rFonts w:ascii="Arial" w:eastAsia="Calibri" w:hAnsi="Arial" w:cs="Arial"/>
          <w:szCs w:val="28"/>
        </w:rPr>
        <w:t xml:space="preserve">URL </w:t>
      </w:r>
      <w:hyperlink r:id="rId722" w:anchor="Text" w:history="1">
        <w:r w:rsidRPr="00511005">
          <w:rPr>
            <w:rFonts w:ascii="Arial" w:eastAsia="Calibri" w:hAnsi="Arial" w:cs="Arial"/>
            <w:szCs w:val="28"/>
          </w:rPr>
          <w:t>https://zakon.rada.gov.ua/laws/show/995_011#Text</w:t>
        </w:r>
      </w:hyperlink>
    </w:p>
    <w:p w14:paraId="365CC38D" w14:textId="77777777" w:rsidR="00220D3E" w:rsidRPr="00511005" w:rsidRDefault="00220D3E" w:rsidP="003F6A5D">
      <w:pPr>
        <w:numPr>
          <w:ilvl w:val="0"/>
          <w:numId w:val="15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Протокол щодо статусу біженців </w:t>
      </w:r>
      <w:r w:rsidRPr="00511005">
        <w:rPr>
          <w:rFonts w:ascii="Arial" w:eastAsia="Calibri" w:hAnsi="Arial" w:cs="Arial"/>
          <w:szCs w:val="28"/>
        </w:rPr>
        <w:t xml:space="preserve">URL </w:t>
      </w:r>
      <w:hyperlink r:id="rId723" w:anchor="Text" w:history="1">
        <w:r w:rsidRPr="00511005">
          <w:rPr>
            <w:rFonts w:ascii="Arial" w:eastAsia="Calibri" w:hAnsi="Arial" w:cs="Arial"/>
            <w:szCs w:val="28"/>
          </w:rPr>
          <w:t>https://zakon.rada.gov.ua/laws/show/995_363#Text</w:t>
        </w:r>
      </w:hyperlink>
    </w:p>
    <w:p w14:paraId="1FC6BFA2" w14:textId="45E6D49F"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внутрішньо-переміщені особи, захист прав людини, гуманітарна допомога, міжнародні організації, декларація.</w:t>
      </w:r>
    </w:p>
    <w:p w14:paraId="26B2614D" w14:textId="5597177E" w:rsidR="00220D3E" w:rsidRPr="00511005" w:rsidRDefault="007B2628" w:rsidP="003A292D">
      <w:pPr>
        <w:tabs>
          <w:tab w:val="left" w:pos="709"/>
        </w:tabs>
        <w:spacing w:line="264" w:lineRule="auto"/>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 Грушко М.В.</w:t>
      </w:r>
    </w:p>
    <w:p w14:paraId="244B8A56" w14:textId="77777777" w:rsidR="00220D3E" w:rsidRPr="00511005" w:rsidRDefault="00220D3E" w:rsidP="003A292D">
      <w:pPr>
        <w:tabs>
          <w:tab w:val="left" w:pos="709"/>
        </w:tabs>
        <w:spacing w:line="264" w:lineRule="auto"/>
        <w:jc w:val="center"/>
        <w:rPr>
          <w:rFonts w:ascii="Arial" w:eastAsia="Times New Roman" w:hAnsi="Arial" w:cs="Arial"/>
          <w:i/>
          <w:szCs w:val="28"/>
          <w:lang w:eastAsia="ru-RU"/>
        </w:rPr>
      </w:pPr>
    </w:p>
    <w:p w14:paraId="0106C409" w14:textId="77777777" w:rsidR="00220D3E" w:rsidRPr="00511005" w:rsidRDefault="00220D3E" w:rsidP="003A292D">
      <w:pPr>
        <w:tabs>
          <w:tab w:val="left" w:pos="709"/>
        </w:tabs>
        <w:spacing w:line="264" w:lineRule="auto"/>
        <w:ind w:firstLine="0"/>
        <w:jc w:val="center"/>
        <w:rPr>
          <w:rFonts w:ascii="Arial" w:eastAsia="Times New Roman" w:hAnsi="Arial" w:cs="Arial"/>
          <w:b/>
          <w:bCs/>
          <w:i/>
          <w:szCs w:val="28"/>
          <w:lang w:val="uk-UA" w:eastAsia="ru-RU"/>
        </w:rPr>
      </w:pPr>
      <w:r w:rsidRPr="00511005">
        <w:rPr>
          <w:rFonts w:ascii="Arial" w:eastAsia="Times New Roman" w:hAnsi="Arial" w:cs="Arial"/>
          <w:b/>
          <w:bCs/>
          <w:i/>
          <w:szCs w:val="28"/>
          <w:lang w:val="uk-UA" w:eastAsia="ru-RU"/>
        </w:rPr>
        <w:t>Цимбалюк Дар’я Іванівна</w:t>
      </w:r>
    </w:p>
    <w:p w14:paraId="13B66942" w14:textId="3B3C6B39"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57F0CECF"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C3AC021"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8BCD9B8"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val="uk-UA" w:eastAsia="ru-RU"/>
        </w:rPr>
      </w:pPr>
    </w:p>
    <w:p w14:paraId="0FF94163"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eastAsia="ru-RU"/>
        </w:rPr>
        <w:t>ПРЯМЕ ЗАСТОСУВАННЯ ТА ПРЯМА ДІЯ ПРАВ</w:t>
      </w:r>
      <w:r w:rsidRPr="00511005">
        <w:rPr>
          <w:rFonts w:ascii="Arial" w:eastAsia="Times New Roman" w:hAnsi="Arial" w:cs="Arial"/>
          <w:b/>
          <w:bCs/>
          <w:szCs w:val="28"/>
          <w:lang w:val="uk-UA" w:eastAsia="ru-RU"/>
        </w:rPr>
        <w:t>А</w:t>
      </w:r>
      <w:r w:rsidRPr="00511005">
        <w:rPr>
          <w:rFonts w:ascii="Arial" w:eastAsia="Times New Roman" w:hAnsi="Arial" w:cs="Arial"/>
          <w:b/>
          <w:bCs/>
          <w:szCs w:val="28"/>
          <w:lang w:eastAsia="ru-RU"/>
        </w:rPr>
        <w:t xml:space="preserve"> ЄС</w:t>
      </w:r>
    </w:p>
    <w:p w14:paraId="684E28C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Європейський Союз є унікальним наднаціональним утворенням,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якого держави-члени передали частину свого суверенітету інституціям ЄС. Система права ЄС має специфічні риси, що відрізняють її від традиційного міжнародного права. Однією з ключових особливостей права ЄС є його здатність справляти прямий вплив на правовий порядок держав-членів. Це відбувається завдяки таким феноменам, як </w:t>
      </w:r>
      <w:r w:rsidRPr="00511005">
        <w:rPr>
          <w:rFonts w:ascii="Arial" w:eastAsia="Times New Roman" w:hAnsi="Arial" w:cs="Arial"/>
          <w:i/>
          <w:iCs/>
          <w:szCs w:val="28"/>
          <w:lang w:eastAsia="ru-RU"/>
        </w:rPr>
        <w:t xml:space="preserve">пряме застосування (direct </w:t>
      </w:r>
      <w:proofErr w:type="gramStart"/>
      <w:r w:rsidRPr="00511005">
        <w:rPr>
          <w:rFonts w:ascii="Arial" w:eastAsia="Times New Roman" w:hAnsi="Arial" w:cs="Arial"/>
          <w:i/>
          <w:iCs/>
          <w:szCs w:val="28"/>
          <w:lang w:eastAsia="ru-RU"/>
        </w:rPr>
        <w:t>applicability)</w:t>
      </w:r>
      <w:r w:rsidRPr="00511005">
        <w:rPr>
          <w:rFonts w:ascii="Arial" w:eastAsia="Times New Roman" w:hAnsi="Arial" w:cs="Arial"/>
          <w:i/>
          <w:iCs/>
          <w:szCs w:val="28"/>
          <w:lang w:val="uk-UA" w:eastAsia="ru-RU"/>
        </w:rPr>
        <w:t>та</w:t>
      </w:r>
      <w:proofErr w:type="gramEnd"/>
      <w:r w:rsidRPr="00511005">
        <w:rPr>
          <w:rFonts w:ascii="Arial" w:eastAsia="Times New Roman" w:hAnsi="Arial" w:cs="Arial"/>
          <w:i/>
          <w:iCs/>
          <w:szCs w:val="28"/>
          <w:lang w:val="uk-UA" w:eastAsia="ru-RU"/>
        </w:rPr>
        <w:t xml:space="preserve"> п</w:t>
      </w:r>
      <w:r w:rsidRPr="00511005">
        <w:rPr>
          <w:rFonts w:ascii="Arial" w:eastAsia="Times New Roman" w:hAnsi="Arial" w:cs="Arial"/>
          <w:i/>
          <w:iCs/>
          <w:szCs w:val="28"/>
          <w:lang w:eastAsia="ru-RU"/>
        </w:rPr>
        <w:t>ряма дія (direct effect).</w:t>
      </w:r>
      <w:r w:rsidRPr="00511005">
        <w:rPr>
          <w:rFonts w:ascii="Arial" w:eastAsia="Times New Roman" w:hAnsi="Arial" w:cs="Arial"/>
          <w:szCs w:val="28"/>
          <w:lang w:eastAsia="ru-RU"/>
        </w:rPr>
        <w:t xml:space="preserve"> У світлі поглиблення європейської інтеграції, а також дискусій щодо перспектив та наслідків приєднання інших держав (у тому числі України) до єдиного ринку, питання про природу та механізми впливу права ЄС не втрачає своєї важливості.</w:t>
      </w:r>
    </w:p>
    <w:p w14:paraId="197EAAB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Перш за все, слід відмітити, що серед вчених не існує консенсусу щодо визначення та розходження таких понять, як «пряма дія права ЄС» та «пряме застосування права ЄС». В українській науковій літературі ці терміни зазвичай вживаються як взаємозамінні. У міжнародній науковій спільноті ці поняття частіше розглядаються окремо. Зокрема, термін «пряме застосування» вживається для опису норм, які можуть використовуватись без додаткових національно-правових заходів їх імплементації. Прикладом може служити регламент ЄС, положення якого застосовуються безпосередньо та забороняється впровадження будь-яких механізмів їх </w:t>
      </w:r>
      <w:proofErr w:type="gramStart"/>
      <w:r w:rsidRPr="00511005">
        <w:rPr>
          <w:rFonts w:ascii="Arial" w:eastAsia="Times New Roman" w:hAnsi="Arial" w:cs="Arial"/>
          <w:szCs w:val="28"/>
          <w:lang w:eastAsia="ru-RU"/>
        </w:rPr>
        <w:t>імплементації[</w:t>
      </w:r>
      <w:proofErr w:type="gramEnd"/>
      <w:r w:rsidRPr="00511005">
        <w:rPr>
          <w:rFonts w:ascii="Arial" w:eastAsia="Times New Roman" w:hAnsi="Arial" w:cs="Arial"/>
          <w:szCs w:val="28"/>
          <w:lang w:eastAsia="ru-RU"/>
        </w:rPr>
        <w:t xml:space="preserve">1,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 59-60]. Водночас, рішення Суду ЄС про можливість прямої дії директив у певних умовах зменшує значимість відмінностей між цими поняттями. Так, положення правового акта може мати пряме застосування без обов’язкової прямої дії та навпаки.</w:t>
      </w:r>
    </w:p>
    <w:p w14:paraId="2B67FB3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В цьому аспекті варто звернути увагу на аргументи П.-Я. Куйпера, який у своєму дослідженні прямої дії міжнародно-правових норм зазначає, що їх застосування залежить від кількох ключових </w:t>
      </w:r>
      <w:proofErr w:type="gramStart"/>
      <w:r w:rsidRPr="00511005">
        <w:rPr>
          <w:rFonts w:ascii="Arial" w:eastAsia="Times New Roman" w:hAnsi="Arial" w:cs="Arial"/>
          <w:szCs w:val="28"/>
          <w:lang w:eastAsia="ru-RU"/>
        </w:rPr>
        <w:t>факторів[</w:t>
      </w:r>
      <w:proofErr w:type="gramEnd"/>
      <w:r w:rsidRPr="00511005">
        <w:rPr>
          <w:rFonts w:ascii="Arial" w:eastAsia="Times New Roman" w:hAnsi="Arial" w:cs="Arial"/>
          <w:szCs w:val="28"/>
          <w:lang w:eastAsia="ru-RU"/>
        </w:rPr>
        <w:t>2]. Передусім, важливо визначити, чи держава дотримується дуалістичної чи моністичної концепції у питаннях інтеграції міжнародного права в національне законодавство. Також слід врахувати, що пряма дія міжнародних норм тісно пов’язана з взаємодією та балансом між законодавчими, виконавчими та судовими органами влади, оскільки переважно законодавчі органи відповідають за впровадження міжнародних договорів в національне право. Нарешті, значну роль відіграють судові органи, які тлумачать внутрішньодержавні норми та повинні уникати конфліктів з міжнародним правом. Ці фактори є вирішальними також і для забезпечення прямої дії норм права ЄС у національних системах держав-членів.</w:t>
      </w:r>
    </w:p>
    <w:p w14:paraId="4F1CFA1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Ключове</w:t>
      </w:r>
      <w:r w:rsidRPr="00511005">
        <w:rPr>
          <w:rFonts w:ascii="Arial" w:eastAsia="Times New Roman" w:hAnsi="Arial" w:cs="Arial"/>
          <w:szCs w:val="28"/>
          <w:lang w:eastAsia="ru-RU"/>
        </w:rPr>
        <w:t xml:space="preserve"> значення для розробки принципу прямої дії права Європейського </w:t>
      </w:r>
      <w:r w:rsidRPr="00511005">
        <w:rPr>
          <w:rFonts w:ascii="Arial" w:eastAsia="Times New Roman" w:hAnsi="Arial" w:cs="Arial"/>
          <w:szCs w:val="28"/>
          <w:lang w:val="uk-UA" w:eastAsia="ru-RU"/>
        </w:rPr>
        <w:t>Союзу мала справа Van Gend en Loos. У цій важливій справі Суд ЄС висловив думку, що Європейське Співтовариство створене як новий правовий порядок, в інтересах якого держави-члени мають частково обмежити свої суверенні права у певних областях</w:t>
      </w:r>
      <w:r w:rsidRPr="00511005">
        <w:rPr>
          <w:rFonts w:ascii="Arial" w:eastAsia="Times New Roman" w:hAnsi="Arial" w:cs="Arial"/>
          <w:szCs w:val="28"/>
          <w:lang w:eastAsia="ru-RU"/>
        </w:rPr>
        <w:t>[3]</w:t>
      </w:r>
      <w:r w:rsidRPr="00511005">
        <w:rPr>
          <w:rFonts w:ascii="Arial" w:eastAsia="Times New Roman" w:hAnsi="Arial" w:cs="Arial"/>
          <w:szCs w:val="28"/>
          <w:lang w:val="uk-UA" w:eastAsia="ru-RU"/>
        </w:rPr>
        <w:t>. Право ЄС втручається у внутрішню компетенцію держав-членів, регулюючи відносини не тільки між самими державами-членами, але й між їхніми громадянами, що стало основою для розробки концепції прямої дії права ЄС.</w:t>
      </w:r>
    </w:p>
    <w:p w14:paraId="25B33C6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Принцип прямої дії європейського права на практиці виражається через здатність нормативних актів, що випускаються органами та інститутами ЄС та Європейських Співтовариств, регулювати суспільні відносини, що виникають у межах держав-членів. Ці норми мають силу безпосередньо та не вимагають ратифікації або інших процедур офіційного прийняття з боку держав.</w:t>
      </w:r>
    </w:p>
    <w:p w14:paraId="6820A1B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Особливість принципу прямої дії полягає у його здатності діяти одночасно на двох рівнях: «вертикальному» та «горизонтальному». На вертикальному рівні, цей принцип регулює відносини між індивідами та державою. На горизонтальному рівні, він застосовується до взаємовідносин між фізичними та юридичними особами [4, с. 351]. Важливою характеристикою цього принципу є його універсальність, адже право ЄС стосується всіх, незалежно від статусу особи - громадянина чи держави-члена ЄС.</w:t>
      </w:r>
    </w:p>
    <w:p w14:paraId="46E8DE1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Норми права ЄС мають безпосереднє та обов'язкове застосування національними владними органами та судами, незалежно від будь-яких умов або згоди з боку держав-членів. Цей підхід, який заснований на принципі прямої дії, відповідно до практики Суду ЄС, забезпечує захист прав, наданих як юридичним, так і фізичним особам, через національні судові інституції.</w:t>
      </w:r>
    </w:p>
    <w:p w14:paraId="6E9C244A"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Принцип прямої дії виявився ефективним засобом, оскільки національні законодавства держав-членів ЄС варіюються і часто суттєво відрізняються. Ця концепція у праві ЄС стала необхідною для гармонізації різних правових систем та служить засобом вирішення соціальних конфліктів. Вона дозволяє праву ЄС впливати безпосередньо на правопорядок кожної країни-члена, створюючи права та обов'язки для приватних осіб [5]. Юридичні експерти підкреслюють, що особливий характер права ЄС та його примат над національними законами критично важливий для європейської правової системи.</w:t>
      </w:r>
    </w:p>
    <w:p w14:paraId="77291D3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Принцип пріоритетності права ЄС встановлює, що воно має перевагу над національними законодавчими актами країн-членів ЄС. Відповідно, національні закони не можуть перешкоджати застосуванню норм права ЄС</w:t>
      </w:r>
    </w:p>
    <w:p w14:paraId="7F52F4B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Другою важливою умовою принципу прямої дії права ЄС є обов'язок судів та державних органів країн-членів ЄС, а також їх громадян, застосовувати нормативно-правові акти, ухвалені органами ЄС, без потреби їх ратифікації в національних правових системах. Це виключає необхідність створення механізмів для їх імплементації, оскільки норми права ЄС автоматично мають пряму дію.</w:t>
      </w:r>
    </w:p>
    <w:p w14:paraId="2C83D931"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завдяки унікальній юридичній структурі ЄС, де держави-члени обмежили частину свого суверенітету на користь європейських інституцій, принципи прямого застосування та прямої дії забезпечують ефективне регулювання відносин в рамках Співтовариства. Пряма дія права ЄС гарантує, що норми ЄС застосовуються відразу без необхідності додаткового втручання національних законодавств, що сприяє юридичній інтеграції і стабільності в межах ЄС. Важливість цього принципу зростає в контексті глобалізації та розширення ЄС, що вимагає чіткого розуміння його механізмів і впливу на національні правопорядки держав-членів.</w:t>
      </w:r>
    </w:p>
    <w:p w14:paraId="5930013E" w14:textId="77777777" w:rsidR="00220D3E" w:rsidRPr="00511005" w:rsidRDefault="00220D3E" w:rsidP="003A292D">
      <w:pPr>
        <w:tabs>
          <w:tab w:val="left" w:pos="709"/>
        </w:tabs>
        <w:spacing w:line="264" w:lineRule="auto"/>
        <w:ind w:firstLine="0"/>
        <w:jc w:val="left"/>
        <w:rPr>
          <w:rFonts w:ascii="Arial" w:eastAsia="Times New Roman" w:hAnsi="Arial" w:cs="Arial"/>
          <w:b/>
          <w:bCs/>
          <w:szCs w:val="28"/>
          <w:lang w:val="uk-UA" w:eastAsia="ru-RU"/>
        </w:rPr>
      </w:pPr>
    </w:p>
    <w:p w14:paraId="21AC9C90" w14:textId="724C7551"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75FF0F82"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1. Ковалів М. В., Тимчишин Т. М., Ніканорова О. В. Основи права Європейського Союзу: навчальний посібник. Львів: Львівський державний університет внутрішніх справ, 2020. 212 с.</w:t>
      </w:r>
    </w:p>
    <w:p w14:paraId="5502EE3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2. Kuijper, P-J., «Epilogue: Symbiosis?», M. J. Prinssen &amp; A. Schrauwen (eds.), Direct Effect – Rethinking a Classic of EC Legal Doctrine, Groningen, Europa Law Pub., 2002. 253 р.</w:t>
      </w:r>
    </w:p>
    <w:p w14:paraId="6C792405"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3. C-26/62 - Van Gend en Loos v AdministratiederBelastingen</w:t>
      </w:r>
      <w:r w:rsidRPr="00511005">
        <w:rPr>
          <w:rFonts w:ascii="Arial" w:eastAsia="Times New Roman" w:hAnsi="Arial" w:cs="Arial"/>
          <w:szCs w:val="28"/>
          <w:lang w:val="de-DE" w:eastAsia="ru-RU"/>
        </w:rPr>
        <w:t xml:space="preserve">. URL: </w:t>
      </w:r>
      <w:hyperlink r:id="rId724" w:history="1">
        <w:r w:rsidRPr="00511005">
          <w:rPr>
            <w:rFonts w:ascii="Arial" w:eastAsia="Times New Roman" w:hAnsi="Arial" w:cs="Arial"/>
            <w:szCs w:val="28"/>
            <w:lang w:val="de-DE" w:eastAsia="ru-RU"/>
          </w:rPr>
          <w:t>https://curia.europa.eu/juris/liste.jsf?num=C-26/62</w:t>
        </w:r>
      </w:hyperlink>
      <w:r w:rsidRPr="00511005">
        <w:rPr>
          <w:rFonts w:ascii="Arial" w:eastAsia="Times New Roman" w:hAnsi="Arial" w:cs="Arial"/>
          <w:szCs w:val="28"/>
          <w:lang w:val="uk-UA" w:eastAsia="ru-RU"/>
        </w:rPr>
        <w:t>(дата звернення: 09.04.2025)</w:t>
      </w:r>
    </w:p>
    <w:p w14:paraId="7E67B991" w14:textId="77777777" w:rsidR="00220D3E" w:rsidRPr="00511005" w:rsidRDefault="00220D3E" w:rsidP="003A292D">
      <w:pPr>
        <w:tabs>
          <w:tab w:val="left" w:pos="709"/>
        </w:tabs>
        <w:spacing w:line="264" w:lineRule="auto"/>
        <w:rPr>
          <w:rFonts w:ascii="Arial" w:eastAsia="Times New Roman" w:hAnsi="Arial" w:cs="Arial"/>
          <w:szCs w:val="28"/>
          <w:shd w:val="clear" w:color="auto" w:fill="FFFFFF"/>
          <w:lang w:eastAsia="ru-RU"/>
        </w:rPr>
      </w:pPr>
      <w:r w:rsidRPr="00511005">
        <w:rPr>
          <w:rFonts w:ascii="Arial" w:eastAsia="Times New Roman" w:hAnsi="Arial" w:cs="Arial"/>
          <w:szCs w:val="28"/>
          <w:lang w:eastAsia="ru-RU"/>
        </w:rPr>
        <w:t xml:space="preserve">4. </w:t>
      </w:r>
      <w:r w:rsidRPr="00511005">
        <w:rPr>
          <w:rFonts w:ascii="Arial" w:eastAsia="Times New Roman" w:hAnsi="Arial" w:cs="Arial"/>
          <w:szCs w:val="28"/>
          <w:shd w:val="clear" w:color="auto" w:fill="FFFFFF"/>
          <w:lang w:eastAsia="ru-RU"/>
        </w:rPr>
        <w:t xml:space="preserve">Іванов А.В. Вплив права ЄС на національні правові системи та світовий </w:t>
      </w:r>
      <w:proofErr w:type="gramStart"/>
      <w:r w:rsidRPr="00511005">
        <w:rPr>
          <w:rFonts w:ascii="Arial" w:eastAsia="Times New Roman" w:hAnsi="Arial" w:cs="Arial"/>
          <w:szCs w:val="28"/>
          <w:shd w:val="clear" w:color="auto" w:fill="FFFFFF"/>
          <w:lang w:eastAsia="ru-RU"/>
        </w:rPr>
        <w:t>порядок.</w:t>
      </w:r>
      <w:r w:rsidRPr="00511005">
        <w:rPr>
          <w:rFonts w:ascii="Arial" w:eastAsia="Times New Roman" w:hAnsi="Arial" w:cs="Arial"/>
          <w:i/>
          <w:iCs/>
          <w:szCs w:val="28"/>
          <w:shd w:val="clear" w:color="auto" w:fill="FFFFFF"/>
          <w:lang w:eastAsia="ru-RU"/>
        </w:rPr>
        <w:t>Науковий</w:t>
      </w:r>
      <w:proofErr w:type="gramEnd"/>
      <w:r w:rsidRPr="00511005">
        <w:rPr>
          <w:rFonts w:ascii="Arial" w:eastAsia="Times New Roman" w:hAnsi="Arial" w:cs="Arial"/>
          <w:i/>
          <w:iCs/>
          <w:szCs w:val="28"/>
          <w:shd w:val="clear" w:color="auto" w:fill="FFFFFF"/>
          <w:lang w:eastAsia="ru-RU"/>
        </w:rPr>
        <w:t xml:space="preserve"> вісник Ужгородського Національного Університету.Серія ПРАВО</w:t>
      </w:r>
      <w:r w:rsidRPr="00511005">
        <w:rPr>
          <w:rFonts w:ascii="Arial" w:eastAsia="Times New Roman" w:hAnsi="Arial" w:cs="Arial"/>
          <w:szCs w:val="28"/>
          <w:shd w:val="clear" w:color="auto" w:fill="FFFFFF"/>
          <w:lang w:eastAsia="ru-RU"/>
        </w:rPr>
        <w:t xml:space="preserve">. Випуск 83: частина 3. 2024. </w:t>
      </w:r>
      <w:r w:rsidRPr="00511005">
        <w:rPr>
          <w:rFonts w:ascii="Arial" w:eastAsia="Times New Roman" w:hAnsi="Arial" w:cs="Arial"/>
          <w:szCs w:val="28"/>
          <w:shd w:val="clear" w:color="auto" w:fill="FFFFFF"/>
          <w:lang w:val="en-US" w:eastAsia="ru-RU"/>
        </w:rPr>
        <w:t>C</w:t>
      </w:r>
      <w:r w:rsidRPr="00511005">
        <w:rPr>
          <w:rFonts w:ascii="Arial" w:eastAsia="Times New Roman" w:hAnsi="Arial" w:cs="Arial"/>
          <w:szCs w:val="28"/>
          <w:shd w:val="clear" w:color="auto" w:fill="FFFFFF"/>
          <w:lang w:eastAsia="ru-RU"/>
        </w:rPr>
        <w:t>. 347-352.</w:t>
      </w:r>
    </w:p>
    <w:p w14:paraId="6C46E34A" w14:textId="77777777" w:rsidR="00220D3E" w:rsidRPr="00511005" w:rsidRDefault="00220D3E" w:rsidP="003A292D">
      <w:pPr>
        <w:tabs>
          <w:tab w:val="left" w:pos="709"/>
        </w:tabs>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eastAsia="ru-RU"/>
        </w:rPr>
        <w:t xml:space="preserve">5. Брацук І. З.Теоретико-правові засади імплементації права Європейського Союзу в національне право держав-членів: монографія /І. З. </w:t>
      </w:r>
      <w:r w:rsidRPr="00511005">
        <w:rPr>
          <w:rFonts w:ascii="Arial" w:eastAsia="Times New Roman" w:hAnsi="Arial" w:cs="Arial"/>
          <w:szCs w:val="28"/>
          <w:shd w:val="clear" w:color="auto" w:fill="FFFFFF"/>
          <w:lang w:eastAsia="ru-RU"/>
        </w:rPr>
        <w:lastRenderedPageBreak/>
        <w:t>Брацук; за наук. ред. проф. М. М. Микієвича. Львів: ЛНУ іменіІвана Франка, 2016. 230 с.</w:t>
      </w:r>
    </w:p>
    <w:p w14:paraId="768A7235" w14:textId="58000310" w:rsidR="00220D3E" w:rsidRPr="00511005" w:rsidRDefault="00220D3E" w:rsidP="003A292D">
      <w:pPr>
        <w:tabs>
          <w:tab w:val="left" w:pos="709"/>
        </w:tabs>
        <w:spacing w:line="264" w:lineRule="auto"/>
        <w:rPr>
          <w:rFonts w:ascii="Arial" w:eastAsia="Times New Roman" w:hAnsi="Arial" w:cs="Arial"/>
          <w:b/>
          <w:bCs/>
          <w:szCs w:val="28"/>
          <w:shd w:val="clear" w:color="auto" w:fill="FFFFFF"/>
          <w:lang w:val="uk-UA" w:eastAsia="ru-RU"/>
        </w:rPr>
      </w:pPr>
      <w:r w:rsidRPr="00070B72">
        <w:rPr>
          <w:rFonts w:ascii="Arial" w:eastAsia="Times New Roman" w:hAnsi="Arial" w:cs="Arial"/>
          <w:b/>
          <w:bCs/>
          <w:i/>
          <w:iCs/>
          <w:szCs w:val="28"/>
          <w:shd w:val="clear" w:color="auto" w:fill="FFFFFF"/>
          <w:lang w:eastAsia="ru-RU"/>
        </w:rPr>
        <w:t>Ключові слова:</w:t>
      </w:r>
      <w:r w:rsidR="00070B72">
        <w:rPr>
          <w:rFonts w:ascii="Arial" w:eastAsia="Times New Roman" w:hAnsi="Arial" w:cs="Arial"/>
          <w:b/>
          <w:bCs/>
          <w:szCs w:val="28"/>
          <w:shd w:val="clear" w:color="auto" w:fill="FFFFFF"/>
          <w:lang w:val="uk-UA" w:eastAsia="ru-RU"/>
        </w:rPr>
        <w:t xml:space="preserve"> </w:t>
      </w:r>
      <w:r w:rsidRPr="00511005">
        <w:rPr>
          <w:rFonts w:ascii="Arial" w:eastAsia="Times New Roman" w:hAnsi="Arial" w:cs="Arial"/>
          <w:szCs w:val="28"/>
          <w:shd w:val="clear" w:color="auto" w:fill="FFFFFF"/>
          <w:lang w:eastAsia="ru-RU"/>
        </w:rPr>
        <w:t xml:space="preserve">право, принцип, </w:t>
      </w:r>
      <w:r w:rsidRPr="00511005">
        <w:rPr>
          <w:rFonts w:ascii="Arial" w:eastAsia="Times New Roman" w:hAnsi="Arial" w:cs="Arial"/>
          <w:szCs w:val="28"/>
          <w:shd w:val="clear" w:color="auto" w:fill="FFFFFF"/>
          <w:lang w:val="uk-UA" w:eastAsia="ru-RU"/>
        </w:rPr>
        <w:t>пряма дія, пряме застосування, держави-члени, Європейський Союз</w:t>
      </w:r>
    </w:p>
    <w:p w14:paraId="384C63D9" w14:textId="1382705B" w:rsidR="00220D3E" w:rsidRPr="00511005" w:rsidRDefault="00220D3E" w:rsidP="003A292D">
      <w:pPr>
        <w:tabs>
          <w:tab w:val="left" w:pos="709"/>
        </w:tabs>
        <w:spacing w:line="264" w:lineRule="auto"/>
        <w:rPr>
          <w:rFonts w:ascii="Arial" w:eastAsia="Times New Roman" w:hAnsi="Arial" w:cs="Arial"/>
          <w:szCs w:val="28"/>
          <w:shd w:val="clear" w:color="auto" w:fill="FFFFFF"/>
          <w:lang w:val="uk-UA" w:eastAsia="ru-RU"/>
        </w:rPr>
      </w:pPr>
      <w:r w:rsidRPr="00070B72">
        <w:rPr>
          <w:rFonts w:ascii="Arial" w:eastAsia="Times New Roman" w:hAnsi="Arial" w:cs="Arial"/>
          <w:b/>
          <w:bCs/>
          <w:i/>
          <w:iCs/>
          <w:szCs w:val="28"/>
          <w:shd w:val="clear" w:color="auto" w:fill="FFFFFF"/>
          <w:lang w:val="en-US" w:eastAsia="ru-RU"/>
        </w:rPr>
        <w:t>Key words</w:t>
      </w:r>
      <w:r w:rsidRPr="00070B72">
        <w:rPr>
          <w:rFonts w:ascii="Arial" w:eastAsia="Times New Roman" w:hAnsi="Arial" w:cs="Arial"/>
          <w:b/>
          <w:bCs/>
          <w:i/>
          <w:iCs/>
          <w:szCs w:val="28"/>
          <w:shd w:val="clear" w:color="auto" w:fill="FFFFFF"/>
          <w:lang w:val="uk-UA" w:eastAsia="ru-RU"/>
        </w:rPr>
        <w:t>:</w:t>
      </w:r>
      <w:r w:rsidR="00070B72">
        <w:rPr>
          <w:rFonts w:ascii="Arial" w:eastAsia="Times New Roman" w:hAnsi="Arial" w:cs="Arial"/>
          <w:b/>
          <w:bCs/>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law, principle, directeffect, directapplication, memberstates, EuropeanUnion</w:t>
      </w:r>
    </w:p>
    <w:p w14:paraId="659F5AC4" w14:textId="1468ABA3" w:rsidR="00220D3E" w:rsidRPr="00511005" w:rsidRDefault="00EE6668" w:rsidP="003A292D">
      <w:pPr>
        <w:tabs>
          <w:tab w:val="left" w:pos="709"/>
        </w:tabs>
        <w:spacing w:line="264" w:lineRule="auto"/>
        <w:rPr>
          <w:rFonts w:ascii="Arial" w:eastAsia="Times New Roman" w:hAnsi="Arial" w:cs="Arial"/>
          <w:bCs/>
          <w:i/>
          <w:szCs w:val="28"/>
          <w:shd w:val="clear" w:color="auto" w:fill="FFFFFF"/>
          <w:lang w:val="uk-UA" w:eastAsia="ru-RU"/>
        </w:rPr>
      </w:pPr>
      <w:r w:rsidRPr="00070B72">
        <w:rPr>
          <w:rFonts w:ascii="Arial" w:eastAsia="Times New Roman" w:hAnsi="Arial" w:cs="Arial"/>
          <w:b/>
          <w:i/>
          <w:szCs w:val="28"/>
          <w:shd w:val="clear" w:color="auto" w:fill="FFFFFF"/>
          <w:lang w:val="uk-UA" w:eastAsia="ru-RU"/>
        </w:rPr>
        <w:t>Науковий керівник:</w:t>
      </w:r>
      <w:r w:rsidR="00220D3E" w:rsidRPr="00511005">
        <w:rPr>
          <w:rFonts w:ascii="Arial" w:eastAsia="Times New Roman" w:hAnsi="Arial" w:cs="Arial"/>
          <w:bCs/>
          <w:i/>
          <w:szCs w:val="28"/>
          <w:shd w:val="clear" w:color="auto" w:fill="FFFFFF"/>
          <w:lang w:val="uk-UA" w:eastAsia="ru-RU"/>
        </w:rPr>
        <w:t xml:space="preserve"> д.ю.н., професор Сурілова О.О.</w:t>
      </w:r>
    </w:p>
    <w:p w14:paraId="2D69F05D" w14:textId="77777777" w:rsidR="00220D3E" w:rsidRPr="00511005" w:rsidRDefault="00220D3E" w:rsidP="003A292D">
      <w:pPr>
        <w:tabs>
          <w:tab w:val="left" w:pos="709"/>
        </w:tabs>
        <w:spacing w:line="264" w:lineRule="auto"/>
        <w:rPr>
          <w:rFonts w:ascii="Arial" w:eastAsia="Times New Roman" w:hAnsi="Arial" w:cs="Arial"/>
          <w:b/>
          <w:bCs/>
          <w:szCs w:val="28"/>
          <w:shd w:val="clear" w:color="auto" w:fill="FFFFFF"/>
          <w:lang w:val="uk-UA" w:eastAsia="ru-RU"/>
        </w:rPr>
      </w:pPr>
    </w:p>
    <w:p w14:paraId="5436ED7C" w14:textId="77777777" w:rsidR="00220D3E" w:rsidRPr="00511005" w:rsidRDefault="00220D3E" w:rsidP="003A292D">
      <w:pPr>
        <w:tabs>
          <w:tab w:val="left" w:pos="709"/>
        </w:tabs>
        <w:spacing w:line="264" w:lineRule="auto"/>
        <w:ind w:firstLine="0"/>
        <w:jc w:val="center"/>
        <w:rPr>
          <w:rFonts w:ascii="Arial" w:eastAsia="Times New Roman" w:hAnsi="Arial" w:cs="Arial"/>
          <w:b/>
          <w:bCs/>
          <w:i/>
          <w:szCs w:val="28"/>
          <w:shd w:val="clear" w:color="auto" w:fill="FFFFFF"/>
          <w:lang w:val="uk-UA" w:eastAsia="ru-RU"/>
        </w:rPr>
      </w:pPr>
      <w:r w:rsidRPr="00511005">
        <w:rPr>
          <w:rFonts w:ascii="Arial" w:eastAsia="Times New Roman" w:hAnsi="Arial" w:cs="Arial"/>
          <w:b/>
          <w:bCs/>
          <w:i/>
          <w:szCs w:val="28"/>
          <w:shd w:val="clear" w:color="auto" w:fill="FFFFFF"/>
          <w:lang w:val="uk-UA" w:eastAsia="ru-RU"/>
        </w:rPr>
        <w:t>Циник Анастасія Іванівна</w:t>
      </w:r>
    </w:p>
    <w:p w14:paraId="5A4195BF" w14:textId="77777777" w:rsidR="00220D3E" w:rsidRPr="00511005" w:rsidRDefault="00220D3E" w:rsidP="003A292D">
      <w:pPr>
        <w:tabs>
          <w:tab w:val="left" w:pos="709"/>
        </w:tabs>
        <w:spacing w:line="264" w:lineRule="auto"/>
        <w:ind w:firstLine="0"/>
        <w:jc w:val="center"/>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студентка 4-го курсу</w:t>
      </w:r>
    </w:p>
    <w:p w14:paraId="211AA937" w14:textId="77777777" w:rsidR="00220D3E" w:rsidRPr="00511005" w:rsidRDefault="00220D3E" w:rsidP="003A292D">
      <w:pPr>
        <w:tabs>
          <w:tab w:val="left" w:pos="709"/>
        </w:tabs>
        <w:spacing w:line="264" w:lineRule="auto"/>
        <w:ind w:firstLine="0"/>
        <w:jc w:val="center"/>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факультету цивільної та господарської юстиції</w:t>
      </w:r>
    </w:p>
    <w:p w14:paraId="16DA5AE1" w14:textId="2841E466" w:rsidR="00220D3E" w:rsidRPr="00511005" w:rsidRDefault="007B2628" w:rsidP="003A292D">
      <w:pPr>
        <w:tabs>
          <w:tab w:val="left" w:pos="709"/>
        </w:tabs>
        <w:spacing w:line="264" w:lineRule="auto"/>
        <w:ind w:firstLine="0"/>
        <w:jc w:val="center"/>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Національного університету «Одеська юридична академія»</w:t>
      </w:r>
    </w:p>
    <w:p w14:paraId="51DD308B"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p>
    <w:p w14:paraId="2D9C374A" w14:textId="77777777" w:rsidR="00220D3E" w:rsidRPr="00511005" w:rsidRDefault="00220D3E" w:rsidP="003A292D">
      <w:pPr>
        <w:tabs>
          <w:tab w:val="left" w:pos="709"/>
        </w:tabs>
        <w:spacing w:line="264" w:lineRule="auto"/>
        <w:ind w:firstLine="0"/>
        <w:jc w:val="center"/>
        <w:rPr>
          <w:rFonts w:ascii="Arial" w:eastAsia="Times New Roman" w:hAnsi="Arial" w:cs="Arial"/>
          <w:b/>
          <w:bCs/>
          <w:szCs w:val="28"/>
          <w:shd w:val="clear" w:color="auto" w:fill="FFFFFF"/>
          <w:lang w:val="uk-UA" w:eastAsia="ru-RU"/>
        </w:rPr>
      </w:pPr>
      <w:r w:rsidRPr="00511005">
        <w:rPr>
          <w:rFonts w:ascii="Arial" w:eastAsia="Times New Roman" w:hAnsi="Arial" w:cs="Arial"/>
          <w:b/>
          <w:bCs/>
          <w:szCs w:val="28"/>
          <w:shd w:val="clear" w:color="auto" w:fill="FFFFFF"/>
          <w:lang w:val="uk-UA" w:eastAsia="ru-RU"/>
        </w:rPr>
        <w:t>ОСОБЛИВОСТІ НАЦІОНАЛЬНОГО ТА МІЖНАРОДНОГО УСИНОВЛЕННЯ В ПЕРІОД ВОЄННОГО СТАНУ</w:t>
      </w:r>
    </w:p>
    <w:p w14:paraId="5D01CFD9"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У сучасних умовах воєнного стану в Україні питання усиновлення та пов’язані з ним проблеми набувають особливого значення. Слід розглядати ці аспекти з урахуванням правових і соціальних викликів, спричинених воєнним станом. Відповідно до статті 1 Закону України «Про правовий режим воєнного стану», воєнний стан – це особливий правовий режим, який вводиться в державі або в окремих її регіонах у разі збройної агресії чи загрози нападу. Він передбачає тимчасове обмеження певних конституційних прав і свобод громадян, а також прав юридичних осіб [1].</w:t>
      </w:r>
    </w:p>
    <w:p w14:paraId="298F99FD"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Відповідно до Указу Президента України № 64/2022 від 24 лютого 2022 року, на всій території України було оголошено воєнний стан через збройну агресію Російської Федерації. Попри це, окремі права громадян залишаються гарантованими навіть під час дії цього режиму. Серед них — право на шлюб і сім’ю, визначене статтею 51 Конституції України. Також держава гарантує захист сім’ї, дитинства, материнства і батьківства. Батьки зобов’язані утримувати своїх дітей до досягнення ними повноліття, а дорослі діти – піклуватися про непрацездатних батьків [2].</w:t>
      </w:r>
    </w:p>
    <w:p w14:paraId="051356CE"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Повномасштабне вторгнення призвело до різкого зростання кількості дітей, які залишились сиротами або були позбавлені батьківського піклування. За даними офіційної статистики, понад 9 тисяч дітей опинилися в такій ситуації. Це зумовлює нагальну потребу в забезпеченні для них належного догляду, соціального захисту та стабільного сімейного середовища. Відповідно до положень Конвенції ООН про права дитини від 20 листопада 1989 року, кожна дитина має право на захист і допомогу з боку держави, якщо вона втратила сімейне оточення [3, с. 82].</w:t>
      </w:r>
    </w:p>
    <w:p w14:paraId="51F5D2C9"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 xml:space="preserve">Процес усиновлення в умовах воєнного стану реалізується у двох основних напрямках: за національною процедурою (тобто усиновлення громадянами України) та за участю іноземців у межах міждержавного </w:t>
      </w:r>
      <w:r w:rsidRPr="00511005">
        <w:rPr>
          <w:rFonts w:ascii="Arial" w:eastAsia="Times New Roman" w:hAnsi="Arial" w:cs="Arial"/>
          <w:bCs/>
          <w:szCs w:val="28"/>
          <w:shd w:val="clear" w:color="auto" w:fill="FFFFFF"/>
          <w:lang w:val="uk-UA" w:eastAsia="ru-RU"/>
        </w:rPr>
        <w:lastRenderedPageBreak/>
        <w:t>усиновлення. Кожна з процедур має свої особливості, які потребують адаптації до воєнної ситуації для забезпечення безпеки та найкращих інтересів дитини.</w:t>
      </w:r>
    </w:p>
    <w:p w14:paraId="5EA43A77"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Правове регулювання усиновлення в Україні базується на положеннях Сімейного кодексу України (СКУ) та Порядку провадження діяльності з усиновлення та здійснення нагляду за дотриманням прав усиновлених дітей, затвердженого постановою Кабінету Міністрів України № 905 від 8 жовтня 2008 року.</w:t>
      </w:r>
    </w:p>
    <w:p w14:paraId="5D63D214"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Відповідно до СКУ, усиновленням вважається прийняття дитини в родину на правах рідної дочки або сина. Це рішення приймається виключно судом і має на меті забезпечення дитині стабільного, безпечного та сприятливого середовища для розвитку й виховання. Усиновити можна дитину, яка має статус сироти, позбавлену батьківського піклування або ту, чиї батьки офіційно надали нотаріально завірену згоду на усиновлення. В окремих випадках, коли батьки є невідомими, визнані недієздатними, безвісно відсутніми або позбавлені батьківських прав, усиновлення можливе без їхньої згоди [4].</w:t>
      </w:r>
    </w:p>
    <w:p w14:paraId="597F23DA"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Усиновлення не є спонтанним процесом – перед ним обов’язково ведеться облік дітей, які можуть бути усиновлені, а також осіб, що бажають усиновити дитину. Цей облік здійснюється службами у справах дітей та Національною соціальною сервісною службою України.</w:t>
      </w:r>
    </w:p>
    <w:p w14:paraId="7D8F532F"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Окрема увага у законодавстві приділяється згоді самої дитини на усиновлення. Згідно зі статтею 218 СКУ, якщо дитина досягла відповідного віку та рівня розвитку, вона повинна надати усвідомлену згоду на усиновлення. У випадках, коли через вік або стан здоров’я дитина не може зрозуміти суть процедури, згода не вимагається [4].</w:t>
      </w:r>
    </w:p>
    <w:p w14:paraId="7E772EFA"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 xml:space="preserve">Процедура усиновлення завершується судовим розглядом. Відповідно до норм Цивільного процесуального кодексу України, під час розгляду справи про усиновлення обов’язково беруть участь заявник, представники органів опіки та піклування (або інший уповноважений орган), а також дитина, якщо її психофізичний стан дозволяє усвідомити процес. Судове рішення набирає чинності з моменту його ухвалення, саме тоді усиновлення вважається завершеним. </w:t>
      </w:r>
    </w:p>
    <w:p w14:paraId="3D52253B"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Із цього моменту біологічні батьки та інші родичі дитини втрачають усі юридичні зв’язки з нею. Водночас у дитини з'являються нові батьки — усиновлювачі, які набувають усі обов’язки щодо її виховання і мають відповідні права. Так само дитина отримує всі особисті й майнові права щодо нової родини [3, с. 82].</w:t>
      </w:r>
    </w:p>
    <w:p w14:paraId="136B1E61"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 xml:space="preserve">Як зазначено у статті 232 СКУ, з моменту усиновлення припиняються всі правовідносини дитини з її біологічними родичами, а натомість виникають повноцінні правові зв’язки з усиновлювачами. Ці зв’язки охоплюють як особисті немайнові (наприклад, право на спільне проживання, </w:t>
      </w:r>
      <w:r w:rsidRPr="00511005">
        <w:rPr>
          <w:rFonts w:ascii="Arial" w:eastAsia="Times New Roman" w:hAnsi="Arial" w:cs="Arial"/>
          <w:bCs/>
          <w:szCs w:val="28"/>
          <w:shd w:val="clear" w:color="auto" w:fill="FFFFFF"/>
          <w:lang w:val="uk-UA" w:eastAsia="ru-RU"/>
        </w:rPr>
        <w:lastRenderedPageBreak/>
        <w:t>турботу та піклування), так і майнові права та обов’язки (наприклад, спадкування чи утримання), які також поширюються на майбутніх нащадків дитини (дітей, онуків) та родичів усиновлювачів [4].</w:t>
      </w:r>
    </w:p>
    <w:p w14:paraId="0F792FD4"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Усиновлення іноземними громадянами дітей, які є громадянами України, здійснюється відповідно до СКУ, проте з певними специфічними умовами. Одна з основних вимог — дитина повинна бути на обліку не менше року і досягти п’яти років. Проте є винятки, наприклад, коли усиновлювач є родичем дитини або дитина має серйозне захворювання.</w:t>
      </w:r>
    </w:p>
    <w:p w14:paraId="372CA185"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Усиновлення іноземцем можливе лише за умови, якщо в Україні не знайшлося громадян для усиновлення. Пріоритет надається іноземцям, які є родичами дитини або громадянами країн з угодами про правову допомогу. Процедура передбачає отримання згоди Національної соціальної сервісної служби України.</w:t>
      </w:r>
    </w:p>
    <w:p w14:paraId="463D4C6C"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Попри воєнний стан, усиновлення продовжується: суди ухвалюють відповідні рішення, а уряд адаптує законодавство. Постанови КМУ у 2022 році запровадили цифрові зміни: створення єдиного електронного реєстру, онлайн-консультації, подання заяв через «Дію», пришвидшення перевірок і навчання для кандидатів. Це сприяє прозорості та доступності усиновлення навіть в умовах воєнного стану [3, с. 83].</w:t>
      </w:r>
    </w:p>
    <w:p w14:paraId="38A9B4A9"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Міждержавне усиновлення українських дітей іноземцями наразі неможливе через воєнний стан в Україні. Міністерство соціальної політики підкреслює, що поширення неправдивих чуток щодо усиновлення іноземцями є дезінформацією. Діти, переміщені за кордон, зазвичай не є сиротами і потребують тимчасового догляду, а не усиновлення.</w:t>
      </w:r>
    </w:p>
    <w:p w14:paraId="618480AC"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З 1 червня 2023 року Постанова Кабінету Міністрів України «Про внесення змін до деяких постанов Кабінету Міністрів України щодо провадження діяльності з усиновлення та влаштування дітей-сиріт, дітей, позбавлених батьківського піклування, в сім'ї громадян України під час воєнного стану», дозволяє усиновлення лише громадянами України, які перебувають в Україні, або внутрішньо переміщеними особами [5]. Для іноземців та українців, які проживають за кордоном, усиновлення дозволене тільки після закінчення воєнного стану та через три місяці після його скасування. Процедура усиновлення дітей, евакуйованих за кордон, регламентована, але лише для громадян України [3, с. 84].</w:t>
      </w:r>
    </w:p>
    <w:p w14:paraId="3349390D"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 xml:space="preserve">Отже, у період воєнного стану інститут усиновлення в Україні зазнав суттєвих трансформацій, зумовлених необхідністю забезпечити безпеку дітей та захист їхніх прав. Національне усиновлення продовжує функціонувати, однак відбувається з урахуванням нових умов, таких як тимчасове перебування дітей за кордоном, обмежений виїзд громадян, а також впровадження дистанційного знайомства з дитиною через відеозв’язок. </w:t>
      </w:r>
    </w:p>
    <w:p w14:paraId="1B1E7726"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lastRenderedPageBreak/>
        <w:t>Процес міждержавного усиновлення, натомість, наразі призупинено. Іноземні громадяни, як і українці, які постійно або тимчасово проживають за кордоном, наразі не можуть усиновлювати дітей до завершення воєнного стану та протягом трьох місяців після цього. Такий підхід є вимушеним кроком, що дозволяє уникнути зловживань, шахрайства та порушення прав дитини в умовах кризи.</w:t>
      </w:r>
    </w:p>
    <w:p w14:paraId="7ACDB4F5"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Попри обмеження, держава активно вдосконалює процедури усиновлення - насамперед через цифровізацію, підвищення прозорості та доступності процесу. Це свідчить про прагнення зберегти ефективність системи усиновлення навіть в умовах воєнного стану та забезпечити дітям право на сім’ю, безпеку та гідне майбутнє.</w:t>
      </w:r>
    </w:p>
    <w:p w14:paraId="40A41822" w14:textId="77777777" w:rsidR="00220D3E" w:rsidRPr="00511005" w:rsidRDefault="00220D3E" w:rsidP="003A292D">
      <w:pPr>
        <w:tabs>
          <w:tab w:val="left" w:pos="709"/>
        </w:tabs>
        <w:spacing w:line="264" w:lineRule="auto"/>
        <w:jc w:val="center"/>
        <w:rPr>
          <w:rFonts w:ascii="Arial" w:eastAsia="Times New Roman" w:hAnsi="Arial" w:cs="Arial"/>
          <w:b/>
          <w:bCs/>
          <w:szCs w:val="28"/>
          <w:shd w:val="clear" w:color="auto" w:fill="FFFFFF"/>
          <w:lang w:val="uk-UA" w:eastAsia="ru-RU"/>
        </w:rPr>
      </w:pPr>
    </w:p>
    <w:p w14:paraId="723EB760" w14:textId="27B6BF46" w:rsidR="00220D3E" w:rsidRPr="00511005" w:rsidRDefault="007B2628" w:rsidP="007B2628">
      <w:pPr>
        <w:tabs>
          <w:tab w:val="left" w:pos="709"/>
        </w:tabs>
        <w:spacing w:line="264" w:lineRule="auto"/>
        <w:jc w:val="center"/>
        <w:rPr>
          <w:rFonts w:ascii="Arial" w:eastAsia="Times New Roman" w:hAnsi="Arial" w:cs="Arial"/>
          <w:b/>
          <w:bCs/>
          <w:szCs w:val="28"/>
          <w:shd w:val="clear" w:color="auto" w:fill="FFFFFF"/>
          <w:lang w:val="uk-UA" w:eastAsia="ru-RU"/>
        </w:rPr>
      </w:pPr>
      <w:r w:rsidRPr="00511005">
        <w:rPr>
          <w:rFonts w:ascii="Arial" w:eastAsia="Times New Roman" w:hAnsi="Arial" w:cs="Arial"/>
          <w:b/>
          <w:bCs/>
          <w:szCs w:val="28"/>
          <w:shd w:val="clear" w:color="auto" w:fill="FFFFFF"/>
          <w:lang w:val="uk-UA" w:eastAsia="ru-RU"/>
        </w:rPr>
        <w:t>Список використаних джерел</w:t>
      </w:r>
    </w:p>
    <w:p w14:paraId="6B0DD4B5"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1. Про правовий режим воєнного стану : Закон України від 12.05.2015 № 389-VIII : станом на 8 лют. 2025 р. URL: https://zakon.rada.gov.ua/laws/show/389-19#Text.</w:t>
      </w:r>
    </w:p>
    <w:p w14:paraId="0CA62742"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2. Конституція України : від 28.06.1996 № 254к/96-ВР : станом на 1 січ. 2020 р. URL: https://zakon.rada.gov.ua/laws/show/254к/96-вр#Text .</w:t>
      </w:r>
    </w:p>
    <w:p w14:paraId="5D3CBA0F"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3. Радченко Л. Національне та міждержавне усиновлення (удочеріння): регламентація в умовах воєнного стану // Вісник Київ. нац. ун-ту ім. Тараса Шевченка. Сер. Юрид. науки, вип. 126, № 2. Київ, 2023. С. 81–86. URL: https://doi.org/10.17721/1728-2195/2023/2.126-10 .</w:t>
      </w:r>
    </w:p>
    <w:p w14:paraId="7DBABC4B"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 xml:space="preserve">4. Сімейний кодекс України : Кодекс України від 10.01.2002 № 2947-III : станом на 19 груд. 2024 р. URL: https://zakon.rada.gov.ua/laws/show/2947-14#Text . </w:t>
      </w:r>
    </w:p>
    <w:p w14:paraId="7FD68A32" w14:textId="77777777" w:rsidR="00220D3E" w:rsidRPr="00511005" w:rsidRDefault="00220D3E"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5. Про внесення змін до деяких постанов Кабінету Міністрів України щодо провадження діяльності з усиновлення та влаштування дітей-сиріт, дітей, позбавлених батьківського піклування, в сім'ї громадян України під час воєнного стану : Постанова Каб. Міністрів України від 01.06.2023 № 576. URL: https://zakon.rada.gov.ua/laws/show/576-2023-п#Text .</w:t>
      </w:r>
    </w:p>
    <w:p w14:paraId="6480913B" w14:textId="649153D6" w:rsidR="00220D3E" w:rsidRPr="00511005" w:rsidRDefault="007B2628" w:rsidP="003A292D">
      <w:pPr>
        <w:tabs>
          <w:tab w:val="left" w:pos="709"/>
        </w:tabs>
        <w:spacing w:line="264" w:lineRule="auto"/>
        <w:rPr>
          <w:rFonts w:ascii="Arial" w:eastAsia="Times New Roman" w:hAnsi="Arial" w:cs="Arial"/>
          <w:bCs/>
          <w:szCs w:val="28"/>
          <w:shd w:val="clear" w:color="auto" w:fill="FFFFFF"/>
          <w:lang w:val="uk-UA" w:eastAsia="ru-RU"/>
        </w:rPr>
      </w:pPr>
      <w:r w:rsidRPr="00511005">
        <w:rPr>
          <w:rFonts w:ascii="Arial" w:eastAsia="Times New Roman" w:hAnsi="Arial" w:cs="Arial"/>
          <w:b/>
          <w:bCs/>
          <w:i/>
          <w:szCs w:val="28"/>
          <w:shd w:val="clear" w:color="auto" w:fill="FFFFFF"/>
          <w:lang w:val="uk-UA" w:eastAsia="ru-RU"/>
        </w:rPr>
        <w:t xml:space="preserve">Ключові слова: </w:t>
      </w:r>
      <w:r w:rsidR="00220D3E" w:rsidRPr="00511005">
        <w:rPr>
          <w:rFonts w:ascii="Arial" w:eastAsia="Times New Roman" w:hAnsi="Arial" w:cs="Arial"/>
          <w:bCs/>
          <w:szCs w:val="28"/>
          <w:shd w:val="clear" w:color="auto" w:fill="FFFFFF"/>
          <w:lang w:val="uk-UA" w:eastAsia="ru-RU"/>
        </w:rPr>
        <w:t>воєнний стан, усиновлення, національне усиновлення, міждержавне усиновлення, міжнародне право, громадянство дитини, іноземці.</w:t>
      </w:r>
    </w:p>
    <w:p w14:paraId="33506205" w14:textId="7E972DC4" w:rsidR="00220D3E" w:rsidRPr="00511005" w:rsidRDefault="007B2628" w:rsidP="003A292D">
      <w:pPr>
        <w:tabs>
          <w:tab w:val="left" w:pos="709"/>
        </w:tabs>
        <w:spacing w:line="264" w:lineRule="auto"/>
        <w:rPr>
          <w:rFonts w:ascii="Arial" w:eastAsia="Times New Roman" w:hAnsi="Arial" w:cs="Arial"/>
          <w:b/>
          <w:bCs/>
          <w:szCs w:val="28"/>
          <w:shd w:val="clear" w:color="auto" w:fill="FFFFFF"/>
          <w:lang w:val="uk-UA" w:eastAsia="ru-RU"/>
        </w:rPr>
      </w:pPr>
      <w:r w:rsidRPr="00511005">
        <w:rPr>
          <w:rFonts w:ascii="Arial" w:eastAsia="Times New Roman" w:hAnsi="Arial" w:cs="Arial"/>
          <w:b/>
          <w:bCs/>
          <w:i/>
          <w:szCs w:val="28"/>
          <w:shd w:val="clear" w:color="auto" w:fill="FFFFFF"/>
          <w:lang w:val="uk-UA" w:eastAsia="ru-RU"/>
        </w:rPr>
        <w:t xml:space="preserve">Key words: </w:t>
      </w:r>
      <w:r w:rsidR="00220D3E" w:rsidRPr="00511005">
        <w:rPr>
          <w:rFonts w:ascii="Arial" w:eastAsia="Times New Roman" w:hAnsi="Arial" w:cs="Arial"/>
          <w:bCs/>
          <w:szCs w:val="28"/>
          <w:shd w:val="clear" w:color="auto" w:fill="FFFFFF"/>
          <w:lang w:val="uk-UA" w:eastAsia="ru-RU"/>
        </w:rPr>
        <w:t>martial law, adoption, national adoption, intercountry adoption, international law, child's citizenship, foreigners.</w:t>
      </w:r>
    </w:p>
    <w:p w14:paraId="2DCD2EA3" w14:textId="16CF56C4" w:rsidR="00220D3E" w:rsidRPr="00511005" w:rsidRDefault="007B2628" w:rsidP="003A292D">
      <w:pPr>
        <w:tabs>
          <w:tab w:val="left" w:pos="709"/>
        </w:tabs>
        <w:spacing w:line="264" w:lineRule="auto"/>
        <w:rPr>
          <w:rFonts w:ascii="Arial" w:eastAsia="Times New Roman" w:hAnsi="Arial" w:cs="Arial"/>
          <w:bCs/>
          <w:i/>
          <w:szCs w:val="28"/>
          <w:shd w:val="clear" w:color="auto" w:fill="FFFFFF"/>
          <w:lang w:val="uk-UA" w:eastAsia="ru-RU"/>
        </w:rPr>
      </w:pPr>
      <w:r w:rsidRPr="00511005">
        <w:rPr>
          <w:rFonts w:ascii="Arial" w:eastAsia="Times New Roman" w:hAnsi="Arial" w:cs="Arial"/>
          <w:b/>
          <w:bCs/>
          <w:i/>
          <w:szCs w:val="28"/>
          <w:shd w:val="clear" w:color="auto" w:fill="FFFFFF"/>
          <w:lang w:val="uk-UA" w:eastAsia="ru-RU"/>
        </w:rPr>
        <w:t xml:space="preserve">Науковий керівник: </w:t>
      </w:r>
      <w:r w:rsidR="00220D3E" w:rsidRPr="00511005">
        <w:rPr>
          <w:rFonts w:ascii="Arial" w:eastAsia="Times New Roman" w:hAnsi="Arial" w:cs="Arial"/>
          <w:bCs/>
          <w:i/>
          <w:szCs w:val="28"/>
          <w:shd w:val="clear" w:color="auto" w:fill="FFFFFF"/>
          <w:lang w:val="uk-UA" w:eastAsia="ru-RU"/>
        </w:rPr>
        <w:t>асистент кафедри Бугаєць А.С.</w:t>
      </w:r>
    </w:p>
    <w:p w14:paraId="3382EE5E" w14:textId="77777777" w:rsidR="00220D3E" w:rsidRPr="00511005" w:rsidRDefault="00220D3E" w:rsidP="003A292D">
      <w:pPr>
        <w:tabs>
          <w:tab w:val="left" w:pos="709"/>
        </w:tabs>
        <w:spacing w:line="264" w:lineRule="auto"/>
        <w:rPr>
          <w:rFonts w:ascii="Arial" w:eastAsia="Times New Roman" w:hAnsi="Arial" w:cs="Arial"/>
          <w:bCs/>
          <w:i/>
          <w:szCs w:val="28"/>
          <w:shd w:val="clear" w:color="auto" w:fill="FFFFFF"/>
          <w:lang w:val="uk-UA" w:eastAsia="ru-RU"/>
        </w:rPr>
      </w:pPr>
    </w:p>
    <w:p w14:paraId="40FF6D1B"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Череповська Ксенія Дмитрівна</w:t>
      </w:r>
    </w:p>
    <w:p w14:paraId="2209804C" w14:textId="1D5F62CF" w:rsidR="00220D3E" w:rsidRPr="00511005" w:rsidRDefault="00536AAB"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4-го курсу </w:t>
      </w:r>
      <w:r w:rsidR="001B7B25" w:rsidRPr="00511005">
        <w:rPr>
          <w:rFonts w:ascii="Arial" w:eastAsia="Times New Roman" w:hAnsi="Arial" w:cs="Arial"/>
          <w:szCs w:val="28"/>
          <w:lang w:eastAsia="ru-RU"/>
        </w:rPr>
        <w:t>факультету судового та міжнародного права</w:t>
      </w:r>
      <w:r w:rsidR="00220D3E" w:rsidRPr="00511005">
        <w:rPr>
          <w:rFonts w:ascii="Arial" w:eastAsia="Times New Roman" w:hAnsi="Arial" w:cs="Arial"/>
          <w:szCs w:val="28"/>
          <w:lang w:eastAsia="ru-RU"/>
        </w:rPr>
        <w:t xml:space="preserve"> </w:t>
      </w:r>
    </w:p>
    <w:p w14:paraId="618BB521" w14:textId="7CA09696" w:rsidR="00220D3E" w:rsidRPr="00511005" w:rsidRDefault="007B2628" w:rsidP="003A292D">
      <w:pPr>
        <w:tabs>
          <w:tab w:val="left" w:pos="709"/>
        </w:tabs>
        <w:spacing w:line="264" w:lineRule="auto"/>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7B0A4CE"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5EAF494D"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lastRenderedPageBreak/>
        <w:t>ПРАВОВИЙ ЗАХИСТ ЦИВІЛЬНОГО НАСЕЛЕННЯ УКРАЇНИ ПІД ЧАС ВІЙНИ ЗА ЖЕНЕВСЬКОЮ КОНВЕНЦІЄЮ 1949 РОКУ</w:t>
      </w:r>
    </w:p>
    <w:p w14:paraId="059C005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Війна — це не лише збройне протистояння між державами чи угрупованнями, а й масштабна гуманітарна катастрофа, яка найболючіше вражає цивільне населення. У сучасних збройних конфліктах все частіше фіксуються порушення норм міжнародного гуманітарного права, які повинні забезпечувати захист мирного населення. Незаконні затримання, катування, депортації, вбивства, насильницьке зникнення людей, знищення житла та об’єктів критичної інфраструктури — це лише частина тих злочинів, які вчиняються в умовах війни, зокрема в контексті російської агресії проти України. Аналіз порушень прав цивільного населення є надзвичайно важливим як для фіксації історичної правди, так і для забезпечення справедливості та відповідальності винних.</w:t>
      </w:r>
    </w:p>
    <w:p w14:paraId="4CC5DCA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Дослідження цього питання набирає все більшої популярності серед вчених. Окрім, захисту цивільного населення під час війни в загальному, науковці також досліджують становище окремих груп населення як, наприклад, біженці, внутрішньо переміщенні особи, діти. Проте, реальні обставини вказують на те, що ця тема потребує подальшого дослідження. </w:t>
      </w:r>
    </w:p>
    <w:p w14:paraId="5DADC9D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 для захисту прав цивільного населення під час збройних конфліктів 12 серпня 1949 року в Женеві було прийнято Конвенцію про захист прав цивільного населення під час війни (далі - Конвенція) та Додатковий протокол, що стосується захисту жертв міжнародних збройних конфліктів 1977 року. Наразі вона є одним із чотирьох основних міжнародних договорів, які регулюють правила ведення війни та захист осіб, які не беруть участь в бойових діях. Україна ратифікувала ці міжнародні договори, отже їх положення є обов’язковими для нашої держави. Женевські конвенції 1949 року та Додаткові протоколи до них 1977 року чітко закріплюють обов’язок сторін конфлікту захищати цивільне населення та цивільні об’єкти від нападів. При веденні бойових дій комбатанти зобов’язані це враховувати. При цьому для характеристики захисту цивільного населення важливим є аналіз даної категорії суб’єктів. [3]</w:t>
      </w:r>
    </w:p>
    <w:p w14:paraId="6F25A75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Конвенція зобов’язує держави-учасниці забезпечувати захист цивільного населення в умовах міжнародного та неміжнародного збройного конфлікту. Перш за все, варто зазначити основні гарантії Конвенції. Однією з головних гарантій, які встановлює Конвенція, є заборона на будь-яке насильство над життям і особистістю цивільних осіб. Зокрема, це передбачено у статті 3, яка забороняє вбивства, тортури, жорстоке поводження, приниження гідності та захоплення заручників. Додатково, стаття 27 Конвенції акцентує увагу на необхідності поваги до особистої гідності цивільних осіб, їхніх релігійних переконань, родинного життя та звичаїв. А стаття 49 прямо забороняє примусове переміщення чи </w:t>
      </w:r>
      <w:r w:rsidRPr="00511005">
        <w:rPr>
          <w:rFonts w:ascii="Arial" w:eastAsia="Times New Roman" w:hAnsi="Arial" w:cs="Arial"/>
          <w:szCs w:val="28"/>
          <w:lang w:eastAsia="ru-RU"/>
        </w:rPr>
        <w:lastRenderedPageBreak/>
        <w:t>депортацію цивільного населення з окупованих територій, якщо це не викликано нагальними вимогами безпеки.</w:t>
      </w:r>
    </w:p>
    <w:p w14:paraId="12913A6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Під час збройної агресії Російської Федерації проти України положення IV Женевської конвенції неодноразово і грубо порушувалися. Масові вбивства цивільних мешканців у Бучі, Ірпені, Ізюмі та інших містах є яскравим прикладом порушення норм статей 3 і 27. Жителі цих населених пунктів стали жертвами позасудових страт, катувань і насильницьких зникнень. Багатьох мирних мешканців утримували у підвалах без належних умов, застосовуючи до них фізичне і психологічне насильство, що є забороненим згідно з міжнародним гуманітарним правом.</w:t>
      </w:r>
    </w:p>
    <w:p w14:paraId="68794E43"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Окремо варто звернути увагу на випадки примусової депортації українського населення з тимчасово окупованих територій, зокрема дітей. Тисячі людей, у тому числі неповнолітні, були незаконно вивезені до Російської Федерації. Ці дії прямо суперечать статті 49 Конвенції. Така практика була засуджена міжнародною спільнотою, а Міжнародний кримінальний суд у 2023 році видав ордери на арешт керівників держави-окупанта, що підкреслює серйозність цих порушень.</w:t>
      </w:r>
    </w:p>
    <w:p w14:paraId="10BC54E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Ще одним серйозним порушенням є систематичні обстріли цивільної інфраструктури. Під удари російських ракет і артилерії потрапляли лікарні, школи, дитячі садки, електростанції, залізничні вузли, житлові будинки — об’єкти, що не мають жодного військового значення. Такі дії прямо суперечать положенням статті 18 Конвенції, яка вимагає забезпечення захисту об’єктів, призначених для обслуговування цивільного населення.</w:t>
      </w:r>
    </w:p>
    <w:p w14:paraId="2412FA3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Грубі порушення IV Женевської конвенції кваліфікуються як воєнні злочини, що тягнуть за собою індивідуальну кримінальну відповідальність. Згідно зі статтею 147 Конвенції, до таких порушень належать навмисне вбивство, тортури, незаконне переміщення або утримання осіб, а також знищення майна, не виправдане військовою необхідністю. Ці порушення є предметом розслідувань як на національному, так і на міжнародному рівні.</w:t>
      </w:r>
    </w:p>
    <w:p w14:paraId="0715DBF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Таким чином, IV Женевська конвенція не лише встановлює чіткі правові стандарти захисту цивільного населення, а й створює підґрунтя для юридичної оцінки та притягнення винних до відповідальності. Події, що відбуваються в Україні у контексті збройної агресії, свідчать про критичну необхідність забезпечення реального механізму дотримання міжнародного гуманітарного права, а також посилення ролі міжнародних судових інституцій у захисті прав людини в умовах війни.</w:t>
      </w:r>
    </w:p>
    <w:p w14:paraId="6CA426E2"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7074A6FB" w14:textId="7EB97742" w:rsidR="00220D3E" w:rsidRPr="00511005" w:rsidRDefault="007B2628" w:rsidP="007B2628">
      <w:pPr>
        <w:tabs>
          <w:tab w:val="left" w:pos="709"/>
        </w:tabs>
        <w:spacing w:line="264" w:lineRule="auto"/>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4636E731" w14:textId="77777777" w:rsidR="00220D3E" w:rsidRPr="00511005" w:rsidRDefault="00220D3E" w:rsidP="003F6A5D">
      <w:pPr>
        <w:numPr>
          <w:ilvl w:val="0"/>
          <w:numId w:val="160"/>
        </w:numPr>
        <w:tabs>
          <w:tab w:val="left" w:pos="709"/>
        </w:tabs>
        <w:spacing w:line="264" w:lineRule="auto"/>
        <w:ind w:left="0" w:firstLine="709"/>
        <w:contextualSpacing/>
        <w:jc w:val="left"/>
        <w:rPr>
          <w:rFonts w:ascii="Arial" w:eastAsia="Calibri" w:hAnsi="Arial" w:cs="Arial"/>
          <w:szCs w:val="28"/>
        </w:rPr>
      </w:pPr>
      <w:proofErr w:type="gramStart"/>
      <w:r w:rsidRPr="00511005">
        <w:rPr>
          <w:rFonts w:ascii="Arial" w:eastAsia="Calibri" w:hAnsi="Arial" w:cs="Arial"/>
          <w:szCs w:val="28"/>
        </w:rPr>
        <w:t>Конвенція</w:t>
      </w:r>
      <w:proofErr w:type="gramEnd"/>
      <w:r w:rsidRPr="00511005">
        <w:rPr>
          <w:rFonts w:ascii="Arial" w:eastAsia="Calibri" w:hAnsi="Arial" w:cs="Arial"/>
          <w:szCs w:val="28"/>
        </w:rPr>
        <w:t xml:space="preserve"> Про захист цивільного населення під час війни від 12 серпня 1949 року. URL: http://surl.li/eihoa (дата звернення: 12.04.2025).</w:t>
      </w:r>
    </w:p>
    <w:p w14:paraId="43500DF4" w14:textId="77777777" w:rsidR="00220D3E" w:rsidRPr="00511005" w:rsidRDefault="00220D3E" w:rsidP="003F6A5D">
      <w:pPr>
        <w:numPr>
          <w:ilvl w:val="0"/>
          <w:numId w:val="16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Додатковий протокол до Женевських конвенцій від 12 серпня 1949 року, що стосується захисту жертв міжнародних збройних конфліктів </w:t>
      </w:r>
      <w:r w:rsidRPr="00511005">
        <w:rPr>
          <w:rFonts w:ascii="Arial" w:eastAsia="Calibri" w:hAnsi="Arial" w:cs="Arial"/>
          <w:szCs w:val="28"/>
        </w:rPr>
        <w:lastRenderedPageBreak/>
        <w:t>(Протокол I), від 8 червня 1977 року. URL: https://zakon.rada.gov.ua/laws/show/995_199 (дата звернення: 12.04.2025).</w:t>
      </w:r>
    </w:p>
    <w:p w14:paraId="71342A98" w14:textId="77777777" w:rsidR="00220D3E" w:rsidRPr="00511005" w:rsidRDefault="00220D3E" w:rsidP="003F6A5D">
      <w:pPr>
        <w:numPr>
          <w:ilvl w:val="0"/>
          <w:numId w:val="160"/>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Падалка М.А. Міжнародно-правовий захист цивільного населення під час збройних конфліктів. Проблеми сучасних трансформацій. Серія: право, публічне управління та адміністрування. 2022. № 6. DOI: https://doi.org/10.54929/2786-5746-2022-6-01-10 (дата звернення: 14.04.2025).</w:t>
      </w:r>
    </w:p>
    <w:p w14:paraId="79530B11"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01DC8324" w14:textId="552493DE" w:rsidR="00220D3E" w:rsidRPr="00511005" w:rsidRDefault="007B2628"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20D3E" w:rsidRPr="00511005">
        <w:rPr>
          <w:rFonts w:ascii="Arial" w:eastAsia="Times New Roman" w:hAnsi="Arial" w:cs="Arial"/>
          <w:szCs w:val="28"/>
          <w:lang w:eastAsia="ru-RU"/>
        </w:rPr>
        <w:t>військовий злочин, Женевська конвенція, збройний конфлікт, порушення прав людини, цивільне населення.</w:t>
      </w:r>
    </w:p>
    <w:p w14:paraId="039FA837" w14:textId="55081C3D" w:rsidR="00220D3E" w:rsidRPr="00511005" w:rsidRDefault="007B2628" w:rsidP="003A292D">
      <w:pPr>
        <w:tabs>
          <w:tab w:val="left" w:pos="709"/>
        </w:tabs>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20D3E" w:rsidRPr="00511005">
        <w:rPr>
          <w:rFonts w:ascii="Arial" w:eastAsia="Times New Roman" w:hAnsi="Arial" w:cs="Arial"/>
          <w:szCs w:val="28"/>
          <w:lang w:val="en-US" w:eastAsia="ru-RU"/>
        </w:rPr>
        <w:t>war crimes, Geneva Convention, armed conflict, human rights violations, civilian population.</w:t>
      </w:r>
    </w:p>
    <w:p w14:paraId="1F04F8F0" w14:textId="6001B6C0"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00220D3E" w:rsidRPr="00511005">
        <w:rPr>
          <w:rFonts w:ascii="Arial" w:eastAsia="Times New Roman" w:hAnsi="Arial" w:cs="Arial"/>
          <w:i/>
          <w:iCs/>
          <w:szCs w:val="28"/>
          <w:lang w:eastAsia="ru-RU"/>
        </w:rPr>
        <w:t>к.ю.н., доцент Дронов В.Ю.</w:t>
      </w:r>
    </w:p>
    <w:p w14:paraId="1CCEC714"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p>
    <w:p w14:paraId="052ADCA7" w14:textId="35248AEF" w:rsidR="00220D3E" w:rsidRPr="00511005" w:rsidRDefault="00220D3E" w:rsidP="00146592">
      <w:pPr>
        <w:tabs>
          <w:tab w:val="left" w:pos="709"/>
        </w:tabs>
        <w:spacing w:line="264" w:lineRule="auto"/>
        <w:ind w:firstLine="0"/>
        <w:jc w:val="center"/>
        <w:rPr>
          <w:rFonts w:ascii="Arial" w:eastAsia="Times New Roman" w:hAnsi="Arial" w:cs="Arial"/>
          <w:b/>
          <w:i/>
          <w:caps/>
          <w:szCs w:val="28"/>
          <w:lang w:val="uk-UA" w:eastAsia="ru-RU"/>
        </w:rPr>
      </w:pPr>
      <w:r w:rsidRPr="00511005">
        <w:rPr>
          <w:rFonts w:ascii="Arial" w:eastAsia="Times New Roman" w:hAnsi="Arial" w:cs="Arial"/>
          <w:b/>
          <w:i/>
          <w:szCs w:val="28"/>
          <w:lang w:val="uk-UA" w:eastAsia="ru-RU"/>
        </w:rPr>
        <w:t>Чернов ОлександрМиколайович,</w:t>
      </w:r>
      <w:r w:rsidR="00146592" w:rsidRPr="00511005">
        <w:rPr>
          <w:rFonts w:ascii="Arial" w:eastAsia="Times New Roman" w:hAnsi="Arial" w:cs="Arial"/>
          <w:b/>
          <w:i/>
          <w:szCs w:val="28"/>
          <w:lang w:val="uk-UA" w:eastAsia="ru-RU"/>
        </w:rPr>
        <w:t xml:space="preserve"> </w:t>
      </w:r>
      <w:r w:rsidRPr="00511005">
        <w:rPr>
          <w:rFonts w:ascii="Arial" w:eastAsia="Times New Roman" w:hAnsi="Arial" w:cs="Arial"/>
          <w:b/>
          <w:i/>
          <w:szCs w:val="28"/>
          <w:lang w:val="uk-UA" w:eastAsia="ru-RU"/>
        </w:rPr>
        <w:t xml:space="preserve">Іваськова Дарія Сергіївна </w:t>
      </w:r>
    </w:p>
    <w:p w14:paraId="585F9822" w14:textId="15481277" w:rsidR="00220D3E" w:rsidRPr="00511005" w:rsidRDefault="00220D3E" w:rsidP="00146592">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 xml:space="preserve">студенти 5 курсу </w:t>
      </w:r>
      <w:r w:rsidR="001B7B25" w:rsidRPr="00511005">
        <w:rPr>
          <w:rFonts w:ascii="Arial" w:eastAsia="Times New Roman" w:hAnsi="Arial" w:cs="Arial"/>
          <w:iCs/>
          <w:szCs w:val="28"/>
          <w:lang w:val="uk-UA" w:eastAsia="ru-RU"/>
        </w:rPr>
        <w:t>факультету судового та міжнародного права</w:t>
      </w:r>
    </w:p>
    <w:p w14:paraId="665C234C" w14:textId="0E2E6B04" w:rsidR="00220D3E" w:rsidRPr="00511005" w:rsidRDefault="007B2628" w:rsidP="00146592">
      <w:pPr>
        <w:tabs>
          <w:tab w:val="left" w:pos="709"/>
        </w:tabs>
        <w:spacing w:line="264" w:lineRule="auto"/>
        <w:ind w:firstLine="0"/>
        <w:jc w:val="center"/>
        <w:rPr>
          <w:rFonts w:ascii="Arial" w:eastAsia="Times New Roman" w:hAnsi="Arial" w:cs="Arial"/>
          <w:bCs/>
          <w:caps/>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p>
    <w:p w14:paraId="77C2F75E" w14:textId="77777777" w:rsidR="00220D3E" w:rsidRPr="00511005" w:rsidRDefault="00220D3E" w:rsidP="00146592">
      <w:pPr>
        <w:tabs>
          <w:tab w:val="left" w:pos="709"/>
        </w:tabs>
        <w:spacing w:line="264" w:lineRule="auto"/>
        <w:ind w:firstLine="0"/>
        <w:jc w:val="left"/>
        <w:rPr>
          <w:rFonts w:ascii="Arial" w:eastAsia="Times New Roman" w:hAnsi="Arial" w:cs="Arial"/>
          <w:bCs/>
          <w:szCs w:val="28"/>
          <w:lang w:val="uk-UA" w:eastAsia="ru-RU"/>
        </w:rPr>
      </w:pPr>
    </w:p>
    <w:p w14:paraId="0D98CC69" w14:textId="77777777" w:rsidR="00220D3E" w:rsidRPr="00511005" w:rsidRDefault="00220D3E" w:rsidP="00146592">
      <w:pPr>
        <w:tabs>
          <w:tab w:val="left" w:pos="709"/>
        </w:tabs>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РОЛЬ РАДИ БЕЗПЕКИ ООН У ВРЕГУЛЮВАННІ ЗБРОЙНИХ КОНФЛІКТІВ: ЕФЕКТИВНІСТЬ І КРИТИКА</w:t>
      </w:r>
    </w:p>
    <w:p w14:paraId="39E683F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Рада Безпеки Організації Об'єднаних Націй (ООН) є одним з основних органів, відповідальних за підтримання міжнародного миру і безпеки. Вона була створена в рамках Статуту ООН після Другої світової війни і має на меті запобігання війнам, вирішення збройних конфліктів і забезпечення стабільності на глобальному рівні. Проте в умовах сучасних міжнародних відносин </w:t>
      </w:r>
      <w:proofErr w:type="gramStart"/>
      <w:r w:rsidRPr="00511005">
        <w:rPr>
          <w:rFonts w:ascii="Arial" w:eastAsia="Times New Roman" w:hAnsi="Arial" w:cs="Arial"/>
          <w:szCs w:val="28"/>
          <w:lang w:eastAsia="ru-RU"/>
        </w:rPr>
        <w:t>роль</w:t>
      </w:r>
      <w:proofErr w:type="gramEnd"/>
      <w:r w:rsidRPr="00511005">
        <w:rPr>
          <w:rFonts w:ascii="Arial" w:eastAsia="Times New Roman" w:hAnsi="Arial" w:cs="Arial"/>
          <w:szCs w:val="28"/>
          <w:lang w:eastAsia="ru-RU"/>
        </w:rPr>
        <w:t xml:space="preserve"> Ради Безпеки є об'єктом як визнання, так і критики, особливо коли мова йде про її ефективність у врегулюванні конфліктів.</w:t>
      </w:r>
    </w:p>
    <w:p w14:paraId="5B61F1A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Рада Безпеки складається з п'яти постійних членів (США, Велика Британія, Франція, Росія та Китай), які мають право вето, а також десяти непостійних членів, які обираються на два роки Генеральною Асамблеєю. Рада Безпеки має широкі повноваження: вона може приймати резолюції, накладати санкції, організовувати миротворчі місії і, в крайньому випадку, санкціонувати застосування військової сили для підтримки миру.</w:t>
      </w:r>
    </w:p>
    <w:p w14:paraId="577F5ED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Основною </w:t>
      </w:r>
      <w:proofErr w:type="gramStart"/>
      <w:r w:rsidRPr="00511005">
        <w:rPr>
          <w:rFonts w:ascii="Arial" w:eastAsia="Times New Roman" w:hAnsi="Arial" w:cs="Arial"/>
          <w:szCs w:val="28"/>
          <w:lang w:eastAsia="ru-RU"/>
        </w:rPr>
        <w:t>метою</w:t>
      </w:r>
      <w:proofErr w:type="gramEnd"/>
      <w:r w:rsidRPr="00511005">
        <w:rPr>
          <w:rFonts w:ascii="Arial" w:eastAsia="Times New Roman" w:hAnsi="Arial" w:cs="Arial"/>
          <w:szCs w:val="28"/>
          <w:lang w:eastAsia="ru-RU"/>
        </w:rPr>
        <w:t xml:space="preserve"> Ради Безпеки є забезпечення міжнародної безпеки, що включає запобігання війнам, а також сприяння вирішенню конфліктів шляхом мирних переговорів. У разі виникнення збройних конфліктів Рада має можливість ухвалювати рішення щодо впровадження миротворчих операцій або санкцій, щоб уплинути на агресора і сприяти досягненню миру.</w:t>
      </w:r>
    </w:p>
    <w:p w14:paraId="4C673906"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Рада Безпеки є єдиним органом ООН, який має право вжити превентивних або примусових заходів від імені Організації. Згідно зі Статутом ООН, Рада Безпеки відповідає за використання об'єднаних </w:t>
      </w:r>
      <w:r w:rsidRPr="00511005">
        <w:rPr>
          <w:rFonts w:ascii="Arial" w:eastAsia="Times New Roman" w:hAnsi="Arial" w:cs="Arial"/>
          <w:szCs w:val="28"/>
          <w:lang w:eastAsia="ru-RU"/>
        </w:rPr>
        <w:lastRenderedPageBreak/>
        <w:t>збройних сил держав-членів ООН, і це можливо лише «в спільних інтересах» (Статут ООН).</w:t>
      </w:r>
    </w:p>
    <w:p w14:paraId="2F0374D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Стаття 43 цього документа визначає порядок надання державами-членами ООН збройних сил, допоміжних засобів і обслуговування до </w:t>
      </w:r>
      <w:proofErr w:type="gramStart"/>
      <w:r w:rsidRPr="00511005">
        <w:rPr>
          <w:rFonts w:ascii="Arial" w:eastAsia="Times New Roman" w:hAnsi="Arial" w:cs="Arial"/>
          <w:szCs w:val="28"/>
          <w:lang w:eastAsia="ru-RU"/>
        </w:rPr>
        <w:t>розпорядження</w:t>
      </w:r>
      <w:proofErr w:type="gramEnd"/>
      <w:r w:rsidRPr="00511005">
        <w:rPr>
          <w:rFonts w:ascii="Arial" w:eastAsia="Times New Roman" w:hAnsi="Arial" w:cs="Arial"/>
          <w:szCs w:val="28"/>
          <w:lang w:eastAsia="ru-RU"/>
        </w:rPr>
        <w:t xml:space="preserve"> Ради Безпеки на основі спеціальних угод, які укладаються між Радою Безпеки та державами, і підлягають ратифікації. Рада Безпеки повинна вирішувати всі питання, пов'язані зі створенням і застосуванням збройних сил, за підтримки Воєнно-штабного комітету (ВШК), </w:t>
      </w:r>
      <w:proofErr w:type="gramStart"/>
      <w:r w:rsidRPr="00511005">
        <w:rPr>
          <w:rFonts w:ascii="Arial" w:eastAsia="Times New Roman" w:hAnsi="Arial" w:cs="Arial"/>
          <w:szCs w:val="28"/>
          <w:lang w:eastAsia="ru-RU"/>
        </w:rPr>
        <w:t>до складу</w:t>
      </w:r>
      <w:proofErr w:type="gramEnd"/>
      <w:r w:rsidRPr="00511005">
        <w:rPr>
          <w:rFonts w:ascii="Arial" w:eastAsia="Times New Roman" w:hAnsi="Arial" w:cs="Arial"/>
          <w:szCs w:val="28"/>
          <w:lang w:eastAsia="ru-RU"/>
        </w:rPr>
        <w:t xml:space="preserve"> якого входять начальники штабів постійних членів Ради (Статут ООН, ст. 47). Однак положення статей 43 і 47 Статуту не були введені в дію через розбіжності серед постійних </w:t>
      </w:r>
      <w:proofErr w:type="gramStart"/>
      <w:r w:rsidRPr="00511005">
        <w:rPr>
          <w:rFonts w:ascii="Arial" w:eastAsia="Times New Roman" w:hAnsi="Arial" w:cs="Arial"/>
          <w:szCs w:val="28"/>
          <w:lang w:eastAsia="ru-RU"/>
        </w:rPr>
        <w:t>членів</w:t>
      </w:r>
      <w:proofErr w:type="gramEnd"/>
      <w:r w:rsidRPr="00511005">
        <w:rPr>
          <w:rFonts w:ascii="Arial" w:eastAsia="Times New Roman" w:hAnsi="Arial" w:cs="Arial"/>
          <w:szCs w:val="28"/>
          <w:lang w:eastAsia="ru-RU"/>
        </w:rPr>
        <w:t xml:space="preserve"> Ради Безпеки. У 1947 році ВШК фактично припинив свою діяльність, і з того часу в питаннях створення та застосування збройних сил ООН почали використовуватися імпровізовані підходи [4].</w:t>
      </w:r>
    </w:p>
    <w:p w14:paraId="32A752BF"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таких умовах з'явилася нова форма діяльності ООН з підтримки міжнародного миру та безпеки, яка не передбачена Статутом, — миротворча діяльність. Вона може бути визначена як комплекс заходів політичного, економічного, дипломатичного, воєнного та інших видів, що включають мирні методи згідно з главою 6 Статуту ООН, а також рекомендації і заходи, що не передбачають застосування збройних сил відповідно до глави 7 Статуту ООН. Це також включає колективні дії, що здійснюються ООН разом з регіональними організаціями (НАТО, ОБСЄ, СНД, ОАЄ та ін.).</w:t>
      </w:r>
    </w:p>
    <w:p w14:paraId="581E4B0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Однією з головних </w:t>
      </w:r>
      <w:proofErr w:type="gramStart"/>
      <w:r w:rsidRPr="00511005">
        <w:rPr>
          <w:rFonts w:ascii="Arial" w:eastAsia="Times New Roman" w:hAnsi="Arial" w:cs="Arial"/>
          <w:szCs w:val="28"/>
          <w:lang w:eastAsia="ru-RU"/>
        </w:rPr>
        <w:t>функцій</w:t>
      </w:r>
      <w:proofErr w:type="gramEnd"/>
      <w:r w:rsidRPr="00511005">
        <w:rPr>
          <w:rFonts w:ascii="Arial" w:eastAsia="Times New Roman" w:hAnsi="Arial" w:cs="Arial"/>
          <w:szCs w:val="28"/>
          <w:lang w:eastAsia="ru-RU"/>
        </w:rPr>
        <w:t xml:space="preserve"> Ради Безпеки є організація миротворчих операцій. Вона сприяє розгортанню миротворчих сил ООН </w:t>
      </w:r>
      <w:proofErr w:type="gramStart"/>
      <w:r w:rsidRPr="00511005">
        <w:rPr>
          <w:rFonts w:ascii="Arial" w:eastAsia="Times New Roman" w:hAnsi="Arial" w:cs="Arial"/>
          <w:szCs w:val="28"/>
          <w:lang w:eastAsia="ru-RU"/>
        </w:rPr>
        <w:t>у зонах</w:t>
      </w:r>
      <w:proofErr w:type="gramEnd"/>
      <w:r w:rsidRPr="00511005">
        <w:rPr>
          <w:rFonts w:ascii="Arial" w:eastAsia="Times New Roman" w:hAnsi="Arial" w:cs="Arial"/>
          <w:szCs w:val="28"/>
          <w:lang w:eastAsia="ru-RU"/>
        </w:rPr>
        <w:t xml:space="preserve"> конфліктів, надаючи їм мандат для контролю за перемир'ям, надання гуманітарної допомоги та проведення виборів. ООН має великий досвід у проведенні таких місій, зокрема в Камбоджі, Лівані, Сьєрра-Леоне, Сомалі, ДР Конго та на Балканах.</w:t>
      </w:r>
    </w:p>
    <w:p w14:paraId="1D30CC4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Проте ефективність таких місій іноді викликає сумніви. Наприклад, миротворці ООН у Руанді не змогли запобігти геноциду 1994 року, що стало важким ударом по репутації Організації. Також спостерігається недостатня координація між миротворчими силами і національними урядами, що інколи призводить до затримки або неадекватності реагування на кризові ситуації.</w:t>
      </w:r>
    </w:p>
    <w:p w14:paraId="741A2C0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Однією з основних </w:t>
      </w:r>
      <w:proofErr w:type="gramStart"/>
      <w:r w:rsidRPr="00511005">
        <w:rPr>
          <w:rFonts w:ascii="Arial" w:eastAsia="Times New Roman" w:hAnsi="Arial" w:cs="Arial"/>
          <w:szCs w:val="28"/>
          <w:lang w:eastAsia="ru-RU"/>
        </w:rPr>
        <w:t>критик</w:t>
      </w:r>
      <w:proofErr w:type="gramEnd"/>
      <w:r w:rsidRPr="00511005">
        <w:rPr>
          <w:rFonts w:ascii="Arial" w:eastAsia="Times New Roman" w:hAnsi="Arial" w:cs="Arial"/>
          <w:szCs w:val="28"/>
          <w:lang w:eastAsia="ru-RU"/>
        </w:rPr>
        <w:t xml:space="preserve"> Ради Безпеки є її структура, яка дозволяє п'яти постійним членам використовувати право вето. Це дає їм можливість блокувати будь-які резолюції або дії, які не відповідають їхнім національним інтересам, навіть якщо вони сприяють міжнародному миру. Тому Рада Безпеки інколи опиняється в глухому куті, коли не може ухвалити важливі рішення через протистояння постійних членів. Примером цього є ситуація в Сирії, де Росія неодноразово використовувала своє право вето, блокуючи резолюції, спрямовані на накладення санкцій на режим Башара Асада [5].</w:t>
      </w:r>
    </w:p>
    <w:p w14:paraId="2B1870D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Це також веде до нерівності впливу серед держав-членів ООН. Постійні </w:t>
      </w:r>
      <w:proofErr w:type="gramStart"/>
      <w:r w:rsidRPr="00511005">
        <w:rPr>
          <w:rFonts w:ascii="Arial" w:eastAsia="Times New Roman" w:hAnsi="Arial" w:cs="Arial"/>
          <w:szCs w:val="28"/>
          <w:lang w:eastAsia="ru-RU"/>
        </w:rPr>
        <w:t>члени</w:t>
      </w:r>
      <w:proofErr w:type="gramEnd"/>
      <w:r w:rsidRPr="00511005">
        <w:rPr>
          <w:rFonts w:ascii="Arial" w:eastAsia="Times New Roman" w:hAnsi="Arial" w:cs="Arial"/>
          <w:szCs w:val="28"/>
          <w:lang w:eastAsia="ru-RU"/>
        </w:rPr>
        <w:t xml:space="preserve"> Ради мають значно більше впливу на процеси прийняття рішень порівняно з непостійними членами, що не відповідає ідеалам справедливості та рівноправності. Більш того, деякі країни, які не є </w:t>
      </w:r>
      <w:proofErr w:type="gramStart"/>
      <w:r w:rsidRPr="00511005">
        <w:rPr>
          <w:rFonts w:ascii="Arial" w:eastAsia="Times New Roman" w:hAnsi="Arial" w:cs="Arial"/>
          <w:szCs w:val="28"/>
          <w:lang w:eastAsia="ru-RU"/>
        </w:rPr>
        <w:t>членами</w:t>
      </w:r>
      <w:proofErr w:type="gramEnd"/>
      <w:r w:rsidRPr="00511005">
        <w:rPr>
          <w:rFonts w:ascii="Arial" w:eastAsia="Times New Roman" w:hAnsi="Arial" w:cs="Arial"/>
          <w:szCs w:val="28"/>
          <w:lang w:eastAsia="ru-RU"/>
        </w:rPr>
        <w:t xml:space="preserve"> Ради Безпеки, вважають, що їхні інтереси і позиції часто ігноруються в міжнародних дебатах про мир і безпеку.</w:t>
      </w:r>
    </w:p>
    <w:p w14:paraId="63AD056C"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Сучасні збройні конфлікти мають нові особливості, що ставлять перед Радою Безпеки нові виклики. Технологічний розвиток, тероризм, гібридні війни та міжнародна дезінформація значно ускладнюють роботу Ради. У таких умовах традиційні механізми вирішення конфліктів часто виявляються неефективними.</w:t>
      </w:r>
    </w:p>
    <w:p w14:paraId="7FB5F7F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Наприклад, в конфліктах в Україні та Сирії важко досягти сталого миру через втручання великих держав, суперечливі інтереси яких часто блокують прийняття рішення в Раді Безпеки. Окрім того, нові форми війни, зокрема кібернетичні атаки, не завжди підпадають під традиційне визначення збройного конфлікту, що ставить під сумнів </w:t>
      </w:r>
      <w:proofErr w:type="gramStart"/>
      <w:r w:rsidRPr="00511005">
        <w:rPr>
          <w:rFonts w:ascii="Arial" w:eastAsia="Times New Roman" w:hAnsi="Arial" w:cs="Arial"/>
          <w:szCs w:val="28"/>
          <w:lang w:eastAsia="ru-RU"/>
        </w:rPr>
        <w:t>роль</w:t>
      </w:r>
      <w:proofErr w:type="gramEnd"/>
      <w:r w:rsidRPr="00511005">
        <w:rPr>
          <w:rFonts w:ascii="Arial" w:eastAsia="Times New Roman" w:hAnsi="Arial" w:cs="Arial"/>
          <w:szCs w:val="28"/>
          <w:lang w:eastAsia="ru-RU"/>
        </w:rPr>
        <w:t xml:space="preserve"> Ради Безпеки у їхній регуляції.</w:t>
      </w:r>
    </w:p>
    <w:p w14:paraId="02F6C8F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 огляду на критичні зауваження щодо її структури та функціонування, багато експертів закликають до </w:t>
      </w:r>
      <w:proofErr w:type="gramStart"/>
      <w:r w:rsidRPr="00511005">
        <w:rPr>
          <w:rFonts w:ascii="Arial" w:eastAsia="Times New Roman" w:hAnsi="Arial" w:cs="Arial"/>
          <w:szCs w:val="28"/>
          <w:lang w:eastAsia="ru-RU"/>
        </w:rPr>
        <w:t>реформування</w:t>
      </w:r>
      <w:proofErr w:type="gramEnd"/>
      <w:r w:rsidRPr="00511005">
        <w:rPr>
          <w:rFonts w:ascii="Arial" w:eastAsia="Times New Roman" w:hAnsi="Arial" w:cs="Arial"/>
          <w:szCs w:val="28"/>
          <w:lang w:eastAsia="ru-RU"/>
        </w:rPr>
        <w:t xml:space="preserve"> Ради Безпеки ООН. Серед пропозицій — розширення складу постійних членів, що відображало б зміни у балансі сил у світі, а також обмеження права вето, яке не має чіткого обґрунтування з точки зору справедливості. Пропонується також створення нових механізмів реагування на нові загрози, такі як кібернапади та гібридні війни.</w:t>
      </w:r>
    </w:p>
    <w:p w14:paraId="5088D73E"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Рада Безпеки ініціює операцію з підтримання миру через прийняття відповідної резолюції. У резолюції зазначаються мандат місії та кількість персоналу, що бере в ній участь. Рада Безпеки здійснює постійний контроль за діяльністю миротворчих операцій ООН, зокрема через розгляд регулярних доповідей Генерального секретаря та проведення спеціальних засідань для обговорення ефективності окремих операцій. У разі необхідності Рада Безпеки може проголосувати за продовження терміну дії, зміну або припинення мандатів місій.</w:t>
      </w:r>
    </w:p>
    <w:p w14:paraId="2CB636C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Основною причиною неефективності багатьох механізмів і процедур прийняття рішень є використання постійними </w:t>
      </w:r>
      <w:proofErr w:type="gramStart"/>
      <w:r w:rsidRPr="00511005">
        <w:rPr>
          <w:rFonts w:ascii="Arial" w:eastAsia="Times New Roman" w:hAnsi="Arial" w:cs="Arial"/>
          <w:szCs w:val="28"/>
          <w:lang w:eastAsia="ru-RU"/>
        </w:rPr>
        <w:t>членами</w:t>
      </w:r>
      <w:proofErr w:type="gramEnd"/>
      <w:r w:rsidRPr="00511005">
        <w:rPr>
          <w:rFonts w:ascii="Arial" w:eastAsia="Times New Roman" w:hAnsi="Arial" w:cs="Arial"/>
          <w:szCs w:val="28"/>
          <w:lang w:eastAsia="ru-RU"/>
        </w:rPr>
        <w:t xml:space="preserve"> Ради Безпеки ООН права «вето». Згідно з офіційною статистикою ООН, за весь час існування міжнародної організації право вето на резолюції Республіки Білорусь накладалося державами-членами 192 рази. При цьому сотні разів застосовувалося неофіційне, так зване приховане вето [3].</w:t>
      </w:r>
    </w:p>
    <w:p w14:paraId="655F2A55"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деяких випадках застосування «прихованого вето» призводило до надзвичайно трагічних наслідків, про що свідчить приклад Руанди, де внаслідок геноциду 1994 року загинуло близько 800 тис. тутсі. осіб, 2 мільйони стали біженцями, а ще 2 мільйони були переміщені всередині </w:t>
      </w:r>
      <w:r w:rsidRPr="00511005">
        <w:rPr>
          <w:rFonts w:ascii="Arial" w:eastAsia="Times New Roman" w:hAnsi="Arial" w:cs="Arial"/>
          <w:szCs w:val="28"/>
          <w:lang w:eastAsia="ru-RU"/>
        </w:rPr>
        <w:lastRenderedPageBreak/>
        <w:t>країни. У цьому випадку Франція застосувала «приховане вето», що спричинило відсутність поняття «геноцид» у семи постановах Республіки Білорусь поспіль [2].</w:t>
      </w:r>
    </w:p>
    <w:p w14:paraId="0EE7DCC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Неможливість реагування на серйозні конфлікти, що становлять реальну загрозу міжнародному миру та безпеці, стала наслідком недосконалості процедурної форми </w:t>
      </w:r>
      <w:proofErr w:type="gramStart"/>
      <w:r w:rsidRPr="00511005">
        <w:rPr>
          <w:rFonts w:ascii="Arial" w:eastAsia="Times New Roman" w:hAnsi="Arial" w:cs="Arial"/>
          <w:szCs w:val="28"/>
          <w:lang w:eastAsia="ru-RU"/>
        </w:rPr>
        <w:t>діяльності</w:t>
      </w:r>
      <w:proofErr w:type="gramEnd"/>
      <w:r w:rsidRPr="00511005">
        <w:rPr>
          <w:rFonts w:ascii="Arial" w:eastAsia="Times New Roman" w:hAnsi="Arial" w:cs="Arial"/>
          <w:szCs w:val="28"/>
          <w:lang w:eastAsia="ru-RU"/>
        </w:rPr>
        <w:t xml:space="preserve"> Ради Безпеки ООН. Іноді воно навіть не доходить до стадії обговорення через негативне голосування хоча б одного постійного члена через його власні політичні інтереси [1].</w:t>
      </w:r>
    </w:p>
    <w:p w14:paraId="700D158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Яскравим прикладом цього є збройний конфлікт між Україною та угрупованнями військ, бандитськими та терористичними збройними формуваннями, які знаходяться під безпосереднім контролем Російської Федерації.</w:t>
      </w:r>
    </w:p>
    <w:p w14:paraId="40FFE370"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Іншим прикладом є те, що протягом шести років з початку повстання проти режиму президента Сирії Башара Асада та бойових дій, які відбуваються всередині країни, Російська Федерація заблокувала восьму поспіль резолюцію щодо врегулювання конфлікту, засудження доведених фактів застосування військового насильства проти мирного населення та засудження застосування хімічної зброї, що є прямим порушенням зобов’язань, йдеться в указі. Президента Сирії Башара Асада про приєднання Сирії до Конвенції про заборону розробки, виробництва, накопичення і використання хімічної зброї та її знищення (з 1992 р.) [6].</w:t>
      </w:r>
    </w:p>
    <w:p w14:paraId="33C52238"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Наразі Рада Безпеки ООН не справляється з покладеними на неї завданнями, оскільки резолюції, які мали б стати початком процесу врегулювання цих конфліктів, блокуються Російською Федерацією, постійним </w:t>
      </w:r>
      <w:proofErr w:type="gramStart"/>
      <w:r w:rsidRPr="00511005">
        <w:rPr>
          <w:rFonts w:ascii="Arial" w:eastAsia="Times New Roman" w:hAnsi="Arial" w:cs="Arial"/>
          <w:szCs w:val="28"/>
          <w:lang w:eastAsia="ru-RU"/>
        </w:rPr>
        <w:t>членом</w:t>
      </w:r>
      <w:proofErr w:type="gramEnd"/>
      <w:r w:rsidRPr="00511005">
        <w:rPr>
          <w:rFonts w:ascii="Arial" w:eastAsia="Times New Roman" w:hAnsi="Arial" w:cs="Arial"/>
          <w:szCs w:val="28"/>
          <w:lang w:eastAsia="ru-RU"/>
        </w:rPr>
        <w:t xml:space="preserve"> Ради Безпеки ООН, яка є безпосереднім учасником цих конфліктів, а щодо України – ще й у статусі агресора.</w:t>
      </w:r>
    </w:p>
    <w:p w14:paraId="2CBE92B7"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Отже, Рада Безпеки ООН відіграє важливу роль у підтримці міжнародного миру і безпеки, однак її ефективність обмежена структурними проблемами, зокрема правом вето та нерівністю впливу серед держав. Для того, щоб Організація могла ефективно реагувати на сучасні виклики, необхідні реформи, які б дозволили зберегти її легітимність і підвищити здатність до швидкого й ефективного реагування на конфлікти. Рада Безпеки має можливість продовжити свою важливу роль у міжнародних відносинах, але для цього потрібно адаптувати її до нових умов глобальної безпеки.</w:t>
      </w:r>
    </w:p>
    <w:p w14:paraId="260F3E30" w14:textId="77777777" w:rsidR="00220D3E" w:rsidRPr="00511005" w:rsidRDefault="00220D3E" w:rsidP="003A292D">
      <w:pPr>
        <w:tabs>
          <w:tab w:val="left" w:pos="709"/>
        </w:tabs>
        <w:spacing w:line="264" w:lineRule="auto"/>
        <w:jc w:val="center"/>
        <w:rPr>
          <w:rFonts w:ascii="Arial" w:eastAsia="Times New Roman" w:hAnsi="Arial" w:cs="Arial"/>
          <w:b/>
          <w:szCs w:val="28"/>
          <w:lang w:val="uk-UA" w:eastAsia="ru-RU"/>
        </w:rPr>
      </w:pPr>
    </w:p>
    <w:p w14:paraId="31D18AC2" w14:textId="0F372822" w:rsidR="00220D3E" w:rsidRPr="00511005" w:rsidRDefault="007B2628" w:rsidP="007B2628">
      <w:pPr>
        <w:tabs>
          <w:tab w:val="left" w:pos="709"/>
        </w:tabs>
        <w:spacing w:line="264" w:lineRule="auto"/>
        <w:ind w:left="709" w:firstLine="0"/>
        <w:contextualSpacing/>
        <w:jc w:val="center"/>
        <w:rPr>
          <w:rFonts w:ascii="Arial" w:eastAsia="Calibri" w:hAnsi="Arial" w:cs="Arial"/>
          <w:szCs w:val="28"/>
        </w:rPr>
      </w:pPr>
      <w:r w:rsidRPr="00511005">
        <w:rPr>
          <w:rFonts w:ascii="Arial" w:eastAsia="Times New Roman" w:hAnsi="Arial" w:cs="Arial"/>
          <w:b/>
          <w:szCs w:val="28"/>
          <w:lang w:val="uk-UA" w:eastAsia="ru-RU"/>
        </w:rPr>
        <w:t>Список використаних джерел</w:t>
      </w:r>
    </w:p>
    <w:p w14:paraId="4EC50DB7" w14:textId="77777777" w:rsidR="00220D3E" w:rsidRPr="00511005" w:rsidRDefault="00220D3E" w:rsidP="003F6A5D">
      <w:pPr>
        <w:numPr>
          <w:ilvl w:val="0"/>
          <w:numId w:val="161"/>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shd w:val="clear" w:color="auto" w:fill="FFFFFF"/>
        </w:rPr>
        <w:t>Бані-Насер Фаді Миротворчі операції ООН: теорія і практика</w:t>
      </w:r>
      <w:r w:rsidRPr="00511005">
        <w:rPr>
          <w:rFonts w:ascii="Arial" w:eastAsia="Calibri" w:hAnsi="Arial" w:cs="Arial"/>
          <w:szCs w:val="28"/>
          <w:shd w:val="clear" w:color="auto" w:fill="FFFFFF"/>
          <w:lang w:val="uk-UA"/>
        </w:rPr>
        <w:t xml:space="preserve">. </w:t>
      </w:r>
      <w:r w:rsidRPr="00511005">
        <w:rPr>
          <w:rFonts w:ascii="Arial" w:eastAsia="Calibri" w:hAnsi="Arial" w:cs="Arial"/>
          <w:i/>
          <w:szCs w:val="28"/>
          <w:shd w:val="clear" w:color="auto" w:fill="FFFFFF"/>
        </w:rPr>
        <w:t>Проблеми міжнародних відносин</w:t>
      </w:r>
      <w:r w:rsidRPr="00511005">
        <w:rPr>
          <w:rFonts w:ascii="Arial" w:eastAsia="Calibri" w:hAnsi="Arial" w:cs="Arial"/>
          <w:szCs w:val="28"/>
          <w:shd w:val="clear" w:color="auto" w:fill="FFFFFF"/>
        </w:rPr>
        <w:t xml:space="preserve">. 2015. Вип. 10-11. С. 24–36. </w:t>
      </w:r>
    </w:p>
    <w:p w14:paraId="78AC0C21" w14:textId="77777777" w:rsidR="00220D3E" w:rsidRPr="00511005" w:rsidRDefault="00220D3E" w:rsidP="003F6A5D">
      <w:pPr>
        <w:numPr>
          <w:ilvl w:val="0"/>
          <w:numId w:val="161"/>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shd w:val="clear" w:color="auto" w:fill="FFFFFF"/>
        </w:rPr>
        <w:t>Баргамон Н. І. Юридичний аналіз компетенції ради безпеки ООН щодо підтримання міжнародного миру та безпеки</w:t>
      </w:r>
      <w:r w:rsidRPr="00511005">
        <w:rPr>
          <w:rFonts w:ascii="Arial" w:eastAsia="Calibri" w:hAnsi="Arial" w:cs="Arial"/>
          <w:szCs w:val="28"/>
          <w:shd w:val="clear" w:color="auto" w:fill="FFFFFF"/>
          <w:lang w:val="uk-UA"/>
        </w:rPr>
        <w:t>.</w:t>
      </w:r>
      <w:r w:rsidRPr="00511005">
        <w:rPr>
          <w:rFonts w:ascii="Arial" w:eastAsia="Calibri" w:hAnsi="Arial" w:cs="Arial"/>
          <w:szCs w:val="28"/>
          <w:shd w:val="clear" w:color="auto" w:fill="FFFFFF"/>
        </w:rPr>
        <w:t xml:space="preserve"> </w:t>
      </w:r>
      <w:r w:rsidRPr="00511005">
        <w:rPr>
          <w:rFonts w:ascii="Arial" w:eastAsia="Calibri" w:hAnsi="Arial" w:cs="Arial"/>
          <w:i/>
          <w:szCs w:val="28"/>
          <w:shd w:val="clear" w:color="auto" w:fill="FFFFFF"/>
        </w:rPr>
        <w:t xml:space="preserve">Міжнародне право на </w:t>
      </w:r>
      <w:r w:rsidRPr="00511005">
        <w:rPr>
          <w:rFonts w:ascii="Arial" w:eastAsia="Calibri" w:hAnsi="Arial" w:cs="Arial"/>
          <w:i/>
          <w:szCs w:val="28"/>
          <w:shd w:val="clear" w:color="auto" w:fill="FFFFFF"/>
        </w:rPr>
        <w:lastRenderedPageBreak/>
        <w:t xml:space="preserve">службі держави, суспільства, людини: матеріали </w:t>
      </w:r>
      <w:proofErr w:type="gramStart"/>
      <w:r w:rsidRPr="00511005">
        <w:rPr>
          <w:rFonts w:ascii="Arial" w:eastAsia="Calibri" w:hAnsi="Arial" w:cs="Arial"/>
          <w:i/>
          <w:szCs w:val="28"/>
          <w:shd w:val="clear" w:color="auto" w:fill="FFFFFF"/>
        </w:rPr>
        <w:t>наук.-</w:t>
      </w:r>
      <w:proofErr w:type="gramEnd"/>
      <w:r w:rsidRPr="00511005">
        <w:rPr>
          <w:rFonts w:ascii="Arial" w:eastAsia="Calibri" w:hAnsi="Arial" w:cs="Arial"/>
          <w:i/>
          <w:szCs w:val="28"/>
          <w:shd w:val="clear" w:color="auto" w:fill="FFFFFF"/>
        </w:rPr>
        <w:t xml:space="preserve"> практ. конф.</w:t>
      </w:r>
      <w:r w:rsidRPr="00511005">
        <w:rPr>
          <w:rFonts w:ascii="Arial" w:eastAsia="Calibri" w:hAnsi="Arial" w:cs="Arial"/>
          <w:szCs w:val="28"/>
          <w:shd w:val="clear" w:color="auto" w:fill="FFFFFF"/>
        </w:rPr>
        <w:t xml:space="preserve"> (Київ, 8 грудня 2016 р.). 2017. С. 6–11. </w:t>
      </w:r>
    </w:p>
    <w:p w14:paraId="7B5A4858" w14:textId="77777777" w:rsidR="00220D3E" w:rsidRPr="00511005" w:rsidRDefault="00220D3E" w:rsidP="003F6A5D">
      <w:pPr>
        <w:numPr>
          <w:ilvl w:val="0"/>
          <w:numId w:val="161"/>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shd w:val="clear" w:color="auto" w:fill="FFFFFF"/>
        </w:rPr>
        <w:t>Годованик Є. В. Організаційно-правові аспекти реформування ради безпеки ООН на сучасному етапі</w:t>
      </w:r>
      <w:r w:rsidRPr="00511005">
        <w:rPr>
          <w:rFonts w:ascii="Arial" w:eastAsia="Calibri" w:hAnsi="Arial" w:cs="Arial"/>
          <w:szCs w:val="28"/>
          <w:shd w:val="clear" w:color="auto" w:fill="FFFFFF"/>
          <w:lang w:val="uk-UA"/>
        </w:rPr>
        <w:t>.</w:t>
      </w:r>
      <w:r w:rsidRPr="00511005">
        <w:rPr>
          <w:rFonts w:ascii="Arial" w:eastAsia="Calibri" w:hAnsi="Arial" w:cs="Arial"/>
          <w:szCs w:val="28"/>
          <w:shd w:val="clear" w:color="auto" w:fill="FFFFFF"/>
        </w:rPr>
        <w:t xml:space="preserve"> </w:t>
      </w:r>
      <w:r w:rsidRPr="00511005">
        <w:rPr>
          <w:rFonts w:ascii="Arial" w:eastAsia="Calibri" w:hAnsi="Arial" w:cs="Arial"/>
          <w:i/>
          <w:szCs w:val="28"/>
          <w:shd w:val="clear" w:color="auto" w:fill="FFFFFF"/>
        </w:rPr>
        <w:t>Держава і право</w:t>
      </w:r>
      <w:r w:rsidRPr="00511005">
        <w:rPr>
          <w:rFonts w:ascii="Arial" w:eastAsia="Calibri" w:hAnsi="Arial" w:cs="Arial"/>
          <w:szCs w:val="28"/>
          <w:shd w:val="clear" w:color="auto" w:fill="FFFFFF"/>
        </w:rPr>
        <w:t xml:space="preserve">. 2010. Вип. 49. С. 648–655. </w:t>
      </w:r>
    </w:p>
    <w:p w14:paraId="519649A2" w14:textId="77777777" w:rsidR="00220D3E" w:rsidRPr="00511005" w:rsidRDefault="00220D3E" w:rsidP="003F6A5D">
      <w:pPr>
        <w:numPr>
          <w:ilvl w:val="0"/>
          <w:numId w:val="161"/>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shd w:val="clear" w:color="auto" w:fill="FFFFFF"/>
        </w:rPr>
        <w:t>Лега А. Ю. Правові основи врегулювання військових конфліктів</w:t>
      </w:r>
      <w:r w:rsidRPr="00511005">
        <w:rPr>
          <w:rFonts w:ascii="Arial" w:eastAsia="Calibri" w:hAnsi="Arial" w:cs="Arial"/>
          <w:szCs w:val="28"/>
          <w:shd w:val="clear" w:color="auto" w:fill="FFFFFF"/>
          <w:lang w:val="uk-UA"/>
        </w:rPr>
        <w:t>.</w:t>
      </w:r>
      <w:r w:rsidRPr="00511005">
        <w:rPr>
          <w:rFonts w:ascii="Arial" w:eastAsia="Calibri" w:hAnsi="Arial" w:cs="Arial"/>
          <w:szCs w:val="28"/>
          <w:shd w:val="clear" w:color="auto" w:fill="FFFFFF"/>
        </w:rPr>
        <w:t xml:space="preserve"> </w:t>
      </w:r>
      <w:r w:rsidRPr="00511005">
        <w:rPr>
          <w:rFonts w:ascii="Arial" w:eastAsia="Calibri" w:hAnsi="Arial" w:cs="Arial"/>
          <w:i/>
          <w:szCs w:val="28"/>
          <w:shd w:val="clear" w:color="auto" w:fill="FFFFFF"/>
        </w:rPr>
        <w:t>Історичний архів</w:t>
      </w:r>
      <w:r w:rsidRPr="00511005">
        <w:rPr>
          <w:rFonts w:ascii="Arial" w:eastAsia="Calibri" w:hAnsi="Arial" w:cs="Arial"/>
          <w:szCs w:val="28"/>
          <w:shd w:val="clear" w:color="auto" w:fill="FFFFFF"/>
        </w:rPr>
        <w:t xml:space="preserve">. 2011. Вип. 6. С. 80–83. </w:t>
      </w:r>
    </w:p>
    <w:p w14:paraId="0D93BAD3" w14:textId="77777777" w:rsidR="00220D3E" w:rsidRPr="00511005" w:rsidRDefault="00220D3E" w:rsidP="003F6A5D">
      <w:pPr>
        <w:numPr>
          <w:ilvl w:val="0"/>
          <w:numId w:val="161"/>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shd w:val="clear" w:color="auto" w:fill="FFFFFF"/>
        </w:rPr>
        <w:t xml:space="preserve">Малишева Ю. В. Цілеспрямовані санкції та їх застосування Радою Безпеки </w:t>
      </w:r>
      <w:proofErr w:type="gramStart"/>
      <w:r w:rsidRPr="00511005">
        <w:rPr>
          <w:rFonts w:ascii="Arial" w:eastAsia="Calibri" w:hAnsi="Arial" w:cs="Arial"/>
          <w:szCs w:val="28"/>
          <w:shd w:val="clear" w:color="auto" w:fill="FFFFFF"/>
        </w:rPr>
        <w:t>ООН :</w:t>
      </w:r>
      <w:proofErr w:type="gramEnd"/>
      <w:r w:rsidRPr="00511005">
        <w:rPr>
          <w:rFonts w:ascii="Arial" w:eastAsia="Calibri" w:hAnsi="Arial" w:cs="Arial"/>
          <w:szCs w:val="28"/>
          <w:shd w:val="clear" w:color="auto" w:fill="FFFFFF"/>
        </w:rPr>
        <w:t xml:space="preserve"> дис. … канд. юрид. </w:t>
      </w:r>
      <w:proofErr w:type="gramStart"/>
      <w:r w:rsidRPr="00511005">
        <w:rPr>
          <w:rFonts w:ascii="Arial" w:eastAsia="Calibri" w:hAnsi="Arial" w:cs="Arial"/>
          <w:szCs w:val="28"/>
          <w:shd w:val="clear" w:color="auto" w:fill="FFFFFF"/>
        </w:rPr>
        <w:t>наук :</w:t>
      </w:r>
      <w:proofErr w:type="gramEnd"/>
      <w:r w:rsidRPr="00511005">
        <w:rPr>
          <w:rFonts w:ascii="Arial" w:eastAsia="Calibri" w:hAnsi="Arial" w:cs="Arial"/>
          <w:szCs w:val="28"/>
          <w:shd w:val="clear" w:color="auto" w:fill="FFFFFF"/>
        </w:rPr>
        <w:t xml:space="preserve"> 12.00.11. Київ, 2016. 253 с. </w:t>
      </w:r>
    </w:p>
    <w:p w14:paraId="7772E480" w14:textId="77777777" w:rsidR="00220D3E" w:rsidRPr="00511005" w:rsidRDefault="00220D3E" w:rsidP="003F6A5D">
      <w:pPr>
        <w:numPr>
          <w:ilvl w:val="0"/>
          <w:numId w:val="161"/>
        </w:numPr>
        <w:tabs>
          <w:tab w:val="left" w:pos="709"/>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shd w:val="clear" w:color="auto" w:fill="FFFFFF"/>
        </w:rPr>
        <w:t xml:space="preserve">Остапенко Н. В. </w:t>
      </w:r>
      <w:proofErr w:type="gramStart"/>
      <w:r w:rsidRPr="00511005">
        <w:rPr>
          <w:rFonts w:ascii="Arial" w:eastAsia="Calibri" w:hAnsi="Arial" w:cs="Arial"/>
          <w:szCs w:val="28"/>
          <w:shd w:val="clear" w:color="auto" w:fill="FFFFFF"/>
        </w:rPr>
        <w:t>Реформа</w:t>
      </w:r>
      <w:proofErr w:type="gramEnd"/>
      <w:r w:rsidRPr="00511005">
        <w:rPr>
          <w:rFonts w:ascii="Arial" w:eastAsia="Calibri" w:hAnsi="Arial" w:cs="Arial"/>
          <w:szCs w:val="28"/>
          <w:shd w:val="clear" w:color="auto" w:fill="FFFFFF"/>
        </w:rPr>
        <w:t xml:space="preserve"> Ради Безпеки ООН як засіб подолання кризи ефективності Організації</w:t>
      </w:r>
      <w:r w:rsidRPr="00511005">
        <w:rPr>
          <w:rFonts w:ascii="Arial" w:eastAsia="Calibri" w:hAnsi="Arial" w:cs="Arial"/>
          <w:szCs w:val="28"/>
          <w:shd w:val="clear" w:color="auto" w:fill="FFFFFF"/>
          <w:lang w:val="uk-UA"/>
        </w:rPr>
        <w:t>.</w:t>
      </w:r>
      <w:r w:rsidRPr="00511005">
        <w:rPr>
          <w:rFonts w:ascii="Arial" w:eastAsia="Calibri" w:hAnsi="Arial" w:cs="Arial"/>
          <w:szCs w:val="28"/>
          <w:shd w:val="clear" w:color="auto" w:fill="FFFFFF"/>
        </w:rPr>
        <w:t xml:space="preserve"> </w:t>
      </w:r>
      <w:r w:rsidRPr="00511005">
        <w:rPr>
          <w:rFonts w:ascii="Arial" w:eastAsia="Calibri" w:hAnsi="Arial" w:cs="Arial"/>
          <w:i/>
          <w:szCs w:val="28"/>
          <w:shd w:val="clear" w:color="auto" w:fill="FFFFFF"/>
        </w:rPr>
        <w:t>Зовнішні справи</w:t>
      </w:r>
      <w:r w:rsidRPr="00511005">
        <w:rPr>
          <w:rFonts w:ascii="Arial" w:eastAsia="Calibri" w:hAnsi="Arial" w:cs="Arial"/>
          <w:szCs w:val="28"/>
          <w:shd w:val="clear" w:color="auto" w:fill="FFFFFF"/>
        </w:rPr>
        <w:t>. 2019. № 1. С. 53–55.</w:t>
      </w:r>
    </w:p>
    <w:p w14:paraId="0DB4F704" w14:textId="5956AC4E" w:rsidR="00220D3E" w:rsidRPr="00511005" w:rsidRDefault="007B2628" w:rsidP="003A292D">
      <w:pPr>
        <w:tabs>
          <w:tab w:val="left" w:pos="709"/>
        </w:tabs>
        <w:spacing w:line="264" w:lineRule="auto"/>
        <w:rPr>
          <w:rFonts w:ascii="Arial" w:eastAsia="Times New Roman" w:hAnsi="Arial" w:cs="Arial"/>
          <w:bCs/>
          <w:szCs w:val="28"/>
          <w:lang w:eastAsia="ru-RU"/>
        </w:rPr>
      </w:pPr>
      <w:r w:rsidRPr="00511005">
        <w:rPr>
          <w:rFonts w:ascii="Arial" w:eastAsia="Times New Roman" w:hAnsi="Arial" w:cs="Arial"/>
          <w:b/>
          <w:i/>
          <w:szCs w:val="28"/>
          <w:lang w:eastAsia="ru-RU"/>
        </w:rPr>
        <w:t xml:space="preserve">Ключові слова: </w:t>
      </w:r>
      <w:r w:rsidR="00220D3E" w:rsidRPr="00511005">
        <w:rPr>
          <w:rFonts w:ascii="Arial" w:eastAsia="Times New Roman" w:hAnsi="Arial" w:cs="Arial"/>
          <w:bCs/>
          <w:szCs w:val="28"/>
          <w:lang w:eastAsia="ru-RU"/>
        </w:rPr>
        <w:t>Рада Безпеки ООН, миротворчі операції, право вето, міжнародна безпека, конфлікти, реформа ООН, міжнародне право, гібридні війни</w:t>
      </w:r>
    </w:p>
    <w:p w14:paraId="7275194F" w14:textId="21FE13A9" w:rsidR="00220D3E" w:rsidRPr="00511005" w:rsidRDefault="007B2628" w:rsidP="003A292D">
      <w:pPr>
        <w:tabs>
          <w:tab w:val="left" w:pos="709"/>
        </w:tabs>
        <w:spacing w:line="264" w:lineRule="auto"/>
        <w:rPr>
          <w:rFonts w:ascii="Arial" w:eastAsia="Times New Roman" w:hAnsi="Arial" w:cs="Arial"/>
          <w:b/>
          <w:szCs w:val="28"/>
          <w:lang w:val="uk-UA" w:eastAsia="ru-RU"/>
        </w:rPr>
      </w:pPr>
      <w:r w:rsidRPr="00511005">
        <w:rPr>
          <w:rFonts w:ascii="Arial" w:eastAsia="Times New Roman" w:hAnsi="Arial" w:cs="Arial"/>
          <w:b/>
          <w:i/>
          <w:szCs w:val="28"/>
          <w:lang w:val="en-US" w:eastAsia="ru-RU"/>
        </w:rPr>
        <w:t xml:space="preserve">Key words: </w:t>
      </w:r>
      <w:r w:rsidR="00220D3E" w:rsidRPr="00511005">
        <w:rPr>
          <w:rFonts w:ascii="Arial" w:eastAsia="Times New Roman" w:hAnsi="Arial" w:cs="Arial"/>
          <w:bCs/>
          <w:szCs w:val="28"/>
          <w:lang w:val="en-US" w:eastAsia="ru-RU"/>
        </w:rPr>
        <w:t>UN Security Council, peacekeeping operations, veto power, international security, conflicts, UN reform, international law, hybrid wars</w:t>
      </w:r>
    </w:p>
    <w:p w14:paraId="1158E922" w14:textId="1555BE3F" w:rsidR="00220D3E" w:rsidRPr="00511005" w:rsidRDefault="007B2628" w:rsidP="003A292D">
      <w:pPr>
        <w:tabs>
          <w:tab w:val="left" w:pos="709"/>
        </w:tabs>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к.ю.н., доцент</w:t>
      </w:r>
      <w:r w:rsidRPr="00511005">
        <w:rPr>
          <w:rFonts w:ascii="Arial" w:eastAsia="Times New Roman" w:hAnsi="Arial" w:cs="Arial"/>
          <w:i/>
          <w:szCs w:val="28"/>
          <w:lang w:val="uk-UA" w:eastAsia="ru-RU"/>
        </w:rPr>
        <w:t xml:space="preserve"> </w:t>
      </w:r>
      <w:r w:rsidR="00220D3E" w:rsidRPr="00511005">
        <w:rPr>
          <w:rFonts w:ascii="Arial" w:eastAsia="Times New Roman" w:hAnsi="Arial" w:cs="Arial"/>
          <w:i/>
          <w:szCs w:val="28"/>
          <w:lang w:val="uk-UA" w:eastAsia="ru-RU"/>
        </w:rPr>
        <w:t>Канєнберг-Сандул О.К.</w:t>
      </w:r>
    </w:p>
    <w:p w14:paraId="1AF47387"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ind w:firstLine="561"/>
        <w:jc w:val="center"/>
        <w:rPr>
          <w:rFonts w:ascii="Arial" w:eastAsia="Arial Unicode MS" w:hAnsi="Arial" w:cs="Arial"/>
          <w:b/>
          <w:bCs/>
          <w:i/>
          <w:iCs/>
          <w:szCs w:val="28"/>
          <w:u w:color="000000"/>
          <w:bdr w:val="nil"/>
          <w:lang w:val="uk-UA" w:eastAsia="uk-UA"/>
        </w:rPr>
      </w:pPr>
    </w:p>
    <w:p w14:paraId="2F00C208"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ind w:firstLine="561"/>
        <w:jc w:val="center"/>
        <w:rPr>
          <w:rFonts w:ascii="Arial" w:eastAsia="Times New Roman" w:hAnsi="Arial" w:cs="Arial"/>
          <w:b/>
          <w:bCs/>
          <w:i/>
          <w:iCs/>
          <w:szCs w:val="28"/>
          <w:u w:color="000000"/>
          <w:bdr w:val="nil"/>
          <w:lang w:val="uk-UA" w:eastAsia="uk-UA"/>
        </w:rPr>
      </w:pPr>
      <w:r w:rsidRPr="00511005">
        <w:rPr>
          <w:rFonts w:ascii="Arial" w:eastAsia="Arial Unicode MS" w:hAnsi="Arial" w:cs="Arial"/>
          <w:b/>
          <w:bCs/>
          <w:i/>
          <w:iCs/>
          <w:szCs w:val="28"/>
          <w:u w:color="000000"/>
          <w:bdr w:val="nil"/>
          <w:lang w:val="uk-UA" w:eastAsia="uk-UA"/>
        </w:rPr>
        <w:t>Шершенькова Регіна Володимирівна</w:t>
      </w:r>
    </w:p>
    <w:p w14:paraId="04E97F2B" w14:textId="44ED2B09"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0CC04B8C"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81EF2CE"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6FD81E8"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ind w:firstLine="561"/>
        <w:jc w:val="center"/>
        <w:rPr>
          <w:rFonts w:ascii="Arial" w:eastAsia="Times New Roman" w:hAnsi="Arial" w:cs="Arial"/>
          <w:b/>
          <w:bCs/>
          <w:szCs w:val="28"/>
          <w:u w:color="000000"/>
          <w:bdr w:val="nil"/>
          <w:lang w:val="uk-UA" w:eastAsia="uk-UA"/>
        </w:rPr>
      </w:pPr>
    </w:p>
    <w:p w14:paraId="466D5282"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ind w:firstLine="561"/>
        <w:jc w:val="center"/>
        <w:rPr>
          <w:rFonts w:ascii="Arial" w:eastAsia="Times New Roman" w:hAnsi="Arial" w:cs="Arial"/>
          <w:b/>
          <w:bCs/>
          <w:szCs w:val="28"/>
          <w:u w:color="000000"/>
          <w:bdr w:val="nil"/>
          <w:lang w:val="uk-UA" w:eastAsia="uk-UA"/>
        </w:rPr>
      </w:pPr>
      <w:r w:rsidRPr="00511005">
        <w:rPr>
          <w:rFonts w:ascii="Arial" w:eastAsia="Arial Unicode MS" w:hAnsi="Arial" w:cs="Arial"/>
          <w:b/>
          <w:bCs/>
          <w:szCs w:val="28"/>
          <w:u w:color="000000"/>
          <w:bdr w:val="nil"/>
          <w:lang w:val="uk-UA" w:eastAsia="uk-UA"/>
        </w:rPr>
        <w:t>ВПЛИВ МІЖНАРОДНОГО ПРАВА НА ПРАВОВУ СИСТЕМУ ЄВРОПЕЙСЬКОГО СОЮЗУ</w:t>
      </w:r>
      <w:r w:rsidRPr="00511005">
        <w:rPr>
          <w:rFonts w:ascii="Arial" w:eastAsia="Arial Unicode MS" w:hAnsi="Arial" w:cs="Arial"/>
          <w:b/>
          <w:bCs/>
          <w:szCs w:val="28"/>
          <w:u w:color="000000"/>
          <w:bdr w:val="nil"/>
          <w:lang w:eastAsia="uk-UA"/>
        </w:rPr>
        <w:t xml:space="preserve">: </w:t>
      </w:r>
      <w:r w:rsidRPr="00511005">
        <w:rPr>
          <w:rFonts w:ascii="Arial" w:eastAsia="Arial Unicode MS" w:hAnsi="Arial" w:cs="Arial"/>
          <w:b/>
          <w:bCs/>
          <w:szCs w:val="28"/>
          <w:u w:color="000000"/>
          <w:bdr w:val="nil"/>
          <w:lang w:val="uk-UA" w:eastAsia="uk-UA"/>
        </w:rPr>
        <w:t xml:space="preserve">ВИКЛИКИ ТА МОЖЛИВОСТІ </w:t>
      </w:r>
    </w:p>
    <w:p w14:paraId="6B032C07"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У сучасному світі спостерігається дедалі глибше переплетіння національного, регіонального та міжнародного права. Особливо виразним цей процес є у правовій системі Європейського Союзу (ЄС), яка є унікальною формою наднаціонального правопорядку. ЄС активно бере участь у міжнародно-правовій діяльності, укладає угоди, визнає загальновизнані принципи міжнародного права, проте водночас прагне зберігати свою правову автономію.</w:t>
      </w:r>
      <w:r w:rsidRPr="00511005">
        <w:rPr>
          <w:rFonts w:ascii="Arial" w:eastAsia="Arial Unicode MS" w:hAnsi="Arial" w:cs="Arial"/>
          <w:szCs w:val="28"/>
          <w:u w:color="000000"/>
          <w:bdr w:val="nil"/>
          <w:lang w:eastAsia="uk-UA"/>
        </w:rPr>
        <w:t xml:space="preserve"> </w:t>
      </w:r>
    </w:p>
    <w:p w14:paraId="73BCEA79"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 xml:space="preserve">Із розширенням міжнародно-правового простору та посиленням ролі Організації Об’єднаних Націй (ООН), Ради Європи, а також міжнародних судових органів, зокрема Європейського суду з прав людини, ЄС зіштовхується з новими викликами щодо інтеграції зовнішніх правових норм у свою систему. Це стосується не лише технічного застосування норм міжнародного права, а й дотримання внутрішніх принципів, таких як повага до прав людини, верховенство права, демократичні цінності тощо. Тема є надзвичайно актуальною, особливо з урахуванням постійної еволюції </w:t>
      </w:r>
      <w:r w:rsidRPr="00511005">
        <w:rPr>
          <w:rFonts w:ascii="Arial" w:eastAsia="Arial Unicode MS" w:hAnsi="Arial" w:cs="Arial"/>
          <w:szCs w:val="28"/>
          <w:u w:color="000000"/>
          <w:bdr w:val="nil"/>
          <w:lang w:val="uk-UA" w:eastAsia="uk-UA"/>
        </w:rPr>
        <w:lastRenderedPageBreak/>
        <w:t>міжнародного права та прагнення ЄС впливати на формування глобального правового порядку.</w:t>
      </w:r>
      <w:r w:rsidRPr="00511005">
        <w:rPr>
          <w:rFonts w:ascii="Arial" w:eastAsia="Arial Unicode MS" w:hAnsi="Arial" w:cs="Arial"/>
          <w:szCs w:val="28"/>
          <w:u w:color="000000"/>
          <w:bdr w:val="nil"/>
          <w:lang w:eastAsia="uk-UA"/>
        </w:rPr>
        <w:t xml:space="preserve"> [2].</w:t>
      </w:r>
    </w:p>
    <w:p w14:paraId="317C0D62"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 xml:space="preserve">Європейський Союз </w:t>
      </w:r>
      <w:r w:rsidRPr="00511005">
        <w:rPr>
          <w:rFonts w:ascii="Arial" w:eastAsia="Arial Unicode MS" w:hAnsi="Arial" w:cs="Arial"/>
          <w:szCs w:val="28"/>
          <w:u w:color="000000"/>
          <w:bdr w:val="nil"/>
          <w:lang w:eastAsia="uk-UA"/>
        </w:rPr>
        <w:t>–</w:t>
      </w:r>
      <w:r w:rsidRPr="00511005">
        <w:rPr>
          <w:rFonts w:ascii="Arial" w:eastAsia="Arial Unicode MS" w:hAnsi="Arial" w:cs="Arial"/>
          <w:szCs w:val="28"/>
          <w:u w:color="000000"/>
          <w:bdr w:val="nil"/>
          <w:lang w:val="uk-UA" w:eastAsia="uk-UA"/>
        </w:rPr>
        <w:t xml:space="preserve"> це не просто союз держав, а самостійний суб’єкт міжнародного права. Це підтверджено в статті </w:t>
      </w:r>
      <w:r w:rsidRPr="00511005">
        <w:rPr>
          <w:rFonts w:ascii="Arial" w:eastAsia="Arial Unicode MS" w:hAnsi="Arial" w:cs="Arial"/>
          <w:szCs w:val="28"/>
          <w:u w:color="000000"/>
          <w:bdr w:val="nil"/>
          <w:lang w:eastAsia="uk-UA"/>
        </w:rPr>
        <w:t xml:space="preserve">47 </w:t>
      </w:r>
      <w:r w:rsidRPr="00511005">
        <w:rPr>
          <w:rFonts w:ascii="Arial" w:eastAsia="Arial Unicode MS" w:hAnsi="Arial" w:cs="Arial"/>
          <w:szCs w:val="28"/>
          <w:u w:color="000000"/>
          <w:bdr w:val="nil"/>
          <w:lang w:val="uk-UA" w:eastAsia="uk-UA"/>
        </w:rPr>
        <w:t>Договору про Європейський Союз, яка закріплює міжнародну правосуб’єктність Союзу. Відповідно, ЄС має право укладати міжнародні договори, вступати до міжнародних організацій, бути стороною міжнародних судових спорів, а також нести відповідальність за порушення норм міжнародного права.</w:t>
      </w:r>
    </w:p>
    <w:p w14:paraId="7F1A31F4"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ЄС є активним учасником міжнародних відносин: співпрацює з ООН бере участь у багатосторонніх угодах, таких як Паризька кліматична угода, та відіграє вагому роль у сфері захисту прав людини, зокрема через взаємодію з Радою Європи.</w:t>
      </w:r>
      <w:r w:rsidRPr="00511005">
        <w:rPr>
          <w:rFonts w:ascii="Arial" w:eastAsia="Arial Unicode MS" w:hAnsi="Arial" w:cs="Arial"/>
          <w:szCs w:val="28"/>
          <w:u w:color="000000"/>
          <w:bdr w:val="nil"/>
          <w:lang w:eastAsia="uk-UA"/>
        </w:rPr>
        <w:t xml:space="preserve"> [1].</w:t>
      </w:r>
    </w:p>
    <w:p w14:paraId="2AFB572D"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Правова система ЄС визнає обов’язковість міжнародних договорів. Згідно зі статтею 216 Договору про функціонування ЄС, міжнародні угоди, укладені Союзом, є обов’язковими як для інституцій ЄС, так і для держав-членів. Крім того, у рішенні Суду ЄС у справі Haegeman v. Belgian State (1974) було зазначено, що положення міжнародних договорів можуть мати прямий ефект у правовій системі ЄС, якщо вони є достатньо чіткими, конкретними та не потребують додаткового регулювання.</w:t>
      </w:r>
    </w:p>
    <w:p w14:paraId="074C24CE"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У такий спосіб міжнародне право стає частиною «внутрішнього права» ЄС і може прямо застосовуватися у судах держав-членів.</w:t>
      </w:r>
    </w:p>
    <w:p w14:paraId="0F2CA2F1"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 xml:space="preserve">Незважаючи на офіційне визнання пріоритету міжнародного права, на практиці виникають колізії. Найбільш показовим прикладом є справа </w:t>
      </w:r>
      <w:r w:rsidRPr="00511005">
        <w:rPr>
          <w:rFonts w:ascii="Arial" w:eastAsia="Arial Unicode MS" w:hAnsi="Arial" w:cs="Arial"/>
          <w:szCs w:val="28"/>
          <w:u w:color="000000"/>
          <w:bdr w:val="nil"/>
          <w:lang w:val="en-US" w:eastAsia="uk-UA"/>
        </w:rPr>
        <w:t>Kadi</w:t>
      </w:r>
      <w:r w:rsidRPr="00511005">
        <w:rPr>
          <w:rFonts w:ascii="Arial" w:eastAsia="Arial Unicode MS" w:hAnsi="Arial" w:cs="Arial"/>
          <w:szCs w:val="28"/>
          <w:u w:color="000000"/>
          <w:bdr w:val="nil"/>
          <w:lang w:val="uk-UA" w:eastAsia="uk-UA"/>
        </w:rPr>
        <w:t xml:space="preserve"> </w:t>
      </w:r>
      <w:r w:rsidRPr="00511005">
        <w:rPr>
          <w:rFonts w:ascii="Arial" w:eastAsia="Arial Unicode MS" w:hAnsi="Arial" w:cs="Arial"/>
          <w:szCs w:val="28"/>
          <w:u w:color="000000"/>
          <w:bdr w:val="nil"/>
          <w:lang w:val="en-US" w:eastAsia="uk-UA"/>
        </w:rPr>
        <w:t>and</w:t>
      </w:r>
      <w:r w:rsidRPr="00511005">
        <w:rPr>
          <w:rFonts w:ascii="Arial" w:eastAsia="Arial Unicode MS" w:hAnsi="Arial" w:cs="Arial"/>
          <w:szCs w:val="28"/>
          <w:u w:color="000000"/>
          <w:bdr w:val="nil"/>
          <w:lang w:val="uk-UA" w:eastAsia="uk-UA"/>
        </w:rPr>
        <w:t xml:space="preserve"> </w:t>
      </w:r>
      <w:r w:rsidRPr="00511005">
        <w:rPr>
          <w:rFonts w:ascii="Arial" w:eastAsia="Arial Unicode MS" w:hAnsi="Arial" w:cs="Arial"/>
          <w:szCs w:val="28"/>
          <w:u w:color="000000"/>
          <w:bdr w:val="nil"/>
          <w:lang w:val="en-US" w:eastAsia="uk-UA"/>
        </w:rPr>
        <w:t>Al</w:t>
      </w:r>
      <w:r w:rsidRPr="00511005">
        <w:rPr>
          <w:rFonts w:ascii="Arial" w:eastAsia="Arial Unicode MS" w:hAnsi="Arial" w:cs="Arial"/>
          <w:szCs w:val="28"/>
          <w:u w:color="000000"/>
          <w:bdr w:val="nil"/>
          <w:lang w:val="uk-UA" w:eastAsia="uk-UA"/>
        </w:rPr>
        <w:t xml:space="preserve"> </w:t>
      </w:r>
      <w:r w:rsidRPr="00511005">
        <w:rPr>
          <w:rFonts w:ascii="Arial" w:eastAsia="Arial Unicode MS" w:hAnsi="Arial" w:cs="Arial"/>
          <w:szCs w:val="28"/>
          <w:u w:color="000000"/>
          <w:bdr w:val="nil"/>
          <w:lang w:val="en-US" w:eastAsia="uk-UA"/>
        </w:rPr>
        <w:t>Barakaat</w:t>
      </w:r>
      <w:r w:rsidRPr="00511005">
        <w:rPr>
          <w:rFonts w:ascii="Arial" w:eastAsia="Arial Unicode MS" w:hAnsi="Arial" w:cs="Arial"/>
          <w:szCs w:val="28"/>
          <w:u w:color="000000"/>
          <w:bdr w:val="nil"/>
          <w:lang w:val="uk-UA" w:eastAsia="uk-UA"/>
        </w:rPr>
        <w:t xml:space="preserve"> </w:t>
      </w:r>
      <w:r w:rsidRPr="00511005">
        <w:rPr>
          <w:rFonts w:ascii="Arial" w:eastAsia="Arial Unicode MS" w:hAnsi="Arial" w:cs="Arial"/>
          <w:szCs w:val="28"/>
          <w:u w:color="000000"/>
          <w:bdr w:val="nil"/>
          <w:lang w:val="en-US" w:eastAsia="uk-UA"/>
        </w:rPr>
        <w:t>International</w:t>
      </w:r>
      <w:r w:rsidRPr="00511005">
        <w:rPr>
          <w:rFonts w:ascii="Arial" w:eastAsia="Arial Unicode MS" w:hAnsi="Arial" w:cs="Arial"/>
          <w:szCs w:val="28"/>
          <w:u w:color="000000"/>
          <w:bdr w:val="nil"/>
          <w:lang w:val="uk-UA" w:eastAsia="uk-UA"/>
        </w:rPr>
        <w:t xml:space="preserve"> </w:t>
      </w:r>
      <w:r w:rsidRPr="00511005">
        <w:rPr>
          <w:rFonts w:ascii="Arial" w:eastAsia="Arial Unicode MS" w:hAnsi="Arial" w:cs="Arial"/>
          <w:szCs w:val="28"/>
          <w:u w:color="000000"/>
          <w:bdr w:val="nil"/>
          <w:lang w:val="en-US" w:eastAsia="uk-UA"/>
        </w:rPr>
        <w:t>Foundation</w:t>
      </w:r>
      <w:r w:rsidRPr="00511005">
        <w:rPr>
          <w:rFonts w:ascii="Arial" w:eastAsia="Arial Unicode MS" w:hAnsi="Arial" w:cs="Arial"/>
          <w:szCs w:val="28"/>
          <w:u w:color="000000"/>
          <w:bdr w:val="nil"/>
          <w:lang w:val="uk-UA" w:eastAsia="uk-UA"/>
        </w:rPr>
        <w:t xml:space="preserve"> </w:t>
      </w:r>
      <w:r w:rsidRPr="00511005">
        <w:rPr>
          <w:rFonts w:ascii="Arial" w:eastAsia="Arial Unicode MS" w:hAnsi="Arial" w:cs="Arial"/>
          <w:szCs w:val="28"/>
          <w:u w:color="000000"/>
          <w:bdr w:val="nil"/>
          <w:lang w:val="en-US" w:eastAsia="uk-UA"/>
        </w:rPr>
        <w:t>v</w:t>
      </w:r>
      <w:r w:rsidRPr="00511005">
        <w:rPr>
          <w:rFonts w:ascii="Arial" w:eastAsia="Arial Unicode MS" w:hAnsi="Arial" w:cs="Arial"/>
          <w:szCs w:val="28"/>
          <w:u w:color="000000"/>
          <w:bdr w:val="nil"/>
          <w:lang w:val="uk-UA" w:eastAsia="uk-UA"/>
        </w:rPr>
        <w:t xml:space="preserve">. </w:t>
      </w:r>
      <w:r w:rsidRPr="00511005">
        <w:rPr>
          <w:rFonts w:ascii="Arial" w:eastAsia="Arial Unicode MS" w:hAnsi="Arial" w:cs="Arial"/>
          <w:szCs w:val="28"/>
          <w:u w:color="000000"/>
          <w:bdr w:val="nil"/>
          <w:lang w:val="en-US" w:eastAsia="uk-UA"/>
        </w:rPr>
        <w:t>Council</w:t>
      </w:r>
      <w:r w:rsidRPr="00511005">
        <w:rPr>
          <w:rFonts w:ascii="Arial" w:eastAsia="Arial Unicode MS" w:hAnsi="Arial" w:cs="Arial"/>
          <w:szCs w:val="28"/>
          <w:u w:color="000000"/>
          <w:bdr w:val="nil"/>
          <w:lang w:val="uk-UA" w:eastAsia="uk-UA"/>
        </w:rPr>
        <w:t xml:space="preserve"> </w:t>
      </w:r>
      <w:r w:rsidRPr="00511005">
        <w:rPr>
          <w:rFonts w:ascii="Arial" w:eastAsia="Arial Unicode MS" w:hAnsi="Arial" w:cs="Arial"/>
          <w:szCs w:val="28"/>
          <w:u w:color="000000"/>
          <w:bdr w:val="nil"/>
          <w:lang w:val="en-US" w:eastAsia="uk-UA"/>
        </w:rPr>
        <w:t>and</w:t>
      </w:r>
      <w:r w:rsidRPr="00511005">
        <w:rPr>
          <w:rFonts w:ascii="Arial" w:eastAsia="Arial Unicode MS" w:hAnsi="Arial" w:cs="Arial"/>
          <w:szCs w:val="28"/>
          <w:u w:color="000000"/>
          <w:bdr w:val="nil"/>
          <w:lang w:val="uk-UA" w:eastAsia="uk-UA"/>
        </w:rPr>
        <w:t xml:space="preserve"> </w:t>
      </w:r>
      <w:r w:rsidRPr="00511005">
        <w:rPr>
          <w:rFonts w:ascii="Arial" w:eastAsia="Arial Unicode MS" w:hAnsi="Arial" w:cs="Arial"/>
          <w:szCs w:val="28"/>
          <w:u w:color="000000"/>
          <w:bdr w:val="nil"/>
          <w:lang w:val="en-US" w:eastAsia="uk-UA"/>
        </w:rPr>
        <w:t>Commission</w:t>
      </w:r>
      <w:r w:rsidRPr="00511005">
        <w:rPr>
          <w:rFonts w:ascii="Arial" w:eastAsia="Arial Unicode MS" w:hAnsi="Arial" w:cs="Arial"/>
          <w:szCs w:val="28"/>
          <w:u w:color="000000"/>
          <w:bdr w:val="nil"/>
          <w:lang w:val="uk-UA" w:eastAsia="uk-UA"/>
        </w:rPr>
        <w:t xml:space="preserve"> (2008), в якій Суд ЄС не визнав автоматичну обов’язковість рішень Ради Безпеки ООН, оскільки вони порушували фундаментальні права, закріплені в праві ЄС.</w:t>
      </w:r>
    </w:p>
    <w:p w14:paraId="3E73C28E"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 xml:space="preserve">Це рішення демонструє, що пріоритетність міжнародного права не є абсолютною. У випадках, коли норми міжнародного права суперечать базовим принципам ЄС </w:t>
      </w:r>
      <w:r w:rsidRPr="00511005">
        <w:rPr>
          <w:rFonts w:ascii="Arial" w:eastAsia="Arial Unicode MS" w:hAnsi="Arial" w:cs="Arial"/>
          <w:szCs w:val="28"/>
          <w:u w:color="000000"/>
          <w:bdr w:val="nil"/>
          <w:lang w:eastAsia="uk-UA"/>
        </w:rPr>
        <w:t>–</w:t>
      </w:r>
      <w:r w:rsidRPr="00511005">
        <w:rPr>
          <w:rFonts w:ascii="Arial" w:eastAsia="Arial Unicode MS" w:hAnsi="Arial" w:cs="Arial"/>
          <w:szCs w:val="28"/>
          <w:u w:color="000000"/>
          <w:bdr w:val="nil"/>
          <w:lang w:val="uk-UA" w:eastAsia="uk-UA"/>
        </w:rPr>
        <w:t xml:space="preserve"> таким як захист прав людини </w:t>
      </w:r>
      <w:r w:rsidRPr="00511005">
        <w:rPr>
          <w:rFonts w:ascii="Arial" w:eastAsia="Arial Unicode MS" w:hAnsi="Arial" w:cs="Arial"/>
          <w:szCs w:val="28"/>
          <w:u w:color="000000"/>
          <w:bdr w:val="nil"/>
          <w:lang w:eastAsia="uk-UA"/>
        </w:rPr>
        <w:t xml:space="preserve">– </w:t>
      </w:r>
      <w:r w:rsidRPr="00511005">
        <w:rPr>
          <w:rFonts w:ascii="Arial" w:eastAsia="Arial Unicode MS" w:hAnsi="Arial" w:cs="Arial"/>
          <w:szCs w:val="28"/>
          <w:u w:color="000000"/>
          <w:bdr w:val="nil"/>
          <w:lang w:val="uk-UA" w:eastAsia="uk-UA"/>
        </w:rPr>
        <w:t>Суд ЄС може надати перевагу праву Союзу. Це створює потенційну напругу між зобов’язаннями держав-членів у межах міжнародного права і їхніми зобов’язаннями в рамках ЄС.</w:t>
      </w:r>
      <w:r w:rsidRPr="00511005">
        <w:rPr>
          <w:rFonts w:ascii="Arial" w:eastAsia="Arial Unicode MS" w:hAnsi="Arial" w:cs="Arial"/>
          <w:szCs w:val="28"/>
          <w:u w:color="000000"/>
          <w:bdr w:val="nil"/>
          <w:lang w:eastAsia="uk-UA"/>
        </w:rPr>
        <w:t xml:space="preserve"> [2].</w:t>
      </w:r>
    </w:p>
    <w:p w14:paraId="79FB949A"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ind w:firstLine="360"/>
        <w:rPr>
          <w:rFonts w:ascii="Arial" w:eastAsia="Times New Roman" w:hAnsi="Arial" w:cs="Arial"/>
          <w:szCs w:val="28"/>
          <w:u w:color="CC3581"/>
          <w:bdr w:val="nil"/>
          <w:lang w:eastAsia="ru-RU"/>
        </w:rPr>
      </w:pPr>
      <w:r w:rsidRPr="00055389">
        <w:rPr>
          <w:rFonts w:ascii="Arial" w:eastAsia="Arial Unicode MS" w:hAnsi="Arial" w:cs="Arial"/>
          <w:szCs w:val="28"/>
          <w:u w:color="CC3581"/>
          <w:bdr w:val="nil"/>
          <w:lang w:val="uk-UA" w:eastAsia="ru-RU"/>
        </w:rPr>
        <w:t xml:space="preserve">Ґрайнне де Бурка вважає, що рішення Суду ЄС у справі </w:t>
      </w:r>
      <w:r w:rsidRPr="00511005">
        <w:rPr>
          <w:rFonts w:ascii="Arial" w:eastAsia="Arial Unicode MS" w:hAnsi="Arial" w:cs="Arial"/>
          <w:i/>
          <w:iCs/>
          <w:szCs w:val="28"/>
          <w:u w:color="CC3581"/>
          <w:bdr w:val="nil"/>
          <w:lang w:eastAsia="ru-RU"/>
        </w:rPr>
        <w:t>Kadi</w:t>
      </w:r>
      <w:r w:rsidRPr="00055389">
        <w:rPr>
          <w:rFonts w:ascii="Arial" w:eastAsia="Arial Unicode MS" w:hAnsi="Arial" w:cs="Arial"/>
          <w:szCs w:val="28"/>
          <w:u w:color="CC3581"/>
          <w:bdr w:val="nil"/>
          <w:lang w:val="uk-UA" w:eastAsia="ru-RU"/>
        </w:rPr>
        <w:t xml:space="preserve"> [3] стало прикладом захисту автономії правопорядку ЄС та основоположних прав людини навіть перед зобов’язаннями з міжнародного права. </w:t>
      </w:r>
      <w:r w:rsidRPr="00511005">
        <w:rPr>
          <w:rFonts w:ascii="Arial" w:eastAsia="Arial Unicode MS" w:hAnsi="Arial" w:cs="Arial"/>
          <w:szCs w:val="28"/>
          <w:u w:color="CC3581"/>
          <w:bdr w:val="nil"/>
          <w:lang w:eastAsia="ru-RU"/>
        </w:rPr>
        <w:t xml:space="preserve">Вона підтримує позицію Суду, який не визнав пріоритет </w:t>
      </w:r>
      <w:proofErr w:type="gramStart"/>
      <w:r w:rsidRPr="00511005">
        <w:rPr>
          <w:rFonts w:ascii="Arial" w:eastAsia="Arial Unicode MS" w:hAnsi="Arial" w:cs="Arial"/>
          <w:szCs w:val="28"/>
          <w:u w:color="CC3581"/>
          <w:bdr w:val="nil"/>
          <w:lang w:eastAsia="ru-RU"/>
        </w:rPr>
        <w:t>санкцій</w:t>
      </w:r>
      <w:proofErr w:type="gramEnd"/>
      <w:r w:rsidRPr="00511005">
        <w:rPr>
          <w:rFonts w:ascii="Arial" w:eastAsia="Arial Unicode MS" w:hAnsi="Arial" w:cs="Arial"/>
          <w:szCs w:val="28"/>
          <w:u w:color="CC3581"/>
          <w:bdr w:val="nil"/>
          <w:lang w:eastAsia="ru-RU"/>
        </w:rPr>
        <w:t xml:space="preserve"> Ради Безпеки ООН без належного судового захисту. Хоча це викликало критику в міжнародному праві, Ґрайнне де Бурка вважає таку позицію виправданою в демократичному правовому просторі ЄС. [4].</w:t>
      </w:r>
    </w:p>
    <w:p w14:paraId="4380E20A"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ind w:firstLine="360"/>
        <w:rPr>
          <w:rFonts w:ascii="Arial" w:eastAsia="Times New Roman" w:hAnsi="Arial" w:cs="Arial"/>
          <w:szCs w:val="28"/>
          <w:u w:color="CC3581"/>
          <w:bdr w:val="nil"/>
          <w:lang w:eastAsia="ru-RU"/>
        </w:rPr>
      </w:pPr>
      <w:r w:rsidRPr="00511005">
        <w:rPr>
          <w:rFonts w:ascii="Arial" w:eastAsia="Arial Unicode MS" w:hAnsi="Arial" w:cs="Arial"/>
          <w:szCs w:val="28"/>
          <w:u w:color="CC3581"/>
          <w:bdr w:val="nil"/>
          <w:lang w:eastAsia="ru-RU"/>
        </w:rPr>
        <w:lastRenderedPageBreak/>
        <w:t xml:space="preserve">Для Ґрайнне де Бурка справа </w:t>
      </w:r>
      <w:r w:rsidRPr="00511005">
        <w:rPr>
          <w:rFonts w:ascii="Arial" w:eastAsia="Arial Unicode MS" w:hAnsi="Arial" w:cs="Arial"/>
          <w:i/>
          <w:iCs/>
          <w:szCs w:val="28"/>
          <w:u w:color="CC3581"/>
          <w:bdr w:val="nil"/>
          <w:lang w:eastAsia="ru-RU"/>
        </w:rPr>
        <w:t>Kadi</w:t>
      </w:r>
      <w:r w:rsidRPr="00511005">
        <w:rPr>
          <w:rFonts w:ascii="Arial" w:eastAsia="Arial Unicode MS" w:hAnsi="Arial" w:cs="Arial"/>
          <w:szCs w:val="28"/>
          <w:u w:color="CC3581"/>
          <w:bdr w:val="nil"/>
          <w:lang w:eastAsia="ru-RU"/>
        </w:rPr>
        <w:t xml:space="preserve"> - це підтвердження того, що захист прав людини в ЄС має вищу цінність, ніж автоматичне виконання міжнародних санкцій.</w:t>
      </w:r>
    </w:p>
    <w:p w14:paraId="426C6A7B"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ЄС наполягає на своїй правовій автономії, тобто незалежності від зовнішніх правових систем. Це концепція «конституційної автономії» права ЄС, згідно з якою будь-яка міжнародна норма, перш ніж стати частиною європейського права, повинна відповідати принципам і стандартам самого ЄС. Це означає, що міжнародне право «проходить фільтр» європейського права.</w:t>
      </w:r>
    </w:p>
    <w:p w14:paraId="543DCA26"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Подібна автономія є гарантією стабільності внутрішньої правової системи, проте водночас створює бар’єри для універсального застосування міжнародних норм. Інтеграція міжнародного права дозволяє ЄС зміцнювати захист прав людини. Зокрема, Хартія основних прав ЄС тісно пов’язана зі стандартами, закріпленими у Європейській конвенції з прав людини. Хоча ЄС ще не є повноправною стороною Конвенції, він активно застосовує її положення, а держави-члени зобов’язані дотримуватись рішень Європейського суду з прав людини. Це сприяє гармонізації стандартів у сфері прав людини та створює єдиний правовий простір для громадян ЄС.</w:t>
      </w:r>
    </w:p>
    <w:p w14:paraId="6180E8FF"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 xml:space="preserve">ЄС використовує міжнародне право як інструмент поширення своїх цінностей. Через укладення угод про асоціацію, зокрема з Україною, ЄС просуває стандарти прав людини, захисту довкілля, верховенства права. </w:t>
      </w:r>
      <w:r w:rsidRPr="00511005">
        <w:rPr>
          <w:rFonts w:ascii="Arial" w:eastAsia="Arial Unicode MS" w:hAnsi="Arial" w:cs="Arial"/>
          <w:szCs w:val="28"/>
          <w:u w:color="000000"/>
          <w:bdr w:val="nil"/>
          <w:lang w:eastAsia="uk-UA"/>
        </w:rPr>
        <w:t>Таким чином</w:t>
      </w:r>
      <w:r w:rsidRPr="00511005">
        <w:rPr>
          <w:rFonts w:ascii="Arial" w:eastAsia="Arial Unicode MS" w:hAnsi="Arial" w:cs="Arial"/>
          <w:szCs w:val="28"/>
          <w:u w:color="000000"/>
          <w:bdr w:val="nil"/>
          <w:lang w:val="uk-UA" w:eastAsia="uk-UA"/>
        </w:rPr>
        <w:t>, міжнародне право стає не лише викликом, але і потужним інструментом впливу ЄС на глобальну політико-</w:t>
      </w:r>
      <w:r w:rsidRPr="00511005">
        <w:rPr>
          <w:rFonts w:ascii="Arial" w:eastAsia="Arial Unicode MS" w:hAnsi="Arial" w:cs="Arial"/>
          <w:szCs w:val="28"/>
          <w:u w:color="000000"/>
          <w:bdr w:val="nil"/>
          <w:lang w:eastAsia="uk-UA"/>
        </w:rPr>
        <w:t>правову систему</w:t>
      </w:r>
      <w:r w:rsidRPr="00511005">
        <w:rPr>
          <w:rFonts w:ascii="Arial" w:eastAsia="Arial Unicode MS" w:hAnsi="Arial" w:cs="Arial"/>
          <w:szCs w:val="28"/>
          <w:u w:color="000000"/>
          <w:bdr w:val="nil"/>
          <w:lang w:val="uk-UA" w:eastAsia="uk-UA"/>
        </w:rPr>
        <w:t>.</w:t>
      </w:r>
      <w:r w:rsidRPr="00511005">
        <w:rPr>
          <w:rFonts w:ascii="Arial" w:eastAsia="Arial Unicode MS" w:hAnsi="Arial" w:cs="Arial"/>
          <w:szCs w:val="28"/>
          <w:u w:color="000000"/>
          <w:bdr w:val="nil"/>
          <w:lang w:eastAsia="uk-UA"/>
        </w:rPr>
        <w:t xml:space="preserve"> [2].</w:t>
      </w:r>
    </w:p>
    <w:p w14:paraId="29776CA2"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Міжнародне право відіграє важливу роль у розвитку правової системи ЄС, забезпечуючи її відкритість, універсальність і глобальну інтеграцію. Водночас воно створює низку викликів, пов’язаних із дотриманням правової автономії, узгодженістю правових норм та захистом фундаментальних цінностей ЄС.</w:t>
      </w:r>
    </w:p>
    <w:p w14:paraId="658F4F34"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val="uk-UA" w:eastAsia="uk-UA"/>
        </w:rPr>
        <w:t xml:space="preserve">Європейський Союз демонструє, що можливо досягти балансу між міжнародною відкритістю та правовою самостійністю. Надалі актуальним залишається питання удосконалення механізмів взаємодії між міжнародним і європейським правом, щоб уникати правових конфліктів та забезпечити ефективний правовий захист на всіх рівнях. </w:t>
      </w:r>
    </w:p>
    <w:p w14:paraId="45DE5B40"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p>
    <w:p w14:paraId="7E5F8C86" w14:textId="16512C90" w:rsidR="00220D3E" w:rsidRPr="00511005" w:rsidRDefault="007B2628" w:rsidP="007B2628">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jc w:val="center"/>
        <w:rPr>
          <w:rFonts w:ascii="Arial" w:eastAsia="Times New Roman" w:hAnsi="Arial" w:cs="Arial"/>
          <w:b/>
          <w:bCs/>
          <w:szCs w:val="28"/>
          <w:u w:color="000000"/>
          <w:bdr w:val="nil"/>
          <w:lang w:val="uk-UA" w:eastAsia="uk-UA"/>
        </w:rPr>
      </w:pPr>
      <w:r w:rsidRPr="00511005">
        <w:rPr>
          <w:rFonts w:ascii="Arial" w:eastAsia="Arial Unicode MS" w:hAnsi="Arial" w:cs="Arial"/>
          <w:b/>
          <w:bCs/>
          <w:szCs w:val="28"/>
          <w:bdr w:val="nil"/>
          <w:lang w:val="uk-UA" w:eastAsia="uk-UA"/>
        </w:rPr>
        <w:t>Список використаних джерел</w:t>
      </w:r>
    </w:p>
    <w:p w14:paraId="329EEE8F"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ind w:firstLine="567"/>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eastAsia="uk-UA"/>
        </w:rPr>
        <w:t xml:space="preserve">1. </w:t>
      </w:r>
      <w:r w:rsidRPr="00511005">
        <w:rPr>
          <w:rFonts w:ascii="Arial" w:eastAsia="Arial Unicode MS" w:hAnsi="Arial" w:cs="Arial"/>
          <w:szCs w:val="28"/>
          <w:u w:color="000000"/>
          <w:bdr w:val="nil"/>
          <w:lang w:val="uk-UA" w:eastAsia="uk-UA"/>
        </w:rPr>
        <w:t xml:space="preserve">Право Європейського Союзу: навч.-метод. посіб. для практ. занять та самостійної роботи / за ред. Х. Безруза; </w:t>
      </w:r>
      <w:r w:rsidRPr="00511005">
        <w:rPr>
          <w:rFonts w:ascii="Arial" w:eastAsia="Arial Unicode MS" w:hAnsi="Arial" w:cs="Arial"/>
          <w:szCs w:val="28"/>
          <w:u w:color="000000"/>
          <w:bdr w:val="nil"/>
          <w:lang w:eastAsia="uk-UA"/>
        </w:rPr>
        <w:t>Нац</w:t>
      </w:r>
      <w:r w:rsidRPr="00511005">
        <w:rPr>
          <w:rFonts w:ascii="Arial" w:eastAsia="Arial Unicode MS" w:hAnsi="Arial" w:cs="Arial"/>
          <w:szCs w:val="28"/>
          <w:u w:color="000000"/>
          <w:bdr w:val="nil"/>
          <w:lang w:val="uk-UA" w:eastAsia="uk-UA"/>
        </w:rPr>
        <w:t>. ун-</w:t>
      </w:r>
      <w:r w:rsidRPr="00511005">
        <w:rPr>
          <w:rFonts w:ascii="Arial" w:eastAsia="Arial Unicode MS" w:hAnsi="Arial" w:cs="Arial"/>
          <w:szCs w:val="28"/>
          <w:u w:color="000000"/>
          <w:bdr w:val="nil"/>
          <w:lang w:eastAsia="uk-UA"/>
        </w:rPr>
        <w:t xml:space="preserve">т «Одеська юридична </w:t>
      </w:r>
      <w:r w:rsidRPr="00511005">
        <w:rPr>
          <w:rFonts w:ascii="Arial" w:eastAsia="Arial Unicode MS" w:hAnsi="Arial" w:cs="Arial"/>
          <w:szCs w:val="28"/>
          <w:u w:color="000000"/>
          <w:bdr w:val="nil"/>
          <w:lang w:val="uk-UA" w:eastAsia="uk-UA"/>
        </w:rPr>
        <w:t xml:space="preserve">академія». </w:t>
      </w:r>
      <w:r w:rsidRPr="00511005">
        <w:rPr>
          <w:rFonts w:ascii="Arial" w:eastAsia="Arial Unicode MS" w:hAnsi="Arial" w:cs="Arial"/>
          <w:szCs w:val="28"/>
          <w:u w:color="000000"/>
          <w:bdr w:val="nil"/>
          <w:lang w:eastAsia="uk-UA"/>
        </w:rPr>
        <w:t>Одеса</w:t>
      </w:r>
      <w:r w:rsidRPr="00511005">
        <w:rPr>
          <w:rFonts w:ascii="Arial" w:eastAsia="Arial Unicode MS" w:hAnsi="Arial" w:cs="Arial"/>
          <w:szCs w:val="28"/>
          <w:u w:color="000000"/>
          <w:bdr w:val="nil"/>
          <w:lang w:val="uk-UA" w:eastAsia="uk-UA"/>
        </w:rPr>
        <w:t>: Фенікс</w:t>
      </w:r>
      <w:r w:rsidRPr="00511005">
        <w:rPr>
          <w:rFonts w:ascii="Arial" w:eastAsia="Arial Unicode MS" w:hAnsi="Arial" w:cs="Arial"/>
          <w:szCs w:val="28"/>
          <w:u w:color="000000"/>
          <w:bdr w:val="nil"/>
          <w:lang w:eastAsia="uk-UA"/>
        </w:rPr>
        <w:t xml:space="preserve">, 2024. </w:t>
      </w:r>
      <w:r w:rsidRPr="00511005">
        <w:rPr>
          <w:rFonts w:ascii="Arial" w:eastAsia="Arial Unicode MS" w:hAnsi="Arial" w:cs="Arial"/>
          <w:szCs w:val="28"/>
          <w:u w:color="000000"/>
          <w:bdr w:val="nil"/>
          <w:lang w:val="pl-PL" w:eastAsia="uk-UA"/>
        </w:rPr>
        <w:t>URL: https://dspace.onua.edu.ua/server/api/core/bitstreams/dd2614d1-5a09-43f1-833b-a4c992413fd1/content</w:t>
      </w:r>
    </w:p>
    <w:p w14:paraId="1632C3C9" w14:textId="4AEFE30D"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ind w:firstLine="567"/>
        <w:rPr>
          <w:rFonts w:ascii="Arial" w:eastAsia="Times New Roman" w:hAnsi="Arial" w:cs="Arial"/>
          <w:szCs w:val="28"/>
          <w:u w:color="000000"/>
          <w:bdr w:val="nil"/>
          <w:lang w:val="uk-UA" w:eastAsia="uk-UA"/>
        </w:rPr>
      </w:pPr>
      <w:r w:rsidRPr="00511005">
        <w:rPr>
          <w:rFonts w:ascii="Arial" w:eastAsia="Arial Unicode MS" w:hAnsi="Arial" w:cs="Arial"/>
          <w:szCs w:val="28"/>
          <w:u w:color="000000"/>
          <w:bdr w:val="nil"/>
          <w:lang w:eastAsia="uk-UA"/>
        </w:rPr>
        <w:lastRenderedPageBreak/>
        <w:t xml:space="preserve">2. </w:t>
      </w:r>
      <w:r w:rsidRPr="00511005">
        <w:rPr>
          <w:rFonts w:ascii="Arial" w:eastAsia="Arial Unicode MS" w:hAnsi="Arial" w:cs="Arial"/>
          <w:szCs w:val="28"/>
          <w:u w:color="000000"/>
          <w:bdr w:val="nil"/>
          <w:lang w:val="uk-UA" w:eastAsia="uk-UA"/>
        </w:rPr>
        <w:t>Муравйов В.І. Право Європейського Союзу: Підручник. К.: Юрінком Інтер, 2020. C 80.</w:t>
      </w:r>
      <w:r w:rsidR="007B2628" w:rsidRPr="00511005">
        <w:rPr>
          <w:rFonts w:ascii="Arial" w:eastAsia="Arial Unicode MS" w:hAnsi="Arial" w:cs="Arial"/>
          <w:szCs w:val="28"/>
          <w:u w:color="000000"/>
          <w:bdr w:val="nil"/>
          <w:lang w:val="uk-UA" w:eastAsia="uk-UA"/>
        </w:rPr>
        <w:t xml:space="preserve"> </w:t>
      </w:r>
      <w:r w:rsidRPr="00511005">
        <w:rPr>
          <w:rFonts w:ascii="Arial" w:eastAsia="Arial Unicode MS" w:hAnsi="Arial" w:cs="Arial"/>
          <w:szCs w:val="28"/>
          <w:u w:color="000000"/>
          <w:bdr w:val="nil"/>
          <w:lang w:val="uk-UA" w:eastAsia="uk-UA"/>
        </w:rPr>
        <w:t xml:space="preserve">URL: </w:t>
      </w:r>
      <w:hyperlink r:id="rId725" w:history="1">
        <w:r w:rsidRPr="00511005">
          <w:rPr>
            <w:rFonts w:ascii="Arial" w:eastAsia="Arial Unicode MS" w:hAnsi="Arial" w:cs="Arial"/>
            <w:szCs w:val="28"/>
            <w:u w:color="0563C1"/>
            <w:bdr w:val="nil"/>
            <w:lang w:val="en-US" w:eastAsia="uk-UA"/>
          </w:rPr>
          <w:t>https</w:t>
        </w:r>
        <w:r w:rsidRPr="00511005">
          <w:rPr>
            <w:rFonts w:ascii="Arial" w:eastAsia="Arial Unicode MS" w:hAnsi="Arial" w:cs="Arial"/>
            <w:szCs w:val="28"/>
            <w:u w:color="0563C1"/>
            <w:bdr w:val="nil"/>
            <w:lang w:eastAsia="uk-UA"/>
          </w:rPr>
          <w:t>://</w:t>
        </w:r>
        <w:r w:rsidRPr="00511005">
          <w:rPr>
            <w:rFonts w:ascii="Arial" w:eastAsia="Arial Unicode MS" w:hAnsi="Arial" w:cs="Arial"/>
            <w:szCs w:val="28"/>
            <w:u w:color="0563C1"/>
            <w:bdr w:val="nil"/>
            <w:lang w:val="en-US" w:eastAsia="uk-UA"/>
          </w:rPr>
          <w:t>fpk</w:t>
        </w:r>
        <w:r w:rsidRPr="00511005">
          <w:rPr>
            <w:rFonts w:ascii="Arial" w:eastAsia="Arial Unicode MS" w:hAnsi="Arial" w:cs="Arial"/>
            <w:szCs w:val="28"/>
            <w:u w:color="0563C1"/>
            <w:bdr w:val="nil"/>
            <w:lang w:eastAsia="uk-UA"/>
          </w:rPr>
          <w:t>.</w:t>
        </w:r>
        <w:r w:rsidRPr="00511005">
          <w:rPr>
            <w:rFonts w:ascii="Arial" w:eastAsia="Arial Unicode MS" w:hAnsi="Arial" w:cs="Arial"/>
            <w:szCs w:val="28"/>
            <w:u w:color="0563C1"/>
            <w:bdr w:val="nil"/>
            <w:lang w:val="en-US" w:eastAsia="uk-UA"/>
          </w:rPr>
          <w:t>in</w:t>
        </w:r>
        <w:r w:rsidRPr="00511005">
          <w:rPr>
            <w:rFonts w:ascii="Arial" w:eastAsia="Arial Unicode MS" w:hAnsi="Arial" w:cs="Arial"/>
            <w:szCs w:val="28"/>
            <w:u w:color="0563C1"/>
            <w:bdr w:val="nil"/>
            <w:lang w:eastAsia="uk-UA"/>
          </w:rPr>
          <w:t>.</w:t>
        </w:r>
        <w:r w:rsidRPr="00511005">
          <w:rPr>
            <w:rFonts w:ascii="Arial" w:eastAsia="Arial Unicode MS" w:hAnsi="Arial" w:cs="Arial"/>
            <w:szCs w:val="28"/>
            <w:u w:color="0563C1"/>
            <w:bdr w:val="nil"/>
            <w:lang w:val="en-US" w:eastAsia="uk-UA"/>
          </w:rPr>
          <w:t>ua</w:t>
        </w:r>
        <w:r w:rsidRPr="00511005">
          <w:rPr>
            <w:rFonts w:ascii="Arial" w:eastAsia="Arial Unicode MS" w:hAnsi="Arial" w:cs="Arial"/>
            <w:szCs w:val="28"/>
            <w:u w:color="0563C1"/>
            <w:bdr w:val="nil"/>
            <w:lang w:eastAsia="uk-UA"/>
          </w:rPr>
          <w:t>/</w:t>
        </w:r>
        <w:r w:rsidRPr="00511005">
          <w:rPr>
            <w:rFonts w:ascii="Arial" w:eastAsia="Arial Unicode MS" w:hAnsi="Arial" w:cs="Arial"/>
            <w:szCs w:val="28"/>
            <w:u w:color="0563C1"/>
            <w:bdr w:val="nil"/>
            <w:lang w:val="en-US" w:eastAsia="uk-UA"/>
          </w:rPr>
          <w:t>images</w:t>
        </w:r>
        <w:r w:rsidRPr="00511005">
          <w:rPr>
            <w:rFonts w:ascii="Arial" w:eastAsia="Arial Unicode MS" w:hAnsi="Arial" w:cs="Arial"/>
            <w:szCs w:val="28"/>
            <w:u w:color="0563C1"/>
            <w:bdr w:val="nil"/>
            <w:lang w:eastAsia="uk-UA"/>
          </w:rPr>
          <w:t>/</w:t>
        </w:r>
        <w:r w:rsidRPr="00511005">
          <w:rPr>
            <w:rFonts w:ascii="Arial" w:eastAsia="Arial Unicode MS" w:hAnsi="Arial" w:cs="Arial"/>
            <w:szCs w:val="28"/>
            <w:u w:color="0563C1"/>
            <w:bdr w:val="nil"/>
            <w:lang w:val="en-US" w:eastAsia="uk-UA"/>
          </w:rPr>
          <w:t>biblioteka</w:t>
        </w:r>
        <w:r w:rsidRPr="00511005">
          <w:rPr>
            <w:rFonts w:ascii="Arial" w:eastAsia="Arial Unicode MS" w:hAnsi="Arial" w:cs="Arial"/>
            <w:szCs w:val="28"/>
            <w:u w:color="0563C1"/>
            <w:bdr w:val="nil"/>
            <w:lang w:eastAsia="uk-UA"/>
          </w:rPr>
          <w:t>/2</w:t>
        </w:r>
        <w:r w:rsidRPr="00511005">
          <w:rPr>
            <w:rFonts w:ascii="Arial" w:eastAsia="Arial Unicode MS" w:hAnsi="Arial" w:cs="Arial"/>
            <w:szCs w:val="28"/>
            <w:u w:color="0563C1"/>
            <w:bdr w:val="nil"/>
            <w:lang w:val="en-US" w:eastAsia="uk-UA"/>
          </w:rPr>
          <w:t>bac</w:t>
        </w:r>
        <w:r w:rsidRPr="00511005">
          <w:rPr>
            <w:rFonts w:ascii="Arial" w:eastAsia="Arial Unicode MS" w:hAnsi="Arial" w:cs="Arial"/>
            <w:szCs w:val="28"/>
            <w:u w:color="0563C1"/>
            <w:bdr w:val="nil"/>
            <w:lang w:eastAsia="uk-UA"/>
          </w:rPr>
          <w:t>_</w:t>
        </w:r>
        <w:r w:rsidRPr="00511005">
          <w:rPr>
            <w:rFonts w:ascii="Arial" w:eastAsia="Arial Unicode MS" w:hAnsi="Arial" w:cs="Arial"/>
            <w:szCs w:val="28"/>
            <w:u w:color="0563C1"/>
            <w:bdr w:val="nil"/>
            <w:lang w:val="en-US" w:eastAsia="uk-UA"/>
          </w:rPr>
          <w:t>pravo</w:t>
        </w:r>
        <w:r w:rsidRPr="00511005">
          <w:rPr>
            <w:rFonts w:ascii="Arial" w:eastAsia="Arial Unicode MS" w:hAnsi="Arial" w:cs="Arial"/>
            <w:szCs w:val="28"/>
            <w:u w:color="0563C1"/>
            <w:bdr w:val="nil"/>
            <w:lang w:eastAsia="uk-UA"/>
          </w:rPr>
          <w:t>/833------.---1.</w:t>
        </w:r>
        <w:r w:rsidRPr="00511005">
          <w:rPr>
            <w:rFonts w:ascii="Arial" w:eastAsia="Arial Unicode MS" w:hAnsi="Arial" w:cs="Arial"/>
            <w:szCs w:val="28"/>
            <w:u w:color="0563C1"/>
            <w:bdr w:val="nil"/>
            <w:lang w:val="en-US" w:eastAsia="uk-UA"/>
          </w:rPr>
          <w:t>pdf</w:t>
        </w:r>
      </w:hyperlink>
    </w:p>
    <w:p w14:paraId="348DB5B6"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ind w:firstLine="567"/>
        <w:rPr>
          <w:rFonts w:ascii="Arial" w:eastAsia="Times New Roman" w:hAnsi="Arial" w:cs="Arial"/>
          <w:szCs w:val="28"/>
          <w:u w:color="CC3581"/>
          <w:bdr w:val="nil"/>
          <w:lang w:val="uk-UA" w:eastAsia="uk-UA"/>
        </w:rPr>
      </w:pPr>
      <w:r w:rsidRPr="00511005">
        <w:rPr>
          <w:rFonts w:ascii="Arial" w:eastAsia="Arial Unicode MS" w:hAnsi="Arial" w:cs="Arial"/>
          <w:szCs w:val="28"/>
          <w:u w:color="CC3581"/>
          <w:bdr w:val="nil"/>
          <w:lang w:val="en-US" w:eastAsia="uk-UA"/>
        </w:rPr>
        <w:t>3. Kadi and Al Barakaat International Foundation v. Council and Commission (2008), URL: https://eur-lex.europa.eu/legal-content/EN/TXT/?uri=celex:62005CJ0402</w:t>
      </w:r>
    </w:p>
    <w:p w14:paraId="3B80C9BB" w14:textId="6F1CA418"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ind w:firstLine="567"/>
        <w:rPr>
          <w:rFonts w:ascii="Arial" w:eastAsia="Times New Roman" w:hAnsi="Arial" w:cs="Arial"/>
          <w:szCs w:val="28"/>
          <w:u w:color="CC3581"/>
          <w:bdr w:val="nil"/>
          <w:lang w:val="uk-UA" w:eastAsia="uk-UA"/>
        </w:rPr>
      </w:pPr>
      <w:r w:rsidRPr="00511005">
        <w:rPr>
          <w:rFonts w:ascii="Arial" w:eastAsia="Arial Unicode MS" w:hAnsi="Arial" w:cs="Arial"/>
          <w:szCs w:val="28"/>
          <w:u w:color="CC3581"/>
          <w:bdr w:val="nil"/>
          <w:lang w:val="en-US" w:eastAsia="uk-UA"/>
        </w:rPr>
        <w:t>4.</w:t>
      </w:r>
      <w:r w:rsidR="007B2628" w:rsidRPr="00511005">
        <w:rPr>
          <w:rFonts w:ascii="Arial" w:eastAsia="Arial Unicode MS" w:hAnsi="Arial" w:cs="Arial"/>
          <w:szCs w:val="28"/>
          <w:u w:color="CC3581"/>
          <w:bdr w:val="nil"/>
          <w:lang w:val="en-US" w:eastAsia="uk-UA"/>
        </w:rPr>
        <w:t xml:space="preserve"> </w:t>
      </w:r>
      <w:r w:rsidRPr="00511005">
        <w:rPr>
          <w:rFonts w:ascii="Arial" w:eastAsia="Arial Unicode MS" w:hAnsi="Arial" w:cs="Arial"/>
          <w:szCs w:val="28"/>
          <w:u w:color="CC3581"/>
          <w:bdr w:val="nil"/>
          <w:lang w:val="nl-NL" w:eastAsia="uk-UA"/>
        </w:rPr>
        <w:t>de B</w:t>
      </w:r>
      <w:r w:rsidRPr="00511005">
        <w:rPr>
          <w:rFonts w:ascii="Arial" w:eastAsia="Arial Unicode MS" w:hAnsi="Arial" w:cs="Arial"/>
          <w:szCs w:val="28"/>
          <w:u w:color="CC3581"/>
          <w:bdr w:val="nil"/>
          <w:lang w:val="uk-UA" w:eastAsia="uk-UA"/>
        </w:rPr>
        <w:t>ú</w:t>
      </w:r>
      <w:r w:rsidRPr="00511005">
        <w:rPr>
          <w:rFonts w:ascii="Arial" w:eastAsia="Arial Unicode MS" w:hAnsi="Arial" w:cs="Arial"/>
          <w:szCs w:val="28"/>
          <w:u w:color="CC3581"/>
          <w:bdr w:val="nil"/>
          <w:lang w:val="en-US" w:eastAsia="uk-UA"/>
        </w:rPr>
        <w:t xml:space="preserve">rca, G. (2010). The European Court of Justice and the International Legal Order After Kadi. </w:t>
      </w:r>
      <w:r w:rsidRPr="00511005">
        <w:rPr>
          <w:rFonts w:ascii="Arial" w:eastAsia="Arial Unicode MS" w:hAnsi="Arial" w:cs="Arial"/>
          <w:szCs w:val="28"/>
          <w:u w:color="CC3581"/>
          <w:bdr w:val="nil"/>
          <w:lang w:val="pl-PL" w:eastAsia="uk-UA"/>
        </w:rPr>
        <w:t xml:space="preserve">URL: </w:t>
      </w:r>
      <w:hyperlink r:id="rId726" w:history="1">
        <w:r w:rsidRPr="00511005">
          <w:rPr>
            <w:rFonts w:ascii="Arial" w:eastAsia="Arial Unicode MS" w:hAnsi="Arial" w:cs="Arial"/>
            <w:szCs w:val="28"/>
            <w:u w:color="CC3581"/>
            <w:bdr w:val="nil"/>
            <w:lang w:val="pl-PL" w:eastAsia="uk-UA"/>
          </w:rPr>
          <w:t>https://iilj.org/wp-content/uploads/2016/08/de-Burca-The-European-Court-of-Justice-and-the-International-Legal-Order-after-Kadi-2009.pdf</w:t>
        </w:r>
      </w:hyperlink>
      <w:r w:rsidRPr="00511005">
        <w:rPr>
          <w:rFonts w:ascii="Arial" w:eastAsia="Arial Unicode MS" w:hAnsi="Arial" w:cs="Arial"/>
          <w:szCs w:val="28"/>
          <w:u w:color="CC3581"/>
          <w:bdr w:val="nil"/>
          <w:lang w:val="uk-UA" w:eastAsia="uk-UA"/>
        </w:rPr>
        <w:t xml:space="preserve"> </w:t>
      </w:r>
    </w:p>
    <w:p w14:paraId="56C7D0C4" w14:textId="77777777" w:rsidR="00220D3E" w:rsidRPr="00511005" w:rsidRDefault="00220D3E"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p>
    <w:p w14:paraId="4AA0D422" w14:textId="122308BE" w:rsidR="00220D3E" w:rsidRPr="00511005" w:rsidRDefault="007B2628"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264" w:lineRule="auto"/>
        <w:rPr>
          <w:rFonts w:ascii="Arial" w:eastAsia="Times New Roman" w:hAnsi="Arial" w:cs="Arial"/>
          <w:szCs w:val="28"/>
          <w:u w:color="000000"/>
          <w:bdr w:val="nil"/>
          <w:lang w:val="uk-UA" w:eastAsia="uk-UA"/>
        </w:rPr>
      </w:pPr>
      <w:r w:rsidRPr="00511005">
        <w:rPr>
          <w:rFonts w:ascii="Arial" w:eastAsia="Arial Unicode MS" w:hAnsi="Arial" w:cs="Arial"/>
          <w:b/>
          <w:bCs/>
          <w:i/>
          <w:szCs w:val="28"/>
          <w:u w:color="000000"/>
          <w:bdr w:val="nil"/>
          <w:lang w:val="uk-UA" w:eastAsia="uk-UA"/>
        </w:rPr>
        <w:t xml:space="preserve">Ключові слова: </w:t>
      </w:r>
      <w:r w:rsidR="00220D3E" w:rsidRPr="00511005">
        <w:rPr>
          <w:rFonts w:ascii="Arial" w:eastAsia="Arial Unicode MS" w:hAnsi="Arial" w:cs="Arial"/>
          <w:szCs w:val="28"/>
          <w:u w:color="000000"/>
          <w:bdr w:val="nil"/>
          <w:lang w:val="uk-UA" w:eastAsia="uk-UA"/>
        </w:rPr>
        <w:t>європейський союз</w:t>
      </w:r>
      <w:r w:rsidR="00220D3E" w:rsidRPr="00511005">
        <w:rPr>
          <w:rFonts w:ascii="Arial" w:eastAsia="Arial Unicode MS" w:hAnsi="Arial" w:cs="Arial"/>
          <w:szCs w:val="28"/>
          <w:u w:color="000000"/>
          <w:bdr w:val="nil"/>
          <w:lang w:eastAsia="uk-UA"/>
        </w:rPr>
        <w:t xml:space="preserve">, </w:t>
      </w:r>
      <w:r w:rsidR="00220D3E" w:rsidRPr="00511005">
        <w:rPr>
          <w:rFonts w:ascii="Arial" w:eastAsia="Arial Unicode MS" w:hAnsi="Arial" w:cs="Arial"/>
          <w:szCs w:val="28"/>
          <w:u w:color="000000"/>
          <w:bdr w:val="nil"/>
          <w:lang w:val="uk-UA" w:eastAsia="uk-UA"/>
        </w:rPr>
        <w:t>міжнародне право</w:t>
      </w:r>
      <w:r w:rsidR="00220D3E" w:rsidRPr="00511005">
        <w:rPr>
          <w:rFonts w:ascii="Arial" w:eastAsia="Arial Unicode MS" w:hAnsi="Arial" w:cs="Arial"/>
          <w:szCs w:val="28"/>
          <w:u w:color="000000"/>
          <w:bdr w:val="nil"/>
          <w:lang w:eastAsia="uk-UA"/>
        </w:rPr>
        <w:t>,</w:t>
      </w:r>
      <w:r w:rsidR="00220D3E" w:rsidRPr="00511005">
        <w:rPr>
          <w:rFonts w:ascii="Arial" w:eastAsia="Arial Unicode MS" w:hAnsi="Arial" w:cs="Arial"/>
          <w:szCs w:val="28"/>
          <w:u w:color="000000"/>
          <w:bdr w:val="nil"/>
          <w:lang w:val="uk-UA" w:eastAsia="uk-UA"/>
        </w:rPr>
        <w:t xml:space="preserve"> міжнародні договори</w:t>
      </w:r>
      <w:r w:rsidR="00220D3E" w:rsidRPr="00511005">
        <w:rPr>
          <w:rFonts w:ascii="Arial" w:eastAsia="Arial Unicode MS" w:hAnsi="Arial" w:cs="Arial"/>
          <w:szCs w:val="28"/>
          <w:u w:color="000000"/>
          <w:bdr w:val="nil"/>
          <w:lang w:eastAsia="uk-UA"/>
        </w:rPr>
        <w:t xml:space="preserve">, </w:t>
      </w:r>
      <w:r w:rsidR="00220D3E" w:rsidRPr="00511005">
        <w:rPr>
          <w:rFonts w:ascii="Arial" w:eastAsia="Arial Unicode MS" w:hAnsi="Arial" w:cs="Arial"/>
          <w:szCs w:val="28"/>
          <w:u w:color="000000"/>
          <w:bdr w:val="nil"/>
          <w:lang w:val="uk-UA" w:eastAsia="uk-UA"/>
        </w:rPr>
        <w:t>інтеграція</w:t>
      </w:r>
      <w:r w:rsidR="00220D3E" w:rsidRPr="00511005">
        <w:rPr>
          <w:rFonts w:ascii="Arial" w:eastAsia="Arial Unicode MS" w:hAnsi="Arial" w:cs="Arial"/>
          <w:szCs w:val="28"/>
          <w:u w:color="000000"/>
          <w:bdr w:val="nil"/>
          <w:lang w:eastAsia="uk-UA"/>
        </w:rPr>
        <w:t>.</w:t>
      </w:r>
    </w:p>
    <w:p w14:paraId="16F6E988" w14:textId="59E1F282" w:rsidR="00220D3E" w:rsidRPr="00511005" w:rsidRDefault="007B2628" w:rsidP="003A292D">
      <w:pPr>
        <w:pBdr>
          <w:top w:val="nil"/>
          <w:left w:val="nil"/>
          <w:bottom w:val="nil"/>
          <w:right w:val="nil"/>
          <w:between w:val="nil"/>
          <w:bar w:val="nil"/>
        </w:pBdr>
        <w:spacing w:line="264" w:lineRule="auto"/>
        <w:jc w:val="left"/>
        <w:rPr>
          <w:rFonts w:ascii="Arial" w:eastAsia="Times New Roman" w:hAnsi="Arial" w:cs="Arial"/>
          <w:szCs w:val="28"/>
          <w:u w:color="000000"/>
          <w:bdr w:val="nil"/>
          <w:lang w:val="uk-UA" w:eastAsia="uk-UA"/>
        </w:rPr>
      </w:pPr>
      <w:r w:rsidRPr="00511005">
        <w:rPr>
          <w:rFonts w:ascii="Arial" w:eastAsia="Arial Unicode MS" w:hAnsi="Arial" w:cs="Arial"/>
          <w:b/>
          <w:bCs/>
          <w:i/>
          <w:szCs w:val="28"/>
          <w:u w:color="000000"/>
          <w:bdr w:val="nil"/>
          <w:lang w:val="en-US" w:eastAsia="uk-UA"/>
        </w:rPr>
        <w:t xml:space="preserve">Key words: </w:t>
      </w:r>
      <w:r w:rsidR="00220D3E" w:rsidRPr="00511005">
        <w:rPr>
          <w:rFonts w:ascii="Arial" w:eastAsia="Arial Unicode MS" w:hAnsi="Arial" w:cs="Arial"/>
          <w:szCs w:val="28"/>
          <w:u w:color="0563C1"/>
          <w:bdr w:val="nil"/>
          <w:lang w:val="en-US" w:eastAsia="uk-UA"/>
        </w:rPr>
        <w:t xml:space="preserve">European Union, international law, </w:t>
      </w:r>
      <w:r w:rsidR="00220D3E" w:rsidRPr="00511005">
        <w:rPr>
          <w:rFonts w:ascii="Arial" w:eastAsia="Arial Unicode MS" w:hAnsi="Arial" w:cs="Arial"/>
          <w:szCs w:val="28"/>
          <w:u w:color="000000"/>
          <w:bdr w:val="nil"/>
          <w:lang w:val="nl-NL" w:eastAsia="uk-UA"/>
        </w:rPr>
        <w:t>international treaties</w:t>
      </w:r>
      <w:r w:rsidR="00220D3E" w:rsidRPr="00511005">
        <w:rPr>
          <w:rFonts w:ascii="Arial" w:eastAsia="Arial Unicode MS" w:hAnsi="Arial" w:cs="Arial"/>
          <w:szCs w:val="28"/>
          <w:u w:color="0563C1"/>
          <w:bdr w:val="nil"/>
          <w:lang w:val="en-US" w:eastAsia="uk-UA"/>
        </w:rPr>
        <w:t>, integration.</w:t>
      </w:r>
    </w:p>
    <w:p w14:paraId="1969BD55" w14:textId="0C7D534B" w:rsidR="00220D3E" w:rsidRPr="00511005" w:rsidRDefault="007B2628" w:rsidP="003A292D">
      <w:pPr>
        <w:pBdr>
          <w:top w:val="nil"/>
          <w:left w:val="nil"/>
          <w:bottom w:val="nil"/>
          <w:right w:val="nil"/>
          <w:between w:val="nil"/>
          <w:bar w:val="nil"/>
        </w:pBdr>
        <w:spacing w:line="264" w:lineRule="auto"/>
        <w:jc w:val="left"/>
        <w:rPr>
          <w:rFonts w:ascii="Arial" w:eastAsia="Arial Unicode MS" w:hAnsi="Arial" w:cs="Arial"/>
          <w:szCs w:val="28"/>
          <w:u w:color="000000"/>
          <w:bdr w:val="nil"/>
          <w:lang w:val="uk-UA" w:eastAsia="uk-UA"/>
        </w:rPr>
      </w:pPr>
      <w:r w:rsidRPr="00511005">
        <w:rPr>
          <w:rFonts w:ascii="Arial" w:eastAsia="Arial Unicode MS" w:hAnsi="Arial" w:cs="Arial"/>
          <w:b/>
          <w:i/>
          <w:iCs/>
          <w:szCs w:val="28"/>
          <w:u w:color="000000"/>
          <w:bdr w:val="nil"/>
          <w:lang w:val="uk-UA" w:eastAsia="uk-UA"/>
        </w:rPr>
        <w:t xml:space="preserve">Науковий керівник: </w:t>
      </w:r>
      <w:r w:rsidR="00220D3E" w:rsidRPr="00511005">
        <w:rPr>
          <w:rFonts w:ascii="Arial" w:eastAsia="Arial Unicode MS" w:hAnsi="Arial" w:cs="Arial"/>
          <w:i/>
          <w:iCs/>
          <w:szCs w:val="28"/>
          <w:u w:color="000000"/>
          <w:bdr w:val="nil"/>
          <w:lang w:val="uk-UA" w:eastAsia="uk-UA"/>
        </w:rPr>
        <w:t xml:space="preserve">д. </w:t>
      </w:r>
      <w:r w:rsidR="00220D3E" w:rsidRPr="00511005">
        <w:rPr>
          <w:rFonts w:ascii="Arial" w:eastAsia="Arial Unicode MS" w:hAnsi="Arial" w:cs="Arial"/>
          <w:i/>
          <w:iCs/>
          <w:szCs w:val="28"/>
          <w:u w:color="000000"/>
          <w:bdr w:val="nil"/>
          <w:lang w:eastAsia="uk-UA"/>
        </w:rPr>
        <w:t>ю</w:t>
      </w:r>
      <w:r w:rsidR="00220D3E" w:rsidRPr="00511005">
        <w:rPr>
          <w:rFonts w:ascii="Arial" w:eastAsia="Arial Unicode MS" w:hAnsi="Arial" w:cs="Arial"/>
          <w:i/>
          <w:iCs/>
          <w:szCs w:val="28"/>
          <w:u w:color="000000"/>
          <w:bdr w:val="nil"/>
          <w:lang w:val="uk-UA" w:eastAsia="uk-UA"/>
        </w:rPr>
        <w:t>. н., професор Сурілова О. O.</w:t>
      </w:r>
    </w:p>
    <w:p w14:paraId="08911ED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4258604A" w14:textId="77777777" w:rsidR="00220D3E" w:rsidRPr="00511005" w:rsidRDefault="00220D3E" w:rsidP="003A292D">
      <w:pPr>
        <w:tabs>
          <w:tab w:val="left" w:pos="709"/>
        </w:tabs>
        <w:spacing w:line="264" w:lineRule="auto"/>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Шумай Андрій Олександрович</w:t>
      </w:r>
    </w:p>
    <w:p w14:paraId="5372D657" w14:textId="62C7FCE3" w:rsidR="00220D3E" w:rsidRPr="00511005" w:rsidRDefault="00536AAB"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 4-го курсу </w:t>
      </w:r>
      <w:r w:rsidR="00220D3E" w:rsidRPr="00511005">
        <w:rPr>
          <w:rFonts w:ascii="Arial" w:eastAsia="Times New Roman" w:hAnsi="Arial" w:cs="Arial"/>
          <w:szCs w:val="28"/>
          <w:lang w:val="uk-UA" w:eastAsia="ru-RU"/>
        </w:rPr>
        <w:t xml:space="preserve">факультету цивільної та господарської юстиції </w:t>
      </w:r>
    </w:p>
    <w:p w14:paraId="7795B12D" w14:textId="23B2C72A" w:rsidR="00220D3E" w:rsidRPr="00511005" w:rsidRDefault="007B2628" w:rsidP="003A292D">
      <w:pPr>
        <w:tabs>
          <w:tab w:val="left" w:pos="709"/>
        </w:tabs>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44BB08ED"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5652566B"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КОНФЛІКТ ЮРИСДИКЦІЙ У СПРАВАХ ПРО НАКЛЕП В ІНТЕРНЕТІ</w:t>
      </w:r>
    </w:p>
    <w:p w14:paraId="2FCA3D69"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сучасну цифрову епоху поширення інформації в мережі Інтернет не знає кордонів, що створює нові виклики для правового регулювання, особливо у сфері захисту честі, гідності та ділової репутації. </w:t>
      </w:r>
      <w:r w:rsidRPr="00511005">
        <w:rPr>
          <w:rFonts w:ascii="Arial" w:eastAsia="Times New Roman" w:hAnsi="Arial" w:cs="Arial"/>
          <w:szCs w:val="28"/>
          <w:lang w:eastAsia="ru-RU"/>
        </w:rPr>
        <w:t xml:space="preserve">Питання наклепу набуває особливої складності, коли йдеться про міжнародні спори, де сторони перебувають у різних державах, а дії, які потенційно завдають шкоди, вчинені у віртуальному просторі. Це викликає проблему конфлікту юрисдикцій: який суд має право розглядати справу, та яке право слід застосовувати?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міжнародного приватного права пошук відповідей на ці питання стає особливо актуальним з огляду на зростаючу кількість транснаціональних інтернет-спорів. Вирішення таких конфліктів потребує балансу між свободою слова, правом на захист репутації та принципами справедливого судочинства.</w:t>
      </w:r>
    </w:p>
    <w:p w14:paraId="7CA2A64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 Україні відповідні питання регулюються Законом України «Про міжнародне приватне право». Зокрема, стаття 49 цього закону встановлює, що права та обов’язки за зобов’язаннями, які виникають у результаті завдання шкоди, визначаються за правом тієї держави, на території якої мала місце дія або інша обставина, що стала підставою для позову. Водночас стаття 76 визначає підстави для юрисдикції українських судів, включаючи наявність місця проживання або перебування відповідача на території України, або місце вчинення дії, що спричинила шкоду. Стаття 14 </w:t>
      </w:r>
      <w:r w:rsidRPr="00511005">
        <w:rPr>
          <w:rFonts w:ascii="Arial" w:eastAsia="Times New Roman" w:hAnsi="Arial" w:cs="Arial"/>
          <w:szCs w:val="28"/>
          <w:lang w:eastAsia="ru-RU"/>
        </w:rPr>
        <w:lastRenderedPageBreak/>
        <w:t>підкреслює важливість застосування імперативних норм українського законодавства незалежно від того, право якої держави підлягає застосуванню у конкретному спорі [1].</w:t>
      </w:r>
    </w:p>
    <w:p w14:paraId="06D105E6" w14:textId="77777777" w:rsidR="00220D3E" w:rsidRPr="00511005" w:rsidRDefault="00220D3E" w:rsidP="003A292D">
      <w:pPr>
        <w:tabs>
          <w:tab w:val="left" w:pos="709"/>
        </w:tabs>
        <w:spacing w:line="264" w:lineRule="auto"/>
        <w:rPr>
          <w:rFonts w:ascii="Arial" w:eastAsia="Times New Roman" w:hAnsi="Arial" w:cs="Arial"/>
          <w:szCs w:val="28"/>
          <w:lang w:eastAsia="ru-RU"/>
        </w:rPr>
      </w:pP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європейської практики варто звернути увагу на позицію Європейського суду з прав людини. У справі Delfi AS v. Estonia Суд постановив, що навіть власники веб-сайтів можуть нести відповідальність за наклепницькі коментарі користувачів, якщо не забезпечено належного нагляду за контентом. Це рішення підтверджує необхідність збалансованого підходу між правом на свободу вираження думки, закріпленим у статті 10 Європейської конвенції з прав людини, і захистом репутації, який також визнається легітимною метою для обмеження цієї свободи [2].</w:t>
      </w:r>
    </w:p>
    <w:p w14:paraId="1BDC0CD1"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Щодо української судової практики, варто згадати справу № 6-18910ск15, у якій Вищий спеціалізований суд України дійшов висновку, що у випадку неможливості ідентифікації автора поширеної інформації, відповідальність може покладатися на власника ресурсу, через який ця інформація була оприлюднена. Таким чином, судова практика в Україні йде шляхом визнання відповідальності за умови створення платформи для поширення недостовірної інформації [3].</w:t>
      </w:r>
    </w:p>
    <w:p w14:paraId="63E4739B"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випадках конфлікту юрисдикцій застосовується принцип lis pendens, який дозволяє уникати паралельного розгляду однієї справи судами різних держав. Відповідно до статті 75 Закону України «Про міжнародне приватне право», український суд може відмовити у відкритті провадження або припинити його, якщо справа вже розглядається іноземним судом за тими ж підставами.</w:t>
      </w:r>
    </w:p>
    <w:p w14:paraId="4E33FEAA"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Проблематика конфлікту юрисдикцій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наклеп в Інтернеті полягає насамперед у транснаціональному характері правопорушення. Інформація, що поширюється в мережі, може бути доступна миттєво у будь-якому куточку світу, що ускладнює визначення, в якій саме державі виникла шкода та який суд уповноважений розглядати спір. Такі ситуації часто супроводжуються неоднозначністю у застосуванні колізійних норм і створюють правову невизначеність для позивачів і відповідачів. Ще однією проблемою є відсутність уніфікованого підходу на міжнародному рівні до визначення юрисдикції у таких справах, а також відмінності </w:t>
      </w:r>
      <w:proofErr w:type="gramStart"/>
      <w:r w:rsidRPr="00511005">
        <w:rPr>
          <w:rFonts w:ascii="Arial" w:eastAsia="Times New Roman" w:hAnsi="Arial" w:cs="Arial"/>
          <w:szCs w:val="28"/>
          <w:lang w:eastAsia="ru-RU"/>
        </w:rPr>
        <w:t>у стандартах</w:t>
      </w:r>
      <w:proofErr w:type="gramEnd"/>
      <w:r w:rsidRPr="00511005">
        <w:rPr>
          <w:rFonts w:ascii="Arial" w:eastAsia="Times New Roman" w:hAnsi="Arial" w:cs="Arial"/>
          <w:szCs w:val="28"/>
          <w:lang w:eastAsia="ru-RU"/>
        </w:rPr>
        <w:t xml:space="preserve"> доведення факту наклепу й обсягу захисту свободи слова в різних країнах.</w:t>
      </w:r>
    </w:p>
    <w:p w14:paraId="3BBD952D"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Особливо гостро стоїть питання, коли позивач намагається подати позов у юрисдикції, що є для нього вигіднішою «форум-шопінг», користуючись тим, що інформація потенційно могла бути переглянута </w:t>
      </w:r>
      <w:proofErr w:type="gramStart"/>
      <w:r w:rsidRPr="00511005">
        <w:rPr>
          <w:rFonts w:ascii="Arial" w:eastAsia="Times New Roman" w:hAnsi="Arial" w:cs="Arial"/>
          <w:szCs w:val="28"/>
          <w:lang w:eastAsia="ru-RU"/>
        </w:rPr>
        <w:t>в будь</w:t>
      </w:r>
      <w:proofErr w:type="gramEnd"/>
      <w:r w:rsidRPr="00511005">
        <w:rPr>
          <w:rFonts w:ascii="Arial" w:eastAsia="Times New Roman" w:hAnsi="Arial" w:cs="Arial"/>
          <w:szCs w:val="28"/>
          <w:lang w:eastAsia="ru-RU"/>
        </w:rPr>
        <w:t xml:space="preserve">-якій країні. Це створює ризик надмірного обмеження свободи вираження поглядів і може сприяти виникненню практики так званих </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судів на замовлення</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де справи штучно виносяться в ті юрисдикції, що забезпечують найвищі компенсації або найменші правові бар’єри.</w:t>
      </w:r>
    </w:p>
    <w:p w14:paraId="7310BBE2"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Для вирішення цієї проблеми необхідне удосконалення колізійного регулювання на рівні міжнародного права. Перш за все, доцільним є запровадження чітких і загальновизнаних критеріїв для визначення компетентного суду — наприклад, фокус на місці, де особа зазнала основної шкоди (центр інтересів позивача), або там, де перебуває головна аудиторія публікації. Такий підхід вже частково реалізовано в практиці ЄСПЛ, зокрема у справі Egill Einarsson v. Iceland, де наголошувалося на значущості контексту і впливу оприлюдненої інформації. Також важливо забезпечити взаємне визнання судових рішень та створення міждержавних механізмів співпраці, які б дозволяли ефективно реалізовувати права потерпілих [4].</w:t>
      </w:r>
    </w:p>
    <w:p w14:paraId="6404B374"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З боку України можливим напрямом вдосконалення є розробка чітких рекомендацій щодо юрисдикції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дифамацію в </w:t>
      </w:r>
      <w:r w:rsidRPr="00511005">
        <w:rPr>
          <w:rFonts w:ascii="Arial" w:eastAsia="Times New Roman" w:hAnsi="Arial" w:cs="Arial"/>
          <w:szCs w:val="28"/>
          <w:lang w:val="uk-UA" w:eastAsia="ru-RU"/>
        </w:rPr>
        <w:t>соціальних мережах</w:t>
      </w:r>
      <w:r w:rsidRPr="00511005">
        <w:rPr>
          <w:rFonts w:ascii="Arial" w:eastAsia="Times New Roman" w:hAnsi="Arial" w:cs="Arial"/>
          <w:szCs w:val="28"/>
          <w:lang w:eastAsia="ru-RU"/>
        </w:rPr>
        <w:t xml:space="preserve"> та інтеграція принципів європейської судової практики у національну правову систему. Важливим також є роз’яснення ролі інтернет-платформ і уточнення умов їх відповідальності, що дозволило б зменшити ризики безкарності за поширення наклепницької інформації в </w:t>
      </w:r>
      <w:r w:rsidRPr="00511005">
        <w:rPr>
          <w:rFonts w:ascii="Arial" w:eastAsia="Times New Roman" w:hAnsi="Arial" w:cs="Arial"/>
          <w:szCs w:val="28"/>
          <w:lang w:val="uk-UA" w:eastAsia="ru-RU"/>
        </w:rPr>
        <w:t>мережі</w:t>
      </w:r>
      <w:r w:rsidRPr="00511005">
        <w:rPr>
          <w:rFonts w:ascii="Arial" w:eastAsia="Times New Roman" w:hAnsi="Arial" w:cs="Arial"/>
          <w:szCs w:val="28"/>
          <w:lang w:eastAsia="ru-RU"/>
        </w:rPr>
        <w:t xml:space="preserve"> [5].</w:t>
      </w:r>
    </w:p>
    <w:p w14:paraId="236547C7" w14:textId="77777777" w:rsidR="00220D3E" w:rsidRPr="00511005" w:rsidRDefault="00220D3E" w:rsidP="003A292D">
      <w:pPr>
        <w:tabs>
          <w:tab w:val="left" w:pos="709"/>
        </w:tabs>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Отже, </w:t>
      </w:r>
      <w:r w:rsidRPr="00511005">
        <w:rPr>
          <w:rFonts w:ascii="Arial" w:eastAsia="Times New Roman" w:hAnsi="Arial" w:cs="Arial"/>
          <w:szCs w:val="28"/>
          <w:lang w:val="uk-UA" w:eastAsia="ru-RU"/>
        </w:rPr>
        <w:t>п</w:t>
      </w:r>
      <w:r w:rsidRPr="00511005">
        <w:rPr>
          <w:rFonts w:ascii="Arial" w:eastAsia="Times New Roman" w:hAnsi="Arial" w:cs="Arial"/>
          <w:szCs w:val="28"/>
          <w:lang w:eastAsia="ru-RU"/>
        </w:rPr>
        <w:t xml:space="preserve">роблема конфлікту юрисдикцій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наклеп в </w:t>
      </w:r>
      <w:r w:rsidRPr="00511005">
        <w:rPr>
          <w:rFonts w:ascii="Arial" w:eastAsia="Times New Roman" w:hAnsi="Arial" w:cs="Arial"/>
          <w:szCs w:val="28"/>
          <w:lang w:val="uk-UA" w:eastAsia="ru-RU"/>
        </w:rPr>
        <w:t>веб сітях</w:t>
      </w:r>
      <w:r w:rsidRPr="00511005">
        <w:rPr>
          <w:rFonts w:ascii="Arial" w:eastAsia="Times New Roman" w:hAnsi="Arial" w:cs="Arial"/>
          <w:szCs w:val="28"/>
          <w:lang w:eastAsia="ru-RU"/>
        </w:rPr>
        <w:t xml:space="preserve"> є складною та багатоаспектною, оскільки поєднує питання захисту репутації, свободи слова та юрисдикційної визначеності. Сучасне правове регулювання в Україні, хоч і передбачає основні механізми розмежування компетенції судів та застосовного права, все ще потребує подальшого вдосконалення з урахуванням практики Європейського суду з прав людини та тенденцій міжнародного правового розвитку. Уніфікація підходів, розробка загальних принципів визначення компетентного суду, удосконалення регулювання відповідальності онлайн-платформ і забезпечення ефективного міжнародного співробітництва мають стати основою для підвищення правової визначеності у таких справах. Українська правова система має всі передумови для поступової гармонізації з міжнародними стандартами, що дозволить ефективно захищати права осіб у цифровому середовищі.</w:t>
      </w:r>
    </w:p>
    <w:p w14:paraId="7F7F6093" w14:textId="77777777" w:rsidR="00220D3E" w:rsidRPr="00511005" w:rsidRDefault="00220D3E" w:rsidP="003A292D">
      <w:pPr>
        <w:tabs>
          <w:tab w:val="left" w:pos="709"/>
        </w:tabs>
        <w:spacing w:line="264" w:lineRule="auto"/>
        <w:rPr>
          <w:rFonts w:ascii="Arial" w:eastAsia="Times New Roman" w:hAnsi="Arial" w:cs="Arial"/>
          <w:szCs w:val="28"/>
          <w:lang w:eastAsia="ru-RU"/>
        </w:rPr>
      </w:pPr>
    </w:p>
    <w:p w14:paraId="54A8EBF3" w14:textId="5657776C" w:rsidR="00220D3E" w:rsidRPr="00511005" w:rsidRDefault="007B2628" w:rsidP="007B2628">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6F70AF8D" w14:textId="77777777" w:rsidR="00220D3E" w:rsidRPr="00511005" w:rsidRDefault="00220D3E" w:rsidP="003F6A5D">
      <w:pPr>
        <w:numPr>
          <w:ilvl w:val="0"/>
          <w:numId w:val="18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Закон України «Про міжнародне приватне право» від 23.06.2005 № 2709-IV [Електронний ресурс]. – Режим доступу: https://zakon.rada.gov.ua/laws/show/2709-15#Text</w:t>
      </w:r>
    </w:p>
    <w:p w14:paraId="510BB21A" w14:textId="77777777" w:rsidR="00220D3E" w:rsidRPr="00511005" w:rsidRDefault="00220D3E" w:rsidP="003F6A5D">
      <w:pPr>
        <w:numPr>
          <w:ilvl w:val="0"/>
          <w:numId w:val="18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Справа «Delfi AS v. Estonia» (2015), рішення Великої палати ЄСПЛ [Електронний ресурс]. – Режим доступу: https://hudoc.echr.coe.int/eng?i=001-155105</w:t>
      </w:r>
    </w:p>
    <w:p w14:paraId="48BC6F47" w14:textId="77777777" w:rsidR="00220D3E" w:rsidRPr="00511005" w:rsidRDefault="00220D3E" w:rsidP="003F6A5D">
      <w:pPr>
        <w:numPr>
          <w:ilvl w:val="0"/>
          <w:numId w:val="18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Постанова Вищого спеціалізованого суду України з розгляду цивільних і кримінальних справ у справі № 6-18910ск15 [Електронний ресурс]. – Режим доступу: https://reyestr.court.gov.ua</w:t>
      </w:r>
    </w:p>
    <w:p w14:paraId="0005DCD9" w14:textId="77777777" w:rsidR="00220D3E" w:rsidRPr="00511005" w:rsidRDefault="00220D3E" w:rsidP="003F6A5D">
      <w:pPr>
        <w:numPr>
          <w:ilvl w:val="0"/>
          <w:numId w:val="18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lastRenderedPageBreak/>
        <w:t>Справа «Egill Einarsson v. Iceland» (2020), рішення ЄСПЛ [Електронний ресурс]. – Режим доступу: https://hudoc.echr.coe.int/eng?i=001-203422</w:t>
      </w:r>
    </w:p>
    <w:p w14:paraId="7BF63371" w14:textId="77777777" w:rsidR="00220D3E" w:rsidRPr="00511005" w:rsidRDefault="00220D3E" w:rsidP="003F6A5D">
      <w:pPr>
        <w:numPr>
          <w:ilvl w:val="0"/>
          <w:numId w:val="189"/>
        </w:numPr>
        <w:tabs>
          <w:tab w:val="left" w:pos="709"/>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Павленко Р. І. Захист честі, гідності та ділової репутації в Інтернеті: міжнародно-правові аспекти // Юридична Україна. – 2021. – № 6. – С. 34–39.</w:t>
      </w:r>
    </w:p>
    <w:p w14:paraId="2F206240" w14:textId="77777777" w:rsidR="00220D3E" w:rsidRPr="00511005" w:rsidRDefault="00220D3E" w:rsidP="003A292D">
      <w:pPr>
        <w:tabs>
          <w:tab w:val="left" w:pos="709"/>
        </w:tabs>
        <w:spacing w:line="264" w:lineRule="auto"/>
        <w:rPr>
          <w:rFonts w:ascii="Arial" w:eastAsia="Times New Roman" w:hAnsi="Arial" w:cs="Arial"/>
          <w:b/>
          <w:bCs/>
          <w:szCs w:val="28"/>
          <w:lang w:val="uk-UA" w:eastAsia="ru-RU"/>
        </w:rPr>
      </w:pPr>
    </w:p>
    <w:p w14:paraId="0865FDC1" w14:textId="267F55C3" w:rsidR="00220D3E" w:rsidRPr="00511005" w:rsidRDefault="007B2628" w:rsidP="003A292D">
      <w:pPr>
        <w:tabs>
          <w:tab w:val="left" w:pos="709"/>
        </w:tabs>
        <w:spacing w:line="264" w:lineRule="auto"/>
        <w:rPr>
          <w:rFonts w:ascii="Arial" w:eastAsia="Times New Roman" w:hAnsi="Arial" w:cs="Arial"/>
          <w:b/>
          <w:bCs/>
          <w:szCs w:val="28"/>
          <w:lang w:val="uk-UA" w:eastAsia="ru-RU"/>
        </w:rPr>
      </w:pPr>
      <w:r w:rsidRPr="00511005">
        <w:rPr>
          <w:rFonts w:ascii="Arial" w:eastAsia="Times New Roman" w:hAnsi="Arial" w:cs="Arial"/>
          <w:b/>
          <w:bCs/>
          <w:i/>
          <w:szCs w:val="28"/>
          <w:lang w:val="uk-UA" w:eastAsia="ru-RU"/>
        </w:rPr>
        <w:t xml:space="preserve">Ключові слова: </w:t>
      </w:r>
      <w:r w:rsidR="00220D3E" w:rsidRPr="00511005">
        <w:rPr>
          <w:rFonts w:ascii="Arial" w:eastAsia="Times New Roman" w:hAnsi="Arial" w:cs="Arial"/>
          <w:szCs w:val="28"/>
          <w:lang w:eastAsia="ru-RU"/>
        </w:rPr>
        <w:t>наклеп, Інтернет, міжнародне приватне право, юрисдикція, захист репутації</w:t>
      </w:r>
      <w:r w:rsidR="00220D3E" w:rsidRPr="00511005">
        <w:rPr>
          <w:rFonts w:ascii="Arial" w:eastAsia="Times New Roman" w:hAnsi="Arial" w:cs="Arial"/>
          <w:b/>
          <w:bCs/>
          <w:szCs w:val="28"/>
          <w:lang w:val="uk-UA" w:eastAsia="ru-RU"/>
        </w:rPr>
        <w:t>;</w:t>
      </w:r>
    </w:p>
    <w:p w14:paraId="4BC49A0C" w14:textId="0F2F8CA2" w:rsidR="00220D3E" w:rsidRPr="00511005" w:rsidRDefault="007B2628" w:rsidP="003A292D">
      <w:pPr>
        <w:tabs>
          <w:tab w:val="left" w:pos="709"/>
        </w:tabs>
        <w:spacing w:line="264" w:lineRule="auto"/>
        <w:rPr>
          <w:rFonts w:ascii="Arial" w:eastAsia="Times New Roman" w:hAnsi="Arial" w:cs="Arial"/>
          <w:b/>
          <w:bCs/>
          <w:szCs w:val="28"/>
          <w:lang w:val="uk-UA" w:eastAsia="ru-RU"/>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en-US" w:eastAsia="ru-RU"/>
        </w:rPr>
        <w:t>defamation, Internet, private international law, jurisdiction, reputation protection</w:t>
      </w:r>
      <w:r w:rsidR="00220D3E" w:rsidRPr="00511005">
        <w:rPr>
          <w:rFonts w:ascii="Arial" w:eastAsia="Times New Roman" w:hAnsi="Arial" w:cs="Arial"/>
          <w:b/>
          <w:bCs/>
          <w:szCs w:val="28"/>
          <w:lang w:val="uk-UA" w:eastAsia="ru-RU"/>
        </w:rPr>
        <w:t>.</w:t>
      </w:r>
    </w:p>
    <w:p w14:paraId="50569C65" w14:textId="4560E0C3" w:rsidR="00220D3E" w:rsidRPr="00511005" w:rsidRDefault="007B2628" w:rsidP="003A292D">
      <w:pPr>
        <w:tabs>
          <w:tab w:val="left" w:pos="709"/>
        </w:tabs>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асистент кафедри Бугаєць А.С.</w:t>
      </w:r>
    </w:p>
    <w:p w14:paraId="25BAA6F5" w14:textId="77777777" w:rsidR="00220D3E" w:rsidRPr="00511005" w:rsidRDefault="00220D3E" w:rsidP="003A292D">
      <w:pPr>
        <w:tabs>
          <w:tab w:val="left" w:pos="709"/>
        </w:tabs>
        <w:spacing w:line="264" w:lineRule="auto"/>
        <w:ind w:firstLine="0"/>
        <w:rPr>
          <w:rFonts w:ascii="Arial" w:eastAsia="Times New Roman" w:hAnsi="Arial" w:cs="Arial"/>
          <w:szCs w:val="28"/>
          <w:lang w:val="uk-UA" w:eastAsia="ru-RU"/>
        </w:rPr>
      </w:pPr>
    </w:p>
    <w:p w14:paraId="04A3DDCC" w14:textId="77777777" w:rsidR="00220D3E" w:rsidRPr="00511005" w:rsidRDefault="00220D3E" w:rsidP="003A292D">
      <w:pPr>
        <w:shd w:val="clear" w:color="auto" w:fill="FFFFFF"/>
        <w:tabs>
          <w:tab w:val="left" w:pos="709"/>
        </w:tabs>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Якубаш Віталій Русланович</w:t>
      </w:r>
    </w:p>
    <w:p w14:paraId="1D8097F4" w14:textId="56CDF5BC" w:rsidR="00220D3E" w:rsidRPr="00511005" w:rsidRDefault="00536AAB" w:rsidP="003A292D">
      <w:pPr>
        <w:shd w:val="clear" w:color="auto" w:fill="FFFFFF"/>
        <w:tabs>
          <w:tab w:val="left" w:pos="709"/>
        </w:tabs>
        <w:spacing w:line="264" w:lineRule="auto"/>
        <w:jc w:val="center"/>
        <w:rPr>
          <w:rFonts w:ascii="Arial" w:eastAsia="Times New Roman" w:hAnsi="Arial" w:cs="Arial"/>
          <w:iCs/>
          <w:szCs w:val="28"/>
          <w:lang w:val="uk-UA" w:eastAsia="ru-RU"/>
        </w:rPr>
      </w:pPr>
      <w:bookmarkStart w:id="81" w:name="_Hlk161266486"/>
      <w:r w:rsidRPr="00511005">
        <w:rPr>
          <w:rFonts w:ascii="Arial" w:eastAsia="Times New Roman" w:hAnsi="Arial" w:cs="Arial"/>
          <w:iCs/>
          <w:szCs w:val="28"/>
          <w:lang w:val="uk-UA" w:eastAsia="ru-RU"/>
        </w:rPr>
        <w:t xml:space="preserve">студент 3-го курсу </w:t>
      </w:r>
      <w:r w:rsidR="001B7B25" w:rsidRPr="00511005">
        <w:rPr>
          <w:rFonts w:ascii="Arial" w:eastAsia="Times New Roman" w:hAnsi="Arial" w:cs="Arial"/>
          <w:iCs/>
          <w:szCs w:val="28"/>
          <w:lang w:val="uk-UA" w:eastAsia="ru-RU"/>
        </w:rPr>
        <w:t>факультету судового та міжнародного права</w:t>
      </w:r>
    </w:p>
    <w:p w14:paraId="695231FF" w14:textId="3FECE464" w:rsidR="00220D3E" w:rsidRPr="00511005" w:rsidRDefault="007B2628" w:rsidP="003A292D">
      <w:pPr>
        <w:shd w:val="clear" w:color="auto" w:fill="FFFFFF"/>
        <w:tabs>
          <w:tab w:val="left" w:pos="709"/>
        </w:tabs>
        <w:spacing w:line="264" w:lineRule="auto"/>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bookmarkEnd w:id="81"/>
    </w:p>
    <w:p w14:paraId="1154F2FC" w14:textId="77777777" w:rsidR="00220D3E" w:rsidRPr="00511005" w:rsidRDefault="00220D3E" w:rsidP="003A292D">
      <w:pPr>
        <w:tabs>
          <w:tab w:val="left" w:pos="709"/>
        </w:tabs>
        <w:spacing w:line="264" w:lineRule="auto"/>
        <w:jc w:val="center"/>
        <w:rPr>
          <w:rFonts w:ascii="Arial" w:eastAsia="Times New Roman" w:hAnsi="Arial" w:cs="Arial"/>
          <w:szCs w:val="28"/>
          <w:lang w:eastAsia="ru-RU"/>
        </w:rPr>
      </w:pPr>
    </w:p>
    <w:p w14:paraId="02FA5DE1" w14:textId="77777777" w:rsidR="00220D3E" w:rsidRPr="00511005" w:rsidRDefault="00220D3E" w:rsidP="003A292D">
      <w:pPr>
        <w:tabs>
          <w:tab w:val="left" w:pos="709"/>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ШКОДА ДОВКІЛЛЮ ЯК МІЖНАРОДНЕ ПРАВОПОРУШЕННЯ: ВИКЛИКИ КРИМІНАЛЬНО-ПРАВОВОЇ ВІДПОВІДАЛЬНОСТІ В УКРАЇНІ ТА В СВІТІ</w:t>
      </w:r>
    </w:p>
    <w:p w14:paraId="59F03A4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сучасних умовах глобальної екологічної кризи та активізації збройних конфліктів проблема захисту навколишнього природного середовища вийшла за межі екологічної політики та стала предметом міжнародного правового регулювання. Особливої актуальності набуває питання про ефективні механізми оцінювання шкоди, завданої довкіллю, а також про правову кваліфікацію таких дій у контексті міжнародного кримінального права.</w:t>
      </w:r>
    </w:p>
    <w:p w14:paraId="6FF8C92D"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 Україні, як і в багатьох інших державах, оцінка шкоди навколишньому природному середовищу здебільшого здійснюється на підставі економічного підходу. Це означає, що втрати обчислюються через грошовий еквівалент, відповідно до затверджених методик, визначених Кабінетом Міністрів України. Як зазначено в ст.ст. 68-70 Закону України «Про охорону навколишнього природного середовища», відповідальні за порушення природоохоронного законодавства особи повинні відшкодовувати шкоду шляхом фінансових виплат </w:t>
      </w: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 Проте, як свідчить практика, ці компенсації рідко спрямовуються безпосередньо на відновлення постраждалих екосистем, адже, згідно з п. 4 ч. 1 ст. 69</w:t>
      </w:r>
      <w:r w:rsidRPr="00511005">
        <w:rPr>
          <w:rFonts w:ascii="Arial" w:eastAsia="Times New Roman" w:hAnsi="Arial" w:cs="Arial"/>
          <w:szCs w:val="28"/>
          <w:vertAlign w:val="superscript"/>
          <w:lang w:val="uk-UA" w:eastAsia="ru-RU"/>
        </w:rPr>
        <w:t>1</w:t>
      </w:r>
      <w:r w:rsidRPr="00511005">
        <w:rPr>
          <w:rFonts w:ascii="Arial" w:eastAsia="Times New Roman" w:hAnsi="Arial" w:cs="Arial"/>
          <w:szCs w:val="28"/>
          <w:lang w:val="uk-UA" w:eastAsia="ru-RU"/>
        </w:rPr>
        <w:t xml:space="preserve"> Бюджетного кодексу України, 70% таких надходжень перерозподіляються між місцевими бюджетами і витрачаються на інші екологічні потреби [2]. Такий підхід має серйозні недоліки. Він звужує зміст екологічної шкоди до матеріального аспекту, ігноруючи втрату екосистемних послуг, знищення біорізноманіття, зміну кліматичних умов та інші важко вимірювані наслідки.</w:t>
      </w:r>
    </w:p>
    <w:p w14:paraId="364ABF34"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На цьому тлі досвід Європейського Союзу є надзвичайно показовим. Зокрема Директива 2004/35/ЕС «Про екологічну відповідальність» базується на принципі «забруднювач платить» і передбачає три рівні реагування на шкоду: первинне, додаткове та компенсаційне відновлення [3]. Її основна мета – не лише компенсувати збитки, а й забезпечити відновлення довкілля до початкового стану. Особа, або організація, що завдала шкоди, зобов’язана вжити активних заходів щодо відновлення, а не обмежуватись фінансовими санкціями. Відповідно, акцент робиться не на економічному еквіваленті шкоди, а на екологічному результаті.</w:t>
      </w:r>
    </w:p>
    <w:p w14:paraId="6C961178"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Досліджуючи питання шкоди навколишньому природному середовищу на міжнародному рівні, існує низка нормативно-правових актів, що регламентують захист довкілля. Це зокрема, Конвенція ООН про заборону військового або будь-якого іншого ворожого використання засобів впливу на природне середовище (ЕНМОД, 1976), яка забороняє застосування екологічних засобів ведення війни, якщо їх наслідки є «широкими, довготривалими або серйозними» [4]. Аналогічні положення містить Додатковий протокол </w:t>
      </w:r>
      <w:r w:rsidRPr="00511005">
        <w:rPr>
          <w:rFonts w:ascii="Arial" w:eastAsia="Times New Roman" w:hAnsi="Arial" w:cs="Arial"/>
          <w:szCs w:val="28"/>
          <w:lang w:val="en-US" w:eastAsia="ru-RU"/>
        </w:rPr>
        <w:t>I</w:t>
      </w:r>
      <w:r w:rsidRPr="00511005">
        <w:rPr>
          <w:rFonts w:ascii="Arial" w:eastAsia="Times New Roman" w:hAnsi="Arial" w:cs="Arial"/>
          <w:szCs w:val="28"/>
          <w:lang w:val="uk-UA" w:eastAsia="ru-RU"/>
        </w:rPr>
        <w:t xml:space="preserve"> до Женевських конвенцій (1977), зокрема ст.ст. 35 і 55, які прямо забороняють методи ведення бойових дій, що завдають значної шкоди довкіллю [</w:t>
      </w:r>
      <w:r w:rsidRPr="00511005">
        <w:rPr>
          <w:rFonts w:ascii="Arial" w:eastAsia="Times New Roman" w:hAnsi="Arial" w:cs="Arial"/>
          <w:szCs w:val="28"/>
          <w:lang w:eastAsia="ru-RU"/>
        </w:rPr>
        <w:t>5</w:t>
      </w:r>
      <w:r w:rsidRPr="00511005">
        <w:rPr>
          <w:rFonts w:ascii="Arial" w:eastAsia="Times New Roman" w:hAnsi="Arial" w:cs="Arial"/>
          <w:szCs w:val="28"/>
          <w:lang w:val="uk-UA" w:eastAsia="ru-RU"/>
        </w:rPr>
        <w:t>]. Проте, головним викликом є те, що в міжнародному кримінальному праві екологічна шкода не має окремого визначеного статусу злочину. У Статуті Міжнародного кримінального суду (Римський статут, 1998) шкода навколишньому природному середовищу згадується лиш побіжно, що створює певний «вакуум у правовому полі», адже значна шкода екосистемам може залишатись безкарною. Саме тому провідні правозахисні організації, науковці та окремі держави виступають за визнання окремого міжнародного злочину екоциду.</w:t>
      </w:r>
    </w:p>
    <w:p w14:paraId="542911CB"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Як зазначає Українська Гельсінська спілка з прав людини у своєму звіті «На межі виживання», воєнні дії на Сході України спричинили серйозну шкоду довкіллю, яка може кваліфікуватися як міжнародне правопорушення [див., детальніше: 6]. Крім того, у роботі «Міжнародно-правовий режим захисту навколишнього природного середовища під час збройних конфліктів», автор наголошує на складності застосування існуючих міжнародних норм на практиці, зокрема через відсутність чітких критеріїв оцінки «серйозності» шкоди [7, с. 672]. У відповідь на ці виклики у 2025 р. Європа формує нові стандарти захисту довкілля через кримінальне право, що вперше включає визначення екоциду, встановлює обов’язковість кримінального переслідування за масову шкоду довкіллю та створює правові підстави для міжнародної юрисдикції [8].</w:t>
      </w:r>
    </w:p>
    <w:p w14:paraId="469C737C"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Таким чином, ключовими проблемами у сфері кримінально-правового захисту навколишнього природного середовища залишаються: відсутність ефективних методик оцінки екологічної шкоди, домінування економічного підходу, недосконалість національного правового механізму, а також </w:t>
      </w:r>
      <w:r w:rsidRPr="00511005">
        <w:rPr>
          <w:rFonts w:ascii="Arial" w:eastAsia="Times New Roman" w:hAnsi="Arial" w:cs="Arial"/>
          <w:szCs w:val="28"/>
          <w:lang w:val="uk-UA" w:eastAsia="ru-RU"/>
        </w:rPr>
        <w:lastRenderedPageBreak/>
        <w:t>невизнання серйозної шкоди довкіллю як окремого складу міжнародного злочину. Водночас існують чіткі передумови для вдосконалення національного екологічного законодавства та міжнародна підтримка ідеї визнання екоциду п’ятим міжнародним злочином, що дозволить ефективніше проводити оцінку шкоди навколишньому середовищу та притягати до відповідальності винних у руйнуванні природного середовища.</w:t>
      </w:r>
    </w:p>
    <w:p w14:paraId="7B07349C"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5E7A3955"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11F66B0B" w14:textId="77777777" w:rsidR="00220D3E" w:rsidRPr="00511005" w:rsidRDefault="00220D3E" w:rsidP="003A292D">
      <w:pPr>
        <w:tabs>
          <w:tab w:val="left" w:pos="709"/>
        </w:tabs>
        <w:spacing w:line="264" w:lineRule="auto"/>
        <w:jc w:val="center"/>
        <w:rPr>
          <w:rFonts w:ascii="Arial" w:eastAsia="Times New Roman" w:hAnsi="Arial" w:cs="Arial"/>
          <w:szCs w:val="28"/>
          <w:lang w:val="uk-UA" w:eastAsia="ru-RU"/>
        </w:rPr>
      </w:pPr>
    </w:p>
    <w:p w14:paraId="35752D75" w14:textId="6B903207" w:rsidR="00220D3E" w:rsidRPr="00511005" w:rsidRDefault="007B2628" w:rsidP="007B2628">
      <w:pPr>
        <w:tabs>
          <w:tab w:val="left" w:pos="709"/>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6B5DBEA3" w14:textId="77777777" w:rsidR="00220D3E" w:rsidRPr="00511005" w:rsidRDefault="00220D3E" w:rsidP="003F6A5D">
      <w:pPr>
        <w:numPr>
          <w:ilvl w:val="0"/>
          <w:numId w:val="194"/>
        </w:numPr>
        <w:tabs>
          <w:tab w:val="left" w:pos="709"/>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Про охорону навколишнього природного середовища : Закон України від</w:t>
      </w:r>
      <w:r w:rsidRPr="00511005">
        <w:rPr>
          <w:rFonts w:ascii="Arial" w:eastAsia="Calibri" w:hAnsi="Arial" w:cs="Arial"/>
          <w:szCs w:val="28"/>
          <w:lang w:val="en-US"/>
        </w:rPr>
        <w:t> </w:t>
      </w:r>
      <w:r w:rsidRPr="00511005">
        <w:rPr>
          <w:rFonts w:ascii="Arial" w:eastAsia="Calibri" w:hAnsi="Arial" w:cs="Arial"/>
          <w:szCs w:val="28"/>
          <w:lang w:val="uk-UA"/>
        </w:rPr>
        <w:t xml:space="preserve">25.06.1991 № 1264-XII. </w:t>
      </w:r>
      <w:r w:rsidRPr="00511005">
        <w:rPr>
          <w:rFonts w:ascii="Arial" w:eastAsia="Calibri" w:hAnsi="Arial" w:cs="Arial"/>
          <w:szCs w:val="28"/>
          <w:lang w:val="en-US"/>
        </w:rPr>
        <w:t>URL</w:t>
      </w:r>
      <w:r w:rsidRPr="00511005">
        <w:rPr>
          <w:rFonts w:ascii="Arial" w:eastAsia="Calibri" w:hAnsi="Arial" w:cs="Arial"/>
          <w:szCs w:val="28"/>
        </w:rPr>
        <w:t>: https://zakon.rada.gov.ua/laws/show/1264-12#Text</w:t>
      </w:r>
      <w:r w:rsidRPr="00511005">
        <w:rPr>
          <w:rFonts w:ascii="Arial" w:eastAsia="Calibri" w:hAnsi="Arial" w:cs="Arial"/>
          <w:szCs w:val="28"/>
          <w:lang w:val="uk-UA"/>
        </w:rPr>
        <w:t xml:space="preserve"> </w:t>
      </w:r>
      <w:r w:rsidRPr="00511005">
        <w:rPr>
          <w:rFonts w:ascii="Arial" w:eastAsia="Calibri" w:hAnsi="Arial" w:cs="Arial"/>
          <w:szCs w:val="28"/>
        </w:rPr>
        <w:t>(</w:t>
      </w:r>
      <w:r w:rsidRPr="00511005">
        <w:rPr>
          <w:rFonts w:ascii="Arial" w:eastAsia="Calibri" w:hAnsi="Arial" w:cs="Arial"/>
          <w:szCs w:val="28"/>
          <w:lang w:val="uk-UA"/>
        </w:rPr>
        <w:t>дата звернення: 14.05.2025).</w:t>
      </w:r>
    </w:p>
    <w:p w14:paraId="06676AF4" w14:textId="77777777" w:rsidR="00220D3E" w:rsidRPr="00511005" w:rsidRDefault="00220D3E" w:rsidP="003F6A5D">
      <w:pPr>
        <w:numPr>
          <w:ilvl w:val="0"/>
          <w:numId w:val="194"/>
        </w:numPr>
        <w:tabs>
          <w:tab w:val="left" w:pos="709"/>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 xml:space="preserve">Бюджетний кодекс України : Кодекс України від 08.07.2010 № 2456-VI. </w:t>
      </w:r>
      <w:r w:rsidRPr="00511005">
        <w:rPr>
          <w:rFonts w:ascii="Arial" w:eastAsia="Calibri" w:hAnsi="Arial" w:cs="Arial"/>
          <w:szCs w:val="28"/>
          <w:lang w:val="en-US"/>
        </w:rPr>
        <w:t>URL</w:t>
      </w:r>
      <w:r w:rsidRPr="00511005">
        <w:rPr>
          <w:rFonts w:ascii="Arial" w:eastAsia="Calibri" w:hAnsi="Arial" w:cs="Arial"/>
          <w:szCs w:val="28"/>
          <w:lang w:val="uk-UA"/>
        </w:rPr>
        <w:t>:</w:t>
      </w:r>
      <w:r w:rsidRPr="00511005">
        <w:rPr>
          <w:rFonts w:ascii="Arial" w:eastAsia="Calibri" w:hAnsi="Arial" w:cs="Arial"/>
          <w:szCs w:val="28"/>
          <w:lang w:val="en-US"/>
        </w:rPr>
        <w:t> </w:t>
      </w:r>
      <w:r w:rsidRPr="00511005">
        <w:rPr>
          <w:rFonts w:ascii="Arial" w:eastAsia="Calibri" w:hAnsi="Arial" w:cs="Arial"/>
          <w:szCs w:val="28"/>
          <w:lang w:val="uk-UA"/>
        </w:rPr>
        <w:t>https://zakon.rada.gov.ua/laws/show/2456-17#Text</w:t>
      </w:r>
      <w:r w:rsidRPr="00511005">
        <w:rPr>
          <w:rFonts w:ascii="Arial" w:eastAsia="Calibri" w:hAnsi="Arial" w:cs="Arial"/>
          <w:szCs w:val="28"/>
        </w:rPr>
        <w:t xml:space="preserve"> (</w:t>
      </w:r>
      <w:r w:rsidRPr="00511005">
        <w:rPr>
          <w:rFonts w:ascii="Arial" w:eastAsia="Calibri" w:hAnsi="Arial" w:cs="Arial"/>
          <w:szCs w:val="28"/>
          <w:lang w:val="uk-UA"/>
        </w:rPr>
        <w:t>дата звернення: 14.05.2025).</w:t>
      </w:r>
    </w:p>
    <w:p w14:paraId="487ED04E" w14:textId="77777777" w:rsidR="00220D3E" w:rsidRPr="00511005" w:rsidRDefault="00220D3E" w:rsidP="003F6A5D">
      <w:pPr>
        <w:numPr>
          <w:ilvl w:val="0"/>
          <w:numId w:val="194"/>
        </w:numPr>
        <w:tabs>
          <w:tab w:val="left" w:pos="709"/>
        </w:tabs>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Directive 2004/35/EC of the European Parliament and of the Council of 21 April 2004 on Environmental Liability with Regard to the Prevention and Remedying of Environmental Damage. URL: https://eur-lex.europa.eu/legal-content/EN/TXT/PDF/?uri=CELEX:02004L0035</w:t>
      </w:r>
      <w:r w:rsidRPr="00511005">
        <w:rPr>
          <w:rFonts w:ascii="Arial" w:eastAsia="Calibri" w:hAnsi="Arial" w:cs="Arial"/>
          <w:szCs w:val="28"/>
          <w:lang w:val="en-US"/>
        </w:rPr>
        <w:noBreakHyphen/>
        <w:t>20190626&amp;qid=1747245692251 (date of access: 14.05.2025).</w:t>
      </w:r>
    </w:p>
    <w:p w14:paraId="440A2CFB" w14:textId="77777777" w:rsidR="00220D3E" w:rsidRPr="00511005" w:rsidRDefault="00220D3E" w:rsidP="003F6A5D">
      <w:pPr>
        <w:numPr>
          <w:ilvl w:val="0"/>
          <w:numId w:val="194"/>
        </w:numPr>
        <w:tabs>
          <w:tab w:val="left" w:pos="709"/>
        </w:tabs>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Convention on the Prohibition of Military or Any Other Hostile Use of Environmental Modification Techniques. URL: https://treaties.un.org/doc/</w:t>
      </w:r>
      <w:r w:rsidRPr="00511005">
        <w:rPr>
          <w:rFonts w:ascii="Arial" w:eastAsia="Calibri" w:hAnsi="Arial" w:cs="Arial"/>
          <w:szCs w:val="28"/>
          <w:lang w:val="en-US"/>
        </w:rPr>
        <w:br/>
        <w:t>Publication/MTDSG/Volume%20II/Chapter%20XXVI/XXVI-1.en.pdf (date of access: 14.05.2025).</w:t>
      </w:r>
    </w:p>
    <w:p w14:paraId="556C818F" w14:textId="77777777" w:rsidR="00220D3E" w:rsidRPr="00511005" w:rsidRDefault="00220D3E" w:rsidP="003F6A5D">
      <w:pPr>
        <w:numPr>
          <w:ilvl w:val="0"/>
          <w:numId w:val="194"/>
        </w:numPr>
        <w:tabs>
          <w:tab w:val="left" w:pos="709"/>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Додатковий протокол до Женевських конвенцій від 12 серпня 1949</w:t>
      </w:r>
      <w:r w:rsidRPr="00511005">
        <w:rPr>
          <w:rFonts w:ascii="Arial" w:eastAsia="Calibri" w:hAnsi="Arial" w:cs="Arial"/>
          <w:szCs w:val="28"/>
        </w:rPr>
        <w:t xml:space="preserve"> </w:t>
      </w:r>
      <w:r w:rsidRPr="00511005">
        <w:rPr>
          <w:rFonts w:ascii="Arial" w:eastAsia="Calibri" w:hAnsi="Arial" w:cs="Arial"/>
          <w:szCs w:val="28"/>
          <w:lang w:val="uk-UA"/>
        </w:rPr>
        <w:t>року,</w:t>
      </w:r>
      <w:r w:rsidRPr="00511005">
        <w:rPr>
          <w:rFonts w:ascii="Arial" w:eastAsia="Calibri" w:hAnsi="Arial" w:cs="Arial"/>
          <w:szCs w:val="28"/>
        </w:rPr>
        <w:t xml:space="preserve"> </w:t>
      </w:r>
      <w:r w:rsidRPr="00511005">
        <w:rPr>
          <w:rFonts w:ascii="Arial" w:eastAsia="Calibri" w:hAnsi="Arial" w:cs="Arial"/>
          <w:szCs w:val="28"/>
          <w:lang w:val="uk-UA"/>
        </w:rPr>
        <w:t>що</w:t>
      </w:r>
      <w:r w:rsidRPr="00511005">
        <w:rPr>
          <w:rFonts w:ascii="Arial" w:eastAsia="Calibri" w:hAnsi="Arial" w:cs="Arial"/>
          <w:szCs w:val="28"/>
          <w:lang w:val="en-US"/>
        </w:rPr>
        <w:t> </w:t>
      </w:r>
      <w:r w:rsidRPr="00511005">
        <w:rPr>
          <w:rFonts w:ascii="Arial" w:eastAsia="Calibri" w:hAnsi="Arial" w:cs="Arial"/>
          <w:szCs w:val="28"/>
          <w:lang w:val="uk-UA"/>
        </w:rPr>
        <w:t>стосується захисту жертв міжнародних</w:t>
      </w:r>
      <w:r w:rsidRPr="00511005">
        <w:rPr>
          <w:rFonts w:ascii="Arial" w:eastAsia="Calibri" w:hAnsi="Arial" w:cs="Arial"/>
          <w:szCs w:val="28"/>
        </w:rPr>
        <w:t xml:space="preserve"> </w:t>
      </w:r>
      <w:r w:rsidRPr="00511005">
        <w:rPr>
          <w:rFonts w:ascii="Arial" w:eastAsia="Calibri" w:hAnsi="Arial" w:cs="Arial"/>
          <w:szCs w:val="28"/>
          <w:lang w:val="uk-UA"/>
        </w:rPr>
        <w:t>збройних конфліктів (Протокол</w:t>
      </w:r>
      <w:r w:rsidRPr="00511005">
        <w:rPr>
          <w:rFonts w:ascii="Arial" w:eastAsia="Calibri" w:hAnsi="Arial" w:cs="Arial"/>
          <w:szCs w:val="28"/>
        </w:rPr>
        <w:t xml:space="preserve"> </w:t>
      </w:r>
      <w:r w:rsidRPr="00511005">
        <w:rPr>
          <w:rFonts w:ascii="Arial" w:eastAsia="Calibri" w:hAnsi="Arial" w:cs="Arial"/>
          <w:szCs w:val="28"/>
          <w:lang w:val="uk-UA"/>
        </w:rPr>
        <w:t>I), від</w:t>
      </w:r>
      <w:r w:rsidRPr="00511005">
        <w:rPr>
          <w:rFonts w:ascii="Arial" w:eastAsia="Calibri" w:hAnsi="Arial" w:cs="Arial"/>
          <w:szCs w:val="28"/>
        </w:rPr>
        <w:t xml:space="preserve"> </w:t>
      </w:r>
      <w:r w:rsidRPr="00511005">
        <w:rPr>
          <w:rFonts w:ascii="Arial" w:eastAsia="Calibri" w:hAnsi="Arial" w:cs="Arial"/>
          <w:szCs w:val="28"/>
          <w:lang w:val="uk-UA"/>
        </w:rPr>
        <w:t>8 червня 1977 року. Міжнародний документ від 08.06.1977. URL:</w:t>
      </w:r>
      <w:r w:rsidRPr="00511005">
        <w:rPr>
          <w:rFonts w:ascii="Arial" w:eastAsia="Calibri" w:hAnsi="Arial" w:cs="Arial"/>
          <w:szCs w:val="28"/>
        </w:rPr>
        <w:t xml:space="preserve"> </w:t>
      </w:r>
      <w:r w:rsidRPr="00511005">
        <w:rPr>
          <w:rFonts w:ascii="Arial" w:eastAsia="Calibri" w:hAnsi="Arial" w:cs="Arial"/>
          <w:szCs w:val="28"/>
          <w:lang w:val="uk-UA"/>
        </w:rPr>
        <w:t>https://zakon.rada.gov.ua/laws/show/995_199 (дата звернення: 14.05.2025).</w:t>
      </w:r>
    </w:p>
    <w:p w14:paraId="3EB325C3" w14:textId="77777777" w:rsidR="00220D3E" w:rsidRPr="00511005" w:rsidRDefault="00220D3E" w:rsidP="003F6A5D">
      <w:pPr>
        <w:numPr>
          <w:ilvl w:val="0"/>
          <w:numId w:val="194"/>
        </w:numPr>
        <w:tabs>
          <w:tab w:val="left" w:pos="709"/>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На межі виживання: знищення довкілля під час збройного конфлікту на</w:t>
      </w:r>
      <w:r w:rsidRPr="00511005">
        <w:rPr>
          <w:rFonts w:ascii="Arial" w:eastAsia="Calibri" w:hAnsi="Arial" w:cs="Arial"/>
          <w:szCs w:val="28"/>
          <w:lang w:val="en-US"/>
        </w:rPr>
        <w:t> </w:t>
      </w:r>
      <w:r w:rsidRPr="00511005">
        <w:rPr>
          <w:rFonts w:ascii="Arial" w:eastAsia="Calibri" w:hAnsi="Arial" w:cs="Arial"/>
          <w:szCs w:val="28"/>
          <w:lang w:val="uk-UA"/>
        </w:rPr>
        <w:t>Сході</w:t>
      </w:r>
      <w:r w:rsidRPr="00511005">
        <w:rPr>
          <w:rFonts w:ascii="Arial" w:eastAsia="Calibri" w:hAnsi="Arial" w:cs="Arial"/>
          <w:szCs w:val="28"/>
          <w:lang w:val="en-US"/>
        </w:rPr>
        <w:t> </w:t>
      </w:r>
      <w:r w:rsidRPr="00511005">
        <w:rPr>
          <w:rFonts w:ascii="Arial" w:eastAsia="Calibri" w:hAnsi="Arial" w:cs="Arial"/>
          <w:szCs w:val="28"/>
          <w:lang w:val="uk-UA"/>
        </w:rPr>
        <w:t xml:space="preserve">України </w:t>
      </w:r>
      <w:r w:rsidRPr="00511005">
        <w:rPr>
          <w:rFonts w:ascii="Arial" w:eastAsia="Calibri" w:hAnsi="Arial" w:cs="Arial"/>
          <w:szCs w:val="28"/>
        </w:rPr>
        <w:t>/</w:t>
      </w:r>
      <w:r w:rsidRPr="00511005">
        <w:rPr>
          <w:rFonts w:ascii="Arial" w:eastAsia="Calibri" w:hAnsi="Arial" w:cs="Arial"/>
          <w:szCs w:val="28"/>
          <w:lang w:val="uk-UA"/>
        </w:rPr>
        <w:t xml:space="preserve"> А. Б. Блага, І.</w:t>
      </w:r>
      <w:r w:rsidRPr="00511005">
        <w:rPr>
          <w:rFonts w:ascii="Arial" w:eastAsia="Calibri" w:hAnsi="Arial" w:cs="Arial"/>
          <w:szCs w:val="28"/>
        </w:rPr>
        <w:t xml:space="preserve"> </w:t>
      </w:r>
      <w:r w:rsidRPr="00511005">
        <w:rPr>
          <w:rFonts w:ascii="Arial" w:eastAsia="Calibri" w:hAnsi="Arial" w:cs="Arial"/>
          <w:szCs w:val="28"/>
          <w:lang w:val="uk-UA"/>
        </w:rPr>
        <w:t>В.</w:t>
      </w:r>
      <w:r w:rsidRPr="00511005">
        <w:rPr>
          <w:rFonts w:ascii="Arial" w:eastAsia="Calibri" w:hAnsi="Arial" w:cs="Arial"/>
          <w:szCs w:val="28"/>
        </w:rPr>
        <w:t xml:space="preserve"> </w:t>
      </w:r>
      <w:r w:rsidRPr="00511005">
        <w:rPr>
          <w:rFonts w:ascii="Arial" w:eastAsia="Calibri" w:hAnsi="Arial" w:cs="Arial"/>
          <w:szCs w:val="28"/>
          <w:lang w:val="uk-UA"/>
        </w:rPr>
        <w:t>Загороднюк, Т. Р. Короткий, О.</w:t>
      </w:r>
      <w:r w:rsidRPr="00511005">
        <w:rPr>
          <w:rFonts w:ascii="Arial" w:eastAsia="Calibri" w:hAnsi="Arial" w:cs="Arial"/>
          <w:szCs w:val="28"/>
          <w:lang w:val="en-US"/>
        </w:rPr>
        <w:t> </w:t>
      </w:r>
      <w:r w:rsidRPr="00511005">
        <w:rPr>
          <w:rFonts w:ascii="Arial" w:eastAsia="Calibri" w:hAnsi="Arial" w:cs="Arial"/>
          <w:szCs w:val="28"/>
          <w:lang w:val="uk-UA"/>
        </w:rPr>
        <w:t>А.</w:t>
      </w:r>
      <w:r w:rsidRPr="00511005">
        <w:rPr>
          <w:rFonts w:ascii="Arial" w:eastAsia="Calibri" w:hAnsi="Arial" w:cs="Arial"/>
          <w:szCs w:val="28"/>
          <w:lang w:val="en-US"/>
        </w:rPr>
        <w:t> </w:t>
      </w:r>
      <w:r w:rsidRPr="00511005">
        <w:rPr>
          <w:rFonts w:ascii="Arial" w:eastAsia="Calibri" w:hAnsi="Arial" w:cs="Arial"/>
          <w:szCs w:val="28"/>
          <w:lang w:val="uk-UA"/>
        </w:rPr>
        <w:t>Мартиненко, М. О. Медвєдєва, В. В. Пархоменко ; за заг. ред. А.</w:t>
      </w:r>
      <w:r w:rsidRPr="00511005">
        <w:rPr>
          <w:rFonts w:ascii="Arial" w:eastAsia="Calibri" w:hAnsi="Arial" w:cs="Arial"/>
          <w:szCs w:val="28"/>
          <w:lang w:val="en-US"/>
        </w:rPr>
        <w:t> </w:t>
      </w:r>
      <w:r w:rsidRPr="00511005">
        <w:rPr>
          <w:rFonts w:ascii="Arial" w:eastAsia="Calibri" w:hAnsi="Arial" w:cs="Arial"/>
          <w:szCs w:val="28"/>
          <w:lang w:val="uk-UA"/>
        </w:rPr>
        <w:t>П.</w:t>
      </w:r>
      <w:r w:rsidRPr="00511005">
        <w:rPr>
          <w:rFonts w:ascii="Arial" w:eastAsia="Calibri" w:hAnsi="Arial" w:cs="Arial"/>
          <w:szCs w:val="28"/>
          <w:lang w:val="en-US"/>
        </w:rPr>
        <w:t> </w:t>
      </w:r>
      <w:r w:rsidRPr="00511005">
        <w:rPr>
          <w:rFonts w:ascii="Arial" w:eastAsia="Calibri" w:hAnsi="Arial" w:cs="Arial"/>
          <w:szCs w:val="28"/>
          <w:lang w:val="uk-UA"/>
        </w:rPr>
        <w:t>Бущенка</w:t>
      </w:r>
      <w:r w:rsidRPr="00511005">
        <w:rPr>
          <w:rFonts w:ascii="Arial" w:eastAsia="Calibri" w:hAnsi="Arial" w:cs="Arial"/>
          <w:szCs w:val="28"/>
        </w:rPr>
        <w:t xml:space="preserve"> </w:t>
      </w:r>
      <w:r w:rsidRPr="00511005">
        <w:rPr>
          <w:rFonts w:ascii="Arial" w:eastAsia="Calibri" w:hAnsi="Arial" w:cs="Arial"/>
          <w:szCs w:val="28"/>
          <w:lang w:val="uk-UA"/>
        </w:rPr>
        <w:t>; Українська Гельсінська спілка з прав людини. Київ : КИТ, 2017. 88 с.</w:t>
      </w:r>
    </w:p>
    <w:p w14:paraId="79BC895F" w14:textId="2D121FE1" w:rsidR="00220D3E" w:rsidRPr="00511005" w:rsidRDefault="00220D3E" w:rsidP="003F6A5D">
      <w:pPr>
        <w:numPr>
          <w:ilvl w:val="0"/>
          <w:numId w:val="194"/>
        </w:numPr>
        <w:tabs>
          <w:tab w:val="left" w:pos="709"/>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Каткова Т. Г. Міжнародно-правовий режим захисту навколишнього середовища під час збройних конфліктів. Міжнародні читання з</w:t>
      </w:r>
      <w:r w:rsidRPr="00511005">
        <w:rPr>
          <w:rFonts w:ascii="Arial" w:eastAsia="Calibri" w:hAnsi="Arial" w:cs="Arial"/>
          <w:szCs w:val="28"/>
        </w:rPr>
        <w:t xml:space="preserve"> </w:t>
      </w:r>
      <w:r w:rsidRPr="00511005">
        <w:rPr>
          <w:rFonts w:ascii="Arial" w:eastAsia="Calibri" w:hAnsi="Arial" w:cs="Arial"/>
          <w:szCs w:val="28"/>
          <w:lang w:val="uk-UA"/>
        </w:rPr>
        <w:t xml:space="preserve">міжнародного права пам’яті професора П. Є. Казанського: До 15-річчя </w:t>
      </w:r>
      <w:r w:rsidR="007B2628" w:rsidRPr="00511005">
        <w:rPr>
          <w:rFonts w:ascii="Arial" w:eastAsia="Calibri" w:hAnsi="Arial" w:cs="Arial"/>
          <w:szCs w:val="28"/>
          <w:lang w:val="uk-UA"/>
        </w:rPr>
        <w:t>Національного університету «Одеська юридична академія»</w:t>
      </w:r>
      <w:r w:rsidRPr="00511005">
        <w:rPr>
          <w:rFonts w:ascii="Arial" w:eastAsia="Calibri" w:hAnsi="Arial" w:cs="Arial"/>
          <w:szCs w:val="28"/>
          <w:lang w:val="uk-UA"/>
        </w:rPr>
        <w:t xml:space="preserve"> : матеріали третьої міжнар. наук. конф. (м. Одеса, 2-3 листоп. 2012 р.). Одеса : Фенікс, 2012. С. 670-673.</w:t>
      </w:r>
    </w:p>
    <w:p w14:paraId="50EEF20E" w14:textId="77777777" w:rsidR="00220D3E" w:rsidRPr="00511005" w:rsidRDefault="00220D3E" w:rsidP="003F6A5D">
      <w:pPr>
        <w:numPr>
          <w:ilvl w:val="0"/>
          <w:numId w:val="194"/>
        </w:numPr>
        <w:tabs>
          <w:tab w:val="left" w:pos="709"/>
        </w:tabs>
        <w:spacing w:line="264" w:lineRule="auto"/>
        <w:ind w:left="0" w:firstLine="709"/>
        <w:jc w:val="left"/>
        <w:rPr>
          <w:rFonts w:ascii="Arial" w:eastAsia="Calibri" w:hAnsi="Arial" w:cs="Arial"/>
          <w:b/>
          <w:szCs w:val="28"/>
        </w:rPr>
      </w:pPr>
      <w:r w:rsidRPr="00511005">
        <w:rPr>
          <w:rFonts w:ascii="Arial" w:eastAsia="Calibri" w:hAnsi="Arial" w:cs="Arial"/>
          <w:b/>
          <w:bCs/>
          <w:szCs w:val="28"/>
          <w:lang w:val="uk-UA"/>
        </w:rPr>
        <w:lastRenderedPageBreak/>
        <w:t>Європа формує нові стандарти захисту довкілля через кримінальне право:</w:t>
      </w:r>
      <w:r w:rsidRPr="00511005">
        <w:rPr>
          <w:rFonts w:ascii="Arial" w:eastAsia="Calibri" w:hAnsi="Arial" w:cs="Arial"/>
          <w:b/>
          <w:bCs/>
          <w:szCs w:val="28"/>
          <w:lang w:val="en-US"/>
        </w:rPr>
        <w:t> </w:t>
      </w:r>
      <w:r w:rsidRPr="00511005">
        <w:rPr>
          <w:rFonts w:ascii="Arial" w:eastAsia="Calibri" w:hAnsi="Arial" w:cs="Arial"/>
          <w:b/>
          <w:bCs/>
          <w:szCs w:val="28"/>
          <w:lang w:val="uk-UA"/>
        </w:rPr>
        <w:t xml:space="preserve">Парламентська асамблея Ради Європи підтримала проєкт Конвенції Ради Європи про захист довкілля через кримінальне право. </w:t>
      </w:r>
      <w:r w:rsidRPr="00511005">
        <w:rPr>
          <w:rFonts w:ascii="Arial" w:eastAsia="Calibri" w:hAnsi="Arial" w:cs="Arial"/>
          <w:b/>
          <w:bCs/>
          <w:szCs w:val="28"/>
          <w:lang w:val="en-US"/>
        </w:rPr>
        <w:t>URL</w:t>
      </w:r>
      <w:r w:rsidRPr="00511005">
        <w:rPr>
          <w:rFonts w:ascii="Arial" w:eastAsia="Calibri" w:hAnsi="Arial" w:cs="Arial"/>
          <w:b/>
          <w:bCs/>
          <w:szCs w:val="28"/>
          <w:lang w:val="uk-UA"/>
        </w:rPr>
        <w:t>: https://www.rada.gov.ua/news/razom/260887.html</w:t>
      </w:r>
      <w:r w:rsidRPr="00511005">
        <w:rPr>
          <w:rFonts w:ascii="Arial" w:eastAsia="Calibri" w:hAnsi="Arial" w:cs="Arial"/>
          <w:b/>
          <w:bCs/>
          <w:szCs w:val="28"/>
        </w:rPr>
        <w:t xml:space="preserve"> (дата звернення: 14.05.2025).</w:t>
      </w:r>
    </w:p>
    <w:p w14:paraId="79C8D654" w14:textId="77777777" w:rsidR="00220D3E" w:rsidRPr="00511005" w:rsidRDefault="00220D3E" w:rsidP="003A292D">
      <w:pPr>
        <w:tabs>
          <w:tab w:val="left" w:pos="709"/>
        </w:tabs>
        <w:spacing w:line="264" w:lineRule="auto"/>
        <w:jc w:val="left"/>
        <w:rPr>
          <w:rFonts w:ascii="Arial" w:eastAsia="Times New Roman" w:hAnsi="Arial" w:cs="Arial"/>
          <w:szCs w:val="28"/>
          <w:lang w:val="uk-UA" w:eastAsia="ru-RU"/>
        </w:rPr>
      </w:pPr>
    </w:p>
    <w:p w14:paraId="28D34D27" w14:textId="5C860686"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екологічна шкода, навколишнє середовище, екоцид, міжнародне кримінальне право, відшкодування шкоди, екосистемні послуги, збройні конфлікти, оцінка шкоди, довкілля, міжнародні злочини.</w:t>
      </w:r>
    </w:p>
    <w:p w14:paraId="4D4395BA" w14:textId="329CDF6D" w:rsidR="00220D3E" w:rsidRPr="00511005" w:rsidRDefault="007B2628" w:rsidP="003A292D">
      <w:pPr>
        <w:tabs>
          <w:tab w:val="left" w:pos="709"/>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en-GB" w:eastAsia="ru-RU"/>
        </w:rPr>
        <w:t xml:space="preserve">Key words: </w:t>
      </w:r>
      <w:r w:rsidR="00220D3E" w:rsidRPr="00511005">
        <w:rPr>
          <w:rFonts w:ascii="Arial" w:eastAsia="Times New Roman" w:hAnsi="Arial" w:cs="Arial"/>
          <w:szCs w:val="28"/>
          <w:lang w:val="en-GB" w:eastAsia="ru-RU"/>
        </w:rPr>
        <w:t>environmental damage, natural surroundings, ecocide, international criminal law, compensation for damage, ecosystem services, armed conflicts, damage assessment, environment, international crimes.</w:t>
      </w:r>
    </w:p>
    <w:p w14:paraId="34D3E221" w14:textId="57742468" w:rsidR="00220D3E" w:rsidRPr="00511005" w:rsidRDefault="007B2628" w:rsidP="003A292D">
      <w:pPr>
        <w:tabs>
          <w:tab w:val="left" w:pos="709"/>
        </w:tabs>
        <w:spacing w:line="264" w:lineRule="auto"/>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20D3E" w:rsidRPr="00511005">
        <w:rPr>
          <w:rFonts w:ascii="Arial" w:eastAsia="Times New Roman" w:hAnsi="Arial" w:cs="Arial"/>
          <w:i/>
          <w:szCs w:val="28"/>
          <w:lang w:val="uk-UA" w:eastAsia="ru-RU"/>
        </w:rPr>
        <w:t>к. ю. н., доцент Кузьмін Е. Е.</w:t>
      </w:r>
    </w:p>
    <w:p w14:paraId="3F96D27F" w14:textId="77777777" w:rsidR="00220D3E" w:rsidRPr="00511005" w:rsidRDefault="00220D3E" w:rsidP="003A292D">
      <w:pPr>
        <w:tabs>
          <w:tab w:val="left" w:pos="709"/>
        </w:tabs>
        <w:spacing w:line="264" w:lineRule="auto"/>
        <w:rPr>
          <w:rFonts w:ascii="Arial" w:eastAsia="Times New Roman" w:hAnsi="Arial" w:cs="Arial"/>
          <w:szCs w:val="28"/>
          <w:lang w:val="uk-UA" w:eastAsia="ru-RU"/>
        </w:rPr>
      </w:pPr>
    </w:p>
    <w:p w14:paraId="165279CE" w14:textId="77777777" w:rsidR="003F5D68" w:rsidRPr="00511005" w:rsidRDefault="003F5D68" w:rsidP="003A292D">
      <w:pPr>
        <w:keepNext/>
        <w:spacing w:line="264" w:lineRule="auto"/>
        <w:ind w:firstLine="0"/>
        <w:jc w:val="left"/>
        <w:rPr>
          <w:rFonts w:ascii="Arial" w:hAnsi="Arial" w:cs="Arial"/>
          <w:szCs w:val="28"/>
          <w:lang w:val="uk-UA"/>
        </w:rPr>
      </w:pPr>
    </w:p>
    <w:p w14:paraId="75178E80"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23C2CD52" w14:textId="77777777" w:rsidR="003F5D68" w:rsidRPr="00511005" w:rsidRDefault="003F5D68" w:rsidP="003A292D">
      <w:pPr>
        <w:keepNext/>
        <w:suppressAutoHyphens/>
        <w:spacing w:line="264" w:lineRule="auto"/>
        <w:ind w:firstLine="0"/>
        <w:jc w:val="left"/>
        <w:rPr>
          <w:rFonts w:ascii="Arial" w:hAnsi="Arial" w:cs="Arial"/>
          <w:szCs w:val="28"/>
        </w:rPr>
      </w:pPr>
    </w:p>
    <w:p w14:paraId="034B9058" w14:textId="0D46BB58" w:rsidR="003F5D68" w:rsidRPr="00511005" w:rsidRDefault="003F5D68" w:rsidP="003A292D">
      <w:pPr>
        <w:pStyle w:val="aa"/>
        <w:spacing w:before="0" w:after="0" w:line="264" w:lineRule="auto"/>
        <w:rPr>
          <w:rFonts w:ascii="Arial" w:hAnsi="Arial" w:cs="Arial"/>
          <w:color w:val="auto"/>
          <w:sz w:val="28"/>
          <w:szCs w:val="28"/>
        </w:rPr>
      </w:pPr>
      <w:bookmarkStart w:id="82" w:name="_Toc208298991"/>
      <w:r w:rsidRPr="00511005">
        <w:rPr>
          <w:rFonts w:ascii="Arial" w:hAnsi="Arial" w:cs="Arial"/>
          <w:color w:val="auto"/>
          <w:sz w:val="28"/>
          <w:szCs w:val="28"/>
        </w:rPr>
        <w:t xml:space="preserve">СЕКЦІЯ </w:t>
      </w:r>
      <w:r w:rsidRPr="00511005">
        <w:rPr>
          <w:rFonts w:ascii="Arial" w:hAnsi="Arial" w:cs="Arial"/>
          <w:color w:val="auto"/>
          <w:sz w:val="28"/>
          <w:szCs w:val="28"/>
          <w:lang w:val="ru-RU"/>
        </w:rPr>
        <w:t>4. ПРОБЛЕМНІ ПИТАННЯ МОРСЬКОГО ТА МИТНОГО ПРАВА</w:t>
      </w:r>
      <w:bookmarkEnd w:id="82"/>
      <w:r w:rsidRPr="00511005">
        <w:rPr>
          <w:rFonts w:ascii="Arial" w:hAnsi="Arial" w:cs="Arial"/>
          <w:color w:val="auto"/>
          <w:sz w:val="28"/>
          <w:szCs w:val="28"/>
        </w:rPr>
        <w:t xml:space="preserve"> </w:t>
      </w:r>
    </w:p>
    <w:p w14:paraId="04ED3360" w14:textId="77777777" w:rsidR="003F5D68" w:rsidRPr="00511005" w:rsidRDefault="003F5D68" w:rsidP="003A292D">
      <w:pPr>
        <w:keepNext/>
        <w:spacing w:line="264" w:lineRule="auto"/>
        <w:ind w:firstLine="0"/>
        <w:jc w:val="left"/>
        <w:rPr>
          <w:rFonts w:ascii="Arial" w:hAnsi="Arial" w:cs="Arial"/>
          <w:szCs w:val="28"/>
        </w:rPr>
      </w:pPr>
    </w:p>
    <w:p w14:paraId="74099A17" w14:textId="77777777" w:rsidR="004A4CC1" w:rsidRPr="00511005" w:rsidRDefault="004A4CC1" w:rsidP="003A292D">
      <w:pPr>
        <w:keepNext/>
        <w:spacing w:line="264" w:lineRule="auto"/>
        <w:contextualSpacing/>
        <w:rPr>
          <w:rFonts w:ascii="Arial" w:eastAsia="Calibri" w:hAnsi="Arial" w:cs="Arial"/>
          <w:szCs w:val="28"/>
          <w:lang w:val="uk-UA"/>
        </w:rPr>
      </w:pPr>
    </w:p>
    <w:p w14:paraId="64991DAC" w14:textId="77777777" w:rsidR="00220D3E" w:rsidRPr="00511005" w:rsidRDefault="00220D3E" w:rsidP="003A292D">
      <w:pPr>
        <w:spacing w:line="264" w:lineRule="auto"/>
        <w:ind w:firstLine="0"/>
        <w:jc w:val="center"/>
        <w:rPr>
          <w:rFonts w:ascii="Arial" w:eastAsiaTheme="minorHAnsi" w:hAnsi="Arial" w:cs="Arial"/>
          <w:b/>
          <w:i/>
          <w:szCs w:val="28"/>
          <w:lang w:val="uk-UA" w:bidi="uk-UA"/>
        </w:rPr>
      </w:pPr>
      <w:r w:rsidRPr="00511005">
        <w:rPr>
          <w:rFonts w:ascii="Arial" w:eastAsiaTheme="minorHAnsi" w:hAnsi="Arial" w:cs="Arial"/>
          <w:b/>
          <w:i/>
          <w:szCs w:val="28"/>
          <w:lang w:val="uk-UA" w:bidi="uk-UA"/>
        </w:rPr>
        <w:t>Аістов Вадим Ігорович</w:t>
      </w:r>
    </w:p>
    <w:p w14:paraId="61143A7B" w14:textId="315C099D" w:rsidR="00220D3E" w:rsidRPr="00511005" w:rsidRDefault="00536AAB" w:rsidP="003A292D">
      <w:pPr>
        <w:spacing w:line="264" w:lineRule="auto"/>
        <w:ind w:firstLine="0"/>
        <w:jc w:val="center"/>
        <w:rPr>
          <w:rFonts w:ascii="Arial" w:eastAsiaTheme="minorHAnsi" w:hAnsi="Arial" w:cs="Arial"/>
          <w:bCs/>
          <w:iCs/>
          <w:szCs w:val="28"/>
          <w:lang w:val="uk-UA" w:bidi="uk-UA"/>
        </w:rPr>
      </w:pPr>
      <w:r w:rsidRPr="00511005">
        <w:rPr>
          <w:rFonts w:ascii="Arial" w:eastAsiaTheme="minorHAnsi" w:hAnsi="Arial" w:cs="Arial"/>
          <w:bCs/>
          <w:iCs/>
          <w:szCs w:val="28"/>
          <w:lang w:val="uk-UA" w:bidi="uk-UA"/>
        </w:rPr>
        <w:t>студент 1-го курсу магістратури</w:t>
      </w:r>
      <w:r w:rsidR="00BE3972" w:rsidRPr="00511005">
        <w:rPr>
          <w:rFonts w:ascii="Arial" w:eastAsiaTheme="minorHAnsi" w:hAnsi="Arial" w:cs="Arial"/>
          <w:bCs/>
          <w:iCs/>
          <w:szCs w:val="28"/>
          <w:lang w:val="uk-UA" w:bidi="uk-UA"/>
        </w:rPr>
        <w:t xml:space="preserve"> </w:t>
      </w:r>
      <w:r w:rsidR="001B7B25" w:rsidRPr="00511005">
        <w:rPr>
          <w:rFonts w:ascii="Arial" w:eastAsiaTheme="minorHAnsi" w:hAnsi="Arial" w:cs="Arial"/>
          <w:bCs/>
          <w:iCs/>
          <w:szCs w:val="28"/>
          <w:lang w:val="uk-UA" w:bidi="uk-UA"/>
        </w:rPr>
        <w:t>факультету судового та міжнародного права</w:t>
      </w:r>
    </w:p>
    <w:p w14:paraId="60146935" w14:textId="45E56F26" w:rsidR="00220D3E" w:rsidRPr="00511005" w:rsidRDefault="007B2628" w:rsidP="003A292D">
      <w:pPr>
        <w:spacing w:line="264" w:lineRule="auto"/>
        <w:ind w:firstLine="0"/>
        <w:jc w:val="center"/>
        <w:rPr>
          <w:rFonts w:ascii="Arial" w:eastAsiaTheme="minorHAnsi" w:hAnsi="Arial" w:cs="Arial"/>
          <w:bCs/>
          <w:szCs w:val="28"/>
          <w:lang w:val="uk-UA"/>
        </w:rPr>
      </w:pPr>
      <w:r w:rsidRPr="00511005">
        <w:rPr>
          <w:rFonts w:ascii="Arial" w:eastAsiaTheme="minorHAnsi" w:hAnsi="Arial" w:cs="Arial"/>
          <w:bCs/>
          <w:iCs/>
          <w:szCs w:val="28"/>
          <w:lang w:val="uk-UA" w:bidi="uk-UA"/>
        </w:rPr>
        <w:t>Національного університету «Одеська юридична академія»</w:t>
      </w:r>
    </w:p>
    <w:p w14:paraId="0A14FF02" w14:textId="77777777" w:rsidR="00220D3E" w:rsidRPr="00511005" w:rsidRDefault="00220D3E" w:rsidP="003A292D">
      <w:pPr>
        <w:spacing w:line="264" w:lineRule="auto"/>
        <w:ind w:firstLine="0"/>
        <w:rPr>
          <w:rFonts w:ascii="Arial" w:eastAsiaTheme="minorHAnsi" w:hAnsi="Arial" w:cs="Arial"/>
          <w:b/>
          <w:szCs w:val="28"/>
          <w:lang w:val="uk-UA"/>
        </w:rPr>
      </w:pPr>
    </w:p>
    <w:p w14:paraId="6287A0A7" w14:textId="77777777" w:rsidR="00220D3E" w:rsidRPr="00511005" w:rsidRDefault="00220D3E" w:rsidP="003A292D">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ПРАВОВІ ПРОБЛЕМИ ЗАПОБІГАННЯ ЗАБРУДНЕННЮ З СУДЕН (MARPOL), УТИЛІЗАЦІЇ СУДЕН ТА ВІДПОВІДАЛЬНОСТІ ЗА ЕКОЛОГІЧНУ ШКОДУ</w:t>
      </w:r>
    </w:p>
    <w:p w14:paraId="082B17F7"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Морське забруднення залишається однією з найбільших глобальних екологічних проблем, яка має не тільки серйозні наслідки для навколишнього середовища, але й впливає на економіку, здоров’я людей та біорізноманіття. Протягом останніх десятиліть судноплавство стало важливим елементом світової економіки, забезпечуючи транспорт для більшості товарів і вантажів. Однак зростання обсягів морського транспорту супроводжується значним ризиком забруднення вод через витоки нафти, токсичних хімічних речовин, пластикових відходів та інших забруднювальних елементів. Одним із найважливіших міжнародних інструментів, який має на меті запобігання такому забрудненню, є Міжнародна конвенція про запобігання забрудненню з суден (MARPOL). Крім того, серйозною проблемою є утилізація старих суден, а також визначення і реалізація відповідальності за екологічну шкоду, що завдається розливами нафти та іншими забрудненнями, що виникають у результаті аварій на морі.</w:t>
      </w:r>
    </w:p>
    <w:p w14:paraId="7843046B"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MARPOL була прийнята в 1973 році під егідою Міжнародної морської організації (IMO) з метою зменшення рівня забруднення, яке виникає через судноплавство. Конвенція стала основним міжнародним правовим інструментом, що регулює запобігання забрудненню моря з суден. MARPOL складається з кількох додатків, кожен з яких визначає вимоги щодо конкретного виду забруднення. Зокрема, вона передбачає обмеження на скидання нафти, шкідливих речовин, нечистот, сміття, а також регулює питання, пов’язані з використанням токсичних і небезпечних речовин на борту суден [1].</w:t>
      </w:r>
    </w:p>
    <w:p w14:paraId="3E0D64B9"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Проте питання застосування MARPOL на практиці є складним і потребує подальшого вдосконалення. Ключовою проблемою є те, що не всі держави в рівній мірі виконують зобов’язання, покладені на них конвенцією. Деякі країни можуть мати економічні чи політичні інтереси, що суперечать повному виконанню норм MARPOL, особливо в контексті країни, яка є великим гравцем у судноплавстві. Крім того, технічні труднощі, пов’язані з </w:t>
      </w:r>
      <w:r w:rsidRPr="00511005">
        <w:rPr>
          <w:rFonts w:ascii="Arial" w:eastAsiaTheme="minorHAnsi" w:hAnsi="Arial" w:cs="Arial"/>
          <w:szCs w:val="28"/>
          <w:lang w:val="uk-UA"/>
        </w:rPr>
        <w:lastRenderedPageBreak/>
        <w:t>використанням нових технологій для збору та утилізації забруднень, можуть створювати проблеми для судноплавних компаній, що змушує їх ігнорувати екологічні вимоги.</w:t>
      </w:r>
    </w:p>
    <w:p w14:paraId="22DDDDC2"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Ще однією серйозною проблемою є утилізація суден, які більше не відповідають вимогам безпеки або економічно невигідні для експлуатації. Кожен рік з’являється все більше старих суден, які потребують утилізації. Однак цей процес не завжди проходить за екологічно безпечними стандартами. Більшість суден, що зношуються, часто переправляються в країни, де рівень екологічних стандартів значно нижчий. У цих країнах зазвичай немає належних технологій для безпечного демонтажу суден, що призводить до забруднення навколишнього середовища від токсичних речовин, таких як азбест, важкі метали та залишки палива. Проблема утилізації суден неодноразово піднімалася на міжнародних форумах, і на основі цього була створена Конвенція ООН щодо безпечної утилізації суден. Вона ставить за мету забезпечення належних умов для утилізації суден, однак практика показує, що, незважаючи на існуючі норми, не завжди дотримуються цих стандартів. У зв’язку з цим з’являється необхідність у жорсткішому контролі за країнами, які займаються розбиранням старих суден, і в удосконаленні міжнародних механізмів моніторингу [2, c. 302].</w:t>
      </w:r>
    </w:p>
    <w:p w14:paraId="34911912"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Не менш важливою проблемою є екологічна шкода, яка виникає через розливи нафти. Відповідно до міжнародних угод, зокрема Конвенції 1992 року про відповідальність за розливи нафти, судновласники несуть відповідальність за забруднення, спричинене їх суднами. Розливи нафти можуть бути катастрофічними для морських екосистем і прибережних територій, оскільки нафта токсична для морських організмів, погіршує якість води, а також викликає довгострокові зміни в екосистемах. Однак, попри існуючі юридичні механізми, фактичне відшкодування шкоди та компенсація для постраждалих осіб або країн часто є складною задачею, що пов’язано з труднощами в оцінці збитків і практичними труднощами в доведенні вини. Важливою частиною є також ефективність заходів щодо ліквідації наслідків розливу нафти, таких як застосування спеціальних технологій для збирання нафти, обмеження її поширення, а також відновлення екосистем [3, c. 421].</w:t>
      </w:r>
    </w:p>
    <w:p w14:paraId="3D7B86DB"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Ще одним питанням, що стосується екологічної відповідальності в сфері морського транспорту, є відсутність повної гармонізації національних і міжнародних стандартів. У ряді випадків національне законодавство може не відповідати вимогам міжнародних стандартів, а інколи навіть суперечити їм. Так, для ефективної боротьби з морським забрудненням необхідно гармонізувати національні закони з міжнародними стандартами, а також забезпечити належний контроль за їх виконанням. Для цього важливим є створення механізмів, які дозволяють проводити регулярні перевірки та санкціонувати порушників.</w:t>
      </w:r>
    </w:p>
    <w:p w14:paraId="46F145B1"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lastRenderedPageBreak/>
        <w:t>В цілому, хоча міжнародне співробітництво і численні правові норми дозволяють значно знизити рівень забруднення з суден, ці проблеми потребують постійного удосконалення та адаптації до нових реалій. Зважаючи на зростання кількості морських перевезень і зростання економічної діяльності, потреба в ефективних механізмах боротьби з забрудненням моря та утилізацією суден стає ще більш актуальною. Успіх у цій сфері можливий лише за умови гармонізації міжнародних стандартів, посилення контролю за їх виконанням, а також розробки нових технологій для забезпечення безпечної експлуатації та утилізації суден.</w:t>
      </w:r>
    </w:p>
    <w:p w14:paraId="310B71BE" w14:textId="77777777" w:rsidR="00220D3E" w:rsidRPr="00511005" w:rsidRDefault="00220D3E" w:rsidP="003A292D">
      <w:pPr>
        <w:spacing w:line="264" w:lineRule="auto"/>
        <w:ind w:firstLine="0"/>
        <w:rPr>
          <w:rFonts w:ascii="Arial" w:eastAsiaTheme="minorHAnsi" w:hAnsi="Arial" w:cs="Arial"/>
          <w:b/>
          <w:szCs w:val="28"/>
          <w:lang w:val="uk-UA"/>
        </w:rPr>
      </w:pPr>
    </w:p>
    <w:p w14:paraId="1F1742B8" w14:textId="39B4AB96" w:rsidR="00220D3E" w:rsidRPr="00511005" w:rsidRDefault="007B2628" w:rsidP="007B2628">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Список використаних джерел</w:t>
      </w:r>
    </w:p>
    <w:p w14:paraId="5A674543"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1. Міжнародна конвенція по запобіганню забрудненню з суден, Додаток VI/ International Convention for the Prevention of Pollution from Ships, ANNEX VI (MARPOL 73/78). </w:t>
      </w:r>
    </w:p>
    <w:p w14:paraId="46D912ED"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2. Горбов В. М. Енциклопедія суднової енергетики / В.М. Горбов, В.П. Кот. Нікола: НУК, 2013. 607 с. </w:t>
      </w:r>
    </w:p>
    <w:p w14:paraId="10B7E40B"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3. Суднова енергетика та Світовий океан / В.М. Горбов, І.О. Ракушняк, Є.І. Трушляков, О.К. Чередніченко; за ред. В.М. Горбова. Миколаїв: НУК, 2007. 597 с. </w:t>
      </w:r>
    </w:p>
    <w:p w14:paraId="79B43A95" w14:textId="77777777" w:rsidR="00220D3E" w:rsidRPr="00511005" w:rsidRDefault="00220D3E" w:rsidP="003A292D">
      <w:pPr>
        <w:spacing w:line="264" w:lineRule="auto"/>
        <w:ind w:firstLine="0"/>
        <w:rPr>
          <w:rFonts w:ascii="Arial" w:eastAsiaTheme="minorHAnsi" w:hAnsi="Arial" w:cs="Arial"/>
          <w:b/>
          <w:bCs/>
          <w:szCs w:val="28"/>
          <w:lang w:val="uk-UA"/>
        </w:rPr>
      </w:pPr>
    </w:p>
    <w:p w14:paraId="12385600" w14:textId="6BC0643A"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bCs/>
          <w:i/>
          <w:szCs w:val="28"/>
          <w:lang w:val="uk-UA"/>
        </w:rPr>
        <w:t xml:space="preserve">Ключові слова: </w:t>
      </w:r>
      <w:r w:rsidR="00220D3E" w:rsidRPr="00511005">
        <w:rPr>
          <w:rFonts w:ascii="Arial" w:eastAsiaTheme="minorHAnsi" w:hAnsi="Arial" w:cs="Arial"/>
          <w:szCs w:val="28"/>
          <w:lang w:val="uk-UA"/>
        </w:rPr>
        <w:t xml:space="preserve">морське забруднення, MARPOL, запобігання забрудненню з суден, утилізація суден, екологічна шкода, розливи нафти, міжнародне право, відповідальність, судноплавство, екологічні проблеми </w:t>
      </w:r>
    </w:p>
    <w:p w14:paraId="1647F8D2" w14:textId="3763312A"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bCs/>
          <w:i/>
          <w:szCs w:val="28"/>
          <w:lang w:val="uk-UA"/>
        </w:rPr>
        <w:t xml:space="preserve">Key words: </w:t>
      </w:r>
      <w:r w:rsidR="00220D3E" w:rsidRPr="00511005">
        <w:rPr>
          <w:rFonts w:ascii="Arial" w:eastAsiaTheme="minorHAnsi" w:hAnsi="Arial" w:cs="Arial"/>
          <w:szCs w:val="28"/>
          <w:lang w:val="uk-UA"/>
        </w:rPr>
        <w:t>marine pollution, MARPOL, prevention of pollution from ships, ship recycling, environmental damage, oil spills, international law, liability, shipping, environmental problems</w:t>
      </w:r>
    </w:p>
    <w:p w14:paraId="62215A51" w14:textId="735DC96B" w:rsidR="00220D3E" w:rsidRPr="00511005" w:rsidRDefault="007B2628" w:rsidP="003A292D">
      <w:pPr>
        <w:spacing w:line="264" w:lineRule="auto"/>
        <w:ind w:firstLine="0"/>
        <w:rPr>
          <w:rFonts w:ascii="Arial" w:eastAsiaTheme="minorHAnsi" w:hAnsi="Arial" w:cs="Arial"/>
          <w:bCs/>
          <w:i/>
          <w:szCs w:val="28"/>
          <w:lang w:val="uk-UA" w:bidi="uk-UA"/>
        </w:rPr>
      </w:pPr>
      <w:r w:rsidRPr="00511005">
        <w:rPr>
          <w:rFonts w:ascii="Arial" w:eastAsiaTheme="minorHAnsi" w:hAnsi="Arial" w:cs="Arial"/>
          <w:b/>
          <w:bCs/>
          <w:i/>
          <w:szCs w:val="28"/>
          <w:lang w:val="uk-UA" w:bidi="uk-UA"/>
        </w:rPr>
        <w:t xml:space="preserve">Науковий керівник: </w:t>
      </w:r>
      <w:r w:rsidR="00220D3E" w:rsidRPr="00511005">
        <w:rPr>
          <w:rFonts w:ascii="Arial" w:eastAsiaTheme="minorHAnsi" w:hAnsi="Arial" w:cs="Arial"/>
          <w:bCs/>
          <w:i/>
          <w:szCs w:val="28"/>
          <w:lang w:val="uk-UA" w:bidi="uk-UA"/>
        </w:rPr>
        <w:t>д.ю.н., професор Кормич Б. А.</w:t>
      </w:r>
      <w:r w:rsidR="00220D3E" w:rsidRPr="00511005">
        <w:rPr>
          <w:rFonts w:ascii="Arial" w:eastAsiaTheme="minorHAnsi" w:hAnsi="Arial" w:cs="Arial"/>
          <w:bCs/>
          <w:i/>
          <w:szCs w:val="28"/>
          <w:lang w:val="uk-UA" w:bidi="uk-UA"/>
        </w:rPr>
        <w:fldChar w:fldCharType="begin"/>
      </w:r>
      <w:r w:rsidR="00220D3E" w:rsidRPr="00511005">
        <w:rPr>
          <w:rFonts w:ascii="Arial" w:eastAsiaTheme="minorHAnsi" w:hAnsi="Arial" w:cs="Arial"/>
          <w:bCs/>
          <w:i/>
          <w:szCs w:val="28"/>
          <w:lang w:val="uk-UA" w:bidi="uk-UA"/>
        </w:rPr>
        <w:instrText>HYPERLINK "https://dspace.onua.edu.ua/collections/d2deec28-ca11-4608-b381-02c5a18555b4"</w:instrText>
      </w:r>
      <w:r w:rsidR="00220D3E" w:rsidRPr="00511005">
        <w:rPr>
          <w:rFonts w:ascii="Arial" w:eastAsiaTheme="minorHAnsi" w:hAnsi="Arial" w:cs="Arial"/>
          <w:bCs/>
          <w:i/>
          <w:szCs w:val="28"/>
          <w:lang w:val="uk-UA" w:bidi="uk-UA"/>
        </w:rPr>
        <w:fldChar w:fldCharType="separate"/>
      </w:r>
    </w:p>
    <w:p w14:paraId="3492C0F3"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fldChar w:fldCharType="end"/>
      </w:r>
    </w:p>
    <w:p w14:paraId="7D00F6DA" w14:textId="77777777" w:rsidR="00220D3E" w:rsidRPr="00511005" w:rsidRDefault="00220D3E"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Александрова Наталія Сергіївна</w:t>
      </w:r>
    </w:p>
    <w:p w14:paraId="290AFB76" w14:textId="4B37679A" w:rsidR="00220D3E" w:rsidRPr="00511005" w:rsidRDefault="00536AAB"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jc w:val="center"/>
        <w:rPr>
          <w:rFonts w:ascii="Arial" w:eastAsia="Calibri" w:hAnsi="Arial" w:cs="Arial"/>
          <w:b/>
          <w:bCs/>
          <w:szCs w:val="28"/>
          <w:lang w:val="uk-UA"/>
        </w:rPr>
      </w:pPr>
      <w:r w:rsidRPr="00511005">
        <w:rPr>
          <w:rFonts w:ascii="Arial" w:eastAsia="Calibri" w:hAnsi="Arial" w:cs="Arial"/>
          <w:iCs/>
          <w:szCs w:val="28"/>
          <w:lang w:val="uk-UA"/>
        </w:rPr>
        <w:t>студентка 1-го курсу магістратури</w:t>
      </w:r>
      <w:r w:rsidR="007B2628" w:rsidRPr="00511005">
        <w:rPr>
          <w:rFonts w:ascii="Arial" w:eastAsia="Calibri" w:hAnsi="Arial" w:cs="Arial"/>
          <w:iCs/>
          <w:szCs w:val="28"/>
          <w:lang w:val="uk-UA"/>
        </w:rPr>
        <w:t xml:space="preserve"> факультету цивільної та господарської юстиції</w:t>
      </w:r>
      <w:r w:rsidR="00220D3E" w:rsidRPr="00511005">
        <w:rPr>
          <w:rFonts w:ascii="Arial" w:eastAsia="Calibri" w:hAnsi="Arial" w:cs="Arial"/>
          <w:iCs/>
          <w:szCs w:val="28"/>
          <w:lang w:val="uk-UA"/>
        </w:rPr>
        <w:t xml:space="preserve"> </w:t>
      </w:r>
      <w:r w:rsidR="007B2628" w:rsidRPr="00511005">
        <w:rPr>
          <w:rFonts w:ascii="Arial" w:eastAsia="Calibri" w:hAnsi="Arial" w:cs="Arial"/>
          <w:iCs/>
          <w:szCs w:val="28"/>
          <w:lang w:val="uk-UA"/>
        </w:rPr>
        <w:t>Національного університету «Одеська юридична академія»</w:t>
      </w:r>
    </w:p>
    <w:p w14:paraId="255DB7DC" w14:textId="77777777" w:rsidR="00220D3E" w:rsidRPr="00511005" w:rsidRDefault="00220D3E" w:rsidP="003A292D">
      <w:pPr>
        <w:spacing w:line="264" w:lineRule="auto"/>
        <w:ind w:firstLine="0"/>
        <w:jc w:val="center"/>
        <w:rPr>
          <w:rFonts w:ascii="Arial" w:eastAsia="Calibri" w:hAnsi="Arial" w:cs="Arial"/>
          <w:b/>
          <w:bCs/>
          <w:szCs w:val="28"/>
          <w:lang w:val="uk-UA"/>
        </w:rPr>
      </w:pPr>
    </w:p>
    <w:p w14:paraId="17632C2B" w14:textId="77777777" w:rsidR="00220D3E" w:rsidRPr="00511005" w:rsidRDefault="00220D3E"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МІЖНАРОДНІ МОРСЬКІ ВАНТАЖНІ ПЕРЕВЕЗЕННЯ ТА ПЕРСПЕКТИВИ УЧАСТІ В НИХ УКРАЇНИ</w:t>
      </w:r>
    </w:p>
    <w:p w14:paraId="52A23EC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сучасному глобалізованому світі міжнародні морські вантажні перевезення відіграють ключову роль у забезпеченні сталого функціонування світової торгівлі. За оцінками International Maritime Organization (IMO)</w:t>
      </w:r>
      <w:r w:rsidRPr="00511005">
        <w:rPr>
          <w:rFonts w:ascii="Arial" w:eastAsia="Calibri" w:hAnsi="Arial" w:cs="Arial"/>
          <w:i/>
          <w:iCs/>
          <w:szCs w:val="28"/>
          <w:lang w:val="uk-UA"/>
        </w:rPr>
        <w:t>,</w:t>
      </w:r>
      <w:r w:rsidRPr="00511005">
        <w:rPr>
          <w:rFonts w:ascii="Arial" w:eastAsia="Calibri" w:hAnsi="Arial" w:cs="Arial"/>
          <w:szCs w:val="28"/>
          <w:lang w:val="uk-UA"/>
        </w:rPr>
        <w:t xml:space="preserve"> майже 90% усіх глобальних вантажоперевезень здійснюється морським і річковим транспортом, що зумовлено високою ефективністю, відносно низькою вартістю та здатністю переміщувати великі обсяги вантажів між континентами. Водночас в Україні обсяги морських вантажних перевезень </w:t>
      </w:r>
      <w:r w:rsidRPr="00511005">
        <w:rPr>
          <w:rFonts w:ascii="Arial" w:eastAsia="Calibri" w:hAnsi="Arial" w:cs="Arial"/>
          <w:szCs w:val="28"/>
          <w:lang w:val="uk-UA"/>
        </w:rPr>
        <w:lastRenderedPageBreak/>
        <w:t xml:space="preserve">залишаються нижчими у порівнянні із залізничним та автомобільним транспортом. </w:t>
      </w:r>
    </w:p>
    <w:p w14:paraId="354EDA8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Розвиток міжнародної логістики та транснаціональних ланцюгів постачання вимагає від країн-учасниць постійного вдосконалення інфраструктури, впровадження інноваційних технологій та адаптації до змін глобального ринку. Для України, особливо після початку повномасштабного вторгнення Російської Федерації у 2022 році, питання доступу до морських торговельних шляхів набуло критичної важливості. Заблоковані порти, знищена інфраструктура, загроза судноплавству – усе це спонукає шукати нові шляхи інтеграції у світову транспортну систему.</w:t>
      </w:r>
    </w:p>
    <w:p w14:paraId="2D22CB3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Українські морські порти відіграють не лише логістичну, але й стратегічну роль у транспортній інфраструктурі країни, оскільки вони розташовані на перетині важливих міжнародних транспортних маршрутів. Ефективність їхньої роботи, рівень технічного переоснащення, впровадження сучасних технологій управління, а також адаптація до міжнародних стандартів є критичними факторами, що визначають загальну конкурентоспроможність національного транспортного сектору в глобальній економіці </w:t>
      </w:r>
      <w:r w:rsidRPr="00511005">
        <w:rPr>
          <w:rFonts w:ascii="Arial" w:eastAsia="Times New Roman" w:hAnsi="Arial" w:cs="Arial"/>
          <w:szCs w:val="28"/>
          <w:lang w:val="uk-UA" w:eastAsia="ru-RU"/>
        </w:rPr>
        <w:t>[2].</w:t>
      </w:r>
    </w:p>
    <w:p w14:paraId="2ADA7963"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eastAsia="ru-RU"/>
        </w:rPr>
        <w:t>Значний внесок у забезпечення ефективності міжнародних морських перевезень здійснюють ключові профільні організації, які відіграють регуляторну, технічну, безпекову та правову роль. Зокрема, Міжнародна морська організація (ІМО) відповідає за встановлення стандартів безпеки судноплавства та запобігання забрудненню морського середовища, створюючи єдину нормативну базу для країн-членів. Водночас Міжнародна організація праці (ILO) займається питаннями соціального захисту морських працівників, регулюючи умови їхньої праці відповідно до положень Морської трудової конвенції.</w:t>
      </w:r>
    </w:p>
    <w:p w14:paraId="1A6F893C"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Організація морського супутникового зв’язку INMARSAT забезпечує глобальну систему зв’язку для суден, що є критично важливим для безпеки та координації перевезень у відкритому морі. Крім того, стратегічну функцію виконує Конференція ООН з торгівлі і розвитку (UNCTAD), яка досліджує морські ринки, розробляє політику сталого розвитку морського транспорту та сприяє інтеграції країн, що розвиваються, у глобальні логістичні процеси.</w:t>
      </w:r>
    </w:p>
    <w:p w14:paraId="43F0741A"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Відносини, що виникають під час морського перевезення вантажів, не можуть бути ефективно врегульовані лише національним законодавством. Це зумовило необхідність створення спеціальних міжнародних правових норм, які регламентують цю сферу. Сьогодні існує чотири основні правові режими, що визначають порядок морських вантажних перевезень, кожен із яких закріплений у відповідних міжнародних угодах. Одним із перших таких документів стала Міжнародна конвенція про уніфікацію деяких правил щодо коносамента, підписана в Брюсселі у 1924 році, відома як Гаазькі правила. Згодом ці положення були змінені і доповнені відповідним протоколом, що сформував так звані Гаазько-Вісбійські правила [1].</w:t>
      </w:r>
    </w:p>
    <w:p w14:paraId="7AA2D0D9"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У 1978 році в Гамбурзі було прийнято нову Конвенцію ООН про морське перевезення вантажів, яка оформила третій правовий режим і набула чинності з 1992 року. Вона отримала назву Гамбурзькі правила. Крім зазначених документів, четвертим етапом розвитку міжнародного регулювання стало прийняття у 2009 році Конвенції про договори повністю або частково морського міжнародного перевезення вантажів, яка відома як Роттердамські правила. Її підписали 16 держав, зокрема США, Данія, Нідерланди, Франція, Нігерія та інші. Кожен із цих правових актів відображає еволюцію підходів до відповідальності судновласників і визначає сучасні стандарти взаємин у сфері міжнародного морського транспортування.</w:t>
      </w:r>
    </w:p>
    <w:p w14:paraId="53331901"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eastAsia="ru-RU"/>
        </w:rPr>
        <w:t>Конструкція морських суден, особливості їх експлуатації, типи вантажів і погодні умови, що впливають на судноплавство, зумовили виникнення певних організаційно-правових форм міжнародних перевезень. У морській транспортній галузі сформувалося чітке розмежування між трамповим і лінійним судноплавством — формами перевезення, які мають відмінні організаційні принципи та економічні моделі.</w:t>
      </w:r>
    </w:p>
    <w:p w14:paraId="6A53251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eastAsia="ru-RU"/>
        </w:rPr>
        <w:t>Трампове судноплавство не передбачає фіксованого маршруту або регулярного графіку. У цій формі перевезень судна виконують окремі рейси за потребою, що дає змогу гнучко реагувати на зміни ринку вантажів і транспорту. Перевізник не зобов’язаний закріплювати судно за певними портами чи напрямками, а тарифи визначаються індивідуально, в результаті домовленості між сторонами, з урахуванням поточної ринкової кон’юнктури. Такий тип перевезень є типовим для перевезення сировинних ресурсів — нафти, руди, вугілля, зерна.</w:t>
      </w:r>
    </w:p>
    <w:p w14:paraId="12C2A22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eastAsia="ru-RU"/>
        </w:rPr>
        <w:t>На противагу цьому, лінійне судноплавство передбачає чітко встановлений графік рейсів між визначеними портами. У межах цієї системи судна закріплюються за конкретними маршрутами, а логістичне планування здійснюється заздалегідь, часто квартально, із зазначенням точного розкладу прибуття і відправлення. Це створює надійність для вантажовідправників, які можуть планувати свої поставки з урахуванням стабільних термінів. Такий тип судноплавства потребує ретельної координації: судна мають бути однотипними за технічними характеристиками, місткістю, швидкістю, наявністю відповідного обладнання та пристосувань для обробки певних категорій вантажів. Зокрема, контейнерні перевезення, що домінують у сучасному глобальному обігу товарів, організовуються саме в межах лінійного судноплавства.</w:t>
      </w:r>
    </w:p>
    <w:p w14:paraId="4FD3478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eastAsia="ru-RU"/>
        </w:rPr>
        <w:t>Окремої уваги заслуговують технології обслуговування суден і процеси вантажно-розвантажувальних операцій, що мають вирішальний вплив на швидкість і безпечність морських перевезень. Сучасні порти оснащуються кранами, автоматизованими терміналами, системами електронного обліку вантажів, що дає змогу значно скоротити простої суден у порту та підвищити продуктивність обробки товаропотоків.</w:t>
      </w:r>
    </w:p>
    <w:p w14:paraId="776BB099"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Світовий ринок морських перевезень представлений кількома ключовими сегментами: контейнерні перевезення, суховантажі, танкерні перевезення (нафта, газ), ро-ро-судна (автомобілі), а також спеціалізовані судна. За даними UNCTAD (United Nations Conference on Trade and Development), у 2023 році обсяг перевезених морем вантажів перевищив 12 мільярдів тонн.</w:t>
      </w:r>
      <w:r w:rsidRPr="00511005">
        <w:rPr>
          <w:rFonts w:ascii="Arial" w:eastAsia="Calibri" w:hAnsi="Arial" w:cs="Arial"/>
          <w:szCs w:val="28"/>
          <w:lang w:val="uk-UA"/>
        </w:rPr>
        <w:t xml:space="preserve"> </w:t>
      </w:r>
      <w:r w:rsidRPr="00511005">
        <w:rPr>
          <w:rFonts w:ascii="Arial" w:eastAsia="Times New Roman" w:hAnsi="Arial" w:cs="Arial"/>
          <w:szCs w:val="28"/>
          <w:lang w:val="uk-UA" w:eastAsia="ru-RU"/>
        </w:rPr>
        <w:t>Серед провідних морських держав — Китай, Сінгапур, Нідерланди, Південна Корея, Греція. Такі порти, як Роттердам, Шанхай, Сінгапур, Лос-Анджелес, є ключовими хабами.</w:t>
      </w:r>
    </w:p>
    <w:p w14:paraId="7962E460"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eastAsia="ru-RU"/>
        </w:rPr>
        <w:t xml:space="preserve">Що стосується стану морських перевезень в Україні, то до </w:t>
      </w:r>
      <w:r w:rsidRPr="00511005">
        <w:rPr>
          <w:rFonts w:ascii="Arial" w:eastAsia="Calibri" w:hAnsi="Arial" w:cs="Arial"/>
          <w:szCs w:val="28"/>
          <w:lang w:val="uk-UA"/>
        </w:rPr>
        <w:t>2022 року через українські морські порти транспортували близько 160 мільйонів тонн вантажів на рік, з яких переважну частину становило зерно, руда, вугілля та нафтопродукти. Така динаміка свідчила про поступове посилення ролі України в міжнародних морських перевезеннях, особливо в контексті глобальної продовольчої безпеки. Загалом, Україна володіє стратегічно вигідним географічним розташуванням і значним портовим потенціалом, який до повномасштабного вторгнення Російської Федерації активно використовувався в глобальній торгівлі.</w:t>
      </w:r>
    </w:p>
    <w:p w14:paraId="61E02E62"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Після 2022 року ситуація різко змінилася, порти в Азовському морі (Маріуполь, Бердянськ) було фактично втрачено, зокрема порти Великої Одеси, працюють у режимі обмеженого функціонування, часто в рамках узгоджених міжнародних ініціатив, таких як «зернова угода». Частину вантажів переорієнтовано на дунайські порти (Ізмаїл, Рені), а також залізничні та автомобільні маршрути через ЄС.</w:t>
      </w:r>
    </w:p>
    <w:p w14:paraId="70605B03" w14:textId="77777777" w:rsidR="00220D3E" w:rsidRPr="00511005" w:rsidRDefault="00220D3E" w:rsidP="003A292D">
      <w:pPr>
        <w:spacing w:line="264" w:lineRule="auto"/>
        <w:ind w:firstLine="0"/>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 xml:space="preserve">Зважаючи на наявні підрахунки наша країна втрачає близько 170 млн. дол. США в день через блокаду судноплавства у Чорному та Азовському морях. Морські порти України слугували основним способом експорту агропромислових товарів, металургії, мінеральних добрив, продукції хімічної промисловості. У 2021 році ці галузі разом принесли до бюджету країни більше 55 млрд дол. США. </w:t>
      </w:r>
    </w:p>
    <w:p w14:paraId="3B907422" w14:textId="1D561BBA"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shd w:val="clear" w:color="auto" w:fill="FFFFFF"/>
          <w:lang w:val="uk-UA"/>
        </w:rPr>
        <w:t>Загалом морськими транспортними шляхами здійснювалося близько 70% експорту продукції українського виробництва (приблизно 47 млрд. дол. США), а також велика частина імпорту країни. Експорт чорної металургії, руди та шлаків, а також зерна та олії майже на 100% передбачав</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використання</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морського транспорту [3].</w:t>
      </w:r>
    </w:p>
    <w:p w14:paraId="2FC40183"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Україна зіткнулася з низкою глибоких викликів, що ускладнюють її повноцінну участь у морських перевезеннях. Передусім йдеться про питання безпеки – постійна загроза ракетних обстрілів, мінування акваторій та відсутність гарантованих «зелених» коридорів суттєво ускладнюють навігацію. </w:t>
      </w:r>
    </w:p>
    <w:p w14:paraId="0D7ACB2C"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Також актуальною залишається проблема фізичного і технічного зносу портової інфраструктури, яка потребує комплексної модернізації з залученням як державного, так і міжнародного фінансування. Додатковою </w:t>
      </w:r>
      <w:r w:rsidRPr="00511005">
        <w:rPr>
          <w:rFonts w:ascii="Arial" w:eastAsia="Calibri" w:hAnsi="Arial" w:cs="Arial"/>
          <w:szCs w:val="28"/>
          <w:lang w:val="uk-UA"/>
        </w:rPr>
        <w:lastRenderedPageBreak/>
        <w:t>складністю є обмежений доступ до міжнародного страхування та фрахту, що зменшує привабливість українських портів для іноземних судновласників. Не менш важливою є відсутність власного національного торговельного флоту – понад 90% морських вантажів перевозяться судами, що належать іноземним компаніям, що зменшує можливості державного контролю за логістичними ланцюгами.</w:t>
      </w:r>
    </w:p>
    <w:p w14:paraId="3AD0FC8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Серед основних викликів для морських перевезень в Україні є звільнення тимчасово окупованих територій, розблокування та відновлення роботи морських портів, а також відновлення судноплавства і розвитку національного флоту. Важливими напрямами є переорієнтація вантажопотоків на водний транспорт, створення системи мультимодальних перевезень із залученням українських портів, збільшення обсягів та ефективності перевезень. Також актуальними залишаються діджиталізація і модернізація портової інфраструктури, зменшення екологічного впливу та підвищення кваліфікації українських моряків [4].</w:t>
      </w:r>
    </w:p>
    <w:p w14:paraId="7E747A9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Водночас перспективи для України в сфері морських перевезень залишаються обнадійливими. У 2023–2024 роках уряд розпочав реалізацію стратегічних заходів з посилення позицій на Дунаї. Зокрема, порти Ізмаїл і Рені значно розширили свою пропускну здатність за підтримки Європейського Союзу та у співпраці з Румунією. Результатом стало трикратне зростання вантажообігу в регіоні, що стало яскравим прикладом гнучкості та адаптації української логістики до нових умов. Крім того, активізується діджиталізація портових процесів – запровадження електронного документообігу, таких як e-BL (електронні коносаменти) та впровадження Port Community Systems дозволяє значно скоротити час обробки вантажів і підвищити прозорість логістичних операцій.</w:t>
      </w:r>
    </w:p>
    <w:p w14:paraId="558FF1DC"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eastAsia="ru-RU"/>
        </w:rPr>
        <w:t>Інфраструктурні проєкти, що реалізуються за участі міжнародних фінансових інституцій (Європейський банк реконструкції і розвитку, Світовий банк), сприяють не лише фізичному відновленню об’єктів портової інфраструктури, а й впровадженню сучасних стандартів управління та безпеки. Важливим стратегічним напрямом є розвиток власного судноплавного сектору: стимулювання створення національних компаній, оновлення флоту та повернення під український прапор суден, що були раніше виведені до іноземної юрисдикції.</w:t>
      </w:r>
    </w:p>
    <w:p w14:paraId="0E3E5A4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eastAsia="ru-RU"/>
        </w:rPr>
        <w:t xml:space="preserve">Отже, попри серйозні труднощі та виклики, Україна демонструє значний потенціал для збереження та посилення своєї ролі в міжнародних морських вантажних перевезеннях. Ця роль не обмежується лише експортно-імпортними потоками — вона формує довгострокову логістику безпеки, торгівлі, інновацій та міжнародної співпраці. У післявоєнний період модернізація морського сектору, інтеграція в європейські та глобальні логістичні мережі, а також впровадження технологій майбутнього відкриють </w:t>
      </w:r>
      <w:r w:rsidRPr="00511005">
        <w:rPr>
          <w:rFonts w:ascii="Arial" w:eastAsia="Times New Roman" w:hAnsi="Arial" w:cs="Arial"/>
          <w:szCs w:val="28"/>
          <w:lang w:val="uk-UA" w:eastAsia="ru-RU"/>
        </w:rPr>
        <w:lastRenderedPageBreak/>
        <w:t>перед Україною нові можливості для позиціонування як ключового транспортного хабу на перетині Європи та Азії.</w:t>
      </w:r>
    </w:p>
    <w:p w14:paraId="0919B846" w14:textId="77777777" w:rsidR="00220D3E" w:rsidRPr="00511005" w:rsidRDefault="00220D3E" w:rsidP="003A292D">
      <w:pPr>
        <w:spacing w:line="264" w:lineRule="auto"/>
        <w:ind w:firstLine="0"/>
        <w:jc w:val="center"/>
        <w:rPr>
          <w:rFonts w:ascii="Arial" w:eastAsia="Calibri" w:hAnsi="Arial" w:cs="Arial"/>
          <w:b/>
          <w:bCs/>
          <w:szCs w:val="28"/>
          <w:lang w:val="uk-UA"/>
        </w:rPr>
      </w:pPr>
    </w:p>
    <w:p w14:paraId="3ABF198A" w14:textId="7A5E029C" w:rsidR="00220D3E"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043A13E" w14:textId="77777777" w:rsidR="00220D3E" w:rsidRPr="00511005" w:rsidRDefault="00220D3E" w:rsidP="003F6A5D">
      <w:pPr>
        <w:numPr>
          <w:ilvl w:val="0"/>
          <w:numId w:val="21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Пашковська Л.І. Міжнародне морське приватне право: навч.-метод. посібник</w:t>
      </w:r>
      <w:r w:rsidRPr="00511005">
        <w:rPr>
          <w:rFonts w:ascii="Arial" w:eastAsia="Calibri" w:hAnsi="Arial" w:cs="Arial"/>
          <w:i/>
          <w:iCs/>
          <w:szCs w:val="28"/>
          <w:lang w:val="uk-UA"/>
        </w:rPr>
        <w:t>.</w:t>
      </w:r>
      <w:r w:rsidRPr="00511005">
        <w:rPr>
          <w:rFonts w:ascii="Arial" w:eastAsia="Calibri" w:hAnsi="Arial" w:cs="Arial"/>
          <w:szCs w:val="28"/>
          <w:lang w:val="uk-UA"/>
        </w:rPr>
        <w:t xml:space="preserve"> Національний університет «Одеська юридична академія», 2020. URL: </w:t>
      </w:r>
      <w:hyperlink r:id="rId727" w:tgtFrame="_new" w:history="1">
        <w:r w:rsidRPr="00511005">
          <w:rPr>
            <w:rFonts w:ascii="Arial" w:eastAsia="Calibri" w:hAnsi="Arial" w:cs="Arial"/>
            <w:szCs w:val="28"/>
            <w:lang w:val="uk-UA"/>
          </w:rPr>
          <w:t>https://cutt.ly/Ymd9b03</w:t>
        </w:r>
      </w:hyperlink>
    </w:p>
    <w:p w14:paraId="4D8DA6C2" w14:textId="77777777" w:rsidR="00220D3E" w:rsidRPr="00511005" w:rsidRDefault="00220D3E" w:rsidP="003F6A5D">
      <w:pPr>
        <w:numPr>
          <w:ilvl w:val="0"/>
          <w:numId w:val="21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Попель С.А., Неліпович О.В., Мотюк К.Д. Міжнародні морські вантажні перевезення: сучасний стан та перспективи участі в них України</w:t>
      </w:r>
      <w:r w:rsidRPr="00511005">
        <w:rPr>
          <w:rFonts w:ascii="Arial" w:eastAsia="Calibri" w:hAnsi="Arial" w:cs="Arial"/>
          <w:i/>
          <w:iCs/>
          <w:szCs w:val="28"/>
          <w:lang w:val="uk-UA"/>
        </w:rPr>
        <w:t>.</w:t>
      </w:r>
      <w:r w:rsidRPr="00511005">
        <w:rPr>
          <w:rFonts w:ascii="Arial" w:eastAsia="Calibri" w:hAnsi="Arial" w:cs="Arial"/>
          <w:szCs w:val="28"/>
          <w:lang w:val="uk-UA"/>
        </w:rPr>
        <w:t xml:space="preserve"> </w:t>
      </w:r>
      <w:r w:rsidRPr="00511005">
        <w:rPr>
          <w:rFonts w:ascii="Arial" w:eastAsia="Calibri" w:hAnsi="Arial" w:cs="Arial"/>
          <w:i/>
          <w:szCs w:val="28"/>
          <w:lang w:val="uk-UA"/>
        </w:rPr>
        <w:t>Науковий вісник Ужгородського університету</w:t>
      </w:r>
      <w:r w:rsidRPr="00511005">
        <w:rPr>
          <w:rFonts w:ascii="Arial" w:eastAsia="Calibri" w:hAnsi="Arial" w:cs="Arial"/>
          <w:szCs w:val="28"/>
          <w:lang w:val="uk-UA"/>
        </w:rPr>
        <w:t xml:space="preserve">. Випуск 4 (41), 2013. URL: </w:t>
      </w:r>
      <w:hyperlink r:id="rId728" w:tgtFrame="_new" w:history="1">
        <w:r w:rsidRPr="00511005">
          <w:rPr>
            <w:rFonts w:ascii="Arial" w:eastAsia="Calibri" w:hAnsi="Arial" w:cs="Arial"/>
            <w:szCs w:val="28"/>
            <w:lang w:val="uk-UA"/>
          </w:rPr>
          <w:t>https://dspace.uzhnu.edu.ua/jspui/handle/lib/1215</w:t>
        </w:r>
      </w:hyperlink>
    </w:p>
    <w:p w14:paraId="4E433525" w14:textId="77777777" w:rsidR="00220D3E" w:rsidRPr="00511005" w:rsidRDefault="00220D3E" w:rsidP="003F6A5D">
      <w:pPr>
        <w:numPr>
          <w:ilvl w:val="0"/>
          <w:numId w:val="21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Проєкт Плану відновлення України. Матеріали робочої групи «Відновлення та розбудова інфраструктури», Національна рада з відновлення України від наслідків війни, липень 2022. URL: </w:t>
      </w:r>
      <w:hyperlink r:id="rId729" w:history="1">
        <w:r w:rsidRPr="00511005">
          <w:rPr>
            <w:rFonts w:ascii="Arial" w:eastAsia="Calibri" w:hAnsi="Arial" w:cs="Arial"/>
            <w:szCs w:val="28"/>
            <w:lang w:val="uk-UA"/>
          </w:rPr>
          <w:t>https://www.kmu.gov.ua/storage/app/sites/1/recoveryrada/ua/restoration-and-development-of-infrastructure.pdf</w:t>
        </w:r>
      </w:hyperlink>
    </w:p>
    <w:p w14:paraId="035AB006" w14:textId="77777777" w:rsidR="00220D3E" w:rsidRPr="00511005" w:rsidRDefault="00220D3E" w:rsidP="003F6A5D">
      <w:pPr>
        <w:numPr>
          <w:ilvl w:val="0"/>
          <w:numId w:val="21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Шевчук О. А., Гайванович Н. В. Сучасний стан, проблеми та перспективи розвитку морських вантажних перевезень в Україні та світі</w:t>
      </w:r>
      <w:r w:rsidRPr="00511005">
        <w:rPr>
          <w:rFonts w:ascii="Arial" w:eastAsia="Calibri" w:hAnsi="Arial" w:cs="Arial"/>
          <w:i/>
          <w:iCs/>
          <w:szCs w:val="28"/>
          <w:lang w:val="uk-UA"/>
        </w:rPr>
        <w:t>.</w:t>
      </w:r>
      <w:r w:rsidRPr="00511005">
        <w:rPr>
          <w:rFonts w:ascii="Arial" w:eastAsia="Calibri" w:hAnsi="Arial" w:cs="Arial"/>
          <w:szCs w:val="28"/>
          <w:lang w:val="uk-UA"/>
        </w:rPr>
        <w:t xml:space="preserve"> </w:t>
      </w:r>
      <w:r w:rsidRPr="00511005">
        <w:rPr>
          <w:rFonts w:ascii="Arial" w:eastAsia="Calibri" w:hAnsi="Arial" w:cs="Arial"/>
          <w:i/>
          <w:szCs w:val="28"/>
          <w:lang w:val="uk-UA"/>
        </w:rPr>
        <w:t>Економічний вісник НТУУ «Київський політехнічний інститут»</w:t>
      </w:r>
      <w:r w:rsidRPr="00511005">
        <w:rPr>
          <w:rFonts w:ascii="Arial" w:eastAsia="Calibri" w:hAnsi="Arial" w:cs="Arial"/>
          <w:szCs w:val="28"/>
          <w:lang w:val="uk-UA"/>
        </w:rPr>
        <w:t xml:space="preserve">. 2023. № 25. URL: </w:t>
      </w:r>
      <w:hyperlink r:id="rId730" w:tgtFrame="_new" w:history="1">
        <w:r w:rsidRPr="00511005">
          <w:rPr>
            <w:rFonts w:ascii="Arial" w:eastAsia="Calibri" w:hAnsi="Arial" w:cs="Arial"/>
            <w:szCs w:val="28"/>
            <w:lang w:val="uk-UA"/>
          </w:rPr>
          <w:t>https://ev.fmm.kpi.ua/article/view/278603/273274</w:t>
        </w:r>
      </w:hyperlink>
    </w:p>
    <w:p w14:paraId="491F9904" w14:textId="77777777" w:rsidR="00220D3E" w:rsidRPr="00511005" w:rsidRDefault="00220D3E" w:rsidP="003A292D">
      <w:pPr>
        <w:spacing w:line="264" w:lineRule="auto"/>
        <w:ind w:firstLine="0"/>
        <w:rPr>
          <w:rFonts w:ascii="Arial" w:eastAsia="Calibri" w:hAnsi="Arial" w:cs="Arial"/>
          <w:b/>
          <w:bCs/>
          <w:szCs w:val="28"/>
          <w:lang w:val="uk-UA"/>
        </w:rPr>
      </w:pPr>
    </w:p>
    <w:p w14:paraId="5C3E0931" w14:textId="67807E70"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220D3E" w:rsidRPr="00511005">
        <w:rPr>
          <w:rFonts w:ascii="Arial" w:eastAsia="Times New Roman" w:hAnsi="Arial" w:cs="Arial"/>
          <w:szCs w:val="28"/>
          <w:lang w:val="uk-UA" w:eastAsia="ru-RU"/>
        </w:rPr>
        <w:t>міжнародні морські вантажні перевезення, морська логістика, порти України, ІМО, морське право, Гаазькі правила, Гамбурзькі правила, Роттердамські правила, трампове судноплавство, лінійне судноплавство, контейнерні перевезення, портова інфраструктура, мультимодальні перевезення, судноплавство під час війни, морський транспорт України, стратегічна інфраструктура, глобальна торгівля, зернова угода.</w:t>
      </w:r>
    </w:p>
    <w:p w14:paraId="52F3755D" w14:textId="0D66B3B8" w:rsidR="00220D3E" w:rsidRPr="00511005" w:rsidRDefault="007B2628" w:rsidP="003A292D">
      <w:pPr>
        <w:spacing w:line="264" w:lineRule="auto"/>
        <w:ind w:firstLine="0"/>
        <w:rPr>
          <w:rFonts w:ascii="Arial" w:eastAsia="Calibri" w:hAnsi="Arial" w:cs="Arial"/>
          <w:szCs w:val="28"/>
          <w:lang w:val="uk-UA"/>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uk-UA" w:eastAsia="ru-RU"/>
        </w:rPr>
        <w:t>international maritime freight transport, maritime logistics, Ukrainian ports, IMO, maritime law, Hague Rules, Hamburg Rules, Rotterdam Rules, tramp shipping, liner shipping, container transport, port infrastructure, multimodal tr</w:t>
      </w:r>
      <w:r w:rsidR="00220D3E" w:rsidRPr="00511005">
        <w:rPr>
          <w:rFonts w:ascii="Arial" w:eastAsia="Times New Roman" w:hAnsi="Arial" w:cs="Arial"/>
          <w:szCs w:val="28"/>
          <w:lang w:eastAsia="ru-RU"/>
        </w:rPr>
        <w:t>джерел</w:t>
      </w:r>
      <w:r w:rsidR="00220D3E" w:rsidRPr="00511005">
        <w:rPr>
          <w:rFonts w:ascii="Arial" w:eastAsia="Times New Roman" w:hAnsi="Arial" w:cs="Arial"/>
          <w:szCs w:val="28"/>
          <w:lang w:val="uk-UA" w:eastAsia="ru-RU"/>
        </w:rPr>
        <w:t>ansport, wartime navigation, Ukraine’s maritime sector, strategic infrastructure, global trade, grain deal.</w:t>
      </w:r>
    </w:p>
    <w:p w14:paraId="60EA6572" w14:textId="0E1C1384" w:rsidR="00220D3E" w:rsidRPr="00511005" w:rsidRDefault="007B2628"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220D3E" w:rsidRPr="00511005">
        <w:rPr>
          <w:rFonts w:ascii="Arial" w:eastAsia="Calibri" w:hAnsi="Arial" w:cs="Arial"/>
          <w:i/>
          <w:iCs/>
          <w:szCs w:val="28"/>
          <w:lang w:val="uk-UA"/>
        </w:rPr>
        <w:t>к.ю.н., доцент Малєєва Г. Л.</w:t>
      </w:r>
    </w:p>
    <w:p w14:paraId="1B42BF80" w14:textId="77777777" w:rsidR="00220D3E" w:rsidRPr="00511005" w:rsidRDefault="00220D3E" w:rsidP="003A292D">
      <w:pPr>
        <w:spacing w:line="264" w:lineRule="auto"/>
        <w:ind w:firstLine="0"/>
        <w:rPr>
          <w:rFonts w:ascii="Arial" w:eastAsia="Calibri" w:hAnsi="Arial" w:cs="Arial"/>
          <w:szCs w:val="28"/>
          <w:shd w:val="clear" w:color="auto" w:fill="FFFFFF"/>
          <w:lang w:val="uk-UA"/>
        </w:rPr>
      </w:pPr>
    </w:p>
    <w:p w14:paraId="6AB9595B" w14:textId="77777777" w:rsidR="00220D3E" w:rsidRPr="00511005" w:rsidRDefault="00220D3E" w:rsidP="003A292D">
      <w:pPr>
        <w:spacing w:line="264" w:lineRule="auto"/>
        <w:ind w:firstLine="0"/>
        <w:jc w:val="center"/>
        <w:rPr>
          <w:rFonts w:ascii="Arial" w:eastAsia="Calibri" w:hAnsi="Arial" w:cs="Arial"/>
          <w:b/>
          <w:i/>
          <w:noProof/>
          <w:szCs w:val="28"/>
          <w:lang w:val="uk-UA"/>
        </w:rPr>
      </w:pPr>
      <w:r w:rsidRPr="00511005">
        <w:rPr>
          <w:rFonts w:ascii="Arial" w:eastAsia="Calibri" w:hAnsi="Arial" w:cs="Arial"/>
          <w:b/>
          <w:i/>
          <w:noProof/>
          <w:szCs w:val="28"/>
          <w:lang w:val="uk-UA"/>
        </w:rPr>
        <w:t>Бабак Сергій Сергійович</w:t>
      </w:r>
    </w:p>
    <w:p w14:paraId="63A5D950" w14:textId="45BEB461" w:rsidR="00220D3E" w:rsidRPr="00511005" w:rsidRDefault="00536AAB" w:rsidP="003A292D">
      <w:pPr>
        <w:spacing w:line="264" w:lineRule="auto"/>
        <w:ind w:firstLine="0"/>
        <w:jc w:val="center"/>
        <w:rPr>
          <w:rFonts w:ascii="Arial" w:eastAsia="Calibri" w:hAnsi="Arial" w:cs="Arial"/>
          <w:noProof/>
          <w:szCs w:val="28"/>
          <w:lang w:val="uk-UA"/>
        </w:rPr>
      </w:pPr>
      <w:r w:rsidRPr="00511005">
        <w:rPr>
          <w:rFonts w:ascii="Arial" w:eastAsia="Calibri" w:hAnsi="Arial" w:cs="Arial"/>
          <w:noProof/>
          <w:szCs w:val="28"/>
          <w:lang w:val="uk-UA"/>
        </w:rPr>
        <w:t xml:space="preserve">студент 4-го курсу </w:t>
      </w:r>
      <w:r w:rsidR="001B7B25" w:rsidRPr="00511005">
        <w:rPr>
          <w:rFonts w:ascii="Arial" w:eastAsia="Calibri" w:hAnsi="Arial" w:cs="Arial"/>
          <w:noProof/>
          <w:szCs w:val="28"/>
          <w:lang w:val="uk-UA"/>
        </w:rPr>
        <w:t>факультету судового та міжнародного права</w:t>
      </w:r>
    </w:p>
    <w:p w14:paraId="6C8EC96C" w14:textId="64EA1BA4" w:rsidR="00220D3E" w:rsidRPr="00511005" w:rsidRDefault="007B2628" w:rsidP="003A292D">
      <w:pPr>
        <w:spacing w:line="264" w:lineRule="auto"/>
        <w:ind w:firstLine="0"/>
        <w:jc w:val="center"/>
        <w:rPr>
          <w:rFonts w:ascii="Arial" w:eastAsia="Calibri" w:hAnsi="Arial" w:cs="Arial"/>
          <w:noProof/>
          <w:szCs w:val="28"/>
          <w:lang w:val="uk-UA"/>
        </w:rPr>
      </w:pPr>
      <w:r w:rsidRPr="00511005">
        <w:rPr>
          <w:rFonts w:ascii="Arial" w:eastAsia="Calibri" w:hAnsi="Arial" w:cs="Arial"/>
          <w:noProof/>
          <w:szCs w:val="28"/>
          <w:lang w:val="uk-UA"/>
        </w:rPr>
        <w:t>Національного університету «Одеська юридична академія»</w:t>
      </w:r>
    </w:p>
    <w:p w14:paraId="3CD21BA3" w14:textId="77777777" w:rsidR="00220D3E" w:rsidRPr="00511005" w:rsidRDefault="00220D3E" w:rsidP="003A292D">
      <w:pPr>
        <w:spacing w:line="264" w:lineRule="auto"/>
        <w:ind w:firstLine="0"/>
        <w:jc w:val="center"/>
        <w:rPr>
          <w:rFonts w:ascii="Arial" w:eastAsia="Calibri" w:hAnsi="Arial" w:cs="Arial"/>
          <w:noProof/>
          <w:szCs w:val="28"/>
          <w:lang w:val="uk-UA"/>
        </w:rPr>
      </w:pPr>
    </w:p>
    <w:p w14:paraId="637B092A" w14:textId="77777777" w:rsidR="00220D3E" w:rsidRPr="00511005" w:rsidRDefault="00220D3E" w:rsidP="003A292D">
      <w:pPr>
        <w:spacing w:line="264" w:lineRule="auto"/>
        <w:ind w:firstLine="0"/>
        <w:jc w:val="center"/>
        <w:rPr>
          <w:rFonts w:ascii="Arial" w:eastAsia="Calibri" w:hAnsi="Arial" w:cs="Arial"/>
          <w:b/>
          <w:noProof/>
          <w:szCs w:val="28"/>
          <w:lang w:val="uk-UA"/>
        </w:rPr>
      </w:pPr>
      <w:r w:rsidRPr="00511005">
        <w:rPr>
          <w:rFonts w:ascii="Arial" w:eastAsia="Calibri" w:hAnsi="Arial" w:cs="Arial"/>
          <w:b/>
          <w:noProof/>
          <w:szCs w:val="28"/>
          <w:lang w:val="uk-UA"/>
        </w:rPr>
        <w:t>РОЛЬ ТА ЗНАЧЕННЯ СУДОВОЇ СТАТИСТИКИ ПРИ РОЗГЛЯДІ МИТНИХ СПОРІВ</w:t>
      </w:r>
    </w:p>
    <w:p w14:paraId="021B7F02" w14:textId="77777777" w:rsidR="00220D3E" w:rsidRPr="00511005" w:rsidRDefault="00220D3E" w:rsidP="003A292D">
      <w:pPr>
        <w:spacing w:line="264" w:lineRule="auto"/>
        <w:ind w:firstLine="0"/>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lastRenderedPageBreak/>
        <w:t>У сучасному правовому полі, де митне законодавство є однією з найбільш динамічних та чутливих сфер регулювання, роль судової статистики набуває особливого значення. Митні спори, як складна категорія адміністративного та господарського судочинства, виникають на перетині інтересів держави, суб’єктів зовнішньоекономічної діяльності та контролюючих органів. Їх розгляд потребує не лише фахових юридичних знань, а й урахування загальних тенденцій, типових помилок та повторюваних проблем, що проявляються в національній практиці судочинства. Саме судова статистика, яка системно акумулює й узагальнює відомості про характер, кількість, динаміку, результати та особливості митних спорів, виступає ключовим інструментом для забезпечення справедливого, обґрунтованого та ефективного правосуддя.</w:t>
      </w:r>
    </w:p>
    <w:p w14:paraId="73E40EAB" w14:textId="77777777" w:rsidR="00220D3E" w:rsidRPr="00511005" w:rsidRDefault="00220D3E" w:rsidP="003A292D">
      <w:pPr>
        <w:spacing w:line="264" w:lineRule="auto"/>
        <w:ind w:firstLine="0"/>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Судова статистика, зокрема у сфері митних відносин, є важливим джерелом для виявлення структурних проблем у діяльності митних органів, зловживань, правозастосовної неоднорідності, а також потенційних прогалин у законодавстві. Вона дозволяє побачити не лише кількість справ певної категорії, але й їхній результат – чи задовольняються вимоги суб’єктів зовнішньоекономічної діяльності, чи залишаються без змін рішення митниць, скільки з них оскаржуються в апеляційному чи касаційному порядку, яка кількість рішень скасована, з яких підстав та з якими правовими аргументами. Це дає змогу не лише будувати прогнози щодо правових позицій судів у майбутньому, але й вчасно реагувати на виявлені тенденції – як державі в особі законодавця або контролюючих органів, так і учасникам ЗЕД, які можуть адаптувати свою діяльність до наявної практики [1].</w:t>
      </w:r>
    </w:p>
    <w:p w14:paraId="0F13B701" w14:textId="77777777" w:rsidR="00220D3E" w:rsidRPr="00511005" w:rsidRDefault="00220D3E" w:rsidP="003A292D">
      <w:pPr>
        <w:spacing w:line="264" w:lineRule="auto"/>
        <w:ind w:firstLine="0"/>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Судова статистика виконує водночас інформаційну, аналітичну, і прогностичну функцію. Для судової системи вона є інструментом самооцінки, засобом для виявлення навантаження на окремі суди, аналізу ефективності розгляду митних спорів, виявлення потреб у навчанні суддів у конкретних категоріях справ. Для законодавчого органу – це реальна картина застосування норм митного права, яка дозволяє виявити їхню неоднозначність, конфліктність або навіть суперечливість. Для науковців – це база для формулювання нових правових доктрин або уточнення існуючих підходів. Для адвокатів, юристів, бізнесу – це можливість оцінити судову практику, обґрунтувати позовні вимоги чи захисну позицію на підставі усталених підходів судової влади.</w:t>
      </w:r>
    </w:p>
    <w:p w14:paraId="026055BE" w14:textId="77777777" w:rsidR="00220D3E" w:rsidRPr="00511005" w:rsidRDefault="00220D3E" w:rsidP="003A292D">
      <w:pPr>
        <w:spacing w:line="264" w:lineRule="auto"/>
        <w:ind w:firstLine="0"/>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Окремо варто відзначити, що у сфері митних спорів судова статистика є ще й дієвим механізмом правового моніторингу. Наприклад, якщо протягом короткого періоду значно зростає кількість справ, у яких митні органи визнають товари такими, що класифікуються за іншими кодами УКТ ЗЕД із значно завищеною ставкою мита, це може свідчити про системну проблему або навмисне маніпулювання митною класифікацією з боку державного органу. Аналогічно, масове оскарження санкцій за порушення митних </w:t>
      </w:r>
      <w:r w:rsidRPr="00511005">
        <w:rPr>
          <w:rFonts w:ascii="Arial" w:eastAsia="Times New Roman" w:hAnsi="Arial" w:cs="Arial"/>
          <w:noProof/>
          <w:szCs w:val="28"/>
          <w:lang w:val="uk-UA" w:eastAsia="ru-RU"/>
        </w:rPr>
        <w:lastRenderedPageBreak/>
        <w:t>правил може свідчити або про неналежний рівень підготовки митників, або про наявність правових колізій у відповідному нормативному акті. У такому разі судова статистика є базою для подальших дій – від антикорупційних розслідувань до ініціювання змін у законодавстві чи підзаконних актах [2].</w:t>
      </w:r>
    </w:p>
    <w:p w14:paraId="44C60C3A" w14:textId="77777777" w:rsidR="00220D3E" w:rsidRPr="00511005" w:rsidRDefault="00220D3E" w:rsidP="003A292D">
      <w:pPr>
        <w:spacing w:line="264" w:lineRule="auto"/>
        <w:ind w:firstLine="0"/>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Не менш важливою є роль статистичних даних у контексті забезпечення єдності судової практики. Верховний Суд України, аналізуючи масив рішень нижчих судів та узагальнені статистичні відомості, може виявити відмінності у підходах до вирішення ідентичних митних спорів у різних регіонах. Це дозволяє вчасно надавати правові висновки або приймати постанови, які формують єдину лінію правозастосування, підвищуючи тим самим рівень правової визначеності, стабільності та передбачуваності судових рішень. У свою чергу, це сприяє підвищенню довіри до судової системи, зменшенню кількості апеляцій і касацій, а отже – ефективнішому функціонуванню правосуддя в цілому.</w:t>
      </w:r>
    </w:p>
    <w:p w14:paraId="7CCFDB5F" w14:textId="77777777" w:rsidR="00220D3E" w:rsidRPr="00511005" w:rsidRDefault="00220D3E" w:rsidP="003A292D">
      <w:pPr>
        <w:spacing w:line="264" w:lineRule="auto"/>
        <w:ind w:firstLine="0"/>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Роль судової статистики важко переоцінити й у контексті забезпечення принципу відкритості судової влади. Публічний доступ до знеособленої статистики, що відображає стан розгляду митних справ, є важливою складовою демократичного контролю над судочинством і діяльністю державних органів. Це дозволяє як громадянам, так і ЗМІ, неурядовим організаціям, бізнесу стежити за діяльністю судів, порівнювати регіональні практики, виявляти потенційні зловживання або системні дисфункції. Прозорість статистичних даних сприяє запобіганню корупції, оскільки унеможливлює приховування небажаної інформації про ефективність судового захисту прав суб’єктів ЗЕД.</w:t>
      </w:r>
    </w:p>
    <w:p w14:paraId="4D1FB53C" w14:textId="77777777" w:rsidR="00220D3E" w:rsidRPr="00511005" w:rsidRDefault="00220D3E" w:rsidP="003A292D">
      <w:pPr>
        <w:spacing w:line="264" w:lineRule="auto"/>
        <w:ind w:firstLine="0"/>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Однак не можна оминути й проблеми, пов’язані з судовою статистикою. Передусім це питання якості збору, обробки та подання даних. Часто показники фіксуються без належної деталізації – наприклад, не враховується причина винесеного рішення, не розрізняються категорії справ за характером митного правопорушення (класифікація, декларування, порушення строків тощо). Це значно ускладнює аналітичну роботу та зменшує практичну цінність статистики. Крім того, часто відсутня єдина методика збору й інтерпретації статистичних даних у різних судових інстанціях, що створює ризики неоднозначного тлумачення [3].</w:t>
      </w:r>
    </w:p>
    <w:p w14:paraId="5478A406" w14:textId="77777777" w:rsidR="00220D3E" w:rsidRPr="00511005" w:rsidRDefault="00220D3E" w:rsidP="003A292D">
      <w:pPr>
        <w:spacing w:line="264" w:lineRule="auto"/>
        <w:ind w:firstLine="0"/>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Окремо слід відзначити недостатнє використання статистики під час формування правових позицій судів у конкретних справах. Хоча вона й не має юридично зобов’язуючого значення, однак вміння судді бачити загальну картину розгляду справ певної категорії допомагає приймати більш виважені рішення, уникати правового формалізму та враховувати інтереси сторін не лише в межах конкретної справи, а й у ширшому контексті правозастосування.</w:t>
      </w:r>
    </w:p>
    <w:p w14:paraId="3339633B" w14:textId="77777777" w:rsidR="00220D3E" w:rsidRPr="00511005" w:rsidRDefault="00220D3E" w:rsidP="003A292D">
      <w:pPr>
        <w:spacing w:line="264" w:lineRule="auto"/>
        <w:ind w:firstLine="0"/>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Отже, судова статистика у сфері митних спорів виконує не просто роль допоміжного елементу юридичного процесу, а є повноцінним інструментом </w:t>
      </w:r>
      <w:r w:rsidRPr="00511005">
        <w:rPr>
          <w:rFonts w:ascii="Arial" w:eastAsia="Times New Roman" w:hAnsi="Arial" w:cs="Arial"/>
          <w:noProof/>
          <w:szCs w:val="28"/>
          <w:lang w:val="uk-UA" w:eastAsia="ru-RU"/>
        </w:rPr>
        <w:lastRenderedPageBreak/>
        <w:t>забезпечення ефективності правосуддя, якості законодавства, відкритості судової системи та правової визначеності. Усе це робить її важливим фактором функціонування правової держави в умовах глобалізації та зростаючих темпів зовнішньоекономічної діяльності. Її значення зростає в умовах цифровізації судової влади та інтеграції України до європейського правового простору, де об’єктивність, прозорість і аналітична база правозастосування вважаються невід’ємними ознаками справедливого судочинства. Розвиток і вдосконалення судової статистики, особливо у спеціалізованих категоріях спорів, як-от митні, є не лише технічною, а й стратегічною метою, що впливає на якість функціонування всієї системи захисту прав у сфері публічного адміністрування.</w:t>
      </w:r>
    </w:p>
    <w:p w14:paraId="3BA09B3C" w14:textId="77777777" w:rsidR="00220D3E" w:rsidRPr="00511005" w:rsidRDefault="00220D3E" w:rsidP="003A292D">
      <w:pPr>
        <w:spacing w:line="264" w:lineRule="auto"/>
        <w:ind w:firstLine="0"/>
        <w:contextualSpacing/>
        <w:rPr>
          <w:rFonts w:ascii="Arial" w:eastAsia="Times New Roman" w:hAnsi="Arial" w:cs="Arial"/>
          <w:noProof/>
          <w:szCs w:val="28"/>
          <w:lang w:val="uk-UA" w:eastAsia="ru-RU"/>
        </w:rPr>
      </w:pPr>
    </w:p>
    <w:p w14:paraId="1B702D9B" w14:textId="56003FC8" w:rsidR="00220D3E" w:rsidRPr="00511005" w:rsidRDefault="007B2628" w:rsidP="007B2628">
      <w:pPr>
        <w:spacing w:line="264" w:lineRule="auto"/>
        <w:ind w:firstLine="0"/>
        <w:contextualSpacing/>
        <w:jc w:val="center"/>
        <w:rPr>
          <w:rFonts w:ascii="Arial" w:eastAsia="Times New Roman" w:hAnsi="Arial" w:cs="Arial"/>
          <w:b/>
          <w:noProof/>
          <w:szCs w:val="28"/>
          <w:lang w:val="uk-UA" w:eastAsia="ru-RU"/>
        </w:rPr>
      </w:pPr>
      <w:r w:rsidRPr="00511005">
        <w:rPr>
          <w:rFonts w:ascii="Arial" w:eastAsia="Times New Roman" w:hAnsi="Arial" w:cs="Arial"/>
          <w:b/>
          <w:noProof/>
          <w:szCs w:val="28"/>
          <w:lang w:val="uk-UA" w:eastAsia="ru-RU"/>
        </w:rPr>
        <w:t>Список використаних джерел</w:t>
      </w:r>
    </w:p>
    <w:p w14:paraId="399260DC" w14:textId="77777777" w:rsidR="00220D3E" w:rsidRPr="00511005" w:rsidRDefault="00220D3E" w:rsidP="003A292D">
      <w:pPr>
        <w:spacing w:line="264" w:lineRule="auto"/>
        <w:ind w:firstLine="0"/>
        <w:contextualSpacing/>
        <w:rPr>
          <w:rFonts w:ascii="Arial" w:eastAsia="Calibri" w:hAnsi="Arial" w:cs="Arial"/>
          <w:noProof/>
          <w:szCs w:val="28"/>
          <w:lang w:val="uk-UA"/>
        </w:rPr>
      </w:pPr>
      <w:r w:rsidRPr="00511005">
        <w:rPr>
          <w:rFonts w:ascii="Arial" w:eastAsia="Calibri" w:hAnsi="Arial" w:cs="Arial"/>
          <w:noProof/>
          <w:szCs w:val="28"/>
          <w:lang w:val="uk-UA"/>
        </w:rPr>
        <w:t xml:space="preserve">1. Три гріхи митної вартості - Незалежна Служба Новин URL: </w:t>
      </w:r>
      <w:hyperlink r:id="rId731" w:history="1">
        <w:r w:rsidRPr="00511005">
          <w:rPr>
            <w:rFonts w:ascii="Arial" w:eastAsia="Calibri" w:hAnsi="Arial" w:cs="Arial"/>
            <w:noProof/>
            <w:szCs w:val="28"/>
            <w:lang w:val="uk-UA"/>
          </w:rPr>
          <w:t>https://bloginside.in.ua/Три-гріхи-митної-вартості/</w:t>
        </w:r>
      </w:hyperlink>
    </w:p>
    <w:p w14:paraId="3F9AB1B0" w14:textId="77777777" w:rsidR="00220D3E" w:rsidRPr="00511005" w:rsidRDefault="00220D3E" w:rsidP="003A292D">
      <w:pPr>
        <w:spacing w:line="264" w:lineRule="auto"/>
        <w:ind w:firstLine="0"/>
        <w:contextualSpacing/>
        <w:rPr>
          <w:rFonts w:ascii="Arial" w:eastAsia="Calibri" w:hAnsi="Arial" w:cs="Arial"/>
          <w:noProof/>
          <w:szCs w:val="28"/>
          <w:lang w:val="uk-UA"/>
        </w:rPr>
      </w:pPr>
      <w:r w:rsidRPr="00511005">
        <w:rPr>
          <w:rFonts w:ascii="Arial" w:eastAsia="Calibri" w:hAnsi="Arial" w:cs="Arial"/>
          <w:noProof/>
          <w:szCs w:val="28"/>
          <w:lang w:val="uk-UA"/>
        </w:rPr>
        <w:t xml:space="preserve">2. Угода про застосування статті VII Генеральної угоди про тарифи й торгівлю 1994 року URL: </w:t>
      </w:r>
      <w:hyperlink r:id="rId732" w:anchor="Text" w:history="1">
        <w:r w:rsidRPr="00511005">
          <w:rPr>
            <w:rFonts w:ascii="Arial" w:eastAsia="Calibri" w:hAnsi="Arial" w:cs="Arial"/>
            <w:noProof/>
            <w:szCs w:val="28"/>
            <w:lang w:val="uk-UA"/>
          </w:rPr>
          <w:t>https://zakon.rada.gov.ua/laws/show/981_011#Text</w:t>
        </w:r>
      </w:hyperlink>
    </w:p>
    <w:p w14:paraId="2C9F77A4" w14:textId="77777777" w:rsidR="00220D3E" w:rsidRPr="00511005" w:rsidRDefault="00220D3E" w:rsidP="003A292D">
      <w:pPr>
        <w:spacing w:line="264" w:lineRule="auto"/>
        <w:ind w:firstLine="0"/>
        <w:contextualSpacing/>
        <w:rPr>
          <w:rFonts w:ascii="Arial" w:eastAsia="Calibri" w:hAnsi="Arial" w:cs="Arial"/>
          <w:noProof/>
          <w:szCs w:val="28"/>
          <w:lang w:val="uk-UA"/>
        </w:rPr>
      </w:pPr>
      <w:r w:rsidRPr="00511005">
        <w:rPr>
          <w:rFonts w:ascii="Arial" w:eastAsia="Calibri" w:hAnsi="Arial" w:cs="Arial"/>
          <w:noProof/>
          <w:szCs w:val="28"/>
          <w:lang w:val="uk-UA"/>
        </w:rPr>
        <w:t xml:space="preserve">3. Митний кодекс України від 13.03.2012р. №4495-VI URL: </w:t>
      </w:r>
      <w:hyperlink r:id="rId733" w:anchor="Text" w:history="1">
        <w:r w:rsidRPr="00511005">
          <w:rPr>
            <w:rFonts w:ascii="Arial" w:eastAsia="Calibri" w:hAnsi="Arial" w:cs="Arial"/>
            <w:noProof/>
            <w:szCs w:val="28"/>
            <w:lang w:val="uk-UA"/>
          </w:rPr>
          <w:t>https://zakon.rada.gov.ua/laws/show/4495-17#Text</w:t>
        </w:r>
      </w:hyperlink>
    </w:p>
    <w:p w14:paraId="7CBDAC16" w14:textId="77777777" w:rsidR="00220D3E" w:rsidRPr="00511005" w:rsidRDefault="00220D3E" w:rsidP="003A292D">
      <w:pPr>
        <w:spacing w:line="264" w:lineRule="auto"/>
        <w:ind w:firstLine="0"/>
        <w:contextualSpacing/>
        <w:rPr>
          <w:rFonts w:ascii="Arial" w:eastAsia="Calibri" w:hAnsi="Arial" w:cs="Arial"/>
          <w:noProof/>
          <w:szCs w:val="28"/>
          <w:lang w:val="uk-UA"/>
        </w:rPr>
      </w:pPr>
    </w:p>
    <w:p w14:paraId="137FBC36" w14:textId="7F9D2068" w:rsidR="00220D3E" w:rsidRPr="00511005" w:rsidRDefault="007B2628" w:rsidP="003A292D">
      <w:pPr>
        <w:spacing w:line="264" w:lineRule="auto"/>
        <w:ind w:firstLine="0"/>
        <w:contextualSpacing/>
        <w:rPr>
          <w:rFonts w:ascii="Arial" w:eastAsia="Calibri" w:hAnsi="Arial" w:cs="Arial"/>
          <w:b/>
          <w:noProof/>
          <w:szCs w:val="28"/>
          <w:lang w:val="uk-UA"/>
        </w:rPr>
      </w:pPr>
      <w:r w:rsidRPr="00511005">
        <w:rPr>
          <w:rFonts w:ascii="Arial" w:eastAsia="Calibri" w:hAnsi="Arial" w:cs="Arial"/>
          <w:b/>
          <w:i/>
          <w:noProof/>
          <w:szCs w:val="28"/>
          <w:lang w:val="uk-UA"/>
        </w:rPr>
        <w:t xml:space="preserve">Ключові слова: </w:t>
      </w:r>
      <w:r w:rsidR="00220D3E" w:rsidRPr="00511005">
        <w:rPr>
          <w:rFonts w:ascii="Arial" w:eastAsia="Times New Roman" w:hAnsi="Arial" w:cs="Arial"/>
          <w:noProof/>
          <w:szCs w:val="28"/>
          <w:lang w:val="uk-UA" w:eastAsia="ru-RU"/>
        </w:rPr>
        <w:t>митне законодавство, судова статистика, митні спори, правосуддя, зовнішньоекономічна діяльність, судова практика, правопорушення, митні правила.</w:t>
      </w:r>
    </w:p>
    <w:p w14:paraId="26640C9B" w14:textId="564FE6D3" w:rsidR="00220D3E" w:rsidRPr="00511005" w:rsidRDefault="007B2628" w:rsidP="003A292D">
      <w:pPr>
        <w:spacing w:line="264" w:lineRule="auto"/>
        <w:ind w:firstLine="0"/>
        <w:jc w:val="left"/>
        <w:rPr>
          <w:rFonts w:ascii="Arial" w:eastAsia="Times New Roman" w:hAnsi="Arial" w:cs="Arial"/>
          <w:szCs w:val="28"/>
          <w:lang w:val="uk-UA" w:eastAsia="ru-RU"/>
        </w:rPr>
      </w:pPr>
      <w:r w:rsidRPr="00511005">
        <w:rPr>
          <w:rFonts w:ascii="Arial" w:eastAsia="Calibri" w:hAnsi="Arial" w:cs="Arial"/>
          <w:b/>
          <w:i/>
          <w:noProof/>
          <w:szCs w:val="28"/>
          <w:lang w:val="uk-UA"/>
        </w:rPr>
        <w:t xml:space="preserve">Key words: </w:t>
      </w:r>
      <w:r w:rsidR="00220D3E" w:rsidRPr="00511005">
        <w:rPr>
          <w:rFonts w:ascii="Arial" w:eastAsia="Times New Roman" w:hAnsi="Arial" w:cs="Arial"/>
          <w:szCs w:val="28"/>
          <w:lang w:val="uk-UA" w:eastAsia="ru-RU"/>
        </w:rPr>
        <w:t>customs legislation, court statistics, customs disputes, justice, foreign economic activity, court practice, offenses, customs regulations.</w:t>
      </w:r>
    </w:p>
    <w:p w14:paraId="6744577E" w14:textId="440CDE52" w:rsidR="00220D3E" w:rsidRPr="00511005" w:rsidRDefault="007B2628" w:rsidP="003A292D">
      <w:pPr>
        <w:spacing w:line="264" w:lineRule="auto"/>
        <w:ind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220D3E" w:rsidRPr="00511005">
        <w:rPr>
          <w:rFonts w:ascii="Arial" w:eastAsia="Calibri" w:hAnsi="Arial" w:cs="Arial"/>
          <w:bCs/>
          <w:i/>
          <w:iCs/>
          <w:szCs w:val="28"/>
          <w:lang w:val="uk-UA"/>
        </w:rPr>
        <w:t>к.ю.н., доцент Батанова Л. О.</w:t>
      </w:r>
    </w:p>
    <w:p w14:paraId="43DD7E06" w14:textId="77777777" w:rsidR="00220D3E" w:rsidRPr="00511005" w:rsidRDefault="00220D3E" w:rsidP="003A292D">
      <w:pPr>
        <w:spacing w:line="264" w:lineRule="auto"/>
        <w:ind w:firstLine="0"/>
        <w:contextualSpacing/>
        <w:rPr>
          <w:rFonts w:ascii="Arial" w:eastAsia="Calibri" w:hAnsi="Arial" w:cs="Arial"/>
          <w:i/>
          <w:noProof/>
          <w:szCs w:val="28"/>
          <w:lang w:val="uk-UA"/>
        </w:rPr>
      </w:pPr>
    </w:p>
    <w:p w14:paraId="233892AF" w14:textId="77777777" w:rsidR="00220D3E" w:rsidRPr="00511005" w:rsidRDefault="00220D3E" w:rsidP="003A292D">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Бойко Альона Сергіївна</w:t>
      </w:r>
    </w:p>
    <w:p w14:paraId="4C6009A2" w14:textId="1B5E23C8" w:rsidR="00220D3E"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студентка 1-го курсу магістратури</w:t>
      </w:r>
      <w:r w:rsidR="007B2628" w:rsidRPr="00511005">
        <w:rPr>
          <w:rFonts w:ascii="Arial" w:eastAsia="Times New Roman" w:hAnsi="Arial" w:cs="Arial"/>
          <w:szCs w:val="28"/>
          <w:lang w:val="uk-UA"/>
        </w:rPr>
        <w:t xml:space="preserve"> факультету цивільної та господарської юстиції</w:t>
      </w:r>
      <w:r w:rsidR="00220D3E" w:rsidRPr="00511005">
        <w:rPr>
          <w:rFonts w:ascii="Arial" w:eastAsia="Times New Roman" w:hAnsi="Arial" w:cs="Arial"/>
          <w:szCs w:val="28"/>
          <w:lang w:val="uk-UA"/>
        </w:rPr>
        <w:t xml:space="preserve"> Національного університету « Одеська юридична академія»</w:t>
      </w:r>
    </w:p>
    <w:p w14:paraId="1B5E5F53" w14:textId="77777777" w:rsidR="00220D3E" w:rsidRPr="00511005" w:rsidRDefault="00220D3E" w:rsidP="003A292D">
      <w:pPr>
        <w:spacing w:line="264" w:lineRule="auto"/>
        <w:ind w:firstLine="0"/>
        <w:jc w:val="center"/>
        <w:rPr>
          <w:rFonts w:ascii="Arial" w:eastAsia="Times New Roman" w:hAnsi="Arial" w:cs="Arial"/>
          <w:b/>
          <w:bCs/>
          <w:szCs w:val="28"/>
          <w:lang w:val="uk-UA"/>
        </w:rPr>
      </w:pPr>
    </w:p>
    <w:p w14:paraId="0E7BB3F8" w14:textId="77777777" w:rsidR="00220D3E" w:rsidRPr="00511005" w:rsidRDefault="00220D3E"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ПРОБЛЕМИ ЗЛОВЖИВАННЯ «ЗРУЧНИМ ПРАПОРОМ»: ВИКЛИКИ ДЛЯ МІЖНАРОДНОГО МОРСЬКОГО ПРАВА ТА ШЛЯХИ ПОДОЛАННЯ</w:t>
      </w:r>
    </w:p>
    <w:p w14:paraId="3AB3E924"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Практика використання «зручного прапора» (англ. flag of convenience) передбачає реєстрацію суден у державах, що пропонують пільгові умови – низьке оподаткування, м’яке трудове та технічне регулювання, незалежно від національності чи місця розташування фактичного власника. За даними Міжнародної транспортної федерації (ITF), станом на 2024 рік понад 75% світового торговельного флоту перебуває під «зручними прапорами», зокрема Панами, Ліберії, Маршаллових Островів. Актуальність теми зростає у зв’язку з використанням таких суден у незаконних схемах: обході санкцій, торгівлі людьми, недотриманні екологічних норм. </w:t>
      </w:r>
    </w:p>
    <w:p w14:paraId="2303DED3"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Історично практика використання зручного прапора виникла після Другої світової війни. Уже у 1922 році США почали реєструвати судна в Панамі, щоб уникнути профспілкових вимог. Згодом Ліберія й Маршаллові Острови створили відкриті реєстри. Основою міжнародного регулювання є Конвенція ООН з морського права (UNCLOS, 1982), зокрема ст. 91, яка вимагає «реального зв’язку» між судном і державою прапора, та ст. 94 – про обов’язок такої держави здійснювати ефективну юрисдикцію й контроль [1]. Також важливими є: Конвенція МОП про працю в морському судноплавстві (MLC, 2006), яка встановлює мінімальні стандарти праці для моряків [2], а також конвенції MARPOL, SOLAS, STCW, що регулюють питання екології, технічного стану суден і підготовки екіпажів.</w:t>
      </w:r>
    </w:p>
    <w:p w14:paraId="668808D6"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Реєстрація суден у країнах з відкритими судновими реєстрами, що пропонують пільгові умови - є однією з найбільших проблем сучасного морського права. Такі держави приваблюють судновласників відсутністю податків, низькими вимогами до технічного стану суден, слабким контролем та формальним зв’язком між судном і державою. Це призводить до низки серйозних проблем.</w:t>
      </w:r>
    </w:p>
    <w:p w14:paraId="0BC7DED3"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По-перше, через використання зручного прапора судновласники масово ухиляються від податків і соціальних зобов’язань. Наприклад, Панама не оподатковує міжнародну судноплавну діяльність і не вимагає, щоб судновласник вів реальну економічну діяльність на її території. Це дозволяє компаніям уникати корпоративного оподаткування, не робити внески до пенсійних та соціальних фондів у країнах фактичної діяльності, а також ігнорувати трудове та екологічне законодавство. Така фінансова деформація ринку створює несправедливу конкуренцію та суперечить ст. 91 Конвенції ООН з морського права (UNCLOS), яка вимагає реального зв’язку між судном і державою прапора [1].</w:t>
      </w:r>
    </w:p>
    <w:p w14:paraId="0DBBF968"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По-друге, відкриті реєстри не забезпечують ефективного нагляду за дотриманням трудових прав екіпажу, що сприяє експлуатації моряків. Відомими є випадки невиплати зарплат, відсутності страхування, неналежних умов праці та життя на борту. Один із прикладів - судно MV Lidia під панамським прапором, екіпаж якого у 2022 році був покинутий у порту Александрії (Єгипет) без води, їжі й заробітної плати. Люди понад 6 тижнів виживали в нелюдських умовах, поки не втрутилася Міжнародна федерація транспортників (ITF). Панама як держава прапора відмовилася вживати будь-яких заходів. Це є прямим порушенням Конвенції МОП про працю в морському судноплавстві.</w:t>
      </w:r>
    </w:p>
    <w:p w14:paraId="7F5BB975"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Наступна серйозна проблема – забруднення довкілля. Власники суден часто ігнорують вимоги MARPOL (Міжнародної конвенції щодо запобігання забрудненню з суден), користуючись бездіяльністю держав прапора. Серед типових порушень – злив нафтопродуктів, використання неякісного палива, відсутність екологічного моніторингу. У серпні 2020 року суховантаж MV </w:t>
      </w:r>
      <w:r w:rsidRPr="00511005">
        <w:rPr>
          <w:rFonts w:ascii="Arial" w:eastAsia="Times New Roman" w:hAnsi="Arial" w:cs="Arial"/>
          <w:szCs w:val="28"/>
          <w:lang w:val="uk-UA"/>
        </w:rPr>
        <w:lastRenderedPageBreak/>
        <w:t>Wakashio під панамським прапором сів на мілину біля Маврикію, спричинивши витік понад 1 000 тонн нафти. Наслідком стала масштабна екологічна катастрофа. Розслідування виявило порушення безпеки, недостатню підготовку екіпажу та ігнорування технічних норм. Панамська влада не провела повноцінного розслідування і не компенсувала шкоду, попри відповідальність держави за судна під її прапором.</w:t>
      </w:r>
    </w:p>
    <w:p w14:paraId="7CE6C3EC"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Використання зручного прапора для обходу міжнародних санкцій та порушення норм безпеки є значною проблемою сьогодні. Судна навмисно вимикають систему AIS (Automatic Identification System), змінюють прапор під час рейсу або фальсифікують маршрути. У 2023 році TankerTrackers та ООН зафіксували, як танкери під прапором Маршаллових Островів регулярно вимикали AIS для доставки іранської нафти до Сирії – всупереч санкціям США, ЄС і ООН. Держава прапора проігнорувала ці факти, хоча відповідно до ст. 94 Конвенції ООН з морського права зобов’язана здійснювати ефективний контроль [1].</w:t>
      </w:r>
    </w:p>
    <w:p w14:paraId="3BF72FD8"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Також серйозною проблемою використання таких суден для торгівлі людьми, зброєю та наркотиками. Через формальність юрисдикції і відсутність правової співпраці, судна з відкритих реєстрів легко використовуються для нелегальної діяльності. У 2021 році ВМС США затримали судно Jihan 1 під прапором Танзанії, яке перевозило зброю для повстанців Хуті в Ємені. Танзанія відмовилася надати інформацію про судновласника, не ініціювала жодного розслідування і не захистила екіпаж [4]. Це свідчить про повну безвідповідальність держави прапора.</w:t>
      </w:r>
    </w:p>
    <w:p w14:paraId="14F335BB"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Проблеми ускладнюються явищем «держав-фантомів» таких як Панама, Ліберія чи Беліз, які мають обмежені ресурси та не здійснюють реального нагляду за флотом. Вони часто формально виконують ст. 94 Конвенції ООН з морського права, однак на практиці не контролюють судна. </w:t>
      </w:r>
      <w:r w:rsidRPr="00511005">
        <w:rPr>
          <w:rFonts w:ascii="Arial" w:eastAsia="Calibri" w:hAnsi="Arial" w:cs="Arial"/>
          <w:szCs w:val="28"/>
          <w:shd w:val="clear" w:color="auto" w:fill="FFFFFF"/>
          <w:lang w:val="uk-UA"/>
        </w:rPr>
        <w:t>Міжнародний трибунал ООН з морського права</w:t>
      </w:r>
      <w:r w:rsidRPr="00511005">
        <w:rPr>
          <w:rFonts w:ascii="Arial" w:eastAsia="Times New Roman" w:hAnsi="Arial" w:cs="Arial"/>
          <w:szCs w:val="28"/>
          <w:lang w:val="uk-UA"/>
        </w:rPr>
        <w:t xml:space="preserve"> неодноразово наголошував на тому, що відсутність «реального зв’язку» робить юрисдикцію держави прапора фіктивною [3].</w:t>
      </w:r>
    </w:p>
    <w:p w14:paraId="51610C9E"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Таким чином, зловживання практикою «зручного прапора» підриває принципи відповідального судноплавства, екологічної безпеки, прав моряків і міжнародної юрисдикції. Для протидії необхідне посилення міжнародного механізму перевірки виконання обов’язків державами прапора, зокрема, впровадження незалежного аудиту через</w:t>
      </w:r>
      <w:r w:rsidRPr="00511005">
        <w:rPr>
          <w:rFonts w:ascii="Arial" w:eastAsia="Calibri" w:hAnsi="Arial" w:cs="Arial"/>
          <w:szCs w:val="28"/>
          <w:shd w:val="clear" w:color="auto" w:fill="FFFFFF"/>
          <w:lang w:val="uk-UA"/>
        </w:rPr>
        <w:t xml:space="preserve"> Міжнародну морську організацію</w:t>
      </w:r>
      <w:r w:rsidRPr="00511005">
        <w:rPr>
          <w:rFonts w:ascii="Arial" w:eastAsia="Times New Roman" w:hAnsi="Arial" w:cs="Arial"/>
          <w:szCs w:val="28"/>
          <w:lang w:val="uk-UA"/>
        </w:rPr>
        <w:t xml:space="preserve">. Доцільним є реформування концепції «реального зв’язку», зокрема створення публічного реєстру фактичних власників суден, а також посилення ролі держав порту та розширення санкційного режиму проти «держав-фантомів». </w:t>
      </w:r>
    </w:p>
    <w:p w14:paraId="132DE065" w14:textId="77777777" w:rsidR="00220D3E" w:rsidRPr="00511005" w:rsidRDefault="00220D3E" w:rsidP="003A292D">
      <w:pPr>
        <w:spacing w:line="264" w:lineRule="auto"/>
        <w:ind w:firstLine="0"/>
        <w:jc w:val="center"/>
        <w:rPr>
          <w:rFonts w:ascii="Arial" w:eastAsia="Times New Roman" w:hAnsi="Arial" w:cs="Arial"/>
          <w:b/>
          <w:bCs/>
          <w:szCs w:val="28"/>
          <w:lang w:val="uk-UA"/>
        </w:rPr>
      </w:pPr>
    </w:p>
    <w:p w14:paraId="620631BF" w14:textId="0A01C126" w:rsidR="00220D3E"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22AF48ED" w14:textId="77777777" w:rsidR="00220D3E" w:rsidRPr="00511005" w:rsidRDefault="00220D3E" w:rsidP="003F6A5D">
      <w:pPr>
        <w:numPr>
          <w:ilvl w:val="0"/>
          <w:numId w:val="213"/>
        </w:numPr>
        <w:tabs>
          <w:tab w:val="left" w:pos="1134"/>
        </w:tabs>
        <w:spacing w:line="264" w:lineRule="auto"/>
        <w:ind w:left="357" w:firstLine="357"/>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Конвенція Організації Об’єднаних Націй з морського права від 10 грудня 1982 року. URL: </w:t>
      </w:r>
      <w:hyperlink r:id="rId734" w:history="1">
        <w:r w:rsidRPr="00511005">
          <w:rPr>
            <w:rFonts w:ascii="Arial" w:eastAsia="Calibri" w:hAnsi="Arial" w:cs="Arial"/>
            <w:szCs w:val="28"/>
            <w:lang w:val="uk-UA"/>
          </w:rPr>
          <w:t>https://www.un.org/depts/los/convention_agreements/texts/unclos/unclos_e.pdf</w:t>
        </w:r>
      </w:hyperlink>
    </w:p>
    <w:p w14:paraId="398D6C16" w14:textId="77777777" w:rsidR="00220D3E" w:rsidRPr="00511005" w:rsidRDefault="00220D3E" w:rsidP="003F6A5D">
      <w:pPr>
        <w:numPr>
          <w:ilvl w:val="0"/>
          <w:numId w:val="213"/>
        </w:numPr>
        <w:tabs>
          <w:tab w:val="left" w:pos="1134"/>
        </w:tabs>
        <w:spacing w:line="264" w:lineRule="auto"/>
        <w:ind w:left="357" w:firstLine="357"/>
        <w:contextualSpacing/>
        <w:jc w:val="left"/>
        <w:rPr>
          <w:rFonts w:ascii="Arial" w:eastAsia="Calibri" w:hAnsi="Arial" w:cs="Arial"/>
          <w:szCs w:val="28"/>
          <w:lang w:val="uk-UA"/>
        </w:rPr>
      </w:pPr>
      <w:r w:rsidRPr="00511005">
        <w:rPr>
          <w:rFonts w:ascii="Arial" w:eastAsia="Calibri" w:hAnsi="Arial" w:cs="Arial"/>
          <w:szCs w:val="28"/>
          <w:lang w:val="uk-UA"/>
        </w:rPr>
        <w:t xml:space="preserve">Конвенція про працю в морському судноплавстві, 2006 р. (MLC, 2006). Міжнародна організація праці (МОП). URL: </w:t>
      </w:r>
      <w:hyperlink r:id="rId735" w:history="1">
        <w:r w:rsidRPr="00511005">
          <w:rPr>
            <w:rFonts w:ascii="Arial" w:eastAsia="Calibri" w:hAnsi="Arial" w:cs="Arial"/>
            <w:szCs w:val="28"/>
            <w:lang w:val="uk-UA"/>
          </w:rPr>
          <w:t>https://normlex.ilo.org/dyn/nrmlx_en/f?p=1000:11110:0::NO:11110:P11110_COUNTRY_ID,P11110_CONTEXT:102867,SC</w:t>
        </w:r>
      </w:hyperlink>
      <w:r w:rsidRPr="00511005">
        <w:rPr>
          <w:rFonts w:ascii="Arial" w:eastAsia="Calibri" w:hAnsi="Arial" w:cs="Arial"/>
          <w:szCs w:val="28"/>
          <w:lang w:val="uk-UA"/>
        </w:rPr>
        <w:t xml:space="preserve"> </w:t>
      </w:r>
    </w:p>
    <w:p w14:paraId="0178667B" w14:textId="77777777" w:rsidR="00220D3E" w:rsidRPr="00511005" w:rsidRDefault="00220D3E" w:rsidP="003F6A5D">
      <w:pPr>
        <w:numPr>
          <w:ilvl w:val="0"/>
          <w:numId w:val="213"/>
        </w:numPr>
        <w:tabs>
          <w:tab w:val="left" w:pos="1134"/>
        </w:tabs>
        <w:spacing w:line="264" w:lineRule="auto"/>
        <w:ind w:left="357" w:firstLine="357"/>
        <w:contextualSpacing/>
        <w:jc w:val="left"/>
        <w:rPr>
          <w:rFonts w:ascii="Arial" w:eastAsia="Calibri" w:hAnsi="Arial" w:cs="Arial"/>
          <w:szCs w:val="28"/>
          <w:lang w:val="uk-UA"/>
        </w:rPr>
      </w:pPr>
      <w:r w:rsidRPr="00511005">
        <w:rPr>
          <w:rFonts w:ascii="Arial" w:eastAsia="Calibri" w:hAnsi="Arial" w:cs="Arial"/>
          <w:szCs w:val="28"/>
          <w:lang w:val="uk-UA"/>
        </w:rPr>
        <w:t xml:space="preserve">Міжнародний трибунал з морського права. Справа №2: «M/V “Saiga” (№2)» (Saint Vincent and the Grenadines v. Guinea), рішення від 1 липня 1999 року. URL: </w:t>
      </w:r>
      <w:hyperlink r:id="rId736" w:tgtFrame="_new" w:history="1">
        <w:r w:rsidRPr="00511005">
          <w:rPr>
            <w:rFonts w:ascii="Arial" w:eastAsia="Calibri" w:hAnsi="Arial" w:cs="Arial"/>
            <w:szCs w:val="28"/>
            <w:lang w:val="uk-UA"/>
          </w:rPr>
          <w:t>https://www.itlos.org/en/main/cases/list-of-cases/case-no-2/</w:t>
        </w:r>
      </w:hyperlink>
    </w:p>
    <w:p w14:paraId="03003209" w14:textId="77777777" w:rsidR="00220D3E" w:rsidRPr="00511005" w:rsidRDefault="00220D3E" w:rsidP="003F6A5D">
      <w:pPr>
        <w:numPr>
          <w:ilvl w:val="0"/>
          <w:numId w:val="213"/>
        </w:numPr>
        <w:tabs>
          <w:tab w:val="left" w:pos="1134"/>
        </w:tabs>
        <w:spacing w:line="264" w:lineRule="auto"/>
        <w:ind w:left="357" w:firstLine="357"/>
        <w:contextualSpacing/>
        <w:jc w:val="left"/>
        <w:rPr>
          <w:rFonts w:ascii="Arial" w:eastAsia="Calibri" w:hAnsi="Arial" w:cs="Arial"/>
          <w:szCs w:val="28"/>
          <w:lang w:val="uk-UA"/>
        </w:rPr>
      </w:pPr>
      <w:r w:rsidRPr="00511005">
        <w:rPr>
          <w:rFonts w:ascii="Arial" w:eastAsia="Calibri" w:hAnsi="Arial" w:cs="Arial"/>
          <w:szCs w:val="28"/>
          <w:lang w:val="uk-UA"/>
        </w:rPr>
        <w:t xml:space="preserve">2024: найгірший рік за кількістю покинутих моряків. ITF. 2024. URL: </w:t>
      </w:r>
      <w:hyperlink r:id="rId737" w:tgtFrame="_new" w:history="1">
        <w:r w:rsidRPr="00511005">
          <w:rPr>
            <w:rFonts w:ascii="Arial" w:eastAsia="Calibri" w:hAnsi="Arial" w:cs="Arial"/>
            <w:szCs w:val="28"/>
            <w:lang w:val="uk-UA"/>
          </w:rPr>
          <w:t>https://www.itfseafarers.org/en/news/2024-worst-year-record-seafarer-abandonment-says-itf</w:t>
        </w:r>
      </w:hyperlink>
    </w:p>
    <w:p w14:paraId="398C4356" w14:textId="77777777" w:rsidR="00220D3E" w:rsidRPr="00511005" w:rsidRDefault="00220D3E" w:rsidP="003A292D">
      <w:pPr>
        <w:spacing w:line="264" w:lineRule="auto"/>
        <w:ind w:firstLine="0"/>
        <w:jc w:val="left"/>
        <w:rPr>
          <w:rFonts w:ascii="Arial" w:eastAsia="Calibri" w:hAnsi="Arial" w:cs="Arial"/>
          <w:szCs w:val="28"/>
          <w:lang w:val="uk-UA"/>
        </w:rPr>
      </w:pPr>
    </w:p>
    <w:p w14:paraId="550004D4" w14:textId="4665EE39"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iCs/>
          <w:szCs w:val="28"/>
          <w:lang w:val="uk-UA"/>
        </w:rPr>
        <w:t xml:space="preserve">Ключові слова: </w:t>
      </w:r>
      <w:r w:rsidR="00220D3E" w:rsidRPr="00511005">
        <w:rPr>
          <w:rFonts w:ascii="Arial" w:eastAsia="Calibri" w:hAnsi="Arial" w:cs="Arial"/>
          <w:szCs w:val="28"/>
          <w:lang w:val="uk-UA"/>
        </w:rPr>
        <w:t>зручний прапор, відкритий реєстр, морське право, держава прапора UNCLOS, експлуатація моряків, санкції, міжнародна відповідальність, нелегальна діяльність.</w:t>
      </w:r>
    </w:p>
    <w:p w14:paraId="7CC62EA6" w14:textId="71055168"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iCs/>
          <w:szCs w:val="28"/>
          <w:lang w:val="uk-UA"/>
        </w:rPr>
        <w:t xml:space="preserve">Key words: </w:t>
      </w:r>
      <w:r w:rsidR="00220D3E" w:rsidRPr="00511005">
        <w:rPr>
          <w:rFonts w:ascii="Arial" w:eastAsia="Calibri" w:hAnsi="Arial" w:cs="Arial"/>
          <w:szCs w:val="28"/>
          <w:lang w:val="uk-UA"/>
        </w:rPr>
        <w:t>flag of convenience, open registry, maritime law, flag state UNCLOS, exploitation of seafarers, sanctions, international liability, illegal activities.</w:t>
      </w:r>
    </w:p>
    <w:p w14:paraId="59F89D40" w14:textId="3FEEA659" w:rsidR="00220D3E" w:rsidRPr="00511005" w:rsidRDefault="007B2628" w:rsidP="003A292D">
      <w:pPr>
        <w:spacing w:line="264" w:lineRule="auto"/>
        <w:ind w:firstLine="0"/>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220D3E" w:rsidRPr="00511005">
        <w:rPr>
          <w:rFonts w:ascii="Arial" w:eastAsia="Calibri" w:hAnsi="Arial" w:cs="Arial"/>
          <w:i/>
          <w:iCs/>
          <w:szCs w:val="28"/>
          <w:shd w:val="clear" w:color="auto" w:fill="FFFFFF"/>
          <w:lang w:val="uk-UA"/>
        </w:rPr>
        <w:t xml:space="preserve">к.ю.н., доцент, Малєєва Г. Л. </w:t>
      </w:r>
    </w:p>
    <w:p w14:paraId="31B57F56" w14:textId="77777777" w:rsidR="00220D3E" w:rsidRPr="00511005" w:rsidRDefault="00220D3E" w:rsidP="003A292D">
      <w:pPr>
        <w:spacing w:line="264" w:lineRule="auto"/>
        <w:ind w:firstLine="0"/>
        <w:rPr>
          <w:rFonts w:ascii="Arial" w:eastAsiaTheme="minorHAnsi" w:hAnsi="Arial" w:cs="Arial"/>
          <w:szCs w:val="28"/>
          <w:lang w:val="uk-UA"/>
        </w:rPr>
      </w:pPr>
    </w:p>
    <w:p w14:paraId="1AE2CCFA" w14:textId="77777777" w:rsidR="00220D3E" w:rsidRPr="00511005" w:rsidRDefault="00220D3E" w:rsidP="003A292D">
      <w:pPr>
        <w:spacing w:line="264" w:lineRule="auto"/>
        <w:ind w:firstLine="0"/>
        <w:rPr>
          <w:rFonts w:ascii="Arial" w:eastAsiaTheme="minorHAnsi" w:hAnsi="Arial" w:cs="Arial"/>
          <w:szCs w:val="28"/>
          <w:lang w:val="uk-UA"/>
        </w:rPr>
      </w:pPr>
    </w:p>
    <w:p w14:paraId="09DE5848" w14:textId="77777777" w:rsidR="00220D3E" w:rsidRPr="00511005" w:rsidRDefault="00220D3E" w:rsidP="003A292D">
      <w:pPr>
        <w:spacing w:line="264" w:lineRule="auto"/>
        <w:ind w:firstLine="0"/>
        <w:rPr>
          <w:rFonts w:ascii="Arial" w:eastAsiaTheme="minorHAnsi" w:hAnsi="Arial" w:cs="Arial"/>
          <w:szCs w:val="28"/>
          <w:lang w:val="uk-UA"/>
        </w:rPr>
      </w:pPr>
    </w:p>
    <w:p w14:paraId="31ED843F" w14:textId="77777777" w:rsidR="00220D3E" w:rsidRPr="00511005" w:rsidRDefault="00220D3E" w:rsidP="003A292D">
      <w:pPr>
        <w:spacing w:line="264" w:lineRule="auto"/>
        <w:ind w:firstLine="0"/>
        <w:jc w:val="center"/>
        <w:rPr>
          <w:rFonts w:ascii="Arial" w:eastAsiaTheme="minorHAnsi" w:hAnsi="Arial" w:cs="Arial"/>
          <w:b/>
          <w:i/>
          <w:szCs w:val="28"/>
          <w:lang w:val="uk-UA"/>
        </w:rPr>
      </w:pPr>
      <w:r w:rsidRPr="00511005">
        <w:rPr>
          <w:rFonts w:ascii="Arial" w:eastAsiaTheme="minorHAnsi" w:hAnsi="Arial" w:cs="Arial"/>
          <w:b/>
          <w:i/>
          <w:szCs w:val="28"/>
          <w:lang w:val="uk-UA"/>
        </w:rPr>
        <w:t>Бойченко Юлія Владиславівна</w:t>
      </w:r>
    </w:p>
    <w:p w14:paraId="7FF7204D" w14:textId="5D6E2648" w:rsidR="00220D3E" w:rsidRPr="00511005" w:rsidRDefault="00536AAB"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студентка 1-го курсу магістратури</w:t>
      </w:r>
      <w:r w:rsidR="00BE3972" w:rsidRPr="00511005">
        <w:rPr>
          <w:rFonts w:ascii="Arial" w:eastAsiaTheme="minorHAnsi" w:hAnsi="Arial" w:cs="Arial"/>
          <w:szCs w:val="28"/>
          <w:lang w:val="uk-UA"/>
        </w:rPr>
        <w:t xml:space="preserve"> </w:t>
      </w:r>
      <w:r w:rsidR="001B7B25" w:rsidRPr="00511005">
        <w:rPr>
          <w:rFonts w:ascii="Arial" w:eastAsiaTheme="minorHAnsi" w:hAnsi="Arial" w:cs="Arial"/>
          <w:szCs w:val="28"/>
          <w:lang w:val="uk-UA"/>
        </w:rPr>
        <w:t>факультету судового та міжнародного права</w:t>
      </w:r>
      <w:r w:rsidR="00220D3E" w:rsidRPr="00511005">
        <w:rPr>
          <w:rFonts w:ascii="Arial" w:eastAsiaTheme="minorHAnsi" w:hAnsi="Arial" w:cs="Arial"/>
          <w:szCs w:val="28"/>
          <w:lang w:val="uk-UA"/>
        </w:rPr>
        <w:t xml:space="preserve"> </w:t>
      </w:r>
      <w:r w:rsidR="007B2628" w:rsidRPr="00511005">
        <w:rPr>
          <w:rFonts w:ascii="Arial" w:eastAsiaTheme="minorHAnsi" w:hAnsi="Arial" w:cs="Arial"/>
          <w:szCs w:val="28"/>
          <w:lang w:val="uk-UA"/>
        </w:rPr>
        <w:t>Національного університету «Одеська юридична академія»</w:t>
      </w:r>
    </w:p>
    <w:p w14:paraId="469F2BC0" w14:textId="77777777" w:rsidR="00220D3E" w:rsidRPr="00511005" w:rsidRDefault="00220D3E" w:rsidP="003A292D">
      <w:pPr>
        <w:spacing w:line="264" w:lineRule="auto"/>
        <w:ind w:firstLine="0"/>
        <w:jc w:val="center"/>
        <w:rPr>
          <w:rFonts w:ascii="Arial" w:eastAsiaTheme="minorHAnsi" w:hAnsi="Arial" w:cs="Arial"/>
          <w:szCs w:val="28"/>
          <w:lang w:val="uk-UA"/>
        </w:rPr>
      </w:pPr>
    </w:p>
    <w:p w14:paraId="635E2F4D" w14:textId="77777777" w:rsidR="00220D3E" w:rsidRPr="00511005" w:rsidRDefault="00220D3E" w:rsidP="003A292D">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ЗАБЕЗПЕЧЕННЯ БЕЗПЕКИ МОРСЬКИХ ПОРТІВ ПІД ЧАС ВІЙНИ</w:t>
      </w:r>
    </w:p>
    <w:p w14:paraId="2F4992E9"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Військові дії в Україні значно вплинули на діяльність портів. Війна створює ряд ризиків, що унеможливлюють стабільну і безпечну роботу наших портів.</w:t>
      </w:r>
    </w:p>
    <w:p w14:paraId="3495CABD"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На території України розташовано 18 морських портів, серед яких 13 – на континентальній частині (Ізмаїл, Рені, Усть-Дунайськ, Одеса, Білгород-Дністровський, Чорноморськ, Південний, Херсон, Ольвія, Миколаїв, Бердянськ, Скадовськ, Маріуполь) та 5 – на тимчасово окупованій території Автономної Республіки Крим (Севастополь, Керч, Феодосія, Євпаторія та Ялта) [2].</w:t>
      </w:r>
    </w:p>
    <w:p w14:paraId="718F832F"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Через тимчасова окупацію Криму з 2014 року закрито всі 5 портів, що знаходяться на півострові. Після початку повномасштабного вторгнення з 2022 року було закрито ще 4 порти, які наразі також перебувають в окупації. </w:t>
      </w:r>
    </w:p>
    <w:p w14:paraId="29A889B4"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lastRenderedPageBreak/>
        <w:t>Дестабілізація роботи портів негативно впливає в першу чергу на економіку. Зменшення експорту товарів впливає на надходження коштів до бюджету, що в умовах війни, коли багато коштів в першу чергу йде на забезпечення армії, може мати катастрофічний характер. Також, зменшення надходження товарів з України може призвести до удару по світовій економіці.</w:t>
      </w:r>
    </w:p>
    <w:p w14:paraId="41B779F5"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За оцінками Світової організації торгівлі, війна в Україні заподіяла світовій економіці вагомого удару, оскільки призвела до підвищення цін на продовольство та до зменшення доступності товарів, які експортуються Україною. Найбільший вияв глобального ефекту від воєнних дій в нашій країні спостерігається на ринку зернових. Зменшення кількості постачання зерна та інших продовольчих товарів стало причиною підвищення цін на сільськогосподарські товари, що посилило ризики для продовольчої безпеки в бідніших регіонах світу [1]. </w:t>
      </w:r>
    </w:p>
    <w:p w14:paraId="36CE955B" w14:textId="77777777" w:rsidR="00220D3E" w:rsidRPr="00511005" w:rsidRDefault="00220D3E" w:rsidP="003A292D">
      <w:pPr>
        <w:spacing w:line="264" w:lineRule="auto"/>
        <w:ind w:firstLine="0"/>
        <w:rPr>
          <w:rFonts w:ascii="Arial" w:eastAsiaTheme="minorHAnsi" w:hAnsi="Arial" w:cs="Arial"/>
          <w:bCs/>
          <w:szCs w:val="28"/>
          <w:lang w:val="uk-UA"/>
        </w:rPr>
      </w:pPr>
      <w:r w:rsidRPr="00511005">
        <w:rPr>
          <w:rFonts w:ascii="Arial" w:eastAsiaTheme="minorHAnsi" w:hAnsi="Arial" w:cs="Arial"/>
          <w:szCs w:val="28"/>
          <w:lang w:val="uk-UA"/>
        </w:rPr>
        <w:t xml:space="preserve">З метою безпечного транспортування з портів України зерна та інших продуктів в липні 2022 року було створено </w:t>
      </w:r>
      <w:r w:rsidRPr="00511005">
        <w:rPr>
          <w:rFonts w:ascii="Arial" w:eastAsiaTheme="minorHAnsi" w:hAnsi="Arial" w:cs="Arial"/>
          <w:bCs/>
          <w:szCs w:val="28"/>
          <w:lang w:val="uk-UA"/>
        </w:rPr>
        <w:t xml:space="preserve">Чорноморську зернову ініціативу. По суті це два окремих документи – угода, укладена між Україною та Організацією Об’єднаних Націй за участі Туреччини та угода, що укладалася між Росією та Організацією Об’єднаних Націй за участі Туреччини. Відповідно до угод судна безперешкодно проходять Чорним морем через спеціально створені розміновані коридори. </w:t>
      </w:r>
    </w:p>
    <w:p w14:paraId="2E44865F" w14:textId="77777777" w:rsidR="00220D3E" w:rsidRPr="00511005" w:rsidRDefault="00220D3E" w:rsidP="003A292D">
      <w:pPr>
        <w:spacing w:line="264" w:lineRule="auto"/>
        <w:ind w:firstLine="0"/>
        <w:rPr>
          <w:rFonts w:ascii="Arial" w:eastAsiaTheme="minorHAnsi" w:hAnsi="Arial" w:cs="Arial"/>
          <w:bCs/>
          <w:szCs w:val="28"/>
          <w:lang w:val="uk-UA"/>
        </w:rPr>
      </w:pPr>
      <w:r w:rsidRPr="00511005">
        <w:rPr>
          <w:rFonts w:ascii="Arial" w:eastAsiaTheme="minorHAnsi" w:hAnsi="Arial" w:cs="Arial"/>
          <w:bCs/>
          <w:szCs w:val="28"/>
          <w:lang w:val="uk-UA"/>
        </w:rPr>
        <w:t xml:space="preserve">Проте, Ініціатива так і не змогла забезпечити безпечне проходження суден до українських портів. За час дії «зернового коридору» було пошкоджено два судна. В одне влучила ракет під час підходу до порту, інше – підірвалося на морській міні. </w:t>
      </w:r>
      <w:r w:rsidRPr="00511005">
        <w:rPr>
          <w:rFonts w:ascii="Arial" w:eastAsiaTheme="minorHAnsi" w:hAnsi="Arial" w:cs="Arial"/>
          <w:szCs w:val="28"/>
          <w:lang w:val="uk-UA"/>
        </w:rPr>
        <w:t xml:space="preserve">Через рік після дії угод Росія вийшла з ініціативи. </w:t>
      </w:r>
    </w:p>
    <w:p w14:paraId="15E3BAD6"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Майже одразу після припинення дії угод, Україна почала розглядати можливості транспортування зерна територіальними водами сусідніх держав. Україна розробила ряд механізмів для забезпечення експорту товарів: Україна, Туреччина і Болгарія домовились створити тристоронній механізм очищення моря від мін; для організації нового морського коридору Україна прийняла зміни до системи розподілу трафіку [5].</w:t>
      </w:r>
    </w:p>
    <w:p w14:paraId="5C8372CA" w14:textId="77777777" w:rsidR="00220D3E" w:rsidRPr="00511005" w:rsidRDefault="00220D3E" w:rsidP="003A292D">
      <w:pPr>
        <w:spacing w:line="264" w:lineRule="auto"/>
        <w:ind w:firstLine="0"/>
        <w:rPr>
          <w:rFonts w:ascii="Arial" w:eastAsiaTheme="minorHAnsi" w:hAnsi="Arial" w:cs="Arial"/>
          <w:bCs/>
          <w:szCs w:val="28"/>
          <w:lang w:val="uk-UA"/>
        </w:rPr>
      </w:pPr>
      <w:r w:rsidRPr="00511005">
        <w:rPr>
          <w:rFonts w:ascii="Arial" w:eastAsiaTheme="minorHAnsi" w:hAnsi="Arial" w:cs="Arial"/>
          <w:bCs/>
          <w:szCs w:val="28"/>
          <w:lang w:val="uk-UA"/>
        </w:rPr>
        <w:t>Для забезпечення сталої роботи українських портів необхідним є не тільки належне забезпечення безпеки їх роботи, а також умови виплати компенсацій, у разі завдання шкоди через воєнні дії.</w:t>
      </w:r>
    </w:p>
    <w:p w14:paraId="39D7A16D" w14:textId="77777777" w:rsidR="00220D3E" w:rsidRPr="00511005" w:rsidRDefault="00220D3E" w:rsidP="003A292D">
      <w:pPr>
        <w:spacing w:line="264" w:lineRule="auto"/>
        <w:ind w:firstLine="0"/>
        <w:rPr>
          <w:rFonts w:ascii="Arial" w:eastAsiaTheme="minorHAnsi" w:hAnsi="Arial" w:cs="Arial"/>
          <w:bCs/>
          <w:szCs w:val="28"/>
          <w:lang w:val="uk-UA"/>
        </w:rPr>
      </w:pPr>
      <w:r w:rsidRPr="00511005">
        <w:rPr>
          <w:rFonts w:ascii="Arial" w:eastAsiaTheme="minorHAnsi" w:hAnsi="Arial" w:cs="Arial"/>
          <w:bCs/>
          <w:szCs w:val="28"/>
          <w:lang w:val="uk-UA"/>
        </w:rPr>
        <w:t>У травні 2023 року, з огляду на зростаюче небажання страховиків співпрацювати з судновласниками в регіоні, український уряд затвердив Порядок надання гарантій відшкодування шкоди, заподіяної фрахтувальникам, операторам та/або власникам суден морського та внутрішнього плавання внаслідок збройної агресії Російської Федерації, який поширюється на судна, що плавають під прапором України та прапорами іноземних держав [4; 5].</w:t>
      </w:r>
    </w:p>
    <w:p w14:paraId="2058979C" w14:textId="77777777" w:rsidR="00220D3E" w:rsidRPr="00511005" w:rsidRDefault="00220D3E" w:rsidP="003A292D">
      <w:pPr>
        <w:spacing w:line="264" w:lineRule="auto"/>
        <w:ind w:firstLine="0"/>
        <w:rPr>
          <w:rFonts w:ascii="Arial" w:eastAsiaTheme="minorHAnsi" w:hAnsi="Arial" w:cs="Arial"/>
          <w:bCs/>
          <w:szCs w:val="28"/>
          <w:lang w:val="uk-UA"/>
        </w:rPr>
      </w:pPr>
      <w:r w:rsidRPr="00511005">
        <w:rPr>
          <w:rFonts w:ascii="Arial" w:eastAsiaTheme="minorHAnsi" w:hAnsi="Arial" w:cs="Arial"/>
          <w:bCs/>
          <w:szCs w:val="28"/>
          <w:lang w:val="uk-UA"/>
        </w:rPr>
        <w:t xml:space="preserve">У березні 2024 року було затверджено другий Порядок надання гарантій відшкодування шкоди. Обидва документа стосуються випадків, коли шкоду </w:t>
      </w:r>
      <w:r w:rsidRPr="00511005">
        <w:rPr>
          <w:rFonts w:ascii="Arial" w:eastAsiaTheme="minorHAnsi" w:hAnsi="Arial" w:cs="Arial"/>
          <w:bCs/>
          <w:szCs w:val="28"/>
          <w:lang w:val="uk-UA"/>
        </w:rPr>
        <w:lastRenderedPageBreak/>
        <w:t>було заподіяно в територіальному морі України, за інших обставин – компенсаційних виплат не передбачено.</w:t>
      </w:r>
    </w:p>
    <w:p w14:paraId="01BCFA51"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З метою запобігання та ефективного реагування на загрози морській безпеці 17 липня 2024 року Президент України своїм указом затвердив Стратегію морської безпеки України. Серед очікуваних результатів від реалізації стратегії є: ефективне використання морських просторів та річок України; забезпечення умов для зупинення агресії Російської Федерації, створення умов ефективної міжнародної співпраці з питань національної безпеки України у сферах морської та річкової діяльності</w:t>
      </w:r>
      <w:bookmarkStart w:id="83" w:name="n152"/>
      <w:bookmarkEnd w:id="83"/>
      <w:r w:rsidRPr="00511005">
        <w:rPr>
          <w:rFonts w:ascii="Arial" w:eastAsiaTheme="minorHAnsi" w:hAnsi="Arial" w:cs="Arial"/>
          <w:szCs w:val="28"/>
          <w:lang w:val="uk-UA"/>
        </w:rPr>
        <w:t xml:space="preserve"> та зміцнення морської безпеки не тільки України, а й всього регіону Чорного моря та Середземномор’я [3].</w:t>
      </w:r>
    </w:p>
    <w:p w14:paraId="49DBA335"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Військові дії в України ускладнюють роботу портів України та сприяли закриттю частини з них. Держава прикладає зусиль для забезпечення безпечного функціонування портів, які наразі функціонують, шляхом укладання угод з іноземними державами та розробкою нормативно-правових актів. </w:t>
      </w:r>
    </w:p>
    <w:p w14:paraId="0A11016D" w14:textId="77777777" w:rsidR="00220D3E" w:rsidRPr="00511005" w:rsidRDefault="00220D3E" w:rsidP="003A292D">
      <w:pPr>
        <w:spacing w:line="264" w:lineRule="auto"/>
        <w:ind w:firstLine="0"/>
        <w:jc w:val="center"/>
        <w:rPr>
          <w:rFonts w:ascii="Arial" w:eastAsiaTheme="minorHAnsi" w:hAnsi="Arial" w:cs="Arial"/>
          <w:b/>
          <w:bCs/>
          <w:szCs w:val="28"/>
          <w:lang w:val="uk-UA"/>
        </w:rPr>
      </w:pPr>
    </w:p>
    <w:p w14:paraId="49705C8F" w14:textId="5314A525" w:rsidR="00220D3E" w:rsidRPr="00511005" w:rsidRDefault="007B2628" w:rsidP="007B2628">
      <w:pPr>
        <w:spacing w:line="264" w:lineRule="auto"/>
        <w:ind w:firstLine="0"/>
        <w:jc w:val="center"/>
        <w:rPr>
          <w:rFonts w:ascii="Arial" w:eastAsiaTheme="minorHAnsi" w:hAnsi="Arial" w:cs="Arial"/>
          <w:b/>
          <w:bCs/>
          <w:szCs w:val="28"/>
          <w:lang w:val="uk-UA"/>
        </w:rPr>
      </w:pPr>
      <w:r w:rsidRPr="00511005">
        <w:rPr>
          <w:rFonts w:ascii="Arial" w:eastAsiaTheme="minorHAnsi" w:hAnsi="Arial" w:cs="Arial"/>
          <w:b/>
          <w:bCs/>
          <w:szCs w:val="28"/>
          <w:lang w:val="uk-UA"/>
        </w:rPr>
        <w:t>Список використаних джерел</w:t>
      </w:r>
    </w:p>
    <w:p w14:paraId="769BA8FF" w14:textId="77777777" w:rsidR="00220D3E" w:rsidRPr="00511005" w:rsidRDefault="00220D3E" w:rsidP="003F6A5D">
      <w:pPr>
        <w:numPr>
          <w:ilvl w:val="0"/>
          <w:numId w:val="214"/>
        </w:numPr>
        <w:tabs>
          <w:tab w:val="left" w:pos="1134"/>
        </w:tabs>
        <w:spacing w:line="264" w:lineRule="auto"/>
        <w:ind w:left="0" w:firstLine="774"/>
        <w:jc w:val="left"/>
        <w:rPr>
          <w:rFonts w:ascii="Arial" w:eastAsiaTheme="minorHAnsi" w:hAnsi="Arial" w:cs="Arial"/>
          <w:szCs w:val="28"/>
          <w:lang w:val="uk-UA"/>
        </w:rPr>
      </w:pPr>
      <w:r w:rsidRPr="00511005">
        <w:rPr>
          <w:rFonts w:ascii="Arial" w:eastAsiaTheme="minorHAnsi" w:hAnsi="Arial" w:cs="Arial"/>
          <w:szCs w:val="28"/>
          <w:lang w:val="uk-UA"/>
        </w:rPr>
        <w:t xml:space="preserve">Пилипенко О. Вплив війни на зовнішню торгівлю України. </w:t>
      </w:r>
      <w:r w:rsidRPr="00511005">
        <w:rPr>
          <w:rFonts w:ascii="Arial" w:eastAsiaTheme="minorHAnsi" w:hAnsi="Arial" w:cs="Arial"/>
          <w:i/>
          <w:szCs w:val="28"/>
          <w:lang w:val="uk-UA"/>
        </w:rPr>
        <w:t>Правові, економічні та соціокультурні засади регулювання суспільних відносин: сучасні реалії та виклики часу</w:t>
      </w:r>
      <w:r w:rsidRPr="00511005">
        <w:rPr>
          <w:rFonts w:ascii="Arial" w:eastAsiaTheme="minorHAnsi" w:hAnsi="Arial" w:cs="Arial"/>
          <w:szCs w:val="28"/>
          <w:lang w:val="uk-UA"/>
        </w:rPr>
        <w:t xml:space="preserve">: збірник матеріалів VI Всеукр. наук.-практ. конф. з міжн. участю (м. Полтава, 11-12 груд. 2024 р.). Полтава: ПІЕП, 2025. 316 с. URL: </w:t>
      </w:r>
      <w:hyperlink r:id="rId738" w:history="1">
        <w:r w:rsidRPr="00511005">
          <w:rPr>
            <w:rFonts w:ascii="Arial" w:eastAsiaTheme="minorHAnsi" w:hAnsi="Arial" w:cs="Arial"/>
            <w:szCs w:val="28"/>
            <w:lang w:val="uk-UA"/>
          </w:rPr>
          <w:t>https://surl.lu/vxhyvw</w:t>
        </w:r>
      </w:hyperlink>
    </w:p>
    <w:p w14:paraId="4CAF30AD" w14:textId="77777777" w:rsidR="00220D3E" w:rsidRPr="00511005" w:rsidRDefault="00220D3E" w:rsidP="003F6A5D">
      <w:pPr>
        <w:numPr>
          <w:ilvl w:val="0"/>
          <w:numId w:val="214"/>
        </w:numPr>
        <w:tabs>
          <w:tab w:val="left" w:pos="1134"/>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t xml:space="preserve">Про затвердження Стратегії розвитку морських портів України на період до 2038 року : Розпорядження Кабінету Міністрів України від 11 липня 2013 р. № 548-р. URL: </w:t>
      </w:r>
      <w:hyperlink r:id="rId739" w:anchor="Text" w:history="1">
        <w:r w:rsidRPr="00511005">
          <w:rPr>
            <w:rFonts w:ascii="Arial" w:eastAsiaTheme="minorHAnsi" w:hAnsi="Arial" w:cs="Arial"/>
            <w:szCs w:val="28"/>
            <w:lang w:val="uk-UA"/>
          </w:rPr>
          <w:t>https://zakon.rada.gov.ua/laws/show/548-2013-%D1%80#Text</w:t>
        </w:r>
      </w:hyperlink>
    </w:p>
    <w:p w14:paraId="77EB485E" w14:textId="77777777" w:rsidR="00220D3E" w:rsidRPr="00511005" w:rsidRDefault="00220D3E" w:rsidP="003F6A5D">
      <w:pPr>
        <w:numPr>
          <w:ilvl w:val="0"/>
          <w:numId w:val="214"/>
        </w:numPr>
        <w:tabs>
          <w:tab w:val="left" w:pos="1134"/>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t xml:space="preserve">Про рішення Ради національної безпеки і оборони України від 17 липня 2024 року «Про Стратегію морської безпеки України»: Указ Президента України від 17 липня 2024 року № 468/2024. URL: </w:t>
      </w:r>
      <w:hyperlink r:id="rId740" w:anchor="Text" w:history="1">
        <w:r w:rsidRPr="00511005">
          <w:rPr>
            <w:rFonts w:ascii="Arial" w:eastAsiaTheme="minorHAnsi" w:hAnsi="Arial" w:cs="Arial"/>
            <w:szCs w:val="28"/>
            <w:lang w:val="uk-UA"/>
          </w:rPr>
          <w:t>https://zakon.rada.gov.ua/laws/show/468/2024#Text</w:t>
        </w:r>
      </w:hyperlink>
    </w:p>
    <w:p w14:paraId="18443117" w14:textId="77777777" w:rsidR="00220D3E" w:rsidRPr="00511005" w:rsidRDefault="00220D3E" w:rsidP="003F6A5D">
      <w:pPr>
        <w:numPr>
          <w:ilvl w:val="0"/>
          <w:numId w:val="214"/>
        </w:numPr>
        <w:tabs>
          <w:tab w:val="left" w:pos="1134"/>
        </w:tabs>
        <w:spacing w:line="264" w:lineRule="auto"/>
        <w:ind w:left="0" w:firstLine="709"/>
        <w:jc w:val="left"/>
        <w:rPr>
          <w:rFonts w:ascii="Arial" w:eastAsiaTheme="minorHAnsi" w:hAnsi="Arial" w:cs="Arial"/>
          <w:szCs w:val="28"/>
          <w:lang w:val="uk-UA"/>
        </w:rPr>
      </w:pPr>
      <w:r w:rsidRPr="00511005">
        <w:rPr>
          <w:rFonts w:ascii="Arial" w:eastAsiaTheme="minorHAnsi" w:hAnsi="Arial" w:cs="Arial"/>
          <w:bCs/>
          <w:szCs w:val="28"/>
          <w:lang w:val="uk-UA"/>
        </w:rPr>
        <w:t xml:space="preserve">Про затвердження Порядку надання гарантій компенсації шкоди, заподіяної внаслідок збройної агресії Російської Федерації проти України та воєнних дій на території України, фрахтувальникам, операторам та/або власникам морських суден та суден внутрішнього плавання, що ходять під прапором України та під прапорами іноземних держави: Постанова Кабінету Міністрів України від 26 травня 2023 р. № 548. </w:t>
      </w:r>
      <w:r w:rsidRPr="00511005">
        <w:rPr>
          <w:rFonts w:ascii="Arial" w:eastAsiaTheme="minorHAnsi" w:hAnsi="Arial" w:cs="Arial"/>
          <w:szCs w:val="28"/>
          <w:lang w:val="uk-UA"/>
        </w:rPr>
        <w:t xml:space="preserve">URL: </w:t>
      </w:r>
      <w:hyperlink r:id="rId741" w:anchor="Text" w:history="1">
        <w:r w:rsidRPr="00511005">
          <w:rPr>
            <w:rFonts w:ascii="Arial" w:eastAsiaTheme="minorHAnsi" w:hAnsi="Arial" w:cs="Arial"/>
            <w:szCs w:val="28"/>
            <w:lang w:val="uk-UA"/>
          </w:rPr>
          <w:t>https://zakon.rada.gov.ua/laws/show/548-2023-%D0%BF#Text</w:t>
        </w:r>
      </w:hyperlink>
      <w:r w:rsidRPr="00511005">
        <w:rPr>
          <w:rFonts w:ascii="Arial" w:eastAsiaTheme="minorHAnsi" w:hAnsi="Arial" w:cs="Arial"/>
          <w:szCs w:val="28"/>
          <w:lang w:val="uk-UA"/>
        </w:rPr>
        <w:t xml:space="preserve"> </w:t>
      </w:r>
    </w:p>
    <w:p w14:paraId="0B1C0B69" w14:textId="77777777" w:rsidR="00220D3E" w:rsidRPr="00511005" w:rsidRDefault="00220D3E" w:rsidP="003F6A5D">
      <w:pPr>
        <w:numPr>
          <w:ilvl w:val="0"/>
          <w:numId w:val="214"/>
        </w:numPr>
        <w:spacing w:line="264" w:lineRule="auto"/>
        <w:ind w:firstLine="709"/>
        <w:jc w:val="left"/>
        <w:rPr>
          <w:rFonts w:ascii="Arial" w:eastAsiaTheme="minorHAnsi" w:hAnsi="Arial" w:cs="Arial"/>
          <w:szCs w:val="28"/>
          <w:lang w:val="uk-UA"/>
        </w:rPr>
      </w:pPr>
      <w:r w:rsidRPr="00511005">
        <w:rPr>
          <w:rFonts w:ascii="Arial" w:eastAsiaTheme="minorHAnsi" w:hAnsi="Arial" w:cs="Arial"/>
          <w:szCs w:val="28"/>
          <w:lang w:val="uk-UA"/>
        </w:rPr>
        <w:t xml:space="preserve">Kormych B., Averochkina T. Black Sea Grain Initiative is Dead, Long Live the New Trade Corridor. </w:t>
      </w:r>
      <w:r w:rsidRPr="00511005">
        <w:rPr>
          <w:rFonts w:ascii="Arial" w:eastAsiaTheme="minorHAnsi" w:hAnsi="Arial" w:cs="Arial"/>
          <w:i/>
          <w:szCs w:val="28"/>
          <w:lang w:val="uk-UA"/>
        </w:rPr>
        <w:t>Lex Portus</w:t>
      </w:r>
      <w:r w:rsidRPr="00511005">
        <w:rPr>
          <w:rFonts w:ascii="Arial" w:eastAsiaTheme="minorHAnsi" w:hAnsi="Arial" w:cs="Arial"/>
          <w:szCs w:val="28"/>
          <w:lang w:val="uk-UA"/>
        </w:rPr>
        <w:t xml:space="preserve">. 2023. Vol. 9(4). P. 7–15. </w:t>
      </w:r>
      <w:hyperlink r:id="rId742" w:history="1">
        <w:r w:rsidRPr="00511005">
          <w:rPr>
            <w:rFonts w:ascii="Arial" w:eastAsiaTheme="minorHAnsi" w:hAnsi="Arial" w:cs="Arial"/>
            <w:szCs w:val="28"/>
            <w:lang w:val="uk-UA"/>
          </w:rPr>
          <w:t>https://doi.org/10.26886/2524-101X.9.4.2023.1</w:t>
        </w:r>
      </w:hyperlink>
    </w:p>
    <w:p w14:paraId="4DEE7CA2" w14:textId="77777777" w:rsidR="00220D3E" w:rsidRPr="00511005" w:rsidRDefault="00220D3E" w:rsidP="003A292D">
      <w:pPr>
        <w:spacing w:line="264" w:lineRule="auto"/>
        <w:ind w:firstLine="0"/>
        <w:rPr>
          <w:rFonts w:ascii="Arial" w:eastAsiaTheme="minorHAnsi" w:hAnsi="Arial" w:cs="Arial"/>
          <w:szCs w:val="28"/>
          <w:lang w:val="uk-UA"/>
        </w:rPr>
      </w:pPr>
    </w:p>
    <w:p w14:paraId="51302340" w14:textId="3518BA14"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i/>
          <w:szCs w:val="28"/>
          <w:lang w:val="uk-UA"/>
        </w:rPr>
        <w:lastRenderedPageBreak/>
        <w:t xml:space="preserve">Ключові слова: </w:t>
      </w:r>
      <w:r w:rsidR="00220D3E" w:rsidRPr="00511005">
        <w:rPr>
          <w:rFonts w:ascii="Arial" w:eastAsiaTheme="minorHAnsi" w:hAnsi="Arial" w:cs="Arial"/>
          <w:szCs w:val="28"/>
          <w:lang w:val="uk-UA"/>
        </w:rPr>
        <w:t>морська безпека, війна, транспортування, порт, Чорне море.</w:t>
      </w:r>
    </w:p>
    <w:p w14:paraId="3EC52445" w14:textId="49C3A547" w:rsidR="00220D3E" w:rsidRPr="00511005" w:rsidRDefault="007B2628" w:rsidP="003A292D">
      <w:pPr>
        <w:spacing w:line="264" w:lineRule="auto"/>
        <w:ind w:firstLine="0"/>
        <w:rPr>
          <w:rFonts w:ascii="Arial" w:eastAsiaTheme="minorHAnsi" w:hAnsi="Arial" w:cs="Arial"/>
          <w:bCs/>
          <w:szCs w:val="28"/>
          <w:lang w:val="uk-UA"/>
        </w:rPr>
      </w:pPr>
      <w:r w:rsidRPr="00511005">
        <w:rPr>
          <w:rFonts w:ascii="Arial" w:eastAsiaTheme="minorHAnsi" w:hAnsi="Arial" w:cs="Arial"/>
          <w:b/>
          <w:i/>
          <w:szCs w:val="28"/>
          <w:lang w:val="uk-UA"/>
        </w:rPr>
        <w:t xml:space="preserve">Key words: </w:t>
      </w:r>
      <w:r w:rsidR="00220D3E" w:rsidRPr="00511005">
        <w:rPr>
          <w:rFonts w:ascii="Arial" w:eastAsiaTheme="minorHAnsi" w:hAnsi="Arial" w:cs="Arial"/>
          <w:bCs/>
          <w:szCs w:val="28"/>
          <w:lang w:val="uk-UA"/>
        </w:rPr>
        <w:t>maritime security, war, transportation, port, Black sea.</w:t>
      </w:r>
    </w:p>
    <w:p w14:paraId="2C0D32A0" w14:textId="13C7AE1B" w:rsidR="00220D3E" w:rsidRPr="00511005" w:rsidRDefault="007B2628" w:rsidP="003A292D">
      <w:pPr>
        <w:spacing w:line="264" w:lineRule="auto"/>
        <w:ind w:firstLine="0"/>
        <w:rPr>
          <w:rFonts w:ascii="Arial" w:eastAsiaTheme="minorHAnsi" w:hAnsi="Arial" w:cs="Arial"/>
          <w:bCs/>
          <w:szCs w:val="28"/>
          <w:lang w:val="uk-UA"/>
        </w:rPr>
      </w:pPr>
      <w:r w:rsidRPr="00511005">
        <w:rPr>
          <w:rFonts w:ascii="Arial" w:eastAsiaTheme="minorHAnsi" w:hAnsi="Arial" w:cs="Arial"/>
          <w:b/>
          <w:i/>
          <w:iCs/>
          <w:szCs w:val="28"/>
          <w:lang w:val="uk-UA"/>
        </w:rPr>
        <w:t xml:space="preserve">Науковий керівник: </w:t>
      </w:r>
      <w:r w:rsidR="00220D3E" w:rsidRPr="00511005">
        <w:rPr>
          <w:rFonts w:ascii="Arial" w:eastAsiaTheme="minorHAnsi" w:hAnsi="Arial" w:cs="Arial"/>
          <w:i/>
          <w:iCs/>
          <w:szCs w:val="28"/>
          <w:lang w:val="uk-UA"/>
        </w:rPr>
        <w:t>д.ю.н., професор Кормич Б. А.</w:t>
      </w:r>
    </w:p>
    <w:p w14:paraId="115BE983" w14:textId="77777777" w:rsidR="00220D3E" w:rsidRPr="00511005" w:rsidRDefault="00220D3E" w:rsidP="003A292D">
      <w:pPr>
        <w:spacing w:line="264" w:lineRule="auto"/>
        <w:ind w:firstLine="0"/>
        <w:rPr>
          <w:rFonts w:ascii="Arial" w:eastAsiaTheme="minorHAnsi" w:hAnsi="Arial" w:cs="Arial"/>
          <w:szCs w:val="28"/>
          <w:lang w:val="uk-UA"/>
        </w:rPr>
      </w:pPr>
    </w:p>
    <w:p w14:paraId="0E1A01B6" w14:textId="77777777" w:rsidR="00220D3E" w:rsidRPr="00511005" w:rsidRDefault="00220D3E" w:rsidP="003A292D">
      <w:pPr>
        <w:spacing w:line="264" w:lineRule="auto"/>
        <w:ind w:firstLine="0"/>
        <w:jc w:val="center"/>
        <w:rPr>
          <w:rFonts w:ascii="Arial" w:eastAsia="Calibri" w:hAnsi="Arial" w:cs="Arial"/>
          <w:b/>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t>Власюк Анастасія Вадимівна</w:t>
      </w:r>
    </w:p>
    <w:p w14:paraId="16C062A9" w14:textId="7FDDAEC4" w:rsidR="00220D3E" w:rsidRPr="00511005" w:rsidRDefault="00536AAB"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студентка 4-го курсу </w:t>
      </w:r>
      <w:r w:rsidR="001B7B25" w:rsidRPr="00511005">
        <w:rPr>
          <w:rFonts w:ascii="Arial" w:eastAsia="Calibri" w:hAnsi="Arial" w:cs="Arial"/>
          <w:kern w:val="2"/>
          <w:szCs w:val="28"/>
          <w:lang w:val="uk-UA"/>
          <w14:ligatures w14:val="standardContextual"/>
        </w:rPr>
        <w:t>факультету судового та міжнародного права</w:t>
      </w:r>
    </w:p>
    <w:p w14:paraId="6D95A211" w14:textId="3E4F0841" w:rsidR="00220D3E" w:rsidRPr="00511005" w:rsidRDefault="007B2628"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Національного університету «Одеська юридична академія»</w:t>
      </w:r>
    </w:p>
    <w:p w14:paraId="20775A9E" w14:textId="77777777" w:rsidR="00220D3E" w:rsidRPr="00511005" w:rsidRDefault="00220D3E" w:rsidP="003A292D">
      <w:pPr>
        <w:spacing w:line="264" w:lineRule="auto"/>
        <w:ind w:firstLine="0"/>
        <w:jc w:val="center"/>
        <w:rPr>
          <w:rFonts w:ascii="Arial" w:eastAsia="Calibri" w:hAnsi="Arial" w:cs="Arial"/>
          <w:kern w:val="2"/>
          <w:szCs w:val="28"/>
          <w:lang w:val="uk-UA"/>
          <w14:ligatures w14:val="standardContextual"/>
        </w:rPr>
      </w:pPr>
    </w:p>
    <w:p w14:paraId="1DDC1D5E" w14:textId="77777777" w:rsidR="00220D3E" w:rsidRPr="00511005" w:rsidRDefault="00220D3E" w:rsidP="003A292D">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АКТУАЛЬНІ ПИТАННЯ ПРОТИДІЇ КОНТРАБАНДІ В УМОВАХ ВОЄННОГО СТАНУ</w:t>
      </w:r>
    </w:p>
    <w:p w14:paraId="205F5AF2"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У теперішній час питання порушень митних правил, у тому числі контрабанди, являється однією із проблем у межах України та й у всьому світі. Вони посягають на економічний добробут країни, порушують суспільні відносини у сфері господарської діяльності і загалом на суспільний добробут. Особливо актуально питання контрабанди постає у наш час, під час дії воєнного стану.</w:t>
      </w:r>
    </w:p>
    <w:p w14:paraId="0530A772"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Контрабанда – це явище, яке існує з давніх часів і супроводжує людство впродовж століть. Незважаючи на зміну форм прояву та предметів незаконного переміщення, її сутність залишається незмінною: йдеться про нелегальне переміщення товарів через митні кордони.</w:t>
      </w:r>
    </w:p>
    <w:p w14:paraId="3694765D"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Контрабандна діяльність існує насамперед через низку чинників, серед яких головну роль відіграє економічна вигода, суттєва розбіжність у цінах між країнами, прогалини в законодавстві та недостатній контроль з боку відповідних органів, а також стабільний попит на заборонені або обмежені товари створюють сприятливі умови для розвитку незаконного переміщення товарів через кордон.</w:t>
      </w:r>
    </w:p>
    <w:p w14:paraId="788D9F3B"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Організована злочинність зосереджує свою активність переважно в економічних секторах, які характеризуються високим рівнем прибутковості. Серед таких сфер – торгівля паливно-енергетичними ресурсами, алкогольна та тютюнова продукція, енергетика. Ці напрями приваблюють злочинні угруповання з ряду об’єктивних причин, включаючи можливість отримання значних нелегальних доходів, наявність корупційних схем і слабкий державний нагляд [5].</w:t>
      </w:r>
    </w:p>
    <w:p w14:paraId="6C228547"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Згідно з єдиними звітами про кримінальні правопорушення у період з 2019 по 2023 роки кількість випадків виявлення контрабанди наркотичних засобів коливалася в межах 90 – 120 кримінальних правопорушень на рік. Найменша кількість виявлень припадає на 2022 рік і це може бути пов’язано із змінами маршрутів товарообігу або впровадження нових механізмів нагляду та перевірки [5].</w:t>
      </w:r>
    </w:p>
    <w:p w14:paraId="035FF5E6"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Контрабанда становить серйозну загрозу для економіки країни та вимагає комплексних підходів для його вирішення, що включають у себе створення </w:t>
      </w:r>
      <w:r w:rsidRPr="00511005">
        <w:rPr>
          <w:rFonts w:ascii="Arial" w:eastAsia="Calibri" w:hAnsi="Arial" w:cs="Arial"/>
          <w:kern w:val="2"/>
          <w:szCs w:val="28"/>
          <w:lang w:val="uk-UA"/>
          <w14:ligatures w14:val="standardContextual"/>
        </w:rPr>
        <w:lastRenderedPageBreak/>
        <w:t>спеціальних програм та заходів, розробку і впровадження механізмів спрямованих на посилення митного контролю. Окрім того важливим аспектом для протидії вчиненню правопорушень є вдосконалення законодавства.</w:t>
      </w:r>
    </w:p>
    <w:p w14:paraId="13692AD6"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9 грудня 2023 року був прийнятий Закон України «Про внесення змін до Кримінального та Кримінального процесуального кодексів України щодо криміналізації контрабанди товарів», що набрав чинність 1 січня 2024 року. Однак передумовою його прийняття слугувало не лише усвідомлення проблеми у митній галузі, а й виконання зобов’язань перед Європейським Союзом, які стосуються гармонізації законодавства та зміцнення правопорядку.</w:t>
      </w:r>
    </w:p>
    <w:p w14:paraId="449D02A6"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Так відповідно положень Кримінального кодексу України, ст. 201-3 та 201-4 контрабандою товарів та підакцизних товарів вважається переміщення через митний кордон України поза митним контролем або з приховуванням від митного контролю товарів, підакцизних товарів, вичинена у значному розмірі. Тобто збільшено перелік речей які можуть стати об’єктами контрабанди [1].</w:t>
      </w:r>
    </w:p>
    <w:p w14:paraId="567B68E7"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Згідно із пунктом 57 частини 1 статті 4 Митного кодексу України під поняттям товар вважається «будь-які рухомі речі, у тому числі ті, на які законом поширено режим нерухомої речі (крім транспортних засобів комерційного призначення), валютні цінності, культурні цінності, а також електроенергія, що переміщується лініями електропередачі» [2].</w:t>
      </w:r>
    </w:p>
    <w:p w14:paraId="57745483"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У положеннях Податкового кодексу України, а саме в статті 215, наведено вичерпний перелік товарів які визнаються підакцизними, до них належать: спирт етиловий, спиртові дистиляти, алкогольні напої, пиво (крім квасу «живого» бродіння);</w:t>
      </w:r>
      <w:bookmarkStart w:id="84" w:name="n14871"/>
      <w:bookmarkStart w:id="85" w:name="n5486"/>
      <w:bookmarkEnd w:id="84"/>
      <w:bookmarkEnd w:id="85"/>
      <w:r w:rsidRPr="00511005">
        <w:rPr>
          <w:rFonts w:ascii="Arial" w:eastAsia="Calibri" w:hAnsi="Arial" w:cs="Arial"/>
          <w:kern w:val="2"/>
          <w:szCs w:val="28"/>
          <w:lang w:val="uk-UA"/>
          <w14:ligatures w14:val="standardContextual"/>
        </w:rPr>
        <w:t xml:space="preserve"> тютюнові вироби, тютюн та промислові замінники тютюну;</w:t>
      </w:r>
      <w:bookmarkStart w:id="86" w:name="n21760"/>
      <w:bookmarkEnd w:id="86"/>
      <w:r w:rsidRPr="00511005">
        <w:rPr>
          <w:rFonts w:ascii="Arial" w:eastAsia="Calibri" w:hAnsi="Arial" w:cs="Arial"/>
          <w:kern w:val="2"/>
          <w:szCs w:val="28"/>
          <w:lang w:val="uk-UA"/>
          <w14:ligatures w14:val="standardContextual"/>
        </w:rPr>
        <w:t xml:space="preserve"> тютюнова сировина, тютюнові відходи;</w:t>
      </w:r>
      <w:bookmarkStart w:id="87" w:name="n21761"/>
      <w:bookmarkStart w:id="88" w:name="n18118"/>
      <w:bookmarkEnd w:id="87"/>
      <w:bookmarkEnd w:id="88"/>
      <w:r w:rsidRPr="00511005">
        <w:rPr>
          <w:rFonts w:ascii="Arial" w:eastAsia="Calibri" w:hAnsi="Arial" w:cs="Arial"/>
          <w:kern w:val="2"/>
          <w:szCs w:val="28"/>
          <w:lang w:val="uk-UA"/>
          <w14:ligatures w14:val="standardContextual"/>
        </w:rPr>
        <w:t xml:space="preserve"> рідини, що використовуються в електронних сигаретах;</w:t>
      </w:r>
      <w:bookmarkStart w:id="89" w:name="n18117"/>
      <w:bookmarkStart w:id="90" w:name="n5487"/>
      <w:bookmarkEnd w:id="89"/>
      <w:bookmarkEnd w:id="90"/>
      <w:r w:rsidRPr="00511005">
        <w:rPr>
          <w:rFonts w:ascii="Arial" w:eastAsia="Calibri" w:hAnsi="Arial" w:cs="Arial"/>
          <w:kern w:val="2"/>
          <w:szCs w:val="28"/>
          <w:lang w:val="uk-UA"/>
          <w14:ligatures w14:val="standardContextual"/>
        </w:rPr>
        <w:t xml:space="preserve"> пальне, у тому числі товари (продукція), що використовуються як пальне для заправлення транспортних засобів, обладнання або пристроїв з двигунами внутрішнього згоряння із запалюванням від стиснення, з двигунами внутрішнього згоряння з іскровим запалюванням, з двигунами внутрішнього згоряння з кривошипно-шатунним механізмом та коди яких згідно з УКТ ЗЕД не зазначені у підпункті 215.3.4 пункту 215.3 цієї статті (крім газу природного у газоподібному стані за кодом 2711 21 00 00 згідно з УКТ ЗЕД);</w:t>
      </w:r>
      <w:bookmarkStart w:id="91" w:name="n11381"/>
      <w:bookmarkStart w:id="92" w:name="n5488"/>
      <w:bookmarkEnd w:id="91"/>
      <w:bookmarkEnd w:id="92"/>
      <w:r w:rsidRPr="00511005">
        <w:rPr>
          <w:rFonts w:ascii="Arial" w:eastAsia="Calibri" w:hAnsi="Arial" w:cs="Arial"/>
          <w:kern w:val="2"/>
          <w:szCs w:val="28"/>
          <w:lang w:val="uk-UA"/>
          <w14:ligatures w14:val="standardContextual"/>
        </w:rPr>
        <w:t xml:space="preserve"> автомобілі легкові, кузови до них, причепи та напівпричепи, мотоцикли, транспортні засоби, призначені для перевезення 10 осіб i більше, транспортні засоби для перевезення вантажів;</w:t>
      </w:r>
      <w:bookmarkStart w:id="93" w:name="n11382"/>
      <w:bookmarkStart w:id="94" w:name="n11384"/>
      <w:bookmarkEnd w:id="93"/>
      <w:bookmarkEnd w:id="94"/>
      <w:r w:rsidRPr="00511005">
        <w:rPr>
          <w:rFonts w:ascii="Arial" w:eastAsia="Calibri" w:hAnsi="Arial" w:cs="Arial"/>
          <w:kern w:val="2"/>
          <w:szCs w:val="28"/>
          <w:lang w:val="uk-UA"/>
          <w14:ligatures w14:val="standardContextual"/>
        </w:rPr>
        <w:t xml:space="preserve"> електрична енергія [3].</w:t>
      </w:r>
    </w:p>
    <w:p w14:paraId="4565AC22" w14:textId="77777777" w:rsidR="007B2628"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Враховуючи дані зміни до законодавства, станом на 2024 рік усього було зафіксовано 47 кримінальних правопорушень контрабанди товарів та підакцизних товарів. І варто зазначити, що лише 7 обвинувальних актів було направлено до суду. Тобто не відбулося різкого зростання виявлення </w:t>
      </w:r>
      <w:r w:rsidRPr="00511005">
        <w:rPr>
          <w:rFonts w:ascii="Arial" w:eastAsia="Calibri" w:hAnsi="Arial" w:cs="Arial"/>
          <w:kern w:val="2"/>
          <w:szCs w:val="28"/>
          <w:lang w:val="uk-UA"/>
          <w14:ligatures w14:val="standardContextual"/>
        </w:rPr>
        <w:lastRenderedPageBreak/>
        <w:t>контрабанди, кількісні показники залишаються на порівняно невисокому рівні [7].</w:t>
      </w:r>
    </w:p>
    <w:p w14:paraId="011B69E9" w14:textId="4705D268"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Проте це можна пояснити тим, що розслідувати дані кримінальні правопорушення вимагає значного часу та ретельності, поспіх у проведенні слідчо-розшукових дій може негативно вплинути на якість розслідування, адже необхідно забезпечити достатню кількість доказів, які повною мірою розкриють характер і обставини правопорушення.</w:t>
      </w:r>
    </w:p>
    <w:p w14:paraId="13BAD28F"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 початком війни та введенням воєнного стану з’явилися нові обставини, які певним чином вливають на таке явище, як контрабанда. Так до України постійно надходить велика кількість гуманітарної допомоги. І в деяких випадка це може слугувати прикриттям для ввезення товарів та підакцизних товарів під видом гуманітарної допомоги.</w:t>
      </w:r>
    </w:p>
    <w:p w14:paraId="012C734C"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На даний момент винесено лише один вирок за контрабанду підакцизних товарів, а саме автомобілів у вигляді гуманітарної допомоги. Володимир-Волинський міський суд Волинської області притягнув до відповідальності особу за те, що вона будучи достовірно обізнаною із порядком ввезення підакцизних товарів на територію України, та керуючись єдиним умислом, спрямованим на вчинення злочину (контрабанди підакцизних товарів), особа діяла свідомо, з корисливою метою. Усвідомлюючи суспільно небезпечний характер своїх дій, передбачаючи можливі негативні наслідки та бажаючи їх настання, протягом січня – березня 2024 року скористалася умовами воєнного стану, придбала 7 транспортних засобів. У подальшому ці автомобілі були переміщені через митний кордон України з приховуванням від митного контролю як підакцизні товари. Злочин було вчинено шляхом умисного подання до митного органу документів, що містили завідомо неправдиві відомості про пільгове ввезення транспортних засобів під виглядом гуманітарної допомоги. Загальна вартість предметів контрабанди становила 1 780 096 гривень, що згідно з чинним законодавством класифікується як значний розмір [6].</w:t>
      </w:r>
    </w:p>
    <w:p w14:paraId="214FE432"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Отже враховуючи вищесказане, контрабанда, як одна з форм порушення митних правил, залишається актуальною проблемою не лише для України, а й для світової спільноти загалом. В умовах воєнного стану це явище набуло нових форм і викликів, зокрема використання гуманітарної допомоги як прикриття для незаконного переміщення товарів. Попри незначне статистичне зростання кількості виявлених випадків контрабанди після внесення змін до кримінального законодавства, ефективна протидія таким правопорушенням потребує посиленого контролю, вдосконалення слідчих процедур, підвищення рівня професійної підготовки правоохоронців та міжвідомчої співпраці. Прийняття нового закону, що криміналізує контрабанду товарів і підакцизної продукції, є кроком у напрямку гармонізації українського законодавства з європейськими стандартами та зміцнення економічної безпеки держави.</w:t>
      </w:r>
    </w:p>
    <w:p w14:paraId="10F20921" w14:textId="77777777" w:rsidR="00220D3E" w:rsidRPr="00511005" w:rsidRDefault="00220D3E" w:rsidP="003A292D">
      <w:pPr>
        <w:spacing w:line="264" w:lineRule="auto"/>
        <w:ind w:firstLine="0"/>
        <w:jc w:val="center"/>
        <w:rPr>
          <w:rFonts w:ascii="Arial" w:eastAsia="Calibri" w:hAnsi="Arial" w:cs="Arial"/>
          <w:b/>
          <w:bCs/>
          <w:kern w:val="2"/>
          <w:szCs w:val="28"/>
          <w:lang w:val="uk-UA"/>
          <w14:ligatures w14:val="standardContextual"/>
        </w:rPr>
      </w:pPr>
    </w:p>
    <w:p w14:paraId="3054EBBD" w14:textId="408B7F8D" w:rsidR="00220D3E" w:rsidRPr="00511005" w:rsidRDefault="007B2628" w:rsidP="007B2628">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Список використаних джерел</w:t>
      </w:r>
    </w:p>
    <w:p w14:paraId="44E486B4" w14:textId="77777777" w:rsidR="00220D3E" w:rsidRPr="00511005" w:rsidRDefault="00220D3E" w:rsidP="003F6A5D">
      <w:pPr>
        <w:numPr>
          <w:ilvl w:val="0"/>
          <w:numId w:val="206"/>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Кримінальний кодекс України, 2001. URL: </w:t>
      </w:r>
      <w:hyperlink r:id="rId743" w:anchor="Text" w:tgtFrame="_blank" w:history="1">
        <w:r w:rsidRPr="00511005">
          <w:rPr>
            <w:rFonts w:ascii="Arial" w:eastAsia="Calibri" w:hAnsi="Arial" w:cs="Arial"/>
            <w:kern w:val="2"/>
            <w:szCs w:val="28"/>
            <w:lang w:val="uk-UA"/>
            <w14:ligatures w14:val="standardContextual"/>
          </w:rPr>
          <w:t>https://zakon.rada.gov.ua/laws/show/2341-14#Text</w:t>
        </w:r>
      </w:hyperlink>
    </w:p>
    <w:p w14:paraId="0E108774" w14:textId="77777777" w:rsidR="00220D3E" w:rsidRPr="00511005" w:rsidRDefault="00220D3E" w:rsidP="003F6A5D">
      <w:pPr>
        <w:numPr>
          <w:ilvl w:val="0"/>
          <w:numId w:val="206"/>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Митний кодекс України, 2012. URL: </w:t>
      </w:r>
      <w:hyperlink r:id="rId744" w:anchor="Text" w:tgtFrame="_blank" w:history="1">
        <w:r w:rsidRPr="00511005">
          <w:rPr>
            <w:rFonts w:ascii="Arial" w:eastAsia="Calibri" w:hAnsi="Arial" w:cs="Arial"/>
            <w:kern w:val="2"/>
            <w:szCs w:val="28"/>
            <w:lang w:val="uk-UA"/>
            <w14:ligatures w14:val="standardContextual"/>
          </w:rPr>
          <w:t>https://zakon.rada.gov.ua/laws/show/4495-17#Text</w:t>
        </w:r>
      </w:hyperlink>
    </w:p>
    <w:p w14:paraId="2B291B5F" w14:textId="77777777" w:rsidR="00220D3E" w:rsidRPr="00511005" w:rsidRDefault="00220D3E" w:rsidP="003F6A5D">
      <w:pPr>
        <w:numPr>
          <w:ilvl w:val="0"/>
          <w:numId w:val="206"/>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Податковий кодекс України, 2010. URL: </w:t>
      </w:r>
      <w:hyperlink r:id="rId745" w:anchor="Text" w:tgtFrame="_blank" w:history="1">
        <w:r w:rsidRPr="00511005">
          <w:rPr>
            <w:rFonts w:ascii="Arial" w:eastAsia="Calibri" w:hAnsi="Arial" w:cs="Arial"/>
            <w:kern w:val="2"/>
            <w:szCs w:val="28"/>
            <w:lang w:val="uk-UA"/>
            <w14:ligatures w14:val="standardContextual"/>
          </w:rPr>
          <w:t>https://zakon.rada.gov.ua/laws/show/2755-17#Text</w:t>
        </w:r>
      </w:hyperlink>
    </w:p>
    <w:p w14:paraId="630BE81F" w14:textId="77777777" w:rsidR="00220D3E" w:rsidRPr="00511005" w:rsidRDefault="00220D3E" w:rsidP="003F6A5D">
      <w:pPr>
        <w:numPr>
          <w:ilvl w:val="0"/>
          <w:numId w:val="206"/>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Про внесення змін до Кримінального та Кримінального процесуального кодексів України щодо криміналізації контрабанди товарів: Закон України від 09.12.2023. URL: </w:t>
      </w:r>
      <w:hyperlink r:id="rId746" w:anchor="Text" w:tgtFrame="_blank" w:history="1">
        <w:r w:rsidRPr="00511005">
          <w:rPr>
            <w:rFonts w:ascii="Arial" w:eastAsia="Calibri" w:hAnsi="Arial" w:cs="Arial"/>
            <w:kern w:val="2"/>
            <w:szCs w:val="28"/>
            <w:lang w:val="uk-UA"/>
            <w14:ligatures w14:val="standardContextual"/>
          </w:rPr>
          <w:t>https://zakon.rada.gov.ua/laws/show/3513-20#Text</w:t>
        </w:r>
      </w:hyperlink>
    </w:p>
    <w:p w14:paraId="5AD4DA95" w14:textId="77777777" w:rsidR="00220D3E" w:rsidRPr="00511005" w:rsidRDefault="00220D3E" w:rsidP="003F6A5D">
      <w:pPr>
        <w:numPr>
          <w:ilvl w:val="0"/>
          <w:numId w:val="206"/>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Чеусова В.О. Контрабанда як прояв порушень митних правил. </w:t>
      </w:r>
      <w:r w:rsidRPr="00511005">
        <w:rPr>
          <w:rFonts w:ascii="Arial" w:eastAsia="Calibri" w:hAnsi="Arial" w:cs="Arial"/>
          <w:i/>
          <w:iCs/>
          <w:kern w:val="2"/>
          <w:szCs w:val="28"/>
          <w:lang w:val="uk-UA"/>
          <w14:ligatures w14:val="standardContextual"/>
        </w:rPr>
        <w:t>Міжнародний науковий журнал «ОСВІТА І НАУКА».</w:t>
      </w:r>
      <w:r w:rsidRPr="00511005">
        <w:rPr>
          <w:rFonts w:ascii="Arial" w:eastAsia="Calibri" w:hAnsi="Arial" w:cs="Arial"/>
          <w:kern w:val="2"/>
          <w:szCs w:val="28"/>
          <w:lang w:val="uk-UA"/>
          <w14:ligatures w14:val="standardContextual"/>
        </w:rPr>
        <w:t xml:space="preserve"> 2024. Вип. 1(36). С. 260–265. URL: </w:t>
      </w:r>
      <w:hyperlink r:id="rId747" w:tgtFrame="_blank" w:history="1">
        <w:r w:rsidRPr="00511005">
          <w:rPr>
            <w:rFonts w:ascii="Arial" w:eastAsia="Calibri" w:hAnsi="Arial" w:cs="Arial"/>
            <w:kern w:val="2"/>
            <w:szCs w:val="28"/>
            <w:lang w:val="uk-UA"/>
            <w14:ligatures w14:val="standardContextual"/>
          </w:rPr>
          <w:t>http://msu.edu.ua/</w:t>
        </w:r>
      </w:hyperlink>
    </w:p>
    <w:p w14:paraId="32D2607E" w14:textId="77777777" w:rsidR="00220D3E" w:rsidRPr="00511005" w:rsidRDefault="00220D3E" w:rsidP="003F6A5D">
      <w:pPr>
        <w:numPr>
          <w:ilvl w:val="0"/>
          <w:numId w:val="206"/>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Вирок Володимир-Волинського міського суду Волинської області від 10.07.2024 у справі № 1-кп/154/493/24. URL: </w:t>
      </w:r>
      <w:hyperlink r:id="rId748" w:tgtFrame="_blank" w:history="1">
        <w:r w:rsidRPr="00511005">
          <w:rPr>
            <w:rFonts w:ascii="Arial" w:eastAsia="Calibri" w:hAnsi="Arial" w:cs="Arial"/>
            <w:kern w:val="2"/>
            <w:szCs w:val="28"/>
            <w:lang w:val="uk-UA"/>
            <w14:ligatures w14:val="standardContextual"/>
          </w:rPr>
          <w:t>https://reyestr.court.gov.ua/Review/120270135</w:t>
        </w:r>
      </w:hyperlink>
    </w:p>
    <w:p w14:paraId="4BCC9DDC" w14:textId="77777777" w:rsidR="00220D3E" w:rsidRPr="00511005" w:rsidRDefault="00220D3E" w:rsidP="003F6A5D">
      <w:pPr>
        <w:numPr>
          <w:ilvl w:val="0"/>
          <w:numId w:val="206"/>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Оцінка криміналізації товарної контрабанди в Україні в контексті євроінтеграції. </w:t>
      </w:r>
      <w:r w:rsidRPr="00511005">
        <w:rPr>
          <w:rFonts w:ascii="Arial" w:eastAsia="Calibri" w:hAnsi="Arial" w:cs="Arial"/>
          <w:i/>
          <w:iCs/>
          <w:kern w:val="2"/>
          <w:szCs w:val="28"/>
          <w:lang w:val="uk-UA"/>
          <w14:ligatures w14:val="standardContextual"/>
        </w:rPr>
        <w:t>CASE Україна</w:t>
      </w:r>
      <w:r w:rsidRPr="00511005">
        <w:rPr>
          <w:rFonts w:ascii="Arial" w:eastAsia="Calibri" w:hAnsi="Arial" w:cs="Arial"/>
          <w:kern w:val="2"/>
          <w:szCs w:val="28"/>
          <w:lang w:val="uk-UA"/>
          <w14:ligatures w14:val="standardContextual"/>
        </w:rPr>
        <w:t xml:space="preserve">. URL: </w:t>
      </w:r>
      <w:hyperlink r:id="rId749" w:tgtFrame="_blank" w:history="1">
        <w:r w:rsidRPr="00511005">
          <w:rPr>
            <w:rFonts w:ascii="Arial" w:eastAsia="Calibri" w:hAnsi="Arial" w:cs="Arial"/>
            <w:kern w:val="2"/>
            <w:szCs w:val="28"/>
            <w:lang w:val="uk-UA"/>
            <w14:ligatures w14:val="standardContextual"/>
          </w:rPr>
          <w:t>https://case-ukraine.com.ua/news/otsinka-kryminalizatsiyi-tovarnoyi-kontrabandy-v-ukrayini-v-konteksti-yevrointegratsiyi/</w:t>
        </w:r>
      </w:hyperlink>
    </w:p>
    <w:p w14:paraId="03D0E3D5" w14:textId="77777777" w:rsidR="00220D3E" w:rsidRPr="00511005" w:rsidRDefault="00220D3E" w:rsidP="003A292D">
      <w:pPr>
        <w:spacing w:line="264" w:lineRule="auto"/>
        <w:ind w:firstLine="0"/>
        <w:rPr>
          <w:rFonts w:ascii="Arial" w:eastAsia="Calibri" w:hAnsi="Arial" w:cs="Arial"/>
          <w:kern w:val="2"/>
          <w:szCs w:val="28"/>
          <w:lang w:val="uk-UA"/>
          <w14:ligatures w14:val="standardContextual"/>
        </w:rPr>
      </w:pPr>
    </w:p>
    <w:p w14:paraId="7FC10CDC" w14:textId="01042526" w:rsidR="00220D3E" w:rsidRPr="00511005" w:rsidRDefault="007B2628"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b/>
          <w:i/>
          <w:kern w:val="2"/>
          <w:szCs w:val="28"/>
          <w:lang w:val="uk-UA"/>
          <w14:ligatures w14:val="standardContextual"/>
        </w:rPr>
        <w:t xml:space="preserve">Ключові слова: </w:t>
      </w:r>
      <w:r w:rsidR="00220D3E" w:rsidRPr="00511005">
        <w:rPr>
          <w:rFonts w:ascii="Arial" w:eastAsia="Calibri" w:hAnsi="Arial" w:cs="Arial"/>
          <w:kern w:val="2"/>
          <w:szCs w:val="28"/>
          <w:lang w:val="uk-UA"/>
          <w14:ligatures w14:val="standardContextual"/>
        </w:rPr>
        <w:t xml:space="preserve">воєнний стан, контрабанда, митний контроль, підакцизні товари, гуманітарна допомога. </w:t>
      </w:r>
    </w:p>
    <w:p w14:paraId="2C1753C0" w14:textId="682731D0" w:rsidR="00220D3E" w:rsidRPr="00511005" w:rsidRDefault="007B2628" w:rsidP="003A292D">
      <w:pPr>
        <w:spacing w:line="264" w:lineRule="auto"/>
        <w:ind w:firstLine="0"/>
        <w:rPr>
          <w:rFonts w:ascii="Arial" w:eastAsia="Calibri" w:hAnsi="Arial" w:cs="Arial"/>
          <w:bCs/>
          <w:kern w:val="2"/>
          <w:szCs w:val="28"/>
          <w:lang w:val="uk-UA"/>
          <w14:ligatures w14:val="standardContextual"/>
        </w:rPr>
      </w:pPr>
      <w:r w:rsidRPr="00511005">
        <w:rPr>
          <w:rFonts w:ascii="Arial" w:eastAsia="Calibri" w:hAnsi="Arial" w:cs="Arial"/>
          <w:b/>
          <w:i/>
          <w:kern w:val="2"/>
          <w:szCs w:val="28"/>
          <w:lang w:val="uk-UA"/>
          <w14:ligatures w14:val="standardContextual"/>
        </w:rPr>
        <w:t xml:space="preserve">Key words: </w:t>
      </w:r>
      <w:r w:rsidR="00220D3E" w:rsidRPr="00511005">
        <w:rPr>
          <w:rFonts w:ascii="Arial" w:eastAsia="Calibri" w:hAnsi="Arial" w:cs="Arial"/>
          <w:bCs/>
          <w:kern w:val="2"/>
          <w:szCs w:val="28"/>
          <w:lang w:val="uk-UA"/>
          <w14:ligatures w14:val="standardContextual"/>
        </w:rPr>
        <w:t>martial law, smuggling, customs control, excisable goods, humanitarian aid.</w:t>
      </w:r>
    </w:p>
    <w:p w14:paraId="15F4C219" w14:textId="35C9D4E5" w:rsidR="00220D3E" w:rsidRPr="00511005" w:rsidRDefault="007B2628" w:rsidP="003A292D">
      <w:pPr>
        <w:spacing w:line="264" w:lineRule="auto"/>
        <w:ind w:firstLine="0"/>
        <w:rPr>
          <w:rFonts w:ascii="Arial" w:eastAsia="Calibri" w:hAnsi="Arial" w:cs="Arial"/>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t xml:space="preserve">Науковий керівник: </w:t>
      </w:r>
      <w:r w:rsidR="00220D3E" w:rsidRPr="00511005">
        <w:rPr>
          <w:rFonts w:ascii="Arial" w:eastAsia="Calibri" w:hAnsi="Arial" w:cs="Arial"/>
          <w:bCs/>
          <w:i/>
          <w:iCs/>
          <w:kern w:val="2"/>
          <w:szCs w:val="28"/>
          <w:lang w:val="uk-UA"/>
          <w14:ligatures w14:val="standardContextual"/>
        </w:rPr>
        <w:t>к.ю.н., доцент Батанова Л. О.</w:t>
      </w:r>
    </w:p>
    <w:p w14:paraId="69C6E849" w14:textId="77777777" w:rsidR="00220D3E" w:rsidRPr="00511005" w:rsidRDefault="00220D3E" w:rsidP="003A292D">
      <w:pPr>
        <w:spacing w:line="264" w:lineRule="auto"/>
        <w:ind w:firstLine="0"/>
        <w:rPr>
          <w:rFonts w:ascii="Arial" w:eastAsiaTheme="minorHAnsi" w:hAnsi="Arial" w:cs="Arial"/>
          <w:szCs w:val="28"/>
          <w:lang w:val="uk-UA"/>
        </w:rPr>
      </w:pPr>
    </w:p>
    <w:p w14:paraId="0ECA22FF" w14:textId="77777777" w:rsidR="00220D3E" w:rsidRPr="00511005" w:rsidRDefault="00220D3E" w:rsidP="003A292D">
      <w:pPr>
        <w:spacing w:line="264" w:lineRule="auto"/>
        <w:ind w:firstLine="0"/>
        <w:jc w:val="center"/>
        <w:rPr>
          <w:rFonts w:ascii="Arial" w:eastAsiaTheme="minorHAnsi" w:hAnsi="Arial" w:cs="Arial"/>
          <w:b/>
          <w:i/>
          <w:szCs w:val="28"/>
          <w:lang w:val="uk-UA"/>
        </w:rPr>
      </w:pPr>
      <w:r w:rsidRPr="00511005">
        <w:rPr>
          <w:rFonts w:ascii="Arial" w:eastAsiaTheme="minorHAnsi" w:hAnsi="Arial" w:cs="Arial"/>
          <w:b/>
          <w:i/>
          <w:szCs w:val="28"/>
          <w:lang w:val="uk-UA"/>
        </w:rPr>
        <w:t>Гресько Богдана Юріївна</w:t>
      </w:r>
    </w:p>
    <w:p w14:paraId="7BAD4861" w14:textId="23FC0A15" w:rsidR="00220D3E" w:rsidRPr="00511005" w:rsidRDefault="00536AAB"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 xml:space="preserve">студентка 4-го курсу </w:t>
      </w:r>
      <w:r w:rsidR="001B7B25" w:rsidRPr="00511005">
        <w:rPr>
          <w:rFonts w:ascii="Arial" w:eastAsiaTheme="minorHAnsi" w:hAnsi="Arial" w:cs="Arial"/>
          <w:szCs w:val="28"/>
          <w:lang w:val="uk-UA"/>
        </w:rPr>
        <w:t>факультету судового та міжнародного права</w:t>
      </w:r>
    </w:p>
    <w:p w14:paraId="41BEB6D6" w14:textId="07E66B82" w:rsidR="00220D3E" w:rsidRPr="00511005" w:rsidRDefault="007B2628"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Національного університету «Одеська юридична академія»</w:t>
      </w:r>
    </w:p>
    <w:p w14:paraId="4C79047C" w14:textId="77777777" w:rsidR="00220D3E" w:rsidRPr="00511005" w:rsidRDefault="00220D3E" w:rsidP="003A292D">
      <w:pPr>
        <w:spacing w:line="264" w:lineRule="auto"/>
        <w:ind w:firstLine="0"/>
        <w:jc w:val="center"/>
        <w:rPr>
          <w:rFonts w:ascii="Arial" w:eastAsiaTheme="minorHAnsi" w:hAnsi="Arial" w:cs="Arial"/>
          <w:szCs w:val="28"/>
          <w:lang w:val="uk-UA"/>
        </w:rPr>
      </w:pPr>
    </w:p>
    <w:p w14:paraId="59ADF398" w14:textId="77777777" w:rsidR="00220D3E" w:rsidRPr="00511005" w:rsidRDefault="00220D3E" w:rsidP="003A292D">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ЗНАЧЕННЯ ПРАКТИКИ ЄСПЛ ДЛЯ УДОСКОНАЛЕННЯ МИТНОГО ЗАКОНОДАВСТВА УКРАЇНИ ТА СУДОВОЇ ПРАКТИКИ</w:t>
      </w:r>
    </w:p>
    <w:p w14:paraId="0166F34D"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Приєднавшись до Конвенції про захист прав людини та основоположних свобод 1950 року (далі – Конвенція), Україна взяла на себе зобов’язання гарантувати належний захист прав і свобод, закріплених у ній, а також визнала обов’язковими рішення судового органу Ради Європи – Європейського суду з прав людини (далі – ЄСПЛ) [1]. Дані положення були закріплені й на національному рівні зокрема, в Законі України «Про виконання рішень та застосування практики Європейського суду з прав </w:t>
      </w:r>
      <w:r w:rsidRPr="00511005">
        <w:rPr>
          <w:rFonts w:ascii="Arial" w:eastAsiaTheme="minorHAnsi" w:hAnsi="Arial" w:cs="Arial"/>
          <w:szCs w:val="28"/>
          <w:lang w:val="uk-UA"/>
        </w:rPr>
        <w:lastRenderedPageBreak/>
        <w:t>людини», де у статті 17 рішення ЄСПЛ визнано джерелом права, що застосовується при розгляді справ судами [2].</w:t>
      </w:r>
    </w:p>
    <w:p w14:paraId="659085B8"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Розглядаючи скарги щодо порушення національними судами при розгляді митних спорів гарантованих Конвенцією прав, ЄСПЛ найчастіше констатує порушення права на захист власності (ст. 1 Першого Протоколу до Конвенції) [3]. Неодноразово, вирішуючи справи, у яких заявник виступав проти України, ЄСПЛ виявляв непослідовність митного законодавства та невідповідність принципам юридичної визначеності санкцій, передбачених Митним кодексом України, що призводило до непропорційних втручань у права заявників.</w:t>
      </w:r>
    </w:p>
    <w:p w14:paraId="7466DF40" w14:textId="014BC0FE"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Одним із прикладів є справа «Краєва проти України» від 13.04.2022 року, де ЄСПЛ констатував порушення</w:t>
      </w:r>
      <w:r w:rsidR="007B2628" w:rsidRPr="00511005">
        <w:rPr>
          <w:rFonts w:ascii="Arial" w:eastAsiaTheme="minorHAnsi" w:hAnsi="Arial" w:cs="Arial"/>
          <w:szCs w:val="28"/>
          <w:lang w:val="uk-UA"/>
        </w:rPr>
        <w:t xml:space="preserve"> </w:t>
      </w:r>
      <w:r w:rsidRPr="00511005">
        <w:rPr>
          <w:rFonts w:ascii="Arial" w:eastAsiaTheme="minorHAnsi" w:hAnsi="Arial" w:cs="Arial"/>
          <w:szCs w:val="28"/>
          <w:lang w:val="uk-UA"/>
        </w:rPr>
        <w:t xml:space="preserve">статті 1 Першого Протоколу до Конвенції через відсутність справедливого балансу між заходами, застосованими до заявниці, та її правом на мирне володіння майном [4]. Громадянка України під час заповнення митної декларації та супроводжувальних документів допустила помилку, про що наступного дня повідомила митний орган та звернулася із заявою про усунення неточностей. У відповідь на звернення було складено протокол про правопорушення митних правил за ч. 1 ст. 483 Митного кодексу України (Переміщення або дії, спрямовані на переміщення товарів через митний кордон України з приховуванням від митного контролю) [5]. </w:t>
      </w:r>
    </w:p>
    <w:p w14:paraId="298F85C6"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Покарання, яке передбачалося санкцією даної статті, ЄСПЛ визнав таким, що позбавляє суди свободи розсуду. Станом до 2023 року, санкція містила фіксовану суму штрафу – «100 відсотків вартості товарів - безпосередніх предметів порушення». Даний вид стягнення не дозволяв судам врахувати ні особу порушника, ні характер, ні обставини вчиненого діяння чим позбавляв сенсу будь-яку індивідуальну оцінку ситуації. Відтак, ЄСПЛ встановив, що норма Митного кодексу України (далі – МКУ) є такою, що покладає на особу непропорційний тягар внаслідок втручання держави в право мирно володіти майном [5].</w:t>
      </w:r>
    </w:p>
    <w:p w14:paraId="020BC996"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Рішенням Конституційного Суду України № 5-р(ІІ)/2023 від 05.07.2023 р. за заявою трьох громадян України, з посиланням на подібні висновки ЄСПЛ, було визнано неконституційною санкцію ч. 1 ст. 483 МКУ [6]. Встановлений недолік був виправлений Законом від 21.11.2023 р. № 3475-IX. Тепер сума штрафу передбачається альтернативною санкцією – «від 50 до 100 відсотків вартості товарів – безпосередніх предметів порушення митних правил» [7]. </w:t>
      </w:r>
    </w:p>
    <w:p w14:paraId="19412C01" w14:textId="77777777" w:rsidR="00220D3E" w:rsidRPr="00511005" w:rsidRDefault="00220D3E" w:rsidP="003A292D">
      <w:pPr>
        <w:spacing w:line="264" w:lineRule="auto"/>
        <w:ind w:firstLine="0"/>
        <w:rPr>
          <w:rFonts w:ascii="Arial" w:eastAsiaTheme="minorHAnsi" w:hAnsi="Arial" w:cs="Arial"/>
          <w:bCs/>
          <w:szCs w:val="28"/>
          <w:lang w:val="uk-UA" w:bidi="uk-UA"/>
        </w:rPr>
      </w:pPr>
      <w:r w:rsidRPr="00511005">
        <w:rPr>
          <w:rFonts w:ascii="Arial" w:eastAsiaTheme="minorHAnsi" w:hAnsi="Arial" w:cs="Arial"/>
          <w:szCs w:val="28"/>
          <w:lang w:val="uk-UA"/>
        </w:rPr>
        <w:t xml:space="preserve">Однак стаття 483 МКУ була не єдиною, що зазнала подібних змін. Посилаючись на правові висновки ЄСПЛ у подібних правовідносинах, Конституційний Суд України встановив порушення «принципу індивідуалізації юридичної відповідальності у процедурі притягнення особи до адміністративної відповідальності» </w:t>
      </w:r>
      <w:r w:rsidRPr="00511005">
        <w:rPr>
          <w:rFonts w:ascii="Arial" w:eastAsiaTheme="minorHAnsi" w:hAnsi="Arial" w:cs="Arial"/>
          <w:bCs/>
          <w:szCs w:val="28"/>
          <w:lang w:val="uk-UA" w:bidi="uk-UA"/>
        </w:rPr>
        <w:t xml:space="preserve">за порушення митних правил, передбачених статтями 471 та 485 МКУ [8]. Станом на 2025 рік із двох </w:t>
      </w:r>
      <w:r w:rsidRPr="00511005">
        <w:rPr>
          <w:rFonts w:ascii="Arial" w:eastAsiaTheme="minorHAnsi" w:hAnsi="Arial" w:cs="Arial"/>
          <w:bCs/>
          <w:szCs w:val="28"/>
          <w:lang w:val="uk-UA" w:bidi="uk-UA"/>
        </w:rPr>
        <w:lastRenderedPageBreak/>
        <w:t>названих статей зміни з визначення санкції було внесено лише до останньої. Таким чином, залишається ще значна частина статей Митного кодексу України, які порушують один із основних принципів юридичної відповідальності.</w:t>
      </w:r>
    </w:p>
    <w:p w14:paraId="7441D1CB" w14:textId="77777777" w:rsidR="00220D3E" w:rsidRPr="00511005" w:rsidRDefault="00220D3E" w:rsidP="003A292D">
      <w:pPr>
        <w:spacing w:line="264" w:lineRule="auto"/>
        <w:ind w:firstLine="0"/>
        <w:rPr>
          <w:rFonts w:ascii="Arial" w:eastAsiaTheme="minorHAnsi" w:hAnsi="Arial" w:cs="Arial"/>
          <w:bCs/>
          <w:szCs w:val="28"/>
          <w:lang w:val="uk-UA" w:bidi="uk-UA"/>
        </w:rPr>
      </w:pPr>
      <w:r w:rsidRPr="00511005">
        <w:rPr>
          <w:rFonts w:ascii="Arial" w:eastAsiaTheme="minorHAnsi" w:hAnsi="Arial" w:cs="Arial"/>
          <w:bCs/>
          <w:szCs w:val="28"/>
          <w:lang w:val="uk-UA" w:bidi="uk-UA"/>
        </w:rPr>
        <w:t xml:space="preserve">Важливе значення для подолання системних проблем при вирішенні митних спорів в Україні має справа «Ганущак проти України» від 29.08.2024 року, у якій ЄСПЛ констатував порушення статті 1 Першого Протоколу до Конвенції через незаконність та непропорційність застосованого до заявника покарання [9]. Спір між громадянином Ганущаком та митними органами виник внаслідок відсутності єдиного розуміння, чи належить автомобіль, який використовується в особистих цілях, до «транспортних засобів» в розумінні статті 482 МКУ [5]. ЄСПЛ констатував відсутність єдності судової практики в Україні з цього питання та самостійно визначив, що за даних обставин справи відсутній «транспортний засіб» як предмет злочину, а отже і склад, передбачений статтею 428 МКУ. </w:t>
      </w:r>
    </w:p>
    <w:p w14:paraId="1C1A48C4" w14:textId="77777777" w:rsidR="00220D3E" w:rsidRPr="00511005" w:rsidRDefault="00220D3E" w:rsidP="003A292D">
      <w:pPr>
        <w:spacing w:line="264" w:lineRule="auto"/>
        <w:ind w:firstLine="0"/>
        <w:rPr>
          <w:rFonts w:ascii="Arial" w:eastAsiaTheme="minorHAnsi" w:hAnsi="Arial" w:cs="Arial"/>
          <w:bCs/>
          <w:szCs w:val="28"/>
          <w:lang w:val="uk-UA" w:bidi="uk-UA"/>
        </w:rPr>
      </w:pPr>
      <w:r w:rsidRPr="00511005">
        <w:rPr>
          <w:rFonts w:ascii="Arial" w:eastAsiaTheme="minorHAnsi" w:hAnsi="Arial" w:cs="Arial"/>
          <w:bCs/>
          <w:szCs w:val="28"/>
          <w:lang w:val="uk-UA" w:bidi="uk-UA"/>
        </w:rPr>
        <w:t>Окрім того, важливе значення для удосконалення та гармонізації судової практики України має критичне зауваження ЄСПЛ, викладене в пункті 24 згаданого рішення [9]. Так, Суд неодноразово наголошував, що ухвалення суперечливих рішень, які не містять чіткого обґрунтування причин таких розбіжностей, якщо вони впливають на право особи мирно володіти своїм майном, порушує вимогу законності статті 1 Першого протоколу до Конвенції. Дана непослідовність у судовій практиці з розгляду митних спорів створює правову невизначеність, що позбавляє особу можливості чітко розуміти наслідки своїх дій, а відтак, має бути усунена.</w:t>
      </w:r>
    </w:p>
    <w:p w14:paraId="37664FF6"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bCs/>
          <w:szCs w:val="28"/>
          <w:lang w:val="uk-UA" w:bidi="uk-UA"/>
        </w:rPr>
        <w:t>Підсумовуючи викладене вище, можна із впевненістю сказати, що ЄСПЛ у своїх рішеннях неодноразово вказував на відсутність єдності судової практики при розгляді митних спорів в Україні та виявив системну проблему митного законодавства – відсутність індивідуалізації покарання. Завдяки цьому правове регулювання митної справи поступово вдосконалюється та наближається до високих європейських стандартів.</w:t>
      </w:r>
    </w:p>
    <w:p w14:paraId="6B165227" w14:textId="77777777" w:rsidR="00220D3E" w:rsidRPr="00511005" w:rsidRDefault="00220D3E" w:rsidP="003A292D">
      <w:pPr>
        <w:spacing w:line="264" w:lineRule="auto"/>
        <w:ind w:firstLine="0"/>
        <w:rPr>
          <w:rFonts w:ascii="Arial" w:eastAsiaTheme="minorHAnsi" w:hAnsi="Arial" w:cs="Arial"/>
          <w:szCs w:val="28"/>
          <w:lang w:val="uk-UA"/>
        </w:rPr>
      </w:pPr>
    </w:p>
    <w:p w14:paraId="525A8E70" w14:textId="6B079399" w:rsidR="00220D3E" w:rsidRPr="00511005" w:rsidRDefault="007B2628" w:rsidP="007B2628">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Список використаних джерел</w:t>
      </w:r>
    </w:p>
    <w:p w14:paraId="77174AA8"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1. Конвенція про захист прав людини і основоположних свобод, 1950. URL: </w:t>
      </w:r>
      <w:hyperlink r:id="rId750" w:anchor="Text" w:tgtFrame="_blank" w:history="1">
        <w:r w:rsidRPr="00511005">
          <w:rPr>
            <w:rFonts w:ascii="Arial" w:eastAsiaTheme="minorHAnsi" w:hAnsi="Arial" w:cs="Arial"/>
            <w:szCs w:val="28"/>
            <w:lang w:val="uk-UA"/>
          </w:rPr>
          <w:t>https://zakon.rada.gov.ua/laws/show/995_004#Text</w:t>
        </w:r>
      </w:hyperlink>
    </w:p>
    <w:p w14:paraId="5398056B"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2. Про виконання рішень та застосування практики Європейського суду з прав людини: Закон України від 23.02.2006. URL: </w:t>
      </w:r>
      <w:hyperlink r:id="rId751" w:anchor="Text" w:tgtFrame="_blank" w:history="1">
        <w:r w:rsidRPr="00511005">
          <w:rPr>
            <w:rFonts w:ascii="Arial" w:eastAsiaTheme="minorHAnsi" w:hAnsi="Arial" w:cs="Arial"/>
            <w:szCs w:val="28"/>
            <w:lang w:val="uk-UA"/>
          </w:rPr>
          <w:t>https://zakon.rada.gov.ua/laws/show/3477-15#Text</w:t>
        </w:r>
      </w:hyperlink>
    </w:p>
    <w:p w14:paraId="0A14B36A"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3. Протокол до Конвенції про захист прав людини і основоположних свобод, 1952. URL: </w:t>
      </w:r>
      <w:hyperlink r:id="rId752" w:anchor="Text" w:tgtFrame="_blank" w:history="1">
        <w:r w:rsidRPr="00511005">
          <w:rPr>
            <w:rFonts w:ascii="Arial" w:eastAsiaTheme="minorHAnsi" w:hAnsi="Arial" w:cs="Arial"/>
            <w:szCs w:val="28"/>
            <w:lang w:val="uk-UA"/>
          </w:rPr>
          <w:t>https://zakon.rada.gov.ua/laws/show/994_535#Text</w:t>
        </w:r>
      </w:hyperlink>
    </w:p>
    <w:p w14:paraId="57339F4E"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4. Рішення ЄСПЛ від 13.04.2022 у справі № 72858/13. URL: </w:t>
      </w:r>
      <w:hyperlink r:id="rId753" w:anchor="Text" w:tgtFrame="_blank" w:history="1">
        <w:r w:rsidRPr="00511005">
          <w:rPr>
            <w:rFonts w:ascii="Arial" w:eastAsiaTheme="minorHAnsi" w:hAnsi="Arial" w:cs="Arial"/>
            <w:szCs w:val="28"/>
            <w:lang w:val="uk-UA"/>
          </w:rPr>
          <w:t>https://zakon.rada.gov.ua/laws/show/974_h08#Text</w:t>
        </w:r>
      </w:hyperlink>
    </w:p>
    <w:p w14:paraId="72735D35"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lastRenderedPageBreak/>
        <w:t xml:space="preserve">5. Митний кодекс України, 2012. URL: </w:t>
      </w:r>
      <w:hyperlink r:id="rId754" w:anchor="Text" w:tgtFrame="_blank" w:history="1">
        <w:r w:rsidRPr="00511005">
          <w:rPr>
            <w:rFonts w:ascii="Arial" w:eastAsiaTheme="minorHAnsi" w:hAnsi="Arial" w:cs="Arial"/>
            <w:szCs w:val="28"/>
            <w:lang w:val="uk-UA"/>
          </w:rPr>
          <w:t>https://zakon.rada.gov.ua/laws/show/4495-17#Text</w:t>
        </w:r>
      </w:hyperlink>
    </w:p>
    <w:p w14:paraId="4ECBAD58"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6. Рішення Конституційного Суду України у справі за конституційними скаргами Душенькевича Анатолія Володимировича, Франка Андрія Володимировича, Ярош Ірини Миколаївни щодо відповідності Конституції України (конституційності) абзацу другого частини першої статті 483 Митного кодексу України (щодо індивідуалізації юридичної відповідальності особи за митне правопорушення) від 05.07.2023 № 5-р(II)/2023. URL: </w:t>
      </w:r>
      <w:hyperlink r:id="rId755" w:anchor="Text" w:history="1">
        <w:r w:rsidRPr="00511005">
          <w:rPr>
            <w:rFonts w:ascii="Arial" w:eastAsiaTheme="minorHAnsi" w:hAnsi="Arial" w:cs="Arial"/>
            <w:szCs w:val="28"/>
            <w:lang w:val="uk-UA"/>
          </w:rPr>
          <w:t>https://zakon.rada.gov.ua/laws/show/v005p710-23#Text</w:t>
        </w:r>
      </w:hyperlink>
      <w:r w:rsidRPr="00511005">
        <w:rPr>
          <w:rFonts w:ascii="Arial" w:eastAsiaTheme="minorHAnsi" w:hAnsi="Arial" w:cs="Arial"/>
          <w:szCs w:val="28"/>
          <w:lang w:val="uk-UA"/>
        </w:rPr>
        <w:t xml:space="preserve"> </w:t>
      </w:r>
    </w:p>
    <w:p w14:paraId="76C5E2CE"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7. Про внесення змін до Митного кодексу України та інших законів України щодо врегулювання окремих питань розпорядження іноземними товарами, транспортними засобами комерційного призначення, що перебувають на митній території України під митним контролем, а також такими, що незаконно ввезені на митну територію України: Закон України від 21.11.2023. URL: </w:t>
      </w:r>
      <w:hyperlink r:id="rId756" w:anchor="Text" w:tgtFrame="_blank" w:history="1">
        <w:r w:rsidRPr="00511005">
          <w:rPr>
            <w:rFonts w:ascii="Arial" w:eastAsiaTheme="minorHAnsi" w:hAnsi="Arial" w:cs="Arial"/>
            <w:szCs w:val="28"/>
            <w:lang w:val="uk-UA"/>
          </w:rPr>
          <w:t>https://zakon.rada.gov.ua/laws/show/3475-20#Text</w:t>
        </w:r>
      </w:hyperlink>
    </w:p>
    <w:p w14:paraId="209AF0E0"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8. Батанова Л.О. Рішення Європейського Суду з прав людини з питань вирішення митних спорів. </w:t>
      </w:r>
      <w:r w:rsidRPr="00511005">
        <w:rPr>
          <w:rFonts w:ascii="Arial" w:eastAsiaTheme="minorHAnsi" w:hAnsi="Arial" w:cs="Arial"/>
          <w:i/>
          <w:iCs/>
          <w:szCs w:val="28"/>
          <w:lang w:val="uk-UA"/>
        </w:rPr>
        <w:t>Juridical scientific and electronic journal</w:t>
      </w:r>
      <w:r w:rsidRPr="00511005">
        <w:rPr>
          <w:rFonts w:ascii="Arial" w:eastAsiaTheme="minorHAnsi" w:hAnsi="Arial" w:cs="Arial"/>
          <w:szCs w:val="28"/>
          <w:lang w:val="uk-UA"/>
        </w:rPr>
        <w:t xml:space="preserve">. 2024. № 6. С. 450–452. </w:t>
      </w:r>
      <w:hyperlink r:id="rId757" w:tgtFrame="_blank" w:history="1">
        <w:r w:rsidRPr="00511005">
          <w:rPr>
            <w:rFonts w:ascii="Arial" w:eastAsiaTheme="minorHAnsi" w:hAnsi="Arial" w:cs="Arial"/>
            <w:szCs w:val="28"/>
            <w:lang w:val="uk-UA"/>
          </w:rPr>
          <w:t>https://doi.org/10.32782/2524-0374/2024-6/112</w:t>
        </w:r>
      </w:hyperlink>
    </w:p>
    <w:p w14:paraId="7317748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9. Рішення ЄСПЛ від 29.08.2024 у справі № 40776/16. URL: </w:t>
      </w:r>
      <w:hyperlink r:id="rId758" w:anchor="Text" w:history="1">
        <w:r w:rsidRPr="00511005">
          <w:rPr>
            <w:rFonts w:ascii="Arial" w:eastAsiaTheme="minorHAnsi" w:hAnsi="Arial" w:cs="Arial"/>
            <w:szCs w:val="28"/>
            <w:lang w:val="uk-UA"/>
          </w:rPr>
          <w:t>https://zakon.rada.gov.ua/laws/show/974_k29#Text</w:t>
        </w:r>
      </w:hyperlink>
    </w:p>
    <w:p w14:paraId="65DF2162" w14:textId="77777777" w:rsidR="00220D3E" w:rsidRPr="00511005" w:rsidRDefault="00220D3E" w:rsidP="003A292D">
      <w:pPr>
        <w:spacing w:line="264" w:lineRule="auto"/>
        <w:ind w:firstLine="0"/>
        <w:rPr>
          <w:rFonts w:ascii="Arial" w:eastAsiaTheme="minorHAnsi" w:hAnsi="Arial" w:cs="Arial"/>
          <w:szCs w:val="28"/>
          <w:lang w:val="uk-UA"/>
        </w:rPr>
      </w:pPr>
    </w:p>
    <w:p w14:paraId="3C1096A0" w14:textId="23676D8C"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i/>
          <w:szCs w:val="28"/>
          <w:lang w:val="uk-UA"/>
        </w:rPr>
        <w:t xml:space="preserve">Ключові слова: </w:t>
      </w:r>
      <w:r w:rsidR="00220D3E" w:rsidRPr="00511005">
        <w:rPr>
          <w:rFonts w:ascii="Arial" w:eastAsiaTheme="minorHAnsi" w:hAnsi="Arial" w:cs="Arial"/>
          <w:szCs w:val="28"/>
          <w:lang w:val="uk-UA"/>
        </w:rPr>
        <w:t>адміністративна відповідальність за порушення митних правил, митне законодавство, права людини, рішення ЄСПЛ</w:t>
      </w:r>
    </w:p>
    <w:p w14:paraId="636F52C9" w14:textId="489981C7" w:rsidR="00220D3E" w:rsidRPr="00511005" w:rsidRDefault="007B2628" w:rsidP="003A292D">
      <w:pPr>
        <w:spacing w:line="264" w:lineRule="auto"/>
        <w:ind w:firstLine="0"/>
        <w:rPr>
          <w:rFonts w:ascii="Arial" w:eastAsiaTheme="minorHAnsi" w:hAnsi="Arial" w:cs="Arial"/>
          <w:bCs/>
          <w:szCs w:val="28"/>
          <w:lang w:val="uk-UA"/>
        </w:rPr>
      </w:pPr>
      <w:r w:rsidRPr="00511005">
        <w:rPr>
          <w:rFonts w:ascii="Arial" w:eastAsiaTheme="minorHAnsi" w:hAnsi="Arial" w:cs="Arial"/>
          <w:b/>
          <w:i/>
          <w:szCs w:val="28"/>
          <w:lang w:val="uk-UA"/>
        </w:rPr>
        <w:t xml:space="preserve">Key words: </w:t>
      </w:r>
      <w:r w:rsidR="00220D3E" w:rsidRPr="00511005">
        <w:rPr>
          <w:rFonts w:ascii="Arial" w:eastAsiaTheme="minorHAnsi" w:hAnsi="Arial" w:cs="Arial"/>
          <w:bCs/>
          <w:szCs w:val="28"/>
          <w:lang w:val="uk-UA"/>
        </w:rPr>
        <w:t>administrative liability for violation of customs rules, customs legislation, human rights, ECHR decisions</w:t>
      </w:r>
    </w:p>
    <w:p w14:paraId="40C7E0FB" w14:textId="61DC369D" w:rsidR="00220D3E" w:rsidRPr="00511005" w:rsidRDefault="007B2628" w:rsidP="003A292D">
      <w:pPr>
        <w:spacing w:line="264" w:lineRule="auto"/>
        <w:ind w:firstLine="0"/>
        <w:rPr>
          <w:rFonts w:ascii="Arial" w:eastAsiaTheme="minorHAnsi" w:hAnsi="Arial" w:cs="Arial"/>
          <w:bCs/>
          <w:i/>
          <w:iCs/>
          <w:szCs w:val="28"/>
          <w:lang w:val="uk-UA"/>
        </w:rPr>
      </w:pPr>
      <w:r w:rsidRPr="00511005">
        <w:rPr>
          <w:rFonts w:ascii="Arial" w:eastAsiaTheme="minorHAnsi" w:hAnsi="Arial" w:cs="Arial"/>
          <w:b/>
          <w:bCs/>
          <w:i/>
          <w:iCs/>
          <w:szCs w:val="28"/>
          <w:lang w:val="uk-UA"/>
        </w:rPr>
        <w:t xml:space="preserve">Науковий керівник: </w:t>
      </w:r>
      <w:r w:rsidR="00220D3E" w:rsidRPr="00511005">
        <w:rPr>
          <w:rFonts w:ascii="Arial" w:eastAsiaTheme="minorHAnsi" w:hAnsi="Arial" w:cs="Arial"/>
          <w:bCs/>
          <w:i/>
          <w:iCs/>
          <w:szCs w:val="28"/>
          <w:lang w:val="uk-UA"/>
        </w:rPr>
        <w:t>к.ю.н., доцент Батанова Л. О.</w:t>
      </w:r>
    </w:p>
    <w:p w14:paraId="4F0ECF9B" w14:textId="77777777" w:rsidR="00220D3E" w:rsidRPr="00511005" w:rsidRDefault="00220D3E" w:rsidP="003A292D">
      <w:pPr>
        <w:spacing w:line="264" w:lineRule="auto"/>
        <w:ind w:firstLine="0"/>
        <w:rPr>
          <w:rFonts w:ascii="Arial" w:eastAsiaTheme="minorHAnsi" w:hAnsi="Arial" w:cs="Arial"/>
          <w:szCs w:val="28"/>
          <w:lang w:val="uk-UA"/>
        </w:rPr>
      </w:pPr>
    </w:p>
    <w:p w14:paraId="063F3FA9" w14:textId="77777777" w:rsidR="00220D3E" w:rsidRPr="00511005" w:rsidRDefault="00220D3E"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Дехніч Анастасія Вікторівна</w:t>
      </w:r>
    </w:p>
    <w:p w14:paraId="4379DB69" w14:textId="16F4EDF6" w:rsidR="00220D3E"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4-го курсу </w:t>
      </w:r>
      <w:r w:rsidR="001B7B25" w:rsidRPr="00511005">
        <w:rPr>
          <w:rFonts w:ascii="Arial" w:eastAsia="Calibri" w:hAnsi="Arial" w:cs="Arial"/>
          <w:szCs w:val="28"/>
          <w:lang w:val="uk-UA"/>
        </w:rPr>
        <w:t>факультету судового та міжнародного права</w:t>
      </w:r>
    </w:p>
    <w:p w14:paraId="34E31AA5" w14:textId="639DF82A" w:rsidR="00220D3E"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0781FB12" w14:textId="77777777" w:rsidR="00220D3E" w:rsidRPr="00511005" w:rsidRDefault="00220D3E" w:rsidP="003A292D">
      <w:pPr>
        <w:spacing w:line="264" w:lineRule="auto"/>
        <w:ind w:firstLine="0"/>
        <w:jc w:val="center"/>
        <w:rPr>
          <w:rFonts w:ascii="Arial" w:eastAsia="Calibri" w:hAnsi="Arial" w:cs="Arial"/>
          <w:szCs w:val="28"/>
          <w:lang w:val="uk-UA"/>
        </w:rPr>
      </w:pPr>
    </w:p>
    <w:p w14:paraId="20898DD3" w14:textId="77777777" w:rsidR="00220D3E" w:rsidRPr="00511005" w:rsidRDefault="00220D3E"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ОСОБЛИВОСТІ МИТНОГО ОФОРМЛЕННЯ ГУМАНІТАРНОЇ ДОПОМОГИ ПІД ЧАС ДІЇ ВОЄННОГО СТАНУ</w:t>
      </w:r>
    </w:p>
    <w:p w14:paraId="5812988A"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 початку повномасштабної збройної агресії російської федерації проти України особливого значення набуло питання забезпечення гуманітарною допомогою населення, внутрішньо переміщених осіб та підрозділів Збройних Сил України. Міжнародна спільнота, благодійні організації, волонтери та звичайні громадяни активно долучилися до надання допомоги Україні. </w:t>
      </w:r>
    </w:p>
    <w:p w14:paraId="5C72CB82"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Разом з тим, у процесі ввезення гуманітарної допомоги на митну територію України виникло чимало процедурних питань, стосовно товарів військового призначення або товарів подвійного використання.</w:t>
      </w:r>
    </w:p>
    <w:p w14:paraId="3AF6313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З метою врегулювання цих питань Кабінет Міністрів України ухвалив низку нормативно-правових актів, спрямованих на спрощення митного оформлення гуманітарних вантажів. Зокрема, Постановою Кабінету Міністрів України від 7 березня 2022 року № 224 було затверджено перелік категорій товарів, що визнаються гуманітарною допомогою, серед яких продукти харчування, ліки, текстильні вироби, засоби гігієни, паливно-мастильні матеріали, військове спорядження, транспортні засоби та інші товари, необхідні для забезпечення обороноздатності та безпеки держави. [1] Для деяких категорій товарів, зокрема військового призначення, передбачено додаткову вимогу – наявність письмового рішення відповідної військово-цивільної чи військової адміністрації.</w:t>
      </w:r>
    </w:p>
    <w:p w14:paraId="11CACF8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Особливістю митного оформлення гуманітарної допомоги під час воєнного стану є застосування декларативного принципу, відповідно до якого визнання вантажу гуманітарною допомогою відбувається без участі спеціально уповноважених державних органів і без проведення процедур визнання. Для оформлення такого вантажу достатньо подати спеціальну Декларацію про перелік товарів, що визнаються гуманітарною допомогою, безпосередньо у пункті пропуску через державний кордон України. Декларація містить базову інформацію про відправника, отримувача, транспортний засіб, місце розвантаження та детальний перелік товарів із зазначенням їх кількості. При цьому декларація може подаватися як в паперовій, так і в електронній формі.</w:t>
      </w:r>
    </w:p>
    <w:p w14:paraId="2C88C2B1"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Додатково спрощено процедуру перевезення гуманітарної допомоги у частині скасування заходів нетарифного регулювання зовнішньоекономічної діяльності, включаючи фітосанітарний, ветеринарно-санітарний контроль, квотування та ліцензування. Водночас експортний контроль не був повністю скасований: він зберігає свою дію щодо спеціальних засобів індивідуального захисту, озброєння, техніки розвідки та інших чутливих товарів.</w:t>
      </w:r>
    </w:p>
    <w:p w14:paraId="15A1C6D0"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Окремо врегульовано ввезення лікарських засобів та медичних виробів. Згідно з Постановою Кабінету Міністрів України від 16 березня 2022 року № 291, під час воєнного стану не вимагається довідка від Міністерства охорони здоров’я на ввезення таких товарів, якщо вони належать до гуманітарної допомоги. Водночас залишаються чинними обмеження, встановлені наказами МОЗ України, щодо заборони обігу лікарських засобів російського та білоруського походження [2].</w:t>
      </w:r>
    </w:p>
    <w:p w14:paraId="7A54CA1D"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Окрему категорію становлять товари військового призначення та товари подвійного використання. Для їх ввезення застосовується спеціальний порядок. Так, Постановою Кабінету Міністрів України від 1 березня 2022 року № 174 визначено перелік товарів подвійного використання, до яких належать бронепластини для бронежилетів, нецивільні радіостанції, безпілотні літальні апарати, тепловізори, прилади нічного бачення, оптичні приціли, коліматорні приціли тощо [3]. Для пропуску цих товарів через </w:t>
      </w:r>
      <w:r w:rsidRPr="00511005">
        <w:rPr>
          <w:rFonts w:ascii="Arial" w:eastAsia="Calibri" w:hAnsi="Arial" w:cs="Arial"/>
          <w:szCs w:val="28"/>
          <w:lang w:val="uk-UA"/>
        </w:rPr>
        <w:lastRenderedPageBreak/>
        <w:t>митний кордон обов’язковим є подання гарантійного листа кінцевого користувача, завіреного печаткою відповідного органу. Це дозволяє забезпечити належний облік та контроль за фактичним використанням товарів за призначенням.</w:t>
      </w:r>
    </w:p>
    <w:p w14:paraId="21DAAF5A"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Варто наголосити, що для ввезення товарів військового призначення передбачено спрощення порядку реєстрації суб’єктів господарювання, які мають право здійснювати такі операції. Відповідно до Постанови Кабінету Міністрів України від 10 березня 2022 року № 247, значно прискорено процес видачі дозвільних документів, а також запроваджено використання сертифіката кінцевого споживача як обов’язкового підтверджуючого документа для уникнення неправомірного використання чи реекспорту зазначених товарів [4].</w:t>
      </w:r>
    </w:p>
    <w:p w14:paraId="5D85CA10"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Судова практика також засвідчує важливість дотримання вимог законодавства при оформленні гуманітарних вантажів. Так, у Постанові Галицького районного суду м. Львова від 23 січня 2024 року у справі № 461/429/24 було встановлено відсутність вини перевізника гуманітарного вантажу, якого митні органи звинуватили у порушенні митних правил [5]. Суд наголосив на добросовісності дій перевізника, який виконував свої обов’язки згідно з отриманими документами від благодійної організації та не мав підстав сумніватися в їх достовірності. Крім того, суд звернув увагу на недопустимість використання недійсних доказів з боку митниці, що не відповідають вимогам електронного документообігу.</w:t>
      </w:r>
    </w:p>
    <w:p w14:paraId="70A5B4C1"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Отже, особливості митного оформлення гуманітарної допомоги під час дії воєнного стану в Україні демонструють гнучкість та адаптивність митної політики до надзвичайних обставин. Спрощення процедур декларування, скасування частини дозвільних вимог, зменшення кількості контрольних заходів та запровадження декларативного принципу дозволили значно пришвидшити доставку гуманітарних вантажів, які мають критичне значення для забезпечення потреб цивільного населення, військових формувань та органів державної влади. При цьому законодавець водночас зберіг ключові елементи контролю — особливо щодо товарів військового призначення та подвійного використання, — що забезпечує баланс між національною безпекою та потребами гуманітарної допомоги.</w:t>
      </w:r>
    </w:p>
    <w:p w14:paraId="2014545D"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Судова практика підтверджує необхідність сумлінного та відповідального підходу до виконання митних процедур з обох сторін: як з боку митних органів, так і учасників міжнародних гуманітарних перевезень. Недосконалість або формальне застосування митного законодавства без урахування реальних обставин війни може призводити до необґрунтованих перешкод у постачанні життєво необхідних ресурсів, що є неприпустимим в умовах збройного конфлікту.</w:t>
      </w:r>
    </w:p>
    <w:p w14:paraId="46F53E30"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Загалом діючий підхід до регулювання ввезення гуманітарної допомоги довів свою ефективність, однак потребує подальшого вдосконалення з </w:t>
      </w:r>
      <w:r w:rsidRPr="00511005">
        <w:rPr>
          <w:rFonts w:ascii="Arial" w:eastAsia="Calibri" w:hAnsi="Arial" w:cs="Arial"/>
          <w:szCs w:val="28"/>
          <w:lang w:val="uk-UA"/>
        </w:rPr>
        <w:lastRenderedPageBreak/>
        <w:t>огляду на практичні виклики та динаміку правових змін. Перспективним напрямком розвитку є створення єдиного чіткого алгоритму дій для всіх суб’єктів, задіяних у постачанні гуманітарної допомоги, який забезпечить максимальну прозорість процедур і зменшить ризики зловживань. Стабільна правова основа в цій сфері є запорукою своєчасної та безперешкодної підтримки України міжнародною спільнотою в умовах воєнного стану.</w:t>
      </w:r>
    </w:p>
    <w:p w14:paraId="495F9F70" w14:textId="77777777" w:rsidR="00220D3E" w:rsidRPr="00511005" w:rsidRDefault="00220D3E" w:rsidP="003A292D">
      <w:pPr>
        <w:spacing w:line="264" w:lineRule="auto"/>
        <w:ind w:firstLine="0"/>
        <w:rPr>
          <w:rFonts w:ascii="Arial" w:eastAsia="Calibri" w:hAnsi="Arial" w:cs="Arial"/>
          <w:szCs w:val="28"/>
          <w:lang w:val="uk-UA"/>
        </w:rPr>
      </w:pPr>
    </w:p>
    <w:p w14:paraId="74746A05" w14:textId="162DBF64" w:rsidR="00220D3E"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11435F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1. Про затвердження переліку категорій товарів, що визнаються гуманітарною допомогою без здійснення процедури визнання таких товарів гуманітарною допомогою у кожному конкретному випадку, на період воєнного стану та внесення змін до деяких постанов Кабінету Міністрів України з питань гуманітарної допомоги. URL: </w:t>
      </w:r>
      <w:hyperlink r:id="rId759" w:anchor="Text" w:tgtFrame="_blank" w:history="1">
        <w:r w:rsidRPr="00511005">
          <w:rPr>
            <w:rFonts w:ascii="Arial" w:eastAsia="Calibri" w:hAnsi="Arial" w:cs="Arial"/>
            <w:szCs w:val="28"/>
            <w:lang w:val="uk-UA"/>
          </w:rPr>
          <w:t>https://zakon.rada.gov.ua/laws/show/224-2022-п#Text</w:t>
        </w:r>
      </w:hyperlink>
    </w:p>
    <w:p w14:paraId="6F66C07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2. Про внесення змін до постанов Кабінету Міністрів України від 2 грудня 2015 р. № 1153 і від 7 березня 2022 р. № 216. URL: </w:t>
      </w:r>
      <w:hyperlink r:id="rId760" w:anchor="Text" w:tgtFrame="_blank" w:history="1">
        <w:r w:rsidRPr="00511005">
          <w:rPr>
            <w:rFonts w:ascii="Arial" w:eastAsia="Calibri" w:hAnsi="Arial" w:cs="Arial"/>
            <w:szCs w:val="28"/>
            <w:lang w:val="uk-UA"/>
          </w:rPr>
          <w:t>https://zakon.rada.gov.ua/laws/show/291-2022-п#Text</w:t>
        </w:r>
      </w:hyperlink>
    </w:p>
    <w:p w14:paraId="53F23B2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3. Деякі питання пропуску гуманітарної допомоги через митний кордон України в умовах воєнного стану. URL: </w:t>
      </w:r>
      <w:hyperlink r:id="rId761" w:anchor="Text" w:tgtFrame="_blank" w:history="1">
        <w:r w:rsidRPr="00511005">
          <w:rPr>
            <w:rFonts w:ascii="Arial" w:eastAsia="Calibri" w:hAnsi="Arial" w:cs="Arial"/>
            <w:szCs w:val="28"/>
            <w:lang w:val="uk-UA"/>
          </w:rPr>
          <w:t>https://zakon.rada.gov.ua/laws/show/174-2022-п#Text</w:t>
        </w:r>
      </w:hyperlink>
    </w:p>
    <w:p w14:paraId="0ED3D0FD"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4. Про внесення змін до деяких постанов Кабінету Міністрів України з питань державного експортного контролю. URL: </w:t>
      </w:r>
      <w:hyperlink r:id="rId762" w:anchor="Text" w:tgtFrame="_blank" w:history="1">
        <w:r w:rsidRPr="00511005">
          <w:rPr>
            <w:rFonts w:ascii="Arial" w:eastAsia="Calibri" w:hAnsi="Arial" w:cs="Arial"/>
            <w:szCs w:val="28"/>
            <w:lang w:val="uk-UA"/>
          </w:rPr>
          <w:t>https://zakon.rada.gov.ua/laws/show/247-2022-п#Text</w:t>
        </w:r>
      </w:hyperlink>
    </w:p>
    <w:p w14:paraId="6F052584"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5. ZakonOnline. Постанова від 23.01.2024 по справі № 461/429/24 Галицький районний суд м. Львова. </w:t>
      </w:r>
      <w:r w:rsidRPr="00511005">
        <w:rPr>
          <w:rFonts w:ascii="Arial" w:eastAsia="Calibri" w:hAnsi="Arial" w:cs="Arial"/>
          <w:i/>
          <w:szCs w:val="28"/>
          <w:lang w:val="uk-UA"/>
        </w:rPr>
        <w:t>ZakonOnline – Право знати!</w:t>
      </w:r>
      <w:r w:rsidRPr="00511005">
        <w:rPr>
          <w:rFonts w:ascii="Arial" w:eastAsia="Calibri" w:hAnsi="Arial" w:cs="Arial"/>
          <w:szCs w:val="28"/>
          <w:lang w:val="uk-UA"/>
        </w:rPr>
        <w:t xml:space="preserve"> </w:t>
      </w:r>
      <w:r w:rsidRPr="00511005">
        <w:rPr>
          <w:rFonts w:ascii="Arial" w:eastAsia="Calibri" w:hAnsi="Arial" w:cs="Arial"/>
          <w:i/>
          <w:iCs/>
          <w:szCs w:val="28"/>
          <w:lang w:val="uk-UA"/>
        </w:rPr>
        <w:t>Аналітично-правова система ZakonOnline</w:t>
      </w:r>
      <w:r w:rsidRPr="00511005">
        <w:rPr>
          <w:rFonts w:ascii="Arial" w:eastAsia="Calibri" w:hAnsi="Arial" w:cs="Arial"/>
          <w:szCs w:val="28"/>
          <w:lang w:val="uk-UA"/>
        </w:rPr>
        <w:t xml:space="preserve">. URL: </w:t>
      </w:r>
      <w:hyperlink r:id="rId763" w:tgtFrame="_blank" w:history="1">
        <w:r w:rsidRPr="00511005">
          <w:rPr>
            <w:rFonts w:ascii="Arial" w:eastAsia="Calibri" w:hAnsi="Arial" w:cs="Arial"/>
            <w:szCs w:val="28"/>
            <w:lang w:val="uk-UA"/>
          </w:rPr>
          <w:t>https://zakononline.com.ua/court-decisions/show/116521018</w:t>
        </w:r>
      </w:hyperlink>
    </w:p>
    <w:p w14:paraId="337D2E38" w14:textId="77777777" w:rsidR="00220D3E" w:rsidRPr="00511005" w:rsidRDefault="00220D3E" w:rsidP="003A292D">
      <w:pPr>
        <w:spacing w:line="264" w:lineRule="auto"/>
        <w:ind w:firstLine="0"/>
        <w:rPr>
          <w:rFonts w:ascii="Arial" w:eastAsia="Calibri" w:hAnsi="Arial" w:cs="Arial"/>
          <w:b/>
          <w:szCs w:val="28"/>
          <w:lang w:val="uk-UA"/>
        </w:rPr>
      </w:pPr>
    </w:p>
    <w:p w14:paraId="6462D828" w14:textId="7151AA6A"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20D3E" w:rsidRPr="00511005">
        <w:rPr>
          <w:rFonts w:ascii="Arial" w:eastAsia="Calibri" w:hAnsi="Arial" w:cs="Arial"/>
          <w:szCs w:val="28"/>
          <w:lang w:val="uk-UA"/>
        </w:rPr>
        <w:t>воєнний стан,</w:t>
      </w:r>
      <w:r w:rsidR="00220D3E" w:rsidRPr="00511005">
        <w:rPr>
          <w:rFonts w:ascii="Arial" w:eastAsia="Calibri" w:hAnsi="Arial" w:cs="Arial"/>
          <w:b/>
          <w:szCs w:val="28"/>
          <w:lang w:val="uk-UA"/>
        </w:rPr>
        <w:t xml:space="preserve"> </w:t>
      </w:r>
      <w:r w:rsidR="00220D3E" w:rsidRPr="00511005">
        <w:rPr>
          <w:rFonts w:ascii="Arial" w:eastAsia="Calibri" w:hAnsi="Arial" w:cs="Arial"/>
          <w:szCs w:val="28"/>
          <w:lang w:val="uk-UA"/>
        </w:rPr>
        <w:t xml:space="preserve">гуманітарна допомога, митне оформлення, судова практика, спрощені процедури, товари. </w:t>
      </w:r>
    </w:p>
    <w:p w14:paraId="3F0B711D" w14:textId="64535E36"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220D3E" w:rsidRPr="00511005">
        <w:rPr>
          <w:rFonts w:ascii="Arial" w:eastAsia="Calibri" w:hAnsi="Arial" w:cs="Arial"/>
          <w:szCs w:val="28"/>
          <w:lang w:val="uk-UA"/>
        </w:rPr>
        <w:t>administration of customs payments, customs authorities, customs payments, customs legislation, financial activities.</w:t>
      </w:r>
    </w:p>
    <w:p w14:paraId="34FF45AB" w14:textId="15D63618" w:rsidR="00220D3E" w:rsidRPr="00511005" w:rsidRDefault="007B2628" w:rsidP="003A292D">
      <w:pPr>
        <w:spacing w:line="264" w:lineRule="auto"/>
        <w:ind w:firstLine="0"/>
        <w:rPr>
          <w:rFonts w:ascii="Arial" w:eastAsia="Calibri" w:hAnsi="Arial" w:cs="Arial"/>
          <w:b/>
          <w:bCs/>
          <w:i/>
          <w:szCs w:val="28"/>
          <w:lang w:val="uk-UA"/>
        </w:rPr>
      </w:pPr>
      <w:r w:rsidRPr="00511005">
        <w:rPr>
          <w:rFonts w:ascii="Arial" w:eastAsia="Calibri" w:hAnsi="Arial" w:cs="Arial"/>
          <w:b/>
          <w:i/>
          <w:szCs w:val="28"/>
          <w:lang w:val="uk-UA"/>
        </w:rPr>
        <w:t xml:space="preserve">Науковий керівник: </w:t>
      </w:r>
      <w:r w:rsidR="00220D3E" w:rsidRPr="00511005">
        <w:rPr>
          <w:rFonts w:ascii="Arial" w:eastAsia="Calibri" w:hAnsi="Arial" w:cs="Arial"/>
          <w:bCs/>
          <w:i/>
          <w:szCs w:val="28"/>
          <w:lang w:val="uk-UA"/>
        </w:rPr>
        <w:t>к.ю.н., доцент Батанова Л. О.</w:t>
      </w:r>
    </w:p>
    <w:p w14:paraId="40208CAF" w14:textId="77777777" w:rsidR="00220D3E" w:rsidRPr="00511005" w:rsidRDefault="00220D3E" w:rsidP="003A292D">
      <w:pPr>
        <w:spacing w:line="264" w:lineRule="auto"/>
        <w:ind w:firstLine="0"/>
        <w:rPr>
          <w:rFonts w:ascii="Arial" w:eastAsiaTheme="minorHAnsi" w:hAnsi="Arial" w:cs="Arial"/>
          <w:szCs w:val="28"/>
          <w:lang w:val="uk-UA"/>
        </w:rPr>
      </w:pPr>
    </w:p>
    <w:p w14:paraId="3BC1EE11" w14:textId="77777777" w:rsidR="00220D3E" w:rsidRPr="00511005" w:rsidRDefault="00220D3E" w:rsidP="003A292D">
      <w:pPr>
        <w:spacing w:line="264" w:lineRule="auto"/>
        <w:ind w:firstLine="0"/>
        <w:jc w:val="center"/>
        <w:rPr>
          <w:rFonts w:ascii="Arial" w:eastAsiaTheme="minorHAnsi" w:hAnsi="Arial" w:cs="Arial"/>
          <w:b/>
          <w:i/>
          <w:szCs w:val="28"/>
          <w:lang w:val="uk-UA"/>
        </w:rPr>
      </w:pPr>
      <w:r w:rsidRPr="00511005">
        <w:rPr>
          <w:rFonts w:ascii="Arial" w:eastAsiaTheme="minorHAnsi" w:hAnsi="Arial" w:cs="Arial"/>
          <w:b/>
          <w:i/>
          <w:szCs w:val="28"/>
          <w:lang w:val="uk-UA"/>
        </w:rPr>
        <w:t>Жилка Анастасія Миколаївна</w:t>
      </w:r>
    </w:p>
    <w:p w14:paraId="19D6C983" w14:textId="077EAAFC" w:rsidR="00220D3E" w:rsidRPr="00511005" w:rsidRDefault="00536AAB"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студентка 1-го курсу магістратури</w:t>
      </w:r>
      <w:r w:rsidR="00BE3972" w:rsidRPr="00511005">
        <w:rPr>
          <w:rFonts w:ascii="Arial" w:eastAsiaTheme="minorHAnsi" w:hAnsi="Arial" w:cs="Arial"/>
          <w:szCs w:val="28"/>
          <w:lang w:val="uk-UA"/>
        </w:rPr>
        <w:t xml:space="preserve"> </w:t>
      </w:r>
      <w:r w:rsidR="001B7B25" w:rsidRPr="00511005">
        <w:rPr>
          <w:rFonts w:ascii="Arial" w:eastAsiaTheme="minorHAnsi" w:hAnsi="Arial" w:cs="Arial"/>
          <w:szCs w:val="28"/>
          <w:lang w:val="uk-UA"/>
        </w:rPr>
        <w:t>факультету судового та міжнародного права</w:t>
      </w:r>
      <w:r w:rsidR="00220D3E" w:rsidRPr="00511005">
        <w:rPr>
          <w:rFonts w:ascii="Arial" w:eastAsiaTheme="minorHAnsi" w:hAnsi="Arial" w:cs="Arial"/>
          <w:szCs w:val="28"/>
          <w:lang w:val="uk-UA"/>
        </w:rPr>
        <w:t xml:space="preserve"> </w:t>
      </w:r>
      <w:r w:rsidR="007B2628" w:rsidRPr="00511005">
        <w:rPr>
          <w:rFonts w:ascii="Arial" w:eastAsiaTheme="minorHAnsi" w:hAnsi="Arial" w:cs="Arial"/>
          <w:szCs w:val="28"/>
          <w:lang w:val="uk-UA"/>
        </w:rPr>
        <w:t>Національного університету «Одеська юридична академія»</w:t>
      </w:r>
    </w:p>
    <w:p w14:paraId="5FFD5711" w14:textId="77777777" w:rsidR="00220D3E" w:rsidRPr="00511005" w:rsidRDefault="00220D3E" w:rsidP="003A292D">
      <w:pPr>
        <w:spacing w:line="264" w:lineRule="auto"/>
        <w:ind w:firstLine="0"/>
        <w:jc w:val="center"/>
        <w:rPr>
          <w:rFonts w:ascii="Arial" w:eastAsiaTheme="minorHAnsi" w:hAnsi="Arial" w:cs="Arial"/>
          <w:b/>
          <w:szCs w:val="28"/>
          <w:lang w:val="uk-UA"/>
        </w:rPr>
      </w:pPr>
    </w:p>
    <w:p w14:paraId="15021506" w14:textId="77777777" w:rsidR="00220D3E" w:rsidRPr="00511005" w:rsidRDefault="00220D3E" w:rsidP="003A292D">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ПРАВОВІ АСПЕКТИ МОРСЬКОГО ПІРАТСТВА У XXI СТОЛІТТІ: НОВІ ВИКЛИКИ ТА ЕФЕКТИВНІСТЬ БОРОТЬБИ</w:t>
      </w:r>
    </w:p>
    <w:p w14:paraId="0BED4599"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Морське піратство, хоча й здається анахронізмом із минулого, у XXI столітті стало глобальною загрозою, що охоплює як економічну, так і безпекову </w:t>
      </w:r>
      <w:r w:rsidRPr="00511005">
        <w:rPr>
          <w:rFonts w:ascii="Arial" w:eastAsiaTheme="minorHAnsi" w:hAnsi="Arial" w:cs="Arial"/>
          <w:szCs w:val="28"/>
          <w:lang w:val="uk-UA"/>
        </w:rPr>
        <w:lastRenderedPageBreak/>
        <w:t>сфери. Його сучасна природа суттєво відрізняється від класичних уявлень про піратів як романтизованих фігур з поп-культури. Сьогодні пірати є високотехнологічними злочинцями, які діють в організованих групах, часто під прикриттям або з мовчазної згоди слабких або зацікавлених держав. Правовий аспект цього явища є складним і багатогранним, оскільки міжнародне право, хоча й передбачає механізми боротьби з піратством, стикається з рядом нових викликів [1, c. 102].</w:t>
      </w:r>
    </w:p>
    <w:p w14:paraId="2893BDD3"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Визначення самого поняття «піратство» вже не перший десяток років викликає суперечки серед правників і дослідників. Згідно з Конвенцією ООН з морського права 1982 року, піратство – це незаконні акти насильства або захоплення, які вчиняються з особистою метою в міжнародних водах і поза юрисдикцією будь-якої держави. Однак у реаліях сучасності це визначення часто не охоплює всі форми морської злочинності. Наприклад, коли напади відбуваються у територіальних водах, вони офіційно класифікуються не як піратство, а як «збройне пограбування на морі», що ускладнює міжнародне втручання. Проблема також полягає в тому, що сучасні пірати часто діють з території країн, які не мають ефективного уряду або свідомо сприяють цим діям, як-от у випадку Сомалі.</w:t>
      </w:r>
    </w:p>
    <w:p w14:paraId="46E606D1" w14:textId="3461E9F8"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Піратство XXI століття набуло різноманітних форм: від дрібних нападів на торговельні судна у портах, до захоплення танкерів і викрадення екіпажу з подальшим вимаганням викупу. Пірати використовують швидкохідні катери, озброєні</w:t>
      </w:r>
      <w:r w:rsidR="007B2628" w:rsidRPr="00511005">
        <w:rPr>
          <w:rFonts w:ascii="Arial" w:eastAsiaTheme="minorHAnsi" w:hAnsi="Arial" w:cs="Arial"/>
          <w:szCs w:val="28"/>
          <w:lang w:val="uk-UA"/>
        </w:rPr>
        <w:t xml:space="preserve"> </w:t>
      </w:r>
      <w:r w:rsidRPr="00511005">
        <w:rPr>
          <w:rFonts w:ascii="Arial" w:eastAsiaTheme="minorHAnsi" w:hAnsi="Arial" w:cs="Arial"/>
          <w:szCs w:val="28"/>
          <w:lang w:val="uk-UA"/>
        </w:rPr>
        <w:t>деякими видами вогнепальної зброї та холодною зброєю. Напади часто добре сплановані завдяки доступу до сучасних технологій – Інтернету, мобільного зв’язку, GPS, що дозволяє злочинцям відстежувати маршрути суден, характер вантажу та інші важливі деталі. У таких регіонах, як Південно-Східна Азія, Індійський океан, Бразилія та Карибський басейн, піратство набуло ознак бізнесу, який іноді підтримується навіть на державному рівні або ж функціонує завдяки бездіяльності влади.</w:t>
      </w:r>
    </w:p>
    <w:p w14:paraId="01A05E7D"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Піратські угруповання поділяються за рівнем організованості та масштабами операцій. Найпростіші з них обмежуються грабунком екіпажу, більш розвинені – захоплюють вантаж і використовують фальшиві документи для його збуту, а найнебезпечніші – захоплюють цілі судна, перефарбовують, змінюють прапори та використовують у подальшій злочинній діяльності. Яскравим прикладом є справа танкера </w:t>
      </w:r>
      <w:r w:rsidRPr="00511005">
        <w:rPr>
          <w:rFonts w:ascii="Arial" w:eastAsiaTheme="minorHAnsi" w:hAnsi="Arial" w:cs="Arial"/>
          <w:iCs/>
          <w:szCs w:val="28"/>
          <w:lang w:val="uk-UA"/>
        </w:rPr>
        <w:t>Global Mars</w:t>
      </w:r>
      <w:r w:rsidRPr="00511005">
        <w:rPr>
          <w:rFonts w:ascii="Arial" w:eastAsiaTheme="minorHAnsi" w:hAnsi="Arial" w:cs="Arial"/>
          <w:szCs w:val="28"/>
          <w:lang w:val="uk-UA"/>
        </w:rPr>
        <w:t>, захопленого у 2000 році, який після атаки був перейменований, змінений візуально та переправлений до китайських вод з викраденим вантажем.</w:t>
      </w:r>
    </w:p>
    <w:p w14:paraId="00559DBB"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Наслідки піратства відчуваються далеко за межами прибережних зон. Постраждалими є судновласники, вантажовласники, страхові компанії, а також економіки цілих держав. Піратство руйнує авторитет урядів, підриває стабільність у регіоні та ускладнює міжнародні торговельні відносини. Напади змушують деякі країни вживати надзвичайних заходів: </w:t>
      </w:r>
      <w:r w:rsidRPr="00511005">
        <w:rPr>
          <w:rFonts w:ascii="Arial" w:eastAsiaTheme="minorHAnsi" w:hAnsi="Arial" w:cs="Arial"/>
          <w:szCs w:val="28"/>
          <w:lang w:val="uk-UA"/>
        </w:rPr>
        <w:lastRenderedPageBreak/>
        <w:t>патрулювання портів військовими, обмеження навігації в небезпечних районах, створення міжнародних коаліцій для супроводу суден [2, c. 4].</w:t>
      </w:r>
    </w:p>
    <w:p w14:paraId="6F90CAE0"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Ефективність боротьби з піратством значною мірою залежить від узгодженості дій міжнародної спільноти. З 2008 року у відповідь на піратство біля узбережжя Сомалі НАТО, ЄС та окремі держави розпочали морські операції, зокрема EU NAVFOR ATALANTA, які певною мірою знизили кількість нападів. Проте ці заходи мають тимчасовий ефект, адже вони не усувають головних причин: бідності, безробіття, відсутності централізованої влади. До того ж, ефективна боротьба ускладнюється тим, що більшість країн не мають чіткої національної правової бази для переслідування піратів, які були затримані у відкритому морі.</w:t>
      </w:r>
    </w:p>
    <w:p w14:paraId="20C3E4B4"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Проблема полягає також у тому, що міжнародні правові документи застаріли. Генеральна Конвенція 1958 року та Конвенція ООН з морського права 1982 року не враховують сучасних викликів, таких як кіберзлочинність, державна участь у піратських діях, використання піратами легальних суден та складні логістичні мережі з відмиванням вантажів. Тому існує нагальна потреба в оновленні міжнародного морського права з урахуванням сучасних технологій, видів загроз і механізмів міждержавного співробітництва [3 – 4].</w:t>
      </w:r>
    </w:p>
    <w:p w14:paraId="16299BFE"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У XXI столітті піратство є не лише справою злочинних угруповань, а глобальною проблемою, яка охоплює правові, економічні та безпекові аспекти. Світова спільнота повинна визнати, що боротьба з цим явищем неможлива без комплексного підходу, який включає не лише військові й поліцейські операції, але й усунення глибинних соціально-економічних причин, реформу міжнародного права та тісну співпрацю держав, компаній і міжурядових організацій. Лише в такому випадку можна говорити про ефективну та довгострокову боротьбу з сучасним морським піратством, що загрожує міжнародній безпеці та економіці в глобальному масштабі.</w:t>
      </w:r>
    </w:p>
    <w:p w14:paraId="55522781" w14:textId="77777777" w:rsidR="00220D3E" w:rsidRPr="00511005" w:rsidRDefault="00220D3E" w:rsidP="003A292D">
      <w:pPr>
        <w:spacing w:line="264" w:lineRule="auto"/>
        <w:ind w:firstLine="0"/>
        <w:rPr>
          <w:rFonts w:ascii="Arial" w:eastAsiaTheme="minorHAnsi" w:hAnsi="Arial" w:cs="Arial"/>
          <w:b/>
          <w:szCs w:val="28"/>
          <w:lang w:val="uk-UA"/>
        </w:rPr>
      </w:pPr>
    </w:p>
    <w:p w14:paraId="4BC25D99" w14:textId="451EAC99" w:rsidR="00220D3E" w:rsidRPr="00511005" w:rsidRDefault="007B2628" w:rsidP="007B2628">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Список використаних джерел</w:t>
      </w:r>
    </w:p>
    <w:p w14:paraId="7A8D9956"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1. Анцелевич Г. А. Міжнародне морське право. Київ, 2003. 305 с.</w:t>
      </w:r>
    </w:p>
    <w:p w14:paraId="25406185"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2. Будаков М. О. Міжнародно-правові проблеми боротьби з морським піратством: аспекти кримінального переслідування. Часопис академії адвокатури України. 2010. № 9. С. 1–6.</w:t>
      </w:r>
    </w:p>
    <w:p w14:paraId="31E9E6B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3. Конвенція про відкрите море, 1958. URL: </w:t>
      </w:r>
      <w:hyperlink r:id="rId764" w:history="1">
        <w:r w:rsidRPr="00511005">
          <w:rPr>
            <w:rFonts w:ascii="Arial" w:eastAsiaTheme="minorHAnsi" w:hAnsi="Arial" w:cs="Arial"/>
            <w:szCs w:val="28"/>
            <w:lang w:val="uk-UA"/>
          </w:rPr>
          <w:t>https://ips.ligazakon.net/document/MU58K08U</w:t>
        </w:r>
      </w:hyperlink>
      <w:r w:rsidRPr="00511005">
        <w:rPr>
          <w:rFonts w:ascii="Arial" w:eastAsiaTheme="minorHAnsi" w:hAnsi="Arial" w:cs="Arial"/>
          <w:szCs w:val="28"/>
          <w:lang w:val="uk-UA"/>
        </w:rPr>
        <w:t xml:space="preserve"> </w:t>
      </w:r>
    </w:p>
    <w:p w14:paraId="754595B5"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4. Про ратифікацію Конвенції Організації Об’єднаних Націй з морського права 1982 року та Угоди про імплементацію частини XI Конвенції Організації Об’єднаних Націй з морського права 1982 року: Закон України від 3 червня 1999 р. URL: </w:t>
      </w:r>
      <w:hyperlink r:id="rId765" w:anchor="Text" w:history="1">
        <w:r w:rsidRPr="00511005">
          <w:rPr>
            <w:rFonts w:ascii="Arial" w:eastAsiaTheme="minorHAnsi" w:hAnsi="Arial" w:cs="Arial"/>
            <w:szCs w:val="28"/>
            <w:lang w:val="uk-UA"/>
          </w:rPr>
          <w:t>https://zakon.rada.gov.ua/laws/show/728-14#Text</w:t>
        </w:r>
      </w:hyperlink>
      <w:r w:rsidRPr="00511005">
        <w:rPr>
          <w:rFonts w:ascii="Arial" w:eastAsiaTheme="minorHAnsi" w:hAnsi="Arial" w:cs="Arial"/>
          <w:szCs w:val="28"/>
          <w:lang w:val="uk-UA"/>
        </w:rPr>
        <w:t xml:space="preserve"> </w:t>
      </w:r>
    </w:p>
    <w:p w14:paraId="098D31AD" w14:textId="77777777" w:rsidR="00220D3E" w:rsidRPr="00511005" w:rsidRDefault="00220D3E" w:rsidP="003A292D">
      <w:pPr>
        <w:spacing w:line="264" w:lineRule="auto"/>
        <w:ind w:firstLine="0"/>
        <w:rPr>
          <w:rFonts w:ascii="Arial" w:eastAsiaTheme="minorHAnsi" w:hAnsi="Arial" w:cs="Arial"/>
          <w:b/>
          <w:szCs w:val="28"/>
          <w:lang w:val="uk-UA"/>
        </w:rPr>
      </w:pPr>
    </w:p>
    <w:p w14:paraId="08B76323" w14:textId="576290D5"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i/>
          <w:szCs w:val="28"/>
          <w:lang w:val="uk-UA"/>
        </w:rPr>
        <w:t xml:space="preserve">Ключові слова: </w:t>
      </w:r>
      <w:r w:rsidR="00220D3E" w:rsidRPr="00511005">
        <w:rPr>
          <w:rFonts w:ascii="Arial" w:eastAsiaTheme="minorHAnsi" w:hAnsi="Arial" w:cs="Arial"/>
          <w:szCs w:val="28"/>
          <w:lang w:val="uk-UA"/>
        </w:rPr>
        <w:t>морське піратство, міжнародне право, сучасні загрози, організована злочинність, міжнародна співпраця.</w:t>
      </w:r>
    </w:p>
    <w:p w14:paraId="7E62EC69" w14:textId="017D33A1"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i/>
          <w:szCs w:val="28"/>
          <w:lang w:val="uk-UA"/>
        </w:rPr>
        <w:lastRenderedPageBreak/>
        <w:t xml:space="preserve">Key words: </w:t>
      </w:r>
      <w:r w:rsidR="00220D3E" w:rsidRPr="00511005">
        <w:rPr>
          <w:rFonts w:ascii="Arial" w:eastAsiaTheme="minorHAnsi" w:hAnsi="Arial" w:cs="Arial"/>
          <w:szCs w:val="28"/>
          <w:lang w:val="uk-UA"/>
        </w:rPr>
        <w:t>maritime piracy, international law, current threats, organized crime, international cooperation.</w:t>
      </w:r>
    </w:p>
    <w:p w14:paraId="341468EA" w14:textId="7427A5DD" w:rsidR="00220D3E" w:rsidRPr="00511005" w:rsidRDefault="007B2628" w:rsidP="003A292D">
      <w:pPr>
        <w:spacing w:line="264" w:lineRule="auto"/>
        <w:ind w:firstLine="0"/>
        <w:rPr>
          <w:rFonts w:ascii="Arial" w:eastAsiaTheme="minorHAnsi" w:hAnsi="Arial" w:cs="Arial"/>
          <w:b/>
          <w:i/>
          <w:szCs w:val="28"/>
          <w:lang w:val="uk-UA"/>
        </w:rPr>
      </w:pPr>
      <w:r w:rsidRPr="00511005">
        <w:rPr>
          <w:rFonts w:ascii="Arial" w:eastAsiaTheme="minorHAnsi" w:hAnsi="Arial" w:cs="Arial"/>
          <w:b/>
          <w:i/>
          <w:szCs w:val="28"/>
          <w:lang w:val="uk-UA"/>
        </w:rPr>
        <w:t xml:space="preserve">Науковий керівник: </w:t>
      </w:r>
      <w:r w:rsidR="00220D3E" w:rsidRPr="00511005">
        <w:rPr>
          <w:rFonts w:ascii="Arial" w:eastAsiaTheme="minorHAnsi" w:hAnsi="Arial" w:cs="Arial"/>
          <w:i/>
          <w:szCs w:val="28"/>
          <w:lang w:val="uk-UA"/>
        </w:rPr>
        <w:t>д.ю.н., професор Кормич Б. А.</w:t>
      </w:r>
    </w:p>
    <w:p w14:paraId="0E099AB9" w14:textId="77777777" w:rsidR="00220D3E" w:rsidRPr="00511005" w:rsidRDefault="00220D3E" w:rsidP="003A292D">
      <w:pPr>
        <w:spacing w:line="264" w:lineRule="auto"/>
        <w:ind w:firstLine="0"/>
        <w:rPr>
          <w:rFonts w:ascii="Arial" w:eastAsiaTheme="minorHAnsi" w:hAnsi="Arial" w:cs="Arial"/>
          <w:szCs w:val="28"/>
          <w:lang w:val="uk-UA"/>
        </w:rPr>
      </w:pPr>
    </w:p>
    <w:p w14:paraId="21816A26" w14:textId="77777777" w:rsidR="00220D3E" w:rsidRPr="00511005" w:rsidRDefault="00220D3E" w:rsidP="003A292D">
      <w:pPr>
        <w:spacing w:line="264" w:lineRule="auto"/>
        <w:ind w:firstLine="0"/>
        <w:jc w:val="center"/>
        <w:rPr>
          <w:rFonts w:ascii="Arial" w:eastAsiaTheme="minorHAnsi" w:hAnsi="Arial" w:cs="Arial"/>
          <w:b/>
          <w:i/>
          <w:szCs w:val="28"/>
          <w:lang w:val="uk-UA"/>
        </w:rPr>
      </w:pPr>
      <w:r w:rsidRPr="00511005">
        <w:rPr>
          <w:rFonts w:ascii="Arial" w:eastAsiaTheme="minorHAnsi" w:hAnsi="Arial" w:cs="Arial"/>
          <w:b/>
          <w:i/>
          <w:szCs w:val="28"/>
          <w:lang w:val="uk-UA"/>
        </w:rPr>
        <w:t>Жук Станіслав Сергійович</w:t>
      </w:r>
    </w:p>
    <w:p w14:paraId="7CD1FD75" w14:textId="1E822AFF" w:rsidR="00220D3E" w:rsidRPr="00511005" w:rsidRDefault="00536AAB"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студент 1-го курсу магістратури</w:t>
      </w:r>
      <w:r w:rsidR="00BE3972" w:rsidRPr="00511005">
        <w:rPr>
          <w:rFonts w:ascii="Arial" w:eastAsiaTheme="minorHAnsi" w:hAnsi="Arial" w:cs="Arial"/>
          <w:szCs w:val="28"/>
          <w:lang w:val="uk-UA"/>
        </w:rPr>
        <w:t xml:space="preserve"> </w:t>
      </w:r>
      <w:r w:rsidRPr="00511005">
        <w:rPr>
          <w:rFonts w:ascii="Arial" w:eastAsiaTheme="minorHAnsi" w:hAnsi="Arial" w:cs="Arial"/>
          <w:szCs w:val="28"/>
          <w:lang w:val="uk-UA"/>
        </w:rPr>
        <w:t>факультету адвокатури та антикорупційної діяльності</w:t>
      </w:r>
      <w:r w:rsidR="00220D3E" w:rsidRPr="00511005">
        <w:rPr>
          <w:rFonts w:ascii="Arial" w:eastAsiaTheme="minorHAnsi" w:hAnsi="Arial" w:cs="Arial"/>
          <w:szCs w:val="28"/>
          <w:lang w:val="uk-UA"/>
        </w:rPr>
        <w:t xml:space="preserve"> </w:t>
      </w:r>
      <w:r w:rsidR="007B2628" w:rsidRPr="00511005">
        <w:rPr>
          <w:rFonts w:ascii="Arial" w:eastAsiaTheme="minorHAnsi" w:hAnsi="Arial" w:cs="Arial"/>
          <w:szCs w:val="28"/>
          <w:lang w:val="uk-UA"/>
        </w:rPr>
        <w:t>Національного університету «Одеська юридична академія»</w:t>
      </w:r>
    </w:p>
    <w:p w14:paraId="1EF5608D" w14:textId="77777777" w:rsidR="00220D3E" w:rsidRPr="00511005" w:rsidRDefault="00220D3E" w:rsidP="003A292D">
      <w:pPr>
        <w:spacing w:line="264" w:lineRule="auto"/>
        <w:ind w:firstLine="0"/>
        <w:jc w:val="center"/>
        <w:rPr>
          <w:rFonts w:ascii="Arial" w:eastAsiaTheme="minorHAnsi" w:hAnsi="Arial" w:cs="Arial"/>
          <w:b/>
          <w:szCs w:val="28"/>
          <w:lang w:val="uk-UA"/>
        </w:rPr>
      </w:pPr>
    </w:p>
    <w:p w14:paraId="4685BC31" w14:textId="77777777" w:rsidR="00220D3E" w:rsidRPr="00511005" w:rsidRDefault="00220D3E" w:rsidP="003A292D">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МЕТОДИ РЕГУЛЮВАННЯ ВІДНОСИН У СФЕРІ МІЖНАРОДНИХ ПЕРЕВЕЗЕНЬ</w:t>
      </w:r>
    </w:p>
    <w:p w14:paraId="13917BC5"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Правовідносини, що виникали з приводу перевезення морських вантажів сягають у 6 століття до нашої ери, тому такі відносини були одними із перших у міжнародному приватному праві. Цивілізаційний розвиток людства дійшов до того, що наразі на нашій планеті існує більше двохсот держав, кожна з яких має своє національне законодавство що стосується міжнародних перевезень. Відсутність єдиного механізму, який би регулював морські перевезення призвело до того, що в доктрині та практиці міжнародного морського права сформувались численні правові колізії та конкуренція норм. Завантаженість системи норм, що регулюють морські перевезення численними актами як національного так і міжнародного характеру дає можливість виділити методи регулювання відносин у сфері міжнародних перевезень.</w:t>
      </w:r>
    </w:p>
    <w:p w14:paraId="4F45F17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Стаття 132 Кодексу торговельного мореплавства визначає міжнародні перевезення як перевезення між портами України та іноземними портами, що здійснюються як суднами, що плавають під Державним прапором України так і тими суднами, що плавають під іноземним прапором [1].</w:t>
      </w:r>
    </w:p>
    <w:p w14:paraId="494DEF5F"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Метод – це сукупність прийомів, способів, засобів впливу на суспільні відносини.</w:t>
      </w:r>
    </w:p>
    <w:p w14:paraId="4DE4FAB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В доктрині та практиці регулювання відносин у сфері міжнародних перевезень виокремлено 3 методи: колізійний, матеріально правовий та метод уніфікації.</w:t>
      </w:r>
    </w:p>
    <w:p w14:paraId="6473D55D"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В літературі міжнародного права зазначається, що при наявності іноземного елемента у відносинах, що регулюються міжнародним приватним правом, виникає феномен що має назву «колізія» законів. Суд, при розгляді спору, обирає право, якому підпорядковуються відносини: право країни суду або країни, з якою цей іноземний елемент пов’язаний [2, с. 434].</w:t>
      </w:r>
    </w:p>
    <w:p w14:paraId="4ACD2D2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Наступним є матеріально правовий метод, що домінує у сфері міжнародних перевезень [3, ст. 95].</w:t>
      </w:r>
    </w:p>
    <w:p w14:paraId="3C4AC966"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Переваги даного методу полягають у наступному: а) більша визначеність стосовно регулювання відносин та правозастосовчої діяльності; б) при використанні цього методу створюється однакове регулювання завдяки нормам міжнародних конвенцій [4, ст. 76].</w:t>
      </w:r>
    </w:p>
    <w:p w14:paraId="1C1D34C9"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lastRenderedPageBreak/>
        <w:t>Щодо використання методу уніфікації при регулюванні відносин у сфері морських перевезень то включаючи уніфіковані норми до складу міжнародного приватного права, що підлягають застосуванню в силу колізійних норм, ми з урахуванням специфічних особливостей права дотримуємося широкої концепції міжнародного приватного права [2, ст. 433].</w:t>
      </w:r>
    </w:p>
    <w:p w14:paraId="277EB79F"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Для вирішення проблем, які виникають при застосуванні колізійного та матеріально-правового методу застосовується метод уніфікації шляхом укладення міжнародних договорів до відносин, що виникають у міжнародному господарському житті при здійсненні підприємницької діяльності [3, ст. 434].</w:t>
      </w:r>
    </w:p>
    <w:p w14:paraId="435715DE"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Проаналізувавши все вищевикладене, ми дійшли наступних висновків: станом на теперішній час при регулюванні відносин у сфері морських перевезень застосовуються всі три методи (колізійний, матеріально-правовий та метод уніфікації). Це зумовлено насамперед тим, що методи з’являлись один за одним поступово з розвитком суспільних відносин та людства в цілому, проте кожен метод має свої переваги і недоліки, що і зумовило їх одночасне застосування. Так, колізійний метод дає більше свободи вибору для регулювання відносин та спрощує взаємодію для приватних підприємств, проте не виключає непорозумінь при виборі того, яке право буде застосоване при вирішенню спору. Матеріально-правовий метод, у свою чергу, дає змогу при регулюванні відносин користуватись нормами міжнародного характеру на основі одного акту, проте не виключає проблеми тлумачення таких норм. Метод уніфікації полягає у тому, щоб застосовувати акт, який подолає розбіжності, що виникають під час вибору, застосування та тлумачення норм на основі уніфікації матеріально-правових норм. На нашу думку, виділяти один з перелічених методів є недоречним, адже кожен з них виконує одне завдання – регулювання суспільних відносин, те, як ці відносини будуть виникати, змінюватись та припинятись залежить від того, хто в ці відносини вступає, яким чином бажає досягти результату та як саме бажає врегулювати розбіжності. Тому в залежності від суб’єкту та моделі його поведінки він вільний у виборі способу регулювання правовідносин.</w:t>
      </w:r>
    </w:p>
    <w:p w14:paraId="7EEECDF2" w14:textId="77777777" w:rsidR="00220D3E" w:rsidRPr="00511005" w:rsidRDefault="00220D3E" w:rsidP="003A292D">
      <w:pPr>
        <w:spacing w:line="264" w:lineRule="auto"/>
        <w:ind w:firstLine="0"/>
        <w:rPr>
          <w:rFonts w:ascii="Arial" w:eastAsiaTheme="minorHAnsi" w:hAnsi="Arial" w:cs="Arial"/>
          <w:szCs w:val="28"/>
          <w:lang w:val="uk-UA"/>
        </w:rPr>
      </w:pPr>
    </w:p>
    <w:p w14:paraId="2A5FB720" w14:textId="03E2A17B" w:rsidR="00220D3E" w:rsidRPr="00511005" w:rsidRDefault="007B2628" w:rsidP="007B2628">
      <w:pPr>
        <w:spacing w:line="264" w:lineRule="auto"/>
        <w:ind w:firstLine="0"/>
        <w:jc w:val="center"/>
        <w:rPr>
          <w:rFonts w:ascii="Arial" w:eastAsiaTheme="minorHAnsi" w:hAnsi="Arial" w:cs="Arial"/>
          <w:b/>
          <w:iCs/>
          <w:szCs w:val="28"/>
          <w:lang w:val="uk-UA"/>
        </w:rPr>
      </w:pPr>
      <w:r w:rsidRPr="00511005">
        <w:rPr>
          <w:rFonts w:ascii="Arial" w:eastAsiaTheme="minorHAnsi" w:hAnsi="Arial" w:cs="Arial"/>
          <w:b/>
          <w:iCs/>
          <w:szCs w:val="28"/>
          <w:lang w:val="uk-UA"/>
        </w:rPr>
        <w:t>Список використаних джерел</w:t>
      </w:r>
    </w:p>
    <w:p w14:paraId="350103FE" w14:textId="77777777" w:rsidR="00220D3E" w:rsidRPr="00511005" w:rsidRDefault="00220D3E" w:rsidP="003F6A5D">
      <w:pPr>
        <w:numPr>
          <w:ilvl w:val="0"/>
          <w:numId w:val="217"/>
        </w:numPr>
        <w:tabs>
          <w:tab w:val="left" w:pos="1134"/>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t xml:space="preserve">Кодекс торговельного мореплавства України, 1995. URL: </w:t>
      </w:r>
      <w:hyperlink r:id="rId766" w:anchor="Text" w:tgtFrame="_blank" w:history="1">
        <w:r w:rsidRPr="00511005">
          <w:rPr>
            <w:rFonts w:ascii="Arial" w:eastAsiaTheme="minorHAnsi" w:hAnsi="Arial" w:cs="Arial"/>
            <w:szCs w:val="28"/>
            <w:lang w:val="uk-UA"/>
          </w:rPr>
          <w:t>https://zakon.rada.gov.ua/laws/show/176/95-вр#Text</w:t>
        </w:r>
      </w:hyperlink>
    </w:p>
    <w:p w14:paraId="0302F80D" w14:textId="77777777" w:rsidR="00220D3E" w:rsidRPr="00511005" w:rsidRDefault="00220D3E" w:rsidP="003F6A5D">
      <w:pPr>
        <w:numPr>
          <w:ilvl w:val="0"/>
          <w:numId w:val="217"/>
        </w:numPr>
        <w:tabs>
          <w:tab w:val="left" w:pos="1134"/>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t xml:space="preserve">Покора І. Є. Співвідношення та взаємодія матеріально-правового та колізійного методів регулювання в міжнародному приватному праві. </w:t>
      </w:r>
      <w:r w:rsidRPr="00511005">
        <w:rPr>
          <w:rFonts w:ascii="Arial" w:eastAsiaTheme="minorHAnsi" w:hAnsi="Arial" w:cs="Arial"/>
          <w:i/>
          <w:szCs w:val="28"/>
          <w:lang w:val="uk-UA"/>
        </w:rPr>
        <w:t>Актуальні проблеми держави і права</w:t>
      </w:r>
      <w:r w:rsidRPr="00511005">
        <w:rPr>
          <w:rFonts w:ascii="Arial" w:eastAsiaTheme="minorHAnsi" w:hAnsi="Arial" w:cs="Arial"/>
          <w:szCs w:val="28"/>
          <w:lang w:val="uk-UA"/>
        </w:rPr>
        <w:t xml:space="preserve">. 2012. Вип. 68. С. 432–439. URL: </w:t>
      </w:r>
      <w:hyperlink r:id="rId767" w:history="1">
        <w:r w:rsidRPr="00511005">
          <w:rPr>
            <w:rFonts w:ascii="Arial" w:eastAsiaTheme="minorHAnsi" w:hAnsi="Arial" w:cs="Arial"/>
            <w:szCs w:val="28"/>
            <w:lang w:val="uk-UA"/>
          </w:rPr>
          <w:t>https://dspace.onua.edu.ua/server/api/core/bitstreams/07b81b9e-55a9-44b0-9651-b1829a9d0fa2/content</w:t>
        </w:r>
      </w:hyperlink>
    </w:p>
    <w:p w14:paraId="23F2B6DC" w14:textId="77777777" w:rsidR="00220D3E" w:rsidRPr="00511005" w:rsidRDefault="00220D3E" w:rsidP="003F6A5D">
      <w:pPr>
        <w:numPr>
          <w:ilvl w:val="0"/>
          <w:numId w:val="217"/>
        </w:numPr>
        <w:tabs>
          <w:tab w:val="left" w:pos="1134"/>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lastRenderedPageBreak/>
        <w:t xml:space="preserve">Покора І.Є. Уніфікація норм про морські вантажні перевезення в міжнародному приватному праві: дис.… канд. юрид. наук: 12.00.03. Одеса, 2021. 257 с. URL: </w:t>
      </w:r>
      <w:hyperlink r:id="rId768" w:tgtFrame="_blank" w:history="1">
        <w:r w:rsidRPr="00511005">
          <w:rPr>
            <w:rFonts w:ascii="Arial" w:eastAsiaTheme="minorHAnsi" w:hAnsi="Arial" w:cs="Arial"/>
            <w:szCs w:val="28"/>
            <w:lang w:val="uk-UA"/>
          </w:rPr>
          <w:t>https://dspace.onua.edu.ua/server/api/core/bitstreams/4a430691-0643-4d26-a45e-51bff4b4a6b4/content</w:t>
        </w:r>
      </w:hyperlink>
    </w:p>
    <w:p w14:paraId="315DC8E0" w14:textId="77777777" w:rsidR="00220D3E" w:rsidRPr="00511005" w:rsidRDefault="00220D3E" w:rsidP="003A292D">
      <w:pPr>
        <w:spacing w:line="264" w:lineRule="auto"/>
        <w:ind w:firstLine="0"/>
        <w:rPr>
          <w:rFonts w:ascii="Arial" w:eastAsiaTheme="minorHAnsi" w:hAnsi="Arial" w:cs="Arial"/>
          <w:b/>
          <w:szCs w:val="28"/>
          <w:lang w:val="uk-UA"/>
        </w:rPr>
      </w:pPr>
    </w:p>
    <w:p w14:paraId="75F017A2" w14:textId="714F6B3F"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i/>
          <w:szCs w:val="28"/>
          <w:lang w:val="uk-UA"/>
        </w:rPr>
        <w:t xml:space="preserve">Ключові слова: </w:t>
      </w:r>
      <w:r w:rsidR="00220D3E" w:rsidRPr="00511005">
        <w:rPr>
          <w:rFonts w:ascii="Arial" w:eastAsiaTheme="minorHAnsi" w:hAnsi="Arial" w:cs="Arial"/>
          <w:szCs w:val="28"/>
          <w:lang w:val="uk-UA"/>
        </w:rPr>
        <w:t>правове регулювання, методи регулювання, колізійний метод, матеріально-правовий метод, метод уніфікації, правові колізії</w:t>
      </w:r>
    </w:p>
    <w:p w14:paraId="16C78F06" w14:textId="14239B10"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i/>
          <w:szCs w:val="28"/>
          <w:lang w:val="uk-UA"/>
        </w:rPr>
        <w:t xml:space="preserve">Key words: </w:t>
      </w:r>
      <w:r w:rsidR="00220D3E" w:rsidRPr="00511005">
        <w:rPr>
          <w:rFonts w:ascii="Arial" w:eastAsiaTheme="minorHAnsi" w:hAnsi="Arial" w:cs="Arial"/>
          <w:szCs w:val="28"/>
          <w:lang w:val="uk-UA"/>
        </w:rPr>
        <w:t>legal regulation, methods of regulation, conflict-of-laws method, substantive legal method, unification method, legal conflicts</w:t>
      </w:r>
    </w:p>
    <w:p w14:paraId="00C6A5B0" w14:textId="63326397" w:rsidR="00220D3E" w:rsidRPr="00511005" w:rsidRDefault="007B2628" w:rsidP="003A292D">
      <w:pPr>
        <w:spacing w:line="264" w:lineRule="auto"/>
        <w:ind w:firstLine="0"/>
        <w:rPr>
          <w:rFonts w:ascii="Arial" w:eastAsiaTheme="minorHAnsi" w:hAnsi="Arial" w:cs="Arial"/>
          <w:i/>
          <w:szCs w:val="28"/>
          <w:lang w:val="uk-UA"/>
        </w:rPr>
      </w:pPr>
      <w:r w:rsidRPr="00511005">
        <w:rPr>
          <w:rFonts w:ascii="Arial" w:eastAsiaTheme="minorHAnsi" w:hAnsi="Arial" w:cs="Arial"/>
          <w:b/>
          <w:i/>
          <w:szCs w:val="28"/>
          <w:lang w:val="uk-UA"/>
        </w:rPr>
        <w:t xml:space="preserve">Науковий керівник: </w:t>
      </w:r>
      <w:r w:rsidR="00220D3E" w:rsidRPr="00511005">
        <w:rPr>
          <w:rFonts w:ascii="Arial" w:eastAsiaTheme="minorHAnsi" w:hAnsi="Arial" w:cs="Arial"/>
          <w:i/>
          <w:szCs w:val="28"/>
          <w:lang w:val="uk-UA"/>
        </w:rPr>
        <w:t>к.ю.н., доцент Міщенко І. В.</w:t>
      </w:r>
    </w:p>
    <w:p w14:paraId="5FCEEF82" w14:textId="77777777" w:rsidR="00220D3E" w:rsidRPr="00511005" w:rsidRDefault="00220D3E" w:rsidP="003A292D">
      <w:pPr>
        <w:spacing w:line="264" w:lineRule="auto"/>
        <w:ind w:firstLine="0"/>
        <w:rPr>
          <w:rFonts w:ascii="Arial" w:eastAsiaTheme="minorHAnsi" w:hAnsi="Arial" w:cs="Arial"/>
          <w:szCs w:val="28"/>
          <w:lang w:val="uk-UA"/>
        </w:rPr>
      </w:pPr>
    </w:p>
    <w:p w14:paraId="20C72C44" w14:textId="77777777" w:rsidR="00220D3E" w:rsidRPr="00511005" w:rsidRDefault="00220D3E" w:rsidP="003A292D">
      <w:pPr>
        <w:spacing w:line="264" w:lineRule="auto"/>
        <w:ind w:firstLine="0"/>
        <w:jc w:val="center"/>
        <w:rPr>
          <w:rFonts w:ascii="Arial" w:eastAsiaTheme="minorHAnsi" w:hAnsi="Arial" w:cs="Arial"/>
          <w:b/>
          <w:bCs/>
          <w:i/>
          <w:iCs/>
          <w:szCs w:val="28"/>
          <w:lang w:val="uk-UA"/>
        </w:rPr>
      </w:pPr>
      <w:r w:rsidRPr="00511005">
        <w:rPr>
          <w:rFonts w:ascii="Arial" w:eastAsiaTheme="minorHAnsi" w:hAnsi="Arial" w:cs="Arial"/>
          <w:b/>
          <w:bCs/>
          <w:i/>
          <w:iCs/>
          <w:szCs w:val="28"/>
          <w:lang w:val="uk-UA"/>
        </w:rPr>
        <w:t>Загребнюк Дар’я Михайлівна</w:t>
      </w:r>
    </w:p>
    <w:p w14:paraId="13F9EA13" w14:textId="35D46EEC" w:rsidR="00220D3E" w:rsidRPr="00511005" w:rsidRDefault="00536AAB"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студентка 1-го курсу магістратури</w:t>
      </w:r>
      <w:r w:rsidR="00BE3972" w:rsidRPr="00511005">
        <w:rPr>
          <w:rFonts w:ascii="Arial" w:eastAsiaTheme="minorHAnsi" w:hAnsi="Arial" w:cs="Arial"/>
          <w:szCs w:val="28"/>
          <w:lang w:val="uk-UA"/>
        </w:rPr>
        <w:t xml:space="preserve"> </w:t>
      </w:r>
      <w:r w:rsidR="001B7B25" w:rsidRPr="00511005">
        <w:rPr>
          <w:rFonts w:ascii="Arial" w:eastAsiaTheme="minorHAnsi" w:hAnsi="Arial" w:cs="Arial"/>
          <w:szCs w:val="28"/>
          <w:lang w:val="uk-UA"/>
        </w:rPr>
        <w:t>факультету судового та міжнародного права</w:t>
      </w:r>
    </w:p>
    <w:p w14:paraId="7595854F" w14:textId="3ED6BDD7" w:rsidR="00220D3E" w:rsidRPr="00511005" w:rsidRDefault="007B2628"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Національного університету «Одеська юридична академія»</w:t>
      </w:r>
    </w:p>
    <w:p w14:paraId="04282090" w14:textId="77777777" w:rsidR="00220D3E" w:rsidRPr="00511005" w:rsidRDefault="00220D3E" w:rsidP="003A292D">
      <w:pPr>
        <w:spacing w:line="264" w:lineRule="auto"/>
        <w:ind w:firstLine="0"/>
        <w:jc w:val="center"/>
        <w:rPr>
          <w:rFonts w:ascii="Arial" w:eastAsiaTheme="minorHAnsi" w:hAnsi="Arial" w:cs="Arial"/>
          <w:szCs w:val="28"/>
          <w:lang w:val="uk-UA"/>
        </w:rPr>
      </w:pPr>
    </w:p>
    <w:p w14:paraId="1275E757" w14:textId="77777777" w:rsidR="00220D3E" w:rsidRPr="00511005" w:rsidRDefault="00220D3E" w:rsidP="003A292D">
      <w:pPr>
        <w:spacing w:line="264" w:lineRule="auto"/>
        <w:ind w:firstLine="0"/>
        <w:jc w:val="center"/>
        <w:rPr>
          <w:rFonts w:ascii="Arial" w:eastAsiaTheme="minorHAnsi" w:hAnsi="Arial" w:cs="Arial"/>
          <w:b/>
          <w:bCs/>
          <w:szCs w:val="28"/>
          <w:lang w:val="uk-UA"/>
        </w:rPr>
      </w:pPr>
      <w:r w:rsidRPr="00511005">
        <w:rPr>
          <w:rFonts w:ascii="Arial" w:eastAsiaTheme="minorHAnsi" w:hAnsi="Arial" w:cs="Arial"/>
          <w:b/>
          <w:bCs/>
          <w:szCs w:val="28"/>
          <w:lang w:val="uk-UA"/>
        </w:rPr>
        <w:t>ЩОДО МОРСЬКОГО СТРАХУВАННЯ ВІД ВОЄННИХ РИЗИКІВ</w:t>
      </w:r>
    </w:p>
    <w:p w14:paraId="5038C2D4"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Повномасштабна війна в Україні стала поворотним моментом для функціонування та розвитку ринку морського страхування. Якщо раніше страхування воєнних ризиків залишалося досить вузькоспеціалізованим напрямом, який використовувався для перевезень у традиційно небезпечних зонах, то на сьогодні воно стало невід’ємною частиною для діяльності судноплавних компаній, які працюють у Чорному та Азовському морях.</w:t>
      </w:r>
    </w:p>
    <w:p w14:paraId="2C973122"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Морське страхування від воєнних ризиків є окремим різновидом страхового захисту, який виник через необхідність покриття специфічних небезпек, що традиційно не є складовою стандартних договорів страхування морських перевезень. Зокрема, у більшості випадків стандартні страхові поліси спеціально виключають покриття ризиків пов’язаних з війною, революцією, повстаннями чи будь-якими ворожими діями проти або з боку воюючої сторони тощо. Крім того, такі поліси не передбачають відшкодування збитків, спричинених застосуванням мін, бомб, ракет, та іншої зброї, яка використовується при ведені війни.</w:t>
      </w:r>
    </w:p>
    <w:p w14:paraId="3F44B154"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Водночас, для автоматичного застосування такого виключення відповідальності, самого лише факту перебування судна в зоні підвищеного ризику буде недостатньо. Ключовим в цьому питані є встановлення причинного зв’язку між конкретною подією та одним із перелічених у полісі ризиків. Інакше кажучи, завдані збитки мають бути безпосередньо спричинені воєнними діями або іншими обставинами, що передбачені в умовах виключення. Якщо ж завдана шкода буде наслідком звичайних </w:t>
      </w:r>
      <w:r w:rsidRPr="00511005">
        <w:rPr>
          <w:rFonts w:ascii="Arial" w:eastAsiaTheme="minorHAnsi" w:hAnsi="Arial" w:cs="Arial"/>
          <w:szCs w:val="28"/>
          <w:lang w:val="uk-UA"/>
        </w:rPr>
        <w:lastRenderedPageBreak/>
        <w:t>морських ризиків, то базове страхування продовжує діяти, навіть якщо подія сталася в зоні підвищеного ризику [1].</w:t>
      </w:r>
    </w:p>
    <w:p w14:paraId="4953C466"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Враховуючи те, що звичайні поліси не охоплюють шкоду завдану внаслідок воєнних ризиків, судновласники, зазвичай, окремо укладають договір щодо страхування таких ризиків, який забезпечує покриття неохоплених випадків, і є критично важливим для безпечної діяльності судноплавства в умовах збройного конфлікту. </w:t>
      </w:r>
    </w:p>
    <w:p w14:paraId="2DA25193"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Початок повномасштабної війни в Україні, суттєво змінив підхід до страхування в регіоні Чорного та Азовського морів. Зокрема, починаючи з лютого 2022 року територіальні води України були включені до переліку районів підвищеного воєнного ризику, а згодом цей перелік було розширено на всі внутрішні води України Таке рішення було прийняте Об’єднаним військовим комітетом Асоціації ринків Ллойда (LMA), чия позиція має вагоме значення для світових страхових ринків [2].</w:t>
      </w:r>
    </w:p>
    <w:p w14:paraId="47204A0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Одним із суттєвих викликів у теперішній ситуації є підвищення страхових премій для суден. Зокрема, у результаті включення українських вод до переліку районів з підвищеним воєнним ризиком, умови страхування морських перевезень зазнали значних змін. Зокрема, багато страхових компаній почали переглядати умови страхування судноплавства, і наразі розмір страхових премій в середньому становить 1 – 1,25 % від вартості судна для рейсів, що відправляються з українських портів [2].</w:t>
      </w:r>
    </w:p>
    <w:p w14:paraId="3CC57970"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Також, варто звернути увагу, що однією з ключових проблем страхування від воєнних ризиків є складність належної оцінки потенційних збитків. Зокрема, страхові компанії часто не мають змоги точно спрогнозувати наслідки збройного конфлікту, що суттєво ускладнює розрахунок страхових премій. Більше того, потрібно розуміти, що масштаби збитків, які можуть бути завдані воєнними діями чи пов’язаними з нею подіями, можуть виявитися настільки значним, що навіть підвищені страхові внески, не гарантують повного покриття збитків [3].</w:t>
      </w:r>
    </w:p>
    <w:p w14:paraId="7ED097A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Крім того, у відповідь на виклики спричинені війною, міжнародні страхові ринки почали запроваджувати додаткові запобіжні механізми у вигляді спеціальних виключень, що мають на меті обмежити ризики, які складно передбачити або оцінити. </w:t>
      </w:r>
    </w:p>
    <w:p w14:paraId="2357A775"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Одним із таких механізмів є запропонований Американським інститутом морського страхування (AIMU) пункт про Five Powers War Clause, який полягає у виключенні з покриття будь-яких збитків, які виникають у разі початку війни між п’ятьма країнами, такими як США, Великою Британією, Францією, Китаєм та рф. Зокрема, цей пункт має на меті обмежити ризики, пов’язані з потенційними конфліктами між державами з найбільшим військовим потенціалом, які можуть мати катастрофічні наслідки для світового економічного середовища, в тому числі і морського страхування та </w:t>
      </w:r>
      <w:r w:rsidRPr="00511005">
        <w:rPr>
          <w:rFonts w:ascii="Arial" w:eastAsiaTheme="minorHAnsi" w:hAnsi="Arial" w:cs="Arial"/>
          <w:szCs w:val="28"/>
          <w:lang w:val="uk-UA"/>
        </w:rPr>
        <w:lastRenderedPageBreak/>
        <w:t>уникнути катастрофічних фінансових втрат страхових компаній, які можуть призвести до їхньої неплатоспроможності [4].</w:t>
      </w:r>
    </w:p>
    <w:p w14:paraId="74C004A6"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Отже, морське страхування від воєнних ризиків є необхідною складовою для забезпечення безпеки мореплавства в умовах збройних конфліктів. Однак, враховуючи труднощі у визначені потенційних збитків, а також зростання страхових премій, умови такого страхування вимагають постійного перегляду та адаптації для забезпечення фінансової стійкості у таких умовах.</w:t>
      </w:r>
    </w:p>
    <w:p w14:paraId="057F49A5" w14:textId="77777777" w:rsidR="00220D3E" w:rsidRPr="00511005" w:rsidRDefault="00220D3E" w:rsidP="003A292D">
      <w:pPr>
        <w:spacing w:line="264" w:lineRule="auto"/>
        <w:ind w:firstLine="0"/>
        <w:rPr>
          <w:rFonts w:ascii="Arial" w:eastAsiaTheme="minorHAnsi" w:hAnsi="Arial" w:cs="Arial"/>
          <w:szCs w:val="28"/>
          <w:lang w:val="uk-UA"/>
        </w:rPr>
      </w:pPr>
    </w:p>
    <w:p w14:paraId="7F3903CC" w14:textId="10DFBDB5" w:rsidR="00220D3E" w:rsidRPr="00511005" w:rsidRDefault="007B2628" w:rsidP="007B2628">
      <w:pPr>
        <w:spacing w:line="264" w:lineRule="auto"/>
        <w:ind w:firstLine="0"/>
        <w:jc w:val="center"/>
        <w:rPr>
          <w:rFonts w:ascii="Arial" w:eastAsiaTheme="minorHAnsi" w:hAnsi="Arial" w:cs="Arial"/>
          <w:b/>
          <w:bCs/>
          <w:szCs w:val="28"/>
          <w:lang w:val="uk-UA"/>
        </w:rPr>
      </w:pPr>
      <w:r w:rsidRPr="00511005">
        <w:rPr>
          <w:rFonts w:ascii="Arial" w:eastAsiaTheme="minorHAnsi" w:hAnsi="Arial" w:cs="Arial"/>
          <w:b/>
          <w:bCs/>
          <w:szCs w:val="28"/>
          <w:lang w:val="uk-UA"/>
        </w:rPr>
        <w:t>Список використаних джерел</w:t>
      </w:r>
    </w:p>
    <w:p w14:paraId="4953A68A"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1. War risks and mutual P&amp;I cover. </w:t>
      </w:r>
      <w:r w:rsidRPr="00511005">
        <w:rPr>
          <w:rFonts w:ascii="Arial" w:eastAsiaTheme="minorHAnsi" w:hAnsi="Arial" w:cs="Arial"/>
          <w:i/>
          <w:iCs/>
          <w:szCs w:val="28"/>
          <w:lang w:val="uk-UA"/>
        </w:rPr>
        <w:t>Lockton P.L. Ferrari</w:t>
      </w:r>
      <w:r w:rsidRPr="00511005">
        <w:rPr>
          <w:rFonts w:ascii="Arial" w:eastAsiaTheme="minorHAnsi" w:hAnsi="Arial" w:cs="Arial"/>
          <w:szCs w:val="28"/>
          <w:lang w:val="uk-UA"/>
        </w:rPr>
        <w:t xml:space="preserve">. URL: </w:t>
      </w:r>
      <w:hyperlink r:id="rId769" w:tgtFrame="_blank" w:history="1">
        <w:r w:rsidRPr="00511005">
          <w:rPr>
            <w:rFonts w:ascii="Arial" w:eastAsiaTheme="minorHAnsi" w:hAnsi="Arial" w:cs="Arial"/>
            <w:szCs w:val="28"/>
            <w:lang w:val="uk-UA"/>
          </w:rPr>
          <w:t>https://www.locktonplferrari.com/posts/war-risks-and-mutual-p-i-cover</w:t>
        </w:r>
      </w:hyperlink>
    </w:p>
    <w:p w14:paraId="2928D8A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2. Військові ризики і не тільки. П’ять питань про морське страхування в Чорному морі. </w:t>
      </w:r>
      <w:r w:rsidRPr="00511005">
        <w:rPr>
          <w:rFonts w:ascii="Arial" w:eastAsiaTheme="minorHAnsi" w:hAnsi="Arial" w:cs="Arial"/>
          <w:i/>
          <w:iCs/>
          <w:szCs w:val="28"/>
          <w:lang w:val="uk-UA"/>
        </w:rPr>
        <w:t>Центр транспортних стратегій</w:t>
      </w:r>
      <w:r w:rsidRPr="00511005">
        <w:rPr>
          <w:rFonts w:ascii="Arial" w:eastAsiaTheme="minorHAnsi" w:hAnsi="Arial" w:cs="Arial"/>
          <w:szCs w:val="28"/>
          <w:lang w:val="uk-UA"/>
        </w:rPr>
        <w:t xml:space="preserve">. URL: </w:t>
      </w:r>
      <w:hyperlink r:id="rId770" w:history="1">
        <w:r w:rsidRPr="00511005">
          <w:rPr>
            <w:rFonts w:ascii="Arial" w:eastAsiaTheme="minorHAnsi" w:hAnsi="Arial" w:cs="Arial"/>
            <w:szCs w:val="28"/>
            <w:lang w:val="uk-UA"/>
          </w:rPr>
          <w:t>https://cfts.org.ua/articles/viyskovi_riziki_i_ne_tilki_pyat_pitan_pro_morske_strakhuvannya_v_chornomu_mori_1991</w:t>
        </w:r>
      </w:hyperlink>
    </w:p>
    <w:p w14:paraId="1F0CFE7A"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3. Kagan J. War Risk Insurance: What it is, How it Works. </w:t>
      </w:r>
      <w:r w:rsidRPr="00511005">
        <w:rPr>
          <w:rFonts w:ascii="Arial" w:eastAsiaTheme="minorHAnsi" w:hAnsi="Arial" w:cs="Arial"/>
          <w:i/>
          <w:iCs/>
          <w:szCs w:val="28"/>
          <w:lang w:val="uk-UA"/>
        </w:rPr>
        <w:t>Investopedia</w:t>
      </w:r>
      <w:r w:rsidRPr="00511005">
        <w:rPr>
          <w:rFonts w:ascii="Arial" w:eastAsiaTheme="minorHAnsi" w:hAnsi="Arial" w:cs="Arial"/>
          <w:szCs w:val="28"/>
          <w:lang w:val="uk-UA"/>
        </w:rPr>
        <w:t xml:space="preserve">. URL: </w:t>
      </w:r>
      <w:hyperlink r:id="rId771" w:tgtFrame="_blank" w:history="1">
        <w:r w:rsidRPr="00511005">
          <w:rPr>
            <w:rFonts w:ascii="Arial" w:eastAsiaTheme="minorHAnsi" w:hAnsi="Arial" w:cs="Arial"/>
            <w:szCs w:val="28"/>
            <w:lang w:val="uk-UA"/>
          </w:rPr>
          <w:t>https://www.investopedia.com/terms/w/war-risk-insurance.asp</w:t>
        </w:r>
      </w:hyperlink>
    </w:p>
    <w:p w14:paraId="508B4671"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4. Zbyszewski M. What is the Five Powers War Clause? </w:t>
      </w:r>
      <w:r w:rsidRPr="00511005">
        <w:rPr>
          <w:rFonts w:ascii="Arial" w:eastAsiaTheme="minorHAnsi" w:hAnsi="Arial" w:cs="Arial"/>
          <w:i/>
          <w:iCs/>
          <w:szCs w:val="28"/>
          <w:lang w:val="uk-UA"/>
        </w:rPr>
        <w:t>ECIB Insider</w:t>
      </w:r>
      <w:r w:rsidRPr="00511005">
        <w:rPr>
          <w:rFonts w:ascii="Arial" w:eastAsiaTheme="minorHAnsi" w:hAnsi="Arial" w:cs="Arial"/>
          <w:szCs w:val="28"/>
          <w:lang w:val="uk-UA"/>
        </w:rPr>
        <w:t xml:space="preserve">. URL: </w:t>
      </w:r>
      <w:hyperlink r:id="rId772" w:tgtFrame="_blank" w:history="1">
        <w:r w:rsidRPr="00511005">
          <w:rPr>
            <w:rFonts w:ascii="Arial" w:eastAsiaTheme="minorHAnsi" w:hAnsi="Arial" w:cs="Arial"/>
            <w:szCs w:val="28"/>
            <w:lang w:val="uk-UA"/>
          </w:rPr>
          <w:t>https://insider.ecibglobal.com/blogs/what-is-the-five-powers-war-clause</w:t>
        </w:r>
      </w:hyperlink>
    </w:p>
    <w:p w14:paraId="0A1A38C4" w14:textId="77777777" w:rsidR="00220D3E" w:rsidRPr="00511005" w:rsidRDefault="00220D3E" w:rsidP="003A292D">
      <w:pPr>
        <w:spacing w:line="264" w:lineRule="auto"/>
        <w:ind w:firstLine="0"/>
        <w:rPr>
          <w:rFonts w:ascii="Arial" w:eastAsiaTheme="minorHAnsi" w:hAnsi="Arial" w:cs="Arial"/>
          <w:szCs w:val="28"/>
          <w:lang w:val="uk-UA"/>
        </w:rPr>
      </w:pPr>
    </w:p>
    <w:p w14:paraId="2B007745" w14:textId="30D3C818"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bCs/>
          <w:i/>
          <w:szCs w:val="28"/>
          <w:lang w:val="uk-UA"/>
        </w:rPr>
        <w:t xml:space="preserve">Ключові слова: </w:t>
      </w:r>
      <w:r w:rsidR="00220D3E" w:rsidRPr="00511005">
        <w:rPr>
          <w:rFonts w:ascii="Arial" w:eastAsiaTheme="minorHAnsi" w:hAnsi="Arial" w:cs="Arial"/>
          <w:szCs w:val="28"/>
          <w:lang w:val="uk-UA"/>
        </w:rPr>
        <w:t>морське страхування, воєнні ризики, війна, страхові компанії, збитки, зони підвищеного ризику.</w:t>
      </w:r>
    </w:p>
    <w:p w14:paraId="4BEC5128" w14:textId="6F3727D0"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bCs/>
          <w:i/>
          <w:szCs w:val="28"/>
          <w:lang w:val="uk-UA"/>
        </w:rPr>
        <w:t xml:space="preserve">Key words: </w:t>
      </w:r>
      <w:r w:rsidR="00220D3E" w:rsidRPr="00511005">
        <w:rPr>
          <w:rFonts w:ascii="Arial" w:eastAsiaTheme="minorHAnsi" w:hAnsi="Arial" w:cs="Arial"/>
          <w:szCs w:val="28"/>
          <w:lang w:val="uk-UA"/>
        </w:rPr>
        <w:t>marine insurance, war risks, war, insurance companies, losses, high-risk areas.</w:t>
      </w:r>
    </w:p>
    <w:p w14:paraId="43F2431F" w14:textId="3145C360" w:rsidR="00220D3E" w:rsidRPr="00511005" w:rsidRDefault="007B2628" w:rsidP="003A292D">
      <w:pPr>
        <w:spacing w:line="264" w:lineRule="auto"/>
        <w:ind w:firstLine="0"/>
        <w:rPr>
          <w:rFonts w:ascii="Arial" w:eastAsiaTheme="minorHAnsi" w:hAnsi="Arial" w:cs="Arial"/>
          <w:i/>
          <w:iCs/>
          <w:szCs w:val="28"/>
          <w:lang w:val="uk-UA"/>
        </w:rPr>
      </w:pPr>
      <w:r w:rsidRPr="00511005">
        <w:rPr>
          <w:rFonts w:ascii="Arial" w:eastAsiaTheme="minorHAnsi" w:hAnsi="Arial" w:cs="Arial"/>
          <w:b/>
          <w:i/>
          <w:iCs/>
          <w:szCs w:val="28"/>
          <w:lang w:val="uk-UA"/>
        </w:rPr>
        <w:t xml:space="preserve">Науковий керівник: </w:t>
      </w:r>
      <w:r w:rsidR="00220D3E" w:rsidRPr="00511005">
        <w:rPr>
          <w:rFonts w:ascii="Arial" w:eastAsiaTheme="minorHAnsi" w:hAnsi="Arial" w:cs="Arial"/>
          <w:i/>
          <w:iCs/>
          <w:szCs w:val="28"/>
          <w:lang w:val="uk-UA"/>
        </w:rPr>
        <w:t>д.ю.н., професор Кормич Б. А.</w:t>
      </w:r>
    </w:p>
    <w:p w14:paraId="4005E310" w14:textId="77777777" w:rsidR="00220D3E" w:rsidRPr="00511005" w:rsidRDefault="00220D3E" w:rsidP="003A292D">
      <w:pPr>
        <w:spacing w:line="264" w:lineRule="auto"/>
        <w:ind w:firstLine="0"/>
        <w:rPr>
          <w:rFonts w:ascii="Arial" w:eastAsiaTheme="minorHAnsi" w:hAnsi="Arial" w:cs="Arial"/>
          <w:szCs w:val="28"/>
          <w:lang w:val="uk-UA"/>
        </w:rPr>
      </w:pPr>
    </w:p>
    <w:p w14:paraId="3CE4BEBF" w14:textId="77777777" w:rsidR="00220D3E" w:rsidRPr="00511005" w:rsidRDefault="00220D3E" w:rsidP="003A292D">
      <w:pPr>
        <w:spacing w:line="264" w:lineRule="auto"/>
        <w:ind w:firstLine="0"/>
        <w:jc w:val="center"/>
        <w:rPr>
          <w:rFonts w:ascii="Arial" w:eastAsiaTheme="minorHAnsi" w:hAnsi="Arial" w:cs="Arial"/>
          <w:b/>
          <w:i/>
          <w:szCs w:val="28"/>
          <w:lang w:val="uk-UA"/>
        </w:rPr>
      </w:pPr>
      <w:r w:rsidRPr="00511005">
        <w:rPr>
          <w:rFonts w:ascii="Arial" w:eastAsiaTheme="minorHAnsi" w:hAnsi="Arial" w:cs="Arial"/>
          <w:b/>
          <w:i/>
          <w:szCs w:val="28"/>
          <w:lang w:val="uk-UA"/>
        </w:rPr>
        <w:t>Карасені Олександра Василівна</w:t>
      </w:r>
    </w:p>
    <w:p w14:paraId="2E766860" w14:textId="4D220579" w:rsidR="00220D3E" w:rsidRPr="00511005" w:rsidRDefault="00536AAB"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 xml:space="preserve">студентка 4-го курсу </w:t>
      </w:r>
      <w:r w:rsidR="001B7B25" w:rsidRPr="00511005">
        <w:rPr>
          <w:rFonts w:ascii="Arial" w:eastAsiaTheme="minorHAnsi" w:hAnsi="Arial" w:cs="Arial"/>
          <w:szCs w:val="28"/>
          <w:lang w:val="uk-UA"/>
        </w:rPr>
        <w:t>факультету судового та міжнародного права</w:t>
      </w:r>
    </w:p>
    <w:p w14:paraId="0F8EED31" w14:textId="0BF501B7" w:rsidR="00220D3E" w:rsidRPr="00511005" w:rsidRDefault="007B2628"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Національного університету «Одеська юридична академія»</w:t>
      </w:r>
    </w:p>
    <w:p w14:paraId="792E1AC2" w14:textId="77777777" w:rsidR="00220D3E" w:rsidRPr="00511005" w:rsidRDefault="00220D3E" w:rsidP="003A292D">
      <w:pPr>
        <w:spacing w:line="264" w:lineRule="auto"/>
        <w:ind w:firstLine="0"/>
        <w:jc w:val="center"/>
        <w:rPr>
          <w:rFonts w:ascii="Arial" w:eastAsiaTheme="minorHAnsi" w:hAnsi="Arial" w:cs="Arial"/>
          <w:szCs w:val="28"/>
          <w:lang w:val="uk-UA"/>
        </w:rPr>
      </w:pPr>
    </w:p>
    <w:p w14:paraId="78C579E3" w14:textId="77777777" w:rsidR="00220D3E" w:rsidRPr="00511005" w:rsidRDefault="00220D3E" w:rsidP="003A292D">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ДОКАЗУВАННЯ У СПРАВАХ ПРО ПОРУШЕННЯ МИТНИХ ПРАВИЛ</w:t>
      </w:r>
    </w:p>
    <w:p w14:paraId="4AE1EB95"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сучасних умовах динамічного розвитку міжнародної торгівлі митне регулювання набуває все більшого значення як один з інструментів забезпечення економічної безпеки держави. Від того, наскільки ефективно функціонує система контролю за дотриманням митних процедур, залежить не лише стабільність торгівельного середовища, а й рівень довіри до державних інституцій та рівновага у зовнішньоекономічних відносинах. Дотримання митного законодавства створює конкурентоспроможні умови для бізнесу і водночас унеможливлює зловживання з боку недобросовісних учасників зовнішньоекономічної діяльності [1, с. 33].</w:t>
      </w:r>
    </w:p>
    <w:p w14:paraId="58177F2E"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Митне право, за своєю правовою природою, виступає не просто як складова частина системи публічного права, а як самостійна й міжгалузева правова конструкція. Воно поєднує у собі норми різних галузей: адміністративного, кримінального, фінансового, податкового та навіть трудового права. Такий міждисциплінарний характер обумовлений специфікою правовідносин, що виникають у сфері митної діяльності, а також необхідністю комплексного підходу до регулювання порушень митного законодавства. Відповідальність за порушення митних правил передбачена у кількох формах – адміністративній, кримінальній, цивільно-правовій та дисциплінарній – що підтверджує складну структуру цього інституту [2, с. 97].</w:t>
      </w:r>
    </w:p>
    <w:p w14:paraId="1876EF90"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Водночас більшість порушень у митній сфері мають адміністративно-правовий характер. Як вказано у статті 458 Митного кодексу України, такі правопорушення полягають у діях чи бездіяльності, що порушують порядок переміщення товарів та транспортних засобів через митний кордон, а також процедури їх оформлення і контролю. Йдеться про випадки невірного декларування, неповного подання інформації або ігнорування обов’язків перед митними органами. За ці дії Кодексом передбачені адміністративні санкції, що є важливою частиною механізму правового реагування на порушення митного порядку [3].</w:t>
      </w:r>
    </w:p>
    <w:p w14:paraId="25D137B6"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Процедура доказування у справах щодо порушень митного законодавства в Україні регламентується лише частково та має фрагментарний характер. Вона тісно пов’язана з адміністративним провадженням у справах про порушення митних правил. Митний кодекс України визначає загальні засади ведення таких справ, однак у випадках, коли норми самого кодексу не дають вичерпного регулювання, допускається застосування положень законодавства України про адміністративні правопорушення. Таким чином, на практиці застосовується субсидіарний принцип, коли норми Кодексу України про адміністративні правопорушення доповнюють митне законодавство в межах, не охоплених останнім. Водночас, питання відповідальності за порушення митних правил регулюється виключно положеннями Митного кодексу, що зумовлює його спеціальний характер у цій сфері правовідносин [4, с. 81].</w:t>
      </w:r>
    </w:p>
    <w:p w14:paraId="66531722"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Аналізуючи механізм доказування у справах про порушення митних правил, можна виокремити кілька логічно послідовних етапів, які у своїй сукупності формують структуру процесу доказування. Насамперед, ідеться про первинне виявлення самого факту порушення або отримання достовірної інформації про можливість його вчинення. Наступним етапом є фіксація виявленого правопорушення, що, як правило, здійснюється шляхом складання відповідного процесуального документа – протоколу, або ж шляхом направлення запитів до компетентних державних органів, включаючи й зарубіжні інституції у разі міжнародного елементу. Далі забезпечується належне зберігання зібраних доказів, після чого </w:t>
      </w:r>
      <w:r w:rsidRPr="00511005">
        <w:rPr>
          <w:rFonts w:ascii="Arial" w:eastAsia="Times New Roman" w:hAnsi="Arial" w:cs="Arial"/>
          <w:szCs w:val="28"/>
          <w:lang w:val="uk-UA"/>
        </w:rPr>
        <w:lastRenderedPageBreak/>
        <w:t>проводиться їх дослідження. Завершальним етапом виступає перевірка достовірності доказів та їх правова оцінка з позиції можливості використання у провадженні [5, с. 400].</w:t>
      </w:r>
    </w:p>
    <w:p w14:paraId="1CAB6146"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Доказування у справах, пов’язаних із порушенням митних правил, має низку характерних рис, що обумовлені як особливою природою правопорушень у цій сфері, так і специфікою регулювання, притаманною митному законодавству. Йдеться, передусім, про особливий підхід до збору, оцінювання та використання доказів, який має відмінності порівняно з іншими видами адміністративних справ. У Митному кодексі України, зокрема у статті 495, міститься визначення поняття доказів у справах цієї категорії: це будь-які фактичні дані, які у встановленому законодавством порядку використовуються органами доходів і зборів або судом для встановлення обставин, що підтверджують чи спростовують сам факт порушення митних правил, а також вказують на наявність чи відсутність вини конкретної особи у його вчиненні та інші важливі для розгляду справи деталі [6, с. 52].</w:t>
      </w:r>
    </w:p>
    <w:p w14:paraId="75BF7FCF"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До джерел доказів, які визнаються допустимими в межах розгляду таких справ, належать різні види процесуальних документів, зокрема протоколи про порушення митних правил, акти проведених дій, а також матеріали, що додаються до них. Поряд із цим, важливу доказову роль відіграють пояснення свідків, позиція особи, яка притягується до адміністративної відповідальності, висновки експертів, а також відомості, що мають як традиційну, так і електронну форму. Окрему категорію становлять речові докази — зокрема товари, що стали об’єктами правопорушення, вироби з прихованими сховищами, через які здійснювалося маскування предметів від митного контролю, а також транспортні засоби, які використовувалися з метою переміщення товарів через державний кордон з порушенням встановленого порядку [7, с. 52].</w:t>
      </w:r>
    </w:p>
    <w:p w14:paraId="4E97300B"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Отже, доказування у справах про порушення митних правил характеризується поєднанням класичних адміністративних інструментів з елементами, притаманними саме митній сфері, що вимагає від посадових осіб не лише юридичної обізнаності, а й фахового розуміння митних процесів, товарної експертизи та процедур міжнародного контролю.</w:t>
      </w:r>
    </w:p>
    <w:p w14:paraId="191AFBFA" w14:textId="77777777" w:rsidR="00220D3E" w:rsidRPr="00511005" w:rsidRDefault="00220D3E" w:rsidP="003A292D">
      <w:pPr>
        <w:spacing w:line="264" w:lineRule="auto"/>
        <w:ind w:firstLine="0"/>
        <w:rPr>
          <w:rFonts w:ascii="Arial" w:eastAsia="Times New Roman" w:hAnsi="Arial" w:cs="Arial"/>
          <w:szCs w:val="28"/>
          <w:lang w:val="uk-UA"/>
        </w:rPr>
      </w:pPr>
    </w:p>
    <w:p w14:paraId="3B416177" w14:textId="558658E9" w:rsidR="00220D3E" w:rsidRPr="00511005" w:rsidRDefault="007B2628" w:rsidP="007B2628">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5644DC2F"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1. Бухарєва Ю.В. Зарубіжний досвід протидії порушенням митних правил. </w:t>
      </w:r>
      <w:r w:rsidRPr="00511005">
        <w:rPr>
          <w:rFonts w:ascii="Arial" w:eastAsia="Times New Roman" w:hAnsi="Arial" w:cs="Arial"/>
          <w:i/>
          <w:szCs w:val="28"/>
          <w:lang w:val="uk-UA"/>
        </w:rPr>
        <w:t>Forum Prava.</w:t>
      </w:r>
      <w:r w:rsidRPr="00511005">
        <w:rPr>
          <w:rFonts w:ascii="Arial" w:eastAsia="Times New Roman" w:hAnsi="Arial" w:cs="Arial"/>
          <w:szCs w:val="28"/>
          <w:lang w:val="uk-UA"/>
        </w:rPr>
        <w:t xml:space="preserve"> 2024. № 78(1). С. 32–39.</w:t>
      </w:r>
    </w:p>
    <w:p w14:paraId="2ABFDBA1"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2. Лисак Р.Ю. Адміністративна відповідальність за порушення митних правил. </w:t>
      </w:r>
      <w:r w:rsidRPr="00511005">
        <w:rPr>
          <w:rFonts w:ascii="Arial" w:eastAsia="Times New Roman" w:hAnsi="Arial" w:cs="Arial"/>
          <w:i/>
          <w:szCs w:val="28"/>
          <w:lang w:val="uk-UA"/>
        </w:rPr>
        <w:t xml:space="preserve">Актуальні питання фінансової теорії та практики: </w:t>
      </w:r>
      <w:r w:rsidRPr="00511005">
        <w:rPr>
          <w:rFonts w:ascii="Arial" w:eastAsia="Times New Roman" w:hAnsi="Arial" w:cs="Arial"/>
          <w:szCs w:val="28"/>
          <w:lang w:val="uk-UA"/>
        </w:rPr>
        <w:t>зб. матеріалів ІХ заочно-дистанц. наук. конф. студ. і мол. учених (м. Тернопіль, 15 квіт. 2022 р.). Ч. 1. С. 97–100.</w:t>
      </w:r>
    </w:p>
    <w:p w14:paraId="1D598030" w14:textId="77777777" w:rsidR="00220D3E" w:rsidRPr="00511005" w:rsidRDefault="00220D3E" w:rsidP="003A292D">
      <w:pPr>
        <w:spacing w:line="264" w:lineRule="auto"/>
        <w:ind w:firstLine="0"/>
        <w:rPr>
          <w:rFonts w:ascii="Arial" w:eastAsia="Times New Roman" w:hAnsi="Arial" w:cs="Arial"/>
          <w:b/>
          <w:i/>
          <w:szCs w:val="28"/>
          <w:lang w:val="uk-UA"/>
        </w:rPr>
      </w:pPr>
      <w:r w:rsidRPr="00511005">
        <w:rPr>
          <w:rFonts w:ascii="Arial" w:eastAsia="Times New Roman" w:hAnsi="Arial" w:cs="Arial"/>
          <w:szCs w:val="28"/>
          <w:lang w:val="uk-UA"/>
        </w:rPr>
        <w:t xml:space="preserve">4. Митний кодекс України, 2012. URL: </w:t>
      </w:r>
      <w:hyperlink r:id="rId773" w:history="1">
        <w:r w:rsidRPr="00511005">
          <w:rPr>
            <w:rFonts w:ascii="Arial" w:eastAsia="Times New Roman" w:hAnsi="Arial" w:cs="Arial"/>
            <w:szCs w:val="28"/>
            <w:lang w:val="uk-UA"/>
          </w:rPr>
          <w:t>https://zakon.rada.gov.ua/laws/show/4495-17</w:t>
        </w:r>
      </w:hyperlink>
    </w:p>
    <w:p w14:paraId="0D977CF8"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 xml:space="preserve">5. Чернявська О. Поняття та предмет доказування у справах про порушення митних правил як нормативна та доктринальна категорія адміністративного права. </w:t>
      </w:r>
      <w:r w:rsidRPr="00511005">
        <w:rPr>
          <w:rFonts w:ascii="Arial" w:eastAsia="Times New Roman" w:hAnsi="Arial" w:cs="Arial"/>
          <w:i/>
          <w:szCs w:val="28"/>
          <w:lang w:val="uk-UA"/>
        </w:rPr>
        <w:t>Knowledge, Education, Law, Management</w:t>
      </w:r>
      <w:r w:rsidRPr="00511005">
        <w:rPr>
          <w:rFonts w:ascii="Arial" w:eastAsia="Times New Roman" w:hAnsi="Arial" w:cs="Arial"/>
          <w:szCs w:val="28"/>
          <w:lang w:val="uk-UA"/>
        </w:rPr>
        <w:t>. 2020. № 4(32). Vol. 3. С. 79–84.</w:t>
      </w:r>
    </w:p>
    <w:p w14:paraId="07A1ED2B" w14:textId="77777777" w:rsidR="00220D3E" w:rsidRPr="00511005" w:rsidRDefault="00220D3E" w:rsidP="003A292D">
      <w:pPr>
        <w:spacing w:line="264" w:lineRule="auto"/>
        <w:ind w:firstLine="0"/>
        <w:rPr>
          <w:rFonts w:ascii="Arial" w:eastAsia="Times New Roman" w:hAnsi="Arial" w:cs="Arial"/>
          <w:b/>
          <w:i/>
          <w:szCs w:val="28"/>
          <w:lang w:val="uk-UA"/>
        </w:rPr>
      </w:pPr>
      <w:r w:rsidRPr="00511005">
        <w:rPr>
          <w:rFonts w:ascii="Arial" w:eastAsia="Times New Roman" w:hAnsi="Arial" w:cs="Arial"/>
          <w:szCs w:val="28"/>
          <w:lang w:val="uk-UA"/>
        </w:rPr>
        <w:t xml:space="preserve">6. Чернявська О.М., Білак Н.І. Удосконалення інституту доказування у справах про порушення митних правил. </w:t>
      </w:r>
      <w:r w:rsidRPr="00511005">
        <w:rPr>
          <w:rFonts w:ascii="Arial" w:eastAsia="Times New Roman" w:hAnsi="Arial" w:cs="Arial"/>
          <w:i/>
          <w:szCs w:val="28"/>
          <w:lang w:val="uk-UA"/>
        </w:rPr>
        <w:t xml:space="preserve">Modern researches: Progress of the legislation of Ukraine and experience of the European Union: </w:t>
      </w:r>
      <w:r w:rsidRPr="00511005">
        <w:rPr>
          <w:rFonts w:ascii="Arial" w:eastAsia="Times New Roman" w:hAnsi="Arial" w:cs="Arial"/>
          <w:szCs w:val="28"/>
          <w:lang w:val="uk-UA"/>
        </w:rPr>
        <w:t>сollective monograph. Riga: Izdevniecība «Baltija Publishing», 2020. P. 1. P. 394–409.</w:t>
      </w:r>
    </w:p>
    <w:p w14:paraId="6A145180" w14:textId="77777777" w:rsidR="00220D3E" w:rsidRPr="00511005" w:rsidRDefault="00220D3E" w:rsidP="003A292D">
      <w:pPr>
        <w:spacing w:line="264" w:lineRule="auto"/>
        <w:ind w:firstLine="0"/>
        <w:rPr>
          <w:rFonts w:ascii="Arial" w:eastAsia="Times New Roman" w:hAnsi="Arial" w:cs="Arial"/>
          <w:b/>
          <w:szCs w:val="28"/>
          <w:lang w:val="uk-UA"/>
        </w:rPr>
      </w:pPr>
      <w:r w:rsidRPr="00511005">
        <w:rPr>
          <w:rFonts w:ascii="Arial" w:eastAsia="Times New Roman" w:hAnsi="Arial" w:cs="Arial"/>
          <w:szCs w:val="28"/>
          <w:lang w:val="uk-UA"/>
        </w:rPr>
        <w:t xml:space="preserve">7. Чернявська О.М. Докази та доказування у справах про порушення митних правил: до питання вдосконалення правового забезпечення. </w:t>
      </w:r>
      <w:r w:rsidRPr="00511005">
        <w:rPr>
          <w:rFonts w:ascii="Arial" w:eastAsia="Times New Roman" w:hAnsi="Arial" w:cs="Arial"/>
          <w:i/>
          <w:szCs w:val="28"/>
          <w:lang w:val="uk-UA"/>
        </w:rPr>
        <w:t>Lex Portus</w:t>
      </w:r>
      <w:r w:rsidRPr="00511005">
        <w:rPr>
          <w:rFonts w:ascii="Arial" w:eastAsia="Times New Roman" w:hAnsi="Arial" w:cs="Arial"/>
          <w:szCs w:val="28"/>
          <w:lang w:val="uk-UA"/>
        </w:rPr>
        <w:t>. 2019. № 3(17). С. 50–58.</w:t>
      </w:r>
    </w:p>
    <w:p w14:paraId="28879543" w14:textId="77777777" w:rsidR="00220D3E" w:rsidRPr="00511005" w:rsidRDefault="00220D3E" w:rsidP="003A292D">
      <w:pPr>
        <w:spacing w:line="264" w:lineRule="auto"/>
        <w:ind w:firstLine="0"/>
        <w:rPr>
          <w:rFonts w:ascii="Arial" w:eastAsia="Times New Roman" w:hAnsi="Arial" w:cs="Arial"/>
          <w:b/>
          <w:szCs w:val="28"/>
          <w:lang w:val="uk-UA"/>
        </w:rPr>
      </w:pPr>
    </w:p>
    <w:p w14:paraId="7475E52E" w14:textId="46403C6E" w:rsidR="00220D3E"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220D3E" w:rsidRPr="00511005">
        <w:rPr>
          <w:rFonts w:ascii="Arial" w:eastAsia="Times New Roman" w:hAnsi="Arial" w:cs="Arial"/>
          <w:szCs w:val="28"/>
          <w:lang w:val="uk-UA"/>
        </w:rPr>
        <w:t>митне правопорушення, доказування, адміністративна відповідальність, джерела доказів, порушення митних правил, процесуальні документи, речові докази, пояснення свідків, висновок експерта.</w:t>
      </w:r>
    </w:p>
    <w:p w14:paraId="69E61E9A" w14:textId="2C8DC4EB" w:rsidR="00220D3E"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220D3E" w:rsidRPr="00511005">
        <w:rPr>
          <w:rFonts w:ascii="Arial" w:eastAsia="Times New Roman" w:hAnsi="Arial" w:cs="Arial"/>
          <w:szCs w:val="28"/>
          <w:lang w:val="uk-UA"/>
        </w:rPr>
        <w:t>customs offense, evidence, administrative liability, sources of evidence, customs rules violation, procedural documents, physical evidence, witness testimony, expert opinion.</w:t>
      </w:r>
    </w:p>
    <w:p w14:paraId="3C30F4C1" w14:textId="2B8452BC" w:rsidR="00220D3E" w:rsidRPr="00511005" w:rsidRDefault="007B2628" w:rsidP="003A292D">
      <w:pPr>
        <w:spacing w:line="264" w:lineRule="auto"/>
        <w:ind w:firstLine="0"/>
        <w:rPr>
          <w:rFonts w:ascii="Arial" w:eastAsia="Times New Roman" w:hAnsi="Arial" w:cs="Arial"/>
          <w:bCs/>
          <w:i/>
          <w:iCs/>
          <w:szCs w:val="28"/>
          <w:lang w:val="uk-UA"/>
        </w:rPr>
      </w:pPr>
      <w:r w:rsidRPr="00511005">
        <w:rPr>
          <w:rFonts w:ascii="Arial" w:eastAsia="Times New Roman" w:hAnsi="Arial" w:cs="Arial"/>
          <w:b/>
          <w:bCs/>
          <w:i/>
          <w:iCs/>
          <w:szCs w:val="28"/>
          <w:lang w:val="uk-UA"/>
        </w:rPr>
        <w:t xml:space="preserve">Науковий керівник: </w:t>
      </w:r>
      <w:r w:rsidR="00220D3E" w:rsidRPr="00511005">
        <w:rPr>
          <w:rFonts w:ascii="Arial" w:eastAsia="Times New Roman" w:hAnsi="Arial" w:cs="Arial"/>
          <w:bCs/>
          <w:i/>
          <w:iCs/>
          <w:szCs w:val="28"/>
          <w:lang w:val="uk-UA"/>
        </w:rPr>
        <w:t>к.ю.н., доцент Коваль Н. О.</w:t>
      </w:r>
    </w:p>
    <w:p w14:paraId="3D2A5ECA" w14:textId="77777777" w:rsidR="00220D3E" w:rsidRPr="00511005" w:rsidRDefault="00220D3E" w:rsidP="003A292D">
      <w:pPr>
        <w:spacing w:line="264" w:lineRule="auto"/>
        <w:ind w:firstLine="0"/>
        <w:jc w:val="center"/>
        <w:rPr>
          <w:rFonts w:ascii="Arial" w:eastAsiaTheme="minorHAnsi" w:hAnsi="Arial" w:cs="Arial"/>
          <w:szCs w:val="28"/>
          <w:lang w:val="uk-UA"/>
        </w:rPr>
      </w:pPr>
    </w:p>
    <w:p w14:paraId="1D833A96" w14:textId="77777777" w:rsidR="00220D3E" w:rsidRPr="00511005" w:rsidRDefault="00220D3E" w:rsidP="003A292D">
      <w:pPr>
        <w:spacing w:line="264" w:lineRule="auto"/>
        <w:ind w:firstLine="0"/>
        <w:jc w:val="center"/>
        <w:rPr>
          <w:rFonts w:ascii="Arial" w:eastAsiaTheme="minorHAnsi" w:hAnsi="Arial" w:cs="Arial"/>
          <w:b/>
          <w:bCs/>
          <w:i/>
          <w:iCs/>
          <w:szCs w:val="28"/>
          <w:lang w:val="uk-UA"/>
        </w:rPr>
      </w:pPr>
      <w:r w:rsidRPr="00511005">
        <w:rPr>
          <w:rFonts w:ascii="Arial" w:eastAsiaTheme="minorHAnsi" w:hAnsi="Arial" w:cs="Arial"/>
          <w:b/>
          <w:bCs/>
          <w:i/>
          <w:iCs/>
          <w:szCs w:val="28"/>
          <w:lang w:val="uk-UA"/>
        </w:rPr>
        <w:t>Клапоущак Дарʼя Сергіївна</w:t>
      </w:r>
    </w:p>
    <w:p w14:paraId="4E6B3FBE" w14:textId="77AAF90E" w:rsidR="00220D3E" w:rsidRPr="00511005" w:rsidRDefault="00536AAB"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студентка 1-го курсу магістратури</w:t>
      </w:r>
      <w:r w:rsidR="00BE3972" w:rsidRPr="00511005">
        <w:rPr>
          <w:rFonts w:ascii="Arial" w:eastAsiaTheme="minorHAnsi" w:hAnsi="Arial" w:cs="Arial"/>
          <w:szCs w:val="28"/>
          <w:lang w:val="uk-UA"/>
        </w:rPr>
        <w:t xml:space="preserve"> </w:t>
      </w:r>
      <w:r w:rsidR="001B7B25" w:rsidRPr="00511005">
        <w:rPr>
          <w:rFonts w:ascii="Arial" w:eastAsiaTheme="minorHAnsi" w:hAnsi="Arial" w:cs="Arial"/>
          <w:szCs w:val="28"/>
          <w:lang w:val="uk-UA"/>
        </w:rPr>
        <w:t>факультету судового та міжнародного права</w:t>
      </w:r>
    </w:p>
    <w:p w14:paraId="03793F28" w14:textId="4F6339B1" w:rsidR="00220D3E" w:rsidRPr="00511005" w:rsidRDefault="00C66506"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Національного університету «Одеська юридична академія»</w:t>
      </w:r>
    </w:p>
    <w:p w14:paraId="5D78A0EB" w14:textId="77777777" w:rsidR="00220D3E" w:rsidRPr="00511005" w:rsidRDefault="00220D3E" w:rsidP="003A292D">
      <w:pPr>
        <w:spacing w:line="264" w:lineRule="auto"/>
        <w:ind w:firstLine="0"/>
        <w:jc w:val="center"/>
        <w:rPr>
          <w:rFonts w:ascii="Arial" w:eastAsiaTheme="minorHAnsi" w:hAnsi="Arial" w:cs="Arial"/>
          <w:szCs w:val="28"/>
          <w:lang w:val="uk-UA"/>
        </w:rPr>
      </w:pPr>
    </w:p>
    <w:p w14:paraId="77C24AD5" w14:textId="77777777" w:rsidR="00220D3E" w:rsidRPr="00511005" w:rsidRDefault="00220D3E" w:rsidP="003A292D">
      <w:pPr>
        <w:spacing w:line="264" w:lineRule="auto"/>
        <w:ind w:firstLine="0"/>
        <w:jc w:val="center"/>
        <w:rPr>
          <w:rFonts w:ascii="Arial" w:eastAsiaTheme="minorHAnsi" w:hAnsi="Arial" w:cs="Arial"/>
          <w:b/>
          <w:bCs/>
          <w:szCs w:val="28"/>
          <w:lang w:val="uk-UA"/>
        </w:rPr>
      </w:pPr>
      <w:r w:rsidRPr="00511005">
        <w:rPr>
          <w:rFonts w:ascii="Arial" w:eastAsiaTheme="minorHAnsi" w:hAnsi="Arial" w:cs="Arial"/>
          <w:b/>
          <w:bCs/>
          <w:szCs w:val="28"/>
          <w:lang w:val="uk-UA"/>
        </w:rPr>
        <w:t>ПРОБЛЕМНІ ПИТАННЯ МОРСЬКОГО ТА МИТНОГО ПРАВА ТА РОЗВИТОК МОРСЬКИХ ПЕРЕВЕЗЕНЬ З УКРАЇНСЬКИХ ПОРТІВ</w:t>
      </w:r>
    </w:p>
    <w:p w14:paraId="73BDCA0F"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У сучасному світі морські перевезення залишаються одним із ключових елементів міжнародної торгівлі, забезпечуючи ефективну логістику, глобальний рух товарів та економічну інтеграцію держав. Проте, незважаючи на багаторівневу систему міжнародного та національного регулювання, морське та митне право стикаються з низкою суттєвих проблем, які вимагають ґрунтовного наукового осмислення та нормативного удосконалення.</w:t>
      </w:r>
    </w:p>
    <w:p w14:paraId="52FD84E1"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Однією з найгостріших проблем морського права є відсутність єдиного глобального стандарту щодо юрисдикції держав у виключних економічних зонах, а також у територіях із особливим статусом, зокрема в умовах збройного конфлікту або окупації. Прикладом такої ситуації є правовий статус акваторій Чорного та Азовського морів і Керченської протоки, де, як зазначають Б. Бабін та Е. Плешко, спостерігається кричуще порушення суверенітету України та нехтування міжнародно-правовими нормами з боку Російської Федерації. Вчені наголошують, що в умовах тимчасової окупації </w:t>
      </w:r>
      <w:r w:rsidRPr="00511005">
        <w:rPr>
          <w:rFonts w:ascii="Arial" w:eastAsiaTheme="minorHAnsi" w:hAnsi="Arial" w:cs="Arial"/>
          <w:szCs w:val="28"/>
          <w:lang w:val="uk-UA"/>
        </w:rPr>
        <w:lastRenderedPageBreak/>
        <w:t>забезпечення права на свободу судноплавства, як і контроль за економічною діяльністю в цих акваторіях, потребує нового підходу до застосування норм міжнародного морського права [2].</w:t>
      </w:r>
    </w:p>
    <w:p w14:paraId="62DF8713"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Проблемним також є питання забезпечення безпеки портів та портової інфраструктури, яке набуває особливої ваги в контексті глобальних терористичних загроз. С. Андрущенко обґрунтовано підкреслює, що механізми безпеки, визначені Міжнародним кодексом з охорони суден і портових засобів (ISPS Code), повинні розглядатися не лише як технічний інструмент, а як елемент міжнародного правопорядку, який вимагає чіткого правового механізму імплементації на національному рівні [1]. Проте, як свідчить аналіз українського законодавства, зокрема Кодексу торговельного мореплавства України та підзаконних актів, імплементація цих вимог відбувається фрагментарно та без належного механізму контролю за їх виконанням.</w:t>
      </w:r>
    </w:p>
    <w:p w14:paraId="344DCDDA"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Не менш значною є проблема адаптації морського законодавства до новітніх цифрових технологій, які все активніше впроваджуються у сферу судноплавства, вантажного обліку, логістики та митного оформлення. Як зазначають С. Кузнецов і Т. Аверочкіна, класичне морське право має тенденцію до консерватизму, що, однак, не відповідає викликам часу, зокрема з урахуванням автоматизації портів, використання блокчейн-технологій у логістичних ланцюгах та електронного документообігу [5]. Це породжує колізії між усталеними нормами морського права та новітніми механізмами комерційного морського обігу, що вимагає оновлення підходів до нормотворення.</w:t>
      </w:r>
    </w:p>
    <w:p w14:paraId="27DEF7E4"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У сфері митного права проблемність носить як теоретичний, так і прикладний характер. По-перше, значна частина норм Митного кодексу України залишається складною для тлумачення через наявність неузгодженостей із нормами інших законів, зокрема законодавства про зовнішньоекономічну діяльність. Як наголошує І. Співак, навіть за наявності системи електронного декларування, велика частина процесів залишається надто забюрократизованою, що створює підґрунтя для корупційних проявів [8].</w:t>
      </w:r>
    </w:p>
    <w:p w14:paraId="2FD8BB8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Крім того, С. Перепьолкін акцентує увагу на тому, що міжнародне митне право, незважаючи на свою інституційну структурованість у вигляді ВМО (Всесвітньої митної організації), не має належного механізму примусу до виконання своїх рішень, що унеможливлює його ефективне застосування у конфліктних ситуаціях між державами [7]. Вчений вважає, що слід перейти до концептуального переосмислення ролі міжнародних митних угод як джерела не лише рекомендацій, але й зобов’язуючих норм для країн-учасниць.</w:t>
      </w:r>
    </w:p>
    <w:p w14:paraId="289FBBE8"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Окремим блоком проблем виступає питання правової визначеності процедур митного оформлення морських вантажів, особливо в контексті </w:t>
      </w:r>
      <w:r w:rsidRPr="00511005">
        <w:rPr>
          <w:rFonts w:ascii="Arial" w:eastAsiaTheme="minorHAnsi" w:hAnsi="Arial" w:cs="Arial"/>
          <w:szCs w:val="28"/>
          <w:lang w:val="uk-UA"/>
        </w:rPr>
        <w:lastRenderedPageBreak/>
        <w:t>змішаного (мультимодального) транспорту. У практиці часто виникають суперечки щодо визначення митної вартості, походження товару, його класифікації за УКТ ЗЕД. Як підкреслюється в Митному кодексі України, саме митна вартість є базовим показником для визначення розміру податків і зборів, однак механізм її визначення є громіздким і схильним до суб’єктивних трактувань з боку посадових осіб митних органів [6].</w:t>
      </w:r>
    </w:p>
    <w:p w14:paraId="12F88927"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Крім суто нормативних проблем, слід згадати і про організаційні та кадрові виклики, що стоять перед митною та морською службами. Як зазначено у працях О. Гавриленко, Л. Новікової та Т. Сироїд, ефективність міжнародного права значною мірою залежить від здатності національних правових систем до його імплементації та застосування [3]. У цьому контексті критично важливим є належне навчання та підготовка кадрів, здатних розуміти як логіку міжнародного законодавства, так і його взаємозв’язок із внутрішніми нормами.</w:t>
      </w:r>
    </w:p>
    <w:p w14:paraId="63B256C9"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Також варто звернути увагу на конституційний аспект регулювання морської та митної політики. Конституція України гарантує державний суверенітет, територіальну цілісність та контроль над кордонами, зокрема морськими, а також визначає правові засади функціонування митних органів як складової державної виконавчої влади [4]. Таким чином, усунення прогалин у морському та митному праві має не лише економічне, але й стратегічне значення для національної безпеки.</w:t>
      </w:r>
    </w:p>
    <w:p w14:paraId="4BB85102"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Підсумовуючи викладене, можна стверджувати, що проблемні питання морського та митного права мають багатовимірний характер і вимагають системного підходу до їх розв’язання. Це включає як гармонізацію законодавства з міжнародними стандартами, так і вдосконалення національних механізмів реалізації, у тому числі через цифровізацію, підвищення рівня прозорості та професіоналізації фахівців галузі. Без цього важко уявити сталий розвиток України як морської держави та ефективного актора глобальної економіки.</w:t>
      </w:r>
    </w:p>
    <w:p w14:paraId="79089A75" w14:textId="77777777" w:rsidR="00220D3E" w:rsidRPr="00511005" w:rsidRDefault="00220D3E" w:rsidP="003A292D">
      <w:pPr>
        <w:spacing w:line="264" w:lineRule="auto"/>
        <w:ind w:firstLine="0"/>
        <w:rPr>
          <w:rFonts w:ascii="Arial" w:eastAsiaTheme="minorHAnsi" w:hAnsi="Arial" w:cs="Arial"/>
          <w:szCs w:val="28"/>
          <w:lang w:val="uk-UA"/>
        </w:rPr>
      </w:pPr>
    </w:p>
    <w:p w14:paraId="5A1A6773" w14:textId="134C0CF5" w:rsidR="00220D3E" w:rsidRPr="00511005" w:rsidRDefault="007B2628" w:rsidP="007B2628">
      <w:pPr>
        <w:spacing w:line="264" w:lineRule="auto"/>
        <w:ind w:firstLine="0"/>
        <w:jc w:val="center"/>
        <w:rPr>
          <w:rFonts w:ascii="Arial" w:eastAsiaTheme="minorHAnsi" w:hAnsi="Arial" w:cs="Arial"/>
          <w:b/>
          <w:bCs/>
          <w:szCs w:val="28"/>
          <w:lang w:val="uk-UA"/>
        </w:rPr>
      </w:pPr>
      <w:r w:rsidRPr="00511005">
        <w:rPr>
          <w:rFonts w:ascii="Arial" w:eastAsiaTheme="minorHAnsi" w:hAnsi="Arial" w:cs="Arial"/>
          <w:b/>
          <w:bCs/>
          <w:szCs w:val="28"/>
          <w:lang w:val="uk-UA"/>
        </w:rPr>
        <w:t>Список використаних джерел</w:t>
      </w:r>
    </w:p>
    <w:p w14:paraId="41FF84D0" w14:textId="77777777" w:rsidR="00220D3E" w:rsidRPr="00511005" w:rsidRDefault="00220D3E" w:rsidP="003F6A5D">
      <w:pPr>
        <w:numPr>
          <w:ilvl w:val="0"/>
          <w:numId w:val="215"/>
        </w:numPr>
        <w:tabs>
          <w:tab w:val="left" w:pos="993"/>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t xml:space="preserve">Андрущенко С. В. Режим безпеки портів та портових споруд: міжнародно-правовий базис. </w:t>
      </w:r>
      <w:r w:rsidRPr="00511005">
        <w:rPr>
          <w:rFonts w:ascii="Arial" w:eastAsiaTheme="minorHAnsi" w:hAnsi="Arial" w:cs="Arial"/>
          <w:i/>
          <w:szCs w:val="28"/>
          <w:lang w:val="uk-UA"/>
        </w:rPr>
        <w:t>Морське право та менеджмент</w:t>
      </w:r>
      <w:r w:rsidRPr="00511005">
        <w:rPr>
          <w:rFonts w:ascii="Arial" w:eastAsiaTheme="minorHAnsi" w:hAnsi="Arial" w:cs="Arial"/>
          <w:szCs w:val="28"/>
          <w:lang w:val="uk-UA"/>
        </w:rPr>
        <w:t>: еволюція та сучасні виклики: матер. ХІІІ Міжнар. наук.-практ. конф. (м. Одеса, 18–19 квіт. 2019 р.). Одеса: НУ «ОМА», 2019. С. 13–16.</w:t>
      </w:r>
    </w:p>
    <w:p w14:paraId="0296F7D5" w14:textId="77777777" w:rsidR="00220D3E" w:rsidRPr="00511005" w:rsidRDefault="00220D3E" w:rsidP="003F6A5D">
      <w:pPr>
        <w:numPr>
          <w:ilvl w:val="0"/>
          <w:numId w:val="215"/>
        </w:numPr>
        <w:tabs>
          <w:tab w:val="left" w:pos="993"/>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t xml:space="preserve">Бабін Б., Плешко Е. А. Правовий режим тимчасово окупованої території України в Чорному та Азовському морях і Керченській протоці. </w:t>
      </w:r>
      <w:r w:rsidRPr="00511005">
        <w:rPr>
          <w:rFonts w:ascii="Arial" w:eastAsiaTheme="minorHAnsi" w:hAnsi="Arial" w:cs="Arial"/>
          <w:i/>
          <w:szCs w:val="28"/>
          <w:lang w:val="uk-UA"/>
        </w:rPr>
        <w:t>Наукові записки Інституту законодавства Верховної Ради України</w:t>
      </w:r>
      <w:r w:rsidRPr="00511005">
        <w:rPr>
          <w:rFonts w:ascii="Arial" w:eastAsiaTheme="minorHAnsi" w:hAnsi="Arial" w:cs="Arial"/>
          <w:szCs w:val="28"/>
          <w:lang w:val="uk-UA"/>
        </w:rPr>
        <w:t xml:space="preserve">. 2016. № 2. С. 121–125. </w:t>
      </w:r>
      <w:hyperlink r:id="rId774" w:history="1">
        <w:r w:rsidRPr="00511005">
          <w:rPr>
            <w:rFonts w:ascii="Arial" w:eastAsiaTheme="minorHAnsi" w:hAnsi="Arial" w:cs="Arial"/>
            <w:szCs w:val="28"/>
            <w:lang w:val="uk-UA"/>
          </w:rPr>
          <w:t>http://nbuv.gov.ua/UJRN/Nzizvru_2016_2_23</w:t>
        </w:r>
      </w:hyperlink>
      <w:r w:rsidRPr="00511005">
        <w:rPr>
          <w:rFonts w:ascii="Arial" w:eastAsiaTheme="minorHAnsi" w:hAnsi="Arial" w:cs="Arial"/>
          <w:szCs w:val="28"/>
          <w:lang w:val="uk-UA"/>
        </w:rPr>
        <w:t xml:space="preserve"> </w:t>
      </w:r>
    </w:p>
    <w:p w14:paraId="74AE58CE" w14:textId="77777777" w:rsidR="00220D3E" w:rsidRPr="00511005" w:rsidRDefault="00220D3E" w:rsidP="003F6A5D">
      <w:pPr>
        <w:numPr>
          <w:ilvl w:val="0"/>
          <w:numId w:val="215"/>
        </w:numPr>
        <w:tabs>
          <w:tab w:val="left" w:pos="993"/>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t>Гавриленко О. А., Новікова Л. В., Сироїд Т. Л. Історія міжнародного права: хрестоматія-практикум для студ. напряму підготовки 6.030202 – «Міжнародне право». Харків: ХНУ ім. В. Н. Каразіна, 2016. 676 с.</w:t>
      </w:r>
    </w:p>
    <w:p w14:paraId="5F91BA0B" w14:textId="77777777" w:rsidR="00220D3E" w:rsidRPr="00511005" w:rsidRDefault="00220D3E" w:rsidP="003F6A5D">
      <w:pPr>
        <w:numPr>
          <w:ilvl w:val="0"/>
          <w:numId w:val="215"/>
        </w:numPr>
        <w:tabs>
          <w:tab w:val="left" w:pos="993"/>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lastRenderedPageBreak/>
        <w:t xml:space="preserve">Конституція України, 1996. URL: </w:t>
      </w:r>
      <w:hyperlink r:id="rId775" w:anchor="Text" w:history="1">
        <w:r w:rsidRPr="00511005">
          <w:rPr>
            <w:rFonts w:ascii="Arial" w:eastAsiaTheme="minorHAnsi" w:hAnsi="Arial" w:cs="Arial"/>
            <w:szCs w:val="28"/>
            <w:lang w:val="uk-UA"/>
          </w:rPr>
          <w:t>https://zakon.rada.gov.ua/laws/show/254%D0%BA/96-%D0%B2%D1%80#Text</w:t>
        </w:r>
      </w:hyperlink>
      <w:r w:rsidRPr="00511005">
        <w:rPr>
          <w:rFonts w:ascii="Arial" w:eastAsiaTheme="minorHAnsi" w:hAnsi="Arial" w:cs="Arial"/>
          <w:szCs w:val="28"/>
          <w:lang w:val="uk-UA"/>
        </w:rPr>
        <w:t xml:space="preserve"> </w:t>
      </w:r>
    </w:p>
    <w:p w14:paraId="749B156E" w14:textId="77777777" w:rsidR="00220D3E" w:rsidRPr="00511005" w:rsidRDefault="00220D3E" w:rsidP="003F6A5D">
      <w:pPr>
        <w:numPr>
          <w:ilvl w:val="0"/>
          <w:numId w:val="215"/>
        </w:numPr>
        <w:tabs>
          <w:tab w:val="left" w:pos="993"/>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t>Кузнецов С. О., Аверочкіна Т. В. Морське право: підруч. Одеса: Фенікс, 2011. 382 с.</w:t>
      </w:r>
    </w:p>
    <w:p w14:paraId="7C920A34" w14:textId="77777777" w:rsidR="00220D3E" w:rsidRPr="00511005" w:rsidRDefault="00220D3E" w:rsidP="003F6A5D">
      <w:pPr>
        <w:numPr>
          <w:ilvl w:val="0"/>
          <w:numId w:val="215"/>
        </w:numPr>
        <w:tabs>
          <w:tab w:val="left" w:pos="993"/>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t xml:space="preserve">Митний кодекс України, 2012. </w:t>
      </w:r>
      <w:hyperlink r:id="rId776" w:anchor="Text" w:history="1">
        <w:r w:rsidRPr="00511005">
          <w:rPr>
            <w:rFonts w:ascii="Arial" w:eastAsiaTheme="minorHAnsi" w:hAnsi="Arial" w:cs="Arial"/>
            <w:szCs w:val="28"/>
            <w:lang w:val="uk-UA"/>
          </w:rPr>
          <w:t>URL: https://zakon.rada.gov.ua/laws/show/4495-17#Text</w:t>
        </w:r>
      </w:hyperlink>
    </w:p>
    <w:p w14:paraId="099E66CD" w14:textId="77777777" w:rsidR="00220D3E" w:rsidRPr="00511005" w:rsidRDefault="00220D3E" w:rsidP="003F6A5D">
      <w:pPr>
        <w:numPr>
          <w:ilvl w:val="0"/>
          <w:numId w:val="215"/>
        </w:numPr>
        <w:tabs>
          <w:tab w:val="left" w:pos="993"/>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t>Перепьолкін С.М. Міжнародне митне право: питання теорії та практика застосування: автореф. дис. ... д.ю.н.: 12.00.11 Нац. юрид. ун-т ім. Я. Мудрого, Харків. 2021. 45 с.</w:t>
      </w:r>
    </w:p>
    <w:p w14:paraId="1CDA8E55" w14:textId="77777777" w:rsidR="00220D3E" w:rsidRPr="00511005" w:rsidRDefault="00220D3E" w:rsidP="003F6A5D">
      <w:pPr>
        <w:numPr>
          <w:ilvl w:val="0"/>
          <w:numId w:val="215"/>
        </w:numPr>
        <w:tabs>
          <w:tab w:val="left" w:pos="993"/>
        </w:tabs>
        <w:spacing w:line="264" w:lineRule="auto"/>
        <w:ind w:left="0" w:firstLine="709"/>
        <w:jc w:val="left"/>
        <w:rPr>
          <w:rFonts w:ascii="Arial" w:eastAsiaTheme="minorHAnsi" w:hAnsi="Arial" w:cs="Arial"/>
          <w:szCs w:val="28"/>
          <w:lang w:val="uk-UA"/>
        </w:rPr>
      </w:pPr>
      <w:r w:rsidRPr="00511005">
        <w:rPr>
          <w:rFonts w:ascii="Arial" w:eastAsiaTheme="minorHAnsi" w:hAnsi="Arial" w:cs="Arial"/>
          <w:szCs w:val="28"/>
          <w:lang w:val="uk-UA"/>
        </w:rPr>
        <w:t>Співак І.В. Митне право. Навчальний посібник (електронне видання). Київ: КПІ ім. Ігоря Сікорського. 2022. 80 с.</w:t>
      </w:r>
    </w:p>
    <w:p w14:paraId="07930DC7" w14:textId="77777777" w:rsidR="00220D3E" w:rsidRPr="00511005" w:rsidRDefault="00220D3E" w:rsidP="003A292D">
      <w:pPr>
        <w:spacing w:line="264" w:lineRule="auto"/>
        <w:ind w:firstLine="0"/>
        <w:rPr>
          <w:rFonts w:ascii="Arial" w:eastAsiaTheme="minorHAnsi" w:hAnsi="Arial" w:cs="Arial"/>
          <w:szCs w:val="28"/>
          <w:lang w:val="uk-UA"/>
        </w:rPr>
      </w:pPr>
    </w:p>
    <w:p w14:paraId="2F8435EE" w14:textId="258EC548"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i/>
          <w:szCs w:val="28"/>
          <w:lang w:val="uk-UA"/>
        </w:rPr>
        <w:t xml:space="preserve">Ключові слова: </w:t>
      </w:r>
      <w:r w:rsidR="00220D3E" w:rsidRPr="00511005">
        <w:rPr>
          <w:rFonts w:ascii="Arial" w:eastAsiaTheme="minorHAnsi" w:hAnsi="Arial" w:cs="Arial"/>
          <w:szCs w:val="28"/>
          <w:lang w:val="uk-UA"/>
        </w:rPr>
        <w:t>морське право, митне право, юрисдикція, портова безпека, митне оформлення, міжнародне право, цифровізація.</w:t>
      </w:r>
    </w:p>
    <w:p w14:paraId="7E15AC7F" w14:textId="7D732D0A"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i/>
          <w:szCs w:val="28"/>
          <w:lang w:val="uk-UA"/>
        </w:rPr>
        <w:t xml:space="preserve">Key words: </w:t>
      </w:r>
      <w:r w:rsidR="00220D3E" w:rsidRPr="00511005">
        <w:rPr>
          <w:rFonts w:ascii="Arial" w:eastAsiaTheme="minorHAnsi" w:hAnsi="Arial" w:cs="Arial"/>
          <w:szCs w:val="28"/>
          <w:lang w:val="uk-UA"/>
        </w:rPr>
        <w:t>maritime law, customs law, jurisdiction, port security, customs clearance, international law, digitalization.</w:t>
      </w:r>
    </w:p>
    <w:p w14:paraId="20877774" w14:textId="1515B0E3" w:rsidR="00220D3E" w:rsidRPr="00511005" w:rsidRDefault="007B2628" w:rsidP="003A292D">
      <w:pPr>
        <w:spacing w:line="264" w:lineRule="auto"/>
        <w:ind w:firstLine="0"/>
        <w:rPr>
          <w:rFonts w:ascii="Arial" w:eastAsiaTheme="minorHAnsi" w:hAnsi="Arial" w:cs="Arial"/>
          <w:i/>
          <w:szCs w:val="28"/>
          <w:lang w:val="uk-UA"/>
        </w:rPr>
      </w:pPr>
      <w:r w:rsidRPr="00511005">
        <w:rPr>
          <w:rFonts w:ascii="Arial" w:eastAsiaTheme="minorHAnsi" w:hAnsi="Arial" w:cs="Arial"/>
          <w:b/>
          <w:i/>
          <w:szCs w:val="28"/>
          <w:lang w:val="uk-UA"/>
        </w:rPr>
        <w:t xml:space="preserve">Науковий керівник: </w:t>
      </w:r>
      <w:r w:rsidR="00220D3E" w:rsidRPr="00511005">
        <w:rPr>
          <w:rFonts w:ascii="Arial" w:eastAsiaTheme="minorHAnsi" w:hAnsi="Arial" w:cs="Arial"/>
          <w:i/>
          <w:szCs w:val="28"/>
          <w:lang w:val="uk-UA"/>
        </w:rPr>
        <w:t>д.ю.н., професор Кормич Б. А.</w:t>
      </w:r>
    </w:p>
    <w:p w14:paraId="07FE659A" w14:textId="77777777" w:rsidR="00220D3E" w:rsidRPr="00511005" w:rsidRDefault="00220D3E" w:rsidP="003A292D">
      <w:pPr>
        <w:spacing w:line="264" w:lineRule="auto"/>
        <w:ind w:firstLine="0"/>
        <w:jc w:val="center"/>
        <w:rPr>
          <w:rFonts w:ascii="Arial" w:eastAsiaTheme="minorHAnsi" w:hAnsi="Arial" w:cs="Arial"/>
          <w:b/>
          <w:i/>
          <w:szCs w:val="28"/>
          <w:lang w:val="uk-UA"/>
        </w:rPr>
      </w:pPr>
    </w:p>
    <w:p w14:paraId="458C6ADC" w14:textId="77777777" w:rsidR="00220D3E" w:rsidRPr="00511005" w:rsidRDefault="00220D3E" w:rsidP="003A292D">
      <w:pPr>
        <w:spacing w:line="264" w:lineRule="auto"/>
        <w:ind w:firstLine="0"/>
        <w:jc w:val="center"/>
        <w:rPr>
          <w:rFonts w:ascii="Arial" w:eastAsiaTheme="minorHAnsi" w:hAnsi="Arial" w:cs="Arial"/>
          <w:b/>
          <w:i/>
          <w:szCs w:val="28"/>
          <w:lang w:val="uk-UA"/>
        </w:rPr>
      </w:pPr>
      <w:r w:rsidRPr="00511005">
        <w:rPr>
          <w:rFonts w:ascii="Arial" w:eastAsiaTheme="minorHAnsi" w:hAnsi="Arial" w:cs="Arial"/>
          <w:b/>
          <w:i/>
          <w:szCs w:val="28"/>
          <w:lang w:val="uk-UA"/>
        </w:rPr>
        <w:t>Кузнєцов Сергій Сергійович</w:t>
      </w:r>
    </w:p>
    <w:p w14:paraId="36EC5051" w14:textId="1FECE635" w:rsidR="00220D3E" w:rsidRPr="00511005" w:rsidRDefault="00536AAB"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 xml:space="preserve">студент 2-го курсу </w:t>
      </w:r>
      <w:r w:rsidR="00BE3972" w:rsidRPr="00511005">
        <w:rPr>
          <w:rFonts w:ascii="Arial" w:eastAsiaTheme="minorHAnsi" w:hAnsi="Arial" w:cs="Arial"/>
          <w:szCs w:val="28"/>
          <w:lang w:val="uk-UA"/>
        </w:rPr>
        <w:t xml:space="preserve">магістратури </w:t>
      </w:r>
      <w:r w:rsidR="001B7B25" w:rsidRPr="00511005">
        <w:rPr>
          <w:rFonts w:ascii="Arial" w:eastAsiaTheme="minorHAnsi" w:hAnsi="Arial" w:cs="Arial"/>
          <w:szCs w:val="28"/>
          <w:lang w:val="uk-UA"/>
        </w:rPr>
        <w:t>факультету судового та міжнародного права</w:t>
      </w:r>
    </w:p>
    <w:p w14:paraId="22D1F776" w14:textId="6FADA95E" w:rsidR="00220D3E" w:rsidRPr="00511005" w:rsidRDefault="007B2628"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Національного університету «Одеська юридична академія»</w:t>
      </w:r>
    </w:p>
    <w:p w14:paraId="6C0F4102" w14:textId="77777777" w:rsidR="00220D3E" w:rsidRPr="00511005" w:rsidRDefault="00220D3E" w:rsidP="003A292D">
      <w:pPr>
        <w:spacing w:line="264" w:lineRule="auto"/>
        <w:ind w:firstLine="0"/>
        <w:jc w:val="center"/>
        <w:rPr>
          <w:rFonts w:ascii="Arial" w:eastAsiaTheme="minorHAnsi" w:hAnsi="Arial" w:cs="Arial"/>
          <w:b/>
          <w:spacing w:val="-12"/>
          <w:szCs w:val="28"/>
          <w:lang w:val="uk-UA"/>
        </w:rPr>
      </w:pPr>
    </w:p>
    <w:p w14:paraId="203DCD15" w14:textId="77777777" w:rsidR="00220D3E" w:rsidRPr="00511005" w:rsidRDefault="00220D3E" w:rsidP="003A292D">
      <w:pPr>
        <w:spacing w:line="264" w:lineRule="auto"/>
        <w:ind w:firstLine="0"/>
        <w:jc w:val="center"/>
        <w:rPr>
          <w:rFonts w:ascii="Arial" w:eastAsiaTheme="minorHAnsi" w:hAnsi="Arial" w:cs="Arial"/>
          <w:b/>
          <w:spacing w:val="-12"/>
          <w:szCs w:val="28"/>
          <w:lang w:val="uk-UA"/>
        </w:rPr>
      </w:pPr>
      <w:r w:rsidRPr="00511005">
        <w:rPr>
          <w:rFonts w:ascii="Arial" w:eastAsiaTheme="minorHAnsi" w:hAnsi="Arial" w:cs="Arial"/>
          <w:b/>
          <w:spacing w:val="-12"/>
          <w:szCs w:val="28"/>
          <w:lang w:val="uk-UA"/>
        </w:rPr>
        <w:t>АВТОНОМІЗАЦІЯ СУДНОПЛАВСТВА: ПЕРЕГЛЯД КЛАСИЧНИХ КАТЕГОРІЙ ТА УПРАВЛІНСЬКИХ ФУНКЦІЙ</w:t>
      </w:r>
    </w:p>
    <w:p w14:paraId="7DF17312"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Стрімке запровадження нових технологічних трендів Четвертої індустріальної революції оновлює традиційні підходи до управління усіма або практично усіма сферами діяльності людини. Особливості використання штучного інтелекту, автономних транспортних апаратів, високотехнологічних моделей та симуляторів, забезпечення інформаційної безпеки та протидія несанкціонованим втручанням вимагають нових правових стандартів та управлінських рішень. Автономізація мореплавства – один із яскравих прикладів результатів судноплавства та морської індустрії 4.0, і він потребує активізації зусиль зі створення правового базису та вироблення кращих практик його реалізації. Зважаючи на міжнародний характер морської діяльності та, зокрема, торговельного мореплавства, такий правовий базис має бути узгодженим та схваленим на наднаціональному рівні, а особливості його реалізації визначені Міжнародною морською організацією (далі – IMO) з урахуванням трансформації ролі людини в управлінні новими, автономними, суднами, їх програмним забезпеченням та особливостей взаємодії з оточенням.</w:t>
      </w:r>
    </w:p>
    <w:p w14:paraId="32D86E94"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 xml:space="preserve">На теперішній час автономізація судноплавства є одним з основних напрямків діяльності ІМО поряд з декарбонізацією, цифровізацією та прагненням досягнення Цілей сталого розвитку ООН [1]. Орієнтованість цієї Організації на забезпечення безпеки мореплавства, встановлення стандартів проєктування, будівництва та належного комплектування морських суден цілковито узгоджується з активними зусиллями щодо впровадження нових технологій до архітектури управління ними. Формування правових засад використання таких суден та особливостей функціонування задіяного екіпажу також є одним з ключових завдань як на міжнародному рівні, так й на рівні національних регуляторів, ураховуючи необхідність перегляду багатьох схвалених стандартів і устояних практик. </w:t>
      </w:r>
    </w:p>
    <w:p w14:paraId="3416F31E"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Однією з класичних категорій морського права та галузевого законодавства є категорія «судно». Від того, чи кваліфікується певний плавучий об’єкт як морське судно, значною мірою залежать правові наслідки, що виникають під час морської діяльності. Правильне і точне визначення поняття «судно» має особливе значення, оскільки сфера дії галузевого законодавства охоплює суспільні відносини, що виникають у зв’язку з використанням суден з різною метою, і застосування правових норм до певної споруди (об’єкта) залежить від визнання її саме судном з властивими йому характеристиками та властивостями [2, c. 114]. Такі властивості пов’язані, поперед усе, зі зв’язаністю судна з водним середовищем та можливістю його експлуатації у такому середовищі для або пересування, або з більш комплексними завданнями і цілями, але частину яких складає безпечний рух у воді. </w:t>
      </w:r>
    </w:p>
    <w:p w14:paraId="6F798715"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Незважаючи на те, що у доктрині основні ознаки судна виявлено на достатньому рівні, загальновизнаного визначення досі не сформульовано ні у правничій теорії, ні у законодавстві держав, ні у міжнародних угодах, включаючи такий глобальний універсальний акт, як Конвенція ООН з морського права 1982 року [3]. При цьому, визначення категорії «судно» має особливе значення для встановлення сфери застосування норм як національного, так і міжнародного права, а також для вирішення таких складних питань, як дія юрисдикції держав у відкритому морі, правомірність втручання у діяльність судна, забезпечення безпеки мореплавства, організація рятування на морі, морського буксирування тощо [4 – 6]. У статті 15 Кодексу торговельного мореплавства України [7] надане досить розгорнуте законодавче визначення судна, яке охоплює різні цілі використання цих «самохідних чи несамохідних плавучих споруд». У національних законодавствах інших держав представлено різноманітні підходи до визначення суден: від «розгорнутого, до сконцентрованого лише на певній загальній ознаці, а деякі навіть не передбачають такого визначення. Але, як і у міжнародних угодах, такі підходи є переважно підпорядкованими цілям певного закону або кодексу, і, зрештою, не </w:t>
      </w:r>
      <w:r w:rsidRPr="00511005">
        <w:rPr>
          <w:rFonts w:ascii="Arial" w:eastAsia="Times New Roman" w:hAnsi="Arial" w:cs="Arial"/>
          <w:szCs w:val="28"/>
          <w:lang w:val="uk-UA"/>
        </w:rPr>
        <w:lastRenderedPageBreak/>
        <w:t xml:space="preserve">констатують статус судна, а інколи просто його «розмивають», надаючи достатньо широкі та усеохопні визначення. </w:t>
      </w:r>
    </w:p>
    <w:p w14:paraId="244031E2"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Доктринальні підходи до формулювання визначення «судна» є базованими на виявленні та закріпленні ознак юридичного характеру, що є властивими лише судну, а саме прапор, національність, ідентифікація та реєстрація, що підтверджуються судновими документами. Тому, зважаючи на існуючі розробки та нормативні акти, а також ураховуючи тенденції автоматизації та можливої відсутності екіпажу, «судно» може бути визначене як плавучий транспортний засіб, на який поширюється юрисдикція держави реєстрації та який несе прапор цієї держави, має назву, за необхідності укомплектований екіпажем та забезпечений судновими документами відповідно до норм галузевого законодавства, і здатний бути використаним у цілях морської діяльності.</w:t>
      </w:r>
    </w:p>
    <w:p w14:paraId="4DC66B51"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Значного перегляду, крім нормативних та доктринальних засад сучасного судноплавства, також потребуватимуть звичайні завдання з управління судном. Наприклад, на теперішній час помічник капітана відповідає за приймання та здавання вантажу, його розміщення, зберігання, сепарування, укладання, кріплення, перевезення, вивантаження, а також за оформлення відповідної документації. До його обов’язків належить також складання вантажного плану з урахуванням конструкції судна, характеристик вантажу, забезпечення остійності судна, послідовності портів вивантаження тощо. Він також контролює дотримання правил пожежної безпеки під час завантаження, перевезення та вивантаження вантажів, а також вимог щодо транспортування небезпечних речовин. На наливних суднах помічник капітана стежить за технічним станом приймального вантажного пристрою, чистотою вантажних танків, не допускаючи обводнення, змішування, переливу та розливу вантажів. Він безпосередньо керує процесами баластування та дебаластування судна. Окрім цього, він контролює санітарний стан трюмів, дотримання температурного режиму у рефрижераторних трюмах та вантажних приміщеннях, регулярно перевіряє стан колодязів, горловин, приймальних сіток, систем вентиляції та інших вантажних пристроїв. Перед прийманням вантажу обов’язковий запис у судновому журналі. Також він відповідає за технічний стан суднових засобів механізації навантажувально-розвантажувальних робіт та внутрішньотрюмної механізації, забезпечуючи їхню справність і належне функціонування [8 – 10]. Автоматизація цих процесів потребуватиме значної інтеграції інтелектуальних систем управління вантажними операціями, датчиків контролю параметрів вантажу, автоматизованих систем пожежної безпеки та механізмів завантаження/вивантаження. Крім того, важливим стане розвиток сенсорних систем, здатних контролювати технічний стан вантажних пристроїв, чистоту танків, санітарний стан трюмів, рівень осадки, балансування судна. Алгоритми штучного інтелекту повинні оперативно </w:t>
      </w:r>
      <w:r w:rsidRPr="00511005">
        <w:rPr>
          <w:rFonts w:ascii="Arial" w:eastAsia="Times New Roman" w:hAnsi="Arial" w:cs="Arial"/>
          <w:szCs w:val="28"/>
          <w:lang w:val="uk-UA"/>
        </w:rPr>
        <w:lastRenderedPageBreak/>
        <w:t>обробляти дані, приймати рішення про необхідність коригування навантаження чи зміни баласту. Автономні судна також потребуватимуть автоматизованої системи складання вантажного плану, що враховуватиме тип вантажу, конструкцію судна, послідовність портів, допустиму осадку та безпеку перевезень. Це може бути реалізовано через використання цифрових моделей судна та алгоритмів оптимізації. Оскільки вантажний помічник капітана контролює дотримання правил пожежної безпеки та екологічних норм, автономні судна потребуватимуть розумних систем виявлення небезпек, автоматичного пожежогасіння та запобігання розливу небезпечних речовин. Автономні судна мають бути оснащені системами діагностики стану вантажних механізмів, вентиляційних систем, насосів і засобів механізації. Необхідна розробка саморемонтних або дистанційно керованих ремонтних технологій.</w:t>
      </w:r>
    </w:p>
    <w:p w14:paraId="500FCF74"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Таким чином, автоматизація судноплавства зумовить значні зміни у міжнародно-правовому базисі судноплавства та національних морських законодавствах, зокрема й в українському, оскільки діючі документи не враховують специфіку таких суден. Виникне необхідність адаптації правових норм щодо відповідальності за рішення стосовно навігаційного керування, сертифікації суден та задіяного на них персоналу, а також можливостей інтеграції штучного інтелекту до систем управління флотом. Крім того, нормативні стандарти та вимоги до безпеки мореплавства та екологічного контролю потребуватимуть перегляду у зв’язку зі зміною характеру взаємодії між суднами та портовою інфраструктурою. Впровадження автономних технологій також вплине на трудове законодавство, зменшуючи потребу в екіпажах та вимагаючи нових кваліфікацій для морських фахівців. У результаті системи морського законодавства країн, що розвивають автономне судноплавство, будуть змушені гармонізувати національні норми з міжнародними стандартами для забезпечення ефективного та безпечного використання безпілотних суден.</w:t>
      </w:r>
    </w:p>
    <w:p w14:paraId="0996647E" w14:textId="77777777" w:rsidR="00220D3E" w:rsidRPr="00511005" w:rsidRDefault="00220D3E" w:rsidP="003A292D">
      <w:pPr>
        <w:spacing w:line="264" w:lineRule="auto"/>
        <w:ind w:firstLine="0"/>
        <w:rPr>
          <w:rFonts w:ascii="Arial" w:eastAsia="Times New Roman" w:hAnsi="Arial" w:cs="Arial"/>
          <w:szCs w:val="28"/>
          <w:lang w:val="uk-UA"/>
        </w:rPr>
      </w:pPr>
    </w:p>
    <w:p w14:paraId="6999F6F5" w14:textId="14F2453C" w:rsidR="00220D3E" w:rsidRPr="00511005" w:rsidRDefault="007B2628" w:rsidP="007B2628">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52A41641"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1. The 17 Goals. URL: </w:t>
      </w:r>
      <w:hyperlink r:id="rId777" w:history="1">
        <w:r w:rsidRPr="00511005">
          <w:rPr>
            <w:rFonts w:ascii="Arial" w:eastAsia="Times New Roman" w:hAnsi="Arial" w:cs="Arial"/>
            <w:szCs w:val="28"/>
            <w:lang w:val="uk-UA"/>
          </w:rPr>
          <w:t>https://sdgs.un.org/goals</w:t>
        </w:r>
      </w:hyperlink>
      <w:r w:rsidRPr="00511005">
        <w:rPr>
          <w:rFonts w:ascii="Arial" w:eastAsia="Times New Roman" w:hAnsi="Arial" w:cs="Arial"/>
          <w:szCs w:val="28"/>
          <w:lang w:val="uk-UA"/>
        </w:rPr>
        <w:t xml:space="preserve"> </w:t>
      </w:r>
    </w:p>
    <w:p w14:paraId="7BF6A21D"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2. Даниленко Д.В. Основні поняття міжнародного перевезення морем: конвенційні та наукові визначення. </w:t>
      </w:r>
      <w:r w:rsidRPr="00511005">
        <w:rPr>
          <w:rFonts w:ascii="Arial" w:eastAsia="Times New Roman" w:hAnsi="Arial" w:cs="Arial"/>
          <w:i/>
          <w:szCs w:val="28"/>
          <w:lang w:val="uk-UA"/>
        </w:rPr>
        <w:t>Прикарпатський юридичний вісник</w:t>
      </w:r>
      <w:r w:rsidRPr="00511005">
        <w:rPr>
          <w:rFonts w:ascii="Arial" w:eastAsia="Times New Roman" w:hAnsi="Arial" w:cs="Arial"/>
          <w:szCs w:val="28"/>
          <w:lang w:val="uk-UA"/>
        </w:rPr>
        <w:t xml:space="preserve">. 2018. Вип. 1(22). Т. 3. С. 113–116. URL: </w:t>
      </w:r>
      <w:hyperlink r:id="rId778" w:history="1">
        <w:r w:rsidRPr="00511005">
          <w:rPr>
            <w:rFonts w:ascii="Arial" w:eastAsia="Times New Roman" w:hAnsi="Arial" w:cs="Arial"/>
            <w:szCs w:val="28"/>
            <w:lang w:val="uk-UA"/>
          </w:rPr>
          <w:t>http://pjv.nuoua.od.ua/v1-3_2018/24.pdf</w:t>
        </w:r>
      </w:hyperlink>
      <w:r w:rsidRPr="00511005">
        <w:rPr>
          <w:rFonts w:ascii="Arial" w:eastAsia="Times New Roman" w:hAnsi="Arial" w:cs="Arial"/>
          <w:szCs w:val="28"/>
          <w:lang w:val="uk-UA"/>
        </w:rPr>
        <w:t xml:space="preserve"> </w:t>
      </w:r>
    </w:p>
    <w:p w14:paraId="3FB61EF5"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3. United Nations Convention on the Law of the Sea, 1982. URL: </w:t>
      </w:r>
      <w:hyperlink r:id="rId779" w:history="1">
        <w:r w:rsidRPr="00511005">
          <w:rPr>
            <w:rFonts w:ascii="Arial" w:eastAsia="Times New Roman" w:hAnsi="Arial" w:cs="Arial"/>
            <w:szCs w:val="28"/>
            <w:lang w:val="uk-UA"/>
          </w:rPr>
          <w:t>https://www.un.org/depts/los/convention_agreements/texts/unclos/unclos_e.pdf</w:t>
        </w:r>
      </w:hyperlink>
      <w:r w:rsidRPr="00511005">
        <w:rPr>
          <w:rFonts w:ascii="Arial" w:eastAsia="Times New Roman" w:hAnsi="Arial" w:cs="Arial"/>
          <w:szCs w:val="28"/>
          <w:lang w:val="uk-UA"/>
        </w:rPr>
        <w:t xml:space="preserve"> </w:t>
      </w:r>
    </w:p>
    <w:p w14:paraId="48CE708C"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4. Al-Khafaji S. K. B. The regime of boarding ships in international maritime law. World Maritime University. 2006. URL: </w:t>
      </w:r>
      <w:hyperlink r:id="rId780" w:history="1">
        <w:r w:rsidRPr="00511005">
          <w:rPr>
            <w:rFonts w:ascii="Arial" w:eastAsia="Times New Roman" w:hAnsi="Arial" w:cs="Arial"/>
            <w:szCs w:val="28"/>
            <w:lang w:val="uk-UA"/>
          </w:rPr>
          <w:t>https://surl.li/mrcgzt</w:t>
        </w:r>
      </w:hyperlink>
      <w:r w:rsidRPr="00511005">
        <w:rPr>
          <w:rFonts w:ascii="Arial" w:eastAsia="Times New Roman" w:hAnsi="Arial" w:cs="Arial"/>
          <w:szCs w:val="28"/>
          <w:lang w:val="uk-UA"/>
        </w:rPr>
        <w:t xml:space="preserve"> </w:t>
      </w:r>
    </w:p>
    <w:p w14:paraId="32C09901"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5. What is a “Ship” and “Vessel” in Maritime Law. URL: </w:t>
      </w:r>
      <w:hyperlink r:id="rId781" w:history="1">
        <w:r w:rsidRPr="00511005">
          <w:rPr>
            <w:rFonts w:ascii="Arial" w:eastAsia="Times New Roman" w:hAnsi="Arial" w:cs="Arial"/>
            <w:szCs w:val="28"/>
            <w:lang w:val="uk-UA"/>
          </w:rPr>
          <w:t>https://surl.li/kzvmyb</w:t>
        </w:r>
      </w:hyperlink>
      <w:r w:rsidRPr="00511005">
        <w:rPr>
          <w:rFonts w:ascii="Arial" w:eastAsia="Times New Roman" w:hAnsi="Arial" w:cs="Arial"/>
          <w:szCs w:val="28"/>
          <w:lang w:val="uk-UA"/>
        </w:rPr>
        <w:t xml:space="preserve"> </w:t>
      </w:r>
    </w:p>
    <w:p w14:paraId="21BA95A7"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 xml:space="preserve">6. CMI International Working Group on Vessel Nomenclature. Questionnaire #1 (March 2016). URL: </w:t>
      </w:r>
      <w:hyperlink r:id="rId782" w:history="1">
        <w:r w:rsidRPr="00511005">
          <w:rPr>
            <w:rFonts w:ascii="Arial" w:eastAsia="Times New Roman" w:hAnsi="Arial" w:cs="Arial"/>
            <w:szCs w:val="28"/>
            <w:lang w:val="uk-UA"/>
          </w:rPr>
          <w:t>https://surl.li/bflmgp</w:t>
        </w:r>
      </w:hyperlink>
      <w:r w:rsidRPr="00511005">
        <w:rPr>
          <w:rFonts w:ascii="Arial" w:eastAsia="Times New Roman" w:hAnsi="Arial" w:cs="Arial"/>
          <w:szCs w:val="28"/>
          <w:lang w:val="uk-UA"/>
        </w:rPr>
        <w:t xml:space="preserve"> </w:t>
      </w:r>
    </w:p>
    <w:p w14:paraId="0E0BFCCA"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7. Кодекс торговельного мореплавства України, 1995. URL: </w:t>
      </w:r>
      <w:hyperlink r:id="rId783" w:anchor="Text" w:history="1">
        <w:r w:rsidRPr="00511005">
          <w:rPr>
            <w:rFonts w:ascii="Arial" w:eastAsia="Times New Roman" w:hAnsi="Arial" w:cs="Arial"/>
            <w:szCs w:val="28"/>
            <w:lang w:val="uk-UA"/>
          </w:rPr>
          <w:t>https://zakon.rada.gov.ua/laws/show/176/95-вр#Text</w:t>
        </w:r>
      </w:hyperlink>
      <w:r w:rsidRPr="00511005">
        <w:rPr>
          <w:rFonts w:ascii="Arial" w:eastAsia="Times New Roman" w:hAnsi="Arial" w:cs="Arial"/>
          <w:szCs w:val="28"/>
          <w:lang w:val="uk-UA"/>
        </w:rPr>
        <w:t xml:space="preserve"> </w:t>
      </w:r>
    </w:p>
    <w:p w14:paraId="7CED920B" w14:textId="2AA9DF60"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8. Raunek K. What are the Duties of Chief Officer? URL: https://surl.li/dcnqws</w:t>
      </w:r>
      <w:r w:rsidR="007B2628" w:rsidRPr="00511005">
        <w:rPr>
          <w:rFonts w:ascii="Arial" w:eastAsia="Times New Roman" w:hAnsi="Arial" w:cs="Arial"/>
          <w:szCs w:val="28"/>
          <w:lang w:val="uk-UA"/>
        </w:rPr>
        <w:t xml:space="preserve"> </w:t>
      </w:r>
    </w:p>
    <w:p w14:paraId="4108A6D5"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9. What is Chief Officer Responsibility for Cargo Operation? URL: </w:t>
      </w:r>
      <w:hyperlink r:id="rId784" w:history="1">
        <w:r w:rsidRPr="00511005">
          <w:rPr>
            <w:rFonts w:ascii="Arial" w:eastAsia="Times New Roman" w:hAnsi="Arial" w:cs="Arial"/>
            <w:szCs w:val="28"/>
            <w:lang w:val="uk-UA"/>
          </w:rPr>
          <w:t>https://surl.li/psmtwv</w:t>
        </w:r>
      </w:hyperlink>
      <w:r w:rsidRPr="00511005">
        <w:rPr>
          <w:rFonts w:ascii="Arial" w:eastAsia="Times New Roman" w:hAnsi="Arial" w:cs="Arial"/>
          <w:szCs w:val="28"/>
          <w:lang w:val="uk-UA"/>
        </w:rPr>
        <w:t xml:space="preserve"> </w:t>
      </w:r>
    </w:p>
    <w:p w14:paraId="03F51685"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10. Chief Mate. URL: </w:t>
      </w:r>
      <w:hyperlink r:id="rId785" w:history="1">
        <w:r w:rsidRPr="00511005">
          <w:rPr>
            <w:rFonts w:ascii="Arial" w:eastAsia="Times New Roman" w:hAnsi="Arial" w:cs="Arial"/>
            <w:szCs w:val="28"/>
            <w:lang w:val="uk-UA"/>
          </w:rPr>
          <w:t>https://surl.li/bwsoip</w:t>
        </w:r>
      </w:hyperlink>
      <w:r w:rsidRPr="00511005">
        <w:rPr>
          <w:rFonts w:ascii="Arial" w:eastAsia="Times New Roman" w:hAnsi="Arial" w:cs="Arial"/>
          <w:szCs w:val="28"/>
          <w:lang w:val="uk-UA"/>
        </w:rPr>
        <w:t xml:space="preserve"> </w:t>
      </w:r>
    </w:p>
    <w:p w14:paraId="6C6D9753" w14:textId="77777777" w:rsidR="00220D3E" w:rsidRPr="00511005" w:rsidRDefault="00220D3E" w:rsidP="003A292D">
      <w:pPr>
        <w:spacing w:line="264" w:lineRule="auto"/>
        <w:ind w:firstLine="0"/>
        <w:rPr>
          <w:rFonts w:ascii="Arial" w:eastAsia="Times New Roman" w:hAnsi="Arial" w:cs="Arial"/>
          <w:szCs w:val="28"/>
          <w:lang w:val="uk-UA"/>
        </w:rPr>
      </w:pPr>
    </w:p>
    <w:p w14:paraId="43532F08" w14:textId="4EDF0D5C" w:rsidR="00220D3E"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220D3E" w:rsidRPr="00511005">
        <w:rPr>
          <w:rFonts w:ascii="Arial" w:eastAsia="Times New Roman" w:hAnsi="Arial" w:cs="Arial"/>
          <w:szCs w:val="28"/>
          <w:lang w:val="uk-UA"/>
        </w:rPr>
        <w:t>судно, корабель, публічне адміністрування, 4ІР, судноплавство 4.0, морська індустрія 4.0, автономні судна, автономне судноплавство, морська діяльність, цифровізація, інноваційний розвиток.</w:t>
      </w:r>
    </w:p>
    <w:p w14:paraId="694024B0" w14:textId="2E715841" w:rsidR="00220D3E"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220D3E" w:rsidRPr="00511005">
        <w:rPr>
          <w:rFonts w:ascii="Arial" w:eastAsia="Times New Roman" w:hAnsi="Arial" w:cs="Arial"/>
          <w:szCs w:val="28"/>
          <w:lang w:val="uk-UA"/>
        </w:rPr>
        <w:t>ship, vessel, public administration, 4IR, Shipping 4.0, Maritime Industry 4.0, MASS, autonomous shipping, maritime activity, digitalization, innovative development.</w:t>
      </w:r>
    </w:p>
    <w:p w14:paraId="5CCC6B86" w14:textId="4CDA283F" w:rsidR="00220D3E" w:rsidRPr="00511005" w:rsidRDefault="007B2628" w:rsidP="003A292D">
      <w:pPr>
        <w:spacing w:line="264" w:lineRule="auto"/>
        <w:ind w:firstLine="0"/>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220D3E" w:rsidRPr="00511005">
        <w:rPr>
          <w:rFonts w:ascii="Arial" w:eastAsia="Times New Roman" w:hAnsi="Arial" w:cs="Arial"/>
          <w:i/>
          <w:szCs w:val="28"/>
          <w:lang w:val="uk-UA"/>
        </w:rPr>
        <w:t>д.ю.н., професор Аверочкіна Т. В.</w:t>
      </w:r>
    </w:p>
    <w:p w14:paraId="2945C9A0" w14:textId="77777777" w:rsidR="00220D3E" w:rsidRPr="00511005" w:rsidRDefault="00220D3E" w:rsidP="003A292D">
      <w:pPr>
        <w:spacing w:line="264" w:lineRule="auto"/>
        <w:ind w:firstLine="0"/>
        <w:jc w:val="center"/>
        <w:rPr>
          <w:rFonts w:ascii="Arial" w:eastAsia="Times New Roman" w:hAnsi="Arial" w:cs="Arial"/>
          <w:szCs w:val="28"/>
          <w:lang w:val="uk-UA"/>
        </w:rPr>
      </w:pPr>
    </w:p>
    <w:p w14:paraId="7554BFB6" w14:textId="77777777" w:rsidR="00220D3E" w:rsidRPr="00511005" w:rsidRDefault="00220D3E"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Кулага Валерія Вячеславівна</w:t>
      </w:r>
    </w:p>
    <w:p w14:paraId="4F4B98FC" w14:textId="130E3EC3" w:rsidR="00220D3E"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4-го курсу </w:t>
      </w:r>
      <w:r w:rsidR="001B7B25" w:rsidRPr="00511005">
        <w:rPr>
          <w:rFonts w:ascii="Arial" w:eastAsia="Times New Roman" w:hAnsi="Arial" w:cs="Arial"/>
          <w:szCs w:val="28"/>
          <w:lang w:val="uk-UA"/>
        </w:rPr>
        <w:t>факультету судового та міжнародного права</w:t>
      </w:r>
    </w:p>
    <w:p w14:paraId="2238DCBB" w14:textId="7096F404" w:rsidR="00220D3E"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7A78BBF6" w14:textId="77777777" w:rsidR="00220D3E" w:rsidRPr="00511005" w:rsidRDefault="00220D3E" w:rsidP="003A292D">
      <w:pPr>
        <w:spacing w:line="264" w:lineRule="auto"/>
        <w:ind w:firstLine="0"/>
        <w:jc w:val="center"/>
        <w:rPr>
          <w:rFonts w:ascii="Arial" w:eastAsia="Times New Roman" w:hAnsi="Arial" w:cs="Arial"/>
          <w:b/>
          <w:szCs w:val="28"/>
          <w:lang w:val="uk-UA"/>
        </w:rPr>
      </w:pPr>
    </w:p>
    <w:p w14:paraId="04CFB7E5" w14:textId="77777777" w:rsidR="00220D3E" w:rsidRPr="00511005" w:rsidRDefault="00220D3E"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ЗАСТОСУВАННЯ СТ. 55 МИТНОГО КОДЕКСУ УКРАЇНИ ПРИ ВИРІШЕННІ СПОРІВ ЩОДО МИТНОЇ ВАРТОСТІ</w:t>
      </w:r>
    </w:p>
    <w:p w14:paraId="2FCE727B"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Коригування митної вартості є однією з найпоширеніших причин митного спору та оскарження рішень митних органів в судовому порядку. На практиці доволі часто відбуваються ситуації, коли митний орган вважає задекларовану вартість товарів заниженою. І користуючись статтею 55 Митного Кодексу України [3], митний орган виконує коригування митної вартості на більшу, і часто така зміна відрізняється від задекларованої суми на значно більший відсоток. Відповідно, декларант звертається до суду з позовом про визнання протиправним та скасування рішення митного органу. Що важливо, в абсолютній більшості такі позови підлягають задоволеню Так, згідно з даними Державної митної служби України, лише у 2024 році в судах перебувало 15 448 справ за участю митниць на загальну суму понад 7 мільярдів гривень. Із них 13 410 справ стосувалися саме рішень про коригування митної вартості. Було розглянуто 6 426 справ, з яких у 5 692 випадках (близько 89%) суди ухвалили рішення на користь позивачів [7].</w:t>
      </w:r>
    </w:p>
    <w:p w14:paraId="1E0AAB8F"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Незважаючи на таку статистику, митні органи не змінюють своєї стратегії в даному напрямку, та продовжують здійснювати коригування митної вартості виходячи здебільшого із суб’єктивних причин. Однією з таких причин є орієнтація на власну практику митного оформлення аналогічних товарів, за якими раніше була заявлена вища митна вартість.</w:t>
      </w:r>
    </w:p>
    <w:p w14:paraId="1A643C62"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З одного боку, активне застосування митними органами положень статті 55 Митного кодексу України [3] може розглядатися як позитивне явище з огляду на реалізацію ними дискреційних повноважень, спрямованих на запобігання штучному заниженню митної вартості з метою зменшення розміру митних платежів під час митного оформлення.</w:t>
      </w:r>
    </w:p>
    <w:p w14:paraId="126D2E42"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 іншого боку, нерідко такі рішення є не обґрунтованими чіткими доказами, а ґрунтуються лише на припущеннях та домислах щодо ймовірної вартості товару сформованих на загальному розумінні вартості певних товарів, або на основі попереднього досвіду посадової особи.</w:t>
      </w:r>
    </w:p>
    <w:p w14:paraId="0194455D"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Дискреційні повноваження це ті повноваження, які дозволяють суб'єкту владних повноважень діяти на власний розсуд у межах закону. У контексті статті 55 Митного кодексу України митні органи мають право, а не зобов’язані, коригувати митну вартість товарів. Це означає, що митний орган може прийняти рішення про коригування митної вартості, якщо вважає, що задекларована вартість не відповідає дійсності. Проте, важливою ознакою тут буде те, що рішення повинно бути обґрунтованим та необхідним, в інших випадках рішення буде підлягати визнанню протиправним та скасування в судовому порядку [3].</w:t>
      </w:r>
    </w:p>
    <w:p w14:paraId="3035BAC8"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На прикладі справи № 803/916/17, яка була розглянута Верховним Судом, саме відсутність реальних та обґрунтованих сумнівів у правильності визначення митної вартості стала ключовою підставою для задоволення позову декларанта. У цьому випадку митниця намагалася обґрунтувати коригування лише тим, що на її думку, у документах були відсутні окремі відомості про вартість доставки, комісійних та виплат третім особам. Проте суди всіх інстанцій визнали, що наданий пакет документів був достатнім, а отже, не було правових підстав для втручання в задекларовану митну вартість [1, с. 41-42]. </w:t>
      </w:r>
    </w:p>
    <w:p w14:paraId="184B54C4"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Аналіз практики Верховного Суду щодо оскарження рішення митного органу дає можливість виділити найпоширеніші підстави для оскарження рішення митного органу про коригування митної вартості. Однією з таких підстав є необґрунтованість витребування документів та коригування митної вартості без достатніх доказів.</w:t>
      </w:r>
    </w:p>
    <w:p w14:paraId="1CFF9479"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постанові Верховного Суду від 21 квітня 2021 року у справі № 809/1838/15 суд став на бік декларанта, визнавши дії митного органу щодо коригування митної вартості неправомірними. Суд наголосив, що факт неподання окремих документів, не передбачених законодавством як обов'язкових, сам по собі не може бути підставою для визнання митної вартості недостовірною. Крім того, митний орган не надав доказів, які б свідчили про невідповідність заявленої вартості ринковому рівню або про наявність ознак заниження [5].</w:t>
      </w:r>
    </w:p>
    <w:p w14:paraId="13EF96B3"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У даному випадку митниця здійснила коригування митної вартості, керуючись власними внутрішніми відчуттями і суб’єктивною оцінкою, не </w:t>
      </w:r>
      <w:r w:rsidRPr="00511005">
        <w:rPr>
          <w:rFonts w:ascii="Arial" w:eastAsia="Times New Roman" w:hAnsi="Arial" w:cs="Arial"/>
          <w:szCs w:val="28"/>
          <w:lang w:val="uk-UA"/>
        </w:rPr>
        <w:lastRenderedPageBreak/>
        <w:t xml:space="preserve">підтвердивши належним чином наявність обставин, які могли б обґрунтувати сумніви у достовірності поданих декларантом документів. </w:t>
      </w:r>
    </w:p>
    <w:p w14:paraId="69751DB7"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Ще однією підставою для скасування рішення митного органу про коригування митної вартості посилання митниці виключно на дані власної інформаційної бази. Верховний Суд неодноразово зазначав, що така інформація не може автоматично вважатися достатнім доказом недостовірності заявленої декларантом митної вартості. У таких випадках суд, як правило, враховує позицію декларанта та зазначає, що це не є перешкодою для визначення митної вартості товару на підставі укладеного між сторонами договору. </w:t>
      </w:r>
    </w:p>
    <w:p w14:paraId="4D01DF04"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постанові Верховного Суду від 9 жовтня 2018 року у справі № 826/19852/16 суд звернув увагу, що в інформаційній базі відсутня інформація про коригування заявленої митної вартості товарів, а також інформація щодо судових рішень з питань визначення митної вартості товарів та методів її визначення, тому посилання на неї саме по собі не може слугувати належною підставою для коригування [4].</w:t>
      </w:r>
    </w:p>
    <w:p w14:paraId="5BD58367"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Ще однією типовою помилкою митних органів є порушення порядку застосування другорядних методів визначення митної вартості у випадках, коли основний метод (за ціною договору) не може бути використаний. Часто митниця переходить до резервного методу або використовує дані щодо ідентичних/подібних товарів без належного обґрунтування, не дотримуючись ієрархії методів.</w:t>
      </w:r>
    </w:p>
    <w:p w14:paraId="291EF64A"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До другорядних методів визначення митної вартості відносяться метод за ціною договору щодо ідентичних або подібних товарів, метод на основі віднімання вартості, метод на основі додавання вартості (обчислена вартість), а також резервний метод. При цьому існує чітке правило, що кожен наступний метод може застосовуватися лише у випадку, якщо митна вартість не може бути визначена через застосування попереднього методу.</w:t>
      </w:r>
    </w:p>
    <w:p w14:paraId="23DB2FA1"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 практиці часто трапляється, що митний орган недостатньо обґрунтовує, або взагалі не пояснює, чому був обраний певний метод коригування митної вартості. У таких випадках Верховний Суд неодноразово зазначав, що порушення порядку застосування другорядних методів може бути підставою для скасування рішення митниці про коригування митної вартості. До прикладу постанова від 27 лютого 2019 року (справа № 814/1647/16) ВС вказав, що некоректний розрахунок митної вартості митним органом є підставою для визнання рішення незаконним [6].</w:t>
      </w:r>
    </w:p>
    <w:p w14:paraId="2ABEF68D"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Отже, коригування митної вартості це важливий елемент при митному контролі, але одночасно з цим це одне з найпоширеніших причин митних спорів, оскільки митні органи часто здійснюють коригування митної вартості без обґрунтування. Митні органи мають дискреційне право на коригування митної вартості, однак в будь-якому випадку їхні дії повинні бути чітко обґрунтованими. </w:t>
      </w:r>
    </w:p>
    <w:p w14:paraId="7B054880"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Як свідчить практика, найпоширенішими підставами для скасування рішень митного органу в судовому порядку є саме відсутність належних доказів, які підтверджують заниження митної вартості. Саме тому, коли митний орган не надає належних доказів щодо коригування або посилається на внутрішні дані чи власні відчуття, суд і встає на сторону декларанта та задовольняє позов про визнання протиправним та скасування рішення митного органу щодо коригування митної вартості.</w:t>
      </w:r>
    </w:p>
    <w:p w14:paraId="14BB4911" w14:textId="77777777" w:rsidR="00220D3E" w:rsidRPr="00511005" w:rsidRDefault="00220D3E" w:rsidP="003A292D">
      <w:pPr>
        <w:spacing w:line="264" w:lineRule="auto"/>
        <w:ind w:firstLine="0"/>
        <w:rPr>
          <w:rFonts w:ascii="Arial" w:eastAsia="Times New Roman" w:hAnsi="Arial" w:cs="Arial"/>
          <w:b/>
          <w:szCs w:val="28"/>
          <w:lang w:val="uk-UA"/>
        </w:rPr>
      </w:pPr>
    </w:p>
    <w:p w14:paraId="6FEEE0AC" w14:textId="736AD47B" w:rsidR="00220D3E" w:rsidRPr="00511005" w:rsidRDefault="007B2628" w:rsidP="007B2628">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3A2E1BF9" w14:textId="77777777" w:rsidR="00220D3E" w:rsidRPr="00511005" w:rsidRDefault="00220D3E" w:rsidP="003F6A5D">
      <w:pPr>
        <w:numPr>
          <w:ilvl w:val="0"/>
          <w:numId w:val="218"/>
        </w:numPr>
        <w:tabs>
          <w:tab w:val="left" w:pos="1134"/>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Верховний Суд. Огляд судової практики Верховного Суду у сфері митної справи. Київ, 2020. 59 с. URL: </w:t>
      </w:r>
      <w:hyperlink r:id="rId786" w:tgtFrame="_blank" w:history="1">
        <w:r w:rsidRPr="00511005">
          <w:rPr>
            <w:rFonts w:ascii="Arial" w:eastAsia="Times New Roman" w:hAnsi="Arial" w:cs="Arial"/>
            <w:szCs w:val="28"/>
            <w:lang w:val="uk-UA"/>
          </w:rPr>
          <w:t>https://supreme.court.gov.ua/userfiles/media/new_folder_for_uploads/supreme/Ohliad_mytna_sprava.pdf</w:t>
        </w:r>
      </w:hyperlink>
    </w:p>
    <w:p w14:paraId="15F3F21B" w14:textId="77777777" w:rsidR="00220D3E" w:rsidRPr="00511005" w:rsidRDefault="00220D3E" w:rsidP="003F6A5D">
      <w:pPr>
        <w:numPr>
          <w:ilvl w:val="0"/>
          <w:numId w:val="218"/>
        </w:numPr>
        <w:tabs>
          <w:tab w:val="left" w:pos="1134"/>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Калантай М. Митні спори та повноваження щодо коригування митної вартості товару. </w:t>
      </w:r>
      <w:r w:rsidRPr="00511005">
        <w:rPr>
          <w:rFonts w:ascii="Arial" w:eastAsia="Times New Roman" w:hAnsi="Arial" w:cs="Arial"/>
          <w:i/>
          <w:iCs/>
          <w:szCs w:val="28"/>
          <w:lang w:val="uk-UA"/>
        </w:rPr>
        <w:t>Трибуна молодого науковця</w:t>
      </w:r>
      <w:r w:rsidRPr="00511005">
        <w:rPr>
          <w:rFonts w:ascii="Arial" w:eastAsia="Times New Roman" w:hAnsi="Arial" w:cs="Arial"/>
          <w:szCs w:val="28"/>
          <w:lang w:val="uk-UA"/>
        </w:rPr>
        <w:t xml:space="preserve">. 2017. Т. 1. № 18. С. 134–138. URL: </w:t>
      </w:r>
      <w:hyperlink r:id="rId787" w:tgtFrame="_blank" w:history="1">
        <w:r w:rsidRPr="00511005">
          <w:rPr>
            <w:rFonts w:ascii="Arial" w:eastAsia="Times New Roman" w:hAnsi="Arial" w:cs="Arial"/>
            <w:szCs w:val="28"/>
            <w:lang w:val="uk-UA"/>
          </w:rPr>
          <w:t>http://nbuv.gov.ua/UJRN/vamsup_2017_1_17</w:t>
        </w:r>
      </w:hyperlink>
    </w:p>
    <w:p w14:paraId="4A9BB6B2" w14:textId="77777777" w:rsidR="00220D3E" w:rsidRPr="00511005" w:rsidRDefault="00220D3E" w:rsidP="003F6A5D">
      <w:pPr>
        <w:numPr>
          <w:ilvl w:val="0"/>
          <w:numId w:val="218"/>
        </w:numPr>
        <w:tabs>
          <w:tab w:val="left" w:pos="1134"/>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Митний кодекс України, 2012. URL: </w:t>
      </w:r>
      <w:hyperlink r:id="rId788" w:anchor="Text" w:tgtFrame="_blank" w:history="1">
        <w:r w:rsidRPr="00511005">
          <w:rPr>
            <w:rFonts w:ascii="Arial" w:eastAsia="Times New Roman" w:hAnsi="Arial" w:cs="Arial"/>
            <w:szCs w:val="28"/>
            <w:lang w:val="uk-UA"/>
          </w:rPr>
          <w:t>https://zakon.rada.gov.ua/laws/show/4495-17#Text</w:t>
        </w:r>
      </w:hyperlink>
    </w:p>
    <w:p w14:paraId="52BCB00B" w14:textId="77777777" w:rsidR="00220D3E" w:rsidRPr="00511005" w:rsidRDefault="00220D3E" w:rsidP="003F6A5D">
      <w:pPr>
        <w:numPr>
          <w:ilvl w:val="0"/>
          <w:numId w:val="218"/>
        </w:numPr>
        <w:tabs>
          <w:tab w:val="left" w:pos="1134"/>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Постанова Верховного Суду від 09.10.2018 у справі № 826/19852/16. URL: </w:t>
      </w:r>
      <w:hyperlink r:id="rId789" w:history="1">
        <w:r w:rsidRPr="00511005">
          <w:rPr>
            <w:rFonts w:ascii="Arial" w:eastAsia="Times New Roman" w:hAnsi="Arial" w:cs="Arial"/>
            <w:szCs w:val="28"/>
            <w:lang w:val="uk-UA"/>
          </w:rPr>
          <w:t>https://surl.li/vdrecr</w:t>
        </w:r>
      </w:hyperlink>
      <w:r w:rsidRPr="00511005">
        <w:rPr>
          <w:rFonts w:ascii="Arial" w:eastAsia="Times New Roman" w:hAnsi="Arial" w:cs="Arial"/>
          <w:szCs w:val="28"/>
          <w:lang w:val="uk-UA"/>
        </w:rPr>
        <w:t xml:space="preserve"> </w:t>
      </w:r>
    </w:p>
    <w:p w14:paraId="2BBA669F" w14:textId="77777777" w:rsidR="00220D3E" w:rsidRPr="00511005" w:rsidRDefault="00220D3E" w:rsidP="003F6A5D">
      <w:pPr>
        <w:numPr>
          <w:ilvl w:val="0"/>
          <w:numId w:val="218"/>
        </w:numPr>
        <w:tabs>
          <w:tab w:val="left" w:pos="1134"/>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Постанова Верховного Суду від 21.04.2021 у справі № 809/1838/15. URL: </w:t>
      </w:r>
      <w:hyperlink r:id="rId790" w:tgtFrame="_blank" w:history="1">
        <w:r w:rsidRPr="00511005">
          <w:rPr>
            <w:rFonts w:ascii="Arial" w:eastAsia="Times New Roman" w:hAnsi="Arial" w:cs="Arial"/>
            <w:szCs w:val="28"/>
            <w:lang w:val="uk-UA"/>
          </w:rPr>
          <w:t>https://reyestr.court.gov.ua/Review/96424729</w:t>
        </w:r>
      </w:hyperlink>
    </w:p>
    <w:p w14:paraId="28FFA653" w14:textId="77777777" w:rsidR="00220D3E" w:rsidRPr="00511005" w:rsidRDefault="00220D3E" w:rsidP="003F6A5D">
      <w:pPr>
        <w:numPr>
          <w:ilvl w:val="0"/>
          <w:numId w:val="218"/>
        </w:numPr>
        <w:tabs>
          <w:tab w:val="left" w:pos="1134"/>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Постанова Верховного Суду від 27.02.2019 у справі № 814/1647/16. URL: </w:t>
      </w:r>
      <w:hyperlink r:id="rId791" w:history="1">
        <w:r w:rsidRPr="00511005">
          <w:rPr>
            <w:rFonts w:ascii="Arial" w:eastAsia="Times New Roman" w:hAnsi="Arial" w:cs="Arial"/>
            <w:szCs w:val="28"/>
            <w:lang w:val="uk-UA"/>
          </w:rPr>
          <w:t>https://surl.li/ffwecn</w:t>
        </w:r>
      </w:hyperlink>
      <w:r w:rsidRPr="00511005">
        <w:rPr>
          <w:rFonts w:ascii="Arial" w:eastAsia="Times New Roman" w:hAnsi="Arial" w:cs="Arial"/>
          <w:szCs w:val="28"/>
          <w:lang w:val="uk-UA"/>
        </w:rPr>
        <w:t xml:space="preserve"> </w:t>
      </w:r>
    </w:p>
    <w:p w14:paraId="729C7958" w14:textId="77777777" w:rsidR="00220D3E" w:rsidRPr="00511005" w:rsidRDefault="00220D3E" w:rsidP="003F6A5D">
      <w:pPr>
        <w:numPr>
          <w:ilvl w:val="0"/>
          <w:numId w:val="218"/>
        </w:numPr>
        <w:tabs>
          <w:tab w:val="left" w:pos="1134"/>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Розгляд спорів у судовому порядку. Державна Митна Служба. URL: </w:t>
      </w:r>
      <w:hyperlink r:id="rId792" w:tgtFrame="_blank" w:history="1">
        <w:r w:rsidRPr="00511005">
          <w:rPr>
            <w:rFonts w:ascii="Arial" w:eastAsia="Times New Roman" w:hAnsi="Arial" w:cs="Arial"/>
            <w:szCs w:val="28"/>
            <w:lang w:val="uk-UA"/>
          </w:rPr>
          <w:t>http://customs.gov.ua/rozgliad-sporiv-u-sudovomu-poriadku</w:t>
        </w:r>
      </w:hyperlink>
    </w:p>
    <w:p w14:paraId="77E811D6" w14:textId="77777777" w:rsidR="00220D3E" w:rsidRPr="00511005" w:rsidRDefault="00220D3E" w:rsidP="003A292D">
      <w:pPr>
        <w:tabs>
          <w:tab w:val="left" w:pos="1134"/>
        </w:tabs>
        <w:spacing w:line="264" w:lineRule="auto"/>
        <w:ind w:firstLine="0"/>
        <w:rPr>
          <w:rFonts w:ascii="Arial" w:eastAsia="Times New Roman" w:hAnsi="Arial" w:cs="Arial"/>
          <w:szCs w:val="28"/>
          <w:lang w:val="uk-UA"/>
        </w:rPr>
      </w:pPr>
    </w:p>
    <w:p w14:paraId="1D013C1A" w14:textId="34D2C676" w:rsidR="00220D3E"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220D3E" w:rsidRPr="00511005">
        <w:rPr>
          <w:rFonts w:ascii="Arial" w:eastAsia="Times New Roman" w:hAnsi="Arial" w:cs="Arial"/>
          <w:szCs w:val="28"/>
          <w:lang w:val="uk-UA"/>
        </w:rPr>
        <w:t>митна вартість, коригування, декларант, судова практика, дискреційні повноваження, обґрунтованість, методи визначення, митний спір, доказування.</w:t>
      </w:r>
    </w:p>
    <w:p w14:paraId="536B6093" w14:textId="195FCA91" w:rsidR="00220D3E"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220D3E" w:rsidRPr="00511005">
        <w:rPr>
          <w:rFonts w:ascii="Arial" w:eastAsia="Times New Roman" w:hAnsi="Arial" w:cs="Arial"/>
          <w:szCs w:val="28"/>
          <w:lang w:val="uk-UA"/>
        </w:rPr>
        <w:t>customs value, adjustment, declarant, case law, discretionary powers, substantiation, valuation methods, customs dispute, evidence.</w:t>
      </w:r>
    </w:p>
    <w:p w14:paraId="5964CAE8" w14:textId="0065375E" w:rsidR="00220D3E" w:rsidRPr="00511005" w:rsidRDefault="007B2628" w:rsidP="003A292D">
      <w:pPr>
        <w:spacing w:line="264" w:lineRule="auto"/>
        <w:ind w:firstLine="0"/>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220D3E" w:rsidRPr="00511005">
        <w:rPr>
          <w:rFonts w:ascii="Arial" w:eastAsia="Times New Roman" w:hAnsi="Arial" w:cs="Arial"/>
          <w:i/>
          <w:szCs w:val="28"/>
          <w:lang w:val="uk-UA"/>
        </w:rPr>
        <w:t>к.ю.н., доцент Міщенко І.В.</w:t>
      </w:r>
    </w:p>
    <w:p w14:paraId="0AC90884" w14:textId="77777777" w:rsidR="00220D3E" w:rsidRPr="00511005" w:rsidRDefault="00220D3E" w:rsidP="003A292D">
      <w:pPr>
        <w:spacing w:line="264" w:lineRule="auto"/>
        <w:ind w:firstLine="0"/>
        <w:rPr>
          <w:rFonts w:ascii="Arial" w:eastAsiaTheme="minorHAnsi" w:hAnsi="Arial" w:cs="Arial"/>
          <w:spacing w:val="-10"/>
          <w:szCs w:val="28"/>
          <w:lang w:val="uk-UA"/>
        </w:rPr>
      </w:pPr>
    </w:p>
    <w:p w14:paraId="5D586873" w14:textId="77777777" w:rsidR="00220D3E" w:rsidRPr="00511005" w:rsidRDefault="00220D3E" w:rsidP="003A292D">
      <w:pPr>
        <w:spacing w:line="264" w:lineRule="auto"/>
        <w:ind w:firstLine="0"/>
        <w:jc w:val="center"/>
        <w:rPr>
          <w:rFonts w:ascii="Arial" w:hAnsi="Arial" w:cs="Arial"/>
          <w:b/>
          <w:bCs/>
          <w:szCs w:val="28"/>
          <w:lang w:val="uk-UA" w:eastAsia="zh-CN"/>
        </w:rPr>
      </w:pPr>
      <w:r w:rsidRPr="00511005">
        <w:rPr>
          <w:rFonts w:ascii="Arial" w:hAnsi="Arial" w:cs="Arial"/>
          <w:b/>
          <w:bCs/>
          <w:i/>
          <w:iCs/>
          <w:szCs w:val="28"/>
          <w:lang w:val="uk-UA" w:eastAsia="zh-CN"/>
        </w:rPr>
        <w:t>Лебедевич Анна Дмитрівна, Письменна Ксенія Ігорівна</w:t>
      </w:r>
    </w:p>
    <w:p w14:paraId="6655A479" w14:textId="3A1F64C5"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студентки 1-го курсу </w:t>
      </w:r>
      <w:r w:rsidRPr="00511005">
        <w:rPr>
          <w:rFonts w:ascii="Arial" w:hAnsi="Arial" w:cs="Arial"/>
          <w:iCs/>
          <w:szCs w:val="28"/>
          <w:lang w:val="uk-UA" w:eastAsia="zh-CN"/>
        </w:rPr>
        <w:t>магістратури</w:t>
      </w:r>
    </w:p>
    <w:p w14:paraId="7E93956A"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ED7ED14"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F381A56" w14:textId="77777777" w:rsidR="00220D3E" w:rsidRPr="00055389" w:rsidRDefault="00220D3E" w:rsidP="003A292D">
      <w:pPr>
        <w:spacing w:line="264" w:lineRule="auto"/>
        <w:ind w:firstLine="0"/>
        <w:jc w:val="center"/>
        <w:rPr>
          <w:rFonts w:ascii="Arial" w:hAnsi="Arial" w:cs="Arial"/>
          <w:i/>
          <w:iCs/>
          <w:szCs w:val="28"/>
          <w:lang w:eastAsia="zh-CN"/>
        </w:rPr>
      </w:pPr>
    </w:p>
    <w:p w14:paraId="16571B3A" w14:textId="77777777" w:rsidR="00220D3E" w:rsidRPr="00511005" w:rsidRDefault="00220D3E"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ПРОБЛЕМАТИКА ВИЗНАЧЕННЯ СУБ’ЄКТНОГО СКЛАДУ В МІЖНАРОДНОМУ МОРСЬКОМУ ПУБЛІЧНОМУ ПРАВІ</w:t>
      </w:r>
    </w:p>
    <w:p w14:paraId="26BC4C93"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 xml:space="preserve">Міжнародне морське публічне право – це одна із найстабільніших галузей міжнародного права. Традиційно субʼєктами цього права є держави та організації, які мають відношення до діяльності у Світовому Океані. Варто виокремити, що морські правовідносини – це відносини, які виникають у зв’язку із використанням морських просторів і ресурсів та врегульовані нормами морського права [1, с. 69]. Зазначмо, що морські правовідносини характеризуються особливими рисами, оскільки регулюються як на міжнародному, так і на національному рівні. Тому такі правовідносини мають особливий суб’єктивний склад, що породжує проблеми у їхньому регулюванні. </w:t>
      </w:r>
    </w:p>
    <w:p w14:paraId="20D2685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Варто звернути увагу на те, що морські правовідносини між державами у сфері мореплавства належать до міжнародного публічного морського права, тоді як відносини між окремими фізичними та юридичними особами в цій же галузі стосуються міжнародного приватного морського права. Положення міжнародного публічного морського права містяться в міжнародних угодах та звичаях, водночас як правила міжнародного приватного морського права закріплюються в актах внутрішнього (національного) морського законодавства (цивільних, трудових, адміністративних кодексах, кодексах торговельного мореплавства тощо). </w:t>
      </w:r>
    </w:p>
    <w:p w14:paraId="42F9894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Суб’єктами морського права виступають носії конкретних прав та зобов’язань. Їх права та обов’язки регулюються у міжнародних та національних нормативно-правових актах. Тому для того, щоб набути статусу суб’єкта міжнародного морського публічного права, потрібно відповідати низці критеріїв. По-перше, важливою є наявність певної зовнішньої відокремленості суб’єкта міжнародного морського публічного права, а також персоніфікація (можливість участі у міжнародних відносинах як окремої одиниці). По-друге, держави та міжнародні організації мають брати участь у розробці та схваленні міжнародних норм, а також їх дотримання. По-третє, кожен суб’єкт міжнародного морського публічного права повинен мати такі властивості, як правоздатність, дієздатність та деліктоздатність [2, с. 41]. </w:t>
      </w:r>
    </w:p>
    <w:p w14:paraId="7A14410E"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Таким чином, суб’єктами морських правовідносин у сфері міжнародного морського публічного права постають ті, хто має конкретні права та обов’язки, що визначені у міжнародних нормативно-правових актах та у національному законодавстві. Безпосередніми учасниками морських правовідносин є, насамперед, держави, а також міжнародні організації, статути (устави) яких надають повноваження здійснювати конкретні функції, пов’язані з морською діяльністю. Також суб’єктами морського права, але уже приватного міжнародного морського права, є фізичні та юридичні особи. Проте існує багато проблем із визначенням таких суб’єктів, оскільки на сучасному етапі ще не сформований їх вичерпний перелік. </w:t>
      </w:r>
    </w:p>
    <w:p w14:paraId="7610B53C"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Необхідно враховувати, що не всі держави світу є прибережними. З метою реалізації свободи судноплавства державам, які не мають виходу до моря (внутрішньоконтинентальним), необхідно укладати угоди з суміжними державами щодо транзиту своїх вантажів та пасажирів через території останніх, а також домовлятися з морськими державами, найближчими до них по відстані, щодо згоди на реєстрацію їхніх суден в одному з морських портів такої держави. Значну роль у вирішенні цього питання зіграла Барселонська конвенція, у якій держави взяли на себе зобов’язання сприяти одна одній у здійсненні свободи транзиту залізничними та водними шляхами, відкритими та призначеними для транзиту в міжнародному сполученні, стосовно пасажирів, багажу, вантажів, пасажирських та вантажних вагонів і суден, а також інших транспортних засобів [3].</w:t>
      </w:r>
    </w:p>
    <w:p w14:paraId="7A05C870"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Варто звернути увагу на те, що держави – це унікальні суверенні суб’єкти міжнародного морського публічного права, оскільки міжнародна правосуб’єктність притаманна їм просто через факт їх існування. Державний суверенітет передбачає цілковиту самостійність та незалежність держави у вирішенні питань внутрішнього та зовнішнього життя. Для прикладу, з приєднанням України до Конвенції ООН з морського права 1982 року [4], наша незалежна та суверенна держава здобула певні права, зобов’язання та відповідальність у питанні освоєння морського простору. Таким чином, Україна як унікальний колективний суб’єкт права, наділений загальною та спеціальною правоздатністю отримала галузеву «морську» (в тому числі й «міжнародну морську») дієздатність, виступаючи суб’єктом морських правовідносин. Зокрема, було отримано статус «держави-учасниці» (State Party), а відтак – становище повноправного учасника міжнародного морського правопорядку [5, с. 142]</w:t>
      </w:r>
    </w:p>
    <w:p w14:paraId="4AE76474"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Стосовно міжнародних інституцій, учасниками міжнародного морського публічного права можуть виступати лише міждержавні міжнародні організації, чиї установчі документи (статути) наділяють їх повноваженнями на реалізацію окремих функцій, що мають відношення до морської діяльності. Не визнаються суб’єктами міжнародного морського публічного права неурядові міжнародні організації, що працюють над конкретними питаннями морської діяльності. Це зумовлено тим, що вони створені не на основі міжнародних угод та не державами, а фізичними та юридичними особами, громадськими організаціями, асоціаціями або судноплавними компаніями.</w:t>
      </w:r>
    </w:p>
    <w:p w14:paraId="7BDC3964" w14:textId="77777777" w:rsidR="007B2628"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Варто зазначити, що взаємини між ключовими учасниками (суб’єктами) морської діяльності керуються як загальними, так і спеціалізованими (галузевими) принципами міжнародного права, що виникли з практичної діяльності суб’єктів міжнародного морського публічного права в просторах Світового океану. Отже, важливим є контроль і узгодження міжнародних взаємин у морській сфері, що базується на системі принципів, зафіксованих </w:t>
      </w:r>
      <w:r w:rsidRPr="00511005">
        <w:rPr>
          <w:rFonts w:ascii="Arial" w:eastAsia="Calibri" w:hAnsi="Arial" w:cs="Arial"/>
          <w:szCs w:val="28"/>
          <w:lang w:val="uk-UA"/>
        </w:rPr>
        <w:lastRenderedPageBreak/>
        <w:t>в міжнародних угодах. З огляду на це, головними суб’єктами правовідносин у морській галузі виступають держави та міжнародні організації.</w:t>
      </w:r>
    </w:p>
    <w:p w14:paraId="305AB9E9" w14:textId="688971B6"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Деякі автори визначають також як суб’єктів морських правовідносин у сфері міжнародного публічного права Морську арбітражну комісію, Службу регулювання руху суден, а також капітанів портів, що реалізують державний нагляд за мореплавством в межах порту, Міжнародний трибунал з морського права (Міжнародний морський суд) та інших [6]. Для прикладу, Морська арбітражна комісія при Торговельно-промисловій палаті України є флагманським інститутом серед арбітражних осередків Центральної та Східної Європи, а також визнаною арбітражною інституцією в глобальному масштабі. Також вона представляє передові міжнародні арбітражні принципи в Україні. </w:t>
      </w:r>
    </w:p>
    <w:p w14:paraId="239AF849"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Таким чином, у сучасному правничому дискурсі дефініція суб’єктного складу міжнародного морського публічного права дещо варіюється. Переважна частина науковців згодна з тим, що ключовими суб’єктами міжнародного права є держави та міжнародні організації. Усі суб’єкти права наділені визначеними на законодавчому рівні правами та обов’язками, невиконання яких тягне за собою юридичну відповідальність. Фундаментом міжнародного морського публічного права виступають як загальні, так і специфічні принципи, що регулюють норми поведінки суб’єктів права у сфері морської діяльності [2, с. 45].</w:t>
      </w:r>
    </w:p>
    <w:p w14:paraId="0B33DDC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Також проблемним аспектом є врегулювання спорів між вищезгаданими суб’єктами. У процесі розгляду спорів у морській сфері (справ з іноземним компонентом) процедура визначення юрисдикції суттєво відрізняється від стандартних норм з’ясування юрисдикції стосовно майна, фізичних осіб та правових взаємин. Ця процедура додатково ускладнюється впливом європейського законодавства. Тому морські справи вирізняються значною специфікою та складністю. Для ухвалення коректного рішення потрібні спеціальні знання та практичний досвід. Саме тому у судноплавній галузі більшу перевагу віддають арбітражу, а не судовому процесу. Арбітри мають кращу обізнаність у морських справах, ніж судді, котрі зазвичай мають обмежений досвід у морській практиці. Вони виносять рішення у справах, спираючись на законодавство, практичний досвід та комерційні міркування.</w:t>
      </w:r>
    </w:p>
    <w:p w14:paraId="5FD05CF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Отже, визначення суб’єктного складу сучасних морських правовідносин у сфері міжнародного морського публічного права є проблемним з огляду на те, що існує багато суб’єктів таких правовідносин, які мають різний правовий статус. Тому досить часто виникає проблема із врегулюванням колізійних правовідносин, що потребує удосконалення та пристосування до умов сьогодення. </w:t>
      </w:r>
    </w:p>
    <w:p w14:paraId="578BF7C7" w14:textId="77777777" w:rsidR="00220D3E" w:rsidRPr="00511005" w:rsidRDefault="00220D3E" w:rsidP="003A292D">
      <w:pPr>
        <w:spacing w:line="264" w:lineRule="auto"/>
        <w:ind w:firstLine="0"/>
        <w:rPr>
          <w:rFonts w:ascii="Arial" w:eastAsia="Calibri" w:hAnsi="Arial" w:cs="Arial"/>
          <w:szCs w:val="28"/>
          <w:lang w:val="uk-UA"/>
        </w:rPr>
      </w:pPr>
    </w:p>
    <w:p w14:paraId="2FAD6B08" w14:textId="461C2533" w:rsidR="00220D3E"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2AEFCE4D" w14:textId="77777777" w:rsidR="00220D3E" w:rsidRPr="00511005" w:rsidRDefault="00220D3E" w:rsidP="003F6A5D">
      <w:pPr>
        <w:numPr>
          <w:ilvl w:val="0"/>
          <w:numId w:val="223"/>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Кузнєцов С.С. Концепт «морські правовідносини» у контексті правової (морської) доктрини для України. </w:t>
      </w:r>
      <w:r w:rsidRPr="00511005">
        <w:rPr>
          <w:rFonts w:ascii="Arial" w:eastAsia="Calibri" w:hAnsi="Arial" w:cs="Arial"/>
          <w:i/>
          <w:szCs w:val="28"/>
          <w:lang w:val="uk-UA"/>
        </w:rPr>
        <w:t>Нове українське право.</w:t>
      </w:r>
      <w:r w:rsidRPr="00511005">
        <w:rPr>
          <w:rFonts w:ascii="Arial" w:eastAsia="Calibri" w:hAnsi="Arial" w:cs="Arial"/>
          <w:szCs w:val="28"/>
          <w:lang w:val="uk-UA"/>
        </w:rPr>
        <w:t xml:space="preserve"> 2021. № 3. С. 63-71.</w:t>
      </w:r>
      <w:r w:rsidRPr="00511005">
        <w:rPr>
          <w:rFonts w:ascii="Arial" w:eastAsiaTheme="minorHAnsi" w:hAnsi="Arial" w:cs="Arial"/>
          <w:szCs w:val="28"/>
          <w:lang w:val="uk-UA"/>
        </w:rPr>
        <w:t xml:space="preserve"> </w:t>
      </w:r>
      <w:hyperlink r:id="rId793" w:history="1">
        <w:r w:rsidRPr="00511005">
          <w:rPr>
            <w:rFonts w:ascii="Arial" w:eastAsia="Calibri" w:hAnsi="Arial" w:cs="Arial"/>
            <w:szCs w:val="28"/>
            <w:lang w:val="uk-UA"/>
          </w:rPr>
          <w:t>https://doi.org/10.51989/NUL.2021.3.9</w:t>
        </w:r>
      </w:hyperlink>
      <w:r w:rsidRPr="00511005">
        <w:rPr>
          <w:rFonts w:ascii="Arial" w:eastAsia="Calibri" w:hAnsi="Arial" w:cs="Arial"/>
          <w:szCs w:val="28"/>
          <w:lang w:val="uk-UA"/>
        </w:rPr>
        <w:t xml:space="preserve"> </w:t>
      </w:r>
    </w:p>
    <w:p w14:paraId="4CCA22E2" w14:textId="77777777" w:rsidR="00220D3E" w:rsidRPr="00511005" w:rsidRDefault="00220D3E" w:rsidP="003F6A5D">
      <w:pPr>
        <w:numPr>
          <w:ilvl w:val="0"/>
          <w:numId w:val="223"/>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Майданевич С.Б., Тимощук О.М. Суб’єкти та принципи міжнародного морського права. </w:t>
      </w:r>
      <w:r w:rsidRPr="00511005">
        <w:rPr>
          <w:rFonts w:ascii="Arial" w:eastAsia="Calibri" w:hAnsi="Arial" w:cs="Arial"/>
          <w:i/>
          <w:szCs w:val="28"/>
          <w:lang w:val="uk-UA"/>
        </w:rPr>
        <w:t>Водний транспорт.</w:t>
      </w:r>
      <w:r w:rsidRPr="00511005">
        <w:rPr>
          <w:rFonts w:ascii="Arial" w:eastAsia="Calibri" w:hAnsi="Arial" w:cs="Arial"/>
          <w:szCs w:val="28"/>
          <w:lang w:val="uk-UA"/>
        </w:rPr>
        <w:t xml:space="preserve"> 2021. №3(34). С. 39-47.</w:t>
      </w:r>
      <w:r w:rsidRPr="00511005">
        <w:rPr>
          <w:rFonts w:ascii="Arial" w:eastAsiaTheme="minorHAnsi" w:hAnsi="Arial" w:cs="Arial"/>
          <w:szCs w:val="28"/>
          <w:lang w:val="uk-UA"/>
        </w:rPr>
        <w:t xml:space="preserve"> </w:t>
      </w:r>
      <w:hyperlink r:id="rId794" w:history="1">
        <w:r w:rsidRPr="00511005">
          <w:rPr>
            <w:rFonts w:ascii="Arial" w:eastAsiaTheme="minorHAnsi" w:hAnsi="Arial" w:cs="Arial"/>
            <w:szCs w:val="28"/>
            <w:lang w:val="uk-UA"/>
          </w:rPr>
          <w:t>https://</w:t>
        </w:r>
        <w:r w:rsidRPr="00511005">
          <w:rPr>
            <w:rFonts w:ascii="Arial" w:eastAsia="Calibri" w:hAnsi="Arial" w:cs="Arial"/>
            <w:szCs w:val="28"/>
            <w:lang w:val="uk-UA"/>
          </w:rPr>
          <w:t>doi.org/10.33298/2226-8553/2021.3.34.05</w:t>
        </w:r>
      </w:hyperlink>
      <w:r w:rsidRPr="00511005">
        <w:rPr>
          <w:rFonts w:ascii="Arial" w:eastAsia="Calibri" w:hAnsi="Arial" w:cs="Arial"/>
          <w:szCs w:val="28"/>
          <w:lang w:val="uk-UA"/>
        </w:rPr>
        <w:t xml:space="preserve"> </w:t>
      </w:r>
    </w:p>
    <w:p w14:paraId="01A919D0" w14:textId="77777777" w:rsidR="00220D3E" w:rsidRPr="00511005" w:rsidRDefault="00220D3E" w:rsidP="003F6A5D">
      <w:pPr>
        <w:numPr>
          <w:ilvl w:val="0"/>
          <w:numId w:val="223"/>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Barcelona Convention and Protocols: 16 February 1976. URL: </w:t>
      </w:r>
      <w:hyperlink r:id="rId795" w:history="1">
        <w:r w:rsidRPr="00511005">
          <w:rPr>
            <w:rFonts w:ascii="Arial" w:eastAsia="Calibri" w:hAnsi="Arial" w:cs="Arial"/>
            <w:szCs w:val="28"/>
            <w:lang w:val="uk-UA"/>
          </w:rPr>
          <w:t>https://planbleu.org/sites/default/files/upload/files/Barcelona_convention_and_protocols_2005_eng.pdf</w:t>
        </w:r>
      </w:hyperlink>
      <w:r w:rsidRPr="00511005">
        <w:rPr>
          <w:rFonts w:ascii="Arial" w:eastAsia="Calibri" w:hAnsi="Arial" w:cs="Arial"/>
          <w:szCs w:val="28"/>
          <w:lang w:val="uk-UA"/>
        </w:rPr>
        <w:t xml:space="preserve"> </w:t>
      </w:r>
    </w:p>
    <w:p w14:paraId="4F4FEEA5" w14:textId="77777777" w:rsidR="00220D3E" w:rsidRPr="00511005" w:rsidRDefault="00220D3E" w:rsidP="003F6A5D">
      <w:pPr>
        <w:numPr>
          <w:ilvl w:val="0"/>
          <w:numId w:val="223"/>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United Nations Convention on the Law of the Sea, 1982. URL: </w:t>
      </w:r>
      <w:hyperlink r:id="rId796" w:history="1">
        <w:r w:rsidRPr="00511005">
          <w:rPr>
            <w:rFonts w:ascii="Arial" w:eastAsia="Calibri" w:hAnsi="Arial" w:cs="Arial"/>
            <w:szCs w:val="28"/>
            <w:lang w:val="uk-UA"/>
          </w:rPr>
          <w:t>https://www.un.org/depts/los/convention_agreements/texts/unclos/unclos_e.pdf</w:t>
        </w:r>
      </w:hyperlink>
      <w:r w:rsidRPr="00511005">
        <w:rPr>
          <w:rFonts w:ascii="Arial" w:eastAsia="Calibri" w:hAnsi="Arial" w:cs="Arial"/>
          <w:szCs w:val="28"/>
          <w:lang w:val="uk-UA"/>
        </w:rPr>
        <w:t xml:space="preserve"> </w:t>
      </w:r>
    </w:p>
    <w:p w14:paraId="4882FE9E" w14:textId="77777777" w:rsidR="00220D3E" w:rsidRPr="00511005" w:rsidRDefault="00220D3E" w:rsidP="003F6A5D">
      <w:pPr>
        <w:numPr>
          <w:ilvl w:val="0"/>
          <w:numId w:val="223"/>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Кузнєцов С.С. Україна – морська держава: концепт «правосуб’єктність» у контексті правової (морської) доктрини. </w:t>
      </w:r>
      <w:r w:rsidRPr="00511005">
        <w:rPr>
          <w:rFonts w:ascii="Arial" w:eastAsia="Calibri" w:hAnsi="Arial" w:cs="Arial"/>
          <w:i/>
          <w:szCs w:val="28"/>
          <w:lang w:val="uk-UA"/>
        </w:rPr>
        <w:t xml:space="preserve">Актуальні проблеми вітчизняної юриспруденції. </w:t>
      </w:r>
      <w:r w:rsidRPr="00511005">
        <w:rPr>
          <w:rFonts w:ascii="Arial" w:eastAsia="Calibri" w:hAnsi="Arial" w:cs="Arial"/>
          <w:szCs w:val="28"/>
          <w:lang w:val="uk-UA"/>
        </w:rPr>
        <w:t>2021. № 3. С. 137-143.</w:t>
      </w:r>
      <w:r w:rsidRPr="00511005">
        <w:rPr>
          <w:rFonts w:ascii="Arial" w:eastAsiaTheme="minorHAnsi" w:hAnsi="Arial" w:cs="Arial"/>
          <w:szCs w:val="28"/>
          <w:lang w:val="uk-UA"/>
        </w:rPr>
        <w:t xml:space="preserve"> </w:t>
      </w:r>
      <w:hyperlink r:id="rId797" w:history="1">
        <w:r w:rsidRPr="00511005">
          <w:rPr>
            <w:rFonts w:ascii="Arial" w:eastAsia="Calibri" w:hAnsi="Arial" w:cs="Arial"/>
            <w:szCs w:val="28"/>
            <w:lang w:val="uk-UA"/>
          </w:rPr>
          <w:t>https://doi.org/10.15421/392162</w:t>
        </w:r>
      </w:hyperlink>
      <w:r w:rsidRPr="00511005">
        <w:rPr>
          <w:rFonts w:ascii="Arial" w:eastAsia="Calibri" w:hAnsi="Arial" w:cs="Arial"/>
          <w:szCs w:val="28"/>
          <w:lang w:val="uk-UA"/>
        </w:rPr>
        <w:t xml:space="preserve"> </w:t>
      </w:r>
    </w:p>
    <w:p w14:paraId="646ECE0F" w14:textId="77777777" w:rsidR="00220D3E" w:rsidRPr="00511005" w:rsidRDefault="00220D3E" w:rsidP="003F6A5D">
      <w:pPr>
        <w:numPr>
          <w:ilvl w:val="0"/>
          <w:numId w:val="223"/>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Міжнародне морське право. </w:t>
      </w:r>
      <w:r w:rsidRPr="00511005">
        <w:rPr>
          <w:rFonts w:ascii="Arial" w:eastAsia="Calibri" w:hAnsi="Arial" w:cs="Arial"/>
          <w:i/>
          <w:szCs w:val="28"/>
          <w:lang w:val="uk-UA"/>
        </w:rPr>
        <w:t>Law Nobilex.</w:t>
      </w:r>
      <w:r w:rsidRPr="00511005">
        <w:rPr>
          <w:rFonts w:ascii="Arial" w:eastAsia="Calibri" w:hAnsi="Arial" w:cs="Arial"/>
          <w:szCs w:val="28"/>
          <w:lang w:val="uk-UA"/>
        </w:rPr>
        <w:t xml:space="preserve"> URL: </w:t>
      </w:r>
      <w:hyperlink r:id="rId798" w:history="1">
        <w:r w:rsidRPr="00511005">
          <w:rPr>
            <w:rFonts w:ascii="Arial" w:eastAsia="Calibri" w:hAnsi="Arial" w:cs="Arial"/>
            <w:szCs w:val="28"/>
            <w:lang w:val="uk-UA"/>
          </w:rPr>
          <w:t>https://nobilexlaw.com/mizhnarodne-pravo/mizhnarodne-morske-pravo/</w:t>
        </w:r>
      </w:hyperlink>
    </w:p>
    <w:p w14:paraId="09E40D6A" w14:textId="77777777" w:rsidR="00220D3E" w:rsidRPr="00511005" w:rsidRDefault="00220D3E" w:rsidP="003A292D">
      <w:pPr>
        <w:spacing w:line="264" w:lineRule="auto"/>
        <w:ind w:firstLine="0"/>
        <w:rPr>
          <w:rFonts w:ascii="Arial" w:eastAsia="Calibri" w:hAnsi="Arial" w:cs="Arial"/>
          <w:b/>
          <w:szCs w:val="28"/>
          <w:lang w:val="uk-UA"/>
        </w:rPr>
      </w:pPr>
    </w:p>
    <w:p w14:paraId="0CE34792" w14:textId="4B602357"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20D3E" w:rsidRPr="00511005">
        <w:rPr>
          <w:rFonts w:ascii="Arial" w:eastAsia="Calibri" w:hAnsi="Arial" w:cs="Arial"/>
          <w:szCs w:val="28"/>
          <w:lang w:val="uk-UA"/>
        </w:rPr>
        <w:t xml:space="preserve">морські правовідносини, суб’єкти, держава, міжнародна організація, правовий статус, рівність. </w:t>
      </w:r>
    </w:p>
    <w:p w14:paraId="063D5807" w14:textId="6DD892FC"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220D3E" w:rsidRPr="00511005">
        <w:rPr>
          <w:rFonts w:ascii="Arial" w:eastAsia="Calibri" w:hAnsi="Arial" w:cs="Arial"/>
          <w:szCs w:val="28"/>
          <w:lang w:val="uk-UA"/>
        </w:rPr>
        <w:t>maritime legal relations, subjects, state, international organization, legal status, equality.</w:t>
      </w:r>
    </w:p>
    <w:p w14:paraId="7A66A98E" w14:textId="7E700F50" w:rsidR="00220D3E"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220D3E" w:rsidRPr="00511005">
        <w:rPr>
          <w:rFonts w:ascii="Arial" w:eastAsia="Calibri" w:hAnsi="Arial" w:cs="Arial"/>
          <w:i/>
          <w:szCs w:val="28"/>
          <w:lang w:val="uk-UA"/>
        </w:rPr>
        <w:t xml:space="preserve">к.ю.н., доцент </w:t>
      </w:r>
      <w:r w:rsidR="00220D3E" w:rsidRPr="00511005">
        <w:rPr>
          <w:rFonts w:ascii="Arial" w:eastAsia="Calibri" w:hAnsi="Arial" w:cs="Arial"/>
          <w:bCs/>
          <w:i/>
          <w:szCs w:val="28"/>
          <w:lang w:val="uk-UA"/>
        </w:rPr>
        <w:t>Міщенко І. В.</w:t>
      </w:r>
    </w:p>
    <w:p w14:paraId="4F83A273" w14:textId="77777777" w:rsidR="00220D3E" w:rsidRPr="00511005" w:rsidRDefault="00220D3E" w:rsidP="003A292D">
      <w:pPr>
        <w:spacing w:line="264" w:lineRule="auto"/>
        <w:ind w:firstLine="0"/>
        <w:rPr>
          <w:rFonts w:ascii="Arial" w:eastAsiaTheme="minorHAnsi" w:hAnsi="Arial" w:cs="Arial"/>
          <w:spacing w:val="-10"/>
          <w:szCs w:val="28"/>
          <w:lang w:val="uk-UA"/>
        </w:rPr>
      </w:pPr>
    </w:p>
    <w:p w14:paraId="07FBE4FB" w14:textId="77777777" w:rsidR="00220D3E" w:rsidRPr="00511005" w:rsidRDefault="00220D3E" w:rsidP="003A292D">
      <w:pPr>
        <w:spacing w:line="264" w:lineRule="auto"/>
        <w:ind w:firstLine="0"/>
        <w:jc w:val="center"/>
        <w:rPr>
          <w:rFonts w:ascii="Arial" w:eastAsiaTheme="minorHAnsi" w:hAnsi="Arial" w:cs="Arial"/>
          <w:b/>
          <w:i/>
          <w:iCs/>
          <w:szCs w:val="28"/>
          <w:lang w:val="uk-UA"/>
        </w:rPr>
      </w:pPr>
      <w:r w:rsidRPr="00511005">
        <w:rPr>
          <w:rFonts w:ascii="Arial" w:eastAsiaTheme="minorHAnsi" w:hAnsi="Arial" w:cs="Arial"/>
          <w:b/>
          <w:i/>
          <w:iCs/>
          <w:szCs w:val="28"/>
          <w:lang w:val="uk-UA"/>
        </w:rPr>
        <w:t>Лєснякова Вікторія Олександрівна</w:t>
      </w:r>
    </w:p>
    <w:p w14:paraId="658C246F" w14:textId="71E835B6" w:rsidR="00220D3E" w:rsidRPr="00511005" w:rsidRDefault="00536AAB" w:rsidP="003A292D">
      <w:pPr>
        <w:spacing w:line="264" w:lineRule="auto"/>
        <w:ind w:firstLine="0"/>
        <w:jc w:val="center"/>
        <w:rPr>
          <w:rFonts w:ascii="Arial" w:eastAsiaTheme="minorHAnsi" w:hAnsi="Arial" w:cs="Arial"/>
          <w:bCs/>
          <w:szCs w:val="28"/>
          <w:lang w:val="uk-UA"/>
        </w:rPr>
      </w:pPr>
      <w:r w:rsidRPr="00511005">
        <w:rPr>
          <w:rFonts w:ascii="Arial" w:eastAsiaTheme="minorHAnsi" w:hAnsi="Arial" w:cs="Arial"/>
          <w:bCs/>
          <w:szCs w:val="28"/>
          <w:lang w:val="uk-UA"/>
        </w:rPr>
        <w:t xml:space="preserve">студентка 4-го курсу </w:t>
      </w:r>
      <w:r w:rsidR="001B7B25" w:rsidRPr="00511005">
        <w:rPr>
          <w:rFonts w:ascii="Arial" w:eastAsiaTheme="minorHAnsi" w:hAnsi="Arial" w:cs="Arial"/>
          <w:bCs/>
          <w:szCs w:val="28"/>
          <w:lang w:val="uk-UA"/>
        </w:rPr>
        <w:t>факультету судового та міжнародного права</w:t>
      </w:r>
    </w:p>
    <w:p w14:paraId="4C5E9974" w14:textId="52EC8645" w:rsidR="00220D3E" w:rsidRPr="00511005" w:rsidRDefault="007B2628" w:rsidP="003A292D">
      <w:pPr>
        <w:spacing w:line="264" w:lineRule="auto"/>
        <w:ind w:firstLine="0"/>
        <w:jc w:val="center"/>
        <w:rPr>
          <w:rFonts w:ascii="Arial" w:eastAsiaTheme="minorHAnsi" w:hAnsi="Arial" w:cs="Arial"/>
          <w:bCs/>
          <w:szCs w:val="28"/>
          <w:lang w:val="uk-UA"/>
        </w:rPr>
      </w:pPr>
      <w:r w:rsidRPr="00511005">
        <w:rPr>
          <w:rFonts w:ascii="Arial" w:eastAsiaTheme="minorHAnsi" w:hAnsi="Arial" w:cs="Arial"/>
          <w:bCs/>
          <w:szCs w:val="28"/>
          <w:lang w:val="uk-UA"/>
        </w:rPr>
        <w:t>Національного університету «Одеська юридична академія»</w:t>
      </w:r>
      <w:r w:rsidR="00220D3E" w:rsidRPr="00511005">
        <w:rPr>
          <w:rFonts w:ascii="Arial" w:eastAsiaTheme="minorHAnsi" w:hAnsi="Arial" w:cs="Arial"/>
          <w:bCs/>
          <w:szCs w:val="28"/>
          <w:lang w:val="uk-UA"/>
        </w:rPr>
        <w:t xml:space="preserve"> </w:t>
      </w:r>
    </w:p>
    <w:p w14:paraId="6431DCE4" w14:textId="77777777" w:rsidR="00220D3E" w:rsidRPr="00511005" w:rsidRDefault="00220D3E" w:rsidP="003A292D">
      <w:pPr>
        <w:spacing w:line="264" w:lineRule="auto"/>
        <w:ind w:firstLine="0"/>
        <w:jc w:val="center"/>
        <w:rPr>
          <w:rFonts w:ascii="Arial" w:eastAsiaTheme="minorHAnsi" w:hAnsi="Arial" w:cs="Arial"/>
          <w:b/>
          <w:szCs w:val="28"/>
          <w:lang w:val="uk-UA"/>
        </w:rPr>
      </w:pPr>
    </w:p>
    <w:p w14:paraId="67F40A4A" w14:textId="77777777" w:rsidR="00220D3E" w:rsidRPr="00511005" w:rsidRDefault="00220D3E" w:rsidP="003A292D">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ЗВІЛЬНЕННЯ ВІД ОБОВ’ЯЗКУ СПЛАТИ МИТНИХ ПЛАТЕЖІВ НА ПЕРІОД ДІЇ ВОЄННОГО СТАНУ</w:t>
      </w:r>
    </w:p>
    <w:p w14:paraId="183BB591"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Звільнення від обов’язку сплати митних платежів на період дії воєнного стану є важливою мірою, спрямованою на підтримку економіки України під час складних умов війни з Російською Федерацією. Це питання набуло особливого значення в умовах, коли країна зіткнулася з безпрецедентними економічними проблемами. Україна, яка до війни була на шляху до європейської інтеграції та модернізації, на сьогодні переживає серйозну економічну кризу, викликану руйнуванням інфраструктури, порушенням ланцюгів постачання, значним скороченням виробництва та споживчого попиту. Водночас важливим аспектом є необхідність швидкої мобілізації всіх наявних ресурсів для забезпечення оборони країни та підтримки економічної стабільності в умовах бойових дій.</w:t>
      </w:r>
    </w:p>
    <w:p w14:paraId="45B138BE"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З моменту повномасштабного вторгнення Росії в Україну в лютому 2022 року, економіка країни зазнала значних змін, які охопили майже всі сфери життя. Одним з найбільших викликів стало значне зменшення обсягів як імпорту, так і експорту, що природно призвело до падіння надходжень до Державного бюджету. Проблеми зі сплатою митних платежів стали однією з основних причин цього падіння. На період війни було введено низку змін у митному законодавстві, спрямованих на зменшення фіскального навантаження на бізнес і громадян. Одним із таких кроків стало звільнення від сплати митних платежів для певних категорій товарів, що дозволило спростити процедури ввезення необхідних для війни матеріалів, техніки та продовольства, а також забезпечення підтримки відновлення критичної інфраструктури [1].</w:t>
      </w:r>
    </w:p>
    <w:p w14:paraId="3ADAAC49"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Війна, з її непередбачуваними наслідками, призвела до руйнування багатьох стратегічно важливих підприємств, що безпосередньо позначилося на обсягах митних надходжень. Падіння виробництва, значне скорочення зайнятості та зниження рівня доходів громадян сприяли зменшенню внутрішнього попиту і, як наслідок, зниженню митних надходжень. До того ж, не можна забувати про серйозні обмеження щодо переміщення товарів через територію, що частково обумовлено не лише військовими діями, але й рішеннями з безпеки.</w:t>
      </w:r>
    </w:p>
    <w:p w14:paraId="72104F7F"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Одним з ефективних кроків, що прийняті урядом України для полегшення цієї ситуації, стало скасування певних митних платежів. Такі заходи дозволили значно спростити ввезення транспортних засобів, медичних товарів, обладнання для військових та енергетичних потреб, що стало необхідністю в умовах війни. Крім того, на певний період були введені пільги для підприємств, що займаються імпортом товарів, пов’язаних із забезпеченням безпеки та обороноздатності держави. Зокрема, пільги на акцизний податок і ПДВ для ввезення пального, а також пільги для військового обладнання дозволили зменшити фінансове навантаження на державу і бізнес, забезпечивши критичні потреби країни.</w:t>
      </w:r>
    </w:p>
    <w:p w14:paraId="76C6B950"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Дані заходи, безумовно, дозволили зберегти деяку стабільність в економіці, однак вони також спричинили значні втрати для Державного бюджету. За попередніми підрахунками, тільки в 2022 році пільги на імпорт товарів склали десятки мільярдів гривень, що суттєво зменшило обсяги митних надходжень. Це стало основною причиною дефіциту бюджету та потреби у додаткових джерелах фінансування для покриття витрат на оборону та соціальні виплати [2].</w:t>
      </w:r>
    </w:p>
    <w:p w14:paraId="40C02DC5"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Враховуючи руйнівні наслідки війни, митні органи змушені були адаптувати свої функції до нових умов. В першу чергу, було прийнято рішення про впровадження спрощеного митного контролю, що дозволило зменшити затримки при митному оформленні товарів і забезпечити оперативне постачання необхідних для війни ресурсів. Митні органи почали активніше </w:t>
      </w:r>
      <w:r w:rsidRPr="00511005">
        <w:rPr>
          <w:rFonts w:ascii="Arial" w:eastAsia="Times New Roman" w:hAnsi="Arial" w:cs="Arial"/>
          <w:szCs w:val="28"/>
          <w:lang w:val="uk-UA" w:eastAsia="ru-RU"/>
        </w:rPr>
        <w:lastRenderedPageBreak/>
        <w:t>використовувати електронні системи для оформлення вантажів, що дозволило значно зменшити бюрократичні бар’єри та пришвидшити процеси.</w:t>
      </w:r>
    </w:p>
    <w:p w14:paraId="27A8B436"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Водночас звільнення від митних платежів на період воєнного стану супроводжувалося низкою проблем, серед яких варто відзначити зростання контрабанди та інших порушень митного законодавства. У разі надання значних пільг і знижок на певні категорії товарів виникає ризик їх неправомірного ввезення або використання не за призначенням. Для боротьби з цими проблемами необхідно посилити контроль за ввезенням та обігом товарів, що підлягають пільговому митному оформленню.</w:t>
      </w:r>
    </w:p>
    <w:p w14:paraId="0E1646B3"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Незважаючи на тимчасове звільнення від митних платежів, постає важливе питання довгострокових наслідків для економіки країни. З одного боку, скасування митних платежів дозволяє зберігати потоки критично важливих товарів, сприяє мобілізації ресурсів для відновлення економіки, зокрема енергетичних мереж та виробничих потужностей, з другого – це спричиняє зменшення надходжень до державного бюджету. Тому в майбутньому Україні потрібно буде знайти баланс між підтримкою економіки через пільги і забезпеченням достатніх надходжень до бюджету для фінансування відновлення країни та подолання наслідків війни [3].</w:t>
      </w:r>
    </w:p>
    <w:p w14:paraId="07A2F4A8"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У результаті, звільнення від обов’язку сплати митних платежів на період дії воєнного стану є важливим інструментом у боротьбі з наслідками війни, що дозволяє не тільки полегшити ведення бізнесу в умовах кризи, але й забезпечити потреби оборони та відновлення економіки. Водночас для забезпечення ефективного використання цього механізму необхідно вдосконалювати митну політику та впроваджувати передові технології контролю, що дозволяють зменшити зловживання та забезпечити баланс між фінансовими пільгами та необхідністю відновлення державного бюджету.</w:t>
      </w:r>
    </w:p>
    <w:p w14:paraId="11908A48" w14:textId="77777777" w:rsidR="00220D3E" w:rsidRPr="00511005" w:rsidRDefault="00220D3E" w:rsidP="003A292D">
      <w:pPr>
        <w:spacing w:line="264" w:lineRule="auto"/>
        <w:ind w:firstLine="0"/>
        <w:contextualSpacing/>
        <w:jc w:val="center"/>
        <w:rPr>
          <w:rFonts w:ascii="Arial" w:eastAsia="Times New Roman" w:hAnsi="Arial" w:cs="Arial"/>
          <w:b/>
          <w:szCs w:val="28"/>
          <w:lang w:val="uk-UA" w:eastAsia="ru-RU"/>
        </w:rPr>
      </w:pPr>
    </w:p>
    <w:p w14:paraId="711596F0" w14:textId="6A0CA1EE" w:rsidR="00220D3E" w:rsidRPr="00511005" w:rsidRDefault="007B2628" w:rsidP="007B2628">
      <w:pPr>
        <w:spacing w:line="264" w:lineRule="auto"/>
        <w:ind w:firstLine="0"/>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644C6A86" w14:textId="77777777" w:rsidR="00220D3E" w:rsidRPr="00511005" w:rsidRDefault="00220D3E" w:rsidP="003A292D">
      <w:pPr>
        <w:spacing w:line="264" w:lineRule="auto"/>
        <w:ind w:firstLine="0"/>
        <w:contextualSpacing/>
        <w:rPr>
          <w:rFonts w:ascii="Arial" w:eastAsiaTheme="minorHAnsi" w:hAnsi="Arial" w:cs="Arial"/>
          <w:szCs w:val="28"/>
          <w:lang w:val="uk-UA"/>
        </w:rPr>
      </w:pPr>
      <w:r w:rsidRPr="00511005">
        <w:rPr>
          <w:rFonts w:ascii="Arial" w:eastAsiaTheme="minorHAnsi" w:hAnsi="Arial" w:cs="Arial"/>
          <w:szCs w:val="28"/>
          <w:lang w:val="uk-UA"/>
        </w:rPr>
        <w:t xml:space="preserve">1. Бороденко Г., Левченко К. Митна політика України в умовах повномасштабної війни. </w:t>
      </w:r>
      <w:r w:rsidRPr="00511005">
        <w:rPr>
          <w:rFonts w:ascii="Arial" w:eastAsiaTheme="minorHAnsi" w:hAnsi="Arial" w:cs="Arial"/>
          <w:i/>
          <w:szCs w:val="28"/>
          <w:lang w:val="uk-UA"/>
        </w:rPr>
        <w:t>Міжнародний Науковий Журнал «Грааль Науки»</w:t>
      </w:r>
      <w:r w:rsidRPr="00511005">
        <w:rPr>
          <w:rFonts w:ascii="Arial" w:eastAsiaTheme="minorHAnsi" w:hAnsi="Arial" w:cs="Arial"/>
          <w:szCs w:val="28"/>
          <w:lang w:val="uk-UA"/>
        </w:rPr>
        <w:t xml:space="preserve">. 2023. </w:t>
      </w:r>
    </w:p>
    <w:p w14:paraId="629F81E6" w14:textId="77777777" w:rsidR="00220D3E" w:rsidRPr="00511005" w:rsidRDefault="00220D3E" w:rsidP="003A292D">
      <w:pPr>
        <w:spacing w:line="264" w:lineRule="auto"/>
        <w:ind w:firstLine="0"/>
        <w:contextualSpacing/>
        <w:rPr>
          <w:rFonts w:ascii="Arial" w:eastAsiaTheme="minorHAnsi" w:hAnsi="Arial" w:cs="Arial"/>
          <w:szCs w:val="28"/>
          <w:lang w:val="uk-UA"/>
        </w:rPr>
      </w:pPr>
      <w:r w:rsidRPr="00511005">
        <w:rPr>
          <w:rFonts w:ascii="Arial" w:eastAsiaTheme="minorHAnsi" w:hAnsi="Arial" w:cs="Arial"/>
          <w:szCs w:val="28"/>
          <w:lang w:val="uk-UA"/>
        </w:rPr>
        <w:t xml:space="preserve">2. Державна Митна Служба. URL: </w:t>
      </w:r>
      <w:hyperlink r:id="rId799" w:history="1">
        <w:r w:rsidRPr="00511005">
          <w:rPr>
            <w:rFonts w:ascii="Arial" w:eastAsiaTheme="minorHAnsi" w:hAnsi="Arial" w:cs="Arial"/>
            <w:szCs w:val="28"/>
            <w:lang w:val="uk-UA"/>
          </w:rPr>
          <w:t>https://customs.gov.ua/</w:t>
        </w:r>
      </w:hyperlink>
    </w:p>
    <w:p w14:paraId="1C4751FD" w14:textId="77777777" w:rsidR="00220D3E" w:rsidRPr="00511005" w:rsidRDefault="00220D3E" w:rsidP="003A292D">
      <w:pPr>
        <w:spacing w:line="264" w:lineRule="auto"/>
        <w:ind w:firstLine="0"/>
        <w:contextualSpacing/>
        <w:rPr>
          <w:rFonts w:ascii="Arial" w:eastAsiaTheme="minorHAnsi" w:hAnsi="Arial" w:cs="Arial"/>
          <w:szCs w:val="28"/>
          <w:lang w:val="uk-UA"/>
        </w:rPr>
      </w:pPr>
      <w:r w:rsidRPr="00511005">
        <w:rPr>
          <w:rFonts w:ascii="Arial" w:eastAsiaTheme="minorHAnsi" w:hAnsi="Arial" w:cs="Arial"/>
          <w:szCs w:val="28"/>
          <w:lang w:val="uk-UA"/>
        </w:rPr>
        <w:t xml:space="preserve">3. Микулак О.В. Митні відносини України та світу в умовах війни. </w:t>
      </w:r>
      <w:r w:rsidRPr="00511005">
        <w:rPr>
          <w:rFonts w:ascii="Arial" w:eastAsiaTheme="minorHAnsi" w:hAnsi="Arial" w:cs="Arial"/>
          <w:i/>
          <w:szCs w:val="28"/>
          <w:lang w:val="uk-UA"/>
        </w:rPr>
        <w:t>Міжнародний Науковий Журнал «Грааль Науки».</w:t>
      </w:r>
      <w:r w:rsidRPr="00511005">
        <w:rPr>
          <w:rFonts w:ascii="Arial" w:eastAsiaTheme="minorHAnsi" w:hAnsi="Arial" w:cs="Arial"/>
          <w:szCs w:val="28"/>
          <w:lang w:val="uk-UA"/>
        </w:rPr>
        <w:t xml:space="preserve"> 2022. № 17.</w:t>
      </w:r>
    </w:p>
    <w:p w14:paraId="77210CEE" w14:textId="77777777" w:rsidR="00220D3E" w:rsidRPr="00511005" w:rsidRDefault="00220D3E" w:rsidP="003A292D">
      <w:pPr>
        <w:spacing w:line="264" w:lineRule="auto"/>
        <w:ind w:firstLine="0"/>
        <w:contextualSpacing/>
        <w:rPr>
          <w:rFonts w:ascii="Arial" w:eastAsiaTheme="minorHAnsi" w:hAnsi="Arial" w:cs="Arial"/>
          <w:b/>
          <w:bCs/>
          <w:szCs w:val="28"/>
          <w:lang w:val="uk-UA"/>
        </w:rPr>
      </w:pPr>
    </w:p>
    <w:p w14:paraId="49FA053D" w14:textId="1397B5EA" w:rsidR="00220D3E" w:rsidRPr="00511005" w:rsidRDefault="007B2628" w:rsidP="003A292D">
      <w:pPr>
        <w:spacing w:line="264" w:lineRule="auto"/>
        <w:ind w:firstLine="0"/>
        <w:contextualSpacing/>
        <w:rPr>
          <w:rFonts w:ascii="Arial" w:eastAsiaTheme="minorHAnsi" w:hAnsi="Arial" w:cs="Arial"/>
          <w:szCs w:val="28"/>
          <w:lang w:val="uk-UA"/>
        </w:rPr>
      </w:pPr>
      <w:r w:rsidRPr="00511005">
        <w:rPr>
          <w:rFonts w:ascii="Arial" w:eastAsiaTheme="minorHAnsi" w:hAnsi="Arial" w:cs="Arial"/>
          <w:b/>
          <w:bCs/>
          <w:i/>
          <w:szCs w:val="28"/>
          <w:lang w:val="uk-UA"/>
        </w:rPr>
        <w:t xml:space="preserve">Ключові слова: </w:t>
      </w:r>
      <w:r w:rsidR="00220D3E" w:rsidRPr="00511005">
        <w:rPr>
          <w:rFonts w:ascii="Arial" w:eastAsiaTheme="minorHAnsi" w:hAnsi="Arial" w:cs="Arial"/>
          <w:szCs w:val="28"/>
          <w:lang w:val="uk-UA"/>
        </w:rPr>
        <w:t>війна, митні платежі, воєнний стан, звільнення, обов’язок.</w:t>
      </w:r>
    </w:p>
    <w:p w14:paraId="17A7DBE4" w14:textId="12535F43" w:rsidR="00220D3E" w:rsidRPr="00511005" w:rsidRDefault="007B2628"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220D3E" w:rsidRPr="00511005">
        <w:rPr>
          <w:rFonts w:ascii="Arial" w:eastAsia="Times New Roman" w:hAnsi="Arial" w:cs="Arial"/>
          <w:szCs w:val="28"/>
          <w:lang w:val="uk-UA" w:eastAsia="ru-RU"/>
        </w:rPr>
        <w:t>war, customs payment, martial law, dismissal, duty.</w:t>
      </w:r>
    </w:p>
    <w:p w14:paraId="1DAB6E6E" w14:textId="5C3D61A3" w:rsidR="00220D3E" w:rsidRPr="00511005" w:rsidRDefault="007B2628" w:rsidP="003A292D">
      <w:pPr>
        <w:spacing w:line="264" w:lineRule="auto"/>
        <w:ind w:firstLine="0"/>
        <w:rPr>
          <w:rFonts w:ascii="Arial" w:eastAsia="Calibri" w:hAnsi="Arial" w:cs="Arial"/>
          <w:b/>
          <w:bCs/>
          <w:i/>
          <w:szCs w:val="28"/>
          <w:lang w:val="uk-UA"/>
        </w:rPr>
      </w:pPr>
      <w:r w:rsidRPr="00511005">
        <w:rPr>
          <w:rFonts w:ascii="Arial" w:eastAsia="Calibri" w:hAnsi="Arial" w:cs="Arial"/>
          <w:b/>
          <w:i/>
          <w:szCs w:val="28"/>
          <w:lang w:val="uk-UA"/>
        </w:rPr>
        <w:t xml:space="preserve">Науковий керівник: </w:t>
      </w:r>
      <w:r w:rsidR="00220D3E" w:rsidRPr="00511005">
        <w:rPr>
          <w:rFonts w:ascii="Arial" w:eastAsia="Calibri" w:hAnsi="Arial" w:cs="Arial"/>
          <w:bCs/>
          <w:i/>
          <w:szCs w:val="28"/>
          <w:lang w:val="uk-UA"/>
        </w:rPr>
        <w:t>к.ю.н., доцент Батанова Л. О.</w:t>
      </w:r>
    </w:p>
    <w:p w14:paraId="54B83911" w14:textId="77777777" w:rsidR="00220D3E" w:rsidRPr="00511005" w:rsidRDefault="00220D3E" w:rsidP="003A292D">
      <w:pPr>
        <w:spacing w:line="264" w:lineRule="auto"/>
        <w:ind w:firstLine="0"/>
        <w:rPr>
          <w:rFonts w:ascii="Arial" w:eastAsiaTheme="minorHAnsi" w:hAnsi="Arial" w:cs="Arial"/>
          <w:spacing w:val="-10"/>
          <w:szCs w:val="28"/>
          <w:lang w:val="uk-UA"/>
        </w:rPr>
      </w:pPr>
    </w:p>
    <w:p w14:paraId="3A72297A" w14:textId="77777777" w:rsidR="00220D3E" w:rsidRPr="00511005" w:rsidRDefault="00220D3E" w:rsidP="003A292D">
      <w:pPr>
        <w:spacing w:line="264" w:lineRule="auto"/>
        <w:ind w:firstLine="0"/>
        <w:jc w:val="center"/>
        <w:rPr>
          <w:rFonts w:ascii="Arial" w:eastAsia="Calibri" w:hAnsi="Arial" w:cs="Arial"/>
          <w:b/>
          <w:bCs/>
          <w:i/>
          <w:szCs w:val="28"/>
          <w:lang w:val="uk-UA"/>
        </w:rPr>
      </w:pPr>
      <w:r w:rsidRPr="00511005">
        <w:rPr>
          <w:rFonts w:ascii="Arial" w:eastAsia="Calibri" w:hAnsi="Arial" w:cs="Arial"/>
          <w:b/>
          <w:bCs/>
          <w:i/>
          <w:szCs w:val="28"/>
          <w:lang w:val="uk-UA"/>
        </w:rPr>
        <w:t>Ліферова Владислава Владиславівна, Дмитренко Ольга Олексіївна</w:t>
      </w:r>
    </w:p>
    <w:p w14:paraId="332803B5"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lastRenderedPageBreak/>
        <w:t xml:space="preserve">студентки 1-го курсу </w:t>
      </w:r>
      <w:r w:rsidRPr="00511005">
        <w:rPr>
          <w:rFonts w:ascii="Arial" w:hAnsi="Arial" w:cs="Arial"/>
          <w:iCs/>
          <w:szCs w:val="28"/>
          <w:lang w:val="uk-UA" w:eastAsia="zh-CN"/>
        </w:rPr>
        <w:t>магістратури</w:t>
      </w:r>
    </w:p>
    <w:p w14:paraId="21230A3A"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84C13E2"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66F8BE9" w14:textId="77777777" w:rsidR="00220D3E" w:rsidRPr="00511005" w:rsidRDefault="00220D3E" w:rsidP="003A292D">
      <w:pPr>
        <w:spacing w:line="264" w:lineRule="auto"/>
        <w:ind w:firstLine="0"/>
        <w:jc w:val="center"/>
        <w:rPr>
          <w:rFonts w:ascii="Arial" w:eastAsia="Calibri" w:hAnsi="Arial" w:cs="Arial"/>
          <w:szCs w:val="28"/>
          <w:lang w:val="uk-UA"/>
        </w:rPr>
      </w:pPr>
    </w:p>
    <w:p w14:paraId="105759D1" w14:textId="77777777" w:rsidR="00220D3E" w:rsidRPr="00511005" w:rsidRDefault="00220D3E"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ПРИНЦИП СВОБОДИ ВІДКРИТОГО МОРЯ: СУЧАСНЕ ТЛУМАЧЕННЯ</w:t>
      </w:r>
    </w:p>
    <w:p w14:paraId="021D572F" w14:textId="478831B5"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Принцип свободи відкритого моря, як звичаєве правило міжнародного права, яке знайшло своє відображення у Конвенції про відкрите море, визначає, що жодна держава не має права поширювати свою владу на відкрите море та атмосферу над ним. Відкрите море доступне для використання всіма державами та є спільним надбанням всього людства [1]. Принцип свободи відкритого моря охоплює такі аспекти: свободу мореплавства, право рибальства, свободу встановлення підводних кабелів та трубопроводів, свободу авіаперельотів над відкритими водами, свободу наукових досліджень тощо.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Відтак, під відкритим морем розуміють ділянки Світового океану, що знаходяться за зовнішньою межею територіальних вод.</w:t>
      </w:r>
    </w:p>
    <w:p w14:paraId="3AA658A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Зародження міжнародно-правової свободи відкритого моря відбувалося еволюційно. До моменту першої кодифікації морського права, оформленої у Конвенції про відкрите море, вже були закріплені свобода судноплавства, свобода рибальства, право на прокладання підводних кабелів та трубопроводів, а також воля польотів над відкритим морем. Конвенція передбачає ймовірність наявності інших свобод, котрі визнаються згідно з загальними засадами міжнародного права [1]. Конвенція ООН з морського права внесла зміни до прав відкритого моря, додавши два нові: свобода зводити штучні острови та інші об’єкти, що допускаються міжнародним правом, і свобода наукових досліджень [2].</w:t>
      </w:r>
    </w:p>
    <w:p w14:paraId="1AA3C974"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Свобода мореплавства і свобода повітряного руху над просторами відкритого моря є основними з-поміж усіх свобод відкритого моря, що визначені переліком. Однак, подібно до інших свобод відкритого моря, вони реалізуються з урахуванням обов’язків держав дотримуватися визначених норм. Наприклад, провадження судноплавства повинно узгоджуватися з Міжнародними правилами запобігання зіткненням суден у морі [3]. Це пов’язано з тим, що свобода мореплавства – наріжний камінь свободи відкритого моря, що історично оформилася першою. Цей принцип засвідчує, що кожна держава, чи то прибережна, чи та, що не має виходу до моря, має право на те, щоб її судна, які ходять під її прапором, мали змогу вільно курсувати відкритим морем. </w:t>
      </w:r>
    </w:p>
    <w:p w14:paraId="187415E6" w14:textId="2B395839"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Принцип свободи відкритого моря має обов’язковий характер, що підкріплюється доктриною стосовно розуміння та змісту принципів jus cogens, а також положеннями Віденської конвенції про право міжнародних договорів 1969 року [4]. Це надзвичайно важливо для підтримки ефективного функціонування режиму морських просторів загалом, бо </w:t>
      </w:r>
      <w:r w:rsidRPr="00511005">
        <w:rPr>
          <w:rFonts w:ascii="Arial" w:eastAsia="Calibri" w:hAnsi="Arial" w:cs="Arial"/>
          <w:szCs w:val="28"/>
          <w:lang w:val="uk-UA"/>
        </w:rPr>
        <w:lastRenderedPageBreak/>
        <w:t>регіональні норми не можуть переважати норми загального міжнародного права, а тим паче норми jus cogens [5, с. 96].</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На сучасному етапі кожна країна має право на свободу плавання суден під власним прапором у відкритому океані. </w:t>
      </w:r>
    </w:p>
    <w:p w14:paraId="3878D938"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 умовах сьогодення реалізація свободи відкритого моря розглядається не просто як те, що було б добре мати, а як нагальна потреба у виробленні узгоджених правил. Якщо можливості судноплавства, рибальства та інших видів діяльності визначаються як окремі свободи, то захист і збереження морського середовища – це відповідальність країн. Для світової спільноти, під час створення міжнародних зобов’язань щодо охорони та збереження морів, а також з урахуванням потреби гарантувати свободу відкритого моря, є неминучим пошук компромісних рішень. Таким чином, держави, спираючись на свій потенціал, як окремо, так і у співпраці, враховуючи конкретні обставини, реалізують положення Конвенції ООН з морського права [6, с. 107-108]. </w:t>
      </w:r>
    </w:p>
    <w:p w14:paraId="0F3209D2" w14:textId="0930E16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Варто зазначити, що у 2023 році була ухвалена Угода ООН про біорізноманіття за межами національної юрисдикції (Agreement on Marine Biological Diversity of Areas beyond National Jurisdiction – BBNJ). Відповідно до загальної мети збереження та сталого використання морського біологічного різноманіття на територіях поза національною юрисдикцією, наразі й у довгостроковій перспективі, через ефективне втілення відповідних положень Конвенції та подальшу міжнародну співпрацю і координацію, Угода охоплює чотири ключові питання: морські генетичні ресурси, включаючи справедливий та чесний розподіл вигод; заходи, такі як інструменти управління зонами, включаючи морські природоохоронні території; оцінка впливу на довкілля; розвиток потенціалу і передача морських технологій. Однак вона набуде чинності лише після ратифікації 60 країнами. Тому на даний момент можна спостерігати, скільки країн підписали цю угоду [7].</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Крім того, угода покладає обов’язок відповідальності на тих, хто вчиняє забруднення океану, і передбачає механізми розв’язання можливих конфліктів. </w:t>
      </w:r>
    </w:p>
    <w:p w14:paraId="0DAF73EA"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Угода BBNJ підкреслила напругу між принципом свободи відкритого моря та концепцією спільної спадщини людства. Зокрема, тривають дискусії щодо механізмів розподілу вигід від використання морських генетичних ресурсів. Питання інтелектуальної власності залишаються без відповіді, що створює нові виклики для міжнародного права. Окрім екологічних забруднень, також нагальною проблемою, яка перешкоджає принципу свобод відкритого моря є піратство. У контексті сучасного науково-технічного прогресу світова спільнота виявилася безсила перед морськими грабіжниками. В даному контексті слід зазначити, що «сучасні форми державної взаємодії, такі як міжнародна, в якій залучені більшість регіональних урядів, вважаються найефективнішим способом боротьби зі злочинністю на морі, хоча </w:t>
      </w:r>
      <w:r w:rsidRPr="00511005">
        <w:rPr>
          <w:rFonts w:ascii="Arial" w:eastAsia="Calibri" w:hAnsi="Arial" w:cs="Arial"/>
          <w:szCs w:val="28"/>
          <w:lang w:val="uk-UA"/>
        </w:rPr>
        <w:lastRenderedPageBreak/>
        <w:t xml:space="preserve">реалізація цього завдання ускладнена низкою політичних, економічних та історичних чинників» [8, с. 297]. </w:t>
      </w:r>
    </w:p>
    <w:p w14:paraId="1EFE9B72" w14:textId="4D8F6A43"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Варто зазначити, що в умовах сьогодення не менш важливим є моніторинг відкритого моря. Комплексне спостереження за океанами – це цілісна система збору даних, їх аналізу, оцінювання та складання прогнозів щодо стану океанічного середовища. Головна мета такого моніторингу – це надання чіткої картини стану Світового океану та передбачення змін, які виникають в його екосистемах під впливом антропогенного навантаження. У 2025 році було запроваджено систему на основі штучного інтелекту, яка має назву Antlantes – просторово-розподілена детермінована скрізна модель, розроблена для експлуатованих морських екосистем. До її складу входить чотири блоки: біофізичний, рибальський, управлінський та соціально-економічний. Atlantеs використовувалась для вивчення основних процесів та реакцій у водних екосистемах</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та для оцінки стратегії управління. Завдяки цьому з’являються нові можливості для протидії незаконному вилову риби, піратству та інших порушенням морського права. Разом з тим, постає питання про рівновагу, зокрема як поєднати свободу судноплавства з потребою в контролі за нею.</w:t>
      </w:r>
    </w:p>
    <w:p w14:paraId="289E2A2D"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Одним із ключових аспектів свободи відкритого моря сьогодні є безпека судноплавства. Тому варто зазначити про EUNAVFOR ASPIDES - це військову місію Європейського Союзу, що має на меті захистити вільне судноплавство, гарантувати безпеку на морі, зокрема для торговельних та комерційних плавзасобів у Червоному морі, Індійському океані та Перській затоці, керуючись спільною політикою безпеки та оборони ЄС (CSDP). Мандат EUNAVFOR ASPIDES, що носить оборонний характер, передбачає надання даних про ситуацію на морі, забезпечення ескорту суден та їх захист від потенційних загроз з різних морських акваторій [9]. </w:t>
      </w:r>
    </w:p>
    <w:p w14:paraId="56C4B7F2"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Отже, держави, діючи згідно з нормами міжнародного права, мають право впроваджувати та контролювати дотримання заходів у відкритому морі. Ці заходи повинні бути пропорційні реальним збиткам чи загрозі збитків. Мета – захист власної берегової лінії та суміжних інтересів, серед яких рибальство, від забруднення чи його загрози, спричиненого морською аварією тощо, оскільки такі події є критичними, здатними викликати негативні наслідки.</w:t>
      </w:r>
    </w:p>
    <w:p w14:paraId="53D1903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світлі нових глобальних викликів усе більш актуальним стає перегляд існуючих підходів до регулювання свободи відкритого моря. Хоча іноді порушується питання про необхідність оновлення окремих норм морського права, наразі не йдеться про прийняття нової конвенції. Натомість акцент робиться на потребі вдосконалення та уточнення положень чинної Конвенції ООН з морського права 1982 року, яка передбачає механізми внесення поправок і здатна адаптуватися до сучасних політико-економічних умов. </w:t>
      </w:r>
    </w:p>
    <w:p w14:paraId="29964488"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 xml:space="preserve">Отже, з огляду на стрімкий поступ науки і техніки, процеси глобального потепління, збільшення чисельності населення, якому необхідне продовольство, принцип свободи відкритого моря набув нової динаміки, що потребує юридичного врегулювання. Тому пристосування норм, які регулюють принцип свободи відкритого моря до сучасних умов є ключовим фактором його розвитку на сьогоднішній день та визначатиме його майбутній вектор розвитку. </w:t>
      </w:r>
    </w:p>
    <w:p w14:paraId="04CFD1E1" w14:textId="77777777" w:rsidR="00220D3E" w:rsidRPr="00511005" w:rsidRDefault="00220D3E" w:rsidP="003A292D">
      <w:pPr>
        <w:spacing w:line="264" w:lineRule="auto"/>
        <w:ind w:firstLine="0"/>
        <w:jc w:val="center"/>
        <w:rPr>
          <w:rFonts w:ascii="Arial" w:eastAsia="Calibri" w:hAnsi="Arial" w:cs="Arial"/>
          <w:b/>
          <w:szCs w:val="28"/>
          <w:lang w:val="uk-UA"/>
        </w:rPr>
      </w:pPr>
    </w:p>
    <w:p w14:paraId="33B34841" w14:textId="6A3F1D48" w:rsidR="00220D3E"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7FE7C332" w14:textId="77777777" w:rsidR="00220D3E" w:rsidRPr="00511005" w:rsidRDefault="00220D3E" w:rsidP="003F6A5D">
      <w:pPr>
        <w:numPr>
          <w:ilvl w:val="0"/>
          <w:numId w:val="22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Convention on the High Seas, 1958. URL: </w:t>
      </w:r>
      <w:hyperlink r:id="rId800" w:history="1">
        <w:r w:rsidRPr="00511005">
          <w:rPr>
            <w:rFonts w:ascii="Arial" w:eastAsia="Calibri" w:hAnsi="Arial" w:cs="Arial"/>
            <w:szCs w:val="28"/>
            <w:lang w:val="uk-UA"/>
          </w:rPr>
          <w:t>https://treaties.un.org/pages/viewdetails.aspx?src=treaty&amp;mtdsg_no=xxi-2&amp;chapter=21</w:t>
        </w:r>
      </w:hyperlink>
    </w:p>
    <w:p w14:paraId="79385058" w14:textId="77777777" w:rsidR="00220D3E" w:rsidRPr="00511005" w:rsidRDefault="00220D3E" w:rsidP="003F6A5D">
      <w:pPr>
        <w:numPr>
          <w:ilvl w:val="0"/>
          <w:numId w:val="22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United Nations Convention on the Law of the Sea, 1982. URL: </w:t>
      </w:r>
      <w:hyperlink r:id="rId801" w:history="1">
        <w:r w:rsidRPr="00511005">
          <w:rPr>
            <w:rFonts w:ascii="Arial" w:eastAsia="Calibri" w:hAnsi="Arial" w:cs="Arial"/>
            <w:szCs w:val="28"/>
            <w:lang w:val="uk-UA"/>
          </w:rPr>
          <w:t>https://www.un.org/depts/los/convention_agreements/texts/unclos/unclos_e.pdf</w:t>
        </w:r>
      </w:hyperlink>
    </w:p>
    <w:p w14:paraId="006F317D" w14:textId="77777777" w:rsidR="00220D3E" w:rsidRPr="00511005" w:rsidRDefault="00220D3E" w:rsidP="003F6A5D">
      <w:pPr>
        <w:numPr>
          <w:ilvl w:val="0"/>
          <w:numId w:val="22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Конвенція про Міжнародні правила запобігання зіткненню суден на морі, 1972. URL: </w:t>
      </w:r>
      <w:hyperlink r:id="rId802" w:anchor="Text" w:history="1">
        <w:r w:rsidRPr="00511005">
          <w:rPr>
            <w:rFonts w:ascii="Arial" w:eastAsia="Calibri" w:hAnsi="Arial" w:cs="Arial"/>
            <w:szCs w:val="28"/>
            <w:lang w:val="uk-UA"/>
          </w:rPr>
          <w:t>https://zakon.rada.gov.ua/laws/show/995_137#Text</w:t>
        </w:r>
      </w:hyperlink>
    </w:p>
    <w:p w14:paraId="44CA4314" w14:textId="77777777" w:rsidR="00220D3E" w:rsidRPr="00511005" w:rsidRDefault="00220D3E" w:rsidP="003F6A5D">
      <w:pPr>
        <w:numPr>
          <w:ilvl w:val="0"/>
          <w:numId w:val="22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Віденська конвенція про право міжнародних договорів, 1969. URL: </w:t>
      </w:r>
      <w:hyperlink r:id="rId803" w:anchor="Text" w:history="1">
        <w:r w:rsidRPr="00511005">
          <w:rPr>
            <w:rFonts w:ascii="Arial" w:eastAsia="Calibri" w:hAnsi="Arial" w:cs="Arial"/>
            <w:szCs w:val="28"/>
            <w:lang w:val="uk-UA"/>
          </w:rPr>
          <w:t>https://zakon.rada.gov.ua/laws/show/995_118#Text</w:t>
        </w:r>
      </w:hyperlink>
    </w:p>
    <w:p w14:paraId="1E7C38BA" w14:textId="77777777" w:rsidR="00220D3E" w:rsidRPr="00511005" w:rsidRDefault="00220D3E" w:rsidP="003F6A5D">
      <w:pPr>
        <w:numPr>
          <w:ilvl w:val="0"/>
          <w:numId w:val="22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Ковбан А.В. Правовий генезис конвенції свободи відкритого моря. </w:t>
      </w:r>
      <w:r w:rsidRPr="00511005">
        <w:rPr>
          <w:rFonts w:ascii="Arial" w:eastAsia="Calibri" w:hAnsi="Arial" w:cs="Arial"/>
          <w:i/>
          <w:szCs w:val="28"/>
          <w:lang w:val="uk-UA"/>
        </w:rPr>
        <w:t xml:space="preserve">Правова держава. </w:t>
      </w:r>
      <w:r w:rsidRPr="00511005">
        <w:rPr>
          <w:rFonts w:ascii="Arial" w:eastAsia="Calibri" w:hAnsi="Arial" w:cs="Arial"/>
          <w:szCs w:val="28"/>
          <w:lang w:val="uk-UA"/>
        </w:rPr>
        <w:t xml:space="preserve">2021. №42. С. 93-99. </w:t>
      </w:r>
      <w:hyperlink r:id="rId804" w:history="1">
        <w:r w:rsidRPr="00511005">
          <w:rPr>
            <w:rFonts w:ascii="Arial" w:eastAsia="Calibri" w:hAnsi="Arial" w:cs="Arial"/>
            <w:szCs w:val="28"/>
            <w:lang w:val="uk-UA"/>
          </w:rPr>
          <w:t>https://doi.org/10.18524/2411–2054.2021.42.232421</w:t>
        </w:r>
      </w:hyperlink>
    </w:p>
    <w:p w14:paraId="1E98EA13" w14:textId="77777777" w:rsidR="00220D3E" w:rsidRPr="00511005" w:rsidRDefault="00220D3E" w:rsidP="003F6A5D">
      <w:pPr>
        <w:numPr>
          <w:ilvl w:val="0"/>
          <w:numId w:val="22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Іванова А.В., Савич О.С. Попередження забруднення як умова здійснення свободи відкритого моря. </w:t>
      </w:r>
      <w:r w:rsidRPr="00511005">
        <w:rPr>
          <w:rFonts w:ascii="Arial" w:eastAsia="Calibri" w:hAnsi="Arial" w:cs="Arial"/>
          <w:i/>
          <w:szCs w:val="28"/>
          <w:lang w:val="uk-UA"/>
        </w:rPr>
        <w:t>Вчені записки ТНУ імені ВІ Вернадського.</w:t>
      </w:r>
      <w:r w:rsidRPr="00511005">
        <w:rPr>
          <w:rFonts w:ascii="Arial" w:eastAsia="Calibri" w:hAnsi="Arial" w:cs="Arial"/>
          <w:szCs w:val="28"/>
          <w:lang w:val="uk-UA"/>
        </w:rPr>
        <w:t xml:space="preserve"> Серія: </w:t>
      </w:r>
      <w:r w:rsidRPr="00511005">
        <w:rPr>
          <w:rFonts w:ascii="Arial" w:eastAsia="Calibri" w:hAnsi="Arial" w:cs="Arial"/>
          <w:i/>
          <w:szCs w:val="28"/>
          <w:lang w:val="uk-UA"/>
        </w:rPr>
        <w:t>Юридичні науки</w:t>
      </w:r>
      <w:r w:rsidRPr="00511005">
        <w:rPr>
          <w:rFonts w:ascii="Arial" w:eastAsia="Calibri" w:hAnsi="Arial" w:cs="Arial"/>
          <w:szCs w:val="28"/>
          <w:lang w:val="uk-UA"/>
        </w:rPr>
        <w:t xml:space="preserve">. 2022. №1. С. 103-110. </w:t>
      </w:r>
      <w:hyperlink r:id="rId805" w:history="1">
        <w:r w:rsidRPr="00511005">
          <w:rPr>
            <w:rFonts w:ascii="Arial" w:eastAsia="Calibri" w:hAnsi="Arial" w:cs="Arial"/>
            <w:szCs w:val="28"/>
            <w:lang w:val="uk-UA"/>
          </w:rPr>
          <w:t>https://doi.org/10.32838/TNU-2707-0581/2022.1/19</w:t>
        </w:r>
      </w:hyperlink>
      <w:r w:rsidRPr="00511005">
        <w:rPr>
          <w:rFonts w:ascii="Arial" w:eastAsia="Calibri" w:hAnsi="Arial" w:cs="Arial"/>
          <w:szCs w:val="28"/>
          <w:lang w:val="uk-UA"/>
        </w:rPr>
        <w:t xml:space="preserve"> </w:t>
      </w:r>
    </w:p>
    <w:p w14:paraId="6B589EB6" w14:textId="77777777" w:rsidR="00220D3E" w:rsidRPr="00511005" w:rsidRDefault="00220D3E" w:rsidP="003F6A5D">
      <w:pPr>
        <w:numPr>
          <w:ilvl w:val="0"/>
          <w:numId w:val="22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Agreement under the United Nations Convention on the Law of the Sea on the Conservation and Sustainable Use of Marine Biological Diversity of Areas beyond National Jurisdiction, 2023. URL: </w:t>
      </w:r>
      <w:hyperlink r:id="rId806" w:history="1">
        <w:r w:rsidRPr="00511005">
          <w:rPr>
            <w:rFonts w:ascii="Arial" w:eastAsia="Calibri" w:hAnsi="Arial" w:cs="Arial"/>
            <w:szCs w:val="28"/>
            <w:lang w:val="uk-UA"/>
          </w:rPr>
          <w:t>https://treaties.un.org/pages/ViewDetails.aspx?src=TREATY&amp;mtdsg_no=XXI-10&amp;chapter=21&amp;clang=_en</w:t>
        </w:r>
      </w:hyperlink>
    </w:p>
    <w:p w14:paraId="41CD94B8" w14:textId="77777777" w:rsidR="00220D3E" w:rsidRPr="00511005" w:rsidRDefault="00220D3E" w:rsidP="003F6A5D">
      <w:pPr>
        <w:numPr>
          <w:ilvl w:val="0"/>
          <w:numId w:val="22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Сорока Л.В. Регулювання боротьби зі злочинами у відкритому морі за міжнародним правом. </w:t>
      </w:r>
      <w:r w:rsidRPr="00511005">
        <w:rPr>
          <w:rFonts w:ascii="Arial" w:eastAsia="Calibri" w:hAnsi="Arial" w:cs="Arial"/>
          <w:i/>
          <w:szCs w:val="28"/>
          <w:lang w:val="uk-UA"/>
        </w:rPr>
        <w:t>Науковий вісник публічного та приватного права.</w:t>
      </w:r>
      <w:r w:rsidRPr="00511005">
        <w:rPr>
          <w:rFonts w:ascii="Arial" w:eastAsia="Calibri" w:hAnsi="Arial" w:cs="Arial"/>
          <w:szCs w:val="28"/>
          <w:lang w:val="uk-UA"/>
        </w:rPr>
        <w:t xml:space="preserve"> 2020. №6(2). С. 294-298. </w:t>
      </w:r>
      <w:hyperlink r:id="rId807" w:history="1">
        <w:r w:rsidRPr="00511005">
          <w:rPr>
            <w:rFonts w:ascii="Arial" w:eastAsia="Calibri" w:hAnsi="Arial" w:cs="Arial"/>
            <w:szCs w:val="28"/>
            <w:lang w:val="uk-UA"/>
          </w:rPr>
          <w:t>https://doi.org/10.32844/2618-1258.2020.6-2.50</w:t>
        </w:r>
      </w:hyperlink>
    </w:p>
    <w:p w14:paraId="06CF2034" w14:textId="77777777" w:rsidR="00220D3E" w:rsidRPr="00511005" w:rsidRDefault="00220D3E" w:rsidP="003F6A5D">
      <w:pPr>
        <w:numPr>
          <w:ilvl w:val="0"/>
          <w:numId w:val="222"/>
        </w:numP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EUNAVFOR Operation ASPIDES. URL: </w:t>
      </w:r>
      <w:hyperlink r:id="rId808" w:history="1">
        <w:r w:rsidRPr="00511005">
          <w:rPr>
            <w:rFonts w:ascii="Arial" w:eastAsia="Calibri" w:hAnsi="Arial" w:cs="Arial"/>
            <w:szCs w:val="28"/>
            <w:lang w:val="uk-UA"/>
          </w:rPr>
          <w:t>https://www.eeas.europa.eu/eunavfor-aspides_en?s=410381</w:t>
        </w:r>
      </w:hyperlink>
    </w:p>
    <w:p w14:paraId="531317B2" w14:textId="77777777" w:rsidR="00220D3E" w:rsidRPr="00511005" w:rsidRDefault="00220D3E" w:rsidP="003A292D">
      <w:pPr>
        <w:tabs>
          <w:tab w:val="left" w:pos="1134"/>
        </w:tabs>
        <w:spacing w:line="264" w:lineRule="auto"/>
        <w:ind w:firstLine="0"/>
        <w:contextualSpacing/>
        <w:rPr>
          <w:rFonts w:ascii="Arial" w:eastAsia="Calibri" w:hAnsi="Arial" w:cs="Arial"/>
          <w:b/>
          <w:szCs w:val="28"/>
          <w:lang w:val="uk-UA"/>
        </w:rPr>
      </w:pPr>
    </w:p>
    <w:p w14:paraId="1E80F955" w14:textId="7EFC86FA" w:rsidR="00220D3E" w:rsidRPr="00511005" w:rsidRDefault="007B2628" w:rsidP="003A292D">
      <w:pPr>
        <w:tabs>
          <w:tab w:val="left" w:pos="1134"/>
        </w:tabs>
        <w:spacing w:line="264" w:lineRule="auto"/>
        <w:ind w:firstLine="0"/>
        <w:contextualSpacing/>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20D3E" w:rsidRPr="00511005">
        <w:rPr>
          <w:rFonts w:ascii="Arial" w:eastAsia="Calibri" w:hAnsi="Arial" w:cs="Arial"/>
          <w:szCs w:val="28"/>
          <w:lang w:val="uk-UA"/>
        </w:rPr>
        <w:t xml:space="preserve">свобода відкритого моря, принципи, свобода мореплавства, міжнародні стандарти, піратство. </w:t>
      </w:r>
    </w:p>
    <w:p w14:paraId="54E9FA69" w14:textId="24D5FAEF"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220D3E" w:rsidRPr="00511005">
        <w:rPr>
          <w:rFonts w:ascii="Arial" w:eastAsia="Calibri" w:hAnsi="Arial" w:cs="Arial"/>
          <w:szCs w:val="28"/>
          <w:lang w:val="uk-UA"/>
        </w:rPr>
        <w:t>freedom of the high seas, principles, freedom of navigation, international standards, piracy.</w:t>
      </w:r>
    </w:p>
    <w:p w14:paraId="2F386164" w14:textId="1D1FB12E" w:rsidR="00220D3E"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bCs/>
          <w:i/>
          <w:szCs w:val="28"/>
          <w:lang w:val="uk-UA"/>
        </w:rPr>
        <w:t xml:space="preserve">Науковий керівник: </w:t>
      </w:r>
      <w:r w:rsidR="00220D3E" w:rsidRPr="00511005">
        <w:rPr>
          <w:rFonts w:ascii="Arial" w:eastAsia="Calibri" w:hAnsi="Arial" w:cs="Arial"/>
          <w:i/>
          <w:szCs w:val="28"/>
          <w:lang w:val="uk-UA"/>
        </w:rPr>
        <w:t>к.ю.н., доцент Міщенко І.В.</w:t>
      </w:r>
    </w:p>
    <w:p w14:paraId="20FD0B9A" w14:textId="77777777" w:rsidR="00220D3E" w:rsidRPr="00511005" w:rsidRDefault="00220D3E" w:rsidP="003A292D">
      <w:pPr>
        <w:spacing w:line="264" w:lineRule="auto"/>
        <w:ind w:firstLine="0"/>
        <w:rPr>
          <w:rFonts w:ascii="Arial" w:eastAsiaTheme="minorHAnsi" w:hAnsi="Arial" w:cs="Arial"/>
          <w:spacing w:val="-10"/>
          <w:szCs w:val="28"/>
          <w:lang w:val="uk-UA"/>
        </w:rPr>
      </w:pPr>
    </w:p>
    <w:p w14:paraId="26B2D75B" w14:textId="77777777" w:rsidR="00220D3E" w:rsidRPr="00511005" w:rsidRDefault="00220D3E"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 xml:space="preserve">Анна Мазур </w:t>
      </w:r>
    </w:p>
    <w:p w14:paraId="35FC91AE" w14:textId="5A580024" w:rsidR="00220D3E"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4-го курсу </w:t>
      </w:r>
      <w:r w:rsidR="001B7B25" w:rsidRPr="00511005">
        <w:rPr>
          <w:rFonts w:ascii="Arial" w:eastAsia="Calibri" w:hAnsi="Arial" w:cs="Arial"/>
          <w:szCs w:val="28"/>
          <w:lang w:val="uk-UA"/>
        </w:rPr>
        <w:t>факультету судового та міжнародного права</w:t>
      </w:r>
    </w:p>
    <w:p w14:paraId="356D8EF6" w14:textId="02CF41E1" w:rsidR="00220D3E"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47124989" w14:textId="77777777" w:rsidR="00220D3E" w:rsidRPr="00511005" w:rsidRDefault="00220D3E" w:rsidP="003A292D">
      <w:pPr>
        <w:spacing w:line="264" w:lineRule="auto"/>
        <w:ind w:firstLine="0"/>
        <w:jc w:val="left"/>
        <w:rPr>
          <w:rFonts w:ascii="Arial" w:eastAsia="Calibri" w:hAnsi="Arial" w:cs="Arial"/>
          <w:b/>
          <w:szCs w:val="28"/>
          <w:lang w:val="uk-UA"/>
        </w:rPr>
      </w:pPr>
    </w:p>
    <w:p w14:paraId="239BE244" w14:textId="77777777" w:rsidR="00220D3E" w:rsidRPr="00511005" w:rsidRDefault="00220D3E"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СУДОВІ СПОРИ ЩОДО ЗАСТОСУВАННЯ МИТНИХ ПІЛЬГ ТА ПРЕФЕРЕНЦІЙ</w:t>
      </w:r>
    </w:p>
    <w:p w14:paraId="2E4407D9"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Сучасна митна політика України зазнає суттєвих трансформацій, спрямованих на зближення з європейською правовою системою. У цьому контексті ключовими стають не лише технічні зміни, а й суттєве ускладнення правозастосування митних норм, що відчутно впливає на бізнес і спричиняє численні судові спори. Одним із найгостріших напрямів таких спорів є застосування митних пільг і преференцій, яке в умовах посиленого контролю та реформ часто супроводжується колізіями, адміністративним тиском і неоднозначною судовою практикою.</w:t>
      </w:r>
    </w:p>
    <w:p w14:paraId="02EDCBB4"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Починаючи з 2024 року, система митного контролю в Україні вступила в нову еру – пост-митного аудиту, яка отримала нормативне закріплення у Законі № 3926-IX «Про внесення змін до Митного кодексу України щодо імплементації деяких положень МК ЄС». Цей документ не лише гармонізує українське законодавство з нормами ЄС, а й докорінно змінює концепцію контролю за правильністю митного оформлення [1]. Ключова новація – можливість проведення пост-митного контролю протягом п’яти років після випуску товарів у вільний обіг, що створює значний часовий горизонт для ініціювання перевірок і, відповідно, судових спорів. Пост-митний контроль включає як доперевірочний аналіз митних декларацій, так і безпосередні документальні перевірки, що можуть базуватися на інформації з будь-яких джерел – від внутрішніх баз митниці до запитів від іноземних митних адміністрацій. Цей механізм, відповідно до PCA Guidelines ВМО, дозволяє митним органам мінімізувати контроль на етапі декларування, натомість зосередившись на контролі після митного оформлення. Проте на практиці це породжує значну кількість конфліктів, адже підприємства змушені не лише зберігати документацію впродовж багатьох років, а й доводити свою правоту заднім числом, іноді без доступу до контрагентів чи джерел інформації.</w:t>
      </w:r>
    </w:p>
    <w:p w14:paraId="77AC70E2"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Найчастішими підставами для винесення податкових повідомлень-рішень (ППР) є питання, що стосуються митної вартості, класифікації товарів, а також підтвердження країни походження товарів, на підставі чого підприємства заявляють право на пільги чи преференції. В багатьох випадках спори точаться навколо документів, які підприємство з об’єктивних причин не може отримати, наприклад, у разі втрати зв’язку з контрагентом. Часто такі ситуації трактуються митницею не на користь декларанта. Однак судова практика останніх років демонструє чіткий підхід: якщо під час </w:t>
      </w:r>
      <w:r w:rsidRPr="00511005">
        <w:rPr>
          <w:rFonts w:ascii="Arial" w:eastAsia="Times New Roman" w:hAnsi="Arial" w:cs="Arial"/>
          <w:szCs w:val="28"/>
          <w:lang w:val="uk-UA" w:eastAsia="ru-RU"/>
        </w:rPr>
        <w:lastRenderedPageBreak/>
        <w:t>митного оформлення митний орган приймав рішення щодо митної вартості або класифікації, і при цьому не було подано свідомо неправдивих документів, то в подальшому перегляд таких рішень є неправомірним. Це підтверджує, зокрема, постанова Верховного Суду від 20.03.2024 у справі № 822/2718/17 [2].</w:t>
      </w:r>
    </w:p>
    <w:p w14:paraId="2D738CA9"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Ще одним популярним предметом спорів є доведення преференційного походження товарів. В умовах митного аудиту після оформлення продукції митні органи можуть ставити під сумнів автентичність сертифікатів походження або їхню відповідність міжнародним угодам. Типовими порушеннями є нехтування митниками документами, що підтверджують походження (навіть якщо вони видані компетентними органами країни експорту), або ж неврахування того, що сертифікат походження може бути виданий на підставі іншого, якщо така практика дозволена угодою про преференції. У низці постанов, зокрема у справі № 813/964/17 від 22.12.2023, Верховний Суд чітко вказав, що митні органи повинні враховувати усі документи, а не обмежуватись тими, що їм здаються найбільш зручними. Крім того, суди наголошують на недопустимості використання неналежних доказів, наприклад, листів від іноземних митниць, які не підтверджують звернення до виробника товару щодо підтвердження походження [3].</w:t>
      </w:r>
    </w:p>
    <w:p w14:paraId="44E7F1DB"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Не менш поширеною категорією спорів є коригування митної вартості. Підстави для таких коригувань дуже різноманітні – від формальних розбіжностей у документах до припущень щодо пов’язаності сторін або до наявності ліцензійних платежів. Однак митні органи часто зловживають своїми повноваженнями, витребуючи документи без конкретизації причин, не обґрунтовуючи своє рішення, не враховуючи умови поставки, а також неправильно застосовуючи методи визначення митної вартості. В низці судових рішень, таких як постанова від 15.10.2024 у справі № 520/6058/24, Верховний Суд звернув увагу на те, що митниця повинна чітко довести, чому вона відмовила у прийнятті заявленої вартості та обрала інший метод її визначення. Усі сумніви, відповідно до принципу правової визначеності та презумпції добросовісності, повинні тлумачитись на користь декларанта, якщо немає доказів недобросовісності з його боку [4].</w:t>
      </w:r>
    </w:p>
    <w:p w14:paraId="11363CD2"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Окрему складність становлять спори, пов’язані з класифікаційними рішеннями митниці. Згідно з новими підходами, митні органи мають керуватись нормами acquis ЄС, проте на практиці вони часто продовжують використовувати власні внутрішні інтерпретації. Так, наприклад, вони не дотримуються Основних правил інтерпретації УКТ ЗЕД або змінюють код без експертного обґрунтування [5]. У низці справ, таких як № 1940/1470/18 та № 160/31313/23, суди визнали, що така практика є неправомірною. Особливо часто класифікація стає предметом спору у випадках, коли </w:t>
      </w:r>
      <w:r w:rsidRPr="00511005">
        <w:rPr>
          <w:rFonts w:ascii="Arial" w:eastAsia="Times New Roman" w:hAnsi="Arial" w:cs="Arial"/>
          <w:szCs w:val="28"/>
          <w:lang w:val="uk-UA" w:eastAsia="ru-RU"/>
        </w:rPr>
        <w:lastRenderedPageBreak/>
        <w:t>йдеться про імпорт комплектного обладнання, для якого можливе використання кількох кодів – на окремі компоненти або на цілісний об’єкт.</w:t>
      </w:r>
    </w:p>
    <w:p w14:paraId="68C80B18"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Ще одним викликом стало поступове криміналізування деяких митних порушень, яке набрало чинності з липня 2024 року. Це означає, що типові ситуації, які раніше були адміністративними порушеннями, можуть отримати кримінальну кваліфікацію залежно від вартості товару. У зв’язку з цим компаніям слід бути особливо уважними до точності заповнення декларацій, правильності зазначення коду УКТ ЗЕД, маркування, а також відповідності фактичного вантажу поданим документам. Водночас, судова практика продовжує наполягати на тому, що ключовою ознакою митного правопорушення є умисел. Відтак, формальні помилки, допущені без навмисного приховування інформації, не можуть бути підставою для складання протоколів за ст. 472, 483 або 485 МК України.</w:t>
      </w:r>
    </w:p>
    <w:p w14:paraId="5D5E8A82"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У підсумку, судові спори щодо застосування митних пільг та преференцій наразі стали не лише юридичною, а й стратегічною проблемою для українського бізнесу. Умови ведення зовнішньоекономічної діяльності ускладнюються через розширення повноважень митниць, збільшення тривалості контролю та неоднозначність практики застосування міжнародних угод. З огляду на це, підприємствам потрібно не лише досконало володіти процедурою митного оформлення, а й мати чітке уявлення про судову практику, яка здатна стати як запорукою ефективного захисту у суді, так і інструментом превенції митних ризиків. Підвищена увага до дотримання процедур, збереження повного пакета документів, оперативна взаємодія з митними органами та правова обізнаність – усе це стає обов’язковою умовою ведення імпортно-експортного бізнесу в нових реаліях української митної системи.</w:t>
      </w:r>
    </w:p>
    <w:p w14:paraId="0EF4818F" w14:textId="77777777" w:rsidR="00220D3E" w:rsidRPr="00511005" w:rsidRDefault="00220D3E" w:rsidP="003A292D">
      <w:pPr>
        <w:spacing w:line="264" w:lineRule="auto"/>
        <w:ind w:firstLine="0"/>
        <w:contextualSpacing/>
        <w:jc w:val="center"/>
        <w:rPr>
          <w:rFonts w:ascii="Arial" w:eastAsia="Times New Roman" w:hAnsi="Arial" w:cs="Arial"/>
          <w:b/>
          <w:szCs w:val="28"/>
          <w:lang w:val="uk-UA" w:eastAsia="ru-RU"/>
        </w:rPr>
      </w:pPr>
    </w:p>
    <w:p w14:paraId="551B06BE" w14:textId="1FDD4E2E" w:rsidR="00220D3E" w:rsidRPr="00511005" w:rsidRDefault="007B2628" w:rsidP="007B2628">
      <w:pPr>
        <w:spacing w:line="264" w:lineRule="auto"/>
        <w:ind w:firstLine="0"/>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08DE7EEB" w14:textId="77777777" w:rsidR="00220D3E" w:rsidRPr="00511005" w:rsidRDefault="00220D3E" w:rsidP="003A292D">
      <w:pPr>
        <w:spacing w:line="264" w:lineRule="auto"/>
        <w:ind w:firstLine="0"/>
        <w:contextualSpacing/>
        <w:rPr>
          <w:rFonts w:ascii="Arial" w:eastAsia="Times New Roman" w:hAnsi="Arial" w:cs="Arial"/>
          <w:bCs/>
          <w:szCs w:val="28"/>
          <w:lang w:val="uk-UA" w:eastAsia="ru-RU"/>
        </w:rPr>
      </w:pPr>
      <w:r w:rsidRPr="00511005">
        <w:rPr>
          <w:rFonts w:ascii="Arial" w:eastAsia="Times New Roman" w:hAnsi="Arial" w:cs="Arial"/>
          <w:szCs w:val="28"/>
          <w:lang w:val="uk-UA" w:eastAsia="ru-RU"/>
        </w:rPr>
        <w:t>1. Про внесення змін до Митного кодексу України щодо імплементації деяких положень МК ЄС: Закон України від</w:t>
      </w:r>
      <w:r w:rsidRPr="00511005">
        <w:rPr>
          <w:rFonts w:ascii="Arial" w:eastAsiaTheme="minorHAnsi" w:hAnsi="Arial" w:cs="Arial"/>
          <w:szCs w:val="28"/>
          <w:lang w:val="uk-UA"/>
        </w:rPr>
        <w:t xml:space="preserve"> </w:t>
      </w:r>
      <w:r w:rsidRPr="00511005">
        <w:rPr>
          <w:rFonts w:ascii="Arial" w:eastAsia="Times New Roman" w:hAnsi="Arial" w:cs="Arial"/>
          <w:szCs w:val="28"/>
          <w:lang w:val="uk-UA" w:eastAsia="ru-RU"/>
        </w:rPr>
        <w:t xml:space="preserve">22.08.2024. </w:t>
      </w:r>
      <w:r w:rsidRPr="00511005">
        <w:rPr>
          <w:rFonts w:ascii="Arial" w:eastAsia="Times New Roman" w:hAnsi="Arial" w:cs="Arial"/>
          <w:bCs/>
          <w:szCs w:val="28"/>
          <w:lang w:val="uk-UA" w:eastAsia="ru-RU"/>
        </w:rPr>
        <w:t xml:space="preserve">URL: </w:t>
      </w:r>
      <w:hyperlink r:id="rId809" w:anchor="Text" w:history="1">
        <w:r w:rsidRPr="00511005">
          <w:rPr>
            <w:rFonts w:ascii="Arial" w:eastAsia="Times New Roman" w:hAnsi="Arial" w:cs="Arial"/>
            <w:bCs/>
            <w:szCs w:val="28"/>
            <w:lang w:val="uk-UA" w:eastAsia="ru-RU"/>
          </w:rPr>
          <w:t>https://zakon.rada.gov.ua/laws/show/3926-20#Text</w:t>
        </w:r>
      </w:hyperlink>
    </w:p>
    <w:p w14:paraId="5AB7B351" w14:textId="77777777" w:rsidR="00220D3E" w:rsidRPr="00511005" w:rsidRDefault="00220D3E" w:rsidP="003A292D">
      <w:pPr>
        <w:spacing w:line="264" w:lineRule="auto"/>
        <w:ind w:firstLine="0"/>
        <w:contextualSpacing/>
        <w:rPr>
          <w:rFonts w:ascii="Arial" w:eastAsia="Calibri" w:hAnsi="Arial" w:cs="Arial"/>
          <w:szCs w:val="28"/>
          <w:shd w:val="clear" w:color="auto" w:fill="FFFFFF"/>
          <w:lang w:val="uk-UA"/>
        </w:rPr>
      </w:pPr>
      <w:r w:rsidRPr="00511005">
        <w:rPr>
          <w:rFonts w:ascii="Arial" w:eastAsia="Calibri" w:hAnsi="Arial" w:cs="Arial"/>
          <w:szCs w:val="28"/>
          <w:lang w:val="uk-UA"/>
        </w:rPr>
        <w:t xml:space="preserve">2. Постанова </w:t>
      </w:r>
      <w:r w:rsidRPr="00511005">
        <w:rPr>
          <w:rFonts w:ascii="Arial" w:eastAsia="Calibri" w:hAnsi="Arial" w:cs="Arial"/>
          <w:szCs w:val="28"/>
          <w:shd w:val="clear" w:color="auto" w:fill="FFFFFF"/>
          <w:lang w:val="uk-UA"/>
        </w:rPr>
        <w:t xml:space="preserve">Верховного Суду у справі № 822/2718/17. URL: </w:t>
      </w:r>
      <w:hyperlink r:id="rId810" w:history="1">
        <w:r w:rsidRPr="00511005">
          <w:rPr>
            <w:rFonts w:ascii="Arial" w:eastAsia="Calibri" w:hAnsi="Arial" w:cs="Arial"/>
            <w:szCs w:val="28"/>
            <w:shd w:val="clear" w:color="auto" w:fill="FFFFFF"/>
            <w:lang w:val="uk-UA"/>
          </w:rPr>
          <w:t>https://verdictum.ligazakon.net/document/117858782</w:t>
        </w:r>
      </w:hyperlink>
    </w:p>
    <w:p w14:paraId="5467223C" w14:textId="77777777" w:rsidR="00220D3E" w:rsidRPr="00511005" w:rsidRDefault="00220D3E"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3. Постанова </w:t>
      </w:r>
      <w:r w:rsidRPr="00511005">
        <w:rPr>
          <w:rFonts w:ascii="Arial" w:eastAsia="Calibri" w:hAnsi="Arial" w:cs="Arial"/>
          <w:szCs w:val="28"/>
          <w:shd w:val="clear" w:color="auto" w:fill="FFFFFF"/>
          <w:lang w:val="uk-UA"/>
        </w:rPr>
        <w:t>Верховного Суду у</w:t>
      </w:r>
      <w:r w:rsidRPr="00511005">
        <w:rPr>
          <w:rFonts w:ascii="Arial" w:eastAsia="Calibri" w:hAnsi="Arial" w:cs="Arial"/>
          <w:szCs w:val="28"/>
          <w:lang w:val="uk-UA"/>
        </w:rPr>
        <w:t xml:space="preserve"> справі № 813/964/17. URL: </w:t>
      </w:r>
      <w:hyperlink r:id="rId811" w:history="1">
        <w:r w:rsidRPr="00511005">
          <w:rPr>
            <w:rFonts w:ascii="Arial" w:eastAsia="Calibri" w:hAnsi="Arial" w:cs="Arial"/>
            <w:szCs w:val="28"/>
            <w:lang w:val="uk-UA"/>
          </w:rPr>
          <w:t>https://verdictum.ligazakon.net/document/115907453?utm_source=biz.ligazakon.net&amp;utm_medium=news&amp;utm_content=bizpress01&amp;_ga=2.226968349.1480610208.1741171673-756673234.1675331120</w:t>
        </w:r>
      </w:hyperlink>
    </w:p>
    <w:p w14:paraId="139942A6" w14:textId="77777777" w:rsidR="00220D3E" w:rsidRPr="00511005" w:rsidRDefault="00220D3E"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shd w:val="clear" w:color="auto" w:fill="FFFFFF"/>
          <w:lang w:val="uk-UA"/>
        </w:rPr>
        <w:t xml:space="preserve">4. </w:t>
      </w:r>
      <w:r w:rsidRPr="00511005">
        <w:rPr>
          <w:rFonts w:ascii="Arial" w:eastAsia="Calibri" w:hAnsi="Arial" w:cs="Arial"/>
          <w:szCs w:val="28"/>
          <w:lang w:val="uk-UA"/>
        </w:rPr>
        <w:t xml:space="preserve">Постанова </w:t>
      </w:r>
      <w:r w:rsidRPr="00511005">
        <w:rPr>
          <w:rFonts w:ascii="Arial" w:eastAsia="Calibri" w:hAnsi="Arial" w:cs="Arial"/>
          <w:szCs w:val="28"/>
          <w:shd w:val="clear" w:color="auto" w:fill="FFFFFF"/>
          <w:lang w:val="uk-UA"/>
        </w:rPr>
        <w:t>Верховного Суду у</w:t>
      </w:r>
      <w:r w:rsidRPr="00511005">
        <w:rPr>
          <w:rFonts w:ascii="Arial" w:eastAsia="Calibri" w:hAnsi="Arial" w:cs="Arial"/>
          <w:szCs w:val="28"/>
          <w:lang w:val="uk-UA"/>
        </w:rPr>
        <w:t xml:space="preserve"> справі</w:t>
      </w:r>
      <w:r w:rsidRPr="00511005">
        <w:rPr>
          <w:rFonts w:ascii="Arial" w:eastAsia="Calibri" w:hAnsi="Arial" w:cs="Arial"/>
          <w:szCs w:val="28"/>
          <w:shd w:val="clear" w:color="auto" w:fill="FFFFFF"/>
          <w:lang w:val="uk-UA"/>
        </w:rPr>
        <w:t xml:space="preserve"> </w:t>
      </w:r>
      <w:r w:rsidRPr="00511005">
        <w:rPr>
          <w:rFonts w:ascii="Arial" w:eastAsia="Calibri" w:hAnsi="Arial" w:cs="Arial"/>
          <w:szCs w:val="28"/>
          <w:lang w:val="uk-UA"/>
        </w:rPr>
        <w:t xml:space="preserve">№ 520/6058/24. URL: </w:t>
      </w:r>
      <w:hyperlink r:id="rId812" w:history="1">
        <w:r w:rsidRPr="00511005">
          <w:rPr>
            <w:rFonts w:ascii="Arial" w:eastAsia="Calibri" w:hAnsi="Arial" w:cs="Arial"/>
            <w:szCs w:val="28"/>
            <w:lang w:val="uk-UA"/>
          </w:rPr>
          <w:t>https://verdictum.ligazakon.net/document/122384342?utm_source=biz.ligazakon.net&amp;utm_medium=news&amp;utm_content=bizpress01</w:t>
        </w:r>
      </w:hyperlink>
    </w:p>
    <w:p w14:paraId="799E8E87" w14:textId="77777777" w:rsidR="00220D3E" w:rsidRPr="00511005" w:rsidRDefault="00220D3E" w:rsidP="003A292D">
      <w:pPr>
        <w:spacing w:line="264" w:lineRule="auto"/>
        <w:ind w:firstLine="0"/>
        <w:contextualSpacing/>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 xml:space="preserve">5. Основні правила інтерпретації УКТ ЗЕД. URL: </w:t>
      </w:r>
      <w:hyperlink r:id="rId813" w:history="1">
        <w:r w:rsidRPr="00511005">
          <w:rPr>
            <w:rFonts w:ascii="Arial" w:eastAsia="Calibri" w:hAnsi="Arial" w:cs="Arial"/>
            <w:szCs w:val="28"/>
            <w:shd w:val="clear" w:color="auto" w:fill="FFFFFF"/>
            <w:lang w:val="uk-UA"/>
          </w:rPr>
          <w:t>https://document.vobu.ua/wp-content/uploads/uktzed-2020/spec.htm</w:t>
        </w:r>
      </w:hyperlink>
    </w:p>
    <w:p w14:paraId="52CEC209" w14:textId="77777777" w:rsidR="00220D3E" w:rsidRPr="00511005" w:rsidRDefault="00220D3E" w:rsidP="003A292D">
      <w:pPr>
        <w:spacing w:line="264" w:lineRule="auto"/>
        <w:ind w:firstLine="0"/>
        <w:contextualSpacing/>
        <w:jc w:val="left"/>
        <w:rPr>
          <w:rFonts w:ascii="Arial" w:eastAsia="Times New Roman" w:hAnsi="Arial" w:cs="Arial"/>
          <w:b/>
          <w:szCs w:val="28"/>
          <w:lang w:val="uk-UA" w:eastAsia="ru-RU"/>
        </w:rPr>
      </w:pPr>
    </w:p>
    <w:p w14:paraId="60F6A9CF" w14:textId="1551BF2C"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20D3E" w:rsidRPr="00511005">
        <w:rPr>
          <w:rFonts w:ascii="Arial" w:eastAsia="Calibri" w:hAnsi="Arial" w:cs="Arial"/>
          <w:szCs w:val="28"/>
          <w:lang w:val="uk-UA"/>
        </w:rPr>
        <w:t xml:space="preserve">митні органи, суд, судові спори, митні пільги, преференції. </w:t>
      </w:r>
    </w:p>
    <w:p w14:paraId="71DD6288" w14:textId="1F6FC545"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220D3E" w:rsidRPr="00511005">
        <w:rPr>
          <w:rFonts w:ascii="Arial" w:eastAsia="Calibri" w:hAnsi="Arial" w:cs="Arial"/>
          <w:szCs w:val="28"/>
          <w:lang w:val="uk-UA"/>
        </w:rPr>
        <w:t>customs authorities, court, litigation, customs privileges, preferences.</w:t>
      </w:r>
    </w:p>
    <w:p w14:paraId="5519F0AB" w14:textId="3064A52A" w:rsidR="00220D3E" w:rsidRPr="00511005" w:rsidRDefault="007B2628" w:rsidP="003A292D">
      <w:pPr>
        <w:spacing w:line="264" w:lineRule="auto"/>
        <w:ind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220D3E" w:rsidRPr="00511005">
        <w:rPr>
          <w:rFonts w:ascii="Arial" w:eastAsia="Calibri" w:hAnsi="Arial" w:cs="Arial"/>
          <w:bCs/>
          <w:i/>
          <w:iCs/>
          <w:szCs w:val="28"/>
          <w:lang w:val="uk-UA"/>
        </w:rPr>
        <w:t>к.ю.н., доцент Батанова Л. О.</w:t>
      </w:r>
    </w:p>
    <w:p w14:paraId="5F32B44C" w14:textId="77777777" w:rsidR="00220D3E" w:rsidRPr="00511005" w:rsidRDefault="00220D3E" w:rsidP="003A292D">
      <w:pPr>
        <w:spacing w:line="264" w:lineRule="auto"/>
        <w:ind w:firstLine="0"/>
        <w:rPr>
          <w:rFonts w:ascii="Arial" w:eastAsia="Calibri" w:hAnsi="Arial" w:cs="Arial"/>
          <w:szCs w:val="28"/>
          <w:lang w:val="uk-UA"/>
        </w:rPr>
      </w:pPr>
    </w:p>
    <w:p w14:paraId="373BC231" w14:textId="77777777" w:rsidR="00220D3E" w:rsidRPr="00511005" w:rsidRDefault="00220D3E"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Неменуща Дарія Вадимівна</w:t>
      </w:r>
    </w:p>
    <w:p w14:paraId="0A95B1F0" w14:textId="6F9FDBBD" w:rsidR="00220D3E" w:rsidRPr="00511005" w:rsidRDefault="00536AAB" w:rsidP="003A292D">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студентка 1-го курсу магістратури</w:t>
      </w:r>
      <w:r w:rsidR="007B2628" w:rsidRPr="00511005">
        <w:rPr>
          <w:rFonts w:ascii="Arial" w:eastAsia="Calibri" w:hAnsi="Arial" w:cs="Arial"/>
          <w:iCs/>
          <w:szCs w:val="28"/>
          <w:lang w:val="uk-UA"/>
        </w:rPr>
        <w:t xml:space="preserve"> факультету цивільної та господарської юстиції</w:t>
      </w:r>
    </w:p>
    <w:p w14:paraId="2BD7F963" w14:textId="130434C2" w:rsidR="00220D3E" w:rsidRPr="00511005" w:rsidRDefault="007B2628" w:rsidP="003A292D">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17872375" w14:textId="77777777" w:rsidR="00220D3E" w:rsidRPr="00511005" w:rsidRDefault="00220D3E" w:rsidP="003A292D">
      <w:pPr>
        <w:spacing w:line="264" w:lineRule="auto"/>
        <w:ind w:firstLine="0"/>
        <w:jc w:val="center"/>
        <w:rPr>
          <w:rFonts w:ascii="Arial" w:eastAsia="Calibri" w:hAnsi="Arial" w:cs="Arial"/>
          <w:b/>
          <w:bCs/>
          <w:szCs w:val="28"/>
          <w:lang w:val="uk-UA"/>
        </w:rPr>
      </w:pPr>
    </w:p>
    <w:p w14:paraId="366806D6" w14:textId="77777777" w:rsidR="00220D3E" w:rsidRPr="00511005" w:rsidRDefault="00220D3E"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ПРАВОВІ АСПЕКТИ МОРСЬКИХ ПЕРЕВЕЗЕНЬ НЕБЕЗПЕЧНИХ РЕЧОВИН: ПОРІВНЯЛЬНИЙ АНАЛІЗ НАЦІОНАЛЬНИХ І МІЖНАРОДНИХ НОРМ</w:t>
      </w:r>
    </w:p>
    <w:p w14:paraId="4FDB169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Морські перевезення небезпечних речовин є важливою частиною світової торгівлі. Ефективне правове регулювання цих процесів має фундаментальне значення для забезпечення безпеки судноплавства, охорони довкілля та запобігання надзвичайним ситуаціям. Однак особливу увагу в цьому контексті заслуговують перевезення небезпечних вантажів, до яких належать речовини, здатні завдати шкоди здоров'ю, навколишньому середовищу або безпеці на морі. Це можуть бути хімічні сполуки, токсичні матеріали, вибухові речовини, радіоактивні матеріали, легкозаймисті рідини та інші небезпечні вантажі. Перевезення таких вантажів вимагають впровадження особливих заходів безпеки, які встановлюються через міжнародні та національні норми права. Наявність численних правових актів, що регулюють ці перевезення, є невід'ємною частиною міжнародної співпраці, а також важливим аспектом національної правової системи кожної країни [1].</w:t>
      </w:r>
    </w:p>
    <w:p w14:paraId="22FE3FFA"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Міжнародне регулювання морських перевезень небезпечних вантажів базується на низці ключових міжнародних документів, серед яких особливе місце займає Міжнародний кодекс морського перевезення небезпечних вантажів (МКМН – IMDG Code). Цей документ був прийнятий у рамках Міжнародної морської організації (IMO) та встановлює загальні вимоги до класифікації, пакування, маркування, документації, а також поводження з небезпечними вантажами під час морських перевезень. IMDG Code регулярно оновлюється з урахуванням новітніх досягнень у сфері безпеки та технологій, що забезпечує його актуальність та відповідність сучасним викликам.</w:t>
      </w:r>
    </w:p>
    <w:p w14:paraId="0EE9183D"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Ще одним фундаментальним міжнародним актом є Міжнародна конвенція з охорони людського життя на морі (SOLAS), яка встановлює загальні вимоги до будівництва, обладнання та експлуатації суден, включаючи норми щодо перевезення небезпечних вантажів. Конвенція MARPOL (Міжнародна </w:t>
      </w:r>
      <w:r w:rsidRPr="00511005">
        <w:rPr>
          <w:rFonts w:ascii="Arial" w:eastAsia="Calibri" w:hAnsi="Arial" w:cs="Arial"/>
          <w:szCs w:val="28"/>
          <w:lang w:val="uk-UA"/>
        </w:rPr>
        <w:lastRenderedPageBreak/>
        <w:t>конвенція з запобігання забрудненню з суден) також відіграє важливу роль, зокрема в частині запобігання витокам шкідливих речовин у морське середовище. Ці документи в сукупності формують комплексну систему регулювання, спрямовану на зменшення ризиків, пов’язаних із перевезенням небезпечних речовин морем [2].</w:t>
      </w:r>
    </w:p>
    <w:p w14:paraId="1F539B6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Національне законодавство у сфері морських перевезень небезпечних речовин базується на імплементації міжнародних норм та стандартів, однак ступінь гармонізації, точність та ефективність цієї імплементації можуть значно відрізнятися між країнами. Наприклад, у законодавстві України ключову роль відіграє Кодекс торговельного мореплавства [3], Закон України "Про перевезення небезпечних вантажів" [4], а також численні підзаконні акти, які деталізують процедури допуску вантажів до перевезення, вимоги до суден, екіпажу та документації. Проте українська практика демонструє певні труднощі у сфері впровадження та ефективного контролю за дотриманням міжнародних вимог, зокрема через брак технічних ресурсів, кваліфікованих кадрів та належної координації між відповідальними органами. На відміну від України, країни-члени Європейського Союзу, зокрема Німеччина, демонструють значно вищий рівень нормативної деталізації та ефективності контролю у сфері морських перевезень небезпечних речовин. Наприклад, у Німеччині діє комплексна система правового регулювання, яка включає як імплементацію IMDG Code, так і додаткові внутрішні положення щодо екологічного моніторингу, регулярних перевірок суден та санкцій за порушення. Наявність спеціалізованих органів та відповідна матеріально-технічна база сприяють ефективному нагляду за безпечністю перевезень небезпечних речовин. Крім того, практика судового розгляду справ про порушення у цій сфері є більш сталою та прозорою, що підвищує рівень правової визначеності для учасників ринку [5].</w:t>
      </w:r>
    </w:p>
    <w:p w14:paraId="657D7D9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Особливу увагу слід приділити проблематиці відповідальності за правопорушення у сфері морських перевезень небезпечних речовин. У міжнародному праві відповідальність за шкоду, заподіяну внаслідок перевезення небезпечних вантажів, зазвичай покладається на власника судна або оператора. Проте національні підходи можуть значно варіюватися: у деяких країнах встановлені системи обов’язкового страхування, спеціальні фонди компенсації, а також адміністративна й кримінальна відповідальність для капітанів, власників та фрахтувальників. В Україні правова відповідальність передбачена в адміністративному та цивільному законодавстві, однак практика притягнення до відповідальності часто є вибірковою, що знижує превентивну ефективність відповідних норм.</w:t>
      </w:r>
    </w:p>
    <w:p w14:paraId="1A479BB1"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Проблеми узгодження національного законодавства з міжнародними нормами актуалізують необхідність уніфікації термінології, процедур та технічних вимог. Наприклад, у сфері класифікації небезпечних речовин </w:t>
      </w:r>
      <w:r w:rsidRPr="00511005">
        <w:rPr>
          <w:rFonts w:ascii="Arial" w:eastAsia="Calibri" w:hAnsi="Arial" w:cs="Arial"/>
          <w:szCs w:val="28"/>
          <w:lang w:val="uk-UA"/>
        </w:rPr>
        <w:lastRenderedPageBreak/>
        <w:t>виникають розбіжності у визначеннях, що ускладнює взаємодію між учасниками міжнародних перевезень. Також важливо забезпечити єдину базу даних про інциденти, пов’язані з небезпечними речовинами, що дозволить вдосконалити як національну, так і міжнародну систему реагування на аварії та запобігання їм.</w:t>
      </w:r>
    </w:p>
    <w:p w14:paraId="482C919E"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цьому контексті важливо розвивати міжнародне співробітництво, зокрема в межах таких організацій, як IMO, EMSA (Європейське агентство з морської безпеки), а також сприяти обміну інформацією, кращими практиками та технічним досвідом. Особливе значення має навчання фахівців, забезпечення належного рівня підготовки екіпажу суден та представників контролюючих органів, адже саме людський фактор часто є вирішальним у запобіганні надзвичайним ситуаціям.</w:t>
      </w:r>
    </w:p>
    <w:p w14:paraId="70DB3CB4"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Ефективне правове регулювання морських перевезень небезпечних речовин потребує скоординованих зусиль на міжнародному та національному рівнях. Міжнародні правові норми формують основу для забезпечення безпеки, однак реальна ефективність залежить від якості їх імплементації у національне законодавство, належного контролю та практики притягнення до відповідальності. Порівняльний аналіз показує, що країни з розвиненою правовою системою мають переваги у забезпеченні ефективності перевезень, водночас Україні та іншим державам із перехідною економікою слід посилити роботу над удосконаленням нормативної бази та зміцненням інституційної спроможності. Лише за умови такого підходу можна гарантувати не лише економічну вигоду, але й безпеку людей та довкілля у сфері морських перевезень небезпечних речовин. </w:t>
      </w:r>
    </w:p>
    <w:p w14:paraId="25B4AB38" w14:textId="77777777" w:rsidR="00220D3E" w:rsidRPr="00511005" w:rsidRDefault="00220D3E" w:rsidP="003A292D">
      <w:pPr>
        <w:spacing w:line="264" w:lineRule="auto"/>
        <w:ind w:firstLine="0"/>
        <w:rPr>
          <w:rFonts w:ascii="Arial" w:eastAsia="Calibri" w:hAnsi="Arial" w:cs="Arial"/>
          <w:szCs w:val="28"/>
          <w:lang w:val="uk-UA"/>
        </w:rPr>
      </w:pPr>
    </w:p>
    <w:p w14:paraId="1F19577E" w14:textId="749BA7C7" w:rsidR="00220D3E" w:rsidRPr="00511005" w:rsidRDefault="007B2628" w:rsidP="007B2628">
      <w:pPr>
        <w:spacing w:line="264" w:lineRule="auto"/>
        <w:ind w:firstLine="0"/>
        <w:jc w:val="center"/>
        <w:rPr>
          <w:rFonts w:ascii="Arial" w:eastAsia="Calibri" w:hAnsi="Arial" w:cs="Arial"/>
          <w:b/>
          <w:iCs/>
          <w:szCs w:val="28"/>
          <w:lang w:val="uk-UA"/>
        </w:rPr>
      </w:pPr>
      <w:r w:rsidRPr="00511005">
        <w:rPr>
          <w:rFonts w:ascii="Arial" w:eastAsia="Calibri" w:hAnsi="Arial" w:cs="Arial"/>
          <w:b/>
          <w:iCs/>
          <w:szCs w:val="28"/>
          <w:lang w:val="uk-UA"/>
        </w:rPr>
        <w:t>Список використаних джерел</w:t>
      </w:r>
    </w:p>
    <w:p w14:paraId="2A3E2F94" w14:textId="77777777" w:rsidR="00220D3E" w:rsidRPr="00511005" w:rsidRDefault="00220D3E" w:rsidP="003F6A5D">
      <w:pPr>
        <w:numPr>
          <w:ilvl w:val="0"/>
          <w:numId w:val="219"/>
        </w:numPr>
        <w:tabs>
          <w:tab w:val="left" w:pos="1134"/>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Мельник О.М. Актуальні проблеми безпеки морського транспорту: тенденції, ризики та стратегії в регулюванні.</w:t>
      </w:r>
      <w:r w:rsidRPr="00511005">
        <w:rPr>
          <w:rFonts w:ascii="Arial" w:eastAsia="Calibri" w:hAnsi="Arial" w:cs="Arial"/>
          <w:i/>
          <w:iCs/>
          <w:szCs w:val="28"/>
          <w:lang w:val="uk-UA"/>
        </w:rPr>
        <w:t xml:space="preserve"> </w:t>
      </w:r>
      <w:r w:rsidRPr="00511005">
        <w:rPr>
          <w:rFonts w:ascii="Arial" w:eastAsia="Calibri" w:hAnsi="Arial" w:cs="Arial"/>
          <w:szCs w:val="28"/>
          <w:lang w:val="uk-UA"/>
        </w:rPr>
        <w:t xml:space="preserve">URL: </w:t>
      </w:r>
      <w:hyperlink r:id="rId814" w:history="1">
        <w:r w:rsidRPr="00511005">
          <w:rPr>
            <w:rFonts w:ascii="Arial" w:eastAsia="Calibri" w:hAnsi="Arial" w:cs="Arial"/>
            <w:szCs w:val="28"/>
            <w:lang w:val="uk-UA"/>
          </w:rPr>
          <w:t>https://surl.li/ajwpgo</w:t>
        </w:r>
      </w:hyperlink>
      <w:r w:rsidRPr="00511005">
        <w:rPr>
          <w:rFonts w:ascii="Arial" w:eastAsia="Calibri" w:hAnsi="Arial" w:cs="Arial"/>
          <w:szCs w:val="28"/>
          <w:lang w:val="uk-UA"/>
        </w:rPr>
        <w:t xml:space="preserve"> </w:t>
      </w:r>
    </w:p>
    <w:p w14:paraId="2EB3FA16" w14:textId="77777777" w:rsidR="00220D3E" w:rsidRPr="00511005" w:rsidRDefault="00220D3E" w:rsidP="003F6A5D">
      <w:pPr>
        <w:numPr>
          <w:ilvl w:val="0"/>
          <w:numId w:val="219"/>
        </w:numPr>
        <w:tabs>
          <w:tab w:val="left" w:pos="1134"/>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 xml:space="preserve">Панченко С.В., Запара В.М., Ковальов А.О., Мкртичьян Д.І., Запара Я.В. Організація перевезення небезпечних вантажів: навч. посібник. Харків, 2019. URL: </w:t>
      </w:r>
      <w:hyperlink r:id="rId815" w:history="1">
        <w:r w:rsidRPr="00511005">
          <w:rPr>
            <w:rFonts w:ascii="Arial" w:eastAsia="Calibri" w:hAnsi="Arial" w:cs="Arial"/>
            <w:szCs w:val="28"/>
            <w:lang w:val="uk-UA"/>
          </w:rPr>
          <w:t>Навчальний посібник.pdf</w:t>
        </w:r>
      </w:hyperlink>
    </w:p>
    <w:p w14:paraId="498DF61C" w14:textId="77777777" w:rsidR="00220D3E" w:rsidRPr="00511005" w:rsidRDefault="00220D3E" w:rsidP="003F6A5D">
      <w:pPr>
        <w:numPr>
          <w:ilvl w:val="0"/>
          <w:numId w:val="219"/>
        </w:numPr>
        <w:tabs>
          <w:tab w:val="left" w:pos="1134"/>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 xml:space="preserve">Кодекс торговельного мореплавства, 1995. URL: </w:t>
      </w:r>
      <w:hyperlink r:id="rId816" w:anchor="Text" w:history="1">
        <w:r w:rsidRPr="00511005">
          <w:rPr>
            <w:rFonts w:ascii="Arial" w:eastAsia="Calibri" w:hAnsi="Arial" w:cs="Arial"/>
            <w:szCs w:val="28"/>
            <w:lang w:val="uk-UA"/>
          </w:rPr>
          <w:t>Кодекс торговельного мореп... | від 23.05.1995 № 176/95-ВР</w:t>
        </w:r>
      </w:hyperlink>
    </w:p>
    <w:p w14:paraId="66275B06" w14:textId="77777777" w:rsidR="00220D3E" w:rsidRPr="00511005" w:rsidRDefault="00220D3E" w:rsidP="003F6A5D">
      <w:pPr>
        <w:numPr>
          <w:ilvl w:val="0"/>
          <w:numId w:val="219"/>
        </w:numPr>
        <w:tabs>
          <w:tab w:val="left" w:pos="1134"/>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 xml:space="preserve">Про перевезення небезпечних вантажів: Закон України від 06.04.2000. URL: </w:t>
      </w:r>
      <w:hyperlink r:id="rId817" w:anchor="Text" w:history="1">
        <w:r w:rsidRPr="00511005">
          <w:rPr>
            <w:rFonts w:ascii="Arial" w:eastAsia="Calibri" w:hAnsi="Arial" w:cs="Arial"/>
            <w:szCs w:val="28"/>
            <w:lang w:val="uk-UA"/>
          </w:rPr>
          <w:t>Про перевезення небезпечних... | від 06.04.2000 № 1644-III</w:t>
        </w:r>
      </w:hyperlink>
    </w:p>
    <w:p w14:paraId="0EDBE0A1" w14:textId="77777777" w:rsidR="00220D3E" w:rsidRPr="00511005" w:rsidRDefault="00220D3E" w:rsidP="003F6A5D">
      <w:pPr>
        <w:numPr>
          <w:ilvl w:val="0"/>
          <w:numId w:val="219"/>
        </w:numPr>
        <w:tabs>
          <w:tab w:val="left" w:pos="1134"/>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 xml:space="preserve">Гуцуляк В.М., Клюєва Є.М. Українське та міжнародне морське право: навч. посіб. Київ: Видавництво Ліра-К, 2022. URL: </w:t>
      </w:r>
      <w:hyperlink r:id="rId818" w:anchor=":~:text=%D0%A3%20%D0%BD%D0%B0%D0%B2%D1%87%D0%B0%D0%BB%D1%8C%D0%BD%D0%BE%D0%BC%D1%83%20%D0%BF%D0%BE%D1%81%D1%96%D0%B1%D0%BD%D0%B8%D0%BA%D1%83%2C%20%D1%8F%D0%BA%D0%B8%D0%B9%20%D1%81%D0%BA%D0%BB%D0%B0%D0%B4%D0%B0%D1%94%D1%82%D1%8C%D1%81%D1%8F%20%D0%B7%20%D0%" w:history="1">
        <w:r w:rsidRPr="00511005">
          <w:rPr>
            <w:rFonts w:ascii="Arial" w:eastAsia="Calibri" w:hAnsi="Arial" w:cs="Arial"/>
            <w:szCs w:val="28"/>
            <w:lang w:val="uk-UA"/>
          </w:rPr>
          <w:t>https://lira-k.com.ua/preview/12959.pdf</w:t>
        </w:r>
      </w:hyperlink>
    </w:p>
    <w:p w14:paraId="24454619" w14:textId="77777777" w:rsidR="00220D3E" w:rsidRPr="00511005" w:rsidRDefault="00220D3E" w:rsidP="003A292D">
      <w:pPr>
        <w:spacing w:line="264" w:lineRule="auto"/>
        <w:ind w:firstLine="0"/>
        <w:rPr>
          <w:rFonts w:ascii="Arial" w:eastAsia="Calibri" w:hAnsi="Arial" w:cs="Arial"/>
          <w:b/>
          <w:bCs/>
          <w:szCs w:val="28"/>
          <w:lang w:val="uk-UA"/>
        </w:rPr>
      </w:pPr>
    </w:p>
    <w:p w14:paraId="109EFD1C" w14:textId="6A2C2BBB"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220D3E" w:rsidRPr="00511005">
        <w:rPr>
          <w:rFonts w:ascii="Arial" w:eastAsia="Calibri" w:hAnsi="Arial" w:cs="Arial"/>
          <w:szCs w:val="28"/>
          <w:lang w:val="uk-UA"/>
        </w:rPr>
        <w:t>морські перевезення, небезпечні речовини, правове регулювання, міжнародні норми.</w:t>
      </w:r>
    </w:p>
    <w:p w14:paraId="3E60CE59" w14:textId="0EF4F53A"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lastRenderedPageBreak/>
        <w:t xml:space="preserve">Key words: </w:t>
      </w:r>
      <w:r w:rsidR="00220D3E" w:rsidRPr="00511005">
        <w:rPr>
          <w:rFonts w:ascii="Arial" w:eastAsia="Calibri" w:hAnsi="Arial" w:cs="Arial"/>
          <w:szCs w:val="28"/>
          <w:lang w:val="uk-UA"/>
        </w:rPr>
        <w:t>maritime transport, hazardous substances, legal regulation, international norms.</w:t>
      </w:r>
    </w:p>
    <w:p w14:paraId="22D9087F" w14:textId="3050EF25"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iCs/>
          <w:szCs w:val="28"/>
          <w:lang w:val="uk-UA"/>
        </w:rPr>
        <w:t xml:space="preserve">Науковий керівник: </w:t>
      </w:r>
      <w:r w:rsidR="00220D3E" w:rsidRPr="00511005">
        <w:rPr>
          <w:rFonts w:ascii="Arial" w:eastAsia="Calibri" w:hAnsi="Arial" w:cs="Arial"/>
          <w:i/>
          <w:iCs/>
          <w:szCs w:val="28"/>
          <w:lang w:val="uk-UA"/>
        </w:rPr>
        <w:t>к.ю.н., доцент Міщенко І. В.</w:t>
      </w:r>
    </w:p>
    <w:p w14:paraId="7B27B3A5" w14:textId="77777777" w:rsidR="00220D3E" w:rsidRPr="00511005" w:rsidRDefault="00220D3E" w:rsidP="003A292D">
      <w:pPr>
        <w:spacing w:line="264" w:lineRule="auto"/>
        <w:ind w:firstLine="0"/>
        <w:rPr>
          <w:rFonts w:ascii="Arial" w:eastAsia="Calibri" w:hAnsi="Arial" w:cs="Arial"/>
          <w:szCs w:val="28"/>
          <w:lang w:val="uk-UA"/>
        </w:rPr>
      </w:pPr>
    </w:p>
    <w:p w14:paraId="3D23B408" w14:textId="77777777" w:rsidR="00220D3E" w:rsidRPr="00511005" w:rsidRDefault="00220D3E" w:rsidP="003A292D">
      <w:pPr>
        <w:spacing w:line="264" w:lineRule="auto"/>
        <w:ind w:firstLine="0"/>
        <w:jc w:val="center"/>
        <w:rPr>
          <w:rFonts w:ascii="Arial" w:eastAsiaTheme="minorHAnsi" w:hAnsi="Arial" w:cs="Arial"/>
          <w:b/>
          <w:i/>
          <w:szCs w:val="28"/>
          <w:lang w:val="uk-UA"/>
        </w:rPr>
      </w:pPr>
      <w:r w:rsidRPr="00511005">
        <w:rPr>
          <w:rFonts w:ascii="Arial" w:eastAsiaTheme="minorHAnsi" w:hAnsi="Arial" w:cs="Arial"/>
          <w:b/>
          <w:i/>
          <w:szCs w:val="28"/>
          <w:lang w:val="uk-UA"/>
        </w:rPr>
        <w:t xml:space="preserve">Новак Юлія Іванівна </w:t>
      </w:r>
    </w:p>
    <w:p w14:paraId="1DBE70BF" w14:textId="0FA631D2" w:rsidR="00220D3E" w:rsidRPr="00511005" w:rsidRDefault="00536AAB"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студентка 1-го курсу магістратури</w:t>
      </w:r>
      <w:r w:rsidR="00BE3972" w:rsidRPr="00511005">
        <w:rPr>
          <w:rFonts w:ascii="Arial" w:eastAsiaTheme="minorHAnsi" w:hAnsi="Arial" w:cs="Arial"/>
          <w:szCs w:val="28"/>
          <w:lang w:val="uk-UA"/>
        </w:rPr>
        <w:t xml:space="preserve"> </w:t>
      </w:r>
      <w:r w:rsidR="001B7B25" w:rsidRPr="00511005">
        <w:rPr>
          <w:rFonts w:ascii="Arial" w:eastAsiaTheme="minorHAnsi" w:hAnsi="Arial" w:cs="Arial"/>
          <w:szCs w:val="28"/>
          <w:lang w:val="uk-UA"/>
        </w:rPr>
        <w:t>факультету судового та міжнародного права</w:t>
      </w:r>
      <w:r w:rsidR="00220D3E" w:rsidRPr="00511005">
        <w:rPr>
          <w:rFonts w:ascii="Arial" w:eastAsiaTheme="minorHAnsi" w:hAnsi="Arial" w:cs="Arial"/>
          <w:szCs w:val="28"/>
          <w:lang w:val="uk-UA"/>
        </w:rPr>
        <w:t xml:space="preserve"> </w:t>
      </w:r>
    </w:p>
    <w:p w14:paraId="2DF8210F" w14:textId="7FE85758" w:rsidR="00220D3E" w:rsidRPr="00511005" w:rsidRDefault="007B2628" w:rsidP="003A292D">
      <w:pPr>
        <w:spacing w:line="264" w:lineRule="auto"/>
        <w:ind w:firstLine="0"/>
        <w:jc w:val="center"/>
        <w:rPr>
          <w:rFonts w:ascii="Arial" w:eastAsiaTheme="minorHAnsi" w:hAnsi="Arial" w:cs="Arial"/>
          <w:szCs w:val="28"/>
          <w:lang w:val="uk-UA"/>
        </w:rPr>
      </w:pPr>
      <w:r w:rsidRPr="00511005">
        <w:rPr>
          <w:rFonts w:ascii="Arial" w:eastAsiaTheme="minorHAnsi" w:hAnsi="Arial" w:cs="Arial"/>
          <w:szCs w:val="28"/>
          <w:lang w:val="uk-UA"/>
        </w:rPr>
        <w:t>Національного університету «Одеська юридична академія»</w:t>
      </w:r>
    </w:p>
    <w:p w14:paraId="231915D7" w14:textId="77777777" w:rsidR="00220D3E" w:rsidRPr="00511005" w:rsidRDefault="00220D3E" w:rsidP="003A292D">
      <w:pPr>
        <w:spacing w:line="264" w:lineRule="auto"/>
        <w:ind w:firstLine="0"/>
        <w:jc w:val="center"/>
        <w:rPr>
          <w:rFonts w:ascii="Arial" w:eastAsiaTheme="minorHAnsi" w:hAnsi="Arial" w:cs="Arial"/>
          <w:szCs w:val="28"/>
          <w:lang w:val="uk-UA"/>
        </w:rPr>
      </w:pPr>
    </w:p>
    <w:p w14:paraId="1467A755" w14:textId="77777777" w:rsidR="00220D3E" w:rsidRPr="00511005" w:rsidRDefault="00220D3E" w:rsidP="003A292D">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ПРИНЦИП UTMOST GOOD FAITH В МОРСЬКОМУ СТРАХУВАННІ</w:t>
      </w:r>
    </w:p>
    <w:p w14:paraId="678B33A1"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Доктрина utmost good faith виникла на ранніх стадіях розвитку морського страхування в англійському морському праві і з латинської мови перекладається як «найвища сумлінність». </w:t>
      </w:r>
    </w:p>
    <w:p w14:paraId="624899D4"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Першооснови utmost good faith були закріплені Лордом Менсфілдом у справі «Carter v Boehm» і протягом століть постійно удосконалювалися прецедентним правом. Кодифікація принципу вперше відбулася у розділах 18-20 англійського Закону про морське страхування 1906 року [1]. Англійський закон про страхування 2015 скасував розділи 18-20 MIA 1906, але зберіг деякі принципи, встановлені цими розділами. Відповідно до Закону 2015 року переддоговірний обов’язок максимальної сумлінності перейменовано на «обов’язок чесного представлення ризику». Крім того, новий Закон встановлює засоби правового захисту у разі порушення обов’язку чесного представлення ризику пропорційно серйозності порушення, водночас не торкається жодних аспектів післядоговірного обов’язку добросовісності [2].</w:t>
      </w:r>
    </w:p>
    <w:p w14:paraId="16423AE7"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Приницип utmost good faith у морському страхуванні означає, що сторони договору морського страхування несуть взаємну відповідальність і наполягають на виконанні своїх обов’язків відповідно до найвищих стандартів добросовісності, заснованих на етичності та ефективності.</w:t>
      </w:r>
    </w:p>
    <w:p w14:paraId="05DA5E14"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У відповідності до характеризованого принципу на страховика як сторони договору морського страхування покладаються наступні обов’язки: 1) бути чесним у поясненні умов страхування – чітко і прозоро формулювати умови договору, винятки та обмеження; 2) добросовісно оцінювати ризики – об’єктивно оцінювати ситуацію, не відмовляючи у покритті страхового випадку з формальних чи незначних підстав; 3) своєчасно виплачувати страхові відшкодування – у випадку настання страхового випадку діяти швидко, справедливо і не зволікати без вагомих причин. </w:t>
      </w:r>
    </w:p>
    <w:p w14:paraId="2557D48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«Найвища сумлінність» страхувальника як сторони договору морського страхування полягає у наступному: 1) повне розкриття важливої інформації – повідомлення страховика про всі суттєві факти, які можуть вплинути на рішення останнього щодо прийняття ризику або умов договору, зокрема факти про: технічний стан судна, особливості використання судна, маршрут, </w:t>
      </w:r>
      <w:r w:rsidRPr="00511005">
        <w:rPr>
          <w:rFonts w:ascii="Arial" w:eastAsiaTheme="minorHAnsi" w:hAnsi="Arial" w:cs="Arial"/>
          <w:szCs w:val="28"/>
          <w:lang w:val="uk-UA"/>
        </w:rPr>
        <w:lastRenderedPageBreak/>
        <w:t>характер вантажу, інформацію про капітана, попередня історія страхових випадків тощо; 2) відсутність спроб введення в оману – надання чіткої, правдивої інформації, без навмисного приховування чи замовчування; 3) добросовісна поведінка – сумлінне виконання обов’язків, без зловживань у вигляді перебільшення збитків у разі настання страхового випаду та інше.</w:t>
      </w:r>
    </w:p>
    <w:p w14:paraId="3581C9F0" w14:textId="3307DC2E"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Обґрунтування закріплення обов’язку розкриття інформації страхувальником виправдано природою договору страхування, адже в переважній більшості випадків на переддоговірному етапі страховик не обізнаний про всі суттєві обставини, що мають значення для страхування. Як наслідок, приховування страхувальником будь-яких істотних фактів, слідує тому, що страховик погоджується здійснити страхування на основі неправдивої оцінки ризику. З</w:t>
      </w:r>
      <w:r w:rsidR="007B2628" w:rsidRPr="00511005">
        <w:rPr>
          <w:rFonts w:ascii="Arial" w:eastAsiaTheme="minorHAnsi" w:hAnsi="Arial" w:cs="Arial"/>
          <w:szCs w:val="28"/>
          <w:lang w:val="uk-UA"/>
        </w:rPr>
        <w:t xml:space="preserve"> </w:t>
      </w:r>
      <w:r w:rsidRPr="00511005">
        <w:rPr>
          <w:rFonts w:ascii="Arial" w:eastAsiaTheme="minorHAnsi" w:hAnsi="Arial" w:cs="Arial"/>
          <w:szCs w:val="28"/>
          <w:lang w:val="uk-UA"/>
        </w:rPr>
        <w:t>приводу переддоговірного обов’язку у справі Carter v Boehm Лордом Менсфілдом зазначається: «Страхування — це контракт на основі спекуляцій. Спеціальні факти, на основі яких має бути обчислений ризик, зазвичай перебуває у відомі лише страхувальника. Страховик довіряє страхувальнику, будучи впевненим, що він не приховує жодних фактів. Приховування таких обставин є шахрайством, і тому поліс є недійсним». Його світлість додав, що правило щодо обов’язку розкриття інформації полягає в забезпеченні чесного представлення ризику, а також у запобіганні шахрайству та заохоченні сумлінності [3].</w:t>
      </w:r>
    </w:p>
    <w:p w14:paraId="4F2CD62D" w14:textId="60AF8530"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Обов’язок розкриття інформації діє лише до моменту укладення договору. Однак беззаперечним є те, що сторони зобов’язані дотримуватися обов’язку максимальної добросовісності весь час протягом існування договірних відносин. Зазначене проявляється в післядоговірному обов’язку добросовісної поведінки, недодержання якого може завдати збитків іншій стороні або зруйнувати триваючі договірні відносини [5, с. 4]. Післядоговірний обов’язок добросовісності може бути різноманітним, тому сформулювати певні його стандартизовані форми прояву – не є можливим.</w:t>
      </w:r>
      <w:r w:rsidR="007B2628" w:rsidRPr="00511005">
        <w:rPr>
          <w:rFonts w:ascii="Arial" w:eastAsiaTheme="minorHAnsi" w:hAnsi="Arial" w:cs="Arial"/>
          <w:szCs w:val="28"/>
          <w:lang w:val="uk-UA"/>
        </w:rPr>
        <w:t xml:space="preserve"> </w:t>
      </w:r>
      <w:r w:rsidRPr="00511005">
        <w:rPr>
          <w:rFonts w:ascii="Arial" w:eastAsiaTheme="minorHAnsi" w:hAnsi="Arial" w:cs="Arial"/>
          <w:szCs w:val="28"/>
          <w:lang w:val="uk-UA"/>
        </w:rPr>
        <w:t>Одну з ілюстрацій порушення післядоговірного обов’язку добросовісності можна прослідкувати у справі Horwood v Land of Leather Ltd. Справа полягає тому, страхувальник після того, як стався страховий випадок, уклав угоду з третьою особою, що винна в цих збитках. Угодою передбачалось, що до третьої сторони не буде пред’явлено жодних вимог і претензій. Як наслідок, страхова компанія втратила можливість отримати від цієї особи компенсацію – адже після виплати страховки вона має право суброгації (тобто "перейняти" право вимоги до винного). Суд визнав такі дії страхувальника як порушення післядоговірного обов’язку добросовісності [4].</w:t>
      </w:r>
    </w:p>
    <w:p w14:paraId="06215BF6" w14:textId="28043ECF"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Порушення принципу utmost good faith може обернутися настанням різних наслідків. Найчастіше, якщо договір страхування, який укладено на основі недостовірних фактів, від навмисної дезінформації до шахрайського приховування – визнається недійсним. Тому, коли виявляється, що будь-яка </w:t>
      </w:r>
      <w:r w:rsidRPr="00511005">
        <w:rPr>
          <w:rFonts w:ascii="Arial" w:eastAsiaTheme="minorHAnsi" w:hAnsi="Arial" w:cs="Arial"/>
          <w:szCs w:val="28"/>
          <w:lang w:val="uk-UA"/>
        </w:rPr>
        <w:lastRenderedPageBreak/>
        <w:t>сторона не дотримується обов’язку найвищої сумлінності, потерпілій стороні дозволяється розірвати договір ab initio, тим самим сторони повертаються до становища, в якому перебували до укладення договору. У разі надання послуг до виявлення або розкриття недостовірних відомостей, потерпіла сторона має право звернутися до суду з відповідним позовом. Судовий розгляд у такій ситуації може передбачати вимогу про відшкодування витрат, пов’язаних з виконанням недійсного договору морського страхування. Крім того, у випадках доведення умисного введення контрагента в оману, винна сторона може бути притягнута до кримінальної відповідальності згідно чинного законодавства, що додатково посилює правовий захист постраждалої сторони.</w:t>
      </w:r>
      <w:r w:rsidR="007B2628" w:rsidRPr="00511005">
        <w:rPr>
          <w:rFonts w:ascii="Arial" w:eastAsiaTheme="minorHAnsi" w:hAnsi="Arial" w:cs="Arial"/>
          <w:szCs w:val="28"/>
          <w:lang w:val="uk-UA"/>
        </w:rPr>
        <w:t xml:space="preserve"> </w:t>
      </w:r>
    </w:p>
    <w:p w14:paraId="48D19727"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Підсумовуючи, слід дійти висновку про те, що договори морського страхування засновані на принципі utmost good faith. «Найвища сумлінність» у контексті страхових договорів відображає ступінь відкритості та чесності, який вимагається від сторін на різних етапах їхніх відносин. Така мета досягається на переддоговірній стадії завдяки обов’язку чесного представлення ризику та на післядоговірній стадії, на якій добросовісність сторін проявляється в різних формах у різних типах договорів морського страхування. </w:t>
      </w:r>
    </w:p>
    <w:p w14:paraId="2BA08225" w14:textId="77777777" w:rsidR="00220D3E" w:rsidRPr="00511005" w:rsidRDefault="00220D3E" w:rsidP="003A292D">
      <w:pPr>
        <w:spacing w:line="264" w:lineRule="auto"/>
        <w:ind w:firstLine="0"/>
        <w:rPr>
          <w:rFonts w:ascii="Arial" w:eastAsiaTheme="minorHAnsi" w:hAnsi="Arial" w:cs="Arial"/>
          <w:szCs w:val="28"/>
          <w:lang w:val="uk-UA"/>
        </w:rPr>
      </w:pPr>
    </w:p>
    <w:p w14:paraId="47AD8A27" w14:textId="64055DC8" w:rsidR="00220D3E" w:rsidRPr="00511005" w:rsidRDefault="007B2628" w:rsidP="007B2628">
      <w:pPr>
        <w:spacing w:line="264" w:lineRule="auto"/>
        <w:ind w:firstLine="0"/>
        <w:jc w:val="center"/>
        <w:rPr>
          <w:rFonts w:ascii="Arial" w:eastAsiaTheme="minorHAnsi" w:hAnsi="Arial" w:cs="Arial"/>
          <w:b/>
          <w:szCs w:val="28"/>
          <w:lang w:val="uk-UA"/>
        </w:rPr>
      </w:pPr>
      <w:r w:rsidRPr="00511005">
        <w:rPr>
          <w:rFonts w:ascii="Arial" w:eastAsiaTheme="minorHAnsi" w:hAnsi="Arial" w:cs="Arial"/>
          <w:b/>
          <w:szCs w:val="28"/>
          <w:lang w:val="uk-UA"/>
        </w:rPr>
        <w:t>Список використаних джерел</w:t>
      </w:r>
    </w:p>
    <w:p w14:paraId="6799C34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1. Marine Insurance Act, 1906. URL: </w:t>
      </w:r>
      <w:hyperlink r:id="rId819" w:history="1">
        <w:r w:rsidRPr="00511005">
          <w:rPr>
            <w:rFonts w:ascii="Arial" w:eastAsiaTheme="minorHAnsi" w:hAnsi="Arial" w:cs="Arial"/>
            <w:szCs w:val="28"/>
            <w:lang w:val="uk-UA"/>
          </w:rPr>
          <w:t>https://www.legislation.gov.uk/ukpga/Edw7/6/41</w:t>
        </w:r>
      </w:hyperlink>
      <w:r w:rsidRPr="00511005">
        <w:rPr>
          <w:rFonts w:ascii="Arial" w:eastAsiaTheme="minorHAnsi" w:hAnsi="Arial" w:cs="Arial"/>
          <w:szCs w:val="28"/>
          <w:lang w:val="uk-UA"/>
        </w:rPr>
        <w:t xml:space="preserve"> </w:t>
      </w:r>
    </w:p>
    <w:p w14:paraId="10E61F3E"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2. Insurance Act, 2015. URL: </w:t>
      </w:r>
      <w:hyperlink r:id="rId820" w:history="1">
        <w:r w:rsidRPr="00511005">
          <w:rPr>
            <w:rFonts w:ascii="Arial" w:eastAsiaTheme="minorHAnsi" w:hAnsi="Arial" w:cs="Arial"/>
            <w:szCs w:val="28"/>
            <w:lang w:val="uk-UA"/>
          </w:rPr>
          <w:t>https://www.legislation.gov.uk/ukpga/2015/4/contents</w:t>
        </w:r>
      </w:hyperlink>
      <w:r w:rsidRPr="00511005">
        <w:rPr>
          <w:rFonts w:ascii="Arial" w:eastAsiaTheme="minorHAnsi" w:hAnsi="Arial" w:cs="Arial"/>
          <w:szCs w:val="28"/>
          <w:lang w:val="uk-UA"/>
        </w:rPr>
        <w:t xml:space="preserve"> </w:t>
      </w:r>
    </w:p>
    <w:p w14:paraId="67493ED3"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3. Справа «Carter v Boehm» (1766) 3 Burr 1905. URL: </w:t>
      </w:r>
      <w:hyperlink r:id="rId821" w:history="1">
        <w:r w:rsidRPr="00511005">
          <w:rPr>
            <w:rFonts w:ascii="Arial" w:eastAsiaTheme="minorHAnsi" w:hAnsi="Arial" w:cs="Arial"/>
            <w:szCs w:val="28"/>
            <w:lang w:val="uk-UA"/>
          </w:rPr>
          <w:t>http://www.uniset.ca/other/cs2/97ER1162.pdf</w:t>
        </w:r>
      </w:hyperlink>
      <w:r w:rsidRPr="00511005">
        <w:rPr>
          <w:rFonts w:ascii="Arial" w:eastAsiaTheme="minorHAnsi" w:hAnsi="Arial" w:cs="Arial"/>
          <w:szCs w:val="28"/>
          <w:lang w:val="uk-UA"/>
        </w:rPr>
        <w:t xml:space="preserve"> </w:t>
      </w:r>
    </w:p>
    <w:p w14:paraId="7FFC126B"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4. Справа «Horwood v Land of Leather Ltd», 2010. URL: </w:t>
      </w:r>
      <w:hyperlink r:id="rId822" w:history="1">
        <w:r w:rsidRPr="00511005">
          <w:rPr>
            <w:rFonts w:ascii="Arial" w:eastAsiaTheme="minorHAnsi" w:hAnsi="Arial" w:cs="Arial"/>
            <w:szCs w:val="28"/>
            <w:lang w:val="uk-UA"/>
          </w:rPr>
          <w:t>https://www.pinsentmasonscom/out-law/guides/horwood-v-land-of-leather</w:t>
        </w:r>
      </w:hyperlink>
      <w:r w:rsidRPr="00511005">
        <w:rPr>
          <w:rFonts w:ascii="Arial" w:eastAsiaTheme="minorHAnsi" w:hAnsi="Arial" w:cs="Arial"/>
          <w:szCs w:val="28"/>
          <w:lang w:val="uk-UA"/>
        </w:rPr>
        <w:t xml:space="preserve"> </w:t>
      </w:r>
    </w:p>
    <w:p w14:paraId="045B970C" w14:textId="77777777" w:rsidR="00220D3E" w:rsidRPr="00511005" w:rsidRDefault="00220D3E" w:rsidP="003A292D">
      <w:pPr>
        <w:spacing w:line="264" w:lineRule="auto"/>
        <w:ind w:firstLine="0"/>
        <w:rPr>
          <w:rFonts w:ascii="Arial" w:eastAsiaTheme="minorHAnsi" w:hAnsi="Arial" w:cs="Arial"/>
          <w:szCs w:val="28"/>
          <w:lang w:val="uk-UA"/>
        </w:rPr>
      </w:pPr>
      <w:r w:rsidRPr="00511005">
        <w:rPr>
          <w:rFonts w:ascii="Arial" w:eastAsiaTheme="minorHAnsi" w:hAnsi="Arial" w:cs="Arial"/>
          <w:szCs w:val="28"/>
          <w:lang w:val="uk-UA"/>
        </w:rPr>
        <w:t xml:space="preserve">5. Gurses O. What does ‘utmost good faith’ mean? </w:t>
      </w:r>
      <w:r w:rsidRPr="00511005">
        <w:rPr>
          <w:rFonts w:ascii="Arial" w:eastAsiaTheme="minorHAnsi" w:hAnsi="Arial" w:cs="Arial"/>
          <w:i/>
          <w:szCs w:val="28"/>
          <w:lang w:val="uk-UA"/>
        </w:rPr>
        <w:t>Insurance law journal, 27,</w:t>
      </w:r>
      <w:r w:rsidRPr="00511005">
        <w:rPr>
          <w:rFonts w:ascii="Arial" w:eastAsiaTheme="minorHAnsi" w:hAnsi="Arial" w:cs="Arial"/>
          <w:szCs w:val="28"/>
          <w:lang w:val="uk-UA"/>
        </w:rPr>
        <w:t xml:space="preserve"> 2016 P. 124-134. URL: </w:t>
      </w:r>
      <w:hyperlink r:id="rId823" w:history="1">
        <w:r w:rsidRPr="00511005">
          <w:rPr>
            <w:rFonts w:ascii="Arial" w:eastAsiaTheme="minorHAnsi" w:hAnsi="Arial" w:cs="Arial"/>
            <w:szCs w:val="28"/>
            <w:lang w:val="uk-UA"/>
          </w:rPr>
          <w:t>https://kclpure.kcl.ac.uk/portal/files/60864431/What_does_utmost_good_faith_mean.pdf</w:t>
        </w:r>
      </w:hyperlink>
      <w:r w:rsidRPr="00511005">
        <w:rPr>
          <w:rFonts w:ascii="Arial" w:eastAsiaTheme="minorHAnsi" w:hAnsi="Arial" w:cs="Arial"/>
          <w:szCs w:val="28"/>
          <w:lang w:val="uk-UA"/>
        </w:rPr>
        <w:t xml:space="preserve"> </w:t>
      </w:r>
    </w:p>
    <w:p w14:paraId="48BE6AB8" w14:textId="77777777" w:rsidR="00220D3E" w:rsidRPr="00511005" w:rsidRDefault="00220D3E" w:rsidP="003A292D">
      <w:pPr>
        <w:spacing w:line="264" w:lineRule="auto"/>
        <w:ind w:firstLine="0"/>
        <w:rPr>
          <w:rFonts w:ascii="Arial" w:eastAsiaTheme="minorHAnsi" w:hAnsi="Arial" w:cs="Arial"/>
          <w:i/>
          <w:szCs w:val="28"/>
          <w:lang w:val="uk-UA"/>
        </w:rPr>
      </w:pPr>
    </w:p>
    <w:p w14:paraId="4C10F9FF" w14:textId="1A0866E5"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i/>
          <w:szCs w:val="28"/>
          <w:lang w:val="uk-UA"/>
        </w:rPr>
        <w:t xml:space="preserve">Ключові слова: </w:t>
      </w:r>
      <w:r w:rsidR="00220D3E" w:rsidRPr="00511005">
        <w:rPr>
          <w:rFonts w:ascii="Arial" w:eastAsiaTheme="minorHAnsi" w:hAnsi="Arial" w:cs="Arial"/>
          <w:szCs w:val="28"/>
          <w:lang w:val="uk-UA"/>
        </w:rPr>
        <w:t>морське страхування, принцип «найвищої сумлінності», договір, післядоговрний обов’язк.</w:t>
      </w:r>
    </w:p>
    <w:p w14:paraId="42538DB8" w14:textId="03923F67" w:rsidR="00220D3E" w:rsidRPr="00511005" w:rsidRDefault="007B2628" w:rsidP="003A292D">
      <w:pPr>
        <w:spacing w:line="264" w:lineRule="auto"/>
        <w:ind w:firstLine="0"/>
        <w:rPr>
          <w:rFonts w:ascii="Arial" w:eastAsiaTheme="minorHAnsi" w:hAnsi="Arial" w:cs="Arial"/>
          <w:szCs w:val="28"/>
          <w:lang w:val="uk-UA"/>
        </w:rPr>
      </w:pPr>
      <w:r w:rsidRPr="00511005">
        <w:rPr>
          <w:rFonts w:ascii="Arial" w:eastAsiaTheme="minorHAnsi" w:hAnsi="Arial" w:cs="Arial"/>
          <w:b/>
          <w:i/>
          <w:szCs w:val="28"/>
          <w:lang w:val="uk-UA"/>
        </w:rPr>
        <w:t xml:space="preserve">Key words: </w:t>
      </w:r>
      <w:r w:rsidR="00220D3E" w:rsidRPr="00511005">
        <w:rPr>
          <w:rFonts w:ascii="Arial" w:eastAsiaTheme="minorHAnsi" w:hAnsi="Arial" w:cs="Arial"/>
          <w:szCs w:val="28"/>
          <w:lang w:val="uk-UA"/>
        </w:rPr>
        <w:t>marine insurance, principle of “utmost good faith”, contract, post-contractual duty.</w:t>
      </w:r>
    </w:p>
    <w:p w14:paraId="1A709CC5" w14:textId="28CC417B" w:rsidR="00220D3E" w:rsidRPr="00511005" w:rsidRDefault="007B2628" w:rsidP="003A292D">
      <w:pPr>
        <w:spacing w:line="264" w:lineRule="auto"/>
        <w:ind w:firstLine="0"/>
        <w:jc w:val="left"/>
        <w:rPr>
          <w:rFonts w:ascii="Arial" w:eastAsiaTheme="minorHAnsi" w:hAnsi="Arial" w:cs="Arial"/>
          <w:i/>
          <w:szCs w:val="28"/>
          <w:lang w:val="uk-UA"/>
        </w:rPr>
      </w:pPr>
      <w:r w:rsidRPr="00511005">
        <w:rPr>
          <w:rFonts w:ascii="Arial" w:eastAsiaTheme="minorHAnsi" w:hAnsi="Arial" w:cs="Arial"/>
          <w:b/>
          <w:i/>
          <w:szCs w:val="28"/>
          <w:lang w:val="uk-UA"/>
        </w:rPr>
        <w:t xml:space="preserve">Науковий керівник: </w:t>
      </w:r>
      <w:r w:rsidR="00220D3E" w:rsidRPr="00511005">
        <w:rPr>
          <w:rFonts w:ascii="Arial" w:eastAsiaTheme="minorHAnsi" w:hAnsi="Arial" w:cs="Arial"/>
          <w:i/>
          <w:szCs w:val="28"/>
          <w:lang w:val="uk-UA"/>
        </w:rPr>
        <w:t>д.ю.н, професор Кормич Б. А.</w:t>
      </w:r>
    </w:p>
    <w:p w14:paraId="6D3AEBA2" w14:textId="77777777" w:rsidR="00220D3E" w:rsidRPr="00511005" w:rsidRDefault="00220D3E" w:rsidP="003A292D">
      <w:pPr>
        <w:spacing w:line="264" w:lineRule="auto"/>
        <w:ind w:firstLine="0"/>
        <w:jc w:val="center"/>
        <w:rPr>
          <w:rFonts w:ascii="Arial" w:eastAsia="Calibri" w:hAnsi="Arial" w:cs="Arial"/>
          <w:szCs w:val="28"/>
          <w:lang w:val="uk-UA"/>
        </w:rPr>
      </w:pPr>
    </w:p>
    <w:p w14:paraId="086E9D4A" w14:textId="77777777" w:rsidR="00220D3E" w:rsidRPr="00511005" w:rsidRDefault="00220D3E" w:rsidP="003A292D">
      <w:pPr>
        <w:spacing w:line="264" w:lineRule="auto"/>
        <w:ind w:firstLine="0"/>
        <w:jc w:val="center"/>
        <w:rPr>
          <w:rFonts w:ascii="Arial" w:eastAsia="Calibri" w:hAnsi="Arial" w:cs="Arial"/>
          <w:b/>
          <w:i/>
          <w:szCs w:val="28"/>
          <w:lang w:val="uk-UA" w:bidi="uk-UA"/>
        </w:rPr>
      </w:pPr>
      <w:r w:rsidRPr="00511005">
        <w:rPr>
          <w:rFonts w:ascii="Arial" w:eastAsia="Calibri" w:hAnsi="Arial" w:cs="Arial"/>
          <w:b/>
          <w:i/>
          <w:szCs w:val="28"/>
          <w:lang w:val="uk-UA" w:bidi="uk-UA"/>
        </w:rPr>
        <w:t>Оглу Рані Володимирівна</w:t>
      </w:r>
    </w:p>
    <w:p w14:paraId="1694E80B" w14:textId="1197DC05" w:rsidR="00220D3E" w:rsidRPr="00511005" w:rsidRDefault="00536AAB" w:rsidP="003A292D">
      <w:pPr>
        <w:spacing w:line="264" w:lineRule="auto"/>
        <w:ind w:firstLine="0"/>
        <w:jc w:val="center"/>
        <w:rPr>
          <w:rFonts w:ascii="Arial" w:eastAsia="Calibri" w:hAnsi="Arial" w:cs="Arial"/>
          <w:szCs w:val="28"/>
          <w:lang w:val="uk-UA" w:bidi="uk-UA"/>
        </w:rPr>
      </w:pPr>
      <w:r w:rsidRPr="00511005">
        <w:rPr>
          <w:rFonts w:ascii="Arial" w:eastAsia="Calibri" w:hAnsi="Arial" w:cs="Arial"/>
          <w:szCs w:val="28"/>
          <w:lang w:val="uk-UA" w:bidi="uk-UA"/>
        </w:rPr>
        <w:lastRenderedPageBreak/>
        <w:t>студентка 1-го курсу магістратури</w:t>
      </w:r>
      <w:r w:rsidR="00BE3972" w:rsidRPr="00511005">
        <w:rPr>
          <w:rFonts w:ascii="Arial" w:eastAsia="Calibri" w:hAnsi="Arial" w:cs="Arial"/>
          <w:szCs w:val="28"/>
          <w:lang w:val="uk-UA" w:bidi="uk-UA"/>
        </w:rPr>
        <w:t xml:space="preserve"> </w:t>
      </w:r>
      <w:r w:rsidR="001B7B25" w:rsidRPr="00511005">
        <w:rPr>
          <w:rFonts w:ascii="Arial" w:eastAsia="Calibri" w:hAnsi="Arial" w:cs="Arial"/>
          <w:szCs w:val="28"/>
          <w:lang w:val="uk-UA" w:bidi="uk-UA"/>
        </w:rPr>
        <w:t>факультету судового та міжнародного права</w:t>
      </w:r>
      <w:r w:rsidR="00220D3E" w:rsidRPr="00511005">
        <w:rPr>
          <w:rFonts w:ascii="Arial" w:eastAsia="Calibri" w:hAnsi="Arial" w:cs="Arial"/>
          <w:szCs w:val="28"/>
          <w:lang w:val="uk-UA" w:bidi="uk-UA"/>
        </w:rPr>
        <w:t xml:space="preserve"> </w:t>
      </w:r>
      <w:r w:rsidR="007B2628" w:rsidRPr="00511005">
        <w:rPr>
          <w:rFonts w:ascii="Arial" w:eastAsia="Calibri" w:hAnsi="Arial" w:cs="Arial"/>
          <w:szCs w:val="28"/>
          <w:lang w:val="uk-UA" w:bidi="uk-UA"/>
        </w:rPr>
        <w:t>Національного університету «Одеська юридична академія»</w:t>
      </w:r>
    </w:p>
    <w:p w14:paraId="69969E66" w14:textId="77777777" w:rsidR="00220D3E" w:rsidRPr="00511005" w:rsidRDefault="00220D3E" w:rsidP="003A292D">
      <w:pPr>
        <w:spacing w:line="264" w:lineRule="auto"/>
        <w:ind w:firstLine="0"/>
        <w:rPr>
          <w:rFonts w:ascii="Arial" w:eastAsia="Calibri" w:hAnsi="Arial" w:cs="Arial"/>
          <w:szCs w:val="28"/>
          <w:lang w:val="uk-UA"/>
        </w:rPr>
      </w:pPr>
    </w:p>
    <w:p w14:paraId="524795EE" w14:textId="77777777" w:rsidR="00220D3E" w:rsidRPr="00511005" w:rsidRDefault="00220D3E"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СУЧАСНІ ВИКЛИКИ МОРСЬКОГО ТЕРОРИЗМУ ТА МІЖНАРОДНО-ПРАВОВІ МЕХАНІЗМИ БОРОТЬБИ З НИМИ</w:t>
      </w:r>
    </w:p>
    <w:p w14:paraId="1F4FB45D"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сучасному світі піратство і морський тероризм вже давно перетнули кордони окремих держав, набули міжнародного масштабу, тому боротьба з ними стала проблемою глобального характеру. В умовах розвитку міжнародних зв’язків збільшилася кількість протиправних діянь, які спрямовані проти безпеки морського судноплавства [1, с. 3]. В умовах зростаючої конкуренції за ресурси, стратегічні шляхи та політичний вплив, водні простори стають не лише ареною законної діяльності, але й привабливою зоною для реалізації злочинних намірів терористичних угруповань. Особливість морського тероризму полягає в тому, що він часто є малопередбачуваним, здійснюється у важкодоступному середовищі й може мати катастрофічні наслідки – як у матеріальному, так і в гуманітарному аспектах.</w:t>
      </w:r>
    </w:p>
    <w:p w14:paraId="4FC712A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Одним із найяскравіших прикладів прояву морського тероризму є напад на есмінець США «USS Cole» у 2000 році в порту Ємену, що забрав життя 17 моряків Унаслідок вибуху, здійсненого смертником, 12 жовтня 2000 року на кораблі USS Cole, що зайшов для дозаправки в єменський порт Аден, загинули 17 військових США, не менш ніж 40 людей були поранені. 2003 року велике журі присяжних у США заочно визнало Джамаля аль-Бадаві винним у причетності до нападу. Федеральне бюро розслідувань США оголосило тоді винагороду в сумі до 5 мільйонів доларів за інформацію, що могла б привести до його затримання. Знищення танкерів, захоплення торгових суден, мінування морських шляхів, використання човнів смертників або безпілотників – усе це реальні загрози, що мають комплексну природу й вимагають системної протидії. У цьому контексті постає питання ефективності існуючих міжнародно-правових механізмів, які мають не лише запобігати подібним актам, а й створювати умови для колективної безпеки в морському просторі.</w:t>
      </w:r>
    </w:p>
    <w:p w14:paraId="2323535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Сучасне міжнародне право має низку інструментів, спрямованих на боротьбу з морським тероризмом. Одним із базових документів є Конвенція ООН з морського права 1982 року (UNCLOS), яка закладає правовий режим використання морських просторів, юрисдикцію прибережних держав, а також положення про свободу судноплавства. Хоча в ній прямо не йдеться про тероризм, її положення створюють основу для захисту від незаконних дій на морі. Більш спеціалізованим є Протокол 2005 року до Конвенції про боротьбу з незаконними актами проти безпеки морського судноплавства 1988 року (SUA Convention), який чітко криміналізує терористичні акти проти суден, портів і навігаційного обладнання. Цей протокол визнає незаконними </w:t>
      </w:r>
      <w:r w:rsidRPr="00511005">
        <w:rPr>
          <w:rFonts w:ascii="Arial" w:eastAsia="Calibri" w:hAnsi="Arial" w:cs="Arial"/>
          <w:szCs w:val="28"/>
          <w:lang w:val="uk-UA"/>
        </w:rPr>
        <w:lastRenderedPageBreak/>
        <w:t>діями не лише прямі акти насильства, а й, наприклад, перевезення зброї масового знищення морем, що значно розширює обсяг відповідальності.</w:t>
      </w:r>
    </w:p>
    <w:p w14:paraId="1D4196DD"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Міжнародна морська організація також відіграє важливу роль у формуванні стандартів безпеки морського транспорту. У своїй роботі дана організація виконує такі функції: вживає дієвих заходів щодо забезпечення безпеки та охорони життя на морі, включаючи заходи, націлені на попередження піратських нападів на екіпажі і суден; на міжнародному рівні розробляє і встановлює стандарти і правила, які стосуються: проектування, будівництва, обладнання, формування екіпажів, експлуатації та утилізації морських суден; морської освіти і професійної підготовки; розвитку морської інфраструктури; інноваційних технологій і передових практик; управління морськими перевезеннями для забезпечення безпеки, екологічності та енергоефективності світового судноплавства; є форумом, на якому відбувається процес взаємного обміну інформацією між представниками держав-членів і зацікавленими сторонами з усіх питань, що мають відношення до торгового судноплавства і морських перевезень; просуває сталий розвиток судноплавної і морської галузі, що є одним із пріоритетних напрямів роботи Організації на найближчі роки [2, с. 97].</w:t>
      </w:r>
    </w:p>
    <w:p w14:paraId="784556BA"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Однак, незважаючи на наявність юридичних норм і міжнародних ініціатив, практика свідчить про ряд системних проблем. Багато держав, особливо ті, що розташовані в небезпечних зонах, не мають ресурсів для впровадження стандартів ISPS або забезпечення постійного патрулювання своїх вод. У низці країн спостерігається недостатня координація між цивільними й військовими структурами, що призводить до втрати оперативності реагування. Ще однією слабкою ланкою є складність у встановленні юрисдикції у відкритому морі, де немає чітко вираженого суверенітету держави. Терористи, використовуючи правові прогалини, часто реєструють судна під зручними прапорами, що ускладнює їхню ідентифікацію та притягнення до відповідальності. У цьому контексті особливу актуальність набуває потреба в уніфікації підходів до криміналізації морського тероризму та створення міжнародного трибуналу або спеціалізованого органу, уповноваженого розглядати подібні злочини.</w:t>
      </w:r>
    </w:p>
    <w:p w14:paraId="171D117D"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Важливим напрямом залишається також розвиток технологій моніторингу морських просторів. Супутникові системи, автоматична ідентифікація суден (AIS), дрони та штучний інтелект можуть відігравати провідну роль у ранньому виявленні загроз. Проте правові механізми використання цих технологій у міждержавному контексті ще не повністю врегульовані, особливо щодо обміну розвідданими та їхнього правового статусу як доказів у суді. Конвенція ООН з морського права 1982 також не регулює це питання [3].</w:t>
      </w:r>
    </w:p>
    <w:p w14:paraId="51349BE3"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Таким чином, морський тероризм залишається складним, багатовимірним викликом, що потребує комплексної відповіді. Існуючі міжнародно-правові </w:t>
      </w:r>
      <w:r w:rsidRPr="00511005">
        <w:rPr>
          <w:rFonts w:ascii="Arial" w:eastAsia="Calibri" w:hAnsi="Arial" w:cs="Arial"/>
          <w:szCs w:val="28"/>
          <w:lang w:val="uk-UA"/>
        </w:rPr>
        <w:lastRenderedPageBreak/>
        <w:t>інструменти є важливою, але недостатньою основою для ефективної протидії. Необхідна глибша інтеграція норм міжнародного права з технічними стандартами, розвиток регіональної співпраці, посилення ролі міжнародних організацій і створення ефективного механізму притягнення до відповідальності за терористичну діяльність у морському просторі. У цьому контексті Україна, як морська держава, також повинна активно інтегруватися в міжнародну систему морської безпеки, адаптувати своє законодавство до вимог сучасності та долучатися до міжнародних ініціатив. Морський тероризм не має кордонів, а тому боротьба з ним потребує глобального мислення, колективної відповідальності та солідарної дії всіх учасників міжнародного правопорядку.</w:t>
      </w:r>
    </w:p>
    <w:p w14:paraId="6A4D2522" w14:textId="77777777" w:rsidR="00220D3E" w:rsidRPr="00511005" w:rsidRDefault="00220D3E" w:rsidP="003A292D">
      <w:pPr>
        <w:spacing w:line="264" w:lineRule="auto"/>
        <w:ind w:firstLine="0"/>
        <w:rPr>
          <w:rFonts w:ascii="Arial" w:eastAsia="Calibri" w:hAnsi="Arial" w:cs="Arial"/>
          <w:b/>
          <w:szCs w:val="28"/>
          <w:lang w:val="uk-UA"/>
        </w:rPr>
      </w:pPr>
    </w:p>
    <w:p w14:paraId="2C96891B" w14:textId="38AD26CC" w:rsidR="00220D3E"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26169F09"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1. Панфілова Ю.М. Міжнародно-правовий механізм протидії проявам актів насильства у водах Світового океану: автореферат дис. … к.ю.н., 2011. Одеса. 19 с.</w:t>
      </w:r>
    </w:p>
    <w:p w14:paraId="4CDFE80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2. Костиря О.В. Роль Міжнародної морської організації в кодифікації міжнародного морського права. </w:t>
      </w:r>
      <w:r w:rsidRPr="00511005">
        <w:rPr>
          <w:rFonts w:ascii="Arial" w:eastAsia="Calibri" w:hAnsi="Arial" w:cs="Arial"/>
          <w:i/>
          <w:szCs w:val="28"/>
          <w:lang w:val="uk-UA"/>
        </w:rPr>
        <w:t>Держава та регіони.</w:t>
      </w:r>
      <w:r w:rsidRPr="00511005">
        <w:rPr>
          <w:rFonts w:ascii="Arial" w:eastAsia="Calibri" w:hAnsi="Arial" w:cs="Arial"/>
          <w:szCs w:val="28"/>
          <w:lang w:val="uk-UA"/>
        </w:rPr>
        <w:t xml:space="preserve"> Серія: </w:t>
      </w:r>
      <w:r w:rsidRPr="00511005">
        <w:rPr>
          <w:rFonts w:ascii="Arial" w:eastAsia="Calibri" w:hAnsi="Arial" w:cs="Arial"/>
          <w:i/>
          <w:szCs w:val="28"/>
          <w:lang w:val="uk-UA"/>
        </w:rPr>
        <w:t>Право</w:t>
      </w:r>
      <w:r w:rsidRPr="00511005">
        <w:rPr>
          <w:rFonts w:ascii="Arial" w:eastAsia="Calibri" w:hAnsi="Arial" w:cs="Arial"/>
          <w:szCs w:val="28"/>
          <w:lang w:val="uk-UA"/>
        </w:rPr>
        <w:t>. 2020. № 4 (70</w:t>
      </w:r>
      <w:r w:rsidRPr="00511005">
        <w:rPr>
          <w:rFonts w:ascii="Arial" w:eastAsia="Calibri" w:hAnsi="Arial" w:cs="Arial"/>
          <w:i/>
          <w:szCs w:val="28"/>
          <w:lang w:val="uk-UA"/>
        </w:rPr>
        <w:t xml:space="preserve">). </w:t>
      </w:r>
      <w:r w:rsidRPr="00511005">
        <w:rPr>
          <w:rFonts w:ascii="Arial" w:eastAsia="Calibri" w:hAnsi="Arial" w:cs="Arial"/>
          <w:szCs w:val="28"/>
          <w:lang w:val="uk-UA"/>
        </w:rPr>
        <w:t>С. 95–100.</w:t>
      </w:r>
    </w:p>
    <w:p w14:paraId="44D4FA28"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3. Конвенція ООН з морського права 1982 р. URL: </w:t>
      </w:r>
      <w:hyperlink r:id="rId824" w:history="1">
        <w:r w:rsidRPr="00511005">
          <w:rPr>
            <w:rFonts w:ascii="Arial" w:eastAsia="Calibri" w:hAnsi="Arial" w:cs="Arial"/>
            <w:szCs w:val="28"/>
            <w:lang w:val="uk-UA"/>
          </w:rPr>
          <w:t>http://zakon1.rada.gov.ua/cgi-bin/laws/main.cgi?nreg=995_057</w:t>
        </w:r>
      </w:hyperlink>
    </w:p>
    <w:p w14:paraId="398DB16A" w14:textId="77777777" w:rsidR="00220D3E" w:rsidRPr="00511005" w:rsidRDefault="00220D3E" w:rsidP="003A292D">
      <w:pPr>
        <w:spacing w:line="264" w:lineRule="auto"/>
        <w:ind w:firstLine="0"/>
        <w:rPr>
          <w:rFonts w:ascii="Arial" w:eastAsia="Calibri" w:hAnsi="Arial" w:cs="Arial"/>
          <w:b/>
          <w:i/>
          <w:szCs w:val="28"/>
          <w:lang w:val="uk-UA"/>
        </w:rPr>
      </w:pPr>
    </w:p>
    <w:p w14:paraId="0BDC0408" w14:textId="3487F27C"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20D3E" w:rsidRPr="00511005">
        <w:rPr>
          <w:rFonts w:ascii="Arial" w:eastAsia="Calibri" w:hAnsi="Arial" w:cs="Arial"/>
          <w:szCs w:val="28"/>
          <w:lang w:val="uk-UA"/>
        </w:rPr>
        <w:t>морський тероризм, міжнародний масштаб, безпека судноплавства, міжнародне право, конвенція UNCLOS, міжнародна морська організація (IMO), глобальна боротьба.</w:t>
      </w:r>
    </w:p>
    <w:p w14:paraId="12935630" w14:textId="688D9694"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220D3E" w:rsidRPr="00511005">
        <w:rPr>
          <w:rFonts w:ascii="Arial" w:eastAsia="Calibri" w:hAnsi="Arial" w:cs="Arial"/>
          <w:szCs w:val="28"/>
          <w:lang w:val="uk-UA"/>
        </w:rPr>
        <w:t>maritime terrorism, international scale, shipping safety, international law, UNCLOS, International Maritime Organization (IMO), global fight.</w:t>
      </w:r>
    </w:p>
    <w:p w14:paraId="395E3A84" w14:textId="6D02FD6D"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bidi="uk-UA"/>
        </w:rPr>
        <w:t xml:space="preserve">Науковий керівник: </w:t>
      </w:r>
      <w:r w:rsidR="00220D3E" w:rsidRPr="00511005">
        <w:rPr>
          <w:rFonts w:ascii="Arial" w:eastAsia="Calibri" w:hAnsi="Arial" w:cs="Arial"/>
          <w:bCs/>
          <w:i/>
          <w:szCs w:val="28"/>
          <w:lang w:val="uk-UA" w:bidi="uk-UA"/>
        </w:rPr>
        <w:t>д.ю.н., професор Кормич Б. А.</w:t>
      </w:r>
    </w:p>
    <w:p w14:paraId="6EF7B3F1" w14:textId="77777777" w:rsidR="00220D3E" w:rsidRPr="00511005" w:rsidRDefault="00220D3E" w:rsidP="003A292D">
      <w:pPr>
        <w:spacing w:line="264" w:lineRule="auto"/>
        <w:ind w:firstLine="0"/>
        <w:rPr>
          <w:rFonts w:ascii="Arial" w:eastAsia="Calibri" w:hAnsi="Arial" w:cs="Arial"/>
          <w:szCs w:val="28"/>
          <w:lang w:val="uk-UA"/>
        </w:rPr>
      </w:pPr>
    </w:p>
    <w:p w14:paraId="2FBF0429" w14:textId="77777777" w:rsidR="00220D3E" w:rsidRPr="00511005" w:rsidRDefault="00220D3E"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Омельченко Анна Сергіївна</w:t>
      </w:r>
    </w:p>
    <w:p w14:paraId="4E0F6A0B" w14:textId="7F139928" w:rsidR="00220D3E"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1-го курсу магістратури</w:t>
      </w:r>
      <w:r w:rsidR="00BE3972" w:rsidRPr="00511005">
        <w:rPr>
          <w:rFonts w:ascii="Arial" w:eastAsia="Calibri" w:hAnsi="Arial" w:cs="Arial"/>
          <w:szCs w:val="28"/>
          <w:lang w:val="uk-UA"/>
        </w:rPr>
        <w:t xml:space="preserve"> </w:t>
      </w:r>
      <w:r w:rsidR="001B7B25" w:rsidRPr="00511005">
        <w:rPr>
          <w:rFonts w:ascii="Arial" w:eastAsia="Calibri" w:hAnsi="Arial" w:cs="Arial"/>
          <w:szCs w:val="28"/>
          <w:lang w:val="uk-UA"/>
        </w:rPr>
        <w:t>факультету судового та міжнародного права</w:t>
      </w:r>
    </w:p>
    <w:p w14:paraId="4063F6F9" w14:textId="56A67D63" w:rsidR="00220D3E"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606732A" w14:textId="77777777" w:rsidR="00220D3E" w:rsidRPr="00511005" w:rsidRDefault="00220D3E" w:rsidP="003A292D">
      <w:pPr>
        <w:spacing w:line="264" w:lineRule="auto"/>
        <w:ind w:firstLine="0"/>
        <w:jc w:val="center"/>
        <w:rPr>
          <w:rFonts w:ascii="Arial" w:eastAsia="Calibri" w:hAnsi="Arial" w:cs="Arial"/>
          <w:b/>
          <w:bCs/>
          <w:szCs w:val="28"/>
          <w:lang w:val="uk-UA"/>
        </w:rPr>
      </w:pPr>
    </w:p>
    <w:p w14:paraId="507D01C0" w14:textId="77777777" w:rsidR="00220D3E" w:rsidRPr="00511005" w:rsidRDefault="00220D3E"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МІЖНАРОДНО-ПРАВОВЕ РЕГУЛЮВАННЯ ПЕРЕВЕЗЕННЯ НЕБЕЗПЕЧНИХ ВАНТАЖІВ МОРЕМ</w:t>
      </w:r>
    </w:p>
    <w:p w14:paraId="66B90760"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Морський транспорт є ключовим елементом глобальної транспортної системи та міжнародної торгівлі, що відіграє важливу роль у зміцненні зовнішньоекономічних зв’язків і розвитку світової економіки. Його переваги полягають у високій вантажопідйомності, економічній доцільності та здатності здійснювати перевезення на значні відстані. Водночас специфіка морського транспорту проявляється особливо яскраво при перевезенні </w:t>
      </w:r>
      <w:r w:rsidRPr="00511005">
        <w:rPr>
          <w:rFonts w:ascii="Arial" w:eastAsia="Calibri" w:hAnsi="Arial" w:cs="Arial"/>
          <w:szCs w:val="28"/>
          <w:lang w:val="uk-UA"/>
        </w:rPr>
        <w:lastRenderedPageBreak/>
        <w:t>небезпечних вантажів, що зумовлює необхідність чіткого міжнародно-правового регулювання.</w:t>
      </w:r>
    </w:p>
    <w:p w14:paraId="635CEBE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Значна частина морських вантажів переміщується між портами різних країн, що вимагає дотримання уніфікованих міжнародних стандартів. У зв’язку з цим важливим є аналіз міжнародно-правової бази, яка регулює перевезення небезпечних вантажів морем. Ця проблема частково досліджувалася у працях таких науковців, як Допілка В.О., Микита І.Р., Балабанов В.О., Покора І.Є., Стрельцова Є.Д., Шевчук О.А., Гайванович Н.В.</w:t>
      </w:r>
    </w:p>
    <w:p w14:paraId="7ED2EAAF"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Морське перевезення вантажів – це вид транспортної діяльності, пов’язаної з переміщенням товарів морем із забезпеченням збереження їх фізико-хімічних властивостей. Небезпечні вантажі, відповідно, становлять особливий об’єкт правового регулювання у зв’язку з ризиками для життя, здоров’я, довкілля та майна.</w:t>
      </w:r>
    </w:p>
    <w:p w14:paraId="7C823FBF"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Перевезення небезпечних вантажів на міжнародному рівні регламентується Міжнародним кодексом морського перевезення небезпечних вантажів (IMDG CODE), який був прийнятий у 1965 році Міжурядовою морською консультативною комісією, яка у 1982 р. була перейменована на Міжнародну морську організацію. Кодекс періодично зазнає перетворень, гнучко реагуючи на зміни клімату, потреби судноплавства, а також розвиток сучасних технологій у галузі суднобудування. Його головна мета — підвищення безпеки перевезення небезпечних вантажів, одночасно сприяючи вільному та необмеженому переміщенню таких вантажів [1]. Основні положення кодексу базуються на «Рекомендаціях ООН щодо перевезення небезпечних вантажів». У той же час кодекс містить положення про класифікацію вантажів, їх розміщення на борту, заходи в надзвичайних ситуаціях та інші питання, пов’язані із забезпеченням транспортної безпеки на морі у цілому.</w:t>
      </w:r>
    </w:p>
    <w:p w14:paraId="2BD46C1D"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Нормами МК МПНВ небезпечні вантажі були класифіковані за класами небезпеки та підкласи, визначено та описано характеристики та властивості речовин, матеріалів та виробів, що належать до кожного класу чи підкласу.</w:t>
      </w:r>
    </w:p>
    <w:p w14:paraId="0F44536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Що стосується понять, що розглядаються, «небезпечний вантаж» і «особливо небезпечний вантаж», слід зазначити, що Кодекс використовує термін «небезпечний вантаж», зміст якого розкривається досить лаконічно, це вантажі, що становлять небезпеку (глава 2.0.1.5). При цьому Кодекс також використовує поняття «небезпечний вантаж, здатний викликати катастрофічні наслідки», який, за своїм правовим змістом, передбачається можливим розуміти як аналогічний поняття «особливо небезпечний вантаж», що використовується в юридичній літературі. До таких вантажів «належать вантажі, які можуть бути використані з терористичною метою і які можуть внаслідок такого застосування призвести до катастрофічних наслідків, таких як численні людські втрати, або масові руйнування» (глава 1.4.3.1) [1].</w:t>
      </w:r>
    </w:p>
    <w:p w14:paraId="4B40591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Міжнародна конвенція з охорони людського життя на морі 1974 року (СОЛАС 74) була прийнята з метою сприяння посиленню охорони людського життя на морі через встановлення, за загальною згодою, однакових принципів і правил, спрямованих на досягнення зазначеної мети. У зведеному тексті містяться вимоги до конструкції, обладнання та постачання судів, а також вимоги експлуатаційного характеру (правила перевезення вантажів, ведення записів, проведення навчальних тривог тощо). Особливості перевезення небезпечного вантажу встановлюються у розділі VII, стосовно розкриття використаних у розділі визначень, під «небезпечними вантажами» розуміються речовини, матеріали та вироби, охоплені Міжнародним кодексом морського перевезення небезпечних вантажів (правило VII-А/1.2) [4]. Включено положення про те, що кожне судно, що перевозить небезпечні вантажі в упаковці, повинно мати спеціальний опис, маніфест або вантажний план із зазначенням небезпечних вантажів, що є на борту, та місця їх розташування на судні, які при відході в копіях повинні бути надані, призначеним владою держави порту особі або організації.</w:t>
      </w:r>
    </w:p>
    <w:p w14:paraId="7EA72D9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Окремо слід зосередити увагу на Міжнародній конвенції щодо запобігання забрудненню з суден (MARPOL 73/78), яка визначає як загальні вимоги щодо запобігання забрудненню моря різними забруднювачами, так і конкретні вимоги до конструкції та обладнання танкерів і контролю за скиданням нафти в море [5, с. 208]. Дія MARPOL 73/78 поширюється на судна, що експлуатуються в морському середовищі, застосування окремих правил Конвенції залежить як від тоннажу суден, так і від інших спеціально обумовлених у кожному Додатку умов. Конвенція складається з шести додатків, кожен з яких регламентує поводження з конкретними типами забруднювачів — від нафти і хімічних речовин до стічних вод і атмосферних викидів. Наприклад, Додаток II до MARPOL містить правила щодо контролю над викидами небезпечних рідких речовин, які перевозяться наливом, а також вимоги до конструкції суден, що здійснюють такі перевезення [3]. Додатки до Конвенції MARPOL 73/78 продовжують періодично переглядатися та доповнюватись за активної участі Міжнародної морської організації.</w:t>
      </w:r>
    </w:p>
    <w:p w14:paraId="6E8D9A7A"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сфері морських перевезень небезпечних вантажів також варто згадати </w:t>
      </w:r>
      <w:r w:rsidRPr="00511005">
        <w:rPr>
          <w:rFonts w:ascii="Arial" w:eastAsia="Calibri" w:hAnsi="Arial" w:cs="Arial"/>
          <w:bCs/>
          <w:szCs w:val="28"/>
          <w:lang w:val="uk-UA"/>
        </w:rPr>
        <w:t>Конвенцію ООН з морського права 1982 року</w:t>
      </w:r>
      <w:r w:rsidRPr="00511005">
        <w:rPr>
          <w:rFonts w:ascii="Arial" w:eastAsia="Calibri" w:hAnsi="Arial" w:cs="Arial"/>
          <w:szCs w:val="28"/>
          <w:lang w:val="uk-UA"/>
        </w:rPr>
        <w:t>, яка, хоч і не регулює безпосередньо сам процес перевезення, однак містить положення про захист морського середовища, розмежування юрисдикцій, відшкодування збитків від забруднення тощо. Зокрема, стаття 235 UNCLOS 1982 встановлює, що держави несуть відповідальність за заподіяну шкоду морському середовищу в межах своєї юрисдикції та зобов’язані забезпечити компенсацію за таку шкоду [2].</w:t>
      </w:r>
    </w:p>
    <w:p w14:paraId="496C2E3C"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Варто підкреслити, що практичне застосування міжнародних норм у сфері перевезення небезпечних вантажів супроводжується низкою труднощів. </w:t>
      </w:r>
      <w:r w:rsidRPr="00511005">
        <w:rPr>
          <w:rFonts w:ascii="Arial" w:eastAsia="Calibri" w:hAnsi="Arial" w:cs="Arial"/>
          <w:szCs w:val="28"/>
          <w:lang w:val="uk-UA"/>
        </w:rPr>
        <w:lastRenderedPageBreak/>
        <w:t>Основними проблемами залишаються фрагментарність правового регулювання, відсутність єдиної термінології, а також складнощі імплементації норм міжнародного права в національні системи, особливо в країнах із перехідною економікою. Як зазначають Допілка В.О. та Матієнко К.Г., для України актуальним завданням є адаптація чинного законодавства до міжнародних вимог, удосконалення системи підготовки персоналу, а також створення спеціалізованих терміналів і інфраструктури в портах [6].</w:t>
      </w:r>
    </w:p>
    <w:p w14:paraId="56368DA3"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Підсумовуючи, можна констатувати, що міжнародно-правове регулювання перевезення небезпечних вантажів морем ґрунтується на комплексі взаємопов’язаних нормативних актів, серед яких ключовими є IMDG Code, MARPOL 73/78, SOLAS-74 та Конвенція ООН з морського права. Попри наявність ефективних механізмів, головним викликом залишається їх повна імплементація у національні правові системи та забезпечення відповідного контролю з боку держав і міжнародних організацій.</w:t>
      </w:r>
    </w:p>
    <w:p w14:paraId="05E477E4" w14:textId="77777777" w:rsidR="00220D3E" w:rsidRPr="00511005" w:rsidRDefault="00220D3E" w:rsidP="003A292D">
      <w:pPr>
        <w:spacing w:line="264" w:lineRule="auto"/>
        <w:ind w:firstLine="0"/>
        <w:rPr>
          <w:rFonts w:ascii="Arial" w:eastAsia="Calibri" w:hAnsi="Arial" w:cs="Arial"/>
          <w:b/>
          <w:szCs w:val="28"/>
          <w:lang w:val="uk-UA"/>
        </w:rPr>
      </w:pPr>
    </w:p>
    <w:p w14:paraId="28D818DB" w14:textId="1955E269" w:rsidR="00220D3E"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053E57CA"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1. Міжнародний кодекс морського перевезення небезпечних вантажів (IMDG CODE). URL: </w:t>
      </w:r>
      <w:hyperlink r:id="rId825" w:history="1">
        <w:r w:rsidRPr="00511005">
          <w:rPr>
            <w:rFonts w:ascii="Arial" w:eastAsia="Calibri" w:hAnsi="Arial" w:cs="Arial"/>
            <w:szCs w:val="28"/>
            <w:lang w:val="uk-UA"/>
          </w:rPr>
          <w:t>https://law.resource.org/pub/us/cfr/ibr/004/imo.imdg.2.2006.pdf</w:t>
        </w:r>
      </w:hyperlink>
    </w:p>
    <w:p w14:paraId="43BA85C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2. Конвенція ООН з морського права, 1982. URL: </w:t>
      </w:r>
      <w:hyperlink r:id="rId826" w:history="1">
        <w:r w:rsidRPr="00511005">
          <w:rPr>
            <w:rFonts w:ascii="Arial" w:eastAsia="Calibri" w:hAnsi="Arial" w:cs="Arial"/>
            <w:szCs w:val="28"/>
            <w:lang w:val="uk-UA"/>
          </w:rPr>
          <w:t>https://www.un.org/depts/los/convention_agreements/texts/unclos/closindx.htm</w:t>
        </w:r>
      </w:hyperlink>
      <w:r w:rsidRPr="00511005">
        <w:rPr>
          <w:rFonts w:ascii="Arial" w:eastAsia="Calibri" w:hAnsi="Arial" w:cs="Arial"/>
          <w:szCs w:val="28"/>
          <w:lang w:val="uk-UA"/>
        </w:rPr>
        <w:t xml:space="preserve"> </w:t>
      </w:r>
    </w:p>
    <w:p w14:paraId="65AAC8E8"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3. Міжнародна конвенція по запобіганню забрудненню з суден, 1973. URL: </w:t>
      </w:r>
      <w:hyperlink r:id="rId827" w:anchor="o207" w:history="1">
        <w:r w:rsidRPr="00511005">
          <w:rPr>
            <w:rFonts w:ascii="Arial" w:eastAsia="Calibri" w:hAnsi="Arial" w:cs="Arial"/>
            <w:szCs w:val="28"/>
            <w:lang w:val="uk-UA"/>
          </w:rPr>
          <w:t>https://zakon.rada.gov.ua/laws/show/896_009#o207</w:t>
        </w:r>
      </w:hyperlink>
      <w:r w:rsidRPr="00511005">
        <w:rPr>
          <w:rFonts w:ascii="Arial" w:eastAsia="Calibri" w:hAnsi="Arial" w:cs="Arial"/>
          <w:szCs w:val="28"/>
          <w:lang w:val="uk-UA"/>
        </w:rPr>
        <w:t xml:space="preserve"> </w:t>
      </w:r>
    </w:p>
    <w:p w14:paraId="63EA4D29"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4. Міжнародна конвенція з охорони людського життя на морі, 1974 (СОЛАС-74).URL: </w:t>
      </w:r>
      <w:hyperlink r:id="rId828" w:history="1">
        <w:r w:rsidRPr="00511005">
          <w:rPr>
            <w:rFonts w:ascii="Arial" w:eastAsia="Calibri" w:hAnsi="Arial" w:cs="Arial"/>
            <w:szCs w:val="28"/>
            <w:lang w:val="uk-UA"/>
          </w:rPr>
          <w:t>https://ccb.at.ua/_ld/0/1_SOLAS-74-93-.pdf</w:t>
        </w:r>
      </w:hyperlink>
      <w:r w:rsidRPr="00511005">
        <w:rPr>
          <w:rFonts w:ascii="Arial" w:eastAsia="Calibri" w:hAnsi="Arial" w:cs="Arial"/>
          <w:szCs w:val="28"/>
          <w:lang w:val="uk-UA"/>
        </w:rPr>
        <w:t xml:space="preserve"> </w:t>
      </w:r>
    </w:p>
    <w:p w14:paraId="2E9F18C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5. Балабанов О.О., Допілка В.О. Особливості правового регулювання перевезення небезпечних вантажів. </w:t>
      </w:r>
      <w:r w:rsidRPr="00511005">
        <w:rPr>
          <w:rFonts w:ascii="Arial" w:eastAsia="Calibri" w:hAnsi="Arial" w:cs="Arial"/>
          <w:i/>
          <w:szCs w:val="28"/>
          <w:lang w:val="uk-UA"/>
        </w:rPr>
        <w:t>Науковий вісник Ужгородського Національного Університету.</w:t>
      </w:r>
      <w:r w:rsidRPr="00511005">
        <w:rPr>
          <w:rFonts w:ascii="Arial" w:eastAsia="Calibri" w:hAnsi="Arial" w:cs="Arial"/>
          <w:szCs w:val="28"/>
          <w:lang w:val="uk-UA"/>
        </w:rPr>
        <w:t xml:space="preserve"> Серія: </w:t>
      </w:r>
      <w:r w:rsidRPr="00511005">
        <w:rPr>
          <w:rFonts w:ascii="Arial" w:eastAsia="Calibri" w:hAnsi="Arial" w:cs="Arial"/>
          <w:i/>
          <w:szCs w:val="28"/>
          <w:lang w:val="uk-UA"/>
        </w:rPr>
        <w:t>Право</w:t>
      </w:r>
      <w:r w:rsidRPr="00511005">
        <w:rPr>
          <w:rFonts w:ascii="Arial" w:eastAsia="Calibri" w:hAnsi="Arial" w:cs="Arial"/>
          <w:szCs w:val="28"/>
          <w:lang w:val="uk-UA"/>
        </w:rPr>
        <w:t>. 2024. Вип. 85. С. 202–208.</w:t>
      </w:r>
    </w:p>
    <w:p w14:paraId="28865FF0" w14:textId="77777777" w:rsidR="00220D3E" w:rsidRPr="00511005" w:rsidRDefault="00220D3E" w:rsidP="003A292D">
      <w:pPr>
        <w:spacing w:line="264" w:lineRule="auto"/>
        <w:ind w:firstLine="0"/>
        <w:rPr>
          <w:rFonts w:ascii="Arial" w:eastAsia="Calibri" w:hAnsi="Arial" w:cs="Arial"/>
          <w:bCs/>
          <w:szCs w:val="28"/>
          <w:lang w:val="uk-UA"/>
        </w:rPr>
      </w:pPr>
      <w:r w:rsidRPr="00511005">
        <w:rPr>
          <w:rFonts w:ascii="Arial" w:eastAsia="Calibri" w:hAnsi="Arial" w:cs="Arial"/>
          <w:szCs w:val="28"/>
          <w:lang w:val="uk-UA"/>
        </w:rPr>
        <w:t>6.</w:t>
      </w:r>
      <w:r w:rsidRPr="00511005">
        <w:rPr>
          <w:rFonts w:ascii="Arial" w:eastAsia="Calibri" w:hAnsi="Arial" w:cs="Arial"/>
          <w:bCs/>
          <w:szCs w:val="28"/>
          <w:lang w:val="uk-UA"/>
        </w:rPr>
        <w:t xml:space="preserve"> Допілка В. О., Матієнко К. Г. Правове регулювання відповідальності за забруднення навколишнього середовища при перевезенні небезпечних вантажів морем. </w:t>
      </w:r>
      <w:r w:rsidRPr="00511005">
        <w:rPr>
          <w:rFonts w:ascii="Arial" w:eastAsia="Calibri" w:hAnsi="Arial" w:cs="Arial"/>
          <w:bCs/>
          <w:i/>
          <w:szCs w:val="28"/>
          <w:lang w:val="uk-UA"/>
        </w:rPr>
        <w:t>Науковий вісник Ужгородського національного університету</w:t>
      </w:r>
      <w:r w:rsidRPr="00511005">
        <w:rPr>
          <w:rFonts w:ascii="Arial" w:eastAsia="Calibri" w:hAnsi="Arial" w:cs="Arial"/>
          <w:bCs/>
          <w:szCs w:val="28"/>
          <w:lang w:val="uk-UA"/>
        </w:rPr>
        <w:t xml:space="preserve">. Серія: </w:t>
      </w:r>
      <w:r w:rsidRPr="00511005">
        <w:rPr>
          <w:rFonts w:ascii="Arial" w:eastAsia="Calibri" w:hAnsi="Arial" w:cs="Arial"/>
          <w:bCs/>
          <w:i/>
          <w:szCs w:val="28"/>
          <w:lang w:val="uk-UA"/>
        </w:rPr>
        <w:t>Право</w:t>
      </w:r>
      <w:r w:rsidRPr="00511005">
        <w:rPr>
          <w:rFonts w:ascii="Arial" w:eastAsia="Calibri" w:hAnsi="Arial" w:cs="Arial"/>
          <w:bCs/>
          <w:szCs w:val="28"/>
          <w:lang w:val="uk-UA"/>
        </w:rPr>
        <w:t>. 2021. Вип. 67. С. 331-335.</w:t>
      </w:r>
    </w:p>
    <w:p w14:paraId="461B4544" w14:textId="77777777" w:rsidR="00220D3E" w:rsidRPr="00511005" w:rsidRDefault="00220D3E" w:rsidP="003A292D">
      <w:pPr>
        <w:spacing w:line="264" w:lineRule="auto"/>
        <w:ind w:firstLine="0"/>
        <w:rPr>
          <w:rFonts w:ascii="Arial" w:eastAsia="Calibri" w:hAnsi="Arial" w:cs="Arial"/>
          <w:b/>
          <w:bCs/>
          <w:szCs w:val="28"/>
          <w:lang w:val="uk-UA"/>
        </w:rPr>
      </w:pPr>
    </w:p>
    <w:p w14:paraId="1F3D1BB2" w14:textId="460ABF8A"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220D3E" w:rsidRPr="00511005">
        <w:rPr>
          <w:rFonts w:ascii="Arial" w:eastAsia="Calibri" w:hAnsi="Arial" w:cs="Arial"/>
          <w:szCs w:val="28"/>
          <w:lang w:val="uk-UA"/>
        </w:rPr>
        <w:t>небезпечний вантаж, морські перевезення, забруднення моря, Міжнародна конвенція щодо запобігання забрудненню суден 73/78, Міжнародний кодекс морського перевезення небезпечних вантажів, СОЛАС-74.</w:t>
      </w:r>
    </w:p>
    <w:p w14:paraId="065C34EA" w14:textId="3437ACD1" w:rsidR="00220D3E" w:rsidRPr="00511005" w:rsidRDefault="007B2628" w:rsidP="003A292D">
      <w:pPr>
        <w:spacing w:line="264" w:lineRule="auto"/>
        <w:ind w:firstLine="0"/>
        <w:rPr>
          <w:rFonts w:ascii="Arial" w:eastAsia="Calibri" w:hAnsi="Arial" w:cs="Arial"/>
          <w:b/>
          <w:bCs/>
          <w:szCs w:val="28"/>
          <w:lang w:val="uk-UA"/>
        </w:rPr>
      </w:pPr>
      <w:r w:rsidRPr="00511005">
        <w:rPr>
          <w:rFonts w:ascii="Arial" w:eastAsia="Calibri" w:hAnsi="Arial" w:cs="Arial"/>
          <w:b/>
          <w:bCs/>
          <w:i/>
          <w:szCs w:val="28"/>
          <w:lang w:val="uk-UA"/>
        </w:rPr>
        <w:t xml:space="preserve">Key words: </w:t>
      </w:r>
      <w:r w:rsidR="00220D3E" w:rsidRPr="00511005">
        <w:rPr>
          <w:rFonts w:ascii="Arial" w:eastAsia="Calibri" w:hAnsi="Arial" w:cs="Arial"/>
          <w:szCs w:val="28"/>
          <w:lang w:val="uk-UA"/>
        </w:rPr>
        <w:t>dangerous goods, maritime transportation, marine pollution, MARPOL 73/78, IMDG CODE, SOLAS-74.</w:t>
      </w:r>
      <w:r w:rsidR="00220D3E" w:rsidRPr="00511005">
        <w:rPr>
          <w:rFonts w:ascii="Arial" w:eastAsia="Calibri" w:hAnsi="Arial" w:cs="Arial"/>
          <w:b/>
          <w:bCs/>
          <w:szCs w:val="28"/>
          <w:lang w:val="uk-UA"/>
        </w:rPr>
        <w:t xml:space="preserve"> </w:t>
      </w:r>
    </w:p>
    <w:p w14:paraId="1A669FCB" w14:textId="5EC9ADD6" w:rsidR="00220D3E" w:rsidRPr="00511005" w:rsidRDefault="007B2628" w:rsidP="003A292D">
      <w:pPr>
        <w:spacing w:line="264" w:lineRule="auto"/>
        <w:ind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220D3E" w:rsidRPr="00511005">
        <w:rPr>
          <w:rFonts w:ascii="Arial" w:eastAsia="Calibri" w:hAnsi="Arial" w:cs="Arial"/>
          <w:bCs/>
          <w:i/>
          <w:iCs/>
          <w:szCs w:val="28"/>
          <w:lang w:val="uk-UA"/>
        </w:rPr>
        <w:t>д.ю.н., професор Кормич Б. А.</w:t>
      </w:r>
    </w:p>
    <w:p w14:paraId="6E0CFDB8" w14:textId="77777777" w:rsidR="00220D3E" w:rsidRPr="00511005" w:rsidRDefault="00220D3E" w:rsidP="003A292D">
      <w:pPr>
        <w:spacing w:line="264" w:lineRule="auto"/>
        <w:ind w:firstLine="0"/>
        <w:rPr>
          <w:rFonts w:ascii="Arial" w:eastAsia="Calibri" w:hAnsi="Arial" w:cs="Arial"/>
          <w:szCs w:val="28"/>
          <w:lang w:val="uk-UA"/>
        </w:rPr>
      </w:pPr>
    </w:p>
    <w:p w14:paraId="036E66EC" w14:textId="77777777" w:rsidR="00220D3E" w:rsidRPr="00511005" w:rsidRDefault="00220D3E" w:rsidP="003A292D">
      <w:pPr>
        <w:spacing w:line="264" w:lineRule="auto"/>
        <w:ind w:firstLine="0"/>
        <w:jc w:val="center"/>
        <w:rPr>
          <w:rFonts w:ascii="Arial" w:eastAsia="Calibri" w:hAnsi="Arial" w:cs="Arial"/>
          <w:b/>
          <w:bCs/>
          <w:i/>
          <w:szCs w:val="28"/>
          <w:lang w:val="uk-UA"/>
        </w:rPr>
      </w:pPr>
      <w:r w:rsidRPr="00511005">
        <w:rPr>
          <w:rFonts w:ascii="Arial" w:eastAsia="Calibri" w:hAnsi="Arial" w:cs="Arial"/>
          <w:b/>
          <w:bCs/>
          <w:i/>
          <w:szCs w:val="28"/>
          <w:lang w:val="uk-UA"/>
        </w:rPr>
        <w:t>Перепелиця Володимир Володимирович</w:t>
      </w:r>
    </w:p>
    <w:p w14:paraId="79A3A382" w14:textId="36F9EE67"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студент 1-го курсу магістратури</w:t>
      </w:r>
    </w:p>
    <w:p w14:paraId="15C4AD56"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lastRenderedPageBreak/>
        <w:t>факультету прокуратури та слідства (кримінальна юстиція)</w:t>
      </w:r>
    </w:p>
    <w:p w14:paraId="353A8081"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88F08FF" w14:textId="77777777" w:rsidR="00220D3E" w:rsidRPr="00511005" w:rsidRDefault="00220D3E" w:rsidP="003A292D">
      <w:pPr>
        <w:spacing w:line="264" w:lineRule="auto"/>
        <w:ind w:firstLine="0"/>
        <w:jc w:val="center"/>
        <w:rPr>
          <w:rFonts w:ascii="Arial" w:eastAsia="Calibri" w:hAnsi="Arial" w:cs="Arial"/>
          <w:b/>
          <w:bCs/>
          <w:szCs w:val="28"/>
          <w:lang w:val="uk-UA"/>
        </w:rPr>
      </w:pPr>
    </w:p>
    <w:p w14:paraId="5259188B" w14:textId="77777777" w:rsidR="00220D3E" w:rsidRPr="00511005" w:rsidRDefault="00220D3E"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ЗАКОНОДАВСТВО ЄС ЩОДО КОРИСТУВАННЯ МОРЕМ</w:t>
      </w:r>
    </w:p>
    <w:p w14:paraId="3F0F7AA4"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Комплексне дослідження чинного законодавства щодо використання морів Європейського Союзу є надзвичайно важливим для забезпечення сталого розвитку та охорони морського середовища. Законодавчі акти ЄС вже формують основу для гармонізації національних правил і інтегрованих підходів, таких як директиви про морські стратегії і морське просторове планування, спільна рибальська політика, що вимагає їх ретельного аналізу. </w:t>
      </w:r>
    </w:p>
    <w:p w14:paraId="4FE0BFDE"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Морські ресурси і території ЄС мають стратегічне значення для економіки, навколишнього середовища та безпеки. Європейський Союз омивається кількома морями: Середземним, Чорним, Балтійським, Північним, Атлантичним та Арктичним узбережжям, підтримуючи мільйони робочих місць у судноплавстві, рибальстві, туризмі та енергетиці. Проте зміна клімату, забруднення, надмірна експлуатація і конфлікти інтересів створюють серйозні загрози для морських екосистем. Зважаючи на це, ЄС ставить за мету забезпечити захист не менше 30% своєї морської території до 2030 року [1 – 2].</w:t>
      </w:r>
    </w:p>
    <w:p w14:paraId="7C2D7CC3"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ЄС створив Інтегровану морську політику для покращення узгодженості регулювання морських справ. Ця політика спрямована на «координований і цілісний підхід» до використання морських ресурсів. Вона охоплює різні політичні сфери, такі як сільське господарство, захист довкілля, енергетика та транспорт [3].</w:t>
      </w:r>
    </w:p>
    <w:p w14:paraId="7818523A"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Складові Інтегрованої морської політики (IMP) містять ініціативи «Blue Growth» («Блакитне зростання»), морське просторове планування, інтегроване морське спостереження та програми на рівні басейнів, такі як Адріатичний і Балтійський морські регіони. Стратегічні документи Європейського Союзу підкреслюють, що розвиток «синього зростання» стимулює інновації у сфері рибальства, морських технологій, відновлюваної енергетики та аквакультури. Зокрема, Комісія затвердила стратегію «Innovation in the Blue Economy» (COM(2012)494), яка створила основу для використання морських ресурсів у рамках Європейської стратегії «Європа 2020» [3].</w:t>
      </w:r>
    </w:p>
    <w:p w14:paraId="581771F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Інтегрована політика охоплює співпрацю з міжнародними партнерами для розвитку глобального управління морськими ресурсами. Наприклад, Європейський фонд морського регіону, рибальства і аквакультури (EMFAF) активно підтримує міжнародні ініціативи в сфері морської співпраці та втілення концепції «Зеленого курсу» [4]. </w:t>
      </w:r>
    </w:p>
    <w:p w14:paraId="167C8E3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Законодавство ЄС у цілому відображає прагнення до узгодження економічних, екологічних і соціальних цілей, створюючи правову </w:t>
      </w:r>
      <w:r w:rsidRPr="00511005">
        <w:rPr>
          <w:rFonts w:ascii="Arial" w:eastAsia="Calibri" w:hAnsi="Arial" w:cs="Arial"/>
          <w:szCs w:val="28"/>
          <w:lang w:val="uk-UA"/>
        </w:rPr>
        <w:lastRenderedPageBreak/>
        <w:t>передбачуваність і стабільність для інвестицій у «синьому секторі», а також захищаючи унікальні морські екосистеми, такі як заказники і заповідники.</w:t>
      </w:r>
    </w:p>
    <w:p w14:paraId="43689A43"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Однією з ключових інновацій Європейського Союзу є Директива 2014/89/ЄС, яка встановлює єдині рамки для морського просторового планування (МПП). МПП спрямоване на забезпечення сталого розвитку морських економік і раціоналізацію використання морського простору. Згідно з Директивою, кожна прибережна країна ЄС повинна розробити національні морські просторові плани, враховуючи взаємодії між сушею та морем, а також діючи через спільні морські регіони [5].</w:t>
      </w:r>
    </w:p>
    <w:p w14:paraId="1EF2E4B8"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Ці плани мають сприяти зменшенню конфліктів між різними видами діяльності, такими як рибальство, судноплавство, енергетика та туризм. Вони повинні створювати правові основи для залучення інвестицій, забезпечуючи при цьому прогнозованість та прозорість процесів. Крім того, важливо зберігати навколишнє середовище шляхом виділення морських заповідних зон та проведення оцінки впливу на екосистеми. </w:t>
      </w:r>
    </w:p>
    <w:p w14:paraId="673D1B4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Регламент № 1380/2013 ЄС щодо Спільної рибальської політики та аквакультури визначає основні принципи сталого управління рибними ресурсами з урахуванням максимальної стійкої врожайності. Він також спрямований на досягнення екологічних, економічних і соціальних цілей [6]. </w:t>
      </w:r>
    </w:p>
    <w:p w14:paraId="2E4CEBC8"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Сучасна спільної рибальської політики передбачає впровадження багатоцільових багаторічних планів рибальства, зобов’язання щодо висадки виловленої риби (стоп закиду «мертвої риби»), а також регіоналізацію управління, коли за певними видами риби окремо відповідають групи зацікавлених держав-членів. </w:t>
      </w:r>
    </w:p>
    <w:p w14:paraId="57FE21D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Регламент №1380/2013 також визначає контрольне середовище: запроваджено систему моніторингу, інспекцій і каральних санкцій, спрямованих на боротьбу з незаконним, неконтрольованим та неподаним рибальством (IUU) [6].</w:t>
      </w:r>
    </w:p>
    <w:p w14:paraId="4B64E1D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Фінансування здійснюється через спеціальні фонди: попередній Європейський фонд морського регіону і рибальства (EMFF, Регламент №508/2014) та новий Європейський фонд морського регіону, рибальства та аквакультури (EMFAF, Регламент №2021/1139). Новий фонд, зокрема, спрямований на підтримку екологічно безпечного рибальства, збереження морського біорізноманіття та забезпечення стабільності ринку в рибній галузі [7].</w:t>
      </w:r>
    </w:p>
    <w:p w14:paraId="7838B970"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Як зазначено в супровідних роз’ясненнях щодо Європейського морського, рибопромислового та аквакультурного фонду (EMFAF): даний фонд сприяє впровадженню Спільної риболовецької політики та морської політики Європейського Союзу, підтримуючи цілі «Європейського зеленого курсу», зокрема охорону морського біорізноманіття та пом’якшення наслідків змін клімату. Це практично означає, що держави-члени мають можливість отримувати фінансування для модернізації риболовецького флоту з метою </w:t>
      </w:r>
      <w:r w:rsidRPr="00511005">
        <w:rPr>
          <w:rFonts w:ascii="Arial" w:eastAsia="Calibri" w:hAnsi="Arial" w:cs="Arial"/>
          <w:szCs w:val="28"/>
          <w:lang w:val="uk-UA"/>
        </w:rPr>
        <w:lastRenderedPageBreak/>
        <w:t>зниження викидів, розвитку екологічно раціонального прибережного рибальства або аквакультурних проектів, що відповідають високим екологічним стандартам.</w:t>
      </w:r>
    </w:p>
    <w:p w14:paraId="332EF0B4"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контексті «використання морського простору» важливою є як безпека судноплавства, так і контроль його впливу на довкілля. Наприклад, Європейський Союз має власні стандарти безпеки для суден і регулювання заходів у порти, які визначені регламентом (EC) 1406/2002, що стосується Європейського агентства морської безпеки (EMSA), а також директивами щодо контролю суден (Directive 2009/16/EC – Port State Control). Недавно значну увагу почали приділяти викидам від суден. Відтак, із 2024 року судна вперше включено до системи торгівлі викидами ЄС (EU ETS) [8].</w:t>
      </w:r>
    </w:p>
    <w:p w14:paraId="2AD4FC5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Відповідні зміни до Директиви 2003/87/EC, ухвалені в рамках пакету «Fit for 55», включили морський сектор до системи ETS – судновласники зобов’язані звітувати і купувати квоти на CO</w:t>
      </w:r>
      <w:r w:rsidRPr="00511005">
        <w:rPr>
          <w:rFonts w:ascii="Cambria Math" w:eastAsia="Calibri" w:hAnsi="Cambria Math" w:cs="Cambria Math"/>
          <w:szCs w:val="28"/>
          <w:lang w:val="uk-UA"/>
        </w:rPr>
        <w:t>₂</w:t>
      </w:r>
      <w:r w:rsidRPr="00511005">
        <w:rPr>
          <w:rFonts w:ascii="Arial" w:eastAsia="Calibri" w:hAnsi="Arial" w:cs="Arial"/>
          <w:szCs w:val="28"/>
          <w:lang w:val="uk-UA"/>
        </w:rPr>
        <w:t>-викиди [8].</w:t>
      </w:r>
    </w:p>
    <w:p w14:paraId="47E14C01"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 2020 року також чинне суворіше обмеження на сірчисті викиди з суден (Sulphur Directive 2012/33/ЄС), що обмежує вміст сірки у судновому паливі у європейських водах до 0,5%. Ці норми покликані зменшити вплив морської діяльності на забруднення повітря і клімат. Таким чином, ЄС через законодавство інтегрує цілі кліматичної політики у морський сектор.</w:t>
      </w:r>
    </w:p>
    <w:p w14:paraId="292D9742"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Законодавство Європейського Союзу щодо використання морських просторів будується на основі комплексності та стійкості. Систематичний підхід реалізовано через інтегровані стратегії та директиви, які зміцнюють взаємодію між різними політичними сферами, від захисту навколишнього середовища до розвитку безпеки. </w:t>
      </w:r>
    </w:p>
    <w:p w14:paraId="55109119"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Основні принципи законодавства включають гармонізацію національних підходів, пріоритетність охорони екосистем, раціональне використання ресурсів, а також загальноєвропейську солідарність у вирішенні транскордонних проблем, таких як офшорна інфраструктура, проблеми з біженцями серед рибалок та спільні водойми. </w:t>
      </w:r>
    </w:p>
    <w:p w14:paraId="779B48EA"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Законодавчі механізми складаються не лише з регламентів і директив, але й з цільових фондів та наукових платформ. Такий підхід дає можливість ЄС координувати зусилля членів організації та забезпечити фінансову підтримку для морського сектора, що підсилює його здатність адаптуватися до екологічних і соціальних викликів.</w:t>
      </w:r>
    </w:p>
    <w:p w14:paraId="1B493B3C"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Дослідження показують, що, попри значні досягнення, такі як поширення морських природоохоронних територій та очищення вод, для досягнення поставлених цілей, таких як захист 30% морської зони та досягнення кліматичної нейтральності до 2050 року, ЄС повинен активізувати імплементацію поточних інструментів і розробити нові норми в умовах швидких глобальних змін.</w:t>
      </w:r>
    </w:p>
    <w:p w14:paraId="63723AF2" w14:textId="77777777" w:rsidR="00220D3E" w:rsidRPr="00511005" w:rsidRDefault="00220D3E" w:rsidP="003A292D">
      <w:pPr>
        <w:spacing w:line="264" w:lineRule="auto"/>
        <w:ind w:firstLine="0"/>
        <w:rPr>
          <w:rFonts w:ascii="Arial" w:eastAsia="Calibri" w:hAnsi="Arial" w:cs="Arial"/>
          <w:szCs w:val="28"/>
          <w:lang w:val="uk-UA"/>
        </w:rPr>
      </w:pPr>
    </w:p>
    <w:p w14:paraId="304C4110" w14:textId="1A0CE9FA" w:rsidR="00220D3E"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7868D2E8"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 xml:space="preserve">1. Marine protected areas in Europe’s seas. URL: </w:t>
      </w:r>
      <w:hyperlink r:id="rId829" w:history="1">
        <w:r w:rsidRPr="00511005">
          <w:rPr>
            <w:rFonts w:ascii="Arial" w:eastAsia="Calibri" w:hAnsi="Arial" w:cs="Arial"/>
            <w:szCs w:val="28"/>
            <w:lang w:val="uk-UA"/>
          </w:rPr>
          <w:t>https://www.eea.europa.eu/en/analysis/indicators/marine-protected-areas-in-europes-seas</w:t>
        </w:r>
      </w:hyperlink>
      <w:r w:rsidRPr="00511005">
        <w:rPr>
          <w:rFonts w:ascii="Arial" w:eastAsia="Calibri" w:hAnsi="Arial" w:cs="Arial"/>
          <w:szCs w:val="28"/>
          <w:lang w:val="uk-UA"/>
        </w:rPr>
        <w:t xml:space="preserve"> </w:t>
      </w:r>
    </w:p>
    <w:p w14:paraId="6870152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2. Seas and coasts. URL: </w:t>
      </w:r>
      <w:hyperlink r:id="rId830" w:history="1">
        <w:r w:rsidRPr="00511005">
          <w:rPr>
            <w:rFonts w:ascii="Arial" w:eastAsia="Calibri" w:hAnsi="Arial" w:cs="Arial"/>
            <w:szCs w:val="28"/>
            <w:lang w:val="uk-UA"/>
          </w:rPr>
          <w:t>https://www.eea.europa.eu/en/topics/in-depth/seas-and-coasts</w:t>
        </w:r>
      </w:hyperlink>
      <w:r w:rsidRPr="00511005">
        <w:rPr>
          <w:rFonts w:ascii="Arial" w:eastAsia="Calibri" w:hAnsi="Arial" w:cs="Arial"/>
          <w:szCs w:val="28"/>
          <w:lang w:val="uk-UA"/>
        </w:rPr>
        <w:t xml:space="preserve"> </w:t>
      </w:r>
    </w:p>
    <w:p w14:paraId="2EE8513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3. Integrated Maritime Policy. URL: </w:t>
      </w:r>
      <w:hyperlink r:id="rId831" w:history="1">
        <w:r w:rsidRPr="00511005">
          <w:rPr>
            <w:rFonts w:ascii="Arial" w:eastAsia="Calibri" w:hAnsi="Arial" w:cs="Arial"/>
            <w:szCs w:val="28"/>
            <w:lang w:val="uk-UA"/>
          </w:rPr>
          <w:t>https://research-and-innovation.ec.europa.eu/research-area/environment/oceans-and-seas/integrated-maritime-policy_en</w:t>
        </w:r>
      </w:hyperlink>
      <w:r w:rsidRPr="00511005">
        <w:rPr>
          <w:rFonts w:ascii="Arial" w:eastAsia="Calibri" w:hAnsi="Arial" w:cs="Arial"/>
          <w:szCs w:val="28"/>
          <w:lang w:val="uk-UA"/>
        </w:rPr>
        <w:t xml:space="preserve"> </w:t>
      </w:r>
    </w:p>
    <w:p w14:paraId="21804881"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4.</w:t>
      </w:r>
      <w:r w:rsidRPr="00511005">
        <w:rPr>
          <w:rFonts w:ascii="Arial" w:eastAsia="Calibri" w:hAnsi="Arial" w:cs="Arial"/>
          <w:b/>
          <w:bCs/>
          <w:szCs w:val="28"/>
          <w:lang w:val="uk-UA"/>
        </w:rPr>
        <w:t xml:space="preserve"> </w:t>
      </w:r>
      <w:r w:rsidRPr="00511005">
        <w:rPr>
          <w:rFonts w:ascii="Arial" w:eastAsia="Calibri" w:hAnsi="Arial" w:cs="Arial"/>
          <w:szCs w:val="28"/>
          <w:lang w:val="uk-UA"/>
        </w:rPr>
        <w:t xml:space="preserve">Regulation (EU) 2021/1139 of the European Parliament and of the Council of 7 July 2021 establishing the European Maritime, Fisheries and Aquaculture Fund and amending Regulation (EU) 2017/1004. URL: </w:t>
      </w:r>
      <w:hyperlink r:id="rId832" w:history="1">
        <w:r w:rsidRPr="00511005">
          <w:rPr>
            <w:rFonts w:ascii="Arial" w:eastAsia="Calibri" w:hAnsi="Arial" w:cs="Arial"/>
            <w:szCs w:val="28"/>
            <w:lang w:val="uk-UA"/>
          </w:rPr>
          <w:t>https://eurlex.europa.eu/legal content/EN/TXT/?uri=celex%3A32021R1139</w:t>
        </w:r>
      </w:hyperlink>
      <w:r w:rsidRPr="00511005">
        <w:rPr>
          <w:rFonts w:ascii="Arial" w:eastAsia="Calibri" w:hAnsi="Arial" w:cs="Arial"/>
          <w:szCs w:val="28"/>
          <w:lang w:val="uk-UA"/>
        </w:rPr>
        <w:t xml:space="preserve"> </w:t>
      </w:r>
    </w:p>
    <w:p w14:paraId="516A4611"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5. Directive 2014/89/eu of the European Parliament and of the Council of 23 July 2014 establishing a framework for maritime spatial planning. URL: </w:t>
      </w:r>
      <w:hyperlink r:id="rId833" w:history="1">
        <w:r w:rsidRPr="00511005">
          <w:rPr>
            <w:rFonts w:ascii="Arial" w:eastAsia="Calibri" w:hAnsi="Arial" w:cs="Arial"/>
            <w:szCs w:val="28"/>
            <w:lang w:val="uk-UA"/>
          </w:rPr>
          <w:t>https://eur-lex.europa.eu/legal-content/EN/TXT/?uri=celex:32014L0089</w:t>
        </w:r>
      </w:hyperlink>
      <w:r w:rsidRPr="00511005">
        <w:rPr>
          <w:rFonts w:ascii="Arial" w:eastAsia="Calibri" w:hAnsi="Arial" w:cs="Arial"/>
          <w:szCs w:val="28"/>
          <w:lang w:val="uk-UA"/>
        </w:rPr>
        <w:t xml:space="preserve"> </w:t>
      </w:r>
    </w:p>
    <w:p w14:paraId="750EE5C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6. Regulation (EU) No 1380/2013 of the European Parliament and of the Council of 11 December 2013 on the Common Fisheries Policy. URL: </w:t>
      </w:r>
      <w:hyperlink r:id="rId834" w:history="1">
        <w:r w:rsidRPr="00511005">
          <w:rPr>
            <w:rFonts w:ascii="Arial" w:eastAsia="Calibri" w:hAnsi="Arial" w:cs="Arial"/>
            <w:szCs w:val="28"/>
            <w:lang w:val="uk-UA"/>
          </w:rPr>
          <w:t>https://eur-lex.europa.eu/eli/reg/2013/1380/oj</w:t>
        </w:r>
      </w:hyperlink>
      <w:r w:rsidRPr="00511005">
        <w:rPr>
          <w:rFonts w:ascii="Arial" w:eastAsia="Calibri" w:hAnsi="Arial" w:cs="Arial"/>
          <w:szCs w:val="28"/>
          <w:lang w:val="uk-UA"/>
        </w:rPr>
        <w:t xml:space="preserve"> </w:t>
      </w:r>
    </w:p>
    <w:p w14:paraId="5791B079"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7. European Maritime, Fisheries and Aquaculture Fund (2021–2027). URL: </w:t>
      </w:r>
      <w:hyperlink r:id="rId835" w:history="1">
        <w:r w:rsidRPr="00511005">
          <w:rPr>
            <w:rFonts w:ascii="Arial" w:eastAsia="Calibri" w:hAnsi="Arial" w:cs="Arial"/>
            <w:szCs w:val="28"/>
            <w:lang w:val="uk-UA"/>
          </w:rPr>
          <w:t>https://eur-lex.europa.eu/legal-content/en/LSU/?uri=oj:JOL_2021_247_R_0001</w:t>
        </w:r>
      </w:hyperlink>
      <w:r w:rsidRPr="00511005">
        <w:rPr>
          <w:rFonts w:ascii="Arial" w:eastAsia="Calibri" w:hAnsi="Arial" w:cs="Arial"/>
          <w:szCs w:val="28"/>
          <w:lang w:val="uk-UA"/>
        </w:rPr>
        <w:t xml:space="preserve"> </w:t>
      </w:r>
    </w:p>
    <w:p w14:paraId="0B2C002E"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8. About the EU ETS. URL: </w:t>
      </w:r>
      <w:hyperlink r:id="rId836" w:history="1">
        <w:r w:rsidRPr="00511005">
          <w:rPr>
            <w:rFonts w:ascii="Arial" w:eastAsia="Calibri" w:hAnsi="Arial" w:cs="Arial"/>
            <w:szCs w:val="28"/>
            <w:lang w:val="uk-UA"/>
          </w:rPr>
          <w:t>https://climate.ec.europa.eu/eu-action/eu-emissions-trading-system-eu-ets/about-eu-ets_en</w:t>
        </w:r>
      </w:hyperlink>
      <w:r w:rsidRPr="00511005">
        <w:rPr>
          <w:rFonts w:ascii="Arial" w:eastAsia="Calibri" w:hAnsi="Arial" w:cs="Arial"/>
          <w:szCs w:val="28"/>
          <w:lang w:val="uk-UA"/>
        </w:rPr>
        <w:t xml:space="preserve"> </w:t>
      </w:r>
    </w:p>
    <w:p w14:paraId="320F9F9B" w14:textId="77777777" w:rsidR="00220D3E" w:rsidRPr="00511005" w:rsidRDefault="00220D3E" w:rsidP="003A292D">
      <w:pPr>
        <w:spacing w:line="264" w:lineRule="auto"/>
        <w:ind w:firstLine="0"/>
        <w:rPr>
          <w:rFonts w:ascii="Arial" w:eastAsia="Calibri" w:hAnsi="Arial" w:cs="Arial"/>
          <w:szCs w:val="28"/>
          <w:lang w:val="uk-UA"/>
        </w:rPr>
      </w:pPr>
    </w:p>
    <w:p w14:paraId="1C6ACE4F" w14:textId="5EFFA293"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20D3E" w:rsidRPr="00511005">
        <w:rPr>
          <w:rFonts w:ascii="Arial" w:eastAsia="Calibri" w:hAnsi="Arial" w:cs="Arial"/>
          <w:szCs w:val="28"/>
          <w:lang w:val="uk-UA"/>
        </w:rPr>
        <w:t>Європейський Союз (ЄС), морське середовище, інтегрована морська політика (IMP), морське просторове планування (МПП), директиви ,спільна рибальська політика, законодавство.</w:t>
      </w:r>
    </w:p>
    <w:p w14:paraId="48796DBD" w14:textId="73C318F8" w:rsidR="00220D3E" w:rsidRPr="00511005" w:rsidRDefault="007B2628" w:rsidP="003A292D">
      <w:pPr>
        <w:spacing w:line="264" w:lineRule="auto"/>
        <w:ind w:firstLine="0"/>
        <w:rPr>
          <w:rFonts w:ascii="Arial" w:eastAsia="Calibri" w:hAnsi="Arial" w:cs="Arial"/>
          <w:bCs/>
          <w:szCs w:val="28"/>
          <w:lang w:val="uk-UA"/>
        </w:rPr>
      </w:pPr>
      <w:r w:rsidRPr="00511005">
        <w:rPr>
          <w:rFonts w:ascii="Arial" w:eastAsia="Calibri" w:hAnsi="Arial" w:cs="Arial"/>
          <w:b/>
          <w:i/>
          <w:szCs w:val="28"/>
          <w:lang w:val="uk-UA"/>
        </w:rPr>
        <w:t xml:space="preserve">Key words: </w:t>
      </w:r>
      <w:r w:rsidR="00220D3E" w:rsidRPr="00511005">
        <w:rPr>
          <w:rFonts w:ascii="Arial" w:eastAsia="Calibri" w:hAnsi="Arial" w:cs="Arial"/>
          <w:bCs/>
          <w:szCs w:val="28"/>
          <w:lang w:val="uk-UA"/>
        </w:rPr>
        <w:t xml:space="preserve">European Union (EU), marine environment, Integrated Maritime Policy (IMP), Maritime Spatial Planning (MSP), directives, Common Fisheries Policy, legislation. </w:t>
      </w:r>
    </w:p>
    <w:p w14:paraId="7573B89C" w14:textId="0B31653E" w:rsidR="00220D3E" w:rsidRPr="00511005" w:rsidRDefault="007B2628" w:rsidP="003A292D">
      <w:pPr>
        <w:spacing w:line="264" w:lineRule="auto"/>
        <w:ind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220D3E" w:rsidRPr="00511005">
        <w:rPr>
          <w:rFonts w:ascii="Arial" w:eastAsia="Calibri" w:hAnsi="Arial" w:cs="Arial"/>
          <w:bCs/>
          <w:i/>
          <w:iCs/>
          <w:szCs w:val="28"/>
          <w:lang w:val="uk-UA"/>
        </w:rPr>
        <w:t>д.ю.н., професор Кормич Б. А.</w:t>
      </w:r>
    </w:p>
    <w:p w14:paraId="737E276A" w14:textId="77777777" w:rsidR="00220D3E" w:rsidRPr="00511005" w:rsidRDefault="00220D3E" w:rsidP="003A292D">
      <w:pPr>
        <w:spacing w:line="264" w:lineRule="auto"/>
        <w:ind w:firstLine="0"/>
        <w:jc w:val="center"/>
        <w:rPr>
          <w:rFonts w:ascii="Arial" w:eastAsia="Aptos" w:hAnsi="Arial" w:cs="Arial"/>
          <w:b/>
          <w:bCs/>
          <w:i/>
          <w:iCs/>
          <w:kern w:val="2"/>
          <w:szCs w:val="28"/>
          <w:lang w:val="uk-UA"/>
          <w14:ligatures w14:val="standardContextual"/>
        </w:rPr>
      </w:pPr>
    </w:p>
    <w:p w14:paraId="49BAF954" w14:textId="77777777" w:rsidR="00220D3E" w:rsidRPr="00511005" w:rsidRDefault="00220D3E" w:rsidP="003A292D">
      <w:pPr>
        <w:spacing w:line="264" w:lineRule="auto"/>
        <w:ind w:firstLine="0"/>
        <w:jc w:val="center"/>
        <w:rPr>
          <w:rFonts w:ascii="Arial" w:eastAsia="Aptos" w:hAnsi="Arial" w:cs="Arial"/>
          <w:b/>
          <w:bCs/>
          <w:i/>
          <w:iCs/>
          <w:kern w:val="2"/>
          <w:szCs w:val="28"/>
          <w:lang w:val="uk-UA"/>
          <w14:ligatures w14:val="standardContextual"/>
        </w:rPr>
      </w:pPr>
      <w:r w:rsidRPr="00511005">
        <w:rPr>
          <w:rFonts w:ascii="Arial" w:eastAsia="Aptos" w:hAnsi="Arial" w:cs="Arial"/>
          <w:b/>
          <w:bCs/>
          <w:i/>
          <w:iCs/>
          <w:kern w:val="2"/>
          <w:szCs w:val="28"/>
          <w:lang w:val="uk-UA"/>
          <w14:ligatures w14:val="standardContextual"/>
        </w:rPr>
        <w:t>Савчук Вікторія Валентинівна</w:t>
      </w:r>
    </w:p>
    <w:p w14:paraId="24FBF40B" w14:textId="282124C9" w:rsidR="00220D3E" w:rsidRPr="00511005" w:rsidRDefault="00536AAB" w:rsidP="003A292D">
      <w:pPr>
        <w:spacing w:line="264" w:lineRule="auto"/>
        <w:ind w:firstLine="0"/>
        <w:jc w:val="center"/>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студентка 4-го курсу </w:t>
      </w:r>
      <w:r w:rsidR="001B7B25" w:rsidRPr="00511005">
        <w:rPr>
          <w:rFonts w:ascii="Arial" w:eastAsia="Aptos" w:hAnsi="Arial" w:cs="Arial"/>
          <w:kern w:val="2"/>
          <w:szCs w:val="28"/>
          <w:lang w:val="uk-UA"/>
          <w14:ligatures w14:val="standardContextual"/>
        </w:rPr>
        <w:t>факультету судового та міжнародного права</w:t>
      </w:r>
      <w:r w:rsidR="00220D3E" w:rsidRPr="00511005">
        <w:rPr>
          <w:rFonts w:ascii="Arial" w:eastAsia="Aptos" w:hAnsi="Arial" w:cs="Arial"/>
          <w:kern w:val="2"/>
          <w:szCs w:val="28"/>
          <w:lang w:val="uk-UA"/>
          <w14:ligatures w14:val="standardContextual"/>
        </w:rPr>
        <w:t xml:space="preserve"> </w:t>
      </w:r>
    </w:p>
    <w:p w14:paraId="70CE0C61" w14:textId="523BE605" w:rsidR="00220D3E" w:rsidRPr="00511005" w:rsidRDefault="007B2628" w:rsidP="003A292D">
      <w:pPr>
        <w:spacing w:line="264" w:lineRule="auto"/>
        <w:ind w:firstLine="0"/>
        <w:jc w:val="center"/>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Національного університету «Одеська юридична академія»</w:t>
      </w:r>
    </w:p>
    <w:p w14:paraId="2BBDE2E5" w14:textId="77777777" w:rsidR="00220D3E" w:rsidRPr="00511005" w:rsidRDefault="00220D3E" w:rsidP="003A292D">
      <w:pPr>
        <w:spacing w:line="264" w:lineRule="auto"/>
        <w:ind w:firstLine="0"/>
        <w:jc w:val="left"/>
        <w:rPr>
          <w:rFonts w:ascii="Arial" w:eastAsia="Aptos" w:hAnsi="Arial" w:cs="Arial"/>
          <w:kern w:val="2"/>
          <w:szCs w:val="28"/>
          <w:lang w:val="uk-UA"/>
          <w14:ligatures w14:val="standardContextual"/>
        </w:rPr>
      </w:pPr>
    </w:p>
    <w:p w14:paraId="2EB63632" w14:textId="77777777" w:rsidR="00220D3E" w:rsidRPr="00511005" w:rsidRDefault="00220D3E" w:rsidP="003A292D">
      <w:pPr>
        <w:spacing w:line="264" w:lineRule="auto"/>
        <w:ind w:firstLine="0"/>
        <w:jc w:val="center"/>
        <w:rPr>
          <w:rFonts w:ascii="Arial" w:eastAsia="Aptos" w:hAnsi="Arial" w:cs="Arial"/>
          <w:b/>
          <w:bCs/>
          <w:caps/>
          <w:kern w:val="2"/>
          <w:szCs w:val="28"/>
          <w:lang w:val="uk-UA"/>
          <w14:ligatures w14:val="standardContextual"/>
        </w:rPr>
      </w:pPr>
      <w:r w:rsidRPr="00511005">
        <w:rPr>
          <w:rFonts w:ascii="Arial" w:eastAsia="Aptos" w:hAnsi="Arial" w:cs="Arial"/>
          <w:b/>
          <w:bCs/>
          <w:caps/>
          <w:kern w:val="2"/>
          <w:szCs w:val="28"/>
          <w:lang w:val="uk-UA"/>
          <w14:ligatures w14:val="standardContextual"/>
        </w:rPr>
        <w:t>Митні пільги в умовах війни: правове підґрунтя та потенціал для виникнення спорів</w:t>
      </w:r>
    </w:p>
    <w:p w14:paraId="1F49EF30"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Умови війни обумовили суттєве коригування митної політики України, зокрема в частині надання пільг при ввезенні товарів. Митні пільги стали інструментом підтримки як Збройних сил, так і гуманітарних ініціатив. Водночас активне їх застосування супроводжується низкою правових викликів. Недосконалість нормативного регулювання та правозастосовчої </w:t>
      </w:r>
      <w:r w:rsidRPr="00511005">
        <w:rPr>
          <w:rFonts w:ascii="Arial" w:eastAsia="Aptos" w:hAnsi="Arial" w:cs="Arial"/>
          <w:kern w:val="2"/>
          <w:szCs w:val="28"/>
          <w:lang w:val="uk-UA"/>
          <w14:ligatures w14:val="standardContextual"/>
        </w:rPr>
        <w:lastRenderedPageBreak/>
        <w:t xml:space="preserve">практики створює ризики виникнення митних спорів. Метою даного дослідження є аналіз правового підґрунтя надання митних пільг у період воєнного стану та виявлення потенційних конфліктних точок. </w:t>
      </w:r>
    </w:p>
    <w:p w14:paraId="7269C1CD"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Times New Roman" w:hAnsi="Arial" w:cs="Arial"/>
          <w:szCs w:val="28"/>
          <w:lang w:val="uk-UA"/>
        </w:rPr>
        <w:t xml:space="preserve">Воєнний стан, запроваджений в Україні у зв’язку з широкомасштабною збройною агресією Російської Федерації, потребував оперативного перегляду державної митної політики. Одним із пріоритетів стало забезпечення швидкого та безперешкодного ввезення товарів оборонного, гуманітарного та критично важливого призначення. Законодавчим підґрунтям для надання таких митних пільг став, насамперед, </w:t>
      </w:r>
      <w:r w:rsidRPr="00511005">
        <w:rPr>
          <w:rFonts w:ascii="Arial" w:eastAsia="Times New Roman" w:hAnsi="Arial" w:cs="Arial"/>
          <w:bCs/>
          <w:szCs w:val="28"/>
          <w:lang w:val="uk-UA"/>
        </w:rPr>
        <w:t>Митний кодекс України</w:t>
      </w:r>
      <w:r w:rsidRPr="00511005">
        <w:rPr>
          <w:rFonts w:ascii="Arial" w:eastAsia="Times New Roman" w:hAnsi="Arial" w:cs="Arial"/>
          <w:szCs w:val="28"/>
          <w:lang w:val="uk-UA"/>
        </w:rPr>
        <w:t>, який передбачає можливість звільнення від оподаткування в окремих випадках, а також низка спеціальних законів та постанов Кабінету Міністрів України.</w:t>
      </w:r>
    </w:p>
    <w:p w14:paraId="78586416" w14:textId="77777777" w:rsidR="007B2628"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Значний вплив на митну політику мала поява </w:t>
      </w:r>
      <w:r w:rsidRPr="00511005">
        <w:rPr>
          <w:rFonts w:ascii="Arial" w:eastAsia="Times New Roman" w:hAnsi="Arial" w:cs="Arial"/>
          <w:bCs/>
          <w:szCs w:val="28"/>
          <w:lang w:val="uk-UA"/>
        </w:rPr>
        <w:t>Закону України №2142-IX</w:t>
      </w:r>
      <w:r w:rsidRPr="00511005">
        <w:rPr>
          <w:rFonts w:ascii="Arial" w:eastAsia="Times New Roman" w:hAnsi="Arial" w:cs="Arial"/>
          <w:szCs w:val="28"/>
          <w:lang w:val="uk-UA"/>
        </w:rPr>
        <w:t xml:space="preserve"> від 24 березня 2022 року, що передбачив тимчасове звільнення від сплати мита та ПДВ на певні групи товарів, зокрема: продукцію оборонного призначення; гуманітарну допомогу; транспортні засоби (включно з легковими автомобілями); генератори, енергетичне обладнання, дрони, рації тощо [1].</w:t>
      </w:r>
    </w:p>
    <w:p w14:paraId="5D824F51" w14:textId="4A92AF35"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Times New Roman" w:hAnsi="Arial" w:cs="Arial"/>
          <w:szCs w:val="28"/>
          <w:lang w:val="uk-UA"/>
        </w:rPr>
        <w:t>Варто також зазначити, що митні пільги активно вводилися й на підзаконному рівні, зокрема через постанови КМУ, рішення профільних відомств, а також листи й роз’яснення Державної митної служби [2].</w:t>
      </w:r>
      <w:r w:rsidRPr="00511005">
        <w:rPr>
          <w:rFonts w:ascii="Arial" w:eastAsia="Aptos" w:hAnsi="Arial" w:cs="Arial"/>
          <w:kern w:val="2"/>
          <w:szCs w:val="28"/>
          <w:lang w:val="uk-UA"/>
          <w14:ligatures w14:val="standardContextual"/>
        </w:rPr>
        <w:t xml:space="preserve"> </w:t>
      </w:r>
    </w:p>
    <w:p w14:paraId="6B29BDAD"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На міжнародному рівні питання митного регулювання в надзвичайних ситуаціях регулюється, зокрема, </w:t>
      </w:r>
      <w:r w:rsidRPr="00511005">
        <w:rPr>
          <w:rFonts w:ascii="Arial" w:eastAsia="Times New Roman" w:hAnsi="Arial" w:cs="Arial"/>
          <w:bCs/>
          <w:szCs w:val="28"/>
          <w:lang w:val="uk-UA"/>
        </w:rPr>
        <w:t>Кіотською конвенцією про спрощення і гармонізацію митних процедур</w:t>
      </w:r>
      <w:r w:rsidRPr="00511005">
        <w:rPr>
          <w:rFonts w:ascii="Arial" w:eastAsia="Times New Roman" w:hAnsi="Arial" w:cs="Arial"/>
          <w:szCs w:val="28"/>
          <w:lang w:val="uk-UA"/>
        </w:rPr>
        <w:t xml:space="preserve"> (переглянута редакція), до якої Україна приєдналася у 2006 році. Конвенція передбачає можливість впровадження особливих процедур щодо гуманітарних вантажів та екстреного імпорту, однак імплементація цих норм у національне законодавство залишається неповною [2].</w:t>
      </w:r>
    </w:p>
    <w:p w14:paraId="3B5E7B3A"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Попри важливість митних пільг під час війни, їх застосування на практиці викликає чимало труднощів. Законодавство змінювалося дуже швидко, тому деякі норми залишилися нечіткими або суперечливими. Через це митні органи іноді по-різному тлумачать одні й ті самі правила. Одна з головних проблем — це складність із визнанням вантажу гуманітарною допомогою. Через нестачу документів або неточності в оформленні товари можуть не отримати пільги. Крім того, були випадки зловживань, коли пільгами користувалися для ввезення товарів у комерційних цілях, наприклад авто чи техніки. Ще одна проблема – слабка координація між державними органами. Через це виникають затримки, а іноді й конфлікти при оформленні пільгового імпорту [3].</w:t>
      </w:r>
    </w:p>
    <w:p w14:paraId="32AA30C5"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Застосування митних пільг під час війни може призводити до суперечок між імпортерами та митними органами. Наприклад, через нечітке законодавство митниця може відмовити у пільгах, вважаючи, що товар не підпадає під </w:t>
      </w:r>
      <w:r w:rsidRPr="00511005">
        <w:rPr>
          <w:rFonts w:ascii="Arial" w:eastAsia="Times New Roman" w:hAnsi="Arial" w:cs="Arial"/>
          <w:szCs w:val="28"/>
          <w:lang w:val="uk-UA"/>
        </w:rPr>
        <w:lastRenderedPageBreak/>
        <w:t>визначення гуманітарної допомоги. Такі ситуації можуть викликати конфлікти та потребу в судовому вирішенні спорів [3].</w:t>
      </w:r>
    </w:p>
    <w:p w14:paraId="461DC118"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Уряд України реалізує комплексну стратегію реформування митної системи, орієнтуючись на інтеграцію з ЄС, цифровізацію процесів, підвищення прозорості та боротьбу з корупцією. Ключові напрямки включають:</w:t>
      </w:r>
    </w:p>
    <w:p w14:paraId="7E859327" w14:textId="77777777" w:rsidR="00220D3E" w:rsidRPr="00511005" w:rsidRDefault="00220D3E" w:rsidP="003F6A5D">
      <w:pPr>
        <w:numPr>
          <w:ilvl w:val="0"/>
          <w:numId w:val="209"/>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Інтеграція з ЄС: впровадження спільного контролю на західному кордоні та адаптація до європейських стандартів. </w:t>
      </w:r>
    </w:p>
    <w:p w14:paraId="656B2C69" w14:textId="77777777" w:rsidR="00220D3E" w:rsidRPr="00511005" w:rsidRDefault="00220D3E" w:rsidP="003F6A5D">
      <w:pPr>
        <w:numPr>
          <w:ilvl w:val="0"/>
          <w:numId w:val="209"/>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Цифровізація: створення єдиної онлайн-платформи для подачі митних декларацій та документів.</w:t>
      </w:r>
    </w:p>
    <w:p w14:paraId="5B93B20D" w14:textId="77777777" w:rsidR="00220D3E" w:rsidRPr="00511005" w:rsidRDefault="00220D3E" w:rsidP="003F6A5D">
      <w:pPr>
        <w:numPr>
          <w:ilvl w:val="0"/>
          <w:numId w:val="209"/>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Підвищення прозорості: забезпечення доступності інформації про критерії надання пільг та процедури їх отримання.</w:t>
      </w:r>
    </w:p>
    <w:p w14:paraId="4C228ADE" w14:textId="77777777" w:rsidR="00220D3E" w:rsidRPr="00511005" w:rsidRDefault="00220D3E" w:rsidP="003F6A5D">
      <w:pPr>
        <w:numPr>
          <w:ilvl w:val="0"/>
          <w:numId w:val="209"/>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Боротьба з корупцією: впровадження антикорупційних заходів та посилення контролю за діяльністю митних органів [4].</w:t>
      </w:r>
    </w:p>
    <w:p w14:paraId="643640EF"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Крім того, зміни у митному законодавстві, спрямовані на гармонізацію з європейськими стандартами, можуть створювати додаткові труднощі для бізнесу. Наприклад, впровадження нових процедур пост-митного контролю може призвести до непорозумінь щодо відповідності товарів вимогам законодавства [5].</w:t>
      </w:r>
    </w:p>
    <w:p w14:paraId="10660C4F" w14:textId="77777777" w:rsidR="00220D3E" w:rsidRPr="00511005" w:rsidRDefault="00220D3E"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Таким чином, для мінімізації ризиків виникнення митних спорів необхідно забезпечити чіткість та прозорість у застосуванні митних пільг, а також ефективну комунікацію між митними органами та імпортерами.</w:t>
      </w:r>
    </w:p>
    <w:p w14:paraId="35F2F35D"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Передумови воєнного стану в Україні вимагали швидкої реакції держави у сфері митного регулювання, що призвело до масштабного впровадження митних пільг. Попри позитивний ефект від цих заходів, їх практичне застосування виявило значну кількість проблем: від нечіткості правового регулювання до зловживань та нестачі міжвідомчої координації. Також перехід до стандартів ЄС та цифрових рішень супроводжується певними складнощами для бізнесу та державних органів.</w:t>
      </w:r>
      <w:r w:rsidRPr="00511005">
        <w:rPr>
          <w:rFonts w:ascii="Arial" w:eastAsia="Times New Roman" w:hAnsi="Arial" w:cs="Arial"/>
          <w:szCs w:val="28"/>
          <w:lang w:val="uk-UA"/>
        </w:rPr>
        <w:t xml:space="preserve"> </w:t>
      </w:r>
      <w:r w:rsidRPr="00511005">
        <w:rPr>
          <w:rFonts w:ascii="Arial" w:eastAsia="Aptos" w:hAnsi="Arial" w:cs="Arial"/>
          <w:kern w:val="2"/>
          <w:szCs w:val="28"/>
          <w:lang w:val="uk-UA"/>
          <w14:ligatures w14:val="standardContextual"/>
        </w:rPr>
        <w:t xml:space="preserve">Воєнний стан в Україні суттєво вплинув на митну політику, зумовивши запровадження численних митних пільг для забезпечення обороноздатності, гуманітарної підтримки та імпорту критично важливих товарів. Законодавча база для цього була сформована як на національному, так і на міжнародному рівнях, однак її реалізація виявила низку проблем – нечіткість норм, різне тлумачення, зловживання та слабку координацію між органами. </w:t>
      </w:r>
    </w:p>
    <w:p w14:paraId="446F0742"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Для мінімізації правових ризиків та конфліктів необхідно вдосконалити нормативну базу, забезпечити прозорість процедур, налагодити комунікацію та посилити антикорупційний контроль. Системне реформування митної сфери, орієнтоване на євроінтеграцію та цифровізацію, є запорукою ефективного функціонування митних пільг як у період війни, так і в повоєнний час.</w:t>
      </w:r>
    </w:p>
    <w:p w14:paraId="72764BF6" w14:textId="77777777" w:rsidR="00220D3E" w:rsidRPr="00511005" w:rsidRDefault="00220D3E" w:rsidP="003A292D">
      <w:pPr>
        <w:spacing w:line="264" w:lineRule="auto"/>
        <w:ind w:firstLine="0"/>
        <w:rPr>
          <w:rFonts w:ascii="Arial" w:eastAsia="Times New Roman" w:hAnsi="Arial" w:cs="Arial"/>
          <w:szCs w:val="28"/>
          <w:lang w:val="uk-UA"/>
        </w:rPr>
      </w:pPr>
    </w:p>
    <w:p w14:paraId="3F4D062B" w14:textId="41DAC69A" w:rsidR="00220D3E" w:rsidRPr="00511005" w:rsidRDefault="007B2628" w:rsidP="007B2628">
      <w:pPr>
        <w:spacing w:line="264" w:lineRule="auto"/>
        <w:ind w:firstLine="0"/>
        <w:jc w:val="center"/>
        <w:rPr>
          <w:rFonts w:ascii="Arial" w:eastAsia="Aptos" w:hAnsi="Arial" w:cs="Arial"/>
          <w:b/>
          <w:bCs/>
          <w:kern w:val="2"/>
          <w:szCs w:val="28"/>
          <w:lang w:val="uk-UA"/>
          <w14:ligatures w14:val="standardContextual"/>
        </w:rPr>
      </w:pPr>
      <w:r w:rsidRPr="00511005">
        <w:rPr>
          <w:rFonts w:ascii="Arial" w:eastAsia="Aptos" w:hAnsi="Arial" w:cs="Arial"/>
          <w:b/>
          <w:bCs/>
          <w:kern w:val="2"/>
          <w:szCs w:val="28"/>
          <w:lang w:val="uk-UA"/>
          <w14:ligatures w14:val="standardContextual"/>
        </w:rPr>
        <w:t>Список використаних джерел</w:t>
      </w:r>
    </w:p>
    <w:p w14:paraId="08F26562" w14:textId="77777777" w:rsidR="00220D3E" w:rsidRPr="00511005" w:rsidRDefault="00220D3E" w:rsidP="003F6A5D">
      <w:pPr>
        <w:numPr>
          <w:ilvl w:val="0"/>
          <w:numId w:val="210"/>
        </w:numPr>
        <w:tabs>
          <w:tab w:val="left" w:pos="1134"/>
        </w:tabs>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lastRenderedPageBreak/>
        <w:t xml:space="preserve">Про внесення змін до Податкового кодексу України та інших законодавчих актів України щодо вдосконалення законодавства на період дії воєнного стану: Закон України від 24 березня 2022 р. URL: </w:t>
      </w:r>
      <w:hyperlink r:id="rId837" w:anchor="Text" w:history="1">
        <w:r w:rsidRPr="00511005">
          <w:rPr>
            <w:rFonts w:ascii="Arial" w:eastAsia="Aptos" w:hAnsi="Arial" w:cs="Arial"/>
            <w:kern w:val="2"/>
            <w:szCs w:val="28"/>
            <w:lang w:val="uk-UA"/>
            <w14:ligatures w14:val="standardContextual"/>
          </w:rPr>
          <w:t>https://zakon.rada.gov.ua/laws/show/2142-20#Text</w:t>
        </w:r>
      </w:hyperlink>
    </w:p>
    <w:p w14:paraId="56281833" w14:textId="77777777" w:rsidR="00220D3E" w:rsidRPr="00511005" w:rsidRDefault="00220D3E" w:rsidP="003F6A5D">
      <w:pPr>
        <w:numPr>
          <w:ilvl w:val="0"/>
          <w:numId w:val="210"/>
        </w:numPr>
        <w:tabs>
          <w:tab w:val="left" w:pos="1134"/>
        </w:tabs>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Єрмоленко О.І. Митне регулювання в умовах воєнного часу: правові та економічні аспекти. </w:t>
      </w:r>
      <w:r w:rsidRPr="00511005">
        <w:rPr>
          <w:rFonts w:ascii="Arial" w:eastAsia="Aptos" w:hAnsi="Arial" w:cs="Arial"/>
          <w:i/>
          <w:kern w:val="2"/>
          <w:szCs w:val="28"/>
          <w:lang w:val="uk-UA"/>
          <w14:ligatures w14:val="standardContextual"/>
        </w:rPr>
        <w:t>Науковий вісник Ужгородського національного університету</w:t>
      </w:r>
      <w:r w:rsidRPr="00511005">
        <w:rPr>
          <w:rFonts w:ascii="Arial" w:eastAsia="Aptos" w:hAnsi="Arial" w:cs="Arial"/>
          <w:kern w:val="2"/>
          <w:szCs w:val="28"/>
          <w:lang w:val="uk-UA"/>
          <w14:ligatures w14:val="standardContextual"/>
        </w:rPr>
        <w:t xml:space="preserve">. Серія: </w:t>
      </w:r>
      <w:r w:rsidRPr="00511005">
        <w:rPr>
          <w:rFonts w:ascii="Arial" w:eastAsia="Aptos" w:hAnsi="Arial" w:cs="Arial"/>
          <w:i/>
          <w:kern w:val="2"/>
          <w:szCs w:val="28"/>
          <w:lang w:val="uk-UA"/>
          <w14:ligatures w14:val="standardContextual"/>
        </w:rPr>
        <w:t>Право</w:t>
      </w:r>
      <w:r w:rsidRPr="00511005">
        <w:rPr>
          <w:rFonts w:ascii="Arial" w:eastAsia="Aptos" w:hAnsi="Arial" w:cs="Arial"/>
          <w:kern w:val="2"/>
          <w:szCs w:val="28"/>
          <w:lang w:val="uk-UA"/>
          <w14:ligatures w14:val="standardContextual"/>
        </w:rPr>
        <w:t>. 2023. Вип. 50(2). С. 78–85.</w:t>
      </w:r>
    </w:p>
    <w:p w14:paraId="5B352DD3" w14:textId="77777777" w:rsidR="00220D3E" w:rsidRPr="00511005" w:rsidRDefault="00220D3E" w:rsidP="003F6A5D">
      <w:pPr>
        <w:numPr>
          <w:ilvl w:val="0"/>
          <w:numId w:val="210"/>
        </w:numPr>
        <w:tabs>
          <w:tab w:val="left" w:pos="1134"/>
        </w:tabs>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Мельник В.О. Проблеми та перспективи митних пільг в умовах військового конфлікту. </w:t>
      </w:r>
      <w:r w:rsidRPr="00511005">
        <w:rPr>
          <w:rFonts w:ascii="Arial" w:eastAsia="Aptos" w:hAnsi="Arial" w:cs="Arial"/>
          <w:i/>
          <w:kern w:val="2"/>
          <w:szCs w:val="28"/>
          <w:lang w:val="uk-UA"/>
          <w14:ligatures w14:val="standardContextual"/>
        </w:rPr>
        <w:t>Юридичний вісник України</w:t>
      </w:r>
      <w:r w:rsidRPr="00511005">
        <w:rPr>
          <w:rFonts w:ascii="Arial" w:eastAsia="Aptos" w:hAnsi="Arial" w:cs="Arial"/>
          <w:kern w:val="2"/>
          <w:szCs w:val="28"/>
          <w:lang w:val="uk-UA"/>
          <w14:ligatures w14:val="standardContextual"/>
        </w:rPr>
        <w:t>. 2022. № 21(10). С. 34–40.</w:t>
      </w:r>
    </w:p>
    <w:p w14:paraId="222BD491" w14:textId="77777777" w:rsidR="00220D3E" w:rsidRPr="00511005" w:rsidRDefault="00220D3E" w:rsidP="003F6A5D">
      <w:pPr>
        <w:numPr>
          <w:ilvl w:val="0"/>
          <w:numId w:val="210"/>
        </w:numPr>
        <w:tabs>
          <w:tab w:val="left" w:pos="1134"/>
        </w:tabs>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Петриченко В.І. Митні пільги під час війни: юридичні виклики та шляхи удосконалення. </w:t>
      </w:r>
      <w:r w:rsidRPr="00511005">
        <w:rPr>
          <w:rFonts w:ascii="Arial" w:eastAsia="Aptos" w:hAnsi="Arial" w:cs="Arial"/>
          <w:i/>
          <w:kern w:val="2"/>
          <w:szCs w:val="28"/>
          <w:lang w:val="uk-UA"/>
          <w14:ligatures w14:val="standardContextual"/>
        </w:rPr>
        <w:t>Юридичний журнал України</w:t>
      </w:r>
      <w:r w:rsidRPr="00511005">
        <w:rPr>
          <w:rFonts w:ascii="Arial" w:eastAsia="Aptos" w:hAnsi="Arial" w:cs="Arial"/>
          <w:kern w:val="2"/>
          <w:szCs w:val="28"/>
          <w:lang w:val="uk-UA"/>
          <w14:ligatures w14:val="standardContextual"/>
        </w:rPr>
        <w:t>. 2021. № 8(6). С. 45–52.</w:t>
      </w:r>
    </w:p>
    <w:p w14:paraId="06867B26" w14:textId="77777777" w:rsidR="00220D3E" w:rsidRPr="00511005" w:rsidRDefault="00220D3E" w:rsidP="003F6A5D">
      <w:pPr>
        <w:numPr>
          <w:ilvl w:val="0"/>
          <w:numId w:val="210"/>
        </w:numPr>
        <w:tabs>
          <w:tab w:val="left" w:pos="1134"/>
        </w:tabs>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Шевченко А.І. Митна політика в Україні: зміни в умовах війни. </w:t>
      </w:r>
      <w:r w:rsidRPr="00511005">
        <w:rPr>
          <w:rFonts w:ascii="Arial" w:eastAsia="Aptos" w:hAnsi="Arial" w:cs="Arial"/>
          <w:i/>
          <w:kern w:val="2"/>
          <w:szCs w:val="28"/>
          <w:lang w:val="uk-UA"/>
          <w14:ligatures w14:val="standardContextual"/>
        </w:rPr>
        <w:t>Актуальні проблеми держави і права</w:t>
      </w:r>
      <w:r w:rsidRPr="00511005">
        <w:rPr>
          <w:rFonts w:ascii="Arial" w:eastAsia="Aptos" w:hAnsi="Arial" w:cs="Arial"/>
          <w:kern w:val="2"/>
          <w:szCs w:val="28"/>
          <w:lang w:val="uk-UA"/>
          <w14:ligatures w14:val="standardContextual"/>
        </w:rPr>
        <w:t>. 2020. Вип. 35(1). С. 123–129.</w:t>
      </w:r>
    </w:p>
    <w:p w14:paraId="702F0451" w14:textId="77777777" w:rsidR="00220D3E" w:rsidRPr="00511005" w:rsidRDefault="00220D3E" w:rsidP="003A292D">
      <w:pPr>
        <w:spacing w:line="264" w:lineRule="auto"/>
        <w:ind w:firstLine="0"/>
        <w:rPr>
          <w:rFonts w:ascii="Arial" w:eastAsia="Aptos" w:hAnsi="Arial" w:cs="Arial"/>
          <w:b/>
          <w:bCs/>
          <w:kern w:val="2"/>
          <w:szCs w:val="28"/>
          <w:lang w:val="uk-UA"/>
          <w14:ligatures w14:val="standardContextual"/>
        </w:rPr>
      </w:pPr>
    </w:p>
    <w:p w14:paraId="56C59B60" w14:textId="577D1CE5" w:rsidR="00220D3E" w:rsidRPr="00511005" w:rsidRDefault="007B2628"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b/>
          <w:bCs/>
          <w:i/>
          <w:kern w:val="2"/>
          <w:szCs w:val="28"/>
          <w:lang w:val="uk-UA"/>
          <w14:ligatures w14:val="standardContextual"/>
        </w:rPr>
        <w:t xml:space="preserve">Ключові слова: </w:t>
      </w:r>
      <w:r w:rsidR="00220D3E" w:rsidRPr="00511005">
        <w:rPr>
          <w:rFonts w:ascii="Arial" w:eastAsia="Aptos" w:hAnsi="Arial" w:cs="Arial"/>
          <w:kern w:val="2"/>
          <w:szCs w:val="28"/>
          <w:lang w:val="uk-UA"/>
          <w14:ligatures w14:val="standardContextual"/>
        </w:rPr>
        <w:t>війна, митні пільги, митне регулювання, правова невизначеність, цифровізація.</w:t>
      </w:r>
    </w:p>
    <w:p w14:paraId="75E686C4" w14:textId="445C24CE" w:rsidR="00220D3E" w:rsidRPr="00511005" w:rsidRDefault="007B2628"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b/>
          <w:bCs/>
          <w:i/>
          <w:kern w:val="2"/>
          <w:szCs w:val="28"/>
          <w:lang w:val="uk-UA"/>
          <w14:ligatures w14:val="standardContextual"/>
        </w:rPr>
        <w:t xml:space="preserve">Key words: </w:t>
      </w:r>
      <w:r w:rsidR="00220D3E" w:rsidRPr="00511005">
        <w:rPr>
          <w:rFonts w:ascii="Arial" w:eastAsia="Aptos" w:hAnsi="Arial" w:cs="Arial"/>
          <w:kern w:val="2"/>
          <w:szCs w:val="28"/>
          <w:lang w:val="uk-UA"/>
          <w14:ligatures w14:val="standardContextual"/>
        </w:rPr>
        <w:t>war, customs benefits, customs regulation, legal uncertainty, digitalization.</w:t>
      </w:r>
    </w:p>
    <w:p w14:paraId="27CD05B1" w14:textId="51932A9F" w:rsidR="00220D3E" w:rsidRPr="00511005" w:rsidRDefault="007B2628" w:rsidP="003A292D">
      <w:pPr>
        <w:spacing w:line="264" w:lineRule="auto"/>
        <w:ind w:firstLine="0"/>
        <w:rPr>
          <w:rFonts w:ascii="Arial" w:eastAsia="Aptos" w:hAnsi="Arial" w:cs="Arial"/>
          <w:i/>
          <w:iCs/>
          <w:kern w:val="2"/>
          <w:szCs w:val="28"/>
          <w:lang w:val="uk-UA"/>
          <w14:ligatures w14:val="standardContextual"/>
        </w:rPr>
      </w:pPr>
      <w:r w:rsidRPr="00511005">
        <w:rPr>
          <w:rFonts w:ascii="Arial" w:eastAsia="Aptos" w:hAnsi="Arial" w:cs="Arial"/>
          <w:b/>
          <w:i/>
          <w:iCs/>
          <w:kern w:val="2"/>
          <w:szCs w:val="28"/>
          <w:lang w:val="uk-UA"/>
          <w14:ligatures w14:val="standardContextual"/>
        </w:rPr>
        <w:t xml:space="preserve">Науковий керівник: </w:t>
      </w:r>
      <w:r w:rsidR="00220D3E" w:rsidRPr="00511005">
        <w:rPr>
          <w:rFonts w:ascii="Arial" w:eastAsia="Aptos" w:hAnsi="Arial" w:cs="Arial"/>
          <w:i/>
          <w:iCs/>
          <w:kern w:val="2"/>
          <w:szCs w:val="28"/>
          <w:lang w:val="uk-UA"/>
          <w14:ligatures w14:val="standardContextual"/>
        </w:rPr>
        <w:t>к.ю.н., доцент Коваль Н. О.</w:t>
      </w:r>
    </w:p>
    <w:p w14:paraId="7F600DC5" w14:textId="77777777" w:rsidR="00220D3E" w:rsidRPr="00511005" w:rsidRDefault="00220D3E" w:rsidP="003A292D">
      <w:pPr>
        <w:spacing w:line="264" w:lineRule="auto"/>
        <w:ind w:firstLine="0"/>
        <w:jc w:val="center"/>
        <w:rPr>
          <w:rFonts w:ascii="Arial" w:eastAsia="Calibri" w:hAnsi="Arial" w:cs="Arial"/>
          <w:b/>
          <w:i/>
          <w:szCs w:val="28"/>
          <w:lang w:val="uk-UA"/>
        </w:rPr>
      </w:pPr>
    </w:p>
    <w:p w14:paraId="22FD40CB" w14:textId="77777777" w:rsidR="00220D3E" w:rsidRPr="00511005" w:rsidRDefault="00220D3E" w:rsidP="003A292D">
      <w:pPr>
        <w:spacing w:line="264" w:lineRule="auto"/>
        <w:ind w:firstLine="0"/>
        <w:jc w:val="center"/>
        <w:rPr>
          <w:rFonts w:ascii="Arial" w:eastAsia="Calibri" w:hAnsi="Arial" w:cs="Arial"/>
          <w:b/>
          <w:i/>
          <w:szCs w:val="28"/>
          <w:lang w:val="uk-UA"/>
        </w:rPr>
      </w:pPr>
    </w:p>
    <w:p w14:paraId="68AB79E5" w14:textId="77777777" w:rsidR="00220D3E" w:rsidRPr="00511005" w:rsidRDefault="00220D3E"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Сідельникова Єлизавета Русланівна</w:t>
      </w:r>
    </w:p>
    <w:p w14:paraId="15703157" w14:textId="2FF10892" w:rsidR="00220D3E"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4-го курсу </w:t>
      </w:r>
      <w:r w:rsidR="001B7B25" w:rsidRPr="00511005">
        <w:rPr>
          <w:rFonts w:ascii="Arial" w:eastAsia="Calibri" w:hAnsi="Arial" w:cs="Arial"/>
          <w:szCs w:val="28"/>
          <w:lang w:val="uk-UA"/>
        </w:rPr>
        <w:t>факультету судового та міжнародного права</w:t>
      </w:r>
    </w:p>
    <w:p w14:paraId="0C21A6B5" w14:textId="584BC212" w:rsidR="00220D3E"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020527E7" w14:textId="77777777" w:rsidR="00220D3E" w:rsidRPr="00511005" w:rsidRDefault="00220D3E" w:rsidP="003A292D">
      <w:pPr>
        <w:spacing w:line="264" w:lineRule="auto"/>
        <w:ind w:firstLine="0"/>
        <w:jc w:val="center"/>
        <w:rPr>
          <w:rFonts w:ascii="Arial" w:eastAsia="Calibri" w:hAnsi="Arial" w:cs="Arial"/>
          <w:szCs w:val="28"/>
          <w:lang w:val="uk-UA"/>
        </w:rPr>
      </w:pPr>
    </w:p>
    <w:p w14:paraId="1AD87A99" w14:textId="77777777" w:rsidR="00220D3E" w:rsidRPr="00511005" w:rsidRDefault="00220D3E"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РОЛЬ ЕКСПЕРТИЗ У ВИРІШЕННІ МИТНИХ СПОРІВ</w:t>
      </w:r>
    </w:p>
    <w:p w14:paraId="7DE40377"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Митна система України має важливе значення для захисту національних інтересів та економічної безпеки держави. Вона є ключовим елементом загальної митної структури, яка демонструє етапи розвитку держави, специфіку її фінансової системи, стан економіки, а також напрямки зовнішньої та внутрішньої політики [2, c. 26]. </w:t>
      </w:r>
    </w:p>
    <w:p w14:paraId="2F65F2CE"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Митний контроль є центральним елементом митного права та однією з головних функцій митних органів та відіграє ключову роль у здійсненні митної політики, спрямованої на захист конституційних цінностей – прав і свобод громадян, а також на зміцнення національної безпеки. Науковці визначають, що поняття «митний контроль» має широкий спектр трактувань, що свідчить про його багатогранність у правовій науці. </w:t>
      </w:r>
    </w:p>
    <w:p w14:paraId="75208500"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Засобом митного контролю можна визначити митні експертизи. У сучасній доктрині адміністративного права досі не існує єдиного підходу до визначення сутності митних експертиз. В наукових працях їх розглядають як професійну діяльність державних службовців (митних експертів), яка </w:t>
      </w:r>
      <w:r w:rsidRPr="00511005">
        <w:rPr>
          <w:rFonts w:ascii="Arial" w:eastAsia="Times New Roman" w:hAnsi="Arial" w:cs="Arial"/>
          <w:szCs w:val="28"/>
          <w:lang w:val="uk-UA" w:eastAsia="ru-RU"/>
        </w:rPr>
        <w:lastRenderedPageBreak/>
        <w:t>ґрунтується на чинному законодавстві та виконанні ними службових повноважень.</w:t>
      </w:r>
    </w:p>
    <w:p w14:paraId="7B9B4BBB"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Деякі дослідники пропонують вузьке тлумачення митної експертизи, розглядаючи її лише як складник митного контролю. Однак така позиція не враховує сучасні реалії міжнародної торгівлі, зокрема це глобалізаційні процеси у торговельній сфері, необхідність протидії організованій злочинності та принципи вільного товарообігу, які є основою європейської економічної інтеграції [3, c. 54].</w:t>
      </w:r>
    </w:p>
    <w:p w14:paraId="0FB53328" w14:textId="47987754"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Також митну експертизу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розглядають як спеціалізований дослідницький процес, який поєднує наукові методи з практичним застосуванням. Кваліфіковані фахівці проводять такі дослідження для формування об’єктивних та професійно-обґрунтованих висновків щодо достовірності поданих документів та відповідності товарів заявленим характеристикам. Ця практика є загальноприйнятим стандартом у країнах ЄС та відповідає принципам Митного Союзу [4].</w:t>
      </w:r>
    </w:p>
    <w:p w14:paraId="35784080"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Необхідно зазначити й те, що митні експертизи також регулюються Митним кодексом України, а саме статтями 356 та 357, Главою 50. Митні експертизи - Розділом XI «Митний контроль» [1].</w:t>
      </w:r>
    </w:p>
    <w:p w14:paraId="614F4677"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Результати митих експертиз мають вирішальне значення для контролю митної вартості товарів, захисту економічних інтересів держави та ефективної боротьби з контрабандою, а сама сутність даного поняття характеризується комплексним науково-практичним аналізом товарів, що передбачає детальне дослідження їх складу, вивчення фізико-хімічних властивостей та перевірку відповідності заявленим характеристикам</w:t>
      </w:r>
    </w:p>
    <w:p w14:paraId="394F2683"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Основне призначення таких досліджень - захист національного ринку від некондиційної продукції та забезпечення державної безпеки [3, c. 55].</w:t>
      </w:r>
    </w:p>
    <w:p w14:paraId="2C853CEB"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Слід брати до уваги, що кожна митна експертиза проводиться з урахуванням індивідуальних характеристик відповідного товару. Наприклад, під час митної експертизи імпортованих комп’ютерних столів аналізуються такі параметри, як зносостійкість покриття, стійкість оздоблювально-захисних шарів до утворення плям, а також здатність конструкції протистояти перекиданню [5].</w:t>
      </w:r>
    </w:p>
    <w:p w14:paraId="0E7EC83C"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 огляду на складну структуру та багатоаспектність сучасних митних процедур, авторська пропозиція щодо уточнення класифікації митних експертиз набуває особливого значення для адекватного розуміння їх застосування у процесі митного контролю.</w:t>
      </w:r>
    </w:p>
    <w:p w14:paraId="30D45680"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Зокрема, виокремлюють класифікацію експертиз за об’єктом дослідження, яка охоплює різні категорії, відповідні до типу продукції та її характеристик: експертизу паливно-мастильних матеріалів, дослідження природного газу, експертизу електроенергії та енергії з альтернативних джерел, оцінку дорогоцінного каміння та ювелірних виробів, митно-мистецтвознавчу експертизу художніх творів, таких як картини, скульптури, гравюри, аналіз </w:t>
      </w:r>
      <w:r w:rsidRPr="00511005">
        <w:rPr>
          <w:rFonts w:ascii="Arial" w:eastAsia="Times New Roman" w:hAnsi="Arial" w:cs="Arial"/>
          <w:szCs w:val="28"/>
          <w:lang w:val="uk-UA" w:eastAsia="ru-RU"/>
        </w:rPr>
        <w:lastRenderedPageBreak/>
        <w:t>антикваріату, зокрема ікон і стародруків, експертизу товарів, що ввозяться для переробки, а також інші види експертиз, залежно від специфіки продукції, що переміщується через митний кордон [6, c. 85].</w:t>
      </w:r>
    </w:p>
    <w:p w14:paraId="5D0748E3"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Якість митної експертизи значною мірою визначається ретельністю підготовки плану її виконання. Необхідною умовою є чітке планування, яке включає поетапне виконання досліджень, належне методичне забезпечення та технічну підтримку. Ключовим елементом можна виокремити професійний досвід експерта, його вміння, наявність подібних попередніх звітів і, за потреби, можливість залучення інших спеціалістів чи установ для проведення глибокого аналізу.</w:t>
      </w:r>
    </w:p>
    <w:p w14:paraId="7B8404E0"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Хоча конкретні дії під час митної експертизи можуть відрізнятися в залежності від характеру товару та сфери застосування, але загальний алгоритм проведення дослідження є уніфікованим, тобто він охоплює всі необхідні етапи для перевірки відповідності продукції чинним вимогам, зокрема з екологічної та експлуатаційної безпеки. Такий підхід забезпечує дотримання міжнародних стандартів якості.</w:t>
      </w:r>
    </w:p>
    <w:p w14:paraId="12BC1278"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випадку виникнення непорозумінь щодо поставлених завдань, експерт має право звернутися до замовника за уточненнями, також може згрупувати питання, щоб оптимізувати хід дослідження.</w:t>
      </w:r>
    </w:p>
    <w:p w14:paraId="541D3A44"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завершальному розділі звіту експерта підсумовується вся отримана інформація. Висновки формуються у вигляді відповідей на кожне окреме запитання, при цьому зазначається, якщо на певні питання не вдалося відповісти через об’єктивні обставини. Структура висновків повинна йти від конкретного до загального, із акцентом на головні результати аналізу.</w:t>
      </w:r>
    </w:p>
    <w:p w14:paraId="00513725"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Для експертиз характерні два види висновків: однозначний – у випадках, коли вдалося встановити точну відповідність, та умовний – якщо ідентифікація ускладнена або неможлива. Формулювання висновків може бути як у вигляді нумерованих тез, так і в компактній формі, залежно від вимог до звітності та специфіки експертизи.</w:t>
      </w:r>
    </w:p>
    <w:p w14:paraId="46BD4442"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Центральну роль у митній експертизі виконує Спеціалізована лабораторія з питань експертизи та досліджень Державної митної служби (СЛЕД). Вона уповноважена здійснювати наукові та прикладні дослідження в галузі митної й податкової справи, включаючи первинну оцінку вилученого або конфіскованого майна. Це є важливою складовою боротьби з правопорушеннями у вказаних сферах. Відповідно до статті 515 Митного кодексу України, при потребі можливе залучення незалежних експертів з інших організацій [1].</w:t>
      </w:r>
    </w:p>
    <w:p w14:paraId="65F06C32"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Згідно з процедурою, після отримання зразків товарів від підприємця митний орган проводить їхню експертизу. На основі результатів ухвалюються рішення щодо класифікації продукції. При цьому витрати на експертизу повністю покладаються на суб’єкта господарювання, який передає зразки.</w:t>
      </w:r>
    </w:p>
    <w:p w14:paraId="5373A8AF" w14:textId="77777777" w:rsidR="00220D3E" w:rsidRPr="00511005" w:rsidRDefault="00220D3E"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Підсумовуючи усе вищевикладене, можна зробити висновок, що митна експертиза виступає як специфічне науково-практичне дослідження, яке здійснюється з метою формування обґрунтованого, неупередженого та професійного висновку щодо достовірності поданої інформації та відповідності документів об’єктам митного контролю. Її результати мають вагоме значення для забезпечення фіскальної функції митниці, зокрема через перевірку митної вартості товарів та ефективний захист економічних інтересів держави, включаючи протидію контрабандній діяльності. Митні експертизи відіграють визначальну роль у процесі врегулювання спорів у сфері митного регулювання, адже їхні результати нерідко стають основою для ухвалення обґрунтованих рішень як митними структурами, так і судовими чи іншими компетентними органами.</w:t>
      </w:r>
    </w:p>
    <w:p w14:paraId="171B1858" w14:textId="77777777" w:rsidR="00220D3E" w:rsidRPr="00511005" w:rsidRDefault="00220D3E" w:rsidP="003A292D">
      <w:pPr>
        <w:spacing w:line="264" w:lineRule="auto"/>
        <w:ind w:firstLine="0"/>
        <w:jc w:val="center"/>
        <w:rPr>
          <w:rFonts w:ascii="Arial" w:eastAsia="Calibri" w:hAnsi="Arial" w:cs="Arial"/>
          <w:b/>
          <w:szCs w:val="28"/>
          <w:lang w:val="uk-UA"/>
        </w:rPr>
      </w:pPr>
    </w:p>
    <w:p w14:paraId="0581A87C" w14:textId="3D039A97" w:rsidR="00220D3E"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5A295F95" w14:textId="77777777" w:rsidR="00220D3E" w:rsidRPr="00511005" w:rsidRDefault="00220D3E" w:rsidP="003F6A5D">
      <w:pPr>
        <w:numPr>
          <w:ilvl w:val="0"/>
          <w:numId w:val="208"/>
        </w:numPr>
        <w:tabs>
          <w:tab w:val="left" w:pos="1276"/>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Митний кодекс України від 13.03.2012 р. № 4495-VI. URL: </w:t>
      </w:r>
      <w:hyperlink r:id="rId838" w:anchor="doc_info" w:history="1">
        <w:r w:rsidRPr="00511005">
          <w:rPr>
            <w:rFonts w:ascii="Arial" w:eastAsia="Calibri" w:hAnsi="Arial" w:cs="Arial"/>
            <w:szCs w:val="28"/>
            <w:lang w:val="uk-UA"/>
          </w:rPr>
          <w:t>https://zakon.rada.gov.ua/laws/show/4495-17#doc_info</w:t>
        </w:r>
      </w:hyperlink>
      <w:r w:rsidRPr="00511005">
        <w:rPr>
          <w:rFonts w:ascii="Arial" w:eastAsia="Calibri" w:hAnsi="Arial" w:cs="Arial"/>
          <w:szCs w:val="28"/>
          <w:lang w:val="uk-UA"/>
        </w:rPr>
        <w:t xml:space="preserve"> </w:t>
      </w:r>
    </w:p>
    <w:p w14:paraId="0044BC5C" w14:textId="77777777" w:rsidR="00220D3E" w:rsidRPr="00511005" w:rsidRDefault="00220D3E" w:rsidP="003F6A5D">
      <w:pPr>
        <w:numPr>
          <w:ilvl w:val="0"/>
          <w:numId w:val="208"/>
        </w:numPr>
        <w:tabs>
          <w:tab w:val="left" w:pos="1276"/>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Виговська Н. Стратегічні ініціативи щодо розвитку митного контролю у системі забезпечення фінансової безпеки держави. </w:t>
      </w:r>
      <w:r w:rsidRPr="00511005">
        <w:rPr>
          <w:rFonts w:ascii="Arial" w:eastAsia="Calibri" w:hAnsi="Arial" w:cs="Arial"/>
          <w:i/>
          <w:szCs w:val="28"/>
          <w:lang w:val="uk-UA"/>
        </w:rPr>
        <w:t>Облік і фінанси</w:t>
      </w:r>
      <w:r w:rsidRPr="00511005">
        <w:rPr>
          <w:rFonts w:ascii="Arial" w:eastAsia="Calibri" w:hAnsi="Arial" w:cs="Arial"/>
          <w:szCs w:val="28"/>
          <w:lang w:val="uk-UA"/>
        </w:rPr>
        <w:t>. 2021. № 2. С. 25-34.</w:t>
      </w:r>
    </w:p>
    <w:p w14:paraId="67FAD81B" w14:textId="77777777" w:rsidR="00220D3E" w:rsidRPr="00511005" w:rsidRDefault="00220D3E" w:rsidP="003F6A5D">
      <w:pPr>
        <w:numPr>
          <w:ilvl w:val="0"/>
          <w:numId w:val="208"/>
        </w:numPr>
        <w:tabs>
          <w:tab w:val="left" w:pos="1276"/>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Бойко О. В. Митна експертиза в Україні: проблемні аспекти. </w:t>
      </w:r>
      <w:r w:rsidRPr="00511005">
        <w:rPr>
          <w:rFonts w:ascii="Arial" w:eastAsia="Calibri" w:hAnsi="Arial" w:cs="Arial"/>
          <w:i/>
          <w:szCs w:val="28"/>
          <w:lang w:val="uk-UA"/>
        </w:rPr>
        <w:t>Право та державне управління</w:t>
      </w:r>
      <w:r w:rsidRPr="00511005">
        <w:rPr>
          <w:rFonts w:ascii="Arial" w:eastAsia="Calibri" w:hAnsi="Arial" w:cs="Arial"/>
          <w:szCs w:val="28"/>
          <w:lang w:val="uk-UA"/>
        </w:rPr>
        <w:t>. 2022. № 3. С. 53-60.</w:t>
      </w:r>
    </w:p>
    <w:p w14:paraId="1D4176FA" w14:textId="77777777" w:rsidR="00220D3E" w:rsidRPr="00511005" w:rsidRDefault="00220D3E" w:rsidP="003F6A5D">
      <w:pPr>
        <w:numPr>
          <w:ilvl w:val="0"/>
          <w:numId w:val="208"/>
        </w:numPr>
        <w:tabs>
          <w:tab w:val="left" w:pos="1276"/>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Авраменко Н., Кульганік О. Роль митних експертиз у зовнішньоекономічній діяльності суб’єктів підприємництва. </w:t>
      </w:r>
      <w:r w:rsidRPr="00511005">
        <w:rPr>
          <w:rFonts w:ascii="Arial" w:eastAsia="Calibri" w:hAnsi="Arial" w:cs="Arial"/>
          <w:i/>
          <w:szCs w:val="28"/>
          <w:lang w:val="uk-UA"/>
        </w:rPr>
        <w:t>Економіка та суспільство</w:t>
      </w:r>
      <w:r w:rsidRPr="00511005">
        <w:rPr>
          <w:rFonts w:ascii="Arial" w:eastAsia="Calibri" w:hAnsi="Arial" w:cs="Arial"/>
          <w:szCs w:val="28"/>
          <w:lang w:val="uk-UA"/>
        </w:rPr>
        <w:t xml:space="preserve">. 2023. Вип. 57. </w:t>
      </w:r>
      <w:hyperlink r:id="rId839" w:history="1">
        <w:r w:rsidRPr="00511005">
          <w:rPr>
            <w:rFonts w:ascii="Arial" w:eastAsia="Calibri" w:hAnsi="Arial" w:cs="Arial"/>
            <w:szCs w:val="28"/>
            <w:lang w:val="uk-UA"/>
          </w:rPr>
          <w:t>https://doi.org/10.32782/2524-0072/2023-57-21</w:t>
        </w:r>
      </w:hyperlink>
    </w:p>
    <w:p w14:paraId="737E1DA6" w14:textId="77777777" w:rsidR="00220D3E" w:rsidRPr="00511005" w:rsidRDefault="00220D3E" w:rsidP="003F6A5D">
      <w:pPr>
        <w:numPr>
          <w:ilvl w:val="0"/>
          <w:numId w:val="208"/>
        </w:numPr>
        <w:tabs>
          <w:tab w:val="left" w:pos="1276"/>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Герчаківський С.Д. Митна справа: навч. посіб. Тернопіль: Економічна думка, 2020. 290 с.</w:t>
      </w:r>
    </w:p>
    <w:p w14:paraId="4844586C" w14:textId="77777777" w:rsidR="00220D3E" w:rsidRPr="00511005" w:rsidRDefault="00220D3E" w:rsidP="003F6A5D">
      <w:pPr>
        <w:numPr>
          <w:ilvl w:val="0"/>
          <w:numId w:val="208"/>
        </w:numPr>
        <w:tabs>
          <w:tab w:val="left" w:pos="1276"/>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Кузьминчук Н.В. Теоретико-методичний інструментарій проведення екологічної митної експертизи товарів. </w:t>
      </w:r>
      <w:r w:rsidRPr="00511005">
        <w:rPr>
          <w:rFonts w:ascii="Arial" w:eastAsia="Calibri" w:hAnsi="Arial" w:cs="Arial"/>
          <w:i/>
          <w:szCs w:val="28"/>
          <w:lang w:val="uk-UA"/>
        </w:rPr>
        <w:t>Вісник економіки транспорту і промисловості</w:t>
      </w:r>
      <w:r w:rsidRPr="00511005">
        <w:rPr>
          <w:rFonts w:ascii="Arial" w:eastAsia="Calibri" w:hAnsi="Arial" w:cs="Arial"/>
          <w:szCs w:val="28"/>
          <w:lang w:val="uk-UA"/>
        </w:rPr>
        <w:t>. 2020. № 69. С. 83-92.</w:t>
      </w:r>
    </w:p>
    <w:p w14:paraId="01010F77" w14:textId="77777777" w:rsidR="00220D3E" w:rsidRPr="00511005" w:rsidRDefault="00220D3E" w:rsidP="003A292D">
      <w:pPr>
        <w:spacing w:line="264" w:lineRule="auto"/>
        <w:ind w:firstLine="0"/>
        <w:rPr>
          <w:rFonts w:ascii="Arial" w:eastAsia="Times New Roman" w:hAnsi="Arial" w:cs="Arial"/>
          <w:b/>
          <w:bCs/>
          <w:szCs w:val="28"/>
          <w:lang w:val="uk-UA"/>
        </w:rPr>
      </w:pPr>
    </w:p>
    <w:p w14:paraId="20BAEEBF" w14:textId="71877C66" w:rsidR="00220D3E"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220D3E" w:rsidRPr="00511005">
        <w:rPr>
          <w:rFonts w:ascii="Arial" w:eastAsia="Times New Roman" w:hAnsi="Arial" w:cs="Arial"/>
          <w:szCs w:val="28"/>
          <w:lang w:val="uk-UA"/>
        </w:rPr>
        <w:t>митна експертиза, митна система, митні органи, митний контроль, митний спір.</w:t>
      </w:r>
    </w:p>
    <w:p w14:paraId="3E65D6CD" w14:textId="07EB6783" w:rsidR="00220D3E"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220D3E" w:rsidRPr="00511005">
        <w:rPr>
          <w:rFonts w:ascii="Arial" w:eastAsia="Times New Roman" w:hAnsi="Arial" w:cs="Arial"/>
          <w:szCs w:val="28"/>
          <w:lang w:val="uk-UA"/>
        </w:rPr>
        <w:t>customs expertise, customs system, customs authorities, customs control, customs dispute.</w:t>
      </w:r>
    </w:p>
    <w:p w14:paraId="63EE4B67" w14:textId="714B48BC" w:rsidR="00220D3E" w:rsidRPr="00511005" w:rsidRDefault="007B2628" w:rsidP="003A292D">
      <w:pPr>
        <w:spacing w:line="264" w:lineRule="auto"/>
        <w:ind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220D3E" w:rsidRPr="00511005">
        <w:rPr>
          <w:rFonts w:ascii="Arial" w:eastAsia="Calibri" w:hAnsi="Arial" w:cs="Arial"/>
          <w:bCs/>
          <w:i/>
          <w:iCs/>
          <w:szCs w:val="28"/>
          <w:lang w:val="uk-UA"/>
        </w:rPr>
        <w:t>к.ю.н., доцент Батанова Л. О.</w:t>
      </w:r>
    </w:p>
    <w:p w14:paraId="47CF972B" w14:textId="77777777" w:rsidR="00220D3E" w:rsidRPr="00511005" w:rsidRDefault="00220D3E" w:rsidP="003A292D">
      <w:pPr>
        <w:spacing w:line="264" w:lineRule="auto"/>
        <w:ind w:firstLine="0"/>
        <w:rPr>
          <w:rFonts w:ascii="Arial" w:eastAsia="Aptos" w:hAnsi="Arial" w:cs="Arial"/>
          <w:i/>
          <w:iCs/>
          <w:kern w:val="2"/>
          <w:szCs w:val="28"/>
          <w:lang w:val="uk-UA"/>
          <w14:ligatures w14:val="standardContextual"/>
        </w:rPr>
      </w:pPr>
    </w:p>
    <w:p w14:paraId="01E723EB" w14:textId="77777777" w:rsidR="00220D3E" w:rsidRPr="00511005" w:rsidRDefault="00220D3E"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Слободян Уляна Сергіївна</w:t>
      </w:r>
    </w:p>
    <w:p w14:paraId="1F07579E" w14:textId="6BC0995E"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студентка 1-го курсу магістратури</w:t>
      </w:r>
    </w:p>
    <w:p w14:paraId="77B8FE92"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F0B0D65"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666CD3E" w14:textId="77777777" w:rsidR="00220D3E" w:rsidRPr="00511005" w:rsidRDefault="00220D3E" w:rsidP="003A292D">
      <w:pPr>
        <w:spacing w:line="264" w:lineRule="auto"/>
        <w:ind w:firstLine="0"/>
        <w:jc w:val="center"/>
        <w:rPr>
          <w:rFonts w:ascii="Arial" w:eastAsia="Calibri" w:hAnsi="Arial" w:cs="Arial"/>
          <w:b/>
          <w:szCs w:val="28"/>
          <w:lang w:val="uk-UA"/>
        </w:rPr>
      </w:pPr>
    </w:p>
    <w:p w14:paraId="40DC9C04" w14:textId="77777777" w:rsidR="00220D3E" w:rsidRPr="00511005" w:rsidRDefault="00220D3E"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lastRenderedPageBreak/>
        <w:t>МІЖНАРОДНО-ПРАВОВІ ОСНОВИ СТВОРЕННЯ МОРСЬКИХ ГУМАНІТАРНИХ КОРИДОРІВ В УМОВАХ ЗБРОЙНИХ КОНФЛІКТІВ: ПРИКЛАД РОСІЙСЬКО-УКРАЇНСЬКОЇ ВІЙНИ</w:t>
      </w:r>
    </w:p>
    <w:p w14:paraId="6A5A0CC8"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сучасних умовах збройних конфліктів, зокрема на прикладі російсько-української війни, особливої ваги набуває питання безпечного забезпечення гуманітарних потреб цивільного населення. Блокування портів, знищення торговельного флоту, замінування морських шляхів – усе це створює реальні загрози для доставки продовольства, медикаментів, евакуації та міжнародної допомоги. Саме тому створення і правове врегулювання морських гуманітарних коридорів стало одним з ключових викликів сучасного міжнародного гуманітарного права.</w:t>
      </w:r>
    </w:p>
    <w:p w14:paraId="1BA951DD"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Російсько-українська війна засвідчила прогалини у механізмах реалізації таких коридорів у морському просторі: відсутність чітких процедур, гарантій безпеки, міжнародного контролю. Ці обставини вимагають оновлення підходів до застосування норм морського та гуманітарного права, а також перегляду ролі міжнародних організацій у захисті цивільного населення.</w:t>
      </w:r>
    </w:p>
    <w:p w14:paraId="49B652C4"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Таким чином, дослідження міжнародно-правових основ створення морських гуманітарних коридорів є не лише актуальним, а й необхідним кроком для збереження життя, дотримання прав людини та стабілізації гуманітарної ситуації в зонах бойових дій.</w:t>
      </w:r>
    </w:p>
    <w:p w14:paraId="72920DF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Морські гуманітарні коридори – це встановлені маршрути в морському просторі, які дозволяють безпечне переміщення цивільних суден, евакуацію мирного населення або транспортування гуманітарної допомоги під час збройних конфліктів [1]. У контексті повномасштабної агресії Російської Федерації проти України, проблема створення та захисту таких коридорів набула безпрецедентної ваги.</w:t>
      </w:r>
    </w:p>
    <w:p w14:paraId="682F3BC9"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Правовою основою створення морських гуманітарних коридорів є низка міжнародних нормативно-правових актів.</w:t>
      </w:r>
    </w:p>
    <w:p w14:paraId="7715738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Перш за все, варто згадати Женевські конвенції та Додаткові протоколи. Згідно з Додатковим протоколом І до Женевських конвенцій 1977 року (ст. 70–71), гуманітарна допомога має здійснюватися за згодою держав, але вона не повинна затримуватись без обґрунтованих причин. Водночас агресор не може зловживати правом контролю для блокування доступу допомоги [2].</w:t>
      </w:r>
    </w:p>
    <w:p w14:paraId="0CFEA06C"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Не менш важливою є Конвенція ООН з морського права (1982). Стаття 18 UNCLOS передбачає право мирного проходу, яке може мати значення у створенні гуманітарних морських коридорів, зокрема через територіальні води. Також ст. 89 і 90 гарантують свободу судноплавства в міжнародних водах, що має вирішальне значення для проходу гуманітарних суден у періоди війни[3].</w:t>
      </w:r>
    </w:p>
    <w:p w14:paraId="1F5D0BB4"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Створення гуманітарних коридорів може бути санкціоноване рішеннями Ради Безпеки ООН відповідно до статуту ООН (розділ VII), що дає міжнародно-правову легітимацію їх охорони.</w:t>
      </w:r>
    </w:p>
    <w:p w14:paraId="4F96C24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 початку повномасштабного вторгнення РФ у лютому 2022 року Чорне море частково стало зоною бойових дій. Росія оголосила морську блокаду українських портів, що спричинило гуманітарну кризу та глобальну продовольчу нестачу, адже Україна – один з найбільших експортерів зерна.</w:t>
      </w:r>
    </w:p>
    <w:p w14:paraId="65A7AEA6"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липні 2022 року за посередництва ООН і Туреччини було погоджено Ініціативу про безпечне транспортування зерна та продуктів харчування з українських портів (зернова угода). Вона стала практичним прикладом створення тимчасового морського гуманітарного коридору в умовах активного збройного конфлікту. Попри успішне вивезення мільйонів тонн зерна, РФ згодом вийшла з угоди, що вкотре поставило під загрозу гуманітарні потоки та міжнародну безпеку.</w:t>
      </w:r>
    </w:p>
    <w:p w14:paraId="6CE4117C"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Серед серйозних проблем залишається неврегульованість процедур створення коридорів без згоди обох сторін конфлікту. Також проблема довіри – сторони часто підозрюють одна одну у використанні коридорів для військових цілей. Відсутність ефективного механізму контролю та гарантій безпеки для суден спричиняють чимало проблем у даній сфері.</w:t>
      </w:r>
    </w:p>
    <w:p w14:paraId="047FB391"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Задля удосконалення вищевказаних проблем слід прийняти міжнародні стандарти щодо створення та моніторингу гуманітарних морських коридорів. Також ефективним буде розширення повноважень міжнародних організацій, зокрема Міжнародного комітету Червоного Хреста (МКЧХ), у координації морських гуманітарних операцій та залучення нейтральних третіх сторін для технічного нагляду за проходом суден та недопущення військових маніпуляцій.</w:t>
      </w:r>
    </w:p>
    <w:p w14:paraId="32187C59"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Морські гуманітарні коридори — це важливий інструмент захисту цивільного населення й забезпечення гуманітарної допомоги під час воєнних дій. У випадку російсько-української війни механізми їх створення продемонстрували як потенціал, так і вразливість. Потреба в чітких, зобов’язуючих міжнародно-правових нормах у цій сфері є очевидною.</w:t>
      </w:r>
    </w:p>
    <w:p w14:paraId="70671E6C"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Україна, опинившись у центрі морської безпекової кризи, фактично стала майданчиком для розробки нових підходів до морського гуманітарного права. Уроки цієї війни мають стати основою для вдосконалення глобальної системи реагування на подібні виклики у майбутньому.</w:t>
      </w:r>
    </w:p>
    <w:p w14:paraId="3F070900" w14:textId="77777777" w:rsidR="00220D3E" w:rsidRPr="00511005" w:rsidRDefault="00220D3E" w:rsidP="003A292D">
      <w:pPr>
        <w:spacing w:line="264" w:lineRule="auto"/>
        <w:ind w:firstLine="0"/>
        <w:rPr>
          <w:rFonts w:ascii="Arial" w:eastAsia="Calibri" w:hAnsi="Arial" w:cs="Arial"/>
          <w:szCs w:val="28"/>
          <w:lang w:val="uk-UA"/>
        </w:rPr>
      </w:pPr>
    </w:p>
    <w:p w14:paraId="0BF110E8" w14:textId="33956FD1" w:rsidR="00220D3E"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A2247D5" w14:textId="77777777" w:rsidR="00220D3E" w:rsidRPr="00511005" w:rsidRDefault="00220D3E" w:rsidP="003F6A5D">
      <w:pPr>
        <w:numPr>
          <w:ilvl w:val="0"/>
          <w:numId w:val="216"/>
        </w:numPr>
        <w:tabs>
          <w:tab w:val="left" w:pos="1134"/>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Громовенко К.В. Міжнародно-правове регулювання збройних конфліктів: навч.-метод. посіб. / К.В. Громовенко, М.В. Грушко, К.В. Мануїлова. Одеса: Вид-во «Юридика», 2023. 132 с.</w:t>
      </w:r>
    </w:p>
    <w:p w14:paraId="502A8F05" w14:textId="77777777" w:rsidR="00220D3E" w:rsidRPr="00511005" w:rsidRDefault="00220D3E" w:rsidP="003F6A5D">
      <w:pPr>
        <w:numPr>
          <w:ilvl w:val="0"/>
          <w:numId w:val="216"/>
        </w:numPr>
        <w:tabs>
          <w:tab w:val="left" w:pos="1134"/>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 xml:space="preserve">Додатковий протокол І до Женевських конвенцій 1977 року. URL: </w:t>
      </w:r>
      <w:hyperlink r:id="rId840" w:anchor="Text" w:history="1">
        <w:r w:rsidRPr="00511005">
          <w:rPr>
            <w:rFonts w:ascii="Arial" w:eastAsia="Calibri" w:hAnsi="Arial" w:cs="Arial"/>
            <w:szCs w:val="28"/>
            <w:lang w:val="uk-UA"/>
          </w:rPr>
          <w:t>https://zakon.rada.gov.ua/laws/show/995_199#Text</w:t>
        </w:r>
      </w:hyperlink>
      <w:r w:rsidRPr="00511005">
        <w:rPr>
          <w:rFonts w:ascii="Arial" w:eastAsia="Calibri" w:hAnsi="Arial" w:cs="Arial"/>
          <w:szCs w:val="28"/>
          <w:lang w:val="uk-UA"/>
        </w:rPr>
        <w:t xml:space="preserve"> </w:t>
      </w:r>
    </w:p>
    <w:p w14:paraId="0BBD8817" w14:textId="77777777" w:rsidR="00220D3E" w:rsidRPr="00511005" w:rsidRDefault="00220D3E" w:rsidP="003F6A5D">
      <w:pPr>
        <w:numPr>
          <w:ilvl w:val="0"/>
          <w:numId w:val="216"/>
        </w:numPr>
        <w:tabs>
          <w:tab w:val="left" w:pos="1134"/>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lastRenderedPageBreak/>
        <w:t xml:space="preserve">Конвенція ООН з морського права, 1982. URL: </w:t>
      </w:r>
      <w:hyperlink r:id="rId841" w:anchor="Text" w:history="1">
        <w:r w:rsidRPr="00511005">
          <w:rPr>
            <w:rFonts w:ascii="Arial" w:eastAsia="Calibri" w:hAnsi="Arial" w:cs="Arial"/>
            <w:szCs w:val="28"/>
            <w:lang w:val="uk-UA"/>
          </w:rPr>
          <w:t>https://zakon.rada.gov.ua/laws/show/728-14#Text</w:t>
        </w:r>
      </w:hyperlink>
      <w:r w:rsidRPr="00511005">
        <w:rPr>
          <w:rFonts w:ascii="Arial" w:eastAsia="Calibri" w:hAnsi="Arial" w:cs="Arial"/>
          <w:szCs w:val="28"/>
          <w:lang w:val="uk-UA"/>
        </w:rPr>
        <w:t xml:space="preserve"> </w:t>
      </w:r>
    </w:p>
    <w:p w14:paraId="011A8299" w14:textId="77777777" w:rsidR="00220D3E" w:rsidRPr="00511005" w:rsidRDefault="00220D3E" w:rsidP="003A292D">
      <w:pPr>
        <w:spacing w:line="264" w:lineRule="auto"/>
        <w:ind w:firstLine="0"/>
        <w:rPr>
          <w:rFonts w:ascii="Arial" w:eastAsia="Calibri" w:hAnsi="Arial" w:cs="Arial"/>
          <w:szCs w:val="28"/>
          <w:lang w:val="uk-UA"/>
        </w:rPr>
      </w:pPr>
    </w:p>
    <w:p w14:paraId="7110C972" w14:textId="53D225B9"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20D3E" w:rsidRPr="00511005">
        <w:rPr>
          <w:rFonts w:ascii="Arial" w:eastAsia="Calibri" w:hAnsi="Arial" w:cs="Arial"/>
          <w:szCs w:val="28"/>
          <w:lang w:val="uk-UA"/>
        </w:rPr>
        <w:t>морські гуманітарні коридори, морське право, збройний конфлікт, російсько-українська війна.</w:t>
      </w:r>
    </w:p>
    <w:p w14:paraId="2C0D1E84" w14:textId="1F6D70CA"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220D3E" w:rsidRPr="00511005">
        <w:rPr>
          <w:rFonts w:ascii="Arial" w:eastAsia="Calibri" w:hAnsi="Arial" w:cs="Arial"/>
          <w:szCs w:val="28"/>
          <w:lang w:val="uk-UA"/>
        </w:rPr>
        <w:t>maritime humanitarian corridors, maritime law, armed conflict, Russo-Ukrainian war.</w:t>
      </w:r>
    </w:p>
    <w:p w14:paraId="0E5875F6" w14:textId="53D83BBB" w:rsidR="00220D3E"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220D3E" w:rsidRPr="00511005">
        <w:rPr>
          <w:rFonts w:ascii="Arial" w:eastAsia="Calibri" w:hAnsi="Arial" w:cs="Arial"/>
          <w:i/>
          <w:szCs w:val="28"/>
          <w:lang w:val="uk-UA"/>
        </w:rPr>
        <w:t>д.ю.н., професор Кормич Б. А.</w:t>
      </w:r>
    </w:p>
    <w:p w14:paraId="72B22732" w14:textId="77777777" w:rsidR="00220D3E" w:rsidRPr="00511005" w:rsidRDefault="00220D3E" w:rsidP="003A292D">
      <w:pPr>
        <w:spacing w:line="264" w:lineRule="auto"/>
        <w:ind w:firstLine="0"/>
        <w:rPr>
          <w:rFonts w:ascii="Arial" w:eastAsia="Calibri" w:hAnsi="Arial" w:cs="Arial"/>
          <w:szCs w:val="28"/>
          <w:lang w:val="uk-UA"/>
        </w:rPr>
      </w:pPr>
    </w:p>
    <w:p w14:paraId="37969849" w14:textId="77777777" w:rsidR="00220D3E" w:rsidRPr="00511005" w:rsidRDefault="00220D3E" w:rsidP="003A292D">
      <w:pPr>
        <w:widowControl w:val="0"/>
        <w:tabs>
          <w:tab w:val="left" w:pos="7088"/>
        </w:tabs>
        <w:autoSpaceDE w:val="0"/>
        <w:autoSpaceDN w:val="0"/>
        <w:adjustRightInd w:val="0"/>
        <w:spacing w:line="264" w:lineRule="auto"/>
        <w:ind w:firstLine="0"/>
        <w:jc w:val="center"/>
        <w:rPr>
          <w:rFonts w:ascii="Arial" w:eastAsia="Times New Roman" w:hAnsi="Arial" w:cs="Arial"/>
          <w:b/>
          <w:i/>
          <w:noProof/>
          <w:szCs w:val="28"/>
          <w:shd w:val="clear" w:color="auto" w:fill="FFFFFF"/>
          <w:lang w:val="uk-UA" w:eastAsia="ru-RU"/>
        </w:rPr>
      </w:pPr>
      <w:r w:rsidRPr="00511005">
        <w:rPr>
          <w:rFonts w:ascii="Arial" w:eastAsia="Times New Roman" w:hAnsi="Arial" w:cs="Arial"/>
          <w:b/>
          <w:i/>
          <w:noProof/>
          <w:szCs w:val="28"/>
          <w:shd w:val="clear" w:color="auto" w:fill="FFFFFF"/>
          <w:lang w:val="uk-UA" w:eastAsia="ru-RU"/>
        </w:rPr>
        <w:t>Степановська Марина Ігорівна</w:t>
      </w:r>
    </w:p>
    <w:p w14:paraId="275CEA62" w14:textId="2A73273C" w:rsidR="00220D3E" w:rsidRPr="00511005" w:rsidRDefault="00536AAB" w:rsidP="003A292D">
      <w:pPr>
        <w:widowControl w:val="0"/>
        <w:tabs>
          <w:tab w:val="left" w:pos="7088"/>
        </w:tabs>
        <w:autoSpaceDE w:val="0"/>
        <w:autoSpaceDN w:val="0"/>
        <w:adjustRightInd w:val="0"/>
        <w:spacing w:line="264" w:lineRule="auto"/>
        <w:ind w:firstLine="0"/>
        <w:jc w:val="center"/>
        <w:rPr>
          <w:rFonts w:ascii="Arial" w:eastAsia="Times New Roman" w:hAnsi="Arial" w:cs="Arial"/>
          <w:noProof/>
          <w:szCs w:val="28"/>
          <w:shd w:val="clear" w:color="auto" w:fill="FFFFFF"/>
          <w:lang w:val="uk-UA" w:eastAsia="ru-RU"/>
        </w:rPr>
      </w:pPr>
      <w:r w:rsidRPr="00511005">
        <w:rPr>
          <w:rFonts w:ascii="Arial" w:eastAsia="Times New Roman" w:hAnsi="Arial" w:cs="Arial"/>
          <w:noProof/>
          <w:szCs w:val="28"/>
          <w:shd w:val="clear" w:color="auto" w:fill="FFFFFF"/>
          <w:lang w:val="uk-UA" w:eastAsia="ru-RU"/>
        </w:rPr>
        <w:t xml:space="preserve">студентка 4-го курсу </w:t>
      </w:r>
      <w:r w:rsidR="001B7B25" w:rsidRPr="00511005">
        <w:rPr>
          <w:rFonts w:ascii="Arial" w:eastAsia="Times New Roman" w:hAnsi="Arial" w:cs="Arial"/>
          <w:noProof/>
          <w:szCs w:val="28"/>
          <w:shd w:val="clear" w:color="auto" w:fill="FFFFFF"/>
          <w:lang w:val="uk-UA" w:eastAsia="ru-RU"/>
        </w:rPr>
        <w:t>факультету судового та міжнародного права</w:t>
      </w:r>
    </w:p>
    <w:p w14:paraId="32987E7B" w14:textId="5E4856E3" w:rsidR="00220D3E" w:rsidRPr="00511005" w:rsidRDefault="007B2628" w:rsidP="003A292D">
      <w:pPr>
        <w:widowControl w:val="0"/>
        <w:tabs>
          <w:tab w:val="left" w:pos="993"/>
          <w:tab w:val="left" w:pos="7088"/>
        </w:tabs>
        <w:autoSpaceDE w:val="0"/>
        <w:autoSpaceDN w:val="0"/>
        <w:adjustRightInd w:val="0"/>
        <w:spacing w:line="264" w:lineRule="auto"/>
        <w:ind w:firstLine="0"/>
        <w:jc w:val="center"/>
        <w:rPr>
          <w:rFonts w:ascii="Arial" w:eastAsia="Times New Roman" w:hAnsi="Arial" w:cs="Arial"/>
          <w:noProof/>
          <w:szCs w:val="28"/>
          <w:shd w:val="clear" w:color="auto" w:fill="FFFFFF"/>
          <w:lang w:val="uk-UA" w:eastAsia="ru-RU"/>
        </w:rPr>
      </w:pPr>
      <w:r w:rsidRPr="00511005">
        <w:rPr>
          <w:rFonts w:ascii="Arial" w:eastAsia="Times New Roman" w:hAnsi="Arial" w:cs="Arial"/>
          <w:noProof/>
          <w:szCs w:val="28"/>
          <w:shd w:val="clear" w:color="auto" w:fill="FFFFFF"/>
          <w:lang w:val="uk-UA" w:eastAsia="ru-RU"/>
        </w:rPr>
        <w:t>Національного університету «Одеська юридична академія»</w:t>
      </w:r>
    </w:p>
    <w:p w14:paraId="1F38F619" w14:textId="77777777" w:rsidR="00220D3E" w:rsidRPr="00511005" w:rsidRDefault="00220D3E" w:rsidP="003A292D">
      <w:pPr>
        <w:widowControl w:val="0"/>
        <w:tabs>
          <w:tab w:val="left" w:pos="993"/>
          <w:tab w:val="left" w:pos="7088"/>
        </w:tabs>
        <w:autoSpaceDE w:val="0"/>
        <w:autoSpaceDN w:val="0"/>
        <w:adjustRightInd w:val="0"/>
        <w:spacing w:line="264" w:lineRule="auto"/>
        <w:ind w:firstLine="0"/>
        <w:jc w:val="center"/>
        <w:rPr>
          <w:rFonts w:ascii="Arial" w:eastAsia="Times New Roman" w:hAnsi="Arial" w:cs="Arial"/>
          <w:b/>
          <w:noProof/>
          <w:szCs w:val="28"/>
          <w:shd w:val="clear" w:color="auto" w:fill="FFFFFF"/>
          <w:lang w:val="uk-UA" w:eastAsia="ru-RU"/>
        </w:rPr>
      </w:pPr>
    </w:p>
    <w:p w14:paraId="6745E682" w14:textId="77777777" w:rsidR="00220D3E" w:rsidRPr="00511005" w:rsidRDefault="00220D3E" w:rsidP="003A292D">
      <w:pPr>
        <w:widowControl w:val="0"/>
        <w:tabs>
          <w:tab w:val="left" w:pos="993"/>
          <w:tab w:val="left" w:pos="7088"/>
        </w:tabs>
        <w:autoSpaceDE w:val="0"/>
        <w:autoSpaceDN w:val="0"/>
        <w:adjustRightInd w:val="0"/>
        <w:spacing w:line="264" w:lineRule="auto"/>
        <w:ind w:firstLine="0"/>
        <w:jc w:val="center"/>
        <w:rPr>
          <w:rFonts w:ascii="Arial" w:eastAsia="Times New Roman" w:hAnsi="Arial" w:cs="Arial"/>
          <w:b/>
          <w:noProof/>
          <w:szCs w:val="28"/>
          <w:shd w:val="clear" w:color="auto" w:fill="FFFFFF"/>
          <w:lang w:val="uk-UA" w:eastAsia="ru-RU"/>
        </w:rPr>
      </w:pPr>
      <w:r w:rsidRPr="00511005">
        <w:rPr>
          <w:rFonts w:ascii="Arial" w:eastAsia="Times New Roman" w:hAnsi="Arial" w:cs="Arial"/>
          <w:b/>
          <w:noProof/>
          <w:szCs w:val="28"/>
          <w:shd w:val="clear" w:color="auto" w:fill="FFFFFF"/>
          <w:lang w:val="uk-UA" w:eastAsia="ru-RU"/>
        </w:rPr>
        <w:t>СПОРИ, ПОВ’ЯЗАНІ З ПОВЕРНЕННЯМ З ДЕРЖАВНОГО БЮДЖЕТУ ПОМИЛКОВО АБО НАДМІРНО СПЛАЧЕНИХ МИТНИХ ПЛАТЕЖІВ</w:t>
      </w:r>
    </w:p>
    <w:p w14:paraId="7FA909BA"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Повернення помилково або надмірно сплачених сум з державного бюджету є важливою складовою фінансових правовідносин в Україні. Враховуючи значущість державних фінансів, питання повернення таких платежів має важливе правове і практичне значення. У контексті фінансового та податкового права, такі спори стають складними, оскільки пов’язують кілька аспектів: правильність нарахування, податкові механізми, захист прав платників податків і відповідальність за помилкові чи надмірні виплати. Ця проблема набуває особливої важливості у зв’язку з необхідністю підтримання стабільності бюджетних відносин, справедливості у здійсненні фінансових операцій та оптимізації державного управління.</w:t>
      </w:r>
    </w:p>
    <w:p w14:paraId="12E7121E"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У контексті законодавства України, повернення помилково або надмірно сплачених платежів регулюється різними нормами податкового та фінансового права. Законодавець надає платникам податків можливість звернутися за поверненням помилково сплачених сум, але така процедура не завжди є безперешкодним процесом. Чіткі механізми та визначені строки для такого повернення здебільшого не враховують реальні ситуації, що часто призводить до порушення прав платників податків і необхідності звертатися до суду.</w:t>
      </w:r>
    </w:p>
    <w:p w14:paraId="45AED1F4"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Згідно з нормами Податкового кодексу України, зокрема статті 43, платник податків має право на повернення сум помилково або надмірно сплачених податків [1]. Однак процедура повернення таких коштів передбачає ряд вимог та етапів, починаючи від подання заяви до контролюючого органу та закінчуючи можливістю звернення до суду у разі відмови. Платники податків часто стикаються з ситуаціями, коли контролюючі органи відмовляють у поверненні платежів, що може призвести до значних фінансових втрат для платника та потребує залучення судових інстанцій для захисту прав заявника.</w:t>
      </w:r>
    </w:p>
    <w:p w14:paraId="5EB95B4D"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lastRenderedPageBreak/>
        <w:t>Стаття 301 Митного кодексу України визначає порядок повернення помилково або надмірно сплачених митних платежів. Відповідно до цієї статті, особа, яка сплатила більше, ніж передбачено законом, має право на повернення зайво сплачених сум за умови, що такі платежі не були використані на відповідні митні потреби. Процедура повернення вимагає дотримання певних умов, а саме, наявності підтвердження помилкової або надмірної сплати. Митний орган повинен здійснити повернення цих коштів у визначений законодавством термін, що є гарантією прав платників податків та забезпечує ефективний механізм коригування помилок у сфері митного обігу [2].</w:t>
      </w:r>
    </w:p>
    <w:p w14:paraId="07F074C3"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Незважаючи на існуюче законодавство, практика показує, що такі спори часто мають складну правову природу. Наприклад, одна з проблем полягає в тому, що контролюючі органи часто трактують норми закону у спосіб, який обмежує права платників податків на повернення надмірно сплачених сум. Існує кілька випадків, коли платники податків намагалися повернути надмірно сплачені суми, але стикаються з відмовами або затягуваннями процесу через недостатню правову обґрунтованість рішень контролюючих органів. Зазначені ситуації, зокрема, були предметом розгляду Європейського суду з прав людини щодо порушення прав платників податків на отримання компенсації за надмірно сплачені суми.</w:t>
      </w:r>
    </w:p>
    <w:p w14:paraId="2EBC23E0"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На офіційному порталі Державної податкової служби України надається докладна інформація щодо процедур повернення помилково та/або надміру сплачених сум грошового зобов’язання та пені. Зокрема, надано покрокову інструкцію щодо того, як правильно подати заяву для повернення таких сум, а також визначено вимоги до документів, що супроводжують процес повернення. Для забезпечення правильності процедур та уникнення помилок, на сайті доступні посібники, які допомагають платникам податків розібратися в діях, що необхідно вчинити для успішного повернення коштів. Ці матеріали сприяють зменшенню кількості правових помилок та забезпечують належне виконання вимог чинного законодавства в сфері податкових правовідносин [3].</w:t>
      </w:r>
    </w:p>
    <w:p w14:paraId="02B90359"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Існує й інший важливий аспект цієї проблеми – визначення моменту, коли платежі були помилково або надмірно сплачені. В умовах складної податкової системи, де існують численні податки, збори та інші платежі, визначити точний момент і величину надмірно сплаченої суми буває вкрай важко. Це ускладнює процес повернення таких коштів і є основною причиною виникнення судових спорів, адже відсутність чіткої регламентації і практики повернення сум часто призводить до юридичних колізій. Водночас, суди можуть покладати на платників податків обов’язок доводити факт надмірності або помилковості сплати, що вимагає значних зусиль і фінансових витрат.</w:t>
      </w:r>
    </w:p>
    <w:p w14:paraId="0EC21EF0"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Варто також розглянути судову практику з даного питання. Наприклад, </w:t>
      </w:r>
      <w:r w:rsidRPr="00511005">
        <w:rPr>
          <w:rFonts w:ascii="Arial" w:eastAsia="Times New Roman" w:hAnsi="Arial" w:cs="Arial"/>
          <w:noProof/>
          <w:szCs w:val="28"/>
          <w:lang w:val="uk-UA" w:eastAsia="ru-RU"/>
        </w:rPr>
        <w:lastRenderedPageBreak/>
        <w:t>Рішення Івано-Франківського окружного адміністративного суду від 31 січня 2024 року у справі № 300/6834/23 де зазначається, що товариство з обмеженою відповідальністю «Карпатнафтохім» подало заяву до Енергетичної митниці Державної митної служби України щодо повернення надмірно сплачених сум податку на додану вартість у розмірі 4 559 754,24 грн. Однак митниця не виконала свої зобов’язання щодо формування та надсилання електронного висновку до Державної казначейської служби для подальшого повернення коштів. У зв’язку з цим позивач звернувся до суду з вимогою визнати бездіяльність митниці протиправною та зобов’язати її вчинити необхідні дії.</w:t>
      </w:r>
    </w:p>
    <w:p w14:paraId="48299A1B"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Суд, розглянувши справу, підтвердив, що відповідно до статті 301 Митного кодексу України та статті 43 Податкового кодексу України, помилково та/або надмірно сплачені суми митних платежів підлягають поверненню за заявою платника податків протягом 1095 днів від дня їх виникнення. Однак у цьому випадку митниця не виконала своїх обов’язків, що призвело до необхідності звернення до суду для захисту прав позивача. Це рішення підкреслює важливість належного виконання органами державної влади своїх функцій щодо повернення надмірно сплачених сум та забезпечення прав платників податків [4].</w:t>
      </w:r>
    </w:p>
    <w:p w14:paraId="7F09E222"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Для забезпечення ефективного правового механізму повернення помилково або надмірно сплачених платежів необхідно розробити більш чітку та зрозумілу процедуру повернення. Одним з напрямів такого вдосконалення є запровадження автоматизованих систем контролю за податковими платежами та розробка гнучкої системи адміністративного оскарження рішень, що дозволить уникнути численних судових розглядів і зробить процес повернення більш прозорим і швидким.</w:t>
      </w:r>
    </w:p>
    <w:p w14:paraId="39353ADF"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Наразі питання повернення помилково або надмірно сплачених сум з державного бюджету залишається актуальним і потребує подальших правових реформ, спрямованих на забезпечення справедливості у фінансових відносинах між платниками податків та державою. Проблема потребує не тільки законодавчих змін, але й вдосконалення практики їх реалізації, зокрема, через поліпшення механізмів адміністрування та підвищення правової грамотності платників податків.</w:t>
      </w:r>
    </w:p>
    <w:p w14:paraId="4A20550D"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Times New Roman" w:hAnsi="Arial" w:cs="Arial"/>
          <w:noProof/>
          <w:szCs w:val="28"/>
          <w:lang w:val="uk-UA" w:eastAsia="ru-RU"/>
        </w:rPr>
      </w:pPr>
    </w:p>
    <w:p w14:paraId="556BBDF8" w14:textId="2A18F6D2" w:rsidR="00220D3E" w:rsidRPr="00511005" w:rsidRDefault="007B2628" w:rsidP="007B2628">
      <w:pPr>
        <w:widowControl w:val="0"/>
        <w:tabs>
          <w:tab w:val="left" w:pos="7088"/>
        </w:tabs>
        <w:autoSpaceDE w:val="0"/>
        <w:autoSpaceDN w:val="0"/>
        <w:adjustRightInd w:val="0"/>
        <w:spacing w:line="264" w:lineRule="auto"/>
        <w:ind w:firstLine="0"/>
        <w:jc w:val="center"/>
        <w:rPr>
          <w:rFonts w:ascii="Arial" w:eastAsia="Times New Roman" w:hAnsi="Arial" w:cs="Arial"/>
          <w:b/>
          <w:noProof/>
          <w:szCs w:val="28"/>
          <w:lang w:val="uk-UA" w:eastAsia="ru-RU" w:bidi="uk-UA"/>
        </w:rPr>
      </w:pPr>
      <w:r w:rsidRPr="00511005">
        <w:rPr>
          <w:rFonts w:ascii="Arial" w:eastAsia="Times New Roman" w:hAnsi="Arial" w:cs="Arial"/>
          <w:b/>
          <w:noProof/>
          <w:szCs w:val="28"/>
          <w:lang w:val="uk-UA" w:eastAsia="ru-RU" w:bidi="uk-UA"/>
        </w:rPr>
        <w:t>Список використаних джерел</w:t>
      </w:r>
    </w:p>
    <w:p w14:paraId="2163C2AA" w14:textId="77777777" w:rsidR="00220D3E" w:rsidRPr="00511005" w:rsidRDefault="00220D3E" w:rsidP="003F6A5D">
      <w:pPr>
        <w:widowControl w:val="0"/>
        <w:numPr>
          <w:ilvl w:val="0"/>
          <w:numId w:val="207"/>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
          <w:noProof/>
          <w:szCs w:val="28"/>
          <w:lang w:val="uk-UA" w:eastAsia="ru-RU"/>
        </w:rPr>
      </w:pPr>
      <w:r w:rsidRPr="00511005">
        <w:rPr>
          <w:rFonts w:ascii="Arial" w:eastAsia="Times New Roman" w:hAnsi="Arial" w:cs="Arial"/>
          <w:noProof/>
          <w:szCs w:val="28"/>
          <w:lang w:val="uk-UA" w:eastAsia="ru-RU"/>
        </w:rPr>
        <w:t xml:space="preserve">Податковий кодекс України, 2010. URL: </w:t>
      </w:r>
      <w:hyperlink r:id="rId842" w:anchor="Text" w:history="1">
        <w:r w:rsidRPr="00511005">
          <w:rPr>
            <w:rFonts w:ascii="Arial" w:eastAsia="Times New Roman" w:hAnsi="Arial" w:cs="Arial"/>
            <w:noProof/>
            <w:szCs w:val="28"/>
            <w:lang w:val="uk-UA" w:eastAsia="ru-RU"/>
          </w:rPr>
          <w:t>https://zakon.rada.gov.ua/laws/show/2755-17#Text</w:t>
        </w:r>
      </w:hyperlink>
      <w:r w:rsidRPr="00511005">
        <w:rPr>
          <w:rFonts w:ascii="Arial" w:eastAsia="Times New Roman" w:hAnsi="Arial" w:cs="Arial"/>
          <w:noProof/>
          <w:szCs w:val="28"/>
          <w:lang w:val="uk-UA" w:eastAsia="ru-RU"/>
        </w:rPr>
        <w:t xml:space="preserve"> </w:t>
      </w:r>
    </w:p>
    <w:p w14:paraId="0B2FB8FF" w14:textId="77777777" w:rsidR="00220D3E" w:rsidRPr="00511005" w:rsidRDefault="00220D3E" w:rsidP="003F6A5D">
      <w:pPr>
        <w:widowControl w:val="0"/>
        <w:numPr>
          <w:ilvl w:val="0"/>
          <w:numId w:val="207"/>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Митний кодекс України, 2012. URL: </w:t>
      </w:r>
      <w:hyperlink r:id="rId843" w:anchor="Text" w:tgtFrame="_new" w:history="1">
        <w:r w:rsidRPr="00511005">
          <w:rPr>
            <w:rFonts w:ascii="Arial" w:eastAsia="Times New Roman" w:hAnsi="Arial" w:cs="Arial"/>
            <w:noProof/>
            <w:szCs w:val="28"/>
            <w:lang w:val="uk-UA" w:eastAsia="ru-RU"/>
          </w:rPr>
          <w:t>https://zakon.rada.gov.ua/laws/show/4495-17#Text</w:t>
        </w:r>
      </w:hyperlink>
    </w:p>
    <w:p w14:paraId="40D8BBD2" w14:textId="77777777" w:rsidR="00220D3E" w:rsidRPr="00511005" w:rsidRDefault="00220D3E" w:rsidP="003F6A5D">
      <w:pPr>
        <w:widowControl w:val="0"/>
        <w:numPr>
          <w:ilvl w:val="0"/>
          <w:numId w:val="207"/>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Державна податкова служба України. Як повернути помилково та/або надміру сплачені суми грошового зобов’язання та пені. </w:t>
      </w:r>
      <w:r w:rsidRPr="00511005">
        <w:rPr>
          <w:rFonts w:ascii="Arial" w:eastAsia="Times New Roman" w:hAnsi="Arial" w:cs="Arial"/>
          <w:i/>
          <w:noProof/>
          <w:szCs w:val="28"/>
          <w:lang w:val="uk-UA" w:eastAsia="ru-RU"/>
        </w:rPr>
        <w:t>Офіційний портал ДПС України.</w:t>
      </w:r>
      <w:r w:rsidRPr="00511005">
        <w:rPr>
          <w:rFonts w:ascii="Arial" w:eastAsia="Times New Roman" w:hAnsi="Arial" w:cs="Arial"/>
          <w:noProof/>
          <w:szCs w:val="28"/>
          <w:lang w:val="uk-UA" w:eastAsia="ru-RU"/>
        </w:rPr>
        <w:t xml:space="preserve"> URL: </w:t>
      </w:r>
      <w:hyperlink r:id="rId844" w:tgtFrame="_new" w:history="1">
        <w:r w:rsidRPr="00511005">
          <w:rPr>
            <w:rFonts w:ascii="Arial" w:eastAsia="Times New Roman" w:hAnsi="Arial" w:cs="Arial"/>
            <w:noProof/>
            <w:szCs w:val="28"/>
            <w:lang w:val="uk-UA" w:eastAsia="ru-RU"/>
          </w:rPr>
          <w:t>https://tax.gov.ua/nove-pro-podatki--novini-</w:t>
        </w:r>
        <w:r w:rsidRPr="00511005">
          <w:rPr>
            <w:rFonts w:ascii="Arial" w:eastAsia="Times New Roman" w:hAnsi="Arial" w:cs="Arial"/>
            <w:noProof/>
            <w:szCs w:val="28"/>
            <w:lang w:val="uk-UA" w:eastAsia="ru-RU"/>
          </w:rPr>
          <w:lastRenderedPageBreak/>
          <w:t>/396461.html</w:t>
        </w:r>
      </w:hyperlink>
    </w:p>
    <w:p w14:paraId="55AA2F12" w14:textId="77777777" w:rsidR="00220D3E" w:rsidRPr="00511005" w:rsidRDefault="00220D3E" w:rsidP="003F6A5D">
      <w:pPr>
        <w:widowControl w:val="0"/>
        <w:numPr>
          <w:ilvl w:val="0"/>
          <w:numId w:val="207"/>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Рішення Івано-Франківського окружного адміністративного суду у справі № 300/6834/23 від 31.01.2024. URL: </w:t>
      </w:r>
      <w:hyperlink r:id="rId845" w:tgtFrame="_new" w:history="1">
        <w:r w:rsidRPr="00511005">
          <w:rPr>
            <w:rFonts w:ascii="Arial" w:eastAsia="Times New Roman" w:hAnsi="Arial" w:cs="Arial"/>
            <w:noProof/>
            <w:szCs w:val="28"/>
            <w:lang w:val="uk-UA" w:eastAsia="ru-RU"/>
          </w:rPr>
          <w:t>https://youcontrol.com.ua/ru/catalog/court-document/116675399/</w:t>
        </w:r>
      </w:hyperlink>
    </w:p>
    <w:p w14:paraId="7CDC9FD3" w14:textId="77777777" w:rsidR="00220D3E" w:rsidRPr="00511005" w:rsidRDefault="00220D3E" w:rsidP="003A292D">
      <w:pPr>
        <w:widowControl w:val="0"/>
        <w:tabs>
          <w:tab w:val="left" w:pos="993"/>
          <w:tab w:val="left" w:pos="7088"/>
        </w:tabs>
        <w:autoSpaceDE w:val="0"/>
        <w:autoSpaceDN w:val="0"/>
        <w:adjustRightInd w:val="0"/>
        <w:spacing w:line="264" w:lineRule="auto"/>
        <w:ind w:firstLine="0"/>
        <w:rPr>
          <w:rFonts w:ascii="Arial" w:eastAsia="Times New Roman" w:hAnsi="Arial" w:cs="Arial"/>
          <w:noProof/>
          <w:szCs w:val="28"/>
          <w:lang w:val="uk-UA" w:eastAsia="ru-RU"/>
        </w:rPr>
      </w:pPr>
    </w:p>
    <w:p w14:paraId="36EC5D23" w14:textId="12916822" w:rsidR="00220D3E" w:rsidRPr="00511005" w:rsidRDefault="007B2628" w:rsidP="003A292D">
      <w:pPr>
        <w:widowControl w:val="0"/>
        <w:tabs>
          <w:tab w:val="left" w:pos="993"/>
          <w:tab w:val="left" w:pos="7088"/>
        </w:tabs>
        <w:autoSpaceDE w:val="0"/>
        <w:autoSpaceDN w:val="0"/>
        <w:adjustRightInd w:val="0"/>
        <w:spacing w:line="264" w:lineRule="auto"/>
        <w:ind w:firstLine="0"/>
        <w:rPr>
          <w:rFonts w:ascii="Arial" w:eastAsia="Times New Roman" w:hAnsi="Arial" w:cs="Arial"/>
          <w:noProof/>
          <w:szCs w:val="28"/>
          <w:lang w:val="uk-UA" w:eastAsia="ru-RU"/>
        </w:rPr>
      </w:pPr>
      <w:r w:rsidRPr="00511005">
        <w:rPr>
          <w:rFonts w:ascii="Arial" w:eastAsia="Times New Roman" w:hAnsi="Arial" w:cs="Arial"/>
          <w:b/>
          <w:i/>
          <w:noProof/>
          <w:szCs w:val="28"/>
          <w:lang w:val="uk-UA" w:eastAsia="ru-RU"/>
        </w:rPr>
        <w:t xml:space="preserve">Ключові слова: </w:t>
      </w:r>
      <w:r w:rsidR="00220D3E" w:rsidRPr="00511005">
        <w:rPr>
          <w:rFonts w:ascii="Arial" w:eastAsia="Times New Roman" w:hAnsi="Arial" w:cs="Arial"/>
          <w:noProof/>
          <w:szCs w:val="28"/>
          <w:lang w:val="uk-UA" w:eastAsia="ru-RU"/>
        </w:rPr>
        <w:t>митниця, судові спори,</w:t>
      </w:r>
      <w:r w:rsidR="00220D3E" w:rsidRPr="00511005">
        <w:rPr>
          <w:rFonts w:ascii="Arial" w:eastAsia="Times New Roman" w:hAnsi="Arial" w:cs="Arial"/>
          <w:b/>
          <w:noProof/>
          <w:szCs w:val="28"/>
          <w:lang w:val="uk-UA" w:eastAsia="ru-RU"/>
        </w:rPr>
        <w:t xml:space="preserve"> </w:t>
      </w:r>
      <w:r w:rsidR="00220D3E" w:rsidRPr="00511005">
        <w:rPr>
          <w:rFonts w:ascii="Arial" w:eastAsia="Times New Roman" w:hAnsi="Arial" w:cs="Arial"/>
          <w:noProof/>
          <w:szCs w:val="28"/>
          <w:lang w:val="uk-UA" w:eastAsia="ru-RU"/>
        </w:rPr>
        <w:t>державний бюджет, порушення, митні платежі, контролюючий орган, платник податків, судова практика.</w:t>
      </w:r>
    </w:p>
    <w:p w14:paraId="24BDC861" w14:textId="6405C848" w:rsidR="00220D3E"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noProof/>
          <w:szCs w:val="28"/>
          <w:lang w:val="uk-UA" w:eastAsia="ru-RU"/>
        </w:rPr>
        <w:t xml:space="preserve">Key words: </w:t>
      </w:r>
      <w:r w:rsidR="00220D3E" w:rsidRPr="00511005">
        <w:rPr>
          <w:rFonts w:ascii="Arial" w:eastAsia="Times New Roman" w:hAnsi="Arial" w:cs="Arial"/>
          <w:szCs w:val="28"/>
          <w:lang w:val="uk-UA" w:eastAsia="ru-RU"/>
        </w:rPr>
        <w:t>customs, litigation, state budget, violations, customs payments, controlling authority, taxpayer, court practice.</w:t>
      </w:r>
    </w:p>
    <w:p w14:paraId="1FBD01B7" w14:textId="0647E10E" w:rsidR="00220D3E" w:rsidRPr="00511005" w:rsidRDefault="007B2628" w:rsidP="003A292D">
      <w:pPr>
        <w:widowControl w:val="0"/>
        <w:autoSpaceDE w:val="0"/>
        <w:autoSpaceDN w:val="0"/>
        <w:adjustRightInd w:val="0"/>
        <w:spacing w:line="264" w:lineRule="auto"/>
        <w:ind w:firstLine="0"/>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20D3E" w:rsidRPr="00511005">
        <w:rPr>
          <w:rFonts w:ascii="Arial" w:eastAsia="Times New Roman" w:hAnsi="Arial" w:cs="Arial"/>
          <w:bCs/>
          <w:i/>
          <w:iCs/>
          <w:szCs w:val="28"/>
          <w:lang w:val="uk-UA" w:eastAsia="ru-RU"/>
        </w:rPr>
        <w:t>к.ю.н., доцент Батанова Л. О.</w:t>
      </w:r>
    </w:p>
    <w:p w14:paraId="30F7801B" w14:textId="77777777" w:rsidR="00220D3E" w:rsidRPr="00511005" w:rsidRDefault="00220D3E" w:rsidP="003A292D">
      <w:pPr>
        <w:spacing w:line="264" w:lineRule="auto"/>
        <w:ind w:firstLine="0"/>
        <w:jc w:val="center"/>
        <w:rPr>
          <w:rFonts w:ascii="Arial" w:eastAsia="Times New Roman" w:hAnsi="Arial" w:cs="Arial"/>
          <w:b/>
          <w:i/>
          <w:szCs w:val="28"/>
          <w:lang w:val="uk-UA"/>
        </w:rPr>
      </w:pPr>
    </w:p>
    <w:p w14:paraId="21FA4F3F" w14:textId="77777777" w:rsidR="00220D3E" w:rsidRPr="00511005" w:rsidRDefault="00220D3E"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 xml:space="preserve">Вікторія Суйчимезова, Анастасія Завальнюк </w:t>
      </w:r>
    </w:p>
    <w:p w14:paraId="1ABEE9A6" w14:textId="1FBA69D5" w:rsidR="00220D3E" w:rsidRPr="00511005" w:rsidRDefault="00220D3E"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студентки 4-го курсу </w:t>
      </w:r>
      <w:r w:rsidR="001B7B25" w:rsidRPr="00511005">
        <w:rPr>
          <w:rFonts w:ascii="Arial" w:eastAsia="Times New Roman" w:hAnsi="Arial" w:cs="Arial"/>
          <w:szCs w:val="28"/>
          <w:lang w:val="uk-UA"/>
        </w:rPr>
        <w:t>факультету судового та міжнародного права</w:t>
      </w:r>
    </w:p>
    <w:p w14:paraId="29163CE7" w14:textId="08233099" w:rsidR="00220D3E"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552B3B37" w14:textId="77777777" w:rsidR="00220D3E" w:rsidRPr="00511005" w:rsidRDefault="00220D3E"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shd w:val="clear" w:color="auto" w:fill="FFFFFF"/>
          <w:lang w:val="uk-UA" w:eastAsia="ru-RU"/>
        </w:rPr>
      </w:pPr>
    </w:p>
    <w:p w14:paraId="768B89E3" w14:textId="77777777" w:rsidR="00220D3E" w:rsidRPr="00511005" w:rsidRDefault="00220D3E"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shd w:val="clear" w:color="auto" w:fill="FFFFFF"/>
          <w:lang w:val="uk-UA" w:eastAsia="ru-RU"/>
        </w:rPr>
      </w:pPr>
      <w:r w:rsidRPr="00511005">
        <w:rPr>
          <w:rFonts w:ascii="Arial" w:eastAsia="Times New Roman" w:hAnsi="Arial" w:cs="Arial"/>
          <w:b/>
          <w:szCs w:val="28"/>
          <w:shd w:val="clear" w:color="auto" w:fill="FFFFFF"/>
          <w:lang w:val="uk-UA" w:eastAsia="ru-RU"/>
        </w:rPr>
        <w:t>АЛЬТЕРНАТИВНІ СПОСОБИ ВИРІШЕННЯ МИТНИХ СПОРІВ</w:t>
      </w:r>
    </w:p>
    <w:p w14:paraId="6235D2A8"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Альтернативні способи вирішення митних спорів є важливим елементом правового регулювання в сфері зовнішньоекономічної діяльності. В умовах глобалізації міжнародної торгівлі, швидкості обміну товарами, капіталами та послугами, митні органи відіграють важливу роль у забезпеченні нормальної функціональності торгових відносин між державами. Однак, незважаючи на встановлення чітких митних процедур і норм, митні спори, що виникають між суб’єктами зовнішньоекономічної діяльності та митними органами, можуть ускладнити нормальний хід торгівлі та призвести до економічних збитків. У зв’язку з цим, важливим аспектом правового забезпечення є застосування альтернативних способів вирішення митних спорів, які дозволяють забезпечити ефективність, швидкість і менші витрати на вирішення конфліктів.</w:t>
      </w:r>
    </w:p>
    <w:p w14:paraId="45DF6759"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Згідно з нормами Митного кодексу України, митні спори можуть бути вирішені через адміністративне оскарження, а також за допомогою альтернативних механізмів, таких як медіація та врегулювання спору за участю судді, арбітраж тощо. Альтернативні способи вирішення спорів є актуальними в тих випадках, коли традиційні методи, зокрема судовий процес, виявляються занадто тривалими або затратними. Вони дозволяють не лише зменшити навантаження на судову систему, а й сприяють збереженню ділових відносин між сторонами.</w:t>
      </w:r>
    </w:p>
    <w:p w14:paraId="268CA5E3"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Адміністративне оскарження є одним з основних інструментів для вирішення митних спорів на національному рівні. Відповідно до статті 24 Митного кодексу України, суб’єкти зовнішньоекономічної діяльності мають право оскаржити дії чи бездіяльність митних органів. Такий механізм дозволяє значно знизити витрати часу та коштів, що необхідні для вирішення спору в судовому порядку. Крім того, адміністративне оскарження здійснюється за </w:t>
      </w:r>
      <w:r w:rsidRPr="00511005">
        <w:rPr>
          <w:rFonts w:ascii="Arial" w:eastAsia="Calibri" w:hAnsi="Arial" w:cs="Arial"/>
          <w:szCs w:val="28"/>
          <w:lang w:val="uk-UA"/>
        </w:rPr>
        <w:lastRenderedPageBreak/>
        <w:t>участю компетентних органів, які можуть швидко розглянути спір і прийняти рішення [1].</w:t>
      </w:r>
    </w:p>
    <w:p w14:paraId="7CC4C629"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Однак, адміністративне оскарження не завжди є ефективним або достатнім для вирішення митних спорів, особливо коли виникають складніші або більш специфічні питання. У таких випадках на допомогу можуть прийти інші альтернативні механізми. Одним із таких способів є медіація. Медіація в митних спорах полягає в тому, щоб залучити третю сторону – медіатора, який за допомогою переговорів та сприяння знаходить компроміс між сторонами, що дозволяє уникнути затяжного судового процесу.</w:t>
      </w:r>
    </w:p>
    <w:p w14:paraId="23F304CA"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Медіація як спосіб вирішення спорів має низку переваг. По-перше, це швидкість процесу, адже медіатор сприяє досягненню згоди між сторонами в короткі строки. По-друге, медіація є конфіденційною, що дозволяє зберігати комерційну таємницю та не розголошувати деталі спору за межами переговорного процесу. По-третє, медіація дозволяє сторонам зберегти ділові відносини, оскільки її мета – це не визнання однієї зі сторін винною, а знаходження взаємоприйнятного рішення.</w:t>
      </w:r>
    </w:p>
    <w:p w14:paraId="3D0B7075"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Згідно з українським законодавством, медіація регулюється Законом України «Про медіацію» від 16 листопада 2021 року № 1875-IX, який визначає принципи та процедури медіації, а також вимоги до медіаторів. Хоча цей закон не містить спеціальних положень щодо застосування медіації в митних спорах, його положення можуть бути використані у цьому контексті, оскільки він охоплює загальні принципи медіації, які можуть застосовуватися до будь-яких видів спорів, зокрема й митних [3].</w:t>
      </w:r>
    </w:p>
    <w:p w14:paraId="7AE5FF62"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Медіація дозволяє зберегти гнучкість у вирішенні спору, оскільки сторони мають можливість запропонувати свої умови вирішення конфлікту, а медіатор допомагає знайти компроміс. Однак існує й низка обмежень. Наприклад, у випадку, коли одна зі сторін не бажає йти на компроміс або коли існує високий рівень недовіри між сторонами, медіація може не дати бажаного результату. Крім того, медіатор не має права приймати рішення, а лише допомагає сторонам досягти угоди.</w:t>
      </w:r>
    </w:p>
    <w:p w14:paraId="64834C5C"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Іншим важливим альтернативним способом вирішення митних спорів є арбітраж. Арбітраж є більш формалізованою процедурою, порівняно з медіацією, і полягає в тому, що спір передається на розгляд арбітражного суду, який виносить обов’язкове для виконання рішення. Міжнародний комерційний арбітраж, зокрема, є поширеним механізмом для вирішення спорів у сфері зовнішньої торгівлі, зокрема й митних.</w:t>
      </w:r>
    </w:p>
    <w:p w14:paraId="1C1545B5"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 Україні арбітражні угоди регулюються Законом України «Про міжнародний комерційний арбітраж» від 24 лютого 1994 року № 4002-XII, що визначає порядок укладення угоди про арбітраж, процедуру арбітражного провадження та вимоги до арбітрів. За умовами міжнародного комерційного арбітражу, сторони можуть погодитися передати спір до арбітражу в разі виникнення суперечок, пов’язаних з митними питаннями, особливо коли спір </w:t>
      </w:r>
      <w:r w:rsidRPr="00511005">
        <w:rPr>
          <w:rFonts w:ascii="Arial" w:eastAsia="Calibri" w:hAnsi="Arial" w:cs="Arial"/>
          <w:szCs w:val="28"/>
          <w:lang w:val="uk-UA"/>
        </w:rPr>
        <w:lastRenderedPageBreak/>
        <w:t>має приватноправовий характер [4].</w:t>
      </w:r>
    </w:p>
    <w:p w14:paraId="771FF3E3"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Порівняно з судовим розглядом, арбітраж є швидшим і менш затратним процесом. У випадку митних спорів, це дозволяє підприємствам ефективно вирішувати питання, не звертаючись до державних судів, що може бути особливо важливо при вирішенні суперечок у міжнародному контексті. Проте арбітраж має певні обмеження, оскільки його застосування передбачає добровільну згоду обох сторін на арбітражну угоду, а також наявність в обох сторін рівних прав у процедурі.</w:t>
      </w:r>
    </w:p>
    <w:p w14:paraId="1FDC4214"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Додатково, міжнародні організації також можуть виступати посередниками у вирішенні митних спорів. Світова організація торгівлі (СОТ), яка є основним регулятором міжнародної торгівлі, має механізм вирішення спорів, що дозволяє державам-членам вирішувати митні спори через консультації, добрі послуги та арбітраж [5]. Україна, як член СОТ, може звертатися до цієї організації для захисту своїх митних прав у випадку порушення міжнародних зобов’язань іншими країнами.</w:t>
      </w:r>
    </w:p>
    <w:p w14:paraId="5FDFC16C"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Інститут врегулювання спору за участю судді в українському праві викликає дискусії серед науковців щодо його сутності: одні розглядають його як різновид судової або присудової медіації, інші — як окремий вид примирних процедур. Процедура має спільні риси з медіацією, зокрема нейтральність посередника, конфіденційність переговорів та добровільність ухвалення рішення сторонами. Однак її особливістю є те, що суддя призначається автоматизованою системою без права вибору сторонами, а сама процедура можлива лише до початку розгляду справи по суті та має обмежений тридцятиденний строк, що не підлягає продовженню.</w:t>
      </w:r>
    </w:p>
    <w:p w14:paraId="260C2301"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У митних спорах застосування врегулювання спору за участю судді є обмеженим: воно виключене у справах, ініційованих митними органами, проте дозволяється в питаннях митної вартості товарів, митного оформлення та повернення митних платежів. Попри запровадження цієї процедури, статистика свідчить про її практично нульову ефективність у реальній судовій практиці через недовіру до суддів як посередників, що вимагає подальшого вдосконалення цього механізму з урахуванням особливостей адміністративного судочинства [2].</w:t>
      </w:r>
    </w:p>
    <w:p w14:paraId="3AA79DE1" w14:textId="77777777" w:rsidR="00220D3E" w:rsidRPr="00511005" w:rsidRDefault="00220D3E" w:rsidP="003A292D">
      <w:pPr>
        <w:widowControl w:val="0"/>
        <w:tabs>
          <w:tab w:val="left" w:pos="7088"/>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Враховуючи сучасний розвиток альтернативних способів вирішення митних спорів, можна зробити висновок, що такі методи мають значний потенціал для підвищення ефективності митного регулювання в Україні. Вони дозволяють зменшити навантаження на судову систему, знизити витрати, прискорити процес вирішення спорів і забезпечити більш гнучке та справедливе врегулювання конфліктів. Однак для досягнення максимальної ефективності цих методів необхідно удосконалювати законодавство, збільшувати кваліфікацію медіаторів і арбітрів, а також забезпечувати належну співпрацю між митними органами та учасниками зовнішньоекономічної діяльності.</w:t>
      </w:r>
    </w:p>
    <w:p w14:paraId="4B608346" w14:textId="77777777" w:rsidR="00220D3E" w:rsidRPr="00511005" w:rsidRDefault="00220D3E"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val="uk-UA" w:eastAsia="ru-RU" w:bidi="uk-UA"/>
        </w:rPr>
      </w:pPr>
    </w:p>
    <w:p w14:paraId="5098F9A8" w14:textId="10CE7359" w:rsidR="00220D3E" w:rsidRPr="00511005" w:rsidRDefault="007B2628" w:rsidP="007B2628">
      <w:pPr>
        <w:widowControl w:val="0"/>
        <w:tabs>
          <w:tab w:val="left" w:pos="7088"/>
        </w:tabs>
        <w:autoSpaceDE w:val="0"/>
        <w:autoSpaceDN w:val="0"/>
        <w:adjustRightInd w:val="0"/>
        <w:spacing w:line="264" w:lineRule="auto"/>
        <w:ind w:firstLine="0"/>
        <w:jc w:val="center"/>
        <w:rPr>
          <w:rFonts w:ascii="Arial" w:eastAsia="Times New Roman" w:hAnsi="Arial" w:cs="Arial"/>
          <w:b/>
          <w:szCs w:val="28"/>
          <w:lang w:val="uk-UA" w:eastAsia="ru-RU" w:bidi="uk-UA"/>
        </w:rPr>
      </w:pPr>
      <w:r w:rsidRPr="00511005">
        <w:rPr>
          <w:rFonts w:ascii="Arial" w:eastAsia="Times New Roman" w:hAnsi="Arial" w:cs="Arial"/>
          <w:b/>
          <w:szCs w:val="28"/>
          <w:lang w:val="uk-UA" w:eastAsia="ru-RU" w:bidi="uk-UA"/>
        </w:rPr>
        <w:t>Список використаних джерел</w:t>
      </w:r>
    </w:p>
    <w:p w14:paraId="17AE8B15" w14:textId="77777777" w:rsidR="00220D3E" w:rsidRPr="00511005" w:rsidRDefault="00220D3E" w:rsidP="003F6A5D">
      <w:pPr>
        <w:widowControl w:val="0"/>
        <w:numPr>
          <w:ilvl w:val="0"/>
          <w:numId w:val="823"/>
        </w:numPr>
        <w:autoSpaceDE w:val="0"/>
        <w:autoSpaceDN w:val="0"/>
        <w:adjustRightInd w:val="0"/>
        <w:spacing w:line="264" w:lineRule="auto"/>
        <w:ind w:left="0" w:hanging="426"/>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val="uk-UA" w:eastAsia="ru-RU" w:bidi="uk-UA"/>
        </w:rPr>
        <w:t>Митний кодекс України, 2012. URL: </w:t>
      </w:r>
      <w:hyperlink r:id="rId846" w:anchor="Text" w:tgtFrame="_blank" w:history="1">
        <w:r w:rsidRPr="00511005">
          <w:rPr>
            <w:rFonts w:ascii="Arial" w:eastAsia="Times New Roman" w:hAnsi="Arial" w:cs="Arial"/>
            <w:bCs/>
            <w:szCs w:val="28"/>
            <w:lang w:val="uk-UA" w:eastAsia="ru-RU" w:bidi="uk-UA"/>
          </w:rPr>
          <w:t>https://zakon.rada.gov.ua/laws/show/4495-17#Text</w:t>
        </w:r>
      </w:hyperlink>
    </w:p>
    <w:p w14:paraId="1E1A716F" w14:textId="77777777" w:rsidR="00220D3E" w:rsidRPr="00511005" w:rsidRDefault="00220D3E" w:rsidP="003F6A5D">
      <w:pPr>
        <w:widowControl w:val="0"/>
        <w:numPr>
          <w:ilvl w:val="0"/>
          <w:numId w:val="823"/>
        </w:numPr>
        <w:autoSpaceDE w:val="0"/>
        <w:autoSpaceDN w:val="0"/>
        <w:adjustRightInd w:val="0"/>
        <w:spacing w:line="264" w:lineRule="auto"/>
        <w:ind w:left="0" w:hanging="426"/>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Кодекс адміністративного судочинства України, 2005. URL: </w:t>
      </w:r>
      <w:hyperlink r:id="rId847" w:anchor="Text" w:tgtFrame="_blank" w:history="1">
        <w:r w:rsidRPr="00511005">
          <w:rPr>
            <w:rFonts w:ascii="Arial" w:eastAsia="Times New Roman" w:hAnsi="Arial" w:cs="Arial"/>
            <w:szCs w:val="28"/>
            <w:lang w:val="uk-UA" w:eastAsia="ru-RU" w:bidi="uk-UA"/>
          </w:rPr>
          <w:t>https://zakon.rada.gov.ua/laws/show/2747-15#Text</w:t>
        </w:r>
      </w:hyperlink>
    </w:p>
    <w:p w14:paraId="777E69C4" w14:textId="77777777" w:rsidR="00220D3E" w:rsidRPr="00511005" w:rsidRDefault="00220D3E" w:rsidP="003F6A5D">
      <w:pPr>
        <w:widowControl w:val="0"/>
        <w:numPr>
          <w:ilvl w:val="0"/>
          <w:numId w:val="823"/>
        </w:numPr>
        <w:autoSpaceDE w:val="0"/>
        <w:autoSpaceDN w:val="0"/>
        <w:adjustRightInd w:val="0"/>
        <w:spacing w:line="264" w:lineRule="auto"/>
        <w:ind w:left="0" w:hanging="426"/>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val="uk-UA" w:eastAsia="ru-RU" w:bidi="uk-UA"/>
        </w:rPr>
        <w:t xml:space="preserve">Про медіацію: Закон України від 16.11.2021. URL: </w:t>
      </w:r>
      <w:hyperlink r:id="rId848" w:anchor="Text" w:tgtFrame="_blank" w:history="1">
        <w:r w:rsidRPr="00511005">
          <w:rPr>
            <w:rFonts w:ascii="Arial" w:eastAsia="Times New Roman" w:hAnsi="Arial" w:cs="Arial"/>
            <w:bCs/>
            <w:szCs w:val="28"/>
            <w:lang w:val="uk-UA" w:eastAsia="ru-RU" w:bidi="uk-UA"/>
          </w:rPr>
          <w:t>https://zakon.rada.gov.ua/laws/show/1875-ix#Text</w:t>
        </w:r>
      </w:hyperlink>
    </w:p>
    <w:p w14:paraId="47AC781E" w14:textId="77777777" w:rsidR="00220D3E" w:rsidRPr="00511005" w:rsidRDefault="00220D3E" w:rsidP="003F6A5D">
      <w:pPr>
        <w:widowControl w:val="0"/>
        <w:numPr>
          <w:ilvl w:val="0"/>
          <w:numId w:val="823"/>
        </w:numPr>
        <w:autoSpaceDE w:val="0"/>
        <w:autoSpaceDN w:val="0"/>
        <w:adjustRightInd w:val="0"/>
        <w:spacing w:line="264" w:lineRule="auto"/>
        <w:ind w:left="0" w:hanging="426"/>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val="uk-UA" w:eastAsia="ru-RU" w:bidi="uk-UA"/>
        </w:rPr>
        <w:t xml:space="preserve">Про міжнародний комерційний арбітраж: Закон України від 24.02.1994. URL: </w:t>
      </w:r>
      <w:hyperlink r:id="rId849" w:anchor="Text" w:tgtFrame="_blank" w:history="1">
        <w:r w:rsidRPr="00511005">
          <w:rPr>
            <w:rFonts w:ascii="Arial" w:eastAsia="Times New Roman" w:hAnsi="Arial" w:cs="Arial"/>
            <w:bCs/>
            <w:szCs w:val="28"/>
            <w:lang w:val="uk-UA" w:eastAsia="ru-RU" w:bidi="uk-UA"/>
          </w:rPr>
          <w:t>https://zakon.rada.gov.ua/laws/show/4002-12#Text</w:t>
        </w:r>
      </w:hyperlink>
    </w:p>
    <w:p w14:paraId="3E88F0BD" w14:textId="77777777" w:rsidR="00220D3E" w:rsidRPr="00511005" w:rsidRDefault="00220D3E" w:rsidP="003F6A5D">
      <w:pPr>
        <w:widowControl w:val="0"/>
        <w:numPr>
          <w:ilvl w:val="0"/>
          <w:numId w:val="823"/>
        </w:numPr>
        <w:autoSpaceDE w:val="0"/>
        <w:autoSpaceDN w:val="0"/>
        <w:adjustRightInd w:val="0"/>
        <w:spacing w:line="264" w:lineRule="auto"/>
        <w:ind w:left="0" w:hanging="426"/>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val="uk-UA" w:eastAsia="ru-RU"/>
        </w:rPr>
        <w:t xml:space="preserve">Оніщик Ю.В. Абдукадирова К.Е. Правове регулювання процедур вирішення митних спорів в Україні. Київ: Вид-во «Юридика», 2024. URL: </w:t>
      </w:r>
      <w:hyperlink r:id="rId850" w:history="1">
        <w:r w:rsidRPr="00511005">
          <w:rPr>
            <w:rFonts w:ascii="Arial" w:eastAsia="Times New Roman" w:hAnsi="Arial" w:cs="Arial"/>
            <w:bCs/>
            <w:szCs w:val="28"/>
            <w:lang w:val="uk-UA" w:eastAsia="ru-RU"/>
          </w:rPr>
          <w:t>https://er.knutd.edu.ua/handle/123456789/27818</w:t>
        </w:r>
      </w:hyperlink>
    </w:p>
    <w:p w14:paraId="26885455" w14:textId="77777777" w:rsidR="00220D3E" w:rsidRPr="00511005" w:rsidRDefault="00220D3E" w:rsidP="003A292D">
      <w:pPr>
        <w:widowControl w:val="0"/>
        <w:tabs>
          <w:tab w:val="left" w:pos="993"/>
          <w:tab w:val="left" w:pos="7088"/>
        </w:tabs>
        <w:autoSpaceDE w:val="0"/>
        <w:autoSpaceDN w:val="0"/>
        <w:adjustRightInd w:val="0"/>
        <w:spacing w:line="264" w:lineRule="auto"/>
        <w:ind w:firstLine="0"/>
        <w:rPr>
          <w:rFonts w:ascii="Arial" w:eastAsia="Times New Roman" w:hAnsi="Arial" w:cs="Arial"/>
          <w:b/>
          <w:i/>
          <w:szCs w:val="28"/>
          <w:lang w:val="uk-UA" w:eastAsia="ru-RU" w:bidi="uk-UA"/>
        </w:rPr>
      </w:pPr>
    </w:p>
    <w:p w14:paraId="57181A44" w14:textId="1BC63189" w:rsidR="00220D3E" w:rsidRPr="00511005" w:rsidRDefault="007B2628" w:rsidP="003A292D">
      <w:pPr>
        <w:widowControl w:val="0"/>
        <w:tabs>
          <w:tab w:val="left" w:pos="993"/>
          <w:tab w:val="left" w:pos="7088"/>
        </w:tabs>
        <w:autoSpaceDE w:val="0"/>
        <w:autoSpaceDN w:val="0"/>
        <w:adjustRightInd w:val="0"/>
        <w:spacing w:line="264" w:lineRule="auto"/>
        <w:ind w:firstLine="0"/>
        <w:rPr>
          <w:rFonts w:ascii="Arial" w:eastAsia="Times New Roman" w:hAnsi="Arial" w:cs="Arial"/>
          <w:b/>
          <w:szCs w:val="28"/>
          <w:lang w:val="uk-UA" w:eastAsia="ru-RU" w:bidi="uk-UA"/>
        </w:rPr>
      </w:pPr>
      <w:r w:rsidRPr="00511005">
        <w:rPr>
          <w:rFonts w:ascii="Arial" w:eastAsia="Times New Roman" w:hAnsi="Arial" w:cs="Arial"/>
          <w:b/>
          <w:i/>
          <w:szCs w:val="28"/>
          <w:lang w:val="uk-UA" w:eastAsia="ru-RU" w:bidi="uk-UA"/>
        </w:rPr>
        <w:t xml:space="preserve">Ключові слова: </w:t>
      </w:r>
      <w:r w:rsidR="00220D3E" w:rsidRPr="00511005">
        <w:rPr>
          <w:rFonts w:ascii="Arial" w:eastAsia="Times New Roman" w:hAnsi="Arial" w:cs="Arial"/>
          <w:szCs w:val="28"/>
          <w:lang w:val="uk-UA" w:eastAsia="ru-RU"/>
        </w:rPr>
        <w:t>митні спори, альтернативні способи вирішення спорів, адміністративне оскарження, медіація, арбітраж, врегулювання спору за участю судді</w:t>
      </w:r>
      <w:r w:rsidR="00220D3E" w:rsidRPr="00511005">
        <w:rPr>
          <w:rFonts w:ascii="Arial" w:eastAsia="Times New Roman" w:hAnsi="Arial" w:cs="Arial"/>
          <w:szCs w:val="28"/>
          <w:lang w:val="uk-UA" w:eastAsia="ru-RU" w:bidi="uk-UA"/>
        </w:rPr>
        <w:t xml:space="preserve"> .</w:t>
      </w:r>
    </w:p>
    <w:p w14:paraId="52B4974A" w14:textId="7BA2F67E" w:rsidR="00220D3E" w:rsidRPr="00511005" w:rsidRDefault="007B2628" w:rsidP="003A292D">
      <w:pPr>
        <w:widowControl w:val="0"/>
        <w:tabs>
          <w:tab w:val="left" w:pos="993"/>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b/>
          <w:i/>
          <w:szCs w:val="28"/>
          <w:lang w:val="uk-UA" w:eastAsia="ru-RU" w:bidi="uk-UA"/>
        </w:rPr>
        <w:t xml:space="preserve">Key words: </w:t>
      </w:r>
      <w:r w:rsidR="00220D3E" w:rsidRPr="00511005">
        <w:rPr>
          <w:rFonts w:ascii="Arial" w:eastAsia="Times New Roman" w:hAnsi="Arial" w:cs="Arial"/>
          <w:szCs w:val="28"/>
          <w:lang w:val="uk-UA" w:eastAsia="ru-RU"/>
        </w:rPr>
        <w:t>сustoms disputes, alternative dispute resolution methods, administrative appeal, mediation, arbitration, settlement of a dispute with the participation of a judge.</w:t>
      </w:r>
    </w:p>
    <w:p w14:paraId="751CE3FF" w14:textId="0142E062" w:rsidR="00220D3E" w:rsidRPr="00511005" w:rsidRDefault="007B2628" w:rsidP="003A292D">
      <w:pPr>
        <w:widowControl w:val="0"/>
        <w:tabs>
          <w:tab w:val="left" w:pos="993"/>
          <w:tab w:val="left" w:pos="7088"/>
        </w:tabs>
        <w:autoSpaceDE w:val="0"/>
        <w:autoSpaceDN w:val="0"/>
        <w:adjustRightInd w:val="0"/>
        <w:spacing w:line="264" w:lineRule="auto"/>
        <w:ind w:firstLine="0"/>
        <w:rPr>
          <w:rFonts w:ascii="Arial" w:eastAsia="Times New Roman" w:hAnsi="Arial" w:cs="Arial"/>
          <w:i/>
          <w:szCs w:val="28"/>
          <w:lang w:val="uk-UA" w:eastAsia="ru-RU" w:bidi="uk-UA"/>
        </w:rPr>
      </w:pPr>
      <w:r w:rsidRPr="00511005">
        <w:rPr>
          <w:rFonts w:ascii="Arial" w:eastAsia="Times New Roman" w:hAnsi="Arial" w:cs="Arial"/>
          <w:b/>
          <w:i/>
          <w:iCs/>
          <w:szCs w:val="28"/>
          <w:lang w:val="uk-UA" w:eastAsia="ru-RU"/>
        </w:rPr>
        <w:t xml:space="preserve">Науковий керівник: </w:t>
      </w:r>
      <w:r w:rsidR="00220D3E" w:rsidRPr="00511005">
        <w:rPr>
          <w:rFonts w:ascii="Arial" w:eastAsia="Times New Roman" w:hAnsi="Arial" w:cs="Arial"/>
          <w:i/>
          <w:iCs/>
          <w:szCs w:val="28"/>
          <w:lang w:val="uk-UA" w:eastAsia="ru-RU"/>
        </w:rPr>
        <w:t>к.ю.н., доцент</w:t>
      </w:r>
      <w:r w:rsidR="00220D3E" w:rsidRPr="00511005">
        <w:rPr>
          <w:rFonts w:ascii="Arial" w:eastAsia="Times New Roman" w:hAnsi="Arial" w:cs="Arial"/>
          <w:szCs w:val="28"/>
          <w:lang w:val="uk-UA" w:eastAsia="ru-RU"/>
        </w:rPr>
        <w:t xml:space="preserve"> </w:t>
      </w:r>
      <w:r w:rsidR="00220D3E" w:rsidRPr="00511005">
        <w:rPr>
          <w:rFonts w:ascii="Arial" w:eastAsia="Times New Roman" w:hAnsi="Arial" w:cs="Arial"/>
          <w:i/>
          <w:iCs/>
          <w:szCs w:val="28"/>
          <w:lang w:val="uk-UA" w:eastAsia="ru-RU"/>
        </w:rPr>
        <w:t>Батанова Л. О.</w:t>
      </w:r>
    </w:p>
    <w:p w14:paraId="70639FFA" w14:textId="77777777" w:rsidR="00220D3E" w:rsidRPr="00511005" w:rsidRDefault="00220D3E" w:rsidP="003A292D">
      <w:pPr>
        <w:widowControl w:val="0"/>
        <w:tabs>
          <w:tab w:val="left" w:pos="993"/>
          <w:tab w:val="left" w:pos="7088"/>
        </w:tabs>
        <w:autoSpaceDE w:val="0"/>
        <w:autoSpaceDN w:val="0"/>
        <w:adjustRightInd w:val="0"/>
        <w:spacing w:line="264" w:lineRule="auto"/>
        <w:ind w:firstLine="0"/>
        <w:rPr>
          <w:rFonts w:ascii="Arial" w:eastAsia="Times New Roman" w:hAnsi="Arial" w:cs="Arial"/>
          <w:szCs w:val="28"/>
          <w:lang w:val="uk-UA" w:eastAsia="ru-RU" w:bidi="uk-UA"/>
        </w:rPr>
      </w:pPr>
    </w:p>
    <w:p w14:paraId="38FD1ADA" w14:textId="77777777" w:rsidR="00220D3E" w:rsidRPr="00511005" w:rsidRDefault="00220D3E" w:rsidP="003A292D">
      <w:pPr>
        <w:spacing w:line="264" w:lineRule="auto"/>
        <w:ind w:firstLine="0"/>
        <w:contextualSpacing/>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 xml:space="preserve">Світлана Токарчук </w:t>
      </w:r>
    </w:p>
    <w:p w14:paraId="60FBFFB9" w14:textId="7A119638" w:rsidR="00220D3E"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4-го курсу </w:t>
      </w:r>
      <w:r w:rsidR="001B7B25" w:rsidRPr="00511005">
        <w:rPr>
          <w:rFonts w:ascii="Arial" w:eastAsia="Calibri" w:hAnsi="Arial" w:cs="Arial"/>
          <w:szCs w:val="28"/>
          <w:lang w:val="uk-UA"/>
        </w:rPr>
        <w:t>факультету судового та міжнародного права</w:t>
      </w:r>
    </w:p>
    <w:p w14:paraId="3E8E56F1" w14:textId="6FC07511" w:rsidR="00220D3E"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75AA2341" w14:textId="77777777" w:rsidR="00220D3E" w:rsidRPr="00511005" w:rsidRDefault="00220D3E" w:rsidP="003A292D">
      <w:pPr>
        <w:spacing w:line="264" w:lineRule="auto"/>
        <w:ind w:firstLine="0"/>
        <w:contextualSpacing/>
        <w:jc w:val="center"/>
        <w:rPr>
          <w:rFonts w:ascii="Arial" w:eastAsia="Times New Roman" w:hAnsi="Arial" w:cs="Arial"/>
          <w:b/>
          <w:szCs w:val="28"/>
          <w:lang w:val="uk-UA" w:eastAsia="ru-RU"/>
        </w:rPr>
      </w:pPr>
    </w:p>
    <w:p w14:paraId="1B176E4D" w14:textId="77777777" w:rsidR="00220D3E" w:rsidRPr="00511005" w:rsidRDefault="00220D3E" w:rsidP="003A292D">
      <w:pPr>
        <w:spacing w:line="264" w:lineRule="auto"/>
        <w:ind w:firstLine="0"/>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ОСОБЛИВОСТІ ДОКАЗУВАННЯ В МИТНИХ СПОРАХ</w:t>
      </w:r>
    </w:p>
    <w:p w14:paraId="6CEF32D9"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Доказування у митних спорах має виражену специфіку, що обумовлена як складністю предмета правовідносин, так і особливим статусом органів, уповноважених на виявлення та фіксацію митних правопорушень. Юрисдикційна діяльність митних органів охоплює не лише збір доказів для встановлення вини конкретних осіб, а й аналіз усіх юридично значущих обставин, оцінку отриманої інформації, прийняття адміністративних актів та формування позиції у спорі. У зв’язку з цим, процес доказування у справах про порушення митних правил є унікальним за своєю правовою природою, оскільки він поєднує риси адміністративного, господарського, податкового, а в окремих випадках – і кримінального процесу.</w:t>
      </w:r>
    </w:p>
    <w:p w14:paraId="2F7E957C"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Основним фактором, що впливає на особливості доказування, є об’єкти протиправних посягань, які визначаються характером митних правовідносин. До них належать митний контроль, порядок переміщення товарів і транспортних засобів через митний кордон, дотримання митних режимів, належність митного оформлення, оподаткування митними </w:t>
      </w:r>
      <w:r w:rsidRPr="00511005">
        <w:rPr>
          <w:rFonts w:ascii="Arial" w:eastAsia="Times New Roman" w:hAnsi="Arial" w:cs="Arial"/>
          <w:szCs w:val="28"/>
          <w:lang w:val="uk-UA" w:eastAsia="ru-RU"/>
        </w:rPr>
        <w:lastRenderedPageBreak/>
        <w:t>платежами, надання пільг та правильність їх використання. Всі ці складові створюють низку різнорідних, але взаємопов’язаних груп митних правопорушень, що вимагають від органів, які здійснюють провадження, глибоких знань не лише юридичних норм, але й технічних, товарознавчих, логістичних, економічних аспектів діяльності суб’єктів ЗЕД.</w:t>
      </w:r>
    </w:p>
    <w:p w14:paraId="26398A31"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Важливим моментом є також те, що відповідальність за митні правопорушення регулюється нормами різних галузей права, що надає цій сфері комплексного характеру. Митні органи при здійсненні функцій з виявлення правопорушень спираються не тільки на положення Митного кодексу України, а й на інші нормативно-правові акти, включаючи закони з питань оподаткування, зовнішньоекономічної діяльності, валютного регулювання, що ускладнює процес правової кваліфікації виявлених порушень. До цього додається ще одна важлива особливість – системна інтеграція провадження у справах про порушення митних правил у сам Митний кодекс, що витіснив ці справи з-під юрисдикції Кодексу України про адміністративні правопорушення [1].</w:t>
      </w:r>
    </w:p>
    <w:p w14:paraId="087752F8"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Провадження у митних справах набуло власного процесуального формату, який містить спеціальні правила, відмінні від загального адміністративного процесу. Визначальною рисою такого формату є широке використання термінології, запозиченої з кримінального процесу. Зокрема, використовується поняття «розслідування», яке хоча і не має процесуального значення, але вказує на глибину аналізу фактів та доказів, які мають бути зібрані. Така термінологічна невизначеність створює ризики підміни суті юридичного процесу, адже адміністративне розслідування, по суті, є процесом збору доказів, але позбавленим інструментів, які мають слідчі органи у кримінальному провадженні.</w:t>
      </w:r>
    </w:p>
    <w:p w14:paraId="64B6AD69"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Ще однією характерною рисою доказування в митних справах є відомча регламентація процедур – розслідування, оцінки доказів, винесення постанов – що практично підміняє вимоги загального адміністративного процесу. Це створює ризик правової невизначеності для суб’єктів господарювання, оскільки митні органи, керуючись внутрішніми наказами чи інструкціями, здійснюють процесуальні дії, які мають зовнішні наслідки, але не мають належного нормативного закріплення на рівні закону. В умовах відсутності чіткої уніфікації підходів до доказування в адміністративному та митному провадженні, така ситуація створює юридичну колізію, що ускладнює доступ до ефективного судового захисту [2].</w:t>
      </w:r>
    </w:p>
    <w:p w14:paraId="4F27939F"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контексті судового розгляду митних спорів доказування набуває рис повноцінного процесуального інструменту з власною структурою. Як свідчать дослідження, доказування розглядається як пізнавальний процес, що включає збір, аналіз, інтерпретацію та оцінку інформації про обставини правопорушення. Це не просто механічне накопичення доказів, а складна аналітична діяльність, що спрямована на встановлення об’єктивної істини у </w:t>
      </w:r>
      <w:r w:rsidRPr="00511005">
        <w:rPr>
          <w:rFonts w:ascii="Arial" w:eastAsia="Times New Roman" w:hAnsi="Arial" w:cs="Arial"/>
          <w:szCs w:val="28"/>
          <w:lang w:val="uk-UA" w:eastAsia="ru-RU"/>
        </w:rPr>
        <w:lastRenderedPageBreak/>
        <w:t>справі. Особливе значення при цьому мають такі елементи доказування, як предмет і межі доказування, джерела доказів, засоби доказування, суб’єкти, які наділені правом здійснювати докази, а також етапи цього процесу.</w:t>
      </w:r>
    </w:p>
    <w:p w14:paraId="3C572BFB"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Наукова думка відзначає, що адміністративне доказування відбувається в умовах неповного нормативного регулювання, що допускає вільне трактування посадовими особами митних органів як обсягу доказів, так і їх значення. При цьому саме доказування стає центральним компонентом юридичного процесу, який здійснюється за допомогою активної, цілеспрямованої діяльності всіх суб’єктів юрисдикційної взаємодії. Відповідно до статті 245 Кодексу України про адміністративні правопорушення, головними завданнями є всебічне, повне, об’єктивне з’ясування обставин справи, її вирішення відповідно до закону, забезпечення виконання постанов та виявлення причин правопорушень. Це прямо корелює із судовими стандартами доказування, де пріоритет надається доказам, які є достатніми, допустимими, достовірними та належними [3].</w:t>
      </w:r>
    </w:p>
    <w:p w14:paraId="773F0144"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Сучасна ситуація в митному праві демонструє системну незавершеність у питанні нормативного врегулювання процедур доказування. Через поєднання в межах митного провадження елементів різних галузей права, формуються специфічні правові підходи, які потребують уточнення. Зокрема, вбачається логічною та доцільною ідея створення у межах Митного кодексу України окремого процесуального блоку, що регламентував би порядок доказування у митних спорах. Це дозволить виключити залежність від адміністративно-процесуальних норм, які в ряді випадків є неузгодженими з особливостями митної справи. Така оптимізація процесу дозволить не лише покращити юридичну техніку правозастосування, а й підвищити рівень захисту прав і законних інтересів усіх учасників митних правовідносин.</w:t>
      </w:r>
    </w:p>
    <w:p w14:paraId="472079AD" w14:textId="77777777" w:rsidR="00220D3E" w:rsidRPr="00511005" w:rsidRDefault="00220D3E"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Отже, доказування у митних спорах – це не просто етап провадження, а складний механізм, що функціонує на стику різних галузей права, і є центральним елементом у встановленні об’єктивної істини. Його особливості зумовлюються не лише характером митних правопорушень, а й організаційною структурою провадження, законодавчими прогалинами, відомчими підходами до фіксації фактів та їх інтерпретації. Для підвищення якості митного правозастосування потрібна не просто уніфікація термінології, процедур і норм, а фундаментальне переосмислення ролі доказування в митній юрисдикції як важливої складової ефективного публічного адміністрування.</w:t>
      </w:r>
    </w:p>
    <w:p w14:paraId="43E8B1F2" w14:textId="77777777" w:rsidR="00220D3E" w:rsidRPr="00511005" w:rsidRDefault="00220D3E" w:rsidP="003A292D">
      <w:pPr>
        <w:spacing w:line="264" w:lineRule="auto"/>
        <w:ind w:firstLine="0"/>
        <w:contextualSpacing/>
        <w:rPr>
          <w:rFonts w:ascii="Arial" w:eastAsia="Calibri" w:hAnsi="Arial" w:cs="Arial"/>
          <w:szCs w:val="28"/>
          <w:lang w:val="uk-UA"/>
        </w:rPr>
      </w:pPr>
    </w:p>
    <w:p w14:paraId="50FF716C" w14:textId="3CB9B291" w:rsidR="00220D3E" w:rsidRPr="00511005" w:rsidRDefault="007B2628" w:rsidP="007B2628">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72AF1446" w14:textId="77777777" w:rsidR="00220D3E" w:rsidRPr="00511005" w:rsidRDefault="00220D3E"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1. Кодекс України про адміністративні правопорушення (зі змінами та допов. на 01 вересня 2015 року). Офіц. текст. К.: Алерта, 2015. 262 с. </w:t>
      </w:r>
    </w:p>
    <w:p w14:paraId="41A9ABAE" w14:textId="77777777" w:rsidR="00220D3E" w:rsidRPr="00511005" w:rsidRDefault="00220D3E"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 xml:space="preserve">2. Голосніченко І.П. Стадії процедурної діяльності в процесі розгляду заяв щодо забезпечення прав громадян. </w:t>
      </w:r>
      <w:r w:rsidRPr="00511005">
        <w:rPr>
          <w:rFonts w:ascii="Arial" w:eastAsia="Calibri" w:hAnsi="Arial" w:cs="Arial"/>
          <w:i/>
          <w:szCs w:val="28"/>
          <w:lang w:val="uk-UA"/>
        </w:rPr>
        <w:t>Українське адміністративне право: актуальні проблеми реформування</w:t>
      </w:r>
      <w:r w:rsidRPr="00511005">
        <w:rPr>
          <w:rFonts w:ascii="Arial" w:eastAsia="Calibri" w:hAnsi="Arial" w:cs="Arial"/>
          <w:szCs w:val="28"/>
          <w:lang w:val="uk-UA"/>
        </w:rPr>
        <w:t xml:space="preserve">. Суми. 2000. </w:t>
      </w:r>
    </w:p>
    <w:p w14:paraId="252BFB91" w14:textId="77777777" w:rsidR="00220D3E" w:rsidRPr="00511005" w:rsidRDefault="00220D3E"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3. Канюка В.Є. До питання про предмет доказування у кримінальному судочинстві. </w:t>
      </w:r>
      <w:r w:rsidRPr="00511005">
        <w:rPr>
          <w:rFonts w:ascii="Arial" w:eastAsia="Calibri" w:hAnsi="Arial" w:cs="Arial"/>
          <w:i/>
          <w:szCs w:val="28"/>
          <w:lang w:val="uk-UA"/>
        </w:rPr>
        <w:t>Митна справа.</w:t>
      </w:r>
      <w:r w:rsidRPr="00511005">
        <w:rPr>
          <w:rFonts w:ascii="Arial" w:eastAsia="Calibri" w:hAnsi="Arial" w:cs="Arial"/>
          <w:szCs w:val="28"/>
          <w:lang w:val="uk-UA"/>
        </w:rPr>
        <w:t xml:space="preserve"> 2012. № 1. С. 97-102. </w:t>
      </w:r>
    </w:p>
    <w:p w14:paraId="235EBCD9" w14:textId="77777777" w:rsidR="00220D3E" w:rsidRPr="00511005" w:rsidRDefault="00220D3E" w:rsidP="003A292D">
      <w:pPr>
        <w:spacing w:line="264" w:lineRule="auto"/>
        <w:ind w:firstLine="0"/>
        <w:contextualSpacing/>
        <w:rPr>
          <w:rFonts w:ascii="Arial" w:eastAsia="Calibri" w:hAnsi="Arial" w:cs="Arial"/>
          <w:szCs w:val="28"/>
          <w:lang w:val="uk-UA"/>
        </w:rPr>
      </w:pPr>
    </w:p>
    <w:p w14:paraId="047F9C24" w14:textId="141331CE" w:rsidR="00220D3E" w:rsidRPr="00511005" w:rsidRDefault="007B2628"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20D3E" w:rsidRPr="00511005">
        <w:rPr>
          <w:rFonts w:ascii="Arial" w:eastAsia="Times New Roman" w:hAnsi="Arial" w:cs="Arial"/>
          <w:szCs w:val="28"/>
          <w:lang w:val="uk-UA" w:eastAsia="ru-RU"/>
        </w:rPr>
        <w:t xml:space="preserve">докази, доказування, митні органи, ситні спори, порушення митних правил. </w:t>
      </w:r>
    </w:p>
    <w:p w14:paraId="2E95B33F" w14:textId="1DE0AA04" w:rsidR="00220D3E"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i/>
          <w:szCs w:val="28"/>
          <w:lang w:val="uk-UA"/>
        </w:rPr>
        <w:t xml:space="preserve">Key words: </w:t>
      </w:r>
      <w:r w:rsidR="00220D3E" w:rsidRPr="00511005">
        <w:rPr>
          <w:rFonts w:ascii="Arial" w:eastAsia="Calibri" w:hAnsi="Arial" w:cs="Arial"/>
          <w:szCs w:val="28"/>
          <w:lang w:val="uk-UA"/>
        </w:rPr>
        <w:t>evidence, substantiation, customs authorities, disputes on the merits, violation of customs rules.</w:t>
      </w:r>
    </w:p>
    <w:p w14:paraId="400A4B22" w14:textId="029F1C0B" w:rsidR="00220D3E" w:rsidRPr="00511005" w:rsidRDefault="007B2628" w:rsidP="003A292D">
      <w:pPr>
        <w:spacing w:line="264" w:lineRule="auto"/>
        <w:ind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220D3E" w:rsidRPr="00511005">
        <w:rPr>
          <w:rFonts w:ascii="Arial" w:eastAsia="Calibri" w:hAnsi="Arial" w:cs="Arial"/>
          <w:bCs/>
          <w:i/>
          <w:iCs/>
          <w:szCs w:val="28"/>
          <w:lang w:val="uk-UA"/>
        </w:rPr>
        <w:t>к.ю.н., доцент Батанова Л. О.</w:t>
      </w:r>
    </w:p>
    <w:p w14:paraId="65F1299F" w14:textId="77777777" w:rsidR="00220D3E" w:rsidRPr="00511005" w:rsidRDefault="00220D3E" w:rsidP="003A292D">
      <w:pPr>
        <w:spacing w:line="264" w:lineRule="auto"/>
        <w:ind w:firstLine="0"/>
        <w:contextualSpacing/>
        <w:rPr>
          <w:rFonts w:ascii="Arial" w:eastAsia="Calibri" w:hAnsi="Arial" w:cs="Arial"/>
          <w:szCs w:val="28"/>
          <w:lang w:val="uk-UA"/>
        </w:rPr>
      </w:pPr>
    </w:p>
    <w:p w14:paraId="6FD6A388" w14:textId="77777777" w:rsidR="00220D3E" w:rsidRPr="00511005" w:rsidRDefault="00220D3E" w:rsidP="003A292D">
      <w:pPr>
        <w:spacing w:line="264" w:lineRule="auto"/>
        <w:ind w:firstLine="0"/>
        <w:jc w:val="center"/>
        <w:rPr>
          <w:rFonts w:ascii="Arial" w:eastAsia="Aptos" w:hAnsi="Arial" w:cs="Arial"/>
          <w:b/>
          <w:bCs/>
          <w:i/>
          <w:iCs/>
          <w:kern w:val="2"/>
          <w:szCs w:val="28"/>
          <w:lang w:val="uk-UA"/>
          <w14:ligatures w14:val="standardContextual"/>
        </w:rPr>
      </w:pPr>
      <w:r w:rsidRPr="00511005">
        <w:rPr>
          <w:rFonts w:ascii="Arial" w:eastAsia="Aptos" w:hAnsi="Arial" w:cs="Arial"/>
          <w:b/>
          <w:bCs/>
          <w:i/>
          <w:iCs/>
          <w:kern w:val="2"/>
          <w:szCs w:val="28"/>
          <w:lang w:val="uk-UA"/>
          <w14:ligatures w14:val="standardContextual"/>
        </w:rPr>
        <w:t>Череповська Ксенія Дмитрівна</w:t>
      </w:r>
    </w:p>
    <w:p w14:paraId="184C9264" w14:textId="5A54DD29" w:rsidR="00220D3E" w:rsidRPr="00511005" w:rsidRDefault="00536AAB" w:rsidP="003A292D">
      <w:pPr>
        <w:spacing w:line="264" w:lineRule="auto"/>
        <w:ind w:firstLine="0"/>
        <w:jc w:val="center"/>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студентка 4-го курсу </w:t>
      </w:r>
      <w:r w:rsidR="001B7B25" w:rsidRPr="00511005">
        <w:rPr>
          <w:rFonts w:ascii="Arial" w:eastAsia="Aptos" w:hAnsi="Arial" w:cs="Arial"/>
          <w:kern w:val="2"/>
          <w:szCs w:val="28"/>
          <w:lang w:val="uk-UA"/>
          <w14:ligatures w14:val="standardContextual"/>
        </w:rPr>
        <w:t>факультету судового та міжнародного права</w:t>
      </w:r>
      <w:r w:rsidR="00220D3E" w:rsidRPr="00511005">
        <w:rPr>
          <w:rFonts w:ascii="Arial" w:eastAsia="Aptos" w:hAnsi="Arial" w:cs="Arial"/>
          <w:kern w:val="2"/>
          <w:szCs w:val="28"/>
          <w:lang w:val="uk-UA"/>
          <w14:ligatures w14:val="standardContextual"/>
        </w:rPr>
        <w:t xml:space="preserve"> </w:t>
      </w:r>
    </w:p>
    <w:p w14:paraId="4C98D514" w14:textId="5AF83729" w:rsidR="00220D3E" w:rsidRPr="00511005" w:rsidRDefault="007B2628" w:rsidP="003A292D">
      <w:pPr>
        <w:spacing w:line="264" w:lineRule="auto"/>
        <w:ind w:firstLine="0"/>
        <w:jc w:val="center"/>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Національного університету «Одеська юридична академія»</w:t>
      </w:r>
    </w:p>
    <w:p w14:paraId="1E333670" w14:textId="77777777" w:rsidR="00220D3E" w:rsidRPr="00511005" w:rsidRDefault="00220D3E" w:rsidP="003A292D">
      <w:pPr>
        <w:spacing w:line="264" w:lineRule="auto"/>
        <w:ind w:firstLine="0"/>
        <w:jc w:val="left"/>
        <w:rPr>
          <w:rFonts w:ascii="Arial" w:eastAsia="Aptos" w:hAnsi="Arial" w:cs="Arial"/>
          <w:kern w:val="2"/>
          <w:szCs w:val="28"/>
          <w:lang w:val="uk-UA"/>
          <w14:ligatures w14:val="standardContextual"/>
        </w:rPr>
      </w:pPr>
    </w:p>
    <w:p w14:paraId="2DBC15D2" w14:textId="77777777" w:rsidR="00220D3E" w:rsidRPr="00511005" w:rsidRDefault="00220D3E" w:rsidP="003A292D">
      <w:pPr>
        <w:spacing w:line="264" w:lineRule="auto"/>
        <w:ind w:firstLine="0"/>
        <w:jc w:val="center"/>
        <w:rPr>
          <w:rFonts w:ascii="Arial" w:eastAsia="Aptos" w:hAnsi="Arial" w:cs="Arial"/>
          <w:b/>
          <w:bCs/>
          <w:kern w:val="2"/>
          <w:szCs w:val="28"/>
          <w:lang w:val="uk-UA"/>
          <w14:ligatures w14:val="standardContextual"/>
        </w:rPr>
      </w:pPr>
      <w:r w:rsidRPr="00511005">
        <w:rPr>
          <w:rFonts w:ascii="Arial" w:eastAsia="Aptos" w:hAnsi="Arial" w:cs="Arial"/>
          <w:b/>
          <w:bCs/>
          <w:kern w:val="2"/>
          <w:szCs w:val="28"/>
          <w:lang w:val="uk-UA"/>
          <w14:ligatures w14:val="standardContextual"/>
        </w:rPr>
        <w:t>МЕХАНІЗМИ ЗАПОБІГАННЯ МИТНИМ СПОРАМ ПІД ЧАС ПЕРЕМІЩЕННЯ ГУМАНІТАРНОЇ ДОПОМОГИ</w:t>
      </w:r>
    </w:p>
    <w:p w14:paraId="239DD66F"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У контексті воєнного стану в Україні питання ефективного переміщення гуманітарної допомоги через митний кордон набуло особливої актуальності. Зростання обсягів гуманітарних вантажів, спрощення процедур митного оформлення та ризики зловживань створюють передумови для виникнення митних спорів. Для їх запобігання необхідно впроваджувати комплексні механізми, що охоплюють нормативно-правове регулювання, організаційні заходи та антикорупційні інструменти.</w:t>
      </w:r>
    </w:p>
    <w:p w14:paraId="79381C30"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Згідно із Законом України «Про гуманітарну допомогу», під гуманітарною допомогою розуміється безоплатна цільова допомога, що надається у грошовій або натуральній формі (зокрема, як безповоротна фінансова підтримка, виконання робіт, надання послуг, добровільні пожертви товарами, продуктами тощо) вітчизняними чи іноземними донорами у зв’язку з надзвичайними обставинами, такими як збройні конфлікти, природні катаклізми, техногенні аварії тощо.</w:t>
      </w:r>
    </w:p>
    <w:p w14:paraId="789E62A8"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За статистичними даними, станом на 16 квітня 2022 року в Україну було імпортовано 270 тисяч тонн гуманітарної допомоги. У зв’язку з таким обсягом надходжень Кабінет Міністрів України прийняв низку нормативно-правових документів, спрямованих на максимально можливе спрощення процедур перетину гуманітарних вантажів через митний кордон та їх митного оформлення. Перелік таких товарів міститься в положеннях Постанови Кабінету Міністрів України від 07.03.2022 р. № 224. </w:t>
      </w:r>
    </w:p>
    <w:p w14:paraId="6F3BC5BC"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Введення в дію Постанови дозволило значною мірою скоротити кадрові та часові витрати. Однак товари, що відсутні у переліку, мають визнаватися гуманітарною допомогою на загальних засадах: на час дії воєнного стану </w:t>
      </w:r>
      <w:r w:rsidRPr="00511005">
        <w:rPr>
          <w:rFonts w:ascii="Arial" w:eastAsia="Aptos" w:hAnsi="Arial" w:cs="Arial"/>
          <w:kern w:val="2"/>
          <w:szCs w:val="28"/>
          <w:lang w:val="uk-UA"/>
          <w14:ligatures w14:val="standardContextual"/>
        </w:rPr>
        <w:lastRenderedPageBreak/>
        <w:t>така процедура відбувається за декларативним принципом (без прийняття відповідних рішень спеціально уповноважених державних органів та проходження процедур визнання допомоги гуманітарною) [1].</w:t>
      </w:r>
    </w:p>
    <w:p w14:paraId="631D9D21"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Оформлення гуманітарної допомоги на митниці відбувається безпосередньо на пункті перетину державного кордону України шляхом подання спеціальної форми — Декларації про перелік товарів, що визнаються гуманітарною допомогою. У цій декларації обов’язково мають бути зазначені такі відомості: інформація про декларанта; дані про відправника та отримувача; реквізити транспортного засобу, яким здійснюється перевезення; місце фактичного розвантаження та пункт пропуску; повний список товарів із вказаною кількістю та обсягом; підпис перевізника (наявність печатки не є обов’язковою). Така декларація складається окремо на кожну вантажівку, що перевозить гуманітарну допомогу, та може подаватися як у паперовому, так і в електронному вигляді. Декларацію подає перевізник (зазвичай водій або уповноважена ним особа), при цьому від сторони-отримувача не вимагається додаткових дозволів чи заяв, що автоматично зменшує фінансові витрати, пов’язані з оформленням договорів або залученням митних брокерів.</w:t>
      </w:r>
    </w:p>
    <w:p w14:paraId="0221E11F"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Спрощення митних процедур для оформлення гуманітарної допомоги включає скасування всіх заходів нетарифного регулювання зовнішньоекономічної діяльності, зокрема таких, як фітосанітарний та ветеринарно-санітарний контроль, ліцензування, квотування тощо. При цьому державний експортний контроль не було скасовано повністю, однак його дія була обмежена — він більше не поширюється на окремі категорії, зокрема засоби індивідуального захисту, зброю, боєприпаси, а також техніку та обладнання, що використовуються у розвідувальних цілях.</w:t>
      </w:r>
    </w:p>
    <w:p w14:paraId="68C6057A"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Оформлення гуманітарної допомоги в умовах воєнного стану в Україні супроводжується підвищеним рівнем корупційних ризиків. Це пов’язано з оперативністю процесів, високими обсягами вантажів та наданням державним службовцям широких дискреційних повноважень. Серед найбільш поширених корупційних практик у сфері митного контролю гуманітарної допомоги фахівці виокремлюють вимагання неправомірної вигоди, штучне затягування процедур, необґрунтовану відмову у визнанні вантажу гуманітарним тощо.</w:t>
      </w:r>
    </w:p>
    <w:p w14:paraId="0FCD0167"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Як зазначає дослідниця І.В. Тарнопольська, у сфері митного регулювання гуманітарної допомоги «відсутність чітких регламентів та недостатній рівень електронізації процедур створюють сприятливий ґрунт для проявів корупції» [3].</w:t>
      </w:r>
    </w:p>
    <w:p w14:paraId="46BB7BFF"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Для вирішення даної проблеми необхідно впроваджувати ефективні антикорупційні механізми, наприклад: запровадження внутрішнього аудиту у митних органах, що дозволить оперативно виявляти та усувати корупційні прояви;</w:t>
      </w:r>
    </w:p>
    <w:p w14:paraId="2190CC97"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lastRenderedPageBreak/>
        <w:t>встановлення обов’язкових процедур фіксації дій посадових осіб (зокрема за допомогою електронних журналів, відеоспостереження, електронних підписів); забезпечення прозорого моніторингу рішень щодо визнання вантажів гуманітарною допомогою через відкриті онлайн-реєстри; посилення відповідальності службовців за зловживання під час оформлення гуманітарних вантажів, включаючи дисциплінарні та кримінальні санкції.</w:t>
      </w:r>
    </w:p>
    <w:p w14:paraId="4B05865C"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Додатково, у дослідженні О.С. Чорної наголошується на необхідності професійної підготовки працівників митниці та органів, що приймають рішення щодо гуманітарної допомоги, як одного з ключових елементів антикорупційної політики [2].</w:t>
      </w:r>
    </w:p>
    <w:p w14:paraId="2E005888"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Таким чином, комплексний підхід до антикорупційної політики в сфері переміщення гуманітарної допомоги дозволить мінімізувати зловживання та підвищити довіру до органів державної влади.</w:t>
      </w:r>
    </w:p>
    <w:p w14:paraId="5E511C77"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Одним із ключових чинників, що впливають на ефективність переміщення гуманітарної допомоги, є рівень правової культури та поінформованості всіх учасників цього процесу: волонтерів, представників громадських і благодійних організацій, митних та прикордонних службовців. Низька обізнаність у сфері нормативно-правового регулювання митного оформлення гуманітарних вантажів часто призводить до помилок, затримок, а подекуди — і до виникнення митних спорів.</w:t>
      </w:r>
    </w:p>
    <w:p w14:paraId="68BDF0DF"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Як зазначає І.О. Хмельницька, «в умовах воєнного стану підвищення правової культури є запорукою не лише дотримання законності, а й ефективного використання ресурсів гуманітарної допомоги» [4].</w:t>
      </w:r>
    </w:p>
    <w:p w14:paraId="59CE8D93"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З метою мінімізації помилок та уникнення конфліктних ситуацій доцільно запровадити проведення навчальних семінарів і тренінгів для учасників гуманітарних місій щодо актуального законодавства у сфері митного регулювання; розробляти та поширювати методичні рекомендації й інформаційних буклетів, які пояснюють процедури митного оформлення, пільги та вимоги до документації; створювати гарячі лінії та консультаційні платформи, де організації можуть оперативно отримати правову допомогу або роз’яснення; запроваджувати інструктажі і правове інформування безпосередньо на пунктах митного контролю.</w:t>
      </w:r>
    </w:p>
    <w:p w14:paraId="641A3630"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Підвищення правової обізнаності також сприятиме зниженню рівня зловживань, оскільки інформовані учасники процесу здатні краще захищати свої права, подавати обґрунтовані скарги та ініціювати перегляд рішень у разі порушення норм закону.</w:t>
      </w:r>
    </w:p>
    <w:p w14:paraId="5C9DBDF5"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Таким чином, запобігання митним спорам під час переміщення гуманітарної допомоги вимагає комплексного підходу, що поєднує нормативно-правові, організаційні та освітні заходи. Лише за умови ефективної координації між усіма зацікавленими сторонами можна забезпечити швидке та безперешкодне надання допомоги тим, хто її потребує.</w:t>
      </w:r>
    </w:p>
    <w:p w14:paraId="2A8D36C6"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p>
    <w:p w14:paraId="067B0A72" w14:textId="2D94377B" w:rsidR="00220D3E" w:rsidRPr="00511005" w:rsidRDefault="007B2628" w:rsidP="007B2628">
      <w:pPr>
        <w:spacing w:line="264" w:lineRule="auto"/>
        <w:ind w:firstLine="0"/>
        <w:jc w:val="center"/>
        <w:rPr>
          <w:rFonts w:ascii="Arial" w:eastAsia="Aptos" w:hAnsi="Arial" w:cs="Arial"/>
          <w:b/>
          <w:bCs/>
          <w:kern w:val="2"/>
          <w:szCs w:val="28"/>
          <w:lang w:val="uk-UA"/>
          <w14:ligatures w14:val="standardContextual"/>
        </w:rPr>
      </w:pPr>
      <w:r w:rsidRPr="00511005">
        <w:rPr>
          <w:rFonts w:ascii="Arial" w:eastAsia="Aptos" w:hAnsi="Arial" w:cs="Arial"/>
          <w:b/>
          <w:bCs/>
          <w:kern w:val="2"/>
          <w:szCs w:val="28"/>
          <w:lang w:val="uk-UA"/>
          <w14:ligatures w14:val="standardContextual"/>
        </w:rPr>
        <w:lastRenderedPageBreak/>
        <w:t>Список використаних джерел</w:t>
      </w:r>
    </w:p>
    <w:p w14:paraId="394C79F3" w14:textId="77777777" w:rsidR="00220D3E" w:rsidRPr="00511005" w:rsidRDefault="00220D3E" w:rsidP="003F6A5D">
      <w:pPr>
        <w:numPr>
          <w:ilvl w:val="0"/>
          <w:numId w:val="211"/>
        </w:numPr>
        <w:tabs>
          <w:tab w:val="left" w:pos="1276"/>
        </w:tabs>
        <w:spacing w:line="264" w:lineRule="auto"/>
        <w:ind w:left="0" w:firstLine="851"/>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Вигівська І.М., Селецька Д.О. Особливості митного оформлення гуманітарної допомоги під час дії воєнного стану в Україні. </w:t>
      </w:r>
      <w:r w:rsidRPr="00511005">
        <w:rPr>
          <w:rFonts w:ascii="Arial" w:eastAsia="Aptos" w:hAnsi="Arial" w:cs="Arial"/>
          <w:i/>
          <w:iCs/>
          <w:kern w:val="2"/>
          <w:szCs w:val="28"/>
          <w:lang w:val="uk-UA"/>
          <w14:ligatures w14:val="standardContextual"/>
        </w:rPr>
        <w:t>Проблеми теорії та методології бухгалтерського обліку, контролю і аналізу</w:t>
      </w:r>
      <w:r w:rsidRPr="00511005">
        <w:rPr>
          <w:rFonts w:ascii="Arial" w:eastAsia="Aptos" w:hAnsi="Arial" w:cs="Arial"/>
          <w:kern w:val="2"/>
          <w:szCs w:val="28"/>
          <w:lang w:val="uk-UA"/>
          <w14:ligatures w14:val="standardContextual"/>
        </w:rPr>
        <w:t xml:space="preserve">. 2022. № 2(52). С. 3–9. </w:t>
      </w:r>
      <w:hyperlink r:id="rId851" w:history="1">
        <w:r w:rsidRPr="00511005">
          <w:rPr>
            <w:rFonts w:ascii="Arial" w:eastAsia="Aptos" w:hAnsi="Arial" w:cs="Arial"/>
            <w:kern w:val="2"/>
            <w:szCs w:val="28"/>
            <w:lang w:val="uk-UA"/>
            <w14:ligatures w14:val="standardContextual"/>
          </w:rPr>
          <w:t>https://doi.org/10.26642/pbo-2022-2(52)-3-9</w:t>
        </w:r>
      </w:hyperlink>
    </w:p>
    <w:p w14:paraId="45EF4481" w14:textId="77777777" w:rsidR="00220D3E" w:rsidRPr="00511005" w:rsidRDefault="00220D3E" w:rsidP="003F6A5D">
      <w:pPr>
        <w:numPr>
          <w:ilvl w:val="0"/>
          <w:numId w:val="211"/>
        </w:numPr>
        <w:tabs>
          <w:tab w:val="left" w:pos="1276"/>
        </w:tabs>
        <w:spacing w:line="264" w:lineRule="auto"/>
        <w:ind w:left="0" w:firstLine="851"/>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Чорна О.С. Інституційні механізми протидії корупції у сфері публічного управління: український та європейський досвід. </w:t>
      </w:r>
      <w:r w:rsidRPr="00511005">
        <w:rPr>
          <w:rFonts w:ascii="Arial" w:eastAsia="Aptos" w:hAnsi="Arial" w:cs="Arial"/>
          <w:i/>
          <w:iCs/>
          <w:kern w:val="2"/>
          <w:szCs w:val="28"/>
          <w:lang w:val="uk-UA"/>
          <w14:ligatures w14:val="standardContextual"/>
        </w:rPr>
        <w:t>Юридичний науковий електронний журнал</w:t>
      </w:r>
      <w:r w:rsidRPr="00511005">
        <w:rPr>
          <w:rFonts w:ascii="Arial" w:eastAsia="Aptos" w:hAnsi="Arial" w:cs="Arial"/>
          <w:kern w:val="2"/>
          <w:szCs w:val="28"/>
          <w:lang w:val="uk-UA"/>
          <w14:ligatures w14:val="standardContextual"/>
        </w:rPr>
        <w:t>. 2022. №6. С. 220–224.</w:t>
      </w:r>
    </w:p>
    <w:p w14:paraId="0723F1EB" w14:textId="77777777" w:rsidR="00220D3E" w:rsidRPr="00511005" w:rsidRDefault="00220D3E" w:rsidP="003F6A5D">
      <w:pPr>
        <w:numPr>
          <w:ilvl w:val="0"/>
          <w:numId w:val="211"/>
        </w:numPr>
        <w:tabs>
          <w:tab w:val="left" w:pos="1276"/>
        </w:tabs>
        <w:spacing w:line="264" w:lineRule="auto"/>
        <w:ind w:left="0" w:firstLine="851"/>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Тарнопольська І. В. Проблеми правового регулювання гуманітарної допомоги в умовах збройного конфлікту. </w:t>
      </w:r>
      <w:r w:rsidRPr="00511005">
        <w:rPr>
          <w:rFonts w:ascii="Arial" w:eastAsia="Aptos" w:hAnsi="Arial" w:cs="Arial"/>
          <w:i/>
          <w:iCs/>
          <w:kern w:val="2"/>
          <w:szCs w:val="28"/>
          <w:lang w:val="uk-UA"/>
          <w14:ligatures w14:val="standardContextual"/>
        </w:rPr>
        <w:t xml:space="preserve">Науковий вісник Ужгородського національного університету. </w:t>
      </w:r>
      <w:r w:rsidRPr="00511005">
        <w:rPr>
          <w:rFonts w:ascii="Arial" w:eastAsia="Aptos" w:hAnsi="Arial" w:cs="Arial"/>
          <w:iCs/>
          <w:kern w:val="2"/>
          <w:szCs w:val="28"/>
          <w:lang w:val="uk-UA"/>
          <w14:ligatures w14:val="standardContextual"/>
        </w:rPr>
        <w:t>Серія:</w:t>
      </w:r>
      <w:r w:rsidRPr="00511005">
        <w:rPr>
          <w:rFonts w:ascii="Arial" w:eastAsia="Aptos" w:hAnsi="Arial" w:cs="Arial"/>
          <w:i/>
          <w:iCs/>
          <w:kern w:val="2"/>
          <w:szCs w:val="28"/>
          <w:lang w:val="uk-UA"/>
          <w14:ligatures w14:val="standardContextual"/>
        </w:rPr>
        <w:t xml:space="preserve"> Право</w:t>
      </w:r>
      <w:r w:rsidRPr="00511005">
        <w:rPr>
          <w:rFonts w:ascii="Arial" w:eastAsia="Aptos" w:hAnsi="Arial" w:cs="Arial"/>
          <w:kern w:val="2"/>
          <w:szCs w:val="28"/>
          <w:lang w:val="uk-UA"/>
          <w14:ligatures w14:val="standardContextual"/>
        </w:rPr>
        <w:t>. 2023. Вип. 73(2). С. 105–109.</w:t>
      </w:r>
    </w:p>
    <w:p w14:paraId="09046AD0" w14:textId="77777777" w:rsidR="00220D3E" w:rsidRPr="00511005" w:rsidRDefault="00220D3E" w:rsidP="003F6A5D">
      <w:pPr>
        <w:numPr>
          <w:ilvl w:val="0"/>
          <w:numId w:val="211"/>
        </w:numPr>
        <w:tabs>
          <w:tab w:val="left" w:pos="1276"/>
        </w:tabs>
        <w:spacing w:line="264" w:lineRule="auto"/>
        <w:ind w:left="0" w:firstLine="851"/>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Хмельницька І. О. Роль правової освіти у формуванні правосвідомості суб’єктів публічного адміністрування. </w:t>
      </w:r>
      <w:r w:rsidRPr="00511005">
        <w:rPr>
          <w:rFonts w:ascii="Arial" w:eastAsia="Aptos" w:hAnsi="Arial" w:cs="Arial"/>
          <w:i/>
          <w:iCs/>
          <w:kern w:val="2"/>
          <w:szCs w:val="28"/>
          <w:lang w:val="uk-UA"/>
          <w14:ligatures w14:val="standardContextual"/>
        </w:rPr>
        <w:t>Юридичний науковий вісник</w:t>
      </w:r>
      <w:r w:rsidRPr="00511005">
        <w:rPr>
          <w:rFonts w:ascii="Arial" w:eastAsia="Aptos" w:hAnsi="Arial" w:cs="Arial"/>
          <w:kern w:val="2"/>
          <w:szCs w:val="28"/>
          <w:lang w:val="uk-UA"/>
          <w14:ligatures w14:val="standardContextual"/>
        </w:rPr>
        <w:t>. 2023. № 2. С. 132–137.</w:t>
      </w:r>
    </w:p>
    <w:p w14:paraId="09826803" w14:textId="77777777" w:rsidR="00220D3E" w:rsidRPr="00511005" w:rsidRDefault="00220D3E" w:rsidP="003F6A5D">
      <w:pPr>
        <w:numPr>
          <w:ilvl w:val="0"/>
          <w:numId w:val="211"/>
        </w:numPr>
        <w:tabs>
          <w:tab w:val="left" w:pos="1276"/>
        </w:tabs>
        <w:spacing w:line="264" w:lineRule="auto"/>
        <w:ind w:left="0" w:firstLine="851"/>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Про гуманітарну допомогу: Закон України від 22.10.1999 р. URL: </w:t>
      </w:r>
      <w:hyperlink r:id="rId852" w:anchor="Text" w:history="1">
        <w:r w:rsidRPr="00511005">
          <w:rPr>
            <w:rFonts w:ascii="Arial" w:eastAsia="Aptos" w:hAnsi="Arial" w:cs="Arial"/>
            <w:kern w:val="2"/>
            <w:szCs w:val="28"/>
            <w:lang w:val="uk-UA"/>
            <w14:ligatures w14:val="standardContextual"/>
          </w:rPr>
          <w:t>https://zakon.rada.gov.ua/laws/show/1192-14#Text</w:t>
        </w:r>
      </w:hyperlink>
    </w:p>
    <w:p w14:paraId="6ADCE246" w14:textId="77777777" w:rsidR="00220D3E" w:rsidRPr="00511005" w:rsidRDefault="00220D3E" w:rsidP="003F6A5D">
      <w:pPr>
        <w:numPr>
          <w:ilvl w:val="0"/>
          <w:numId w:val="211"/>
        </w:numPr>
        <w:tabs>
          <w:tab w:val="left" w:pos="1276"/>
        </w:tabs>
        <w:spacing w:line="264" w:lineRule="auto"/>
        <w:ind w:left="0" w:firstLine="851"/>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Про затвердження переліку категорій товарів, що визнаються гуманітарною допомогою без здійснення процедури визнання таких товарів гуманітарною допомогою у кожному конкретному випадку, на період воєнного стану та внесення змін до деяких постанов Кабінету Міністрів України з питань гуманітарної допомоги: Постанова Кабінету Міністрів України від 07.03.2022 р. № 224. URL: </w:t>
      </w:r>
      <w:hyperlink r:id="rId853" w:anchor="Text" w:history="1">
        <w:r w:rsidRPr="00511005">
          <w:rPr>
            <w:rFonts w:ascii="Arial" w:eastAsia="Aptos" w:hAnsi="Arial" w:cs="Arial"/>
            <w:kern w:val="2"/>
            <w:szCs w:val="28"/>
            <w:lang w:val="uk-UA"/>
            <w14:ligatures w14:val="standardContextual"/>
          </w:rPr>
          <w:t>https://zakon.rada.gov.ua/laws/show/224-2022-п#Text</w:t>
        </w:r>
      </w:hyperlink>
    </w:p>
    <w:p w14:paraId="36E1978F" w14:textId="77777777" w:rsidR="00220D3E" w:rsidRPr="00511005" w:rsidRDefault="00220D3E" w:rsidP="003A292D">
      <w:pPr>
        <w:spacing w:line="264" w:lineRule="auto"/>
        <w:ind w:firstLine="0"/>
        <w:rPr>
          <w:rFonts w:ascii="Arial" w:eastAsia="Aptos" w:hAnsi="Arial" w:cs="Arial"/>
          <w:kern w:val="2"/>
          <w:szCs w:val="28"/>
          <w:lang w:val="uk-UA"/>
          <w14:ligatures w14:val="standardContextual"/>
        </w:rPr>
      </w:pPr>
    </w:p>
    <w:p w14:paraId="078013CE" w14:textId="6EDD1179" w:rsidR="00220D3E" w:rsidRPr="00511005" w:rsidRDefault="007B2628"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b/>
          <w:bCs/>
          <w:i/>
          <w:kern w:val="2"/>
          <w:szCs w:val="28"/>
          <w:lang w:val="uk-UA"/>
          <w14:ligatures w14:val="standardContextual"/>
        </w:rPr>
        <w:t xml:space="preserve">Ключові слова: </w:t>
      </w:r>
      <w:r w:rsidR="00220D3E" w:rsidRPr="00511005">
        <w:rPr>
          <w:rFonts w:ascii="Arial" w:eastAsia="Aptos" w:hAnsi="Arial" w:cs="Arial"/>
          <w:kern w:val="2"/>
          <w:szCs w:val="28"/>
          <w:lang w:val="uk-UA"/>
          <w14:ligatures w14:val="standardContextual"/>
        </w:rPr>
        <w:t>воєнний стан, гуманітарна допомога, митне оформлення, митний контроль, правова обізнаність.</w:t>
      </w:r>
    </w:p>
    <w:p w14:paraId="57848AEB" w14:textId="1644F7CF" w:rsidR="00220D3E" w:rsidRPr="00511005" w:rsidRDefault="007B2628" w:rsidP="003A292D">
      <w:pPr>
        <w:spacing w:line="264" w:lineRule="auto"/>
        <w:ind w:firstLine="0"/>
        <w:rPr>
          <w:rFonts w:ascii="Arial" w:eastAsia="Aptos" w:hAnsi="Arial" w:cs="Arial"/>
          <w:kern w:val="2"/>
          <w:szCs w:val="28"/>
          <w:lang w:val="uk-UA"/>
          <w14:ligatures w14:val="standardContextual"/>
        </w:rPr>
      </w:pPr>
      <w:r w:rsidRPr="00511005">
        <w:rPr>
          <w:rFonts w:ascii="Arial" w:eastAsia="Aptos" w:hAnsi="Arial" w:cs="Arial"/>
          <w:b/>
          <w:bCs/>
          <w:i/>
          <w:kern w:val="2"/>
          <w:szCs w:val="28"/>
          <w:lang w:val="uk-UA"/>
          <w14:ligatures w14:val="standardContextual"/>
        </w:rPr>
        <w:t xml:space="preserve">Key words: </w:t>
      </w:r>
      <w:r w:rsidR="00220D3E" w:rsidRPr="00511005">
        <w:rPr>
          <w:rFonts w:ascii="Arial" w:eastAsia="Aptos" w:hAnsi="Arial" w:cs="Arial"/>
          <w:kern w:val="2"/>
          <w:szCs w:val="28"/>
          <w:lang w:val="uk-UA"/>
          <w14:ligatures w14:val="standardContextual"/>
        </w:rPr>
        <w:t>martial law, humanitarian aid, customs clearance, customs control, legal awareness.</w:t>
      </w:r>
    </w:p>
    <w:p w14:paraId="12D24559" w14:textId="7D7A29BA" w:rsidR="00220D3E" w:rsidRPr="00511005" w:rsidRDefault="007B2628" w:rsidP="003A292D">
      <w:pPr>
        <w:spacing w:line="264" w:lineRule="auto"/>
        <w:ind w:firstLine="0"/>
        <w:rPr>
          <w:rFonts w:ascii="Arial" w:eastAsia="Aptos" w:hAnsi="Arial" w:cs="Arial"/>
          <w:i/>
          <w:iCs/>
          <w:kern w:val="2"/>
          <w:szCs w:val="28"/>
          <w:lang w:val="uk-UA"/>
          <w14:ligatures w14:val="standardContextual"/>
        </w:rPr>
      </w:pPr>
      <w:r w:rsidRPr="00511005">
        <w:rPr>
          <w:rFonts w:ascii="Arial" w:eastAsia="Aptos" w:hAnsi="Arial" w:cs="Arial"/>
          <w:b/>
          <w:i/>
          <w:iCs/>
          <w:kern w:val="2"/>
          <w:szCs w:val="28"/>
          <w:lang w:val="uk-UA"/>
          <w14:ligatures w14:val="standardContextual"/>
        </w:rPr>
        <w:t xml:space="preserve">Науковий керівник: </w:t>
      </w:r>
      <w:r w:rsidR="00220D3E" w:rsidRPr="00511005">
        <w:rPr>
          <w:rFonts w:ascii="Arial" w:eastAsia="Aptos" w:hAnsi="Arial" w:cs="Arial"/>
          <w:i/>
          <w:iCs/>
          <w:kern w:val="2"/>
          <w:szCs w:val="28"/>
          <w:lang w:val="uk-UA"/>
          <w14:ligatures w14:val="standardContextual"/>
        </w:rPr>
        <w:t>к.ю.н., доцент кафедри Коваль Н. О.</w:t>
      </w:r>
    </w:p>
    <w:p w14:paraId="27BB10FE" w14:textId="77777777" w:rsidR="00220D3E" w:rsidRPr="00511005" w:rsidRDefault="00220D3E" w:rsidP="003A292D">
      <w:pPr>
        <w:spacing w:line="264" w:lineRule="auto"/>
        <w:ind w:firstLine="0"/>
        <w:rPr>
          <w:rFonts w:ascii="Arial" w:eastAsiaTheme="minorHAnsi" w:hAnsi="Arial" w:cs="Arial"/>
          <w:spacing w:val="-10"/>
          <w:szCs w:val="28"/>
          <w:lang w:val="uk-UA"/>
        </w:rPr>
      </w:pPr>
    </w:p>
    <w:p w14:paraId="4E87B9D0" w14:textId="77777777" w:rsidR="00220D3E" w:rsidRPr="00511005" w:rsidRDefault="00220D3E" w:rsidP="003A292D">
      <w:pPr>
        <w:spacing w:line="264" w:lineRule="auto"/>
        <w:ind w:right="57"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Чудімова Анастасія Валеріївна, Радецька Мирослава Валеріївна</w:t>
      </w:r>
    </w:p>
    <w:p w14:paraId="47F03CB9" w14:textId="3E1434DA" w:rsidR="00220D3E" w:rsidRPr="00511005" w:rsidRDefault="00220D3E"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студентки 4-го курсу </w:t>
      </w:r>
      <w:r w:rsidR="001B7B25" w:rsidRPr="00511005">
        <w:rPr>
          <w:rFonts w:ascii="Arial" w:eastAsia="Times New Roman" w:hAnsi="Arial" w:cs="Arial"/>
          <w:szCs w:val="28"/>
          <w:lang w:val="uk-UA" w:eastAsia="ru-RU"/>
        </w:rPr>
        <w:t>факультету судового та міжнародного права</w:t>
      </w:r>
    </w:p>
    <w:p w14:paraId="66566F14" w14:textId="7B7D793B" w:rsidR="00220D3E" w:rsidRPr="00511005" w:rsidRDefault="007B2628" w:rsidP="003A292D">
      <w:pPr>
        <w:spacing w:line="264" w:lineRule="auto"/>
        <w:ind w:firstLine="0"/>
        <w:jc w:val="center"/>
        <w:rPr>
          <w:rFonts w:ascii="Arial" w:eastAsia="Calibri" w:hAnsi="Arial" w:cs="Arial"/>
          <w:szCs w:val="28"/>
          <w:lang w:val="uk-UA"/>
        </w:rPr>
      </w:pPr>
      <w:r w:rsidRPr="00511005">
        <w:rPr>
          <w:rFonts w:ascii="Arial" w:eastAsia="Times New Roman" w:hAnsi="Arial" w:cs="Arial"/>
          <w:szCs w:val="28"/>
          <w:lang w:val="uk-UA" w:eastAsia="ru-RU"/>
        </w:rPr>
        <w:t>Національного університету «Одеська юридична академія»</w:t>
      </w:r>
    </w:p>
    <w:p w14:paraId="1CF0455C" w14:textId="77777777" w:rsidR="00220D3E" w:rsidRPr="00511005" w:rsidRDefault="00220D3E" w:rsidP="003A292D">
      <w:pPr>
        <w:spacing w:line="264" w:lineRule="auto"/>
        <w:ind w:firstLine="0"/>
        <w:jc w:val="left"/>
        <w:rPr>
          <w:rFonts w:ascii="Arial" w:eastAsia="Calibri" w:hAnsi="Arial" w:cs="Arial"/>
          <w:szCs w:val="28"/>
          <w:lang w:val="uk-UA"/>
        </w:rPr>
      </w:pPr>
    </w:p>
    <w:p w14:paraId="48A18DE6" w14:textId="77777777" w:rsidR="00220D3E" w:rsidRPr="00511005" w:rsidRDefault="00220D3E" w:rsidP="003A292D">
      <w:pPr>
        <w:shd w:val="clear" w:color="auto" w:fill="FFFFFF"/>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РОЛЬ РІШЕНЬ ЄСПЛ У СПРАВАХ ЩОДО РОЗГЛЯДУ МИТНИХ СПОРІВ</w:t>
      </w:r>
    </w:p>
    <w:p w14:paraId="78CD8239"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контексті активного процесу євроінтеграції України цілком логічним є активізація зовнішньоекономічної діяльності національних підприємств. Це, в свою чергу, призводить до збільшення міждержавного товарообігу, і, відповідно, до зростання кількості митних спорів, особливо тих, що пов’язані з порушенням митних правил, а відтак і необхідністю забезпечення прав людини. Тому, усе більш актуальним стає питання про застосування </w:t>
      </w:r>
      <w:r w:rsidRPr="00511005">
        <w:rPr>
          <w:rFonts w:ascii="Arial" w:eastAsia="Calibri" w:hAnsi="Arial" w:cs="Arial"/>
          <w:szCs w:val="28"/>
          <w:lang w:val="uk-UA"/>
        </w:rPr>
        <w:lastRenderedPageBreak/>
        <w:t>положень Конвенції про захист прав людини і основоположних свобод (далі – Конвенція) та практики Європейського суду з прав людини (далі – ЄСПЛ) при вирішенні справ про порушення митних правил. Також актуальність даного питання полягає в необхідності усуненні недолік національної практики та актуалізації певних теоретичних аспектів судової імплементації Конвенції [7, с. 19].</w:t>
      </w:r>
    </w:p>
    <w:p w14:paraId="7F09C47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Враховуючи положення ст. 9 Конституції України, Конвенція та Протоколи до неї є складовою частиною національного законодавства України, адже вона є чинним міжнародним договіром, згода на обов’язковість якого надана Верховною Радою України на підставі Закону України № 475/97-ВР від 17.07.1997 р. [6]. Ратифікуючи Конвенцію, Україна взяла на себе обов’язок гарантувати права і свободи, визначені у Конвенції та протоколах до неї, кожному, хто перебуває під її юрисдикцією. У п. 1 ч. 1 Закону України «Про ратифікацію Конвенції про захист прав людини і основоположних свобод 1950 року, Першого протоколу та протоколів № 2, 4, 7 та 11 до Конвенції», зазначено, що: «Україна повністю визнає на своїй території обов’язковою і без укладення спеціальної угоди юрисдикцію Європейського суду з прав людини в усіх питаннях, що стосуються тлумачення і застосування Конвенції». Таке законодавче визнання обов’язкової юрисдикції ЄСПЛ у всіх питаннях, що стосуються тлумачення і застосування Конвенції, передбачає необхідність аналізу, вивчення та дослідження практики ЄСПЛ, застосування національного законодавства з огляду на позицію ЄСПЛ, адже саме в рішеннях Європейського суду розкривається зміст більшості положень Конвенції.</w:t>
      </w:r>
    </w:p>
    <w:p w14:paraId="34C2B12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контексті доповіді щодо значення рішень ЄСПЛ у справах щодо розгляду митних спорів для узагальнення судової практики А. Мазур висловив думку, що рішення ЄСПЛ має бути не лише орієнтиром для судового професійного тлумачення, а й орієнтиром для практики правозастосування суб’єктами владних повноважень [3, с. 313].</w:t>
      </w:r>
    </w:p>
    <w:p w14:paraId="2C13916B"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Яскравим прикладом в контексті даної роботи є практика ЄСПЛ у справі «Краєва проти України», де суд визнав, що ст. 1 Першого протоколу до Конвенції застосовна до ситуації, коли на заявника було накладено штраф за порушення митних правил [1]. У вищезазначеній справі ЄСПЛ підкреслив, що мита або збори за ввезені товари належать до сфери оподаткування, яка перебуває у виключній компетенції державної влади. Водночас головним питання, яке мало бути вирішено Судом, полягало в тому, чи дотримано принцип пропорційності між засобами, використаними владою для досягнення заявленої законної мети, та захистом права заявниці на мирне користування своїм майном. Суд наголосив, що необхідного балансу не буде досягнуто, якщо на заявника буде покладено індивідуальний та надмірний тягар відповідальності.</w:t>
      </w:r>
    </w:p>
    <w:p w14:paraId="05BE84B3"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За висновками ЄСПЛ, заявницю було позбавлено можливості аргументувати свою позицію з перспективою досягти позитивного результату в судовому розгляді щодо неї через обов’язковий характер санкції (за обставин цієї справи у вигляді штрафу). Отже, Суд дійшов висновку, що санкція, накладена на заявницю, зокрема сума штрафу, призначеного рішенням апеляційного суду, є надмірним втручанням у її майнові права, що суперечить вимогам ст. 1 Першого протоколу до Конвенції. Таким чином, підсумком розгляду справи стало встановлення порушення цієї статті.</w:t>
      </w:r>
      <w:bookmarkStart w:id="95" w:name="_Hlk196616077"/>
      <w:r w:rsidRPr="00511005">
        <w:rPr>
          <w:rFonts w:ascii="Arial" w:eastAsia="Calibri" w:hAnsi="Arial" w:cs="Arial"/>
          <w:szCs w:val="28"/>
          <w:lang w:val="uk-UA"/>
        </w:rPr>
        <w:t xml:space="preserve"> </w:t>
      </w:r>
    </w:p>
    <w:p w14:paraId="78F57DCC"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Аналогічного висновку ЄСПЛ дійшов </w:t>
      </w:r>
      <w:bookmarkEnd w:id="95"/>
      <w:r w:rsidRPr="00511005">
        <w:rPr>
          <w:rFonts w:ascii="Arial" w:eastAsia="Calibri" w:hAnsi="Arial" w:cs="Arial"/>
          <w:szCs w:val="28"/>
          <w:lang w:val="uk-UA"/>
        </w:rPr>
        <w:t xml:space="preserve">у справі «Sadocha v. Ukraine», у якій інтереси заявника представляли юристи ЮФ «Василь Кісіль і Партнери». Незважаючи на те, що втручання держави у права заявника відповідало вимогам закону та переслідувало легітимну мету, Суд констатував, що конфіскація незадекларованих коштів спричинила для заявника індивідуальний та надмірний тягар, що зробило таке втручання непропорційним характеру правопорушення. Таким чином, знову відбулося порушення ст. 1 Першого протоколу до Конвенції [2]. </w:t>
      </w:r>
    </w:p>
    <w:p w14:paraId="7CE7F2D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Враховуючи вищенаведене, можна дійти висновку, що відсутність можливості вибору виду та розміру адміністративного стягнення з урахуванням обставин справи, таких як характер вчиненого правопорушення, форма вини, особисті характеристики правопорушника, можливість відшкодування заподіяної шкоди, а також наявність пом'якшуючих або обтяжуючих обставин, суттєво ускладнює та навіть унеможливлює справедливий судовий розгляд (пункт 2.10 Рішення № 5-р(ІІ)/2023).</w:t>
      </w:r>
    </w:p>
    <w:p w14:paraId="695C2C7F"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Також варто зауважити на позитивному застосуванні практики ЄСПЛ судами України. До прикладу можна навести справу щодо суб’єкта зовнішньоекономічної діяльності, до якого митниця застосувала жорсткі санкції, тоді як до інших аналогічних суб’єктів – ні. Суд з огляду на практику ЄСПЛ (справа «Бурден проти Сполученого Королівства») встановив, що вибіркове застосування норм без об'єктивного обґрунтування може розцінюватися як дискримінація. Таким чином, практика ЄСПЛ у цій справі підкреслює важливість обґрунтованого, рівного та справедливого застосування законодавчих норм, що є актуальним і для митної сфери в Україні.</w:t>
      </w:r>
    </w:p>
    <w:p w14:paraId="1023F0DC"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низці рішень ЄСПЛ, ухвалених проти України, також розглядалося питання про застосовність ст. 6 Конвенції у провадженнях щодо адміністративних правопорушень, зокрема в справах про порушення митних правил. До прикладу, у 2008 р. ЄСПЛ постановив рішення у справі «Надточій проти України», яка стосувалася притягнення особи до адміністративної відповідальності за порушення митних правил. Суд визнав, що адміністративне переслідування особи за митні правопорушення має </w:t>
      </w:r>
      <w:r w:rsidRPr="00511005">
        <w:rPr>
          <w:rFonts w:ascii="Arial" w:eastAsia="Calibri" w:hAnsi="Arial" w:cs="Arial"/>
          <w:szCs w:val="28"/>
          <w:lang w:val="uk-UA"/>
        </w:rPr>
        <w:lastRenderedPageBreak/>
        <w:t xml:space="preserve">характер «кримінального обвинувачення» у значенні ст. 6 Конвенції. Щодо накладеної на заявника санкції – конфіскації майна, ЄСПЛ констатував, </w:t>
      </w:r>
      <w:bookmarkStart w:id="96" w:name="_Hlk196616676"/>
      <w:r w:rsidRPr="00511005">
        <w:rPr>
          <w:rFonts w:ascii="Arial" w:eastAsia="Calibri" w:hAnsi="Arial" w:cs="Arial"/>
          <w:szCs w:val="28"/>
          <w:lang w:val="uk-UA"/>
        </w:rPr>
        <w:t>що вона завдала заявнику суттєвої шкоди</w:t>
      </w:r>
      <w:bookmarkEnd w:id="96"/>
      <w:r w:rsidRPr="00511005">
        <w:rPr>
          <w:rFonts w:ascii="Arial" w:eastAsia="Calibri" w:hAnsi="Arial" w:cs="Arial"/>
          <w:szCs w:val="28"/>
          <w:lang w:val="uk-UA"/>
        </w:rPr>
        <w:t xml:space="preserve">. </w:t>
      </w:r>
      <w:bookmarkStart w:id="97" w:name="_Hlk196616725"/>
      <w:r w:rsidRPr="00511005">
        <w:rPr>
          <w:rFonts w:ascii="Arial" w:eastAsia="Calibri" w:hAnsi="Arial" w:cs="Arial"/>
          <w:szCs w:val="28"/>
          <w:lang w:val="uk-UA"/>
        </w:rPr>
        <w:t xml:space="preserve">На цій підставі </w:t>
      </w:r>
      <w:bookmarkEnd w:id="97"/>
      <w:r w:rsidRPr="00511005">
        <w:rPr>
          <w:rFonts w:ascii="Arial" w:eastAsia="Calibri" w:hAnsi="Arial" w:cs="Arial"/>
          <w:szCs w:val="28"/>
          <w:lang w:val="uk-UA"/>
        </w:rPr>
        <w:t xml:space="preserve">Суд постановив, що справа за своєю суттю має кримінальний характер </w:t>
      </w:r>
      <w:bookmarkStart w:id="98" w:name="_Hlk196616780"/>
      <w:r w:rsidRPr="00511005">
        <w:rPr>
          <w:rFonts w:ascii="Arial" w:eastAsia="Calibri" w:hAnsi="Arial" w:cs="Arial"/>
          <w:szCs w:val="28"/>
          <w:lang w:val="uk-UA"/>
        </w:rPr>
        <w:t>і що митні адміністративні правопорушення підлягають усім гарантіям, закріпленим у ст. 6 Конвенції</w:t>
      </w:r>
      <w:bookmarkEnd w:id="98"/>
      <w:r w:rsidRPr="00511005">
        <w:rPr>
          <w:rFonts w:ascii="Arial" w:eastAsia="Calibri" w:hAnsi="Arial" w:cs="Arial"/>
          <w:szCs w:val="28"/>
          <w:lang w:val="uk-UA"/>
        </w:rPr>
        <w:t>.</w:t>
      </w:r>
    </w:p>
    <w:p w14:paraId="4DDBF0E7"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Враховуючи вищенаведене, можна виокремити декілька категорій митних справ, за якими сформувалася відповідна практика ЄСПЛ, а саме: справи щодо порушення права власності, про порушення права на справедливий суд, про дискримінаційне застосування норм, щодо доступу до ефективного засобу правового захисту та інші. </w:t>
      </w:r>
    </w:p>
    <w:p w14:paraId="09B5A49D"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Слушною є думка, що важливим практичним кроком у напрямку усунення недоліків імплементації положень Конвенції у судову практику може стати підготовка та розробка окремої постанови Верховного Суду про застосування практики ЄСПЛ національними судами. Перед цим, на наш погляд, важливо здійснити узагальнення практики застосування адміністративними судами не лише норм чинного Митного кодексу України, а й загалом усього законодавства у сфері митної справи. Подібно до постанови Пленуму ВАС України від 29 вересня 2016 р. № 10 [5], пропонується включити окремий розділ, присвячений аналізу рішень ЄСПЛ у справах, що виникають у сфері митних правовідносин. </w:t>
      </w:r>
    </w:p>
    <w:p w14:paraId="1878D495"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Отже, завдяки тлумаченню Європейським судом з прав людини положень Конвенції, концепція справедливого судового розгляду зазнавала певних змін та перетворилася на цілісну систему. На сучасному етапі вона включає основні елементи, такі як: процесуальна рівність сторін; вимога вмотивованості судового рішення; надання правової допомоги стороні, яка її потребує, але не має змоги самостійно собі її забезпечити, якщо це необхідно в інтересах правосуддя [4]. Попри те, що на перший погляд здається, ніби ЄСПЛ створює обов’язкові норми, насправді робить це він з огляду на положення Конвенції 1950 р. Відтак, рішення ЄСПЛ виступають як джерело тлумачення Конвенції, а отже мають враховуватися українськими судами під час розгляду справ. </w:t>
      </w:r>
    </w:p>
    <w:p w14:paraId="6E801EC9" w14:textId="77777777" w:rsidR="00220D3E" w:rsidRPr="00511005" w:rsidRDefault="00220D3E"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Також у зв’язку з активним євроінтеграційним рухом, Україна потребує приведення національного законодавства, у тому числі з питань митної справи, до міжнародних стандартів відповідно до Закону України «Про виконання рішень та застосування практики Європейського суду з прав людини». Впровадження стандартів ЄСПЛ у судову практику України може покращити якість правосуддя, сприяти гуманізації митного права та зміцнити довіру до української судової системи з боку громадян.</w:t>
      </w:r>
    </w:p>
    <w:p w14:paraId="4429E9E0" w14:textId="77777777" w:rsidR="00220D3E" w:rsidRPr="00511005" w:rsidRDefault="00220D3E" w:rsidP="003A292D">
      <w:pPr>
        <w:spacing w:line="264" w:lineRule="auto"/>
        <w:ind w:firstLine="0"/>
        <w:jc w:val="center"/>
        <w:rPr>
          <w:rFonts w:ascii="Arial" w:eastAsia="Calibri" w:hAnsi="Arial" w:cs="Arial"/>
          <w:b/>
          <w:bCs/>
          <w:szCs w:val="28"/>
          <w:lang w:val="uk-UA"/>
        </w:rPr>
      </w:pPr>
    </w:p>
    <w:p w14:paraId="16FDFCBC" w14:textId="54AD50F4" w:rsidR="00220D3E"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28D58147" w14:textId="77777777" w:rsidR="00220D3E" w:rsidRPr="00511005" w:rsidRDefault="00220D3E" w:rsidP="003F6A5D">
      <w:pPr>
        <w:numPr>
          <w:ilvl w:val="0"/>
          <w:numId w:val="220"/>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Говорун Д. Митна диспропорція.</w:t>
      </w:r>
      <w:r w:rsidRPr="00511005">
        <w:rPr>
          <w:rFonts w:ascii="Arial" w:eastAsia="Times New Roman" w:hAnsi="Arial" w:cs="Arial"/>
          <w:kern w:val="36"/>
          <w:szCs w:val="28"/>
          <w:lang w:val="uk-UA" w:eastAsia="uk-UA"/>
        </w:rPr>
        <w:t xml:space="preserve"> </w:t>
      </w:r>
      <w:r w:rsidRPr="00511005">
        <w:rPr>
          <w:rFonts w:ascii="Arial" w:eastAsia="Calibri" w:hAnsi="Arial" w:cs="Arial"/>
          <w:szCs w:val="28"/>
          <w:lang w:val="uk-UA"/>
        </w:rPr>
        <w:t xml:space="preserve">ЄСПЛ у справі «Краєва проти України» визнав, що ст. 1 Першого протоколу до Конвенції застосовна до </w:t>
      </w:r>
      <w:r w:rsidRPr="00511005">
        <w:rPr>
          <w:rFonts w:ascii="Arial" w:eastAsia="Calibri" w:hAnsi="Arial" w:cs="Arial"/>
          <w:szCs w:val="28"/>
          <w:lang w:val="uk-UA"/>
        </w:rPr>
        <w:lastRenderedPageBreak/>
        <w:t xml:space="preserve">ситуації, коли на заявника було накладено штраф за порушення митних правил. </w:t>
      </w:r>
      <w:r w:rsidRPr="00511005">
        <w:rPr>
          <w:rFonts w:ascii="Arial" w:eastAsia="Calibri" w:hAnsi="Arial" w:cs="Arial"/>
          <w:i/>
          <w:iCs/>
          <w:szCs w:val="28"/>
          <w:lang w:val="uk-UA"/>
        </w:rPr>
        <w:t>Юридична практика.</w:t>
      </w:r>
      <w:r w:rsidRPr="00511005">
        <w:rPr>
          <w:rFonts w:ascii="Arial" w:eastAsia="Calibri" w:hAnsi="Arial" w:cs="Arial"/>
          <w:szCs w:val="28"/>
          <w:bdr w:val="none" w:sz="0" w:space="0" w:color="auto" w:frame="1"/>
          <w:shd w:val="clear" w:color="auto" w:fill="FFFFFF"/>
          <w:lang w:val="uk-UA"/>
        </w:rPr>
        <w:t xml:space="preserve"> </w:t>
      </w:r>
      <w:hyperlink r:id="rId854" w:history="1">
        <w:r w:rsidRPr="00511005">
          <w:rPr>
            <w:rFonts w:ascii="Arial" w:eastAsia="Calibri" w:hAnsi="Arial" w:cs="Arial"/>
            <w:i/>
            <w:iCs/>
            <w:szCs w:val="28"/>
            <w:lang w:val="uk-UA"/>
          </w:rPr>
          <w:t>№ 5-6 (1258-1259)</w:t>
        </w:r>
      </w:hyperlink>
      <w:r w:rsidRPr="00511005">
        <w:rPr>
          <w:rFonts w:ascii="Arial" w:eastAsia="Calibri" w:hAnsi="Arial" w:cs="Arial"/>
          <w:i/>
          <w:iCs/>
          <w:szCs w:val="28"/>
          <w:lang w:val="uk-UA"/>
        </w:rPr>
        <w:t>.</w:t>
      </w:r>
      <w:r w:rsidRPr="00511005">
        <w:rPr>
          <w:rFonts w:ascii="Arial" w:eastAsia="Calibri" w:hAnsi="Arial" w:cs="Arial"/>
          <w:szCs w:val="28"/>
          <w:lang w:val="uk-UA"/>
        </w:rPr>
        <w:t xml:space="preserve"> URL: </w:t>
      </w:r>
      <w:hyperlink r:id="rId855" w:history="1">
        <w:r w:rsidRPr="00511005">
          <w:rPr>
            <w:rFonts w:ascii="Arial" w:eastAsia="Calibri" w:hAnsi="Arial" w:cs="Arial"/>
            <w:szCs w:val="28"/>
            <w:lang w:val="uk-UA"/>
          </w:rPr>
          <w:t>https://pravo.ua/articles/mytna-dysproportsiia/</w:t>
        </w:r>
      </w:hyperlink>
    </w:p>
    <w:p w14:paraId="21CD577D" w14:textId="77777777" w:rsidR="00220D3E" w:rsidRPr="00511005" w:rsidRDefault="00220D3E" w:rsidP="003F6A5D">
      <w:pPr>
        <w:numPr>
          <w:ilvl w:val="0"/>
          <w:numId w:val="220"/>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ЄСПЛ виніс рішення щодо справедливої сатисфакції у справі Sadocha v. Ukraine. </w:t>
      </w:r>
      <w:r w:rsidRPr="00511005">
        <w:rPr>
          <w:rFonts w:ascii="Arial" w:eastAsia="Calibri" w:hAnsi="Arial" w:cs="Arial"/>
          <w:i/>
          <w:iCs/>
          <w:szCs w:val="28"/>
          <w:lang w:val="uk-UA"/>
        </w:rPr>
        <w:t xml:space="preserve">Юридична газета. </w:t>
      </w:r>
      <w:r w:rsidRPr="00511005">
        <w:rPr>
          <w:rFonts w:ascii="Arial" w:eastAsia="Calibri" w:hAnsi="Arial" w:cs="Arial"/>
          <w:szCs w:val="28"/>
          <w:lang w:val="uk-UA"/>
        </w:rPr>
        <w:t xml:space="preserve">URL: </w:t>
      </w:r>
      <w:hyperlink r:id="rId856" w:history="1">
        <w:r w:rsidRPr="00511005">
          <w:rPr>
            <w:rFonts w:ascii="Arial" w:eastAsia="Calibri" w:hAnsi="Arial" w:cs="Arial"/>
            <w:szCs w:val="28"/>
            <w:lang w:val="uk-UA"/>
          </w:rPr>
          <w:t>https://vkp.ua/publication/iespl-vinis-rishennya-shchodo-spravedlivoyi-satisfaktsiyi-u-spravi-sadocha-v-ukraine</w:t>
        </w:r>
      </w:hyperlink>
    </w:p>
    <w:p w14:paraId="5DA20FF4" w14:textId="77777777" w:rsidR="00220D3E" w:rsidRPr="00511005" w:rsidRDefault="00220D3E" w:rsidP="003F6A5D">
      <w:pPr>
        <w:numPr>
          <w:ilvl w:val="0"/>
          <w:numId w:val="220"/>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Мазур А. Судовий розгляд податкових і митних спорів: проблеми, виклики, пріоритети. </w:t>
      </w:r>
      <w:r w:rsidRPr="00511005">
        <w:rPr>
          <w:rFonts w:ascii="Arial" w:eastAsia="Calibri" w:hAnsi="Arial" w:cs="Arial"/>
          <w:i/>
          <w:iCs/>
          <w:szCs w:val="28"/>
          <w:lang w:val="uk-UA"/>
        </w:rPr>
        <w:t>Роль рішень єспл у справах щодо розгляду митних спорів для узагальнення практики судочинства</w:t>
      </w:r>
      <w:r w:rsidRPr="00511005">
        <w:rPr>
          <w:rFonts w:ascii="Arial" w:eastAsia="Calibri" w:hAnsi="Arial" w:cs="Arial"/>
          <w:szCs w:val="28"/>
          <w:lang w:val="uk-UA"/>
        </w:rPr>
        <w:t xml:space="preserve">: тези доп. ІІ Міжнар. наук.-практ. конф. (м. Київ, 4–5 лип. 2019 р.). С. 313-315. URL: </w:t>
      </w:r>
      <w:hyperlink r:id="rId857" w:history="1">
        <w:r w:rsidRPr="00511005">
          <w:rPr>
            <w:rFonts w:ascii="Arial" w:eastAsia="Calibri" w:hAnsi="Arial" w:cs="Arial"/>
            <w:szCs w:val="28"/>
            <w:lang w:val="uk-UA"/>
          </w:rPr>
          <w:t>https://supreme.court.gov.ua/userfiles/media/Materialy%20konferencyi_WEB.pdf</w:t>
        </w:r>
      </w:hyperlink>
    </w:p>
    <w:p w14:paraId="2D4AF0AA" w14:textId="77777777" w:rsidR="00220D3E" w:rsidRPr="00511005" w:rsidRDefault="00220D3E" w:rsidP="003F6A5D">
      <w:pPr>
        <w:numPr>
          <w:ilvl w:val="0"/>
          <w:numId w:val="220"/>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Про виконання рішень та застосування практики Європейського суду з прав людини: Закон України від 23.02.2006 р. URL: </w:t>
      </w:r>
      <w:hyperlink r:id="rId858" w:anchor="Text" w:history="1">
        <w:r w:rsidRPr="00511005">
          <w:rPr>
            <w:rFonts w:ascii="Arial" w:eastAsia="Calibri" w:hAnsi="Arial" w:cs="Arial"/>
            <w:szCs w:val="28"/>
            <w:lang w:val="uk-UA"/>
          </w:rPr>
          <w:t>https://zakon.rada.gov.ua/laws/show/3477-15#Text</w:t>
        </w:r>
      </w:hyperlink>
      <w:r w:rsidRPr="00511005">
        <w:rPr>
          <w:rFonts w:ascii="Arial" w:eastAsia="Calibri" w:hAnsi="Arial" w:cs="Arial"/>
          <w:szCs w:val="28"/>
          <w:lang w:val="uk-UA"/>
        </w:rPr>
        <w:t xml:space="preserve"> </w:t>
      </w:r>
    </w:p>
    <w:p w14:paraId="2EFF6840" w14:textId="77777777" w:rsidR="00220D3E" w:rsidRPr="00511005" w:rsidRDefault="00220D3E" w:rsidP="003F6A5D">
      <w:pPr>
        <w:numPr>
          <w:ilvl w:val="0"/>
          <w:numId w:val="220"/>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Про практику застосування адміністративними судами законодавства про доступ до публічної інформації: Постанова Пленуму Вищого адміністративного суду України від 29.09.2016 р. № 10. URL: </w:t>
      </w:r>
      <w:hyperlink r:id="rId859" w:anchor="Text" w:history="1">
        <w:r w:rsidRPr="00511005">
          <w:rPr>
            <w:rFonts w:ascii="Arial" w:eastAsia="Calibri" w:hAnsi="Arial" w:cs="Arial"/>
            <w:szCs w:val="28"/>
            <w:lang w:val="uk-UA"/>
          </w:rPr>
          <w:t>https://zakon.rada.gov.ua/laws/show/v0010760-16#Text</w:t>
        </w:r>
      </w:hyperlink>
      <w:r w:rsidRPr="00511005">
        <w:rPr>
          <w:rFonts w:ascii="Arial" w:eastAsia="Calibri" w:hAnsi="Arial" w:cs="Arial"/>
          <w:szCs w:val="28"/>
          <w:lang w:val="uk-UA"/>
        </w:rPr>
        <w:t xml:space="preserve"> </w:t>
      </w:r>
    </w:p>
    <w:p w14:paraId="174F2576" w14:textId="77777777" w:rsidR="00220D3E" w:rsidRPr="00511005" w:rsidRDefault="00220D3E" w:rsidP="003F6A5D">
      <w:pPr>
        <w:numPr>
          <w:ilvl w:val="0"/>
          <w:numId w:val="220"/>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Про ратифікацію Конвенції про захист прав людини і основоположних свобод 1950 року, Першого протоколу та протоколів № 2, 4, 7 та 11 до Конвенції. URL: </w:t>
      </w:r>
      <w:hyperlink r:id="rId860" w:anchor="Text" w:history="1">
        <w:r w:rsidRPr="00511005">
          <w:rPr>
            <w:rFonts w:ascii="Arial" w:eastAsia="Calibri" w:hAnsi="Arial" w:cs="Arial"/>
            <w:szCs w:val="28"/>
            <w:lang w:val="uk-UA"/>
          </w:rPr>
          <w:t>https://zakon.rada.gov.ua/laws/show/475/97-%D0%B2%D1%80#Text</w:t>
        </w:r>
      </w:hyperlink>
      <w:r w:rsidRPr="00511005">
        <w:rPr>
          <w:rFonts w:ascii="Arial" w:eastAsia="Calibri" w:hAnsi="Arial" w:cs="Arial"/>
          <w:szCs w:val="28"/>
          <w:lang w:val="uk-UA"/>
        </w:rPr>
        <w:t xml:space="preserve"> </w:t>
      </w:r>
    </w:p>
    <w:p w14:paraId="525CDAE9" w14:textId="77777777" w:rsidR="00220D3E" w:rsidRPr="00511005" w:rsidRDefault="00220D3E" w:rsidP="003F6A5D">
      <w:pPr>
        <w:numPr>
          <w:ilvl w:val="0"/>
          <w:numId w:val="220"/>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Сердюк О. В. Практика Європейського суду з прав людини в українських судах: прикладні аспекти. </w:t>
      </w:r>
      <w:r w:rsidRPr="00511005">
        <w:rPr>
          <w:rFonts w:ascii="Arial" w:eastAsia="Calibri" w:hAnsi="Arial" w:cs="Arial"/>
          <w:i/>
          <w:iCs/>
          <w:szCs w:val="28"/>
          <w:lang w:val="uk-UA"/>
        </w:rPr>
        <w:t>Актуальні проблеми сучасного міжнародного права</w:t>
      </w:r>
      <w:r w:rsidRPr="00511005">
        <w:rPr>
          <w:rFonts w:ascii="Arial" w:eastAsia="Calibri" w:hAnsi="Arial" w:cs="Arial"/>
          <w:szCs w:val="28"/>
          <w:lang w:val="uk-UA"/>
        </w:rPr>
        <w:t>: зб. наук. ст. за матеріалами ІІ Харк. міжнар.-прав. читань, присвяч. пам’яті проф.</w:t>
      </w:r>
      <w:r w:rsidRPr="00511005">
        <w:rPr>
          <w:rFonts w:ascii="Arial" w:eastAsia="Calibri" w:hAnsi="Arial" w:cs="Arial"/>
          <w:i/>
          <w:iCs/>
          <w:szCs w:val="28"/>
          <w:lang w:val="uk-UA"/>
        </w:rPr>
        <w:t xml:space="preserve"> </w:t>
      </w:r>
      <w:r w:rsidRPr="00511005">
        <w:rPr>
          <w:rFonts w:ascii="Arial" w:eastAsia="Calibri" w:hAnsi="Arial" w:cs="Arial"/>
          <w:szCs w:val="28"/>
          <w:lang w:val="uk-UA"/>
        </w:rPr>
        <w:t xml:space="preserve">М.В. Яновського і В.С. Семенова. Харків, 2016. Ч. 1. С. 18–25. URL: </w:t>
      </w:r>
      <w:hyperlink r:id="rId861" w:history="1">
        <w:r w:rsidRPr="00511005">
          <w:rPr>
            <w:rFonts w:ascii="Arial" w:eastAsia="Calibri" w:hAnsi="Arial" w:cs="Arial"/>
            <w:szCs w:val="28"/>
            <w:lang w:val="uk-UA"/>
          </w:rPr>
          <w:t>https://dspace.nlu.edu.ua/bitstream/123456789/12257/1/Sb_mignar_2016_1.pdf</w:t>
        </w:r>
      </w:hyperlink>
      <w:r w:rsidRPr="00511005">
        <w:rPr>
          <w:rFonts w:ascii="Arial" w:eastAsia="Calibri" w:hAnsi="Arial" w:cs="Arial"/>
          <w:szCs w:val="28"/>
          <w:lang w:val="uk-UA"/>
        </w:rPr>
        <w:t xml:space="preserve"> </w:t>
      </w:r>
    </w:p>
    <w:p w14:paraId="4F46FB94" w14:textId="77777777" w:rsidR="00220D3E" w:rsidRPr="00511005" w:rsidRDefault="00220D3E" w:rsidP="003A292D">
      <w:pPr>
        <w:spacing w:line="264" w:lineRule="auto"/>
        <w:ind w:firstLine="0"/>
        <w:rPr>
          <w:rFonts w:ascii="Arial" w:eastAsia="Calibri" w:hAnsi="Arial" w:cs="Arial"/>
          <w:b/>
          <w:bCs/>
          <w:szCs w:val="28"/>
          <w:lang w:val="uk-UA"/>
        </w:rPr>
      </w:pPr>
    </w:p>
    <w:p w14:paraId="712E3BEC" w14:textId="034038A6"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220D3E" w:rsidRPr="00511005">
        <w:rPr>
          <w:rFonts w:ascii="Arial" w:eastAsia="Times New Roman" w:hAnsi="Arial" w:cs="Arial"/>
          <w:szCs w:val="28"/>
          <w:lang w:val="uk-UA" w:eastAsia="ru-RU"/>
        </w:rPr>
        <w:t xml:space="preserve">ЄСПЛ, митні спори, Митний кодекс України, право власності, право на справедливий суд, пропорційність, ефективний засіб правового захисту, судова практика, європейські стандарти, </w:t>
      </w:r>
      <w:r w:rsidR="00220D3E" w:rsidRPr="00511005">
        <w:rPr>
          <w:rFonts w:ascii="Arial" w:eastAsia="Calibri" w:hAnsi="Arial" w:cs="Arial"/>
          <w:szCs w:val="28"/>
          <w:lang w:val="uk-UA"/>
        </w:rPr>
        <w:t>воєнний час.</w:t>
      </w:r>
    </w:p>
    <w:p w14:paraId="15BDC0CD" w14:textId="29F5C1B3" w:rsidR="00220D3E"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Key words: </w:t>
      </w:r>
      <w:r w:rsidR="00220D3E" w:rsidRPr="00511005">
        <w:rPr>
          <w:rFonts w:ascii="Arial" w:eastAsia="Calibri" w:hAnsi="Arial" w:cs="Arial"/>
          <w:szCs w:val="28"/>
          <w:lang w:val="uk-UA"/>
        </w:rPr>
        <w:t>ECHR, customs disputes, Customs Code of Ukraine, property rights, right to a fair trial, proportionality, effective remedy, case law, European standards, wartime.</w:t>
      </w:r>
    </w:p>
    <w:p w14:paraId="2B9A39E3" w14:textId="57B4016F" w:rsidR="00220D3E"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220D3E" w:rsidRPr="00511005">
        <w:rPr>
          <w:rFonts w:ascii="Arial" w:eastAsia="Calibri" w:hAnsi="Arial" w:cs="Arial"/>
          <w:i/>
          <w:iCs/>
          <w:szCs w:val="28"/>
          <w:lang w:val="uk-UA"/>
        </w:rPr>
        <w:t>к.ю.н., доцент Міщенко І. В.</w:t>
      </w:r>
    </w:p>
    <w:p w14:paraId="56AB82E5" w14:textId="77777777" w:rsidR="00220D3E" w:rsidRPr="00511005" w:rsidRDefault="00220D3E" w:rsidP="003A292D">
      <w:pPr>
        <w:spacing w:line="264" w:lineRule="auto"/>
        <w:ind w:firstLine="0"/>
        <w:rPr>
          <w:rFonts w:ascii="Arial" w:eastAsia="Calibri" w:hAnsi="Arial" w:cs="Arial"/>
          <w:i/>
          <w:iCs/>
          <w:szCs w:val="28"/>
          <w:lang w:val="uk-UA"/>
        </w:rPr>
      </w:pPr>
    </w:p>
    <w:p w14:paraId="0CC96555" w14:textId="77777777" w:rsidR="00220D3E" w:rsidRPr="00511005" w:rsidRDefault="00220D3E"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Шеверенко Єлизавета Олегівна</w:t>
      </w:r>
    </w:p>
    <w:p w14:paraId="25413510" w14:textId="71F0BEA1" w:rsidR="00220D3E" w:rsidRPr="00511005" w:rsidRDefault="00536AAB" w:rsidP="003A292D">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студентка 1-го курсу магістратури</w:t>
      </w:r>
      <w:r w:rsidR="00BE3972" w:rsidRPr="00511005">
        <w:rPr>
          <w:rFonts w:ascii="Arial" w:eastAsia="Calibri" w:hAnsi="Arial" w:cs="Arial"/>
          <w:iCs/>
          <w:szCs w:val="28"/>
          <w:lang w:val="uk-UA"/>
        </w:rPr>
        <w:t xml:space="preserve"> </w:t>
      </w:r>
      <w:r w:rsidRPr="00511005">
        <w:rPr>
          <w:rFonts w:ascii="Arial" w:eastAsia="Calibri" w:hAnsi="Arial" w:cs="Arial"/>
          <w:iCs/>
          <w:szCs w:val="28"/>
          <w:lang w:val="uk-UA"/>
        </w:rPr>
        <w:t>факультету адвокатури та антикорупційної діяльності</w:t>
      </w:r>
      <w:r w:rsidR="00220D3E" w:rsidRPr="00511005">
        <w:rPr>
          <w:rFonts w:ascii="Arial" w:eastAsia="Calibri" w:hAnsi="Arial" w:cs="Arial"/>
          <w:iCs/>
          <w:szCs w:val="28"/>
          <w:lang w:val="uk-UA"/>
        </w:rPr>
        <w:t xml:space="preserve"> </w:t>
      </w:r>
      <w:r w:rsidR="007B2628" w:rsidRPr="00511005">
        <w:rPr>
          <w:rFonts w:ascii="Arial" w:eastAsia="Calibri" w:hAnsi="Arial" w:cs="Arial"/>
          <w:iCs/>
          <w:szCs w:val="28"/>
          <w:lang w:val="uk-UA"/>
        </w:rPr>
        <w:t>Національного університету «Одеська юридична академія»</w:t>
      </w:r>
    </w:p>
    <w:p w14:paraId="519D6FB8" w14:textId="77777777" w:rsidR="00220D3E" w:rsidRPr="00511005" w:rsidRDefault="00220D3E" w:rsidP="003A292D">
      <w:pPr>
        <w:spacing w:line="264" w:lineRule="auto"/>
        <w:ind w:firstLine="0"/>
        <w:jc w:val="center"/>
        <w:rPr>
          <w:rFonts w:ascii="Arial" w:eastAsia="Calibri" w:hAnsi="Arial" w:cs="Arial"/>
          <w:iCs/>
          <w:szCs w:val="28"/>
          <w:lang w:val="uk-UA"/>
        </w:rPr>
      </w:pPr>
    </w:p>
    <w:p w14:paraId="1FD3B592" w14:textId="77777777" w:rsidR="00220D3E" w:rsidRPr="00511005" w:rsidRDefault="00220D3E" w:rsidP="003A292D">
      <w:pPr>
        <w:spacing w:line="264" w:lineRule="auto"/>
        <w:ind w:firstLine="0"/>
        <w:jc w:val="center"/>
        <w:rPr>
          <w:rFonts w:ascii="Arial" w:eastAsia="Calibri" w:hAnsi="Arial" w:cs="Arial"/>
          <w:b/>
          <w:iCs/>
          <w:szCs w:val="28"/>
          <w:lang w:val="uk-UA"/>
        </w:rPr>
      </w:pPr>
      <w:r w:rsidRPr="00511005">
        <w:rPr>
          <w:rFonts w:ascii="Arial" w:eastAsia="Calibri" w:hAnsi="Arial" w:cs="Arial"/>
          <w:b/>
          <w:iCs/>
          <w:szCs w:val="28"/>
          <w:lang w:val="uk-UA"/>
        </w:rPr>
        <w:t>ПРОБЛЕМНІ АСПЕКТИ ЗАБЕЗПЕЧЕННЯ БЕЗПЕКО-ОРІЄНТОВАНОГО ФУНКЦІОНУВАННЯ МОРСЬКОГО ТРАНСПОРТУ</w:t>
      </w:r>
    </w:p>
    <w:p w14:paraId="17E95FB5" w14:textId="77777777" w:rsidR="00220D3E" w:rsidRPr="00511005" w:rsidRDefault="00220D3E" w:rsidP="003A292D">
      <w:pPr>
        <w:spacing w:line="264" w:lineRule="auto"/>
        <w:ind w:firstLine="0"/>
        <w:rPr>
          <w:rFonts w:ascii="Arial" w:eastAsia="Calibri" w:hAnsi="Arial" w:cs="Arial"/>
          <w:iCs/>
          <w:szCs w:val="28"/>
          <w:lang w:val="uk-UA"/>
        </w:rPr>
      </w:pPr>
      <w:r w:rsidRPr="00511005">
        <w:rPr>
          <w:rFonts w:ascii="Arial" w:eastAsia="Calibri" w:hAnsi="Arial" w:cs="Arial"/>
          <w:iCs/>
          <w:szCs w:val="28"/>
          <w:lang w:val="uk-UA"/>
        </w:rPr>
        <w:t>Станом на сьогоднішній день неможливо уявити здійснення різноманітних видів перевезень без застосування морського транспорту, як-то переміщення товарів, вантажів та пасажирів, використовуючи води Світового Океану. Безпека на морському транспорті є однією з найважливіших складових його функціонування, адже здійснення морських перевезень має підвищений рівень небезпеки, обумовлений багатьма факторами, які впливають на провадження даного виду діяльності.</w:t>
      </w:r>
    </w:p>
    <w:p w14:paraId="6F096909" w14:textId="77777777" w:rsidR="00220D3E" w:rsidRPr="00511005" w:rsidRDefault="00220D3E" w:rsidP="003A292D">
      <w:pPr>
        <w:spacing w:line="264" w:lineRule="auto"/>
        <w:ind w:firstLine="0"/>
        <w:rPr>
          <w:rFonts w:ascii="Arial" w:eastAsia="Calibri" w:hAnsi="Arial" w:cs="Arial"/>
          <w:iCs/>
          <w:szCs w:val="28"/>
          <w:lang w:val="uk-UA"/>
        </w:rPr>
      </w:pPr>
      <w:r w:rsidRPr="00511005">
        <w:rPr>
          <w:rFonts w:ascii="Arial" w:eastAsia="Calibri" w:hAnsi="Arial" w:cs="Arial"/>
          <w:iCs/>
          <w:szCs w:val="28"/>
          <w:lang w:val="uk-UA"/>
        </w:rPr>
        <w:t>Проблематика питання безпеки на водному транспорті включає різні аспекти: людський фактор, погодний вплив, технічні проблеми керування транспортом та інші складнощі, які стають перешкодою на шляху до кінцевої точки призначення. Ці проблеми можуть принести як тимчасовий дискомфорт, так і серйозні наслідки або гірше того – людські жертви, шкода навколишньому середовищу тощо.</w:t>
      </w:r>
    </w:p>
    <w:p w14:paraId="570F66A5" w14:textId="77777777" w:rsidR="00220D3E" w:rsidRPr="00511005" w:rsidRDefault="00220D3E" w:rsidP="003A292D">
      <w:pPr>
        <w:spacing w:line="264" w:lineRule="auto"/>
        <w:ind w:firstLine="0"/>
        <w:rPr>
          <w:rFonts w:ascii="Arial" w:eastAsia="Calibri" w:hAnsi="Arial" w:cs="Arial"/>
          <w:iCs/>
          <w:szCs w:val="28"/>
          <w:lang w:val="uk-UA"/>
        </w:rPr>
      </w:pPr>
      <w:r w:rsidRPr="00511005">
        <w:rPr>
          <w:rFonts w:ascii="Arial" w:eastAsia="Calibri" w:hAnsi="Arial" w:cs="Arial"/>
          <w:iCs/>
          <w:szCs w:val="28"/>
          <w:lang w:val="uk-UA"/>
        </w:rPr>
        <w:t>Правове регулювання морської безпеки здійснюється відповідно до норм міжнародного та національного законодавства. Інтернаціональні питання врегульовані конвенціями, кодексами та протоколами: Конвенція про Міжнародні правила запобігання зіткненню суден на морі 1972 року</w:t>
      </w:r>
      <w:r w:rsidRPr="00511005">
        <w:rPr>
          <w:rFonts w:ascii="Arial" w:eastAsia="Calibri" w:hAnsi="Arial" w:cs="Arial"/>
          <w:bCs/>
          <w:iCs/>
          <w:szCs w:val="28"/>
          <w:lang w:val="uk-UA"/>
        </w:rPr>
        <w:t xml:space="preserve">, Міжнародна Конвенція </w:t>
      </w:r>
      <w:r w:rsidRPr="00511005">
        <w:rPr>
          <w:rFonts w:ascii="Arial" w:eastAsia="Calibri" w:hAnsi="Arial" w:cs="Arial"/>
          <w:iCs/>
          <w:szCs w:val="28"/>
          <w:lang w:val="uk-UA"/>
        </w:rPr>
        <w:t xml:space="preserve">про </w:t>
      </w:r>
      <w:r w:rsidRPr="00511005">
        <w:rPr>
          <w:rFonts w:ascii="Arial" w:eastAsia="Calibri" w:hAnsi="Arial" w:cs="Arial"/>
          <w:bCs/>
          <w:iCs/>
          <w:szCs w:val="28"/>
          <w:lang w:val="uk-UA"/>
        </w:rPr>
        <w:t xml:space="preserve">охорону життя </w:t>
      </w:r>
      <w:r w:rsidRPr="00511005">
        <w:rPr>
          <w:rFonts w:ascii="Arial" w:eastAsia="Calibri" w:hAnsi="Arial" w:cs="Arial"/>
          <w:iCs/>
          <w:szCs w:val="28"/>
          <w:lang w:val="uk-UA"/>
        </w:rPr>
        <w:t xml:space="preserve">людини на </w:t>
      </w:r>
      <w:r w:rsidRPr="00511005">
        <w:rPr>
          <w:rFonts w:ascii="Arial" w:eastAsia="Calibri" w:hAnsi="Arial" w:cs="Arial"/>
          <w:bCs/>
          <w:iCs/>
          <w:szCs w:val="28"/>
          <w:lang w:val="uk-UA"/>
        </w:rPr>
        <w:t xml:space="preserve">морі </w:t>
      </w:r>
      <w:r w:rsidRPr="00511005">
        <w:rPr>
          <w:rFonts w:ascii="Arial" w:eastAsia="Calibri" w:hAnsi="Arial" w:cs="Arial"/>
          <w:iCs/>
          <w:szCs w:val="28"/>
          <w:lang w:val="uk-UA"/>
        </w:rPr>
        <w:t xml:space="preserve">1974 року, </w:t>
      </w:r>
      <w:r w:rsidRPr="00511005">
        <w:rPr>
          <w:rFonts w:ascii="Arial" w:eastAsia="Calibri" w:hAnsi="Arial" w:cs="Arial"/>
          <w:bCs/>
          <w:iCs/>
          <w:szCs w:val="28"/>
          <w:lang w:val="uk-UA"/>
        </w:rPr>
        <w:t xml:space="preserve">Конвенція Організації Об'єднаних Націй з морського права 1982 року, </w:t>
      </w:r>
      <w:r w:rsidRPr="00511005">
        <w:rPr>
          <w:rFonts w:ascii="Arial" w:eastAsia="Calibri" w:hAnsi="Arial" w:cs="Arial"/>
          <w:iCs/>
          <w:szCs w:val="28"/>
          <w:lang w:val="uk-UA"/>
        </w:rPr>
        <w:t xml:space="preserve">Міжнародна конвенція з безпеки життя на морі (СОЛАС), Міжнародний кодекс з охорони суден і портових засобів 2002 року, Протокол про боротьбу з незаконними актами, спрямованими проти безпеки стаціонарних платформ, розташованих на континентальному шельфі 1988 року. У 1995 році в Україні набрав чинності </w:t>
      </w:r>
      <w:r w:rsidRPr="00511005">
        <w:rPr>
          <w:rFonts w:ascii="Arial" w:eastAsia="Calibri" w:hAnsi="Arial" w:cs="Arial"/>
          <w:bCs/>
          <w:iCs/>
          <w:szCs w:val="28"/>
          <w:lang w:val="uk-UA"/>
        </w:rPr>
        <w:t xml:space="preserve">Кодекс торговельного мореплавства України. </w:t>
      </w:r>
      <w:r w:rsidRPr="00511005">
        <w:rPr>
          <w:rFonts w:ascii="Arial" w:eastAsia="Calibri" w:hAnsi="Arial" w:cs="Arial"/>
          <w:iCs/>
          <w:szCs w:val="28"/>
          <w:lang w:val="uk-UA"/>
        </w:rPr>
        <w:t xml:space="preserve">[2] </w:t>
      </w:r>
    </w:p>
    <w:p w14:paraId="04E1A2D5" w14:textId="77777777" w:rsidR="00220D3E" w:rsidRPr="00511005" w:rsidRDefault="00220D3E" w:rsidP="003A292D">
      <w:pPr>
        <w:spacing w:line="264" w:lineRule="auto"/>
        <w:ind w:firstLine="0"/>
        <w:rPr>
          <w:rFonts w:ascii="Arial" w:eastAsia="Calibri" w:hAnsi="Arial" w:cs="Arial"/>
          <w:bCs/>
          <w:iCs/>
          <w:szCs w:val="28"/>
          <w:lang w:val="uk-UA"/>
        </w:rPr>
      </w:pPr>
      <w:r w:rsidRPr="00511005">
        <w:rPr>
          <w:rFonts w:ascii="Arial" w:eastAsia="Calibri" w:hAnsi="Arial" w:cs="Arial"/>
          <w:bCs/>
          <w:iCs/>
          <w:szCs w:val="28"/>
          <w:lang w:val="uk-UA"/>
        </w:rPr>
        <w:t>Важливе місце у системі джерел забезпечення безпеки мореплавства займають договори, які можуть бути укладеними як на національному рівні, так й мати міжнародний характер. В такому разі питання безпеки та несення відповідальності за неналежне виконання зобов’язань у сфері перевезення можуть бути прописані заздалегідь, що значно полегшить процес вирішення спорів та позаштатних ситуацій.</w:t>
      </w:r>
    </w:p>
    <w:p w14:paraId="5F308584" w14:textId="77777777" w:rsidR="00220D3E" w:rsidRPr="00511005" w:rsidRDefault="00220D3E" w:rsidP="003A292D">
      <w:pPr>
        <w:spacing w:line="264" w:lineRule="auto"/>
        <w:ind w:firstLine="0"/>
        <w:rPr>
          <w:rFonts w:ascii="Arial" w:eastAsia="Calibri" w:hAnsi="Arial" w:cs="Arial"/>
          <w:iCs/>
          <w:szCs w:val="28"/>
          <w:lang w:val="uk-UA"/>
        </w:rPr>
      </w:pPr>
      <w:r w:rsidRPr="00511005">
        <w:rPr>
          <w:rFonts w:ascii="Arial" w:eastAsia="Calibri" w:hAnsi="Arial" w:cs="Arial"/>
          <w:iCs/>
          <w:szCs w:val="28"/>
          <w:lang w:val="uk-UA"/>
        </w:rPr>
        <w:t>Актуальність забезпечення належного функціонування морського транспорту пов’язана перш за все зі збереженням життя людей, які знаходяться на борту, адже, закривши очі на здавалося б незначні проблеми «на суші», можна отримати великі наслідки «у відкритому морі». Запобігання людським втратам є ключовою метою мореплавства, так як без екіпажу судно (за винятком безекіпажних) не в змозі продовжувати свій шлях.</w:t>
      </w:r>
    </w:p>
    <w:p w14:paraId="637F055F" w14:textId="77777777" w:rsidR="00220D3E" w:rsidRPr="00511005" w:rsidRDefault="00220D3E" w:rsidP="003A292D">
      <w:pPr>
        <w:spacing w:line="264" w:lineRule="auto"/>
        <w:ind w:firstLine="0"/>
        <w:rPr>
          <w:rFonts w:ascii="Arial" w:eastAsia="Calibri" w:hAnsi="Arial" w:cs="Arial"/>
          <w:bCs/>
          <w:iCs/>
          <w:szCs w:val="28"/>
          <w:lang w:val="uk-UA"/>
        </w:rPr>
      </w:pPr>
      <w:r w:rsidRPr="00511005">
        <w:rPr>
          <w:rFonts w:ascii="Arial" w:eastAsia="Calibri" w:hAnsi="Arial" w:cs="Arial"/>
          <w:bCs/>
          <w:iCs/>
          <w:szCs w:val="28"/>
          <w:lang w:val="uk-UA"/>
        </w:rPr>
        <w:t xml:space="preserve">На превеликий жаль, людський фактор може призвести до несприятливих подій. Недостатній рівень кваліфікації та професійних навичок моряків, </w:t>
      </w:r>
      <w:r w:rsidRPr="00511005">
        <w:rPr>
          <w:rFonts w:ascii="Arial" w:eastAsia="Calibri" w:hAnsi="Arial" w:cs="Arial"/>
          <w:bCs/>
          <w:iCs/>
          <w:szCs w:val="28"/>
          <w:lang w:val="uk-UA"/>
        </w:rPr>
        <w:lastRenderedPageBreak/>
        <w:t>нехтування правилами безпеки та розгубленість у критичних ситуаціях можуть стати причиною аварії на судні. Капітан судна та екіпаж мають володіти достатніми знаннями, щоб у разі небезпеки мати змогу зорієнтуватися та не допустити настання тяжких наслідків.</w:t>
      </w:r>
    </w:p>
    <w:p w14:paraId="1AFE0759" w14:textId="77777777" w:rsidR="00220D3E" w:rsidRPr="00511005" w:rsidRDefault="00220D3E" w:rsidP="003A292D">
      <w:pPr>
        <w:spacing w:line="264" w:lineRule="auto"/>
        <w:ind w:firstLine="0"/>
        <w:rPr>
          <w:rFonts w:ascii="Arial" w:eastAsia="Calibri" w:hAnsi="Arial" w:cs="Arial"/>
          <w:bCs/>
          <w:iCs/>
          <w:szCs w:val="28"/>
          <w:lang w:val="uk-UA"/>
        </w:rPr>
      </w:pPr>
      <w:r w:rsidRPr="00511005">
        <w:rPr>
          <w:rFonts w:ascii="Arial" w:eastAsia="Calibri" w:hAnsi="Arial" w:cs="Arial"/>
          <w:bCs/>
          <w:iCs/>
          <w:szCs w:val="28"/>
          <w:lang w:val="uk-UA"/>
        </w:rPr>
        <w:t xml:space="preserve">Більш непередбачуваною, ніж людські помилки, є природа, а точніше погодні умови, які ніяк не можуть бути контрольовані людиною, а отже спричиняють екстрені ситуації в морі, які підвищують рівень загрози життю: шторми, тумани, сильні вітри та високі хвилі, які створюють обмежену видимість шляху, а у деяких випадках і затоплення судна. </w:t>
      </w:r>
    </w:p>
    <w:p w14:paraId="1E6CA226" w14:textId="77777777" w:rsidR="00220D3E" w:rsidRPr="00511005" w:rsidRDefault="00220D3E" w:rsidP="003A292D">
      <w:pPr>
        <w:spacing w:line="264" w:lineRule="auto"/>
        <w:ind w:firstLine="0"/>
        <w:rPr>
          <w:rFonts w:ascii="Arial" w:eastAsia="Calibri" w:hAnsi="Arial" w:cs="Arial"/>
          <w:bCs/>
          <w:iCs/>
          <w:szCs w:val="28"/>
          <w:lang w:val="uk-UA"/>
        </w:rPr>
      </w:pPr>
      <w:r w:rsidRPr="00511005">
        <w:rPr>
          <w:rFonts w:ascii="Arial" w:eastAsia="Calibri" w:hAnsi="Arial" w:cs="Arial"/>
          <w:bCs/>
          <w:iCs/>
          <w:szCs w:val="28"/>
          <w:lang w:val="uk-UA"/>
        </w:rPr>
        <w:t>Щоб під час судноплавства природа стала «не ворогом, а другом», екіпажу судна важливо дотримуватись міжнародних та локальних правил щодо охорони навколишнього середовища, а саме намагатись зменшити кількість викидів токсичних речовин до водного простору та впроваджувати заходи щодо запобігання забруднення вод внаслідок ремонтної діяльності на борту.</w:t>
      </w:r>
    </w:p>
    <w:p w14:paraId="489543DA" w14:textId="77777777" w:rsidR="00220D3E" w:rsidRPr="00511005" w:rsidRDefault="00220D3E" w:rsidP="003A292D">
      <w:pPr>
        <w:spacing w:line="264" w:lineRule="auto"/>
        <w:ind w:firstLine="0"/>
        <w:rPr>
          <w:rFonts w:ascii="Arial" w:eastAsia="Calibri" w:hAnsi="Arial" w:cs="Arial"/>
          <w:iCs/>
          <w:szCs w:val="28"/>
          <w:lang w:val="uk-UA"/>
        </w:rPr>
      </w:pPr>
      <w:r w:rsidRPr="00511005">
        <w:rPr>
          <w:rFonts w:ascii="Arial" w:eastAsia="Calibri" w:hAnsi="Arial" w:cs="Arial"/>
          <w:bCs/>
          <w:iCs/>
          <w:szCs w:val="28"/>
          <w:lang w:val="uk-UA"/>
        </w:rPr>
        <w:t>Важливим є також відповідність судна стандартам, що встановлюють технічні вимоги до</w:t>
      </w:r>
      <w:r w:rsidRPr="00511005">
        <w:rPr>
          <w:rFonts w:ascii="Arial" w:eastAsia="Calibri" w:hAnsi="Arial" w:cs="Arial"/>
          <w:iCs/>
          <w:szCs w:val="28"/>
          <w:lang w:val="uk-UA"/>
        </w:rPr>
        <w:t xml:space="preserve"> конструкції, комплектації та експлуатації судна, розробляються і затверджуються компетентними органами. Так, наприклад, в Україні технічними вимогами до суден внутрішнього плавання встановлюються вимоги щодо обов’язкового обладнання суден і переліки радіообладнання, обладнання для автоматичної ідентифікації, обладнання для забезпечення перевезення маломобільних груп населення. [1] </w:t>
      </w:r>
    </w:p>
    <w:p w14:paraId="2158D6F1" w14:textId="77777777" w:rsidR="00220D3E" w:rsidRPr="00511005" w:rsidRDefault="00220D3E" w:rsidP="003A292D">
      <w:pPr>
        <w:spacing w:line="264" w:lineRule="auto"/>
        <w:ind w:firstLine="0"/>
        <w:rPr>
          <w:rFonts w:ascii="Arial" w:eastAsia="Calibri" w:hAnsi="Arial" w:cs="Arial"/>
          <w:iCs/>
          <w:szCs w:val="28"/>
          <w:lang w:val="uk-UA"/>
        </w:rPr>
      </w:pPr>
      <w:r w:rsidRPr="00511005">
        <w:rPr>
          <w:rFonts w:ascii="Arial" w:eastAsia="Calibri" w:hAnsi="Arial" w:cs="Arial"/>
          <w:bCs/>
          <w:iCs/>
          <w:szCs w:val="28"/>
          <w:lang w:val="uk-UA"/>
        </w:rPr>
        <w:t xml:space="preserve">Ефективна комунікація та робота екіпажу на борту судна, співпраця з іншими власниками суден, морськими портами, вміння керуючого морським транспортом своєчасно зорієнтуватися та вжити заходів щодо запобігання виникненню небезпечних ситуацій є ключовим операційним фактором як у превентивному аспекті, так і практичному у разі настання потенційної та реальної загрози на шляху судна. </w:t>
      </w:r>
      <w:r w:rsidRPr="00511005">
        <w:rPr>
          <w:rFonts w:ascii="Arial" w:eastAsia="Calibri" w:hAnsi="Arial" w:cs="Arial"/>
          <w:iCs/>
          <w:szCs w:val="28"/>
          <w:lang w:val="uk-UA"/>
        </w:rPr>
        <w:t>[3]</w:t>
      </w:r>
    </w:p>
    <w:p w14:paraId="683A9FBC" w14:textId="77777777" w:rsidR="00220D3E" w:rsidRPr="00511005" w:rsidRDefault="00220D3E" w:rsidP="003A292D">
      <w:pPr>
        <w:spacing w:line="264" w:lineRule="auto"/>
        <w:ind w:firstLine="0"/>
        <w:rPr>
          <w:rFonts w:ascii="Arial" w:eastAsia="Calibri" w:hAnsi="Arial" w:cs="Arial"/>
          <w:bCs/>
          <w:iCs/>
          <w:szCs w:val="28"/>
          <w:lang w:val="uk-UA"/>
        </w:rPr>
      </w:pPr>
      <w:r w:rsidRPr="00511005">
        <w:rPr>
          <w:rFonts w:ascii="Arial" w:eastAsia="Calibri" w:hAnsi="Arial" w:cs="Arial"/>
          <w:bCs/>
          <w:iCs/>
          <w:szCs w:val="28"/>
          <w:lang w:val="uk-UA"/>
        </w:rPr>
        <w:t>Здійснення безпечної комерційної діяльності на морському транспорті неможливе без дотримання правил, стандартів, угод міжнародного та національного законодавства, а також нагляду з боку контролюючих органів та вжиття ними відповідних заходів швидкого реагування в разі настання небезпеки.</w:t>
      </w:r>
    </w:p>
    <w:p w14:paraId="2C0ED460" w14:textId="49B691A9" w:rsidR="00220D3E" w:rsidRPr="00511005" w:rsidRDefault="00220D3E" w:rsidP="003A292D">
      <w:pPr>
        <w:spacing w:line="264" w:lineRule="auto"/>
        <w:ind w:firstLine="0"/>
        <w:rPr>
          <w:rFonts w:ascii="Arial" w:eastAsia="Calibri" w:hAnsi="Arial" w:cs="Arial"/>
          <w:bCs/>
          <w:iCs/>
          <w:szCs w:val="28"/>
          <w:lang w:val="uk-UA"/>
        </w:rPr>
      </w:pPr>
      <w:r w:rsidRPr="00511005">
        <w:rPr>
          <w:rFonts w:ascii="Arial" w:eastAsia="Calibri" w:hAnsi="Arial" w:cs="Arial"/>
          <w:bCs/>
          <w:iCs/>
          <w:szCs w:val="28"/>
          <w:lang w:val="uk-UA"/>
        </w:rPr>
        <w:t>Протидією виникнення правопорушень та настання негативних наслідків у сфері функціонування морського транспорту є</w:t>
      </w:r>
      <w:r w:rsidR="007B2628" w:rsidRPr="00511005">
        <w:rPr>
          <w:rFonts w:ascii="Arial" w:eastAsia="Calibri" w:hAnsi="Arial" w:cs="Arial"/>
          <w:bCs/>
          <w:iCs/>
          <w:szCs w:val="28"/>
          <w:lang w:val="uk-UA"/>
        </w:rPr>
        <w:t xml:space="preserve"> </w:t>
      </w:r>
      <w:r w:rsidRPr="00511005">
        <w:rPr>
          <w:rFonts w:ascii="Arial" w:eastAsia="Calibri" w:hAnsi="Arial" w:cs="Arial"/>
          <w:bCs/>
          <w:iCs/>
          <w:szCs w:val="28"/>
          <w:lang w:val="uk-UA"/>
        </w:rPr>
        <w:t xml:space="preserve">неухильне дотримання норм безпеки та плідна взаємодія, повага та доброзичливість всіх учасників морських перевезень між собою. </w:t>
      </w:r>
    </w:p>
    <w:p w14:paraId="4FF641FD" w14:textId="77777777" w:rsidR="00220D3E" w:rsidRPr="00511005" w:rsidRDefault="00220D3E" w:rsidP="003A292D">
      <w:pPr>
        <w:spacing w:line="264" w:lineRule="auto"/>
        <w:ind w:firstLine="0"/>
        <w:jc w:val="center"/>
        <w:rPr>
          <w:rFonts w:ascii="Arial" w:eastAsia="Calibri" w:hAnsi="Arial" w:cs="Arial"/>
          <w:bCs/>
          <w:iCs/>
          <w:szCs w:val="28"/>
          <w:lang w:val="uk-UA"/>
        </w:rPr>
      </w:pPr>
    </w:p>
    <w:p w14:paraId="354E5BF4" w14:textId="71153C50" w:rsidR="00220D3E" w:rsidRPr="00511005" w:rsidRDefault="007B2628" w:rsidP="007B2628">
      <w:pPr>
        <w:spacing w:line="264" w:lineRule="auto"/>
        <w:ind w:firstLine="0"/>
        <w:jc w:val="center"/>
        <w:rPr>
          <w:rFonts w:ascii="Arial" w:eastAsia="Calibri" w:hAnsi="Arial" w:cs="Arial"/>
          <w:b/>
          <w:bCs/>
          <w:iCs/>
          <w:szCs w:val="28"/>
          <w:lang w:val="uk-UA"/>
        </w:rPr>
      </w:pPr>
      <w:r w:rsidRPr="00511005">
        <w:rPr>
          <w:rFonts w:ascii="Arial" w:eastAsia="Calibri" w:hAnsi="Arial" w:cs="Arial"/>
          <w:b/>
          <w:bCs/>
          <w:iCs/>
          <w:szCs w:val="28"/>
          <w:lang w:val="uk-UA"/>
        </w:rPr>
        <w:t>Список використаних джерел</w:t>
      </w:r>
    </w:p>
    <w:p w14:paraId="1A2A7FB4" w14:textId="77777777" w:rsidR="00220D3E" w:rsidRPr="00511005" w:rsidRDefault="00220D3E" w:rsidP="003F6A5D">
      <w:pPr>
        <w:numPr>
          <w:ilvl w:val="0"/>
          <w:numId w:val="221"/>
        </w:numPr>
        <w:tabs>
          <w:tab w:val="left" w:pos="993"/>
        </w:tabs>
        <w:spacing w:line="264" w:lineRule="auto"/>
        <w:ind w:left="0" w:firstLine="709"/>
        <w:jc w:val="left"/>
        <w:rPr>
          <w:rFonts w:ascii="Arial" w:eastAsia="Calibri" w:hAnsi="Arial" w:cs="Arial"/>
          <w:iCs/>
          <w:szCs w:val="28"/>
          <w:lang w:val="uk-UA"/>
        </w:rPr>
      </w:pPr>
      <w:r w:rsidRPr="00511005">
        <w:rPr>
          <w:rFonts w:ascii="Arial" w:eastAsia="Calibri" w:hAnsi="Arial" w:cs="Arial"/>
          <w:iCs/>
          <w:szCs w:val="28"/>
          <w:lang w:val="uk-UA"/>
        </w:rPr>
        <w:t xml:space="preserve">Про внутрішній водний транспорт: Закон України від 03.12.2020. URL: </w:t>
      </w:r>
      <w:hyperlink r:id="rId862" w:anchor="n359" w:tgtFrame="_blank" w:history="1">
        <w:r w:rsidRPr="00511005">
          <w:rPr>
            <w:rFonts w:ascii="Arial" w:eastAsia="Calibri" w:hAnsi="Arial" w:cs="Arial"/>
            <w:iCs/>
            <w:szCs w:val="28"/>
            <w:lang w:val="uk-UA"/>
          </w:rPr>
          <w:t>https://zakon.rada.gov.ua/laws/show/1054-20#n359</w:t>
        </w:r>
      </w:hyperlink>
    </w:p>
    <w:p w14:paraId="6B71CA9E" w14:textId="77777777" w:rsidR="00220D3E" w:rsidRPr="00511005" w:rsidRDefault="00220D3E" w:rsidP="003F6A5D">
      <w:pPr>
        <w:numPr>
          <w:ilvl w:val="0"/>
          <w:numId w:val="221"/>
        </w:numPr>
        <w:tabs>
          <w:tab w:val="left" w:pos="993"/>
        </w:tabs>
        <w:spacing w:line="264" w:lineRule="auto"/>
        <w:ind w:left="0" w:firstLine="709"/>
        <w:jc w:val="left"/>
        <w:rPr>
          <w:rFonts w:ascii="Arial" w:eastAsia="Calibri" w:hAnsi="Arial" w:cs="Arial"/>
          <w:iCs/>
          <w:szCs w:val="28"/>
          <w:lang w:val="uk-UA"/>
        </w:rPr>
      </w:pPr>
      <w:r w:rsidRPr="00511005">
        <w:rPr>
          <w:rFonts w:ascii="Arial" w:eastAsia="Calibri" w:hAnsi="Arial" w:cs="Arial"/>
          <w:iCs/>
          <w:szCs w:val="28"/>
          <w:lang w:val="uk-UA"/>
        </w:rPr>
        <w:lastRenderedPageBreak/>
        <w:t xml:space="preserve">Мельник О.М. Актуальні проблеми безпеки морського транспорту. Тенденції, ризики та стратегії врегулювання. </w:t>
      </w:r>
      <w:r w:rsidRPr="00511005">
        <w:rPr>
          <w:rFonts w:ascii="Arial" w:eastAsia="Calibri" w:hAnsi="Arial" w:cs="Arial"/>
          <w:i/>
          <w:iCs/>
          <w:szCs w:val="28"/>
          <w:lang w:val="uk-UA"/>
        </w:rPr>
        <w:t xml:space="preserve">Водний транспорт. </w:t>
      </w:r>
      <w:r w:rsidRPr="00511005">
        <w:rPr>
          <w:rFonts w:ascii="Arial" w:eastAsia="Calibri" w:hAnsi="Arial" w:cs="Arial"/>
          <w:iCs/>
          <w:szCs w:val="28"/>
          <w:lang w:val="uk-UA"/>
        </w:rPr>
        <w:t xml:space="preserve">2023. № 1. URL: </w:t>
      </w:r>
      <w:hyperlink r:id="rId863" w:history="1">
        <w:r w:rsidRPr="00511005">
          <w:rPr>
            <w:rFonts w:ascii="Arial" w:eastAsia="Calibri" w:hAnsi="Arial" w:cs="Arial"/>
            <w:iCs/>
            <w:szCs w:val="28"/>
            <w:lang w:val="uk-UA"/>
          </w:rPr>
          <w:t>https://surl.li/muszpx</w:t>
        </w:r>
      </w:hyperlink>
      <w:r w:rsidRPr="00511005">
        <w:rPr>
          <w:rFonts w:ascii="Arial" w:eastAsia="Calibri" w:hAnsi="Arial" w:cs="Arial"/>
          <w:iCs/>
          <w:szCs w:val="28"/>
          <w:lang w:val="uk-UA"/>
        </w:rPr>
        <w:t xml:space="preserve"> </w:t>
      </w:r>
    </w:p>
    <w:p w14:paraId="07771260" w14:textId="77777777" w:rsidR="00220D3E" w:rsidRPr="00511005" w:rsidRDefault="00220D3E" w:rsidP="003F6A5D">
      <w:pPr>
        <w:numPr>
          <w:ilvl w:val="0"/>
          <w:numId w:val="221"/>
        </w:numPr>
        <w:tabs>
          <w:tab w:val="left" w:pos="993"/>
        </w:tabs>
        <w:spacing w:line="264" w:lineRule="auto"/>
        <w:ind w:left="0" w:firstLine="709"/>
        <w:jc w:val="left"/>
        <w:rPr>
          <w:rFonts w:ascii="Arial" w:eastAsia="Calibri" w:hAnsi="Arial" w:cs="Arial"/>
          <w:iCs/>
          <w:szCs w:val="28"/>
          <w:lang w:val="uk-UA"/>
        </w:rPr>
      </w:pPr>
      <w:r w:rsidRPr="00511005">
        <w:rPr>
          <w:rFonts w:ascii="Arial" w:eastAsia="Calibri" w:hAnsi="Arial" w:cs="Arial"/>
          <w:iCs/>
          <w:szCs w:val="28"/>
          <w:lang w:val="uk-UA"/>
        </w:rPr>
        <w:t xml:space="preserve">Допілка В.О., Загороднюк С.О., Осадца Р.О Правова характеристика безпеки мореплавства. </w:t>
      </w:r>
      <w:r w:rsidRPr="00511005">
        <w:rPr>
          <w:rFonts w:ascii="Arial" w:eastAsia="Calibri" w:hAnsi="Arial" w:cs="Arial"/>
          <w:i/>
          <w:iCs/>
          <w:szCs w:val="28"/>
          <w:lang w:val="uk-UA"/>
        </w:rPr>
        <w:t xml:space="preserve">Науковий вісник Ужгородського національного університету. </w:t>
      </w:r>
      <w:r w:rsidRPr="00511005">
        <w:rPr>
          <w:rFonts w:ascii="Arial" w:eastAsia="Calibri" w:hAnsi="Arial" w:cs="Arial"/>
          <w:iCs/>
          <w:szCs w:val="28"/>
          <w:lang w:val="uk-UA"/>
        </w:rPr>
        <w:t>Серія:</w:t>
      </w:r>
      <w:r w:rsidRPr="00511005">
        <w:rPr>
          <w:rFonts w:ascii="Arial" w:eastAsia="Calibri" w:hAnsi="Arial" w:cs="Arial"/>
          <w:i/>
          <w:iCs/>
          <w:szCs w:val="28"/>
          <w:lang w:val="uk-UA"/>
        </w:rPr>
        <w:t xml:space="preserve"> Право</w:t>
      </w:r>
      <w:r w:rsidRPr="00511005">
        <w:rPr>
          <w:rFonts w:ascii="Arial" w:eastAsia="Calibri" w:hAnsi="Arial" w:cs="Arial"/>
          <w:iCs/>
          <w:szCs w:val="28"/>
          <w:lang w:val="uk-UA"/>
        </w:rPr>
        <w:t xml:space="preserve">. 2023. Вип. 76(2). С. 96-100. </w:t>
      </w:r>
      <w:hyperlink r:id="rId864" w:history="1">
        <w:r w:rsidRPr="00511005">
          <w:rPr>
            <w:rFonts w:ascii="Arial" w:eastAsia="Calibri" w:hAnsi="Arial" w:cs="Arial"/>
            <w:iCs/>
            <w:szCs w:val="28"/>
            <w:lang w:val="uk-UA"/>
          </w:rPr>
          <w:t>https://doi.org/10.24144/2307-3322.2022.76.2.16</w:t>
        </w:r>
      </w:hyperlink>
      <w:r w:rsidRPr="00511005">
        <w:rPr>
          <w:rFonts w:ascii="Arial" w:eastAsia="Calibri" w:hAnsi="Arial" w:cs="Arial"/>
          <w:iCs/>
          <w:szCs w:val="28"/>
          <w:lang w:val="uk-UA"/>
        </w:rPr>
        <w:t xml:space="preserve"> </w:t>
      </w:r>
    </w:p>
    <w:p w14:paraId="7E08B3D4" w14:textId="77777777" w:rsidR="00220D3E" w:rsidRPr="00511005" w:rsidRDefault="00220D3E" w:rsidP="003A292D">
      <w:pPr>
        <w:spacing w:line="264" w:lineRule="auto"/>
        <w:ind w:firstLine="0"/>
        <w:rPr>
          <w:rFonts w:ascii="Arial" w:eastAsia="Calibri" w:hAnsi="Arial" w:cs="Arial"/>
          <w:iCs/>
          <w:szCs w:val="28"/>
          <w:lang w:val="uk-UA"/>
        </w:rPr>
      </w:pPr>
    </w:p>
    <w:p w14:paraId="2EE7CCBE" w14:textId="4847E1C6" w:rsidR="00220D3E" w:rsidRPr="00511005" w:rsidRDefault="007B2628" w:rsidP="003A292D">
      <w:pPr>
        <w:spacing w:line="264" w:lineRule="auto"/>
        <w:ind w:firstLine="0"/>
        <w:rPr>
          <w:rFonts w:ascii="Arial" w:eastAsia="Calibri" w:hAnsi="Arial" w:cs="Arial"/>
          <w:iCs/>
          <w:szCs w:val="28"/>
          <w:lang w:val="uk-UA"/>
        </w:rPr>
      </w:pPr>
      <w:r w:rsidRPr="00511005">
        <w:rPr>
          <w:rFonts w:ascii="Arial" w:eastAsia="Calibri" w:hAnsi="Arial" w:cs="Arial"/>
          <w:b/>
          <w:i/>
          <w:iCs/>
          <w:szCs w:val="28"/>
          <w:lang w:val="uk-UA"/>
        </w:rPr>
        <w:t xml:space="preserve">Ключові слова: </w:t>
      </w:r>
      <w:r w:rsidR="00220D3E" w:rsidRPr="00511005">
        <w:rPr>
          <w:rFonts w:ascii="Arial" w:eastAsia="Calibri" w:hAnsi="Arial" w:cs="Arial"/>
          <w:iCs/>
          <w:szCs w:val="28"/>
          <w:lang w:val="uk-UA"/>
        </w:rPr>
        <w:t>морський транспорт, безпека мореплавства, міжнародні конвенції, національне законодавство, неконтрольовані ситуації.</w:t>
      </w:r>
    </w:p>
    <w:p w14:paraId="0DA67143" w14:textId="382A4E04" w:rsidR="00220D3E" w:rsidRPr="00511005" w:rsidRDefault="007B2628" w:rsidP="003A292D">
      <w:pPr>
        <w:spacing w:line="264" w:lineRule="auto"/>
        <w:ind w:firstLine="0"/>
        <w:rPr>
          <w:rFonts w:ascii="Arial" w:eastAsia="Calibri" w:hAnsi="Arial" w:cs="Arial"/>
          <w:iCs/>
          <w:szCs w:val="28"/>
          <w:lang w:val="uk-UA"/>
        </w:rPr>
      </w:pPr>
      <w:r w:rsidRPr="00511005">
        <w:rPr>
          <w:rFonts w:ascii="Arial" w:eastAsia="Calibri" w:hAnsi="Arial" w:cs="Arial"/>
          <w:b/>
          <w:i/>
          <w:iCs/>
          <w:szCs w:val="28"/>
          <w:lang w:val="uk-UA"/>
        </w:rPr>
        <w:t xml:space="preserve">Key words: </w:t>
      </w:r>
      <w:r w:rsidR="00220D3E" w:rsidRPr="00511005">
        <w:rPr>
          <w:rFonts w:ascii="Arial" w:eastAsia="Calibri" w:hAnsi="Arial" w:cs="Arial"/>
          <w:iCs/>
          <w:szCs w:val="28"/>
          <w:lang w:val="uk-UA"/>
        </w:rPr>
        <w:t>sea transport, safety of navigation, international conventions, national legislation, uncontrolled situations.</w:t>
      </w:r>
    </w:p>
    <w:p w14:paraId="4553E1D2" w14:textId="587BECD0" w:rsidR="00220D3E" w:rsidRPr="00511005" w:rsidRDefault="007B2628" w:rsidP="003A292D">
      <w:pPr>
        <w:spacing w:line="264" w:lineRule="auto"/>
        <w:ind w:firstLine="0"/>
        <w:rPr>
          <w:rFonts w:ascii="Arial" w:eastAsia="Calibri" w:hAnsi="Arial" w:cs="Arial"/>
          <w:iCs/>
          <w:szCs w:val="28"/>
          <w:lang w:val="uk-UA"/>
        </w:rPr>
      </w:pPr>
      <w:r w:rsidRPr="00511005">
        <w:rPr>
          <w:rFonts w:ascii="Arial" w:eastAsia="Calibri" w:hAnsi="Arial" w:cs="Arial"/>
          <w:b/>
          <w:bCs/>
          <w:i/>
          <w:iCs/>
          <w:szCs w:val="28"/>
          <w:lang w:val="uk-UA"/>
        </w:rPr>
        <w:t xml:space="preserve">Науковий керівник: </w:t>
      </w:r>
      <w:r w:rsidR="00220D3E" w:rsidRPr="00511005">
        <w:rPr>
          <w:rFonts w:ascii="Arial" w:eastAsia="Calibri" w:hAnsi="Arial" w:cs="Arial"/>
          <w:bCs/>
          <w:i/>
          <w:iCs/>
          <w:szCs w:val="28"/>
          <w:lang w:val="uk-UA"/>
        </w:rPr>
        <w:t>к.ю.н., доцент Міщенко І. В.</w:t>
      </w:r>
    </w:p>
    <w:p w14:paraId="00D4C87D" w14:textId="77777777" w:rsidR="003F5D68" w:rsidRPr="00511005" w:rsidRDefault="003F5D68" w:rsidP="003A292D">
      <w:pPr>
        <w:keepNext/>
        <w:spacing w:line="264" w:lineRule="auto"/>
        <w:ind w:firstLine="0"/>
        <w:jc w:val="left"/>
        <w:rPr>
          <w:rFonts w:ascii="Arial" w:hAnsi="Arial" w:cs="Arial"/>
          <w:szCs w:val="28"/>
          <w:lang w:val="uk-UA"/>
        </w:rPr>
      </w:pPr>
    </w:p>
    <w:p w14:paraId="7E1C18F1"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16F5E096" w14:textId="77777777" w:rsidR="003F5D68" w:rsidRPr="00511005" w:rsidRDefault="003F5D68" w:rsidP="003A292D">
      <w:pPr>
        <w:keepNext/>
        <w:suppressAutoHyphens/>
        <w:spacing w:line="264" w:lineRule="auto"/>
        <w:ind w:firstLine="0"/>
        <w:jc w:val="left"/>
        <w:rPr>
          <w:rFonts w:ascii="Arial" w:hAnsi="Arial" w:cs="Arial"/>
          <w:szCs w:val="28"/>
        </w:rPr>
      </w:pPr>
    </w:p>
    <w:p w14:paraId="71B587AC" w14:textId="1A21CEE3" w:rsidR="003F5D68" w:rsidRPr="00511005" w:rsidRDefault="003F5D68" w:rsidP="003A292D">
      <w:pPr>
        <w:pStyle w:val="aa"/>
        <w:spacing w:before="0" w:after="0" w:line="264" w:lineRule="auto"/>
        <w:rPr>
          <w:rFonts w:ascii="Arial" w:hAnsi="Arial" w:cs="Arial"/>
          <w:color w:val="auto"/>
          <w:sz w:val="28"/>
          <w:szCs w:val="28"/>
        </w:rPr>
      </w:pPr>
      <w:bookmarkStart w:id="99" w:name="_Toc208298992"/>
      <w:r w:rsidRPr="00511005">
        <w:rPr>
          <w:rFonts w:ascii="Arial" w:hAnsi="Arial" w:cs="Arial"/>
          <w:color w:val="auto"/>
          <w:sz w:val="28"/>
          <w:szCs w:val="28"/>
        </w:rPr>
        <w:t xml:space="preserve">СЕКЦІЯ </w:t>
      </w:r>
      <w:r w:rsidRPr="00511005">
        <w:rPr>
          <w:rFonts w:ascii="Arial" w:hAnsi="Arial" w:cs="Arial"/>
          <w:color w:val="auto"/>
          <w:sz w:val="28"/>
          <w:szCs w:val="28"/>
          <w:lang w:val="ru-RU"/>
        </w:rPr>
        <w:t>5. ПРОБЛЕМИ СУЧАСНОЇ КОНСТИТУЦІОНАЛІСТИКИ</w:t>
      </w:r>
      <w:bookmarkEnd w:id="99"/>
      <w:r w:rsidRPr="00511005">
        <w:rPr>
          <w:rFonts w:ascii="Arial" w:hAnsi="Arial" w:cs="Arial"/>
          <w:color w:val="auto"/>
          <w:sz w:val="28"/>
          <w:szCs w:val="28"/>
        </w:rPr>
        <w:t xml:space="preserve"> </w:t>
      </w:r>
    </w:p>
    <w:p w14:paraId="5C22BFA1" w14:textId="77777777" w:rsidR="003F5D68" w:rsidRPr="00511005" w:rsidRDefault="003F5D68" w:rsidP="003A292D">
      <w:pPr>
        <w:keepNext/>
        <w:spacing w:line="264" w:lineRule="auto"/>
        <w:ind w:firstLine="0"/>
        <w:jc w:val="left"/>
        <w:rPr>
          <w:rFonts w:ascii="Arial" w:hAnsi="Arial" w:cs="Arial"/>
          <w:szCs w:val="28"/>
        </w:rPr>
      </w:pPr>
    </w:p>
    <w:p w14:paraId="4866A05B" w14:textId="77777777" w:rsidR="00F30D31" w:rsidRPr="00511005" w:rsidRDefault="00F30D31" w:rsidP="003A292D">
      <w:pPr>
        <w:keepNext/>
        <w:spacing w:line="264" w:lineRule="auto"/>
        <w:ind w:firstLine="0"/>
        <w:contextualSpacing/>
        <w:jc w:val="left"/>
        <w:rPr>
          <w:rFonts w:ascii="Arial" w:eastAsiaTheme="minorHAnsi" w:hAnsi="Arial" w:cs="Arial"/>
          <w:szCs w:val="28"/>
        </w:rPr>
      </w:pPr>
    </w:p>
    <w:p w14:paraId="791C4DBF" w14:textId="47FF1C04" w:rsidR="00B67481" w:rsidRPr="00511005" w:rsidRDefault="00B67481"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Бобейко Неллі Ігорівна</w:t>
      </w:r>
      <w:r w:rsidR="0071733E">
        <w:rPr>
          <w:rFonts w:ascii="Arial" w:eastAsia="Times New Roman" w:hAnsi="Arial" w:cs="Arial"/>
          <w:b/>
          <w:i/>
          <w:szCs w:val="28"/>
          <w:lang w:val="uk-UA" w:eastAsia="uk-UA"/>
        </w:rPr>
        <w:t xml:space="preserve">, </w:t>
      </w:r>
      <w:r w:rsidRPr="00511005">
        <w:rPr>
          <w:rFonts w:ascii="Arial" w:eastAsia="Times New Roman" w:hAnsi="Arial" w:cs="Arial"/>
          <w:b/>
          <w:i/>
          <w:szCs w:val="28"/>
          <w:lang w:val="uk-UA" w:eastAsia="uk-UA"/>
        </w:rPr>
        <w:t>Величко Ангеліна Олександрівна</w:t>
      </w:r>
    </w:p>
    <w:p w14:paraId="4DDF99CA" w14:textId="37F67029" w:rsidR="00B67481" w:rsidRPr="0071733E" w:rsidRDefault="00B67481"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студент</w:t>
      </w:r>
      <w:r w:rsidR="0071733E">
        <w:rPr>
          <w:rFonts w:ascii="Arial" w:eastAsia="Times New Roman" w:hAnsi="Arial" w:cs="Arial"/>
          <w:iCs/>
          <w:szCs w:val="28"/>
          <w:lang w:val="uk-UA" w:eastAsia="uk-UA"/>
        </w:rPr>
        <w:t>ки</w:t>
      </w:r>
      <w:r w:rsidRPr="0071733E">
        <w:rPr>
          <w:rFonts w:ascii="Arial" w:eastAsia="Times New Roman" w:hAnsi="Arial" w:cs="Arial"/>
          <w:iCs/>
          <w:szCs w:val="28"/>
          <w:lang w:val="uk-UA" w:eastAsia="uk-UA"/>
        </w:rPr>
        <w:t xml:space="preserve"> </w:t>
      </w:r>
      <w:r w:rsidR="007B2628" w:rsidRPr="0071733E">
        <w:rPr>
          <w:rFonts w:ascii="Arial" w:eastAsia="Times New Roman" w:hAnsi="Arial" w:cs="Arial"/>
          <w:iCs/>
          <w:szCs w:val="28"/>
          <w:lang w:val="uk-UA" w:eastAsia="uk-UA"/>
        </w:rPr>
        <w:t>1-го курсу</w:t>
      </w:r>
      <w:r w:rsidRPr="0071733E">
        <w:rPr>
          <w:rFonts w:ascii="Arial" w:eastAsia="Times New Roman" w:hAnsi="Arial" w:cs="Arial"/>
          <w:iCs/>
          <w:szCs w:val="28"/>
          <w:lang w:val="uk-UA" w:eastAsia="uk-UA"/>
        </w:rPr>
        <w:t xml:space="preserve"> </w:t>
      </w:r>
      <w:r w:rsidR="001B7B25" w:rsidRPr="0071733E">
        <w:rPr>
          <w:rFonts w:ascii="Arial" w:eastAsia="Times New Roman" w:hAnsi="Arial" w:cs="Arial"/>
          <w:iCs/>
          <w:szCs w:val="28"/>
          <w:lang w:val="uk-UA" w:eastAsia="uk-UA"/>
        </w:rPr>
        <w:t>факультету судового та міжнародного права</w:t>
      </w:r>
    </w:p>
    <w:p w14:paraId="161BA889" w14:textId="77777777" w:rsidR="00B67481" w:rsidRPr="0071733E" w:rsidRDefault="00B67481"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юридичної академії»</w:t>
      </w:r>
    </w:p>
    <w:p w14:paraId="3E1D548E" w14:textId="77777777" w:rsidR="00B67481" w:rsidRPr="00511005" w:rsidRDefault="00B67481" w:rsidP="003A292D">
      <w:pPr>
        <w:spacing w:line="264" w:lineRule="auto"/>
        <w:ind w:firstLine="0"/>
        <w:jc w:val="center"/>
        <w:rPr>
          <w:rFonts w:ascii="Arial" w:eastAsia="Times New Roman" w:hAnsi="Arial" w:cs="Arial"/>
          <w:b/>
          <w:szCs w:val="28"/>
          <w:lang w:val="uk-UA" w:eastAsia="uk-UA"/>
        </w:rPr>
      </w:pPr>
    </w:p>
    <w:p w14:paraId="06419BB0" w14:textId="77777777" w:rsidR="00B67481" w:rsidRPr="00511005" w:rsidRDefault="00B67481"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ІНСТИТУТИ КОНСТИТУЦІЙНОГО ПРАВА ЯК ГАЛУЗІ ПРАВА, ЯК НАУКИ, ЯК НАВЧАЛЬНОЇ ДИСЦИПЛІНИ: ЗАГАЛЬНА ХАРАКТЕРИСТИКА</w:t>
      </w:r>
    </w:p>
    <w:p w14:paraId="1DFE6916"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Конституційне право - це одна з основних галузей національного права, яка визначає устрій держави, організацію влади та засади взаємодії держави з громадянами. Його інститути є структурними елементами цієї галузі, що охоплюють ключові поняття, норми та правові механізми. Конституційне право також вивчається як наука, що досліджує відповідні правові явища, та як навчальна дисципліна, яка формує у студентів системне уявлення про основи державного ладу та правового статусу людини. Розгляд інститутів конституційного права у трьох згаданих вимірах, надання їм загальної характеристики й становить мету нашого дослідження.</w:t>
      </w:r>
    </w:p>
    <w:p w14:paraId="441222AB" w14:textId="533D9AD4"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Розпочнемо розгляд з аналізу інститутів конституційного права як галузі права. Визначення даної правової категорії до цих пір залишається дискусійним, проте ними прийнято вважати - "сукупність норм права, які регулюють</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певне коло однорідних, однопорядкових</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суспільних відносин і утворюють однорідну групу" [1, с. 74]. Інститути конституційного права охоплюють ключові засади державного ладу, визначають правовий статус особи, а також регламентують структуру та функціонування органів державної влади. Наприклад, інститут президентства - становить норми, що регулюють права, повноваження, обов'язки Президента України; інститут парламентаризму - об'єднує норми, що регулюють діяльність Верховної Ради України; інститут прав людини - сукупність норм, що закріплює права людини. Як зазначає Носенко О. В. інститутам конституційного права притаманні певні ознаки, до основних з них належать: системоутворюючий характер (інститут є основною структурною одиницею системи конституційного права, що виражає узгоджену волю народу, держави та громад); відповідність об’єктивним суспільним відносинам (регулюють реально існуючі потреби суспільства); внутрішня єдність і цілісність нормативного змісту (норми пов’язані єдиною логікою і метою); однорідність і завершеність у регулюванні певного виду відносин (інститут охоплює повний спектр схожих відносин); автономність функціонування в межах галузі (може діяти як самостійна частина системи права); нормативне закріплення в Конституції, законах та інших правових актах (має вираження у чинному законодавстві й зберігає свою окрему роль) [1, с. 75-76]. Якщо </w:t>
      </w:r>
      <w:r w:rsidRPr="00511005">
        <w:rPr>
          <w:rFonts w:ascii="Arial" w:eastAsia="Times New Roman" w:hAnsi="Arial" w:cs="Arial"/>
          <w:szCs w:val="28"/>
          <w:lang w:val="uk-UA" w:eastAsia="uk-UA"/>
        </w:rPr>
        <w:lastRenderedPageBreak/>
        <w:t>говорити про класифікацію, то можна сказати, що є багато критеріїв за якими вона здійснюється - функції (установчі, регулятивні, охоронні, захисні); структура (генеральні, основні, субінститути); суб'єкти (загальні спеціальні, виключні), предмет регулювання (основ конституційного ладу, правового статусу людини, засад здійснення народовладдя, основ організації державної влади, місцевого самоврядування тощо); територія дії (загальні, локальні); час дії (постійні, тимчасові, виключні).</w:t>
      </w:r>
    </w:p>
    <w:p w14:paraId="06C8E460"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інститути конституційного права як структурні складові галузі формують її внутрішню систему, забезпечуючи цілісність правового регулювання. З огляду на це, доречним є подальший розгляд інститутів у контексті конституційного права як науки.</w:t>
      </w:r>
    </w:p>
    <w:p w14:paraId="63EDD9B7" w14:textId="56BE8988"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"Наука конституційного права має своїм предметом вивчення галузі конституційного права. Вона розкриває притаманні цій галузі закономірності, тенденції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розвитку державно-правових процесів" [2, с. 32], за допомогою своїх методів: системним, історичним, порівняльно правовим, статистичним тощо. Одним із основних напрямів її вивчення є аналіз інститутів конституційного права. У науковому розумінні ці інститути розглядаються не просто як сукупність норм, що регулюють певну сферу суспільних відносин, а як структурно відокремлені комплекси правових положень, які мають внутрішню єдність і логічну завершеність. Наука прагне з’ясувати, як і чому саме ці норми поєднуються в інститути, які суспільні потреби вони відображають, як впливають на розвиток держави та права. Вивчаються їхня історична еволюція, сучасний зміст, місце в загальній системі конституційного регулювання, а також проблеми реалізації на практиці й шляхи їх вирішення. Наука також аналізує, наскільки інститути відповідають міжнародно-правовим стандартам, як впроваджується в Україні досвід європейських країн у сфері конституціоналізму, та які зміни потребують запровадження в умовах нових суспільно-політичних викликів. Таким чином, вивчення інститутів у рамках науки конституційного права дає змогу не лише глибше усвідомити їхню роль та сутність у правовій системі, а й сприяти їх удосконаленню, видозміненню, згідно з об'єктивними обставинами, наприклад, застарілістю правовідносин, чи скасуванню за необхідності.</w:t>
      </w:r>
    </w:p>
    <w:p w14:paraId="36C62D14"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Для опанування конституційного права як галузі права і науки студентам необхідно вивчати ряд важливих аспектів шляхом вивчення навчальної дисципліни "Конституційне право України". Конституційне право як навчальна дисципліна є невід'ємною складовою юридичної освіти в Україні. Вона пропонує студентам системне і глибоке уявлення про основи правової системи держави, закріплені в Конституції, та про взаємодію держави з її громадянами. Як зазначає Тодика Ю. М. "як навчальна дисципліна вона має вужчий зміст, аніж однойменна наука, і спрямована на розкриття основних понять і змісту предмета конституційного права України як галузі і науки, висвітлює методологію науки, розвиток науки </w:t>
      </w:r>
      <w:r w:rsidRPr="00511005">
        <w:rPr>
          <w:rFonts w:ascii="Arial" w:eastAsia="Times New Roman" w:hAnsi="Arial" w:cs="Arial"/>
          <w:szCs w:val="28"/>
          <w:lang w:val="uk-UA" w:eastAsia="uk-UA"/>
        </w:rPr>
        <w:lastRenderedPageBreak/>
        <w:t>конституційного права на сучасному етапі, розкриває основні положення вчення про Конституцію; функції, принципи, юридичні властивості Конституції, її мову і стиль, порядок прийняття і зміни, аналізує особливості конституційних норм і конституційних інститутів, дає загальну характеристику чинної Конституції України, розкриває основні положення Конституційного договору між Верховною Радою України і Президентом України" [2, с. 37]. Інститути конституційного права є важливими структурними одиницями галузі, вивчення яких допомагає студентам зрозуміти, як різні правові норми взаємодіють і утворюють цілісну систему. Також самостійне групування студентами норм у відповідні інститути є важливим етапом у процесі навчання. Це дає змогу не лише глибше зрозуміти суть кожної окремої норми, а й формує здатність до їх аналізу та порівняння в межах конкретних правовідносин. Коли студенти самостійно виділяють та об'єднують норми в інститути, вони починають бачити логічну взаємодію між різними елементами правової системи та розуміти. Такий підхід допомагає студентам не лише засвоювати матеріал, а й критично осмислювати правові норми, порівнювати їх із міжнародними стандартами, проводити паралелі між різними правовими системами та виявляти окремі особливості організації в конкретних правових аспектах.</w:t>
      </w:r>
    </w:p>
    <w:p w14:paraId="6BBC2BCF" w14:textId="624786F4"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Проведений аналіз доводить, що інститути конституційного права виконують системоутворюючу роль у правовій системі України, виступаючи одночасно нормативною основою державного ладу, об'єктом наукового пізнання та ключовим елементом юридичної освіти. Як нормативна основа вони чітко регулюють організацію влади, права громадян та механізми їх захисту. Як об'єкт науки - досліджують еволюцію, порівняльні моделі та сучасні виклики конституціоналізму. При дослідженні інститутів конституційного права як навчальної дисципліни у студентів формується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системне розуміння основ правової держави. Таким чином, триєдиний підхід до інститутів конституційного права як галузі права, науки та навчального предмета забезпечує їхню динамічну еволюцію та ефективне функціонування в умовах трансформації української державності, сприяючи побудові демократичної правової держави, відповідно до конституційних ідеалів та принципів.</w:t>
      </w:r>
    </w:p>
    <w:p w14:paraId="2CE99258" w14:textId="77777777" w:rsidR="00B67481" w:rsidRPr="00511005" w:rsidRDefault="00B67481" w:rsidP="003A292D">
      <w:pPr>
        <w:spacing w:line="264" w:lineRule="auto"/>
        <w:ind w:firstLine="0"/>
        <w:rPr>
          <w:rFonts w:ascii="Arial" w:eastAsia="Times New Roman" w:hAnsi="Arial" w:cs="Arial"/>
          <w:szCs w:val="28"/>
          <w:lang w:val="uk-UA" w:eastAsia="uk-UA"/>
        </w:rPr>
      </w:pPr>
    </w:p>
    <w:p w14:paraId="17A01469" w14:textId="5F6F9863" w:rsidR="00B67481"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733BBCD5" w14:textId="77777777" w:rsidR="00B67481" w:rsidRPr="00511005" w:rsidRDefault="00B67481" w:rsidP="003F6A5D">
      <w:pPr>
        <w:numPr>
          <w:ilvl w:val="0"/>
          <w:numId w:val="224"/>
        </w:numPr>
        <w:pBdr>
          <w:top w:val="none" w:sz="0" w:space="0" w:color="000000"/>
          <w:left w:val="none" w:sz="0" w:space="0" w:color="000000"/>
          <w:bottom w:val="none" w:sz="0" w:space="0" w:color="000000"/>
          <w:right w:val="none" w:sz="0" w:space="0" w:color="000000"/>
          <w:between w:val="none" w:sz="0" w:space="0" w:color="000000"/>
        </w:pBd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Сучасні інститути конституційного права України: поняття, види і сутнісні ознаки / О. В. Носенко // Бюллетень Міністерства юстиції України. 2014. № 8. С. 73-80. </w:t>
      </w:r>
    </w:p>
    <w:p w14:paraId="55C83C87" w14:textId="77777777" w:rsidR="00B67481" w:rsidRPr="00511005" w:rsidRDefault="00B67481" w:rsidP="003F6A5D">
      <w:pPr>
        <w:numPr>
          <w:ilvl w:val="0"/>
          <w:numId w:val="224"/>
        </w:numPr>
        <w:pBdr>
          <w:top w:val="none" w:sz="0" w:space="0" w:color="000000"/>
          <w:left w:val="none" w:sz="0" w:space="0" w:color="000000"/>
          <w:bottom w:val="none" w:sz="0" w:space="0" w:color="000000"/>
          <w:right w:val="none" w:sz="0" w:space="0" w:color="000000"/>
          <w:between w:val="none" w:sz="0" w:space="0" w:color="000000"/>
        </w:pBd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Конституційне право України : підручник / за ред.: Ю. М. Тодика, В. С. Журавський. – К. : Вид. Дім «Ін Юре», 2002. – 544 с.</w:t>
      </w:r>
    </w:p>
    <w:p w14:paraId="7DC6D856" w14:textId="77777777" w:rsidR="00B67481" w:rsidRPr="00511005" w:rsidRDefault="00B67481" w:rsidP="003F6A5D">
      <w:pPr>
        <w:numPr>
          <w:ilvl w:val="0"/>
          <w:numId w:val="224"/>
        </w:numPr>
        <w:pBdr>
          <w:top w:val="none" w:sz="0" w:space="0" w:color="000000"/>
          <w:left w:val="none" w:sz="0" w:space="0" w:color="000000"/>
          <w:bottom w:val="none" w:sz="0" w:space="0" w:color="000000"/>
          <w:right w:val="none" w:sz="0" w:space="0" w:color="000000"/>
          <w:between w:val="none" w:sz="0" w:space="0" w:color="000000"/>
        </w:pBdr>
        <w:spacing w:line="264" w:lineRule="auto"/>
        <w:jc w:val="left"/>
        <w:rPr>
          <w:rFonts w:ascii="Arial" w:eastAsia="Times New Roman" w:hAnsi="Arial" w:cs="Arial"/>
          <w:szCs w:val="28"/>
          <w:lang w:val="uk-UA" w:eastAsia="uk-UA"/>
        </w:rPr>
      </w:pPr>
      <w:bookmarkStart w:id="100" w:name="_heading=h.1cgottypa4s9" w:colFirst="0" w:colLast="0"/>
      <w:bookmarkEnd w:id="100"/>
      <w:r w:rsidRPr="00511005">
        <w:rPr>
          <w:rFonts w:ascii="Arial" w:eastAsia="Times New Roman" w:hAnsi="Arial" w:cs="Arial"/>
          <w:szCs w:val="28"/>
          <w:lang w:val="uk-UA" w:eastAsia="uk-UA"/>
        </w:rPr>
        <w:t xml:space="preserve">Конституція України : від 28.06.1996 № 254к/96-ВР : станом на 1 січ. 2020 р. </w:t>
      </w:r>
    </w:p>
    <w:p w14:paraId="50665E84" w14:textId="6DCE4C22" w:rsidR="00B67481" w:rsidRPr="00511005" w:rsidRDefault="00B67481" w:rsidP="003F6A5D">
      <w:pPr>
        <w:numPr>
          <w:ilvl w:val="0"/>
          <w:numId w:val="224"/>
        </w:numPr>
        <w:pBdr>
          <w:top w:val="none" w:sz="0" w:space="0" w:color="000000"/>
          <w:left w:val="none" w:sz="0" w:space="0" w:color="000000"/>
          <w:bottom w:val="none" w:sz="0" w:space="0" w:color="000000"/>
          <w:right w:val="none" w:sz="0" w:space="0" w:color="000000"/>
          <w:between w:val="none" w:sz="0" w:space="0" w:color="000000"/>
        </w:pBd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Конституційне право : навч. </w:t>
      </w:r>
      <w:r w:rsidR="006C2EDA">
        <w:rPr>
          <w:rFonts w:ascii="Arial" w:eastAsia="Times New Roman" w:hAnsi="Arial" w:cs="Arial"/>
          <w:szCs w:val="28"/>
          <w:lang w:val="uk-UA" w:eastAsia="uk-UA"/>
        </w:rPr>
        <w:t>п</w:t>
      </w:r>
      <w:r w:rsidRPr="00511005">
        <w:rPr>
          <w:rFonts w:ascii="Arial" w:eastAsia="Times New Roman" w:hAnsi="Arial" w:cs="Arial"/>
          <w:szCs w:val="28"/>
          <w:lang w:val="uk-UA" w:eastAsia="uk-UA"/>
        </w:rPr>
        <w:t>осібник</w:t>
      </w:r>
      <w:r w:rsidR="006C2EDA">
        <w:rPr>
          <w:rFonts w:ascii="Arial" w:eastAsia="Times New Roman" w:hAnsi="Arial" w:cs="Arial"/>
          <w:szCs w:val="28"/>
          <w:lang w:val="uk-UA" w:eastAsia="uk-UA"/>
        </w:rPr>
        <w:t xml:space="preserve"> </w:t>
      </w:r>
      <w:r w:rsidR="00226B63">
        <w:rPr>
          <w:rFonts w:ascii="Arial" w:eastAsia="Times New Roman" w:hAnsi="Arial" w:cs="Arial"/>
          <w:szCs w:val="28"/>
          <w:lang w:val="uk-UA" w:eastAsia="uk-UA"/>
        </w:rPr>
        <w:t>/</w:t>
      </w:r>
      <w:r w:rsidRPr="00511005">
        <w:rPr>
          <w:rFonts w:ascii="Arial" w:eastAsia="Times New Roman" w:hAnsi="Arial" w:cs="Arial"/>
          <w:szCs w:val="28"/>
          <w:lang w:val="uk-UA" w:eastAsia="uk-UA"/>
        </w:rPr>
        <w:t xml:space="preserve"> Д. Терлецький, М. Афанасьєва, Ю. Батан [та ін.]; НУ «Одес. </w:t>
      </w:r>
      <w:r w:rsidR="00226B63">
        <w:rPr>
          <w:rFonts w:ascii="Arial" w:eastAsia="Times New Roman" w:hAnsi="Arial" w:cs="Arial"/>
          <w:szCs w:val="28"/>
          <w:lang w:val="uk-UA" w:eastAsia="uk-UA"/>
        </w:rPr>
        <w:t>ю</w:t>
      </w:r>
      <w:r w:rsidRPr="00511005">
        <w:rPr>
          <w:rFonts w:ascii="Arial" w:eastAsia="Times New Roman" w:hAnsi="Arial" w:cs="Arial"/>
          <w:szCs w:val="28"/>
          <w:lang w:val="uk-UA" w:eastAsia="uk-UA"/>
        </w:rPr>
        <w:t xml:space="preserve">рид. </w:t>
      </w:r>
      <w:r w:rsidR="00226B63">
        <w:rPr>
          <w:rFonts w:ascii="Arial" w:eastAsia="Times New Roman" w:hAnsi="Arial" w:cs="Arial"/>
          <w:szCs w:val="28"/>
          <w:lang w:val="uk-UA" w:eastAsia="uk-UA"/>
        </w:rPr>
        <w:t>а</w:t>
      </w:r>
      <w:r w:rsidRPr="00511005">
        <w:rPr>
          <w:rFonts w:ascii="Arial" w:eastAsia="Times New Roman" w:hAnsi="Arial" w:cs="Arial"/>
          <w:szCs w:val="28"/>
          <w:lang w:val="uk-UA" w:eastAsia="uk-UA"/>
        </w:rPr>
        <w:t>кадемія». Одеса : Фенікс, 2023. 584 с.</w:t>
      </w:r>
    </w:p>
    <w:p w14:paraId="0244D0CA" w14:textId="7946587A" w:rsidR="00B67481" w:rsidRPr="00511005" w:rsidRDefault="007B2628"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left="720"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szCs w:val="28"/>
          <w:lang w:val="uk-UA" w:eastAsia="uk-UA"/>
        </w:rPr>
        <w:t>конституційне право, галузь національного права, державний устрій, організація влади, правовий статус людини, інститути конституційного права.</w:t>
      </w:r>
    </w:p>
    <w:p w14:paraId="250A78E7" w14:textId="72070726" w:rsidR="00B67481" w:rsidRPr="00511005" w:rsidRDefault="007B2628"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left="720"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szCs w:val="28"/>
          <w:lang w:val="uk-UA" w:eastAsia="uk-UA"/>
        </w:rPr>
        <w:t>constitutional law, branch of national law, state structure, organization of power, legal status of a person, institutions of constitutional law.</w:t>
      </w:r>
    </w:p>
    <w:p w14:paraId="1DCCED25" w14:textId="0E49339E" w:rsidR="00B67481" w:rsidRPr="00511005" w:rsidRDefault="007B2628"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left="720"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B67481" w:rsidRPr="00511005">
        <w:rPr>
          <w:rFonts w:ascii="Arial" w:eastAsia="Times New Roman" w:hAnsi="Arial" w:cs="Arial"/>
          <w:i/>
          <w:szCs w:val="28"/>
          <w:lang w:val="uk-UA" w:eastAsia="uk-UA"/>
        </w:rPr>
        <w:t>к.ю.н., доцент Кулі-Іванченко К. К.</w:t>
      </w:r>
    </w:p>
    <w:p w14:paraId="59B269E6"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left="720" w:firstLine="0"/>
        <w:rPr>
          <w:rFonts w:ascii="Arial" w:eastAsia="Times New Roman" w:hAnsi="Arial" w:cs="Arial"/>
          <w:i/>
          <w:szCs w:val="28"/>
          <w:lang w:val="uk-UA" w:eastAsia="uk-UA"/>
        </w:rPr>
      </w:pPr>
    </w:p>
    <w:p w14:paraId="2C958502" w14:textId="77777777" w:rsidR="00B67481" w:rsidRPr="00511005" w:rsidRDefault="00B67481" w:rsidP="003A292D">
      <w:pPr>
        <w:widowControl w:val="0"/>
        <w:spacing w:line="264" w:lineRule="auto"/>
        <w:ind w:firstLine="700"/>
        <w:jc w:val="center"/>
        <w:rPr>
          <w:rFonts w:ascii="Arial" w:eastAsia="Times New Roman" w:hAnsi="Arial" w:cs="Arial"/>
          <w:i/>
          <w:szCs w:val="28"/>
          <w:lang w:val="uk-UA" w:eastAsia="uk-UA"/>
        </w:rPr>
      </w:pPr>
      <w:r w:rsidRPr="00511005">
        <w:rPr>
          <w:rFonts w:ascii="Arial" w:eastAsia="Times New Roman" w:hAnsi="Arial" w:cs="Arial"/>
          <w:b/>
          <w:i/>
          <w:szCs w:val="28"/>
          <w:lang w:val="uk-UA" w:eastAsia="uk-UA"/>
        </w:rPr>
        <w:t>Ваньчак Марта Володимирівна</w:t>
      </w:r>
      <w:r w:rsidRPr="00511005">
        <w:rPr>
          <w:rFonts w:ascii="Arial" w:eastAsia="Times New Roman" w:hAnsi="Arial" w:cs="Arial"/>
          <w:szCs w:val="28"/>
          <w:lang w:val="uk-UA" w:eastAsia="uk-UA"/>
        </w:rPr>
        <w:t xml:space="preserve"> </w:t>
      </w:r>
    </w:p>
    <w:p w14:paraId="3696CE27" w14:textId="77777777" w:rsidR="0071733E" w:rsidRDefault="00536AAB" w:rsidP="003A292D">
      <w:pPr>
        <w:keepLines/>
        <w:spacing w:line="264" w:lineRule="auto"/>
        <w:ind w:firstLine="72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 xml:space="preserve">студентка 2-го курсу </w:t>
      </w:r>
      <w:r w:rsidR="00BE3972" w:rsidRPr="0071733E">
        <w:rPr>
          <w:rFonts w:ascii="Arial" w:eastAsia="Times New Roman" w:hAnsi="Arial" w:cs="Arial"/>
          <w:iCs/>
          <w:szCs w:val="28"/>
          <w:lang w:val="uk-UA" w:eastAsia="uk-UA"/>
        </w:rPr>
        <w:t xml:space="preserve">магістратури </w:t>
      </w:r>
    </w:p>
    <w:p w14:paraId="572C8C5D" w14:textId="52F25AEB" w:rsidR="0071733E" w:rsidRDefault="001B7B25" w:rsidP="003A292D">
      <w:pPr>
        <w:keepLines/>
        <w:spacing w:line="264" w:lineRule="auto"/>
        <w:ind w:firstLine="72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факультету судового та міжнародного права</w:t>
      </w:r>
      <w:r w:rsidR="00B67481" w:rsidRPr="0071733E">
        <w:rPr>
          <w:rFonts w:ascii="Arial" w:eastAsia="Times New Roman" w:hAnsi="Arial" w:cs="Arial"/>
          <w:iCs/>
          <w:szCs w:val="28"/>
          <w:lang w:val="uk-UA" w:eastAsia="uk-UA"/>
        </w:rPr>
        <w:t xml:space="preserve"> </w:t>
      </w:r>
    </w:p>
    <w:p w14:paraId="7F1C5924" w14:textId="6311AFF6" w:rsidR="00B67481" w:rsidRDefault="007B2628" w:rsidP="003A292D">
      <w:pPr>
        <w:keepLines/>
        <w:spacing w:line="264" w:lineRule="auto"/>
        <w:ind w:firstLine="72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r w:rsidR="00B67481" w:rsidRPr="0071733E">
        <w:rPr>
          <w:rFonts w:ascii="Arial" w:eastAsia="Times New Roman" w:hAnsi="Arial" w:cs="Arial"/>
          <w:iCs/>
          <w:szCs w:val="28"/>
          <w:lang w:val="uk-UA" w:eastAsia="uk-UA"/>
        </w:rPr>
        <w:t xml:space="preserve"> </w:t>
      </w:r>
    </w:p>
    <w:p w14:paraId="38986AF3" w14:textId="77777777" w:rsidR="0071733E" w:rsidRPr="0071733E" w:rsidRDefault="0071733E" w:rsidP="003A292D">
      <w:pPr>
        <w:keepLines/>
        <w:spacing w:line="264" w:lineRule="auto"/>
        <w:ind w:firstLine="720"/>
        <w:jc w:val="center"/>
        <w:rPr>
          <w:rFonts w:ascii="Arial" w:eastAsia="Times New Roman" w:hAnsi="Arial" w:cs="Arial"/>
          <w:b/>
          <w:iCs/>
          <w:szCs w:val="28"/>
          <w:lang w:val="uk-UA" w:eastAsia="uk-UA"/>
        </w:rPr>
      </w:pPr>
    </w:p>
    <w:p w14:paraId="7D94BBDA" w14:textId="77777777" w:rsidR="00B67481" w:rsidRPr="00511005" w:rsidRDefault="00B67481" w:rsidP="003A292D">
      <w:pPr>
        <w:keepLines/>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НАРОДНИЙ СУВЕРЕНІТЕТ ЯК ОСНОВА ДЕМОКРАТИЧНОГО ЛАДУ</w:t>
      </w:r>
    </w:p>
    <w:p w14:paraId="4DF78B1D" w14:textId="77777777" w:rsidR="00B67481" w:rsidRPr="00511005" w:rsidRDefault="00B67481" w:rsidP="003A292D">
      <w:pPr>
        <w:keepLines/>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сучасних демократичних державах народний суверенітет виступає фундаментальним принципом функціонування державної влади. Це поняття визначає, кому належить вища влада в країні, хто є її носієм і джерелом. Особливої актуальності тема народного суверенітету набуває в умовах трансформації політичних систем, боротьби з авторитаризмом та необхідності залучення громадян до процесів прийняття рішень. Конституція України однозначно визначає, що носієм суверенітету та єдиним джерелом влади в державі є народ. </w:t>
      </w:r>
    </w:p>
    <w:p w14:paraId="2CA0A72F" w14:textId="77777777" w:rsidR="00B67481" w:rsidRPr="00511005" w:rsidRDefault="00B67481" w:rsidP="003A292D">
      <w:pPr>
        <w:keepLines/>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Народний суверенітет означає, що вся повнота влади у державі належить народові. Це право не може бути передане жодному іншому суб’єкту, не може бути узурповане владою чи окремими політичними силами. Народ є джерелом законодавчої, виконавчої та судової влади, і саме він має виключне право формувати засади суспільного ладу, визначати політичну, соціальну та економічну модель розвитку країни.</w:t>
      </w:r>
    </w:p>
    <w:p w14:paraId="2A3A9323"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Концепція народного суверенітету має давню історію. Ще мислителі епохи Просвітництва — Джон Локк, Жан-Жак Руссо, Шарль Монтеск’є — обґрунтовували положення, згідно з якими держава виникає внаслідок суспільного договору, а влада повинна ґрунтуватися на згоді керованих. Руссо стверджував, що лише загальна воля народу може бути джерелом легітимної влади, а всяка інша форма правління, яка не враховує волі народу, є узурпацією. Вплив цих ідей був відображений у Декларації незалежності США 1776 року, Декларації прав людини і громадянина 1789 року у Франції та багатьох інших актах, які стали взірцем для сучасного конституціоналізму.</w:t>
      </w:r>
    </w:p>
    <w:p w14:paraId="242B701F" w14:textId="77777777" w:rsidR="00B67481" w:rsidRPr="00511005" w:rsidRDefault="00B67481" w:rsidP="003A292D">
      <w:pPr>
        <w:keepLines/>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Україна, як суверенна демократична держава, закріпила принцип народного суверенітету в Основному Законі. Конституція України проголошує, що носієм суверенітету і єдиним джерелом влади є народ. Встановлено, що народ здійснює владу безпосередньо або через органи державної влади та органи місцевого самоврядування. Основними формами безпосереднього здійснення влади є вибори, референдуми, петиції, громадські слухання та інші форми прямої демократії. Представницьке здійснення влади реалізується через парламент, Президента, місцеві ради та інші виборні органи. Усі ці інституції мають діяти в інтересах громадян і бути підзвітними народу.</w:t>
      </w:r>
    </w:p>
    <w:p w14:paraId="317916E6"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На практиці народний суверенітет реалізується через дві основні форми: безпосередню демократію та представницьку демократію. До першої належать всеукраїнські та місцеві референдуми, збори громадян, електронні петиції, громадські слухання, інші механізми прямого впливу населення на політичні рішення. Представницька демократія виявляється у виборах до Верховної Ради України, Президента України, обласних, районних, сільських і міських рад. Через ці вибори народ делегує повноваження тим, кого вважає здатними представляти його інтереси у владних структурах. Проте ця делегація завжди має тимчасовий характер і підлягає контролю.</w:t>
      </w:r>
    </w:p>
    <w:p w14:paraId="0D7053E5" w14:textId="77777777" w:rsidR="00B67481" w:rsidRPr="00511005" w:rsidRDefault="00B67481" w:rsidP="003A292D">
      <w:pPr>
        <w:keepLines/>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Принцип народного суверенітету є тісно пов’язаним із демократичним устроєм держави. Саме народовладдя визначає суть демократії. Якщо влада функціонує незалежно від волі народу або проти неї, відбувається деформація демократичних інститутів. Легітимність влади прямо залежить від рівня довіри громадян до неї. Чим більша відстань між владою та суспільством, тим слабшим є суверенітет народу.</w:t>
      </w:r>
    </w:p>
    <w:p w14:paraId="294F1F9B" w14:textId="77777777" w:rsidR="00B67481" w:rsidRPr="00511005" w:rsidRDefault="00B67481" w:rsidP="003A292D">
      <w:pPr>
        <w:keepLines/>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Незважаючи на конституційне закріплення принципу народного суверенітету в Україні, його реалізація стикається з низкою проблем. Зокрема, українське законодавство досі не передбачає ефективного механізму проведення місцевих референдумів. Закон про всеукраїнський референдум, прийнятий у 2021 році, має прогресивні положення, однак практика його застосування поки що обмежена. Крім того, в Україні досі недостатньо розвинені інструменти участі громадян у законотворчому процесі, а механізми електронної демократії перебувають на етапі становлення. Часто спостерігається формалізм участі народу в політичному житті: громадяни голосують на виборах, але не впливають на подальші рішення, що ухвалюються обраними представниками.</w:t>
      </w:r>
    </w:p>
    <w:p w14:paraId="5B7C459D" w14:textId="77777777" w:rsidR="00B67481" w:rsidRPr="00511005" w:rsidRDefault="00B67481" w:rsidP="003A292D">
      <w:pPr>
        <w:keepLines/>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Серйозною перешкодою для реалізації народного суверенітету є політична корупція, олігархізація влади та непрозоре фінансування політичних партій. Часто народ стає лише формальним джерелом влади, тоді як реальні політичні процеси контролюються вузькими елітними групами. Це призводить до зниження довіри до влади, поширення апатії серед виборців та зростання радикальних настроїв у суспільстві.</w:t>
      </w:r>
    </w:p>
    <w:p w14:paraId="49877CBD" w14:textId="77777777" w:rsidR="00B67481" w:rsidRPr="00511005" w:rsidRDefault="00B67481" w:rsidP="003A292D">
      <w:pPr>
        <w:keepLines/>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Особливої уваги потребує питання народного суверенітету в умовах воєнного стану. Конституція України та Закон «Про правовий режим воєнного стану» допускають тимчасове обмеження окремих прав і свобод, але не передбачають зупинення дії принципу народного суверенітету. Навіть у період надзвичайних обставин народ залишається носієм влади, а всі дії органів державної влади повинні бути спрямовані на захист його інтересів. У такій ситуації зростає значення прозорості влади, ефективної комунікації з громадянами, недопущення узурпації повноважень.</w:t>
      </w:r>
    </w:p>
    <w:p w14:paraId="6DC93D4B"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Перспективи розвитку народного суверенітету в Україні пов’язані з удосконаленням законодавчої бази, зокрема в частині регулювання форм прямої демократії. Необхідно створити дієві механізми впливу громадян на законотворчий процес, запровадити ефективні електронні платформи для голосування, консультацій, обговорень. Важливо також активізувати політичну освіту населення, підвищити правову культуру та рівень обізнаності громадян щодо власних прав і можливостей участі у державному управлінні.</w:t>
      </w:r>
    </w:p>
    <w:p w14:paraId="5C414FE5" w14:textId="77777777" w:rsidR="00B67481" w:rsidRPr="00511005" w:rsidRDefault="00B67481" w:rsidP="003A292D">
      <w:pPr>
        <w:keepLines/>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народний суверенітет є не лише юридичною нормою, а й реальною засадою державного буття. Його реалізація вимагає не лише волі законодавця, а й активної участі самого народу, здатного контролювати владу, впливати на прийняття рішень і захищати власні інтереси. Успішне функціонування демократичної правової держави можливе лише за умови, коли принцип народовладдя не буде декларативним, а стане практикою щоденного державного життя.</w:t>
      </w:r>
    </w:p>
    <w:p w14:paraId="50A2E287" w14:textId="6966E62A" w:rsidR="00B67481" w:rsidRPr="00511005" w:rsidRDefault="007B2628" w:rsidP="003A292D">
      <w:pPr>
        <w:keepLines/>
        <w:spacing w:line="264" w:lineRule="auto"/>
        <w:ind w:firstLine="72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i/>
          <w:szCs w:val="28"/>
          <w:lang w:val="uk-UA" w:eastAsia="uk-UA"/>
        </w:rPr>
        <w:t>народний суверенітет, народовладдя, Конституція України, джерело влади, демократія, пряма демократія, представницька демократія, референдум, вибори, політична участь, легітимність влади, громадянське суспільство, правова держава, волевиявлення, політична відповідальність.</w:t>
      </w:r>
    </w:p>
    <w:p w14:paraId="13D922D2" w14:textId="23643BFB" w:rsidR="00B67481" w:rsidRPr="00511005" w:rsidRDefault="007B2628" w:rsidP="003A292D">
      <w:pPr>
        <w:keepLines/>
        <w:spacing w:line="264" w:lineRule="auto"/>
        <w:ind w:firstLine="72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i/>
          <w:szCs w:val="28"/>
          <w:lang w:val="uk-UA" w:eastAsia="uk-UA"/>
        </w:rPr>
        <w:t>popular sovereignty, people’s power, Constitution of Ukraine, source of authority, democracy, direct democracy, representative democracy, referendum, elections, political participation, legitimacy of power, civil society, rule of law, expression of will, political accountability.</w:t>
      </w:r>
    </w:p>
    <w:p w14:paraId="0C199A99" w14:textId="2E6BDB0A" w:rsidR="00B67481" w:rsidRPr="00511005" w:rsidRDefault="007B2628" w:rsidP="003A292D">
      <w:pPr>
        <w:keepLines/>
        <w:spacing w:line="264" w:lineRule="auto"/>
        <w:ind w:firstLine="72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B67481" w:rsidRPr="00511005">
        <w:rPr>
          <w:rFonts w:ascii="Arial" w:eastAsia="Times New Roman" w:hAnsi="Arial" w:cs="Arial"/>
          <w:i/>
          <w:szCs w:val="28"/>
          <w:lang w:val="uk-UA" w:eastAsia="uk-UA"/>
        </w:rPr>
        <w:t>к.ю.н., доцент Батан Ю.Д.</w:t>
      </w:r>
    </w:p>
    <w:p w14:paraId="4D4C9DEC" w14:textId="526F6D68" w:rsidR="00B67481"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left="720" w:firstLine="0"/>
        <w:rPr>
          <w:rFonts w:ascii="Arial" w:eastAsia="Times New Roman" w:hAnsi="Arial" w:cs="Arial"/>
          <w:b/>
          <w:i/>
          <w:szCs w:val="28"/>
          <w:lang w:val="uk-UA" w:eastAsia="uk-UA"/>
        </w:rPr>
      </w:pPr>
    </w:p>
    <w:p w14:paraId="17C51450" w14:textId="7EA8F941" w:rsidR="0071733E" w:rsidRDefault="0071733E">
      <w:pPr>
        <w:spacing w:after="200" w:line="276" w:lineRule="auto"/>
        <w:ind w:firstLine="0"/>
        <w:jc w:val="left"/>
        <w:rPr>
          <w:rFonts w:ascii="Arial" w:eastAsia="Times New Roman" w:hAnsi="Arial" w:cs="Arial"/>
          <w:b/>
          <w:i/>
          <w:szCs w:val="28"/>
          <w:lang w:val="uk-UA" w:eastAsia="uk-UA"/>
        </w:rPr>
      </w:pPr>
      <w:r>
        <w:rPr>
          <w:rFonts w:ascii="Arial" w:eastAsia="Times New Roman" w:hAnsi="Arial" w:cs="Arial"/>
          <w:b/>
          <w:i/>
          <w:szCs w:val="28"/>
          <w:lang w:val="uk-UA" w:eastAsia="uk-UA"/>
        </w:rPr>
        <w:br w:type="page"/>
      </w:r>
    </w:p>
    <w:p w14:paraId="0F53455F" w14:textId="77777777" w:rsidR="00B67481" w:rsidRPr="00511005" w:rsidRDefault="00B67481"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lastRenderedPageBreak/>
        <w:t>Дмитрук Дарʼя Олександрівна</w:t>
      </w:r>
    </w:p>
    <w:p w14:paraId="240E6EF1" w14:textId="77777777" w:rsidR="0071733E" w:rsidRPr="0071733E" w:rsidRDefault="00BE3972"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 xml:space="preserve">студентка 1-го курсу </w:t>
      </w:r>
    </w:p>
    <w:p w14:paraId="089910CD" w14:textId="4D507E69" w:rsidR="00B67481" w:rsidRPr="0071733E" w:rsidRDefault="00536AAB"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факультету адвокатури та антикорупційної діяльності</w:t>
      </w:r>
    </w:p>
    <w:p w14:paraId="7326404B" w14:textId="54D433CD" w:rsidR="00B67481" w:rsidRPr="0071733E" w:rsidRDefault="007B2628"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p>
    <w:p w14:paraId="1D7D6373" w14:textId="77777777" w:rsidR="00B67481" w:rsidRPr="00511005" w:rsidRDefault="00B67481" w:rsidP="003A292D">
      <w:pPr>
        <w:spacing w:line="264" w:lineRule="auto"/>
        <w:ind w:firstLine="0"/>
        <w:jc w:val="center"/>
        <w:rPr>
          <w:rFonts w:ascii="Arial" w:eastAsia="Times New Roman" w:hAnsi="Arial" w:cs="Arial"/>
          <w:szCs w:val="28"/>
          <w:lang w:val="uk-UA" w:eastAsia="uk-UA"/>
        </w:rPr>
      </w:pPr>
    </w:p>
    <w:p w14:paraId="6E5D0353" w14:textId="77777777" w:rsidR="00B67481" w:rsidRPr="00511005" w:rsidRDefault="00B67481"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ПРОБЛЕМНІ ПИТАННЯ ОБМЕЖЕННЯ ПРАВ ЛЮДИНИ В</w:t>
      </w:r>
    </w:p>
    <w:p w14:paraId="01556B1C" w14:textId="77777777" w:rsidR="00B67481" w:rsidRPr="00511005" w:rsidRDefault="00B67481"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УМОВАХ ВОЄННОГО СТАНУ В УКРАЇНІ</w:t>
      </w:r>
    </w:p>
    <w:p w14:paraId="44FAD0A3"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Права людини, їх реалізація та гарантія є фундаментом демократичної</w:t>
      </w:r>
    </w:p>
    <w:p w14:paraId="6522D149" w14:textId="77777777" w:rsidR="00B67481"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правової держави. З прийняттям Конституції України 28 червня 1996 року, було закріплено суверенітет та незалежність країни, функції держави, права і свободи людини і громадянина. Суть дослідження полягає саме в можливості порушення прав, підстав на це та існуванні відповідних механізмах.</w:t>
      </w:r>
    </w:p>
    <w:p w14:paraId="03C3BB2F"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 початком агресії РФ та повномасштабним вторгненням на територію України, постало питання щодо обмеження діяльності та можливостей народу. Державний апарат був змушений ввести в дію воєнний стан - особливий правовий режим на теренах держави, що може бути запроваджений на всій території або в окремих регіонах України у випадках збройної агресії. Його запровадження, з одного боку, полягає у розширенні повноважень органів держави, які необхідні для забезпечення безпеки, а з іншого - допускає обмеження конституційних прав людини. [3] Останній аспект регулюється чинним законодавством України, а саме : Конституцією України, Указом Президента України “Про введення воєнного стану в Україні” від 24.02.2022 року, Законом України «Про правовий режим воєнного стану» від 12.05.2015.</w:t>
      </w:r>
    </w:p>
    <w:p w14:paraId="06F0AF80"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Обмеження прав і свобод людини в умовах воєнного розглядається як тимчасовий захід, що викликаний суспільно-державними обставинами та має на меті забезпечення національної безпеки та вирішення виключно суспільно важливих проблем. Конституція України не лише закріплює основоположні права людини і громадянина, а й визначає випадки їх звуженої реалізації. [4]</w:t>
      </w:r>
    </w:p>
    <w:p w14:paraId="5A898888"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Серед основних сфер, де права людини були обмежені є, по-перше, свобода пересування. Під цим розуміється встановлення комендантської години, обмеження виїзду за кордон громадян, які, за статтею 65 Конституції України, мають обов`язок захищати Вітчизну, незалежність та територіальну цілісність України. [1] По-друге, свобода об`єднань і мирних зібрань, а саме - заборона мітингів, демонстрацій. [4] По-третє, обмежується право на створення об'єднань — політичних партій чи громадських організацій, яке гарантується гарантується статтею 36 Конституції. Воно може порушуватися з міркувань національної безпеки. [1]</w:t>
      </w:r>
    </w:p>
    <w:p w14:paraId="6947AABC"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Хоча воєнний стан в Україні супроводжується низкою обмежень, існують права, що не підлягають звуженню за жодних умов. Згідно зі статтею </w:t>
      </w:r>
      <w:r w:rsidRPr="00511005">
        <w:rPr>
          <w:rFonts w:ascii="Arial" w:eastAsia="Times New Roman" w:hAnsi="Arial" w:cs="Arial"/>
          <w:szCs w:val="28"/>
          <w:lang w:val="uk-UA" w:eastAsia="uk-UA"/>
        </w:rPr>
        <w:lastRenderedPageBreak/>
        <w:t>25, право на громадянство залишається непорушним і при бажання, громадянин України може його змінити. До недоторканих прав також відносять право на життя.</w:t>
      </w:r>
    </w:p>
    <w:p w14:paraId="7D6DEC9F"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Стаття 27 говорить про те, що ніхто не може бути позбавлений життя і, більше того, держава має захищати та гарантувати це. Рівність усіх громадян, у тому числі, їх прав та обов`язків також невід`ємне. За жодних обставин не може бути встановлено привілеї, або навпаки - обмеження, за расою, статі чи</w:t>
      </w:r>
    </w:p>
    <w:p w14:paraId="7D1B9967" w14:textId="77777777" w:rsidR="00B67481"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релігійних переконань.</w:t>
      </w:r>
    </w:p>
    <w:p w14:paraId="26D8F82F"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Спірним питанням є право на свободу та особисту недоторканність. З одного боку, певна свобода обмежується, до прикладу, свобода пересування, а з іншого - у людини зберігається право на те, щоб не6 бути заарештованою без відповідного рішення суду. [4]</w:t>
      </w:r>
    </w:p>
    <w:p w14:paraId="6CB5EEF9"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 Конституції також зазначається, що незалежно від правового режиму, громадянин має право користуватися своєю власністю, як матеріальними здобутками, так і інтелектуальними. Це також неоднозначний аспект, оскільки одночасно із цим передбачено, що майно може бути повністю конфіскованим за рішенням відповідного органу. При цьому, його вартість відшкодовується. [1]</w:t>
      </w:r>
    </w:p>
    <w:p w14:paraId="1A9DC6BD"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Незважаючи на обґрунтування необхідності тимчасового обмеження деяких прав, на практиці наявний перелік актуальних викликів. По-перше, не існує всеохоплюючих процедур реалізації принципу обмеження свобод людини і громадянина. Як приклад можна взяти умови виїзду за кордон, які нерідко змінювались без формальних закріплень. По-друге, є небезпека надмірного втручання держави в особисте життя людини, оскільки може призвести до легалізації звуження прав. По-третє, немає визначених термінів даних обмежень, що, з одного боку, є логічним, оскільки нікому не відома тривалість збройної агресії, але з іншого - викликає підозри та запитання громадян до реалізації принципу верховенства права та конституційного порядку загалом.</w:t>
      </w:r>
    </w:p>
    <w:p w14:paraId="31DDF2F0"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Отже, воєнний стан - виняткова ситуація, в якій можливе звуження конституційних прав. Цей режим потребує точного балансу між захистом національної безпеки та гарантуванням свобод людини. Механізм обмеження має бути чітким, обґрунтованим, тимчасовим та легітимним. Гідність, життя та недоторканість громадянина є одними з фундаментальних основ демократичного устрою правової держави. Основні права особи не можуть бути обмеженими навіть за найскладніших умов, в тому числі, за умов збройного конфлікту чи введення воєнного стану. Без їх гарантування неможливо говорити про правову державу чи демократію. Дії свавільного характеру залишаються неприпустимими в очах цивілізованого світу та міжнародної спільноти. А Україна, як держава, що обрала шлях інтеграції до </w:t>
      </w:r>
      <w:r w:rsidRPr="00511005">
        <w:rPr>
          <w:rFonts w:ascii="Arial" w:eastAsia="Times New Roman" w:hAnsi="Arial" w:cs="Arial"/>
          <w:szCs w:val="28"/>
          <w:lang w:val="uk-UA" w:eastAsia="uk-UA"/>
        </w:rPr>
        <w:lastRenderedPageBreak/>
        <w:t>Європи, зобов’язана забезпечити дотримання базових конституційних принципів та стандартів.</w:t>
      </w:r>
    </w:p>
    <w:p w14:paraId="2ABDB675" w14:textId="77777777" w:rsidR="00B67481" w:rsidRPr="00511005" w:rsidRDefault="00B67481" w:rsidP="003A292D">
      <w:pPr>
        <w:spacing w:line="264" w:lineRule="auto"/>
        <w:ind w:firstLine="0"/>
        <w:rPr>
          <w:rFonts w:ascii="Arial" w:eastAsia="Times New Roman" w:hAnsi="Arial" w:cs="Arial"/>
          <w:szCs w:val="28"/>
          <w:lang w:val="uk-UA" w:eastAsia="uk-UA"/>
        </w:rPr>
      </w:pPr>
    </w:p>
    <w:p w14:paraId="4B0D751A" w14:textId="4E128D14" w:rsidR="00B67481"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5E52550A" w14:textId="77777777" w:rsidR="00B67481"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Конституція України від 28.06.1996. URL: </w:t>
      </w:r>
      <w:hyperlink r:id="rId865">
        <w:r w:rsidRPr="00511005">
          <w:rPr>
            <w:rFonts w:ascii="Arial" w:eastAsia="Times New Roman" w:hAnsi="Arial" w:cs="Arial"/>
            <w:szCs w:val="28"/>
            <w:lang w:val="uk-UA" w:eastAsia="uk-UA"/>
          </w:rPr>
          <w:t>https://zakon.rada.gov.ua/laws/show/254%D0%BA/96-</w:t>
        </w:r>
      </w:hyperlink>
      <w:r w:rsidRPr="00511005">
        <w:rPr>
          <w:rFonts w:ascii="Arial" w:eastAsia="Times New Roman" w:hAnsi="Arial" w:cs="Arial"/>
          <w:szCs w:val="28"/>
          <w:lang w:val="uk-UA" w:eastAsia="uk-UA"/>
        </w:rPr>
        <w:t xml:space="preserve"> %D0%B2%D1%80#Text.</w:t>
      </w:r>
    </w:p>
    <w:p w14:paraId="17953E5F" w14:textId="77777777" w:rsidR="00B67481"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2. ЗУ “Про правовий режим воєнного стану” від 12.05.2015. URL: https://zakon.rada.gov.ua/laws/card/389-19.</w:t>
      </w:r>
    </w:p>
    <w:p w14:paraId="53867EE7" w14:textId="77777777" w:rsidR="00B67481"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3. Журавльов А.С., Актуальні питання обмеження прав людини під час</w:t>
      </w:r>
    </w:p>
    <w:p w14:paraId="69BF4D31" w14:textId="77777777" w:rsidR="00B67481"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воєнного періоду URL: http://lsej.org.ua/11_2022/20.pdf</w:t>
      </w:r>
    </w:p>
    <w:p w14:paraId="6B013281" w14:textId="77777777" w:rsidR="00B67481" w:rsidRPr="00511005" w:rsidRDefault="00B67481" w:rsidP="003A292D">
      <w:pPr>
        <w:spacing w:line="264" w:lineRule="auto"/>
        <w:ind w:firstLine="0"/>
        <w:rPr>
          <w:rFonts w:ascii="Arial" w:eastAsia="Times New Roman" w:hAnsi="Arial" w:cs="Arial"/>
          <w:szCs w:val="28"/>
          <w:lang w:val="uk-UA" w:eastAsia="uk-UA"/>
        </w:rPr>
      </w:pPr>
    </w:p>
    <w:p w14:paraId="27FB79AC" w14:textId="4C535913" w:rsidR="00B67481" w:rsidRPr="00511005" w:rsidRDefault="00EE6668" w:rsidP="003A292D">
      <w:pPr>
        <w:spacing w:line="264" w:lineRule="auto"/>
        <w:ind w:firstLine="0"/>
        <w:rPr>
          <w:rFonts w:ascii="Arial" w:eastAsia="Times New Roman" w:hAnsi="Arial" w:cs="Arial"/>
          <w:i/>
          <w:szCs w:val="28"/>
          <w:lang w:val="uk-UA" w:eastAsia="uk-UA"/>
        </w:rPr>
      </w:pPr>
      <w:r w:rsidRPr="0071733E">
        <w:rPr>
          <w:rFonts w:ascii="Arial" w:eastAsia="Times New Roman" w:hAnsi="Arial" w:cs="Arial"/>
          <w:b/>
          <w:bCs/>
          <w:i/>
          <w:szCs w:val="28"/>
          <w:lang w:val="uk-UA" w:eastAsia="uk-UA"/>
        </w:rPr>
        <w:t>Ключові слова:</w:t>
      </w:r>
      <w:r w:rsidR="00B67481" w:rsidRPr="00511005">
        <w:rPr>
          <w:rFonts w:ascii="Arial" w:eastAsia="Times New Roman" w:hAnsi="Arial" w:cs="Arial"/>
          <w:i/>
          <w:szCs w:val="28"/>
          <w:lang w:val="uk-UA" w:eastAsia="uk-UA"/>
        </w:rPr>
        <w:t xml:space="preserve"> Конституція, права, громадянин, захист, воєнний стан, демократія, обмеження, гарантування, свобода.</w:t>
      </w:r>
    </w:p>
    <w:p w14:paraId="75778A3B" w14:textId="470F3435" w:rsidR="00B67481" w:rsidRPr="00511005" w:rsidRDefault="007B2628" w:rsidP="003A292D">
      <w:pPr>
        <w:spacing w:line="264" w:lineRule="auto"/>
        <w:ind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i/>
          <w:szCs w:val="28"/>
          <w:lang w:val="uk-UA" w:eastAsia="uk-UA"/>
        </w:rPr>
        <w:t>Constitution, rights, citizen, protection, martial law, democracy, restrictions, guarantees, freedom.</w:t>
      </w:r>
    </w:p>
    <w:p w14:paraId="05FEF5F8" w14:textId="588C4CA1" w:rsidR="00B67481" w:rsidRPr="00511005" w:rsidRDefault="007B2628" w:rsidP="003A292D">
      <w:pPr>
        <w:spacing w:line="264" w:lineRule="auto"/>
        <w:ind w:firstLine="0"/>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71733E" w:rsidRPr="00511005">
        <w:rPr>
          <w:rFonts w:ascii="Arial" w:eastAsia="Times New Roman" w:hAnsi="Arial" w:cs="Arial"/>
          <w:i/>
          <w:szCs w:val="28"/>
          <w:lang w:val="uk-UA" w:eastAsia="uk-UA"/>
        </w:rPr>
        <w:t xml:space="preserve">к.ю.н., </w:t>
      </w:r>
      <w:r w:rsidR="00B67481" w:rsidRPr="00511005">
        <w:rPr>
          <w:rFonts w:ascii="Arial" w:eastAsia="Times New Roman" w:hAnsi="Arial" w:cs="Arial"/>
          <w:i/>
          <w:szCs w:val="28"/>
          <w:lang w:val="uk-UA" w:eastAsia="uk-UA"/>
        </w:rPr>
        <w:t>доцент Бальцій Ю.Ю.</w:t>
      </w:r>
    </w:p>
    <w:p w14:paraId="212EDA60" w14:textId="77777777" w:rsidR="00B67481" w:rsidRPr="00511005" w:rsidRDefault="00B67481" w:rsidP="003A292D">
      <w:pPr>
        <w:spacing w:line="264" w:lineRule="auto"/>
        <w:ind w:firstLine="0"/>
        <w:jc w:val="center"/>
        <w:rPr>
          <w:rFonts w:ascii="Arial" w:eastAsia="Times New Roman" w:hAnsi="Arial" w:cs="Arial"/>
          <w:b/>
          <w:i/>
          <w:szCs w:val="28"/>
          <w:lang w:val="uk-UA" w:eastAsia="uk-UA"/>
        </w:rPr>
      </w:pPr>
    </w:p>
    <w:p w14:paraId="1D7C5FF5" w14:textId="77777777" w:rsidR="00B67481" w:rsidRPr="00511005" w:rsidRDefault="00B67481"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Дороніна Вероніка Сергіївна</w:t>
      </w:r>
    </w:p>
    <w:p w14:paraId="4779EDA1" w14:textId="519F4BD6" w:rsidR="00B67481" w:rsidRPr="0071733E" w:rsidRDefault="00536AAB"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 xml:space="preserve">студентка 2-го курсу </w:t>
      </w:r>
      <w:r w:rsidR="001B7B25" w:rsidRPr="0071733E">
        <w:rPr>
          <w:rFonts w:ascii="Arial" w:eastAsia="Times New Roman" w:hAnsi="Arial" w:cs="Arial"/>
          <w:iCs/>
          <w:szCs w:val="28"/>
          <w:lang w:val="uk-UA" w:eastAsia="uk-UA"/>
        </w:rPr>
        <w:t>факультету судового та міжнародного права</w:t>
      </w:r>
    </w:p>
    <w:p w14:paraId="2B9E1919" w14:textId="42BC4528" w:rsidR="00B67481" w:rsidRPr="0071733E" w:rsidRDefault="007B2628"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p>
    <w:p w14:paraId="6B35A53A" w14:textId="77777777" w:rsidR="00B67481" w:rsidRPr="00511005" w:rsidRDefault="00B67481" w:rsidP="003A292D">
      <w:pPr>
        <w:spacing w:line="264" w:lineRule="auto"/>
        <w:ind w:firstLine="0"/>
        <w:jc w:val="center"/>
        <w:rPr>
          <w:rFonts w:ascii="Arial" w:eastAsia="Times New Roman" w:hAnsi="Arial" w:cs="Arial"/>
          <w:b/>
          <w:szCs w:val="28"/>
          <w:lang w:val="uk-UA" w:eastAsia="uk-UA"/>
        </w:rPr>
      </w:pPr>
    </w:p>
    <w:p w14:paraId="04109769" w14:textId="77777777" w:rsidR="00B67481" w:rsidRPr="00511005" w:rsidRDefault="00B67481"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ПРАВО НА ЖИТТЯ: АБСОЛЮТНЕ ЧИ ВІДНОСНЕ?</w:t>
      </w:r>
    </w:p>
    <w:p w14:paraId="0B8D5C02"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Питання, до якої категорії прав людини належить право на життя, є доволі дискусійним у наш час. Актуальність цієї дискусії пов’язана з постійними змінами в сучасному світі, які викликані: збройними конфліктами між державами, реформуванням судової системи, порушенням прав людини, самозахисту громадян та ін. Науковці постійно досліджують це питання, і поки що не можуть дійти консенсусу.</w:t>
      </w:r>
    </w:p>
    <w:p w14:paraId="490F696E"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Якщо розглядати право на життя як абсолютне право, то воно визнається міжнародно-правовими актами та Конституцією України як фундаментальне, тобто є невід'ємним, непорушним і таким, що не підлягає відчуженню. У Конституції України зазначено: «Кожна людина має невід'ємне право на життя. Ніхто не може бути свавільно позбавлений життя. Обов'язок держави - захищати життя людини» (ст. 27). Перефразовуючи ч. 3 ст. 22 Конституції, ухвалення нових нормативно-правових актів або внесення змін до чинного законодавства не може призводити до звуження змісту чи обсягу гарантованих прав і свобод, включаючи невід’ємне право людини на життя [1]. Це право належить кожній людині з моменту народження і перебуває під захистом держави. Право на життя розглядається як право на гідне існування людини, яке охоплює комплекс взаємопов’язаних прав, зокрема право на освіту, на охорону </w:t>
      </w:r>
      <w:r w:rsidRPr="00511005">
        <w:rPr>
          <w:rFonts w:ascii="Arial" w:eastAsia="Times New Roman" w:hAnsi="Arial" w:cs="Arial"/>
          <w:szCs w:val="28"/>
          <w:lang w:val="uk-UA" w:eastAsia="uk-UA"/>
        </w:rPr>
        <w:lastRenderedPageBreak/>
        <w:t>здоров’я, на захист від нелюдського або принизливого поводження, а також право на повагу до приватного і сімейного життя. Суть цього права полягає в тому, що особа має можливість звертатися до відповідальних суб’єктів — держави, міжнародних організацій, суспільства або інших осіб — з вимогою забезпечити реалізацію свого невід’ємного права (напр., у разі замаху на життя потерпілий має право вимагати покарання винного та компенсації завданої матеріальної і моральної шкоди). У різних країнах право на життя трактується по-різному. У державах, де смертна кара скасована, це право розглядається як абсолютне — тобто жодна особа, незалежно від вчинених дій, не може бути позбавлена життя навіть за рішенням держави.</w:t>
      </w:r>
    </w:p>
    <w:p w14:paraId="6F4C7D58"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Розглядаючи право на життя як відносне право, можна спиратися на статтю 2 Європейської Конвенції про захист прав людини та основоположних свобод, в якій зазначено, що позбавлення життя не вважається порушенням, якщо воно стало результатом виключно необхідного застосування сили в таких випадках: «для захисту будь-якої особи від протиправного насильства; під час здійснення законного затримання або з метою недопущення втечі особи, яка правомірно утримується під вартою; у разі законних дій, спрямованих на припинення масових заворушень чи повстання» [2].</w:t>
      </w:r>
    </w:p>
    <w:p w14:paraId="647197BF"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Також основним обмеженням права на життя можна вважати смертну кару, яка й досі існує в 55 країнах світу, до них належать, зокрема, Іран, Саудівська Аравія, Єгипет, США, Китай, Пакистан тощо. У державах, де смертна кара не скасована, її застосування допускається виключно за вчинення найбільш тяжких злочинів, відповідно до чинного на момент вчинення правопорушення законодавства, яке не суперечить положенням Пакту та Конвенції про запобігання злочину геноциду і покарання за нього. Застосування такого виду покарання можливе лише на підставі остаточного вироку, винесеного компетентним судом.</w:t>
      </w:r>
    </w:p>
    <w:p w14:paraId="74D7611C"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Як приклад, обмеженням права на життя можна вважати евтаназію.</w:t>
      </w:r>
      <w:r w:rsidRPr="00511005">
        <w:rPr>
          <w:rFonts w:ascii="Arial" w:eastAsia="Calibri" w:hAnsi="Arial" w:cs="Arial"/>
          <w:szCs w:val="28"/>
          <w:lang w:val="uk-UA" w:eastAsia="uk-UA"/>
        </w:rPr>
        <w:t xml:space="preserve"> </w:t>
      </w:r>
      <w:r w:rsidRPr="00511005">
        <w:rPr>
          <w:rFonts w:ascii="Arial" w:eastAsia="Times New Roman" w:hAnsi="Arial" w:cs="Arial"/>
          <w:szCs w:val="28"/>
          <w:lang w:val="uk-UA" w:eastAsia="uk-UA"/>
        </w:rPr>
        <w:t>Відповідно до частини 3 статті 52 Основ законодавства України про охорону здоров’я, медичним працівникам заборонено здійснювати евтаназію, тобто свідоме прискорення настання смерті невиліковно хворої особи з метою припинення її страждань [3]. Але в багатьох країнах, наприклад, Нідерланди, Бельгія, Швейцарія та США, евтаназія офіційно дозволена.</w:t>
      </w:r>
    </w:p>
    <w:p w14:paraId="05B57081"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Сутність і специфіка права на життя передбачають заборону евтаназії в усіх її формах — як активної, так і пасивної. Така заборона не розцінюється як порушення права на життя, адже так зване «право на смерть», що асоціюється з евтаназією, суперечить самій природі права на життя, яке є невід’ємним. Особа не має права добровільно відмовитися від цього права, оскільки така відмова є юридично неприпустимою, а концепт «права на смерть» не може бути легітимним об’єктом правового регулювання. Евтаназія також не може бути класифікована як медична процедура, </w:t>
      </w:r>
      <w:r w:rsidRPr="00511005">
        <w:rPr>
          <w:rFonts w:ascii="Arial" w:eastAsia="Times New Roman" w:hAnsi="Arial" w:cs="Arial"/>
          <w:szCs w:val="28"/>
          <w:lang w:val="uk-UA" w:eastAsia="uk-UA"/>
        </w:rPr>
        <w:lastRenderedPageBreak/>
        <w:t>оскільки вона суперечить етичним засадам медичної професії, зокрема клятві Гіппократа. Навіть у випадках пасивної евтаназії, можливість якої частково визнається окремими представниками наукової спільноти та громадськості, лікар утримується від дій, маючи обов’язок підтримувати життя пацієнта. У країнах, де евтаназія заборонена, така «бездіяльність» може бути розцінена як умисне позбавлення життя, тобто як вбивство.</w:t>
      </w:r>
    </w:p>
    <w:p w14:paraId="1CA9A5C2"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Обмеженням права на життя також може виступати аборт. Аборт є штучним перериванням вагітності, а також позбавленням дитини життя. Якщо розглядати аборт в аспекті абсолютного права – він є неможливим, тому що суперечить невід’ємності та невідчужуваності права людини на життя.</w:t>
      </w:r>
    </w:p>
    <w:p w14:paraId="3348D35A"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Якщо ж усе ж таки розглядати аборт з погляду відносного права, то він має право на існування за вагомих причин його здійснення. Як такі вагомі причини можна виокремити: переривання плоду, причиною якого є несумісна з життям хвороба матері, важкий стан плоду, аборт унаслідок зґвалтування жінки та відсутність коштів на утримання дитини. Наразі в деяких країнах аборт заборонений з будь-яких підстав та його вчинення є кримінальним правопорушенням, такими країнами, зокрема, є: Бангладеш, Мавританія, Єгипет, ОАЕ, Індонезія, Чилі, Ангола та Філіппіни. </w:t>
      </w:r>
    </w:p>
    <w:p w14:paraId="0BE0EF4D"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Отже, право на життя – це одне з основоположних прав людини, що забезпечується загальними міжнародно-правовими джерелами у сфері прав людини. Право на життя як абсолютне мало б змогу бути, якщо б в усіх країнах світу було заборонено смертну кару й евтаназію, особливу увагу було б приділено умовам безпеки під час затримання та тримання під вартою осіб, які відбувають покарання за скоєні злочини. </w:t>
      </w:r>
    </w:p>
    <w:p w14:paraId="4F491B03"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Право на життя, як відносне, повністю відповідає нашим реаліям. Смертна кара як покарання за найважчі злочини скасовує невід’ємне право людини на життя. Обмеженням цього права також вважаються: позбавлення життя в разі необхідної оборони, евтаназія, аборт та самогубство.</w:t>
      </w:r>
    </w:p>
    <w:p w14:paraId="429E2B37" w14:textId="77777777" w:rsidR="00B67481" w:rsidRPr="00511005" w:rsidRDefault="00B67481"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Підсумовуючи, право на життя є відносним, оскільки існують окремі випадки позбавлення людини життя, які не вважаються порушенням: право на застосування сили під час збройних конфліктів, пасивна евтаназія та припинення лікування, смертна кара в державах, де вона не заборонена, можливість застосування сили під час захисту особи від незаконного насильства; законного затримання або запобігання втечі; для припинення заворушення чи повстання.</w:t>
      </w:r>
    </w:p>
    <w:p w14:paraId="48ECB0C0" w14:textId="77777777" w:rsidR="00B67481" w:rsidRPr="00511005" w:rsidRDefault="00B67481" w:rsidP="003A292D">
      <w:pPr>
        <w:spacing w:line="264" w:lineRule="auto"/>
        <w:ind w:firstLine="708"/>
        <w:rPr>
          <w:rFonts w:ascii="Arial" w:eastAsia="Times New Roman" w:hAnsi="Arial" w:cs="Arial"/>
          <w:szCs w:val="28"/>
          <w:lang w:val="uk-UA" w:eastAsia="uk-UA"/>
        </w:rPr>
      </w:pPr>
    </w:p>
    <w:p w14:paraId="3B459270" w14:textId="7E222B6A" w:rsidR="00B67481"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770FA09C" w14:textId="77777777" w:rsidR="00B67481"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Конституція України : від 28.06.1996 № 254к/96-ВР : станом на 1 січ. 2020 р. URL: </w:t>
      </w:r>
      <w:hyperlink r:id="rId866" w:anchor="Text">
        <w:r w:rsidRPr="00511005">
          <w:rPr>
            <w:rFonts w:ascii="Arial" w:eastAsia="Times New Roman" w:hAnsi="Arial" w:cs="Arial"/>
            <w:szCs w:val="28"/>
            <w:lang w:val="uk-UA" w:eastAsia="uk-UA"/>
          </w:rPr>
          <w:t>https://zakon.rada.gov.ua/laws/show/254к/96-вр#Text</w:t>
        </w:r>
      </w:hyperlink>
      <w:r w:rsidRPr="00511005">
        <w:rPr>
          <w:rFonts w:ascii="Arial" w:eastAsia="Times New Roman" w:hAnsi="Arial" w:cs="Arial"/>
          <w:szCs w:val="28"/>
          <w:lang w:val="uk-UA" w:eastAsia="uk-UA"/>
        </w:rPr>
        <w:t xml:space="preserve"> (дата звернення: 18.04.2025). </w:t>
      </w:r>
    </w:p>
    <w:p w14:paraId="2D917D47" w14:textId="7DD0503F" w:rsidR="00B67481"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2.</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Конвенція про захист прав людини і основоположних свобод : Конвенція Ради Європи від 04.11.1950 : станом на 1 серп. 2021 р. URL: </w:t>
      </w:r>
      <w:hyperlink r:id="rId867" w:anchor="Text">
        <w:r w:rsidRPr="00511005">
          <w:rPr>
            <w:rFonts w:ascii="Arial" w:eastAsia="Times New Roman" w:hAnsi="Arial" w:cs="Arial"/>
            <w:szCs w:val="28"/>
            <w:lang w:val="uk-UA" w:eastAsia="uk-UA"/>
          </w:rPr>
          <w:t>https://zakon.rada.gov.ua/laws/show/995_004#Text</w:t>
        </w:r>
      </w:hyperlink>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(дата звернення: 18.04.2025). </w:t>
      </w:r>
    </w:p>
    <w:p w14:paraId="417FE954" w14:textId="0C624CAC" w:rsidR="00B67481"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 Основи законодавства України про охорону здоров'я : Закон України від 19.11.1992 № 2801-XII : станом на 27 березня 2025 р. URL: </w:t>
      </w:r>
      <w:hyperlink r:id="rId868" w:anchor="Text">
        <w:r w:rsidRPr="00511005">
          <w:rPr>
            <w:rFonts w:ascii="Arial" w:eastAsia="Times New Roman" w:hAnsi="Arial" w:cs="Arial"/>
            <w:szCs w:val="28"/>
            <w:lang w:val="uk-UA" w:eastAsia="uk-UA"/>
          </w:rPr>
          <w:t>https://zakon.rada.gov.ua/laws/show/2801-12#Text</w:t>
        </w:r>
      </w:hyperlink>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(дата звернення: 18.04.2025). </w:t>
      </w:r>
    </w:p>
    <w:p w14:paraId="632721DE" w14:textId="21993884" w:rsidR="00B67481"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szCs w:val="28"/>
          <w:lang w:val="uk-UA" w:eastAsia="uk-UA"/>
        </w:rPr>
        <w:t>право на життя, абсолютні права, відносні права</w:t>
      </w:r>
    </w:p>
    <w:p w14:paraId="6F4B2021" w14:textId="7569CD73" w:rsidR="00B67481"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szCs w:val="28"/>
          <w:lang w:val="uk-UA" w:eastAsia="uk-UA"/>
        </w:rPr>
        <w:t>the right to life, absolute rights, relative rights</w:t>
      </w:r>
    </w:p>
    <w:p w14:paraId="301C9411" w14:textId="5DBF6A7F" w:rsidR="00B67481" w:rsidRPr="00511005" w:rsidRDefault="007B2628" w:rsidP="003A292D">
      <w:pPr>
        <w:spacing w:line="264" w:lineRule="auto"/>
        <w:ind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B67481" w:rsidRPr="00511005">
        <w:rPr>
          <w:rFonts w:ascii="Arial" w:eastAsia="Times New Roman" w:hAnsi="Arial" w:cs="Arial"/>
          <w:i/>
          <w:szCs w:val="28"/>
          <w:lang w:val="uk-UA" w:eastAsia="uk-UA"/>
        </w:rPr>
        <w:t>к. ю. н., доцент Батан Ю. Д.</w:t>
      </w:r>
    </w:p>
    <w:p w14:paraId="5369103D" w14:textId="77777777" w:rsidR="00B67481" w:rsidRPr="00511005" w:rsidRDefault="00B67481" w:rsidP="003A292D">
      <w:pPr>
        <w:spacing w:line="264" w:lineRule="auto"/>
        <w:ind w:firstLine="0"/>
        <w:rPr>
          <w:rFonts w:ascii="Arial" w:eastAsia="Times New Roman" w:hAnsi="Arial" w:cs="Arial"/>
          <w:i/>
          <w:szCs w:val="28"/>
          <w:lang w:val="uk-UA" w:eastAsia="uk-UA"/>
        </w:rPr>
      </w:pPr>
    </w:p>
    <w:p w14:paraId="00A0D99E" w14:textId="77777777" w:rsidR="00B67481" w:rsidRPr="00511005" w:rsidRDefault="00B67481"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Жечева Юліанна Дмитрівна</w:t>
      </w:r>
    </w:p>
    <w:p w14:paraId="45FE6E16" w14:textId="77777777" w:rsidR="0071733E" w:rsidRDefault="00536AAB"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 xml:space="preserve">студентка 4-го курсу </w:t>
      </w:r>
      <w:r w:rsidR="00B67481" w:rsidRPr="0071733E">
        <w:rPr>
          <w:rFonts w:ascii="Arial" w:eastAsia="Times New Roman" w:hAnsi="Arial" w:cs="Arial"/>
          <w:iCs/>
          <w:szCs w:val="28"/>
          <w:lang w:val="uk-UA" w:eastAsia="uk-UA"/>
        </w:rPr>
        <w:t xml:space="preserve">Центру заочного та дистанційного навчання </w:t>
      </w:r>
    </w:p>
    <w:p w14:paraId="35C933A1" w14:textId="1964AAF0" w:rsidR="00B67481" w:rsidRPr="0071733E" w:rsidRDefault="007B2628"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p>
    <w:p w14:paraId="4375DC7E" w14:textId="77777777" w:rsidR="00B67481" w:rsidRPr="00511005" w:rsidRDefault="00B67481" w:rsidP="003A292D">
      <w:pPr>
        <w:keepNext/>
        <w:spacing w:line="264" w:lineRule="auto"/>
        <w:ind w:firstLine="0"/>
        <w:jc w:val="center"/>
        <w:rPr>
          <w:rFonts w:ascii="Arial" w:eastAsia="Times New Roman" w:hAnsi="Arial" w:cs="Arial"/>
          <w:i/>
          <w:szCs w:val="28"/>
          <w:lang w:val="uk-UA" w:eastAsia="uk-UA"/>
        </w:rPr>
      </w:pPr>
    </w:p>
    <w:p w14:paraId="1B98AF1C" w14:textId="77777777" w:rsidR="00B67481" w:rsidRPr="00511005" w:rsidRDefault="00B67481" w:rsidP="003A292D">
      <w:pPr>
        <w:keepNext/>
        <w:widowControl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ШТУЧНИЙ ІНТЕЛЕКТ І ПУБЛІЧНА ВЛАДА: ПРАВОВІ ОСНОВИ ВПРОВАДЖЕННЯ В УКРАЇНІ</w:t>
      </w:r>
    </w:p>
    <w:p w14:paraId="6A85E581"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Штучний інтелект (ШІ) у державному управлінні в науковій літературі розглядають через такі три основні концепції (напрями).</w:t>
      </w:r>
    </w:p>
    <w:p w14:paraId="2DC27A61" w14:textId="77777777" w:rsidR="00B67481" w:rsidRPr="00511005" w:rsidRDefault="00B67481" w:rsidP="003A292D">
      <w:pPr>
        <w:spacing w:line="264" w:lineRule="auto"/>
        <w:ind w:firstLine="851"/>
        <w:rPr>
          <w:rFonts w:ascii="Arial" w:eastAsia="Times New Roman" w:hAnsi="Arial" w:cs="Arial"/>
          <w:b/>
          <w:szCs w:val="28"/>
          <w:lang w:val="uk-UA" w:eastAsia="uk-UA"/>
        </w:rPr>
      </w:pPr>
      <w:r w:rsidRPr="00511005">
        <w:rPr>
          <w:rFonts w:ascii="Arial" w:eastAsia="Times New Roman" w:hAnsi="Arial" w:cs="Arial"/>
          <w:szCs w:val="28"/>
          <w:lang w:val="uk-UA" w:eastAsia="uk-UA"/>
        </w:rPr>
        <w:t xml:space="preserve">Перша концепція (напрям) – це автоматизація адміністративних процесів – зменшення бюрократичного навантаження, пришвидшення обробки даних та ухвалення рішень. Цьому питанню приділяли увагу, наприклад, В.І. Клюцевський, який у 2020 р. опублікував статтю на тему «Модульно-інтеграційна модель автоматизації діяльності органів публічної влади на основі концепції електронного урядування» [1] (спеціальність: державне управління), а також Яремко С. А., Карпенко Р., Іванцова І., які у своїй публікації на тему «Аспекти автоматизації сфери державного управління засобами сучасних інформаційних технологій» ще у 2018 р. резюмували, що така автоматизація – «це нова можливість підвищення якості управління за рахунок надання послуг державних органів електронними засобами» [2]. Варто погодитись з цим висновком та звернути увагу на те, що дослідження у цій сфері поки що не здійснюються фахівцями з конституційного та муніципального права (щоправда, Конституція України 1996 року [3] не містить згадки про ШІ, цифровізацію тощо). </w:t>
      </w:r>
    </w:p>
    <w:p w14:paraId="18DDA006"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Друга концепція (напрям) – це персоналізовані послуги для їхніх отримувачів. Основним нормативно-правовим актом у цьому питанні є Закон України від 6 вересня 2012 р. «Про адміністративні послуги», який визначає ці послуги як «результат здійснення владних повноважень суб’єктом надання адміністративних послуг за заявою фізичної або юридичної особи, спрямований на набуття, зміну чи припинення прав та/або здійснення обов’язків такої особи відповідно до закону» [4]. Іншими словами, </w:t>
      </w:r>
      <w:r w:rsidRPr="00511005">
        <w:rPr>
          <w:rFonts w:ascii="Arial" w:eastAsia="Times New Roman" w:hAnsi="Arial" w:cs="Arial"/>
          <w:szCs w:val="28"/>
          <w:lang w:val="uk-UA" w:eastAsia="uk-UA"/>
        </w:rPr>
        <w:lastRenderedPageBreak/>
        <w:t>це концепція, у центрі уваги якої – адаптація адміністративних послуг відповідно до потреб користувачів на основі аналізу «великих даних» - так званих «</w:t>
      </w:r>
      <w:r w:rsidRPr="00511005">
        <w:rPr>
          <w:rFonts w:ascii="Arial" w:eastAsia="Times New Roman" w:hAnsi="Arial" w:cs="Arial"/>
          <w:i/>
          <w:szCs w:val="28"/>
          <w:lang w:val="uk-UA" w:eastAsia="uk-UA"/>
        </w:rPr>
        <w:t>big data</w:t>
      </w:r>
      <w:r w:rsidRPr="00511005">
        <w:rPr>
          <w:rFonts w:ascii="Arial" w:eastAsia="Times New Roman" w:hAnsi="Arial" w:cs="Arial"/>
          <w:szCs w:val="28"/>
          <w:lang w:val="uk-UA" w:eastAsia="uk-UA"/>
        </w:rPr>
        <w:t xml:space="preserve">». Цьому питанню приділяли увагу, наприклад, Чумакова Г. у своїй науковій статті на тему «Європейське цифрове десятиліття: як цифрове суспільство трансформує адміністративні послуги в ЄС та Україні» [5], а також Гришина Н. В. у статті «Застосування принципу індивідуалізації та персоналізації у діяльності державної служби зайнятості: адміністративно-правовий аспект». Обидві статті вийшли друком у 2024 році та належать авторству фахівцям з адміністративного права. </w:t>
      </w:r>
    </w:p>
    <w:p w14:paraId="0950D648"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 само у 2024 р. Ліпенцев А. у своїй публікації на тему «Персоналізація адміністративних послуг через цифрові технології: аналіз впливу на клієнтоорієнтованість органів публічної влади» зауважив: «Загалом, покращення персоналізації адміністративних послуг в Україні потребує цілісного підходу, який поєднує технологічні інновації, клієнтоорієнтовані моделі та ефективні етичні й правові гарантії. Інтеграція новітніх цифрових інструментів, таких як штучний інтелект, аналітика великих даних і блокчейн, дозволить органам державної влади надавати більш персоналізовані й ефективні послуги. Клієнтоорієнтовані моделі мають забезпечувати інклюзивність, розширення прав і можливостей користувачів, а також зосередження на задоволенні потреб громадян» [6, c. 35]. З цієї цитати можна зробити два важливих для нашого дослідження висновка. </w:t>
      </w:r>
    </w:p>
    <w:p w14:paraId="7D39424C"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По-перше, попри назву роботи (у ній йдеться про органи публічної влади), автор не досліджував органи місцевого самоврядування, а лише органи державної влади. А тому невідомо, чи він особисто вбачає свої розробки придатними для застосування на місцевому рівні. </w:t>
      </w:r>
    </w:p>
    <w:p w14:paraId="18B15C04"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По-друге, закладено основи подальшого розвитку застосування ШІ для реалізації підходу, що ґрунтується на правах особистості. Враховуючи важливість цього підходу в сучасних умовах розвитку Української держави, доцільно проаналізувати авторські висновки з точки зору можливості їхнього використання також і для органів місцевого самоврядування. </w:t>
      </w:r>
    </w:p>
    <w:p w14:paraId="6723C969"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Третя концепція (напрям) – це прогнозування та аналітика, тобто застосування ШІ для оцінки ризиків, запобігання корупції та розробки ефективних державних політичних документів, концепцій, проєктів реформ тощо. </w:t>
      </w:r>
    </w:p>
    <w:p w14:paraId="62F2B7AE"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 Костик Є. та Алєксєєнко І. у статті «Інформаційні ресурси та сервіси у публічному адмініструванні», яка датується 2023 р., зазначили, що «інформаційні ресурси та сервіси є основою для розвитку електронного урядування, яке дозволяє громадянам та підприємствам взаємодіяти з органами публічної влади в електронному вигляді» [7, c. 183], відповідно тому використання їх для прогнозування та аналітики є важливим. </w:t>
      </w:r>
    </w:p>
    <w:p w14:paraId="147D75B1"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Дослідники ГО “Лабораторія цифрової безпеки” у 2024 році оприлюднили аналітичну записку на тему «Дії та Мрії: штучний інтелект у публічному секторі». Хоча у назві зазначено прикметник «публічний», мова у документі йде про органи державної влади – дослідники пояснюють, що вони протиставляють їхню діяльність діяльності суб’єктів підприємництва, так само як і інститутів громадянського суспільства. На думку колективу авторів, тут залишається багато неврегульованих питань. </w:t>
      </w:r>
    </w:p>
    <w:p w14:paraId="2C18B4DC"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Так, аналізуючи інформацію про проєкт «Голос громадян, вони зазначають: «важливо усвідомлювати різницю між свідомим повідомленням державних органів про проблеми за допомогою віртуального асистента (голосові чи текстові скарги) та невибірковим моніторингом соціальних мереж (які юридично є недержавним простором)»</w:t>
      </w:r>
      <w:r w:rsidRPr="00511005">
        <w:rPr>
          <w:rFonts w:ascii="Arial" w:eastAsia="Times New Roman" w:hAnsi="Arial" w:cs="Arial"/>
          <w:szCs w:val="28"/>
          <w:vertAlign w:val="superscript"/>
          <w:lang w:val="uk-UA" w:eastAsia="uk-UA"/>
        </w:rPr>
        <w:t xml:space="preserve"> </w:t>
      </w:r>
      <w:r w:rsidRPr="00511005">
        <w:rPr>
          <w:rFonts w:ascii="Arial" w:eastAsia="Times New Roman" w:hAnsi="Arial" w:cs="Arial"/>
          <w:szCs w:val="28"/>
          <w:lang w:val="uk-UA" w:eastAsia="uk-UA"/>
        </w:rPr>
        <w:t xml:space="preserve">[8, c. 33]. Після цього автори зазначають, чому це привернуло їхню увагу: «в контексті цього проєкту моніторинг, по-перше, може передбачати обробку персональних даних (адже часто скарги онлайн можуть бути дуже персоніфіковані), по-друге, впровадження таких технологій потребує окремого правового регулювання, адже вплив такої ініціативи на права людини є дуже суттєвим» [8, c. 33]. Слід погодитись з тим, що застосування ШІ у такій ситуації робить технічну основу проєкту значно більш потужною, аніж ймовірний офіс, навіть зі значною кількістю працівників. </w:t>
      </w:r>
    </w:p>
    <w:p w14:paraId="4ADF202E"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Автори резюмують, що, «хоча доки не буде відомо більше інформації про архітектуру проєкту, зарано говорити про технічні ризики, концептуально така система йде врозріз з обовʼязком держави не втручатися у сферу свободи вираження» [8, c. 34]. Слід погодитись з цією думкою і підкреслити недослідженість у цій сфері – та наголосити на відсутності необхідності поспішати впроваджувати ШІ у діяльність органів державної влади. </w:t>
      </w:r>
    </w:p>
    <w:p w14:paraId="6CE270C1"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Наприкінці варто зазначити, що в аналізованому матеріалі не згадується про органи місцевого самоврядування, йдеться лише про органи державної влади. </w:t>
      </w:r>
    </w:p>
    <w:p w14:paraId="460C9978"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Враховуючи, що напрям третій охоплює прогнозування та аналітику (застосування ШІ для оцінки ризиків, запобігання корупції та розробки ефективних державних політичних документів, концепцій, проєктів реформ тощо), у цілому доволі логічно, що з цього питання наявно багато публікацій саме щодо органів державної влади. </w:t>
      </w:r>
    </w:p>
    <w:p w14:paraId="6C686616"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Однак варто наголосити, що до оголошення режиму воєнного стану в Україні активно проводилась реформа децентралізації публічної влади (зараз її призупинено). А отже, і органи місцевого самоврядування є дотичними до розробки відповідних концептуальних документів в межах наданих їм повноважень. </w:t>
      </w:r>
    </w:p>
    <w:p w14:paraId="7C213D7E"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Наприкінці варто зауважити про зв'язок теорії з практикою. Практика свідчить про те, що на сьогодні в Україні вже реалізовано низку проєктів із застосуванням ШІ для органів державної влади. Одним з прикладів є чат-</w:t>
      </w:r>
      <w:r w:rsidRPr="00511005">
        <w:rPr>
          <w:rFonts w:ascii="Arial" w:eastAsia="Times New Roman" w:hAnsi="Arial" w:cs="Arial"/>
          <w:szCs w:val="28"/>
          <w:lang w:val="uk-UA" w:eastAsia="uk-UA"/>
        </w:rPr>
        <w:lastRenderedPageBreak/>
        <w:t xml:space="preserve">боти та віртуальні помічники у державних службах (наприклад, Дія.Бот, який допомагає громадянам взаємодіяти з питання отримання адміністративних послуг). Ще одним прикладом можуть бути системи аналізу відкритих даних для виявлення корупційних ризиків (аналітичні платформи на основі ШI для перевірки державних закупівель). </w:t>
      </w:r>
    </w:p>
    <w:p w14:paraId="2241135F" w14:textId="77777777" w:rsidR="00B67481" w:rsidRPr="00511005" w:rsidRDefault="00B67481" w:rsidP="003A292D">
      <w:pPr>
        <w:spacing w:line="264" w:lineRule="auto"/>
        <w:ind w:firstLine="0"/>
        <w:jc w:val="left"/>
        <w:rPr>
          <w:rFonts w:ascii="Arial" w:eastAsia="Times New Roman" w:hAnsi="Arial" w:cs="Arial"/>
          <w:szCs w:val="28"/>
          <w:lang w:val="uk-UA" w:eastAsia="uk-UA"/>
        </w:rPr>
      </w:pPr>
    </w:p>
    <w:p w14:paraId="3590DC15" w14:textId="13EAAA48" w:rsidR="00B67481" w:rsidRPr="00511005" w:rsidRDefault="007B2628" w:rsidP="007B2628">
      <w:pPr>
        <w:keepNext/>
        <w:widowControl w:val="0"/>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1157F0CA"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Клюцевський В. І. Модульно-інтеграційна модель автоматизації діяльності органів публічної влади на основі концепції електронного урядування. </w:t>
      </w:r>
      <w:r w:rsidRPr="00511005">
        <w:rPr>
          <w:rFonts w:ascii="Arial" w:eastAsia="Times New Roman" w:hAnsi="Arial" w:cs="Arial"/>
          <w:i/>
          <w:szCs w:val="28"/>
          <w:lang w:val="uk-UA" w:eastAsia="uk-UA"/>
        </w:rPr>
        <w:t>Експерт: парадигми юридичних наук і державного управління.</w:t>
      </w:r>
      <w:r w:rsidRPr="00511005">
        <w:rPr>
          <w:rFonts w:ascii="Arial" w:eastAsia="Times New Roman" w:hAnsi="Arial" w:cs="Arial"/>
          <w:szCs w:val="28"/>
          <w:lang w:val="uk-UA" w:eastAsia="uk-UA"/>
        </w:rPr>
        <w:t xml:space="preserve"> 2020. № 4 (10). С. 151-161.</w:t>
      </w:r>
    </w:p>
    <w:p w14:paraId="75BD4315"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2. Яремко С. А., Карпенко Р., Іванцова І. Аспекти автоматизації сфери державного управління засобами сучасних інформаційних технологій. Репозиторій ДВНЗ «Київський національний економічний університет імені Вадима Гетьмана». 2018. URL: https://ir.vtei.edu.ua/card.php?lang=uk&amp;id=25863</w:t>
      </w:r>
    </w:p>
    <w:p w14:paraId="78C36454"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3. Конституція України 1996 р. URL: https://zakon.rada.gov.ua/laws/</w:t>
      </w:r>
    </w:p>
    <w:p w14:paraId="7AECD356"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4. Про адміністративні послуги: Закон України від 6 вересня 2012 р. URL: https://zakon.rada.gov.ua/laws/show/5203-17</w:t>
      </w:r>
    </w:p>
    <w:p w14:paraId="6A748EF0"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5. Чумакова Г. Європейське цифрове десятиліття: як цифрове суспільство трансформує адміністративні послуги в ЄС та Україні. </w:t>
      </w:r>
      <w:r w:rsidRPr="00511005">
        <w:rPr>
          <w:rFonts w:ascii="Arial" w:eastAsia="Times New Roman" w:hAnsi="Arial" w:cs="Arial"/>
          <w:i/>
          <w:szCs w:val="28"/>
          <w:lang w:val="uk-UA" w:eastAsia="uk-UA"/>
        </w:rPr>
        <w:t>Успіхи і досягнення у науці</w:t>
      </w:r>
      <w:r w:rsidRPr="00511005">
        <w:rPr>
          <w:rFonts w:ascii="Arial" w:eastAsia="Times New Roman" w:hAnsi="Arial" w:cs="Arial"/>
          <w:szCs w:val="28"/>
          <w:lang w:val="uk-UA" w:eastAsia="uk-UA"/>
        </w:rPr>
        <w:t>. 2024. № 7 (7). С. 481–598.</w:t>
      </w:r>
    </w:p>
    <w:p w14:paraId="149C8167"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6. Ліпенцев А. Персоналізація адміністративних послуг через цифрові технології: аналіз впливу на клієнтоорієнтованість органів публічної влади. </w:t>
      </w:r>
      <w:r w:rsidRPr="00511005">
        <w:rPr>
          <w:rFonts w:ascii="Arial" w:eastAsia="Times New Roman" w:hAnsi="Arial" w:cs="Arial"/>
          <w:i/>
          <w:szCs w:val="28"/>
          <w:lang w:val="uk-UA" w:eastAsia="uk-UA"/>
        </w:rPr>
        <w:t>Публічне управління та місцеве самоврядування</w:t>
      </w:r>
      <w:r w:rsidRPr="00511005">
        <w:rPr>
          <w:rFonts w:ascii="Arial" w:eastAsia="Times New Roman" w:hAnsi="Arial" w:cs="Arial"/>
          <w:szCs w:val="28"/>
          <w:lang w:val="uk-UA" w:eastAsia="uk-UA"/>
        </w:rPr>
        <w:t>. 2024. № 3. С. 34-42.</w:t>
      </w:r>
    </w:p>
    <w:p w14:paraId="531D1BB1" w14:textId="77777777"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7. Костик Є., Алєксєєнко І. Інформаційні ресурси та сервіси у публічному адмініструванні. </w:t>
      </w:r>
      <w:r w:rsidRPr="00511005">
        <w:rPr>
          <w:rFonts w:ascii="Arial" w:eastAsia="Times New Roman" w:hAnsi="Arial" w:cs="Arial"/>
          <w:i/>
          <w:szCs w:val="28"/>
          <w:lang w:val="uk-UA" w:eastAsia="uk-UA"/>
        </w:rPr>
        <w:t>Наукові перспективи</w:t>
      </w:r>
      <w:r w:rsidRPr="00511005">
        <w:rPr>
          <w:rFonts w:ascii="Arial" w:eastAsia="Times New Roman" w:hAnsi="Arial" w:cs="Arial"/>
          <w:szCs w:val="28"/>
          <w:lang w:val="uk-UA" w:eastAsia="uk-UA"/>
        </w:rPr>
        <w:t>. 2023. № 11(41). С. 181–191.</w:t>
      </w:r>
    </w:p>
    <w:p w14:paraId="1EBC35E3" w14:textId="2E8DA2FA" w:rsidR="00B67481" w:rsidRPr="00511005" w:rsidRDefault="00B67481"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8. Дії та Мрії: штучний інтелект у публічному секторі - ГО “Лабораторія цифрової безпеки”.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2024. URL: https://dslua.org/wp-content/uploads/2024/02/Mrii_ta_dii_kopiia.pdf</w:t>
      </w:r>
    </w:p>
    <w:p w14:paraId="356BFE1D" w14:textId="77777777" w:rsidR="00B67481" w:rsidRPr="00511005" w:rsidRDefault="00B67481" w:rsidP="003A292D">
      <w:pPr>
        <w:spacing w:line="264" w:lineRule="auto"/>
        <w:ind w:firstLine="851"/>
        <w:rPr>
          <w:rFonts w:ascii="Arial" w:eastAsia="Times New Roman" w:hAnsi="Arial" w:cs="Arial"/>
          <w:szCs w:val="28"/>
          <w:lang w:val="uk-UA" w:eastAsia="uk-UA"/>
        </w:rPr>
      </w:pPr>
    </w:p>
    <w:p w14:paraId="0B005E4D" w14:textId="1274763F" w:rsidR="00B67481" w:rsidRPr="00511005" w:rsidRDefault="007B2628"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szCs w:val="28"/>
          <w:lang w:val="uk-UA" w:eastAsia="uk-UA"/>
        </w:rPr>
        <w:t>штучний інтелект, цифовізація, представницька демократія, управління, органи публічної влади.</w:t>
      </w:r>
    </w:p>
    <w:p w14:paraId="282E798E" w14:textId="2F276C48" w:rsidR="00B67481" w:rsidRPr="00511005" w:rsidRDefault="007B2628"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szCs w:val="28"/>
          <w:lang w:val="uk-UA" w:eastAsia="uk-UA"/>
        </w:rPr>
        <w:t>artificial intelligence, digitalisation, representative democracy, governance, public authorities.</w:t>
      </w:r>
    </w:p>
    <w:p w14:paraId="19F9FE4D" w14:textId="3534AE6C" w:rsidR="00B67481" w:rsidRPr="00511005" w:rsidRDefault="007B2628" w:rsidP="003A292D">
      <w:pPr>
        <w:keepNext/>
        <w:spacing w:line="264" w:lineRule="auto"/>
        <w:ind w:firstLine="851"/>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B67481" w:rsidRPr="00511005">
        <w:rPr>
          <w:rFonts w:ascii="Arial" w:eastAsia="Times New Roman" w:hAnsi="Arial" w:cs="Arial"/>
          <w:i/>
          <w:szCs w:val="28"/>
          <w:lang w:val="uk-UA" w:eastAsia="uk-UA"/>
        </w:rPr>
        <w:t>к.ю.н., доцент Волкова Д.Є.</w:t>
      </w:r>
    </w:p>
    <w:p w14:paraId="269D8EEA" w14:textId="77777777" w:rsidR="00B67481" w:rsidRPr="00511005" w:rsidRDefault="00B67481" w:rsidP="003A292D">
      <w:pPr>
        <w:spacing w:line="264" w:lineRule="auto"/>
        <w:ind w:firstLine="0"/>
        <w:jc w:val="left"/>
        <w:rPr>
          <w:rFonts w:ascii="Arial" w:eastAsia="Times New Roman" w:hAnsi="Arial" w:cs="Arial"/>
          <w:szCs w:val="28"/>
          <w:lang w:val="uk-UA" w:eastAsia="uk-UA"/>
        </w:rPr>
      </w:pPr>
    </w:p>
    <w:p w14:paraId="058070AB" w14:textId="4CD224F9" w:rsidR="0071733E" w:rsidRDefault="0071733E">
      <w:pPr>
        <w:spacing w:after="200" w:line="276" w:lineRule="auto"/>
        <w:ind w:firstLine="0"/>
        <w:jc w:val="left"/>
        <w:rPr>
          <w:rFonts w:ascii="Arial" w:eastAsia="Times New Roman" w:hAnsi="Arial" w:cs="Arial"/>
          <w:i/>
          <w:szCs w:val="28"/>
          <w:lang w:val="uk-UA" w:eastAsia="uk-UA"/>
        </w:rPr>
      </w:pPr>
      <w:r>
        <w:rPr>
          <w:rFonts w:ascii="Arial" w:eastAsia="Times New Roman" w:hAnsi="Arial" w:cs="Arial"/>
          <w:i/>
          <w:szCs w:val="28"/>
          <w:lang w:val="uk-UA" w:eastAsia="uk-UA"/>
        </w:rPr>
        <w:br w:type="page"/>
      </w:r>
    </w:p>
    <w:p w14:paraId="32973D1F" w14:textId="77777777" w:rsidR="007B2628" w:rsidRPr="00511005" w:rsidRDefault="00B67481"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lastRenderedPageBreak/>
        <w:t>Загорець Регіна Георгіївна</w:t>
      </w:r>
    </w:p>
    <w:p w14:paraId="5A5793DE" w14:textId="4E50DF10" w:rsidR="00B67481" w:rsidRPr="0071733E" w:rsidRDefault="00536AAB"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 xml:space="preserve">студентка 2-го курсу </w:t>
      </w:r>
      <w:r w:rsidR="001B7B25" w:rsidRPr="0071733E">
        <w:rPr>
          <w:rFonts w:ascii="Arial" w:eastAsia="Times New Roman" w:hAnsi="Arial" w:cs="Arial"/>
          <w:iCs/>
          <w:szCs w:val="28"/>
          <w:lang w:val="uk-UA" w:eastAsia="uk-UA"/>
        </w:rPr>
        <w:t>факультету судового та міжнародного права</w:t>
      </w:r>
    </w:p>
    <w:p w14:paraId="6CD09C0A" w14:textId="5E95944C" w:rsidR="00B67481" w:rsidRPr="0071733E" w:rsidRDefault="007B2628"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p>
    <w:p w14:paraId="19FF1728" w14:textId="77777777" w:rsidR="00B67481" w:rsidRPr="00511005" w:rsidRDefault="00B67481" w:rsidP="003A292D">
      <w:pPr>
        <w:spacing w:line="264" w:lineRule="auto"/>
        <w:ind w:firstLine="0"/>
        <w:jc w:val="center"/>
        <w:rPr>
          <w:rFonts w:ascii="Arial" w:eastAsia="Times New Roman" w:hAnsi="Arial" w:cs="Arial"/>
          <w:b/>
          <w:i/>
          <w:szCs w:val="28"/>
          <w:lang w:val="uk-UA" w:eastAsia="uk-UA"/>
        </w:rPr>
      </w:pPr>
    </w:p>
    <w:p w14:paraId="6A28262E" w14:textId="77777777" w:rsidR="00B67481" w:rsidRPr="00511005" w:rsidRDefault="00B67481" w:rsidP="003A292D">
      <w:pPr>
        <w:spacing w:line="264" w:lineRule="auto"/>
        <w:ind w:right="423"/>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ПРАВОСУБ’ЄКТНІСТЬ ЦИФРОВИХ РЕЗИДЕНТІВ В УКРАЇНІ:</w:t>
      </w:r>
    </w:p>
    <w:p w14:paraId="214DABF2" w14:textId="77777777" w:rsidR="00B67481" w:rsidRPr="00511005" w:rsidRDefault="00B67481" w:rsidP="003A292D">
      <w:pPr>
        <w:spacing w:line="264" w:lineRule="auto"/>
        <w:ind w:right="423"/>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ЮРИСДИКЦІЙНІ МЕЖІ РЕГУЛЮВАННЯ</w:t>
      </w:r>
    </w:p>
    <w:p w14:paraId="57EE50C5" w14:textId="77777777" w:rsidR="00B67481" w:rsidRPr="00511005" w:rsidRDefault="00B67481"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szCs w:val="28"/>
          <w:lang w:val="uk-UA" w:eastAsia="uk-UA"/>
        </w:rPr>
        <w:t>Актуальність дослідження</w:t>
      </w:r>
      <w:r w:rsidRPr="00511005">
        <w:rPr>
          <w:rFonts w:ascii="Arial" w:eastAsia="Times New Roman" w:hAnsi="Arial" w:cs="Arial"/>
          <w:szCs w:val="28"/>
          <w:lang w:val="uk-UA" w:eastAsia="uk-UA"/>
        </w:rPr>
        <w:t xml:space="preserve">. У контексті стрімкого розвитку інформаційно-комунікаційних технологій і невпинної глобалізації суспільних відносин відбувається трансформація фундаментальних правових категорій в конституційному праві, серед яких особливого значення набуває інститут громадянства. Традиційне розуміння громадянства як сталого політико-правового зв'язку між фізичною особою та державою зазнає суттєвих модифікацій під впливом діджиталізації суспільного життя, що зумовлює виникнення нових форм правосуб'єктності, зокрема </w:t>
      </w:r>
      <w:r w:rsidRPr="00511005">
        <w:rPr>
          <w:rFonts w:ascii="Arial" w:eastAsia="Times New Roman" w:hAnsi="Arial" w:cs="Arial"/>
          <w:i/>
          <w:szCs w:val="28"/>
          <w:lang w:val="uk-UA" w:eastAsia="uk-UA"/>
        </w:rPr>
        <w:t>концепції цифрового громадянства або цифрового резидентства</w:t>
      </w:r>
      <w:r w:rsidRPr="00511005">
        <w:rPr>
          <w:rFonts w:ascii="Arial" w:eastAsia="Times New Roman" w:hAnsi="Arial" w:cs="Arial"/>
          <w:szCs w:val="28"/>
          <w:lang w:val="uk-UA" w:eastAsia="uk-UA"/>
        </w:rPr>
        <w:t>. [1, C. 68-69]. З огляду на стрімке зростання економічної активності у віртуальному просторі, виникає потреба переосмислення традиційних підходів до визначення правового статусу суб’єктів, які здійснюють діяльність поза межами фізичної території держав, але при цьому активно взаємодіють із її правовою системою.</w:t>
      </w:r>
    </w:p>
    <w:p w14:paraId="6C9D6750" w14:textId="77777777" w:rsidR="00B67481" w:rsidRPr="00511005" w:rsidRDefault="00B67481"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Особливу актуальність питання набуває для України, яка у 2023 році започаткувала власну програму e-резидентства (uResidency), тим самим засвідчивши прагнення інтегруватися у глобальні цифрові процеси. Однак нормативно-правове поле цього інституту перебуває на стадії становлення і вимагає ґрунтовного наукового осмислення.</w:t>
      </w:r>
    </w:p>
    <w:p w14:paraId="6D91486B" w14:textId="77777777" w:rsidR="00B67481" w:rsidRPr="00511005" w:rsidRDefault="00B67481"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szCs w:val="28"/>
          <w:lang w:val="uk-UA" w:eastAsia="uk-UA"/>
        </w:rPr>
        <w:t>Метою даного дослідження є</w:t>
      </w:r>
      <w:r w:rsidRPr="00511005">
        <w:rPr>
          <w:rFonts w:ascii="Arial" w:eastAsia="Times New Roman" w:hAnsi="Arial" w:cs="Arial"/>
          <w:szCs w:val="28"/>
          <w:lang w:val="uk-UA" w:eastAsia="uk-UA"/>
        </w:rPr>
        <w:t xml:space="preserve"> комплексне теоретико-правове осмислення феномену правосуб'єктності цифрових резидентів в Україні, виявлення її сутнісних характеристик та встановлення її функціональних меж у контексті проблематики юрисдикційних відносин.</w:t>
      </w:r>
    </w:p>
    <w:p w14:paraId="7994217C" w14:textId="77777777" w:rsidR="00B67481" w:rsidRPr="00511005" w:rsidRDefault="00B67481"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Цифрове громадянство являє собою особливу правову категорію, що охоплює сукупність прав і обов'язків особи в цифровому середовищі. Даний інститут передбачає забезпечення правосуб'єктності індивіда щодо безпечної, нормативно врегульованої та функціонально комплексної інтеракції з цифровими технологіями з метою реалізації конституційних прав, повноцінної участі у суспільних відносинах та належного виконання юридичних обов'язків за допомогою електронних комунікаційних засобів.[2] У цьому контексті виникає новий тип правосуб’єктності — цифрова, що характеризується обмеженою, функціонально зумовленою правоздатністю та дієздатністю, яка реалізується виключно у межах цифрового простору держави-резидента.</w:t>
      </w:r>
    </w:p>
    <w:p w14:paraId="42D5928D" w14:textId="70E77DE2" w:rsidR="00B67481" w:rsidRPr="00511005" w:rsidRDefault="00B67481"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Правосуб'єктність цифрових резидентів характеризується дуалістичною юридичною природою, що суттєво відрізняє її від класичних форм правосуб'єктності фізичних та юридичних осіб у традиційному праві. </w:t>
      </w:r>
      <w:r w:rsidRPr="00511005">
        <w:rPr>
          <w:rFonts w:ascii="Arial" w:eastAsia="Times New Roman" w:hAnsi="Arial" w:cs="Arial"/>
          <w:szCs w:val="28"/>
          <w:lang w:val="uk-UA" w:eastAsia="uk-UA"/>
        </w:rPr>
        <w:lastRenderedPageBreak/>
        <w:t>[1, C.68]</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Відмінність полягає передусім у гібридному характері правового статусу, коли особа, зберігаючи громадянство однієї держави та фізично перебуваючи на її території, набуває специфічного обсягу прав та обов'язків у цифровому просторі іншої держави. Такий статус не передбачає повноцінної інтеграції до політико-правового простору держави цифрового резидентства, а зосереджується на забезпеченні економічної діяльності та доступу до цифрових послуг. Обмеженість правосуб'єктності цифрових резидентів проявляється у відсутності політичних прав, обмеженому доступі до соціального забезпечення та зосередженні виключно на електронній ідентифікації, дистанційному адмініструванні бізнесу та використанні електронних послуг. Фрагментарність міжнародного визнання правосуб'єктності цифрових резидентів становить додаткову проблему, оскільки відсутність міжнародно-правових механізмів регулювання даного інституту призводить до невизнання цифрового статусу особи третіми країнами. Зазначені особливості формують комплексну проблематику правосуб'єктності цифрових резидентів, яка потребує теоретичного осмислення та нормативно-правового вирішення.</w:t>
      </w:r>
    </w:p>
    <w:p w14:paraId="1663F27B" w14:textId="77777777" w:rsidR="00B67481" w:rsidRPr="00511005" w:rsidRDefault="00B67481"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Програма e-резидентства України "uResidency" надає іноземним громадянам можливість дистанційно вести бізнес в Україні. [3] Процедура отримання статусу максимально спрощена і займає 5-10 хвилин через онлайн-заявку на порталі uResidency. Після перевірки заявник отримує кваліфікований електронний підпис (КЕП) у консульстві без необхідності фізичного відвідування України. E-резидентом може стати іноземець від 18 років, який не є податковим резидентом України. Перевагами програми є автоматизація бухгалтерії та сплати податків, адже банк самостійно обчислює податки (ставка 5%), подає декларації та виконує всю бюрократичну роботу. Програма орієнтована на спеціалістів у сферах IT, креативних індустрій, права, управління проєктами та інших галузей, зокрема для керівників компаній, уповноважених осіб або представників за довіреністю. Наразі послуга доступна для громадян Словенії, Індії, Пакистану і Таїланду. Термін розгляду заяви становить 10 робочих днів. E-резидентами не можуть бути громадяни України, іноземці з правом постійного проживання в Україні, податкові резиденти України, особи без громадянства, особи, які отримують доходи з України (крім пасивних), а також громадяни держав-агресорів, високоризикових держав FATF та країн зі слабкими режимами протидії відмиванню доходів. [3]</w:t>
      </w:r>
    </w:p>
    <w:p w14:paraId="135A288F" w14:textId="77777777" w:rsidR="00B67481" w:rsidRPr="00511005" w:rsidRDefault="00B67481"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Проблема визначення юрисдикції щодо цифрових резидентів та їхньої діяльності належить до найскладніших теоретико-правових аспектів цифрового резидентства. Множинність юрисдикцій формується внаслідок одночасного підпорядкування цифрового резидента правовим системам кількох держав: країни громадянства, країни фізичного перебування, країни цифрового резидентства та потенційно країн здійснення економічної </w:t>
      </w:r>
      <w:r w:rsidRPr="00511005">
        <w:rPr>
          <w:rFonts w:ascii="Arial" w:eastAsia="Times New Roman" w:hAnsi="Arial" w:cs="Arial"/>
          <w:szCs w:val="28"/>
          <w:lang w:val="uk-UA" w:eastAsia="uk-UA"/>
        </w:rPr>
        <w:lastRenderedPageBreak/>
        <w:t>діяльності. Екстериторіальність застосування національного права становить характерну рису юрисдикційних проблем, коли держави намагаються поширити дію свого законодавства на правовідносини, що виникають поза їхніми територіальними межами, але за участю їхніх громадян або цифрових резидентів. Відсутність спеціальних міжнародно-правових норм та усталеної судової практики щодо цифрового резидентства призводить до ситуації правової невизначеності у вирішенні колізій юрисдикцій.</w:t>
      </w:r>
    </w:p>
    <w:p w14:paraId="04D2C18E" w14:textId="77777777" w:rsidR="00B67481" w:rsidRPr="00511005" w:rsidRDefault="00B67481"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Програма e-Residency Естонської Республіки, запроваджена у 2014 році, являє собою найбільш розвинену та комплексну модель цифрового резидентства у світі, що становить значний науковий та практичний інтерес. [4] Характерною особливістю естонської моделі є наявність чіткого законодавчого регулювання статусу e-резидентів, що включає спеціальні нормативно-правові акти та інтеграцію до загальної системи електронного урядування країни. Правовий статус e-резидентів Естонії побудовано на принципі балансу прав та обмежень, коли іноземцям надається доступ до державних електронних послуг та можливість дистанційного ведення бізнесу, проте встановлюються суттєві обмеження щодо політичних та соціальних прав. [4] Основним інструментом реалізації правосуб'єктності естонських e-резидентів є цифрова ID-картка з електронним підписом, що забезпечує автентифікацію особи у цифровому просторі та можливість вчинення юридично значущих дій. [5] Юрисдикція Естонії щодо цифрових резидентів має чітко визначені межі, зосереджуючись переважно на регулюванні економічної діяльності, забезпеченні кібербезпеки та запобіганні легалізації доходів, одержаних злочинним шляхом. [5] Досвід Естонії демонструє можливість успішної імплементації концепції цифрового резидентства у національну правову систему за умови комплексного підходу до нормативно-правового регулювання та технологічного забезпечення. Порівняльний аналіз із естонською моделлю e-Residency свідчить про важливість системного та послідовного нормативного регулювання. </w:t>
      </w:r>
    </w:p>
    <w:p w14:paraId="245822A1" w14:textId="77777777" w:rsidR="00B67481" w:rsidRPr="00511005" w:rsidRDefault="00B67481"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szCs w:val="28"/>
          <w:lang w:val="uk-UA" w:eastAsia="uk-UA"/>
        </w:rPr>
        <w:t>Висновки.</w:t>
      </w:r>
      <w:r w:rsidRPr="00511005">
        <w:rPr>
          <w:rFonts w:ascii="Arial" w:eastAsia="Times New Roman" w:hAnsi="Arial" w:cs="Arial"/>
          <w:szCs w:val="28"/>
          <w:lang w:val="uk-UA" w:eastAsia="uk-UA"/>
        </w:rPr>
        <w:t xml:space="preserve"> Правосуб’єктність цифрових резидентів в умовах цифрової трансформації суспільства є складним і багатогранним правовим феноменом, що вимагає переосмислення класичних догматичних конструкцій. Для ефективного функціонування інституту цифрового резидентства в Україні необхідним є удосконалення нормативної бази, гармонізація із міжнародно-правовими стандартами та розробка процедур вирішення юрисдикційних колізій. Досвід Естонії доводить, що цифрове резидентство може стати потужним інструментом цифрового державного управління за умови системного правового підходу. Українська ініціатива uResidency наслідує естонський досвід, однак перебуває на початковій стадії реалізації.</w:t>
      </w:r>
    </w:p>
    <w:p w14:paraId="64353D3F" w14:textId="77777777" w:rsidR="00B67481" w:rsidRPr="00511005" w:rsidRDefault="00B67481" w:rsidP="003A292D">
      <w:pPr>
        <w:spacing w:line="264" w:lineRule="auto"/>
        <w:ind w:firstLine="567"/>
        <w:rPr>
          <w:rFonts w:ascii="Arial" w:eastAsia="Times New Roman" w:hAnsi="Arial" w:cs="Arial"/>
          <w:szCs w:val="28"/>
          <w:lang w:val="uk-UA" w:eastAsia="uk-UA"/>
        </w:rPr>
      </w:pPr>
    </w:p>
    <w:p w14:paraId="697B9405" w14:textId="77777777" w:rsidR="00B67481" w:rsidRPr="00511005" w:rsidRDefault="00B67481" w:rsidP="003A292D">
      <w:pPr>
        <w:spacing w:line="264" w:lineRule="auto"/>
        <w:ind w:firstLine="567"/>
        <w:rPr>
          <w:rFonts w:ascii="Arial" w:eastAsia="Times New Roman" w:hAnsi="Arial" w:cs="Arial"/>
          <w:szCs w:val="28"/>
          <w:lang w:val="uk-UA" w:eastAsia="uk-UA"/>
        </w:rPr>
      </w:pPr>
    </w:p>
    <w:p w14:paraId="44EA6081" w14:textId="026D2738" w:rsidR="00B67481" w:rsidRPr="00511005" w:rsidRDefault="007B2628" w:rsidP="007B2628">
      <w:pPr>
        <w:spacing w:line="264" w:lineRule="auto"/>
        <w:ind w:firstLine="567"/>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6E8502C9" w14:textId="77777777" w:rsidR="00B67481" w:rsidRPr="00511005" w:rsidRDefault="00B67481" w:rsidP="003F6A5D">
      <w:pPr>
        <w:numPr>
          <w:ilvl w:val="0"/>
          <w:numId w:val="225"/>
        </w:numPr>
        <w:shd w:val="clear" w:color="auto" w:fill="FFFFFF"/>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Марченко В.В., Домбровська А.В., Килимник І.І. Правова концепція «цифрового громадянства»: конституційно-правовий та міжнародний аспекти. Збірник наукових праць Харківського національного педагогічного університету імені Г. С. Сковороди «ПРАВО». Випуск 41, 2025 р. С. 66-77 URL: </w:t>
      </w:r>
      <w:hyperlink r:id="rId869">
        <w:r w:rsidRPr="00511005">
          <w:rPr>
            <w:rFonts w:ascii="Arial" w:eastAsia="Times New Roman" w:hAnsi="Arial" w:cs="Arial"/>
            <w:szCs w:val="28"/>
            <w:lang w:val="uk-UA" w:eastAsia="uk-UA"/>
          </w:rPr>
          <w:t>10.34142/23121661.2025.41.07</w:t>
        </w:r>
      </w:hyperlink>
    </w:p>
    <w:p w14:paraId="7FC8D59F" w14:textId="77777777" w:rsidR="00B67481" w:rsidRPr="00511005" w:rsidRDefault="00B67481" w:rsidP="003F6A5D">
      <w:pPr>
        <w:numPr>
          <w:ilvl w:val="0"/>
          <w:numId w:val="225"/>
        </w:numPr>
        <w:shd w:val="clear" w:color="auto" w:fill="FFFFFF"/>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10. Mossberger, K. (2008). Toward digital citizenship: Addressing inequality in the information age. In Routledge Handbook of Internet Politics (pp. 173-185). Taylor and Francis. https://doi.org/ 10.4324/9780203962541-15. </w:t>
      </w:r>
    </w:p>
    <w:p w14:paraId="56B837A9" w14:textId="3C71574C" w:rsidR="00B67481" w:rsidRPr="00511005" w:rsidRDefault="00B67481" w:rsidP="003F6A5D">
      <w:pPr>
        <w:numPr>
          <w:ilvl w:val="0"/>
          <w:numId w:val="225"/>
        </w:numPr>
        <w:shd w:val="clear" w:color="auto" w:fill="FFFFFF"/>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 внесення змін до Податкового кодексу України та деяких інших законів України щодо особливостей оподаткування підприємницької діяльності електронних резидентів : Закон України від 06.10.2022 // Відомості Верховної Ради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України. - 2022.- № 2654-IX URL: </w:t>
      </w:r>
      <w:hyperlink r:id="rId870" w:anchor="Text">
        <w:r w:rsidRPr="00511005">
          <w:rPr>
            <w:rFonts w:ascii="Arial" w:eastAsia="Times New Roman" w:hAnsi="Arial" w:cs="Arial"/>
            <w:szCs w:val="28"/>
            <w:lang w:val="uk-UA" w:eastAsia="uk-UA"/>
          </w:rPr>
          <w:t>https://zakon.rada.gov.ua/laws/show/2654-20#Text</w:t>
        </w:r>
      </w:hyperlink>
    </w:p>
    <w:p w14:paraId="743C34D2" w14:textId="77777777" w:rsidR="00B67481" w:rsidRPr="00511005" w:rsidRDefault="00B67481" w:rsidP="003F6A5D">
      <w:pPr>
        <w:numPr>
          <w:ilvl w:val="0"/>
          <w:numId w:val="225"/>
        </w:numPr>
        <w:shd w:val="clear" w:color="auto" w:fill="FFFFFF"/>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Thomas Hoffmann, Maria Claudia Solarte-Vasquez</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The Estonian e-residency program and its role beyond the country’s digital public sector ecosystem</w:t>
      </w:r>
      <w:r w:rsidRPr="00511005">
        <w:rPr>
          <w:rFonts w:ascii="Arial" w:eastAsia="Times New Roman" w:hAnsi="Arial" w:cs="Arial"/>
          <w:b/>
          <w:szCs w:val="28"/>
          <w:lang w:val="uk-UA" w:eastAsia="uk-UA"/>
        </w:rPr>
        <w:t>.</w:t>
      </w:r>
      <w:r w:rsidRPr="00511005">
        <w:rPr>
          <w:rFonts w:ascii="Arial" w:eastAsia="Times New Roman" w:hAnsi="Arial" w:cs="Arial"/>
          <w:szCs w:val="28"/>
          <w:lang w:val="uk-UA" w:eastAsia="uk-UA"/>
        </w:rPr>
        <w:t xml:space="preserve"> </w:t>
      </w:r>
      <w:hyperlink r:id="rId871">
        <w:r w:rsidRPr="00511005">
          <w:rPr>
            <w:rFonts w:ascii="Arial" w:eastAsia="Times New Roman" w:hAnsi="Arial" w:cs="Arial"/>
            <w:szCs w:val="28"/>
            <w:lang w:val="uk-UA" w:eastAsia="uk-UA"/>
          </w:rPr>
          <w:t>CES Derecho</w:t>
        </w:r>
      </w:hyperlink>
      <w:r w:rsidRPr="00511005">
        <w:rPr>
          <w:rFonts w:ascii="Arial" w:eastAsia="Times New Roman" w:hAnsi="Arial" w:cs="Arial"/>
          <w:szCs w:val="28"/>
          <w:lang w:val="uk-UA" w:eastAsia="uk-UA"/>
        </w:rPr>
        <w:t> 13(2):184-204 URL:</w:t>
      </w:r>
      <w:hyperlink r:id="rId872">
        <w:r w:rsidRPr="00511005">
          <w:rPr>
            <w:rFonts w:ascii="Arial" w:eastAsia="Times New Roman" w:hAnsi="Arial" w:cs="Arial"/>
            <w:szCs w:val="28"/>
            <w:lang w:val="uk-UA" w:eastAsia="uk-UA"/>
          </w:rPr>
          <w:t>10.21615/cesder.6772</w:t>
        </w:r>
      </w:hyperlink>
      <w:r w:rsidRPr="00511005">
        <w:rPr>
          <w:rFonts w:ascii="Arial" w:eastAsia="Times New Roman" w:hAnsi="Arial" w:cs="Arial"/>
          <w:szCs w:val="28"/>
          <w:lang w:val="uk-UA" w:eastAsia="uk-UA"/>
        </w:rPr>
        <w:t xml:space="preserve"> – Дата звернення: 04.04.2025.</w:t>
      </w:r>
    </w:p>
    <w:p w14:paraId="44C341BE" w14:textId="77777777" w:rsidR="00B67481" w:rsidRPr="00511005" w:rsidRDefault="00B67481" w:rsidP="003F6A5D">
      <w:pPr>
        <w:numPr>
          <w:ilvl w:val="0"/>
          <w:numId w:val="225"/>
        </w:numPr>
        <w:shd w:val="clear" w:color="auto" w:fill="FFFFFF"/>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Identity Documents Act (Закон про документи, що посвідчують особу) // Riigi Teataja. – [Електронний ресурс]. – URL: </w:t>
      </w:r>
      <w:hyperlink r:id="rId873">
        <w:r w:rsidRPr="00511005">
          <w:rPr>
            <w:rFonts w:ascii="Arial" w:eastAsia="Times New Roman" w:hAnsi="Arial" w:cs="Arial"/>
            <w:szCs w:val="28"/>
            <w:lang w:val="uk-UA" w:eastAsia="uk-UA"/>
          </w:rPr>
          <w:t>https://www.riigiteataja.ee/en/eli/504022020003/consolide</w:t>
        </w:r>
      </w:hyperlink>
      <w:r w:rsidRPr="00511005">
        <w:rPr>
          <w:rFonts w:ascii="Arial" w:eastAsia="Times New Roman" w:hAnsi="Arial" w:cs="Arial"/>
          <w:szCs w:val="28"/>
          <w:lang w:val="uk-UA" w:eastAsia="uk-UA"/>
        </w:rPr>
        <w:t xml:space="preserve"> </w:t>
      </w:r>
    </w:p>
    <w:p w14:paraId="11BDEDC5" w14:textId="3C93EC66" w:rsidR="00B67481" w:rsidRPr="00511005" w:rsidRDefault="007B2628" w:rsidP="003A292D">
      <w:pPr>
        <w:shd w:val="clear" w:color="auto" w:fill="FFFFFF"/>
        <w:spacing w:line="264" w:lineRule="auto"/>
        <w:rPr>
          <w:rFonts w:ascii="Arial" w:eastAsia="Times New Roman" w:hAnsi="Arial" w:cs="Arial"/>
          <w:b/>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szCs w:val="28"/>
          <w:lang w:val="uk-UA" w:eastAsia="uk-UA"/>
        </w:rPr>
        <w:t xml:space="preserve">цифрове резидентство, правосуб’єкність, юрисдикція, Естонська программа e-Residency, відповідальність </w:t>
      </w:r>
    </w:p>
    <w:p w14:paraId="3E574694" w14:textId="2538BE86" w:rsidR="00B67481" w:rsidRPr="00511005" w:rsidRDefault="007B2628"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szCs w:val="28"/>
          <w:lang w:val="uk-UA" w:eastAsia="uk-UA"/>
        </w:rPr>
        <w:t>digital residency, legal capacity, jurisdiction, Estonian e-Residency program, liability</w:t>
      </w:r>
    </w:p>
    <w:p w14:paraId="353B7575" w14:textId="0F9291DC" w:rsidR="00B67481" w:rsidRPr="00511005" w:rsidRDefault="007B2628" w:rsidP="003A292D">
      <w:pPr>
        <w:spacing w:line="264" w:lineRule="auto"/>
        <w:ind w:firstLine="567"/>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B67481" w:rsidRPr="00511005">
        <w:rPr>
          <w:rFonts w:ascii="Arial" w:eastAsia="Times New Roman" w:hAnsi="Arial" w:cs="Arial"/>
          <w:i/>
          <w:szCs w:val="28"/>
          <w:lang w:val="uk-UA" w:eastAsia="uk-UA"/>
        </w:rPr>
        <w:t>д.ю.н., професор Афанасьєва М</w:t>
      </w:r>
      <w:r w:rsidR="0071733E">
        <w:rPr>
          <w:rFonts w:ascii="Arial" w:eastAsia="Times New Roman" w:hAnsi="Arial" w:cs="Arial"/>
          <w:i/>
          <w:szCs w:val="28"/>
          <w:lang w:val="uk-UA" w:eastAsia="uk-UA"/>
        </w:rPr>
        <w:t>.</w:t>
      </w:r>
      <w:r w:rsidR="00B67481" w:rsidRPr="00511005">
        <w:rPr>
          <w:rFonts w:ascii="Arial" w:eastAsia="Times New Roman" w:hAnsi="Arial" w:cs="Arial"/>
          <w:i/>
          <w:szCs w:val="28"/>
          <w:lang w:val="uk-UA" w:eastAsia="uk-UA"/>
        </w:rPr>
        <w:t xml:space="preserve"> В</w:t>
      </w:r>
      <w:r w:rsidR="0071733E">
        <w:rPr>
          <w:rFonts w:ascii="Arial" w:eastAsia="Times New Roman" w:hAnsi="Arial" w:cs="Arial"/>
          <w:i/>
          <w:szCs w:val="28"/>
          <w:lang w:val="uk-UA" w:eastAsia="uk-UA"/>
        </w:rPr>
        <w:t>.</w:t>
      </w:r>
      <w:r w:rsidR="00B67481" w:rsidRPr="00511005">
        <w:rPr>
          <w:rFonts w:ascii="Arial" w:eastAsia="Times New Roman" w:hAnsi="Arial" w:cs="Arial"/>
          <w:i/>
          <w:szCs w:val="28"/>
          <w:lang w:val="uk-UA" w:eastAsia="uk-UA"/>
        </w:rPr>
        <w:t xml:space="preserve"> </w:t>
      </w:r>
    </w:p>
    <w:p w14:paraId="4515CD3D" w14:textId="77777777" w:rsidR="00B67481" w:rsidRPr="00511005" w:rsidRDefault="00B67481" w:rsidP="003A292D">
      <w:pPr>
        <w:spacing w:line="264" w:lineRule="auto"/>
        <w:ind w:firstLine="0"/>
        <w:rPr>
          <w:rFonts w:ascii="Arial" w:eastAsia="Times New Roman" w:hAnsi="Arial" w:cs="Arial"/>
          <w:i/>
          <w:szCs w:val="28"/>
          <w:lang w:val="uk-UA" w:eastAsia="uk-UA"/>
        </w:rPr>
      </w:pPr>
    </w:p>
    <w:p w14:paraId="4B918522" w14:textId="048A9705" w:rsidR="001E775A" w:rsidRPr="00511005" w:rsidRDefault="001E775A"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b/>
          <w:i/>
          <w:szCs w:val="28"/>
          <w:lang w:val="uk-UA" w:eastAsia="uk-UA"/>
        </w:rPr>
        <w:t>Ковальчук Антон Сергійович</w:t>
      </w:r>
    </w:p>
    <w:p w14:paraId="2928CAB1" w14:textId="77777777" w:rsidR="0071733E" w:rsidRDefault="00536AAB"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 xml:space="preserve">студент 2-го курсу </w:t>
      </w:r>
      <w:r w:rsidR="001B7B25" w:rsidRPr="0071733E">
        <w:rPr>
          <w:rFonts w:ascii="Arial" w:eastAsia="Times New Roman" w:hAnsi="Arial" w:cs="Arial"/>
          <w:iCs/>
          <w:szCs w:val="28"/>
          <w:lang w:val="uk-UA" w:eastAsia="uk-UA"/>
        </w:rPr>
        <w:t>факультету судового та міжнародного права</w:t>
      </w:r>
      <w:r w:rsidR="00B67481" w:rsidRPr="0071733E">
        <w:rPr>
          <w:rFonts w:ascii="Arial" w:eastAsia="Times New Roman" w:hAnsi="Arial" w:cs="Arial"/>
          <w:iCs/>
          <w:szCs w:val="28"/>
          <w:lang w:val="uk-UA" w:eastAsia="uk-UA"/>
        </w:rPr>
        <w:t xml:space="preserve"> </w:t>
      </w:r>
    </w:p>
    <w:p w14:paraId="005FFF3A" w14:textId="30863EED" w:rsidR="00B67481" w:rsidRPr="0071733E" w:rsidRDefault="007B2628" w:rsidP="003A292D">
      <w:pPr>
        <w:spacing w:line="264" w:lineRule="auto"/>
        <w:ind w:firstLine="0"/>
        <w:jc w:val="center"/>
        <w:rPr>
          <w:rFonts w:ascii="Arial" w:eastAsia="Times New Roman" w:hAnsi="Arial" w:cs="Arial"/>
          <w:b/>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r w:rsidR="00B67481" w:rsidRPr="0071733E">
        <w:rPr>
          <w:rFonts w:ascii="Arial" w:eastAsia="Times New Roman" w:hAnsi="Arial" w:cs="Arial"/>
          <w:b/>
          <w:iCs/>
          <w:szCs w:val="28"/>
          <w:lang w:val="uk-UA" w:eastAsia="uk-UA"/>
        </w:rPr>
        <w:t xml:space="preserve"> </w:t>
      </w:r>
    </w:p>
    <w:p w14:paraId="1C81233F" w14:textId="2131F6A3" w:rsidR="001E775A" w:rsidRPr="00511005" w:rsidRDefault="001E775A" w:rsidP="003A292D">
      <w:pPr>
        <w:spacing w:line="264" w:lineRule="auto"/>
        <w:ind w:firstLine="0"/>
        <w:jc w:val="center"/>
        <w:rPr>
          <w:rFonts w:ascii="Arial" w:eastAsia="Times New Roman" w:hAnsi="Arial" w:cs="Arial"/>
          <w:b/>
          <w:szCs w:val="28"/>
          <w:lang w:val="uk-UA" w:eastAsia="uk-UA"/>
        </w:rPr>
      </w:pPr>
    </w:p>
    <w:p w14:paraId="14CFA163" w14:textId="3519DFBD" w:rsidR="001E775A" w:rsidRPr="00511005" w:rsidRDefault="001E775A"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ПЕРСПЕКТИВИ УДОСКОНАЛЕННЯ КОНСТИТУЦІЙНОГО ЮРИСДИКЦІЙНОГО ПРОЦЕСУ В УКРАЇНІ</w:t>
      </w:r>
    </w:p>
    <w:p w14:paraId="0958E36F" w14:textId="77777777" w:rsidR="00B67481" w:rsidRPr="00511005" w:rsidRDefault="00B67481" w:rsidP="003A292D">
      <w:pPr>
        <w:spacing w:line="264" w:lineRule="auto"/>
        <w:ind w:firstLine="56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Не дивлячись на значну кількість ухвал про відмову у відкритті конституційних проваджень, можна відзначити деякі проблеми, пов'язані з дотриманням процедурних вимог у справах за конституційним поданням, скаргою та зверненням, а також з виконанням рішень Конституційного Суду України та відновленням порушених прав і свобод громадян. Вирішення цих проблем можливе завдяки підвищенню правової культури та освіченості суб’єктів, які звертаються до Конституційного Суду України, зокрема тих, хто </w:t>
      </w:r>
      <w:r w:rsidRPr="00511005">
        <w:rPr>
          <w:rFonts w:ascii="Arial" w:eastAsia="Times New Roman" w:hAnsi="Arial" w:cs="Arial"/>
          <w:szCs w:val="28"/>
          <w:lang w:val="uk-UA" w:eastAsia="uk-UA"/>
        </w:rPr>
        <w:lastRenderedPageBreak/>
        <w:t>подає конституційні скарги, а також їхніх представників. Також потрібні зміни до нормативних актів, які регулюють процедурну діяльність Суду, для вирішення вищезазначених проблем на різних етапах конституційного процесу.</w:t>
      </w:r>
    </w:p>
    <w:p w14:paraId="3219D63E" w14:textId="77777777" w:rsidR="00B67481" w:rsidRPr="00511005" w:rsidRDefault="00B67481" w:rsidP="003A292D">
      <w:pPr>
        <w:spacing w:line="264" w:lineRule="auto"/>
        <w:ind w:firstLine="564"/>
        <w:rPr>
          <w:rFonts w:ascii="Arial" w:eastAsia="Times New Roman" w:hAnsi="Arial" w:cs="Arial"/>
          <w:szCs w:val="28"/>
          <w:lang w:val="uk-UA" w:eastAsia="uk-UA"/>
        </w:rPr>
      </w:pPr>
      <w:r w:rsidRPr="00511005">
        <w:rPr>
          <w:rFonts w:ascii="Arial" w:eastAsia="Times New Roman" w:hAnsi="Arial" w:cs="Arial"/>
          <w:szCs w:val="28"/>
          <w:lang w:val="uk-UA" w:eastAsia="uk-UA"/>
        </w:rPr>
        <w:t>Д. Жалімас, колишній голова Конституційного Суду Литовської Республіки, зауважує, що значущість офіційної конституційної доктрини полягає у її розумінні сутності верховенства основного закону та у її ролі як джерела широкого розуміння сучасного конституційного права. Ця доктрина має сприйматися суспільством як жива конституція, а всі нормотворчі та виконавчі органи повинні інтерпретувати зміст основного закону відповідно до неї. Принципи поступового розвитку офіційної конституційної доктрини є ключовими для забезпечення стабільності Конституції та ефективної діяльності Суду як її гаранта [1].</w:t>
      </w:r>
    </w:p>
    <w:p w14:paraId="243CD5DA" w14:textId="17DEFDB1" w:rsidR="00B67481" w:rsidRPr="00511005" w:rsidRDefault="00B67481" w:rsidP="003A292D">
      <w:pPr>
        <w:spacing w:line="264" w:lineRule="auto"/>
        <w:ind w:firstLine="561"/>
        <w:rPr>
          <w:rFonts w:ascii="Arial" w:eastAsia="Times New Roman" w:hAnsi="Arial" w:cs="Arial"/>
          <w:szCs w:val="28"/>
          <w:lang w:val="uk-UA" w:eastAsia="uk-UA"/>
        </w:rPr>
      </w:pPr>
      <w:r w:rsidRPr="00511005">
        <w:rPr>
          <w:rFonts w:ascii="Arial" w:eastAsia="Times New Roman" w:hAnsi="Arial" w:cs="Arial"/>
          <w:szCs w:val="28"/>
          <w:lang w:val="uk-UA" w:eastAsia="uk-UA"/>
        </w:rPr>
        <w:t>Стосовно законопроєкту № 4533, який також закріплює поняття щодо нового в сфері здійснення конституційного юридикційного процесу інституту конституційної доктрини, проте на думку спеціалістів є дещо неясним і потребує певних доопрацювань[2]. Не дивлячись на певні недоліки запровадження зазначеного інституту, на основі досвіду європейських країн це у свою чергу може бути позитивним кроком щодо удосконалення конституційного юридикційного процесу, сталості практики Конституційного Суду України та сприятиме ефективному захисту прав людини та їхньому відновленню. С. Шевчук зазначає, що роль судді у режимі конституційної демократії полягає не лише в застосуванні формальних нормативно-правових актів, а й у їхньому тлумаченні в контексті правової системи, включаючи фундаментальні принципи та цінності.</w:t>
      </w:r>
      <w:r w:rsidR="007B2628" w:rsidRPr="00511005">
        <w:rPr>
          <w:rFonts w:ascii="Arial" w:eastAsia="Times New Roman" w:hAnsi="Arial" w:cs="Arial"/>
          <w:szCs w:val="28"/>
          <w:lang w:val="uk-UA" w:eastAsia="uk-UA"/>
        </w:rPr>
        <w:t xml:space="preserve"> </w:t>
      </w:r>
    </w:p>
    <w:p w14:paraId="6C27C976" w14:textId="77777777" w:rsidR="007B2628" w:rsidRPr="00511005" w:rsidRDefault="00B67481" w:rsidP="003A292D">
      <w:pPr>
        <w:spacing w:line="264" w:lineRule="auto"/>
        <w:ind w:firstLine="561"/>
        <w:rPr>
          <w:rFonts w:ascii="Arial" w:eastAsia="Times New Roman" w:hAnsi="Arial" w:cs="Arial"/>
          <w:szCs w:val="28"/>
          <w:lang w:val="uk-UA" w:eastAsia="uk-UA"/>
        </w:rPr>
      </w:pPr>
      <w:r w:rsidRPr="00511005">
        <w:rPr>
          <w:rFonts w:ascii="Arial" w:eastAsia="Times New Roman" w:hAnsi="Arial" w:cs="Arial"/>
          <w:szCs w:val="28"/>
          <w:lang w:val="uk-UA" w:eastAsia="uk-UA"/>
        </w:rPr>
        <w:t>Закон від 13 липня 2017 року «Про Конституційний Суд України» не дозволяє Суду вийти за межі предмету конституційного провадження, шодо питань, які не були висловлені у конституційному зверненні, поданні чи скарзі[4]. Проте трапляються і випадки щодо виявленої потреби розтлумачення положення Конституції з метою подальшої роботи з поданою на розгляд справою. Такий підхід сприятиме ефективнішому захисту прав та основоположних свобод людини. Також, характеризуючи вищезазначене положення, межі предмету конституційного провадження можна було б обмежити у випадку виявлення неконституційності інших актів, крім тих, що перебувають у конституційному провадженні у справі і, які в свою чергу мають вплив на надання висновків Судом або ухвалення ним рішення, шляхом можливості</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визнання Судом цих актів такими, що не відповідають Конституції.</w:t>
      </w:r>
    </w:p>
    <w:p w14:paraId="0134DD28" w14:textId="6F10A21B" w:rsidR="00B67481" w:rsidRPr="00511005" w:rsidRDefault="00B67481" w:rsidP="003A292D">
      <w:pPr>
        <w:spacing w:line="264" w:lineRule="auto"/>
        <w:ind w:firstLine="56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Згідно з законопроєктом № 4533, учасники та залучені учасники мають різний статус у конституційному провадженні, проте володіють фактично однаковими правами[2]. Беручи до уваги ст. 16 цього законопроекту, можна дійти висновку, що залучені учасники беруть участь у конституційному </w:t>
      </w:r>
      <w:r w:rsidRPr="00511005">
        <w:rPr>
          <w:rFonts w:ascii="Arial" w:eastAsia="Times New Roman" w:hAnsi="Arial" w:cs="Arial"/>
          <w:szCs w:val="28"/>
          <w:lang w:val="uk-UA" w:eastAsia="uk-UA"/>
        </w:rPr>
        <w:lastRenderedPageBreak/>
        <w:t xml:space="preserve">провадження винятково з метою забезпечити об'єктивний і повний розгляд справи, тобто виконують допоміжну роль. Таким чином є недоцільним стверджувати про зрівняння прав самих учасників справи та залучених учасників. </w:t>
      </w:r>
    </w:p>
    <w:p w14:paraId="6414FD8D" w14:textId="77777777" w:rsidR="00B67481" w:rsidRPr="00511005" w:rsidRDefault="00B67481" w:rsidP="003A292D">
      <w:pPr>
        <w:spacing w:line="264" w:lineRule="auto"/>
        <w:ind w:firstLine="56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Вартої уваги є пропозиція про подвійну процедуру ухвалення рішення про неконституційність закону, що зменшує роль Сенату як органу Конституційного Суду, оскільки його функції будуть зведені до підтвердження конституційності оспорюваного закону [2]. Так, законопроектом передбачається обов'язкове звернення до Великої палати Сенатом із клопотанням про пдтвердження ухвали у випадку, якщо останній доходить висновку, що оскаржений суб’єктом права на конституційну скаргу закон (його окремі положення) є таким, що не відповідає Конституції України. У цьому контексті Венеціанська Комісія (пункт 55, 85 Висновку від 22 березня 2021 року № 1024/2021) вважає за доцільне зазначити, що для забезпечення процесуальної економії слід розглядати окремі випадки, коли Великою палатою Конституційного Суду підтверджуються рішення Сенату про невідповідність Конституції закону (його окремих положень), а не закріплювати цю процедуру обов'язковою для всіх рішень, які примаються Сенатом щодо неконституційності закону[3]. </w:t>
      </w:r>
    </w:p>
    <w:p w14:paraId="14500901" w14:textId="77777777" w:rsidR="00B67481" w:rsidRPr="00511005" w:rsidRDefault="00B67481" w:rsidP="003A292D">
      <w:pPr>
        <w:spacing w:line="264" w:lineRule="auto"/>
        <w:ind w:firstLine="564"/>
        <w:rPr>
          <w:rFonts w:ascii="Arial" w:eastAsia="Times New Roman" w:hAnsi="Arial" w:cs="Arial"/>
          <w:szCs w:val="28"/>
          <w:lang w:val="uk-UA" w:eastAsia="uk-UA"/>
        </w:rPr>
      </w:pPr>
      <w:bookmarkStart w:id="101" w:name="_heading=h.71paibx9stq3" w:colFirst="0" w:colLast="0"/>
      <w:bookmarkEnd w:id="101"/>
      <w:r w:rsidRPr="00511005">
        <w:rPr>
          <w:rFonts w:ascii="Arial" w:eastAsia="Times New Roman" w:hAnsi="Arial" w:cs="Arial"/>
          <w:szCs w:val="28"/>
          <w:lang w:val="uk-UA" w:eastAsia="uk-UA"/>
        </w:rPr>
        <w:t xml:space="preserve">Таким чином, Конституційний Суд України є ключовим суб'єктом конституційного юрисдикційного процесу, правові позиції якого спрямовані на забезпечення панування верховенства права та удосконалення розгляду конституційних проваджень у межах здійснення своїх повноважень. Аналіз чинного законодавства, практики Конституційного Суду України та досвіду інших держав свідчить про наявність низки недоліків у сфері конституційного провадження, подолання яких можливе із запровадженням нових підходів у діяльності Суду для подальшого вдосконалення з метою підвищення ефективності захисту конституційних прав громадян та забезпечення балансу між гілками влади. </w:t>
      </w:r>
    </w:p>
    <w:p w14:paraId="5D763730" w14:textId="77777777" w:rsidR="00B67481" w:rsidRPr="00511005" w:rsidRDefault="00B67481" w:rsidP="003A292D">
      <w:pPr>
        <w:spacing w:line="264" w:lineRule="auto"/>
        <w:ind w:firstLine="564"/>
        <w:rPr>
          <w:rFonts w:ascii="Arial" w:eastAsia="Times New Roman" w:hAnsi="Arial" w:cs="Arial"/>
          <w:szCs w:val="28"/>
          <w:lang w:val="uk-UA" w:eastAsia="uk-UA"/>
        </w:rPr>
      </w:pPr>
    </w:p>
    <w:p w14:paraId="1B3025C0" w14:textId="4D3691E0" w:rsidR="00B67481" w:rsidRPr="00511005" w:rsidRDefault="007B2628" w:rsidP="007B2628">
      <w:pPr>
        <w:spacing w:line="264" w:lineRule="auto"/>
        <w:ind w:firstLine="564"/>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2124ED26" w14:textId="77777777" w:rsidR="00B67481" w:rsidRPr="00511005" w:rsidRDefault="00B67481" w:rsidP="003F6A5D">
      <w:pPr>
        <w:numPr>
          <w:ilvl w:val="0"/>
          <w:numId w:val="226"/>
        </w:numPr>
        <w:spacing w:line="264" w:lineRule="auto"/>
        <w:ind w:left="36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Жалімас Д. Офіційна конституційна доктрина: концепція, значення і основні принципи розвитку. Філософія права і загальна теорія права. 2016. № 1–2. С. 267–280. URL: </w:t>
      </w:r>
      <w:hyperlink r:id="rId874">
        <w:r w:rsidRPr="00511005">
          <w:rPr>
            <w:rFonts w:ascii="Arial" w:eastAsia="Times New Roman" w:hAnsi="Arial" w:cs="Arial"/>
            <w:szCs w:val="28"/>
            <w:lang w:val="uk-UA" w:eastAsia="uk-UA"/>
          </w:rPr>
          <w:t>http://phtl.nlu.edu.ua/article/view/182087</w:t>
        </w:r>
      </w:hyperlink>
      <w:r w:rsidRPr="00511005">
        <w:rPr>
          <w:rFonts w:ascii="Arial" w:eastAsia="Times New Roman" w:hAnsi="Arial" w:cs="Arial"/>
          <w:szCs w:val="28"/>
          <w:lang w:val="uk-UA" w:eastAsia="uk-UA"/>
        </w:rPr>
        <w:t xml:space="preserve"> (дата звернення: 28.04.2025). </w:t>
      </w:r>
    </w:p>
    <w:p w14:paraId="20AA9FB3" w14:textId="64B182E5" w:rsidR="00B67481" w:rsidRPr="00511005" w:rsidRDefault="00B67481" w:rsidP="003F6A5D">
      <w:pPr>
        <w:numPr>
          <w:ilvl w:val="0"/>
          <w:numId w:val="226"/>
        </w:numPr>
        <w:spacing w:line="264" w:lineRule="auto"/>
        <w:ind w:left="360"/>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конституційну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процедуру :</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проект</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Закону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України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від</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21</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груд.</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2020 р. № 4533. URL: </w:t>
      </w:r>
      <w:hyperlink r:id="rId875">
        <w:r w:rsidRPr="00511005">
          <w:rPr>
            <w:rFonts w:ascii="Arial" w:eastAsia="Times New Roman" w:hAnsi="Arial" w:cs="Arial"/>
            <w:szCs w:val="28"/>
            <w:lang w:val="uk-UA" w:eastAsia="uk-UA"/>
          </w:rPr>
          <w:t>http://w1.c1.rada.gov.ua/pls/zweb2/webproc4_1?pf3511=70729</w:t>
        </w:r>
      </w:hyperlink>
      <w:r w:rsidRPr="00511005">
        <w:rPr>
          <w:rFonts w:ascii="Arial" w:eastAsia="Times New Roman" w:hAnsi="Arial" w:cs="Arial"/>
          <w:szCs w:val="28"/>
          <w:lang w:val="uk-UA" w:eastAsia="uk-UA"/>
        </w:rPr>
        <w:t xml:space="preserve"> (дата звернення: 28.04.2025).</w:t>
      </w:r>
    </w:p>
    <w:p w14:paraId="4CBD6826" w14:textId="0672A9CA" w:rsidR="00B67481" w:rsidRPr="00511005" w:rsidRDefault="00B67481" w:rsidP="003F6A5D">
      <w:pPr>
        <w:numPr>
          <w:ilvl w:val="0"/>
          <w:numId w:val="226"/>
        </w:numPr>
        <w:spacing w:line="264" w:lineRule="auto"/>
        <w:ind w:left="360"/>
        <w:jc w:val="left"/>
        <w:rPr>
          <w:rFonts w:ascii="Arial" w:eastAsia="Times New Roman" w:hAnsi="Arial" w:cs="Arial"/>
          <w:szCs w:val="28"/>
          <w:lang w:val="uk-UA" w:eastAsia="uk-UA"/>
        </w:rPr>
      </w:pPr>
      <w:r w:rsidRPr="00511005">
        <w:rPr>
          <w:rFonts w:ascii="Arial" w:eastAsia="Times New Roman" w:hAnsi="Arial" w:cs="Arial"/>
          <w:szCs w:val="28"/>
          <w:lang w:val="uk-UA" w:eastAsia="uk-UA"/>
        </w:rPr>
        <w:t>Висновок</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Венеційської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Комісії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від</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22</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берез.</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2021</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1024/2021.</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URL:</w:t>
      </w:r>
      <w:r w:rsidR="007B2628" w:rsidRPr="00511005">
        <w:rPr>
          <w:rFonts w:ascii="Arial" w:eastAsia="Times New Roman" w:hAnsi="Arial" w:cs="Arial"/>
          <w:szCs w:val="28"/>
          <w:lang w:val="uk-UA" w:eastAsia="uk-UA"/>
        </w:rPr>
        <w:t xml:space="preserve"> </w:t>
      </w:r>
      <w:hyperlink r:id="rId876">
        <w:r w:rsidRPr="00511005">
          <w:rPr>
            <w:rFonts w:ascii="Arial" w:eastAsia="Times New Roman" w:hAnsi="Arial" w:cs="Arial"/>
            <w:szCs w:val="28"/>
            <w:lang w:val="uk-UA" w:eastAsia="uk-UA"/>
          </w:rPr>
          <w:t>https://www.venice.coe.int/webforms/documents/?pdf=CDL-AD(2021)006-e</w:t>
        </w:r>
      </w:hyperlink>
      <w:r w:rsidRPr="00511005">
        <w:rPr>
          <w:rFonts w:ascii="Arial" w:eastAsia="Times New Roman" w:hAnsi="Arial" w:cs="Arial"/>
          <w:szCs w:val="28"/>
          <w:lang w:val="uk-UA" w:eastAsia="uk-UA"/>
        </w:rPr>
        <w:t xml:space="preserve"> (дата звернення: 28.04.2025).</w:t>
      </w:r>
    </w:p>
    <w:p w14:paraId="195156A5" w14:textId="28B32F1B" w:rsidR="00B67481" w:rsidRPr="00511005" w:rsidRDefault="00B67481" w:rsidP="003F6A5D">
      <w:pPr>
        <w:numPr>
          <w:ilvl w:val="0"/>
          <w:numId w:val="226"/>
        </w:numPr>
        <w:spacing w:line="264" w:lineRule="auto"/>
        <w:ind w:left="360"/>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Про Конституційний Суд України: Закон України від 13 лип. 2017 року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 2136-VIII. URL: </w:t>
      </w:r>
      <w:hyperlink r:id="rId877" w:anchor="Text">
        <w:r w:rsidRPr="00511005">
          <w:rPr>
            <w:rFonts w:ascii="Arial" w:eastAsia="Times New Roman" w:hAnsi="Arial" w:cs="Arial"/>
            <w:szCs w:val="28"/>
            <w:lang w:val="uk-UA" w:eastAsia="uk-UA"/>
          </w:rPr>
          <w:t>https://zakon.rada.gov.ua/laws/show/2136-19#Text</w:t>
        </w:r>
      </w:hyperlink>
      <w:r w:rsidRPr="00511005">
        <w:rPr>
          <w:rFonts w:ascii="Arial" w:eastAsia="Times New Roman" w:hAnsi="Arial" w:cs="Arial"/>
          <w:szCs w:val="28"/>
          <w:lang w:val="uk-UA" w:eastAsia="uk-UA"/>
        </w:rPr>
        <w:t xml:space="preserve"> (дата звернення 28.04.2025).</w:t>
      </w:r>
    </w:p>
    <w:p w14:paraId="6075AD70" w14:textId="77777777" w:rsidR="00B67481" w:rsidRPr="00511005" w:rsidRDefault="00B67481" w:rsidP="003A292D">
      <w:pPr>
        <w:spacing w:line="264" w:lineRule="auto"/>
        <w:ind w:left="360" w:firstLine="0"/>
        <w:rPr>
          <w:rFonts w:ascii="Arial" w:eastAsia="Times New Roman" w:hAnsi="Arial" w:cs="Arial"/>
          <w:szCs w:val="28"/>
          <w:lang w:val="uk-UA" w:eastAsia="uk-UA"/>
        </w:rPr>
      </w:pPr>
    </w:p>
    <w:p w14:paraId="1D8B960E" w14:textId="7B2CE4DA" w:rsidR="00B67481" w:rsidRPr="00511005" w:rsidRDefault="007B2628" w:rsidP="003A292D">
      <w:pPr>
        <w:spacing w:line="264" w:lineRule="auto"/>
        <w:ind w:left="357"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i/>
          <w:szCs w:val="28"/>
          <w:lang w:val="uk-UA" w:eastAsia="uk-UA"/>
        </w:rPr>
        <w:t>конституційний процес, правова культура, конституційна доктрина, конституційна демократія, тлумачення, конституційний контроль.</w:t>
      </w:r>
    </w:p>
    <w:p w14:paraId="0F084DF0" w14:textId="3686C349" w:rsidR="00B67481" w:rsidRPr="00511005" w:rsidRDefault="007B2628" w:rsidP="003A292D">
      <w:pPr>
        <w:spacing w:line="264" w:lineRule="auto"/>
        <w:ind w:left="357"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i/>
          <w:szCs w:val="28"/>
          <w:lang w:val="uk-UA" w:eastAsia="uk-UA"/>
        </w:rPr>
        <w:t>constitutional process, legal culture, constitutional doctrine, constitutional democracy, interpretation, constitutional control.</w:t>
      </w:r>
    </w:p>
    <w:p w14:paraId="4CA2A22A" w14:textId="0A4B9B1B" w:rsidR="00B67481" w:rsidRPr="00511005" w:rsidRDefault="007B2628" w:rsidP="003A292D">
      <w:pPr>
        <w:spacing w:line="264" w:lineRule="auto"/>
        <w:ind w:left="360"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B67481" w:rsidRPr="00511005">
        <w:rPr>
          <w:rFonts w:ascii="Arial" w:eastAsia="Times New Roman" w:hAnsi="Arial" w:cs="Arial"/>
          <w:i/>
          <w:szCs w:val="28"/>
          <w:lang w:val="uk-UA" w:eastAsia="uk-UA"/>
        </w:rPr>
        <w:t>к.ю.н., доцент Панасюк В.М.</w:t>
      </w:r>
    </w:p>
    <w:p w14:paraId="16340505" w14:textId="77777777" w:rsidR="00B67481" w:rsidRPr="00511005" w:rsidRDefault="00B67481" w:rsidP="003A292D">
      <w:pPr>
        <w:spacing w:line="264" w:lineRule="auto"/>
        <w:jc w:val="center"/>
        <w:rPr>
          <w:rFonts w:ascii="Arial" w:eastAsia="Times New Roman" w:hAnsi="Arial" w:cs="Arial"/>
          <w:b/>
          <w:i/>
          <w:szCs w:val="28"/>
          <w:lang w:val="uk-UA" w:eastAsia="uk-UA"/>
        </w:rPr>
      </w:pPr>
    </w:p>
    <w:p w14:paraId="64B14989" w14:textId="77777777" w:rsidR="00B67481" w:rsidRPr="00511005" w:rsidRDefault="00B67481" w:rsidP="0071733E">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Кутас Ангеліна Павлівна</w:t>
      </w:r>
    </w:p>
    <w:p w14:paraId="005EF9DF" w14:textId="698C2079" w:rsidR="00B67481" w:rsidRPr="0071733E" w:rsidRDefault="00536AAB" w:rsidP="0071733E">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 xml:space="preserve">студентка 3-го курсу </w:t>
      </w:r>
      <w:r w:rsidR="001B7B25" w:rsidRPr="0071733E">
        <w:rPr>
          <w:rFonts w:ascii="Arial" w:eastAsia="Times New Roman" w:hAnsi="Arial" w:cs="Arial"/>
          <w:iCs/>
          <w:szCs w:val="28"/>
          <w:lang w:val="uk-UA" w:eastAsia="uk-UA"/>
        </w:rPr>
        <w:t>факультету судового та міжнародного права</w:t>
      </w:r>
    </w:p>
    <w:p w14:paraId="56A47F1B" w14:textId="1CF4A273" w:rsidR="00B67481" w:rsidRDefault="007B2628" w:rsidP="0071733E">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p>
    <w:p w14:paraId="7008C774" w14:textId="77777777" w:rsidR="0071733E" w:rsidRPr="0071733E" w:rsidRDefault="0071733E" w:rsidP="0071733E">
      <w:pPr>
        <w:spacing w:line="264" w:lineRule="auto"/>
        <w:ind w:firstLine="0"/>
        <w:jc w:val="center"/>
        <w:rPr>
          <w:rFonts w:ascii="Arial" w:eastAsia="Times New Roman" w:hAnsi="Arial" w:cs="Arial"/>
          <w:b/>
          <w:iCs/>
          <w:smallCaps/>
          <w:szCs w:val="28"/>
          <w:lang w:val="uk-UA" w:eastAsia="uk-UA"/>
        </w:rPr>
      </w:pPr>
    </w:p>
    <w:p w14:paraId="7FAD1742" w14:textId="77777777" w:rsidR="00B67481" w:rsidRPr="00511005" w:rsidRDefault="00B67481" w:rsidP="0071733E">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ПРОБЛЕМИ ВПРОВАДЖЕННЯ ІНСТИТУТУ МНОЖИННОГО ГРОМАДЯНСТВА </w:t>
      </w:r>
    </w:p>
    <w:p w14:paraId="2E622F25"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Воєнний стан став передумовою для еміграції, зміни кількості населення, до того ж в Україні діє розширений список категорій іноземців, які мають право на отримання українського громадянства за спрощеною процедурою, що своєю чергою показує поза відкладну актуальність даної теми, та нагальну потребу врегулювання даного питання на законодавчому рівні. </w:t>
      </w:r>
    </w:p>
    <w:p w14:paraId="07B77523" w14:textId="3C6E463E"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умовах глобалізації та інтенсифікації міграційних процесів подвійне громадянство є об'єктивним феноменом, який існує незалежно від його офіційного визнання з боку окремих держав. Його виникнення є неминучим, що вимагає адаптації правових систем до сучасних реалій міжнародної мобільності. Ігнорування даного явища не</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розв’яже проблему, а навпаки створить передумови для втрати повноцінного контролю над цим феноменом [7].</w:t>
      </w:r>
    </w:p>
    <w:p w14:paraId="24157943"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Гаазька конвенція 1930 року з деяких питань, що стосуються колізії законів про громадянство містить норми, які надають кожній державі право обирати який принцип громадянства буде встановлено з її громадянами, тобто заборона чи прийняття множинного громадянства. Конституція України встановлює принцип єдиного громадянства (ст. 4), що є фундаментальною нормою українського законодавства, але його реалізація потребує удосконалення, бо фактично множинне громадянство існує, оскільки законодавство не передбачає ефективного механізму контролю за отриманням її громадянами паспортів інших країн та позбавлення громадянства у разі набуття іншого. Деякі держави, наприклад, Румунія та Угорщина, активно надають своє громадянство етнічним громадам, що </w:t>
      </w:r>
      <w:r w:rsidRPr="00511005">
        <w:rPr>
          <w:rFonts w:ascii="Arial" w:eastAsia="Times New Roman" w:hAnsi="Arial" w:cs="Arial"/>
          <w:szCs w:val="28"/>
          <w:lang w:val="uk-UA" w:eastAsia="uk-UA"/>
        </w:rPr>
        <w:lastRenderedPageBreak/>
        <w:t xml:space="preserve">проживають в Україні, що ще більше ускладнює дотримання принципу єдиного громадянства [1]. </w:t>
      </w:r>
    </w:p>
    <w:p w14:paraId="66D9C5FF" w14:textId="10AB896C"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Закон України «Про громадянство України» від</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18.01.2001 як деталізує положення основного закону,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так і одночасно суперечить, оскільки не виключає можливості біпатризму, а саме стаття 2 зазначає «якщо громадянин України набув</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громадянство іншої держави або держав, то у правовідносинах з Україною він визнається лише громадянином України. Якщо іноземець набув громадянство України, то у правових</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відносинах з Україною він визнається лише громадянином України». Підставою виникнення колізії цієї норми стала відсутність санкції в законодавчій базі</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України, за порушення одного з основних принципів суверенної держави [3]. </w:t>
      </w:r>
    </w:p>
    <w:p w14:paraId="4B8DAC7D" w14:textId="55C966C8"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Сьомого серпня 2024 року Президентом України було запропоновано та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визначено як невідкладний проєкт Закону України «Про внесення змін до деяких законів України щодо забезпечення реалізації права на набуття та збереження громадянства України» за №11469, того ж дня Верховна Рада України отримує на розгляд текст відповідного законопроєкту.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Сімнадцятого грудня цього року законопроєкт включено до порядку денного та прийнято текст за основу майбутнього закону [2].</w:t>
      </w:r>
    </w:p>
    <w:p w14:paraId="151F23FC" w14:textId="4179E8DE"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пояснювальній записці Президент зазначив нагальну необхідність реформування саме сфери громадянства, однією з причин якої стала демографічна криза в Україні внаслідок збройної агресії Російської Федерації проти України. Зазначимо можливість розв'язати дане питання іншими шляхами, наприклад згідно з офіційними даними Держприкордонслужби, близько 3 мільйонів громадян не повернулися до України за три роки повномасштабної війни. Вважаємо доцільним зацікавити мігрантів в поверненні на територію держави, шляхом створення нових робочих місць та забезпечення стабільності працевлаштування, надання певних пільг, можливостей для особистого розвитку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окремих категорій громадян. Можливим варіантом є надання безоплатної психологічної допомоги на буденному рівні для охочих, яку можна запровадити в формі різноманітних відкритих заходів, які будуть у вільному доступі для всіх хто бажає. Відсутність даних умов та впровадження подвійного громадянства зможе розв'язати питання лише тимчасово, натомість створення стабільних умов для повернення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реальних громадян, надасть змогу більш ефективно розв'язати питання демографічної кризи та втримати даний результат на одному рівні [2]. </w:t>
      </w:r>
    </w:p>
    <w:p w14:paraId="66B43597" w14:textId="53342804"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Біпатризм є потенційним ризиком для України, як і будь-якої іншої держави. Виділимо декілька з багатьох питань, які виникають на практиці у особи з подвійним громадянством, це проходження військової служби, що створює передумову для потенційного ризику зниження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національної безпеки держави, та нелегітимності обов'язку громадянина України, що закріплені в Конституції [4]. </w:t>
      </w:r>
    </w:p>
    <w:p w14:paraId="2A78C0CB" w14:textId="1376207E"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Наступна проблема сплата податків та питання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якій з країн особа зобов’язана вносити сплату? Було б логічно, запропонувати варіант</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пріоритетною обрати країну, в якій біпатрид знаходиться на постійному проживанні, та оскільки поняття громадянства є необмеженим в просторі, тобто перебуваючи на території іншої країни громадянин України, залишається громадянином України, якщо інше не передбачено законом. Також не варто виключати можливість проживання особи на території третьої держави, громадянином якої вона не являється. Цілком відомий факт, що сплата податків є основним джерелом формування державного бюджету, тож чим більше осіб з подвійним громадянством, тим вище ризик появи проблем при формуванні державного бюджету, що своєю чергою загрожує нормальному функціонуванню держави.</w:t>
      </w:r>
    </w:p>
    <w:p w14:paraId="7588E48A" w14:textId="528CD30B"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Ще одним не розв'язаним питанням залишається реалізація біпатридів повною мірою всіх своїх прав, право на захист, виборчого права. В даній ситуації,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виникає підозра саме</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 неупередженості особи, оскільки відсутні гарантії, що біпатрид не буде</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використовувати свої права на користь іншої держави. Питання варто розглянути під час проходження державної служби, однією з вимог займання посади держслужбовця є наявність громадянства України, та про відсутність громадянства інших країн законодавством нічого не передбачено. Своєю чергою це є порушенням принципу політичної неупередженості особи, яка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обіймає посаду, та створює реальну загрозу національній безпеці України [6].</w:t>
      </w:r>
    </w:p>
    <w:p w14:paraId="1FB47633" w14:textId="4A3F4173"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Змога ухилення від юридичної відповідальності біпатридів,</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правопорушнику буде досить просто переховуватися, оскільки перебуваючи на території однієї з держав, громадянином якої являється, відповідна особа перебуває під захистом цієї країни. Це своєю чергою буде ставити під питання ефективність діяльності правоохоронних органів та збільшення випадків правопорушень, що підірве довіру громадян до країни, створить атмосферу небезпеки та безладу в державі. </w:t>
      </w:r>
    </w:p>
    <w:p w14:paraId="692743F0"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Досить великий перелік прогалин існує в законодавстві й запропонований проєкт Закону України «Про внесення змін до деяких законів України щодо забезпечення реалізації права на набуття та збереження громадянства України» за №11469 не здатен розв’язати всі питання. Даний законопроєкт створює колізійні норми й суперечить окремим положенням Основного Закону. Прийняття зазначеного нормативно-правового акту потребує внесення змін до Конституції України, що відповідно до статті 157 Конституція України не може бути змінена в умовах воєнного або надзвичайного стану.</w:t>
      </w:r>
    </w:p>
    <w:p w14:paraId="22663DFC" w14:textId="6BA31460"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Для врегулювання даних колізій варто розв’язати питання виявлення множинного громадянства в особи, можливості його виникнення, одним з рішень є впровадження потенційного реєстру/обліку, в якому зазначатимуться біпатриди, це допоможе зменшити змогу зловживання </w:t>
      </w:r>
      <w:r w:rsidRPr="00511005">
        <w:rPr>
          <w:rFonts w:ascii="Arial" w:eastAsia="Times New Roman" w:hAnsi="Arial" w:cs="Arial"/>
          <w:szCs w:val="28"/>
          <w:lang w:val="uk-UA" w:eastAsia="uk-UA"/>
        </w:rPr>
        <w:lastRenderedPageBreak/>
        <w:t>певними правами та маніпуляції законом. Можливим є впровадження подання щорічної декларації, в якій буде зазначатися наявність такого статусу в особи. Для врегулювання питання виявлення вже наявних біпатридів, варто переглянути можливість підписання міжнародних договорів з відповідними державами, в першу чергу, це прикордонні держави, держави під контролем яких історично перебувала сучасна територія України. Україна є багатонаціональною країною, тож до списку зазначених держав можна віднести, держави національні</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меншини яких знаходяться на території України [7].</w:t>
      </w:r>
    </w:p>
    <w:p w14:paraId="4764A052"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Врегулювання питання біпатризму на законодавчому рівні є актуальним давно, проте прийняття даного законопроєкту не є достатнім, а навпаки створить можливість для появи нових прогалин в законодавстві держави, що може ставити під сумнів ефективність нормативної бази країни в цілому. Впровадження даного інституту потребує більше часу, для вивчення можливих ризиків та шляхів їх подолання.</w:t>
      </w:r>
    </w:p>
    <w:p w14:paraId="7A675755" w14:textId="77777777" w:rsidR="00B67481" w:rsidRPr="00511005" w:rsidRDefault="00B67481" w:rsidP="003A292D">
      <w:pPr>
        <w:shd w:val="clear" w:color="auto" w:fill="FFFFFF"/>
        <w:spacing w:line="264" w:lineRule="auto"/>
        <w:ind w:firstLine="0"/>
        <w:rPr>
          <w:rFonts w:ascii="Arial" w:eastAsia="Times New Roman" w:hAnsi="Arial" w:cs="Arial"/>
          <w:szCs w:val="28"/>
          <w:lang w:val="uk-UA" w:eastAsia="uk-UA"/>
        </w:rPr>
      </w:pPr>
    </w:p>
    <w:p w14:paraId="698E4725" w14:textId="767F4A3C" w:rsidR="00B67481" w:rsidRPr="00511005" w:rsidRDefault="007B2628" w:rsidP="007B2628">
      <w:pPr>
        <w:shd w:val="clear" w:color="auto" w:fill="FFFFFF"/>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r w:rsidR="00B67481" w:rsidRPr="00511005">
        <w:rPr>
          <w:rFonts w:ascii="Arial" w:eastAsia="Times New Roman" w:hAnsi="Arial" w:cs="Arial"/>
          <w:b/>
          <w:szCs w:val="28"/>
          <w:lang w:val="uk-UA" w:eastAsia="uk-UA"/>
        </w:rPr>
        <w:t xml:space="preserve"> </w:t>
      </w:r>
    </w:p>
    <w:p w14:paraId="124C4C9B" w14:textId="77777777" w:rsidR="00B67481" w:rsidRPr="00511005" w:rsidRDefault="00B67481" w:rsidP="003F6A5D">
      <w:pPr>
        <w:numPr>
          <w:ilvl w:val="0"/>
          <w:numId w:val="227"/>
        </w:numPr>
        <w:shd w:val="clear" w:color="auto" w:fill="FFFFFF"/>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Конституція України. Офіційний вебпортал парламенту України. URL: https://zakon.rada.gov.ua/laws/show/254к/96-вр#n4239 (дата звернення: 24.03.2024).</w:t>
      </w:r>
    </w:p>
    <w:p w14:paraId="14239AF2" w14:textId="77777777" w:rsidR="00B67481" w:rsidRPr="00511005" w:rsidRDefault="00B67481" w:rsidP="003F6A5D">
      <w:pPr>
        <w:numPr>
          <w:ilvl w:val="0"/>
          <w:numId w:val="227"/>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Картка законопроекту - Законотворчість. </w:t>
      </w:r>
      <w:r w:rsidRPr="00511005">
        <w:rPr>
          <w:rFonts w:ascii="Arial" w:eastAsia="Times New Roman" w:hAnsi="Arial" w:cs="Arial"/>
          <w:i/>
          <w:szCs w:val="28"/>
          <w:lang w:val="uk-UA" w:eastAsia="uk-UA"/>
        </w:rPr>
        <w:t>Електронний кабінет громадянина</w:t>
      </w:r>
      <w:r w:rsidRPr="00511005">
        <w:rPr>
          <w:rFonts w:ascii="Arial" w:eastAsia="Times New Roman" w:hAnsi="Arial" w:cs="Arial"/>
          <w:szCs w:val="28"/>
          <w:lang w:val="uk-UA" w:eastAsia="uk-UA"/>
        </w:rPr>
        <w:t>. URL: </w:t>
      </w:r>
      <w:hyperlink r:id="rId878">
        <w:r w:rsidRPr="00511005">
          <w:rPr>
            <w:rFonts w:ascii="Arial" w:eastAsia="Times New Roman" w:hAnsi="Arial" w:cs="Arial"/>
            <w:szCs w:val="28"/>
            <w:lang w:val="uk-UA" w:eastAsia="uk-UA"/>
          </w:rPr>
          <w:t>https://itd.rada.gov.ua/billinfo/Bills/Card/44687</w:t>
        </w:r>
      </w:hyperlink>
      <w:r w:rsidRPr="00511005">
        <w:rPr>
          <w:rFonts w:ascii="Arial" w:eastAsia="Times New Roman" w:hAnsi="Arial" w:cs="Arial"/>
          <w:szCs w:val="28"/>
          <w:lang w:val="uk-UA" w:eastAsia="uk-UA"/>
        </w:rPr>
        <w:t> (дата звернення: 06.05.2025).</w:t>
      </w:r>
    </w:p>
    <w:p w14:paraId="34FBF814" w14:textId="77777777" w:rsidR="00B67481" w:rsidRPr="00511005" w:rsidRDefault="00B67481" w:rsidP="003F6A5D">
      <w:pPr>
        <w:numPr>
          <w:ilvl w:val="0"/>
          <w:numId w:val="227"/>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 громадянство України. </w:t>
      </w:r>
      <w:r w:rsidRPr="00511005">
        <w:rPr>
          <w:rFonts w:ascii="Arial" w:eastAsia="Times New Roman" w:hAnsi="Arial" w:cs="Arial"/>
          <w:i/>
          <w:szCs w:val="28"/>
          <w:lang w:val="uk-UA" w:eastAsia="uk-UA"/>
        </w:rPr>
        <w:t>Офіційний вебпортал парламенту України</w:t>
      </w:r>
      <w:r w:rsidRPr="00511005">
        <w:rPr>
          <w:rFonts w:ascii="Arial" w:eastAsia="Times New Roman" w:hAnsi="Arial" w:cs="Arial"/>
          <w:szCs w:val="28"/>
          <w:lang w:val="uk-UA" w:eastAsia="uk-UA"/>
        </w:rPr>
        <w:t>. URL: </w:t>
      </w:r>
      <w:hyperlink r:id="rId879" w:anchor="Text">
        <w:r w:rsidRPr="00511005">
          <w:rPr>
            <w:rFonts w:ascii="Arial" w:eastAsia="Times New Roman" w:hAnsi="Arial" w:cs="Arial"/>
            <w:szCs w:val="28"/>
            <w:lang w:val="uk-UA" w:eastAsia="uk-UA"/>
          </w:rPr>
          <w:t>https://zakon.rada.gov.ua/laws/show/2235-14#Text</w:t>
        </w:r>
      </w:hyperlink>
      <w:r w:rsidRPr="00511005">
        <w:rPr>
          <w:rFonts w:ascii="Arial" w:eastAsia="Times New Roman" w:hAnsi="Arial" w:cs="Arial"/>
          <w:szCs w:val="28"/>
          <w:lang w:val="uk-UA" w:eastAsia="uk-UA"/>
        </w:rPr>
        <w:t> (дата звернення: 06.05.2025).</w:t>
      </w:r>
    </w:p>
    <w:p w14:paraId="4168D9A7" w14:textId="77777777" w:rsidR="00B67481" w:rsidRPr="00511005" w:rsidRDefault="00B67481" w:rsidP="003F6A5D">
      <w:pPr>
        <w:numPr>
          <w:ilvl w:val="0"/>
          <w:numId w:val="227"/>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Пильгун Н., Бузун О. Сутність та особливості громадянства в україні. </w:t>
      </w:r>
      <w:r w:rsidRPr="00511005">
        <w:rPr>
          <w:rFonts w:ascii="Arial" w:eastAsia="Times New Roman" w:hAnsi="Arial" w:cs="Arial"/>
          <w:i/>
          <w:szCs w:val="28"/>
          <w:lang w:val="uk-UA" w:eastAsia="uk-UA"/>
        </w:rPr>
        <w:t>Юридичний вісник</w:t>
      </w:r>
      <w:r w:rsidRPr="00511005">
        <w:rPr>
          <w:rFonts w:ascii="Arial" w:eastAsia="Times New Roman" w:hAnsi="Arial" w:cs="Arial"/>
          <w:szCs w:val="28"/>
          <w:lang w:val="uk-UA" w:eastAsia="uk-UA"/>
        </w:rPr>
        <w:t>. 2016. Т. 1, № 38. С. 47–52.</w:t>
      </w:r>
    </w:p>
    <w:p w14:paraId="6E72B2F5" w14:textId="77777777" w:rsidR="00B67481" w:rsidRPr="00511005" w:rsidRDefault="00B67481" w:rsidP="003F6A5D">
      <w:pPr>
        <w:numPr>
          <w:ilvl w:val="0"/>
          <w:numId w:val="227"/>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Склярова А. В. Розв’язання питання подвійного громадянства країнами-членами європейського союзу. </w:t>
      </w:r>
      <w:r w:rsidRPr="00511005">
        <w:rPr>
          <w:rFonts w:ascii="Arial" w:eastAsia="Times New Roman" w:hAnsi="Arial" w:cs="Arial"/>
          <w:i/>
          <w:szCs w:val="28"/>
          <w:lang w:val="uk-UA" w:eastAsia="uk-UA"/>
        </w:rPr>
        <w:t>«Цілі сталого розвитку в аспекті зміцнення національного та міжнародного правопорядку»</w:t>
      </w:r>
      <w:r w:rsidRPr="00511005">
        <w:rPr>
          <w:rFonts w:ascii="Arial" w:eastAsia="Times New Roman" w:hAnsi="Arial" w:cs="Arial"/>
          <w:szCs w:val="28"/>
          <w:lang w:val="uk-UA" w:eastAsia="uk-UA"/>
        </w:rPr>
        <w:t> : Міжнар. науково-практ. конф., м. Запоріжжя-Львів-Одеса-Ужгород-Харків-Чернівці, 27 жовт. 2023 р. 2023. С. 121–124.</w:t>
      </w:r>
    </w:p>
    <w:p w14:paraId="4148524C" w14:textId="77777777" w:rsidR="00B67481" w:rsidRPr="00511005" w:rsidRDefault="00B67481" w:rsidP="003F6A5D">
      <w:pPr>
        <w:numPr>
          <w:ilvl w:val="0"/>
          <w:numId w:val="227"/>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Сподинський О. О. Конституційно-правові підстави набуття та припинення громадянства в україні та країнах європейського союзу: порівняльний аналіз : дис. … д-ра юрид. наук : 081. Київ, 2021. 214 с.</w:t>
      </w:r>
    </w:p>
    <w:p w14:paraId="0E89F9AA" w14:textId="77777777" w:rsidR="00B67481" w:rsidRPr="00511005" w:rsidRDefault="00B67481" w:rsidP="003F6A5D">
      <w:pPr>
        <w:numPr>
          <w:ilvl w:val="0"/>
          <w:numId w:val="227"/>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Ткаченко О. М. Сучасні виклики легалізації правового інституту множинного громадянства в україні. </w:t>
      </w:r>
      <w:r w:rsidRPr="00511005">
        <w:rPr>
          <w:rFonts w:ascii="Arial" w:eastAsia="Times New Roman" w:hAnsi="Arial" w:cs="Arial"/>
          <w:i/>
          <w:szCs w:val="28"/>
          <w:lang w:val="uk-UA" w:eastAsia="uk-UA"/>
        </w:rPr>
        <w:t>Сумський національний аграрний університет</w:t>
      </w:r>
      <w:r w:rsidRPr="00511005">
        <w:rPr>
          <w:rFonts w:ascii="Arial" w:eastAsia="Times New Roman" w:hAnsi="Arial" w:cs="Arial"/>
          <w:szCs w:val="28"/>
          <w:lang w:val="uk-UA" w:eastAsia="uk-UA"/>
        </w:rPr>
        <w:t>. 2023. С. 1–25.</w:t>
      </w:r>
    </w:p>
    <w:p w14:paraId="5E3BB03E" w14:textId="77777777" w:rsidR="00B67481" w:rsidRPr="00511005" w:rsidRDefault="00B67481" w:rsidP="003A292D">
      <w:pPr>
        <w:spacing w:line="264" w:lineRule="auto"/>
        <w:ind w:firstLine="0"/>
        <w:rPr>
          <w:rFonts w:ascii="Arial" w:eastAsia="Times New Roman" w:hAnsi="Arial" w:cs="Arial"/>
          <w:szCs w:val="28"/>
          <w:lang w:val="uk-UA" w:eastAsia="uk-UA"/>
        </w:rPr>
      </w:pPr>
    </w:p>
    <w:p w14:paraId="32E53149" w14:textId="36B1345C" w:rsidR="00B67481" w:rsidRPr="00511005" w:rsidRDefault="007B2628" w:rsidP="003A292D">
      <w:pPr>
        <w:spacing w:line="264" w:lineRule="auto"/>
        <w:ind w:firstLine="0"/>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i/>
          <w:szCs w:val="28"/>
          <w:lang w:val="uk-UA" w:eastAsia="uk-UA"/>
        </w:rPr>
        <w:t>громадянство,</w:t>
      </w:r>
      <w:r w:rsidRPr="00511005">
        <w:rPr>
          <w:rFonts w:ascii="Arial" w:eastAsia="Times New Roman" w:hAnsi="Arial" w:cs="Arial"/>
          <w:i/>
          <w:szCs w:val="28"/>
          <w:lang w:val="uk-UA" w:eastAsia="uk-UA"/>
        </w:rPr>
        <w:t xml:space="preserve"> </w:t>
      </w:r>
      <w:r w:rsidR="00B67481" w:rsidRPr="00511005">
        <w:rPr>
          <w:rFonts w:ascii="Arial" w:eastAsia="Times New Roman" w:hAnsi="Arial" w:cs="Arial"/>
          <w:i/>
          <w:szCs w:val="28"/>
          <w:lang w:val="uk-UA" w:eastAsia="uk-UA"/>
        </w:rPr>
        <w:t>біпатризм, демографічна криза, національна безпека, принцип єдиного громадянства, колізія норм.</w:t>
      </w:r>
    </w:p>
    <w:p w14:paraId="1DA0938A" w14:textId="5792A336" w:rsidR="00B67481" w:rsidRPr="00511005" w:rsidRDefault="007B2628" w:rsidP="003A292D">
      <w:pPr>
        <w:spacing w:line="264" w:lineRule="auto"/>
        <w:ind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lastRenderedPageBreak/>
        <w:t xml:space="preserve">Key words: </w:t>
      </w:r>
      <w:r w:rsidR="00B67481" w:rsidRPr="00511005">
        <w:rPr>
          <w:rFonts w:ascii="Arial" w:eastAsia="Times New Roman" w:hAnsi="Arial" w:cs="Arial"/>
          <w:i/>
          <w:szCs w:val="28"/>
          <w:lang w:val="uk-UA" w:eastAsia="uk-UA"/>
        </w:rPr>
        <w:t>citizenship, bipatrism, demographic crisis, national security, principle of single citizenship, conflict of norms.</w:t>
      </w:r>
    </w:p>
    <w:p w14:paraId="3448DCB1" w14:textId="4797204A" w:rsidR="00B67481" w:rsidRPr="00511005" w:rsidRDefault="00B67481" w:rsidP="003A292D">
      <w:pPr>
        <w:spacing w:line="264" w:lineRule="auto"/>
        <w:ind w:firstLine="0"/>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Науковий керівник</w:t>
      </w:r>
      <w:r w:rsidR="0071733E">
        <w:rPr>
          <w:rFonts w:ascii="Arial" w:eastAsia="Times New Roman" w:hAnsi="Arial" w:cs="Arial"/>
          <w:b/>
          <w:i/>
          <w:szCs w:val="28"/>
          <w:lang w:val="uk-UA" w:eastAsia="uk-UA"/>
        </w:rPr>
        <w:t>:</w:t>
      </w:r>
      <w:r w:rsidRPr="00511005">
        <w:rPr>
          <w:rFonts w:ascii="Arial" w:eastAsia="Times New Roman" w:hAnsi="Arial" w:cs="Arial"/>
          <w:i/>
          <w:szCs w:val="28"/>
          <w:lang w:val="uk-UA" w:eastAsia="uk-UA"/>
        </w:rPr>
        <w:t xml:space="preserve"> к.ю.н., доцент</w:t>
      </w:r>
      <w:r w:rsidR="007B2628" w:rsidRPr="00511005">
        <w:rPr>
          <w:rFonts w:ascii="Arial" w:eastAsia="Times New Roman" w:hAnsi="Arial" w:cs="Arial"/>
          <w:i/>
          <w:szCs w:val="28"/>
          <w:lang w:val="uk-UA" w:eastAsia="uk-UA"/>
        </w:rPr>
        <w:t xml:space="preserve"> </w:t>
      </w:r>
      <w:r w:rsidRPr="00511005">
        <w:rPr>
          <w:rFonts w:ascii="Arial" w:eastAsia="Times New Roman" w:hAnsi="Arial" w:cs="Arial"/>
          <w:i/>
          <w:szCs w:val="28"/>
          <w:lang w:val="uk-UA" w:eastAsia="uk-UA"/>
        </w:rPr>
        <w:t>кафедри Панасюк В.М.</w:t>
      </w:r>
    </w:p>
    <w:p w14:paraId="6A4737AF" w14:textId="77777777" w:rsidR="00B67481" w:rsidRPr="00511005" w:rsidRDefault="00B67481" w:rsidP="003A292D">
      <w:pPr>
        <w:spacing w:line="264" w:lineRule="auto"/>
        <w:ind w:firstLine="0"/>
        <w:jc w:val="left"/>
        <w:rPr>
          <w:rFonts w:ascii="Arial" w:eastAsia="Times New Roman" w:hAnsi="Arial" w:cs="Arial"/>
          <w:szCs w:val="28"/>
          <w:lang w:val="uk-UA" w:eastAsia="uk-UA"/>
        </w:rPr>
      </w:pPr>
    </w:p>
    <w:p w14:paraId="4930160E" w14:textId="77777777" w:rsidR="00B67481" w:rsidRPr="00511005" w:rsidRDefault="00B67481" w:rsidP="003A292D">
      <w:pPr>
        <w:spacing w:line="264" w:lineRule="auto"/>
        <w:ind w:firstLine="567"/>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Лисенко Олександр Юрійович</w:t>
      </w:r>
    </w:p>
    <w:p w14:paraId="54CAFCFD" w14:textId="44926D68" w:rsidR="00B67481" w:rsidRPr="0071733E" w:rsidRDefault="00536AAB" w:rsidP="003A292D">
      <w:pPr>
        <w:spacing w:line="264" w:lineRule="auto"/>
        <w:ind w:firstLine="567"/>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 xml:space="preserve">студент 2-го курсу </w:t>
      </w:r>
      <w:r w:rsidR="001B7B25" w:rsidRPr="0071733E">
        <w:rPr>
          <w:rFonts w:ascii="Arial" w:eastAsia="Times New Roman" w:hAnsi="Arial" w:cs="Arial"/>
          <w:iCs/>
          <w:szCs w:val="28"/>
          <w:lang w:val="uk-UA" w:eastAsia="uk-UA"/>
        </w:rPr>
        <w:t>факультету судового та міжнародного права</w:t>
      </w:r>
    </w:p>
    <w:p w14:paraId="0A5850F4" w14:textId="3164F9E6" w:rsidR="00B67481" w:rsidRPr="0071733E" w:rsidRDefault="007B2628" w:rsidP="003A292D">
      <w:pPr>
        <w:spacing w:line="264" w:lineRule="auto"/>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p>
    <w:p w14:paraId="79264859" w14:textId="77777777" w:rsidR="00B67481" w:rsidRPr="00511005" w:rsidRDefault="00B67481" w:rsidP="003A292D">
      <w:pPr>
        <w:spacing w:line="264" w:lineRule="auto"/>
        <w:ind w:firstLine="567"/>
        <w:jc w:val="center"/>
        <w:rPr>
          <w:rFonts w:ascii="Arial" w:eastAsia="Times New Roman" w:hAnsi="Arial" w:cs="Arial"/>
          <w:i/>
          <w:szCs w:val="28"/>
          <w:lang w:val="uk-UA" w:eastAsia="uk-UA"/>
        </w:rPr>
      </w:pPr>
    </w:p>
    <w:p w14:paraId="4CB288E0" w14:textId="77777777" w:rsidR="00B67481" w:rsidRPr="00511005" w:rsidRDefault="00B67481" w:rsidP="003A292D">
      <w:pPr>
        <w:spacing w:line="264" w:lineRule="auto"/>
        <w:ind w:left="567" w:right="567" w:firstLine="567"/>
        <w:jc w:val="center"/>
        <w:rPr>
          <w:rFonts w:ascii="Arial" w:eastAsia="Times New Roman" w:hAnsi="Arial" w:cs="Arial"/>
          <w:b/>
          <w:szCs w:val="28"/>
          <w:lang w:val="uk-UA" w:eastAsia="uk-UA"/>
        </w:rPr>
      </w:pPr>
      <w:bookmarkStart w:id="102" w:name="_heading=h.4d37ht5w4g7" w:colFirst="0" w:colLast="0"/>
      <w:bookmarkEnd w:id="102"/>
      <w:r w:rsidRPr="00511005">
        <w:rPr>
          <w:rFonts w:ascii="Arial" w:eastAsia="Times New Roman" w:hAnsi="Arial" w:cs="Arial"/>
          <w:b/>
          <w:szCs w:val="28"/>
          <w:lang w:val="uk-UA" w:eastAsia="uk-UA"/>
        </w:rPr>
        <w:t>КОНСТИТУЦІЙНИЙ СУД ЯК ОРГАН КОНСТИТУЦІЙНОЇ ЮСТИЦІЇ В УКРАЇНІ</w:t>
      </w:r>
    </w:p>
    <w:p w14:paraId="5C940039" w14:textId="2C27504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Конституційний Суд України займає особливе місце в системі судоустрою</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України, оскільки суд є єдиним органом конституційної юрисдикції. Зараз Україна перебуває на шляху до вступу до Європейського Союзу, саме тому реформування системи правосуддя є актуальним. Конституційний Суд України є єдиним органом правового захисту Конституції. Під правовим захистом Конституції слід розуміти таку діяльність Конституційного Суду як вирішення питань щодо відповідності законів та інших правових актів Конституції України і офіційного тлумачення Конституції. Таким чином, Конституційний Суд України виступає одним з головних суб’єктів організаційно-правового захисту </w:t>
      </w:r>
    </w:p>
    <w:p w14:paraId="34D96226" w14:textId="77777777" w:rsidR="00B67481"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Конституції України. </w:t>
      </w:r>
    </w:p>
    <w:p w14:paraId="129724AC" w14:textId="41150DD6"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Відповідно до ст. 147 Конституції України, Конституційний Суд України вирішує питання про відповідність Конституції України законів України та у передбачених цією Конституцією випадках інших актів, здійснює офіційне тлумачення Конституції України [1]. Таким чином, Конституційний Суд наділений винятковими повноваженнями що закріплені в ст. 150 Конституції. Варто зазначити що рішення Конституційного Суду є обов’язковими для всіх суб’єктів державної влади та не можуть бути оскаржені. Статтею 152</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Конституції визначено що закони та інші акти за рішенням Конституційного Суду України визнаються неконституційними повністю чи в окремій частині, якщо вони не відповідають Конституції України або якщо була порушена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встановлена Конституцією України процедура їх розгляду, ухвалення або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набрання ними чинності. Так, наприклад в Рішенні Конституційного Суду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України від 27 жовтня 2020 року № 13-р/2020 були визнані неконституційними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деякі положення Закону України «Про запобігання корупції» [2]. Таким чином, ухвалюючи рішення про визнання закону або іншого акту таким що не відповідає Конституції має наслідком втрату чинності даного закону чи інших актів і є ефективним механізмом захисту конституційного ладу, охорони Конституції та утвердження верховенства права в державі. </w:t>
      </w:r>
    </w:p>
    <w:p w14:paraId="4B669E4B"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Однією з ключових функцій Конституційного Суду України є здійснення конституційного контролю, який реалізується шляхом провадження в </w:t>
      </w:r>
      <w:r w:rsidRPr="00511005">
        <w:rPr>
          <w:rFonts w:ascii="Arial" w:eastAsia="Times New Roman" w:hAnsi="Arial" w:cs="Arial"/>
          <w:szCs w:val="28"/>
          <w:lang w:val="uk-UA" w:eastAsia="uk-UA"/>
        </w:rPr>
        <w:lastRenderedPageBreak/>
        <w:t xml:space="preserve">справах конституційного судочинства. У цьому процесі Суд перевіряє відповідність положень нормативно-правових актів, прийнятих Верховною Радою України, Президентом України, Кабінетом Міністрів України, а також органами влади Автономної Республіки Крим, положенням Конституції України. Виконуючи завдання щодо охорони положень Основного Закону, Конституційний Суд діє в межах своїх повноважень, визначених Конституцією та чинним законодавством, здійснюючи юридичну оцінку законів та інших актів на предмет їхньої конституційності, а також надаючи офіційне тлумачення Конституції та законів України. Завдяки цьому Суд запобігає порушенням конституційних норм і забезпечує усунення з правового поля актів, які не відповідають Основному Закону держави. </w:t>
      </w:r>
    </w:p>
    <w:p w14:paraId="3AD38BD9"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Таким чином, Конституційний Суд України є єдиним органом у системі конституційного судочинства, водночас виступаючи гарантом дотримання Конституції, захисту конституційних прав людини і громадянина. Унікальним в світовій практиці конституційного судочинства є те, що ст. 151-1 Конституції України передбачена можливість громадян звертатись з конституційною скаргою якщо всі інші засоби національного юридичного захисту було вичерпано. Дана умова є практичною реалізацією норм Конституції, які є нормами прямої дії, тобто розповсюджуються на всіх громадян України. Це підтверджується Рішенням Конституційного Суду України від 8 вересня 2016 року № 6-рп/2016 в якому зазначено, що норми Конституції застосовуються безпосередньо [3]. </w:t>
      </w:r>
    </w:p>
    <w:p w14:paraId="60A8CD2F" w14:textId="77777777" w:rsidR="00B67481" w:rsidRPr="00511005" w:rsidRDefault="00B67481"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Зокрема, на думку А.О. Селіванова конституційну юрисдикцію слід </w:t>
      </w:r>
    </w:p>
    <w:p w14:paraId="46D47D9C" w14:textId="492140C8" w:rsidR="00B67481"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розуміти як встановлену Конституцією та законами України систему суб’єктів, дій, способів та засобів, рішень та процесуальних актів, що в сукупності впливають один на одного юридичними зв’язками як результат конституційного судочинства з приводу досягнення правових результатів у застосуванні норм Конституції з метою дотримання і утвердження принципу верховенства права [4]. Відповідно до ст. 50 Закону України «Про Конституційний Суд України», існує 3 форми звернення до суд, а саме конституційне подання, конституційне звернення та конституційна скарга. Розглянувши відповідні звернення, Суд ухвалює рішення, надає висновки, постановляє ухвали, видає забезпечувальні накази [5]. Варто зазначити, що на нашу думку всі суди загальної юрисдикції здійснюють охорону Конституції як основного закону держави. Це підтверджує ч.6 ст.10 Цивільного процесуального кодексу України в якій зазначено, що якщо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суд доходить висновку що закон чи інший правовий акт суперечать Конституції,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то суд має право застосувати норми Конституції як норми прямої дії [6]. Однак, функції визнання законів та інших правових актів та офіційне тлумачення норм Конституції може здійснювати лише Конституційний Суд України. Дана умова зумовлює особливе місце Конституційного Суду України в системі судоустрою що визначає його як єдиний орган конституційної юстиції.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Таким </w:t>
      </w:r>
      <w:r w:rsidRPr="00511005">
        <w:rPr>
          <w:rFonts w:ascii="Arial" w:eastAsia="Times New Roman" w:hAnsi="Arial" w:cs="Arial"/>
          <w:szCs w:val="28"/>
          <w:lang w:val="uk-UA" w:eastAsia="uk-UA"/>
        </w:rPr>
        <w:lastRenderedPageBreak/>
        <w:t xml:space="preserve">чином, Конституційний Суд реалізовуючи покладені на нього Конституцією повноваження, водночас здійснює конституційний контроль за діяльністю вищих органів державної влади. Також слід зазначити, що здійснення функції конституційного контролю є умовою гарантування існуючого конституційного ладу. Зокрема, Водянніков О. зазначає, що «Конституційний Суд був виведений із системи судочинства і поставлений над всіма трьома гілками влади. Конституційний Суд - це такий арбітр, який має захищати Конституцію, це його головна функція в конституційній демократії» [7]. Конституційний Суд України виступаючи як основний орган конституційної юрисдикції є гарантом збереження існуючого конституційного ладу. Дана функція Конституційного Суду є надзвичайно важливою і на сьогоднішній день, оскільки виключає можливість повалення конституційного ладу насильницьким шляхом і водночас виступає гарантом дотримання Конституції України як основного закону держави, гарантом захисту конституційних прав людини і громадянина. </w:t>
      </w:r>
    </w:p>
    <w:p w14:paraId="43DB34EF" w14:textId="77777777" w:rsidR="0071733E" w:rsidRDefault="00B67481" w:rsidP="0071733E">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Таким чином, Конституційний Суд України є єдиним органом конституційної юстиції, якому належать виняткові повноваження щодо вирішення питань щодо відповідності законів чи інших правових актів Конституції України, а також офіційного тлумачення норм Конституції щодо яких суд приймає рішення які є обов’язковими і не підлягають оскарженню. </w:t>
      </w:r>
    </w:p>
    <w:p w14:paraId="44BF9540" w14:textId="31A28BD5" w:rsidR="00B67481" w:rsidRPr="0071733E" w:rsidRDefault="0071733E" w:rsidP="0071733E">
      <w:pPr>
        <w:spacing w:line="264" w:lineRule="auto"/>
        <w:ind w:firstLine="720"/>
        <w:rPr>
          <w:rFonts w:ascii="Arial" w:eastAsia="Times New Roman" w:hAnsi="Arial" w:cs="Arial"/>
          <w:szCs w:val="28"/>
          <w:lang w:val="uk-UA" w:eastAsia="uk-UA"/>
        </w:rPr>
      </w:pPr>
      <w:r>
        <w:rPr>
          <w:rFonts w:ascii="Arial" w:eastAsia="Times New Roman" w:hAnsi="Arial" w:cs="Arial"/>
          <w:szCs w:val="28"/>
          <w:lang w:val="uk-UA" w:eastAsia="uk-UA"/>
        </w:rPr>
        <w:t>З</w:t>
      </w:r>
      <w:r w:rsidR="00B67481" w:rsidRPr="00511005">
        <w:rPr>
          <w:rFonts w:ascii="Arial" w:eastAsia="Times New Roman" w:hAnsi="Arial" w:cs="Arial"/>
          <w:szCs w:val="28"/>
          <w:lang w:val="uk-UA" w:eastAsia="uk-UA"/>
        </w:rPr>
        <w:t>аконодавцем була визначена і функція захисту конституційних прав і свобод людини та громадянина, яка зокрема передбачає звернення громадян у формі конституційної скарги до Конституційного Суду України. Дана функція є унікальною в світовій практиці конституційної юстиції, оскільки передбачає пряме звернення громадян до вищого органу конституційної юрисдикції на підставі норм Конституції. Відповідно, Конституційний Суд України є єдиним органом конституційної юстиції на який покладені специфічні повноваження, зокрема, здійснюючи правовий захист Конституції, суд здійснює і функцію конституційного контролю, основна мета якого забезпечувати верховенство Конституції, дотримання Конституції всіма органами державної влади та забезпечення збереження існуючого конституційного ладу.</w:t>
      </w:r>
      <w:r w:rsidR="007B2628" w:rsidRPr="00511005">
        <w:rPr>
          <w:rFonts w:ascii="Arial" w:eastAsia="Times New Roman" w:hAnsi="Arial" w:cs="Arial"/>
          <w:b/>
          <w:szCs w:val="28"/>
          <w:lang w:val="uk-UA" w:eastAsia="uk-UA"/>
        </w:rPr>
        <w:t xml:space="preserve"> </w:t>
      </w:r>
    </w:p>
    <w:p w14:paraId="426F83B4" w14:textId="77777777" w:rsidR="007B2628" w:rsidRPr="00511005" w:rsidRDefault="007B2628" w:rsidP="003A292D">
      <w:pPr>
        <w:spacing w:line="264" w:lineRule="auto"/>
        <w:ind w:firstLine="0"/>
        <w:jc w:val="center"/>
        <w:rPr>
          <w:rFonts w:ascii="Arial" w:eastAsia="Times New Roman" w:hAnsi="Arial" w:cs="Arial"/>
          <w:b/>
          <w:szCs w:val="28"/>
          <w:lang w:val="uk-UA" w:eastAsia="uk-UA"/>
        </w:rPr>
      </w:pPr>
    </w:p>
    <w:p w14:paraId="5B90035D" w14:textId="4D68A42F" w:rsidR="00B67481" w:rsidRPr="00511005" w:rsidRDefault="00B67481"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Списoк викoристaних джeрeл</w:t>
      </w:r>
    </w:p>
    <w:p w14:paraId="3EDDFBF9" w14:textId="77777777" w:rsidR="00B67481" w:rsidRPr="00511005" w:rsidRDefault="00B67481" w:rsidP="003A292D">
      <w:pPr>
        <w:spacing w:line="264" w:lineRule="auto"/>
        <w:ind w:firstLine="567"/>
        <w:rPr>
          <w:rFonts w:ascii="Arial" w:eastAsia="Times New Roman" w:hAnsi="Arial" w:cs="Arial"/>
          <w:szCs w:val="28"/>
          <w:lang w:val="uk-UA" w:eastAsia="uk-UA"/>
        </w:rPr>
      </w:pPr>
      <w:bookmarkStart w:id="103" w:name="_heading=h.fnloosfq6ha8" w:colFirst="0" w:colLast="0"/>
      <w:bookmarkEnd w:id="103"/>
      <w:r w:rsidRPr="00511005">
        <w:rPr>
          <w:rFonts w:ascii="Arial" w:eastAsia="Times New Roman" w:hAnsi="Arial" w:cs="Arial"/>
          <w:szCs w:val="28"/>
          <w:lang w:val="uk-UA" w:eastAsia="uk-UA"/>
        </w:rPr>
        <w:t xml:space="preserve">1. </w:t>
      </w:r>
      <w:bookmarkStart w:id="104" w:name="bookmark=kix.anqfai3qr5cj" w:colFirst="0" w:colLast="0"/>
      <w:bookmarkEnd w:id="104"/>
      <w:r w:rsidRPr="00511005">
        <w:rPr>
          <w:rFonts w:ascii="Arial" w:eastAsia="Times New Roman" w:hAnsi="Arial" w:cs="Arial"/>
          <w:szCs w:val="28"/>
          <w:lang w:val="uk-UA" w:eastAsia="uk-UA"/>
        </w:rPr>
        <w:t>Конституція України [Електронний ресурс] // Відомості Верховної Ради України (ВВР). – 1996. – № 30. – с. 141. – Режим доступу: http://zakon5.rada.gov.ua/laws/show/254%D0%BA/96-%D0%B2%D1%80.</w:t>
      </w:r>
    </w:p>
    <w:p w14:paraId="65185C97" w14:textId="77777777" w:rsidR="00B67481" w:rsidRPr="00511005" w:rsidRDefault="00B67481"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Рішення Конституційного Суду України від 27 жовтня 2020 року № 13-р/2020 [Електронний ресурс] / Конституційний Суд України – Режим доступу: https://ccu.gov.ua/dokument/13-r2020. </w:t>
      </w:r>
    </w:p>
    <w:p w14:paraId="72A50497" w14:textId="55B435FF" w:rsidR="00B67481" w:rsidRPr="00511005" w:rsidRDefault="00B67481" w:rsidP="003A292D">
      <w:pPr>
        <w:spacing w:line="264" w:lineRule="auto"/>
        <w:ind w:firstLine="567"/>
        <w:rPr>
          <w:rFonts w:ascii="Arial" w:eastAsia="Times New Roman" w:hAnsi="Arial" w:cs="Arial"/>
          <w:szCs w:val="28"/>
          <w:lang w:val="uk-UA" w:eastAsia="uk-UA"/>
        </w:rPr>
      </w:pPr>
      <w:bookmarkStart w:id="105" w:name="_heading=h.83ozp6kovrgi" w:colFirst="0" w:colLast="0"/>
      <w:bookmarkEnd w:id="105"/>
      <w:r w:rsidRPr="00511005">
        <w:rPr>
          <w:rFonts w:ascii="Arial" w:eastAsia="Times New Roman" w:hAnsi="Arial" w:cs="Arial"/>
          <w:szCs w:val="28"/>
          <w:lang w:val="uk-UA" w:eastAsia="uk-UA"/>
        </w:rPr>
        <w:lastRenderedPageBreak/>
        <w:t>3. Рішення Конституційного Суду України від 8 вересня 2016 року № 6-рп/2016 [Електронний ресурс] / Конституційний Суд України – Режим доступу: https://ccu.gov.ua/docs/1924.</w:t>
      </w:r>
      <w:r w:rsidR="007B2628" w:rsidRPr="00511005">
        <w:rPr>
          <w:rFonts w:ascii="Arial" w:eastAsia="Times New Roman" w:hAnsi="Arial" w:cs="Arial"/>
          <w:szCs w:val="28"/>
          <w:lang w:val="uk-UA" w:eastAsia="uk-UA"/>
        </w:rPr>
        <w:t xml:space="preserve"> </w:t>
      </w:r>
    </w:p>
    <w:p w14:paraId="1BD0CEDC" w14:textId="77777777" w:rsidR="007B2628" w:rsidRPr="00511005" w:rsidRDefault="00B67481" w:rsidP="003A292D">
      <w:pPr>
        <w:spacing w:line="264" w:lineRule="auto"/>
        <w:ind w:firstLine="567"/>
        <w:rPr>
          <w:rFonts w:ascii="Arial" w:eastAsia="Times New Roman" w:hAnsi="Arial" w:cs="Arial"/>
          <w:szCs w:val="28"/>
          <w:lang w:val="uk-UA" w:eastAsia="uk-UA"/>
        </w:rPr>
      </w:pPr>
      <w:bookmarkStart w:id="106" w:name="_heading=h.ni6hchjnm3dt" w:colFirst="0" w:colLast="0"/>
      <w:bookmarkEnd w:id="106"/>
      <w:r w:rsidRPr="00511005">
        <w:rPr>
          <w:rFonts w:ascii="Arial" w:eastAsia="Times New Roman" w:hAnsi="Arial" w:cs="Arial"/>
          <w:szCs w:val="28"/>
          <w:lang w:val="uk-UA" w:eastAsia="uk-UA"/>
        </w:rPr>
        <w:t>4. Селіванов А. О. Конституційна юрисдикція: поняття зміст, принцип верховенства права, правові позиції по справах прав людини і конституційних конфліктів у сфері публічної влади. К.: Вид. Дім «Ін Юре», 2008. 120 с.</w:t>
      </w:r>
    </w:p>
    <w:p w14:paraId="73B550DF" w14:textId="77777777" w:rsidR="007B2628"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5. Про Конституційний Суд України: Закон України від 13 лип. 2017 р.</w:t>
      </w:r>
      <w:r w:rsidRPr="00511005">
        <w:rPr>
          <w:rFonts w:ascii="Arial" w:eastAsia="Times New Roman" w:hAnsi="Arial" w:cs="Arial"/>
          <w:szCs w:val="28"/>
          <w:shd w:val="clear" w:color="auto" w:fill="F7F7F7"/>
          <w:lang w:val="uk-UA" w:eastAsia="uk-UA"/>
        </w:rPr>
        <w:t xml:space="preserve"> № </w:t>
      </w:r>
      <w:r w:rsidRPr="00511005">
        <w:rPr>
          <w:rFonts w:ascii="Arial" w:eastAsia="Times New Roman" w:hAnsi="Arial" w:cs="Arial"/>
          <w:szCs w:val="28"/>
          <w:lang w:val="uk-UA" w:eastAsia="uk-UA"/>
        </w:rPr>
        <w:t xml:space="preserve">2136-VIII [Електронний ресурс] / Верховна Рада України – Режим доступу: </w:t>
      </w:r>
      <w:hyperlink r:id="rId880" w:anchor="Text">
        <w:r w:rsidRPr="00511005">
          <w:rPr>
            <w:rFonts w:ascii="Arial" w:eastAsia="Times New Roman" w:hAnsi="Arial" w:cs="Arial"/>
            <w:szCs w:val="28"/>
            <w:lang w:val="uk-UA" w:eastAsia="uk-UA"/>
          </w:rPr>
          <w:t>https://zakon.rada.gov.ua/laws/show/2136-19#Text</w:t>
        </w:r>
      </w:hyperlink>
      <w:r w:rsidRPr="00511005">
        <w:rPr>
          <w:rFonts w:ascii="Arial" w:eastAsia="Times New Roman" w:hAnsi="Arial" w:cs="Arial"/>
          <w:szCs w:val="28"/>
          <w:lang w:val="uk-UA" w:eastAsia="uk-UA"/>
        </w:rPr>
        <w:t>.</w:t>
      </w:r>
    </w:p>
    <w:p w14:paraId="40320D7D" w14:textId="77777777" w:rsidR="007B2628"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6. Цивільний процесуальний кодекс України: Закон України від 18 березня 2004 р. № 1618-IV [Електронний ресурс] / Верховна Рада України – Режим доступу: https://zakon.rada.gov.ua/laws/show/1618-15#Text.</w:t>
      </w:r>
    </w:p>
    <w:p w14:paraId="34535642" w14:textId="77777777" w:rsidR="007B2628" w:rsidRPr="00511005" w:rsidRDefault="00B67481"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7. Водянніков О. Ю. Відчиняючи двері Конституційного Суду: конституційна скарга як нова можливість захисту конституційних прав. URL: </w:t>
      </w:r>
      <w:hyperlink r:id="rId881">
        <w:r w:rsidRPr="00511005">
          <w:rPr>
            <w:rFonts w:ascii="Arial" w:eastAsia="Times New Roman" w:hAnsi="Arial" w:cs="Arial"/>
            <w:szCs w:val="28"/>
            <w:lang w:val="uk-UA" w:eastAsia="uk-UA"/>
          </w:rPr>
          <w:t>https://ukr.lb.ua/blog/oleksandr_vodennikov/371421_vidchinyayuchi_dveri_ konstitutsiynogo.html</w:t>
        </w:r>
      </w:hyperlink>
      <w:r w:rsidRPr="00511005">
        <w:rPr>
          <w:rFonts w:ascii="Arial" w:eastAsia="Times New Roman" w:hAnsi="Arial" w:cs="Arial"/>
          <w:szCs w:val="28"/>
          <w:lang w:val="uk-UA" w:eastAsia="uk-UA"/>
        </w:rPr>
        <w:t>.</w:t>
      </w:r>
    </w:p>
    <w:p w14:paraId="731AD7AA" w14:textId="5B3C5345" w:rsidR="00B67481" w:rsidRPr="00511005" w:rsidRDefault="00B67481" w:rsidP="003A292D">
      <w:pPr>
        <w:spacing w:line="264" w:lineRule="auto"/>
        <w:ind w:firstLine="567"/>
        <w:rPr>
          <w:rFonts w:ascii="Arial" w:eastAsia="Times New Roman" w:hAnsi="Arial" w:cs="Arial"/>
          <w:szCs w:val="28"/>
          <w:lang w:val="uk-UA" w:eastAsia="uk-UA"/>
        </w:rPr>
      </w:pPr>
    </w:p>
    <w:p w14:paraId="67D084A0" w14:textId="7742951B" w:rsidR="00B67481" w:rsidRPr="00511005" w:rsidRDefault="007B2628" w:rsidP="003A292D">
      <w:pPr>
        <w:spacing w:line="264" w:lineRule="auto"/>
        <w:ind w:firstLine="0"/>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i/>
          <w:szCs w:val="28"/>
          <w:lang w:val="uk-UA" w:eastAsia="uk-UA"/>
        </w:rPr>
        <w:t>Конституційний суд, конституційна юстиція.</w:t>
      </w:r>
    </w:p>
    <w:p w14:paraId="457CCF4F" w14:textId="2DF34DF2" w:rsidR="00B67481"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i/>
          <w:szCs w:val="28"/>
          <w:lang w:val="uk-UA" w:eastAsia="uk-UA"/>
        </w:rPr>
        <w:t>Constitutional Court, constitutional justice.</w:t>
      </w:r>
    </w:p>
    <w:p w14:paraId="6029D3BA" w14:textId="70D5ED7E" w:rsidR="00B67481" w:rsidRPr="00511005" w:rsidRDefault="007B2628" w:rsidP="003A292D">
      <w:pPr>
        <w:spacing w:line="264" w:lineRule="auto"/>
        <w:ind w:firstLine="0"/>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383DE9" w:rsidRPr="00511005">
        <w:rPr>
          <w:rFonts w:ascii="Arial" w:eastAsia="Times New Roman" w:hAnsi="Arial" w:cs="Arial"/>
          <w:i/>
          <w:szCs w:val="28"/>
          <w:lang w:val="uk-UA" w:eastAsia="uk-UA"/>
        </w:rPr>
        <w:t xml:space="preserve">к.ю.н., </w:t>
      </w:r>
      <w:r w:rsidR="00B67481" w:rsidRPr="00511005">
        <w:rPr>
          <w:rFonts w:ascii="Arial" w:eastAsia="Times New Roman" w:hAnsi="Arial" w:cs="Arial"/>
          <w:i/>
          <w:szCs w:val="28"/>
          <w:lang w:val="uk-UA" w:eastAsia="uk-UA"/>
        </w:rPr>
        <w:t>доцент Панасюк В</w:t>
      </w:r>
      <w:r w:rsidR="0071733E">
        <w:rPr>
          <w:rFonts w:ascii="Arial" w:eastAsia="Times New Roman" w:hAnsi="Arial" w:cs="Arial"/>
          <w:i/>
          <w:szCs w:val="28"/>
          <w:lang w:val="uk-UA" w:eastAsia="uk-UA"/>
        </w:rPr>
        <w:t>.</w:t>
      </w:r>
      <w:r w:rsidR="00B67481" w:rsidRPr="00511005">
        <w:rPr>
          <w:rFonts w:ascii="Arial" w:eastAsia="Times New Roman" w:hAnsi="Arial" w:cs="Arial"/>
          <w:i/>
          <w:szCs w:val="28"/>
          <w:lang w:val="uk-UA" w:eastAsia="uk-UA"/>
        </w:rPr>
        <w:t xml:space="preserve"> М</w:t>
      </w:r>
      <w:r w:rsidR="0071733E">
        <w:rPr>
          <w:rFonts w:ascii="Arial" w:eastAsia="Times New Roman" w:hAnsi="Arial" w:cs="Arial"/>
          <w:i/>
          <w:szCs w:val="28"/>
          <w:lang w:val="uk-UA" w:eastAsia="uk-UA"/>
        </w:rPr>
        <w:t>.</w:t>
      </w:r>
    </w:p>
    <w:p w14:paraId="3FAC7218" w14:textId="77777777" w:rsidR="00B67481" w:rsidRPr="00511005" w:rsidRDefault="00B67481" w:rsidP="003A292D">
      <w:pPr>
        <w:spacing w:line="264" w:lineRule="auto"/>
        <w:ind w:firstLine="0"/>
        <w:jc w:val="left"/>
        <w:rPr>
          <w:rFonts w:ascii="Arial" w:eastAsia="Times New Roman" w:hAnsi="Arial" w:cs="Arial"/>
          <w:i/>
          <w:szCs w:val="28"/>
          <w:lang w:val="uk-UA" w:eastAsia="uk-UA"/>
        </w:rPr>
      </w:pPr>
    </w:p>
    <w:p w14:paraId="55A1CF4B" w14:textId="77777777" w:rsidR="00B67481" w:rsidRPr="00511005" w:rsidRDefault="00B67481"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Маркасова Лілія Вячеславівна</w:t>
      </w:r>
    </w:p>
    <w:p w14:paraId="08688540" w14:textId="1F027EB2" w:rsidR="0071733E" w:rsidRDefault="0071733E" w:rsidP="003A292D">
      <w:pPr>
        <w:spacing w:line="264" w:lineRule="auto"/>
        <w:ind w:firstLine="0"/>
        <w:jc w:val="center"/>
        <w:rPr>
          <w:rFonts w:ascii="Arial" w:eastAsia="Times New Roman" w:hAnsi="Arial" w:cs="Arial"/>
          <w:iCs/>
          <w:szCs w:val="28"/>
          <w:lang w:val="uk-UA" w:eastAsia="uk-UA"/>
        </w:rPr>
      </w:pPr>
      <w:r>
        <w:rPr>
          <w:rFonts w:ascii="Arial" w:eastAsia="Times New Roman" w:hAnsi="Arial" w:cs="Arial"/>
          <w:iCs/>
          <w:szCs w:val="28"/>
          <w:lang w:val="uk-UA" w:eastAsia="uk-UA"/>
        </w:rPr>
        <w:t>с</w:t>
      </w:r>
      <w:r w:rsidR="00BE3972" w:rsidRPr="0071733E">
        <w:rPr>
          <w:rFonts w:ascii="Arial" w:eastAsia="Times New Roman" w:hAnsi="Arial" w:cs="Arial"/>
          <w:iCs/>
          <w:szCs w:val="28"/>
          <w:lang w:val="uk-UA" w:eastAsia="uk-UA"/>
        </w:rPr>
        <w:t xml:space="preserve">тудентка 1-го курсу </w:t>
      </w:r>
      <w:r w:rsidR="00536AAB" w:rsidRPr="0071733E">
        <w:rPr>
          <w:rFonts w:ascii="Arial" w:eastAsia="Times New Roman" w:hAnsi="Arial" w:cs="Arial"/>
          <w:iCs/>
          <w:szCs w:val="28"/>
          <w:lang w:val="uk-UA" w:eastAsia="uk-UA"/>
        </w:rPr>
        <w:t>факультету адвокатури та антикорупційної діяльності</w:t>
      </w:r>
      <w:r w:rsidR="00B67481" w:rsidRPr="0071733E">
        <w:rPr>
          <w:rFonts w:ascii="Arial" w:eastAsia="Times New Roman" w:hAnsi="Arial" w:cs="Arial"/>
          <w:iCs/>
          <w:szCs w:val="28"/>
          <w:lang w:val="uk-UA" w:eastAsia="uk-UA"/>
        </w:rPr>
        <w:t xml:space="preserve"> </w:t>
      </w:r>
    </w:p>
    <w:p w14:paraId="3B9A6283" w14:textId="2CCC8D1E" w:rsidR="00B67481" w:rsidRDefault="007B2628" w:rsidP="003A292D">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p>
    <w:p w14:paraId="3E4E7976" w14:textId="77777777" w:rsidR="0071733E" w:rsidRPr="0071733E" w:rsidRDefault="0071733E" w:rsidP="003A292D">
      <w:pPr>
        <w:spacing w:line="264" w:lineRule="auto"/>
        <w:ind w:firstLine="0"/>
        <w:jc w:val="center"/>
        <w:rPr>
          <w:rFonts w:ascii="Arial" w:eastAsia="Times New Roman" w:hAnsi="Arial" w:cs="Arial"/>
          <w:iCs/>
          <w:szCs w:val="28"/>
          <w:lang w:val="uk-UA" w:eastAsia="uk-UA"/>
        </w:rPr>
      </w:pPr>
    </w:p>
    <w:p w14:paraId="2CC21581" w14:textId="77777777" w:rsidR="00B67481" w:rsidRPr="00511005" w:rsidRDefault="00B67481"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КОНСТИТУЦІЙНІ ЗАСАДИ ЗАБЕЗПЕЧЕННЯ НЕВІД'ЄМНОГО ПРАВА НА ЖИТТЯ ЛЮДИНИ</w:t>
      </w:r>
    </w:p>
    <w:p w14:paraId="2CBFCE81" w14:textId="77777777" w:rsidR="00B67481" w:rsidRPr="00511005" w:rsidRDefault="00B67481" w:rsidP="003A292D">
      <w:pPr>
        <w:spacing w:line="264" w:lineRule="auto"/>
        <w:rPr>
          <w:rFonts w:ascii="Arial" w:eastAsia="Times New Roman" w:hAnsi="Arial" w:cs="Arial"/>
          <w:szCs w:val="28"/>
          <w:lang w:val="uk-UA" w:eastAsia="uk-UA"/>
        </w:rPr>
      </w:pPr>
      <w:bookmarkStart w:id="107" w:name="_heading=h.iqjbgcq0bc2v" w:colFirst="0" w:colLast="0"/>
      <w:bookmarkEnd w:id="107"/>
      <w:r w:rsidRPr="00511005">
        <w:rPr>
          <w:rFonts w:ascii="Arial" w:eastAsia="Times New Roman" w:hAnsi="Arial" w:cs="Arial"/>
          <w:szCs w:val="28"/>
          <w:lang w:val="uk-UA" w:eastAsia="uk-UA"/>
        </w:rPr>
        <w:t>Конституційні засади забезпечення невід’ємного права на життя людини становлять фундамент правової системи будь-якої демократичної держави, яка визнає людську гідність найвищою соціальною цінністю та основою легітимності влади. Саме з поваги до права на життя, як найпершого і безумовного, починається реалізація інших прав людини – таких як право на свободу, власність, освіту, охорону здоров’я, свободу слова та віросповідання. У цьому сенсі право на життя є первинним і визначальним, без якого будь-яке інше право втрачає сенс. У статті 27 Конституції України закріплено чітке положення, що кожна людина має невід’ємне право на життя, а держава зобов’язана його захищати [1]. Це право є абсолютним – тобто таким, що не може бути скасованим або обмеженим за жодних обставин, навіть у разі війни, надзвичайного чи воєнного стану, терористичної загрози чи внутрішніх заворушень.</w:t>
      </w:r>
    </w:p>
    <w:p w14:paraId="55620021"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Це положення гармонізує із загальновизнаними міжнародними правовими актами, зокрема з Загальною декларацією прав людини 1948 року, яка у статті 3 стверджує, що "кожна людина має право на життя, на свободу і на особисту недоторканність", а також з Європейською конвенцією з прав людини (стаття 2), Міжнародним пактом про громадянські і політичні права, Женевськими конвенціями про захист жертв війни тощо. Україна, як повноправний член світової спільноти, взяла на себе зобов’язання не тільки дотримуватись цих стандартів, а й імплементувати їх у внутрішнє законодавство, надаючи їм статус норм прямої дії. Зокрема, у ст. 9 Конституції України визначено, що чинні міжнародні договори, згода на обов’язковість яких надана Верховною Радою України, є частиною національного законодавства [2].</w:t>
      </w:r>
    </w:p>
    <w:p w14:paraId="2BABE6F4"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Однак саме право на життя у мирний час і в умовах війни має суттєво відмінні механізми реалізації та захисту. У мирному суспільстві його забезпечення пов’язане, насамперед, із функціонуванням систем охорони здоров’я, екологічної безпеки, правосуддя, внутрішніх справ, соціального захисту, які покликані мінімізувати ризики насильницької смерті, нещасних випадків, злочинів тощо. Натомість у період збройного конфлікту, особливо такого масштабу і жорстокості, як повномасштабна агресія Російської Федерації проти України, захист права на життя перетворюється з формального юридичного зобов’язання на морально-політичний виклик, що потребує надзвичайних і часто нестандартних рішень.</w:t>
      </w:r>
    </w:p>
    <w:p w14:paraId="7CC7E6DE"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умовах війни виникає значне навантаження на державний апарат: системи охорони здоров’я, правопорядку, цивільного захисту та безпеки, гуманітарної допомоги та соціального забезпечення часто функціонують в екстремальних умовах, а ресурси – обмежені. Цивільні особи, які є основними бенефіціарами конституційного захисту, стають об’єктом невибіркового насильства: артилерійських обстрілів, авіаударів, масових страт, терористичних актів, депортацій, катувань, зґвалтувань, використання як "живого щита". При цьому міжнародні норми гуманітарного права, які вимагають чіткого розмежування між комбатантами та цивільним населенням, грубо ігноруються державою-агресором [3].</w:t>
      </w:r>
    </w:p>
    <w:p w14:paraId="1BF0D6C0"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Україна, попри всі виклики, демонструє свою відданість принципам захисту права на життя. Зокрема, здійснюється евакуація населення з районів бойових дій, забезпечується створення мережі гуманітарних коридорів, функціонують центри тимчасового розміщення, відкриваються спеціалізовані пункти медичної допомоги, працює система волонтерської підтримки. Важливу роль відіграє взаємодія з міжнародними партнерами: ООН, Червоний Хрест, міжнародні благодійні фонди, держави-союзники, що допомагають ресурсами, персоналом і експертизою.</w:t>
      </w:r>
    </w:p>
    <w:p w14:paraId="016B4039"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Разом з тим, держава стикається з дилемою необхідності тимчасового обмеження інших прав людини з метою реалізації головного – права на </w:t>
      </w:r>
      <w:r w:rsidRPr="00511005">
        <w:rPr>
          <w:rFonts w:ascii="Arial" w:eastAsia="Times New Roman" w:hAnsi="Arial" w:cs="Arial"/>
          <w:szCs w:val="28"/>
          <w:lang w:val="uk-UA" w:eastAsia="uk-UA"/>
        </w:rPr>
        <w:lastRenderedPageBreak/>
        <w:t>життя. Наприклад, введення комендантської години, блокування вільного пересування, заборона масових заходів, обмеження свободи слова з міркувань воєнної цензури, вилучення приватного майна для потреб Збройних сил – усе це заходи, які тимчасово впливають на інші права, але виправдовуються необхідністю захисту життя мільйонів. Ці обмеження повинні відповідати принципам пропорційності, законності та крайньої необхідності, що є умовою їх конституційної легітимності.</w:t>
      </w:r>
    </w:p>
    <w:p w14:paraId="0A8B6E3A"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Крім того, у сучасних умовах надзвичайно важливим є документування порушень права на життя та інших фундаментальних прав. Механізми фіксації таких порушень мають не лише юридичну, а й символічну функцію: вони стають основою для майбутнього правосуддя, репарацій, міжнародних судів і трибуналів. Українські та міжнародні правозахисні організації, зокрема "Медійна ініціатива за права людини", "Центр громадянських свобод", спільно з Офісом Генерального прокурора та Міжнародним кримінальним судом здійснюють активну роботу з розслідування злочинів проти людяності та воєнних злочинів.</w:t>
      </w:r>
    </w:p>
    <w:p w14:paraId="22105E4C"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післявоєнний період забезпечення права на життя набуде нової форми – через відшкодування завданої шкоди, соціальну підтримку родин загиблих, психологічну реабілітацію жертв, переселення людей з небезпечних зон, медичну допомогу пораненим, відновлення прав внутрішньо переміщених осіб. Держава має створити механізми перехідного правосуддя – комплекс дій, спрямованих на встановлення правди, притягнення винних до відповідальності, компенсації постраждалим та гарантії неповторення подібного у майбутньому.</w:t>
      </w:r>
    </w:p>
    <w:p w14:paraId="68FE4390"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Необхідно також звернути особливу увагу на найбільш вразливі групи – дітей, людей з інвалідністю, людей похилого віку, жінок, хворих. Для них війна має ще гірші наслідки, адже обмеження доступу до медичних, освітніх та соціальних послуг може мати фатальні наслідки. У цьому контексті слід наголосити на потребі інституалізації соціальної підтримки, створенні державних програм реінтеграції та відновлення життєвого потенціалу таких осіб.</w:t>
      </w:r>
    </w:p>
    <w:p w14:paraId="7D72EB79"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право на життя – це не просто стаття в Конституції, а реальний маркер рівня гуманізму державної політики. Воно вимагає не лише політичної волі, а й системного підходу, чіткого законодавчого регулювання, наявності ефективного інституційного механізму, міжнародної підтримки та сталого суспільного консенсусу. Його забезпечення – це відповідальність не лише держави, а й кожного громадянина, громадянського суспільства, кожного солдата, волонтера, медика, юриста, правозахисника.</w:t>
      </w:r>
    </w:p>
    <w:p w14:paraId="3CC088BA"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Отже, у найтемніші періоди своєї історії Україна не втрачає здатності залишатися вірною принципам демократії, верховенства права і поваги до людської гідності. Саме право на життя повинне залишатися ключовим </w:t>
      </w:r>
      <w:r w:rsidRPr="00511005">
        <w:rPr>
          <w:rFonts w:ascii="Arial" w:eastAsia="Times New Roman" w:hAnsi="Arial" w:cs="Arial"/>
          <w:szCs w:val="28"/>
          <w:lang w:val="uk-UA" w:eastAsia="uk-UA"/>
        </w:rPr>
        <w:lastRenderedPageBreak/>
        <w:t>орієнтиром у процесі національного відродження та побудови післявоєнного справедливого і гуманного суспільства.</w:t>
      </w:r>
    </w:p>
    <w:p w14:paraId="414A2681" w14:textId="77777777" w:rsidR="00B67481" w:rsidRPr="00511005" w:rsidRDefault="00B67481" w:rsidP="003A292D">
      <w:pPr>
        <w:spacing w:line="264" w:lineRule="auto"/>
        <w:ind w:firstLine="0"/>
        <w:jc w:val="left"/>
        <w:rPr>
          <w:rFonts w:ascii="Arial" w:eastAsia="Times New Roman" w:hAnsi="Arial" w:cs="Arial"/>
          <w:b/>
          <w:szCs w:val="28"/>
          <w:lang w:val="uk-UA" w:eastAsia="uk-UA"/>
        </w:rPr>
      </w:pPr>
    </w:p>
    <w:p w14:paraId="54B40205" w14:textId="701A68B1" w:rsidR="00B67481"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18BE6DE2"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Конституція України від 28.06.1996. URL: </w:t>
      </w:r>
      <w:hyperlink r:id="rId882" w:anchor="Text">
        <w:r w:rsidRPr="00511005">
          <w:rPr>
            <w:rFonts w:ascii="Arial" w:eastAsia="Times New Roman" w:hAnsi="Arial" w:cs="Arial"/>
            <w:szCs w:val="28"/>
            <w:lang w:val="uk-UA" w:eastAsia="uk-UA"/>
          </w:rPr>
          <w:t>https://zakon.rada.gov.ua/laws/show/254%D0%BA/96-%D0%B2%D1%80#Text</w:t>
        </w:r>
      </w:hyperlink>
      <w:r w:rsidRPr="00511005">
        <w:rPr>
          <w:rFonts w:ascii="Arial" w:eastAsia="Times New Roman" w:hAnsi="Arial" w:cs="Arial"/>
          <w:szCs w:val="28"/>
          <w:lang w:val="uk-UA" w:eastAsia="uk-UA"/>
        </w:rPr>
        <w:t>.</w:t>
      </w:r>
    </w:p>
    <w:p w14:paraId="5C8A3870"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Про забезпечення прав і свобод громадян та правовий режим на тимчасово окупованій території України від 15.04.2014. URL: </w:t>
      </w:r>
      <w:hyperlink r:id="rId883" w:anchor="Text">
        <w:r w:rsidRPr="00511005">
          <w:rPr>
            <w:rFonts w:ascii="Arial" w:eastAsia="Times New Roman" w:hAnsi="Arial" w:cs="Arial"/>
            <w:szCs w:val="28"/>
            <w:lang w:val="uk-UA" w:eastAsia="uk-UA"/>
          </w:rPr>
          <w:t>https://zakon.rada.gov.ua/laws/show/1207-18#Text</w:t>
        </w:r>
      </w:hyperlink>
      <w:r w:rsidRPr="00511005">
        <w:rPr>
          <w:rFonts w:ascii="Arial" w:eastAsia="Times New Roman" w:hAnsi="Arial" w:cs="Arial"/>
          <w:szCs w:val="28"/>
          <w:lang w:val="uk-UA" w:eastAsia="uk-UA"/>
        </w:rPr>
        <w:t>.</w:t>
      </w:r>
    </w:p>
    <w:p w14:paraId="3DA40983"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 Про правовий режим воєнного стану. Закон України від 12.05.2015. URL: </w:t>
      </w:r>
      <w:hyperlink r:id="rId884">
        <w:r w:rsidRPr="00511005">
          <w:rPr>
            <w:rFonts w:ascii="Arial" w:eastAsia="Times New Roman" w:hAnsi="Arial" w:cs="Arial"/>
            <w:szCs w:val="28"/>
            <w:lang w:val="uk-UA" w:eastAsia="uk-UA"/>
          </w:rPr>
          <w:t>https://zakon.rada.gov.ua/laws/card/389-19</w:t>
        </w:r>
      </w:hyperlink>
      <w:r w:rsidRPr="00511005">
        <w:rPr>
          <w:rFonts w:ascii="Arial" w:eastAsia="Times New Roman" w:hAnsi="Arial" w:cs="Arial"/>
          <w:szCs w:val="28"/>
          <w:lang w:val="uk-UA" w:eastAsia="uk-UA"/>
        </w:rPr>
        <w:t>.</w:t>
      </w:r>
    </w:p>
    <w:p w14:paraId="590DC4D9" w14:textId="6C9111CE" w:rsidR="00B67481"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szCs w:val="28"/>
          <w:lang w:val="uk-UA" w:eastAsia="uk-UA"/>
        </w:rPr>
        <w:t>Конституція, право, життя, держава, війна, захист, людина, гідність, агресія, гуманітарне.</w:t>
      </w:r>
    </w:p>
    <w:p w14:paraId="0045A602" w14:textId="6BD3EB6E" w:rsidR="00B67481"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szCs w:val="28"/>
          <w:lang w:val="uk-UA" w:eastAsia="uk-UA"/>
        </w:rPr>
        <w:t>Constitution, law, life, state, war, protection, man, dignity, aggression, humanitarian.</w:t>
      </w:r>
    </w:p>
    <w:p w14:paraId="0AFE40CB" w14:textId="48900493" w:rsidR="00B67481"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Науковий керівник: </w:t>
      </w:r>
      <w:r w:rsidR="00B67481" w:rsidRPr="00511005">
        <w:rPr>
          <w:rFonts w:ascii="Arial" w:eastAsia="Times New Roman" w:hAnsi="Arial" w:cs="Arial"/>
          <w:szCs w:val="28"/>
          <w:lang w:val="uk-UA" w:eastAsia="uk-UA"/>
        </w:rPr>
        <w:t>к.ю.н., доцент Бальцій Ю.Ю.</w:t>
      </w:r>
    </w:p>
    <w:p w14:paraId="570869B6" w14:textId="77777777" w:rsidR="00B67481" w:rsidRPr="00511005" w:rsidRDefault="00B67481" w:rsidP="003A292D">
      <w:pPr>
        <w:spacing w:line="264" w:lineRule="auto"/>
        <w:ind w:firstLine="0"/>
        <w:rPr>
          <w:rFonts w:ascii="Arial" w:eastAsia="Times New Roman" w:hAnsi="Arial" w:cs="Arial"/>
          <w:szCs w:val="28"/>
          <w:lang w:val="uk-UA" w:eastAsia="uk-UA"/>
        </w:rPr>
      </w:pPr>
    </w:p>
    <w:p w14:paraId="78CC5BA6" w14:textId="77777777" w:rsidR="00B67481" w:rsidRPr="00511005" w:rsidRDefault="00B67481"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Муллазянова Анна Андріївна</w:t>
      </w:r>
    </w:p>
    <w:p w14:paraId="24D6A1A9" w14:textId="04B3EBEF" w:rsidR="0071733E" w:rsidRDefault="0071733E" w:rsidP="003A292D">
      <w:pPr>
        <w:spacing w:line="264" w:lineRule="auto"/>
        <w:ind w:firstLine="0"/>
        <w:jc w:val="center"/>
        <w:rPr>
          <w:rFonts w:ascii="Arial" w:eastAsia="Times New Roman" w:hAnsi="Arial" w:cs="Arial"/>
          <w:szCs w:val="28"/>
          <w:lang w:val="uk-UA" w:eastAsia="uk-UA"/>
        </w:rPr>
      </w:pPr>
      <w:r>
        <w:rPr>
          <w:rFonts w:ascii="Arial" w:eastAsia="Times New Roman" w:hAnsi="Arial" w:cs="Arial"/>
          <w:szCs w:val="28"/>
          <w:lang w:val="uk-UA" w:eastAsia="uk-UA"/>
        </w:rPr>
        <w:t>с</w:t>
      </w:r>
      <w:r w:rsidR="00B67481" w:rsidRPr="00511005">
        <w:rPr>
          <w:rFonts w:ascii="Arial" w:eastAsia="Times New Roman" w:hAnsi="Arial" w:cs="Arial"/>
          <w:szCs w:val="28"/>
          <w:lang w:val="uk-UA" w:eastAsia="uk-UA"/>
        </w:rPr>
        <w:t xml:space="preserve">тудентка 1-го курсу </w:t>
      </w:r>
      <w:r w:rsidR="00536AAB" w:rsidRPr="00511005">
        <w:rPr>
          <w:rFonts w:ascii="Arial" w:eastAsia="Times New Roman" w:hAnsi="Arial" w:cs="Arial"/>
          <w:szCs w:val="28"/>
          <w:lang w:val="uk-UA" w:eastAsia="uk-UA"/>
        </w:rPr>
        <w:t>факультету адвокатури та антикорупційної діяльності</w:t>
      </w:r>
      <w:r w:rsidR="00B67481" w:rsidRPr="00511005">
        <w:rPr>
          <w:rFonts w:ascii="Arial" w:eastAsia="Times New Roman" w:hAnsi="Arial" w:cs="Arial"/>
          <w:szCs w:val="28"/>
          <w:lang w:val="uk-UA" w:eastAsia="uk-UA"/>
        </w:rPr>
        <w:t xml:space="preserve"> </w:t>
      </w:r>
    </w:p>
    <w:p w14:paraId="52E4D97A" w14:textId="590499D3" w:rsidR="00B67481"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208E0DCB" w14:textId="77777777" w:rsidR="0071733E" w:rsidRPr="00511005" w:rsidRDefault="0071733E" w:rsidP="003A292D">
      <w:pPr>
        <w:spacing w:line="264" w:lineRule="auto"/>
        <w:ind w:firstLine="0"/>
        <w:jc w:val="center"/>
        <w:rPr>
          <w:rFonts w:ascii="Arial" w:eastAsia="Times New Roman" w:hAnsi="Arial" w:cs="Arial"/>
          <w:szCs w:val="28"/>
          <w:lang w:val="uk-UA" w:eastAsia="uk-UA"/>
        </w:rPr>
      </w:pPr>
    </w:p>
    <w:p w14:paraId="307805FF" w14:textId="77777777" w:rsidR="00B67481" w:rsidRPr="00511005" w:rsidRDefault="00B67481"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ЩОДО ПИТАННЯ РЕАЛІЗАЦІЇ КОНСТИТУЦІЙНОГО ПРАВА НА ОСВІТУ В УМОВАХ ВОЄННОГО СТАНУ</w:t>
      </w:r>
    </w:p>
    <w:p w14:paraId="078AD7F7"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З початком повномасштабного вторгнення Російської Федерації 24 лютого 2022 року та запровадженням воєнного стану в Україні відповідно до Указу Президента №64/2022, країна опинилася перед безпрецедентними викликами, які торкнулися усіх сфер життя, зокрема й освіти. Конституція України, яка гарантує право кожного на освіту (стаття 53), залишилась непохитним орієнтиром навіть у ці складні часи. Це право є однією з фундаментальних засад демократичного суспільства, адже саме освіта формує людський капітал, забезпечує сталий розвиток держави, сприяє соціальній згуртованості та підтримці правопорядку. У той же час воєнний стан значно ускладнив реалізацію цього права, змінивши умови освітнього процесу, доступність навчання та безпеку його учасників [1-3]. Проте Україна демонструє послідовну позицію у забезпеченні освітнього процесу, адаптуючи правове поле, інституційні механізми та технічні можливості до реалій воєнного часу.</w:t>
      </w:r>
    </w:p>
    <w:p w14:paraId="748BC76A"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Право на освіту є невід’ємним і безумовним, не залежить від соціального чи матеріального стану, місця проживання, громадянства, мови чи інших ознак. Цей принцип, закріплений в Основному законі, було збережено навіть в умовах воєнного стану. Держава продовжує забезпечувати рівний доступ до освіти, захищаючи права учнів, студентів, </w:t>
      </w:r>
      <w:r w:rsidRPr="00511005">
        <w:rPr>
          <w:rFonts w:ascii="Arial" w:eastAsia="Times New Roman" w:hAnsi="Arial" w:cs="Arial"/>
          <w:szCs w:val="28"/>
          <w:lang w:val="uk-UA" w:eastAsia="uk-UA"/>
        </w:rPr>
        <w:lastRenderedPageBreak/>
        <w:t>викладачів, науковців. Підтвердженням цьому є ухвалення 15 березня 2022 року Закону України № 2126-IX, який закріпив державні гарантії у сфері освіти на період воєнного стану. Було введено статтю 57-1 до Закону України «Про освіту», яка визначає низку ключових гарантій: безпеку учасників освітнього процесу, гнучкість форм його організації (зокрема дистанційна форма), збереження робочих місць освітян, виплату заробітної плати, стипендій, а також забезпечення житлом і харчуванням за потреби [1].</w:t>
      </w:r>
    </w:p>
    <w:p w14:paraId="316E1F8D"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У рамках реалізації цих гарантій уряд, Міністерство освіти і науки України, органи місцевого самоврядування, військові адміністрації, громадські об’єднання і волонтери спільно діють для створення умов безпечного і безперервного освітнього процесу. Органи державної влади отримали право ухвалювати оперативні рішення, що дозволяє швидко реагувати на зміну ситуації, евакуацію населення, руйнування інфраструктури чи загрозу життю. Водночас саме Міністерство освіти і науки України відіграє ключову роль у нормативному врегулюванні питань організації навчання, визначенні форм освітнього процесу та погодженні інноваційних підходів до навчання в умовах бойових дій.</w:t>
      </w:r>
    </w:p>
    <w:p w14:paraId="68BD2961"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Одним з рішень, які значно вплинули на забезпечення права на освіту, стала постанова Кабінету Міністрів України №599 від 13 травня 2022 року, яка дала змогу реалізовувати право на академічну мобільність, у тому числі за кордоном. Завдяки цій постанові тисячі студентів отримали можливість продовжити навчання в інших освітніх закладах, зберігаючи при цьому зв’язок з українською системою освіти. Це дозволяє не лише забезпечити безперервність здобуття знань, а й інтегрувати українську молодь у європейський та світовий освітній простір, що має важливе значення для майбутнього країни [4].</w:t>
      </w:r>
    </w:p>
    <w:p w14:paraId="3BE9612E"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Разом з тим, процес реалізації права на освіту в умовах війни супроводжується численними труднощами. По-перше, це фізична небезпека — багато шкіл, вишів і дитячих садків були зруйновані або пошкоджені внаслідок обстрілів. Освітні установи змушені були перемістити свою діяльність в онлайн або в інші регіони. По-друге, технічні проблеми: недостатній доступ до інтернету, відсутність необхідного обладнання у частини здобувачів, обмеження, пов’язані з енергопостачанням, та різні часові пояси у зв’язку з евакуацією за кордон. Третім важливим чинником стали психологічні виклики. Навіть у тих регіонах, де бойові дії не ведуться, студенти й викладачі перебувають у стані постійного стресу через загрозу ракетних ударів, повітряні тривоги, втрату близьких, необхідність адаптації до нових умов.</w:t>
      </w:r>
    </w:p>
    <w:p w14:paraId="0341ED9E"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Незважаючи на всі ці труднощі, українські заклади освіти, науковці, викладачі та студенти демонструють надзвичайну стійкість і готовність продовжувати навчання. Освітній процес став не лише засобом отримання </w:t>
      </w:r>
      <w:r w:rsidRPr="00511005">
        <w:rPr>
          <w:rFonts w:ascii="Arial" w:eastAsia="Times New Roman" w:hAnsi="Arial" w:cs="Arial"/>
          <w:szCs w:val="28"/>
          <w:lang w:val="uk-UA" w:eastAsia="uk-UA"/>
        </w:rPr>
        <w:lastRenderedPageBreak/>
        <w:t>знань, а й простором психологічної підтримки, збереження зв’язку з нормальним життям, символом спротиву і надії. Для багатьох людей навчання стало джерелом стабільності, можливістю реалізовувати себе, навіть перебуваючи в евакуації чи за кордоном. Це ще раз підтверджує важливість освіти як основи для збереження і розвитку людського капіталу в часи найтяжчих викликів.</w:t>
      </w:r>
    </w:p>
    <w:p w14:paraId="134579F4"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Україна також активізувала міжнародну співпрацю у сфері освіти: студенти та викладачі мають змогу брати участь у програмах академічного обміну, проходити навчання в закладах вищої освіти країн-партнерів, зберігаючи при цьому зв’язок із українськими установами. Багато закордонних університетів надали українським студентам можливість безкоштовного навчання або стипендії, що сприяє збереженню потенціалу нації, забезпеченню доступу до якісної освіти та формуванню нової генерації фахівців [5].</w:t>
      </w:r>
    </w:p>
    <w:p w14:paraId="6B6437EB"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Наразі держава реалізує стратегічні завдання розвитку освіти в умовах війни: вдосконалення управління у сфері освіти, забезпечення автономії закладів, розвиток системи безперервного навчання, інтеграція науки, освіти і бізнесу, а також поступова інтеграція у європейський освітній простір. Це означає, що навіть у період збройного конфлікту держава не згортає реформ, а навпаки — адаптує їх до нових умов. Особливої уваги надається збереженню інтелектуальної еліти, розвитку цифрової освіти, підтримці освітян і студентів.</w:t>
      </w:r>
    </w:p>
    <w:p w14:paraId="1735C070" w14:textId="77777777" w:rsidR="007B2628"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Отже, реалізація конституційного права на освіту в умовах воєнного стану є викликом, що вимагає гнучкості, рішучості та згуртованості усіх учасників освітнього процесу. Україна, попри постійні загрози, довела свою здатність забезпечити безперервність освіти. Це є не лише виконанням внутрішньодержавного обов’язку, а й доказом цивілізованого, європейського шляху розвитку. Право на освіту, що реалізується навіть у воєнний час, є проявом сили нації, прагнення до майбутнього та втіленням віри у перемогу.</w:t>
      </w:r>
    </w:p>
    <w:p w14:paraId="781E658C" w14:textId="7C20F3CB" w:rsidR="00B67481" w:rsidRPr="00511005" w:rsidRDefault="00B67481" w:rsidP="003A292D">
      <w:pPr>
        <w:spacing w:line="264" w:lineRule="auto"/>
        <w:ind w:firstLine="0"/>
        <w:rPr>
          <w:rFonts w:ascii="Arial" w:eastAsia="Times New Roman" w:hAnsi="Arial" w:cs="Arial"/>
          <w:b/>
          <w:szCs w:val="28"/>
          <w:lang w:val="uk-UA" w:eastAsia="uk-UA"/>
        </w:rPr>
      </w:pPr>
    </w:p>
    <w:p w14:paraId="412AA252" w14:textId="6FE0F3AF" w:rsidR="00B67481"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1BA20460"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1. Закон України «Про освіту». URL: https://zakon.rada.gov.ua/ laws/show/2145-19#Text.</w:t>
      </w:r>
    </w:p>
    <w:p w14:paraId="318E8F86"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2. Закон України «Про правовий режим воєнного стану». URL: https://zakon.rada.gov.ua/laws/ show/389-19#Text.</w:t>
      </w:r>
    </w:p>
    <w:p w14:paraId="4524C772"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3. Конституція України (Відомості Верховної Ради України (ВВР), 1996, № 30, ст. 141. URL: https://zakon.rada.gov.ua/laws/show/254%D0%BA/96-%D0%B2%D1%80#Text.</w:t>
      </w:r>
    </w:p>
    <w:p w14:paraId="2F0429FF"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Про внесення змін до деяких постанов Кабінету Міністрів України щодо врегулювання питань академічної мобільності. Постанова Кабінету </w:t>
      </w:r>
      <w:r w:rsidRPr="00511005">
        <w:rPr>
          <w:rFonts w:ascii="Arial" w:eastAsia="Times New Roman" w:hAnsi="Arial" w:cs="Arial"/>
          <w:szCs w:val="28"/>
          <w:lang w:val="uk-UA" w:eastAsia="uk-UA"/>
        </w:rPr>
        <w:lastRenderedPageBreak/>
        <w:t>Міністрів України від 13 травня 2022 р. № 599 / Верховна Рада України. URL: https://zakon.rada.gov.ua/laws/show/599- 2022-%D0%BF#Text.</w:t>
      </w:r>
    </w:p>
    <w:p w14:paraId="4DCBDD59" w14:textId="77777777" w:rsidR="00B67481" w:rsidRPr="00511005" w:rsidRDefault="00B67481"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szCs w:val="28"/>
          <w:lang w:val="uk-UA" w:eastAsia="uk-UA"/>
        </w:rPr>
        <w:t>5. Євдокімова О.М. Реалії освітнього процесу в умовах воєнного стану. URL: https:// dspace.uzhnu.edu.ua/jspui/bitstream/lib/45275/1/% D0%A2%D0% B5% D0%B7%D0%B8% 20%D0%A1%D0%B0%D0%B2% D0% BA% D0% B0% 2C% 20%D0%A1%D0%BB% D0%B8%D0%B2%D0%BA%D0%B0%202021.pdf, с. 152.</w:t>
      </w:r>
    </w:p>
    <w:p w14:paraId="20F784A3" w14:textId="0177E562" w:rsidR="00B67481" w:rsidRPr="00511005" w:rsidRDefault="007B2628"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szCs w:val="28"/>
          <w:lang w:val="uk-UA" w:eastAsia="uk-UA"/>
        </w:rPr>
        <w:t>право на освіту, воєнний стан, дистанційне навчання, Конституція України, освітній процес, академічна мобільність, адаптація освітньої системи, доступ до освіти.</w:t>
      </w:r>
    </w:p>
    <w:p w14:paraId="52A82ADE" w14:textId="456A1921" w:rsidR="00B67481" w:rsidRPr="00511005" w:rsidRDefault="007B2628" w:rsidP="003A292D">
      <w:pPr>
        <w:spacing w:line="264" w:lineRule="auto"/>
        <w:ind w:firstLine="70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szCs w:val="28"/>
          <w:lang w:val="uk-UA" w:eastAsia="uk-UA"/>
        </w:rPr>
        <w:t>right to education, martial law, distance learning, Constitution of Ukraine, educational process, academic mobility, adaptation of the educational system, access to education.</w:t>
      </w:r>
    </w:p>
    <w:p w14:paraId="188175B2" w14:textId="65A30729" w:rsidR="00B67481" w:rsidRPr="00511005" w:rsidRDefault="00B67481" w:rsidP="003A292D">
      <w:pPr>
        <w:spacing w:line="264" w:lineRule="auto"/>
        <w:ind w:firstLine="700"/>
        <w:rPr>
          <w:rFonts w:ascii="Arial" w:eastAsia="Times New Roman" w:hAnsi="Arial" w:cs="Arial"/>
          <w:i/>
          <w:szCs w:val="28"/>
          <w:lang w:val="uk-UA" w:eastAsia="uk-UA"/>
        </w:rPr>
      </w:pPr>
      <w:r w:rsidRPr="00511005">
        <w:rPr>
          <w:rFonts w:ascii="Arial" w:eastAsia="Times New Roman" w:hAnsi="Arial" w:cs="Arial"/>
          <w:i/>
          <w:szCs w:val="28"/>
          <w:lang w:val="uk-UA" w:eastAsia="uk-UA"/>
        </w:rPr>
        <w:t>Науковий к</w:t>
      </w:r>
      <w:r w:rsidR="0071733E">
        <w:rPr>
          <w:rFonts w:ascii="Arial" w:eastAsia="Times New Roman" w:hAnsi="Arial" w:cs="Arial"/>
          <w:i/>
          <w:szCs w:val="28"/>
          <w:lang w:val="uk-UA" w:eastAsia="uk-UA"/>
        </w:rPr>
        <w:t>е</w:t>
      </w:r>
      <w:r w:rsidRPr="00511005">
        <w:rPr>
          <w:rFonts w:ascii="Arial" w:eastAsia="Times New Roman" w:hAnsi="Arial" w:cs="Arial"/>
          <w:i/>
          <w:szCs w:val="28"/>
          <w:lang w:val="uk-UA" w:eastAsia="uk-UA"/>
        </w:rPr>
        <w:t xml:space="preserve">рівник: </w:t>
      </w:r>
      <w:r w:rsidR="0071733E">
        <w:rPr>
          <w:rFonts w:ascii="Arial" w:eastAsia="Times New Roman" w:hAnsi="Arial" w:cs="Arial"/>
          <w:i/>
          <w:szCs w:val="28"/>
          <w:lang w:val="uk-UA" w:eastAsia="uk-UA"/>
        </w:rPr>
        <w:t xml:space="preserve">к.ю.н., </w:t>
      </w:r>
      <w:r w:rsidRPr="00511005">
        <w:rPr>
          <w:rFonts w:ascii="Arial" w:eastAsia="Times New Roman" w:hAnsi="Arial" w:cs="Arial"/>
          <w:i/>
          <w:szCs w:val="28"/>
          <w:lang w:val="uk-UA" w:eastAsia="uk-UA"/>
        </w:rPr>
        <w:t>доцент Бальцій Ю.Ю</w:t>
      </w:r>
      <w:r w:rsidR="0071733E">
        <w:rPr>
          <w:rFonts w:ascii="Arial" w:eastAsia="Times New Roman" w:hAnsi="Arial" w:cs="Arial"/>
          <w:i/>
          <w:szCs w:val="28"/>
          <w:lang w:val="uk-UA" w:eastAsia="uk-UA"/>
        </w:rPr>
        <w:t>.</w:t>
      </w:r>
    </w:p>
    <w:p w14:paraId="398CE87C" w14:textId="77777777" w:rsidR="00B67481" w:rsidRPr="00511005" w:rsidRDefault="00B67481" w:rsidP="003A292D">
      <w:pPr>
        <w:spacing w:line="264" w:lineRule="auto"/>
        <w:ind w:firstLine="0"/>
        <w:rPr>
          <w:rFonts w:ascii="Arial" w:eastAsia="Times New Roman" w:hAnsi="Arial" w:cs="Arial"/>
          <w:szCs w:val="28"/>
          <w:lang w:val="uk-UA" w:eastAsia="uk-UA"/>
        </w:rPr>
      </w:pPr>
    </w:p>
    <w:p w14:paraId="6DBFA713" w14:textId="77777777" w:rsidR="00B67481" w:rsidRPr="00511005" w:rsidRDefault="00B67481" w:rsidP="003A292D">
      <w:pPr>
        <w:spacing w:line="264" w:lineRule="auto"/>
        <w:rPr>
          <w:rFonts w:ascii="Arial" w:eastAsia="Times New Roman" w:hAnsi="Arial" w:cs="Arial"/>
          <w:b/>
          <w:szCs w:val="28"/>
          <w:lang w:val="uk-UA" w:eastAsia="uk-UA"/>
        </w:rPr>
      </w:pPr>
    </w:p>
    <w:p w14:paraId="6C796F6C" w14:textId="77777777" w:rsidR="00B67481" w:rsidRPr="00511005" w:rsidRDefault="00B67481" w:rsidP="0071733E">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Паламарчук Андрій Павлович</w:t>
      </w:r>
    </w:p>
    <w:p w14:paraId="09B47541" w14:textId="7110312E" w:rsidR="00B67481" w:rsidRPr="0071733E" w:rsidRDefault="00BE3972" w:rsidP="0071733E">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 xml:space="preserve">студент 1-го курсу </w:t>
      </w:r>
      <w:r w:rsidR="001B7B25" w:rsidRPr="0071733E">
        <w:rPr>
          <w:rFonts w:ascii="Arial" w:eastAsia="Times New Roman" w:hAnsi="Arial" w:cs="Arial"/>
          <w:iCs/>
          <w:szCs w:val="28"/>
          <w:lang w:val="uk-UA" w:eastAsia="uk-UA"/>
        </w:rPr>
        <w:t>факультету судового та міжнародного права</w:t>
      </w:r>
    </w:p>
    <w:p w14:paraId="6B02EB31" w14:textId="54259813" w:rsidR="00B67481" w:rsidRPr="0071733E" w:rsidRDefault="007B2628" w:rsidP="0071733E">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p>
    <w:p w14:paraId="6A05B9EC" w14:textId="77777777" w:rsidR="00B67481" w:rsidRPr="00511005" w:rsidRDefault="00B67481" w:rsidP="003A292D">
      <w:pPr>
        <w:spacing w:line="264" w:lineRule="auto"/>
        <w:ind w:left="850"/>
        <w:rPr>
          <w:rFonts w:ascii="Arial" w:eastAsia="Times New Roman" w:hAnsi="Arial" w:cs="Arial"/>
          <w:szCs w:val="28"/>
          <w:lang w:val="uk-UA" w:eastAsia="uk-UA"/>
        </w:rPr>
      </w:pPr>
    </w:p>
    <w:p w14:paraId="78BA8E23" w14:textId="77777777" w:rsidR="00B67481" w:rsidRPr="00511005" w:rsidRDefault="00B67481"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ГЕНДЕРНА РІВНІСТЬ ЯК КОНСТИТУЦІЙНА ЦІННІСТЬ: ПРОБЛЕМИ ЗАБЕЗПЕЧЕННЯ В УКРАЇНІ</w:t>
      </w:r>
    </w:p>
    <w:p w14:paraId="27EBDB23" w14:textId="77777777" w:rsidR="00B67481" w:rsidRPr="00511005" w:rsidRDefault="00B67481" w:rsidP="003A292D">
      <w:pPr>
        <w:pBdr>
          <w:top w:val="nil"/>
          <w:left w:val="nil"/>
          <w:bottom w:val="nil"/>
          <w:right w:val="nil"/>
          <w:between w:val="nil"/>
        </w:pBd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сучасному світі гендерна рівність є невід’ємною складовою демократичного розвитку та прав людини. Україна, прагнучи інтеграції до європейського правового простору, закріпила принцип рівності жінок і чоловіків на конституційному рівні та у численних нормативно-правових актах. Попри це, на практиці забезпечення гендерної рівності залишається складним завданням через існування стереотипів, соціальних бар’єрів і прогалин у правозастосуванні.</w:t>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p>
    <w:p w14:paraId="1E42A276" w14:textId="77777777" w:rsidR="00B67481" w:rsidRPr="00511005" w:rsidRDefault="00B67481" w:rsidP="003A292D">
      <w:pPr>
        <w:pBdr>
          <w:top w:val="nil"/>
          <w:left w:val="nil"/>
          <w:bottom w:val="nil"/>
          <w:right w:val="nil"/>
          <w:between w:val="nil"/>
        </w:pBd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Гендерна рівність охоплює не лише юридичну рівність, але й рівний доступ до можливостей, участі у прийнятті рішень, політичному та економічному житті, а також захист від дискримінації. Успішна реалізація цього принципу має визначальне значення для забезпечення соціальної справедливості, сталого розвитку та демократичної трансформації суспільства.</w:t>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p>
    <w:p w14:paraId="7D5F4D0C" w14:textId="77777777" w:rsidR="00B67481" w:rsidRPr="00511005" w:rsidRDefault="00B67481" w:rsidP="003A292D">
      <w:pPr>
        <w:pBdr>
          <w:top w:val="nil"/>
          <w:left w:val="nil"/>
          <w:bottom w:val="nil"/>
          <w:right w:val="nil"/>
          <w:between w:val="nil"/>
        </w:pBd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Актуальність теми зумовлена сучасними проблемами та суперечками на рахунок гендерної нерівності, розквітом радикального фемінізму та інших факторів. Через це виникає необхідність удосконалення правового механізму забезпечення гендерної рівності, посилення інституційного захисту прав людини, та імплементації міжнародних стандартів у національну правову систему. З огляду на нинішні соціальні виклики, зокрема збройний конфлікт, соціально-економічну нестабільність та </w:t>
      </w:r>
      <w:r w:rsidRPr="00511005">
        <w:rPr>
          <w:rFonts w:ascii="Arial" w:eastAsia="Times New Roman" w:hAnsi="Arial" w:cs="Arial"/>
          <w:szCs w:val="28"/>
          <w:lang w:val="uk-UA" w:eastAsia="uk-UA"/>
        </w:rPr>
        <w:lastRenderedPageBreak/>
        <w:t>загострення проблем уразливих груп населення, питання гендерної рівності набуває ще більшої значущості.</w:t>
      </w:r>
      <w:r w:rsidRPr="00511005">
        <w:rPr>
          <w:rFonts w:ascii="Arial" w:eastAsia="Times New Roman" w:hAnsi="Arial" w:cs="Arial"/>
          <w:szCs w:val="28"/>
          <w:lang w:val="uk-UA" w:eastAsia="uk-UA"/>
        </w:rPr>
        <w:tab/>
        <w:t>Конституція України визнає людину найвищою соціальною цінністю (частина перша статті 3). Людина народжується і формується в суспільстві, є творцем суспільних благ і, відповідно, очікує та потребує навзаєм чітких гарантій елементарного фізичного існування і захисту. Базові алгоритми і процеси людського життя певною мірою постійні, а відтак розуміння того, що являє собою людина і людська гідність, не зазнавало різких змін [4, с.106].</w:t>
      </w:r>
      <w:r w:rsidRPr="00511005">
        <w:rPr>
          <w:rFonts w:ascii="Arial" w:eastAsia="Times New Roman" w:hAnsi="Arial" w:cs="Arial"/>
          <w:szCs w:val="28"/>
          <w:lang w:val="uk-UA" w:eastAsia="uk-UA"/>
        </w:rPr>
        <w:tab/>
        <w:t>Конституція України містить базові положення щодо рівності, які становлять основу для захисту гендерних прав. Зокрема, стаття 21 проголошує, що "усі люди є вільні і рівні у своїй гідності та правах", а стаття 24 гарантує рівність прав жінок і чоловіків, а також забороняє будь-яку дискримінацію, зокрема за ознакою статі. Ці положення закладають фундамент для реалізації принципу гендерної рівності на практиці [2].</w:t>
      </w:r>
    </w:p>
    <w:p w14:paraId="4C1BD0CD" w14:textId="77777777" w:rsidR="00B67481" w:rsidRPr="00511005" w:rsidRDefault="00B67481" w:rsidP="003A292D">
      <w:pPr>
        <w:pBdr>
          <w:top w:val="nil"/>
          <w:left w:val="nil"/>
          <w:bottom w:val="nil"/>
          <w:right w:val="nil"/>
          <w:between w:val="nil"/>
        </w:pBd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Метою даного дослідження є аналіз конституційно-правового забезпечення гендерної рівності в Україні, виявлення основних проблем її реалізації та визначення можливих шляхів їх подолання. Завданнями виступають: вивчення конституційних положень щодо гендерної рівності, аналіз міжнародних зобов’язань України, дослідження реальних викликів у сфері реалізації цього принципу та обґрунтування рекомендацій щодо покращення ситуації. </w:t>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p>
    <w:p w14:paraId="622623A9" w14:textId="77777777" w:rsidR="00B67481" w:rsidRPr="00511005" w:rsidRDefault="00B67481" w:rsidP="003A292D">
      <w:pPr>
        <w:pBdr>
          <w:top w:val="nil"/>
          <w:left w:val="nil"/>
          <w:bottom w:val="nil"/>
          <w:right w:val="nil"/>
          <w:between w:val="nil"/>
        </w:pBd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Міжнародні стандарти у сфері прав людини мають значну роль у забезпеченні гендерної рівності, зокрема через норми, закріплені в основних міжнародних угодах та конвенціях. Статут ООН, який утверджує рівноправність чоловіків і жінок, Європейська конвенція з прав людини, що забороняє дискримінацію, та Міжнародний пакт про громадянські і політичні права, який зобов’язує держави забезпечувати рівні можливості для всіх громадян незалежно від статі. Згідно зі статтею 3 цього Пакту, держави-учасниці повинні вживати належних заходів для забезпечення рівності прав і обов’язків подружжя щодо одруження, перебування в шлюбі та його розірвання. Аналіз публікацій Центру політико-правових реформ та статей, що висвітлюють актуальні питання гендерної рівності, підтверджує важливість врахування міжнародних стандартів у національній правовій системі України [3, с. 1].</w:t>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p>
    <w:p w14:paraId="6C32E667" w14:textId="77777777" w:rsidR="00B67481" w:rsidRPr="00511005" w:rsidRDefault="00B67481" w:rsidP="003A292D">
      <w:pPr>
        <w:pBdr>
          <w:top w:val="nil"/>
          <w:left w:val="nil"/>
          <w:bottom w:val="nil"/>
          <w:right w:val="nil"/>
          <w:between w:val="nil"/>
        </w:pBd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Європейська конвенція з прав людини також є значущим інструментом, що забороняє дискримінацію за ознакою статі та інших характеристик, гарантуючи право на рівність перед законом, наприклад, Участь України в Конвенції ООН про ліквідацію всіх форм дискримінації щодо жінок (CEDAW) та виконання зобов’язань у межах Ради Європи та ЄС щодо гендерної рівності визначає ключову роль міжнародного права у формуванні національної політики, спрямованої на боротьбу з дискримінацією. </w:t>
      </w:r>
      <w:r w:rsidRPr="00511005">
        <w:rPr>
          <w:rFonts w:ascii="Arial" w:eastAsia="Times New Roman" w:hAnsi="Arial" w:cs="Arial"/>
          <w:szCs w:val="28"/>
          <w:lang w:val="uk-UA" w:eastAsia="uk-UA"/>
        </w:rPr>
        <w:lastRenderedPageBreak/>
        <w:t>Важливими є також міжнародні стандарти у сфері прав людини, зокрема Статут ООН [5].</w:t>
      </w:r>
    </w:p>
    <w:p w14:paraId="77BDFFB7" w14:textId="77777777" w:rsidR="00B67481" w:rsidRPr="00511005" w:rsidRDefault="00B67481" w:rsidP="003A292D">
      <w:pPr>
        <w:pBdr>
          <w:top w:val="nil"/>
          <w:left w:val="nil"/>
          <w:bottom w:val="nil"/>
          <w:right w:val="nil"/>
          <w:between w:val="nil"/>
        </w:pBd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11 березня 2025 року, суддя Конституційного Суду України Галина Юровська провела зустріч зі студентами Навчально-наукового інституту міжнародних відносин Київського національного університету імені Тараса Шевченка. Захід було організовано з нагоди Міжнародного дня жінок-суддів, який за рішенням ООН відзначається 10 березня. Окрему увагу в своїй промові суддя приділила важливій Конвенції Ради Європи, яка стосується запобігання насильству щодо жінок та домашньому насильству, а також боротьби із цими явищами. Ця конвенція, відома також як Стамбульська конвенція, була ратифікована Україною у 2022 році та стала важливим кроком у вирішенні проблеми домашнього насильства в країні. Суддя підкреслила, що цей документ виконує роль ключового інструменту у боротьбі з домашнім насильством, оскільки він визначає комплексні заходи, які необхідні для захисту постраждалих осіб. Це включає не тільки надання допомоги потерпілим, але також і встановлення відповідних механізмів для покарання тих, хто вчиняє насильство.</w:t>
      </w:r>
      <w:r w:rsidRPr="00511005">
        <w:rPr>
          <w:rFonts w:ascii="Arial" w:eastAsia="Times New Roman" w:hAnsi="Arial" w:cs="Arial"/>
          <w:szCs w:val="28"/>
          <w:lang w:val="uk-UA" w:eastAsia="uk-UA"/>
        </w:rPr>
        <w:tab/>
        <w:t xml:space="preserve">Крім того, суддя звернула увагу на те, що, ратифікуючи цю Конвенцію, Україна також внесла певні застереження. Ці застереження мають на меті забезпечити, що застосування документу буде узгоджене з Конституцією країни та чинним законодавством. Це підкреслює прагнення до відповідальності перед міжнародними стандартами та одночасно врахування національних правових норм. Суддя також зазначила про Указ Президента України від 26 липня 2005 року № 1135/2005, який регламентує діяльність центральних і місцевих органів виконавчої влади щодо забезпечення рівних прав та можливостей жінок і чоловіків [5]. </w:t>
      </w:r>
    </w:p>
    <w:p w14:paraId="4F080AE3" w14:textId="77777777" w:rsidR="00B67481" w:rsidRPr="00511005" w:rsidRDefault="00B67481" w:rsidP="003A292D">
      <w:pPr>
        <w:pBdr>
          <w:top w:val="nil"/>
          <w:left w:val="nil"/>
          <w:bottom w:val="nil"/>
          <w:right w:val="nil"/>
          <w:between w:val="nil"/>
        </w:pBd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Попри наявність таких зобов’язань, жінки в Україні та в інших країнах продовжують зіштовхуватися з дискримінацією у різних сферах життя, що перешкоджають реалізації гендерної рівності. Це, зокрема, гендерні стереотипи та суспільні упередження, недостатня політична участь жінок, проблеми гендерного насильства, нерівність в оплаті праці та недосконале впровадження гендерного підходу в державну політику. Крім того, наявність гендерних бар’єрів у вищих ешелонах влади зумовлює хронічну недооціненість жінок у системі публічного управління. Такі прояви нерівності порушують принцип соціальної справедливості й вимагають від держави системного реагування через імплементацію міжнародних стандартів, розробку ефективних політик, а також зміну суспільних установок, які досі формуються на ґрунті патріархальних цінностей. Як зазначають експерти, для подолання цих бар’єрів необхідно розвивати правову культуру, зокрема через інформаційні кампанії та освітні програми, що посилюватимуть обізнаність та розуміння гендерних прав серед населення, а також </w:t>
      </w:r>
      <w:r w:rsidRPr="00511005">
        <w:rPr>
          <w:rFonts w:ascii="Arial" w:eastAsia="Times New Roman" w:hAnsi="Arial" w:cs="Arial"/>
          <w:szCs w:val="28"/>
          <w:lang w:val="uk-UA" w:eastAsia="uk-UA"/>
        </w:rPr>
        <w:lastRenderedPageBreak/>
        <w:t xml:space="preserve">забезпечать рівний доступ до всіх сфер життя, включаючи політику та економіку [1]. </w:t>
      </w:r>
    </w:p>
    <w:p w14:paraId="0296869A" w14:textId="77777777" w:rsidR="00B67481" w:rsidRPr="00511005" w:rsidRDefault="00B67481" w:rsidP="003A292D">
      <w:pPr>
        <w:pBdr>
          <w:top w:val="nil"/>
          <w:left w:val="nil"/>
          <w:bottom w:val="nil"/>
          <w:right w:val="nil"/>
          <w:between w:val="nil"/>
        </w:pBd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Враховуючи зазначені виклики, для досягнення гендерної рівності в Україні необхідні системні зміни. Серед запропонованих заходів — підвищення правової свідомості щодо гендерних питань, впровадження гендерного підходу в державне управління, адаптація законодавства до європейських норм, а також реалізація активних інформаційних кампаній і освітніх ініціатив для підвищення обізнаності суспільства. Щоб досягти суттєвих змін, Україні слід продовжувати інтеграцію гендерної рівності у національне законодавство та зміцнювати підтримку прав людини на інституційному рівні, аби гендерна рівність перетворилася з формального права на реальність [4, с. 115]. </w:t>
      </w:r>
    </w:p>
    <w:p w14:paraId="63B67724" w14:textId="52A510E3" w:rsidR="00B67481" w:rsidRDefault="00B67481" w:rsidP="003A292D">
      <w:pPr>
        <w:pBdr>
          <w:top w:val="nil"/>
          <w:left w:val="nil"/>
          <w:bottom w:val="nil"/>
          <w:right w:val="nil"/>
          <w:between w:val="nil"/>
        </w:pBd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Гендерна рівність, як конституційна цінність, вимагає правового закріплення та активних дій держави, суспільства і правозахисних інституцій. Вона є важливою для демократичного суспільства і потребує участі всіх секторів. Держава повинна ініціювати зміни, розробляючи програми, які усувають дискримінацію за статтю. Суспільні організації відіграють важливу роль у підвищенні обізнаності та підтримці постраждалих від дискримінації. Необхідний механізм контролю за дотриманням рівності у всіх сферах життя. Реалізація гендерної рівності є ключовим елементом для справедливого і інклюзивного суспільства, що забезпечує рівні можливості для всіх.</w:t>
      </w:r>
    </w:p>
    <w:p w14:paraId="2185B9E2" w14:textId="77777777" w:rsidR="0071733E" w:rsidRPr="00511005" w:rsidRDefault="0071733E" w:rsidP="003A292D">
      <w:pPr>
        <w:pBdr>
          <w:top w:val="nil"/>
          <w:left w:val="nil"/>
          <w:bottom w:val="nil"/>
          <w:right w:val="nil"/>
          <w:between w:val="nil"/>
        </w:pBdr>
        <w:spacing w:line="264" w:lineRule="auto"/>
        <w:ind w:firstLine="708"/>
        <w:rPr>
          <w:rFonts w:ascii="Arial" w:eastAsia="Times New Roman" w:hAnsi="Arial" w:cs="Arial"/>
          <w:szCs w:val="28"/>
          <w:lang w:val="uk-UA" w:eastAsia="uk-UA"/>
        </w:rPr>
      </w:pPr>
    </w:p>
    <w:p w14:paraId="6A059EEF" w14:textId="7E6577F9" w:rsidR="00B67481" w:rsidRPr="00511005" w:rsidRDefault="007B2628" w:rsidP="007B2628">
      <w:pPr>
        <w:spacing w:line="264" w:lineRule="auto"/>
        <w:ind w:left="-709"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74AF1528" w14:textId="3D49BFC3" w:rsidR="00B67481" w:rsidRPr="00511005" w:rsidRDefault="00B67481" w:rsidP="003F6A5D">
      <w:pPr>
        <w:numPr>
          <w:ilvl w:val="0"/>
          <w:numId w:val="228"/>
        </w:numPr>
        <w:pBdr>
          <w:top w:val="nil"/>
          <w:left w:val="nil"/>
          <w:bottom w:val="nil"/>
          <w:right w:val="nil"/>
          <w:between w:val="nil"/>
        </w:pBd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Гудій В. Гендерна рівність в Україні: що маємо сьогодні.</w:t>
      </w:r>
      <w:r w:rsidR="007B2628" w:rsidRPr="00511005">
        <w:rPr>
          <w:rFonts w:ascii="Arial" w:eastAsia="Times New Roman" w:hAnsi="Arial" w:cs="Arial"/>
          <w:szCs w:val="28"/>
          <w:lang w:val="uk-UA" w:eastAsia="uk-UA"/>
        </w:rPr>
        <w:t xml:space="preserve"> </w:t>
      </w:r>
      <w:r w:rsidRPr="00511005">
        <w:rPr>
          <w:rFonts w:ascii="Arial" w:eastAsia="Times New Roman" w:hAnsi="Arial" w:cs="Arial"/>
          <w:i/>
          <w:szCs w:val="28"/>
          <w:lang w:val="uk-UA" w:eastAsia="uk-UA"/>
        </w:rPr>
        <w:t>Юридична газета</w:t>
      </w:r>
      <w:r w:rsidRPr="00511005">
        <w:rPr>
          <w:rFonts w:ascii="Arial" w:eastAsia="Times New Roman" w:hAnsi="Arial" w:cs="Arial"/>
          <w:szCs w:val="28"/>
          <w:lang w:val="uk-UA" w:eastAsia="uk-UA"/>
        </w:rPr>
        <w:t xml:space="preserve">. Київ. 2022. URL: </w:t>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r w:rsidR="007B2628" w:rsidRPr="00511005">
        <w:rPr>
          <w:rFonts w:ascii="Arial" w:eastAsia="Times New Roman" w:hAnsi="Arial" w:cs="Arial"/>
          <w:szCs w:val="28"/>
          <w:lang w:val="uk-UA" w:eastAsia="uk-UA"/>
        </w:rPr>
        <w:t xml:space="preserve"> </w:t>
      </w:r>
      <w:hyperlink r:id="rId885">
        <w:r w:rsidRPr="00511005">
          <w:rPr>
            <w:rFonts w:ascii="Arial" w:eastAsia="Times New Roman" w:hAnsi="Arial" w:cs="Arial"/>
            <w:szCs w:val="28"/>
            <w:lang w:val="uk-UA" w:eastAsia="uk-UA"/>
          </w:rPr>
          <w:t>https://yur-gazeta.com/dumka-eksperta/genderna-rivnist-v-ukrayini-shcho-maemo-sogodni.html</w:t>
        </w:r>
      </w:hyperlink>
      <w:r w:rsidRPr="00511005">
        <w:rPr>
          <w:rFonts w:ascii="Arial" w:eastAsia="Times New Roman" w:hAnsi="Arial" w:cs="Arial"/>
          <w:szCs w:val="28"/>
          <w:lang w:val="uk-UA" w:eastAsia="uk-UA"/>
        </w:rPr>
        <w:t xml:space="preserve"> (дата звернення 05.05.2025)</w:t>
      </w:r>
    </w:p>
    <w:p w14:paraId="7BCB93AB" w14:textId="77777777" w:rsidR="00B67481" w:rsidRPr="00511005" w:rsidRDefault="00B67481" w:rsidP="003F6A5D">
      <w:pPr>
        <w:numPr>
          <w:ilvl w:val="0"/>
          <w:numId w:val="228"/>
        </w:numPr>
        <w:pBdr>
          <w:top w:val="nil"/>
          <w:left w:val="nil"/>
          <w:bottom w:val="nil"/>
          <w:right w:val="nil"/>
          <w:between w:val="nil"/>
        </w:pBd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Конституція України: станом на 05 травня 2025 р.: відповідає офіц. тексту. Харків: Право, 2016. 82 с. URL: </w:t>
      </w:r>
      <w:hyperlink r:id="rId886" w:anchor="Text">
        <w:r w:rsidRPr="00511005">
          <w:rPr>
            <w:rFonts w:ascii="Arial" w:eastAsia="Times New Roman" w:hAnsi="Arial" w:cs="Arial"/>
            <w:szCs w:val="28"/>
            <w:lang w:val="uk-UA" w:eastAsia="uk-UA"/>
          </w:rPr>
          <w:t>https://zakon.rada.gov.ua/laws/show/254%D0%BA/96-%D0%B2%D1%80#Text</w:t>
        </w:r>
      </w:hyperlink>
      <w:r w:rsidRPr="00511005">
        <w:rPr>
          <w:rFonts w:ascii="Arial" w:eastAsia="Times New Roman" w:hAnsi="Arial" w:cs="Arial"/>
          <w:szCs w:val="28"/>
          <w:lang w:val="uk-UA" w:eastAsia="uk-UA"/>
        </w:rPr>
        <w:t xml:space="preserve"> (дата звернення 05.05.2025)</w:t>
      </w:r>
    </w:p>
    <w:p w14:paraId="4BECF5F1" w14:textId="77777777" w:rsidR="00B67481" w:rsidRPr="00511005" w:rsidRDefault="00B67481" w:rsidP="003F6A5D">
      <w:pPr>
        <w:numPr>
          <w:ilvl w:val="0"/>
          <w:numId w:val="228"/>
        </w:numPr>
        <w:pBdr>
          <w:top w:val="nil"/>
          <w:left w:val="nil"/>
          <w:bottom w:val="nil"/>
          <w:right w:val="nil"/>
          <w:between w:val="nil"/>
        </w:pBd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Питання гендерної рівності в конституційному процесі. </w:t>
      </w:r>
      <w:r w:rsidRPr="00511005">
        <w:rPr>
          <w:rFonts w:ascii="Arial" w:eastAsia="Times New Roman" w:hAnsi="Arial" w:cs="Arial"/>
          <w:i/>
          <w:szCs w:val="28"/>
          <w:lang w:val="uk-UA" w:eastAsia="uk-UA"/>
        </w:rPr>
        <w:t>Міжнародний центр перспективних досліджень</w:t>
      </w:r>
      <w:r w:rsidRPr="00511005">
        <w:rPr>
          <w:rFonts w:ascii="Arial" w:eastAsia="Times New Roman" w:hAnsi="Arial" w:cs="Arial"/>
          <w:szCs w:val="28"/>
          <w:lang w:val="uk-UA" w:eastAsia="uk-UA"/>
        </w:rPr>
        <w:t xml:space="preserve"> </w:t>
      </w:r>
      <w:r w:rsidRPr="00511005">
        <w:rPr>
          <w:rFonts w:ascii="Arial" w:eastAsia="Times New Roman" w:hAnsi="Arial" w:cs="Arial"/>
          <w:i/>
          <w:szCs w:val="28"/>
          <w:lang w:val="uk-UA" w:eastAsia="uk-UA"/>
        </w:rPr>
        <w:t>(ICPS)</w:t>
      </w:r>
      <w:r w:rsidRPr="00511005">
        <w:rPr>
          <w:rFonts w:ascii="Arial" w:eastAsia="Times New Roman" w:hAnsi="Arial" w:cs="Arial"/>
          <w:szCs w:val="28"/>
          <w:lang w:val="uk-UA" w:eastAsia="uk-UA"/>
        </w:rPr>
        <w:t xml:space="preserve">, Київ. 2020. С. 6 –URL: </w:t>
      </w:r>
      <w:hyperlink r:id="rId887">
        <w:r w:rsidRPr="00511005">
          <w:rPr>
            <w:rFonts w:ascii="Arial" w:eastAsia="Times New Roman" w:hAnsi="Arial" w:cs="Arial"/>
            <w:szCs w:val="28"/>
            <w:lang w:val="uk-UA" w:eastAsia="uk-UA"/>
          </w:rPr>
          <w:t>https://icps.com.ua/assets/uploads/images/images/eu/pitannya_genderno_r_vnost_v_konstituc_ynomu_proces_.pdf</w:t>
        </w:r>
      </w:hyperlink>
      <w:r w:rsidRPr="00511005">
        <w:rPr>
          <w:rFonts w:ascii="Arial" w:eastAsia="Times New Roman" w:hAnsi="Arial" w:cs="Arial"/>
          <w:szCs w:val="28"/>
          <w:lang w:val="uk-UA" w:eastAsia="uk-UA"/>
        </w:rPr>
        <w:t xml:space="preserve"> (дата звернення 05.05.2025)</w:t>
      </w:r>
    </w:p>
    <w:p w14:paraId="5CA3EAE7" w14:textId="77777777" w:rsidR="00B67481" w:rsidRPr="00511005" w:rsidRDefault="00B67481" w:rsidP="003F6A5D">
      <w:pPr>
        <w:numPr>
          <w:ilvl w:val="0"/>
          <w:numId w:val="228"/>
        </w:numPr>
        <w:pBdr>
          <w:top w:val="nil"/>
          <w:left w:val="nil"/>
          <w:bottom w:val="nil"/>
          <w:right w:val="nil"/>
          <w:between w:val="nil"/>
        </w:pBd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Юровська Г., Жданкіна Л. Людська гідність і гендерна рівність: конституційні метаморфози. </w:t>
      </w:r>
      <w:r w:rsidRPr="00511005">
        <w:rPr>
          <w:rFonts w:ascii="Arial" w:eastAsia="Times New Roman" w:hAnsi="Arial" w:cs="Arial"/>
          <w:i/>
          <w:szCs w:val="28"/>
          <w:lang w:val="uk-UA" w:eastAsia="uk-UA"/>
        </w:rPr>
        <w:t>Вісник Конституційного Суду України</w:t>
      </w:r>
      <w:r w:rsidRPr="00511005">
        <w:rPr>
          <w:rFonts w:ascii="Arial" w:eastAsia="Times New Roman" w:hAnsi="Arial" w:cs="Arial"/>
          <w:szCs w:val="28"/>
          <w:lang w:val="uk-UA" w:eastAsia="uk-UA"/>
        </w:rPr>
        <w:t xml:space="preserve">, Київ. 2023. С. 16 – URL: </w:t>
      </w:r>
      <w:hyperlink r:id="rId888">
        <w:r w:rsidRPr="00511005">
          <w:rPr>
            <w:rFonts w:ascii="Arial" w:eastAsia="Times New Roman" w:hAnsi="Arial" w:cs="Arial"/>
            <w:szCs w:val="28"/>
            <w:lang w:val="uk-UA" w:eastAsia="uk-UA"/>
          </w:rPr>
          <w:t>https://ccu.gov.ua/sites/default/files/yurovska_g._zhdankina_l._lyudska_gidnist_i_genderna_rivnist-konstytuciyni_metamorfozy_0.pdf</w:t>
        </w:r>
      </w:hyperlink>
      <w:r w:rsidRPr="00511005">
        <w:rPr>
          <w:rFonts w:ascii="Arial" w:eastAsia="Times New Roman" w:hAnsi="Arial" w:cs="Arial"/>
          <w:szCs w:val="28"/>
          <w:lang w:val="uk-UA" w:eastAsia="uk-UA"/>
        </w:rPr>
        <w:t xml:space="preserve"> (дата звернення 05.05.2025)</w:t>
      </w:r>
    </w:p>
    <w:p w14:paraId="7FEDC8DA" w14:textId="77777777" w:rsidR="007B2628" w:rsidRPr="00511005" w:rsidRDefault="00B67481" w:rsidP="003F6A5D">
      <w:pPr>
        <w:numPr>
          <w:ilvl w:val="0"/>
          <w:numId w:val="228"/>
        </w:numPr>
        <w:pBdr>
          <w:top w:val="nil"/>
          <w:left w:val="nil"/>
          <w:bottom w:val="nil"/>
          <w:right w:val="nil"/>
          <w:between w:val="nil"/>
        </w:pBd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Галина Юровська про ключові аспекти гендерної рівності як фундаментальної конституційної цінності. </w:t>
      </w:r>
      <w:r w:rsidRPr="00511005">
        <w:rPr>
          <w:rFonts w:ascii="Arial" w:eastAsia="Times New Roman" w:hAnsi="Arial" w:cs="Arial"/>
          <w:i/>
          <w:szCs w:val="28"/>
          <w:lang w:val="uk-UA" w:eastAsia="uk-UA"/>
        </w:rPr>
        <w:t>Конституційний Суд України</w:t>
      </w:r>
      <w:r w:rsidRPr="00511005">
        <w:rPr>
          <w:rFonts w:ascii="Arial" w:eastAsia="Times New Roman" w:hAnsi="Arial" w:cs="Arial"/>
          <w:szCs w:val="28"/>
          <w:lang w:val="uk-UA" w:eastAsia="uk-UA"/>
        </w:rPr>
        <w:t xml:space="preserve">. Київ. 2023. URL: </w:t>
      </w:r>
      <w:r w:rsidRPr="00511005">
        <w:rPr>
          <w:rFonts w:ascii="Arial" w:eastAsia="Times New Roman" w:hAnsi="Arial" w:cs="Arial"/>
          <w:szCs w:val="28"/>
          <w:lang w:val="uk-UA" w:eastAsia="uk-UA"/>
        </w:rPr>
        <w:tab/>
      </w:r>
      <w:r w:rsidRPr="00511005">
        <w:rPr>
          <w:rFonts w:ascii="Arial" w:eastAsia="Times New Roman" w:hAnsi="Arial" w:cs="Arial"/>
          <w:szCs w:val="28"/>
          <w:lang w:val="uk-UA" w:eastAsia="uk-UA"/>
        </w:rPr>
        <w:tab/>
      </w:r>
      <w:r w:rsidR="007B2628" w:rsidRPr="00511005">
        <w:rPr>
          <w:rFonts w:ascii="Arial" w:eastAsia="Times New Roman" w:hAnsi="Arial" w:cs="Arial"/>
          <w:szCs w:val="28"/>
          <w:lang w:val="uk-UA" w:eastAsia="uk-UA"/>
        </w:rPr>
        <w:t xml:space="preserve"> </w:t>
      </w:r>
      <w:hyperlink r:id="rId889">
        <w:r w:rsidRPr="00511005">
          <w:rPr>
            <w:rFonts w:ascii="Arial" w:eastAsia="Times New Roman" w:hAnsi="Arial" w:cs="Arial"/>
            <w:szCs w:val="28"/>
            <w:lang w:val="uk-UA" w:eastAsia="uk-UA"/>
          </w:rPr>
          <w:t>https://ccu.gov.ua/novyna/galyna-yurovska-pro-klyuchovi-aspekty-gendernoyi-rivnosti-yak-fundamentalnoyi-konstytuciynoyi</w:t>
        </w:r>
      </w:hyperlink>
      <w:r w:rsidRPr="00511005">
        <w:rPr>
          <w:rFonts w:ascii="Arial" w:eastAsia="Times New Roman" w:hAnsi="Arial" w:cs="Arial"/>
          <w:szCs w:val="28"/>
          <w:lang w:val="uk-UA" w:eastAsia="uk-UA"/>
        </w:rPr>
        <w:t xml:space="preserve"> (дата звернення 05.05.2025)</w:t>
      </w:r>
    </w:p>
    <w:p w14:paraId="5E0DF312" w14:textId="0C332612" w:rsidR="00B67481" w:rsidRPr="00511005" w:rsidRDefault="007B2628" w:rsidP="0071733E">
      <w:pPr>
        <w:pBdr>
          <w:top w:val="nil"/>
          <w:left w:val="nil"/>
          <w:bottom w:val="nil"/>
          <w:right w:val="nil"/>
          <w:between w:val="nil"/>
        </w:pBdr>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szCs w:val="28"/>
          <w:lang w:val="uk-UA" w:eastAsia="uk-UA"/>
        </w:rPr>
        <w:t>гендерна рівність, конституційна цінність, права людини, дискримінація за статтю, міжнародні стандарти, гендерна політика, соціальна справедливість.</w:t>
      </w:r>
    </w:p>
    <w:p w14:paraId="5832D10E" w14:textId="0FAD8085" w:rsidR="00B67481" w:rsidRPr="00511005" w:rsidRDefault="007B2628" w:rsidP="0071733E">
      <w:pPr>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szCs w:val="28"/>
          <w:lang w:val="uk-UA" w:eastAsia="uk-UA"/>
        </w:rPr>
        <w:t>gender equality, constitutional value, human rights, sex-based discrimination, international standards, gender policy, social justice.</w:t>
      </w:r>
      <w:r w:rsidR="00B67481" w:rsidRPr="00511005">
        <w:rPr>
          <w:rFonts w:ascii="Arial" w:eastAsia="Times New Roman" w:hAnsi="Arial" w:cs="Arial"/>
          <w:szCs w:val="28"/>
          <w:lang w:val="uk-UA" w:eastAsia="uk-UA"/>
        </w:rPr>
        <w:tab/>
      </w:r>
    </w:p>
    <w:p w14:paraId="308AE5EC" w14:textId="27D60CC9" w:rsidR="00B67481" w:rsidRPr="00511005" w:rsidRDefault="007B2628" w:rsidP="0071733E">
      <w:pPr>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Науковий керівник: </w:t>
      </w:r>
      <w:r w:rsidR="00B67481" w:rsidRPr="00511005">
        <w:rPr>
          <w:rFonts w:ascii="Arial" w:eastAsia="Times New Roman" w:hAnsi="Arial" w:cs="Arial"/>
          <w:i/>
          <w:szCs w:val="28"/>
          <w:lang w:val="uk-UA" w:eastAsia="uk-UA"/>
        </w:rPr>
        <w:t>к.ю.н., доц</w:t>
      </w:r>
      <w:r w:rsidR="0071733E">
        <w:rPr>
          <w:rFonts w:ascii="Arial" w:eastAsia="Times New Roman" w:hAnsi="Arial" w:cs="Arial"/>
          <w:i/>
          <w:szCs w:val="28"/>
          <w:lang w:val="uk-UA" w:eastAsia="uk-UA"/>
        </w:rPr>
        <w:t>ент</w:t>
      </w:r>
      <w:r w:rsidR="00B67481" w:rsidRPr="00511005">
        <w:rPr>
          <w:rFonts w:ascii="Arial" w:eastAsia="Times New Roman" w:hAnsi="Arial" w:cs="Arial"/>
          <w:i/>
          <w:szCs w:val="28"/>
          <w:lang w:val="uk-UA" w:eastAsia="uk-UA"/>
        </w:rPr>
        <w:t xml:space="preserve"> Кулі-Іванченко К.К.</w:t>
      </w:r>
    </w:p>
    <w:p w14:paraId="5BA34E6C" w14:textId="77777777" w:rsidR="00B67481" w:rsidRPr="00511005" w:rsidRDefault="00B67481" w:rsidP="003A292D">
      <w:pPr>
        <w:spacing w:line="264" w:lineRule="auto"/>
        <w:ind w:firstLine="0"/>
        <w:jc w:val="left"/>
        <w:rPr>
          <w:rFonts w:ascii="Arial" w:eastAsia="Times New Roman" w:hAnsi="Arial" w:cs="Arial"/>
          <w:szCs w:val="28"/>
          <w:lang w:val="uk-UA" w:eastAsia="uk-UA"/>
        </w:rPr>
      </w:pPr>
    </w:p>
    <w:p w14:paraId="23046E36" w14:textId="77777777" w:rsidR="00B67481" w:rsidRPr="00511005" w:rsidRDefault="00B67481" w:rsidP="0071733E">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i/>
          <w:szCs w:val="28"/>
          <w:lang w:val="uk-UA" w:eastAsia="uk-UA"/>
        </w:rPr>
        <w:t>Ринкун Марія Володимирівна</w:t>
      </w:r>
    </w:p>
    <w:p w14:paraId="48F96B32" w14:textId="77777777" w:rsidR="0071733E" w:rsidRDefault="00536AAB" w:rsidP="0071733E">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 xml:space="preserve">студентка 3-го курсу </w:t>
      </w:r>
      <w:r w:rsidR="001B7B25" w:rsidRPr="0071733E">
        <w:rPr>
          <w:rFonts w:ascii="Arial" w:eastAsia="Times New Roman" w:hAnsi="Arial" w:cs="Arial"/>
          <w:iCs/>
          <w:szCs w:val="28"/>
          <w:lang w:val="uk-UA" w:eastAsia="uk-UA"/>
        </w:rPr>
        <w:t>факультету судового та міжнародного права</w:t>
      </w:r>
      <w:r w:rsidR="00B67481" w:rsidRPr="0071733E">
        <w:rPr>
          <w:rFonts w:ascii="Arial" w:eastAsia="Times New Roman" w:hAnsi="Arial" w:cs="Arial"/>
          <w:iCs/>
          <w:szCs w:val="28"/>
          <w:lang w:val="uk-UA" w:eastAsia="uk-UA"/>
        </w:rPr>
        <w:t xml:space="preserve"> </w:t>
      </w:r>
    </w:p>
    <w:p w14:paraId="7C04D372" w14:textId="7E52C917" w:rsidR="00B67481" w:rsidRPr="0071733E" w:rsidRDefault="007B2628" w:rsidP="0071733E">
      <w:pP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r w:rsidR="00B67481" w:rsidRPr="0071733E">
        <w:rPr>
          <w:rFonts w:ascii="Arial" w:eastAsia="Times New Roman" w:hAnsi="Arial" w:cs="Arial"/>
          <w:iCs/>
          <w:szCs w:val="28"/>
          <w:lang w:val="uk-UA" w:eastAsia="uk-UA"/>
        </w:rPr>
        <w:t xml:space="preserve"> </w:t>
      </w:r>
    </w:p>
    <w:p w14:paraId="6030C7B4" w14:textId="77777777" w:rsidR="00B67481" w:rsidRPr="00511005" w:rsidRDefault="00B67481" w:rsidP="0071733E">
      <w:pPr>
        <w:spacing w:line="264" w:lineRule="auto"/>
        <w:ind w:firstLine="0"/>
        <w:jc w:val="center"/>
        <w:rPr>
          <w:rFonts w:ascii="Arial" w:eastAsia="Times New Roman" w:hAnsi="Arial" w:cs="Arial"/>
          <w:szCs w:val="28"/>
          <w:lang w:val="uk-UA" w:eastAsia="uk-UA"/>
        </w:rPr>
      </w:pPr>
    </w:p>
    <w:p w14:paraId="4A6A3801" w14:textId="77777777" w:rsidR="00B67481" w:rsidRPr="00511005" w:rsidRDefault="00B67481" w:rsidP="0071733E">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РОЛЬ КОНСТИТУЦІЇ В ОБМЕЖЕННІ ВЛАДИ ПРЕЗИДЕНТА ПІВДЕННОЇ КОРЕЇ: АНАЛІЗ ІМПІЧМЕНТУ ПАК КИН ХЄ</w:t>
      </w:r>
    </w:p>
    <w:p w14:paraId="67F3629D" w14:textId="6D549583"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Поява ідеї обмеження влади «є реакцією на зосередження влади в одних руках із метою запобігання йому в подальшій практиці функціонування публічної влади» [7, с. 152]. Як наголошував Ш.</w:t>
      </w:r>
      <w:r w:rsidR="0071733E">
        <w:rPr>
          <w:rFonts w:ascii="Arial" w:eastAsia="Times New Roman" w:hAnsi="Arial" w:cs="Arial"/>
          <w:szCs w:val="28"/>
          <w:lang w:val="uk-UA" w:eastAsia="uk-UA"/>
        </w:rPr>
        <w:t> </w:t>
      </w:r>
      <w:r w:rsidRPr="00511005">
        <w:rPr>
          <w:rFonts w:ascii="Arial" w:eastAsia="Times New Roman" w:hAnsi="Arial" w:cs="Arial"/>
          <w:szCs w:val="28"/>
          <w:lang w:val="uk-UA" w:eastAsia="uk-UA"/>
        </w:rPr>
        <w:t>Л.</w:t>
      </w:r>
      <w:r w:rsidR="0071733E">
        <w:rPr>
          <w:rFonts w:ascii="Arial" w:eastAsia="Times New Roman" w:hAnsi="Arial" w:cs="Arial"/>
          <w:szCs w:val="28"/>
          <w:lang w:val="uk-UA" w:eastAsia="uk-UA"/>
        </w:rPr>
        <w:t> </w:t>
      </w:r>
      <w:r w:rsidRPr="00511005">
        <w:rPr>
          <w:rFonts w:ascii="Arial" w:eastAsia="Times New Roman" w:hAnsi="Arial" w:cs="Arial"/>
          <w:szCs w:val="28"/>
          <w:lang w:val="uk-UA" w:eastAsia="uk-UA"/>
        </w:rPr>
        <w:t>Монтеск’є: «Досвід показує, що будь-яка людина, наділена владою, схильна до зловживання нею. Вона продовжуватиме ці зловживання, якщо перед нею не поставити бар’єр … З метою запобігти зловживанням владою необхідно таким чином організувати управління державою, щоб одна влада протидіяла іншій» [8, p. 128; 7, с. 152].</w:t>
      </w:r>
    </w:p>
    <w:p w14:paraId="7F1B2295"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Імпічмент президента є інструментом, що застосовується для захисту демократичної системи від потенційних зловживань з боку чинного президента, що становить актуальну проблему для новостворених президентських демократій у різних країнах [4].</w:t>
      </w:r>
    </w:p>
    <w:p w14:paraId="4F0AB081"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контексті еволюції конституційної демократії в Республіці Корея важливим етапом стало рішення Конституційного суду, яке заклало прецедент у сфері забезпечення верховенства права та конституційної відповідальності найвищих посадових осіб. Зокрема, Конституційний суд Південної Кореї вперше в історії держави визнав юридично обґрунтованим імпічмент чинного президента, ухваливши рішення на користь усунення Пак Кин Хє з посади. Це рішення стало не лише безпрецедентним кроком у правовій практиці країни, але й важливим етапом у зміцненні механізмів конституційного контролю та підзвітності органів влади.</w:t>
      </w:r>
    </w:p>
    <w:p w14:paraId="682220CC"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Південній Кореї процедура імпічменту президента регулює стаття 65 Конституції, що передбачає двоетапний процес: перший етап — обвинувачення в Національних зборах, де пропозицію про імпічмент має </w:t>
      </w:r>
      <w:r w:rsidRPr="00511005">
        <w:rPr>
          <w:rFonts w:ascii="Arial" w:eastAsia="Times New Roman" w:hAnsi="Arial" w:cs="Arial"/>
          <w:szCs w:val="28"/>
          <w:lang w:val="uk-UA" w:eastAsia="uk-UA"/>
        </w:rPr>
        <w:lastRenderedPageBreak/>
        <w:t>бути підтримано двома третинами голосів; другий етап — розгляд Конституційним судом, який має остаточне слово щодо усунення президента. Важливість цього процесу полягає в його націленості на захист від політичних маніпуляцій і зловживань владою, а також на зміцнення принципів розподілу влади та верховенства права в країні [5].</w:t>
      </w:r>
    </w:p>
    <w:p w14:paraId="00512D72" w14:textId="40926BDF"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Своєю чергою, згадане рішення стало наслідком голосування в Національній асамблеї у грудні 2016 року, де імпічмент було підтримано переважною більшістю – 234 голоси зі 300 можливих. Підтвердження імпічменту стало також відповіддю на масові мирні протестні акції, відомі як «світлові віче», що тривали протягом п’яти місяців і залучили понад 15</w:t>
      </w:r>
      <w:r w:rsidR="0071733E">
        <w:rPr>
          <w:rFonts w:ascii="Arial" w:eastAsia="Times New Roman" w:hAnsi="Arial" w:cs="Arial"/>
          <w:szCs w:val="28"/>
          <w:lang w:val="uk-UA" w:eastAsia="uk-UA"/>
        </w:rPr>
        <w:t> </w:t>
      </w:r>
      <w:r w:rsidRPr="00511005">
        <w:rPr>
          <w:rFonts w:ascii="Arial" w:eastAsia="Times New Roman" w:hAnsi="Arial" w:cs="Arial"/>
          <w:szCs w:val="28"/>
          <w:lang w:val="uk-UA" w:eastAsia="uk-UA"/>
        </w:rPr>
        <w:t xml:space="preserve">мільйонів громадян. Багато робіт науковців, що досліджували події того часу, акцентують увагу саме на активній позиції громадян. Ті, хто виступав проти президента, змогли мобілізувати мільйони людей, чим створили тиск на політиків, змушуючи їх підтримати імпічмент. Тому можна дійти висновку, що події підкреслюють не лише важливість наявності коректного механізму ініціювання та проведення процедури імпічменту, а також народної участі та зацікавленості суспільства у формуванні політичного курсу та зміцненні демократичних процесів. У своїй роботі Чонгчхоль Кім порівнює ці події з червнем 1987 року, де було закладено основу сучасної південнокорейської конституційної демократії. </w:t>
      </w:r>
    </w:p>
    <w:p w14:paraId="45492124"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Стаття в </w:t>
      </w:r>
      <w:r w:rsidRPr="00511005">
        <w:rPr>
          <w:rFonts w:ascii="Arial" w:eastAsia="Times New Roman" w:hAnsi="Arial" w:cs="Arial"/>
          <w:i/>
          <w:szCs w:val="28"/>
          <w:lang w:val="uk-UA" w:eastAsia="uk-UA"/>
        </w:rPr>
        <w:t>The Diplomat</w:t>
      </w:r>
      <w:r w:rsidRPr="00511005">
        <w:rPr>
          <w:rFonts w:ascii="Arial" w:eastAsia="Times New Roman" w:hAnsi="Arial" w:cs="Arial"/>
          <w:szCs w:val="28"/>
          <w:lang w:val="uk-UA" w:eastAsia="uk-UA"/>
        </w:rPr>
        <w:t xml:space="preserve"> досліджує події, що стали передумовою імпічменту президента Пак Кин Хє. Центральною фігурою скандалу стала Чхве Сун Сіль — її давня довірена особа, яка отримала значний вплив на державне управління. Вона мала можливість переглядати президентські промови, втручалася у процеси призначення посадовців і навіть впливала на особисті аспекти життя Пак Кин Хє. Витоки їхніх стосунків сягають 1970-х років, коли батько Чхве, очільник релігійної секти, став наставником майбутньої президентки після трагічного вбивства її матері. Він переконував Пак у своїй здатності контактувати з духом її матері, що призвело до багаторічного впливу сім'ї Чхве на її життя та політичну кар'єру. У подальшому Чхве Сун Сіль звинуватили у тому, що вона використовувала свої зв'язки з президентом для тиску на великі корпорації (чеболі), змушуючи їх перераховувати значні суми грошей у благодійні фонди, які фактично служили для особистого збагачення. Коли ці факти стали відомі громадськості, в країні розпочалися масштабні протести, на яких вимагали відставки глави держави. Протягом кількох місяців суспільний тиск лише зростав, що врешті-решт призвело до ухвалення рішення про імпічмент Національною асамблеєю, а згодом і його підтвердження Конституційним судом. [3]. У квітні 2018 року Пак Кин Хє була засуджена до 24 років ув’язнення за обвинуваченнями в розголошенні державної таємниці, здирництві, зловживанні владою та отриманні хабарів. У січні цього ж року Верховний суд Південної Кореї скоротив термін її покарання до 20 років [6].</w:t>
      </w:r>
    </w:p>
    <w:p w14:paraId="21893ACC"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24 грудня 2021 року Міністерство юстиції Південної Кореї оголосило, що колишня очільниця Пак Кин Хє, яка була засуджена до 20 років ув’язнення за корупцію, включена до списку осіб, що підлягають амністії. Влада пояснила своє рішення прагненням подолати важку історію країни, сприяти єдності народу та надати можливість для руху вперед у майбутнє.</w:t>
      </w:r>
    </w:p>
    <w:p w14:paraId="28A1685F" w14:textId="77777777" w:rsidR="00B67481" w:rsidRPr="00511005" w:rsidRDefault="00B67481"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Можна дійти висновку, що рішення значно підвищило авторитет Конституційного суду як арбітра в політичних конфліктах у країні. Як зазначає дослідник Чонгчхоль Кім, «імпічмент Пак Кин Хє став черговим доказом зростання статусу Конституційного суду в політичному житті Південної Кореї». Рішення також продемонструвало, що суд здатен діяти незалежно, навіть у політично чутливих справах, що зміцнило довіру громадськості до судової системи та сприяло подальшому розвитку конституційної демократії в країні, цей процес продемонстрував високий рівень розвитку конституційної демократії Південної Кореї, де народне волевиявлення, виражене через «демократію площ», було ефективно реалізоване через державні інституції. Натомість зниження терміну покарання Пак Кин Хє до 20 років ув’язнення та її амністія в 2021 році порушили питання про можливі політичні мотиви в рішенні влади, що вказує на складність балансу між правосуддям та політичними інтересами в процесах після імпічменту. Загалом, ці події підкреслюють важливість існування міцних механізмів конституційного контролю та активного громадянського суспільства для підтримки демократії та правопорядку.</w:t>
      </w:r>
    </w:p>
    <w:p w14:paraId="532DCA32" w14:textId="77777777" w:rsidR="00B67481" w:rsidRPr="00511005" w:rsidRDefault="00B67481" w:rsidP="003A292D">
      <w:pPr>
        <w:spacing w:line="264" w:lineRule="auto"/>
        <w:ind w:firstLine="283"/>
        <w:rPr>
          <w:rFonts w:ascii="Arial" w:eastAsia="Times New Roman" w:hAnsi="Arial" w:cs="Arial"/>
          <w:szCs w:val="28"/>
          <w:lang w:val="uk-UA" w:eastAsia="uk-UA"/>
        </w:rPr>
      </w:pPr>
    </w:p>
    <w:p w14:paraId="1EB2B728" w14:textId="60886A1B" w:rsidR="00B67481" w:rsidRPr="00511005" w:rsidRDefault="007B2628" w:rsidP="007B2628">
      <w:pPr>
        <w:spacing w:line="264" w:lineRule="auto"/>
        <w:ind w:firstLine="283"/>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Список використаних джерел</w:t>
      </w:r>
    </w:p>
    <w:p w14:paraId="49294EF3" w14:textId="77777777" w:rsidR="00B67481" w:rsidRPr="00511005" w:rsidRDefault="00B67481" w:rsidP="003F6A5D">
      <w:pPr>
        <w:numPr>
          <w:ilvl w:val="0"/>
          <w:numId w:val="229"/>
        </w:num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Korea Economic Institute of America. The Impeachment of South Korean President Park Geun-Hye: Constitution, Politics, and Democracy. East Asia Foundation. URL: https://www.keaf.org/en/book/EAF_Policy_Debates/The_Impeachment_of_South_Korean_President_Park_Geun-Hye_Constitution_Politics_and_Democracy?ckattempt=2 (дата звернення: 16.04.2025).</w:t>
      </w:r>
    </w:p>
    <w:p w14:paraId="50C69CD0" w14:textId="77777777" w:rsidR="00B67481" w:rsidRPr="00511005" w:rsidRDefault="00B67481" w:rsidP="003F6A5D">
      <w:pPr>
        <w:numPr>
          <w:ilvl w:val="0"/>
          <w:numId w:val="229"/>
        </w:num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BBC News Україна. Екс-президенту Південної Кореї висунули звинувачення у корупції. 17.04.2017. URL: https://www.bbc.com/ukrainian/news-39620357 (дата звернення: 16.04.2025).</w:t>
      </w:r>
    </w:p>
    <w:p w14:paraId="6E7ABDE9" w14:textId="77777777" w:rsidR="00B67481" w:rsidRPr="00511005" w:rsidRDefault="00B67481" w:rsidP="003F6A5D">
      <w:pPr>
        <w:numPr>
          <w:ilvl w:val="0"/>
          <w:numId w:val="229"/>
        </w:num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Kelly R. E. South Korea’s Most Bizarre Corruption Scandal Yet. </w:t>
      </w:r>
      <w:r w:rsidRPr="00511005">
        <w:rPr>
          <w:rFonts w:ascii="Arial" w:eastAsia="Times New Roman" w:hAnsi="Arial" w:cs="Arial"/>
          <w:i/>
          <w:szCs w:val="28"/>
          <w:lang w:val="uk-UA" w:eastAsia="uk-UA"/>
        </w:rPr>
        <w:t>The Diplomat</w:t>
      </w:r>
      <w:r w:rsidRPr="00511005">
        <w:rPr>
          <w:rFonts w:ascii="Arial" w:eastAsia="Times New Roman" w:hAnsi="Arial" w:cs="Arial"/>
          <w:szCs w:val="28"/>
          <w:lang w:val="uk-UA" w:eastAsia="uk-UA"/>
        </w:rPr>
        <w:t>. 04.11.2016. URL: https://thediplomat.com/2016/11/south-koreas-most-bizarre-corruption-scandal-yet/ (дата звернення: 16.04.2025).</w:t>
      </w:r>
    </w:p>
    <w:p w14:paraId="75D4987D" w14:textId="77777777" w:rsidR="00B67481" w:rsidRPr="00511005" w:rsidRDefault="00B67481" w:rsidP="003F6A5D">
      <w:pPr>
        <w:numPr>
          <w:ilvl w:val="0"/>
          <w:numId w:val="229"/>
        </w:num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Börzel T. A., Risse T. The Institution of Presidential Impeachment in South Korea: 1992-2017. </w:t>
      </w:r>
      <w:r w:rsidRPr="00511005">
        <w:rPr>
          <w:rFonts w:ascii="Arial" w:eastAsia="Times New Roman" w:hAnsi="Arial" w:cs="Arial"/>
          <w:i/>
          <w:szCs w:val="28"/>
          <w:lang w:val="uk-UA" w:eastAsia="uk-UA"/>
        </w:rPr>
        <w:t>Nomos eLibrary</w:t>
      </w:r>
      <w:r w:rsidRPr="00511005">
        <w:rPr>
          <w:rFonts w:ascii="Arial" w:eastAsia="Times New Roman" w:hAnsi="Arial" w:cs="Arial"/>
          <w:szCs w:val="28"/>
          <w:lang w:val="uk-UA" w:eastAsia="uk-UA"/>
        </w:rPr>
        <w:t>. 2017. Vol. 50. No. 2. Pp. 111-123. DOI: 10.5771/0506-7286-2017-2-111.</w:t>
      </w:r>
    </w:p>
    <w:p w14:paraId="77EAF58F" w14:textId="77777777" w:rsidR="00B67481" w:rsidRPr="00511005" w:rsidRDefault="00B67481" w:rsidP="003F6A5D">
      <w:pPr>
        <w:numPr>
          <w:ilvl w:val="0"/>
          <w:numId w:val="229"/>
        </w:num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Констанс Лі. Конституціоналізм, орієнтований на суд, у демократії, що розвивається: уроки Південної Кореї та справи про імпічмент у 2016/17 рр. </w:t>
      </w:r>
      <w:r w:rsidRPr="00511005">
        <w:rPr>
          <w:rFonts w:ascii="Arial" w:eastAsia="Times New Roman" w:hAnsi="Arial" w:cs="Arial"/>
          <w:i/>
          <w:szCs w:val="28"/>
          <w:lang w:val="uk-UA" w:eastAsia="uk-UA"/>
        </w:rPr>
        <w:t>Блог IACL-AIDC</w:t>
      </w:r>
      <w:r w:rsidRPr="00511005">
        <w:rPr>
          <w:rFonts w:ascii="Arial" w:eastAsia="Times New Roman" w:hAnsi="Arial" w:cs="Arial"/>
          <w:szCs w:val="28"/>
          <w:lang w:val="uk-UA" w:eastAsia="uk-UA"/>
        </w:rPr>
        <w:t xml:space="preserve"> (17 квітня 2019 р.) </w:t>
      </w:r>
      <w:hyperlink r:id="rId890">
        <w:r w:rsidRPr="00511005">
          <w:rPr>
            <w:rFonts w:ascii="Arial" w:eastAsia="Times New Roman" w:hAnsi="Arial" w:cs="Arial"/>
            <w:szCs w:val="28"/>
            <w:lang w:val="uk-UA" w:eastAsia="uk-UA"/>
          </w:rPr>
          <w:t>https://blog-iacl-aidc.org/2019-posts/2019/4/17/court-centred-constitutionalism-in-an-emerging-democracy-lessons-from-south-korea-and-the-impeachment-case-of-201617</w:t>
        </w:r>
      </w:hyperlink>
      <w:r w:rsidRPr="00511005">
        <w:rPr>
          <w:rFonts w:ascii="Arial" w:eastAsia="Times New Roman" w:hAnsi="Arial" w:cs="Arial"/>
          <w:szCs w:val="28"/>
          <w:lang w:val="uk-UA" w:eastAsia="uk-UA"/>
        </w:rPr>
        <w:t xml:space="preserve"> (дата звернення: 16.04.2025).</w:t>
      </w:r>
    </w:p>
    <w:p w14:paraId="0BDB5C6C" w14:textId="77777777" w:rsidR="00B67481" w:rsidRPr="00511005" w:rsidRDefault="00B67481" w:rsidP="003F6A5D">
      <w:pPr>
        <w:numPr>
          <w:ilvl w:val="0"/>
          <w:numId w:val="229"/>
        </w:num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Влада Південної Кореї помилувала колишню президентку, засуджену до 20 років тюрми. </w:t>
      </w:r>
      <w:r w:rsidRPr="00511005">
        <w:rPr>
          <w:rFonts w:ascii="Arial" w:eastAsia="Times New Roman" w:hAnsi="Arial" w:cs="Arial"/>
          <w:i/>
          <w:szCs w:val="28"/>
          <w:lang w:val="uk-UA" w:eastAsia="uk-UA"/>
        </w:rPr>
        <w:t>Радіо Свобода</w:t>
      </w:r>
      <w:r w:rsidRPr="00511005">
        <w:rPr>
          <w:rFonts w:ascii="Arial" w:eastAsia="Times New Roman" w:hAnsi="Arial" w:cs="Arial"/>
          <w:szCs w:val="28"/>
          <w:lang w:val="uk-UA" w:eastAsia="uk-UA"/>
        </w:rPr>
        <w:t xml:space="preserve">. 24 грудня 2021 року. URL: </w:t>
      </w:r>
      <w:hyperlink r:id="rId891">
        <w:r w:rsidRPr="00511005">
          <w:rPr>
            <w:rFonts w:ascii="Arial" w:eastAsia="Times New Roman" w:hAnsi="Arial" w:cs="Arial"/>
            <w:szCs w:val="28"/>
            <w:lang w:val="uk-UA" w:eastAsia="uk-UA"/>
          </w:rPr>
          <w:t>https://www.radiosvoboda.org/a/news-pivdenna-korea-prezydent-pomyluvannia/31624042.html</w:t>
        </w:r>
      </w:hyperlink>
      <w:r w:rsidRPr="00511005">
        <w:rPr>
          <w:rFonts w:ascii="Arial" w:eastAsia="Times New Roman" w:hAnsi="Arial" w:cs="Arial"/>
          <w:szCs w:val="28"/>
          <w:lang w:val="uk-UA" w:eastAsia="uk-UA"/>
        </w:rPr>
        <w:t xml:space="preserve"> (дата звернення: 16.04.2025).</w:t>
      </w:r>
    </w:p>
    <w:p w14:paraId="79755D3E" w14:textId="77777777" w:rsidR="00B67481" w:rsidRPr="00511005" w:rsidRDefault="00B67481" w:rsidP="003F6A5D">
      <w:pPr>
        <w:numPr>
          <w:ilvl w:val="0"/>
          <w:numId w:val="229"/>
        </w:num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Батан Ю.Д. Превентивний механізм сучасного права : дис. … канд. юрид. наук : 12.00.01. Одеса, 2021. 267 с. URL : </w:t>
      </w:r>
      <w:hyperlink r:id="rId892">
        <w:r w:rsidRPr="00511005">
          <w:rPr>
            <w:rFonts w:ascii="Arial" w:eastAsia="Times New Roman" w:hAnsi="Arial" w:cs="Arial"/>
            <w:szCs w:val="28"/>
            <w:lang w:val="uk-UA" w:eastAsia="uk-UA"/>
          </w:rPr>
          <w:t>https://hdl.handle.net/11300/15141</w:t>
        </w:r>
      </w:hyperlink>
      <w:r w:rsidRPr="00511005">
        <w:rPr>
          <w:rFonts w:ascii="Arial" w:eastAsia="Times New Roman" w:hAnsi="Arial" w:cs="Arial"/>
          <w:szCs w:val="28"/>
          <w:lang w:val="uk-UA" w:eastAsia="uk-UA"/>
        </w:rPr>
        <w:t xml:space="preserve"> (дата звернення: 16.04.2025).</w:t>
      </w:r>
    </w:p>
    <w:p w14:paraId="268714B4" w14:textId="77777777" w:rsidR="00B67481" w:rsidRPr="00511005" w:rsidRDefault="00B67481" w:rsidP="003F6A5D">
      <w:pPr>
        <w:numPr>
          <w:ilvl w:val="0"/>
          <w:numId w:val="229"/>
        </w:num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Montesquieu Ch. Esprit des Lois. Paris, 1894. Vol. XI. 4. P. 128.</w:t>
      </w:r>
    </w:p>
    <w:p w14:paraId="2731F690" w14:textId="77777777" w:rsidR="00B67481" w:rsidRPr="00511005" w:rsidRDefault="00B67481" w:rsidP="003A292D">
      <w:pPr>
        <w:spacing w:line="264" w:lineRule="auto"/>
        <w:ind w:left="643" w:firstLine="283"/>
        <w:jc w:val="left"/>
        <w:rPr>
          <w:rFonts w:ascii="Arial" w:eastAsia="Times New Roman" w:hAnsi="Arial" w:cs="Arial"/>
          <w:szCs w:val="28"/>
          <w:lang w:val="uk-UA" w:eastAsia="uk-UA"/>
        </w:rPr>
      </w:pPr>
    </w:p>
    <w:p w14:paraId="42CCBC7E" w14:textId="0B2A6061" w:rsidR="00B67481" w:rsidRPr="00511005" w:rsidRDefault="007B2628" w:rsidP="003A292D">
      <w:pPr>
        <w:spacing w:line="264" w:lineRule="auto"/>
        <w:ind w:firstLine="283"/>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B67481" w:rsidRPr="00511005">
        <w:rPr>
          <w:rFonts w:ascii="Arial" w:eastAsia="Times New Roman" w:hAnsi="Arial" w:cs="Arial"/>
          <w:i/>
          <w:szCs w:val="28"/>
          <w:lang w:val="uk-UA" w:eastAsia="uk-UA"/>
        </w:rPr>
        <w:t>к. ю. н., доцент</w:t>
      </w:r>
      <w:r w:rsidRPr="00511005">
        <w:rPr>
          <w:rFonts w:ascii="Arial" w:eastAsia="Times New Roman" w:hAnsi="Arial" w:cs="Arial"/>
          <w:i/>
          <w:szCs w:val="28"/>
          <w:lang w:val="uk-UA" w:eastAsia="uk-UA"/>
        </w:rPr>
        <w:t xml:space="preserve"> </w:t>
      </w:r>
      <w:r w:rsidR="00B67481" w:rsidRPr="00511005">
        <w:rPr>
          <w:rFonts w:ascii="Arial" w:eastAsia="Times New Roman" w:hAnsi="Arial" w:cs="Arial"/>
          <w:i/>
          <w:szCs w:val="28"/>
          <w:lang w:val="uk-UA" w:eastAsia="uk-UA"/>
        </w:rPr>
        <w:t>Батан Ю. Д.</w:t>
      </w:r>
    </w:p>
    <w:p w14:paraId="436800DE"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jc w:val="center"/>
        <w:rPr>
          <w:rFonts w:ascii="Arial" w:eastAsia="Times New Roman" w:hAnsi="Arial" w:cs="Arial"/>
          <w:b/>
          <w:i/>
          <w:szCs w:val="28"/>
          <w:lang w:val="uk-UA" w:eastAsia="uk-UA"/>
        </w:rPr>
      </w:pPr>
    </w:p>
    <w:p w14:paraId="07F62F5A"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i/>
          <w:szCs w:val="28"/>
          <w:lang w:val="uk-UA" w:eastAsia="uk-UA"/>
        </w:rPr>
        <w:t>Рудик Юліана Павлівна</w:t>
      </w:r>
      <w:r w:rsidRPr="00511005">
        <w:rPr>
          <w:rFonts w:ascii="Arial" w:eastAsia="Times New Roman" w:hAnsi="Arial" w:cs="Arial"/>
          <w:szCs w:val="28"/>
          <w:lang w:val="uk-UA" w:eastAsia="uk-UA"/>
        </w:rPr>
        <w:t xml:space="preserve"> </w:t>
      </w:r>
    </w:p>
    <w:p w14:paraId="0A8335FD" w14:textId="42D8EFBB" w:rsidR="00B67481" w:rsidRPr="0071733E" w:rsidRDefault="00BE3972"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jc w:val="center"/>
        <w:rPr>
          <w:rFonts w:ascii="Arial" w:eastAsia="Times New Roman" w:hAnsi="Arial" w:cs="Arial"/>
          <w:iCs/>
          <w:szCs w:val="28"/>
          <w:lang w:val="uk-UA" w:eastAsia="uk-UA"/>
        </w:rPr>
      </w:pPr>
      <w:bookmarkStart w:id="108" w:name="_heading=h.be2wtmgzq0q2" w:colFirst="0" w:colLast="0"/>
      <w:bookmarkEnd w:id="108"/>
      <w:r w:rsidRPr="0071733E">
        <w:rPr>
          <w:rFonts w:ascii="Arial" w:eastAsia="Times New Roman" w:hAnsi="Arial" w:cs="Arial"/>
          <w:iCs/>
          <w:szCs w:val="28"/>
          <w:lang w:val="uk-UA" w:eastAsia="uk-UA"/>
        </w:rPr>
        <w:t xml:space="preserve">студентка 1-го курсу </w:t>
      </w:r>
      <w:r w:rsidR="00536AAB" w:rsidRPr="0071733E">
        <w:rPr>
          <w:rFonts w:ascii="Arial" w:eastAsia="Times New Roman" w:hAnsi="Arial" w:cs="Arial"/>
          <w:iCs/>
          <w:szCs w:val="28"/>
          <w:lang w:val="uk-UA" w:eastAsia="uk-UA"/>
        </w:rPr>
        <w:t>факультету адвокатури та антикорупційної діяльності</w:t>
      </w:r>
      <w:r w:rsidR="007B2628" w:rsidRPr="0071733E">
        <w:rPr>
          <w:rFonts w:ascii="Arial" w:eastAsia="Times New Roman" w:hAnsi="Arial" w:cs="Arial"/>
          <w:iCs/>
          <w:szCs w:val="28"/>
          <w:lang w:val="uk-UA" w:eastAsia="uk-UA"/>
        </w:rPr>
        <w:t xml:space="preserve"> </w:t>
      </w:r>
    </w:p>
    <w:p w14:paraId="66BAD76A" w14:textId="2BBBF05B" w:rsidR="00B67481" w:rsidRPr="0071733E" w:rsidRDefault="007B2628"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Національного університету «Одеська юридична академія»</w:t>
      </w:r>
      <w:r w:rsidR="00B67481" w:rsidRPr="0071733E">
        <w:rPr>
          <w:rFonts w:ascii="Arial" w:eastAsia="Times New Roman" w:hAnsi="Arial" w:cs="Arial"/>
          <w:iCs/>
          <w:szCs w:val="28"/>
          <w:lang w:val="uk-UA" w:eastAsia="uk-UA"/>
        </w:rPr>
        <w:t xml:space="preserve"> </w:t>
      </w:r>
    </w:p>
    <w:p w14:paraId="28E6F9AA"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jc w:val="center"/>
        <w:rPr>
          <w:rFonts w:ascii="Arial" w:eastAsia="Times New Roman" w:hAnsi="Arial" w:cs="Arial"/>
          <w:szCs w:val="28"/>
          <w:lang w:val="uk-UA" w:eastAsia="uk-UA"/>
        </w:rPr>
      </w:pPr>
    </w:p>
    <w:p w14:paraId="7A6EEAC7" w14:textId="77777777" w:rsidR="007B2628"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ЩОДО ПИТАННЯ РОЗВИТКУ</w:t>
      </w:r>
    </w:p>
    <w:p w14:paraId="1270C8AE" w14:textId="603F60BC"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ГРОМАДЯНСЬКОГО СУСПІЛЬСТВА В УКРАЇНІ</w:t>
      </w:r>
      <w:r w:rsidRPr="00511005">
        <w:rPr>
          <w:rFonts w:ascii="Arial" w:eastAsia="Times New Roman" w:hAnsi="Arial" w:cs="Arial"/>
          <w:szCs w:val="28"/>
          <w:lang w:val="uk-UA" w:eastAsia="uk-UA"/>
        </w:rPr>
        <w:t xml:space="preserve"> </w:t>
      </w:r>
    </w:p>
    <w:p w14:paraId="30D03C5C"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Формування громадянського суспільства є одним із базових елементів демократичного устрою, що визначає рівень свободи, активності та правової культури населення. В Україні становлення громадянського суспільства проходить у складних історичних, політичних та соціально-економічних умовах, але водночас демонструє стійку тенденцію до активізації суспільної участі та впливу громадян на державну політику. </w:t>
      </w:r>
    </w:p>
    <w:p w14:paraId="6EF9BA93" w14:textId="77777777" w:rsidR="007B2628"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Відправною точкою розвитку громадянського суспільства в Україні стала незалежність, проголошена у 1991 році, яка відкрила шлях до демократичних перетворень. Конституція України, ухвалена в 1996 році, визначає основоположні права і свободи, включно з правом на свободу думки, слова, об'єднання, мітингів та доступу до публічної інформації. Саме ці права створюють юридичне підґрунтя для формування активного громадянського середовища [1, с. 12]. </w:t>
      </w:r>
    </w:p>
    <w:p w14:paraId="39B326AE" w14:textId="0C31D65F"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 xml:space="preserve">Зокрема, стаття 36 Основного Закону гарантує громадянам право на об’єднання з метою реалізації власних інтересів і захисту прав. Такі правові норми формують базу для функціонування громадських організацій, ініціативних груп, профспілок та інших об'єднань [2, с. 23].Особливої динаміки розвиток громадянського суспільства набув після Революції Гідності 2013–2014 років. Саме в цей період спостерігалося зростання рівня </w:t>
      </w:r>
      <w:r w:rsidRPr="00511005">
        <w:rPr>
          <w:rFonts w:ascii="Arial" w:eastAsia="Times New Roman" w:hAnsi="Arial" w:cs="Arial"/>
          <w:szCs w:val="28"/>
          <w:lang w:val="uk-UA" w:eastAsia="uk-UA"/>
        </w:rPr>
        <w:lastRenderedPageBreak/>
        <w:t xml:space="preserve">довіри до волонтерських рухів, ініціатив з моніторингу органів влади, незалежних медіа та антикорупційних платформ. Волонтерський сектор став унікальним явищем, здатним швидко мобілізувати ресурси, координувати дії та реалізовувати проєкти, які раніше були під силу лише державним структурам [4, с. 46]. Крім того, за останнє десятиліття значно активізувалася діяльність громадських організацій у сфері захисту прав людини, гендерної рівності, екологічної безпеки, цифрових прав, освіти й охорони здоров’я. Численні ініціативи, зокрема такі як «Реанімаційний пакет реформ», «Чесно», «Опора», а також локальні платформи співпраці з громадами, стали інструментами формування суспільного контролю та публічного діалогу з владою [2, с. 23]. На місцевому рівні розвиток громадянського суспільства значною мірою залежить від процесу децентралізації. Передача повноважень громадам сприяє збільшенню можливостей для самоорганізації, реалізації громадських ініціатив та створення простору для участі громадян у прийнятті управлінських рішень. Такі інструменти, як громадський бюджет, місцеві ініціативи, електронні петиції та громадські слухання, стали дієвими важелями впливу населення на місцеву політику. </w:t>
      </w:r>
    </w:p>
    <w:p w14:paraId="28DFAD7D"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Водночас існує низка викликів, що ускладнюють подальший розвиток громадянського суспільства в Україні. Серед них – нестача стабільного фінансування для громадських організацій, особливо в регіонах, низький рівень правової обізнаності громадян, інертність частини населення, що досі не відчуває себе суб'єктами змін. Особливу загрозу становить впроваджений у 2022 році воєнний стан, який, хоч і обґрунтований з точки зору безпеки, створює ризики для реалізації деяких прав і свобод — зокрема, свободи зібрань та об’єднань [3, с. 39].</w:t>
      </w:r>
    </w:p>
    <w:p w14:paraId="280F6ACE"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Варто також зазначити, що цифровізація суспільного життя створює нові виклики і водночас нові можливості для розвитку громадянського суспільства. З одного боку, цифрові платформи полегшують комунікацію, мобілізацію, доступ до інформації та реалізацію ініціатив. З іншого боку, існує ризик маніпуляцій, дезінформації, цифрового нерівного доступу, що може призводити до виключення частини громадян з активного публічного життя.</w:t>
      </w:r>
    </w:p>
    <w:p w14:paraId="728124DE"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Громадянське суспільство дедалі більше впливає на ухвалення рішень як на місцевому, так і на державному рівнях. Втім, не всі проблеми подолано. Існує дефіцит фінансування громадських ініціатив, низька правова обізнаність у регіонах, а також ризики, пов’язані з воєнним станом, які можуть обмежити права на свободу слова та об’єднання [3, с. 39]. Незважаючи на це, загальна динаміка розвитку громадянського суспільства залишається позитивною, що свідчить про поступову демократизацію українського суспільства [4, с. 47]. Проте, незважаючи на ці труднощі, громадянське суспільство в Україні демонструє високий потенціал до </w:t>
      </w:r>
      <w:r w:rsidRPr="00511005">
        <w:rPr>
          <w:rFonts w:ascii="Arial" w:eastAsia="Times New Roman" w:hAnsi="Arial" w:cs="Arial"/>
          <w:szCs w:val="28"/>
          <w:lang w:val="uk-UA" w:eastAsia="uk-UA"/>
        </w:rPr>
        <w:lastRenderedPageBreak/>
        <w:t>адаптації та розвитку. Події останніх років, зокрема повномасштабне вторгнення РФ у 2022 році, ще раз підтвердили здатність українців до самоорганізації, взаємодопомоги та об’єднання навколо спільних цінностей. Громадянські ініціативи продовжують працювати в умовах війни, забезпечуючи підтримку армії, допомогу переселенцям, боротьбу з дезінформацією, а також захист прав людини в нових реаліях.</w:t>
      </w:r>
    </w:p>
    <w:p w14:paraId="5F705627"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Отже, процес розвитку громадянського суспільства в Україні є багатовимірним та динамічним. Його успішність залежить від подальшого вдосконалення законодавчої бази, забезпечення фінансової стабільності для НУО, підвищення громадянської свідомості, розвитку освіти у сфері демократії та прав людини, а також від збереження відкритості до діалогу між суспільством і державою.</w:t>
      </w:r>
    </w:p>
    <w:p w14:paraId="6C4A6F4C" w14:textId="4653E416" w:rsidR="007B2628"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Конституційні гарантії, активна громадянська позиція населення та реформування інститутів влади — це основні умови, що сприяють розширенню простору громадянської участі в Україні.</w:t>
      </w:r>
    </w:p>
    <w:p w14:paraId="1B61EEE5" w14:textId="77777777" w:rsidR="0071733E" w:rsidRPr="00511005" w:rsidRDefault="0071733E"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720"/>
        <w:rPr>
          <w:rFonts w:ascii="Arial" w:eastAsia="Times New Roman" w:hAnsi="Arial" w:cs="Arial"/>
          <w:szCs w:val="28"/>
          <w:lang w:val="uk-UA" w:eastAsia="uk-UA"/>
        </w:rPr>
      </w:pPr>
    </w:p>
    <w:p w14:paraId="41653DD8" w14:textId="0E640646" w:rsidR="00B67481" w:rsidRPr="00511005" w:rsidRDefault="007B2628" w:rsidP="007B2628">
      <w:pPr>
        <w:pBdr>
          <w:top w:val="none" w:sz="0" w:space="0" w:color="000000"/>
          <w:left w:val="none" w:sz="0" w:space="0" w:color="000000"/>
          <w:bottom w:val="none" w:sz="0" w:space="0" w:color="000000"/>
          <w:right w:val="none" w:sz="0" w:space="0" w:color="000000"/>
          <w:between w:val="none" w:sz="0" w:space="0" w:color="000000"/>
        </w:pBd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Список використаних джерел</w:t>
      </w:r>
      <w:r w:rsidR="00B67481" w:rsidRPr="00511005">
        <w:rPr>
          <w:rFonts w:ascii="Arial" w:eastAsia="Times New Roman" w:hAnsi="Arial" w:cs="Arial"/>
          <w:b/>
          <w:szCs w:val="28"/>
          <w:lang w:val="uk-UA" w:eastAsia="uk-UA"/>
        </w:rPr>
        <w:t xml:space="preserve"> </w:t>
      </w:r>
    </w:p>
    <w:p w14:paraId="64026A99"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Конституція України: Закон України від 28.06.1996 р. № 254к/96-ВР. </w:t>
      </w:r>
    </w:p>
    <w:p w14:paraId="4BC05556"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Головатий С. Сутність і перспективи розвитку громадянського суспільства. – К.: Юрінком Інтер, 2022. – 128 с. </w:t>
      </w:r>
    </w:p>
    <w:p w14:paraId="2C969158"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tabs>
          <w:tab w:val="left" w:pos="720"/>
        </w:tabs>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3.Литвиненко І. С. Громадянське суспільство як чинник демократизації в умовах воєнного часу // Вісник Конституційного права. – 2024. – № 1. – С. 35–42.</w:t>
      </w:r>
    </w:p>
    <w:p w14:paraId="2752B34A"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Шишкін В. М. Конституційні засади становлення громадянського суспільства. // Юридичний часопис. – 2023. – № 2. – С. 30–38. 4. Литвиненко І. С. Громадянське суспільство як чинник демократизації в умовах воєнного часу. // Вісник Конституційного права. – 2024. – № 1. – С. 35–42. </w:t>
      </w:r>
    </w:p>
    <w:p w14:paraId="2AB4DAF3" w14:textId="77777777" w:rsidR="00B67481" w:rsidRPr="00511005" w:rsidRDefault="00B67481"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rPr>
          <w:rFonts w:ascii="Arial" w:eastAsia="Times New Roman" w:hAnsi="Arial" w:cs="Arial"/>
          <w:szCs w:val="28"/>
          <w:lang w:val="uk-UA" w:eastAsia="uk-UA"/>
        </w:rPr>
      </w:pPr>
    </w:p>
    <w:p w14:paraId="77407789" w14:textId="69A45343" w:rsidR="00B67481" w:rsidRPr="00511005" w:rsidRDefault="007B2628"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szCs w:val="28"/>
          <w:lang w:val="uk-UA" w:eastAsia="uk-UA"/>
        </w:rPr>
        <w:t>громадянське суспільство, права людини, демократія, Конституція України, об’єднання громадян, правова держава.</w:t>
      </w:r>
    </w:p>
    <w:p w14:paraId="7F36CC1C" w14:textId="47FF8CD6" w:rsidR="00B67481" w:rsidRPr="00511005" w:rsidRDefault="007B2628"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szCs w:val="28"/>
          <w:lang w:val="uk-UA" w:eastAsia="uk-UA"/>
        </w:rPr>
        <w:t xml:space="preserve">civil society, human rights, democracy, Constitution of Ukraine, citizens’ associations, rule of law. </w:t>
      </w:r>
    </w:p>
    <w:p w14:paraId="74414C6C" w14:textId="29D8A426" w:rsidR="00B67481" w:rsidRPr="00511005" w:rsidRDefault="007B2628" w:rsidP="003A292D">
      <w:pPr>
        <w:pBdr>
          <w:top w:val="none" w:sz="0" w:space="0" w:color="000000"/>
          <w:left w:val="none" w:sz="0" w:space="0" w:color="000000"/>
          <w:bottom w:val="none" w:sz="0" w:space="0" w:color="000000"/>
          <w:right w:val="none" w:sz="0" w:space="0" w:color="000000"/>
          <w:between w:val="none" w:sz="0" w:space="0" w:color="000000"/>
        </w:pBdr>
        <w:spacing w:line="264" w:lineRule="auto"/>
        <w:ind w:firstLine="0"/>
        <w:jc w:val="left"/>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Науковий керівник: </w:t>
      </w:r>
      <w:r w:rsidR="00B67481" w:rsidRPr="00511005">
        <w:rPr>
          <w:rFonts w:ascii="Arial" w:eastAsia="Times New Roman" w:hAnsi="Arial" w:cs="Arial"/>
          <w:i/>
          <w:szCs w:val="28"/>
          <w:lang w:val="uk-UA" w:eastAsia="uk-UA"/>
        </w:rPr>
        <w:t>к.ю.н., доцент Бальцій Ю. Ю.</w:t>
      </w:r>
      <w:r w:rsidR="00B67481" w:rsidRPr="00511005">
        <w:rPr>
          <w:rFonts w:ascii="Arial" w:eastAsia="Times New Roman" w:hAnsi="Arial" w:cs="Arial"/>
          <w:szCs w:val="28"/>
          <w:lang w:val="uk-UA" w:eastAsia="uk-UA"/>
        </w:rPr>
        <w:br/>
        <w:t xml:space="preserve"> </w:t>
      </w:r>
    </w:p>
    <w:p w14:paraId="081DCDFD" w14:textId="171684EF" w:rsidR="0071733E" w:rsidRDefault="0071733E">
      <w:pPr>
        <w:spacing w:after="200" w:line="276" w:lineRule="auto"/>
        <w:ind w:firstLine="0"/>
        <w:jc w:val="left"/>
        <w:rPr>
          <w:rFonts w:ascii="Arial" w:eastAsia="Times New Roman" w:hAnsi="Arial" w:cs="Arial"/>
          <w:szCs w:val="28"/>
          <w:lang w:val="uk-UA" w:eastAsia="uk-UA"/>
        </w:rPr>
      </w:pPr>
      <w:r>
        <w:rPr>
          <w:rFonts w:ascii="Arial" w:eastAsia="Times New Roman" w:hAnsi="Arial" w:cs="Arial"/>
          <w:szCs w:val="28"/>
          <w:lang w:val="uk-UA" w:eastAsia="uk-UA"/>
        </w:rPr>
        <w:br w:type="page"/>
      </w:r>
    </w:p>
    <w:p w14:paraId="7A741509" w14:textId="77777777" w:rsidR="00B67481" w:rsidRPr="00511005" w:rsidRDefault="00B67481" w:rsidP="003A292D">
      <w:pPr>
        <w:keepNext/>
        <w:widowControl w:val="0"/>
        <w:spacing w:line="264" w:lineRule="auto"/>
        <w:ind w:firstLine="0"/>
        <w:jc w:val="center"/>
        <w:rPr>
          <w:rFonts w:ascii="Arial" w:eastAsia="Times New Roman" w:hAnsi="Arial" w:cs="Arial"/>
          <w:b/>
          <w:i/>
          <w:szCs w:val="28"/>
          <w:lang w:val="uk-UA" w:eastAsia="uk-UA"/>
        </w:rPr>
      </w:pPr>
      <w:bookmarkStart w:id="109" w:name="_heading=h.bu8m41miarbe" w:colFirst="0" w:colLast="0"/>
      <w:bookmarkEnd w:id="109"/>
      <w:r w:rsidRPr="00511005">
        <w:rPr>
          <w:rFonts w:ascii="Arial" w:eastAsia="Times New Roman" w:hAnsi="Arial" w:cs="Arial"/>
          <w:b/>
          <w:i/>
          <w:szCs w:val="28"/>
          <w:lang w:val="uk-UA" w:eastAsia="uk-UA"/>
        </w:rPr>
        <w:lastRenderedPageBreak/>
        <w:t>Степашкін Сергій Станіславович</w:t>
      </w:r>
    </w:p>
    <w:p w14:paraId="5257E7F7" w14:textId="2E011FEB" w:rsidR="00B67481" w:rsidRPr="0071733E" w:rsidRDefault="00BE3972" w:rsidP="003A292D">
      <w:pPr>
        <w:keepNext/>
        <w:widowControl w:val="0"/>
        <w:spacing w:line="264" w:lineRule="auto"/>
        <w:ind w:firstLine="0"/>
        <w:jc w:val="center"/>
        <w:rPr>
          <w:rFonts w:ascii="Arial" w:eastAsia="Times New Roman" w:hAnsi="Arial" w:cs="Arial"/>
          <w:iCs/>
          <w:szCs w:val="28"/>
          <w:lang w:val="uk-UA" w:eastAsia="uk-UA"/>
        </w:rPr>
      </w:pPr>
      <w:r w:rsidRPr="0071733E">
        <w:rPr>
          <w:rFonts w:ascii="Arial" w:eastAsia="Times New Roman" w:hAnsi="Arial" w:cs="Arial"/>
          <w:iCs/>
          <w:szCs w:val="28"/>
          <w:lang w:val="uk-UA" w:eastAsia="uk-UA"/>
        </w:rPr>
        <w:t xml:space="preserve">студент 1-го курсу </w:t>
      </w:r>
      <w:r w:rsidR="001B7B25" w:rsidRPr="0071733E">
        <w:rPr>
          <w:rFonts w:ascii="Arial" w:eastAsia="Times New Roman" w:hAnsi="Arial" w:cs="Arial"/>
          <w:iCs/>
          <w:szCs w:val="28"/>
          <w:lang w:val="uk-UA" w:eastAsia="uk-UA"/>
        </w:rPr>
        <w:t>факультету судового та міжнародного права</w:t>
      </w:r>
      <w:r w:rsidR="00B67481" w:rsidRPr="0071733E">
        <w:rPr>
          <w:rFonts w:ascii="Arial" w:eastAsia="Times New Roman" w:hAnsi="Arial" w:cs="Arial"/>
          <w:iCs/>
          <w:szCs w:val="28"/>
          <w:lang w:val="uk-UA" w:eastAsia="uk-UA"/>
        </w:rPr>
        <w:br/>
      </w:r>
      <w:r w:rsidR="007B2628" w:rsidRPr="0071733E">
        <w:rPr>
          <w:rFonts w:ascii="Arial" w:eastAsia="Times New Roman" w:hAnsi="Arial" w:cs="Arial"/>
          <w:iCs/>
          <w:szCs w:val="28"/>
          <w:lang w:val="uk-UA" w:eastAsia="uk-UA"/>
        </w:rPr>
        <w:t>Національного університету «Одеська юридична академія»</w:t>
      </w:r>
    </w:p>
    <w:p w14:paraId="116AC593" w14:textId="77777777" w:rsidR="00B67481" w:rsidRPr="00511005" w:rsidRDefault="00B67481" w:rsidP="003A292D">
      <w:pPr>
        <w:keepNext/>
        <w:widowControl w:val="0"/>
        <w:spacing w:line="264" w:lineRule="auto"/>
        <w:ind w:firstLine="0"/>
        <w:jc w:val="center"/>
        <w:rPr>
          <w:rFonts w:ascii="Arial" w:eastAsia="Times New Roman" w:hAnsi="Arial" w:cs="Arial"/>
          <w:b/>
          <w:szCs w:val="28"/>
          <w:lang w:val="uk-UA" w:eastAsia="uk-UA"/>
        </w:rPr>
      </w:pPr>
    </w:p>
    <w:p w14:paraId="482A5FE2" w14:textId="77777777" w:rsidR="00B67481" w:rsidRPr="00511005" w:rsidRDefault="00B67481" w:rsidP="003A292D">
      <w:pPr>
        <w:keepNext/>
        <w:widowControl w:val="0"/>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СВОБОДА СЛОВА І МЕЖІ КОНСТИТУЦІЙНОГО ВТРУЧАННЯ: НАЦІОНАЛЬНА БЕЗПЕКА ЧИ ДЕМОКРАТІЯ?</w:t>
      </w:r>
    </w:p>
    <w:p w14:paraId="1CAD45E2" w14:textId="77777777" w:rsidR="00B67481" w:rsidRPr="00511005" w:rsidRDefault="00B67481" w:rsidP="003A292D">
      <w:pPr>
        <w:spacing w:line="264" w:lineRule="auto"/>
        <w:ind w:firstLine="360"/>
        <w:rPr>
          <w:rFonts w:ascii="Arial" w:eastAsia="Times New Roman" w:hAnsi="Arial" w:cs="Arial"/>
          <w:szCs w:val="28"/>
          <w:lang w:val="uk-UA" w:eastAsia="uk-UA"/>
        </w:rPr>
      </w:pPr>
      <w:r w:rsidRPr="00511005">
        <w:rPr>
          <w:rFonts w:ascii="Arial" w:eastAsia="Times New Roman" w:hAnsi="Arial" w:cs="Arial"/>
          <w:szCs w:val="28"/>
          <w:lang w:val="uk-UA" w:eastAsia="uk-UA"/>
        </w:rPr>
        <w:t>ХХІ століття – сучасний етап розвитку людства, остання на даний момент сходинка розвитку політичної думки. Свобода загалом, як і її складові, розвивались протягом усього розвитку людства, і в сьогоденні має фундаментальне значення для особи та держави. Вона є одною з основ демократичного ладу, котрий в свою чергу є найпоширенішим на планеті. Проте ХХІ століття – століття гібридних впливів, століття розвитку радикалізму, терористичних організацій та повернення диктаторських режимів у силу. В таких умовах, де Україна зазнає військової агресії зі сторони російської федерації, а війна ведеться за існування, питання демократії та національної безпеки, їх взаємодії між собою є надзвичайно важливим та актуальним.</w:t>
      </w:r>
    </w:p>
    <w:p w14:paraId="3E5EAE57" w14:textId="6EBB623C" w:rsidR="00B67481" w:rsidRPr="00511005" w:rsidRDefault="00B67481" w:rsidP="003A292D">
      <w:pPr>
        <w:spacing w:line="264" w:lineRule="auto"/>
        <w:ind w:firstLine="360"/>
        <w:rPr>
          <w:rFonts w:ascii="Arial" w:eastAsia="Times New Roman" w:hAnsi="Arial" w:cs="Arial"/>
          <w:szCs w:val="28"/>
          <w:lang w:val="uk-UA" w:eastAsia="uk-UA"/>
        </w:rPr>
      </w:pPr>
      <w:r w:rsidRPr="00511005">
        <w:rPr>
          <w:rFonts w:ascii="Arial" w:eastAsia="Times New Roman" w:hAnsi="Arial" w:cs="Arial"/>
          <w:szCs w:val="28"/>
          <w:lang w:val="uk-UA" w:eastAsia="uk-UA"/>
        </w:rPr>
        <w:t>“Свободи людини – можливості індивіда реалізовувати у своєму житті його потреби як: життя, гідність, індивідуальний, соціальний та політичний розвиток, тощо. Свободи існують та реалізуються, на відміну від прав людини, без втручання держави, яка в свою чергу має лише забезпечити захист від посягання на них та невтручання у приватне життя громадян”, пише А. Семенюк</w:t>
      </w:r>
      <w:r w:rsidR="00207941" w:rsidRPr="00511005">
        <w:rPr>
          <w:rFonts w:ascii="Arial" w:eastAsia="Times New Roman" w:hAnsi="Arial" w:cs="Arial"/>
          <w:szCs w:val="28"/>
          <w:lang w:eastAsia="uk-UA"/>
        </w:rPr>
        <w:t xml:space="preserve"> </w:t>
      </w:r>
      <w:r w:rsidRPr="00511005">
        <w:rPr>
          <w:rFonts w:ascii="Arial" w:eastAsia="Times New Roman" w:hAnsi="Arial" w:cs="Arial"/>
          <w:szCs w:val="28"/>
          <w:lang w:val="uk-UA" w:eastAsia="uk-UA"/>
        </w:rPr>
        <w:t xml:space="preserve">[12]. Свобода, як зазначає Конституційний суд: “є фундаментальною цінністю дієвої конституційної демократії”, тобто говорить про аксіологічне розуміння; таке, що не потребує жодних аргументацій або дискусій «за» чи «проти», є маркером та фундаментом конституційної демократії, яка панує в Україні [11]. </w:t>
      </w:r>
    </w:p>
    <w:p w14:paraId="51532522" w14:textId="77777777" w:rsidR="00B67481" w:rsidRPr="00511005" w:rsidRDefault="00B67481" w:rsidP="003A292D">
      <w:pPr>
        <w:spacing w:line="264" w:lineRule="auto"/>
        <w:ind w:firstLine="36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Свобода слова – це право на зберігання, розповсюдження, створення чи використання інформації будь-яким чином на свій вибір, що підтверджується Конституцією. Разом із свободою слова завжди використовуються свобода віросповідання та світогляду й свобода на об’єднання в політичні партії та громадські об’єднання у симбіозі. Тому, зазвичай, при пригніченні однієї свободи пригнічується інші зі списку, або усі. Проте законодавець також зазначив, що обмеження на ці свободи існують у ситуаціях, коли існує загроза національній безпеці, територіальній цілісності, суверенітету держави, загроза здоров’ю життя та населення, запобіганню заворушень та суспільній моралі </w:t>
      </w:r>
      <w:sdt>
        <w:sdtPr>
          <w:rPr>
            <w:rFonts w:ascii="Arial" w:eastAsia="Aptos" w:hAnsi="Arial" w:cs="Arial"/>
            <w:szCs w:val="28"/>
            <w:lang w:val="uk-UA" w:eastAsia="uk-UA"/>
          </w:rPr>
          <w:tag w:val="goog_rdk_1"/>
          <w:id w:val="449827150"/>
        </w:sdtPr>
        <w:sdtEndPr/>
        <w:sdtContent/>
      </w:sdt>
      <w:r w:rsidRPr="00511005">
        <w:rPr>
          <w:rFonts w:ascii="Arial" w:eastAsia="Times New Roman" w:hAnsi="Arial" w:cs="Arial"/>
          <w:szCs w:val="28"/>
          <w:lang w:val="uk-UA" w:eastAsia="uk-UA"/>
        </w:rPr>
        <w:t>[5].</w:t>
      </w:r>
    </w:p>
    <w:p w14:paraId="7DC467E8" w14:textId="77777777" w:rsidR="00B67481" w:rsidRPr="00511005" w:rsidRDefault="00B67481" w:rsidP="003A292D">
      <w:pPr>
        <w:spacing w:line="264" w:lineRule="auto"/>
        <w:ind w:firstLine="36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Україні «цензура заборонена» </w:t>
      </w:r>
      <w:sdt>
        <w:sdtPr>
          <w:rPr>
            <w:rFonts w:ascii="Arial" w:eastAsia="Aptos" w:hAnsi="Arial" w:cs="Arial"/>
            <w:szCs w:val="28"/>
            <w:lang w:val="uk-UA" w:eastAsia="uk-UA"/>
          </w:rPr>
          <w:tag w:val="goog_rdk_2"/>
          <w:id w:val="-745648076"/>
        </w:sdtPr>
        <w:sdtEndPr/>
        <w:sdtContent/>
      </w:sdt>
      <w:r w:rsidRPr="00511005">
        <w:rPr>
          <w:rFonts w:ascii="Arial" w:eastAsia="Times New Roman" w:hAnsi="Arial" w:cs="Arial"/>
          <w:szCs w:val="28"/>
          <w:lang w:val="uk-UA" w:eastAsia="uk-UA"/>
        </w:rPr>
        <w:t xml:space="preserve">[4], що цілком відповідає Конституції держави. Таким чином якомога більше інформації потрапляє до громадян, їх об’єднань, поширюється загальна свідомість громадян, що відбуваються в країні та світі. Це дозволяє громадянському суспільству, окремим особам, державним службовцям бути неупередженими, вільними від впливу </w:t>
      </w:r>
      <w:r w:rsidRPr="00511005">
        <w:rPr>
          <w:rFonts w:ascii="Arial" w:eastAsia="Times New Roman" w:hAnsi="Arial" w:cs="Arial"/>
          <w:szCs w:val="28"/>
          <w:lang w:val="uk-UA" w:eastAsia="uk-UA"/>
        </w:rPr>
        <w:lastRenderedPageBreak/>
        <w:t>цілеспрямованої державної пропаганди, не дозволяє узурпацію влади будь-якими владними та невладними структурами та організаціями, підтримуючи державний лад. Проте, цензурою законодавець визначив наступну дефініцію: «… цензура - будь-яка вимога, спрямована, зокрема, до журналіста, суб’єкта у сфері медіа, його засновника (співзасновника), видавця, керівника, розповсюджувача, узгоджувати інформацію до її поширення або накладення заборони чи перешкоджання в будь-якій іншій формі тиражуванню або поширенню інформації»</w:t>
      </w:r>
      <w:sdt>
        <w:sdtPr>
          <w:rPr>
            <w:rFonts w:ascii="Arial" w:eastAsia="Aptos" w:hAnsi="Arial" w:cs="Arial"/>
            <w:szCs w:val="28"/>
            <w:lang w:val="uk-UA" w:eastAsia="uk-UA"/>
          </w:rPr>
          <w:tag w:val="goog_rdk_3"/>
          <w:id w:val="-37516983"/>
        </w:sdtPr>
        <w:sdtEndPr/>
        <w:sdtContent/>
      </w:sdt>
      <w:r w:rsidRPr="00511005">
        <w:rPr>
          <w:rFonts w:ascii="Arial" w:eastAsia="Times New Roman" w:hAnsi="Arial" w:cs="Arial"/>
          <w:szCs w:val="28"/>
          <w:lang w:val="uk-UA" w:eastAsia="uk-UA"/>
        </w:rPr>
        <w:t>[9], що значно звужує термін цензура у його загальному розумінні, як перешкоди до отримання та розповсюдження інформації. У цього є як об’єктивні, зазначені у законі «Про інформацію» та Конституції, пов’язані з національною безпекою та безпекою суспільства, так і необ’єктивні причини, що полягають у політичній боротьбі, прихованні фактів корупції, політичних вбивств та замахів, правопорушень, пов’язаних із знищені екології, економіки держави, інших злочинів, перелік яких є невичерпний.</w:t>
      </w:r>
    </w:p>
    <w:p w14:paraId="72D33853" w14:textId="77777777" w:rsidR="00B67481" w:rsidRPr="00511005" w:rsidRDefault="00B67481" w:rsidP="003A292D">
      <w:pPr>
        <w:spacing w:line="264" w:lineRule="auto"/>
        <w:ind w:firstLine="360"/>
        <w:rPr>
          <w:rFonts w:ascii="Arial" w:eastAsia="Times New Roman" w:hAnsi="Arial" w:cs="Arial"/>
          <w:szCs w:val="28"/>
          <w:lang w:val="uk-UA" w:eastAsia="uk-UA"/>
        </w:rPr>
      </w:pPr>
      <w:r w:rsidRPr="00511005">
        <w:rPr>
          <w:rFonts w:ascii="Arial" w:eastAsia="Times New Roman" w:hAnsi="Arial" w:cs="Arial"/>
          <w:szCs w:val="28"/>
          <w:lang w:val="uk-UA" w:eastAsia="uk-UA"/>
        </w:rPr>
        <w:t>Наприклад об’єктивним обмеженням свободи слова та цензури стали справи про есхатологічний культ під назвою «Велике Біле Братство ЮСМАЛОС» та йому подібних деструктивних об’єднань. Біле братство існувало на початку 1990-их років, спотворювала християнство східного обряду, додавала до нього апокаліптичні ідеї язичництва та індійські вірування. У організації існувала сувора ієрархія. Окрім навернення молоді до своїх ідей, засновники «конфесії» здійснили спробу захоплення Софії Київської та масового самогубства шляхом підпалу у листопаді 1993 року, проте правоохоронні органи зуміли зупинити ці протиправні дії. Надалі ж після ув’язнення основних фігурантів секти у 1996 році та забороною діяльності організації, «ЮСМАЛОС» розпався[6]. Зі схожими псевдо-релігійними утвореннями були схожі дії боротьби. Цей приклад показує, як держава бореться із проявами деструктивних та шкідливих явищ та організацій, використовуючи обмеження свободи слова, віросповідання.</w:t>
      </w:r>
    </w:p>
    <w:p w14:paraId="2C24AA89" w14:textId="77777777" w:rsidR="00B67481" w:rsidRPr="00511005" w:rsidRDefault="00B67481" w:rsidP="003A292D">
      <w:pPr>
        <w:spacing w:line="264" w:lineRule="auto"/>
        <w:ind w:firstLine="36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Натомість необ’єктивними проявами можна назвати дуже одіозні справи про вбивства та замовчування корупції - справа Гонгадзе. 16 вересня 2001 року було вбито журналіста та редактора «Української правди» Георгія Гонгадзе, що був відомий критичним ставленням до української влади. Вбивство журналіста вже є порушенням свободи слова, шляхом обмеження його через позбавлення життя, а участь Міліції України, яка скоїла убивство журналіста в особах М. Протасова, В. Костенка, О. Поповича, змушує поставити під сумнів існування свободи слова в Україні. Також варто зазначити причетність високопосадовців як генерала МВС О. Пукача, який визнав причетність до вбивства Гонгадзе та інших викраденнях, причетності міністра внутрішніх справ Ю. Кравченка й існування плівки, яка підтверджує наміри Президента Кучми прибрати Гонгадзе зі сфери висвітлення політики. Суд засудив виконавців вбивства у закритому засіданні, засудив генерала </w:t>
      </w:r>
      <w:r w:rsidRPr="00511005">
        <w:rPr>
          <w:rFonts w:ascii="Arial" w:eastAsia="Times New Roman" w:hAnsi="Arial" w:cs="Arial"/>
          <w:szCs w:val="28"/>
          <w:lang w:val="uk-UA" w:eastAsia="uk-UA"/>
        </w:rPr>
        <w:lastRenderedPageBreak/>
        <w:t>Пукача[1], проте Президент Кучма уникнув подальшого переслідування через рішення КСУ про неможливість використання даних, отриманих незаконним шляхом</w:t>
      </w:r>
      <w:sdt>
        <w:sdtPr>
          <w:rPr>
            <w:rFonts w:ascii="Arial" w:eastAsia="Aptos" w:hAnsi="Arial" w:cs="Arial"/>
            <w:szCs w:val="28"/>
            <w:lang w:val="uk-UA" w:eastAsia="uk-UA"/>
          </w:rPr>
          <w:tag w:val="goog_rdk_4"/>
          <w:id w:val="589047154"/>
        </w:sdtPr>
        <w:sdtEndPr/>
        <w:sdtContent/>
      </w:sdt>
      <w:r w:rsidRPr="00511005">
        <w:rPr>
          <w:rFonts w:ascii="Arial" w:eastAsia="Times New Roman" w:hAnsi="Arial" w:cs="Arial"/>
          <w:szCs w:val="28"/>
          <w:lang w:val="uk-UA" w:eastAsia="uk-UA"/>
        </w:rPr>
        <w:t>[10]. Ці дії показали міжнародному співтовариству та громадянам України про існування заборони свободи слова та цензури в її неконституційній та протиправній формі в Україні методами фізичного знищення.</w:t>
      </w:r>
    </w:p>
    <w:p w14:paraId="15AF1048" w14:textId="77777777" w:rsidR="00B67481" w:rsidRPr="00511005" w:rsidRDefault="00B67481" w:rsidP="003A292D">
      <w:pPr>
        <w:spacing w:line="264" w:lineRule="auto"/>
        <w:ind w:firstLine="360"/>
        <w:rPr>
          <w:rFonts w:ascii="Arial" w:eastAsia="Times New Roman" w:hAnsi="Arial" w:cs="Arial"/>
          <w:szCs w:val="28"/>
          <w:lang w:val="uk-UA" w:eastAsia="uk-UA"/>
        </w:rPr>
      </w:pPr>
      <w:r w:rsidRPr="00511005">
        <w:rPr>
          <w:rFonts w:ascii="Arial" w:eastAsia="Times New Roman" w:hAnsi="Arial" w:cs="Arial"/>
          <w:szCs w:val="28"/>
          <w:lang w:val="uk-UA" w:eastAsia="uk-UA"/>
        </w:rPr>
        <w:t>З початком повномасштабної агресії російської федерації на територію України та введенням воєнного стану питання свободи слова та її збереження набуло набагато критичнішого значення. Відповідно до указу Президента України В. Зеленського №64/2022 свобода слова може обмежуватись[8]. Це здійснюється в рамках збереження стабільності у державі та не викликає жодних сумнівів, щодо доцільності обмеження цієї свободи. Було заборонено діяльність 10 політичних сил антиукраїнського характеру, а також медіа, пов’язані з ними[3]. Судові процеси над цими організаціями та юридичними особами проводились не у відкритому процесі, що спричинило певні хвилювання громадськості щодо політичних мотивів цих дій, хоча причетність до антиукраїнських ідей та дій ці партії безумовно мали.</w:t>
      </w:r>
    </w:p>
    <w:p w14:paraId="78104AB5" w14:textId="77777777" w:rsidR="00B67481" w:rsidRPr="00511005" w:rsidRDefault="00B67481" w:rsidP="003A292D">
      <w:pPr>
        <w:spacing w:line="264" w:lineRule="auto"/>
        <w:ind w:firstLine="360"/>
        <w:rPr>
          <w:rFonts w:ascii="Arial" w:eastAsia="Times New Roman" w:hAnsi="Arial" w:cs="Arial"/>
          <w:szCs w:val="28"/>
          <w:lang w:val="uk-UA" w:eastAsia="uk-UA"/>
        </w:rPr>
      </w:pPr>
      <w:r w:rsidRPr="00511005">
        <w:rPr>
          <w:rFonts w:ascii="Arial" w:eastAsia="Times New Roman" w:hAnsi="Arial" w:cs="Arial"/>
          <w:szCs w:val="28"/>
          <w:lang w:val="uk-UA" w:eastAsia="uk-UA"/>
        </w:rPr>
        <w:t>Також важливими є дискусії щодо подальшого обмеження медіа щодо висловлення про дії державної влади під час війни. У мережі Інтернет зустрічаються статті у різних джерелах інформації про непропроційне обмеження свободи слова зі сторони опозиції, яке проявляється в ускладнені доступу до інформації та її висвітлення, необгрунтоване закриття доступу до даних, а існування телемарафону “Єдині новини” – елементом державної цензури через однобоке висвітлення подій та жорсткий відбір матеріалу до ефіру[2, c.22-23]. Існують побоювання, що осіб, які поширюють інформацію, що є суб’єктивно шкідливою до певних посадовців будуть застосовані санкції у вигляді порушення кримінальних справ чи дисциплінарної відповідальності[2, c.40-44]. Важливим є розповсюдження недостовірної інформації, участь у якій беруть індивіди, що пов’язані та не пов’язані із органами державної влади[2, c.38]. Узагальнюючи, думки громадських активістів зводяться до того, що наявні обмеження є доцільними, проте відсутність адекватного контролю та механізмів врегулювання проблемних питань з боку державної влади може породити свавілля та невиправдані переслідування журналістів, цивільних осіб та опозиції.</w:t>
      </w:r>
    </w:p>
    <w:p w14:paraId="240EF692" w14:textId="77777777" w:rsidR="00B67481" w:rsidRPr="00511005" w:rsidRDefault="00B67481" w:rsidP="003A292D">
      <w:pPr>
        <w:spacing w:line="264" w:lineRule="auto"/>
        <w:ind w:firstLine="36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Логічними діями з боку державних органів будуть впровадження змін щодо законодавства, скасування або утворення НПА, що будуть ефективно регулювати проблему висвітлення інформації; створення єдиного переліку дозволених тем, спираючись на доцільність та національну безпеку, аби цими діями не погіршити стабільність України під час відбиття збройної агресії російської федерації та залучити якомога більше фахівців з різними </w:t>
      </w:r>
      <w:r w:rsidRPr="00511005">
        <w:rPr>
          <w:rFonts w:ascii="Arial" w:eastAsia="Times New Roman" w:hAnsi="Arial" w:cs="Arial"/>
          <w:szCs w:val="28"/>
          <w:lang w:val="uk-UA" w:eastAsia="uk-UA"/>
        </w:rPr>
        <w:lastRenderedPageBreak/>
        <w:t>поглядами, аби критично, проте легально висвітлювати події, що заслуговують донесення до населення; обмеження впливу окремих посадовців за втручання до незалежних розслідування та впливу, що перешкоджає свободу слова за суб’єктивними мотивами, які не відповідають законодавству; впровадження нових медіа, які не будуть залежати від держави та відповідно, будуть незаангажованими. Проте впровадити жорсткі санкції за порушення майбутніх адекватних вимог держави до посадових осіб, а також громадських активістів й інших осіб, не пов’язаних із державною владою. Доцільним буде впровадження координації між посадовими особами та громадськими діячами, що зміцнить довіру до влади.</w:t>
      </w:r>
    </w:p>
    <w:p w14:paraId="6D15F968" w14:textId="77777777" w:rsidR="00B67481" w:rsidRPr="00511005" w:rsidRDefault="00B67481" w:rsidP="003A292D">
      <w:pPr>
        <w:spacing w:line="264" w:lineRule="auto"/>
        <w:ind w:firstLine="360"/>
        <w:rPr>
          <w:rFonts w:ascii="Arial" w:eastAsia="Times New Roman" w:hAnsi="Arial" w:cs="Arial"/>
          <w:szCs w:val="28"/>
          <w:lang w:val="uk-UA" w:eastAsia="uk-UA"/>
        </w:rPr>
      </w:pPr>
      <w:r w:rsidRPr="00511005">
        <w:rPr>
          <w:rFonts w:ascii="Arial" w:eastAsia="Times New Roman" w:hAnsi="Arial" w:cs="Arial"/>
          <w:szCs w:val="28"/>
          <w:lang w:val="uk-UA" w:eastAsia="uk-UA"/>
        </w:rPr>
        <w:t>У результаті із викладеного матеріалу можна зробити висновки, що свобода слова є надзвичайно важливим аспектом соціально-політичного життя громадян України, забезпечене Конституцією. Боротьба між конституційною свободою та екзистенційним інтересом держави призводить до свавілля населення, збільшення деформацій правосвідомості як правовий нігілізм, інфантилізм та негативізм, що виникають через часткову чи повну недовіру населення до влади, спричиненою бездіяльністю її представників або певних дій, що змушують населення масово ставити під сумнів рішення держави, що відображається на тлі політичної боротьби та ідеями проводити вибори Президента та ВРУ[7].</w:t>
      </w:r>
    </w:p>
    <w:p w14:paraId="7F0DF7B9" w14:textId="77E2979C" w:rsidR="00B67481" w:rsidRPr="00511005" w:rsidRDefault="00B67481" w:rsidP="003A292D">
      <w:pPr>
        <w:spacing w:line="264" w:lineRule="auto"/>
        <w:ind w:firstLine="0"/>
        <w:rPr>
          <w:rFonts w:ascii="Arial" w:eastAsia="Times New Roman" w:hAnsi="Arial" w:cs="Arial"/>
          <w:szCs w:val="28"/>
          <w:lang w:val="uk-UA" w:eastAsia="uk-UA"/>
        </w:rPr>
      </w:pPr>
    </w:p>
    <w:p w14:paraId="55E5789B" w14:textId="064AAA07" w:rsidR="00B67481" w:rsidRPr="00511005" w:rsidRDefault="007B2628" w:rsidP="007B2628">
      <w:pPr>
        <w:keepNext/>
        <w:widowControl w:val="0"/>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5F50AAA6"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Верховний Суд. Про вбивство Георгія Гонгадзе: рішення Верховного Суду від 2.07.2021 р. URL: </w:t>
      </w:r>
      <w:hyperlink r:id="rId893">
        <w:r w:rsidRPr="00511005">
          <w:rPr>
            <w:rFonts w:ascii="Arial" w:eastAsia="Times New Roman" w:hAnsi="Arial" w:cs="Arial"/>
            <w:szCs w:val="28"/>
            <w:lang w:val="uk-UA" w:eastAsia="uk-UA"/>
          </w:rPr>
          <w:t>https://www.facebook.com/supremecourt.ua/posts/990739245034294</w:t>
        </w:r>
      </w:hyperlink>
      <w:r w:rsidRPr="00511005">
        <w:rPr>
          <w:rFonts w:ascii="Arial" w:eastAsia="Times New Roman" w:hAnsi="Arial" w:cs="Arial"/>
          <w:szCs w:val="28"/>
          <w:lang w:val="uk-UA" w:eastAsia="uk-UA"/>
        </w:rPr>
        <w:t xml:space="preserve"> (дата звернення: 03.05.2025).</w:t>
      </w:r>
    </w:p>
    <w:p w14:paraId="34AF8210"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Бондаренко П., Печончик Т., Сухарина А., Яворський В. Виклики для свободи слова та журналістів в умовах війни: соціологічне дослідження; Центр прав людини ZMINA. Київ, 2023. 60 с. URL: </w:t>
      </w:r>
      <w:hyperlink r:id="rId894">
        <w:r w:rsidRPr="00511005">
          <w:rPr>
            <w:rFonts w:ascii="Arial" w:eastAsia="Times New Roman" w:hAnsi="Arial" w:cs="Arial"/>
            <w:szCs w:val="28"/>
            <w:lang w:val="uk-UA" w:eastAsia="uk-UA"/>
          </w:rPr>
          <w:t>https://zmina.ua/wp-content/uploads/sites/2/2024/03/freedomofspeechandjournalistsatwar_socialresearchua-web.pdf</w:t>
        </w:r>
      </w:hyperlink>
      <w:r w:rsidRPr="00511005">
        <w:rPr>
          <w:rFonts w:ascii="Arial" w:eastAsia="Times New Roman" w:hAnsi="Arial" w:cs="Arial"/>
          <w:szCs w:val="28"/>
          <w:lang w:val="uk-UA" w:eastAsia="uk-UA"/>
        </w:rPr>
        <w:t xml:space="preserve"> (дата звернення: 03.05.2025)</w:t>
      </w:r>
    </w:p>
    <w:p w14:paraId="4C1D7EE5"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Терещук Г. Заборона проросійських партій: безпека країни чи імітація бурхливої діяльності? URL: </w:t>
      </w:r>
      <w:hyperlink r:id="rId895">
        <w:r w:rsidRPr="00511005">
          <w:rPr>
            <w:rFonts w:ascii="Arial" w:eastAsia="Times New Roman" w:hAnsi="Arial" w:cs="Arial"/>
            <w:szCs w:val="28"/>
            <w:lang w:val="uk-UA" w:eastAsia="uk-UA"/>
          </w:rPr>
          <w:t>https://www.radiosvoboda.org/a/zaborona-rosiya-partiyi-viyna-okupatsiya/31909540.html</w:t>
        </w:r>
      </w:hyperlink>
      <w:r w:rsidRPr="00511005">
        <w:rPr>
          <w:rFonts w:ascii="Arial" w:eastAsia="Times New Roman" w:hAnsi="Arial" w:cs="Arial"/>
          <w:szCs w:val="28"/>
          <w:lang w:val="uk-UA" w:eastAsia="uk-UA"/>
        </w:rPr>
        <w:t xml:space="preserve"> (дата звернення: 03.05.2025)</w:t>
      </w:r>
    </w:p>
    <w:p w14:paraId="229A044A"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Конституція України: Закон від 28 черв. 1996 р. №254к/96-ВР // </w:t>
      </w:r>
      <w:r w:rsidRPr="00511005">
        <w:rPr>
          <w:rFonts w:ascii="Arial" w:eastAsia="Times New Roman" w:hAnsi="Arial" w:cs="Arial"/>
          <w:i/>
          <w:szCs w:val="28"/>
          <w:lang w:val="uk-UA" w:eastAsia="uk-UA"/>
        </w:rPr>
        <w:t>Відомості Верховної Ради України</w:t>
      </w:r>
      <w:r w:rsidRPr="00511005">
        <w:rPr>
          <w:rFonts w:ascii="Arial" w:eastAsia="Times New Roman" w:hAnsi="Arial" w:cs="Arial"/>
          <w:szCs w:val="28"/>
          <w:lang w:val="uk-UA" w:eastAsia="uk-UA"/>
        </w:rPr>
        <w:t xml:space="preserve">. – 1996. №30. Cт. 15. URL: </w:t>
      </w:r>
      <w:hyperlink r:id="rId896" w:anchor="Text">
        <w:r w:rsidRPr="00511005">
          <w:rPr>
            <w:rFonts w:ascii="Arial" w:eastAsia="Times New Roman" w:hAnsi="Arial" w:cs="Arial"/>
            <w:szCs w:val="28"/>
            <w:lang w:val="uk-UA" w:eastAsia="uk-UA"/>
          </w:rPr>
          <w:t>https://zakon.rada.gov.ua/laws/show/254%D0%BA/96-%D0%B2%D1%80#Text</w:t>
        </w:r>
      </w:hyperlink>
      <w:r w:rsidRPr="00511005">
        <w:rPr>
          <w:rFonts w:ascii="Arial" w:eastAsia="Times New Roman" w:hAnsi="Arial" w:cs="Arial"/>
          <w:szCs w:val="28"/>
          <w:lang w:val="uk-UA" w:eastAsia="uk-UA"/>
        </w:rPr>
        <w:t xml:space="preserve"> (дата звернення: 03.05.2025)</w:t>
      </w:r>
    </w:p>
    <w:p w14:paraId="09A35058"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Конституція України: Закон від 28 черв. 1996 р. №254к/96-ВР // </w:t>
      </w:r>
      <w:r w:rsidRPr="00511005">
        <w:rPr>
          <w:rFonts w:ascii="Arial" w:eastAsia="Times New Roman" w:hAnsi="Arial" w:cs="Arial"/>
          <w:i/>
          <w:szCs w:val="28"/>
          <w:lang w:val="uk-UA" w:eastAsia="uk-UA"/>
        </w:rPr>
        <w:t>Відомості Верховної Ради України</w:t>
      </w:r>
      <w:r w:rsidRPr="00511005">
        <w:rPr>
          <w:rFonts w:ascii="Arial" w:eastAsia="Times New Roman" w:hAnsi="Arial" w:cs="Arial"/>
          <w:szCs w:val="28"/>
          <w:lang w:val="uk-UA" w:eastAsia="uk-UA"/>
        </w:rPr>
        <w:t xml:space="preserve">. – 1996. №30. Ст. 34. URL: </w:t>
      </w:r>
      <w:hyperlink r:id="rId897" w:anchor="Text">
        <w:r w:rsidRPr="00511005">
          <w:rPr>
            <w:rFonts w:ascii="Arial" w:eastAsia="Times New Roman" w:hAnsi="Arial" w:cs="Arial"/>
            <w:szCs w:val="28"/>
            <w:lang w:val="uk-UA" w:eastAsia="uk-UA"/>
          </w:rPr>
          <w:t>https://zakon.rada.gov.ua/laws/show/254%D0%BA/96-%D0%B2%D1%80#Text</w:t>
        </w:r>
      </w:hyperlink>
      <w:r w:rsidRPr="00511005">
        <w:rPr>
          <w:rFonts w:ascii="Arial" w:eastAsia="Times New Roman" w:hAnsi="Arial" w:cs="Arial"/>
          <w:szCs w:val="28"/>
          <w:lang w:val="uk-UA" w:eastAsia="uk-UA"/>
        </w:rPr>
        <w:t xml:space="preserve"> (дата звернення: 03.05.2025)</w:t>
      </w:r>
    </w:p>
    <w:p w14:paraId="594E020E"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Марія Деві Христос. Історія кінця світу, призначеного на 24 листопада URL: </w:t>
      </w:r>
      <w:hyperlink r:id="rId898">
        <w:r w:rsidRPr="00511005">
          <w:rPr>
            <w:rFonts w:ascii="Arial" w:eastAsia="Times New Roman" w:hAnsi="Arial" w:cs="Arial"/>
            <w:szCs w:val="28"/>
            <w:lang w:val="uk-UA" w:eastAsia="uk-UA"/>
          </w:rPr>
          <w:t>https://glavcom.ua/country/society/marija-devi-khristos-istorija-kintsja-svitu-pruznachenogo-na-24-lustopada-1025539.html</w:t>
        </w:r>
      </w:hyperlink>
      <w:r w:rsidRPr="00511005">
        <w:rPr>
          <w:rFonts w:ascii="Arial" w:eastAsia="Times New Roman" w:hAnsi="Arial" w:cs="Arial"/>
          <w:szCs w:val="28"/>
          <w:lang w:val="uk-UA" w:eastAsia="uk-UA"/>
        </w:rPr>
        <w:t xml:space="preserve"> (дата звернення: 03.05.2025)</w:t>
      </w:r>
    </w:p>
    <w:p w14:paraId="20B1B4DF"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Можливість проведення загальнонаціональних виборів в умовах воєнного стану URL: </w:t>
      </w:r>
      <w:hyperlink r:id="rId899">
        <w:r w:rsidRPr="00511005">
          <w:rPr>
            <w:rFonts w:ascii="Arial" w:eastAsia="Times New Roman" w:hAnsi="Arial" w:cs="Arial"/>
            <w:szCs w:val="28"/>
            <w:lang w:val="uk-UA" w:eastAsia="uk-UA"/>
          </w:rPr>
          <w:t>https://niss.gov.ua/news/komentari-ekspertiv/mozhlyvist-provedennya-zahalnonatsionalnykh-vyboriv-v-umovakh-voyennoho</w:t>
        </w:r>
      </w:hyperlink>
      <w:r w:rsidRPr="00511005">
        <w:rPr>
          <w:rFonts w:ascii="Arial" w:eastAsia="Times New Roman" w:hAnsi="Arial" w:cs="Arial"/>
          <w:szCs w:val="28"/>
          <w:lang w:val="uk-UA" w:eastAsia="uk-UA"/>
        </w:rPr>
        <w:t xml:space="preserve"> (дата звернення: 03.05.2025).</w:t>
      </w:r>
    </w:p>
    <w:p w14:paraId="5C74840F"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введення воєнного стану в Україні: Указ Президента України від 24 лют. 2022 р. №64/2022 URL: </w:t>
      </w:r>
      <w:hyperlink r:id="rId900">
        <w:r w:rsidRPr="00511005">
          <w:rPr>
            <w:rFonts w:ascii="Arial" w:eastAsia="Times New Roman" w:hAnsi="Arial" w:cs="Arial"/>
            <w:szCs w:val="28"/>
            <w:lang w:val="uk-UA" w:eastAsia="uk-UA"/>
          </w:rPr>
          <w:t>https://www.president.gov.ua/documents/642022-41397</w:t>
        </w:r>
      </w:hyperlink>
      <w:r w:rsidRPr="00511005">
        <w:rPr>
          <w:rFonts w:ascii="Arial" w:eastAsia="Times New Roman" w:hAnsi="Arial" w:cs="Arial"/>
          <w:szCs w:val="28"/>
          <w:lang w:val="uk-UA" w:eastAsia="uk-UA"/>
        </w:rPr>
        <w:t xml:space="preserve"> (дата звернення: 03.05.2025).</w:t>
      </w:r>
    </w:p>
    <w:p w14:paraId="7CFB245D"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інформацію: Закон України від 2 жовт. 1992 р. №2657-XII // </w:t>
      </w:r>
      <w:r w:rsidRPr="00511005">
        <w:rPr>
          <w:rFonts w:ascii="Arial" w:eastAsia="Times New Roman" w:hAnsi="Arial" w:cs="Arial"/>
          <w:i/>
          <w:szCs w:val="28"/>
          <w:lang w:val="uk-UA" w:eastAsia="uk-UA"/>
        </w:rPr>
        <w:t>Відомості Верховної Ради України</w:t>
      </w:r>
      <w:r w:rsidRPr="00511005">
        <w:rPr>
          <w:rFonts w:ascii="Arial" w:eastAsia="Times New Roman" w:hAnsi="Arial" w:cs="Arial"/>
          <w:szCs w:val="28"/>
          <w:lang w:val="uk-UA" w:eastAsia="uk-UA"/>
        </w:rPr>
        <w:t xml:space="preserve">. 1992. №48. Ст. 24. URL: </w:t>
      </w:r>
      <w:hyperlink r:id="rId901" w:anchor="Text">
        <w:r w:rsidRPr="00511005">
          <w:rPr>
            <w:rFonts w:ascii="Arial" w:eastAsia="Times New Roman" w:hAnsi="Arial" w:cs="Arial"/>
            <w:szCs w:val="28"/>
            <w:lang w:val="uk-UA" w:eastAsia="uk-UA"/>
          </w:rPr>
          <w:t>https://zakon.rada.gov.ua/laws/show/2657-12#Text</w:t>
        </w:r>
      </w:hyperlink>
      <w:r w:rsidRPr="00511005">
        <w:rPr>
          <w:rFonts w:ascii="Arial" w:eastAsia="Times New Roman" w:hAnsi="Arial" w:cs="Arial"/>
          <w:szCs w:val="28"/>
          <w:lang w:val="uk-UA" w:eastAsia="uk-UA"/>
        </w:rPr>
        <w:t xml:space="preserve"> (дата звернення: 03.05.2025)</w:t>
      </w:r>
    </w:p>
    <w:p w14:paraId="49AEF9B9"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Рішення Конституційного Суду України у справі за конституційним поданням Служби безпеки України щодо офіційного тлумачення положення ч. 3 ст. 62 Конституції України від 20.10.2011 р. №12-рп/2011 URL: </w:t>
      </w:r>
      <w:hyperlink r:id="rId902" w:anchor="Text">
        <w:r w:rsidRPr="00511005">
          <w:rPr>
            <w:rFonts w:ascii="Arial" w:eastAsia="Times New Roman" w:hAnsi="Arial" w:cs="Arial"/>
            <w:szCs w:val="28"/>
            <w:lang w:val="uk-UA" w:eastAsia="uk-UA"/>
          </w:rPr>
          <w:t>https://zakon.rada.gov.ua/laws/show/v012p710-11#Text</w:t>
        </w:r>
      </w:hyperlink>
      <w:r w:rsidRPr="00511005">
        <w:rPr>
          <w:rFonts w:ascii="Arial" w:eastAsia="Times New Roman" w:hAnsi="Arial" w:cs="Arial"/>
          <w:szCs w:val="28"/>
          <w:lang w:val="uk-UA" w:eastAsia="uk-UA"/>
        </w:rPr>
        <w:t xml:space="preserve"> (дата звернення: 03.05.2025).</w:t>
      </w:r>
    </w:p>
    <w:p w14:paraId="58AF0473"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Рішення Конституційного Суду України від 1 черв. 2016 р. №2-рп/2016 URL: </w:t>
      </w:r>
      <w:hyperlink r:id="rId903" w:anchor="Text">
        <w:r w:rsidRPr="00511005">
          <w:rPr>
            <w:rFonts w:ascii="Arial" w:eastAsia="Times New Roman" w:hAnsi="Arial" w:cs="Arial"/>
            <w:szCs w:val="28"/>
            <w:lang w:val="uk-UA" w:eastAsia="uk-UA"/>
          </w:rPr>
          <w:t>https://zakon.rada.gov.ua/laws/show/v002p710-16#Text</w:t>
        </w:r>
      </w:hyperlink>
      <w:r w:rsidRPr="00511005">
        <w:rPr>
          <w:rFonts w:ascii="Arial" w:eastAsia="Times New Roman" w:hAnsi="Arial" w:cs="Arial"/>
          <w:szCs w:val="28"/>
          <w:lang w:val="uk-UA" w:eastAsia="uk-UA"/>
        </w:rPr>
        <w:t xml:space="preserve"> (дата звернення: 03.05.2025)</w:t>
      </w:r>
    </w:p>
    <w:p w14:paraId="4D4A8C3D" w14:textId="77777777" w:rsidR="00B67481" w:rsidRPr="00511005" w:rsidRDefault="00B67481" w:rsidP="003F6A5D">
      <w:pPr>
        <w:numPr>
          <w:ilvl w:val="0"/>
          <w:numId w:val="230"/>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Семенюк А.Я. Права та свободи людини і громадянина та їх види URL: </w:t>
      </w:r>
      <w:hyperlink r:id="rId904">
        <w:r w:rsidRPr="00511005">
          <w:rPr>
            <w:rFonts w:ascii="Arial" w:eastAsia="Times New Roman" w:hAnsi="Arial" w:cs="Arial"/>
            <w:szCs w:val="28"/>
            <w:lang w:val="uk-UA" w:eastAsia="uk-UA"/>
          </w:rPr>
          <w:t>http://koveladm.gov.ua/press-tsentr/item/5574-prava-ta-svobody-lyudyny-i-gromadyanyna-ta-yih-vydy</w:t>
        </w:r>
      </w:hyperlink>
      <w:r w:rsidRPr="00511005">
        <w:rPr>
          <w:rFonts w:ascii="Arial" w:eastAsia="Times New Roman" w:hAnsi="Arial" w:cs="Arial"/>
          <w:szCs w:val="28"/>
          <w:lang w:val="uk-UA" w:eastAsia="uk-UA"/>
        </w:rPr>
        <w:t xml:space="preserve"> (дата звернення: 03.05.2025)</w:t>
      </w:r>
    </w:p>
    <w:p w14:paraId="3FF2DF8B" w14:textId="1F6CEFC7" w:rsidR="00B67481" w:rsidRPr="00511005" w:rsidRDefault="007B2628"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B67481" w:rsidRPr="00511005">
        <w:rPr>
          <w:rFonts w:ascii="Arial" w:eastAsia="Times New Roman" w:hAnsi="Arial" w:cs="Arial"/>
          <w:szCs w:val="28"/>
          <w:lang w:val="uk-UA" w:eastAsia="uk-UA"/>
        </w:rPr>
        <w:t>свобода слова, конституційне втручання, національна безпека, свобода слова</w:t>
      </w:r>
      <w:r w:rsidRPr="00511005">
        <w:rPr>
          <w:rFonts w:ascii="Arial" w:eastAsia="Times New Roman" w:hAnsi="Arial" w:cs="Arial"/>
          <w:szCs w:val="28"/>
          <w:lang w:val="uk-UA" w:eastAsia="uk-UA"/>
        </w:rPr>
        <w:t xml:space="preserve"> </w:t>
      </w:r>
      <w:r w:rsidR="00B67481" w:rsidRPr="00511005">
        <w:rPr>
          <w:rFonts w:ascii="Arial" w:eastAsia="Times New Roman" w:hAnsi="Arial" w:cs="Arial"/>
          <w:szCs w:val="28"/>
          <w:lang w:val="uk-UA" w:eastAsia="uk-UA"/>
        </w:rPr>
        <w:t>в умовах воєнного стану.</w:t>
      </w:r>
    </w:p>
    <w:p w14:paraId="6376BA1A" w14:textId="700DA76F" w:rsidR="00B67481" w:rsidRPr="00511005" w:rsidRDefault="007B2628" w:rsidP="003A292D">
      <w:pPr>
        <w:keepNext/>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B67481" w:rsidRPr="00511005">
        <w:rPr>
          <w:rFonts w:ascii="Arial" w:eastAsia="Times New Roman" w:hAnsi="Arial" w:cs="Arial"/>
          <w:szCs w:val="28"/>
          <w:lang w:val="uk-UA" w:eastAsia="uk-UA"/>
        </w:rPr>
        <w:t>freedom of speech, constitutional interference, national security, freedom of speech under martial law.</w:t>
      </w:r>
    </w:p>
    <w:p w14:paraId="5CCE52C8" w14:textId="15B7D295" w:rsidR="00B67481" w:rsidRPr="00511005" w:rsidRDefault="007B2628" w:rsidP="003A292D">
      <w:pPr>
        <w:keepNext/>
        <w:spacing w:line="264" w:lineRule="auto"/>
        <w:ind w:firstLine="567"/>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B67481" w:rsidRPr="00511005">
        <w:rPr>
          <w:rFonts w:ascii="Arial" w:eastAsia="Times New Roman" w:hAnsi="Arial" w:cs="Arial"/>
          <w:i/>
          <w:szCs w:val="28"/>
          <w:lang w:val="uk-UA" w:eastAsia="uk-UA"/>
        </w:rPr>
        <w:t>к.ю.н., доцент Кулі-Іванченко К.К.</w:t>
      </w:r>
    </w:p>
    <w:p w14:paraId="724AAC9A" w14:textId="77777777" w:rsidR="00B67481" w:rsidRPr="00511005" w:rsidRDefault="00B67481" w:rsidP="003A292D">
      <w:pPr>
        <w:spacing w:line="264" w:lineRule="auto"/>
        <w:ind w:firstLine="0"/>
        <w:jc w:val="left"/>
        <w:rPr>
          <w:rFonts w:ascii="Arial" w:eastAsia="Times New Roman" w:hAnsi="Arial" w:cs="Arial"/>
          <w:i/>
          <w:szCs w:val="28"/>
          <w:lang w:val="uk-UA" w:eastAsia="uk-UA"/>
        </w:rPr>
      </w:pPr>
    </w:p>
    <w:p w14:paraId="74063026" w14:textId="77777777" w:rsidR="003F5D68" w:rsidRPr="00511005" w:rsidRDefault="003F5D68" w:rsidP="003A292D">
      <w:pPr>
        <w:keepNext/>
        <w:spacing w:line="264" w:lineRule="auto"/>
        <w:ind w:firstLine="0"/>
        <w:jc w:val="left"/>
        <w:rPr>
          <w:rFonts w:ascii="Arial" w:hAnsi="Arial" w:cs="Arial"/>
          <w:szCs w:val="28"/>
          <w:lang w:val="uk-UA"/>
        </w:rPr>
      </w:pPr>
    </w:p>
    <w:p w14:paraId="2C7226F4"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324D2FF0" w14:textId="77777777" w:rsidR="003F5D68" w:rsidRPr="00511005" w:rsidRDefault="003F5D68" w:rsidP="003A292D">
      <w:pPr>
        <w:keepNext/>
        <w:suppressAutoHyphens/>
        <w:spacing w:line="264" w:lineRule="auto"/>
        <w:ind w:firstLine="0"/>
        <w:jc w:val="left"/>
        <w:rPr>
          <w:rFonts w:ascii="Arial" w:hAnsi="Arial" w:cs="Arial"/>
          <w:szCs w:val="28"/>
        </w:rPr>
      </w:pPr>
    </w:p>
    <w:p w14:paraId="5634E719" w14:textId="1F4C6A36" w:rsidR="003F5D68" w:rsidRPr="00511005" w:rsidRDefault="003F5D68" w:rsidP="003A292D">
      <w:pPr>
        <w:pStyle w:val="aa"/>
        <w:spacing w:before="0" w:after="0" w:line="264" w:lineRule="auto"/>
        <w:rPr>
          <w:rFonts w:ascii="Arial" w:hAnsi="Arial" w:cs="Arial"/>
          <w:color w:val="auto"/>
          <w:sz w:val="28"/>
          <w:szCs w:val="28"/>
        </w:rPr>
      </w:pPr>
      <w:bookmarkStart w:id="110" w:name="_Toc208298993"/>
      <w:r w:rsidRPr="00511005">
        <w:rPr>
          <w:rFonts w:ascii="Arial" w:hAnsi="Arial" w:cs="Arial"/>
          <w:color w:val="auto"/>
          <w:sz w:val="28"/>
          <w:szCs w:val="28"/>
        </w:rPr>
        <w:t xml:space="preserve">СЕКЦІЯ </w:t>
      </w:r>
      <w:r w:rsidRPr="00511005">
        <w:rPr>
          <w:rFonts w:ascii="Arial" w:hAnsi="Arial" w:cs="Arial"/>
          <w:color w:val="auto"/>
          <w:sz w:val="28"/>
          <w:szCs w:val="28"/>
          <w:lang w:val="ru-RU"/>
        </w:rPr>
        <w:t>6. НАПРЯМИ ВДОСКОНАЛЕННЯ АДМІНІСТРАТИВНОГО ПРАВА ТА ПРОЦЕСУ, ФІНАНСОВОГО ПРАВА</w:t>
      </w:r>
      <w:bookmarkEnd w:id="110"/>
    </w:p>
    <w:p w14:paraId="46928CEA" w14:textId="77777777" w:rsidR="003F5D68" w:rsidRPr="00511005" w:rsidRDefault="003F5D68" w:rsidP="003A292D">
      <w:pPr>
        <w:keepNext/>
        <w:spacing w:line="264" w:lineRule="auto"/>
        <w:ind w:firstLine="0"/>
        <w:jc w:val="left"/>
        <w:rPr>
          <w:rFonts w:ascii="Arial" w:hAnsi="Arial" w:cs="Arial"/>
          <w:szCs w:val="28"/>
        </w:rPr>
      </w:pPr>
    </w:p>
    <w:p w14:paraId="719AC53E" w14:textId="77777777" w:rsidR="00381578" w:rsidRPr="00511005" w:rsidRDefault="00381578" w:rsidP="003A292D">
      <w:pPr>
        <w:keepNext/>
        <w:spacing w:line="264" w:lineRule="auto"/>
        <w:rPr>
          <w:rFonts w:ascii="Arial" w:eastAsia="Calibri" w:hAnsi="Arial" w:cs="Arial"/>
          <w:szCs w:val="28"/>
          <w:lang w:val="uk-UA"/>
        </w:rPr>
      </w:pPr>
    </w:p>
    <w:p w14:paraId="7D997018" w14:textId="31B3FFFF" w:rsidR="00B67481" w:rsidRPr="00511005" w:rsidRDefault="00B67481" w:rsidP="00B0737F">
      <w:pPr>
        <w:pStyle w:val="21"/>
      </w:pPr>
      <w:bookmarkStart w:id="111" w:name="_Toc208298994"/>
      <w:r w:rsidRPr="00511005">
        <w:t>Підсекція 6.1. Напрями вдосконалення адміністративного права та фінансового права</w:t>
      </w:r>
      <w:bookmarkEnd w:id="111"/>
    </w:p>
    <w:p w14:paraId="65D02B43" w14:textId="77777777" w:rsidR="007617B6" w:rsidRPr="00511005" w:rsidRDefault="007617B6" w:rsidP="007617B6">
      <w:pPr>
        <w:spacing w:line="264" w:lineRule="auto"/>
        <w:jc w:val="center"/>
        <w:rPr>
          <w:rFonts w:ascii="Arial" w:eastAsia="Times New Roman" w:hAnsi="Arial" w:cs="Arial"/>
          <w:szCs w:val="28"/>
          <w:lang w:eastAsia="ru-RU"/>
        </w:rPr>
      </w:pPr>
    </w:p>
    <w:p w14:paraId="0F6736A0" w14:textId="77777777" w:rsidR="007617B6" w:rsidRPr="00511005" w:rsidRDefault="007617B6" w:rsidP="007617B6">
      <w:pPr>
        <w:spacing w:line="264" w:lineRule="auto"/>
        <w:jc w:val="center"/>
        <w:rPr>
          <w:rFonts w:ascii="Arial" w:eastAsia="Times New Roman" w:hAnsi="Arial" w:cs="Arial"/>
          <w:szCs w:val="28"/>
          <w:lang w:eastAsia="ru-RU"/>
        </w:rPr>
      </w:pPr>
    </w:p>
    <w:p w14:paraId="7E8A9EEC" w14:textId="427B0F25" w:rsidR="007617B6" w:rsidRPr="00511005" w:rsidRDefault="007617B6" w:rsidP="007617B6">
      <w:pPr>
        <w:spacing w:line="264" w:lineRule="auto"/>
        <w:jc w:val="center"/>
        <w:rPr>
          <w:rFonts w:ascii="Arial" w:eastAsia="Times New Roman" w:hAnsi="Arial" w:cs="Arial"/>
          <w:szCs w:val="28"/>
          <w:lang w:eastAsia="ru-RU"/>
        </w:rPr>
      </w:pPr>
      <w:r w:rsidRPr="00511005">
        <w:rPr>
          <w:rFonts w:ascii="Arial" w:eastAsia="Times New Roman" w:hAnsi="Arial" w:cs="Arial"/>
          <w:b/>
          <w:bCs/>
          <w:i/>
          <w:kern w:val="36"/>
          <w:szCs w:val="28"/>
          <w:lang w:val="uk-UA" w:eastAsia="ru-RU"/>
        </w:rPr>
        <w:t>Антіпова Олександра Геннадіївна</w:t>
      </w:r>
    </w:p>
    <w:p w14:paraId="3E8DCE9B" w14:textId="75F709C8" w:rsidR="007617B6" w:rsidRPr="00511005" w:rsidRDefault="00536AAB" w:rsidP="007617B6">
      <w:pPr>
        <w:spacing w:line="264" w:lineRule="auto"/>
        <w:jc w:val="center"/>
        <w:rPr>
          <w:rFonts w:ascii="Arial" w:eastAsia="Times New Roman" w:hAnsi="Arial" w:cs="Arial"/>
          <w:szCs w:val="28"/>
          <w:lang w:eastAsia="ru-RU"/>
        </w:rPr>
      </w:pPr>
      <w:r w:rsidRPr="00511005">
        <w:rPr>
          <w:rFonts w:ascii="Arial" w:eastAsia="Times New Roman" w:hAnsi="Arial" w:cs="Arial"/>
          <w:bCs/>
          <w:kern w:val="36"/>
          <w:szCs w:val="28"/>
          <w:lang w:val="uk-UA" w:eastAsia="ru-RU"/>
        </w:rPr>
        <w:t xml:space="preserve">студентка 2-го курсу </w:t>
      </w:r>
      <w:r w:rsidR="007B2628" w:rsidRPr="00511005">
        <w:rPr>
          <w:rFonts w:ascii="Arial" w:eastAsia="Times New Roman" w:hAnsi="Arial" w:cs="Arial"/>
          <w:bCs/>
          <w:kern w:val="36"/>
          <w:szCs w:val="28"/>
          <w:lang w:val="uk-UA" w:eastAsia="ru-RU"/>
        </w:rPr>
        <w:t>факультету цивільної та господарської юстиції</w:t>
      </w:r>
      <w:r w:rsidR="007617B6" w:rsidRPr="00511005">
        <w:rPr>
          <w:rFonts w:ascii="Arial" w:eastAsia="Times New Roman" w:hAnsi="Arial" w:cs="Arial"/>
          <w:bCs/>
          <w:kern w:val="36"/>
          <w:szCs w:val="28"/>
          <w:lang w:val="uk-UA" w:eastAsia="ru-RU"/>
        </w:rPr>
        <w:t xml:space="preserve"> </w:t>
      </w:r>
      <w:r w:rsidR="007B2628" w:rsidRPr="00511005">
        <w:rPr>
          <w:rFonts w:ascii="Arial" w:eastAsia="Times New Roman" w:hAnsi="Arial" w:cs="Arial"/>
          <w:bCs/>
          <w:kern w:val="36"/>
          <w:szCs w:val="28"/>
          <w:lang w:val="uk-UA" w:eastAsia="ru-RU"/>
        </w:rPr>
        <w:t>Національного університету «Одеська юридична академія»</w:t>
      </w:r>
    </w:p>
    <w:p w14:paraId="5147F459" w14:textId="77777777" w:rsidR="007617B6" w:rsidRPr="00511005" w:rsidRDefault="007617B6" w:rsidP="007617B6">
      <w:pPr>
        <w:spacing w:line="264" w:lineRule="auto"/>
        <w:jc w:val="center"/>
        <w:rPr>
          <w:rFonts w:ascii="Arial" w:eastAsia="Times New Roman" w:hAnsi="Arial" w:cs="Arial"/>
          <w:szCs w:val="28"/>
          <w:lang w:eastAsia="ru-RU"/>
        </w:rPr>
      </w:pPr>
    </w:p>
    <w:p w14:paraId="55507706" w14:textId="5E513088" w:rsidR="007617B6" w:rsidRPr="00511005" w:rsidRDefault="007617B6" w:rsidP="007617B6">
      <w:pPr>
        <w:spacing w:line="264" w:lineRule="auto"/>
        <w:jc w:val="center"/>
        <w:rPr>
          <w:rFonts w:ascii="Arial" w:eastAsia="Times New Roman" w:hAnsi="Arial" w:cs="Arial"/>
          <w:szCs w:val="28"/>
          <w:lang w:eastAsia="ru-RU"/>
        </w:rPr>
      </w:pPr>
      <w:r w:rsidRPr="00511005">
        <w:rPr>
          <w:rFonts w:ascii="Arial" w:eastAsia="Times New Roman" w:hAnsi="Arial" w:cs="Arial"/>
          <w:b/>
          <w:bCs/>
          <w:kern w:val="36"/>
          <w:szCs w:val="28"/>
          <w:lang w:eastAsia="ru-RU"/>
        </w:rPr>
        <w:t>ПРОБЛЕМИ РЕАЛІЗАЦІЇ ПРАВА НА ЗВЕРНЕННЯ ДО ОРГАНІВ ПУБЛІЧНОЇ ВЛАДИ</w:t>
      </w:r>
    </w:p>
    <w:p w14:paraId="255CBE34" w14:textId="5075E148"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Право громадян на звернення до органів публічної влади є одним із фундаментальних прав, закріплених у Конституції України, що відіграє важливу роль у забезпеченні зв'язку між громадянами та державою. Стаття 40 Основного Закону закріплює право направляти індивідуальні чи колективні письмові звернення або особисто звертатися до органів державної влади, органів місцевого самоврядування та посадових і службових осіб цих органів [1]. Це право є одним із ключових елементів демократичного суспільства, оскільки дозволяє громадянам брати участь в управлінні державними справами, сприяє прозорості діяльності органів публічної влади та підвищує їх відповідальність перед суспільством. Проте, незважаючи на законодавче закріплення цього права, його практична реалізація стикається з низкою перешкод, які потребують комплексного дослідження та вирішення.</w:t>
      </w:r>
    </w:p>
    <w:p w14:paraId="71F99D17"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Правове регулювання інституту звернень громадян в Україні здійснюється на основі комплексу нормативно-правових актів, основними з яких є Закон України «Про звернення громадян», прийнятий ще у 1996 році [2]. Цей нормативно-правовий акт встановлює загальні засади реалізації права на звернення, визначає види звернень (пропозиції, заяви, скарги), встановлює вимоги до їх оформлення, порядок розгляду</w:t>
      </w:r>
      <w:r w:rsidRPr="00511005">
        <w:rPr>
          <w:rFonts w:ascii="Arial" w:eastAsia="Times New Roman" w:hAnsi="Arial" w:cs="Arial"/>
          <w:szCs w:val="28"/>
          <w:lang w:val="uk-UA" w:eastAsia="ru-RU"/>
        </w:rPr>
        <w:t xml:space="preserve">. Важливою віхою в розвитку законодавства про звернення громадян стало внесення змін до Закону України «Про звернення громадян» щодо електронного звернення та електронної петиції [3], який розширив можливості громадян щодо впливу на владу шляхом створення електронних петицій та їх подання до органів публічної влади. </w:t>
      </w:r>
    </w:p>
    <w:p w14:paraId="100C7125"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Попри наявність достатньої нормативно-правової бази, реалізація права на звернення до органів публічної влади наштовхується на ряд практичних і теоретичних труднощів. Однією з ключових перешкод є </w:t>
      </w:r>
      <w:r w:rsidRPr="00511005">
        <w:rPr>
          <w:rFonts w:ascii="Arial" w:eastAsia="Times New Roman" w:hAnsi="Arial" w:cs="Arial"/>
          <w:szCs w:val="28"/>
          <w:lang w:eastAsia="ru-RU"/>
        </w:rPr>
        <w:lastRenderedPageBreak/>
        <w:t xml:space="preserve">недостатня ефективність механізму розгляду звернень громадян. За даними дослідження, проведеного Українським центром економічних і політичних досліджень імені Олександра Разумкова, лише 23% опитаних громадян вважають, що їхні звернення до органів влади призводять до конкретних результатів [4, с. 42]. Така ситуація пояснюється низкою факторів, зокрема: формальним підходом до розгляду звернень з боку посадових осіб; недостатнім рівнем кваліфікації працівників, відповідальних </w:t>
      </w:r>
      <w:proofErr w:type="gramStart"/>
      <w:r w:rsidRPr="00511005">
        <w:rPr>
          <w:rFonts w:ascii="Arial" w:eastAsia="Times New Roman" w:hAnsi="Arial" w:cs="Arial"/>
          <w:szCs w:val="28"/>
          <w:lang w:eastAsia="ru-RU"/>
        </w:rPr>
        <w:t>за роботу</w:t>
      </w:r>
      <w:proofErr w:type="gramEnd"/>
      <w:r w:rsidRPr="00511005">
        <w:rPr>
          <w:rFonts w:ascii="Arial" w:eastAsia="Times New Roman" w:hAnsi="Arial" w:cs="Arial"/>
          <w:szCs w:val="28"/>
          <w:lang w:eastAsia="ru-RU"/>
        </w:rPr>
        <w:t xml:space="preserve"> зі зверненнями; відсутністю дієвого контролю за виконанням рішень, прийнятих за результатами розгляду звернень; недосконалістю процедури оскарження рішень, дій чи бездіяльності органів публічної влади.</w:t>
      </w:r>
    </w:p>
    <w:p w14:paraId="485D6099"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Суттєвим недоліком залишається недостатня інформованість громадян про їхні права та механізми їх реалізації. Багато громадян не знають про можливості, які надає їм законодавство щодо звернення до органів публічної влади, не володіють інформацією про компетенцію тих чи інших органів влади, не мають достатніх навичок для складання звернень відповідно до вимог законодавства. За результатами дослідження, проведеного Центром політико-правових реформ, лише 35% опитаних громадян змогли правильно визначити орган влади, до компетенції якого належить вирішення їхньої проблеми [5, с. 78]. Така ситуація призводить до того, що значна частина звернень направляється не за призначенням, що збільшує строки їх розгляду та знижує ефективність вирішення питань громадян.</w:t>
      </w:r>
    </w:p>
    <w:p w14:paraId="414FA459"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Актуальним викликом залишається і недостатній рівень впровадження інформаційно-комунікаційних технологій у процес роботи зі зверненнями громадян. Незважаючи на законодавче закріплення можливості подання електронних звернень та електронних петицій, на практиці багато органів публічної влади, особливо на місцевому рівні, не мають технічних можливостей для їх прийому та обробки. Крім того, значна частина населення, особливо люди старшого віку та мешканці сільської місцевості, не мають достатніх навичок користування комп'ютером або доступу до мережі Інтернет, що обмежує їхні можливості щодо реалізації права на звернення за допомогою електронних засобів.</w:t>
      </w:r>
    </w:p>
    <w:p w14:paraId="2760D136"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Критичним питанням є недосконалість законодавства у сфері відповідальності за порушення права на звернення. Стаття 24 Закону України «Про звернення громадян» передбачає, що особи, винні у порушенні цього Закону, несуть цивільну, адміністративну або кримінальну відповідальність, передбачену законодавством України [2]. Однак, на практиці притягнення до відповідальності за порушення законодавства про звернення громадян відбувається вкрай рідко. За даними Державної судової адміністрації України, щороку розглядається лише кілька десятків справ про адміністративні правопорушення за статтею 212-3 КУпАП (порушення права на інформацію та права на звернення) [6, с. 112]. Це пояснюється </w:t>
      </w:r>
      <w:r w:rsidRPr="00511005">
        <w:rPr>
          <w:rFonts w:ascii="Arial" w:eastAsia="Times New Roman" w:hAnsi="Arial" w:cs="Arial"/>
          <w:szCs w:val="28"/>
          <w:lang w:eastAsia="ru-RU"/>
        </w:rPr>
        <w:lastRenderedPageBreak/>
        <w:t>недосконалістю механізмів фіксації порушень, складнощами доказування вини посадових осіб, а також недостатньою активністю громадян щодо захисту своїх прав.</w:t>
      </w:r>
    </w:p>
    <w:p w14:paraId="4846C727"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Окремим викликом є недостатня зацікавленість органів публічної влади у налагодженні ефективного діалогу з громадянами. Часто звернення сприймаються посадовими особами не як можливість покращити роботу органу влади та підвищити рівень довіри громадян, а як додаткове навантаження, яке відволікає від виконання основних обов'язків. Така ситуація призводить до формального підходу до розгляду звернень, надання типових відповідей, які не містять конкретних рішень щодо питань, зазначених у зверненнях. За результатами аналізу відповідей на звернення громадян, проведеного громадською організацією "Центр громадянських свобод" у 2022 році (дослідження охопило 500 відповідей на звернення громадян від різних органів державної влади та місцевого самоврядування по всій Україні), близько 45% відповідей мали формальний характер і не містили конкретної інформації щодо вирішення питання [7, с. 56].</w:t>
      </w:r>
    </w:p>
    <w:p w14:paraId="5E530865"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Істотною перешкодою є також недосконалість механізмів розгляду колективних звернень та електронних петицій. Законодавство не передбачає особливостей розгляду колективних звернень, що призводить до того, що вони розглядаються за тією ж процедурою, що й індивідуальні, незважаючи на те, що за колективними зверненнями часто стоять інтереси значної кількості громадян. Щодо електронних петицій, то складністю є встановлення високого порогу кількості підписів, необхідних для їх розгляду, а також відсутність механізмів контролю за виконанням рішень, прийнятих за результатами розгляду електронних петицій.</w:t>
      </w:r>
    </w:p>
    <w:p w14:paraId="3275F3BE"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Для подолання зазначених труднощів необхідно здійснити комплекс заходів правового, організаційного та інформаційного характеру. Перш за все, потрібно вдосконалити законодавство про звернення громадян, зокрема: конкретизувати вимоги до відповідей на звернення, передбачивши обов'язковість зазначення в них конкретних заходів, вжитих для вирішення питання; встановити чітку процедуру оскарження рішень, дій чи бездіяльності посадових осіб щодо розгляду звернень; посилити відповідальність за порушення законодавства про звернення громадян; врегулювати особливості розгляду колективних звернень та електронних петицій.</w:t>
      </w:r>
    </w:p>
    <w:p w14:paraId="72148CD2"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Важливим напрямом подолання викликів є підвищення рівня професійної компетентності посадових осіб, відповідальних </w:t>
      </w:r>
      <w:proofErr w:type="gramStart"/>
      <w:r w:rsidRPr="00511005">
        <w:rPr>
          <w:rFonts w:ascii="Arial" w:eastAsia="Times New Roman" w:hAnsi="Arial" w:cs="Arial"/>
          <w:szCs w:val="28"/>
          <w:lang w:eastAsia="ru-RU"/>
        </w:rPr>
        <w:t>за роботу</w:t>
      </w:r>
      <w:proofErr w:type="gramEnd"/>
      <w:r w:rsidRPr="00511005">
        <w:rPr>
          <w:rFonts w:ascii="Arial" w:eastAsia="Times New Roman" w:hAnsi="Arial" w:cs="Arial"/>
          <w:szCs w:val="28"/>
          <w:lang w:eastAsia="ru-RU"/>
        </w:rPr>
        <w:t xml:space="preserve"> зі зверненнями громадян. Для цього доцільно розробити та впровадити спеціальні навчальні програми, проводити тренінги та семінари, обмінюватися досвідом між різними органами публічної влади. Крім того, необхідно розробити методичні рекомендації щодо роботи зі зверненнями, </w:t>
      </w:r>
      <w:r w:rsidRPr="00511005">
        <w:rPr>
          <w:rFonts w:ascii="Arial" w:eastAsia="Times New Roman" w:hAnsi="Arial" w:cs="Arial"/>
          <w:szCs w:val="28"/>
          <w:lang w:eastAsia="ru-RU"/>
        </w:rPr>
        <w:lastRenderedPageBreak/>
        <w:t>які б містили алгоритми дій посадових осіб у різних ситуаціях, пов'язаних із розглядом звернень.</w:t>
      </w:r>
    </w:p>
    <w:p w14:paraId="196B5B76"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Стратегічним напрямом вирішення наявних труднощів є також підвищення рівня правової культури та правової свідомості громадян. Для цього необхідно проводити інформаційно-просвітницькі кампанії, розробляти та поширювати доступні для розуміння інформаційні матеріали про право на звернення та механізми його реалізації, надавати безоплатну правову допомогу у складанні звернень тощо. Особливу увагу слід приділити підвищенню цифрової грамотності населення, особливо людей старшого віку та мешканців сільської місцевості, щоб забезпечити їм можливість реалізації права на звернення за допомогою електронних засобів.</w:t>
      </w:r>
    </w:p>
    <w:p w14:paraId="46A08B6B"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Таким чином, право на звернення до органів публічної влади є важливим інструментом забезпечення зв'язку між громадянами та державою, який, однак, зустрічається з низкою перешкод у процесі реалізації. Вирішення цих викликів потребує комплексного підходу, який передбачає вдосконалення законодавства, підвищення професійної компетентності посадових осіб, підвищення рівня правової культури та цифрової грамотності громадян, а також впровадження сучасних інформаційно-комунікаційних технологій у процес роботи зі зверненнями. Лише за таких умов право на звернення до органів публічної влади може стати ефективним механізмом вирішення питань громадян та покращення діяльності органів публічної влади.</w:t>
      </w:r>
    </w:p>
    <w:p w14:paraId="181161A3" w14:textId="0600E3C0" w:rsidR="00B67481" w:rsidRPr="00511005" w:rsidRDefault="00B67481" w:rsidP="003A292D">
      <w:pPr>
        <w:spacing w:line="264" w:lineRule="auto"/>
        <w:rPr>
          <w:rFonts w:ascii="Arial" w:eastAsia="Times New Roman" w:hAnsi="Arial" w:cs="Arial"/>
          <w:szCs w:val="28"/>
          <w:lang w:val="uk-UA" w:eastAsia="ru-RU"/>
        </w:rPr>
      </w:pPr>
    </w:p>
    <w:p w14:paraId="6B2DEB81" w14:textId="5EBC565A" w:rsidR="007617B6" w:rsidRPr="00511005" w:rsidRDefault="007B2628" w:rsidP="007B2628">
      <w:pPr>
        <w:spacing w:line="264" w:lineRule="auto"/>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172138E2" w14:textId="77777777" w:rsidR="00B67481" w:rsidRPr="00511005" w:rsidRDefault="00B67481" w:rsidP="003F6A5D">
      <w:pPr>
        <w:numPr>
          <w:ilvl w:val="0"/>
          <w:numId w:val="231"/>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Конституція України: Закон України від 28.06.1996 р. № 254к/96-ВР. Відомості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1996. № 30. Ст. 141.</w:t>
      </w:r>
    </w:p>
    <w:p w14:paraId="709003F3" w14:textId="77777777" w:rsidR="00B67481" w:rsidRPr="00511005" w:rsidRDefault="00B67481" w:rsidP="003F6A5D">
      <w:pPr>
        <w:numPr>
          <w:ilvl w:val="0"/>
          <w:numId w:val="231"/>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звернення громадян: Закон України від 02.10.1996 р. № 393/96-ВР. Відомості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1996. № 47. Ст. 256.</w:t>
      </w:r>
    </w:p>
    <w:p w14:paraId="5FF476EA" w14:textId="77777777" w:rsidR="00B67481" w:rsidRPr="00511005" w:rsidRDefault="00B67481" w:rsidP="003F6A5D">
      <w:pPr>
        <w:numPr>
          <w:ilvl w:val="0"/>
          <w:numId w:val="231"/>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внесення змін до Закону України "Про звернення громадян" щодо електронного звернення та електронної петиції: Закон України від 02.07.2015 р. № 577-VIII. Відомості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2015. № 35. Ст. 341.</w:t>
      </w:r>
    </w:p>
    <w:p w14:paraId="4082CFBE" w14:textId="77777777" w:rsidR="00B67481" w:rsidRPr="00511005" w:rsidRDefault="00B67481" w:rsidP="003F6A5D">
      <w:pPr>
        <w:numPr>
          <w:ilvl w:val="0"/>
          <w:numId w:val="231"/>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Громадська думка про стан взаємодії громадян з органами влади: Аналітичний звіт Українського центру економічних і політичних досліджень імені Олександра Разумкова. Київ, 2023. 85 с.</w:t>
      </w:r>
    </w:p>
    <w:p w14:paraId="7568729A" w14:textId="77777777" w:rsidR="00B67481" w:rsidRPr="00511005" w:rsidRDefault="00B67481" w:rsidP="003F6A5D">
      <w:pPr>
        <w:numPr>
          <w:ilvl w:val="0"/>
          <w:numId w:val="231"/>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Моніторинг роботи зі зверненнями громадян в органах виконавчої влади: Аналітичний звіт Центру політико-правових реформ. Київ, 2022. 124 с.</w:t>
      </w:r>
    </w:p>
    <w:p w14:paraId="43018232" w14:textId="77777777" w:rsidR="00B67481" w:rsidRPr="00511005" w:rsidRDefault="00B67481" w:rsidP="003F6A5D">
      <w:pPr>
        <w:numPr>
          <w:ilvl w:val="0"/>
          <w:numId w:val="231"/>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Ківалов С.В., Біла-Тіунова Л.Р. Адміністративне право України: підручник. Одеса: Фенікс, 2021. 520 с.</w:t>
      </w:r>
    </w:p>
    <w:p w14:paraId="2BEC8292" w14:textId="77777777" w:rsidR="00B67481" w:rsidRPr="00511005" w:rsidRDefault="00B67481" w:rsidP="003F6A5D">
      <w:pPr>
        <w:numPr>
          <w:ilvl w:val="0"/>
          <w:numId w:val="231"/>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Аналіз нормативно-правових актів у сфері реалізації права на звернення громадян до органів державної влади та органів місцевого самоврядування: Звіт громадської організації "Центр громадянських </w:t>
      </w:r>
    </w:p>
    <w:p w14:paraId="2B59DCAE" w14:textId="77777777" w:rsidR="00B67481" w:rsidRPr="00511005" w:rsidRDefault="00B67481" w:rsidP="003A292D">
      <w:pPr>
        <w:spacing w:line="264" w:lineRule="auto"/>
        <w:rPr>
          <w:rFonts w:ascii="Arial" w:eastAsia="Times New Roman" w:hAnsi="Arial" w:cs="Arial"/>
          <w:b/>
          <w:szCs w:val="28"/>
          <w:lang w:val="uk-UA" w:eastAsia="ru-RU"/>
        </w:rPr>
      </w:pPr>
    </w:p>
    <w:p w14:paraId="3173B72F" w14:textId="33A5CB9E" w:rsidR="00B67481"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B67481" w:rsidRPr="00511005">
        <w:rPr>
          <w:rFonts w:ascii="Arial" w:eastAsia="Times New Roman" w:hAnsi="Arial" w:cs="Arial"/>
          <w:szCs w:val="28"/>
          <w:lang w:eastAsia="ru-RU"/>
        </w:rPr>
        <w:t>Право на звернення, органи публічної влади, електронна петиція, звернення громадян, конституційні права, адміністративне право, правова культура, цифрова грамотність, ефективність розгляду звернень, відповідальність посадових осіб</w:t>
      </w:r>
      <w:r w:rsidR="00B67481" w:rsidRPr="00511005">
        <w:rPr>
          <w:rFonts w:ascii="Arial" w:eastAsia="Times New Roman" w:hAnsi="Arial" w:cs="Arial"/>
          <w:szCs w:val="28"/>
          <w:lang w:val="uk-UA" w:eastAsia="ru-RU"/>
        </w:rPr>
        <w:t>.</w:t>
      </w:r>
    </w:p>
    <w:p w14:paraId="3F4753DA" w14:textId="2CD42C22" w:rsidR="00B67481"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B67481" w:rsidRPr="00511005">
        <w:rPr>
          <w:rFonts w:ascii="Arial" w:eastAsia="Times New Roman" w:hAnsi="Arial" w:cs="Arial"/>
          <w:szCs w:val="28"/>
          <w:lang w:val="en-US" w:eastAsia="ru-RU"/>
        </w:rPr>
        <w:t>Right to petition, public authorities, electronic petition, citizens' appeals, constitutional rights, administrative law, legal culture, digital literacy, efficiency of petition review, officials' responsibility</w:t>
      </w:r>
      <w:r w:rsidR="00B67481" w:rsidRPr="00511005">
        <w:rPr>
          <w:rFonts w:ascii="Arial" w:eastAsia="Times New Roman" w:hAnsi="Arial" w:cs="Arial"/>
          <w:szCs w:val="28"/>
          <w:lang w:val="uk-UA" w:eastAsia="ru-RU"/>
        </w:rPr>
        <w:t>.</w:t>
      </w:r>
    </w:p>
    <w:p w14:paraId="2E689A81" w14:textId="701893A6" w:rsidR="00B67481" w:rsidRPr="00511005" w:rsidRDefault="007B2628" w:rsidP="003A292D">
      <w:pPr>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B67481" w:rsidRPr="00511005">
        <w:rPr>
          <w:rFonts w:ascii="Arial" w:eastAsia="Times New Roman" w:hAnsi="Arial" w:cs="Arial"/>
          <w:i/>
          <w:szCs w:val="28"/>
          <w:lang w:val="uk-UA" w:eastAsia="ru-RU"/>
        </w:rPr>
        <w:t xml:space="preserve">асистент Назарчук А.В. </w:t>
      </w:r>
    </w:p>
    <w:p w14:paraId="729E1FCF" w14:textId="77777777" w:rsidR="001D1A08" w:rsidRPr="00511005" w:rsidRDefault="001D1A08" w:rsidP="003A292D">
      <w:pPr>
        <w:spacing w:line="264" w:lineRule="auto"/>
        <w:ind w:firstLine="0"/>
        <w:jc w:val="left"/>
        <w:rPr>
          <w:rFonts w:ascii="Arial" w:eastAsia="Calibri" w:hAnsi="Arial" w:cs="Arial"/>
          <w:szCs w:val="28"/>
        </w:rPr>
      </w:pPr>
    </w:p>
    <w:p w14:paraId="5DF893B7" w14:textId="77777777" w:rsidR="001D1A08" w:rsidRPr="00511005" w:rsidRDefault="001D1A08" w:rsidP="003A292D">
      <w:pPr>
        <w:spacing w:line="264" w:lineRule="auto"/>
        <w:ind w:firstLine="0"/>
        <w:jc w:val="left"/>
        <w:rPr>
          <w:rFonts w:ascii="Arial" w:eastAsia="Calibri" w:hAnsi="Arial" w:cs="Arial"/>
          <w:szCs w:val="28"/>
        </w:rPr>
      </w:pPr>
    </w:p>
    <w:p w14:paraId="48607A86" w14:textId="77777777" w:rsidR="00B67481" w:rsidRPr="00511005" w:rsidRDefault="00B67481" w:rsidP="003A292D">
      <w:pPr>
        <w:keepNext/>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Балицький Тимур Володимирович</w:t>
      </w:r>
    </w:p>
    <w:p w14:paraId="02DC2DA4" w14:textId="463A97D7"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 2-го курсу </w:t>
      </w:r>
    </w:p>
    <w:p w14:paraId="53CFAC6B"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116556B"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F9E6492" w14:textId="77777777" w:rsidR="00B67481" w:rsidRPr="00511005" w:rsidRDefault="00B67481" w:rsidP="003A292D">
      <w:pPr>
        <w:spacing w:line="264" w:lineRule="auto"/>
        <w:ind w:firstLine="0"/>
        <w:jc w:val="center"/>
        <w:rPr>
          <w:rFonts w:ascii="Arial" w:eastAsia="Calibri" w:hAnsi="Arial" w:cs="Arial"/>
          <w:szCs w:val="28"/>
          <w:lang w:val="uk-UA"/>
        </w:rPr>
      </w:pPr>
    </w:p>
    <w:p w14:paraId="2A85171F" w14:textId="77777777" w:rsidR="00B67481" w:rsidRPr="00511005" w:rsidRDefault="00B67481" w:rsidP="003A292D">
      <w:pPr>
        <w:tabs>
          <w:tab w:val="left" w:pos="7088"/>
        </w:tabs>
        <w:spacing w:line="264" w:lineRule="auto"/>
        <w:ind w:firstLine="0"/>
        <w:jc w:val="center"/>
        <w:rPr>
          <w:rFonts w:ascii="Arial" w:eastAsia="Calibri" w:hAnsi="Arial" w:cs="Arial"/>
          <w:b/>
          <w:szCs w:val="28"/>
          <w:lang w:val="uk-UA" w:bidi="uk-UA"/>
        </w:rPr>
      </w:pPr>
      <w:r w:rsidRPr="00511005">
        <w:rPr>
          <w:rFonts w:ascii="Arial" w:eastAsia="Calibri" w:hAnsi="Arial" w:cs="Arial"/>
          <w:b/>
          <w:szCs w:val="28"/>
          <w:lang w:val="uk-UA" w:bidi="uk-UA"/>
        </w:rPr>
        <w:t>ПРОБЛЕМИ ЗДІЙСНЕННЯ АДМІНІСТРАТИВНОГО НАГЛЯДУ</w:t>
      </w:r>
    </w:p>
    <w:p w14:paraId="4ED4D142"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val="uk-UA" w:bidi="uk-UA"/>
        </w:rPr>
        <w:t xml:space="preserve">Адміністративний нагляд є важливим інститутом в системі публічного управління, який охоплює здійснення контролю за діяльністю суб’єктів, що підпорядковуються адміністративним органам. </w:t>
      </w:r>
      <w:r w:rsidRPr="00511005">
        <w:rPr>
          <w:rFonts w:ascii="Arial" w:eastAsia="Calibri" w:hAnsi="Arial" w:cs="Arial"/>
          <w:szCs w:val="28"/>
          <w:lang w:bidi="uk-UA"/>
        </w:rPr>
        <w:t>Він має на меті забезпечення законності, підтримання порядку та належного функціонування суспільства. Проблеми здійснення адміністративного нагляду в Україні є актуальними та багатогранними, адже вони безпосередньо пов'язані з ефективністю державного управління, забезпеченням прав і свобод громадян, а також з належним виконанням державних функцій.</w:t>
      </w:r>
    </w:p>
    <w:p w14:paraId="556CB860"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Однією з головних проблем є недостатня чіткість та визначеність правових норм, що регулюють адміністративний нагляд. Законодавство в Україні, яке стосується адміністративного нагляду, не завжди є однозначним, що призводить до труднощів у практичному застосуванні. Так, незважаючи на наявність певних норм, які регламентують здійснення адміністративного нагляду, вони не завжди враховують специфіку діяльності органів державної влади та органів місцевого самоврядування. Це призводить до неузгодженості дій адміністративних органів, зокрема на рівні організації та координації їх роботи. Одним з прикладів є регулювання адміністративного нагляду за діяльністю органів державної виконавчої влади, яке в багатьох випадках залишається надто загальним і не дозволяє ефективно здійснювати контроль [2].</w:t>
      </w:r>
    </w:p>
    <w:p w14:paraId="46EA2E31"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Іншою серйозною проблемою є недостатній рівень кваліфікації посадових осіб, які здійснюють адміністративний нагляд. Адміністративний </w:t>
      </w:r>
      <w:r w:rsidRPr="00511005">
        <w:rPr>
          <w:rFonts w:ascii="Arial" w:eastAsia="Calibri" w:hAnsi="Arial" w:cs="Arial"/>
          <w:szCs w:val="28"/>
          <w:lang w:bidi="uk-UA"/>
        </w:rPr>
        <w:lastRenderedPageBreak/>
        <w:t>нагляд потребує не лише знання чинного законодавства, а й уміння правильно застосовувати його в конкретних ситуаціях. В Україні спостерігається дефіцит фахівців, які мають належну підготовку в цій галузі, що негативно впливає на якість виконання контролюючих функцій. Крім того, відсутність системи підвищення кваліфікації працівників органів, що здійснюють адміністративний нагляд, також є однією з проблем, яка обмежує ефективність цього інституту.</w:t>
      </w:r>
    </w:p>
    <w:p w14:paraId="20FAD62F"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Ще однією проблемою є недосконалість механізмів забезпечення належного виконання вимог адміністративного нагляду. Порушення адміністративних норм часто не призводить до значних санкцій для порушників, що в свою чергу не стимулює їх до дотримання встановлених правил [3]. Зокрема, іноді органи, що здійснюють нагляд, не мають достатніх повноважень для притягнення осіб до відповідальності або впливу на їх діяльність. Це знижує ефективність нагляду, створюючи правовий вакуум, в якому порушення адміністративних норм залишаються без належного реагування.</w:t>
      </w:r>
    </w:p>
    <w:p w14:paraId="51F78E62"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Проблеми здійснення адміністративного нагляду також можуть бути пов’язані з проблемами взаємодії між різними органами, які займаються контролем. Багато адміністративних функцій перекриваються, і це створює можливість для дублювання повноважень або, навпаки, </w:t>
      </w:r>
      <w:proofErr w:type="gramStart"/>
      <w:r w:rsidRPr="00511005">
        <w:rPr>
          <w:rFonts w:ascii="Arial" w:eastAsia="Calibri" w:hAnsi="Arial" w:cs="Arial"/>
          <w:szCs w:val="28"/>
          <w:lang w:bidi="uk-UA"/>
        </w:rPr>
        <w:t xml:space="preserve">для </w:t>
      </w:r>
      <w:r w:rsidRPr="00511005">
        <w:rPr>
          <w:rFonts w:ascii="Arial" w:eastAsia="Calibri" w:hAnsi="Arial" w:cs="Arial"/>
          <w:szCs w:val="28"/>
          <w:lang w:val="uk-UA" w:bidi="uk-UA"/>
        </w:rPr>
        <w:t>пропуску</w:t>
      </w:r>
      <w:proofErr w:type="gramEnd"/>
      <w:r w:rsidRPr="00511005">
        <w:rPr>
          <w:rFonts w:ascii="Arial" w:eastAsia="Calibri" w:hAnsi="Arial" w:cs="Arial"/>
          <w:szCs w:val="28"/>
          <w:lang w:bidi="uk-UA"/>
        </w:rPr>
        <w:t xml:space="preserve"> важливих аспектів нагляду. Це може призводити до низької ефективності управлінських рішень, а також до юридичних конфліктів між державними органами або між органами виконавчої влади та судами.</w:t>
      </w:r>
    </w:p>
    <w:p w14:paraId="211E201E"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Окрім того, важливим є також аспект взаємодії адміністративного нагляду з іншими видами нагляду, зокрема з судовим. У багатьох випадках відсутність чіткої межі між повноваженнями органів, що здійснюють адміністративний нагляд, і судовими органами, призводить до сплутаності ролей. Наприклад, органи, що здійснюють адміністративний нагляд, можуть виявляти правопорушення або порушення законності, які вимагають судового розгляду. Однак, якщо у відповідний момент немає достатніх механізмів для передачі справ </w:t>
      </w:r>
      <w:proofErr w:type="gramStart"/>
      <w:r w:rsidRPr="00511005">
        <w:rPr>
          <w:rFonts w:ascii="Arial" w:eastAsia="Calibri" w:hAnsi="Arial" w:cs="Arial"/>
          <w:szCs w:val="28"/>
          <w:lang w:bidi="uk-UA"/>
        </w:rPr>
        <w:t xml:space="preserve">до </w:t>
      </w:r>
      <w:r w:rsidRPr="00511005">
        <w:rPr>
          <w:rFonts w:ascii="Arial" w:eastAsia="Calibri" w:hAnsi="Arial" w:cs="Arial"/>
          <w:szCs w:val="28"/>
          <w:lang w:val="uk-UA" w:bidi="uk-UA"/>
        </w:rPr>
        <w:t>суду</w:t>
      </w:r>
      <w:proofErr w:type="gramEnd"/>
      <w:r w:rsidRPr="00511005">
        <w:rPr>
          <w:rFonts w:ascii="Arial" w:eastAsia="Calibri" w:hAnsi="Arial" w:cs="Arial"/>
          <w:szCs w:val="28"/>
          <w:lang w:bidi="uk-UA"/>
        </w:rPr>
        <w:t>, це призводить до правових колізій, що ускладнює належне виконання функцій нагляду [1].</w:t>
      </w:r>
    </w:p>
    <w:p w14:paraId="1BC2E290"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Враховуючи вищезазначене, можна зробити висновок, що однією з основних проблем є загальна неузгодженість норм і механізмів, які регулюють адміністративний нагляд, а також </w:t>
      </w:r>
      <w:bookmarkStart w:id="112" w:name="_Hlk195282317"/>
      <w:r w:rsidRPr="00511005">
        <w:rPr>
          <w:rFonts w:ascii="Arial" w:eastAsia="Calibri" w:hAnsi="Arial" w:cs="Arial"/>
          <w:szCs w:val="28"/>
          <w:lang w:bidi="uk-UA"/>
        </w:rPr>
        <w:t xml:space="preserve">необхідність підвищення кваліфікації </w:t>
      </w:r>
      <w:bookmarkEnd w:id="112"/>
      <w:r w:rsidRPr="00511005">
        <w:rPr>
          <w:rFonts w:ascii="Arial" w:eastAsia="Calibri" w:hAnsi="Arial" w:cs="Arial"/>
          <w:szCs w:val="28"/>
          <w:lang w:bidi="uk-UA"/>
        </w:rPr>
        <w:t>осіб, які здійснюють наглядові функції. Також важливо вдосконалити процедури та інструменти забезпечення ефективного виконання норм адміністративного права, забезпечити належну координацію між органами, що здійснюють нагляд, а також збільшити ефективність застосування санкцій за порушення.</w:t>
      </w:r>
    </w:p>
    <w:p w14:paraId="1E7A629D"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Для вирішення цих проблем необхідно вдосконалювати правову базу, забезпечити чітке визначення повноважень і процедур, а також підвищувати </w:t>
      </w:r>
      <w:r w:rsidRPr="00511005">
        <w:rPr>
          <w:rFonts w:ascii="Arial" w:eastAsia="Calibri" w:hAnsi="Arial" w:cs="Arial"/>
          <w:szCs w:val="28"/>
          <w:lang w:bidi="uk-UA"/>
        </w:rPr>
        <w:lastRenderedPageBreak/>
        <w:t>кваліфікацію працівників органів, що здійснюють нагляд. Це дозволить значно підвищити ефективність адміністративного нагляду і забезпечити належний рівень правопорядку в країні.</w:t>
      </w:r>
    </w:p>
    <w:p w14:paraId="5825F2A2" w14:textId="77777777" w:rsidR="00B67481" w:rsidRPr="00511005" w:rsidRDefault="00B67481" w:rsidP="003A292D">
      <w:pPr>
        <w:tabs>
          <w:tab w:val="left" w:pos="7088"/>
        </w:tabs>
        <w:spacing w:line="264" w:lineRule="auto"/>
        <w:jc w:val="center"/>
        <w:rPr>
          <w:rFonts w:ascii="Arial" w:eastAsia="Calibri" w:hAnsi="Arial" w:cs="Arial"/>
          <w:b/>
          <w:szCs w:val="28"/>
          <w:lang w:bidi="uk-UA"/>
        </w:rPr>
      </w:pPr>
    </w:p>
    <w:p w14:paraId="42DA0346" w14:textId="73EB1C67" w:rsidR="00B67481" w:rsidRPr="00511005" w:rsidRDefault="007B2628" w:rsidP="007B2628">
      <w:pPr>
        <w:tabs>
          <w:tab w:val="left" w:pos="7088"/>
        </w:tabs>
        <w:spacing w:line="264" w:lineRule="auto"/>
        <w:jc w:val="center"/>
        <w:rPr>
          <w:rFonts w:ascii="Arial" w:eastAsia="Calibri" w:hAnsi="Arial" w:cs="Arial"/>
          <w:b/>
          <w:szCs w:val="28"/>
          <w:lang w:bidi="uk-UA"/>
        </w:rPr>
      </w:pPr>
      <w:r w:rsidRPr="00511005">
        <w:rPr>
          <w:rFonts w:ascii="Arial" w:eastAsia="Calibri" w:hAnsi="Arial" w:cs="Arial"/>
          <w:b/>
          <w:szCs w:val="28"/>
          <w:lang w:val="uk-UA" w:bidi="uk-UA"/>
        </w:rPr>
        <w:t>Список використаних джерел</w:t>
      </w:r>
    </w:p>
    <w:p w14:paraId="40BC66C7" w14:textId="77777777" w:rsidR="00B67481" w:rsidRPr="00511005" w:rsidRDefault="00B67481" w:rsidP="003F6A5D">
      <w:pPr>
        <w:widowControl w:val="0"/>
        <w:numPr>
          <w:ilvl w:val="0"/>
          <w:numId w:val="232"/>
        </w:numPr>
        <w:tabs>
          <w:tab w:val="num" w:pos="1134"/>
          <w:tab w:val="left" w:pos="7088"/>
        </w:tabs>
        <w:autoSpaceDE w:val="0"/>
        <w:autoSpaceDN w:val="0"/>
        <w:adjustRightInd w:val="0"/>
        <w:spacing w:line="264" w:lineRule="auto"/>
        <w:ind w:left="0" w:firstLine="709"/>
        <w:jc w:val="left"/>
        <w:rPr>
          <w:rFonts w:ascii="Arial" w:eastAsia="Calibri" w:hAnsi="Arial" w:cs="Arial"/>
          <w:szCs w:val="28"/>
          <w:lang w:bidi="uk-UA"/>
        </w:rPr>
      </w:pPr>
      <w:r w:rsidRPr="00511005">
        <w:rPr>
          <w:rFonts w:ascii="Arial" w:eastAsia="Calibri" w:hAnsi="Arial" w:cs="Arial"/>
          <w:szCs w:val="28"/>
          <w:lang w:bidi="uk-UA"/>
        </w:rPr>
        <w:t>Бондар, О. В. (2021). Адміністративний нагляд та його роль у забезпеченні законності. Юридичний вісник. URL: https://legaljournal.com.ua/issue/5 (дата звернення: 09.04.2025 року)</w:t>
      </w:r>
    </w:p>
    <w:p w14:paraId="16BFABAC" w14:textId="77777777" w:rsidR="00B67481" w:rsidRPr="00511005" w:rsidRDefault="00B67481" w:rsidP="003F6A5D">
      <w:pPr>
        <w:widowControl w:val="0"/>
        <w:numPr>
          <w:ilvl w:val="0"/>
          <w:numId w:val="232"/>
        </w:numPr>
        <w:tabs>
          <w:tab w:val="num" w:pos="1134"/>
          <w:tab w:val="left" w:pos="7088"/>
        </w:tabs>
        <w:autoSpaceDE w:val="0"/>
        <w:autoSpaceDN w:val="0"/>
        <w:adjustRightInd w:val="0"/>
        <w:spacing w:line="264" w:lineRule="auto"/>
        <w:ind w:left="0" w:firstLine="709"/>
        <w:jc w:val="left"/>
        <w:rPr>
          <w:rFonts w:ascii="Arial" w:eastAsia="Calibri" w:hAnsi="Arial" w:cs="Arial"/>
          <w:szCs w:val="28"/>
          <w:lang w:bidi="uk-UA"/>
        </w:rPr>
      </w:pPr>
      <w:r w:rsidRPr="00511005">
        <w:rPr>
          <w:rFonts w:ascii="Arial" w:eastAsia="Calibri" w:hAnsi="Arial" w:cs="Arial"/>
          <w:szCs w:val="28"/>
          <w:lang w:bidi="uk-UA"/>
        </w:rPr>
        <w:t>Дзера, І. М. (2020). Проблеми адміністративного нагляду та шляхи їх вирішення в Україні. Науковий вісник. URL: https://www.sci-journal.com.ua/issue-20 (дата звернення: 09.04.2025 року)</w:t>
      </w:r>
    </w:p>
    <w:p w14:paraId="5229B4FC" w14:textId="77777777" w:rsidR="00B67481" w:rsidRPr="00511005" w:rsidRDefault="00B67481" w:rsidP="003F6A5D">
      <w:pPr>
        <w:widowControl w:val="0"/>
        <w:numPr>
          <w:ilvl w:val="0"/>
          <w:numId w:val="232"/>
        </w:numPr>
        <w:tabs>
          <w:tab w:val="num" w:pos="1134"/>
          <w:tab w:val="left" w:pos="7088"/>
        </w:tabs>
        <w:autoSpaceDE w:val="0"/>
        <w:autoSpaceDN w:val="0"/>
        <w:adjustRightInd w:val="0"/>
        <w:spacing w:line="264" w:lineRule="auto"/>
        <w:ind w:left="0" w:firstLine="709"/>
        <w:jc w:val="left"/>
        <w:rPr>
          <w:rFonts w:ascii="Arial" w:eastAsia="Calibri" w:hAnsi="Arial" w:cs="Arial"/>
          <w:szCs w:val="28"/>
          <w:lang w:bidi="uk-UA"/>
        </w:rPr>
      </w:pPr>
      <w:r w:rsidRPr="00511005">
        <w:rPr>
          <w:rFonts w:ascii="Arial" w:eastAsia="Calibri" w:hAnsi="Arial" w:cs="Arial"/>
          <w:szCs w:val="28"/>
          <w:lang w:bidi="uk-UA"/>
        </w:rPr>
        <w:t>Мартиненко, А. О. (2020). Адміністративний нагляд: проблеми та перспективи розвитку. Право та державне управління. URL: https://lawandgov.ua/issue/8 (дата звернення: 09.04.2025 року)</w:t>
      </w:r>
    </w:p>
    <w:p w14:paraId="2510F6AC" w14:textId="77777777" w:rsidR="00B67481" w:rsidRPr="00511005" w:rsidRDefault="00B67481" w:rsidP="003A292D">
      <w:pPr>
        <w:tabs>
          <w:tab w:val="left" w:pos="7088"/>
        </w:tabs>
        <w:spacing w:line="264" w:lineRule="auto"/>
        <w:rPr>
          <w:rFonts w:ascii="Arial" w:eastAsia="Calibri" w:hAnsi="Arial" w:cs="Arial"/>
          <w:b/>
          <w:szCs w:val="28"/>
          <w:lang w:val="uk-UA"/>
        </w:rPr>
      </w:pPr>
    </w:p>
    <w:p w14:paraId="16D3F722" w14:textId="4C53A520" w:rsidR="00B67481" w:rsidRPr="00511005" w:rsidRDefault="007B2628" w:rsidP="003A292D">
      <w:pPr>
        <w:tabs>
          <w:tab w:val="left" w:pos="7088"/>
        </w:tabs>
        <w:spacing w:line="264" w:lineRule="auto"/>
        <w:rPr>
          <w:rFonts w:ascii="Arial" w:eastAsia="Calibri" w:hAnsi="Arial" w:cs="Arial"/>
          <w:bCs/>
          <w:szCs w:val="28"/>
          <w:lang w:val="uk-UA"/>
        </w:rPr>
      </w:pPr>
      <w:r w:rsidRPr="00511005">
        <w:rPr>
          <w:rFonts w:ascii="Arial" w:eastAsia="Calibri" w:hAnsi="Arial" w:cs="Arial"/>
          <w:b/>
          <w:i/>
          <w:szCs w:val="28"/>
          <w:lang w:val="uk-UA"/>
        </w:rPr>
        <w:t xml:space="preserve">Ключові слова: </w:t>
      </w:r>
      <w:r w:rsidR="00B67481" w:rsidRPr="00511005">
        <w:rPr>
          <w:rFonts w:ascii="Arial" w:eastAsia="Calibri" w:hAnsi="Arial" w:cs="Arial"/>
          <w:bCs/>
          <w:szCs w:val="28"/>
          <w:lang w:val="uk-UA"/>
        </w:rPr>
        <w:t>адміністративний нагляд, адміністративні органи,</w:t>
      </w:r>
      <w:r w:rsidR="00B67481" w:rsidRPr="00511005">
        <w:rPr>
          <w:rFonts w:ascii="Arial" w:eastAsia="Calibri" w:hAnsi="Arial" w:cs="Arial"/>
          <w:bCs/>
          <w:szCs w:val="28"/>
        </w:rPr>
        <w:t xml:space="preserve"> </w:t>
      </w:r>
      <w:r w:rsidR="00B67481" w:rsidRPr="00511005">
        <w:rPr>
          <w:rFonts w:ascii="Arial" w:eastAsia="Calibri" w:hAnsi="Arial" w:cs="Arial"/>
          <w:bCs/>
          <w:szCs w:val="28"/>
          <w:lang w:val="uk-UA"/>
        </w:rPr>
        <w:t>регулювання, відносини, процес.</w:t>
      </w:r>
    </w:p>
    <w:p w14:paraId="5CBC943D" w14:textId="026A0C00" w:rsidR="00B67481" w:rsidRPr="00511005" w:rsidRDefault="007B2628" w:rsidP="003A292D">
      <w:pPr>
        <w:tabs>
          <w:tab w:val="left" w:pos="7088"/>
        </w:tabs>
        <w:spacing w:line="264" w:lineRule="auto"/>
        <w:rPr>
          <w:rFonts w:ascii="Arial" w:eastAsia="Calibri" w:hAnsi="Arial" w:cs="Arial"/>
          <w:bCs/>
          <w:szCs w:val="28"/>
          <w:lang w:val="uk-UA"/>
        </w:rPr>
      </w:pPr>
      <w:r w:rsidRPr="00511005">
        <w:rPr>
          <w:rFonts w:ascii="Arial" w:eastAsia="Calibri" w:hAnsi="Arial" w:cs="Arial"/>
          <w:b/>
          <w:i/>
          <w:szCs w:val="28"/>
          <w:lang w:val="en-US"/>
        </w:rPr>
        <w:t xml:space="preserve">Key words: </w:t>
      </w:r>
      <w:r w:rsidR="00B67481" w:rsidRPr="00511005">
        <w:rPr>
          <w:rFonts w:ascii="Arial" w:eastAsia="Calibri" w:hAnsi="Arial" w:cs="Arial"/>
          <w:szCs w:val="28"/>
          <w:lang w:val="en-US"/>
        </w:rPr>
        <w:t>administrative supervision, administrative bodies, regulation, relations</w:t>
      </w:r>
      <w:r w:rsidR="00B67481" w:rsidRPr="00511005">
        <w:rPr>
          <w:rFonts w:ascii="Arial" w:eastAsia="Calibri" w:hAnsi="Arial" w:cs="Arial"/>
          <w:szCs w:val="28"/>
          <w:lang w:val="uk-UA"/>
        </w:rPr>
        <w:t xml:space="preserve">, </w:t>
      </w:r>
      <w:r w:rsidR="00B67481" w:rsidRPr="00511005">
        <w:rPr>
          <w:rFonts w:ascii="Arial" w:eastAsia="Calibri" w:hAnsi="Arial" w:cs="Arial"/>
          <w:szCs w:val="28"/>
          <w:lang w:val="en-US"/>
        </w:rPr>
        <w:t>process</w:t>
      </w:r>
    </w:p>
    <w:p w14:paraId="498FCD8A" w14:textId="2DBADAA7" w:rsidR="00B67481" w:rsidRPr="00511005" w:rsidRDefault="007B2628" w:rsidP="003A292D">
      <w:pPr>
        <w:keepNext/>
        <w:spacing w:line="264" w:lineRule="auto"/>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B67481" w:rsidRPr="00511005">
        <w:rPr>
          <w:rFonts w:ascii="Arial" w:eastAsia="Calibri" w:hAnsi="Arial" w:cs="Arial"/>
          <w:bCs/>
          <w:i/>
          <w:iCs/>
          <w:szCs w:val="28"/>
          <w:lang w:val="uk-UA"/>
        </w:rPr>
        <w:t>к.ю.н., доцент Панфілов О. Є.</w:t>
      </w:r>
    </w:p>
    <w:p w14:paraId="48AC574E" w14:textId="77777777" w:rsidR="001D1A08" w:rsidRPr="00511005" w:rsidRDefault="001D1A08" w:rsidP="003A292D">
      <w:pPr>
        <w:spacing w:line="264" w:lineRule="auto"/>
        <w:ind w:firstLine="0"/>
        <w:jc w:val="left"/>
        <w:rPr>
          <w:rFonts w:ascii="Arial" w:eastAsia="Calibri" w:hAnsi="Arial" w:cs="Arial"/>
          <w:bCs/>
          <w:i/>
          <w:iCs/>
          <w:szCs w:val="28"/>
          <w:lang w:val="uk-UA"/>
        </w:rPr>
      </w:pPr>
    </w:p>
    <w:p w14:paraId="4BCB839B" w14:textId="77777777" w:rsidR="001D1A08" w:rsidRPr="00511005" w:rsidRDefault="001D1A08" w:rsidP="003A292D">
      <w:pPr>
        <w:spacing w:line="264" w:lineRule="auto"/>
        <w:ind w:firstLine="0"/>
        <w:jc w:val="left"/>
        <w:rPr>
          <w:rFonts w:ascii="Arial" w:eastAsia="Calibri" w:hAnsi="Arial" w:cs="Arial"/>
          <w:bCs/>
          <w:i/>
          <w:iCs/>
          <w:szCs w:val="28"/>
          <w:lang w:val="uk-UA"/>
        </w:rPr>
      </w:pPr>
    </w:p>
    <w:p w14:paraId="4E499209" w14:textId="77777777" w:rsidR="00B67481" w:rsidRPr="00511005" w:rsidRDefault="00B67481" w:rsidP="003A292D">
      <w:pPr>
        <w:spacing w:line="264" w:lineRule="auto"/>
        <w:ind w:firstLine="0"/>
        <w:jc w:val="center"/>
        <w:rPr>
          <w:rFonts w:ascii="Arial" w:eastAsia="Calibri" w:hAnsi="Arial" w:cs="Arial"/>
          <w:b/>
          <w:i/>
          <w:iCs/>
          <w:szCs w:val="28"/>
        </w:rPr>
      </w:pPr>
      <w:r w:rsidRPr="00511005">
        <w:rPr>
          <w:rFonts w:ascii="Arial" w:eastAsia="Calibri" w:hAnsi="Arial" w:cs="Arial"/>
          <w:b/>
          <w:i/>
          <w:iCs/>
          <w:szCs w:val="28"/>
          <w:lang w:val="uk-UA"/>
        </w:rPr>
        <w:t>Баранецька Ірина</w:t>
      </w:r>
      <w:r w:rsidRPr="00511005">
        <w:rPr>
          <w:rFonts w:ascii="Arial" w:eastAsia="Calibri" w:hAnsi="Arial" w:cs="Arial"/>
          <w:b/>
          <w:i/>
          <w:iCs/>
          <w:szCs w:val="28"/>
        </w:rPr>
        <w:t xml:space="preserve"> Сергіївна</w:t>
      </w:r>
    </w:p>
    <w:p w14:paraId="777444D3" w14:textId="0F385513" w:rsidR="00B67481" w:rsidRPr="00511005" w:rsidRDefault="00536AAB" w:rsidP="003A292D">
      <w:pPr>
        <w:spacing w:line="264" w:lineRule="auto"/>
        <w:ind w:firstLine="0"/>
        <w:jc w:val="center"/>
        <w:rPr>
          <w:rFonts w:ascii="Arial" w:eastAsia="Calibri" w:hAnsi="Arial" w:cs="Arial"/>
          <w:bCs/>
          <w:iCs/>
          <w:szCs w:val="28"/>
          <w:lang w:val="uk-UA"/>
        </w:rPr>
      </w:pPr>
      <w:r w:rsidRPr="00511005">
        <w:rPr>
          <w:rFonts w:ascii="Arial" w:eastAsia="Calibri" w:hAnsi="Arial" w:cs="Arial"/>
          <w:bCs/>
          <w:iCs/>
          <w:szCs w:val="28"/>
        </w:rPr>
        <w:t xml:space="preserve">студентка 2-го курсу </w:t>
      </w:r>
      <w:r w:rsidR="007B2628" w:rsidRPr="00511005">
        <w:rPr>
          <w:rFonts w:ascii="Arial" w:eastAsia="Calibri" w:hAnsi="Arial" w:cs="Arial"/>
          <w:bCs/>
          <w:iCs/>
          <w:szCs w:val="28"/>
        </w:rPr>
        <w:t>факультету цивільної та господарської юстиції</w:t>
      </w:r>
      <w:r w:rsidR="00B67481" w:rsidRPr="00511005">
        <w:rPr>
          <w:rFonts w:ascii="Arial" w:eastAsia="Calibri" w:hAnsi="Arial" w:cs="Arial"/>
          <w:bCs/>
          <w:iCs/>
          <w:szCs w:val="28"/>
        </w:rPr>
        <w:t xml:space="preserve"> </w:t>
      </w:r>
      <w:r w:rsidR="007B2628" w:rsidRPr="00511005">
        <w:rPr>
          <w:rFonts w:ascii="Arial" w:eastAsia="Calibri" w:hAnsi="Arial" w:cs="Arial"/>
          <w:bCs/>
          <w:iCs/>
          <w:szCs w:val="28"/>
        </w:rPr>
        <w:t>Національного університету «Одеська юридична академія»</w:t>
      </w:r>
    </w:p>
    <w:p w14:paraId="42813F86" w14:textId="77777777" w:rsidR="00B67481" w:rsidRPr="00511005" w:rsidRDefault="00B67481" w:rsidP="003A292D">
      <w:pPr>
        <w:spacing w:line="264" w:lineRule="auto"/>
        <w:ind w:firstLine="0"/>
        <w:jc w:val="center"/>
        <w:rPr>
          <w:rFonts w:ascii="Arial" w:eastAsia="Calibri" w:hAnsi="Arial" w:cs="Arial"/>
          <w:bCs/>
          <w:i/>
          <w:iCs/>
          <w:szCs w:val="28"/>
          <w:lang w:val="uk-UA"/>
        </w:rPr>
      </w:pPr>
    </w:p>
    <w:p w14:paraId="736ECEAB" w14:textId="77777777" w:rsidR="00B67481" w:rsidRPr="00511005" w:rsidRDefault="00B67481" w:rsidP="003A292D">
      <w:pPr>
        <w:tabs>
          <w:tab w:val="left" w:pos="7088"/>
        </w:tabs>
        <w:spacing w:line="264" w:lineRule="auto"/>
        <w:ind w:firstLine="0"/>
        <w:jc w:val="center"/>
        <w:rPr>
          <w:rFonts w:ascii="Arial" w:eastAsia="Calibri" w:hAnsi="Arial" w:cs="Arial"/>
          <w:b/>
          <w:szCs w:val="28"/>
          <w:lang w:bidi="uk-UA"/>
        </w:rPr>
      </w:pPr>
      <w:r w:rsidRPr="00511005">
        <w:rPr>
          <w:rFonts w:ascii="Arial" w:eastAsia="Calibri" w:hAnsi="Arial" w:cs="Arial"/>
          <w:b/>
          <w:szCs w:val="28"/>
          <w:lang w:bidi="uk-UA"/>
        </w:rPr>
        <w:t>АДМІНІСТРАТИВНО-ПРАВОВИЙ СТАТУС ЦЕНТРІВ НАДАННЯ АДМІНІСТРАТИВНИХ ПОСЛУГ</w:t>
      </w:r>
    </w:p>
    <w:p w14:paraId="7CFB71E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​Центри надання адміністративних послуг (ЦНАП) посідають ключове місце у системі реалізації державної політики щодо надання публічних послуг громадянам і юридичним особам, що обумовлює необхідність глибокого теоретико-практичного осмислення їх адміністративно-правового статусу. Цей інститут втілює одну з найважливіших концепцій сучасного публічного управління — орієнтацію на потреби людини в отриманні доступних, якісних та прозорих адміністративних послуг. Адміністративно-правовий статус ЦНАП є інтегрованим поняттям, що включає правову природу, функціональні повноваження, організаційну побудову, підвідомчість, порядок діяльності, відповідальність та гарантії належного функціонування.</w:t>
      </w:r>
    </w:p>
    <w:p w14:paraId="554D8774"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ЦНАП функціонують як спеціально створені організаційно-правові структури, що забезпечують взаємодію між органами виконавчої влади, органами місцевого самоврядування, суб’єктами господарювання та </w:t>
      </w:r>
      <w:r w:rsidRPr="00511005">
        <w:rPr>
          <w:rFonts w:ascii="Arial" w:eastAsia="Calibri" w:hAnsi="Arial" w:cs="Arial"/>
          <w:szCs w:val="28"/>
          <w:lang w:val="uk-UA" w:bidi="uk-UA"/>
        </w:rPr>
        <w:lastRenderedPageBreak/>
        <w:t>громадянами. Вони здійснюють адміністративні процедури згідно з принципами відкритості, доступності, оперативності та неупередженості, що закріплено в низці законодавчих та підзаконних актів. Центральним у нормативному регулюванні діяльності центрів є Закон України «Про адміністративні послуги», що визначає їх призначення, загальні засади організації діяльності та вимоги до якості надання послуг. Підпорядкування ЦНАПів здійснюється в рамках делегованих повноважень відповідними органами місцевого самоврядування або державної виконавчої влади залежно від конкретної моделі організації в межах територіальної громади [1].</w:t>
      </w:r>
    </w:p>
    <w:p w14:paraId="1A525392"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Згідно з чинним законодавством, ЦНАП не є самостійним органом влади, а функціонує як структурний підрозділ виконавчого комітету ради або місцевої державної адміністрації. Таким чином, його адміністративно-правовий статус не передбачає повної інституційної автономії, однак наділений достатнім обсягом організаційно-розпорядчих функцій, що дають змогу здійснювати ефективну координацію процесу надання адміністративних послуг. У межах цього статусу центри виступають посередницькою ланкою між суб’єктом звернення та суб’єктом надання послуги, спрощуючи та уніфікуючи процедурні аспекти взаємодії.</w:t>
      </w:r>
    </w:p>
    <w:p w14:paraId="635CC720"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До основних повноважень ЦНАП належить прийняття заяв і документів, необхідних для отримання адміністративної послуги, організація їх передачі до компетентних органів, надання консультацій з питань підготовки документів, видача результатів адміністративних послуг, а також забезпечення дотримання стандартів якості обслуговування. Варто зазначити, що центри не здійснюють розгляд справ по суті, а виконують виключно організаційно-посередницькі функції, що відрізняє їх від класичних органів виконавчої влади. Такий розподіл функціональної ролі в межах адміністративно-правового простору зумовлює потребу в чіткому закріпленні процедурних норм та відповідальності за неналежне виконання функцій надання послуг.</w:t>
      </w:r>
    </w:p>
    <w:p w14:paraId="79501494"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З правової точки зору, адміністративно-правовий статус ЦНАП охоплює кілька основних елементів: по-перше, це нормативне підґрунтя діяльності, яке включає законодавство про адміністративні послуги, регламентуючі акти місцевого рівня та міжвідомчі угоди про взаємодію; по-друге, організаційно-правова форма — у більшості випадків центри створюються як структурні підрозділи, однак трапляються й приклади утворення юридичних осіб публічного права (наприклад, у форматі комунальних установ); по-третє, кадрове забезпечення — працівники центрів мають статус посадових осіб місцевого самоврядування або державних службовців; по-четверте, порядок взаємодії з іншими суб’єктами публічного управління, включно з інформаційною інтеграцією через реєстри </w:t>
      </w:r>
      <w:r w:rsidRPr="00511005">
        <w:rPr>
          <w:rFonts w:ascii="Arial" w:eastAsia="Calibri" w:hAnsi="Arial" w:cs="Arial"/>
          <w:szCs w:val="28"/>
          <w:lang w:val="uk-UA" w:bidi="uk-UA"/>
        </w:rPr>
        <w:lastRenderedPageBreak/>
        <w:t>та електронні платформи; і по-п’яте, механізми відповідальності та контролю за дотриманням вимог законодавства [3].</w:t>
      </w:r>
    </w:p>
    <w:p w14:paraId="10325892"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Окремої уваги заслуговує питання цифровізації діяльності ЦНАП, адже надання електронних адміністративних послуг є ключовим етапом еволюції системи публічного сервісу. Зокрема, інтеграція з платформами «Дія», реєстрами Мін’юсту, Державної податкової служби та інших органів дозволяє забезпечити швидкий обмін інформацією, автоматизований документообіг і зниження рівня корупційних ризиків. Таким чином, технічне переоснащення та правова підтримка цифрової трансформації ЦНАП — один із пріоритетів сучасної адміністративної політики України.</w:t>
      </w:r>
    </w:p>
    <w:p w14:paraId="767C949B"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Згідно з практикою впровадження реформи децентралізації, ЦНАП стали інструментами посилення інституційної спроможності територіальних громад. Вони сприяють утвердженню принципу субсидіарності, відповідно до якого послуги мають надаватися найближче до громадянина. За умов воєнного стану й загроз, спричинених агресією рф, особливої актуальності набуває здатність ЦНАП адаптуватися до змінених умов — як у частині організації захищеного доступу до послуг, так і щодо роботи з внутрішньо переміщеними особами, цифровими запитами та кризовим адмініструванням [2].</w:t>
      </w:r>
    </w:p>
    <w:p w14:paraId="245DE7A9"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Однак існує низка проблемних аспектів, що ускладнюють реалізацію потенціалу ЦНАП як повноцінних інституцій адміністрування. До них належать: недостатній рівень фінансового забезпечення, кадровий дефіцит, нерівномірна технічна оснащеність між міськими та сільськими громадами, неоднозначність правового статусу у випадках делегованих повноважень та суперечливе тлумачення меж відповідальності між ЦНАП і безпосередніми суб’єктами надання послуг. Усі ці чинники потребують як нормативного вдосконалення, так і методичної підтримки з боку держави.</w:t>
      </w:r>
    </w:p>
    <w:p w14:paraId="418D00DB"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Таким чином, адміністративно-правовий статус ЦНАП є динамічною конструкцією, що постійно трансформується під впливом законодавчих змін, управлінських рішень, цифрової трансформації та викликів безпекового характеру. У межах цього статусу центри виступають не лише як технічні платформи для обслуговування громадян, а як елементи правової інфраструктури публічного управління. Їх значення виходить за межі простого надання довідок чи послуг — вони формують довіру громадян до держави, стають індикаторами якості управління та репрезентують нову модель взаємодії влади й суспільства. Ефективність діяльності ЦНАП прямо залежить від стабільного адміністративно-правового регулювання, комплексного ресурсного забезпечення та розвитку механізмів прозорої підзвітності, що має стати орієнтиром для майбутніх реформ у сфері адміністративного права.</w:t>
      </w:r>
    </w:p>
    <w:p w14:paraId="5966AFD1" w14:textId="77777777" w:rsidR="00B67481" w:rsidRPr="00511005" w:rsidRDefault="00B67481" w:rsidP="003A292D">
      <w:pPr>
        <w:tabs>
          <w:tab w:val="left" w:pos="7088"/>
        </w:tabs>
        <w:spacing w:line="264" w:lineRule="auto"/>
        <w:rPr>
          <w:rFonts w:ascii="Arial" w:eastAsia="Calibri" w:hAnsi="Arial" w:cs="Arial"/>
          <w:szCs w:val="28"/>
          <w:lang w:val="uk-UA" w:bidi="uk-UA"/>
        </w:rPr>
      </w:pPr>
    </w:p>
    <w:p w14:paraId="5373D218" w14:textId="77777777" w:rsidR="00B67481" w:rsidRPr="00511005" w:rsidRDefault="00B67481" w:rsidP="003A292D">
      <w:pPr>
        <w:spacing w:line="264" w:lineRule="auto"/>
        <w:jc w:val="center"/>
        <w:rPr>
          <w:rFonts w:ascii="Arial" w:eastAsia="Calibri" w:hAnsi="Arial" w:cs="Arial"/>
          <w:b/>
          <w:szCs w:val="28"/>
          <w:lang w:val="uk-UA" w:bidi="uk-UA"/>
        </w:rPr>
      </w:pPr>
      <w:r w:rsidRPr="00511005">
        <w:rPr>
          <w:rFonts w:ascii="Arial" w:eastAsia="Calibri" w:hAnsi="Arial" w:cs="Arial"/>
          <w:b/>
          <w:szCs w:val="28"/>
          <w:lang w:val="en-US" w:bidi="uk-UA"/>
        </w:rPr>
        <w:t>C</w:t>
      </w:r>
      <w:r w:rsidRPr="00511005">
        <w:rPr>
          <w:rFonts w:ascii="Arial" w:eastAsia="Calibri" w:hAnsi="Arial" w:cs="Arial"/>
          <w:b/>
          <w:szCs w:val="28"/>
          <w:lang w:val="uk-UA" w:bidi="uk-UA"/>
        </w:rPr>
        <w:t>писок використаних джерел</w:t>
      </w:r>
    </w:p>
    <w:p w14:paraId="7DD6C882" w14:textId="77777777" w:rsidR="007B2628" w:rsidRPr="00511005" w:rsidRDefault="00B67481" w:rsidP="003F6A5D">
      <w:pPr>
        <w:widowControl w:val="0"/>
        <w:numPr>
          <w:ilvl w:val="0"/>
          <w:numId w:val="233"/>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
          <w:szCs w:val="28"/>
          <w:lang w:eastAsia="ru-RU"/>
        </w:rPr>
      </w:pPr>
      <w:r w:rsidRPr="00511005">
        <w:rPr>
          <w:rFonts w:ascii="Arial" w:eastAsia="Times New Roman" w:hAnsi="Arial" w:cs="Arial"/>
          <w:bCs/>
          <w:szCs w:val="28"/>
          <w:lang w:val="uk-UA" w:eastAsia="ru-RU"/>
        </w:rPr>
        <w:lastRenderedPageBreak/>
        <w:t>З</w:t>
      </w:r>
      <w:r w:rsidRPr="00511005">
        <w:rPr>
          <w:rFonts w:ascii="Arial" w:eastAsia="Times New Roman" w:hAnsi="Arial" w:cs="Arial"/>
          <w:bCs/>
          <w:szCs w:val="28"/>
          <w:lang w:eastAsia="ru-RU"/>
        </w:rPr>
        <w:t>акон України «Про адміністративні послуги» від 06.09.2012 № 5203-VI</w:t>
      </w:r>
      <w:r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eastAsia="ru-RU"/>
        </w:rPr>
        <w:t xml:space="preserve">URL: </w:t>
      </w:r>
      <w:hyperlink r:id="rId905" w:tgtFrame="_new" w:history="1">
        <w:r w:rsidRPr="00511005">
          <w:rPr>
            <w:rFonts w:ascii="Arial" w:eastAsia="Times New Roman" w:hAnsi="Arial" w:cs="Arial"/>
            <w:szCs w:val="28"/>
            <w:lang w:eastAsia="ru-RU"/>
          </w:rPr>
          <w:t>https://zakon.rada.gov.ua/laws/show/5203-17</w:t>
        </w:r>
      </w:hyperlink>
      <w:r w:rsidRPr="00511005">
        <w:rPr>
          <w:rFonts w:ascii="Arial" w:eastAsia="Times New Roman" w:hAnsi="Arial" w:cs="Arial"/>
          <w:bCs/>
          <w:szCs w:val="28"/>
          <w:lang w:eastAsia="ru-RU"/>
        </w:rPr>
        <w:t xml:space="preserve"> (дата звернення: 19.04.2025)</w:t>
      </w:r>
    </w:p>
    <w:p w14:paraId="1ABEC08F" w14:textId="6366E7C8" w:rsidR="00B67481" w:rsidRPr="00511005" w:rsidRDefault="00B67481" w:rsidP="003F6A5D">
      <w:pPr>
        <w:widowControl w:val="0"/>
        <w:numPr>
          <w:ilvl w:val="0"/>
          <w:numId w:val="233"/>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
          <w:szCs w:val="28"/>
          <w:lang w:eastAsia="ru-RU"/>
        </w:rPr>
      </w:pPr>
      <w:r w:rsidRPr="00511005">
        <w:rPr>
          <w:rFonts w:ascii="Arial" w:eastAsia="Times New Roman" w:hAnsi="Arial" w:cs="Arial"/>
          <w:szCs w:val="28"/>
          <w:lang w:eastAsia="ru-RU"/>
        </w:rPr>
        <w:t>Галущак М. П., Дутка Ю. А. Особливості роботи центрів надання адміністративних послуг в умовах воєнного стану в Україні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Матеріали </w:t>
      </w:r>
      <w:r w:rsidRPr="00511005">
        <w:rPr>
          <w:rFonts w:ascii="MS Gothic" w:eastAsia="MS Gothic" w:hAnsi="MS Gothic" w:cs="MS Gothic" w:hint="eastAsia"/>
          <w:szCs w:val="28"/>
          <w:lang w:eastAsia="ru-RU"/>
        </w:rPr>
        <w:t>Ⅻ</w:t>
      </w:r>
      <w:r w:rsidRPr="00511005">
        <w:rPr>
          <w:rFonts w:ascii="Arial" w:eastAsia="Times New Roman" w:hAnsi="Arial" w:cs="Arial"/>
          <w:szCs w:val="28"/>
          <w:lang w:eastAsia="ru-RU"/>
        </w:rPr>
        <w:t xml:space="preserve"> Всеукр. наук.-практ. конф. пам’яті проф. ТНТУ ім. І. Пулюя, акад. НАН М. Г. Чумаченка: „Управління бізнес-процесами підприємств у контексті індустрії 4.0“, Тернопіль, 11 жовтня 2024 року. 2024. С. 22.</w:t>
      </w:r>
      <w:r w:rsidR="007B2628" w:rsidRPr="00511005">
        <w:rPr>
          <w:rFonts w:ascii="Arial" w:eastAsia="Times New Roman" w:hAnsi="Arial" w:cs="Arial"/>
          <w:szCs w:val="28"/>
          <w:lang w:eastAsia="ru-RU"/>
        </w:rPr>
        <w:t xml:space="preserve"> </w:t>
      </w:r>
      <w:r w:rsidRPr="00511005">
        <w:rPr>
          <w:rFonts w:ascii="Arial" w:eastAsia="Times New Roman" w:hAnsi="Arial" w:cs="Arial"/>
          <w:bCs/>
          <w:szCs w:val="28"/>
          <w:lang w:eastAsia="ru-RU"/>
        </w:rPr>
        <w:t xml:space="preserve">URL: </w:t>
      </w:r>
      <w:hyperlink r:id="rId906" w:history="1">
        <w:r w:rsidRPr="00511005">
          <w:rPr>
            <w:rFonts w:ascii="Arial" w:eastAsia="Times New Roman" w:hAnsi="Arial" w:cs="Arial"/>
            <w:szCs w:val="28"/>
            <w:lang w:eastAsia="ru-RU"/>
          </w:rPr>
          <w:t>http://elartu.tntu.edu.ua/handle/lib/46554</w:t>
        </w:r>
      </w:hyperlink>
      <w:r w:rsidRPr="00511005">
        <w:rPr>
          <w:rFonts w:ascii="Arial" w:eastAsia="Times New Roman" w:hAnsi="Arial" w:cs="Arial"/>
          <w:szCs w:val="28"/>
          <w:lang w:eastAsia="ru-RU"/>
        </w:rPr>
        <w:t xml:space="preserve"> </w:t>
      </w:r>
      <w:r w:rsidRPr="00511005">
        <w:rPr>
          <w:rFonts w:ascii="Arial" w:eastAsia="Times New Roman" w:hAnsi="Arial" w:cs="Arial"/>
          <w:bCs/>
          <w:szCs w:val="28"/>
          <w:lang w:eastAsia="ru-RU"/>
        </w:rPr>
        <w:t>(дата звернення: 19.04.2025)</w:t>
      </w:r>
    </w:p>
    <w:p w14:paraId="22EDE9BE" w14:textId="77777777" w:rsidR="00B67481" w:rsidRPr="00511005" w:rsidRDefault="00B67481" w:rsidP="003F6A5D">
      <w:pPr>
        <w:widowControl w:val="0"/>
        <w:numPr>
          <w:ilvl w:val="0"/>
          <w:numId w:val="233"/>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
          <w:szCs w:val="28"/>
          <w:lang w:eastAsia="ru-RU"/>
        </w:rPr>
      </w:pPr>
      <w:r w:rsidRPr="00511005">
        <w:rPr>
          <w:rFonts w:ascii="Arial" w:eastAsia="Times New Roman" w:hAnsi="Arial" w:cs="Arial"/>
          <w:szCs w:val="28"/>
          <w:lang w:eastAsia="ru-RU"/>
        </w:rPr>
        <w:t xml:space="preserve">Повна С. В., Кузьминська Г. С. Стан та перспективи розвитку Центрів надання адміністративних послуг в контексті реформування органів виконавчої влади та органів місцевого самоврядування. Чернігівська політехніка, 2021. URL: </w:t>
      </w:r>
      <w:hyperlink r:id="rId907" w:tgtFrame="_new" w:history="1">
        <w:r w:rsidRPr="00511005">
          <w:rPr>
            <w:rFonts w:ascii="Arial" w:eastAsia="Times New Roman" w:hAnsi="Arial" w:cs="Arial"/>
            <w:szCs w:val="28"/>
            <w:lang w:eastAsia="ru-RU"/>
          </w:rPr>
          <w:t>http://ir.stu.cn.ua/123456789/25438</w:t>
        </w:r>
      </w:hyperlink>
      <w:r w:rsidRPr="00511005">
        <w:rPr>
          <w:rFonts w:ascii="Arial" w:eastAsia="Times New Roman" w:hAnsi="Arial" w:cs="Arial"/>
          <w:szCs w:val="28"/>
          <w:lang w:eastAsia="ru-RU"/>
        </w:rPr>
        <w:t xml:space="preserve"> (дата звернення: 19.04.2025)</w:t>
      </w:r>
    </w:p>
    <w:p w14:paraId="1C2CF5EB" w14:textId="77777777" w:rsidR="00B67481" w:rsidRPr="00511005" w:rsidRDefault="00B67481" w:rsidP="003A292D">
      <w:pPr>
        <w:tabs>
          <w:tab w:val="left" w:pos="993"/>
          <w:tab w:val="left" w:pos="7088"/>
        </w:tabs>
        <w:spacing w:line="264" w:lineRule="auto"/>
        <w:rPr>
          <w:rFonts w:ascii="Arial" w:eastAsia="Calibri" w:hAnsi="Arial" w:cs="Arial"/>
          <w:b/>
          <w:szCs w:val="28"/>
        </w:rPr>
      </w:pPr>
    </w:p>
    <w:p w14:paraId="03E2EE53" w14:textId="58DF20C3" w:rsidR="00B67481" w:rsidRPr="00511005" w:rsidRDefault="007B2628"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B67481" w:rsidRPr="00511005">
        <w:rPr>
          <w:rFonts w:ascii="Arial" w:eastAsia="Times New Roman" w:hAnsi="Arial" w:cs="Arial"/>
          <w:szCs w:val="28"/>
          <w:lang w:eastAsia="ru-RU"/>
        </w:rPr>
        <w:t>Центри надання адміністративних послуг, адміністративне право, публічне управління, децентралізація, надання послуг.</w:t>
      </w:r>
    </w:p>
    <w:p w14:paraId="33DD913D" w14:textId="435019BA" w:rsidR="00B67481" w:rsidRPr="00511005" w:rsidRDefault="007B2628"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B67481" w:rsidRPr="00511005">
        <w:rPr>
          <w:rFonts w:ascii="Arial" w:eastAsia="Times New Roman" w:hAnsi="Arial" w:cs="Arial"/>
          <w:szCs w:val="28"/>
          <w:lang w:val="en-US" w:eastAsia="ru-RU"/>
        </w:rPr>
        <w:t>Administrative service centers, administrative law, public administration, decentralization, service delivery.</w:t>
      </w:r>
    </w:p>
    <w:p w14:paraId="561995A5" w14:textId="0030ED9F" w:rsidR="00B67481" w:rsidRPr="00511005" w:rsidRDefault="007B2628" w:rsidP="003A292D">
      <w:pPr>
        <w:spacing w:line="264" w:lineRule="auto"/>
        <w:contextualSpacing/>
        <w:rPr>
          <w:rFonts w:ascii="Arial" w:eastAsia="Calibri" w:hAnsi="Arial" w:cs="Arial"/>
          <w:szCs w:val="28"/>
          <w:lang w:val="uk-UA" w:bidi="uk-UA"/>
        </w:rPr>
      </w:pPr>
      <w:r w:rsidRPr="00511005">
        <w:rPr>
          <w:rFonts w:ascii="Arial" w:eastAsia="Calibri" w:hAnsi="Arial" w:cs="Arial"/>
          <w:b/>
          <w:i/>
          <w:iCs/>
          <w:szCs w:val="28"/>
        </w:rPr>
        <w:t xml:space="preserve">Науковий керівник: </w:t>
      </w:r>
      <w:r w:rsidR="00B67481" w:rsidRPr="00511005">
        <w:rPr>
          <w:rFonts w:ascii="Arial" w:eastAsia="Calibri" w:hAnsi="Arial" w:cs="Arial"/>
          <w:i/>
          <w:iCs/>
          <w:szCs w:val="28"/>
        </w:rPr>
        <w:t>ас</w:t>
      </w:r>
      <w:r w:rsidR="00B67481" w:rsidRPr="00511005">
        <w:rPr>
          <w:rFonts w:ascii="Arial" w:eastAsia="Calibri" w:hAnsi="Arial" w:cs="Arial"/>
          <w:i/>
          <w:iCs/>
          <w:szCs w:val="28"/>
          <w:lang w:val="uk-UA"/>
        </w:rPr>
        <w:t>истент</w:t>
      </w:r>
      <w:r w:rsidR="00B67481" w:rsidRPr="00511005">
        <w:rPr>
          <w:rFonts w:ascii="Arial" w:eastAsia="Calibri" w:hAnsi="Arial" w:cs="Arial"/>
          <w:i/>
          <w:iCs/>
          <w:szCs w:val="28"/>
        </w:rPr>
        <w:t xml:space="preserve"> </w:t>
      </w:r>
      <w:r w:rsidR="00B67481" w:rsidRPr="00511005">
        <w:rPr>
          <w:rFonts w:ascii="Arial" w:eastAsia="Calibri" w:hAnsi="Arial" w:cs="Arial"/>
          <w:i/>
          <w:iCs/>
          <w:szCs w:val="28"/>
          <w:lang w:val="uk-UA"/>
        </w:rPr>
        <w:t>Назарчук А.В.</w:t>
      </w:r>
    </w:p>
    <w:p w14:paraId="27F4F00F" w14:textId="77777777" w:rsidR="001D1A08" w:rsidRPr="00511005" w:rsidRDefault="001D1A08" w:rsidP="003A292D">
      <w:pPr>
        <w:spacing w:line="264" w:lineRule="auto"/>
        <w:ind w:firstLine="0"/>
        <w:jc w:val="left"/>
        <w:rPr>
          <w:rFonts w:ascii="Arial" w:eastAsia="Calibri" w:hAnsi="Arial" w:cs="Arial"/>
          <w:szCs w:val="28"/>
          <w:lang w:val="uk-UA"/>
        </w:rPr>
      </w:pPr>
    </w:p>
    <w:p w14:paraId="6E3B368C" w14:textId="77777777" w:rsidR="001D1A08" w:rsidRPr="00511005" w:rsidRDefault="001D1A08" w:rsidP="003A292D">
      <w:pPr>
        <w:spacing w:line="264" w:lineRule="auto"/>
        <w:ind w:firstLine="0"/>
        <w:jc w:val="left"/>
        <w:rPr>
          <w:rFonts w:ascii="Arial" w:eastAsia="Calibri" w:hAnsi="Arial" w:cs="Arial"/>
          <w:szCs w:val="28"/>
          <w:lang w:val="uk-UA"/>
        </w:rPr>
      </w:pPr>
    </w:p>
    <w:p w14:paraId="33D6ED09" w14:textId="77777777" w:rsidR="00B67481" w:rsidRPr="00511005" w:rsidRDefault="00B67481" w:rsidP="003A292D">
      <w:pPr>
        <w:spacing w:line="264" w:lineRule="auto"/>
        <w:ind w:firstLine="0"/>
        <w:jc w:val="center"/>
        <w:rPr>
          <w:rFonts w:ascii="Arial" w:eastAsia="Calibri" w:hAnsi="Arial" w:cs="Arial"/>
          <w:b/>
          <w:bCs/>
          <w:i/>
          <w:iCs/>
          <w:szCs w:val="28"/>
        </w:rPr>
      </w:pPr>
      <w:r w:rsidRPr="00511005">
        <w:rPr>
          <w:rFonts w:ascii="Arial" w:eastAsia="Calibri" w:hAnsi="Arial" w:cs="Arial"/>
          <w:b/>
          <w:bCs/>
          <w:i/>
          <w:iCs/>
          <w:szCs w:val="28"/>
        </w:rPr>
        <w:t>Білоусова Ганна Вадимівна</w:t>
      </w:r>
    </w:p>
    <w:p w14:paraId="64CADB43" w14:textId="320C64DA"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554A847C"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6C97F83"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CDAC7AC" w14:textId="77777777" w:rsidR="00B67481" w:rsidRPr="00511005" w:rsidRDefault="00B67481" w:rsidP="003A292D">
      <w:pPr>
        <w:spacing w:line="264" w:lineRule="auto"/>
        <w:ind w:firstLine="0"/>
        <w:jc w:val="center"/>
        <w:rPr>
          <w:rFonts w:ascii="Arial" w:eastAsia="Calibri" w:hAnsi="Arial" w:cs="Arial"/>
          <w:szCs w:val="28"/>
          <w:lang w:val="uk-UA"/>
        </w:rPr>
      </w:pPr>
    </w:p>
    <w:p w14:paraId="402ACF3A" w14:textId="77777777" w:rsidR="00B67481" w:rsidRPr="00511005" w:rsidRDefault="00B67481"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ГЕНДЕРНА РІВНІСТЬ У ПУБЛІЧНІЙ СЛУЖБІ</w:t>
      </w:r>
    </w:p>
    <w:p w14:paraId="455CB152" w14:textId="40C8D8AF"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lang w:val="uk-UA"/>
        </w:rPr>
        <w:t xml:space="preserve">Для проведення спільної міжнародної політики України і світового співтовариства передбачається забезпечення рівноправної участі чоловіків і жінок у всіх сферах суспільного життя, зокрема в системі публічного управління. </w:t>
      </w:r>
      <w:r w:rsidRPr="00511005">
        <w:rPr>
          <w:rFonts w:ascii="Arial" w:eastAsia="Calibri" w:hAnsi="Arial" w:cs="Arial"/>
          <w:szCs w:val="28"/>
        </w:rPr>
        <w:t>Не зважаючи на певні законодавчі досягнення у сфері гендерної рівності, на практиці впровадження гендерної політики все ще далеке від ідеального. Нерівність знаходить свій прояв в межах представництва статей у державних органах, де у суспільній свідомості досі міцно вкорінені гендерні стереотипи, зміну яких потребує великої кількості часу та спільних зусиль усіх</w:t>
      </w:r>
      <w:r w:rsidR="007B2628" w:rsidRPr="00511005">
        <w:rPr>
          <w:rFonts w:ascii="Arial" w:eastAsia="Calibri" w:hAnsi="Arial" w:cs="Arial"/>
          <w:szCs w:val="28"/>
        </w:rPr>
        <w:t xml:space="preserve"> </w:t>
      </w:r>
      <w:r w:rsidRPr="00511005">
        <w:rPr>
          <w:rFonts w:ascii="Arial" w:eastAsia="Calibri" w:hAnsi="Arial" w:cs="Arial"/>
          <w:szCs w:val="28"/>
        </w:rPr>
        <w:t>інститутів соціалізації.</w:t>
      </w:r>
    </w:p>
    <w:p w14:paraId="100B7B0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За останніх років спостерігається зростання розуміння важливості питань гендерної рівності. Гендерна рівність означає однакове та справедливе ставлення як до жінок так і чоловіків, що є важливим критерієм </w:t>
      </w:r>
      <w:r w:rsidRPr="00511005">
        <w:rPr>
          <w:rFonts w:ascii="Arial" w:eastAsia="Calibri" w:hAnsi="Arial" w:cs="Arial"/>
          <w:szCs w:val="28"/>
        </w:rPr>
        <w:lastRenderedPageBreak/>
        <w:t>правової держави, показником рівня розвитку демократичного та свідомого суспільства.</w:t>
      </w:r>
    </w:p>
    <w:p w14:paraId="237C3030"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Гендерна політика повинна бути спрямована на рівні права і можливості для статей, що запровадить жінкам свободу професійного вибору, в тому числі працевлаштування в органах державної влади й місцевого самоврядування. У зв’язку з цим, питання щодо вдалого впровадження гендерної політики в публічному управлінні набуває актуальності та потребує вирішення.</w:t>
      </w:r>
    </w:p>
    <w:p w14:paraId="6E51571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Гендерна рівність визначається як «рівні можливості самореалізації жінок і чоловіків, гарантії дотримання прав і свобод з урахуванням особливостей статей, взаємні обов’язки та спільна відповідальність в процесі життєдіяльності» [2].</w:t>
      </w:r>
    </w:p>
    <w:p w14:paraId="4186C2E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Головним документом у сфері забезпечення гендерної рівності є Конвенція про ліквідацію всіх форм дискримінації щодо жінок. Це джерело є єдиним комплексним міжнародних документів всезагального характеру, що зобов’язує усі країни гарантувати жінкам рівні права і протидіяти з дискримінацією щодо них у таких сферах як освіта, трудова сфера, охорона здоров’я, фінанси, законодавство, а також у соціальному та політичному житті [3].</w:t>
      </w:r>
    </w:p>
    <w:p w14:paraId="69F0F981"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Отже, гендерна рівність є принципом політико-правового статусу людини </w:t>
      </w:r>
      <w:proofErr w:type="gramStart"/>
      <w:r w:rsidRPr="00511005">
        <w:rPr>
          <w:rFonts w:ascii="Arial" w:eastAsia="Calibri" w:hAnsi="Arial" w:cs="Arial"/>
          <w:szCs w:val="28"/>
        </w:rPr>
        <w:t>в будь</w:t>
      </w:r>
      <w:proofErr w:type="gramEnd"/>
      <w:r w:rsidRPr="00511005">
        <w:rPr>
          <w:rFonts w:ascii="Arial" w:eastAsia="Calibri" w:hAnsi="Arial" w:cs="Arial"/>
          <w:szCs w:val="28"/>
        </w:rPr>
        <w:t>-якій державі [2]. ЇЇ зміст розуміють не тільки як рівні права жінки та чоловіка, а й рівні свободи жінки та чоловіка, рівні обов’язки жінки та чоловіка, врахування особливостей статей у політико-правовому регулюванні, систему засобів гарантування рівності статей в державі.</w:t>
      </w:r>
    </w:p>
    <w:p w14:paraId="5CA0A9EC" w14:textId="0FC93006"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Раніше жінки займали лише незначну кількість керівних посад у вищих органах влади. Наприклад, серед 25 міністрів лише троє були жінками — одна з яких обіймала посаду віце-прем’єр-міністра з питань європейської та євроатлантичної інтеграції [1]. Серед заступників віце-прем’єр-міністрів і міністрів жінки становили 26,5%. Сьогодні ж новий Кабмін складається з більше</w:t>
      </w:r>
      <w:r w:rsidR="007B2628" w:rsidRPr="00511005">
        <w:rPr>
          <w:rFonts w:ascii="Arial" w:eastAsia="Calibri" w:hAnsi="Arial" w:cs="Arial"/>
          <w:szCs w:val="28"/>
        </w:rPr>
        <w:t xml:space="preserve"> </w:t>
      </w:r>
      <w:r w:rsidRPr="00511005">
        <w:rPr>
          <w:rFonts w:ascii="Arial" w:eastAsia="Calibri" w:hAnsi="Arial" w:cs="Arial"/>
          <w:szCs w:val="28"/>
        </w:rPr>
        <w:t>міністерств замість тих, які були раніше в уряді. До нового Кабміну входять 17 міністрів замість 25, як раніше. Найвищі посади займають більше 30 % жінок. З 17 членів нового уряду 11 – чоловіки, 6 – жінки.</w:t>
      </w:r>
    </w:p>
    <w:p w14:paraId="1AA3975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Ці дані свідчать про те, що співвідношення жінок та чоловіків у публічному управлінні та адмініструванні складається в більшості з представників чоловічої статі, проте останнім часом спостерігаємо збільшення кількості жінок у різних сферах. Можна прослідкувати, якщо ця динаміка зберігатиметься, у майбутньому можливо досягти реальної гендерної рівності в управлінських структурах, що є ознакою правової держави й невід’ємною умовою розвитку зрілого громадянського суспільства. Це є однією з рис правової держави, посідає важливе місце у забезпеченні розвитку свідомого суспільства.</w:t>
      </w:r>
    </w:p>
    <w:p w14:paraId="10F14E21"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lastRenderedPageBreak/>
        <w:t xml:space="preserve">Досягнення гендерної рівності у сфері публічного управління є ключовою передумовою для гарантування прав людини, зміцнення демократичних засад, ефективного вирішення соціально-економічних викликів і просування України </w:t>
      </w:r>
      <w:proofErr w:type="gramStart"/>
      <w:r w:rsidRPr="00511005">
        <w:rPr>
          <w:rFonts w:ascii="Arial" w:eastAsia="Calibri" w:hAnsi="Arial" w:cs="Arial"/>
          <w:szCs w:val="28"/>
        </w:rPr>
        <w:t>на шляху</w:t>
      </w:r>
      <w:proofErr w:type="gramEnd"/>
      <w:r w:rsidRPr="00511005">
        <w:rPr>
          <w:rFonts w:ascii="Arial" w:eastAsia="Calibri" w:hAnsi="Arial" w:cs="Arial"/>
          <w:szCs w:val="28"/>
        </w:rPr>
        <w:t xml:space="preserve"> європейської інтеграції.</w:t>
      </w:r>
    </w:p>
    <w:p w14:paraId="144F0EF3" w14:textId="30E2C753"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Гендерна політика в системі державної служби України має бути спрямована на впровадження однакової участі жінок і чоловіків у прийнятті рішень. Це допомагатиме формуванню світогляду щодо ролі жінки у сфері публічного управління, а отже забезпечення гендерної рівності [3].</w:t>
      </w:r>
      <w:r w:rsidR="007B2628" w:rsidRPr="00511005">
        <w:rPr>
          <w:rFonts w:ascii="Arial" w:eastAsia="Calibri" w:hAnsi="Arial" w:cs="Arial"/>
          <w:szCs w:val="28"/>
        </w:rPr>
        <w:t xml:space="preserve"> </w:t>
      </w:r>
      <w:r w:rsidRPr="00511005">
        <w:rPr>
          <w:rFonts w:ascii="Arial" w:eastAsia="Calibri" w:hAnsi="Arial" w:cs="Arial"/>
          <w:szCs w:val="28"/>
        </w:rPr>
        <w:t xml:space="preserve">У зв’язку з цим, сучасна ситуація вимагає як удосконалення чинного законодавства, так і розробки нових нормативно-правових актів, спрямованих на подолання гендерних стереотипів у всіх сферах суспільного життя, зокрема у публічному управлінні. Це </w:t>
      </w:r>
      <w:proofErr w:type="gramStart"/>
      <w:r w:rsidRPr="00511005">
        <w:rPr>
          <w:rFonts w:ascii="Arial" w:eastAsia="Calibri" w:hAnsi="Arial" w:cs="Arial"/>
          <w:szCs w:val="28"/>
        </w:rPr>
        <w:t>означає ,</w:t>
      </w:r>
      <w:proofErr w:type="gramEnd"/>
      <w:r w:rsidRPr="00511005">
        <w:rPr>
          <w:rFonts w:ascii="Arial" w:eastAsia="Calibri" w:hAnsi="Arial" w:cs="Arial"/>
          <w:szCs w:val="28"/>
        </w:rPr>
        <w:t xml:space="preserve"> що зміни у становищі жінок в Україні можливі лише за умови системної державної гендерної політики, яка грунтується на міжнародних правових стандартах у всіх сферах. </w:t>
      </w:r>
    </w:p>
    <w:p w14:paraId="37FD3447" w14:textId="77777777" w:rsidR="00B67481" w:rsidRPr="00511005" w:rsidRDefault="00B67481" w:rsidP="003A292D">
      <w:pPr>
        <w:spacing w:line="264" w:lineRule="auto"/>
        <w:rPr>
          <w:rFonts w:ascii="Arial" w:eastAsia="Calibri" w:hAnsi="Arial" w:cs="Arial"/>
          <w:szCs w:val="28"/>
        </w:rPr>
      </w:pPr>
    </w:p>
    <w:p w14:paraId="07CB63E2" w14:textId="28FB6BB7" w:rsidR="00B67481" w:rsidRPr="00511005" w:rsidRDefault="007B2628" w:rsidP="007B2628">
      <w:pPr>
        <w:spacing w:line="264" w:lineRule="auto"/>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20C391A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1. Агеєва В.П. Основи теорії </w:t>
      </w:r>
      <w:proofErr w:type="gramStart"/>
      <w:r w:rsidRPr="00511005">
        <w:rPr>
          <w:rFonts w:ascii="Arial" w:eastAsia="Calibri" w:hAnsi="Arial" w:cs="Arial"/>
          <w:szCs w:val="28"/>
        </w:rPr>
        <w:t>гендеру :</w:t>
      </w:r>
      <w:proofErr w:type="gramEnd"/>
      <w:r w:rsidRPr="00511005">
        <w:rPr>
          <w:rFonts w:ascii="Arial" w:eastAsia="Calibri" w:hAnsi="Arial" w:cs="Arial"/>
          <w:szCs w:val="28"/>
        </w:rPr>
        <w:t xml:space="preserve"> навч. посіб. </w:t>
      </w:r>
      <w:proofErr w:type="gramStart"/>
      <w:r w:rsidRPr="00511005">
        <w:rPr>
          <w:rFonts w:ascii="Arial" w:eastAsia="Calibri" w:hAnsi="Arial" w:cs="Arial"/>
          <w:szCs w:val="28"/>
        </w:rPr>
        <w:t>Київ :</w:t>
      </w:r>
      <w:proofErr w:type="gramEnd"/>
      <w:r w:rsidRPr="00511005">
        <w:rPr>
          <w:rFonts w:ascii="Arial" w:eastAsia="Calibri" w:hAnsi="Arial" w:cs="Arial"/>
          <w:szCs w:val="28"/>
        </w:rPr>
        <w:t xml:space="preserve"> К.І.С., 2004. 536 с. </w:t>
      </w:r>
    </w:p>
    <w:p w14:paraId="09B737C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2. Вілкова О. Сучасні моделі гендерної політики: сутність та особливості впровадження. Політ. менеджмент. 2018. № 6. С. 160–166. </w:t>
      </w:r>
    </w:p>
    <w:p w14:paraId="54E419D9"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3. Впровадження гендерних підходів у діяльність державних органів влади, місцевого самоврядування та громадських </w:t>
      </w:r>
      <w:proofErr w:type="gramStart"/>
      <w:r w:rsidRPr="00511005">
        <w:rPr>
          <w:rFonts w:ascii="Arial" w:eastAsia="Calibri" w:hAnsi="Arial" w:cs="Arial"/>
          <w:szCs w:val="28"/>
        </w:rPr>
        <w:t>організацій :</w:t>
      </w:r>
      <w:proofErr w:type="gramEnd"/>
      <w:r w:rsidRPr="00511005">
        <w:rPr>
          <w:rFonts w:ascii="Arial" w:eastAsia="Calibri" w:hAnsi="Arial" w:cs="Arial"/>
          <w:szCs w:val="28"/>
        </w:rPr>
        <w:t xml:space="preserve"> навч.-метод. посіб. / уклад. Л.М. Артеменко. Чернігів, 2018. 54 с.</w:t>
      </w:r>
    </w:p>
    <w:p w14:paraId="4DC06F06" w14:textId="77777777" w:rsidR="00B67481" w:rsidRPr="00511005" w:rsidRDefault="00B67481" w:rsidP="003A292D">
      <w:pPr>
        <w:spacing w:line="264" w:lineRule="auto"/>
        <w:rPr>
          <w:rFonts w:ascii="Arial" w:eastAsia="Calibri" w:hAnsi="Arial" w:cs="Arial"/>
          <w:szCs w:val="28"/>
        </w:rPr>
      </w:pPr>
    </w:p>
    <w:p w14:paraId="6A70272C" w14:textId="1D162A6A" w:rsidR="00B67481" w:rsidRPr="00511005" w:rsidRDefault="007B2628" w:rsidP="003A292D">
      <w:pPr>
        <w:spacing w:line="264" w:lineRule="auto"/>
        <w:rPr>
          <w:rFonts w:ascii="Arial" w:eastAsia="Calibri" w:hAnsi="Arial" w:cs="Arial"/>
          <w:szCs w:val="28"/>
        </w:rPr>
      </w:pPr>
      <w:r w:rsidRPr="00511005">
        <w:rPr>
          <w:rFonts w:ascii="Arial" w:eastAsia="Calibri" w:hAnsi="Arial" w:cs="Arial"/>
          <w:b/>
          <w:bCs/>
          <w:i/>
          <w:iCs/>
          <w:szCs w:val="28"/>
        </w:rPr>
        <w:t xml:space="preserve">Ключові слова: </w:t>
      </w:r>
      <w:r w:rsidR="00B67481" w:rsidRPr="00511005">
        <w:rPr>
          <w:rFonts w:ascii="Arial" w:eastAsia="Calibri" w:hAnsi="Arial" w:cs="Arial"/>
          <w:szCs w:val="28"/>
        </w:rPr>
        <w:t xml:space="preserve">гендерна рівність, жінки, публічна служба, гендерна політика, сфери, публічне управління. </w:t>
      </w:r>
    </w:p>
    <w:p w14:paraId="6B9BB5B2" w14:textId="774D9765" w:rsidR="00B67481"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bCs/>
          <w:i/>
          <w:iCs/>
          <w:szCs w:val="28"/>
          <w:lang w:val="en-US"/>
        </w:rPr>
        <w:t xml:space="preserve">Key words: </w:t>
      </w:r>
      <w:r w:rsidR="00B67481" w:rsidRPr="00511005">
        <w:rPr>
          <w:rFonts w:ascii="Arial" w:eastAsia="Calibri" w:hAnsi="Arial" w:cs="Arial"/>
          <w:szCs w:val="28"/>
          <w:lang w:val="en-US"/>
        </w:rPr>
        <w:t>gender equality, women, public service, gender policy, spheres, public administration.</w:t>
      </w:r>
    </w:p>
    <w:p w14:paraId="4F967163" w14:textId="23D4ED3A" w:rsidR="00B67481" w:rsidRPr="00511005" w:rsidRDefault="007B2628" w:rsidP="003A292D">
      <w:pPr>
        <w:spacing w:line="264" w:lineRule="auto"/>
        <w:rPr>
          <w:rFonts w:ascii="Arial" w:eastAsia="Calibri" w:hAnsi="Arial" w:cs="Arial"/>
          <w:i/>
          <w:szCs w:val="28"/>
        </w:rPr>
      </w:pPr>
      <w:r w:rsidRPr="00511005">
        <w:rPr>
          <w:rFonts w:ascii="Arial" w:eastAsia="Calibri" w:hAnsi="Arial" w:cs="Arial"/>
          <w:b/>
          <w:bCs/>
          <w:i/>
          <w:szCs w:val="28"/>
        </w:rPr>
        <w:t xml:space="preserve">Науковий керівник: </w:t>
      </w:r>
      <w:r w:rsidR="00B67481" w:rsidRPr="00511005">
        <w:rPr>
          <w:rFonts w:ascii="Arial" w:eastAsia="Calibri" w:hAnsi="Arial" w:cs="Arial"/>
          <w:i/>
          <w:szCs w:val="28"/>
        </w:rPr>
        <w:t>доцент, к.ю.н</w:t>
      </w:r>
      <w:r w:rsidR="00B67481" w:rsidRPr="00511005">
        <w:rPr>
          <w:rFonts w:ascii="Arial" w:eastAsia="Calibri" w:hAnsi="Arial" w:cs="Arial"/>
          <w:i/>
          <w:szCs w:val="28"/>
          <w:lang w:val="uk-UA"/>
        </w:rPr>
        <w:t>.</w:t>
      </w:r>
      <w:r w:rsidR="00B67481" w:rsidRPr="00511005">
        <w:rPr>
          <w:rFonts w:ascii="Arial" w:eastAsia="Calibri" w:hAnsi="Arial" w:cs="Arial"/>
          <w:i/>
          <w:szCs w:val="28"/>
        </w:rPr>
        <w:t xml:space="preserve"> Панфілов О.Є.</w:t>
      </w:r>
    </w:p>
    <w:p w14:paraId="5988C964" w14:textId="77777777" w:rsidR="00B67481" w:rsidRPr="00511005" w:rsidRDefault="00B67481" w:rsidP="003A292D">
      <w:pPr>
        <w:shd w:val="clear" w:color="auto" w:fill="FDFDFD"/>
        <w:spacing w:line="264" w:lineRule="auto"/>
        <w:jc w:val="left"/>
        <w:rPr>
          <w:rFonts w:ascii="Arial" w:eastAsia="Calibri" w:hAnsi="Arial" w:cs="Arial"/>
          <w:szCs w:val="28"/>
        </w:rPr>
      </w:pPr>
    </w:p>
    <w:p w14:paraId="577C5E3F" w14:textId="2EC7717F" w:rsidR="00B67481" w:rsidRPr="00511005" w:rsidRDefault="00B67481" w:rsidP="003A292D">
      <w:pPr>
        <w:spacing w:line="264" w:lineRule="auto"/>
        <w:ind w:firstLine="0"/>
        <w:jc w:val="left"/>
        <w:rPr>
          <w:rFonts w:ascii="Arial" w:eastAsia="Calibri" w:hAnsi="Arial" w:cs="Arial"/>
          <w:bCs/>
          <w:szCs w:val="28"/>
          <w:lang w:val="uk-UA" w:bidi="uk-UA"/>
        </w:rPr>
      </w:pPr>
    </w:p>
    <w:p w14:paraId="59387DC3" w14:textId="77777777" w:rsidR="00B67481" w:rsidRPr="00511005" w:rsidRDefault="00B67481" w:rsidP="003A292D">
      <w:pPr>
        <w:spacing w:line="264" w:lineRule="auto"/>
        <w:ind w:firstLine="0"/>
        <w:jc w:val="center"/>
        <w:rPr>
          <w:rFonts w:ascii="Arial" w:eastAsia="Calibri" w:hAnsi="Arial" w:cs="Arial"/>
          <w:i/>
          <w:szCs w:val="28"/>
        </w:rPr>
      </w:pPr>
      <w:r w:rsidRPr="00511005">
        <w:rPr>
          <w:rFonts w:ascii="Arial" w:eastAsia="Calibri" w:hAnsi="Arial" w:cs="Arial"/>
          <w:b/>
          <w:i/>
          <w:szCs w:val="28"/>
        </w:rPr>
        <w:t>Бурлачка Кристина Юріївна</w:t>
      </w:r>
    </w:p>
    <w:p w14:paraId="673D8ABD" w14:textId="2807FAC3" w:rsidR="00B67481" w:rsidRPr="00511005" w:rsidRDefault="00536AAB" w:rsidP="003A292D">
      <w:pPr>
        <w:spacing w:line="264" w:lineRule="auto"/>
        <w:ind w:firstLine="0"/>
        <w:jc w:val="center"/>
        <w:rPr>
          <w:rFonts w:ascii="Arial" w:eastAsia="Calibri" w:hAnsi="Arial" w:cs="Arial"/>
          <w:iCs/>
          <w:szCs w:val="28"/>
        </w:rPr>
      </w:pPr>
      <w:r w:rsidRPr="00511005">
        <w:rPr>
          <w:rFonts w:ascii="Arial" w:eastAsia="Calibri" w:hAnsi="Arial" w:cs="Arial"/>
          <w:iCs/>
          <w:szCs w:val="28"/>
        </w:rPr>
        <w:t xml:space="preserve">студентка 4-го курсу </w:t>
      </w:r>
      <w:r w:rsidR="001B7B25" w:rsidRPr="00511005">
        <w:rPr>
          <w:rFonts w:ascii="Arial" w:eastAsia="Calibri" w:hAnsi="Arial" w:cs="Arial"/>
          <w:iCs/>
          <w:szCs w:val="28"/>
        </w:rPr>
        <w:t>факультету судового та міжнародного права</w:t>
      </w:r>
      <w:r w:rsidR="00B67481" w:rsidRPr="00511005">
        <w:rPr>
          <w:rFonts w:ascii="Arial" w:eastAsia="Calibri" w:hAnsi="Arial" w:cs="Arial"/>
          <w:iCs/>
          <w:szCs w:val="28"/>
        </w:rPr>
        <w:br/>
      </w:r>
      <w:r w:rsidR="007B2628" w:rsidRPr="00511005">
        <w:rPr>
          <w:rFonts w:ascii="Arial" w:eastAsia="Calibri" w:hAnsi="Arial" w:cs="Arial"/>
          <w:iCs/>
          <w:szCs w:val="28"/>
        </w:rPr>
        <w:t>Національного університету «Одеська юридична академія»</w:t>
      </w:r>
    </w:p>
    <w:p w14:paraId="3F0059E3" w14:textId="77777777" w:rsidR="00B67481" w:rsidRPr="00511005" w:rsidRDefault="00B67481" w:rsidP="003A292D">
      <w:pPr>
        <w:spacing w:line="264" w:lineRule="auto"/>
        <w:ind w:firstLine="0"/>
        <w:jc w:val="center"/>
        <w:rPr>
          <w:rFonts w:ascii="Arial" w:eastAsia="Calibri" w:hAnsi="Arial" w:cs="Arial"/>
          <w:i/>
          <w:szCs w:val="28"/>
        </w:rPr>
      </w:pPr>
    </w:p>
    <w:p w14:paraId="0B854285" w14:textId="77777777" w:rsidR="00B67481" w:rsidRPr="00511005" w:rsidRDefault="00B67481" w:rsidP="003A292D">
      <w:pPr>
        <w:spacing w:line="264" w:lineRule="auto"/>
        <w:ind w:firstLine="0"/>
        <w:jc w:val="center"/>
        <w:rPr>
          <w:rFonts w:ascii="Arial" w:eastAsia="Calibri" w:hAnsi="Arial" w:cs="Arial"/>
          <w:b/>
          <w:szCs w:val="28"/>
        </w:rPr>
      </w:pPr>
      <w:r w:rsidRPr="00511005">
        <w:rPr>
          <w:rFonts w:ascii="Arial" w:eastAsia="Calibri" w:hAnsi="Arial" w:cs="Arial"/>
          <w:b/>
          <w:szCs w:val="28"/>
        </w:rPr>
        <w:t>ПУБЛІЧНЕ УПРАВЛІННЯ УКРАЇНИ ТА ФЕДЕРАТИВНОЇ</w:t>
      </w:r>
      <w:r w:rsidRPr="00511005">
        <w:rPr>
          <w:rFonts w:ascii="Arial" w:eastAsia="Calibri" w:hAnsi="Arial" w:cs="Arial"/>
          <w:b/>
          <w:szCs w:val="28"/>
        </w:rPr>
        <w:br/>
        <w:t>РЕСПУБЛІКИ НІМЕЧЧИНИ: ПОРІВНЯЛЬНИЙ АНАЛІЗ</w:t>
      </w:r>
    </w:p>
    <w:p w14:paraId="12558EC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Під публічним управлінням розуміється діяльність, що пов‘язана з вирішенням стратегічно-важливих завдань державних органів, підприємств, установ та організацій з урахуванням всього комплексу факторів впливу і тенденцій розвитку в конкурентному середовищі, а також в певній галузі суспільного виробництва і держави в цілому. Тобто у широкому сенсі </w:t>
      </w:r>
      <w:r w:rsidRPr="00511005">
        <w:rPr>
          <w:rFonts w:ascii="Arial" w:eastAsia="Calibri" w:hAnsi="Arial" w:cs="Arial"/>
          <w:szCs w:val="28"/>
        </w:rPr>
        <w:lastRenderedPageBreak/>
        <w:t>публічне адміністрування являє собою всю систему адміністративних інститутів із ієрархією влади, за допомогою якої відповідальність за виконання державних рішень спускається зверху донизу [1, с. 6].</w:t>
      </w:r>
    </w:p>
    <w:p w14:paraId="775262E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На сьогоднішній день встановлення та функціонування ефективної моделі публічного адміністрування є дуже актуальним питанням в контексті розвитку нашої держави та курсу на євроінтеграцію. Імплементація стандартів Європейського Союзу та використання демократичних засад публічного управління тільки допоможе усунути недоліки публічного управління в Україні та налагодити функціонування наших державних інституцій.</w:t>
      </w:r>
    </w:p>
    <w:p w14:paraId="2EA9C549"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На даний момент Німеччина є взірцем ефективного публічного адміністрування, маючи два рівні управління, позаяк є парламентською республікою за формою правління та федеральною за державним устроєм. ФРН також забезпечує обидва рівні управління – федеральний та регіональний, які мають власні органи виконавчої, законодавчої і судової влади [2].</w:t>
      </w:r>
    </w:p>
    <w:p w14:paraId="42025B5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Загалом для німецької форми державного управління характерний конкретно визначений розподіл повноважень між федеральними та регіональними органами управління. Наприклад, на федеральному рівні вирішуються всі загальнодержавні питання та приймаються рішення міжнародного значення, а вже регіональний рівень забезпечує вирішення питань, які стосуються власне федеральних земель.</w:t>
      </w:r>
    </w:p>
    <w:p w14:paraId="6F77AA17"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Якщо говорити саме про федеральний уряд, то його діяльність обмежується чітко визначеним колом проблем, такі як оподаткування, військова безпека, загальна координація політики. Усі відділи та департаменти федерального уряду мають підпорядковуватися загальним приписам стосовно фінансування публічного сектора, бюджетування, надання послуг громадянам і формальних процедур, які розроблені самим федеральним урядом [2, с. 20].</w:t>
      </w:r>
    </w:p>
    <w:p w14:paraId="5CC5341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Щодо регіонального рівня публічного управління, то всі питання місцевого рівня мають вирішуватися регіональними органами управління. </w:t>
      </w:r>
      <w:proofErr w:type="gramStart"/>
      <w:r w:rsidRPr="00511005">
        <w:rPr>
          <w:rFonts w:ascii="Arial" w:eastAsia="Calibri" w:hAnsi="Arial" w:cs="Arial"/>
          <w:szCs w:val="28"/>
        </w:rPr>
        <w:t>У нормах</w:t>
      </w:r>
      <w:proofErr w:type="gramEnd"/>
      <w:r w:rsidRPr="00511005">
        <w:rPr>
          <w:rFonts w:ascii="Arial" w:eastAsia="Calibri" w:hAnsi="Arial" w:cs="Arial"/>
          <w:szCs w:val="28"/>
        </w:rPr>
        <w:t xml:space="preserve"> Конституції ФРН чітко визначено, що саме належить федерації, а що – землям. Не можна не згадати про той факт, що одним із найголовніших земельних податків у Німеччині є податок на майно, а надходження з прибуткового податку і податку з корпорацій мають розподілятися між федерацією і землями порівну. В той же час розміри витрат визначаються тільки на основі перспективного довгострокового планування.</w:t>
      </w:r>
    </w:p>
    <w:p w14:paraId="146CE47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Якщо говорити про Україну, то відмінності з ФРН починаються з того, що Україна, відповідно до положень Конституції, є </w:t>
      </w:r>
      <w:r w:rsidRPr="00511005">
        <w:rPr>
          <w:rFonts w:ascii="Arial" w:eastAsia="Calibri" w:hAnsi="Arial" w:cs="Arial"/>
          <w:bCs/>
          <w:szCs w:val="28"/>
        </w:rPr>
        <w:t>унітарною державою</w:t>
      </w:r>
      <w:r w:rsidRPr="00511005">
        <w:rPr>
          <w:rFonts w:ascii="Arial" w:eastAsia="Calibri" w:hAnsi="Arial" w:cs="Arial"/>
          <w:szCs w:val="28"/>
        </w:rPr>
        <w:t xml:space="preserve"> (а не федеративною), і, хоча місцеве самоврядування визнається та гарантується [3], регіони не мають власної системи судочинства чи законодавства як у Німеччині. Тобто автономія регіонів суттєво обмежена </w:t>
      </w:r>
      <w:r w:rsidRPr="00511005">
        <w:rPr>
          <w:rFonts w:ascii="Arial" w:eastAsia="Calibri" w:hAnsi="Arial" w:cs="Arial"/>
          <w:szCs w:val="28"/>
        </w:rPr>
        <w:lastRenderedPageBreak/>
        <w:t xml:space="preserve">порівняно з землями ФРН, і всі регіональні органи влади діють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повноважень, делегованих центром.</w:t>
      </w:r>
    </w:p>
    <w:p w14:paraId="3085C8A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Крім того, відповідно до положень Конституції ФРН, регіональні органи мають право самостійно приймати нормативні акти в межах своїх повноважень. В Україні ж, хоч статті </w:t>
      </w:r>
      <w:r w:rsidRPr="00511005">
        <w:rPr>
          <w:rFonts w:ascii="Arial" w:eastAsia="Calibri" w:hAnsi="Arial" w:cs="Arial"/>
          <w:bCs/>
          <w:szCs w:val="28"/>
        </w:rPr>
        <w:t>85, 118 та 143 Конституції</w:t>
      </w:r>
      <w:r w:rsidRPr="00511005">
        <w:rPr>
          <w:rFonts w:ascii="Arial" w:eastAsia="Calibri" w:hAnsi="Arial" w:cs="Arial"/>
          <w:szCs w:val="28"/>
        </w:rPr>
        <w:t xml:space="preserve"> й визначають розподіл функцій між центральними органами влади і місцевим самоврядуванням [3], але органи місцевого самоврядування не мають власної системи нормативного регулювання, яка мала б загальнодержавного значення. Отже, в Україні існує лише вертикаль виконавчої влади, яка домінує над місцевим рівнем, тоді як у Німеччині регіони мають значно ширші повноваження, як у правотворчій, так і виконавчій діяльності.</w:t>
      </w:r>
    </w:p>
    <w:p w14:paraId="1770831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Так само відповідно до статей 106 та 116 Конституції, Президент і Кабінет Міністрів контролюють практично всі сфери державної політики, а централізація влади у питаннях безпеки, фінансів та економіки є значно вищою, що сильно відрізняється від запровадженої децентралізованої політики ФРН. Це вказує на відсутність фактичної децентралізації компетенцій, яка притаманна німецькому федералізму.</w:t>
      </w:r>
    </w:p>
    <w:p w14:paraId="5261046F"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До того ж, хоч </w:t>
      </w:r>
      <w:r w:rsidRPr="00511005">
        <w:rPr>
          <w:rFonts w:ascii="Arial" w:eastAsia="Calibri" w:hAnsi="Arial" w:cs="Arial"/>
          <w:bCs/>
          <w:szCs w:val="28"/>
        </w:rPr>
        <w:t>стаття 7 Бюджетного кодексу України</w:t>
      </w:r>
      <w:r w:rsidRPr="00511005">
        <w:rPr>
          <w:rFonts w:ascii="Arial" w:eastAsia="Calibri" w:hAnsi="Arial" w:cs="Arial"/>
          <w:szCs w:val="28"/>
        </w:rPr>
        <w:t xml:space="preserve"> й встановлює, що державний і місцеві бюджети є самостійними, і кожен рівень не несе відповідальності за зобов'язання іншого, а місцеві ради мають право самостійно затверджувати місцеві бюджети і визначати напрями використання коштів [4], однак, на практиці місцеві бюджети в Україні значною мірою залежать від міжбюджетних трансфертів, тоді як у Німеччині землі мають ширші власні джерела доходів. Таким чином, рівень фактичної фінансової автономії земель у Німеччині є вищим.</w:t>
      </w:r>
    </w:p>
    <w:p w14:paraId="6EF3E752"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Отже, можна зробити висновок, що характер державного устрою – унітарний чи федеративний – визначає суттєві відмінності у побудові системи публічного управління. ФРН, будучи республікою з федеративною формою устрою, має власну модель розподілу повноважень між федеральними та регіональними органами. Україна, у свою чергу, як унітарна держава, вибудовує іншу систему публічного управління, хоча активно впроваджує принципи децентралізації.</w:t>
      </w:r>
    </w:p>
    <w:p w14:paraId="1DFE1C31" w14:textId="77777777" w:rsidR="00B67481" w:rsidRPr="00511005" w:rsidRDefault="00B67481" w:rsidP="003A292D">
      <w:pPr>
        <w:spacing w:line="264" w:lineRule="auto"/>
        <w:rPr>
          <w:rFonts w:ascii="Arial" w:eastAsia="Calibri" w:hAnsi="Arial" w:cs="Arial"/>
          <w:szCs w:val="28"/>
          <w:lang w:val="uk-UA"/>
        </w:rPr>
      </w:pPr>
    </w:p>
    <w:p w14:paraId="388C50C1" w14:textId="12BE3563" w:rsidR="00B67481" w:rsidRPr="00511005" w:rsidRDefault="007B2628" w:rsidP="007B2628">
      <w:pPr>
        <w:spacing w:line="264" w:lineRule="auto"/>
        <w:ind w:firstLine="0"/>
        <w:jc w:val="center"/>
        <w:rPr>
          <w:rFonts w:ascii="Arial" w:eastAsia="Calibri" w:hAnsi="Arial" w:cs="Arial"/>
          <w:szCs w:val="28"/>
          <w:lang w:val="uk-UA"/>
        </w:rPr>
      </w:pPr>
      <w:r w:rsidRPr="00511005">
        <w:rPr>
          <w:rFonts w:ascii="Arial" w:eastAsia="Calibri" w:hAnsi="Arial" w:cs="Arial"/>
          <w:b/>
          <w:szCs w:val="28"/>
          <w:lang w:val="uk-UA"/>
        </w:rPr>
        <w:t>Список використаних джерел</w:t>
      </w:r>
    </w:p>
    <w:p w14:paraId="7A02C47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1. Корнута Л.М., Панова Н.С., Маслова Я.І. Зарубіжний досвід публічного управління: навчально-методичний посібник. 2019. С. 6-7. </w:t>
      </w:r>
      <w:r w:rsidRPr="00511005">
        <w:rPr>
          <w:rFonts w:ascii="Arial" w:eastAsia="Calibri" w:hAnsi="Arial" w:cs="Arial"/>
          <w:szCs w:val="28"/>
          <w:lang w:val="en-US"/>
        </w:rPr>
        <w:t>URL</w:t>
      </w:r>
      <w:r w:rsidRPr="00511005">
        <w:rPr>
          <w:rFonts w:ascii="Arial" w:eastAsia="Calibri" w:hAnsi="Arial" w:cs="Arial"/>
          <w:szCs w:val="28"/>
        </w:rPr>
        <w:t xml:space="preserve">: </w:t>
      </w:r>
      <w:hyperlink r:id="rId908" w:history="1">
        <w:r w:rsidRPr="00511005">
          <w:rPr>
            <w:rFonts w:ascii="Arial" w:eastAsia="Calibri" w:hAnsi="Arial" w:cs="Arial"/>
            <w:szCs w:val="28"/>
          </w:rPr>
          <w:t>https://hdl.handle.net/11300/14045</w:t>
        </w:r>
      </w:hyperlink>
    </w:p>
    <w:p w14:paraId="5739017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2. Берлач А.І., Кобець М.Б. Особливості публічного адміністрування Німеччини: досвід для України. 2018. С. 20. </w:t>
      </w:r>
      <w:r w:rsidRPr="00511005">
        <w:rPr>
          <w:rFonts w:ascii="Arial" w:eastAsia="Calibri" w:hAnsi="Arial" w:cs="Arial"/>
          <w:szCs w:val="28"/>
          <w:lang w:val="en-US"/>
        </w:rPr>
        <w:t>URL</w:t>
      </w:r>
      <w:r w:rsidRPr="00511005">
        <w:rPr>
          <w:rFonts w:ascii="Arial" w:eastAsia="Calibri" w:hAnsi="Arial" w:cs="Arial"/>
          <w:szCs w:val="28"/>
        </w:rPr>
        <w:t xml:space="preserve">: </w:t>
      </w:r>
      <w:hyperlink r:id="rId909"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naukaipravoohorona</w:t>
        </w:r>
        <w:r w:rsidRPr="00511005">
          <w:rPr>
            <w:rFonts w:ascii="Arial" w:eastAsia="Calibri" w:hAnsi="Arial" w:cs="Arial"/>
            <w:szCs w:val="28"/>
          </w:rPr>
          <w:t>.</w:t>
        </w:r>
        <w:r w:rsidRPr="00511005">
          <w:rPr>
            <w:rFonts w:ascii="Arial" w:eastAsia="Calibri" w:hAnsi="Arial" w:cs="Arial"/>
            <w:szCs w:val="28"/>
            <w:lang w:val="en-US"/>
          </w:rPr>
          <w:t>com</w:t>
        </w:r>
        <w:r w:rsidRPr="00511005">
          <w:rPr>
            <w:rFonts w:ascii="Arial" w:eastAsia="Calibri" w:hAnsi="Arial" w:cs="Arial"/>
            <w:szCs w:val="28"/>
          </w:rPr>
          <w:t>/</w:t>
        </w:r>
        <w:r w:rsidRPr="00511005">
          <w:rPr>
            <w:rFonts w:ascii="Arial" w:eastAsia="Calibri" w:hAnsi="Arial" w:cs="Arial"/>
            <w:szCs w:val="28"/>
            <w:lang w:val="en-US"/>
          </w:rPr>
          <w:t>journal</w:t>
        </w:r>
        <w:r w:rsidRPr="00511005">
          <w:rPr>
            <w:rFonts w:ascii="Arial" w:eastAsia="Calibri" w:hAnsi="Arial" w:cs="Arial"/>
            <w:szCs w:val="28"/>
          </w:rPr>
          <w:t>/</w:t>
        </w:r>
        <w:r w:rsidRPr="00511005">
          <w:rPr>
            <w:rFonts w:ascii="Arial" w:eastAsia="Calibri" w:hAnsi="Arial" w:cs="Arial"/>
            <w:szCs w:val="28"/>
            <w:lang w:val="en-US"/>
          </w:rPr>
          <w:t>ukr</w:t>
        </w:r>
        <w:r w:rsidRPr="00511005">
          <w:rPr>
            <w:rFonts w:ascii="Arial" w:eastAsia="Calibri" w:hAnsi="Arial" w:cs="Arial"/>
            <w:szCs w:val="28"/>
          </w:rPr>
          <w:t>/2018_4/4.</w:t>
        </w:r>
        <w:r w:rsidRPr="00511005">
          <w:rPr>
            <w:rFonts w:ascii="Arial" w:eastAsia="Calibri" w:hAnsi="Arial" w:cs="Arial"/>
            <w:szCs w:val="28"/>
            <w:lang w:val="en-US"/>
          </w:rPr>
          <w:t>pdf</w:t>
        </w:r>
      </w:hyperlink>
    </w:p>
    <w:p w14:paraId="40F94D01" w14:textId="7C2BE633"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lastRenderedPageBreak/>
        <w:t xml:space="preserve">3. Конституція України : прийнята на п’ятій сесії Верховної Ради України 28.06.1996 р. </w:t>
      </w:r>
      <w:r w:rsidRPr="00511005">
        <w:rPr>
          <w:rFonts w:ascii="Arial" w:eastAsia="Calibri" w:hAnsi="Arial" w:cs="Arial"/>
          <w:szCs w:val="28"/>
          <w:lang w:val="en-US"/>
        </w:rPr>
        <w:t>URL</w:t>
      </w:r>
      <w:r w:rsidRPr="00511005">
        <w:rPr>
          <w:rFonts w:ascii="Arial" w:eastAsia="Calibri" w:hAnsi="Arial" w:cs="Arial"/>
          <w:szCs w:val="28"/>
        </w:rPr>
        <w:t>:</w:t>
      </w:r>
      <w:r w:rsidR="007B2628" w:rsidRPr="00511005">
        <w:rPr>
          <w:rFonts w:ascii="Arial" w:eastAsia="Calibri" w:hAnsi="Arial" w:cs="Arial"/>
          <w:szCs w:val="28"/>
        </w:rPr>
        <w:t xml:space="preserve"> </w:t>
      </w:r>
      <w:hyperlink r:id="rId910" w:anchor="Text"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zakon</w:t>
        </w:r>
        <w:r w:rsidRPr="00511005">
          <w:rPr>
            <w:rFonts w:ascii="Arial" w:eastAsia="Calibri" w:hAnsi="Arial" w:cs="Arial"/>
            <w:szCs w:val="28"/>
          </w:rPr>
          <w:t>.</w:t>
        </w:r>
        <w:r w:rsidRPr="00511005">
          <w:rPr>
            <w:rFonts w:ascii="Arial" w:eastAsia="Calibri" w:hAnsi="Arial" w:cs="Arial"/>
            <w:szCs w:val="28"/>
            <w:lang w:val="en-US"/>
          </w:rPr>
          <w:t>rada</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laws</w:t>
        </w:r>
        <w:r w:rsidRPr="00511005">
          <w:rPr>
            <w:rFonts w:ascii="Arial" w:eastAsia="Calibri" w:hAnsi="Arial" w:cs="Arial"/>
            <w:szCs w:val="28"/>
          </w:rPr>
          <w:t>/</w:t>
        </w:r>
        <w:r w:rsidRPr="00511005">
          <w:rPr>
            <w:rFonts w:ascii="Arial" w:eastAsia="Calibri" w:hAnsi="Arial" w:cs="Arial"/>
            <w:szCs w:val="28"/>
            <w:lang w:val="en-US"/>
          </w:rPr>
          <w:t>show</w:t>
        </w:r>
        <w:r w:rsidRPr="00511005">
          <w:rPr>
            <w:rFonts w:ascii="Arial" w:eastAsia="Calibri" w:hAnsi="Arial" w:cs="Arial"/>
            <w:szCs w:val="28"/>
          </w:rPr>
          <w:t>/254к/96-вр#</w:t>
        </w:r>
        <w:r w:rsidRPr="00511005">
          <w:rPr>
            <w:rFonts w:ascii="Arial" w:eastAsia="Calibri" w:hAnsi="Arial" w:cs="Arial"/>
            <w:szCs w:val="28"/>
            <w:lang w:val="en-US"/>
          </w:rPr>
          <w:t>Text</w:t>
        </w:r>
      </w:hyperlink>
    </w:p>
    <w:p w14:paraId="370BE9FE"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 xml:space="preserve">4. Бюджетний кодекс України від 08.07.2010. № </w:t>
      </w:r>
      <w:r w:rsidRPr="00511005">
        <w:rPr>
          <w:rFonts w:ascii="Arial" w:eastAsia="Calibri" w:hAnsi="Arial" w:cs="Arial"/>
          <w:b/>
          <w:bCs/>
          <w:szCs w:val="28"/>
        </w:rPr>
        <w:t>2456-</w:t>
      </w:r>
      <w:r w:rsidRPr="00511005">
        <w:rPr>
          <w:rFonts w:ascii="Arial" w:eastAsia="Calibri" w:hAnsi="Arial" w:cs="Arial"/>
          <w:b/>
          <w:bCs/>
          <w:szCs w:val="28"/>
          <w:lang w:val="en-US"/>
        </w:rPr>
        <w:t>VI</w:t>
      </w:r>
      <w:r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hyperlink r:id="rId911" w:anchor="Text"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zakon</w:t>
        </w:r>
        <w:r w:rsidRPr="00511005">
          <w:rPr>
            <w:rFonts w:ascii="Arial" w:eastAsia="Calibri" w:hAnsi="Arial" w:cs="Arial"/>
            <w:szCs w:val="28"/>
          </w:rPr>
          <w:t>.</w:t>
        </w:r>
        <w:r w:rsidRPr="00511005">
          <w:rPr>
            <w:rFonts w:ascii="Arial" w:eastAsia="Calibri" w:hAnsi="Arial" w:cs="Arial"/>
            <w:szCs w:val="28"/>
            <w:lang w:val="en-US"/>
          </w:rPr>
          <w:t>rada</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laws</w:t>
        </w:r>
        <w:r w:rsidRPr="00511005">
          <w:rPr>
            <w:rFonts w:ascii="Arial" w:eastAsia="Calibri" w:hAnsi="Arial" w:cs="Arial"/>
            <w:szCs w:val="28"/>
          </w:rPr>
          <w:t>/</w:t>
        </w:r>
        <w:r w:rsidRPr="00511005">
          <w:rPr>
            <w:rFonts w:ascii="Arial" w:eastAsia="Calibri" w:hAnsi="Arial" w:cs="Arial"/>
            <w:szCs w:val="28"/>
            <w:lang w:val="en-US"/>
          </w:rPr>
          <w:t>show</w:t>
        </w:r>
        <w:r w:rsidRPr="00511005">
          <w:rPr>
            <w:rFonts w:ascii="Arial" w:eastAsia="Calibri" w:hAnsi="Arial" w:cs="Arial"/>
            <w:szCs w:val="28"/>
          </w:rPr>
          <w:t>/2456-17#</w:t>
        </w:r>
        <w:r w:rsidRPr="00511005">
          <w:rPr>
            <w:rFonts w:ascii="Arial" w:eastAsia="Calibri" w:hAnsi="Arial" w:cs="Arial"/>
            <w:szCs w:val="28"/>
            <w:lang w:val="en-US"/>
          </w:rPr>
          <w:t>Text</w:t>
        </w:r>
      </w:hyperlink>
      <w:r w:rsidRPr="00511005">
        <w:rPr>
          <w:rFonts w:ascii="Arial" w:eastAsia="Calibri" w:hAnsi="Arial" w:cs="Arial"/>
          <w:szCs w:val="28"/>
          <w:lang w:val="uk-UA"/>
        </w:rPr>
        <w:t>.</w:t>
      </w:r>
    </w:p>
    <w:p w14:paraId="5F1C8BD0" w14:textId="77777777" w:rsidR="00B67481" w:rsidRPr="00511005" w:rsidRDefault="00B67481" w:rsidP="003A292D">
      <w:pPr>
        <w:spacing w:line="264" w:lineRule="auto"/>
        <w:rPr>
          <w:rFonts w:ascii="Arial" w:eastAsia="Calibri" w:hAnsi="Arial" w:cs="Arial"/>
          <w:szCs w:val="28"/>
          <w:lang w:val="uk-UA"/>
        </w:rPr>
      </w:pPr>
    </w:p>
    <w:p w14:paraId="652CA2E5" w14:textId="401B192F"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B67481" w:rsidRPr="00511005">
        <w:rPr>
          <w:rFonts w:ascii="Arial" w:eastAsia="Calibri" w:hAnsi="Arial" w:cs="Arial"/>
          <w:szCs w:val="28"/>
          <w:lang w:val="uk-UA"/>
        </w:rPr>
        <w:t>публічне управління, публічне адміністрування, федеральний уряд, регіональні органи управління, місцеве самоврядування.</w:t>
      </w:r>
    </w:p>
    <w:p w14:paraId="7C722073" w14:textId="3CD4A338" w:rsidR="00B67481"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B67481" w:rsidRPr="00511005">
        <w:rPr>
          <w:rFonts w:ascii="Arial" w:eastAsia="Calibri" w:hAnsi="Arial" w:cs="Arial"/>
          <w:szCs w:val="28"/>
          <w:lang w:val="en-US"/>
        </w:rPr>
        <w:t>public management, public administration, federal government, regional governments, local self-government.</w:t>
      </w:r>
    </w:p>
    <w:p w14:paraId="4153E63F" w14:textId="4C0ABA4D" w:rsidR="00B67481" w:rsidRPr="00511005" w:rsidRDefault="007B2628" w:rsidP="003A292D">
      <w:pPr>
        <w:spacing w:line="264" w:lineRule="auto"/>
        <w:rPr>
          <w:rFonts w:ascii="Arial" w:eastAsia="Calibri" w:hAnsi="Arial" w:cs="Arial"/>
          <w:szCs w:val="28"/>
        </w:rPr>
      </w:pPr>
      <w:r w:rsidRPr="00511005">
        <w:rPr>
          <w:rFonts w:ascii="Arial" w:eastAsia="Calibri" w:hAnsi="Arial" w:cs="Arial"/>
          <w:b/>
          <w:i/>
          <w:szCs w:val="28"/>
        </w:rPr>
        <w:t xml:space="preserve">Науковий керівник: </w:t>
      </w:r>
      <w:r w:rsidR="00B67481" w:rsidRPr="00511005">
        <w:rPr>
          <w:rFonts w:ascii="Arial" w:eastAsia="Calibri" w:hAnsi="Arial" w:cs="Arial"/>
          <w:i/>
          <w:szCs w:val="28"/>
        </w:rPr>
        <w:t>к.ю.н., доцент Корнута Л.М.</w:t>
      </w:r>
    </w:p>
    <w:p w14:paraId="403583FA" w14:textId="77777777" w:rsidR="001D1A08" w:rsidRPr="00511005" w:rsidRDefault="001D1A08" w:rsidP="003A292D">
      <w:pPr>
        <w:spacing w:line="264" w:lineRule="auto"/>
        <w:ind w:firstLine="0"/>
        <w:jc w:val="left"/>
        <w:rPr>
          <w:rFonts w:ascii="Arial" w:eastAsia="Calibri" w:hAnsi="Arial" w:cs="Arial"/>
          <w:bCs/>
          <w:szCs w:val="28"/>
          <w:lang w:bidi="uk-UA"/>
        </w:rPr>
      </w:pPr>
    </w:p>
    <w:p w14:paraId="1CF3F0F9" w14:textId="77777777" w:rsidR="001D1A08" w:rsidRPr="00511005" w:rsidRDefault="001D1A08" w:rsidP="003A292D">
      <w:pPr>
        <w:spacing w:line="264" w:lineRule="auto"/>
        <w:ind w:firstLine="0"/>
        <w:jc w:val="left"/>
        <w:rPr>
          <w:rFonts w:ascii="Arial" w:eastAsia="Calibri" w:hAnsi="Arial" w:cs="Arial"/>
          <w:bCs/>
          <w:szCs w:val="28"/>
          <w:lang w:bidi="uk-UA"/>
        </w:rPr>
      </w:pPr>
    </w:p>
    <w:p w14:paraId="15083EF9" w14:textId="77777777" w:rsidR="00B67481" w:rsidRPr="00511005" w:rsidRDefault="00B67481" w:rsidP="003A292D">
      <w:pPr>
        <w:tabs>
          <w:tab w:val="left" w:pos="7088"/>
        </w:tabs>
        <w:spacing w:line="264" w:lineRule="auto"/>
        <w:ind w:firstLine="0"/>
        <w:jc w:val="center"/>
        <w:rPr>
          <w:rFonts w:ascii="Arial" w:eastAsia="Calibri" w:hAnsi="Arial" w:cs="Arial"/>
          <w:b/>
          <w:bCs/>
          <w:i/>
          <w:iCs/>
          <w:szCs w:val="28"/>
          <w:lang w:val="uk-UA" w:bidi="uk-UA"/>
        </w:rPr>
      </w:pPr>
      <w:r w:rsidRPr="00511005">
        <w:rPr>
          <w:rFonts w:ascii="Arial" w:eastAsia="Calibri" w:hAnsi="Arial" w:cs="Arial"/>
          <w:b/>
          <w:bCs/>
          <w:i/>
          <w:iCs/>
          <w:szCs w:val="28"/>
          <w:lang w:val="uk-UA" w:bidi="uk-UA"/>
        </w:rPr>
        <w:t>Вініченко Юлія Дмитрівна</w:t>
      </w:r>
    </w:p>
    <w:p w14:paraId="3459DE7E" w14:textId="4A3FFBCD"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76B95AF1"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FE2C138"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BDEBE8E" w14:textId="77777777" w:rsidR="00B67481" w:rsidRPr="00511005" w:rsidRDefault="00B67481" w:rsidP="003A292D">
      <w:pPr>
        <w:tabs>
          <w:tab w:val="left" w:pos="7088"/>
        </w:tabs>
        <w:spacing w:line="264" w:lineRule="auto"/>
        <w:ind w:firstLine="0"/>
        <w:jc w:val="center"/>
        <w:rPr>
          <w:rFonts w:ascii="Arial" w:eastAsia="Calibri" w:hAnsi="Arial" w:cs="Arial"/>
          <w:bCs/>
          <w:szCs w:val="28"/>
          <w:lang w:val="uk-UA" w:bidi="uk-UA"/>
        </w:rPr>
      </w:pPr>
    </w:p>
    <w:p w14:paraId="5B4148EB" w14:textId="77777777" w:rsidR="00B67481" w:rsidRPr="00511005" w:rsidRDefault="00B67481" w:rsidP="003A292D">
      <w:pPr>
        <w:tabs>
          <w:tab w:val="left" w:pos="7088"/>
        </w:tabs>
        <w:spacing w:line="264" w:lineRule="auto"/>
        <w:ind w:firstLine="0"/>
        <w:jc w:val="center"/>
        <w:rPr>
          <w:rFonts w:ascii="Arial" w:eastAsia="Calibri" w:hAnsi="Arial" w:cs="Arial"/>
          <w:b/>
          <w:szCs w:val="28"/>
          <w:lang w:bidi="uk-UA"/>
        </w:rPr>
      </w:pPr>
      <w:r w:rsidRPr="00511005">
        <w:rPr>
          <w:rFonts w:ascii="Arial" w:eastAsia="Calibri" w:hAnsi="Arial" w:cs="Arial"/>
          <w:b/>
          <w:szCs w:val="28"/>
          <w:lang w:bidi="uk-UA"/>
        </w:rPr>
        <w:t>СУБ’ЄКТИ АДМІНІСТРАТИВНИХ ДЕЛІКТНИХ ВІДНОСИН ЗА ПРАВОПОРУШЕННЯ, ПОВ’ЯЗАНІ З НЕВИКОНАННЯМ ЗАКОННОГО РОЗПОРЯДЖЕННЯ</w:t>
      </w:r>
    </w:p>
    <w:p w14:paraId="7297389C"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Адміністративні правопорушення становлять важливу частину правового механізму забезпечення порядку в суспільстві. Одним із найбільш розповсюджених видів таких порушень є невиконання законного розпорядження або вимоги посадової особи, що має повноваження діяти від імені держави. Ці правопорушення прямо пов’язані із недотриманням приписів, спрямованих на підтримання громадського порядку, забезпечення безпеки, охорону здоров’я та реалізацію інших функцій державного управління. Центральною категорією в аналізі цих порушень є </w:t>
      </w:r>
      <w:r w:rsidRPr="00511005">
        <w:rPr>
          <w:rFonts w:ascii="Arial" w:eastAsia="Calibri" w:hAnsi="Arial" w:cs="Arial"/>
          <w:bCs/>
          <w:szCs w:val="28"/>
          <w:lang w:bidi="uk-UA"/>
        </w:rPr>
        <w:t>суб’єкти адміністративних деліктних відносин</w:t>
      </w:r>
      <w:r w:rsidRPr="00511005">
        <w:rPr>
          <w:rFonts w:ascii="Arial" w:eastAsia="Calibri" w:hAnsi="Arial" w:cs="Arial"/>
          <w:szCs w:val="28"/>
          <w:lang w:bidi="uk-UA"/>
        </w:rPr>
        <w:t>, з огляду на їх правовий статус, обсяг обов’язків і особливості притягнення до відповідальності.</w:t>
      </w:r>
    </w:p>
    <w:p w14:paraId="2E639F53"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Суб’єктами адміністративних деліктних відносин визнаються особи, які вчинили адміністративне правопорушення і можуть бути притягнені до адміністративної відповідальності у встановленому законом порядк</w:t>
      </w:r>
      <w:r w:rsidRPr="00511005">
        <w:rPr>
          <w:rFonts w:ascii="Arial" w:eastAsia="Calibri" w:hAnsi="Arial" w:cs="Arial"/>
          <w:szCs w:val="28"/>
          <w:lang w:val="en-US" w:bidi="uk-UA"/>
        </w:rPr>
        <w:t>y</w:t>
      </w:r>
      <w:r w:rsidRPr="00511005">
        <w:rPr>
          <w:rFonts w:ascii="Arial" w:eastAsia="Calibri" w:hAnsi="Arial" w:cs="Arial"/>
          <w:szCs w:val="28"/>
          <w:lang w:bidi="uk-UA"/>
        </w:rPr>
        <w:t>[1]</w:t>
      </w:r>
      <w:r w:rsidRPr="00511005">
        <w:rPr>
          <w:rFonts w:ascii="Arial" w:eastAsia="Calibri" w:hAnsi="Arial" w:cs="Arial"/>
          <w:szCs w:val="28"/>
          <w:lang w:val="uk-UA" w:bidi="uk-UA"/>
        </w:rPr>
        <w:t>. У контексті правопорушень, пов’язаних з невиконанням законного розпорядження або вимоги посадової особи (стаття 185 Кодексу України про адміністративні правопорушення), мова йде про індивідів, які умисно або з необережності не виконали розпорядження, що було законним і обов’язковим до виконання.</w:t>
      </w:r>
    </w:p>
    <w:p w14:paraId="3EE4074C"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До таких вимог належать, зокрема: вказівки поліцейських щодо забезпечення громадського порядку, розпорядження працівників </w:t>
      </w:r>
      <w:r w:rsidRPr="00511005">
        <w:rPr>
          <w:rFonts w:ascii="Arial" w:eastAsia="Calibri" w:hAnsi="Arial" w:cs="Arial"/>
          <w:szCs w:val="28"/>
          <w:lang w:val="uk-UA" w:bidi="uk-UA"/>
        </w:rPr>
        <w:lastRenderedPageBreak/>
        <w:t>прикордонної служби, органів ДСНС, митних органів тощо. Важливо зазначити, що розпорядження має бути не лише виданим посадовою особою, але й відповідати її компетенції та чинному законодавству.</w:t>
      </w:r>
    </w:p>
    <w:p w14:paraId="4CF8C7C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Класифікація суб’єктів адміністративної відповідальності за невиконання законного розпорядження може здійснюватися за кількома критеріями. Зокрема, за віковим критерієм такими суб’єктами визнаються фізичні особи, які досягли шістнадцятирічного віку, адже саме з цього віку в Україні настає адміністративна відповідальність за більшістю складів правопорушень.</w:t>
      </w:r>
    </w:p>
    <w:p w14:paraId="7F14D69C"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Враховуючи правовий статус, до відповідальності можуть бути притягнуті як звичайні громадяни, так і посадові особи, службовці, військовослужбовці. Окрему групу становлять особи з особливим правовим статусом – наприклад, народні депутати, журналісти або судді, щодо яких передбачені спеціальні гарантії або обмеження під час притягнення до відповідальності.</w:t>
      </w:r>
    </w:p>
    <w:p w14:paraId="5D7A1D2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Залежно від мотивів вчинення діяння, розрізняють умисні та необережні правопорушення. Як правило, правопорушення, що полягають у невиконанні розпорядження, мають умисний характер, коли особа свідомо ігнорує припис, виданий посадовою особою</w:t>
      </w:r>
      <w:r w:rsidRPr="00511005">
        <w:rPr>
          <w:rFonts w:ascii="Arial" w:eastAsia="Calibri" w:hAnsi="Arial" w:cs="Arial"/>
          <w:szCs w:val="28"/>
          <w:lang w:bidi="uk-UA"/>
        </w:rPr>
        <w:t xml:space="preserve">[2, </w:t>
      </w:r>
      <w:r w:rsidRPr="00511005">
        <w:rPr>
          <w:rFonts w:ascii="Arial" w:eastAsia="Calibri" w:hAnsi="Arial" w:cs="Arial"/>
          <w:szCs w:val="28"/>
          <w:lang w:val="en-US" w:bidi="uk-UA"/>
        </w:rPr>
        <w:t>c</w:t>
      </w:r>
      <w:r w:rsidRPr="00511005">
        <w:rPr>
          <w:rFonts w:ascii="Arial" w:eastAsia="Calibri" w:hAnsi="Arial" w:cs="Arial"/>
          <w:szCs w:val="28"/>
          <w:lang w:bidi="uk-UA"/>
        </w:rPr>
        <w:t>.71]</w:t>
      </w:r>
      <w:r w:rsidRPr="00511005">
        <w:rPr>
          <w:rFonts w:ascii="Arial" w:eastAsia="Calibri" w:hAnsi="Arial" w:cs="Arial"/>
          <w:szCs w:val="28"/>
          <w:lang w:val="uk-UA" w:bidi="uk-UA"/>
        </w:rPr>
        <w:t>.</w:t>
      </w:r>
    </w:p>
    <w:p w14:paraId="30BD2C0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Форма реалізації порушення також відіграє роль: воно може виражатися як в активних діях (наприклад, пряме відмовлення виконати вимогу), так і в пасивній поведінці (ігнорування, зволікання або ухилення). Окрім того, у контексті правового регулювання розрізняють загальних і спеціальних суб’єктів. До спеціальних належать, зокрема, водії, підприємці, службовці, учасники мітингів або масових заходів, щодо яких діють додаткові правила поведінки та підвищені вимоги дотримання розпоряджень посадових осіб.</w:t>
      </w:r>
    </w:p>
    <w:p w14:paraId="644EA743"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Особливості таких суб’єктів полягають у специфіці правовідносин, у яких вони перебувають під час вчинення адміністративного правопорушення. У таких випадках особа, що не виконує розпорядження, фактично чинить опір реалізації владних повноважень, що загрожує публічній безпеці або порядку.</w:t>
      </w:r>
    </w:p>
    <w:p w14:paraId="3873A150"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Поведінка цих суб’єктів зазвичай тісно пов’язана з оцінкою ними легітимності або доцільності вказівок посадових осіб, що часто викликає </w:t>
      </w:r>
      <w:r w:rsidRPr="00511005">
        <w:rPr>
          <w:rFonts w:ascii="Arial" w:eastAsia="Calibri" w:hAnsi="Arial" w:cs="Arial"/>
          <w:bCs/>
          <w:szCs w:val="28"/>
          <w:lang w:val="uk-UA" w:bidi="uk-UA"/>
        </w:rPr>
        <w:t>конфлікт владних повноважень і особистих переконань громадянина</w:t>
      </w:r>
      <w:r w:rsidRPr="00511005">
        <w:rPr>
          <w:rFonts w:ascii="Arial" w:eastAsia="Calibri" w:hAnsi="Arial" w:cs="Arial"/>
          <w:szCs w:val="28"/>
          <w:lang w:val="uk-UA" w:bidi="uk-UA"/>
        </w:rPr>
        <w:t xml:space="preserve">. Водночас юридичною презумпцією є </w:t>
      </w:r>
      <w:r w:rsidRPr="00511005">
        <w:rPr>
          <w:rFonts w:ascii="Arial" w:eastAsia="Calibri" w:hAnsi="Arial" w:cs="Arial"/>
          <w:bCs/>
          <w:szCs w:val="28"/>
          <w:lang w:val="uk-UA" w:bidi="uk-UA"/>
        </w:rPr>
        <w:t>обов’язок виконувати законну вимогу</w:t>
      </w:r>
      <w:r w:rsidRPr="00511005">
        <w:rPr>
          <w:rFonts w:ascii="Arial" w:eastAsia="Calibri" w:hAnsi="Arial" w:cs="Arial"/>
          <w:szCs w:val="28"/>
          <w:lang w:val="uk-UA" w:bidi="uk-UA"/>
        </w:rPr>
        <w:t xml:space="preserve">, навіть якщо вона здається незручною або суперечить внутрішнім переконанням [3, </w:t>
      </w:r>
      <w:r w:rsidRPr="00511005">
        <w:rPr>
          <w:rFonts w:ascii="Arial" w:eastAsia="Calibri" w:hAnsi="Arial" w:cs="Arial"/>
          <w:szCs w:val="28"/>
          <w:lang w:val="en-US" w:bidi="uk-UA"/>
        </w:rPr>
        <w:t>c</w:t>
      </w:r>
      <w:r w:rsidRPr="00511005">
        <w:rPr>
          <w:rFonts w:ascii="Arial" w:eastAsia="Calibri" w:hAnsi="Arial" w:cs="Arial"/>
          <w:szCs w:val="28"/>
          <w:lang w:val="uk-UA" w:bidi="uk-UA"/>
        </w:rPr>
        <w:t>.96].</w:t>
      </w:r>
    </w:p>
    <w:p w14:paraId="47004A1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Ще однією особливістю є можливість застосування </w:t>
      </w:r>
      <w:r w:rsidRPr="00511005">
        <w:rPr>
          <w:rFonts w:ascii="Arial" w:eastAsia="Calibri" w:hAnsi="Arial" w:cs="Arial"/>
          <w:bCs/>
          <w:szCs w:val="28"/>
          <w:lang w:val="uk-UA" w:bidi="uk-UA"/>
        </w:rPr>
        <w:t>адміністративного стягнення не лише у формі штрафу</w:t>
      </w:r>
      <w:r w:rsidRPr="00511005">
        <w:rPr>
          <w:rFonts w:ascii="Arial" w:eastAsia="Calibri" w:hAnsi="Arial" w:cs="Arial"/>
          <w:szCs w:val="28"/>
          <w:lang w:val="uk-UA" w:bidi="uk-UA"/>
        </w:rPr>
        <w:t xml:space="preserve">, а й </w:t>
      </w:r>
      <w:r w:rsidRPr="00511005">
        <w:rPr>
          <w:rFonts w:ascii="Arial" w:eastAsia="Calibri" w:hAnsi="Arial" w:cs="Arial"/>
          <w:bCs/>
          <w:szCs w:val="28"/>
          <w:lang w:val="uk-UA" w:bidi="uk-UA"/>
        </w:rPr>
        <w:t>адміністративного арешту</w:t>
      </w:r>
      <w:r w:rsidRPr="00511005">
        <w:rPr>
          <w:rFonts w:ascii="Arial" w:eastAsia="Calibri" w:hAnsi="Arial" w:cs="Arial"/>
          <w:szCs w:val="28"/>
          <w:lang w:val="uk-UA" w:bidi="uk-UA"/>
        </w:rPr>
        <w:t xml:space="preserve"> або навіть </w:t>
      </w:r>
      <w:r w:rsidRPr="00511005">
        <w:rPr>
          <w:rFonts w:ascii="Arial" w:eastAsia="Calibri" w:hAnsi="Arial" w:cs="Arial"/>
          <w:bCs/>
          <w:szCs w:val="28"/>
          <w:lang w:val="uk-UA" w:bidi="uk-UA"/>
        </w:rPr>
        <w:t>громадських робіт</w:t>
      </w:r>
      <w:r w:rsidRPr="00511005">
        <w:rPr>
          <w:rFonts w:ascii="Arial" w:eastAsia="Calibri" w:hAnsi="Arial" w:cs="Arial"/>
          <w:szCs w:val="28"/>
          <w:lang w:val="uk-UA" w:bidi="uk-UA"/>
        </w:rPr>
        <w:t>, що свідчить про високий рівень суспільної небезпеки таких діянь.</w:t>
      </w:r>
    </w:p>
    <w:p w14:paraId="71270787"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lastRenderedPageBreak/>
        <w:t xml:space="preserve">Отже, суб’єкти адміністративних правовідносин, пов’язаних із невиконанням законного розпорядження, є важливою складовою у механізмі реалізації публічної влади та охорони суспільного порядку. </w:t>
      </w:r>
      <w:r w:rsidRPr="00511005">
        <w:rPr>
          <w:rFonts w:ascii="Arial" w:eastAsia="Calibri" w:hAnsi="Arial" w:cs="Arial"/>
          <w:szCs w:val="28"/>
          <w:lang w:bidi="uk-UA"/>
        </w:rPr>
        <w:t>Їх класифікація дозволяє ефективно застосовувати норми права з урахуванням віку, статусу, наміру та обставин порушення. Особливості таких суб’єктів вимагають особливої уваги з боку законодавця й правозастосувача, з огляду на необхідність балансу між повагою до особистих прав та безумовним дотриманням вимог законності. Удосконалення правового регулювання у цій сфері є важливою передумовою для формування ефективної системи адміністративного правосуддя.</w:t>
      </w:r>
    </w:p>
    <w:p w14:paraId="0158C892" w14:textId="77777777" w:rsidR="00B67481" w:rsidRPr="00511005" w:rsidRDefault="00B67481" w:rsidP="003A292D">
      <w:pPr>
        <w:tabs>
          <w:tab w:val="left" w:pos="7088"/>
        </w:tabs>
        <w:spacing w:line="264" w:lineRule="auto"/>
        <w:rPr>
          <w:rFonts w:ascii="Arial" w:eastAsia="Calibri" w:hAnsi="Arial" w:cs="Arial"/>
          <w:szCs w:val="28"/>
          <w:lang w:val="uk-UA" w:bidi="uk-UA"/>
        </w:rPr>
      </w:pPr>
    </w:p>
    <w:p w14:paraId="46134CB3" w14:textId="77777777" w:rsidR="00B67481" w:rsidRPr="00511005" w:rsidRDefault="00B67481" w:rsidP="003A292D">
      <w:pPr>
        <w:tabs>
          <w:tab w:val="left" w:pos="7088"/>
        </w:tabs>
        <w:spacing w:line="264" w:lineRule="auto"/>
        <w:jc w:val="center"/>
        <w:rPr>
          <w:rFonts w:ascii="Arial" w:eastAsia="Calibri" w:hAnsi="Arial" w:cs="Arial"/>
          <w:b/>
          <w:szCs w:val="28"/>
          <w:lang w:val="uk-UA" w:bidi="uk-UA"/>
        </w:rPr>
      </w:pPr>
      <w:r w:rsidRPr="00511005">
        <w:rPr>
          <w:rFonts w:ascii="Arial" w:eastAsia="Calibri" w:hAnsi="Arial" w:cs="Arial"/>
          <w:b/>
          <w:szCs w:val="28"/>
          <w:lang w:val="en-US" w:bidi="uk-UA"/>
        </w:rPr>
        <w:t>C</w:t>
      </w:r>
      <w:r w:rsidRPr="00511005">
        <w:rPr>
          <w:rFonts w:ascii="Arial" w:eastAsia="Calibri" w:hAnsi="Arial" w:cs="Arial"/>
          <w:b/>
          <w:szCs w:val="28"/>
          <w:lang w:val="uk-UA" w:bidi="uk-UA"/>
        </w:rPr>
        <w:t>писок використаних джерел</w:t>
      </w:r>
    </w:p>
    <w:p w14:paraId="6D7249B0" w14:textId="77777777" w:rsidR="00B67481" w:rsidRPr="00511005" w:rsidRDefault="00B67481" w:rsidP="003F6A5D">
      <w:pPr>
        <w:widowControl w:val="0"/>
        <w:numPr>
          <w:ilvl w:val="0"/>
          <w:numId w:val="234"/>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eastAsia="ru-RU" w:bidi="uk-UA"/>
        </w:rPr>
        <w:t xml:space="preserve">Кодекс України про адміністративні правопорушення. – </w:t>
      </w:r>
      <w:hyperlink r:id="rId912" w:history="1">
        <w:r w:rsidRPr="00511005">
          <w:rPr>
            <w:rFonts w:ascii="Arial" w:eastAsia="Times New Roman" w:hAnsi="Arial" w:cs="Arial"/>
            <w:szCs w:val="28"/>
            <w:lang w:val="en-US" w:eastAsia="ru-RU" w:bidi="uk-UA"/>
          </w:rPr>
          <w:t>URL</w:t>
        </w:r>
        <w:r w:rsidRPr="00511005">
          <w:rPr>
            <w:rFonts w:ascii="Arial" w:eastAsia="Times New Roman" w:hAnsi="Arial" w:cs="Arial"/>
            <w:szCs w:val="28"/>
            <w:lang w:eastAsia="ru-RU" w:bidi="uk-UA"/>
          </w:rPr>
          <w:t>:https://zakon.rada.gov.ua/laws/show/80731-10</w:t>
        </w:r>
      </w:hyperlink>
      <w:r w:rsidRPr="00511005">
        <w:rPr>
          <w:rFonts w:ascii="Arial" w:eastAsia="Times New Roman" w:hAnsi="Arial" w:cs="Arial"/>
          <w:bCs/>
          <w:szCs w:val="28"/>
          <w:lang w:val="uk-UA" w:eastAsia="ru-RU" w:bidi="uk-UA"/>
        </w:rPr>
        <w:t xml:space="preserve"> (дата звернення 08.04.2025 року)</w:t>
      </w:r>
    </w:p>
    <w:p w14:paraId="5481E85C" w14:textId="170F503C" w:rsidR="00B67481" w:rsidRPr="00511005" w:rsidRDefault="00B67481" w:rsidP="003F6A5D">
      <w:pPr>
        <w:widowControl w:val="0"/>
        <w:numPr>
          <w:ilvl w:val="0"/>
          <w:numId w:val="234"/>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eastAsia="ru-RU" w:bidi="uk-UA"/>
        </w:rPr>
        <w:t>Школьний О.І. Адміністративне право України: підручник.</w:t>
      </w:r>
      <w:r w:rsidR="007B2628" w:rsidRPr="00511005">
        <w:rPr>
          <w:rFonts w:ascii="Arial" w:eastAsia="Times New Roman" w:hAnsi="Arial" w:cs="Arial"/>
          <w:szCs w:val="28"/>
          <w:lang w:eastAsia="ru-RU" w:bidi="uk-UA"/>
        </w:rPr>
        <w:t xml:space="preserve"> </w:t>
      </w:r>
      <w:r w:rsidRPr="00511005">
        <w:rPr>
          <w:rFonts w:ascii="Arial" w:eastAsia="Times New Roman" w:hAnsi="Arial" w:cs="Arial"/>
          <w:szCs w:val="28"/>
          <w:lang w:eastAsia="ru-RU" w:bidi="uk-UA"/>
        </w:rPr>
        <w:t>К</w:t>
      </w:r>
      <w:r w:rsidRPr="00511005">
        <w:rPr>
          <w:rFonts w:ascii="Arial" w:eastAsia="Times New Roman" w:hAnsi="Arial" w:cs="Arial"/>
          <w:szCs w:val="28"/>
          <w:lang w:val="uk-UA" w:eastAsia="ru-RU" w:bidi="uk-UA"/>
        </w:rPr>
        <w:t>иїв</w:t>
      </w:r>
      <w:r w:rsidRPr="00511005">
        <w:rPr>
          <w:rFonts w:ascii="Arial" w:eastAsia="Times New Roman" w:hAnsi="Arial" w:cs="Arial"/>
          <w:szCs w:val="28"/>
          <w:lang w:eastAsia="ru-RU" w:bidi="uk-UA"/>
        </w:rPr>
        <w:t>: Центр учбової літератури, 2022.</w:t>
      </w:r>
      <w:r w:rsidR="007B2628" w:rsidRPr="00511005">
        <w:rPr>
          <w:rFonts w:ascii="Arial" w:eastAsia="Times New Roman" w:hAnsi="Arial" w:cs="Arial"/>
          <w:szCs w:val="28"/>
          <w:lang w:eastAsia="ru-RU" w:bidi="uk-UA"/>
        </w:rPr>
        <w:t xml:space="preserve"> </w:t>
      </w:r>
      <w:r w:rsidRPr="00511005">
        <w:rPr>
          <w:rFonts w:ascii="Arial" w:eastAsia="Times New Roman" w:hAnsi="Arial" w:cs="Arial"/>
          <w:szCs w:val="28"/>
          <w:lang w:eastAsia="ru-RU" w:bidi="uk-UA"/>
        </w:rPr>
        <w:t>432 с.</w:t>
      </w:r>
    </w:p>
    <w:p w14:paraId="16BC0257" w14:textId="77777777" w:rsidR="00B67481" w:rsidRPr="00511005" w:rsidRDefault="00B67481" w:rsidP="003F6A5D">
      <w:pPr>
        <w:widowControl w:val="0"/>
        <w:numPr>
          <w:ilvl w:val="0"/>
          <w:numId w:val="234"/>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eastAsia="ru-RU" w:bidi="uk-UA"/>
        </w:rPr>
        <w:t>Костик В.С. Адміністративна відповідальність за невиконання законного розпорядження або вимоги працівника поліції. Юридичний науковий електронний журнал. 2023. №2. С. 94–97.</w:t>
      </w:r>
    </w:p>
    <w:p w14:paraId="45B2932E" w14:textId="77777777" w:rsidR="00B67481" w:rsidRPr="00511005" w:rsidRDefault="00B67481" w:rsidP="003A292D">
      <w:pPr>
        <w:widowControl w:val="0"/>
        <w:tabs>
          <w:tab w:val="left" w:pos="993"/>
          <w:tab w:val="left" w:pos="7088"/>
        </w:tabs>
        <w:autoSpaceDE w:val="0"/>
        <w:autoSpaceDN w:val="0"/>
        <w:adjustRightInd w:val="0"/>
        <w:spacing w:line="264" w:lineRule="auto"/>
        <w:ind w:left="709" w:firstLine="0"/>
        <w:contextualSpacing/>
        <w:rPr>
          <w:rFonts w:ascii="Arial" w:eastAsia="Times New Roman" w:hAnsi="Arial" w:cs="Arial"/>
          <w:szCs w:val="28"/>
          <w:lang w:val="uk-UA" w:eastAsia="ru-RU" w:bidi="uk-UA"/>
        </w:rPr>
      </w:pPr>
    </w:p>
    <w:p w14:paraId="6EC521CD" w14:textId="602EB802" w:rsidR="00B67481" w:rsidRPr="00511005" w:rsidRDefault="007B2628" w:rsidP="003A292D">
      <w:pPr>
        <w:tabs>
          <w:tab w:val="left" w:pos="993"/>
          <w:tab w:val="left" w:pos="7088"/>
        </w:tabs>
        <w:spacing w:line="264" w:lineRule="auto"/>
        <w:rPr>
          <w:rFonts w:ascii="Arial" w:eastAsia="Calibri" w:hAnsi="Arial" w:cs="Arial"/>
          <w:szCs w:val="28"/>
          <w:lang w:val="uk-UA" w:bidi="uk-UA"/>
        </w:rPr>
      </w:pPr>
      <w:r w:rsidRPr="00511005">
        <w:rPr>
          <w:rFonts w:ascii="Arial" w:eastAsia="Calibri" w:hAnsi="Arial" w:cs="Arial"/>
          <w:b/>
          <w:bCs/>
          <w:i/>
          <w:szCs w:val="28"/>
          <w:lang w:val="uk-UA" w:bidi="uk-UA"/>
        </w:rPr>
        <w:t xml:space="preserve">Ключові слова: </w:t>
      </w:r>
      <w:r w:rsidR="00B67481" w:rsidRPr="00511005">
        <w:rPr>
          <w:rFonts w:ascii="Arial" w:eastAsia="Calibri" w:hAnsi="Arial" w:cs="Arial"/>
          <w:szCs w:val="28"/>
          <w:lang w:val="uk-UA" w:bidi="uk-UA"/>
        </w:rPr>
        <w:t>правопорушення, суб’єкти,</w:t>
      </w:r>
      <w:r w:rsidRPr="00511005">
        <w:rPr>
          <w:rFonts w:ascii="Arial" w:eastAsia="Calibri" w:hAnsi="Arial" w:cs="Arial"/>
          <w:szCs w:val="28"/>
          <w:lang w:val="uk-UA" w:bidi="uk-UA"/>
        </w:rPr>
        <w:t xml:space="preserve"> </w:t>
      </w:r>
      <w:r w:rsidR="00B67481" w:rsidRPr="00511005">
        <w:rPr>
          <w:rFonts w:ascii="Arial" w:eastAsia="Calibri" w:hAnsi="Arial" w:cs="Arial"/>
          <w:szCs w:val="28"/>
          <w:lang w:val="uk-UA" w:bidi="uk-UA"/>
        </w:rPr>
        <w:t>адміністративні правопорушення, розпорядження, адміністративна відповідальність, посадові особи.</w:t>
      </w:r>
    </w:p>
    <w:p w14:paraId="1BAEAA5D" w14:textId="7275FE55" w:rsidR="00B67481" w:rsidRPr="00511005" w:rsidRDefault="007B2628" w:rsidP="003A292D">
      <w:pPr>
        <w:tabs>
          <w:tab w:val="left" w:pos="993"/>
          <w:tab w:val="left" w:pos="7088"/>
        </w:tabs>
        <w:spacing w:line="264" w:lineRule="auto"/>
        <w:rPr>
          <w:rFonts w:ascii="Arial" w:eastAsia="Calibri" w:hAnsi="Arial" w:cs="Arial"/>
          <w:szCs w:val="28"/>
          <w:lang w:val="en-US" w:bidi="uk-UA"/>
        </w:rPr>
      </w:pPr>
      <w:r w:rsidRPr="00511005">
        <w:rPr>
          <w:rFonts w:ascii="Arial" w:eastAsia="Calibri" w:hAnsi="Arial" w:cs="Arial"/>
          <w:b/>
          <w:bCs/>
          <w:i/>
          <w:szCs w:val="28"/>
          <w:lang w:val="en-US" w:bidi="uk-UA"/>
        </w:rPr>
        <w:t xml:space="preserve">Key words: </w:t>
      </w:r>
      <w:r w:rsidR="00B67481" w:rsidRPr="00511005">
        <w:rPr>
          <w:rFonts w:ascii="Arial" w:eastAsia="Calibri" w:hAnsi="Arial" w:cs="Arial"/>
          <w:szCs w:val="28"/>
          <w:lang w:val="en-US" w:bidi="uk-UA"/>
        </w:rPr>
        <w:t>offenses, subjects, administrative offenses, orders, administrative liability, officials.</w:t>
      </w:r>
    </w:p>
    <w:p w14:paraId="16CA730D" w14:textId="76418C33" w:rsidR="00B67481" w:rsidRPr="00511005" w:rsidRDefault="007B2628" w:rsidP="003A292D">
      <w:pPr>
        <w:tabs>
          <w:tab w:val="left" w:pos="993"/>
          <w:tab w:val="left" w:pos="7088"/>
        </w:tabs>
        <w:spacing w:line="264" w:lineRule="auto"/>
        <w:rPr>
          <w:rFonts w:ascii="Arial" w:eastAsia="Calibri" w:hAnsi="Arial" w:cs="Arial"/>
          <w:i/>
          <w:iCs/>
          <w:szCs w:val="28"/>
          <w:lang w:val="uk-UA" w:bidi="uk-UA"/>
        </w:rPr>
      </w:pPr>
      <w:r w:rsidRPr="00511005">
        <w:rPr>
          <w:rFonts w:ascii="Arial" w:eastAsia="Calibri" w:hAnsi="Arial" w:cs="Arial"/>
          <w:b/>
          <w:i/>
          <w:iCs/>
          <w:szCs w:val="28"/>
          <w:lang w:val="uk-UA" w:bidi="uk-UA"/>
        </w:rPr>
        <w:t xml:space="preserve">Науковий керівник: </w:t>
      </w:r>
      <w:r w:rsidR="00B67481" w:rsidRPr="00511005">
        <w:rPr>
          <w:rFonts w:ascii="Arial" w:eastAsia="Calibri" w:hAnsi="Arial" w:cs="Arial"/>
          <w:i/>
          <w:iCs/>
          <w:szCs w:val="28"/>
          <w:lang w:val="uk-UA" w:bidi="uk-UA"/>
        </w:rPr>
        <w:t xml:space="preserve">к.ю.н.,, доцент </w:t>
      </w:r>
      <w:r w:rsidR="00B67481" w:rsidRPr="00511005">
        <w:rPr>
          <w:rFonts w:ascii="Arial" w:eastAsia="Calibri" w:hAnsi="Arial" w:cs="Arial"/>
          <w:i/>
          <w:iCs/>
          <w:szCs w:val="28"/>
          <w:lang w:bidi="uk-UA"/>
        </w:rPr>
        <w:t>Панфілов О</w:t>
      </w:r>
      <w:r w:rsidR="00B67481" w:rsidRPr="00511005">
        <w:rPr>
          <w:rFonts w:ascii="Arial" w:eastAsia="Calibri" w:hAnsi="Arial" w:cs="Arial"/>
          <w:i/>
          <w:iCs/>
          <w:szCs w:val="28"/>
          <w:lang w:val="uk-UA" w:bidi="uk-UA"/>
        </w:rPr>
        <w:t>. Є.</w:t>
      </w:r>
    </w:p>
    <w:p w14:paraId="6DD48B16" w14:textId="77777777" w:rsidR="001D1A08" w:rsidRPr="00511005" w:rsidRDefault="001D1A08" w:rsidP="003A292D">
      <w:pPr>
        <w:spacing w:line="264" w:lineRule="auto"/>
        <w:ind w:firstLine="0"/>
        <w:jc w:val="left"/>
        <w:rPr>
          <w:rFonts w:ascii="Arial" w:eastAsia="Calibri" w:hAnsi="Arial" w:cs="Arial"/>
          <w:i/>
          <w:iCs/>
          <w:szCs w:val="28"/>
          <w:lang w:val="uk-UA" w:bidi="uk-UA"/>
        </w:rPr>
      </w:pPr>
    </w:p>
    <w:p w14:paraId="3352B6BF" w14:textId="77777777" w:rsidR="001D1A08" w:rsidRPr="00511005" w:rsidRDefault="001D1A08" w:rsidP="003A292D">
      <w:pPr>
        <w:spacing w:line="264" w:lineRule="auto"/>
        <w:ind w:firstLine="0"/>
        <w:jc w:val="left"/>
        <w:rPr>
          <w:rFonts w:ascii="Arial" w:eastAsia="Calibri" w:hAnsi="Arial" w:cs="Arial"/>
          <w:i/>
          <w:iCs/>
          <w:szCs w:val="28"/>
          <w:lang w:val="uk-UA" w:bidi="uk-UA"/>
        </w:rPr>
      </w:pPr>
    </w:p>
    <w:p w14:paraId="4619A15C" w14:textId="77777777" w:rsidR="00B67481" w:rsidRPr="00511005" w:rsidRDefault="00B67481" w:rsidP="003A292D">
      <w:pPr>
        <w:spacing w:line="264" w:lineRule="auto"/>
        <w:ind w:firstLine="0"/>
        <w:jc w:val="center"/>
        <w:rPr>
          <w:rFonts w:ascii="Arial" w:eastAsia="Calibri" w:hAnsi="Arial" w:cs="Arial"/>
          <w:szCs w:val="28"/>
          <w:lang w:val="uk-UA"/>
        </w:rPr>
      </w:pPr>
      <w:r w:rsidRPr="00511005">
        <w:rPr>
          <w:rFonts w:ascii="Arial" w:eastAsia="Calibri" w:hAnsi="Arial" w:cs="Arial"/>
          <w:b/>
          <w:bCs/>
          <w:i/>
          <w:iCs/>
          <w:szCs w:val="28"/>
          <w:lang w:val="uk-UA"/>
        </w:rPr>
        <w:t>Голод Олена Василівна</w:t>
      </w:r>
    </w:p>
    <w:p w14:paraId="6050334B" w14:textId="0F3E80E7" w:rsidR="00B67481"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2-го курсу </w:t>
      </w:r>
      <w:r w:rsidR="001B7B25" w:rsidRPr="00511005">
        <w:rPr>
          <w:rFonts w:ascii="Arial" w:eastAsia="Calibri" w:hAnsi="Arial" w:cs="Arial"/>
          <w:szCs w:val="28"/>
          <w:lang w:val="uk-UA"/>
        </w:rPr>
        <w:t>факультету судового та міжнародного права</w:t>
      </w:r>
    </w:p>
    <w:p w14:paraId="7FCC9B29" w14:textId="60AD0E3F" w:rsidR="00B67481"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676968B5" w14:textId="77777777" w:rsidR="00B67481" w:rsidRPr="00511005" w:rsidRDefault="00B67481" w:rsidP="003A292D">
      <w:pPr>
        <w:spacing w:line="264" w:lineRule="auto"/>
        <w:ind w:firstLine="0"/>
        <w:jc w:val="left"/>
        <w:rPr>
          <w:rFonts w:ascii="Arial" w:eastAsia="Calibri" w:hAnsi="Arial" w:cs="Arial"/>
          <w:szCs w:val="28"/>
          <w:lang w:val="uk-UA"/>
        </w:rPr>
      </w:pPr>
    </w:p>
    <w:p w14:paraId="51E2C87C" w14:textId="77777777" w:rsidR="00B67481" w:rsidRPr="00511005" w:rsidRDefault="00B67481" w:rsidP="003A292D">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ОСОБЛИВОСТІ ПРАВОВОГО РЕГУЛЮВАННЯ ДОПОМОГИ МІЖНАРОДНИХ ФІНАНСОВИХ ОРГАНІЗАЦІЙ УКРАЇНІ В ПЕРІОД ВІЙНИ</w:t>
      </w:r>
    </w:p>
    <w:p w14:paraId="5C85E697" w14:textId="77777777" w:rsidR="007B2628" w:rsidRPr="00511005" w:rsidRDefault="00B67481"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 xml:space="preserve">З початком повномасштабного вторгнення в Україну, в лютому 2022 року питання міжнародної фінансової допомоги набула особливого значення. Війна спричинила глибоку кризу в економіці, значне падіння ВВП, руйнування інфраструктури, збільшення видатків на оборону та гуманітарні потреби. У цьому контексті міжнародна допомога стала ключовим чинником забезпечення макрофінансової стабільності держави. Залучення зовнішніх ресурсів від міжнародних фінансових організацій і урядів іноземних держав </w:t>
      </w:r>
      <w:r w:rsidRPr="00511005">
        <w:rPr>
          <w:rFonts w:ascii="Arial" w:eastAsia="Calibri" w:hAnsi="Arial" w:cs="Arial"/>
          <w:szCs w:val="28"/>
          <w:lang w:val="uk-UA"/>
        </w:rPr>
        <w:lastRenderedPageBreak/>
        <w:t xml:space="preserve">дало змогу Україні підтримувати функціонування базових сфер – охорони здоров’я, освіти, енергетики, соціального забезпечення, а також забезпечувати поточні бюджетні потреби. Правове регулювання цієї допомоги вимагає належного нормативного підґрунтя, яке включає як міжнародні договори, так і норми національного законодавства. І тому фінансове законодавство у період дії воєнного стану є надзвичайно динамічним. Це пов’язано насамперед із потребою встановлення у сфері публічної фінансової діяльності певних обмежень під час дії воєнного стану, їх посилення чи послаблення. В Україні нормативне регулювання базується на Конституції України, Бюджетному кодексі України та відповідних законодавчих актах. Фінансова система України отримує підтримку країн світу не тільки від прямих надходжень до бюджету, а також за рахунок фінансування біженців, тимчасово переміщених осіб, витрат на їх перевезення, утримання, працевлаштування тощо. </w:t>
      </w:r>
    </w:p>
    <w:p w14:paraId="1381D329" w14:textId="33D70FCC" w:rsidR="00B67481" w:rsidRPr="00511005" w:rsidRDefault="00B67481"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Бюджетний кодекс України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визначає джерела фінансування державного бюджету, зокрема зовнішні запозичення, гранти та іншу допомогу від іноземних держав, однак сам не регулює процедуру укладення чи ратифікації кредитних договорів [1]. Ці питання визначаються Законом України «Про міжнародні договори України», який встановлює порядок укладення, затвердження та виконання міжнародних угод, у тому числі щодо фінансової допомоги [2]. Водночас практика залучення зовнішньої фінансової допомоги в умовах війни вимагає оперативного прийняття рішень, тому Кабінет Міністрів України має повноваження щодо погодження умов кредитування без попереднього затвердження Верховною Радою України, якщо це передбачено законодавством про воєнний стан. Такий підхід дозволяє скоротити строки отримання допомоги, однак вимагає підвищеної відповідальності та прозорості на етапі виконання зобов’язань. Україна співпрацює з низкою міжнародних партнерів. Одним з основних є Міжнародний валютний фонд, який надає кредити на умовах програм фінансової стабілізації. </w:t>
      </w:r>
    </w:p>
    <w:p w14:paraId="768E9638" w14:textId="77777777" w:rsidR="00B67481" w:rsidRPr="00511005" w:rsidRDefault="00B67481"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Значна частина фінансування надходить від Європейського інвестиційного банку та Європейського банку реконструкції та розвитку, які підтримують інфраструктурні проєкти та програми модернізації енергетики. Важливим є також залучення коштів з боку Європейського Союзу, який надає макрофінансову допомогу у вигляді кредитів і грантів. У грудні 2024 року Україна та Європейський Союз уклали Угоду про впровадження Механізму кредитного співробітництва (Ukraine Loan Cooperation Mechanism, ULCM). Цей документ створює правову основу для залучення фінансової підтримки від ЄС, зокрема за рахунок доходів від заморожених активів рф [3].</w:t>
      </w:r>
    </w:p>
    <w:p w14:paraId="5725E9BD" w14:textId="77777777" w:rsidR="00B67481" w:rsidRPr="00511005" w:rsidRDefault="00B67481"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 xml:space="preserve">Правове регулювання міжнародної фінансової допомоги ґрунтується на двосторонніх угодах, меморандумах про взаєморозуміння, кредитних </w:t>
      </w:r>
      <w:r w:rsidRPr="00511005">
        <w:rPr>
          <w:rFonts w:ascii="Arial" w:eastAsia="Calibri" w:hAnsi="Arial" w:cs="Arial"/>
          <w:szCs w:val="28"/>
          <w:lang w:val="uk-UA"/>
        </w:rPr>
        <w:lastRenderedPageBreak/>
        <w:t>договорах, а також на внутрішньодержавних нормативно-правових актах. У період війни особливої гостроти набуває проблема оперативності прийняття рішень, забезпечення прозорості процесів, контролю за цільовим використанням коштів, та правового захисту інтересів як України, так і донорів.</w:t>
      </w:r>
    </w:p>
    <w:p w14:paraId="6484DA30" w14:textId="77777777" w:rsidR="00B67481" w:rsidRPr="00511005" w:rsidRDefault="00B67481" w:rsidP="003A292D">
      <w:pPr>
        <w:spacing w:line="264" w:lineRule="auto"/>
        <w:ind w:firstLine="360"/>
        <w:rPr>
          <w:rFonts w:ascii="Arial" w:eastAsia="Calibri" w:hAnsi="Arial" w:cs="Arial"/>
          <w:szCs w:val="28"/>
          <w:lang w:val="uk-UA"/>
        </w:rPr>
      </w:pPr>
      <w:r w:rsidRPr="00511005">
        <w:rPr>
          <w:rFonts w:ascii="Arial" w:eastAsia="Calibri" w:hAnsi="Arial" w:cs="Arial"/>
          <w:szCs w:val="28"/>
          <w:lang w:val="uk-UA"/>
        </w:rPr>
        <w:t>Для забезпечення прозорості, підзвітності та контролю за цільовим використанням наданої допомоги створено багаторівневу систему моніторингу. До неї залучені як українські органи (Державна казначейська служба України, Рахункова палата, Міністерство фінансів України), так і міжнародні організації. Однією з ключових вимог донорів є належна фінансова звітність, аудит та запобігання корупційним ризикам, тому в Україні впроваджуються цифрові рішення для обліку допомоги, створюються відкриті бази даних, розробляються нові електронні платформи для публічного доступу до інформації про отримання і використання зовнішніх коштів.</w:t>
      </w:r>
    </w:p>
    <w:p w14:paraId="57B35E2B" w14:textId="77777777" w:rsidR="00B67481" w:rsidRPr="00511005" w:rsidRDefault="00B67481"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Разом з тим існують і значні виклики. Це, зокрема, відсутність спеціального закону, який би уніфікував і кодифікував усі механізми залучення міжнародної фінансової допомоги. Діючі норми розкидані по різних законодавчих та підзаконних актах, що ускладнює правозастосування. Важливо забезпечити механізми контролю за використанням міжнародної допомоги, щоб уникнути корупційних ризиків і підвищити довіру населення. Наприклад, у рамках Програми відновлення України за підтримки ЄІБ, ряд громад заявили про труднощі в отриманні доступу до інформації про умови фінансування та невизначеність процедур подачі проєктних заявок. Це свідчить про необхідність створення чіткої нормативно-правової бази, яка б регламентувала участь органів місцевого самоврядування у процесі планування, реалізації та контролю за реалізацією проєктів, що фінансуються міжнародними донорами. В умовах воєнного стану існує ризик нецільового використання міжнародної допомоги через бюрократичні перепони та корупційні схеми. Це підриває ефективність допомоги та може негативно вплинути на міжнародну репутацію України. Наприклад, під час отримання та розподілу гуманітарної допомоги виникли суперечки, пов'язані з можливими корупційними діями, директор благодійного фонду «Повернись живим» заявив, що представники Вінницької та Дніпропетровської обласних військових адміністрацій вимагали від фонду «допомоги» у вигляді автомобілів за надання листів для пропуску гуманітарних вантажів через митний кордон України [4]. Цей інцидент викликав занепокоєння щодо прозорості та ефективності розподілу гуманітарної допомоги.</w:t>
      </w:r>
    </w:p>
    <w:p w14:paraId="173085B2" w14:textId="77777777" w:rsidR="00B67481" w:rsidRPr="00511005" w:rsidRDefault="00B67481"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 xml:space="preserve">Незважаючи на закріплену в Конституції України можливість застосування міжнародних договорів, на практиці інтеграція міжнародних стандартів у національне законодавство стикається з труднощами. Це </w:t>
      </w:r>
      <w:r w:rsidRPr="00511005">
        <w:rPr>
          <w:rFonts w:ascii="Arial" w:eastAsia="Calibri" w:hAnsi="Arial" w:cs="Arial"/>
          <w:szCs w:val="28"/>
          <w:lang w:val="uk-UA"/>
        </w:rPr>
        <w:lastRenderedPageBreak/>
        <w:t>обмежує ефективне використання міжнародної допомоги та ускладнює її контроль. В Україні відсутній спеціальний законодавчий акт, який би регулював процес імплементації міжнародних договорів у національне законодавство. Закон України «Про міжнародні договори України» визначає порядок укладання міжнародних договорів та надає Міністерству юстиції України повноваження на проведення правової експертизи щодо відповідності проєкту міжнародного договору Конституції та законам України. Однак цей закон не передбачає обов'язкової перевірки відповідності міжнародних договорів Конституції України до їх набрання чинності, що може призвести до укладання та ратифікації міжнародних договорів, які суперечать Основному Закону.</w:t>
      </w:r>
    </w:p>
    <w:p w14:paraId="3B85AA9F" w14:textId="77777777" w:rsidR="00B67481" w:rsidRPr="00511005" w:rsidRDefault="00B67481"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Як висновок, слід зазначити, міжнародна фінансова допомога відіграє ключову роль у підтримці України під час війни, однак її ефективне використання потребує вдосконалення правового регулювання. Існуюча нормативна база є фрагментарною, що ускладнює оперативність і контроль. Відсутність єдиного закону щодо залучення допомоги створює правові прогалини, а ризики корупції знижують довіру донорів. Необхідно посилити прозорість, підзвітність та створити чіткі правила взаємодії з міжнародними партнерами для забезпечення стабільного розвитку країни в умовах воєнного стану.</w:t>
      </w:r>
    </w:p>
    <w:p w14:paraId="11EF6F01" w14:textId="77777777" w:rsidR="00B67481" w:rsidRPr="00511005" w:rsidRDefault="00B67481" w:rsidP="003A292D">
      <w:pPr>
        <w:spacing w:line="264" w:lineRule="auto"/>
        <w:ind w:firstLine="0"/>
        <w:jc w:val="center"/>
        <w:rPr>
          <w:rFonts w:ascii="Arial" w:eastAsia="Calibri" w:hAnsi="Arial" w:cs="Arial"/>
          <w:b/>
          <w:bCs/>
          <w:szCs w:val="28"/>
          <w:lang w:val="uk-UA"/>
        </w:rPr>
      </w:pPr>
    </w:p>
    <w:p w14:paraId="298239A7" w14:textId="3C3A6836" w:rsidR="00B67481" w:rsidRPr="00511005" w:rsidRDefault="007B2628" w:rsidP="007B2628">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Список використаних джерел</w:t>
      </w:r>
    </w:p>
    <w:p w14:paraId="03EA8FAB"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1. Бюджетний кодекс України від 08.07.2010 № 2456-VI (Редакція від 16.01.2025 №.2456-VI) URL: </w:t>
      </w:r>
      <w:hyperlink r:id="rId913" w:history="1">
        <w:r w:rsidRPr="00511005">
          <w:rPr>
            <w:rFonts w:ascii="Arial" w:eastAsia="Calibri" w:hAnsi="Arial" w:cs="Arial"/>
            <w:szCs w:val="28"/>
            <w:lang w:val="uk-UA"/>
          </w:rPr>
          <w:t>https://zakon.rada.gov.ua/laws/show/2456-17</w:t>
        </w:r>
      </w:hyperlink>
      <w:r w:rsidRPr="00511005">
        <w:rPr>
          <w:rFonts w:ascii="Arial" w:eastAsia="Calibri" w:hAnsi="Arial" w:cs="Arial"/>
          <w:szCs w:val="28"/>
          <w:lang w:val="uk-UA"/>
        </w:rPr>
        <w:t xml:space="preserve"> (дата звернення 16.04.25)</w:t>
      </w:r>
    </w:p>
    <w:p w14:paraId="589637FC" w14:textId="07AC5C23"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2. Про міжнародні договори України: Закон України від 29.06.2004 № 1906-IV (Редакція від 15.03.2022 № 1906-IV) URL: </w:t>
      </w:r>
      <w:hyperlink r:id="rId914" w:anchor="Text" w:history="1">
        <w:r w:rsidRPr="00511005">
          <w:rPr>
            <w:rFonts w:ascii="Arial" w:eastAsia="Calibri" w:hAnsi="Arial" w:cs="Arial"/>
            <w:szCs w:val="28"/>
            <w:lang w:val="uk-UA"/>
          </w:rPr>
          <w:t>https://zakon.rada.gov.ua/laws/show/1906-15#Text</w:t>
        </w:r>
      </w:hyperlink>
      <w:r w:rsidR="007B2628" w:rsidRPr="00511005">
        <w:rPr>
          <w:rFonts w:ascii="Arial" w:eastAsia="Calibri" w:hAnsi="Arial" w:cs="Arial"/>
          <w:szCs w:val="28"/>
          <w:lang w:val="uk-UA"/>
        </w:rPr>
        <w:t xml:space="preserve"> </w:t>
      </w:r>
      <w:r w:rsidRPr="00511005">
        <w:rPr>
          <w:rFonts w:ascii="Arial" w:eastAsia="Calibri" w:hAnsi="Arial" w:cs="Arial"/>
          <w:szCs w:val="28"/>
          <w:lang w:val="uk-UA"/>
        </w:rPr>
        <w:t>(дата звернення 16.04.2025 р. )</w:t>
      </w:r>
    </w:p>
    <w:p w14:paraId="15EEA67A"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3. Про ратифікацію Угоди між Україною та Європейським Союзом про впровадження Механізму кредитного співробітництва: Закон України від 05.12.2024 р. № 4121-IX (Редакція від 05.12.2024 р. № 4121-IX) URL: </w:t>
      </w:r>
      <w:hyperlink r:id="rId915" w:anchor="n2" w:history="1">
        <w:r w:rsidRPr="00511005">
          <w:rPr>
            <w:rFonts w:ascii="Arial" w:eastAsia="Calibri" w:hAnsi="Arial" w:cs="Arial"/>
            <w:szCs w:val="28"/>
            <w:lang w:val="uk-UA"/>
          </w:rPr>
          <w:t>https://zakon.rada.gov.ua/laws/show/4121-20#n2</w:t>
        </w:r>
      </w:hyperlink>
      <w:r w:rsidRPr="00511005">
        <w:rPr>
          <w:rFonts w:ascii="Arial" w:eastAsia="Calibri" w:hAnsi="Arial" w:cs="Arial"/>
          <w:szCs w:val="28"/>
          <w:lang w:val="uk-UA"/>
        </w:rPr>
        <w:t xml:space="preserve"> (дата звернення 16.04.2025 р.)</w:t>
      </w:r>
    </w:p>
    <w:p w14:paraId="7F754752"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4. Красіков І. Що відомо про масштаби корупції на гуманітарній допомозі, що надходить в Україну? </w:t>
      </w:r>
      <w:r w:rsidRPr="00511005">
        <w:rPr>
          <w:rFonts w:ascii="Arial" w:eastAsia="Calibri" w:hAnsi="Arial" w:cs="Arial"/>
          <w:i/>
          <w:iCs/>
          <w:szCs w:val="28"/>
          <w:lang w:val="uk-UA"/>
        </w:rPr>
        <w:t>Espreso TV</w:t>
      </w:r>
      <w:r w:rsidRPr="00511005">
        <w:rPr>
          <w:rFonts w:ascii="Arial" w:eastAsia="Calibri" w:hAnsi="Arial" w:cs="Arial"/>
          <w:szCs w:val="28"/>
          <w:lang w:val="uk-UA"/>
        </w:rPr>
        <w:t xml:space="preserve">. URL: </w:t>
      </w:r>
      <w:hyperlink r:id="rId916" w:anchor="_blank" w:history="1">
        <w:r w:rsidRPr="00511005">
          <w:rPr>
            <w:rFonts w:ascii="Arial" w:eastAsia="Calibri" w:hAnsi="Arial" w:cs="Arial"/>
            <w:szCs w:val="28"/>
            <w:lang w:val="uk-UA"/>
          </w:rPr>
          <w:t>https://espreso.tv/shcho-vidomo-pro-masshtabi-koruptsii-na-gumanitarniy-dopomozi-shcho-nadkhodit-v-ukrainu</w:t>
        </w:r>
      </w:hyperlink>
      <w:r w:rsidRPr="00511005">
        <w:rPr>
          <w:rFonts w:ascii="Arial" w:eastAsia="Calibri" w:hAnsi="Arial" w:cs="Arial"/>
          <w:szCs w:val="28"/>
          <w:lang w:val="uk-UA"/>
        </w:rPr>
        <w:t xml:space="preserve"> (дата звернення: 16.04.2025 р.).</w:t>
      </w:r>
    </w:p>
    <w:p w14:paraId="513E0D0C" w14:textId="77777777" w:rsidR="00B67481" w:rsidRPr="00511005" w:rsidRDefault="00B67481" w:rsidP="003A292D">
      <w:pPr>
        <w:spacing w:line="264" w:lineRule="auto"/>
        <w:rPr>
          <w:rFonts w:ascii="Arial" w:eastAsia="Calibri" w:hAnsi="Arial" w:cs="Arial"/>
          <w:b/>
          <w:bCs/>
          <w:szCs w:val="28"/>
          <w:lang w:val="uk-UA"/>
        </w:rPr>
      </w:pPr>
    </w:p>
    <w:p w14:paraId="548773BA" w14:textId="25F82FCC" w:rsidR="00B67481" w:rsidRPr="00511005" w:rsidRDefault="00EE6668" w:rsidP="003A292D">
      <w:pPr>
        <w:spacing w:line="264" w:lineRule="auto"/>
        <w:rPr>
          <w:rFonts w:ascii="Arial" w:eastAsia="Calibri" w:hAnsi="Arial" w:cs="Arial"/>
          <w:b/>
          <w:bCs/>
          <w:szCs w:val="28"/>
          <w:lang w:val="uk-UA"/>
        </w:rPr>
      </w:pPr>
      <w:r w:rsidRPr="00511005">
        <w:rPr>
          <w:rFonts w:ascii="Arial" w:eastAsia="Calibri" w:hAnsi="Arial" w:cs="Arial"/>
          <w:b/>
          <w:bCs/>
          <w:szCs w:val="28"/>
          <w:lang w:val="uk-UA"/>
        </w:rPr>
        <w:t>Ключові слова:</w:t>
      </w:r>
      <w:r w:rsidR="00B67481" w:rsidRPr="00511005">
        <w:rPr>
          <w:rFonts w:ascii="Arial" w:eastAsia="Calibri" w:hAnsi="Arial" w:cs="Arial"/>
          <w:szCs w:val="28"/>
          <w:lang w:val="uk-UA"/>
        </w:rPr>
        <w:t xml:space="preserve"> міжнародні організації, кредит, фінансування, війна, підтримка.</w:t>
      </w:r>
    </w:p>
    <w:p w14:paraId="6B6F95C3" w14:textId="299BCF26" w:rsidR="00B67481" w:rsidRPr="00511005" w:rsidRDefault="00EE6668" w:rsidP="003A292D">
      <w:pPr>
        <w:spacing w:line="264" w:lineRule="auto"/>
        <w:rPr>
          <w:rFonts w:ascii="Arial" w:eastAsia="Calibri" w:hAnsi="Arial" w:cs="Arial"/>
          <w:i/>
          <w:iCs/>
          <w:szCs w:val="28"/>
          <w:lang w:val="uk-UA"/>
        </w:rPr>
      </w:pPr>
      <w:r w:rsidRPr="00511005">
        <w:rPr>
          <w:rFonts w:ascii="Arial" w:eastAsia="Calibri" w:hAnsi="Arial" w:cs="Arial"/>
          <w:b/>
          <w:bCs/>
          <w:szCs w:val="28"/>
          <w:lang w:val="uk-UA"/>
        </w:rPr>
        <w:t>Key words:</w:t>
      </w:r>
      <w:r w:rsidR="00B67481" w:rsidRPr="00511005">
        <w:rPr>
          <w:rFonts w:ascii="Arial" w:eastAsia="Calibri" w:hAnsi="Arial" w:cs="Arial"/>
          <w:szCs w:val="28"/>
          <w:lang w:val="uk-UA"/>
        </w:rPr>
        <w:t xml:space="preserve"> international organizations, credit, finance, war, support.</w:t>
      </w:r>
    </w:p>
    <w:p w14:paraId="32D148F6" w14:textId="1BD38D66" w:rsidR="00B67481" w:rsidRPr="00511005" w:rsidRDefault="00EE6668" w:rsidP="003A292D">
      <w:pPr>
        <w:spacing w:line="264" w:lineRule="auto"/>
        <w:rPr>
          <w:rFonts w:ascii="Arial" w:eastAsia="Calibri" w:hAnsi="Arial" w:cs="Arial"/>
          <w:i/>
          <w:iCs/>
          <w:szCs w:val="28"/>
          <w:lang w:val="uk-UA"/>
        </w:rPr>
      </w:pPr>
      <w:r w:rsidRPr="00511005">
        <w:rPr>
          <w:rFonts w:ascii="Arial" w:eastAsia="Calibri" w:hAnsi="Arial" w:cs="Arial"/>
          <w:i/>
          <w:iCs/>
          <w:szCs w:val="28"/>
          <w:lang w:val="uk-UA"/>
        </w:rPr>
        <w:lastRenderedPageBreak/>
        <w:t>Науковий керівник:</w:t>
      </w:r>
      <w:r w:rsidR="00B67481" w:rsidRPr="00511005">
        <w:rPr>
          <w:rFonts w:ascii="Arial" w:eastAsia="Calibri" w:hAnsi="Arial" w:cs="Arial"/>
          <w:i/>
          <w:iCs/>
          <w:szCs w:val="28"/>
          <w:lang w:val="uk-UA"/>
        </w:rPr>
        <w:t xml:space="preserve"> к.ю.н., доцент Сідор М.І.</w:t>
      </w:r>
    </w:p>
    <w:p w14:paraId="21E8C73B" w14:textId="77777777" w:rsidR="00B67481" w:rsidRPr="00511005" w:rsidRDefault="00B67481" w:rsidP="003A292D">
      <w:pPr>
        <w:tabs>
          <w:tab w:val="left" w:pos="993"/>
          <w:tab w:val="left" w:pos="7088"/>
        </w:tabs>
        <w:spacing w:line="264" w:lineRule="auto"/>
        <w:rPr>
          <w:rFonts w:ascii="Arial" w:eastAsia="Calibri" w:hAnsi="Arial" w:cs="Arial"/>
          <w:i/>
          <w:iCs/>
          <w:szCs w:val="28"/>
          <w:lang w:val="uk-UA" w:bidi="uk-UA"/>
        </w:rPr>
      </w:pPr>
    </w:p>
    <w:p w14:paraId="7A2FEF4F" w14:textId="77777777" w:rsidR="00B67481" w:rsidRPr="00511005" w:rsidRDefault="00B67481" w:rsidP="003A292D">
      <w:pPr>
        <w:tabs>
          <w:tab w:val="left" w:pos="993"/>
          <w:tab w:val="left" w:pos="7088"/>
        </w:tabs>
        <w:spacing w:line="264" w:lineRule="auto"/>
        <w:ind w:firstLine="0"/>
        <w:rPr>
          <w:rFonts w:ascii="Arial" w:eastAsia="Calibri" w:hAnsi="Arial" w:cs="Arial"/>
          <w:szCs w:val="28"/>
          <w:lang w:bidi="uk-UA"/>
        </w:rPr>
      </w:pPr>
    </w:p>
    <w:p w14:paraId="5E2C8312" w14:textId="77777777" w:rsidR="001D1A08" w:rsidRPr="00511005" w:rsidRDefault="001D1A08" w:rsidP="003A292D">
      <w:pPr>
        <w:spacing w:line="264" w:lineRule="auto"/>
        <w:ind w:firstLine="0"/>
        <w:jc w:val="left"/>
        <w:rPr>
          <w:rFonts w:ascii="Arial" w:eastAsia="Calibri" w:hAnsi="Arial" w:cs="Arial"/>
          <w:szCs w:val="28"/>
        </w:rPr>
      </w:pPr>
    </w:p>
    <w:p w14:paraId="4365BED3" w14:textId="77777777" w:rsidR="00B67481" w:rsidRPr="00511005" w:rsidRDefault="00B67481" w:rsidP="003A292D">
      <w:pPr>
        <w:spacing w:line="264" w:lineRule="auto"/>
        <w:ind w:firstLine="567"/>
        <w:jc w:val="center"/>
        <w:rPr>
          <w:rFonts w:ascii="Arial" w:eastAsia="Calibri" w:hAnsi="Arial" w:cs="Arial"/>
          <w:b/>
          <w:bCs/>
          <w:i/>
          <w:szCs w:val="28"/>
          <w:lang w:val="uk-UA"/>
        </w:rPr>
      </w:pPr>
      <w:r w:rsidRPr="00511005">
        <w:rPr>
          <w:rFonts w:ascii="Arial" w:eastAsia="Calibri" w:hAnsi="Arial" w:cs="Arial"/>
          <w:b/>
          <w:bCs/>
          <w:i/>
          <w:szCs w:val="28"/>
          <w:lang w:val="uk-UA"/>
        </w:rPr>
        <w:t>Гончаренко Єлизавета Ігорівна</w:t>
      </w:r>
    </w:p>
    <w:p w14:paraId="315685C3" w14:textId="219F366E" w:rsidR="00B67481" w:rsidRPr="00511005" w:rsidRDefault="00536AAB" w:rsidP="003A292D">
      <w:pPr>
        <w:spacing w:line="264" w:lineRule="auto"/>
        <w:ind w:firstLine="567"/>
        <w:jc w:val="center"/>
        <w:rPr>
          <w:rFonts w:ascii="Arial" w:eastAsia="Times New Roman" w:hAnsi="Arial" w:cs="Arial"/>
          <w:iCs/>
          <w:kern w:val="1"/>
          <w:szCs w:val="28"/>
          <w:lang w:val="uk-UA" w:eastAsia="ru-RU"/>
        </w:rPr>
      </w:pPr>
      <w:r w:rsidRPr="00511005">
        <w:rPr>
          <w:rFonts w:ascii="Arial" w:eastAsia="Calibri" w:hAnsi="Arial" w:cs="Arial"/>
          <w:iCs/>
          <w:szCs w:val="28"/>
          <w:lang w:val="uk-UA"/>
        </w:rPr>
        <w:t xml:space="preserve">студентка 4-го курсу </w:t>
      </w:r>
      <w:r w:rsidR="001B7B25" w:rsidRPr="00511005">
        <w:rPr>
          <w:rFonts w:ascii="Arial" w:eastAsia="Calibri" w:hAnsi="Arial" w:cs="Arial"/>
          <w:iCs/>
          <w:szCs w:val="28"/>
          <w:lang w:val="uk-UA"/>
        </w:rPr>
        <w:t>факультету судового та міжнародного права</w:t>
      </w:r>
    </w:p>
    <w:p w14:paraId="5F564CE6" w14:textId="6095B8AB" w:rsidR="00B67481" w:rsidRPr="00511005" w:rsidRDefault="007B2628" w:rsidP="003A292D">
      <w:pPr>
        <w:widowControl w:val="0"/>
        <w:suppressAutoHyphens/>
        <w:autoSpaceDE w:val="0"/>
        <w:autoSpaceDN w:val="0"/>
        <w:adjustRightInd w:val="0"/>
        <w:spacing w:line="264" w:lineRule="auto"/>
        <w:ind w:firstLine="567"/>
        <w:jc w:val="center"/>
        <w:rPr>
          <w:rFonts w:ascii="Arial" w:eastAsia="Times New Roman" w:hAnsi="Arial" w:cs="Arial"/>
          <w:iCs/>
          <w:kern w:val="1"/>
          <w:szCs w:val="28"/>
          <w:lang w:val="uk-UA" w:eastAsia="ru-RU"/>
        </w:rPr>
      </w:pPr>
      <w:r w:rsidRPr="00511005">
        <w:rPr>
          <w:rFonts w:ascii="Arial" w:eastAsia="Times New Roman" w:hAnsi="Arial" w:cs="Arial"/>
          <w:iCs/>
          <w:kern w:val="1"/>
          <w:szCs w:val="28"/>
          <w:lang w:val="uk-UA" w:eastAsia="ru-RU"/>
        </w:rPr>
        <w:t>Національного університету «Одеська юридична академія»</w:t>
      </w:r>
    </w:p>
    <w:p w14:paraId="0CD10334" w14:textId="77777777" w:rsidR="00B67481" w:rsidRPr="00511005" w:rsidRDefault="00B67481" w:rsidP="003A292D">
      <w:pPr>
        <w:widowControl w:val="0"/>
        <w:suppressAutoHyphens/>
        <w:autoSpaceDE w:val="0"/>
        <w:autoSpaceDN w:val="0"/>
        <w:adjustRightInd w:val="0"/>
        <w:spacing w:line="264" w:lineRule="auto"/>
        <w:ind w:firstLine="567"/>
        <w:jc w:val="center"/>
        <w:rPr>
          <w:rFonts w:ascii="Arial" w:eastAsia="Times New Roman" w:hAnsi="Arial" w:cs="Arial"/>
          <w:i/>
          <w:iCs/>
          <w:kern w:val="1"/>
          <w:szCs w:val="28"/>
          <w:lang w:val="uk-UA" w:eastAsia="ru-RU"/>
        </w:rPr>
      </w:pPr>
    </w:p>
    <w:p w14:paraId="497487BB" w14:textId="77777777" w:rsidR="00B67481" w:rsidRPr="00511005" w:rsidRDefault="00B67481" w:rsidP="003A292D">
      <w:pPr>
        <w:shd w:val="clear" w:color="auto" w:fill="FFFFFF"/>
        <w:spacing w:line="264" w:lineRule="auto"/>
        <w:ind w:firstLine="448"/>
        <w:jc w:val="center"/>
        <w:rPr>
          <w:rFonts w:ascii="Arial" w:eastAsia="Times New Roman" w:hAnsi="Arial" w:cs="Arial"/>
          <w:b/>
          <w:bCs/>
          <w:szCs w:val="28"/>
          <w:lang w:val="uk-UA" w:eastAsia="ru-RU"/>
        </w:rPr>
      </w:pPr>
      <w:r w:rsidRPr="00511005">
        <w:rPr>
          <w:rFonts w:ascii="Arial" w:eastAsia="Times New Roman" w:hAnsi="Arial" w:cs="Arial"/>
          <w:b/>
          <w:szCs w:val="28"/>
          <w:lang w:val="uk-UA" w:eastAsia="ru-RU"/>
        </w:rPr>
        <w:t>ОКРЕМІ ПИТАННЯ ВПРОВАДЖЕННЯ АМЕРИКАНСЬКОГО ДОСВІДУ В УПРАВЛІННІ ДЕРЖАВНОЮ СЛУЖБОЮ</w:t>
      </w:r>
    </w:p>
    <w:p w14:paraId="1687E05C"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Американський досвід управління державною службою має свою специфіку. Варто почати з система добору кадрів. Тут діє принцип меритократії (заслуги), тобто призначення на посади відбувається на основі знань, навичок та досвіду, а не політичної лояльності. </w:t>
      </w:r>
    </w:p>
    <w:p w14:paraId="75B6F193" w14:textId="029D684F"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Існує офіс управління персоналом США (U.S. Office of</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Personnel Management – OPM), який відповідає за рекрутинг, відбір та розробку політик щодо держслужби. Також він є відповідальним за проведення конкурсів та тестування на зайняття посад</w:t>
      </w:r>
      <w:r w:rsidRPr="00511005">
        <w:rPr>
          <w:rFonts w:ascii="Arial" w:eastAsia="Times New Roman" w:hAnsi="Arial" w:cs="Arial"/>
          <w:szCs w:val="28"/>
          <w:lang w:eastAsia="ru-RU"/>
        </w:rPr>
        <w:t xml:space="preserve"> [1]</w:t>
      </w:r>
      <w:r w:rsidRPr="00511005">
        <w:rPr>
          <w:rFonts w:ascii="Arial" w:eastAsia="Times New Roman" w:hAnsi="Arial" w:cs="Arial"/>
          <w:szCs w:val="28"/>
          <w:lang w:val="uk-UA" w:eastAsia="ru-RU"/>
        </w:rPr>
        <w:t>. USAJOBS.gov є національним порталом для публікації вакансій в урядових установах</w:t>
      </w:r>
      <w:r w:rsidRPr="00511005">
        <w:rPr>
          <w:rFonts w:ascii="Arial" w:eastAsia="Times New Roman" w:hAnsi="Arial" w:cs="Arial"/>
          <w:szCs w:val="28"/>
          <w:lang w:eastAsia="ru-RU"/>
        </w:rPr>
        <w:t xml:space="preserve"> [3]</w:t>
      </w:r>
      <w:r w:rsidRPr="00511005">
        <w:rPr>
          <w:rFonts w:ascii="Arial" w:eastAsia="Times New Roman" w:hAnsi="Arial" w:cs="Arial"/>
          <w:szCs w:val="28"/>
          <w:lang w:val="uk-UA" w:eastAsia="ru-RU"/>
        </w:rPr>
        <w:t>.</w:t>
      </w:r>
    </w:p>
    <w:p w14:paraId="065E9189"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Важно також зауважити ключові інструменти добору, до яких відносяться:</w:t>
      </w:r>
    </w:p>
    <w:p w14:paraId="7501F56E" w14:textId="77777777" w:rsidR="00B67481" w:rsidRPr="00511005" w:rsidRDefault="00B67481" w:rsidP="003F6A5D">
      <w:pPr>
        <w:numPr>
          <w:ilvl w:val="0"/>
          <w:numId w:val="235"/>
        </w:numPr>
        <w:shd w:val="clear" w:color="auto" w:fill="FFFFFF"/>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публічні конкурси на відкриті вакансії;</w:t>
      </w:r>
    </w:p>
    <w:p w14:paraId="673173CC" w14:textId="77777777" w:rsidR="00B67481" w:rsidRPr="00511005" w:rsidRDefault="00B67481" w:rsidP="003F6A5D">
      <w:pPr>
        <w:numPr>
          <w:ilvl w:val="0"/>
          <w:numId w:val="235"/>
        </w:numPr>
        <w:shd w:val="clear" w:color="auto" w:fill="FFFFFF"/>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оцінка резюме та письмові тести;</w:t>
      </w:r>
    </w:p>
    <w:p w14:paraId="6F34363E" w14:textId="77777777" w:rsidR="00B67481" w:rsidRPr="00511005" w:rsidRDefault="00B67481" w:rsidP="003F6A5D">
      <w:pPr>
        <w:numPr>
          <w:ilvl w:val="0"/>
          <w:numId w:val="235"/>
        </w:numPr>
        <w:shd w:val="clear" w:color="auto" w:fill="FFFFFF"/>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співбесіди, у тому числі структуровані;</w:t>
      </w:r>
    </w:p>
    <w:p w14:paraId="4111E042" w14:textId="77777777" w:rsidR="00B67481" w:rsidRPr="00511005" w:rsidRDefault="00B67481" w:rsidP="003F6A5D">
      <w:pPr>
        <w:numPr>
          <w:ilvl w:val="0"/>
          <w:numId w:val="235"/>
        </w:numPr>
        <w:shd w:val="clear" w:color="auto" w:fill="FFFFFF"/>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перевірка рекомендацій та службової історії.</w:t>
      </w:r>
    </w:p>
    <w:p w14:paraId="65D52801"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Наступною важливою річчю є те, що американські держслужбовці проходять постійне навчання та підвищення кваліфікації. Навчання протягом кар’єри – це дійсно ключовий елемент професійного розвитку.</w:t>
      </w:r>
    </w:p>
    <w:p w14:paraId="3D6C9B03"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Програми розвитку лідерства, такі як: </w:t>
      </w:r>
    </w:p>
    <w:p w14:paraId="0A83841B" w14:textId="77777777" w:rsidR="00B67481" w:rsidRPr="00511005" w:rsidRDefault="00B67481" w:rsidP="003F6A5D">
      <w:pPr>
        <w:numPr>
          <w:ilvl w:val="0"/>
          <w:numId w:val="236"/>
        </w:numPr>
        <w:shd w:val="clear" w:color="auto" w:fill="FFFFFF"/>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SES Candidate Development Program (для вищої управлінської ланки).</w:t>
      </w:r>
    </w:p>
    <w:p w14:paraId="726FB441" w14:textId="77777777" w:rsidR="00B67481" w:rsidRPr="00511005" w:rsidRDefault="00B67481" w:rsidP="003F6A5D">
      <w:pPr>
        <w:numPr>
          <w:ilvl w:val="0"/>
          <w:numId w:val="236"/>
        </w:numPr>
        <w:shd w:val="clear" w:color="auto" w:fill="FFFFFF"/>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Federal Executive Institute – навчання для керівників федерального рівня.</w:t>
      </w:r>
    </w:p>
    <w:p w14:paraId="42632783" w14:textId="77777777" w:rsidR="00B67481" w:rsidRPr="00511005" w:rsidRDefault="00B67481" w:rsidP="003F6A5D">
      <w:pPr>
        <w:numPr>
          <w:ilvl w:val="0"/>
          <w:numId w:val="236"/>
        </w:numPr>
        <w:shd w:val="clear" w:color="auto" w:fill="FFFFFF"/>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OPM забезпечує доступ до тренінгів з: управління проектами, цифрової трансформації, комунікацій та етики.</w:t>
      </w:r>
    </w:p>
    <w:p w14:paraId="70EF96D7" w14:textId="77777777" w:rsidR="00B67481" w:rsidRPr="00511005" w:rsidRDefault="00B67481" w:rsidP="003F6A5D">
      <w:pPr>
        <w:numPr>
          <w:ilvl w:val="0"/>
          <w:numId w:val="236"/>
        </w:numPr>
        <w:shd w:val="clear" w:color="auto" w:fill="FFFFFF"/>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E-learning платформи – зручні курси в онлайн-форматі.</w:t>
      </w:r>
    </w:p>
    <w:p w14:paraId="327AB689"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Етика державної служби також відіграє важливу роль. Наприклад, офіс урядової етики (U.S. Office of Government Ethics – OGE) існує для розробки етичних стандартів. Він також контролює дотримання норм поведінки </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w:t>
      </w:r>
    </w:p>
    <w:p w14:paraId="28B96622"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Основними принципами етики є: дотримання закону та чесність, запобігання конфлікту інтересів, заборона отримання подарунків від </w:t>
      </w:r>
      <w:r w:rsidRPr="00511005">
        <w:rPr>
          <w:rFonts w:ascii="Arial" w:eastAsia="Times New Roman" w:hAnsi="Arial" w:cs="Arial"/>
          <w:szCs w:val="28"/>
          <w:lang w:val="uk-UA" w:eastAsia="ru-RU"/>
        </w:rPr>
        <w:lastRenderedPageBreak/>
        <w:t>зацікавлених сторін. А також, важливим є те, що публічний інтерес має знаходитися понад особистим.</w:t>
      </w:r>
    </w:p>
    <w:p w14:paraId="6B900150"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Навчання з етики є обов’язковим. Нові службовці проходять спеціальні тренінги та періодично удосконалюють свої навички і знання.</w:t>
      </w:r>
    </w:p>
    <w:p w14:paraId="0E8F4789"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Для України було б доцільним запозичити специфіку добору кадрів, яка є прозорою та відбувається на конкурсній основі. Наприклад, розвиток єдиного національного порталу вакансій у держорганах (аналогом якого є USAJOBS). Ще однією важливою складовою є використання структурованих тестів та співбесід для об’єктивної оцінки кандидатів</w:t>
      </w:r>
      <w:r w:rsidRPr="00511005">
        <w:rPr>
          <w:rFonts w:ascii="Arial" w:eastAsia="Times New Roman" w:hAnsi="Arial" w:cs="Arial"/>
          <w:szCs w:val="28"/>
          <w:lang w:eastAsia="ru-RU"/>
        </w:rPr>
        <w:t xml:space="preserve"> [3]</w:t>
      </w:r>
      <w:r w:rsidRPr="00511005">
        <w:rPr>
          <w:rFonts w:ascii="Arial" w:eastAsia="Times New Roman" w:hAnsi="Arial" w:cs="Arial"/>
          <w:szCs w:val="28"/>
          <w:lang w:val="uk-UA" w:eastAsia="ru-RU"/>
        </w:rPr>
        <w:t>.</w:t>
      </w:r>
    </w:p>
    <w:p w14:paraId="29B814C8"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Також варто звернути увагу на постійний розвиток. Тобто можливість запровадження обов’язкових кар’єрних програм розвитку лідерства для держслужбовців. В сучасному світі є можливим впровадження онлайн-платформ для навчання державників, без потреби у відриві від роботи </w:t>
      </w:r>
      <w:r w:rsidRPr="00511005">
        <w:rPr>
          <w:rFonts w:ascii="Arial" w:eastAsia="Times New Roman" w:hAnsi="Arial" w:cs="Arial"/>
          <w:szCs w:val="28"/>
          <w:lang w:eastAsia="ru-RU"/>
        </w:rPr>
        <w:t>[4</w:t>
      </w:r>
      <w:r w:rsidRPr="00511005">
        <w:rPr>
          <w:rFonts w:ascii="Arial" w:eastAsia="Times New Roman" w:hAnsi="Arial" w:cs="Arial"/>
          <w:szCs w:val="28"/>
          <w:lang w:val="uk-UA" w:eastAsia="ru-RU"/>
        </w:rPr>
        <w:t>, с. 35</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16021779"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 Америці один із основних принципів держслужби – це можливість змінювати напрямки кар'єрного розвитку без необхідності покидати державний сектор. Тобто держслужбовці можуть працювати не лише в одному конкретному органі, але й переходити між різними рівнями управління (федеральними, штатними, муніципальними), а також між різними напрямками (адміністративними, технічними, аналітичними тощо).</w:t>
      </w:r>
    </w:p>
    <w:p w14:paraId="694B3620"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Для України це важливо, адже існує можливість розширення професійних горизонтів, що дозволяє службовцям не обмежуватися однією вузькою спеціалізацією, а працювати в різних напрямках. Це підвищує їхню цінність на ринку праці, дозволяє краще розуміти різні аспекти державного управління і сприяє більш різноманітному розвитку кар’єри. А також, таке кар’єрне середовище дозволяє швидше адаптуватися до змін в політиці, економіці чи інших сферах.</w:t>
      </w:r>
    </w:p>
    <w:p w14:paraId="05685A2C" w14:textId="77777777" w:rsidR="00B67481" w:rsidRPr="00511005" w:rsidRDefault="00B67481"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Американська система держслужби ґрунтується на прозорості, професіоналізмі та постійному розвитку. Такий підхід дозволяє формувати ефективний, відповідальний та підзвітний державний апарат.</w:t>
      </w:r>
    </w:p>
    <w:p w14:paraId="0F57F6B8" w14:textId="77777777" w:rsidR="00B67481" w:rsidRPr="00511005" w:rsidRDefault="00B67481" w:rsidP="003A292D">
      <w:pPr>
        <w:shd w:val="clear" w:color="auto" w:fill="FFFFFF"/>
        <w:spacing w:line="264" w:lineRule="auto"/>
        <w:jc w:val="center"/>
        <w:rPr>
          <w:rFonts w:ascii="Arial" w:eastAsia="Times New Roman" w:hAnsi="Arial" w:cs="Arial"/>
          <w:szCs w:val="28"/>
          <w:lang w:val="uk-UA" w:eastAsia="ru-RU"/>
        </w:rPr>
      </w:pPr>
    </w:p>
    <w:p w14:paraId="3CA0B52E" w14:textId="0DF2B161" w:rsidR="00B67481" w:rsidRPr="00511005" w:rsidRDefault="007B2628" w:rsidP="007B2628">
      <w:pPr>
        <w:shd w:val="clear" w:color="auto" w:fill="FFFFFF"/>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7C53725C" w14:textId="77777777" w:rsidR="00B67481" w:rsidRPr="00511005" w:rsidRDefault="00B67481" w:rsidP="003F6A5D">
      <w:pPr>
        <w:numPr>
          <w:ilvl w:val="0"/>
          <w:numId w:val="237"/>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en-US" w:eastAsia="ru-RU"/>
        </w:rPr>
        <w:t>OPM U.S. Office of Personnel Management. URL</w:t>
      </w:r>
      <w:r w:rsidRPr="00511005">
        <w:rPr>
          <w:rFonts w:ascii="Arial" w:eastAsia="Times New Roman" w:hAnsi="Arial" w:cs="Arial"/>
          <w:szCs w:val="28"/>
          <w:lang w:val="uk-UA" w:eastAsia="ru-RU"/>
        </w:rPr>
        <w:t xml:space="preserve">: </w:t>
      </w:r>
      <w:hyperlink r:id="rId917" w:history="1">
        <w:r w:rsidRPr="00511005">
          <w:rPr>
            <w:rFonts w:ascii="Arial" w:eastAsia="Times New Roman" w:hAnsi="Arial" w:cs="Arial"/>
            <w:szCs w:val="28"/>
            <w:lang w:val="uk-UA" w:eastAsia="ru-RU"/>
          </w:rPr>
          <w:t>https://www.opm.gov/about-us/</w:t>
        </w:r>
      </w:hyperlink>
      <w:r w:rsidRPr="00511005">
        <w:rPr>
          <w:rFonts w:ascii="Arial" w:eastAsia="Times New Roman" w:hAnsi="Arial" w:cs="Arial"/>
          <w:szCs w:val="28"/>
          <w:lang w:val="uk-UA" w:eastAsia="ru-RU"/>
        </w:rPr>
        <w:t xml:space="preserve"> (дата звернення: 05.04.2025).</w:t>
      </w:r>
    </w:p>
    <w:p w14:paraId="28572CA8" w14:textId="77777777" w:rsidR="00B67481" w:rsidRPr="00511005" w:rsidRDefault="00B67481" w:rsidP="003F6A5D">
      <w:pPr>
        <w:numPr>
          <w:ilvl w:val="0"/>
          <w:numId w:val="237"/>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U.S. Office of Government Ethics.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918" w:history="1">
        <w:r w:rsidRPr="00511005">
          <w:rPr>
            <w:rFonts w:ascii="Arial" w:eastAsia="Times New Roman" w:hAnsi="Arial" w:cs="Arial"/>
            <w:szCs w:val="28"/>
            <w:lang w:val="uk-UA" w:eastAsia="ru-RU"/>
          </w:rPr>
          <w:t>https://www.oge.gov/</w:t>
        </w:r>
      </w:hyperlink>
      <w:r w:rsidRPr="00511005">
        <w:rPr>
          <w:rFonts w:ascii="Arial" w:eastAsia="Times New Roman" w:hAnsi="Arial" w:cs="Arial"/>
          <w:szCs w:val="28"/>
          <w:lang w:val="uk-UA" w:eastAsia="ru-RU"/>
        </w:rPr>
        <w:t xml:space="preserve"> (дата звернення: 06.04.2025).</w:t>
      </w:r>
    </w:p>
    <w:p w14:paraId="3358FEFA" w14:textId="77777777" w:rsidR="00B67481" w:rsidRPr="00511005" w:rsidRDefault="00B67481" w:rsidP="003F6A5D">
      <w:pPr>
        <w:numPr>
          <w:ilvl w:val="0"/>
          <w:numId w:val="237"/>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USAJOBS.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919" w:history="1">
        <w:r w:rsidRPr="00511005">
          <w:rPr>
            <w:rFonts w:ascii="Arial" w:eastAsia="Times New Roman" w:hAnsi="Arial" w:cs="Arial"/>
            <w:szCs w:val="28"/>
            <w:lang w:val="en-US" w:eastAsia="ru-RU"/>
          </w:rPr>
          <w:t>https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www</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usajobs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gov</w:t>
        </w:r>
        <w:r w:rsidRPr="00511005">
          <w:rPr>
            <w:rFonts w:ascii="Arial" w:eastAsia="Times New Roman" w:hAnsi="Arial" w:cs="Arial"/>
            <w:szCs w:val="28"/>
            <w:lang w:val="uk-UA" w:eastAsia="ru-RU"/>
          </w:rPr>
          <w:t>/</w:t>
        </w:r>
      </w:hyperlink>
      <w:r w:rsidRPr="00511005">
        <w:rPr>
          <w:rFonts w:ascii="Arial" w:eastAsia="Times New Roman" w:hAnsi="Arial" w:cs="Arial"/>
          <w:szCs w:val="28"/>
          <w:lang w:val="uk-UA" w:eastAsia="ru-RU"/>
        </w:rPr>
        <w:t xml:space="preserve"> (дата звернення: 06.04.2025).</w:t>
      </w:r>
    </w:p>
    <w:p w14:paraId="783A7D68" w14:textId="77777777" w:rsidR="00B67481" w:rsidRPr="00511005" w:rsidRDefault="00B67481" w:rsidP="003F6A5D">
      <w:pPr>
        <w:numPr>
          <w:ilvl w:val="0"/>
          <w:numId w:val="237"/>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Семенів М. П. Публічне управління в США : досвід для України. Економічна наука сьогодення : зб. тез доп. наук.-практ. конф. Івано-Франківськ : НАІР, 2020. С. 35-37.</w:t>
      </w:r>
    </w:p>
    <w:p w14:paraId="76E9EEA5" w14:textId="77777777" w:rsidR="00B67481" w:rsidRPr="00511005" w:rsidRDefault="00B67481" w:rsidP="003A292D">
      <w:pPr>
        <w:spacing w:line="264" w:lineRule="auto"/>
        <w:rPr>
          <w:rFonts w:ascii="Arial" w:eastAsia="Calibri" w:hAnsi="Arial" w:cs="Arial"/>
          <w:b/>
          <w:bCs/>
          <w:szCs w:val="28"/>
          <w:lang w:val="uk-UA"/>
        </w:rPr>
      </w:pPr>
    </w:p>
    <w:p w14:paraId="0775377E" w14:textId="31ED9A7B"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lastRenderedPageBreak/>
        <w:t xml:space="preserve">Ключові слова: </w:t>
      </w:r>
      <w:r w:rsidR="00B67481" w:rsidRPr="00511005">
        <w:rPr>
          <w:rFonts w:ascii="Arial" w:eastAsia="Calibri" w:hAnsi="Arial" w:cs="Arial"/>
          <w:szCs w:val="28"/>
          <w:lang w:val="uk-UA"/>
        </w:rPr>
        <w:t>державний службовець, розвиток, управління, принципи, ключові інструменти, конкурс.</w:t>
      </w:r>
    </w:p>
    <w:p w14:paraId="36DE8084" w14:textId="42F84A7F"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Key words: </w:t>
      </w:r>
      <w:r w:rsidR="00B67481" w:rsidRPr="00511005">
        <w:rPr>
          <w:rFonts w:ascii="Arial" w:eastAsia="Calibri" w:hAnsi="Arial" w:cs="Arial"/>
          <w:szCs w:val="28"/>
          <w:lang w:val="uk-UA"/>
        </w:rPr>
        <w:t>civil servant, development, management, principles, key tools, competition.</w:t>
      </w:r>
    </w:p>
    <w:p w14:paraId="10F51415" w14:textId="3177B2D7" w:rsidR="00B67481" w:rsidRPr="00511005" w:rsidRDefault="007B2628" w:rsidP="003A292D">
      <w:pPr>
        <w:spacing w:line="264" w:lineRule="auto"/>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B67481" w:rsidRPr="00511005">
        <w:rPr>
          <w:rFonts w:ascii="Arial" w:eastAsia="Calibri" w:hAnsi="Arial" w:cs="Arial"/>
          <w:i/>
          <w:iCs/>
          <w:szCs w:val="28"/>
          <w:lang w:val="uk-UA"/>
        </w:rPr>
        <w:t xml:space="preserve">к.ю.н., доцент Корнута Л. М. </w:t>
      </w:r>
    </w:p>
    <w:p w14:paraId="1BF5FA80" w14:textId="77777777" w:rsidR="001D1A08" w:rsidRPr="00511005" w:rsidRDefault="001D1A08" w:rsidP="003A292D">
      <w:pPr>
        <w:spacing w:line="264" w:lineRule="auto"/>
        <w:jc w:val="left"/>
        <w:rPr>
          <w:rFonts w:ascii="Arial" w:eastAsia="Calibri" w:hAnsi="Arial" w:cs="Arial"/>
          <w:i/>
          <w:iCs/>
          <w:szCs w:val="28"/>
          <w:lang w:val="uk-UA"/>
        </w:rPr>
      </w:pPr>
    </w:p>
    <w:p w14:paraId="448CF33E" w14:textId="77777777" w:rsidR="001D1A08" w:rsidRPr="00511005" w:rsidRDefault="001D1A08" w:rsidP="003A292D">
      <w:pPr>
        <w:spacing w:line="264" w:lineRule="auto"/>
        <w:jc w:val="left"/>
        <w:rPr>
          <w:rFonts w:ascii="Arial" w:eastAsia="Calibri" w:hAnsi="Arial" w:cs="Arial"/>
          <w:i/>
          <w:iCs/>
          <w:szCs w:val="28"/>
          <w:lang w:val="uk-UA"/>
        </w:rPr>
      </w:pPr>
    </w:p>
    <w:p w14:paraId="795E4244" w14:textId="77777777" w:rsidR="00B67481" w:rsidRPr="00511005" w:rsidRDefault="00B67481"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Горощенко Вікторія Сергіївна</w:t>
      </w:r>
    </w:p>
    <w:p w14:paraId="30212776" w14:textId="19541B86" w:rsidR="00B67481"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1-го курсу магістратури</w:t>
      </w:r>
      <w:r w:rsidR="00B67481" w:rsidRPr="00511005">
        <w:rPr>
          <w:rFonts w:ascii="Arial" w:eastAsia="Calibri" w:hAnsi="Arial" w:cs="Arial"/>
          <w:szCs w:val="28"/>
          <w:lang w:val="uk-UA"/>
        </w:rPr>
        <w:t xml:space="preserve"> </w:t>
      </w:r>
    </w:p>
    <w:p w14:paraId="02F39DFB" w14:textId="0673FDA3" w:rsidR="00B67481" w:rsidRPr="00511005" w:rsidRDefault="001B7B25"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факультету судового та міжнародного права</w:t>
      </w:r>
    </w:p>
    <w:p w14:paraId="57005DEE" w14:textId="57D9F5C2" w:rsidR="00B67481"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442052B2" w14:textId="77777777" w:rsidR="00B67481" w:rsidRPr="00511005" w:rsidRDefault="00B67481" w:rsidP="003A292D">
      <w:pPr>
        <w:spacing w:line="264" w:lineRule="auto"/>
        <w:ind w:firstLine="0"/>
        <w:jc w:val="center"/>
        <w:rPr>
          <w:rFonts w:ascii="Arial" w:eastAsia="Calibri" w:hAnsi="Arial" w:cs="Arial"/>
          <w:szCs w:val="28"/>
          <w:lang w:val="uk-UA"/>
        </w:rPr>
      </w:pPr>
    </w:p>
    <w:p w14:paraId="27116256" w14:textId="77777777" w:rsidR="00B67481" w:rsidRPr="00511005" w:rsidRDefault="00B67481"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 xml:space="preserve">ОКРЕМІ АСПЕКТИ ПРАВОВОГО РЕГУЛЮВАННЯ ПРИНЦИПУ НЕДИСКРИМІНАЦІЇ ПРИ ПРОХОДЖЕННІ СЛУЖБИ В ОРГАНАХ НАЦІОНАЛЬНОЇ ПОЛІЦІЇ </w:t>
      </w:r>
    </w:p>
    <w:p w14:paraId="60F657C1"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Принцип недискримінації є невід’ємною складовою національного права, йому присвячено низку досліджень, водночас, проблема реалізації принципу недискримінації при проходженні державної служби в органах поліції є недостатньо вивченою та потребує в наш час особливої уваги з огляду на наступне.</w:t>
      </w:r>
    </w:p>
    <w:p w14:paraId="65917123"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Дотримання принципу недискримінації в органах Національної поліції зумовлене міжнародними та внутрішніми правовими зобов'язаннями України, а також є необхідною умовою для підвищення ефективності правоохоронної діяльності, формування більш безпечного суспільства та зміцнення верховенства права. Принцип недискримінації є одним з фундаментальних принципів діяльності Національної поліції України та державної служби загалом.</w:t>
      </w:r>
    </w:p>
    <w:p w14:paraId="17AE2662"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Щодо визначення принципу недискримінації в правовій доктрині, викликає інтерес підхід С. Погребняка, який розглядає принцип недискримінації як такий, що забороняє дискримінацію, а «право на захист від дискримінації» визначає як основоположне право кожної людини. Свою позицію він обґрунтовує тим, що принцип недискримінації є загальновизнаним і фундаментальним у праві Ради Європи. Попри те, що принцип недискримінації виступає інструментом забезпечення рівності, саме послідовне впровадження цього принципу в юридичній практиці та інститутах є головним показником наявності справедливого балансу між вимогами формальної та фактичної рівності можливостей у правовій системі [1, с. 22].</w:t>
      </w:r>
    </w:p>
    <w:p w14:paraId="0F0328D7"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Стосовно нормативно-правового визначення принципу недискримінації, то й</w:t>
      </w:r>
      <w:r w:rsidRPr="00511005">
        <w:rPr>
          <w:rFonts w:ascii="Arial" w:eastAsia="Calibri" w:hAnsi="Arial" w:cs="Arial"/>
          <w:szCs w:val="28"/>
        </w:rPr>
        <w:t>ого реалізація при проходженні служби в органах поліції в Україні забезпечується низк</w:t>
      </w:r>
      <w:r w:rsidRPr="00511005">
        <w:rPr>
          <w:rFonts w:ascii="Arial" w:eastAsia="Calibri" w:hAnsi="Arial" w:cs="Arial"/>
          <w:szCs w:val="28"/>
          <w:lang w:val="uk-UA"/>
        </w:rPr>
        <w:t xml:space="preserve">ою міжнародних, вітчизняних </w:t>
      </w:r>
      <w:r w:rsidRPr="00511005">
        <w:rPr>
          <w:rFonts w:ascii="Arial" w:eastAsia="Calibri" w:hAnsi="Arial" w:cs="Arial"/>
          <w:szCs w:val="28"/>
        </w:rPr>
        <w:t>законодавчих</w:t>
      </w:r>
      <w:r w:rsidRPr="00511005">
        <w:rPr>
          <w:rFonts w:ascii="Arial" w:eastAsia="Calibri" w:hAnsi="Arial" w:cs="Arial"/>
          <w:szCs w:val="28"/>
          <w:lang w:val="uk-UA"/>
        </w:rPr>
        <w:t xml:space="preserve"> та відомчих правових </w:t>
      </w:r>
      <w:r w:rsidRPr="00511005">
        <w:rPr>
          <w:rFonts w:ascii="Arial" w:eastAsia="Calibri" w:hAnsi="Arial" w:cs="Arial"/>
          <w:szCs w:val="28"/>
        </w:rPr>
        <w:t>норм</w:t>
      </w:r>
      <w:r w:rsidRPr="00511005">
        <w:rPr>
          <w:rFonts w:ascii="Arial" w:eastAsia="Calibri" w:hAnsi="Arial" w:cs="Arial"/>
          <w:szCs w:val="28"/>
          <w:lang w:val="uk-UA"/>
        </w:rPr>
        <w:t xml:space="preserve">. Так, статтями 21, 24 Основного </w:t>
      </w:r>
      <w:r w:rsidRPr="00511005">
        <w:rPr>
          <w:rFonts w:ascii="Arial" w:eastAsia="Calibri" w:hAnsi="Arial" w:cs="Arial"/>
          <w:szCs w:val="28"/>
          <w:lang w:val="uk-UA"/>
        </w:rPr>
        <w:lastRenderedPageBreak/>
        <w:t xml:space="preserve">Закону України гарантовано рівність громадян у правах та свободах, та встановлено заборону </w:t>
      </w:r>
      <w:r w:rsidRPr="00511005">
        <w:rPr>
          <w:rFonts w:ascii="Arial" w:eastAsia="Calibri" w:hAnsi="Arial" w:cs="Arial"/>
          <w:szCs w:val="28"/>
        </w:rPr>
        <w:t>будь-як</w:t>
      </w:r>
      <w:r w:rsidRPr="00511005">
        <w:rPr>
          <w:rFonts w:ascii="Arial" w:eastAsia="Calibri" w:hAnsi="Arial" w:cs="Arial"/>
          <w:szCs w:val="28"/>
          <w:lang w:val="uk-UA"/>
        </w:rPr>
        <w:t>их</w:t>
      </w:r>
      <w:r w:rsidRPr="00511005">
        <w:rPr>
          <w:rFonts w:ascii="Arial" w:eastAsia="Calibri" w:hAnsi="Arial" w:cs="Arial"/>
          <w:szCs w:val="28"/>
        </w:rPr>
        <w:t xml:space="preserve"> привілеї</w:t>
      </w:r>
      <w:r w:rsidRPr="00511005">
        <w:rPr>
          <w:rFonts w:ascii="Arial" w:eastAsia="Calibri" w:hAnsi="Arial" w:cs="Arial"/>
          <w:szCs w:val="28"/>
          <w:lang w:val="uk-UA"/>
        </w:rPr>
        <w:t>в</w:t>
      </w:r>
      <w:r w:rsidRPr="00511005">
        <w:rPr>
          <w:rFonts w:ascii="Arial" w:eastAsia="Calibri" w:hAnsi="Arial" w:cs="Arial"/>
          <w:szCs w:val="28"/>
        </w:rPr>
        <w:t xml:space="preserve"> чи обмежен</w:t>
      </w:r>
      <w:r w:rsidRPr="00511005">
        <w:rPr>
          <w:rFonts w:ascii="Arial" w:eastAsia="Calibri" w:hAnsi="Arial" w:cs="Arial"/>
          <w:szCs w:val="28"/>
          <w:lang w:val="uk-UA"/>
        </w:rPr>
        <w:t>ь</w:t>
      </w:r>
      <w:r w:rsidRPr="00511005">
        <w:rPr>
          <w:rFonts w:ascii="Arial" w:eastAsia="Calibri" w:hAnsi="Arial" w:cs="Arial"/>
          <w:szCs w:val="28"/>
        </w:rPr>
        <w:t xml:space="preserve"> за різними ознаками</w:t>
      </w:r>
      <w:r w:rsidRPr="00511005">
        <w:rPr>
          <w:rFonts w:ascii="Arial" w:eastAsia="Calibri" w:hAnsi="Arial" w:cs="Arial"/>
          <w:szCs w:val="28"/>
          <w:lang w:val="uk-UA"/>
        </w:rPr>
        <w:t xml:space="preserve">, </w:t>
      </w:r>
      <w:r w:rsidRPr="00511005">
        <w:rPr>
          <w:rFonts w:ascii="Arial" w:eastAsia="Calibri" w:hAnsi="Arial" w:cs="Arial"/>
          <w:szCs w:val="28"/>
        </w:rPr>
        <w:t xml:space="preserve">такими як раса, стать, </w:t>
      </w:r>
      <w:r w:rsidRPr="00511005">
        <w:rPr>
          <w:rFonts w:ascii="Arial" w:eastAsia="Calibri" w:hAnsi="Arial" w:cs="Arial"/>
          <w:szCs w:val="28"/>
          <w:lang w:val="uk-UA"/>
        </w:rPr>
        <w:t xml:space="preserve">політичні </w:t>
      </w:r>
      <w:r w:rsidRPr="00511005">
        <w:rPr>
          <w:rFonts w:ascii="Arial" w:eastAsia="Calibri" w:hAnsi="Arial" w:cs="Arial"/>
          <w:szCs w:val="28"/>
        </w:rPr>
        <w:t>переконання тощо</w:t>
      </w:r>
      <w:r w:rsidRPr="00511005">
        <w:rPr>
          <w:rFonts w:ascii="Arial" w:eastAsia="Calibri" w:hAnsi="Arial" w:cs="Arial"/>
          <w:szCs w:val="28"/>
          <w:lang w:val="uk-UA"/>
        </w:rPr>
        <w:t>, тобто заборону дискримінації [11</w:t>
      </w:r>
      <w:r w:rsidRPr="00511005">
        <w:rPr>
          <w:rFonts w:ascii="Arial" w:eastAsia="Calibri" w:hAnsi="Arial" w:cs="Arial"/>
          <w:szCs w:val="28"/>
        </w:rPr>
        <w:t>]</w:t>
      </w:r>
      <w:r w:rsidRPr="00511005">
        <w:rPr>
          <w:rFonts w:ascii="Arial" w:eastAsia="Calibri" w:hAnsi="Arial" w:cs="Arial"/>
          <w:szCs w:val="28"/>
          <w:lang w:val="uk-UA"/>
        </w:rPr>
        <w:t>.</w:t>
      </w:r>
    </w:p>
    <w:p w14:paraId="07426C2B"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На рівні чинних міжнародних договорів, принцип недискримінації закріплено у статті 25 Міжнародного пакту про громадянські і політичні права 1966 р., яка гарантує кожному громадянину без дискримінації та необґрунтованих обмежень право брати участь в управлінні державою (безпосередньо або через представників), голосувати й бути обраним на чесних виборах, а також мати рівний доступ до державної служби у своїй країні [2</w:t>
      </w:r>
      <w:r w:rsidRPr="00511005">
        <w:rPr>
          <w:rFonts w:ascii="Arial" w:eastAsia="Calibri" w:hAnsi="Arial" w:cs="Arial"/>
          <w:szCs w:val="28"/>
        </w:rPr>
        <w:t>]</w:t>
      </w:r>
      <w:r w:rsidRPr="00511005">
        <w:rPr>
          <w:rFonts w:ascii="Arial" w:eastAsia="Calibri" w:hAnsi="Arial" w:cs="Arial"/>
          <w:szCs w:val="28"/>
          <w:lang w:val="uk-UA"/>
        </w:rPr>
        <w:t>. Із прийняттям у 2000 р. Протоколу № 12 до Конвенції про захист прав людини 1950 р. було значно розширено сферу застосування принципу недискримінації, оскільки цей протокол гарантує, що користування будь-яким правом, передбаченим законом, має бути забезпечене без будь-якої дискримінації</w:t>
      </w:r>
      <w:r w:rsidRPr="00511005">
        <w:rPr>
          <w:rFonts w:ascii="Arial" w:eastAsia="Calibri" w:hAnsi="Arial" w:cs="Arial"/>
          <w:szCs w:val="28"/>
        </w:rPr>
        <w:t xml:space="preserve"> [</w:t>
      </w:r>
      <w:r w:rsidRPr="00511005">
        <w:rPr>
          <w:rFonts w:ascii="Arial" w:eastAsia="Calibri" w:hAnsi="Arial" w:cs="Arial"/>
          <w:szCs w:val="28"/>
          <w:lang w:val="uk-UA"/>
        </w:rPr>
        <w:t>3</w:t>
      </w:r>
      <w:r w:rsidRPr="00511005">
        <w:rPr>
          <w:rFonts w:ascii="Arial" w:eastAsia="Calibri" w:hAnsi="Arial" w:cs="Arial"/>
          <w:szCs w:val="28"/>
        </w:rPr>
        <w:t>]</w:t>
      </w:r>
      <w:r w:rsidRPr="00511005">
        <w:rPr>
          <w:rFonts w:ascii="Arial" w:eastAsia="Calibri" w:hAnsi="Arial" w:cs="Arial"/>
          <w:szCs w:val="28"/>
          <w:lang w:val="uk-UA"/>
        </w:rPr>
        <w:t>.</w:t>
      </w:r>
    </w:p>
    <w:p w14:paraId="1A3C599B" w14:textId="70A4F35E"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Ключовим вітчизняним законодавчим актом у сфері недискримінації є Закон України «Про засади запобігання та протидії дискримінації в Україні» 2012 р. [4]. Цим законом закріплено визначення дискримінації, встановлено правові основи для класифікації її видів (пряма, непряма, підбурювання, пособництво, утиск), окреслено сутність принципу недискримінації в українському законодавстві, визначено основні напрями державної політики щодо запобігання та протидії дискримінації,</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встановлено механізми забезпечення запобігання та протидії дискримінації, включаючи суб'єктів, наділених відповідними повноваженнями; а також визначено відповідальність за порушення законодавства у цій сфері. Норми закону передбачають заборону будь-яких проявів дискримінації, за винятком позитивних заходів.</w:t>
      </w:r>
    </w:p>
    <w:p w14:paraId="18465AB0"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При розгляді порушеного питання, варто звернути увагу на Закон України «Про державну службу», який є основним нормативно-правовим актом, що визначає принципи, юридичні та організаційні основи публічної, професійної, політично нейтральної, дієвої та орієнтованої на громадян державної служби, яка працює в інтересах держави та суспільства. Він також встановлює порядок реалізації конституційного права громадян України на працю та рівний доступ до державної служби. Натомість Закон України «Про Національну поліцію» є спеціальним актом, який регулює виключно особливості державної служби в Національній поліції як центральному органі виконавчої влади, при цьому він не визначає на законодавчому рівні окремий вид державної служби. Водночас, служба в Національній поліції є однією з форм здійснення державної служби.</w:t>
      </w:r>
    </w:p>
    <w:p w14:paraId="5E11E16F"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Так, у статті 4 Закону України «Про державну службу», зазначено, що державна служба здійснюється, зокрема, на засаді «забезпечення рівного доступу до державної служби»</w:t>
      </w:r>
      <w:r w:rsidRPr="00511005">
        <w:rPr>
          <w:rFonts w:ascii="Arial" w:eastAsia="Calibri" w:hAnsi="Arial" w:cs="Arial"/>
          <w:szCs w:val="28"/>
        </w:rPr>
        <w:t xml:space="preserve"> [</w:t>
      </w:r>
      <w:r w:rsidRPr="00511005">
        <w:rPr>
          <w:rFonts w:ascii="Arial" w:eastAsia="Calibri" w:hAnsi="Arial" w:cs="Arial"/>
          <w:szCs w:val="28"/>
          <w:lang w:val="uk-UA"/>
        </w:rPr>
        <w:t>13</w:t>
      </w:r>
      <w:r w:rsidRPr="00511005">
        <w:rPr>
          <w:rFonts w:ascii="Arial" w:eastAsia="Calibri" w:hAnsi="Arial" w:cs="Arial"/>
          <w:szCs w:val="28"/>
        </w:rPr>
        <w:t>]</w:t>
      </w:r>
      <w:r w:rsidRPr="00511005">
        <w:rPr>
          <w:rFonts w:ascii="Arial" w:eastAsia="Calibri" w:hAnsi="Arial" w:cs="Arial"/>
          <w:szCs w:val="28"/>
          <w:lang w:val="uk-UA"/>
        </w:rPr>
        <w:t xml:space="preserve">. Суть цього принципу полягає у забороні </w:t>
      </w:r>
      <w:r w:rsidRPr="00511005">
        <w:rPr>
          <w:rFonts w:ascii="Arial" w:eastAsia="Calibri" w:hAnsi="Arial" w:cs="Arial"/>
          <w:szCs w:val="28"/>
          <w:lang w:val="uk-UA"/>
        </w:rPr>
        <w:lastRenderedPageBreak/>
        <w:t>будь-яких видів та проявів дискримінації, відсутності необґрунтованих обмежень або надання необґрунтованих переваг окремим групам громадян при вступі та проходженні державної служби. Відповідно до частини 5 статті 19 цього ж закону під час реалізації громадянами права на державну службу не допускаються будь-які форми дискримінації, визначені законодавством</w:t>
      </w:r>
      <w:r w:rsidRPr="00511005">
        <w:rPr>
          <w:rFonts w:ascii="Arial" w:eastAsia="Calibri" w:hAnsi="Arial" w:cs="Arial"/>
          <w:szCs w:val="28"/>
        </w:rPr>
        <w:t xml:space="preserve"> [</w:t>
      </w:r>
      <w:r w:rsidRPr="00511005">
        <w:rPr>
          <w:rFonts w:ascii="Arial" w:eastAsia="Calibri" w:hAnsi="Arial" w:cs="Arial"/>
          <w:szCs w:val="28"/>
          <w:lang w:val="uk-UA"/>
        </w:rPr>
        <w:t>13</w:t>
      </w:r>
      <w:r w:rsidRPr="00511005">
        <w:rPr>
          <w:rFonts w:ascii="Arial" w:eastAsia="Calibri" w:hAnsi="Arial" w:cs="Arial"/>
          <w:szCs w:val="28"/>
        </w:rPr>
        <w:t>]</w:t>
      </w:r>
      <w:r w:rsidRPr="00511005">
        <w:rPr>
          <w:rFonts w:ascii="Arial" w:eastAsia="Calibri" w:hAnsi="Arial" w:cs="Arial"/>
          <w:szCs w:val="28"/>
          <w:lang w:val="uk-UA"/>
        </w:rPr>
        <w:t>.</w:t>
      </w:r>
    </w:p>
    <w:p w14:paraId="6F0254CF"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Крім того, на законодавчому рівні одним із принципів діяльності поліції Законом України «Про Національну поліцію» визначено принцип верховенства права. Відповідно до доповіді, схваленої Венеційською Комісією на 86-му пленарному засіданні «За демократію через право» складовим елементом даного принципу є заборона дискримінації та рівність перед законом</w:t>
      </w:r>
      <w:r w:rsidRPr="00511005">
        <w:rPr>
          <w:rFonts w:ascii="Arial" w:eastAsia="Calibri" w:hAnsi="Arial" w:cs="Arial"/>
          <w:szCs w:val="28"/>
        </w:rPr>
        <w:t xml:space="preserve"> [</w:t>
      </w:r>
      <w:r w:rsidRPr="00511005">
        <w:rPr>
          <w:rFonts w:ascii="Arial" w:eastAsia="Calibri" w:hAnsi="Arial" w:cs="Arial"/>
          <w:szCs w:val="28"/>
          <w:lang w:val="uk-UA"/>
        </w:rPr>
        <w:t>5, с. 10</w:t>
      </w:r>
      <w:r w:rsidRPr="00511005">
        <w:rPr>
          <w:rFonts w:ascii="Arial" w:eastAsia="Calibri" w:hAnsi="Arial" w:cs="Arial"/>
          <w:szCs w:val="28"/>
        </w:rPr>
        <w:t>]</w:t>
      </w:r>
      <w:r w:rsidRPr="00511005">
        <w:rPr>
          <w:rFonts w:ascii="Arial" w:eastAsia="Calibri" w:hAnsi="Arial" w:cs="Arial"/>
          <w:szCs w:val="28"/>
          <w:lang w:val="uk-UA"/>
        </w:rPr>
        <w:t xml:space="preserve">. Водночас, частиною 5 статті 7 Закону України «Про Національну поліцію» закріплено, що будь-які привілеї або обмеження, зумовлені расою, кольором шкіри, політичними, релігійними та іншими поглядами, статтю, етнічним чи соціальним походженням, майновим статусом, місцем проживання, мовою або іншими ознаками, є неприпустимими в діяльності поліції [12]. Пункт 7 частини 3 статті 1 Закону України «Про Дисциплінарний статут Національної поліції України» 2018 р. прямо зобов’язує поліцейського утримуватися від будь-яких висловлювань та дій, що порушують права людини або принижують їхню честь і гідність [6]. </w:t>
      </w:r>
      <w:r w:rsidRPr="00511005">
        <w:rPr>
          <w:rFonts w:ascii="Arial" w:eastAsia="Calibri" w:hAnsi="Arial" w:cs="Arial"/>
          <w:szCs w:val="28"/>
        </w:rPr>
        <w:t xml:space="preserve">Це положення є фундаментальним для забезпечення поваги до прав кожної особи в діяльності поліції. </w:t>
      </w:r>
    </w:p>
    <w:p w14:paraId="477C8235"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Для детальнішої регламентації реалізації принципу недискримінації в діяльності поліції видано низку підзаконних нормативно-правових актів. Так, Наказ НАДС «Про затвердження Загальних правил етичної поведінки державних службовців та посадових осіб місцевого самоврядування» від 05.08.2016 р. поширює свою дію на усіх державних службовців, в тому числі й на поліцейських, та серед загальних обов’язків державного службовця закріплює положення щодо протидії дискримінації, сексуальних домагань та насильства за ознакою статі</w:t>
      </w:r>
      <w:r w:rsidRPr="00511005">
        <w:rPr>
          <w:rFonts w:ascii="Arial" w:eastAsia="Calibri" w:hAnsi="Arial" w:cs="Arial"/>
          <w:szCs w:val="28"/>
        </w:rPr>
        <w:t xml:space="preserve"> [</w:t>
      </w:r>
      <w:r w:rsidRPr="00511005">
        <w:rPr>
          <w:rFonts w:ascii="Arial" w:eastAsia="Calibri" w:hAnsi="Arial" w:cs="Arial"/>
          <w:szCs w:val="28"/>
          <w:lang w:val="uk-UA"/>
        </w:rPr>
        <w:t>7</w:t>
      </w:r>
      <w:r w:rsidRPr="00511005">
        <w:rPr>
          <w:rFonts w:ascii="Arial" w:eastAsia="Calibri" w:hAnsi="Arial" w:cs="Arial"/>
          <w:szCs w:val="28"/>
        </w:rPr>
        <w:t>]</w:t>
      </w:r>
      <w:r w:rsidRPr="00511005">
        <w:rPr>
          <w:rFonts w:ascii="Arial" w:eastAsia="Calibri" w:hAnsi="Arial" w:cs="Arial"/>
          <w:szCs w:val="28"/>
          <w:lang w:val="uk-UA"/>
        </w:rPr>
        <w:t>. Водночас, Наказ МВС «Про затвердження Правил етичної поведінки поліцейських» від 09.11.2016 р. № 1179 визначає професійно-етичні вимоги до поведінки поліцейських та прямо забороняє дискримінацію в будь-якій її формі [8]. З метою вдосконалення порядку реагування на прояви дискримінації та випадки сексуальних домагань в органах та підрозділах Національної поліції було видано Наказ МВС «Про затвердження Змін до деяких нормативно-правових актів Міністерства внутрішніх справ України» від 28.09.2022 р. № 615 [9].</w:t>
      </w:r>
    </w:p>
    <w:p w14:paraId="0E9C1295"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Наказ МВС «Про реалізацію окремих положень Дисциплінарного статуту Національної поліції України» від 07.11.2018 р. № 893 упорядковує процедуру призначення та проведення службових розслідувань за фактами порушення службової дисципліни поліцейськими [10]. Серед чітко визначених підстав для призначення службового розслідування є </w:t>
      </w:r>
      <w:r w:rsidRPr="00511005">
        <w:rPr>
          <w:rFonts w:ascii="Arial" w:eastAsia="Calibri" w:hAnsi="Arial" w:cs="Arial"/>
          <w:szCs w:val="28"/>
          <w:lang w:val="uk-UA"/>
        </w:rPr>
        <w:lastRenderedPageBreak/>
        <w:t>здійснення поліцейським дискримінації за різними ознаками (раси, кольору шкіри, політичних, релігійних та інших переконань, статі, етнічного та соціального походження, майнового стану, місця проживання, мовних або інших ознак) у будь-якій формі, а також сексуальних домагань.</w:t>
      </w:r>
    </w:p>
    <w:p w14:paraId="1481A41D"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Таким чином, підбиваючи підсумок, принцип недискримінації є ключовим елементом правового регулювання служби в Національній поліції України. Нормативно-правове забезпечення діяльності Національної поліції України містить чіткі вимоги щодо дотримання принципу недискримінації, встановлює етичні стандарти поведінки поліцейських та визначає механізми реагування на випадки дискримінації, включаючи проведення службових розслідувань та притягнення винних до відповідальності. Його послідовне та неухильне дотримання є не лише виконанням законодавчих вимог та міжнародних зобов’язань, але й необхідною умовою для забезпечення законності, справедливості та ефективності діяльності поліції, а також для зміцнення довіри суспільства до правоохоронних органів.</w:t>
      </w:r>
    </w:p>
    <w:p w14:paraId="4C81B909" w14:textId="77777777" w:rsidR="00B67481" w:rsidRPr="00511005" w:rsidRDefault="00B67481" w:rsidP="003A292D">
      <w:pPr>
        <w:spacing w:line="264" w:lineRule="auto"/>
        <w:rPr>
          <w:rFonts w:ascii="Arial" w:eastAsia="Calibri" w:hAnsi="Arial" w:cs="Arial"/>
          <w:szCs w:val="28"/>
          <w:lang w:val="uk-UA"/>
        </w:rPr>
      </w:pPr>
    </w:p>
    <w:p w14:paraId="27A47992" w14:textId="2D1DEF71" w:rsidR="00B67481" w:rsidRPr="00511005" w:rsidRDefault="007B2628" w:rsidP="007B2628">
      <w:pPr>
        <w:spacing w:line="264" w:lineRule="auto"/>
        <w:ind w:firstLine="0"/>
        <w:jc w:val="center"/>
        <w:rPr>
          <w:rFonts w:ascii="Arial" w:eastAsia="Calibri" w:hAnsi="Arial" w:cs="Arial"/>
          <w:b/>
          <w:bCs/>
          <w:iCs/>
          <w:szCs w:val="28"/>
          <w:lang w:val="uk-UA"/>
        </w:rPr>
      </w:pPr>
      <w:r w:rsidRPr="00511005">
        <w:rPr>
          <w:rFonts w:ascii="Arial" w:eastAsia="Calibri" w:hAnsi="Arial" w:cs="Arial"/>
          <w:b/>
          <w:bCs/>
          <w:iCs/>
          <w:szCs w:val="28"/>
          <w:lang w:val="uk-UA"/>
        </w:rPr>
        <w:t>Список використаних джерел</w:t>
      </w:r>
    </w:p>
    <w:p w14:paraId="6BD88DB5"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lang w:val="en-US"/>
        </w:rPr>
      </w:pPr>
      <w:r w:rsidRPr="00511005">
        <w:rPr>
          <w:rFonts w:ascii="Arial" w:eastAsia="Times New Roman" w:hAnsi="Arial" w:cs="Arial"/>
          <w:szCs w:val="28"/>
        </w:rPr>
        <w:t>Погребняк С. Роль принципу недискримінації в загальній концепції рівності</w:t>
      </w:r>
      <w:r w:rsidRPr="00511005">
        <w:rPr>
          <w:rFonts w:ascii="Arial" w:eastAsia="Times New Roman" w:hAnsi="Arial" w:cs="Arial"/>
          <w:szCs w:val="28"/>
          <w:lang w:val="uk-UA"/>
        </w:rPr>
        <w:t xml:space="preserve">. </w:t>
      </w:r>
      <w:r w:rsidRPr="00511005">
        <w:rPr>
          <w:rFonts w:ascii="Arial" w:eastAsia="Times New Roman" w:hAnsi="Arial" w:cs="Arial"/>
          <w:i/>
          <w:iCs/>
          <w:szCs w:val="28"/>
        </w:rPr>
        <w:t>Вісник Академії правових наук України</w:t>
      </w:r>
      <w:r w:rsidRPr="00511005">
        <w:rPr>
          <w:rFonts w:ascii="Arial" w:eastAsia="Times New Roman" w:hAnsi="Arial" w:cs="Arial"/>
          <w:szCs w:val="28"/>
        </w:rPr>
        <w:t>. 2007. № 3 (50). С. 23–34.</w:t>
      </w:r>
    </w:p>
    <w:p w14:paraId="6DC15761"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rPr>
      </w:pPr>
      <w:r w:rsidRPr="00511005">
        <w:rPr>
          <w:rFonts w:ascii="Arial" w:eastAsia="Times New Roman" w:hAnsi="Arial" w:cs="Arial"/>
          <w:szCs w:val="28"/>
          <w:lang w:val="uk-UA"/>
        </w:rPr>
        <w:t>Міжнародний пакт про громадянські і політичні права: ООН; Пакт, Міжнародний документ від 16.12.1966. U</w:t>
      </w:r>
      <w:r w:rsidRPr="00511005">
        <w:rPr>
          <w:rFonts w:ascii="Arial" w:eastAsia="Times New Roman" w:hAnsi="Arial" w:cs="Arial"/>
          <w:szCs w:val="28"/>
          <w:lang w:val="en-US"/>
        </w:rPr>
        <w:t>RL</w:t>
      </w:r>
      <w:r w:rsidRPr="00511005">
        <w:rPr>
          <w:rFonts w:ascii="Arial" w:eastAsia="Times New Roman" w:hAnsi="Arial" w:cs="Arial"/>
          <w:szCs w:val="28"/>
        </w:rPr>
        <w:t>:</w:t>
      </w:r>
      <w:r w:rsidRPr="00511005">
        <w:rPr>
          <w:rFonts w:ascii="Arial" w:eastAsia="Times New Roman" w:hAnsi="Arial" w:cs="Arial"/>
          <w:szCs w:val="28"/>
          <w:lang w:val="uk-UA"/>
        </w:rPr>
        <w:t xml:space="preserve"> </w:t>
      </w:r>
      <w:hyperlink r:id="rId920" w:anchor="Text" w:history="1">
        <w:r w:rsidRPr="00511005">
          <w:rPr>
            <w:rFonts w:ascii="Arial" w:eastAsia="Times New Roman" w:hAnsi="Arial" w:cs="Arial"/>
            <w:szCs w:val="28"/>
            <w:lang w:val="uk-UA"/>
          </w:rPr>
          <w:t>https://zakon.rada.gov.ua/laws/show/995_043#Text</w:t>
        </w:r>
      </w:hyperlink>
      <w:r w:rsidRPr="00511005">
        <w:rPr>
          <w:rFonts w:ascii="Arial" w:eastAsia="Times New Roman" w:hAnsi="Arial" w:cs="Arial"/>
          <w:szCs w:val="28"/>
          <w:lang w:val="uk-UA"/>
        </w:rPr>
        <w:t xml:space="preserve"> </w:t>
      </w:r>
      <w:r w:rsidRPr="00511005">
        <w:rPr>
          <w:rFonts w:ascii="Arial" w:eastAsia="Times New Roman" w:hAnsi="Arial" w:cs="Arial"/>
          <w:szCs w:val="28"/>
        </w:rPr>
        <w:t>(</w:t>
      </w:r>
      <w:r w:rsidRPr="00511005">
        <w:rPr>
          <w:rFonts w:ascii="Arial" w:eastAsia="Times New Roman" w:hAnsi="Arial" w:cs="Arial"/>
          <w:szCs w:val="28"/>
          <w:lang w:val="uk-UA"/>
        </w:rPr>
        <w:t xml:space="preserve">дата звернення: 07.05.2025 р.). </w:t>
      </w:r>
    </w:p>
    <w:p w14:paraId="2D42238B"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rPr>
      </w:pPr>
      <w:r w:rsidRPr="00511005">
        <w:rPr>
          <w:rFonts w:ascii="Arial" w:eastAsia="Times New Roman" w:hAnsi="Arial" w:cs="Arial"/>
          <w:szCs w:val="28"/>
          <w:lang w:val="uk-UA"/>
        </w:rPr>
        <w:t>Протокол №12 до Конвенції про захист прав людини і основоположних свобод (ETS N 177): Рада Європи; Протокол, Міжнародний документ від 04.11.2000 № 12. U</w:t>
      </w:r>
      <w:r w:rsidRPr="00511005">
        <w:rPr>
          <w:rFonts w:ascii="Arial" w:eastAsia="Times New Roman" w:hAnsi="Arial" w:cs="Arial"/>
          <w:szCs w:val="28"/>
          <w:lang w:val="en-US"/>
        </w:rPr>
        <w:t>RL</w:t>
      </w:r>
      <w:r w:rsidRPr="00511005">
        <w:rPr>
          <w:rFonts w:ascii="Arial" w:eastAsia="Times New Roman" w:hAnsi="Arial" w:cs="Arial"/>
          <w:szCs w:val="28"/>
        </w:rPr>
        <w:t xml:space="preserve">: </w:t>
      </w:r>
      <w:hyperlink r:id="rId921" w:anchor="Text"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zakon</w:t>
        </w:r>
        <w:r w:rsidRPr="00511005">
          <w:rPr>
            <w:rFonts w:ascii="Arial" w:eastAsia="Times New Roman" w:hAnsi="Arial" w:cs="Arial"/>
            <w:szCs w:val="28"/>
          </w:rPr>
          <w:t>.</w:t>
        </w:r>
        <w:r w:rsidRPr="00511005">
          <w:rPr>
            <w:rFonts w:ascii="Arial" w:eastAsia="Times New Roman" w:hAnsi="Arial" w:cs="Arial"/>
            <w:szCs w:val="28"/>
            <w:lang w:val="en-US"/>
          </w:rPr>
          <w:t>rada</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laws</w:t>
        </w:r>
        <w:r w:rsidRPr="00511005">
          <w:rPr>
            <w:rFonts w:ascii="Arial" w:eastAsia="Times New Roman" w:hAnsi="Arial" w:cs="Arial"/>
            <w:szCs w:val="28"/>
          </w:rPr>
          <w:t>/</w:t>
        </w:r>
        <w:r w:rsidRPr="00511005">
          <w:rPr>
            <w:rFonts w:ascii="Arial" w:eastAsia="Times New Roman" w:hAnsi="Arial" w:cs="Arial"/>
            <w:szCs w:val="28"/>
            <w:lang w:val="en-US"/>
          </w:rPr>
          <w:t>show</w:t>
        </w:r>
        <w:r w:rsidRPr="00511005">
          <w:rPr>
            <w:rFonts w:ascii="Arial" w:eastAsia="Times New Roman" w:hAnsi="Arial" w:cs="Arial"/>
            <w:szCs w:val="28"/>
          </w:rPr>
          <w:t>/994_537#</w:t>
        </w:r>
        <w:r w:rsidRPr="00511005">
          <w:rPr>
            <w:rFonts w:ascii="Arial" w:eastAsia="Times New Roman" w:hAnsi="Arial" w:cs="Arial"/>
            <w:szCs w:val="28"/>
            <w:lang w:val="en-US"/>
          </w:rPr>
          <w:t>Text</w:t>
        </w:r>
      </w:hyperlink>
      <w:r w:rsidRPr="00511005">
        <w:rPr>
          <w:rFonts w:ascii="Arial" w:eastAsia="Times New Roman" w:hAnsi="Arial" w:cs="Arial"/>
          <w:szCs w:val="28"/>
          <w:lang w:val="uk-UA"/>
        </w:rPr>
        <w:t xml:space="preserve"> </w:t>
      </w:r>
      <w:r w:rsidRPr="00511005">
        <w:rPr>
          <w:rFonts w:ascii="Arial" w:eastAsia="Times New Roman" w:hAnsi="Arial" w:cs="Arial"/>
          <w:szCs w:val="28"/>
        </w:rPr>
        <w:t>(</w:t>
      </w:r>
      <w:r w:rsidRPr="00511005">
        <w:rPr>
          <w:rFonts w:ascii="Arial" w:eastAsia="Times New Roman" w:hAnsi="Arial" w:cs="Arial"/>
          <w:szCs w:val="28"/>
          <w:lang w:val="uk-UA"/>
        </w:rPr>
        <w:t>дата звернення: 07.05.2025 р.).</w:t>
      </w:r>
    </w:p>
    <w:p w14:paraId="5D5A5659"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rPr>
      </w:pPr>
      <w:r w:rsidRPr="00511005">
        <w:rPr>
          <w:rFonts w:ascii="Arial" w:eastAsia="Times New Roman" w:hAnsi="Arial" w:cs="Arial"/>
          <w:szCs w:val="28"/>
          <w:lang w:val="uk-UA"/>
        </w:rPr>
        <w:t>Про засади запобігання та протидії дискримінації в Україні: Закон України від 06.09.2012 № 5207-VI. U</w:t>
      </w:r>
      <w:r w:rsidRPr="00511005">
        <w:rPr>
          <w:rFonts w:ascii="Arial" w:eastAsia="Times New Roman" w:hAnsi="Arial" w:cs="Arial"/>
          <w:szCs w:val="28"/>
          <w:lang w:val="en-US"/>
        </w:rPr>
        <w:t>RL</w:t>
      </w:r>
      <w:r w:rsidRPr="00511005">
        <w:rPr>
          <w:rFonts w:ascii="Arial" w:eastAsia="Times New Roman" w:hAnsi="Arial" w:cs="Arial"/>
          <w:szCs w:val="28"/>
        </w:rPr>
        <w:t>:</w:t>
      </w:r>
      <w:r w:rsidRPr="00511005">
        <w:rPr>
          <w:rFonts w:ascii="Arial" w:eastAsia="Times New Roman" w:hAnsi="Arial" w:cs="Arial"/>
          <w:szCs w:val="28"/>
          <w:lang w:val="uk-UA"/>
        </w:rPr>
        <w:t xml:space="preserve"> </w:t>
      </w:r>
      <w:hyperlink r:id="rId922" w:anchor="n15" w:history="1">
        <w:r w:rsidRPr="00511005">
          <w:rPr>
            <w:rFonts w:ascii="Arial" w:eastAsia="Times New Roman" w:hAnsi="Arial" w:cs="Arial"/>
            <w:szCs w:val="28"/>
            <w:lang w:val="uk-UA"/>
          </w:rPr>
          <w:t>https://zakon.rada.gov.ua/laws/show/5207-17#n15</w:t>
        </w:r>
      </w:hyperlink>
      <w:r w:rsidRPr="00511005">
        <w:rPr>
          <w:rFonts w:ascii="Arial" w:eastAsia="Times New Roman" w:hAnsi="Arial" w:cs="Arial"/>
          <w:szCs w:val="28"/>
          <w:lang w:val="uk-UA"/>
        </w:rPr>
        <w:t xml:space="preserve"> </w:t>
      </w:r>
      <w:r w:rsidRPr="00511005">
        <w:rPr>
          <w:rFonts w:ascii="Arial" w:eastAsia="Times New Roman" w:hAnsi="Arial" w:cs="Arial"/>
          <w:szCs w:val="28"/>
        </w:rPr>
        <w:t>(</w:t>
      </w:r>
      <w:r w:rsidRPr="00511005">
        <w:rPr>
          <w:rFonts w:ascii="Arial" w:eastAsia="Times New Roman" w:hAnsi="Arial" w:cs="Arial"/>
          <w:szCs w:val="28"/>
          <w:lang w:val="uk-UA"/>
        </w:rPr>
        <w:t>дата звернення: 06.05.2025 р.).</w:t>
      </w:r>
    </w:p>
    <w:p w14:paraId="6DAF7FC7"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rPr>
      </w:pPr>
      <w:r w:rsidRPr="00511005">
        <w:rPr>
          <w:rFonts w:ascii="Arial" w:eastAsia="Times New Roman" w:hAnsi="Arial" w:cs="Arial"/>
          <w:szCs w:val="28"/>
          <w:lang w:val="uk-UA"/>
        </w:rPr>
        <w:t>Є</w:t>
      </w:r>
      <w:r w:rsidRPr="00511005">
        <w:rPr>
          <w:rFonts w:ascii="Arial" w:eastAsia="Times New Roman" w:hAnsi="Arial" w:cs="Arial"/>
          <w:szCs w:val="28"/>
        </w:rPr>
        <w:t xml:space="preserve">вропейська </w:t>
      </w:r>
      <w:r w:rsidRPr="00511005">
        <w:rPr>
          <w:rFonts w:ascii="Arial" w:eastAsia="Times New Roman" w:hAnsi="Arial" w:cs="Arial"/>
          <w:szCs w:val="28"/>
          <w:lang w:val="uk-UA"/>
        </w:rPr>
        <w:t>К</w:t>
      </w:r>
      <w:r w:rsidRPr="00511005">
        <w:rPr>
          <w:rFonts w:ascii="Arial" w:eastAsia="Times New Roman" w:hAnsi="Arial" w:cs="Arial"/>
          <w:szCs w:val="28"/>
        </w:rPr>
        <w:t>омісія «</w:t>
      </w:r>
      <w:r w:rsidRPr="00511005">
        <w:rPr>
          <w:rFonts w:ascii="Arial" w:eastAsia="Times New Roman" w:hAnsi="Arial" w:cs="Arial"/>
          <w:szCs w:val="28"/>
          <w:lang w:val="uk-UA"/>
        </w:rPr>
        <w:t>З</w:t>
      </w:r>
      <w:r w:rsidRPr="00511005">
        <w:rPr>
          <w:rFonts w:ascii="Arial" w:eastAsia="Times New Roman" w:hAnsi="Arial" w:cs="Arial"/>
          <w:szCs w:val="28"/>
        </w:rPr>
        <w:t>а демократію через право» (</w:t>
      </w:r>
      <w:r w:rsidRPr="00511005">
        <w:rPr>
          <w:rFonts w:ascii="Arial" w:eastAsia="Times New Roman" w:hAnsi="Arial" w:cs="Arial"/>
          <w:szCs w:val="28"/>
          <w:lang w:val="uk-UA"/>
        </w:rPr>
        <w:t>В</w:t>
      </w:r>
      <w:r w:rsidRPr="00511005">
        <w:rPr>
          <w:rFonts w:ascii="Arial" w:eastAsia="Times New Roman" w:hAnsi="Arial" w:cs="Arial"/>
          <w:szCs w:val="28"/>
        </w:rPr>
        <w:t xml:space="preserve">енеційська </w:t>
      </w:r>
      <w:r w:rsidRPr="00511005">
        <w:rPr>
          <w:rFonts w:ascii="Arial" w:eastAsia="Times New Roman" w:hAnsi="Arial" w:cs="Arial"/>
          <w:szCs w:val="28"/>
          <w:lang w:val="uk-UA"/>
        </w:rPr>
        <w:t>К</w:t>
      </w:r>
      <w:r w:rsidRPr="00511005">
        <w:rPr>
          <w:rFonts w:ascii="Arial" w:eastAsia="Times New Roman" w:hAnsi="Arial" w:cs="Arial"/>
          <w:szCs w:val="28"/>
        </w:rPr>
        <w:t>омісія)</w:t>
      </w:r>
      <w:r w:rsidRPr="00511005">
        <w:rPr>
          <w:rFonts w:ascii="Arial" w:eastAsia="Times New Roman" w:hAnsi="Arial" w:cs="Arial"/>
          <w:szCs w:val="28"/>
          <w:lang w:val="uk-UA"/>
        </w:rPr>
        <w:t xml:space="preserve">. </w:t>
      </w:r>
      <w:r w:rsidRPr="00511005">
        <w:rPr>
          <w:rFonts w:ascii="Arial" w:eastAsia="Times New Roman" w:hAnsi="Arial" w:cs="Arial"/>
          <w:szCs w:val="28"/>
        </w:rPr>
        <w:t>Верховенство права</w:t>
      </w:r>
      <w:r w:rsidRPr="00511005">
        <w:rPr>
          <w:rFonts w:ascii="Arial" w:eastAsia="Times New Roman" w:hAnsi="Arial" w:cs="Arial"/>
          <w:szCs w:val="28"/>
          <w:lang w:val="uk-UA"/>
        </w:rPr>
        <w:t>.</w:t>
      </w:r>
      <w:r w:rsidRPr="00511005">
        <w:rPr>
          <w:rFonts w:ascii="Arial" w:eastAsia="Times New Roman" w:hAnsi="Arial" w:cs="Arial"/>
          <w:szCs w:val="28"/>
        </w:rPr>
        <w:t xml:space="preserve"> Доповідь, схвалена Венеційською Комісією на 86</w:t>
      </w:r>
      <w:r w:rsidRPr="00511005">
        <w:rPr>
          <w:rFonts w:ascii="Arial" w:eastAsia="Times New Roman" w:hAnsi="Arial" w:cs="Arial"/>
          <w:szCs w:val="28"/>
        </w:rPr>
        <w:softHyphen/>
      </w:r>
      <w:r w:rsidRPr="00511005">
        <w:rPr>
          <w:rFonts w:ascii="Arial" w:eastAsia="Times New Roman" w:hAnsi="Arial" w:cs="Arial"/>
          <w:szCs w:val="28"/>
          <w:lang w:val="uk-UA"/>
        </w:rPr>
        <w:t>-</w:t>
      </w:r>
      <w:r w:rsidRPr="00511005">
        <w:rPr>
          <w:rFonts w:ascii="Arial" w:eastAsia="Times New Roman" w:hAnsi="Arial" w:cs="Arial"/>
          <w:szCs w:val="28"/>
        </w:rPr>
        <w:t>му пленарному засіданні (Венеція, 25–26 березня 2011 року)</w:t>
      </w:r>
      <w:r w:rsidRPr="00511005">
        <w:rPr>
          <w:rFonts w:ascii="Arial" w:eastAsia="Times New Roman" w:hAnsi="Arial" w:cs="Arial"/>
          <w:szCs w:val="28"/>
          <w:lang w:val="uk-UA"/>
        </w:rPr>
        <w:t xml:space="preserve">. </w:t>
      </w:r>
      <w:r w:rsidRPr="00511005">
        <w:rPr>
          <w:rFonts w:ascii="Arial" w:eastAsia="Times New Roman" w:hAnsi="Arial" w:cs="Arial"/>
          <w:szCs w:val="28"/>
        </w:rPr>
        <w:t xml:space="preserve">Переклад на українську мову С. Головатого. </w:t>
      </w:r>
      <w:r w:rsidRPr="00511005">
        <w:rPr>
          <w:rFonts w:ascii="Arial" w:eastAsia="Times New Roman" w:hAnsi="Arial" w:cs="Arial"/>
          <w:szCs w:val="28"/>
          <w:lang w:val="en-US"/>
        </w:rPr>
        <w:t>URL</w:t>
      </w:r>
      <w:r w:rsidRPr="00511005">
        <w:rPr>
          <w:rFonts w:ascii="Arial" w:eastAsia="Times New Roman" w:hAnsi="Arial" w:cs="Arial"/>
          <w:szCs w:val="28"/>
        </w:rPr>
        <w:t xml:space="preserve">: </w:t>
      </w:r>
      <w:hyperlink r:id="rId923"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supreme</w:t>
        </w:r>
        <w:r w:rsidRPr="00511005">
          <w:rPr>
            <w:rFonts w:ascii="Arial" w:eastAsia="Times New Roman" w:hAnsi="Arial" w:cs="Arial"/>
            <w:szCs w:val="28"/>
          </w:rPr>
          <w:t>.</w:t>
        </w:r>
        <w:r w:rsidRPr="00511005">
          <w:rPr>
            <w:rFonts w:ascii="Arial" w:eastAsia="Times New Roman" w:hAnsi="Arial" w:cs="Arial"/>
            <w:szCs w:val="28"/>
            <w:lang w:val="en-US"/>
          </w:rPr>
          <w:t>court</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userfiles</w:t>
        </w:r>
        <w:r w:rsidRPr="00511005">
          <w:rPr>
            <w:rFonts w:ascii="Arial" w:eastAsia="Times New Roman" w:hAnsi="Arial" w:cs="Arial"/>
            <w:szCs w:val="28"/>
          </w:rPr>
          <w:t>/</w:t>
        </w:r>
        <w:r w:rsidRPr="00511005">
          <w:rPr>
            <w:rFonts w:ascii="Arial" w:eastAsia="Times New Roman" w:hAnsi="Arial" w:cs="Arial"/>
            <w:szCs w:val="28"/>
            <w:lang w:val="en-US"/>
          </w:rPr>
          <w:t>CDL</w:t>
        </w:r>
        <w:r w:rsidRPr="00511005">
          <w:rPr>
            <w:rFonts w:ascii="Arial" w:eastAsia="Times New Roman" w:hAnsi="Arial" w:cs="Arial"/>
            <w:szCs w:val="28"/>
          </w:rPr>
          <w:t>_</w:t>
        </w:r>
        <w:r w:rsidRPr="00511005">
          <w:rPr>
            <w:rFonts w:ascii="Arial" w:eastAsia="Times New Roman" w:hAnsi="Arial" w:cs="Arial"/>
            <w:szCs w:val="28"/>
            <w:lang w:val="en-US"/>
          </w:rPr>
          <w:t>AD</w:t>
        </w:r>
        <w:r w:rsidRPr="00511005">
          <w:rPr>
            <w:rFonts w:ascii="Arial" w:eastAsia="Times New Roman" w:hAnsi="Arial" w:cs="Arial"/>
            <w:szCs w:val="28"/>
          </w:rPr>
          <w:t>_2011_003_</w:t>
        </w:r>
        <w:r w:rsidRPr="00511005">
          <w:rPr>
            <w:rFonts w:ascii="Arial" w:eastAsia="Times New Roman" w:hAnsi="Arial" w:cs="Arial"/>
            <w:szCs w:val="28"/>
            <w:lang w:val="en-US"/>
          </w:rPr>
          <w:t>rev</w:t>
        </w:r>
        <w:r w:rsidRPr="00511005">
          <w:rPr>
            <w:rFonts w:ascii="Arial" w:eastAsia="Times New Roman" w:hAnsi="Arial" w:cs="Arial"/>
            <w:szCs w:val="28"/>
          </w:rPr>
          <w:t>_2011_04_04.</w:t>
        </w:r>
        <w:r w:rsidRPr="00511005">
          <w:rPr>
            <w:rFonts w:ascii="Arial" w:eastAsia="Times New Roman" w:hAnsi="Arial" w:cs="Arial"/>
            <w:szCs w:val="28"/>
            <w:lang w:val="en-US"/>
          </w:rPr>
          <w:t>pdf</w:t>
        </w:r>
      </w:hyperlink>
      <w:r w:rsidRPr="00511005">
        <w:rPr>
          <w:rFonts w:ascii="Arial" w:eastAsia="Times New Roman" w:hAnsi="Arial" w:cs="Arial"/>
          <w:szCs w:val="28"/>
        </w:rPr>
        <w:t xml:space="preserve">. </w:t>
      </w:r>
    </w:p>
    <w:p w14:paraId="00C5E145"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rPr>
      </w:pPr>
      <w:r w:rsidRPr="00511005">
        <w:rPr>
          <w:rFonts w:ascii="Arial" w:eastAsia="Times New Roman" w:hAnsi="Arial" w:cs="Arial"/>
          <w:szCs w:val="28"/>
        </w:rPr>
        <w:t>Про Дисциплінарний статут Національної поліції України</w:t>
      </w:r>
      <w:r w:rsidRPr="00511005">
        <w:rPr>
          <w:rFonts w:ascii="Arial" w:eastAsia="Times New Roman" w:hAnsi="Arial" w:cs="Arial"/>
          <w:szCs w:val="28"/>
          <w:lang w:val="uk-UA"/>
        </w:rPr>
        <w:t xml:space="preserve">: </w:t>
      </w:r>
      <w:r w:rsidRPr="00511005">
        <w:rPr>
          <w:rFonts w:ascii="Arial" w:eastAsia="Times New Roman" w:hAnsi="Arial" w:cs="Arial"/>
          <w:szCs w:val="28"/>
        </w:rPr>
        <w:t>Закон України; Статут від 15.03.2018 № 2337-VIII</w:t>
      </w:r>
      <w:r w:rsidRPr="00511005">
        <w:rPr>
          <w:rFonts w:ascii="Arial" w:eastAsia="Times New Roman" w:hAnsi="Arial" w:cs="Arial"/>
          <w:szCs w:val="28"/>
          <w:lang w:val="uk-UA"/>
        </w:rPr>
        <w:t>. U</w:t>
      </w:r>
      <w:r w:rsidRPr="00511005">
        <w:rPr>
          <w:rFonts w:ascii="Arial" w:eastAsia="Times New Roman" w:hAnsi="Arial" w:cs="Arial"/>
          <w:szCs w:val="28"/>
          <w:lang w:val="en-US"/>
        </w:rPr>
        <w:t>RL</w:t>
      </w:r>
      <w:r w:rsidRPr="00511005">
        <w:rPr>
          <w:rFonts w:ascii="Arial" w:eastAsia="Times New Roman" w:hAnsi="Arial" w:cs="Arial"/>
          <w:szCs w:val="28"/>
        </w:rPr>
        <w:t xml:space="preserve">: </w:t>
      </w:r>
      <w:hyperlink r:id="rId924" w:anchor="Text"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zakon</w:t>
        </w:r>
        <w:r w:rsidRPr="00511005">
          <w:rPr>
            <w:rFonts w:ascii="Arial" w:eastAsia="Times New Roman" w:hAnsi="Arial" w:cs="Arial"/>
            <w:szCs w:val="28"/>
          </w:rPr>
          <w:t>.</w:t>
        </w:r>
        <w:r w:rsidRPr="00511005">
          <w:rPr>
            <w:rFonts w:ascii="Arial" w:eastAsia="Times New Roman" w:hAnsi="Arial" w:cs="Arial"/>
            <w:szCs w:val="28"/>
            <w:lang w:val="en-US"/>
          </w:rPr>
          <w:t>rada</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laws</w:t>
        </w:r>
        <w:r w:rsidRPr="00511005">
          <w:rPr>
            <w:rFonts w:ascii="Arial" w:eastAsia="Times New Roman" w:hAnsi="Arial" w:cs="Arial"/>
            <w:szCs w:val="28"/>
          </w:rPr>
          <w:t>/</w:t>
        </w:r>
        <w:r w:rsidRPr="00511005">
          <w:rPr>
            <w:rFonts w:ascii="Arial" w:eastAsia="Times New Roman" w:hAnsi="Arial" w:cs="Arial"/>
            <w:szCs w:val="28"/>
            <w:lang w:val="en-US"/>
          </w:rPr>
          <w:t>show</w:t>
        </w:r>
        <w:r w:rsidRPr="00511005">
          <w:rPr>
            <w:rFonts w:ascii="Arial" w:eastAsia="Times New Roman" w:hAnsi="Arial" w:cs="Arial"/>
            <w:szCs w:val="28"/>
          </w:rPr>
          <w:t>/2337-19#</w:t>
        </w:r>
        <w:r w:rsidRPr="00511005">
          <w:rPr>
            <w:rFonts w:ascii="Arial" w:eastAsia="Times New Roman" w:hAnsi="Arial" w:cs="Arial"/>
            <w:szCs w:val="28"/>
            <w:lang w:val="en-US"/>
          </w:rPr>
          <w:t>Text</w:t>
        </w:r>
      </w:hyperlink>
      <w:r w:rsidRPr="00511005">
        <w:rPr>
          <w:rFonts w:ascii="Arial" w:eastAsia="Times New Roman" w:hAnsi="Arial" w:cs="Arial"/>
          <w:szCs w:val="28"/>
          <w:lang w:val="uk-UA"/>
        </w:rPr>
        <w:t xml:space="preserve"> </w:t>
      </w:r>
      <w:r w:rsidRPr="00511005">
        <w:rPr>
          <w:rFonts w:ascii="Arial" w:eastAsia="Times New Roman" w:hAnsi="Arial" w:cs="Arial"/>
          <w:szCs w:val="28"/>
        </w:rPr>
        <w:t>(</w:t>
      </w:r>
      <w:r w:rsidRPr="00511005">
        <w:rPr>
          <w:rFonts w:ascii="Arial" w:eastAsia="Times New Roman" w:hAnsi="Arial" w:cs="Arial"/>
          <w:szCs w:val="28"/>
          <w:lang w:val="uk-UA"/>
        </w:rPr>
        <w:t>дата звернення: 06.05.2025 р.).</w:t>
      </w:r>
    </w:p>
    <w:p w14:paraId="425FBDCD"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rPr>
      </w:pPr>
      <w:r w:rsidRPr="00511005">
        <w:rPr>
          <w:rFonts w:ascii="Arial" w:eastAsia="Times New Roman" w:hAnsi="Arial" w:cs="Arial"/>
          <w:szCs w:val="28"/>
        </w:rPr>
        <w:t>Про затвердження Загальних правил етичної поведінки державних службовців та посадових осіб місцевого самоврядування</w:t>
      </w:r>
      <w:r w:rsidRPr="00511005">
        <w:rPr>
          <w:rFonts w:ascii="Arial" w:eastAsia="Times New Roman" w:hAnsi="Arial" w:cs="Arial"/>
          <w:szCs w:val="28"/>
          <w:lang w:val="uk-UA"/>
        </w:rPr>
        <w:t xml:space="preserve">: </w:t>
      </w:r>
      <w:r w:rsidRPr="00511005">
        <w:rPr>
          <w:rFonts w:ascii="Arial" w:eastAsia="Times New Roman" w:hAnsi="Arial" w:cs="Arial"/>
          <w:szCs w:val="28"/>
        </w:rPr>
        <w:t>НАДС; Наказ, Правила від 05.08.2016 № 158</w:t>
      </w:r>
      <w:r w:rsidRPr="00511005">
        <w:rPr>
          <w:rFonts w:ascii="Arial" w:eastAsia="Times New Roman" w:hAnsi="Arial" w:cs="Arial"/>
          <w:szCs w:val="28"/>
          <w:lang w:val="uk-UA"/>
        </w:rPr>
        <w:t>. U</w:t>
      </w:r>
      <w:r w:rsidRPr="00511005">
        <w:rPr>
          <w:rFonts w:ascii="Arial" w:eastAsia="Times New Roman" w:hAnsi="Arial" w:cs="Arial"/>
          <w:szCs w:val="28"/>
          <w:lang w:val="en-US"/>
        </w:rPr>
        <w:t>RL</w:t>
      </w:r>
      <w:r w:rsidRPr="00511005">
        <w:rPr>
          <w:rFonts w:ascii="Arial" w:eastAsia="Times New Roman" w:hAnsi="Arial" w:cs="Arial"/>
          <w:szCs w:val="28"/>
        </w:rPr>
        <w:t>:</w:t>
      </w:r>
      <w:r w:rsidRPr="00511005">
        <w:rPr>
          <w:rFonts w:ascii="Arial" w:eastAsia="Times New Roman" w:hAnsi="Arial" w:cs="Arial"/>
          <w:szCs w:val="28"/>
          <w:lang w:val="uk-UA"/>
        </w:rPr>
        <w:t xml:space="preserve"> </w:t>
      </w:r>
      <w:hyperlink r:id="rId925" w:anchor="Text" w:history="1">
        <w:r w:rsidRPr="00511005">
          <w:rPr>
            <w:rFonts w:ascii="Arial" w:eastAsia="Times New Roman" w:hAnsi="Arial" w:cs="Arial"/>
            <w:szCs w:val="28"/>
            <w:lang w:val="uk-UA"/>
          </w:rPr>
          <w:t>https://zakon.rada.gov.ua/laws/show/z1203-16#Text</w:t>
        </w:r>
      </w:hyperlink>
      <w:r w:rsidRPr="00511005">
        <w:rPr>
          <w:rFonts w:ascii="Arial" w:eastAsia="Times New Roman" w:hAnsi="Arial" w:cs="Arial"/>
          <w:szCs w:val="28"/>
          <w:lang w:val="uk-UA"/>
        </w:rPr>
        <w:t xml:space="preserve"> </w:t>
      </w:r>
      <w:r w:rsidRPr="00511005">
        <w:rPr>
          <w:rFonts w:ascii="Arial" w:eastAsia="Times New Roman" w:hAnsi="Arial" w:cs="Arial"/>
          <w:szCs w:val="28"/>
        </w:rPr>
        <w:t>(</w:t>
      </w:r>
      <w:r w:rsidRPr="00511005">
        <w:rPr>
          <w:rFonts w:ascii="Arial" w:eastAsia="Times New Roman" w:hAnsi="Arial" w:cs="Arial"/>
          <w:szCs w:val="28"/>
          <w:lang w:val="uk-UA"/>
        </w:rPr>
        <w:t>дата звернення: 05.05.2025 р.).</w:t>
      </w:r>
    </w:p>
    <w:p w14:paraId="6E0141FB"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rPr>
      </w:pPr>
      <w:r w:rsidRPr="00511005">
        <w:rPr>
          <w:rFonts w:ascii="Arial" w:eastAsia="Times New Roman" w:hAnsi="Arial" w:cs="Arial"/>
          <w:szCs w:val="28"/>
        </w:rPr>
        <w:t xml:space="preserve">Про </w:t>
      </w:r>
      <w:proofErr w:type="gramStart"/>
      <w:r w:rsidRPr="00511005">
        <w:rPr>
          <w:rFonts w:ascii="Arial" w:eastAsia="Times New Roman" w:hAnsi="Arial" w:cs="Arial"/>
          <w:szCs w:val="28"/>
        </w:rPr>
        <w:t>затвердження Правил</w:t>
      </w:r>
      <w:proofErr w:type="gramEnd"/>
      <w:r w:rsidRPr="00511005">
        <w:rPr>
          <w:rFonts w:ascii="Arial" w:eastAsia="Times New Roman" w:hAnsi="Arial" w:cs="Arial"/>
          <w:szCs w:val="28"/>
        </w:rPr>
        <w:t xml:space="preserve"> етичної поведінки поліцейських</w:t>
      </w:r>
      <w:r w:rsidRPr="00511005">
        <w:rPr>
          <w:rFonts w:ascii="Arial" w:eastAsia="Times New Roman" w:hAnsi="Arial" w:cs="Arial"/>
          <w:szCs w:val="28"/>
          <w:lang w:val="uk-UA"/>
        </w:rPr>
        <w:t xml:space="preserve">: </w:t>
      </w:r>
      <w:r w:rsidRPr="00511005">
        <w:rPr>
          <w:rFonts w:ascii="Arial" w:eastAsia="Times New Roman" w:hAnsi="Arial" w:cs="Arial"/>
          <w:szCs w:val="28"/>
        </w:rPr>
        <w:t>МВС України; Наказ, Правила від 09.11.2016 № 1179</w:t>
      </w:r>
      <w:r w:rsidRPr="00511005">
        <w:rPr>
          <w:rFonts w:ascii="Arial" w:eastAsia="Times New Roman" w:hAnsi="Arial" w:cs="Arial"/>
          <w:szCs w:val="28"/>
          <w:lang w:val="uk-UA"/>
        </w:rPr>
        <w:t>. U</w:t>
      </w:r>
      <w:r w:rsidRPr="00511005">
        <w:rPr>
          <w:rFonts w:ascii="Arial" w:eastAsia="Times New Roman" w:hAnsi="Arial" w:cs="Arial"/>
          <w:szCs w:val="28"/>
          <w:lang w:val="en-US"/>
        </w:rPr>
        <w:t>RL</w:t>
      </w:r>
      <w:r w:rsidRPr="00511005">
        <w:rPr>
          <w:rFonts w:ascii="Arial" w:eastAsia="Times New Roman" w:hAnsi="Arial" w:cs="Arial"/>
          <w:szCs w:val="28"/>
        </w:rPr>
        <w:t>:</w:t>
      </w:r>
      <w:r w:rsidRPr="00511005">
        <w:rPr>
          <w:rFonts w:ascii="Arial" w:eastAsia="Times New Roman" w:hAnsi="Arial" w:cs="Arial"/>
          <w:szCs w:val="28"/>
          <w:lang w:val="uk-UA"/>
        </w:rPr>
        <w:t xml:space="preserve"> </w:t>
      </w:r>
      <w:hyperlink r:id="rId926" w:anchor="n30" w:history="1">
        <w:r w:rsidRPr="00511005">
          <w:rPr>
            <w:rFonts w:ascii="Arial" w:eastAsia="Times New Roman" w:hAnsi="Arial" w:cs="Arial"/>
            <w:szCs w:val="28"/>
            <w:lang w:val="uk-UA"/>
          </w:rPr>
          <w:t>https://zakon.rada.gov.ua/laws/show/z1576-16#n30</w:t>
        </w:r>
      </w:hyperlink>
      <w:r w:rsidRPr="00511005">
        <w:rPr>
          <w:rFonts w:ascii="Arial" w:eastAsia="Times New Roman" w:hAnsi="Arial" w:cs="Arial"/>
          <w:szCs w:val="28"/>
          <w:lang w:val="uk-UA"/>
        </w:rPr>
        <w:t xml:space="preserve"> </w:t>
      </w:r>
      <w:r w:rsidRPr="00511005">
        <w:rPr>
          <w:rFonts w:ascii="Arial" w:eastAsia="Times New Roman" w:hAnsi="Arial" w:cs="Arial"/>
          <w:szCs w:val="28"/>
        </w:rPr>
        <w:t>(</w:t>
      </w:r>
      <w:r w:rsidRPr="00511005">
        <w:rPr>
          <w:rFonts w:ascii="Arial" w:eastAsia="Times New Roman" w:hAnsi="Arial" w:cs="Arial"/>
          <w:szCs w:val="28"/>
          <w:lang w:val="uk-UA"/>
        </w:rPr>
        <w:t>дата звернення: 05.05.2025 р.).</w:t>
      </w:r>
    </w:p>
    <w:p w14:paraId="414D1DB0"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rPr>
      </w:pPr>
      <w:r w:rsidRPr="00511005">
        <w:rPr>
          <w:rFonts w:ascii="Arial" w:eastAsia="Times New Roman" w:hAnsi="Arial" w:cs="Arial"/>
          <w:szCs w:val="28"/>
        </w:rPr>
        <w:t>Про затвердження Змін до деяких нормативно-правових актів Міністерства внутрішніх справ України</w:t>
      </w:r>
      <w:r w:rsidRPr="00511005">
        <w:rPr>
          <w:rFonts w:ascii="Arial" w:eastAsia="Times New Roman" w:hAnsi="Arial" w:cs="Arial"/>
          <w:szCs w:val="28"/>
          <w:lang w:val="uk-UA"/>
        </w:rPr>
        <w:t xml:space="preserve">: </w:t>
      </w:r>
      <w:r w:rsidRPr="00511005">
        <w:rPr>
          <w:rFonts w:ascii="Arial" w:eastAsia="Times New Roman" w:hAnsi="Arial" w:cs="Arial"/>
          <w:szCs w:val="28"/>
        </w:rPr>
        <w:t>МВС України; Наказ від 28.09.2022 № 615</w:t>
      </w:r>
      <w:r w:rsidRPr="00511005">
        <w:rPr>
          <w:rFonts w:ascii="Arial" w:eastAsia="Times New Roman" w:hAnsi="Arial" w:cs="Arial"/>
          <w:szCs w:val="28"/>
          <w:lang w:val="uk-UA"/>
        </w:rPr>
        <w:t>. U</w:t>
      </w:r>
      <w:r w:rsidRPr="00511005">
        <w:rPr>
          <w:rFonts w:ascii="Arial" w:eastAsia="Times New Roman" w:hAnsi="Arial" w:cs="Arial"/>
          <w:szCs w:val="28"/>
          <w:lang w:val="en-US"/>
        </w:rPr>
        <w:t>RL</w:t>
      </w:r>
      <w:r w:rsidRPr="00511005">
        <w:rPr>
          <w:rFonts w:ascii="Arial" w:eastAsia="Times New Roman" w:hAnsi="Arial" w:cs="Arial"/>
          <w:szCs w:val="28"/>
        </w:rPr>
        <w:t xml:space="preserve">: </w:t>
      </w:r>
      <w:hyperlink r:id="rId927" w:anchor="Text"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zakon</w:t>
        </w:r>
        <w:r w:rsidRPr="00511005">
          <w:rPr>
            <w:rFonts w:ascii="Arial" w:eastAsia="Times New Roman" w:hAnsi="Arial" w:cs="Arial"/>
            <w:szCs w:val="28"/>
          </w:rPr>
          <w:t>.</w:t>
        </w:r>
        <w:r w:rsidRPr="00511005">
          <w:rPr>
            <w:rFonts w:ascii="Arial" w:eastAsia="Times New Roman" w:hAnsi="Arial" w:cs="Arial"/>
            <w:szCs w:val="28"/>
            <w:lang w:val="en-US"/>
          </w:rPr>
          <w:t>rada</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laws</w:t>
        </w:r>
        <w:r w:rsidRPr="00511005">
          <w:rPr>
            <w:rFonts w:ascii="Arial" w:eastAsia="Times New Roman" w:hAnsi="Arial" w:cs="Arial"/>
            <w:szCs w:val="28"/>
          </w:rPr>
          <w:t>/</w:t>
        </w:r>
        <w:r w:rsidRPr="00511005">
          <w:rPr>
            <w:rFonts w:ascii="Arial" w:eastAsia="Times New Roman" w:hAnsi="Arial" w:cs="Arial"/>
            <w:szCs w:val="28"/>
            <w:lang w:val="en-US"/>
          </w:rPr>
          <w:t>show</w:t>
        </w:r>
        <w:r w:rsidRPr="00511005">
          <w:rPr>
            <w:rFonts w:ascii="Arial" w:eastAsia="Times New Roman" w:hAnsi="Arial" w:cs="Arial"/>
            <w:szCs w:val="28"/>
          </w:rPr>
          <w:t>/</w:t>
        </w:r>
        <w:r w:rsidRPr="00511005">
          <w:rPr>
            <w:rFonts w:ascii="Arial" w:eastAsia="Times New Roman" w:hAnsi="Arial" w:cs="Arial"/>
            <w:szCs w:val="28"/>
            <w:lang w:val="en-US"/>
          </w:rPr>
          <w:t>z</w:t>
        </w:r>
        <w:r w:rsidRPr="00511005">
          <w:rPr>
            <w:rFonts w:ascii="Arial" w:eastAsia="Times New Roman" w:hAnsi="Arial" w:cs="Arial"/>
            <w:szCs w:val="28"/>
          </w:rPr>
          <w:t>1239-22#</w:t>
        </w:r>
        <w:r w:rsidRPr="00511005">
          <w:rPr>
            <w:rFonts w:ascii="Arial" w:eastAsia="Times New Roman" w:hAnsi="Arial" w:cs="Arial"/>
            <w:szCs w:val="28"/>
            <w:lang w:val="en-US"/>
          </w:rPr>
          <w:t>Text</w:t>
        </w:r>
      </w:hyperlink>
      <w:r w:rsidRPr="00511005">
        <w:rPr>
          <w:rFonts w:ascii="Arial" w:eastAsia="Times New Roman" w:hAnsi="Arial" w:cs="Arial"/>
          <w:szCs w:val="28"/>
          <w:lang w:val="uk-UA"/>
        </w:rPr>
        <w:t xml:space="preserve"> </w:t>
      </w:r>
      <w:r w:rsidRPr="00511005">
        <w:rPr>
          <w:rFonts w:ascii="Arial" w:eastAsia="Times New Roman" w:hAnsi="Arial" w:cs="Arial"/>
          <w:szCs w:val="28"/>
        </w:rPr>
        <w:t>(</w:t>
      </w:r>
      <w:r w:rsidRPr="00511005">
        <w:rPr>
          <w:rFonts w:ascii="Arial" w:eastAsia="Times New Roman" w:hAnsi="Arial" w:cs="Arial"/>
          <w:szCs w:val="28"/>
          <w:lang w:val="uk-UA"/>
        </w:rPr>
        <w:t>дата звернення: 05.05.2025 р.).</w:t>
      </w:r>
    </w:p>
    <w:p w14:paraId="4678CB2B" w14:textId="77777777" w:rsidR="00B67481" w:rsidRPr="00511005" w:rsidRDefault="005938AD" w:rsidP="003F6A5D">
      <w:pPr>
        <w:numPr>
          <w:ilvl w:val="0"/>
          <w:numId w:val="238"/>
        </w:numPr>
        <w:spacing w:line="264" w:lineRule="auto"/>
        <w:ind w:left="0" w:firstLine="709"/>
        <w:jc w:val="left"/>
        <w:rPr>
          <w:rFonts w:ascii="Arial" w:eastAsia="Times New Roman" w:hAnsi="Arial" w:cs="Arial"/>
          <w:szCs w:val="28"/>
        </w:rPr>
      </w:pPr>
      <w:hyperlink r:id="rId928" w:history="1">
        <w:r w:rsidR="00B67481" w:rsidRPr="00511005">
          <w:rPr>
            <w:rFonts w:ascii="Arial" w:eastAsia="Times New Roman" w:hAnsi="Arial" w:cs="Arial"/>
            <w:szCs w:val="28"/>
          </w:rPr>
          <w:t>Про реалізацію окремих положень Дисциплінарного статуту Національної поліції України</w:t>
        </w:r>
      </w:hyperlink>
      <w:r w:rsidR="00B67481" w:rsidRPr="00511005">
        <w:rPr>
          <w:rFonts w:ascii="Arial" w:eastAsia="Times New Roman" w:hAnsi="Arial" w:cs="Arial"/>
          <w:szCs w:val="28"/>
          <w:lang w:val="uk-UA"/>
        </w:rPr>
        <w:t xml:space="preserve">: </w:t>
      </w:r>
      <w:r w:rsidR="00B67481" w:rsidRPr="00511005">
        <w:rPr>
          <w:rFonts w:ascii="Arial" w:eastAsia="Times New Roman" w:hAnsi="Arial" w:cs="Arial"/>
          <w:szCs w:val="28"/>
        </w:rPr>
        <w:t>МВС України; Наказ, Порядок, Положеннявід 07.11.2018 № 893</w:t>
      </w:r>
      <w:r w:rsidR="00B67481" w:rsidRPr="00511005">
        <w:rPr>
          <w:rFonts w:ascii="Arial" w:eastAsia="Times New Roman" w:hAnsi="Arial" w:cs="Arial"/>
          <w:szCs w:val="28"/>
          <w:lang w:val="uk-UA"/>
        </w:rPr>
        <w:t>. U</w:t>
      </w:r>
      <w:r w:rsidR="00B67481" w:rsidRPr="00511005">
        <w:rPr>
          <w:rFonts w:ascii="Arial" w:eastAsia="Times New Roman" w:hAnsi="Arial" w:cs="Arial"/>
          <w:szCs w:val="28"/>
          <w:lang w:val="en-US"/>
        </w:rPr>
        <w:t>RL</w:t>
      </w:r>
      <w:r w:rsidR="00B67481" w:rsidRPr="00511005">
        <w:rPr>
          <w:rFonts w:ascii="Arial" w:eastAsia="Times New Roman" w:hAnsi="Arial" w:cs="Arial"/>
          <w:szCs w:val="28"/>
        </w:rPr>
        <w:t xml:space="preserve">: </w:t>
      </w:r>
      <w:hyperlink r:id="rId929" w:anchor="n17" w:history="1">
        <w:r w:rsidR="00B67481" w:rsidRPr="00511005">
          <w:rPr>
            <w:rFonts w:ascii="Arial" w:eastAsia="Times New Roman" w:hAnsi="Arial" w:cs="Arial"/>
            <w:szCs w:val="28"/>
            <w:lang w:val="en-US"/>
          </w:rPr>
          <w:t>https</w:t>
        </w:r>
        <w:r w:rsidR="00B67481" w:rsidRPr="00511005">
          <w:rPr>
            <w:rFonts w:ascii="Arial" w:eastAsia="Times New Roman" w:hAnsi="Arial" w:cs="Arial"/>
            <w:szCs w:val="28"/>
          </w:rPr>
          <w:t>://</w:t>
        </w:r>
        <w:r w:rsidR="00B67481" w:rsidRPr="00511005">
          <w:rPr>
            <w:rFonts w:ascii="Arial" w:eastAsia="Times New Roman" w:hAnsi="Arial" w:cs="Arial"/>
            <w:szCs w:val="28"/>
            <w:lang w:val="en-US"/>
          </w:rPr>
          <w:t>zakon</w:t>
        </w:r>
        <w:r w:rsidR="00B67481" w:rsidRPr="00511005">
          <w:rPr>
            <w:rFonts w:ascii="Arial" w:eastAsia="Times New Roman" w:hAnsi="Arial" w:cs="Arial"/>
            <w:szCs w:val="28"/>
          </w:rPr>
          <w:t>.</w:t>
        </w:r>
        <w:r w:rsidR="00B67481" w:rsidRPr="00511005">
          <w:rPr>
            <w:rFonts w:ascii="Arial" w:eastAsia="Times New Roman" w:hAnsi="Arial" w:cs="Arial"/>
            <w:szCs w:val="28"/>
            <w:lang w:val="en-US"/>
          </w:rPr>
          <w:t>rada</w:t>
        </w:r>
        <w:r w:rsidR="00B67481" w:rsidRPr="00511005">
          <w:rPr>
            <w:rFonts w:ascii="Arial" w:eastAsia="Times New Roman" w:hAnsi="Arial" w:cs="Arial"/>
            <w:szCs w:val="28"/>
          </w:rPr>
          <w:t>.</w:t>
        </w:r>
        <w:r w:rsidR="00B67481" w:rsidRPr="00511005">
          <w:rPr>
            <w:rFonts w:ascii="Arial" w:eastAsia="Times New Roman" w:hAnsi="Arial" w:cs="Arial"/>
            <w:szCs w:val="28"/>
            <w:lang w:val="en-US"/>
          </w:rPr>
          <w:t>gov</w:t>
        </w:r>
        <w:r w:rsidR="00B67481" w:rsidRPr="00511005">
          <w:rPr>
            <w:rFonts w:ascii="Arial" w:eastAsia="Times New Roman" w:hAnsi="Arial" w:cs="Arial"/>
            <w:szCs w:val="28"/>
          </w:rPr>
          <w:t>.</w:t>
        </w:r>
        <w:r w:rsidR="00B67481" w:rsidRPr="00511005">
          <w:rPr>
            <w:rFonts w:ascii="Arial" w:eastAsia="Times New Roman" w:hAnsi="Arial" w:cs="Arial"/>
            <w:szCs w:val="28"/>
            <w:lang w:val="en-US"/>
          </w:rPr>
          <w:t>ua</w:t>
        </w:r>
        <w:r w:rsidR="00B67481" w:rsidRPr="00511005">
          <w:rPr>
            <w:rFonts w:ascii="Arial" w:eastAsia="Times New Roman" w:hAnsi="Arial" w:cs="Arial"/>
            <w:szCs w:val="28"/>
          </w:rPr>
          <w:t>/</w:t>
        </w:r>
        <w:r w:rsidR="00B67481" w:rsidRPr="00511005">
          <w:rPr>
            <w:rFonts w:ascii="Arial" w:eastAsia="Times New Roman" w:hAnsi="Arial" w:cs="Arial"/>
            <w:szCs w:val="28"/>
            <w:lang w:val="en-US"/>
          </w:rPr>
          <w:t>laws</w:t>
        </w:r>
        <w:r w:rsidR="00B67481" w:rsidRPr="00511005">
          <w:rPr>
            <w:rFonts w:ascii="Arial" w:eastAsia="Times New Roman" w:hAnsi="Arial" w:cs="Arial"/>
            <w:szCs w:val="28"/>
          </w:rPr>
          <w:t>/</w:t>
        </w:r>
        <w:r w:rsidR="00B67481" w:rsidRPr="00511005">
          <w:rPr>
            <w:rFonts w:ascii="Arial" w:eastAsia="Times New Roman" w:hAnsi="Arial" w:cs="Arial"/>
            <w:szCs w:val="28"/>
            <w:lang w:val="en-US"/>
          </w:rPr>
          <w:t>show</w:t>
        </w:r>
        <w:r w:rsidR="00B67481" w:rsidRPr="00511005">
          <w:rPr>
            <w:rFonts w:ascii="Arial" w:eastAsia="Times New Roman" w:hAnsi="Arial" w:cs="Arial"/>
            <w:szCs w:val="28"/>
          </w:rPr>
          <w:t>/</w:t>
        </w:r>
        <w:r w:rsidR="00B67481" w:rsidRPr="00511005">
          <w:rPr>
            <w:rFonts w:ascii="Arial" w:eastAsia="Times New Roman" w:hAnsi="Arial" w:cs="Arial"/>
            <w:szCs w:val="28"/>
            <w:lang w:val="en-US"/>
          </w:rPr>
          <w:t>z</w:t>
        </w:r>
        <w:r w:rsidR="00B67481" w:rsidRPr="00511005">
          <w:rPr>
            <w:rFonts w:ascii="Arial" w:eastAsia="Times New Roman" w:hAnsi="Arial" w:cs="Arial"/>
            <w:szCs w:val="28"/>
          </w:rPr>
          <w:t>1355-18#</w:t>
        </w:r>
        <w:r w:rsidR="00B67481" w:rsidRPr="00511005">
          <w:rPr>
            <w:rFonts w:ascii="Arial" w:eastAsia="Times New Roman" w:hAnsi="Arial" w:cs="Arial"/>
            <w:szCs w:val="28"/>
            <w:lang w:val="en-US"/>
          </w:rPr>
          <w:t>n</w:t>
        </w:r>
        <w:r w:rsidR="00B67481" w:rsidRPr="00511005">
          <w:rPr>
            <w:rFonts w:ascii="Arial" w:eastAsia="Times New Roman" w:hAnsi="Arial" w:cs="Arial"/>
            <w:szCs w:val="28"/>
          </w:rPr>
          <w:t>17</w:t>
        </w:r>
      </w:hyperlink>
      <w:r w:rsidR="00B67481" w:rsidRPr="00511005">
        <w:rPr>
          <w:rFonts w:ascii="Arial" w:eastAsia="Times New Roman" w:hAnsi="Arial" w:cs="Arial"/>
          <w:szCs w:val="28"/>
          <w:lang w:val="uk-UA"/>
        </w:rPr>
        <w:t xml:space="preserve"> </w:t>
      </w:r>
      <w:r w:rsidR="00B67481" w:rsidRPr="00511005">
        <w:rPr>
          <w:rFonts w:ascii="Arial" w:eastAsia="Times New Roman" w:hAnsi="Arial" w:cs="Arial"/>
          <w:szCs w:val="28"/>
        </w:rPr>
        <w:t>(</w:t>
      </w:r>
      <w:r w:rsidR="00B67481" w:rsidRPr="00511005">
        <w:rPr>
          <w:rFonts w:ascii="Arial" w:eastAsia="Times New Roman" w:hAnsi="Arial" w:cs="Arial"/>
          <w:szCs w:val="28"/>
          <w:lang w:val="uk-UA"/>
        </w:rPr>
        <w:t>дата звернення: 06.05.2025 р.).</w:t>
      </w:r>
    </w:p>
    <w:p w14:paraId="23170F7B"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rPr>
      </w:pPr>
      <w:r w:rsidRPr="00511005">
        <w:rPr>
          <w:rFonts w:ascii="Arial" w:eastAsia="Times New Roman" w:hAnsi="Arial" w:cs="Arial"/>
          <w:szCs w:val="28"/>
          <w:lang w:val="uk-UA"/>
        </w:rPr>
        <w:t>Конституція України: Закон України від 28.06.1996 № 254к/96-ВР. U</w:t>
      </w:r>
      <w:r w:rsidRPr="00511005">
        <w:rPr>
          <w:rFonts w:ascii="Arial" w:eastAsia="Times New Roman" w:hAnsi="Arial" w:cs="Arial"/>
          <w:szCs w:val="28"/>
          <w:lang w:val="en-US"/>
        </w:rPr>
        <w:t>RL</w:t>
      </w:r>
      <w:r w:rsidRPr="00511005">
        <w:rPr>
          <w:rFonts w:ascii="Arial" w:eastAsia="Times New Roman" w:hAnsi="Arial" w:cs="Arial"/>
          <w:szCs w:val="28"/>
        </w:rPr>
        <w:t xml:space="preserve">: </w:t>
      </w:r>
      <w:hyperlink r:id="rId930" w:anchor="Text"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zakon</w:t>
        </w:r>
        <w:r w:rsidRPr="00511005">
          <w:rPr>
            <w:rFonts w:ascii="Arial" w:eastAsia="Times New Roman" w:hAnsi="Arial" w:cs="Arial"/>
            <w:szCs w:val="28"/>
          </w:rPr>
          <w:t>.</w:t>
        </w:r>
        <w:r w:rsidRPr="00511005">
          <w:rPr>
            <w:rFonts w:ascii="Arial" w:eastAsia="Times New Roman" w:hAnsi="Arial" w:cs="Arial"/>
            <w:szCs w:val="28"/>
            <w:lang w:val="en-US"/>
          </w:rPr>
          <w:t>rada</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laws</w:t>
        </w:r>
        <w:r w:rsidRPr="00511005">
          <w:rPr>
            <w:rFonts w:ascii="Arial" w:eastAsia="Times New Roman" w:hAnsi="Arial" w:cs="Arial"/>
            <w:szCs w:val="28"/>
          </w:rPr>
          <w:t>/</w:t>
        </w:r>
        <w:r w:rsidRPr="00511005">
          <w:rPr>
            <w:rFonts w:ascii="Arial" w:eastAsia="Times New Roman" w:hAnsi="Arial" w:cs="Arial"/>
            <w:szCs w:val="28"/>
            <w:lang w:val="en-US"/>
          </w:rPr>
          <w:t>show</w:t>
        </w:r>
        <w:r w:rsidRPr="00511005">
          <w:rPr>
            <w:rFonts w:ascii="Arial" w:eastAsia="Times New Roman" w:hAnsi="Arial" w:cs="Arial"/>
            <w:szCs w:val="28"/>
          </w:rPr>
          <w:t>/254%</w:t>
        </w:r>
        <w:r w:rsidRPr="00511005">
          <w:rPr>
            <w:rFonts w:ascii="Arial" w:eastAsia="Times New Roman" w:hAnsi="Arial" w:cs="Arial"/>
            <w:szCs w:val="28"/>
            <w:lang w:val="en-US"/>
          </w:rPr>
          <w:t>D</w:t>
        </w:r>
        <w:r w:rsidRPr="00511005">
          <w:rPr>
            <w:rFonts w:ascii="Arial" w:eastAsia="Times New Roman" w:hAnsi="Arial" w:cs="Arial"/>
            <w:szCs w:val="28"/>
          </w:rPr>
          <w:t>0%</w:t>
        </w:r>
        <w:r w:rsidRPr="00511005">
          <w:rPr>
            <w:rFonts w:ascii="Arial" w:eastAsia="Times New Roman" w:hAnsi="Arial" w:cs="Arial"/>
            <w:szCs w:val="28"/>
            <w:lang w:val="en-US"/>
          </w:rPr>
          <w:t>BA</w:t>
        </w:r>
        <w:r w:rsidRPr="00511005">
          <w:rPr>
            <w:rFonts w:ascii="Arial" w:eastAsia="Times New Roman" w:hAnsi="Arial" w:cs="Arial"/>
            <w:szCs w:val="28"/>
          </w:rPr>
          <w:t>/96-%</w:t>
        </w:r>
        <w:r w:rsidRPr="00511005">
          <w:rPr>
            <w:rFonts w:ascii="Arial" w:eastAsia="Times New Roman" w:hAnsi="Arial" w:cs="Arial"/>
            <w:szCs w:val="28"/>
            <w:lang w:val="en-US"/>
          </w:rPr>
          <w:t>D</w:t>
        </w:r>
        <w:r w:rsidRPr="00511005">
          <w:rPr>
            <w:rFonts w:ascii="Arial" w:eastAsia="Times New Roman" w:hAnsi="Arial" w:cs="Arial"/>
            <w:szCs w:val="28"/>
          </w:rPr>
          <w:t>0%</w:t>
        </w:r>
        <w:r w:rsidRPr="00511005">
          <w:rPr>
            <w:rFonts w:ascii="Arial" w:eastAsia="Times New Roman" w:hAnsi="Arial" w:cs="Arial"/>
            <w:szCs w:val="28"/>
            <w:lang w:val="en-US"/>
          </w:rPr>
          <w:t>B</w:t>
        </w:r>
        <w:r w:rsidRPr="00511005">
          <w:rPr>
            <w:rFonts w:ascii="Arial" w:eastAsia="Times New Roman" w:hAnsi="Arial" w:cs="Arial"/>
            <w:szCs w:val="28"/>
          </w:rPr>
          <w:t>2%</w:t>
        </w:r>
        <w:r w:rsidRPr="00511005">
          <w:rPr>
            <w:rFonts w:ascii="Arial" w:eastAsia="Times New Roman" w:hAnsi="Arial" w:cs="Arial"/>
            <w:szCs w:val="28"/>
            <w:lang w:val="en-US"/>
          </w:rPr>
          <w:t>D</w:t>
        </w:r>
        <w:r w:rsidRPr="00511005">
          <w:rPr>
            <w:rFonts w:ascii="Arial" w:eastAsia="Times New Roman" w:hAnsi="Arial" w:cs="Arial"/>
            <w:szCs w:val="28"/>
          </w:rPr>
          <w:t>1%80#</w:t>
        </w:r>
        <w:r w:rsidRPr="00511005">
          <w:rPr>
            <w:rFonts w:ascii="Arial" w:eastAsia="Times New Roman" w:hAnsi="Arial" w:cs="Arial"/>
            <w:szCs w:val="28"/>
            <w:lang w:val="en-US"/>
          </w:rPr>
          <w:t>Text</w:t>
        </w:r>
      </w:hyperlink>
      <w:r w:rsidRPr="00511005">
        <w:rPr>
          <w:rFonts w:ascii="Arial" w:eastAsia="Times New Roman" w:hAnsi="Arial" w:cs="Arial"/>
          <w:szCs w:val="28"/>
        </w:rPr>
        <w:t xml:space="preserve"> (</w:t>
      </w:r>
      <w:r w:rsidRPr="00511005">
        <w:rPr>
          <w:rFonts w:ascii="Arial" w:eastAsia="Times New Roman" w:hAnsi="Arial" w:cs="Arial"/>
          <w:szCs w:val="28"/>
          <w:lang w:val="uk-UA"/>
        </w:rPr>
        <w:t>дата звернення: 08.05.2025 р.).</w:t>
      </w:r>
    </w:p>
    <w:p w14:paraId="46B9B9E0"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rPr>
      </w:pPr>
      <w:r w:rsidRPr="00511005">
        <w:rPr>
          <w:rFonts w:ascii="Arial" w:eastAsia="Times New Roman" w:hAnsi="Arial" w:cs="Arial"/>
          <w:szCs w:val="28"/>
          <w:lang w:val="uk-UA"/>
        </w:rPr>
        <w:t>Про Національну поліцію: Закон України від 02.07.2015 № 580-VIII. U</w:t>
      </w:r>
      <w:r w:rsidRPr="00511005">
        <w:rPr>
          <w:rFonts w:ascii="Arial" w:eastAsia="Times New Roman" w:hAnsi="Arial" w:cs="Arial"/>
          <w:szCs w:val="28"/>
          <w:lang w:val="en-US"/>
        </w:rPr>
        <w:t>RL</w:t>
      </w:r>
      <w:r w:rsidRPr="00511005">
        <w:rPr>
          <w:rFonts w:ascii="Arial" w:eastAsia="Times New Roman" w:hAnsi="Arial" w:cs="Arial"/>
          <w:szCs w:val="28"/>
        </w:rPr>
        <w:t xml:space="preserve">: </w:t>
      </w:r>
      <w:hyperlink r:id="rId931" w:anchor="n27"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zakon</w:t>
        </w:r>
        <w:r w:rsidRPr="00511005">
          <w:rPr>
            <w:rFonts w:ascii="Arial" w:eastAsia="Times New Roman" w:hAnsi="Arial" w:cs="Arial"/>
            <w:szCs w:val="28"/>
          </w:rPr>
          <w:t>.</w:t>
        </w:r>
        <w:r w:rsidRPr="00511005">
          <w:rPr>
            <w:rFonts w:ascii="Arial" w:eastAsia="Times New Roman" w:hAnsi="Arial" w:cs="Arial"/>
            <w:szCs w:val="28"/>
            <w:lang w:val="en-US"/>
          </w:rPr>
          <w:t>rada</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laws</w:t>
        </w:r>
        <w:r w:rsidRPr="00511005">
          <w:rPr>
            <w:rFonts w:ascii="Arial" w:eastAsia="Times New Roman" w:hAnsi="Arial" w:cs="Arial"/>
            <w:szCs w:val="28"/>
          </w:rPr>
          <w:t>/</w:t>
        </w:r>
        <w:r w:rsidRPr="00511005">
          <w:rPr>
            <w:rFonts w:ascii="Arial" w:eastAsia="Times New Roman" w:hAnsi="Arial" w:cs="Arial"/>
            <w:szCs w:val="28"/>
            <w:lang w:val="en-US"/>
          </w:rPr>
          <w:t>show</w:t>
        </w:r>
        <w:r w:rsidRPr="00511005">
          <w:rPr>
            <w:rFonts w:ascii="Arial" w:eastAsia="Times New Roman" w:hAnsi="Arial" w:cs="Arial"/>
            <w:szCs w:val="28"/>
          </w:rPr>
          <w:t>/580-19#</w:t>
        </w:r>
        <w:r w:rsidRPr="00511005">
          <w:rPr>
            <w:rFonts w:ascii="Arial" w:eastAsia="Times New Roman" w:hAnsi="Arial" w:cs="Arial"/>
            <w:szCs w:val="28"/>
            <w:lang w:val="en-US"/>
          </w:rPr>
          <w:t>n</w:t>
        </w:r>
        <w:r w:rsidRPr="00511005">
          <w:rPr>
            <w:rFonts w:ascii="Arial" w:eastAsia="Times New Roman" w:hAnsi="Arial" w:cs="Arial"/>
            <w:szCs w:val="28"/>
          </w:rPr>
          <w:t>27</w:t>
        </w:r>
      </w:hyperlink>
      <w:r w:rsidRPr="00511005">
        <w:rPr>
          <w:rFonts w:ascii="Arial" w:eastAsia="Times New Roman" w:hAnsi="Arial" w:cs="Arial"/>
          <w:szCs w:val="28"/>
          <w:lang w:val="uk-UA"/>
        </w:rPr>
        <w:t xml:space="preserve"> </w:t>
      </w:r>
      <w:r w:rsidRPr="00511005">
        <w:rPr>
          <w:rFonts w:ascii="Arial" w:eastAsia="Times New Roman" w:hAnsi="Arial" w:cs="Arial"/>
          <w:szCs w:val="28"/>
        </w:rPr>
        <w:t>(</w:t>
      </w:r>
      <w:r w:rsidRPr="00511005">
        <w:rPr>
          <w:rFonts w:ascii="Arial" w:eastAsia="Times New Roman" w:hAnsi="Arial" w:cs="Arial"/>
          <w:szCs w:val="28"/>
          <w:lang w:val="uk-UA"/>
        </w:rPr>
        <w:t>дата звернення: 06.05.2025 р.).</w:t>
      </w:r>
    </w:p>
    <w:p w14:paraId="5E1C9832" w14:textId="77777777" w:rsidR="00B67481" w:rsidRPr="00511005" w:rsidRDefault="00B67481" w:rsidP="003F6A5D">
      <w:pPr>
        <w:numPr>
          <w:ilvl w:val="0"/>
          <w:numId w:val="238"/>
        </w:numPr>
        <w:spacing w:line="264" w:lineRule="auto"/>
        <w:ind w:left="0" w:firstLine="709"/>
        <w:jc w:val="left"/>
        <w:rPr>
          <w:rFonts w:ascii="Arial" w:eastAsia="Times New Roman" w:hAnsi="Arial" w:cs="Arial"/>
          <w:szCs w:val="28"/>
        </w:rPr>
      </w:pPr>
      <w:r w:rsidRPr="00511005">
        <w:rPr>
          <w:rFonts w:ascii="Arial" w:eastAsia="Times New Roman" w:hAnsi="Arial" w:cs="Arial"/>
          <w:szCs w:val="28"/>
          <w:lang w:val="uk-UA"/>
        </w:rPr>
        <w:t>Про державну службу: Закон України від 10.12.2015 № 889-VIII. U</w:t>
      </w:r>
      <w:r w:rsidRPr="00511005">
        <w:rPr>
          <w:rFonts w:ascii="Arial" w:eastAsia="Times New Roman" w:hAnsi="Arial" w:cs="Arial"/>
          <w:szCs w:val="28"/>
          <w:lang w:val="en-US"/>
        </w:rPr>
        <w:t>RL</w:t>
      </w:r>
      <w:r w:rsidRPr="00511005">
        <w:rPr>
          <w:rFonts w:ascii="Arial" w:eastAsia="Times New Roman" w:hAnsi="Arial" w:cs="Arial"/>
          <w:szCs w:val="28"/>
        </w:rPr>
        <w:t>:</w:t>
      </w:r>
      <w:r w:rsidRPr="00511005">
        <w:rPr>
          <w:rFonts w:ascii="Arial" w:eastAsia="Times New Roman" w:hAnsi="Arial" w:cs="Arial"/>
          <w:szCs w:val="28"/>
          <w:lang w:val="uk-UA"/>
        </w:rPr>
        <w:t xml:space="preserve"> </w:t>
      </w:r>
      <w:hyperlink r:id="rId932" w:anchor="n3" w:history="1">
        <w:r w:rsidRPr="00511005">
          <w:rPr>
            <w:rFonts w:ascii="Arial" w:eastAsia="Times New Roman" w:hAnsi="Arial" w:cs="Arial"/>
            <w:szCs w:val="28"/>
            <w:lang w:val="uk-UA"/>
          </w:rPr>
          <w:t>https://zakon.rada.gov.ua/laws/show/889-19#n3</w:t>
        </w:r>
      </w:hyperlink>
      <w:r w:rsidRPr="00511005">
        <w:rPr>
          <w:rFonts w:ascii="Arial" w:eastAsia="Times New Roman" w:hAnsi="Arial" w:cs="Arial"/>
          <w:szCs w:val="28"/>
          <w:lang w:val="uk-UA"/>
        </w:rPr>
        <w:t xml:space="preserve"> </w:t>
      </w:r>
      <w:r w:rsidRPr="00511005">
        <w:rPr>
          <w:rFonts w:ascii="Arial" w:eastAsia="Times New Roman" w:hAnsi="Arial" w:cs="Arial"/>
          <w:szCs w:val="28"/>
        </w:rPr>
        <w:t>(</w:t>
      </w:r>
      <w:r w:rsidRPr="00511005">
        <w:rPr>
          <w:rFonts w:ascii="Arial" w:eastAsia="Times New Roman" w:hAnsi="Arial" w:cs="Arial"/>
          <w:szCs w:val="28"/>
          <w:lang w:val="uk-UA"/>
        </w:rPr>
        <w:t>дата звернення: 06.05.2025 р.).</w:t>
      </w:r>
    </w:p>
    <w:p w14:paraId="0A079D7E" w14:textId="77777777" w:rsidR="00B67481" w:rsidRPr="00511005" w:rsidRDefault="00B67481" w:rsidP="003A292D">
      <w:pPr>
        <w:spacing w:line="264" w:lineRule="auto"/>
        <w:rPr>
          <w:rFonts w:ascii="Arial" w:eastAsia="Calibri" w:hAnsi="Arial" w:cs="Arial"/>
          <w:b/>
          <w:bCs/>
          <w:szCs w:val="28"/>
          <w:lang w:val="uk-UA"/>
        </w:rPr>
      </w:pPr>
    </w:p>
    <w:p w14:paraId="6131B0C1" w14:textId="1C0C93C5"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B67481" w:rsidRPr="00511005">
        <w:rPr>
          <w:rFonts w:ascii="Arial" w:eastAsia="Calibri" w:hAnsi="Arial" w:cs="Arial"/>
          <w:szCs w:val="28"/>
          <w:lang w:val="uk-UA"/>
        </w:rPr>
        <w:t>принцип недискримінації, правове регулювання, право на захист від дискримінації, проходження служби в органах поліції, заборона дискримінації, етичні стандарти поведінки поліцейських.</w:t>
      </w:r>
    </w:p>
    <w:p w14:paraId="4A56CEFA" w14:textId="4A7382FC"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Key words: </w:t>
      </w:r>
      <w:r w:rsidR="00B67481" w:rsidRPr="00511005">
        <w:rPr>
          <w:rFonts w:ascii="Arial" w:eastAsia="Calibri" w:hAnsi="Arial" w:cs="Arial"/>
          <w:szCs w:val="28"/>
          <w:lang w:val="uk-UA"/>
        </w:rPr>
        <w:t>principle of non-discrimination, legal regulation, right to protection from discrimination, service in the police, prohibition of discrimination,</w:t>
      </w:r>
      <w:r w:rsidR="00B67481" w:rsidRPr="00511005">
        <w:rPr>
          <w:rFonts w:ascii="Arial" w:eastAsia="Calibri" w:hAnsi="Arial" w:cs="Arial"/>
          <w:szCs w:val="28"/>
          <w:lang w:val="en-US"/>
        </w:rPr>
        <w:t xml:space="preserve"> </w:t>
      </w:r>
      <w:r w:rsidR="00B67481" w:rsidRPr="00511005">
        <w:rPr>
          <w:rFonts w:ascii="Arial" w:eastAsia="Calibri" w:hAnsi="Arial" w:cs="Arial"/>
          <w:szCs w:val="28"/>
          <w:lang w:val="uk-UA"/>
        </w:rPr>
        <w:t>ethical standards of police behavior.</w:t>
      </w:r>
    </w:p>
    <w:p w14:paraId="7F4F381D" w14:textId="2CEB7690" w:rsidR="00B67481" w:rsidRPr="00511005" w:rsidRDefault="007B2628" w:rsidP="003A292D">
      <w:pPr>
        <w:spacing w:line="264" w:lineRule="auto"/>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B67481" w:rsidRPr="00511005">
        <w:rPr>
          <w:rFonts w:ascii="Arial" w:eastAsia="Calibri" w:hAnsi="Arial" w:cs="Arial"/>
          <w:i/>
          <w:iCs/>
          <w:szCs w:val="28"/>
          <w:lang w:val="uk-UA"/>
        </w:rPr>
        <w:t xml:space="preserve">д.ю.н., професор Біла-Тіунова Л.Р. </w:t>
      </w:r>
    </w:p>
    <w:p w14:paraId="779F6E2C" w14:textId="77777777" w:rsidR="001D1A08" w:rsidRPr="00511005" w:rsidRDefault="001D1A08" w:rsidP="003A292D">
      <w:pPr>
        <w:spacing w:line="264" w:lineRule="auto"/>
        <w:ind w:firstLine="0"/>
        <w:jc w:val="left"/>
        <w:rPr>
          <w:rFonts w:ascii="Arial" w:eastAsia="Calibri" w:hAnsi="Arial" w:cs="Arial"/>
          <w:i/>
          <w:iCs/>
          <w:szCs w:val="28"/>
          <w:lang w:val="uk-UA"/>
        </w:rPr>
      </w:pPr>
    </w:p>
    <w:p w14:paraId="08B04105" w14:textId="77777777" w:rsidR="001D1A08" w:rsidRPr="00511005" w:rsidRDefault="001D1A08" w:rsidP="003A292D">
      <w:pPr>
        <w:spacing w:line="264" w:lineRule="auto"/>
        <w:ind w:firstLine="0"/>
        <w:jc w:val="left"/>
        <w:rPr>
          <w:rFonts w:ascii="Arial" w:eastAsia="Calibri" w:hAnsi="Arial" w:cs="Arial"/>
          <w:i/>
          <w:iCs/>
          <w:szCs w:val="28"/>
          <w:lang w:val="uk-UA"/>
        </w:rPr>
      </w:pPr>
    </w:p>
    <w:p w14:paraId="3DB20D2A" w14:textId="3044E22E" w:rsidR="00B67481" w:rsidRPr="00511005" w:rsidRDefault="00B67481" w:rsidP="003A292D">
      <w:pPr>
        <w:spacing w:line="264" w:lineRule="auto"/>
        <w:ind w:firstLine="0"/>
        <w:jc w:val="center"/>
        <w:rPr>
          <w:rFonts w:ascii="Arial" w:eastAsia="Calibri" w:hAnsi="Arial" w:cs="Arial"/>
          <w:iCs/>
          <w:szCs w:val="28"/>
          <w:lang w:val="uk-UA"/>
        </w:rPr>
      </w:pPr>
      <w:r w:rsidRPr="00511005">
        <w:rPr>
          <w:rFonts w:ascii="Arial" w:eastAsia="Calibri" w:hAnsi="Arial" w:cs="Arial"/>
          <w:b/>
          <w:bCs/>
          <w:i/>
          <w:iCs/>
          <w:szCs w:val="28"/>
          <w:lang w:val="uk-UA"/>
        </w:rPr>
        <w:t>Грезіна Каміла Олегівна</w:t>
      </w:r>
      <w:r w:rsidRPr="00511005">
        <w:rPr>
          <w:rFonts w:ascii="Arial" w:eastAsia="Calibri" w:hAnsi="Arial" w:cs="Arial"/>
          <w:i/>
          <w:iCs/>
          <w:szCs w:val="28"/>
          <w:lang w:val="uk-UA"/>
        </w:rPr>
        <w:br/>
      </w:r>
      <w:r w:rsidR="00536AAB" w:rsidRPr="00511005">
        <w:rPr>
          <w:rFonts w:ascii="Arial" w:eastAsia="Calibri" w:hAnsi="Arial" w:cs="Arial"/>
          <w:iCs/>
          <w:szCs w:val="28"/>
          <w:lang w:val="uk-UA"/>
        </w:rPr>
        <w:t xml:space="preserve">студентка 3-го курсу </w:t>
      </w:r>
      <w:r w:rsidR="007B2628" w:rsidRPr="00511005">
        <w:rPr>
          <w:rFonts w:ascii="Arial" w:eastAsia="Calibri" w:hAnsi="Arial" w:cs="Arial"/>
          <w:iCs/>
          <w:szCs w:val="28"/>
          <w:lang w:val="uk-UA"/>
        </w:rPr>
        <w:t>факультету цивільної та господарської юстиції</w:t>
      </w:r>
      <w:r w:rsidRPr="00511005">
        <w:rPr>
          <w:rFonts w:ascii="Arial" w:eastAsia="Calibri" w:hAnsi="Arial" w:cs="Arial"/>
          <w:iCs/>
          <w:szCs w:val="28"/>
          <w:lang w:val="uk-UA"/>
        </w:rPr>
        <w:br/>
      </w:r>
      <w:r w:rsidR="007B2628" w:rsidRPr="00511005">
        <w:rPr>
          <w:rFonts w:ascii="Arial" w:eastAsia="Calibri" w:hAnsi="Arial" w:cs="Arial"/>
          <w:iCs/>
          <w:szCs w:val="28"/>
          <w:lang w:val="uk-UA"/>
        </w:rPr>
        <w:t>Національного університету «Одеська юридична академія»</w:t>
      </w:r>
    </w:p>
    <w:p w14:paraId="72AFE403" w14:textId="77777777" w:rsidR="00B67481" w:rsidRPr="00511005" w:rsidRDefault="00B67481" w:rsidP="003A292D">
      <w:pPr>
        <w:spacing w:line="264" w:lineRule="auto"/>
        <w:ind w:firstLine="0"/>
        <w:jc w:val="center"/>
        <w:rPr>
          <w:rFonts w:ascii="Arial" w:eastAsia="Calibri" w:hAnsi="Arial" w:cs="Arial"/>
          <w:i/>
          <w:iCs/>
          <w:szCs w:val="28"/>
          <w:lang w:val="uk-UA"/>
        </w:rPr>
      </w:pPr>
    </w:p>
    <w:p w14:paraId="60CB4C89" w14:textId="77777777" w:rsidR="00B67481" w:rsidRPr="00511005" w:rsidRDefault="00B67481" w:rsidP="003A292D">
      <w:pPr>
        <w:spacing w:line="264" w:lineRule="auto"/>
        <w:ind w:firstLine="0"/>
        <w:jc w:val="center"/>
        <w:rPr>
          <w:rFonts w:ascii="Arial" w:eastAsia="Calibri" w:hAnsi="Arial" w:cs="Arial"/>
          <w:szCs w:val="28"/>
        </w:rPr>
      </w:pPr>
      <w:r w:rsidRPr="00511005">
        <w:rPr>
          <w:rFonts w:ascii="Arial" w:eastAsia="Calibri" w:hAnsi="Arial" w:cs="Arial"/>
          <w:b/>
          <w:bCs/>
          <w:szCs w:val="28"/>
        </w:rPr>
        <w:t>МІСЦЕ ПОДАТКУ НА ПРИБУТОК ПІДПРИЄМСТВ У ПОДАТКОВІЙ СИСТЕМІ УКРАЇНИ</w:t>
      </w:r>
    </w:p>
    <w:p w14:paraId="724410F0"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Податок на прибуток підприємств — один із ключових елементів податкової системи будь-якої держави. Його важливість не обмежується лише фіскальною функцією, тобто забезпеченням фінансування державного бюджету, а й включає здатність регулювати економічну діяльність господарюючих суб'єктів. У структурі податкових надходжень </w:t>
      </w:r>
      <w:proofErr w:type="gramStart"/>
      <w:r w:rsidRPr="00511005">
        <w:rPr>
          <w:rFonts w:ascii="Arial" w:eastAsia="Calibri" w:hAnsi="Arial" w:cs="Arial"/>
          <w:szCs w:val="28"/>
        </w:rPr>
        <w:t>до бюджету</w:t>
      </w:r>
      <w:proofErr w:type="gramEnd"/>
      <w:r w:rsidRPr="00511005">
        <w:rPr>
          <w:rFonts w:ascii="Arial" w:eastAsia="Calibri" w:hAnsi="Arial" w:cs="Arial"/>
          <w:szCs w:val="28"/>
        </w:rPr>
        <w:t xml:space="preserve"> України, податок на прибуток традиційно відіграє важливу роль, поступаючись лише податку на додану вартість [3].</w:t>
      </w:r>
    </w:p>
    <w:p w14:paraId="384AB9F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Створення ефективної системи оподаткування прибутку підприємств — одне з пріоритетних завдань податкової політики держави. Від обраної моделі оподаткування залежать інвестиційна привабливість країни, прозорість ведення бізнесу, рівень податкової дисципліни та, зрештою, темпи економічного розвитку [1].</w:t>
      </w:r>
    </w:p>
    <w:p w14:paraId="25CD9027"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За останні роки система оподаткування прибутку в Україні зазнала змін. Зокрема, відбулося зменшення ставки податку, вдосконалення механізму обліку витрат, спрощення адміністрування та звітності, що сприяло зменшенню тиску на бізнес [4]. Однією з важливих реформ стало поступове впровадження міжнародних стандартів оподаткування, зокрема реалізація Плану дій BEPS, розробленого Організацією економічного співробітництва та розвитку [5]. Цей план передбачає комплекс заходів, спрямованих на боротьбу з ухиленням від сплати податків через переміщення прибутків до офшорних зон або країн з низьким рівнем оподаткування.</w:t>
      </w:r>
    </w:p>
    <w:p w14:paraId="5A1FE3F6"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Разом з тим, незважаючи на здійснені реформи, вітчизняна система оподаткування прибутку все ще не є ідеальною. Однією з основних проблем залишається складність визначення об'єкта оподаткування, що відкриває можливості для податкового планування та зловживань. Особливої уваги потребує контроль за трансфертним ціноутворенням, який дозволяє великим компаніям мінімізувати податкові зобов'язання, перерозподіляючи прибутки між афілійованими структурами [2].</w:t>
      </w:r>
    </w:p>
    <w:p w14:paraId="14792C43"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На цей час в Україні активно обговорюється ідея запровадження податку на виведений капітал як альтернативи існуючому податку на прибуток. Такий підхід розглядається як більш стимулюючий для економіки, оскільки не оподатковує прибуток, який залишається у розпорядженні підприємства, а лише кошти, що виводяться з обігу (у вигляді дивідендів або інших виплат нерезидентам) [1; 5]. Проте перехід до нової моделі потребує ретельного аналізу можливих втрат </w:t>
      </w:r>
      <w:proofErr w:type="gramStart"/>
      <w:r w:rsidRPr="00511005">
        <w:rPr>
          <w:rFonts w:ascii="Arial" w:eastAsia="Calibri" w:hAnsi="Arial" w:cs="Arial"/>
          <w:szCs w:val="28"/>
        </w:rPr>
        <w:t>для бюджету</w:t>
      </w:r>
      <w:proofErr w:type="gramEnd"/>
      <w:r w:rsidRPr="00511005">
        <w:rPr>
          <w:rFonts w:ascii="Arial" w:eastAsia="Calibri" w:hAnsi="Arial" w:cs="Arial"/>
          <w:szCs w:val="28"/>
        </w:rPr>
        <w:t xml:space="preserve"> та створення ефективної системи контролю.</w:t>
      </w:r>
    </w:p>
    <w:p w14:paraId="07A3BC4B" w14:textId="77777777" w:rsidR="00B67481" w:rsidRPr="00511005" w:rsidRDefault="00B67481" w:rsidP="003A292D">
      <w:pPr>
        <w:spacing w:line="264" w:lineRule="auto"/>
        <w:rPr>
          <w:rFonts w:ascii="Arial" w:eastAsia="Calibri" w:hAnsi="Arial" w:cs="Arial"/>
          <w:szCs w:val="28"/>
        </w:rPr>
      </w:pPr>
      <w:r w:rsidRPr="00511005">
        <w:rPr>
          <w:rFonts w:ascii="Arial" w:eastAsia="Times New Roman" w:hAnsi="Arial" w:cs="Arial"/>
          <w:szCs w:val="28"/>
          <w:lang w:val="uk-UA"/>
        </w:rPr>
        <w:t xml:space="preserve">Подальша робота має бути спрямована на узгодження національного податкового законодавства з міжнародними стандартами, підвищення </w:t>
      </w:r>
      <w:r w:rsidRPr="00511005">
        <w:rPr>
          <w:rFonts w:ascii="Arial" w:eastAsia="Times New Roman" w:hAnsi="Arial" w:cs="Arial"/>
          <w:szCs w:val="28"/>
          <w:lang w:val="uk-UA"/>
        </w:rPr>
        <w:lastRenderedPageBreak/>
        <w:t>ефективності адміністрування податку та створення сприятливого податкового клімату для розвитку підприємництва. Одним із перспективних напрямів удосконалення механізмів податкового регулювання є запровадження альтернативних способів вирішення податкових спорів, зокрема медіації, що дозволить знизити навантаження на судову систему та підвищити ефективність взаємодії між платниками податків і державою [6].</w:t>
      </w:r>
    </w:p>
    <w:p w14:paraId="2F7B345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Таким чином, податок на прибуток підприємств в Україні виконує не лише фіскальну, але й економічну функцію. Його вдосконалення є важливим кроком </w:t>
      </w:r>
      <w:proofErr w:type="gramStart"/>
      <w:r w:rsidRPr="00511005">
        <w:rPr>
          <w:rFonts w:ascii="Arial" w:eastAsia="Calibri" w:hAnsi="Arial" w:cs="Arial"/>
          <w:szCs w:val="28"/>
        </w:rPr>
        <w:t>на шляху</w:t>
      </w:r>
      <w:proofErr w:type="gramEnd"/>
      <w:r w:rsidRPr="00511005">
        <w:rPr>
          <w:rFonts w:ascii="Arial" w:eastAsia="Calibri" w:hAnsi="Arial" w:cs="Arial"/>
          <w:szCs w:val="28"/>
        </w:rPr>
        <w:t xml:space="preserve"> до формування справедливої, ефективної та прозорої податкової системи. Подальша робота має бути спрямована на узгодження національного податкового законодавства з міжнародними стандартами, підвищення ефективності адміністрування податку та створення сприятливого податкового клімату для розвитку підприємництва.</w:t>
      </w:r>
    </w:p>
    <w:p w14:paraId="2493655E" w14:textId="330120EA" w:rsidR="00B67481" w:rsidRPr="00511005" w:rsidRDefault="007B2628" w:rsidP="007B2628">
      <w:pPr>
        <w:spacing w:line="264" w:lineRule="auto"/>
        <w:jc w:val="center"/>
        <w:rPr>
          <w:rFonts w:ascii="Arial" w:eastAsia="Calibri" w:hAnsi="Arial" w:cs="Arial"/>
          <w:szCs w:val="28"/>
          <w:lang w:val="uk-UA"/>
        </w:rPr>
      </w:pPr>
      <w:r w:rsidRPr="00511005">
        <w:rPr>
          <w:rFonts w:ascii="Arial" w:eastAsia="Calibri" w:hAnsi="Arial" w:cs="Arial"/>
          <w:b/>
          <w:bCs/>
          <w:szCs w:val="28"/>
          <w:lang w:val="uk-UA"/>
        </w:rPr>
        <w:t>Список використаних джерел</w:t>
      </w:r>
    </w:p>
    <w:p w14:paraId="45A47B60" w14:textId="77777777" w:rsidR="00B67481" w:rsidRPr="00511005" w:rsidRDefault="00B67481" w:rsidP="003F6A5D">
      <w:pPr>
        <w:numPr>
          <w:ilvl w:val="0"/>
          <w:numId w:val="239"/>
        </w:numPr>
        <w:spacing w:line="264" w:lineRule="auto"/>
        <w:ind w:left="0" w:firstLine="709"/>
        <w:jc w:val="left"/>
        <w:rPr>
          <w:rFonts w:ascii="Arial" w:eastAsia="Calibri" w:hAnsi="Arial" w:cs="Arial"/>
          <w:szCs w:val="28"/>
        </w:rPr>
      </w:pPr>
      <w:r w:rsidRPr="00511005">
        <w:rPr>
          <w:rFonts w:ascii="Arial" w:eastAsia="Calibri" w:hAnsi="Arial" w:cs="Arial"/>
          <w:szCs w:val="28"/>
        </w:rPr>
        <w:t>Бюлетень податкової служби України. – 2023. – №4. – С. 12–17.</w:t>
      </w:r>
    </w:p>
    <w:p w14:paraId="521DDC81" w14:textId="77777777" w:rsidR="00B67481" w:rsidRPr="00511005" w:rsidRDefault="00B67481" w:rsidP="003F6A5D">
      <w:pPr>
        <w:numPr>
          <w:ilvl w:val="0"/>
          <w:numId w:val="239"/>
        </w:numPr>
        <w:spacing w:line="264" w:lineRule="auto"/>
        <w:ind w:left="0" w:firstLine="709"/>
        <w:jc w:val="left"/>
        <w:rPr>
          <w:rFonts w:ascii="Arial" w:eastAsia="Calibri" w:hAnsi="Arial" w:cs="Arial"/>
          <w:szCs w:val="28"/>
        </w:rPr>
      </w:pPr>
      <w:r w:rsidRPr="00511005">
        <w:rPr>
          <w:rFonts w:ascii="Arial" w:eastAsia="Calibri" w:hAnsi="Arial" w:cs="Arial"/>
          <w:szCs w:val="28"/>
        </w:rPr>
        <w:t>Гутенко А. В. Податкова політика держави: сучасні проблеми та перспективи розвитку // Економіка і держава. – 2022. – №6. – С. 24–29.</w:t>
      </w:r>
    </w:p>
    <w:p w14:paraId="5EA11767" w14:textId="77777777" w:rsidR="00B67481" w:rsidRPr="00511005" w:rsidRDefault="00B67481" w:rsidP="003F6A5D">
      <w:pPr>
        <w:numPr>
          <w:ilvl w:val="0"/>
          <w:numId w:val="239"/>
        </w:numPr>
        <w:spacing w:line="264" w:lineRule="auto"/>
        <w:ind w:left="0" w:firstLine="709"/>
        <w:jc w:val="left"/>
        <w:rPr>
          <w:rFonts w:ascii="Arial" w:eastAsia="Calibri" w:hAnsi="Arial" w:cs="Arial"/>
          <w:szCs w:val="28"/>
        </w:rPr>
      </w:pPr>
      <w:r w:rsidRPr="00511005">
        <w:rPr>
          <w:rFonts w:ascii="Arial" w:eastAsia="Calibri" w:hAnsi="Arial" w:cs="Arial"/>
          <w:szCs w:val="28"/>
        </w:rPr>
        <w:t xml:space="preserve">Державна податкова служба України. Офіційний сайт. – Режим доступу: </w:t>
      </w:r>
      <w:hyperlink r:id="rId933" w:history="1">
        <w:r w:rsidRPr="00511005">
          <w:rPr>
            <w:rFonts w:ascii="Arial" w:eastAsia="Calibri" w:hAnsi="Arial" w:cs="Arial"/>
            <w:szCs w:val="28"/>
          </w:rPr>
          <w:t>https://tax.gov.ua</w:t>
        </w:r>
      </w:hyperlink>
    </w:p>
    <w:p w14:paraId="650BC2C0" w14:textId="77777777" w:rsidR="00B67481" w:rsidRPr="00511005" w:rsidRDefault="00B67481" w:rsidP="003F6A5D">
      <w:pPr>
        <w:numPr>
          <w:ilvl w:val="0"/>
          <w:numId w:val="239"/>
        </w:numPr>
        <w:spacing w:line="264" w:lineRule="auto"/>
        <w:ind w:left="0" w:firstLine="709"/>
        <w:jc w:val="left"/>
        <w:rPr>
          <w:rFonts w:ascii="Arial" w:eastAsia="Calibri" w:hAnsi="Arial" w:cs="Arial"/>
          <w:szCs w:val="28"/>
        </w:rPr>
      </w:pPr>
      <w:r w:rsidRPr="00511005">
        <w:rPr>
          <w:rFonts w:ascii="Arial" w:eastAsia="Calibri" w:hAnsi="Arial" w:cs="Arial"/>
          <w:szCs w:val="28"/>
        </w:rPr>
        <w:t>Закон України «Про внесення змін до Податкового кодексу України щодо вдосконалення адміністрування податків» від 01.01.2023 №1111-IX.</w:t>
      </w:r>
    </w:p>
    <w:p w14:paraId="0F3B3504" w14:textId="77777777" w:rsidR="00B67481" w:rsidRPr="00511005" w:rsidRDefault="00B67481" w:rsidP="003F6A5D">
      <w:pPr>
        <w:numPr>
          <w:ilvl w:val="0"/>
          <w:numId w:val="239"/>
        </w:numPr>
        <w:spacing w:line="264" w:lineRule="auto"/>
        <w:ind w:left="0" w:firstLine="709"/>
        <w:jc w:val="left"/>
        <w:rPr>
          <w:rFonts w:ascii="Arial" w:eastAsia="Calibri" w:hAnsi="Arial" w:cs="Arial"/>
          <w:szCs w:val="28"/>
        </w:rPr>
      </w:pPr>
      <w:r w:rsidRPr="00511005">
        <w:rPr>
          <w:rFonts w:ascii="Arial" w:eastAsia="Calibri" w:hAnsi="Arial" w:cs="Arial"/>
          <w:szCs w:val="28"/>
          <w:lang w:val="en-US"/>
        </w:rPr>
        <w:t xml:space="preserve">OECD (2021), BEPS Action Plan: Implementation in Transition Economies. </w:t>
      </w:r>
      <w:r w:rsidRPr="00511005">
        <w:rPr>
          <w:rFonts w:ascii="Arial" w:eastAsia="Calibri" w:hAnsi="Arial" w:cs="Arial"/>
          <w:szCs w:val="28"/>
        </w:rPr>
        <w:t>Paris: OECD Publishing.</w:t>
      </w:r>
    </w:p>
    <w:p w14:paraId="6D6D9831" w14:textId="77777777" w:rsidR="00B67481" w:rsidRPr="00511005" w:rsidRDefault="00B67481" w:rsidP="003F6A5D">
      <w:pPr>
        <w:numPr>
          <w:ilvl w:val="0"/>
          <w:numId w:val="239"/>
        </w:numPr>
        <w:spacing w:line="264" w:lineRule="auto"/>
        <w:ind w:left="0" w:firstLine="709"/>
        <w:jc w:val="left"/>
        <w:rPr>
          <w:rFonts w:ascii="Arial" w:eastAsia="Calibri" w:hAnsi="Arial" w:cs="Arial"/>
          <w:szCs w:val="28"/>
        </w:rPr>
      </w:pPr>
      <w:r w:rsidRPr="00511005">
        <w:rPr>
          <w:rFonts w:ascii="Arial" w:eastAsia="Times New Roman" w:hAnsi="Arial" w:cs="Arial"/>
          <w:szCs w:val="28"/>
          <w:lang w:val="uk-UA"/>
        </w:rPr>
        <w:t>Голоядова Т.О. Необхідність законодавчого запровадження медіації для вирішення податкових спорів в Україні // Підприємництво, господарство і право. – 2016. – №8 (35).</w:t>
      </w:r>
    </w:p>
    <w:p w14:paraId="2074836B" w14:textId="77777777" w:rsidR="00B67481" w:rsidRPr="00511005" w:rsidRDefault="00B67481" w:rsidP="003A292D">
      <w:pPr>
        <w:spacing w:line="264" w:lineRule="auto"/>
        <w:rPr>
          <w:rFonts w:ascii="Arial" w:eastAsia="Calibri" w:hAnsi="Arial" w:cs="Arial"/>
          <w:b/>
          <w:bCs/>
          <w:szCs w:val="28"/>
          <w:lang w:val="uk-UA"/>
        </w:rPr>
      </w:pPr>
    </w:p>
    <w:p w14:paraId="30E25DD7" w14:textId="3DA2BC3C"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B67481" w:rsidRPr="00511005">
        <w:rPr>
          <w:rFonts w:ascii="Arial" w:eastAsia="Calibri" w:hAnsi="Arial" w:cs="Arial"/>
          <w:szCs w:val="28"/>
          <w:lang w:val="uk-UA"/>
        </w:rPr>
        <w:t xml:space="preserve">податок на прибуток, податкова система, адміністрування податку, податкова політика, </w:t>
      </w:r>
      <w:r w:rsidR="00B67481" w:rsidRPr="00511005">
        <w:rPr>
          <w:rFonts w:ascii="Arial" w:eastAsia="Calibri" w:hAnsi="Arial" w:cs="Arial"/>
          <w:szCs w:val="28"/>
        </w:rPr>
        <w:t>впровадження міжнародних стандартів оподаткування</w:t>
      </w:r>
      <w:r w:rsidR="00B67481" w:rsidRPr="00511005">
        <w:rPr>
          <w:rFonts w:ascii="Arial" w:eastAsia="Calibri" w:hAnsi="Arial" w:cs="Arial"/>
          <w:szCs w:val="28"/>
          <w:lang w:val="uk-UA"/>
        </w:rPr>
        <w:t>, податок на виведений капітал.</w:t>
      </w:r>
    </w:p>
    <w:p w14:paraId="7736BCE5" w14:textId="38D3EA02"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Key words: </w:t>
      </w:r>
      <w:r w:rsidR="00B67481" w:rsidRPr="00511005">
        <w:rPr>
          <w:rFonts w:ascii="Arial" w:eastAsia="Calibri" w:hAnsi="Arial" w:cs="Arial"/>
          <w:szCs w:val="28"/>
          <w:lang w:val="uk-UA"/>
        </w:rPr>
        <w:t>income tax, tax system, tax administration, tax policy, implementation of international taxation standards, tax on withdrawn capital.</w:t>
      </w:r>
    </w:p>
    <w:p w14:paraId="09F99B73" w14:textId="37706B25" w:rsidR="00B67481" w:rsidRPr="00511005" w:rsidRDefault="007B2628" w:rsidP="003A292D">
      <w:pPr>
        <w:spacing w:line="264" w:lineRule="auto"/>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B67481" w:rsidRPr="00511005">
        <w:rPr>
          <w:rFonts w:ascii="Arial" w:eastAsia="Calibri" w:hAnsi="Arial" w:cs="Arial"/>
          <w:i/>
          <w:iCs/>
          <w:szCs w:val="28"/>
          <w:lang w:val="uk-UA"/>
        </w:rPr>
        <w:t xml:space="preserve">к.ю.н., доцент Голоядова Т.О. </w:t>
      </w:r>
    </w:p>
    <w:p w14:paraId="47CD40CD" w14:textId="77777777" w:rsidR="00B67481" w:rsidRPr="00511005" w:rsidRDefault="00B67481" w:rsidP="003A292D">
      <w:pPr>
        <w:spacing w:line="264" w:lineRule="auto"/>
        <w:ind w:firstLine="0"/>
        <w:rPr>
          <w:rFonts w:ascii="Arial" w:eastAsia="Calibri" w:hAnsi="Arial" w:cs="Arial"/>
          <w:szCs w:val="28"/>
          <w:lang w:val="uk-UA"/>
        </w:rPr>
      </w:pPr>
    </w:p>
    <w:p w14:paraId="283BD0E4" w14:textId="77777777" w:rsidR="00B67481" w:rsidRPr="00511005" w:rsidRDefault="00B67481" w:rsidP="003A292D">
      <w:pPr>
        <w:spacing w:line="264" w:lineRule="auto"/>
        <w:ind w:firstLine="0"/>
        <w:rPr>
          <w:rFonts w:ascii="Arial" w:eastAsia="Calibri" w:hAnsi="Arial" w:cs="Arial"/>
          <w:szCs w:val="28"/>
          <w:lang w:val="uk-UA"/>
        </w:rPr>
      </w:pPr>
    </w:p>
    <w:p w14:paraId="19C97B32" w14:textId="77777777" w:rsidR="00B67481" w:rsidRPr="00511005" w:rsidRDefault="00B67481" w:rsidP="003A292D">
      <w:pPr>
        <w:spacing w:line="264" w:lineRule="auto"/>
        <w:ind w:firstLine="0"/>
        <w:jc w:val="left"/>
        <w:rPr>
          <w:rFonts w:ascii="Arial" w:eastAsia="Calibri" w:hAnsi="Arial" w:cs="Arial"/>
          <w:szCs w:val="28"/>
          <w:lang w:val="uk-UA"/>
        </w:rPr>
      </w:pPr>
    </w:p>
    <w:p w14:paraId="7ED935FF" w14:textId="77777777" w:rsidR="00B67481" w:rsidRPr="00511005" w:rsidRDefault="00B67481" w:rsidP="003A292D">
      <w:pPr>
        <w:spacing w:line="264" w:lineRule="auto"/>
        <w:ind w:firstLine="0"/>
        <w:jc w:val="center"/>
        <w:rPr>
          <w:rFonts w:ascii="Arial" w:eastAsia="Calibri" w:hAnsi="Arial" w:cs="Arial"/>
          <w:b/>
          <w:i/>
          <w:szCs w:val="28"/>
        </w:rPr>
      </w:pPr>
      <w:r w:rsidRPr="00511005">
        <w:rPr>
          <w:rFonts w:ascii="Arial" w:eastAsia="Calibri" w:hAnsi="Arial" w:cs="Arial"/>
          <w:b/>
          <w:i/>
          <w:szCs w:val="28"/>
        </w:rPr>
        <w:t>Григоращенко Анастасія Олександрівна</w:t>
      </w:r>
    </w:p>
    <w:p w14:paraId="6DF971D8" w14:textId="1E8EDB58" w:rsidR="00B67481" w:rsidRPr="00511005" w:rsidRDefault="00536AAB" w:rsidP="003A292D">
      <w:pPr>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студентка 2-го курсу </w:t>
      </w:r>
      <w:r w:rsidR="007B2628" w:rsidRPr="00511005">
        <w:rPr>
          <w:rFonts w:ascii="Arial" w:eastAsia="Calibri" w:hAnsi="Arial" w:cs="Arial"/>
          <w:szCs w:val="28"/>
        </w:rPr>
        <w:t>факультету цивільної та господарської юстиції</w:t>
      </w:r>
    </w:p>
    <w:p w14:paraId="15914F34" w14:textId="05B47A76" w:rsidR="00B67481" w:rsidRPr="00511005" w:rsidRDefault="007B2628" w:rsidP="003A292D">
      <w:pPr>
        <w:spacing w:line="264" w:lineRule="auto"/>
        <w:ind w:firstLine="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02982861" w14:textId="77777777" w:rsidR="00B67481" w:rsidRPr="00511005" w:rsidRDefault="00B67481" w:rsidP="003A292D">
      <w:pPr>
        <w:spacing w:line="264" w:lineRule="auto"/>
        <w:ind w:firstLine="0"/>
        <w:jc w:val="center"/>
        <w:rPr>
          <w:rFonts w:ascii="Arial" w:eastAsia="Calibri" w:hAnsi="Arial" w:cs="Arial"/>
          <w:szCs w:val="28"/>
        </w:rPr>
      </w:pPr>
    </w:p>
    <w:p w14:paraId="2251C457" w14:textId="77777777" w:rsidR="00B67481" w:rsidRPr="00511005" w:rsidRDefault="00B67481" w:rsidP="003A292D">
      <w:pPr>
        <w:spacing w:line="264" w:lineRule="auto"/>
        <w:ind w:firstLine="0"/>
        <w:jc w:val="center"/>
        <w:rPr>
          <w:rFonts w:ascii="Arial" w:eastAsia="Calibri" w:hAnsi="Arial" w:cs="Arial"/>
          <w:b/>
          <w:caps/>
          <w:szCs w:val="28"/>
        </w:rPr>
      </w:pPr>
      <w:r w:rsidRPr="00511005">
        <w:rPr>
          <w:rFonts w:ascii="Arial" w:eastAsia="Calibri" w:hAnsi="Arial" w:cs="Arial"/>
          <w:b/>
          <w:caps/>
          <w:szCs w:val="28"/>
        </w:rPr>
        <w:lastRenderedPageBreak/>
        <w:t>Поява нових та розвиток існуючих принципів належного врядування в умовах воєнного стану</w:t>
      </w:r>
    </w:p>
    <w:p w14:paraId="35E612CD" w14:textId="7D13EEFA"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Існування в країні належного врядування допомагає дійти висновку про належне управління справами та публічними ресурсами з дотриманням прав людини, на користь їх ефективного функціонування та розвитку, забезпечення відповідності чинним та майбутнім потребам суспільства. Для досягнення поставлених перед концепцією належного врядування завдань остання повинна мати підґрунтям поєднання основоположних засад, що характеризували б пріоритети публічного адміністрування та його суспільне призначення. Такими засадами в теорії адміністративного права стали принципи належного врядування, які стосуються організації та функціонування всієї системи публічного адміністрування, здійснення її суб</w:t>
      </w:r>
      <w:r w:rsidRPr="00511005">
        <w:rPr>
          <w:rFonts w:ascii="Arial" w:eastAsia="Calibri" w:hAnsi="Arial" w:cs="Arial"/>
          <w:szCs w:val="28"/>
          <w:shd w:val="clear" w:color="auto" w:fill="FFFFFF"/>
        </w:rPr>
        <w:t>’єктами</w:t>
      </w:r>
      <w:r w:rsidRPr="00511005">
        <w:rPr>
          <w:rFonts w:ascii="Arial" w:eastAsia="Calibri" w:hAnsi="Arial" w:cs="Arial"/>
          <w:szCs w:val="28"/>
        </w:rPr>
        <w:t xml:space="preserve"> адміністративно-правового регулювання, і, залишаючись динамічною категорією, продовжили розвиватися</w:t>
      </w:r>
      <w:r w:rsidR="007B2628" w:rsidRPr="00511005">
        <w:rPr>
          <w:rFonts w:ascii="Arial" w:eastAsia="Calibri" w:hAnsi="Arial" w:cs="Arial"/>
          <w:szCs w:val="28"/>
        </w:rPr>
        <w:t xml:space="preserve"> </w:t>
      </w:r>
      <w:r w:rsidRPr="00511005">
        <w:rPr>
          <w:rFonts w:ascii="Arial" w:eastAsia="Calibri" w:hAnsi="Arial" w:cs="Arial"/>
          <w:szCs w:val="28"/>
        </w:rPr>
        <w:t>паралельно з розвитком адміністративного права в умовах введеного на території України режиму воєнного стану. [2]</w:t>
      </w:r>
    </w:p>
    <w:p w14:paraId="566C211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i/>
          <w:szCs w:val="28"/>
        </w:rPr>
        <w:t>Принцип відкритості та прозорості</w:t>
      </w:r>
      <w:r w:rsidRPr="00511005">
        <w:rPr>
          <w:rFonts w:ascii="Arial" w:eastAsia="Calibri" w:hAnsi="Arial" w:cs="Arial"/>
          <w:szCs w:val="28"/>
        </w:rPr>
        <w:t xml:space="preserve">. На підтвердження розвитку принципу прозорості достатньо вказати на звіти, які щоденно оприлюднюються на </w:t>
      </w:r>
      <w:r w:rsidRPr="00511005">
        <w:rPr>
          <w:rFonts w:ascii="Arial" w:eastAsia="Calibri" w:hAnsi="Arial" w:cs="Arial"/>
          <w:szCs w:val="28"/>
          <w:shd w:val="clear" w:color="auto" w:fill="FFFFFF"/>
        </w:rPr>
        <w:t>офіційних веб-сайтах</w:t>
      </w:r>
      <w:r w:rsidRPr="00511005">
        <w:rPr>
          <w:rFonts w:ascii="Arial" w:eastAsia="Calibri" w:hAnsi="Arial" w:cs="Arial"/>
          <w:szCs w:val="28"/>
        </w:rPr>
        <w:t xml:space="preserve"> суб’єктів публічного адміністрування, зокрема уряду, центральних та місцевих органів виконавчої влади. Ними публікується інформація про </w:t>
      </w:r>
      <w:r w:rsidRPr="00511005">
        <w:rPr>
          <w:rFonts w:ascii="Arial" w:eastAsia="Times New Roman" w:hAnsi="Arial" w:cs="Arial"/>
          <w:bCs/>
          <w:szCs w:val="28"/>
          <w:lang w:eastAsia="ru-RU"/>
        </w:rPr>
        <w:t>обстановку в умовах воєнного стану</w:t>
      </w:r>
      <w:r w:rsidRPr="00511005">
        <w:rPr>
          <w:rFonts w:ascii="Arial" w:eastAsia="Times New Roman" w:hAnsi="Arial" w:cs="Arial"/>
          <w:szCs w:val="28"/>
          <w:lang w:eastAsia="ru-RU"/>
        </w:rPr>
        <w:t>, потреби армії, гуманітарні питання</w:t>
      </w:r>
      <w:r w:rsidRPr="00511005">
        <w:rPr>
          <w:rFonts w:ascii="Arial" w:eastAsia="Calibri" w:hAnsi="Arial" w:cs="Arial"/>
          <w:szCs w:val="28"/>
        </w:rPr>
        <w:t xml:space="preserve">, отриману міжнародну допомогу та її розподіл. Сьогодні відеозвіти публікуються як на сайтах, так і на офіційних YouTube-каналах міністерств, а користувачі мають змогу бачити щоденні брифінги таких органів, як Міністерство оборони, Генштаб, ДСНС тощо. </w:t>
      </w:r>
    </w:p>
    <w:p w14:paraId="0D3EF276" w14:textId="77777777" w:rsidR="00B67481" w:rsidRPr="00511005" w:rsidRDefault="00B67481" w:rsidP="003A292D">
      <w:pPr>
        <w:spacing w:line="264" w:lineRule="auto"/>
        <w:rPr>
          <w:rFonts w:ascii="Arial" w:eastAsia="Calibri" w:hAnsi="Arial" w:cs="Arial"/>
          <w:szCs w:val="28"/>
          <w:shd w:val="clear" w:color="auto" w:fill="FFFFFF"/>
        </w:rPr>
      </w:pPr>
      <w:r w:rsidRPr="00511005">
        <w:rPr>
          <w:rFonts w:ascii="Arial" w:eastAsia="Calibri" w:hAnsi="Arial" w:cs="Arial"/>
          <w:szCs w:val="28"/>
        </w:rPr>
        <w:t xml:space="preserve">Під час воєнного стану </w:t>
      </w:r>
      <w:r w:rsidRPr="00511005">
        <w:rPr>
          <w:rFonts w:ascii="Arial" w:eastAsia="Calibri" w:hAnsi="Arial" w:cs="Arial"/>
          <w:szCs w:val="28"/>
          <w:shd w:val="clear" w:color="auto" w:fill="FFFFFF"/>
        </w:rPr>
        <w:t>за пропозицією Міністерства інфраструктури щодо було створено першу в Україні Єдину цифрову інтегровану інформаційно-аналітичну систему управління процесом відбудови об’єктів нерухомого майна, будівництва та інфраструктури, яка отримала назву “DREAM – Державна цифрова екосистема управління відновленням”</w:t>
      </w:r>
      <w:r w:rsidRPr="00511005">
        <w:rPr>
          <w:rFonts w:ascii="Arial" w:eastAsia="Calibri" w:hAnsi="Arial" w:cs="Arial"/>
          <w:szCs w:val="28"/>
        </w:rPr>
        <w:t xml:space="preserve"> </w:t>
      </w:r>
      <w:r w:rsidRPr="00511005">
        <w:rPr>
          <w:rFonts w:ascii="Arial" w:eastAsia="Calibri" w:hAnsi="Arial" w:cs="Arial"/>
          <w:szCs w:val="28"/>
          <w:shd w:val="clear" w:color="auto" w:fill="FFFFFF"/>
        </w:rPr>
        <w:t xml:space="preserve">та офіційну адресу в мережі інтернет - www.dream.gov.ua. </w:t>
      </w:r>
      <w:proofErr w:type="gramStart"/>
      <w:r w:rsidRPr="00511005">
        <w:rPr>
          <w:rFonts w:ascii="Arial" w:eastAsia="Calibri" w:hAnsi="Arial" w:cs="Arial"/>
          <w:szCs w:val="28"/>
          <w:shd w:val="clear" w:color="auto" w:fill="FFFFFF"/>
        </w:rPr>
        <w:t>У межах</w:t>
      </w:r>
      <w:proofErr w:type="gramEnd"/>
      <w:r w:rsidRPr="00511005">
        <w:rPr>
          <w:rFonts w:ascii="Arial" w:eastAsia="Calibri" w:hAnsi="Arial" w:cs="Arial"/>
          <w:szCs w:val="28"/>
          <w:shd w:val="clear" w:color="auto" w:fill="FFFFFF"/>
        </w:rPr>
        <w:t xml:space="preserve"> цього порталу громадськості надано можливість</w:t>
      </w:r>
      <w:r w:rsidRPr="00511005">
        <w:rPr>
          <w:rFonts w:ascii="Arial" w:eastAsia="Calibri" w:hAnsi="Arial" w:cs="Arial"/>
          <w:szCs w:val="28"/>
        </w:rPr>
        <w:t xml:space="preserve"> </w:t>
      </w:r>
      <w:r w:rsidRPr="00511005">
        <w:rPr>
          <w:rFonts w:ascii="Arial" w:eastAsia="Calibri" w:hAnsi="Arial" w:cs="Arial"/>
          <w:szCs w:val="28"/>
          <w:shd w:val="clear" w:color="auto" w:fill="FFFFFF"/>
        </w:rPr>
        <w:t>контролювати фактичний стан виконання робіт з відновлення та відбудови об’єктів, зокрема тих,</w:t>
      </w:r>
      <w:r w:rsidRPr="00511005">
        <w:rPr>
          <w:rFonts w:ascii="Arial" w:eastAsia="Calibri" w:hAnsi="Arial" w:cs="Arial"/>
          <w:szCs w:val="28"/>
        </w:rPr>
        <w:t xml:space="preserve"> </w:t>
      </w:r>
      <w:r w:rsidRPr="00511005">
        <w:rPr>
          <w:rFonts w:ascii="Arial" w:eastAsia="Calibri" w:hAnsi="Arial" w:cs="Arial"/>
          <w:szCs w:val="28"/>
          <w:shd w:val="clear" w:color="auto" w:fill="FFFFFF"/>
        </w:rPr>
        <w:t xml:space="preserve">які були пошкоджені чи піддані руйнуванню внаслідок збройної агресії Російської Федерації, отримувати інформацію про процедури закупівель стосовно зазначених об’єктів, а також забезпечується прозорість розподілу та використання відповідних фінансових ресурсів. Для громад, адміністрацій та центральних органів виконавчої влади, як ініціаторів відповідних проєктів, такий портал має значення на будь-якому етапі реалізації проєкту, включаючи його створення, оприлюднення та презентацію з метою залучення фінансових ресурсів. У сучасних умовах </w:t>
      </w:r>
      <w:r w:rsidRPr="00511005">
        <w:rPr>
          <w:rFonts w:ascii="Arial" w:eastAsia="Calibri" w:hAnsi="Arial" w:cs="Arial"/>
          <w:szCs w:val="28"/>
          <w:shd w:val="clear" w:color="auto" w:fill="FFFFFF"/>
        </w:rPr>
        <w:lastRenderedPageBreak/>
        <w:t>введення такої системи сприятиме представленню міжнародній спільноті вже консолідованої інформації.</w:t>
      </w:r>
    </w:p>
    <w:p w14:paraId="42E850B0" w14:textId="75CDDA6C" w:rsidR="00B67481" w:rsidRPr="00511005" w:rsidRDefault="00B67481" w:rsidP="003A292D">
      <w:pPr>
        <w:spacing w:line="264" w:lineRule="auto"/>
        <w:rPr>
          <w:rFonts w:ascii="Arial" w:eastAsia="Times New Roman" w:hAnsi="Arial" w:cs="Arial"/>
          <w:szCs w:val="28"/>
          <w:lang w:eastAsia="ru-RU"/>
        </w:rPr>
      </w:pPr>
      <w:r w:rsidRPr="00511005">
        <w:rPr>
          <w:rFonts w:ascii="Arial" w:eastAsia="Calibri" w:hAnsi="Arial" w:cs="Arial"/>
          <w:i/>
          <w:szCs w:val="28"/>
        </w:rPr>
        <w:t>Принцип ефективності</w:t>
      </w:r>
      <w:r w:rsidRPr="00511005">
        <w:rPr>
          <w:rFonts w:ascii="Arial" w:eastAsia="Calibri" w:hAnsi="Arial" w:cs="Arial"/>
          <w:szCs w:val="28"/>
        </w:rPr>
        <w:t>. З 24 лютого 2022 року публічне адміністрування стикнулося з умовами, за яких ефективність прийнятих управлінських</w:t>
      </w:r>
      <w:r w:rsidR="007B2628" w:rsidRPr="00511005">
        <w:rPr>
          <w:rFonts w:ascii="Arial" w:eastAsia="Calibri" w:hAnsi="Arial" w:cs="Arial"/>
          <w:szCs w:val="28"/>
        </w:rPr>
        <w:t xml:space="preserve"> </w:t>
      </w:r>
      <w:r w:rsidRPr="00511005">
        <w:rPr>
          <w:rFonts w:ascii="Arial" w:eastAsia="Calibri" w:hAnsi="Arial" w:cs="Arial"/>
          <w:szCs w:val="28"/>
        </w:rPr>
        <w:t xml:space="preserve">рішень помітно знизилася, постала проблема пристосування діяльності до нових економічних умов, за яких публічне адміністрування залишалося б ефективним та своєчасним. Так, наприклад, у 2023 році </w:t>
      </w:r>
      <w:r w:rsidRPr="00511005">
        <w:rPr>
          <w:rFonts w:ascii="Arial" w:eastAsia="Calibri" w:hAnsi="Arial" w:cs="Arial"/>
          <w:bCs/>
          <w:szCs w:val="28"/>
          <w:shd w:val="clear" w:color="auto" w:fill="FFFFFF"/>
        </w:rPr>
        <w:t>Кабінетом міністрів України було схвалено Стратегію державної політики щодо внутрішнього переміщення на період до 2025 року та затвердження операційного плану заходів з її реалізації у 2023-2025 роках</w:t>
      </w:r>
      <w:r w:rsidRPr="00511005">
        <w:rPr>
          <w:rFonts w:ascii="Arial" w:eastAsia="Times New Roman" w:hAnsi="Arial" w:cs="Arial"/>
          <w:bCs/>
          <w:szCs w:val="28"/>
          <w:lang w:eastAsia="ru-RU"/>
        </w:rPr>
        <w:t xml:space="preserve">, серед операційного плану заходів якої передбачено досягнення таких стратегічних цілей, як </w:t>
      </w:r>
      <w:r w:rsidRPr="00511005">
        <w:rPr>
          <w:rFonts w:ascii="Arial" w:eastAsia="Calibri" w:hAnsi="Arial" w:cs="Arial"/>
          <w:szCs w:val="28"/>
          <w:shd w:val="clear" w:color="auto" w:fill="FFFFFF"/>
        </w:rPr>
        <w:t>посилення спроможності держави в реагуванні на виклики внутрішнього переміщення, забезпечення умов для реалізації державної політики в цій сфері та інших цілей із зазначенням суб’єктів публічного адміністрування, відповідальних за їх виконання.</w:t>
      </w:r>
      <w:r w:rsidRPr="00511005">
        <w:rPr>
          <w:rFonts w:ascii="Arial" w:eastAsia="Times New Roman" w:hAnsi="Arial" w:cs="Arial"/>
          <w:szCs w:val="28"/>
          <w:lang w:eastAsia="ru-RU"/>
        </w:rPr>
        <w:t xml:space="preserve"> </w:t>
      </w:r>
    </w:p>
    <w:p w14:paraId="656C5623" w14:textId="087C0E99" w:rsidR="00B67481" w:rsidRPr="00511005" w:rsidRDefault="00B67481" w:rsidP="003A292D">
      <w:pPr>
        <w:spacing w:line="264" w:lineRule="auto"/>
        <w:rPr>
          <w:rFonts w:ascii="Arial" w:eastAsia="Calibri" w:hAnsi="Arial" w:cs="Arial"/>
          <w:szCs w:val="28"/>
        </w:rPr>
      </w:pPr>
      <w:r w:rsidRPr="00511005">
        <w:rPr>
          <w:rFonts w:ascii="Arial" w:eastAsia="Calibri" w:hAnsi="Arial" w:cs="Arial"/>
          <w:i/>
          <w:szCs w:val="28"/>
        </w:rPr>
        <w:t>Принцип участі в прийнятті рішень</w:t>
      </w:r>
      <w:r w:rsidRPr="00511005">
        <w:rPr>
          <w:rFonts w:ascii="Arial" w:eastAsia="Calibri" w:hAnsi="Arial" w:cs="Arial"/>
          <w:szCs w:val="28"/>
        </w:rPr>
        <w:t>. В умовах воєнного стану на будь-якому з етапів процесу прийняття політичних рішень продовжують застосовуватися різні рівні участі — від найнижчого до найвищого — від надання доступу до інформації до партнерства. Але саме соціальне партнерство почало розвиватися в напрямку збільшення ініціатив з боку громадських організацій, органів самоорганізації населення та волонтерів, зростання потреби місцевої влади в послугах зазначених суб’єктів та залученні інститутів громадянського суспільства, оскільки останніми надається методична допомога у визначенні</w:t>
      </w:r>
      <w:r w:rsidR="007B2628" w:rsidRPr="00511005">
        <w:rPr>
          <w:rFonts w:ascii="Arial" w:eastAsia="Calibri" w:hAnsi="Arial" w:cs="Arial"/>
          <w:szCs w:val="28"/>
        </w:rPr>
        <w:t xml:space="preserve"> </w:t>
      </w:r>
      <w:r w:rsidRPr="00511005">
        <w:rPr>
          <w:rFonts w:ascii="Arial" w:eastAsia="Calibri" w:hAnsi="Arial" w:cs="Arial"/>
          <w:szCs w:val="28"/>
        </w:rPr>
        <w:t>потреб</w:t>
      </w:r>
      <w:r w:rsidR="007B2628" w:rsidRPr="00511005">
        <w:rPr>
          <w:rFonts w:ascii="Arial" w:eastAsia="Calibri" w:hAnsi="Arial" w:cs="Arial"/>
          <w:szCs w:val="28"/>
        </w:rPr>
        <w:t xml:space="preserve"> </w:t>
      </w:r>
      <w:r w:rsidRPr="00511005">
        <w:rPr>
          <w:rFonts w:ascii="Arial" w:eastAsia="Calibri" w:hAnsi="Arial" w:cs="Arial"/>
          <w:szCs w:val="28"/>
        </w:rPr>
        <w:t>мешканців та прибулих внутрішньо переміщених осіб у соціальній, продовольчій,</w:t>
      </w:r>
      <w:r w:rsidR="007B2628" w:rsidRPr="00511005">
        <w:rPr>
          <w:rFonts w:ascii="Arial" w:eastAsia="Calibri" w:hAnsi="Arial" w:cs="Arial"/>
          <w:szCs w:val="28"/>
        </w:rPr>
        <w:t xml:space="preserve"> </w:t>
      </w:r>
      <w:r w:rsidRPr="00511005">
        <w:rPr>
          <w:rFonts w:ascii="Arial" w:eastAsia="Calibri" w:hAnsi="Arial" w:cs="Arial"/>
          <w:szCs w:val="28"/>
        </w:rPr>
        <w:t>комунальній, побутовій</w:t>
      </w:r>
      <w:r w:rsidR="007B2628" w:rsidRPr="00511005">
        <w:rPr>
          <w:rFonts w:ascii="Arial" w:eastAsia="Calibri" w:hAnsi="Arial" w:cs="Arial"/>
          <w:szCs w:val="28"/>
        </w:rPr>
        <w:t xml:space="preserve"> </w:t>
      </w:r>
      <w:r w:rsidRPr="00511005">
        <w:rPr>
          <w:rFonts w:ascii="Arial" w:eastAsia="Calibri" w:hAnsi="Arial" w:cs="Arial"/>
          <w:szCs w:val="28"/>
        </w:rPr>
        <w:t>сферах, щодо забезпечення</w:t>
      </w:r>
      <w:r w:rsidR="007B2628" w:rsidRPr="00511005">
        <w:rPr>
          <w:rFonts w:ascii="Arial" w:eastAsia="Calibri" w:hAnsi="Arial" w:cs="Arial"/>
          <w:szCs w:val="28"/>
        </w:rPr>
        <w:t xml:space="preserve"> </w:t>
      </w:r>
      <w:r w:rsidRPr="00511005">
        <w:rPr>
          <w:rFonts w:ascii="Arial" w:eastAsia="Calibri" w:hAnsi="Arial" w:cs="Arial"/>
          <w:szCs w:val="28"/>
        </w:rPr>
        <w:t>безпеки</w:t>
      </w:r>
      <w:r w:rsidR="007B2628" w:rsidRPr="00511005">
        <w:rPr>
          <w:rFonts w:ascii="Arial" w:eastAsia="Calibri" w:hAnsi="Arial" w:cs="Arial"/>
          <w:szCs w:val="28"/>
        </w:rPr>
        <w:t xml:space="preserve"> </w:t>
      </w:r>
      <w:r w:rsidRPr="00511005">
        <w:rPr>
          <w:rFonts w:ascii="Arial" w:eastAsia="Calibri" w:hAnsi="Arial" w:cs="Arial"/>
          <w:szCs w:val="28"/>
        </w:rPr>
        <w:t>та</w:t>
      </w:r>
      <w:r w:rsidR="007B2628" w:rsidRPr="00511005">
        <w:rPr>
          <w:rFonts w:ascii="Arial" w:eastAsia="Calibri" w:hAnsi="Arial" w:cs="Arial"/>
          <w:szCs w:val="28"/>
        </w:rPr>
        <w:t xml:space="preserve"> </w:t>
      </w:r>
      <w:r w:rsidRPr="00511005">
        <w:rPr>
          <w:rFonts w:ascii="Arial" w:eastAsia="Calibri" w:hAnsi="Arial" w:cs="Arial"/>
          <w:szCs w:val="28"/>
        </w:rPr>
        <w:t>порядку, вироблення</w:t>
      </w:r>
      <w:r w:rsidR="007B2628" w:rsidRPr="00511005">
        <w:rPr>
          <w:rFonts w:ascii="Arial" w:eastAsia="Calibri" w:hAnsi="Arial" w:cs="Arial"/>
          <w:szCs w:val="28"/>
        </w:rPr>
        <w:t xml:space="preserve"> </w:t>
      </w:r>
      <w:r w:rsidRPr="00511005">
        <w:rPr>
          <w:rFonts w:ascii="Arial" w:eastAsia="Calibri" w:hAnsi="Arial" w:cs="Arial"/>
          <w:szCs w:val="28"/>
        </w:rPr>
        <w:t>оптимальних управлінських моделей. Населення стало активним учасником процесів врядування, проявляючи ініціативи на рівні громад.</w:t>
      </w:r>
    </w:p>
    <w:p w14:paraId="083173A1" w14:textId="6F49D776"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На зміну використанню участі</w:t>
      </w:r>
      <w:r w:rsidR="007B2628" w:rsidRPr="00511005">
        <w:rPr>
          <w:rFonts w:ascii="Arial" w:eastAsia="Calibri" w:hAnsi="Arial" w:cs="Arial"/>
          <w:szCs w:val="28"/>
        </w:rPr>
        <w:t xml:space="preserve"> </w:t>
      </w:r>
      <w:r w:rsidRPr="00511005">
        <w:rPr>
          <w:rFonts w:ascii="Arial" w:eastAsia="Calibri" w:hAnsi="Arial" w:cs="Arial"/>
          <w:szCs w:val="28"/>
        </w:rPr>
        <w:t>молоді</w:t>
      </w:r>
      <w:r w:rsidR="007B2628" w:rsidRPr="00511005">
        <w:rPr>
          <w:rFonts w:ascii="Arial" w:eastAsia="Calibri" w:hAnsi="Arial" w:cs="Arial"/>
          <w:szCs w:val="28"/>
        </w:rPr>
        <w:t xml:space="preserve"> </w:t>
      </w:r>
      <w:r w:rsidRPr="00511005">
        <w:rPr>
          <w:rFonts w:ascii="Arial" w:eastAsia="Calibri" w:hAnsi="Arial" w:cs="Arial"/>
          <w:szCs w:val="28"/>
        </w:rPr>
        <w:t>в суспільно-політичному</w:t>
      </w:r>
      <w:r w:rsidR="007B2628" w:rsidRPr="00511005">
        <w:rPr>
          <w:rFonts w:ascii="Arial" w:eastAsia="Calibri" w:hAnsi="Arial" w:cs="Arial"/>
          <w:szCs w:val="28"/>
        </w:rPr>
        <w:t xml:space="preserve"> </w:t>
      </w:r>
      <w:r w:rsidRPr="00511005">
        <w:rPr>
          <w:rFonts w:ascii="Arial" w:eastAsia="Calibri" w:hAnsi="Arial" w:cs="Arial"/>
          <w:szCs w:val="28"/>
        </w:rPr>
        <w:t>житті, включаючи вплив суб’єктів владних повноважень, який було обмежено порівняно з умовами мирного часу, прийшло підвищення ролі громадянської участі молоді через застосування таких інструментів, як підтримка</w:t>
      </w:r>
      <w:r w:rsidR="007B2628" w:rsidRPr="00511005">
        <w:rPr>
          <w:rFonts w:ascii="Arial" w:eastAsia="Calibri" w:hAnsi="Arial" w:cs="Arial"/>
          <w:szCs w:val="28"/>
        </w:rPr>
        <w:t xml:space="preserve"> </w:t>
      </w:r>
      <w:r w:rsidRPr="00511005">
        <w:rPr>
          <w:rFonts w:ascii="Arial" w:eastAsia="Calibri" w:hAnsi="Arial" w:cs="Arial"/>
          <w:szCs w:val="28"/>
        </w:rPr>
        <w:t>держави</w:t>
      </w:r>
      <w:r w:rsidR="007B2628" w:rsidRPr="00511005">
        <w:rPr>
          <w:rFonts w:ascii="Arial" w:eastAsia="Calibri" w:hAnsi="Arial" w:cs="Arial"/>
          <w:szCs w:val="28"/>
        </w:rPr>
        <w:t xml:space="preserve"> </w:t>
      </w:r>
      <w:r w:rsidRPr="00511005">
        <w:rPr>
          <w:rFonts w:ascii="Arial" w:eastAsia="Calibri" w:hAnsi="Arial" w:cs="Arial"/>
          <w:szCs w:val="28"/>
        </w:rPr>
        <w:t>та власних</w:t>
      </w:r>
      <w:r w:rsidR="007B2628" w:rsidRPr="00511005">
        <w:rPr>
          <w:rFonts w:ascii="Arial" w:eastAsia="Calibri" w:hAnsi="Arial" w:cs="Arial"/>
          <w:szCs w:val="28"/>
        </w:rPr>
        <w:t xml:space="preserve"> </w:t>
      </w:r>
      <w:r w:rsidRPr="00511005">
        <w:rPr>
          <w:rFonts w:ascii="Arial" w:eastAsia="Calibri" w:hAnsi="Arial" w:cs="Arial"/>
          <w:szCs w:val="28"/>
        </w:rPr>
        <w:t>територіальних</w:t>
      </w:r>
      <w:r w:rsidR="007B2628" w:rsidRPr="00511005">
        <w:rPr>
          <w:rFonts w:ascii="Arial" w:eastAsia="Calibri" w:hAnsi="Arial" w:cs="Arial"/>
          <w:szCs w:val="28"/>
        </w:rPr>
        <w:t xml:space="preserve"> </w:t>
      </w:r>
      <w:r w:rsidRPr="00511005">
        <w:rPr>
          <w:rFonts w:ascii="Arial" w:eastAsia="Calibri" w:hAnsi="Arial" w:cs="Arial"/>
          <w:szCs w:val="28"/>
        </w:rPr>
        <w:t>громад. Наявність молодіжною інфраструктури - молодіжних центрів, просторів та хабів – при громадах сприяє швидкому розгортанню програм гуманітарної допомоги, наданню</w:t>
      </w:r>
      <w:r w:rsidR="007B2628" w:rsidRPr="00511005">
        <w:rPr>
          <w:rFonts w:ascii="Arial" w:eastAsia="Calibri" w:hAnsi="Arial" w:cs="Arial"/>
          <w:szCs w:val="28"/>
        </w:rPr>
        <w:t xml:space="preserve"> </w:t>
      </w:r>
      <w:r w:rsidRPr="00511005">
        <w:rPr>
          <w:rFonts w:ascii="Arial" w:eastAsia="Calibri" w:hAnsi="Arial" w:cs="Arial"/>
          <w:szCs w:val="28"/>
        </w:rPr>
        <w:t>соціальних</w:t>
      </w:r>
      <w:r w:rsidR="007B2628" w:rsidRPr="00511005">
        <w:rPr>
          <w:rFonts w:ascii="Arial" w:eastAsia="Calibri" w:hAnsi="Arial" w:cs="Arial"/>
          <w:szCs w:val="28"/>
        </w:rPr>
        <w:t xml:space="preserve"> </w:t>
      </w:r>
      <w:r w:rsidRPr="00511005">
        <w:rPr>
          <w:rFonts w:ascii="Arial" w:eastAsia="Calibri" w:hAnsi="Arial" w:cs="Arial"/>
          <w:szCs w:val="28"/>
        </w:rPr>
        <w:t>послуг цивільному населенню та, разом з цим, обміну</w:t>
      </w:r>
      <w:r w:rsidR="007B2628" w:rsidRPr="00511005">
        <w:rPr>
          <w:rFonts w:ascii="Arial" w:eastAsia="Calibri" w:hAnsi="Arial" w:cs="Arial"/>
          <w:szCs w:val="28"/>
        </w:rPr>
        <w:t xml:space="preserve"> </w:t>
      </w:r>
      <w:r w:rsidRPr="00511005">
        <w:rPr>
          <w:rFonts w:ascii="Arial" w:eastAsia="Calibri" w:hAnsi="Arial" w:cs="Arial"/>
          <w:szCs w:val="28"/>
        </w:rPr>
        <w:t>досвідом,</w:t>
      </w:r>
      <w:r w:rsidR="007B2628" w:rsidRPr="00511005">
        <w:rPr>
          <w:rFonts w:ascii="Arial" w:eastAsia="Calibri" w:hAnsi="Arial" w:cs="Arial"/>
          <w:szCs w:val="28"/>
        </w:rPr>
        <w:t xml:space="preserve"> </w:t>
      </w:r>
      <w:r w:rsidRPr="00511005">
        <w:rPr>
          <w:rFonts w:ascii="Arial" w:eastAsia="Calibri" w:hAnsi="Arial" w:cs="Arial"/>
          <w:szCs w:val="28"/>
        </w:rPr>
        <w:t>наданню</w:t>
      </w:r>
      <w:r w:rsidR="007B2628" w:rsidRPr="00511005">
        <w:rPr>
          <w:rFonts w:ascii="Arial" w:eastAsia="Calibri" w:hAnsi="Arial" w:cs="Arial"/>
          <w:szCs w:val="28"/>
        </w:rPr>
        <w:t xml:space="preserve"> </w:t>
      </w:r>
      <w:r w:rsidRPr="00511005">
        <w:rPr>
          <w:rFonts w:ascii="Arial" w:eastAsia="Calibri" w:hAnsi="Arial" w:cs="Arial"/>
          <w:szCs w:val="28"/>
        </w:rPr>
        <w:t>практичних рекомендацій та пропозицій молодіжними</w:t>
      </w:r>
      <w:r w:rsidR="007B2628" w:rsidRPr="00511005">
        <w:rPr>
          <w:rFonts w:ascii="Arial" w:eastAsia="Calibri" w:hAnsi="Arial" w:cs="Arial"/>
          <w:szCs w:val="28"/>
        </w:rPr>
        <w:t xml:space="preserve"> </w:t>
      </w:r>
      <w:r w:rsidRPr="00511005">
        <w:rPr>
          <w:rFonts w:ascii="Arial" w:eastAsia="Calibri" w:hAnsi="Arial" w:cs="Arial"/>
          <w:szCs w:val="28"/>
        </w:rPr>
        <w:t xml:space="preserve">працівниками центральним органам виконавчої влади </w:t>
      </w:r>
      <w:r w:rsidRPr="00511005">
        <w:rPr>
          <w:rFonts w:ascii="Arial" w:eastAsia="Calibri" w:hAnsi="Arial" w:cs="Arial"/>
          <w:szCs w:val="28"/>
          <w:shd w:val="clear" w:color="auto" w:fill="FFFFFF"/>
        </w:rPr>
        <w:t xml:space="preserve">у сфері соціальної політики під час </w:t>
      </w:r>
      <w:r w:rsidRPr="00511005">
        <w:rPr>
          <w:rFonts w:ascii="Arial" w:eastAsia="Calibri" w:hAnsi="Arial" w:cs="Arial"/>
          <w:szCs w:val="28"/>
        </w:rPr>
        <w:t>розроблення, обговорення законопроектів та проектів програм національного рівня.</w:t>
      </w:r>
    </w:p>
    <w:p w14:paraId="6C2DA514" w14:textId="3D7F1622" w:rsidR="00B67481" w:rsidRPr="00511005" w:rsidRDefault="00B67481" w:rsidP="003A292D">
      <w:pPr>
        <w:spacing w:line="264" w:lineRule="auto"/>
        <w:rPr>
          <w:rFonts w:ascii="Arial" w:eastAsia="Calibri" w:hAnsi="Arial" w:cs="Arial"/>
          <w:szCs w:val="28"/>
        </w:rPr>
      </w:pPr>
      <w:r w:rsidRPr="00511005">
        <w:rPr>
          <w:rFonts w:ascii="Arial" w:eastAsia="Times New Roman" w:hAnsi="Arial" w:cs="Arial"/>
          <w:i/>
          <w:szCs w:val="28"/>
          <w:lang w:eastAsia="ru-RU"/>
        </w:rPr>
        <w:t>Принцип інноваційності та відкритості до змін</w:t>
      </w:r>
      <w:r w:rsidRPr="00511005">
        <w:rPr>
          <w:rFonts w:ascii="Arial" w:eastAsia="Times New Roman" w:hAnsi="Arial" w:cs="Arial"/>
          <w:szCs w:val="28"/>
          <w:lang w:eastAsia="ru-RU"/>
        </w:rPr>
        <w:t>. Наразі інформаційне</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забезпечення</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є ключовим інструментом у функціонуванні та організації </w:t>
      </w:r>
      <w:r w:rsidRPr="00511005">
        <w:rPr>
          <w:rFonts w:ascii="Arial" w:eastAsia="Times New Roman" w:hAnsi="Arial" w:cs="Arial"/>
          <w:szCs w:val="28"/>
          <w:lang w:eastAsia="ru-RU"/>
        </w:rPr>
        <w:lastRenderedPageBreak/>
        <w:t>публічного адміністрування, а переваги</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використання</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інформаційно-комунікаційних</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технологій – очевидними.</w:t>
      </w:r>
      <w:r w:rsidRPr="00511005">
        <w:rPr>
          <w:rFonts w:ascii="Arial" w:eastAsia="Calibri" w:hAnsi="Arial" w:cs="Arial"/>
          <w:szCs w:val="28"/>
        </w:rPr>
        <w:t xml:space="preserve"> Публічна адміністрація виправдала не тільки готовність до ініціювання, але й сприймання, підтримки та апробації новітніх підходів у відповідь на поставлені виклики та завдання. Спроможність надання послуг на регіональному</w:t>
      </w:r>
      <w:r w:rsidR="007B2628" w:rsidRPr="00511005">
        <w:rPr>
          <w:rFonts w:ascii="Arial" w:eastAsia="Calibri" w:hAnsi="Arial" w:cs="Arial"/>
          <w:szCs w:val="28"/>
        </w:rPr>
        <w:t xml:space="preserve"> </w:t>
      </w:r>
      <w:r w:rsidRPr="00511005">
        <w:rPr>
          <w:rFonts w:ascii="Arial" w:eastAsia="Calibri" w:hAnsi="Arial" w:cs="Arial"/>
          <w:szCs w:val="28"/>
        </w:rPr>
        <w:t>та</w:t>
      </w:r>
      <w:r w:rsidR="007B2628" w:rsidRPr="00511005">
        <w:rPr>
          <w:rFonts w:ascii="Arial" w:eastAsia="Calibri" w:hAnsi="Arial" w:cs="Arial"/>
          <w:szCs w:val="28"/>
        </w:rPr>
        <w:t xml:space="preserve"> </w:t>
      </w:r>
      <w:r w:rsidRPr="00511005">
        <w:rPr>
          <w:rFonts w:ascii="Arial" w:eastAsia="Calibri" w:hAnsi="Arial" w:cs="Arial"/>
          <w:szCs w:val="28"/>
        </w:rPr>
        <w:t>місцевому</w:t>
      </w:r>
      <w:r w:rsidR="007B2628" w:rsidRPr="00511005">
        <w:rPr>
          <w:rFonts w:ascii="Arial" w:eastAsia="Calibri" w:hAnsi="Arial" w:cs="Arial"/>
          <w:szCs w:val="28"/>
        </w:rPr>
        <w:t xml:space="preserve"> </w:t>
      </w:r>
      <w:r w:rsidRPr="00511005">
        <w:rPr>
          <w:rFonts w:ascii="Arial" w:eastAsia="Calibri" w:hAnsi="Arial" w:cs="Arial"/>
          <w:szCs w:val="28"/>
        </w:rPr>
        <w:t xml:space="preserve">рівнях визначається існуванням та швидким розвитком цифрових додатків для смартфонів. </w:t>
      </w:r>
    </w:p>
    <w:p w14:paraId="2E22D5F2" w14:textId="462B3216"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Положенням «Про Єдиний державний веб-портал електронних послуг» були </w:t>
      </w:r>
      <w:r w:rsidRPr="00511005">
        <w:rPr>
          <w:rFonts w:ascii="Arial" w:eastAsia="Times New Roman" w:hAnsi="Arial" w:cs="Arial"/>
          <w:szCs w:val="28"/>
          <w:lang w:eastAsia="ru-RU"/>
        </w:rPr>
        <w:t xml:space="preserve">окреслені </w:t>
      </w:r>
      <w:r w:rsidRPr="00511005">
        <w:rPr>
          <w:rFonts w:ascii="Arial" w:eastAsia="Calibri" w:hAnsi="Arial" w:cs="Arial"/>
          <w:szCs w:val="28"/>
        </w:rPr>
        <w:t xml:space="preserve">основні завдання Порталу Дія, серед яких вбачається </w:t>
      </w:r>
      <w:r w:rsidRPr="00511005">
        <w:rPr>
          <w:rFonts w:ascii="Arial" w:eastAsia="Calibri" w:hAnsi="Arial" w:cs="Arial"/>
          <w:szCs w:val="28"/>
          <w:shd w:val="clear" w:color="auto" w:fill="FFFFFF"/>
        </w:rPr>
        <w:t xml:space="preserve">надання електронних публічних послуг та подання електронних звернень, забезпечення користувачів інформацією про доступні послуги, їх перебіг та результати надання, більш того, можливе проведення опитування щодо ініціатив з вирішення питань державного управління. </w:t>
      </w:r>
      <w:r w:rsidRPr="00511005">
        <w:rPr>
          <w:rFonts w:ascii="Arial" w:eastAsia="Calibri" w:hAnsi="Arial" w:cs="Arial"/>
          <w:szCs w:val="28"/>
        </w:rPr>
        <w:t xml:space="preserve">[1] </w:t>
      </w:r>
      <w:r w:rsidRPr="00511005">
        <w:rPr>
          <w:rFonts w:ascii="Arial" w:eastAsia="Calibri" w:hAnsi="Arial" w:cs="Arial"/>
          <w:szCs w:val="28"/>
          <w:shd w:val="clear" w:color="auto" w:fill="FFFFFF"/>
        </w:rPr>
        <w:t xml:space="preserve">Крім того, </w:t>
      </w:r>
      <w:r w:rsidRPr="00511005">
        <w:rPr>
          <w:rFonts w:ascii="Arial" w:eastAsia="Calibri" w:hAnsi="Arial" w:cs="Arial"/>
          <w:szCs w:val="28"/>
        </w:rPr>
        <w:t xml:space="preserve">отримання електронних адміністративніих послуг шляхом використання кваліфікованого електронного підпису (КЕП) стало можливим також через офіційні вебсайти ЦНАПів. Такій цифровізації значно сприяла реалізація шведсько-українського проєкту «PROSTO: Підтримка доступності послуг в Україні», який розпочався у 2021 році та згодом також зустрів виклики воєнного часу. Метою проєкту було покращення надання послуг жителям громад шляхом модернізації вже існуючих ЦНАПів, їх релокації, підтримки деокупованих та постраждалих громад у відновленні надання ними послуг. </w:t>
      </w:r>
      <w:r w:rsidRPr="00511005">
        <w:rPr>
          <w:rFonts w:ascii="Arial" w:eastAsia="Times New Roman" w:hAnsi="Arial" w:cs="Arial"/>
          <w:szCs w:val="28"/>
          <w:lang w:eastAsia="ru-RU"/>
        </w:rPr>
        <w:t xml:space="preserve">Можливості ж інших додатків дозволяють своєчасно отримувати, а </w:t>
      </w:r>
      <w:r w:rsidRPr="00511005">
        <w:rPr>
          <w:rFonts w:ascii="Arial" w:eastAsia="Calibri" w:hAnsi="Arial" w:cs="Arial"/>
          <w:szCs w:val="28"/>
        </w:rPr>
        <w:t xml:space="preserve">публічним адміністраціям </w:t>
      </w:r>
      <w:r w:rsidRPr="00511005">
        <w:rPr>
          <w:rFonts w:ascii="Arial" w:eastAsia="Times New Roman" w:hAnsi="Arial" w:cs="Arial"/>
          <w:szCs w:val="28"/>
          <w:lang w:eastAsia="ru-RU"/>
        </w:rPr>
        <w:t>поширювати оперативну інформацію щодо війни через канали таких популярних месенджерів, як, наприклад, Вайбер та Телеграм.</w:t>
      </w:r>
      <w:r w:rsidRPr="00511005">
        <w:rPr>
          <w:rFonts w:ascii="Arial" w:eastAsia="Calibri" w:hAnsi="Arial" w:cs="Arial"/>
          <w:szCs w:val="28"/>
          <w:shd w:val="clear" w:color="auto" w:fill="FFFFFF"/>
        </w:rPr>
        <w:t xml:space="preserve"> У відповідь на безпекові виклики, які постали через порушення</w:t>
      </w:r>
      <w:r w:rsidR="007B2628" w:rsidRPr="00511005">
        <w:rPr>
          <w:rFonts w:ascii="Arial" w:eastAsia="Calibri" w:hAnsi="Arial" w:cs="Arial"/>
          <w:szCs w:val="28"/>
          <w:shd w:val="clear" w:color="auto" w:fill="FFFFFF"/>
        </w:rPr>
        <w:t xml:space="preserve"> </w:t>
      </w:r>
      <w:r w:rsidRPr="00511005">
        <w:rPr>
          <w:rFonts w:ascii="Arial" w:eastAsia="Calibri" w:hAnsi="Arial" w:cs="Arial"/>
          <w:szCs w:val="28"/>
          <w:shd w:val="clear" w:color="auto" w:fill="FFFFFF"/>
        </w:rPr>
        <w:t>звичайного</w:t>
      </w:r>
      <w:r w:rsidR="007B2628" w:rsidRPr="00511005">
        <w:rPr>
          <w:rFonts w:ascii="Arial" w:eastAsia="Calibri" w:hAnsi="Arial" w:cs="Arial"/>
          <w:szCs w:val="28"/>
          <w:shd w:val="clear" w:color="auto" w:fill="FFFFFF"/>
        </w:rPr>
        <w:t xml:space="preserve"> </w:t>
      </w:r>
      <w:r w:rsidRPr="00511005">
        <w:rPr>
          <w:rFonts w:ascii="Arial" w:eastAsia="Calibri" w:hAnsi="Arial" w:cs="Arial"/>
          <w:szCs w:val="28"/>
          <w:shd w:val="clear" w:color="auto" w:fill="FFFFFF"/>
        </w:rPr>
        <w:t>формату</w:t>
      </w:r>
      <w:r w:rsidR="007B2628" w:rsidRPr="00511005">
        <w:rPr>
          <w:rFonts w:ascii="Arial" w:eastAsia="Calibri" w:hAnsi="Arial" w:cs="Arial"/>
          <w:szCs w:val="28"/>
          <w:shd w:val="clear" w:color="auto" w:fill="FFFFFF"/>
        </w:rPr>
        <w:t xml:space="preserve"> </w:t>
      </w:r>
      <w:r w:rsidRPr="00511005">
        <w:rPr>
          <w:rFonts w:ascii="Arial" w:eastAsia="Calibri" w:hAnsi="Arial" w:cs="Arial"/>
          <w:szCs w:val="28"/>
          <w:shd w:val="clear" w:color="auto" w:fill="FFFFFF"/>
        </w:rPr>
        <w:t>організації роботи публічних адміністрацій, функціонують додатки,</w:t>
      </w:r>
      <w:r w:rsidR="007B2628" w:rsidRPr="00511005">
        <w:rPr>
          <w:rFonts w:ascii="Arial" w:eastAsia="Calibri" w:hAnsi="Arial" w:cs="Arial"/>
          <w:szCs w:val="28"/>
          <w:shd w:val="clear" w:color="auto" w:fill="FFFFFF"/>
        </w:rPr>
        <w:t xml:space="preserve"> </w:t>
      </w:r>
      <w:r w:rsidRPr="00511005">
        <w:rPr>
          <w:rFonts w:ascii="Arial" w:eastAsia="Calibri" w:hAnsi="Arial" w:cs="Arial"/>
          <w:szCs w:val="28"/>
          <w:shd w:val="clear" w:color="auto" w:fill="FFFFFF"/>
        </w:rPr>
        <w:t>які</w:t>
      </w:r>
      <w:r w:rsidR="007B2628" w:rsidRPr="00511005">
        <w:rPr>
          <w:rFonts w:ascii="Arial" w:eastAsia="Calibri" w:hAnsi="Arial" w:cs="Arial"/>
          <w:szCs w:val="28"/>
          <w:shd w:val="clear" w:color="auto" w:fill="FFFFFF"/>
        </w:rPr>
        <w:t xml:space="preserve"> </w:t>
      </w:r>
      <w:r w:rsidRPr="00511005">
        <w:rPr>
          <w:rFonts w:ascii="Arial" w:eastAsia="Calibri" w:hAnsi="Arial" w:cs="Arial"/>
          <w:szCs w:val="28"/>
          <w:shd w:val="clear" w:color="auto" w:fill="FFFFFF"/>
        </w:rPr>
        <w:t>інформують</w:t>
      </w:r>
      <w:r w:rsidR="007B2628" w:rsidRPr="00511005">
        <w:rPr>
          <w:rFonts w:ascii="Arial" w:eastAsia="Calibri" w:hAnsi="Arial" w:cs="Arial"/>
          <w:szCs w:val="28"/>
          <w:shd w:val="clear" w:color="auto" w:fill="FFFFFF"/>
        </w:rPr>
        <w:t xml:space="preserve"> </w:t>
      </w:r>
      <w:r w:rsidRPr="00511005">
        <w:rPr>
          <w:rFonts w:ascii="Arial" w:eastAsia="Calibri" w:hAnsi="Arial" w:cs="Arial"/>
          <w:szCs w:val="28"/>
          <w:shd w:val="clear" w:color="auto" w:fill="FFFFFF"/>
        </w:rPr>
        <w:t>про</w:t>
      </w:r>
      <w:r w:rsidR="007B2628" w:rsidRPr="00511005">
        <w:rPr>
          <w:rFonts w:ascii="Arial" w:eastAsia="Calibri" w:hAnsi="Arial" w:cs="Arial"/>
          <w:szCs w:val="28"/>
          <w:shd w:val="clear" w:color="auto" w:fill="FFFFFF"/>
        </w:rPr>
        <w:t xml:space="preserve"> </w:t>
      </w:r>
      <w:r w:rsidRPr="00511005">
        <w:rPr>
          <w:rFonts w:ascii="Arial" w:eastAsia="Calibri" w:hAnsi="Arial" w:cs="Arial"/>
          <w:szCs w:val="28"/>
          <w:shd w:val="clear" w:color="auto" w:fill="FFFFFF"/>
        </w:rPr>
        <w:t>повітряні</w:t>
      </w:r>
      <w:r w:rsidR="007B2628" w:rsidRPr="00511005">
        <w:rPr>
          <w:rFonts w:ascii="Arial" w:eastAsia="Calibri" w:hAnsi="Arial" w:cs="Arial"/>
          <w:szCs w:val="28"/>
          <w:shd w:val="clear" w:color="auto" w:fill="FFFFFF"/>
        </w:rPr>
        <w:t xml:space="preserve"> </w:t>
      </w:r>
      <w:r w:rsidRPr="00511005">
        <w:rPr>
          <w:rFonts w:ascii="Arial" w:eastAsia="Calibri" w:hAnsi="Arial" w:cs="Arial"/>
          <w:szCs w:val="28"/>
          <w:shd w:val="clear" w:color="auto" w:fill="FFFFFF"/>
        </w:rPr>
        <w:t>тривоги.</w:t>
      </w:r>
      <w:r w:rsidRPr="00511005">
        <w:rPr>
          <w:rFonts w:ascii="Arial" w:eastAsia="Calibri" w:hAnsi="Arial" w:cs="Arial"/>
          <w:szCs w:val="28"/>
        </w:rPr>
        <w:t xml:space="preserve"> [3]</w:t>
      </w:r>
    </w:p>
    <w:p w14:paraId="09766B20" w14:textId="2D371C58"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Особливості</w:t>
      </w:r>
      <w:r w:rsidR="007B2628" w:rsidRPr="00511005">
        <w:rPr>
          <w:rFonts w:ascii="Arial" w:eastAsia="Calibri" w:hAnsi="Arial" w:cs="Arial"/>
          <w:szCs w:val="28"/>
        </w:rPr>
        <w:t xml:space="preserve"> </w:t>
      </w:r>
      <w:r w:rsidRPr="00511005">
        <w:rPr>
          <w:rFonts w:ascii="Arial" w:eastAsia="Calibri" w:hAnsi="Arial" w:cs="Arial"/>
          <w:szCs w:val="28"/>
        </w:rPr>
        <w:t>здійснення публічного адміністрування в умовах воєнного стану також зумовили виникнення специфічних</w:t>
      </w:r>
      <w:r w:rsidR="007B2628" w:rsidRPr="00511005">
        <w:rPr>
          <w:rFonts w:ascii="Arial" w:eastAsia="Calibri" w:hAnsi="Arial" w:cs="Arial"/>
          <w:szCs w:val="28"/>
        </w:rPr>
        <w:t xml:space="preserve"> </w:t>
      </w:r>
      <w:r w:rsidRPr="00511005">
        <w:rPr>
          <w:rFonts w:ascii="Arial" w:eastAsia="Calibri" w:hAnsi="Arial" w:cs="Arial"/>
          <w:szCs w:val="28"/>
        </w:rPr>
        <w:t>принципів, які до цього не знаходили відображення в теорії та практиці належного врядування.</w:t>
      </w:r>
    </w:p>
    <w:p w14:paraId="1EF865AC" w14:textId="656258C5" w:rsidR="00B67481" w:rsidRPr="00511005" w:rsidRDefault="00B67481" w:rsidP="003A292D">
      <w:pPr>
        <w:spacing w:line="264" w:lineRule="auto"/>
        <w:rPr>
          <w:rFonts w:ascii="Arial" w:eastAsia="Calibri" w:hAnsi="Arial" w:cs="Arial"/>
          <w:szCs w:val="28"/>
        </w:rPr>
      </w:pPr>
      <w:r w:rsidRPr="00511005">
        <w:rPr>
          <w:rFonts w:ascii="Arial" w:eastAsia="Calibri" w:hAnsi="Arial" w:cs="Arial"/>
          <w:i/>
          <w:szCs w:val="28"/>
        </w:rPr>
        <w:t>Принцип</w:t>
      </w:r>
      <w:r w:rsidR="007B2628" w:rsidRPr="00511005">
        <w:rPr>
          <w:rFonts w:ascii="Arial" w:eastAsia="Calibri" w:hAnsi="Arial" w:cs="Arial"/>
          <w:i/>
          <w:szCs w:val="28"/>
        </w:rPr>
        <w:t xml:space="preserve"> </w:t>
      </w:r>
      <w:r w:rsidRPr="00511005">
        <w:rPr>
          <w:rFonts w:ascii="Arial" w:eastAsia="Calibri" w:hAnsi="Arial" w:cs="Arial"/>
          <w:i/>
          <w:szCs w:val="28"/>
        </w:rPr>
        <w:t>розширення</w:t>
      </w:r>
      <w:r w:rsidR="007B2628" w:rsidRPr="00511005">
        <w:rPr>
          <w:rFonts w:ascii="Arial" w:eastAsia="Calibri" w:hAnsi="Arial" w:cs="Arial"/>
          <w:i/>
          <w:szCs w:val="28"/>
        </w:rPr>
        <w:t xml:space="preserve"> </w:t>
      </w:r>
      <w:r w:rsidRPr="00511005">
        <w:rPr>
          <w:rFonts w:ascii="Arial" w:eastAsia="Calibri" w:hAnsi="Arial" w:cs="Arial"/>
          <w:i/>
          <w:szCs w:val="28"/>
        </w:rPr>
        <w:t>компетенції</w:t>
      </w:r>
      <w:r w:rsidR="007B2628" w:rsidRPr="00511005">
        <w:rPr>
          <w:rFonts w:ascii="Arial" w:eastAsia="Calibri" w:hAnsi="Arial" w:cs="Arial"/>
          <w:i/>
          <w:szCs w:val="28"/>
        </w:rPr>
        <w:t xml:space="preserve"> </w:t>
      </w:r>
      <w:r w:rsidRPr="00511005">
        <w:rPr>
          <w:rFonts w:ascii="Arial" w:eastAsia="Calibri" w:hAnsi="Arial" w:cs="Arial"/>
          <w:i/>
          <w:szCs w:val="28"/>
        </w:rPr>
        <w:t>суб’єкта</w:t>
      </w:r>
      <w:r w:rsidR="007B2628" w:rsidRPr="00511005">
        <w:rPr>
          <w:rFonts w:ascii="Arial" w:eastAsia="Calibri" w:hAnsi="Arial" w:cs="Arial"/>
          <w:i/>
          <w:szCs w:val="28"/>
        </w:rPr>
        <w:t xml:space="preserve"> </w:t>
      </w:r>
      <w:r w:rsidRPr="00511005">
        <w:rPr>
          <w:rFonts w:ascii="Arial" w:eastAsia="Calibri" w:hAnsi="Arial" w:cs="Arial"/>
          <w:i/>
          <w:szCs w:val="28"/>
        </w:rPr>
        <w:t>публічного адміністрування</w:t>
      </w:r>
      <w:r w:rsidRPr="00511005">
        <w:rPr>
          <w:rFonts w:ascii="Arial" w:eastAsia="Calibri" w:hAnsi="Arial" w:cs="Arial"/>
          <w:szCs w:val="28"/>
        </w:rPr>
        <w:t xml:space="preserve">. Поява даного принципу стала відповіддю на питання стосовно надання послуг, реалізації функцій та виконання завдань </w:t>
      </w:r>
      <w:proofErr w:type="gramStart"/>
      <w:r w:rsidRPr="00511005">
        <w:rPr>
          <w:rFonts w:ascii="Arial" w:eastAsia="Calibri" w:hAnsi="Arial" w:cs="Arial"/>
          <w:szCs w:val="28"/>
        </w:rPr>
        <w:t>за умов</w:t>
      </w:r>
      <w:proofErr w:type="gramEnd"/>
      <w:r w:rsidRPr="00511005">
        <w:rPr>
          <w:rFonts w:ascii="Arial" w:eastAsia="Calibri" w:hAnsi="Arial" w:cs="Arial"/>
          <w:szCs w:val="28"/>
        </w:rPr>
        <w:t xml:space="preserve"> загроз життю та безпеки громадян. Так, розширилися повноваження місцевих державних адміністрацій, на базі яких </w:t>
      </w:r>
      <w:r w:rsidRPr="00511005">
        <w:rPr>
          <w:rFonts w:ascii="Arial" w:eastAsia="Calibri" w:hAnsi="Arial" w:cs="Arial"/>
          <w:szCs w:val="28"/>
          <w:shd w:val="clear" w:color="auto" w:fill="FFFFFF"/>
        </w:rPr>
        <w:t>для здійснення керівництва у сфері забезпечення оборони, громадської безпеки і порядку були утворені військові адміністрації, які отримали</w:t>
      </w:r>
      <w:r w:rsidRPr="00511005">
        <w:rPr>
          <w:rFonts w:ascii="Arial" w:eastAsia="Calibri" w:hAnsi="Arial" w:cs="Arial"/>
          <w:szCs w:val="28"/>
        </w:rPr>
        <w:t xml:space="preserve"> право обмежувати деякі</w:t>
      </w:r>
      <w:r w:rsidR="007B2628" w:rsidRPr="00511005">
        <w:rPr>
          <w:rFonts w:ascii="Arial" w:eastAsia="Calibri" w:hAnsi="Arial" w:cs="Arial"/>
          <w:szCs w:val="28"/>
        </w:rPr>
        <w:t xml:space="preserve"> </w:t>
      </w:r>
      <w:r w:rsidRPr="00511005">
        <w:rPr>
          <w:rFonts w:ascii="Arial" w:eastAsia="Calibri" w:hAnsi="Arial" w:cs="Arial"/>
          <w:szCs w:val="28"/>
        </w:rPr>
        <w:t>конституційні</w:t>
      </w:r>
      <w:r w:rsidR="007B2628" w:rsidRPr="00511005">
        <w:rPr>
          <w:rFonts w:ascii="Arial" w:eastAsia="Calibri" w:hAnsi="Arial" w:cs="Arial"/>
          <w:szCs w:val="28"/>
        </w:rPr>
        <w:t xml:space="preserve"> </w:t>
      </w:r>
      <w:r w:rsidRPr="00511005">
        <w:rPr>
          <w:rFonts w:ascii="Arial" w:eastAsia="Calibri" w:hAnsi="Arial" w:cs="Arial"/>
          <w:szCs w:val="28"/>
        </w:rPr>
        <w:t>права</w:t>
      </w:r>
      <w:r w:rsidR="007B2628" w:rsidRPr="00511005">
        <w:rPr>
          <w:rFonts w:ascii="Arial" w:eastAsia="Calibri" w:hAnsi="Arial" w:cs="Arial"/>
          <w:szCs w:val="28"/>
        </w:rPr>
        <w:t xml:space="preserve"> </w:t>
      </w:r>
      <w:r w:rsidRPr="00511005">
        <w:rPr>
          <w:rFonts w:ascii="Arial" w:eastAsia="Calibri" w:hAnsi="Arial" w:cs="Arial"/>
          <w:szCs w:val="28"/>
        </w:rPr>
        <w:t>та свободи</w:t>
      </w:r>
      <w:r w:rsidR="007B2628" w:rsidRPr="00511005">
        <w:rPr>
          <w:rFonts w:ascii="Arial" w:eastAsia="Calibri" w:hAnsi="Arial" w:cs="Arial"/>
          <w:szCs w:val="28"/>
        </w:rPr>
        <w:t xml:space="preserve"> </w:t>
      </w:r>
      <w:r w:rsidRPr="00511005">
        <w:rPr>
          <w:rFonts w:ascii="Arial" w:eastAsia="Calibri" w:hAnsi="Arial" w:cs="Arial"/>
          <w:szCs w:val="28"/>
        </w:rPr>
        <w:t>людини</w:t>
      </w:r>
      <w:r w:rsidR="007B2628" w:rsidRPr="00511005">
        <w:rPr>
          <w:rFonts w:ascii="Arial" w:eastAsia="Calibri" w:hAnsi="Arial" w:cs="Arial"/>
          <w:szCs w:val="28"/>
        </w:rPr>
        <w:t xml:space="preserve"> </w:t>
      </w:r>
      <w:r w:rsidRPr="00511005">
        <w:rPr>
          <w:rFonts w:ascii="Arial" w:eastAsia="Calibri" w:hAnsi="Arial" w:cs="Arial"/>
          <w:szCs w:val="28"/>
        </w:rPr>
        <w:t>і</w:t>
      </w:r>
      <w:r w:rsidR="007B2628" w:rsidRPr="00511005">
        <w:rPr>
          <w:rFonts w:ascii="Arial" w:eastAsia="Calibri" w:hAnsi="Arial" w:cs="Arial"/>
          <w:szCs w:val="28"/>
        </w:rPr>
        <w:t xml:space="preserve"> </w:t>
      </w:r>
      <w:r w:rsidRPr="00511005">
        <w:rPr>
          <w:rFonts w:ascii="Arial" w:eastAsia="Calibri" w:hAnsi="Arial" w:cs="Arial"/>
          <w:szCs w:val="28"/>
        </w:rPr>
        <w:t>громадянина з урахуванням потреб правового</w:t>
      </w:r>
      <w:r w:rsidR="007B2628" w:rsidRPr="00511005">
        <w:rPr>
          <w:rFonts w:ascii="Arial" w:eastAsia="Calibri" w:hAnsi="Arial" w:cs="Arial"/>
          <w:szCs w:val="28"/>
        </w:rPr>
        <w:t xml:space="preserve"> </w:t>
      </w:r>
      <w:r w:rsidRPr="00511005">
        <w:rPr>
          <w:rFonts w:ascii="Arial" w:eastAsia="Calibri" w:hAnsi="Arial" w:cs="Arial"/>
          <w:szCs w:val="28"/>
        </w:rPr>
        <w:t>режиму</w:t>
      </w:r>
      <w:r w:rsidR="007B2628" w:rsidRPr="00511005">
        <w:rPr>
          <w:rFonts w:ascii="Arial" w:eastAsia="Calibri" w:hAnsi="Arial" w:cs="Arial"/>
          <w:szCs w:val="28"/>
        </w:rPr>
        <w:t xml:space="preserve"> </w:t>
      </w:r>
      <w:r w:rsidRPr="00511005">
        <w:rPr>
          <w:rFonts w:ascii="Arial" w:eastAsia="Calibri" w:hAnsi="Arial" w:cs="Arial"/>
          <w:szCs w:val="28"/>
        </w:rPr>
        <w:t>воєнного</w:t>
      </w:r>
      <w:r w:rsidR="007B2628" w:rsidRPr="00511005">
        <w:rPr>
          <w:rFonts w:ascii="Arial" w:eastAsia="Calibri" w:hAnsi="Arial" w:cs="Arial"/>
          <w:szCs w:val="28"/>
        </w:rPr>
        <w:t xml:space="preserve"> </w:t>
      </w:r>
      <w:r w:rsidRPr="00511005">
        <w:rPr>
          <w:rFonts w:ascii="Arial" w:eastAsia="Calibri" w:hAnsi="Arial" w:cs="Arial"/>
          <w:szCs w:val="28"/>
        </w:rPr>
        <w:t>стану.</w:t>
      </w:r>
    </w:p>
    <w:p w14:paraId="3A61300E" w14:textId="279F2EBC" w:rsidR="00B67481" w:rsidRPr="00511005" w:rsidRDefault="00B67481" w:rsidP="003A292D">
      <w:pPr>
        <w:spacing w:line="264" w:lineRule="auto"/>
        <w:rPr>
          <w:rFonts w:ascii="Arial" w:eastAsia="Calibri" w:hAnsi="Arial" w:cs="Arial"/>
          <w:szCs w:val="28"/>
        </w:rPr>
      </w:pPr>
      <w:r w:rsidRPr="00511005">
        <w:rPr>
          <w:rFonts w:ascii="Arial" w:eastAsia="Calibri" w:hAnsi="Arial" w:cs="Arial"/>
          <w:i/>
          <w:szCs w:val="28"/>
        </w:rPr>
        <w:t>Принцип гнучкості суб’єкта публічного адміністрування</w:t>
      </w:r>
      <w:r w:rsidRPr="00511005">
        <w:rPr>
          <w:rFonts w:ascii="Arial" w:eastAsia="Calibri" w:hAnsi="Arial" w:cs="Arial"/>
          <w:szCs w:val="28"/>
        </w:rPr>
        <w:t xml:space="preserve">. На жаль, наразі формат роботи будь-якого суб’єкта публічного адміністрування вкрай узалежнений від безпекової ситуації, що вимагає від органів здатності </w:t>
      </w:r>
      <w:r w:rsidRPr="00511005">
        <w:rPr>
          <w:rFonts w:ascii="Arial" w:eastAsia="Calibri" w:hAnsi="Arial" w:cs="Arial"/>
          <w:szCs w:val="28"/>
        </w:rPr>
        <w:lastRenderedPageBreak/>
        <w:t>швидко адаптуватися до змін у роботі. Так, за обставин, які</w:t>
      </w:r>
      <w:r w:rsidR="007B2628" w:rsidRPr="00511005">
        <w:rPr>
          <w:rFonts w:ascii="Arial" w:eastAsia="Calibri" w:hAnsi="Arial" w:cs="Arial"/>
          <w:szCs w:val="28"/>
        </w:rPr>
        <w:t xml:space="preserve"> </w:t>
      </w:r>
      <w:r w:rsidRPr="00511005">
        <w:rPr>
          <w:rFonts w:ascii="Arial" w:eastAsia="Calibri" w:hAnsi="Arial" w:cs="Arial"/>
          <w:szCs w:val="28"/>
        </w:rPr>
        <w:t>ускладнюють функціонування окремих органів, усе частіше відбувається перехід на дистанційну</w:t>
      </w:r>
      <w:r w:rsidR="007B2628" w:rsidRPr="00511005">
        <w:rPr>
          <w:rFonts w:ascii="Arial" w:eastAsia="Calibri" w:hAnsi="Arial" w:cs="Arial"/>
          <w:szCs w:val="28"/>
        </w:rPr>
        <w:t xml:space="preserve"> </w:t>
      </w:r>
      <w:r w:rsidRPr="00511005">
        <w:rPr>
          <w:rFonts w:ascii="Arial" w:eastAsia="Calibri" w:hAnsi="Arial" w:cs="Arial"/>
          <w:szCs w:val="28"/>
        </w:rPr>
        <w:t>роботу з</w:t>
      </w:r>
      <w:r w:rsidR="007B2628" w:rsidRPr="00511005">
        <w:rPr>
          <w:rFonts w:ascii="Arial" w:eastAsia="Calibri" w:hAnsi="Arial" w:cs="Arial"/>
          <w:szCs w:val="28"/>
        </w:rPr>
        <w:t xml:space="preserve"> </w:t>
      </w:r>
      <w:r w:rsidRPr="00511005">
        <w:rPr>
          <w:rFonts w:ascii="Arial" w:eastAsia="Calibri" w:hAnsi="Arial" w:cs="Arial"/>
          <w:szCs w:val="28"/>
        </w:rPr>
        <w:t xml:space="preserve">використанням відповідних технологій на основі попереднього досвіду, здобутого ще під час дії карантинних обмежень, запроваджених свого часу у відповідь на поширення COVID-19. </w:t>
      </w:r>
    </w:p>
    <w:p w14:paraId="3D7D683F" w14:textId="661EEA7A" w:rsidR="00B67481" w:rsidRPr="00511005" w:rsidRDefault="00B67481" w:rsidP="003A292D">
      <w:pPr>
        <w:spacing w:line="264" w:lineRule="auto"/>
        <w:rPr>
          <w:rFonts w:ascii="Arial" w:eastAsia="Calibri" w:hAnsi="Arial" w:cs="Arial"/>
          <w:szCs w:val="28"/>
        </w:rPr>
      </w:pPr>
      <w:r w:rsidRPr="00511005">
        <w:rPr>
          <w:rFonts w:ascii="Arial" w:eastAsia="Calibri" w:hAnsi="Arial" w:cs="Arial"/>
          <w:i/>
          <w:szCs w:val="28"/>
        </w:rPr>
        <w:t>Принцип</w:t>
      </w:r>
      <w:r w:rsidR="007B2628" w:rsidRPr="00511005">
        <w:rPr>
          <w:rFonts w:ascii="Arial" w:eastAsia="Calibri" w:hAnsi="Arial" w:cs="Arial"/>
          <w:i/>
          <w:szCs w:val="28"/>
        </w:rPr>
        <w:t xml:space="preserve"> </w:t>
      </w:r>
      <w:r w:rsidRPr="00511005">
        <w:rPr>
          <w:rFonts w:ascii="Arial" w:eastAsia="Calibri" w:hAnsi="Arial" w:cs="Arial"/>
          <w:i/>
          <w:szCs w:val="28"/>
        </w:rPr>
        <w:t>неприпустимості</w:t>
      </w:r>
      <w:r w:rsidR="007B2628" w:rsidRPr="00511005">
        <w:rPr>
          <w:rFonts w:ascii="Arial" w:eastAsia="Calibri" w:hAnsi="Arial" w:cs="Arial"/>
          <w:i/>
          <w:szCs w:val="28"/>
        </w:rPr>
        <w:t xml:space="preserve"> </w:t>
      </w:r>
      <w:r w:rsidRPr="00511005">
        <w:rPr>
          <w:rFonts w:ascii="Arial" w:eastAsia="Calibri" w:hAnsi="Arial" w:cs="Arial"/>
          <w:i/>
          <w:szCs w:val="28"/>
        </w:rPr>
        <w:t>співпраці</w:t>
      </w:r>
      <w:r w:rsidR="007B2628" w:rsidRPr="00511005">
        <w:rPr>
          <w:rFonts w:ascii="Arial" w:eastAsia="Calibri" w:hAnsi="Arial" w:cs="Arial"/>
          <w:i/>
          <w:szCs w:val="28"/>
        </w:rPr>
        <w:t xml:space="preserve"> </w:t>
      </w:r>
      <w:r w:rsidRPr="00511005">
        <w:rPr>
          <w:rFonts w:ascii="Arial" w:eastAsia="Calibri" w:hAnsi="Arial" w:cs="Arial"/>
          <w:i/>
          <w:szCs w:val="28"/>
        </w:rPr>
        <w:t>з</w:t>
      </w:r>
      <w:r w:rsidR="007B2628" w:rsidRPr="00511005">
        <w:rPr>
          <w:rFonts w:ascii="Arial" w:eastAsia="Calibri" w:hAnsi="Arial" w:cs="Arial"/>
          <w:i/>
          <w:szCs w:val="28"/>
        </w:rPr>
        <w:t xml:space="preserve"> </w:t>
      </w:r>
      <w:r w:rsidRPr="00511005">
        <w:rPr>
          <w:rFonts w:ascii="Arial" w:eastAsia="Calibri" w:hAnsi="Arial" w:cs="Arial"/>
          <w:i/>
          <w:szCs w:val="28"/>
        </w:rPr>
        <w:t>окупаційною адміністрацією</w:t>
      </w:r>
      <w:r w:rsidRPr="00511005">
        <w:rPr>
          <w:rFonts w:ascii="Arial" w:eastAsia="Calibri" w:hAnsi="Arial" w:cs="Arial"/>
          <w:szCs w:val="28"/>
        </w:rPr>
        <w:t>.</w:t>
      </w:r>
      <w:r w:rsidR="007B2628" w:rsidRPr="00511005">
        <w:rPr>
          <w:rFonts w:ascii="Arial" w:eastAsia="Calibri" w:hAnsi="Arial" w:cs="Arial"/>
          <w:szCs w:val="28"/>
        </w:rPr>
        <w:t xml:space="preserve"> </w:t>
      </w:r>
      <w:r w:rsidRPr="00511005">
        <w:rPr>
          <w:rFonts w:ascii="Arial" w:eastAsia="Calibri" w:hAnsi="Arial" w:cs="Arial"/>
          <w:szCs w:val="28"/>
        </w:rPr>
        <w:t xml:space="preserve">Слід врахувати, що </w:t>
      </w:r>
      <w:r w:rsidRPr="00511005">
        <w:rPr>
          <w:rFonts w:ascii="Arial" w:eastAsia="Calibri" w:hAnsi="Arial" w:cs="Arial"/>
          <w:szCs w:val="28"/>
          <w:shd w:val="clear" w:color="auto" w:fill="FFFFFF"/>
        </w:rPr>
        <w:t>Женевська конвенція про захист населення під час війни 1949 року, ратифікована Україною, не містить загальної заборони на продовження роботи найманими працівниками на окупованих територіях.</w:t>
      </w:r>
      <w:r w:rsidRPr="00511005">
        <w:rPr>
          <w:rFonts w:ascii="Arial" w:eastAsia="Calibri" w:hAnsi="Arial" w:cs="Arial"/>
          <w:szCs w:val="28"/>
        </w:rPr>
        <w:t xml:space="preserve"> Але саме колабораційна</w:t>
      </w:r>
      <w:r w:rsidR="007B2628" w:rsidRPr="00511005">
        <w:rPr>
          <w:rFonts w:ascii="Arial" w:eastAsia="Calibri" w:hAnsi="Arial" w:cs="Arial"/>
          <w:szCs w:val="28"/>
        </w:rPr>
        <w:t xml:space="preserve"> </w:t>
      </w:r>
      <w:r w:rsidRPr="00511005">
        <w:rPr>
          <w:rFonts w:ascii="Arial" w:eastAsia="Calibri" w:hAnsi="Arial" w:cs="Arial"/>
          <w:szCs w:val="28"/>
        </w:rPr>
        <w:t>діяльність</w:t>
      </w:r>
      <w:r w:rsidR="007B2628" w:rsidRPr="00511005">
        <w:rPr>
          <w:rFonts w:ascii="Arial" w:eastAsia="Calibri" w:hAnsi="Arial" w:cs="Arial"/>
          <w:szCs w:val="28"/>
        </w:rPr>
        <w:t xml:space="preserve"> </w:t>
      </w:r>
      <w:r w:rsidRPr="00511005">
        <w:rPr>
          <w:rFonts w:ascii="Arial" w:eastAsia="Calibri" w:hAnsi="Arial" w:cs="Arial"/>
          <w:szCs w:val="28"/>
        </w:rPr>
        <w:t>державних</w:t>
      </w:r>
      <w:r w:rsidR="007B2628" w:rsidRPr="00511005">
        <w:rPr>
          <w:rFonts w:ascii="Arial" w:eastAsia="Calibri" w:hAnsi="Arial" w:cs="Arial"/>
          <w:szCs w:val="28"/>
        </w:rPr>
        <w:t xml:space="preserve"> </w:t>
      </w:r>
      <w:r w:rsidRPr="00511005">
        <w:rPr>
          <w:rFonts w:ascii="Arial" w:eastAsia="Calibri" w:hAnsi="Arial" w:cs="Arial"/>
          <w:szCs w:val="28"/>
        </w:rPr>
        <w:t>службовців була та залишається неприпустимою за існуючих умов. [4]</w:t>
      </w:r>
    </w:p>
    <w:p w14:paraId="0F150697" w14:textId="77777777" w:rsidR="00B67481" w:rsidRPr="00511005" w:rsidRDefault="00B67481" w:rsidP="003A292D">
      <w:pPr>
        <w:spacing w:line="264" w:lineRule="auto"/>
        <w:rPr>
          <w:rFonts w:ascii="Arial" w:eastAsia="Calibri" w:hAnsi="Arial" w:cs="Arial"/>
          <w:szCs w:val="28"/>
        </w:rPr>
      </w:pPr>
    </w:p>
    <w:p w14:paraId="34AA9032" w14:textId="551EE32E" w:rsidR="00B67481" w:rsidRPr="00511005" w:rsidRDefault="007B2628" w:rsidP="007B2628">
      <w:pPr>
        <w:spacing w:line="264" w:lineRule="auto"/>
        <w:ind w:firstLine="0"/>
        <w:jc w:val="center"/>
        <w:rPr>
          <w:rFonts w:ascii="Arial" w:eastAsia="Calibri" w:hAnsi="Arial" w:cs="Arial"/>
          <w:b/>
          <w:szCs w:val="28"/>
          <w:lang w:val="en-US"/>
        </w:rPr>
      </w:pPr>
      <w:r w:rsidRPr="00511005">
        <w:rPr>
          <w:rFonts w:ascii="Arial" w:eastAsia="Calibri" w:hAnsi="Arial" w:cs="Arial"/>
          <w:b/>
          <w:szCs w:val="28"/>
          <w:lang w:val="uk-UA"/>
        </w:rPr>
        <w:t>Список використаних джерел</w:t>
      </w:r>
    </w:p>
    <w:p w14:paraId="0E6A90A1" w14:textId="77777777" w:rsidR="00B67481" w:rsidRPr="00511005" w:rsidRDefault="00B67481" w:rsidP="003F6A5D">
      <w:pPr>
        <w:numPr>
          <w:ilvl w:val="0"/>
          <w:numId w:val="240"/>
        </w:numPr>
        <w:spacing w:line="264" w:lineRule="auto"/>
        <w:ind w:left="0" w:firstLine="709"/>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Питання Єдиного державного вебпорталу електронних послуг та Реєстру адміністративних </w:t>
      </w:r>
      <w:proofErr w:type="gramStart"/>
      <w:r w:rsidRPr="00511005">
        <w:rPr>
          <w:rFonts w:ascii="Arial" w:eastAsia="Times New Roman" w:hAnsi="Arial" w:cs="Arial"/>
          <w:szCs w:val="28"/>
          <w:lang w:eastAsia="ru-RU"/>
        </w:rPr>
        <w:t>послуг :</w:t>
      </w:r>
      <w:proofErr w:type="gramEnd"/>
      <w:r w:rsidRPr="00511005">
        <w:rPr>
          <w:rFonts w:ascii="Arial" w:eastAsia="Times New Roman" w:hAnsi="Arial" w:cs="Arial"/>
          <w:szCs w:val="28"/>
          <w:lang w:eastAsia="ru-RU"/>
        </w:rPr>
        <w:t xml:space="preserve"> Постанова Кабінету Міністрів України від 04.12.2019 р. № 1137. </w:t>
      </w:r>
      <w:r w:rsidRPr="00511005">
        <w:rPr>
          <w:rFonts w:ascii="Arial" w:eastAsia="Times New Roman" w:hAnsi="Arial" w:cs="Arial"/>
          <w:szCs w:val="28"/>
          <w:lang w:val="pl-PL" w:eastAsia="ru-RU"/>
        </w:rPr>
        <w:t xml:space="preserve">URL: </w:t>
      </w:r>
      <w:hyperlink r:id="rId934" w:anchor="Text" w:history="1">
        <w:r w:rsidRPr="00511005">
          <w:rPr>
            <w:rFonts w:ascii="Arial" w:eastAsia="Times New Roman" w:hAnsi="Arial" w:cs="Arial"/>
            <w:szCs w:val="28"/>
            <w:lang w:val="pl-PL" w:eastAsia="ru-RU"/>
          </w:rPr>
          <w:t>https://zakon.rada.gov.ua/laws/show/1137-2019-%D0%BF#Text</w:t>
        </w:r>
      </w:hyperlink>
      <w:r w:rsidRPr="00511005">
        <w:rPr>
          <w:rFonts w:ascii="Arial" w:eastAsia="Times New Roman" w:hAnsi="Arial" w:cs="Arial"/>
          <w:szCs w:val="28"/>
          <w:lang w:val="pl-PL" w:eastAsia="ru-RU"/>
        </w:rPr>
        <w:t xml:space="preserve"> </w:t>
      </w:r>
    </w:p>
    <w:p w14:paraId="293B2863" w14:textId="77777777" w:rsidR="00B67481" w:rsidRPr="00511005" w:rsidRDefault="00B67481" w:rsidP="003F6A5D">
      <w:pPr>
        <w:numPr>
          <w:ilvl w:val="0"/>
          <w:numId w:val="240"/>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Загальне адміністративне право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підручник / за заг. ред.: акад. С. Ківалова і проф.. Л. Р. Білої-</w:t>
      </w:r>
      <w:proofErr w:type="gramStart"/>
      <w:r w:rsidRPr="00511005">
        <w:rPr>
          <w:rFonts w:ascii="Arial" w:eastAsia="Times New Roman" w:hAnsi="Arial" w:cs="Arial"/>
          <w:szCs w:val="28"/>
          <w:lang w:eastAsia="ru-RU"/>
        </w:rPr>
        <w:t>Тіунової ;</w:t>
      </w:r>
      <w:proofErr w:type="gramEnd"/>
      <w:r w:rsidRPr="00511005">
        <w:rPr>
          <w:rFonts w:ascii="Arial" w:eastAsia="Times New Roman" w:hAnsi="Arial" w:cs="Arial"/>
          <w:szCs w:val="28"/>
          <w:lang w:eastAsia="ru-RU"/>
        </w:rPr>
        <w:t xml:space="preserve"> Нац. ун-т «Одеська юрид. академія». Одеса: Фенікс, 2023. С. 44-50. URL: </w:t>
      </w:r>
      <w:hyperlink r:id="rId935" w:history="1">
        <w:r w:rsidRPr="00511005">
          <w:rPr>
            <w:rFonts w:ascii="Arial" w:eastAsia="Times New Roman" w:hAnsi="Arial" w:cs="Arial"/>
            <w:szCs w:val="28"/>
            <w:shd w:val="clear" w:color="auto" w:fill="FFFFFF"/>
            <w:lang w:eastAsia="ru-RU"/>
          </w:rPr>
          <w:t>https://doi.org/10.32837/11300.25545</w:t>
        </w:r>
      </w:hyperlink>
      <w:r w:rsidRPr="00511005">
        <w:rPr>
          <w:rFonts w:ascii="Arial" w:eastAsia="Times New Roman" w:hAnsi="Arial" w:cs="Arial"/>
          <w:szCs w:val="28"/>
          <w:shd w:val="clear" w:color="auto" w:fill="FFFFFF"/>
          <w:lang w:eastAsia="ru-RU"/>
        </w:rPr>
        <w:t xml:space="preserve"> </w:t>
      </w:r>
    </w:p>
    <w:p w14:paraId="5D8924C5" w14:textId="77777777" w:rsidR="00B67481" w:rsidRPr="00511005" w:rsidRDefault="00B67481" w:rsidP="003F6A5D">
      <w:pPr>
        <w:numPr>
          <w:ilvl w:val="0"/>
          <w:numId w:val="240"/>
        </w:numPr>
        <w:spacing w:line="264" w:lineRule="auto"/>
        <w:ind w:left="0" w:firstLine="709"/>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Мельник Т.О. Виклики та завдання щодо інформаційно-аналітичного забезпечення регіонального управління в умовах війни та у поствоєнний період Публічне управління та адміністрування в умовах війни і в поствоєнний період в Україні: матеріали Всеукр. наук.-практ. конф. у трьох томах, м. Київ, ДЗВО "УМО" НАПН України. </w:t>
      </w:r>
      <w:r w:rsidRPr="00511005">
        <w:rPr>
          <w:rFonts w:ascii="Arial" w:eastAsia="Times New Roman" w:hAnsi="Arial" w:cs="Arial"/>
          <w:szCs w:val="28"/>
          <w:lang w:val="pl-PL" w:eastAsia="ru-RU"/>
        </w:rPr>
        <w:t xml:space="preserve">2022. C. 189—192. URL: </w:t>
      </w:r>
      <w:hyperlink r:id="rId936" w:history="1">
        <w:r w:rsidRPr="00511005">
          <w:rPr>
            <w:rFonts w:ascii="Arial" w:eastAsia="Times New Roman" w:hAnsi="Arial" w:cs="Arial"/>
            <w:szCs w:val="28"/>
            <w:lang w:val="pl-PL" w:eastAsia="ru-RU"/>
          </w:rPr>
          <w:t>https://ispp.org.ua/wp-content/uploads/2022/06/tezy0422-t1.pdf</w:t>
        </w:r>
      </w:hyperlink>
      <w:r w:rsidRPr="00511005">
        <w:rPr>
          <w:rFonts w:ascii="Arial" w:eastAsia="Times New Roman" w:hAnsi="Arial" w:cs="Arial"/>
          <w:szCs w:val="28"/>
          <w:lang w:val="pl-PL" w:eastAsia="ru-RU"/>
        </w:rPr>
        <w:t xml:space="preserve"> </w:t>
      </w:r>
    </w:p>
    <w:p w14:paraId="71548C5B" w14:textId="2F27C005" w:rsidR="00B67481" w:rsidRPr="00511005" w:rsidRDefault="00B67481" w:rsidP="003F6A5D">
      <w:pPr>
        <w:numPr>
          <w:ilvl w:val="0"/>
          <w:numId w:val="240"/>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shd w:val="clear" w:color="auto" w:fill="FFFFFF"/>
          <w:lang w:eastAsia="ru-RU"/>
        </w:rPr>
        <w:t>Музичук О. М,</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Бугайчук К. Л. Публічне адміністрування в умовах воєнного стану: принципи, особливості та напрямки вдосконалення. </w:t>
      </w:r>
      <w:r w:rsidRPr="00511005">
        <w:rPr>
          <w:rFonts w:ascii="Arial" w:eastAsia="Times New Roman" w:hAnsi="Arial" w:cs="Arial"/>
          <w:iCs/>
          <w:szCs w:val="28"/>
          <w:shd w:val="clear" w:color="auto" w:fill="FFFFFF"/>
          <w:lang w:eastAsia="ru-RU"/>
        </w:rPr>
        <w:t>Вісник Кримінологічної асоціації України. 2023</w:t>
      </w:r>
      <w:r w:rsidRPr="00511005">
        <w:rPr>
          <w:rFonts w:ascii="Arial" w:eastAsia="Times New Roman" w:hAnsi="Arial" w:cs="Arial"/>
          <w:szCs w:val="28"/>
          <w:shd w:val="clear" w:color="auto" w:fill="FFFFFF"/>
          <w:lang w:eastAsia="ru-RU"/>
        </w:rPr>
        <w:t xml:space="preserve">. №2 (29). С. 200–208. </w:t>
      </w:r>
      <w:r w:rsidRPr="00511005">
        <w:rPr>
          <w:rFonts w:ascii="Arial" w:eastAsia="Times New Roman" w:hAnsi="Arial" w:cs="Arial"/>
          <w:szCs w:val="28"/>
          <w:shd w:val="clear" w:color="auto" w:fill="FFFFFF"/>
          <w:lang w:val="en-US" w:eastAsia="ru-RU"/>
        </w:rPr>
        <w:t>URL</w:t>
      </w:r>
      <w:r w:rsidRPr="00511005">
        <w:rPr>
          <w:rFonts w:ascii="Arial" w:eastAsia="Times New Roman" w:hAnsi="Arial" w:cs="Arial"/>
          <w:szCs w:val="28"/>
          <w:shd w:val="clear" w:color="auto" w:fill="FFFFFF"/>
          <w:lang w:eastAsia="ru-RU"/>
        </w:rPr>
        <w:t xml:space="preserve">: </w:t>
      </w:r>
      <w:hyperlink r:id="rId937" w:history="1">
        <w:r w:rsidRPr="00511005">
          <w:rPr>
            <w:rFonts w:ascii="Arial" w:eastAsia="Times New Roman" w:hAnsi="Arial" w:cs="Arial"/>
            <w:szCs w:val="28"/>
            <w:shd w:val="clear" w:color="auto" w:fill="FFFFFF"/>
            <w:lang w:eastAsia="ru-RU"/>
          </w:rPr>
          <w:t>https://doi.org/10.32631/vca.2023.2.15</w:t>
        </w:r>
      </w:hyperlink>
      <w:r w:rsidRPr="00511005">
        <w:rPr>
          <w:rFonts w:ascii="Arial" w:eastAsia="Times New Roman" w:hAnsi="Arial" w:cs="Arial"/>
          <w:szCs w:val="28"/>
          <w:shd w:val="clear" w:color="auto" w:fill="FFFFFF"/>
          <w:lang w:eastAsia="ru-RU"/>
        </w:rPr>
        <w:t xml:space="preserve"> </w:t>
      </w:r>
    </w:p>
    <w:p w14:paraId="53996363" w14:textId="77777777" w:rsidR="00B67481" w:rsidRPr="00511005" w:rsidRDefault="00B67481" w:rsidP="003A292D">
      <w:pPr>
        <w:spacing w:line="264" w:lineRule="auto"/>
        <w:rPr>
          <w:rFonts w:ascii="Arial" w:eastAsia="Calibri" w:hAnsi="Arial" w:cs="Arial"/>
          <w:b/>
          <w:szCs w:val="28"/>
          <w:lang w:val="uk-UA"/>
        </w:rPr>
      </w:pPr>
    </w:p>
    <w:p w14:paraId="3E86AF32" w14:textId="7CBE1F53" w:rsidR="00B67481" w:rsidRPr="00511005" w:rsidRDefault="007B2628" w:rsidP="003A292D">
      <w:pPr>
        <w:spacing w:line="264" w:lineRule="auto"/>
        <w:rPr>
          <w:rFonts w:ascii="Arial" w:eastAsia="Calibri" w:hAnsi="Arial" w:cs="Arial"/>
          <w:szCs w:val="28"/>
        </w:rPr>
      </w:pPr>
      <w:r w:rsidRPr="00511005">
        <w:rPr>
          <w:rFonts w:ascii="Arial" w:eastAsia="Calibri" w:hAnsi="Arial" w:cs="Arial"/>
          <w:b/>
          <w:i/>
          <w:szCs w:val="28"/>
        </w:rPr>
        <w:t xml:space="preserve">Ключові слова: </w:t>
      </w:r>
      <w:r w:rsidR="00B67481" w:rsidRPr="00511005">
        <w:rPr>
          <w:rFonts w:ascii="Arial" w:eastAsia="Calibri" w:hAnsi="Arial" w:cs="Arial"/>
          <w:szCs w:val="28"/>
        </w:rPr>
        <w:t>воєнний стан, публічне адміністрування, принципи.</w:t>
      </w:r>
    </w:p>
    <w:p w14:paraId="4FFBF006" w14:textId="0B55ECFB" w:rsidR="00B67481" w:rsidRPr="00511005" w:rsidRDefault="007B2628" w:rsidP="003A292D">
      <w:pPr>
        <w:spacing w:line="264" w:lineRule="auto"/>
        <w:rPr>
          <w:rFonts w:ascii="Arial" w:eastAsia="Calibri" w:hAnsi="Arial" w:cs="Arial"/>
          <w:b/>
          <w:szCs w:val="28"/>
          <w:lang w:val="en-US"/>
        </w:rPr>
      </w:pPr>
      <w:r w:rsidRPr="00511005">
        <w:rPr>
          <w:rFonts w:ascii="Arial" w:eastAsia="Calibri" w:hAnsi="Arial" w:cs="Arial"/>
          <w:b/>
          <w:i/>
          <w:szCs w:val="28"/>
          <w:lang w:val="en-US"/>
        </w:rPr>
        <w:t xml:space="preserve">Key words: </w:t>
      </w:r>
      <w:r w:rsidR="00B67481" w:rsidRPr="00511005">
        <w:rPr>
          <w:rFonts w:ascii="Arial" w:eastAsia="Calibri" w:hAnsi="Arial" w:cs="Arial"/>
          <w:szCs w:val="28"/>
          <w:lang w:val="en-US"/>
        </w:rPr>
        <w:t>martial law, public administration, principles.</w:t>
      </w:r>
    </w:p>
    <w:p w14:paraId="0F33EE60" w14:textId="7702ED1E" w:rsidR="00B67481" w:rsidRPr="00511005" w:rsidRDefault="007B2628" w:rsidP="003A292D">
      <w:pPr>
        <w:spacing w:line="264" w:lineRule="auto"/>
        <w:ind w:firstLine="708"/>
        <w:rPr>
          <w:rFonts w:ascii="Arial" w:eastAsia="Calibri" w:hAnsi="Arial" w:cs="Arial"/>
          <w:i/>
          <w:szCs w:val="28"/>
        </w:rPr>
      </w:pPr>
      <w:r w:rsidRPr="00511005">
        <w:rPr>
          <w:rFonts w:ascii="Arial" w:eastAsia="Calibri" w:hAnsi="Arial" w:cs="Arial"/>
          <w:b/>
          <w:i/>
          <w:szCs w:val="28"/>
        </w:rPr>
        <w:t xml:space="preserve">Науковий керівник: </w:t>
      </w:r>
      <w:r w:rsidR="00B67481" w:rsidRPr="00511005">
        <w:rPr>
          <w:rFonts w:ascii="Arial" w:eastAsia="Calibri" w:hAnsi="Arial" w:cs="Arial"/>
          <w:i/>
          <w:szCs w:val="28"/>
        </w:rPr>
        <w:t>асистент Назарчук А.В.</w:t>
      </w:r>
    </w:p>
    <w:p w14:paraId="3C700F80" w14:textId="77777777" w:rsidR="001D1A08" w:rsidRPr="00511005" w:rsidRDefault="001D1A08" w:rsidP="003A292D">
      <w:pPr>
        <w:spacing w:line="264" w:lineRule="auto"/>
        <w:ind w:firstLine="0"/>
        <w:jc w:val="center"/>
        <w:rPr>
          <w:rFonts w:ascii="Arial" w:eastAsia="Calibri" w:hAnsi="Arial" w:cs="Arial"/>
          <w:i/>
          <w:szCs w:val="28"/>
        </w:rPr>
      </w:pPr>
    </w:p>
    <w:p w14:paraId="76824F81" w14:textId="77777777" w:rsidR="00015FF7" w:rsidRDefault="00015FF7">
      <w:pPr>
        <w:spacing w:after="200" w:line="276" w:lineRule="auto"/>
        <w:ind w:firstLine="0"/>
        <w:jc w:val="left"/>
        <w:rPr>
          <w:rFonts w:ascii="Arial" w:eastAsia="Calibri" w:hAnsi="Arial" w:cs="Arial"/>
          <w:b/>
          <w:i/>
          <w:szCs w:val="28"/>
          <w:lang w:val="uk-UA"/>
        </w:rPr>
      </w:pPr>
      <w:r>
        <w:rPr>
          <w:rFonts w:ascii="Arial" w:eastAsia="Calibri" w:hAnsi="Arial" w:cs="Arial"/>
          <w:b/>
          <w:i/>
          <w:szCs w:val="28"/>
          <w:lang w:val="uk-UA"/>
        </w:rPr>
        <w:br w:type="page"/>
      </w:r>
    </w:p>
    <w:p w14:paraId="564C8455" w14:textId="464F97E0" w:rsidR="00B67481" w:rsidRPr="00511005" w:rsidRDefault="00B67481"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lastRenderedPageBreak/>
        <w:t>Данилов Денис Олегович</w:t>
      </w:r>
    </w:p>
    <w:p w14:paraId="791B49F2" w14:textId="3BED766E"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 2-го курсу </w:t>
      </w:r>
    </w:p>
    <w:p w14:paraId="26F0C97E"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E6EB4EC"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89AC3A9" w14:textId="77777777" w:rsidR="00B67481" w:rsidRPr="00511005" w:rsidRDefault="00B67481" w:rsidP="003A292D">
      <w:pPr>
        <w:spacing w:line="264" w:lineRule="auto"/>
        <w:ind w:firstLine="0"/>
        <w:jc w:val="center"/>
        <w:rPr>
          <w:rFonts w:ascii="Arial" w:eastAsia="Calibri" w:hAnsi="Arial" w:cs="Arial"/>
          <w:szCs w:val="28"/>
          <w:lang w:val="uk-UA"/>
        </w:rPr>
      </w:pPr>
    </w:p>
    <w:p w14:paraId="445115C4" w14:textId="77777777" w:rsidR="00B67481" w:rsidRPr="00511005" w:rsidRDefault="00B67481"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НАПРЯМИ ВДОСКОНАЛЕННЯ АДМІНІСТРАТИВНОГО ПРАВА: ВЗАЄМОДІЯ ОВА З ІНШИМИ ОРГАНАМИ ВИКОНАВЧОЇ ВЛАДИ</w:t>
      </w:r>
    </w:p>
    <w:p w14:paraId="75BCE534"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Війна завжди накладає свої відбитки на життя, на здоров’я, на буденність. Сучасні реалії, пов’язані з розширенням децентралізації та реформуванням публічного управління, як ніколи раніше надають актуальності проблемі вдосконалення норм адміністративного права, особливо в контексті взаємодії місцевих органів виконавчої влади з іншими суб’єктами публічної адміністрації. Чітка координація дій між ОВА, центральними органами виконавчої влади, а також органами місцевого самоврядування є одним з найбільш необхідних складових для стабільної роботи апарату управління держави як в повсякденному житті, так і в екстрених ситуаціях.</w:t>
      </w:r>
    </w:p>
    <w:p w14:paraId="6AB1F665"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Юридичний фундамент такого тандему закладений у Конституції України, законодавчих актах, таких як Закон України «Про місцеве самоврядування», «Про правовий режим воєнного стану», і, відповідно у підзаконних актах, метою яких є більш детальна конкретизація положень закону </w:t>
      </w:r>
      <w:r w:rsidRPr="00511005">
        <w:rPr>
          <w:rFonts w:ascii="Arial" w:eastAsia="Calibri" w:hAnsi="Arial" w:cs="Arial"/>
          <w:szCs w:val="28"/>
        </w:rPr>
        <w:t>[1-3,</w:t>
      </w:r>
      <w:r w:rsidRPr="00511005">
        <w:rPr>
          <w:rFonts w:ascii="Arial" w:eastAsia="Calibri" w:hAnsi="Arial" w:cs="Arial"/>
          <w:szCs w:val="28"/>
          <w:lang w:val="uk-UA"/>
        </w:rPr>
        <w:t xml:space="preserve"> </w:t>
      </w:r>
      <w:r w:rsidRPr="00511005">
        <w:rPr>
          <w:rFonts w:ascii="Arial" w:eastAsia="Calibri" w:hAnsi="Arial" w:cs="Arial"/>
          <w:szCs w:val="28"/>
        </w:rPr>
        <w:t>5]</w:t>
      </w:r>
      <w:r w:rsidRPr="00511005">
        <w:rPr>
          <w:rFonts w:ascii="Arial" w:eastAsia="Calibri" w:hAnsi="Arial" w:cs="Arial"/>
          <w:szCs w:val="28"/>
          <w:lang w:val="uk-UA"/>
        </w:rPr>
        <w:t>. Однак, як демонструє практика, просто матеріального закріплення не достатньо – необхідний процесуальний супровід для повної реалізації нормативних приписів. Найбільш чітко це проявляється у нечіткому розподілі повноважень, відсутності єдиних стандартів взаємодії та кореляції дій у надзвичайних ситуаціях. В умовах війни дизорієнтування, хаос та відсутність системності у будь-якій ланці державної влади може коштувати безліч життів. Мої тези присвячені розгляду найбільш гострих проблем у контексті взаємодії спеціалізованих державних органів – обласних військових адміністрацій з іншими органами державної влади.</w:t>
      </w:r>
    </w:p>
    <w:p w14:paraId="4846804B"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Однією з провідних вад є недостатній рівень законодавчої конкретизації механізму взаємодії центральних органів влади та ОВА: наприклад, дуже часто виникають ситуації коли компетенція ОВА перетинається з безпосередніми повноваженнями місцевих органів виконавчої влади, що викликає виникнення «нічийних» завдань, які жодна із ланок влади виконувати не хоче, адже суто юридично, це мають і можуть робити інші [5,8]. Щоб уникнути цього, треба вдосконалити існуючу нормативну базу шляхом прийняття окремих спеціалізованих актів, які б точно і повноцінно регулювали питання співпраці даних органів влади у різних ситуаціях та обставинах. Ще одним методом для покращення взаємодії можна назвати розширення цифровізації: впровадження єдиної системи документообігу, розвиток оперативно-інформаційних платформ </w:t>
      </w:r>
      <w:r w:rsidRPr="00511005">
        <w:rPr>
          <w:rFonts w:ascii="Arial" w:eastAsia="Calibri" w:hAnsi="Arial" w:cs="Arial"/>
          <w:szCs w:val="28"/>
          <w:lang w:val="uk-UA"/>
        </w:rPr>
        <w:lastRenderedPageBreak/>
        <w:t>тошо. «Дія», як один з найбільших порталів державних послуг продемонстрував високу ефективність у питаннях організаційно-правового характеру, включаючи особливості військового стану в контексті формувань заяв на ВПО, різних витягів та навіть оформлення шлюбу онлайн</w:t>
      </w:r>
      <w:r w:rsidRPr="00511005">
        <w:rPr>
          <w:rFonts w:ascii="Arial" w:eastAsia="Calibri" w:hAnsi="Arial" w:cs="Arial"/>
          <w:szCs w:val="28"/>
        </w:rPr>
        <w:t xml:space="preserve"> [6]</w:t>
      </w:r>
      <w:r w:rsidRPr="00511005">
        <w:rPr>
          <w:rFonts w:ascii="Arial" w:eastAsia="Calibri" w:hAnsi="Arial" w:cs="Arial"/>
          <w:szCs w:val="28"/>
          <w:lang w:val="uk-UA"/>
        </w:rPr>
        <w:t xml:space="preserve">. </w:t>
      </w:r>
    </w:p>
    <w:p w14:paraId="53B4A3E6"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Досить актуальним залишається питання фінансо-ресурсного забезпечення ОВА. В умовах глобальної діджиталізації відсутність необхідної матеріальної бази та кваліфікованих спеціалістів часто стає суттєвою перешкодою на шляху не просто взаємодії ОВА з іншими органами влади, а й загалом для виконання їх базових та першочергових завдань. Особливо це стосується прифронтових міст та областей, де часті прильоти можуть просто знищити наявні технічні засоби. Тому вкрай потребують наявності механізми фінансової підтримки, якщо не на рівні державного бюджету, то хоча б у вигляді фондів, а також постійне підвищення кваліфікації державних службовців відповідно до сучасних методів та засобів ведення публічного адміністрування.</w:t>
      </w:r>
    </w:p>
    <w:p w14:paraId="5400828C"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Також увагу варто приділити автономності та локальної відповідальності ОВА. Децентралізація ще до повномасштабного вторгнення показала, що органи влади на місцях здатні повністю та досить ефективно здійснювати управління та регулювання питань місцевого значення</w:t>
      </w:r>
      <w:r w:rsidRPr="00511005">
        <w:rPr>
          <w:rFonts w:ascii="Arial" w:eastAsia="Calibri" w:hAnsi="Arial" w:cs="Arial"/>
          <w:szCs w:val="28"/>
        </w:rPr>
        <w:t xml:space="preserve"> [7]</w:t>
      </w:r>
      <w:r w:rsidRPr="00511005">
        <w:rPr>
          <w:rFonts w:ascii="Arial" w:eastAsia="Calibri" w:hAnsi="Arial" w:cs="Arial"/>
          <w:szCs w:val="28"/>
          <w:lang w:val="uk-UA"/>
        </w:rPr>
        <w:t>. Однак, враховуючи специфіку наших реалій, далеко не завжди у місцевих органів влади буде достатньо часу щоб узгодити всі свої дії з центральними органами влади. Різні ситуації можуть вимагати від ОВА прийняття не просто швидких, а миттєвих рішень, і це потребує певної свободи – балансуванню між централізованим управлінням і самостійністю у прийнятті рішень. Це питання частково вирішує інститут делегованих повноважень, проте, як і багато інших правових норм, йому не вистачає конкретики та деталей щодо процесуальної реалізації</w:t>
      </w:r>
      <w:r w:rsidRPr="00511005">
        <w:rPr>
          <w:rFonts w:ascii="Arial" w:eastAsia="Calibri" w:hAnsi="Arial" w:cs="Arial"/>
          <w:szCs w:val="28"/>
        </w:rPr>
        <w:t xml:space="preserve"> [2]</w:t>
      </w:r>
      <w:r w:rsidRPr="00511005">
        <w:rPr>
          <w:rFonts w:ascii="Arial" w:eastAsia="Calibri" w:hAnsi="Arial" w:cs="Arial"/>
          <w:szCs w:val="28"/>
          <w:lang w:val="uk-UA"/>
        </w:rPr>
        <w:t>.</w:t>
      </w:r>
    </w:p>
    <w:p w14:paraId="329D2674"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Таким чином можна побачити, що механізм функціонування ОВА є далеко не ідеальним. Окрім вищеперерахованих вад, не варто пропускати те, що ОВА за своєю природою є суб’єктом публічної адміністрації, а отже забезпечення громадського контролю, публічної звітності та гласності також є важливими складовими їх діяльності, з якими теж є певні недоліки [5]. Вдосконалення адміністративного права в цьому напрямку має бути комплексним і враховувати усі аспекти: як нормативні, так і організаційно-технічні. Для нашої держави є вкрай важливим стійке функціонування апарату управління, і в умовах воєнного стану ОВА відіграє в цьому дуже велику роль, але ОВА не існує поодинці, тому для повного виконання покладених на себе обов’язків обласні військові адміністрації повинні чітко співпрацювати з органами виконавчої влади та органами місцевого самоврядування.</w:t>
      </w:r>
    </w:p>
    <w:p w14:paraId="51D8F1B4" w14:textId="77777777" w:rsidR="00B67481" w:rsidRPr="00511005" w:rsidRDefault="00B67481" w:rsidP="003A292D">
      <w:pPr>
        <w:spacing w:line="264" w:lineRule="auto"/>
        <w:jc w:val="left"/>
        <w:rPr>
          <w:rFonts w:ascii="Arial" w:eastAsia="Calibri" w:hAnsi="Arial" w:cs="Arial"/>
          <w:szCs w:val="28"/>
          <w:lang w:val="uk-UA"/>
        </w:rPr>
      </w:pPr>
    </w:p>
    <w:p w14:paraId="0ABD5DC3" w14:textId="61DD16EC" w:rsidR="00B67481" w:rsidRPr="00511005" w:rsidRDefault="007B2628" w:rsidP="007B2628">
      <w:pPr>
        <w:spacing w:line="264" w:lineRule="auto"/>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1DC2AD60"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 xml:space="preserve">1. </w:t>
      </w:r>
      <w:r w:rsidRPr="00511005">
        <w:rPr>
          <w:rFonts w:ascii="Arial" w:eastAsia="Calibri" w:hAnsi="Arial" w:cs="Arial"/>
          <w:bCs/>
          <w:szCs w:val="28"/>
          <w:lang w:val="uk-UA"/>
        </w:rPr>
        <w:t>Конституція України</w:t>
      </w:r>
      <w:r w:rsidRPr="00511005">
        <w:rPr>
          <w:rFonts w:ascii="Arial" w:eastAsia="Calibri" w:hAnsi="Arial" w:cs="Arial"/>
          <w:szCs w:val="28"/>
        </w:rPr>
        <w:t> </w:t>
      </w:r>
      <w:r w:rsidRPr="00511005">
        <w:rPr>
          <w:rFonts w:ascii="Arial" w:eastAsia="Calibri" w:hAnsi="Arial" w:cs="Arial"/>
          <w:szCs w:val="28"/>
          <w:lang w:val="uk-UA"/>
        </w:rPr>
        <w:t xml:space="preserve">: прийнята на </w:t>
      </w:r>
      <w:r w:rsidRPr="00511005">
        <w:rPr>
          <w:rFonts w:ascii="Arial" w:eastAsia="Calibri" w:hAnsi="Arial" w:cs="Arial"/>
          <w:szCs w:val="28"/>
        </w:rPr>
        <w:t>V</w:t>
      </w:r>
      <w:r w:rsidRPr="00511005">
        <w:rPr>
          <w:rFonts w:ascii="Arial" w:eastAsia="Calibri" w:hAnsi="Arial" w:cs="Arial"/>
          <w:szCs w:val="28"/>
          <w:lang w:val="uk-UA"/>
        </w:rPr>
        <w:t xml:space="preserve"> сесії Верховної Ради України 28 червня 1996 року // Відомості Верховної Ради України. – 1996. – № 30. – Ст. 141.</w:t>
      </w:r>
    </w:p>
    <w:p w14:paraId="508203CE"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2. </w:t>
      </w:r>
      <w:r w:rsidRPr="00511005">
        <w:rPr>
          <w:rFonts w:ascii="Arial" w:eastAsia="Calibri" w:hAnsi="Arial" w:cs="Arial"/>
          <w:bCs/>
          <w:szCs w:val="28"/>
          <w:lang w:val="uk-UA"/>
        </w:rPr>
        <w:t>Про місцеве самоврядування в Україні</w:t>
      </w:r>
      <w:r w:rsidRPr="00511005">
        <w:rPr>
          <w:rFonts w:ascii="Arial" w:eastAsia="Calibri" w:hAnsi="Arial" w:cs="Arial"/>
          <w:szCs w:val="28"/>
        </w:rPr>
        <w:t> </w:t>
      </w:r>
      <w:r w:rsidRPr="00511005">
        <w:rPr>
          <w:rFonts w:ascii="Arial" w:eastAsia="Calibri" w:hAnsi="Arial" w:cs="Arial"/>
          <w:szCs w:val="28"/>
          <w:lang w:val="uk-UA"/>
        </w:rPr>
        <w:t>: Закон України від 21 травня 1997 року № 280/97-ВР // Відомості Верховної Ради України. – 1997. – № 24. – Ст. 170.</w:t>
      </w:r>
    </w:p>
    <w:p w14:paraId="26D8DE10"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lang w:val="uk-UA"/>
        </w:rPr>
        <w:t xml:space="preserve">3. </w:t>
      </w:r>
      <w:r w:rsidRPr="00511005">
        <w:rPr>
          <w:rFonts w:ascii="Arial" w:eastAsia="Calibri" w:hAnsi="Arial" w:cs="Arial"/>
          <w:bCs/>
          <w:szCs w:val="28"/>
        </w:rPr>
        <w:t xml:space="preserve">Про правовий режим воєнного </w:t>
      </w:r>
      <w:proofErr w:type="gramStart"/>
      <w:r w:rsidRPr="00511005">
        <w:rPr>
          <w:rFonts w:ascii="Arial" w:eastAsia="Calibri" w:hAnsi="Arial" w:cs="Arial"/>
          <w:bCs/>
          <w:szCs w:val="28"/>
        </w:rPr>
        <w:t>стану</w:t>
      </w:r>
      <w:r w:rsidRPr="00511005">
        <w:rPr>
          <w:rFonts w:ascii="Arial" w:eastAsia="Calibri" w:hAnsi="Arial" w:cs="Arial"/>
          <w:szCs w:val="28"/>
        </w:rPr>
        <w:t> :</w:t>
      </w:r>
      <w:proofErr w:type="gramEnd"/>
      <w:r w:rsidRPr="00511005">
        <w:rPr>
          <w:rFonts w:ascii="Arial" w:eastAsia="Calibri" w:hAnsi="Arial" w:cs="Arial"/>
          <w:szCs w:val="28"/>
        </w:rPr>
        <w:t xml:space="preserve"> Закон України від 12 травня 2015 року № 389-VIII // Відомості Верховної Ради України. – 2015. – № 28. – Ст. 250.</w:t>
      </w:r>
    </w:p>
    <w:p w14:paraId="68CBD8B0"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4. </w:t>
      </w:r>
      <w:r w:rsidRPr="00511005">
        <w:rPr>
          <w:rFonts w:ascii="Arial" w:eastAsia="Calibri" w:hAnsi="Arial" w:cs="Arial"/>
          <w:bCs/>
          <w:szCs w:val="28"/>
        </w:rPr>
        <w:t xml:space="preserve">Про запровадження воєнного </w:t>
      </w:r>
      <w:proofErr w:type="gramStart"/>
      <w:r w:rsidRPr="00511005">
        <w:rPr>
          <w:rFonts w:ascii="Arial" w:eastAsia="Calibri" w:hAnsi="Arial" w:cs="Arial"/>
          <w:bCs/>
          <w:szCs w:val="28"/>
        </w:rPr>
        <w:t>стану</w:t>
      </w:r>
      <w:r w:rsidRPr="00511005">
        <w:rPr>
          <w:rFonts w:ascii="Arial" w:eastAsia="Calibri" w:hAnsi="Arial" w:cs="Arial"/>
          <w:szCs w:val="28"/>
        </w:rPr>
        <w:t> :</w:t>
      </w:r>
      <w:proofErr w:type="gramEnd"/>
      <w:r w:rsidRPr="00511005">
        <w:rPr>
          <w:rFonts w:ascii="Arial" w:eastAsia="Calibri" w:hAnsi="Arial" w:cs="Arial"/>
          <w:szCs w:val="28"/>
        </w:rPr>
        <w:t xml:space="preserve"> Указ Президента України від 24 лютого 2022 року № 64/2022 // Офіційний вебпортал Верховної Ради України. – URL: </w:t>
      </w:r>
      <w:hyperlink r:id="rId938" w:tgtFrame="_blank" w:history="1">
        <w:r w:rsidRPr="00511005">
          <w:rPr>
            <w:rFonts w:ascii="Arial" w:eastAsia="Calibri" w:hAnsi="Arial" w:cs="Arial"/>
            <w:szCs w:val="28"/>
          </w:rPr>
          <w:t>https://zakon.rada.gov.ua/laws/show/64/2022</w:t>
        </w:r>
      </w:hyperlink>
    </w:p>
    <w:p w14:paraId="6F44BFB6"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5. </w:t>
      </w:r>
      <w:r w:rsidRPr="00511005">
        <w:rPr>
          <w:rFonts w:ascii="Arial" w:eastAsia="Calibri" w:hAnsi="Arial" w:cs="Arial"/>
          <w:bCs/>
          <w:szCs w:val="28"/>
          <w:lang w:val="uk-UA"/>
        </w:rPr>
        <w:t>Про затвердження Положення про військові адміністрації</w:t>
      </w:r>
      <w:r w:rsidRPr="00511005">
        <w:rPr>
          <w:rFonts w:ascii="Arial" w:eastAsia="Calibri" w:hAnsi="Arial" w:cs="Arial"/>
          <w:szCs w:val="28"/>
        </w:rPr>
        <w:t> </w:t>
      </w:r>
      <w:r w:rsidRPr="00511005">
        <w:rPr>
          <w:rFonts w:ascii="Arial" w:eastAsia="Calibri" w:hAnsi="Arial" w:cs="Arial"/>
          <w:szCs w:val="28"/>
          <w:lang w:val="uk-UA"/>
        </w:rPr>
        <w:t>: Постанова Кабінету Міністрів України від 27 травня 2015 року № 393 // Офіційний вісник України. – 2015. – № 43. – Ст. 1445.</w:t>
      </w:r>
    </w:p>
    <w:p w14:paraId="3B7B98E9"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6. </w:t>
      </w:r>
      <w:r w:rsidRPr="00511005">
        <w:rPr>
          <w:rFonts w:ascii="Arial" w:eastAsia="Calibri" w:hAnsi="Arial" w:cs="Arial"/>
          <w:bCs/>
          <w:szCs w:val="28"/>
          <w:lang w:val="uk-UA"/>
        </w:rPr>
        <w:t>Про затвердження Концепції розвитку цифрової економіки та суспільства України на 2018-2020 роки</w:t>
      </w:r>
      <w:r w:rsidRPr="00511005">
        <w:rPr>
          <w:rFonts w:ascii="Arial" w:eastAsia="Calibri" w:hAnsi="Arial" w:cs="Arial"/>
          <w:szCs w:val="28"/>
        </w:rPr>
        <w:t> </w:t>
      </w:r>
      <w:r w:rsidRPr="00511005">
        <w:rPr>
          <w:rFonts w:ascii="Arial" w:eastAsia="Calibri" w:hAnsi="Arial" w:cs="Arial"/>
          <w:szCs w:val="28"/>
          <w:lang w:val="uk-UA"/>
        </w:rPr>
        <w:t xml:space="preserve">: Розпорядження Кабінету Міністрів України від 17 січня 2018 року № 67-р // Офіційний вебпортал Верховної Ради України. – </w:t>
      </w:r>
      <w:r w:rsidRPr="00511005">
        <w:rPr>
          <w:rFonts w:ascii="Arial" w:eastAsia="Calibri" w:hAnsi="Arial" w:cs="Arial"/>
          <w:szCs w:val="28"/>
        </w:rPr>
        <w:t>URL</w:t>
      </w:r>
      <w:r w:rsidRPr="00511005">
        <w:rPr>
          <w:rFonts w:ascii="Arial" w:eastAsia="Calibri" w:hAnsi="Arial" w:cs="Arial"/>
          <w:szCs w:val="28"/>
          <w:lang w:val="uk-UA"/>
        </w:rPr>
        <w:t>:</w:t>
      </w:r>
      <w:r w:rsidRPr="00511005">
        <w:rPr>
          <w:rFonts w:ascii="Arial" w:eastAsia="Calibri" w:hAnsi="Arial" w:cs="Arial"/>
          <w:szCs w:val="28"/>
        </w:rPr>
        <w:t> </w:t>
      </w:r>
      <w:hyperlink r:id="rId939" w:tgtFrame="_blank" w:history="1">
        <w:r w:rsidRPr="00511005">
          <w:rPr>
            <w:rFonts w:ascii="Arial" w:eastAsia="Calibri" w:hAnsi="Arial" w:cs="Arial"/>
            <w:szCs w:val="28"/>
          </w:rPr>
          <w:t>https</w:t>
        </w:r>
        <w:r w:rsidRPr="00511005">
          <w:rPr>
            <w:rFonts w:ascii="Arial" w:eastAsia="Calibri" w:hAnsi="Arial" w:cs="Arial"/>
            <w:szCs w:val="28"/>
            <w:lang w:val="uk-UA"/>
          </w:rPr>
          <w:t>://</w:t>
        </w:r>
        <w:r w:rsidRPr="00511005">
          <w:rPr>
            <w:rFonts w:ascii="Arial" w:eastAsia="Calibri" w:hAnsi="Arial" w:cs="Arial"/>
            <w:szCs w:val="28"/>
          </w:rPr>
          <w:t>zakon</w:t>
        </w:r>
        <w:r w:rsidRPr="00511005">
          <w:rPr>
            <w:rFonts w:ascii="Arial" w:eastAsia="Calibri" w:hAnsi="Arial" w:cs="Arial"/>
            <w:szCs w:val="28"/>
            <w:lang w:val="uk-UA"/>
          </w:rPr>
          <w:t>.</w:t>
        </w:r>
        <w:r w:rsidRPr="00511005">
          <w:rPr>
            <w:rFonts w:ascii="Arial" w:eastAsia="Calibri" w:hAnsi="Arial" w:cs="Arial"/>
            <w:szCs w:val="28"/>
          </w:rPr>
          <w:t>rada</w:t>
        </w:r>
        <w:r w:rsidRPr="00511005">
          <w:rPr>
            <w:rFonts w:ascii="Arial" w:eastAsia="Calibri" w:hAnsi="Arial" w:cs="Arial"/>
            <w:szCs w:val="28"/>
            <w:lang w:val="uk-UA"/>
          </w:rPr>
          <w:t>.</w:t>
        </w:r>
        <w:r w:rsidRPr="00511005">
          <w:rPr>
            <w:rFonts w:ascii="Arial" w:eastAsia="Calibri" w:hAnsi="Arial" w:cs="Arial"/>
            <w:szCs w:val="28"/>
          </w:rPr>
          <w:t>gov</w:t>
        </w:r>
        <w:r w:rsidRPr="00511005">
          <w:rPr>
            <w:rFonts w:ascii="Arial" w:eastAsia="Calibri" w:hAnsi="Arial" w:cs="Arial"/>
            <w:szCs w:val="28"/>
            <w:lang w:val="uk-UA"/>
          </w:rPr>
          <w:t>.</w:t>
        </w:r>
        <w:r w:rsidRPr="00511005">
          <w:rPr>
            <w:rFonts w:ascii="Arial" w:eastAsia="Calibri" w:hAnsi="Arial" w:cs="Arial"/>
            <w:szCs w:val="28"/>
          </w:rPr>
          <w:t>ua</w:t>
        </w:r>
        <w:r w:rsidRPr="00511005">
          <w:rPr>
            <w:rFonts w:ascii="Arial" w:eastAsia="Calibri" w:hAnsi="Arial" w:cs="Arial"/>
            <w:szCs w:val="28"/>
            <w:lang w:val="uk-UA"/>
          </w:rPr>
          <w:t>/</w:t>
        </w:r>
        <w:r w:rsidRPr="00511005">
          <w:rPr>
            <w:rFonts w:ascii="Arial" w:eastAsia="Calibri" w:hAnsi="Arial" w:cs="Arial"/>
            <w:szCs w:val="28"/>
          </w:rPr>
          <w:t>laws</w:t>
        </w:r>
        <w:r w:rsidRPr="00511005">
          <w:rPr>
            <w:rFonts w:ascii="Arial" w:eastAsia="Calibri" w:hAnsi="Arial" w:cs="Arial"/>
            <w:szCs w:val="28"/>
            <w:lang w:val="uk-UA"/>
          </w:rPr>
          <w:t>/</w:t>
        </w:r>
        <w:r w:rsidRPr="00511005">
          <w:rPr>
            <w:rFonts w:ascii="Arial" w:eastAsia="Calibri" w:hAnsi="Arial" w:cs="Arial"/>
            <w:szCs w:val="28"/>
          </w:rPr>
          <w:t>show</w:t>
        </w:r>
        <w:r w:rsidRPr="00511005">
          <w:rPr>
            <w:rFonts w:ascii="Arial" w:eastAsia="Calibri" w:hAnsi="Arial" w:cs="Arial"/>
            <w:szCs w:val="28"/>
            <w:lang w:val="uk-UA"/>
          </w:rPr>
          <w:t>/67-2018-%</w:t>
        </w:r>
        <w:r w:rsidRPr="00511005">
          <w:rPr>
            <w:rFonts w:ascii="Arial" w:eastAsia="Calibri" w:hAnsi="Arial" w:cs="Arial"/>
            <w:szCs w:val="28"/>
          </w:rPr>
          <w:t>D</w:t>
        </w:r>
        <w:r w:rsidRPr="00511005">
          <w:rPr>
            <w:rFonts w:ascii="Arial" w:eastAsia="Calibri" w:hAnsi="Arial" w:cs="Arial"/>
            <w:szCs w:val="28"/>
            <w:lang w:val="uk-UA"/>
          </w:rPr>
          <w:t>1%80</w:t>
        </w:r>
      </w:hyperlink>
    </w:p>
    <w:p w14:paraId="0FA5FCC9"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lang w:val="uk-UA"/>
        </w:rPr>
        <w:t xml:space="preserve">7. </w:t>
      </w:r>
      <w:r w:rsidRPr="00511005">
        <w:rPr>
          <w:rFonts w:ascii="Arial" w:eastAsia="Calibri" w:hAnsi="Arial" w:cs="Arial"/>
          <w:bCs/>
          <w:szCs w:val="28"/>
        </w:rPr>
        <w:t>Центр політико-правових реформ</w:t>
      </w:r>
      <w:r w:rsidRPr="00511005">
        <w:rPr>
          <w:rFonts w:ascii="Arial" w:eastAsia="Calibri" w:hAnsi="Arial" w:cs="Arial"/>
          <w:szCs w:val="28"/>
        </w:rPr>
        <w:t>. Аналітична доповідь "Децентралізація в умовах війни: виклики та перспективи". – Київ, 2022. – 48 с.</w:t>
      </w:r>
    </w:p>
    <w:p w14:paraId="6DDF7233"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lang w:val="uk-UA"/>
        </w:rPr>
        <w:t xml:space="preserve">8. </w:t>
      </w:r>
      <w:r w:rsidRPr="00511005">
        <w:rPr>
          <w:rFonts w:ascii="Arial" w:eastAsia="Calibri" w:hAnsi="Arial" w:cs="Arial"/>
          <w:bCs/>
          <w:szCs w:val="28"/>
        </w:rPr>
        <w:t>Ковальчук О.М.</w:t>
      </w:r>
      <w:r w:rsidRPr="00511005">
        <w:rPr>
          <w:rFonts w:ascii="Arial" w:eastAsia="Calibri" w:hAnsi="Arial" w:cs="Arial"/>
          <w:szCs w:val="28"/>
          <w:lang w:val="en-US"/>
        </w:rPr>
        <w:t> </w:t>
      </w:r>
      <w:r w:rsidRPr="00511005">
        <w:rPr>
          <w:rFonts w:ascii="Arial" w:eastAsia="Calibri" w:hAnsi="Arial" w:cs="Arial"/>
          <w:szCs w:val="28"/>
        </w:rPr>
        <w:t>Адміністративно-правові засади взаємодії органів виконавчої влади в умовах надзвичайних ситуацій // Вісник Київського національного університету імені Тараса Шевченка. Юридичні науки. – 2021. – № 2(15). – С. 45-51.</w:t>
      </w:r>
    </w:p>
    <w:p w14:paraId="302CFDCC" w14:textId="77777777" w:rsidR="00B67481" w:rsidRPr="00511005" w:rsidRDefault="00B67481" w:rsidP="003A292D">
      <w:pPr>
        <w:spacing w:line="264" w:lineRule="auto"/>
        <w:rPr>
          <w:rFonts w:ascii="Arial" w:eastAsia="Calibri" w:hAnsi="Arial" w:cs="Arial"/>
          <w:b/>
          <w:szCs w:val="28"/>
          <w:lang w:val="uk-UA"/>
        </w:rPr>
      </w:pPr>
    </w:p>
    <w:p w14:paraId="49114AE8" w14:textId="282766FC"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B67481" w:rsidRPr="00511005">
        <w:rPr>
          <w:rFonts w:ascii="Arial" w:eastAsia="Calibri" w:hAnsi="Arial" w:cs="Arial"/>
          <w:szCs w:val="28"/>
          <w:lang w:val="uk-UA"/>
        </w:rPr>
        <w:t>орган виконавчої влади, публічна адміністрація, обласна військова адміністрація, нормативний акт, адміністративне право, повноваження, компетенція</w:t>
      </w:r>
    </w:p>
    <w:p w14:paraId="37739148" w14:textId="26889166" w:rsidR="00B67481"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B67481" w:rsidRPr="00511005">
        <w:rPr>
          <w:rFonts w:ascii="Arial" w:eastAsia="Calibri" w:hAnsi="Arial" w:cs="Arial"/>
          <w:szCs w:val="28"/>
          <w:lang w:val="en-US"/>
        </w:rPr>
        <w:t>executive body, public administration, regional military administration, regulatory act, administrative law, powers, competence</w:t>
      </w:r>
    </w:p>
    <w:p w14:paraId="67993951" w14:textId="732341D0" w:rsidR="00B67481" w:rsidRPr="00511005" w:rsidRDefault="007B2628" w:rsidP="003A292D">
      <w:pPr>
        <w:spacing w:line="264" w:lineRule="auto"/>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B67481" w:rsidRPr="00511005">
        <w:rPr>
          <w:rFonts w:ascii="Arial" w:eastAsia="Calibri" w:hAnsi="Arial" w:cs="Arial"/>
          <w:i/>
          <w:szCs w:val="28"/>
          <w:lang w:val="uk-UA"/>
        </w:rPr>
        <w:t>к.ю.н., доцент Закаленко О.В.</w:t>
      </w:r>
    </w:p>
    <w:p w14:paraId="048ABB2D" w14:textId="5720A343" w:rsidR="001D1A08" w:rsidRPr="00511005" w:rsidRDefault="001D1A08" w:rsidP="003A292D">
      <w:pPr>
        <w:spacing w:line="264" w:lineRule="auto"/>
        <w:ind w:firstLine="0"/>
        <w:jc w:val="left"/>
        <w:rPr>
          <w:rFonts w:ascii="Arial" w:eastAsia="Calibri" w:hAnsi="Arial" w:cs="Arial"/>
          <w:i/>
          <w:szCs w:val="28"/>
          <w:lang w:val="uk-UA"/>
        </w:rPr>
      </w:pPr>
    </w:p>
    <w:p w14:paraId="1A242080" w14:textId="77777777" w:rsidR="001D1A08" w:rsidRPr="00511005" w:rsidRDefault="001D1A08" w:rsidP="003A292D">
      <w:pPr>
        <w:spacing w:line="264" w:lineRule="auto"/>
        <w:ind w:firstLine="0"/>
        <w:jc w:val="left"/>
        <w:rPr>
          <w:rFonts w:ascii="Arial" w:eastAsia="Calibri" w:hAnsi="Arial" w:cs="Arial"/>
          <w:i/>
          <w:szCs w:val="28"/>
          <w:lang w:val="uk-UA"/>
        </w:rPr>
      </w:pPr>
    </w:p>
    <w:p w14:paraId="2857B2A4" w14:textId="77777777" w:rsidR="00B67481" w:rsidRPr="00511005" w:rsidRDefault="00B67481" w:rsidP="003A292D">
      <w:pPr>
        <w:spacing w:line="264" w:lineRule="auto"/>
        <w:ind w:firstLine="0"/>
        <w:jc w:val="center"/>
        <w:rPr>
          <w:rFonts w:ascii="Arial" w:eastAsia="Calibri" w:hAnsi="Arial" w:cs="Arial"/>
          <w:i/>
          <w:iCs/>
          <w:szCs w:val="28"/>
          <w:lang w:val="uk-UA"/>
        </w:rPr>
      </w:pPr>
      <w:r w:rsidRPr="00511005">
        <w:rPr>
          <w:rFonts w:ascii="Arial" w:eastAsia="Calibri" w:hAnsi="Arial" w:cs="Arial"/>
          <w:b/>
          <w:bCs/>
          <w:i/>
          <w:iCs/>
          <w:szCs w:val="28"/>
          <w:lang w:val="uk-UA"/>
        </w:rPr>
        <w:t>Дедюх Софія Володимирівна</w:t>
      </w:r>
    </w:p>
    <w:p w14:paraId="6FBD86D9" w14:textId="2A5A5FAF"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54EB3009"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D9EB730"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A250889" w14:textId="77777777" w:rsidR="00B67481" w:rsidRPr="00511005" w:rsidRDefault="00B67481" w:rsidP="003A292D">
      <w:pPr>
        <w:spacing w:line="264" w:lineRule="auto"/>
        <w:ind w:firstLine="0"/>
        <w:jc w:val="center"/>
        <w:rPr>
          <w:rFonts w:ascii="Arial" w:eastAsia="Calibri" w:hAnsi="Arial" w:cs="Arial"/>
          <w:i/>
          <w:iCs/>
          <w:szCs w:val="28"/>
          <w:lang w:val="uk-UA"/>
        </w:rPr>
      </w:pPr>
    </w:p>
    <w:p w14:paraId="39C5408B" w14:textId="77777777" w:rsidR="00B67481" w:rsidRPr="00511005" w:rsidRDefault="00B67481" w:rsidP="003A292D">
      <w:pPr>
        <w:tabs>
          <w:tab w:val="left" w:pos="7088"/>
        </w:tabs>
        <w:spacing w:line="264" w:lineRule="auto"/>
        <w:ind w:firstLine="0"/>
        <w:jc w:val="center"/>
        <w:rPr>
          <w:rFonts w:ascii="Arial" w:eastAsia="Calibri" w:hAnsi="Arial" w:cs="Arial"/>
          <w:b/>
          <w:szCs w:val="28"/>
          <w:lang w:bidi="uk-UA"/>
        </w:rPr>
      </w:pPr>
      <w:r w:rsidRPr="00511005">
        <w:rPr>
          <w:rFonts w:ascii="Arial" w:eastAsia="Calibri" w:hAnsi="Arial" w:cs="Arial"/>
          <w:b/>
          <w:szCs w:val="28"/>
          <w:lang w:bidi="uk-UA"/>
        </w:rPr>
        <w:t>ДІДЖИТАЛІЗАЦІЯ АДМІНІСТРАТИВНИХ ПОСЛУГ: ПРОБЛЕМИ ПРАВОВОГО РЕГУЛЮВАННЯ</w:t>
      </w:r>
    </w:p>
    <w:p w14:paraId="5F49E6FE"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lastRenderedPageBreak/>
        <w:t>У сучасному світі розвиток технологій сприяє суттєвим змінам в усіх сферах суспільного життя, в тому числі й у сфері адміністративного управління. Однією з важливих складових адміністративної реформи є діджиталізація адміністративних послуг. Це процес, що передбачає впровадження інформаційно-комунікаційних технологій (ІКТ) в систему надання адміністративних послуг, що має на меті полегшити доступ громадян до державних послуг, забезпечити прозорість і ефективність державного управління. Однак впровадження діджиталізації супроводжується низкою правових викликів, які потребують уваги.</w:t>
      </w:r>
    </w:p>
    <w:p w14:paraId="312F7797"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Однією з основних проблем правового регулювання діджиталізації адміністративних послуг є необхідність розробки нових норм та стандартів, що регулюють використання інформаційних технологій у взаємовідносинах між органами державної влади та громадянами. Система адміністративних послуг у багатьох випадках ґрунтується на застарілих нормативно-правових актах, які не враховують сучасних технологічних вимог. Це призводить до того, що багато адміністративних процедур досі здійснюються вручну, що збільшує час обробки запитів та знижує рівень доступності послуг</w:t>
      </w:r>
      <w:r w:rsidRPr="00511005">
        <w:rPr>
          <w:rFonts w:ascii="Arial" w:eastAsia="Calibri" w:hAnsi="Arial" w:cs="Arial"/>
          <w:szCs w:val="28"/>
          <w:lang w:bidi="uk-UA"/>
        </w:rPr>
        <w:t xml:space="preserve"> [</w:t>
      </w:r>
      <w:r w:rsidRPr="00511005">
        <w:rPr>
          <w:rFonts w:ascii="Arial" w:eastAsia="Calibri" w:hAnsi="Arial" w:cs="Arial"/>
          <w:szCs w:val="28"/>
          <w:lang w:val="uk-UA" w:bidi="uk-UA"/>
        </w:rPr>
        <w:t>3,</w:t>
      </w:r>
      <w:r w:rsidRPr="00511005">
        <w:rPr>
          <w:rFonts w:ascii="Arial" w:eastAsia="Calibri" w:hAnsi="Arial" w:cs="Arial"/>
          <w:szCs w:val="28"/>
          <w:lang w:bidi="uk-UA"/>
        </w:rPr>
        <w:t xml:space="preserve"> </w:t>
      </w:r>
      <w:r w:rsidRPr="00511005">
        <w:rPr>
          <w:rFonts w:ascii="Arial" w:eastAsia="Calibri" w:hAnsi="Arial" w:cs="Arial"/>
          <w:szCs w:val="28"/>
          <w:lang w:val="en-US" w:bidi="uk-UA"/>
        </w:rPr>
        <w:t>c</w:t>
      </w:r>
      <w:r w:rsidRPr="00511005">
        <w:rPr>
          <w:rFonts w:ascii="Arial" w:eastAsia="Calibri" w:hAnsi="Arial" w:cs="Arial"/>
          <w:szCs w:val="28"/>
          <w:lang w:bidi="uk-UA"/>
        </w:rPr>
        <w:t>.115]</w:t>
      </w:r>
      <w:r w:rsidRPr="00511005">
        <w:rPr>
          <w:rFonts w:ascii="Arial" w:eastAsia="Calibri" w:hAnsi="Arial" w:cs="Arial"/>
          <w:szCs w:val="28"/>
          <w:lang w:val="uk-UA" w:bidi="uk-UA"/>
        </w:rPr>
        <w:t>.</w:t>
      </w:r>
    </w:p>
    <w:p w14:paraId="050BA31E"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Одним із ключових аспектів діджиталізації є питання захисту персональних даних. Переходячи до електронного документообігу та електронних послуг, держава стикається з необхідністю створення належних умов для захисту особистої інформації громадян. Правова база для захисту персональних даних в Україні передбачена Законом України «Про захист персональних даних», однак реальний рівень захисту потребує покращення. Особливо важливою є проблема кібербезпеки, оскільки будь-яка помилка або недостатня увага до захисту даних може призвести до серйозних наслідків для держави і громадян. В умовах діджиталізації адміністративних послуг потрібно створювати нові механізми моніторингу та контролю за збереженням персональних даних, удосконалювати законодавчі акти щодо захисту конфіденційності.</w:t>
      </w:r>
    </w:p>
    <w:p w14:paraId="2A7D5F69"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Іншим важливим аспектом є проблеми інтеграції різних електронних систем та платформ. Для ефективної роботи системи електронних адміністративних послуг необхідно забезпечити взаємодію між різними органами влади та установами, що забезпечують надання адміністративних послуг. Проблеми міжвідомчої взаємодії, неузгодженість стандартів і технологій можуть значно ускладнити процес надання послуг та знизити їх якість. Зокрема, проблема полягає в недостатній синхронізації даних між різними державними реєстрами та базами даних, що обмежує можливості автоматизації та уповільнює процес обробки заявок.</w:t>
      </w:r>
    </w:p>
    <w:p w14:paraId="26C20AC0"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Також важливим питанням є юридична значимість електронних документів. В Україні нормативно-правова база, яка регулює використання електронних документів та підписів, досить розвинута, однак існує потреба у вдосконаленні процедур визнання електронних документів як таких, що </w:t>
      </w:r>
      <w:r w:rsidRPr="00511005">
        <w:rPr>
          <w:rFonts w:ascii="Arial" w:eastAsia="Calibri" w:hAnsi="Arial" w:cs="Arial"/>
          <w:szCs w:val="28"/>
          <w:lang w:val="uk-UA" w:bidi="uk-UA"/>
        </w:rPr>
        <w:lastRenderedPageBreak/>
        <w:t>мають юридичну силу. Законодавство передбачає використання електронного підпису для підписання офіційних документів, проте виникають питання щодо узгодження вимог різних органів і установ стосовно електронних підписів і документів. Крім того, існує необхідність у спрощенні процедур легалізації електронних документів та визначенні чітких механізмів для їх використання в адміністративних процедурах</w:t>
      </w:r>
      <w:r w:rsidRPr="00511005">
        <w:rPr>
          <w:rFonts w:ascii="Arial" w:eastAsia="Calibri" w:hAnsi="Arial" w:cs="Arial"/>
          <w:szCs w:val="28"/>
          <w:lang w:bidi="uk-UA"/>
        </w:rPr>
        <w:t xml:space="preserve"> [1]</w:t>
      </w:r>
      <w:r w:rsidRPr="00511005">
        <w:rPr>
          <w:rFonts w:ascii="Arial" w:eastAsia="Calibri" w:hAnsi="Arial" w:cs="Arial"/>
          <w:szCs w:val="28"/>
          <w:lang w:val="uk-UA" w:bidi="uk-UA"/>
        </w:rPr>
        <w:t>.</w:t>
      </w:r>
    </w:p>
    <w:p w14:paraId="7D2325CA"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Не менш важливою проблемою є забезпечення доступу до електронних адміністративних послуг для всіх громадян, зокрема для тих, хто не має доступу до Інтернету або не володіє необхідними технічними навичками. У цьому контексті важливим є забезпечення рівного доступу до публічних послуг, що є частиною прав людини на доступ до правосуддя і державних послуг. Для цього потрібно розробити інклюзивні стратегії та створити умови для надання адміністративних послуг не тільки через Інтернет, але й в інший спосіб — за допомогою офлайн платформ або через мобільні додатки.</w:t>
      </w:r>
    </w:p>
    <w:p w14:paraId="486D9F82"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val="uk-UA" w:bidi="uk-UA"/>
        </w:rPr>
        <w:t xml:space="preserve">Одним із найяскравіших прикладів цифровізації адміністративних послуг в Україні є мобільний застосунок та вебпортал </w:t>
      </w:r>
      <w:r w:rsidRPr="00511005">
        <w:rPr>
          <w:rFonts w:ascii="Arial" w:eastAsia="Calibri" w:hAnsi="Arial" w:cs="Arial"/>
          <w:bCs/>
          <w:szCs w:val="28"/>
          <w:lang w:val="uk-UA" w:bidi="uk-UA"/>
        </w:rPr>
        <w:t>«Дія»</w:t>
      </w:r>
      <w:r w:rsidRPr="00511005">
        <w:rPr>
          <w:rFonts w:ascii="Arial" w:eastAsia="Calibri" w:hAnsi="Arial" w:cs="Arial"/>
          <w:szCs w:val="28"/>
          <w:lang w:val="uk-UA" w:bidi="uk-UA"/>
        </w:rPr>
        <w:t xml:space="preserve">, який забезпечує зручний доступ громадян до широкого спектра послуг — від реєстрації бізнесу до отримання витягу з державного реєстру. </w:t>
      </w:r>
      <w:r w:rsidRPr="00511005">
        <w:rPr>
          <w:rFonts w:ascii="Arial" w:eastAsia="Calibri" w:hAnsi="Arial" w:cs="Arial"/>
          <w:szCs w:val="28"/>
          <w:lang w:bidi="uk-UA"/>
        </w:rPr>
        <w:t xml:space="preserve">Надання адміністративних послуг через «Дію» є повністю законним і здійснюється відповідно до чинного законодавства. Зокрема, </w:t>
      </w:r>
      <w:r w:rsidRPr="00511005">
        <w:rPr>
          <w:rFonts w:ascii="Arial" w:eastAsia="Calibri" w:hAnsi="Arial" w:cs="Arial"/>
          <w:bCs/>
          <w:szCs w:val="28"/>
          <w:lang w:bidi="uk-UA"/>
        </w:rPr>
        <w:t>Закон України «Про адміністративні послуги»</w:t>
      </w:r>
      <w:r w:rsidRPr="00511005">
        <w:rPr>
          <w:rFonts w:ascii="Arial" w:eastAsia="Calibri" w:hAnsi="Arial" w:cs="Arial"/>
          <w:szCs w:val="28"/>
          <w:lang w:bidi="uk-UA"/>
        </w:rPr>
        <w:t xml:space="preserve"> у редакції з урахуванням цифровізації, а також </w:t>
      </w:r>
      <w:r w:rsidRPr="00511005">
        <w:rPr>
          <w:rFonts w:ascii="Arial" w:eastAsia="Calibri" w:hAnsi="Arial" w:cs="Arial"/>
          <w:bCs/>
          <w:szCs w:val="28"/>
          <w:lang w:bidi="uk-UA"/>
        </w:rPr>
        <w:t>Закон України «Про публічні електронні реєстри»</w:t>
      </w:r>
      <w:r w:rsidRPr="00511005">
        <w:rPr>
          <w:rFonts w:ascii="Arial" w:eastAsia="Calibri" w:hAnsi="Arial" w:cs="Arial"/>
          <w:szCs w:val="28"/>
          <w:lang w:bidi="uk-UA"/>
        </w:rPr>
        <w:t xml:space="preserve">, </w:t>
      </w:r>
      <w:r w:rsidRPr="00511005">
        <w:rPr>
          <w:rFonts w:ascii="Arial" w:eastAsia="Calibri" w:hAnsi="Arial" w:cs="Arial"/>
          <w:bCs/>
          <w:szCs w:val="28"/>
          <w:lang w:bidi="uk-UA"/>
        </w:rPr>
        <w:t>Закон України «Про електронні довірчі послуги»</w:t>
      </w:r>
      <w:r w:rsidRPr="00511005">
        <w:rPr>
          <w:rFonts w:ascii="Arial" w:eastAsia="Calibri" w:hAnsi="Arial" w:cs="Arial"/>
          <w:szCs w:val="28"/>
          <w:lang w:bidi="uk-UA"/>
        </w:rPr>
        <w:t xml:space="preserve"> та </w:t>
      </w:r>
      <w:r w:rsidRPr="00511005">
        <w:rPr>
          <w:rFonts w:ascii="Arial" w:eastAsia="Calibri" w:hAnsi="Arial" w:cs="Arial"/>
          <w:bCs/>
          <w:szCs w:val="28"/>
          <w:lang w:bidi="uk-UA"/>
        </w:rPr>
        <w:t>Закон України «Про електронні документи та електронний документообіг»</w:t>
      </w:r>
      <w:r w:rsidRPr="00511005">
        <w:rPr>
          <w:rFonts w:ascii="Arial" w:eastAsia="Calibri" w:hAnsi="Arial" w:cs="Arial"/>
          <w:szCs w:val="28"/>
          <w:lang w:bidi="uk-UA"/>
        </w:rPr>
        <w:t xml:space="preserve"> створюють нормативну базу, яка дозволяє реалізовувати принцип "держави у смартфоні". Крім того, урядовими постановами (зокрема, </w:t>
      </w:r>
      <w:r w:rsidRPr="00511005">
        <w:rPr>
          <w:rFonts w:ascii="Arial" w:eastAsia="Calibri" w:hAnsi="Arial" w:cs="Arial"/>
          <w:bCs/>
          <w:szCs w:val="28"/>
          <w:lang w:bidi="uk-UA"/>
        </w:rPr>
        <w:t xml:space="preserve">Постанова КМУ </w:t>
      </w:r>
      <w:r w:rsidRPr="00511005">
        <w:rPr>
          <w:rFonts w:ascii="Arial" w:eastAsia="Calibri" w:hAnsi="Arial" w:cs="Arial"/>
          <w:szCs w:val="28"/>
          <w:lang w:val="uk-UA" w:bidi="uk-UA"/>
        </w:rPr>
        <w:t>від 04.12.2019 № 1137 щодо єдиного державного вебпорталу електронних послуг та Реєстру адміністративних послуг</w:t>
      </w:r>
      <w:r w:rsidRPr="00511005">
        <w:rPr>
          <w:rFonts w:ascii="Arial" w:eastAsia="Calibri" w:hAnsi="Arial" w:cs="Arial"/>
          <w:szCs w:val="28"/>
          <w:lang w:bidi="uk-UA"/>
        </w:rPr>
        <w:t>) чітко регламентується порядок використання електронних документів, посвідчень і цифрових посвідчень особи.</w:t>
      </w:r>
    </w:p>
    <w:p w14:paraId="308D1213"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Важливо зазначити, що цифрова трансформація в Україні не є ситуативною реакцією на вимоги часу, а частиною комплексної </w:t>
      </w:r>
      <w:r w:rsidRPr="00511005">
        <w:rPr>
          <w:rFonts w:ascii="Arial" w:eastAsia="Calibri" w:hAnsi="Arial" w:cs="Arial"/>
          <w:bCs/>
          <w:szCs w:val="28"/>
          <w:lang w:bidi="uk-UA"/>
        </w:rPr>
        <w:t>державної політики цифровізації</w:t>
      </w:r>
      <w:r w:rsidRPr="00511005">
        <w:rPr>
          <w:rFonts w:ascii="Arial" w:eastAsia="Calibri" w:hAnsi="Arial" w:cs="Arial"/>
          <w:szCs w:val="28"/>
          <w:lang w:bidi="uk-UA"/>
        </w:rPr>
        <w:t xml:space="preserve">. У 2020 році було затверджено </w:t>
      </w:r>
      <w:r w:rsidRPr="00511005">
        <w:rPr>
          <w:rFonts w:ascii="Arial" w:eastAsia="Calibri" w:hAnsi="Arial" w:cs="Arial"/>
          <w:bCs/>
          <w:szCs w:val="28"/>
          <w:lang w:bidi="uk-UA"/>
        </w:rPr>
        <w:t>Державну стратегію цифрової трансформації України</w:t>
      </w:r>
      <w:r w:rsidRPr="00511005">
        <w:rPr>
          <w:rFonts w:ascii="Arial" w:eastAsia="Calibri" w:hAnsi="Arial" w:cs="Arial"/>
          <w:szCs w:val="28"/>
          <w:lang w:bidi="uk-UA"/>
        </w:rPr>
        <w:t xml:space="preserve">, а у 2021 році — </w:t>
      </w:r>
      <w:r w:rsidRPr="00511005">
        <w:rPr>
          <w:rFonts w:ascii="Arial" w:eastAsia="Calibri" w:hAnsi="Arial" w:cs="Arial"/>
          <w:bCs/>
          <w:szCs w:val="28"/>
          <w:lang w:bidi="uk-UA"/>
        </w:rPr>
        <w:t>Концепцію розвитку цифрових послуг до 2025 року</w:t>
      </w:r>
      <w:r w:rsidRPr="00511005">
        <w:rPr>
          <w:rFonts w:ascii="Arial" w:eastAsia="Calibri" w:hAnsi="Arial" w:cs="Arial"/>
          <w:szCs w:val="28"/>
          <w:lang w:bidi="uk-UA"/>
        </w:rPr>
        <w:t xml:space="preserve">. Одним із пріоритетів цієї концепції є переведення усіх базових адміністративних послуг в онлайн-формат з гарантованим правовим статусом електронного документа та електронного підпису. Також діє </w:t>
      </w:r>
      <w:r w:rsidRPr="00511005">
        <w:rPr>
          <w:rFonts w:ascii="Arial" w:eastAsia="Calibri" w:hAnsi="Arial" w:cs="Arial"/>
          <w:bCs/>
          <w:szCs w:val="28"/>
          <w:lang w:bidi="uk-UA"/>
        </w:rPr>
        <w:t>Концепція розвитку електронного урядування</w:t>
      </w:r>
      <w:r w:rsidRPr="00511005">
        <w:rPr>
          <w:rFonts w:ascii="Arial" w:eastAsia="Calibri" w:hAnsi="Arial" w:cs="Arial"/>
          <w:szCs w:val="28"/>
          <w:lang w:bidi="uk-UA"/>
        </w:rPr>
        <w:t>, яка передбачає створення єдиного цифрового середовища для взаємодії між державою і громадянами.</w:t>
      </w:r>
    </w:p>
    <w:p w14:paraId="2EFB2032"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У перспективі державна політика спрямована на повну автоматизацію популярних адміністративних послуг, таких як отримання соціальної </w:t>
      </w:r>
      <w:r w:rsidRPr="00511005">
        <w:rPr>
          <w:rFonts w:ascii="Arial" w:eastAsia="Calibri" w:hAnsi="Arial" w:cs="Arial"/>
          <w:szCs w:val="28"/>
          <w:lang w:bidi="uk-UA"/>
        </w:rPr>
        <w:lastRenderedPageBreak/>
        <w:t xml:space="preserve">допомоги, державної реєстрації актів цивільного стану, довідок та дозволів. У цьому контексті особливу увагу приділяють питанням </w:t>
      </w:r>
      <w:r w:rsidRPr="00511005">
        <w:rPr>
          <w:rFonts w:ascii="Arial" w:eastAsia="Calibri" w:hAnsi="Arial" w:cs="Arial"/>
          <w:bCs/>
          <w:szCs w:val="28"/>
          <w:lang w:bidi="uk-UA"/>
        </w:rPr>
        <w:t>кібербезпеки, захисту персональних даних</w:t>
      </w:r>
      <w:r w:rsidRPr="00511005">
        <w:rPr>
          <w:rFonts w:ascii="Arial" w:eastAsia="Calibri" w:hAnsi="Arial" w:cs="Arial"/>
          <w:szCs w:val="28"/>
          <w:lang w:bidi="uk-UA"/>
        </w:rPr>
        <w:t xml:space="preserve">, а також </w:t>
      </w:r>
      <w:r w:rsidRPr="00511005">
        <w:rPr>
          <w:rFonts w:ascii="Arial" w:eastAsia="Calibri" w:hAnsi="Arial" w:cs="Arial"/>
          <w:bCs/>
          <w:szCs w:val="28"/>
          <w:lang w:bidi="uk-UA"/>
        </w:rPr>
        <w:t>нормативній уніфікації процедур надання послуг</w:t>
      </w:r>
      <w:r w:rsidRPr="00511005">
        <w:rPr>
          <w:rFonts w:ascii="Arial" w:eastAsia="Calibri" w:hAnsi="Arial" w:cs="Arial"/>
          <w:szCs w:val="28"/>
          <w:lang w:bidi="uk-UA"/>
        </w:rPr>
        <w:t xml:space="preserve"> на різних рівнях державного управління. Саме ці аспекти залишаються проблемними з точки зору правового регулювання, адже чинне законодавство потребує постійного оновлення з урахуванням нових технологічних викликів і тенденцій.</w:t>
      </w:r>
    </w:p>
    <w:p w14:paraId="730EE7F7"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Таким чином, діджиталізація адміністративних послуг є важливим етапом на шляху до побудови ефективної та сучасної держави. Однак для успішної реалізації цього процесу необхідно враховувати низку правових, технічних і організаційних аспектів, що потребують детального регулювання. Подальший розвиток діджиталізації вимагає комплексного підходу, удосконалення правової бази та інтеграції нових технологій для забезпечення ефективного, безпечного та доступного надання адміністративних послуг.</w:t>
      </w:r>
    </w:p>
    <w:p w14:paraId="1DE5EBB7" w14:textId="77777777" w:rsidR="00B67481" w:rsidRPr="00511005" w:rsidRDefault="00B67481" w:rsidP="003A292D">
      <w:pPr>
        <w:tabs>
          <w:tab w:val="left" w:pos="7088"/>
        </w:tabs>
        <w:spacing w:line="264" w:lineRule="auto"/>
        <w:rPr>
          <w:rFonts w:ascii="Arial" w:eastAsia="Calibri" w:hAnsi="Arial" w:cs="Arial"/>
          <w:b/>
          <w:szCs w:val="28"/>
          <w:lang w:val="uk-UA" w:bidi="uk-UA"/>
        </w:rPr>
      </w:pPr>
    </w:p>
    <w:p w14:paraId="18907E0F" w14:textId="22F79CC7" w:rsidR="00B67481" w:rsidRPr="00511005" w:rsidRDefault="007B2628" w:rsidP="007B2628">
      <w:pPr>
        <w:tabs>
          <w:tab w:val="left" w:pos="7088"/>
        </w:tabs>
        <w:spacing w:line="264" w:lineRule="auto"/>
        <w:ind w:firstLine="0"/>
        <w:jc w:val="center"/>
        <w:rPr>
          <w:rFonts w:ascii="Arial" w:eastAsia="Calibri" w:hAnsi="Arial" w:cs="Arial"/>
          <w:b/>
          <w:szCs w:val="28"/>
          <w:lang w:val="uk-UA" w:bidi="uk-UA"/>
        </w:rPr>
      </w:pPr>
      <w:r w:rsidRPr="00511005">
        <w:rPr>
          <w:rFonts w:ascii="Arial" w:eastAsia="Calibri" w:hAnsi="Arial" w:cs="Arial"/>
          <w:b/>
          <w:szCs w:val="28"/>
          <w:lang w:val="uk-UA" w:bidi="uk-UA"/>
        </w:rPr>
        <w:t>Список використаних джерел</w:t>
      </w:r>
    </w:p>
    <w:p w14:paraId="7A40D039" w14:textId="77777777" w:rsidR="00B67481" w:rsidRPr="00511005" w:rsidRDefault="00B67481" w:rsidP="003F6A5D">
      <w:pPr>
        <w:numPr>
          <w:ilvl w:val="0"/>
          <w:numId w:val="241"/>
        </w:numPr>
        <w:tabs>
          <w:tab w:val="clear" w:pos="720"/>
          <w:tab w:val="num" w:pos="993"/>
          <w:tab w:val="left" w:pos="7088"/>
        </w:tabs>
        <w:spacing w:line="264" w:lineRule="auto"/>
        <w:ind w:left="0" w:firstLine="709"/>
        <w:jc w:val="left"/>
        <w:rPr>
          <w:rFonts w:ascii="Arial" w:eastAsia="Calibri" w:hAnsi="Arial" w:cs="Arial"/>
          <w:szCs w:val="28"/>
          <w:lang w:val="uk-UA" w:bidi="uk-UA"/>
        </w:rPr>
      </w:pPr>
      <w:r w:rsidRPr="00511005">
        <w:rPr>
          <w:rFonts w:ascii="Arial" w:eastAsia="Calibri" w:hAnsi="Arial" w:cs="Arial"/>
          <w:szCs w:val="28"/>
          <w:lang w:val="uk-UA" w:bidi="uk-UA"/>
        </w:rPr>
        <w:t>Закон України «Про адміністративні послуги» від 6 вересня 2012 року № 5203-VI. URL: https://zakon.rada.gov.ua/laws/show/5203-17 (дата звернення: 08.04.2025).</w:t>
      </w:r>
    </w:p>
    <w:p w14:paraId="2381258D" w14:textId="77777777" w:rsidR="00B67481" w:rsidRPr="00511005" w:rsidRDefault="00B67481" w:rsidP="003F6A5D">
      <w:pPr>
        <w:numPr>
          <w:ilvl w:val="0"/>
          <w:numId w:val="241"/>
        </w:numPr>
        <w:tabs>
          <w:tab w:val="clear" w:pos="720"/>
          <w:tab w:val="num" w:pos="993"/>
          <w:tab w:val="left" w:pos="7088"/>
        </w:tabs>
        <w:spacing w:line="264" w:lineRule="auto"/>
        <w:ind w:left="0" w:firstLine="709"/>
        <w:jc w:val="left"/>
        <w:rPr>
          <w:rFonts w:ascii="Arial" w:eastAsia="Calibri" w:hAnsi="Arial" w:cs="Arial"/>
          <w:szCs w:val="28"/>
          <w:lang w:val="uk-UA" w:bidi="uk-UA"/>
        </w:rPr>
      </w:pPr>
      <w:r w:rsidRPr="00511005">
        <w:rPr>
          <w:rFonts w:ascii="Arial" w:eastAsia="Calibri" w:hAnsi="Arial" w:cs="Arial"/>
          <w:szCs w:val="28"/>
          <w:lang w:val="uk-UA" w:bidi="uk-UA"/>
        </w:rPr>
        <w:t>Положення про Єдиний державний вебпортал електронних послуг, затверджене постановою Кабінету Міністрів України від 04.12.2019 № 1137 «Питання Єдиного державного вебпорталу електронних послуг та Реєстру адміністративних послуг»</w:t>
      </w:r>
      <w:r w:rsidRPr="00511005">
        <w:rPr>
          <w:rFonts w:ascii="Arial" w:eastAsia="Calibri" w:hAnsi="Arial" w:cs="Arial"/>
          <w:szCs w:val="28"/>
        </w:rPr>
        <w:t xml:space="preserve"> </w:t>
      </w:r>
      <w:r w:rsidRPr="00511005">
        <w:rPr>
          <w:rFonts w:ascii="Arial" w:eastAsia="Calibri" w:hAnsi="Arial" w:cs="Arial"/>
          <w:szCs w:val="28"/>
          <w:lang w:val="uk-UA" w:bidi="uk-UA"/>
        </w:rPr>
        <w:t>URL: https://zakon.rada.gov.ua/laws/show/1137-2019-%D0%BF#Text(дата звернення: 08.04.2025).</w:t>
      </w:r>
    </w:p>
    <w:p w14:paraId="2C8A5C07" w14:textId="77777777" w:rsidR="00B67481" w:rsidRPr="00511005" w:rsidRDefault="00B67481" w:rsidP="003F6A5D">
      <w:pPr>
        <w:numPr>
          <w:ilvl w:val="0"/>
          <w:numId w:val="241"/>
        </w:numPr>
        <w:tabs>
          <w:tab w:val="clear" w:pos="720"/>
          <w:tab w:val="num" w:pos="993"/>
          <w:tab w:val="left" w:pos="7088"/>
        </w:tabs>
        <w:spacing w:line="264" w:lineRule="auto"/>
        <w:ind w:left="0" w:firstLine="709"/>
        <w:jc w:val="left"/>
        <w:rPr>
          <w:rFonts w:ascii="Arial" w:eastAsia="Calibri" w:hAnsi="Arial" w:cs="Arial"/>
          <w:szCs w:val="28"/>
          <w:lang w:val="uk-UA" w:bidi="uk-UA"/>
        </w:rPr>
      </w:pPr>
      <w:r w:rsidRPr="00511005">
        <w:rPr>
          <w:rFonts w:ascii="Arial" w:eastAsia="Calibri" w:hAnsi="Arial" w:cs="Arial"/>
          <w:szCs w:val="28"/>
          <w:lang w:val="uk-UA" w:bidi="uk-UA"/>
        </w:rPr>
        <w:t>Мартиненко, О. О. Правові аспекти цифровізації адміністративних послуг в Україні. Юридичний вісник України, 2020. С. 112-118.</w:t>
      </w:r>
    </w:p>
    <w:p w14:paraId="52F94F29" w14:textId="77777777" w:rsidR="00B67481" w:rsidRPr="00511005" w:rsidRDefault="00B67481" w:rsidP="003A292D">
      <w:pPr>
        <w:spacing w:line="264" w:lineRule="auto"/>
        <w:rPr>
          <w:rFonts w:ascii="Arial" w:eastAsia="Calibri" w:hAnsi="Arial" w:cs="Arial"/>
          <w:b/>
          <w:bCs/>
          <w:szCs w:val="28"/>
          <w:lang w:val="uk-UA" w:bidi="uk-UA"/>
        </w:rPr>
      </w:pPr>
    </w:p>
    <w:p w14:paraId="415EB0D6" w14:textId="333592BD"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bidi="uk-UA"/>
        </w:rPr>
        <w:t xml:space="preserve">Ключові слова: </w:t>
      </w:r>
      <w:r w:rsidR="00B67481" w:rsidRPr="00511005">
        <w:rPr>
          <w:rFonts w:ascii="Arial" w:eastAsia="Calibri" w:hAnsi="Arial" w:cs="Arial"/>
          <w:szCs w:val="28"/>
          <w:lang w:val="uk-UA"/>
        </w:rPr>
        <w:t>діджиталізація, адміністративні послуги, правове регулювання, електронні послуги, захист персональних даних, кібербезпека, електронний документообіг, електронний підпис, доступність адміністративних послуг, електронний уряд, цифрова трансформація.</w:t>
      </w:r>
    </w:p>
    <w:p w14:paraId="68B2CC85" w14:textId="5D3929FD" w:rsidR="00B67481"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bCs/>
          <w:i/>
          <w:szCs w:val="28"/>
          <w:lang w:val="en-US"/>
        </w:rPr>
        <w:t xml:space="preserve">Key words: </w:t>
      </w:r>
      <w:r w:rsidR="00B67481" w:rsidRPr="00511005">
        <w:rPr>
          <w:rFonts w:ascii="Arial" w:eastAsia="Calibri" w:hAnsi="Arial" w:cs="Arial"/>
          <w:szCs w:val="28"/>
          <w:lang w:val="en-US"/>
        </w:rPr>
        <w:t>digitalization, administrative services, legal regulation, electronic services, personal data protection, cybersecurity electronic document management, electronic signature, accessibility of administrative services, electronic government, digital transformation.</w:t>
      </w:r>
    </w:p>
    <w:p w14:paraId="2E5CEECC" w14:textId="75B01408" w:rsidR="00B67481" w:rsidRPr="00511005" w:rsidRDefault="007B2628" w:rsidP="003A292D">
      <w:pPr>
        <w:spacing w:line="264" w:lineRule="auto"/>
        <w:rPr>
          <w:rFonts w:ascii="Arial" w:eastAsia="Calibri" w:hAnsi="Arial" w:cs="Arial"/>
          <w:i/>
          <w:iCs/>
          <w:szCs w:val="28"/>
          <w:lang w:val="uk-UA"/>
        </w:rPr>
      </w:pPr>
      <w:r w:rsidRPr="00511005">
        <w:rPr>
          <w:rFonts w:ascii="Arial" w:eastAsia="Calibri" w:hAnsi="Arial" w:cs="Arial"/>
          <w:b/>
          <w:i/>
          <w:iCs/>
          <w:szCs w:val="28"/>
        </w:rPr>
        <w:t xml:space="preserve">Науковий керівник: </w:t>
      </w:r>
      <w:r w:rsidR="00B67481" w:rsidRPr="00511005">
        <w:rPr>
          <w:rFonts w:ascii="Arial" w:eastAsia="Calibri" w:hAnsi="Arial" w:cs="Arial"/>
          <w:i/>
          <w:iCs/>
          <w:szCs w:val="28"/>
          <w:lang w:val="uk-UA"/>
        </w:rPr>
        <w:t>к</w:t>
      </w:r>
      <w:r w:rsidR="00B67481" w:rsidRPr="00511005">
        <w:rPr>
          <w:rFonts w:ascii="Arial" w:eastAsia="Calibri" w:hAnsi="Arial" w:cs="Arial"/>
          <w:i/>
          <w:iCs/>
          <w:szCs w:val="28"/>
        </w:rPr>
        <w:t xml:space="preserve">.ю.н., </w:t>
      </w:r>
      <w:r w:rsidR="00B67481" w:rsidRPr="00511005">
        <w:rPr>
          <w:rFonts w:ascii="Arial" w:eastAsia="Calibri" w:hAnsi="Arial" w:cs="Arial"/>
          <w:i/>
          <w:iCs/>
          <w:szCs w:val="28"/>
          <w:lang w:val="uk-UA"/>
        </w:rPr>
        <w:t>доцент</w:t>
      </w:r>
      <w:r w:rsidR="00B67481" w:rsidRPr="00511005">
        <w:rPr>
          <w:rFonts w:ascii="Arial" w:eastAsia="Calibri" w:hAnsi="Arial" w:cs="Arial"/>
          <w:i/>
          <w:iCs/>
          <w:szCs w:val="28"/>
        </w:rPr>
        <w:t xml:space="preserve"> </w:t>
      </w:r>
      <w:r w:rsidR="00B67481" w:rsidRPr="00511005">
        <w:rPr>
          <w:rFonts w:ascii="Arial" w:eastAsia="Calibri" w:hAnsi="Arial" w:cs="Arial"/>
          <w:i/>
          <w:iCs/>
          <w:szCs w:val="28"/>
          <w:lang w:val="uk-UA"/>
        </w:rPr>
        <w:t>Козачук Д. А.</w:t>
      </w:r>
    </w:p>
    <w:p w14:paraId="3E41D1D7" w14:textId="31BFE8BB" w:rsidR="00B67481" w:rsidRPr="00511005" w:rsidRDefault="00B67481" w:rsidP="003A292D">
      <w:pPr>
        <w:spacing w:line="264" w:lineRule="auto"/>
        <w:ind w:firstLine="0"/>
        <w:jc w:val="left"/>
        <w:rPr>
          <w:rFonts w:ascii="Arial" w:eastAsia="Calibri" w:hAnsi="Arial" w:cs="Arial"/>
          <w:i/>
          <w:iCs/>
          <w:szCs w:val="28"/>
          <w:lang w:val="uk-UA"/>
        </w:rPr>
      </w:pPr>
      <w:r w:rsidRPr="00511005">
        <w:rPr>
          <w:rFonts w:ascii="Arial" w:eastAsia="Calibri" w:hAnsi="Arial" w:cs="Arial"/>
          <w:i/>
          <w:iCs/>
          <w:szCs w:val="28"/>
          <w:lang w:val="uk-UA"/>
        </w:rPr>
        <w:br w:type="page"/>
      </w:r>
    </w:p>
    <w:p w14:paraId="7E1BF4C0" w14:textId="77777777" w:rsidR="00B67481" w:rsidRPr="00511005" w:rsidRDefault="00B67481"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lastRenderedPageBreak/>
        <w:t>Драпалюк Александра Андріївна</w:t>
      </w:r>
    </w:p>
    <w:p w14:paraId="2CE69830" w14:textId="1EF33549"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2569248F"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DAC417D"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4D76A7D" w14:textId="77777777" w:rsidR="00B67481" w:rsidRPr="00511005" w:rsidRDefault="00B67481" w:rsidP="003A292D">
      <w:pPr>
        <w:spacing w:line="264" w:lineRule="auto"/>
        <w:ind w:firstLine="0"/>
        <w:jc w:val="center"/>
        <w:rPr>
          <w:rFonts w:ascii="Arial" w:eastAsia="Calibri" w:hAnsi="Arial" w:cs="Arial"/>
          <w:bCs/>
          <w:szCs w:val="28"/>
          <w:lang w:val="uk-UA"/>
        </w:rPr>
      </w:pPr>
    </w:p>
    <w:p w14:paraId="371D39DE" w14:textId="77777777" w:rsidR="00B67481" w:rsidRPr="00511005" w:rsidRDefault="00B67481"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ПРОБЛЕМИ ЗАСТОСУВАННЯ АДМІНІСТРАТИВНОГО ПРИМУСУ В СУЧАСНІЙ ПРАВОВІЙ СИСТЕМІ</w:t>
      </w:r>
    </w:p>
    <w:p w14:paraId="7741C82C"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Адміністративний примус є важливим елементом механізму реалізації державної влади та забезпечення публічного порядку. У сучасній правовій системі його застосування постає не лише як необхідний інструмент впливу, але й як об'єкт критики, що породжує численні юридичні, етичні та соціальні питання. Відповідно до Конституції України: Стаття 29 – гарантує право на свободу та особисту недоторканність. Застосування адміністративного затримання має суворо відповідати умовам, передбаченим законом. Стаття 55 – право на судовий захист, включаючи оскарження дій органів державної влади.</w:t>
      </w:r>
    </w:p>
    <w:p w14:paraId="31A9279D"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Однією з найбільш актуальних проблем у цій сфері є нечіткість меж правомірного застосування адміністративного примусу. Законодавство України, зокрема Кодекс України про адміністративні правопорушення (КУпАП), не завжди містить достатньо конкретизовані положення щодо підстав, порядку і форм застосування примусових заходів (Стаття 262–263 регламентують адміністративне затримання, проте не містять детального механізму застосування. Стаття 265 порядок вилучення речей та документів, який часто викликає питання через нечіткість критеріїв "необхідності". Стаття 268 право особи на правову допомогу при адміністративному провадженні, що часто ігнорується на практиці.) [3, с. 87]. Внаслідок цього у практиці часто виникають ситуації, коли посадова особа змушена діяти на власний розсуд, оцінюючи ступінь загрози правопорушення або необхідність негайного реагування. </w:t>
      </w:r>
    </w:p>
    <w:p w14:paraId="41616D9A"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Така невизначеність створює передумови для суб'єктивізму, перевищення повноважень або неправомірного обмеження прав і свобод громадян. Наприклад, законодавство передбачає можливість застосування фізичної сили, спеціальних засобів або адміністративного затримання, проте не визначено чітких критеріїв, за яких їх використання вважається правомірним. Це породжує ризик як для посадових осіб, що діють добросовісно, але без гарантій правової безпеки, так і для громадян, які можуть зазнати неправомірного впливу з боку державних органів. </w:t>
      </w:r>
    </w:p>
    <w:p w14:paraId="51B6964B"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Другою, тісно пов’язаною проблемою, є відсутність єдності в правозастосовній практиці. Через брак чіткого законодавчого регулювання, адміністративний примус може застосовуватись по-різному в залежності від регіону, органу чи конкретного посадовця. В одній ситуації особу можуть оштрафувати, в іншій — затримати або навіть застосувати фізичну силу [1, </w:t>
      </w:r>
      <w:r w:rsidRPr="00511005">
        <w:rPr>
          <w:rFonts w:ascii="Arial" w:eastAsia="Calibri" w:hAnsi="Arial" w:cs="Arial"/>
          <w:szCs w:val="28"/>
          <w:lang w:val="uk-UA"/>
        </w:rPr>
        <w:lastRenderedPageBreak/>
        <w:t xml:space="preserve">с. 27]. Судова практика у справах, що стосуються оскарження дій органів влади, демонструє високу варіативність рішень, що знижує довіру до системи правосуддя. </w:t>
      </w:r>
    </w:p>
    <w:p w14:paraId="64B0A3EB"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Нерідко суди трактують одні й ті самі обставини по-різному: в одних випадках виправдовують дії посадових осіб, в інших — визнають їх неправомірними. Така ситуація підриває принцип правової визначеності, що є фундаментом правової держави, та ставить під сумнів передбачуваність і стабільність державного впливу. </w:t>
      </w:r>
    </w:p>
    <w:p w14:paraId="678D650E"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Додатковим чинником, що поглиблює цю проблему, є відсутність дієвих механізмів фіксації та аналізу правозастосовної практики. У системі адміністративного права бракує єдиної бази даних, яка б дозволяла аналізувати типові ситуації, виявляти закономірності та запроваджувати уніфіковані підходи до застосування примусу [4]. Це створює замкнене коло: нечітке законодавство породжує нестабільну практику, а нестабільна практика не дозволяє виробити ефективні стандарти регулювання. </w:t>
      </w:r>
    </w:p>
    <w:p w14:paraId="366ABF80"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Дедалі актуальнішою стає проблема непрозорості та недостатньої підзвітності органів, які здійснюють адміністративний примус. Непрозорість у діяльності таких органів проявляється передусім у відсутності відкритої інформації про порядок, підстави, обсяг та наслідки застосування примусових заходів. Це стосується як органів внутрішніх справ, так і інших адміністративних структур — Держпродспоживслужби, Державної фіскальної служби, прикордонної служби тощо. Хоча формально їхня діяльність регламентована, на практиці звітність перед громадськістю або контролюючими органами часто має декларативний характер.</w:t>
      </w:r>
    </w:p>
    <w:p w14:paraId="38415D2E"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Низький рівень публічного контролю за діями таких інституцій спричиняє ситуацію, коли рішення приймаються кулуарно, а застосування примусових заходів рідко супроводжується належним обґрунтуванням та правовим аналізом. Відсутність механізмів громадського моніторингу та незалежного оцінювання таких дій призводить до того, що самі органи не зацікавлені у відкритості — що, у свою чергу, формує ґрунт для корупційних практик та свавілля.</w:t>
      </w:r>
    </w:p>
    <w:p w14:paraId="3EA072B8"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Підзвітність органів адміністративного примусу — ще один критичний аспект. У демократичному суспільстві будь-яка структура, яка має право на обмеження прав громадян, повинна мати чіткі зобов'язання щодо звітності — як перед органами державного контролю, так і перед громадськістю. В Україні ж механізми такої підзвітності не є дієвими. Наприклад, результати службових розслідувань, скарги громадян на неправомірні дії посадовців рідко мають публічне відображення або практичні наслідки [2, с. 59]. </w:t>
      </w:r>
    </w:p>
    <w:p w14:paraId="2C5DE1D9"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Ще одним проявом проблеми є низький рівень ефективності інституту адміністративного оскарження. Хоча теоретично громадяни можуть оскаржити дії адміністративного органу в досудовому порядку або в суді, на практиці це пов’язано з багатьма перешкодами: складністю процедур, </w:t>
      </w:r>
      <w:r w:rsidRPr="00511005">
        <w:rPr>
          <w:rFonts w:ascii="Arial" w:eastAsia="Calibri" w:hAnsi="Arial" w:cs="Arial"/>
          <w:szCs w:val="28"/>
          <w:lang w:val="uk-UA"/>
        </w:rPr>
        <w:lastRenderedPageBreak/>
        <w:t xml:space="preserve">недовірою до неупередженості рішень, низькою правовою обізнаністю населення. Як наслідок, посадові особи часто залишаються безкарними, навіть у разі перевищення повноважень або порушення прав. </w:t>
      </w:r>
    </w:p>
    <w:p w14:paraId="28AE15FA"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Також слід звернути увагу на слабкість системи внутрішнього контролю. Органи, що здійснюють адміністративний примус, часто мають внутрішні структури для розгляду скарг, однак вони рідко ухвалюють рішення не на користь посадовців. Це викликає обґрунтовану критику з боку правозахисних організацій та експертів щодо формального характеру внутрішньої відповідальності [1, с. 42].</w:t>
      </w:r>
    </w:p>
    <w:p w14:paraId="398DF0FC"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Важливо підкреслити і соціальний аспект: громадськість часто сприймає адміністративний примус як засіб тиску, а не захисту публічного інтересу. Така недовіра зумовлює необхідність не лише нормативних, але й інформаційно-комунікаційних змін у політиці держави.</w:t>
      </w:r>
    </w:p>
    <w:p w14:paraId="1562D33C"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Дослідження проблем застосування адміністративного примусу в сучасній правовій системі засвідчує наявність системних викликів, що суттєво впливають на ефективність, легітимність та справедливість адміністративно-правових механізмів. Насамперед йдеться про нечіткість правових меж застосування примусових заходів, відсутність єдності у правозастосовній практиці, непрозорість процедур, а також недостатній рівень підзвітності органів, які володіють владними повноваженнями. Сукупність цих чинників створює ризики для прав і свобод громадян, сприяє виникненню зловживань та знижує рівень довіри до державних інституцій. </w:t>
      </w:r>
    </w:p>
    <w:p w14:paraId="0B4E568E"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Для подолання зазначених проблем необхідне комплексне реформування адміністративного законодавства, впровадження чітких процедурних стандартів, розвиток механізмів зовнішнього та внутрішнього контролю, а також підвищення правової культури як посадових осіб, так і громадян. Такий підхід дозволить гармонізувати функціонування адміністративного примусу з принципами правової держави та забезпечити реальний захист публічного інтересу без порушення фундаментальних прав людини.</w:t>
      </w:r>
    </w:p>
    <w:p w14:paraId="575B2A13" w14:textId="77777777" w:rsidR="00B67481" w:rsidRPr="00511005" w:rsidRDefault="00B67481" w:rsidP="003A292D">
      <w:pPr>
        <w:spacing w:line="264" w:lineRule="auto"/>
        <w:contextualSpacing/>
        <w:rPr>
          <w:rFonts w:ascii="Arial" w:eastAsia="Calibri" w:hAnsi="Arial" w:cs="Arial"/>
          <w:szCs w:val="28"/>
          <w:lang w:val="uk-UA"/>
        </w:rPr>
      </w:pPr>
    </w:p>
    <w:p w14:paraId="5F6A0659" w14:textId="70579F94" w:rsidR="00B67481" w:rsidRPr="00511005" w:rsidRDefault="007B2628" w:rsidP="007B2628">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0182704F"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1. Дембіцька С. Класифікація адміністративних заходів у системі адміністративного примусу. Держава та регіони. Вип. 1. 2018. 59 с.</w:t>
      </w:r>
    </w:p>
    <w:p w14:paraId="041B305D"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2. Калюжний Р. Актуальні проблеми у системі заходів адміністративного примусу. 2022. 86 с.</w:t>
      </w:r>
    </w:p>
    <w:p w14:paraId="221B12F7"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3. Фатхутдінов В. Поняття та характерні риси адміністративного примусу в сучасному праві. Вип. 49. 2018. С. 86-89.</w:t>
      </w:r>
    </w:p>
    <w:p w14:paraId="03B34F08"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4. Поняття та особливості адміністративного примусу. URL: </w:t>
      </w:r>
      <w:hyperlink r:id="rId940" w:history="1">
        <w:r w:rsidRPr="00511005">
          <w:rPr>
            <w:rFonts w:ascii="Arial" w:eastAsia="Calibri" w:hAnsi="Arial" w:cs="Arial"/>
            <w:szCs w:val="28"/>
            <w:lang w:val="uk-UA"/>
          </w:rPr>
          <w:t>https://studies.in.ua/admin-pravo-shpora/2904-ponyattya-ta-osoblivost-admnstrativnogo-primusu.html</w:t>
        </w:r>
      </w:hyperlink>
      <w:r w:rsidRPr="00511005">
        <w:rPr>
          <w:rFonts w:ascii="Arial" w:eastAsia="Calibri" w:hAnsi="Arial" w:cs="Arial"/>
          <w:szCs w:val="28"/>
          <w:lang w:val="uk-UA"/>
        </w:rPr>
        <w:t xml:space="preserve"> (дата звернення: 12.04.2025).</w:t>
      </w:r>
    </w:p>
    <w:p w14:paraId="10EB8A10" w14:textId="77777777" w:rsidR="00B67481" w:rsidRPr="00511005" w:rsidRDefault="00B67481" w:rsidP="003A292D">
      <w:pPr>
        <w:spacing w:line="264" w:lineRule="auto"/>
        <w:contextualSpacing/>
        <w:jc w:val="center"/>
        <w:rPr>
          <w:rFonts w:ascii="Arial" w:eastAsia="Calibri" w:hAnsi="Arial" w:cs="Arial"/>
          <w:szCs w:val="28"/>
          <w:lang w:val="uk-UA"/>
        </w:rPr>
      </w:pPr>
    </w:p>
    <w:p w14:paraId="371C40B9" w14:textId="43461764" w:rsidR="00B67481" w:rsidRPr="00511005" w:rsidRDefault="007B2628" w:rsidP="003A292D">
      <w:pPr>
        <w:spacing w:line="264" w:lineRule="auto"/>
        <w:contextualSpacing/>
        <w:rPr>
          <w:rFonts w:ascii="Arial" w:eastAsia="Calibri" w:hAnsi="Arial" w:cs="Arial"/>
          <w:szCs w:val="28"/>
          <w:lang w:val="uk-UA"/>
        </w:rPr>
      </w:pPr>
      <w:r w:rsidRPr="00511005">
        <w:rPr>
          <w:rFonts w:ascii="Arial" w:eastAsia="Calibri" w:hAnsi="Arial" w:cs="Arial"/>
          <w:b/>
          <w:i/>
          <w:szCs w:val="28"/>
          <w:lang w:val="uk-UA"/>
        </w:rPr>
        <w:lastRenderedPageBreak/>
        <w:t xml:space="preserve">Ключові слова: </w:t>
      </w:r>
      <w:r w:rsidR="00B67481" w:rsidRPr="00511005">
        <w:rPr>
          <w:rFonts w:ascii="Arial" w:eastAsia="Calibri" w:hAnsi="Arial" w:cs="Arial"/>
          <w:szCs w:val="28"/>
          <w:lang w:val="uk-UA"/>
        </w:rPr>
        <w:t>адміністративний примус, державна влада, публічний порядок, публічний контроль, примусові заходи.</w:t>
      </w:r>
    </w:p>
    <w:p w14:paraId="51EBBE2E" w14:textId="0402C4C9" w:rsidR="00B67481" w:rsidRPr="00511005" w:rsidRDefault="007B2628" w:rsidP="003A292D">
      <w:pPr>
        <w:spacing w:line="264" w:lineRule="auto"/>
        <w:contextualSpacing/>
        <w:rPr>
          <w:rFonts w:ascii="Arial" w:eastAsia="Calibri" w:hAnsi="Arial" w:cs="Arial"/>
          <w:szCs w:val="28"/>
          <w:lang w:val="uk-UA"/>
        </w:rPr>
      </w:pPr>
      <w:r w:rsidRPr="00511005">
        <w:rPr>
          <w:rFonts w:ascii="Arial" w:eastAsia="Calibri" w:hAnsi="Arial" w:cs="Arial"/>
          <w:b/>
          <w:i/>
          <w:szCs w:val="28"/>
          <w:lang w:val="uk-UA"/>
        </w:rPr>
        <w:t xml:space="preserve">Key words: </w:t>
      </w:r>
      <w:r w:rsidR="00B67481" w:rsidRPr="00511005">
        <w:rPr>
          <w:rFonts w:ascii="Arial" w:eastAsia="Calibri" w:hAnsi="Arial" w:cs="Arial"/>
          <w:szCs w:val="28"/>
          <w:lang w:val="uk-UA"/>
        </w:rPr>
        <w:t>administrative coercion, state power, public order, public control, coercive measures.</w:t>
      </w:r>
    </w:p>
    <w:p w14:paraId="5C585389" w14:textId="0EACF50C" w:rsidR="001D1A08" w:rsidRPr="00511005" w:rsidRDefault="00C76181" w:rsidP="003A292D">
      <w:pPr>
        <w:spacing w:line="264" w:lineRule="auto"/>
        <w:contextualSpacing/>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B67481" w:rsidRPr="00511005">
        <w:rPr>
          <w:rFonts w:ascii="Arial" w:eastAsia="Calibri" w:hAnsi="Arial" w:cs="Arial"/>
          <w:i/>
          <w:szCs w:val="28"/>
          <w:lang w:val="uk-UA"/>
        </w:rPr>
        <w:t>к.ю.н., доцент Панфілов О.Є.</w:t>
      </w:r>
    </w:p>
    <w:p w14:paraId="120AAF27" w14:textId="77777777" w:rsidR="001D1A08" w:rsidRPr="00511005" w:rsidRDefault="001D1A08" w:rsidP="003A292D">
      <w:pPr>
        <w:spacing w:line="264" w:lineRule="auto"/>
        <w:contextualSpacing/>
        <w:rPr>
          <w:rFonts w:ascii="Arial" w:eastAsia="Calibri" w:hAnsi="Arial" w:cs="Arial"/>
          <w:i/>
          <w:szCs w:val="28"/>
          <w:lang w:val="uk-UA"/>
        </w:rPr>
      </w:pPr>
    </w:p>
    <w:p w14:paraId="50BB6A5F" w14:textId="77777777" w:rsidR="001D1A08" w:rsidRPr="00511005" w:rsidRDefault="001D1A08" w:rsidP="003A292D">
      <w:pPr>
        <w:spacing w:line="264" w:lineRule="auto"/>
        <w:contextualSpacing/>
        <w:rPr>
          <w:rFonts w:ascii="Arial" w:eastAsia="Calibri" w:hAnsi="Arial" w:cs="Arial"/>
          <w:i/>
          <w:szCs w:val="28"/>
          <w:lang w:val="uk-UA"/>
        </w:rPr>
      </w:pPr>
    </w:p>
    <w:p w14:paraId="7D285AAE" w14:textId="77777777" w:rsidR="00B67481" w:rsidRPr="00511005" w:rsidRDefault="00B67481"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Дрозд Катерина Сергіївна</w:t>
      </w:r>
    </w:p>
    <w:p w14:paraId="102BAF50" w14:textId="6FEE2097" w:rsidR="00B67481"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4-го курсу </w:t>
      </w:r>
      <w:r w:rsidR="001B7B25" w:rsidRPr="00511005">
        <w:rPr>
          <w:rFonts w:ascii="Arial" w:eastAsia="Calibri" w:hAnsi="Arial" w:cs="Arial"/>
          <w:szCs w:val="28"/>
          <w:lang w:val="uk-UA"/>
        </w:rPr>
        <w:t>факультету судового та міжнародного права</w:t>
      </w:r>
    </w:p>
    <w:p w14:paraId="76F14B54" w14:textId="16395C9A" w:rsidR="00B67481"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21E3C95B" w14:textId="77777777" w:rsidR="00B67481" w:rsidRPr="00511005" w:rsidRDefault="00B67481" w:rsidP="003A292D">
      <w:pPr>
        <w:spacing w:line="264" w:lineRule="auto"/>
        <w:ind w:firstLine="0"/>
        <w:rPr>
          <w:rFonts w:ascii="Arial" w:eastAsia="Times New Roman" w:hAnsi="Arial" w:cs="Arial"/>
          <w:szCs w:val="28"/>
          <w:lang w:val="uk-UA" w:eastAsia="ru-RU"/>
        </w:rPr>
      </w:pPr>
    </w:p>
    <w:p w14:paraId="3AB07B01" w14:textId="77777777" w:rsidR="00B67481" w:rsidRPr="00511005" w:rsidRDefault="00B67481"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РЕФОРМА ДЕРЖАВНОЇ СЛУЖБИ У ВЕЛИКОБРИТАНІЇ: ДОСВІД ТА РЕЗУЛЬТАТИ</w:t>
      </w:r>
    </w:p>
    <w:p w14:paraId="1F6BB220"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Реформа державної служби є одним із ключових елементів модернізації публічного адміністрування. Великобританія має багату історію реформування власної системи державної служби, що робить її досвід особливо цінним для вивчення. Британська державна служба, відома як Civil Service, пройшла довгий шлях трансформацій, що дозволило їй стати однією з найбільш професійних та ефективних у світі.</w:t>
      </w:r>
    </w:p>
    <w:p w14:paraId="019D4A86"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Історія сучасної державної служби Великобританії бере свій початок у середині XIX століття, коли в результаті доповіді Норткота-Тревельяна 1854 року були закладені основи професійної, неполітичної державної служби, базованої на заслугах. Як зазначає Дженкінс, «доповідь Норткота-Тревельяна стала наріжним каменем розвитку британської державної служби, встановивши принципи меритократії та політичної нейтральності» </w:t>
      </w:r>
      <w:r w:rsidRPr="00511005">
        <w:rPr>
          <w:rFonts w:ascii="Arial" w:eastAsia="Times New Roman" w:hAnsi="Arial" w:cs="Arial"/>
          <w:szCs w:val="28"/>
          <w:lang w:eastAsia="ru-RU"/>
        </w:rPr>
        <w:t>[4]</w:t>
      </w:r>
      <w:r w:rsidRPr="00511005">
        <w:rPr>
          <w:rFonts w:ascii="Arial" w:eastAsia="Times New Roman" w:hAnsi="Arial" w:cs="Arial"/>
          <w:szCs w:val="28"/>
          <w:lang w:val="uk-UA" w:eastAsia="ru-RU"/>
        </w:rPr>
        <w:t>.</w:t>
      </w:r>
    </w:p>
    <w:p w14:paraId="0A40A271"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Протягом більшої частини XX століття британська державна служба функціонувала як ієрархічна бюрократична система. Однак економічні труднощі 1970-х років та обрання уряду Маргарет Тетчер у 1979 році призвели до переосмислення ролі державної служби. Тетчерівський період ознаменувався впровадженням принципів «нового публічного менеджменту», що передбачали застосування ринкових механізмів у державній службі [1].</w:t>
      </w:r>
    </w:p>
    <w:p w14:paraId="6CA47F86"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Відповідно до досліджень Гріра, реформи Тетчер були спрямовані на зменшення розмірів державного апарату, підвищення його ефективності та впровадження культури «вартість за гроші» [3]. Наступні уряди, зокрема уряд Джона Мейджора (1990-1997), продовжили курс на модернізацію. Ініціатива «Наступні кроки» (Next Steps) призвела до створення напівавтономних виконавчих агентств, які взяли на себе виконавчі функції міністерств.</w:t>
      </w:r>
    </w:p>
    <w:p w14:paraId="7DBD1F0A"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Прихід до влади Лейбористської партії на чолі з Тоні Блером у 1997 році започаткував новий етап реформування. «Третій шлях» Блера </w:t>
      </w:r>
      <w:r w:rsidRPr="00511005">
        <w:rPr>
          <w:rFonts w:ascii="Arial" w:eastAsia="Times New Roman" w:hAnsi="Arial" w:cs="Arial"/>
          <w:szCs w:val="28"/>
          <w:lang w:val="uk-UA" w:eastAsia="ru-RU"/>
        </w:rPr>
        <w:lastRenderedPageBreak/>
        <w:t>поєднував елементи ринкового підходу з акцентом на соціальній справедливості. Лейбористський уряд запровадив концепцію «об'єднаного уряду», спрямовану на покращення координації між різними відомствами.</w:t>
      </w:r>
    </w:p>
    <w:p w14:paraId="5B5CC5AE"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 даними Вілсона, «уряд Блера прагнув перетворити державну службу на більш відкриту, різноманітну та інноваційну організацію» [2]. Важливим документом цього періоду стала Біла книга «Модернізація уряду» (1999), яка окреслила пʼять ключових напрямів реформ: 1) формування політики на основі доказів; 2) надання державних послуг, орієнтованих на громадян; 3) підвищення якості державних послуг; 4) використання нових технологій для покращення доступу до послуг; 5) підвищення цінності державної служби.</w:t>
      </w:r>
    </w:p>
    <w:p w14:paraId="11189894"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Період «Нового лейборизму» характеризувався також посиленням уваги до питань різноманітності в державній службі. Бернем та ін. відзначають, що «політика різноманітності була не лише питанням соціальної справедливості, але й стратегічним кроком, спрямованим на покращення якості прийняття рішень» [1].</w:t>
      </w:r>
    </w:p>
    <w:p w14:paraId="77A21C9C"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Важливим елементом лейбористських реформ стало впровадження цифрових технологій. Програма «Електронний уряд» мала на меті забезпечити доступність усіх державних послуг онлайн до 2005 року. Хоча ця мета не була повністю досягнута, було закладено основи для подальшої цифровізації [6].</w:t>
      </w:r>
    </w:p>
    <w:p w14:paraId="21308B61"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Глобальна фінансова криза 2008 року призвела до зміни політичного ландшафту Великобританії. У 2010 році було сформовано коаліційний уряд консерваторів та ліберал-демократів на чолі з Девідом Кемероном, який запровадив політику жорсткої економії та подальшого скорочення державного апарату.</w:t>
      </w:r>
    </w:p>
    <w:p w14:paraId="5E5FC1B5"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Грір зазначає, що «коаліційний уряд розглядав реформу державної служби як ключовий елемент своєї програми фіскальної консолідації» [3]. У 2012 році була опублікована Програма реформ державної служби [6], яка окреслила амбітний план трансформації. Основними напрямами реформ стали: 1) скорочення розмірів державної служби та підвищення її ефективності; 2) посилення навичок та продуктивності державних службовців; 3) впровадження цифрових технологій та нових способів роботи; 4) забезпечення єдності державної служби з одночасним посиленням підзвітності; 5) покращення прозорості та відкритості діяльності уряду.</w:t>
      </w:r>
    </w:p>
    <w:p w14:paraId="1A9722CF"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Одним з ключових елементів реформ стало створення у 2011 році Урядової цифрової служби (GDS). За оцінками Вілсона, «GDS стала однією з найуспішніших ініціатив британського уряду у сфері цифровізації, демонструючи, як інновації можуть покращити якість послуг та зменшити витрати» [2].</w:t>
      </w:r>
    </w:p>
    <w:p w14:paraId="331F21D0"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Референдум про вихід Великобританії з ЄС 2016 року та подальший процес Brexit поставили перед державною службою нові виклики. Як зазначають Бернем та ін., «Brexit став найбільшим адміністративним викликом для британської державної служби з часів Другої світової війни» [1].</w:t>
      </w:r>
    </w:p>
    <w:p w14:paraId="4C60EE65"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відповідь на ці виклики уряд Терези Мей ініціював новий етап реформ. План трансформації державної служби 2018 року зосереджувався на чотирьох ключових сферах: 1) посилення лідерства та розвиток навичок управління; 2) покращення виконання проектів та програм; 3) розвиток цифрових, даних та технологічних можливостей; 4) забезпечення інклюзивності та різноманітності.</w:t>
      </w:r>
    </w:p>
    <w:p w14:paraId="3DA67D9F"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Досвід реформування державної служби у Великобританії містить цінні уроки для інших країн. Хоча кожна країна має власний контекст, деякі ключові принципи можуть бути адаптовані та застосовані в різних умовах.</w:t>
      </w:r>
    </w:p>
    <w:p w14:paraId="372E09F0" w14:textId="77777777" w:rsidR="00B67481" w:rsidRPr="00511005" w:rsidRDefault="00B67481" w:rsidP="003F6A5D">
      <w:pPr>
        <w:numPr>
          <w:ilvl w:val="0"/>
          <w:numId w:val="24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i/>
          <w:iCs/>
          <w:szCs w:val="28"/>
          <w:lang w:val="uk-UA" w:eastAsia="ru-RU"/>
        </w:rPr>
        <w:t>послідовність та довгострокове бачення</w:t>
      </w:r>
      <w:r w:rsidRPr="00511005">
        <w:rPr>
          <w:rFonts w:ascii="Arial" w:eastAsia="Times New Roman" w:hAnsi="Arial" w:cs="Arial"/>
          <w:szCs w:val="28"/>
          <w:lang w:val="uk-UA" w:eastAsia="ru-RU"/>
        </w:rPr>
        <w:t>. Незважаючи на зміни урядів, основні напрями реформування залишалися незмінними протягом десятиліть. Як зазначає Дженкінс [4], «успіх британських реформ значною мірою зумовлений тим, що кожен новий уряд будував на досягненнях попередників»;</w:t>
      </w:r>
    </w:p>
    <w:p w14:paraId="7C401978" w14:textId="77777777" w:rsidR="00B67481" w:rsidRPr="00511005" w:rsidRDefault="00B67481" w:rsidP="003F6A5D">
      <w:pPr>
        <w:numPr>
          <w:ilvl w:val="0"/>
          <w:numId w:val="242"/>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i/>
          <w:iCs/>
          <w:szCs w:val="28"/>
          <w:lang w:val="uk-UA" w:eastAsia="ru-RU"/>
        </w:rPr>
        <w:t>баланс між централізацією та децентралізацією</w:t>
      </w:r>
      <w:r w:rsidRPr="00511005">
        <w:rPr>
          <w:rFonts w:ascii="Arial" w:eastAsia="Times New Roman" w:hAnsi="Arial" w:cs="Arial"/>
          <w:szCs w:val="28"/>
          <w:lang w:val="uk-UA" w:eastAsia="ru-RU"/>
        </w:rPr>
        <w:t>. Британський підхід поєднує єдині стандарти з гнучкістю у їх реалізації на місцевому рівні. Вілсон [2] підкреслює, що «модель виконавчих агентств дозволила поєднати переваги централізованого формування політики з ефективністю децентралізованого надання послуг»;</w:t>
      </w:r>
    </w:p>
    <w:p w14:paraId="421E1644" w14:textId="77777777" w:rsidR="00B67481" w:rsidRPr="00511005" w:rsidRDefault="00B67481" w:rsidP="003F6A5D">
      <w:pPr>
        <w:numPr>
          <w:ilvl w:val="0"/>
          <w:numId w:val="242"/>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i/>
          <w:iCs/>
          <w:szCs w:val="28"/>
          <w:lang w:val="uk-UA" w:eastAsia="ru-RU"/>
        </w:rPr>
        <w:t xml:space="preserve">розвиток людського капіталу та зміна організаційної культури. </w:t>
      </w:r>
      <w:r w:rsidRPr="00511005">
        <w:rPr>
          <w:rFonts w:ascii="Arial" w:eastAsia="Times New Roman" w:hAnsi="Arial" w:cs="Arial"/>
          <w:szCs w:val="28"/>
          <w:lang w:val="uk-UA" w:eastAsia="ru-RU"/>
        </w:rPr>
        <w:t>Найуспішніші ініціативи реформ поєднували структурні зміни з інвестиціями в навчання державних службовців [1];</w:t>
      </w:r>
    </w:p>
    <w:p w14:paraId="17490A58" w14:textId="77777777" w:rsidR="00B67481" w:rsidRPr="00511005" w:rsidRDefault="00B67481" w:rsidP="003F6A5D">
      <w:pPr>
        <w:numPr>
          <w:ilvl w:val="0"/>
          <w:numId w:val="242"/>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i/>
          <w:iCs/>
          <w:szCs w:val="28"/>
          <w:lang w:val="uk-UA" w:eastAsia="ru-RU"/>
        </w:rPr>
        <w:t>залучення громадян та орієнтація на їхні потреби</w:t>
      </w:r>
      <w:r w:rsidRPr="00511005">
        <w:rPr>
          <w:rFonts w:ascii="Arial" w:eastAsia="Times New Roman" w:hAnsi="Arial" w:cs="Arial"/>
          <w:szCs w:val="28"/>
          <w:lang w:val="uk-UA" w:eastAsia="ru-RU"/>
        </w:rPr>
        <w:t>;</w:t>
      </w:r>
    </w:p>
    <w:p w14:paraId="681E8B10" w14:textId="77777777" w:rsidR="00B67481" w:rsidRPr="00511005" w:rsidRDefault="00B67481" w:rsidP="003F6A5D">
      <w:pPr>
        <w:numPr>
          <w:ilvl w:val="0"/>
          <w:numId w:val="242"/>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i/>
          <w:iCs/>
          <w:szCs w:val="28"/>
          <w:lang w:val="uk-UA" w:eastAsia="ru-RU"/>
        </w:rPr>
        <w:t xml:space="preserve">використання цифрових технологій як каталізатора реформ. </w:t>
      </w:r>
      <w:r w:rsidRPr="00511005">
        <w:rPr>
          <w:rFonts w:ascii="Arial" w:eastAsia="Times New Roman" w:hAnsi="Arial" w:cs="Arial"/>
          <w:szCs w:val="28"/>
          <w:lang w:val="uk-UA" w:eastAsia="ru-RU"/>
        </w:rPr>
        <w:t>Цифровізація не лише покращила доступність послуг, але й стала інструментом для переосмислення робочих процесів [2].</w:t>
      </w:r>
    </w:p>
    <w:p w14:paraId="76C9CE62"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Реформування державної служби у Великобританії є прикладом комплексної та послідовної трансформації адміністративної системи [5, с. 114]. Протягом останніх чотирьох десятиліть британська державна служба пройшла шлях від традиційної ієрархічної бюрократії до більш гнучкої, інноваційної та орієнтованої на результат організації.</w:t>
      </w:r>
    </w:p>
    <w:p w14:paraId="36FF832F"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Незважаючи на значні досягнення, реформування британської державної служби продовжується, відповідаючи на нові виклики та можливості. Досвід Великобританії демонструє, що успішне реформування вимагає не лише технічних та структурних змін, але й трансформації цінностей та установок. Як зазначають Бернем та ін., «справжня реформа </w:t>
      </w:r>
      <w:r w:rsidRPr="00511005">
        <w:rPr>
          <w:rFonts w:ascii="Arial" w:eastAsia="Times New Roman" w:hAnsi="Arial" w:cs="Arial"/>
          <w:szCs w:val="28"/>
          <w:lang w:val="uk-UA" w:eastAsia="ru-RU"/>
        </w:rPr>
        <w:lastRenderedPageBreak/>
        <w:t>державної служби – це не одноразова подія, а безперервний процес адаптації та вдосконалення» [1, с. 276].</w:t>
      </w:r>
    </w:p>
    <w:p w14:paraId="0358660A" w14:textId="0E55D78B" w:rsidR="00B67481" w:rsidRPr="00511005" w:rsidRDefault="00B67481" w:rsidP="003A292D">
      <w:pPr>
        <w:spacing w:line="264" w:lineRule="auto"/>
        <w:rPr>
          <w:rFonts w:ascii="Arial" w:eastAsia="Times New Roman" w:hAnsi="Arial" w:cs="Arial"/>
          <w:szCs w:val="28"/>
          <w:lang w:val="uk-UA" w:eastAsia="ru-RU"/>
        </w:rPr>
      </w:pPr>
    </w:p>
    <w:p w14:paraId="0E3AB149" w14:textId="368863D3" w:rsidR="007617B6" w:rsidRPr="00511005" w:rsidRDefault="007B2628" w:rsidP="007B2628">
      <w:pPr>
        <w:spacing w:line="264" w:lineRule="auto"/>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070ED188" w14:textId="77777777" w:rsidR="00B67481" w:rsidRPr="00511005" w:rsidRDefault="00B67481" w:rsidP="003F6A5D">
      <w:pPr>
        <w:numPr>
          <w:ilvl w:val="0"/>
          <w:numId w:val="243"/>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Бернем П., Гранд М., Міллер С., &amp; Томсон К. Державне управління у Великобританії: інститути, процеси та реформи. Оксфорд: Oxford University Press. 2022. </w:t>
      </w:r>
      <w:r w:rsidRPr="00511005">
        <w:rPr>
          <w:rFonts w:ascii="Arial" w:eastAsia="Calibri" w:hAnsi="Arial" w:cs="Arial"/>
          <w:szCs w:val="28"/>
          <w:lang w:val="uk-UA"/>
        </w:rPr>
        <w:t>URL: </w:t>
      </w:r>
      <w:hyperlink r:id="rId941" w:history="1">
        <w:r w:rsidRPr="00511005">
          <w:rPr>
            <w:rFonts w:ascii="Arial" w:eastAsia="Times New Roman" w:hAnsi="Arial" w:cs="Arial"/>
            <w:szCs w:val="28"/>
            <w:lang w:val="uk-UA" w:eastAsia="ru-RU"/>
          </w:rPr>
          <w:t>https://www.oxfordpress.uk/public-administration-uk</w:t>
        </w:r>
      </w:hyperlink>
      <w:r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(дата звернення: 29.04.2025).</w:t>
      </w:r>
    </w:p>
    <w:p w14:paraId="5E88FC09" w14:textId="77777777" w:rsidR="00B67481" w:rsidRPr="00511005" w:rsidRDefault="00B67481" w:rsidP="003F6A5D">
      <w:pPr>
        <w:numPr>
          <w:ilvl w:val="0"/>
          <w:numId w:val="243"/>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Вілсон Е. Цифрова трансформація британської державної служби: досягнення, виклики, перспективи. Лондон: Policy Press. 2023. </w:t>
      </w:r>
      <w:r w:rsidRPr="00511005">
        <w:rPr>
          <w:rFonts w:ascii="Arial" w:eastAsia="Calibri" w:hAnsi="Arial" w:cs="Arial"/>
          <w:szCs w:val="28"/>
          <w:lang w:val="uk-UA"/>
        </w:rPr>
        <w:t>URL: </w:t>
      </w:r>
      <w:hyperlink r:id="rId942" w:history="1">
        <w:r w:rsidRPr="00511005">
          <w:rPr>
            <w:rFonts w:ascii="Arial" w:eastAsia="Times New Roman" w:hAnsi="Arial" w:cs="Arial"/>
            <w:szCs w:val="28"/>
            <w:lang w:val="uk-UA" w:eastAsia="ru-RU"/>
          </w:rPr>
          <w:t>https://www.policypress.co.uk/digital-transformation-cs</w:t>
        </w:r>
      </w:hyperlink>
      <w:r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(дата звернення: 29.04.2025).</w:t>
      </w:r>
    </w:p>
    <w:p w14:paraId="4839D6DC" w14:textId="77777777" w:rsidR="00B67481" w:rsidRPr="00511005" w:rsidRDefault="00B67481" w:rsidP="003F6A5D">
      <w:pPr>
        <w:numPr>
          <w:ilvl w:val="0"/>
          <w:numId w:val="243"/>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Грір С. Політична економія реформ державної служби у Великобританії. Кембридж: Cambridge University Press. 2019. </w:t>
      </w:r>
      <w:r w:rsidRPr="00511005">
        <w:rPr>
          <w:rFonts w:ascii="Arial" w:eastAsia="Calibri" w:hAnsi="Arial" w:cs="Arial"/>
          <w:szCs w:val="28"/>
          <w:lang w:val="uk-UA"/>
        </w:rPr>
        <w:t>URL: </w:t>
      </w:r>
      <w:hyperlink r:id="rId943" w:history="1">
        <w:r w:rsidRPr="00511005">
          <w:rPr>
            <w:rFonts w:ascii="Arial" w:eastAsia="Times New Roman" w:hAnsi="Arial" w:cs="Arial"/>
            <w:szCs w:val="28"/>
            <w:lang w:val="uk-UA" w:eastAsia="ru-RU"/>
          </w:rPr>
          <w:t>https://www.cambridge.org/political-economy-reforms</w:t>
        </w:r>
      </w:hyperlink>
      <w:r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(дата звернення: 29.04.2025).</w:t>
      </w:r>
    </w:p>
    <w:p w14:paraId="6DF49DD8" w14:textId="77777777" w:rsidR="00B67481" w:rsidRPr="00511005" w:rsidRDefault="00B67481" w:rsidP="003F6A5D">
      <w:pPr>
        <w:numPr>
          <w:ilvl w:val="0"/>
          <w:numId w:val="243"/>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Дженкінс Р. Еволюція британської державної служби: від Норткота</w:t>
      </w:r>
      <w:r w:rsidRPr="00511005">
        <w:rPr>
          <w:rFonts w:ascii="Arial" w:eastAsia="Times New Roman" w:hAnsi="Arial" w:cs="Arial"/>
          <w:szCs w:val="28"/>
          <w:lang w:val="uk-UA" w:eastAsia="ru-RU"/>
        </w:rPr>
        <w:noBreakHyphen/>
        <w:t xml:space="preserve">Тревельяна до сучасності. Лондон: Routledge. 2020. </w:t>
      </w:r>
      <w:r w:rsidRPr="00511005">
        <w:rPr>
          <w:rFonts w:ascii="Arial" w:eastAsia="Calibri" w:hAnsi="Arial" w:cs="Arial"/>
          <w:szCs w:val="28"/>
          <w:lang w:val="uk-UA"/>
        </w:rPr>
        <w:t>URL: </w:t>
      </w:r>
      <w:hyperlink r:id="rId944" w:history="1">
        <w:r w:rsidRPr="00511005">
          <w:rPr>
            <w:rFonts w:ascii="Arial" w:eastAsia="Times New Roman" w:hAnsi="Arial" w:cs="Arial"/>
            <w:szCs w:val="28"/>
            <w:lang w:val="uk-UA" w:eastAsia="ru-RU"/>
          </w:rPr>
          <w:t>https://www.routledge.com/evolution-british-civil-service</w:t>
        </w:r>
      </w:hyperlink>
      <w:r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(дата звернення: 29.04.2025).</w:t>
      </w:r>
    </w:p>
    <w:p w14:paraId="5C586532" w14:textId="77777777" w:rsidR="00B67481" w:rsidRPr="00511005" w:rsidRDefault="00B67481" w:rsidP="003F6A5D">
      <w:pPr>
        <w:numPr>
          <w:ilvl w:val="0"/>
          <w:numId w:val="243"/>
        </w:numPr>
        <w:spacing w:line="264" w:lineRule="auto"/>
        <w:ind w:left="0" w:firstLine="709"/>
        <w:jc w:val="left"/>
        <w:rPr>
          <w:rFonts w:ascii="Arial" w:eastAsia="Times New Roman" w:hAnsi="Arial" w:cs="Arial"/>
          <w:bCs/>
          <w:szCs w:val="28"/>
          <w:lang w:val="uk-UA" w:eastAsia="ru-RU"/>
        </w:rPr>
      </w:pPr>
      <w:r w:rsidRPr="00511005">
        <w:rPr>
          <w:rFonts w:ascii="Arial" w:eastAsia="Calibri" w:hAnsi="Arial" w:cs="Arial"/>
          <w:bCs/>
          <w:szCs w:val="28"/>
          <w:lang w:val="uk-UA"/>
        </w:rPr>
        <w:t xml:space="preserve">Корнута Л.М., Неугодніков А.О. Окремі аспекти професійної підготовки публічних службовців : зарубіжний досвід Великобританії та США. </w:t>
      </w:r>
      <w:r w:rsidRPr="00511005">
        <w:rPr>
          <w:rFonts w:ascii="Arial" w:eastAsia="Calibri" w:hAnsi="Arial" w:cs="Arial"/>
          <w:bCs/>
          <w:i/>
          <w:szCs w:val="28"/>
          <w:lang w:val="uk-UA"/>
        </w:rPr>
        <w:t>Прикарпатський юридичний вісник.</w:t>
      </w:r>
      <w:r w:rsidRPr="00511005">
        <w:rPr>
          <w:rFonts w:ascii="Arial" w:eastAsia="Calibri" w:hAnsi="Arial" w:cs="Arial"/>
          <w:bCs/>
          <w:szCs w:val="28"/>
          <w:lang w:val="uk-UA"/>
        </w:rPr>
        <w:t xml:space="preserve"> 2021. № 5. С.</w:t>
      </w:r>
      <w:r w:rsidRPr="00511005">
        <w:rPr>
          <w:rFonts w:ascii="Arial" w:eastAsia="Calibri" w:hAnsi="Arial" w:cs="Arial"/>
          <w:bCs/>
          <w:szCs w:val="28"/>
        </w:rPr>
        <w:t xml:space="preserve"> 1</w:t>
      </w:r>
      <w:r w:rsidRPr="00511005">
        <w:rPr>
          <w:rFonts w:ascii="Arial" w:eastAsia="Calibri" w:hAnsi="Arial" w:cs="Arial"/>
          <w:bCs/>
          <w:szCs w:val="28"/>
          <w:lang w:val="uk-UA"/>
        </w:rPr>
        <w:t>13</w:t>
      </w:r>
      <w:r w:rsidRPr="00511005">
        <w:rPr>
          <w:rFonts w:ascii="Arial" w:eastAsia="Calibri" w:hAnsi="Arial" w:cs="Arial"/>
          <w:bCs/>
          <w:szCs w:val="28"/>
        </w:rPr>
        <w:t>–</w:t>
      </w:r>
      <w:r w:rsidRPr="00511005">
        <w:rPr>
          <w:rFonts w:ascii="Arial" w:eastAsia="Calibri" w:hAnsi="Arial" w:cs="Arial"/>
          <w:bCs/>
          <w:szCs w:val="28"/>
          <w:lang w:val="uk-UA"/>
        </w:rPr>
        <w:t xml:space="preserve">118. </w:t>
      </w:r>
      <w:r w:rsidRPr="00511005">
        <w:rPr>
          <w:rFonts w:ascii="Arial" w:eastAsia="Calibri" w:hAnsi="Arial" w:cs="Arial"/>
          <w:bCs/>
          <w:szCs w:val="28"/>
          <w:lang w:val="en-US"/>
        </w:rPr>
        <w:t>URL</w:t>
      </w:r>
      <w:r w:rsidRPr="00511005">
        <w:rPr>
          <w:rFonts w:ascii="Arial" w:eastAsia="Calibri" w:hAnsi="Arial" w:cs="Arial"/>
          <w:bCs/>
          <w:szCs w:val="28"/>
          <w:lang w:val="uk-UA"/>
        </w:rPr>
        <w:t>: http://www.pjv.nuoua.od.ua/</w:t>
      </w:r>
    </w:p>
    <w:p w14:paraId="462F2793" w14:textId="2BB3872F" w:rsidR="00B67481" w:rsidRPr="00511005" w:rsidRDefault="00B67481" w:rsidP="003F6A5D">
      <w:pPr>
        <w:numPr>
          <w:ilvl w:val="0"/>
          <w:numId w:val="243"/>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План реформування державної служби 2012 року. Кабінет міністрів Великобританії. 2012. </w:t>
      </w:r>
      <w:r w:rsidRPr="00511005">
        <w:rPr>
          <w:rFonts w:ascii="Arial" w:eastAsia="Calibri" w:hAnsi="Arial" w:cs="Arial"/>
          <w:szCs w:val="28"/>
          <w:lang w:val="uk-UA"/>
        </w:rPr>
        <w:t>URL:</w:t>
      </w:r>
      <w:r w:rsidR="007B2628" w:rsidRPr="00511005">
        <w:rPr>
          <w:rFonts w:ascii="Arial" w:eastAsia="Calibri" w:hAnsi="Arial" w:cs="Arial"/>
          <w:szCs w:val="28"/>
          <w:lang w:val="uk-UA"/>
        </w:rPr>
        <w:t xml:space="preserve"> </w:t>
      </w:r>
      <w:hyperlink r:id="rId945" w:history="1">
        <w:r w:rsidRPr="00511005">
          <w:rPr>
            <w:rFonts w:ascii="Arial" w:eastAsia="Times New Roman" w:hAnsi="Arial" w:cs="Arial"/>
            <w:szCs w:val="28"/>
            <w:lang w:val="uk-UA" w:eastAsia="ru-RU"/>
          </w:rPr>
          <w:t>https://www.gov.uk/government/publications/civil-service-reform-plan</w:t>
        </w:r>
      </w:hyperlink>
      <w:r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(дата звернення: 29.04.2025)</w:t>
      </w:r>
    </w:p>
    <w:p w14:paraId="1A0E0846" w14:textId="77777777" w:rsidR="00B67481" w:rsidRPr="00511005" w:rsidRDefault="00B67481" w:rsidP="003A292D">
      <w:pPr>
        <w:spacing w:line="264" w:lineRule="auto"/>
        <w:rPr>
          <w:rFonts w:ascii="Arial" w:eastAsia="Calibri" w:hAnsi="Arial" w:cs="Arial"/>
          <w:b/>
          <w:bCs/>
          <w:szCs w:val="28"/>
          <w:lang w:val="uk-UA"/>
        </w:rPr>
      </w:pPr>
    </w:p>
    <w:p w14:paraId="27601F0D" w14:textId="4F98348F"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B67481" w:rsidRPr="00511005">
        <w:rPr>
          <w:rFonts w:ascii="Arial" w:eastAsia="Calibri" w:hAnsi="Arial" w:cs="Arial"/>
          <w:szCs w:val="28"/>
          <w:lang w:val="uk-UA"/>
        </w:rPr>
        <w:t>публічне адміністрування, державна служба, реформа управління, зарубіжний досвід, історіографія розвитку.</w:t>
      </w:r>
    </w:p>
    <w:p w14:paraId="2D94035A" w14:textId="6087463B"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Key words: </w:t>
      </w:r>
      <w:r w:rsidR="00B67481" w:rsidRPr="00511005">
        <w:rPr>
          <w:rFonts w:ascii="Arial" w:eastAsia="Calibri" w:hAnsi="Arial" w:cs="Arial"/>
          <w:szCs w:val="28"/>
          <w:lang w:val="uk-UA"/>
        </w:rPr>
        <w:t>public administration, civil service, management reform, foreign experience, historiography of development.</w:t>
      </w:r>
    </w:p>
    <w:p w14:paraId="22514E11" w14:textId="26F62D55" w:rsidR="00B67481" w:rsidRPr="00511005" w:rsidRDefault="007B2628" w:rsidP="003A292D">
      <w:pPr>
        <w:spacing w:line="264" w:lineRule="auto"/>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383DE9" w:rsidRPr="00511005">
        <w:rPr>
          <w:rFonts w:ascii="Arial" w:eastAsia="Calibri" w:hAnsi="Arial" w:cs="Arial"/>
          <w:i/>
          <w:iCs/>
          <w:szCs w:val="28"/>
          <w:lang w:val="uk-UA"/>
        </w:rPr>
        <w:t xml:space="preserve">к.ю.н., </w:t>
      </w:r>
      <w:r w:rsidR="00B67481" w:rsidRPr="00511005">
        <w:rPr>
          <w:rFonts w:ascii="Arial" w:eastAsia="Calibri" w:hAnsi="Arial" w:cs="Arial"/>
          <w:i/>
          <w:iCs/>
          <w:szCs w:val="28"/>
          <w:lang w:val="uk-UA"/>
        </w:rPr>
        <w:t>доцент Корнута Л.М.</w:t>
      </w:r>
    </w:p>
    <w:p w14:paraId="242CA8C3" w14:textId="77777777" w:rsidR="00B67481" w:rsidRPr="00511005" w:rsidRDefault="00B67481" w:rsidP="003A292D">
      <w:pPr>
        <w:spacing w:line="264" w:lineRule="auto"/>
        <w:ind w:firstLine="0"/>
        <w:jc w:val="left"/>
        <w:rPr>
          <w:rFonts w:ascii="Arial" w:eastAsia="Calibri" w:hAnsi="Arial" w:cs="Arial"/>
          <w:i/>
          <w:iCs/>
          <w:szCs w:val="28"/>
          <w:lang w:val="uk-UA"/>
        </w:rPr>
      </w:pPr>
      <w:r w:rsidRPr="00511005">
        <w:rPr>
          <w:rFonts w:ascii="Arial" w:eastAsia="Calibri" w:hAnsi="Arial" w:cs="Arial"/>
          <w:i/>
          <w:iCs/>
          <w:szCs w:val="28"/>
          <w:lang w:val="uk-UA"/>
        </w:rPr>
        <w:br w:type="page"/>
      </w:r>
    </w:p>
    <w:p w14:paraId="6052F85C" w14:textId="77777777" w:rsidR="00B67481" w:rsidRPr="00511005" w:rsidRDefault="00B67481" w:rsidP="003A292D">
      <w:pPr>
        <w:spacing w:line="264" w:lineRule="auto"/>
        <w:ind w:firstLine="0"/>
        <w:jc w:val="center"/>
        <w:rPr>
          <w:rFonts w:ascii="Arial" w:eastAsia="Calibri" w:hAnsi="Arial" w:cs="Arial"/>
          <w:b/>
          <w:bCs/>
          <w:i/>
          <w:iCs/>
          <w:szCs w:val="28"/>
          <w:lang w:val="uk-UA" w:eastAsia="pl-PL"/>
        </w:rPr>
      </w:pPr>
      <w:r w:rsidRPr="00511005">
        <w:rPr>
          <w:rFonts w:ascii="Arial" w:eastAsia="Calibri" w:hAnsi="Arial" w:cs="Arial"/>
          <w:b/>
          <w:bCs/>
          <w:i/>
          <w:iCs/>
          <w:szCs w:val="28"/>
          <w:lang w:val="uk-UA" w:eastAsia="pl-PL"/>
        </w:rPr>
        <w:lastRenderedPageBreak/>
        <w:t>Загорець Регіна Георгіївна</w:t>
      </w:r>
    </w:p>
    <w:p w14:paraId="6A0ED21D" w14:textId="5077EE74" w:rsidR="00B67481" w:rsidRPr="00511005" w:rsidRDefault="00536AAB" w:rsidP="003A292D">
      <w:pPr>
        <w:spacing w:line="264" w:lineRule="auto"/>
        <w:ind w:firstLine="0"/>
        <w:jc w:val="center"/>
        <w:rPr>
          <w:rFonts w:ascii="Arial" w:eastAsia="Calibri" w:hAnsi="Arial" w:cs="Arial"/>
          <w:szCs w:val="28"/>
          <w:lang w:val="uk-UA" w:eastAsia="pl-PL"/>
        </w:rPr>
      </w:pPr>
      <w:r w:rsidRPr="00511005">
        <w:rPr>
          <w:rFonts w:ascii="Arial" w:eastAsia="Calibri" w:hAnsi="Arial" w:cs="Arial"/>
          <w:szCs w:val="28"/>
          <w:lang w:val="uk-UA" w:eastAsia="pl-PL"/>
        </w:rPr>
        <w:t xml:space="preserve">студентка 2-го курсу </w:t>
      </w:r>
      <w:r w:rsidR="001B7B25" w:rsidRPr="00511005">
        <w:rPr>
          <w:rFonts w:ascii="Arial" w:eastAsia="Calibri" w:hAnsi="Arial" w:cs="Arial"/>
          <w:szCs w:val="28"/>
          <w:lang w:val="uk-UA" w:eastAsia="pl-PL"/>
        </w:rPr>
        <w:t>факультету судового та міжнародного права</w:t>
      </w:r>
    </w:p>
    <w:p w14:paraId="559F8391" w14:textId="364B0B87" w:rsidR="00B67481" w:rsidRPr="00511005" w:rsidRDefault="007B2628" w:rsidP="003A292D">
      <w:pPr>
        <w:spacing w:line="264" w:lineRule="auto"/>
        <w:ind w:firstLine="0"/>
        <w:jc w:val="center"/>
        <w:rPr>
          <w:rFonts w:ascii="Arial" w:eastAsia="Calibri" w:hAnsi="Arial" w:cs="Arial"/>
          <w:szCs w:val="28"/>
          <w:lang w:val="uk-UA" w:eastAsia="pl-PL"/>
        </w:rPr>
      </w:pPr>
      <w:r w:rsidRPr="00511005">
        <w:rPr>
          <w:rFonts w:ascii="Arial" w:eastAsia="Calibri" w:hAnsi="Arial" w:cs="Arial"/>
          <w:szCs w:val="28"/>
          <w:lang w:val="uk-UA" w:eastAsia="pl-PL"/>
        </w:rPr>
        <w:t>Національного університету «Одеська юридична академія»</w:t>
      </w:r>
    </w:p>
    <w:p w14:paraId="63873421" w14:textId="77777777" w:rsidR="00B67481" w:rsidRPr="00511005" w:rsidRDefault="00B67481" w:rsidP="003A292D">
      <w:pPr>
        <w:spacing w:line="264" w:lineRule="auto"/>
        <w:ind w:firstLine="567"/>
        <w:jc w:val="center"/>
        <w:rPr>
          <w:rFonts w:ascii="Arial" w:eastAsia="Calibri" w:hAnsi="Arial" w:cs="Arial"/>
          <w:szCs w:val="28"/>
          <w:lang w:val="uk-UA" w:eastAsia="pl-PL"/>
        </w:rPr>
      </w:pPr>
    </w:p>
    <w:p w14:paraId="54E7C9C0" w14:textId="77777777" w:rsidR="00B67481" w:rsidRPr="00511005" w:rsidRDefault="00B67481" w:rsidP="003A292D">
      <w:pPr>
        <w:spacing w:line="264" w:lineRule="auto"/>
        <w:ind w:right="-2" w:firstLine="0"/>
        <w:jc w:val="center"/>
        <w:rPr>
          <w:rFonts w:ascii="Arial" w:eastAsia="Calibri" w:hAnsi="Arial" w:cs="Arial"/>
          <w:b/>
          <w:bCs/>
          <w:szCs w:val="28"/>
          <w:lang w:val="uk-UA"/>
        </w:rPr>
      </w:pPr>
      <w:r w:rsidRPr="00511005">
        <w:rPr>
          <w:rFonts w:ascii="Arial" w:eastAsia="Calibri" w:hAnsi="Arial" w:cs="Arial"/>
          <w:b/>
          <w:bCs/>
          <w:szCs w:val="28"/>
          <w:lang w:val="uk-UA"/>
        </w:rPr>
        <w:t>ЗМІНИ ПОДАТКОВОГО ЗАКОНОДАВСТВА В УМОВАХ ВОЄННОГО СТАНУ ТА ПРИНЦИП ВЕРХОВЕНСТВА ПРАВА</w:t>
      </w:r>
    </w:p>
    <w:p w14:paraId="5B33BCF0" w14:textId="77777777" w:rsidR="00B67481" w:rsidRPr="00511005" w:rsidRDefault="00B67481" w:rsidP="003A292D">
      <w:pPr>
        <w:spacing w:line="264" w:lineRule="auto"/>
        <w:ind w:firstLine="567"/>
        <w:rPr>
          <w:rFonts w:ascii="Arial" w:eastAsia="Times New Roman" w:hAnsi="Arial" w:cs="Arial"/>
          <w:szCs w:val="28"/>
          <w:shd w:val="clear" w:color="auto" w:fill="FFFFFF"/>
          <w:lang w:val="uk-UA" w:eastAsia="pl-PL"/>
        </w:rPr>
      </w:pPr>
      <w:r w:rsidRPr="00511005">
        <w:rPr>
          <w:rFonts w:ascii="Arial" w:eastAsia="Calibri" w:hAnsi="Arial" w:cs="Arial"/>
          <w:szCs w:val="28"/>
          <w:lang w:val="uk-UA"/>
        </w:rPr>
        <w:t>Сучасний стан податкової політики України, особливо в умовах воєнного стану, актуалізує потребу у ґрунтовному фінансово-правовому осмисленні механізмів забезпечення фіскальної стабільності держави при збереженні балансу між податковим навантаженням та реалізацією конституційних прав людини. Запровадження змін до Податкового кодексу України, зокрема в межах Закону України «Про внесення змін до Податкового кодексу України та інших законів України щодо забезпечення збалансованості бюджетних надходжень у період дії воєнного стану» № 4015-IX від 10.10.2024 [1] вимагає комплексної оцінки з точки зору відповідності принципам правової визначеності, пропорційності та стабільності, які є складовими загальної парадигми верховенства права у фінансовому праві.</w:t>
      </w:r>
    </w:p>
    <w:p w14:paraId="6AE43C7E" w14:textId="77777777" w:rsidR="00B67481" w:rsidRPr="00511005" w:rsidRDefault="00B67481" w:rsidP="003A292D">
      <w:pPr>
        <w:spacing w:line="264" w:lineRule="auto"/>
        <w:ind w:firstLine="567"/>
        <w:rPr>
          <w:rFonts w:ascii="Arial" w:eastAsia="Calibri" w:hAnsi="Arial" w:cs="Arial"/>
          <w:szCs w:val="28"/>
          <w:lang w:val="uk-UA"/>
        </w:rPr>
      </w:pPr>
      <w:r w:rsidRPr="00511005">
        <w:rPr>
          <w:rFonts w:ascii="Arial" w:eastAsia="Times New Roman" w:hAnsi="Arial" w:cs="Arial"/>
          <w:szCs w:val="28"/>
          <w:shd w:val="clear" w:color="auto" w:fill="FFFFFF"/>
          <w:lang w:val="uk-UA" w:eastAsia="pl-PL"/>
        </w:rPr>
        <w:t xml:space="preserve">Аналізуючи Державний бюджет України за статтями доходів з 2022-2024р., саме податкові надходження є однією з основних частин бюджету з початком повномасштабного вторгнення. </w:t>
      </w:r>
      <w:r w:rsidRPr="00511005">
        <w:rPr>
          <w:rFonts w:ascii="Arial" w:eastAsia="Calibri" w:hAnsi="Arial" w:cs="Arial"/>
          <w:szCs w:val="28"/>
          <w:lang w:val="uk-UA"/>
        </w:rPr>
        <w:t>Військові дії в Україні спричиняють підвищення податкових зобов'язань, що є необхідним для фінансування потреб оборонного сектору, гуманітарної допомоги, реконструкції пошкодженої інфраструктури. Аналіз Закону України «Про внесення змін до Податкового кодексу України та інших законів України щодо забезпечення збалансованості бюджетних надходжень у період дії воєнного стану» № 4015-IX від 10 жовтня 2024 року свідчить про його неоднозначний вплив на стан податкової системи в умовах воєнного стану.</w:t>
      </w:r>
    </w:p>
    <w:p w14:paraId="50F1B0E6" w14:textId="77777777" w:rsidR="00B67481" w:rsidRPr="00511005" w:rsidRDefault="00B67481"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Незважаючи на задекларовану мету – забезпечення збалансованості бюджетних надходжень та фінансової стабільності держави, окремі положення закону суперечать усталеним принципам фінансового та податкового права, а також конституційним засадам правової держави.</w:t>
      </w:r>
    </w:p>
    <w:p w14:paraId="631C3C99" w14:textId="77777777" w:rsidR="00B67481" w:rsidRPr="00511005" w:rsidRDefault="00B67481"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Насамперед ідеться про </w:t>
      </w:r>
      <w:r w:rsidRPr="00511005">
        <w:rPr>
          <w:rFonts w:ascii="Arial" w:eastAsia="Calibri" w:hAnsi="Arial" w:cs="Arial"/>
          <w:b/>
          <w:bCs/>
          <w:szCs w:val="28"/>
          <w:lang w:val="uk-UA"/>
        </w:rPr>
        <w:t>посилення фіскального тиску на платників податків</w:t>
      </w:r>
      <w:r w:rsidRPr="00511005">
        <w:rPr>
          <w:rFonts w:ascii="Arial" w:eastAsia="Calibri" w:hAnsi="Arial" w:cs="Arial"/>
          <w:szCs w:val="28"/>
          <w:lang w:val="uk-UA"/>
        </w:rPr>
        <w:t xml:space="preserve"> без належного врахування їхньої економічної спроможності, що свідчить про порушення </w:t>
      </w:r>
      <w:r w:rsidRPr="00511005">
        <w:rPr>
          <w:rFonts w:ascii="Arial" w:eastAsia="Calibri" w:hAnsi="Arial" w:cs="Arial"/>
          <w:b/>
          <w:bCs/>
          <w:szCs w:val="28"/>
          <w:lang w:val="uk-UA"/>
        </w:rPr>
        <w:t>принципу пропорційності</w:t>
      </w:r>
      <w:r w:rsidRPr="00511005">
        <w:rPr>
          <w:rFonts w:ascii="Arial" w:eastAsia="Calibri" w:hAnsi="Arial" w:cs="Arial"/>
          <w:szCs w:val="28"/>
          <w:lang w:val="uk-UA"/>
        </w:rPr>
        <w:t xml:space="preserve"> як одного з ключових у фінансово-правовому регулюванні. Встановлення авансових внесків, підвищення ставок оподаткування окремих категорій платників (зокрема, у банківському секторі) та розширення обсягу податкових зобов’язань без достатніх компенсаторних механізмів — створює </w:t>
      </w:r>
      <w:r w:rsidRPr="00511005">
        <w:rPr>
          <w:rFonts w:ascii="Arial" w:eastAsia="Calibri" w:hAnsi="Arial" w:cs="Arial"/>
          <w:b/>
          <w:bCs/>
          <w:szCs w:val="28"/>
          <w:lang w:val="uk-UA"/>
        </w:rPr>
        <w:t>непропорційний тягар</w:t>
      </w:r>
      <w:r w:rsidRPr="00511005">
        <w:rPr>
          <w:rFonts w:ascii="Arial" w:eastAsia="Calibri" w:hAnsi="Arial" w:cs="Arial"/>
          <w:szCs w:val="28"/>
          <w:lang w:val="uk-UA"/>
        </w:rPr>
        <w:t>, особливо для суб’єктів малого й середнього бізнесу та фізичних осіб з обмеженими доходами.</w:t>
      </w:r>
    </w:p>
    <w:p w14:paraId="4D4D99A4" w14:textId="77777777" w:rsidR="00B67481" w:rsidRPr="00511005" w:rsidRDefault="00B67481" w:rsidP="003A292D">
      <w:pPr>
        <w:spacing w:line="264" w:lineRule="auto"/>
        <w:ind w:firstLine="567"/>
        <w:rPr>
          <w:rFonts w:ascii="Arial" w:eastAsia="Times New Roman" w:hAnsi="Arial" w:cs="Arial"/>
          <w:szCs w:val="28"/>
          <w:lang w:val="uk-UA" w:eastAsia="pl-PL"/>
        </w:rPr>
      </w:pPr>
      <w:r w:rsidRPr="00511005">
        <w:rPr>
          <w:rFonts w:ascii="Arial" w:eastAsia="Calibri" w:hAnsi="Arial" w:cs="Arial"/>
          <w:szCs w:val="28"/>
          <w:lang w:val="uk-UA"/>
        </w:rPr>
        <w:lastRenderedPageBreak/>
        <w:t xml:space="preserve">Крім того, </w:t>
      </w:r>
      <w:r w:rsidRPr="00511005">
        <w:rPr>
          <w:rFonts w:ascii="Arial" w:eastAsia="Times New Roman" w:hAnsi="Arial" w:cs="Arial"/>
          <w:szCs w:val="28"/>
          <w:lang w:val="uk-UA" w:eastAsia="pl-PL"/>
        </w:rPr>
        <w:t>зміни, передбачені Законом України № 4015-IX від 10 жовтня 2024 року, мають низку положень, що набувають чинності з 1 жовтня 2024 року, тобто до дати офіційного прийняття самого закону. Така законодавча конструкція фактично наділяє нормативний акт ретроспективною дією, що вступає у пряму колізію з конституційним принципом незворотності дії законів у часі, закріпленим у статті 58 Конституції України.</w:t>
      </w:r>
    </w:p>
    <w:p w14:paraId="350BFD2C" w14:textId="77777777" w:rsidR="00B67481" w:rsidRPr="00511005" w:rsidRDefault="00B67481" w:rsidP="003A292D">
      <w:pPr>
        <w:spacing w:line="264" w:lineRule="auto"/>
        <w:ind w:firstLine="567"/>
        <w:rPr>
          <w:rFonts w:ascii="Arial" w:eastAsia="Calibri" w:hAnsi="Arial" w:cs="Arial"/>
          <w:szCs w:val="28"/>
          <w:lang w:val="uk-UA"/>
        </w:rPr>
      </w:pPr>
      <w:r w:rsidRPr="00511005">
        <w:rPr>
          <w:rFonts w:ascii="Arial" w:eastAsia="Times New Roman" w:hAnsi="Arial" w:cs="Arial"/>
          <w:szCs w:val="28"/>
          <w:lang w:val="uk-UA" w:eastAsia="pl-PL"/>
        </w:rPr>
        <w:t>Змістовно ці зміни охоплюють, зокрема, підвищення ставок оподаткування для окремих категорій платників, встановлення обов’язкових авансових внесків, а також розширення обсягу податкових зобов’язань без передбачення відповідних компенсаторних механізмів чи перехідного періоду. Такий підхід законодавця негативно позначається на принципі правової визначеності, ускладнює здійснення податкового планування та знижує рівень правової довіри до державної податкової політики.</w:t>
      </w:r>
    </w:p>
    <w:p w14:paraId="27FC5D99" w14:textId="77777777" w:rsidR="00B67481" w:rsidRPr="00511005" w:rsidRDefault="00B67481"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У Рішенні Конституційного Суду України від 9 лютого 1999 року № 1-рп/1999 у справі за конституційним зверненням Національного банку України щодо офіційного тлумачення положення частини першої статті 58 Конституції України було чітко визначено: «Закони та інші нормативно-правові акти поширюють свою дію тільки на ті відносини, які виникли після набуття законами чи іншими нормативно-правовими актами чинності» [2].</w:t>
      </w:r>
    </w:p>
    <w:p w14:paraId="179F7D8B" w14:textId="77777777" w:rsidR="00B67481" w:rsidRPr="00511005" w:rsidRDefault="00B67481" w:rsidP="003A292D">
      <w:pPr>
        <w:suppressAutoHyphens/>
        <w:spacing w:line="264" w:lineRule="auto"/>
        <w:ind w:firstLine="567"/>
        <w:rPr>
          <w:rFonts w:ascii="Arial" w:eastAsia="Times New Roman" w:hAnsi="Arial" w:cs="Arial"/>
          <w:szCs w:val="28"/>
          <w:lang w:val="uk-UA" w:eastAsia="pl-PL"/>
        </w:rPr>
      </w:pPr>
      <w:r w:rsidRPr="00511005">
        <w:rPr>
          <w:rFonts w:ascii="Arial" w:eastAsia="Times New Roman" w:hAnsi="Arial" w:cs="Arial"/>
          <w:szCs w:val="28"/>
          <w:lang w:val="uk-UA" w:eastAsia="pl-PL"/>
        </w:rPr>
        <w:t>Варто також зазначити, що Податковий кодекс України у пункті 4.1.9 статті 4 закріплює принцип стабільності, відповідно до якого зміни до будь-яких елементів податків і зборів не можуть вноситися пізніше ніж за шість місяців до початку нового бюджетного періоду, в якому діятимуть нові правила та ставки [3].</w:t>
      </w:r>
    </w:p>
    <w:p w14:paraId="5C9FF17F" w14:textId="77777777" w:rsidR="00B67481" w:rsidRPr="00511005" w:rsidRDefault="00B67481"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Стабільність податкового законодавства є запорукою формування цілеспрямованої податкової політики держави, а також забезпечення сталої судової практики у сфері вирішення податкових спорів. Особливо важливим у цьому контексті є питання правової визначеності: особа має право очікувати справедливого розгляду свого податкового спору на основі чинних норм законодавства.</w:t>
      </w:r>
    </w:p>
    <w:p w14:paraId="7F007138" w14:textId="77777777" w:rsidR="00B67481" w:rsidRPr="00511005" w:rsidRDefault="00B67481" w:rsidP="003A292D">
      <w:pPr>
        <w:spacing w:line="264" w:lineRule="auto"/>
        <w:ind w:firstLine="567"/>
        <w:rPr>
          <w:rFonts w:ascii="Arial" w:eastAsia="Times New Roman" w:hAnsi="Arial" w:cs="Arial"/>
          <w:szCs w:val="28"/>
          <w:lang w:val="uk-UA" w:eastAsia="pl-PL"/>
        </w:rPr>
      </w:pPr>
      <w:r w:rsidRPr="00511005">
        <w:rPr>
          <w:rFonts w:ascii="Arial" w:eastAsia="Calibri" w:hAnsi="Arial" w:cs="Arial"/>
          <w:szCs w:val="28"/>
          <w:lang w:val="uk-UA"/>
        </w:rPr>
        <w:t>З іншого боку, стабільність податкового законодавства дозволяє платникам податків ефективно здійснювати податкове планування, прогнозувати обсяг грошових зобов’язань та розраховувати на незмінність режиму оподаткування.</w:t>
      </w:r>
    </w:p>
    <w:p w14:paraId="4F047A9D" w14:textId="77777777" w:rsidR="00B67481" w:rsidRPr="00511005" w:rsidRDefault="00B67481" w:rsidP="003A292D">
      <w:pPr>
        <w:spacing w:line="264" w:lineRule="auto"/>
        <w:ind w:firstLine="567"/>
        <w:rPr>
          <w:rFonts w:ascii="Arial" w:eastAsia="Calibri" w:hAnsi="Arial" w:cs="Arial"/>
          <w:szCs w:val="28"/>
          <w:lang w:val="uk-UA"/>
        </w:rPr>
      </w:pPr>
      <w:r w:rsidRPr="00511005">
        <w:rPr>
          <w:rFonts w:ascii="Arial" w:eastAsia="Times New Roman" w:hAnsi="Arial" w:cs="Arial"/>
          <w:szCs w:val="28"/>
          <w:lang w:val="uk-UA" w:eastAsia="pl-PL"/>
        </w:rPr>
        <w:t xml:space="preserve">Порушення вказаного принципу створює ґрунт для виникнення значної кількості судових спорів, що підтверджується усталеною судовою практикою Касаційного адміністративного суду у складі Верховного Суду. Правова позиція вищої судової інстанції послідовно відстоює дотримання принципу стабільності, що чітко артикульовано у постанові від 9 грудня 2019 року у справі №826/3644/17. У цьому рішенні КАС ВС сформулював правовий висновок, згідно з яким зміни до будь-яких елементів податків та зборів, що вносяться законом, який посилює податкове навантаження платника та </w:t>
      </w:r>
      <w:r w:rsidRPr="00511005">
        <w:rPr>
          <w:rFonts w:ascii="Arial" w:eastAsia="Times New Roman" w:hAnsi="Arial" w:cs="Arial"/>
          <w:szCs w:val="28"/>
          <w:lang w:val="uk-UA" w:eastAsia="pl-PL"/>
        </w:rPr>
        <w:lastRenderedPageBreak/>
        <w:t>прийняті пізніше як за шість місяців до початку нового бюджетного періоду, застосовуються не раніше початку бюджетного періоду, що настає за плановим [4].</w:t>
      </w:r>
    </w:p>
    <w:p w14:paraId="79E0A9E1" w14:textId="77777777" w:rsidR="00B67481" w:rsidRPr="00511005" w:rsidRDefault="00B67481" w:rsidP="003A292D">
      <w:pPr>
        <w:spacing w:line="264" w:lineRule="auto"/>
        <w:ind w:firstLine="567"/>
        <w:rPr>
          <w:rFonts w:ascii="Arial" w:eastAsia="Times New Roman" w:hAnsi="Arial" w:cs="Arial"/>
          <w:szCs w:val="28"/>
          <w:lang w:val="uk-UA" w:eastAsia="pl-PL"/>
        </w:rPr>
      </w:pPr>
      <w:r w:rsidRPr="00511005">
        <w:rPr>
          <w:rFonts w:ascii="Arial" w:eastAsia="Calibri" w:hAnsi="Arial" w:cs="Arial"/>
          <w:szCs w:val="28"/>
          <w:lang w:val="uk-UA"/>
        </w:rPr>
        <w:t>Європейський суд з прав людини неодноразово розглядав справи щодо порушення Україною принципу правової визначеності, зокрема в контексті податкового законодавства. Одним з ключових рішень, що підкреслюють недосконалість української правової системи у цій сфері, є справа «Новік проти України» : у цій справі ключовим аспектом було питання непередбачуваності змін у податковому законодавстві та їх ретроспективного застосування. ЄСПЛ визнав, що податкове законодавство України не відповідало вимогам правової визначеності, оскільки платник податків не міг об'єктивно передбачити юридичні наслідки своїх дій. Суд зазначив, що часті зміни у нормативно-правовій базі, відсутність усталеної судової практики та різні тлумачення норм державними органами сприяли правовій невизначеності, що є несумісним із принципом законності в податковій сфері [5].</w:t>
      </w:r>
    </w:p>
    <w:p w14:paraId="3AE21C91" w14:textId="77777777" w:rsidR="00B67481" w:rsidRPr="00511005" w:rsidRDefault="00B67481" w:rsidP="003A292D">
      <w:pPr>
        <w:spacing w:line="264" w:lineRule="auto"/>
        <w:ind w:firstLine="567"/>
        <w:rPr>
          <w:rFonts w:ascii="Arial" w:eastAsia="Times New Roman" w:hAnsi="Arial" w:cs="Arial"/>
          <w:szCs w:val="28"/>
          <w:lang w:val="uk-UA" w:eastAsia="pl-PL"/>
        </w:rPr>
      </w:pPr>
      <w:r w:rsidRPr="00511005">
        <w:rPr>
          <w:rFonts w:ascii="Arial" w:eastAsia="Times New Roman" w:hAnsi="Arial" w:cs="Arial"/>
          <w:szCs w:val="28"/>
          <w:lang w:val="uk-UA" w:eastAsia="pl-PL"/>
        </w:rPr>
        <w:t xml:space="preserve">Таким чином, порушення принципу стабільності, закріпленого у пункті 4.1.9 статті 4 Податкового кодексу України, становить не лише формальне недотримання процедурних вимог, але й суттєве обмеження конституційних прав платників податків на прогнозованість та передбачуваність податкового законодавства, що може призвести до дисбалансу публічних та приватних інтересів у сфері оподаткування. </w:t>
      </w:r>
    </w:p>
    <w:p w14:paraId="0F6EBC06" w14:textId="77777777" w:rsidR="00B67481" w:rsidRPr="00511005" w:rsidRDefault="00B67481" w:rsidP="003A292D">
      <w:pPr>
        <w:spacing w:line="264" w:lineRule="auto"/>
        <w:ind w:firstLine="567"/>
        <w:rPr>
          <w:rFonts w:ascii="Arial" w:eastAsia="Times New Roman" w:hAnsi="Arial" w:cs="Arial"/>
          <w:szCs w:val="28"/>
          <w:lang w:val="uk-UA" w:eastAsia="pl-PL"/>
        </w:rPr>
      </w:pPr>
      <w:r w:rsidRPr="00511005">
        <w:rPr>
          <w:rFonts w:ascii="Arial" w:eastAsia="Times New Roman" w:hAnsi="Arial" w:cs="Arial"/>
          <w:szCs w:val="28"/>
          <w:lang w:val="uk-UA" w:eastAsia="pl-PL"/>
        </w:rPr>
        <w:t xml:space="preserve">У дослідженнях Feldman та Slemrod (2009) проаналізовано вплив воєнних конфліктів на ставлення громадян до податкових зобов’язань. Зокрема, автори порушують питання, чи може патріотизм виступати чинником підвищення рівня податкової дисципліни навіть за умов існування спокуси до ухилення від оподаткування (free-rider problem). </w:t>
      </w:r>
      <w:r w:rsidRPr="00511005">
        <w:rPr>
          <w:rFonts w:ascii="Arial" w:eastAsia="Calibri" w:hAnsi="Arial" w:cs="Arial"/>
          <w:szCs w:val="28"/>
          <w:lang w:val="uk-UA"/>
        </w:rPr>
        <w:t>Проте зазначений ефект не є стійким і значною мірою залежить від довіри громадян до державних інституцій. Зокрема, якщо суб’єкти податкових правовідносин вважають, що бюджетні кошти використовуються ефективно та справедливо, це зумовлює зростання їхньої готовності до добровільного виконання податкових зобов’язань. Водночас низький рівень інституційної довіри здатен нейтралізувати навіть патріотичну мотивацію та сприяти поширенню практик ухилення від оподаткування</w:t>
      </w:r>
      <w:r w:rsidRPr="00511005">
        <w:rPr>
          <w:rFonts w:ascii="Arial" w:eastAsia="Times New Roman" w:hAnsi="Arial" w:cs="Arial"/>
          <w:szCs w:val="28"/>
          <w:lang w:val="uk-UA" w:eastAsia="pl-PL"/>
        </w:rPr>
        <w:t xml:space="preserve"> [6, с.145-150].</w:t>
      </w:r>
    </w:p>
    <w:p w14:paraId="262FE163" w14:textId="77777777" w:rsidR="00B67481" w:rsidRPr="00511005" w:rsidRDefault="00B67481" w:rsidP="003A292D">
      <w:pPr>
        <w:spacing w:line="264" w:lineRule="auto"/>
        <w:ind w:firstLine="567"/>
        <w:rPr>
          <w:rFonts w:ascii="Arial" w:eastAsia="Calibri" w:hAnsi="Arial" w:cs="Arial"/>
          <w:szCs w:val="28"/>
          <w:lang w:val="uk-UA"/>
        </w:rPr>
      </w:pPr>
      <w:r w:rsidRPr="00511005">
        <w:rPr>
          <w:rFonts w:ascii="Arial" w:eastAsia="Times New Roman" w:hAnsi="Arial" w:cs="Arial"/>
          <w:szCs w:val="28"/>
          <w:lang w:val="uk-UA" w:eastAsia="pl-PL"/>
        </w:rPr>
        <w:t>Україна с</w:t>
      </w:r>
      <w:r w:rsidRPr="00511005">
        <w:rPr>
          <w:rFonts w:ascii="Arial" w:eastAsia="Calibri" w:hAnsi="Arial" w:cs="Arial"/>
          <w:szCs w:val="28"/>
          <w:lang w:val="uk-UA"/>
        </w:rPr>
        <w:t xml:space="preserve">творює умови для зниження добровільної податкової дисципліни, зростання тінізації економіки та поглиблення недовіри до державної податкової політики. У довгостроковій перспективі така законодавча практика може мати </w:t>
      </w:r>
      <w:r w:rsidRPr="00511005">
        <w:rPr>
          <w:rFonts w:ascii="Arial" w:eastAsia="Calibri" w:hAnsi="Arial" w:cs="Arial"/>
          <w:b/>
          <w:bCs/>
          <w:szCs w:val="28"/>
          <w:lang w:val="uk-UA"/>
        </w:rPr>
        <w:t>негативні соціально-економічні наслідки</w:t>
      </w:r>
      <w:r w:rsidRPr="00511005">
        <w:rPr>
          <w:rFonts w:ascii="Arial" w:eastAsia="Calibri" w:hAnsi="Arial" w:cs="Arial"/>
          <w:szCs w:val="28"/>
          <w:lang w:val="uk-UA"/>
        </w:rPr>
        <w:t xml:space="preserve"> та сприяти </w:t>
      </w:r>
      <w:r w:rsidRPr="00511005">
        <w:rPr>
          <w:rFonts w:ascii="Arial" w:eastAsia="Calibri" w:hAnsi="Arial" w:cs="Arial"/>
          <w:b/>
          <w:bCs/>
          <w:szCs w:val="28"/>
          <w:lang w:val="uk-UA"/>
        </w:rPr>
        <w:t>розбалансуванню податкової системи</w:t>
      </w:r>
      <w:r w:rsidRPr="00511005">
        <w:rPr>
          <w:rFonts w:ascii="Arial" w:eastAsia="Calibri" w:hAnsi="Arial" w:cs="Arial"/>
          <w:szCs w:val="28"/>
          <w:lang w:val="uk-UA"/>
        </w:rPr>
        <w:t>, що є критично небажаним в умовах воєнного та післявоєнного відновлення держави.</w:t>
      </w:r>
    </w:p>
    <w:p w14:paraId="15E65714" w14:textId="77777777" w:rsidR="00B67481" w:rsidRPr="00511005" w:rsidRDefault="00B67481"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lastRenderedPageBreak/>
        <w:t>Отже, внесення змін до податкового законодавства в умовах воєнного стану має здійснюватися з безумовним дотриманням принципів верховенства права, насамперед правової визначеності, пропорційності та стабільності. Закон України № 4015-IX від 10 жовтня 2024 року містить норми, які суперечать цим засадам, що негативно позначається на цілісності фінансово-правового регулювання та підриває довіру до податкової системи. Порушення вимог правової визначеності й стабільності у сфері оподаткування істотно ускладнює забезпечення фінансової стійкості держави та перешкоджає формуванню ефективної і збалансованої податкової політики у період воєнного та післявоєнного відновлення.</w:t>
      </w:r>
    </w:p>
    <w:p w14:paraId="40A75203" w14:textId="77777777" w:rsidR="00B67481" w:rsidRPr="00511005" w:rsidRDefault="00B67481" w:rsidP="003A292D">
      <w:pPr>
        <w:spacing w:line="264" w:lineRule="auto"/>
        <w:ind w:firstLine="567"/>
        <w:rPr>
          <w:rFonts w:ascii="Arial" w:eastAsia="Calibri" w:hAnsi="Arial" w:cs="Arial"/>
          <w:szCs w:val="28"/>
          <w:lang w:val="uk-UA"/>
        </w:rPr>
      </w:pPr>
    </w:p>
    <w:p w14:paraId="6E021C52" w14:textId="707566C6" w:rsidR="00B67481" w:rsidRPr="00511005" w:rsidRDefault="007B2628" w:rsidP="007B2628">
      <w:pPr>
        <w:spacing w:line="264" w:lineRule="auto"/>
        <w:ind w:firstLine="567"/>
        <w:jc w:val="center"/>
        <w:rPr>
          <w:rFonts w:ascii="Arial" w:eastAsia="Calibri" w:hAnsi="Arial" w:cs="Arial"/>
          <w:szCs w:val="28"/>
          <w:lang w:val="uk-UA"/>
        </w:rPr>
      </w:pPr>
      <w:r w:rsidRPr="00511005">
        <w:rPr>
          <w:rFonts w:ascii="Arial" w:eastAsia="Calibri" w:hAnsi="Arial" w:cs="Arial"/>
          <w:b/>
          <w:bCs/>
          <w:szCs w:val="28"/>
          <w:lang w:val="uk-UA"/>
        </w:rPr>
        <w:t>Список використаних джерел</w:t>
      </w:r>
    </w:p>
    <w:p w14:paraId="620570D2" w14:textId="77777777" w:rsidR="00B67481" w:rsidRPr="00511005" w:rsidRDefault="00B67481" w:rsidP="003A292D">
      <w:pPr>
        <w:suppressAutoHyphens/>
        <w:spacing w:line="264" w:lineRule="auto"/>
        <w:ind w:firstLine="567"/>
        <w:rPr>
          <w:rFonts w:ascii="Arial" w:eastAsia="Calibri" w:hAnsi="Arial" w:cs="Arial"/>
          <w:szCs w:val="28"/>
          <w:lang w:val="uk-UA"/>
        </w:rPr>
      </w:pPr>
      <w:r w:rsidRPr="00511005">
        <w:rPr>
          <w:rFonts w:ascii="Arial" w:eastAsia="Calibri" w:hAnsi="Arial" w:cs="Arial"/>
          <w:szCs w:val="28"/>
          <w:lang w:val="uk-UA"/>
        </w:rPr>
        <w:t>1. Про внесення змін до Податкового кодексу України та інших законів України щодо забезпечення збалансованості бюджетних надходжень у період дії воєнного стану : Закон України від 10.10.2024 р. № 4015-IX (Редакція від 10.10.2024 № 4015-IX) URL :</w:t>
      </w:r>
      <w:r w:rsidRPr="00511005">
        <w:rPr>
          <w:rFonts w:ascii="Arial" w:eastAsia="Calibri" w:hAnsi="Arial" w:cs="Arial"/>
          <w:szCs w:val="28"/>
          <w:shd w:val="clear" w:color="auto" w:fill="F7F7F7"/>
          <w:lang w:val="uk-UA"/>
        </w:rPr>
        <w:t xml:space="preserve"> </w:t>
      </w:r>
      <w:hyperlink r:id="rId946" w:anchor="Text" w:history="1">
        <w:r w:rsidRPr="00511005">
          <w:rPr>
            <w:rFonts w:ascii="Arial" w:eastAsia="Calibri" w:hAnsi="Arial" w:cs="Arial"/>
            <w:szCs w:val="28"/>
            <w:lang w:val="uk-UA"/>
          </w:rPr>
          <w:t>https://zakon.rada.gov.ua/laws/show/4015-20#Text</w:t>
        </w:r>
      </w:hyperlink>
      <w:r w:rsidRPr="00511005">
        <w:rPr>
          <w:rFonts w:ascii="Arial" w:eastAsia="Calibri" w:hAnsi="Arial" w:cs="Arial"/>
          <w:szCs w:val="28"/>
          <w:lang w:val="uk-UA"/>
        </w:rPr>
        <w:t xml:space="preserve"> ( дата звернення: 10.04.2025)</w:t>
      </w:r>
    </w:p>
    <w:p w14:paraId="05C60C06" w14:textId="77777777" w:rsidR="00B67481" w:rsidRPr="00511005" w:rsidRDefault="00B67481" w:rsidP="003A292D">
      <w:pPr>
        <w:suppressAutoHyphens/>
        <w:spacing w:line="264" w:lineRule="auto"/>
        <w:ind w:firstLine="567"/>
        <w:contextualSpacing/>
        <w:rPr>
          <w:rFonts w:ascii="Arial" w:eastAsia="Calibri" w:hAnsi="Arial" w:cs="Arial"/>
          <w:szCs w:val="28"/>
          <w:shd w:val="clear" w:color="auto" w:fill="FFFFFF"/>
          <w:lang w:val="uk-UA"/>
        </w:rPr>
      </w:pPr>
      <w:r w:rsidRPr="00511005">
        <w:rPr>
          <w:rFonts w:ascii="Arial" w:eastAsia="Calibri" w:hAnsi="Arial" w:cs="Arial"/>
          <w:szCs w:val="28"/>
          <w:lang w:val="uk-UA"/>
        </w:rPr>
        <w:t xml:space="preserve">2. Рішення Конституційного Суду України : рішення від 09.02.1999 № 1-рп/1999 </w:t>
      </w:r>
      <w:r w:rsidRPr="00511005">
        <w:rPr>
          <w:rFonts w:ascii="Arial" w:eastAsia="Calibri" w:hAnsi="Arial" w:cs="Arial"/>
          <w:szCs w:val="28"/>
          <w:shd w:val="clear" w:color="auto" w:fill="FCFCFC"/>
          <w:lang w:val="uk-UA"/>
        </w:rPr>
        <w:t xml:space="preserve">– URL: </w:t>
      </w:r>
      <w:hyperlink r:id="rId947" w:anchor="Text" w:history="1">
        <w:r w:rsidRPr="00511005">
          <w:rPr>
            <w:rFonts w:ascii="Arial" w:eastAsia="Calibri" w:hAnsi="Arial" w:cs="Arial"/>
            <w:szCs w:val="28"/>
            <w:lang w:val="uk-UA"/>
          </w:rPr>
          <w:t>https://zakon.rada.gov.ua/laws/show/v001p710-99#Text</w:t>
        </w:r>
      </w:hyperlink>
      <w:r w:rsidRPr="00511005">
        <w:rPr>
          <w:rFonts w:ascii="Arial" w:eastAsia="Calibri" w:hAnsi="Arial" w:cs="Arial"/>
          <w:szCs w:val="28"/>
          <w:lang w:val="uk-UA"/>
        </w:rPr>
        <w:t xml:space="preserve"> ( дата звернення: 10.04.2025)</w:t>
      </w:r>
    </w:p>
    <w:p w14:paraId="19C7EC97" w14:textId="77777777" w:rsidR="00B67481" w:rsidRPr="00511005" w:rsidRDefault="00B67481" w:rsidP="003A292D">
      <w:pPr>
        <w:suppressAutoHyphens/>
        <w:spacing w:line="264" w:lineRule="auto"/>
        <w:ind w:firstLine="567"/>
        <w:contextualSpacing/>
        <w:rPr>
          <w:rFonts w:ascii="Arial" w:eastAsia="Times New Roman" w:hAnsi="Arial" w:cs="Arial"/>
          <w:szCs w:val="28"/>
          <w:lang w:val="uk-UA" w:eastAsia="pl-PL"/>
        </w:rPr>
      </w:pPr>
      <w:r w:rsidRPr="00511005">
        <w:rPr>
          <w:rFonts w:ascii="Arial" w:eastAsia="Calibri" w:hAnsi="Arial" w:cs="Arial"/>
          <w:szCs w:val="28"/>
          <w:shd w:val="clear" w:color="auto" w:fill="FFFFFF"/>
          <w:lang w:val="uk-UA"/>
        </w:rPr>
        <w:t>3. Податковий кодекс України: Закон України від 02.12.2010 №</w:t>
      </w:r>
      <w:r w:rsidRPr="00511005">
        <w:rPr>
          <w:rFonts w:ascii="Arial" w:eastAsia="Calibri" w:hAnsi="Arial" w:cs="Arial"/>
          <w:b/>
          <w:bCs/>
          <w:szCs w:val="28"/>
          <w:shd w:val="clear" w:color="auto" w:fill="FFFFFF"/>
          <w:lang w:val="uk-UA"/>
        </w:rPr>
        <w:t xml:space="preserve"> 2755-VI (Редакція від 01.04.2025 № </w:t>
      </w:r>
      <w:hyperlink r:id="rId948" w:history="1">
        <w:r w:rsidRPr="00511005">
          <w:rPr>
            <w:rFonts w:ascii="Arial" w:eastAsia="Calibri" w:hAnsi="Arial" w:cs="Arial"/>
            <w:szCs w:val="28"/>
            <w:lang w:val="uk-UA"/>
          </w:rPr>
          <w:t>4014-IX</w:t>
        </w:r>
      </w:hyperlink>
      <w:r w:rsidRPr="00511005">
        <w:rPr>
          <w:rFonts w:ascii="Arial" w:eastAsia="Calibri" w:hAnsi="Arial" w:cs="Arial"/>
          <w:szCs w:val="28"/>
          <w:lang w:val="uk-UA"/>
        </w:rPr>
        <w:t>)</w:t>
      </w:r>
      <w:r w:rsidRPr="00511005">
        <w:rPr>
          <w:rFonts w:ascii="Arial" w:eastAsia="Calibri" w:hAnsi="Arial" w:cs="Arial"/>
          <w:b/>
          <w:bCs/>
          <w:szCs w:val="28"/>
          <w:shd w:val="clear" w:color="auto" w:fill="FFFFFF"/>
          <w:lang w:val="uk-UA"/>
        </w:rPr>
        <w:t xml:space="preserve"> </w:t>
      </w:r>
      <w:r w:rsidRPr="00511005">
        <w:rPr>
          <w:rFonts w:ascii="Arial" w:eastAsia="Calibri" w:hAnsi="Arial" w:cs="Arial"/>
          <w:szCs w:val="28"/>
          <w:shd w:val="clear" w:color="auto" w:fill="FCFCFC"/>
          <w:lang w:val="uk-UA"/>
        </w:rPr>
        <w:t>URL</w:t>
      </w:r>
      <w:r w:rsidRPr="00511005">
        <w:rPr>
          <w:rFonts w:ascii="Arial" w:eastAsia="Calibri" w:hAnsi="Arial" w:cs="Arial"/>
          <w:szCs w:val="28"/>
          <w:shd w:val="clear" w:color="auto" w:fill="FFFFFF"/>
          <w:lang w:val="uk-UA"/>
        </w:rPr>
        <w:t xml:space="preserve">: </w:t>
      </w:r>
      <w:hyperlink r:id="rId949" w:anchor="Text" w:history="1">
        <w:r w:rsidRPr="00511005">
          <w:rPr>
            <w:rFonts w:ascii="Arial" w:eastAsia="Calibri" w:hAnsi="Arial" w:cs="Arial"/>
            <w:szCs w:val="28"/>
            <w:lang w:val="uk-UA"/>
          </w:rPr>
          <w:t>https://zakon.rada.gov.ua/laws/show/2755-17#Text</w:t>
        </w:r>
      </w:hyperlink>
      <w:r w:rsidRPr="00511005">
        <w:rPr>
          <w:rFonts w:ascii="Arial" w:eastAsia="Calibri" w:hAnsi="Arial" w:cs="Arial"/>
          <w:szCs w:val="28"/>
          <w:lang w:val="uk-UA"/>
        </w:rPr>
        <w:t xml:space="preserve"> ( дата звернення: 10.04.2025)</w:t>
      </w:r>
    </w:p>
    <w:p w14:paraId="25CC2F5A" w14:textId="77777777" w:rsidR="00B67481" w:rsidRPr="00511005" w:rsidRDefault="00B67481" w:rsidP="003A292D">
      <w:pPr>
        <w:suppressAutoHyphens/>
        <w:spacing w:line="264" w:lineRule="auto"/>
        <w:ind w:firstLine="567"/>
        <w:contextualSpacing/>
        <w:rPr>
          <w:rFonts w:ascii="Arial" w:eastAsia="Times New Roman" w:hAnsi="Arial" w:cs="Arial"/>
          <w:szCs w:val="28"/>
          <w:lang w:val="uk-UA" w:eastAsia="pl-PL"/>
        </w:rPr>
      </w:pPr>
      <w:r w:rsidRPr="00511005">
        <w:rPr>
          <w:rFonts w:ascii="Arial" w:eastAsia="Times New Roman" w:hAnsi="Arial" w:cs="Arial"/>
          <w:szCs w:val="28"/>
          <w:lang w:val="uk-UA" w:eastAsia="pl-PL"/>
        </w:rPr>
        <w:t xml:space="preserve">4. Постанова Касаційного Адміністративного Суду: постанова від 09.12.2019 № </w:t>
      </w:r>
      <w:r w:rsidRPr="00511005">
        <w:rPr>
          <w:rFonts w:ascii="Arial" w:eastAsia="Calibri" w:hAnsi="Arial" w:cs="Arial"/>
          <w:szCs w:val="28"/>
          <w:lang w:val="uk-UA"/>
        </w:rPr>
        <w:t xml:space="preserve">№826/3644/17 </w:t>
      </w:r>
      <w:r w:rsidRPr="00511005">
        <w:rPr>
          <w:rFonts w:ascii="Arial" w:eastAsia="Calibri" w:hAnsi="Arial" w:cs="Arial"/>
          <w:szCs w:val="28"/>
          <w:shd w:val="clear" w:color="auto" w:fill="FCFCFC"/>
          <w:lang w:val="uk-UA"/>
        </w:rPr>
        <w:t>URL</w:t>
      </w:r>
      <w:r w:rsidRPr="00511005">
        <w:rPr>
          <w:rFonts w:ascii="Arial" w:eastAsia="Calibri" w:hAnsi="Arial" w:cs="Arial"/>
          <w:szCs w:val="28"/>
          <w:lang w:val="uk-UA"/>
        </w:rPr>
        <w:t xml:space="preserve">: </w:t>
      </w:r>
      <w:hyperlink r:id="rId950" w:history="1">
        <w:r w:rsidRPr="00511005">
          <w:rPr>
            <w:rFonts w:ascii="Arial" w:eastAsia="Calibri" w:hAnsi="Arial" w:cs="Arial"/>
            <w:szCs w:val="28"/>
            <w:lang w:val="uk-UA"/>
          </w:rPr>
          <w:t>https://reyestr.court.gov.ua/Review/86305617</w:t>
        </w:r>
      </w:hyperlink>
      <w:r w:rsidRPr="00511005">
        <w:rPr>
          <w:rFonts w:ascii="Arial" w:eastAsia="Calibri" w:hAnsi="Arial" w:cs="Arial"/>
          <w:szCs w:val="28"/>
          <w:lang w:val="uk-UA"/>
        </w:rPr>
        <w:t xml:space="preserve"> ( дата звернення 10.04.2025)</w:t>
      </w:r>
    </w:p>
    <w:p w14:paraId="25416903" w14:textId="77777777" w:rsidR="00B67481" w:rsidRPr="00511005" w:rsidRDefault="00B67481" w:rsidP="003A292D">
      <w:pPr>
        <w:suppressAutoHyphens/>
        <w:spacing w:line="264" w:lineRule="auto"/>
        <w:ind w:firstLine="567"/>
        <w:contextualSpacing/>
        <w:rPr>
          <w:rFonts w:ascii="Arial" w:eastAsia="Calibri" w:hAnsi="Arial" w:cs="Arial"/>
          <w:szCs w:val="28"/>
          <w:lang w:val="uk-UA"/>
        </w:rPr>
      </w:pPr>
      <w:r w:rsidRPr="00511005">
        <w:rPr>
          <w:rFonts w:ascii="Arial" w:eastAsia="Times New Roman" w:hAnsi="Arial" w:cs="Arial"/>
          <w:szCs w:val="28"/>
          <w:lang w:val="uk-UA" w:eastAsia="pl-PL"/>
        </w:rPr>
        <w:t xml:space="preserve">5. Справа «Новік проти України» (заява № 48068/06) : рішення Європейського суду з прав людини від 18 груд. 2008 URL : </w:t>
      </w:r>
      <w:hyperlink r:id="rId951" w:history="1">
        <w:r w:rsidRPr="00511005">
          <w:rPr>
            <w:rFonts w:ascii="Arial" w:eastAsia="Calibri" w:hAnsi="Arial" w:cs="Arial"/>
            <w:szCs w:val="28"/>
            <w:lang w:val="uk-UA" w:eastAsia="pl-PL"/>
          </w:rPr>
          <w:t>https://hudoc.echr.coe.int/ukr?i=001-90332</w:t>
        </w:r>
      </w:hyperlink>
      <w:r w:rsidRPr="00511005">
        <w:rPr>
          <w:rFonts w:ascii="Arial" w:eastAsia="Calibri" w:hAnsi="Arial" w:cs="Arial"/>
          <w:szCs w:val="28"/>
          <w:lang w:val="uk-UA" w:eastAsia="pl-PL"/>
        </w:rPr>
        <w:t xml:space="preserve"> </w:t>
      </w:r>
      <w:r w:rsidRPr="00511005">
        <w:rPr>
          <w:rFonts w:ascii="Arial" w:eastAsia="Calibri" w:hAnsi="Arial" w:cs="Arial"/>
          <w:szCs w:val="28"/>
          <w:lang w:val="uk-UA"/>
        </w:rPr>
        <w:t>( дата звернення: 10.04.2025)</w:t>
      </w:r>
    </w:p>
    <w:p w14:paraId="59665F58" w14:textId="60631D1B" w:rsidR="00B67481" w:rsidRPr="00511005" w:rsidRDefault="00B67481" w:rsidP="003A292D">
      <w:pPr>
        <w:suppressAutoHyphens/>
        <w:spacing w:line="264" w:lineRule="auto"/>
        <w:ind w:firstLine="567"/>
        <w:contextualSpacing/>
        <w:rPr>
          <w:rFonts w:ascii="Arial" w:eastAsia="Calibri" w:hAnsi="Arial" w:cs="Arial"/>
          <w:b/>
          <w:bCs/>
          <w:szCs w:val="28"/>
          <w:lang w:val="uk-UA"/>
        </w:rPr>
      </w:pPr>
      <w:r w:rsidRPr="00511005">
        <w:rPr>
          <w:rFonts w:ascii="Arial" w:eastAsia="Calibri" w:hAnsi="Arial" w:cs="Arial"/>
          <w:szCs w:val="28"/>
          <w:lang w:val="uk-UA"/>
        </w:rPr>
        <w:t>6. N. Feldman and J. Slemrod (2009). War and taxation: When does patriotism overcome the free-rider impulse?</w:t>
      </w:r>
      <w:r w:rsidRPr="00511005">
        <w:rPr>
          <w:rFonts w:ascii="Arial" w:eastAsia="Calibri" w:hAnsi="Arial" w:cs="Arial"/>
          <w:i/>
          <w:iCs/>
          <w:szCs w:val="28"/>
          <w:lang w:val="uk-UA"/>
        </w:rPr>
        <w:t xml:space="preserve"> </w:t>
      </w:r>
      <w:r w:rsidRPr="00511005">
        <w:rPr>
          <w:rFonts w:ascii="Arial" w:eastAsia="Calibri" w:hAnsi="Arial" w:cs="Arial"/>
          <w:i/>
          <w:iCs/>
          <w:spacing w:val="2"/>
          <w:szCs w:val="28"/>
          <w:shd w:val="clear" w:color="auto" w:fill="FFFFFF"/>
          <w:lang w:val="uk-UA"/>
        </w:rPr>
        <w:t>Cambridge University Press</w:t>
      </w:r>
      <w:r w:rsidRPr="00511005">
        <w:rPr>
          <w:rFonts w:ascii="Arial" w:eastAsia="Calibri" w:hAnsi="Arial" w:cs="Arial"/>
          <w:spacing w:val="2"/>
          <w:szCs w:val="28"/>
          <w:shd w:val="clear" w:color="auto" w:fill="FFFFFF"/>
          <w:lang w:val="uk-UA"/>
        </w:rPr>
        <w:t>. С.138-154</w:t>
      </w:r>
      <w:r w:rsidR="007B2628" w:rsidRPr="00511005">
        <w:rPr>
          <w:rFonts w:ascii="Arial" w:eastAsia="Calibri" w:hAnsi="Arial" w:cs="Arial"/>
          <w:spacing w:val="2"/>
          <w:szCs w:val="28"/>
          <w:shd w:val="clear" w:color="auto" w:fill="FFFFFF"/>
          <w:lang w:val="uk-UA"/>
        </w:rPr>
        <w:t xml:space="preserve"> </w:t>
      </w:r>
      <w:r w:rsidRPr="00511005">
        <w:rPr>
          <w:rFonts w:ascii="Arial" w:eastAsia="Calibri" w:hAnsi="Arial" w:cs="Arial"/>
          <w:spacing w:val="2"/>
          <w:szCs w:val="28"/>
          <w:shd w:val="clear" w:color="auto" w:fill="FFFFFF"/>
          <w:lang w:val="uk-UA"/>
        </w:rPr>
        <w:t xml:space="preserve">URL: </w:t>
      </w:r>
      <w:hyperlink r:id="rId952" w:history="1">
        <w:r w:rsidRPr="00511005">
          <w:rPr>
            <w:rFonts w:ascii="Arial" w:eastAsia="Calibri" w:hAnsi="Arial" w:cs="Arial"/>
            <w:spacing w:val="2"/>
            <w:szCs w:val="28"/>
            <w:shd w:val="clear" w:color="auto" w:fill="FFFFFF"/>
            <w:lang w:val="uk-UA"/>
          </w:rPr>
          <w:t>https://doi.org/10.1017/CBO9780511627071.009</w:t>
        </w:r>
      </w:hyperlink>
      <w:r w:rsidRPr="00511005">
        <w:rPr>
          <w:rFonts w:ascii="Arial" w:eastAsia="Calibri" w:hAnsi="Arial" w:cs="Arial"/>
          <w:szCs w:val="28"/>
          <w:lang w:val="uk-UA"/>
        </w:rPr>
        <w:t xml:space="preserve"> (дата звернення: 10.04.2025)</w:t>
      </w:r>
    </w:p>
    <w:p w14:paraId="4764A935" w14:textId="3921529F" w:rsidR="00B67481" w:rsidRPr="00511005" w:rsidRDefault="007B2628" w:rsidP="003A292D">
      <w:pPr>
        <w:shd w:val="clear" w:color="auto" w:fill="FFFFFF"/>
        <w:suppressAutoHyphens/>
        <w:spacing w:line="264" w:lineRule="auto"/>
        <w:ind w:firstLine="567"/>
        <w:rPr>
          <w:rFonts w:ascii="Arial" w:eastAsia="Times New Roman" w:hAnsi="Arial" w:cs="Arial"/>
          <w:b/>
          <w:bCs/>
          <w:i/>
          <w:iCs/>
          <w:szCs w:val="28"/>
          <w:lang w:val="uk-UA" w:eastAsia="pl-PL"/>
        </w:rPr>
      </w:pPr>
      <w:r w:rsidRPr="00511005">
        <w:rPr>
          <w:rFonts w:ascii="Arial" w:eastAsia="Times New Roman" w:hAnsi="Arial" w:cs="Arial"/>
          <w:b/>
          <w:bCs/>
          <w:i/>
          <w:szCs w:val="28"/>
          <w:lang w:val="uk-UA" w:eastAsia="pl-PL"/>
        </w:rPr>
        <w:t xml:space="preserve">Ключові слова: </w:t>
      </w:r>
      <w:r w:rsidR="00B67481" w:rsidRPr="00511005">
        <w:rPr>
          <w:rFonts w:ascii="Arial" w:eastAsia="Times New Roman" w:hAnsi="Arial" w:cs="Arial"/>
          <w:szCs w:val="28"/>
          <w:lang w:val="uk-UA" w:eastAsia="pl-PL"/>
        </w:rPr>
        <w:t>податкове право, воєнний стан, стабільність податкового законодавства, ретроспективна дія закону, права платників податків</w:t>
      </w:r>
    </w:p>
    <w:p w14:paraId="7BBC21DA" w14:textId="40EB111F" w:rsidR="00B67481" w:rsidRPr="00511005" w:rsidRDefault="007B2628" w:rsidP="003A292D">
      <w:pPr>
        <w:shd w:val="clear" w:color="auto" w:fill="FFFFFF"/>
        <w:suppressAutoHyphens/>
        <w:spacing w:line="264" w:lineRule="auto"/>
        <w:ind w:firstLine="567"/>
        <w:rPr>
          <w:rFonts w:ascii="Arial" w:eastAsia="Times New Roman" w:hAnsi="Arial" w:cs="Arial"/>
          <w:b/>
          <w:bCs/>
          <w:szCs w:val="28"/>
          <w:lang w:val="uk-UA" w:eastAsia="pl-PL"/>
        </w:rPr>
      </w:pPr>
      <w:r w:rsidRPr="00511005">
        <w:rPr>
          <w:rFonts w:ascii="Arial" w:eastAsia="Times New Roman" w:hAnsi="Arial" w:cs="Arial"/>
          <w:b/>
          <w:bCs/>
          <w:i/>
          <w:iCs/>
          <w:szCs w:val="28"/>
          <w:lang w:val="uk-UA" w:eastAsia="pl-PL"/>
        </w:rPr>
        <w:t xml:space="preserve">Key words: </w:t>
      </w:r>
      <w:r w:rsidR="00B67481" w:rsidRPr="00511005">
        <w:rPr>
          <w:rFonts w:ascii="Arial" w:eastAsia="Times New Roman" w:hAnsi="Arial" w:cs="Arial"/>
          <w:szCs w:val="28"/>
          <w:lang w:val="uk-UA" w:eastAsia="pl-PL"/>
        </w:rPr>
        <w:t>tax law, martial law, stability of tax legislation, retrospective application of the law, taxpayers' rights</w:t>
      </w:r>
    </w:p>
    <w:p w14:paraId="7B6BB2F6" w14:textId="66AF6824" w:rsidR="00B67481" w:rsidRPr="00511005" w:rsidRDefault="007B2628" w:rsidP="003A292D">
      <w:pPr>
        <w:spacing w:line="264" w:lineRule="auto"/>
        <w:ind w:firstLine="567"/>
        <w:rPr>
          <w:rFonts w:ascii="Arial" w:eastAsia="Calibri" w:hAnsi="Arial" w:cs="Arial"/>
          <w:szCs w:val="28"/>
          <w:lang w:val="uk-UA"/>
        </w:rPr>
      </w:pPr>
      <w:r w:rsidRPr="00511005">
        <w:rPr>
          <w:rFonts w:ascii="Arial" w:eastAsia="Calibri" w:hAnsi="Arial" w:cs="Arial"/>
          <w:b/>
          <w:i/>
          <w:iCs/>
          <w:szCs w:val="28"/>
          <w:lang w:val="uk-UA"/>
        </w:rPr>
        <w:t xml:space="preserve">Науковий керівник: </w:t>
      </w:r>
      <w:r w:rsidR="00B67481" w:rsidRPr="00511005">
        <w:rPr>
          <w:rFonts w:ascii="Arial" w:eastAsia="Calibri" w:hAnsi="Arial" w:cs="Arial"/>
          <w:i/>
          <w:iCs/>
          <w:szCs w:val="28"/>
          <w:lang w:val="uk-UA"/>
        </w:rPr>
        <w:t>к.ю.н., доцент Сідор М. І.</w:t>
      </w:r>
    </w:p>
    <w:p w14:paraId="6DBD707D" w14:textId="77777777" w:rsidR="00B67481" w:rsidRPr="00511005" w:rsidRDefault="00B67481" w:rsidP="003A292D">
      <w:pPr>
        <w:spacing w:line="264" w:lineRule="auto"/>
        <w:ind w:firstLine="0"/>
        <w:jc w:val="left"/>
        <w:rPr>
          <w:rFonts w:ascii="Arial" w:eastAsia="Calibri" w:hAnsi="Arial" w:cs="Arial"/>
          <w:szCs w:val="28"/>
          <w:lang w:val="uk-UA"/>
        </w:rPr>
      </w:pPr>
      <w:r w:rsidRPr="00511005">
        <w:rPr>
          <w:rFonts w:ascii="Arial" w:eastAsia="Calibri" w:hAnsi="Arial" w:cs="Arial"/>
          <w:szCs w:val="28"/>
          <w:lang w:val="uk-UA"/>
        </w:rPr>
        <w:br w:type="page"/>
      </w:r>
    </w:p>
    <w:p w14:paraId="1791659F" w14:textId="77777777" w:rsidR="00B67481" w:rsidRPr="00511005" w:rsidRDefault="00B67481" w:rsidP="003A292D">
      <w:pPr>
        <w:tabs>
          <w:tab w:val="left" w:pos="7088"/>
        </w:tabs>
        <w:spacing w:line="264" w:lineRule="auto"/>
        <w:ind w:firstLine="0"/>
        <w:jc w:val="center"/>
        <w:rPr>
          <w:rFonts w:ascii="Arial" w:eastAsia="Calibri" w:hAnsi="Arial" w:cs="Arial"/>
          <w:b/>
          <w:i/>
          <w:szCs w:val="28"/>
          <w:lang w:val="uk-UA" w:bidi="uk-UA"/>
        </w:rPr>
      </w:pPr>
      <w:r w:rsidRPr="00511005">
        <w:rPr>
          <w:rFonts w:ascii="Arial" w:eastAsia="Calibri" w:hAnsi="Arial" w:cs="Arial"/>
          <w:b/>
          <w:i/>
          <w:szCs w:val="28"/>
          <w:lang w:val="uk-UA" w:bidi="uk-UA"/>
        </w:rPr>
        <w:lastRenderedPageBreak/>
        <w:t>Калова Вікторія Сергіївна</w:t>
      </w:r>
    </w:p>
    <w:p w14:paraId="3FF44221" w14:textId="7043C761" w:rsidR="00B67481" w:rsidRPr="00511005" w:rsidRDefault="00536AAB" w:rsidP="003A292D">
      <w:pPr>
        <w:tabs>
          <w:tab w:val="left" w:pos="7088"/>
        </w:tabs>
        <w:spacing w:line="264" w:lineRule="auto"/>
        <w:ind w:firstLine="0"/>
        <w:jc w:val="center"/>
        <w:rPr>
          <w:rFonts w:ascii="Arial" w:eastAsia="Calibri" w:hAnsi="Arial" w:cs="Arial"/>
          <w:i/>
          <w:szCs w:val="28"/>
          <w:lang w:val="uk-UA" w:bidi="uk-UA"/>
        </w:rPr>
      </w:pPr>
      <w:r w:rsidRPr="00511005">
        <w:rPr>
          <w:rFonts w:ascii="Arial" w:eastAsia="Calibri" w:hAnsi="Arial" w:cs="Arial"/>
          <w:szCs w:val="28"/>
          <w:lang w:val="uk-UA" w:bidi="uk-UA"/>
        </w:rPr>
        <w:t xml:space="preserve">студентка 2-го курсу </w:t>
      </w:r>
      <w:r w:rsidR="007B2628" w:rsidRPr="00511005">
        <w:rPr>
          <w:rFonts w:ascii="Arial" w:eastAsia="Calibri" w:hAnsi="Arial" w:cs="Arial"/>
          <w:szCs w:val="28"/>
          <w:lang w:val="uk-UA" w:bidi="uk-UA"/>
        </w:rPr>
        <w:t>факультету цивільної та господарської юстиції</w:t>
      </w:r>
      <w:r w:rsidR="00B67481" w:rsidRPr="00511005">
        <w:rPr>
          <w:rFonts w:ascii="Arial" w:eastAsia="Calibri" w:hAnsi="Arial" w:cs="Arial"/>
          <w:szCs w:val="28"/>
          <w:lang w:val="uk-UA" w:bidi="uk-UA"/>
        </w:rPr>
        <w:t xml:space="preserve"> </w:t>
      </w:r>
      <w:r w:rsidR="007B2628" w:rsidRPr="00511005">
        <w:rPr>
          <w:rFonts w:ascii="Arial" w:eastAsia="Calibri" w:hAnsi="Arial" w:cs="Arial"/>
          <w:szCs w:val="28"/>
          <w:lang w:val="uk-UA" w:bidi="uk-UA"/>
        </w:rPr>
        <w:t>Національного університету «Одеська юридична академія»</w:t>
      </w:r>
    </w:p>
    <w:p w14:paraId="1899BCC4" w14:textId="77777777" w:rsidR="00B67481" w:rsidRPr="00511005" w:rsidRDefault="00B67481" w:rsidP="003A292D">
      <w:pPr>
        <w:tabs>
          <w:tab w:val="left" w:pos="7088"/>
        </w:tabs>
        <w:spacing w:line="264" w:lineRule="auto"/>
        <w:ind w:firstLine="0"/>
        <w:jc w:val="center"/>
        <w:rPr>
          <w:rFonts w:ascii="Arial" w:eastAsia="Calibri" w:hAnsi="Arial" w:cs="Arial"/>
          <w:i/>
          <w:szCs w:val="28"/>
          <w:lang w:val="uk-UA" w:bidi="uk-UA"/>
        </w:rPr>
      </w:pPr>
    </w:p>
    <w:p w14:paraId="5CEB5756" w14:textId="77777777" w:rsidR="00B67481" w:rsidRPr="00511005" w:rsidRDefault="00B67481" w:rsidP="003A292D">
      <w:pPr>
        <w:tabs>
          <w:tab w:val="left" w:pos="7088"/>
        </w:tabs>
        <w:spacing w:line="264" w:lineRule="auto"/>
        <w:ind w:firstLine="0"/>
        <w:jc w:val="center"/>
        <w:rPr>
          <w:rFonts w:ascii="Arial" w:eastAsia="Calibri" w:hAnsi="Arial" w:cs="Arial"/>
          <w:b/>
          <w:szCs w:val="28"/>
          <w:lang w:bidi="uk-UA"/>
        </w:rPr>
      </w:pPr>
      <w:r w:rsidRPr="00511005">
        <w:rPr>
          <w:rFonts w:ascii="Arial" w:eastAsia="Calibri" w:hAnsi="Arial" w:cs="Arial"/>
          <w:b/>
          <w:szCs w:val="28"/>
          <w:lang w:bidi="uk-UA"/>
        </w:rPr>
        <w:t>ОСОБЛИВОСТІ ВЗАЄМОДІЇ ПУБЛІЧНОЇ ВЛАДИ ТА ІНСТИТУЦІЙ ГРОМАДЯНСЬКОГО СУСПІЛЬСТВА</w:t>
      </w:r>
    </w:p>
    <w:p w14:paraId="4B82578E"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В умовах демократичної трансформації України взаємодія публічної влади та інституцій громадянського суспільства набуває особливої актуальності. Цей процес є ключовим для формування ефективної системи публічного управління, що відповідає сучасним викликам та забезпечує сталий розвиток держави.​</w:t>
      </w:r>
    </w:p>
    <w:p w14:paraId="6265D034"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Публічна влада, як інструмент реалізації державної політики, повинна бути відкритою до діалогу з громадянським суспільством. Інституції громадянського суспільства, зокрема громадські організації, професійні спілки, благодійні фонди та інші об'єднання громадян, виступають важливими партнерами у процесі прийняття рішень, контролю за їх виконанням та формування суспільної думки.​</w:t>
      </w:r>
    </w:p>
    <w:p w14:paraId="76F15120"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Однією з головних особливостей взаємодії публічної влади та громадянського суспільства є необхідність забезпечення прозорості та підзвітності влади перед громадянами. Це досягається через механізми громадського контролю, участі громадськості у процесах прийняття рішень, проведення громадських слухань та консультацій. Такі практики сприяють підвищенню довіри до влади та забезпечують легітимність її дій.​</w:t>
      </w:r>
    </w:p>
    <w:p w14:paraId="22C22A98"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Важливим аспектом є також розвиток електронного врядування, яке забезпечує доступ громадян до інформації про діяльність органів влади та створює можливості для участі у прийнятті рішень через електронні петиції, опитування та інші інструменти. Це сприяє підвищенню ефективності управління та залученню громадян до процесів врядування</w:t>
      </w:r>
      <w:r w:rsidRPr="00511005">
        <w:rPr>
          <w:rFonts w:ascii="Arial" w:eastAsia="Calibri" w:hAnsi="Arial" w:cs="Arial"/>
          <w:szCs w:val="28"/>
          <w:lang w:bidi="uk-UA"/>
        </w:rPr>
        <w:t xml:space="preserve"> [2]</w:t>
      </w:r>
      <w:r w:rsidRPr="00511005">
        <w:rPr>
          <w:rFonts w:ascii="Arial" w:eastAsia="Calibri" w:hAnsi="Arial" w:cs="Arial"/>
          <w:szCs w:val="28"/>
          <w:lang w:val="uk-UA" w:bidi="uk-UA"/>
        </w:rPr>
        <w:t>.​</w:t>
      </w:r>
    </w:p>
    <w:p w14:paraId="0DE8C75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Проте, існують і певні виклики у взаємодії публічної влади та громадянського суспільства. Серед них можна виділити недостатню інституційну спроможність громадських організацій, обмежений доступ до ресурсів, а також нерозвиненість механізмів участі громадян у процесах прийняття рішень. Крім того, іноді спостерігається формальний підхід з боку влади до взаємодії з громадськістю, що знижує ефективність такої співпраці.​</w:t>
      </w:r>
    </w:p>
    <w:p w14:paraId="3633F7F9"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Для подолання цих викликів необхідно розвивати партнерські відносини між публічною владою та інституціями громадянського суспільства. Це передбачає створення сприятливого правового середовища для діяльності громадських організацій, забезпечення їх фінансової підтримки, а також розвиток механізмів участі громадян у процесах врядування.​</w:t>
      </w:r>
    </w:p>
    <w:p w14:paraId="02BCDB1C"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Одним із ефективних інструментів взаємодії є створення громадських рад при органах влади, які дозволяють залучати представників </w:t>
      </w:r>
      <w:r w:rsidRPr="00511005">
        <w:rPr>
          <w:rFonts w:ascii="Arial" w:eastAsia="Calibri" w:hAnsi="Arial" w:cs="Arial"/>
          <w:szCs w:val="28"/>
          <w:lang w:val="uk-UA" w:bidi="uk-UA"/>
        </w:rPr>
        <w:lastRenderedPageBreak/>
        <w:t>громадськості до процесів прийняття рішень та контролю за їх виконанням. Також важливо забезпечити регулярне проведення громадських слухань та консультацій, що сприяє врахуванню інтересів різних соціальних груп у процесах врядування.​</w:t>
      </w:r>
    </w:p>
    <w:p w14:paraId="222E77DF"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Успішна взаємодія публічної влади та громадянського суспільства також залежить від рівня правової культури громадян та їх готовності брати участь у суспільному житті. Тому важливо забезпечити належний рівень правової освіти, інформування громадян про їх права та можливості участі у процесах врядування.​</w:t>
      </w:r>
    </w:p>
    <w:p w14:paraId="6BB9706A"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Крім того, необхідно розвивати інституційні механізми взаємодії, зокрема створення платформ для діалогу між владою та громадськістю, розвиток партнерських проектів та програм, спрямованих на вирішення актуальних соціальних проблем. Такі ініціативи сприяють зміцненню довіри між владою та громадянами, підвищенню ефективності управління та забезпеченню сталого розвитку суспільства [1].​ </w:t>
      </w:r>
    </w:p>
    <w:p w14:paraId="441A9183"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Важливо також враховувати регіональні особливості у взаємодії публічної влади та громадянського суспільства. У різних регіонах можуть існувати специфічні соціальні, економічні та культурні умови, що впливають на характер та ефективність такої взаємодії. Тому необхідно розробляти індивідуальні підходи до співпраці з громадськістю в кожному конкретному регіоні, враховуючи місцеві потреби та особливості.​</w:t>
      </w:r>
    </w:p>
    <w:p w14:paraId="4A4D23EF"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Загалом, ефективна взаємодія публічної влади та інституцій громадянського суспільства є необхідною умовою для формування демократичного, правового та соціально орієнтованого суспільства. Це сприяє підвищенню якості управління, забезпеченню прав і свобод громадян, а також зміцненню довіри до влади.​</w:t>
      </w:r>
      <w:r w:rsidRPr="00511005">
        <w:rPr>
          <w:rFonts w:ascii="Arial" w:eastAsia="Calibri" w:hAnsi="Arial" w:cs="Arial"/>
          <w:szCs w:val="28"/>
          <w:lang w:bidi="uk-UA"/>
        </w:rPr>
        <w:t xml:space="preserve"> </w:t>
      </w:r>
      <w:r w:rsidRPr="00511005">
        <w:rPr>
          <w:rFonts w:ascii="Arial" w:eastAsia="Calibri" w:hAnsi="Arial" w:cs="Arial"/>
          <w:szCs w:val="28"/>
          <w:lang w:val="uk-UA" w:bidi="uk-UA"/>
        </w:rPr>
        <w:t>У сучасних умовах особливого значення набуває розвиток партнерських відносин між публічною владою та громадянським суспільством, заснованих на принципах відкритості, прозорості, підзвітності та взаємної поваги. Це дозволяє забезпечити ефективне управління, врахування інтересів різних соціальних груп та сприяє сталому розвитку суспільства в цілому</w:t>
      </w:r>
      <w:r w:rsidRPr="00511005">
        <w:rPr>
          <w:rFonts w:ascii="Arial" w:eastAsia="Calibri" w:hAnsi="Arial" w:cs="Arial"/>
          <w:szCs w:val="28"/>
          <w:lang w:bidi="uk-UA"/>
        </w:rPr>
        <w:t xml:space="preserve"> [3, </w:t>
      </w:r>
      <w:r w:rsidRPr="00511005">
        <w:rPr>
          <w:rFonts w:ascii="Arial" w:eastAsia="Calibri" w:hAnsi="Arial" w:cs="Arial"/>
          <w:szCs w:val="28"/>
          <w:lang w:val="en-US" w:bidi="uk-UA"/>
        </w:rPr>
        <w:t>c</w:t>
      </w:r>
      <w:r w:rsidRPr="00511005">
        <w:rPr>
          <w:rFonts w:ascii="Arial" w:eastAsia="Calibri" w:hAnsi="Arial" w:cs="Arial"/>
          <w:szCs w:val="28"/>
          <w:lang w:bidi="uk-UA"/>
        </w:rPr>
        <w:t>.175]</w:t>
      </w:r>
      <w:r w:rsidRPr="00511005">
        <w:rPr>
          <w:rFonts w:ascii="Arial" w:eastAsia="Calibri" w:hAnsi="Arial" w:cs="Arial"/>
          <w:szCs w:val="28"/>
          <w:lang w:val="uk-UA" w:bidi="uk-UA"/>
        </w:rPr>
        <w:t>.​</w:t>
      </w:r>
    </w:p>
    <w:p w14:paraId="0C685D65"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Таким чином, взаємодія публічної влади та інституцій громадянського суспільства є необхідною умовою для забезпечення ефективного функціонування демократичної держави. У сучасних умовах така взаємодія стає дедалі більш актуальною, адже лише завдяки партнерству, відкритості та взаємній відповідальності можливо досягти реального впливу громадськості на процеси прийняття рішень та реалізацію політик на всіх рівнях управління. Особливу роль у цьому процесі відіграє розвиток механізмів громадської участі, прозорість діяльності органів публічної влади, а також здатність громадянських інституцій діяти в інтересах суспільства, не втрачаючи своєї автономії. Попри наявні виклики, зокрема інституційну слабкість, брак ресурсів і політичну волю, поступове </w:t>
      </w:r>
      <w:r w:rsidRPr="00511005">
        <w:rPr>
          <w:rFonts w:ascii="Arial" w:eastAsia="Calibri" w:hAnsi="Arial" w:cs="Arial"/>
          <w:szCs w:val="28"/>
          <w:lang w:val="uk-UA" w:bidi="uk-UA"/>
        </w:rPr>
        <w:lastRenderedPageBreak/>
        <w:t xml:space="preserve">формування довіри між владою та громадянським суспільством може забезпечити стабільність, соціальну злагоду та стійкий розвиток. </w:t>
      </w:r>
      <w:r w:rsidRPr="00511005">
        <w:rPr>
          <w:rFonts w:ascii="Arial" w:eastAsia="Calibri" w:hAnsi="Arial" w:cs="Arial"/>
          <w:szCs w:val="28"/>
          <w:lang w:bidi="uk-UA"/>
        </w:rPr>
        <w:t>У майбутньому ефективна співпраця між цими суб’єктами публічного простору має стати основою сталого демократичного врядування в Україні.</w:t>
      </w:r>
    </w:p>
    <w:p w14:paraId="1AD3AFCE" w14:textId="77777777" w:rsidR="00B67481" w:rsidRPr="00511005" w:rsidRDefault="00B67481" w:rsidP="003A292D">
      <w:pPr>
        <w:tabs>
          <w:tab w:val="left" w:pos="7088"/>
        </w:tabs>
        <w:spacing w:line="264" w:lineRule="auto"/>
        <w:rPr>
          <w:rFonts w:ascii="Arial" w:eastAsia="Calibri" w:hAnsi="Arial" w:cs="Arial"/>
          <w:szCs w:val="28"/>
          <w:lang w:val="uk-UA" w:bidi="uk-UA"/>
        </w:rPr>
      </w:pPr>
    </w:p>
    <w:p w14:paraId="460C2995" w14:textId="77777777" w:rsidR="00B67481" w:rsidRPr="00511005" w:rsidRDefault="00B67481" w:rsidP="003A292D">
      <w:pPr>
        <w:tabs>
          <w:tab w:val="left" w:pos="7088"/>
        </w:tabs>
        <w:spacing w:line="264" w:lineRule="auto"/>
        <w:ind w:firstLine="0"/>
        <w:jc w:val="center"/>
        <w:rPr>
          <w:rFonts w:ascii="Arial" w:eastAsia="Calibri" w:hAnsi="Arial" w:cs="Arial"/>
          <w:b/>
          <w:szCs w:val="28"/>
          <w:lang w:val="uk-UA" w:bidi="uk-UA"/>
        </w:rPr>
      </w:pPr>
      <w:r w:rsidRPr="00511005">
        <w:rPr>
          <w:rFonts w:ascii="Arial" w:eastAsia="Calibri" w:hAnsi="Arial" w:cs="Arial"/>
          <w:b/>
          <w:szCs w:val="28"/>
          <w:lang w:val="en-US" w:bidi="uk-UA"/>
        </w:rPr>
        <w:t>C</w:t>
      </w:r>
      <w:r w:rsidRPr="00511005">
        <w:rPr>
          <w:rFonts w:ascii="Arial" w:eastAsia="Calibri" w:hAnsi="Arial" w:cs="Arial"/>
          <w:b/>
          <w:szCs w:val="28"/>
          <w:lang w:val="uk-UA" w:bidi="uk-UA"/>
        </w:rPr>
        <w:t>писок використаних джерел</w:t>
      </w:r>
    </w:p>
    <w:p w14:paraId="5BA4185D" w14:textId="3C3B24B8" w:rsidR="00B67481" w:rsidRPr="0071733E" w:rsidRDefault="00B67481" w:rsidP="003F6A5D">
      <w:pPr>
        <w:widowControl w:val="0"/>
        <w:numPr>
          <w:ilvl w:val="0"/>
          <w:numId w:val="245"/>
        </w:numPr>
        <w:tabs>
          <w:tab w:val="left" w:pos="1276"/>
          <w:tab w:val="left" w:pos="7088"/>
        </w:tabs>
        <w:autoSpaceDE w:val="0"/>
        <w:autoSpaceDN w:val="0"/>
        <w:adjustRightInd w:val="0"/>
        <w:spacing w:line="264" w:lineRule="auto"/>
        <w:ind w:left="0" w:firstLine="709"/>
        <w:contextualSpacing/>
        <w:jc w:val="left"/>
        <w:rPr>
          <w:rFonts w:ascii="Arial" w:eastAsia="Times New Roman" w:hAnsi="Arial" w:cs="Arial"/>
          <w:szCs w:val="28"/>
          <w:lang w:eastAsia="ru-RU"/>
        </w:rPr>
      </w:pPr>
      <w:r w:rsidRPr="0071733E">
        <w:rPr>
          <w:rFonts w:ascii="Arial" w:eastAsia="Times New Roman" w:hAnsi="Arial" w:cs="Arial"/>
          <w:szCs w:val="28"/>
          <w:lang w:eastAsia="ru-RU"/>
        </w:rPr>
        <w:t>Бондарчук Н. В. Взаємодія органів публічної влади та інститутів громадянського суспільства: стан та перспективи розвитку. Державне управління: удосконалення та розвиток.</w:t>
      </w:r>
      <w:r w:rsidR="007B2628" w:rsidRPr="0071733E">
        <w:rPr>
          <w:rFonts w:ascii="Arial" w:eastAsia="Times New Roman" w:hAnsi="Arial" w:cs="Arial"/>
          <w:szCs w:val="28"/>
          <w:lang w:eastAsia="ru-RU"/>
        </w:rPr>
        <w:t xml:space="preserve"> </w:t>
      </w:r>
      <w:r w:rsidRPr="0071733E">
        <w:rPr>
          <w:rFonts w:ascii="Arial" w:eastAsia="Times New Roman" w:hAnsi="Arial" w:cs="Arial"/>
          <w:szCs w:val="28"/>
          <w:lang w:eastAsia="ru-RU"/>
        </w:rPr>
        <w:t>2023.</w:t>
      </w:r>
      <w:r w:rsidR="007B2628" w:rsidRPr="0071733E">
        <w:rPr>
          <w:rFonts w:ascii="Arial" w:eastAsia="Times New Roman" w:hAnsi="Arial" w:cs="Arial"/>
          <w:szCs w:val="28"/>
          <w:lang w:eastAsia="ru-RU"/>
        </w:rPr>
        <w:t xml:space="preserve"> </w:t>
      </w:r>
      <w:r w:rsidRPr="0071733E">
        <w:rPr>
          <w:rFonts w:ascii="Arial" w:eastAsia="Times New Roman" w:hAnsi="Arial" w:cs="Arial"/>
          <w:szCs w:val="28"/>
          <w:lang w:eastAsia="ru-RU"/>
        </w:rPr>
        <w:t>№ 9. URL: https://dspace.dsau.dp.ua/handle/123456789/9251 (дата звернення: 19.04.2025)</w:t>
      </w:r>
    </w:p>
    <w:p w14:paraId="56E53183" w14:textId="4937C75E" w:rsidR="007B2628" w:rsidRPr="0071733E" w:rsidRDefault="00B67481" w:rsidP="003F6A5D">
      <w:pPr>
        <w:widowControl w:val="0"/>
        <w:numPr>
          <w:ilvl w:val="0"/>
          <w:numId w:val="245"/>
        </w:numPr>
        <w:tabs>
          <w:tab w:val="left" w:pos="1276"/>
          <w:tab w:val="left" w:pos="7088"/>
        </w:tabs>
        <w:autoSpaceDE w:val="0"/>
        <w:autoSpaceDN w:val="0"/>
        <w:adjustRightInd w:val="0"/>
        <w:spacing w:line="264" w:lineRule="auto"/>
        <w:ind w:left="0" w:firstLine="709"/>
        <w:contextualSpacing/>
        <w:jc w:val="left"/>
        <w:rPr>
          <w:rFonts w:ascii="Arial" w:eastAsia="Times New Roman" w:hAnsi="Arial" w:cs="Arial"/>
          <w:szCs w:val="28"/>
          <w:lang w:eastAsia="ru-RU"/>
        </w:rPr>
      </w:pPr>
      <w:r w:rsidRPr="0071733E">
        <w:rPr>
          <w:rFonts w:ascii="Arial" w:eastAsia="Times New Roman" w:hAnsi="Arial" w:cs="Arial"/>
          <w:szCs w:val="28"/>
          <w:lang w:eastAsia="ru-RU"/>
        </w:rPr>
        <w:t>Бліхар М., Крикавська І. Правова характеристика взаємодії органів судової влади та інститутів громадянського суспільства. Науковий вісник Ужгородського національного університету. Серія: Право.</w:t>
      </w:r>
      <w:r w:rsidR="007B2628" w:rsidRPr="0071733E">
        <w:rPr>
          <w:rFonts w:ascii="Arial" w:eastAsia="Times New Roman" w:hAnsi="Arial" w:cs="Arial"/>
          <w:szCs w:val="28"/>
          <w:lang w:eastAsia="ru-RU"/>
        </w:rPr>
        <w:t xml:space="preserve"> </w:t>
      </w:r>
      <w:r w:rsidRPr="0071733E">
        <w:rPr>
          <w:rFonts w:ascii="Arial" w:eastAsia="Times New Roman" w:hAnsi="Arial" w:cs="Arial"/>
          <w:szCs w:val="28"/>
          <w:lang w:eastAsia="ru-RU"/>
        </w:rPr>
        <w:t>2022.</w:t>
      </w:r>
      <w:r w:rsidR="007B2628" w:rsidRPr="0071733E">
        <w:rPr>
          <w:rFonts w:ascii="Arial" w:eastAsia="Times New Roman" w:hAnsi="Arial" w:cs="Arial"/>
          <w:szCs w:val="28"/>
          <w:lang w:eastAsia="ru-RU"/>
        </w:rPr>
        <w:t xml:space="preserve"> </w:t>
      </w:r>
      <w:r w:rsidRPr="0071733E">
        <w:rPr>
          <w:rFonts w:ascii="Arial" w:eastAsia="Times New Roman" w:hAnsi="Arial" w:cs="Arial"/>
          <w:szCs w:val="28"/>
          <w:lang w:eastAsia="ru-RU"/>
        </w:rPr>
        <w:t>№ 70. URL: https://visnyk-pravo.uzhnu.edu.ua/article/view/258234 (дата звернення: 19.04.2025)</w:t>
      </w:r>
    </w:p>
    <w:p w14:paraId="6E7E51B8" w14:textId="17EC14C3" w:rsidR="00B67481" w:rsidRPr="0071733E" w:rsidRDefault="00B67481" w:rsidP="003F6A5D">
      <w:pPr>
        <w:widowControl w:val="0"/>
        <w:numPr>
          <w:ilvl w:val="0"/>
          <w:numId w:val="245"/>
        </w:numPr>
        <w:tabs>
          <w:tab w:val="left" w:pos="1276"/>
          <w:tab w:val="left" w:pos="7088"/>
        </w:tabs>
        <w:autoSpaceDE w:val="0"/>
        <w:autoSpaceDN w:val="0"/>
        <w:adjustRightInd w:val="0"/>
        <w:spacing w:line="264" w:lineRule="auto"/>
        <w:ind w:left="0" w:firstLine="709"/>
        <w:contextualSpacing/>
        <w:jc w:val="left"/>
        <w:rPr>
          <w:rFonts w:ascii="Arial" w:eastAsia="Times New Roman" w:hAnsi="Arial" w:cs="Arial"/>
          <w:szCs w:val="28"/>
          <w:lang w:eastAsia="ru-RU"/>
        </w:rPr>
      </w:pPr>
      <w:r w:rsidRPr="0071733E">
        <w:rPr>
          <w:rFonts w:ascii="Arial" w:eastAsia="Times New Roman" w:hAnsi="Arial" w:cs="Arial"/>
          <w:szCs w:val="28"/>
          <w:lang w:eastAsia="ru-RU"/>
        </w:rPr>
        <w:t>Силантьєва І. В. Взаємодія політичної влади та громадянського суспільства: теоретико-правовий аспект. Аналітичне-порівняльне правознавство.</w:t>
      </w:r>
      <w:r w:rsidR="007B2628" w:rsidRPr="0071733E">
        <w:rPr>
          <w:rFonts w:ascii="Arial" w:eastAsia="Times New Roman" w:hAnsi="Arial" w:cs="Arial"/>
          <w:szCs w:val="28"/>
          <w:lang w:eastAsia="ru-RU"/>
        </w:rPr>
        <w:t xml:space="preserve"> </w:t>
      </w:r>
      <w:r w:rsidRPr="0071733E">
        <w:rPr>
          <w:rFonts w:ascii="Arial" w:eastAsia="Times New Roman" w:hAnsi="Arial" w:cs="Arial"/>
          <w:szCs w:val="28"/>
          <w:lang w:eastAsia="ru-RU"/>
        </w:rPr>
        <w:t>2023.</w:t>
      </w:r>
      <w:r w:rsidR="007B2628" w:rsidRPr="0071733E">
        <w:rPr>
          <w:rFonts w:ascii="Arial" w:eastAsia="Times New Roman" w:hAnsi="Arial" w:cs="Arial"/>
          <w:szCs w:val="28"/>
          <w:lang w:eastAsia="ru-RU"/>
        </w:rPr>
        <w:t xml:space="preserve"> </w:t>
      </w:r>
      <w:r w:rsidRPr="0071733E">
        <w:rPr>
          <w:rFonts w:ascii="Arial" w:eastAsia="Times New Roman" w:hAnsi="Arial" w:cs="Arial"/>
          <w:szCs w:val="28"/>
          <w:lang w:eastAsia="ru-RU"/>
        </w:rPr>
        <w:t>№ 6.</w:t>
      </w:r>
      <w:r w:rsidR="007B2628" w:rsidRPr="0071733E">
        <w:rPr>
          <w:rFonts w:ascii="Arial" w:eastAsia="Times New Roman" w:hAnsi="Arial" w:cs="Arial"/>
          <w:szCs w:val="28"/>
          <w:lang w:eastAsia="ru-RU"/>
        </w:rPr>
        <w:t xml:space="preserve"> </w:t>
      </w:r>
      <w:r w:rsidRPr="0071733E">
        <w:rPr>
          <w:rFonts w:ascii="Arial" w:eastAsia="Times New Roman" w:hAnsi="Arial" w:cs="Arial"/>
          <w:szCs w:val="28"/>
          <w:lang w:eastAsia="ru-RU"/>
        </w:rPr>
        <w:t>С. 173–177. URL: http://journal-app.uzhnu.edu.ua/article/view/294409/287194 (дата звернення: 19.04.2025)</w:t>
      </w:r>
    </w:p>
    <w:p w14:paraId="7F11E90A" w14:textId="77777777" w:rsidR="00B67481" w:rsidRPr="00511005" w:rsidRDefault="00B67481"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b/>
          <w:szCs w:val="28"/>
          <w:lang w:eastAsia="ru-RU"/>
        </w:rPr>
      </w:pPr>
    </w:p>
    <w:p w14:paraId="6D2625BB" w14:textId="0948BE1B" w:rsidR="00B67481" w:rsidRPr="00511005" w:rsidRDefault="007B2628"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B67481" w:rsidRPr="00511005">
        <w:rPr>
          <w:rFonts w:ascii="Arial" w:eastAsia="Times New Roman" w:hAnsi="Arial" w:cs="Arial"/>
          <w:szCs w:val="28"/>
          <w:lang w:eastAsia="ru-RU"/>
        </w:rPr>
        <w:t>Публічна влада, громадянське суспільство, взаємодія, демократичне врядування, участь громадян.</w:t>
      </w:r>
    </w:p>
    <w:p w14:paraId="6B8275EF" w14:textId="0E14073E" w:rsidR="00B67481" w:rsidRPr="00511005" w:rsidRDefault="007B2628"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B67481" w:rsidRPr="00511005">
        <w:rPr>
          <w:rFonts w:ascii="Arial" w:eastAsia="Times New Roman" w:hAnsi="Arial" w:cs="Arial"/>
          <w:szCs w:val="28"/>
          <w:lang w:val="en-US" w:eastAsia="ru-RU"/>
        </w:rPr>
        <w:t>Public authority, civil society, interaction, democratic governance, citizen participation.</w:t>
      </w:r>
    </w:p>
    <w:p w14:paraId="06F34D89" w14:textId="4ACB5EDC" w:rsidR="00B67481" w:rsidRPr="00511005" w:rsidRDefault="007B2628"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B67481" w:rsidRPr="00511005">
        <w:rPr>
          <w:rFonts w:ascii="Arial" w:eastAsia="Times New Roman" w:hAnsi="Arial" w:cs="Arial"/>
          <w:i/>
          <w:szCs w:val="28"/>
          <w:lang w:val="uk-UA" w:eastAsia="ru-RU"/>
        </w:rPr>
        <w:t>асистент Назарчук А.В.</w:t>
      </w:r>
    </w:p>
    <w:p w14:paraId="615ED311" w14:textId="77777777" w:rsidR="001D1A08" w:rsidRPr="00511005" w:rsidRDefault="001D1A08" w:rsidP="003A292D">
      <w:pPr>
        <w:spacing w:line="264" w:lineRule="auto"/>
        <w:ind w:firstLine="0"/>
        <w:jc w:val="left"/>
        <w:rPr>
          <w:rFonts w:ascii="Arial" w:eastAsia="Calibri" w:hAnsi="Arial" w:cs="Arial"/>
          <w:i/>
          <w:szCs w:val="28"/>
          <w:lang w:val="uk-UA"/>
        </w:rPr>
      </w:pPr>
    </w:p>
    <w:p w14:paraId="1E3D1F03" w14:textId="77777777" w:rsidR="001D1A08" w:rsidRPr="00511005" w:rsidRDefault="001D1A08" w:rsidP="003A292D">
      <w:pPr>
        <w:spacing w:line="264" w:lineRule="auto"/>
        <w:ind w:firstLine="0"/>
        <w:jc w:val="left"/>
        <w:rPr>
          <w:rFonts w:ascii="Arial" w:eastAsia="Calibri" w:hAnsi="Arial" w:cs="Arial"/>
          <w:i/>
          <w:szCs w:val="28"/>
          <w:lang w:val="uk-UA"/>
        </w:rPr>
      </w:pPr>
    </w:p>
    <w:p w14:paraId="6C2A2DCC" w14:textId="77777777" w:rsidR="00B67481" w:rsidRPr="00511005" w:rsidRDefault="00B67481" w:rsidP="003A292D">
      <w:pPr>
        <w:spacing w:line="264" w:lineRule="auto"/>
        <w:ind w:firstLine="0"/>
        <w:jc w:val="center"/>
        <w:rPr>
          <w:rFonts w:ascii="Arial" w:eastAsia="Calibri" w:hAnsi="Arial" w:cs="Arial"/>
          <w:b/>
          <w:i/>
          <w:iCs/>
          <w:szCs w:val="28"/>
        </w:rPr>
      </w:pPr>
      <w:r w:rsidRPr="00511005">
        <w:rPr>
          <w:rFonts w:ascii="Arial" w:eastAsia="Calibri" w:hAnsi="Arial" w:cs="Arial"/>
          <w:b/>
          <w:i/>
          <w:iCs/>
          <w:szCs w:val="28"/>
        </w:rPr>
        <w:t>Карманчук Віталій Олегович</w:t>
      </w:r>
    </w:p>
    <w:p w14:paraId="292BEB77" w14:textId="6D075E79" w:rsidR="00B67481" w:rsidRPr="00511005" w:rsidRDefault="00536AAB"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 2-го курсу </w:t>
      </w:r>
      <w:r w:rsidR="001B7B25" w:rsidRPr="00511005">
        <w:rPr>
          <w:rFonts w:ascii="Arial" w:eastAsia="Calibri" w:hAnsi="Arial" w:cs="Arial"/>
          <w:szCs w:val="28"/>
        </w:rPr>
        <w:t>факультету судового та міжнародного права</w:t>
      </w:r>
      <w:r w:rsidR="00B67481" w:rsidRPr="00511005">
        <w:rPr>
          <w:rFonts w:ascii="Arial" w:eastAsia="Calibri" w:hAnsi="Arial" w:cs="Arial"/>
          <w:szCs w:val="28"/>
        </w:rPr>
        <w:br/>
      </w:r>
      <w:r w:rsidR="00C66506" w:rsidRPr="00511005">
        <w:rPr>
          <w:rFonts w:ascii="Arial" w:eastAsia="Calibri" w:hAnsi="Arial" w:cs="Arial"/>
          <w:szCs w:val="28"/>
        </w:rPr>
        <w:t>Національного університету «Одеська юридична академія»</w:t>
      </w:r>
    </w:p>
    <w:p w14:paraId="14F4ED8E" w14:textId="77777777" w:rsidR="00B67481" w:rsidRPr="00511005" w:rsidRDefault="00B67481" w:rsidP="003A292D">
      <w:pPr>
        <w:tabs>
          <w:tab w:val="left" w:pos="851"/>
        </w:tabs>
        <w:suppressAutoHyphens/>
        <w:spacing w:line="264" w:lineRule="auto"/>
        <w:ind w:firstLine="0"/>
        <w:rPr>
          <w:rFonts w:ascii="Arial" w:eastAsia="Times New Roman" w:hAnsi="Arial" w:cs="Arial"/>
          <w:szCs w:val="28"/>
          <w:lang w:eastAsia="pl-PL"/>
        </w:rPr>
      </w:pPr>
    </w:p>
    <w:p w14:paraId="134A1257" w14:textId="77777777" w:rsidR="00B67481" w:rsidRPr="00511005" w:rsidRDefault="00B67481" w:rsidP="003A292D">
      <w:pPr>
        <w:widowControl w:val="0"/>
        <w:autoSpaceDE w:val="0"/>
        <w:autoSpaceDN w:val="0"/>
        <w:adjustRightInd w:val="0"/>
        <w:spacing w:line="264" w:lineRule="auto"/>
        <w:ind w:firstLine="0"/>
        <w:contextualSpacing/>
        <w:jc w:val="center"/>
        <w:rPr>
          <w:rFonts w:ascii="Arial" w:eastAsia="Times New Roman" w:hAnsi="Arial" w:cs="Arial"/>
          <w:b/>
          <w:szCs w:val="28"/>
          <w:lang w:eastAsia="ru-RU"/>
        </w:rPr>
      </w:pPr>
      <w:r w:rsidRPr="00511005">
        <w:rPr>
          <w:rFonts w:ascii="Arial" w:eastAsia="Times New Roman" w:hAnsi="Arial" w:cs="Arial"/>
          <w:b/>
          <w:szCs w:val="28"/>
          <w:lang w:eastAsia="ru-RU"/>
        </w:rPr>
        <w:t>АДМІНІСТРАТИВНО-ПРАВОВЕ РЕГУЛЮВАННЯ ДОСТУПУ ДО ПУБЛІЧНОЇ ІНФОРМАЦІЇ: ПРОБЛЕМИ РЕАЛІЗАЦІЇ</w:t>
      </w:r>
    </w:p>
    <w:p w14:paraId="1BAE5E76"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 xml:space="preserve">Доступ до публічної інформації є фундаментальним правом людини і громадянина, що забезпечує прозорість та відкритість діяльності органів публічної влади. Теоретико-правові засади регулювання доступу до публічної інформації базуються на конституційних положеннях про право кожного вільно збирати, зберігати, використовувати і поширювати інформацію [1]. Ключовими поняттями у цій сфері є «публічна інформація», «запит на інформацію», «розпорядник інформації», «суб'єкт владних повноважень» тощо. Публічна інформація, відповідно до законодавства </w:t>
      </w:r>
      <w:r w:rsidRPr="00511005">
        <w:rPr>
          <w:rFonts w:ascii="Arial" w:eastAsia="Calibri" w:hAnsi="Arial" w:cs="Arial"/>
          <w:szCs w:val="28"/>
        </w:rPr>
        <w:lastRenderedPageBreak/>
        <w:t>України, визначається як відображена та задокументована будь-якими засобами та на будь-яких носіях інформація, що була отримана або створена в процесі виконання суб'єктами владних повноважень своїх обов'язків або яка знаходиться у володінні суб’єктів владних повноважень [2].</w:t>
      </w:r>
    </w:p>
    <w:p w14:paraId="0B6A99F4"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 xml:space="preserve">Нормативно-правову базу регулювання доступу до публічної інформації в Україні становлять Конституція України [1], Закон України «Про доступ до публічної інформації» [2], Закон України «Про інформацію» [3], а також інші закони та підзаконні нормативно-правові акти. Важливими міжнародними документами у цій сфері є Конвенція про захист прав людини і основоположних свобод [4], </w:t>
      </w:r>
      <w:proofErr w:type="gramStart"/>
      <w:r w:rsidRPr="00511005">
        <w:rPr>
          <w:rFonts w:ascii="Arial" w:eastAsia="Calibri" w:hAnsi="Arial" w:cs="Arial"/>
          <w:szCs w:val="28"/>
        </w:rPr>
        <w:t>Конвенція</w:t>
      </w:r>
      <w:proofErr w:type="gramEnd"/>
      <w:r w:rsidRPr="00511005">
        <w:rPr>
          <w:rFonts w:ascii="Arial" w:eastAsia="Calibri" w:hAnsi="Arial" w:cs="Arial"/>
          <w:szCs w:val="28"/>
        </w:rPr>
        <w:t xml:space="preserve"> Ради Європи про доступ до офіційних документів [5], рекомендації та резолюції міжнародних організацій. </w:t>
      </w:r>
    </w:p>
    <w:p w14:paraId="13A0EB41"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Адміністративно-правове регулювання доступу до публічної інформації передбачає систему правових норм, що встановлюють порядок здійснення права на доступ до публічної інформації, обов’язки розпорядників інформації, процедури оскарження рішень, дій чи бездіяльності розпорядників інформації та механізми притягнення до відповідальності за порушення законодавства у цій сфері [2].</w:t>
      </w:r>
    </w:p>
    <w:p w14:paraId="1F6DC647"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Правові механізми забезпечення доступу до публічної інформації в Україні реалізуються через систему законодавчо закріплених інструментів та процедур, що дозволяють громадянам отримувати інформацію від органів публічної влади. Ключовими з них є: подання інформаційних запитів (письмових, усних, електронних), обов'язок органів влади оприлюднювати певні категорії інформації на офіційних веб-сайтах, створення та функціонування єдиних державних реєстрів відкритих даних, а також система гарантій забезпечення доступу (максимальне спрощення процедури запиту, безоплатність доступу до більшості інформації, чіткі строки надання відповіді). Законодавство України передбачає також принцип «презумпції відкритості інформації», відповідно до якого будь-яка інформація є відкритою, крім тієї, що прямо визначена законом як інформація з обмеженим доступом. Важливим інструментом є механізм «трискладового тесту», який дозволяє перевірити обґрунтованість віднесення інформації до категорії з обмеженим доступом.</w:t>
      </w:r>
    </w:p>
    <w:p w14:paraId="515C44F8"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Міжнародні стандарти, імплементовані в українське законодавство, базуються на принципах максимальної відкритості, обов'язку публікувати інформацію та пріоритеті суспільного інтересу. Європейські стандарти закріплюють необхідність чітких підстав для відмови у доступі та судового оскарження таких відмов. Українське законодавство відповідає міжнародним принципам, проте проблеми залишаються в практичній площині.</w:t>
      </w:r>
    </w:p>
    <w:p w14:paraId="5BCEBA41"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lastRenderedPageBreak/>
        <w:t>Реалізація права на доступ стикається з проблемами законодавчого характеру: невизначеність статусу окремих категорій інформації, відсутність чітких критеріїв для «конфіденційної інформації», неврегульованість питань доступу до інформації суб'єктів господарювання з делегованими функціями. Також проблемою є недосконалість механізмів оскарження та недостатня ефективність інституту відповідальності.</w:t>
      </w:r>
    </w:p>
    <w:p w14:paraId="24CC397D"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На практичному рівні реалізацію ускладнює низький рівень правової культури. Розпорядники часто надають формальні відповіді, неповну інформацію або безпідставно відмовляють у наданні, посилаючись на обмежений доступ. Технічні проблеми включають недостатній рівень цифровізації та відсутність якісних реєстрів. Особливо гострою є проблема доступу на місцевому рівні та відсутність ефективного моніторингу дотримання законодавства.</w:t>
      </w:r>
    </w:p>
    <w:p w14:paraId="49C63D23" w14:textId="51F571FB"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Адміністративна відповідальність регламентується ст. 212</w:t>
      </w:r>
      <w:r w:rsidRPr="00511005">
        <w:rPr>
          <w:rFonts w:ascii="Arial" w:eastAsia="Calibri" w:hAnsi="Arial" w:cs="Arial"/>
          <w:szCs w:val="28"/>
          <w:vertAlign w:val="superscript"/>
        </w:rPr>
        <w:t>3</w:t>
      </w:r>
      <w:r w:rsidRPr="00511005">
        <w:rPr>
          <w:rFonts w:ascii="Arial" w:eastAsia="Calibri" w:hAnsi="Arial" w:cs="Arial"/>
          <w:szCs w:val="28"/>
        </w:rPr>
        <w:t xml:space="preserve"> Кодексу України про адміністративні правопорушення (КУпАП) [6], яка передбачає відповідальність за порушення права на доступ до публічної інформації. Санкції передбачають штрафи від 25 до 50 неоподатковуваних мінімумів доходів громадян (від 425 грн. до 850 грн.), а за повторне порушення — від 50 до 80 (від 850 грн. до 1360 грн.). Аналіз свідчить про недостатню превентивну дію цих санкцій через їх незначний розмір.</w:t>
      </w:r>
      <w:r w:rsidR="007B2628" w:rsidRPr="00511005">
        <w:rPr>
          <w:rFonts w:ascii="Arial" w:eastAsia="Calibri" w:hAnsi="Arial" w:cs="Arial"/>
          <w:szCs w:val="28"/>
        </w:rPr>
        <w:t xml:space="preserve"> </w:t>
      </w:r>
      <w:r w:rsidRPr="00511005">
        <w:rPr>
          <w:rFonts w:ascii="Arial" w:eastAsia="Calibri" w:hAnsi="Arial" w:cs="Arial"/>
          <w:szCs w:val="28"/>
        </w:rPr>
        <w:t>штрафів. Також існує проблема ідентифікації конкретних відповідальних осіб, особливо в колегіальних органах.</w:t>
      </w:r>
    </w:p>
    <w:p w14:paraId="5524418E"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Правозастосовна практика у сфері адміністративної відповідальності за порушення законодавства про доступ до публічної інформації характеризується низькою ефективністю. За даними моніторингових досліджень, кількість протоколів про адміністративні правопорушення за ст. 212</w:t>
      </w:r>
      <w:r w:rsidRPr="00511005">
        <w:rPr>
          <w:rFonts w:ascii="Arial" w:eastAsia="Calibri" w:hAnsi="Arial" w:cs="Arial"/>
          <w:szCs w:val="28"/>
          <w:vertAlign w:val="superscript"/>
        </w:rPr>
        <w:t>3</w:t>
      </w:r>
      <w:r w:rsidRPr="00511005">
        <w:rPr>
          <w:rFonts w:ascii="Arial" w:eastAsia="Calibri" w:hAnsi="Arial" w:cs="Arial"/>
          <w:szCs w:val="28"/>
        </w:rPr>
        <w:t xml:space="preserve"> КУпАП є незначною порівняно з фактичною кількістю порушень, що свідчить про низький рівень виявлення та фіксації таких правопорушень. Процедура притягнення до відповідальності є складною і багатоетапною: спочатку уповноважена особа має скласти протокол про адміністративне правопорушення, потім його розглядає суд, який приймає рішення про накладення стягнення. Судова практика демонструє неоднакове застосування норм законодавства та часто призводить до закриття справ у зв'язку із закінченням строків накладення адміністративного стягнення або через недоведеність вини посадової особи. Відсутність спеціалізованого наглядового органу з широкими повноваженнями щодо контролю за дотриманням законодавства про доступ до публічної інформації (на кшталт інформаційних комісарів чи омбудсменів у європейських країнах) також негативно впливає на ефективність механізму адміністративної відповідальності у цій сфері.</w:t>
      </w:r>
    </w:p>
    <w:p w14:paraId="6AF3B641"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 xml:space="preserve">Удосконалення адміністративно-правового регулювання доступу до публічної інформації в Україні потребує комплексного підходу, спрямованого </w:t>
      </w:r>
      <w:r w:rsidRPr="00511005">
        <w:rPr>
          <w:rFonts w:ascii="Arial" w:eastAsia="Calibri" w:hAnsi="Arial" w:cs="Arial"/>
          <w:szCs w:val="28"/>
        </w:rPr>
        <w:lastRenderedPageBreak/>
        <w:t xml:space="preserve">на усунення як законодавчих прогалин, так і практичних проблем у цій сфері. Першочерговими законодавчими змінами мають стати уточнення категорій інформації з обмеженим доступом, зокрема конкретизація поняття «службова інформація», встановлення чітких критеріїв віднесення інформації до конфіденційної та розробка детальних процедур застосування «трискладового тесту». Доцільним є посилення адміністративної відповідальності за порушення законодавства про доступ до публічної інформації шляхом збільшення розмірів штрафів та запровадження додаткових санкцій для посадових осіб, які систематично порушують вимоги закону. Особливої уваги потребує питання створення спеціалізованого наглядового органу – Інформаційного комісара або розширення повноважень існуючих інституцій (наприклад, Уповноваженого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з прав людини) у сфері контролю за дотриманням права на доступ до публічної інформації.</w:t>
      </w:r>
    </w:p>
    <w:p w14:paraId="22A3DB5E"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 xml:space="preserve">На практичному рівні необхідно запровадити систематичні навчання для посадових осіб органів державної влади та місцевого самоврядування щодо застосування законодавства про доступ до публічної інформації, а також проводити інформаційно-просвітницькі кампанії для громадян щодо механізмів реалізації їхнього права на доступ до інформації. Важливим напрямком є подальша цифровізація процесів надання публічної інформації, розвиток електронних реєстрів та баз даних, інтеграція різних інформаційних систем органів влади та запровадження автоматизованої системи обробки інформаційних запитів. </w:t>
      </w:r>
    </w:p>
    <w:p w14:paraId="03237374" w14:textId="77777777" w:rsidR="00B67481" w:rsidRPr="00511005" w:rsidRDefault="00B67481" w:rsidP="003A292D">
      <w:pPr>
        <w:spacing w:line="264" w:lineRule="auto"/>
        <w:ind w:firstLine="708"/>
        <w:rPr>
          <w:rFonts w:ascii="Arial" w:eastAsia="Calibri" w:hAnsi="Arial" w:cs="Arial"/>
          <w:szCs w:val="28"/>
          <w:lang w:val="uk-UA"/>
        </w:rPr>
      </w:pPr>
      <w:r w:rsidRPr="00511005">
        <w:rPr>
          <w:rFonts w:ascii="Arial" w:eastAsia="Calibri" w:hAnsi="Arial" w:cs="Arial"/>
          <w:szCs w:val="28"/>
        </w:rPr>
        <w:t>Перспективним є впровадження концепції «відкритих даних за замовчуванням», коли вся публічна інформація автоматично оприлюднюється в машиночитаному форматі, якщо вона не віднесена до інформації з обмеженим доступом. Важливо також розробити ефективні механізми моніторингу стану дотримання законодавства про доступ до публічної інформації, включно із створенням публічних рейтингів прозорості органів влади та запровадженням регулярного звітування розпорядників інформації. Такий комплексний підхід дозволить подолати наявні перешкоди та забезпечити ефективну реалізацію права на доступ до публічної інформації в Україні.</w:t>
      </w:r>
    </w:p>
    <w:p w14:paraId="0210D581" w14:textId="77777777" w:rsidR="00B67481" w:rsidRPr="00511005" w:rsidRDefault="00B67481" w:rsidP="003A292D">
      <w:pPr>
        <w:spacing w:line="264" w:lineRule="auto"/>
        <w:ind w:firstLine="708"/>
        <w:rPr>
          <w:rFonts w:ascii="Arial" w:eastAsia="Calibri" w:hAnsi="Arial" w:cs="Arial"/>
          <w:szCs w:val="28"/>
          <w:lang w:val="uk-UA"/>
        </w:rPr>
      </w:pPr>
    </w:p>
    <w:p w14:paraId="5ADB575B" w14:textId="60AF8671" w:rsidR="00B67481" w:rsidRPr="00511005" w:rsidRDefault="007B2628" w:rsidP="007B2628">
      <w:pPr>
        <w:widowControl w:val="0"/>
        <w:autoSpaceDE w:val="0"/>
        <w:autoSpaceDN w:val="0"/>
        <w:adjustRightInd w:val="0"/>
        <w:spacing w:line="264" w:lineRule="auto"/>
        <w:ind w:left="720" w:firstLine="0"/>
        <w:contextualSpacing/>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Список використаних джерел</w:t>
      </w:r>
    </w:p>
    <w:p w14:paraId="2BB33651" w14:textId="77777777" w:rsidR="00B67481" w:rsidRPr="00511005" w:rsidRDefault="00B67481" w:rsidP="003F6A5D">
      <w:pPr>
        <w:numPr>
          <w:ilvl w:val="0"/>
          <w:numId w:val="285"/>
        </w:numPr>
        <w:tabs>
          <w:tab w:val="left" w:pos="993"/>
        </w:tabs>
        <w:spacing w:line="264" w:lineRule="auto"/>
        <w:ind w:left="0" w:firstLine="567"/>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Конституція України від 26.06.1996 № 254к/96-ВР. Дата оновлення: 01.01.2020. URL: https://zakon.rada.gov.ua/laws/show/254к/96-вр#Text (дата звернення: 11.04.2025).</w:t>
      </w:r>
    </w:p>
    <w:p w14:paraId="153781B8" w14:textId="77777777" w:rsidR="00B67481" w:rsidRPr="00511005" w:rsidRDefault="00B67481" w:rsidP="003F6A5D">
      <w:pPr>
        <w:numPr>
          <w:ilvl w:val="0"/>
          <w:numId w:val="285"/>
        </w:numPr>
        <w:tabs>
          <w:tab w:val="left" w:pos="993"/>
        </w:tabs>
        <w:spacing w:line="264" w:lineRule="auto"/>
        <w:ind w:left="0" w:firstLine="567"/>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Про доступ до публічної інформації: Закон України від 13.01.2011 № 2939-VI. Дата оновлення: 08.10.2023. URL: https://zakon.rada.gov.ua/laws/show/2939-17#Text (дата звернення: 11.04.2025).</w:t>
      </w:r>
    </w:p>
    <w:p w14:paraId="0D781D7A" w14:textId="77777777" w:rsidR="00B67481" w:rsidRPr="00511005" w:rsidRDefault="00B67481" w:rsidP="003F6A5D">
      <w:pPr>
        <w:numPr>
          <w:ilvl w:val="0"/>
          <w:numId w:val="285"/>
        </w:numPr>
        <w:tabs>
          <w:tab w:val="left" w:pos="993"/>
        </w:tabs>
        <w:spacing w:line="264" w:lineRule="auto"/>
        <w:ind w:left="0" w:firstLine="567"/>
        <w:contextualSpacing/>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Про інформацію: Закон України від 02.10.1992 № 2657-XII. Дата оновлення: 15.11.2024. URL: https://zakon.rada.gov.ua/laws/show/2657-12#Text (дата звернення: 11.04.2025).</w:t>
      </w:r>
    </w:p>
    <w:p w14:paraId="540F9C8C" w14:textId="77777777" w:rsidR="00B67481" w:rsidRPr="00511005" w:rsidRDefault="00B67481" w:rsidP="003F6A5D">
      <w:pPr>
        <w:numPr>
          <w:ilvl w:val="0"/>
          <w:numId w:val="285"/>
        </w:numPr>
        <w:tabs>
          <w:tab w:val="left" w:pos="993"/>
        </w:tabs>
        <w:spacing w:line="264" w:lineRule="auto"/>
        <w:ind w:left="0" w:firstLine="567"/>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Конвенція про захист прав людини і основоположних свобод від 04.11.1950. Дата оновлення: 01.08.2021. URL: https://zakon.rada.gov.ua/laws/show/995_004#Text (дата звернення: 11.04.2025).</w:t>
      </w:r>
    </w:p>
    <w:p w14:paraId="75F58EC8" w14:textId="77777777" w:rsidR="00B67481" w:rsidRPr="00511005" w:rsidRDefault="00B67481" w:rsidP="003F6A5D">
      <w:pPr>
        <w:numPr>
          <w:ilvl w:val="0"/>
          <w:numId w:val="285"/>
        </w:numPr>
        <w:tabs>
          <w:tab w:val="left" w:pos="993"/>
        </w:tabs>
        <w:spacing w:line="264" w:lineRule="auto"/>
        <w:ind w:left="0" w:firstLine="567"/>
        <w:contextualSpacing/>
        <w:jc w:val="left"/>
        <w:rPr>
          <w:rFonts w:ascii="Arial" w:eastAsia="Times New Roman" w:hAnsi="Arial" w:cs="Arial"/>
          <w:szCs w:val="28"/>
          <w:lang w:eastAsia="ru-RU"/>
        </w:rPr>
      </w:pPr>
      <w:proofErr w:type="gramStart"/>
      <w:r w:rsidRPr="00511005">
        <w:rPr>
          <w:rFonts w:ascii="Arial" w:eastAsia="Times New Roman" w:hAnsi="Arial" w:cs="Arial"/>
          <w:szCs w:val="28"/>
          <w:lang w:eastAsia="ru-RU"/>
        </w:rPr>
        <w:t>Конвенція</w:t>
      </w:r>
      <w:proofErr w:type="gramEnd"/>
      <w:r w:rsidRPr="00511005">
        <w:rPr>
          <w:rFonts w:ascii="Arial" w:eastAsia="Times New Roman" w:hAnsi="Arial" w:cs="Arial"/>
          <w:szCs w:val="28"/>
          <w:lang w:eastAsia="ru-RU"/>
        </w:rPr>
        <w:t xml:space="preserve"> Ради Європи про доступ до офіційних документів від 18.06.2009. Дата оновлення: 20.05.2020.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show</w:t>
      </w:r>
      <w:r w:rsidRPr="00511005">
        <w:rPr>
          <w:rFonts w:ascii="Arial" w:eastAsia="Times New Roman" w:hAnsi="Arial" w:cs="Arial"/>
          <w:szCs w:val="28"/>
          <w:lang w:eastAsia="ru-RU"/>
        </w:rPr>
        <w:t>/994_001-09#</w:t>
      </w:r>
      <w:r w:rsidRPr="00511005">
        <w:rPr>
          <w:rFonts w:ascii="Arial" w:eastAsia="Times New Roman" w:hAnsi="Arial" w:cs="Arial"/>
          <w:szCs w:val="28"/>
          <w:lang w:val="en-US" w:eastAsia="ru-RU"/>
        </w:rPr>
        <w:t>Text</w:t>
      </w:r>
      <w:r w:rsidRPr="00511005">
        <w:rPr>
          <w:rFonts w:ascii="Arial" w:eastAsia="Times New Roman" w:hAnsi="Arial" w:cs="Arial"/>
          <w:szCs w:val="28"/>
          <w:lang w:eastAsia="ru-RU"/>
        </w:rPr>
        <w:t xml:space="preserve"> (дата звернення 11.04.2025).</w:t>
      </w:r>
    </w:p>
    <w:p w14:paraId="68738C62" w14:textId="77777777" w:rsidR="00B67481" w:rsidRPr="00511005" w:rsidRDefault="00B67481" w:rsidP="003F6A5D">
      <w:pPr>
        <w:numPr>
          <w:ilvl w:val="0"/>
          <w:numId w:val="285"/>
        </w:numPr>
        <w:tabs>
          <w:tab w:val="left" w:pos="993"/>
        </w:tabs>
        <w:spacing w:line="264" w:lineRule="auto"/>
        <w:ind w:left="0" w:firstLine="567"/>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Кодекс України про адміністративні правопорушення від 07.12.1984 № 8073-X. Дата оновлення: 01.02.2025. URL: https://zakon.rada.gov.ua/laws/show/80731-10#Text (дата звернення: 11.04.2025).</w:t>
      </w:r>
    </w:p>
    <w:p w14:paraId="33DD8403" w14:textId="77777777" w:rsidR="00B67481" w:rsidRPr="00511005" w:rsidRDefault="00B67481" w:rsidP="003A292D">
      <w:pPr>
        <w:widowControl w:val="0"/>
        <w:tabs>
          <w:tab w:val="left" w:pos="851"/>
          <w:tab w:val="left" w:pos="993"/>
        </w:tabs>
        <w:autoSpaceDE w:val="0"/>
        <w:autoSpaceDN w:val="0"/>
        <w:adjustRightInd w:val="0"/>
        <w:spacing w:line="264" w:lineRule="auto"/>
        <w:contextualSpacing/>
        <w:rPr>
          <w:rFonts w:ascii="Arial" w:eastAsia="Times New Roman" w:hAnsi="Arial" w:cs="Arial"/>
          <w:szCs w:val="28"/>
          <w:lang w:eastAsia="ru-RU"/>
        </w:rPr>
      </w:pPr>
    </w:p>
    <w:p w14:paraId="541E3CF5" w14:textId="2FAD7361" w:rsidR="00B67481" w:rsidRPr="00511005" w:rsidRDefault="007B2628" w:rsidP="003A292D">
      <w:pPr>
        <w:spacing w:line="264" w:lineRule="auto"/>
        <w:rPr>
          <w:rFonts w:ascii="Arial" w:eastAsia="Calibri" w:hAnsi="Arial" w:cs="Arial"/>
          <w:szCs w:val="28"/>
        </w:rPr>
      </w:pPr>
      <w:r w:rsidRPr="00511005">
        <w:rPr>
          <w:rFonts w:ascii="Arial" w:eastAsia="Calibri" w:hAnsi="Arial" w:cs="Arial"/>
          <w:b/>
          <w:bCs/>
          <w:i/>
          <w:szCs w:val="28"/>
        </w:rPr>
        <w:t xml:space="preserve">Ключові слова: </w:t>
      </w:r>
      <w:r w:rsidR="00B67481" w:rsidRPr="00511005">
        <w:rPr>
          <w:rFonts w:ascii="Arial" w:eastAsia="Calibri" w:hAnsi="Arial" w:cs="Arial"/>
          <w:szCs w:val="28"/>
        </w:rPr>
        <w:t>доступ до публічної інформації, публічна влада, інформаційний запит, адміністративна відповідальність, трискладовий тест, відкриті дані, конфіденційна інформація, правозастосовна практика, прозорість, інформаційний комісар</w:t>
      </w:r>
    </w:p>
    <w:p w14:paraId="271562FD" w14:textId="3AD0C539" w:rsidR="00B67481"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bCs/>
          <w:i/>
          <w:szCs w:val="28"/>
          <w:lang w:val="en-US"/>
        </w:rPr>
        <w:t xml:space="preserve">Key words: </w:t>
      </w:r>
      <w:r w:rsidR="00B67481" w:rsidRPr="00511005">
        <w:rPr>
          <w:rFonts w:ascii="Arial" w:eastAsia="Calibri" w:hAnsi="Arial" w:cs="Arial"/>
          <w:szCs w:val="28"/>
          <w:lang w:val="en-US"/>
        </w:rPr>
        <w:t>access to public information, public authority, information request, administrative liability, three-part test, open data, confidential information, law enforcement practice, transparency, information commissioner</w:t>
      </w:r>
    </w:p>
    <w:p w14:paraId="7A835188" w14:textId="326CFB4E" w:rsidR="00B67481" w:rsidRPr="00511005" w:rsidRDefault="007B2628" w:rsidP="003A292D">
      <w:pPr>
        <w:spacing w:line="264" w:lineRule="auto"/>
        <w:rPr>
          <w:rFonts w:ascii="Arial" w:eastAsia="Calibri" w:hAnsi="Arial" w:cs="Arial"/>
          <w:i/>
          <w:szCs w:val="28"/>
        </w:rPr>
      </w:pPr>
      <w:r w:rsidRPr="00511005">
        <w:rPr>
          <w:rFonts w:ascii="Arial" w:eastAsia="Calibri" w:hAnsi="Arial" w:cs="Arial"/>
          <w:b/>
          <w:i/>
          <w:szCs w:val="28"/>
        </w:rPr>
        <w:t xml:space="preserve">Науковий керівник: </w:t>
      </w:r>
      <w:r w:rsidR="00B67481" w:rsidRPr="00511005">
        <w:rPr>
          <w:rFonts w:ascii="Arial" w:eastAsia="Calibri" w:hAnsi="Arial" w:cs="Arial"/>
          <w:i/>
          <w:szCs w:val="28"/>
        </w:rPr>
        <w:t>доктор філософії (PhD) в галузі права, доцент кафедри Негара Р.В.</w:t>
      </w:r>
    </w:p>
    <w:p w14:paraId="2C80FDDE" w14:textId="77777777" w:rsidR="001D1A08" w:rsidRPr="00511005" w:rsidRDefault="001D1A08" w:rsidP="003A292D">
      <w:pPr>
        <w:spacing w:line="264" w:lineRule="auto"/>
        <w:ind w:firstLine="0"/>
        <w:jc w:val="left"/>
        <w:rPr>
          <w:rFonts w:ascii="Arial" w:eastAsia="Calibri" w:hAnsi="Arial" w:cs="Arial"/>
          <w:szCs w:val="28"/>
        </w:rPr>
      </w:pPr>
    </w:p>
    <w:p w14:paraId="3F72F9F7" w14:textId="77777777" w:rsidR="001D1A08" w:rsidRPr="00511005" w:rsidRDefault="001D1A08" w:rsidP="003A292D">
      <w:pPr>
        <w:spacing w:line="264" w:lineRule="auto"/>
        <w:ind w:firstLine="0"/>
        <w:jc w:val="left"/>
        <w:rPr>
          <w:rFonts w:ascii="Arial" w:eastAsia="Calibri" w:hAnsi="Arial" w:cs="Arial"/>
          <w:szCs w:val="28"/>
        </w:rPr>
      </w:pPr>
    </w:p>
    <w:p w14:paraId="7E9A7C84" w14:textId="77777777" w:rsidR="00B67481" w:rsidRPr="00511005" w:rsidRDefault="00B67481" w:rsidP="003A292D">
      <w:pPr>
        <w:pBdr>
          <w:top w:val="nil"/>
          <w:left w:val="nil"/>
          <w:bottom w:val="nil"/>
          <w:right w:val="nil"/>
          <w:between w:val="nil"/>
          <w:bar w:val="nil"/>
        </w:pBdr>
        <w:spacing w:line="264" w:lineRule="auto"/>
        <w:ind w:firstLine="0"/>
        <w:jc w:val="center"/>
        <w:rPr>
          <w:rFonts w:ascii="Arial" w:eastAsia="Arial Unicode MS" w:hAnsi="Arial" w:cs="Arial"/>
          <w:szCs w:val="28"/>
          <w:bdr w:val="nil"/>
          <w:lang w:eastAsia="ru-RU"/>
        </w:rPr>
      </w:pPr>
      <w:r w:rsidRPr="00511005">
        <w:rPr>
          <w:rFonts w:ascii="Arial" w:eastAsia="Arial Unicode MS" w:hAnsi="Arial" w:cs="Arial"/>
          <w:b/>
          <w:bCs/>
          <w:i/>
          <w:iCs/>
          <w:szCs w:val="28"/>
          <w:bdr w:val="nil"/>
          <w:lang w:eastAsia="ru-RU"/>
        </w:rPr>
        <w:t>Кім Вікторія Павлівна</w:t>
      </w:r>
    </w:p>
    <w:p w14:paraId="07A7DF2C" w14:textId="6CE68572" w:rsidR="00B67481" w:rsidRPr="00511005" w:rsidRDefault="00536AAB" w:rsidP="003A292D">
      <w:pPr>
        <w:pBdr>
          <w:top w:val="nil"/>
          <w:left w:val="nil"/>
          <w:bottom w:val="nil"/>
          <w:right w:val="nil"/>
          <w:between w:val="nil"/>
          <w:bar w:val="nil"/>
        </w:pBdr>
        <w:spacing w:line="264" w:lineRule="auto"/>
        <w:ind w:firstLine="0"/>
        <w:jc w:val="center"/>
        <w:rPr>
          <w:rFonts w:ascii="Arial" w:eastAsia="Arial Unicode MS" w:hAnsi="Arial" w:cs="Arial"/>
          <w:iCs/>
          <w:szCs w:val="28"/>
          <w:bdr w:val="nil"/>
          <w:lang w:eastAsia="ru-RU"/>
        </w:rPr>
      </w:pPr>
      <w:r w:rsidRPr="00511005">
        <w:rPr>
          <w:rFonts w:ascii="Arial" w:eastAsia="Arial Unicode MS" w:hAnsi="Arial" w:cs="Arial"/>
          <w:iCs/>
          <w:szCs w:val="28"/>
          <w:bdr w:val="nil"/>
          <w:lang w:eastAsia="ru-RU"/>
        </w:rPr>
        <w:t xml:space="preserve">студентка 4-го курсу </w:t>
      </w:r>
      <w:r w:rsidR="001B7B25" w:rsidRPr="00511005">
        <w:rPr>
          <w:rFonts w:ascii="Arial" w:eastAsia="Arial Unicode MS" w:hAnsi="Arial" w:cs="Arial"/>
          <w:iCs/>
          <w:szCs w:val="28"/>
          <w:bdr w:val="nil"/>
          <w:lang w:eastAsia="ru-RU"/>
        </w:rPr>
        <w:t>факультету судового та міжнародного права</w:t>
      </w:r>
    </w:p>
    <w:p w14:paraId="4E296157" w14:textId="62818E9B" w:rsidR="00B67481" w:rsidRPr="00511005" w:rsidRDefault="007B2628" w:rsidP="003A292D">
      <w:pPr>
        <w:pBdr>
          <w:top w:val="nil"/>
          <w:left w:val="nil"/>
          <w:bottom w:val="nil"/>
          <w:right w:val="nil"/>
          <w:between w:val="nil"/>
          <w:bar w:val="nil"/>
        </w:pBdr>
        <w:spacing w:line="264" w:lineRule="auto"/>
        <w:ind w:firstLine="0"/>
        <w:jc w:val="center"/>
        <w:rPr>
          <w:rFonts w:ascii="Arial" w:eastAsia="Arial Unicode MS" w:hAnsi="Arial" w:cs="Arial"/>
          <w:iCs/>
          <w:szCs w:val="28"/>
          <w:bdr w:val="nil"/>
          <w:lang w:eastAsia="ru-RU"/>
        </w:rPr>
      </w:pPr>
      <w:r w:rsidRPr="00511005">
        <w:rPr>
          <w:rFonts w:ascii="Arial" w:eastAsia="Arial Unicode MS" w:hAnsi="Arial" w:cs="Arial"/>
          <w:iCs/>
          <w:szCs w:val="28"/>
          <w:bdr w:val="nil"/>
          <w:lang w:eastAsia="ru-RU"/>
        </w:rPr>
        <w:t>Національного університету «Одеська юридична академія»</w:t>
      </w:r>
    </w:p>
    <w:p w14:paraId="4A48E7B9" w14:textId="77777777" w:rsidR="007B2628" w:rsidRPr="00511005" w:rsidRDefault="007B2628" w:rsidP="003A292D">
      <w:pPr>
        <w:pBdr>
          <w:top w:val="nil"/>
          <w:left w:val="nil"/>
          <w:bottom w:val="nil"/>
          <w:right w:val="nil"/>
          <w:between w:val="nil"/>
          <w:bar w:val="nil"/>
        </w:pBdr>
        <w:spacing w:line="264" w:lineRule="auto"/>
        <w:ind w:firstLine="700"/>
        <w:jc w:val="center"/>
        <w:rPr>
          <w:rFonts w:ascii="Arial" w:eastAsia="Arial Unicode MS" w:hAnsi="Arial" w:cs="Arial"/>
          <w:szCs w:val="28"/>
          <w:bdr w:val="nil"/>
          <w:lang w:eastAsia="ru-RU"/>
        </w:rPr>
      </w:pPr>
    </w:p>
    <w:p w14:paraId="188A81F9" w14:textId="31A96308" w:rsidR="00B67481" w:rsidRPr="00511005" w:rsidRDefault="00B67481" w:rsidP="003A292D">
      <w:pPr>
        <w:pBdr>
          <w:top w:val="nil"/>
          <w:left w:val="nil"/>
          <w:bottom w:val="nil"/>
          <w:right w:val="nil"/>
          <w:between w:val="nil"/>
          <w:bar w:val="nil"/>
        </w:pBdr>
        <w:spacing w:line="264" w:lineRule="auto"/>
        <w:ind w:firstLine="0"/>
        <w:jc w:val="center"/>
        <w:rPr>
          <w:rFonts w:ascii="Arial" w:eastAsia="Arial Unicode MS" w:hAnsi="Arial" w:cs="Arial"/>
          <w:b/>
          <w:bCs/>
          <w:caps/>
          <w:szCs w:val="28"/>
          <w:bdr w:val="nil"/>
          <w:lang w:eastAsia="ru-RU"/>
        </w:rPr>
      </w:pPr>
      <w:r w:rsidRPr="00511005">
        <w:rPr>
          <w:rFonts w:ascii="Arial" w:eastAsia="Arial Unicode MS" w:hAnsi="Arial" w:cs="Arial"/>
          <w:b/>
          <w:bCs/>
          <w:caps/>
          <w:szCs w:val="28"/>
          <w:bdr w:val="nil"/>
          <w:lang w:eastAsia="ru-RU"/>
        </w:rPr>
        <w:t xml:space="preserve">Японська модель публічного управління: поєднання традицій та інновацій </w:t>
      </w:r>
    </w:p>
    <w:p w14:paraId="14A8E701"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r w:rsidRPr="00511005">
        <w:rPr>
          <w:rFonts w:ascii="Arial" w:eastAsia="Arial Unicode MS" w:hAnsi="Arial" w:cs="Arial"/>
          <w:szCs w:val="28"/>
          <w:bdr w:val="nil"/>
          <w:lang w:eastAsia="ru-RU"/>
        </w:rPr>
        <w:t xml:space="preserve">Японська модель публічного управління являє собою унікальний симбіоз багатовікових культурних традицій та сучасних інноваційних підходів до державного менеджменту. Феномен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японського економічного дива</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xml:space="preserve"> другої половини </w:t>
      </w:r>
      <w:r w:rsidRPr="00511005">
        <w:rPr>
          <w:rFonts w:ascii="Arial" w:eastAsia="Arial Unicode MS" w:hAnsi="Arial" w:cs="Arial"/>
          <w:szCs w:val="28"/>
          <w:bdr w:val="nil"/>
          <w:lang w:val="da-DK" w:eastAsia="ru-RU"/>
        </w:rPr>
        <w:t xml:space="preserve">XX </w:t>
      </w:r>
      <w:r w:rsidRPr="00511005">
        <w:rPr>
          <w:rFonts w:ascii="Arial" w:eastAsia="Arial Unicode MS" w:hAnsi="Arial" w:cs="Arial"/>
          <w:szCs w:val="28"/>
          <w:bdr w:val="nil"/>
          <w:lang w:eastAsia="ru-RU"/>
        </w:rPr>
        <w:t xml:space="preserve">століття викликав значний інтерес науковців та практиків до системи публічного управління цієї країни, яка змогла в історично короткий термін перетворитися з відсталої аграрної держави на одну з провідних економічних потуг світу. В умовах глобалізації та пошуку ефективних моделей публічного управління досвід Японії представляє </w:t>
      </w:r>
      <w:r w:rsidRPr="00511005">
        <w:rPr>
          <w:rFonts w:ascii="Arial" w:eastAsia="Arial Unicode MS" w:hAnsi="Arial" w:cs="Arial"/>
          <w:szCs w:val="28"/>
          <w:bdr w:val="nil"/>
          <w:lang w:eastAsia="ru-RU"/>
        </w:rPr>
        <w:lastRenderedPageBreak/>
        <w:t>значний інтерес для інших країн, зокрема тих, що перебувають у процесі адміністративних реформ.</w:t>
      </w:r>
    </w:p>
    <w:p w14:paraId="2EB2D806"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r w:rsidRPr="00511005">
        <w:rPr>
          <w:rFonts w:ascii="Arial" w:eastAsia="Arial Unicode MS" w:hAnsi="Arial" w:cs="Arial"/>
          <w:szCs w:val="28"/>
          <w:bdr w:val="nil"/>
          <w:lang w:eastAsia="ru-RU"/>
        </w:rPr>
        <w:t xml:space="preserve">Особливе значення для формування сучасної моделі публічного управління Японії мав післявоєнний період. Американська окупаційна влада запровадила демократичні інститути, нову конституцію та децентралізовану систему управління. Одночасно з цим, японці зуміли зберегти ключові елементи своєї традиційної управлінської культури. Культурні цінності та соціальні норми японського суспільства мають вирішальний вплив на функціонування системи публічного управління. Колективізм як фундаментальна цінність японської культури визначає особливості процесу прийняття рішень, які часто здійснюються на основі досягнення консенсусу (система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ринґі</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а не одноосібно керівником [1]. Цей підхід, хоча і вимагає більше часу на етапі обговорення, забезпечує ефективнішу імплементацію рішень завдяки попередньому узгодженню позицій усіх зацікавлених сторін.</w:t>
      </w:r>
    </w:p>
    <w:p w14:paraId="1E161CAC"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r w:rsidRPr="00511005">
        <w:rPr>
          <w:rFonts w:ascii="Arial" w:eastAsia="Arial Unicode MS" w:hAnsi="Arial" w:cs="Arial"/>
          <w:szCs w:val="28"/>
          <w:bdr w:val="nil"/>
          <w:lang w:eastAsia="ru-RU"/>
        </w:rPr>
        <w:t xml:space="preserve">Принцип ієрархічності (старшинства), який має глибоке коріння в конфуціанській філософії, визначає структуру організацій публічного сектору. Повага </w:t>
      </w:r>
      <w:proofErr w:type="gramStart"/>
      <w:r w:rsidRPr="00511005">
        <w:rPr>
          <w:rFonts w:ascii="Arial" w:eastAsia="Arial Unicode MS" w:hAnsi="Arial" w:cs="Arial"/>
          <w:szCs w:val="28"/>
          <w:bdr w:val="nil"/>
          <w:lang w:eastAsia="ru-RU"/>
        </w:rPr>
        <w:t>до авторитету</w:t>
      </w:r>
      <w:proofErr w:type="gramEnd"/>
      <w:r w:rsidRPr="00511005">
        <w:rPr>
          <w:rFonts w:ascii="Arial" w:eastAsia="Arial Unicode MS" w:hAnsi="Arial" w:cs="Arial"/>
          <w:szCs w:val="28"/>
          <w:bdr w:val="nil"/>
          <w:lang w:eastAsia="ru-RU"/>
        </w:rPr>
        <w:t xml:space="preserve">, лояльність до організації та важливість гармонійних міжособистісних стосунків створюють особливу атмосферу в японських державних установах. Концепція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амае</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xml:space="preserve"> (взаємозалежність) підкреслює важливість взаємної підтримки між керівниками та підлеглими, що сприяє стабільності системи управління [2]. </w:t>
      </w:r>
    </w:p>
    <w:p w14:paraId="5156B8B1"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r w:rsidRPr="00511005">
        <w:rPr>
          <w:rFonts w:ascii="Arial" w:eastAsia="Arial Unicode MS" w:hAnsi="Arial" w:cs="Arial"/>
          <w:szCs w:val="28"/>
          <w:bdr w:val="nil"/>
          <w:lang w:eastAsia="ru-RU"/>
        </w:rPr>
        <w:t xml:space="preserve">Філософія кайдзен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безперервного вдосконалення) є ще однією культурною основою японської моделі публічного управління. Постійне прагнення до покращення процесів і результатів, увага до деталей та висока якість роботи стали характерними рисами японської бюрократії. Ці культурні цінності формують особливий етос державної служби в Японії, де публічні службовці традиційно користуються високим суспільним статусом і повагою. Структура публічного управління в Японії має низку специфічних рис, що відрізняють її від інших розвинених країн. Відповідно до Конституції 1947 року, Японія є конституційною монархією з парламентською системою правління. Імператор виконує переважно церемоніальні функції, тоді як реальна влада належить Кабінету міністрів на чолі з премʼєр-міністром, який зазвичай є лідером партії, що має більшість у нижній палаті парламенту.</w:t>
      </w:r>
    </w:p>
    <w:p w14:paraId="06F83FB6" w14:textId="5674D442"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r w:rsidRPr="00511005">
        <w:rPr>
          <w:rFonts w:ascii="Arial" w:eastAsia="Arial Unicode MS" w:hAnsi="Arial" w:cs="Arial"/>
          <w:szCs w:val="28"/>
          <w:bdr w:val="nil"/>
          <w:lang w:eastAsia="ru-RU"/>
        </w:rPr>
        <w:t xml:space="preserve">Особливістю японської адміністративної системи є центральна роль бюрократії у формуванні та реалізації державної політики. Висококваліфіковані державні службовці, відібрані через конкурентну систему іспитів, часто мають більший вплив на процес прийняття рішень, ніж політичні діячі. Це явище, відоме як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адміністративний керівний шар</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xml:space="preserve">, забезпечує спадкоємність та послідовність державної політики, незалежно від змін у політичному керівництві. Система місцевого самоврядування в Японії є дворівневою і складається з 47 префектур та близько 1,700 муніципалітетів. Проте центральний уряд зберігає значний контроль через </w:t>
      </w:r>
      <w:r w:rsidRPr="00511005">
        <w:rPr>
          <w:rFonts w:ascii="Arial" w:eastAsia="Arial Unicode MS" w:hAnsi="Arial" w:cs="Arial"/>
          <w:szCs w:val="28"/>
          <w:bdr w:val="nil"/>
          <w:lang w:eastAsia="ru-RU"/>
        </w:rPr>
        <w:lastRenderedPageBreak/>
        <w:t>систему фінансових трансфертів та адміністративного керівництва [3].</w:t>
      </w:r>
      <w:r w:rsidR="007B2628" w:rsidRPr="00511005">
        <w:rPr>
          <w:rFonts w:ascii="Arial" w:eastAsia="Arial Unicode MS" w:hAnsi="Arial" w:cs="Arial"/>
          <w:szCs w:val="28"/>
          <w:bdr w:val="nil"/>
          <w:lang w:eastAsia="ru-RU"/>
        </w:rPr>
        <w:t xml:space="preserve"> </w:t>
      </w:r>
      <w:r w:rsidRPr="00511005">
        <w:rPr>
          <w:rFonts w:ascii="Arial" w:eastAsia="Arial Unicode MS" w:hAnsi="Arial" w:cs="Arial"/>
          <w:szCs w:val="28"/>
          <w:bdr w:val="nil"/>
          <w:lang w:eastAsia="ru-RU"/>
        </w:rPr>
        <w:t>Характерно, що відносини між центральним та місцевими рівнями управління будуються не стільки на вертикальній субординації, скільки на засадах партнерства та кооперації, що відображає колективістську природу японського суспільства.</w:t>
      </w:r>
    </w:p>
    <w:p w14:paraId="7CB0E1AF"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r w:rsidRPr="00511005">
        <w:rPr>
          <w:rFonts w:ascii="Arial" w:eastAsia="Arial Unicode MS" w:hAnsi="Arial" w:cs="Arial"/>
          <w:szCs w:val="28"/>
          <w:bdr w:val="nil"/>
          <w:lang w:eastAsia="ru-RU"/>
        </w:rPr>
        <w:t>Система державної служби Японії вважається однією з найефективніших у світі завдяки особливій моделі рекрутингу, підготовки та карʼєрного розвитку кадрів. Відбір на державну службу здійснюється на основі суворої меритократії через систему конкурентних іспитів, які перевіряють не лише знання кандидатів, але й їхні аналітичні здібності та особистісні якості. Надзвичайно низький рівень корупції в японській державній службі пояснюється не лише ефективними антикорупційними механізмами, але й глибоко вкоріненими культурними цінностями, такими як честь, обовʼязок і репутація.</w:t>
      </w:r>
    </w:p>
    <w:p w14:paraId="28CEFC19"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r w:rsidRPr="00511005">
        <w:rPr>
          <w:rFonts w:ascii="Arial" w:eastAsia="Arial Unicode MS" w:hAnsi="Arial" w:cs="Arial"/>
          <w:szCs w:val="28"/>
          <w:bdr w:val="nil"/>
          <w:lang w:eastAsia="ru-RU"/>
        </w:rPr>
        <w:t xml:space="preserve">Особливу увагу в японській системі державної служби приділяють безперервному професійному розвитку. Регулярні ротації між різними департаментами та рівнями управління, навчання без відриву від виробництва та стажування у приватному секторі або за кордоном забезпечують формування універсальних управлінців із широким кругозором. </w:t>
      </w:r>
    </w:p>
    <w:p w14:paraId="27AA18EF"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r w:rsidRPr="00511005">
        <w:rPr>
          <w:rFonts w:ascii="Arial" w:eastAsia="Arial Unicode MS" w:hAnsi="Arial" w:cs="Arial"/>
          <w:szCs w:val="28"/>
          <w:bdr w:val="nil"/>
          <w:lang w:eastAsia="ru-RU"/>
        </w:rPr>
        <w:t xml:space="preserve">З кінця </w:t>
      </w:r>
      <w:r w:rsidRPr="00511005">
        <w:rPr>
          <w:rFonts w:ascii="Arial" w:eastAsia="Arial Unicode MS" w:hAnsi="Arial" w:cs="Arial"/>
          <w:szCs w:val="28"/>
          <w:bdr w:val="nil"/>
          <w:lang w:val="da-DK" w:eastAsia="ru-RU"/>
        </w:rPr>
        <w:t xml:space="preserve">XX </w:t>
      </w:r>
      <w:r w:rsidRPr="00511005">
        <w:rPr>
          <w:rFonts w:ascii="Arial" w:eastAsia="Arial Unicode MS" w:hAnsi="Arial" w:cs="Arial"/>
          <w:szCs w:val="28"/>
          <w:bdr w:val="nil"/>
          <w:lang w:eastAsia="ru-RU"/>
        </w:rPr>
        <w:t xml:space="preserve">століття японська система публічного управління зазнала суттєвих трансформацій під впливом глобальних тенденцій та внутрішніх викликів. Економічна рецесія 1990-х років, старіння населення та зростання державного боргу спонукали до пошуку нових, більш ефективних підходів до управління публічним сектором. Серед ключових інновацій, запроваджених Японією </w:t>
      </w:r>
      <w:proofErr w:type="gramStart"/>
      <w:r w:rsidRPr="00511005">
        <w:rPr>
          <w:rFonts w:ascii="Arial" w:eastAsia="Arial Unicode MS" w:hAnsi="Arial" w:cs="Arial"/>
          <w:szCs w:val="28"/>
          <w:bdr w:val="nil"/>
          <w:lang w:eastAsia="ru-RU"/>
        </w:rPr>
        <w:t>у сферу</w:t>
      </w:r>
      <w:proofErr w:type="gramEnd"/>
      <w:r w:rsidRPr="00511005">
        <w:rPr>
          <w:rFonts w:ascii="Arial" w:eastAsia="Arial Unicode MS" w:hAnsi="Arial" w:cs="Arial"/>
          <w:szCs w:val="28"/>
          <w:bdr w:val="nil"/>
          <w:lang w:eastAsia="ru-RU"/>
        </w:rPr>
        <w:t xml:space="preserve"> публічного управління, можна виділити: Цифрову трансформацію публічного сектору. Японія активно впроваджує електронне урядування та цифрові технології для оптимізації адміністративних процесів та покращення надання публічних послуг. Стратегія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Суспільство 5.0</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прийнята урядом у 2016 році, передбачає інтеграцію фізичного та кіберпростору для вирішення соціальних проблем та підвищення якості життя громадян [4].</w:t>
      </w:r>
    </w:p>
    <w:p w14:paraId="438B5819"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r w:rsidRPr="00511005">
        <w:rPr>
          <w:rFonts w:ascii="Arial" w:eastAsia="Arial Unicode MS" w:hAnsi="Arial" w:cs="Arial"/>
          <w:szCs w:val="28"/>
          <w:bdr w:val="nil"/>
          <w:lang w:eastAsia="ru-RU"/>
        </w:rPr>
        <w:t>Реформи регуляторної політики. Усвідомлюючи надмірне регулювання як перешкоду для економічного зростання, Японія запровадила систематичний підхід до регуляторної реформи, включаючи оцінку регуляторного впливу, перегляд існуючих регуляцій та спрощення адміністративних процедур. Особлива увага приділяється зменшенню адміністративного навантаження на бізнес та стимулюванню інновацій.</w:t>
      </w:r>
    </w:p>
    <w:p w14:paraId="53BF97AA"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b/>
          <w:bCs/>
          <w:szCs w:val="28"/>
          <w:bdr w:val="nil"/>
          <w:lang w:eastAsia="ru-RU"/>
        </w:rPr>
      </w:pPr>
      <w:r w:rsidRPr="00511005">
        <w:rPr>
          <w:rFonts w:ascii="Arial" w:eastAsia="Arial Unicode MS" w:hAnsi="Arial" w:cs="Arial"/>
          <w:szCs w:val="28"/>
          <w:bdr w:val="nil"/>
          <w:lang w:eastAsia="ru-RU"/>
        </w:rPr>
        <w:t>Управління результативністю.</w:t>
      </w:r>
      <w:r w:rsidRPr="00511005">
        <w:rPr>
          <w:rFonts w:ascii="Arial" w:eastAsia="Arial Unicode MS" w:hAnsi="Arial" w:cs="Arial"/>
          <w:b/>
          <w:bCs/>
          <w:szCs w:val="28"/>
          <w:bdr w:val="nil"/>
          <w:lang w:eastAsia="ru-RU"/>
        </w:rPr>
        <w:t xml:space="preserve"> </w:t>
      </w:r>
      <w:r w:rsidRPr="00511005">
        <w:rPr>
          <w:rFonts w:ascii="Arial" w:eastAsia="Arial Unicode MS" w:hAnsi="Arial" w:cs="Arial"/>
          <w:szCs w:val="28"/>
          <w:bdr w:val="nil"/>
          <w:lang w:eastAsia="ru-RU"/>
        </w:rPr>
        <w:t xml:space="preserve">Під впливом концепції New Public Management Японія запровадила механізми оцінки результативності діяльності органів публічного управління. Система включає встановлення вимірюваних цілей, моніторинг досягнення результатів та публічну звітність. </w:t>
      </w:r>
      <w:r w:rsidRPr="00511005">
        <w:rPr>
          <w:rFonts w:ascii="Arial" w:eastAsia="Arial Unicode MS" w:hAnsi="Arial" w:cs="Arial"/>
          <w:szCs w:val="28"/>
          <w:bdr w:val="nil"/>
          <w:lang w:eastAsia="ru-RU"/>
        </w:rPr>
        <w:lastRenderedPageBreak/>
        <w:t>Хоча ця система не позбавлена недоліків, вона сприяє підвищенню прозорості та відповідальності публічного сектору [5]</w:t>
      </w:r>
      <w:r w:rsidRPr="00511005">
        <w:rPr>
          <w:rFonts w:ascii="Arial" w:eastAsia="Arial Unicode MS" w:hAnsi="Arial" w:cs="Arial"/>
          <w:b/>
          <w:bCs/>
          <w:szCs w:val="28"/>
          <w:bdr w:val="nil"/>
          <w:lang w:eastAsia="ru-RU"/>
        </w:rPr>
        <w:t xml:space="preserve">. </w:t>
      </w:r>
      <w:r w:rsidRPr="00511005">
        <w:rPr>
          <w:rFonts w:ascii="Arial" w:eastAsia="Arial Unicode MS" w:hAnsi="Arial" w:cs="Arial"/>
          <w:szCs w:val="28"/>
          <w:bdr w:val="nil"/>
          <w:lang w:eastAsia="ru-RU"/>
        </w:rPr>
        <w:t>На відміну від багатьох західних країн, де модернізація часто супроводжувалася відмовою від традиційних практик, Японія демонструє здатність адаптувати нові ідеї та технології до власного культурного контексту.</w:t>
      </w:r>
    </w:p>
    <w:p w14:paraId="782A33C4"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r w:rsidRPr="00511005">
        <w:rPr>
          <w:rFonts w:ascii="Arial" w:eastAsia="Arial Unicode MS" w:hAnsi="Arial" w:cs="Arial"/>
          <w:szCs w:val="28"/>
          <w:bdr w:val="nil"/>
          <w:lang w:eastAsia="ru-RU"/>
        </w:rPr>
        <w:t>Традиційні японські цінності, такі як групова гармонія</w:t>
      </w:r>
      <w:r w:rsidRPr="00511005">
        <w:rPr>
          <w:rFonts w:ascii="Arial" w:eastAsia="Arial Unicode MS" w:hAnsi="Arial" w:cs="Arial"/>
          <w:szCs w:val="28"/>
          <w:bdr w:val="nil"/>
          <w:lang w:val="uk-UA" w:eastAsia="ru-RU"/>
        </w:rPr>
        <w:t xml:space="preserve"> </w:t>
      </w:r>
      <w:r w:rsidRPr="00511005">
        <w:rPr>
          <w:rFonts w:ascii="Arial" w:eastAsia="Arial Unicode MS" w:hAnsi="Arial" w:cs="Arial"/>
          <w:szCs w:val="28"/>
          <w:bdr w:val="nil"/>
          <w:lang w:eastAsia="ru-RU"/>
        </w:rPr>
        <w:t xml:space="preserve">(ва), повага до ієрархії та консенсусне прийняття рішень, не суперечать, а навпаки, підтримують впровадження сучасних управлінських технологій. Наприклад, культура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кайдзен</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xml:space="preserve"> (безперервного вдосконалення) сприяє успішному впровадженню інноваційних управлінських практик, оскільки фокусується на поступових, інкрементальних змінах, які не руйнують існуючу соціальну тканину. Водночас, традиційна японська схильність до довгострокового планування та стратегічного мислення дозволяє ефективно управляти процесами цифрової трансформації та адаптуватися до глобальних викликів. Концепція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амбідекстрії</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xml:space="preserve"> (здатності організації одночасно вдосконалювати існуючі процеси та впроваджувати радикальні інновації) є характерною рисою японського підходу до управління змінами у публічному секторі.</w:t>
      </w:r>
    </w:p>
    <w:p w14:paraId="0610CC56"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r w:rsidRPr="00511005">
        <w:rPr>
          <w:rFonts w:ascii="Arial" w:eastAsia="Arial Unicode MS" w:hAnsi="Arial" w:cs="Arial"/>
          <w:szCs w:val="28"/>
          <w:bdr w:val="nil"/>
          <w:lang w:eastAsia="ru-RU"/>
        </w:rPr>
        <w:t xml:space="preserve">Японський досвід демонструє важливість врахування культурного контексту при впровадженні управлінських інновацій. Не існує універсальної моделі </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найкращої практики</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яку можна було б просто скопіювати з однієї країни до іншої. Натомість, успішні реформи публічного управління повинні враховувати унікальні історичні, культурні та інституційні особливості кожної країни. Досвід Японії показує, що традиції можуть не лише співіснувати з інноваціями, але й підсилювати їх ефективність, створюючи стійкі та адаптивні системи публічного управління.</w:t>
      </w:r>
    </w:p>
    <w:p w14:paraId="4D7BA288" w14:textId="77777777" w:rsidR="00B67481" w:rsidRPr="00511005" w:rsidRDefault="00B67481" w:rsidP="003A292D">
      <w:pPr>
        <w:pBdr>
          <w:top w:val="nil"/>
          <w:left w:val="nil"/>
          <w:bottom w:val="nil"/>
          <w:right w:val="nil"/>
          <w:between w:val="nil"/>
          <w:bar w:val="nil"/>
        </w:pBdr>
        <w:spacing w:line="264" w:lineRule="auto"/>
        <w:rPr>
          <w:rFonts w:ascii="Arial" w:eastAsia="Arial Unicode MS" w:hAnsi="Arial" w:cs="Arial"/>
          <w:szCs w:val="28"/>
          <w:bdr w:val="nil"/>
          <w:lang w:eastAsia="ru-RU"/>
        </w:rPr>
      </w:pPr>
    </w:p>
    <w:p w14:paraId="1B172A74" w14:textId="5ED2C7EF" w:rsidR="00B67481" w:rsidRPr="00511005" w:rsidRDefault="007B2628" w:rsidP="007B2628">
      <w:pPr>
        <w:pBdr>
          <w:top w:val="nil"/>
          <w:left w:val="nil"/>
          <w:bottom w:val="nil"/>
          <w:right w:val="nil"/>
          <w:between w:val="nil"/>
          <w:bar w:val="nil"/>
        </w:pBdr>
        <w:spacing w:line="264" w:lineRule="auto"/>
        <w:jc w:val="center"/>
        <w:rPr>
          <w:rFonts w:ascii="Arial" w:eastAsia="Arial Unicode MS" w:hAnsi="Arial" w:cs="Arial"/>
          <w:b/>
          <w:bCs/>
          <w:szCs w:val="28"/>
          <w:bdr w:val="nil"/>
          <w:lang w:val="uk-UA" w:eastAsia="ru-RU"/>
        </w:rPr>
      </w:pPr>
      <w:r w:rsidRPr="00511005">
        <w:rPr>
          <w:rFonts w:ascii="Arial" w:eastAsia="Arial Unicode MS" w:hAnsi="Arial" w:cs="Arial"/>
          <w:b/>
          <w:bCs/>
          <w:szCs w:val="28"/>
          <w:bdr w:val="nil"/>
          <w:lang w:val="uk-UA" w:eastAsia="ru-RU"/>
        </w:rPr>
        <w:t>Список використаних джерел</w:t>
      </w:r>
    </w:p>
    <w:p w14:paraId="62C45EF5" w14:textId="77777777" w:rsidR="00B67481" w:rsidRPr="00511005" w:rsidRDefault="00B67481" w:rsidP="003F6A5D">
      <w:pPr>
        <w:numPr>
          <w:ilvl w:val="0"/>
          <w:numId w:val="247"/>
        </w:numPr>
        <w:pBdr>
          <w:top w:val="nil"/>
          <w:left w:val="nil"/>
          <w:bottom w:val="nil"/>
          <w:right w:val="nil"/>
          <w:between w:val="nil"/>
          <w:bar w:val="nil"/>
        </w:pBdr>
        <w:spacing w:line="264" w:lineRule="auto"/>
        <w:ind w:left="0" w:firstLine="709"/>
        <w:jc w:val="left"/>
        <w:rPr>
          <w:rFonts w:ascii="Arial" w:eastAsia="Arial Unicode MS" w:hAnsi="Arial" w:cs="Arial"/>
          <w:szCs w:val="28"/>
          <w:bdr w:val="nil"/>
          <w:lang w:eastAsia="ru-RU"/>
        </w:rPr>
      </w:pPr>
      <w:r w:rsidRPr="00511005">
        <w:rPr>
          <w:rFonts w:ascii="Arial" w:eastAsia="Arial Unicode MS" w:hAnsi="Arial" w:cs="Arial"/>
          <w:szCs w:val="28"/>
          <w:bdr w:val="nil"/>
          <w:lang w:eastAsia="ru-RU"/>
        </w:rPr>
        <w:t xml:space="preserve">Мельниченко Б. Японська модель державного управління: культурні детермінанти та інституційні </w:t>
      </w:r>
      <w:proofErr w:type="gramStart"/>
      <w:r w:rsidRPr="00511005">
        <w:rPr>
          <w:rFonts w:ascii="Arial" w:eastAsia="Arial Unicode MS" w:hAnsi="Arial" w:cs="Arial"/>
          <w:szCs w:val="28"/>
          <w:bdr w:val="nil"/>
          <w:lang w:eastAsia="ru-RU"/>
        </w:rPr>
        <w:t>особливості :</w:t>
      </w:r>
      <w:proofErr w:type="gramEnd"/>
      <w:r w:rsidRPr="00511005">
        <w:rPr>
          <w:rFonts w:ascii="Arial" w:eastAsia="Arial Unicode MS" w:hAnsi="Arial" w:cs="Arial"/>
          <w:szCs w:val="28"/>
          <w:bdr w:val="nil"/>
          <w:lang w:eastAsia="ru-RU"/>
        </w:rPr>
        <w:t xml:space="preserve"> монографія. </w:t>
      </w:r>
      <w:proofErr w:type="gramStart"/>
      <w:r w:rsidRPr="00511005">
        <w:rPr>
          <w:rFonts w:ascii="Arial" w:eastAsia="Arial Unicode MS" w:hAnsi="Arial" w:cs="Arial"/>
          <w:szCs w:val="28"/>
          <w:bdr w:val="nil"/>
          <w:lang w:eastAsia="ru-RU"/>
        </w:rPr>
        <w:t>Київ :</w:t>
      </w:r>
      <w:proofErr w:type="gramEnd"/>
      <w:r w:rsidRPr="00511005">
        <w:rPr>
          <w:rFonts w:ascii="Arial" w:eastAsia="Arial Unicode MS" w:hAnsi="Arial" w:cs="Arial"/>
          <w:szCs w:val="28"/>
          <w:bdr w:val="nil"/>
          <w:lang w:eastAsia="ru-RU"/>
        </w:rPr>
        <w:t xml:space="preserve"> Наукова думка, 2019. 242 с</w:t>
      </w:r>
      <w:r w:rsidRPr="00511005">
        <w:rPr>
          <w:rFonts w:ascii="Arial" w:eastAsia="Arial Unicode MS" w:hAnsi="Arial" w:cs="Arial"/>
          <w:szCs w:val="28"/>
          <w:bdr w:val="nil"/>
          <w:lang w:val="de-DE" w:eastAsia="ru-RU"/>
        </w:rPr>
        <w:t>. URL: https://naukova-dumka.ua/jap-model-public-admin (</w:t>
      </w:r>
      <w:r w:rsidRPr="00511005">
        <w:rPr>
          <w:rFonts w:ascii="Arial" w:eastAsia="Arial Unicode MS" w:hAnsi="Arial" w:cs="Arial"/>
          <w:szCs w:val="28"/>
          <w:bdr w:val="nil"/>
          <w:lang w:eastAsia="ru-RU"/>
        </w:rPr>
        <w:t>дата звернення: 28.04.2025).</w:t>
      </w:r>
    </w:p>
    <w:p w14:paraId="227BCD66" w14:textId="77777777" w:rsidR="00B67481" w:rsidRPr="00511005" w:rsidRDefault="00B67481" w:rsidP="003F6A5D">
      <w:pPr>
        <w:numPr>
          <w:ilvl w:val="0"/>
          <w:numId w:val="247"/>
        </w:numPr>
        <w:pBdr>
          <w:top w:val="nil"/>
          <w:left w:val="nil"/>
          <w:bottom w:val="nil"/>
          <w:right w:val="nil"/>
          <w:between w:val="nil"/>
          <w:bar w:val="nil"/>
        </w:pBdr>
        <w:spacing w:line="264" w:lineRule="auto"/>
        <w:ind w:left="0" w:firstLine="709"/>
        <w:jc w:val="left"/>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 xml:space="preserve">Nakane C. Japanese Society: Cultural Anthropological Analysis of Social Relations in Modern </w:t>
      </w:r>
      <w:proofErr w:type="gramStart"/>
      <w:r w:rsidRPr="00511005">
        <w:rPr>
          <w:rFonts w:ascii="Arial" w:eastAsia="Arial Unicode MS" w:hAnsi="Arial" w:cs="Arial"/>
          <w:szCs w:val="28"/>
          <w:bdr w:val="nil"/>
          <w:lang w:val="en-US" w:eastAsia="ru-RU"/>
        </w:rPr>
        <w:t>Japan :</w:t>
      </w:r>
      <w:proofErr w:type="gramEnd"/>
      <w:r w:rsidRPr="00511005">
        <w:rPr>
          <w:rFonts w:ascii="Arial" w:eastAsia="Arial Unicode MS" w:hAnsi="Arial" w:cs="Arial"/>
          <w:szCs w:val="28"/>
          <w:bdr w:val="nil"/>
          <w:lang w:val="en-US" w:eastAsia="ru-RU"/>
        </w:rPr>
        <w:t xml:space="preserve"> monograph. </w:t>
      </w:r>
      <w:proofErr w:type="gramStart"/>
      <w:r w:rsidRPr="00511005">
        <w:rPr>
          <w:rFonts w:ascii="Arial" w:eastAsia="Arial Unicode MS" w:hAnsi="Arial" w:cs="Arial"/>
          <w:szCs w:val="28"/>
          <w:bdr w:val="nil"/>
          <w:lang w:val="en-US" w:eastAsia="ru-RU"/>
        </w:rPr>
        <w:t>Tokyo :</w:t>
      </w:r>
      <w:proofErr w:type="gramEnd"/>
      <w:r w:rsidRPr="00511005">
        <w:rPr>
          <w:rFonts w:ascii="Arial" w:eastAsia="Arial Unicode MS" w:hAnsi="Arial" w:cs="Arial"/>
          <w:szCs w:val="28"/>
          <w:bdr w:val="nil"/>
          <w:lang w:val="en-US" w:eastAsia="ru-RU"/>
        </w:rPr>
        <w:t xml:space="preserve"> Kodansha International</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val="en-US" w:eastAsia="ru-RU"/>
        </w:rPr>
        <w:t xml:space="preserve"> 2016. 251 p. URL: https://kodansha-intl.jp/japanese-society-nakane (</w:t>
      </w:r>
      <w:r w:rsidRPr="00511005">
        <w:rPr>
          <w:rFonts w:ascii="Arial" w:eastAsia="Arial Unicode MS" w:hAnsi="Arial" w:cs="Arial"/>
          <w:szCs w:val="28"/>
          <w:bdr w:val="nil"/>
          <w:lang w:eastAsia="ru-RU"/>
        </w:rPr>
        <w:t>дата</w:t>
      </w:r>
      <w:r w:rsidRPr="00511005">
        <w:rPr>
          <w:rFonts w:ascii="Arial" w:eastAsia="Arial Unicode MS" w:hAnsi="Arial" w:cs="Arial"/>
          <w:szCs w:val="28"/>
          <w:bdr w:val="nil"/>
          <w:lang w:val="en-US" w:eastAsia="ru-RU"/>
        </w:rPr>
        <w:t xml:space="preserve"> </w:t>
      </w:r>
      <w:r w:rsidRPr="00511005">
        <w:rPr>
          <w:rFonts w:ascii="Arial" w:eastAsia="Arial Unicode MS" w:hAnsi="Arial" w:cs="Arial"/>
          <w:szCs w:val="28"/>
          <w:bdr w:val="nil"/>
          <w:lang w:eastAsia="ru-RU"/>
        </w:rPr>
        <w:t>звернення</w:t>
      </w:r>
      <w:r w:rsidRPr="00511005">
        <w:rPr>
          <w:rFonts w:ascii="Arial" w:eastAsia="Arial Unicode MS" w:hAnsi="Arial" w:cs="Arial"/>
          <w:szCs w:val="28"/>
          <w:bdr w:val="nil"/>
          <w:lang w:val="en-US" w:eastAsia="ru-RU"/>
        </w:rPr>
        <w:t>: 27.04.2025).</w:t>
      </w:r>
    </w:p>
    <w:p w14:paraId="02838738" w14:textId="77777777" w:rsidR="00B67481" w:rsidRPr="00511005" w:rsidRDefault="00B67481" w:rsidP="003F6A5D">
      <w:pPr>
        <w:numPr>
          <w:ilvl w:val="0"/>
          <w:numId w:val="247"/>
        </w:numPr>
        <w:pBdr>
          <w:top w:val="nil"/>
          <w:left w:val="nil"/>
          <w:bottom w:val="nil"/>
          <w:right w:val="nil"/>
          <w:between w:val="nil"/>
          <w:bar w:val="nil"/>
        </w:pBdr>
        <w:spacing w:line="264" w:lineRule="auto"/>
        <w:ind w:left="0" w:firstLine="709"/>
        <w:jc w:val="left"/>
        <w:rPr>
          <w:rFonts w:ascii="Arial" w:eastAsia="Arial Unicode MS" w:hAnsi="Arial" w:cs="Arial"/>
          <w:szCs w:val="28"/>
          <w:bdr w:val="nil"/>
          <w:lang w:eastAsia="ru-RU"/>
        </w:rPr>
      </w:pPr>
      <w:r w:rsidRPr="00511005">
        <w:rPr>
          <w:rFonts w:ascii="Arial" w:eastAsia="Arial Unicode MS" w:hAnsi="Arial" w:cs="Arial"/>
          <w:szCs w:val="28"/>
          <w:bdr w:val="nil"/>
          <w:lang w:eastAsia="ru-RU"/>
        </w:rPr>
        <w:t xml:space="preserve">Аокі М. Модернізація місцевого самоврядування в Японії: досвід </w:t>
      </w:r>
      <w:proofErr w:type="gramStart"/>
      <w:r w:rsidRPr="00511005">
        <w:rPr>
          <w:rFonts w:ascii="Arial" w:eastAsia="Arial Unicode MS" w:hAnsi="Arial" w:cs="Arial"/>
          <w:szCs w:val="28"/>
          <w:bdr w:val="nil"/>
          <w:lang w:eastAsia="ru-RU"/>
        </w:rPr>
        <w:t>реформ :</w:t>
      </w:r>
      <w:proofErr w:type="gramEnd"/>
      <w:r w:rsidRPr="00511005">
        <w:rPr>
          <w:rFonts w:ascii="Arial" w:eastAsia="Arial Unicode MS" w:hAnsi="Arial" w:cs="Arial"/>
          <w:szCs w:val="28"/>
          <w:bdr w:val="nil"/>
          <w:lang w:eastAsia="ru-RU"/>
        </w:rPr>
        <w:t xml:space="preserve"> монографія. </w:t>
      </w:r>
      <w:proofErr w:type="gramStart"/>
      <w:r w:rsidRPr="00511005">
        <w:rPr>
          <w:rFonts w:ascii="Arial" w:eastAsia="Arial Unicode MS" w:hAnsi="Arial" w:cs="Arial"/>
          <w:szCs w:val="28"/>
          <w:bdr w:val="nil"/>
          <w:lang w:eastAsia="ru-RU"/>
        </w:rPr>
        <w:t>Токіо :</w:t>
      </w:r>
      <w:proofErr w:type="gramEnd"/>
      <w:r w:rsidRPr="00511005">
        <w:rPr>
          <w:rFonts w:ascii="Arial" w:eastAsia="Arial Unicode MS" w:hAnsi="Arial" w:cs="Arial"/>
          <w:szCs w:val="28"/>
          <w:bdr w:val="nil"/>
          <w:lang w:eastAsia="ru-RU"/>
        </w:rPr>
        <w:t xml:space="preserve"> Університет Кейо Прес</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xml:space="preserve"> 2020. 218 с. </w:t>
      </w:r>
      <w:r w:rsidRPr="00511005">
        <w:rPr>
          <w:rFonts w:ascii="Arial" w:eastAsia="Arial Unicode MS" w:hAnsi="Arial" w:cs="Arial"/>
          <w:szCs w:val="28"/>
          <w:bdr w:val="nil"/>
          <w:lang w:val="en-US" w:eastAsia="ru-RU"/>
        </w:rPr>
        <w:t>URL</w:t>
      </w:r>
      <w:r w:rsidRPr="00511005">
        <w:rPr>
          <w:rFonts w:ascii="Arial" w:eastAsia="Arial Unicode MS" w:hAnsi="Arial" w:cs="Arial"/>
          <w:szCs w:val="28"/>
          <w:bdr w:val="nil"/>
          <w:lang w:eastAsia="ru-RU"/>
        </w:rPr>
        <w:t xml:space="preserve">: </w:t>
      </w:r>
      <w:r w:rsidRPr="00511005">
        <w:rPr>
          <w:rFonts w:ascii="Arial" w:eastAsia="Arial Unicode MS" w:hAnsi="Arial" w:cs="Arial"/>
          <w:szCs w:val="28"/>
          <w:bdr w:val="nil"/>
          <w:lang w:val="en-US" w:eastAsia="ru-RU"/>
        </w:rPr>
        <w:t>https</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keio</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academia</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edu</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researches</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local</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government</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modernization</w:t>
      </w:r>
      <w:r w:rsidRPr="00511005">
        <w:rPr>
          <w:rFonts w:ascii="Arial" w:eastAsia="Arial Unicode MS" w:hAnsi="Arial" w:cs="Arial"/>
          <w:szCs w:val="28"/>
          <w:bdr w:val="nil"/>
          <w:lang w:eastAsia="ru-RU"/>
        </w:rPr>
        <w:t xml:space="preserve"> (дата звернення: 28.04.2025).</w:t>
      </w:r>
    </w:p>
    <w:p w14:paraId="0AE71590" w14:textId="77777777" w:rsidR="00B67481" w:rsidRPr="00511005" w:rsidRDefault="00B67481" w:rsidP="003F6A5D">
      <w:pPr>
        <w:numPr>
          <w:ilvl w:val="0"/>
          <w:numId w:val="247"/>
        </w:numPr>
        <w:pBdr>
          <w:top w:val="nil"/>
          <w:left w:val="nil"/>
          <w:bottom w:val="nil"/>
          <w:right w:val="nil"/>
          <w:between w:val="nil"/>
          <w:bar w:val="nil"/>
        </w:pBdr>
        <w:spacing w:line="264" w:lineRule="auto"/>
        <w:ind w:left="0" w:firstLine="709"/>
        <w:jc w:val="left"/>
        <w:rPr>
          <w:rFonts w:ascii="Arial" w:eastAsia="Arial Unicode MS" w:hAnsi="Arial" w:cs="Arial"/>
          <w:szCs w:val="28"/>
          <w:bdr w:val="nil"/>
          <w:lang w:val="en-US" w:eastAsia="ru-RU"/>
        </w:rPr>
      </w:pPr>
      <w:r w:rsidRPr="00511005">
        <w:rPr>
          <w:rFonts w:ascii="Arial" w:eastAsia="Arial Unicode MS" w:hAnsi="Arial" w:cs="Arial"/>
          <w:szCs w:val="28"/>
          <w:bdr w:val="nil"/>
          <w:lang w:val="en-US" w:eastAsia="ru-RU"/>
        </w:rPr>
        <w:t xml:space="preserve">Digital Agency of Japan. Digital Government Strategy of Japan 2022-2025. </w:t>
      </w:r>
      <w:proofErr w:type="gramStart"/>
      <w:r w:rsidRPr="00511005">
        <w:rPr>
          <w:rFonts w:ascii="Arial" w:eastAsia="Arial Unicode MS" w:hAnsi="Arial" w:cs="Arial"/>
          <w:szCs w:val="28"/>
          <w:bdr w:val="nil"/>
          <w:lang w:val="en-US" w:eastAsia="ru-RU"/>
        </w:rPr>
        <w:t>Tokyo :</w:t>
      </w:r>
      <w:proofErr w:type="gramEnd"/>
      <w:r w:rsidRPr="00511005">
        <w:rPr>
          <w:rFonts w:ascii="Arial" w:eastAsia="Arial Unicode MS" w:hAnsi="Arial" w:cs="Arial"/>
          <w:szCs w:val="28"/>
          <w:bdr w:val="nil"/>
          <w:lang w:val="en-US" w:eastAsia="ru-RU"/>
        </w:rPr>
        <w:t xml:space="preserve"> Government of Japan, 2022. 156 p. URL: </w:t>
      </w:r>
      <w:r w:rsidRPr="00511005">
        <w:rPr>
          <w:rFonts w:ascii="Arial" w:eastAsia="Arial Unicode MS" w:hAnsi="Arial" w:cs="Arial"/>
          <w:szCs w:val="28"/>
          <w:bdr w:val="nil"/>
          <w:lang w:val="en-US" w:eastAsia="ru-RU"/>
        </w:rPr>
        <w:lastRenderedPageBreak/>
        <w:t>https://www.digital.go.jp/en/policies/digital_government_strategy (</w:t>
      </w:r>
      <w:r w:rsidRPr="00511005">
        <w:rPr>
          <w:rFonts w:ascii="Arial" w:eastAsia="Arial Unicode MS" w:hAnsi="Arial" w:cs="Arial"/>
          <w:szCs w:val="28"/>
          <w:bdr w:val="nil"/>
          <w:lang w:eastAsia="ru-RU"/>
        </w:rPr>
        <w:t>дата</w:t>
      </w:r>
      <w:r w:rsidRPr="00511005">
        <w:rPr>
          <w:rFonts w:ascii="Arial" w:eastAsia="Arial Unicode MS" w:hAnsi="Arial" w:cs="Arial"/>
          <w:szCs w:val="28"/>
          <w:bdr w:val="nil"/>
          <w:lang w:val="en-US" w:eastAsia="ru-RU"/>
        </w:rPr>
        <w:t xml:space="preserve"> </w:t>
      </w:r>
      <w:r w:rsidRPr="00511005">
        <w:rPr>
          <w:rFonts w:ascii="Arial" w:eastAsia="Arial Unicode MS" w:hAnsi="Arial" w:cs="Arial"/>
          <w:szCs w:val="28"/>
          <w:bdr w:val="nil"/>
          <w:lang w:eastAsia="ru-RU"/>
        </w:rPr>
        <w:t>звернення</w:t>
      </w:r>
      <w:r w:rsidRPr="00511005">
        <w:rPr>
          <w:rFonts w:ascii="Arial" w:eastAsia="Arial Unicode MS" w:hAnsi="Arial" w:cs="Arial"/>
          <w:szCs w:val="28"/>
          <w:bdr w:val="nil"/>
          <w:lang w:val="en-US" w:eastAsia="ru-RU"/>
        </w:rPr>
        <w:t>: 27.04.2025).</w:t>
      </w:r>
    </w:p>
    <w:p w14:paraId="5E32DADA" w14:textId="77777777" w:rsidR="00B67481" w:rsidRPr="00511005" w:rsidRDefault="00B67481" w:rsidP="003F6A5D">
      <w:pPr>
        <w:numPr>
          <w:ilvl w:val="0"/>
          <w:numId w:val="247"/>
        </w:numPr>
        <w:pBdr>
          <w:top w:val="nil"/>
          <w:left w:val="nil"/>
          <w:bottom w:val="nil"/>
          <w:right w:val="nil"/>
          <w:between w:val="nil"/>
          <w:bar w:val="nil"/>
        </w:pBdr>
        <w:spacing w:line="264" w:lineRule="auto"/>
        <w:ind w:left="0" w:firstLine="709"/>
        <w:jc w:val="left"/>
        <w:rPr>
          <w:rFonts w:ascii="Arial" w:eastAsia="Arial Unicode MS" w:hAnsi="Arial" w:cs="Arial"/>
          <w:szCs w:val="28"/>
          <w:bdr w:val="nil"/>
          <w:lang w:eastAsia="ru-RU"/>
        </w:rPr>
      </w:pPr>
      <w:r w:rsidRPr="00511005">
        <w:rPr>
          <w:rFonts w:ascii="Arial" w:eastAsia="Arial Unicode MS" w:hAnsi="Arial" w:cs="Arial"/>
          <w:szCs w:val="28"/>
          <w:bdr w:val="nil"/>
          <w:lang w:eastAsia="ru-RU"/>
        </w:rPr>
        <w:t xml:space="preserve">Ямамото К. Система публічного управління сучасної Японії: інституційна структура та функціональні </w:t>
      </w:r>
      <w:proofErr w:type="gramStart"/>
      <w:r w:rsidRPr="00511005">
        <w:rPr>
          <w:rFonts w:ascii="Arial" w:eastAsia="Arial Unicode MS" w:hAnsi="Arial" w:cs="Arial"/>
          <w:szCs w:val="28"/>
          <w:bdr w:val="nil"/>
          <w:lang w:eastAsia="ru-RU"/>
        </w:rPr>
        <w:t>особливості :</w:t>
      </w:r>
      <w:proofErr w:type="gramEnd"/>
      <w:r w:rsidRPr="00511005">
        <w:rPr>
          <w:rFonts w:ascii="Arial" w:eastAsia="Arial Unicode MS" w:hAnsi="Arial" w:cs="Arial"/>
          <w:szCs w:val="28"/>
          <w:bdr w:val="nil"/>
          <w:lang w:eastAsia="ru-RU"/>
        </w:rPr>
        <w:t xml:space="preserve"> монографія. </w:t>
      </w:r>
      <w:proofErr w:type="gramStart"/>
      <w:r w:rsidRPr="00511005">
        <w:rPr>
          <w:rFonts w:ascii="Arial" w:eastAsia="Arial Unicode MS" w:hAnsi="Arial" w:cs="Arial"/>
          <w:szCs w:val="28"/>
          <w:bdr w:val="nil"/>
          <w:lang w:eastAsia="ru-RU"/>
        </w:rPr>
        <w:t>Нагоя :</w:t>
      </w:r>
      <w:proofErr w:type="gramEnd"/>
      <w:r w:rsidRPr="00511005">
        <w:rPr>
          <w:rFonts w:ascii="Arial" w:eastAsia="Arial Unicode MS" w:hAnsi="Arial" w:cs="Arial"/>
          <w:szCs w:val="28"/>
          <w:bdr w:val="nil"/>
          <w:lang w:eastAsia="ru-RU"/>
        </w:rPr>
        <w:t xml:space="preserve"> Університет Нагоя</w:t>
      </w:r>
      <w:r w:rsidRPr="00511005">
        <w:rPr>
          <w:rFonts w:ascii="Arial" w:eastAsia="Arial Unicode MS" w:hAnsi="Arial" w:cs="Arial"/>
          <w:szCs w:val="28"/>
          <w:bdr w:val="nil"/>
          <w:lang w:val="uk-UA" w:eastAsia="ru-RU"/>
        </w:rPr>
        <w:t>.</w:t>
      </w:r>
      <w:r w:rsidRPr="00511005">
        <w:rPr>
          <w:rFonts w:ascii="Arial" w:eastAsia="Arial Unicode MS" w:hAnsi="Arial" w:cs="Arial"/>
          <w:szCs w:val="28"/>
          <w:bdr w:val="nil"/>
          <w:lang w:eastAsia="ru-RU"/>
        </w:rPr>
        <w:t xml:space="preserve"> 2019. 237 с. </w:t>
      </w:r>
      <w:r w:rsidRPr="00511005">
        <w:rPr>
          <w:rFonts w:ascii="Arial" w:eastAsia="Arial Unicode MS" w:hAnsi="Arial" w:cs="Arial"/>
          <w:szCs w:val="28"/>
          <w:bdr w:val="nil"/>
          <w:lang w:val="en-US" w:eastAsia="ru-RU"/>
        </w:rPr>
        <w:t>URL</w:t>
      </w:r>
      <w:r w:rsidRPr="00511005">
        <w:rPr>
          <w:rFonts w:ascii="Arial" w:eastAsia="Arial Unicode MS" w:hAnsi="Arial" w:cs="Arial"/>
          <w:szCs w:val="28"/>
          <w:bdr w:val="nil"/>
          <w:lang w:eastAsia="ru-RU"/>
        </w:rPr>
        <w:t xml:space="preserve">: </w:t>
      </w:r>
      <w:r w:rsidRPr="00511005">
        <w:rPr>
          <w:rFonts w:ascii="Arial" w:eastAsia="Arial Unicode MS" w:hAnsi="Arial" w:cs="Arial"/>
          <w:szCs w:val="28"/>
          <w:bdr w:val="nil"/>
          <w:lang w:val="en-US" w:eastAsia="ru-RU"/>
        </w:rPr>
        <w:t>https</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nagoya</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u</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repo</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nii</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ac</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jp</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public</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management</w:t>
      </w:r>
      <w:r w:rsidRPr="00511005">
        <w:rPr>
          <w:rFonts w:ascii="Arial" w:eastAsia="Arial Unicode MS" w:hAnsi="Arial" w:cs="Arial"/>
          <w:szCs w:val="28"/>
          <w:bdr w:val="nil"/>
          <w:lang w:eastAsia="ru-RU"/>
        </w:rPr>
        <w:t>-</w:t>
      </w:r>
      <w:r w:rsidRPr="00511005">
        <w:rPr>
          <w:rFonts w:ascii="Arial" w:eastAsia="Arial Unicode MS" w:hAnsi="Arial" w:cs="Arial"/>
          <w:szCs w:val="28"/>
          <w:bdr w:val="nil"/>
          <w:lang w:val="en-US" w:eastAsia="ru-RU"/>
        </w:rPr>
        <w:t>japan</w:t>
      </w:r>
      <w:r w:rsidRPr="00511005">
        <w:rPr>
          <w:rFonts w:ascii="Arial" w:eastAsia="Arial Unicode MS" w:hAnsi="Arial" w:cs="Arial"/>
          <w:szCs w:val="28"/>
          <w:bdr w:val="nil"/>
          <w:lang w:eastAsia="ru-RU"/>
        </w:rPr>
        <w:t xml:space="preserve"> (дата звернення: 28.04.2025).</w:t>
      </w:r>
    </w:p>
    <w:p w14:paraId="6002CE1A" w14:textId="77777777" w:rsidR="00B67481" w:rsidRPr="00511005" w:rsidRDefault="00B67481" w:rsidP="003A292D">
      <w:pPr>
        <w:pBdr>
          <w:top w:val="nil"/>
          <w:left w:val="nil"/>
          <w:bottom w:val="nil"/>
          <w:right w:val="nil"/>
          <w:between w:val="nil"/>
          <w:bar w:val="nil"/>
        </w:pBdr>
        <w:spacing w:line="264" w:lineRule="auto"/>
        <w:ind w:left="709" w:firstLine="0"/>
        <w:rPr>
          <w:rFonts w:ascii="Arial" w:eastAsia="Arial Unicode MS" w:hAnsi="Arial" w:cs="Arial"/>
          <w:szCs w:val="28"/>
          <w:bdr w:val="nil"/>
          <w:lang w:eastAsia="ru-RU"/>
        </w:rPr>
      </w:pPr>
    </w:p>
    <w:p w14:paraId="66A9A218" w14:textId="4C472FE8" w:rsidR="00B67481" w:rsidRPr="00511005" w:rsidRDefault="007B2628" w:rsidP="003A292D">
      <w:pPr>
        <w:pBdr>
          <w:top w:val="nil"/>
          <w:left w:val="nil"/>
          <w:bottom w:val="nil"/>
          <w:right w:val="nil"/>
          <w:between w:val="nil"/>
          <w:bar w:val="nil"/>
        </w:pBdr>
        <w:spacing w:line="264" w:lineRule="auto"/>
        <w:rPr>
          <w:rFonts w:ascii="Arial" w:eastAsia="Arial Unicode MS" w:hAnsi="Arial" w:cs="Arial"/>
          <w:b/>
          <w:szCs w:val="28"/>
          <w:bdr w:val="nil"/>
          <w:lang w:eastAsia="ru-RU"/>
        </w:rPr>
      </w:pPr>
      <w:r w:rsidRPr="00511005">
        <w:rPr>
          <w:rFonts w:ascii="Arial" w:eastAsia="Arial Unicode MS" w:hAnsi="Arial" w:cs="Arial"/>
          <w:b/>
          <w:bCs/>
          <w:i/>
          <w:iCs/>
          <w:szCs w:val="28"/>
          <w:bdr w:val="nil"/>
          <w:lang w:eastAsia="ru-RU"/>
        </w:rPr>
        <w:t xml:space="preserve">Ключові слова: </w:t>
      </w:r>
      <w:r w:rsidR="00B67481" w:rsidRPr="00511005">
        <w:rPr>
          <w:rFonts w:ascii="Arial" w:eastAsia="Arial Unicode MS" w:hAnsi="Arial" w:cs="Arial"/>
          <w:szCs w:val="28"/>
          <w:bdr w:val="nil"/>
          <w:lang w:eastAsia="ru-RU"/>
        </w:rPr>
        <w:t>державна служба, управління, Японія, досвід, інновації, традиції, уряд</w:t>
      </w:r>
    </w:p>
    <w:p w14:paraId="14BC6D14" w14:textId="69430BB8" w:rsidR="00B67481" w:rsidRPr="00511005" w:rsidRDefault="007B2628" w:rsidP="003A292D">
      <w:pPr>
        <w:pBdr>
          <w:top w:val="nil"/>
          <w:left w:val="nil"/>
          <w:bottom w:val="nil"/>
          <w:right w:val="nil"/>
          <w:between w:val="nil"/>
          <w:bar w:val="nil"/>
        </w:pBdr>
        <w:spacing w:line="264" w:lineRule="auto"/>
        <w:rPr>
          <w:rFonts w:ascii="Arial" w:eastAsia="Arial Unicode MS" w:hAnsi="Arial" w:cs="Arial"/>
          <w:b/>
          <w:szCs w:val="28"/>
          <w:bdr w:val="nil"/>
          <w:lang w:val="en-US" w:eastAsia="ru-RU"/>
        </w:rPr>
      </w:pPr>
      <w:r w:rsidRPr="00511005">
        <w:rPr>
          <w:rFonts w:ascii="Arial" w:eastAsia="Arial Unicode MS" w:hAnsi="Arial" w:cs="Arial"/>
          <w:b/>
          <w:bCs/>
          <w:i/>
          <w:iCs/>
          <w:szCs w:val="28"/>
          <w:bdr w:val="nil"/>
          <w:lang w:val="en-US" w:eastAsia="ru-RU"/>
        </w:rPr>
        <w:t xml:space="preserve">Key words: </w:t>
      </w:r>
      <w:r w:rsidR="00B67481" w:rsidRPr="00511005">
        <w:rPr>
          <w:rFonts w:ascii="Arial" w:eastAsia="Arial Unicode MS" w:hAnsi="Arial" w:cs="Arial"/>
          <w:szCs w:val="28"/>
          <w:bdr w:val="nil"/>
          <w:lang w:val="en-US" w:eastAsia="ru-RU"/>
        </w:rPr>
        <w:t>civil service, management, Japan, experience, innovation, traditions, government</w:t>
      </w:r>
    </w:p>
    <w:p w14:paraId="1BB1637F" w14:textId="0DE5E1E3" w:rsidR="00B67481" w:rsidRPr="00511005" w:rsidRDefault="007B2628" w:rsidP="003A292D">
      <w:pPr>
        <w:pBdr>
          <w:top w:val="nil"/>
          <w:left w:val="nil"/>
          <w:bottom w:val="nil"/>
          <w:right w:val="nil"/>
          <w:between w:val="nil"/>
          <w:bar w:val="nil"/>
        </w:pBdr>
        <w:spacing w:line="264" w:lineRule="auto"/>
        <w:rPr>
          <w:rFonts w:ascii="Arial" w:eastAsia="Arial Unicode MS" w:hAnsi="Arial" w:cs="Arial"/>
          <w:i/>
          <w:iCs/>
          <w:szCs w:val="28"/>
          <w:bdr w:val="nil"/>
          <w:lang w:eastAsia="ru-RU"/>
        </w:rPr>
      </w:pPr>
      <w:r w:rsidRPr="00511005">
        <w:rPr>
          <w:rFonts w:ascii="Arial" w:eastAsia="Arial Unicode MS" w:hAnsi="Arial" w:cs="Arial"/>
          <w:b/>
          <w:bCs/>
          <w:i/>
          <w:iCs/>
          <w:szCs w:val="28"/>
          <w:bdr w:val="nil"/>
          <w:lang w:eastAsia="ru-RU"/>
        </w:rPr>
        <w:t xml:space="preserve">Науковий керівник: </w:t>
      </w:r>
      <w:r w:rsidR="00B67481" w:rsidRPr="00511005">
        <w:rPr>
          <w:rFonts w:ascii="Arial" w:eastAsia="Arial Unicode MS" w:hAnsi="Arial" w:cs="Arial"/>
          <w:i/>
          <w:iCs/>
          <w:szCs w:val="28"/>
          <w:bdr w:val="nil"/>
          <w:lang w:eastAsia="ru-RU"/>
        </w:rPr>
        <w:t>к.ю.н., доцент Корнута Л.М.</w:t>
      </w:r>
    </w:p>
    <w:p w14:paraId="3FF94C12" w14:textId="77777777" w:rsidR="001D1A08" w:rsidRPr="00511005" w:rsidRDefault="001D1A08" w:rsidP="003A292D">
      <w:pPr>
        <w:spacing w:line="264" w:lineRule="auto"/>
        <w:ind w:firstLine="0"/>
        <w:jc w:val="left"/>
        <w:rPr>
          <w:rFonts w:ascii="Arial" w:eastAsia="Calibri" w:hAnsi="Arial" w:cs="Arial"/>
          <w:i/>
          <w:iCs/>
          <w:szCs w:val="28"/>
        </w:rPr>
      </w:pPr>
    </w:p>
    <w:p w14:paraId="3C75AAFC" w14:textId="77777777" w:rsidR="001D1A08" w:rsidRPr="00511005" w:rsidRDefault="001D1A08" w:rsidP="003A292D">
      <w:pPr>
        <w:spacing w:line="264" w:lineRule="auto"/>
        <w:ind w:firstLine="0"/>
        <w:jc w:val="left"/>
        <w:rPr>
          <w:rFonts w:ascii="Arial" w:eastAsia="Calibri" w:hAnsi="Arial" w:cs="Arial"/>
          <w:i/>
          <w:iCs/>
          <w:szCs w:val="28"/>
        </w:rPr>
      </w:pPr>
    </w:p>
    <w:p w14:paraId="3EE76A65" w14:textId="77777777" w:rsidR="00B67481" w:rsidRPr="00511005" w:rsidRDefault="00B67481" w:rsidP="003A292D">
      <w:pPr>
        <w:spacing w:line="264" w:lineRule="auto"/>
        <w:ind w:firstLine="0"/>
        <w:jc w:val="center"/>
        <w:rPr>
          <w:rFonts w:ascii="Arial" w:eastAsia="Times New Roman" w:hAnsi="Arial" w:cs="Arial"/>
          <w:szCs w:val="28"/>
          <w:lang w:eastAsia="uk-UA"/>
        </w:rPr>
      </w:pPr>
      <w:r w:rsidRPr="00511005">
        <w:rPr>
          <w:rFonts w:ascii="Arial" w:eastAsia="Times New Roman" w:hAnsi="Arial" w:cs="Arial"/>
          <w:b/>
          <w:i/>
          <w:szCs w:val="28"/>
          <w:lang w:eastAsia="uk-UA"/>
        </w:rPr>
        <w:t>Кішко Валерія Любомирівна</w:t>
      </w:r>
    </w:p>
    <w:p w14:paraId="4EE976BD" w14:textId="55C78AF2" w:rsidR="00B67481" w:rsidRPr="00511005" w:rsidRDefault="00536AAB" w:rsidP="003A292D">
      <w:pPr>
        <w:spacing w:line="264" w:lineRule="auto"/>
        <w:ind w:firstLine="0"/>
        <w:jc w:val="center"/>
        <w:rPr>
          <w:rFonts w:ascii="Arial" w:eastAsia="Times New Roman" w:hAnsi="Arial" w:cs="Arial"/>
          <w:szCs w:val="28"/>
          <w:lang w:eastAsia="uk-UA"/>
        </w:rPr>
      </w:pPr>
      <w:r w:rsidRPr="00511005">
        <w:rPr>
          <w:rFonts w:ascii="Arial" w:eastAsia="Times New Roman" w:hAnsi="Arial" w:cs="Arial"/>
          <w:szCs w:val="28"/>
          <w:lang w:eastAsia="uk-UA"/>
        </w:rPr>
        <w:t xml:space="preserve">студентка 2-го курсу </w:t>
      </w:r>
      <w:r w:rsidR="001B7B25" w:rsidRPr="00511005">
        <w:rPr>
          <w:rFonts w:ascii="Arial" w:eastAsia="Times New Roman" w:hAnsi="Arial" w:cs="Arial"/>
          <w:szCs w:val="28"/>
          <w:lang w:eastAsia="uk-UA"/>
        </w:rPr>
        <w:t>факультету судового та міжнародного права</w:t>
      </w:r>
    </w:p>
    <w:p w14:paraId="6D7D0687" w14:textId="466B8F29" w:rsidR="00B67481" w:rsidRPr="00511005" w:rsidRDefault="007B2628" w:rsidP="003A292D">
      <w:pPr>
        <w:spacing w:line="264" w:lineRule="auto"/>
        <w:ind w:firstLine="0"/>
        <w:jc w:val="center"/>
        <w:rPr>
          <w:rFonts w:ascii="Arial" w:eastAsia="Times New Roman" w:hAnsi="Arial" w:cs="Arial"/>
          <w:szCs w:val="28"/>
          <w:lang w:eastAsia="uk-UA"/>
        </w:rPr>
      </w:pPr>
      <w:r w:rsidRPr="00511005">
        <w:rPr>
          <w:rFonts w:ascii="Arial" w:eastAsia="Times New Roman" w:hAnsi="Arial" w:cs="Arial"/>
          <w:szCs w:val="28"/>
          <w:lang w:eastAsia="uk-UA"/>
        </w:rPr>
        <w:t>Національного університету «Одеська юридична академія»</w:t>
      </w:r>
    </w:p>
    <w:p w14:paraId="70704906" w14:textId="77777777" w:rsidR="00B67481" w:rsidRPr="00511005" w:rsidRDefault="00B67481" w:rsidP="003A292D">
      <w:pPr>
        <w:spacing w:line="264" w:lineRule="auto"/>
        <w:ind w:firstLine="0"/>
        <w:jc w:val="center"/>
        <w:rPr>
          <w:rFonts w:ascii="Arial" w:eastAsia="Times New Roman" w:hAnsi="Arial" w:cs="Arial"/>
          <w:szCs w:val="28"/>
          <w:lang w:eastAsia="uk-UA"/>
        </w:rPr>
      </w:pPr>
    </w:p>
    <w:p w14:paraId="1EAE5F3F" w14:textId="77777777" w:rsidR="00B67481" w:rsidRPr="00511005" w:rsidRDefault="00B67481" w:rsidP="003A292D">
      <w:pPr>
        <w:spacing w:line="264" w:lineRule="auto"/>
        <w:ind w:firstLine="0"/>
        <w:jc w:val="center"/>
        <w:rPr>
          <w:rFonts w:ascii="Arial" w:eastAsia="Calibri" w:hAnsi="Arial" w:cs="Arial"/>
          <w:szCs w:val="28"/>
        </w:rPr>
      </w:pPr>
      <w:r w:rsidRPr="00511005">
        <w:rPr>
          <w:rFonts w:ascii="Arial" w:eastAsia="Times New Roman" w:hAnsi="Arial" w:cs="Arial"/>
          <w:b/>
          <w:szCs w:val="28"/>
          <w:lang w:eastAsia="uk-UA"/>
        </w:rPr>
        <w:t>ПІЛЬГОВЕ ОПОДАТКУВАННЯ ВОЛОНТЕРСЬКОЇ ДІЯЛЬНОСТІ: ЗАКОНОДАВЧІ НОВАЦІЇ</w:t>
      </w:r>
    </w:p>
    <w:p w14:paraId="2288B54D" w14:textId="77777777" w:rsidR="00B67481" w:rsidRPr="00511005" w:rsidRDefault="00B67481" w:rsidP="003A292D">
      <w:pPr>
        <w:spacing w:line="264" w:lineRule="auto"/>
        <w:rPr>
          <w:rFonts w:ascii="Arial" w:eastAsia="Times New Roman" w:hAnsi="Arial" w:cs="Arial"/>
          <w:szCs w:val="28"/>
          <w:lang w:eastAsia="uk-UA"/>
        </w:rPr>
      </w:pPr>
      <w:r w:rsidRPr="00511005">
        <w:rPr>
          <w:rFonts w:ascii="Arial" w:eastAsia="Calibri" w:hAnsi="Arial" w:cs="Arial"/>
          <w:szCs w:val="28"/>
        </w:rPr>
        <w:t xml:space="preserve">Після початку повномасштабного вторгнення російської федерації в Україну 24 лютого 2022 року волонтерський рух набув безпрецедентного масштабу. Фізичні особи, громадські організації та благодійні фонди почали активно збирати кошти на підтримку Збройних Сил України, гуманітарну допомогу та відновлення інфраструктури. </w:t>
      </w:r>
      <w:r w:rsidRPr="00511005">
        <w:rPr>
          <w:rFonts w:ascii="Arial" w:eastAsia="Times New Roman" w:hAnsi="Arial" w:cs="Arial"/>
          <w:szCs w:val="28"/>
          <w:lang w:eastAsia="uk-UA"/>
        </w:rPr>
        <w:t xml:space="preserve">Пільговість оподаткування полягає в тому, що зібрані кошти не обкладаються податками, що дозволяє волонтерам використовувати їх у повному обсязі для підтримки армії та постраждалих. Це усуває фінансові бар’єри, даючи змогу оперативно реагувати на нагальні потреби. Така підтримка стала особливо цінною в умовах війни, коли кожна гривня має значення для спільної справи. </w:t>
      </w:r>
      <w:r w:rsidRPr="00511005">
        <w:rPr>
          <w:rFonts w:ascii="Arial" w:eastAsia="Calibri" w:hAnsi="Arial" w:cs="Arial"/>
          <w:szCs w:val="28"/>
        </w:rPr>
        <w:t xml:space="preserve">Однак спочатку законодавство не передбачало чітких пільг для таких ініціатив, що створювало ризик оподаткування зібраних коштів як доходів фізичних осіб. Країни Європейського Союзу, зокрема Польща, Литва та Естонія, які прийняли значну кількість біженців і стали логістичними хабами для гуманітарної допомоги, уже мали розвинені системи підтримки волонтерів. </w:t>
      </w:r>
      <w:proofErr w:type="gramStart"/>
      <w:r w:rsidRPr="00511005">
        <w:rPr>
          <w:rFonts w:ascii="Arial" w:eastAsia="Times New Roman" w:hAnsi="Arial" w:cs="Arial"/>
          <w:szCs w:val="28"/>
          <w:lang w:eastAsia="uk-UA"/>
        </w:rPr>
        <w:t>У межах</w:t>
      </w:r>
      <w:proofErr w:type="gramEnd"/>
      <w:r w:rsidRPr="00511005">
        <w:rPr>
          <w:rFonts w:ascii="Arial" w:eastAsia="Times New Roman" w:hAnsi="Arial" w:cs="Arial"/>
          <w:szCs w:val="28"/>
          <w:lang w:eastAsia="uk-UA"/>
        </w:rPr>
        <w:t xml:space="preserve"> поглиблення співпраці з Європейським Союзом та з опорою на передовий досвід європейських держав</w:t>
      </w:r>
      <w:r w:rsidRPr="00511005">
        <w:rPr>
          <w:rFonts w:ascii="Arial" w:eastAsia="Calibri" w:hAnsi="Arial" w:cs="Arial"/>
          <w:szCs w:val="28"/>
        </w:rPr>
        <w:t xml:space="preserve"> було розпочато розробку Закону України «</w:t>
      </w:r>
      <w:r w:rsidRPr="00511005">
        <w:rPr>
          <w:rFonts w:ascii="Arial" w:eastAsia="Calibri" w:hAnsi="Arial" w:cs="Arial"/>
          <w:bCs/>
          <w:szCs w:val="28"/>
        </w:rPr>
        <w:t xml:space="preserve">Про внесення змін до Податкового кодексу України щодо сприяння розвитку волонтерської діяльності та діяльності неприбуткових установ та організацій в умовах збройної агресії Російської Федерації проти України» </w:t>
      </w:r>
      <w:r w:rsidRPr="00511005">
        <w:rPr>
          <w:rFonts w:ascii="Arial" w:eastAsia="Calibri" w:hAnsi="Arial" w:cs="Arial"/>
          <w:szCs w:val="28"/>
        </w:rPr>
        <w:t xml:space="preserve">від 15.08.2022 року № 2520-IX. Таким чином, міжнародний досвід не лише підкреслив необхідність пільг, але й надав практичні приклади їх реалізації, </w:t>
      </w:r>
      <w:r w:rsidRPr="00511005">
        <w:rPr>
          <w:rFonts w:ascii="Arial" w:eastAsia="Calibri" w:hAnsi="Arial" w:cs="Arial"/>
          <w:szCs w:val="28"/>
        </w:rPr>
        <w:lastRenderedPageBreak/>
        <w:t>які Україна адаптувала до своїх умов воєнного стану. Верховна Рада України розпочала розробку змін до Податкового кодексу України, щоб адаптувати систему оподаткування до нових реалій. Цей процес став основою для подальших законодавчих новацій, спрямованих на підтримку волонтерів.</w:t>
      </w:r>
    </w:p>
    <w:p w14:paraId="71A01466" w14:textId="77777777" w:rsidR="00B67481" w:rsidRPr="00511005" w:rsidRDefault="00B67481" w:rsidP="003A292D">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Першим значним кроком стало ухвалення Закону України № 2520-IX від 15.08.2022 року. Цей закон вніс зміни </w:t>
      </w:r>
      <w:proofErr w:type="gramStart"/>
      <w:r w:rsidRPr="00511005">
        <w:rPr>
          <w:rFonts w:ascii="Arial" w:eastAsia="Times New Roman" w:hAnsi="Arial" w:cs="Arial"/>
          <w:szCs w:val="28"/>
          <w:lang w:eastAsia="uk-UA"/>
        </w:rPr>
        <w:t>до пункту</w:t>
      </w:r>
      <w:proofErr w:type="gramEnd"/>
      <w:r w:rsidRPr="00511005">
        <w:rPr>
          <w:rFonts w:ascii="Arial" w:eastAsia="Times New Roman" w:hAnsi="Arial" w:cs="Arial"/>
          <w:szCs w:val="28"/>
          <w:lang w:eastAsia="uk-UA"/>
        </w:rPr>
        <w:t xml:space="preserve"> 165.1.54 Податкового кодексу України, звільнивши від податку на доходи фізичних осіб кошти, зібрані фізичними особами на власні рахунки для благодійних цілей, зокрема на потреби Збройних Сил України, територіальної оборони та постраждалих від війни [1]. Ці категорії охоплюють широкий спектр потреб, від закупівлі дронів і бронежилетів для Збройних Сил України до забезпечення їжею та одягом внутрішньо переміщених осіб. Щоб зрозуміти масштаб явища, слід звернутись до даних: за інформацією платформи United24, із травня 2022 року по грудень 2023 року було зібрано 21,85 мільярда гривень через централізовані рахунки Національного банку України. Із цієї суми значна частина спрямовувалася на військові потреби, зокрема на закупівлю дронів і техніки для Збройних Сил, а також на медичну допомогу (автомобілі швидкої допомоги, обладнання для лікарень) і гуманітарні проєкти (відбудова шкіл, допомога переселенцям) [2]. Такий обсяг операцій, здійснених через United24, підкреслив масштаб благодійної активності в Україні та створив нагальну потребу в пільгах для індивідуальних волонтерів, які діяли паралельно через приватні рахунки. Якби ці кошти збиралися фізичними особами без законодавчих змін, вони підпадали б під оподаткування за ставкою 18% ПДФО та 1,5% військового збору, що могло б призвести до нарахування податків на значну суму. Успіх United24, яка уникла таких ризиків завдяки державному статусу, став прикладом того, чому пільгове оподаткування стало критично важливим для ширшої волонтерської спільноти. Важливо, що ці пільги отримали ретроактивний </w:t>
      </w:r>
      <w:r w:rsidRPr="00511005">
        <w:rPr>
          <w:rFonts w:ascii="Arial" w:eastAsia="Calibri" w:hAnsi="Arial" w:cs="Arial"/>
          <w:szCs w:val="28"/>
        </w:rPr>
        <w:t xml:space="preserve">характер, тобто вони поширюються на операції, здійснені до ухвалення закону, що встановив пільги, </w:t>
      </w:r>
      <w:r w:rsidRPr="00511005">
        <w:rPr>
          <w:rFonts w:ascii="Arial" w:eastAsia="Times New Roman" w:hAnsi="Arial" w:cs="Arial"/>
          <w:szCs w:val="28"/>
          <w:lang w:eastAsia="uk-UA"/>
        </w:rPr>
        <w:t xml:space="preserve">дозволяючи волонтерам уникати оподаткування зборів, зроблених </w:t>
      </w:r>
      <w:proofErr w:type="gramStart"/>
      <w:r w:rsidRPr="00511005">
        <w:rPr>
          <w:rFonts w:ascii="Arial" w:eastAsia="Times New Roman" w:hAnsi="Arial" w:cs="Arial"/>
          <w:szCs w:val="28"/>
          <w:lang w:eastAsia="uk-UA"/>
        </w:rPr>
        <w:t>на початку</w:t>
      </w:r>
      <w:proofErr w:type="gramEnd"/>
      <w:r w:rsidRPr="00511005">
        <w:rPr>
          <w:rFonts w:ascii="Arial" w:eastAsia="Times New Roman" w:hAnsi="Arial" w:cs="Arial"/>
          <w:szCs w:val="28"/>
          <w:lang w:eastAsia="uk-UA"/>
        </w:rPr>
        <w:t xml:space="preserve"> війни, за умови їхньої відповідності благодійним цілям. </w:t>
      </w:r>
      <w:r w:rsidRPr="00511005">
        <w:rPr>
          <w:rFonts w:ascii="Arial" w:eastAsia="Calibri" w:hAnsi="Arial" w:cs="Arial"/>
          <w:szCs w:val="28"/>
        </w:rPr>
        <w:t>Таким чином, держава визнала</w:t>
      </w:r>
      <w:r w:rsidRPr="00511005">
        <w:rPr>
          <w:rFonts w:ascii="Arial" w:eastAsia="Times New Roman" w:hAnsi="Arial" w:cs="Arial"/>
          <w:szCs w:val="28"/>
          <w:lang w:eastAsia="uk-UA"/>
        </w:rPr>
        <w:t xml:space="preserve"> необхідність легалізації діяльності волонтерів, які діяли в перші місяці війни без чіткої правової бази, закладаючи фундамент для подальшого вдосконалення системи пільгового оподаткування волонтерів, яка згодом стала більш гнучкою та доступною.</w:t>
      </w:r>
    </w:p>
    <w:p w14:paraId="253B8D8F" w14:textId="77777777" w:rsidR="00B67481" w:rsidRPr="00511005" w:rsidRDefault="00B67481" w:rsidP="003A292D">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Розвиток пільгового оподаткування волонтерської діяльності в Україні отримав логічне продовження з ухваленням Закону України «</w:t>
      </w:r>
      <w:r w:rsidRPr="00511005">
        <w:rPr>
          <w:rFonts w:ascii="Arial" w:eastAsia="Calibri" w:hAnsi="Arial" w:cs="Arial"/>
          <w:bCs/>
          <w:szCs w:val="28"/>
          <w:shd w:val="clear" w:color="auto" w:fill="FFFFFF"/>
        </w:rPr>
        <w:t>Про внесення змін до Податкового кодексу України щодо звільнення від оподаткування благодійної допомоги, зібраної волонтерами»</w:t>
      </w:r>
      <w:r w:rsidRPr="00511005">
        <w:rPr>
          <w:rFonts w:ascii="Arial" w:eastAsia="Times New Roman" w:hAnsi="Arial" w:cs="Arial"/>
          <w:szCs w:val="28"/>
          <w:lang w:eastAsia="uk-UA"/>
        </w:rPr>
        <w:t xml:space="preserve"> від 16.11.2022 року № 2747-IX. Якщо Закон України № 2520-IX від 15.08.2022 року заклав основу для </w:t>
      </w:r>
      <w:r w:rsidRPr="00511005">
        <w:rPr>
          <w:rFonts w:ascii="Arial" w:eastAsia="Times New Roman" w:hAnsi="Arial" w:cs="Arial"/>
          <w:szCs w:val="28"/>
          <w:lang w:eastAsia="uk-UA"/>
        </w:rPr>
        <w:lastRenderedPageBreak/>
        <w:t xml:space="preserve">звільнення від податків благодійної допомоги, то Закон України № 2747-IX від 16.11.2022 року удосконалив ці механізми, зробивши їх більш доступними та гнучкими. Зокрема, він вніс зміни </w:t>
      </w:r>
      <w:proofErr w:type="gramStart"/>
      <w:r w:rsidRPr="00511005">
        <w:rPr>
          <w:rFonts w:ascii="Arial" w:eastAsia="Times New Roman" w:hAnsi="Arial" w:cs="Arial"/>
          <w:szCs w:val="28"/>
          <w:lang w:eastAsia="uk-UA"/>
        </w:rPr>
        <w:t>до пункту</w:t>
      </w:r>
      <w:proofErr w:type="gramEnd"/>
      <w:r w:rsidRPr="00511005">
        <w:rPr>
          <w:rFonts w:ascii="Arial" w:eastAsia="Times New Roman" w:hAnsi="Arial" w:cs="Arial"/>
          <w:szCs w:val="28"/>
          <w:lang w:eastAsia="uk-UA"/>
        </w:rPr>
        <w:t xml:space="preserve"> 165.1.54 Податкового кодексу України, уточнивши, що кошти, зібрані фізичними особами на власні банківські рахунки для підтримки Збройних Сил України, інших військових формувань чи цивільних осіб, постраждалих від війни, не оподатковуються податком на доходи фізичної особи та військовим збором, навіть якщо волонтер зареєструвався в Реєстрі волонтерів після отримання цих коштів [3]. Ця новація усунула бюрократичну перешкоду, яка виникала на ранніх етапах війни, коли багато волонтерів діяли спонтанно, не маючи можливості одразу оформити свій статус. Закон України № 2747-IX від 16.11.2022 року також розширив охоплення пільг, підкресливши їхню ретроактивну дію, тобто їх вплив на правовідносини, що виникли до ухвалення цього Закону, але з акцентом на спрощенні умов для тих, хто приєднався до волонтерського руху пізніше. Наприклад, якщо волонтер збирав кошти в лютому 2022 року, не будучи в Реєстрі, а зареєструвався лише в грудні 2022 року, ці суми все одно не оподатковуються за умови їх цільового використання, підтвердженого документами (виписки, квитанції). Це стало важливим кроком для легалізації діяльності тисяч громадян, які допомагали армії та постраждалим у перші місяці війни без формального статусу. Крім того, Закон № 2747-IX посилив зв’язок між пільгами та Реєстром волонтерів, який веде Державна податкова служба України. Чинна норма вимагає, щоб волонтери декларували отримані кошти в щорічній декларації про доходи, але ці суми не підлягають оподаткуванню, якщо вони відповідають критеріям благодійної допомоги. Закон усунув невизначеність щодо термінів реєстрації, що раніше могла призводити до суперечок із податковими органами, і таким чином продовжив політику підтримки, розпочату Законом № 2520-IX, адаптуючи її до реалій тривалого воєнного стану.</w:t>
      </w:r>
    </w:p>
    <w:p w14:paraId="78B26E34" w14:textId="6DFEA34A" w:rsidR="00B67481" w:rsidRPr="00511005" w:rsidRDefault="00B67481" w:rsidP="003A292D">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Пільгове оподаткування волонтерської діяльності стало одним із ключових механізмів, що підтримують громадянську активність і солідарність українців у складний період війни. Завдяки продуманим змінам у законодавстві волонтери отримали можливість спрямовувати зібрані кошти на найнагальніші потреби – від забезпечення армії до допомоги постраждалим – без додаткового фінансового навантаження у вигляді податків. Ці пільги не лише полегшили організацію благодійних зборів, а й дали змогу тисячам людей діяти швидко й ефективно, особливо в кризові моменти. Станом на 2025 рік ці новації залишаються важливим чинником, що зміцнює довіру між державою та суспільством, дозволяючи волонтерському руху залишатися гнучким і водночас структурованим. Вони підкреслюють унікальну роль волонтерів у підтримці країни, демонструючи, як законодавча підтримка може посилювати громадянські ініціативи, </w:t>
      </w:r>
      <w:r w:rsidRPr="00511005">
        <w:rPr>
          <w:rFonts w:ascii="Arial" w:eastAsia="Times New Roman" w:hAnsi="Arial" w:cs="Arial"/>
          <w:szCs w:val="28"/>
          <w:lang w:eastAsia="uk-UA"/>
        </w:rPr>
        <w:lastRenderedPageBreak/>
        <w:t>сприяючи стійкості та єдності України перед викликами сьогодення. У довгостроковій перспективі ці пільги можуть стати основою для розвитку ширшої системи підтримки волонтерства, що сприятиме відновленню країни після війни. Вони також слугують прикладом для інших держав, як можна ефективно залучати громадянське суспільство до розв’язання національних проблем. Таким чином, пільгове оподаткування волонтерів є не лише тимчасовим заходом, а й стратегічним рішенням для майбутнього.</w:t>
      </w:r>
    </w:p>
    <w:p w14:paraId="5CCB4431" w14:textId="7D0404CE" w:rsidR="007617B6" w:rsidRPr="00511005" w:rsidRDefault="007617B6" w:rsidP="003A292D">
      <w:pPr>
        <w:spacing w:line="264" w:lineRule="auto"/>
        <w:rPr>
          <w:rFonts w:ascii="Arial" w:eastAsia="Times New Roman" w:hAnsi="Arial" w:cs="Arial"/>
          <w:szCs w:val="28"/>
          <w:lang w:eastAsia="uk-UA"/>
        </w:rPr>
      </w:pPr>
    </w:p>
    <w:p w14:paraId="1E396074" w14:textId="3E652D56" w:rsidR="007617B6" w:rsidRPr="00511005" w:rsidRDefault="007B2628" w:rsidP="007B2628">
      <w:pPr>
        <w:spacing w:line="264" w:lineRule="auto"/>
        <w:jc w:val="center"/>
        <w:rPr>
          <w:rFonts w:ascii="Arial" w:eastAsia="Calibri" w:hAnsi="Arial" w:cs="Arial"/>
          <w:szCs w:val="28"/>
        </w:rPr>
      </w:pPr>
      <w:r w:rsidRPr="00511005">
        <w:rPr>
          <w:rFonts w:ascii="Arial" w:eastAsia="Times New Roman" w:hAnsi="Arial" w:cs="Arial"/>
          <w:b/>
          <w:szCs w:val="28"/>
          <w:lang w:val="uk-UA"/>
        </w:rPr>
        <w:t>Список використаних джерел</w:t>
      </w:r>
    </w:p>
    <w:p w14:paraId="12DD9D14" w14:textId="77777777" w:rsidR="00B67481" w:rsidRPr="00511005" w:rsidRDefault="00B67481" w:rsidP="003A292D">
      <w:pPr>
        <w:suppressAutoHyphen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Про внесення змін до Податкового кодексу України щодо сприяння розвитку волонтерської діяльності та діяльності неприбуткових установ та організацій в умовах збройної агресії Російської Федерації проти України : Закон України від 15.08.2022 № 2520-IX. (Редакція від 15.08.2022 № 2520-IX) URL: </w:t>
      </w:r>
      <w:hyperlink r:id="rId953" w:anchor="_blank" w:history="1">
        <w:r w:rsidRPr="00511005">
          <w:rPr>
            <w:rFonts w:ascii="Arial" w:eastAsia="Times New Roman" w:hAnsi="Arial" w:cs="Arial"/>
            <w:szCs w:val="28"/>
            <w:lang w:val="uk-UA" w:eastAsia="uk-UA"/>
          </w:rPr>
          <w:t>https://zakon.rada.gov.ua/laws/show/2520-20#Text</w:t>
        </w:r>
      </w:hyperlink>
      <w:r w:rsidRPr="00511005">
        <w:rPr>
          <w:rFonts w:ascii="Arial" w:eastAsia="Times New Roman" w:hAnsi="Arial" w:cs="Arial"/>
          <w:szCs w:val="28"/>
          <w:lang w:val="uk-UA" w:eastAsia="uk-UA"/>
        </w:rPr>
        <w:t xml:space="preserve"> (дата звернення: 10.04.2025).</w:t>
      </w:r>
    </w:p>
    <w:p w14:paraId="5ADFC9C0" w14:textId="77777777" w:rsidR="00B67481" w:rsidRPr="00511005" w:rsidRDefault="00B67481" w:rsidP="003A292D">
      <w:pPr>
        <w:suppressAutoHyphen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UNITED24 - The initiative of the President of Ukraine. </w:t>
      </w:r>
      <w:r w:rsidRPr="00511005">
        <w:rPr>
          <w:rFonts w:ascii="Arial" w:eastAsia="Times New Roman" w:hAnsi="Arial" w:cs="Arial"/>
          <w:i/>
          <w:iCs/>
          <w:szCs w:val="28"/>
          <w:lang w:val="uk-UA" w:eastAsia="uk-UA"/>
        </w:rPr>
        <w:t>UNITED24 - The initiative of the President of Ukraine</w:t>
      </w:r>
      <w:r w:rsidRPr="00511005">
        <w:rPr>
          <w:rFonts w:ascii="Arial" w:eastAsia="Times New Roman" w:hAnsi="Arial" w:cs="Arial"/>
          <w:szCs w:val="28"/>
          <w:lang w:val="uk-UA" w:eastAsia="uk-UA"/>
        </w:rPr>
        <w:t xml:space="preserve">. URL: </w:t>
      </w:r>
      <w:hyperlink r:id="rId954" w:anchor="_blank" w:history="1">
        <w:r w:rsidRPr="00511005">
          <w:rPr>
            <w:rFonts w:ascii="Arial" w:eastAsia="Times New Roman" w:hAnsi="Arial" w:cs="Arial"/>
            <w:szCs w:val="28"/>
            <w:lang w:val="uk-UA" w:eastAsia="uk-UA"/>
          </w:rPr>
          <w:t>https://u24.gov.ua/uk/impact-report/intro</w:t>
        </w:r>
      </w:hyperlink>
      <w:r w:rsidRPr="00511005">
        <w:rPr>
          <w:rFonts w:ascii="Arial" w:eastAsia="Times New Roman" w:hAnsi="Arial" w:cs="Arial"/>
          <w:szCs w:val="28"/>
          <w:lang w:val="uk-UA" w:eastAsia="uk-UA"/>
        </w:rPr>
        <w:t xml:space="preserve"> (date of access: 10.04.2025).</w:t>
      </w:r>
    </w:p>
    <w:p w14:paraId="564BC183" w14:textId="77777777" w:rsidR="00B67481" w:rsidRPr="00511005" w:rsidRDefault="00B67481" w:rsidP="003A292D">
      <w:pPr>
        <w:suppressAutoHyphen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 Про внесення змін до Податкового кодексу України щодо звільнення від оподаткування благодійної допомоги, зібраної волонтерами : Закон України від 16.11.2022 № 2747-IX. (Редакція від16.11.2022 № 2747-IX) URL: </w:t>
      </w:r>
      <w:hyperlink r:id="rId955" w:anchor="_blank" w:history="1">
        <w:r w:rsidRPr="00511005">
          <w:rPr>
            <w:rFonts w:ascii="Arial" w:eastAsia="Times New Roman" w:hAnsi="Arial" w:cs="Arial"/>
            <w:szCs w:val="28"/>
            <w:lang w:val="uk-UA" w:eastAsia="uk-UA"/>
          </w:rPr>
          <w:t>https://zakon.rada.gov.ua/laws/show/2747-20#Text</w:t>
        </w:r>
      </w:hyperlink>
      <w:r w:rsidRPr="00511005">
        <w:rPr>
          <w:rFonts w:ascii="Arial" w:eastAsia="Times New Roman" w:hAnsi="Arial" w:cs="Arial"/>
          <w:szCs w:val="28"/>
          <w:lang w:val="uk-UA" w:eastAsia="uk-UA"/>
        </w:rPr>
        <w:t xml:space="preserve"> (дата звернення: 10.04.2025).</w:t>
      </w:r>
    </w:p>
    <w:p w14:paraId="334B949C" w14:textId="77777777" w:rsidR="00B67481" w:rsidRPr="00511005" w:rsidRDefault="00B67481" w:rsidP="003A292D">
      <w:pPr>
        <w:suppressAutoHyphen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4. Податковий кодекс України : Кодекс України від 02.12.2010 № 2755-VI. (Редакція від 01.04.2025 № 4014-</w:t>
      </w:r>
      <w:r w:rsidRPr="00511005">
        <w:rPr>
          <w:rFonts w:ascii="Arial" w:eastAsia="Times New Roman" w:hAnsi="Arial" w:cs="Arial"/>
          <w:szCs w:val="28"/>
          <w:lang w:val="en-US" w:eastAsia="uk-UA"/>
        </w:rPr>
        <w:t>IX</w:t>
      </w:r>
      <w:r w:rsidRPr="00511005">
        <w:rPr>
          <w:rFonts w:ascii="Arial" w:eastAsia="Times New Roman" w:hAnsi="Arial" w:cs="Arial"/>
          <w:szCs w:val="28"/>
          <w:lang w:val="uk-UA" w:eastAsia="uk-UA"/>
        </w:rPr>
        <w:t xml:space="preserve">) URL: </w:t>
      </w:r>
      <w:hyperlink r:id="rId956" w:anchor="_blank" w:history="1">
        <w:r w:rsidRPr="00511005">
          <w:rPr>
            <w:rFonts w:ascii="Arial" w:eastAsia="Times New Roman" w:hAnsi="Arial" w:cs="Arial"/>
            <w:szCs w:val="28"/>
            <w:lang w:val="uk-UA" w:eastAsia="uk-UA"/>
          </w:rPr>
          <w:t>https://zakon.rada.gov.ua/laws/show/2755-17#Text</w:t>
        </w:r>
      </w:hyperlink>
      <w:r w:rsidRPr="00511005">
        <w:rPr>
          <w:rFonts w:ascii="Arial" w:eastAsia="Times New Roman" w:hAnsi="Arial" w:cs="Arial"/>
          <w:szCs w:val="28"/>
          <w:lang w:val="uk-UA" w:eastAsia="uk-UA"/>
        </w:rPr>
        <w:t xml:space="preserve"> (дата звернення: 10.04.2025).</w:t>
      </w:r>
    </w:p>
    <w:p w14:paraId="65955749" w14:textId="77777777" w:rsidR="007617B6" w:rsidRPr="00511005" w:rsidRDefault="007617B6" w:rsidP="007617B6">
      <w:pPr>
        <w:spacing w:line="264" w:lineRule="auto"/>
        <w:rPr>
          <w:rFonts w:ascii="Arial" w:eastAsia="Times New Roman" w:hAnsi="Arial" w:cs="Arial"/>
          <w:szCs w:val="28"/>
          <w:lang w:eastAsia="uk-UA"/>
        </w:rPr>
      </w:pPr>
    </w:p>
    <w:p w14:paraId="2D427253" w14:textId="0FB38093" w:rsidR="007617B6" w:rsidRPr="00511005" w:rsidRDefault="007B2628" w:rsidP="007617B6">
      <w:pPr>
        <w:spacing w:line="264" w:lineRule="auto"/>
        <w:rPr>
          <w:rFonts w:ascii="Arial" w:eastAsia="Times New Roman" w:hAnsi="Arial" w:cs="Arial"/>
          <w:szCs w:val="28"/>
          <w:lang w:eastAsia="uk-UA"/>
        </w:rPr>
      </w:pPr>
      <w:r w:rsidRPr="00511005">
        <w:rPr>
          <w:rFonts w:ascii="Arial" w:eastAsia="Times New Roman" w:hAnsi="Arial" w:cs="Arial"/>
          <w:b/>
          <w:i/>
          <w:szCs w:val="28"/>
        </w:rPr>
        <w:t xml:space="preserve">Ключові слова: </w:t>
      </w:r>
      <w:r w:rsidR="007617B6" w:rsidRPr="00511005">
        <w:rPr>
          <w:rFonts w:ascii="Arial" w:eastAsia="Times New Roman" w:hAnsi="Arial" w:cs="Arial"/>
          <w:szCs w:val="28"/>
        </w:rPr>
        <w:t>законодавство, волонтерський рух, пільгове оподаткування, повномасштабне вторгнення, волонтери, допомога, Податковий кодекс України, зміни.</w:t>
      </w:r>
    </w:p>
    <w:p w14:paraId="692895B8" w14:textId="5569CA2C" w:rsidR="007617B6" w:rsidRPr="00055389" w:rsidRDefault="007B2628" w:rsidP="007617B6">
      <w:pPr>
        <w:spacing w:line="264" w:lineRule="auto"/>
        <w:rPr>
          <w:rFonts w:ascii="Arial" w:eastAsia="Times New Roman" w:hAnsi="Arial" w:cs="Arial"/>
          <w:szCs w:val="28"/>
          <w:lang w:val="en-US" w:eastAsia="uk-UA"/>
        </w:rPr>
      </w:pPr>
      <w:r w:rsidRPr="00511005">
        <w:rPr>
          <w:rFonts w:ascii="Arial" w:eastAsia="Times New Roman" w:hAnsi="Arial" w:cs="Arial"/>
          <w:b/>
          <w:bCs/>
          <w:i/>
          <w:szCs w:val="28"/>
          <w:lang w:val="en-US"/>
        </w:rPr>
        <w:t xml:space="preserve">Key words: </w:t>
      </w:r>
      <w:r w:rsidR="007617B6" w:rsidRPr="00511005">
        <w:rPr>
          <w:rFonts w:ascii="Arial" w:eastAsia="Times New Roman" w:hAnsi="Arial" w:cs="Arial"/>
          <w:bCs/>
          <w:szCs w:val="28"/>
          <w:lang w:val="en-US"/>
        </w:rPr>
        <w:t>legislation, volunteer movement, preferential taxation, full-scale invasion, volunteers, assistance, Tax Code of Ukraine, changes.</w:t>
      </w:r>
    </w:p>
    <w:p w14:paraId="55049D31" w14:textId="69B495CF" w:rsidR="007617B6" w:rsidRPr="00511005" w:rsidRDefault="007B2628" w:rsidP="007617B6">
      <w:pPr>
        <w:spacing w:line="264" w:lineRule="auto"/>
        <w:rPr>
          <w:rFonts w:ascii="Arial" w:eastAsia="Times New Roman" w:hAnsi="Arial" w:cs="Arial"/>
          <w:szCs w:val="28"/>
          <w:lang w:eastAsia="uk-UA"/>
        </w:rPr>
      </w:pPr>
      <w:r w:rsidRPr="00511005">
        <w:rPr>
          <w:rFonts w:ascii="Arial" w:eastAsia="Times New Roman" w:hAnsi="Arial" w:cs="Arial"/>
          <w:b/>
          <w:bCs/>
          <w:i/>
          <w:iCs/>
          <w:szCs w:val="28"/>
        </w:rPr>
        <w:t xml:space="preserve">Науковий керівник: </w:t>
      </w:r>
      <w:r w:rsidR="007617B6" w:rsidRPr="00511005">
        <w:rPr>
          <w:rFonts w:ascii="Arial" w:eastAsia="Times New Roman" w:hAnsi="Arial" w:cs="Arial"/>
          <w:bCs/>
          <w:i/>
          <w:iCs/>
          <w:szCs w:val="28"/>
        </w:rPr>
        <w:t>к.ю.н., доцент Сідор М.І.</w:t>
      </w:r>
    </w:p>
    <w:p w14:paraId="0DF7F028" w14:textId="77777777" w:rsidR="001D1A08" w:rsidRPr="00511005" w:rsidRDefault="001D1A08" w:rsidP="003A292D">
      <w:pPr>
        <w:spacing w:line="264" w:lineRule="auto"/>
        <w:ind w:firstLine="0"/>
        <w:jc w:val="left"/>
        <w:rPr>
          <w:rFonts w:ascii="Arial" w:eastAsia="Calibri" w:hAnsi="Arial" w:cs="Arial"/>
          <w:szCs w:val="28"/>
        </w:rPr>
      </w:pPr>
    </w:p>
    <w:p w14:paraId="4CB1A64B" w14:textId="77777777" w:rsidR="001D1A08" w:rsidRPr="00511005" w:rsidRDefault="001D1A08" w:rsidP="003A292D">
      <w:pPr>
        <w:spacing w:line="264" w:lineRule="auto"/>
        <w:ind w:firstLine="0"/>
        <w:jc w:val="left"/>
        <w:rPr>
          <w:rFonts w:ascii="Arial" w:eastAsia="Calibri" w:hAnsi="Arial" w:cs="Arial"/>
          <w:szCs w:val="28"/>
        </w:rPr>
      </w:pPr>
    </w:p>
    <w:p w14:paraId="74AAA383" w14:textId="77777777" w:rsidR="00B67481" w:rsidRPr="00511005" w:rsidRDefault="00B67481" w:rsidP="003A292D">
      <w:pPr>
        <w:spacing w:line="264" w:lineRule="auto"/>
        <w:ind w:firstLine="0"/>
        <w:jc w:val="center"/>
        <w:rPr>
          <w:rFonts w:ascii="Arial" w:eastAsia="Calibri" w:hAnsi="Arial" w:cs="Arial"/>
          <w:szCs w:val="28"/>
        </w:rPr>
      </w:pPr>
      <w:r w:rsidRPr="00511005">
        <w:rPr>
          <w:rFonts w:ascii="Arial" w:eastAsia="Calibri" w:hAnsi="Arial" w:cs="Arial"/>
          <w:b/>
          <w:bCs/>
          <w:i/>
          <w:iCs/>
          <w:szCs w:val="28"/>
        </w:rPr>
        <w:t>Ковальчук Дар’я Сергіївна</w:t>
      </w:r>
    </w:p>
    <w:p w14:paraId="514FDC17" w14:textId="65BA4DD8" w:rsidR="00B67481" w:rsidRPr="00511005" w:rsidRDefault="00536AAB" w:rsidP="003A292D">
      <w:pPr>
        <w:suppressAutoHyphens/>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студентка 2-го курсу </w:t>
      </w:r>
      <w:r w:rsidR="001B7B25" w:rsidRPr="00511005">
        <w:rPr>
          <w:rFonts w:ascii="Arial" w:eastAsia="Calibri" w:hAnsi="Arial" w:cs="Arial"/>
          <w:szCs w:val="28"/>
        </w:rPr>
        <w:t>факультету судового та міжнародного права</w:t>
      </w:r>
    </w:p>
    <w:p w14:paraId="7FBB2FCD" w14:textId="77777777" w:rsidR="00B67481" w:rsidRPr="00511005" w:rsidRDefault="00B67481" w:rsidP="003A292D">
      <w:pPr>
        <w:suppressAutoHyphens/>
        <w:spacing w:line="264" w:lineRule="auto"/>
        <w:ind w:firstLine="0"/>
        <w:jc w:val="center"/>
        <w:rPr>
          <w:rFonts w:ascii="Arial" w:eastAsia="Calibri" w:hAnsi="Arial" w:cs="Arial"/>
          <w:szCs w:val="28"/>
        </w:rPr>
      </w:pPr>
      <w:r w:rsidRPr="00511005">
        <w:rPr>
          <w:rFonts w:ascii="Arial" w:eastAsia="Calibri" w:hAnsi="Arial" w:cs="Arial"/>
          <w:szCs w:val="28"/>
        </w:rPr>
        <w:t xml:space="preserve">Національного університету </w:t>
      </w:r>
      <w:proofErr w:type="gramStart"/>
      <w:r w:rsidRPr="00511005">
        <w:rPr>
          <w:rFonts w:ascii="Arial" w:eastAsia="Calibri" w:hAnsi="Arial" w:cs="Arial"/>
          <w:szCs w:val="28"/>
        </w:rPr>
        <w:t>« Одеська</w:t>
      </w:r>
      <w:proofErr w:type="gramEnd"/>
      <w:r w:rsidRPr="00511005">
        <w:rPr>
          <w:rFonts w:ascii="Arial" w:eastAsia="Calibri" w:hAnsi="Arial" w:cs="Arial"/>
          <w:szCs w:val="28"/>
        </w:rPr>
        <w:t xml:space="preserve"> юридична академія»</w:t>
      </w:r>
    </w:p>
    <w:p w14:paraId="4B25B652" w14:textId="77777777" w:rsidR="00B67481" w:rsidRPr="00511005" w:rsidRDefault="00B67481" w:rsidP="003A292D">
      <w:pPr>
        <w:suppressAutoHyphens/>
        <w:spacing w:line="264" w:lineRule="auto"/>
        <w:ind w:firstLine="0"/>
        <w:jc w:val="center"/>
        <w:rPr>
          <w:rFonts w:ascii="Arial" w:eastAsia="Calibri" w:hAnsi="Arial" w:cs="Arial"/>
          <w:szCs w:val="28"/>
        </w:rPr>
      </w:pPr>
    </w:p>
    <w:p w14:paraId="00D04288" w14:textId="77777777" w:rsidR="00B67481" w:rsidRPr="00511005" w:rsidRDefault="00B67481" w:rsidP="003A292D">
      <w:pPr>
        <w:suppressAutoHyphens/>
        <w:spacing w:line="264" w:lineRule="auto"/>
        <w:ind w:firstLine="0"/>
        <w:jc w:val="center"/>
        <w:rPr>
          <w:rFonts w:ascii="Arial" w:eastAsia="Calibri" w:hAnsi="Arial" w:cs="Arial"/>
          <w:szCs w:val="28"/>
        </w:rPr>
      </w:pPr>
      <w:r w:rsidRPr="00511005">
        <w:rPr>
          <w:rFonts w:ascii="Arial" w:eastAsia="Calibri" w:hAnsi="Arial" w:cs="Arial"/>
          <w:b/>
          <w:bCs/>
          <w:szCs w:val="28"/>
        </w:rPr>
        <w:t>РОЛЬ НАЦІОНАЛЬНОГО БАНКУ УКРАЇНИ У ЗАБЕЗПЕЧЕННІ ФІНАНСОВОЇ СТАБІЛЬНОСТІ В УМОВАХ ВОЄННОГО СТАНУ</w:t>
      </w:r>
    </w:p>
    <w:p w14:paraId="50950D9C" w14:textId="2090228A"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lastRenderedPageBreak/>
        <w:t>Починаючи з 24 лютого 2022 року</w:t>
      </w:r>
      <w:r w:rsidRPr="00511005">
        <w:rPr>
          <w:rFonts w:ascii="Arial" w:eastAsia="Times New Roman" w:hAnsi="Arial" w:cs="Arial"/>
          <w:szCs w:val="28"/>
          <w:lang w:eastAsia="uk-UA"/>
        </w:rPr>
        <w:t>,</w:t>
      </w:r>
      <w:r w:rsidRPr="00511005">
        <w:rPr>
          <w:rFonts w:ascii="Arial" w:eastAsia="Calibri" w:hAnsi="Arial" w:cs="Arial"/>
          <w:szCs w:val="28"/>
        </w:rPr>
        <w:t xml:space="preserve"> питання забезпечення фінансової стабільності набуває особливого значення та актуальності. Сучасні проблеми та виклики, з якими зіштовхується фінансова система України в умовах воєнного стану потребують оперативних, ефективних та раціональних рішень з боку фінансових інституцій країни. Наразі фінансова система України функціонує в умовах підвищеної небезпеки, різкого скорочення доходів національного бюджету, зростання інфляційного тиску та значного переліку можливих загроз для банківського сектору. При таких умовах Національний банк України виходить за рамки стандартного регулювання і, як наслідок, охоплює ширший спектр заходів протидії кризовим ситуаціям, що спрямовані</w:t>
      </w:r>
      <w:r w:rsidR="007B2628" w:rsidRPr="00511005">
        <w:rPr>
          <w:rFonts w:ascii="Arial" w:eastAsia="Calibri" w:hAnsi="Arial" w:cs="Arial"/>
          <w:szCs w:val="28"/>
        </w:rPr>
        <w:t xml:space="preserve"> </w:t>
      </w:r>
      <w:r w:rsidRPr="00511005">
        <w:rPr>
          <w:rFonts w:ascii="Arial" w:eastAsia="Calibri" w:hAnsi="Arial" w:cs="Arial"/>
          <w:szCs w:val="28"/>
        </w:rPr>
        <w:t>на забезпечення фінансової стабільності та підтримки банківської системи України.</w:t>
      </w:r>
    </w:p>
    <w:p w14:paraId="0137E7FA" w14:textId="466199A4"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Відповідно до ст. 2 Закону України «Про Національний банк України» Національний банк України є центральним банком України, особливим центральним органом державного управління, юридичний статус, завдання, функції, повноваження і принципи організації якого визначаються Конституцією України, Законом «Про Національний банк України» та іншими законами України [1]. Цей закон є провідним нормативно-правовим актом, який визначає правовий статус, повноваження, функції та принципи діяльності центрального банку держави — Національного банку України. В свою чергу, в ст. 99 Конституції України зазначається основна функція Національно банку України –</w:t>
      </w:r>
      <w:r w:rsidR="007B2628" w:rsidRPr="00511005">
        <w:rPr>
          <w:rFonts w:ascii="Arial" w:eastAsia="Calibri" w:hAnsi="Arial" w:cs="Arial"/>
          <w:szCs w:val="28"/>
        </w:rPr>
        <w:t xml:space="preserve"> </w:t>
      </w:r>
      <w:r w:rsidRPr="00511005">
        <w:rPr>
          <w:rFonts w:ascii="Arial" w:eastAsia="Calibri" w:hAnsi="Arial" w:cs="Arial"/>
          <w:szCs w:val="28"/>
        </w:rPr>
        <w:t>забезпечення стабільності грошової одиниці [2]. Загоровська І. та Пономарьова В. надали якісну характеристику правового статусу Національного банку України наступним чином: «Національний банк України має автономний статус, діє самостійно і не залежить від органів виконавчої влади у розв’язанні питань, що належать до виняткової компетенції центрального банку країни. Національний банк України має особливий правовий статус і є специфічним органом держави з широким колом прав та обов’язків» [3, с. 344].</w:t>
      </w:r>
    </w:p>
    <w:p w14:paraId="58CB19A4" w14:textId="4B4F7489"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Безперервна, якісна та надійна робота банківської системи в умовах воєнного стану відіграє важливу роль в забезпеченні стабільності фінансової системи держави.</w:t>
      </w:r>
      <w:r w:rsidR="007B2628" w:rsidRPr="00511005">
        <w:rPr>
          <w:rFonts w:ascii="Arial" w:eastAsia="Calibri" w:hAnsi="Arial" w:cs="Arial"/>
          <w:szCs w:val="28"/>
        </w:rPr>
        <w:t xml:space="preserve"> </w:t>
      </w:r>
      <w:r w:rsidRPr="00511005">
        <w:rPr>
          <w:rFonts w:ascii="Arial" w:eastAsia="Calibri" w:hAnsi="Arial" w:cs="Arial"/>
          <w:szCs w:val="28"/>
        </w:rPr>
        <w:t>Головні рішення на момент введення воєнного стану в Україні були чітко спрямовані на забезпечення стабільної та безперебійної робити банківської системи. В перший день введення воєнного стану на територію України Національний банк України</w:t>
      </w:r>
      <w:r w:rsidR="007B2628" w:rsidRPr="00511005">
        <w:rPr>
          <w:rFonts w:ascii="Arial" w:eastAsia="Calibri" w:hAnsi="Arial" w:cs="Arial"/>
          <w:szCs w:val="28"/>
        </w:rPr>
        <w:t xml:space="preserve"> </w:t>
      </w:r>
      <w:r w:rsidRPr="00511005">
        <w:rPr>
          <w:rFonts w:ascii="Arial" w:eastAsia="Calibri" w:hAnsi="Arial" w:cs="Arial"/>
          <w:szCs w:val="28"/>
        </w:rPr>
        <w:t>прийняв</w:t>
      </w:r>
      <w:hyperlink r:id="rId957" w:anchor="_blank" w:history="1">
        <w:r w:rsidRPr="00511005">
          <w:rPr>
            <w:rFonts w:ascii="Arial" w:eastAsia="Calibri" w:hAnsi="Arial" w:cs="Arial"/>
            <w:szCs w:val="28"/>
          </w:rPr>
          <w:t> постанову № 18 від 24.02.2022 «Про роботу банківської системи в період запровадження воєнного стану»</w:t>
        </w:r>
      </w:hyperlink>
      <w:r w:rsidRPr="00511005">
        <w:rPr>
          <w:rFonts w:ascii="Arial" w:eastAsia="Calibri" w:hAnsi="Arial" w:cs="Arial"/>
          <w:szCs w:val="28"/>
        </w:rPr>
        <w:t xml:space="preserve"> [4], де встановлюється певне коло обмежень та заборон для реалізації основної мети цього нормативно-правового акту – стабілізації банківського сектору і забезпечення безперервності фінансових операцій в умовах надзвичайної загрози. Зокрема, було введено такі обмеження та заборони, як: «1) обмеження зняття готівки; 2) заборона видачі коштів в іноземній валюті; 3) зупинення </w:t>
      </w:r>
      <w:r w:rsidRPr="00511005">
        <w:rPr>
          <w:rFonts w:ascii="Arial" w:eastAsia="Calibri" w:hAnsi="Arial" w:cs="Arial"/>
          <w:szCs w:val="28"/>
        </w:rPr>
        <w:lastRenderedPageBreak/>
        <w:t>роботи валютного ринку, крім продажу валюти; 4) заборона транскордонних валютних переказів; 5) призупинення</w:t>
      </w:r>
      <w:r w:rsidR="007B2628" w:rsidRPr="00511005">
        <w:rPr>
          <w:rFonts w:ascii="Arial" w:eastAsia="Calibri" w:hAnsi="Arial" w:cs="Arial"/>
          <w:szCs w:val="28"/>
        </w:rPr>
        <w:t xml:space="preserve"> </w:t>
      </w:r>
      <w:r w:rsidRPr="00511005">
        <w:rPr>
          <w:rFonts w:ascii="Arial" w:eastAsia="Calibri" w:hAnsi="Arial" w:cs="Arial"/>
          <w:szCs w:val="28"/>
        </w:rPr>
        <w:t>поповнення електронних гаманців електронними грошима та розповсюдження електронних грошей» [5]. Варто додатково зазначити, що основні напрями діяльності Національного банку України для забезпечення фінансової стабільності у воєнний період включають: 1) контроль за валютними операціями та фінансовими потоками; 2) підтримка платоспроможності (ліквідності) банківської системи України; 3) здійснення заходів щодо запобігання відпливу капіталу за кордон; 4) запобігання девальвації гривні та інфляції.</w:t>
      </w:r>
      <w:r w:rsidR="007B2628" w:rsidRPr="00511005">
        <w:rPr>
          <w:rFonts w:ascii="Arial" w:eastAsia="Calibri" w:hAnsi="Arial" w:cs="Arial"/>
          <w:szCs w:val="28"/>
        </w:rPr>
        <w:t xml:space="preserve"> </w:t>
      </w:r>
      <w:r w:rsidRPr="00511005">
        <w:rPr>
          <w:rFonts w:ascii="Arial" w:eastAsia="Calibri" w:hAnsi="Arial" w:cs="Arial"/>
          <w:szCs w:val="28"/>
        </w:rPr>
        <w:t>Одне із основних завдань Національного банку України вважається оцінка ризиків для фінансового сектору, а також економіки у загальному вигляді. Не менш важливим кроком для забезпечення фінансової стабільності держави була спеціальна рекомендація Центрального банку для банківських установ про запровадження (по можливості) кредитних канікул щодо позичальників. Маліновська К. та Мосієнко О. охарактеризували явище кредитних канікул наступним чином: «Банківська установа може відтермінувати на певний період сплату основної суми кредиту та/або відсотків за користування таким кредитом. Кредитні канікули є ефективним механізмом допомоги позичальникам, які частково чи повністю втратили роботу і джерела для існування у зв’язку з війною в Україні та введеним воєнним станом» [6, с. 218]. Особливе значення у воєнний час має своєчасне обслуговування кредитних зобов'язань, що впливає на стабільність фінансової діяльності держави та її швидке повоєнне відновлення.</w:t>
      </w:r>
    </w:p>
    <w:p w14:paraId="02A38EC9"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 xml:space="preserve">Наразі визначені основні підходи, за якими Національний банк може досягнути фінансової стабільності. Ці підходи включають: «1) провадження макропруденційної політики; 2) підтримка банків як кредитором останньої інстанції; 3) сприяння фінансовій стійкості банків, насамперед системно важливих; 4) здійснення нагляду за банками, платіжними системами та системами розрахунків; 5) здійснення стрес-тестування банківської системи та найбільших позичальників банків» [7]. </w:t>
      </w:r>
    </w:p>
    <w:p w14:paraId="57A96AAB" w14:textId="677A38CE"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Саме запровадження Національним банком України низки жорстких</w:t>
      </w:r>
      <w:r w:rsidR="007B2628" w:rsidRPr="00511005">
        <w:rPr>
          <w:rFonts w:ascii="Arial" w:eastAsia="Calibri" w:hAnsi="Arial" w:cs="Arial"/>
          <w:szCs w:val="28"/>
        </w:rPr>
        <w:t xml:space="preserve"> </w:t>
      </w:r>
      <w:r w:rsidRPr="00511005">
        <w:rPr>
          <w:rFonts w:ascii="Arial" w:eastAsia="Calibri" w:hAnsi="Arial" w:cs="Arial"/>
          <w:szCs w:val="28"/>
        </w:rPr>
        <w:t>обмежень щодо банківської діяльності забезпечує збереження</w:t>
      </w:r>
      <w:r w:rsidR="007B2628" w:rsidRPr="00511005">
        <w:rPr>
          <w:rFonts w:ascii="Arial" w:eastAsia="Calibri" w:hAnsi="Arial" w:cs="Arial"/>
          <w:szCs w:val="28"/>
        </w:rPr>
        <w:t xml:space="preserve"> </w:t>
      </w:r>
      <w:r w:rsidRPr="00511005">
        <w:rPr>
          <w:rFonts w:ascii="Arial" w:eastAsia="Calibri" w:hAnsi="Arial" w:cs="Arial"/>
          <w:szCs w:val="28"/>
        </w:rPr>
        <w:t>фінансової стабільності в країні. Контроль над валютним ринком, обмеження готівкових</w:t>
      </w:r>
      <w:r w:rsidR="007B2628" w:rsidRPr="00511005">
        <w:rPr>
          <w:rFonts w:ascii="Arial" w:eastAsia="Calibri" w:hAnsi="Arial" w:cs="Arial"/>
          <w:szCs w:val="28"/>
        </w:rPr>
        <w:t xml:space="preserve"> </w:t>
      </w:r>
      <w:r w:rsidRPr="00511005">
        <w:rPr>
          <w:rFonts w:ascii="Arial" w:eastAsia="Calibri" w:hAnsi="Arial" w:cs="Arial"/>
          <w:szCs w:val="28"/>
        </w:rPr>
        <w:t>та валютних операцій, фіксація курсу гривні забезпечує безперебійне функціонування банків та систем платежів. Фінансова стабільність в умовах воєнного стану має місце лише тоді, коли забезпечено належне функціонування банківської системи та валютного ринку, а також, коли сама держава здатна належним чином виконувати свої фінансові зобов’язання.</w:t>
      </w:r>
    </w:p>
    <w:p w14:paraId="196DFE10" w14:textId="70A22474"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З огляду на ці характерні аспекти діяльності Національного банку України щодо забезпечення фінансової стабільності</w:t>
      </w:r>
      <w:r w:rsidR="007B2628" w:rsidRPr="00511005">
        <w:rPr>
          <w:rFonts w:ascii="Arial" w:eastAsia="Calibri" w:hAnsi="Arial" w:cs="Arial"/>
          <w:szCs w:val="28"/>
        </w:rPr>
        <w:t xml:space="preserve"> </w:t>
      </w:r>
      <w:r w:rsidRPr="00511005">
        <w:rPr>
          <w:rFonts w:ascii="Arial" w:eastAsia="Calibri" w:hAnsi="Arial" w:cs="Arial"/>
          <w:szCs w:val="28"/>
        </w:rPr>
        <w:t xml:space="preserve">в умовах воєнного стану можна дійти висновку, що центральний банк, починаючи з 2022 року, здійснив ряд необхідних заходів для підтримання безперебійного </w:t>
      </w:r>
      <w:r w:rsidRPr="00511005">
        <w:rPr>
          <w:rFonts w:ascii="Arial" w:eastAsia="Calibri" w:hAnsi="Arial" w:cs="Arial"/>
          <w:szCs w:val="28"/>
        </w:rPr>
        <w:lastRenderedPageBreak/>
        <w:t>функціонування банківської системи, безготівкових та готівкових розрахунків, а також</w:t>
      </w:r>
      <w:r w:rsidR="007B2628" w:rsidRPr="00511005">
        <w:rPr>
          <w:rFonts w:ascii="Arial" w:eastAsia="Calibri" w:hAnsi="Arial" w:cs="Arial"/>
          <w:szCs w:val="28"/>
        </w:rPr>
        <w:t xml:space="preserve"> </w:t>
      </w:r>
      <w:r w:rsidRPr="00511005">
        <w:rPr>
          <w:rFonts w:ascii="Arial" w:eastAsia="Calibri" w:hAnsi="Arial" w:cs="Arial"/>
          <w:szCs w:val="28"/>
        </w:rPr>
        <w:t>для забезпечення</w:t>
      </w:r>
      <w:r w:rsidR="007B2628" w:rsidRPr="00511005">
        <w:rPr>
          <w:rFonts w:ascii="Arial" w:eastAsia="Calibri" w:hAnsi="Arial" w:cs="Arial"/>
          <w:szCs w:val="28"/>
        </w:rPr>
        <w:t xml:space="preserve"> </w:t>
      </w:r>
      <w:r w:rsidRPr="00511005">
        <w:rPr>
          <w:rFonts w:ascii="Arial" w:eastAsia="Calibri" w:hAnsi="Arial" w:cs="Arial"/>
          <w:szCs w:val="28"/>
        </w:rPr>
        <w:t>стійкості фінансової системи. При небезпечних та складних умовах воєнного стану Національний банк України виконує важливу роль у забезпечення фінансової стабільності країни. Завдяки оперативному впровадженню антикризових заходів і закріпленню нормативних обмежень, Національний банк України зміг уникнути виникнення колапсу банківської системи, забезпечити безперервне функціонування фінансових операцій держави та зберегти стабільність національної валюти.</w:t>
      </w:r>
    </w:p>
    <w:p w14:paraId="2BB8716C" w14:textId="77777777" w:rsidR="00B67481" w:rsidRPr="00511005" w:rsidRDefault="00B67481" w:rsidP="003A292D">
      <w:pPr>
        <w:suppressAutoHyphens/>
        <w:spacing w:line="264" w:lineRule="auto"/>
        <w:ind w:firstLine="708"/>
        <w:jc w:val="center"/>
        <w:rPr>
          <w:rFonts w:ascii="Arial" w:eastAsia="Calibri" w:hAnsi="Arial" w:cs="Arial"/>
          <w:b/>
          <w:bCs/>
          <w:szCs w:val="28"/>
          <w:lang w:val="uk-UA"/>
        </w:rPr>
      </w:pPr>
    </w:p>
    <w:p w14:paraId="5DE40C42" w14:textId="06A2A681" w:rsidR="00B67481" w:rsidRPr="00511005" w:rsidRDefault="007B2628" w:rsidP="007B2628">
      <w:pPr>
        <w:suppressAutoHyphens/>
        <w:spacing w:line="264" w:lineRule="auto"/>
        <w:ind w:firstLine="708"/>
        <w:jc w:val="center"/>
        <w:rPr>
          <w:rFonts w:ascii="Arial" w:eastAsia="Calibri" w:hAnsi="Arial" w:cs="Arial"/>
          <w:szCs w:val="28"/>
        </w:rPr>
      </w:pPr>
      <w:r w:rsidRPr="00511005">
        <w:rPr>
          <w:rFonts w:ascii="Arial" w:eastAsia="Calibri" w:hAnsi="Arial" w:cs="Arial"/>
          <w:b/>
          <w:bCs/>
          <w:szCs w:val="28"/>
          <w:lang w:val="uk-UA"/>
        </w:rPr>
        <w:t>Список використаних джерел</w:t>
      </w:r>
    </w:p>
    <w:p w14:paraId="10B71985" w14:textId="77777777" w:rsidR="00B67481" w:rsidRPr="00511005" w:rsidRDefault="00B67481" w:rsidP="003A292D">
      <w:pPr>
        <w:suppressAutoHyphens/>
        <w:spacing w:line="264" w:lineRule="auto"/>
        <w:ind w:firstLine="708"/>
        <w:rPr>
          <w:rFonts w:ascii="Arial" w:eastAsia="Times New Roman" w:hAnsi="Arial" w:cs="Arial"/>
          <w:szCs w:val="28"/>
        </w:rPr>
      </w:pPr>
      <w:r w:rsidRPr="00511005">
        <w:rPr>
          <w:rFonts w:ascii="Arial" w:eastAsia="Calibri" w:hAnsi="Arial" w:cs="Arial"/>
          <w:szCs w:val="28"/>
        </w:rPr>
        <w:t>1. Про Національний банк України: Закон України від 14.10.2014 р. № 679-</w:t>
      </w:r>
      <w:r w:rsidRPr="00511005">
        <w:rPr>
          <w:rFonts w:ascii="Arial" w:eastAsia="Calibri" w:hAnsi="Arial" w:cs="Arial"/>
          <w:szCs w:val="28"/>
          <w:lang w:val="pl-PL"/>
        </w:rPr>
        <w:t>XIV</w:t>
      </w:r>
      <w:r w:rsidRPr="00511005">
        <w:rPr>
          <w:rFonts w:ascii="Arial" w:eastAsia="Times New Roman" w:hAnsi="Arial" w:cs="Arial"/>
          <w:szCs w:val="28"/>
        </w:rPr>
        <w:t>. (Редакція від 19.12.2024 р</w:t>
      </w:r>
      <w:r w:rsidRPr="00511005">
        <w:rPr>
          <w:rFonts w:ascii="Arial" w:eastAsia="Calibri" w:hAnsi="Arial" w:cs="Arial"/>
          <w:szCs w:val="28"/>
        </w:rPr>
        <w:t xml:space="preserve">. № </w:t>
      </w:r>
      <w:hyperlink r:id="rId958" w:anchor="_blank" w:history="1">
        <w:r w:rsidRPr="00511005">
          <w:rPr>
            <w:rFonts w:ascii="Arial" w:eastAsia="Calibri" w:hAnsi="Arial" w:cs="Arial"/>
            <w:szCs w:val="28"/>
          </w:rPr>
          <w:t>4042-</w:t>
        </w:r>
        <w:r w:rsidRPr="00511005">
          <w:rPr>
            <w:rFonts w:ascii="Arial" w:eastAsia="Calibri" w:hAnsi="Arial" w:cs="Arial"/>
            <w:szCs w:val="28"/>
            <w:lang w:val="pl-PL"/>
          </w:rPr>
          <w:t>IX</w:t>
        </w:r>
      </w:hyperlink>
      <w:r w:rsidRPr="00511005">
        <w:rPr>
          <w:rFonts w:ascii="Arial" w:eastAsia="Calibri" w:hAnsi="Arial" w:cs="Arial"/>
          <w:szCs w:val="28"/>
        </w:rPr>
        <w:t>)</w:t>
      </w:r>
      <w:r w:rsidRPr="00511005">
        <w:rPr>
          <w:rFonts w:ascii="Arial" w:eastAsia="Times New Roman" w:hAnsi="Arial" w:cs="Arial"/>
          <w:szCs w:val="28"/>
        </w:rPr>
        <w:t xml:space="preserve"> </w:t>
      </w:r>
      <w:r w:rsidRPr="00511005">
        <w:rPr>
          <w:rFonts w:ascii="Arial" w:eastAsia="Times New Roman" w:hAnsi="Arial" w:cs="Arial"/>
          <w:szCs w:val="28"/>
          <w:lang w:val="pl-PL"/>
        </w:rPr>
        <w:t>URL</w:t>
      </w:r>
      <w:r w:rsidRPr="00511005">
        <w:rPr>
          <w:rFonts w:ascii="Arial" w:eastAsia="Times New Roman" w:hAnsi="Arial" w:cs="Arial"/>
          <w:szCs w:val="28"/>
        </w:rPr>
        <w:t>:</w:t>
      </w:r>
      <w:r w:rsidRPr="00511005">
        <w:rPr>
          <w:rFonts w:ascii="Arial" w:eastAsia="Calibri" w:hAnsi="Arial" w:cs="Arial"/>
          <w:szCs w:val="28"/>
        </w:rPr>
        <w:t xml:space="preserve"> </w:t>
      </w:r>
      <w:hyperlink r:id="rId959" w:anchor="Text" w:history="1">
        <w:r w:rsidRPr="00511005">
          <w:rPr>
            <w:rFonts w:ascii="Arial" w:eastAsia="Times New Roman" w:hAnsi="Arial" w:cs="Arial"/>
            <w:szCs w:val="28"/>
            <w:lang w:val="pl-PL"/>
          </w:rPr>
          <w:t>https</w:t>
        </w:r>
        <w:r w:rsidRPr="00511005">
          <w:rPr>
            <w:rFonts w:ascii="Arial" w:eastAsia="Times New Roman" w:hAnsi="Arial" w:cs="Arial"/>
            <w:szCs w:val="28"/>
          </w:rPr>
          <w:t>://</w:t>
        </w:r>
        <w:r w:rsidRPr="00511005">
          <w:rPr>
            <w:rFonts w:ascii="Arial" w:eastAsia="Times New Roman" w:hAnsi="Arial" w:cs="Arial"/>
            <w:szCs w:val="28"/>
            <w:lang w:val="pl-PL"/>
          </w:rPr>
          <w:t>zakon</w:t>
        </w:r>
        <w:r w:rsidRPr="00511005">
          <w:rPr>
            <w:rFonts w:ascii="Arial" w:eastAsia="Times New Roman" w:hAnsi="Arial" w:cs="Arial"/>
            <w:szCs w:val="28"/>
          </w:rPr>
          <w:t>.</w:t>
        </w:r>
        <w:r w:rsidRPr="00511005">
          <w:rPr>
            <w:rFonts w:ascii="Arial" w:eastAsia="Times New Roman" w:hAnsi="Arial" w:cs="Arial"/>
            <w:szCs w:val="28"/>
            <w:lang w:val="pl-PL"/>
          </w:rPr>
          <w:t>rada</w:t>
        </w:r>
        <w:r w:rsidRPr="00511005">
          <w:rPr>
            <w:rFonts w:ascii="Arial" w:eastAsia="Times New Roman" w:hAnsi="Arial" w:cs="Arial"/>
            <w:szCs w:val="28"/>
          </w:rPr>
          <w:t>.</w:t>
        </w:r>
        <w:r w:rsidRPr="00511005">
          <w:rPr>
            <w:rFonts w:ascii="Arial" w:eastAsia="Times New Roman" w:hAnsi="Arial" w:cs="Arial"/>
            <w:szCs w:val="28"/>
            <w:lang w:val="pl-PL"/>
          </w:rPr>
          <w:t>gov</w:t>
        </w:r>
        <w:r w:rsidRPr="00511005">
          <w:rPr>
            <w:rFonts w:ascii="Arial" w:eastAsia="Times New Roman" w:hAnsi="Arial" w:cs="Arial"/>
            <w:szCs w:val="28"/>
          </w:rPr>
          <w:t>.</w:t>
        </w:r>
        <w:r w:rsidRPr="00511005">
          <w:rPr>
            <w:rFonts w:ascii="Arial" w:eastAsia="Times New Roman" w:hAnsi="Arial" w:cs="Arial"/>
            <w:szCs w:val="28"/>
            <w:lang w:val="pl-PL"/>
          </w:rPr>
          <w:t>ua</w:t>
        </w:r>
        <w:r w:rsidRPr="00511005">
          <w:rPr>
            <w:rFonts w:ascii="Arial" w:eastAsia="Times New Roman" w:hAnsi="Arial" w:cs="Arial"/>
            <w:szCs w:val="28"/>
          </w:rPr>
          <w:t>/</w:t>
        </w:r>
        <w:r w:rsidRPr="00511005">
          <w:rPr>
            <w:rFonts w:ascii="Arial" w:eastAsia="Times New Roman" w:hAnsi="Arial" w:cs="Arial"/>
            <w:szCs w:val="28"/>
            <w:lang w:val="pl-PL"/>
          </w:rPr>
          <w:t>laws</w:t>
        </w:r>
        <w:r w:rsidRPr="00511005">
          <w:rPr>
            <w:rFonts w:ascii="Arial" w:eastAsia="Times New Roman" w:hAnsi="Arial" w:cs="Arial"/>
            <w:szCs w:val="28"/>
          </w:rPr>
          <w:t>/</w:t>
        </w:r>
        <w:r w:rsidRPr="00511005">
          <w:rPr>
            <w:rFonts w:ascii="Arial" w:eastAsia="Times New Roman" w:hAnsi="Arial" w:cs="Arial"/>
            <w:szCs w:val="28"/>
            <w:lang w:val="pl-PL"/>
          </w:rPr>
          <w:t>show</w:t>
        </w:r>
        <w:r w:rsidRPr="00511005">
          <w:rPr>
            <w:rFonts w:ascii="Arial" w:eastAsia="Times New Roman" w:hAnsi="Arial" w:cs="Arial"/>
            <w:szCs w:val="28"/>
          </w:rPr>
          <w:t>/679-14#</w:t>
        </w:r>
        <w:r w:rsidRPr="00511005">
          <w:rPr>
            <w:rFonts w:ascii="Arial" w:eastAsia="Times New Roman" w:hAnsi="Arial" w:cs="Arial"/>
            <w:szCs w:val="28"/>
            <w:lang w:val="pl-PL"/>
          </w:rPr>
          <w:t>Text</w:t>
        </w:r>
      </w:hyperlink>
      <w:r w:rsidRPr="00511005">
        <w:rPr>
          <w:rFonts w:ascii="Arial" w:eastAsia="Times New Roman" w:hAnsi="Arial" w:cs="Arial"/>
          <w:szCs w:val="28"/>
        </w:rPr>
        <w:t xml:space="preserve"> (дата звернення 10.04.2025 р.)</w:t>
      </w:r>
    </w:p>
    <w:p w14:paraId="5B5AB91D" w14:textId="77777777" w:rsidR="00B67481" w:rsidRPr="00511005" w:rsidRDefault="00B67481" w:rsidP="003A292D">
      <w:pPr>
        <w:spacing w:line="264" w:lineRule="auto"/>
        <w:ind w:right="-20" w:firstLine="708"/>
        <w:rPr>
          <w:rFonts w:ascii="Arial" w:eastAsia="Times New Roman" w:hAnsi="Arial" w:cs="Arial"/>
          <w:szCs w:val="28"/>
        </w:rPr>
      </w:pPr>
      <w:r w:rsidRPr="00511005">
        <w:rPr>
          <w:rFonts w:ascii="Arial" w:eastAsia="Times New Roman" w:hAnsi="Arial" w:cs="Arial"/>
          <w:szCs w:val="28"/>
        </w:rPr>
        <w:t xml:space="preserve">2. Конституція України від 28.06.1996 р. </w:t>
      </w:r>
      <w:r w:rsidRPr="00511005">
        <w:rPr>
          <w:rFonts w:ascii="Arial" w:eastAsia="Calibri" w:hAnsi="Arial" w:cs="Arial"/>
          <w:szCs w:val="28"/>
        </w:rPr>
        <w:t xml:space="preserve">№30. ( Редакція від 01.01.2020 р. </w:t>
      </w:r>
      <w:r w:rsidRPr="00511005">
        <w:rPr>
          <w:rFonts w:ascii="Arial" w:eastAsia="Times New Roman" w:hAnsi="Arial" w:cs="Arial"/>
          <w:szCs w:val="28"/>
        </w:rPr>
        <w:t xml:space="preserve">№ </w:t>
      </w:r>
      <w:hyperlink r:id="rId960" w:anchor="_blank" w:history="1">
        <w:r w:rsidRPr="00511005">
          <w:rPr>
            <w:rFonts w:ascii="Arial" w:eastAsia="Calibri" w:hAnsi="Arial" w:cs="Arial"/>
            <w:szCs w:val="28"/>
          </w:rPr>
          <w:t>27-</w:t>
        </w:r>
        <w:r w:rsidRPr="00511005">
          <w:rPr>
            <w:rFonts w:ascii="Arial" w:eastAsia="Calibri" w:hAnsi="Arial" w:cs="Arial"/>
            <w:szCs w:val="28"/>
            <w:lang w:val="pl-PL"/>
          </w:rPr>
          <w:t>IX</w:t>
        </w:r>
      </w:hyperlink>
      <w:r w:rsidRPr="00511005">
        <w:rPr>
          <w:rFonts w:ascii="Arial" w:eastAsia="Times New Roman" w:hAnsi="Arial" w:cs="Arial"/>
          <w:szCs w:val="28"/>
        </w:rPr>
        <w:t>)</w:t>
      </w:r>
      <w:r w:rsidRPr="00511005">
        <w:rPr>
          <w:rFonts w:ascii="Arial" w:eastAsia="Calibri" w:hAnsi="Arial" w:cs="Arial"/>
          <w:szCs w:val="28"/>
        </w:rPr>
        <w:t xml:space="preserve"> </w:t>
      </w:r>
      <w:r w:rsidRPr="00511005">
        <w:rPr>
          <w:rFonts w:ascii="Arial" w:eastAsia="Calibri" w:hAnsi="Arial" w:cs="Arial"/>
          <w:szCs w:val="28"/>
          <w:lang w:val="pl-PL"/>
        </w:rPr>
        <w:t>URL</w:t>
      </w:r>
      <w:r w:rsidRPr="00511005">
        <w:rPr>
          <w:rFonts w:ascii="Arial" w:eastAsia="Calibri" w:hAnsi="Arial" w:cs="Arial"/>
          <w:szCs w:val="28"/>
        </w:rPr>
        <w:t xml:space="preserve">: </w:t>
      </w:r>
      <w:hyperlink r:id="rId961" w:anchor="Text" w:history="1">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zakon</w:t>
        </w:r>
        <w:r w:rsidRPr="00511005">
          <w:rPr>
            <w:rFonts w:ascii="Arial" w:eastAsia="Calibri" w:hAnsi="Arial" w:cs="Arial"/>
            <w:szCs w:val="28"/>
          </w:rPr>
          <w:t>.</w:t>
        </w:r>
        <w:r w:rsidRPr="00511005">
          <w:rPr>
            <w:rFonts w:ascii="Arial" w:eastAsia="Calibri" w:hAnsi="Arial" w:cs="Arial"/>
            <w:szCs w:val="28"/>
            <w:lang w:val="pl-PL"/>
          </w:rPr>
          <w:t>rada</w:t>
        </w:r>
        <w:r w:rsidRPr="00511005">
          <w:rPr>
            <w:rFonts w:ascii="Arial" w:eastAsia="Calibri" w:hAnsi="Arial" w:cs="Arial"/>
            <w:szCs w:val="28"/>
          </w:rPr>
          <w:t>.</w:t>
        </w:r>
        <w:r w:rsidRPr="00511005">
          <w:rPr>
            <w:rFonts w:ascii="Arial" w:eastAsia="Calibri" w:hAnsi="Arial" w:cs="Arial"/>
            <w:szCs w:val="28"/>
            <w:lang w:val="pl-PL"/>
          </w:rPr>
          <w:t>gov</w:t>
        </w:r>
        <w:r w:rsidRPr="00511005">
          <w:rPr>
            <w:rFonts w:ascii="Arial" w:eastAsia="Calibri" w:hAnsi="Arial" w:cs="Arial"/>
            <w:szCs w:val="28"/>
          </w:rPr>
          <w:t>.</w:t>
        </w:r>
        <w:r w:rsidRPr="00511005">
          <w:rPr>
            <w:rFonts w:ascii="Arial" w:eastAsia="Calibri" w:hAnsi="Arial" w:cs="Arial"/>
            <w:szCs w:val="28"/>
            <w:lang w:val="pl-PL"/>
          </w:rPr>
          <w:t>ua</w:t>
        </w:r>
        <w:r w:rsidRPr="00511005">
          <w:rPr>
            <w:rFonts w:ascii="Arial" w:eastAsia="Calibri" w:hAnsi="Arial" w:cs="Arial"/>
            <w:szCs w:val="28"/>
          </w:rPr>
          <w:t>/</w:t>
        </w:r>
        <w:r w:rsidRPr="00511005">
          <w:rPr>
            <w:rFonts w:ascii="Arial" w:eastAsia="Calibri" w:hAnsi="Arial" w:cs="Arial"/>
            <w:szCs w:val="28"/>
            <w:lang w:val="pl-PL"/>
          </w:rPr>
          <w:t>laws</w:t>
        </w:r>
        <w:r w:rsidRPr="00511005">
          <w:rPr>
            <w:rFonts w:ascii="Arial" w:eastAsia="Calibri" w:hAnsi="Arial" w:cs="Arial"/>
            <w:szCs w:val="28"/>
          </w:rPr>
          <w:t>/</w:t>
        </w:r>
        <w:r w:rsidRPr="00511005">
          <w:rPr>
            <w:rFonts w:ascii="Arial" w:eastAsia="Calibri" w:hAnsi="Arial" w:cs="Arial"/>
            <w:szCs w:val="28"/>
            <w:lang w:val="pl-PL"/>
          </w:rPr>
          <w:t>show</w:t>
        </w:r>
        <w:r w:rsidRPr="00511005">
          <w:rPr>
            <w:rFonts w:ascii="Arial" w:eastAsia="Calibri" w:hAnsi="Arial" w:cs="Arial"/>
            <w:szCs w:val="28"/>
          </w:rPr>
          <w:t>/254к/96-вр#</w:t>
        </w:r>
        <w:r w:rsidRPr="00511005">
          <w:rPr>
            <w:rFonts w:ascii="Arial" w:eastAsia="Calibri" w:hAnsi="Arial" w:cs="Arial"/>
            <w:szCs w:val="28"/>
            <w:lang w:val="pl-PL"/>
          </w:rPr>
          <w:t>Text</w:t>
        </w:r>
      </w:hyperlink>
      <w:r w:rsidRPr="00511005">
        <w:rPr>
          <w:rFonts w:ascii="Arial" w:eastAsia="Calibri" w:hAnsi="Arial" w:cs="Arial"/>
          <w:szCs w:val="28"/>
        </w:rPr>
        <w:t xml:space="preserve"> (дата звернення 10.04.2025 р.)</w:t>
      </w:r>
    </w:p>
    <w:p w14:paraId="427C7769" w14:textId="77777777" w:rsidR="00B67481" w:rsidRPr="00511005" w:rsidRDefault="00B67481" w:rsidP="003A292D">
      <w:pPr>
        <w:spacing w:line="264" w:lineRule="auto"/>
        <w:ind w:right="-20" w:firstLine="708"/>
        <w:rPr>
          <w:rFonts w:ascii="Arial" w:eastAsia="Calibri" w:hAnsi="Arial" w:cs="Arial"/>
          <w:szCs w:val="28"/>
        </w:rPr>
      </w:pPr>
      <w:r w:rsidRPr="00511005">
        <w:rPr>
          <w:rFonts w:ascii="Arial" w:eastAsia="Times New Roman" w:hAnsi="Arial" w:cs="Arial"/>
          <w:szCs w:val="28"/>
        </w:rPr>
        <w:t xml:space="preserve">3. Загоровська І.О., Пономарьова В.Р. Правовий статус національного банку України: парадигмальний аналіз. </w:t>
      </w:r>
      <w:r w:rsidRPr="00511005">
        <w:rPr>
          <w:rFonts w:ascii="Arial" w:eastAsia="Times New Roman" w:hAnsi="Arial" w:cs="Arial"/>
          <w:i/>
          <w:iCs/>
          <w:szCs w:val="28"/>
        </w:rPr>
        <w:t xml:space="preserve">Юридичний науковий електронний журнал. </w:t>
      </w:r>
      <w:r w:rsidRPr="00511005">
        <w:rPr>
          <w:rFonts w:ascii="Arial" w:eastAsia="Times New Roman" w:hAnsi="Arial" w:cs="Arial"/>
          <w:szCs w:val="28"/>
        </w:rPr>
        <w:t xml:space="preserve">2020. №8. С. 342-344. URL: </w:t>
      </w:r>
      <w:hyperlink r:id="rId962" w:history="1">
        <w:r w:rsidRPr="00511005">
          <w:rPr>
            <w:rFonts w:ascii="Arial" w:eastAsia="Times New Roman" w:hAnsi="Arial" w:cs="Arial"/>
            <w:szCs w:val="28"/>
          </w:rPr>
          <w:t>https://doi.org/10.32782/2524-0374/2020-8/84</w:t>
        </w:r>
      </w:hyperlink>
      <w:r w:rsidRPr="00511005">
        <w:rPr>
          <w:rFonts w:ascii="Arial" w:eastAsia="Times New Roman" w:hAnsi="Arial" w:cs="Arial"/>
          <w:szCs w:val="28"/>
        </w:rPr>
        <w:t xml:space="preserve"> (дата звернення 10.04.2025 р.)</w:t>
      </w:r>
    </w:p>
    <w:p w14:paraId="3BFDC3DF" w14:textId="77777777" w:rsidR="00B67481" w:rsidRPr="00511005" w:rsidRDefault="00B67481" w:rsidP="003A292D">
      <w:pPr>
        <w:spacing w:line="264" w:lineRule="auto"/>
        <w:ind w:right="-20" w:firstLine="708"/>
        <w:rPr>
          <w:rFonts w:ascii="Arial" w:eastAsia="Calibri" w:hAnsi="Arial" w:cs="Arial"/>
          <w:szCs w:val="28"/>
        </w:rPr>
      </w:pPr>
      <w:r w:rsidRPr="00511005">
        <w:rPr>
          <w:rFonts w:ascii="Arial" w:eastAsia="Calibri" w:hAnsi="Arial" w:cs="Arial"/>
          <w:szCs w:val="28"/>
        </w:rPr>
        <w:t xml:space="preserve">4. Про роботу банківської системи в період запровадження воєнного стану: Постанова Національного банку України від 24.02.2022 р. №18. (Редакція від 22.03.2025 р. № </w:t>
      </w:r>
      <w:hyperlink r:id="rId963" w:anchor="_blank" w:history="1">
        <w:r w:rsidRPr="00511005">
          <w:rPr>
            <w:rFonts w:ascii="Arial" w:eastAsia="Calibri" w:hAnsi="Arial" w:cs="Arial"/>
            <w:szCs w:val="28"/>
          </w:rPr>
          <w:t>v0035500-25</w:t>
        </w:r>
      </w:hyperlink>
      <w:r w:rsidRPr="00511005">
        <w:rPr>
          <w:rFonts w:ascii="Arial" w:eastAsia="Calibri" w:hAnsi="Arial" w:cs="Arial"/>
          <w:szCs w:val="28"/>
        </w:rPr>
        <w:t xml:space="preserve">) URL: </w:t>
      </w:r>
      <w:hyperlink r:id="rId964" w:anchor="Text" w:history="1">
        <w:r w:rsidRPr="00511005">
          <w:rPr>
            <w:rFonts w:ascii="Arial" w:eastAsia="Times New Roman" w:hAnsi="Arial" w:cs="Arial"/>
            <w:szCs w:val="28"/>
          </w:rPr>
          <w:t>https://zakon.rada.gov.ua/laws/show/v0018500-22#Text</w:t>
        </w:r>
      </w:hyperlink>
      <w:r w:rsidRPr="00511005">
        <w:rPr>
          <w:rFonts w:ascii="Arial" w:eastAsia="Calibri" w:hAnsi="Arial" w:cs="Arial"/>
          <w:szCs w:val="28"/>
        </w:rPr>
        <w:t xml:space="preserve"> (дата звернення 10.04.2025 р.)</w:t>
      </w:r>
    </w:p>
    <w:p w14:paraId="11501BDB" w14:textId="77777777" w:rsidR="00B67481" w:rsidRPr="00511005" w:rsidRDefault="00B67481" w:rsidP="003A292D">
      <w:pPr>
        <w:spacing w:line="264" w:lineRule="auto"/>
        <w:ind w:right="-20" w:firstLine="708"/>
        <w:rPr>
          <w:rFonts w:ascii="Arial" w:eastAsia="Calibri" w:hAnsi="Arial" w:cs="Arial"/>
          <w:szCs w:val="28"/>
        </w:rPr>
      </w:pPr>
      <w:r w:rsidRPr="00511005">
        <w:rPr>
          <w:rFonts w:ascii="Arial" w:eastAsia="Calibri" w:hAnsi="Arial" w:cs="Arial"/>
          <w:szCs w:val="28"/>
        </w:rPr>
        <w:t xml:space="preserve">5. Валютні обмеження для бізнесу в умовах воєнного стану. URL: </w:t>
      </w:r>
      <w:hyperlink r:id="rId965" w:history="1">
        <w:r w:rsidRPr="00511005">
          <w:rPr>
            <w:rFonts w:ascii="Arial" w:eastAsia="Calibri" w:hAnsi="Arial" w:cs="Arial"/>
            <w:szCs w:val="28"/>
          </w:rPr>
          <w:t>https://biz.ligazakon.net/analitycs/219499_valyutn-obmezhennya-dlya-bznesu-v-umovakh-vonnogo-stanu</w:t>
        </w:r>
      </w:hyperlink>
      <w:r w:rsidRPr="00511005">
        <w:rPr>
          <w:rFonts w:ascii="Arial" w:eastAsia="Calibri" w:hAnsi="Arial" w:cs="Arial"/>
          <w:szCs w:val="28"/>
        </w:rPr>
        <w:t xml:space="preserve"> (дата звернення 10.04.2025 р.)</w:t>
      </w:r>
    </w:p>
    <w:p w14:paraId="49494BDE" w14:textId="77777777" w:rsidR="00B67481" w:rsidRPr="00511005" w:rsidRDefault="00B67481" w:rsidP="003A292D">
      <w:pPr>
        <w:suppressAutoHyphens/>
        <w:spacing w:line="264" w:lineRule="auto"/>
        <w:ind w:firstLine="708"/>
        <w:rPr>
          <w:rFonts w:ascii="Arial" w:eastAsia="Calibri" w:hAnsi="Arial" w:cs="Arial"/>
          <w:szCs w:val="28"/>
        </w:rPr>
      </w:pPr>
      <w:r w:rsidRPr="00511005">
        <w:rPr>
          <w:rFonts w:ascii="Arial" w:eastAsia="Calibri" w:hAnsi="Arial" w:cs="Arial"/>
          <w:szCs w:val="28"/>
        </w:rPr>
        <w:t>6. Маліновська К.О. та Мосієнко О.В. Роль банківських установ у забезпеченні стабільності фінансової системи та економіки України під час воєнного стану: матеріали ІІІ міжнар. наук.-практ. конф., 3-4 лист. 2022 р. Житомирська політехніка, 2022. С. 218-219.</w:t>
      </w:r>
    </w:p>
    <w:p w14:paraId="1BF05D0A" w14:textId="77777777" w:rsidR="00B67481" w:rsidRPr="00511005" w:rsidRDefault="00B67481" w:rsidP="003A292D">
      <w:pPr>
        <w:suppressAutoHyphens/>
        <w:spacing w:line="264" w:lineRule="auto"/>
        <w:ind w:firstLine="708"/>
        <w:rPr>
          <w:rFonts w:ascii="Arial" w:eastAsia="Calibri" w:hAnsi="Arial" w:cs="Arial"/>
          <w:szCs w:val="28"/>
        </w:rPr>
      </w:pPr>
      <w:r w:rsidRPr="00511005">
        <w:rPr>
          <w:rFonts w:ascii="Arial" w:eastAsia="Calibri" w:hAnsi="Arial" w:cs="Arial"/>
          <w:szCs w:val="28"/>
        </w:rPr>
        <w:t xml:space="preserve">7. Національний банк України. Про фінансову стабільність. </w:t>
      </w:r>
      <w:r w:rsidRPr="00511005">
        <w:rPr>
          <w:rFonts w:ascii="Arial" w:eastAsia="Calibri" w:hAnsi="Arial" w:cs="Arial"/>
          <w:szCs w:val="28"/>
          <w:lang w:val="pl-PL"/>
        </w:rPr>
        <w:t>URL</w:t>
      </w:r>
      <w:r w:rsidRPr="00511005">
        <w:rPr>
          <w:rFonts w:ascii="Arial" w:eastAsia="Calibri" w:hAnsi="Arial" w:cs="Arial"/>
          <w:szCs w:val="28"/>
        </w:rPr>
        <w:t xml:space="preserve">: </w:t>
      </w:r>
      <w:hyperlink r:id="rId966" w:history="1">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bank</w:t>
        </w:r>
        <w:r w:rsidRPr="00511005">
          <w:rPr>
            <w:rFonts w:ascii="Arial" w:eastAsia="Calibri" w:hAnsi="Arial" w:cs="Arial"/>
            <w:szCs w:val="28"/>
          </w:rPr>
          <w:t>.</w:t>
        </w:r>
        <w:r w:rsidRPr="00511005">
          <w:rPr>
            <w:rFonts w:ascii="Arial" w:eastAsia="Calibri" w:hAnsi="Arial" w:cs="Arial"/>
            <w:szCs w:val="28"/>
            <w:lang w:val="pl-PL"/>
          </w:rPr>
          <w:t>gov</w:t>
        </w:r>
        <w:r w:rsidRPr="00511005">
          <w:rPr>
            <w:rFonts w:ascii="Arial" w:eastAsia="Calibri" w:hAnsi="Arial" w:cs="Arial"/>
            <w:szCs w:val="28"/>
          </w:rPr>
          <w:t>.</w:t>
        </w:r>
        <w:r w:rsidRPr="00511005">
          <w:rPr>
            <w:rFonts w:ascii="Arial" w:eastAsia="Calibri" w:hAnsi="Arial" w:cs="Arial"/>
            <w:szCs w:val="28"/>
            <w:lang w:val="pl-PL"/>
          </w:rPr>
          <w:t>ua</w:t>
        </w:r>
        <w:r w:rsidRPr="00511005">
          <w:rPr>
            <w:rFonts w:ascii="Arial" w:eastAsia="Calibri" w:hAnsi="Arial" w:cs="Arial"/>
            <w:szCs w:val="28"/>
          </w:rPr>
          <w:t>/</w:t>
        </w:r>
        <w:r w:rsidRPr="00511005">
          <w:rPr>
            <w:rFonts w:ascii="Arial" w:eastAsia="Calibri" w:hAnsi="Arial" w:cs="Arial"/>
            <w:szCs w:val="28"/>
            <w:lang w:val="pl-PL"/>
          </w:rPr>
          <w:t>ua</w:t>
        </w:r>
        <w:r w:rsidRPr="00511005">
          <w:rPr>
            <w:rFonts w:ascii="Arial" w:eastAsia="Calibri" w:hAnsi="Arial" w:cs="Arial"/>
            <w:szCs w:val="28"/>
          </w:rPr>
          <w:t>/</w:t>
        </w:r>
        <w:r w:rsidRPr="00511005">
          <w:rPr>
            <w:rFonts w:ascii="Arial" w:eastAsia="Calibri" w:hAnsi="Arial" w:cs="Arial"/>
            <w:szCs w:val="28"/>
            <w:lang w:val="pl-PL"/>
          </w:rPr>
          <w:t>stability</w:t>
        </w:r>
        <w:r w:rsidRPr="00511005">
          <w:rPr>
            <w:rFonts w:ascii="Arial" w:eastAsia="Calibri" w:hAnsi="Arial" w:cs="Arial"/>
            <w:szCs w:val="28"/>
          </w:rPr>
          <w:t>/</w:t>
        </w:r>
        <w:r w:rsidRPr="00511005">
          <w:rPr>
            <w:rFonts w:ascii="Arial" w:eastAsia="Calibri" w:hAnsi="Arial" w:cs="Arial"/>
            <w:szCs w:val="28"/>
            <w:lang w:val="pl-PL"/>
          </w:rPr>
          <w:t>about</w:t>
        </w:r>
      </w:hyperlink>
      <w:r w:rsidRPr="00511005">
        <w:rPr>
          <w:rFonts w:ascii="Arial" w:eastAsia="Calibri" w:hAnsi="Arial" w:cs="Arial"/>
          <w:szCs w:val="28"/>
        </w:rPr>
        <w:t xml:space="preserve"> (дата звернення 10.04.2025 р.)</w:t>
      </w:r>
    </w:p>
    <w:p w14:paraId="6F2E16DB" w14:textId="78F70E79" w:rsidR="00B67481" w:rsidRPr="00511005" w:rsidRDefault="007B2628" w:rsidP="003A292D">
      <w:pPr>
        <w:suppressAutoHyphens/>
        <w:spacing w:line="264" w:lineRule="auto"/>
        <w:ind w:firstLine="708"/>
        <w:rPr>
          <w:rFonts w:ascii="Arial" w:eastAsia="Calibri" w:hAnsi="Arial" w:cs="Arial"/>
          <w:szCs w:val="28"/>
        </w:rPr>
      </w:pPr>
      <w:r w:rsidRPr="00511005">
        <w:rPr>
          <w:rFonts w:ascii="Arial" w:eastAsia="Calibri" w:hAnsi="Arial" w:cs="Arial"/>
          <w:b/>
          <w:i/>
          <w:szCs w:val="28"/>
        </w:rPr>
        <w:t xml:space="preserve">Ключові слова: </w:t>
      </w:r>
      <w:r w:rsidR="00B67481" w:rsidRPr="00511005">
        <w:rPr>
          <w:rFonts w:ascii="Arial" w:eastAsia="Calibri" w:hAnsi="Arial" w:cs="Arial"/>
          <w:szCs w:val="28"/>
        </w:rPr>
        <w:t>воєнний стан, фінансова система, фінансова стабільність, Національний банк України, банківська система.</w:t>
      </w:r>
    </w:p>
    <w:p w14:paraId="562FC1AC" w14:textId="3633C04E" w:rsidR="00B67481" w:rsidRPr="00511005" w:rsidRDefault="007B2628" w:rsidP="003A292D">
      <w:pPr>
        <w:suppressAutoHyphens/>
        <w:spacing w:line="264" w:lineRule="auto"/>
        <w:ind w:firstLine="708"/>
        <w:rPr>
          <w:rFonts w:ascii="Arial" w:eastAsia="Calibri" w:hAnsi="Arial" w:cs="Arial"/>
          <w:b/>
          <w:szCs w:val="28"/>
          <w:lang w:val="en-US"/>
        </w:rPr>
      </w:pPr>
      <w:r w:rsidRPr="00511005">
        <w:rPr>
          <w:rFonts w:ascii="Arial" w:eastAsia="Calibri" w:hAnsi="Arial" w:cs="Arial"/>
          <w:b/>
          <w:i/>
          <w:szCs w:val="28"/>
          <w:lang w:val="en-US"/>
        </w:rPr>
        <w:t xml:space="preserve">Key words: </w:t>
      </w:r>
      <w:r w:rsidR="00B67481" w:rsidRPr="00511005">
        <w:rPr>
          <w:rFonts w:ascii="Arial" w:eastAsia="Calibri" w:hAnsi="Arial" w:cs="Arial"/>
          <w:bCs/>
          <w:szCs w:val="28"/>
          <w:lang w:val="en-US"/>
        </w:rPr>
        <w:t>martial law, financial system, financial stability, National Bank of Ukraine, banking system.</w:t>
      </w:r>
    </w:p>
    <w:p w14:paraId="0125D5E7" w14:textId="79AB8840" w:rsidR="00B67481" w:rsidRPr="00511005" w:rsidRDefault="007B2628" w:rsidP="003A292D">
      <w:pPr>
        <w:spacing w:line="264" w:lineRule="auto"/>
        <w:jc w:val="left"/>
        <w:rPr>
          <w:rFonts w:ascii="Arial" w:eastAsia="Calibri" w:hAnsi="Arial" w:cs="Arial"/>
          <w:i/>
          <w:iCs/>
          <w:szCs w:val="28"/>
        </w:rPr>
      </w:pPr>
      <w:r w:rsidRPr="00511005">
        <w:rPr>
          <w:rFonts w:ascii="Arial" w:eastAsia="Calibri" w:hAnsi="Arial" w:cs="Arial"/>
          <w:b/>
          <w:i/>
          <w:iCs/>
          <w:szCs w:val="28"/>
        </w:rPr>
        <w:t xml:space="preserve">Науковий керівник: </w:t>
      </w:r>
      <w:r w:rsidR="00B67481" w:rsidRPr="00511005">
        <w:rPr>
          <w:rFonts w:ascii="Arial" w:eastAsia="Calibri" w:hAnsi="Arial" w:cs="Arial"/>
          <w:i/>
          <w:iCs/>
          <w:szCs w:val="28"/>
        </w:rPr>
        <w:t>к.ю.н., доцент Сідор М.І.</w:t>
      </w:r>
    </w:p>
    <w:p w14:paraId="50C23BC5" w14:textId="77777777" w:rsidR="001D1A08" w:rsidRPr="00511005" w:rsidRDefault="001D1A08" w:rsidP="003A292D">
      <w:pPr>
        <w:spacing w:line="264" w:lineRule="auto"/>
        <w:ind w:firstLine="0"/>
        <w:jc w:val="left"/>
        <w:rPr>
          <w:rFonts w:ascii="Arial" w:eastAsia="Calibri" w:hAnsi="Arial" w:cs="Arial"/>
          <w:i/>
          <w:iCs/>
          <w:szCs w:val="28"/>
        </w:rPr>
      </w:pPr>
    </w:p>
    <w:p w14:paraId="19537ECE" w14:textId="77777777" w:rsidR="001D1A08" w:rsidRPr="00511005" w:rsidRDefault="001D1A08" w:rsidP="003A292D">
      <w:pPr>
        <w:spacing w:line="264" w:lineRule="auto"/>
        <w:ind w:firstLine="0"/>
        <w:jc w:val="left"/>
        <w:rPr>
          <w:rFonts w:ascii="Arial" w:eastAsia="Calibri" w:hAnsi="Arial" w:cs="Arial"/>
          <w:i/>
          <w:iCs/>
          <w:szCs w:val="28"/>
        </w:rPr>
      </w:pPr>
    </w:p>
    <w:p w14:paraId="4361262E" w14:textId="77777777" w:rsidR="00B67481" w:rsidRPr="00511005" w:rsidRDefault="00B67481" w:rsidP="003A292D">
      <w:pPr>
        <w:spacing w:line="264" w:lineRule="auto"/>
        <w:ind w:firstLine="0"/>
        <w:jc w:val="center"/>
        <w:rPr>
          <w:rFonts w:ascii="Arial" w:eastAsia="Calibri" w:hAnsi="Arial" w:cs="Arial"/>
          <w:b/>
          <w:bCs/>
          <w:i/>
          <w:iCs/>
          <w:szCs w:val="28"/>
        </w:rPr>
      </w:pPr>
      <w:r w:rsidRPr="00511005">
        <w:rPr>
          <w:rFonts w:ascii="Arial" w:eastAsia="Calibri" w:hAnsi="Arial" w:cs="Arial"/>
          <w:b/>
          <w:bCs/>
          <w:i/>
          <w:iCs/>
          <w:szCs w:val="28"/>
        </w:rPr>
        <w:t>Короленко Максим Віталійович</w:t>
      </w:r>
    </w:p>
    <w:p w14:paraId="64593372" w14:textId="110AEB66"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 2-го курсу </w:t>
      </w:r>
    </w:p>
    <w:p w14:paraId="4D1790DA"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C1CDF61"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7FBF671" w14:textId="77777777" w:rsidR="00B67481" w:rsidRPr="00511005" w:rsidRDefault="00B67481" w:rsidP="003A292D">
      <w:pPr>
        <w:spacing w:line="264" w:lineRule="auto"/>
        <w:ind w:firstLine="0"/>
        <w:jc w:val="center"/>
        <w:rPr>
          <w:rFonts w:ascii="Arial" w:eastAsia="Calibri" w:hAnsi="Arial" w:cs="Arial"/>
          <w:i/>
          <w:iCs/>
          <w:szCs w:val="28"/>
        </w:rPr>
      </w:pPr>
    </w:p>
    <w:p w14:paraId="282A15A8" w14:textId="77777777" w:rsidR="00B67481" w:rsidRPr="00511005" w:rsidRDefault="00B67481" w:rsidP="003A292D">
      <w:pPr>
        <w:spacing w:line="264" w:lineRule="auto"/>
        <w:ind w:firstLine="0"/>
        <w:jc w:val="center"/>
        <w:rPr>
          <w:rFonts w:ascii="Arial" w:eastAsia="Calibri" w:hAnsi="Arial" w:cs="Arial"/>
          <w:b/>
          <w:bCs/>
          <w:szCs w:val="28"/>
        </w:rPr>
      </w:pPr>
      <w:r w:rsidRPr="00511005">
        <w:rPr>
          <w:rFonts w:ascii="Arial" w:eastAsia="Calibri" w:hAnsi="Arial" w:cs="Arial"/>
          <w:b/>
          <w:bCs/>
          <w:szCs w:val="28"/>
        </w:rPr>
        <w:t xml:space="preserve">АДМІНІСТРАТИВНО ПРАВОВИЙ СТАТУС ПЕНСІЙНОГО ФОНДУ УКРАЇНИ </w:t>
      </w:r>
    </w:p>
    <w:p w14:paraId="718DA83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Так як в Україні є велике кількість органів публічної влади, то є необхідним характеристика їх адміністративно-правового статусу, зокрема, Пенсійного фонду України.</w:t>
      </w:r>
    </w:p>
    <w:p w14:paraId="627C4709" w14:textId="77777777" w:rsidR="00B67481" w:rsidRPr="00511005" w:rsidRDefault="00B67481" w:rsidP="003A292D">
      <w:pPr>
        <w:spacing w:line="264" w:lineRule="auto"/>
        <w:rPr>
          <w:rFonts w:ascii="Arial" w:eastAsia="Calibri" w:hAnsi="Arial" w:cs="Arial"/>
          <w:szCs w:val="28"/>
        </w:rPr>
      </w:pPr>
      <w:proofErr w:type="gramStart"/>
      <w:r w:rsidRPr="00511005">
        <w:rPr>
          <w:rFonts w:ascii="Arial" w:eastAsia="Calibri" w:hAnsi="Arial" w:cs="Arial"/>
          <w:szCs w:val="28"/>
        </w:rPr>
        <w:t>Для початку</w:t>
      </w:r>
      <w:proofErr w:type="gramEnd"/>
      <w:r w:rsidRPr="00511005">
        <w:rPr>
          <w:rFonts w:ascii="Arial" w:eastAsia="Calibri" w:hAnsi="Arial" w:cs="Arial"/>
          <w:szCs w:val="28"/>
        </w:rPr>
        <w:t xml:space="preserve"> слід зазначити, що легальне визначення поняття «суб’єкт публічної адміністрації» наразі відсутнє, але при цьому для позначення такої групи суб’єктів використовуються такі поняття: 1) суб’єкт владних повноважень (п. 7 ст. 4 КАС України); 2) адміністративний орган (п.1 ст.2 ЗУ «Про адміністративну процедуру»). Хоча, при цьому, вважаємо за потрібне надати таке визначення цьому поняттю: суб’єкт публічної адміністрації – це носії публічної влади, владних повноважень щодо здійснення упорядкування суспільних відносин, а також забезпечення публічного інтересу.</w:t>
      </w:r>
    </w:p>
    <w:p w14:paraId="54BE0F7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Так, Пенсійний фонд України (Далі ПФУ) — це орган виконавчої влади, відповідальний за впровадження державної політики у сфері пенсійного забезпечення. Крім того, він здійснює облік осіб, які підлягають загальнообов’язковому державному соціальному страхуванню. Організаційне керівництво його діяльністю забезпечується Кабінетом Міністрів України (КМУ) через Міністра соціальної політики [1]. Але для остаточного з’ясування належності ПФУ до суб’єктів публічної адміністрації необхідно охарактеризувати елементи його адміністративно-правового статусу.</w:t>
      </w:r>
    </w:p>
    <w:p w14:paraId="1A652BD8"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Так, щодо адміністративно правового статусу, то так само як і з поняттям «суб’єкт публічної адміністрації» його загальноприйнятого поняття в юридичній літературі не вироблено [2].</w:t>
      </w:r>
    </w:p>
    <w:p w14:paraId="364FB37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Так, адміністративно правовий статус суб'єкта публічної адміністрації можна визначити як становище суб'єкта публічної адміністрації на нормативному рівні, який віддзеркалює його засади та можливості участі у суспільних відносинах щодо публічного адміністрування [2].</w:t>
      </w:r>
    </w:p>
    <w:p w14:paraId="2AA5C131" w14:textId="73A0ED08"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Отже такий статус можна характеризувати виділивши його елементи. Так, ними є: </w:t>
      </w:r>
      <w:r w:rsidRPr="00511005">
        <w:rPr>
          <w:rFonts w:ascii="Arial" w:eastAsia="Calibri" w:hAnsi="Arial" w:cs="Arial"/>
          <w:bCs/>
          <w:szCs w:val="28"/>
        </w:rPr>
        <w:t>1) Мета діяльності</w:t>
      </w:r>
      <w:r w:rsidRPr="00511005">
        <w:rPr>
          <w:rFonts w:ascii="Arial" w:eastAsia="Calibri" w:hAnsi="Arial" w:cs="Arial"/>
          <w:szCs w:val="28"/>
        </w:rPr>
        <w:t xml:space="preserve"> – це ціль задля якої створюється суб’єкт публічної адміністрації; </w:t>
      </w:r>
      <w:r w:rsidRPr="00511005">
        <w:rPr>
          <w:rFonts w:ascii="Arial" w:eastAsia="Calibri" w:hAnsi="Arial" w:cs="Arial"/>
          <w:bCs/>
          <w:szCs w:val="28"/>
        </w:rPr>
        <w:t>2) Завдання</w:t>
      </w:r>
      <w:r w:rsidRPr="00511005">
        <w:rPr>
          <w:rFonts w:ascii="Arial" w:eastAsia="Calibri" w:hAnsi="Arial" w:cs="Arial"/>
          <w:szCs w:val="28"/>
        </w:rPr>
        <w:t xml:space="preserve"> – це перелік питань для досягнення яких створюється суб’єкт; </w:t>
      </w:r>
      <w:r w:rsidRPr="00511005">
        <w:rPr>
          <w:rFonts w:ascii="Arial" w:eastAsia="Calibri" w:hAnsi="Arial" w:cs="Arial"/>
          <w:bCs/>
          <w:szCs w:val="28"/>
        </w:rPr>
        <w:t xml:space="preserve">3) Функції </w:t>
      </w:r>
      <w:r w:rsidRPr="00511005">
        <w:rPr>
          <w:rFonts w:ascii="Arial" w:eastAsia="Calibri" w:hAnsi="Arial" w:cs="Arial"/>
          <w:szCs w:val="28"/>
        </w:rPr>
        <w:t xml:space="preserve">– це основні напрями діяльності суб’єкта, що є правовою мірою вираження обсягу та меж його повноважень. </w:t>
      </w:r>
      <w:r w:rsidRPr="00511005">
        <w:rPr>
          <w:rFonts w:ascii="Arial" w:eastAsia="Calibri" w:hAnsi="Arial" w:cs="Arial"/>
          <w:bCs/>
          <w:szCs w:val="28"/>
        </w:rPr>
        <w:t>4) Компетенція</w:t>
      </w:r>
      <w:r w:rsidRPr="00511005">
        <w:rPr>
          <w:rFonts w:ascii="Arial" w:eastAsia="Calibri" w:hAnsi="Arial" w:cs="Arial"/>
          <w:szCs w:val="28"/>
        </w:rPr>
        <w:t xml:space="preserve"> – це центральний елемент, що складається з: </w:t>
      </w:r>
      <w:r w:rsidRPr="00511005">
        <w:rPr>
          <w:rFonts w:ascii="Arial" w:eastAsia="Calibri" w:hAnsi="Arial" w:cs="Arial"/>
          <w:bCs/>
          <w:szCs w:val="28"/>
        </w:rPr>
        <w:t xml:space="preserve">4.1) </w:t>
      </w:r>
      <w:r w:rsidRPr="00511005">
        <w:rPr>
          <w:rFonts w:ascii="Arial" w:eastAsia="Calibri" w:hAnsi="Arial" w:cs="Arial"/>
          <w:bCs/>
          <w:szCs w:val="28"/>
        </w:rPr>
        <w:lastRenderedPageBreak/>
        <w:t>Повноважень</w:t>
      </w:r>
      <w:r w:rsidRPr="00511005">
        <w:rPr>
          <w:rFonts w:ascii="Arial" w:eastAsia="Calibri" w:hAnsi="Arial" w:cs="Arial"/>
          <w:szCs w:val="28"/>
        </w:rPr>
        <w:t xml:space="preserve"> (права та обов’язки, що надаються суб’єкту) та </w:t>
      </w:r>
      <w:r w:rsidRPr="00511005">
        <w:rPr>
          <w:rFonts w:ascii="Arial" w:eastAsia="Calibri" w:hAnsi="Arial" w:cs="Arial"/>
          <w:bCs/>
          <w:szCs w:val="28"/>
        </w:rPr>
        <w:t>4.2) Предмету відання</w:t>
      </w:r>
      <w:r w:rsidRPr="00511005">
        <w:rPr>
          <w:rFonts w:ascii="Arial" w:eastAsia="Calibri" w:hAnsi="Arial" w:cs="Arial"/>
          <w:szCs w:val="28"/>
        </w:rPr>
        <w:t xml:space="preserve"> – це сфери суспільних відносин, у яких суб’єкти публічної адміністрації здійснюють свої повноваження;</w:t>
      </w:r>
      <w:r w:rsidR="007B2628" w:rsidRPr="00511005">
        <w:rPr>
          <w:rFonts w:ascii="Arial" w:eastAsia="Calibri" w:hAnsi="Arial" w:cs="Arial"/>
          <w:szCs w:val="28"/>
        </w:rPr>
        <w:t xml:space="preserve"> </w:t>
      </w:r>
      <w:r w:rsidRPr="00511005">
        <w:rPr>
          <w:rFonts w:ascii="Arial" w:eastAsia="Calibri" w:hAnsi="Arial" w:cs="Arial"/>
          <w:bCs/>
          <w:szCs w:val="28"/>
        </w:rPr>
        <w:t>5) Порядок формування</w:t>
      </w:r>
      <w:r w:rsidRPr="00511005">
        <w:rPr>
          <w:rFonts w:ascii="Arial" w:eastAsia="Calibri" w:hAnsi="Arial" w:cs="Arial"/>
          <w:szCs w:val="28"/>
        </w:rPr>
        <w:t xml:space="preserve"> – це визначений в законодавстві порядок, а саме: хто уповноважений прийняти рішення про реорганізацію, ліквідацію, а також порядок призначення керівника; </w:t>
      </w:r>
      <w:r w:rsidRPr="00511005">
        <w:rPr>
          <w:rFonts w:ascii="Arial" w:eastAsia="Calibri" w:hAnsi="Arial" w:cs="Arial"/>
          <w:bCs/>
          <w:szCs w:val="28"/>
        </w:rPr>
        <w:t>6) Порядок (процедура) діяльності</w:t>
      </w:r>
      <w:r w:rsidRPr="00511005">
        <w:rPr>
          <w:rFonts w:ascii="Arial" w:eastAsia="Calibri" w:hAnsi="Arial" w:cs="Arial"/>
          <w:b/>
          <w:bCs/>
          <w:szCs w:val="28"/>
        </w:rPr>
        <w:t xml:space="preserve"> –</w:t>
      </w:r>
      <w:r w:rsidRPr="00511005">
        <w:rPr>
          <w:rFonts w:ascii="Arial" w:eastAsia="Calibri" w:hAnsi="Arial" w:cs="Arial"/>
          <w:szCs w:val="28"/>
        </w:rPr>
        <w:t xml:space="preserve"> це порядок реалізації наданих суб’єкту повноважень.</w:t>
      </w:r>
    </w:p>
    <w:p w14:paraId="33F1352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Так, для визначення адміністративно правового статусу ПФУ необхідно відповідно визначити його елементи.</w:t>
      </w:r>
    </w:p>
    <w:p w14:paraId="47916738"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Мету створення ПФУ було визначено на легальному рівні Постановою КМУ від 28 січня 1992 року №39. У пункті 1 цього нормативного акта зазначено, що «з метою державного управління фінансами пенсійного забезпечення на базі Українського республіканського відділення Пенсійного фонду СРСР утворюється ПФУ з відповідними управліннями в АРК, областях, містах Києві та Севастополі» [3]. На офіційному веб-сайті Пенсійного фонду України зазначена його місія, якою є «відповідальне проведення пенсійних, страхових та інших соціальних виплат, надання інтегрованих послуг з дотриманням та збереженням основних цінностей діяльності в процесі розвитку і змін» [4].</w:t>
      </w:r>
    </w:p>
    <w:p w14:paraId="3031BCD1"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Основним завданням Пенсійного фонду України (ПФУ) є щомісячне нарахування та виплата пенсій. Додаткові завдання ПФУ визначені у Положенні про Пенсійний фонд України, затвердженому Постановою КМУ від 23 липня 2014 року № 280. Серед них: 1) Впровадження державної політики у сфері пенсійного забезпечення, загальнообов’язкового соціального страхування у разі тимчасової втрати працездатності, а також страхування на випадок нещасного випадку на виробництві чи професійного захворювання, які спричинили втрату працездатності. Крім того, ПФУ займається питаннями призначення житлових субсидій, пільг на оплату житлово-комунальних послуг та придбання палива (твердого, рідкого пічного побутового і скрапленим газом); 2) Ведення реєстрів осіб, що підлягають загальнообов’язковому соціальному страхуванню, мають право на пільги, або є отримувачами житлових субсидій; 3) Підготовка пропозицій Міністру соціальної політики щодо вдосконалення державної політики у вищезазначених напрямках; 4) Реалізація заходів з попередження виробничого травматизму та професійних захворювань; 5) Перевірка обґрунтованості видачі та продовження листків непрацездатності й супровідної документації з використанням даних з електронних реєстрів та інформаційних систем; 6) Контроль за цільовим використанням страхових коштів як страхувальниками, так і застрахованими особами; 8) та інші [1].</w:t>
      </w:r>
    </w:p>
    <w:p w14:paraId="7F255FD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Функції ПФУ зазначені в статті 12-1 ЗУ «Про збір та облік єдиного внеску на загальнообов’язкове державне соціальне страхування», а саме: 1) формування та ведення реєстру застрахованих осіб Державного реєстру </w:t>
      </w:r>
      <w:r w:rsidRPr="00511005">
        <w:rPr>
          <w:rFonts w:ascii="Arial" w:eastAsia="Calibri" w:hAnsi="Arial" w:cs="Arial"/>
          <w:szCs w:val="28"/>
        </w:rPr>
        <w:lastRenderedPageBreak/>
        <w:t>(далі Реєстр)…;</w:t>
      </w:r>
      <w:bookmarkStart w:id="113" w:name="n377"/>
      <w:bookmarkEnd w:id="113"/>
      <w:r w:rsidRPr="00511005">
        <w:rPr>
          <w:rFonts w:ascii="Arial" w:eastAsia="Calibri" w:hAnsi="Arial" w:cs="Arial"/>
          <w:szCs w:val="28"/>
        </w:rPr>
        <w:t xml:space="preserve"> 2) взаємодія з органами публічної влади, об’єднаннями громадян, підприємствами, установами…;</w:t>
      </w:r>
      <w:bookmarkStart w:id="114" w:name="n378"/>
      <w:bookmarkEnd w:id="114"/>
      <w:r w:rsidRPr="00511005">
        <w:rPr>
          <w:rFonts w:ascii="Arial" w:eastAsia="Calibri" w:hAnsi="Arial" w:cs="Arial"/>
          <w:szCs w:val="28"/>
        </w:rPr>
        <w:t xml:space="preserve"> 3) здійснення контролю, у тому числі спільно з податковими органами, за достовірністю відомостей про осіб, які підлягають загальнообов'язковому державному соціальному страхуванню;</w:t>
      </w:r>
      <w:bookmarkStart w:id="115" w:name="n379"/>
      <w:bookmarkEnd w:id="115"/>
      <w:r w:rsidRPr="00511005">
        <w:rPr>
          <w:rFonts w:ascii="Arial" w:eastAsia="Calibri" w:hAnsi="Arial" w:cs="Arial"/>
          <w:szCs w:val="28"/>
        </w:rPr>
        <w:t xml:space="preserve"> 4) аналіз та прогноз надходження коштів від сплати єдиного внеску [5]. Слід зауважити, що даний перелік функцій не повний, адже проаналізувавши п.4 Положення можна також виокремити: 1) функцію контролю; 2) організаційну функцію; 3) Інформаційно-роз’яснювальна функція; 4) адміністративно-господарська функція (Здійснює в межах повноважень управління об’єктами державної власності, що перебувають у його сфері управління) тощо.</w:t>
      </w:r>
    </w:p>
    <w:p w14:paraId="57DB7521"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Щодо повноважень ПФУ, то відповідно слід виокремити його права. Повноваження в межах наданих функцій ПФУ визначаються Положенням. Так, ПФУ, зокрема, а) вимагає усунення порушення вимог законодавства фізичними особами, керівниками та посадовими особами підприємств, установ і організацій; б) перевіряє використання за цільовим призначення коштів ПФУ в організаціях, що здійснюють виплату і доставку виплат; в) у разі виявлення фактів порушення використання коштів ПФУ може звертатись до відповідних правоохоронних органів [1]. Говорячи про повноваження ПФУ не варто забувати і про його обов’язки.</w:t>
      </w:r>
      <w:r w:rsidRPr="00511005">
        <w:rPr>
          <w:rFonts w:ascii="Arial" w:eastAsia="Calibri" w:hAnsi="Arial" w:cs="Arial"/>
          <w:b/>
          <w:bCs/>
          <w:i/>
          <w:iCs/>
          <w:szCs w:val="28"/>
        </w:rPr>
        <w:t xml:space="preserve"> </w:t>
      </w:r>
      <w:r w:rsidRPr="00511005">
        <w:rPr>
          <w:rFonts w:ascii="Arial" w:eastAsia="Calibri" w:hAnsi="Arial" w:cs="Arial"/>
          <w:szCs w:val="28"/>
        </w:rPr>
        <w:t>Так, законодавством передбачено, що ПФУ зобов’язаний надавати інформацію з Реєстру відповідним органам (податковим органам, ФЗДСС, органам праці та соціального захисту, Держстату) у визначеному ПФУ порядку, за погодженням з іншими органами. Також ПФУ зобов’язаний контролювати достовірність відомостей, що внесені до Реєстру; гарантувати вчасне внесення відомостей до Реєстру</w:t>
      </w:r>
      <w:bookmarkStart w:id="116" w:name="n425"/>
      <w:bookmarkEnd w:id="116"/>
      <w:r w:rsidRPr="00511005">
        <w:rPr>
          <w:rFonts w:ascii="Arial" w:eastAsia="Calibri" w:hAnsi="Arial" w:cs="Arial"/>
          <w:szCs w:val="28"/>
        </w:rPr>
        <w:t>; надавати інформацію, що міститься на персональних облікових картках застрахованих осіб в Реєстрі відповідно на їх вимогу, а також безоплатно [5].</w:t>
      </w:r>
    </w:p>
    <w:p w14:paraId="192956B8"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Предметами відання ПФУ є пенсійне забезпечення та загальнообов’язкове державне соціальне страхування [6].</w:t>
      </w:r>
    </w:p>
    <w:p w14:paraId="61F0A19D"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Щодо порядку формування Пенсійного фонду, то відповідно до Положення діяльність Пенсійного фонду спрямовується і координується КМУ через Міністра соцполітики [1]. Рішення ж про реорганізацію, ліквідацію ПФУ приймається КМУ за поданням Прем’єр-міністра України (ст. 5 ЗУ «Про ЦОВВ») [7]. А Голова правління ПФУ призначається та звільняється з посади КМУ відповідно до чинного законодавства [1].</w:t>
      </w:r>
    </w:p>
    <w:p w14:paraId="6774FCE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Щодо процедури діяльності ПФУ, то це питання регулюється ЗУ «Про адміністративну процедуру» як і для інших суб’єктів публічної адміністрації, а тому вважаємо, що характеристика процедури діяльності Пенсійного фонду є предметом розгляду для наступних робіт.</w:t>
      </w:r>
    </w:p>
    <w:p w14:paraId="0E16B68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Отже ПФУ, як суб’єкту публічної адміністрації притаманні всі елементи адміністративно-правового статусу. Хоча, на нашу думку, необхідно </w:t>
      </w:r>
      <w:r w:rsidRPr="00511005">
        <w:rPr>
          <w:rFonts w:ascii="Arial" w:eastAsia="Calibri" w:hAnsi="Arial" w:cs="Arial"/>
          <w:szCs w:val="28"/>
        </w:rPr>
        <w:lastRenderedPageBreak/>
        <w:t xml:space="preserve">згрупувати всі наведені елементи його статусу в одному нормативну акті. Так, в ході даної роботи було проаналізовано мінімум 3 нормативно-правових акта для встановлення елементів його статусу. Тому, вважаємо, що необхідно або, як мінімум, доповнити Положення відсилочними нормами </w:t>
      </w:r>
      <w:proofErr w:type="gramStart"/>
      <w:r w:rsidRPr="00511005">
        <w:rPr>
          <w:rFonts w:ascii="Arial" w:eastAsia="Calibri" w:hAnsi="Arial" w:cs="Arial"/>
          <w:szCs w:val="28"/>
        </w:rPr>
        <w:t>на постанову</w:t>
      </w:r>
      <w:proofErr w:type="gramEnd"/>
      <w:r w:rsidRPr="00511005">
        <w:rPr>
          <w:rFonts w:ascii="Arial" w:eastAsia="Calibri" w:hAnsi="Arial" w:cs="Arial"/>
          <w:szCs w:val="28"/>
        </w:rPr>
        <w:t xml:space="preserve"> від 28.01.1992, в якій закріплена мета створення ПФУ, та Закон «Про збір та облік єдиного внеску на загальнообов'язкове державне соціальне страхування», в якому закріплені, зокрема, права та обов’язки ПФУ.</w:t>
      </w:r>
    </w:p>
    <w:p w14:paraId="1864607C" w14:textId="77777777" w:rsidR="00B67481" w:rsidRPr="00511005" w:rsidRDefault="00B67481" w:rsidP="003A292D">
      <w:pPr>
        <w:spacing w:line="264" w:lineRule="auto"/>
        <w:rPr>
          <w:rFonts w:ascii="Arial" w:eastAsia="Calibri" w:hAnsi="Arial" w:cs="Arial"/>
          <w:szCs w:val="28"/>
        </w:rPr>
      </w:pPr>
    </w:p>
    <w:p w14:paraId="5DD644EB" w14:textId="5CC4670A" w:rsidR="00B67481" w:rsidRPr="00511005" w:rsidRDefault="007B2628" w:rsidP="007B2628">
      <w:pPr>
        <w:spacing w:line="264" w:lineRule="auto"/>
        <w:ind w:firstLine="0"/>
        <w:jc w:val="center"/>
        <w:rPr>
          <w:rFonts w:ascii="Arial" w:eastAsia="Calibri" w:hAnsi="Arial" w:cs="Arial"/>
          <w:b/>
          <w:bCs/>
          <w:iCs/>
          <w:szCs w:val="28"/>
          <w:lang w:val="uk-UA"/>
        </w:rPr>
      </w:pPr>
      <w:r w:rsidRPr="00511005">
        <w:rPr>
          <w:rFonts w:ascii="Arial" w:eastAsia="Calibri" w:hAnsi="Arial" w:cs="Arial"/>
          <w:b/>
          <w:bCs/>
          <w:iCs/>
          <w:szCs w:val="28"/>
          <w:lang w:val="uk-UA"/>
        </w:rPr>
        <w:t>Список використаних джерел</w:t>
      </w:r>
    </w:p>
    <w:p w14:paraId="001EDD57" w14:textId="77777777" w:rsidR="00B67481" w:rsidRPr="00511005" w:rsidRDefault="00B67481" w:rsidP="003F6A5D">
      <w:pPr>
        <w:numPr>
          <w:ilvl w:val="0"/>
          <w:numId w:val="24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затвердження Положення про Пенсійний фонд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Постанова Каб. Міністрів України від 23.07.2014 № </w:t>
      </w:r>
      <w:proofErr w:type="gramStart"/>
      <w:r w:rsidRPr="00511005">
        <w:rPr>
          <w:rFonts w:ascii="Arial" w:eastAsia="Times New Roman" w:hAnsi="Arial" w:cs="Arial"/>
          <w:szCs w:val="28"/>
          <w:lang w:eastAsia="ru-RU"/>
        </w:rPr>
        <w:t>280 :</w:t>
      </w:r>
      <w:proofErr w:type="gramEnd"/>
      <w:r w:rsidRPr="00511005">
        <w:rPr>
          <w:rFonts w:ascii="Arial" w:eastAsia="Times New Roman" w:hAnsi="Arial" w:cs="Arial"/>
          <w:szCs w:val="28"/>
          <w:lang w:eastAsia="ru-RU"/>
        </w:rPr>
        <w:t xml:space="preserve"> станом на 23 груд. 2023 р. URL: </w:t>
      </w:r>
      <w:hyperlink r:id="rId967" w:anchor="Text" w:tgtFrame="_blank" w:history="1">
        <w:r w:rsidRPr="00511005">
          <w:rPr>
            <w:rFonts w:ascii="Arial" w:eastAsia="Times New Roman" w:hAnsi="Arial" w:cs="Arial"/>
            <w:szCs w:val="28"/>
            <w:lang w:eastAsia="ru-RU"/>
          </w:rPr>
          <w:t>https://zakon.rada.gov.ua/laws/show/280-2014-п#Text</w:t>
        </w:r>
      </w:hyperlink>
      <w:r w:rsidRPr="00511005">
        <w:rPr>
          <w:rFonts w:ascii="Arial" w:eastAsia="Times New Roman" w:hAnsi="Arial" w:cs="Arial"/>
          <w:szCs w:val="28"/>
          <w:lang w:eastAsia="ru-RU"/>
        </w:rPr>
        <w:t> (дата звернення: 15.04.2025).</w:t>
      </w:r>
    </w:p>
    <w:p w14:paraId="3B1E10A6" w14:textId="77777777" w:rsidR="00B67481" w:rsidRPr="00511005" w:rsidRDefault="00B67481" w:rsidP="003F6A5D">
      <w:pPr>
        <w:numPr>
          <w:ilvl w:val="0"/>
          <w:numId w:val="24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Загальне адміністративне право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підручник / за заг. ред.: акад. С. Ківалова і проф. Л. Білої-Тіунової ; Нац. ун-т «Одеська юрид. академія». – </w:t>
      </w:r>
      <w:proofErr w:type="gramStart"/>
      <w:r w:rsidRPr="00511005">
        <w:rPr>
          <w:rFonts w:ascii="Arial" w:eastAsia="Times New Roman" w:hAnsi="Arial" w:cs="Arial"/>
          <w:szCs w:val="28"/>
          <w:lang w:eastAsia="ru-RU"/>
        </w:rPr>
        <w:t>Одеса :</w:t>
      </w:r>
      <w:proofErr w:type="gramEnd"/>
      <w:r w:rsidRPr="00511005">
        <w:rPr>
          <w:rFonts w:ascii="Arial" w:eastAsia="Times New Roman" w:hAnsi="Arial" w:cs="Arial"/>
          <w:szCs w:val="28"/>
          <w:lang w:eastAsia="ru-RU"/>
        </w:rPr>
        <w:t xml:space="preserve"> Фенікс, 2023. – 792 с.</w:t>
      </w:r>
    </w:p>
    <w:p w14:paraId="0B717312" w14:textId="77777777" w:rsidR="00B67481" w:rsidRPr="00511005" w:rsidRDefault="00B67481" w:rsidP="003F6A5D">
      <w:pPr>
        <w:numPr>
          <w:ilvl w:val="0"/>
          <w:numId w:val="24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створення Пенсійного фонду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Постанова Каб. Міністрів України від 28.01.1992 № </w:t>
      </w:r>
      <w:proofErr w:type="gramStart"/>
      <w:r w:rsidRPr="00511005">
        <w:rPr>
          <w:rFonts w:ascii="Arial" w:eastAsia="Times New Roman" w:hAnsi="Arial" w:cs="Arial"/>
          <w:szCs w:val="28"/>
          <w:lang w:eastAsia="ru-RU"/>
        </w:rPr>
        <w:t>39 :</w:t>
      </w:r>
      <w:proofErr w:type="gramEnd"/>
      <w:r w:rsidRPr="00511005">
        <w:rPr>
          <w:rFonts w:ascii="Arial" w:eastAsia="Times New Roman" w:hAnsi="Arial" w:cs="Arial"/>
          <w:szCs w:val="28"/>
          <w:lang w:eastAsia="ru-RU"/>
        </w:rPr>
        <w:t xml:space="preserve"> станом на 25 берез. 1997 р. URL: </w:t>
      </w:r>
      <w:hyperlink r:id="rId968" w:anchor="Text" w:tgtFrame="_blank" w:history="1">
        <w:r w:rsidRPr="00511005">
          <w:rPr>
            <w:rFonts w:ascii="Arial" w:eastAsia="Times New Roman" w:hAnsi="Arial" w:cs="Arial"/>
            <w:szCs w:val="28"/>
            <w:lang w:eastAsia="ru-RU"/>
          </w:rPr>
          <w:t>https://zakon.rada.gov.ua/laws/show/39-92-п#Text</w:t>
        </w:r>
      </w:hyperlink>
      <w:r w:rsidRPr="00511005">
        <w:rPr>
          <w:rFonts w:ascii="Arial" w:eastAsia="Times New Roman" w:hAnsi="Arial" w:cs="Arial"/>
          <w:szCs w:val="28"/>
          <w:lang w:eastAsia="ru-RU"/>
        </w:rPr>
        <w:t> (дата звернення: 15.04.2025).</w:t>
      </w:r>
    </w:p>
    <w:p w14:paraId="1A583556" w14:textId="77777777" w:rsidR="00B67481" w:rsidRPr="00511005" w:rsidRDefault="00B67481" w:rsidP="003F6A5D">
      <w:pPr>
        <w:numPr>
          <w:ilvl w:val="0"/>
          <w:numId w:val="24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Місія, бачення та цінності Пенсійного фонду України - Пенсійний фонд України. </w:t>
      </w:r>
      <w:r w:rsidRPr="00511005">
        <w:rPr>
          <w:rFonts w:ascii="Arial" w:eastAsia="Times New Roman" w:hAnsi="Arial" w:cs="Arial"/>
          <w:i/>
          <w:iCs/>
          <w:szCs w:val="28"/>
          <w:lang w:eastAsia="ru-RU"/>
        </w:rPr>
        <w:t>Пенсійний фонд України</w:t>
      </w:r>
      <w:r w:rsidRPr="00511005">
        <w:rPr>
          <w:rFonts w:ascii="Arial" w:eastAsia="Times New Roman" w:hAnsi="Arial" w:cs="Arial"/>
          <w:szCs w:val="28"/>
          <w:lang w:eastAsia="ru-RU"/>
        </w:rPr>
        <w:t>. URL: </w:t>
      </w:r>
      <w:hyperlink r:id="rId969" w:tgtFrame="_blank" w:history="1">
        <w:r w:rsidRPr="00511005">
          <w:rPr>
            <w:rFonts w:ascii="Arial" w:eastAsia="Times New Roman" w:hAnsi="Arial" w:cs="Arial"/>
            <w:szCs w:val="28"/>
            <w:lang w:eastAsia="ru-RU"/>
          </w:rPr>
          <w:t>https://www.pfu.gov.ua/2150987-misiya-bachennya-ta-tsinnosti/</w:t>
        </w:r>
      </w:hyperlink>
      <w:r w:rsidRPr="00511005">
        <w:rPr>
          <w:rFonts w:ascii="Arial" w:eastAsia="Times New Roman" w:hAnsi="Arial" w:cs="Arial"/>
          <w:szCs w:val="28"/>
          <w:lang w:eastAsia="ru-RU"/>
        </w:rPr>
        <w:t> (дата звернення: 15.04.2025).</w:t>
      </w:r>
    </w:p>
    <w:p w14:paraId="4502D5C5" w14:textId="77777777" w:rsidR="00B67481" w:rsidRPr="00511005" w:rsidRDefault="00B67481" w:rsidP="003F6A5D">
      <w:pPr>
        <w:numPr>
          <w:ilvl w:val="0"/>
          <w:numId w:val="24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збір та облік єдиного внеску на загальнообов'язкове державне соціальне </w:t>
      </w:r>
      <w:proofErr w:type="gramStart"/>
      <w:r w:rsidRPr="00511005">
        <w:rPr>
          <w:rFonts w:ascii="Arial" w:eastAsia="Times New Roman" w:hAnsi="Arial" w:cs="Arial"/>
          <w:szCs w:val="28"/>
          <w:lang w:eastAsia="ru-RU"/>
        </w:rPr>
        <w:t>страхування :</w:t>
      </w:r>
      <w:proofErr w:type="gramEnd"/>
      <w:r w:rsidRPr="00511005">
        <w:rPr>
          <w:rFonts w:ascii="Arial" w:eastAsia="Times New Roman" w:hAnsi="Arial" w:cs="Arial"/>
          <w:szCs w:val="28"/>
          <w:lang w:eastAsia="ru-RU"/>
        </w:rPr>
        <w:t xml:space="preserve"> Закон України від 08.07.2010 № 2464-VI : станом на 1 січ. 2025 р. URL: </w:t>
      </w:r>
      <w:hyperlink r:id="rId970" w:anchor="Text" w:tgtFrame="_blank" w:history="1">
        <w:r w:rsidRPr="00511005">
          <w:rPr>
            <w:rFonts w:ascii="Arial" w:eastAsia="Times New Roman" w:hAnsi="Arial" w:cs="Arial"/>
            <w:szCs w:val="28"/>
            <w:lang w:eastAsia="ru-RU"/>
          </w:rPr>
          <w:t>https://zakon.rada.gov.ua/laws/show/2464-17#Text</w:t>
        </w:r>
      </w:hyperlink>
      <w:r w:rsidRPr="00511005">
        <w:rPr>
          <w:rFonts w:ascii="Arial" w:eastAsia="Times New Roman" w:hAnsi="Arial" w:cs="Arial"/>
          <w:szCs w:val="28"/>
          <w:lang w:eastAsia="ru-RU"/>
        </w:rPr>
        <w:t> (дата звернення: 15.04.2025).</w:t>
      </w:r>
    </w:p>
    <w:p w14:paraId="18CFC2E1" w14:textId="77777777" w:rsidR="00B67481" w:rsidRPr="00511005" w:rsidRDefault="00B67481" w:rsidP="003F6A5D">
      <w:pPr>
        <w:numPr>
          <w:ilvl w:val="0"/>
          <w:numId w:val="24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Гуменюк В.Є. Адміністративно-правові засади публічного управління у сфері пенсійного забезпечення в </w:t>
      </w:r>
      <w:proofErr w:type="gramStart"/>
      <w:r w:rsidRPr="00511005">
        <w:rPr>
          <w:rFonts w:ascii="Arial" w:eastAsia="Times New Roman" w:hAnsi="Arial" w:cs="Arial"/>
          <w:szCs w:val="28"/>
          <w:lang w:eastAsia="ru-RU"/>
        </w:rPr>
        <w:t>Україні :</w:t>
      </w:r>
      <w:proofErr w:type="gramEnd"/>
      <w:r w:rsidRPr="00511005">
        <w:rPr>
          <w:rFonts w:ascii="Arial" w:eastAsia="Times New Roman" w:hAnsi="Arial" w:cs="Arial"/>
          <w:szCs w:val="28"/>
          <w:lang w:eastAsia="ru-RU"/>
        </w:rPr>
        <w:t xml:space="preserve"> дис. канд. юрид. наук : Запоріжжя, 2021. 214 с.</w:t>
      </w:r>
    </w:p>
    <w:p w14:paraId="7574032F" w14:textId="77777777" w:rsidR="00B67481" w:rsidRPr="00511005" w:rsidRDefault="00B67481" w:rsidP="003F6A5D">
      <w:pPr>
        <w:numPr>
          <w:ilvl w:val="0"/>
          <w:numId w:val="24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центральні органи виконавчої </w:t>
      </w:r>
      <w:proofErr w:type="gramStart"/>
      <w:r w:rsidRPr="00511005">
        <w:rPr>
          <w:rFonts w:ascii="Arial" w:eastAsia="Times New Roman" w:hAnsi="Arial" w:cs="Arial"/>
          <w:szCs w:val="28"/>
          <w:lang w:eastAsia="ru-RU"/>
        </w:rPr>
        <w:t>влади :</w:t>
      </w:r>
      <w:proofErr w:type="gramEnd"/>
      <w:r w:rsidRPr="00511005">
        <w:rPr>
          <w:rFonts w:ascii="Arial" w:eastAsia="Times New Roman" w:hAnsi="Arial" w:cs="Arial"/>
          <w:szCs w:val="28"/>
          <w:lang w:eastAsia="ru-RU"/>
        </w:rPr>
        <w:t xml:space="preserve"> Закон України від 17.03.2011 № 3166-VI : станом на 15 листоп. 2024 р. URL: </w:t>
      </w:r>
      <w:hyperlink r:id="rId971" w:anchor="Text" w:history="1">
        <w:r w:rsidRPr="00511005">
          <w:rPr>
            <w:rFonts w:ascii="Arial" w:eastAsia="Times New Roman" w:hAnsi="Arial" w:cs="Arial"/>
            <w:szCs w:val="28"/>
            <w:lang w:eastAsia="ru-RU"/>
          </w:rPr>
          <w:t>https://zakon.rada.gov.ua/laws/show/3166-17#Text</w:t>
        </w:r>
      </w:hyperlink>
      <w:r w:rsidRPr="00511005">
        <w:rPr>
          <w:rFonts w:ascii="Arial" w:eastAsia="Times New Roman" w:hAnsi="Arial" w:cs="Arial"/>
          <w:szCs w:val="28"/>
          <w:lang w:eastAsia="ru-RU"/>
        </w:rPr>
        <w:t xml:space="preserve"> (дата звернення: 15.04.2025).</w:t>
      </w:r>
    </w:p>
    <w:p w14:paraId="7EAB0CEB" w14:textId="77777777" w:rsidR="00B67481" w:rsidRPr="00511005" w:rsidRDefault="00B67481" w:rsidP="003A292D">
      <w:pPr>
        <w:spacing w:line="264" w:lineRule="auto"/>
        <w:rPr>
          <w:rFonts w:ascii="Arial" w:eastAsia="Calibri" w:hAnsi="Arial" w:cs="Arial"/>
          <w:b/>
          <w:bCs/>
          <w:szCs w:val="28"/>
          <w:lang w:val="uk-UA"/>
        </w:rPr>
      </w:pPr>
    </w:p>
    <w:p w14:paraId="031B947A" w14:textId="672E3E16" w:rsidR="00B67481" w:rsidRPr="00511005" w:rsidRDefault="007B2628" w:rsidP="003A292D">
      <w:pPr>
        <w:spacing w:line="264" w:lineRule="auto"/>
        <w:rPr>
          <w:rFonts w:ascii="Arial" w:eastAsia="Calibri" w:hAnsi="Arial" w:cs="Arial"/>
          <w:szCs w:val="28"/>
        </w:rPr>
      </w:pPr>
      <w:r w:rsidRPr="00511005">
        <w:rPr>
          <w:rFonts w:ascii="Arial" w:eastAsia="Calibri" w:hAnsi="Arial" w:cs="Arial"/>
          <w:b/>
          <w:bCs/>
          <w:i/>
          <w:szCs w:val="28"/>
        </w:rPr>
        <w:t xml:space="preserve">Ключові слова: </w:t>
      </w:r>
      <w:r w:rsidR="00B67481" w:rsidRPr="00511005">
        <w:rPr>
          <w:rFonts w:ascii="Arial" w:eastAsia="Calibri" w:hAnsi="Arial" w:cs="Arial"/>
          <w:szCs w:val="28"/>
        </w:rPr>
        <w:t>Пенсійний фонд України, адміністративно-правовий статус, суб'єкт публічного адміністрування</w:t>
      </w:r>
    </w:p>
    <w:p w14:paraId="541BBE99" w14:textId="1A17FAD1" w:rsidR="00B67481"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bCs/>
          <w:i/>
          <w:szCs w:val="28"/>
          <w:lang w:val="en-US"/>
        </w:rPr>
        <w:t xml:space="preserve">Key words: </w:t>
      </w:r>
      <w:r w:rsidR="00B67481" w:rsidRPr="00511005">
        <w:rPr>
          <w:rFonts w:ascii="Arial" w:eastAsia="Calibri" w:hAnsi="Arial" w:cs="Arial"/>
          <w:szCs w:val="28"/>
          <w:lang w:val="en-US"/>
        </w:rPr>
        <w:t>the Pension Fund of Ukraine, administrative legal status, subject of the public administration</w:t>
      </w:r>
    </w:p>
    <w:p w14:paraId="476BC8DA" w14:textId="6CC4FA10" w:rsidR="00B67481" w:rsidRPr="00511005" w:rsidRDefault="007B2628" w:rsidP="003A292D">
      <w:pPr>
        <w:spacing w:line="264" w:lineRule="auto"/>
        <w:rPr>
          <w:rFonts w:ascii="Arial" w:eastAsia="Calibri" w:hAnsi="Arial" w:cs="Arial"/>
          <w:i/>
          <w:iCs/>
          <w:szCs w:val="28"/>
        </w:rPr>
      </w:pPr>
      <w:r w:rsidRPr="00511005">
        <w:rPr>
          <w:rFonts w:ascii="Arial" w:eastAsia="Calibri" w:hAnsi="Arial" w:cs="Arial"/>
          <w:b/>
          <w:i/>
          <w:iCs/>
          <w:szCs w:val="28"/>
        </w:rPr>
        <w:t xml:space="preserve">Науковий керівник: </w:t>
      </w:r>
      <w:r w:rsidR="00B67481" w:rsidRPr="00511005">
        <w:rPr>
          <w:rFonts w:ascii="Arial" w:eastAsia="Calibri" w:hAnsi="Arial" w:cs="Arial"/>
          <w:i/>
          <w:iCs/>
          <w:szCs w:val="28"/>
        </w:rPr>
        <w:t>к.ю.н., доц. Панфілов О.Є.</w:t>
      </w:r>
    </w:p>
    <w:p w14:paraId="5F5B0C0E" w14:textId="77777777" w:rsidR="001D1A08" w:rsidRPr="00511005" w:rsidRDefault="001D1A08" w:rsidP="003A292D">
      <w:pPr>
        <w:spacing w:line="264" w:lineRule="auto"/>
        <w:ind w:firstLine="0"/>
        <w:jc w:val="left"/>
        <w:rPr>
          <w:rFonts w:ascii="Arial" w:eastAsia="Calibri" w:hAnsi="Arial" w:cs="Arial"/>
          <w:i/>
          <w:iCs/>
          <w:szCs w:val="28"/>
        </w:rPr>
      </w:pPr>
    </w:p>
    <w:p w14:paraId="33DC9502" w14:textId="77777777" w:rsidR="001D1A08" w:rsidRPr="00511005" w:rsidRDefault="001D1A08" w:rsidP="003A292D">
      <w:pPr>
        <w:spacing w:line="264" w:lineRule="auto"/>
        <w:ind w:firstLine="0"/>
        <w:jc w:val="left"/>
        <w:rPr>
          <w:rFonts w:ascii="Arial" w:eastAsia="Calibri" w:hAnsi="Arial" w:cs="Arial"/>
          <w:i/>
          <w:iCs/>
          <w:szCs w:val="28"/>
        </w:rPr>
      </w:pPr>
    </w:p>
    <w:p w14:paraId="1C60CFA4" w14:textId="77777777" w:rsidR="00B67481" w:rsidRPr="00511005" w:rsidRDefault="00B67481" w:rsidP="003A292D">
      <w:pPr>
        <w:shd w:val="clear" w:color="auto" w:fill="FFFFFF"/>
        <w:spacing w:line="264" w:lineRule="auto"/>
        <w:ind w:firstLine="0"/>
        <w:jc w:val="center"/>
        <w:rPr>
          <w:rFonts w:ascii="Arial" w:eastAsia="Calibri" w:hAnsi="Arial" w:cs="Arial"/>
          <w:b/>
          <w:i/>
          <w:szCs w:val="28"/>
          <w:lang w:val="uk-UA"/>
        </w:rPr>
      </w:pPr>
      <w:r w:rsidRPr="00511005">
        <w:rPr>
          <w:rFonts w:ascii="Arial" w:eastAsia="Calibri" w:hAnsi="Arial" w:cs="Arial"/>
          <w:b/>
          <w:i/>
          <w:szCs w:val="28"/>
        </w:rPr>
        <w:t>Кравченко Ірина Олегівна</w:t>
      </w:r>
    </w:p>
    <w:p w14:paraId="32BAA8C2" w14:textId="723856A0"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3DE8F2F8"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CBDDB6D"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4F0C6FA" w14:textId="77777777" w:rsidR="00B67481" w:rsidRPr="00511005" w:rsidRDefault="00B67481" w:rsidP="003A292D">
      <w:pPr>
        <w:shd w:val="clear" w:color="auto" w:fill="FFFFFF"/>
        <w:spacing w:line="264" w:lineRule="auto"/>
        <w:ind w:firstLine="0"/>
        <w:jc w:val="left"/>
        <w:rPr>
          <w:rFonts w:ascii="Arial" w:eastAsia="Calibri" w:hAnsi="Arial" w:cs="Arial"/>
          <w:b/>
          <w:szCs w:val="28"/>
          <w:lang w:val="uk-UA"/>
        </w:rPr>
      </w:pPr>
    </w:p>
    <w:p w14:paraId="040E4AA7" w14:textId="77777777" w:rsidR="00B67481" w:rsidRPr="00511005" w:rsidRDefault="00B67481" w:rsidP="003A292D">
      <w:pPr>
        <w:tabs>
          <w:tab w:val="left" w:pos="7088"/>
        </w:tabs>
        <w:spacing w:line="264" w:lineRule="auto"/>
        <w:ind w:firstLine="0"/>
        <w:jc w:val="center"/>
        <w:rPr>
          <w:rFonts w:ascii="Arial" w:eastAsia="Calibri" w:hAnsi="Arial" w:cs="Arial"/>
          <w:b/>
          <w:szCs w:val="28"/>
          <w:lang w:val="uk-UA" w:bidi="uk-UA"/>
        </w:rPr>
      </w:pPr>
      <w:r w:rsidRPr="00511005">
        <w:rPr>
          <w:rFonts w:ascii="Arial" w:eastAsia="Calibri" w:hAnsi="Arial" w:cs="Arial"/>
          <w:b/>
          <w:szCs w:val="28"/>
          <w:lang w:val="uk-UA" w:bidi="uk-UA"/>
        </w:rPr>
        <w:t>АДМІНІСТРАТИВНІ ПОСЛУГИ В УКРАЇНІ: СПРОЩЕННЯ ПРОЦЕДУР ЧЕРЕЗ ЦНАП</w:t>
      </w:r>
    </w:p>
    <w:p w14:paraId="33529660"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Адміністративні послуги є важливою складовою взаємодії громадянина з державою. Їх ефективність, доступність і якість безпосередньо впливають на довіру до органів публічної влади, рівень дотримання законності, соціальної справедливості та розвиток демократії. Упродовж останніх років Україна активно впроваджує реформу публічного адміністрування, важливим елементом якої стало створення та розвиток Центрів надання адміністративних послуг (ЦНАП).</w:t>
      </w:r>
    </w:p>
    <w:p w14:paraId="025FB313"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ЦНАПи почали масово з’являтися в Україні після ухвалення Закону України «Про адміністративні послуги», який визначив ключові засади, принципи та стандарти їх надання. </w:t>
      </w:r>
      <w:r w:rsidRPr="00511005">
        <w:rPr>
          <w:rFonts w:ascii="Arial" w:eastAsia="Calibri" w:hAnsi="Arial" w:cs="Arial"/>
          <w:szCs w:val="28"/>
          <w:lang w:bidi="uk-UA"/>
        </w:rPr>
        <w:t>Центри були створені з метою зробити отримання державних послуг максимально зручним, прозорим і доступним для громадян. Вони функціонують на основі законності, відкритості, рівного ставлення та ефективності, забезпечуючи швидке і якісне обслуговування без зайвих формальностей. ЦНАПи також впроваджують чітко визначені стандарти, електронні сервіси та системи контролю якості.</w:t>
      </w:r>
    </w:p>
    <w:p w14:paraId="2C659D58"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Отже, спростити адміністративні процедури – це одне з головних завдань ЦНАПів, яке має вирішуватися через комплекс заходів, спрямованих на зменшення бюрократичних бар'єрів і підвищення доступності послуг. Основні кроки в цьому напрямку включають як організаційні зміни, так і впровадження сучасних технологій.</w:t>
      </w:r>
    </w:p>
    <w:p w14:paraId="515210B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По-перше, ЦНАПи діють як своєрідний буфер між громадянами та виконавчими органами, забезпечуючи зручний доступ до державних послуг у «єдиному вікні». Людина більше не повинна самостійно відвідувати різні відділи чи збирати численні довідки – достатньо звернутися до ЦНАПу, де адміністратор допоможе сформувати повний пакет документів для конкретної послуги. Це мінімізує кількість особистих візитів, скорочує час очікування та знижує стрес, пов'язаний із бюрократією. Завдяки створенню ЦНАП було централізовано процеси, стандартизовано процедури та встановлено єдині правила надання послуг, що, безумовно, сприяло прозорості та зниженню корупційних ризиків [1].</w:t>
      </w:r>
    </w:p>
    <w:p w14:paraId="5457FB7F"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Другу особливу роль у реформуванні системи адміністративних послуг відіграла діджиталізація, яка стала каталізатором змін. Платформи, такі як «Дія», забезпечують можливість подавати документи онлайн, відстежувати </w:t>
      </w:r>
      <w:r w:rsidRPr="00511005">
        <w:rPr>
          <w:rFonts w:ascii="Arial" w:eastAsia="Calibri" w:hAnsi="Arial" w:cs="Arial"/>
          <w:szCs w:val="28"/>
          <w:lang w:val="uk-UA" w:bidi="uk-UA"/>
        </w:rPr>
        <w:lastRenderedPageBreak/>
        <w:t>статус заяви та отримувати результати без необхідності відвідування офісу. Електронні реєстри, електронні підписи та цифрові посвідчення особи мінімізують ризики помилок, прискорюють обробку даних і зменшують навантаження на адміністраторів. Це також створює умови для екстериторіальності, коли послуги можна отримати незалежно від місця реєстрації, що особливо важливо для внутрішньо переміщених осіб та тих, хто часто змінює місце проживання. Громадяни можуть отримати понад 70 адміністративних послуг онлайн.</w:t>
      </w:r>
    </w:p>
    <w:p w14:paraId="4E5807C2"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Серед цих послуг :</w:t>
      </w:r>
    </w:p>
    <w:p w14:paraId="222E8867" w14:textId="77777777" w:rsidR="00B67481" w:rsidRPr="00511005" w:rsidRDefault="00B67481" w:rsidP="003F6A5D">
      <w:pPr>
        <w:widowControl w:val="0"/>
        <w:numPr>
          <w:ilvl w:val="0"/>
          <w:numId w:val="250"/>
        </w:numPr>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Реєстрація та припинення підприємницької діяльності (ФОП) без фізичного відвідування держустанов.</w:t>
      </w:r>
    </w:p>
    <w:p w14:paraId="6E33929C" w14:textId="77777777" w:rsidR="00B67481" w:rsidRPr="00511005" w:rsidRDefault="00B67481" w:rsidP="003F6A5D">
      <w:pPr>
        <w:widowControl w:val="0"/>
        <w:numPr>
          <w:ilvl w:val="0"/>
          <w:numId w:val="250"/>
        </w:numPr>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Отримання різних довідок, наприклад, про місце проживання, які можуть знадобитися для оформлення документів чи доступу до соціальних послуг.</w:t>
      </w:r>
    </w:p>
    <w:p w14:paraId="4B8C578B" w14:textId="77777777" w:rsidR="00B67481" w:rsidRPr="00511005" w:rsidRDefault="00B67481" w:rsidP="003F6A5D">
      <w:pPr>
        <w:widowControl w:val="0"/>
        <w:numPr>
          <w:ilvl w:val="0"/>
          <w:numId w:val="250"/>
        </w:numPr>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Використання цифрових водійських посвідчень, електронних техпаспортів та оплата штрафів за порушення ПДР без черг.</w:t>
      </w:r>
    </w:p>
    <w:p w14:paraId="6207467C" w14:textId="77777777" w:rsidR="00B67481" w:rsidRPr="00511005" w:rsidRDefault="00B67481" w:rsidP="003F6A5D">
      <w:pPr>
        <w:widowControl w:val="0"/>
        <w:numPr>
          <w:ilvl w:val="0"/>
          <w:numId w:val="250"/>
        </w:numPr>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Оформлення соціальної допомоги, таких як пенсії, пільги або допомога при народженні дитини.</w:t>
      </w:r>
    </w:p>
    <w:p w14:paraId="4C27FED4" w14:textId="77777777" w:rsidR="00B67481" w:rsidRPr="00511005" w:rsidRDefault="00B67481" w:rsidP="003F6A5D">
      <w:pPr>
        <w:widowControl w:val="0"/>
        <w:numPr>
          <w:ilvl w:val="0"/>
          <w:numId w:val="250"/>
        </w:numPr>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Отримання дозвільних документів для будівництва чи витягів з державного земельного кадастру.</w:t>
      </w:r>
    </w:p>
    <w:p w14:paraId="3567E78E" w14:textId="77777777" w:rsidR="00B67481" w:rsidRPr="00511005" w:rsidRDefault="00B67481" w:rsidP="003F6A5D">
      <w:pPr>
        <w:widowControl w:val="0"/>
        <w:numPr>
          <w:ilvl w:val="0"/>
          <w:numId w:val="250"/>
        </w:numPr>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Доступ до електронних медичних записів та довідок.</w:t>
      </w:r>
    </w:p>
    <w:p w14:paraId="6E2AF292"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Проте навіть у випадках, коли онлайн-доступ обмежений, ЦНАПи стали тим проміжним елементом, який забезпечує якісне фізичне обслуговування з максимально спрощеною бюрократією.</w:t>
      </w:r>
    </w:p>
    <w:p w14:paraId="00A8CFE4"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Третім важливим аспектом є інформування громадян про доступні послуги. ЦНАПи активно використовують вебсайти, соціальні мережі та інформаційні кампанії для того, щоб громадяни були добре обізнані з переліком послуг, необхідними документами та умовами їх надання. Це підвищує прозорість процесів і допомагає уникнути непорозумінь під час подання заяв.</w:t>
      </w:r>
    </w:p>
    <w:p w14:paraId="673C1340"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Окрім цього, впровадження принципу «єдиного вікна» забезпечує більш комплексний підхід до обслуговування громадян. Це означає, що більшість процедур можна пройти в одному місці, що значно економить час і ресурси як для громадян, так і для органів влади.</w:t>
      </w:r>
    </w:p>
    <w:p w14:paraId="06BB6BA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Попри значний поступ, реформа ЦНАП стикається з низкою викликів. У першу чергу, спостерігається дефіцит кваліфікованого персоналу в окремих громадах, особливо у віддалених чи постраждалих від бойових дій регіонах. Це знижує якість послуг, а також ускладнює процеси супроводу заявників. По-друге, іноді виникає проблема дублювання функцій між різними органами, що викликає плутанину в повноваженнях. По-третє, складнощі з технічним забезпеченням, збої в державних реєстрах, </w:t>
      </w:r>
      <w:r w:rsidRPr="00511005">
        <w:rPr>
          <w:rFonts w:ascii="Arial" w:eastAsia="Calibri" w:hAnsi="Arial" w:cs="Arial"/>
          <w:szCs w:val="28"/>
          <w:lang w:val="uk-UA" w:bidi="uk-UA"/>
        </w:rPr>
        <w:lastRenderedPageBreak/>
        <w:t>нестабільне інтернет-з’єднання перешкоджають ефективному впровадженню електронних сервісів.</w:t>
      </w:r>
    </w:p>
    <w:p w14:paraId="5F1D85BC"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Важливою перевагою ЦНАПів стало те, що вони фактично стали новим обличчям держави — відкритим, зручним, клієнтоорієнтованим. Завдяки сучасним інтер'єрам, цифровим табло, онлайн-запису, наявності зворотного зв'язку та можливості залишити оцінку обслуговування, люди сприймають взаємодію з державою не як тиск або обтяження, а як сервіс, який виконує їхні потреби. Це сприяє зростанню довіри до органів місцевого самоврядування та державної влади загалом [2].</w:t>
      </w:r>
    </w:p>
    <w:p w14:paraId="0AA0739D"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Позитивні результати особливо помітні у сфері реєстрації бізнесу, нерухомості, наданні соціальних послуг та оформленні документів. У багатьох випадках саме завдяки ЦНАП громадяни, які постраждали від війни, змогли оперативно оформити статус внутрішньо переміщеної особи, отримати фінансову допомогу, зареєструвати нове місце проживання або відновити втрачені документи.</w:t>
      </w:r>
    </w:p>
    <w:p w14:paraId="487FFA3E"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У центрі філософії ЦНАП — людина. Саме на цьому акцент роблять програми міжнародної технічної допомоги, які фінансують розвиток центрів за стандартами ЄС. Наприклад, ініціатива «U-LEAD з Європою» підтримала відкриття понад 100 сучасних ЦНАП у громадах України, забезпечивши їх обладнанням, навчанням персоналу та методичними рекомендаціями [3]. Такий підхід дозволяє рівноцінно отримувати якісні послуги як у великих містах, так і в селах. Це особливо важливо в умовах децентралізації, коли саме громади отримують повноваження на управління частиною адміністративних процедур.</w:t>
      </w:r>
    </w:p>
    <w:p w14:paraId="70AFFCCE"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Проте реформа не може бути завершеною без подальшої цифровізації послуг, що має охопити ще більше процедур, включаючи земельні, судові та митні питання. Важливо також адаптувати систему до потреб осіб з інвалідністю, маломобільних груп населення, пенсіонерів та осіб без цифрових навичок. Для цього потрібна комбінація технологічних рішень і людського підходу — поєднання онлайн-сервісів і консультаційних хабів у ЦНАПах, де допоможуть заповнити форми, пояснити процедури або супроводити заявника на кожному етапі.</w:t>
      </w:r>
    </w:p>
    <w:p w14:paraId="2A82545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У підсумку, спрощення процедур через ЦНАП — це не просто адміністративна інновація, а важливий крок до підвищення рівня правової культури, довіри до держави і розвитку ефективного врядування. ЦНАПи стали своєрідним символом переходу від старої радянської моделі публічної адміністрації до нової — європейської, сервісної, клієнтоорієнтованої. Надалі реформу слід розвивати шляхом розширення електронних послуг, підвищення кадрової кваліфікації, стабілізації технічної інфраструктури та посилення контролю за якістю обслуговування.</w:t>
      </w:r>
    </w:p>
    <w:p w14:paraId="64EA377D" w14:textId="77777777" w:rsidR="00B67481" w:rsidRPr="00511005" w:rsidRDefault="00B67481" w:rsidP="003A292D">
      <w:pPr>
        <w:tabs>
          <w:tab w:val="left" w:pos="7088"/>
        </w:tabs>
        <w:spacing w:line="264" w:lineRule="auto"/>
        <w:rPr>
          <w:rFonts w:ascii="Arial" w:eastAsia="Calibri" w:hAnsi="Arial" w:cs="Arial"/>
          <w:szCs w:val="28"/>
          <w:lang w:val="uk-UA" w:bidi="uk-UA"/>
        </w:rPr>
      </w:pPr>
    </w:p>
    <w:p w14:paraId="085FA4DC" w14:textId="44A20FE4" w:rsidR="00B67481" w:rsidRPr="00511005" w:rsidRDefault="007B2628" w:rsidP="007B2628">
      <w:pPr>
        <w:tabs>
          <w:tab w:val="left" w:pos="7088"/>
        </w:tabs>
        <w:spacing w:line="264" w:lineRule="auto"/>
        <w:jc w:val="center"/>
        <w:rPr>
          <w:rFonts w:ascii="Arial" w:eastAsia="Calibri" w:hAnsi="Arial" w:cs="Arial"/>
          <w:b/>
          <w:szCs w:val="28"/>
          <w:lang w:val="uk-UA" w:bidi="uk-UA"/>
        </w:rPr>
      </w:pPr>
      <w:r w:rsidRPr="00511005">
        <w:rPr>
          <w:rFonts w:ascii="Arial" w:eastAsia="Calibri" w:hAnsi="Arial" w:cs="Arial"/>
          <w:b/>
          <w:szCs w:val="28"/>
          <w:lang w:val="uk-UA" w:bidi="uk-UA"/>
        </w:rPr>
        <w:t>Список використаних джерел</w:t>
      </w:r>
    </w:p>
    <w:p w14:paraId="5844355B" w14:textId="77777777" w:rsidR="00B67481" w:rsidRPr="00511005" w:rsidRDefault="00B67481" w:rsidP="003F6A5D">
      <w:pPr>
        <w:widowControl w:val="0"/>
        <w:numPr>
          <w:ilvl w:val="0"/>
          <w:numId w:val="249"/>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eastAsia="ru-RU" w:bidi="uk-UA"/>
        </w:rPr>
      </w:pPr>
      <w:r w:rsidRPr="00511005">
        <w:rPr>
          <w:rFonts w:ascii="Arial" w:eastAsia="Times New Roman" w:hAnsi="Arial" w:cs="Arial"/>
          <w:szCs w:val="28"/>
          <w:lang w:eastAsia="ru-RU" w:bidi="uk-UA"/>
        </w:rPr>
        <w:lastRenderedPageBreak/>
        <w:t>Закон України «Про адміністративні послуги». URL: https://zakon.rada.gov.ua/laws/show/5203-17#Text (дата звернення: 11.04.2025)</w:t>
      </w:r>
    </w:p>
    <w:p w14:paraId="4BBFCF0E" w14:textId="01F51C0B" w:rsidR="00B67481" w:rsidRPr="00511005" w:rsidRDefault="00B67481" w:rsidP="003F6A5D">
      <w:pPr>
        <w:widowControl w:val="0"/>
        <w:numPr>
          <w:ilvl w:val="0"/>
          <w:numId w:val="249"/>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eastAsia="ru-RU" w:bidi="uk-UA"/>
        </w:rPr>
      </w:pPr>
      <w:r w:rsidRPr="00511005">
        <w:rPr>
          <w:rFonts w:ascii="Arial" w:eastAsia="Times New Roman" w:hAnsi="Arial" w:cs="Arial"/>
          <w:szCs w:val="28"/>
          <w:lang w:eastAsia="ru-RU" w:bidi="uk-UA"/>
        </w:rPr>
        <w:t>Опар Н. В. Центр надання адміністративних послуг (ЦНАП) як спосіб надання адміністративних послуг населенню: теоретичний аспект.</w:t>
      </w:r>
      <w:r w:rsidR="007B2628" w:rsidRPr="00511005">
        <w:rPr>
          <w:rFonts w:ascii="Arial" w:eastAsia="Times New Roman" w:hAnsi="Arial" w:cs="Arial"/>
          <w:szCs w:val="28"/>
          <w:lang w:eastAsia="ru-RU" w:bidi="uk-UA"/>
        </w:rPr>
        <w:t xml:space="preserve"> </w:t>
      </w:r>
      <w:r w:rsidRPr="00511005">
        <w:rPr>
          <w:rFonts w:ascii="Arial" w:eastAsia="Times New Roman" w:hAnsi="Arial" w:cs="Arial"/>
          <w:szCs w:val="28"/>
          <w:lang w:eastAsia="ru-RU" w:bidi="uk-UA"/>
        </w:rPr>
        <w:t>2023. URL:</w:t>
      </w:r>
      <w:r w:rsidRPr="00511005">
        <w:rPr>
          <w:rFonts w:ascii="Arial" w:eastAsia="Times New Roman" w:hAnsi="Arial" w:cs="Arial"/>
          <w:szCs w:val="28"/>
          <w:lang w:eastAsia="ru-RU"/>
        </w:rPr>
        <w:t xml:space="preserve"> </w:t>
      </w:r>
      <w:hyperlink r:id="rId972" w:history="1">
        <w:r w:rsidRPr="00511005">
          <w:rPr>
            <w:rFonts w:ascii="Arial" w:eastAsia="Times New Roman" w:hAnsi="Arial" w:cs="Arial"/>
            <w:szCs w:val="28"/>
            <w:lang w:eastAsia="ru-RU" w:bidi="uk-UA"/>
          </w:rPr>
          <w:t>http://biblio.umsf.dp.ua/jspui/bitstream/123456789/5179/1/1.pdf</w:t>
        </w:r>
      </w:hyperlink>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eastAsia="ru-RU" w:bidi="uk-UA"/>
        </w:rPr>
        <w:t>(дата звернення: 11.04.2025)</w:t>
      </w:r>
    </w:p>
    <w:p w14:paraId="1877349D" w14:textId="74793B51" w:rsidR="00B67481" w:rsidRPr="00511005" w:rsidRDefault="00B67481" w:rsidP="003F6A5D">
      <w:pPr>
        <w:widowControl w:val="0"/>
        <w:numPr>
          <w:ilvl w:val="0"/>
          <w:numId w:val="249"/>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eastAsia="ru-RU" w:bidi="uk-UA"/>
        </w:rPr>
      </w:pPr>
      <w:r w:rsidRPr="00511005">
        <w:rPr>
          <w:rFonts w:ascii="Arial" w:eastAsia="Times New Roman" w:hAnsi="Arial" w:cs="Arial"/>
          <w:szCs w:val="28"/>
          <w:lang w:eastAsia="ru-RU" w:bidi="uk-UA"/>
        </w:rPr>
        <w:t xml:space="preserve">Окуньовська Ю. В. Функціонування ЦНАП та Дія. Центрів у системі е-врядування. </w:t>
      </w:r>
      <w:r w:rsidRPr="00511005">
        <w:rPr>
          <w:rFonts w:ascii="Arial" w:eastAsia="Times New Roman" w:hAnsi="Arial" w:cs="Arial"/>
          <w:i/>
          <w:szCs w:val="28"/>
          <w:lang w:eastAsia="ru-RU" w:bidi="uk-UA"/>
        </w:rPr>
        <w:t>Політичне життя.</w:t>
      </w:r>
      <w:r w:rsidRPr="00511005">
        <w:rPr>
          <w:rFonts w:ascii="Arial" w:eastAsia="Times New Roman" w:hAnsi="Arial" w:cs="Arial"/>
          <w:szCs w:val="28"/>
          <w:lang w:eastAsia="ru-RU" w:bidi="uk-UA"/>
        </w:rPr>
        <w:t xml:space="preserve"> 2024.</w:t>
      </w:r>
      <w:r w:rsidR="007B2628" w:rsidRPr="00511005">
        <w:rPr>
          <w:rFonts w:ascii="Arial" w:eastAsia="Times New Roman" w:hAnsi="Arial" w:cs="Arial"/>
          <w:szCs w:val="28"/>
          <w:lang w:eastAsia="ru-RU" w:bidi="uk-UA"/>
        </w:rPr>
        <w:t xml:space="preserve"> </w:t>
      </w:r>
      <w:r w:rsidRPr="00511005">
        <w:rPr>
          <w:rFonts w:ascii="Arial" w:eastAsia="Times New Roman" w:hAnsi="Arial" w:cs="Arial"/>
          <w:szCs w:val="28"/>
          <w:lang w:eastAsia="ru-RU" w:bidi="uk-UA"/>
        </w:rPr>
        <w:t>С. 45-49.</w:t>
      </w:r>
    </w:p>
    <w:p w14:paraId="302A2D6C" w14:textId="77777777" w:rsidR="00B67481" w:rsidRPr="00511005" w:rsidRDefault="00B67481" w:rsidP="003A292D">
      <w:pPr>
        <w:shd w:val="clear" w:color="auto" w:fill="FFFFFF"/>
        <w:spacing w:line="264" w:lineRule="auto"/>
        <w:rPr>
          <w:rFonts w:ascii="Arial" w:eastAsia="Calibri" w:hAnsi="Arial" w:cs="Arial"/>
          <w:b/>
          <w:szCs w:val="28"/>
          <w:lang w:val="uk-UA"/>
        </w:rPr>
      </w:pPr>
    </w:p>
    <w:p w14:paraId="5D1D5F86" w14:textId="4106E03F" w:rsidR="00B67481" w:rsidRPr="00511005" w:rsidRDefault="007B2628" w:rsidP="003A292D">
      <w:pPr>
        <w:shd w:val="clear" w:color="auto" w:fill="FFFFFF"/>
        <w:spacing w:line="264" w:lineRule="auto"/>
        <w:rPr>
          <w:rFonts w:ascii="Arial" w:eastAsia="Calibri" w:hAnsi="Arial" w:cs="Arial"/>
          <w:szCs w:val="28"/>
        </w:rPr>
      </w:pPr>
      <w:r w:rsidRPr="00511005">
        <w:rPr>
          <w:rFonts w:ascii="Arial" w:eastAsia="Calibri" w:hAnsi="Arial" w:cs="Arial"/>
          <w:b/>
          <w:i/>
          <w:szCs w:val="28"/>
        </w:rPr>
        <w:t xml:space="preserve">Ключові слова: </w:t>
      </w:r>
      <w:r w:rsidR="00B67481" w:rsidRPr="00511005">
        <w:rPr>
          <w:rFonts w:ascii="Arial" w:eastAsia="Calibri" w:hAnsi="Arial" w:cs="Arial"/>
          <w:szCs w:val="28"/>
        </w:rPr>
        <w:t>Адміністративні послуги, ЦНАП, процедури </w:t>
      </w:r>
    </w:p>
    <w:p w14:paraId="4AE688F9" w14:textId="02683A3B" w:rsidR="00B67481" w:rsidRPr="00511005" w:rsidRDefault="007B2628" w:rsidP="003A292D">
      <w:pPr>
        <w:shd w:val="clear" w:color="auto" w:fill="FFFFFF"/>
        <w:spacing w:line="264" w:lineRule="auto"/>
        <w:rPr>
          <w:rFonts w:ascii="Arial" w:eastAsia="Calibri" w:hAnsi="Arial" w:cs="Arial"/>
          <w:szCs w:val="28"/>
          <w:lang w:val="uk-UA"/>
        </w:rPr>
      </w:pPr>
      <w:r w:rsidRPr="00511005">
        <w:rPr>
          <w:rFonts w:ascii="Arial" w:eastAsia="Calibri" w:hAnsi="Arial" w:cs="Arial"/>
          <w:b/>
          <w:i/>
          <w:szCs w:val="28"/>
        </w:rPr>
        <w:t>Ключові</w:t>
      </w:r>
      <w:r w:rsidRPr="00055389">
        <w:rPr>
          <w:rFonts w:ascii="Arial" w:eastAsia="Calibri" w:hAnsi="Arial" w:cs="Arial"/>
          <w:b/>
          <w:i/>
          <w:szCs w:val="28"/>
          <w:lang w:val="en-US"/>
        </w:rPr>
        <w:t xml:space="preserve"> </w:t>
      </w:r>
      <w:r w:rsidRPr="00511005">
        <w:rPr>
          <w:rFonts w:ascii="Arial" w:eastAsia="Calibri" w:hAnsi="Arial" w:cs="Arial"/>
          <w:b/>
          <w:i/>
          <w:szCs w:val="28"/>
        </w:rPr>
        <w:t>слова</w:t>
      </w:r>
      <w:r w:rsidRPr="00055389">
        <w:rPr>
          <w:rFonts w:ascii="Arial" w:eastAsia="Calibri" w:hAnsi="Arial" w:cs="Arial"/>
          <w:b/>
          <w:i/>
          <w:szCs w:val="28"/>
          <w:lang w:val="en-US"/>
        </w:rPr>
        <w:t xml:space="preserve">: </w:t>
      </w:r>
      <w:r w:rsidR="00B67481" w:rsidRPr="00511005">
        <w:rPr>
          <w:rFonts w:ascii="Arial" w:eastAsia="Calibri" w:hAnsi="Arial" w:cs="Arial"/>
          <w:szCs w:val="28"/>
          <w:lang w:val="en-US"/>
        </w:rPr>
        <w:t>Administrative services, ASC, procedures</w:t>
      </w:r>
    </w:p>
    <w:p w14:paraId="09218483" w14:textId="0E800BC2" w:rsidR="00B67481" w:rsidRPr="00511005" w:rsidRDefault="007B2628" w:rsidP="003A292D">
      <w:pPr>
        <w:shd w:val="clear" w:color="auto" w:fill="FFFFFF"/>
        <w:spacing w:line="264" w:lineRule="auto"/>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B67481" w:rsidRPr="00511005">
        <w:rPr>
          <w:rFonts w:ascii="Arial" w:eastAsia="Calibri" w:hAnsi="Arial" w:cs="Arial"/>
          <w:i/>
          <w:szCs w:val="28"/>
          <w:lang w:val="uk-UA"/>
        </w:rPr>
        <w:t>к.ю.н., доцент Козачук Д.А.</w:t>
      </w:r>
    </w:p>
    <w:p w14:paraId="22142A22" w14:textId="77777777" w:rsidR="001D1A08" w:rsidRPr="00511005" w:rsidRDefault="001D1A08" w:rsidP="003A292D">
      <w:pPr>
        <w:spacing w:line="264" w:lineRule="auto"/>
        <w:ind w:firstLine="0"/>
        <w:jc w:val="left"/>
        <w:rPr>
          <w:rFonts w:ascii="Arial" w:eastAsia="Calibri" w:hAnsi="Arial" w:cs="Arial"/>
          <w:b/>
          <w:szCs w:val="28"/>
          <w:lang w:val="uk-UA"/>
        </w:rPr>
      </w:pPr>
    </w:p>
    <w:p w14:paraId="103A6894" w14:textId="77777777" w:rsidR="001D1A08" w:rsidRPr="00511005" w:rsidRDefault="001D1A08" w:rsidP="003A292D">
      <w:pPr>
        <w:spacing w:line="264" w:lineRule="auto"/>
        <w:ind w:firstLine="0"/>
        <w:jc w:val="left"/>
        <w:rPr>
          <w:rFonts w:ascii="Arial" w:eastAsia="Calibri" w:hAnsi="Arial" w:cs="Arial"/>
          <w:b/>
          <w:szCs w:val="28"/>
          <w:lang w:val="uk-UA"/>
        </w:rPr>
      </w:pPr>
    </w:p>
    <w:p w14:paraId="2A4A6AAA" w14:textId="77777777" w:rsidR="00B67481" w:rsidRPr="00511005" w:rsidRDefault="00B67481" w:rsidP="003A292D">
      <w:pPr>
        <w:spacing w:line="264" w:lineRule="auto"/>
        <w:ind w:firstLine="0"/>
        <w:jc w:val="center"/>
        <w:rPr>
          <w:rFonts w:ascii="Arial" w:eastAsia="Calibri" w:hAnsi="Arial" w:cs="Arial"/>
          <w:b/>
          <w:i/>
          <w:szCs w:val="28"/>
        </w:rPr>
      </w:pPr>
      <w:r w:rsidRPr="00511005">
        <w:rPr>
          <w:rFonts w:ascii="Arial" w:eastAsia="Calibri" w:hAnsi="Arial" w:cs="Arial"/>
          <w:b/>
          <w:i/>
          <w:szCs w:val="28"/>
        </w:rPr>
        <w:t>Кутас Ангеліна Павлівна</w:t>
      </w:r>
    </w:p>
    <w:p w14:paraId="03EAD1C8" w14:textId="12C69DE5" w:rsidR="00B67481" w:rsidRPr="00511005" w:rsidRDefault="00536AAB" w:rsidP="003A292D">
      <w:pPr>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студентка 3-го курсу </w:t>
      </w:r>
      <w:r w:rsidR="001B7B25" w:rsidRPr="00511005">
        <w:rPr>
          <w:rFonts w:ascii="Arial" w:eastAsia="Calibri" w:hAnsi="Arial" w:cs="Arial"/>
          <w:szCs w:val="28"/>
        </w:rPr>
        <w:t>факультету судового та міжнародного права</w:t>
      </w:r>
    </w:p>
    <w:p w14:paraId="627E86D9" w14:textId="261F903A" w:rsidR="00B67481" w:rsidRPr="00511005" w:rsidRDefault="007B2628" w:rsidP="003A292D">
      <w:pPr>
        <w:spacing w:line="264" w:lineRule="auto"/>
        <w:ind w:firstLine="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2B081E95" w14:textId="77777777" w:rsidR="00B67481" w:rsidRPr="00511005" w:rsidRDefault="00B67481" w:rsidP="003A292D">
      <w:pPr>
        <w:spacing w:line="264" w:lineRule="auto"/>
        <w:jc w:val="center"/>
        <w:rPr>
          <w:rFonts w:ascii="Arial" w:eastAsia="Calibri" w:hAnsi="Arial" w:cs="Arial"/>
          <w:b/>
          <w:caps/>
          <w:szCs w:val="28"/>
        </w:rPr>
      </w:pPr>
    </w:p>
    <w:p w14:paraId="7189F53F" w14:textId="77777777" w:rsidR="00B67481" w:rsidRPr="00511005" w:rsidRDefault="00B67481"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rPr>
        <w:t>ПУБЛІЧНІ ЗАКУПІВЛІ В УКРАЇНІ: АДМІНІСТРАТИВНО-ПРАВОВИЙ АСПЕКТ КОНТРОЛЮ ЗА ДОБРОЧЕСНІСТЮ</w:t>
      </w:r>
    </w:p>
    <w:p w14:paraId="549257C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lang w:val="uk-UA"/>
        </w:rPr>
        <w:t xml:space="preserve">Публічні закупівлі виступають одним із ключових механізмів державної економічної політики, спрямованим на відновлення балансу між попитом і пропозицією на внутрішньому ринку певних товарів та послуг. </w:t>
      </w:r>
      <w:r w:rsidRPr="00511005">
        <w:rPr>
          <w:rFonts w:ascii="Arial" w:eastAsia="Calibri" w:hAnsi="Arial" w:cs="Arial"/>
          <w:szCs w:val="28"/>
        </w:rPr>
        <w:t>Водночас, ця сфера традиційно вважається однією з найбільш вразливих до корупційних ризиків. Забезпечення доброчесності у публічних закупівлях є критично важливим для ефективного використання бюджетних коштів, підвищення довіри громадян до влади та створення чесного конкурентного середовища для бізнесу. Адміністративно-правовий контроль відіграє центральну роль у цьому процесі, визначаючи правила поведінки учасників закупівель, встановлюючи механізми нагляду та відповідальності за порушення [3].</w:t>
      </w:r>
    </w:p>
    <w:p w14:paraId="0D3EBB6D" w14:textId="265F65DD"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Публічні закупівлі – це процес придбання товарів, робіт і послуг органами державної влади, місцевого самоврядування та іншими замовниками за рахунок бюджетних коштів [4]. Відповідно до ст. 4 Закону України «Про публічні закупівлі» публічні закупівлі здійснюються на засадах добросовісної конкуренції серед учасників</w:t>
      </w:r>
      <w:bookmarkStart w:id="117" w:name="n930"/>
      <w:bookmarkEnd w:id="117"/>
      <w:r w:rsidRPr="00511005">
        <w:rPr>
          <w:rFonts w:ascii="Arial" w:eastAsia="Calibri" w:hAnsi="Arial" w:cs="Arial"/>
          <w:szCs w:val="28"/>
        </w:rPr>
        <w:t>, економії, ефективності та пропорційності,</w:t>
      </w:r>
      <w:bookmarkStart w:id="118" w:name="n931"/>
      <w:bookmarkEnd w:id="118"/>
      <w:r w:rsidRPr="00511005">
        <w:rPr>
          <w:rFonts w:ascii="Arial" w:eastAsia="Calibri" w:hAnsi="Arial" w:cs="Arial"/>
          <w:szCs w:val="28"/>
        </w:rPr>
        <w:t xml:space="preserve"> відкритості, прозорості,</w:t>
      </w:r>
      <w:bookmarkStart w:id="119" w:name="n932"/>
      <w:bookmarkEnd w:id="119"/>
      <w:r w:rsidRPr="00511005">
        <w:rPr>
          <w:rFonts w:ascii="Arial" w:eastAsia="Calibri" w:hAnsi="Arial" w:cs="Arial"/>
          <w:szCs w:val="28"/>
        </w:rPr>
        <w:t xml:space="preserve"> недискримінації учасників та рівного ставлення до них,</w:t>
      </w:r>
      <w:bookmarkStart w:id="120" w:name="n933"/>
      <w:bookmarkEnd w:id="120"/>
      <w:r w:rsidR="007B2628" w:rsidRPr="00511005">
        <w:rPr>
          <w:rFonts w:ascii="Arial" w:eastAsia="Calibri" w:hAnsi="Arial" w:cs="Arial"/>
          <w:szCs w:val="28"/>
        </w:rPr>
        <w:t xml:space="preserve"> </w:t>
      </w:r>
      <w:r w:rsidRPr="00511005">
        <w:rPr>
          <w:rFonts w:ascii="Arial" w:eastAsia="Calibri" w:hAnsi="Arial" w:cs="Arial"/>
          <w:szCs w:val="28"/>
        </w:rPr>
        <w:t>об’єктивного та неупередженого визначення переможця процедури закупівлі,</w:t>
      </w:r>
      <w:bookmarkStart w:id="121" w:name="n934"/>
      <w:bookmarkEnd w:id="121"/>
      <w:r w:rsidRPr="00511005">
        <w:rPr>
          <w:rFonts w:ascii="Arial" w:eastAsia="Calibri" w:hAnsi="Arial" w:cs="Arial"/>
          <w:szCs w:val="28"/>
        </w:rPr>
        <w:t xml:space="preserve"> запобігання корупційним діям і зловживанням [1].</w:t>
      </w:r>
    </w:p>
    <w:p w14:paraId="3AA8EC4F"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Доброчесність у публічній службі являє собою інтегральну якість суб'єкта владних повноважень, що інкорпорує такі етичні категорії, як чесність, безкорисливість, неупередженість, відповідальність та </w:t>
      </w:r>
      <w:r w:rsidRPr="00511005">
        <w:rPr>
          <w:rFonts w:ascii="Arial" w:eastAsia="Calibri" w:hAnsi="Arial" w:cs="Arial"/>
          <w:szCs w:val="28"/>
        </w:rPr>
        <w:lastRenderedPageBreak/>
        <w:t>пріоритетність публічного інтересу над приватним. Вона є внутрішньою мотиваційною домінантою, що детермінує службову поведінку, спрямовану на сумлінне виконання обов'язків та утримання від дій, що можуть призвести до корупційних проявів [6].</w:t>
      </w:r>
    </w:p>
    <w:p w14:paraId="7D7E76E0" w14:textId="318E618A"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Принцип запобігання корупційним діям і зловживанням, натомість, є системою правових, організаційних, соціальних та інших заходів, спрямованих на нейтралізацію причин та умов, що сприяють виникненню та поширенню корупції.</w:t>
      </w:r>
      <w:r w:rsidR="007B2628" w:rsidRPr="00511005">
        <w:rPr>
          <w:rFonts w:ascii="Arial" w:eastAsia="Calibri" w:hAnsi="Arial" w:cs="Arial"/>
          <w:szCs w:val="28"/>
        </w:rPr>
        <w:t xml:space="preserve"> </w:t>
      </w:r>
      <w:r w:rsidRPr="00511005">
        <w:rPr>
          <w:rFonts w:ascii="Arial" w:eastAsia="Calibri" w:hAnsi="Arial" w:cs="Arial"/>
          <w:szCs w:val="28"/>
        </w:rPr>
        <w:t xml:space="preserve">Доброчесність, як внутрішня етична настанова, є первинним рівнем профілактики корупції. Службовці, які керуються високими моральними стандартами, виявляють імунітет до корупційних ризиків. </w:t>
      </w:r>
    </w:p>
    <w:p w14:paraId="77A369F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Адміністративно-правовий контроль є одним із ключових елементів забезпечення цієї доброчесності. Він являє собою систему юридично регламентованих дій уповноважених органів, спрямованих на перевірку законності, обґрунтованості та ефективності здійснення публічних закупівель, а також на запобігання, виявлення та припинення порушень законодавства у цій сфері.</w:t>
      </w:r>
    </w:p>
    <w:p w14:paraId="5324BC23"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Адміністративно-правовий контроль охоплює всі етапи публічних закупівель – від планування до виконання договору, забезпечуючи відповідність дій замовника законодавству та ефективне використання бюджетних коштів. Такий контроль передбачає перевірку обґрунтованості закупівель, законності тендерної документації, дотримання процедур, а також умов та виконання договору. Залежно від етапу, контроль може бути попереднім, поточним або наступним.</w:t>
      </w:r>
    </w:p>
    <w:p w14:paraId="4352665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Головним нормативним актом, що регулює сферу публічних закупівель в Україні, є Закон України «Про публічні закупівлі». Крім нього, значну роль відіграють Кодекс України про адміністративні правопорушення, Закон України «Про запобігання корупції» та низка підзаконних нормативно-правових актів. Адміністративно-правовий контроль у цій сфері здійснюють такі органи, як Державна аудиторська служба України, Антимонопольний комітет України та Національне агентство з питань запобігання корупції. Важливою складовою забезпечення прозорості процедур є електронна система закупівель «Prozorro», яка значно підвищила рівень відкритості та доступності закупівель для громадськості.</w:t>
      </w:r>
    </w:p>
    <w:p w14:paraId="4B2D6A27"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Згідно зі ст. 7 Закону України «Про публічні закупівлі», контроль у сфері закупівель здійснюють такі суб’єкти: Уповноважений орган (Мінекономіки), Державна казначейська служба, Рахункова палата, Антимонопольний комітет, Державна аудиторська служба, банки, громадяни та громадські організації. До контролюючих органів також належать правоохоронні структури – НАБУ, прокуратура, СБУ та МВС, які діють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своїх повноважень [1]. Кожен з цих органів має визначені законом повноваження </w:t>
      </w:r>
      <w:r w:rsidRPr="00511005">
        <w:rPr>
          <w:rFonts w:ascii="Arial" w:eastAsia="Calibri" w:hAnsi="Arial" w:cs="Arial"/>
          <w:szCs w:val="28"/>
        </w:rPr>
        <w:lastRenderedPageBreak/>
        <w:t>та здійснює контроль на різних етапах процесу публічних закупівель та з різних аспектів забезпечення доброчесності.</w:t>
      </w:r>
    </w:p>
    <w:p w14:paraId="284E43B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Один із найефективніших видів контролю у сфері публічних закупівель здійснює Державна казначейська служба України, оскільки вона може виявити порушення ще до здійснення операцій з бюджетними коштами та запобігти їх нецільовому використанню. Моніторинг закупівельної процедури передбачає перевірку дотримання замовником вимог законодавства та може проводитися на всіх етапах — від початку закупівлі до укладення й виконання договору [5].</w:t>
      </w:r>
    </w:p>
    <w:p w14:paraId="5D89A73D"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Громадськість здійснює контроль у сфері публічних закупівель, аналізуючи дані в електронній системі та повідомляючи уповноважені органи про виявлені порушення як через систему, так і письмово [5].</w:t>
      </w:r>
    </w:p>
    <w:p w14:paraId="04E1B97D"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Адміністративно-правовий контроль є ключовим інструментом забезпечення прозорості, ефективності та доброчесності у сфері публічних закупівель в Україні. Сучасна система контролю передбачає участь низки державних органів, які здійснюють нагляд на різних етапах закупівельного процесу. Проте на її ефективність негативно впливають такі проблеми, як фрагментарність нормативної бази, нестача ресурсів, слабка координація між інституціями та недостатня відкритість. Для вдосконалення системи контролю необхідно вжити комплексних заходів: посилити інституційну спроможність контрольних органів, удосконалити законодавче регулювання, підвищити прозорість процедур та активізувати громадський контроль. Це дозволить не лише зменшити корупційні ризики, але й підвищити ефективність використання бюджетних коштів, а також зміцнити довіру суспільства до державної влади.</w:t>
      </w:r>
    </w:p>
    <w:p w14:paraId="62959A38" w14:textId="77777777" w:rsidR="00B67481" w:rsidRPr="00511005" w:rsidRDefault="00B67481" w:rsidP="003A292D">
      <w:pPr>
        <w:shd w:val="clear" w:color="auto" w:fill="FFFFFF"/>
        <w:spacing w:line="264" w:lineRule="auto"/>
        <w:ind w:firstLine="330"/>
        <w:rPr>
          <w:rFonts w:ascii="Arial" w:eastAsia="Times New Roman" w:hAnsi="Arial" w:cs="Arial"/>
          <w:szCs w:val="28"/>
          <w:lang w:eastAsia="ru-RU"/>
        </w:rPr>
      </w:pPr>
    </w:p>
    <w:p w14:paraId="204A3DD2" w14:textId="2D5D813A" w:rsidR="00B67481" w:rsidRPr="00511005" w:rsidRDefault="007B2628" w:rsidP="007B2628">
      <w:pPr>
        <w:shd w:val="clear" w:color="auto" w:fill="FFFFFF"/>
        <w:spacing w:line="264" w:lineRule="auto"/>
        <w:ind w:firstLine="0"/>
        <w:jc w:val="center"/>
        <w:rPr>
          <w:rFonts w:ascii="Arial" w:eastAsia="Times New Roman" w:hAnsi="Arial" w:cs="Arial"/>
          <w:b/>
          <w:szCs w:val="28"/>
          <w:shd w:val="clear" w:color="auto" w:fill="FFFFFF"/>
          <w:lang w:val="uk-UA" w:eastAsia="uk-UA"/>
        </w:rPr>
      </w:pPr>
      <w:r w:rsidRPr="00511005">
        <w:rPr>
          <w:rFonts w:ascii="Arial" w:eastAsia="Times New Roman" w:hAnsi="Arial" w:cs="Arial"/>
          <w:b/>
          <w:szCs w:val="28"/>
          <w:shd w:val="clear" w:color="auto" w:fill="FFFFFF"/>
          <w:lang w:val="uk-UA" w:eastAsia="uk-UA"/>
        </w:rPr>
        <w:t>Список використаних джерел</w:t>
      </w:r>
      <w:r w:rsidR="00B67481" w:rsidRPr="00511005">
        <w:rPr>
          <w:rFonts w:ascii="Arial" w:eastAsia="Times New Roman" w:hAnsi="Arial" w:cs="Arial"/>
          <w:b/>
          <w:szCs w:val="28"/>
          <w:shd w:val="clear" w:color="auto" w:fill="FFFFFF"/>
          <w:lang w:val="uk-UA" w:eastAsia="uk-UA"/>
        </w:rPr>
        <w:t xml:space="preserve"> </w:t>
      </w:r>
    </w:p>
    <w:p w14:paraId="5B327535" w14:textId="77777777" w:rsidR="00B67481" w:rsidRPr="00511005" w:rsidRDefault="00B67481" w:rsidP="003F6A5D">
      <w:pPr>
        <w:numPr>
          <w:ilvl w:val="0"/>
          <w:numId w:val="286"/>
        </w:numPr>
        <w:tabs>
          <w:tab w:val="left" w:pos="993"/>
        </w:tabs>
        <w:spacing w:line="264" w:lineRule="auto"/>
        <w:ind w:left="0" w:firstLine="567"/>
        <w:jc w:val="left"/>
        <w:rPr>
          <w:rFonts w:ascii="Arial" w:eastAsia="Times New Roman" w:hAnsi="Arial" w:cs="Arial"/>
          <w:szCs w:val="28"/>
          <w:lang w:eastAsia="ru-RU"/>
        </w:rPr>
      </w:pPr>
      <w:r w:rsidRPr="00511005">
        <w:rPr>
          <w:rFonts w:ascii="Arial" w:eastAsia="Times New Roman" w:hAnsi="Arial" w:cs="Arial"/>
          <w:szCs w:val="28"/>
          <w:lang w:val="uk-UA" w:eastAsia="ru-RU"/>
        </w:rPr>
        <w:t>Про публічні закупівлі: Закон України від 25.12.2015 № 922-</w:t>
      </w:r>
      <w:r w:rsidRPr="00511005">
        <w:rPr>
          <w:rFonts w:ascii="Arial" w:eastAsia="Times New Roman" w:hAnsi="Arial" w:cs="Arial"/>
          <w:szCs w:val="28"/>
          <w:lang w:eastAsia="ru-RU"/>
        </w:rPr>
        <w:t>VIII</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Дата оновлення: 23.10.2024.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https://zakon.rada.gov.ua/laws/show/922-19#Text (дата звернення 01.05.2025).</w:t>
      </w:r>
    </w:p>
    <w:p w14:paraId="39C75CE1" w14:textId="77777777" w:rsidR="00B67481" w:rsidRPr="00511005" w:rsidRDefault="00B67481" w:rsidP="003F6A5D">
      <w:pPr>
        <w:numPr>
          <w:ilvl w:val="0"/>
          <w:numId w:val="286"/>
        </w:numPr>
        <w:tabs>
          <w:tab w:val="left" w:pos="993"/>
        </w:tabs>
        <w:spacing w:line="264" w:lineRule="auto"/>
        <w:ind w:left="0" w:firstLine="567"/>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засади державної антикорупційної політики на 2021-2025 роки: Закон України від 20.06.2022 № 2322-IX. Дата оновлення: 20.06.2022.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show</w:t>
      </w:r>
      <w:r w:rsidRPr="00511005">
        <w:rPr>
          <w:rFonts w:ascii="Arial" w:eastAsia="Times New Roman" w:hAnsi="Arial" w:cs="Arial"/>
          <w:szCs w:val="28"/>
          <w:lang w:eastAsia="ru-RU"/>
        </w:rPr>
        <w:t>/2322-20#</w:t>
      </w:r>
      <w:r w:rsidRPr="00511005">
        <w:rPr>
          <w:rFonts w:ascii="Arial" w:eastAsia="Times New Roman" w:hAnsi="Arial" w:cs="Arial"/>
          <w:szCs w:val="28"/>
          <w:lang w:val="en-US" w:eastAsia="ru-RU"/>
        </w:rPr>
        <w:t>Text</w:t>
      </w:r>
      <w:r w:rsidRPr="00511005">
        <w:rPr>
          <w:rFonts w:ascii="Arial" w:eastAsia="Times New Roman" w:hAnsi="Arial" w:cs="Arial"/>
          <w:szCs w:val="28"/>
          <w:lang w:eastAsia="ru-RU"/>
        </w:rPr>
        <w:t xml:space="preserve"> (дата звернення 01.05.2025).</w:t>
      </w:r>
    </w:p>
    <w:p w14:paraId="3042E96C" w14:textId="77777777" w:rsidR="00B67481" w:rsidRPr="00511005" w:rsidRDefault="00B67481" w:rsidP="003F6A5D">
      <w:pPr>
        <w:numPr>
          <w:ilvl w:val="0"/>
          <w:numId w:val="286"/>
        </w:numPr>
        <w:tabs>
          <w:tab w:val="left" w:pos="993"/>
        </w:tabs>
        <w:spacing w:line="264" w:lineRule="auto"/>
        <w:ind w:left="0" w:firstLine="567"/>
        <w:jc w:val="left"/>
        <w:rPr>
          <w:rFonts w:ascii="Arial" w:eastAsia="Times New Roman" w:hAnsi="Arial" w:cs="Arial"/>
          <w:szCs w:val="28"/>
          <w:lang w:eastAsia="ru-RU"/>
        </w:rPr>
      </w:pPr>
      <w:r w:rsidRPr="00511005">
        <w:rPr>
          <w:rFonts w:ascii="Arial" w:eastAsia="Times New Roman" w:hAnsi="Arial" w:cs="Arial"/>
          <w:szCs w:val="28"/>
          <w:lang w:eastAsia="ru-RU"/>
        </w:rPr>
        <w:t xml:space="preserve">Железняк Є.В. Визначення сутності поняття публічних закупівель в Україні: адміністративно-правовий аспект. </w:t>
      </w:r>
      <w:r w:rsidRPr="00511005">
        <w:rPr>
          <w:rFonts w:ascii="Arial" w:eastAsia="Times New Roman" w:hAnsi="Arial" w:cs="Arial"/>
          <w:i/>
          <w:iCs/>
          <w:szCs w:val="28"/>
          <w:lang w:eastAsia="ru-RU"/>
        </w:rPr>
        <w:t>Юридичний науковий електронний журнал</w:t>
      </w:r>
      <w:r w:rsidRPr="00511005">
        <w:rPr>
          <w:rFonts w:ascii="Arial" w:eastAsia="Times New Roman" w:hAnsi="Arial" w:cs="Arial"/>
          <w:szCs w:val="28"/>
          <w:lang w:eastAsia="ru-RU"/>
        </w:rPr>
        <w:t>. 2024. № 5. С. 619–621. DOI https://doi.org/10.32782/2524-0374/2024-5/154 (дата звернення 01.05.2025).</w:t>
      </w:r>
    </w:p>
    <w:p w14:paraId="1201AB3B" w14:textId="77777777" w:rsidR="00B67481" w:rsidRPr="00511005" w:rsidRDefault="00B67481" w:rsidP="003F6A5D">
      <w:pPr>
        <w:numPr>
          <w:ilvl w:val="0"/>
          <w:numId w:val="286"/>
        </w:numPr>
        <w:tabs>
          <w:tab w:val="left" w:pos="993"/>
        </w:tabs>
        <w:spacing w:line="264" w:lineRule="auto"/>
        <w:ind w:left="0" w:firstLine="567"/>
        <w:jc w:val="left"/>
        <w:rPr>
          <w:rFonts w:ascii="Arial" w:eastAsia="Times New Roman" w:hAnsi="Arial" w:cs="Arial"/>
          <w:szCs w:val="28"/>
          <w:lang w:eastAsia="ru-RU"/>
        </w:rPr>
      </w:pPr>
      <w:r w:rsidRPr="00511005">
        <w:rPr>
          <w:rFonts w:ascii="Arial" w:eastAsia="Times New Roman" w:hAnsi="Arial" w:cs="Arial"/>
          <w:szCs w:val="28"/>
          <w:lang w:eastAsia="ru-RU"/>
        </w:rPr>
        <w:t xml:space="preserve">Одуха М.В. Публічні закупівлі як об’єкт адміністративно-правових відносин. </w:t>
      </w:r>
      <w:r w:rsidRPr="00511005">
        <w:rPr>
          <w:rFonts w:ascii="Arial" w:eastAsia="Times New Roman" w:hAnsi="Arial" w:cs="Arial"/>
          <w:i/>
          <w:iCs/>
          <w:szCs w:val="28"/>
          <w:lang w:eastAsia="ru-RU"/>
        </w:rPr>
        <w:t>Держава та регіони</w:t>
      </w:r>
      <w:r w:rsidRPr="00511005">
        <w:rPr>
          <w:rFonts w:ascii="Arial" w:eastAsia="Times New Roman" w:hAnsi="Arial" w:cs="Arial"/>
          <w:szCs w:val="28"/>
          <w:lang w:eastAsia="ru-RU"/>
        </w:rPr>
        <w:t>. Серія: Право. 2024. № 1 (83). С. 162–166. DOI https://doi.org/10.32782/1813-338X-2024.1.26 (дата звернення 01.05.2025).</w:t>
      </w:r>
    </w:p>
    <w:p w14:paraId="6512A57D" w14:textId="77777777" w:rsidR="00B67481" w:rsidRPr="00511005" w:rsidRDefault="00B67481" w:rsidP="003F6A5D">
      <w:pPr>
        <w:numPr>
          <w:ilvl w:val="0"/>
          <w:numId w:val="286"/>
        </w:numPr>
        <w:tabs>
          <w:tab w:val="left" w:pos="993"/>
        </w:tabs>
        <w:spacing w:line="264" w:lineRule="auto"/>
        <w:ind w:left="0" w:firstLine="567"/>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Русін В.М. Контроль у сфері публічних закупівель. </w:t>
      </w:r>
      <w:r w:rsidRPr="00511005">
        <w:rPr>
          <w:rFonts w:ascii="Arial" w:eastAsia="Times New Roman" w:hAnsi="Arial" w:cs="Arial"/>
          <w:i/>
          <w:iCs/>
          <w:szCs w:val="28"/>
          <w:lang w:eastAsia="ru-RU"/>
        </w:rPr>
        <w:t>Ефективна економіка</w:t>
      </w:r>
      <w:r w:rsidRPr="00511005">
        <w:rPr>
          <w:rFonts w:ascii="Arial" w:eastAsia="Times New Roman" w:hAnsi="Arial" w:cs="Arial"/>
          <w:szCs w:val="28"/>
          <w:lang w:eastAsia="ru-RU"/>
        </w:rPr>
        <w:t>. 2020. № 12. DOI: https://doi.org/10.32702/2307-2105-2020.12.110 (дата звернення 01.05.2025).</w:t>
      </w:r>
    </w:p>
    <w:p w14:paraId="176388F3" w14:textId="77777777" w:rsidR="00B67481" w:rsidRPr="00511005" w:rsidRDefault="00B67481" w:rsidP="003F6A5D">
      <w:pPr>
        <w:numPr>
          <w:ilvl w:val="0"/>
          <w:numId w:val="286"/>
        </w:numPr>
        <w:tabs>
          <w:tab w:val="left" w:pos="993"/>
        </w:tabs>
        <w:spacing w:line="264" w:lineRule="auto"/>
        <w:ind w:left="0" w:firstLine="567"/>
        <w:jc w:val="left"/>
        <w:rPr>
          <w:rFonts w:ascii="Arial" w:eastAsia="Times New Roman" w:hAnsi="Arial" w:cs="Arial"/>
          <w:szCs w:val="28"/>
          <w:lang w:eastAsia="ru-RU"/>
        </w:rPr>
      </w:pPr>
      <w:r w:rsidRPr="00511005">
        <w:rPr>
          <w:rFonts w:ascii="Arial" w:eastAsia="Times New Roman" w:hAnsi="Arial" w:cs="Arial"/>
          <w:szCs w:val="28"/>
          <w:lang w:eastAsia="ru-RU"/>
        </w:rPr>
        <w:t xml:space="preserve">Чеченко К.О. Принцип доброчесності державної служби: етимологія та ґенеза морально-етичної норми. </w:t>
      </w:r>
      <w:r w:rsidRPr="00511005">
        <w:rPr>
          <w:rFonts w:ascii="Arial" w:eastAsia="Times New Roman" w:hAnsi="Arial" w:cs="Arial"/>
          <w:i/>
          <w:iCs/>
          <w:szCs w:val="28"/>
          <w:lang w:eastAsia="ru-RU"/>
        </w:rPr>
        <w:t>Київський часопис права</w:t>
      </w:r>
      <w:r w:rsidRPr="00511005">
        <w:rPr>
          <w:rFonts w:ascii="Arial" w:eastAsia="Times New Roman" w:hAnsi="Arial" w:cs="Arial"/>
          <w:szCs w:val="28"/>
          <w:lang w:eastAsia="ru-RU"/>
        </w:rPr>
        <w:t>. 2022. № 1. С. 143–151. DOI https://doi.org/10.32782/klj/2022.1.22 (дата звернення 01.05.2025).</w:t>
      </w:r>
    </w:p>
    <w:p w14:paraId="60899244" w14:textId="77777777" w:rsidR="00B67481" w:rsidRPr="00511005" w:rsidRDefault="00B67481" w:rsidP="003A292D">
      <w:pPr>
        <w:spacing w:line="264" w:lineRule="auto"/>
        <w:ind w:left="720" w:firstLine="0"/>
        <w:rPr>
          <w:rFonts w:ascii="Arial" w:eastAsia="Times New Roman" w:hAnsi="Arial" w:cs="Arial"/>
          <w:szCs w:val="28"/>
          <w:lang w:eastAsia="ru-RU"/>
        </w:rPr>
      </w:pPr>
    </w:p>
    <w:p w14:paraId="18BD1931" w14:textId="3FEFF649" w:rsidR="00B67481" w:rsidRPr="00511005" w:rsidRDefault="007B2628" w:rsidP="003A292D">
      <w:pPr>
        <w:shd w:val="clear" w:color="auto" w:fill="FFFFFF"/>
        <w:spacing w:line="264" w:lineRule="auto"/>
        <w:rPr>
          <w:rFonts w:ascii="Arial" w:eastAsia="Times New Roman" w:hAnsi="Arial" w:cs="Arial"/>
          <w:szCs w:val="28"/>
          <w:lang w:eastAsia="ru-RU"/>
        </w:rPr>
      </w:pPr>
      <w:r w:rsidRPr="00511005">
        <w:rPr>
          <w:rFonts w:ascii="Arial" w:eastAsia="Times New Roman" w:hAnsi="Arial" w:cs="Arial"/>
          <w:b/>
          <w:i/>
          <w:szCs w:val="28"/>
          <w:shd w:val="clear" w:color="auto" w:fill="FFFFFF"/>
          <w:lang w:eastAsia="ru-RU"/>
        </w:rPr>
        <w:t xml:space="preserve">Ключові слова: </w:t>
      </w:r>
      <w:r w:rsidR="00B67481" w:rsidRPr="00511005">
        <w:rPr>
          <w:rFonts w:ascii="Arial" w:eastAsia="Times New Roman" w:hAnsi="Arial" w:cs="Arial"/>
          <w:szCs w:val="28"/>
          <w:lang w:eastAsia="ru-RU"/>
        </w:rPr>
        <w:t>публічні закупівлі, доброчесність, адміністративно-правовий контроль, контролюючі органи, корупція, запобігання, протидія.</w:t>
      </w:r>
    </w:p>
    <w:p w14:paraId="297C2227" w14:textId="3AF2486F" w:rsidR="00B67481" w:rsidRPr="00511005" w:rsidRDefault="007B2628" w:rsidP="003A292D">
      <w:pPr>
        <w:shd w:val="clear" w:color="auto" w:fill="FFFFFF"/>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B67481" w:rsidRPr="00511005">
        <w:rPr>
          <w:rFonts w:ascii="Arial" w:eastAsia="Times New Roman" w:hAnsi="Arial" w:cs="Arial"/>
          <w:szCs w:val="28"/>
          <w:lang w:val="en-US" w:eastAsia="ru-RU"/>
        </w:rPr>
        <w:t>public procurement, integrity, administrative and legal control, regulatory authorities, corruption, prevention, counteraction.</w:t>
      </w:r>
    </w:p>
    <w:p w14:paraId="1A36F23C" w14:textId="6E2CD8A5" w:rsidR="00B67481" w:rsidRPr="00511005" w:rsidRDefault="00C76181" w:rsidP="003A292D">
      <w:pPr>
        <w:spacing w:line="264" w:lineRule="auto"/>
        <w:jc w:val="left"/>
        <w:rPr>
          <w:rFonts w:ascii="Arial" w:eastAsia="Calibri" w:hAnsi="Arial" w:cs="Arial"/>
          <w:bCs/>
          <w:i/>
          <w:szCs w:val="28"/>
          <w:shd w:val="clear" w:color="auto" w:fill="FFFFFF"/>
        </w:rPr>
      </w:pPr>
      <w:r w:rsidRPr="00511005">
        <w:rPr>
          <w:rFonts w:ascii="Arial" w:eastAsia="Calibri" w:hAnsi="Arial" w:cs="Arial"/>
          <w:b/>
          <w:i/>
          <w:szCs w:val="28"/>
          <w:lang w:val="uk-UA"/>
        </w:rPr>
        <w:t xml:space="preserve">Науковий керівник: </w:t>
      </w:r>
      <w:r w:rsidR="00B67481" w:rsidRPr="00511005">
        <w:rPr>
          <w:rFonts w:ascii="Arial" w:eastAsia="Calibri" w:hAnsi="Arial" w:cs="Arial"/>
          <w:bCs/>
          <w:i/>
          <w:szCs w:val="28"/>
          <w:shd w:val="clear" w:color="auto" w:fill="FFFFFF"/>
        </w:rPr>
        <w:t>доктор філософії (</w:t>
      </w:r>
      <w:r w:rsidR="00B67481" w:rsidRPr="00511005">
        <w:rPr>
          <w:rFonts w:ascii="Arial" w:eastAsia="Calibri" w:hAnsi="Arial" w:cs="Arial"/>
          <w:bCs/>
          <w:i/>
          <w:szCs w:val="28"/>
          <w:shd w:val="clear" w:color="auto" w:fill="FFFFFF"/>
          <w:lang w:val="en-US"/>
        </w:rPr>
        <w:t>PhD</w:t>
      </w:r>
      <w:r w:rsidR="00B67481" w:rsidRPr="00511005">
        <w:rPr>
          <w:rFonts w:ascii="Arial" w:eastAsia="Calibri" w:hAnsi="Arial" w:cs="Arial"/>
          <w:bCs/>
          <w:i/>
          <w:szCs w:val="28"/>
          <w:shd w:val="clear" w:color="auto" w:fill="FFFFFF"/>
        </w:rPr>
        <w:t>) в галузі права,</w:t>
      </w:r>
      <w:r w:rsidR="00B67481" w:rsidRPr="00511005">
        <w:rPr>
          <w:rFonts w:ascii="Arial" w:eastAsia="Calibri" w:hAnsi="Arial" w:cs="Arial"/>
          <w:bCs/>
          <w:i/>
          <w:szCs w:val="28"/>
        </w:rPr>
        <w:t xml:space="preserve"> доцент </w:t>
      </w:r>
      <w:r w:rsidR="00B67481" w:rsidRPr="00511005">
        <w:rPr>
          <w:rFonts w:ascii="Arial" w:eastAsia="Calibri" w:hAnsi="Arial" w:cs="Arial"/>
          <w:bCs/>
          <w:i/>
          <w:szCs w:val="28"/>
          <w:shd w:val="clear" w:color="auto" w:fill="FFFFFF"/>
        </w:rPr>
        <w:t>Негара Р.В.</w:t>
      </w:r>
    </w:p>
    <w:p w14:paraId="48F7A6E3" w14:textId="69B593F6" w:rsidR="00B67481" w:rsidRPr="00511005" w:rsidRDefault="00B67481" w:rsidP="003A292D">
      <w:pPr>
        <w:spacing w:line="264" w:lineRule="auto"/>
        <w:ind w:firstLine="0"/>
        <w:jc w:val="left"/>
        <w:rPr>
          <w:rFonts w:ascii="Arial" w:eastAsia="Calibri" w:hAnsi="Arial" w:cs="Arial"/>
          <w:b/>
          <w:bCs/>
          <w:i/>
          <w:szCs w:val="28"/>
          <w:shd w:val="clear" w:color="auto" w:fill="FFFFFF"/>
        </w:rPr>
      </w:pPr>
    </w:p>
    <w:p w14:paraId="75FA2253" w14:textId="77777777" w:rsidR="001D1A08" w:rsidRPr="00511005" w:rsidRDefault="001D1A08" w:rsidP="003A292D">
      <w:pPr>
        <w:spacing w:line="264" w:lineRule="auto"/>
        <w:ind w:firstLine="0"/>
        <w:jc w:val="left"/>
        <w:rPr>
          <w:rFonts w:ascii="Arial" w:eastAsia="Calibri" w:hAnsi="Arial" w:cs="Arial"/>
          <w:b/>
          <w:bCs/>
          <w:i/>
          <w:szCs w:val="28"/>
          <w:shd w:val="clear" w:color="auto" w:fill="FFFFFF"/>
        </w:rPr>
      </w:pPr>
    </w:p>
    <w:p w14:paraId="5FCA2A0E" w14:textId="77777777" w:rsidR="00B67481" w:rsidRPr="00511005" w:rsidRDefault="00B67481"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 xml:space="preserve">Левенець Аріана Миколаївна </w:t>
      </w:r>
    </w:p>
    <w:p w14:paraId="0A97BB71" w14:textId="637D8A59"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79FEA587"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9213730"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115A30A" w14:textId="77777777" w:rsidR="00B67481" w:rsidRPr="00511005" w:rsidRDefault="00B67481" w:rsidP="003A292D">
      <w:pPr>
        <w:spacing w:line="264" w:lineRule="auto"/>
        <w:ind w:firstLine="0"/>
        <w:jc w:val="center"/>
        <w:rPr>
          <w:rFonts w:ascii="Arial" w:eastAsia="Calibri" w:hAnsi="Arial" w:cs="Arial"/>
          <w:bCs/>
          <w:szCs w:val="28"/>
          <w:lang w:val="uk-UA"/>
        </w:rPr>
      </w:pPr>
    </w:p>
    <w:p w14:paraId="661C9F75" w14:textId="77777777" w:rsidR="00B67481" w:rsidRPr="00511005" w:rsidRDefault="00B67481"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АДМІНІСТРАТИВНА ВІДПОВІДАЛЬНІСТЬ ЗА ПОРУШЕННЯ ПРАВИЛ КОМЕНДАНТСЬКОЇ ГОДИНИ ТА ВОЄННОГО ЧАСУ</w:t>
      </w:r>
    </w:p>
    <w:p w14:paraId="731E29D6"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У зв'язку із запровадженням воєнного стану в Україні питання забезпечення громадського порядку та безпеки набуло особливої актуальності. Одним із ключових обмежень у період дії воєнного стану є встановлення комендантської години — часу, протягом якого громадянам заборонено перебувати на вулицях та в інших громадських місцях без спеціальних перепусток. Порушення цих правил передбачає адміністративну відповідальність, яка має запобігти загрозам безпеці держави та громадян.</w:t>
      </w:r>
    </w:p>
    <w:p w14:paraId="6737EAE1"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Згідно з пунктом 5 Порядку здійснення заходів під час введення комендантської години та спеціального режиму світломаскування в окремих місцевостях у період воєнного стану, затвердженого постановою Кабінету Міністрів України № 573 від 08.07.2020 (далі – Порядок № 573), встановлення комендантської години здійснюється на підставі наказу військового командування або військової адміністрації. У відповідному наказі визначаються тривалість комендантської години, порядок організації та роботи комендатури, її місцезнаходження і склад, а також призначається комендант [4].</w:t>
      </w:r>
    </w:p>
    <w:p w14:paraId="673AA88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Згідно з підпунктом 3 пункту 1 Порядку № 573, комендант – це уповноважена особа органу військового управління, яка призначається </w:t>
      </w:r>
      <w:r w:rsidRPr="00511005">
        <w:rPr>
          <w:rFonts w:ascii="Arial" w:eastAsia="Calibri" w:hAnsi="Arial" w:cs="Arial"/>
          <w:szCs w:val="28"/>
        </w:rPr>
        <w:lastRenderedPageBreak/>
        <w:t>відповідним наказом військового командування або військової адміністрації (за умови її створення) та наділяється повноваженнями щодо організації та забезпечення заходів під час дії комендантської години [1, 3].</w:t>
      </w:r>
    </w:p>
    <w:p w14:paraId="5061423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На підставі законодавства України до повноважень коменданта належить право вживати заходів щодо обмеження перебування, свободи пересування, в’їзду та виїзду з території або на територію, а також встановлювати спеціальний режим світломаскування, за умови виникнення подій, що становлять реальну загрозу життю та безпеці осіб. Контроль за дотриманням обмежень, запроваджених у зв’язку з введенням комендантської години, здійснюють патрулі, які підпорядковуються коменданту.</w:t>
      </w:r>
    </w:p>
    <w:p w14:paraId="3E368177"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Отже, патрулі, які контролюють дотримання комендантської години, мають право виключно на перевірку документів з метою встановлення особи порушника. У випадку, якщо особа відмовляється надати документи або не має їх при собі, патрульні зобов’язані доправити таку особу до підрозділу Національної поліції для встановлення її особистості. Притягнення порушника до адміністративної відповідальності можливе лише за наявності факту злісної непокори законному розпорядженню або вимозі члена громадського формування з охорони громадського порядку, якими у даному випадку є представники патрулів, що здійснюють контроль за дотриманням обмежень комендантської години [5].</w:t>
      </w:r>
    </w:p>
    <w:p w14:paraId="4C11764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У подібних випадках працівники Національної поліції складають протокол про адміністративне правопорушення відповідно до статті 185 Кодексу України про адміністративні правопорушення (далі – КУпАП) та передають матеріали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За порушення, передбачене статтею 185 КУпАП, вже були розглянуті дві справи: справа № 289/518/22 від 30.03.2022, розглянута суддею Радомишльського районного суду Житомирської області [6], і справа № 170/259/22 від 20.07.2022, розглянута суддею Шацького районного суду Волинської області [7]. В обох випадках суди ухвалили постанови про накладення штрафу на порушників у розмірі 136 гривень (що становить 8 неоподатковуваних мінімумів доходів громадян).</w:t>
      </w:r>
    </w:p>
    <w:p w14:paraId="54F2E5D8"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Для підвищення ефективності адміністративної відповідальності доцільно</w:t>
      </w:r>
      <w:r w:rsidRPr="00511005">
        <w:rPr>
          <w:rFonts w:ascii="Arial" w:eastAsia="Calibri" w:hAnsi="Arial" w:cs="Arial"/>
          <w:szCs w:val="28"/>
          <w:lang w:val="uk-UA"/>
        </w:rPr>
        <w:t xml:space="preserve"> </w:t>
      </w:r>
      <w:r w:rsidRPr="00511005">
        <w:rPr>
          <w:rFonts w:ascii="Arial" w:eastAsia="Calibri" w:hAnsi="Arial" w:cs="Arial"/>
          <w:szCs w:val="28"/>
        </w:rPr>
        <w:t>[2]:</w:t>
      </w:r>
    </w:p>
    <w:p w14:paraId="056872D4" w14:textId="77777777" w:rsidR="00B67481" w:rsidRPr="00511005" w:rsidRDefault="00B67481" w:rsidP="003F6A5D">
      <w:pPr>
        <w:numPr>
          <w:ilvl w:val="0"/>
          <w:numId w:val="251"/>
        </w:numPr>
        <w:spacing w:line="264" w:lineRule="auto"/>
        <w:ind w:left="0" w:firstLine="709"/>
        <w:jc w:val="left"/>
        <w:rPr>
          <w:rFonts w:ascii="Arial" w:eastAsia="Calibri" w:hAnsi="Arial" w:cs="Arial"/>
          <w:szCs w:val="28"/>
        </w:rPr>
      </w:pPr>
      <w:r w:rsidRPr="00511005">
        <w:rPr>
          <w:rFonts w:ascii="Arial" w:eastAsia="Calibri" w:hAnsi="Arial" w:cs="Arial"/>
          <w:szCs w:val="28"/>
        </w:rPr>
        <w:t>Удосконалити механізми інформування населення про встановлені правила та обмеження під час воєнного стану.</w:t>
      </w:r>
    </w:p>
    <w:p w14:paraId="1309DCF3" w14:textId="77777777" w:rsidR="00B67481" w:rsidRPr="00511005" w:rsidRDefault="00B67481" w:rsidP="003F6A5D">
      <w:pPr>
        <w:numPr>
          <w:ilvl w:val="0"/>
          <w:numId w:val="251"/>
        </w:numPr>
        <w:spacing w:line="264" w:lineRule="auto"/>
        <w:ind w:left="0" w:firstLine="709"/>
        <w:jc w:val="left"/>
        <w:rPr>
          <w:rFonts w:ascii="Arial" w:eastAsia="Calibri" w:hAnsi="Arial" w:cs="Arial"/>
          <w:szCs w:val="28"/>
        </w:rPr>
      </w:pPr>
      <w:r w:rsidRPr="00511005">
        <w:rPr>
          <w:rFonts w:ascii="Arial" w:eastAsia="Calibri" w:hAnsi="Arial" w:cs="Arial"/>
          <w:szCs w:val="28"/>
        </w:rPr>
        <w:t>Встановити єдині зразки протоколів про адміністративні правопорушення за порушення комендантської години.</w:t>
      </w:r>
    </w:p>
    <w:p w14:paraId="7C6E1703" w14:textId="77777777" w:rsidR="00B67481" w:rsidRPr="00511005" w:rsidRDefault="00B67481" w:rsidP="003F6A5D">
      <w:pPr>
        <w:numPr>
          <w:ilvl w:val="0"/>
          <w:numId w:val="251"/>
        </w:numPr>
        <w:spacing w:line="264" w:lineRule="auto"/>
        <w:ind w:left="0" w:firstLine="709"/>
        <w:jc w:val="left"/>
        <w:rPr>
          <w:rFonts w:ascii="Arial" w:eastAsia="Calibri" w:hAnsi="Arial" w:cs="Arial"/>
          <w:szCs w:val="28"/>
        </w:rPr>
      </w:pPr>
      <w:r w:rsidRPr="00511005">
        <w:rPr>
          <w:rFonts w:ascii="Arial" w:eastAsia="Calibri" w:hAnsi="Arial" w:cs="Arial"/>
          <w:szCs w:val="28"/>
        </w:rPr>
        <w:t xml:space="preserve">Врегулювати питання допустимого терміну затримання порушників </w:t>
      </w:r>
      <w:proofErr w:type="gramStart"/>
      <w:r w:rsidRPr="00511005">
        <w:rPr>
          <w:rFonts w:ascii="Arial" w:eastAsia="Calibri" w:hAnsi="Arial" w:cs="Arial"/>
          <w:szCs w:val="28"/>
        </w:rPr>
        <w:t>до моменту</w:t>
      </w:r>
      <w:proofErr w:type="gramEnd"/>
      <w:r w:rsidRPr="00511005">
        <w:rPr>
          <w:rFonts w:ascii="Arial" w:eastAsia="Calibri" w:hAnsi="Arial" w:cs="Arial"/>
          <w:szCs w:val="28"/>
        </w:rPr>
        <w:t xml:space="preserve"> складення протоколу.</w:t>
      </w:r>
    </w:p>
    <w:p w14:paraId="2675CBE5" w14:textId="77777777" w:rsidR="00B67481" w:rsidRPr="00511005" w:rsidRDefault="00B67481" w:rsidP="003F6A5D">
      <w:pPr>
        <w:numPr>
          <w:ilvl w:val="0"/>
          <w:numId w:val="251"/>
        </w:numPr>
        <w:spacing w:line="264" w:lineRule="auto"/>
        <w:ind w:left="0" w:firstLine="709"/>
        <w:jc w:val="left"/>
        <w:rPr>
          <w:rFonts w:ascii="Arial" w:eastAsia="Calibri" w:hAnsi="Arial" w:cs="Arial"/>
          <w:szCs w:val="28"/>
        </w:rPr>
      </w:pPr>
      <w:r w:rsidRPr="00511005">
        <w:rPr>
          <w:rFonts w:ascii="Arial" w:eastAsia="Calibri" w:hAnsi="Arial" w:cs="Arial"/>
          <w:szCs w:val="28"/>
        </w:rPr>
        <w:t>Внести зміни до КУпАП з метою уточнення складу правопорушення та санкцій залежно від ступеня суспільної небезпеки діяння.</w:t>
      </w:r>
    </w:p>
    <w:p w14:paraId="101BE922"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Отже, а</w:t>
      </w:r>
      <w:r w:rsidRPr="00511005">
        <w:rPr>
          <w:rFonts w:ascii="Arial" w:eastAsia="Calibri" w:hAnsi="Arial" w:cs="Arial"/>
          <w:szCs w:val="28"/>
        </w:rPr>
        <w:t>дміністративна відповідальність за порушення правил комендантської години та вимог воєнного стану є важливим інструментом забезпечення правопорядку в особливий період. Однак ефективність її застосування залежить від чіткості правових норм, належної роботи правоохоронних органів та рівня обізнаності населення. Вдосконалення законодавства та практики його реалізації сприятиме зміцненню правової держави навіть у складних умовах воєнного часу.</w:t>
      </w:r>
    </w:p>
    <w:p w14:paraId="19CB8822" w14:textId="77777777" w:rsidR="00B67481" w:rsidRPr="00511005" w:rsidRDefault="00B67481" w:rsidP="003A292D">
      <w:pPr>
        <w:spacing w:line="264" w:lineRule="auto"/>
        <w:rPr>
          <w:rFonts w:ascii="Arial" w:eastAsia="Calibri" w:hAnsi="Arial" w:cs="Arial"/>
          <w:szCs w:val="28"/>
          <w:lang w:val="uk-UA"/>
        </w:rPr>
      </w:pPr>
    </w:p>
    <w:p w14:paraId="30323E78" w14:textId="09ECA9E8" w:rsidR="00B67481" w:rsidRPr="00511005" w:rsidRDefault="007B2628" w:rsidP="007B2628">
      <w:pPr>
        <w:spacing w:line="264" w:lineRule="auto"/>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12934B54" w14:textId="77777777" w:rsidR="00B67481" w:rsidRPr="00511005" w:rsidRDefault="00B67481" w:rsidP="003A292D">
      <w:pPr>
        <w:widowControl w:val="0"/>
        <w:autoSpaceDE w:val="0"/>
        <w:autoSpaceDN w:val="0"/>
        <w:adjustRightInd w:val="0"/>
        <w:spacing w:line="264" w:lineRule="auto"/>
        <w:contextualSpacing/>
        <w:rPr>
          <w:rFonts w:ascii="Arial" w:eastAsia="Times New Roman" w:hAnsi="Arial" w:cs="Arial"/>
          <w:szCs w:val="28"/>
          <w:lang w:val="en-US" w:eastAsia="ru-RU"/>
        </w:rPr>
      </w:pPr>
      <w:r w:rsidRPr="00511005">
        <w:rPr>
          <w:rFonts w:ascii="Arial" w:eastAsia="Times New Roman" w:hAnsi="Arial" w:cs="Arial"/>
          <w:szCs w:val="28"/>
          <w:lang w:val="uk-UA" w:eastAsia="ru-RU"/>
        </w:rPr>
        <w:t>1.</w:t>
      </w:r>
      <w:r w:rsidRPr="00511005">
        <w:rPr>
          <w:rFonts w:ascii="Arial" w:eastAsia="Times New Roman" w:hAnsi="Arial" w:cs="Arial"/>
          <w:szCs w:val="28"/>
          <w:lang w:val="uk-UA" w:eastAsia="ru-RU"/>
        </w:rPr>
        <w:tab/>
      </w:r>
      <w:r w:rsidRPr="00511005">
        <w:rPr>
          <w:rFonts w:ascii="Arial" w:eastAsia="Times New Roman" w:hAnsi="Arial" w:cs="Arial"/>
          <w:szCs w:val="28"/>
          <w:lang w:val="en-US" w:eastAsia="ru-RU"/>
        </w:rPr>
        <w:t>Pro</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vvedennia</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voiennoho</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stanu</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v</w:t>
      </w:r>
      <w:r w:rsidRPr="00511005">
        <w:rPr>
          <w:rFonts w:ascii="Arial" w:eastAsia="Times New Roman" w:hAnsi="Arial" w:cs="Arial"/>
          <w:szCs w:val="28"/>
          <w:lang w:val="uk-UA" w:eastAsia="ru-RU"/>
        </w:rPr>
        <w:t xml:space="preserve"> </w:t>
      </w:r>
      <w:proofErr w:type="gramStart"/>
      <w:r w:rsidRPr="00511005">
        <w:rPr>
          <w:rFonts w:ascii="Arial" w:eastAsia="Times New Roman" w:hAnsi="Arial" w:cs="Arial"/>
          <w:szCs w:val="28"/>
          <w:lang w:val="en-US" w:eastAsia="ru-RU"/>
        </w:rPr>
        <w:t>Ukraini</w:t>
      </w:r>
      <w:r w:rsidRPr="00511005">
        <w:rPr>
          <w:rFonts w:ascii="Arial" w:eastAsia="Times New Roman" w:hAnsi="Arial" w:cs="Arial"/>
          <w:szCs w:val="28"/>
          <w:lang w:val="uk-UA" w:eastAsia="ru-RU"/>
        </w:rPr>
        <w:t xml:space="preserve"> :</w:t>
      </w:r>
      <w:proofErr w:type="gramEnd"/>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Ukaz</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Prezydenta</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Ukrainy</w:t>
      </w:r>
      <w:r w:rsidRPr="00511005">
        <w:rPr>
          <w:rFonts w:ascii="Arial" w:eastAsia="Times New Roman" w:hAnsi="Arial" w:cs="Arial"/>
          <w:szCs w:val="28"/>
          <w:lang w:val="uk-UA" w:eastAsia="ru-RU"/>
        </w:rPr>
        <w:t xml:space="preserve"> № 64/2022 </w:t>
      </w:r>
      <w:r w:rsidRPr="00511005">
        <w:rPr>
          <w:rFonts w:ascii="Arial" w:eastAsia="Times New Roman" w:hAnsi="Arial" w:cs="Arial"/>
          <w:szCs w:val="28"/>
          <w:lang w:val="en-US" w:eastAsia="ru-RU"/>
        </w:rPr>
        <w:t>vid</w:t>
      </w:r>
      <w:r w:rsidRPr="00511005">
        <w:rPr>
          <w:rFonts w:ascii="Arial" w:eastAsia="Times New Roman" w:hAnsi="Arial" w:cs="Arial"/>
          <w:szCs w:val="28"/>
          <w:lang w:val="uk-UA" w:eastAsia="ru-RU"/>
        </w:rPr>
        <w:t xml:space="preserve"> 24 </w:t>
      </w:r>
      <w:r w:rsidRPr="00511005">
        <w:rPr>
          <w:rFonts w:ascii="Arial" w:eastAsia="Times New Roman" w:hAnsi="Arial" w:cs="Arial"/>
          <w:szCs w:val="28"/>
          <w:lang w:val="en-US" w:eastAsia="ru-RU"/>
        </w:rPr>
        <w:t>liutoho</w:t>
      </w:r>
      <w:r w:rsidRPr="00511005">
        <w:rPr>
          <w:rFonts w:ascii="Arial" w:eastAsia="Times New Roman" w:hAnsi="Arial" w:cs="Arial"/>
          <w:szCs w:val="28"/>
          <w:lang w:val="uk-UA" w:eastAsia="ru-RU"/>
        </w:rPr>
        <w:t xml:space="preserve"> 2022 </w:t>
      </w:r>
      <w:r w:rsidRPr="00511005">
        <w:rPr>
          <w:rFonts w:ascii="Arial" w:eastAsia="Times New Roman" w:hAnsi="Arial" w:cs="Arial"/>
          <w:szCs w:val="28"/>
          <w:lang w:val="en-US" w:eastAsia="ru-RU"/>
        </w:rPr>
        <w:t>roku</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URL: https://zakon.rada.gov. ua/laws/show/64/2022#Text (data zvernennia: 10.04.2025). </w:t>
      </w:r>
    </w:p>
    <w:p w14:paraId="37BD7ECD" w14:textId="77777777" w:rsidR="00B67481" w:rsidRPr="00511005" w:rsidRDefault="00B67481" w:rsidP="003A292D">
      <w:pPr>
        <w:widowControl w:val="0"/>
        <w:autoSpaceDE w:val="0"/>
        <w:autoSpaceDN w:val="0"/>
        <w:adjustRightInd w:val="0"/>
        <w:spacing w:line="264" w:lineRule="auto"/>
        <w:contextualSpacing/>
        <w:rPr>
          <w:rFonts w:ascii="Arial" w:eastAsia="Times New Roman" w:hAnsi="Arial" w:cs="Arial"/>
          <w:szCs w:val="28"/>
          <w:lang w:val="en-US" w:eastAsia="ru-RU"/>
        </w:rPr>
      </w:pPr>
      <w:r w:rsidRPr="00511005">
        <w:rPr>
          <w:rFonts w:ascii="Arial" w:eastAsia="Times New Roman" w:hAnsi="Arial" w:cs="Arial"/>
          <w:szCs w:val="28"/>
          <w:lang w:val="en-US" w:eastAsia="ru-RU"/>
        </w:rPr>
        <w:t>2.</w:t>
      </w:r>
      <w:r w:rsidRPr="00511005">
        <w:rPr>
          <w:rFonts w:ascii="Arial" w:eastAsia="Times New Roman" w:hAnsi="Arial" w:cs="Arial"/>
          <w:szCs w:val="28"/>
          <w:lang w:val="en-US" w:eastAsia="ru-RU"/>
        </w:rPr>
        <w:tab/>
        <w:t>Pro zatverdzhennia Ukazu Prezydenta Ukrainy «Pro vvedennia voiennoho stanu v Ukraini</w:t>
      </w:r>
      <w:proofErr w:type="gramStart"/>
      <w:r w:rsidRPr="00511005">
        <w:rPr>
          <w:rFonts w:ascii="Arial" w:eastAsia="Times New Roman" w:hAnsi="Arial" w:cs="Arial"/>
          <w:szCs w:val="28"/>
          <w:lang w:val="en-US" w:eastAsia="ru-RU"/>
        </w:rPr>
        <w:t>» :</w:t>
      </w:r>
      <w:proofErr w:type="gramEnd"/>
      <w:r w:rsidRPr="00511005">
        <w:rPr>
          <w:rFonts w:ascii="Arial" w:eastAsia="Times New Roman" w:hAnsi="Arial" w:cs="Arial"/>
          <w:szCs w:val="28"/>
          <w:lang w:val="en-US" w:eastAsia="ru-RU"/>
        </w:rPr>
        <w:t xml:space="preserve"> Zakon Ukrainy № 2102-IX vid 24 liutoho 2022 roku. URL: https://zakon.rada.gov.ua/laws/show/2102-20#Text (data zvernennia: 10.04.2025).</w:t>
      </w:r>
    </w:p>
    <w:p w14:paraId="7BB65B88" w14:textId="77777777" w:rsidR="00B67481" w:rsidRPr="00511005" w:rsidRDefault="00B67481" w:rsidP="003A292D">
      <w:pPr>
        <w:widowControl w:val="0"/>
        <w:autoSpaceDE w:val="0"/>
        <w:autoSpaceDN w:val="0"/>
        <w:adjustRightInd w:val="0"/>
        <w:spacing w:line="264" w:lineRule="auto"/>
        <w:contextualSpacing/>
        <w:rPr>
          <w:rFonts w:ascii="Arial" w:eastAsia="Times New Roman" w:hAnsi="Arial" w:cs="Arial"/>
          <w:szCs w:val="28"/>
          <w:lang w:val="en-US" w:eastAsia="ru-RU"/>
        </w:rPr>
      </w:pPr>
      <w:r w:rsidRPr="00511005">
        <w:rPr>
          <w:rFonts w:ascii="Arial" w:eastAsia="Times New Roman" w:hAnsi="Arial" w:cs="Arial"/>
          <w:szCs w:val="28"/>
          <w:lang w:val="en-US" w:eastAsia="ru-RU"/>
        </w:rPr>
        <w:t>3.</w:t>
      </w:r>
      <w:r w:rsidRPr="00511005">
        <w:rPr>
          <w:rFonts w:ascii="Arial" w:eastAsia="Times New Roman" w:hAnsi="Arial" w:cs="Arial"/>
          <w:szCs w:val="28"/>
          <w:lang w:val="en-US" w:eastAsia="ru-RU"/>
        </w:rPr>
        <w:tab/>
        <w:t xml:space="preserve">Pro pravovyi rezhym voiennoho </w:t>
      </w:r>
      <w:proofErr w:type="gramStart"/>
      <w:r w:rsidRPr="00511005">
        <w:rPr>
          <w:rFonts w:ascii="Arial" w:eastAsia="Times New Roman" w:hAnsi="Arial" w:cs="Arial"/>
          <w:szCs w:val="28"/>
          <w:lang w:val="en-US" w:eastAsia="ru-RU"/>
        </w:rPr>
        <w:t>stanu :</w:t>
      </w:r>
      <w:proofErr w:type="gramEnd"/>
      <w:r w:rsidRPr="00511005">
        <w:rPr>
          <w:rFonts w:ascii="Arial" w:eastAsia="Times New Roman" w:hAnsi="Arial" w:cs="Arial"/>
          <w:szCs w:val="28"/>
          <w:lang w:val="en-US" w:eastAsia="ru-RU"/>
        </w:rPr>
        <w:t xml:space="preserve"> Zakon Ukrainy № 389-VIII vid 12 travnia 2015 roku. URL: https://zakon.rada.gov.ua/laws/ show/389-19#Text (data zvernennia: 10.04.2025). </w:t>
      </w:r>
    </w:p>
    <w:p w14:paraId="1DE2612D" w14:textId="77777777" w:rsidR="00B67481" w:rsidRPr="00511005" w:rsidRDefault="00B67481" w:rsidP="003A292D">
      <w:pPr>
        <w:widowControl w:val="0"/>
        <w:autoSpaceDE w:val="0"/>
        <w:autoSpaceDN w:val="0"/>
        <w:adjustRightInd w:val="0"/>
        <w:spacing w:line="264" w:lineRule="auto"/>
        <w:contextualSpacing/>
        <w:rPr>
          <w:rFonts w:ascii="Arial" w:eastAsia="Times New Roman" w:hAnsi="Arial" w:cs="Arial"/>
          <w:szCs w:val="28"/>
          <w:lang w:val="pl-PL" w:eastAsia="ru-RU"/>
        </w:rPr>
      </w:pPr>
      <w:r w:rsidRPr="00511005">
        <w:rPr>
          <w:rFonts w:ascii="Arial" w:eastAsia="Times New Roman" w:hAnsi="Arial" w:cs="Arial"/>
          <w:szCs w:val="28"/>
          <w:lang w:val="en-US" w:eastAsia="ru-RU"/>
        </w:rPr>
        <w:t>4.</w:t>
      </w:r>
      <w:r w:rsidRPr="00511005">
        <w:rPr>
          <w:rFonts w:ascii="Arial" w:eastAsia="Times New Roman" w:hAnsi="Arial" w:cs="Arial"/>
          <w:szCs w:val="28"/>
          <w:lang w:val="en-US" w:eastAsia="ru-RU"/>
        </w:rPr>
        <w:tab/>
        <w:t xml:space="preserve">Pytannia zaprovadzhennia ta zdiisnennia deiakykh zakhodiv pravovoho rezhymu voiennoho </w:t>
      </w:r>
      <w:proofErr w:type="gramStart"/>
      <w:r w:rsidRPr="00511005">
        <w:rPr>
          <w:rFonts w:ascii="Arial" w:eastAsia="Times New Roman" w:hAnsi="Arial" w:cs="Arial"/>
          <w:szCs w:val="28"/>
          <w:lang w:val="en-US" w:eastAsia="ru-RU"/>
        </w:rPr>
        <w:t>stanu :</w:t>
      </w:r>
      <w:proofErr w:type="gramEnd"/>
      <w:r w:rsidRPr="00511005">
        <w:rPr>
          <w:rFonts w:ascii="Arial" w:eastAsia="Times New Roman" w:hAnsi="Arial" w:cs="Arial"/>
          <w:szCs w:val="28"/>
          <w:lang w:val="en-US" w:eastAsia="ru-RU"/>
        </w:rPr>
        <w:t xml:space="preserve"> Postanova Kabinetu Ministriv Ukrainy № 573 vid 8 lypnia 2020 roku. </w:t>
      </w:r>
      <w:r w:rsidRPr="00511005">
        <w:rPr>
          <w:rFonts w:ascii="Arial" w:eastAsia="Times New Roman" w:hAnsi="Arial" w:cs="Arial"/>
          <w:szCs w:val="28"/>
          <w:lang w:val="pl-PL" w:eastAsia="ru-RU"/>
        </w:rPr>
        <w:t xml:space="preserve">URL: https://zakon.rada.gov.ua/laws/show/573-2020-%D0%BF#Text </w:t>
      </w:r>
    </w:p>
    <w:p w14:paraId="10B6BD10" w14:textId="77777777" w:rsidR="00B67481" w:rsidRPr="00511005" w:rsidRDefault="00B67481" w:rsidP="003A292D">
      <w:pPr>
        <w:widowControl w:val="0"/>
        <w:autoSpaceDE w:val="0"/>
        <w:autoSpaceDN w:val="0"/>
        <w:adjustRightInd w:val="0"/>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pl-PL" w:eastAsia="ru-RU"/>
        </w:rPr>
        <w:t>5.</w:t>
      </w:r>
      <w:r w:rsidRPr="00511005">
        <w:rPr>
          <w:rFonts w:ascii="Arial" w:eastAsia="Times New Roman" w:hAnsi="Arial" w:cs="Arial"/>
          <w:szCs w:val="28"/>
          <w:lang w:val="pl-PL" w:eastAsia="ru-RU"/>
        </w:rPr>
        <w:tab/>
        <w:t xml:space="preserve">Kodeks Ukrainy pro administratyvni pravoporushennia. </w:t>
      </w:r>
      <w:r w:rsidRPr="00511005">
        <w:rPr>
          <w:rFonts w:ascii="Arial" w:eastAsia="Times New Roman" w:hAnsi="Arial" w:cs="Arial"/>
          <w:szCs w:val="28"/>
          <w:lang w:val="en-US" w:eastAsia="ru-RU"/>
        </w:rPr>
        <w:t xml:space="preserve">URL: https://zakon.rada.gov.ua/laws/show/80731-10#Text (data zvernennia: 24.10.2022). (data zvernennia: 24.10.2022). </w:t>
      </w:r>
    </w:p>
    <w:p w14:paraId="4D7FCDC0" w14:textId="77777777" w:rsidR="00B67481" w:rsidRPr="00511005" w:rsidRDefault="00B67481" w:rsidP="003A292D">
      <w:pPr>
        <w:widowControl w:val="0"/>
        <w:autoSpaceDE w:val="0"/>
        <w:autoSpaceDN w:val="0"/>
        <w:adjustRightInd w:val="0"/>
        <w:spacing w:line="264" w:lineRule="auto"/>
        <w:contextualSpacing/>
        <w:rPr>
          <w:rFonts w:ascii="Arial" w:eastAsia="Times New Roman" w:hAnsi="Arial" w:cs="Arial"/>
          <w:szCs w:val="28"/>
          <w:lang w:val="en-US" w:eastAsia="ru-RU"/>
        </w:rPr>
      </w:pPr>
      <w:r w:rsidRPr="00511005">
        <w:rPr>
          <w:rFonts w:ascii="Arial" w:eastAsia="Times New Roman" w:hAnsi="Arial" w:cs="Arial"/>
          <w:szCs w:val="28"/>
          <w:lang w:val="en-US" w:eastAsia="ru-RU"/>
        </w:rPr>
        <w:t>6.</w:t>
      </w:r>
      <w:r w:rsidRPr="00511005">
        <w:rPr>
          <w:rFonts w:ascii="Arial" w:eastAsia="Times New Roman" w:hAnsi="Arial" w:cs="Arial"/>
          <w:szCs w:val="28"/>
          <w:lang w:val="en-US" w:eastAsia="ru-RU"/>
        </w:rPr>
        <w:tab/>
        <w:t xml:space="preserve">Sprava № 289/518/22 vid 30.03.2022, rozghlianuta suddeiu Radomyshlskoho raionnoho sudu Zhytomyrskoi oblasti. URL: https://reyestr.court.gov.ua/Review/103795269. </w:t>
      </w:r>
    </w:p>
    <w:p w14:paraId="3B052EC5" w14:textId="77777777" w:rsidR="00B67481" w:rsidRPr="00511005" w:rsidRDefault="00B67481" w:rsidP="003A292D">
      <w:pPr>
        <w:widowControl w:val="0"/>
        <w:autoSpaceDE w:val="0"/>
        <w:autoSpaceDN w:val="0"/>
        <w:adjustRightInd w:val="0"/>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en-US" w:eastAsia="ru-RU"/>
        </w:rPr>
        <w:t>7.</w:t>
      </w:r>
      <w:r w:rsidRPr="00511005">
        <w:rPr>
          <w:rFonts w:ascii="Arial" w:eastAsia="Times New Roman" w:hAnsi="Arial" w:cs="Arial"/>
          <w:szCs w:val="28"/>
          <w:lang w:val="en-US" w:eastAsia="ru-RU"/>
        </w:rPr>
        <w:tab/>
        <w:t>Sprava № 170/259/22 vid 20.07.2022, rozghlianuta suddeiu Shatskoho raionnoho sudu Volynskoi oblasti. URL: https://reyestr.court. gov.ua/Review/105347792</w:t>
      </w:r>
    </w:p>
    <w:p w14:paraId="50E0043F" w14:textId="77777777" w:rsidR="00B67481" w:rsidRPr="00511005" w:rsidRDefault="00B67481" w:rsidP="003A292D">
      <w:pPr>
        <w:shd w:val="clear" w:color="auto" w:fill="FFFFFF"/>
        <w:spacing w:line="264" w:lineRule="auto"/>
        <w:jc w:val="left"/>
        <w:rPr>
          <w:rFonts w:ascii="Arial" w:eastAsia="Calibri" w:hAnsi="Arial" w:cs="Arial"/>
          <w:b/>
          <w:szCs w:val="28"/>
          <w:lang w:val="uk-UA"/>
        </w:rPr>
      </w:pPr>
    </w:p>
    <w:p w14:paraId="3D0FC612" w14:textId="61DAD66B" w:rsidR="00B67481" w:rsidRPr="00511005" w:rsidRDefault="007B2628" w:rsidP="003A292D">
      <w:pPr>
        <w:shd w:val="clear" w:color="auto" w:fill="FFFFFF"/>
        <w:spacing w:line="264" w:lineRule="auto"/>
        <w:jc w:val="left"/>
        <w:rPr>
          <w:rFonts w:ascii="Arial" w:eastAsia="Calibri" w:hAnsi="Arial" w:cs="Arial"/>
          <w:szCs w:val="28"/>
          <w:lang w:val="en-US"/>
        </w:rPr>
      </w:pPr>
      <w:r w:rsidRPr="00511005">
        <w:rPr>
          <w:rFonts w:ascii="Arial" w:eastAsia="Calibri" w:hAnsi="Arial" w:cs="Arial"/>
          <w:b/>
          <w:i/>
          <w:szCs w:val="28"/>
        </w:rPr>
        <w:t>Ключові</w:t>
      </w:r>
      <w:r w:rsidRPr="00055389">
        <w:rPr>
          <w:rFonts w:ascii="Arial" w:eastAsia="Calibri" w:hAnsi="Arial" w:cs="Arial"/>
          <w:b/>
          <w:i/>
          <w:szCs w:val="28"/>
          <w:lang w:val="en-US"/>
        </w:rPr>
        <w:t xml:space="preserve"> </w:t>
      </w:r>
      <w:r w:rsidRPr="00511005">
        <w:rPr>
          <w:rFonts w:ascii="Arial" w:eastAsia="Calibri" w:hAnsi="Arial" w:cs="Arial"/>
          <w:b/>
          <w:i/>
          <w:szCs w:val="28"/>
        </w:rPr>
        <w:t>слова</w:t>
      </w:r>
      <w:r w:rsidRPr="00055389">
        <w:rPr>
          <w:rFonts w:ascii="Arial" w:eastAsia="Calibri" w:hAnsi="Arial" w:cs="Arial"/>
          <w:b/>
          <w:i/>
          <w:szCs w:val="28"/>
          <w:lang w:val="en-US"/>
        </w:rPr>
        <w:t xml:space="preserve">: </w:t>
      </w:r>
      <w:r w:rsidR="00B67481" w:rsidRPr="00511005">
        <w:rPr>
          <w:rFonts w:ascii="Arial" w:eastAsia="Calibri" w:hAnsi="Arial" w:cs="Arial"/>
          <w:szCs w:val="28"/>
          <w:lang w:val="uk-UA"/>
        </w:rPr>
        <w:t>адміністративна відповідальність, комендантська година, воєнний стан, комендант, громадська безпека та порядок.</w:t>
      </w:r>
      <w:r w:rsidR="00B67481" w:rsidRPr="00511005">
        <w:rPr>
          <w:rFonts w:ascii="Arial" w:eastAsia="Calibri" w:hAnsi="Arial" w:cs="Arial"/>
          <w:szCs w:val="28"/>
          <w:lang w:val="en-US"/>
        </w:rPr>
        <w:t> </w:t>
      </w:r>
    </w:p>
    <w:p w14:paraId="212E6A92" w14:textId="4FA89944" w:rsidR="00B67481" w:rsidRPr="00511005" w:rsidRDefault="007B2628" w:rsidP="003A292D">
      <w:pPr>
        <w:shd w:val="clear" w:color="auto" w:fill="FFFFFF"/>
        <w:spacing w:line="264" w:lineRule="auto"/>
        <w:jc w:val="left"/>
        <w:rPr>
          <w:rFonts w:ascii="Arial" w:eastAsia="Calibri" w:hAnsi="Arial" w:cs="Arial"/>
          <w:szCs w:val="28"/>
          <w:lang w:val="uk-UA"/>
        </w:rPr>
      </w:pPr>
      <w:r w:rsidRPr="00511005">
        <w:rPr>
          <w:rFonts w:ascii="Arial" w:eastAsia="Calibri" w:hAnsi="Arial" w:cs="Arial"/>
          <w:b/>
          <w:i/>
          <w:szCs w:val="28"/>
        </w:rPr>
        <w:t>Ключові</w:t>
      </w:r>
      <w:r w:rsidRPr="00055389">
        <w:rPr>
          <w:rFonts w:ascii="Arial" w:eastAsia="Calibri" w:hAnsi="Arial" w:cs="Arial"/>
          <w:b/>
          <w:i/>
          <w:szCs w:val="28"/>
          <w:lang w:val="en-US"/>
        </w:rPr>
        <w:t xml:space="preserve"> </w:t>
      </w:r>
      <w:r w:rsidRPr="00511005">
        <w:rPr>
          <w:rFonts w:ascii="Arial" w:eastAsia="Calibri" w:hAnsi="Arial" w:cs="Arial"/>
          <w:b/>
          <w:i/>
          <w:szCs w:val="28"/>
        </w:rPr>
        <w:t>слова</w:t>
      </w:r>
      <w:r w:rsidRPr="00055389">
        <w:rPr>
          <w:rFonts w:ascii="Arial" w:eastAsia="Calibri" w:hAnsi="Arial" w:cs="Arial"/>
          <w:b/>
          <w:i/>
          <w:szCs w:val="28"/>
          <w:lang w:val="en-US"/>
        </w:rPr>
        <w:t xml:space="preserve">: </w:t>
      </w:r>
      <w:r w:rsidR="00B67481" w:rsidRPr="00511005">
        <w:rPr>
          <w:rFonts w:ascii="Arial" w:eastAsia="Calibri" w:hAnsi="Arial" w:cs="Arial"/>
          <w:szCs w:val="28"/>
          <w:lang w:val="en-US"/>
        </w:rPr>
        <w:t>administrative responsibility, curfew, martial law, commandant, public safety and order.</w:t>
      </w:r>
    </w:p>
    <w:p w14:paraId="0CBB2834" w14:textId="4C1E37FE" w:rsidR="00B67481" w:rsidRPr="00511005" w:rsidRDefault="007B2628" w:rsidP="003A292D">
      <w:pPr>
        <w:widowControl w:val="0"/>
        <w:autoSpaceDE w:val="0"/>
        <w:autoSpaceDN w:val="0"/>
        <w:adjustRightInd w:val="0"/>
        <w:spacing w:line="264" w:lineRule="auto"/>
        <w:contextualSpacing/>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B67481" w:rsidRPr="00511005">
        <w:rPr>
          <w:rFonts w:ascii="Arial" w:eastAsia="Times New Roman" w:hAnsi="Arial" w:cs="Arial"/>
          <w:i/>
          <w:iCs/>
          <w:szCs w:val="28"/>
          <w:lang w:val="uk-UA" w:eastAsia="ru-RU"/>
        </w:rPr>
        <w:t xml:space="preserve">к.ю.н., доцент Панфілов О.Є. </w:t>
      </w:r>
    </w:p>
    <w:p w14:paraId="632F258C" w14:textId="77777777" w:rsidR="001D1A08" w:rsidRPr="00511005" w:rsidRDefault="001D1A08" w:rsidP="003A292D">
      <w:pPr>
        <w:spacing w:line="264" w:lineRule="auto"/>
        <w:ind w:firstLine="0"/>
        <w:jc w:val="left"/>
        <w:rPr>
          <w:rFonts w:ascii="Arial" w:eastAsia="Calibri" w:hAnsi="Arial" w:cs="Arial"/>
          <w:b/>
          <w:szCs w:val="28"/>
          <w:lang w:val="uk-UA"/>
        </w:rPr>
      </w:pPr>
    </w:p>
    <w:p w14:paraId="47A2FA27" w14:textId="77777777" w:rsidR="001D1A08" w:rsidRPr="00511005" w:rsidRDefault="001D1A08" w:rsidP="003A292D">
      <w:pPr>
        <w:spacing w:line="264" w:lineRule="auto"/>
        <w:ind w:firstLine="0"/>
        <w:jc w:val="left"/>
        <w:rPr>
          <w:rFonts w:ascii="Arial" w:eastAsia="Calibri" w:hAnsi="Arial" w:cs="Arial"/>
          <w:b/>
          <w:szCs w:val="28"/>
          <w:lang w:val="uk-UA"/>
        </w:rPr>
      </w:pPr>
    </w:p>
    <w:p w14:paraId="0301F91C" w14:textId="52638821" w:rsidR="00B67481" w:rsidRPr="00511005" w:rsidRDefault="00B67481" w:rsidP="003A292D">
      <w:pPr>
        <w:spacing w:line="264" w:lineRule="auto"/>
        <w:ind w:firstLine="0"/>
        <w:jc w:val="left"/>
        <w:rPr>
          <w:rFonts w:ascii="Arial" w:eastAsia="Calibri" w:hAnsi="Arial" w:cs="Arial"/>
          <w:b/>
          <w:szCs w:val="28"/>
          <w:lang w:val="uk-UA"/>
        </w:rPr>
      </w:pPr>
    </w:p>
    <w:p w14:paraId="7DBE4CB5" w14:textId="77777777" w:rsidR="00B67481" w:rsidRPr="00511005" w:rsidRDefault="00B67481" w:rsidP="003A292D">
      <w:pPr>
        <w:spacing w:line="264" w:lineRule="auto"/>
        <w:ind w:firstLine="0"/>
        <w:jc w:val="center"/>
        <w:rPr>
          <w:rFonts w:ascii="Arial" w:eastAsia="Calibri" w:hAnsi="Arial" w:cs="Arial"/>
          <w:b/>
          <w:bCs/>
          <w:i/>
          <w:szCs w:val="28"/>
          <w:lang w:val="uk-UA"/>
        </w:rPr>
      </w:pPr>
      <w:r w:rsidRPr="00511005">
        <w:rPr>
          <w:rFonts w:ascii="Arial" w:eastAsia="Calibri" w:hAnsi="Arial" w:cs="Arial"/>
          <w:b/>
          <w:bCs/>
          <w:i/>
          <w:szCs w:val="28"/>
          <w:lang w:val="uk-UA"/>
        </w:rPr>
        <w:t>Лєшан Антоніна Геннадіївна</w:t>
      </w:r>
    </w:p>
    <w:p w14:paraId="0891BC0A" w14:textId="78205120" w:rsidR="00B67481"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lastRenderedPageBreak/>
        <w:t xml:space="preserve">студентка 4-го курсу </w:t>
      </w:r>
      <w:r w:rsidR="001B7B25" w:rsidRPr="00511005">
        <w:rPr>
          <w:rFonts w:ascii="Arial" w:eastAsia="Calibri" w:hAnsi="Arial" w:cs="Arial"/>
          <w:szCs w:val="28"/>
          <w:lang w:val="uk-UA"/>
        </w:rPr>
        <w:t>факультету судового та міжнародного права</w:t>
      </w:r>
    </w:p>
    <w:p w14:paraId="59E76EA0" w14:textId="505D70E7" w:rsidR="00B67481"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1E8BC34C" w14:textId="77777777" w:rsidR="00B67481" w:rsidRPr="00511005" w:rsidRDefault="00B67481" w:rsidP="003A292D">
      <w:pPr>
        <w:spacing w:line="264" w:lineRule="auto"/>
        <w:ind w:firstLine="0"/>
        <w:jc w:val="left"/>
        <w:rPr>
          <w:rFonts w:ascii="Arial" w:eastAsia="Calibri" w:hAnsi="Arial" w:cs="Arial"/>
          <w:b/>
          <w:bCs/>
          <w:szCs w:val="28"/>
          <w:lang w:val="uk-UA"/>
        </w:rPr>
      </w:pPr>
    </w:p>
    <w:p w14:paraId="72D005E9" w14:textId="77777777" w:rsidR="00B67481" w:rsidRPr="00511005" w:rsidRDefault="00B67481"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СИСТЕМА ОСВІТИ ФІНЛЯНДІЇ: РОЛЬ ДЕРЖАВИ ТА МІСЦЕВОГО САМОВРЯДУВАННЯ</w:t>
      </w:r>
    </w:p>
    <w:p w14:paraId="317FAA8A"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Фінляндія стала визнаним світовим лідером у сфері освіти завдяки унікальній системі, яка базується на принципах рівності, автономії та високій якості. Особливістю освітньої моделі цієї північноєвропейської країни є її ефективна та збалансована система управління освітою, де відповідальність розподілена між національним урядом та місцевими органами самоврядування. Фінська система освіти часто стає об'єктом вивчення міжнародними експертами, які прагнуть зрозуміти секрети її успіху та можливості адаптації позитивного досвіду в інших країнах [1]. </w:t>
      </w:r>
    </w:p>
    <w:p w14:paraId="09BE4362"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Феномен фінської освіти полягає у гармонійному поєднанні централізованого стратегічного планування із децентралізованою реалізацією освітньої політики на місцевому рівні, що забезпечує гнучкість та ефективність системи. Цей підхід дозволяє фінським школам досягати високих показників у міжнародних освітніх рейтингах, таких як PISA, незважаючи на те, що фінські учні проводять менше часу в класі, ніж їхні однолітки в багатьох інших країнах світу [2].</w:t>
      </w:r>
    </w:p>
    <w:p w14:paraId="632BB282"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На національному рівні ключова роль у формуванні освітньої політики належить Міністерству освіти і культури Фінляндії, яке визначає загальні стратегічні напрямки розвитку освіти, встановлює рамкові стандарти та забезпечує відповідне фінансування. Міністерство розробляє законодавство у сфері освіти та національні навчальні програми, які окреслюють обов'язкові освітні цілі та критерії оцінювання. Варто зазначити, що національні навчальні програми у Фінляндії мають рамковий характер і визначають лише загальні освітні завдання та компетенції, які мають бути розвинуті в учнів, залишаючи значну свободу для місцевих органів влади та шкіл у виборі змісту, методів та підходів до навчання [5].</w:t>
      </w:r>
    </w:p>
    <w:p w14:paraId="1E6C1000"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Національна освітня рада, яка функціонує під егідою міністерства, відповідає за розробку детальних освітніх стандартів та куррикулумів, а також координує їх впровадження на всіх рівнях освіти. Ця інституція також проводить дослідження та оцінку якості освіти, надає рекомендації щодо удосконалення освітньої політики, базуючись на даних та аналітиці [6]. Державне фінансування освіти у Фінляндії здійснюється за принципом «гроші йдуть за учнем», коли кошти розподіляються залежно від кількості учнів, а не за показниками успішності навчальних закладів. Це забезпечує справедливий розподіл ресурсів та запобігає виникненню конкуренції між школами за «кращих» учнів [7]. Фінляндія виділяє значну частку свого ВВП на освіту – приблизно 5,7%, що перевищує середній показник по країнах </w:t>
      </w:r>
      <w:r w:rsidRPr="00511005">
        <w:rPr>
          <w:rFonts w:ascii="Arial" w:eastAsia="Calibri" w:hAnsi="Arial" w:cs="Arial"/>
          <w:szCs w:val="28"/>
          <w:lang w:val="uk-UA"/>
        </w:rPr>
        <w:lastRenderedPageBreak/>
        <w:t>ОЕСР. Це свідчить про пріоритетність освіти в державній політиці та розуміння її значущості для соціально-економічного розвитку країни [8].</w:t>
      </w:r>
    </w:p>
    <w:p w14:paraId="32AEA39F"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Варто зазначити, що національна освітня політика Фінляндії базується на принципі довіри до професіоналізму вчителів та керівників шкіл. Фінські педагоги мають високий соціальний статус та автономію у прийнятті рішень щодо викладання та оцінювання. Вчителі у Фінляндії повинні мати магістерський ступінь у своїй галузі, а професія вчителя є однією з найбільш престижних та конкурентних у країні. Це пояснює високий рівень компетентності фінських педагогів та їхню здатність ефективно працювати в умовах значної автономії [10]. Формування та підтримка високого професійного рівня педагогічних кадрів є одним із найважливіших завдань національної освітньої політики Фінляндії. Державне фінансування професійного розвитку вчителів забезпечує постійне підвищення їхньої кваліфікації та ознайомлення з інноваційними методами навчання [11].</w:t>
      </w:r>
    </w:p>
    <w:p w14:paraId="70C7D982"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У Фінляндії муніципалітети мають значну автономію в організації освіти, відповідаючи за дошкільну та базову освіту, шкільну мережу, матеріально-технічне забезпечення та кадрове забезпечення закладів. </w:t>
      </w:r>
      <w:r w:rsidRPr="00511005">
        <w:rPr>
          <w:rFonts w:ascii="Arial" w:eastAsia="Calibri" w:hAnsi="Arial" w:cs="Arial"/>
          <w:szCs w:val="28"/>
        </w:rPr>
        <w:t>Вони можуть розробляти власні навчальні програми на основі національних стандартів, враховуючи місцеві потреби. Такий підхід забезпечує гнучкість та адаптацію освітньої системи до умов регіонів</w:t>
      </w:r>
      <w:r w:rsidRPr="00511005">
        <w:rPr>
          <w:rFonts w:ascii="Arial" w:eastAsia="Calibri" w:hAnsi="Arial" w:cs="Arial"/>
          <w:szCs w:val="28"/>
          <w:lang w:val="uk-UA"/>
        </w:rPr>
        <w:t>.</w:t>
      </w:r>
    </w:p>
    <w:p w14:paraId="3DF04CC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lang w:val="uk-UA"/>
        </w:rPr>
        <w:t xml:space="preserve">Оцінка якості освіти у Фінляндії ґрунтується на довірі та формативному оцінюванні замість стандартизованих тестів і рейтингів. Міністерство освіти та Національна освітня рада здійснюють вибіркові оцінювання для аналізу загальних тенденцій, а не для порівняння шкіл чи вчителів. </w:t>
      </w:r>
      <w:r w:rsidRPr="00511005">
        <w:rPr>
          <w:rFonts w:ascii="Arial" w:eastAsia="Calibri" w:hAnsi="Arial" w:cs="Arial"/>
          <w:szCs w:val="28"/>
        </w:rPr>
        <w:t xml:space="preserve">Це дає змогу школам зосередитися на підтримці навчання кожного учня. Важливою складовою є система підтримки, яку забезпечують мультидисциплінарні команди </w:t>
      </w:r>
      <w:proofErr w:type="gramStart"/>
      <w:r w:rsidRPr="00511005">
        <w:rPr>
          <w:rFonts w:ascii="Arial" w:eastAsia="Calibri" w:hAnsi="Arial" w:cs="Arial"/>
          <w:szCs w:val="28"/>
        </w:rPr>
        <w:t>у</w:t>
      </w:r>
      <w:r w:rsidRPr="00511005">
        <w:rPr>
          <w:rFonts w:ascii="Arial" w:eastAsia="Calibri" w:hAnsi="Arial" w:cs="Arial"/>
          <w:szCs w:val="28"/>
          <w:lang w:val="uk-UA"/>
        </w:rPr>
        <w:t xml:space="preserve"> </w:t>
      </w:r>
      <w:r w:rsidRPr="00511005">
        <w:rPr>
          <w:rFonts w:ascii="Arial" w:eastAsia="Calibri" w:hAnsi="Arial" w:cs="Arial"/>
          <w:szCs w:val="28"/>
        </w:rPr>
        <w:t>школах</w:t>
      </w:r>
      <w:proofErr w:type="gramEnd"/>
      <w:r w:rsidRPr="00511005">
        <w:rPr>
          <w:rFonts w:ascii="Arial" w:eastAsia="Calibri" w:hAnsi="Arial" w:cs="Arial"/>
          <w:szCs w:val="28"/>
        </w:rPr>
        <w:t>. Вони надають допомогу учням з особливими потребами, у складних життєвих обставинах або з труднощами в навчанні, сприяючи індивідуальному підходу та профілактиці неуспішності.</w:t>
      </w:r>
    </w:p>
    <w:p w14:paraId="46BD841F"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Важливим аспектом фінської освітньої системи є відсутність різкої структурної різниці між загальною та професійною освітою. Після закінчення базової школи учні можуть обрати загальноосвітній або професійний напрямок, але обидва шляхи забезпечують доступ до вищої освіти [5]. Це дозволяє уникнути стигматизації професійної освіти та забезпечити гнучкі освітні траєкторії для молоді. Особливістю фінської освітньої системи є також інтеграція технологій у навчальний процес. Фінляндія була однією з перших країн, яка запровадила національну стратегію впровадження інформаційно-комунікаційних технологій в освіту. Муніципалітети відповідають за забезпечення шкіл необхідним технічним обладнанням та підключенням до інтернету, а також за організацію навчання вчителів щодо використання цифрових інструментів у педагогічній практиці [8]. </w:t>
      </w:r>
    </w:p>
    <w:p w14:paraId="6F826456"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Одним із важливих аспектів фінської освітньої системи є також її інклюзивність та спрямованість на забезпечення рівних можливостей для всіх учнів. У Фінляндії діє принцип «одна школа для всіх», який передбачає, що діти з різними здібностями та потребами навчаються разом у звичайних класах [9]. Для підтримки дітей з особливими потребами в школах працюють спеціальні педагоги, які надають додаткову допомогу в рамках загальноосвітнього процесу. Муніципалітети відповідають за організацію та фінансування інклюзивної освіти, а держава надає методичну підтримку та додаткові ресурси для забезпечення її якості. Ще однією характерною рисою фінської освітньої системи є її гнучкість та адаптивність. Муніципалітети та школи мають можливість експериментувати з новими освітніми підходами та методами, що сприяє інноваціям та постійному вдосконаленню системи [10]. Національна освітня рада підтримує та поширює успішні інноваційні практики, але не навʼязує їх всім школам. Це дозволяє системі еволюціонувати природним шляхом, враховуючи реальні потреби та виклики. Система управління освітою у Фінляндії є прикладом ефективного балансу між централізацією та децентралізацією. Центральний уряд визначає загальні напрямки освітньої політики, забезпечує базове фінансування та встановлює рамкові стандарти, в той час як муніципалітети мають широку автономію у практичній реалізації цієї політики. Такий розподіл відповідальності дозволяє поєднувати стратегічне бачення на національному рівні з гнучкістю та адаптивністю на місцевому рівні [11].</w:t>
      </w:r>
    </w:p>
    <w:p w14:paraId="78503797"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Отже, система освіти Фінляндії є прикладом ефективного розподілу відповідальності між державою та місцевим самоврядуванням. Центральний уряд визначає загальні напрямки освітньої політики, забезпечує базове фінансування та встановлює рамкові стандарти, в той час як муніципалітети мають широку автономію у практичній реалізації цієї політики. Ця модель забезпечує як стратегічне бачення на національному рівні, так і гнучкість та адаптивність на місцевому рівні. Ключовими факторами успіху фінської освітньої системи є високий професіоналізм вчителів, акцент на рівних можливостях для всіх учнів, відсутність стандартизованих тестів та рейтингів, а також тісна співпраця між школою, сімʼєю та місцевою громадою.</w:t>
      </w:r>
    </w:p>
    <w:p w14:paraId="3871A1E7" w14:textId="77777777" w:rsidR="00B67481" w:rsidRPr="00511005" w:rsidRDefault="00B67481" w:rsidP="003A292D">
      <w:pPr>
        <w:spacing w:line="264" w:lineRule="auto"/>
        <w:rPr>
          <w:rFonts w:ascii="Arial" w:eastAsia="Calibri" w:hAnsi="Arial" w:cs="Arial"/>
          <w:szCs w:val="28"/>
          <w:lang w:val="uk-UA"/>
        </w:rPr>
      </w:pPr>
    </w:p>
    <w:p w14:paraId="7A5CF31B" w14:textId="2276C6D7" w:rsidR="00B67481" w:rsidRPr="00511005" w:rsidRDefault="007B2628" w:rsidP="007B2628">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AE74AFE" w14:textId="77777777" w:rsidR="00B67481" w:rsidRPr="00511005" w:rsidRDefault="00B67481" w:rsidP="003F6A5D">
      <w:pPr>
        <w:numPr>
          <w:ilvl w:val="0"/>
          <w:numId w:val="25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Антикайнен А., Рінне Р. Система освіти Фінляндії: успіхи та виклики. Гельсінкі : Видавництво Фінляндії. 2016. 312 с.</w:t>
      </w:r>
    </w:p>
    <w:p w14:paraId="7634D999" w14:textId="77777777" w:rsidR="00B67481" w:rsidRPr="00511005" w:rsidRDefault="00B67481" w:rsidP="003F6A5D">
      <w:pPr>
        <w:numPr>
          <w:ilvl w:val="0"/>
          <w:numId w:val="25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Бахмутова Л. Модель освіти Фінляндії: структура, принципи, досягнення. </w:t>
      </w:r>
      <w:r w:rsidRPr="00511005">
        <w:rPr>
          <w:rFonts w:ascii="Arial" w:eastAsia="Times New Roman" w:hAnsi="Arial" w:cs="Arial"/>
          <w:i/>
          <w:iCs/>
          <w:szCs w:val="28"/>
          <w:lang w:val="uk-UA" w:eastAsia="ru-RU"/>
        </w:rPr>
        <w:t>Порівняльна педагогіка</w:t>
      </w:r>
      <w:r w:rsidRPr="00511005">
        <w:rPr>
          <w:rFonts w:ascii="Arial" w:eastAsia="Times New Roman" w:hAnsi="Arial" w:cs="Arial"/>
          <w:szCs w:val="28"/>
          <w:lang w:val="uk-UA" w:eastAsia="ru-RU"/>
        </w:rPr>
        <w:t>. 2019. № 3. С. 45-58.</w:t>
      </w:r>
    </w:p>
    <w:p w14:paraId="648CAEED" w14:textId="77777777" w:rsidR="00B67481" w:rsidRPr="00511005" w:rsidRDefault="00B67481" w:rsidP="003F6A5D">
      <w:pPr>
        <w:numPr>
          <w:ilvl w:val="0"/>
          <w:numId w:val="25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Василенко В. Історичні трансформації системи освіти Фінляндії у ХХ столітті. </w:t>
      </w:r>
      <w:r w:rsidRPr="00511005">
        <w:rPr>
          <w:rFonts w:ascii="Arial" w:eastAsia="Times New Roman" w:hAnsi="Arial" w:cs="Arial"/>
          <w:i/>
          <w:iCs/>
          <w:szCs w:val="28"/>
          <w:lang w:val="uk-UA" w:eastAsia="ru-RU"/>
        </w:rPr>
        <w:t>Педагогічний вісник</w:t>
      </w:r>
      <w:r w:rsidRPr="00511005">
        <w:rPr>
          <w:rFonts w:ascii="Arial" w:eastAsia="Times New Roman" w:hAnsi="Arial" w:cs="Arial"/>
          <w:szCs w:val="28"/>
          <w:lang w:val="uk-UA" w:eastAsia="ru-RU"/>
        </w:rPr>
        <w:t>. 2018. № 2. С. 112-120.</w:t>
      </w:r>
    </w:p>
    <w:p w14:paraId="041FAD1E" w14:textId="77777777" w:rsidR="00B67481" w:rsidRPr="00511005" w:rsidRDefault="00B67481" w:rsidP="003F6A5D">
      <w:pPr>
        <w:numPr>
          <w:ilvl w:val="0"/>
          <w:numId w:val="25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Гаврилюк О. Сучасні тенденції розвитку фінської освіти: адаптація до глобальних викликів. </w:t>
      </w:r>
      <w:r w:rsidRPr="00511005">
        <w:rPr>
          <w:rFonts w:ascii="Arial" w:eastAsia="Times New Roman" w:hAnsi="Arial" w:cs="Arial"/>
          <w:i/>
          <w:iCs/>
          <w:szCs w:val="28"/>
          <w:lang w:val="uk-UA" w:eastAsia="ru-RU"/>
        </w:rPr>
        <w:t>Міжнародний науковий журнал</w:t>
      </w:r>
      <w:r w:rsidRPr="00511005">
        <w:rPr>
          <w:rFonts w:ascii="Arial" w:eastAsia="Times New Roman" w:hAnsi="Arial" w:cs="Arial"/>
          <w:szCs w:val="28"/>
          <w:lang w:val="uk-UA" w:eastAsia="ru-RU"/>
        </w:rPr>
        <w:t>. 2020. № 5. С. 89-97.</w:t>
      </w:r>
    </w:p>
    <w:p w14:paraId="4E410468" w14:textId="77777777" w:rsidR="00B67481" w:rsidRPr="00511005" w:rsidRDefault="00B67481" w:rsidP="003F6A5D">
      <w:pPr>
        <w:numPr>
          <w:ilvl w:val="0"/>
          <w:numId w:val="25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Демʼяненко Г. Управління освітою у Фінляндії: взаємодія національного та місцевого рівнів. Педагогічні науки. 2017. № 4. С. 67-75.</w:t>
      </w:r>
    </w:p>
    <w:p w14:paraId="2F52DF93" w14:textId="77777777" w:rsidR="00B67481" w:rsidRPr="00511005" w:rsidRDefault="00B67481" w:rsidP="003F6A5D">
      <w:pPr>
        <w:numPr>
          <w:ilvl w:val="0"/>
          <w:numId w:val="25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Єфімов О. Національна освітня рада Фінляндії: функції та значення у формуванні освітньої політики. </w:t>
      </w:r>
      <w:r w:rsidRPr="00511005">
        <w:rPr>
          <w:rFonts w:ascii="Arial" w:eastAsia="Times New Roman" w:hAnsi="Arial" w:cs="Arial"/>
          <w:i/>
          <w:iCs/>
          <w:szCs w:val="28"/>
          <w:lang w:val="uk-UA" w:eastAsia="ru-RU"/>
        </w:rPr>
        <w:t>Управління освітою</w:t>
      </w:r>
      <w:r w:rsidRPr="00511005">
        <w:rPr>
          <w:rFonts w:ascii="Arial" w:eastAsia="Times New Roman" w:hAnsi="Arial" w:cs="Arial"/>
          <w:szCs w:val="28"/>
          <w:lang w:val="uk-UA" w:eastAsia="ru-RU"/>
        </w:rPr>
        <w:t>. 2019. № 1. С. 23-31.</w:t>
      </w:r>
    </w:p>
    <w:p w14:paraId="1957E36B" w14:textId="77777777" w:rsidR="00B67481" w:rsidRPr="00511005" w:rsidRDefault="00B67481" w:rsidP="003F6A5D">
      <w:pPr>
        <w:numPr>
          <w:ilvl w:val="0"/>
          <w:numId w:val="25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Коваленко К., Мартинюк І. Особливості фінансування освіти в країнах Скандинавії: досвід для України</w:t>
      </w:r>
      <w:r w:rsidRPr="00511005">
        <w:rPr>
          <w:rFonts w:ascii="Arial" w:eastAsia="Times New Roman" w:hAnsi="Arial" w:cs="Arial"/>
          <w:i/>
          <w:iCs/>
          <w:szCs w:val="28"/>
          <w:lang w:val="uk-UA" w:eastAsia="ru-RU"/>
        </w:rPr>
        <w:t>. Економіка освіти</w:t>
      </w:r>
      <w:r w:rsidRPr="00511005">
        <w:rPr>
          <w:rFonts w:ascii="Arial" w:eastAsia="Times New Roman" w:hAnsi="Arial" w:cs="Arial"/>
          <w:szCs w:val="28"/>
          <w:lang w:val="uk-UA" w:eastAsia="ru-RU"/>
        </w:rPr>
        <w:t>. 2020. № 2. С. 45-53.</w:t>
      </w:r>
    </w:p>
    <w:p w14:paraId="5BBC519E" w14:textId="77777777" w:rsidR="00B67481" w:rsidRPr="00511005" w:rsidRDefault="00B67481" w:rsidP="003F6A5D">
      <w:pPr>
        <w:numPr>
          <w:ilvl w:val="0"/>
          <w:numId w:val="25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Кузьменко Ю. Інвестиції в освіту як фактор соціально-економічного розвитку: досвід країн Північної Європи. </w:t>
      </w:r>
      <w:r w:rsidRPr="00511005">
        <w:rPr>
          <w:rFonts w:ascii="Arial" w:eastAsia="Times New Roman" w:hAnsi="Arial" w:cs="Arial"/>
          <w:i/>
          <w:iCs/>
          <w:szCs w:val="28"/>
          <w:lang w:val="uk-UA" w:eastAsia="ru-RU"/>
        </w:rPr>
        <w:t>Економічний вісник</w:t>
      </w:r>
      <w:r w:rsidRPr="00511005">
        <w:rPr>
          <w:rFonts w:ascii="Arial" w:eastAsia="Times New Roman" w:hAnsi="Arial" w:cs="Arial"/>
          <w:szCs w:val="28"/>
          <w:lang w:val="uk-UA" w:eastAsia="ru-RU"/>
        </w:rPr>
        <w:t>. 2019. № 3. С. 78-86.</w:t>
      </w:r>
    </w:p>
    <w:p w14:paraId="6293FAC1" w14:textId="77777777" w:rsidR="00B67481" w:rsidRPr="00511005" w:rsidRDefault="00B67481" w:rsidP="003F6A5D">
      <w:pPr>
        <w:numPr>
          <w:ilvl w:val="0"/>
          <w:numId w:val="252"/>
        </w:numPr>
        <w:spacing w:line="264" w:lineRule="auto"/>
        <w:ind w:left="0" w:firstLine="709"/>
        <w:contextualSpacing/>
        <w:jc w:val="left"/>
        <w:rPr>
          <w:rFonts w:ascii="Arial" w:eastAsia="Times New Roman" w:hAnsi="Arial" w:cs="Arial"/>
          <w:bCs/>
          <w:szCs w:val="28"/>
          <w:lang w:val="uk-UA" w:eastAsia="ru-RU"/>
        </w:rPr>
      </w:pPr>
      <w:r w:rsidRPr="00511005">
        <w:rPr>
          <w:rFonts w:ascii="Arial" w:eastAsia="Times New Roman" w:hAnsi="Arial" w:cs="Arial"/>
          <w:szCs w:val="28"/>
          <w:lang w:val="uk-UA" w:eastAsia="ru-RU"/>
        </w:rPr>
        <w:t xml:space="preserve">Корнута Л.М. </w:t>
      </w:r>
      <w:r w:rsidRPr="00511005">
        <w:rPr>
          <w:rFonts w:ascii="Arial" w:eastAsia="Times New Roman" w:hAnsi="Arial" w:cs="Arial"/>
          <w:bCs/>
          <w:szCs w:val="28"/>
          <w:lang w:val="uk-UA" w:eastAsia="ru-RU"/>
        </w:rPr>
        <w:t xml:space="preserve">Механізм реалізації права працівника на провадження наукової та творчої діяльності під час проходження державної служби. </w:t>
      </w:r>
      <w:r w:rsidRPr="00511005">
        <w:rPr>
          <w:rFonts w:ascii="Arial" w:eastAsia="Times New Roman" w:hAnsi="Arial" w:cs="Arial"/>
          <w:bCs/>
          <w:i/>
          <w:iCs/>
          <w:szCs w:val="28"/>
          <w:lang w:val="uk-UA" w:eastAsia="ru-RU"/>
        </w:rPr>
        <w:t>Правові новели</w:t>
      </w:r>
      <w:r w:rsidRPr="00511005">
        <w:rPr>
          <w:rFonts w:ascii="Arial" w:eastAsia="Times New Roman" w:hAnsi="Arial" w:cs="Arial"/>
          <w:bCs/>
          <w:szCs w:val="28"/>
          <w:lang w:val="uk-UA" w:eastAsia="ru-RU"/>
        </w:rPr>
        <w:t>. 2024. № 22. Т. 2. С. 200</w:t>
      </w:r>
      <w:r w:rsidRPr="00511005">
        <w:rPr>
          <w:rFonts w:ascii="Arial" w:eastAsia="Times New Roman" w:hAnsi="Arial" w:cs="Arial"/>
          <w:bCs/>
          <w:iCs/>
          <w:szCs w:val="28"/>
          <w:lang w:val="uk-UA" w:eastAsia="ru-RU"/>
        </w:rPr>
        <w:t>–</w:t>
      </w:r>
      <w:r w:rsidRPr="00511005">
        <w:rPr>
          <w:rFonts w:ascii="Arial" w:eastAsia="Times New Roman" w:hAnsi="Arial" w:cs="Arial"/>
          <w:bCs/>
          <w:szCs w:val="28"/>
          <w:lang w:val="uk-UA" w:eastAsia="ru-RU"/>
        </w:rPr>
        <w:t xml:space="preserve">205. </w:t>
      </w:r>
      <w:r w:rsidRPr="00511005">
        <w:rPr>
          <w:rFonts w:ascii="Arial" w:eastAsia="Times New Roman" w:hAnsi="Arial" w:cs="Arial"/>
          <w:bCs/>
          <w:szCs w:val="28"/>
          <w:lang w:val="en-US" w:eastAsia="ru-RU"/>
        </w:rPr>
        <w:t>URL</w:t>
      </w:r>
      <w:r w:rsidRPr="00511005">
        <w:rPr>
          <w:rFonts w:ascii="Arial" w:eastAsia="Times New Roman" w:hAnsi="Arial" w:cs="Arial"/>
          <w:bCs/>
          <w:szCs w:val="28"/>
          <w:lang w:val="uk-UA" w:eastAsia="ru-RU"/>
        </w:rPr>
        <w:t xml:space="preserve">: </w:t>
      </w:r>
      <w:hyperlink r:id="rId973" w:history="1">
        <w:r w:rsidRPr="00511005">
          <w:rPr>
            <w:rFonts w:ascii="Arial" w:eastAsia="Times New Roman" w:hAnsi="Arial" w:cs="Arial"/>
            <w:szCs w:val="28"/>
            <w:lang w:val="uk-UA" w:eastAsia="ru-RU"/>
          </w:rPr>
          <w:t>http://www.legalnovels.in.ua/journal/22-2_2024/29.pdf</w:t>
        </w:r>
      </w:hyperlink>
    </w:p>
    <w:p w14:paraId="6207AE94" w14:textId="77777777" w:rsidR="00B67481" w:rsidRPr="00511005" w:rsidRDefault="00B67481" w:rsidP="003F6A5D">
      <w:pPr>
        <w:numPr>
          <w:ilvl w:val="0"/>
          <w:numId w:val="25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Мирончук Н. Професійна підготовка та статус вчителя у Фінляндії. </w:t>
      </w:r>
      <w:r w:rsidRPr="00511005">
        <w:rPr>
          <w:rFonts w:ascii="Arial" w:eastAsia="Times New Roman" w:hAnsi="Arial" w:cs="Arial"/>
          <w:i/>
          <w:iCs/>
          <w:szCs w:val="28"/>
          <w:lang w:val="uk-UA" w:eastAsia="ru-RU"/>
        </w:rPr>
        <w:t>Педагогічні науки</w:t>
      </w:r>
      <w:r w:rsidRPr="00511005">
        <w:rPr>
          <w:rFonts w:ascii="Arial" w:eastAsia="Times New Roman" w:hAnsi="Arial" w:cs="Arial"/>
          <w:szCs w:val="28"/>
          <w:lang w:val="uk-UA" w:eastAsia="ru-RU"/>
        </w:rPr>
        <w:t>. 2019. № 2. С. 92-101.</w:t>
      </w:r>
    </w:p>
    <w:p w14:paraId="5BC15641" w14:textId="77777777" w:rsidR="00B67481" w:rsidRPr="00511005" w:rsidRDefault="00B67481" w:rsidP="003F6A5D">
      <w:pPr>
        <w:numPr>
          <w:ilvl w:val="0"/>
          <w:numId w:val="25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Нікуліна О. Професійний розвиток вчителів у Фінляндії: системний підхід. </w:t>
      </w:r>
      <w:r w:rsidRPr="00511005">
        <w:rPr>
          <w:rFonts w:ascii="Arial" w:eastAsia="Times New Roman" w:hAnsi="Arial" w:cs="Arial"/>
          <w:i/>
          <w:iCs/>
          <w:szCs w:val="28"/>
          <w:lang w:val="uk-UA" w:eastAsia="ru-RU"/>
        </w:rPr>
        <w:t>Освіта дорослих.</w:t>
      </w:r>
      <w:r w:rsidRPr="00511005">
        <w:rPr>
          <w:rFonts w:ascii="Arial" w:eastAsia="Times New Roman" w:hAnsi="Arial" w:cs="Arial"/>
          <w:szCs w:val="28"/>
          <w:lang w:val="uk-UA" w:eastAsia="ru-RU"/>
        </w:rPr>
        <w:t xml:space="preserve"> 2020. № 1. С. 121-133.</w:t>
      </w:r>
    </w:p>
    <w:p w14:paraId="2316EA6F" w14:textId="77777777" w:rsidR="00B67481" w:rsidRPr="00511005" w:rsidRDefault="00B67481" w:rsidP="003A292D">
      <w:pPr>
        <w:spacing w:line="264" w:lineRule="auto"/>
        <w:rPr>
          <w:rFonts w:ascii="Arial" w:eastAsia="Calibri" w:hAnsi="Arial" w:cs="Arial"/>
          <w:b/>
          <w:bCs/>
          <w:szCs w:val="28"/>
          <w:lang w:val="uk-UA"/>
        </w:rPr>
      </w:pPr>
    </w:p>
    <w:p w14:paraId="412C709A" w14:textId="0CFA7F03"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B67481" w:rsidRPr="00511005">
        <w:rPr>
          <w:rFonts w:ascii="Arial" w:eastAsia="Calibri" w:hAnsi="Arial" w:cs="Arial"/>
          <w:szCs w:val="28"/>
          <w:lang w:val="uk-UA"/>
        </w:rPr>
        <w:t>управління, реформування освіти, система освіти, зарубіжний досвід, муніципалітет.</w:t>
      </w:r>
    </w:p>
    <w:p w14:paraId="60E89A56" w14:textId="456ED900"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Key words: </w:t>
      </w:r>
      <w:r w:rsidR="00B67481" w:rsidRPr="00511005">
        <w:rPr>
          <w:rFonts w:ascii="Arial" w:eastAsia="Calibri" w:hAnsi="Arial" w:cs="Arial"/>
          <w:szCs w:val="28"/>
          <w:lang w:val="uk-UA"/>
        </w:rPr>
        <w:t>management, education reform, education system, foreign experience, municipality.</w:t>
      </w:r>
    </w:p>
    <w:p w14:paraId="5675BFA4" w14:textId="257462F9" w:rsidR="00B67481" w:rsidRPr="00511005" w:rsidRDefault="007B2628" w:rsidP="003A292D">
      <w:pPr>
        <w:spacing w:line="264" w:lineRule="auto"/>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383DE9" w:rsidRPr="00511005">
        <w:rPr>
          <w:rFonts w:ascii="Arial" w:eastAsia="Calibri" w:hAnsi="Arial" w:cs="Arial"/>
          <w:i/>
          <w:iCs/>
          <w:szCs w:val="28"/>
          <w:lang w:val="uk-UA"/>
        </w:rPr>
        <w:t xml:space="preserve">к.ю.н., </w:t>
      </w:r>
      <w:r w:rsidR="00B67481" w:rsidRPr="00511005">
        <w:rPr>
          <w:rFonts w:ascii="Arial" w:eastAsia="Calibri" w:hAnsi="Arial" w:cs="Arial"/>
          <w:i/>
          <w:iCs/>
          <w:szCs w:val="28"/>
          <w:lang w:val="uk-UA"/>
        </w:rPr>
        <w:t>доцент Корнута Л.М.</w:t>
      </w:r>
    </w:p>
    <w:p w14:paraId="7E45CDB7" w14:textId="77777777" w:rsidR="00B67481" w:rsidRPr="00511005" w:rsidRDefault="00B67481" w:rsidP="003A292D">
      <w:pPr>
        <w:spacing w:line="264" w:lineRule="auto"/>
        <w:ind w:firstLine="0"/>
        <w:jc w:val="left"/>
        <w:rPr>
          <w:rFonts w:ascii="Arial" w:eastAsia="Calibri" w:hAnsi="Arial" w:cs="Arial"/>
          <w:b/>
          <w:szCs w:val="28"/>
          <w:lang w:val="uk-UA"/>
        </w:rPr>
      </w:pPr>
      <w:r w:rsidRPr="00511005">
        <w:rPr>
          <w:rFonts w:ascii="Arial" w:eastAsia="Calibri" w:hAnsi="Arial" w:cs="Arial"/>
          <w:b/>
          <w:szCs w:val="28"/>
          <w:lang w:val="uk-UA"/>
        </w:rPr>
        <w:br w:type="page"/>
      </w:r>
    </w:p>
    <w:p w14:paraId="56F1EF33" w14:textId="77777777" w:rsidR="00B67481" w:rsidRPr="00511005" w:rsidRDefault="00B67481" w:rsidP="003A292D">
      <w:pPr>
        <w:tabs>
          <w:tab w:val="left" w:pos="7088"/>
        </w:tabs>
        <w:spacing w:line="264" w:lineRule="auto"/>
        <w:ind w:firstLine="0"/>
        <w:jc w:val="center"/>
        <w:rPr>
          <w:rFonts w:ascii="Arial" w:eastAsia="Calibri" w:hAnsi="Arial" w:cs="Arial"/>
          <w:b/>
          <w:i/>
          <w:szCs w:val="28"/>
          <w:lang w:val="uk-UA" w:bidi="uk-UA"/>
        </w:rPr>
      </w:pPr>
      <w:r w:rsidRPr="00511005">
        <w:rPr>
          <w:rFonts w:ascii="Arial" w:eastAsia="Calibri" w:hAnsi="Arial" w:cs="Arial"/>
          <w:b/>
          <w:i/>
          <w:szCs w:val="28"/>
          <w:lang w:val="uk-UA" w:bidi="uk-UA"/>
        </w:rPr>
        <w:lastRenderedPageBreak/>
        <w:t>Лисенко Дар’я Станіславівна</w:t>
      </w:r>
    </w:p>
    <w:p w14:paraId="4A4EEBC0" w14:textId="1C54CF30"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50B7113F"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A1D7854"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6FD0D8E" w14:textId="77777777" w:rsidR="00B67481" w:rsidRPr="00511005" w:rsidRDefault="00B67481" w:rsidP="003A292D">
      <w:pPr>
        <w:tabs>
          <w:tab w:val="left" w:pos="7088"/>
        </w:tabs>
        <w:spacing w:line="264" w:lineRule="auto"/>
        <w:ind w:firstLine="0"/>
        <w:jc w:val="center"/>
        <w:rPr>
          <w:rFonts w:ascii="Arial" w:eastAsia="Calibri" w:hAnsi="Arial" w:cs="Arial"/>
          <w:b/>
          <w:szCs w:val="28"/>
          <w:lang w:val="uk-UA" w:bidi="uk-UA"/>
        </w:rPr>
      </w:pPr>
    </w:p>
    <w:p w14:paraId="34FDB3D7" w14:textId="77777777" w:rsidR="00B67481" w:rsidRPr="00511005" w:rsidRDefault="00B67481" w:rsidP="003A292D">
      <w:pPr>
        <w:tabs>
          <w:tab w:val="left" w:pos="7088"/>
        </w:tabs>
        <w:spacing w:line="264" w:lineRule="auto"/>
        <w:ind w:firstLine="0"/>
        <w:jc w:val="center"/>
        <w:rPr>
          <w:rFonts w:ascii="Arial" w:eastAsia="Calibri" w:hAnsi="Arial" w:cs="Arial"/>
          <w:b/>
          <w:szCs w:val="28"/>
          <w:lang w:val="uk-UA" w:bidi="uk-UA"/>
        </w:rPr>
      </w:pPr>
      <w:r w:rsidRPr="00511005">
        <w:rPr>
          <w:rFonts w:ascii="Arial" w:eastAsia="Calibri" w:hAnsi="Arial" w:cs="Arial"/>
          <w:b/>
          <w:szCs w:val="28"/>
          <w:lang w:val="uk-UA" w:bidi="uk-UA"/>
        </w:rPr>
        <w:t>ВЗАЄМОДІЯ ОРГАНІВ ПУБЛІЧНОЇ АДМІНІСТРАЦІЇ З ВОЛОНТЕРСЬКИМИ ОРГАНІЗАЦІЯМИ ПІД ЧАС ВОЄННОГО СТАНУ</w:t>
      </w:r>
    </w:p>
    <w:p w14:paraId="03E8FBE0"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Взаємодія органів публічної адміністрації з волонтерськими організаціями є важливим аспектом для забезпечення ефективності функціонування суспільства в умовах надзвичайних ситуацій, зокрема, в періоди воєнного стану або інших кризових ситуацій. </w:t>
      </w:r>
      <w:r w:rsidRPr="00511005">
        <w:rPr>
          <w:rFonts w:ascii="Arial" w:eastAsia="Calibri" w:hAnsi="Arial" w:cs="Arial"/>
          <w:szCs w:val="28"/>
          <w:lang w:bidi="uk-UA"/>
        </w:rPr>
        <w:t>Волонтерський рух в Україні, особливо в умовах війни, став одним з основних механізмів для підтримки державних органів, зокрема в питаннях гуманітарної допомоги, логістики, медичної допомоги та інших критичних напрямків.</w:t>
      </w:r>
      <w:r w:rsidRPr="00511005">
        <w:rPr>
          <w:rFonts w:ascii="Arial" w:eastAsia="Calibri" w:hAnsi="Arial" w:cs="Arial"/>
          <w:szCs w:val="28"/>
          <w:lang w:val="uk-UA" w:bidi="uk-UA"/>
        </w:rPr>
        <w:t xml:space="preserve"> </w:t>
      </w:r>
      <w:r w:rsidRPr="00511005">
        <w:rPr>
          <w:rFonts w:ascii="Arial" w:eastAsia="Calibri" w:hAnsi="Arial" w:cs="Arial"/>
          <w:szCs w:val="28"/>
          <w:lang w:val="uk-UA"/>
        </w:rPr>
        <w:t>Відбувається співпраця волонтерських організацій із ЦОВВ і ОМС, а саме розроблення механізмів поєднання волонтерства з найманою працею, забезпечення прав волонтерів у зоні бойових дій нарівні з учасниками бойових дій, їх реєстрація в державному реєстрі через застосунок «Дія».</w:t>
      </w:r>
    </w:p>
    <w:p w14:paraId="1C137FC4"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val="uk-UA" w:bidi="uk-UA"/>
        </w:rPr>
        <w:t xml:space="preserve">Одним з важливих аспектів взаємодії між органами публічної адміністрації та волонтерськими організаціями є чітке визначення ролей, обов'язків та меж відповідальності. Волонтерські організації не є підлеглими органами державної влади, але вони є важливими партнерами в досягненні державних цілей у сфері соціального забезпечення, гуманітарної допомоги та національної безпеки. </w:t>
      </w:r>
      <w:r w:rsidRPr="00511005">
        <w:rPr>
          <w:rFonts w:ascii="Arial" w:eastAsia="Calibri" w:hAnsi="Arial" w:cs="Arial"/>
          <w:szCs w:val="28"/>
          <w:lang w:bidi="uk-UA"/>
        </w:rPr>
        <w:t xml:space="preserve">Зокрема, під час війни, коли державні органи не завжди мають змогу надати всю необхідну допомогу, волонтерські організації заповнюють цю прогалину. Вони можуть надавати допомогу цивільному населенню, працювати з переселенцями, здійснювати доставку гуманітарних вантажів </w:t>
      </w:r>
      <w:proofErr w:type="gramStart"/>
      <w:r w:rsidRPr="00511005">
        <w:rPr>
          <w:rFonts w:ascii="Arial" w:eastAsia="Calibri" w:hAnsi="Arial" w:cs="Arial"/>
          <w:szCs w:val="28"/>
          <w:lang w:bidi="uk-UA"/>
        </w:rPr>
        <w:t>у зону</w:t>
      </w:r>
      <w:proofErr w:type="gramEnd"/>
      <w:r w:rsidRPr="00511005">
        <w:rPr>
          <w:rFonts w:ascii="Arial" w:eastAsia="Calibri" w:hAnsi="Arial" w:cs="Arial"/>
          <w:szCs w:val="28"/>
          <w:lang w:bidi="uk-UA"/>
        </w:rPr>
        <w:t xml:space="preserve"> бойових дій.</w:t>
      </w:r>
    </w:p>
    <w:p w14:paraId="33194F4E"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bidi="uk-UA"/>
        </w:rPr>
        <w:t>Законодавче підґрунтя для такої взаємодії регулюється рядом нормативно-правових актів, серед яких особливе місце займають закони про волонтерство та цивільний захист. Наприклад, Закон України "Про волонтерську діяльність" регламентує правовий статус волонтерів, їх права та обов'язки, а також взаємодію з державними органами. Закон визначає умови, за яких волонтерські організації можуть співпрацювати з державними установами, забезпечувати координацію дій та обмін інформацією [1].</w:t>
      </w:r>
      <w:r w:rsidRPr="00511005">
        <w:rPr>
          <w:rFonts w:ascii="Arial" w:eastAsia="Calibri" w:hAnsi="Arial" w:cs="Arial"/>
          <w:szCs w:val="28"/>
          <w:lang w:val="uk-UA" w:bidi="uk-UA"/>
        </w:rPr>
        <w:t xml:space="preserve"> </w:t>
      </w:r>
      <w:r w:rsidRPr="00511005">
        <w:rPr>
          <w:rFonts w:ascii="Arial" w:eastAsia="Calibri" w:hAnsi="Arial" w:cs="Arial"/>
          <w:szCs w:val="28"/>
        </w:rPr>
        <w:t xml:space="preserve">Відбувається спільне планування постачання допомоги й ефективне використання складських можливостей. Законом № 2118-ІХ від 3 березня 2022 р. щодо особливостей оподаткування та подання звітності в період воєнного стану було створено додаткові сприятливі умови для фінансової підтримки армії на період дії військового стану, а саме не оподатковуються ПДВ і акцизним податком товари, кошти та надані послуги, що добровільно передані або відчужені на користь Збройних сил України та підрозділів </w:t>
      </w:r>
      <w:r w:rsidRPr="00511005">
        <w:rPr>
          <w:rFonts w:ascii="Arial" w:eastAsia="Calibri" w:hAnsi="Arial" w:cs="Arial"/>
          <w:szCs w:val="28"/>
        </w:rPr>
        <w:lastRenderedPageBreak/>
        <w:t>територіальної оборони без попереднього або наступного відшкодування їхньої вартості [2]</w:t>
      </w:r>
      <w:r w:rsidRPr="00511005">
        <w:rPr>
          <w:rFonts w:ascii="Arial" w:eastAsia="Calibri" w:hAnsi="Arial" w:cs="Arial"/>
          <w:szCs w:val="28"/>
          <w:lang w:val="uk-UA"/>
        </w:rPr>
        <w:t>.</w:t>
      </w:r>
    </w:p>
    <w:p w14:paraId="6D0439A7"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Одним із основних аспектів ефективної взаємодії є забезпечення належної координації. </w:t>
      </w:r>
      <w:r w:rsidRPr="00511005">
        <w:rPr>
          <w:rFonts w:ascii="Arial" w:eastAsia="Calibri" w:hAnsi="Arial" w:cs="Arial"/>
          <w:szCs w:val="28"/>
          <w:lang w:bidi="uk-UA"/>
        </w:rPr>
        <w:t>Державні органи, зокрема органи місцевого самоврядування, мають створювати ефективні механізми для координації волонтерських організацій з іншими учасниками суспільних процесів. Це може включати утворення координаційних штабів або волонтерських центрів, де буде організовано зберігання та розподіл гуманітарної допомоги, а також планування заходів з надання допомоги постраждалим громадянам.</w:t>
      </w:r>
      <w:r w:rsidRPr="00511005">
        <w:rPr>
          <w:rFonts w:ascii="Arial" w:eastAsia="Calibri" w:hAnsi="Arial" w:cs="Arial"/>
          <w:szCs w:val="28"/>
          <w:lang w:val="uk-UA" w:bidi="uk-UA"/>
        </w:rPr>
        <w:t xml:space="preserve"> На жаль, координація відбувається не належним чином, оскільки відсутній так званий механізм цієї взаємодії. Це в свою чергу слугує значною втратою часу та ресурсів.</w:t>
      </w:r>
    </w:p>
    <w:p w14:paraId="56249F19" w14:textId="7DED3A60"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Не можна забувати про такі важливі функції, які напряму пов’язані з нашими військовими, а саме: постачання амуніції, обладнання, медикаментів,</w:t>
      </w:r>
      <w:r w:rsidR="007B2628" w:rsidRPr="00511005">
        <w:rPr>
          <w:rFonts w:ascii="Arial" w:eastAsia="Calibri" w:hAnsi="Arial" w:cs="Arial"/>
          <w:szCs w:val="28"/>
          <w:lang w:val="uk-UA" w:bidi="uk-UA"/>
        </w:rPr>
        <w:t xml:space="preserve"> </w:t>
      </w:r>
      <w:r w:rsidRPr="00511005">
        <w:rPr>
          <w:rFonts w:ascii="Arial" w:eastAsia="Calibri" w:hAnsi="Arial" w:cs="Arial"/>
          <w:szCs w:val="28"/>
          <w:lang w:val="uk-UA" w:bidi="uk-UA"/>
        </w:rPr>
        <w:t>речей та продуктів у військові частини.</w:t>
      </w:r>
    </w:p>
    <w:p w14:paraId="55F85D6B"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Важливим елементом такої співпраці є також інформаційна підтримка. Волонтерські організації можуть допомагати державним органам в організації комунікації з населенням, зокрема у питаннях поширення інформації про права громадян, процедури отримання допомоги та інші важливі аспекти. Водночас, волонтерські організації повинні дотримуватися певних стандартів етики та законодавства щодо захисту персональних даних, що особливо важливо при роботі з уразливими групами населення, такими як біженці чи постраждалі від воєнних дій.</w:t>
      </w:r>
    </w:p>
    <w:p w14:paraId="3424BBD2"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bidi="uk-UA"/>
        </w:rPr>
        <w:t>Один із прикладів ефективної взаємодії волонтерських організацій та органів публічної адміністрації – це механізм допомоги та евакуації постраждалих в умовах війни. У цьому процесі волонтери можуть виконувати роль посередників між державними службами та цивільним населенням, а також допомагати в організації транспорту, забезпеченні медичної допомоги, наданні притулку біженцям. Координація з боку держави дозволяє мінімізувати дублювання зусиль та максимізувати ефективність використання ресурсів [</w:t>
      </w:r>
      <w:r w:rsidRPr="00511005">
        <w:rPr>
          <w:rFonts w:ascii="Arial" w:eastAsia="Calibri" w:hAnsi="Arial" w:cs="Arial"/>
          <w:szCs w:val="28"/>
          <w:lang w:val="uk-UA" w:bidi="uk-UA"/>
        </w:rPr>
        <w:t>3</w:t>
      </w:r>
      <w:r w:rsidRPr="00511005">
        <w:rPr>
          <w:rFonts w:ascii="Arial" w:eastAsia="Calibri" w:hAnsi="Arial" w:cs="Arial"/>
          <w:szCs w:val="28"/>
          <w:lang w:bidi="uk-UA"/>
        </w:rPr>
        <w:t>].</w:t>
      </w:r>
    </w:p>
    <w:p w14:paraId="00463AFD"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Також у взаємодії волонтерських організацій та публічної адміністрації можна виділити такий напрям роботи, як залучення волонтерів до різних психологічних проєктів підтримки незахищених верств населення. Така співпраця висловлюється не лише у взаємодопомозі, а й у своїй громадській позиції. У такий приклад громадяни об’єднуються заради спільної справи.</w:t>
      </w:r>
    </w:p>
    <w:p w14:paraId="2151AB44"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bidi="uk-UA"/>
        </w:rPr>
        <w:t xml:space="preserve">Водночас важливим моментом є забезпечення правового захисту волонтерів. У випадку, коли волонтери працюють у зоні бойових дій або в умовах надзвичайних ситуацій, їм необхідно надавати відповідні гарантії безпеки та правового захисту. У зв'язку з цим держава повинна забезпечити, щоб волонтери мали доступ до необхідних ресурсів, навчання та підтримки. Крім того, важливо, щоб волонтерська діяльність не суперечила </w:t>
      </w:r>
      <w:r w:rsidRPr="00511005">
        <w:rPr>
          <w:rFonts w:ascii="Arial" w:eastAsia="Calibri" w:hAnsi="Arial" w:cs="Arial"/>
          <w:szCs w:val="28"/>
          <w:lang w:bidi="uk-UA"/>
        </w:rPr>
        <w:lastRenderedPageBreak/>
        <w:t>законодавству і не призводила до негативних наслідків як для самих волонтерів, так і для громади в цілому.</w:t>
      </w:r>
    </w:p>
    <w:p w14:paraId="552421C0"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Щодо фінансування, то частіше за все волонтерські організації отримують таку підтримку з-за кордону або членських внесків. При цьому не виключається можливість поповнення з місцевих або державного бюджету. </w:t>
      </w:r>
      <w:r w:rsidRPr="00511005">
        <w:rPr>
          <w:rFonts w:ascii="Arial" w:eastAsia="Calibri" w:hAnsi="Arial" w:cs="Arial"/>
          <w:szCs w:val="28"/>
          <w:lang w:val="uk-UA"/>
        </w:rPr>
        <w:t>А також триває робота з упровадження системи пільгового оподаткування для волонтерських організацій на основі компенсації витрат із державного та місцевих бюджетів на переїзд, транспортування, зокрема й на впровадження електронної системи звітності, наприклад через гугл-документи, для ефективного управління ресурсами та прискорення процесу звітності, забезпечення прозорості та достовірності передачі інформації [4,ст.102].</w:t>
      </w:r>
    </w:p>
    <w:p w14:paraId="662FA701"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val="uk-UA" w:bidi="uk-UA"/>
        </w:rPr>
        <w:t xml:space="preserve">Взаємодія органів публічної адміністрації з волонтерськими організаціями має велике значення для забезпечення стабільності в умовах воєнного стану та кризових ситуаціях. </w:t>
      </w:r>
      <w:r w:rsidRPr="00511005">
        <w:rPr>
          <w:rFonts w:ascii="Arial" w:eastAsia="Calibri" w:hAnsi="Arial" w:cs="Arial"/>
          <w:szCs w:val="28"/>
          <w:lang w:bidi="uk-UA"/>
        </w:rPr>
        <w:t>Вона дозволяє державі ефективно реагувати на гуманітарні потреби населення, а також надавати належну допомогу тим, хто її потребує. Проте така співпраця вимагає створення чітких правових механізмів для регулювання взаємодії та забезпечення відповідальності всіх учасників цього процесу.</w:t>
      </w:r>
    </w:p>
    <w:p w14:paraId="4D26AC8D" w14:textId="77777777" w:rsidR="00B67481" w:rsidRPr="00511005" w:rsidRDefault="00B67481" w:rsidP="003A292D">
      <w:pPr>
        <w:tabs>
          <w:tab w:val="left" w:pos="7088"/>
        </w:tabs>
        <w:spacing w:line="264" w:lineRule="auto"/>
        <w:rPr>
          <w:rFonts w:ascii="Arial" w:eastAsia="Calibri" w:hAnsi="Arial" w:cs="Arial"/>
          <w:szCs w:val="28"/>
          <w:lang w:bidi="uk-UA"/>
        </w:rPr>
      </w:pPr>
    </w:p>
    <w:p w14:paraId="5FB6793C" w14:textId="203BA9FE" w:rsidR="00B67481" w:rsidRPr="00511005" w:rsidRDefault="007B2628" w:rsidP="007B2628">
      <w:pPr>
        <w:tabs>
          <w:tab w:val="left" w:pos="7088"/>
        </w:tabs>
        <w:spacing w:line="264" w:lineRule="auto"/>
        <w:jc w:val="center"/>
        <w:rPr>
          <w:rFonts w:ascii="Arial" w:eastAsia="Calibri" w:hAnsi="Arial" w:cs="Arial"/>
          <w:b/>
          <w:szCs w:val="28"/>
          <w:lang w:val="uk-UA" w:bidi="uk-UA"/>
        </w:rPr>
      </w:pPr>
      <w:r w:rsidRPr="00511005">
        <w:rPr>
          <w:rFonts w:ascii="Arial" w:eastAsia="Calibri" w:hAnsi="Arial" w:cs="Arial"/>
          <w:b/>
          <w:szCs w:val="28"/>
          <w:lang w:val="uk-UA" w:bidi="uk-UA"/>
        </w:rPr>
        <w:t>Список використаних джерел</w:t>
      </w:r>
    </w:p>
    <w:p w14:paraId="7655CEBB" w14:textId="77777777" w:rsidR="00B67481" w:rsidRPr="00511005" w:rsidRDefault="00B67481" w:rsidP="003F6A5D">
      <w:pPr>
        <w:widowControl w:val="0"/>
        <w:numPr>
          <w:ilvl w:val="0"/>
          <w:numId w:val="253"/>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eastAsia="ru-RU" w:bidi="uk-UA"/>
        </w:rPr>
        <w:t>Закон України «Про волонтерську діяльність». URL: https://zakon.rada.gov.ua/laws/show/4571-17 (дата звернення: 09.04.2025)</w:t>
      </w:r>
    </w:p>
    <w:p w14:paraId="54E8D744" w14:textId="54FC0EEB" w:rsidR="00B67481" w:rsidRPr="00511005" w:rsidRDefault="00B67481" w:rsidP="003F6A5D">
      <w:pPr>
        <w:widowControl w:val="0"/>
        <w:numPr>
          <w:ilvl w:val="0"/>
          <w:numId w:val="253"/>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Закон України «Про внесення змін до Податкового кодексу України та інших законодавчих актів України щодо особливостей оподаткування а подання звітності</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 xml:space="preserve">у період дії воєнного стану». </w:t>
      </w:r>
      <w:r w:rsidRPr="00511005">
        <w:rPr>
          <w:rFonts w:ascii="Arial" w:eastAsia="Times New Roman" w:hAnsi="Arial" w:cs="Arial"/>
          <w:szCs w:val="28"/>
          <w:lang w:val="en-US" w:eastAsia="ru-RU" w:bidi="uk-UA"/>
        </w:rPr>
        <w:t>URL</w:t>
      </w:r>
      <w:r w:rsidRPr="00511005">
        <w:rPr>
          <w:rFonts w:ascii="Arial" w:eastAsia="Times New Roman" w:hAnsi="Arial" w:cs="Arial"/>
          <w:szCs w:val="28"/>
          <w:lang w:val="uk-UA" w:eastAsia="ru-RU" w:bidi="uk-UA"/>
        </w:rPr>
        <w:t xml:space="preserve">: </w:t>
      </w:r>
      <w:hyperlink r:id="rId974" w:history="1">
        <w:r w:rsidRPr="00511005">
          <w:rPr>
            <w:rFonts w:ascii="Arial" w:eastAsia="Times New Roman" w:hAnsi="Arial" w:cs="Arial"/>
            <w:szCs w:val="28"/>
            <w:lang w:val="uk-UA" w:eastAsia="ru-RU" w:bidi="uk-UA"/>
          </w:rPr>
          <w:t>https://zakon.rada.gov.ua/laws/show/2118-20#Text</w:t>
        </w:r>
      </w:hyperlink>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(дата звернення 16.04.2025)</w:t>
      </w:r>
    </w:p>
    <w:p w14:paraId="039724F2" w14:textId="77777777" w:rsidR="00B67481" w:rsidRPr="00511005" w:rsidRDefault="00B67481" w:rsidP="003F6A5D">
      <w:pPr>
        <w:widowControl w:val="0"/>
        <w:numPr>
          <w:ilvl w:val="0"/>
          <w:numId w:val="253"/>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eastAsia="ru-RU" w:bidi="uk-UA"/>
        </w:rPr>
        <w:t>Воронько, Олег. "Удосконалення взаємодії інститутів громадянського суспільства з органами влади в Україні." (2024). URL: https://er.ucu.edu.ua/items/34748b2f-087c-48e9-8543-5d4718605123 (дата звернення: 09.04.2025)</w:t>
      </w:r>
    </w:p>
    <w:p w14:paraId="58711834" w14:textId="77777777" w:rsidR="00B67481" w:rsidRPr="00511005" w:rsidRDefault="00B67481" w:rsidP="003F6A5D">
      <w:pPr>
        <w:widowControl w:val="0"/>
        <w:numPr>
          <w:ilvl w:val="0"/>
          <w:numId w:val="253"/>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Вашкович, Вікторія. «Адміністративно-правове забезпечення волонтерства як складова соціальної функції держави». Ужгород, 2019.</w:t>
      </w:r>
    </w:p>
    <w:p w14:paraId="05BA56E4" w14:textId="77777777" w:rsidR="00B67481" w:rsidRPr="00511005" w:rsidRDefault="00B67481" w:rsidP="003A292D">
      <w:pPr>
        <w:tabs>
          <w:tab w:val="left" w:pos="993"/>
          <w:tab w:val="left" w:pos="7088"/>
        </w:tabs>
        <w:spacing w:line="264" w:lineRule="auto"/>
        <w:rPr>
          <w:rFonts w:ascii="Arial" w:eastAsia="Calibri" w:hAnsi="Arial" w:cs="Arial"/>
          <w:b/>
          <w:szCs w:val="28"/>
          <w:lang w:val="uk-UA" w:bidi="uk-UA"/>
        </w:rPr>
      </w:pPr>
    </w:p>
    <w:p w14:paraId="58A40DB1" w14:textId="43D0136B" w:rsidR="00B67481" w:rsidRPr="00511005" w:rsidRDefault="007B2628" w:rsidP="003A292D">
      <w:pPr>
        <w:tabs>
          <w:tab w:val="left" w:pos="993"/>
          <w:tab w:val="left" w:pos="7088"/>
        </w:tabs>
        <w:spacing w:line="264" w:lineRule="auto"/>
        <w:rPr>
          <w:rFonts w:ascii="Arial" w:eastAsia="Calibri" w:hAnsi="Arial" w:cs="Arial"/>
          <w:szCs w:val="28"/>
          <w:lang w:val="uk-UA" w:bidi="uk-UA"/>
        </w:rPr>
      </w:pPr>
      <w:r w:rsidRPr="00511005">
        <w:rPr>
          <w:rFonts w:ascii="Arial" w:eastAsia="Calibri" w:hAnsi="Arial" w:cs="Arial"/>
          <w:b/>
          <w:i/>
          <w:szCs w:val="28"/>
          <w:lang w:val="uk-UA" w:bidi="uk-UA"/>
        </w:rPr>
        <w:t xml:space="preserve">Ключові слова: </w:t>
      </w:r>
      <w:r w:rsidR="00B67481" w:rsidRPr="00511005">
        <w:rPr>
          <w:rFonts w:ascii="Arial" w:eastAsia="Calibri" w:hAnsi="Arial" w:cs="Arial"/>
          <w:szCs w:val="28"/>
          <w:lang w:val="uk-UA" w:bidi="uk-UA"/>
        </w:rPr>
        <w:t>волонтерські організації, публічна адміністрація, взаємодія, координація.</w:t>
      </w:r>
    </w:p>
    <w:p w14:paraId="28AE273A" w14:textId="17D844F4" w:rsidR="00B67481" w:rsidRPr="00511005" w:rsidRDefault="007B2628" w:rsidP="003A292D">
      <w:pPr>
        <w:tabs>
          <w:tab w:val="left" w:pos="993"/>
          <w:tab w:val="left" w:pos="7088"/>
        </w:tabs>
        <w:spacing w:line="264" w:lineRule="auto"/>
        <w:rPr>
          <w:rFonts w:ascii="Arial" w:eastAsia="Calibri" w:hAnsi="Arial" w:cs="Arial"/>
          <w:szCs w:val="28"/>
          <w:lang w:val="uk-UA" w:bidi="uk-UA"/>
        </w:rPr>
      </w:pPr>
      <w:r w:rsidRPr="00511005">
        <w:rPr>
          <w:rFonts w:ascii="Arial" w:eastAsia="Calibri" w:hAnsi="Arial" w:cs="Arial"/>
          <w:b/>
          <w:i/>
          <w:szCs w:val="28"/>
          <w:lang w:val="uk-UA" w:bidi="uk-UA"/>
        </w:rPr>
        <w:t xml:space="preserve">Key words: </w:t>
      </w:r>
      <w:r w:rsidR="00B67481" w:rsidRPr="00511005">
        <w:rPr>
          <w:rFonts w:ascii="Arial" w:eastAsia="Calibri" w:hAnsi="Arial" w:cs="Arial"/>
          <w:szCs w:val="28"/>
          <w:lang w:val="uk-UA" w:bidi="uk-UA"/>
        </w:rPr>
        <w:t>volunteer organizations, public administration, interaction, coordination.</w:t>
      </w:r>
    </w:p>
    <w:p w14:paraId="3C23B370" w14:textId="7404311B" w:rsidR="00B67481" w:rsidRPr="00511005" w:rsidRDefault="00C76181" w:rsidP="003A292D">
      <w:pPr>
        <w:tabs>
          <w:tab w:val="left" w:pos="993"/>
          <w:tab w:val="left" w:pos="7088"/>
        </w:tabs>
        <w:spacing w:line="264" w:lineRule="auto"/>
        <w:rPr>
          <w:rFonts w:ascii="Arial" w:eastAsia="Calibri" w:hAnsi="Arial" w:cs="Arial"/>
          <w:i/>
          <w:szCs w:val="28"/>
          <w:lang w:val="uk-UA" w:bidi="uk-UA"/>
        </w:rPr>
      </w:pPr>
      <w:r w:rsidRPr="00511005">
        <w:rPr>
          <w:rFonts w:ascii="Arial" w:eastAsia="Calibri" w:hAnsi="Arial" w:cs="Arial"/>
          <w:b/>
          <w:i/>
          <w:szCs w:val="28"/>
          <w:lang w:val="uk-UA"/>
        </w:rPr>
        <w:t xml:space="preserve">Науковий керівник: </w:t>
      </w:r>
      <w:r w:rsidR="00383DE9" w:rsidRPr="00511005">
        <w:rPr>
          <w:rFonts w:ascii="Arial" w:eastAsia="Calibri" w:hAnsi="Arial" w:cs="Arial"/>
          <w:i/>
          <w:szCs w:val="28"/>
          <w:lang w:val="uk-UA" w:bidi="uk-UA"/>
        </w:rPr>
        <w:t xml:space="preserve">к.ю.н., </w:t>
      </w:r>
      <w:r w:rsidR="00B67481" w:rsidRPr="00511005">
        <w:rPr>
          <w:rFonts w:ascii="Arial" w:eastAsia="Calibri" w:hAnsi="Arial" w:cs="Arial"/>
          <w:i/>
          <w:szCs w:val="28"/>
          <w:lang w:val="uk-UA" w:bidi="uk-UA"/>
        </w:rPr>
        <w:t>доцент</w:t>
      </w:r>
      <w:r w:rsidR="007B2628" w:rsidRPr="00511005">
        <w:rPr>
          <w:rFonts w:ascii="Arial" w:eastAsia="Calibri" w:hAnsi="Arial" w:cs="Arial"/>
          <w:i/>
          <w:szCs w:val="28"/>
          <w:lang w:val="uk-UA" w:bidi="uk-UA"/>
        </w:rPr>
        <w:t xml:space="preserve"> </w:t>
      </w:r>
      <w:r w:rsidR="00B67481" w:rsidRPr="00511005">
        <w:rPr>
          <w:rFonts w:ascii="Arial" w:eastAsia="Calibri" w:hAnsi="Arial" w:cs="Arial"/>
          <w:i/>
          <w:szCs w:val="28"/>
          <w:lang w:val="uk-UA" w:bidi="uk-UA"/>
        </w:rPr>
        <w:t>Козачук Д.А.</w:t>
      </w:r>
    </w:p>
    <w:p w14:paraId="40A7A196" w14:textId="77777777" w:rsidR="00B67481" w:rsidRPr="00511005" w:rsidRDefault="00B67481" w:rsidP="003A292D">
      <w:pPr>
        <w:spacing w:line="264" w:lineRule="auto"/>
        <w:ind w:firstLine="0"/>
        <w:jc w:val="left"/>
        <w:rPr>
          <w:rFonts w:ascii="Arial" w:eastAsia="Calibri" w:hAnsi="Arial" w:cs="Arial"/>
          <w:b/>
          <w:szCs w:val="28"/>
          <w:lang w:val="uk-UA"/>
        </w:rPr>
      </w:pPr>
      <w:r w:rsidRPr="00511005">
        <w:rPr>
          <w:rFonts w:ascii="Arial" w:eastAsia="Calibri" w:hAnsi="Arial" w:cs="Arial"/>
          <w:b/>
          <w:szCs w:val="28"/>
          <w:lang w:val="uk-UA"/>
        </w:rPr>
        <w:br w:type="page"/>
      </w:r>
    </w:p>
    <w:p w14:paraId="79EEBF6C" w14:textId="77777777" w:rsidR="00B67481" w:rsidRPr="00511005" w:rsidRDefault="00B67481"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i/>
          <w:iCs/>
          <w:szCs w:val="28"/>
          <w:lang w:val="uk-UA" w:eastAsia="ru-RU"/>
        </w:rPr>
        <w:lastRenderedPageBreak/>
        <w:t>Мельник Вадим Володимирович</w:t>
      </w:r>
    </w:p>
    <w:p w14:paraId="57327A75" w14:textId="3264BE01" w:rsidR="00B67481" w:rsidRPr="00511005" w:rsidRDefault="00B67481"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iCs/>
          <w:szCs w:val="28"/>
          <w:lang w:val="uk-UA" w:eastAsia="ru-RU"/>
        </w:rPr>
        <w:t>студент</w:t>
      </w:r>
      <w:r w:rsidRPr="00511005">
        <w:rPr>
          <w:rFonts w:ascii="Arial" w:eastAsia="Times New Roman" w:hAnsi="Arial" w:cs="Arial"/>
          <w:iCs/>
          <w:szCs w:val="28"/>
          <w:lang w:eastAsia="ru-RU"/>
        </w:rPr>
        <w:t xml:space="preserve"> 5</w:t>
      </w:r>
      <w:r w:rsidRPr="00511005">
        <w:rPr>
          <w:rFonts w:ascii="Arial" w:eastAsia="Times New Roman" w:hAnsi="Arial" w:cs="Arial"/>
          <w:iCs/>
          <w:szCs w:val="28"/>
          <w:lang w:val="uk-UA" w:eastAsia="ru-RU"/>
        </w:rPr>
        <w:t>-го</w:t>
      </w:r>
      <w:r w:rsidRPr="00511005">
        <w:rPr>
          <w:rFonts w:ascii="Arial" w:eastAsia="Times New Roman" w:hAnsi="Arial" w:cs="Arial"/>
          <w:iCs/>
          <w:szCs w:val="28"/>
          <w:lang w:eastAsia="ru-RU"/>
        </w:rPr>
        <w:t xml:space="preserve"> курсу</w:t>
      </w:r>
      <w:r w:rsidRPr="00511005">
        <w:rPr>
          <w:rFonts w:ascii="Arial" w:eastAsia="Times New Roman" w:hAnsi="Arial" w:cs="Arial"/>
          <w:szCs w:val="28"/>
          <w:lang w:val="uk-UA" w:eastAsia="ru-RU"/>
        </w:rPr>
        <w:t xml:space="preserve"> </w:t>
      </w:r>
      <w:r w:rsidR="001B7B25" w:rsidRPr="00511005">
        <w:rPr>
          <w:rFonts w:ascii="Arial" w:eastAsia="Times New Roman" w:hAnsi="Arial" w:cs="Arial"/>
          <w:iCs/>
          <w:szCs w:val="28"/>
          <w:lang w:eastAsia="ru-RU"/>
        </w:rPr>
        <w:t>факультету судового та міжнародного права</w:t>
      </w:r>
    </w:p>
    <w:p w14:paraId="4690CDD2" w14:textId="5BC68095" w:rsidR="00B67481" w:rsidRPr="00511005" w:rsidRDefault="007B2628" w:rsidP="003A292D">
      <w:pPr>
        <w:spacing w:line="264" w:lineRule="auto"/>
        <w:ind w:firstLine="0"/>
        <w:jc w:val="center"/>
        <w:rPr>
          <w:rFonts w:ascii="Arial" w:eastAsia="Times New Roman" w:hAnsi="Arial" w:cs="Arial"/>
          <w:iCs/>
          <w:szCs w:val="28"/>
          <w:lang w:val="uk-UA"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3C34B9AC" w14:textId="77777777" w:rsidR="00B67481" w:rsidRPr="00511005" w:rsidRDefault="00B67481" w:rsidP="003A292D">
      <w:pPr>
        <w:spacing w:line="264" w:lineRule="auto"/>
        <w:ind w:firstLine="0"/>
        <w:jc w:val="left"/>
        <w:rPr>
          <w:rFonts w:ascii="Arial" w:eastAsia="Times New Roman" w:hAnsi="Arial" w:cs="Arial"/>
          <w:szCs w:val="28"/>
          <w:lang w:eastAsia="ru-RU"/>
        </w:rPr>
      </w:pPr>
    </w:p>
    <w:p w14:paraId="4DC3C0CB" w14:textId="77777777" w:rsidR="00B67481" w:rsidRPr="00511005" w:rsidRDefault="00B67481"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ТРАНСФОРМАЦІЯ ПУБЛІЧНОГО АДМІНІСТРУВАННЯ В УМОВАХ ЦИФРОВІЗАЦІЇ: ВИКЛИКИ, ТЕНДЕНЦІЇ ТА ПЕРСПЕКТИВИ РОЗВИТКУ</w:t>
      </w:r>
    </w:p>
    <w:p w14:paraId="69C80642"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Цифровізація публічного адміністрування стала невід'ємною складовою частиною сучасної державної політики. </w:t>
      </w:r>
      <w:r w:rsidRPr="00511005">
        <w:rPr>
          <w:rFonts w:ascii="Arial" w:eastAsia="Times New Roman" w:hAnsi="Arial" w:cs="Arial"/>
          <w:szCs w:val="28"/>
          <w:lang w:eastAsia="ru-RU"/>
        </w:rPr>
        <w:t>Вона забезпечує значний прогрес в управлінні державними та муніципальними структурами, підвищуючи ефективність надання публічних послуг, доступність інформації та прозорість діяльності органів влади. Зокрема, в умовах глобалізації та пандемії COVID-19 цифровізація стала важливою складовою не лише для покращення внутрішнього управління, а й для забезпечення безпеки, мобільності та зручності взаємодії громадян із державою. Для України, яка активно впроваджує електронне урядування та цифрові технології, є важливим завданням досягнення європейських стандартів у публічному управлінні, що сприяє розвитку інклюзивної та ефективної адміністративної системи.</w:t>
      </w:r>
    </w:p>
    <w:p w14:paraId="39A4FC00"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Основні виклики цифровізації публічного адміністрування. Попри значні досягнення в сфері цифровізації публічного адміністрування, існує низка викликів, які зумовлюють труднощі впровадження цифрових технологій на всіх рівнях державного управління. Одним із основних викликів є брак фінансування, необхідного для розбудови інфраструктури та розробки сучасних цифрових рішень для публічних органів. Крім того, значною проблемою є недостатній рівень кваліфікації кадрів, здатних працювати з новітніми технологіями, а також відсутність ефективного законодавчого забезпечення в сфері цифрового управління. Не менш важливою є проблема інформаційної безпеки, яка ставить під загрозу захист персональних даних громадян і безпеку електронних послуг. Ці проблеми вимагають комплексного підходу та стратегічного планування для їх </w:t>
      </w:r>
      <w:proofErr w:type="gramStart"/>
      <w:r w:rsidRPr="00511005">
        <w:rPr>
          <w:rFonts w:ascii="Arial" w:eastAsia="Times New Roman" w:hAnsi="Arial" w:cs="Arial"/>
          <w:szCs w:val="28"/>
          <w:lang w:eastAsia="ru-RU"/>
        </w:rPr>
        <w:t>подолання[</w:t>
      </w:r>
      <w:proofErr w:type="gramEnd"/>
      <w:r w:rsidRPr="00511005">
        <w:rPr>
          <w:rFonts w:ascii="Arial" w:eastAsia="Times New Roman" w:hAnsi="Arial" w:cs="Arial"/>
          <w:szCs w:val="28"/>
          <w:lang w:eastAsia="ru-RU"/>
        </w:rPr>
        <w:t>1, c.55].</w:t>
      </w:r>
    </w:p>
    <w:p w14:paraId="096466AB"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Сучасні тенденції цифровізації публічного адміністрування. На сьогоднішній день основними тенденціями цифровізації публічного адміністрування є впровадження електронного урядування, розвиток цифрових платформ для надання публічних послуг, застосування великих даних та штучного інтелекту для прийняття управлінських рішень, а також залучення громадян до процесів управління через цифрові канали комунікації. Ці технології дають можливість суттєво зменшити час на обробку запитів, підвищити прозорість органів влади та покращити доступність інформації для громадян. Особливо важливими є такі інструменти, як портали державних послуг, електронні документи, електронні підписи та онлайн-реєстрація, що значно спрощують взаємодію </w:t>
      </w:r>
      <w:r w:rsidRPr="00511005">
        <w:rPr>
          <w:rFonts w:ascii="Arial" w:eastAsia="Times New Roman" w:hAnsi="Arial" w:cs="Arial"/>
          <w:szCs w:val="28"/>
          <w:lang w:eastAsia="ru-RU"/>
        </w:rPr>
        <w:lastRenderedPageBreak/>
        <w:t xml:space="preserve">громадян із державними органами. Впровадження цих інструментів не лише підвищує ефективність, а й створює комфортні умови для розвитку демократичних </w:t>
      </w:r>
      <w:proofErr w:type="gramStart"/>
      <w:r w:rsidRPr="00511005">
        <w:rPr>
          <w:rFonts w:ascii="Arial" w:eastAsia="Times New Roman" w:hAnsi="Arial" w:cs="Arial"/>
          <w:szCs w:val="28"/>
          <w:lang w:eastAsia="ru-RU"/>
        </w:rPr>
        <w:t>процесів[</w:t>
      </w:r>
      <w:proofErr w:type="gramEnd"/>
      <w:r w:rsidRPr="00511005">
        <w:rPr>
          <w:rFonts w:ascii="Arial" w:eastAsia="Times New Roman" w:hAnsi="Arial" w:cs="Arial"/>
          <w:szCs w:val="28"/>
          <w:lang w:eastAsia="ru-RU"/>
        </w:rPr>
        <w:t>2, c.23].</w:t>
      </w:r>
    </w:p>
    <w:p w14:paraId="7C8ECDBA" w14:textId="77777777" w:rsidR="007B2628"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Перспективи розвитку цифрового публічного адміністрування. Перспективи цифрової трансформації публічного адміністрування в Україні є багатими та різноманітними. Серед основних напрямків розвитку є подальше впровадження інноваційних технологій у сфері публічного управління, зокрема розвиток системи електронного голосування, вдосконалення онлайн-реєстраційних та правових процедур, удосконалення платформи для надання публічних послуг. Іншим важливим напрямком є створення національних цифрових інфраструктур, які об'єднуватимуть інформаційні ресурси держави для забезпечення доступу до будь-яких послуг. Водночас необхідно продовжувати роботу щодо підвищення цифрової грамотності населення та держслужбовців. Важливим завданням є також зміцнення інформаційної безпеки, що дозволить гарантувати захист даних і знизити ризики кіберзагроз. У перспективі, цифровізація дозволить створити більш прозору та ефективну адміністративну систему, яка сприятиме соціально-економічному розвитку країни, розвитку інклюзивних і інноваційних підходів до вирішення державних </w:t>
      </w:r>
      <w:proofErr w:type="gramStart"/>
      <w:r w:rsidRPr="00511005">
        <w:rPr>
          <w:rFonts w:ascii="Arial" w:eastAsia="Times New Roman" w:hAnsi="Arial" w:cs="Arial"/>
          <w:szCs w:val="28"/>
          <w:lang w:eastAsia="ru-RU"/>
        </w:rPr>
        <w:t>завдань[</w:t>
      </w:r>
      <w:proofErr w:type="gramEnd"/>
      <w:r w:rsidRPr="00511005">
        <w:rPr>
          <w:rFonts w:ascii="Arial" w:eastAsia="Times New Roman" w:hAnsi="Arial" w:cs="Arial"/>
          <w:szCs w:val="28"/>
          <w:lang w:eastAsia="ru-RU"/>
        </w:rPr>
        <w:t>4, c.15].</w:t>
      </w:r>
    </w:p>
    <w:p w14:paraId="4047CA7B" w14:textId="69EE786D"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Цифровізація публічного адміністрування є важливою складовою частиною сучасної державної політики, яка здатна підвищити ефективність державного управління, доступність публічних послуг та прозорість органів влади. Виклики, які виникають у процесі цифровізації, зокрема недостатнє фінансування, брак кваліфікованих кадрів і прогалини в законодавчій базі, потребують системних і комплексних рішень. Сучасні тенденції, такі як впровадження електронного урядування, використання великих даних і штучного інтелекту, дозволяють значно підвищити ефективність публічного управління. У перспективі цифровізація публічного адміністрування в Україні сприятиме розвитку демократичних процесів, зниженню корупції та покращенню взаємодії держави з громадянами. Однак для досягнення цих цілей необхідно подолати існуючі виклики та забезпечити сталий розвиток цифрових інструментів.</w:t>
      </w:r>
    </w:p>
    <w:p w14:paraId="1D2FA308"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Існує ціла низка серйозних викликів, починаючи від банальної нестачі коштів і закінчуючи критично важливими питаннями кібербезпеки та готовності кадрів. Ігнорування цих проблем може звести нанівець усі потенційні переваги цифрової трансформації.</w:t>
      </w:r>
    </w:p>
    <w:p w14:paraId="478E3549"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Тому, на мій погляд, ключовим є комплексний та стратегічний підхід до цифровізації. Він повинен включати не лише активне впровадження новітніх технологій, але й одночасне вирішення наявних проблем. Це вимагає значних інвестицій, системної підготовки фахівців, розробки чіткої законодавчої бази та постійної уваги до питань інформаційної безпеки.</w:t>
      </w:r>
    </w:p>
    <w:p w14:paraId="359F0105"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Якщо Україна зможе ефективно подолати ці виклики та скористатися існуючими тенденціями, то перспективи розвитку цифрового публічного адміністрування виглядають дуже обнадійливо. Ми можемо створити дійсно зручну, прозору та ефективну систему державного управління, яка відповідатиме потребам сучасного суспільства та сприятиме подальшому розвитку країни. В іншому випадку, цифровізація ризикує залишитися лише набором окремих розрізнених ініціатив, не приносячи очікуваних системних змін.</w:t>
      </w:r>
    </w:p>
    <w:p w14:paraId="2FF6EBF1" w14:textId="77777777" w:rsidR="00B67481" w:rsidRPr="00511005" w:rsidRDefault="00B67481" w:rsidP="003A292D">
      <w:pPr>
        <w:spacing w:line="264" w:lineRule="auto"/>
        <w:jc w:val="left"/>
        <w:rPr>
          <w:rFonts w:ascii="Arial" w:eastAsia="Times New Roman" w:hAnsi="Arial" w:cs="Arial"/>
          <w:szCs w:val="28"/>
          <w:lang w:eastAsia="ru-RU"/>
        </w:rPr>
      </w:pPr>
    </w:p>
    <w:p w14:paraId="2EC64F33" w14:textId="774B9DDE" w:rsidR="00B67481"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08D9186B" w14:textId="77777777" w:rsidR="00B67481" w:rsidRPr="00511005" w:rsidRDefault="00B67481" w:rsidP="003F6A5D">
      <w:pPr>
        <w:numPr>
          <w:ilvl w:val="0"/>
          <w:numId w:val="268"/>
        </w:numPr>
        <w:spacing w:line="264" w:lineRule="auto"/>
        <w:ind w:left="0" w:firstLine="709"/>
        <w:jc w:val="left"/>
        <w:textAlignment w:val="baseline"/>
        <w:rPr>
          <w:rFonts w:ascii="Arial" w:eastAsia="Times New Roman" w:hAnsi="Arial" w:cs="Arial"/>
          <w:szCs w:val="28"/>
          <w:lang w:eastAsia="ru-RU"/>
        </w:rPr>
      </w:pPr>
      <w:r w:rsidRPr="00511005">
        <w:rPr>
          <w:rFonts w:ascii="Arial" w:eastAsia="Times New Roman" w:hAnsi="Arial" w:cs="Arial"/>
          <w:szCs w:val="28"/>
          <w:lang w:eastAsia="ru-RU"/>
        </w:rPr>
        <w:t>Бойко, О. І. (2020). Державне управління в умовах глобалізації: теоретичні та практичні аспекти. Київ: Ніка-Центр. 240 с.</w:t>
      </w:r>
    </w:p>
    <w:p w14:paraId="0B8A7FE4" w14:textId="77777777" w:rsidR="00B67481" w:rsidRPr="00511005" w:rsidRDefault="00B67481" w:rsidP="003F6A5D">
      <w:pPr>
        <w:numPr>
          <w:ilvl w:val="0"/>
          <w:numId w:val="268"/>
        </w:numPr>
        <w:spacing w:line="264" w:lineRule="auto"/>
        <w:ind w:left="0" w:firstLine="709"/>
        <w:jc w:val="left"/>
        <w:textAlignment w:val="baseline"/>
        <w:rPr>
          <w:rFonts w:ascii="Arial" w:eastAsia="Times New Roman" w:hAnsi="Arial" w:cs="Arial"/>
          <w:szCs w:val="28"/>
          <w:lang w:eastAsia="ru-RU"/>
        </w:rPr>
      </w:pPr>
      <w:r w:rsidRPr="00511005">
        <w:rPr>
          <w:rFonts w:ascii="Arial" w:eastAsia="Times New Roman" w:hAnsi="Arial" w:cs="Arial"/>
          <w:szCs w:val="28"/>
          <w:lang w:eastAsia="ru-RU"/>
        </w:rPr>
        <w:t>Іванова, Л. В. (2019). Глобалізаційні процеси та їх вплив на публічне адміністрування в Україні. Харків: Фоліо. 320 с.</w:t>
      </w:r>
    </w:p>
    <w:p w14:paraId="5B58F816" w14:textId="77777777" w:rsidR="00B67481" w:rsidRPr="00511005" w:rsidRDefault="00B67481" w:rsidP="003F6A5D">
      <w:pPr>
        <w:numPr>
          <w:ilvl w:val="0"/>
          <w:numId w:val="268"/>
        </w:numPr>
        <w:spacing w:line="264" w:lineRule="auto"/>
        <w:ind w:left="0" w:firstLine="709"/>
        <w:jc w:val="left"/>
        <w:textAlignment w:val="baseline"/>
        <w:rPr>
          <w:rFonts w:ascii="Arial" w:eastAsia="Times New Roman" w:hAnsi="Arial" w:cs="Arial"/>
          <w:szCs w:val="28"/>
          <w:lang w:eastAsia="ru-RU"/>
        </w:rPr>
      </w:pPr>
      <w:r w:rsidRPr="00511005">
        <w:rPr>
          <w:rFonts w:ascii="Arial" w:eastAsia="Times New Roman" w:hAnsi="Arial" w:cs="Arial"/>
          <w:szCs w:val="28"/>
          <w:lang w:eastAsia="ru-RU"/>
        </w:rPr>
        <w:t>Коваленко, А. А. (2018). Модернізація публічного адміністрування в умовах цифровізації. Київ: Вид-во Європейського університету. 280 с.</w:t>
      </w:r>
    </w:p>
    <w:p w14:paraId="7F324EE9" w14:textId="77777777" w:rsidR="00B67481" w:rsidRPr="00511005" w:rsidRDefault="00B67481" w:rsidP="003F6A5D">
      <w:pPr>
        <w:numPr>
          <w:ilvl w:val="0"/>
          <w:numId w:val="268"/>
        </w:numPr>
        <w:spacing w:line="264" w:lineRule="auto"/>
        <w:ind w:left="0" w:firstLine="709"/>
        <w:jc w:val="left"/>
        <w:textAlignment w:val="baseline"/>
        <w:rPr>
          <w:rFonts w:ascii="Arial" w:eastAsia="Times New Roman" w:hAnsi="Arial" w:cs="Arial"/>
          <w:szCs w:val="28"/>
          <w:lang w:eastAsia="ru-RU"/>
        </w:rPr>
      </w:pPr>
      <w:r w:rsidRPr="00511005">
        <w:rPr>
          <w:rFonts w:ascii="Arial" w:eastAsia="Times New Roman" w:hAnsi="Arial" w:cs="Arial"/>
          <w:szCs w:val="28"/>
          <w:lang w:eastAsia="ru-RU"/>
        </w:rPr>
        <w:t>Литвинова, В. О. (2021). Інновації в публічному управлінні: від традицій до цифрових технологій. Львів: Видавничий дім «Діса». 250 с.</w:t>
      </w:r>
    </w:p>
    <w:p w14:paraId="480A4890" w14:textId="77777777" w:rsidR="00B67481" w:rsidRPr="00511005" w:rsidRDefault="00B67481" w:rsidP="003A292D">
      <w:pPr>
        <w:tabs>
          <w:tab w:val="left" w:pos="993"/>
          <w:tab w:val="left" w:pos="7088"/>
        </w:tabs>
        <w:spacing w:line="264" w:lineRule="auto"/>
        <w:rPr>
          <w:rFonts w:ascii="Arial" w:eastAsia="Calibri" w:hAnsi="Arial" w:cs="Arial"/>
          <w:b/>
          <w:szCs w:val="28"/>
          <w:lang w:val="uk-UA" w:bidi="uk-UA"/>
        </w:rPr>
      </w:pPr>
    </w:p>
    <w:p w14:paraId="4D8EA955" w14:textId="45E8FBA7" w:rsidR="00B67481" w:rsidRPr="00511005" w:rsidRDefault="007B2628" w:rsidP="003A292D">
      <w:pPr>
        <w:tabs>
          <w:tab w:val="left" w:pos="993"/>
          <w:tab w:val="left" w:pos="7088"/>
        </w:tabs>
        <w:spacing w:line="264" w:lineRule="auto"/>
        <w:rPr>
          <w:rFonts w:ascii="Arial" w:eastAsia="Calibri" w:hAnsi="Arial" w:cs="Arial"/>
          <w:szCs w:val="28"/>
          <w:lang w:val="uk-UA" w:bidi="uk-UA"/>
        </w:rPr>
      </w:pPr>
      <w:r w:rsidRPr="00511005">
        <w:rPr>
          <w:rFonts w:ascii="Arial" w:eastAsia="Calibri" w:hAnsi="Arial" w:cs="Arial"/>
          <w:b/>
          <w:i/>
          <w:szCs w:val="28"/>
          <w:lang w:val="uk-UA" w:bidi="uk-UA"/>
        </w:rPr>
        <w:t xml:space="preserve">Ключові слова: </w:t>
      </w:r>
      <w:r w:rsidR="00B67481" w:rsidRPr="00511005">
        <w:rPr>
          <w:rFonts w:ascii="Arial" w:eastAsia="Calibri" w:hAnsi="Arial" w:cs="Arial"/>
          <w:szCs w:val="28"/>
          <w:lang w:val="uk-UA" w:bidi="uk-UA"/>
        </w:rPr>
        <w:t>ц</w:t>
      </w:r>
      <w:r w:rsidR="00B67481" w:rsidRPr="00511005">
        <w:rPr>
          <w:rFonts w:ascii="Arial" w:eastAsia="Times New Roman" w:hAnsi="Arial" w:cs="Arial"/>
          <w:szCs w:val="28"/>
          <w:lang w:val="uk-UA" w:eastAsia="ru-RU"/>
        </w:rPr>
        <w:t>ифровізація, публічне адміністрування, сучасна державна політика, електронне урядування.</w:t>
      </w:r>
    </w:p>
    <w:p w14:paraId="750306BB" w14:textId="6CB415B0" w:rsidR="00B67481" w:rsidRPr="00511005" w:rsidRDefault="007B2628" w:rsidP="003A292D">
      <w:pPr>
        <w:tabs>
          <w:tab w:val="left" w:pos="993"/>
          <w:tab w:val="left" w:pos="7088"/>
        </w:tabs>
        <w:spacing w:line="264" w:lineRule="auto"/>
        <w:rPr>
          <w:rFonts w:ascii="Arial" w:eastAsia="Calibri" w:hAnsi="Arial" w:cs="Arial"/>
          <w:szCs w:val="28"/>
          <w:lang w:val="uk-UA" w:bidi="uk-UA"/>
        </w:rPr>
      </w:pPr>
      <w:r w:rsidRPr="00511005">
        <w:rPr>
          <w:rFonts w:ascii="Arial" w:eastAsia="Calibri" w:hAnsi="Arial" w:cs="Arial"/>
          <w:b/>
          <w:i/>
          <w:szCs w:val="28"/>
          <w:lang w:val="uk-UA" w:bidi="uk-UA"/>
        </w:rPr>
        <w:t xml:space="preserve">Key words: </w:t>
      </w:r>
      <w:r w:rsidR="00B67481" w:rsidRPr="00511005">
        <w:rPr>
          <w:rFonts w:ascii="Arial" w:eastAsia="Calibri" w:hAnsi="Arial" w:cs="Arial"/>
          <w:szCs w:val="28"/>
          <w:lang w:val="uk-UA" w:bidi="uk-UA"/>
        </w:rPr>
        <w:t>digitalization, public administration, modern public policy, e-government.</w:t>
      </w:r>
    </w:p>
    <w:p w14:paraId="10262082" w14:textId="2D7F151D" w:rsidR="00B67481" w:rsidRPr="00511005" w:rsidRDefault="007B2628" w:rsidP="003A292D">
      <w:pPr>
        <w:spacing w:line="264" w:lineRule="auto"/>
        <w:rPr>
          <w:rFonts w:ascii="Arial" w:eastAsia="Calibri" w:hAnsi="Arial" w:cs="Arial"/>
          <w:b/>
          <w:bCs/>
          <w:i/>
          <w:iCs/>
          <w:szCs w:val="28"/>
          <w:lang w:val="uk-UA"/>
        </w:rPr>
      </w:pPr>
      <w:r w:rsidRPr="00511005">
        <w:rPr>
          <w:rFonts w:ascii="Arial" w:eastAsia="Calibri" w:hAnsi="Arial" w:cs="Arial"/>
          <w:b/>
          <w:bCs/>
          <w:i/>
          <w:szCs w:val="28"/>
        </w:rPr>
        <w:t xml:space="preserve">Науковий керівник: </w:t>
      </w:r>
      <w:r w:rsidR="00B67481" w:rsidRPr="00511005">
        <w:rPr>
          <w:rFonts w:ascii="Arial" w:eastAsia="Calibri" w:hAnsi="Arial" w:cs="Arial"/>
          <w:bCs/>
          <w:i/>
          <w:szCs w:val="28"/>
          <w:lang w:val="uk-UA"/>
        </w:rPr>
        <w:t>к.ю.н., доцент</w:t>
      </w:r>
      <w:r w:rsidR="00B67481" w:rsidRPr="00511005">
        <w:rPr>
          <w:rFonts w:ascii="Arial" w:eastAsia="Calibri" w:hAnsi="Arial" w:cs="Arial"/>
          <w:bCs/>
          <w:i/>
          <w:szCs w:val="28"/>
        </w:rPr>
        <w:t xml:space="preserve"> Козачук </w:t>
      </w:r>
      <w:r w:rsidR="00B67481" w:rsidRPr="00511005">
        <w:rPr>
          <w:rFonts w:ascii="Arial" w:eastAsia="Calibri" w:hAnsi="Arial" w:cs="Arial"/>
          <w:bCs/>
          <w:i/>
          <w:szCs w:val="28"/>
          <w:lang w:val="uk-UA"/>
        </w:rPr>
        <w:t>Д.А.</w:t>
      </w:r>
    </w:p>
    <w:p w14:paraId="21B9D659" w14:textId="77777777" w:rsidR="00B67481" w:rsidRPr="00511005" w:rsidRDefault="00B67481" w:rsidP="003A292D">
      <w:pPr>
        <w:spacing w:line="264" w:lineRule="auto"/>
        <w:ind w:firstLine="0"/>
        <w:jc w:val="left"/>
        <w:rPr>
          <w:rFonts w:ascii="Arial" w:eastAsia="Calibri" w:hAnsi="Arial" w:cs="Arial"/>
          <w:b/>
          <w:bCs/>
          <w:i/>
          <w:iCs/>
          <w:szCs w:val="28"/>
          <w:lang w:val="uk-UA"/>
        </w:rPr>
      </w:pPr>
    </w:p>
    <w:p w14:paraId="038993FF" w14:textId="77777777" w:rsidR="00B67481" w:rsidRPr="00511005" w:rsidRDefault="00B67481" w:rsidP="003A292D">
      <w:pPr>
        <w:spacing w:line="264" w:lineRule="auto"/>
        <w:ind w:firstLine="0"/>
        <w:jc w:val="center"/>
        <w:rPr>
          <w:rFonts w:ascii="Arial" w:eastAsia="Calibri" w:hAnsi="Arial" w:cs="Arial"/>
          <w:szCs w:val="28"/>
        </w:rPr>
      </w:pPr>
      <w:r w:rsidRPr="00511005">
        <w:rPr>
          <w:rFonts w:ascii="Arial" w:eastAsia="Calibri" w:hAnsi="Arial" w:cs="Arial"/>
          <w:b/>
          <w:bCs/>
          <w:i/>
          <w:iCs/>
          <w:szCs w:val="28"/>
        </w:rPr>
        <w:t>Миронова Ольга Павлівна</w:t>
      </w:r>
    </w:p>
    <w:p w14:paraId="4FFF57C8" w14:textId="10ED61E7" w:rsidR="00B67481" w:rsidRPr="00511005" w:rsidRDefault="00536AAB" w:rsidP="003A292D">
      <w:pPr>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студентка 2-го курсу </w:t>
      </w:r>
      <w:r w:rsidR="001B7B25" w:rsidRPr="00511005">
        <w:rPr>
          <w:rFonts w:ascii="Arial" w:eastAsia="Calibri" w:hAnsi="Arial" w:cs="Arial"/>
          <w:szCs w:val="28"/>
        </w:rPr>
        <w:t>факультету судового та міжнародного права</w:t>
      </w:r>
    </w:p>
    <w:p w14:paraId="11D76BB3" w14:textId="4C32870E" w:rsidR="00B67481" w:rsidRPr="00511005" w:rsidRDefault="007B2628" w:rsidP="003A292D">
      <w:pPr>
        <w:spacing w:line="264" w:lineRule="auto"/>
        <w:ind w:firstLine="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104B75EA" w14:textId="77777777" w:rsidR="00B67481" w:rsidRPr="00511005" w:rsidRDefault="00B67481" w:rsidP="003A292D">
      <w:pPr>
        <w:spacing w:line="264" w:lineRule="auto"/>
        <w:ind w:firstLine="0"/>
        <w:jc w:val="center"/>
        <w:rPr>
          <w:rFonts w:ascii="Arial" w:eastAsia="Calibri" w:hAnsi="Arial" w:cs="Arial"/>
          <w:szCs w:val="28"/>
        </w:rPr>
      </w:pPr>
    </w:p>
    <w:p w14:paraId="39F75B37" w14:textId="77777777" w:rsidR="00B67481" w:rsidRPr="00511005" w:rsidRDefault="00B67481" w:rsidP="003A292D">
      <w:pPr>
        <w:spacing w:line="264" w:lineRule="auto"/>
        <w:ind w:firstLine="0"/>
        <w:jc w:val="center"/>
        <w:rPr>
          <w:rFonts w:ascii="Arial" w:eastAsia="Calibri" w:hAnsi="Arial" w:cs="Arial"/>
          <w:szCs w:val="28"/>
        </w:rPr>
      </w:pPr>
      <w:r w:rsidRPr="00511005">
        <w:rPr>
          <w:rFonts w:ascii="Arial" w:eastAsia="Calibri" w:hAnsi="Arial" w:cs="Arial"/>
          <w:b/>
          <w:bCs/>
          <w:szCs w:val="28"/>
        </w:rPr>
        <w:t>ВОЄННІ ОБЛІГАЦІЇ ЯК ІНСТРУМЕНТ ДЕРЖАВНОГО ФІНАНСУВАННЯ: ФІНАНСОВО-ПРАВОВИЙ АНАЛІЗ</w:t>
      </w:r>
    </w:p>
    <w:p w14:paraId="61731236" w14:textId="18A56E0E"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Воєнні облігації є специфічним видом державних боргових цінних паперів, випуск яких зумовлений необхідністю фінансування потреб держави в умовах воєнного стану. У цьому контексті особливої уваги набуває комплексний аналіз сутності, механізмів випуску та обігу цих фінансових інструментів, а також їхньої ролі у системі державного фінансування. Дослідження правових аспектів державних цінних паперів проводили такі науковці, як </w:t>
      </w:r>
      <w:r w:rsidRPr="00511005">
        <w:rPr>
          <w:rFonts w:ascii="Arial" w:eastAsia="Calibri" w:hAnsi="Arial" w:cs="Arial"/>
          <w:b/>
          <w:bCs/>
          <w:szCs w:val="28"/>
        </w:rPr>
        <w:t>О.П. Орлюк</w:t>
      </w:r>
      <w:r w:rsidRPr="00511005">
        <w:rPr>
          <w:rFonts w:ascii="Arial" w:eastAsia="Calibri" w:hAnsi="Arial" w:cs="Arial"/>
          <w:szCs w:val="28"/>
        </w:rPr>
        <w:t xml:space="preserve">, яка розглядала питання правового регулювання фінансової діяльності держави та </w:t>
      </w:r>
      <w:r w:rsidRPr="00511005">
        <w:rPr>
          <w:rFonts w:ascii="Arial" w:eastAsia="Calibri" w:hAnsi="Arial" w:cs="Arial"/>
          <w:b/>
          <w:bCs/>
          <w:szCs w:val="28"/>
        </w:rPr>
        <w:t>І.В. Запатріна</w:t>
      </w:r>
      <w:r w:rsidRPr="00511005">
        <w:rPr>
          <w:rFonts w:ascii="Arial" w:eastAsia="Calibri" w:hAnsi="Arial" w:cs="Arial"/>
          <w:szCs w:val="28"/>
        </w:rPr>
        <w:t xml:space="preserve">, яка аналізувала державний борг та боргову політику, також дослідження державних фінансів та боргових інструментів у кризових умовах проводили </w:t>
      </w:r>
      <w:r w:rsidRPr="00511005">
        <w:rPr>
          <w:rFonts w:ascii="Arial" w:eastAsia="Calibri" w:hAnsi="Arial" w:cs="Arial"/>
          <w:szCs w:val="28"/>
        </w:rPr>
        <w:lastRenderedPageBreak/>
        <w:t xml:space="preserve">такі українські науковці, як </w:t>
      </w:r>
      <w:r w:rsidRPr="00511005">
        <w:rPr>
          <w:rFonts w:ascii="Arial" w:eastAsia="Calibri" w:hAnsi="Arial" w:cs="Arial"/>
          <w:b/>
          <w:bCs/>
          <w:szCs w:val="28"/>
        </w:rPr>
        <w:t>В.М. Федосов</w:t>
      </w:r>
      <w:r w:rsidRPr="00511005">
        <w:rPr>
          <w:rFonts w:ascii="Arial" w:eastAsia="Calibri" w:hAnsi="Arial" w:cs="Arial"/>
          <w:szCs w:val="28"/>
        </w:rPr>
        <w:t xml:space="preserve">, </w:t>
      </w:r>
      <w:r w:rsidRPr="00511005">
        <w:rPr>
          <w:rFonts w:ascii="Arial" w:eastAsia="Calibri" w:hAnsi="Arial" w:cs="Arial"/>
          <w:b/>
          <w:bCs/>
          <w:szCs w:val="28"/>
        </w:rPr>
        <w:t>С.І. Юрій</w:t>
      </w:r>
      <w:r w:rsidRPr="00511005">
        <w:rPr>
          <w:rFonts w:ascii="Arial" w:eastAsia="Calibri" w:hAnsi="Arial" w:cs="Arial"/>
          <w:szCs w:val="28"/>
        </w:rPr>
        <w:t xml:space="preserve">, </w:t>
      </w:r>
      <w:r w:rsidRPr="00511005">
        <w:rPr>
          <w:rFonts w:ascii="Arial" w:eastAsia="Calibri" w:hAnsi="Arial" w:cs="Arial"/>
          <w:b/>
          <w:bCs/>
          <w:szCs w:val="28"/>
        </w:rPr>
        <w:t>С.Л. Лондар</w:t>
      </w:r>
      <w:r w:rsidRPr="00511005">
        <w:rPr>
          <w:rFonts w:ascii="Arial" w:eastAsia="Calibri" w:hAnsi="Arial" w:cs="Arial"/>
          <w:szCs w:val="28"/>
        </w:rPr>
        <w:t xml:space="preserve">, </w:t>
      </w:r>
      <w:r w:rsidRPr="00511005">
        <w:rPr>
          <w:rFonts w:ascii="Arial" w:eastAsia="Calibri" w:hAnsi="Arial" w:cs="Arial"/>
          <w:b/>
          <w:bCs/>
          <w:szCs w:val="28"/>
        </w:rPr>
        <w:t>М.В. Тимошенко</w:t>
      </w:r>
      <w:r w:rsidRPr="00511005">
        <w:rPr>
          <w:rFonts w:ascii="Arial" w:eastAsia="Calibri" w:hAnsi="Arial" w:cs="Arial"/>
          <w:szCs w:val="28"/>
        </w:rPr>
        <w:t xml:space="preserve">, </w:t>
      </w:r>
      <w:r w:rsidRPr="00511005">
        <w:rPr>
          <w:rFonts w:ascii="Arial" w:eastAsia="Calibri" w:hAnsi="Arial" w:cs="Arial"/>
          <w:b/>
          <w:bCs/>
          <w:szCs w:val="28"/>
        </w:rPr>
        <w:t>З.С. Варналій</w:t>
      </w:r>
      <w:r w:rsidRPr="00511005">
        <w:rPr>
          <w:rFonts w:ascii="Arial" w:eastAsia="Calibri" w:hAnsi="Arial" w:cs="Arial"/>
          <w:szCs w:val="28"/>
        </w:rPr>
        <w:t xml:space="preserve"> та </w:t>
      </w:r>
      <w:r w:rsidRPr="00511005">
        <w:rPr>
          <w:rFonts w:ascii="Arial" w:eastAsia="Calibri" w:hAnsi="Arial" w:cs="Arial"/>
          <w:b/>
          <w:bCs/>
          <w:szCs w:val="28"/>
        </w:rPr>
        <w:t>О.В. Савич</w:t>
      </w:r>
      <w:r w:rsidRPr="00511005">
        <w:rPr>
          <w:rFonts w:ascii="Arial" w:eastAsia="Calibri" w:hAnsi="Arial" w:cs="Arial"/>
          <w:szCs w:val="28"/>
        </w:rPr>
        <w:t>.</w:t>
      </w:r>
      <w:r w:rsidR="007B2628" w:rsidRPr="00511005">
        <w:rPr>
          <w:rFonts w:ascii="Arial" w:eastAsia="Calibri" w:hAnsi="Arial" w:cs="Arial"/>
          <w:szCs w:val="28"/>
        </w:rPr>
        <w:t xml:space="preserve"> </w:t>
      </w:r>
    </w:p>
    <w:p w14:paraId="168E9B87"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Згідно з чинним законодавством, облігації внутрішньої державної позики України (ОВДП) – це державні цінні папери, які розміщуються виключно на внутрішньому ринку та засвідчують зобов'язання держави щодо повернення власникам цих облігацій їхньої номінальної вартості з виплатою доходу [1]. </w:t>
      </w:r>
    </w:p>
    <w:p w14:paraId="77F151D2" w14:textId="77777777" w:rsidR="00B67481" w:rsidRPr="00511005" w:rsidRDefault="00B67481" w:rsidP="003A292D">
      <w:pPr>
        <w:spacing w:line="264" w:lineRule="auto"/>
        <w:rPr>
          <w:rFonts w:ascii="Arial" w:eastAsia="Calibri" w:hAnsi="Arial" w:cs="Arial"/>
          <w:szCs w:val="28"/>
          <w:lang w:bidi="uk-UA"/>
        </w:rPr>
      </w:pPr>
      <w:r w:rsidRPr="00511005">
        <w:rPr>
          <w:rFonts w:ascii="Arial" w:eastAsia="Calibri" w:hAnsi="Arial" w:cs="Arial"/>
          <w:szCs w:val="28"/>
        </w:rPr>
        <w:t>Дослідження воєнних облігацій є особливо актуальним з огляду на критичну ситуацію, в якій опинилася Україна через збройну агресію. В умовах значного дефіциту бюджету та обмежених традиційних джерел фінансування, воєнні облігації стали вагомим інструментом для залучення коштів на потреби оборони та підтримки економічної стабільності держави.</w:t>
      </w:r>
    </w:p>
    <w:p w14:paraId="7FDCE5F0" w14:textId="308D785B"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Випуск воєнних облігацій є одним із способів залучення державою приватних коштів</w:t>
      </w:r>
      <w:r w:rsidR="007B2628" w:rsidRPr="00511005">
        <w:rPr>
          <w:rFonts w:ascii="Arial" w:eastAsia="Calibri" w:hAnsi="Arial" w:cs="Arial"/>
          <w:szCs w:val="28"/>
          <w:lang w:bidi="uk-UA"/>
        </w:rPr>
        <w:t xml:space="preserve"> </w:t>
      </w:r>
      <w:r w:rsidRPr="00511005">
        <w:rPr>
          <w:rFonts w:ascii="Arial" w:eastAsia="Calibri" w:hAnsi="Arial" w:cs="Arial"/>
          <w:szCs w:val="28"/>
          <w:lang w:bidi="uk-UA"/>
        </w:rPr>
        <w:t xml:space="preserve">для фінансування військових потреб, забезпечення національної безпеки та післявоєнного відновлення. В Україні право на їх випуск визначено бюджетним законодавством, що встановлює загальні правила державних </w:t>
      </w:r>
      <w:proofErr w:type="gramStart"/>
      <w:r w:rsidRPr="00511005">
        <w:rPr>
          <w:rFonts w:ascii="Arial" w:eastAsia="Calibri" w:hAnsi="Arial" w:cs="Arial"/>
          <w:szCs w:val="28"/>
          <w:lang w:bidi="uk-UA"/>
        </w:rPr>
        <w:t>запозичень[</w:t>
      </w:r>
      <w:proofErr w:type="gramEnd"/>
      <w:r w:rsidRPr="00511005">
        <w:rPr>
          <w:rFonts w:ascii="Arial" w:eastAsia="Calibri" w:hAnsi="Arial" w:cs="Arial"/>
          <w:szCs w:val="28"/>
          <w:lang w:bidi="uk-UA"/>
        </w:rPr>
        <w:t xml:space="preserve">2], та конкретизовано постановами Кабінету Міністрів України, які визначають умови кожного випуску облігацій внутрішньої державної позики, спрямованих на фінансування оборони[3]. Емісія таких облігацій передбачає особливі умови, що дозволяють державі залучати кошти як від внутрішніх інвесторів (громадян та компаній), так і міжнародні фінансові ресурси через іноземні банки та інвестиційні фонди. </w:t>
      </w:r>
      <w:r w:rsidRPr="00511005">
        <w:rPr>
          <w:rFonts w:ascii="Arial" w:eastAsia="Calibri" w:hAnsi="Arial" w:cs="Arial"/>
          <w:szCs w:val="28"/>
        </w:rPr>
        <w:t xml:space="preserve">Таким чином, правове регулювання цього інструменту державного боргу відбувається в межах існуючої нормативно-правової бази, адаптованої до умов воєнного стану. </w:t>
      </w:r>
    </w:p>
    <w:p w14:paraId="586E23BE"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Особливістю фінансування через воєнні облігації є їх здатність залучати кошти в короткі терміни, що є важливим у разі швидкої необхідності в грошових ресурсах. Крім того, такі облігації дозволяють зберігати довіру громадян до фінансової системи держави, адже їх погашення здійснюється урядом, що є надійним боржником. Ці облігації випускаються в бездокументарній формі та розміщуються через аукціони, що проводить Національний банк </w:t>
      </w:r>
      <w:proofErr w:type="gramStart"/>
      <w:r w:rsidRPr="00511005">
        <w:rPr>
          <w:rFonts w:ascii="Arial" w:eastAsia="Calibri" w:hAnsi="Arial" w:cs="Arial"/>
          <w:szCs w:val="28"/>
          <w:lang w:bidi="uk-UA"/>
        </w:rPr>
        <w:t>України(</w:t>
      </w:r>
      <w:proofErr w:type="gramEnd"/>
      <w:r w:rsidRPr="00511005">
        <w:rPr>
          <w:rFonts w:ascii="Arial" w:eastAsia="Calibri" w:hAnsi="Arial" w:cs="Arial"/>
          <w:szCs w:val="28"/>
          <w:lang w:bidi="uk-UA"/>
        </w:rPr>
        <w:t xml:space="preserve">НБУ), залучаючи кошти банків, юридичних та фізичних осіб. За оновленими даними НБУ з початку 2025 року уряд залучив від продажу / обміну ОВДП на аукціонах майже 104 млрд грн, а загалом упродовж воєнного стану – понад 1 561 млрд грн [4]. </w:t>
      </w:r>
    </w:p>
    <w:p w14:paraId="145E1E19" w14:textId="78DF045F"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Випуск воєнних облігацій, як правило, супроводжується певними гарантіями для інвесторів, що дозволяє забезпечити інтереси покупців облігацій і сприяє залученню великих обсягів коштів. </w:t>
      </w:r>
      <w:r w:rsidRPr="00511005">
        <w:rPr>
          <w:rFonts w:ascii="Arial" w:eastAsia="Calibri" w:hAnsi="Arial" w:cs="Arial"/>
          <w:szCs w:val="28"/>
        </w:rPr>
        <w:t xml:space="preserve">Чинне законодавство України передбачає низку фінансово-правових механізмів для стимулювання інвестицій у військові облігації. Зокрема, фізичні особи звільняються від оподаткування доходів, отриманих від цих цінних паперів [5], для них спрощено процедуру придбання через банківські установи та </w:t>
      </w:r>
      <w:r w:rsidRPr="00511005">
        <w:rPr>
          <w:rFonts w:ascii="Arial" w:eastAsia="Calibri" w:hAnsi="Arial" w:cs="Arial"/>
          <w:szCs w:val="28"/>
        </w:rPr>
        <w:lastRenderedPageBreak/>
        <w:t>платформу</w:t>
      </w:r>
      <w:r w:rsidR="007B2628" w:rsidRPr="00511005">
        <w:rPr>
          <w:rFonts w:ascii="Arial" w:eastAsia="Calibri" w:hAnsi="Arial" w:cs="Arial"/>
          <w:szCs w:val="28"/>
        </w:rPr>
        <w:t xml:space="preserve"> </w:t>
      </w:r>
      <w:r w:rsidRPr="00511005">
        <w:rPr>
          <w:rFonts w:ascii="Arial" w:eastAsia="Calibri" w:hAnsi="Arial" w:cs="Arial"/>
          <w:szCs w:val="28"/>
          <w:lang w:bidi="uk-UA"/>
        </w:rPr>
        <w:t>«</w:t>
      </w:r>
      <w:r w:rsidRPr="00511005">
        <w:rPr>
          <w:rFonts w:ascii="Arial" w:eastAsia="Calibri" w:hAnsi="Arial" w:cs="Arial"/>
          <w:szCs w:val="28"/>
        </w:rPr>
        <w:t>Дія</w:t>
      </w:r>
      <w:r w:rsidRPr="00511005">
        <w:rPr>
          <w:rFonts w:ascii="Arial" w:eastAsia="Calibri" w:hAnsi="Arial" w:cs="Arial"/>
          <w:szCs w:val="28"/>
          <w:lang w:bidi="uk-UA"/>
        </w:rPr>
        <w:t>»</w:t>
      </w:r>
      <w:r w:rsidRPr="00511005">
        <w:rPr>
          <w:rFonts w:ascii="Arial" w:eastAsia="Calibri" w:hAnsi="Arial" w:cs="Arial"/>
          <w:szCs w:val="28"/>
        </w:rPr>
        <w:t xml:space="preserve">, а самі облігації можуть слугувати заставою при отриманні кредитів. Однак, аналізуючи ці стимули, помітно, що основний акцент зроблено на залученні коштів населення, тоді як інституційні інвестори мають менше преференцій. Такий дисбаланс обмежує потенціал залучення довгострокових інвестицій, тому розробка диференційованої системи стимулів, що враховувала б інвестиційні горизонти та можливості різних категорій інвесторів, була б доцільною. </w:t>
      </w:r>
    </w:p>
    <w:p w14:paraId="79B55209"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Важливим є питання правової захищеності інвесторів, оскільки держава не може гарантувати безумовний успіх економічної політики, особливо під час війни. В умовах економічної нестабільності чи затримки у виконанні бюджетних зобов'язань є ризики, що можуть вплинути на здатність держави виконати свої зобов'язання щодо погашення облігацій. Особливу увагу слід звернути на зовнішні економічні фактори, які можуть вплинути на здатність держави виконувати свої зобов'язання, зокрема на зміну валютних курсів, рівень інфляції або зниження економічної активності через військові дії. Ці фактори можуть значно підвищити фінансові ризики як для держави, так і для інвесторів у воєнні облігації </w:t>
      </w:r>
    </w:p>
    <w:p w14:paraId="3C1922DF"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У міжнародній практиці випуск воєнних облігацій є поширеною практикою в умовах війни та національних криз. Наприклад, під час Першої та Другої світових воєн багато країн використовували облігації для фінансування своїх воєнних зусиль. У Сполучених Штатах Америки випуск воєнних облігацій став основним інструментом фінансування військових операцій під час Другої світової війни, і ця практика була підтримана національними органами влади та державними банками. В Україні, в умовах військових дій на сході країни, також було здійснено випуск воєнних облігацій, що стало одним із важливих інструментів фінансування витрат на </w:t>
      </w:r>
      <w:proofErr w:type="gramStart"/>
      <w:r w:rsidRPr="00511005">
        <w:rPr>
          <w:rFonts w:ascii="Arial" w:eastAsia="Calibri" w:hAnsi="Arial" w:cs="Arial"/>
          <w:szCs w:val="28"/>
          <w:lang w:bidi="uk-UA"/>
        </w:rPr>
        <w:t>оборону[</w:t>
      </w:r>
      <w:proofErr w:type="gramEnd"/>
      <w:r w:rsidRPr="00511005">
        <w:rPr>
          <w:rFonts w:ascii="Arial" w:eastAsia="Calibri" w:hAnsi="Arial" w:cs="Arial"/>
          <w:szCs w:val="28"/>
          <w:lang w:bidi="uk-UA"/>
        </w:rPr>
        <w:t>6].</w:t>
      </w:r>
    </w:p>
    <w:p w14:paraId="2B5BABBD" w14:textId="09423FF3"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Аналіз практики випуску та обігу військових облігацій в Україні виявив низку проблем, що потребують законодавчого вирішення, зокрема відсутність спеціального закону, недосконалість механізмів вторинного обігу та необхідність посилення гарантій прав інвесторів. На підставі аналізу зарубіжного досвіду та українських реалій доцільно запропонувати такі напрями вдосконалення: прийняття спеціального закону</w:t>
      </w:r>
      <w:r w:rsidR="007B2628" w:rsidRPr="00511005">
        <w:rPr>
          <w:rFonts w:ascii="Arial" w:eastAsia="Calibri" w:hAnsi="Arial" w:cs="Arial"/>
          <w:szCs w:val="28"/>
          <w:lang w:bidi="uk-UA"/>
        </w:rPr>
        <w:t xml:space="preserve"> </w:t>
      </w:r>
      <w:r w:rsidRPr="00511005">
        <w:rPr>
          <w:rFonts w:ascii="Arial" w:eastAsia="Calibri" w:hAnsi="Arial" w:cs="Arial"/>
          <w:szCs w:val="28"/>
          <w:lang w:bidi="uk-UA"/>
        </w:rPr>
        <w:t>«Про військові облігації», розширення каналів дистрибуції облігацій для фізичних осіб та запровадження додаткових податкових стимулів для корпоративних інвесторів. Особливу увагу слід приділити розвитку вторинного ринку військових облігацій, що підвищить їх ліквідність та привабливість, а також розглянути можливість випуску спеціальних серій облігацій з цільовим призначенням (наприклад, на відновлення критичної інфраструктури або на конкретні оборонні програми), що може посилити мотивацію інвесторів та забезпечити прозорість використання залучених коштів [7].</w:t>
      </w:r>
    </w:p>
    <w:p w14:paraId="76D84C9F"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lastRenderedPageBreak/>
        <w:t xml:space="preserve">Воєнні облігації стали ефективним інструментом державного фінансування в умовах збройної агресії, дозволивши мобілізувати значні внутрішні фінансові ресурси на потреби оборони. Проведений фінансово-правовий аналіз дозволяє стверджувати, що, попри успішність запровадження цього інструменту, існує значний потенціал для вдосконалення його правового регулювання та підвищення фінансової ефективності. </w:t>
      </w:r>
    </w:p>
    <w:p w14:paraId="63005D3B" w14:textId="77777777" w:rsidR="00B67481" w:rsidRPr="00511005" w:rsidRDefault="00B67481" w:rsidP="003A292D">
      <w:pPr>
        <w:tabs>
          <w:tab w:val="left" w:pos="7088"/>
        </w:tabs>
        <w:spacing w:line="264" w:lineRule="auto"/>
        <w:jc w:val="center"/>
        <w:rPr>
          <w:rFonts w:ascii="Arial" w:eastAsia="Calibri" w:hAnsi="Arial" w:cs="Arial"/>
          <w:szCs w:val="28"/>
          <w:lang w:bidi="uk-UA"/>
        </w:rPr>
      </w:pPr>
    </w:p>
    <w:p w14:paraId="200588D0" w14:textId="77A0C9DB" w:rsidR="00B67481" w:rsidRPr="00511005" w:rsidRDefault="007B2628" w:rsidP="007B2628">
      <w:pPr>
        <w:tabs>
          <w:tab w:val="left" w:pos="7088"/>
        </w:tabs>
        <w:spacing w:line="264" w:lineRule="auto"/>
        <w:jc w:val="center"/>
        <w:rPr>
          <w:rFonts w:ascii="Arial" w:eastAsia="Calibri" w:hAnsi="Arial" w:cs="Arial"/>
          <w:szCs w:val="28"/>
          <w:lang w:bidi="uk-UA"/>
        </w:rPr>
      </w:pPr>
      <w:r w:rsidRPr="00511005">
        <w:rPr>
          <w:rFonts w:ascii="Arial" w:eastAsia="Calibri" w:hAnsi="Arial" w:cs="Arial"/>
          <w:b/>
          <w:bCs/>
          <w:szCs w:val="28"/>
          <w:lang w:val="uk-UA" w:bidi="uk-UA"/>
        </w:rPr>
        <w:t>Список використаних джерел</w:t>
      </w:r>
    </w:p>
    <w:p w14:paraId="0F5E4804" w14:textId="77777777" w:rsidR="00B67481" w:rsidRPr="00511005" w:rsidRDefault="00B67481" w:rsidP="003A292D">
      <w:pPr>
        <w:tabs>
          <w:tab w:val="left" w:pos="567"/>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1. Про ринки капіталу та організовані товарні ринки: Закон України від 23.02.2006 № 3480-</w:t>
      </w:r>
      <w:r w:rsidRPr="00511005">
        <w:rPr>
          <w:rFonts w:ascii="Arial" w:eastAsia="Calibri" w:hAnsi="Arial" w:cs="Arial"/>
          <w:szCs w:val="28"/>
          <w:lang w:val="en-US" w:bidi="uk-UA"/>
        </w:rPr>
        <w:t>IV</w:t>
      </w:r>
      <w:r w:rsidRPr="00511005">
        <w:rPr>
          <w:rFonts w:ascii="Arial" w:eastAsia="Calibri" w:hAnsi="Arial" w:cs="Arial"/>
          <w:szCs w:val="28"/>
          <w:lang w:bidi="uk-UA"/>
        </w:rPr>
        <w:t xml:space="preserve"> (редакція від 01.01.2025) URL: https://zakon.rada.gov.ua/laws/show/3480-15?find=1&amp;text=облігації#top (дата звернення 12.04.2025).</w:t>
      </w:r>
    </w:p>
    <w:p w14:paraId="2EFD7AA0" w14:textId="77777777" w:rsidR="00B67481" w:rsidRPr="00511005" w:rsidRDefault="00B67481" w:rsidP="003A292D">
      <w:pPr>
        <w:tabs>
          <w:tab w:val="left" w:pos="567"/>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2. Бюджетний кодекс України: Закон України від 08.07.2010 №2456-</w:t>
      </w:r>
      <w:r w:rsidRPr="00511005">
        <w:rPr>
          <w:rFonts w:ascii="Arial" w:eastAsia="Calibri" w:hAnsi="Arial" w:cs="Arial"/>
          <w:szCs w:val="28"/>
          <w:lang w:val="en-US" w:bidi="uk-UA"/>
        </w:rPr>
        <w:t>VI</w:t>
      </w:r>
      <w:r w:rsidRPr="00511005">
        <w:rPr>
          <w:rFonts w:ascii="Arial" w:eastAsia="Calibri" w:hAnsi="Arial" w:cs="Arial"/>
          <w:szCs w:val="28"/>
          <w:lang w:bidi="uk-UA"/>
        </w:rPr>
        <w:t xml:space="preserve"> (редакція від 05.03.2025) URL: https://zakon.rada.gov.ua/laws/show/2456-17#Text (дата звернення 12.04.2025).</w:t>
      </w:r>
    </w:p>
    <w:p w14:paraId="4D56164E" w14:textId="774B4176" w:rsidR="00B67481" w:rsidRPr="00511005" w:rsidRDefault="00B67481" w:rsidP="003A292D">
      <w:pPr>
        <w:tabs>
          <w:tab w:val="left" w:pos="567"/>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3. Про випуск облігацій внутрішньої державної позики «Військові облігації</w:t>
      </w:r>
      <w:proofErr w:type="gramStart"/>
      <w:r w:rsidRPr="00511005">
        <w:rPr>
          <w:rFonts w:ascii="Arial" w:eastAsia="Calibri" w:hAnsi="Arial" w:cs="Arial"/>
          <w:szCs w:val="28"/>
          <w:lang w:bidi="uk-UA"/>
        </w:rPr>
        <w:t>» :</w:t>
      </w:r>
      <w:proofErr w:type="gramEnd"/>
      <w:r w:rsidRPr="00511005">
        <w:rPr>
          <w:rFonts w:ascii="Arial" w:eastAsia="Calibri" w:hAnsi="Arial" w:cs="Arial"/>
          <w:szCs w:val="28"/>
          <w:lang w:bidi="uk-UA"/>
        </w:rPr>
        <w:t xml:space="preserve"> Постанова Кабінету Міністрів від 25.05.2022 № 156 (редакція від 09.06.2022)</w:t>
      </w:r>
      <w:r w:rsidR="007B2628" w:rsidRPr="00511005">
        <w:rPr>
          <w:rFonts w:ascii="Arial" w:eastAsia="Calibri" w:hAnsi="Arial" w:cs="Arial"/>
          <w:szCs w:val="28"/>
          <w:lang w:bidi="uk-UA"/>
        </w:rPr>
        <w:t xml:space="preserve"> </w:t>
      </w:r>
      <w:r w:rsidRPr="00511005">
        <w:rPr>
          <w:rFonts w:ascii="Arial" w:eastAsia="Calibri" w:hAnsi="Arial" w:cs="Arial"/>
          <w:szCs w:val="28"/>
          <w:lang w:bidi="uk-UA"/>
        </w:rPr>
        <w:t>URL: https://zakon.rada.gov.ua/laws/show/156-2022-п#Text (дата звернення 12.04.2025).</w:t>
      </w:r>
    </w:p>
    <w:p w14:paraId="7AA2816E" w14:textId="382BA3C7" w:rsidR="00B67481" w:rsidRPr="00511005" w:rsidRDefault="00B67481" w:rsidP="003A292D">
      <w:pPr>
        <w:tabs>
          <w:tab w:val="left" w:pos="567"/>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4.Офіційний сайт Національного банку України. URL: https://bank.gov.ua/</w:t>
      </w:r>
      <w:r w:rsidR="007B2628" w:rsidRPr="00511005">
        <w:rPr>
          <w:rFonts w:ascii="Arial" w:eastAsia="Calibri" w:hAnsi="Arial" w:cs="Arial"/>
          <w:szCs w:val="28"/>
          <w:lang w:bidi="uk-UA"/>
        </w:rPr>
        <w:t xml:space="preserve"> </w:t>
      </w:r>
      <w:r w:rsidRPr="00511005">
        <w:rPr>
          <w:rFonts w:ascii="Arial" w:eastAsia="Calibri" w:hAnsi="Arial" w:cs="Arial"/>
          <w:szCs w:val="28"/>
          <w:lang w:bidi="uk-UA"/>
        </w:rPr>
        <w:t>(дата звернення 12.04.2025).</w:t>
      </w:r>
    </w:p>
    <w:p w14:paraId="474C43A9" w14:textId="77777777" w:rsidR="00B67481" w:rsidRPr="00511005" w:rsidRDefault="00B67481" w:rsidP="003A292D">
      <w:pPr>
        <w:tabs>
          <w:tab w:val="left" w:pos="567"/>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5. Податковий кодекс України: Закон України від 02.12.2010 №2755-</w:t>
      </w:r>
      <w:r w:rsidRPr="00511005">
        <w:rPr>
          <w:rFonts w:ascii="Arial" w:eastAsia="Calibri" w:hAnsi="Arial" w:cs="Arial"/>
          <w:szCs w:val="28"/>
          <w:lang w:val="en-US" w:bidi="uk-UA"/>
        </w:rPr>
        <w:t>IV</w:t>
      </w:r>
      <w:r w:rsidRPr="00511005">
        <w:rPr>
          <w:rFonts w:ascii="Arial" w:eastAsia="Calibri" w:hAnsi="Arial" w:cs="Arial"/>
          <w:szCs w:val="28"/>
          <w:lang w:bidi="uk-UA"/>
        </w:rPr>
        <w:t xml:space="preserve"> (редакція від 01.04.2025) URL: https://zakon.rada.gov.ua/laws/show/2755-17#Text (дата звернення 12.04.2025).</w:t>
      </w:r>
    </w:p>
    <w:p w14:paraId="53CC770C" w14:textId="3AFFA031" w:rsidR="00B67481" w:rsidRPr="00511005" w:rsidRDefault="00B67481" w:rsidP="003A292D">
      <w:pPr>
        <w:tabs>
          <w:tab w:val="left" w:pos="567"/>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6. Пивоваров С., Спірін Є. </w:t>
      </w:r>
      <w:r w:rsidRPr="00511005">
        <w:rPr>
          <w:rFonts w:ascii="Arial" w:eastAsia="Calibri" w:hAnsi="Arial" w:cs="Arial"/>
          <w:b/>
          <w:bCs/>
          <w:szCs w:val="28"/>
          <w:lang w:bidi="uk-UA"/>
        </w:rPr>
        <w:t>Україна випустила військові облігації задля підтримки армії.</w:t>
      </w:r>
      <w:r w:rsidRPr="00511005">
        <w:rPr>
          <w:rFonts w:ascii="Arial" w:eastAsia="Calibri" w:hAnsi="Arial" w:cs="Arial"/>
          <w:szCs w:val="28"/>
          <w:lang w:bidi="uk-UA"/>
        </w:rPr>
        <w:t xml:space="preserve"> А так уже хтось робив раніше? І це допомагало у війні? Ще й як! І борги повертали не лише переможці — історія в архівних </w:t>
      </w:r>
      <w:proofErr w:type="gramStart"/>
      <w:r w:rsidRPr="00511005">
        <w:rPr>
          <w:rFonts w:ascii="Arial" w:eastAsia="Calibri" w:hAnsi="Arial" w:cs="Arial"/>
          <w:szCs w:val="28"/>
          <w:lang w:bidi="uk-UA"/>
        </w:rPr>
        <w:t>фото ,</w:t>
      </w:r>
      <w:proofErr w:type="gramEnd"/>
      <w:r w:rsidRPr="00511005">
        <w:rPr>
          <w:rFonts w:ascii="Arial" w:eastAsia="Calibri" w:hAnsi="Arial" w:cs="Arial"/>
          <w:szCs w:val="28"/>
          <w:lang w:bidi="uk-UA"/>
        </w:rPr>
        <w:t xml:space="preserve"> 2022 .</w:t>
      </w:r>
      <w:r w:rsidR="007B2628" w:rsidRPr="00511005">
        <w:rPr>
          <w:rFonts w:ascii="Arial" w:eastAsia="Calibri" w:hAnsi="Arial" w:cs="Arial"/>
          <w:szCs w:val="28"/>
          <w:lang w:bidi="uk-UA"/>
        </w:rPr>
        <w:t xml:space="preserve"> </w:t>
      </w:r>
      <w:r w:rsidRPr="00511005">
        <w:rPr>
          <w:rFonts w:ascii="Arial" w:eastAsia="Calibri" w:hAnsi="Arial" w:cs="Arial"/>
          <w:szCs w:val="28"/>
          <w:lang w:val="en-US" w:bidi="uk-UA"/>
        </w:rPr>
        <w:t>URL</w:t>
      </w:r>
      <w:r w:rsidRPr="00511005">
        <w:rPr>
          <w:rFonts w:ascii="Arial" w:eastAsia="Calibri" w:hAnsi="Arial" w:cs="Arial"/>
          <w:szCs w:val="28"/>
          <w:lang w:bidi="uk-UA"/>
        </w:rPr>
        <w:t xml:space="preserve">: </w:t>
      </w:r>
      <w:r w:rsidRPr="00511005">
        <w:rPr>
          <w:rFonts w:ascii="Arial" w:eastAsia="Calibri" w:hAnsi="Arial" w:cs="Arial"/>
          <w:szCs w:val="28"/>
          <w:lang w:val="en-US" w:bidi="uk-UA"/>
        </w:rPr>
        <w:t>https</w:t>
      </w:r>
      <w:r w:rsidRPr="00511005">
        <w:rPr>
          <w:rFonts w:ascii="Arial" w:eastAsia="Calibri" w:hAnsi="Arial" w:cs="Arial"/>
          <w:szCs w:val="28"/>
          <w:lang w:bidi="uk-UA"/>
        </w:rPr>
        <w:t>://</w:t>
      </w:r>
      <w:r w:rsidRPr="00511005">
        <w:rPr>
          <w:rFonts w:ascii="Arial" w:eastAsia="Calibri" w:hAnsi="Arial" w:cs="Arial"/>
          <w:szCs w:val="28"/>
          <w:lang w:val="en-US" w:bidi="uk-UA"/>
        </w:rPr>
        <w:t>babel</w:t>
      </w:r>
      <w:r w:rsidRPr="00511005">
        <w:rPr>
          <w:rFonts w:ascii="Arial" w:eastAsia="Calibri" w:hAnsi="Arial" w:cs="Arial"/>
          <w:szCs w:val="28"/>
          <w:lang w:bidi="uk-UA"/>
        </w:rPr>
        <w:t>.</w:t>
      </w:r>
      <w:r w:rsidRPr="00511005">
        <w:rPr>
          <w:rFonts w:ascii="Arial" w:eastAsia="Calibri" w:hAnsi="Arial" w:cs="Arial"/>
          <w:szCs w:val="28"/>
          <w:lang w:val="en-US" w:bidi="uk-UA"/>
        </w:rPr>
        <w:t>ua</w:t>
      </w:r>
      <w:r w:rsidRPr="00511005">
        <w:rPr>
          <w:rFonts w:ascii="Arial" w:eastAsia="Calibri" w:hAnsi="Arial" w:cs="Arial"/>
          <w:szCs w:val="28"/>
          <w:lang w:bidi="uk-UA"/>
        </w:rPr>
        <w:t>/</w:t>
      </w:r>
      <w:r w:rsidRPr="00511005">
        <w:rPr>
          <w:rFonts w:ascii="Arial" w:eastAsia="Calibri" w:hAnsi="Arial" w:cs="Arial"/>
          <w:szCs w:val="28"/>
          <w:lang w:val="en-US" w:bidi="uk-UA"/>
        </w:rPr>
        <w:t>texts</w:t>
      </w:r>
      <w:r w:rsidRPr="00511005">
        <w:rPr>
          <w:rFonts w:ascii="Arial" w:eastAsia="Calibri" w:hAnsi="Arial" w:cs="Arial"/>
          <w:szCs w:val="28"/>
          <w:lang w:bidi="uk-UA"/>
        </w:rPr>
        <w:t>/78615-</w:t>
      </w:r>
      <w:r w:rsidRPr="00511005">
        <w:rPr>
          <w:rFonts w:ascii="Arial" w:eastAsia="Calibri" w:hAnsi="Arial" w:cs="Arial"/>
          <w:szCs w:val="28"/>
          <w:lang w:val="en-US" w:bidi="uk-UA"/>
        </w:rPr>
        <w:t>ukrajina</w:t>
      </w:r>
      <w:r w:rsidRPr="00511005">
        <w:rPr>
          <w:rFonts w:ascii="Arial" w:eastAsia="Calibri" w:hAnsi="Arial" w:cs="Arial"/>
          <w:szCs w:val="28"/>
          <w:lang w:bidi="uk-UA"/>
        </w:rPr>
        <w:t>-</w:t>
      </w:r>
      <w:r w:rsidRPr="00511005">
        <w:rPr>
          <w:rFonts w:ascii="Arial" w:eastAsia="Calibri" w:hAnsi="Arial" w:cs="Arial"/>
          <w:szCs w:val="28"/>
          <w:lang w:val="en-US" w:bidi="uk-UA"/>
        </w:rPr>
        <w:t>vipustila</w:t>
      </w:r>
      <w:r w:rsidRPr="00511005">
        <w:rPr>
          <w:rFonts w:ascii="Arial" w:eastAsia="Calibri" w:hAnsi="Arial" w:cs="Arial"/>
          <w:szCs w:val="28"/>
          <w:lang w:bidi="uk-UA"/>
        </w:rPr>
        <w:t>-</w:t>
      </w:r>
      <w:r w:rsidRPr="00511005">
        <w:rPr>
          <w:rFonts w:ascii="Arial" w:eastAsia="Calibri" w:hAnsi="Arial" w:cs="Arial"/>
          <w:szCs w:val="28"/>
          <w:lang w:val="en-US" w:bidi="uk-UA"/>
        </w:rPr>
        <w:t>viyskovi</w:t>
      </w:r>
      <w:r w:rsidRPr="00511005">
        <w:rPr>
          <w:rFonts w:ascii="Arial" w:eastAsia="Calibri" w:hAnsi="Arial" w:cs="Arial"/>
          <w:szCs w:val="28"/>
          <w:lang w:bidi="uk-UA"/>
        </w:rPr>
        <w:t>-</w:t>
      </w:r>
      <w:r w:rsidRPr="00511005">
        <w:rPr>
          <w:rFonts w:ascii="Arial" w:eastAsia="Calibri" w:hAnsi="Arial" w:cs="Arial"/>
          <w:szCs w:val="28"/>
          <w:lang w:val="en-US" w:bidi="uk-UA"/>
        </w:rPr>
        <w:t>obligaciji</w:t>
      </w:r>
      <w:r w:rsidRPr="00511005">
        <w:rPr>
          <w:rFonts w:ascii="Arial" w:eastAsia="Calibri" w:hAnsi="Arial" w:cs="Arial"/>
          <w:szCs w:val="28"/>
          <w:lang w:bidi="uk-UA"/>
        </w:rPr>
        <w:t>-</w:t>
      </w:r>
      <w:r w:rsidRPr="00511005">
        <w:rPr>
          <w:rFonts w:ascii="Arial" w:eastAsia="Calibri" w:hAnsi="Arial" w:cs="Arial"/>
          <w:szCs w:val="28"/>
          <w:lang w:val="en-US" w:bidi="uk-UA"/>
        </w:rPr>
        <w:t>zadlya</w:t>
      </w:r>
      <w:r w:rsidRPr="00511005">
        <w:rPr>
          <w:rFonts w:ascii="Arial" w:eastAsia="Calibri" w:hAnsi="Arial" w:cs="Arial"/>
          <w:szCs w:val="28"/>
          <w:lang w:bidi="uk-UA"/>
        </w:rPr>
        <w:t>-</w:t>
      </w:r>
      <w:r w:rsidRPr="00511005">
        <w:rPr>
          <w:rFonts w:ascii="Arial" w:eastAsia="Calibri" w:hAnsi="Arial" w:cs="Arial"/>
          <w:szCs w:val="28"/>
          <w:lang w:val="en-US" w:bidi="uk-UA"/>
        </w:rPr>
        <w:t>pidtrimki</w:t>
      </w:r>
      <w:r w:rsidRPr="00511005">
        <w:rPr>
          <w:rFonts w:ascii="Arial" w:eastAsia="Calibri" w:hAnsi="Arial" w:cs="Arial"/>
          <w:szCs w:val="28"/>
          <w:lang w:bidi="uk-UA"/>
        </w:rPr>
        <w:t>-</w:t>
      </w:r>
      <w:r w:rsidRPr="00511005">
        <w:rPr>
          <w:rFonts w:ascii="Arial" w:eastAsia="Calibri" w:hAnsi="Arial" w:cs="Arial"/>
          <w:szCs w:val="28"/>
          <w:lang w:val="en-US" w:bidi="uk-UA"/>
        </w:rPr>
        <w:t>armiji</w:t>
      </w:r>
      <w:r w:rsidRPr="00511005">
        <w:rPr>
          <w:rFonts w:ascii="Arial" w:eastAsia="Calibri" w:hAnsi="Arial" w:cs="Arial"/>
          <w:szCs w:val="28"/>
          <w:lang w:bidi="uk-UA"/>
        </w:rPr>
        <w:t>-</w:t>
      </w:r>
      <w:r w:rsidRPr="00511005">
        <w:rPr>
          <w:rFonts w:ascii="Arial" w:eastAsia="Calibri" w:hAnsi="Arial" w:cs="Arial"/>
          <w:szCs w:val="28"/>
          <w:lang w:val="en-US" w:bidi="uk-UA"/>
        </w:rPr>
        <w:t>a</w:t>
      </w:r>
      <w:r w:rsidRPr="00511005">
        <w:rPr>
          <w:rFonts w:ascii="Arial" w:eastAsia="Calibri" w:hAnsi="Arial" w:cs="Arial"/>
          <w:szCs w:val="28"/>
          <w:lang w:bidi="uk-UA"/>
        </w:rPr>
        <w:t>-</w:t>
      </w:r>
      <w:r w:rsidRPr="00511005">
        <w:rPr>
          <w:rFonts w:ascii="Arial" w:eastAsia="Calibri" w:hAnsi="Arial" w:cs="Arial"/>
          <w:szCs w:val="28"/>
          <w:lang w:val="en-US" w:bidi="uk-UA"/>
        </w:rPr>
        <w:t>tak</w:t>
      </w:r>
      <w:r w:rsidRPr="00511005">
        <w:rPr>
          <w:rFonts w:ascii="Arial" w:eastAsia="Calibri" w:hAnsi="Arial" w:cs="Arial"/>
          <w:szCs w:val="28"/>
          <w:lang w:bidi="uk-UA"/>
        </w:rPr>
        <w:t>-</w:t>
      </w:r>
      <w:r w:rsidRPr="00511005">
        <w:rPr>
          <w:rFonts w:ascii="Arial" w:eastAsia="Calibri" w:hAnsi="Arial" w:cs="Arial"/>
          <w:szCs w:val="28"/>
          <w:lang w:val="en-US" w:bidi="uk-UA"/>
        </w:rPr>
        <w:t>uzhe</w:t>
      </w:r>
      <w:r w:rsidRPr="00511005">
        <w:rPr>
          <w:rFonts w:ascii="Arial" w:eastAsia="Calibri" w:hAnsi="Arial" w:cs="Arial"/>
          <w:szCs w:val="28"/>
          <w:lang w:bidi="uk-UA"/>
        </w:rPr>
        <w:t>-</w:t>
      </w:r>
      <w:r w:rsidRPr="00511005">
        <w:rPr>
          <w:rFonts w:ascii="Arial" w:eastAsia="Calibri" w:hAnsi="Arial" w:cs="Arial"/>
          <w:szCs w:val="28"/>
          <w:lang w:val="en-US" w:bidi="uk-UA"/>
        </w:rPr>
        <w:t>htos</w:t>
      </w:r>
      <w:r w:rsidRPr="00511005">
        <w:rPr>
          <w:rFonts w:ascii="Arial" w:eastAsia="Calibri" w:hAnsi="Arial" w:cs="Arial"/>
          <w:szCs w:val="28"/>
          <w:lang w:bidi="uk-UA"/>
        </w:rPr>
        <w:t>-</w:t>
      </w:r>
      <w:r w:rsidRPr="00511005">
        <w:rPr>
          <w:rFonts w:ascii="Arial" w:eastAsia="Calibri" w:hAnsi="Arial" w:cs="Arial"/>
          <w:szCs w:val="28"/>
          <w:lang w:val="en-US" w:bidi="uk-UA"/>
        </w:rPr>
        <w:t>robiv</w:t>
      </w:r>
      <w:r w:rsidRPr="00511005">
        <w:rPr>
          <w:rFonts w:ascii="Arial" w:eastAsia="Calibri" w:hAnsi="Arial" w:cs="Arial"/>
          <w:szCs w:val="28"/>
          <w:lang w:bidi="uk-UA"/>
        </w:rPr>
        <w:t>-</w:t>
      </w:r>
      <w:r w:rsidRPr="00511005">
        <w:rPr>
          <w:rFonts w:ascii="Arial" w:eastAsia="Calibri" w:hAnsi="Arial" w:cs="Arial"/>
          <w:szCs w:val="28"/>
          <w:lang w:val="en-US" w:bidi="uk-UA"/>
        </w:rPr>
        <w:t>ranishe</w:t>
      </w:r>
      <w:r w:rsidRPr="00511005">
        <w:rPr>
          <w:rFonts w:ascii="Arial" w:eastAsia="Calibri" w:hAnsi="Arial" w:cs="Arial"/>
          <w:szCs w:val="28"/>
          <w:lang w:bidi="uk-UA"/>
        </w:rPr>
        <w:t>-</w:t>
      </w:r>
      <w:r w:rsidRPr="00511005">
        <w:rPr>
          <w:rFonts w:ascii="Arial" w:eastAsia="Calibri" w:hAnsi="Arial" w:cs="Arial"/>
          <w:szCs w:val="28"/>
          <w:lang w:val="en-US" w:bidi="uk-UA"/>
        </w:rPr>
        <w:t>i</w:t>
      </w:r>
      <w:r w:rsidRPr="00511005">
        <w:rPr>
          <w:rFonts w:ascii="Arial" w:eastAsia="Calibri" w:hAnsi="Arial" w:cs="Arial"/>
          <w:szCs w:val="28"/>
          <w:lang w:bidi="uk-UA"/>
        </w:rPr>
        <w:t>-</w:t>
      </w:r>
      <w:r w:rsidRPr="00511005">
        <w:rPr>
          <w:rFonts w:ascii="Arial" w:eastAsia="Calibri" w:hAnsi="Arial" w:cs="Arial"/>
          <w:szCs w:val="28"/>
          <w:lang w:val="en-US" w:bidi="uk-UA"/>
        </w:rPr>
        <w:t>ce</w:t>
      </w:r>
      <w:r w:rsidRPr="00511005">
        <w:rPr>
          <w:rFonts w:ascii="Arial" w:eastAsia="Calibri" w:hAnsi="Arial" w:cs="Arial"/>
          <w:szCs w:val="28"/>
          <w:lang w:bidi="uk-UA"/>
        </w:rPr>
        <w:t>-</w:t>
      </w:r>
      <w:r w:rsidRPr="00511005">
        <w:rPr>
          <w:rFonts w:ascii="Arial" w:eastAsia="Calibri" w:hAnsi="Arial" w:cs="Arial"/>
          <w:szCs w:val="28"/>
          <w:lang w:val="en-US" w:bidi="uk-UA"/>
        </w:rPr>
        <w:t>dopomagalo</w:t>
      </w:r>
      <w:r w:rsidRPr="00511005">
        <w:rPr>
          <w:rFonts w:ascii="Arial" w:eastAsia="Calibri" w:hAnsi="Arial" w:cs="Arial"/>
          <w:szCs w:val="28"/>
          <w:lang w:bidi="uk-UA"/>
        </w:rPr>
        <w:t>-</w:t>
      </w:r>
      <w:r w:rsidRPr="00511005">
        <w:rPr>
          <w:rFonts w:ascii="Arial" w:eastAsia="Calibri" w:hAnsi="Arial" w:cs="Arial"/>
          <w:szCs w:val="28"/>
          <w:lang w:val="en-US" w:bidi="uk-UA"/>
        </w:rPr>
        <w:t>u</w:t>
      </w:r>
      <w:r w:rsidRPr="00511005">
        <w:rPr>
          <w:rFonts w:ascii="Arial" w:eastAsia="Calibri" w:hAnsi="Arial" w:cs="Arial"/>
          <w:szCs w:val="28"/>
          <w:lang w:bidi="uk-UA"/>
        </w:rPr>
        <w:t>-</w:t>
      </w:r>
      <w:r w:rsidRPr="00511005">
        <w:rPr>
          <w:rFonts w:ascii="Arial" w:eastAsia="Calibri" w:hAnsi="Arial" w:cs="Arial"/>
          <w:szCs w:val="28"/>
          <w:lang w:val="en-US" w:bidi="uk-UA"/>
        </w:rPr>
        <w:t>viyni</w:t>
      </w:r>
      <w:r w:rsidRPr="00511005">
        <w:rPr>
          <w:rFonts w:ascii="Arial" w:eastAsia="Calibri" w:hAnsi="Arial" w:cs="Arial"/>
          <w:szCs w:val="28"/>
          <w:lang w:bidi="uk-UA"/>
        </w:rPr>
        <w:t>-</w:t>
      </w:r>
      <w:r w:rsidRPr="00511005">
        <w:rPr>
          <w:rFonts w:ascii="Arial" w:eastAsia="Calibri" w:hAnsi="Arial" w:cs="Arial"/>
          <w:szCs w:val="28"/>
          <w:lang w:val="en-US" w:bidi="uk-UA"/>
        </w:rPr>
        <w:t>shche</w:t>
      </w:r>
      <w:r w:rsidRPr="00511005">
        <w:rPr>
          <w:rFonts w:ascii="Arial" w:eastAsia="Calibri" w:hAnsi="Arial" w:cs="Arial"/>
          <w:szCs w:val="28"/>
          <w:lang w:bidi="uk-UA"/>
        </w:rPr>
        <w:t>-</w:t>
      </w:r>
      <w:r w:rsidRPr="00511005">
        <w:rPr>
          <w:rFonts w:ascii="Arial" w:eastAsia="Calibri" w:hAnsi="Arial" w:cs="Arial"/>
          <w:szCs w:val="28"/>
          <w:lang w:val="en-US" w:bidi="uk-UA"/>
        </w:rPr>
        <w:t>y</w:t>
      </w:r>
      <w:r w:rsidRPr="00511005">
        <w:rPr>
          <w:rFonts w:ascii="Arial" w:eastAsia="Calibri" w:hAnsi="Arial" w:cs="Arial"/>
          <w:szCs w:val="28"/>
          <w:lang w:bidi="uk-UA"/>
        </w:rPr>
        <w:t>-</w:t>
      </w:r>
      <w:r w:rsidRPr="00511005">
        <w:rPr>
          <w:rFonts w:ascii="Arial" w:eastAsia="Calibri" w:hAnsi="Arial" w:cs="Arial"/>
          <w:szCs w:val="28"/>
          <w:lang w:val="en-US" w:bidi="uk-UA"/>
        </w:rPr>
        <w:t>yak</w:t>
      </w:r>
      <w:r w:rsidRPr="00511005">
        <w:rPr>
          <w:rFonts w:ascii="Arial" w:eastAsia="Calibri" w:hAnsi="Arial" w:cs="Arial"/>
          <w:szCs w:val="28"/>
          <w:lang w:bidi="uk-UA"/>
        </w:rPr>
        <w:t>-</w:t>
      </w:r>
      <w:r w:rsidRPr="00511005">
        <w:rPr>
          <w:rFonts w:ascii="Arial" w:eastAsia="Calibri" w:hAnsi="Arial" w:cs="Arial"/>
          <w:szCs w:val="28"/>
          <w:lang w:val="en-US" w:bidi="uk-UA"/>
        </w:rPr>
        <w:t>i</w:t>
      </w:r>
      <w:r w:rsidRPr="00511005">
        <w:rPr>
          <w:rFonts w:ascii="Arial" w:eastAsia="Calibri" w:hAnsi="Arial" w:cs="Arial"/>
          <w:szCs w:val="28"/>
          <w:lang w:bidi="uk-UA"/>
        </w:rPr>
        <w:t>-</w:t>
      </w:r>
      <w:r w:rsidRPr="00511005">
        <w:rPr>
          <w:rFonts w:ascii="Arial" w:eastAsia="Calibri" w:hAnsi="Arial" w:cs="Arial"/>
          <w:szCs w:val="28"/>
          <w:lang w:val="en-US" w:bidi="uk-UA"/>
        </w:rPr>
        <w:t>borgi</w:t>
      </w:r>
      <w:r w:rsidRPr="00511005">
        <w:rPr>
          <w:rFonts w:ascii="Arial" w:eastAsia="Calibri" w:hAnsi="Arial" w:cs="Arial"/>
          <w:szCs w:val="28"/>
          <w:lang w:bidi="uk-UA"/>
        </w:rPr>
        <w:t>-</w:t>
      </w:r>
      <w:r w:rsidRPr="00511005">
        <w:rPr>
          <w:rFonts w:ascii="Arial" w:eastAsia="Calibri" w:hAnsi="Arial" w:cs="Arial"/>
          <w:szCs w:val="28"/>
          <w:lang w:val="en-US" w:bidi="uk-UA"/>
        </w:rPr>
        <w:t>povertali</w:t>
      </w:r>
      <w:r w:rsidRPr="00511005">
        <w:rPr>
          <w:rFonts w:ascii="Arial" w:eastAsia="Calibri" w:hAnsi="Arial" w:cs="Arial"/>
          <w:szCs w:val="28"/>
          <w:lang w:bidi="uk-UA"/>
        </w:rPr>
        <w:t>-</w:t>
      </w:r>
      <w:r w:rsidRPr="00511005">
        <w:rPr>
          <w:rFonts w:ascii="Arial" w:eastAsia="Calibri" w:hAnsi="Arial" w:cs="Arial"/>
          <w:szCs w:val="28"/>
          <w:lang w:val="en-US" w:bidi="uk-UA"/>
        </w:rPr>
        <w:t>ne</w:t>
      </w:r>
      <w:r w:rsidRPr="00511005">
        <w:rPr>
          <w:rFonts w:ascii="Arial" w:eastAsia="Calibri" w:hAnsi="Arial" w:cs="Arial"/>
          <w:szCs w:val="28"/>
          <w:lang w:bidi="uk-UA"/>
        </w:rPr>
        <w:t>-</w:t>
      </w:r>
      <w:r w:rsidRPr="00511005">
        <w:rPr>
          <w:rFonts w:ascii="Arial" w:eastAsia="Calibri" w:hAnsi="Arial" w:cs="Arial"/>
          <w:szCs w:val="28"/>
          <w:lang w:val="en-US" w:bidi="uk-UA"/>
        </w:rPr>
        <w:t>lishe</w:t>
      </w:r>
      <w:r w:rsidRPr="00511005">
        <w:rPr>
          <w:rFonts w:ascii="Arial" w:eastAsia="Calibri" w:hAnsi="Arial" w:cs="Arial"/>
          <w:szCs w:val="28"/>
          <w:lang w:bidi="uk-UA"/>
        </w:rPr>
        <w:t>-</w:t>
      </w:r>
      <w:r w:rsidRPr="00511005">
        <w:rPr>
          <w:rFonts w:ascii="Arial" w:eastAsia="Calibri" w:hAnsi="Arial" w:cs="Arial"/>
          <w:szCs w:val="28"/>
          <w:lang w:val="en-US" w:bidi="uk-UA"/>
        </w:rPr>
        <w:t>peremozhci</w:t>
      </w:r>
      <w:r w:rsidRPr="00511005">
        <w:rPr>
          <w:rFonts w:ascii="Arial" w:eastAsia="Calibri" w:hAnsi="Arial" w:cs="Arial"/>
          <w:szCs w:val="28"/>
          <w:lang w:bidi="uk-UA"/>
        </w:rPr>
        <w:t>-</w:t>
      </w:r>
      <w:r w:rsidRPr="00511005">
        <w:rPr>
          <w:rFonts w:ascii="Arial" w:eastAsia="Calibri" w:hAnsi="Arial" w:cs="Arial"/>
          <w:szCs w:val="28"/>
          <w:lang w:val="en-US" w:bidi="uk-UA"/>
        </w:rPr>
        <w:t>istoriya</w:t>
      </w:r>
      <w:r w:rsidRPr="00511005">
        <w:rPr>
          <w:rFonts w:ascii="Arial" w:eastAsia="Calibri" w:hAnsi="Arial" w:cs="Arial"/>
          <w:szCs w:val="28"/>
          <w:lang w:bidi="uk-UA"/>
        </w:rPr>
        <w:t>-</w:t>
      </w:r>
      <w:r w:rsidRPr="00511005">
        <w:rPr>
          <w:rFonts w:ascii="Arial" w:eastAsia="Calibri" w:hAnsi="Arial" w:cs="Arial"/>
          <w:szCs w:val="28"/>
          <w:lang w:val="en-US" w:bidi="uk-UA"/>
        </w:rPr>
        <w:t>v</w:t>
      </w:r>
      <w:r w:rsidRPr="00511005">
        <w:rPr>
          <w:rFonts w:ascii="Arial" w:eastAsia="Calibri" w:hAnsi="Arial" w:cs="Arial"/>
          <w:szCs w:val="28"/>
          <w:lang w:bidi="uk-UA"/>
        </w:rPr>
        <w:t>-</w:t>
      </w:r>
      <w:r w:rsidRPr="00511005">
        <w:rPr>
          <w:rFonts w:ascii="Arial" w:eastAsia="Calibri" w:hAnsi="Arial" w:cs="Arial"/>
          <w:szCs w:val="28"/>
          <w:lang w:val="en-US" w:bidi="uk-UA"/>
        </w:rPr>
        <w:t>arhivnih</w:t>
      </w:r>
      <w:r w:rsidRPr="00511005">
        <w:rPr>
          <w:rFonts w:ascii="Arial" w:eastAsia="Calibri" w:hAnsi="Arial" w:cs="Arial"/>
          <w:szCs w:val="28"/>
          <w:lang w:bidi="uk-UA"/>
        </w:rPr>
        <w:t>-</w:t>
      </w:r>
      <w:r w:rsidRPr="00511005">
        <w:rPr>
          <w:rFonts w:ascii="Arial" w:eastAsia="Calibri" w:hAnsi="Arial" w:cs="Arial"/>
          <w:szCs w:val="28"/>
          <w:lang w:val="en-US" w:bidi="uk-UA"/>
        </w:rPr>
        <w:t>foto</w:t>
      </w:r>
      <w:r w:rsidRPr="00511005">
        <w:rPr>
          <w:rFonts w:ascii="Arial" w:eastAsia="Calibri" w:hAnsi="Arial" w:cs="Arial"/>
          <w:szCs w:val="28"/>
          <w:lang w:bidi="uk-UA"/>
        </w:rPr>
        <w:t xml:space="preserve"> (дата звернення 12.04.2025).</w:t>
      </w:r>
    </w:p>
    <w:p w14:paraId="65FFDA3A" w14:textId="77777777" w:rsidR="00B67481" w:rsidRPr="00511005" w:rsidRDefault="00B67481" w:rsidP="003A292D">
      <w:pPr>
        <w:tabs>
          <w:tab w:val="left" w:pos="567"/>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7. Чубка О., Скоропард І. Роль військових облігацій у фінансуванні державного бюджету у воєнний </w:t>
      </w:r>
      <w:proofErr w:type="gramStart"/>
      <w:r w:rsidRPr="00511005">
        <w:rPr>
          <w:rFonts w:ascii="Arial" w:eastAsia="Calibri" w:hAnsi="Arial" w:cs="Arial"/>
          <w:szCs w:val="28"/>
          <w:lang w:bidi="uk-UA"/>
        </w:rPr>
        <w:t>період ,</w:t>
      </w:r>
      <w:proofErr w:type="gramEnd"/>
      <w:r w:rsidRPr="00511005">
        <w:rPr>
          <w:rFonts w:ascii="Arial" w:eastAsia="Calibri" w:hAnsi="Arial" w:cs="Arial"/>
          <w:szCs w:val="28"/>
          <w:lang w:bidi="uk-UA"/>
        </w:rPr>
        <w:t xml:space="preserve"> 2023. URL: </w:t>
      </w:r>
      <w:proofErr w:type="gramStart"/>
      <w:r w:rsidRPr="00511005">
        <w:rPr>
          <w:rFonts w:ascii="Arial" w:eastAsia="Calibri" w:hAnsi="Arial" w:cs="Arial"/>
          <w:szCs w:val="28"/>
          <w:lang w:bidi="uk-UA"/>
        </w:rPr>
        <w:t>https://reicst.com.ua/pmt/article/view/2023-7-08-02/2023-7-08-02 .</w:t>
      </w:r>
      <w:proofErr w:type="gramEnd"/>
      <w:r w:rsidRPr="00511005">
        <w:rPr>
          <w:rFonts w:ascii="Arial" w:eastAsia="Calibri" w:hAnsi="Arial" w:cs="Arial"/>
          <w:szCs w:val="28"/>
          <w:lang w:bidi="uk-UA"/>
        </w:rPr>
        <w:t>(дата зверненняи12.04.2025)</w:t>
      </w:r>
    </w:p>
    <w:p w14:paraId="2363DF3B" w14:textId="77777777" w:rsidR="00B67481" w:rsidRPr="00511005" w:rsidRDefault="00B67481" w:rsidP="003A292D">
      <w:pPr>
        <w:tabs>
          <w:tab w:val="left" w:pos="567"/>
          <w:tab w:val="left" w:pos="7088"/>
        </w:tabs>
        <w:spacing w:line="264" w:lineRule="auto"/>
        <w:rPr>
          <w:rFonts w:ascii="Arial" w:eastAsia="Calibri" w:hAnsi="Arial" w:cs="Arial"/>
          <w:b/>
          <w:bCs/>
          <w:szCs w:val="28"/>
          <w:lang w:val="uk-UA" w:bidi="uk-UA"/>
        </w:rPr>
      </w:pPr>
    </w:p>
    <w:p w14:paraId="49778D16" w14:textId="40C0A703" w:rsidR="00B67481" w:rsidRPr="00511005" w:rsidRDefault="007B2628" w:rsidP="003A292D">
      <w:pPr>
        <w:tabs>
          <w:tab w:val="left" w:pos="567"/>
          <w:tab w:val="left" w:pos="7088"/>
        </w:tabs>
        <w:spacing w:line="264" w:lineRule="auto"/>
        <w:rPr>
          <w:rFonts w:ascii="Arial" w:eastAsia="Calibri" w:hAnsi="Arial" w:cs="Arial"/>
          <w:b/>
          <w:bCs/>
          <w:szCs w:val="28"/>
          <w:lang w:bidi="uk-UA"/>
        </w:rPr>
      </w:pPr>
      <w:r w:rsidRPr="00511005">
        <w:rPr>
          <w:rFonts w:ascii="Arial" w:eastAsia="Calibri" w:hAnsi="Arial" w:cs="Arial"/>
          <w:b/>
          <w:bCs/>
          <w:i/>
          <w:szCs w:val="28"/>
          <w:lang w:bidi="uk-UA"/>
        </w:rPr>
        <w:t xml:space="preserve">Ключові слова: </w:t>
      </w:r>
      <w:r w:rsidR="00B67481" w:rsidRPr="00511005">
        <w:rPr>
          <w:rFonts w:ascii="Arial" w:eastAsia="Calibri" w:hAnsi="Arial" w:cs="Arial"/>
          <w:szCs w:val="28"/>
          <w:lang w:bidi="uk-UA"/>
        </w:rPr>
        <w:t xml:space="preserve">воєнні облігації, державні цінні папери, державний борг, фінансування оборони, державне </w:t>
      </w:r>
      <w:proofErr w:type="gramStart"/>
      <w:r w:rsidR="00B67481" w:rsidRPr="00511005">
        <w:rPr>
          <w:rFonts w:ascii="Arial" w:eastAsia="Calibri" w:hAnsi="Arial" w:cs="Arial"/>
          <w:szCs w:val="28"/>
          <w:lang w:bidi="uk-UA"/>
        </w:rPr>
        <w:t>регулювання..</w:t>
      </w:r>
      <w:proofErr w:type="gramEnd"/>
      <w:r w:rsidR="00B67481" w:rsidRPr="00511005">
        <w:rPr>
          <w:rFonts w:ascii="Arial" w:eastAsia="Calibri" w:hAnsi="Arial" w:cs="Arial"/>
          <w:szCs w:val="28"/>
          <w:lang w:bidi="uk-UA"/>
        </w:rPr>
        <w:t xml:space="preserve"> </w:t>
      </w:r>
    </w:p>
    <w:p w14:paraId="0A6C56BE" w14:textId="329F876F" w:rsidR="00B67481" w:rsidRPr="00511005" w:rsidRDefault="007B2628" w:rsidP="003A292D">
      <w:pPr>
        <w:tabs>
          <w:tab w:val="left" w:pos="567"/>
          <w:tab w:val="left" w:pos="7088"/>
        </w:tabs>
        <w:spacing w:line="264" w:lineRule="auto"/>
        <w:rPr>
          <w:rFonts w:ascii="Arial" w:eastAsia="Calibri" w:hAnsi="Arial" w:cs="Arial"/>
          <w:i/>
          <w:iCs/>
          <w:szCs w:val="28"/>
          <w:lang w:val="en-US" w:bidi="uk-UA"/>
        </w:rPr>
      </w:pPr>
      <w:r w:rsidRPr="00511005">
        <w:rPr>
          <w:rFonts w:ascii="Arial" w:eastAsia="Calibri" w:hAnsi="Arial" w:cs="Arial"/>
          <w:b/>
          <w:bCs/>
          <w:i/>
          <w:szCs w:val="28"/>
          <w:lang w:val="en-US" w:bidi="uk-UA"/>
        </w:rPr>
        <w:t xml:space="preserve">Key words: </w:t>
      </w:r>
      <w:r w:rsidR="00B67481" w:rsidRPr="00511005">
        <w:rPr>
          <w:rFonts w:ascii="Arial" w:eastAsia="Calibri" w:hAnsi="Arial" w:cs="Arial"/>
          <w:szCs w:val="28"/>
          <w:lang w:val="en-US" w:bidi="uk-UA"/>
        </w:rPr>
        <w:t>war bonds, government securities, public debt, defense financing, state regulation.</w:t>
      </w:r>
    </w:p>
    <w:p w14:paraId="79487104" w14:textId="12849B71" w:rsidR="00B67481" w:rsidRPr="00511005" w:rsidRDefault="00C76181" w:rsidP="003A292D">
      <w:pPr>
        <w:tabs>
          <w:tab w:val="left" w:pos="567"/>
          <w:tab w:val="left" w:pos="7088"/>
        </w:tabs>
        <w:spacing w:line="264" w:lineRule="auto"/>
        <w:rPr>
          <w:rFonts w:ascii="Arial" w:eastAsia="Calibri" w:hAnsi="Arial" w:cs="Arial"/>
          <w:szCs w:val="28"/>
        </w:rPr>
      </w:pPr>
      <w:r w:rsidRPr="00511005">
        <w:rPr>
          <w:rFonts w:ascii="Arial" w:eastAsia="Calibri" w:hAnsi="Arial" w:cs="Arial"/>
          <w:b/>
          <w:i/>
          <w:szCs w:val="28"/>
          <w:lang w:val="uk-UA"/>
        </w:rPr>
        <w:t xml:space="preserve">Науковий керівник: </w:t>
      </w:r>
      <w:r w:rsidR="00B67481" w:rsidRPr="00511005">
        <w:rPr>
          <w:rFonts w:ascii="Arial" w:eastAsia="Calibri" w:hAnsi="Arial" w:cs="Arial"/>
          <w:i/>
          <w:iCs/>
          <w:szCs w:val="28"/>
          <w:lang w:bidi="uk-UA"/>
        </w:rPr>
        <w:t>к.ю.н.,доцент Сідор М.І.</w:t>
      </w:r>
    </w:p>
    <w:p w14:paraId="01C302B7" w14:textId="77777777" w:rsidR="001D1A08" w:rsidRPr="00511005" w:rsidRDefault="001D1A08" w:rsidP="003A292D">
      <w:pPr>
        <w:spacing w:line="264" w:lineRule="auto"/>
        <w:ind w:firstLine="0"/>
        <w:jc w:val="left"/>
        <w:rPr>
          <w:rFonts w:ascii="Arial" w:eastAsia="Calibri" w:hAnsi="Arial" w:cs="Arial"/>
          <w:b/>
          <w:szCs w:val="28"/>
        </w:rPr>
      </w:pPr>
    </w:p>
    <w:p w14:paraId="4534C658" w14:textId="77777777" w:rsidR="001D1A08" w:rsidRPr="00511005" w:rsidRDefault="001D1A08" w:rsidP="003A292D">
      <w:pPr>
        <w:spacing w:line="264" w:lineRule="auto"/>
        <w:ind w:firstLine="0"/>
        <w:jc w:val="left"/>
        <w:rPr>
          <w:rFonts w:ascii="Arial" w:eastAsia="Calibri" w:hAnsi="Arial" w:cs="Arial"/>
          <w:b/>
          <w:szCs w:val="28"/>
        </w:rPr>
      </w:pPr>
    </w:p>
    <w:p w14:paraId="75BEA7EF" w14:textId="77777777" w:rsidR="00B67481" w:rsidRPr="00511005" w:rsidRDefault="00B67481" w:rsidP="003A292D">
      <w:pPr>
        <w:spacing w:line="264" w:lineRule="auto"/>
        <w:ind w:firstLine="0"/>
        <w:jc w:val="center"/>
        <w:rPr>
          <w:rFonts w:ascii="Arial" w:eastAsia="Calibri" w:hAnsi="Arial" w:cs="Arial"/>
          <w:b/>
          <w:bCs/>
          <w:i/>
          <w:iCs/>
          <w:szCs w:val="28"/>
        </w:rPr>
      </w:pPr>
      <w:r w:rsidRPr="00511005">
        <w:rPr>
          <w:rFonts w:ascii="Arial" w:eastAsia="Calibri" w:hAnsi="Arial" w:cs="Arial"/>
          <w:b/>
          <w:bCs/>
          <w:i/>
          <w:iCs/>
          <w:szCs w:val="28"/>
        </w:rPr>
        <w:t>Мірошніченко Валентин Вячеславович</w:t>
      </w:r>
    </w:p>
    <w:p w14:paraId="2E3D71B0" w14:textId="6A1CF833" w:rsidR="00B67481" w:rsidRPr="00511005" w:rsidRDefault="00536AAB" w:rsidP="003A292D">
      <w:pPr>
        <w:spacing w:line="264" w:lineRule="auto"/>
        <w:ind w:firstLine="0"/>
        <w:jc w:val="center"/>
        <w:rPr>
          <w:rFonts w:ascii="Arial" w:eastAsia="Calibri" w:hAnsi="Arial" w:cs="Arial"/>
          <w:szCs w:val="28"/>
        </w:rPr>
      </w:pPr>
      <w:r w:rsidRPr="00511005">
        <w:rPr>
          <w:rFonts w:ascii="Arial" w:eastAsia="Calibri" w:hAnsi="Arial" w:cs="Arial"/>
          <w:szCs w:val="28"/>
          <w:lang w:val="uk-UA"/>
        </w:rPr>
        <w:t xml:space="preserve">студент 2-го курсу </w:t>
      </w:r>
      <w:r w:rsidR="001B7B25" w:rsidRPr="00511005">
        <w:rPr>
          <w:rFonts w:ascii="Arial" w:eastAsia="Calibri" w:hAnsi="Arial" w:cs="Arial"/>
          <w:szCs w:val="28"/>
          <w:lang w:val="uk-UA"/>
        </w:rPr>
        <w:t>факультету судового та міжнародного права</w:t>
      </w:r>
    </w:p>
    <w:p w14:paraId="063F3C24" w14:textId="055696F1" w:rsidR="00B67481" w:rsidRPr="00511005" w:rsidRDefault="007B2628" w:rsidP="003A292D">
      <w:pPr>
        <w:spacing w:line="264" w:lineRule="auto"/>
        <w:ind w:firstLine="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42F2E454" w14:textId="77777777" w:rsidR="00B67481" w:rsidRPr="00511005" w:rsidRDefault="00B67481" w:rsidP="003A292D">
      <w:pPr>
        <w:spacing w:line="264" w:lineRule="auto"/>
        <w:ind w:firstLine="0"/>
        <w:jc w:val="center"/>
        <w:rPr>
          <w:rFonts w:ascii="Arial" w:eastAsia="Calibri" w:hAnsi="Arial" w:cs="Arial"/>
          <w:szCs w:val="28"/>
        </w:rPr>
      </w:pPr>
    </w:p>
    <w:p w14:paraId="7B2E4DA4" w14:textId="77777777" w:rsidR="00B67481" w:rsidRPr="00511005" w:rsidRDefault="00B67481" w:rsidP="003A292D">
      <w:pPr>
        <w:spacing w:line="264" w:lineRule="auto"/>
        <w:ind w:firstLine="0"/>
        <w:jc w:val="center"/>
        <w:rPr>
          <w:rFonts w:ascii="Arial" w:eastAsia="Calibri" w:hAnsi="Arial" w:cs="Arial"/>
          <w:b/>
          <w:bCs/>
          <w:szCs w:val="28"/>
        </w:rPr>
      </w:pPr>
      <w:r w:rsidRPr="00511005">
        <w:rPr>
          <w:rFonts w:ascii="Arial" w:eastAsia="Calibri" w:hAnsi="Arial" w:cs="Arial"/>
          <w:b/>
          <w:bCs/>
          <w:szCs w:val="28"/>
        </w:rPr>
        <w:t>ПРИНЦИПИ БЮДЖЕ</w:t>
      </w:r>
      <w:r w:rsidRPr="00511005">
        <w:rPr>
          <w:rFonts w:ascii="Arial" w:eastAsia="Calibri" w:hAnsi="Arial" w:cs="Arial"/>
          <w:b/>
          <w:bCs/>
          <w:szCs w:val="28"/>
          <w:lang w:val="uk-UA"/>
        </w:rPr>
        <w:t>Т</w:t>
      </w:r>
      <w:r w:rsidRPr="00511005">
        <w:rPr>
          <w:rFonts w:ascii="Arial" w:eastAsia="Calibri" w:hAnsi="Arial" w:cs="Arial"/>
          <w:b/>
          <w:bCs/>
          <w:szCs w:val="28"/>
        </w:rPr>
        <w:t>НОГО ПРОЦЕСУ В УКРАЇНІ</w:t>
      </w:r>
    </w:p>
    <w:p w14:paraId="3A6598B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Бюджетний процес є складовою фінансової системи будь-якої держави, бо саме через нього реалізується формування, розподіл і використання фінансових ресурсів, котрі є важливими для забезпечення соціально-економічного розвитку. Бюджетний процес охоплює всі етапи – від складання до звітування про виконання бюджета. Кожен з цих етапів потребує дотримання принципів, і від їх дотримання залежить стабільність бюджетної політики, рівень добробуту населення і ефективність використання публічних ресурсів. А недотримання базових принципів може призвести до зростання дефіциту бюджету, розбалансування фінансової системи та погіршенню соціально-економічної ситуації в країні. Тому вивчення принципів бюджетного процесу є необхідним.</w:t>
      </w:r>
    </w:p>
    <w:p w14:paraId="669FB1E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Принципи не завжди зазначаються як певний перелік у законодавстві, принципи бюджетної системи зазначені в Бюджетному кодексі, тоді як принципи бюджетного процесу не закріплені на законодавчому рівні [1]. Але принципи бюджетного процесу логічно випливають із положень Бюджетного кодексу України, найважливішими серед них такі:</w:t>
      </w:r>
    </w:p>
    <w:p w14:paraId="1779424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i/>
          <w:iCs/>
          <w:szCs w:val="28"/>
        </w:rPr>
        <w:t xml:space="preserve">Принцип законності: </w:t>
      </w:r>
      <w:r w:rsidRPr="00511005">
        <w:rPr>
          <w:rFonts w:ascii="Arial" w:eastAsia="Calibri" w:hAnsi="Arial" w:cs="Arial"/>
          <w:szCs w:val="28"/>
        </w:rPr>
        <w:t>усі етапи бюджетного процесу повинні відбуватися відповідно до вимог чинного законодавства. Дотримання цього принципу забезпечує, що формування, розподіл і використання коштів здійснюється згідно з встановленими правилами та нормами. Наприклад: відповідно до статті 14 Бюджетного кодексу України, Верховна Рада України не має права затверджувати Державний бюджет із дефіцитом без обґрунтованих джерел фінансування.</w:t>
      </w:r>
    </w:p>
    <w:p w14:paraId="21EFDF88"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i/>
          <w:iCs/>
          <w:szCs w:val="28"/>
        </w:rPr>
        <w:t xml:space="preserve">Принцип плановості: </w:t>
      </w:r>
      <w:r w:rsidRPr="00511005">
        <w:rPr>
          <w:rFonts w:ascii="Arial" w:eastAsia="Calibri" w:hAnsi="Arial" w:cs="Arial"/>
          <w:szCs w:val="28"/>
        </w:rPr>
        <w:t xml:space="preserve">це означає системність у формуванні, розподілі та використанні бюджетних </w:t>
      </w:r>
      <w:proofErr w:type="gramStart"/>
      <w:r w:rsidRPr="00511005">
        <w:rPr>
          <w:rFonts w:ascii="Arial" w:eastAsia="Calibri" w:hAnsi="Arial" w:cs="Arial"/>
          <w:szCs w:val="28"/>
        </w:rPr>
        <w:t>коштів .</w:t>
      </w:r>
      <w:proofErr w:type="gramEnd"/>
      <w:r w:rsidRPr="00511005">
        <w:rPr>
          <w:rFonts w:ascii="Arial" w:eastAsia="Calibri" w:hAnsi="Arial" w:cs="Arial"/>
          <w:szCs w:val="28"/>
        </w:rPr>
        <w:t xml:space="preserve"> Розроблення плану використання бюджеиних коштів на певний період, в якому враховуються прогнози економічній ситуації, а саме динаміку зростання ВВП, курс валют, інфляцію, боргові зобов’язання, надходження від податків. Щорічне затвердження закону про бюджет Верховною радою України займає важливе місце у функціонуванні держави, оскільки дозволяє уникнути хаотичного розподілу коштів, забезпечуючи збалансованість та контроль за використання.</w:t>
      </w:r>
    </w:p>
    <w:p w14:paraId="0A5F1A0F"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i/>
          <w:iCs/>
          <w:szCs w:val="28"/>
        </w:rPr>
        <w:t xml:space="preserve">Принцип своєчасності: </w:t>
      </w:r>
      <w:r w:rsidRPr="00511005">
        <w:rPr>
          <w:rFonts w:ascii="Arial" w:eastAsia="Calibri" w:hAnsi="Arial" w:cs="Arial"/>
          <w:szCs w:val="28"/>
        </w:rPr>
        <w:t xml:space="preserve">передбачає, що всі дії в бюджетному процесі повинні відбуватися у встановленні терміни. Дотримання встановлених строків усіма учасниками бюджетного є важливою для виконання бюджету [3]. Наприклад, відповідно до статті 33 Бюджетного кодексу України, Кабінет </w:t>
      </w:r>
      <w:r w:rsidRPr="00511005">
        <w:rPr>
          <w:rFonts w:ascii="Arial" w:eastAsia="Calibri" w:hAnsi="Arial" w:cs="Arial"/>
          <w:szCs w:val="28"/>
        </w:rPr>
        <w:lastRenderedPageBreak/>
        <w:t xml:space="preserve">Міністрів України не пізніше 1 червня року, що передує плановому, схвалює Бюджетну декларацію та у триденний строк подає до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w:t>
      </w:r>
    </w:p>
    <w:p w14:paraId="7D77670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i/>
          <w:iCs/>
          <w:szCs w:val="28"/>
        </w:rPr>
        <w:t xml:space="preserve">Принцип відповідальності учасників бюджетного процесу: </w:t>
      </w:r>
      <w:r w:rsidRPr="00511005">
        <w:rPr>
          <w:rFonts w:ascii="Arial" w:eastAsia="Calibri" w:hAnsi="Arial" w:cs="Arial"/>
          <w:szCs w:val="28"/>
        </w:rPr>
        <w:t>означає що кожна посадова особа чи орган, які беруть участь у виконанні, плануванні бюджету, повинні нести відповідальність за недостовірність наданої інформації, неефективне використання бюджетних коштів, порушення процедур та строків.</w:t>
      </w:r>
    </w:p>
    <w:p w14:paraId="68B8262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i/>
          <w:iCs/>
          <w:szCs w:val="28"/>
        </w:rPr>
        <w:t xml:space="preserve">Принцип прозорості: </w:t>
      </w:r>
      <w:r w:rsidRPr="00511005">
        <w:rPr>
          <w:rFonts w:ascii="Arial" w:eastAsia="Calibri" w:hAnsi="Arial" w:cs="Arial"/>
          <w:szCs w:val="28"/>
        </w:rPr>
        <w:t>цей принцип гарантує відкритість і доступність інформації про всі бюджетного процесу для засобів масової інформації, громадян, науковців та інших зацікавлених у цьому сторін. Принцип прозорості забезпечує довіру суспільства до державної влади й сприяє запобіганню зловживань. Суб’єкти бюджетного процесу не обмежені розподілом коштів, а прагнуть забезпеченні результативності та ефективності бюджетних витрат [4].</w:t>
      </w:r>
    </w:p>
    <w:p w14:paraId="7B9C590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i/>
          <w:iCs/>
          <w:szCs w:val="28"/>
        </w:rPr>
        <w:t xml:space="preserve">Принцип обґрунтованості: </w:t>
      </w:r>
      <w:r w:rsidRPr="00511005">
        <w:rPr>
          <w:rFonts w:ascii="Arial" w:eastAsia="Calibri" w:hAnsi="Arial" w:cs="Arial"/>
          <w:szCs w:val="28"/>
        </w:rPr>
        <w:t>являє собою із ключових принципів. Він означає, що показники бюджету: доходи та видатки – повинні базуватися на основі перевірених і достовірних даних. Цей принцип забезпечує уникнення від завищених або занижених показників, ефективності використання публічних коштів, наприклад, якщо планується збільшити видатки на освіту, то такий крок має бути обґрунтований аналітичними даними: кількістю учнів, зростанні заробітної плати вчителів, потребам в новому обладнанні.</w:t>
      </w:r>
    </w:p>
    <w:p w14:paraId="3810E1A6"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Принципи бюджетного процесу фундаментом для забезпечення ефективного, підзвітного та прозорого управління фінансами. Вони не лише створюють порядок взаємодії учасників бюджетного процесу, а ще розвиває демократичні засади у фінансовій сфері. Дотримання принципів бюджетного процесу є основою для фінансової стабільності країни і підвищення рівня життя громадян. Також вони дозволяють досягти балансу між потребами держави та можливостям її економіки.</w:t>
      </w:r>
    </w:p>
    <w:p w14:paraId="7AAD7172" w14:textId="77777777" w:rsidR="00B67481" w:rsidRPr="00511005" w:rsidRDefault="00B67481" w:rsidP="003A292D">
      <w:pPr>
        <w:spacing w:line="264" w:lineRule="auto"/>
        <w:ind w:firstLine="708"/>
        <w:rPr>
          <w:rFonts w:ascii="Arial" w:eastAsia="Calibri" w:hAnsi="Arial" w:cs="Arial"/>
          <w:szCs w:val="28"/>
        </w:rPr>
      </w:pPr>
    </w:p>
    <w:p w14:paraId="6AE621F1" w14:textId="5ED13B85" w:rsidR="00B67481" w:rsidRPr="00511005" w:rsidRDefault="007B2628" w:rsidP="007B2628">
      <w:pPr>
        <w:spacing w:line="264" w:lineRule="auto"/>
        <w:ind w:firstLine="708"/>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19B0FA63" w14:textId="77777777" w:rsidR="00B67481" w:rsidRPr="00511005" w:rsidRDefault="00B67481" w:rsidP="003F6A5D">
      <w:pPr>
        <w:numPr>
          <w:ilvl w:val="0"/>
          <w:numId w:val="25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Фінансове </w:t>
      </w:r>
      <w:proofErr w:type="gramStart"/>
      <w:r w:rsidRPr="00511005">
        <w:rPr>
          <w:rFonts w:ascii="Arial" w:eastAsia="Times New Roman" w:hAnsi="Arial" w:cs="Arial"/>
          <w:szCs w:val="28"/>
          <w:lang w:eastAsia="ru-RU"/>
        </w:rPr>
        <w:t>право :</w:t>
      </w:r>
      <w:proofErr w:type="gramEnd"/>
      <w:r w:rsidRPr="00511005">
        <w:rPr>
          <w:rFonts w:ascii="Arial" w:eastAsia="Times New Roman" w:hAnsi="Arial" w:cs="Arial"/>
          <w:szCs w:val="28"/>
          <w:lang w:eastAsia="ru-RU"/>
        </w:rPr>
        <w:t xml:space="preserve"> навч.-метод. Посіб. (для здобувачів вищої освіти). 2-ге вид., доопр. І доп. [Електронне видання] / Т. Латковська, М. Сідор, Т. Голоядова. –</w:t>
      </w:r>
      <w:proofErr w:type="gramStart"/>
      <w:r w:rsidRPr="00511005">
        <w:rPr>
          <w:rFonts w:ascii="Arial" w:eastAsia="Times New Roman" w:hAnsi="Arial" w:cs="Arial"/>
          <w:szCs w:val="28"/>
          <w:lang w:eastAsia="ru-RU"/>
        </w:rPr>
        <w:t>Одеса :</w:t>
      </w:r>
      <w:proofErr w:type="gramEnd"/>
      <w:r w:rsidRPr="00511005">
        <w:rPr>
          <w:rFonts w:ascii="Arial" w:eastAsia="Times New Roman" w:hAnsi="Arial" w:cs="Arial"/>
          <w:szCs w:val="28"/>
          <w:lang w:eastAsia="ru-RU"/>
        </w:rPr>
        <w:t xml:space="preserve"> Фенікс, 2023.– 140 с</w:t>
      </w:r>
    </w:p>
    <w:p w14:paraId="358267BB" w14:textId="77777777" w:rsidR="00B67481" w:rsidRPr="00511005" w:rsidRDefault="00B67481" w:rsidP="003F6A5D">
      <w:pPr>
        <w:numPr>
          <w:ilvl w:val="0"/>
          <w:numId w:val="25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Бюджетний кодекс України. URL: https://zakon.rada.gov.ua/laws/show/2456-17#Text</w:t>
      </w:r>
    </w:p>
    <w:p w14:paraId="66D23A83" w14:textId="77777777" w:rsidR="00B67481" w:rsidRPr="00511005" w:rsidRDefault="00B67481" w:rsidP="003F6A5D">
      <w:pPr>
        <w:numPr>
          <w:ilvl w:val="0"/>
          <w:numId w:val="25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Бюджетне </w:t>
      </w:r>
      <w:proofErr w:type="gramStart"/>
      <w:r w:rsidRPr="00511005">
        <w:rPr>
          <w:rFonts w:ascii="Arial" w:eastAsia="Times New Roman" w:hAnsi="Arial" w:cs="Arial"/>
          <w:szCs w:val="28"/>
          <w:lang w:eastAsia="ru-RU"/>
        </w:rPr>
        <w:t>право :</w:t>
      </w:r>
      <w:proofErr w:type="gramEnd"/>
      <w:r w:rsidRPr="00511005">
        <w:rPr>
          <w:rFonts w:ascii="Arial" w:eastAsia="Times New Roman" w:hAnsi="Arial" w:cs="Arial"/>
          <w:szCs w:val="28"/>
          <w:lang w:eastAsia="ru-RU"/>
        </w:rPr>
        <w:t xml:space="preserve"> навчальний посібник /А. В. Гарбінська-Руденко. – </w:t>
      </w:r>
      <w:proofErr w:type="gramStart"/>
      <w:r w:rsidRPr="00511005">
        <w:rPr>
          <w:rFonts w:ascii="Arial" w:eastAsia="Times New Roman" w:hAnsi="Arial" w:cs="Arial"/>
          <w:szCs w:val="28"/>
          <w:lang w:eastAsia="ru-RU"/>
        </w:rPr>
        <w:t>Ірпінь :</w:t>
      </w:r>
      <w:proofErr w:type="gramEnd"/>
      <w:r w:rsidRPr="00511005">
        <w:rPr>
          <w:rFonts w:ascii="Arial" w:eastAsia="Times New Roman" w:hAnsi="Arial" w:cs="Arial"/>
          <w:szCs w:val="28"/>
          <w:lang w:eastAsia="ru-RU"/>
        </w:rPr>
        <w:t xml:space="preserve"> Державний податковий університет, 2023. – 340 с. ISBN 978-966-337-712-4</w:t>
      </w:r>
    </w:p>
    <w:p w14:paraId="2A1B9BAB" w14:textId="77777777" w:rsidR="00B67481" w:rsidRPr="00511005" w:rsidRDefault="00B67481" w:rsidP="003F6A5D">
      <w:pPr>
        <w:numPr>
          <w:ilvl w:val="0"/>
          <w:numId w:val="25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Фінансове право України: навчальний посібник / [М. В. Ковалів, С. С. Єсімов, І. М. Проць, Р. М. Скриньковський, Ю. Р. Лозинський]. Львів: СПОЛОМ, 2022. 394 с</w:t>
      </w:r>
      <w:r w:rsidRPr="00511005">
        <w:rPr>
          <w:rFonts w:ascii="Arial" w:eastAsia="Times New Roman" w:hAnsi="Arial" w:cs="Arial"/>
          <w:szCs w:val="28"/>
          <w:lang w:val="uk-UA" w:eastAsia="ru-RU"/>
        </w:rPr>
        <w:t>.</w:t>
      </w:r>
    </w:p>
    <w:p w14:paraId="002FAE11" w14:textId="77777777" w:rsidR="00B67481" w:rsidRPr="00511005" w:rsidRDefault="00B67481" w:rsidP="003A292D">
      <w:pPr>
        <w:spacing w:line="264" w:lineRule="auto"/>
        <w:ind w:left="709" w:firstLine="0"/>
        <w:contextualSpacing/>
        <w:rPr>
          <w:rFonts w:ascii="Arial" w:eastAsia="Times New Roman" w:hAnsi="Arial" w:cs="Arial"/>
          <w:szCs w:val="28"/>
          <w:lang w:eastAsia="ru-RU"/>
        </w:rPr>
      </w:pPr>
    </w:p>
    <w:p w14:paraId="40356578" w14:textId="1342DDFD" w:rsidR="00B67481" w:rsidRPr="00511005" w:rsidRDefault="007B2628" w:rsidP="003A292D">
      <w:pPr>
        <w:tabs>
          <w:tab w:val="left" w:pos="567"/>
          <w:tab w:val="left" w:pos="7088"/>
        </w:tabs>
        <w:spacing w:line="264" w:lineRule="auto"/>
        <w:rPr>
          <w:rFonts w:ascii="Arial" w:eastAsia="Calibri" w:hAnsi="Arial" w:cs="Arial"/>
          <w:b/>
          <w:bCs/>
          <w:szCs w:val="28"/>
          <w:lang w:val="uk-UA" w:bidi="uk-UA"/>
        </w:rPr>
      </w:pPr>
      <w:r w:rsidRPr="00511005">
        <w:rPr>
          <w:rFonts w:ascii="Arial" w:eastAsia="Calibri" w:hAnsi="Arial" w:cs="Arial"/>
          <w:b/>
          <w:bCs/>
          <w:i/>
          <w:szCs w:val="28"/>
          <w:lang w:bidi="uk-UA"/>
        </w:rPr>
        <w:t xml:space="preserve">Ключові слова: </w:t>
      </w:r>
      <w:r w:rsidR="00B67481" w:rsidRPr="00511005">
        <w:rPr>
          <w:rFonts w:ascii="Arial" w:eastAsia="Calibri" w:hAnsi="Arial" w:cs="Arial"/>
          <w:szCs w:val="28"/>
          <w:lang w:val="uk-UA" w:bidi="uk-UA"/>
        </w:rPr>
        <w:t>бюджетний процес, фінансова система, принципи бюджетного процесу.</w:t>
      </w:r>
    </w:p>
    <w:p w14:paraId="5B827546" w14:textId="1245BD24" w:rsidR="00B67481" w:rsidRPr="00511005" w:rsidRDefault="007B2628" w:rsidP="003A292D">
      <w:pPr>
        <w:tabs>
          <w:tab w:val="left" w:pos="567"/>
          <w:tab w:val="left" w:pos="7088"/>
        </w:tabs>
        <w:spacing w:line="264" w:lineRule="auto"/>
        <w:rPr>
          <w:rFonts w:ascii="Arial" w:eastAsia="Calibri" w:hAnsi="Arial" w:cs="Arial"/>
          <w:i/>
          <w:iCs/>
          <w:szCs w:val="28"/>
          <w:lang w:val="en-US" w:bidi="uk-UA"/>
        </w:rPr>
      </w:pPr>
      <w:r w:rsidRPr="00511005">
        <w:rPr>
          <w:rFonts w:ascii="Arial" w:eastAsia="Calibri" w:hAnsi="Arial" w:cs="Arial"/>
          <w:b/>
          <w:bCs/>
          <w:i/>
          <w:szCs w:val="28"/>
          <w:lang w:val="en-US" w:bidi="uk-UA"/>
        </w:rPr>
        <w:t xml:space="preserve">Key words: </w:t>
      </w:r>
      <w:r w:rsidR="00B67481" w:rsidRPr="00511005">
        <w:rPr>
          <w:rFonts w:ascii="Arial" w:eastAsia="Calibri" w:hAnsi="Arial" w:cs="Arial"/>
          <w:szCs w:val="28"/>
          <w:lang w:val="en-US" w:bidi="uk-UA"/>
        </w:rPr>
        <w:t>budget process, financial system, principles of the budget process.</w:t>
      </w:r>
    </w:p>
    <w:p w14:paraId="36D9EE00" w14:textId="3176D96C" w:rsidR="00B67481" w:rsidRPr="00511005" w:rsidRDefault="007B2628" w:rsidP="003A292D">
      <w:pPr>
        <w:spacing w:line="264" w:lineRule="auto"/>
        <w:ind w:firstLine="708"/>
        <w:rPr>
          <w:rFonts w:ascii="Arial" w:eastAsia="Calibri" w:hAnsi="Arial" w:cs="Arial"/>
          <w:bCs/>
          <w:i/>
          <w:iCs/>
          <w:szCs w:val="28"/>
        </w:rPr>
      </w:pPr>
      <w:r w:rsidRPr="00511005">
        <w:rPr>
          <w:rFonts w:ascii="Arial" w:eastAsia="Calibri" w:hAnsi="Arial" w:cs="Arial"/>
          <w:b/>
          <w:bCs/>
          <w:i/>
          <w:iCs/>
          <w:szCs w:val="28"/>
        </w:rPr>
        <w:t xml:space="preserve">Науковий керівник: </w:t>
      </w:r>
      <w:r w:rsidR="00B67481" w:rsidRPr="00511005">
        <w:rPr>
          <w:rFonts w:ascii="Arial" w:eastAsia="Calibri" w:hAnsi="Arial" w:cs="Arial"/>
          <w:bCs/>
          <w:i/>
          <w:iCs/>
          <w:szCs w:val="28"/>
        </w:rPr>
        <w:t>к.ю.н., доцент Голоядова Т. О.</w:t>
      </w:r>
    </w:p>
    <w:p w14:paraId="176B716E" w14:textId="0FEB5458" w:rsidR="001D1A08" w:rsidRPr="00511005" w:rsidRDefault="001D1A08" w:rsidP="003A292D">
      <w:pPr>
        <w:spacing w:line="264" w:lineRule="auto"/>
        <w:ind w:firstLine="0"/>
        <w:jc w:val="left"/>
        <w:rPr>
          <w:rFonts w:ascii="Arial" w:eastAsia="Calibri" w:hAnsi="Arial" w:cs="Arial"/>
          <w:b/>
          <w:szCs w:val="28"/>
        </w:rPr>
      </w:pPr>
    </w:p>
    <w:p w14:paraId="520F5D1B" w14:textId="77777777" w:rsidR="001D1A08" w:rsidRPr="00511005" w:rsidRDefault="001D1A08" w:rsidP="003A292D">
      <w:pPr>
        <w:spacing w:line="264" w:lineRule="auto"/>
        <w:ind w:firstLine="0"/>
        <w:jc w:val="left"/>
        <w:rPr>
          <w:rFonts w:ascii="Arial" w:eastAsia="Calibri" w:hAnsi="Arial" w:cs="Arial"/>
          <w:b/>
          <w:szCs w:val="28"/>
        </w:rPr>
      </w:pPr>
    </w:p>
    <w:p w14:paraId="5BC94057" w14:textId="77777777" w:rsidR="00B67481" w:rsidRPr="00511005" w:rsidRDefault="00B67481" w:rsidP="003A292D">
      <w:pPr>
        <w:pBdr>
          <w:top w:val="nil"/>
          <w:left w:val="nil"/>
          <w:bottom w:val="nil"/>
          <w:right w:val="nil"/>
          <w:between w:val="nil"/>
        </w:pBdr>
        <w:spacing w:line="264" w:lineRule="auto"/>
        <w:ind w:firstLine="0"/>
        <w:contextualSpacing/>
        <w:jc w:val="center"/>
        <w:rPr>
          <w:rFonts w:ascii="Arial" w:eastAsia="Times New Roman" w:hAnsi="Arial" w:cs="Arial"/>
          <w:b/>
          <w:i/>
          <w:iCs/>
          <w:noProof/>
          <w:szCs w:val="28"/>
        </w:rPr>
      </w:pPr>
      <w:r w:rsidRPr="00511005">
        <w:rPr>
          <w:rFonts w:ascii="Arial" w:eastAsia="Times New Roman" w:hAnsi="Arial" w:cs="Arial"/>
          <w:b/>
          <w:i/>
          <w:iCs/>
          <w:noProof/>
          <w:szCs w:val="28"/>
        </w:rPr>
        <w:t>Олійник Марія Ігорівна</w:t>
      </w:r>
      <w:r w:rsidRPr="00511005">
        <w:rPr>
          <w:rFonts w:ascii="Arial" w:eastAsia="Times New Roman" w:hAnsi="Arial" w:cs="Arial"/>
          <w:b/>
          <w:i/>
          <w:iCs/>
          <w:noProof/>
          <w:szCs w:val="28"/>
          <w:lang w:val="uk-UA"/>
        </w:rPr>
        <w:t xml:space="preserve">, </w:t>
      </w:r>
      <w:r w:rsidRPr="00511005">
        <w:rPr>
          <w:rFonts w:ascii="Arial" w:eastAsia="Times New Roman" w:hAnsi="Arial" w:cs="Arial"/>
          <w:b/>
          <w:i/>
          <w:iCs/>
          <w:noProof/>
          <w:szCs w:val="28"/>
        </w:rPr>
        <w:t xml:space="preserve">Мaслякoвa Анна Вікторівна </w:t>
      </w:r>
    </w:p>
    <w:p w14:paraId="52B637C0" w14:textId="77777777" w:rsidR="00B67481" w:rsidRPr="00511005" w:rsidRDefault="00B67481" w:rsidP="003A292D">
      <w:pPr>
        <w:pBdr>
          <w:top w:val="nil"/>
          <w:left w:val="nil"/>
          <w:bottom w:val="nil"/>
          <w:right w:val="nil"/>
          <w:between w:val="nil"/>
        </w:pBdr>
        <w:spacing w:line="264" w:lineRule="auto"/>
        <w:ind w:firstLine="0"/>
        <w:contextualSpacing/>
        <w:jc w:val="center"/>
        <w:rPr>
          <w:rFonts w:ascii="Arial" w:eastAsia="Times New Roman" w:hAnsi="Arial" w:cs="Arial"/>
          <w:iCs/>
          <w:noProof/>
          <w:szCs w:val="28"/>
        </w:rPr>
      </w:pPr>
      <w:r w:rsidRPr="00511005">
        <w:rPr>
          <w:rFonts w:ascii="Arial" w:eastAsia="Times New Roman" w:hAnsi="Arial" w:cs="Arial"/>
          <w:iCs/>
          <w:noProof/>
          <w:szCs w:val="28"/>
          <w:lang w:val="uk-UA"/>
        </w:rPr>
        <w:t>с</w:t>
      </w:r>
      <w:r w:rsidRPr="00511005">
        <w:rPr>
          <w:rFonts w:ascii="Arial" w:eastAsia="Times New Roman" w:hAnsi="Arial" w:cs="Arial"/>
          <w:iCs/>
          <w:noProof/>
          <w:szCs w:val="28"/>
        </w:rPr>
        <w:t>тyдeнт</w:t>
      </w:r>
      <w:r w:rsidRPr="00511005">
        <w:rPr>
          <w:rFonts w:ascii="Arial" w:eastAsia="Times New Roman" w:hAnsi="Arial" w:cs="Arial"/>
          <w:iCs/>
          <w:noProof/>
          <w:szCs w:val="28"/>
          <w:lang w:val="uk-UA"/>
        </w:rPr>
        <w:t xml:space="preserve">ки </w:t>
      </w:r>
      <w:r w:rsidRPr="00511005">
        <w:rPr>
          <w:rFonts w:ascii="Arial" w:eastAsia="Times New Roman" w:hAnsi="Arial" w:cs="Arial"/>
          <w:iCs/>
          <w:noProof/>
          <w:szCs w:val="28"/>
        </w:rPr>
        <w:t>4</w:t>
      </w:r>
      <w:r w:rsidRPr="00511005">
        <w:rPr>
          <w:rFonts w:ascii="Arial" w:eastAsia="Times New Roman" w:hAnsi="Arial" w:cs="Arial"/>
          <w:iCs/>
          <w:noProof/>
          <w:szCs w:val="28"/>
          <w:lang w:val="uk-UA"/>
        </w:rPr>
        <w:t>-го</w:t>
      </w:r>
      <w:r w:rsidRPr="00511005">
        <w:rPr>
          <w:rFonts w:ascii="Arial" w:eastAsia="Times New Roman" w:hAnsi="Arial" w:cs="Arial"/>
          <w:iCs/>
          <w:noProof/>
          <w:szCs w:val="28"/>
        </w:rPr>
        <w:t xml:space="preserve"> кypсy фaкyльтeтy aдвoкaтypи тa aнтикopyпцiйнoї дiяльнoстi</w:t>
      </w:r>
    </w:p>
    <w:p w14:paraId="33859B0A" w14:textId="77777777" w:rsidR="00B67481" w:rsidRPr="00511005" w:rsidRDefault="00B67481" w:rsidP="003A292D">
      <w:pPr>
        <w:pBdr>
          <w:top w:val="nil"/>
          <w:left w:val="nil"/>
          <w:bottom w:val="nil"/>
          <w:right w:val="nil"/>
          <w:between w:val="nil"/>
        </w:pBdr>
        <w:spacing w:line="264" w:lineRule="auto"/>
        <w:ind w:firstLine="0"/>
        <w:contextualSpacing/>
        <w:jc w:val="center"/>
        <w:rPr>
          <w:rFonts w:ascii="Arial" w:eastAsia="Times New Roman" w:hAnsi="Arial" w:cs="Arial"/>
          <w:iCs/>
          <w:noProof/>
          <w:szCs w:val="28"/>
        </w:rPr>
      </w:pPr>
      <w:r w:rsidRPr="00511005">
        <w:rPr>
          <w:rFonts w:ascii="Arial" w:eastAsia="Times New Roman" w:hAnsi="Arial" w:cs="Arial"/>
          <w:iCs/>
          <w:noProof/>
          <w:szCs w:val="28"/>
        </w:rPr>
        <w:t>Нaцioнaльнoгo yнiвepситeтy «Oдeськa юpидичнa aкaдeмiя»</w:t>
      </w:r>
    </w:p>
    <w:p w14:paraId="2799A3C1" w14:textId="77777777" w:rsidR="00B67481" w:rsidRPr="00511005" w:rsidRDefault="00B67481" w:rsidP="003A292D">
      <w:pPr>
        <w:pBdr>
          <w:top w:val="nil"/>
          <w:left w:val="nil"/>
          <w:bottom w:val="nil"/>
          <w:right w:val="nil"/>
          <w:between w:val="nil"/>
        </w:pBdr>
        <w:spacing w:line="264" w:lineRule="auto"/>
        <w:ind w:firstLine="0"/>
        <w:contextualSpacing/>
        <w:jc w:val="center"/>
        <w:rPr>
          <w:rFonts w:ascii="Arial" w:eastAsia="Times New Roman" w:hAnsi="Arial" w:cs="Arial"/>
          <w:iCs/>
          <w:noProof/>
          <w:szCs w:val="28"/>
        </w:rPr>
      </w:pPr>
    </w:p>
    <w:p w14:paraId="4C2BE3C7" w14:textId="77777777" w:rsidR="00B67481" w:rsidRPr="00511005" w:rsidRDefault="00B67481" w:rsidP="003A292D">
      <w:pPr>
        <w:spacing w:line="264" w:lineRule="auto"/>
        <w:ind w:firstLine="0"/>
        <w:jc w:val="center"/>
        <w:rPr>
          <w:rFonts w:ascii="Arial" w:eastAsia="Calibri" w:hAnsi="Arial" w:cs="Arial"/>
          <w:b/>
          <w:bCs/>
          <w:szCs w:val="28"/>
        </w:rPr>
      </w:pPr>
      <w:r w:rsidRPr="00511005">
        <w:rPr>
          <w:rFonts w:ascii="Arial" w:eastAsia="Calibri" w:hAnsi="Arial" w:cs="Arial"/>
          <w:b/>
          <w:bCs/>
          <w:szCs w:val="28"/>
        </w:rPr>
        <w:t>ОСОБЛИВОСТІ АДМІНІСТРАТИВНОЇ ВІДПОВІДАЛЬНОСТІ НЕПОВНОЛІТНІХ: ЗАРУБІЖНИЙ ДОСВІД ТА УКРАЇНСЬКІ РЕАЛІЇ</w:t>
      </w:r>
    </w:p>
    <w:p w14:paraId="4ACE19C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Адміністративна відповідальність є важливою складовою правової системи кожної держави, оскільки вона сприяє забезпеченню правопорядку та дисципліни в суспільстві. Особливості адміністративної відповідальності неповнолітніх є однією з найскладніших і водночас найактуальніших проблем у сфері ювенальної юстиції, оскільки це питання безпосередньо стосується прав дитини та юнацької психології. Враховуючи незрілість неповнолітніх осіб, законодавці в різних країнах намагаються розробити специфічні механізми, які враховують як здатність до відповідальності цих осіб, так і їх потребу в особливій правовій охороні.</w:t>
      </w:r>
    </w:p>
    <w:p w14:paraId="5FBF5130"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Зарубіжний досвід у сфері адміністративної відповідальності неповнолітніх демонструє різноманітні підходи до цього питання. Кожна країна виводить свої особливості на основі національних традицій, культурних аспектів та рівня розвитку правової системи. У деяких державах застосовується диференційований підхід, де неповнолітнім можуть призначатися спеціальні адміністративні санкції або проводиться реабілітація через освітні програми. Інші ж країни обирають більш суворі покарання, зважаючи на серйозність правопорушень. Водночас кожен підхід має на меті забезпечення прав дітей і підлітків, водночас гарантувавши ефективність правопорядку.</w:t>
      </w:r>
    </w:p>
    <w:p w14:paraId="499A883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 Чернецький вказує на важливу особливість адміністративної відповідальності неповнолітніх, що вона має виховний характер і не завжди передбачає застосування покарань у вигляді адміністративних стягнень. Для неповнолітніх віком від 16 до 18 років зазвичай застосовуються заходи, які не пов’язані з фінансовими санкціями або арештами, а мають більш освітній і корекційний характер [1, C. 442]. До таких заходів відносяться публічні вибачення, догана, застереження або нагляд з боку батьків чи осіб, що їх замінюють. Однак у випадках серйозних правопорушень, таких як дрібне хуліганство чи порушення правил дорожнього руху, неповнолітні </w:t>
      </w:r>
      <w:r w:rsidRPr="00511005">
        <w:rPr>
          <w:rFonts w:ascii="Arial" w:eastAsia="Calibri" w:hAnsi="Arial" w:cs="Arial"/>
          <w:szCs w:val="28"/>
        </w:rPr>
        <w:lastRenderedPageBreak/>
        <w:t>можуть бути притягнуті до адміністративної відповідальності за загальними правилами. Водночас для них не застосовується адміністративний арешт, що підтверджує гуманний підхід законодавства до цієї категорії осіб.</w:t>
      </w:r>
    </w:p>
    <w:p w14:paraId="486951E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Крім того, адміністративне право також передбачає можливість покласти відповідальність на батьків або осіб, які їх замінюють, у разі неналежного виконання обов'язків щодо виховання неповнолітніх. Такий підхід дозволяє не лише притягувати до відповідальності самих неповнолітніх, але й впливати на їхніх батьків, що, в свою чергу, сприяє профілактиці правопорушень серед підлітків.</w:t>
      </w:r>
    </w:p>
    <w:p w14:paraId="0B788256"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Особливістю адміністративної відповідальності є те, що для неповнолітніх існують спеціальні заходи впливу, орієнтовані на їхній вік і психологічні особливості. У той час як в інших галузях права – цивільному і кримінальному – відповідальність неповнолітніх часто зводиться до загальних принципів, адміністративне право окремо виокремлює цю категорію осіб, розробляючи відповідні норми.</w:t>
      </w:r>
    </w:p>
    <w:p w14:paraId="292CC82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Проте слід зазначити, що, незважаючи на існуючі правові норми, індивідуалізація відповідальності неповнолітніх у сфері адміністративного права потребує подальшого розвитку. Виявлені недоліки в правовому регулюванні, а також проблеми, пов'язані з недосконалістю застосовуваних заходів, вимагають удосконалення механізмів адміністративного впливу на неповнолітніх. Деякі з існуючих заходів впливу є застарілими і малоефективними, що потребує вдосконалення правових інструментів для досягнення кращих результатів у попередженні правопорушень серед неповнолітніх [2, c. 25].</w:t>
      </w:r>
    </w:p>
    <w:p w14:paraId="3608434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Аналізуючи міжнародний досвід, можна відзначити, що у різних країнах вікові межі, з яких неповнолітні можуть бути притягнуті до відповідальності, варіюються в залежності від розуміння вікової зрілості та здатності усвідомлювати наслідки своїх вчинків. Зокрема, в Німеччині правова відповідальність настає з 14 років, оскільки вважається, що на цей вік дитина здатна адекватно оцінювати свої дії з моральної та розумової точки зору. Це означає, що вона може усвідомлювати, що її поведінка є неправомірною та може призвести до негативних наслідків. Такий підхід обґрунтований дослідженнями психологів, які доводять, що в цей період розвитку неповнолітній набуває здатності до формування чітких моральних орієнтирів </w:t>
      </w:r>
      <w:r w:rsidRPr="00511005">
        <w:rPr>
          <w:rFonts w:ascii="Arial" w:eastAsia="Calibri" w:hAnsi="Arial" w:cs="Arial"/>
          <w:szCs w:val="28"/>
        </w:rPr>
        <w:sym w:font="Symbol" w:char="F05B"/>
      </w:r>
      <w:r w:rsidRPr="00511005">
        <w:rPr>
          <w:rFonts w:ascii="Arial" w:eastAsia="Calibri" w:hAnsi="Arial" w:cs="Arial"/>
          <w:szCs w:val="28"/>
        </w:rPr>
        <w:t>3, с. 167–170</w:t>
      </w:r>
      <w:r w:rsidRPr="00511005">
        <w:rPr>
          <w:rFonts w:ascii="Arial" w:eastAsia="Calibri" w:hAnsi="Arial" w:cs="Arial"/>
          <w:szCs w:val="28"/>
        </w:rPr>
        <w:sym w:font="Symbol" w:char="F05D"/>
      </w:r>
      <w:r w:rsidRPr="00511005">
        <w:rPr>
          <w:rFonts w:ascii="Arial" w:eastAsia="Calibri" w:hAnsi="Arial" w:cs="Arial"/>
          <w:szCs w:val="28"/>
        </w:rPr>
        <w:t xml:space="preserve">. </w:t>
      </w:r>
    </w:p>
    <w:p w14:paraId="76091DC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У Сполучених Штатах Америки неповнолітня особа, що досягла 14-річного віку, може бути притягнута до кримінальної відповідальності за повним набором санкцій, оскільки вважається, що цей вік є моментом досягнення достатньої зрілості для розуміння «неправильності» своїх вчинків. В американській правовій системі застосовуються принципи, які враховують як інтелектуальний, так і моральний розвиток неповнолітніх, що </w:t>
      </w:r>
      <w:r w:rsidRPr="00511005">
        <w:rPr>
          <w:rFonts w:ascii="Arial" w:eastAsia="Calibri" w:hAnsi="Arial" w:cs="Arial"/>
          <w:szCs w:val="28"/>
        </w:rPr>
        <w:lastRenderedPageBreak/>
        <w:t>дозволяє визначити відповідальність за скоєне правопорушення на основі реального розуміння особою наслідків її дій.</w:t>
      </w:r>
    </w:p>
    <w:p w14:paraId="56C9581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У Великій Британії правове регулювання ділить неповнолітніх на три вікові групи, при цьому вже з 14 років дитина може бути притягнута до відповідальності за вчинення правопорушення. Це також базується на визнанні того, що 14-річні підлітки здатні розуміти соціальні норми та усвідомлювати, що їхні дії можуть мати серйозні наслідки.</w:t>
      </w:r>
    </w:p>
    <w:p w14:paraId="0544D501"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Це зниження вікової межі відповідальності вказаними країнами є важливим кроком, оскільки воно відображає реальну здатність неповнолітніх в цьому віці до самооцінки своїх вчинків та усвідомлення їх наслідків. Тому система правового регулювання в цих країнах надає особливу увагу наявності моральної та психічної зрілості у підлітків, що є основою для визначення їх відповідальності за правопорушення. Врахування таких факторів робить правові норми ефективними та сприяє попередженню правопорушень серед неповнолітніх.</w:t>
      </w:r>
    </w:p>
    <w:p w14:paraId="3CAC43C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Як уже зазначалося, Кодекс України про адміністративні правопорушення (КУпАП) надає перелік заходів впливу, але не визначає їхнього поняття та мети, що ускладнює розуміння їх правової природи. Це створює проблеми в практичному застосуванні таких заходів. По-перше, у статті 24-1 КУпАП перелічено заходи, що застосовуються до неповнолітніх віком від 16 до 18 років за вчинення адміністративних правопорушень. Проте правопорушення, скоєні дітьми до 16 років, залишаються безкарними, що сприяє збільшенню правопорушень серед молоді. З огляду на це, доцільно було б встановити 14 років як мінімальний вік для притягнення до адміністративної відповідальності, оскільки саме з цього віку молодь може усвідомлювати наслідки своїх дій.</w:t>
      </w:r>
    </w:p>
    <w:p w14:paraId="37B02C63" w14:textId="77777777" w:rsidR="00B67481" w:rsidRPr="00511005" w:rsidRDefault="00B67481" w:rsidP="003A292D">
      <w:pPr>
        <w:spacing w:line="264" w:lineRule="auto"/>
        <w:rPr>
          <w:rFonts w:ascii="Arial" w:eastAsia="Calibri" w:hAnsi="Arial" w:cs="Arial"/>
          <w:szCs w:val="28"/>
        </w:rPr>
      </w:pPr>
      <w:proofErr w:type="gramStart"/>
      <w:r w:rsidRPr="00511005">
        <w:rPr>
          <w:rFonts w:ascii="Arial" w:eastAsia="Calibri" w:hAnsi="Arial" w:cs="Arial"/>
          <w:szCs w:val="28"/>
        </w:rPr>
        <w:t>По-друге</w:t>
      </w:r>
      <w:proofErr w:type="gramEnd"/>
      <w:r w:rsidRPr="00511005">
        <w:rPr>
          <w:rFonts w:ascii="Arial" w:eastAsia="Calibri" w:hAnsi="Arial" w:cs="Arial"/>
          <w:szCs w:val="28"/>
        </w:rPr>
        <w:t>, перелік заходів впливу, визначених статтею 24-1, потребує суттєвого оновлення, адже більшість з них не досягають основної мети — зниження правопорушень серед неповнолітніх. Наприклад, зобов’язання публічно вибачитися не має чітких правових критеріїв: чи є обов’язковою саме публічність, чи існують інші варіанти вибачення, і чи можуть при цьому бути присутніми свідки.</w:t>
      </w:r>
    </w:p>
    <w:p w14:paraId="7CA3B3A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По-третє, заходи, такі як догана чи сувора догана, виглядають нелогічно у контексті адміністративної відповідальності неповнолітніх, оскільки вони більше притаманні трудовим правовідносинам і не мають чіткої процедури застосування. Крім того, багато заходів, визначених адміністративно-деліктним законодавством, є застарілими і не відповідають реаліям сучасного суспільства, тому майже не застосовуються на практиці [4, с. 316–322].</w:t>
      </w:r>
    </w:p>
    <w:p w14:paraId="2F30A1E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Натомість адміністративні примусові заходи, як-от нагляд за поведінкою неповнолітнього чи вплив через трудовий колектив, мають виховний характер і можуть сприяти формуванню почуття відповідальності </w:t>
      </w:r>
      <w:r w:rsidRPr="00511005">
        <w:rPr>
          <w:rFonts w:ascii="Arial" w:eastAsia="Calibri" w:hAnsi="Arial" w:cs="Arial"/>
          <w:szCs w:val="28"/>
        </w:rPr>
        <w:lastRenderedPageBreak/>
        <w:t>у молодої особи на ранньому етапі її становлення. Це дозволяє не лише попереджувати правопорушення, але й сприяти розвитку правосвідомості у неповнолітніх.</w:t>
      </w:r>
    </w:p>
    <w:p w14:paraId="77C0F63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Водночас, доцільно також розглядати застосування заходів впливу, що виходять за межі юридичних санкцій, таких як взяття шефства над підлітком або нагляд за його поведінкою через соціальні служби. Проблеми в регулюванні адміністративної відповідальності неповнолітніх зумовлені відсутністю чіткої системи адміністративних стягнень, що й ускладнює створення ефективної правозастосовної практики в цій сфері.</w:t>
      </w:r>
    </w:p>
    <w:p w14:paraId="40B24BC9"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Відсутність чітко структурованої та концептуально узгодженої системи адміністративних стягнень серйозно гальмує формування ефективного механізму притягнення неповнолітніх до відповідальності. Особливої уваги вимагає розмежування між заходами адміністративної відповідальності та заходами громадського впливу, адже вони істотно різняться як за юридичною сутністю, так і за підставами, способами й метою застосування. </w:t>
      </w:r>
    </w:p>
    <w:p w14:paraId="131233A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З позиції правової теорії, заходи адміністративної відповідальності мають карально-примусовий характер і спрямовані на офіційне реагування держави на вчинене правопорушення, тоді як заходи громадського впливу переважно носять виховний характер і реалізуються поза межами суворих правових процедур, наприклад, через шефство, моральне осудження чи громадський нагляд. </w:t>
      </w:r>
    </w:p>
    <w:p w14:paraId="3C54CBD6"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 xml:space="preserve">У цьому контексті адміністративна відповідальність неповнолітніх виступає як важлива складова системи юридичної відповідальності, оскільки саме в підлітковому віці формується базовий рівень правосвідомості особи. Недосконалість її правового регулювання, що виявляється у нечіткості норм, відсутності системного підходу та застарілості окремих положень, потребує нагального теоретичного осмислення і практичного реформування. Враховуючи зростання кількості правопорушень серед молоді та трансформацію соціального середовища, модернізація цієї сфери є надзвичайно актуальною. </w:t>
      </w:r>
    </w:p>
    <w:p w14:paraId="1C1CAABC" w14:textId="77777777" w:rsidR="00B67481" w:rsidRPr="00511005" w:rsidRDefault="00B67481" w:rsidP="003A292D">
      <w:pPr>
        <w:spacing w:line="264" w:lineRule="auto"/>
        <w:rPr>
          <w:rFonts w:ascii="Arial" w:eastAsia="Calibri" w:hAnsi="Arial" w:cs="Arial"/>
          <w:szCs w:val="28"/>
          <w:lang w:val="uk-UA"/>
        </w:rPr>
      </w:pPr>
    </w:p>
    <w:p w14:paraId="12CEA78C" w14:textId="47FF9779" w:rsidR="00B67481" w:rsidRPr="00511005" w:rsidRDefault="007B2628" w:rsidP="007B2628">
      <w:pPr>
        <w:spacing w:line="264" w:lineRule="auto"/>
        <w:ind w:firstLine="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1CFE50A5" w14:textId="77777777" w:rsidR="00B67481" w:rsidRPr="00511005" w:rsidRDefault="00B67481" w:rsidP="003F6A5D">
      <w:pPr>
        <w:numPr>
          <w:ilvl w:val="0"/>
          <w:numId w:val="255"/>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Чернецький О. Л. Поняття та особливості адміністративної відповідальності неповнолітніх: теоретико-правові питання. Форум права. 2008. № 1. С. 439–444. </w:t>
      </w:r>
    </w:p>
    <w:p w14:paraId="636898EA" w14:textId="77777777" w:rsidR="00B67481" w:rsidRPr="00511005" w:rsidRDefault="00B67481" w:rsidP="003F6A5D">
      <w:pPr>
        <w:numPr>
          <w:ilvl w:val="0"/>
          <w:numId w:val="255"/>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Тріпак Ю. Р., Краковська А. Є. Адміністративна відповідальність неповнолітніх. Вісник студентського наукового товариства ДонНУ імені Василя Стуса. 2019. Т. 1. № 11. С. 23–28. </w:t>
      </w:r>
    </w:p>
    <w:p w14:paraId="36D792C7" w14:textId="77777777" w:rsidR="007B2628" w:rsidRPr="00511005" w:rsidRDefault="00B67481" w:rsidP="003F6A5D">
      <w:pPr>
        <w:numPr>
          <w:ilvl w:val="0"/>
          <w:numId w:val="255"/>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Павловська А. А. Вік, з якого настає кримінальна відповідальність неповнолітніх (зарубіжний досвід). Вісник Асоціації кримінального права України. 2016. № 1. С. 166–174.</w:t>
      </w:r>
    </w:p>
    <w:p w14:paraId="483DD2C2" w14:textId="0D775A80" w:rsidR="00B67481" w:rsidRPr="00511005" w:rsidRDefault="00B67481" w:rsidP="003F6A5D">
      <w:pPr>
        <w:numPr>
          <w:ilvl w:val="0"/>
          <w:numId w:val="255"/>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Соловйова О. М. Адміністративна відповідальність неповнолітніх: чи потрібні зміни. Юридичний науковий електронний журнал. 2022. № 12. С. 316–322.</w:t>
      </w:r>
    </w:p>
    <w:p w14:paraId="06CB411C" w14:textId="77777777" w:rsidR="00B67481" w:rsidRPr="00511005" w:rsidRDefault="00B67481" w:rsidP="003A292D">
      <w:pPr>
        <w:tabs>
          <w:tab w:val="left" w:pos="1276"/>
          <w:tab w:val="left" w:pos="2540"/>
        </w:tabs>
        <w:spacing w:line="264" w:lineRule="auto"/>
        <w:rPr>
          <w:rFonts w:ascii="Arial" w:eastAsia="Times New Roman" w:hAnsi="Arial" w:cs="Arial"/>
          <w:b/>
          <w:bCs/>
          <w:iCs/>
          <w:szCs w:val="28"/>
          <w:lang w:val="uk-UA"/>
        </w:rPr>
      </w:pPr>
      <w:bookmarkStart w:id="122" w:name="_Hlk195516957"/>
    </w:p>
    <w:p w14:paraId="3E8D807A" w14:textId="63606880" w:rsidR="00B67481" w:rsidRPr="00511005" w:rsidRDefault="007B2628" w:rsidP="003A292D">
      <w:pPr>
        <w:tabs>
          <w:tab w:val="left" w:pos="1276"/>
          <w:tab w:val="left" w:pos="2540"/>
        </w:tabs>
        <w:spacing w:line="264" w:lineRule="auto"/>
        <w:rPr>
          <w:rFonts w:ascii="Arial" w:eastAsia="Times New Roman" w:hAnsi="Arial" w:cs="Arial"/>
          <w:iCs/>
          <w:szCs w:val="28"/>
          <w:lang w:val="uk-UA"/>
        </w:rPr>
      </w:pPr>
      <w:r w:rsidRPr="00511005">
        <w:rPr>
          <w:rFonts w:ascii="Arial" w:eastAsia="Times New Roman" w:hAnsi="Arial" w:cs="Arial"/>
          <w:b/>
          <w:bCs/>
          <w:i/>
          <w:iCs/>
          <w:szCs w:val="28"/>
          <w:lang w:val="uk-UA"/>
        </w:rPr>
        <w:t xml:space="preserve">Ключові слова: </w:t>
      </w:r>
      <w:r w:rsidR="00B67481" w:rsidRPr="00511005">
        <w:rPr>
          <w:rFonts w:ascii="Arial" w:eastAsia="Times New Roman" w:hAnsi="Arial" w:cs="Arial"/>
          <w:iCs/>
          <w:szCs w:val="28"/>
          <w:lang w:val="uk-UA"/>
        </w:rPr>
        <w:t>адміністративна відповідальність, неповнолітні, ювенальна юстиція, заходи впливу, зарубіжний досвід, правове регулювання, профілактика правопорушень, вік відповідальності, гуманний підхід, індивідуалізація відповідальності.</w:t>
      </w:r>
    </w:p>
    <w:p w14:paraId="55868FBA" w14:textId="2387A289" w:rsidR="00B67481" w:rsidRPr="00511005" w:rsidRDefault="007B2628" w:rsidP="003A292D">
      <w:pPr>
        <w:tabs>
          <w:tab w:val="left" w:pos="1276"/>
          <w:tab w:val="left" w:pos="2540"/>
        </w:tabs>
        <w:spacing w:line="264" w:lineRule="auto"/>
        <w:rPr>
          <w:rFonts w:ascii="Arial" w:eastAsia="Times New Roman" w:hAnsi="Arial" w:cs="Arial"/>
          <w:iCs/>
          <w:szCs w:val="28"/>
          <w:lang w:val="en-US"/>
        </w:rPr>
      </w:pPr>
      <w:r w:rsidRPr="00511005">
        <w:rPr>
          <w:rFonts w:ascii="Arial" w:eastAsia="Times New Roman" w:hAnsi="Arial" w:cs="Arial"/>
          <w:b/>
          <w:bCs/>
          <w:i/>
          <w:iCs/>
          <w:szCs w:val="28"/>
          <w:lang w:val="en-US"/>
        </w:rPr>
        <w:t xml:space="preserve">Key words: </w:t>
      </w:r>
      <w:bookmarkEnd w:id="122"/>
      <w:r w:rsidR="00B67481" w:rsidRPr="00511005">
        <w:rPr>
          <w:rFonts w:ascii="Arial" w:eastAsia="Calibri" w:hAnsi="Arial" w:cs="Arial"/>
          <w:szCs w:val="28"/>
          <w:lang w:val="en-US"/>
        </w:rPr>
        <w:t>administrative liability, minors, juvenile justice, measures of influence, foreign experience, legal regulation, prevention of offenses, age of responsibility, humane approach, individualization of liability.</w:t>
      </w:r>
    </w:p>
    <w:p w14:paraId="2644B062" w14:textId="3E57DD82" w:rsidR="00B67481" w:rsidRPr="00511005" w:rsidRDefault="007B2628" w:rsidP="003A292D">
      <w:pPr>
        <w:tabs>
          <w:tab w:val="left" w:pos="1276"/>
          <w:tab w:val="left" w:pos="2540"/>
        </w:tabs>
        <w:spacing w:line="264" w:lineRule="auto"/>
        <w:rPr>
          <w:rFonts w:ascii="Arial" w:eastAsia="Times New Roman" w:hAnsi="Arial" w:cs="Arial"/>
          <w:i/>
          <w:szCs w:val="28"/>
        </w:rPr>
      </w:pPr>
      <w:r w:rsidRPr="00511005">
        <w:rPr>
          <w:rFonts w:ascii="Arial" w:eastAsia="Times New Roman" w:hAnsi="Arial" w:cs="Arial"/>
          <w:b/>
          <w:i/>
          <w:szCs w:val="28"/>
        </w:rPr>
        <w:t xml:space="preserve">Науковий керівник: </w:t>
      </w:r>
      <w:r w:rsidR="00B67481" w:rsidRPr="00511005">
        <w:rPr>
          <w:rFonts w:ascii="Arial" w:eastAsia="Times New Roman" w:hAnsi="Arial" w:cs="Arial"/>
          <w:i/>
          <w:szCs w:val="28"/>
          <w:lang w:val="uk-UA"/>
        </w:rPr>
        <w:t>к.ю.н.</w:t>
      </w:r>
      <w:r w:rsidR="00B67481" w:rsidRPr="00511005">
        <w:rPr>
          <w:rFonts w:ascii="Arial" w:eastAsia="Times New Roman" w:hAnsi="Arial" w:cs="Arial"/>
          <w:i/>
          <w:szCs w:val="28"/>
        </w:rPr>
        <w:t xml:space="preserve">, доцент Осадчий </w:t>
      </w:r>
      <w:r w:rsidR="00B67481" w:rsidRPr="00511005">
        <w:rPr>
          <w:rFonts w:ascii="Arial" w:eastAsia="Times New Roman" w:hAnsi="Arial" w:cs="Arial"/>
          <w:i/>
          <w:szCs w:val="28"/>
          <w:lang w:val="uk-UA"/>
        </w:rPr>
        <w:t>А.Ю</w:t>
      </w:r>
      <w:r w:rsidR="00B67481" w:rsidRPr="00511005">
        <w:rPr>
          <w:rFonts w:ascii="Arial" w:eastAsia="Times New Roman" w:hAnsi="Arial" w:cs="Arial"/>
          <w:i/>
          <w:szCs w:val="28"/>
        </w:rPr>
        <w:t>.</w:t>
      </w:r>
    </w:p>
    <w:p w14:paraId="4D1E14D8" w14:textId="77777777" w:rsidR="001D1A08" w:rsidRPr="00511005" w:rsidRDefault="001D1A08" w:rsidP="003A292D">
      <w:pPr>
        <w:spacing w:line="264" w:lineRule="auto"/>
        <w:jc w:val="left"/>
        <w:rPr>
          <w:rFonts w:ascii="Arial" w:eastAsia="Times New Roman" w:hAnsi="Arial" w:cs="Arial"/>
          <w:i/>
          <w:szCs w:val="28"/>
        </w:rPr>
      </w:pPr>
    </w:p>
    <w:p w14:paraId="5FF26074" w14:textId="77777777" w:rsidR="001D1A08" w:rsidRPr="00511005" w:rsidRDefault="001D1A08" w:rsidP="003A292D">
      <w:pPr>
        <w:spacing w:line="264" w:lineRule="auto"/>
        <w:jc w:val="left"/>
        <w:rPr>
          <w:rFonts w:ascii="Arial" w:eastAsia="Times New Roman" w:hAnsi="Arial" w:cs="Arial"/>
          <w:i/>
          <w:szCs w:val="28"/>
        </w:rPr>
      </w:pPr>
    </w:p>
    <w:p w14:paraId="18F45C86" w14:textId="77777777" w:rsidR="00B67481" w:rsidRPr="00511005" w:rsidRDefault="00B67481" w:rsidP="003A292D">
      <w:pPr>
        <w:tabs>
          <w:tab w:val="left" w:pos="7088"/>
        </w:tabs>
        <w:spacing w:line="264" w:lineRule="auto"/>
        <w:ind w:firstLine="0"/>
        <w:jc w:val="center"/>
        <w:rPr>
          <w:rFonts w:ascii="Arial" w:eastAsia="Calibri" w:hAnsi="Arial" w:cs="Arial"/>
          <w:b/>
          <w:i/>
          <w:szCs w:val="28"/>
          <w:lang w:bidi="uk-UA"/>
        </w:rPr>
      </w:pPr>
      <w:r w:rsidRPr="00511005">
        <w:rPr>
          <w:rFonts w:ascii="Arial" w:eastAsia="Calibri" w:hAnsi="Arial" w:cs="Arial"/>
          <w:b/>
          <w:i/>
          <w:szCs w:val="28"/>
          <w:lang w:bidi="uk-UA"/>
        </w:rPr>
        <w:t>Осадча Владислава Сергіївна</w:t>
      </w:r>
    </w:p>
    <w:p w14:paraId="779DEB34" w14:textId="43F0CB19"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00552F0B"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EFA63EE"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F168842" w14:textId="77777777" w:rsidR="00B67481" w:rsidRPr="00511005" w:rsidRDefault="00B67481" w:rsidP="003A292D">
      <w:pPr>
        <w:tabs>
          <w:tab w:val="left" w:pos="7088"/>
        </w:tabs>
        <w:spacing w:line="264" w:lineRule="auto"/>
        <w:ind w:firstLine="0"/>
        <w:jc w:val="center"/>
        <w:rPr>
          <w:rFonts w:ascii="Arial" w:eastAsia="Calibri" w:hAnsi="Arial" w:cs="Arial"/>
          <w:szCs w:val="28"/>
          <w:lang w:bidi="uk-UA"/>
        </w:rPr>
      </w:pPr>
    </w:p>
    <w:p w14:paraId="6E75F6C2" w14:textId="77777777" w:rsidR="00B67481" w:rsidRPr="00511005" w:rsidRDefault="00B67481" w:rsidP="003A292D">
      <w:pPr>
        <w:tabs>
          <w:tab w:val="left" w:pos="7088"/>
        </w:tabs>
        <w:spacing w:line="264" w:lineRule="auto"/>
        <w:ind w:firstLine="0"/>
        <w:jc w:val="center"/>
        <w:rPr>
          <w:rFonts w:ascii="Arial" w:eastAsia="Calibri" w:hAnsi="Arial" w:cs="Arial"/>
          <w:b/>
          <w:szCs w:val="28"/>
          <w:lang w:bidi="uk-UA"/>
        </w:rPr>
      </w:pPr>
      <w:r w:rsidRPr="00511005">
        <w:rPr>
          <w:rFonts w:ascii="Arial" w:eastAsia="Calibri" w:hAnsi="Arial" w:cs="Arial"/>
          <w:b/>
          <w:szCs w:val="28"/>
          <w:lang w:bidi="uk-UA"/>
        </w:rPr>
        <w:t>ЗАОХОЧЕННЯ ЯК МЕТОД ПУБЛІЧНОГО АДМІНІСТРУВАННЯ</w:t>
      </w:r>
    </w:p>
    <w:p w14:paraId="3E8865D1"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У системі публічного адміністрування особливе місце посідає метод заохочення, який виконує роль не лише засобу впливу на поведінку суб’єктів адміністративно-правових відносин, а й інструменту формування ефективної, мотивованої, соціально відповідальної державної служби та суспільства загалом. У контексті трансформаційних процесів, які нині відбуваються в Україні, посилення ролі заохочувальних механізмів у державному управлінні є особливо актуальним, адже вони мають на меті не лише стимулювання продуктивності праці, а й підвищення довіри до органів публічної влади.</w:t>
      </w:r>
    </w:p>
    <w:p w14:paraId="11B6C7CA"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Заохочення у публічному адмініструванні розглядається як комплекс правових, соціальних, морально-психологічних і матеріальних заходів, які спрямовані на формування позитивної мотивації до сумлінного виконання обов’язків, дотримання норм закону, ініціативність, інноваційність та відданість суспільним інтересам. Одним із важливих елементів заохочення є моральне визнання, що проявляється через суспільну оцінку діяльності працівників публічної служби. До таких форм належать подяки, почесні грамоти, публічне визнання досягнень через ЗМІ чи офіційні виступи керівництва.</w:t>
      </w:r>
    </w:p>
    <w:p w14:paraId="2C1B411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Матеріальна складова заохочення виявляється у формі премій, надбавок, присвоєння рангів, нагороджень державними відзнаками тощо. Вона має не лише економічне, але й глибоке мотиваційне значення, адже </w:t>
      </w:r>
      <w:r w:rsidRPr="00511005">
        <w:rPr>
          <w:rFonts w:ascii="Arial" w:eastAsia="Calibri" w:hAnsi="Arial" w:cs="Arial"/>
          <w:szCs w:val="28"/>
          <w:lang w:val="uk-UA" w:bidi="uk-UA"/>
        </w:rPr>
        <w:lastRenderedPageBreak/>
        <w:t>дозволяє посилити конкуренцію між працівниками, сприяє підвищенню якості управлінських рішень та персональної відповідальності [2, c.105].</w:t>
      </w:r>
    </w:p>
    <w:p w14:paraId="2C9CC561"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Інституційно заохочення реалізується в межах державної кадрової політики, де визначальним стає принцип меритократії — просування по службі на основі заслуг. Такий підхід вимагає чіткої системи оцінювання результатів праці, прозорості процедур призначення на посади, формування справедливої системи винагород. Законодавча основа для реалізації заохочувальної політики закладена в законах України «Про державну службу», «Про службу в органах місцевого самоврядування» та ряді підзаконних нормативно-правових актів, які регулюють порядок присвоєння звань, рангів, виплати заохочень</w:t>
      </w:r>
      <w:r w:rsidRPr="00511005">
        <w:rPr>
          <w:rFonts w:ascii="Arial" w:eastAsia="Calibri" w:hAnsi="Arial" w:cs="Arial"/>
          <w:szCs w:val="28"/>
          <w:lang w:bidi="uk-UA"/>
        </w:rPr>
        <w:t xml:space="preserve"> [1]</w:t>
      </w:r>
      <w:r w:rsidRPr="00511005">
        <w:rPr>
          <w:rFonts w:ascii="Arial" w:eastAsia="Calibri" w:hAnsi="Arial" w:cs="Arial"/>
          <w:szCs w:val="28"/>
          <w:lang w:val="uk-UA" w:bidi="uk-UA"/>
        </w:rPr>
        <w:t>.</w:t>
      </w:r>
    </w:p>
    <w:p w14:paraId="154CF2A8"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Особливої актуальності метод заохочення набуває в умовах воєнного стану, коли органи влади працюють в умовах підвищеної відповідальності та ризику. У цей період важливо не лише забезпечити ефективність державного управління, а й підтримати моральний дух службовців, визнати їхній внесок у збереження державності, що вимагає від органів публічного адміністрування більш активного використання як моральних, так і матеріальних форм стимулювання.</w:t>
      </w:r>
    </w:p>
    <w:p w14:paraId="4405D765"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Разом з тим в українській системі державного управління ще зберігаються рудименти формального, а іноді й вибіркового підходу до заохочення, що знижує його ефективність. Проблеми криються у непрозорості процедур, відсутності об'єктивних критеріїв оцінювання, нерівномірному розподілі заохочень між працівниками. Такі недоліки створюють умови для виникнення демотивації, професійного вигорання, а також відсутності інтересу до професійного зростання.</w:t>
      </w:r>
    </w:p>
    <w:p w14:paraId="2F2518A8"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Шляхи вдосконалення заохочувальних механізмів у публічному адмініструванні полягають у впровадженні сучасних інструментів оцінювання персоналу, побудові прозорих процедур підвищення по службі, системній роботі з нематеріальними мотиваційними чинниками. Зокрема, необхідно підвищити роль психологічного клімату в колективі, корпоративної культури, забезпечити можливість професійного навчання, участі в міжнародних програмах тощо</w:t>
      </w:r>
      <w:r w:rsidRPr="00511005">
        <w:rPr>
          <w:rFonts w:ascii="Arial" w:eastAsia="Calibri" w:hAnsi="Arial" w:cs="Arial"/>
          <w:szCs w:val="28"/>
          <w:lang w:bidi="uk-UA"/>
        </w:rPr>
        <w:t xml:space="preserve"> [3]</w:t>
      </w:r>
      <w:r w:rsidRPr="00511005">
        <w:rPr>
          <w:rFonts w:ascii="Arial" w:eastAsia="Calibri" w:hAnsi="Arial" w:cs="Arial"/>
          <w:szCs w:val="28"/>
          <w:lang w:val="uk-UA" w:bidi="uk-UA"/>
        </w:rPr>
        <w:t>.</w:t>
      </w:r>
    </w:p>
    <w:p w14:paraId="3D2FAC24"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Таким чином, заохочення як метод публічного адміністрування має вагоме значення у формуванні ефективної, відкритої, мотиваційно орієнтованої державної служби. Його подальший розвиток повинен відбуватись з урахуванням європейських практик, принципів справедливості, об’єктивності, відкритості та відповідності результатам праці.</w:t>
      </w:r>
    </w:p>
    <w:p w14:paraId="68EBA303" w14:textId="77777777" w:rsidR="00B67481" w:rsidRPr="00511005" w:rsidRDefault="00B67481" w:rsidP="003A292D">
      <w:pPr>
        <w:tabs>
          <w:tab w:val="left" w:pos="7088"/>
        </w:tabs>
        <w:spacing w:line="264" w:lineRule="auto"/>
        <w:rPr>
          <w:rFonts w:ascii="Arial" w:eastAsia="Calibri" w:hAnsi="Arial" w:cs="Arial"/>
          <w:szCs w:val="28"/>
          <w:lang w:val="uk-UA" w:bidi="uk-UA"/>
        </w:rPr>
      </w:pPr>
    </w:p>
    <w:p w14:paraId="32D9A44D" w14:textId="77777777" w:rsidR="00B67481" w:rsidRPr="00511005" w:rsidRDefault="00B67481" w:rsidP="003A292D">
      <w:pPr>
        <w:tabs>
          <w:tab w:val="left" w:pos="7088"/>
        </w:tabs>
        <w:spacing w:line="264" w:lineRule="auto"/>
        <w:jc w:val="center"/>
        <w:rPr>
          <w:rFonts w:ascii="Arial" w:eastAsia="Calibri" w:hAnsi="Arial" w:cs="Arial"/>
          <w:b/>
          <w:szCs w:val="28"/>
          <w:lang w:val="uk-UA" w:bidi="uk-UA"/>
        </w:rPr>
      </w:pPr>
      <w:r w:rsidRPr="00511005">
        <w:rPr>
          <w:rFonts w:ascii="Arial" w:eastAsia="Calibri" w:hAnsi="Arial" w:cs="Arial"/>
          <w:b/>
          <w:szCs w:val="28"/>
          <w:lang w:val="en-US" w:bidi="uk-UA"/>
        </w:rPr>
        <w:t>C</w:t>
      </w:r>
      <w:r w:rsidRPr="00511005">
        <w:rPr>
          <w:rFonts w:ascii="Arial" w:eastAsia="Calibri" w:hAnsi="Arial" w:cs="Arial"/>
          <w:b/>
          <w:szCs w:val="28"/>
          <w:lang w:val="uk-UA" w:bidi="uk-UA"/>
        </w:rPr>
        <w:t>писок використаних джерел</w:t>
      </w:r>
    </w:p>
    <w:p w14:paraId="6280DB43" w14:textId="77777777" w:rsidR="00B67481" w:rsidRPr="00511005" w:rsidRDefault="00B67481" w:rsidP="003F6A5D">
      <w:pPr>
        <w:widowControl w:val="0"/>
        <w:numPr>
          <w:ilvl w:val="0"/>
          <w:numId w:val="824"/>
        </w:numPr>
        <w:tabs>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eastAsia="ru-RU" w:bidi="uk-UA"/>
        </w:rPr>
        <w:t>Закон України «Про державну службу» від 10.12.2015 № 889-VIII</w:t>
      </w:r>
      <w:r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eastAsia="ru-RU" w:bidi="uk-UA"/>
        </w:rPr>
        <w:t xml:space="preserve">URL: </w:t>
      </w:r>
      <w:hyperlink r:id="rId975" w:anchor="Text" w:history="1">
        <w:r w:rsidRPr="00511005">
          <w:rPr>
            <w:rFonts w:ascii="Arial" w:eastAsia="Times New Roman" w:hAnsi="Arial" w:cs="Arial"/>
            <w:szCs w:val="28"/>
            <w:lang w:eastAsia="ru-RU" w:bidi="uk-UA"/>
          </w:rPr>
          <w:t>https://zakon.rada.gov.ua/laws/show/889-19#Text</w:t>
        </w:r>
      </w:hyperlink>
      <w:r w:rsidRPr="00511005">
        <w:rPr>
          <w:rFonts w:ascii="Arial" w:eastAsia="Times New Roman" w:hAnsi="Arial" w:cs="Arial"/>
          <w:bCs/>
          <w:szCs w:val="28"/>
          <w:lang w:val="uk-UA" w:eastAsia="ru-RU" w:bidi="uk-UA"/>
        </w:rPr>
        <w:t xml:space="preserve"> (дата звернення 08.04.2025 </w:t>
      </w:r>
      <w:r w:rsidRPr="00511005">
        <w:rPr>
          <w:rFonts w:ascii="Arial" w:eastAsia="Times New Roman" w:hAnsi="Arial" w:cs="Arial"/>
          <w:bCs/>
          <w:szCs w:val="28"/>
          <w:lang w:val="uk-UA" w:eastAsia="ru-RU" w:bidi="uk-UA"/>
        </w:rPr>
        <w:lastRenderedPageBreak/>
        <w:t>року)</w:t>
      </w:r>
    </w:p>
    <w:p w14:paraId="04688983" w14:textId="0E280485" w:rsidR="00B67481" w:rsidRPr="00511005" w:rsidRDefault="00B67481" w:rsidP="003F6A5D">
      <w:pPr>
        <w:widowControl w:val="0"/>
        <w:numPr>
          <w:ilvl w:val="0"/>
          <w:numId w:val="824"/>
        </w:numPr>
        <w:tabs>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eastAsia="ru-RU" w:bidi="uk-UA"/>
        </w:rPr>
        <w:t xml:space="preserve">Сукманова О.В. </w:t>
      </w:r>
      <w:r w:rsidRPr="00511005">
        <w:rPr>
          <w:rFonts w:ascii="Arial" w:eastAsia="Times New Roman" w:hAnsi="Arial" w:cs="Arial"/>
          <w:bCs/>
          <w:i/>
          <w:iCs/>
          <w:szCs w:val="28"/>
          <w:lang w:eastAsia="ru-RU" w:bidi="uk-UA"/>
        </w:rPr>
        <w:t>Методи публічного адміністрування охорони права власності в Україні</w:t>
      </w:r>
      <w:r w:rsidRPr="00511005">
        <w:rPr>
          <w:rFonts w:ascii="Arial" w:eastAsia="Times New Roman" w:hAnsi="Arial" w:cs="Arial"/>
          <w:bCs/>
          <w:szCs w:val="28"/>
          <w:lang w:eastAsia="ru-RU" w:bidi="uk-UA"/>
        </w:rPr>
        <w:t>.</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eastAsia="ru-RU" w:bidi="uk-UA"/>
        </w:rPr>
        <w:t>Науковий вісник Херсонського державного університету.</w:t>
      </w:r>
      <w:r w:rsidR="007B2628" w:rsidRPr="00511005">
        <w:rPr>
          <w:rFonts w:ascii="Arial" w:eastAsia="Times New Roman" w:hAnsi="Arial" w:cs="Arial"/>
          <w:bCs/>
          <w:szCs w:val="28"/>
          <w:lang w:eastAsia="ru-RU" w:bidi="uk-UA"/>
        </w:rPr>
        <w:t xml:space="preserve"> </w:t>
      </w:r>
      <w:r w:rsidRPr="00511005">
        <w:rPr>
          <w:rFonts w:ascii="Arial" w:eastAsia="Times New Roman" w:hAnsi="Arial" w:cs="Arial"/>
          <w:bCs/>
          <w:szCs w:val="28"/>
          <w:lang w:eastAsia="ru-RU" w:bidi="uk-UA"/>
        </w:rPr>
        <w:t>2018.</w:t>
      </w:r>
      <w:r w:rsidRPr="00511005">
        <w:rPr>
          <w:rFonts w:ascii="Arial" w:eastAsia="Times New Roman" w:hAnsi="Arial" w:cs="Arial"/>
          <w:szCs w:val="28"/>
          <w:lang w:eastAsia="ru-RU"/>
        </w:rPr>
        <w:t xml:space="preserve"> </w:t>
      </w:r>
      <w:r w:rsidRPr="00511005">
        <w:rPr>
          <w:rFonts w:ascii="Arial" w:eastAsia="Times New Roman" w:hAnsi="Arial" w:cs="Arial"/>
          <w:bCs/>
          <w:szCs w:val="28"/>
          <w:lang w:eastAsia="ru-RU" w:bidi="uk-UA"/>
        </w:rPr>
        <w:t>Вип. 2.</w:t>
      </w:r>
      <w:r w:rsidR="007B2628" w:rsidRPr="00511005">
        <w:rPr>
          <w:rFonts w:ascii="Arial" w:eastAsia="Times New Roman" w:hAnsi="Arial" w:cs="Arial"/>
          <w:bCs/>
          <w:szCs w:val="28"/>
          <w:lang w:eastAsia="ru-RU" w:bidi="uk-UA"/>
        </w:rPr>
        <w:t xml:space="preserve"> </w:t>
      </w:r>
      <w:r w:rsidRPr="00511005">
        <w:rPr>
          <w:rFonts w:ascii="Arial" w:eastAsia="Times New Roman" w:hAnsi="Arial" w:cs="Arial"/>
          <w:bCs/>
          <w:szCs w:val="28"/>
          <w:lang w:eastAsia="ru-RU" w:bidi="uk-UA"/>
        </w:rPr>
        <w:t>Т. 3.</w:t>
      </w:r>
      <w:r w:rsidR="007B2628" w:rsidRPr="00511005">
        <w:rPr>
          <w:rFonts w:ascii="Arial" w:eastAsia="Times New Roman" w:hAnsi="Arial" w:cs="Arial"/>
          <w:bCs/>
          <w:szCs w:val="28"/>
          <w:lang w:eastAsia="ru-RU" w:bidi="uk-UA"/>
        </w:rPr>
        <w:t xml:space="preserve"> </w:t>
      </w:r>
      <w:r w:rsidRPr="00511005">
        <w:rPr>
          <w:rFonts w:ascii="Arial" w:eastAsia="Times New Roman" w:hAnsi="Arial" w:cs="Arial"/>
          <w:bCs/>
          <w:szCs w:val="28"/>
          <w:lang w:eastAsia="ru-RU" w:bidi="uk-UA"/>
        </w:rPr>
        <w:t>С. 104–107.</w:t>
      </w:r>
    </w:p>
    <w:p w14:paraId="397016D8" w14:textId="749DE3A5" w:rsidR="00B67481" w:rsidRPr="00511005" w:rsidRDefault="00B67481" w:rsidP="003F6A5D">
      <w:pPr>
        <w:widowControl w:val="0"/>
        <w:numPr>
          <w:ilvl w:val="0"/>
          <w:numId w:val="824"/>
        </w:numPr>
        <w:tabs>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eastAsia="ru-RU" w:bidi="uk-UA"/>
        </w:rPr>
        <w:t xml:space="preserve">Легеза Ю. </w:t>
      </w:r>
      <w:r w:rsidRPr="00511005">
        <w:rPr>
          <w:rFonts w:ascii="Arial" w:eastAsia="Times New Roman" w:hAnsi="Arial" w:cs="Arial"/>
          <w:bCs/>
          <w:i/>
          <w:iCs/>
          <w:szCs w:val="28"/>
          <w:lang w:eastAsia="ru-RU" w:bidi="uk-UA"/>
        </w:rPr>
        <w:t>Методи публічного управління: адміністративно-правовий аспект</w:t>
      </w:r>
      <w:r w:rsidRPr="00511005">
        <w:rPr>
          <w:rFonts w:ascii="Arial" w:eastAsia="Times New Roman" w:hAnsi="Arial" w:cs="Arial"/>
          <w:bCs/>
          <w:szCs w:val="28"/>
          <w:lang w:eastAsia="ru-RU" w:bidi="uk-UA"/>
        </w:rPr>
        <w:t xml:space="preserve">. </w:t>
      </w:r>
      <w:r w:rsidRPr="00511005">
        <w:rPr>
          <w:rFonts w:ascii="Arial" w:eastAsia="Times New Roman" w:hAnsi="Arial" w:cs="Arial"/>
          <w:bCs/>
          <w:szCs w:val="28"/>
          <w:lang w:val="en-US" w:eastAsia="ru-RU" w:bidi="uk-UA"/>
        </w:rPr>
        <w:t>Law. State. Technology.</w:t>
      </w:r>
      <w:r w:rsidR="007B2628" w:rsidRPr="00511005">
        <w:rPr>
          <w:rFonts w:ascii="Arial" w:eastAsia="Times New Roman" w:hAnsi="Arial" w:cs="Arial"/>
          <w:bCs/>
          <w:szCs w:val="28"/>
          <w:lang w:val="en-US" w:eastAsia="ru-RU" w:bidi="uk-UA"/>
        </w:rPr>
        <w:t xml:space="preserve"> </w:t>
      </w:r>
      <w:r w:rsidRPr="00511005">
        <w:rPr>
          <w:rFonts w:ascii="Arial" w:eastAsia="Times New Roman" w:hAnsi="Arial" w:cs="Arial"/>
          <w:bCs/>
          <w:szCs w:val="28"/>
          <w:lang w:val="en-US" w:eastAsia="ru-RU" w:bidi="uk-UA"/>
        </w:rPr>
        <w:t>2021.</w:t>
      </w:r>
      <w:r w:rsidRPr="00511005">
        <w:rPr>
          <w:rFonts w:ascii="Arial" w:eastAsia="Times New Roman" w:hAnsi="Arial" w:cs="Arial"/>
          <w:szCs w:val="28"/>
          <w:lang w:val="en-US" w:eastAsia="ru-RU"/>
        </w:rPr>
        <w:t xml:space="preserve"> </w:t>
      </w:r>
      <w:r w:rsidRPr="00511005">
        <w:rPr>
          <w:rFonts w:ascii="Arial" w:eastAsia="Times New Roman" w:hAnsi="Arial" w:cs="Arial"/>
          <w:bCs/>
          <w:szCs w:val="28"/>
          <w:lang w:val="en-US" w:eastAsia="ru-RU" w:bidi="uk-UA"/>
        </w:rPr>
        <w:t xml:space="preserve">URL: </w:t>
      </w:r>
      <w:hyperlink r:id="rId976" w:history="1">
        <w:r w:rsidRPr="00511005">
          <w:rPr>
            <w:rFonts w:ascii="Arial" w:eastAsia="Times New Roman" w:hAnsi="Arial" w:cs="Arial"/>
            <w:szCs w:val="28"/>
            <w:lang w:val="en-US" w:eastAsia="ru-RU" w:bidi="uk-UA"/>
          </w:rPr>
          <w:t>https://journals.politehnica.dp.ua/index.php/lst/article/view/19</w:t>
        </w:r>
      </w:hyperlink>
      <w:r w:rsidRPr="00511005">
        <w:rPr>
          <w:rFonts w:ascii="Arial" w:eastAsia="Times New Roman" w:hAnsi="Arial" w:cs="Arial"/>
          <w:bCs/>
          <w:szCs w:val="28"/>
          <w:lang w:val="uk-UA" w:eastAsia="ru-RU" w:bidi="uk-UA"/>
        </w:rPr>
        <w:t xml:space="preserve"> (дата звернення 08.04.2025 року)</w:t>
      </w:r>
    </w:p>
    <w:p w14:paraId="1C293569" w14:textId="77777777" w:rsidR="00B67481" w:rsidRPr="00511005" w:rsidRDefault="00B67481"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b/>
          <w:bCs/>
          <w:szCs w:val="28"/>
          <w:lang w:val="uk-UA" w:eastAsia="ru-RU" w:bidi="uk-UA"/>
        </w:rPr>
      </w:pPr>
    </w:p>
    <w:p w14:paraId="73F2C7EC" w14:textId="655C4005" w:rsidR="00B67481" w:rsidRPr="00511005" w:rsidRDefault="007B2628"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bCs/>
          <w:szCs w:val="28"/>
          <w:lang w:val="uk-UA" w:eastAsia="ru-RU" w:bidi="uk-UA"/>
        </w:rPr>
      </w:pPr>
      <w:r w:rsidRPr="00511005">
        <w:rPr>
          <w:rFonts w:ascii="Arial" w:eastAsia="Times New Roman" w:hAnsi="Arial" w:cs="Arial"/>
          <w:b/>
          <w:bCs/>
          <w:i/>
          <w:szCs w:val="28"/>
          <w:lang w:val="uk-UA" w:eastAsia="ru-RU" w:bidi="uk-UA"/>
        </w:rPr>
        <w:t xml:space="preserve">Ключові слова: </w:t>
      </w:r>
      <w:r w:rsidR="00B67481" w:rsidRPr="00511005">
        <w:rPr>
          <w:rFonts w:ascii="Arial" w:eastAsia="Times New Roman" w:hAnsi="Arial" w:cs="Arial"/>
          <w:bCs/>
          <w:szCs w:val="28"/>
          <w:lang w:val="uk-UA" w:eastAsia="ru-RU" w:bidi="uk-UA"/>
        </w:rPr>
        <w:t>Публічне адміністрування, заохочення, моральне визнання, державна служба, закон.</w:t>
      </w:r>
    </w:p>
    <w:p w14:paraId="43EC8D37" w14:textId="448641DD" w:rsidR="00B67481" w:rsidRPr="00511005" w:rsidRDefault="007B2628"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bCs/>
          <w:szCs w:val="28"/>
          <w:lang w:val="en-US" w:eastAsia="ru-RU" w:bidi="uk-UA"/>
        </w:rPr>
      </w:pPr>
      <w:r w:rsidRPr="00511005">
        <w:rPr>
          <w:rFonts w:ascii="Arial" w:eastAsia="Times New Roman" w:hAnsi="Arial" w:cs="Arial"/>
          <w:b/>
          <w:bCs/>
          <w:i/>
          <w:szCs w:val="28"/>
          <w:lang w:val="uk-UA" w:eastAsia="ru-RU" w:bidi="uk-UA"/>
        </w:rPr>
        <w:t xml:space="preserve">Key words: </w:t>
      </w:r>
      <w:r w:rsidR="00B67481" w:rsidRPr="00511005">
        <w:rPr>
          <w:rFonts w:ascii="Arial" w:eastAsia="Times New Roman" w:hAnsi="Arial" w:cs="Arial"/>
          <w:bCs/>
          <w:szCs w:val="28"/>
          <w:lang w:val="en-US" w:eastAsia="ru-RU" w:bidi="uk-UA"/>
        </w:rPr>
        <w:t>Public administration, encouragement, moral recognition, public service, law.</w:t>
      </w:r>
    </w:p>
    <w:p w14:paraId="64F240C8" w14:textId="750515B1" w:rsidR="00B67481" w:rsidRPr="00511005" w:rsidRDefault="007B2628"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bCs/>
          <w:i/>
          <w:szCs w:val="28"/>
          <w:lang w:val="uk-UA" w:eastAsia="ru-RU" w:bidi="uk-UA"/>
        </w:rPr>
      </w:pPr>
      <w:r w:rsidRPr="00511005">
        <w:rPr>
          <w:rFonts w:ascii="Arial" w:eastAsia="Times New Roman" w:hAnsi="Arial" w:cs="Arial"/>
          <w:b/>
          <w:bCs/>
          <w:i/>
          <w:szCs w:val="28"/>
          <w:lang w:val="uk-UA" w:eastAsia="ru-RU" w:bidi="uk-UA"/>
        </w:rPr>
        <w:t xml:space="preserve">Науковий керівник: </w:t>
      </w:r>
      <w:r w:rsidR="00B67481" w:rsidRPr="00511005">
        <w:rPr>
          <w:rFonts w:ascii="Arial" w:eastAsia="Times New Roman" w:hAnsi="Arial" w:cs="Arial"/>
          <w:bCs/>
          <w:i/>
          <w:szCs w:val="28"/>
          <w:lang w:val="uk-UA" w:eastAsia="ru-RU" w:bidi="uk-UA"/>
        </w:rPr>
        <w:t>к.ю.н., доцент кафедри Панфілов О.Є.</w:t>
      </w:r>
    </w:p>
    <w:p w14:paraId="2B91232C" w14:textId="77777777" w:rsidR="001D1A08" w:rsidRPr="00511005" w:rsidRDefault="001D1A08" w:rsidP="003A292D">
      <w:pPr>
        <w:spacing w:line="264" w:lineRule="auto"/>
        <w:ind w:firstLine="0"/>
        <w:jc w:val="left"/>
        <w:rPr>
          <w:rFonts w:ascii="Arial" w:eastAsia="Calibri" w:hAnsi="Arial" w:cs="Arial"/>
          <w:bCs/>
          <w:i/>
          <w:szCs w:val="28"/>
          <w:lang w:val="uk-UA" w:bidi="uk-UA"/>
        </w:rPr>
      </w:pPr>
    </w:p>
    <w:p w14:paraId="48B4C787" w14:textId="77777777" w:rsidR="001D1A08" w:rsidRPr="00511005" w:rsidRDefault="001D1A08" w:rsidP="003A292D">
      <w:pPr>
        <w:spacing w:line="264" w:lineRule="auto"/>
        <w:ind w:firstLine="0"/>
        <w:jc w:val="left"/>
        <w:rPr>
          <w:rFonts w:ascii="Arial" w:eastAsia="Calibri" w:hAnsi="Arial" w:cs="Arial"/>
          <w:bCs/>
          <w:i/>
          <w:szCs w:val="28"/>
          <w:lang w:val="uk-UA" w:bidi="uk-UA"/>
        </w:rPr>
      </w:pPr>
    </w:p>
    <w:p w14:paraId="35928728" w14:textId="77777777" w:rsidR="00B67481" w:rsidRPr="00511005" w:rsidRDefault="00B67481" w:rsidP="003A292D">
      <w:pPr>
        <w:tabs>
          <w:tab w:val="left" w:pos="7088"/>
        </w:tabs>
        <w:spacing w:line="264" w:lineRule="auto"/>
        <w:ind w:firstLine="0"/>
        <w:jc w:val="center"/>
        <w:rPr>
          <w:rFonts w:ascii="Arial" w:eastAsia="Calibri" w:hAnsi="Arial" w:cs="Arial"/>
          <w:b/>
          <w:i/>
          <w:iCs/>
          <w:szCs w:val="28"/>
          <w:lang w:val="uk-UA" w:bidi="uk-UA"/>
        </w:rPr>
      </w:pPr>
      <w:r w:rsidRPr="00511005">
        <w:rPr>
          <w:rFonts w:ascii="Arial" w:eastAsia="Calibri" w:hAnsi="Arial" w:cs="Arial"/>
          <w:b/>
          <w:i/>
          <w:iCs/>
          <w:szCs w:val="28"/>
          <w:lang w:val="uk-UA" w:bidi="uk-UA"/>
        </w:rPr>
        <w:t>Островська Валерія Геннадіївна</w:t>
      </w:r>
    </w:p>
    <w:p w14:paraId="46D87E60" w14:textId="783A5B79"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7A74F3BA"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3B71204"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04B1172" w14:textId="77777777" w:rsidR="00B67481" w:rsidRPr="00511005" w:rsidRDefault="00B67481" w:rsidP="003A292D">
      <w:pPr>
        <w:tabs>
          <w:tab w:val="left" w:pos="7088"/>
        </w:tabs>
        <w:spacing w:line="264" w:lineRule="auto"/>
        <w:ind w:firstLine="0"/>
        <w:jc w:val="center"/>
        <w:rPr>
          <w:rFonts w:ascii="Arial" w:eastAsia="Calibri" w:hAnsi="Arial" w:cs="Arial"/>
          <w:b/>
          <w:iCs/>
          <w:szCs w:val="28"/>
          <w:lang w:bidi="uk-UA"/>
        </w:rPr>
      </w:pPr>
    </w:p>
    <w:p w14:paraId="5AE8EBB3" w14:textId="77777777" w:rsidR="00B67481" w:rsidRPr="00511005" w:rsidRDefault="00B67481" w:rsidP="003A292D">
      <w:pPr>
        <w:tabs>
          <w:tab w:val="left" w:pos="7088"/>
        </w:tabs>
        <w:spacing w:line="264" w:lineRule="auto"/>
        <w:ind w:firstLine="0"/>
        <w:jc w:val="center"/>
        <w:rPr>
          <w:rFonts w:ascii="Arial" w:eastAsia="Calibri" w:hAnsi="Arial" w:cs="Arial"/>
          <w:b/>
          <w:szCs w:val="28"/>
          <w:lang w:bidi="uk-UA"/>
        </w:rPr>
      </w:pPr>
      <w:r w:rsidRPr="00511005">
        <w:rPr>
          <w:rFonts w:ascii="Arial" w:eastAsia="Calibri" w:hAnsi="Arial" w:cs="Arial"/>
          <w:b/>
          <w:szCs w:val="28"/>
          <w:lang w:bidi="uk-UA"/>
        </w:rPr>
        <w:t>АДМІНІСТРАТИВН</w:t>
      </w:r>
      <w:r w:rsidRPr="00511005">
        <w:rPr>
          <w:rFonts w:ascii="Arial" w:eastAsia="Calibri" w:hAnsi="Arial" w:cs="Arial"/>
          <w:b/>
          <w:szCs w:val="28"/>
          <w:lang w:val="uk-UA" w:bidi="uk-UA"/>
        </w:rPr>
        <w:t>А</w:t>
      </w:r>
      <w:r w:rsidRPr="00511005">
        <w:rPr>
          <w:rFonts w:ascii="Arial" w:eastAsia="Calibri" w:hAnsi="Arial" w:cs="Arial"/>
          <w:b/>
          <w:szCs w:val="28"/>
          <w:lang w:bidi="uk-UA"/>
        </w:rPr>
        <w:t xml:space="preserve"> ПРОЦЕДУРА В УКРАЇНІ: ШЛЯХИ ГАРМОНІЗАЦІЇ З ЄВРОПЕЙСЬКИМИ СТАНДАРТАМИ</w:t>
      </w:r>
    </w:p>
    <w:p w14:paraId="34A70F17"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Адміністративна процедура — це юридично врегульований порядок діяльності органів виконавчої влади та інших суб’єктів публічного адміністрування у взаємодії з фізичними і юридичними особами. В умовах реформування правової системи України та курсу на європейську інтеграцію, питання гармонізації адміністративної процедури з правовими стандартами Європейського Союзу набуває особливої актуальності. Європейська модель адміністративної процедури базується на принципах верховенства права, прозорості, передбачуваності, добросовісності, правової визначеності та ефективного захисту прав особи. Вона спрямована на забезпечення справедливого, неупередженого та відкритого прийняття адміністративних рішень.</w:t>
      </w:r>
    </w:p>
    <w:p w14:paraId="07FABE26" w14:textId="78354F91"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Упродовж багатьох років в Україні</w:t>
      </w:r>
      <w:r w:rsidR="007B2628" w:rsidRPr="00511005">
        <w:rPr>
          <w:rFonts w:ascii="Arial" w:eastAsia="Calibri" w:hAnsi="Arial" w:cs="Arial"/>
          <w:szCs w:val="28"/>
          <w:lang w:val="uk-UA" w:bidi="uk-UA"/>
        </w:rPr>
        <w:t xml:space="preserve"> </w:t>
      </w:r>
      <w:r w:rsidRPr="00511005">
        <w:rPr>
          <w:rFonts w:ascii="Arial" w:eastAsia="Calibri" w:hAnsi="Arial" w:cs="Arial"/>
          <w:szCs w:val="28"/>
          <w:lang w:val="uk-UA" w:bidi="uk-UA"/>
        </w:rPr>
        <w:t>був відсутній єдиний законодавчий акт, що регулює адміністративну процедуру в цілому. Різні аспекти були врегульовані у численних законах і підзаконних актах, часто суперечливих і фрагментарних. Це створювало серйозні труднощі для реалізації прав громадян, унеможливлювало прозору діяльність органів влади</w:t>
      </w:r>
      <w:r w:rsidRPr="00511005">
        <w:rPr>
          <w:rFonts w:ascii="Arial" w:eastAsia="Calibri" w:hAnsi="Arial" w:cs="Arial"/>
          <w:szCs w:val="28"/>
          <w:lang w:bidi="uk-UA"/>
        </w:rPr>
        <w:t xml:space="preserve"> [3]</w:t>
      </w:r>
      <w:r w:rsidRPr="00511005">
        <w:rPr>
          <w:rFonts w:ascii="Arial" w:eastAsia="Calibri" w:hAnsi="Arial" w:cs="Arial"/>
          <w:szCs w:val="28"/>
          <w:lang w:val="uk-UA" w:bidi="uk-UA"/>
        </w:rPr>
        <w:t>.</w:t>
      </w:r>
    </w:p>
    <w:p w14:paraId="395D74A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Прийняття Закону України «Про адміністративну процедуру» у 2022 році стало важливою віхою у процесі зближення з європейськими нормами. Цей закон заклав підґрунтя для систематизації публічно-правових відносин </w:t>
      </w:r>
      <w:r w:rsidRPr="00511005">
        <w:rPr>
          <w:rFonts w:ascii="Arial" w:eastAsia="Calibri" w:hAnsi="Arial" w:cs="Arial"/>
          <w:szCs w:val="28"/>
          <w:lang w:val="uk-UA" w:bidi="uk-UA"/>
        </w:rPr>
        <w:lastRenderedPageBreak/>
        <w:t>між громадянами та органами влади, а також унормував базові принципи адміністративної процедури — зокрема, рівність перед законом, офіційність, обґрунтованість рішень, участь особи у процесі прийняття рішення, а також право на правовий захист. Важливою є також фіксація презумпції добросовісності заявника, яка зобов'язує орган влади не вимагати від особи надмірних доказів її правомірної поведінки, якщо не доведено протилежне [1].</w:t>
      </w:r>
    </w:p>
    <w:p w14:paraId="5150CAA9" w14:textId="7506D734"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Загалом,</w:t>
      </w:r>
      <w:r w:rsidR="007B2628" w:rsidRPr="00511005">
        <w:rPr>
          <w:rFonts w:ascii="Arial" w:eastAsia="Calibri" w:hAnsi="Arial" w:cs="Arial"/>
          <w:szCs w:val="28"/>
          <w:lang w:val="uk-UA" w:bidi="uk-UA"/>
        </w:rPr>
        <w:t xml:space="preserve"> </w:t>
      </w:r>
      <w:r w:rsidRPr="00511005">
        <w:rPr>
          <w:rFonts w:ascii="Arial" w:eastAsia="Calibri" w:hAnsi="Arial" w:cs="Arial"/>
          <w:szCs w:val="28"/>
          <w:lang w:val="uk-UA" w:bidi="uk-UA"/>
        </w:rPr>
        <w:t>прийняття Закону України « Про адміністративну процедуру» позитивно вплинуло</w:t>
      </w:r>
      <w:r w:rsidR="007B2628" w:rsidRPr="00511005">
        <w:rPr>
          <w:rFonts w:ascii="Arial" w:eastAsia="Calibri" w:hAnsi="Arial" w:cs="Arial"/>
          <w:szCs w:val="28"/>
          <w:lang w:val="uk-UA" w:bidi="uk-UA"/>
        </w:rPr>
        <w:t xml:space="preserve"> </w:t>
      </w:r>
      <w:r w:rsidRPr="00511005">
        <w:rPr>
          <w:rFonts w:ascii="Arial" w:eastAsia="Calibri" w:hAnsi="Arial" w:cs="Arial"/>
          <w:szCs w:val="28"/>
          <w:lang w:val="uk-UA" w:bidi="uk-UA"/>
        </w:rPr>
        <w:t>на розвиток адміністративного законодавства та його гармонізацію з законодавством ЄС, проте виникло кілька проблемних питань з реалізації окремих положень цього закону, які потребують уваги.</w:t>
      </w:r>
    </w:p>
    <w:p w14:paraId="237BA4BD" w14:textId="2239E791" w:rsidR="00B67481" w:rsidRPr="00511005" w:rsidRDefault="00B67481" w:rsidP="003A292D">
      <w:pPr>
        <w:tabs>
          <w:tab w:val="left" w:pos="7088"/>
        </w:tabs>
        <w:spacing w:line="264" w:lineRule="auto"/>
        <w:rPr>
          <w:rFonts w:ascii="Arial" w:eastAsia="Calibri" w:hAnsi="Arial" w:cs="Arial"/>
          <w:szCs w:val="28"/>
          <w:shd w:val="clear" w:color="auto" w:fill="FFFFFF"/>
          <w:lang w:val="uk-UA"/>
        </w:rPr>
      </w:pPr>
      <w:r w:rsidRPr="00511005">
        <w:rPr>
          <w:rFonts w:ascii="Arial" w:eastAsia="Calibri" w:hAnsi="Arial" w:cs="Arial"/>
          <w:szCs w:val="28"/>
          <w:lang w:val="uk-UA" w:bidi="uk-UA"/>
        </w:rPr>
        <w:t xml:space="preserve">Перше питання стосується конкуренції норм закону з іншими нормативно-правовими актами. </w:t>
      </w:r>
      <w:r w:rsidRPr="00511005">
        <w:rPr>
          <w:rFonts w:ascii="Arial" w:eastAsia="Calibri" w:hAnsi="Arial" w:cs="Arial"/>
          <w:szCs w:val="28"/>
        </w:rPr>
        <w:t xml:space="preserve">Згідно зі статтею 3 Закону України «Про адміністративну процедуру», порядок здійснення адміністративної процедури регулюється Конституцією України, цим Законом та іншими нормативно-правовими актами. При цьому окремі категорії адміністративних справ можуть мати специфічні особливості провадження, визначені законом, але такі особливості мають відповідати загальним принципам адміністративної процедури, закріпленим у цьому </w:t>
      </w:r>
      <w:proofErr w:type="gramStart"/>
      <w:r w:rsidRPr="00511005">
        <w:rPr>
          <w:rFonts w:ascii="Arial" w:eastAsia="Calibri" w:hAnsi="Arial" w:cs="Arial"/>
          <w:szCs w:val="28"/>
        </w:rPr>
        <w:t>Законі.</w:t>
      </w:r>
      <w:r w:rsidRPr="00511005">
        <w:rPr>
          <w:rFonts w:ascii="Arial" w:eastAsia="Calibri" w:hAnsi="Arial" w:cs="Arial"/>
          <w:szCs w:val="28"/>
          <w:lang w:val="uk-UA"/>
        </w:rPr>
        <w:t>.</w:t>
      </w:r>
      <w:proofErr w:type="gramEnd"/>
      <w:r w:rsidRPr="00511005">
        <w:rPr>
          <w:rFonts w:ascii="Arial" w:eastAsia="Calibri" w:hAnsi="Arial" w:cs="Arial"/>
          <w:szCs w:val="28"/>
          <w:lang w:val="uk-UA"/>
        </w:rPr>
        <w:t xml:space="preserve"> </w:t>
      </w:r>
      <w:r w:rsidRPr="00511005">
        <w:rPr>
          <w:rFonts w:ascii="Arial" w:eastAsia="Calibri" w:hAnsi="Arial" w:cs="Arial"/>
          <w:szCs w:val="28"/>
          <w:shd w:val="clear" w:color="auto" w:fill="FFFFFF"/>
          <w:lang w:val="uk-UA"/>
        </w:rPr>
        <w:t>Виникає питання - хто вироблятиме єдиний методологічний інструментарій для великої</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кількості</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адміністративних</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органів</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щодо оцінки відповідності норм спеціальних законів принципам</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адміністративної</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процедури?.</w:t>
      </w:r>
    </w:p>
    <w:p w14:paraId="596BBD5A" w14:textId="7EB4473C" w:rsidR="00B67481" w:rsidRPr="00511005" w:rsidRDefault="00B67481" w:rsidP="003A292D">
      <w:pPr>
        <w:tabs>
          <w:tab w:val="left" w:pos="7088"/>
        </w:tabs>
        <w:spacing w:line="264" w:lineRule="auto"/>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Це питання є цілком виправданим, адже правове регулювання адміністративної процедури відбувається на підставі Закону України « Про місцеве самоврядування», «Про службу в органах самоврядування»,</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«Про</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звернення</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громадян», «Про ліцензування окремих видів господарської діяльності»</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та</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інших [4].</w:t>
      </w:r>
    </w:p>
    <w:p w14:paraId="154C059B" w14:textId="77777777" w:rsidR="00B67481" w:rsidRPr="00511005" w:rsidRDefault="00B67481" w:rsidP="003A292D">
      <w:pPr>
        <w:tabs>
          <w:tab w:val="left" w:pos="7088"/>
        </w:tabs>
        <w:spacing w:line="264" w:lineRule="auto"/>
        <w:rPr>
          <w:rFonts w:ascii="Arial" w:eastAsia="Calibri" w:hAnsi="Arial" w:cs="Arial"/>
          <w:szCs w:val="28"/>
          <w:shd w:val="clear" w:color="auto" w:fill="FFFFFF"/>
          <w:lang w:val="uk-UA"/>
        </w:rPr>
      </w:pPr>
      <w:r w:rsidRPr="00511005">
        <w:rPr>
          <w:rFonts w:ascii="Arial" w:eastAsia="Calibri" w:hAnsi="Arial" w:cs="Arial"/>
          <w:szCs w:val="28"/>
          <w:shd w:val="clear" w:color="auto" w:fill="FFFFFF"/>
        </w:rPr>
        <w:t>Варто було б на перехідний період надати перевагу нормам спеціального законодавства і за цей період привести їх у відповідність до положень загального закону</w:t>
      </w:r>
      <w:r w:rsidRPr="00511005">
        <w:rPr>
          <w:rFonts w:ascii="Arial" w:eastAsia="Calibri" w:hAnsi="Arial" w:cs="Arial"/>
          <w:szCs w:val="28"/>
          <w:shd w:val="clear" w:color="auto" w:fill="FFFFFF"/>
          <w:lang w:val="uk-UA"/>
        </w:rPr>
        <w:t>.</w:t>
      </w:r>
    </w:p>
    <w:p w14:paraId="207FD1F8" w14:textId="77777777" w:rsidR="00B67481" w:rsidRPr="00511005" w:rsidRDefault="00B67481" w:rsidP="003A292D">
      <w:pPr>
        <w:tabs>
          <w:tab w:val="left" w:pos="7088"/>
        </w:tabs>
        <w:spacing w:line="264" w:lineRule="auto"/>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 xml:space="preserve">Відповідно до звітів про реалізацію адміністративної реформи, які були опубліковані у рамках проєкту «Підтримка комплексної реформи державного управління в Україні» на теперішній час вже проаналізовано понад 400 законодавчих актів, для 196 з них були розроблені вправки. </w:t>
      </w:r>
    </w:p>
    <w:p w14:paraId="62A6D595" w14:textId="77777777" w:rsidR="00B67481" w:rsidRPr="00511005" w:rsidRDefault="00B67481" w:rsidP="003A292D">
      <w:pPr>
        <w:tabs>
          <w:tab w:val="left" w:pos="7088"/>
        </w:tabs>
        <w:spacing w:line="264" w:lineRule="auto"/>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Наступне питання – застосування дискреційних повноважень адміністративним органом відповідно до Закону України «Про адміністративну процедуру».</w:t>
      </w:r>
    </w:p>
    <w:p w14:paraId="355CA1B3"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статті 6 Закону України «Про адміністративну процедуру» визначено межі здійснення повноважень адміністративних органів. Проте виникає питання, чи поширюється це регулювання на дискреційні повноваження, які застосовуються при розгляді звернень громадян згідно з Законами України «Про звернення громадян» та «Про доступ до публічної інформації» [6]. У </w:t>
      </w:r>
      <w:r w:rsidRPr="00511005">
        <w:rPr>
          <w:rFonts w:ascii="Arial" w:eastAsia="Times New Roman" w:hAnsi="Arial" w:cs="Arial"/>
          <w:szCs w:val="28"/>
          <w:lang w:eastAsia="ru-RU"/>
        </w:rPr>
        <w:lastRenderedPageBreak/>
        <w:t xml:space="preserve">законі міститься значна кількість оціночних понять, а також надано адміністративним органам широкі дискреційні можливості.Це викликає занепокоєння, зокрема у випадках, коли: не визначено вичерпного переліку дій під час підготовки справи до розгляду; орган має право самостійно запитувати документи чи відомості; розглядати клопотання учасників провадження на власний розсуд; оцінювати належність доказів; призначати експертизи, визначаючи експертів або установи; встановлювати підстави для проведення слухань тощо.Аналіз процедурних норм свідчить про значну свободу дій адміністративних органів у межах адміністративного провадження. Водночас важливо враховувати, що така розширена дискреція може стати викликом для органів влади, оскільки адміністративно-правові відносини мають іншу правову природу, ніж, наприклад, відносини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судового процесу. [6;7]</w:t>
      </w:r>
    </w:p>
    <w:p w14:paraId="3DB4316F"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shd w:val="clear" w:color="auto" w:fill="FFFFFF"/>
          <w:lang w:eastAsia="ru-RU"/>
        </w:rPr>
        <w:t xml:space="preserve">Ще одне проблемне питання, яке потребує уваги – це навчання державних службовців. </w:t>
      </w:r>
      <w:r w:rsidRPr="00511005">
        <w:rPr>
          <w:rFonts w:ascii="Arial" w:eastAsia="Times New Roman" w:hAnsi="Arial" w:cs="Arial"/>
          <w:szCs w:val="28"/>
          <w:lang w:eastAsia="ru-RU"/>
        </w:rPr>
        <w:t>Після ухвалення Закону України «Про адміністративну процедуру» постала необхідність у підвищенні рівня обізнаності державних службовців і посадових осіб органів місцевого самоврядування щодо нових процедурних норм, запроваджених цим нормативно-правовим актом. З цією метою було створено онлайн-курс «Загальна адміністративна процедура», який складається з 12 відео-лекцій. У рамках курсу надаються роз’яснення щодо кола осіб, на яких поширюється дія закону, практичного застосування його положень, визначення статусу «заінтересованої особи», порядку ініціювання адміністративного провадження та підготовки відповідного адміністративного акта.Реалізація курсу стала можливою завдяки проєкту «Підтримка комплексної реформи державного управління в Україні», що здійснюється за фінансування Європейського Союзу у співпраці з Міністерством юстиції України, Національним агентством з питань державної служби, Українською школою урядування та за ініціативою Секретаріату Кабінету Міністрів України</w:t>
      </w:r>
      <w:r w:rsidRPr="00511005">
        <w:rPr>
          <w:rFonts w:ascii="Arial" w:eastAsia="Times New Roman" w:hAnsi="Arial" w:cs="Arial"/>
          <w:szCs w:val="28"/>
          <w:shd w:val="clear" w:color="auto" w:fill="FFFFFF"/>
          <w:lang w:eastAsia="ru-RU"/>
        </w:rPr>
        <w:t xml:space="preserve"> [8].</w:t>
      </w:r>
      <w:r w:rsidRPr="00511005">
        <w:rPr>
          <w:rFonts w:ascii="Arial" w:eastAsia="Times New Roman" w:hAnsi="Arial" w:cs="Arial"/>
          <w:szCs w:val="28"/>
          <w:lang w:eastAsia="ru-RU"/>
        </w:rPr>
        <w:t xml:space="preserve"> </w:t>
      </w:r>
    </w:p>
    <w:p w14:paraId="44D94E42" w14:textId="769F76F3" w:rsidR="00B67481" w:rsidRPr="00511005" w:rsidRDefault="00B67481"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Понад 6 300 державних службовців з 25 різних секторів пройшли спеціалізоване навчання, а понад 22 100 громадян пройшли онлайн-курс «Загальна адміністративна процедура» на платформі «Зрозуміло», отримавши сертифікати. Було створено портал adminprocedure.org.ua, який надає відповіді на понад 200 поширених запитань, шаблони документів, чек-листи та інші практичні матеріали. Також в сучасних умовах велику роль відіграють соціальні мережі, тому в</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соціальних мережах</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було створено активну спільноту практиків, які допомагають вирішувати складні питання та обмінюватися досвідом – «Адміністративна процедура: професійна спільнота» [9].</w:t>
      </w:r>
    </w:p>
    <w:p w14:paraId="5F9C1922" w14:textId="77777777" w:rsidR="00B67481" w:rsidRPr="00511005" w:rsidRDefault="00B67481" w:rsidP="003A292D">
      <w:pPr>
        <w:spacing w:line="264" w:lineRule="auto"/>
        <w:rPr>
          <w:rFonts w:ascii="Arial" w:eastAsia="Calibri" w:hAnsi="Arial" w:cs="Arial"/>
          <w:szCs w:val="28"/>
          <w:lang w:eastAsia="uk-UA"/>
        </w:rPr>
      </w:pPr>
      <w:r w:rsidRPr="00511005">
        <w:rPr>
          <w:rFonts w:ascii="Arial" w:eastAsia="Calibri" w:hAnsi="Arial" w:cs="Arial"/>
          <w:szCs w:val="28"/>
          <w:lang w:val="uk-UA" w:bidi="uk-UA"/>
        </w:rPr>
        <w:t xml:space="preserve">У порівнянні з європейськими стандартами, українська адміністративна процедура ще перебуває на етапі становлення. У державах ЄС процедура прийняття адміністративного акта є чітко регламентованою, </w:t>
      </w:r>
      <w:r w:rsidRPr="00511005">
        <w:rPr>
          <w:rFonts w:ascii="Arial" w:eastAsia="Calibri" w:hAnsi="Arial" w:cs="Arial"/>
          <w:szCs w:val="28"/>
          <w:lang w:val="uk-UA" w:bidi="uk-UA"/>
        </w:rPr>
        <w:lastRenderedPageBreak/>
        <w:t>з акцентом на захист індивідуальних прав. Наприклад, Європейський кодекс належної адміністративної поведінки (ухвалений Європейським парламентом 2001 року) встановлює чіткі правила щодо неупередженості службовців, обґрунтування рішень, строків реагування, права бути заслуханим тощо. Ці положення мають обов’язковий характер у діяльності публічних адміністрацій країн ЄС.</w:t>
      </w:r>
      <w:r w:rsidRPr="00511005">
        <w:rPr>
          <w:rFonts w:ascii="Arial" w:eastAsia="Calibri" w:hAnsi="Arial" w:cs="Arial"/>
          <w:szCs w:val="28"/>
          <w:lang w:bidi="uk-UA"/>
        </w:rPr>
        <w:t xml:space="preserve"> </w:t>
      </w:r>
      <w:r w:rsidRPr="00511005">
        <w:rPr>
          <w:rFonts w:ascii="Arial" w:eastAsia="Calibri" w:hAnsi="Arial" w:cs="Arial"/>
          <w:szCs w:val="28"/>
        </w:rPr>
        <w:t>Із запровадженням Закону України «Про адміністративну процедуру» було встановлено чіткі вимоги до форми та змісту адміністративного акта, визначено учасників провадження, їхні права та обов’язки, а також закріплено можливість адміністративного оскарження. Усе це свідчить про те, що після набуття чинності цим Законом адміністративна процедура в Україні набула більш системного й унормованого характеру.</w:t>
      </w:r>
    </w:p>
    <w:p w14:paraId="027D216B" w14:textId="77777777" w:rsidR="00B67481" w:rsidRPr="00511005" w:rsidRDefault="00B67481" w:rsidP="003A292D">
      <w:pPr>
        <w:spacing w:line="264" w:lineRule="auto"/>
        <w:rPr>
          <w:rFonts w:ascii="Arial" w:eastAsia="Calibri" w:hAnsi="Arial" w:cs="Arial"/>
          <w:szCs w:val="28"/>
          <w:lang w:val="uk-UA" w:bidi="uk-UA"/>
        </w:rPr>
      </w:pPr>
      <w:r w:rsidRPr="00511005">
        <w:rPr>
          <w:rFonts w:ascii="Arial" w:eastAsia="Calibri" w:hAnsi="Arial" w:cs="Arial"/>
          <w:szCs w:val="28"/>
          <w:lang w:val="uk-UA" w:bidi="uk-UA"/>
        </w:rPr>
        <w:t>Не менш важливим є питання електронного урядування, що в процесі цифровізації набуває особливої актуальності. До інструментів електронного урядування можна віднести : електронні послуги, електронні реєстри, електронні платформи, інформаційні системи органів влади. Великим внесок у розвиток електронного урядування стало створення електронної платформи «Дія» та прийняття Закону України « Про адміністративні послуги ».</w:t>
      </w:r>
    </w:p>
    <w:p w14:paraId="1577C736" w14:textId="36F5A1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bidi="uk-UA"/>
        </w:rPr>
        <w:t xml:space="preserve">За допомогою вебпорталу «Дія» </w:t>
      </w:r>
      <w:r w:rsidRPr="00511005">
        <w:rPr>
          <w:rFonts w:ascii="Arial" w:eastAsia="Calibri" w:hAnsi="Arial" w:cs="Arial"/>
          <w:szCs w:val="28"/>
        </w:rPr>
        <w:t>, громадяни можуть оформити свідоцтво про народження чи закордонний паспорт в електронному вигляді</w:t>
      </w:r>
      <w:r w:rsidRPr="00511005">
        <w:rPr>
          <w:rFonts w:ascii="Arial" w:eastAsia="Calibri" w:hAnsi="Arial" w:cs="Arial"/>
          <w:szCs w:val="28"/>
          <w:lang w:val="uk-UA"/>
        </w:rPr>
        <w:t>, а Закон України «Про адміністративні послуги»</w:t>
      </w:r>
      <w:r w:rsidR="007B2628" w:rsidRPr="00511005">
        <w:rPr>
          <w:rFonts w:ascii="Arial" w:eastAsia="Calibri" w:hAnsi="Arial" w:cs="Arial"/>
          <w:szCs w:val="28"/>
          <w:lang w:val="uk-UA"/>
        </w:rPr>
        <w:t xml:space="preserve"> </w:t>
      </w:r>
      <w:r w:rsidRPr="00511005">
        <w:rPr>
          <w:rFonts w:ascii="Arial" w:eastAsia="Calibri" w:hAnsi="Arial" w:cs="Arial"/>
          <w:szCs w:val="28"/>
        </w:rPr>
        <w:t>став справжнім проривом у сфері електронного урядування, дозволяючи громадянам отримувати адміністративні послуги в електронній формі. Завдяки цьому закону було створено єдиний портал адміністративних послуг, на якому можна подати заяву на отримання будьякої адміністративної послуги. Це спростило та прискорило отримання адміністративних послуг, а також зробило їх доступнішими для громадян</w:t>
      </w:r>
      <w:r w:rsidRPr="00511005">
        <w:rPr>
          <w:rFonts w:ascii="Arial" w:eastAsia="Calibri" w:hAnsi="Arial" w:cs="Arial"/>
          <w:szCs w:val="28"/>
          <w:lang w:val="uk-UA"/>
        </w:rPr>
        <w:t xml:space="preserve"> </w:t>
      </w:r>
      <w:r w:rsidRPr="00511005">
        <w:rPr>
          <w:rFonts w:ascii="Arial" w:eastAsia="Calibri" w:hAnsi="Arial" w:cs="Arial"/>
          <w:szCs w:val="28"/>
        </w:rPr>
        <w:t>[10].</w:t>
      </w:r>
      <w:r w:rsidRPr="00511005">
        <w:rPr>
          <w:rFonts w:ascii="Arial" w:eastAsia="Calibri" w:hAnsi="Arial" w:cs="Arial"/>
          <w:szCs w:val="28"/>
          <w:lang w:val="uk-UA"/>
        </w:rPr>
        <w:t xml:space="preserve"> </w:t>
      </w:r>
    </w:p>
    <w:p w14:paraId="2F222515"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У сфері електронного урядування одним із перших важливих нормативних актів був ухвалений у Сполучених Штатах Америки. Піонерами у впровадженні правових засад для надання електронних державних послуг також стали такі країни, як Австралія, Данія, Франція, Італія та Велика Британія. Уряд США приділяє значну увагу розвитку цифрових сервісів, акцентуючи не лише на їхній доступності, а й на дотриманні стандартів якості. Це дозволяє підвищити ефективність надання послуг, краще задовольняти потреби громадян і спростити процес взаємодії з органами влади. З метою вдосконалення сервісів на урядових порталах часто впроваджуються онлайн-опитування. Саме США демонструють лідерство у використанні таких інструментів для збору зворотного зв’язку від населення.</w:t>
      </w:r>
      <w:r w:rsidRPr="00511005">
        <w:rPr>
          <w:rFonts w:ascii="Arial" w:eastAsia="Calibri" w:hAnsi="Arial" w:cs="Arial"/>
          <w:szCs w:val="28"/>
          <w:lang w:val="uk-UA"/>
        </w:rPr>
        <w:t xml:space="preserve"> </w:t>
      </w:r>
    </w:p>
    <w:p w14:paraId="4BF56587"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Канада ж стала однією з перших країн, яка ще у 1990-х роках розпочала реалізацію концепції "електронного уряду". У 1994 році було ініційовано масштабний урядовий проєкт, спрямований на цифрову </w:t>
      </w:r>
      <w:r w:rsidRPr="00511005">
        <w:rPr>
          <w:rFonts w:ascii="Arial" w:eastAsia="Calibri" w:hAnsi="Arial" w:cs="Arial"/>
          <w:szCs w:val="28"/>
        </w:rPr>
        <w:lastRenderedPageBreak/>
        <w:t xml:space="preserve">трансформацію публічних послуг, який згодом отримав міжнародну назву "e-government". Реалізація проєкту передбачала три етапи й тривала близько п’яти років. Було застосовано модульний підхід, що дозволило структурувати систему на чотири основні </w:t>
      </w:r>
      <w:proofErr w:type="gramStart"/>
      <w:r w:rsidRPr="00511005">
        <w:rPr>
          <w:rFonts w:ascii="Arial" w:eastAsia="Calibri" w:hAnsi="Arial" w:cs="Arial"/>
          <w:szCs w:val="28"/>
        </w:rPr>
        <w:t>елементи:загальнодоступний</w:t>
      </w:r>
      <w:proofErr w:type="gramEnd"/>
      <w:r w:rsidRPr="00511005">
        <w:rPr>
          <w:rFonts w:ascii="Arial" w:eastAsia="Calibri" w:hAnsi="Arial" w:cs="Arial"/>
          <w:szCs w:val="28"/>
        </w:rPr>
        <w:t xml:space="preserve"> сайт, який забезпечує доступ до контексту GOL (Government On-Line);нформаційний портал із тематичними підпорталами;проміжне програмне забезпечення, що включає пошукові системи, автоматизовані бізнес-процеси та засоби інтеграції даних;інфраструктурне ПЗ, яке охоплює системи управління документацією та електронні архіви.</w:t>
      </w:r>
      <w:r w:rsidRPr="00511005">
        <w:rPr>
          <w:rFonts w:ascii="Arial" w:eastAsia="Calibri" w:hAnsi="Arial" w:cs="Arial"/>
          <w:szCs w:val="28"/>
          <w:lang w:val="uk-UA"/>
        </w:rPr>
        <w:t xml:space="preserve"> </w:t>
      </w:r>
      <w:r w:rsidRPr="00511005">
        <w:rPr>
          <w:rFonts w:ascii="Arial" w:eastAsia="Calibri" w:hAnsi="Arial" w:cs="Arial"/>
          <w:szCs w:val="28"/>
        </w:rPr>
        <w:t xml:space="preserve">Канада також активно взаємодіє з громадянами через єдиний цифровий портал, який об’єднує сотні державних веб-ресурсів. Уже понад десять років у країні функціонує система "єдиного вікна" на федеральному рівні, що дозволяє громадянам отримувати послуги централізовано. На сьогоднішній день електронне урядування в Канаді стало основним каналом взаємодії держави з громадянами, забезпечуючи високий рівень доступності онлайн-послуг. </w:t>
      </w:r>
    </w:p>
    <w:p w14:paraId="2044D026"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eastAsia="uk-UA"/>
        </w:rPr>
        <w:t>Цінним прикладом для України є досвід Канади, де державні установи активно використовують інтернет-ресурси для взаємодії як з громадянами, так і з представниками приватного сектору в різних сферах суспільного життя. Подібну позитивну динаміку демонструє і Сінгапур, який є одним із світових лідерів у сфері цифрової трансформації державного управління. Однією з ключових ініціатив уряду Сінгапуру стало впровадження програми «Smart Nation» (Розумна нація), що реалізується через низку національних стратегічних проєктів. Основна мета цієї програми — забезпечити комплексну інтеграцію державних послуг на основі принципу «єдиного вікна», що реалізується через такі ініціативи, як «Moments of Life» (Моменти життя) та проєкт національної цифрової ідентифікації. Ці інструменти значно полегшують комунікацію між громадянами та органами влади, а також підтримують взаємодію з міжнародними партнерами в контексті надання екстреної допомоги й оперативного інформування. Сінгапур також обрав екосистемний підхід до розвитку електронного урядування, в межах якого особливу роль відіграють ефективне управління, стратегічне планування, критичне мислення, а також наявність стабільної законодавчої та регуляторної бази [11].</w:t>
      </w:r>
    </w:p>
    <w:p w14:paraId="0AF20F0F"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Отже, шляхами гармонізації української адміністративної процедури з європейськими стандартами виступають, насамперед, впровадження практики дотримання принципу належного врядування, адаптація адміністративних регламентів, розвиток системи електронного урядування, а також забезпечення високого рівня професійної підготовки державних службовців. Не менш важливим є поступове формування правової культури громадян, які мають усвідомлювати свої права у публічно-правових відносинах і активно їх відстоювати [2, </w:t>
      </w:r>
      <w:r w:rsidRPr="00511005">
        <w:rPr>
          <w:rFonts w:ascii="Arial" w:eastAsia="Calibri" w:hAnsi="Arial" w:cs="Arial"/>
          <w:szCs w:val="28"/>
          <w:lang w:val="en-US" w:bidi="uk-UA"/>
        </w:rPr>
        <w:t>c</w:t>
      </w:r>
      <w:r w:rsidRPr="00511005">
        <w:rPr>
          <w:rFonts w:ascii="Arial" w:eastAsia="Calibri" w:hAnsi="Arial" w:cs="Arial"/>
          <w:szCs w:val="28"/>
          <w:lang w:val="uk-UA" w:bidi="uk-UA"/>
        </w:rPr>
        <w:t>.165].</w:t>
      </w:r>
    </w:p>
    <w:p w14:paraId="03387058" w14:textId="77777777" w:rsidR="00B67481" w:rsidRPr="00511005" w:rsidRDefault="00B67481" w:rsidP="003A292D">
      <w:pPr>
        <w:tabs>
          <w:tab w:val="left" w:pos="7088"/>
        </w:tabs>
        <w:spacing w:line="264" w:lineRule="auto"/>
        <w:rPr>
          <w:rFonts w:ascii="Arial" w:eastAsia="Calibri" w:hAnsi="Arial" w:cs="Arial"/>
          <w:szCs w:val="28"/>
        </w:rPr>
      </w:pPr>
      <w:r w:rsidRPr="00511005">
        <w:rPr>
          <w:rFonts w:ascii="Arial" w:eastAsia="Calibri" w:hAnsi="Arial" w:cs="Arial"/>
          <w:szCs w:val="28"/>
          <w:lang w:val="uk-UA" w:bidi="uk-UA"/>
        </w:rPr>
        <w:lastRenderedPageBreak/>
        <w:t xml:space="preserve">Крім того, важливо забезпечити ефективне інституційне впровадження нового законодавства. Це означає адаптацію галузевих норм до положень нового закону, узгодження підзаконної нормативної бази, а також організацію навчання кадрів для правильного застосування норм. </w:t>
      </w:r>
      <w:r w:rsidRPr="00511005">
        <w:rPr>
          <w:rFonts w:ascii="Arial" w:eastAsia="Calibri" w:hAnsi="Arial" w:cs="Arial"/>
          <w:szCs w:val="28"/>
        </w:rPr>
        <w:t>Особливо важливим є розроблення ефективних механізмів для оцінки якості адміністративних процедур, а також запровадження системи постійного моніторингу. Така система повинна передбачати, зокрема, аналіз рівня якості надання адміністративних послуг, у тому числі тих, що здійснюються через центри надання адміністративних послуг</w:t>
      </w:r>
      <w:r w:rsidRPr="00511005">
        <w:rPr>
          <w:rFonts w:ascii="Arial" w:eastAsia="Calibri" w:hAnsi="Arial" w:cs="Arial"/>
          <w:szCs w:val="28"/>
          <w:lang w:val="uk-UA"/>
        </w:rPr>
        <w:t xml:space="preserve">. </w:t>
      </w:r>
      <w:proofErr w:type="gramStart"/>
      <w:r w:rsidRPr="00511005">
        <w:rPr>
          <w:rFonts w:ascii="Arial" w:eastAsia="Calibri" w:hAnsi="Arial" w:cs="Arial"/>
          <w:szCs w:val="28"/>
        </w:rPr>
        <w:t>.Одним</w:t>
      </w:r>
      <w:proofErr w:type="gramEnd"/>
      <w:r w:rsidRPr="00511005">
        <w:rPr>
          <w:rFonts w:ascii="Arial" w:eastAsia="Calibri" w:hAnsi="Arial" w:cs="Arial"/>
          <w:szCs w:val="28"/>
        </w:rPr>
        <w:t xml:space="preserve"> із ключових напрямів є подальше впровадження цифрових рішень у сфері адміністративних і публічних послуг, що дозволить зробити їх доступнішими для громадян. Для цього необхідно розвивати ефективну електронну інфраструктуру, яка стане основою для розширення спектра послуг, що надаються з використанням цифрових технологій. Застосування сучасних ІКТ</w:t>
      </w:r>
      <w:r w:rsidRPr="00511005">
        <w:rPr>
          <w:rFonts w:ascii="Arial" w:eastAsia="Calibri" w:hAnsi="Arial" w:cs="Arial"/>
          <w:szCs w:val="28"/>
          <w:lang w:val="uk-UA"/>
        </w:rPr>
        <w:t xml:space="preserve"> (Інформаційно-комунікаційних технологій)</w:t>
      </w:r>
      <w:r w:rsidRPr="00511005">
        <w:rPr>
          <w:rFonts w:ascii="Arial" w:eastAsia="Calibri" w:hAnsi="Arial" w:cs="Arial"/>
          <w:szCs w:val="28"/>
        </w:rPr>
        <w:t xml:space="preserve"> сприятиме створенню та вдосконаленню електронних ресурсів, зокрема публічних реєстрів, забезпеченню сумісності інформаційних систем та ефективному обміну даними між ними. [</w:t>
      </w:r>
      <w:r w:rsidRPr="00511005">
        <w:rPr>
          <w:rFonts w:ascii="Arial" w:eastAsia="Calibri" w:hAnsi="Arial" w:cs="Arial"/>
          <w:szCs w:val="28"/>
          <w:lang w:val="uk-UA"/>
        </w:rPr>
        <w:t>12</w:t>
      </w:r>
      <w:r w:rsidRPr="00511005">
        <w:rPr>
          <w:rFonts w:ascii="Arial" w:eastAsia="Calibri" w:hAnsi="Arial" w:cs="Arial"/>
          <w:szCs w:val="28"/>
        </w:rPr>
        <w:t>].</w:t>
      </w:r>
    </w:p>
    <w:p w14:paraId="273A94CC"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Таким чином, гармонізація адміністративної процедури України з європейськими стандартами є процесом не лише правовим, а й культурно-інституційним. Вона передбачає не лише зміну законів, а й трансформацію управлінських підходів, правосвідомості та способів взаємодії держави з громадянами. Успішна реалізація цієї реформи сприятиме зміцненню правової держави, довіри до інститутів влади та ефективності публічного управління.</w:t>
      </w:r>
    </w:p>
    <w:p w14:paraId="0D6B0BC4" w14:textId="77777777" w:rsidR="00B67481" w:rsidRPr="00511005" w:rsidRDefault="00B67481" w:rsidP="003A292D">
      <w:pPr>
        <w:tabs>
          <w:tab w:val="left" w:pos="7088"/>
        </w:tabs>
        <w:spacing w:line="264" w:lineRule="auto"/>
        <w:rPr>
          <w:rFonts w:ascii="Arial" w:eastAsia="Calibri" w:hAnsi="Arial" w:cs="Arial"/>
          <w:szCs w:val="28"/>
          <w:lang w:val="uk-UA" w:bidi="uk-UA"/>
        </w:rPr>
      </w:pPr>
    </w:p>
    <w:p w14:paraId="5EAF046A" w14:textId="77777777" w:rsidR="00B67481" w:rsidRPr="00511005" w:rsidRDefault="00B67481" w:rsidP="003A292D">
      <w:pPr>
        <w:tabs>
          <w:tab w:val="left" w:pos="7088"/>
        </w:tabs>
        <w:spacing w:line="264" w:lineRule="auto"/>
        <w:jc w:val="center"/>
        <w:rPr>
          <w:rFonts w:ascii="Arial" w:eastAsia="Calibri" w:hAnsi="Arial" w:cs="Arial"/>
          <w:b/>
          <w:iCs/>
          <w:szCs w:val="28"/>
          <w:lang w:val="uk-UA" w:bidi="uk-UA"/>
        </w:rPr>
      </w:pPr>
      <w:r w:rsidRPr="00511005">
        <w:rPr>
          <w:rFonts w:ascii="Arial" w:eastAsia="Calibri" w:hAnsi="Arial" w:cs="Arial"/>
          <w:b/>
          <w:iCs/>
          <w:szCs w:val="28"/>
          <w:lang w:val="en-US" w:bidi="uk-UA"/>
        </w:rPr>
        <w:t>C</w:t>
      </w:r>
      <w:r w:rsidRPr="00511005">
        <w:rPr>
          <w:rFonts w:ascii="Arial" w:eastAsia="Calibri" w:hAnsi="Arial" w:cs="Arial"/>
          <w:b/>
          <w:iCs/>
          <w:szCs w:val="28"/>
          <w:lang w:val="uk-UA" w:bidi="uk-UA"/>
        </w:rPr>
        <w:t>писок використаних джерел</w:t>
      </w:r>
    </w:p>
    <w:p w14:paraId="7B4948C5" w14:textId="77777777" w:rsidR="00B67481" w:rsidRPr="00511005" w:rsidRDefault="00B67481" w:rsidP="003F6A5D">
      <w:pPr>
        <w:widowControl w:val="0"/>
        <w:numPr>
          <w:ilvl w:val="0"/>
          <w:numId w:val="256"/>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val="uk-UA" w:eastAsia="ru-RU" w:bidi="uk-UA"/>
        </w:rPr>
        <w:t xml:space="preserve">Про адміністративну процедуру. Закон України № </w:t>
      </w:r>
      <w:r w:rsidRPr="00511005">
        <w:rPr>
          <w:rFonts w:ascii="Arial" w:eastAsia="Times New Roman" w:hAnsi="Arial" w:cs="Arial"/>
          <w:bCs/>
          <w:szCs w:val="28"/>
          <w:lang w:eastAsia="ru-RU" w:bidi="uk-UA"/>
        </w:rPr>
        <w:t>2073-IX</w:t>
      </w:r>
      <w:r w:rsidRPr="00511005">
        <w:rPr>
          <w:rFonts w:ascii="Arial" w:eastAsia="Times New Roman" w:hAnsi="Arial" w:cs="Arial"/>
          <w:bCs/>
          <w:szCs w:val="28"/>
          <w:lang w:val="uk-UA" w:eastAsia="ru-RU" w:bidi="uk-UA"/>
        </w:rPr>
        <w:t xml:space="preserve"> від 17.02.2022 року </w:t>
      </w:r>
      <w:r w:rsidRPr="00511005">
        <w:rPr>
          <w:rFonts w:ascii="Arial" w:eastAsia="Times New Roman" w:hAnsi="Arial" w:cs="Arial"/>
          <w:bCs/>
          <w:szCs w:val="28"/>
          <w:lang w:val="en-US" w:eastAsia="ru-RU" w:bidi="uk-UA"/>
        </w:rPr>
        <w:t>URL</w:t>
      </w:r>
      <w:r w:rsidRPr="00511005">
        <w:rPr>
          <w:rFonts w:ascii="Arial" w:eastAsia="Times New Roman" w:hAnsi="Arial" w:cs="Arial"/>
          <w:bCs/>
          <w:szCs w:val="28"/>
          <w:lang w:eastAsia="ru-RU" w:bidi="uk-UA"/>
        </w:rPr>
        <w:t>:</w:t>
      </w:r>
      <w:r w:rsidRPr="00511005">
        <w:rPr>
          <w:rFonts w:ascii="Arial" w:eastAsia="Times New Roman" w:hAnsi="Arial" w:cs="Arial"/>
          <w:szCs w:val="28"/>
          <w:lang w:eastAsia="ru-RU"/>
        </w:rPr>
        <w:t xml:space="preserve"> </w:t>
      </w:r>
      <w:r w:rsidRPr="00511005">
        <w:rPr>
          <w:rFonts w:ascii="Arial" w:eastAsia="Times New Roman" w:hAnsi="Arial" w:cs="Arial"/>
          <w:bCs/>
          <w:szCs w:val="28"/>
          <w:lang w:eastAsia="ru-RU" w:bidi="uk-UA"/>
        </w:rPr>
        <w:t>https://zakon.rada.gov.ua/laws/show/2073-20#Text</w:t>
      </w:r>
      <w:r w:rsidRPr="00511005">
        <w:rPr>
          <w:rFonts w:ascii="Arial" w:eastAsia="Times New Roman" w:hAnsi="Arial" w:cs="Arial"/>
          <w:bCs/>
          <w:szCs w:val="28"/>
          <w:lang w:val="uk-UA" w:eastAsia="ru-RU" w:bidi="uk-UA"/>
        </w:rPr>
        <w:t xml:space="preserve"> (дата звернення: 08.04.2025 року )</w:t>
      </w:r>
    </w:p>
    <w:p w14:paraId="4579ADD8" w14:textId="508E1684" w:rsidR="00B67481" w:rsidRPr="00511005" w:rsidRDefault="00B67481" w:rsidP="003F6A5D">
      <w:pPr>
        <w:widowControl w:val="0"/>
        <w:numPr>
          <w:ilvl w:val="0"/>
          <w:numId w:val="256"/>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val="uk-UA" w:eastAsia="ru-RU" w:bidi="uk-UA"/>
        </w:rPr>
        <w:t>Бойко І. В.</w:t>
      </w:r>
      <w:r w:rsidRPr="00511005">
        <w:rPr>
          <w:rFonts w:ascii="Arial" w:eastAsia="Times New Roman" w:hAnsi="Arial" w:cs="Arial"/>
          <w:szCs w:val="28"/>
          <w:lang w:val="uk-UA" w:eastAsia="ru-RU" w:bidi="uk-UA"/>
        </w:rPr>
        <w:t xml:space="preserve"> Євроінтеграційний зміст і значення Закону України «Про адміністративну процедуру». </w:t>
      </w:r>
      <w:r w:rsidRPr="00511005">
        <w:rPr>
          <w:rFonts w:ascii="Arial" w:eastAsia="Times New Roman" w:hAnsi="Arial" w:cs="Arial"/>
          <w:i/>
          <w:iCs/>
          <w:szCs w:val="28"/>
          <w:lang w:val="uk-UA" w:eastAsia="ru-RU" w:bidi="uk-UA"/>
        </w:rPr>
        <w:t>Південноукраїнський правничий часопис</w:t>
      </w:r>
      <w:r w:rsidRPr="00511005">
        <w:rPr>
          <w:rFonts w:ascii="Arial" w:eastAsia="Times New Roman" w:hAnsi="Arial" w:cs="Arial"/>
          <w:szCs w:val="28"/>
          <w:lang w:val="uk-UA" w:eastAsia="ru-RU" w:bidi="uk-UA"/>
        </w:rPr>
        <w:t>.</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2022.</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 4.</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С. 163–168.</w:t>
      </w:r>
    </w:p>
    <w:p w14:paraId="7276AFE9" w14:textId="77777777" w:rsidR="007B2628" w:rsidRPr="00511005" w:rsidRDefault="00B67481" w:rsidP="003F6A5D">
      <w:pPr>
        <w:widowControl w:val="0"/>
        <w:numPr>
          <w:ilvl w:val="0"/>
          <w:numId w:val="256"/>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val="uk-UA" w:eastAsia="ru-RU" w:bidi="uk-UA"/>
        </w:rPr>
        <w:t>Малетич М. М.</w:t>
      </w:r>
      <w:r w:rsidRPr="00511005">
        <w:rPr>
          <w:rFonts w:ascii="Arial" w:eastAsia="Times New Roman" w:hAnsi="Arial" w:cs="Arial"/>
          <w:szCs w:val="28"/>
          <w:lang w:val="uk-UA" w:eastAsia="ru-RU" w:bidi="uk-UA"/>
        </w:rPr>
        <w:t xml:space="preserve"> Європейські та національні адміністративні провадження: порівняльно-правове дослідження: дис. ... канд. юрид. наук. Запоріжжя: Запорізький національний університет, 2021.</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220 с.</w:t>
      </w:r>
    </w:p>
    <w:p w14:paraId="24E9D771" w14:textId="0726B191" w:rsidR="00B67481" w:rsidRPr="00511005" w:rsidRDefault="00B67481" w:rsidP="003F6A5D">
      <w:pPr>
        <w:widowControl w:val="0"/>
        <w:numPr>
          <w:ilvl w:val="0"/>
          <w:numId w:val="256"/>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shd w:val="clear" w:color="auto" w:fill="FFFFFF"/>
          <w:lang w:eastAsia="ru-RU"/>
        </w:rPr>
        <w:t xml:space="preserve">Медяник В.А. Стан адміністративно-право-вого регулювання сучасної доктрини соці-альної політики. Прикарпатський юридичний вісник. 2021. </w:t>
      </w:r>
      <w:r w:rsidRPr="00511005">
        <w:rPr>
          <w:rFonts w:ascii="Arial" w:eastAsia="Times New Roman" w:hAnsi="Arial" w:cs="Arial"/>
          <w:szCs w:val="28"/>
          <w:shd w:val="clear" w:color="auto" w:fill="FFFFFF"/>
          <w:lang w:val="uk-UA" w:eastAsia="ru-RU"/>
        </w:rPr>
        <w:t>№</w:t>
      </w:r>
      <w:r w:rsidRPr="00511005">
        <w:rPr>
          <w:rFonts w:ascii="Arial" w:eastAsia="Times New Roman" w:hAnsi="Arial" w:cs="Arial"/>
          <w:szCs w:val="28"/>
          <w:shd w:val="clear" w:color="auto" w:fill="FFFFFF"/>
          <w:lang w:eastAsia="ru-RU"/>
        </w:rPr>
        <w:t xml:space="preserve"> 2. С. 71–74</w:t>
      </w:r>
      <w:r w:rsidRPr="00511005">
        <w:rPr>
          <w:rFonts w:ascii="Arial" w:eastAsia="Times New Roman" w:hAnsi="Arial" w:cs="Arial"/>
          <w:szCs w:val="28"/>
          <w:shd w:val="clear" w:color="auto" w:fill="FFFFFF"/>
          <w:lang w:val="uk-UA" w:eastAsia="ru-RU"/>
        </w:rPr>
        <w:t>.</w:t>
      </w:r>
    </w:p>
    <w:p w14:paraId="39FAD8A7" w14:textId="2701A64C" w:rsidR="00B67481" w:rsidRPr="00511005" w:rsidRDefault="00B67481" w:rsidP="003F6A5D">
      <w:pPr>
        <w:widowControl w:val="0"/>
        <w:numPr>
          <w:ilvl w:val="0"/>
          <w:numId w:val="256"/>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shd w:val="clear" w:color="auto" w:fill="FFFFFF"/>
          <w:lang w:val="en-US" w:eastAsia="ru-RU"/>
        </w:rPr>
        <w:t>Nalyvaiko I. The role of civil society institutions in</w:t>
      </w:r>
      <w:r w:rsidR="007B2628" w:rsidRPr="00511005">
        <w:rPr>
          <w:rFonts w:ascii="Arial" w:eastAsia="Times New Roman" w:hAnsi="Arial" w:cs="Arial"/>
          <w:szCs w:val="28"/>
          <w:shd w:val="clear" w:color="auto" w:fill="FFFFFF"/>
          <w:lang w:val="en-US" w:eastAsia="ru-RU"/>
        </w:rPr>
        <w:t xml:space="preserve"> </w:t>
      </w:r>
      <w:r w:rsidRPr="00511005">
        <w:rPr>
          <w:rFonts w:ascii="Arial" w:eastAsia="Times New Roman" w:hAnsi="Arial" w:cs="Arial"/>
          <w:szCs w:val="28"/>
          <w:shd w:val="clear" w:color="auto" w:fill="FFFFFF"/>
          <w:lang w:val="en-US" w:eastAsia="ru-RU"/>
        </w:rPr>
        <w:t>preventing</w:t>
      </w:r>
      <w:r w:rsidR="007B2628" w:rsidRPr="00511005">
        <w:rPr>
          <w:rFonts w:ascii="Arial" w:eastAsia="Times New Roman" w:hAnsi="Arial" w:cs="Arial"/>
          <w:szCs w:val="28"/>
          <w:shd w:val="clear" w:color="auto" w:fill="FFFFFF"/>
          <w:lang w:val="en-US" w:eastAsia="ru-RU"/>
        </w:rPr>
        <w:t xml:space="preserve"> </w:t>
      </w:r>
      <w:r w:rsidRPr="00511005">
        <w:rPr>
          <w:rFonts w:ascii="Arial" w:eastAsia="Times New Roman" w:hAnsi="Arial" w:cs="Arial"/>
          <w:szCs w:val="28"/>
          <w:shd w:val="clear" w:color="auto" w:fill="FFFFFF"/>
          <w:lang w:val="en-US" w:eastAsia="ru-RU"/>
        </w:rPr>
        <w:t>and</w:t>
      </w:r>
      <w:r w:rsidR="007B2628" w:rsidRPr="00511005">
        <w:rPr>
          <w:rFonts w:ascii="Arial" w:eastAsia="Times New Roman" w:hAnsi="Arial" w:cs="Arial"/>
          <w:szCs w:val="28"/>
          <w:shd w:val="clear" w:color="auto" w:fill="FFFFFF"/>
          <w:lang w:val="en-US" w:eastAsia="ru-RU"/>
        </w:rPr>
        <w:t xml:space="preserve"> </w:t>
      </w:r>
      <w:r w:rsidRPr="00511005">
        <w:rPr>
          <w:rFonts w:ascii="Arial" w:eastAsia="Times New Roman" w:hAnsi="Arial" w:cs="Arial"/>
          <w:szCs w:val="28"/>
          <w:shd w:val="clear" w:color="auto" w:fill="FFFFFF"/>
          <w:lang w:val="en-US" w:eastAsia="ru-RU"/>
        </w:rPr>
        <w:t>combating</w:t>
      </w:r>
      <w:r w:rsidR="007B2628" w:rsidRPr="00511005">
        <w:rPr>
          <w:rFonts w:ascii="Arial" w:eastAsia="Times New Roman" w:hAnsi="Arial" w:cs="Arial"/>
          <w:szCs w:val="28"/>
          <w:shd w:val="clear" w:color="auto" w:fill="FFFFFF"/>
          <w:lang w:val="en-US" w:eastAsia="ru-RU"/>
        </w:rPr>
        <w:t xml:space="preserve"> </w:t>
      </w:r>
      <w:r w:rsidRPr="00511005">
        <w:rPr>
          <w:rFonts w:ascii="Arial" w:eastAsia="Times New Roman" w:hAnsi="Arial" w:cs="Arial"/>
          <w:szCs w:val="28"/>
          <w:shd w:val="clear" w:color="auto" w:fill="FFFFFF"/>
          <w:lang w:val="en-US" w:eastAsia="ru-RU"/>
        </w:rPr>
        <w:t>corruption</w:t>
      </w:r>
      <w:r w:rsidR="007B2628" w:rsidRPr="00511005">
        <w:rPr>
          <w:rFonts w:ascii="Arial" w:eastAsia="Times New Roman" w:hAnsi="Arial" w:cs="Arial"/>
          <w:szCs w:val="28"/>
          <w:shd w:val="clear" w:color="auto" w:fill="FFFFFF"/>
          <w:lang w:val="en-US" w:eastAsia="ru-RU"/>
        </w:rPr>
        <w:t xml:space="preserve"> </w:t>
      </w:r>
      <w:r w:rsidRPr="00511005">
        <w:rPr>
          <w:rFonts w:ascii="Arial" w:eastAsia="Times New Roman" w:hAnsi="Arial" w:cs="Arial"/>
          <w:szCs w:val="28"/>
          <w:shd w:val="clear" w:color="auto" w:fill="FFFFFF"/>
          <w:lang w:val="en-US" w:eastAsia="ru-RU"/>
        </w:rPr>
        <w:t>in public</w:t>
      </w:r>
      <w:r w:rsidR="007B2628" w:rsidRPr="00511005">
        <w:rPr>
          <w:rFonts w:ascii="Arial" w:eastAsia="Times New Roman" w:hAnsi="Arial" w:cs="Arial"/>
          <w:szCs w:val="28"/>
          <w:shd w:val="clear" w:color="auto" w:fill="FFFFFF"/>
          <w:lang w:val="en-US" w:eastAsia="ru-RU"/>
        </w:rPr>
        <w:t xml:space="preserve"> </w:t>
      </w:r>
      <w:r w:rsidRPr="00511005">
        <w:rPr>
          <w:rFonts w:ascii="Arial" w:eastAsia="Times New Roman" w:hAnsi="Arial" w:cs="Arial"/>
          <w:szCs w:val="28"/>
          <w:shd w:val="clear" w:color="auto" w:fill="FFFFFF"/>
          <w:lang w:val="en-US" w:eastAsia="ru-RU"/>
        </w:rPr>
        <w:t xml:space="preserve">authorities. </w:t>
      </w:r>
      <w:r w:rsidRPr="00511005">
        <w:rPr>
          <w:rFonts w:ascii="Arial" w:eastAsia="Times New Roman" w:hAnsi="Arial" w:cs="Arial"/>
          <w:szCs w:val="28"/>
          <w:shd w:val="clear" w:color="auto" w:fill="FFFFFF"/>
          <w:lang w:eastAsia="ru-RU"/>
        </w:rPr>
        <w:t>Аналітично-порівняльне правознавство. 2022. No 2. С. 27–30</w:t>
      </w:r>
    </w:p>
    <w:p w14:paraId="25103DE6" w14:textId="77777777" w:rsidR="007B2628" w:rsidRPr="00511005" w:rsidRDefault="00B67481" w:rsidP="003F6A5D">
      <w:pPr>
        <w:widowControl w:val="0"/>
        <w:numPr>
          <w:ilvl w:val="0"/>
          <w:numId w:val="256"/>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shd w:val="clear" w:color="auto" w:fill="FFFFFF"/>
          <w:lang w:eastAsia="ru-RU"/>
        </w:rPr>
        <w:lastRenderedPageBreak/>
        <w:t>Муза</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О.</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Реалізація</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дискреційних</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повно-важень</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адміністративними</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органами</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у сфері адміністративних процедур в Україні:</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законотворчі</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новації</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URL:</w:t>
      </w:r>
      <w:hyperlink r:id="rId977" w:history="1">
        <w:r w:rsidRPr="00511005">
          <w:rPr>
            <w:rFonts w:ascii="Arial" w:eastAsia="Times New Roman" w:hAnsi="Arial" w:cs="Arial"/>
            <w:szCs w:val="28"/>
            <w:shd w:val="clear" w:color="auto" w:fill="FFFFFF"/>
            <w:lang w:eastAsia="ru-RU"/>
          </w:rPr>
          <w:t>https://dspace.uzhnu.edu.ua/jspui/bitstream/lib/37529/1/20%20%D1%82%D1%80%D0%B0%D0%B2%D0%BD%D1%8F%202021%20%D0%90%D0%A3%D0%9F.pdf</w:t>
        </w:r>
      </w:hyperlink>
    </w:p>
    <w:p w14:paraId="73EAC34A" w14:textId="4E476C3D" w:rsidR="00B67481" w:rsidRPr="00511005" w:rsidRDefault="00B67481" w:rsidP="003F6A5D">
      <w:pPr>
        <w:widowControl w:val="0"/>
        <w:numPr>
          <w:ilvl w:val="0"/>
          <w:numId w:val="256"/>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shd w:val="clear" w:color="auto" w:fill="FFFFFF"/>
          <w:lang w:val="uk-UA" w:eastAsia="ru-RU"/>
        </w:rPr>
        <w:t>Голобутовський</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Р.З.</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Характеристика</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загальних</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і</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спеціальних</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функцій</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публічної служби</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в</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органах</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судової</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влади. Вісник Академії</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митної</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служби</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України.</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Серія: Право. 2019. С. 12.</w:t>
      </w:r>
    </w:p>
    <w:p w14:paraId="1052D0A4" w14:textId="77777777" w:rsidR="00B67481" w:rsidRPr="00511005" w:rsidRDefault="00B67481" w:rsidP="003F6A5D">
      <w:pPr>
        <w:widowControl w:val="0"/>
        <w:numPr>
          <w:ilvl w:val="0"/>
          <w:numId w:val="256"/>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shd w:val="clear" w:color="auto" w:fill="FFFFFF"/>
          <w:lang w:val="uk-UA" w:eastAsia="ru-RU"/>
        </w:rPr>
        <w:t xml:space="preserve">Національне агентство з питань державної служби: </w:t>
      </w:r>
      <w:r w:rsidRPr="00511005">
        <w:rPr>
          <w:rFonts w:ascii="Arial" w:eastAsia="Times New Roman" w:hAnsi="Arial" w:cs="Arial"/>
          <w:szCs w:val="28"/>
          <w:shd w:val="clear" w:color="auto" w:fill="FFFFFF"/>
          <w:lang w:eastAsia="ru-RU"/>
        </w:rPr>
        <w:t>Розроблено онлайн-курс «Загальна адміністративна процедура», який пояснює основні положення Закону України «Про адміністративну процедуру»</w:t>
      </w:r>
      <w:r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en-US" w:eastAsia="ru-RU"/>
        </w:rPr>
        <w:t>URL</w:t>
      </w:r>
      <w:r w:rsidRPr="00511005">
        <w:rPr>
          <w:rFonts w:ascii="Arial" w:eastAsia="Times New Roman" w:hAnsi="Arial" w:cs="Arial"/>
          <w:szCs w:val="28"/>
          <w:shd w:val="clear" w:color="auto" w:fill="FFFFFF"/>
          <w:lang w:eastAsia="ru-RU"/>
        </w:rPr>
        <w:t xml:space="preserve">: </w:t>
      </w:r>
      <w:hyperlink r:id="rId978" w:history="1">
        <w:r w:rsidRPr="00511005">
          <w:rPr>
            <w:rFonts w:ascii="Arial" w:eastAsia="Times New Roman" w:hAnsi="Arial" w:cs="Arial"/>
            <w:szCs w:val="28"/>
            <w:shd w:val="clear" w:color="auto" w:fill="FFFFFF"/>
            <w:lang w:eastAsia="ru-RU"/>
          </w:rPr>
          <w:t>https://nads.gov.ua/news/rozrobleno-onlain-kurs-zahalna-administratyvna-protsedura-iakyi-poiasniuie-osnovni-polozhennia-zakonu-ukrainy-pro-administratyvnu-protseduru</w:t>
        </w:r>
      </w:hyperlink>
      <w:r w:rsidRPr="00511005">
        <w:rPr>
          <w:rFonts w:ascii="Arial" w:eastAsia="Times New Roman" w:hAnsi="Arial" w:cs="Arial"/>
          <w:szCs w:val="28"/>
          <w:shd w:val="clear" w:color="auto" w:fill="FFFFFF"/>
          <w:lang w:eastAsia="ru-RU"/>
        </w:rPr>
        <w:t xml:space="preserve"> ( </w:t>
      </w:r>
      <w:r w:rsidRPr="00511005">
        <w:rPr>
          <w:rFonts w:ascii="Arial" w:eastAsia="Times New Roman" w:hAnsi="Arial" w:cs="Arial"/>
          <w:szCs w:val="28"/>
          <w:shd w:val="clear" w:color="auto" w:fill="FFFFFF"/>
          <w:lang w:val="uk-UA" w:eastAsia="ru-RU"/>
        </w:rPr>
        <w:t>дата звернення: 08.04.2025 року )</w:t>
      </w:r>
      <w:r w:rsidRPr="00511005">
        <w:rPr>
          <w:rFonts w:ascii="Arial" w:eastAsia="Times New Roman" w:hAnsi="Arial" w:cs="Arial"/>
          <w:szCs w:val="28"/>
          <w:shd w:val="clear" w:color="auto" w:fill="FFFFFF"/>
          <w:lang w:eastAsia="ru-RU"/>
        </w:rPr>
        <w:t>.</w:t>
      </w:r>
    </w:p>
    <w:p w14:paraId="541AE6A3" w14:textId="77777777" w:rsidR="00B67481" w:rsidRPr="00511005" w:rsidRDefault="00B67481" w:rsidP="003F6A5D">
      <w:pPr>
        <w:widowControl w:val="0"/>
        <w:numPr>
          <w:ilvl w:val="0"/>
          <w:numId w:val="256"/>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shd w:val="clear" w:color="auto" w:fill="FFFFFF"/>
          <w:lang w:val="en-US" w:eastAsia="ru-RU"/>
        </w:rPr>
        <w:t xml:space="preserve">Public administration reform: One year with the Law </w:t>
      </w:r>
      <w:r w:rsidRPr="00511005">
        <w:rPr>
          <w:rFonts w:ascii="Arial" w:eastAsia="Times New Roman" w:hAnsi="Arial" w:cs="Arial"/>
          <w:szCs w:val="28"/>
          <w:shd w:val="clear" w:color="auto" w:fill="FFFFFF"/>
          <w:lang w:val="uk-UA" w:eastAsia="ru-RU"/>
        </w:rPr>
        <w:t>«</w:t>
      </w:r>
      <w:r w:rsidRPr="00511005">
        <w:rPr>
          <w:rFonts w:ascii="Arial" w:eastAsia="Times New Roman" w:hAnsi="Arial" w:cs="Arial"/>
          <w:szCs w:val="28"/>
          <w:shd w:val="clear" w:color="auto" w:fill="FFFFFF"/>
          <w:lang w:val="en-US" w:eastAsia="ru-RU"/>
        </w:rPr>
        <w:t>On administrative procedure</w:t>
      </w:r>
      <w:r w:rsidRPr="00511005">
        <w:rPr>
          <w:rFonts w:ascii="Arial" w:eastAsia="Times New Roman" w:hAnsi="Arial" w:cs="Arial"/>
          <w:szCs w:val="28"/>
          <w:shd w:val="clear" w:color="auto" w:fill="FFFFFF"/>
          <w:lang w:val="uk-UA" w:eastAsia="ru-RU"/>
        </w:rPr>
        <w:t xml:space="preserve">» : </w:t>
      </w:r>
      <w:r w:rsidRPr="00511005">
        <w:rPr>
          <w:rFonts w:ascii="Arial" w:eastAsia="Times New Roman" w:hAnsi="Arial" w:cs="Arial"/>
          <w:szCs w:val="28"/>
          <w:shd w:val="clear" w:color="auto" w:fill="FFFFFF"/>
          <w:lang w:val="en-US" w:eastAsia="ru-RU"/>
        </w:rPr>
        <w:t xml:space="preserve">Key takeaways from exsperts URL: </w:t>
      </w:r>
      <w:hyperlink r:id="rId979" w:history="1">
        <w:r w:rsidRPr="00511005">
          <w:rPr>
            <w:rFonts w:ascii="Arial" w:eastAsia="Times New Roman" w:hAnsi="Arial" w:cs="Arial"/>
            <w:szCs w:val="28"/>
            <w:lang w:val="en-US" w:eastAsia="ru-RU"/>
          </w:rPr>
          <w:t>One Year with the Law "On Administrative Procedure": Key Takeaways from Experts</w:t>
        </w:r>
      </w:hyperlink>
      <w:r w:rsidRPr="00511005">
        <w:rPr>
          <w:rFonts w:ascii="Arial" w:eastAsia="Times New Roman" w:hAnsi="Arial" w:cs="Arial"/>
          <w:szCs w:val="28"/>
          <w:lang w:val="en-US" w:eastAsia="ru-RU"/>
        </w:rPr>
        <w:t xml:space="preserve"> (</w:t>
      </w:r>
      <w:r w:rsidRPr="00511005">
        <w:rPr>
          <w:rFonts w:ascii="Arial" w:eastAsia="Times New Roman" w:hAnsi="Arial" w:cs="Arial"/>
          <w:szCs w:val="28"/>
          <w:lang w:val="uk-UA" w:eastAsia="ru-RU"/>
        </w:rPr>
        <w:t xml:space="preserve"> дата звернення: 08.04.2025 року).</w:t>
      </w:r>
    </w:p>
    <w:p w14:paraId="270EEADC" w14:textId="760F155A" w:rsidR="00B67481" w:rsidRPr="00511005" w:rsidRDefault="00B67481"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szCs w:val="28"/>
          <w:shd w:val="clear" w:color="auto" w:fill="FFFFFF"/>
          <w:lang w:eastAsia="ru-RU"/>
        </w:rPr>
      </w:pPr>
      <w:r w:rsidRPr="00511005">
        <w:rPr>
          <w:rFonts w:ascii="Arial" w:eastAsia="Times New Roman" w:hAnsi="Arial" w:cs="Arial"/>
          <w:szCs w:val="28"/>
          <w:lang w:val="uk-UA" w:eastAsia="ru-RU" w:bidi="uk-UA"/>
        </w:rPr>
        <w:t>10.</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shd w:val="clear" w:color="auto" w:fill="FFFFFF"/>
          <w:lang w:eastAsia="ru-RU"/>
        </w:rPr>
        <w:t xml:space="preserve">Яковлєв, С. Ю. Інструменти електронного урядування в Україні: стан та перспективи розвитку. 2023. </w:t>
      </w:r>
      <w:r w:rsidRPr="00511005">
        <w:rPr>
          <w:rFonts w:ascii="Arial" w:eastAsia="Times New Roman" w:hAnsi="Arial" w:cs="Arial"/>
          <w:szCs w:val="28"/>
          <w:shd w:val="clear" w:color="auto" w:fill="FFFFFF"/>
          <w:lang w:val="en-US" w:eastAsia="ru-RU"/>
        </w:rPr>
        <w:t>C</w:t>
      </w:r>
      <w:r w:rsidRPr="00511005">
        <w:rPr>
          <w:rFonts w:ascii="Arial" w:eastAsia="Times New Roman" w:hAnsi="Arial" w:cs="Arial"/>
          <w:szCs w:val="28"/>
          <w:shd w:val="clear" w:color="auto" w:fill="FFFFFF"/>
          <w:lang w:eastAsia="ru-RU"/>
        </w:rPr>
        <w:t>.201-203.</w:t>
      </w:r>
    </w:p>
    <w:p w14:paraId="0254C621" w14:textId="77777777" w:rsidR="00B67481" w:rsidRPr="00511005" w:rsidRDefault="00B67481"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11. Савіцька В.В. Запозичення зарубіжного досвіду електронного урядування для України. </w:t>
      </w:r>
      <w:r w:rsidRPr="00511005">
        <w:rPr>
          <w:rFonts w:ascii="Arial" w:eastAsia="Times New Roman" w:hAnsi="Arial" w:cs="Arial"/>
          <w:i/>
          <w:iCs/>
          <w:szCs w:val="28"/>
          <w:shd w:val="clear" w:color="auto" w:fill="FFFFFF"/>
          <w:lang w:val="uk-UA" w:eastAsia="ru-RU"/>
        </w:rPr>
        <w:t>Юридичний науковий електронний журнал</w:t>
      </w:r>
      <w:r w:rsidRPr="00511005">
        <w:rPr>
          <w:rFonts w:ascii="Arial" w:eastAsia="Times New Roman" w:hAnsi="Arial" w:cs="Arial"/>
          <w:szCs w:val="28"/>
          <w:shd w:val="clear" w:color="auto" w:fill="FFFFFF"/>
          <w:lang w:val="uk-UA" w:eastAsia="ru-RU"/>
        </w:rPr>
        <w:t>. 2025. №2. С.262-264.</w:t>
      </w:r>
    </w:p>
    <w:p w14:paraId="0941890D" w14:textId="5DA67F4E" w:rsidR="00B67481" w:rsidRPr="00511005" w:rsidRDefault="00B67481" w:rsidP="003A292D">
      <w:pPr>
        <w:widowControl w:val="0"/>
        <w:tabs>
          <w:tab w:val="left" w:pos="993"/>
          <w:tab w:val="left" w:pos="7088"/>
        </w:tabs>
        <w:autoSpaceDE w:val="0"/>
        <w:autoSpaceDN w:val="0"/>
        <w:adjustRightInd w:val="0"/>
        <w:spacing w:line="264" w:lineRule="auto"/>
        <w:contextualSpacing/>
        <w:rPr>
          <w:rFonts w:ascii="Arial" w:eastAsia="Times New Roman" w:hAnsi="Arial" w:cs="Arial"/>
          <w:szCs w:val="28"/>
          <w:lang w:val="uk-UA" w:eastAsia="ru-RU" w:bidi="uk-UA"/>
        </w:rPr>
      </w:pPr>
      <w:r w:rsidRPr="00511005">
        <w:rPr>
          <w:rFonts w:ascii="Arial" w:eastAsia="Times New Roman" w:hAnsi="Arial" w:cs="Arial"/>
          <w:szCs w:val="28"/>
          <w:shd w:val="clear" w:color="auto" w:fill="FFFFFF"/>
          <w:lang w:eastAsia="ru-RU"/>
        </w:rPr>
        <w:t>12.</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lang w:eastAsia="ru-RU"/>
        </w:rPr>
        <w:t xml:space="preserve">Стратегія реформування державного управління на 2022―2025 роки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980" w:history="1">
        <w:r w:rsidRPr="00511005">
          <w:rPr>
            <w:rFonts w:ascii="Arial" w:eastAsia="Times New Roman" w:hAnsi="Arial" w:cs="Arial"/>
            <w:szCs w:val="28"/>
            <w:lang w:eastAsia="ru-RU"/>
          </w:rPr>
          <w:t>https://api.par.in.ua/uploads/progress_report/file_uk/35/PARS_2022-2025_ukr.pdf</w:t>
        </w:r>
      </w:hyperlink>
      <w:r w:rsidRPr="00511005">
        <w:rPr>
          <w:rFonts w:ascii="Arial" w:eastAsia="Times New Roman" w:hAnsi="Arial" w:cs="Arial"/>
          <w:szCs w:val="28"/>
          <w:lang w:eastAsia="ru-RU"/>
        </w:rPr>
        <w:t xml:space="preserve"> ( </w:t>
      </w:r>
      <w:r w:rsidRPr="00511005">
        <w:rPr>
          <w:rFonts w:ascii="Arial" w:eastAsia="Times New Roman" w:hAnsi="Arial" w:cs="Arial"/>
          <w:szCs w:val="28"/>
          <w:lang w:val="uk-UA" w:eastAsia="ru-RU"/>
        </w:rPr>
        <w:t>дата звернення: 08.04.2025 року).</w:t>
      </w:r>
    </w:p>
    <w:p w14:paraId="32337FE2" w14:textId="77777777" w:rsidR="00B67481" w:rsidRPr="00511005" w:rsidRDefault="00B67481" w:rsidP="003A292D">
      <w:pPr>
        <w:tabs>
          <w:tab w:val="left" w:pos="993"/>
          <w:tab w:val="left" w:pos="7088"/>
        </w:tabs>
        <w:spacing w:line="264" w:lineRule="auto"/>
        <w:ind w:firstLine="992"/>
        <w:rPr>
          <w:rFonts w:ascii="Arial" w:eastAsia="Calibri" w:hAnsi="Arial" w:cs="Arial"/>
          <w:b/>
          <w:bCs/>
          <w:szCs w:val="28"/>
          <w:lang w:val="uk-UA" w:bidi="uk-UA"/>
        </w:rPr>
      </w:pPr>
    </w:p>
    <w:p w14:paraId="7CBDC87F" w14:textId="659A46C5" w:rsidR="00B67481" w:rsidRPr="00511005" w:rsidRDefault="007B2628" w:rsidP="003A292D">
      <w:pPr>
        <w:tabs>
          <w:tab w:val="left" w:pos="993"/>
          <w:tab w:val="left" w:pos="7088"/>
        </w:tabs>
        <w:spacing w:line="264" w:lineRule="auto"/>
        <w:ind w:firstLine="992"/>
        <w:rPr>
          <w:rFonts w:ascii="Arial" w:eastAsia="Calibri" w:hAnsi="Arial" w:cs="Arial"/>
          <w:szCs w:val="28"/>
          <w:lang w:val="uk-UA" w:bidi="uk-UA"/>
        </w:rPr>
      </w:pPr>
      <w:r w:rsidRPr="00511005">
        <w:rPr>
          <w:rFonts w:ascii="Arial" w:eastAsia="Calibri" w:hAnsi="Arial" w:cs="Arial"/>
          <w:b/>
          <w:bCs/>
          <w:i/>
          <w:szCs w:val="28"/>
          <w:lang w:val="uk-UA" w:bidi="uk-UA"/>
        </w:rPr>
        <w:t xml:space="preserve">Ключові слова: </w:t>
      </w:r>
      <w:r w:rsidR="00B67481" w:rsidRPr="00511005">
        <w:rPr>
          <w:rFonts w:ascii="Arial" w:eastAsia="Calibri" w:hAnsi="Arial" w:cs="Arial"/>
          <w:szCs w:val="28"/>
          <w:lang w:val="uk-UA" w:bidi="uk-UA"/>
        </w:rPr>
        <w:t>адміністративна процедура, європейські стандарти, гармонізація, цифровізація, реформа.</w:t>
      </w:r>
    </w:p>
    <w:p w14:paraId="17C1A511" w14:textId="2EFEEAD0" w:rsidR="00B67481" w:rsidRPr="00511005" w:rsidRDefault="007B2628" w:rsidP="003A292D">
      <w:pPr>
        <w:spacing w:line="264" w:lineRule="auto"/>
        <w:ind w:firstLine="992"/>
        <w:rPr>
          <w:rFonts w:ascii="Arial" w:eastAsia="Calibri" w:hAnsi="Arial" w:cs="Arial"/>
          <w:szCs w:val="28"/>
          <w:lang w:val="uk-UA"/>
        </w:rPr>
      </w:pPr>
      <w:r w:rsidRPr="00511005">
        <w:rPr>
          <w:rFonts w:ascii="Arial" w:eastAsia="Calibri" w:hAnsi="Arial" w:cs="Arial"/>
          <w:b/>
          <w:bCs/>
          <w:i/>
          <w:szCs w:val="28"/>
          <w:lang w:val="en-US"/>
        </w:rPr>
        <w:t xml:space="preserve">Key words: </w:t>
      </w:r>
      <w:r w:rsidR="00B67481" w:rsidRPr="00511005">
        <w:rPr>
          <w:rFonts w:ascii="Arial" w:eastAsia="Calibri" w:hAnsi="Arial" w:cs="Arial"/>
          <w:szCs w:val="28"/>
          <w:lang w:val="en-US"/>
        </w:rPr>
        <w:t>administrative procedure, European standards, harmonization, digitization, reform</w:t>
      </w:r>
      <w:r w:rsidR="00B67481" w:rsidRPr="00511005">
        <w:rPr>
          <w:rFonts w:ascii="Arial" w:eastAsia="Calibri" w:hAnsi="Arial" w:cs="Arial"/>
          <w:szCs w:val="28"/>
          <w:lang w:val="uk-UA"/>
        </w:rPr>
        <w:t>.</w:t>
      </w:r>
    </w:p>
    <w:p w14:paraId="7AE62EDA" w14:textId="1BDF74B2" w:rsidR="00B67481" w:rsidRPr="00511005" w:rsidRDefault="00EE6668" w:rsidP="003A292D">
      <w:pPr>
        <w:spacing w:line="264" w:lineRule="auto"/>
        <w:ind w:firstLine="992"/>
        <w:rPr>
          <w:rFonts w:ascii="Arial" w:eastAsia="Calibri" w:hAnsi="Arial" w:cs="Arial"/>
          <w:i/>
          <w:iCs/>
          <w:szCs w:val="28"/>
          <w:lang w:val="uk-UA"/>
        </w:rPr>
      </w:pPr>
      <w:r w:rsidRPr="00511005">
        <w:rPr>
          <w:rFonts w:ascii="Arial" w:eastAsia="Calibri" w:hAnsi="Arial" w:cs="Arial"/>
          <w:i/>
          <w:iCs/>
          <w:szCs w:val="28"/>
          <w:lang w:val="uk-UA"/>
        </w:rPr>
        <w:t>Науковий керівник:</w:t>
      </w:r>
      <w:r w:rsidR="00B67481" w:rsidRPr="00511005">
        <w:rPr>
          <w:rFonts w:ascii="Arial" w:eastAsia="Calibri" w:hAnsi="Arial" w:cs="Arial"/>
          <w:i/>
          <w:iCs/>
          <w:szCs w:val="28"/>
          <w:lang w:val="uk-UA"/>
        </w:rPr>
        <w:t xml:space="preserve"> </w:t>
      </w:r>
      <w:r w:rsidR="00383DE9" w:rsidRPr="00511005">
        <w:rPr>
          <w:rFonts w:ascii="Arial" w:eastAsia="Calibri" w:hAnsi="Arial" w:cs="Arial"/>
          <w:i/>
          <w:iCs/>
          <w:szCs w:val="28"/>
          <w:lang w:val="uk-UA"/>
        </w:rPr>
        <w:t xml:space="preserve">к.ю.н., </w:t>
      </w:r>
      <w:r w:rsidR="00B67481" w:rsidRPr="00511005">
        <w:rPr>
          <w:rFonts w:ascii="Arial" w:eastAsia="Calibri" w:hAnsi="Arial" w:cs="Arial"/>
          <w:i/>
          <w:iCs/>
          <w:szCs w:val="28"/>
          <w:lang w:val="uk-UA"/>
        </w:rPr>
        <w:t>доцент Козійчук Д.А.</w:t>
      </w:r>
    </w:p>
    <w:p w14:paraId="6BA04B71" w14:textId="77777777" w:rsidR="00B67481" w:rsidRPr="00511005" w:rsidRDefault="00B67481" w:rsidP="003A292D">
      <w:pPr>
        <w:spacing w:line="264" w:lineRule="auto"/>
        <w:ind w:firstLine="0"/>
        <w:jc w:val="left"/>
        <w:rPr>
          <w:rFonts w:ascii="Arial" w:eastAsia="Calibri" w:hAnsi="Arial" w:cs="Arial"/>
          <w:i/>
          <w:iCs/>
          <w:szCs w:val="28"/>
          <w:lang w:val="uk-UA"/>
        </w:rPr>
      </w:pPr>
      <w:r w:rsidRPr="00511005">
        <w:rPr>
          <w:rFonts w:ascii="Arial" w:eastAsia="Calibri" w:hAnsi="Arial" w:cs="Arial"/>
          <w:i/>
          <w:iCs/>
          <w:szCs w:val="28"/>
          <w:lang w:val="uk-UA"/>
        </w:rPr>
        <w:br w:type="page"/>
      </w:r>
    </w:p>
    <w:p w14:paraId="7F7B1DC4" w14:textId="77777777" w:rsidR="00B67481" w:rsidRPr="00511005" w:rsidRDefault="00B67481" w:rsidP="003A292D">
      <w:pPr>
        <w:spacing w:line="264" w:lineRule="auto"/>
        <w:ind w:firstLine="0"/>
        <w:jc w:val="center"/>
        <w:rPr>
          <w:rFonts w:ascii="Arial" w:eastAsia="Calibri" w:hAnsi="Arial" w:cs="Arial"/>
          <w:szCs w:val="28"/>
        </w:rPr>
      </w:pPr>
      <w:r w:rsidRPr="00511005">
        <w:rPr>
          <w:rFonts w:ascii="Arial" w:eastAsia="Calibri" w:hAnsi="Arial" w:cs="Arial"/>
          <w:b/>
          <w:bCs/>
          <w:i/>
          <w:iCs/>
          <w:szCs w:val="28"/>
        </w:rPr>
        <w:lastRenderedPageBreak/>
        <w:t>Піх Ксенія Віталіївна</w:t>
      </w:r>
    </w:p>
    <w:p w14:paraId="3131E1D0" w14:textId="3AE045C0" w:rsidR="00B67481" w:rsidRPr="00511005" w:rsidRDefault="00536AAB" w:rsidP="003A292D">
      <w:pPr>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студентка 2-го курсу </w:t>
      </w:r>
      <w:r w:rsidR="001B7B25" w:rsidRPr="00511005">
        <w:rPr>
          <w:rFonts w:ascii="Arial" w:eastAsia="Calibri" w:hAnsi="Arial" w:cs="Arial"/>
          <w:szCs w:val="28"/>
        </w:rPr>
        <w:t>факультету судового та міжнародного права</w:t>
      </w:r>
    </w:p>
    <w:p w14:paraId="61B0BAE8" w14:textId="662C313C" w:rsidR="00B67481" w:rsidRPr="00511005" w:rsidRDefault="007B2628" w:rsidP="003A292D">
      <w:pPr>
        <w:spacing w:line="264" w:lineRule="auto"/>
        <w:ind w:firstLine="0"/>
        <w:jc w:val="center"/>
        <w:rPr>
          <w:rFonts w:ascii="Arial" w:eastAsia="Calibri" w:hAnsi="Arial" w:cs="Arial"/>
          <w:b/>
          <w:bCs/>
          <w:szCs w:val="28"/>
        </w:rPr>
      </w:pPr>
      <w:r w:rsidRPr="00511005">
        <w:rPr>
          <w:rFonts w:ascii="Arial" w:eastAsia="Calibri" w:hAnsi="Arial" w:cs="Arial"/>
          <w:szCs w:val="28"/>
        </w:rPr>
        <w:t>Національного університету «Одеська юридична академія»</w:t>
      </w:r>
    </w:p>
    <w:p w14:paraId="53FF4806" w14:textId="77777777" w:rsidR="00B67481" w:rsidRPr="00511005" w:rsidRDefault="00B67481" w:rsidP="003A292D">
      <w:pPr>
        <w:spacing w:line="264" w:lineRule="auto"/>
        <w:ind w:firstLine="567"/>
        <w:jc w:val="center"/>
        <w:rPr>
          <w:rFonts w:ascii="Arial" w:eastAsia="Calibri" w:hAnsi="Arial" w:cs="Arial"/>
          <w:b/>
          <w:bCs/>
          <w:szCs w:val="28"/>
        </w:rPr>
      </w:pPr>
    </w:p>
    <w:p w14:paraId="037ADDAF" w14:textId="77777777" w:rsidR="00B67481" w:rsidRPr="00511005" w:rsidRDefault="00B67481" w:rsidP="003A292D">
      <w:pPr>
        <w:spacing w:line="264" w:lineRule="auto"/>
        <w:ind w:firstLine="0"/>
        <w:jc w:val="center"/>
        <w:rPr>
          <w:rFonts w:ascii="Arial" w:eastAsia="Calibri" w:hAnsi="Arial" w:cs="Arial"/>
          <w:szCs w:val="28"/>
        </w:rPr>
      </w:pPr>
      <w:r w:rsidRPr="00511005">
        <w:rPr>
          <w:rFonts w:ascii="Arial" w:eastAsia="Calibri" w:hAnsi="Arial" w:cs="Arial"/>
          <w:b/>
          <w:bCs/>
          <w:szCs w:val="28"/>
        </w:rPr>
        <w:t>ОСОБЛИВОСТІ МЕХАНІЗМУ ЗАСТОСУВАННЯ ВІЙСЬКОВОГО ЗБОРУ В УКРАЇНІ</w:t>
      </w:r>
    </w:p>
    <w:p w14:paraId="1B972B56"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У 2014 році, через російську агресію, в Україні було введено військовий збір як тимчасовий захід. Його головною метою визначено підтримку фінансових потреб для зміцнення обороноздатності країни [1]. Дія цього збору мала тривати до того часу, поки Верховна Рада України не ухвалить рішення про завершення реформування Збройних Сил України, однак цього досі не сталося. Хоча військовий збір і зараз зберігає статус тимчасового, його скасування в найближчій перспективі виглядає нереальним, адже він є частиною Національної стратегії доходів до 2030 року.</w:t>
      </w:r>
    </w:p>
    <w:p w14:paraId="116654E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Основним нормативно-правовим актом, що визначає поняття, механізм справляння та цільове спрямування військового збору є Податковий кодекс України. Цільовим призначенням військового збору є забезпечення фінансових потреб сектору безпеки України [2]. Кошти спрямовуються на утримання армії, закупівлю озброєння й логістику, зараховуючись до загального фонду бюджету [3]. Платниками є фізичні особи – резиденти та нерезиденти, які отримують доходи в Україні, а також підприємці на загальній системі оподаткування [4]. Юридичні особи виступають агентами, утримуючи збір із заробітних плат. Законодавством передбачено звільнення від оподаткування окремих виплат, зокрема аліментів, державної допомоги та доходів військовослужбовців під час воєнного стану, але ці пільги не завжди враховують специфіку різних категорій платників, що ускладнює адміністрування [5]. </w:t>
      </w:r>
    </w:p>
    <w:p w14:paraId="1DD36FB8"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Незважаючи на важливість військового збору для фінансування оборони, існують певні проблеми в його адмініструванні. Механізм збору стикається з низкою проблем, які обмежують його ефективність. Першим недоліком є відсутність окремого фонду для цільового використання коштів. У Литві внесок солідарності спрямовується до спеціального оборонного фонду, що забезпечує чітке відстеження витрат [6]. В Україні надходження змішуються з іншими бюджетними коштами, що ускладнює контроль за їхнім спрямуванням. Це знижує довіру платників, які очікують, що їхній внесок іде саме на оборону. На відміну від Литви, де звітність про фонд є публічною, в Україні брак прозорості посилює скептицизм громадян.</w:t>
      </w:r>
    </w:p>
    <w:p w14:paraId="5371A4D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Другою проблемою є правова невизначеність через тимчасовий статус збору. Пропозиції зробити його постійним або інтегрувати з податком на доходи фізичних осіб містяться в Національній стратегії доходів до 2030 року, але реформи не реалізовані. Така нестабільність ускладнює планування бюджету, особливо в умовах війни, коли потрібні гарантовані </w:t>
      </w:r>
      <w:r w:rsidRPr="00511005">
        <w:rPr>
          <w:rFonts w:ascii="Arial" w:eastAsia="Calibri" w:hAnsi="Arial" w:cs="Arial"/>
          <w:szCs w:val="28"/>
        </w:rPr>
        <w:lastRenderedPageBreak/>
        <w:t xml:space="preserve">ресурси. Тимчасовий статус також демотивує платників, які можуть вважати збір ситуативним, а не стратегічним інструментом. Наприклад, у Швеції податки на оборону інтегровані в загальну систему оподаткування з чіткими бюджетними статтями, що забезпечує стабільність [7]. </w:t>
      </w:r>
    </w:p>
    <w:p w14:paraId="49CE5C8B" w14:textId="4F23E46B"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Третім викликом є нерівномірне залучення платників, що звужує базу оподаткування. Згідно зі статтею 163 Податкового кодексу України, об’єктом оподаткування є доходи фізичних осіб (резидентів і нерезидентів) та підприємців на загальній системі оподаткування</w:t>
      </w:r>
      <w:r w:rsidR="007B2628" w:rsidRPr="00511005">
        <w:rPr>
          <w:rFonts w:ascii="Arial" w:eastAsia="Calibri" w:hAnsi="Arial" w:cs="Arial"/>
          <w:szCs w:val="28"/>
        </w:rPr>
        <w:t xml:space="preserve"> </w:t>
      </w:r>
      <w:r w:rsidRPr="00511005">
        <w:rPr>
          <w:rFonts w:ascii="Arial" w:eastAsia="Calibri" w:hAnsi="Arial" w:cs="Arial"/>
          <w:szCs w:val="28"/>
        </w:rPr>
        <w:t xml:space="preserve">[2]. Зокрема, звільнення від сплати збору окремих категорій платників, таких як фізичні особи – підприємці на спрощеній системі оподаткування, а також певних доходів, наприклад, аліментів чи державної допомоги, звужує базу оподаткування, що обмежує надходження </w:t>
      </w:r>
      <w:proofErr w:type="gramStart"/>
      <w:r w:rsidRPr="00511005">
        <w:rPr>
          <w:rFonts w:ascii="Arial" w:eastAsia="Calibri" w:hAnsi="Arial" w:cs="Arial"/>
          <w:szCs w:val="28"/>
        </w:rPr>
        <w:t>до бюджету</w:t>
      </w:r>
      <w:proofErr w:type="gramEnd"/>
      <w:r w:rsidRPr="00511005">
        <w:rPr>
          <w:rFonts w:ascii="Arial" w:eastAsia="Calibri" w:hAnsi="Arial" w:cs="Arial"/>
          <w:szCs w:val="28"/>
        </w:rPr>
        <w:t xml:space="preserve"> в умовах високих потреб сектору безпеки. У Литві внесок солідарності стягується з надприбутків банків, залучаючи ширше коло суб’єктів [6]. В Україні звільнення окремих категорій створює нерівність, коли тягар лягає переважно на найманих працівників, викликаючи питання справедливості.</w:t>
      </w:r>
    </w:p>
    <w:p w14:paraId="0CC12B6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Четвертим недоліком військового збору є відсутність заохочень для добровільної сплати, що знижує мотивацію платників і надходження для фінансування оборони. Згідно з пунктом 16¹ підрозділу 10 розділу XX Податкового кодексу України, фізичні особи сплачують військовий збір за ставкою 5% від доходів, але без пільг за вчасну сплату, лише із штрафами до 50% за порушення, що демотивує платників [2]. У Швеції податкова система передбачає вирахування за внески на суспільні цілі, що мотивує платників [7]. Без таких стимулів в Україні військовий збір втрачає підтримку, послаблюючи бюджет оборони.</w:t>
      </w:r>
    </w:p>
    <w:p w14:paraId="69AB896D"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Для підвищення ефективності військового збору необхідно усунути його ключові недоліки. Створення окремого оборонного фонду, як у Литві, забезпечить прозоре використання коштів і підвищить довіру платників. Закріплення постійного статусу збору, відповідно до Національної стратегії доходів до 2030 року, усуне правову невизначеність і стабілізує бюджетне планування. Залучення до сплати збору ширшого кола суб’єктів, наприклад, розширить базу оподаткування, зменшивши нерівність між платниками. Впровадження пільг за вчасну сплату, за прикладом вирахувань у Швеції, мотивуватиме добровільну участь і збільшить надходження. Ці заходи посилять фінансування оборони в умовах воєнного часу.</w:t>
      </w:r>
    </w:p>
    <w:p w14:paraId="74C40777"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Військовий збір в Україні залишається критично важливим інструментом для фінансування оборони, особливо в умовах триваючого воєнного стану, адже забезпечує надходження, які спрямовуються на утримання Збройних Сил, закупівлю озброєння та логістичні потреби. Проте його ефективність суттєво обмежена низкою системних проблем: відсутністю цільового фонду, що ускладнює відстеження використання коштів і знижує довіру платників; нестабільним правовим статусом, який </w:t>
      </w:r>
      <w:r w:rsidRPr="00511005">
        <w:rPr>
          <w:rFonts w:ascii="Arial" w:eastAsia="Calibri" w:hAnsi="Arial" w:cs="Arial"/>
          <w:szCs w:val="28"/>
        </w:rPr>
        <w:lastRenderedPageBreak/>
        <w:t>створює невизначеність для платників і перешкоджає довгостроковому бюджетному плануванню; а також нерівномірним охопленням платників, коли окремі категорії, такі як ФОПи на спрощеній системі оподаткування, звільнені від сплати, що звужує базу оподаткування і створює диспропорцію в податковому навантаженні. Міжнародний досвід Литви та Швеції демонструє, що чітке цільове спрямування та прозорість можуть значно підвищити ефективність подібних податків: у Литві внесок солідарності зараховується до спеціального фонду, що дозволяє фінансувати конкретні оборонні проєкти, такі як модернізація техніки, а у Швеції прозора система оподаткування на оборону супроводжується чіткими бюджетними статтями та пільгами для платників, що мотивує їх до сплати. Для вдосконалення системи Україні варто розглянути створення окремого оборонного фонду або закріплення стабільного правового статусу збору в Податковому кодексі, враховуючи пропозиції Національної стратегії доходів до 2030 року. Впровадження таких заходів не лише посилить фінансову підтримку оборони, але й сприятиме формуванню довіри громадян до держави, що є критично важливим у період війни.</w:t>
      </w:r>
    </w:p>
    <w:p w14:paraId="1F5F5D83" w14:textId="77777777" w:rsidR="00B67481" w:rsidRPr="00511005" w:rsidRDefault="00B67481" w:rsidP="003A292D">
      <w:pPr>
        <w:spacing w:line="264" w:lineRule="auto"/>
        <w:ind w:firstLine="567"/>
        <w:rPr>
          <w:rFonts w:ascii="Arial" w:eastAsia="Calibri" w:hAnsi="Arial" w:cs="Arial"/>
          <w:b/>
          <w:bCs/>
          <w:szCs w:val="28"/>
        </w:rPr>
      </w:pPr>
    </w:p>
    <w:p w14:paraId="2893390B" w14:textId="71F3E07C" w:rsidR="00B67481" w:rsidRPr="00511005" w:rsidRDefault="007B2628" w:rsidP="007B2628">
      <w:pPr>
        <w:spacing w:line="264" w:lineRule="auto"/>
        <w:ind w:firstLine="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3300154B" w14:textId="77777777" w:rsidR="00B67481" w:rsidRPr="00511005" w:rsidRDefault="00B67481" w:rsidP="003A292D">
      <w:pPr>
        <w:spacing w:line="264" w:lineRule="auto"/>
        <w:rPr>
          <w:rFonts w:ascii="Arial" w:eastAsia="Calibri" w:hAnsi="Arial" w:cs="Arial"/>
          <w:szCs w:val="28"/>
          <w:lang w:eastAsia="ru-RU"/>
        </w:rPr>
      </w:pPr>
      <w:r w:rsidRPr="00511005">
        <w:rPr>
          <w:rFonts w:ascii="Arial" w:eastAsia="Calibri" w:hAnsi="Arial" w:cs="Arial"/>
          <w:szCs w:val="28"/>
        </w:rPr>
        <w:t xml:space="preserve">1. </w:t>
      </w:r>
      <w:r w:rsidRPr="00511005">
        <w:rPr>
          <w:rFonts w:ascii="Arial" w:eastAsia="Calibri" w:hAnsi="Arial" w:cs="Arial"/>
          <w:szCs w:val="28"/>
          <w:lang w:eastAsia="ru-RU"/>
        </w:rPr>
        <w:t xml:space="preserve">Пояснювальна записка від 30 липня 2014 року до проекту Закону України № 4309а від 21 липня 2014 року. URL: </w:t>
      </w:r>
      <w:hyperlink r:id="rId981" w:history="1">
        <w:r w:rsidRPr="00511005">
          <w:rPr>
            <w:rFonts w:ascii="Arial" w:eastAsia="Calibri" w:hAnsi="Arial" w:cs="Arial"/>
            <w:szCs w:val="28"/>
            <w:lang w:eastAsia="ru-RU"/>
          </w:rPr>
          <w:t>https://tax.gov.ua/data/normativ/000/002/72932/poyasnyuvalna_proeкt_udosкonal_SEARP_reaкtiv_palivo_red.doc</w:t>
        </w:r>
      </w:hyperlink>
      <w:r w:rsidRPr="00511005">
        <w:rPr>
          <w:rFonts w:ascii="Arial" w:eastAsia="Calibri" w:hAnsi="Arial" w:cs="Arial"/>
          <w:szCs w:val="28"/>
          <w:lang w:eastAsia="ru-RU"/>
        </w:rPr>
        <w:t xml:space="preserve"> </w:t>
      </w:r>
      <w:bookmarkStart w:id="123" w:name="_Hlk195282563"/>
      <w:r w:rsidRPr="00511005">
        <w:rPr>
          <w:rFonts w:ascii="Arial" w:eastAsia="Calibri" w:hAnsi="Arial" w:cs="Arial"/>
          <w:szCs w:val="28"/>
          <w:lang w:eastAsia="ru-RU"/>
        </w:rPr>
        <w:t xml:space="preserve">(дата звернення: 11.04.2025) </w:t>
      </w:r>
      <w:bookmarkEnd w:id="123"/>
    </w:p>
    <w:p w14:paraId="253D9DDD" w14:textId="00156EDE" w:rsidR="00B67481" w:rsidRPr="00511005" w:rsidRDefault="00B67481" w:rsidP="003A292D">
      <w:pPr>
        <w:spacing w:line="264" w:lineRule="auto"/>
        <w:rPr>
          <w:rFonts w:ascii="Arial" w:eastAsia="Calibri" w:hAnsi="Arial" w:cs="Arial"/>
          <w:szCs w:val="28"/>
          <w:lang w:eastAsia="ru-RU"/>
        </w:rPr>
      </w:pPr>
      <w:r w:rsidRPr="00511005">
        <w:rPr>
          <w:rFonts w:ascii="Arial" w:eastAsia="Calibri" w:hAnsi="Arial" w:cs="Arial"/>
          <w:szCs w:val="28"/>
          <w:lang w:eastAsia="ru-RU"/>
        </w:rPr>
        <w:t>2. Податковий кодекс України: Закон України від 2 грудня 2010 року № 2755-VI. (Редакція від 01.04.2025 №</w:t>
      </w:r>
      <w:r w:rsidR="007B2628" w:rsidRPr="00511005">
        <w:rPr>
          <w:rFonts w:ascii="Arial" w:eastAsia="Calibri" w:hAnsi="Arial" w:cs="Arial"/>
          <w:szCs w:val="28"/>
          <w:lang w:eastAsia="ru-RU"/>
        </w:rPr>
        <w:t xml:space="preserve"> </w:t>
      </w:r>
      <w:r w:rsidRPr="00511005">
        <w:rPr>
          <w:rFonts w:ascii="Arial" w:eastAsia="Calibri" w:hAnsi="Arial" w:cs="Arial"/>
          <w:szCs w:val="28"/>
          <w:lang w:eastAsia="ru-RU"/>
        </w:rPr>
        <w:t xml:space="preserve">4014-IX ) URL: </w:t>
      </w:r>
      <w:hyperlink r:id="rId982" w:anchor="Text" w:history="1">
        <w:r w:rsidRPr="00511005">
          <w:rPr>
            <w:rFonts w:ascii="Arial" w:eastAsia="Calibri" w:hAnsi="Arial" w:cs="Arial"/>
            <w:szCs w:val="28"/>
            <w:lang w:eastAsia="ru-RU"/>
          </w:rPr>
          <w:t>https://zaкon.rada.gov.ua/laws/show/2755-17#Text</w:t>
        </w:r>
      </w:hyperlink>
      <w:r w:rsidRPr="00511005">
        <w:rPr>
          <w:rFonts w:ascii="Arial" w:eastAsia="Calibri" w:hAnsi="Arial" w:cs="Arial"/>
          <w:szCs w:val="28"/>
          <w:lang w:eastAsia="ru-RU"/>
        </w:rPr>
        <w:t xml:space="preserve"> (дата звернення: 11.04.2025)</w:t>
      </w:r>
    </w:p>
    <w:p w14:paraId="47DDE2EE" w14:textId="77777777" w:rsidR="00B67481" w:rsidRPr="00511005" w:rsidRDefault="00B67481" w:rsidP="003A292D">
      <w:pPr>
        <w:spacing w:line="264" w:lineRule="auto"/>
        <w:rPr>
          <w:rFonts w:ascii="Arial" w:eastAsia="Calibri" w:hAnsi="Arial" w:cs="Arial"/>
          <w:szCs w:val="28"/>
          <w:lang w:eastAsia="ru-RU"/>
        </w:rPr>
      </w:pPr>
      <w:r w:rsidRPr="00511005">
        <w:rPr>
          <w:rFonts w:ascii="Arial" w:eastAsia="Calibri" w:hAnsi="Arial" w:cs="Arial"/>
          <w:szCs w:val="28"/>
          <w:lang w:eastAsia="ru-RU"/>
        </w:rPr>
        <w:t xml:space="preserve">3. Бюджетний кодекс України: Закон України від 8 липня 2010 року </w:t>
      </w:r>
      <w:bookmarkStart w:id="124" w:name="_Hlk195633108"/>
      <w:r w:rsidRPr="00511005">
        <w:rPr>
          <w:rFonts w:ascii="Arial" w:eastAsia="Calibri" w:hAnsi="Arial" w:cs="Arial"/>
          <w:szCs w:val="28"/>
          <w:lang w:eastAsia="ru-RU"/>
        </w:rPr>
        <w:t>№</w:t>
      </w:r>
      <w:bookmarkEnd w:id="124"/>
      <w:r w:rsidRPr="00511005">
        <w:rPr>
          <w:rFonts w:ascii="Arial" w:eastAsia="Calibri" w:hAnsi="Arial" w:cs="Arial"/>
          <w:szCs w:val="28"/>
          <w:lang w:eastAsia="ru-RU"/>
        </w:rPr>
        <w:t xml:space="preserve"> 2456-VI. (Редакція від 05.03.2025 № 4225-IX) URL: </w:t>
      </w:r>
      <w:hyperlink r:id="rId983" w:anchor="Text" w:history="1">
        <w:r w:rsidRPr="00511005">
          <w:rPr>
            <w:rFonts w:ascii="Arial" w:eastAsia="Calibri" w:hAnsi="Arial" w:cs="Arial"/>
            <w:szCs w:val="28"/>
            <w:lang w:eastAsia="ru-RU"/>
          </w:rPr>
          <w:t>https://zaкon.rada.gov.ua/laws/show/2456-17#Text</w:t>
        </w:r>
      </w:hyperlink>
      <w:r w:rsidRPr="00511005">
        <w:rPr>
          <w:rFonts w:ascii="Arial" w:eastAsia="Calibri" w:hAnsi="Arial" w:cs="Arial"/>
          <w:szCs w:val="28"/>
          <w:lang w:eastAsia="ru-RU"/>
        </w:rPr>
        <w:t xml:space="preserve"> (дата звернення: 11.04.2025) </w:t>
      </w:r>
    </w:p>
    <w:p w14:paraId="26578E6B" w14:textId="77777777" w:rsidR="00B67481" w:rsidRPr="00511005" w:rsidRDefault="00B67481" w:rsidP="003A292D">
      <w:pPr>
        <w:spacing w:line="264" w:lineRule="auto"/>
        <w:rPr>
          <w:rFonts w:ascii="Arial" w:eastAsia="Calibri" w:hAnsi="Arial" w:cs="Arial"/>
          <w:szCs w:val="28"/>
          <w:lang w:eastAsia="ru-RU"/>
        </w:rPr>
      </w:pPr>
      <w:r w:rsidRPr="00511005">
        <w:rPr>
          <w:rFonts w:ascii="Arial" w:eastAsia="Calibri" w:hAnsi="Arial" w:cs="Arial"/>
          <w:szCs w:val="28"/>
          <w:lang w:eastAsia="ru-RU"/>
        </w:rPr>
        <w:t xml:space="preserve">4. Про порядок нарахування та сплати військового збору: Лист Державної фіскальної служби України від 12 січня 2015 року № 346/7/99-99-17-03-01-17. URL: </w:t>
      </w:r>
      <w:hyperlink r:id="rId984" w:anchor="Text" w:history="1">
        <w:r w:rsidRPr="00511005">
          <w:rPr>
            <w:rFonts w:ascii="Arial" w:eastAsia="Calibri" w:hAnsi="Arial" w:cs="Arial"/>
            <w:szCs w:val="28"/>
            <w:lang w:eastAsia="ru-RU"/>
          </w:rPr>
          <w:t>https://zaкon.rada.gov.ua/rada/show/v0346590-15#Text</w:t>
        </w:r>
      </w:hyperlink>
      <w:r w:rsidRPr="00511005">
        <w:rPr>
          <w:rFonts w:ascii="Arial" w:eastAsia="Calibri" w:hAnsi="Arial" w:cs="Arial"/>
          <w:szCs w:val="28"/>
          <w:lang w:eastAsia="ru-RU"/>
        </w:rPr>
        <w:t xml:space="preserve"> (дата звернення: 11.04.2025) </w:t>
      </w:r>
    </w:p>
    <w:p w14:paraId="07FF5D11" w14:textId="40A14A30" w:rsidR="00B67481" w:rsidRPr="00511005" w:rsidRDefault="00B67481" w:rsidP="003A292D">
      <w:pPr>
        <w:spacing w:line="264" w:lineRule="auto"/>
        <w:rPr>
          <w:rFonts w:ascii="Arial" w:eastAsia="Calibri" w:hAnsi="Arial" w:cs="Arial"/>
          <w:szCs w:val="28"/>
          <w:lang w:eastAsia="ru-RU"/>
        </w:rPr>
      </w:pPr>
      <w:r w:rsidRPr="00511005">
        <w:rPr>
          <w:rFonts w:ascii="Arial" w:eastAsia="Calibri" w:hAnsi="Arial" w:cs="Arial"/>
          <w:szCs w:val="28"/>
          <w:lang w:eastAsia="ru-RU"/>
        </w:rPr>
        <w:t>5. Про внесення змін до Податкового кодексу України та інших законодавчих актів України щодо дії норм на період дії воєнного стану. Закон України</w:t>
      </w:r>
      <w:r w:rsidR="007B2628" w:rsidRPr="00511005">
        <w:rPr>
          <w:rFonts w:ascii="Arial" w:eastAsia="Calibri" w:hAnsi="Arial" w:cs="Arial"/>
          <w:szCs w:val="28"/>
          <w:lang w:eastAsia="ru-RU"/>
        </w:rPr>
        <w:t xml:space="preserve"> </w:t>
      </w:r>
      <w:r w:rsidRPr="00511005">
        <w:rPr>
          <w:rFonts w:ascii="Arial" w:eastAsia="Calibri" w:hAnsi="Arial" w:cs="Arial"/>
          <w:szCs w:val="28"/>
          <w:lang w:eastAsia="ru-RU"/>
        </w:rPr>
        <w:t xml:space="preserve">від 15 березня 2022 року № 2120-IX (Редакція від 15.03.2022 № 2120-IX) URL: </w:t>
      </w:r>
      <w:hyperlink r:id="rId985" w:anchor="Text" w:history="1">
        <w:r w:rsidRPr="00511005">
          <w:rPr>
            <w:rFonts w:ascii="Arial" w:eastAsia="Calibri" w:hAnsi="Arial" w:cs="Arial"/>
            <w:szCs w:val="28"/>
            <w:lang w:eastAsia="ru-RU"/>
          </w:rPr>
          <w:t>https://zaкon.rada.gov.ua/laws/show/2120-20#Text</w:t>
        </w:r>
      </w:hyperlink>
      <w:r w:rsidRPr="00511005">
        <w:rPr>
          <w:rFonts w:ascii="Arial" w:eastAsia="Calibri" w:hAnsi="Arial" w:cs="Arial"/>
          <w:szCs w:val="28"/>
          <w:lang w:eastAsia="ru-RU"/>
        </w:rPr>
        <w:t xml:space="preserve"> (дата звернення: 11.04.2025) </w:t>
      </w:r>
    </w:p>
    <w:p w14:paraId="6AA1FF82" w14:textId="77777777" w:rsidR="00B67481" w:rsidRPr="00511005" w:rsidRDefault="00B67481" w:rsidP="003A292D">
      <w:pPr>
        <w:spacing w:line="264" w:lineRule="auto"/>
        <w:rPr>
          <w:rFonts w:ascii="Arial" w:eastAsia="Calibri" w:hAnsi="Arial" w:cs="Arial"/>
          <w:szCs w:val="28"/>
          <w:lang w:eastAsia="ru-RU"/>
        </w:rPr>
      </w:pPr>
      <w:r w:rsidRPr="00511005">
        <w:rPr>
          <w:rFonts w:ascii="Arial" w:eastAsia="Calibri" w:hAnsi="Arial" w:cs="Arial"/>
          <w:szCs w:val="28"/>
          <w:lang w:eastAsia="ru-RU"/>
        </w:rPr>
        <w:t xml:space="preserve">6. Про тимчасовий внесок солідарності: Закон Литовської Республіки від 20 грудня 2022 року № XIV-1658. URL: </w:t>
      </w:r>
      <w:hyperlink r:id="rId986" w:history="1">
        <w:r w:rsidRPr="00511005">
          <w:rPr>
            <w:rFonts w:ascii="Arial" w:eastAsia="Calibri" w:hAnsi="Arial" w:cs="Arial"/>
            <w:szCs w:val="28"/>
            <w:lang w:eastAsia="ru-RU"/>
          </w:rPr>
          <w:t>https://e-</w:t>
        </w:r>
        <w:r w:rsidRPr="00511005">
          <w:rPr>
            <w:rFonts w:ascii="Arial" w:eastAsia="Calibri" w:hAnsi="Arial" w:cs="Arial"/>
            <w:szCs w:val="28"/>
            <w:lang w:eastAsia="ru-RU"/>
          </w:rPr>
          <w:lastRenderedPageBreak/>
          <w:t>seimas.lrs.lt/portal/legalAct/lt/TAD/0f0b6e806e2c11edbf4220f482c61c67</w:t>
        </w:r>
      </w:hyperlink>
      <w:r w:rsidRPr="00511005">
        <w:rPr>
          <w:rFonts w:ascii="Arial" w:eastAsia="Calibri" w:hAnsi="Arial" w:cs="Arial"/>
          <w:szCs w:val="28"/>
          <w:lang w:eastAsia="ru-RU"/>
        </w:rPr>
        <w:t xml:space="preserve"> (дата звернення: 11.04.2025)</w:t>
      </w:r>
    </w:p>
    <w:p w14:paraId="63D4101E" w14:textId="77777777" w:rsidR="00B67481" w:rsidRPr="00511005" w:rsidRDefault="00B67481" w:rsidP="003A292D">
      <w:pPr>
        <w:spacing w:line="264" w:lineRule="auto"/>
        <w:rPr>
          <w:rFonts w:ascii="Arial" w:eastAsia="Calibri" w:hAnsi="Arial" w:cs="Arial"/>
          <w:szCs w:val="28"/>
          <w:lang w:eastAsia="ru-RU"/>
        </w:rPr>
      </w:pPr>
      <w:r w:rsidRPr="00511005">
        <w:rPr>
          <w:rFonts w:ascii="Arial" w:eastAsia="Calibri" w:hAnsi="Arial" w:cs="Arial"/>
          <w:szCs w:val="28"/>
          <w:lang w:eastAsia="ru-RU"/>
        </w:rPr>
        <w:t xml:space="preserve">7. Swedish Tax Act: Закон Швеції від 1999 року № SFS 1999:1229. URL: </w:t>
      </w:r>
      <w:hyperlink r:id="rId987" w:history="1">
        <w:r w:rsidRPr="00511005">
          <w:rPr>
            <w:rFonts w:ascii="Arial" w:eastAsia="Calibri" w:hAnsi="Arial" w:cs="Arial"/>
            <w:szCs w:val="28"/>
            <w:lang w:eastAsia="ru-RU"/>
          </w:rPr>
          <w:t>https://www.riкsbanкen.se/globalassets/media/lagar/sfs/1999_1229.pdf</w:t>
        </w:r>
      </w:hyperlink>
      <w:r w:rsidRPr="00511005">
        <w:rPr>
          <w:rFonts w:ascii="Arial" w:eastAsia="Calibri" w:hAnsi="Arial" w:cs="Arial"/>
          <w:szCs w:val="28"/>
          <w:lang w:eastAsia="ru-RU"/>
        </w:rPr>
        <w:t xml:space="preserve"> (дата звернення: 11.04.2025)</w:t>
      </w:r>
    </w:p>
    <w:p w14:paraId="597B2C55" w14:textId="77777777" w:rsidR="00B67481" w:rsidRPr="00511005" w:rsidRDefault="00B67481" w:rsidP="003A292D">
      <w:pPr>
        <w:spacing w:line="264" w:lineRule="auto"/>
        <w:rPr>
          <w:rFonts w:ascii="Arial" w:eastAsia="Calibri" w:hAnsi="Arial" w:cs="Arial"/>
          <w:szCs w:val="28"/>
          <w:lang w:eastAsia="ru-RU"/>
        </w:rPr>
      </w:pPr>
      <w:r w:rsidRPr="00511005">
        <w:rPr>
          <w:rFonts w:ascii="Arial" w:eastAsia="Calibri" w:hAnsi="Arial" w:cs="Arial"/>
          <w:szCs w:val="28"/>
          <w:lang w:eastAsia="ru-RU"/>
        </w:rPr>
        <w:t xml:space="preserve">8. Національна стратегія доходів до 2030 року: Розпорядження Кабінету Міністрів України від 27 грудня 2023 р. № 1218-р (Редакція від 27.12.2023 № 1218-р) URL: </w:t>
      </w:r>
      <w:hyperlink r:id="rId988" w:history="1">
        <w:r w:rsidRPr="00511005">
          <w:rPr>
            <w:rFonts w:ascii="Arial" w:eastAsia="Calibri" w:hAnsi="Arial" w:cs="Arial"/>
            <w:szCs w:val="28"/>
            <w:lang w:eastAsia="ru-RU"/>
          </w:rPr>
          <w:t>https://mof.gov.ua/storage/files/National%20Revenue%20Strategy_2030_.pdf</w:t>
        </w:r>
      </w:hyperlink>
      <w:r w:rsidRPr="00511005">
        <w:rPr>
          <w:rFonts w:ascii="Arial" w:eastAsia="Calibri" w:hAnsi="Arial" w:cs="Arial"/>
          <w:szCs w:val="28"/>
          <w:lang w:eastAsia="ru-RU"/>
        </w:rPr>
        <w:t xml:space="preserve"> (дата звернення: 11.04.2025)</w:t>
      </w:r>
    </w:p>
    <w:p w14:paraId="6560A61F" w14:textId="77777777" w:rsidR="00B67481" w:rsidRPr="00511005" w:rsidRDefault="00B67481" w:rsidP="003A292D">
      <w:pPr>
        <w:spacing w:line="264" w:lineRule="auto"/>
        <w:rPr>
          <w:rFonts w:ascii="Arial" w:eastAsia="Calibri" w:hAnsi="Arial" w:cs="Arial"/>
          <w:b/>
          <w:bCs/>
          <w:szCs w:val="28"/>
          <w:lang w:val="uk-UA"/>
        </w:rPr>
      </w:pPr>
    </w:p>
    <w:p w14:paraId="47D1ED05" w14:textId="2AD41029" w:rsidR="00B67481" w:rsidRPr="00511005" w:rsidRDefault="007B2628" w:rsidP="003A292D">
      <w:pPr>
        <w:spacing w:line="264" w:lineRule="auto"/>
        <w:rPr>
          <w:rFonts w:ascii="Arial" w:eastAsia="Calibri" w:hAnsi="Arial" w:cs="Arial"/>
          <w:b/>
          <w:bCs/>
          <w:szCs w:val="28"/>
          <w:lang w:val="uk-UA"/>
        </w:rPr>
      </w:pPr>
      <w:r w:rsidRPr="00511005">
        <w:rPr>
          <w:rFonts w:ascii="Arial" w:eastAsia="Calibri" w:hAnsi="Arial" w:cs="Arial"/>
          <w:b/>
          <w:bCs/>
          <w:i/>
          <w:szCs w:val="28"/>
          <w:lang w:val="uk-UA"/>
        </w:rPr>
        <w:t xml:space="preserve">Ключові слова: </w:t>
      </w:r>
      <w:r w:rsidR="00B67481" w:rsidRPr="00511005">
        <w:rPr>
          <w:rFonts w:ascii="Arial" w:eastAsia="Times New Roman" w:hAnsi="Arial" w:cs="Arial"/>
          <w:szCs w:val="28"/>
          <w:lang w:val="uk-UA" w:eastAsia="ru-RU"/>
        </w:rPr>
        <w:t>військовий збір, обороноздатність, цільове спрямування, фізичні особи, оподаткування.</w:t>
      </w:r>
    </w:p>
    <w:p w14:paraId="5B7EB906" w14:textId="6C5F62E0" w:rsidR="00B67481" w:rsidRPr="00511005" w:rsidRDefault="002611B5" w:rsidP="003A292D">
      <w:pPr>
        <w:spacing w:line="264" w:lineRule="auto"/>
        <w:rPr>
          <w:rFonts w:ascii="Arial" w:eastAsia="Times New Roman" w:hAnsi="Arial" w:cs="Arial"/>
          <w:i/>
          <w:iCs/>
          <w:szCs w:val="28"/>
          <w:lang w:val="en-US" w:eastAsia="ru-RU"/>
        </w:rPr>
      </w:pPr>
      <w:r w:rsidRPr="00511005">
        <w:rPr>
          <w:rFonts w:ascii="Arial" w:eastAsia="Times New Roman" w:hAnsi="Arial" w:cs="Arial"/>
          <w:b/>
          <w:bCs/>
          <w:i/>
          <w:szCs w:val="28"/>
          <w:lang w:val="en-US" w:eastAsia="ru-RU"/>
        </w:rPr>
        <w:t xml:space="preserve">Key words: </w:t>
      </w:r>
      <w:r w:rsidR="00B67481" w:rsidRPr="00511005">
        <w:rPr>
          <w:rFonts w:ascii="Arial" w:eastAsia="Calibri" w:hAnsi="Arial" w:cs="Arial"/>
          <w:szCs w:val="28"/>
          <w:lang w:val="en-US"/>
        </w:rPr>
        <w:t>military levy, defense capability, targeted use, individuals, taxation.</w:t>
      </w:r>
    </w:p>
    <w:p w14:paraId="278CFDB6" w14:textId="21CA5E07" w:rsidR="00B67481" w:rsidRPr="00511005" w:rsidRDefault="007B2628" w:rsidP="003A292D">
      <w:pPr>
        <w:spacing w:line="264" w:lineRule="auto"/>
        <w:jc w:val="left"/>
        <w:rPr>
          <w:rFonts w:ascii="Arial" w:eastAsia="Calibri" w:hAnsi="Arial" w:cs="Arial"/>
          <w:szCs w:val="28"/>
        </w:rPr>
      </w:pPr>
      <w:r w:rsidRPr="00511005">
        <w:rPr>
          <w:rFonts w:ascii="Arial" w:eastAsia="Times New Roman" w:hAnsi="Arial" w:cs="Arial"/>
          <w:b/>
          <w:i/>
          <w:iCs/>
          <w:szCs w:val="28"/>
          <w:lang w:eastAsia="ru-RU"/>
        </w:rPr>
        <w:t xml:space="preserve">Науковий керівник: </w:t>
      </w:r>
      <w:r w:rsidR="00B67481" w:rsidRPr="00511005">
        <w:rPr>
          <w:rFonts w:ascii="Arial" w:eastAsia="Times New Roman" w:hAnsi="Arial" w:cs="Arial"/>
          <w:i/>
          <w:iCs/>
          <w:szCs w:val="28"/>
          <w:lang w:eastAsia="ru-RU"/>
        </w:rPr>
        <w:t>к.ю.н., доцент Сідор М.І.</w:t>
      </w:r>
    </w:p>
    <w:p w14:paraId="29E4E02B" w14:textId="77777777" w:rsidR="001D1A08" w:rsidRPr="00511005" w:rsidRDefault="001D1A08" w:rsidP="003A292D">
      <w:pPr>
        <w:spacing w:line="264" w:lineRule="auto"/>
        <w:ind w:firstLine="0"/>
        <w:jc w:val="left"/>
        <w:rPr>
          <w:rFonts w:ascii="Arial" w:eastAsia="Calibri" w:hAnsi="Arial" w:cs="Arial"/>
          <w:szCs w:val="28"/>
        </w:rPr>
      </w:pPr>
    </w:p>
    <w:p w14:paraId="4A9353D8" w14:textId="77777777" w:rsidR="001D1A08" w:rsidRPr="00511005" w:rsidRDefault="001D1A08" w:rsidP="003A292D">
      <w:pPr>
        <w:spacing w:line="264" w:lineRule="auto"/>
        <w:ind w:firstLine="0"/>
        <w:jc w:val="left"/>
        <w:rPr>
          <w:rFonts w:ascii="Arial" w:eastAsia="Calibri" w:hAnsi="Arial" w:cs="Arial"/>
          <w:szCs w:val="28"/>
        </w:rPr>
      </w:pPr>
    </w:p>
    <w:p w14:paraId="54089A1E" w14:textId="77777777" w:rsidR="00B67481" w:rsidRPr="00511005" w:rsidRDefault="00B67481" w:rsidP="003A292D">
      <w:pPr>
        <w:spacing w:line="264" w:lineRule="auto"/>
        <w:ind w:firstLine="0"/>
        <w:jc w:val="center"/>
        <w:rPr>
          <w:rFonts w:ascii="Arial" w:eastAsia="Calibri" w:hAnsi="Arial" w:cs="Arial"/>
          <w:b/>
          <w:i/>
          <w:szCs w:val="28"/>
        </w:rPr>
      </w:pPr>
      <w:r w:rsidRPr="00511005">
        <w:rPr>
          <w:rFonts w:ascii="Arial" w:eastAsia="Calibri" w:hAnsi="Arial" w:cs="Arial"/>
          <w:b/>
          <w:i/>
          <w:szCs w:val="28"/>
        </w:rPr>
        <w:t xml:space="preserve">Полігова </w:t>
      </w:r>
      <w:r w:rsidRPr="00511005">
        <w:rPr>
          <w:rFonts w:ascii="Arial" w:eastAsia="Calibri" w:hAnsi="Arial" w:cs="Arial"/>
          <w:b/>
          <w:i/>
          <w:szCs w:val="28"/>
          <w:lang w:val="uk-UA"/>
        </w:rPr>
        <w:t>Анастасія Олегівна</w:t>
      </w:r>
    </w:p>
    <w:p w14:paraId="513B0F93" w14:textId="507174AD"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61D15870"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73A98F4"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B86C7C9" w14:textId="77777777" w:rsidR="00B67481" w:rsidRPr="00511005" w:rsidRDefault="00B67481" w:rsidP="003A292D">
      <w:pPr>
        <w:spacing w:line="264" w:lineRule="auto"/>
        <w:ind w:firstLine="0"/>
        <w:rPr>
          <w:rFonts w:ascii="Arial" w:eastAsia="Calibri" w:hAnsi="Arial" w:cs="Arial"/>
          <w:i/>
          <w:szCs w:val="28"/>
        </w:rPr>
      </w:pPr>
    </w:p>
    <w:p w14:paraId="1CAB17A7" w14:textId="77777777" w:rsidR="00B67481" w:rsidRPr="00511005" w:rsidRDefault="00B67481" w:rsidP="003A292D">
      <w:pPr>
        <w:spacing w:line="264" w:lineRule="auto"/>
        <w:ind w:firstLine="0"/>
        <w:jc w:val="center"/>
        <w:rPr>
          <w:rFonts w:ascii="Arial" w:eastAsia="Calibri" w:hAnsi="Arial" w:cs="Arial"/>
          <w:b/>
          <w:szCs w:val="28"/>
        </w:rPr>
      </w:pPr>
      <w:r w:rsidRPr="00511005">
        <w:rPr>
          <w:rFonts w:ascii="Arial" w:eastAsia="Calibri" w:hAnsi="Arial" w:cs="Arial"/>
          <w:b/>
          <w:szCs w:val="28"/>
        </w:rPr>
        <w:t>КРИЗОВЕ УПРАВЛІННЯ В АДМІНІСТРАТИВНОМУ ПРАВІ: ДОСВІД УКРАЇНИ ПІД ЧАС ВІЙНИ</w:t>
      </w:r>
    </w:p>
    <w:p w14:paraId="6AB72CE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Кризове управління в адміністративному праві України набуло особливої актуальності в умовах повномасштабної війни. Суспільство стикається з необхідністю не лише реагувати на зовнішню агресію, але й забезпечувати ефективне функціонування державних органів у надзвичайних умовах. Це вимагає від держави швидких, але юридично обґрунтованих рішень, гнучкості управлінських механізмів і водночас — збереження принципів законності, пропорційності та відповідальності.</w:t>
      </w:r>
    </w:p>
    <w:p w14:paraId="1042351F"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Кризове управління, в контексті адміністративного права, розглядається як система дій публічної влади, спрямованих на запобігання, подолання або мінімізацію негативних наслідків кризових ситуацій, таких як війна. Його сутність полягає у можливості державних органів швидко адаптуватися до нових умов, змінювати структуру прийняття рішень, застосовувати тимчасові, але правомірні обмеження прав громадян задля захисту національних інтересів. [1, </w:t>
      </w:r>
      <w:r w:rsidRPr="00511005">
        <w:rPr>
          <w:rFonts w:ascii="Arial" w:eastAsia="Calibri" w:hAnsi="Arial" w:cs="Arial"/>
          <w:szCs w:val="28"/>
          <w:lang w:val="en-US"/>
        </w:rPr>
        <w:t>C</w:t>
      </w:r>
      <w:r w:rsidRPr="00511005">
        <w:rPr>
          <w:rFonts w:ascii="Arial" w:eastAsia="Calibri" w:hAnsi="Arial" w:cs="Arial"/>
          <w:szCs w:val="28"/>
        </w:rPr>
        <w:t>. 78-83].</w:t>
      </w:r>
    </w:p>
    <w:p w14:paraId="56FC974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Правова база, що регулює кризове управління в Україні, включає Конституцію України, Закон «Про правовий режим воєнного стану», Закон «Про правовий режим надзвичайного стану», Кодекс цивільного захисту, а </w:t>
      </w:r>
      <w:r w:rsidRPr="00511005">
        <w:rPr>
          <w:rFonts w:ascii="Arial" w:eastAsia="Calibri" w:hAnsi="Arial" w:cs="Arial"/>
          <w:szCs w:val="28"/>
        </w:rPr>
        <w:lastRenderedPageBreak/>
        <w:t>також низку указів Президента і постанов уряду. Ці нормативні акти визначають, у яких випадках вводяться обмеження, хто має право приймати рішення та як забезпечується дотримання основоположних прав і свобод навіть у складних обставинах.</w:t>
      </w:r>
    </w:p>
    <w:p w14:paraId="3343DD9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У 2022 році, з початком активної фази воєнних дій, Україна оперативно впровадила інституційні механізми кризового управління. На перший план вийшли функції Президента, Кабінету Міністрів </w:t>
      </w:r>
      <w:proofErr w:type="gramStart"/>
      <w:r w:rsidRPr="00511005">
        <w:rPr>
          <w:rFonts w:ascii="Arial" w:eastAsia="Calibri" w:hAnsi="Arial" w:cs="Arial"/>
          <w:szCs w:val="28"/>
        </w:rPr>
        <w:t>та</w:t>
      </w:r>
      <w:proofErr w:type="gramEnd"/>
      <w:r w:rsidRPr="00511005">
        <w:rPr>
          <w:rFonts w:ascii="Arial" w:eastAsia="Calibri" w:hAnsi="Arial" w:cs="Arial"/>
          <w:szCs w:val="28"/>
        </w:rPr>
        <w:t xml:space="preserve"> Ради національної безпеки і оборони. Водночас важливу роль почали відігравати військові адміністрації, які були створені у регіонах, наближених до лінії фронту. Їхнє завдання полягало у координації дій цивільної та військової влади, захисті населення, підтримці критичної інфраструктури.</w:t>
      </w:r>
      <w:r w:rsidRPr="00511005">
        <w:rPr>
          <w:rFonts w:ascii="Arial" w:eastAsia="Calibri" w:hAnsi="Arial" w:cs="Arial"/>
          <w:szCs w:val="28"/>
          <w:lang w:val="uk-UA"/>
        </w:rPr>
        <w:t xml:space="preserve"> </w:t>
      </w:r>
      <w:r w:rsidRPr="00511005">
        <w:rPr>
          <w:rFonts w:ascii="Arial" w:eastAsia="Calibri" w:hAnsi="Arial" w:cs="Arial"/>
          <w:szCs w:val="28"/>
        </w:rPr>
        <w:t xml:space="preserve">[2, </w:t>
      </w:r>
      <w:r w:rsidRPr="00511005">
        <w:rPr>
          <w:rFonts w:ascii="Arial" w:eastAsia="Calibri" w:hAnsi="Arial" w:cs="Arial"/>
          <w:szCs w:val="28"/>
          <w:lang w:val="en-US"/>
        </w:rPr>
        <w:t>C</w:t>
      </w:r>
      <w:r w:rsidRPr="00511005">
        <w:rPr>
          <w:rFonts w:ascii="Arial" w:eastAsia="Calibri" w:hAnsi="Arial" w:cs="Arial"/>
          <w:szCs w:val="28"/>
        </w:rPr>
        <w:t>. 6-9].</w:t>
      </w:r>
    </w:p>
    <w:p w14:paraId="4D9924E0"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Однією з важливих особливостей воєнного періоду стало широке використання цифрових інструментів. Платформа «Дія» стала не лише засобом комунікації між державою і громадянами, але й інструментом швидкого реагування — від сповіщення до подання заяв на компенсацію зруйнованого майна.</w:t>
      </w:r>
    </w:p>
    <w:p w14:paraId="07288D9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Крім того, в умовах воєнного часу спостерігалося значне пожвавлення ролі органів місцевого самоврядування. Попри делегування частини повноважень військовим адміністраціям, саме органи місцевого рівня часто ставали першою лінією допомоги населенню. Вони забезпечували евакуацію, розміщення внутрішньо переміщених осіб, гуманітарну підтримку, організацію охорони громадського порядку. У таких умовах важливою стала співпраця між державними і недержавними структурами — волонтерами, громадськими організаціями, міжнародними партнерами.</w:t>
      </w:r>
    </w:p>
    <w:p w14:paraId="39CD19D3"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Разом із тим, в умовах надзвичайної ситуації виникли й серйозні виклики. Зокрема, йшлося про розмитість повноважень між органами влади, ризики надмірної концентрації владних функцій в одних руках, недостатній рівень координації між центральними та регіональними структурами. Також постало питання про правову відповідальність органів влади за прийняті у надзвичайних умовах рішення, особливо тоді, коли ці рішення мали довготривалі наслідки для громадян. [3, </w:t>
      </w:r>
      <w:r w:rsidRPr="00511005">
        <w:rPr>
          <w:rFonts w:ascii="Arial" w:eastAsia="Calibri" w:hAnsi="Arial" w:cs="Arial"/>
          <w:szCs w:val="28"/>
          <w:lang w:val="en-US"/>
        </w:rPr>
        <w:t>C</w:t>
      </w:r>
      <w:r w:rsidRPr="00511005">
        <w:rPr>
          <w:rFonts w:ascii="Arial" w:eastAsia="Calibri" w:hAnsi="Arial" w:cs="Arial"/>
          <w:szCs w:val="28"/>
        </w:rPr>
        <w:t>. 257-258].</w:t>
      </w:r>
    </w:p>
    <w:p w14:paraId="0C647511"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Не менш важливим є питання забезпечення належного захисту прав людини в умовах воєнного стану. Обмеження певних прав і свобод, хоча й передбачені законом, потребують постійного контролю за їх правомірністю, пропорційністю та обмеженим строком дії. Варто пам’ятати, що саме в періоди криз і загроз формуються майбутні засади взаємодії між громадянами та державою. Тому збереження верховенства права навіть у найскладніших умовах є критично важливим. </w:t>
      </w:r>
    </w:p>
    <w:p w14:paraId="04EBD69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Завершення активної фази бойових дій актуалізує потребу в осмисленні набутих практик і формалізації ефективних підходів до кризового управління. Йдеться про необхідність створення спеціалізованих структур з постійними повноваженнями на випадок нових викликів, розробку </w:t>
      </w:r>
      <w:r w:rsidRPr="00511005">
        <w:rPr>
          <w:rFonts w:ascii="Arial" w:eastAsia="Calibri" w:hAnsi="Arial" w:cs="Arial"/>
          <w:szCs w:val="28"/>
        </w:rPr>
        <w:lastRenderedPageBreak/>
        <w:t>уніфікованого законодавчого акту, що регламентує кризове адміністрування, та забезпечення відкритості і підзвітності в ухваленні управлінських рішень.</w:t>
      </w:r>
      <w:r w:rsidRPr="00511005">
        <w:rPr>
          <w:rFonts w:ascii="Arial" w:eastAsia="Calibri" w:hAnsi="Arial" w:cs="Arial"/>
          <w:szCs w:val="28"/>
          <w:lang w:val="uk-UA"/>
        </w:rPr>
        <w:t xml:space="preserve"> </w:t>
      </w:r>
      <w:r w:rsidRPr="00511005">
        <w:rPr>
          <w:rFonts w:ascii="Arial" w:eastAsia="Calibri" w:hAnsi="Arial" w:cs="Arial"/>
          <w:szCs w:val="28"/>
        </w:rPr>
        <w:t>[4, С. 11-13].</w:t>
      </w:r>
    </w:p>
    <w:p w14:paraId="6694D27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У підсумку можна зазначити, що досвід, отриманий під час війни, продемонстрував як сильні сторони державного управління в Україні, так і його вразливості. Кризове управління стало своєрідним індикатором зрілості інституцій, здатності діяти у складних умовах і водночас зберігати правові стандарти. Подальший розвиток адміністративного права в цій площині має відбуватись із урахуванням набутих знань, кращих міжнародних практик та принципів демократичного врядування.</w:t>
      </w:r>
    </w:p>
    <w:p w14:paraId="765A4CF5"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У перспективі варто зосередити увагу не лише на правовому забезпеченні, а й на підготовці фахівців, здатних ефективно працювати в умовах кризи. Потребує посилення антикризова освіта у системі державного управління, розвиток міжвідомчої взаємодії, а також створення гнучких механізмів для залучення ресурсів — як внутрішніх, так і зовнішніх — у разі виникнення нових загроз. Лише так можна гарантувати стійкість державного управління в умовах невизначеності та постійних змін.</w:t>
      </w:r>
    </w:p>
    <w:p w14:paraId="01474247" w14:textId="77777777" w:rsidR="00B67481" w:rsidRPr="00511005" w:rsidRDefault="00B67481" w:rsidP="003A292D">
      <w:pPr>
        <w:spacing w:line="264" w:lineRule="auto"/>
        <w:rPr>
          <w:rFonts w:ascii="Arial" w:eastAsia="Calibri" w:hAnsi="Arial" w:cs="Arial"/>
          <w:szCs w:val="28"/>
          <w:lang w:val="uk-UA"/>
        </w:rPr>
      </w:pPr>
    </w:p>
    <w:p w14:paraId="25C6473B" w14:textId="77777777" w:rsidR="00B67481" w:rsidRPr="00511005" w:rsidRDefault="00B67481" w:rsidP="003A292D">
      <w:pPr>
        <w:spacing w:line="264" w:lineRule="auto"/>
        <w:ind w:firstLine="0"/>
        <w:jc w:val="center"/>
        <w:rPr>
          <w:rFonts w:ascii="Arial" w:eastAsia="Calibri" w:hAnsi="Arial" w:cs="Arial"/>
          <w:b/>
          <w:bCs/>
          <w:iCs/>
          <w:szCs w:val="28"/>
          <w:lang w:val="uk-UA"/>
        </w:rPr>
      </w:pPr>
      <w:r w:rsidRPr="00511005">
        <w:rPr>
          <w:rFonts w:ascii="Arial" w:eastAsia="Calibri" w:hAnsi="Arial" w:cs="Arial"/>
          <w:b/>
          <w:bCs/>
          <w:iCs/>
          <w:szCs w:val="28"/>
        </w:rPr>
        <w:t xml:space="preserve">Список використаної </w:t>
      </w:r>
      <w:r w:rsidRPr="00511005">
        <w:rPr>
          <w:rFonts w:ascii="Arial" w:eastAsia="Calibri" w:hAnsi="Arial" w:cs="Arial"/>
          <w:b/>
          <w:bCs/>
          <w:iCs/>
          <w:szCs w:val="28"/>
          <w:lang w:val="uk-UA"/>
        </w:rPr>
        <w:t>джерел</w:t>
      </w:r>
    </w:p>
    <w:p w14:paraId="42A76712" w14:textId="755496CC" w:rsidR="00B67481" w:rsidRPr="00511005" w:rsidRDefault="00B67481" w:rsidP="003F6A5D">
      <w:pPr>
        <w:numPr>
          <w:ilvl w:val="0"/>
          <w:numId w:val="257"/>
        </w:numPr>
        <w:spacing w:line="264" w:lineRule="auto"/>
        <w:ind w:left="0" w:firstLine="709"/>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Колодка А. «Кризове управління в умовах повномасштабної війни». С</w:t>
      </w:r>
      <w:r w:rsidRPr="00511005">
        <w:rPr>
          <w:rFonts w:ascii="Arial" w:eastAsia="Times New Roman" w:hAnsi="Arial" w:cs="Arial"/>
          <w:szCs w:val="28"/>
          <w:lang w:val="pl-PL" w:eastAsia="ru-RU"/>
        </w:rPr>
        <w:t>. 78-83. URL:</w:t>
      </w:r>
      <w:r w:rsidR="007B2628" w:rsidRPr="00511005">
        <w:rPr>
          <w:rFonts w:ascii="Arial" w:eastAsia="Times New Roman" w:hAnsi="Arial" w:cs="Arial"/>
          <w:szCs w:val="28"/>
          <w:lang w:val="pl-PL" w:eastAsia="ru-RU"/>
        </w:rPr>
        <w:t xml:space="preserve"> </w:t>
      </w:r>
      <w:hyperlink r:id="rId989" w:history="1">
        <w:r w:rsidRPr="00511005">
          <w:rPr>
            <w:rFonts w:ascii="Arial" w:eastAsia="Times New Roman" w:hAnsi="Arial" w:cs="Arial"/>
            <w:szCs w:val="28"/>
            <w:lang w:val="pl-PL" w:eastAsia="ru-RU"/>
          </w:rPr>
          <w:t>https://nvdu.undicz.org.ua/index.php/nvdu/article/view/252/246</w:t>
        </w:r>
      </w:hyperlink>
    </w:p>
    <w:p w14:paraId="2B29EB34" w14:textId="77777777" w:rsidR="00B67481" w:rsidRPr="00511005" w:rsidRDefault="00B67481" w:rsidP="003F6A5D">
      <w:pPr>
        <w:numPr>
          <w:ilvl w:val="0"/>
          <w:numId w:val="257"/>
        </w:numPr>
        <w:spacing w:line="264" w:lineRule="auto"/>
        <w:ind w:left="0" w:firstLine="709"/>
        <w:contextualSpacing/>
        <w:jc w:val="left"/>
        <w:rPr>
          <w:rFonts w:ascii="Arial" w:eastAsia="Times New Roman" w:hAnsi="Arial" w:cs="Arial"/>
          <w:szCs w:val="28"/>
          <w:lang w:val="en-US" w:eastAsia="ru-RU"/>
        </w:rPr>
      </w:pPr>
      <w:r w:rsidRPr="00511005">
        <w:rPr>
          <w:rFonts w:ascii="Arial" w:eastAsia="Times New Roman" w:hAnsi="Arial" w:cs="Arial"/>
          <w:szCs w:val="28"/>
          <w:lang w:eastAsia="ru-RU"/>
        </w:rPr>
        <w:t>Пономаренко О.С. «Вплив воєнних дій на ефективність державного управління в Україні». С</w:t>
      </w:r>
      <w:r w:rsidRPr="00511005">
        <w:rPr>
          <w:rFonts w:ascii="Arial" w:eastAsia="Times New Roman" w:hAnsi="Arial" w:cs="Arial"/>
          <w:szCs w:val="28"/>
          <w:lang w:val="en-US" w:eastAsia="ru-RU"/>
        </w:rPr>
        <w:t xml:space="preserve">. 6-9. </w:t>
      </w:r>
      <w:hyperlink r:id="rId990" w:history="1">
        <w:r w:rsidRPr="00511005">
          <w:rPr>
            <w:rFonts w:ascii="Arial" w:eastAsia="Times New Roman" w:hAnsi="Arial" w:cs="Arial"/>
            <w:szCs w:val="28"/>
            <w:lang w:val="en-US" w:eastAsia="ru-RU"/>
          </w:rPr>
          <w:t>URL:file:///C:/Users/UserOK/Downloads/%D0%9F%D0%BE%D0%BD%D0%BE%D0%BC%D0%B0%D1%80%D0%B5%D0%BD%D0%BA%D0%BE,+%D0%9E.+%D0%A1.,+++%D0%9C%D0%BE%D1%80%D0%BE%D0%B7%D1%8E%D0%BA,+%D0%AE.+%D0%92.,+++%D0%9D%D0%B8%D0%BD%D1%8E%D0%BA,+%D0%9C.+%D0%90%20(1).pdf</w:t>
        </w:r>
      </w:hyperlink>
      <w:r w:rsidRPr="00511005">
        <w:rPr>
          <w:rFonts w:ascii="Arial" w:eastAsia="Times New Roman" w:hAnsi="Arial" w:cs="Arial"/>
          <w:szCs w:val="28"/>
          <w:lang w:val="en-US" w:eastAsia="ru-RU"/>
        </w:rPr>
        <w:t xml:space="preserve"> </w:t>
      </w:r>
    </w:p>
    <w:p w14:paraId="0230FAF8" w14:textId="77777777" w:rsidR="00B67481" w:rsidRPr="00511005" w:rsidRDefault="00B67481" w:rsidP="003F6A5D">
      <w:pPr>
        <w:numPr>
          <w:ilvl w:val="0"/>
          <w:numId w:val="257"/>
        </w:numPr>
        <w:spacing w:line="264" w:lineRule="auto"/>
        <w:ind w:left="0" w:firstLine="709"/>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Лікарчук Н.В. «Кризи в системі державного управління: причини виникнення та шляхи врегулювання». </w:t>
      </w:r>
      <w:bookmarkStart w:id="125" w:name="_Hlk196250039"/>
      <w:r w:rsidRPr="00511005">
        <w:rPr>
          <w:rFonts w:ascii="Arial" w:eastAsia="Times New Roman" w:hAnsi="Arial" w:cs="Arial"/>
          <w:szCs w:val="28"/>
          <w:lang w:eastAsia="ru-RU"/>
        </w:rPr>
        <w:t>С</w:t>
      </w:r>
      <w:r w:rsidRPr="00511005">
        <w:rPr>
          <w:rFonts w:ascii="Arial" w:eastAsia="Times New Roman" w:hAnsi="Arial" w:cs="Arial"/>
          <w:szCs w:val="28"/>
          <w:lang w:val="pl-PL" w:eastAsia="ru-RU"/>
        </w:rPr>
        <w:t>. 257-258.</w:t>
      </w:r>
      <w:bookmarkEnd w:id="125"/>
      <w:r w:rsidRPr="00511005">
        <w:rPr>
          <w:rFonts w:ascii="Arial" w:eastAsia="Times New Roman" w:hAnsi="Arial" w:cs="Arial"/>
          <w:szCs w:val="28"/>
          <w:lang w:val="uk-UA" w:eastAsia="ru-RU"/>
        </w:rPr>
        <w:t xml:space="preserve"> </w:t>
      </w:r>
      <w:r w:rsidRPr="00511005">
        <w:rPr>
          <w:rFonts w:ascii="Arial" w:eastAsia="Times New Roman" w:hAnsi="Arial" w:cs="Arial"/>
          <w:szCs w:val="28"/>
          <w:lang w:val="pl-PL" w:eastAsia="ru-RU"/>
        </w:rPr>
        <w:t xml:space="preserve">URL: </w:t>
      </w:r>
      <w:hyperlink r:id="rId991" w:history="1">
        <w:r w:rsidRPr="00511005">
          <w:rPr>
            <w:rFonts w:ascii="Arial" w:eastAsia="Times New Roman" w:hAnsi="Arial" w:cs="Arial"/>
            <w:szCs w:val="28"/>
            <w:lang w:val="pl-PL" w:eastAsia="ru-RU"/>
          </w:rPr>
          <w:t>http://www.pdu-journal.kpu.zp.ua/archive/4_2020/38.pdf</w:t>
        </w:r>
      </w:hyperlink>
      <w:r w:rsidRPr="00511005">
        <w:rPr>
          <w:rFonts w:ascii="Arial" w:eastAsia="Times New Roman" w:hAnsi="Arial" w:cs="Arial"/>
          <w:szCs w:val="28"/>
          <w:lang w:val="pl-PL" w:eastAsia="ru-RU"/>
        </w:rPr>
        <w:t xml:space="preserve"> </w:t>
      </w:r>
    </w:p>
    <w:p w14:paraId="2C189DBD" w14:textId="77777777" w:rsidR="00B67481" w:rsidRPr="00511005" w:rsidRDefault="00B67481" w:rsidP="003F6A5D">
      <w:pPr>
        <w:numPr>
          <w:ilvl w:val="0"/>
          <w:numId w:val="257"/>
        </w:numPr>
        <w:spacing w:line="264" w:lineRule="auto"/>
        <w:ind w:left="0" w:firstLine="709"/>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Гобела В.В. «Управління кризовими ситуаціями». </w:t>
      </w:r>
      <w:bookmarkStart w:id="126" w:name="_Hlk196249991"/>
      <w:r w:rsidRPr="00511005">
        <w:rPr>
          <w:rFonts w:ascii="Arial" w:eastAsia="Times New Roman" w:hAnsi="Arial" w:cs="Arial"/>
          <w:szCs w:val="28"/>
          <w:lang w:eastAsia="ru-RU"/>
        </w:rPr>
        <w:t>С</w:t>
      </w:r>
      <w:r w:rsidRPr="00511005">
        <w:rPr>
          <w:rFonts w:ascii="Arial" w:eastAsia="Times New Roman" w:hAnsi="Arial" w:cs="Arial"/>
          <w:szCs w:val="28"/>
          <w:lang w:val="pl-PL" w:eastAsia="ru-RU"/>
        </w:rPr>
        <w:t>. 11-13.</w:t>
      </w:r>
      <w:bookmarkEnd w:id="126"/>
      <w:r w:rsidRPr="00511005">
        <w:rPr>
          <w:rFonts w:ascii="Arial" w:eastAsia="Times New Roman" w:hAnsi="Arial" w:cs="Arial"/>
          <w:szCs w:val="28"/>
          <w:lang w:val="uk-UA" w:eastAsia="ru-RU"/>
        </w:rPr>
        <w:t xml:space="preserve"> </w:t>
      </w:r>
      <w:r w:rsidRPr="00511005">
        <w:rPr>
          <w:rFonts w:ascii="Arial" w:eastAsia="Times New Roman" w:hAnsi="Arial" w:cs="Arial"/>
          <w:szCs w:val="28"/>
          <w:lang w:val="pl-PL" w:eastAsia="ru-RU"/>
        </w:rPr>
        <w:t xml:space="preserve">URL: </w:t>
      </w:r>
      <w:hyperlink r:id="rId992" w:history="1">
        <w:r w:rsidRPr="00511005">
          <w:rPr>
            <w:rFonts w:ascii="Arial" w:eastAsia="Times New Roman" w:hAnsi="Arial" w:cs="Arial"/>
            <w:szCs w:val="28"/>
            <w:lang w:val="pl-PL" w:eastAsia="ru-RU"/>
          </w:rPr>
          <w:t>https://dspace.lvduvs.edu.ua/bitstream/1234567890/4772/1/%D0%A3%D0%BF%D1%80%D0%B0%D0%B2%D0%BB%D1%96%D0%BD%D0%BD%D1%8F%20%D0%BA%D1%80%D0%B8%D0%B7%D0%BE%D0%B2%D0%B8%D0%BC%D0%B8%20%D1%81%D0%B8%D1%82%D1%83%D0%B0%D1%86%D1%96%D1%8F%D0%BC%D0%B8---%D0%92%D0%95%D0%A0%D0%A1%D0%A2%D0%9A%D0%90.pdf</w:t>
        </w:r>
      </w:hyperlink>
    </w:p>
    <w:p w14:paraId="4768247E" w14:textId="77777777" w:rsidR="00B67481" w:rsidRPr="00511005" w:rsidRDefault="00B67481" w:rsidP="003A292D">
      <w:pPr>
        <w:spacing w:line="264" w:lineRule="auto"/>
        <w:rPr>
          <w:rFonts w:ascii="Arial" w:eastAsia="Calibri" w:hAnsi="Arial" w:cs="Arial"/>
          <w:i/>
          <w:iCs/>
          <w:szCs w:val="28"/>
          <w:lang w:val="pl-PL"/>
        </w:rPr>
      </w:pPr>
    </w:p>
    <w:p w14:paraId="014CD589" w14:textId="5FEEF82E" w:rsidR="00B67481" w:rsidRPr="00511005" w:rsidRDefault="007B2628" w:rsidP="003A292D">
      <w:pPr>
        <w:spacing w:line="264" w:lineRule="auto"/>
        <w:rPr>
          <w:rFonts w:ascii="Arial" w:eastAsia="Calibri" w:hAnsi="Arial" w:cs="Arial"/>
          <w:iCs/>
          <w:szCs w:val="28"/>
        </w:rPr>
      </w:pPr>
      <w:r w:rsidRPr="00511005">
        <w:rPr>
          <w:rFonts w:ascii="Arial" w:eastAsia="Calibri" w:hAnsi="Arial" w:cs="Arial"/>
          <w:b/>
          <w:bCs/>
          <w:i/>
          <w:iCs/>
          <w:szCs w:val="28"/>
        </w:rPr>
        <w:lastRenderedPageBreak/>
        <w:t xml:space="preserve">Ключові слова: </w:t>
      </w:r>
      <w:r w:rsidR="00B67481" w:rsidRPr="00511005">
        <w:rPr>
          <w:rFonts w:ascii="Arial" w:eastAsia="Calibri" w:hAnsi="Arial" w:cs="Arial"/>
          <w:iCs/>
          <w:szCs w:val="28"/>
        </w:rPr>
        <w:t>кризове управління, державне управління, воєнний час, військові адміністрації, правовий режим, права людини, надзвичайні ситуації.</w:t>
      </w:r>
    </w:p>
    <w:p w14:paraId="7BA8A17D" w14:textId="3A594302" w:rsidR="00B67481" w:rsidRPr="00511005" w:rsidRDefault="007B2628" w:rsidP="003A292D">
      <w:pPr>
        <w:spacing w:line="264" w:lineRule="auto"/>
        <w:rPr>
          <w:rFonts w:ascii="Arial" w:eastAsia="Calibri" w:hAnsi="Arial" w:cs="Arial"/>
          <w:iCs/>
          <w:szCs w:val="28"/>
          <w:lang w:val="en-US"/>
        </w:rPr>
      </w:pPr>
      <w:r w:rsidRPr="00511005">
        <w:rPr>
          <w:rFonts w:ascii="Arial" w:eastAsia="Calibri" w:hAnsi="Arial" w:cs="Arial"/>
          <w:b/>
          <w:bCs/>
          <w:i/>
          <w:iCs/>
          <w:szCs w:val="28"/>
          <w:lang w:val="en-US"/>
        </w:rPr>
        <w:t xml:space="preserve">Key words: </w:t>
      </w:r>
      <w:r w:rsidR="00B67481" w:rsidRPr="00511005">
        <w:rPr>
          <w:rFonts w:ascii="Arial" w:eastAsia="Calibri" w:hAnsi="Arial" w:cs="Arial"/>
          <w:iCs/>
          <w:szCs w:val="28"/>
          <w:lang w:val="en-US"/>
        </w:rPr>
        <w:t>crisis management, public administration, wartime, military administrations, legal regime, human rights, emergencies.</w:t>
      </w:r>
    </w:p>
    <w:p w14:paraId="0F482583" w14:textId="0D9C1F8C" w:rsidR="00B67481" w:rsidRPr="00511005" w:rsidRDefault="007B2628" w:rsidP="003A292D">
      <w:pPr>
        <w:spacing w:line="264" w:lineRule="auto"/>
        <w:rPr>
          <w:rFonts w:ascii="Arial" w:eastAsia="Calibri" w:hAnsi="Arial" w:cs="Arial"/>
          <w:bCs/>
          <w:i/>
          <w:iCs/>
          <w:szCs w:val="28"/>
          <w:lang w:val="uk-UA"/>
        </w:rPr>
      </w:pPr>
      <w:r w:rsidRPr="00511005">
        <w:rPr>
          <w:rFonts w:ascii="Arial" w:eastAsia="Calibri" w:hAnsi="Arial" w:cs="Arial"/>
          <w:b/>
          <w:i/>
          <w:iCs/>
          <w:szCs w:val="28"/>
        </w:rPr>
        <w:t xml:space="preserve">Науковий керівник: </w:t>
      </w:r>
      <w:r w:rsidR="00B67481" w:rsidRPr="00511005">
        <w:rPr>
          <w:rFonts w:ascii="Arial" w:eastAsia="Calibri" w:hAnsi="Arial" w:cs="Arial"/>
          <w:i/>
          <w:iCs/>
          <w:szCs w:val="28"/>
          <w:lang w:val="uk-UA"/>
        </w:rPr>
        <w:t>к.ю.н., доцент</w:t>
      </w:r>
      <w:r w:rsidR="00B67481" w:rsidRPr="00511005">
        <w:rPr>
          <w:rFonts w:ascii="Arial" w:eastAsia="Calibri" w:hAnsi="Arial" w:cs="Arial"/>
          <w:i/>
          <w:iCs/>
          <w:szCs w:val="28"/>
        </w:rPr>
        <w:t xml:space="preserve"> </w:t>
      </w:r>
      <w:r w:rsidR="00B67481" w:rsidRPr="00511005">
        <w:rPr>
          <w:rFonts w:ascii="Arial" w:eastAsia="Calibri" w:hAnsi="Arial" w:cs="Arial"/>
          <w:bCs/>
          <w:i/>
          <w:iCs/>
          <w:szCs w:val="28"/>
        </w:rPr>
        <w:t xml:space="preserve">Панфілов </w:t>
      </w:r>
      <w:r w:rsidR="00B67481" w:rsidRPr="00511005">
        <w:rPr>
          <w:rFonts w:ascii="Arial" w:eastAsia="Calibri" w:hAnsi="Arial" w:cs="Arial"/>
          <w:bCs/>
          <w:i/>
          <w:iCs/>
          <w:szCs w:val="28"/>
          <w:lang w:val="uk-UA"/>
        </w:rPr>
        <w:t>О.Є.</w:t>
      </w:r>
    </w:p>
    <w:p w14:paraId="44F0AF1A" w14:textId="77777777" w:rsidR="001D1A08" w:rsidRPr="00511005" w:rsidRDefault="001D1A08" w:rsidP="003A292D">
      <w:pPr>
        <w:spacing w:line="264" w:lineRule="auto"/>
        <w:ind w:firstLine="0"/>
        <w:jc w:val="left"/>
        <w:rPr>
          <w:rFonts w:ascii="Arial" w:eastAsia="Calibri" w:hAnsi="Arial" w:cs="Arial"/>
          <w:bCs/>
          <w:i/>
          <w:iCs/>
          <w:szCs w:val="28"/>
          <w:lang w:val="uk-UA"/>
        </w:rPr>
      </w:pPr>
    </w:p>
    <w:p w14:paraId="4F858E43" w14:textId="77777777" w:rsidR="001D1A08" w:rsidRPr="00511005" w:rsidRDefault="001D1A08" w:rsidP="003A292D">
      <w:pPr>
        <w:spacing w:line="264" w:lineRule="auto"/>
        <w:ind w:firstLine="0"/>
        <w:jc w:val="left"/>
        <w:rPr>
          <w:rFonts w:ascii="Arial" w:eastAsia="Calibri" w:hAnsi="Arial" w:cs="Arial"/>
          <w:bCs/>
          <w:i/>
          <w:iCs/>
          <w:szCs w:val="28"/>
          <w:lang w:val="uk-UA"/>
        </w:rPr>
      </w:pPr>
    </w:p>
    <w:p w14:paraId="1F0F1B1C" w14:textId="77777777" w:rsidR="00B67481" w:rsidRPr="00511005" w:rsidRDefault="00B67481" w:rsidP="003A292D">
      <w:pPr>
        <w:tabs>
          <w:tab w:val="left" w:pos="7088"/>
        </w:tabs>
        <w:spacing w:line="264" w:lineRule="auto"/>
        <w:ind w:firstLine="0"/>
        <w:jc w:val="center"/>
        <w:rPr>
          <w:rFonts w:ascii="Arial" w:eastAsia="Calibri" w:hAnsi="Arial" w:cs="Arial"/>
          <w:b/>
          <w:i/>
          <w:szCs w:val="28"/>
          <w:lang w:val="uk-UA" w:bidi="uk-UA"/>
        </w:rPr>
      </w:pPr>
      <w:r w:rsidRPr="00511005">
        <w:rPr>
          <w:rFonts w:ascii="Arial" w:eastAsia="Calibri" w:hAnsi="Arial" w:cs="Arial"/>
          <w:b/>
          <w:i/>
          <w:szCs w:val="28"/>
          <w:lang w:val="uk-UA" w:bidi="uk-UA"/>
        </w:rPr>
        <w:t xml:space="preserve">Похиляк Марʼяна Дмитрівна </w:t>
      </w:r>
    </w:p>
    <w:p w14:paraId="5E0AA16E" w14:textId="30539F61"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58DFDC2A"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F0E23FB"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3669409" w14:textId="77777777" w:rsidR="00B67481" w:rsidRPr="00511005" w:rsidRDefault="00B67481" w:rsidP="003A292D">
      <w:pPr>
        <w:tabs>
          <w:tab w:val="left" w:pos="7088"/>
        </w:tabs>
        <w:spacing w:line="264" w:lineRule="auto"/>
        <w:ind w:firstLine="0"/>
        <w:jc w:val="center"/>
        <w:rPr>
          <w:rFonts w:ascii="Arial" w:eastAsia="Calibri" w:hAnsi="Arial" w:cs="Arial"/>
          <w:b/>
          <w:szCs w:val="28"/>
          <w:lang w:val="uk-UA" w:bidi="uk-UA"/>
        </w:rPr>
      </w:pPr>
    </w:p>
    <w:p w14:paraId="5149F7C8" w14:textId="77777777" w:rsidR="00B67481" w:rsidRPr="00511005" w:rsidRDefault="00B67481" w:rsidP="003A292D">
      <w:pPr>
        <w:tabs>
          <w:tab w:val="left" w:pos="7088"/>
        </w:tabs>
        <w:spacing w:line="264" w:lineRule="auto"/>
        <w:ind w:firstLine="0"/>
        <w:jc w:val="center"/>
        <w:rPr>
          <w:rFonts w:ascii="Arial" w:eastAsia="Calibri" w:hAnsi="Arial" w:cs="Arial"/>
          <w:b/>
          <w:szCs w:val="28"/>
          <w:lang w:val="uk-UA" w:bidi="uk-UA"/>
        </w:rPr>
      </w:pPr>
      <w:r w:rsidRPr="00511005">
        <w:rPr>
          <w:rFonts w:ascii="Arial" w:eastAsia="Calibri" w:hAnsi="Arial" w:cs="Arial"/>
          <w:b/>
          <w:szCs w:val="28"/>
          <w:lang w:bidi="uk-UA"/>
        </w:rPr>
        <w:t>АДМІНІСТРАТИВНІ ПОСЛУГИ В УМОВАХ ВОЄННОГО СТАНУ В УКРАЇНІ</w:t>
      </w:r>
    </w:p>
    <w:p w14:paraId="1DB39DAF"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val="uk-UA" w:bidi="uk-UA"/>
        </w:rPr>
        <w:t xml:space="preserve">Адміністративні послуги є важливою складовою частиною функціонування державних інститутів, оскільки забезпечують реалізацію прав та інтересів громадян, а також сприяють нормалізації суспільних процесів. </w:t>
      </w:r>
      <w:r w:rsidRPr="00511005">
        <w:rPr>
          <w:rFonts w:ascii="Arial" w:eastAsia="Calibri" w:hAnsi="Arial" w:cs="Arial"/>
          <w:szCs w:val="28"/>
          <w:lang w:bidi="uk-UA"/>
        </w:rPr>
        <w:t>В умовах воєнного стану надання адміністративних послуг зазнає значних змін, які обумовлені особливими умовами, в яких опинилася країна. Збройний конфлікт в Україні та введення воєнного стану змусили органи державної влади адаптувати механізми надання послуг для забезпечення їх доступності навіть в екстремальних умовах.</w:t>
      </w:r>
    </w:p>
    <w:p w14:paraId="0EB4F6E1"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Після введення воєнного стану Україна пережила суттєві зміни в організації публічних послуг, зокрема адміністративних. Одним із головних завдань ставала адаптація процедур до нових реалій, коли безпека громадян та збереження їхніх прав стали першочерговими. У зв'язку з цим постало питання збереження функціонування адміністративних установ і забезпечення ефективного надання послуг на всіх рівнях [1]. Зокрема, Кабінет Міністрів України, виходячи з потреб воєнного стану, ухвалив низку нормативно-правових актів, що змінюють правила надання адміністративних послуг.</w:t>
      </w:r>
    </w:p>
    <w:p w14:paraId="4F6FC0F9"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Одним з таких нормативних актів стала постанова Кабінету Міністрів України від 28 лютого 2022 року № 165, яка зупиняє строки надання адміністративних послуг в умовах воєнного стану. Це рішення дозволило зберегти правову стабільність у складних умовах, коли багато процесів можуть бути ускладнені через нестабільність у регіонах, де ведуться бойові дії. Водночас, цей акт передбачає, що адміністративні послуги, які не можуть бути відкладені, продовжують надаватися, але лише у випадках, коли це є критично необхідним для нормального функціонування держави. До таких послуг належать, наприклад, державна реєстрація юридичних осіб, фізичних осіб-підприємців, а також важливі документи, пов’язані з правами громадян на нерухоме майно або акти цивільного стану [2].</w:t>
      </w:r>
    </w:p>
    <w:p w14:paraId="0D4AE2E2"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lastRenderedPageBreak/>
        <w:t>З метою забезпечення доступу громадян до адміністративних послуг, у період воєнного стану активно використовуються онлайн-сервіси. Завдяки розвитку цифрових технологій, багато адміністративних процедур можуть бути виконані через інтернет-платформи, що значно спрощує процес і зменшує фізичний контакт з державними органами. Такі послуги, як реєстрація бізнесу, подання заяв на отримання дозволів, а також звернення до органів місцевого самоврядування, можуть здійснюватися через електронні портали, такі як портал «Дія». Це дозволяє громадянам отримувати необхідні документи навіть в умовах обмеженого доступу до державних установ, що є особливо важливим під час бойових дій.</w:t>
      </w:r>
    </w:p>
    <w:p w14:paraId="0CEEA417"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Водночас, в умовах воєнного стану наявні також певні труднощі, пов’язані з організацією роботи ЦНАПів (центрів надання адміністративних послуг). На певних територіях, де ведуться активні бойові дії або зберігається високий рівень небезпеки, багато ЦНАПів були закриті або працюють в обмеженому режимі. Зважаючи на це, держава здійснює розподіл функцій і відповідальності серед місцевих органів влади, що дає можливість організувати виконання важливих адміністративних процедур на місцевому рівні. Це дозволяє зберегти рівень послуг, навіть у випадках, коли основні інституції не можуть працювати належним чином через загрозу або фізичні ушкодження інфраструктури.</w:t>
      </w:r>
    </w:p>
    <w:p w14:paraId="3A19AB5F"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Крім того, важливу роль відіграють зміни в законодавстві щодо адміністрування і реєстрації прав на нерухоме майно, що стали актуальними через зруйновану інфраструктуру на окупованих територіях. Державні органи проводять реєстрацію прав власності на землю та нерухомість в спрощеному порядку, забезпечуючи можливість поновлення прав на власність для тих громадян, що втратили її через збройні конфлікти. Підтримка в таких питаннях є важливою для відновлення нормального життя громадян та відновлення економіки країни після завершення бойових дій [3].</w:t>
      </w:r>
    </w:p>
    <w:p w14:paraId="05D02B04"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У загальному, державні органи намагаються мінімізувати негативний вплив війни на надання адміністративних послуг і адаптують наявні процеси до нових умов. Зокрема, це стосується застосування інноваційних технологій для полегшення доступу до публічних послуг і забезпечення функціонування державних реєстрів в умовах обмежених ресурсів та загрози з боку зовнішнього ворога.</w:t>
      </w:r>
    </w:p>
    <w:p w14:paraId="1E0EE137"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Однак, важливо зазначити, що навіть в умовах воєнного стану, надання адміністративних послуг повинно залишатися ефективним і прозорим, оскільки це є основою довіри громадян до держави. Система адміністративних послуг, яка працює безперебійно навіть в умовах надзвичайного стану, є важливим елементом стабільності та відновлення правової та соціальної структури країни.</w:t>
      </w:r>
    </w:p>
    <w:p w14:paraId="3BE2CDA0" w14:textId="77777777" w:rsidR="00B67481" w:rsidRPr="00511005" w:rsidRDefault="00B67481" w:rsidP="003A292D">
      <w:pPr>
        <w:tabs>
          <w:tab w:val="left" w:pos="7088"/>
        </w:tabs>
        <w:spacing w:line="264" w:lineRule="auto"/>
        <w:rPr>
          <w:rFonts w:ascii="Arial" w:eastAsia="Calibri" w:hAnsi="Arial" w:cs="Arial"/>
          <w:szCs w:val="28"/>
          <w:lang w:bidi="uk-UA"/>
        </w:rPr>
      </w:pPr>
      <w:r w:rsidRPr="00511005">
        <w:rPr>
          <w:rFonts w:ascii="Arial" w:eastAsia="Calibri" w:hAnsi="Arial" w:cs="Arial"/>
          <w:szCs w:val="28"/>
          <w:lang w:bidi="uk-UA"/>
        </w:rPr>
        <w:t xml:space="preserve">Таким чином, адміністративні послуги в умовах воєнного стану в Україні є важливою складовою частиною адаптації державного управління </w:t>
      </w:r>
      <w:r w:rsidRPr="00511005">
        <w:rPr>
          <w:rFonts w:ascii="Arial" w:eastAsia="Calibri" w:hAnsi="Arial" w:cs="Arial"/>
          <w:szCs w:val="28"/>
          <w:lang w:bidi="uk-UA"/>
        </w:rPr>
        <w:lastRenderedPageBreak/>
        <w:t>до нових викликів. Влада намагається забезпечити максимальну доступність і ефективність цих послуг, впроваджуючи нові технології, зберігаючи необхідні процедури для стабільного функціонування економіки та відновлення державного управління після завершення бойових дій.</w:t>
      </w:r>
    </w:p>
    <w:p w14:paraId="06F75A61" w14:textId="77777777" w:rsidR="00B67481" w:rsidRPr="00511005" w:rsidRDefault="00B67481" w:rsidP="003A292D">
      <w:pPr>
        <w:tabs>
          <w:tab w:val="left" w:pos="7088"/>
        </w:tabs>
        <w:spacing w:line="264" w:lineRule="auto"/>
        <w:rPr>
          <w:rFonts w:ascii="Arial" w:eastAsia="Calibri" w:hAnsi="Arial" w:cs="Arial"/>
          <w:szCs w:val="28"/>
          <w:lang w:bidi="uk-UA"/>
        </w:rPr>
      </w:pPr>
    </w:p>
    <w:p w14:paraId="5A52FA40" w14:textId="4A09EFB0" w:rsidR="00B67481" w:rsidRPr="00511005" w:rsidRDefault="007B2628" w:rsidP="007B2628">
      <w:pPr>
        <w:tabs>
          <w:tab w:val="left" w:pos="7088"/>
        </w:tabs>
        <w:spacing w:line="264" w:lineRule="auto"/>
        <w:jc w:val="center"/>
        <w:rPr>
          <w:rFonts w:ascii="Arial" w:eastAsia="Calibri" w:hAnsi="Arial" w:cs="Arial"/>
          <w:b/>
          <w:szCs w:val="28"/>
          <w:lang w:val="uk-UA" w:bidi="uk-UA"/>
        </w:rPr>
      </w:pPr>
      <w:r w:rsidRPr="00511005">
        <w:rPr>
          <w:rFonts w:ascii="Arial" w:eastAsia="Calibri" w:hAnsi="Arial" w:cs="Arial"/>
          <w:b/>
          <w:szCs w:val="28"/>
          <w:lang w:val="uk-UA" w:bidi="uk-UA"/>
        </w:rPr>
        <w:t>Список використаних джерел</w:t>
      </w:r>
    </w:p>
    <w:p w14:paraId="3C57603D" w14:textId="77777777" w:rsidR="00B67481" w:rsidRPr="00511005" w:rsidRDefault="00B67481" w:rsidP="003F6A5D">
      <w:pPr>
        <w:widowControl w:val="0"/>
        <w:numPr>
          <w:ilvl w:val="0"/>
          <w:numId w:val="258"/>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eastAsia="ru-RU" w:bidi="uk-UA"/>
        </w:rPr>
      </w:pPr>
      <w:r w:rsidRPr="00511005">
        <w:rPr>
          <w:rFonts w:ascii="Arial" w:eastAsia="Times New Roman" w:hAnsi="Arial" w:cs="Arial"/>
          <w:szCs w:val="28"/>
          <w:lang w:eastAsia="ru-RU" w:bidi="uk-UA"/>
        </w:rPr>
        <w:t>Закон України «Про адміністративні послуги». URL: https://zakon.rada.gov.ua/laws/show/5203-17#Text (дата звернення: 11.04.2025)</w:t>
      </w:r>
    </w:p>
    <w:p w14:paraId="7F13C8B7" w14:textId="3B6B8358" w:rsidR="00B67481" w:rsidRPr="00511005" w:rsidRDefault="00B67481" w:rsidP="003F6A5D">
      <w:pPr>
        <w:widowControl w:val="0"/>
        <w:numPr>
          <w:ilvl w:val="0"/>
          <w:numId w:val="258"/>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Постанова Кабінету Міністрів України </w:t>
      </w:r>
      <w:r w:rsidRPr="00511005">
        <w:rPr>
          <w:rFonts w:ascii="Arial" w:eastAsia="Times New Roman" w:hAnsi="Arial" w:cs="Arial"/>
          <w:szCs w:val="28"/>
          <w:lang w:eastAsia="ru-RU" w:bidi="uk-UA"/>
        </w:rPr>
        <w:t>No</w:t>
      </w:r>
      <w:r w:rsidRPr="00511005">
        <w:rPr>
          <w:rFonts w:ascii="Arial" w:eastAsia="Times New Roman" w:hAnsi="Arial" w:cs="Arial"/>
          <w:szCs w:val="28"/>
          <w:lang w:val="uk-UA" w:eastAsia="ru-RU" w:bidi="uk-UA"/>
        </w:rPr>
        <w:t xml:space="preserve"> 828 від 08.08.2023 «Про</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поновлення</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строків</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надання</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 xml:space="preserve">адміністративних послуг і видачі документів дозвільного характеру та визнання такими, що втратили чинність, деяких постанов Кабінету Міністрів України» </w:t>
      </w:r>
      <w:r w:rsidRPr="00511005">
        <w:rPr>
          <w:rFonts w:ascii="Arial" w:eastAsia="Times New Roman" w:hAnsi="Arial" w:cs="Arial"/>
          <w:szCs w:val="28"/>
          <w:lang w:eastAsia="ru-RU" w:bidi="uk-UA"/>
        </w:rPr>
        <w:t>URL</w:t>
      </w:r>
      <w:r w:rsidRPr="00511005">
        <w:rPr>
          <w:rFonts w:ascii="Arial" w:eastAsia="Times New Roman" w:hAnsi="Arial" w:cs="Arial"/>
          <w:szCs w:val="28"/>
          <w:lang w:val="uk-UA" w:eastAsia="ru-RU" w:bidi="uk-UA"/>
        </w:rPr>
        <w:t xml:space="preserve">: </w:t>
      </w:r>
      <w:hyperlink r:id="rId993" w:anchor="Text" w:history="1">
        <w:r w:rsidRPr="00511005">
          <w:rPr>
            <w:rFonts w:ascii="Arial" w:eastAsia="Times New Roman" w:hAnsi="Arial" w:cs="Arial"/>
            <w:szCs w:val="28"/>
            <w:lang w:eastAsia="ru-RU" w:bidi="uk-UA"/>
          </w:rPr>
          <w:t>https</w:t>
        </w:r>
        <w:r w:rsidRPr="00511005">
          <w:rPr>
            <w:rFonts w:ascii="Arial" w:eastAsia="Times New Roman" w:hAnsi="Arial" w:cs="Arial"/>
            <w:szCs w:val="28"/>
            <w:lang w:val="uk-UA" w:eastAsia="ru-RU" w:bidi="uk-UA"/>
          </w:rPr>
          <w:t>://</w:t>
        </w:r>
        <w:r w:rsidRPr="00511005">
          <w:rPr>
            <w:rFonts w:ascii="Arial" w:eastAsia="Times New Roman" w:hAnsi="Arial" w:cs="Arial"/>
            <w:szCs w:val="28"/>
            <w:lang w:eastAsia="ru-RU" w:bidi="uk-UA"/>
          </w:rPr>
          <w:t>zakon</w:t>
        </w:r>
        <w:r w:rsidRPr="00511005">
          <w:rPr>
            <w:rFonts w:ascii="Arial" w:eastAsia="Times New Roman" w:hAnsi="Arial" w:cs="Arial"/>
            <w:szCs w:val="28"/>
            <w:lang w:val="uk-UA" w:eastAsia="ru-RU" w:bidi="uk-UA"/>
          </w:rPr>
          <w:t>.</w:t>
        </w:r>
        <w:r w:rsidRPr="00511005">
          <w:rPr>
            <w:rFonts w:ascii="Arial" w:eastAsia="Times New Roman" w:hAnsi="Arial" w:cs="Arial"/>
            <w:szCs w:val="28"/>
            <w:lang w:eastAsia="ru-RU" w:bidi="uk-UA"/>
          </w:rPr>
          <w:t>rada</w:t>
        </w:r>
        <w:r w:rsidRPr="00511005">
          <w:rPr>
            <w:rFonts w:ascii="Arial" w:eastAsia="Times New Roman" w:hAnsi="Arial" w:cs="Arial"/>
            <w:szCs w:val="28"/>
            <w:lang w:val="uk-UA" w:eastAsia="ru-RU" w:bidi="uk-UA"/>
          </w:rPr>
          <w:t>.</w:t>
        </w:r>
        <w:r w:rsidRPr="00511005">
          <w:rPr>
            <w:rFonts w:ascii="Arial" w:eastAsia="Times New Roman" w:hAnsi="Arial" w:cs="Arial"/>
            <w:szCs w:val="28"/>
            <w:lang w:eastAsia="ru-RU" w:bidi="uk-UA"/>
          </w:rPr>
          <w:t>gov</w:t>
        </w:r>
        <w:r w:rsidRPr="00511005">
          <w:rPr>
            <w:rFonts w:ascii="Arial" w:eastAsia="Times New Roman" w:hAnsi="Arial" w:cs="Arial"/>
            <w:szCs w:val="28"/>
            <w:lang w:val="uk-UA" w:eastAsia="ru-RU" w:bidi="uk-UA"/>
          </w:rPr>
          <w:t>.</w:t>
        </w:r>
        <w:r w:rsidRPr="00511005">
          <w:rPr>
            <w:rFonts w:ascii="Arial" w:eastAsia="Times New Roman" w:hAnsi="Arial" w:cs="Arial"/>
            <w:szCs w:val="28"/>
            <w:lang w:eastAsia="ru-RU" w:bidi="uk-UA"/>
          </w:rPr>
          <w:t>ua</w:t>
        </w:r>
        <w:r w:rsidRPr="00511005">
          <w:rPr>
            <w:rFonts w:ascii="Arial" w:eastAsia="Times New Roman" w:hAnsi="Arial" w:cs="Arial"/>
            <w:szCs w:val="28"/>
            <w:lang w:val="uk-UA" w:eastAsia="ru-RU" w:bidi="uk-UA"/>
          </w:rPr>
          <w:t>/</w:t>
        </w:r>
        <w:r w:rsidRPr="00511005">
          <w:rPr>
            <w:rFonts w:ascii="Arial" w:eastAsia="Times New Roman" w:hAnsi="Arial" w:cs="Arial"/>
            <w:szCs w:val="28"/>
            <w:lang w:eastAsia="ru-RU" w:bidi="uk-UA"/>
          </w:rPr>
          <w:t>laws</w:t>
        </w:r>
        <w:r w:rsidRPr="00511005">
          <w:rPr>
            <w:rFonts w:ascii="Arial" w:eastAsia="Times New Roman" w:hAnsi="Arial" w:cs="Arial"/>
            <w:szCs w:val="28"/>
            <w:lang w:val="uk-UA" w:eastAsia="ru-RU" w:bidi="uk-UA"/>
          </w:rPr>
          <w:t>/</w:t>
        </w:r>
        <w:r w:rsidRPr="00511005">
          <w:rPr>
            <w:rFonts w:ascii="Arial" w:eastAsia="Times New Roman" w:hAnsi="Arial" w:cs="Arial"/>
            <w:szCs w:val="28"/>
            <w:lang w:eastAsia="ru-RU" w:bidi="uk-UA"/>
          </w:rPr>
          <w:t>show</w:t>
        </w:r>
        <w:r w:rsidRPr="00511005">
          <w:rPr>
            <w:rFonts w:ascii="Arial" w:eastAsia="Times New Roman" w:hAnsi="Arial" w:cs="Arial"/>
            <w:szCs w:val="28"/>
            <w:lang w:val="uk-UA" w:eastAsia="ru-RU" w:bidi="uk-UA"/>
          </w:rPr>
          <w:t>/828-2023-п#</w:t>
        </w:r>
        <w:r w:rsidRPr="00511005">
          <w:rPr>
            <w:rFonts w:ascii="Arial" w:eastAsia="Times New Roman" w:hAnsi="Arial" w:cs="Arial"/>
            <w:szCs w:val="28"/>
            <w:lang w:eastAsia="ru-RU" w:bidi="uk-UA"/>
          </w:rPr>
          <w:t>Text</w:t>
        </w:r>
      </w:hyperlink>
      <w:r w:rsidRPr="00511005">
        <w:rPr>
          <w:rFonts w:ascii="Arial" w:eastAsia="Times New Roman" w:hAnsi="Arial" w:cs="Arial"/>
          <w:szCs w:val="28"/>
          <w:lang w:val="uk-UA" w:eastAsia="ru-RU" w:bidi="uk-UA"/>
        </w:rPr>
        <w:t xml:space="preserve"> (дата звернення: 11.04.2025)</w:t>
      </w:r>
    </w:p>
    <w:p w14:paraId="35081C67" w14:textId="77777777" w:rsidR="00B67481" w:rsidRPr="00511005" w:rsidRDefault="00B67481" w:rsidP="003F6A5D">
      <w:pPr>
        <w:widowControl w:val="0"/>
        <w:numPr>
          <w:ilvl w:val="0"/>
          <w:numId w:val="258"/>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szCs w:val="28"/>
          <w:lang w:val="uk-UA" w:eastAsia="ru-RU" w:bidi="uk-UA"/>
        </w:rPr>
      </w:pPr>
      <w:r w:rsidRPr="00511005">
        <w:rPr>
          <w:rFonts w:ascii="Arial" w:eastAsia="Times New Roman" w:hAnsi="Arial" w:cs="Arial"/>
          <w:szCs w:val="28"/>
          <w:lang w:eastAsia="ru-RU" w:bidi="uk-UA"/>
        </w:rPr>
        <w:t>Динник Ірина Законодавче регулювання адміністративних послуг в умовах воєнного стану. </w:t>
      </w:r>
      <w:r w:rsidRPr="00511005">
        <w:rPr>
          <w:rFonts w:ascii="Arial" w:eastAsia="Times New Roman" w:hAnsi="Arial" w:cs="Arial"/>
          <w:i/>
          <w:iCs/>
          <w:szCs w:val="28"/>
          <w:lang w:val="en-US" w:eastAsia="ru-RU" w:bidi="uk-UA"/>
        </w:rPr>
        <w:t>Foreign trade: economics, finance, law</w:t>
      </w:r>
      <w:r w:rsidRPr="00511005">
        <w:rPr>
          <w:rFonts w:ascii="Arial" w:eastAsia="Times New Roman" w:hAnsi="Arial" w:cs="Arial"/>
          <w:szCs w:val="28"/>
          <w:lang w:val="en-US" w:eastAsia="ru-RU" w:bidi="uk-UA"/>
        </w:rPr>
        <w:t xml:space="preserve"> 134.3 (2024): 26-36.URL: </w:t>
      </w:r>
      <w:hyperlink r:id="rId994" w:history="1">
        <w:r w:rsidRPr="00511005">
          <w:rPr>
            <w:rFonts w:ascii="Arial" w:eastAsia="Times New Roman" w:hAnsi="Arial" w:cs="Arial"/>
            <w:szCs w:val="28"/>
            <w:lang w:val="en-US" w:eastAsia="ru-RU" w:bidi="uk-UA"/>
          </w:rPr>
          <w:t>https://journals.knute.edu.ua/foreign-trade/article/view/2091/1897</w:t>
        </w:r>
      </w:hyperlink>
      <w:r w:rsidRPr="00511005">
        <w:rPr>
          <w:rFonts w:ascii="Arial" w:eastAsia="Times New Roman" w:hAnsi="Arial" w:cs="Arial"/>
          <w:szCs w:val="28"/>
          <w:lang w:val="en-US" w:eastAsia="ru-RU" w:bidi="uk-UA"/>
        </w:rPr>
        <w:t xml:space="preserve"> (</w:t>
      </w:r>
      <w:r w:rsidRPr="00511005">
        <w:rPr>
          <w:rFonts w:ascii="Arial" w:eastAsia="Times New Roman" w:hAnsi="Arial" w:cs="Arial"/>
          <w:szCs w:val="28"/>
          <w:lang w:eastAsia="ru-RU" w:bidi="uk-UA"/>
        </w:rPr>
        <w:t>дата</w:t>
      </w:r>
      <w:r w:rsidRPr="00511005">
        <w:rPr>
          <w:rFonts w:ascii="Arial" w:eastAsia="Times New Roman" w:hAnsi="Arial" w:cs="Arial"/>
          <w:szCs w:val="28"/>
          <w:lang w:val="en-US" w:eastAsia="ru-RU" w:bidi="uk-UA"/>
        </w:rPr>
        <w:t xml:space="preserve"> </w:t>
      </w:r>
      <w:r w:rsidRPr="00511005">
        <w:rPr>
          <w:rFonts w:ascii="Arial" w:eastAsia="Times New Roman" w:hAnsi="Arial" w:cs="Arial"/>
          <w:szCs w:val="28"/>
          <w:lang w:eastAsia="ru-RU" w:bidi="uk-UA"/>
        </w:rPr>
        <w:t>звернення</w:t>
      </w:r>
      <w:r w:rsidRPr="00511005">
        <w:rPr>
          <w:rFonts w:ascii="Arial" w:eastAsia="Times New Roman" w:hAnsi="Arial" w:cs="Arial"/>
          <w:szCs w:val="28"/>
          <w:lang w:val="en-US" w:eastAsia="ru-RU" w:bidi="uk-UA"/>
        </w:rPr>
        <w:t>: 11.04.2025)</w:t>
      </w:r>
    </w:p>
    <w:p w14:paraId="13366214" w14:textId="77777777" w:rsidR="00B67481" w:rsidRPr="00511005" w:rsidRDefault="00B67481" w:rsidP="003A292D">
      <w:pPr>
        <w:spacing w:line="264" w:lineRule="auto"/>
        <w:rPr>
          <w:rFonts w:ascii="Arial" w:eastAsia="Calibri" w:hAnsi="Arial" w:cs="Arial"/>
          <w:b/>
          <w:bCs/>
          <w:iCs/>
          <w:szCs w:val="28"/>
          <w:lang w:val="uk-UA"/>
        </w:rPr>
      </w:pPr>
    </w:p>
    <w:p w14:paraId="285D57C2" w14:textId="279C6C80" w:rsidR="00B67481" w:rsidRPr="00511005" w:rsidRDefault="007B2628" w:rsidP="003A292D">
      <w:pPr>
        <w:spacing w:line="264" w:lineRule="auto"/>
        <w:rPr>
          <w:rFonts w:ascii="Arial" w:eastAsia="Calibri" w:hAnsi="Arial" w:cs="Arial"/>
          <w:iCs/>
          <w:szCs w:val="28"/>
          <w:lang w:val="uk-UA"/>
        </w:rPr>
      </w:pPr>
      <w:r w:rsidRPr="00511005">
        <w:rPr>
          <w:rFonts w:ascii="Arial" w:eastAsia="Calibri" w:hAnsi="Arial" w:cs="Arial"/>
          <w:b/>
          <w:bCs/>
          <w:i/>
          <w:iCs/>
          <w:szCs w:val="28"/>
          <w:lang w:val="uk-UA"/>
        </w:rPr>
        <w:t xml:space="preserve">Ключові слова: </w:t>
      </w:r>
      <w:r w:rsidR="00B67481" w:rsidRPr="00511005">
        <w:rPr>
          <w:rFonts w:ascii="Arial" w:eastAsia="Calibri" w:hAnsi="Arial" w:cs="Arial"/>
          <w:iCs/>
          <w:szCs w:val="28"/>
          <w:lang w:val="uk-UA"/>
        </w:rPr>
        <w:t>адміністративні послуги, воєнний стан, державні органи, державна реєстрація.</w:t>
      </w:r>
    </w:p>
    <w:p w14:paraId="1FFC73B0" w14:textId="17F71FE2" w:rsidR="00B67481" w:rsidRPr="00511005" w:rsidRDefault="007B2628" w:rsidP="003A292D">
      <w:pPr>
        <w:spacing w:line="264" w:lineRule="auto"/>
        <w:rPr>
          <w:rFonts w:ascii="Arial" w:eastAsia="Calibri" w:hAnsi="Arial" w:cs="Arial"/>
          <w:iCs/>
          <w:szCs w:val="28"/>
          <w:lang w:val="en-US"/>
        </w:rPr>
      </w:pPr>
      <w:r w:rsidRPr="00511005">
        <w:rPr>
          <w:rFonts w:ascii="Arial" w:eastAsia="Calibri" w:hAnsi="Arial" w:cs="Arial"/>
          <w:b/>
          <w:bCs/>
          <w:i/>
          <w:iCs/>
          <w:szCs w:val="28"/>
          <w:lang w:val="en-US"/>
        </w:rPr>
        <w:t xml:space="preserve">Key words: </w:t>
      </w:r>
      <w:r w:rsidR="00B67481" w:rsidRPr="00511005">
        <w:rPr>
          <w:rFonts w:ascii="Arial" w:eastAsia="Calibri" w:hAnsi="Arial" w:cs="Arial"/>
          <w:iCs/>
          <w:szCs w:val="28"/>
          <w:lang w:val="en-US"/>
        </w:rPr>
        <w:t>administrative services, martial law, state bodies, state registration.</w:t>
      </w:r>
    </w:p>
    <w:p w14:paraId="32EEE1FB" w14:textId="7C871D29" w:rsidR="00B67481" w:rsidRPr="00511005" w:rsidRDefault="007B2628" w:rsidP="003A292D">
      <w:pPr>
        <w:spacing w:line="264" w:lineRule="auto"/>
        <w:rPr>
          <w:rFonts w:ascii="Arial" w:eastAsia="Calibri" w:hAnsi="Arial" w:cs="Arial"/>
          <w:bCs/>
          <w:i/>
          <w:iCs/>
          <w:szCs w:val="28"/>
          <w:lang w:val="uk-UA"/>
        </w:rPr>
      </w:pPr>
      <w:r w:rsidRPr="00511005">
        <w:rPr>
          <w:rFonts w:ascii="Arial" w:eastAsia="Calibri" w:hAnsi="Arial" w:cs="Arial"/>
          <w:b/>
          <w:i/>
          <w:iCs/>
          <w:szCs w:val="28"/>
        </w:rPr>
        <w:t xml:space="preserve">Науковий керівник: </w:t>
      </w:r>
      <w:r w:rsidR="00B67481" w:rsidRPr="00511005">
        <w:rPr>
          <w:rFonts w:ascii="Arial" w:eastAsia="Calibri" w:hAnsi="Arial" w:cs="Arial"/>
          <w:i/>
          <w:iCs/>
          <w:szCs w:val="28"/>
          <w:lang w:val="uk-UA"/>
        </w:rPr>
        <w:t>к.ю.н., доцент</w:t>
      </w:r>
      <w:r w:rsidR="00B67481" w:rsidRPr="00511005">
        <w:rPr>
          <w:rFonts w:ascii="Arial" w:eastAsia="Calibri" w:hAnsi="Arial" w:cs="Arial"/>
          <w:i/>
          <w:iCs/>
          <w:szCs w:val="28"/>
        </w:rPr>
        <w:t xml:space="preserve"> </w:t>
      </w:r>
      <w:r w:rsidR="00B67481" w:rsidRPr="00511005">
        <w:rPr>
          <w:rFonts w:ascii="Arial" w:eastAsia="Calibri" w:hAnsi="Arial" w:cs="Arial"/>
          <w:bCs/>
          <w:i/>
          <w:iCs/>
          <w:szCs w:val="28"/>
        </w:rPr>
        <w:t xml:space="preserve">Панфілов </w:t>
      </w:r>
      <w:r w:rsidR="00B67481" w:rsidRPr="00511005">
        <w:rPr>
          <w:rFonts w:ascii="Arial" w:eastAsia="Calibri" w:hAnsi="Arial" w:cs="Arial"/>
          <w:bCs/>
          <w:i/>
          <w:iCs/>
          <w:szCs w:val="28"/>
          <w:lang w:val="uk-UA"/>
        </w:rPr>
        <w:t>О.Є.</w:t>
      </w:r>
    </w:p>
    <w:p w14:paraId="6676AAF3" w14:textId="71890C42" w:rsidR="00DE2391" w:rsidRPr="00511005" w:rsidRDefault="00DE2391" w:rsidP="003A292D">
      <w:pPr>
        <w:spacing w:line="264" w:lineRule="auto"/>
        <w:rPr>
          <w:rFonts w:ascii="Arial" w:eastAsia="Calibri" w:hAnsi="Arial" w:cs="Arial"/>
          <w:bCs/>
          <w:i/>
          <w:iCs/>
          <w:szCs w:val="28"/>
          <w:lang w:val="uk-UA"/>
        </w:rPr>
      </w:pPr>
    </w:p>
    <w:p w14:paraId="31A833F7" w14:textId="77777777" w:rsidR="00DE2391" w:rsidRPr="00511005" w:rsidRDefault="00DE2391" w:rsidP="003A292D">
      <w:pPr>
        <w:spacing w:line="264" w:lineRule="auto"/>
        <w:rPr>
          <w:rFonts w:ascii="Arial" w:eastAsia="Calibri" w:hAnsi="Arial" w:cs="Arial"/>
          <w:bCs/>
          <w:i/>
          <w:iCs/>
          <w:szCs w:val="28"/>
          <w:lang w:val="uk-UA"/>
        </w:rPr>
      </w:pPr>
    </w:p>
    <w:p w14:paraId="1160391F" w14:textId="77777777" w:rsidR="00B67481" w:rsidRPr="00511005" w:rsidRDefault="00B67481"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rPr>
        <w:t xml:space="preserve">Продан </w:t>
      </w:r>
      <w:r w:rsidRPr="00511005">
        <w:rPr>
          <w:rFonts w:ascii="Arial" w:eastAsia="Calibri" w:hAnsi="Arial" w:cs="Arial"/>
          <w:b/>
          <w:i/>
          <w:szCs w:val="28"/>
          <w:lang w:val="uk-UA"/>
        </w:rPr>
        <w:t>Дарʼя Дмитрівна</w:t>
      </w:r>
    </w:p>
    <w:p w14:paraId="1CDE6B77" w14:textId="5263CE96"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1BCD7AD1"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4ED5B73"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EEA3D81" w14:textId="77777777" w:rsidR="00B67481" w:rsidRPr="00511005" w:rsidRDefault="00B67481" w:rsidP="003A292D">
      <w:pPr>
        <w:spacing w:line="264" w:lineRule="auto"/>
        <w:ind w:firstLine="0"/>
        <w:rPr>
          <w:rFonts w:ascii="Arial" w:eastAsia="Calibri" w:hAnsi="Arial" w:cs="Arial"/>
          <w:b/>
          <w:szCs w:val="28"/>
          <w:lang w:val="uk-UA"/>
        </w:rPr>
      </w:pPr>
    </w:p>
    <w:p w14:paraId="5B4666B0" w14:textId="77777777" w:rsidR="00B67481" w:rsidRPr="00511005" w:rsidRDefault="00B67481" w:rsidP="003A292D">
      <w:pPr>
        <w:spacing w:line="264" w:lineRule="auto"/>
        <w:ind w:firstLine="0"/>
        <w:jc w:val="center"/>
        <w:rPr>
          <w:rFonts w:ascii="Arial" w:eastAsia="Calibri" w:hAnsi="Arial" w:cs="Arial"/>
          <w:b/>
          <w:szCs w:val="28"/>
        </w:rPr>
      </w:pPr>
      <w:r w:rsidRPr="00511005">
        <w:rPr>
          <w:rFonts w:ascii="Arial" w:eastAsia="Calibri" w:hAnsi="Arial" w:cs="Arial"/>
          <w:b/>
          <w:szCs w:val="28"/>
          <w:lang w:val="uk-UA"/>
        </w:rPr>
        <w:t>ВПЛИВ ВОЄННОГО СТАНУ НА АДМІНІСТРАТИВНІ ПРОЦЕДУРИ В УКРАЇНІ</w:t>
      </w:r>
    </w:p>
    <w:p w14:paraId="36DE4C33"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Запровадження воєнного стану в Україні внаслідок повномасштабної агресії Російської Федерації стало безпрецедентним викликом для державного управління. Адміністративні процедури, що зазвичай орієнтовані на забезпечення стабільності, відкритості й законності, зазнали суттєвих змін.</w:t>
      </w:r>
    </w:p>
    <w:p w14:paraId="091E0757" w14:textId="77777777" w:rsidR="00B67481" w:rsidRPr="00511005" w:rsidRDefault="00B67481" w:rsidP="003A292D">
      <w:pPr>
        <w:tabs>
          <w:tab w:val="left" w:pos="1620"/>
        </w:tabs>
        <w:spacing w:line="264" w:lineRule="auto"/>
        <w:rPr>
          <w:rFonts w:ascii="Arial" w:eastAsia="Calibri" w:hAnsi="Arial" w:cs="Arial"/>
          <w:szCs w:val="28"/>
          <w:lang w:val="uk-UA"/>
        </w:rPr>
      </w:pPr>
      <w:r w:rsidRPr="00511005">
        <w:rPr>
          <w:rFonts w:ascii="Arial" w:eastAsia="Calibri" w:hAnsi="Arial" w:cs="Arial"/>
          <w:szCs w:val="28"/>
          <w:lang w:val="uk-UA"/>
        </w:rPr>
        <w:t xml:space="preserve">В умовах воєнного стану адміністративні послуги, пов’язані з реєстрацією народження та смерті, а також із видачею документів, що посвідчують особу, залишаються надзвичайно важливими. Вимушене </w:t>
      </w:r>
      <w:r w:rsidRPr="00511005">
        <w:rPr>
          <w:rFonts w:ascii="Arial" w:eastAsia="Calibri" w:hAnsi="Arial" w:cs="Arial"/>
          <w:szCs w:val="28"/>
          <w:lang w:val="uk-UA"/>
        </w:rPr>
        <w:lastRenderedPageBreak/>
        <w:t>переміщення населення та складні життєві обставини, зокрема відсутність житла і фінансових ресурсів, спричинили підвищену потребу в доступних публічних послугах, орієнтованих на надання соціальної підтримки та відновлення втрачених чи пошкоджених документів. Проаналізуємо найбільш запитувані адміністративні послуги під час дії воєнного стану та зміни в їхньому правовому регулюванні.</w:t>
      </w:r>
    </w:p>
    <w:p w14:paraId="600C3AAB" w14:textId="77777777" w:rsidR="00B67481" w:rsidRPr="00511005" w:rsidRDefault="00B67481" w:rsidP="003A292D">
      <w:pPr>
        <w:tabs>
          <w:tab w:val="left" w:pos="1620"/>
        </w:tabs>
        <w:spacing w:line="264" w:lineRule="auto"/>
        <w:rPr>
          <w:rFonts w:ascii="Arial" w:eastAsia="Calibri" w:hAnsi="Arial" w:cs="Arial"/>
          <w:szCs w:val="28"/>
          <w:lang w:val="uk-UA"/>
        </w:rPr>
      </w:pPr>
      <w:r w:rsidRPr="00511005">
        <w:rPr>
          <w:rFonts w:ascii="Arial" w:eastAsia="Calibri" w:hAnsi="Arial" w:cs="Arial"/>
          <w:szCs w:val="28"/>
          <w:lang w:val="uk-UA"/>
        </w:rPr>
        <w:t>Для забезпечення безперервного доступу громадян до адміністративних послуг у період воєнного стану було внесено зміни до низки нормативно-правових актів. Зокрема, постановою Кабінету Міністрів України «Деякі питання реалізації прав, свобод і законних інтересів фізичних та юридичних осіб» передбачено призупинення строків надання адміністративних послуг їх суб’єктами та строків видачі документів дозвільного характеру на період воєнного стану в Україні [2]. Водночас встановлено винятки для строків надання послуг у сферах державної реєстрації юридичних осіб і фізичних осіб-підприємців, реєстрації речових прав на нерухоме майно та їх обтяжень, а також державної реєстрації актів цивільного стану суб’єктами, які продовжують свою діяльність під час воєнного стану.</w:t>
      </w:r>
    </w:p>
    <w:p w14:paraId="50339673" w14:textId="77777777" w:rsidR="00B67481" w:rsidRPr="00511005" w:rsidRDefault="00B67481" w:rsidP="003A292D">
      <w:pPr>
        <w:tabs>
          <w:tab w:val="left" w:pos="1620"/>
        </w:tabs>
        <w:spacing w:line="264" w:lineRule="auto"/>
        <w:rPr>
          <w:rFonts w:ascii="Arial" w:eastAsia="Calibri" w:hAnsi="Arial" w:cs="Arial"/>
          <w:szCs w:val="28"/>
          <w:lang w:val="uk-UA"/>
        </w:rPr>
      </w:pPr>
      <w:r w:rsidRPr="00511005">
        <w:rPr>
          <w:rFonts w:ascii="Arial" w:eastAsia="Calibri" w:hAnsi="Arial" w:cs="Arial"/>
          <w:szCs w:val="28"/>
          <w:lang w:val="uk-UA"/>
        </w:rPr>
        <w:t>Крім того, на час дії воєнного стану запроваджено особливості надання окремих адміністративних послуг. Зокрема, особливого значення набуло надання послуг із видачі паспортних та інших документів, що посвідчують особу, з огляду на додаткові заходи перевірки документів. Велика кількість громадян, змушених залишити свої домівки через бойові дії, втратили відповідні документи. У зв’язку з цим актуальним стало питання продовження строку дії паспортних документів, тимчасового відновлення процедури внесення фотографій та даних про дітей до закордонних паспортів їхніх батьків або законних представників, а також впровадження електронного документа (єДокумент).</w:t>
      </w:r>
    </w:p>
    <w:p w14:paraId="661F9BEE" w14:textId="77777777" w:rsidR="00B67481" w:rsidRPr="00511005" w:rsidRDefault="00B67481" w:rsidP="003A292D">
      <w:pPr>
        <w:tabs>
          <w:tab w:val="left" w:pos="1620"/>
        </w:tabs>
        <w:spacing w:line="264" w:lineRule="auto"/>
        <w:rPr>
          <w:rFonts w:ascii="Arial" w:eastAsia="Calibri" w:hAnsi="Arial" w:cs="Arial"/>
          <w:szCs w:val="28"/>
          <w:lang w:val="uk-UA"/>
        </w:rPr>
      </w:pPr>
      <w:r w:rsidRPr="00511005">
        <w:rPr>
          <w:rFonts w:ascii="Arial" w:eastAsia="Calibri" w:hAnsi="Arial" w:cs="Arial"/>
          <w:szCs w:val="28"/>
          <w:lang w:val="uk-UA"/>
        </w:rPr>
        <w:t>У період воєнного стану значно ускладнилося питання реєстрації смерті на тимчасово окупованих територіях та у зонах бойових дій. Міністерство охорони здоров’я України своїм наказом частково врегулювало порядок встановлення факту смерті. Зокрема, було дозволено поховання тіл за умов обов’язкового огляду трупа на місці його виявлення з оформленням відповідного протоколу (опису трупа із зазначенням трупних змін та характеру і локалізації тілесних ушкоджень). У разі наявності ознак насильницької смерті також обов’язково проводиться фотофіксація пошкоджень для доповнення до опису. Копії відповідних документів разом із заповненою довідкою про причину смерті підлягають зберіганню в закладі охорони здоров’я до окремого розпорядження [1]. Водночас через об’єктивні обставини не завжди вдається дотриматися встановленої процедури поховання. Так, у Маріуполі в періоди відносного затишшя тисячі цивільних були поховані у братських могилах без ідентифікації.</w:t>
      </w:r>
    </w:p>
    <w:p w14:paraId="65ADF7B7" w14:textId="77777777" w:rsidR="00B67481" w:rsidRPr="00511005" w:rsidRDefault="00B67481" w:rsidP="003A292D">
      <w:pPr>
        <w:tabs>
          <w:tab w:val="left" w:pos="1620"/>
        </w:tabs>
        <w:spacing w:line="264" w:lineRule="auto"/>
        <w:rPr>
          <w:rFonts w:ascii="Arial" w:eastAsia="Calibri" w:hAnsi="Arial" w:cs="Arial"/>
          <w:szCs w:val="28"/>
          <w:lang w:val="uk-UA"/>
        </w:rPr>
      </w:pPr>
      <w:r w:rsidRPr="00511005">
        <w:rPr>
          <w:rFonts w:ascii="Arial" w:eastAsia="Calibri" w:hAnsi="Arial" w:cs="Arial"/>
          <w:szCs w:val="28"/>
          <w:lang w:val="uk-UA"/>
        </w:rPr>
        <w:lastRenderedPageBreak/>
        <w:t>Щодо правил державної реєстрації актів цивільного стану, що регулюють порядок укладення шлюбу в Україні, вони залишаються чинними навіть під час воєнного стану. Однак деякі зміни були внесені Постановою Кабінету Міністрів України «Про деякі питання державної реєстрації шлюбу в умовах воєнного стану». Вони стосуються укладення шлюбу, якщо один із наречених є військовослужбовцем ЗСУ, СБУ, Служби зовнішньої розвідки, Державної прикордонної служби, Управління державної охорони, Національної гвардії, поліцейським чи працівником ДБР, Державної кримінально-виконавчої служби, НАБУ, Бюро економічної безпеки або закладу охорони здоров’я. У таких випадках реєстрація шлюбу може здійснюватися без особистої присутності нареченого (нареченої) у відділі державної реєстрації актів цивільного стану. Також факт укладення шлюбу може бути підтверджений актом, складеним безпосереднім командиром (керівником) військовослужбовця, поліцейського або іншої уповноваженої особи. Акт скріплюється гербовою печаткою відповідного органу і надсилається до будь-якого відділу державної реєстрації актів цивільного стану для оформлення актового запису про шлюб у паперовій формі та внесення даних до Державного реєстру актів цивільного стану громадян [3].</w:t>
      </w:r>
    </w:p>
    <w:p w14:paraId="5E0503CA" w14:textId="77777777" w:rsidR="00B67481" w:rsidRPr="00511005" w:rsidRDefault="00B67481" w:rsidP="003A292D">
      <w:pPr>
        <w:tabs>
          <w:tab w:val="left" w:pos="1620"/>
        </w:tabs>
        <w:spacing w:line="264" w:lineRule="auto"/>
        <w:rPr>
          <w:rFonts w:ascii="Arial" w:eastAsia="Calibri" w:hAnsi="Arial" w:cs="Arial"/>
          <w:szCs w:val="28"/>
          <w:lang w:val="uk-UA"/>
        </w:rPr>
      </w:pPr>
      <w:r w:rsidRPr="00511005">
        <w:rPr>
          <w:rFonts w:ascii="Arial" w:eastAsia="Calibri" w:hAnsi="Arial" w:cs="Arial"/>
          <w:szCs w:val="28"/>
          <w:lang w:val="uk-UA"/>
        </w:rPr>
        <w:t>Окремої уваги потребують адміністративні послуги соціального спрямування, особливо для осіб, які втратили близьких, житло чи майно. Закон України «Про забезпечення прав і свобод внутрішньо переміщених осіб» у статті 1 визначає, що внутрішньо переміщеною особою (ВПО) є громадянин України, іноземець або особа без громадянства, яка перебуває на законних підставах на території України та має право на постійне проживання, і яку змусили залишити своє місце проживання внаслідок збройного конфлікту, тимчасової окупації, масових проявів насильства, порушень прав людини чи надзвичайних ситуацій природного або техногенного характеру [4]. Отримати статус ВПО можна через Центри надання адміністративних послуг або за допомогою Порталу «Дія» [5].</w:t>
      </w:r>
    </w:p>
    <w:p w14:paraId="016F5433" w14:textId="77777777" w:rsidR="00B67481" w:rsidRPr="00511005" w:rsidRDefault="00B67481" w:rsidP="003A292D">
      <w:pPr>
        <w:tabs>
          <w:tab w:val="left" w:pos="1620"/>
        </w:tabs>
        <w:spacing w:line="264" w:lineRule="auto"/>
        <w:rPr>
          <w:rFonts w:ascii="Arial" w:eastAsia="Calibri" w:hAnsi="Arial" w:cs="Arial"/>
          <w:szCs w:val="28"/>
          <w:lang w:val="uk-UA"/>
        </w:rPr>
      </w:pPr>
      <w:r w:rsidRPr="00511005">
        <w:rPr>
          <w:rFonts w:ascii="Arial" w:eastAsia="Calibri" w:hAnsi="Arial" w:cs="Arial"/>
          <w:szCs w:val="28"/>
          <w:lang w:val="uk-UA"/>
        </w:rPr>
        <w:t>Отже, в</w:t>
      </w:r>
      <w:r w:rsidRPr="00511005">
        <w:rPr>
          <w:rFonts w:ascii="Arial" w:eastAsia="Calibri" w:hAnsi="Arial" w:cs="Arial"/>
          <w:szCs w:val="28"/>
        </w:rPr>
        <w:t>оєнний стан істотно вплинув на адміністративні процедури в Україні, спричинивши спрощення, призупинення чи зміну деяких із них. Однак такі зміни мають здійснюватися з урахуванням принципів верховенства права та дотримання прав людини. Удосконалення правового регулювання адміністративних процедур в умовах воєнного стану є необхідною передумовою для забезпечення стабільності державного управління й захисту громадян навіть у надзвичайних обставинах.</w:t>
      </w:r>
    </w:p>
    <w:p w14:paraId="26FDC6A6" w14:textId="77777777" w:rsidR="00B67481" w:rsidRPr="00511005" w:rsidRDefault="00B67481" w:rsidP="003A292D">
      <w:pPr>
        <w:spacing w:line="264" w:lineRule="auto"/>
        <w:rPr>
          <w:rFonts w:ascii="Arial" w:eastAsia="Calibri" w:hAnsi="Arial" w:cs="Arial"/>
          <w:szCs w:val="28"/>
        </w:rPr>
      </w:pPr>
    </w:p>
    <w:p w14:paraId="70BAA8E4" w14:textId="1287A6D2" w:rsidR="00B67481" w:rsidRPr="00511005" w:rsidRDefault="007B2628" w:rsidP="007B2628">
      <w:pPr>
        <w:spacing w:line="264" w:lineRule="auto"/>
        <w:ind w:firstLine="851"/>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43EE2F52" w14:textId="77777777" w:rsidR="00B67481" w:rsidRPr="00511005" w:rsidRDefault="00B67481" w:rsidP="003F6A5D">
      <w:pPr>
        <w:numPr>
          <w:ilvl w:val="0"/>
          <w:numId w:val="259"/>
        </w:numPr>
        <w:spacing w:line="264" w:lineRule="auto"/>
        <w:ind w:left="0" w:firstLine="851"/>
        <w:contextualSpacing/>
        <w:jc w:val="left"/>
        <w:rPr>
          <w:rFonts w:ascii="Arial" w:eastAsia="Times New Roman" w:hAnsi="Arial" w:cs="Arial"/>
          <w:szCs w:val="28"/>
          <w:lang w:eastAsia="ru-RU"/>
        </w:rPr>
      </w:pPr>
      <w:r w:rsidRPr="00511005">
        <w:rPr>
          <w:rFonts w:ascii="Arial" w:eastAsia="Times New Roman" w:hAnsi="Arial" w:cs="Arial"/>
          <w:szCs w:val="28"/>
          <w:lang w:val="uk-UA" w:eastAsia="ru-RU"/>
        </w:rPr>
        <w:t>: ТОВ «Софія-</w:t>
      </w:r>
      <w:r w:rsidRPr="00511005">
        <w:rPr>
          <w:rFonts w:ascii="Arial" w:eastAsia="Times New Roman" w:hAnsi="Arial" w:cs="Arial"/>
          <w:szCs w:val="28"/>
          <w:lang w:eastAsia="ru-RU"/>
        </w:rPr>
        <w:t>A</w:t>
      </w:r>
      <w:r w:rsidRPr="00511005">
        <w:rPr>
          <w:rFonts w:ascii="Arial" w:eastAsia="Times New Roman" w:hAnsi="Arial" w:cs="Arial"/>
          <w:szCs w:val="28"/>
          <w:lang w:val="uk-UA" w:eastAsia="ru-RU"/>
        </w:rPr>
        <w:t xml:space="preserve">». 2012. 104 с. 6. Про адміністративні послуги : Закон Верховної Ради України від 06.09.2012 р. Відомості Верховної Ради. 2013. </w:t>
      </w:r>
      <w:r w:rsidRPr="00511005">
        <w:rPr>
          <w:rFonts w:ascii="Arial" w:eastAsia="Times New Roman" w:hAnsi="Arial" w:cs="Arial"/>
          <w:szCs w:val="28"/>
          <w:lang w:eastAsia="ru-RU"/>
        </w:rPr>
        <w:t xml:space="preserve">№ 32. Ст. 409. </w:t>
      </w:r>
    </w:p>
    <w:p w14:paraId="239A4205" w14:textId="77777777" w:rsidR="00B67481" w:rsidRPr="00511005" w:rsidRDefault="00B67481" w:rsidP="003F6A5D">
      <w:pPr>
        <w:numPr>
          <w:ilvl w:val="0"/>
          <w:numId w:val="259"/>
        </w:numPr>
        <w:spacing w:line="264" w:lineRule="auto"/>
        <w:ind w:left="0" w:firstLine="851"/>
        <w:contextualSpacing/>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Надання публічних (адміністративних) послуг як форма забезпечення прав та свобод приватних осіб (Глава 13) у кн.: Адміністративне право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підручник / Ю.П. Битяк (кер.авт.кол.), І.М. Балакарєва. І.В. Бойко та ін</w:t>
      </w:r>
      <w:proofErr w:type="gramStart"/>
      <w:r w:rsidRPr="00511005">
        <w:rPr>
          <w:rFonts w:ascii="Arial" w:eastAsia="Times New Roman" w:hAnsi="Arial" w:cs="Arial"/>
          <w:szCs w:val="28"/>
          <w:lang w:eastAsia="ru-RU"/>
        </w:rPr>
        <w:t>. ;</w:t>
      </w:r>
      <w:proofErr w:type="gramEnd"/>
      <w:r w:rsidRPr="00511005">
        <w:rPr>
          <w:rFonts w:ascii="Arial" w:eastAsia="Times New Roman" w:hAnsi="Arial" w:cs="Arial"/>
          <w:szCs w:val="28"/>
          <w:lang w:eastAsia="ru-RU"/>
        </w:rPr>
        <w:t xml:space="preserve"> за заг. ред. Ю.П. Битяка. </w:t>
      </w:r>
      <w:proofErr w:type="gramStart"/>
      <w:r w:rsidRPr="00511005">
        <w:rPr>
          <w:rFonts w:ascii="Arial" w:eastAsia="Times New Roman" w:hAnsi="Arial" w:cs="Arial"/>
          <w:szCs w:val="28"/>
          <w:lang w:eastAsia="ru-RU"/>
        </w:rPr>
        <w:t>Харків :</w:t>
      </w:r>
      <w:proofErr w:type="gramEnd"/>
      <w:r w:rsidRPr="00511005">
        <w:rPr>
          <w:rFonts w:ascii="Arial" w:eastAsia="Times New Roman" w:hAnsi="Arial" w:cs="Arial"/>
          <w:szCs w:val="28"/>
          <w:lang w:eastAsia="ru-RU"/>
        </w:rPr>
        <w:t xml:space="preserve"> Право, 2020. С. 203–226. </w:t>
      </w:r>
    </w:p>
    <w:p w14:paraId="6FE37C80" w14:textId="77777777" w:rsidR="00B67481" w:rsidRPr="00511005" w:rsidRDefault="00B67481" w:rsidP="003F6A5D">
      <w:pPr>
        <w:numPr>
          <w:ilvl w:val="0"/>
          <w:numId w:val="259"/>
        </w:numPr>
        <w:spacing w:line="264" w:lineRule="auto"/>
        <w:ind w:left="0" w:firstLine="851"/>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введення воєнного стану в </w:t>
      </w:r>
      <w:proofErr w:type="gramStart"/>
      <w:r w:rsidRPr="00511005">
        <w:rPr>
          <w:rFonts w:ascii="Arial" w:eastAsia="Times New Roman" w:hAnsi="Arial" w:cs="Arial"/>
          <w:szCs w:val="28"/>
          <w:lang w:eastAsia="ru-RU"/>
        </w:rPr>
        <w:t>Україні :</w:t>
      </w:r>
      <w:proofErr w:type="gramEnd"/>
      <w:r w:rsidRPr="00511005">
        <w:rPr>
          <w:rFonts w:ascii="Arial" w:eastAsia="Times New Roman" w:hAnsi="Arial" w:cs="Arial"/>
          <w:szCs w:val="28"/>
          <w:lang w:eastAsia="ru-RU"/>
        </w:rPr>
        <w:t xml:space="preserve"> Указ Президента України від 24.02.2022 № 64/2022. URL: https://zakon.rada.gov.ua/laws/ show/64/2022#n2. </w:t>
      </w:r>
    </w:p>
    <w:p w14:paraId="052C2DAB" w14:textId="77777777" w:rsidR="00B67481" w:rsidRPr="00511005" w:rsidRDefault="00B67481" w:rsidP="003F6A5D">
      <w:pPr>
        <w:numPr>
          <w:ilvl w:val="0"/>
          <w:numId w:val="259"/>
        </w:numPr>
        <w:spacing w:line="264" w:lineRule="auto"/>
        <w:ind w:left="0" w:firstLine="851"/>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Про зупинення строків надання адміністративних послуг та видачі документів дозвільного </w:t>
      </w:r>
      <w:proofErr w:type="gramStart"/>
      <w:r w:rsidRPr="00511005">
        <w:rPr>
          <w:rFonts w:ascii="Arial" w:eastAsia="Times New Roman" w:hAnsi="Arial" w:cs="Arial"/>
          <w:szCs w:val="28"/>
          <w:lang w:eastAsia="ru-RU"/>
        </w:rPr>
        <w:t>характеру :</w:t>
      </w:r>
      <w:proofErr w:type="gramEnd"/>
      <w:r w:rsidRPr="00511005">
        <w:rPr>
          <w:rFonts w:ascii="Arial" w:eastAsia="Times New Roman" w:hAnsi="Arial" w:cs="Arial"/>
          <w:szCs w:val="28"/>
          <w:lang w:eastAsia="ru-RU"/>
        </w:rPr>
        <w:t xml:space="preserve"> Постанова Кабінету Міністрів України від 28.02.2022 № 165. </w:t>
      </w:r>
      <w:r w:rsidRPr="00511005">
        <w:rPr>
          <w:rFonts w:ascii="Arial" w:eastAsia="Times New Roman" w:hAnsi="Arial" w:cs="Arial"/>
          <w:szCs w:val="28"/>
          <w:lang w:val="pl-PL" w:eastAsia="ru-RU"/>
        </w:rPr>
        <w:t xml:space="preserve">URL: </w:t>
      </w:r>
      <w:hyperlink r:id="rId995" w:anchor="Text" w:history="1">
        <w:r w:rsidRPr="00511005">
          <w:rPr>
            <w:rFonts w:ascii="Arial" w:eastAsia="Times New Roman" w:hAnsi="Arial" w:cs="Arial"/>
            <w:szCs w:val="28"/>
            <w:lang w:val="pl-PL" w:eastAsia="ru-RU"/>
          </w:rPr>
          <w:t>https://zakon.rada.gov.ua/laws/show/165-2022-%D0%BF#Text</w:t>
        </w:r>
      </w:hyperlink>
      <w:r w:rsidRPr="00511005">
        <w:rPr>
          <w:rFonts w:ascii="Arial" w:eastAsia="Times New Roman" w:hAnsi="Arial" w:cs="Arial"/>
          <w:szCs w:val="28"/>
          <w:lang w:val="pl-PL" w:eastAsia="ru-RU"/>
        </w:rPr>
        <w:t xml:space="preserve">. </w:t>
      </w:r>
    </w:p>
    <w:p w14:paraId="0AE0B3A5" w14:textId="77777777" w:rsidR="00B67481" w:rsidRPr="00511005" w:rsidRDefault="00B67481" w:rsidP="003F6A5D">
      <w:pPr>
        <w:numPr>
          <w:ilvl w:val="0"/>
          <w:numId w:val="259"/>
        </w:numPr>
        <w:spacing w:line="264" w:lineRule="auto"/>
        <w:ind w:left="0" w:firstLine="851"/>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Деякі питання застосування єДокумента в період дії воєнного </w:t>
      </w:r>
      <w:proofErr w:type="gramStart"/>
      <w:r w:rsidRPr="00511005">
        <w:rPr>
          <w:rFonts w:ascii="Arial" w:eastAsia="Times New Roman" w:hAnsi="Arial" w:cs="Arial"/>
          <w:szCs w:val="28"/>
          <w:lang w:eastAsia="ru-RU"/>
        </w:rPr>
        <w:t>стану :</w:t>
      </w:r>
      <w:proofErr w:type="gramEnd"/>
      <w:r w:rsidRPr="00511005">
        <w:rPr>
          <w:rFonts w:ascii="Arial" w:eastAsia="Times New Roman" w:hAnsi="Arial" w:cs="Arial"/>
          <w:szCs w:val="28"/>
          <w:lang w:eastAsia="ru-RU"/>
        </w:rPr>
        <w:t xml:space="preserve"> Постанова Кабінету Міністрів України ; Порядок від 10.03.2022 № 248. </w:t>
      </w:r>
      <w:r w:rsidRPr="00511005">
        <w:rPr>
          <w:rFonts w:ascii="Arial" w:eastAsia="Times New Roman" w:hAnsi="Arial" w:cs="Arial"/>
          <w:szCs w:val="28"/>
          <w:lang w:val="pl-PL" w:eastAsia="ru-RU"/>
        </w:rPr>
        <w:t xml:space="preserve">URL: </w:t>
      </w:r>
      <w:hyperlink r:id="rId996" w:anchor="Text" w:history="1">
        <w:r w:rsidRPr="00511005">
          <w:rPr>
            <w:rFonts w:ascii="Arial" w:eastAsia="Times New Roman" w:hAnsi="Arial" w:cs="Arial"/>
            <w:szCs w:val="28"/>
            <w:lang w:val="pl-PL" w:eastAsia="ru-RU"/>
          </w:rPr>
          <w:t>https://zakon.rada.gov.ua/laws/show/248-2022-%D0%BF#Text</w:t>
        </w:r>
      </w:hyperlink>
      <w:r w:rsidRPr="00511005">
        <w:rPr>
          <w:rFonts w:ascii="Arial" w:eastAsia="Times New Roman" w:hAnsi="Arial" w:cs="Arial"/>
          <w:szCs w:val="28"/>
          <w:lang w:val="pl-PL" w:eastAsia="ru-RU"/>
        </w:rPr>
        <w:t xml:space="preserve">. </w:t>
      </w:r>
    </w:p>
    <w:p w14:paraId="69586F18" w14:textId="77777777" w:rsidR="00B67481" w:rsidRPr="00511005" w:rsidRDefault="00B67481" w:rsidP="003A292D">
      <w:pPr>
        <w:spacing w:line="264" w:lineRule="auto"/>
        <w:rPr>
          <w:rFonts w:ascii="Arial" w:eastAsia="Calibri" w:hAnsi="Arial" w:cs="Arial"/>
          <w:b/>
          <w:bCs/>
          <w:iCs/>
          <w:szCs w:val="28"/>
          <w:lang w:val="uk-UA"/>
        </w:rPr>
      </w:pPr>
    </w:p>
    <w:p w14:paraId="00AAE7BB" w14:textId="5CA83B3F" w:rsidR="00B67481" w:rsidRPr="00511005" w:rsidRDefault="007B2628" w:rsidP="003A292D">
      <w:pPr>
        <w:spacing w:line="264" w:lineRule="auto"/>
        <w:rPr>
          <w:rFonts w:ascii="Arial" w:eastAsia="Calibri" w:hAnsi="Arial" w:cs="Arial"/>
          <w:iCs/>
          <w:szCs w:val="28"/>
          <w:lang w:val="uk-UA"/>
        </w:rPr>
      </w:pPr>
      <w:r w:rsidRPr="00511005">
        <w:rPr>
          <w:rFonts w:ascii="Arial" w:eastAsia="Calibri" w:hAnsi="Arial" w:cs="Arial"/>
          <w:b/>
          <w:bCs/>
          <w:i/>
          <w:iCs/>
          <w:szCs w:val="28"/>
          <w:lang w:val="uk-UA"/>
        </w:rPr>
        <w:t xml:space="preserve">Ключові слова: </w:t>
      </w:r>
      <w:r w:rsidR="00B67481" w:rsidRPr="00511005">
        <w:rPr>
          <w:rFonts w:ascii="Arial" w:eastAsia="Calibri" w:hAnsi="Arial" w:cs="Arial"/>
          <w:iCs/>
          <w:szCs w:val="28"/>
          <w:lang w:val="uk-UA"/>
        </w:rPr>
        <w:t>адміністративні послуги, адміністративні процедури, воєнний стан, державна реєстрація.</w:t>
      </w:r>
    </w:p>
    <w:p w14:paraId="378895A6" w14:textId="4963F917" w:rsidR="00B67481" w:rsidRPr="00511005" w:rsidRDefault="007B2628" w:rsidP="003A292D">
      <w:pPr>
        <w:spacing w:line="264" w:lineRule="auto"/>
        <w:rPr>
          <w:rFonts w:ascii="Arial" w:eastAsia="Calibri" w:hAnsi="Arial" w:cs="Arial"/>
          <w:iCs/>
          <w:szCs w:val="28"/>
          <w:lang w:val="en-US"/>
        </w:rPr>
      </w:pPr>
      <w:r w:rsidRPr="00511005">
        <w:rPr>
          <w:rFonts w:ascii="Arial" w:eastAsia="Calibri" w:hAnsi="Arial" w:cs="Arial"/>
          <w:b/>
          <w:bCs/>
          <w:i/>
          <w:iCs/>
          <w:szCs w:val="28"/>
          <w:lang w:val="en-US"/>
        </w:rPr>
        <w:t xml:space="preserve">Key words: </w:t>
      </w:r>
      <w:r w:rsidR="00B67481" w:rsidRPr="00511005">
        <w:rPr>
          <w:rFonts w:ascii="Arial" w:eastAsia="Calibri" w:hAnsi="Arial" w:cs="Arial"/>
          <w:iCs/>
          <w:szCs w:val="28"/>
          <w:lang w:val="en-US"/>
        </w:rPr>
        <w:t>administrative services, administrative procedures, martial law, state registration.</w:t>
      </w:r>
    </w:p>
    <w:p w14:paraId="0DE1DB4C" w14:textId="379A71BA" w:rsidR="00B67481" w:rsidRPr="00511005" w:rsidRDefault="007B2628" w:rsidP="003A292D">
      <w:pPr>
        <w:spacing w:line="264" w:lineRule="auto"/>
        <w:rPr>
          <w:rFonts w:ascii="Arial" w:eastAsia="Calibri" w:hAnsi="Arial" w:cs="Arial"/>
          <w:bCs/>
          <w:i/>
          <w:iCs/>
          <w:szCs w:val="28"/>
          <w:lang w:val="uk-UA"/>
        </w:rPr>
      </w:pPr>
      <w:r w:rsidRPr="00511005">
        <w:rPr>
          <w:rFonts w:ascii="Arial" w:eastAsia="Calibri" w:hAnsi="Arial" w:cs="Arial"/>
          <w:b/>
          <w:i/>
          <w:iCs/>
          <w:szCs w:val="28"/>
        </w:rPr>
        <w:t xml:space="preserve">Науковий керівник: </w:t>
      </w:r>
      <w:r w:rsidR="00B67481" w:rsidRPr="00511005">
        <w:rPr>
          <w:rFonts w:ascii="Arial" w:eastAsia="Calibri" w:hAnsi="Arial" w:cs="Arial"/>
          <w:i/>
          <w:iCs/>
          <w:szCs w:val="28"/>
          <w:lang w:val="uk-UA"/>
        </w:rPr>
        <w:t>к.ю.н., доцент</w:t>
      </w:r>
      <w:r w:rsidR="00B67481" w:rsidRPr="00511005">
        <w:rPr>
          <w:rFonts w:ascii="Arial" w:eastAsia="Calibri" w:hAnsi="Arial" w:cs="Arial"/>
          <w:i/>
          <w:iCs/>
          <w:szCs w:val="28"/>
        </w:rPr>
        <w:t xml:space="preserve"> </w:t>
      </w:r>
      <w:r w:rsidR="00B67481" w:rsidRPr="00511005">
        <w:rPr>
          <w:rFonts w:ascii="Arial" w:eastAsia="Calibri" w:hAnsi="Arial" w:cs="Arial"/>
          <w:bCs/>
          <w:i/>
          <w:iCs/>
          <w:szCs w:val="28"/>
          <w:lang w:val="uk-UA"/>
        </w:rPr>
        <w:t>Козачук Д.А.</w:t>
      </w:r>
    </w:p>
    <w:p w14:paraId="76DF6563" w14:textId="77777777" w:rsidR="001D1A08" w:rsidRPr="00511005" w:rsidRDefault="001D1A08" w:rsidP="003A292D">
      <w:pPr>
        <w:spacing w:line="264" w:lineRule="auto"/>
        <w:ind w:firstLine="0"/>
        <w:jc w:val="left"/>
        <w:rPr>
          <w:rFonts w:ascii="Arial" w:eastAsia="Calibri" w:hAnsi="Arial" w:cs="Arial"/>
          <w:bCs/>
          <w:i/>
          <w:iCs/>
          <w:szCs w:val="28"/>
          <w:lang w:val="uk-UA"/>
        </w:rPr>
      </w:pPr>
    </w:p>
    <w:p w14:paraId="35415F0E" w14:textId="77777777" w:rsidR="001D1A08" w:rsidRPr="00511005" w:rsidRDefault="001D1A08" w:rsidP="003A292D">
      <w:pPr>
        <w:spacing w:line="264" w:lineRule="auto"/>
        <w:ind w:firstLine="0"/>
        <w:jc w:val="left"/>
        <w:rPr>
          <w:rFonts w:ascii="Arial" w:eastAsia="Calibri" w:hAnsi="Arial" w:cs="Arial"/>
          <w:bCs/>
          <w:i/>
          <w:iCs/>
          <w:szCs w:val="28"/>
          <w:lang w:val="uk-UA"/>
        </w:rPr>
      </w:pPr>
    </w:p>
    <w:p w14:paraId="12D38DEC" w14:textId="77777777" w:rsidR="00B67481" w:rsidRPr="00511005" w:rsidRDefault="00B67481" w:rsidP="003A292D">
      <w:pPr>
        <w:keepNext/>
        <w:spacing w:line="264" w:lineRule="auto"/>
        <w:ind w:firstLine="0"/>
        <w:jc w:val="center"/>
        <w:rPr>
          <w:rFonts w:ascii="Arial" w:eastAsia="Calibri" w:hAnsi="Arial" w:cs="Arial"/>
          <w:b/>
          <w:i/>
          <w:szCs w:val="28"/>
        </w:rPr>
      </w:pPr>
      <w:bookmarkStart w:id="127" w:name="_Hlk195200683"/>
      <w:r w:rsidRPr="00511005">
        <w:rPr>
          <w:rFonts w:ascii="Arial" w:eastAsia="Calibri" w:hAnsi="Arial" w:cs="Arial"/>
          <w:b/>
          <w:i/>
          <w:szCs w:val="28"/>
        </w:rPr>
        <w:t>Романова Аліна Олександрівна</w:t>
      </w:r>
    </w:p>
    <w:p w14:paraId="10DA151C" w14:textId="46C5B175"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19688DD8"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B16538F"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3763F86" w14:textId="77777777" w:rsidR="00B67481" w:rsidRPr="00511005" w:rsidRDefault="00B67481" w:rsidP="003A292D">
      <w:pPr>
        <w:spacing w:line="264" w:lineRule="auto"/>
        <w:ind w:firstLine="0"/>
        <w:jc w:val="center"/>
        <w:rPr>
          <w:rFonts w:ascii="Arial" w:eastAsia="Calibri" w:hAnsi="Arial" w:cs="Arial"/>
          <w:szCs w:val="28"/>
        </w:rPr>
      </w:pPr>
    </w:p>
    <w:p w14:paraId="1A6FFBDB" w14:textId="77777777" w:rsidR="00B67481" w:rsidRPr="00511005" w:rsidRDefault="00B67481" w:rsidP="003A292D">
      <w:pPr>
        <w:spacing w:line="264" w:lineRule="auto"/>
        <w:ind w:firstLine="0"/>
        <w:jc w:val="center"/>
        <w:rPr>
          <w:rFonts w:ascii="Arial" w:eastAsia="Calibri" w:hAnsi="Arial" w:cs="Arial"/>
          <w:szCs w:val="28"/>
        </w:rPr>
      </w:pPr>
      <w:r w:rsidRPr="00511005">
        <w:rPr>
          <w:rFonts w:ascii="Arial" w:eastAsia="Calibri" w:hAnsi="Arial" w:cs="Arial"/>
          <w:b/>
          <w:szCs w:val="28"/>
        </w:rPr>
        <w:t>ПОДАРУНОК ЯК ПРЕДМЕТ РЕГУЛЮВАННЯ АНТИКОРУПЦІЙНОГО ЗАКОНОДАВСТВА В УКРАЇНІ</w:t>
      </w:r>
    </w:p>
    <w:p w14:paraId="551DC3EB"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На перший погляд, категорія «подарунок» не викликає труднощів із розумінням, однак у правозастосовній площині вона виявляється доволі складною та суперечливою. Це зумовлено передусім необхідністю чіткого розмежування між правомірним подарунком і неправомірною вигодою, що є критично важливим у сфері запобігання корупції [3].</w:t>
      </w:r>
    </w:p>
    <w:p w14:paraId="71F1F386"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Законодавець у статті 1 Закону України «Про запобігання корупції» надає визначення терміну «подарунок» як «грошові кошти або інше майно, переваги, пільги, послуги, нематеріальні активи, які надають/одержують безоплатно або за ціною, нижчою мінімальної ринкової» [1]. Попри це, слід зауважити, що наведене визначення не враховує всіх сутнісних ознак поняття.</w:t>
      </w:r>
    </w:p>
    <w:p w14:paraId="6A183DC2"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 xml:space="preserve">Важливе уточнення міститься у статті 23 цього ж Закону, де зазначено, </w:t>
      </w:r>
      <w:r w:rsidRPr="00511005">
        <w:rPr>
          <w:rFonts w:ascii="Arial" w:eastAsia="Calibri" w:hAnsi="Arial" w:cs="Arial"/>
          <w:szCs w:val="28"/>
        </w:rPr>
        <w:lastRenderedPageBreak/>
        <w:t>що подарунок має відповідати загальновизнаним уявленням про гостинність. Ця умова є визначальною, оскільки дозволяє враховувати соціальний та культурний контекст вручення подарунка, що може бути особливо важливим у міжособистісному та службовому спілкуванні.</w:t>
      </w:r>
    </w:p>
    <w:p w14:paraId="3F0632D6"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Слід визнати, що жоден нормативно-правовий акт не містить законодавчо закріпленої дефініції терміну «подарунок, що відповідає загальновизнаному уявленню про гостинність» [5]. Це створює суттєві труднощі у правозастосовній практиці, адже подібне формулювання є оціночним і залишає широке поле для суб’єктивного тлумачення.</w:t>
      </w:r>
    </w:p>
    <w:p w14:paraId="6BD92324"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У таких умовах правова оцінка подарунка повинна ґрунтуватися на системному аналізі ряду обставин, зокрема: дотримання загальних етичних та професійних стандартів поведінки державних службовців або посадових осіб місцевого самоврядування; характер і контекст ситуації дарування; привід, з якого подарунок вручається; культурно-історичні традиції; соціальні очікування щодо відповідних подій; дипломатичний протокол, а також правила етикету [5].</w:t>
      </w:r>
    </w:p>
    <w:p w14:paraId="04260F66"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Аналіз відповідних норм антикорупційного законодавства дозволяє виокремити низку юридично значущих ознак, притаманних подарунку як правовій категорії:</w:t>
      </w:r>
    </w:p>
    <w:p w14:paraId="43295E26"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по-перше, дарунок може мати як безоплатний характер, так і бути переданим за умовно платною формою — зокрема, за вартістю, нижчою за мінімальну ринкову. Це розширює можливості кваліфікації дій як надання подарунку навіть у випадках, коли має місце певна компенсація;</w:t>
      </w:r>
    </w:p>
    <w:p w14:paraId="250DA415" w14:textId="77777777" w:rsidR="00B67481" w:rsidRPr="00511005" w:rsidRDefault="00B67481" w:rsidP="003A292D">
      <w:pPr>
        <w:keepNext/>
        <w:widowControl w:val="0"/>
        <w:spacing w:line="264" w:lineRule="auto"/>
        <w:rPr>
          <w:rFonts w:ascii="Arial" w:eastAsia="Calibri" w:hAnsi="Arial" w:cs="Arial"/>
          <w:szCs w:val="28"/>
        </w:rPr>
      </w:pPr>
      <w:proofErr w:type="gramStart"/>
      <w:r w:rsidRPr="00511005">
        <w:rPr>
          <w:rFonts w:ascii="Arial" w:eastAsia="Calibri" w:hAnsi="Arial" w:cs="Arial"/>
          <w:szCs w:val="28"/>
        </w:rPr>
        <w:t>по-друге</w:t>
      </w:r>
      <w:proofErr w:type="gramEnd"/>
      <w:r w:rsidRPr="00511005">
        <w:rPr>
          <w:rFonts w:ascii="Arial" w:eastAsia="Calibri" w:hAnsi="Arial" w:cs="Arial"/>
          <w:szCs w:val="28"/>
        </w:rPr>
        <w:t>, предметом подарунку виступає не лише рухоме чи нерухоме майно, що традиційно асоціюється з даруванням, а й низка інших активів та переваг: пільги, послуги, нематеріальні активи, знижки (в тому числі загальнодоступні), виграші, призи, премії, бонуси тощо;</w:t>
      </w:r>
    </w:p>
    <w:p w14:paraId="175C9006"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 xml:space="preserve">по-третє, обов’язковою є спрямованість волі дарувальника на передачу зазначених благ у власність спеціального суб’єкта — тобто особи, </w:t>
      </w:r>
      <w:proofErr w:type="gramStart"/>
      <w:r w:rsidRPr="00511005">
        <w:rPr>
          <w:rFonts w:ascii="Arial" w:eastAsia="Calibri" w:hAnsi="Arial" w:cs="Arial"/>
          <w:szCs w:val="28"/>
        </w:rPr>
        <w:t>на яку</w:t>
      </w:r>
      <w:proofErr w:type="gramEnd"/>
      <w:r w:rsidRPr="00511005">
        <w:rPr>
          <w:rFonts w:ascii="Arial" w:eastAsia="Calibri" w:hAnsi="Arial" w:cs="Arial"/>
          <w:szCs w:val="28"/>
        </w:rPr>
        <w:t xml:space="preserve"> поширюється дія антикорупційного законодавства;</w:t>
      </w:r>
    </w:p>
    <w:p w14:paraId="550DFA37"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по-четверте, у разі отримання пропозиції подарунку, спеціальний суб’єкт має діяти відповідно до визначеного алгоритму. Якщо подарунок відповідає вимогам законодавства (тобто є дозволеним), особа має право його прийняти. У протилежному випадку — при наявності обмежень або заборон — вона зобов’язана відмовитися від отримання дарунку та здійснити передбачені заходи [6].</w:t>
      </w:r>
    </w:p>
    <w:p w14:paraId="1444E720"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Законодавець встановив досить чіткі й деталізовані межі допустимого, що має на меті не лише попередити зловживання, але й формувати культуру прозорої та відповідальної державної служби.</w:t>
      </w:r>
    </w:p>
    <w:p w14:paraId="3263739E"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 xml:space="preserve">Подарунки, які отримують публічні службовці, варто поділяти на три категорії: заборонені за будь-яких умов, дозволені без будь-яких </w:t>
      </w:r>
      <w:r w:rsidRPr="00511005">
        <w:rPr>
          <w:rFonts w:ascii="Arial" w:eastAsia="Calibri" w:hAnsi="Arial" w:cs="Arial"/>
          <w:szCs w:val="28"/>
        </w:rPr>
        <w:lastRenderedPageBreak/>
        <w:t>застережень та дозволені з умовою дотримання певних застережень [6].</w:t>
      </w:r>
    </w:p>
    <w:p w14:paraId="2C5748B2"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Першу категорію складають ті подарунки, які заборонені за будь-яких умов. Це ті випадки, коли службовець безпосередньо або через третіх осіб вимагає, просить або приймає подарунки у зв’язку з виконанням своїх посадових обов’язків [6]. Така поведінка кваліфікується як корупційне правопорушення.</w:t>
      </w:r>
    </w:p>
    <w:p w14:paraId="2B8C9567"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Особливо це стосується ситуацій, коли особа отримує подарунок як «подяку» після надання адміністративної послуги.</w:t>
      </w:r>
    </w:p>
    <w:p w14:paraId="4B4C67DC"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 xml:space="preserve">Окремо в законі виділено заборону приймати подарунки від підлеглих. Ця норма покликана уникнути психологічного або адміністративного тиску в колективах, навіть якщо дарування відбулося у позаробочий час чи поза межами установи. Варто зазначити, що у зворотному напрямку (від керівника до підлеглого) дарування може бути допустимим, але лише </w:t>
      </w:r>
      <w:proofErr w:type="gramStart"/>
      <w:r w:rsidRPr="00511005">
        <w:rPr>
          <w:rFonts w:ascii="Arial" w:eastAsia="Calibri" w:hAnsi="Arial" w:cs="Arial"/>
          <w:szCs w:val="28"/>
        </w:rPr>
        <w:t>за умов</w:t>
      </w:r>
      <w:proofErr w:type="gramEnd"/>
      <w:r w:rsidRPr="00511005">
        <w:rPr>
          <w:rFonts w:ascii="Arial" w:eastAsia="Calibri" w:hAnsi="Arial" w:cs="Arial"/>
          <w:szCs w:val="28"/>
        </w:rPr>
        <w:t xml:space="preserve"> дотримання вартості та доречності подарунка.</w:t>
      </w:r>
    </w:p>
    <w:p w14:paraId="4D393BC9"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Друга група – це подарунки, які службовець може приймати вільно, без побоювання за правові наслідки [4]. До них, перш за все, належать дарунки від близьких осіб. Закон докладно окреслює коло таких осіб: від чоловіка або дружини, дітей, батьків, бабусь і дідусів – до тіток, дядьків, племінників, родичів подружжя тощо.</w:t>
      </w:r>
    </w:p>
    <w:p w14:paraId="27B77832"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Особливо важливо, що законодавець визнає за близьких не лише тих, хто має офіційний статус родича, а й осіб, які фактично проживають разом та ведуть спільне господарство понад півроку. Це дозволяє охопити ситуації, коли родинні відносини не оформлені формально, але мають усі ознаки сімейних.</w:t>
      </w:r>
    </w:p>
    <w:p w14:paraId="448AD867"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Також закон дозволяє публічним службовцям приймати подарунки у вигляді загальнодоступних вигод – таких як знижки, бонуси, акційні пропозиції чи призи з розіграшів, якщо ці вигоди доступні всім на однакових умовах. Наприклад, якщо магазин оголосив знижку на побутову техніку для всіх покупців, службовець може нею скористатись без порушення закону.</w:t>
      </w:r>
    </w:p>
    <w:p w14:paraId="1D9CB0C6"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Третя група є найбільш делікатною. Сюди входять подарунки, які формально дозволені, але лише за дотримання трьох важливих умов:</w:t>
      </w:r>
    </w:p>
    <w:p w14:paraId="1F366F1A"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по-перше, подарунок повинен відповідати загальноприйнятим уявленням про гостинність;</w:t>
      </w:r>
    </w:p>
    <w:p w14:paraId="065103C1" w14:textId="77777777" w:rsidR="00B67481" w:rsidRPr="00511005" w:rsidRDefault="00B67481" w:rsidP="003A292D">
      <w:pPr>
        <w:keepNext/>
        <w:widowControl w:val="0"/>
        <w:spacing w:line="264" w:lineRule="auto"/>
        <w:rPr>
          <w:rFonts w:ascii="Arial" w:eastAsia="Calibri" w:hAnsi="Arial" w:cs="Arial"/>
          <w:szCs w:val="28"/>
        </w:rPr>
      </w:pPr>
      <w:proofErr w:type="gramStart"/>
      <w:r w:rsidRPr="00511005">
        <w:rPr>
          <w:rFonts w:ascii="Arial" w:eastAsia="Calibri" w:hAnsi="Arial" w:cs="Arial"/>
          <w:szCs w:val="28"/>
        </w:rPr>
        <w:t>по-друге</w:t>
      </w:r>
      <w:proofErr w:type="gramEnd"/>
      <w:r w:rsidRPr="00511005">
        <w:rPr>
          <w:rFonts w:ascii="Arial" w:eastAsia="Calibri" w:hAnsi="Arial" w:cs="Arial"/>
          <w:szCs w:val="28"/>
        </w:rPr>
        <w:t>, його вартість не має перевищувати одного прожиткового мінімуму для працездатної особи (на день дарування). Це забезпечує обмеження надмірної щедрості;</w:t>
      </w:r>
    </w:p>
    <w:p w14:paraId="6D09A547"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по-третє, сукупна вартість усіх подарунків від однієї особи протягом року не повинна перевищувати двох прожиткових мінімумів. Це запобігає накопиченню неформального боргу вдячності [2].</w:t>
      </w:r>
    </w:p>
    <w:p w14:paraId="26168E67"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 xml:space="preserve">Отже, правове регулювання подарунків у сфері публічної служби в Україні є важливим інструментом у запобіганні корупції та зловживанню службовим становищем. Незважаючи на формальне визначення поняття </w:t>
      </w:r>
      <w:r w:rsidRPr="00511005">
        <w:rPr>
          <w:rFonts w:ascii="Arial" w:eastAsia="Calibri" w:hAnsi="Arial" w:cs="Arial"/>
          <w:szCs w:val="28"/>
        </w:rPr>
        <w:lastRenderedPageBreak/>
        <w:t>«подарунок» у законодавстві, його практичне застосування потребує врахування широкого кола обставин: соціального контексту, етичних норм, службових відносин, а також вартості та частоти таких дарунків. Поділ подарунків на три категорії дозволяє урівноважити особисті права службовців і публічний інтерес, зберігаючи прозорість та довіру до державних інституцій.</w:t>
      </w:r>
    </w:p>
    <w:p w14:paraId="4A61D7C4"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Разом із тим, відсутність чітко визначених критеріїв щодо «гостинності» залишає простір для суб’єктивних тлумачень, що створює ризики у правозастосовній практиці. Саме тому надзвичайно важливо підвищувати правову обізнаність державних службовців і формувати в них культуру відповідального ставлення до норм антикорупційного законодавства. Такий підхід не лише мінімізує ризики правопорушень, а й сприяє формуванню високих стандартів державного управління.</w:t>
      </w:r>
    </w:p>
    <w:p w14:paraId="269F4595" w14:textId="77777777" w:rsidR="00B67481" w:rsidRPr="00511005" w:rsidRDefault="00B67481" w:rsidP="003A292D">
      <w:pPr>
        <w:keepNext/>
        <w:widowControl w:val="0"/>
        <w:spacing w:line="264" w:lineRule="auto"/>
        <w:rPr>
          <w:rFonts w:ascii="Arial" w:eastAsia="Calibri" w:hAnsi="Arial" w:cs="Arial"/>
          <w:szCs w:val="28"/>
        </w:rPr>
      </w:pPr>
    </w:p>
    <w:p w14:paraId="473D34A1" w14:textId="1895389D" w:rsidR="00B67481" w:rsidRPr="00511005" w:rsidRDefault="007B2628" w:rsidP="007B2628">
      <w:pPr>
        <w:keepNext/>
        <w:widowControl w:val="0"/>
        <w:spacing w:line="264" w:lineRule="auto"/>
        <w:ind w:firstLine="0"/>
        <w:jc w:val="center"/>
        <w:rPr>
          <w:rFonts w:ascii="Arial" w:eastAsia="Calibri" w:hAnsi="Arial" w:cs="Arial"/>
          <w:b/>
          <w:iCs/>
          <w:szCs w:val="28"/>
        </w:rPr>
      </w:pPr>
      <w:r w:rsidRPr="00511005">
        <w:rPr>
          <w:rFonts w:ascii="Arial" w:eastAsia="Calibri" w:hAnsi="Arial" w:cs="Arial"/>
          <w:b/>
          <w:iCs/>
          <w:szCs w:val="28"/>
          <w:lang w:val="uk-UA"/>
        </w:rPr>
        <w:t>Список використаних джерел</w:t>
      </w:r>
    </w:p>
    <w:p w14:paraId="1218D39E" w14:textId="03040918"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1.</w:t>
      </w:r>
      <w:r w:rsidR="007B2628" w:rsidRPr="00511005">
        <w:rPr>
          <w:rFonts w:ascii="Arial" w:eastAsia="Calibri" w:hAnsi="Arial" w:cs="Arial"/>
          <w:szCs w:val="28"/>
        </w:rPr>
        <w:t xml:space="preserve"> </w:t>
      </w:r>
      <w:r w:rsidRPr="00511005">
        <w:rPr>
          <w:rFonts w:ascii="Arial" w:eastAsia="Calibri" w:hAnsi="Arial" w:cs="Arial"/>
          <w:szCs w:val="28"/>
        </w:rPr>
        <w:t xml:space="preserve">Про запобігання </w:t>
      </w:r>
      <w:proofErr w:type="gramStart"/>
      <w:r w:rsidRPr="00511005">
        <w:rPr>
          <w:rFonts w:ascii="Arial" w:eastAsia="Calibri" w:hAnsi="Arial" w:cs="Arial"/>
          <w:szCs w:val="28"/>
        </w:rPr>
        <w:t>корупції :</w:t>
      </w:r>
      <w:proofErr w:type="gramEnd"/>
      <w:r w:rsidRPr="00511005">
        <w:rPr>
          <w:rFonts w:ascii="Arial" w:eastAsia="Calibri" w:hAnsi="Arial" w:cs="Arial"/>
          <w:szCs w:val="28"/>
        </w:rPr>
        <w:t xml:space="preserve"> Закон України від 14.10.2014 No 1700-VII. Дата оновлення: 04.04.2025. URL: https://zakon.rada.gov.ua/laws/show/1700-18#Text</w:t>
      </w:r>
    </w:p>
    <w:p w14:paraId="5D7B00AE"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 xml:space="preserve">2. Коломоєць Т. О., Лютіков П. С. Обмеження щодо одержання подарунків як засіб запобігання правопорушенням, пов’язаним із корупцією: правовий аспект. </w:t>
      </w:r>
      <w:r w:rsidRPr="00511005">
        <w:rPr>
          <w:rFonts w:ascii="Arial" w:eastAsia="Calibri" w:hAnsi="Arial" w:cs="Arial"/>
          <w:i/>
          <w:iCs/>
          <w:szCs w:val="28"/>
        </w:rPr>
        <w:t>Підприємництво, господарство і право</w:t>
      </w:r>
      <w:r w:rsidRPr="00511005">
        <w:rPr>
          <w:rFonts w:ascii="Arial" w:eastAsia="Calibri" w:hAnsi="Arial" w:cs="Arial"/>
          <w:szCs w:val="28"/>
        </w:rPr>
        <w:t xml:space="preserve">. 2017. вип. </w:t>
      </w:r>
      <w:proofErr w:type="gramStart"/>
      <w:r w:rsidRPr="00511005">
        <w:rPr>
          <w:rFonts w:ascii="Arial" w:eastAsia="Calibri" w:hAnsi="Arial" w:cs="Arial"/>
          <w:szCs w:val="28"/>
        </w:rPr>
        <w:t>12 :</w:t>
      </w:r>
      <w:proofErr w:type="gramEnd"/>
      <w:r w:rsidRPr="00511005">
        <w:rPr>
          <w:rFonts w:ascii="Arial" w:eastAsia="Calibri" w:hAnsi="Arial" w:cs="Arial"/>
          <w:szCs w:val="28"/>
        </w:rPr>
        <w:t xml:space="preserve"> Адміністративне право і процес. С. 164–168.</w:t>
      </w:r>
    </w:p>
    <w:p w14:paraId="52D5FA76"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3. Лупало О.А. Деякі проблеми застосування обмеження щодо одержання подарунків а антикорупційному законодавстві. URL: http://elar.naiau.kiev.ua/bitstream/123456789/13833/1/ІМПЛЕМЕНТАЦІЯ %20ЄВРОПЕЙСЬКИХ%20СТАН-ДАРТІВ_p077-083.pdf</w:t>
      </w:r>
    </w:p>
    <w:p w14:paraId="75F6663E"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 xml:space="preserve">4. Науково-методичні рекомендації з питань обмеження одержання подарунків (для поліцейських, прокурорів, державних службовців та посадових і службових осіб Національної поліції України і органів прокуратури України) / За ред. М. Г. Вербенського. – </w:t>
      </w:r>
      <w:proofErr w:type="gramStart"/>
      <w:r w:rsidRPr="00511005">
        <w:rPr>
          <w:rFonts w:ascii="Arial" w:eastAsia="Calibri" w:hAnsi="Arial" w:cs="Arial"/>
          <w:szCs w:val="28"/>
        </w:rPr>
        <w:t>Херсон :</w:t>
      </w:r>
      <w:proofErr w:type="gramEnd"/>
      <w:r w:rsidRPr="00511005">
        <w:rPr>
          <w:rFonts w:ascii="Arial" w:eastAsia="Calibri" w:hAnsi="Arial" w:cs="Arial"/>
          <w:szCs w:val="28"/>
        </w:rPr>
        <w:t xml:space="preserve"> Видавничий дім «Гельветика», 2020. – 302 с.</w:t>
      </w:r>
    </w:p>
    <w:p w14:paraId="08BD4F83"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5. Сагайдак О. П. Дипломатичний протокол та етикет: підручник. 2-е вид., виправл.</w:t>
      </w:r>
      <w:bookmarkEnd w:id="127"/>
      <w:r w:rsidRPr="00511005">
        <w:rPr>
          <w:rFonts w:ascii="Arial" w:eastAsia="Calibri" w:hAnsi="Arial" w:cs="Arial"/>
          <w:szCs w:val="28"/>
        </w:rPr>
        <w:t xml:space="preserve"> Київ: Знання, 2012. 262 с.</w:t>
      </w:r>
    </w:p>
    <w:p w14:paraId="61A01926" w14:textId="77777777" w:rsidR="00B67481" w:rsidRPr="00511005" w:rsidRDefault="00B67481" w:rsidP="003A292D">
      <w:pPr>
        <w:keepNext/>
        <w:widowControl w:val="0"/>
        <w:spacing w:line="264" w:lineRule="auto"/>
        <w:rPr>
          <w:rFonts w:ascii="Arial" w:eastAsia="Calibri" w:hAnsi="Arial" w:cs="Arial"/>
          <w:szCs w:val="28"/>
        </w:rPr>
      </w:pPr>
      <w:r w:rsidRPr="00511005">
        <w:rPr>
          <w:rFonts w:ascii="Arial" w:eastAsia="Calibri" w:hAnsi="Arial" w:cs="Arial"/>
          <w:szCs w:val="28"/>
        </w:rPr>
        <w:t xml:space="preserve">6. Хамходера О. П. Публічна служба. Адміністративне право України. Повний </w:t>
      </w:r>
      <w:proofErr w:type="gramStart"/>
      <w:r w:rsidRPr="00511005">
        <w:rPr>
          <w:rFonts w:ascii="Arial" w:eastAsia="Calibri" w:hAnsi="Arial" w:cs="Arial"/>
          <w:szCs w:val="28"/>
        </w:rPr>
        <w:t>курс :</w:t>
      </w:r>
      <w:proofErr w:type="gramEnd"/>
      <w:r w:rsidRPr="00511005">
        <w:rPr>
          <w:rFonts w:ascii="Arial" w:eastAsia="Calibri" w:hAnsi="Arial" w:cs="Arial"/>
          <w:szCs w:val="28"/>
        </w:rPr>
        <w:t xml:space="preserve"> підручник / Бойчук А. Ю, Хамходера О. П. Галунько, П. Діхтієвський, О. Кузьменко та ін.; за ред. В. Галунька, О. Правоторової. </w:t>
      </w:r>
      <w:r w:rsidRPr="00511005">
        <w:rPr>
          <w:rFonts w:ascii="Arial" w:eastAsia="Calibri" w:hAnsi="Arial" w:cs="Arial"/>
          <w:szCs w:val="28"/>
        </w:rPr>
        <w:lastRenderedPageBreak/>
        <w:t xml:space="preserve">Видання четверте. - </w:t>
      </w:r>
      <w:proofErr w:type="gramStart"/>
      <w:r w:rsidRPr="00511005">
        <w:rPr>
          <w:rFonts w:ascii="Arial" w:eastAsia="Calibri" w:hAnsi="Arial" w:cs="Arial"/>
          <w:szCs w:val="28"/>
        </w:rPr>
        <w:t>Херсон :</w:t>
      </w:r>
      <w:proofErr w:type="gramEnd"/>
      <w:r w:rsidRPr="00511005">
        <w:rPr>
          <w:rFonts w:ascii="Arial" w:eastAsia="Calibri" w:hAnsi="Arial" w:cs="Arial"/>
          <w:szCs w:val="28"/>
        </w:rPr>
        <w:t xml:space="preserve"> ОЛДІ-ПЛЮС, 2021. - С. 359-375.</w:t>
      </w:r>
    </w:p>
    <w:p w14:paraId="55F1A85C" w14:textId="77777777" w:rsidR="00B67481" w:rsidRPr="00511005" w:rsidRDefault="00B67481" w:rsidP="003A292D">
      <w:pPr>
        <w:keepNext/>
        <w:widowControl w:val="0"/>
        <w:spacing w:line="264" w:lineRule="auto"/>
        <w:rPr>
          <w:rFonts w:ascii="Arial" w:eastAsia="Calibri" w:hAnsi="Arial" w:cs="Arial"/>
          <w:szCs w:val="28"/>
        </w:rPr>
      </w:pPr>
    </w:p>
    <w:p w14:paraId="32D4BE4B" w14:textId="3CD4045C" w:rsidR="00B67481" w:rsidRPr="00511005" w:rsidRDefault="007B2628" w:rsidP="003A292D">
      <w:pPr>
        <w:keepNext/>
        <w:spacing w:line="264" w:lineRule="auto"/>
        <w:rPr>
          <w:rFonts w:ascii="Arial" w:eastAsia="Calibri" w:hAnsi="Arial" w:cs="Arial"/>
          <w:szCs w:val="28"/>
        </w:rPr>
      </w:pPr>
      <w:r w:rsidRPr="00511005">
        <w:rPr>
          <w:rFonts w:ascii="Arial" w:eastAsia="Calibri" w:hAnsi="Arial" w:cs="Arial"/>
          <w:b/>
          <w:i/>
          <w:szCs w:val="28"/>
        </w:rPr>
        <w:t xml:space="preserve">Ключові слова: </w:t>
      </w:r>
      <w:r w:rsidR="00B67481" w:rsidRPr="00511005">
        <w:rPr>
          <w:rFonts w:ascii="Arial" w:eastAsia="Calibri" w:hAnsi="Arial" w:cs="Arial"/>
          <w:szCs w:val="28"/>
        </w:rPr>
        <w:t>подарунок, корупція, уявлення про гостинність, публічний службовець, антикорупційне законодавство.</w:t>
      </w:r>
    </w:p>
    <w:p w14:paraId="26951A2A" w14:textId="30A05906" w:rsidR="00B67481" w:rsidRPr="00511005" w:rsidRDefault="007B2628" w:rsidP="003A292D">
      <w:pPr>
        <w:keepNext/>
        <w:spacing w:line="264" w:lineRule="auto"/>
        <w:rPr>
          <w:rFonts w:ascii="Arial" w:eastAsia="Calibri" w:hAnsi="Arial" w:cs="Arial"/>
          <w:bCs/>
          <w:szCs w:val="28"/>
          <w:lang w:val="en-US"/>
        </w:rPr>
      </w:pPr>
      <w:r w:rsidRPr="00511005">
        <w:rPr>
          <w:rFonts w:ascii="Arial" w:eastAsia="Calibri" w:hAnsi="Arial" w:cs="Arial"/>
          <w:b/>
          <w:i/>
          <w:szCs w:val="28"/>
          <w:lang w:val="en-US"/>
        </w:rPr>
        <w:t xml:space="preserve">Key words: </w:t>
      </w:r>
      <w:r w:rsidR="00B67481" w:rsidRPr="00511005">
        <w:rPr>
          <w:rFonts w:ascii="Arial" w:eastAsia="Calibri" w:hAnsi="Arial" w:cs="Arial"/>
          <w:bCs/>
          <w:szCs w:val="28"/>
          <w:lang w:val="en-US"/>
        </w:rPr>
        <w:t>gift, corruption, perception of hospitality, public servant, anti-corruption legislation.</w:t>
      </w:r>
    </w:p>
    <w:p w14:paraId="41198BB5" w14:textId="01EDB1BC" w:rsidR="00B67481" w:rsidRPr="00511005" w:rsidRDefault="007B2628" w:rsidP="003A292D">
      <w:pPr>
        <w:keepNext/>
        <w:widowControl w:val="0"/>
        <w:spacing w:line="264" w:lineRule="auto"/>
        <w:rPr>
          <w:rFonts w:ascii="Arial" w:eastAsia="Calibri" w:hAnsi="Arial" w:cs="Arial"/>
          <w:szCs w:val="28"/>
        </w:rPr>
      </w:pPr>
      <w:r w:rsidRPr="00511005">
        <w:rPr>
          <w:rFonts w:ascii="Arial" w:eastAsia="Calibri" w:hAnsi="Arial" w:cs="Arial"/>
          <w:b/>
          <w:bCs/>
          <w:i/>
          <w:iCs/>
          <w:szCs w:val="28"/>
        </w:rPr>
        <w:t xml:space="preserve">Науковий керівник: </w:t>
      </w:r>
      <w:r w:rsidR="00B67481" w:rsidRPr="00511005">
        <w:rPr>
          <w:rFonts w:ascii="Arial" w:eastAsia="Calibri" w:hAnsi="Arial" w:cs="Arial"/>
          <w:bCs/>
          <w:i/>
          <w:iCs/>
          <w:szCs w:val="28"/>
        </w:rPr>
        <w:t>к.ю.н., доцент Панфілов О.Є.</w:t>
      </w:r>
    </w:p>
    <w:p w14:paraId="22B91D03" w14:textId="77777777" w:rsidR="001D1A08" w:rsidRPr="00511005" w:rsidRDefault="001D1A08" w:rsidP="003A292D">
      <w:pPr>
        <w:spacing w:line="264" w:lineRule="auto"/>
        <w:ind w:firstLine="0"/>
        <w:jc w:val="left"/>
        <w:rPr>
          <w:rFonts w:ascii="Arial" w:eastAsia="Calibri" w:hAnsi="Arial" w:cs="Arial"/>
          <w:szCs w:val="28"/>
        </w:rPr>
      </w:pPr>
    </w:p>
    <w:p w14:paraId="7675DB01" w14:textId="77777777" w:rsidR="001D1A08" w:rsidRPr="00511005" w:rsidRDefault="001D1A08" w:rsidP="003A292D">
      <w:pPr>
        <w:spacing w:line="264" w:lineRule="auto"/>
        <w:ind w:firstLine="0"/>
        <w:jc w:val="left"/>
        <w:rPr>
          <w:rFonts w:ascii="Arial" w:eastAsia="Calibri" w:hAnsi="Arial" w:cs="Arial"/>
          <w:szCs w:val="28"/>
        </w:rPr>
      </w:pPr>
    </w:p>
    <w:p w14:paraId="1D10DEC8" w14:textId="77777777" w:rsidR="00146592" w:rsidRPr="00511005" w:rsidRDefault="00B67481" w:rsidP="003A292D">
      <w:pPr>
        <w:spacing w:line="264" w:lineRule="auto"/>
        <w:ind w:firstLine="0"/>
        <w:jc w:val="center"/>
        <w:rPr>
          <w:rFonts w:ascii="Arial" w:eastAsia="Calibri" w:hAnsi="Arial" w:cs="Arial"/>
          <w:b/>
          <w:bCs/>
          <w:i/>
          <w:iCs/>
          <w:szCs w:val="28"/>
        </w:rPr>
      </w:pPr>
      <w:r w:rsidRPr="00511005">
        <w:rPr>
          <w:rFonts w:ascii="Arial" w:eastAsia="Calibri" w:hAnsi="Arial" w:cs="Arial"/>
          <w:b/>
          <w:bCs/>
          <w:i/>
          <w:iCs/>
          <w:szCs w:val="28"/>
        </w:rPr>
        <w:t>Ромащенко Дмитрій Михайлович</w:t>
      </w:r>
    </w:p>
    <w:p w14:paraId="5A041844" w14:textId="10D6D75E" w:rsidR="00B67481" w:rsidRPr="00511005" w:rsidRDefault="00B67481" w:rsidP="003A292D">
      <w:pPr>
        <w:spacing w:line="264" w:lineRule="auto"/>
        <w:ind w:firstLine="0"/>
        <w:jc w:val="center"/>
        <w:rPr>
          <w:rFonts w:ascii="Arial" w:eastAsia="Calibri" w:hAnsi="Arial" w:cs="Arial"/>
          <w:szCs w:val="28"/>
        </w:rPr>
      </w:pPr>
      <w:r w:rsidRPr="00511005">
        <w:rPr>
          <w:rFonts w:ascii="Arial" w:eastAsia="Calibri" w:hAnsi="Arial" w:cs="Arial"/>
          <w:szCs w:val="28"/>
          <w:lang w:val="en-US"/>
        </w:rPr>
        <w:t>c</w:t>
      </w:r>
      <w:r w:rsidRPr="00511005">
        <w:rPr>
          <w:rFonts w:ascii="Arial" w:eastAsia="Calibri" w:hAnsi="Arial" w:cs="Arial"/>
          <w:szCs w:val="28"/>
        </w:rPr>
        <w:t>тудент 2</w:t>
      </w:r>
      <w:r w:rsidRPr="00511005">
        <w:rPr>
          <w:rFonts w:ascii="Arial" w:eastAsia="Calibri" w:hAnsi="Arial" w:cs="Arial"/>
          <w:szCs w:val="28"/>
          <w:lang w:val="uk-UA"/>
        </w:rPr>
        <w:t>-го</w:t>
      </w:r>
      <w:r w:rsidRPr="00511005">
        <w:rPr>
          <w:rFonts w:ascii="Arial" w:eastAsia="Calibri" w:hAnsi="Arial" w:cs="Arial"/>
          <w:szCs w:val="28"/>
        </w:rPr>
        <w:t xml:space="preserve"> курсу </w:t>
      </w:r>
      <w:r w:rsidR="001B7B25" w:rsidRPr="00511005">
        <w:rPr>
          <w:rFonts w:ascii="Arial" w:eastAsia="Calibri" w:hAnsi="Arial" w:cs="Arial"/>
          <w:szCs w:val="28"/>
        </w:rPr>
        <w:t>факультету судового та міжнародного права</w:t>
      </w:r>
    </w:p>
    <w:p w14:paraId="6A23D905" w14:textId="4AD5697F" w:rsidR="00B67481" w:rsidRPr="00511005" w:rsidRDefault="007B2628" w:rsidP="003A292D">
      <w:pPr>
        <w:spacing w:line="264" w:lineRule="auto"/>
        <w:ind w:firstLine="0"/>
        <w:jc w:val="center"/>
        <w:rPr>
          <w:rFonts w:ascii="Arial" w:eastAsia="Calibri" w:hAnsi="Arial" w:cs="Arial"/>
          <w:b/>
          <w:bCs/>
          <w:szCs w:val="28"/>
        </w:rPr>
      </w:pPr>
      <w:r w:rsidRPr="00511005">
        <w:rPr>
          <w:rFonts w:ascii="Arial" w:eastAsia="Calibri" w:hAnsi="Arial" w:cs="Arial"/>
          <w:szCs w:val="28"/>
        </w:rPr>
        <w:t>Національного університету «Одеська юридична академія»</w:t>
      </w:r>
    </w:p>
    <w:p w14:paraId="7C49795E" w14:textId="77777777" w:rsidR="00B67481" w:rsidRPr="00511005" w:rsidRDefault="00B67481" w:rsidP="003A292D">
      <w:pPr>
        <w:spacing w:line="264" w:lineRule="auto"/>
        <w:ind w:firstLine="0"/>
        <w:jc w:val="center"/>
        <w:rPr>
          <w:rFonts w:ascii="Arial" w:eastAsia="Calibri" w:hAnsi="Arial" w:cs="Arial"/>
          <w:b/>
          <w:bCs/>
          <w:szCs w:val="28"/>
        </w:rPr>
      </w:pPr>
    </w:p>
    <w:p w14:paraId="29C20236" w14:textId="77777777" w:rsidR="00B67481" w:rsidRPr="00511005" w:rsidRDefault="00B67481" w:rsidP="003A292D">
      <w:pPr>
        <w:spacing w:line="264" w:lineRule="auto"/>
        <w:ind w:firstLine="0"/>
        <w:jc w:val="center"/>
        <w:rPr>
          <w:rFonts w:ascii="Arial" w:eastAsia="Times New Roman" w:hAnsi="Arial" w:cs="Arial"/>
          <w:szCs w:val="28"/>
          <w:lang w:eastAsia="uk-UA"/>
        </w:rPr>
      </w:pPr>
      <w:r w:rsidRPr="00511005">
        <w:rPr>
          <w:rFonts w:ascii="Arial" w:eastAsia="Calibri" w:hAnsi="Arial" w:cs="Arial"/>
          <w:b/>
          <w:bCs/>
          <w:szCs w:val="28"/>
        </w:rPr>
        <w:t>ЦИФРОВІ ГРОШІ ЧИ ТРАДИЦІЙНІ ГРОШІ: ВИКЛИКИ ДЛЯ ПРАВОВОЇ НАУКИ ТА РЕГУЛЮВАННЯ</w:t>
      </w:r>
    </w:p>
    <w:p w14:paraId="12DB9D39" w14:textId="77777777" w:rsidR="00B67481" w:rsidRPr="00511005" w:rsidRDefault="00B67481" w:rsidP="003A292D">
      <w:pPr>
        <w:spacing w:line="264" w:lineRule="auto"/>
        <w:ind w:firstLine="567"/>
        <w:rPr>
          <w:rFonts w:ascii="Arial" w:eastAsia="Times New Roman" w:hAnsi="Arial" w:cs="Arial"/>
          <w:szCs w:val="28"/>
          <w:lang w:eastAsia="uk-UA"/>
        </w:rPr>
      </w:pPr>
      <w:r w:rsidRPr="00511005">
        <w:rPr>
          <w:rFonts w:ascii="Arial" w:eastAsia="Times New Roman" w:hAnsi="Arial" w:cs="Arial"/>
          <w:szCs w:val="28"/>
          <w:lang w:eastAsia="uk-UA"/>
        </w:rPr>
        <w:t xml:space="preserve">У сучасному світі швидкий розвиток цифрових технологій кардинально змінює економічні відносини, зокрема у сфері грошового обігу. Поява цифрових грошей, таких як криптовалюти, стейблкойни та центральні банківські цифрові валюти (CBDC), ставить перед правовою наукою та регуляторними органами нові виклики. Адже, цифровізація фактично впливає на спосіб оплати товару, робіт чи послуг. Банківські установи замість традиційних фінансових операцій впроваджують нові цифрові інновації для клієнтів, що фактично спрощує процес здійснення фінансових операцій, підвищує їхню швидкість і доступність, а також знижує витрати на транзакції. </w:t>
      </w:r>
    </w:p>
    <w:p w14:paraId="0E2B51C0" w14:textId="77777777" w:rsidR="00B67481" w:rsidRPr="00511005" w:rsidRDefault="00B67481" w:rsidP="003A292D">
      <w:pPr>
        <w:spacing w:line="264" w:lineRule="auto"/>
        <w:ind w:firstLine="567"/>
        <w:rPr>
          <w:rFonts w:ascii="Arial" w:eastAsia="Times New Roman" w:hAnsi="Arial" w:cs="Arial"/>
          <w:szCs w:val="28"/>
          <w:lang w:eastAsia="uk-UA"/>
        </w:rPr>
      </w:pPr>
      <w:r w:rsidRPr="00511005">
        <w:rPr>
          <w:rFonts w:ascii="Arial" w:eastAsia="Times New Roman" w:hAnsi="Arial" w:cs="Arial"/>
          <w:szCs w:val="28"/>
          <w:lang w:eastAsia="uk-UA"/>
        </w:rPr>
        <w:t xml:space="preserve">Зростання електронної комерції та перехід до безготівкових платежів є логічним наслідком цифровізації економіки, прискореної такими факторами, як пандемія COVID-19 і війна в Україні. Ці події підкреслили переваги електронних платіжних систем: швидкість, зручність, безпека та можливість здійснювати транзакції дистанційно. Мобільні гаманці, кредитні картки та платіжні платформи, такі як Google Pay чи Apple Pay, стали невід’ємною частиною повсякденного життя, зменшуючи залежність від готівки. </w:t>
      </w:r>
    </w:p>
    <w:p w14:paraId="2EEBF583" w14:textId="77777777" w:rsidR="00B67481" w:rsidRPr="00511005" w:rsidRDefault="00B67481" w:rsidP="003A292D">
      <w:pPr>
        <w:spacing w:line="264" w:lineRule="auto"/>
        <w:ind w:firstLine="567"/>
        <w:rPr>
          <w:rFonts w:ascii="Arial" w:eastAsia="Times New Roman" w:hAnsi="Arial" w:cs="Arial"/>
          <w:szCs w:val="28"/>
          <w:lang w:eastAsia="uk-UA"/>
        </w:rPr>
      </w:pPr>
      <w:r w:rsidRPr="00511005">
        <w:rPr>
          <w:rFonts w:ascii="Arial" w:eastAsia="Times New Roman" w:hAnsi="Arial" w:cs="Arial"/>
          <w:szCs w:val="28"/>
          <w:lang w:eastAsia="uk-UA"/>
        </w:rPr>
        <w:t xml:space="preserve">Дослідження, які проводились Atlantic Council, вказали, що 134 країни та валютні союзи, що представляють 98% світового ВВП, вивчають CBDC. У травні 2020 року ця кількість становила лише 35 країн. Наразі 66 країн перебувають на розширеній фазі розвідки – розробки, пілотування чи запуску [1]. </w:t>
      </w:r>
    </w:p>
    <w:p w14:paraId="2D36765C" w14:textId="77777777" w:rsidR="00B67481" w:rsidRPr="00511005" w:rsidRDefault="00B67481" w:rsidP="003A292D">
      <w:pPr>
        <w:spacing w:line="264" w:lineRule="auto"/>
        <w:ind w:firstLine="567"/>
        <w:rPr>
          <w:rFonts w:ascii="Arial" w:eastAsia="Calibri" w:hAnsi="Arial" w:cs="Arial"/>
          <w:szCs w:val="28"/>
        </w:rPr>
      </w:pPr>
      <w:r w:rsidRPr="00511005">
        <w:rPr>
          <w:rFonts w:ascii="Arial" w:eastAsia="Times New Roman" w:hAnsi="Arial" w:cs="Arial"/>
          <w:szCs w:val="28"/>
          <w:lang w:eastAsia="uk-UA"/>
        </w:rPr>
        <w:t xml:space="preserve">На думку О.О. Дмитрика цифрові гроші завдячують популярністю своїй «надійності і здатності протистояти шахрайствам; відсутності додаткових витрат у вигляді комісій на проведення транзакцій; обмеження впливу людського фактору на здійснення транзакцій; незалежність від системи міжбанківських переказів SWIFT» [2, с. 461]. При цьому цифрова валюта </w:t>
      </w:r>
      <w:r w:rsidRPr="00511005">
        <w:rPr>
          <w:rFonts w:ascii="Arial" w:eastAsia="Times New Roman" w:hAnsi="Arial" w:cs="Arial"/>
          <w:szCs w:val="28"/>
          <w:lang w:eastAsia="uk-UA"/>
        </w:rPr>
        <w:lastRenderedPageBreak/>
        <w:t>починала набирати свою популярність з появою Bitcoin у 2009 році, адже блокчейн, що є підґрунтям Bitcoin та інших криптовалют, забезпечив спосіб запису транзакцій, який є одночасно прозорим та безпечним. Вищенаведені переваги сприяли тому щоб більшість країн світу поступово впроваджували в обіг цифрові гроші. Наприклад, Китай ще у 2020 році розпочав впровадження цифрового юаня (e-CNY), ставши одним із піонерів у цій сфері.</w:t>
      </w:r>
      <w:r w:rsidRPr="00511005">
        <w:rPr>
          <w:rFonts w:ascii="Arial" w:eastAsia="Calibri" w:hAnsi="Arial" w:cs="Arial"/>
          <w:szCs w:val="28"/>
        </w:rPr>
        <w:t xml:space="preserve"> </w:t>
      </w:r>
      <w:r w:rsidRPr="00511005">
        <w:rPr>
          <w:rFonts w:ascii="Arial" w:eastAsia="Times New Roman" w:hAnsi="Arial" w:cs="Arial"/>
          <w:szCs w:val="28"/>
          <w:lang w:eastAsia="uk-UA"/>
        </w:rPr>
        <w:t>Багамські Острови також запустили власну цифрову валюту — Sand Dollar — того ж року, демонструючи практичні спроби інтеграції CBDC в економічні системи [3]. В червні 2023 року Європейською комісією було представлено проєкт законодавчих пропозицій щодо цифрового євро - Регламент Європейського парламенту та ради «Про запровадження цифрового євро», метою якого є гарантування, що фізична і юридична особа матиме додатковий вибір для оплати у цифровому форматі. Віповідно до ч. 1 ст. 2 гл. 1 Регламенту, цифровий євро є цифровою формою єдиної валюти, що доступна фізичним та юридичним особам [3].</w:t>
      </w:r>
    </w:p>
    <w:p w14:paraId="1D67841C" w14:textId="77777777" w:rsidR="00B67481" w:rsidRPr="00511005" w:rsidRDefault="00B67481" w:rsidP="003A292D">
      <w:pPr>
        <w:spacing w:line="264" w:lineRule="auto"/>
        <w:ind w:firstLine="567"/>
        <w:rPr>
          <w:rFonts w:ascii="Arial" w:eastAsia="Calibri" w:hAnsi="Arial" w:cs="Arial"/>
          <w:szCs w:val="28"/>
        </w:rPr>
      </w:pPr>
      <w:r w:rsidRPr="00511005">
        <w:rPr>
          <w:rFonts w:ascii="Arial" w:eastAsia="Calibri" w:hAnsi="Arial" w:cs="Arial"/>
          <w:szCs w:val="28"/>
        </w:rPr>
        <w:t xml:space="preserve">На відміну від Китаю чи ЄС, Україна перебуває на початковому етапі впровадження цифрової валюти. Адже, Національний банк України вбачав криптовалюту як грошовий сурогат, який заборонявся використовуватись на території України відповідно до Листа Національного банку України від 08.12.2014 року №29–208/72889 [4]. Однак, вже в 2017 році Національний банк України скасував цей лист. У 2018 році Національний банк України вже запропонував пілотний проєкт «Е-гривня» який передбачав, що: «Е-гривня як засіб (інструмент) для здійснення миттєвих роздрібних платежів фізичними особами може стати альтернативою наявних засобів та інструментів роздрібних платежів – готівці, платіжним дорученням, платіжним карткам та електронним грошам» [5, с. 151]. На думку </w:t>
      </w:r>
      <w:r w:rsidRPr="00511005">
        <w:rPr>
          <w:rFonts w:ascii="Arial" w:eastAsia="Calibri" w:hAnsi="Arial" w:cs="Arial"/>
          <w:szCs w:val="28"/>
          <w:shd w:val="clear" w:color="auto" w:fill="FFFFFF"/>
        </w:rPr>
        <w:t xml:space="preserve">О. Дмитрика та А. Ісаєва </w:t>
      </w:r>
      <w:r w:rsidRPr="00511005">
        <w:rPr>
          <w:rFonts w:ascii="Arial" w:eastAsia="Calibri" w:hAnsi="Arial" w:cs="Arial"/>
          <w:szCs w:val="28"/>
        </w:rPr>
        <w:t>перевагою е-гривні є «простота використання, безпечність (погашення і розрахунки гарантуються Національним банком України), швидке отримання статусу користувача і швидкість самих розрахунків» [5, с.151].</w:t>
      </w:r>
    </w:p>
    <w:p w14:paraId="2743F419" w14:textId="77777777" w:rsidR="00B67481" w:rsidRPr="00511005" w:rsidRDefault="00B67481" w:rsidP="003A292D">
      <w:pPr>
        <w:suppressAutoHyphen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Законодавчий простір також передбачив дефініцію «цифрові гроші» в Законах України «Про валюту і валютні операції», «Про Національний банк України», «Про платіжні послуги», Цивільного кодексу України. Відповідно до п. 96 ч. 1 ст. 1 Закону України «Про платіжні послуги» № 1591-ІХ: «…цифрові гроші Національного банку України (далі - цифрові гроші) - електронна форма грошової одиниці України, емітентом якої є Національний банк України» [6]. Згідно з ч. 2 ст. 3 Закону № 1591-IX грошові кошти (кошти) для цілей цього Закону включають також електронні гроші та цифрові гроші у випадках, передбачених цим Законом. Електронні гроші та цифрові гроші існують лише в безготівковій формі </w:t>
      </w:r>
      <w:r w:rsidRPr="00511005">
        <w:rPr>
          <w:rFonts w:ascii="Arial" w:eastAsia="Times New Roman" w:hAnsi="Arial" w:cs="Arial"/>
          <w:szCs w:val="28"/>
          <w:lang w:eastAsia="uk-UA"/>
        </w:rPr>
        <w:t xml:space="preserve">[6]. Як бачимо </w:t>
      </w:r>
      <w:r w:rsidRPr="00511005">
        <w:rPr>
          <w:rFonts w:ascii="Arial" w:eastAsia="Times New Roman" w:hAnsi="Arial" w:cs="Arial"/>
          <w:szCs w:val="28"/>
          <w:lang w:val="uk-UA" w:eastAsia="uk-UA"/>
        </w:rPr>
        <w:t xml:space="preserve">Закон № 1591-IX установлює правові рамки, за яких електронні та цифрові гроші можуть визнаватися коштами, але це визнання не є автоматичним чи </w:t>
      </w:r>
      <w:r w:rsidRPr="00511005">
        <w:rPr>
          <w:rFonts w:ascii="Arial" w:eastAsia="Times New Roman" w:hAnsi="Arial" w:cs="Arial"/>
          <w:szCs w:val="28"/>
          <w:lang w:val="uk-UA" w:eastAsia="uk-UA"/>
        </w:rPr>
        <w:lastRenderedPageBreak/>
        <w:t>універсальним, а залежить від контексту їх застосування та відповідності вимогам, установленим Законом № 1591-IX. Іншими словами, електронні гроші та цифрові гроші набувають статусу законних засобів платежу лише за умови, що вони відповідають чітко визначеним законодавчим критеріям.</w:t>
      </w:r>
    </w:p>
    <w:p w14:paraId="74F83952" w14:textId="77777777" w:rsidR="00B67481" w:rsidRPr="00511005" w:rsidRDefault="00B67481" w:rsidP="003A292D">
      <w:pPr>
        <w:suppressAutoHyphen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Зі свого боку п. 6 ч. 1 ст. ЗУ «Про валюту і валютні операції» визначає валюту України (гривню) як «(а) грошові знаки грошової одиниці України – гривні у вигляді банкнот, монет, у тому числі обігових, пам’ятних та ювілейних монет, і в інших формах, що перебувають в обігу та є законним платіжним засобом на території України, а також вилучені або такі, що вилучаються з обігу, але підлягають обміну на грошові знаки, що перебувають в обігу; (б) кошти на рахунках у банках та інших фінансових установах, виражені у гривні; (в) електронні гроші, номіновані у гривні; г) цифрові гроші Національного банку України» [7].</w:t>
      </w:r>
    </w:p>
    <w:p w14:paraId="71BC019C" w14:textId="77777777" w:rsidR="00B67481" w:rsidRPr="00511005" w:rsidRDefault="00B67481" w:rsidP="003A292D">
      <w:pPr>
        <w:suppressAutoHyphen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Однак, відповідно до частини 1 статті 62 Закону № 1591-IX порядок емісії, зберігання, погашення цифрових грошей, а також особливості здійснення платіжних операцій із їх використанням регулюються нормативно-правовими актами Національного банку України [6]. Проте, попри те, що цифрові гроші як економіко-правовий феномен були включені до сфери законодавчого регулювання ще влітку 2021 року, станом на сьогодні Національний банк України ще не розробив і не затвердив відповідних нормативно-правових актів, які б комплексно врегульовували відносини, пов’язані з обігом цифрових грошей. Така затримка у формуванні регуляторної бази створює правову невизначеність, що обмежує практичне впровадження цифрових грошей, зокрема Е-гривні, у фінансову систему України та гальмує їх інтеграцію в економічні процеси.</w:t>
      </w:r>
    </w:p>
    <w:p w14:paraId="5496C391" w14:textId="77777777" w:rsidR="00B67481" w:rsidRPr="00511005" w:rsidRDefault="00B67481" w:rsidP="003A292D">
      <w:pPr>
        <w:suppressAutoHyphen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Звісно, що крок до впровадження цифрових грошей має великий потенціал докорінно змінити світову економіку, спрощуючи операції з міжнародними платежами, зниженню вартості транзакцій. Проте, існують певні ризики, зокрема пов’язані з кібербезпекою, нестабільністю курсу, потенційною втратою контролю з боку центральних банків, а також викликами щодо забезпечення конфіденційності й прав користувачів у цифровому середовищі.</w:t>
      </w:r>
    </w:p>
    <w:p w14:paraId="36D9824B" w14:textId="77777777" w:rsidR="00B67481" w:rsidRPr="00511005" w:rsidRDefault="00B67481" w:rsidP="003A292D">
      <w:pPr>
        <w:spacing w:line="264" w:lineRule="auto"/>
        <w:ind w:firstLine="567"/>
        <w:rPr>
          <w:rFonts w:ascii="Arial" w:eastAsia="Calibri" w:hAnsi="Arial" w:cs="Arial"/>
          <w:b/>
          <w:bCs/>
          <w:szCs w:val="28"/>
        </w:rPr>
      </w:pPr>
      <w:r w:rsidRPr="00511005">
        <w:rPr>
          <w:rFonts w:ascii="Arial" w:eastAsia="Calibri" w:hAnsi="Arial" w:cs="Arial"/>
          <w:szCs w:val="28"/>
          <w:lang w:val="uk-UA"/>
        </w:rPr>
        <w:t xml:space="preserve">Доцільно вважати, що гроші й цифрові гроші за своїм призначенням виконують одну функцію, як засіб платежу так і накопичення. Але, на сьогоднішній день традиційні гроші викликають більше довіри державою, оскільки підтримуються відповідними нормативно-правовими актами які гарантують їх стабільність та використання. </w:t>
      </w:r>
      <w:r w:rsidRPr="00511005">
        <w:rPr>
          <w:rFonts w:ascii="Arial" w:eastAsia="Calibri" w:hAnsi="Arial" w:cs="Arial"/>
          <w:szCs w:val="28"/>
        </w:rPr>
        <w:t>В той час як цифрові кошти є високо волатильними й мають деяке обмеження у повсякденному застосуванні.</w:t>
      </w:r>
    </w:p>
    <w:p w14:paraId="5168514F" w14:textId="77777777" w:rsidR="00B67481" w:rsidRPr="00511005" w:rsidRDefault="00B67481" w:rsidP="003A292D">
      <w:pPr>
        <w:suppressAutoHyphen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Таким чином, розвиток цифрових грошей є невід’ємною складовою трансформації глобальної фінансової системи, що відкриває перспективи для оптимізації грошового обігу, зниження трансакційних витрат і </w:t>
      </w:r>
      <w:r w:rsidRPr="00511005">
        <w:rPr>
          <w:rFonts w:ascii="Arial" w:eastAsia="Times New Roman" w:hAnsi="Arial" w:cs="Arial"/>
          <w:szCs w:val="28"/>
          <w:lang w:val="uk-UA" w:eastAsia="uk-UA"/>
        </w:rPr>
        <w:lastRenderedPageBreak/>
        <w:t>підвищення фінансової інклюзивності. Водночас їх впровадження супроводжується суттєвими викликами для правової науки та регуляторних органів, зокрема необхідністю чіткого визначення правового статусу цифрових валют, забезпечення кібербезпеки, захисту конфіденційності користувачів і балансу між інноваціями та фінансовою стабільністю. В Україні затримка з розробкою нормативно-правової бази для обігу цифрових грошей, таких як Е-гривня, створює правову невизначеність, що стримує їх інтеграцію в економічні процеси. Таким чином, успішне впровадження цифрових грошей вимагає комплексного підходу, який поєднує технологічні інновації, ефективне правове регулювання та врахування соціально-економічних реалій.</w:t>
      </w:r>
    </w:p>
    <w:p w14:paraId="2A042A47" w14:textId="77777777" w:rsidR="00B67481" w:rsidRPr="00511005" w:rsidRDefault="00B67481" w:rsidP="003A292D">
      <w:pPr>
        <w:spacing w:line="264" w:lineRule="auto"/>
        <w:ind w:firstLine="567"/>
        <w:jc w:val="center"/>
        <w:rPr>
          <w:rFonts w:ascii="Arial" w:eastAsia="Times New Roman" w:hAnsi="Arial" w:cs="Arial"/>
          <w:b/>
          <w:bCs/>
          <w:szCs w:val="28"/>
          <w:lang w:val="uk-UA" w:eastAsia="uk-UA"/>
        </w:rPr>
      </w:pPr>
    </w:p>
    <w:p w14:paraId="7CD6B2D1" w14:textId="14A0A5CD" w:rsidR="00B67481" w:rsidRPr="00511005" w:rsidRDefault="007B2628" w:rsidP="007B2628">
      <w:pPr>
        <w:spacing w:line="264" w:lineRule="auto"/>
        <w:ind w:firstLine="567"/>
        <w:jc w:val="center"/>
        <w:rPr>
          <w:rFonts w:ascii="Arial" w:eastAsia="Calibri" w:hAnsi="Arial" w:cs="Arial"/>
          <w:szCs w:val="28"/>
          <w:lang w:val="uk-UA"/>
        </w:rPr>
      </w:pPr>
      <w:r w:rsidRPr="00511005">
        <w:rPr>
          <w:rFonts w:ascii="Arial" w:eastAsia="Times New Roman" w:hAnsi="Arial" w:cs="Arial"/>
          <w:b/>
          <w:bCs/>
          <w:szCs w:val="28"/>
          <w:lang w:val="uk-UA" w:eastAsia="uk-UA"/>
        </w:rPr>
        <w:t>Список використаних джерел</w:t>
      </w:r>
    </w:p>
    <w:p w14:paraId="5396F1A3" w14:textId="1548D4AD" w:rsidR="00B67481" w:rsidRPr="00511005" w:rsidRDefault="00B67481"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1. </w:t>
      </w:r>
      <w:r w:rsidRPr="00511005">
        <w:rPr>
          <w:rFonts w:ascii="Arial" w:eastAsia="Calibri" w:hAnsi="Arial" w:cs="Arial"/>
          <w:szCs w:val="28"/>
        </w:rPr>
        <w:t>GeoEconomics</w:t>
      </w:r>
      <w:r w:rsidRPr="00511005">
        <w:rPr>
          <w:rFonts w:ascii="Arial" w:eastAsia="Calibri" w:hAnsi="Arial" w:cs="Arial"/>
          <w:szCs w:val="28"/>
          <w:lang w:val="uk-UA"/>
        </w:rPr>
        <w:t xml:space="preserve"> </w:t>
      </w:r>
      <w:r w:rsidRPr="00511005">
        <w:rPr>
          <w:rFonts w:ascii="Arial" w:eastAsia="Calibri" w:hAnsi="Arial" w:cs="Arial"/>
          <w:szCs w:val="28"/>
        </w:rPr>
        <w:t>Center</w:t>
      </w:r>
      <w:r w:rsidRPr="00511005">
        <w:rPr>
          <w:rFonts w:ascii="Arial" w:eastAsia="Calibri" w:hAnsi="Arial" w:cs="Arial"/>
          <w:szCs w:val="28"/>
          <w:lang w:val="uk-UA"/>
        </w:rPr>
        <w:t xml:space="preserve"> </w:t>
      </w:r>
      <w:r w:rsidRPr="00511005">
        <w:rPr>
          <w:rFonts w:ascii="Arial" w:eastAsia="Calibri" w:hAnsi="Arial" w:cs="Arial"/>
          <w:szCs w:val="28"/>
        </w:rPr>
        <w:t>URL</w:t>
      </w:r>
      <w:r w:rsidRPr="00511005">
        <w:rPr>
          <w:rFonts w:ascii="Arial" w:eastAsia="Calibri" w:hAnsi="Arial" w:cs="Arial"/>
          <w:szCs w:val="28"/>
          <w:lang w:val="uk-UA"/>
        </w:rPr>
        <w:t xml:space="preserve">: </w:t>
      </w:r>
      <w:hyperlink r:id="rId997" w:history="1">
        <w:r w:rsidRPr="00511005">
          <w:rPr>
            <w:rFonts w:ascii="Arial" w:eastAsia="Calibri" w:hAnsi="Arial" w:cs="Arial"/>
            <w:szCs w:val="28"/>
          </w:rPr>
          <w:t>https</w:t>
        </w:r>
        <w:r w:rsidRPr="00511005">
          <w:rPr>
            <w:rFonts w:ascii="Arial" w:eastAsia="Calibri" w:hAnsi="Arial" w:cs="Arial"/>
            <w:szCs w:val="28"/>
            <w:lang w:val="uk-UA"/>
          </w:rPr>
          <w:t>://</w:t>
        </w:r>
        <w:r w:rsidRPr="00511005">
          <w:rPr>
            <w:rFonts w:ascii="Arial" w:eastAsia="Calibri" w:hAnsi="Arial" w:cs="Arial"/>
            <w:szCs w:val="28"/>
          </w:rPr>
          <w:t>www</w:t>
        </w:r>
        <w:r w:rsidRPr="00511005">
          <w:rPr>
            <w:rFonts w:ascii="Arial" w:eastAsia="Calibri" w:hAnsi="Arial" w:cs="Arial"/>
            <w:szCs w:val="28"/>
            <w:lang w:val="uk-UA"/>
          </w:rPr>
          <w:t>.</w:t>
        </w:r>
        <w:r w:rsidRPr="00511005">
          <w:rPr>
            <w:rFonts w:ascii="Arial" w:eastAsia="Calibri" w:hAnsi="Arial" w:cs="Arial"/>
            <w:szCs w:val="28"/>
          </w:rPr>
          <w:t>atlanticcouncil</w:t>
        </w:r>
        <w:r w:rsidRPr="00511005">
          <w:rPr>
            <w:rFonts w:ascii="Arial" w:eastAsia="Calibri" w:hAnsi="Arial" w:cs="Arial"/>
            <w:szCs w:val="28"/>
            <w:lang w:val="uk-UA"/>
          </w:rPr>
          <w:t>.</w:t>
        </w:r>
        <w:r w:rsidRPr="00511005">
          <w:rPr>
            <w:rFonts w:ascii="Arial" w:eastAsia="Calibri" w:hAnsi="Arial" w:cs="Arial"/>
            <w:szCs w:val="28"/>
          </w:rPr>
          <w:t>org</w:t>
        </w:r>
        <w:r w:rsidRPr="00511005">
          <w:rPr>
            <w:rFonts w:ascii="Arial" w:eastAsia="Calibri" w:hAnsi="Arial" w:cs="Arial"/>
            <w:szCs w:val="28"/>
            <w:lang w:val="uk-UA"/>
          </w:rPr>
          <w:t>/</w:t>
        </w:r>
        <w:r w:rsidRPr="00511005">
          <w:rPr>
            <w:rFonts w:ascii="Arial" w:eastAsia="Calibri" w:hAnsi="Arial" w:cs="Arial"/>
            <w:szCs w:val="28"/>
          </w:rPr>
          <w:t>cbdctracker</w:t>
        </w:r>
        <w:r w:rsidRPr="00511005">
          <w:rPr>
            <w:rFonts w:ascii="Arial" w:eastAsia="Calibri" w:hAnsi="Arial" w:cs="Arial"/>
            <w:szCs w:val="28"/>
            <w:lang w:val="uk-UA"/>
          </w:rPr>
          <w:t>/</w:t>
        </w:r>
      </w:hyperlink>
      <w:r w:rsidR="007B2628" w:rsidRPr="00511005">
        <w:rPr>
          <w:rFonts w:ascii="Arial" w:eastAsia="Calibri" w:hAnsi="Arial" w:cs="Arial"/>
          <w:szCs w:val="28"/>
          <w:lang w:val="uk-UA"/>
        </w:rPr>
        <w:t xml:space="preserve"> </w:t>
      </w:r>
      <w:r w:rsidRPr="00511005">
        <w:rPr>
          <w:rFonts w:ascii="Arial" w:eastAsia="Calibri" w:hAnsi="Arial" w:cs="Arial"/>
          <w:szCs w:val="28"/>
          <w:lang w:val="uk-UA"/>
        </w:rPr>
        <w:t>(дата звернення 16.04.2025).</w:t>
      </w:r>
    </w:p>
    <w:p w14:paraId="60C0E1D7" w14:textId="77777777" w:rsidR="00B67481" w:rsidRPr="00511005" w:rsidRDefault="00B67481" w:rsidP="003A292D">
      <w:pPr>
        <w:suppressAutoHyphens/>
        <w:spacing w:line="264" w:lineRule="auto"/>
        <w:ind w:firstLine="567"/>
        <w:contextualSpacing/>
        <w:rPr>
          <w:rFonts w:ascii="Arial" w:eastAsia="Calibri" w:hAnsi="Arial" w:cs="Arial"/>
          <w:szCs w:val="28"/>
        </w:rPr>
      </w:pPr>
      <w:r w:rsidRPr="00511005">
        <w:rPr>
          <w:rFonts w:ascii="Arial" w:eastAsia="Calibri" w:hAnsi="Arial" w:cs="Arial"/>
          <w:szCs w:val="28"/>
          <w:lang w:val="uk-UA"/>
        </w:rPr>
        <w:t xml:space="preserve">2. Дмитрик О.О., Артеменко К.В. Безпека та прозорість: як </w:t>
      </w:r>
      <w:r w:rsidRPr="00511005">
        <w:rPr>
          <w:rFonts w:ascii="Arial" w:eastAsia="Calibri" w:hAnsi="Arial" w:cs="Arial"/>
          <w:szCs w:val="28"/>
          <w:lang w:val="pl-PL"/>
        </w:rPr>
        <w:t>blockhein</w:t>
      </w:r>
      <w:r w:rsidRPr="00511005">
        <w:rPr>
          <w:rFonts w:ascii="Arial" w:eastAsia="Calibri" w:hAnsi="Arial" w:cs="Arial"/>
          <w:szCs w:val="28"/>
          <w:lang w:val="uk-UA"/>
        </w:rPr>
        <w:t xml:space="preserve"> змінює платіжні системи і фінансовий сектор.</w:t>
      </w:r>
      <w:r w:rsidRPr="00511005">
        <w:rPr>
          <w:rFonts w:ascii="Arial" w:eastAsia="Calibri" w:hAnsi="Arial" w:cs="Arial"/>
          <w:i/>
          <w:iCs/>
          <w:szCs w:val="28"/>
          <w:lang w:val="uk-UA"/>
        </w:rPr>
        <w:t xml:space="preserve"> </w:t>
      </w:r>
      <w:r w:rsidRPr="00511005">
        <w:rPr>
          <w:rFonts w:ascii="Arial" w:eastAsia="Calibri" w:hAnsi="Arial" w:cs="Arial"/>
          <w:i/>
          <w:iCs/>
          <w:szCs w:val="28"/>
        </w:rPr>
        <w:t xml:space="preserve">Юридичний науковий електронний журнал. </w:t>
      </w:r>
      <w:r w:rsidRPr="00511005">
        <w:rPr>
          <w:rFonts w:ascii="Arial" w:eastAsia="Calibri" w:hAnsi="Arial" w:cs="Arial"/>
          <w:szCs w:val="28"/>
        </w:rPr>
        <w:t xml:space="preserve">2023. №9. С. 460–464. </w:t>
      </w:r>
    </w:p>
    <w:p w14:paraId="62A4D6F6" w14:textId="77777777" w:rsidR="00B67481" w:rsidRPr="00511005" w:rsidRDefault="00B67481" w:rsidP="003A292D">
      <w:pPr>
        <w:suppressAutoHyphens/>
        <w:spacing w:line="264" w:lineRule="auto"/>
        <w:ind w:firstLine="567"/>
        <w:contextualSpacing/>
        <w:rPr>
          <w:rFonts w:ascii="Arial" w:eastAsia="Calibri" w:hAnsi="Arial" w:cs="Arial"/>
          <w:szCs w:val="28"/>
        </w:rPr>
      </w:pPr>
      <w:r w:rsidRPr="00511005">
        <w:rPr>
          <w:rFonts w:ascii="Arial" w:eastAsia="Calibri" w:hAnsi="Arial" w:cs="Arial"/>
          <w:szCs w:val="28"/>
        </w:rPr>
        <w:t xml:space="preserve">3. Піхоцька О.М., Попович Н.П. Електронна валюта: міжнародний досвід і перспективи впровадження в Україні. </w:t>
      </w:r>
      <w:r w:rsidRPr="00511005">
        <w:rPr>
          <w:rFonts w:ascii="Arial" w:eastAsia="Calibri" w:hAnsi="Arial" w:cs="Arial"/>
          <w:i/>
          <w:iCs/>
          <w:szCs w:val="28"/>
        </w:rPr>
        <w:t>Наукові записки Львівського університету бізнесу та права. Серія економічна. Серія юридична.</w:t>
      </w:r>
      <w:r w:rsidRPr="00511005">
        <w:rPr>
          <w:rFonts w:ascii="Arial" w:eastAsia="Calibri" w:hAnsi="Arial" w:cs="Arial"/>
          <w:szCs w:val="28"/>
        </w:rPr>
        <w:t xml:space="preserve"> 2022. Вип. 32. </w:t>
      </w:r>
      <w:r w:rsidRPr="00511005">
        <w:rPr>
          <w:rFonts w:ascii="Arial" w:eastAsia="Calibri" w:hAnsi="Arial" w:cs="Arial"/>
          <w:szCs w:val="28"/>
          <w:lang w:val="pl-PL"/>
        </w:rPr>
        <w:t>URL</w:t>
      </w:r>
      <w:r w:rsidRPr="00511005">
        <w:rPr>
          <w:rFonts w:ascii="Arial" w:eastAsia="Calibri" w:hAnsi="Arial" w:cs="Arial"/>
          <w:szCs w:val="28"/>
        </w:rPr>
        <w:t xml:space="preserve">: </w:t>
      </w:r>
      <w:hyperlink r:id="rId998" w:history="1">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zenodo</w:t>
        </w:r>
        <w:r w:rsidRPr="00511005">
          <w:rPr>
            <w:rFonts w:ascii="Arial" w:eastAsia="Calibri" w:hAnsi="Arial" w:cs="Arial"/>
            <w:szCs w:val="28"/>
          </w:rPr>
          <w:t>.</w:t>
        </w:r>
        <w:r w:rsidRPr="00511005">
          <w:rPr>
            <w:rFonts w:ascii="Arial" w:eastAsia="Calibri" w:hAnsi="Arial" w:cs="Arial"/>
            <w:szCs w:val="28"/>
            <w:lang w:val="pl-PL"/>
          </w:rPr>
          <w:t>org</w:t>
        </w:r>
        <w:r w:rsidRPr="00511005">
          <w:rPr>
            <w:rFonts w:ascii="Arial" w:eastAsia="Calibri" w:hAnsi="Arial" w:cs="Arial"/>
            <w:szCs w:val="28"/>
          </w:rPr>
          <w:t>/</w:t>
        </w:r>
        <w:r w:rsidRPr="00511005">
          <w:rPr>
            <w:rFonts w:ascii="Arial" w:eastAsia="Calibri" w:hAnsi="Arial" w:cs="Arial"/>
            <w:szCs w:val="28"/>
            <w:lang w:val="pl-PL"/>
          </w:rPr>
          <w:t>records</w:t>
        </w:r>
        <w:r w:rsidRPr="00511005">
          <w:rPr>
            <w:rFonts w:ascii="Arial" w:eastAsia="Calibri" w:hAnsi="Arial" w:cs="Arial"/>
            <w:szCs w:val="28"/>
          </w:rPr>
          <w:t>/7198023</w:t>
        </w:r>
      </w:hyperlink>
      <w:r w:rsidRPr="00511005">
        <w:rPr>
          <w:rFonts w:ascii="Arial" w:eastAsia="Calibri" w:hAnsi="Arial" w:cs="Arial"/>
          <w:szCs w:val="28"/>
        </w:rPr>
        <w:t xml:space="preserve"> (дата звернення 16.04.2025).</w:t>
      </w:r>
    </w:p>
    <w:p w14:paraId="68D77DBF" w14:textId="77777777" w:rsidR="00B67481" w:rsidRPr="00511005" w:rsidRDefault="00B67481" w:rsidP="003A292D">
      <w:pPr>
        <w:suppressAutoHyphens/>
        <w:spacing w:line="264" w:lineRule="auto"/>
        <w:ind w:right="-1" w:firstLine="567"/>
        <w:contextualSpacing/>
        <w:rPr>
          <w:rFonts w:ascii="Arial" w:eastAsia="Calibri" w:hAnsi="Arial" w:cs="Arial"/>
          <w:szCs w:val="28"/>
          <w:shd w:val="clear" w:color="auto" w:fill="FFFFFF"/>
        </w:rPr>
      </w:pPr>
      <w:r w:rsidRPr="00511005">
        <w:rPr>
          <w:rFonts w:ascii="Arial" w:eastAsia="Calibri" w:hAnsi="Arial" w:cs="Arial"/>
          <w:szCs w:val="28"/>
        </w:rPr>
        <w:t xml:space="preserve">4. Лист Національного банку України від 08.12.2014 року № 29–208/72889. </w:t>
      </w:r>
      <w:r w:rsidRPr="00511005">
        <w:rPr>
          <w:rFonts w:ascii="Arial" w:eastAsia="Calibri" w:hAnsi="Arial" w:cs="Arial"/>
          <w:szCs w:val="28"/>
          <w:lang w:val="pl-PL"/>
        </w:rPr>
        <w:t>URL</w:t>
      </w:r>
      <w:r w:rsidRPr="00511005">
        <w:rPr>
          <w:rFonts w:ascii="Arial" w:eastAsia="Calibri" w:hAnsi="Arial" w:cs="Arial"/>
          <w:szCs w:val="28"/>
        </w:rPr>
        <w:t xml:space="preserve">: </w:t>
      </w:r>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zakon</w:t>
      </w:r>
      <w:r w:rsidRPr="00511005">
        <w:rPr>
          <w:rFonts w:ascii="Arial" w:eastAsia="Calibri" w:hAnsi="Arial" w:cs="Arial"/>
          <w:szCs w:val="28"/>
        </w:rPr>
        <w:t>.</w:t>
      </w:r>
      <w:r w:rsidRPr="00511005">
        <w:rPr>
          <w:rFonts w:ascii="Arial" w:eastAsia="Calibri" w:hAnsi="Arial" w:cs="Arial"/>
          <w:szCs w:val="28"/>
          <w:lang w:val="pl-PL"/>
        </w:rPr>
        <w:t>rada</w:t>
      </w:r>
      <w:r w:rsidRPr="00511005">
        <w:rPr>
          <w:rFonts w:ascii="Arial" w:eastAsia="Calibri" w:hAnsi="Arial" w:cs="Arial"/>
          <w:szCs w:val="28"/>
        </w:rPr>
        <w:t>.</w:t>
      </w:r>
      <w:r w:rsidRPr="00511005">
        <w:rPr>
          <w:rFonts w:ascii="Arial" w:eastAsia="Calibri" w:hAnsi="Arial" w:cs="Arial"/>
          <w:szCs w:val="28"/>
          <w:lang w:val="pl-PL"/>
        </w:rPr>
        <w:t>gov</w:t>
      </w:r>
      <w:r w:rsidRPr="00511005">
        <w:rPr>
          <w:rFonts w:ascii="Arial" w:eastAsia="Calibri" w:hAnsi="Arial" w:cs="Arial"/>
          <w:szCs w:val="28"/>
        </w:rPr>
        <w:t>.</w:t>
      </w:r>
      <w:r w:rsidRPr="00511005">
        <w:rPr>
          <w:rFonts w:ascii="Arial" w:eastAsia="Calibri" w:hAnsi="Arial" w:cs="Arial"/>
          <w:szCs w:val="28"/>
          <w:lang w:val="pl-PL"/>
        </w:rPr>
        <w:t>ua</w:t>
      </w:r>
      <w:r w:rsidRPr="00511005">
        <w:rPr>
          <w:rFonts w:ascii="Arial" w:eastAsia="Calibri" w:hAnsi="Arial" w:cs="Arial"/>
          <w:szCs w:val="28"/>
        </w:rPr>
        <w:t>/</w:t>
      </w:r>
      <w:r w:rsidRPr="00511005">
        <w:rPr>
          <w:rFonts w:ascii="Arial" w:eastAsia="Calibri" w:hAnsi="Arial" w:cs="Arial"/>
          <w:szCs w:val="28"/>
          <w:lang w:val="pl-PL"/>
        </w:rPr>
        <w:t>laws</w:t>
      </w:r>
      <w:r w:rsidRPr="00511005">
        <w:rPr>
          <w:rFonts w:ascii="Arial" w:eastAsia="Calibri" w:hAnsi="Arial" w:cs="Arial"/>
          <w:szCs w:val="28"/>
        </w:rPr>
        <w:t>/</w:t>
      </w:r>
      <w:r w:rsidRPr="00511005">
        <w:rPr>
          <w:rFonts w:ascii="Arial" w:eastAsia="Calibri" w:hAnsi="Arial" w:cs="Arial"/>
          <w:szCs w:val="28"/>
          <w:lang w:val="pl-PL"/>
        </w:rPr>
        <w:t>show</w:t>
      </w:r>
      <w:r w:rsidRPr="00511005">
        <w:rPr>
          <w:rFonts w:ascii="Arial" w:eastAsia="Calibri" w:hAnsi="Arial" w:cs="Arial"/>
          <w:szCs w:val="28"/>
        </w:rPr>
        <w:t>/</w:t>
      </w:r>
      <w:r w:rsidRPr="00511005">
        <w:rPr>
          <w:rFonts w:ascii="Arial" w:eastAsia="Calibri" w:hAnsi="Arial" w:cs="Arial"/>
          <w:szCs w:val="28"/>
          <w:lang w:val="pl-PL"/>
        </w:rPr>
        <w:t>v</w:t>
      </w:r>
      <w:r w:rsidRPr="00511005">
        <w:rPr>
          <w:rFonts w:ascii="Arial" w:eastAsia="Calibri" w:hAnsi="Arial" w:cs="Arial"/>
          <w:szCs w:val="28"/>
        </w:rPr>
        <w:t>2889500-14#</w:t>
      </w:r>
      <w:r w:rsidRPr="00511005">
        <w:rPr>
          <w:rFonts w:ascii="Arial" w:eastAsia="Calibri" w:hAnsi="Arial" w:cs="Arial"/>
          <w:szCs w:val="28"/>
          <w:lang w:val="pl-PL"/>
        </w:rPr>
        <w:t>Text</w:t>
      </w:r>
      <w:r w:rsidRPr="00511005">
        <w:rPr>
          <w:rFonts w:ascii="Arial" w:eastAsia="Calibri" w:hAnsi="Arial" w:cs="Arial"/>
          <w:szCs w:val="28"/>
        </w:rPr>
        <w:t xml:space="preserve"> (дата звернення 16.04.2025).</w:t>
      </w:r>
    </w:p>
    <w:p w14:paraId="2DFFF52F" w14:textId="77777777" w:rsidR="00B67481" w:rsidRPr="00511005" w:rsidRDefault="00B67481" w:rsidP="003A292D">
      <w:pPr>
        <w:suppressAutoHyphens/>
        <w:spacing w:line="264" w:lineRule="auto"/>
        <w:ind w:firstLine="567"/>
        <w:contextualSpacing/>
        <w:rPr>
          <w:rFonts w:ascii="Arial" w:eastAsia="Calibri" w:hAnsi="Arial" w:cs="Arial"/>
          <w:szCs w:val="28"/>
        </w:rPr>
      </w:pPr>
      <w:r w:rsidRPr="00511005">
        <w:rPr>
          <w:rFonts w:ascii="Arial" w:eastAsia="Calibri" w:hAnsi="Arial" w:cs="Arial"/>
          <w:szCs w:val="28"/>
          <w:shd w:val="clear" w:color="auto" w:fill="FFFFFF"/>
        </w:rPr>
        <w:t xml:space="preserve">5. Дмитрик О.О., Ісаєв А.М. Віртуальні активи, цифрові гроші, платіжні системи: деякі аспекти правового регулювання. </w:t>
      </w:r>
      <w:r w:rsidRPr="00511005">
        <w:rPr>
          <w:rFonts w:ascii="Arial" w:eastAsia="Calibri" w:hAnsi="Arial" w:cs="Arial"/>
          <w:i/>
          <w:iCs/>
          <w:szCs w:val="28"/>
          <w:shd w:val="clear" w:color="auto" w:fill="FFFFFF"/>
        </w:rPr>
        <w:t>Правова позиція</w:t>
      </w:r>
      <w:r w:rsidRPr="00511005">
        <w:rPr>
          <w:rFonts w:ascii="Arial" w:eastAsia="Calibri" w:hAnsi="Arial" w:cs="Arial"/>
          <w:szCs w:val="28"/>
          <w:shd w:val="clear" w:color="auto" w:fill="FFFFFF"/>
        </w:rPr>
        <w:t xml:space="preserve">, № 3 (40), 2023. С. 149-154. </w:t>
      </w:r>
    </w:p>
    <w:p w14:paraId="4F6DDC06" w14:textId="77777777" w:rsidR="00B67481" w:rsidRPr="00511005" w:rsidRDefault="00B67481" w:rsidP="003A292D">
      <w:pPr>
        <w:spacing w:line="264" w:lineRule="auto"/>
        <w:ind w:firstLine="567"/>
        <w:rPr>
          <w:rFonts w:ascii="Arial" w:eastAsia="Calibri" w:hAnsi="Arial" w:cs="Arial"/>
          <w:szCs w:val="28"/>
        </w:rPr>
      </w:pPr>
      <w:r w:rsidRPr="00511005">
        <w:rPr>
          <w:rFonts w:ascii="Arial" w:eastAsia="Calibri" w:hAnsi="Arial" w:cs="Arial"/>
          <w:szCs w:val="28"/>
        </w:rPr>
        <w:t>6. Про платіжні послуги: Закон України від 30.06.2021 № 1591-</w:t>
      </w:r>
      <w:r w:rsidRPr="00511005">
        <w:rPr>
          <w:rFonts w:ascii="Arial" w:eastAsia="Calibri" w:hAnsi="Arial" w:cs="Arial"/>
          <w:szCs w:val="28"/>
          <w:lang w:val="pl-PL"/>
        </w:rPr>
        <w:t>IX</w:t>
      </w:r>
      <w:r w:rsidRPr="00511005">
        <w:rPr>
          <w:rFonts w:ascii="Arial" w:eastAsia="Calibri" w:hAnsi="Arial" w:cs="Arial"/>
          <w:szCs w:val="28"/>
        </w:rPr>
        <w:t xml:space="preserve"> (Редакція від 15.11.2024 № 4017-</w:t>
      </w:r>
      <w:r w:rsidRPr="00511005">
        <w:rPr>
          <w:rFonts w:ascii="Arial" w:eastAsia="Calibri" w:hAnsi="Arial" w:cs="Arial"/>
          <w:szCs w:val="28"/>
          <w:lang w:val="pl-PL"/>
        </w:rPr>
        <w:t>IX</w:t>
      </w:r>
      <w:r w:rsidRPr="00511005">
        <w:rPr>
          <w:rFonts w:ascii="Arial" w:eastAsia="Calibri" w:hAnsi="Arial" w:cs="Arial"/>
          <w:szCs w:val="28"/>
        </w:rPr>
        <w:t xml:space="preserve">) </w:t>
      </w:r>
      <w:r w:rsidRPr="00511005">
        <w:rPr>
          <w:rFonts w:ascii="Arial" w:eastAsia="Calibri" w:hAnsi="Arial" w:cs="Arial"/>
          <w:szCs w:val="28"/>
          <w:lang w:val="pl-PL"/>
        </w:rPr>
        <w:t>URL</w:t>
      </w:r>
      <w:r w:rsidRPr="00511005">
        <w:rPr>
          <w:rFonts w:ascii="Arial" w:eastAsia="Calibri" w:hAnsi="Arial" w:cs="Arial"/>
          <w:szCs w:val="28"/>
        </w:rPr>
        <w:t xml:space="preserve">: </w:t>
      </w:r>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zakon</w:t>
      </w:r>
      <w:r w:rsidRPr="00511005">
        <w:rPr>
          <w:rFonts w:ascii="Arial" w:eastAsia="Calibri" w:hAnsi="Arial" w:cs="Arial"/>
          <w:szCs w:val="28"/>
        </w:rPr>
        <w:t>.</w:t>
      </w:r>
      <w:r w:rsidRPr="00511005">
        <w:rPr>
          <w:rFonts w:ascii="Arial" w:eastAsia="Calibri" w:hAnsi="Arial" w:cs="Arial"/>
          <w:szCs w:val="28"/>
          <w:lang w:val="pl-PL"/>
        </w:rPr>
        <w:t>rada</w:t>
      </w:r>
      <w:r w:rsidRPr="00511005">
        <w:rPr>
          <w:rFonts w:ascii="Arial" w:eastAsia="Calibri" w:hAnsi="Arial" w:cs="Arial"/>
          <w:szCs w:val="28"/>
        </w:rPr>
        <w:t>.</w:t>
      </w:r>
      <w:r w:rsidRPr="00511005">
        <w:rPr>
          <w:rFonts w:ascii="Arial" w:eastAsia="Calibri" w:hAnsi="Arial" w:cs="Arial"/>
          <w:szCs w:val="28"/>
          <w:lang w:val="pl-PL"/>
        </w:rPr>
        <w:t>gov</w:t>
      </w:r>
      <w:r w:rsidRPr="00511005">
        <w:rPr>
          <w:rFonts w:ascii="Arial" w:eastAsia="Calibri" w:hAnsi="Arial" w:cs="Arial"/>
          <w:szCs w:val="28"/>
        </w:rPr>
        <w:t>.</w:t>
      </w:r>
      <w:r w:rsidRPr="00511005">
        <w:rPr>
          <w:rFonts w:ascii="Arial" w:eastAsia="Calibri" w:hAnsi="Arial" w:cs="Arial"/>
          <w:szCs w:val="28"/>
          <w:lang w:val="pl-PL"/>
        </w:rPr>
        <w:t>ua</w:t>
      </w:r>
      <w:r w:rsidRPr="00511005">
        <w:rPr>
          <w:rFonts w:ascii="Arial" w:eastAsia="Calibri" w:hAnsi="Arial" w:cs="Arial"/>
          <w:szCs w:val="28"/>
        </w:rPr>
        <w:t>/</w:t>
      </w:r>
      <w:r w:rsidRPr="00511005">
        <w:rPr>
          <w:rFonts w:ascii="Arial" w:eastAsia="Calibri" w:hAnsi="Arial" w:cs="Arial"/>
          <w:szCs w:val="28"/>
          <w:lang w:val="pl-PL"/>
        </w:rPr>
        <w:t>laws</w:t>
      </w:r>
      <w:r w:rsidRPr="00511005">
        <w:rPr>
          <w:rFonts w:ascii="Arial" w:eastAsia="Calibri" w:hAnsi="Arial" w:cs="Arial"/>
          <w:szCs w:val="28"/>
        </w:rPr>
        <w:t xml:space="preserve">/ </w:t>
      </w:r>
      <w:r w:rsidRPr="00511005">
        <w:rPr>
          <w:rFonts w:ascii="Arial" w:eastAsia="Calibri" w:hAnsi="Arial" w:cs="Arial"/>
          <w:szCs w:val="28"/>
          <w:lang w:val="pl-PL"/>
        </w:rPr>
        <w:t>show</w:t>
      </w:r>
      <w:r w:rsidRPr="00511005">
        <w:rPr>
          <w:rFonts w:ascii="Arial" w:eastAsia="Calibri" w:hAnsi="Arial" w:cs="Arial"/>
          <w:szCs w:val="28"/>
        </w:rPr>
        <w:t>/1591-20/</w:t>
      </w:r>
      <w:r w:rsidRPr="00511005">
        <w:rPr>
          <w:rFonts w:ascii="Arial" w:eastAsia="Calibri" w:hAnsi="Arial" w:cs="Arial"/>
          <w:szCs w:val="28"/>
          <w:lang w:val="pl-PL"/>
        </w:rPr>
        <w:t>ed</w:t>
      </w:r>
      <w:r w:rsidRPr="00511005">
        <w:rPr>
          <w:rFonts w:ascii="Arial" w:eastAsia="Calibri" w:hAnsi="Arial" w:cs="Arial"/>
          <w:szCs w:val="28"/>
        </w:rPr>
        <w:t>20210630#</w:t>
      </w:r>
      <w:r w:rsidRPr="00511005">
        <w:rPr>
          <w:rFonts w:ascii="Arial" w:eastAsia="Calibri" w:hAnsi="Arial" w:cs="Arial"/>
          <w:szCs w:val="28"/>
          <w:lang w:val="pl-PL"/>
        </w:rPr>
        <w:t>n</w:t>
      </w:r>
      <w:r w:rsidRPr="00511005">
        <w:rPr>
          <w:rFonts w:ascii="Arial" w:eastAsia="Calibri" w:hAnsi="Arial" w:cs="Arial"/>
          <w:szCs w:val="28"/>
        </w:rPr>
        <w:t>132 (дата звернення 16.04.2025).</w:t>
      </w:r>
    </w:p>
    <w:p w14:paraId="449EA4C0" w14:textId="77777777" w:rsidR="00B67481" w:rsidRPr="00511005" w:rsidRDefault="00B67481" w:rsidP="003A292D">
      <w:pPr>
        <w:spacing w:line="264" w:lineRule="auto"/>
        <w:ind w:firstLine="567"/>
        <w:rPr>
          <w:rFonts w:ascii="Arial" w:eastAsia="Calibri" w:hAnsi="Arial" w:cs="Arial"/>
          <w:szCs w:val="28"/>
        </w:rPr>
      </w:pPr>
      <w:r w:rsidRPr="00511005">
        <w:rPr>
          <w:rFonts w:ascii="Arial" w:eastAsia="Calibri" w:hAnsi="Arial" w:cs="Arial"/>
          <w:szCs w:val="28"/>
        </w:rPr>
        <w:t>7. Про валюту і валютні операції: Закон України від 21.06.2018 № 2473-</w:t>
      </w:r>
      <w:r w:rsidRPr="00511005">
        <w:rPr>
          <w:rFonts w:ascii="Arial" w:eastAsia="Calibri" w:hAnsi="Arial" w:cs="Arial"/>
          <w:szCs w:val="28"/>
          <w:lang w:val="pl-PL"/>
        </w:rPr>
        <w:t>VIII</w:t>
      </w:r>
      <w:r w:rsidRPr="00511005">
        <w:rPr>
          <w:rFonts w:ascii="Arial" w:eastAsia="Calibri" w:hAnsi="Arial" w:cs="Arial"/>
          <w:szCs w:val="28"/>
        </w:rPr>
        <w:t xml:space="preserve"> (Редакція від 15.11.2024 № 4017-</w:t>
      </w:r>
      <w:r w:rsidRPr="00511005">
        <w:rPr>
          <w:rFonts w:ascii="Arial" w:eastAsia="Calibri" w:hAnsi="Arial" w:cs="Arial"/>
          <w:szCs w:val="28"/>
          <w:lang w:val="pl-PL"/>
        </w:rPr>
        <w:t>IX</w:t>
      </w:r>
      <w:r w:rsidRPr="00511005">
        <w:rPr>
          <w:rFonts w:ascii="Arial" w:eastAsia="Calibri" w:hAnsi="Arial" w:cs="Arial"/>
          <w:szCs w:val="28"/>
        </w:rPr>
        <w:t xml:space="preserve">) </w:t>
      </w:r>
      <w:r w:rsidRPr="00511005">
        <w:rPr>
          <w:rFonts w:ascii="Arial" w:eastAsia="Calibri" w:hAnsi="Arial" w:cs="Arial"/>
          <w:szCs w:val="28"/>
          <w:lang w:val="pl-PL"/>
        </w:rPr>
        <w:t>URL</w:t>
      </w:r>
      <w:r w:rsidRPr="00511005">
        <w:rPr>
          <w:rFonts w:ascii="Arial" w:eastAsia="Calibri" w:hAnsi="Arial" w:cs="Arial"/>
          <w:szCs w:val="28"/>
        </w:rPr>
        <w:t xml:space="preserve">: </w:t>
      </w:r>
      <w:r w:rsidRPr="00511005">
        <w:rPr>
          <w:rFonts w:ascii="Arial" w:eastAsia="Calibri" w:hAnsi="Arial" w:cs="Arial"/>
          <w:szCs w:val="28"/>
          <w:lang w:val="pl-PL"/>
        </w:rPr>
        <w:t>https</w:t>
      </w:r>
      <w:r w:rsidRPr="00511005">
        <w:rPr>
          <w:rFonts w:ascii="Arial" w:eastAsia="Calibri" w:hAnsi="Arial" w:cs="Arial"/>
          <w:szCs w:val="28"/>
        </w:rPr>
        <w:t>://</w:t>
      </w:r>
      <w:r w:rsidRPr="00511005">
        <w:rPr>
          <w:rFonts w:ascii="Arial" w:eastAsia="Calibri" w:hAnsi="Arial" w:cs="Arial"/>
          <w:szCs w:val="28"/>
          <w:lang w:val="pl-PL"/>
        </w:rPr>
        <w:t>zakon</w:t>
      </w:r>
      <w:r w:rsidRPr="00511005">
        <w:rPr>
          <w:rFonts w:ascii="Arial" w:eastAsia="Calibri" w:hAnsi="Arial" w:cs="Arial"/>
          <w:szCs w:val="28"/>
        </w:rPr>
        <w:t>.</w:t>
      </w:r>
      <w:r w:rsidRPr="00511005">
        <w:rPr>
          <w:rFonts w:ascii="Arial" w:eastAsia="Calibri" w:hAnsi="Arial" w:cs="Arial"/>
          <w:szCs w:val="28"/>
          <w:lang w:val="pl-PL"/>
        </w:rPr>
        <w:t>rada</w:t>
      </w:r>
      <w:r w:rsidRPr="00511005">
        <w:rPr>
          <w:rFonts w:ascii="Arial" w:eastAsia="Calibri" w:hAnsi="Arial" w:cs="Arial"/>
          <w:szCs w:val="28"/>
        </w:rPr>
        <w:t xml:space="preserve">. </w:t>
      </w:r>
      <w:r w:rsidRPr="00511005">
        <w:rPr>
          <w:rFonts w:ascii="Arial" w:eastAsia="Calibri" w:hAnsi="Arial" w:cs="Arial"/>
          <w:szCs w:val="28"/>
          <w:lang w:val="pl-PL"/>
        </w:rPr>
        <w:t>gov</w:t>
      </w:r>
      <w:r w:rsidRPr="00511005">
        <w:rPr>
          <w:rFonts w:ascii="Arial" w:eastAsia="Calibri" w:hAnsi="Arial" w:cs="Arial"/>
          <w:szCs w:val="28"/>
        </w:rPr>
        <w:t>.</w:t>
      </w:r>
      <w:r w:rsidRPr="00511005">
        <w:rPr>
          <w:rFonts w:ascii="Arial" w:eastAsia="Calibri" w:hAnsi="Arial" w:cs="Arial"/>
          <w:szCs w:val="28"/>
          <w:lang w:val="pl-PL"/>
        </w:rPr>
        <w:t>ua</w:t>
      </w:r>
      <w:r w:rsidRPr="00511005">
        <w:rPr>
          <w:rFonts w:ascii="Arial" w:eastAsia="Calibri" w:hAnsi="Arial" w:cs="Arial"/>
          <w:szCs w:val="28"/>
        </w:rPr>
        <w:t>/</w:t>
      </w:r>
      <w:r w:rsidRPr="00511005">
        <w:rPr>
          <w:rFonts w:ascii="Arial" w:eastAsia="Calibri" w:hAnsi="Arial" w:cs="Arial"/>
          <w:szCs w:val="28"/>
          <w:lang w:val="pl-PL"/>
        </w:rPr>
        <w:t>laws</w:t>
      </w:r>
      <w:r w:rsidRPr="00511005">
        <w:rPr>
          <w:rFonts w:ascii="Arial" w:eastAsia="Calibri" w:hAnsi="Arial" w:cs="Arial"/>
          <w:szCs w:val="28"/>
        </w:rPr>
        <w:t>/</w:t>
      </w:r>
      <w:r w:rsidRPr="00511005">
        <w:rPr>
          <w:rFonts w:ascii="Arial" w:eastAsia="Calibri" w:hAnsi="Arial" w:cs="Arial"/>
          <w:szCs w:val="28"/>
          <w:lang w:val="pl-PL"/>
        </w:rPr>
        <w:t>show</w:t>
      </w:r>
      <w:r w:rsidRPr="00511005">
        <w:rPr>
          <w:rFonts w:ascii="Arial" w:eastAsia="Calibri" w:hAnsi="Arial" w:cs="Arial"/>
          <w:szCs w:val="28"/>
        </w:rPr>
        <w:t>/2473-19#</w:t>
      </w:r>
      <w:r w:rsidRPr="00511005">
        <w:rPr>
          <w:rFonts w:ascii="Arial" w:eastAsia="Calibri" w:hAnsi="Arial" w:cs="Arial"/>
          <w:szCs w:val="28"/>
          <w:lang w:val="pl-PL"/>
        </w:rPr>
        <w:t>Text</w:t>
      </w:r>
      <w:r w:rsidRPr="00511005">
        <w:rPr>
          <w:rFonts w:ascii="Arial" w:eastAsia="Calibri" w:hAnsi="Arial" w:cs="Arial"/>
          <w:szCs w:val="28"/>
        </w:rPr>
        <w:t xml:space="preserve"> (дата звернення 16.04.2025). </w:t>
      </w:r>
    </w:p>
    <w:p w14:paraId="15233A09" w14:textId="77777777" w:rsidR="00B67481" w:rsidRPr="00511005" w:rsidRDefault="00B67481" w:rsidP="003A292D">
      <w:pPr>
        <w:spacing w:line="264" w:lineRule="auto"/>
        <w:ind w:firstLine="567"/>
        <w:rPr>
          <w:rFonts w:ascii="Arial" w:eastAsia="Calibri" w:hAnsi="Arial" w:cs="Arial"/>
          <w:b/>
          <w:bCs/>
          <w:szCs w:val="28"/>
          <w:lang w:val="uk-UA"/>
        </w:rPr>
      </w:pPr>
    </w:p>
    <w:p w14:paraId="03762E69" w14:textId="2C7B415C" w:rsidR="00B67481" w:rsidRPr="00511005" w:rsidRDefault="007B2628" w:rsidP="003A292D">
      <w:pPr>
        <w:spacing w:line="264" w:lineRule="auto"/>
        <w:ind w:firstLine="567"/>
        <w:rPr>
          <w:rFonts w:ascii="Arial" w:eastAsia="Calibri" w:hAnsi="Arial" w:cs="Arial"/>
          <w:b/>
          <w:bCs/>
          <w:szCs w:val="28"/>
          <w:lang w:val="uk-UA"/>
        </w:rPr>
      </w:pPr>
      <w:r w:rsidRPr="00511005">
        <w:rPr>
          <w:rFonts w:ascii="Arial" w:eastAsia="Calibri" w:hAnsi="Arial" w:cs="Arial"/>
          <w:b/>
          <w:bCs/>
          <w:i/>
          <w:szCs w:val="28"/>
          <w:lang w:val="uk-UA"/>
        </w:rPr>
        <w:t xml:space="preserve">Ключові слова: </w:t>
      </w:r>
      <w:r w:rsidR="00B67481" w:rsidRPr="00511005">
        <w:rPr>
          <w:rFonts w:ascii="Arial" w:eastAsia="Times New Roman" w:hAnsi="Arial" w:cs="Arial"/>
          <w:szCs w:val="28"/>
          <w:lang w:val="uk-UA" w:eastAsia="uk-UA"/>
        </w:rPr>
        <w:t>цифрові гроші, криптовалюта, е-гривня, електронні платежі.</w:t>
      </w:r>
    </w:p>
    <w:p w14:paraId="67DF1C07" w14:textId="6E9A8455" w:rsidR="00B67481" w:rsidRPr="00511005" w:rsidRDefault="007B2628" w:rsidP="003A292D">
      <w:pPr>
        <w:spacing w:line="264" w:lineRule="auto"/>
        <w:ind w:firstLine="567"/>
        <w:rPr>
          <w:rFonts w:ascii="Arial" w:eastAsia="Calibri" w:hAnsi="Arial" w:cs="Arial"/>
          <w:szCs w:val="28"/>
          <w:lang w:val="en-US"/>
        </w:rPr>
      </w:pPr>
      <w:r w:rsidRPr="00511005">
        <w:rPr>
          <w:rFonts w:ascii="Arial" w:eastAsia="Calibri" w:hAnsi="Arial" w:cs="Arial"/>
          <w:b/>
          <w:bCs/>
          <w:i/>
          <w:szCs w:val="28"/>
          <w:lang w:val="en-US"/>
        </w:rPr>
        <w:t xml:space="preserve">Key words: </w:t>
      </w:r>
      <w:r w:rsidR="00B67481" w:rsidRPr="00511005">
        <w:rPr>
          <w:rFonts w:ascii="Arial" w:eastAsia="Calibri" w:hAnsi="Arial" w:cs="Arial"/>
          <w:szCs w:val="28"/>
          <w:lang w:val="en-US"/>
        </w:rPr>
        <w:t>digital money, cryptocurrency, e-hryvnia, electronic payments.</w:t>
      </w:r>
    </w:p>
    <w:p w14:paraId="754326FC" w14:textId="162B9379" w:rsidR="00B67481" w:rsidRPr="00511005" w:rsidRDefault="007B2628" w:rsidP="003A292D">
      <w:pPr>
        <w:spacing w:line="264" w:lineRule="auto"/>
        <w:ind w:firstLine="567"/>
        <w:rPr>
          <w:rFonts w:ascii="Arial" w:eastAsia="Times New Roman" w:hAnsi="Arial" w:cs="Arial"/>
          <w:b/>
          <w:bCs/>
          <w:szCs w:val="28"/>
          <w:lang w:eastAsia="uk-UA"/>
        </w:rPr>
      </w:pPr>
      <w:r w:rsidRPr="00511005">
        <w:rPr>
          <w:rFonts w:ascii="Arial" w:eastAsia="Calibri" w:hAnsi="Arial" w:cs="Arial"/>
          <w:b/>
          <w:i/>
          <w:iCs/>
          <w:szCs w:val="28"/>
        </w:rPr>
        <w:t xml:space="preserve">Науковий керівник: </w:t>
      </w:r>
      <w:r w:rsidR="00B67481" w:rsidRPr="00511005">
        <w:rPr>
          <w:rFonts w:ascii="Arial" w:eastAsia="Calibri" w:hAnsi="Arial" w:cs="Arial"/>
          <w:i/>
          <w:iCs/>
          <w:szCs w:val="28"/>
        </w:rPr>
        <w:t>к.ю.н., доцент Сідор М.І.</w:t>
      </w:r>
    </w:p>
    <w:p w14:paraId="2C3B87B6" w14:textId="77777777" w:rsidR="00B67481" w:rsidRPr="00511005" w:rsidRDefault="00B67481" w:rsidP="003A292D">
      <w:pPr>
        <w:spacing w:line="264" w:lineRule="auto"/>
        <w:ind w:firstLine="0"/>
        <w:jc w:val="left"/>
        <w:rPr>
          <w:rFonts w:ascii="Arial" w:eastAsia="Calibri" w:hAnsi="Arial" w:cs="Arial"/>
          <w:bCs/>
          <w:i/>
          <w:iCs/>
          <w:szCs w:val="28"/>
        </w:rPr>
      </w:pPr>
      <w:r w:rsidRPr="00511005">
        <w:rPr>
          <w:rFonts w:ascii="Arial" w:eastAsia="Calibri" w:hAnsi="Arial" w:cs="Arial"/>
          <w:bCs/>
          <w:i/>
          <w:iCs/>
          <w:szCs w:val="28"/>
        </w:rPr>
        <w:br w:type="page"/>
      </w:r>
    </w:p>
    <w:p w14:paraId="02D215D5" w14:textId="77777777" w:rsidR="00B67481" w:rsidRPr="00511005" w:rsidRDefault="00B67481"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rPr>
        <w:lastRenderedPageBreak/>
        <w:t>Садова В</w:t>
      </w:r>
      <w:r w:rsidRPr="00511005">
        <w:rPr>
          <w:rFonts w:ascii="Arial" w:eastAsia="Times New Roman" w:hAnsi="Arial" w:cs="Arial"/>
          <w:b/>
          <w:i/>
          <w:szCs w:val="28"/>
          <w:lang w:val="uk-UA"/>
        </w:rPr>
        <w:t>іра Олександрівна</w:t>
      </w:r>
    </w:p>
    <w:p w14:paraId="029088B8" w14:textId="35FFC010"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7DD9A04E"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0E7C9A6"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7B63835" w14:textId="77777777" w:rsidR="00B67481" w:rsidRPr="00511005" w:rsidRDefault="00B67481" w:rsidP="003A292D">
      <w:pPr>
        <w:spacing w:line="264" w:lineRule="auto"/>
        <w:ind w:firstLine="0"/>
        <w:jc w:val="center"/>
        <w:rPr>
          <w:rFonts w:ascii="Arial" w:eastAsia="Times New Roman" w:hAnsi="Arial" w:cs="Arial"/>
          <w:szCs w:val="28"/>
          <w:lang w:val="uk-UA"/>
        </w:rPr>
      </w:pPr>
    </w:p>
    <w:p w14:paraId="04972DF6" w14:textId="206EF45D" w:rsidR="00B67481" w:rsidRPr="00511005" w:rsidRDefault="00B67481" w:rsidP="003A292D">
      <w:pPr>
        <w:spacing w:line="264" w:lineRule="auto"/>
        <w:ind w:firstLine="0"/>
        <w:jc w:val="center"/>
        <w:rPr>
          <w:rFonts w:ascii="Arial" w:eastAsia="Times New Roman" w:hAnsi="Arial" w:cs="Arial"/>
          <w:b/>
          <w:szCs w:val="28"/>
        </w:rPr>
      </w:pPr>
      <w:r w:rsidRPr="00511005">
        <w:rPr>
          <w:rFonts w:ascii="Arial" w:eastAsia="Times New Roman" w:hAnsi="Arial" w:cs="Arial"/>
          <w:b/>
          <w:szCs w:val="28"/>
        </w:rPr>
        <w:t>АДМІНІСТРАТИВНЕ ОСКАРЖЕННЯ РІШЕНЬ ОРГАНІВ ДЕРЖАВНОЇ ВЛАДИ: ПРОБЛЕМИ ЕФЕКТИВНОСТІ ТА ПЕРСПЕКТИВИ РОЗВИТКУ</w:t>
      </w:r>
    </w:p>
    <w:p w14:paraId="36CAEEA4"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У сучасному демократичному суспільстві, яке декларує пріоритет прав і свобод людини, особливого значення набуває здатність громадян ефективно захищати себе від неправомірних рішень, дій чи бездіяльності органів державної влади. Такий захист може здійснюватися не лише </w:t>
      </w:r>
      <w:proofErr w:type="gramStart"/>
      <w:r w:rsidRPr="00511005">
        <w:rPr>
          <w:rFonts w:ascii="Arial" w:eastAsia="Times New Roman" w:hAnsi="Arial" w:cs="Arial"/>
          <w:szCs w:val="28"/>
        </w:rPr>
        <w:t>в судовому порядку</w:t>
      </w:r>
      <w:proofErr w:type="gramEnd"/>
      <w:r w:rsidRPr="00511005">
        <w:rPr>
          <w:rFonts w:ascii="Arial" w:eastAsia="Times New Roman" w:hAnsi="Arial" w:cs="Arial"/>
          <w:szCs w:val="28"/>
        </w:rPr>
        <w:t xml:space="preserve">, але й у межах адміністративних процедур, які, за задумом законодавця, мають бути більш доступними, швидкими й менш затратними. </w:t>
      </w:r>
    </w:p>
    <w:p w14:paraId="2231CCDE"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Однією з ключових форм такого захисту є адміністративне оскарження — механізм, що дозволяє громадянину звернутися зі скаргою до вищого органу або посадової особи без залучення судової інстанції. Попри те, що інститут адміністративного оскарження закріплений у законодавстві України й активно використовується на практиці, виникає чимало запитань щодо його ефективності, об'єктивності й довіри з боку громадян. </w:t>
      </w:r>
    </w:p>
    <w:p w14:paraId="6B8D1878"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Багато скарг залишаються без належного розгляду або розглядаються формально. Часто особа, яка подає скаргу, стикається з байдужістю, бюрократією або упередженістю тих, хто має розглядати її звернення. Це створює відчуття безсилля та посилює недовіру до державних інституцій загалом. У таких умовах адміністративне оскарження втрачає свою суть як інструмент захисту, перетворюючись на формальність.</w:t>
      </w:r>
    </w:p>
    <w:p w14:paraId="1EF099CC"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У цьому контексті важливо не лише оцінити чинну систему адміністративного оскарження, а й визначити її слабкі місця, з’ясувати, що перешкоджає її ефективному функціонуванню, та намітити шляхи вдосконалення, які дадуть змогу забезпечити реальне відновлення прав осіб, постраждалих від дій чи бездіяльності влади.</w:t>
      </w:r>
    </w:p>
    <w:p w14:paraId="0F48F7A9"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Мета – дослідити інститут адміністративного оскарження в Україні, проаналізувати його нормативно-правове регулювання та практичне застосування, виявити основні проблеми, що перешкоджають його ефективному функціонуванню, і визначити шляхи вдосконалення цього механізму для забезпечення реального захисту прав громадян та підвищення довіри до органів державної влади.</w:t>
      </w:r>
    </w:p>
    <w:p w14:paraId="7D51CBFB"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Адміністративне оскарження передбачає можливість громадянина або юридичної особи звернутись зі скаргою на рішення чи дію органу влади до іншого – зазвичай вищого – органу в межах тієї ж адміністративної системи. Ця процедура, у теорії, має забезпечити оперативне й неупереджене вирішення конфліктів, не допускаючи їх ескалації до судового розгляду. </w:t>
      </w:r>
    </w:p>
    <w:p w14:paraId="460B6839"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lastRenderedPageBreak/>
        <w:t>В Україні процедура адміністративного оскарження передбачена низкою нормативно-правових актів, зокрема Конституцією України, Законом «Про звернення громадян», Законом «Про адміністративні послуги», а також галузевими законами, що регулюють діяльність конкретних органів виконавчої влади. Проте, як засвідчує практика, сам факт наявності нормативної бази ще не гарантує ефективного функціонування системи [1, с. 148].</w:t>
      </w:r>
    </w:p>
    <w:p w14:paraId="3EAA3F47"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Незважаючи на важливість та необхідність існування адміністративного оскарження, його ефективність в Україні викликає чимало критичних зауважень. Перш за все, слід зазначити низький рівень довіри громадян до результатів розгляду скарг. Багато хто переконаний, що звернення до вищих органів або посадових осіб рідко призводить </w:t>
      </w:r>
      <w:proofErr w:type="gramStart"/>
      <w:r w:rsidRPr="00511005">
        <w:rPr>
          <w:rFonts w:ascii="Arial" w:eastAsia="Times New Roman" w:hAnsi="Arial" w:cs="Arial"/>
          <w:szCs w:val="28"/>
        </w:rPr>
        <w:t>до перегляду</w:t>
      </w:r>
      <w:proofErr w:type="gramEnd"/>
      <w:r w:rsidRPr="00511005">
        <w:rPr>
          <w:rFonts w:ascii="Arial" w:eastAsia="Times New Roman" w:hAnsi="Arial" w:cs="Arial"/>
          <w:szCs w:val="28"/>
        </w:rPr>
        <w:t xml:space="preserve"> рішень, оскільки внутрішня корпоративна солідарність чиновництва не сприяє об’єктивному розгляду скарг. </w:t>
      </w:r>
    </w:p>
    <w:p w14:paraId="244A6834" w14:textId="77777777" w:rsidR="00B67481" w:rsidRPr="00511005" w:rsidRDefault="00B67481" w:rsidP="003A292D">
      <w:pPr>
        <w:spacing w:line="264" w:lineRule="auto"/>
        <w:rPr>
          <w:rFonts w:ascii="Arial" w:eastAsia="Times New Roman" w:hAnsi="Arial" w:cs="Arial"/>
          <w:szCs w:val="28"/>
        </w:rPr>
      </w:pPr>
      <w:bookmarkStart w:id="128" w:name="_heading=h.eqaggoumyxzi" w:colFirst="0" w:colLast="0"/>
      <w:bookmarkEnd w:id="128"/>
      <w:r w:rsidRPr="00511005">
        <w:rPr>
          <w:rFonts w:ascii="Arial" w:eastAsia="Times New Roman" w:hAnsi="Arial" w:cs="Arial"/>
          <w:szCs w:val="28"/>
        </w:rPr>
        <w:t xml:space="preserve">Однією з найгостріших проблем є формалізм у розгляді скарг. У більшості випадків скарги розглядаються поверхово, без належного аналізу ситуації, а відповіді, які отримують заявники, носять загальний, шаблонний характер. Це лише посилює відчуття правової несправедливості [3, с. 74]. </w:t>
      </w:r>
    </w:p>
    <w:p w14:paraId="558C4B76"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Іншою важливою перешкодою є відсутність реальної відповідальності посадових осіб за порушення строків чи неналежний розгляд скарг. Законодавством часто не передбачені жорсткі санкції за бездіяльність або затягування процедур, що сприяє безкарності [5]. </w:t>
      </w:r>
    </w:p>
    <w:p w14:paraId="0237CD08"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Також слід згадати проблему правової необізнаності населення, </w:t>
      </w:r>
      <w:proofErr w:type="gramStart"/>
      <w:r w:rsidRPr="00511005">
        <w:rPr>
          <w:rFonts w:ascii="Arial" w:eastAsia="Times New Roman" w:hAnsi="Arial" w:cs="Arial"/>
          <w:szCs w:val="28"/>
        </w:rPr>
        <w:t>через яку</w:t>
      </w:r>
      <w:proofErr w:type="gramEnd"/>
      <w:r w:rsidRPr="00511005">
        <w:rPr>
          <w:rFonts w:ascii="Arial" w:eastAsia="Times New Roman" w:hAnsi="Arial" w:cs="Arial"/>
          <w:szCs w:val="28"/>
        </w:rPr>
        <w:t xml:space="preserve"> багато громадян не знають про свої права або механізми їх захисту. У результаті скарги подаються з порушенням встановленого порядку, без необхідних документів або до неналежного органу, що дає чиновникам додаткові формальні підстави для відмови.</w:t>
      </w:r>
    </w:p>
    <w:p w14:paraId="31C1533F"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У добу цифрових технологій важливо використовувати всі можливості для оптимізації процесу адміністративного оскарження. Впровадження електронних сервісів подання скарг, онлайн-моніторингу розгляду звернень, автоматизованих відповідей, електронного архівування та прозорої статистики – усе це могло б не лише спростити доступ до механізмів захисту, а й забезпечити об’єктивність та контрольованість процесу. </w:t>
      </w:r>
    </w:p>
    <w:p w14:paraId="60A3593A"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У цьому контексті Україна вже зробила певні кроки – запроваджено портали типу «Дія», сервіси електронного урядування, можливість подачі електронних звернень. Проте ці інструменти поки що охоплюють вузьке коло послуг і часто не стосуються комплексних адміністративних спорів.</w:t>
      </w:r>
    </w:p>
    <w:p w14:paraId="75A2DF88"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Одним із ключових перспективних напрямів розвитку є виведення розгляду скарг за межі традиційної вертикалі органів влади, яка сьогодні часто демонструє корпоративну замкненість та небажання визнавати власні помилки. На практиці це означає необхідність створення спеціалізованих </w:t>
      </w:r>
      <w:r w:rsidRPr="00511005">
        <w:rPr>
          <w:rFonts w:ascii="Arial" w:eastAsia="Times New Roman" w:hAnsi="Arial" w:cs="Arial"/>
          <w:szCs w:val="28"/>
        </w:rPr>
        <w:lastRenderedPageBreak/>
        <w:t xml:space="preserve">адміністративних апеляційних органів, які були б інституційно незалежними та водночас компетентними у сфері адміністративного права [2, с. 126]. </w:t>
      </w:r>
    </w:p>
    <w:p w14:paraId="04665FF8"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Такі органи могли б функціонувати за аналогією до адміністративних трибуналів у багатьох країнах Європи (наприклад, у Франції, Німеччині чи Швеції), де скарги розглядаються незалежними адміністративними суддями або експертними комісіями, а не безпосередньо тими ж структурами, що ухвалювали первинне рішення.</w:t>
      </w:r>
    </w:p>
    <w:p w14:paraId="667C4E6F"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Ще однією важливою умовою розвитку є гармонізація та систематизація нормативного регулювання адміністративного оскарження. На сьогодні кожен орган публічної влади має свої специфічні правила розгляду скарг, що створює хаос і правову невизначеність. Необхідно ухвалити уніфікований закон про адміністративне оскарження, який чітко регламентував би строки подання та розгляду скарг; права та обов’язки сторін; процедури повідомлення, участі особи у розгляді; стандарти мотивації рішень органу оскарження [4]. Крім того, перспективним є впровадження кодексу етики та стандартів поведінки посадових осіб, які розглядають скарги, що забезпечить неупередженість і відповідальність.</w:t>
      </w:r>
    </w:p>
    <w:p w14:paraId="49D9F202"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Одна з найбільш болючих проблем – відсутність реальної відповідальності за неналежний або несвоєчасний розгляд скарг. Тому важливим напрямом є створення ефективних механізмів дисциплінарного контролю за посадовцями, які ігнорують звернення громадян або розглядають їх формально. Перспективним виглядає впровадження оцінювання ефективності державних службовців за показниками розгляду скарг; внутрішнього аудиту або омбудсменських інституцій, які можуть реагувати на системні порушення прав заявників; відшкодування збитків, заподіяних бездіяльністю чи протиправною відмовою в задоволенні скарги.</w:t>
      </w:r>
    </w:p>
    <w:p w14:paraId="49260FF7"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Ще один наріжний камінь – правова необізнаність громадян, які часто не знають про свої права, порядок оскарження або навіть не уявляють, що можуть впливати на дії держави. Тому розвиток інституту адміністративного оскарження неможливий без системної правопросвітницької роботи. Йдеться про проведення інформаційних кампаній; навчання </w:t>
      </w:r>
      <w:proofErr w:type="gramStart"/>
      <w:r w:rsidRPr="00511005">
        <w:rPr>
          <w:rFonts w:ascii="Arial" w:eastAsia="Times New Roman" w:hAnsi="Arial" w:cs="Arial"/>
          <w:szCs w:val="28"/>
        </w:rPr>
        <w:t>у школах</w:t>
      </w:r>
      <w:proofErr w:type="gramEnd"/>
      <w:r w:rsidRPr="00511005">
        <w:rPr>
          <w:rFonts w:ascii="Arial" w:eastAsia="Times New Roman" w:hAnsi="Arial" w:cs="Arial"/>
          <w:szCs w:val="28"/>
        </w:rPr>
        <w:t xml:space="preserve"> і вишах основам адміністративного права; розвиток системи безоплатної правової допомоги. Громадянин, який знає свої права і вміє їх реалізовувати, є запорукою ефективного державного управління.</w:t>
      </w:r>
    </w:p>
    <w:p w14:paraId="543F5D62"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Інститут адміністративного оскарження — це не просто формальна процедура чи бюрократична необхідність. Це, передусім, правовий інструмент реального впливу людини на державу, механізм самозахисту від свавілля, засіб поновлення справедливості. У демократичному суспільстві, де не влада диктує правила гри, а право і законність є визначальними, адміністративне оскарження повинно виконувати функцію корекції помилок публічної адміністрації. </w:t>
      </w:r>
    </w:p>
    <w:p w14:paraId="1DEE4C99"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lastRenderedPageBreak/>
        <w:t xml:space="preserve">Проаналізовані у роботі проблеми — затягнутість процедур, низька ефективність прийнятих рішень, відсутність реальної відповідальності посадових осіб, а також низька правова обізнаність населення — вказують на необхідність глибоких, системних змін, а не лише косметичних реформ. Формальний підхід, коли процедури є, але вони не працюють у інтересах громадянина, лише поглиблює недовіру до влади. </w:t>
      </w:r>
    </w:p>
    <w:p w14:paraId="59FD54CF"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Однак, попри наявні труднощі, перспективи розвитку інституту адміністративного оскарження в Україні — більш ніж реальні. Вони криються у створенні незалежних адміністративних органів, цифровізації процесів, посиленні контролю за дотриманням строків і якості розгляду скарг, у нормативній уніфікації та адаптації найкращих міжнародних практик. </w:t>
      </w:r>
    </w:p>
    <w:p w14:paraId="66AB711F" w14:textId="77777777" w:rsidR="00B67481" w:rsidRPr="00511005" w:rsidRDefault="00B67481" w:rsidP="003A292D">
      <w:pPr>
        <w:spacing w:line="264" w:lineRule="auto"/>
        <w:rPr>
          <w:rFonts w:ascii="Arial" w:eastAsia="Times New Roman" w:hAnsi="Arial" w:cs="Arial"/>
          <w:szCs w:val="28"/>
          <w:lang w:val="uk-UA"/>
        </w:rPr>
      </w:pPr>
      <w:r w:rsidRPr="00511005">
        <w:rPr>
          <w:rFonts w:ascii="Arial" w:eastAsia="Times New Roman" w:hAnsi="Arial" w:cs="Arial"/>
          <w:szCs w:val="28"/>
        </w:rPr>
        <w:t>Отже, адміністративне оскарження — це не лише механізм. Це віддзеркалення правової культури держави, і від того, наскільки він буде дієвим і доступним, залежить довіра громадян до влади. А довіра — це найцінніший капітал держави, без якого будь-які реформи втрачають сенс.</w:t>
      </w:r>
    </w:p>
    <w:p w14:paraId="5A1FAFFD" w14:textId="77777777" w:rsidR="00B67481" w:rsidRPr="00511005" w:rsidRDefault="00B67481" w:rsidP="003A292D">
      <w:pPr>
        <w:spacing w:line="264" w:lineRule="auto"/>
        <w:rPr>
          <w:rFonts w:ascii="Arial" w:eastAsia="Times New Roman" w:hAnsi="Arial" w:cs="Arial"/>
          <w:szCs w:val="28"/>
          <w:lang w:val="uk-UA"/>
        </w:rPr>
      </w:pPr>
    </w:p>
    <w:p w14:paraId="0CAF752C" w14:textId="5463D596" w:rsidR="00B67481" w:rsidRPr="00511005" w:rsidRDefault="007B2628" w:rsidP="007B2628">
      <w:pPr>
        <w:spacing w:line="264" w:lineRule="auto"/>
        <w:ind w:firstLine="0"/>
        <w:jc w:val="center"/>
        <w:rPr>
          <w:rFonts w:ascii="Arial" w:eastAsia="Times New Roman" w:hAnsi="Arial" w:cs="Arial"/>
          <w:b/>
          <w:szCs w:val="28"/>
        </w:rPr>
      </w:pPr>
      <w:r w:rsidRPr="00511005">
        <w:rPr>
          <w:rFonts w:ascii="Arial" w:eastAsia="Times New Roman" w:hAnsi="Arial" w:cs="Arial"/>
          <w:b/>
          <w:szCs w:val="28"/>
          <w:lang w:val="uk-UA"/>
        </w:rPr>
        <w:t>Список використаних джерел</w:t>
      </w:r>
    </w:p>
    <w:p w14:paraId="422EE0EA" w14:textId="5B826B1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1. Лошицький М. Адміністративне оскарження як спосіб захисту прав громадян у діяльності органів</w:t>
      </w:r>
      <w:r w:rsidR="007B2628" w:rsidRPr="00511005">
        <w:rPr>
          <w:rFonts w:ascii="Arial" w:eastAsia="Times New Roman" w:hAnsi="Arial" w:cs="Arial"/>
          <w:szCs w:val="28"/>
        </w:rPr>
        <w:t xml:space="preserve"> </w:t>
      </w:r>
      <w:r w:rsidRPr="00511005">
        <w:rPr>
          <w:rFonts w:ascii="Arial" w:eastAsia="Times New Roman" w:hAnsi="Arial" w:cs="Arial"/>
          <w:szCs w:val="28"/>
        </w:rPr>
        <w:t>державної влади. Право. Вип. 31. 2017. С. 146-150.</w:t>
      </w:r>
    </w:p>
    <w:p w14:paraId="1B77593C"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2. Михайлюк Я. Адміністративне оскарження: сучасний стан та перспективи розвитку. Юридичний вісник. Вип. 4. 2020. С. 125-131.</w:t>
      </w:r>
    </w:p>
    <w:p w14:paraId="4CA71FAC"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3. Цельєв О. Право на оскарження рішень органів публічної влади та їхніх посадових осіб як складова верховенства права. Юридичні науки. Вип. 2. 2017. С. 72-79.</w:t>
      </w:r>
    </w:p>
    <w:p w14:paraId="4276F143"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4. Оскарження рішень, дій та бездіяльності органів місцевої влади. URL: </w:t>
      </w:r>
      <w:hyperlink r:id="rId999">
        <w:r w:rsidRPr="00511005">
          <w:rPr>
            <w:rFonts w:ascii="Arial" w:eastAsia="Times New Roman" w:hAnsi="Arial" w:cs="Arial"/>
            <w:szCs w:val="28"/>
          </w:rPr>
          <w:t>https://surl.li/ctwrvv</w:t>
        </w:r>
      </w:hyperlink>
      <w:r w:rsidRPr="00511005">
        <w:rPr>
          <w:rFonts w:ascii="Arial" w:eastAsia="Times New Roman" w:hAnsi="Arial" w:cs="Arial"/>
          <w:szCs w:val="28"/>
        </w:rPr>
        <w:t xml:space="preserve"> (дата звернення: 09.04.2025).</w:t>
      </w:r>
    </w:p>
    <w:p w14:paraId="681260C4"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5. Право на адміністративне оскарження рішень органу державного контролю та місцевої влади. URL: </w:t>
      </w:r>
      <w:hyperlink r:id="rId1000">
        <w:r w:rsidRPr="00511005">
          <w:rPr>
            <w:rFonts w:ascii="Arial" w:eastAsia="Times New Roman" w:hAnsi="Arial" w:cs="Arial"/>
            <w:szCs w:val="28"/>
          </w:rPr>
          <w:t>https://protocol.ua/ru/pro_likarski_zasobi_stattya_124/</w:t>
        </w:r>
      </w:hyperlink>
      <w:r w:rsidRPr="00511005">
        <w:rPr>
          <w:rFonts w:ascii="Arial" w:eastAsia="Times New Roman" w:hAnsi="Arial" w:cs="Arial"/>
          <w:szCs w:val="28"/>
        </w:rPr>
        <w:t xml:space="preserve"> (дата звернення: 09.04.2025).</w:t>
      </w:r>
    </w:p>
    <w:p w14:paraId="24173FB5" w14:textId="77777777" w:rsidR="00B67481" w:rsidRPr="00511005" w:rsidRDefault="00B67481" w:rsidP="003A292D">
      <w:pPr>
        <w:keepNext/>
        <w:spacing w:line="264" w:lineRule="auto"/>
        <w:rPr>
          <w:rFonts w:ascii="Arial" w:eastAsia="Calibri" w:hAnsi="Arial" w:cs="Arial"/>
          <w:b/>
          <w:szCs w:val="28"/>
          <w:lang w:val="uk-UA"/>
        </w:rPr>
      </w:pPr>
    </w:p>
    <w:p w14:paraId="2AF3C9F0" w14:textId="5051F7B0" w:rsidR="00B67481" w:rsidRPr="00511005" w:rsidRDefault="007B2628" w:rsidP="003A292D">
      <w:pPr>
        <w:keepNext/>
        <w:spacing w:line="264" w:lineRule="auto"/>
        <w:rPr>
          <w:rFonts w:ascii="Arial" w:eastAsia="Calibri" w:hAnsi="Arial" w:cs="Arial"/>
          <w:szCs w:val="28"/>
          <w:lang w:val="uk-UA"/>
        </w:rPr>
      </w:pPr>
      <w:r w:rsidRPr="00511005">
        <w:rPr>
          <w:rFonts w:ascii="Arial" w:eastAsia="Calibri" w:hAnsi="Arial" w:cs="Arial"/>
          <w:b/>
          <w:i/>
          <w:szCs w:val="28"/>
        </w:rPr>
        <w:t xml:space="preserve">Ключові слова: </w:t>
      </w:r>
      <w:r w:rsidR="00B67481" w:rsidRPr="00511005">
        <w:rPr>
          <w:rFonts w:ascii="Arial" w:eastAsia="Times New Roman" w:hAnsi="Arial" w:cs="Arial"/>
          <w:szCs w:val="28"/>
        </w:rPr>
        <w:t>інститут адміністративного оскарження</w:t>
      </w:r>
      <w:r w:rsidR="00B67481" w:rsidRPr="00511005">
        <w:rPr>
          <w:rFonts w:ascii="Arial" w:eastAsia="Calibri" w:hAnsi="Arial" w:cs="Arial"/>
          <w:szCs w:val="28"/>
        </w:rPr>
        <w:t xml:space="preserve">, </w:t>
      </w:r>
      <w:r w:rsidR="00B67481" w:rsidRPr="00511005">
        <w:rPr>
          <w:rFonts w:ascii="Arial" w:eastAsia="Calibri" w:hAnsi="Arial" w:cs="Arial"/>
          <w:szCs w:val="28"/>
          <w:lang w:val="uk-UA"/>
        </w:rPr>
        <w:t xml:space="preserve">електронні сервіси, </w:t>
      </w:r>
      <w:r w:rsidR="00B67481" w:rsidRPr="00511005">
        <w:rPr>
          <w:rFonts w:ascii="Arial" w:eastAsia="Times New Roman" w:hAnsi="Arial" w:cs="Arial"/>
          <w:szCs w:val="28"/>
          <w:lang w:val="uk-UA"/>
        </w:rPr>
        <w:t xml:space="preserve">затягнутість процедур, </w:t>
      </w:r>
      <w:r w:rsidR="00B67481" w:rsidRPr="00511005">
        <w:rPr>
          <w:rFonts w:ascii="Arial" w:eastAsia="Times New Roman" w:hAnsi="Arial" w:cs="Arial"/>
          <w:szCs w:val="28"/>
        </w:rPr>
        <w:t>низька правова обізнаність</w:t>
      </w:r>
      <w:r w:rsidR="00B67481" w:rsidRPr="00511005">
        <w:rPr>
          <w:rFonts w:ascii="Arial" w:eastAsia="Times New Roman" w:hAnsi="Arial" w:cs="Arial"/>
          <w:szCs w:val="28"/>
          <w:lang w:val="uk-UA"/>
        </w:rPr>
        <w:t>, розгляд скарг.</w:t>
      </w:r>
    </w:p>
    <w:p w14:paraId="6596C517" w14:textId="2B2950CB" w:rsidR="00B67481" w:rsidRPr="00511005" w:rsidRDefault="007B2628" w:rsidP="003A292D">
      <w:pPr>
        <w:keepNext/>
        <w:spacing w:line="264" w:lineRule="auto"/>
        <w:rPr>
          <w:rFonts w:ascii="Arial" w:eastAsia="Calibri" w:hAnsi="Arial" w:cs="Arial"/>
          <w:bCs/>
          <w:szCs w:val="28"/>
          <w:lang w:val="en-US"/>
        </w:rPr>
      </w:pPr>
      <w:r w:rsidRPr="00511005">
        <w:rPr>
          <w:rFonts w:ascii="Arial" w:eastAsia="Calibri" w:hAnsi="Arial" w:cs="Arial"/>
          <w:b/>
          <w:i/>
          <w:szCs w:val="28"/>
          <w:lang w:val="en-US"/>
        </w:rPr>
        <w:t xml:space="preserve">Key words: </w:t>
      </w:r>
      <w:r w:rsidR="00B67481" w:rsidRPr="00511005">
        <w:rPr>
          <w:rFonts w:ascii="Arial" w:eastAsia="Calibri" w:hAnsi="Arial" w:cs="Arial"/>
          <w:bCs/>
          <w:szCs w:val="28"/>
          <w:lang w:val="en-US"/>
        </w:rPr>
        <w:t>gift, the institution of administrative appeal, electronic services, lengthy procedures, low legal awareness, consideration of complaints.</w:t>
      </w:r>
    </w:p>
    <w:p w14:paraId="6413F971" w14:textId="4A169B36" w:rsidR="00B67481" w:rsidRPr="00511005" w:rsidRDefault="007B2628" w:rsidP="003A292D">
      <w:pPr>
        <w:keepNext/>
        <w:widowControl w:val="0"/>
        <w:spacing w:line="264" w:lineRule="auto"/>
        <w:rPr>
          <w:rFonts w:ascii="Arial" w:eastAsia="Calibri" w:hAnsi="Arial" w:cs="Arial"/>
          <w:bCs/>
          <w:i/>
          <w:iCs/>
          <w:szCs w:val="28"/>
        </w:rPr>
      </w:pPr>
      <w:r w:rsidRPr="00511005">
        <w:rPr>
          <w:rFonts w:ascii="Arial" w:eastAsia="Calibri" w:hAnsi="Arial" w:cs="Arial"/>
          <w:b/>
          <w:bCs/>
          <w:i/>
          <w:iCs/>
          <w:szCs w:val="28"/>
        </w:rPr>
        <w:t xml:space="preserve">Науковий керівник: </w:t>
      </w:r>
      <w:r w:rsidR="00B67481" w:rsidRPr="00511005">
        <w:rPr>
          <w:rFonts w:ascii="Arial" w:eastAsia="Calibri" w:hAnsi="Arial" w:cs="Arial"/>
          <w:bCs/>
          <w:i/>
          <w:iCs/>
          <w:szCs w:val="28"/>
        </w:rPr>
        <w:t>к.ю.н., доцент Панфілов О.Є.</w:t>
      </w:r>
    </w:p>
    <w:p w14:paraId="6D554814" w14:textId="77777777" w:rsidR="00B67481" w:rsidRPr="00511005" w:rsidRDefault="00B67481" w:rsidP="003A292D">
      <w:pPr>
        <w:spacing w:line="264" w:lineRule="auto"/>
        <w:ind w:firstLine="0"/>
        <w:jc w:val="left"/>
        <w:rPr>
          <w:rFonts w:ascii="Arial" w:eastAsia="Calibri" w:hAnsi="Arial" w:cs="Arial"/>
          <w:bCs/>
          <w:i/>
          <w:iCs/>
          <w:szCs w:val="28"/>
        </w:rPr>
      </w:pPr>
      <w:r w:rsidRPr="00511005">
        <w:rPr>
          <w:rFonts w:ascii="Arial" w:eastAsia="Calibri" w:hAnsi="Arial" w:cs="Arial"/>
          <w:bCs/>
          <w:i/>
          <w:iCs/>
          <w:szCs w:val="28"/>
        </w:rPr>
        <w:br w:type="page"/>
      </w:r>
    </w:p>
    <w:p w14:paraId="7BBB13E9" w14:textId="77777777" w:rsidR="00B67481" w:rsidRPr="00511005" w:rsidRDefault="00B67481" w:rsidP="003A292D">
      <w:pPr>
        <w:spacing w:line="264" w:lineRule="auto"/>
        <w:ind w:firstLine="0"/>
        <w:jc w:val="center"/>
        <w:rPr>
          <w:rFonts w:ascii="Arial" w:eastAsia="Calibri" w:hAnsi="Arial" w:cs="Arial"/>
          <w:b/>
          <w:bCs/>
          <w:szCs w:val="28"/>
        </w:rPr>
      </w:pPr>
      <w:r w:rsidRPr="00511005">
        <w:rPr>
          <w:rFonts w:ascii="Arial" w:eastAsia="Calibri" w:hAnsi="Arial" w:cs="Arial"/>
          <w:b/>
          <w:bCs/>
          <w:i/>
          <w:iCs/>
          <w:szCs w:val="28"/>
        </w:rPr>
        <w:lastRenderedPageBreak/>
        <w:t>Самойленко Софія Андріївна</w:t>
      </w:r>
    </w:p>
    <w:p w14:paraId="52F7BA2B" w14:textId="2603A34F" w:rsidR="00B67481" w:rsidRPr="00511005" w:rsidRDefault="00536AAB" w:rsidP="003A292D">
      <w:pPr>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студентка 2-го курсу </w:t>
      </w:r>
      <w:r w:rsidR="001B7B25" w:rsidRPr="00511005">
        <w:rPr>
          <w:rFonts w:ascii="Arial" w:eastAsia="Calibri" w:hAnsi="Arial" w:cs="Arial"/>
          <w:szCs w:val="28"/>
        </w:rPr>
        <w:t>факультету судового та міжнародного права</w:t>
      </w:r>
    </w:p>
    <w:p w14:paraId="04ADEC73" w14:textId="045240E2" w:rsidR="00B67481" w:rsidRPr="00511005" w:rsidRDefault="007B2628" w:rsidP="003A292D">
      <w:pPr>
        <w:spacing w:line="264" w:lineRule="auto"/>
        <w:ind w:firstLine="0"/>
        <w:jc w:val="center"/>
        <w:rPr>
          <w:rFonts w:ascii="Arial" w:eastAsia="Calibri" w:hAnsi="Arial" w:cs="Arial"/>
          <w:b/>
          <w:bCs/>
          <w:szCs w:val="28"/>
        </w:rPr>
      </w:pPr>
      <w:r w:rsidRPr="00511005">
        <w:rPr>
          <w:rFonts w:ascii="Arial" w:eastAsia="Calibri" w:hAnsi="Arial" w:cs="Arial"/>
          <w:szCs w:val="28"/>
        </w:rPr>
        <w:t>Національного університету «Одеська юридична академія»</w:t>
      </w:r>
    </w:p>
    <w:p w14:paraId="1F54AFAD" w14:textId="77777777" w:rsidR="00B67481" w:rsidRPr="00511005" w:rsidRDefault="00B67481" w:rsidP="003A292D">
      <w:pPr>
        <w:spacing w:line="264" w:lineRule="auto"/>
        <w:ind w:firstLine="0"/>
        <w:jc w:val="center"/>
        <w:rPr>
          <w:rFonts w:ascii="Arial" w:eastAsia="Calibri" w:hAnsi="Arial" w:cs="Arial"/>
          <w:b/>
          <w:bCs/>
          <w:szCs w:val="28"/>
        </w:rPr>
      </w:pPr>
    </w:p>
    <w:p w14:paraId="0EE446A9" w14:textId="5BA156B2" w:rsidR="00B67481" w:rsidRPr="00511005" w:rsidRDefault="00B67481" w:rsidP="003A292D">
      <w:pPr>
        <w:spacing w:line="264" w:lineRule="auto"/>
        <w:ind w:firstLine="0"/>
        <w:jc w:val="center"/>
        <w:rPr>
          <w:rFonts w:ascii="Arial" w:eastAsia="Calibri" w:hAnsi="Arial" w:cs="Arial"/>
          <w:szCs w:val="28"/>
        </w:rPr>
      </w:pPr>
      <w:r w:rsidRPr="00511005">
        <w:rPr>
          <w:rFonts w:ascii="Arial" w:eastAsia="Calibri" w:hAnsi="Arial" w:cs="Arial"/>
          <w:b/>
          <w:bCs/>
          <w:caps/>
          <w:szCs w:val="28"/>
        </w:rPr>
        <w:t>Правові інструменти управління бюджетним дефіцитом під час війни</w:t>
      </w:r>
    </w:p>
    <w:p w14:paraId="66776775"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В умовах тривалої війни, що розпочалася у 2014 році з агресії рф проти України та набула повномасштабного характеру у 2022 році, питання ефективного управління державними фінансами набуло особливої ваги. З кожним роком зростають потреби у фінансуванні оборонного сектору, гуманітарної допомоги та відновлення критичної інфраструктури. Водночас держава втрачає частину економічного потенціалу через зруйновані підприємства, окупацію територій, скорочення виробництва та масштабну міграцію громадян. Це призводить до значного зростання бюджетного дефіциту.</w:t>
      </w:r>
    </w:p>
    <w:p w14:paraId="0DC8D7D6"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rPr>
        <w:t>У такій ситуації питання правового регулювання механізмів покриття цього дефіциту є не просто технічним аспектом фінансової політики, а ключовим чинником збереження державної спроможності. Актуальність дослідження правових інструментів управління бюджетним дефіцитом полягає у необхідності швидкої та законної реакції на фінансові виклики війни, що дає змогу утримувати стабільність бюджетної системи, забезпечувати пріоритетні витрати та не допустити фінансової дестабілізації держави.</w:t>
      </w:r>
    </w:p>
    <w:p w14:paraId="6D0CE888"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rPr>
        <w:t xml:space="preserve">Відповідно до Бюджетного кодексу України, бюджетний дефіцит — це перевищення видатків бюджету над його доходами [1]. Це визначення закріплює не лише економічну, а й правову природу дефіциту як елементу, що потребує чіткого нормативного врегулювання. Водночас у науковій літературі поняття бюджетного дефіциту розглядається багатогранно. Так, О. Колісник наголошує, що дефіцит не є виключно негативним явищем – у кризових умовах він може бути необхідним для підтримки соціальної стабільності та економічної активності [2, с. 27]. Т. Коляда та О. Косминіна звертають увагу на те, що дефіцит бюджету зумовлений не стільки особливостями фінансової політики держави у сфері доходів, скільки загальною нестачею фінансових ресурсів у суспільстві. Він відображає недоліки у фінансовій діяльності держави та свідчить про відсутність чіткої й обґрунтованої стратегії щодо його покриття [3, с. 100]. За дослідженням Л. Касьяненко, П. Миколаєнко та В. Підгородецьким, бюджетний дефіцит не лише відображає фінансові труднощі держави, але й є важливою передумовою для зростання державного боргу. Це, у свою чергу, призводить до залучення позикових ресурсів і накопичення боргових зобов’язань, що відображає економічну нестабільність країни. Якщо дефіцит перевищує затверджені показники, це спричиняє негативні макроекономічні </w:t>
      </w:r>
      <w:r w:rsidRPr="00511005">
        <w:rPr>
          <w:rFonts w:ascii="Arial" w:eastAsia="Calibri" w:hAnsi="Arial" w:cs="Arial"/>
          <w:szCs w:val="28"/>
        </w:rPr>
        <w:lastRenderedPageBreak/>
        <w:t>явища. Автори дослідження підкреслюють, що для ефективного управління борговими зобов’язаннями необхідно вдосконалити нормативно-правову базу, яка регламентує як фінансування бюджетного дефіциту, так і механізми контролю за державними запозиченнями, що стає критичним чинником у забезпеченні фінансової стабільності держави [4, с. 75].</w:t>
      </w:r>
    </w:p>
    <w:p w14:paraId="2341A7AA"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З огляду на особливості воєнного стану, щорічні закони про бюджет ухвалюються із врахуванням надзвичайних обставин. У структурі видатків пріоритет віддається фінансуванню Збройних Сил України, Служби безпеки України, Національної гвардії, системам цивільного захисту. Водночас правове регулювання державного боргу стало ще одним ключовим інструментом покриття дефіциту.</w:t>
      </w:r>
    </w:p>
    <w:p w14:paraId="28C9DAC8"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Для державного бюджету основними джерелами фінансування дефіциту є державні запозичення, які включають як внутрішні, так і зовнішні запозичення, що здійснюються відповідно до положень Бюджетного кодексу України [1]. Внутрішні запозичення, зокрема у формі військових облігацій, мають важливе значення не лише з точки зору фінансування, а й як засіб мобілізації громадянського суспільства. Військові облігації випускаються згідно з постановами Кабінету Міністрів України, і їх умови (строки, прибутковість, цільове призначення) фіксуються у відповідних нормативних актах [5].</w:t>
      </w:r>
    </w:p>
    <w:p w14:paraId="62DB0312"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Окремої уваги заслуговує питання зовнішнього фінансування, яке стало опорою бюджетної системи у 2022–2024 роках. Міжнародні партнери – зокрема США, країни ЄС, Японія, Канада, Міжнарожний валютний фонд, Світовий банк – надали Україні як безповоротну фінансову допомогу, так і пільгові кредити. Таке фінансування ґрунтується на міжнародних угодах, які мають статус ратифікованих договорів або міжурядових меморандумів. Укладання таких договорів супроводжується правовими зобов’язаннями щодо використання коштів, їх аудиту, прозорості та звітності.</w:t>
      </w:r>
    </w:p>
    <w:p w14:paraId="0711B045"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Другим важливим джерелом є надходження від приватизації державного майна, включаючи супутні доходи, пов’язані з цим процесом, що стосуються виключно державного бюджету [1]. Ці кошти не лише допомагають зменшити бюджетний дефіцит, але й відіграють стратегічну роль у стимулюванні розвитку приватного сектору. Приватизація сприяє підвищенню ефективності управління активами, залученню інвестицій і створенню нових робочих місць, що позитивно впливає на економічне зростання.</w:t>
      </w:r>
    </w:p>
    <w:p w14:paraId="4CA3FBAA"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Третім джерелом є повернення бюджетних коштів, раніше розміщених на депозитах, а також доходи від операцій із цінними паперами, зокрема їхнього продажу чи пред’явлення [1]. Ці надходження забезпечують додаткову ліквідність для виконання бюджетних зобов’язань, дозволяючи уряду оперативно реагувати на поточні фінансові потреби без залучення нових ресурсів.</w:t>
      </w:r>
    </w:p>
    <w:p w14:paraId="49FA963A"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lastRenderedPageBreak/>
        <w:t>Четвертим джерелом фінансування є вільний залишок бюджетних коштів, що включає невикористані ресурси попередніх бюджетних періодів, а також надходження від понадпланових державних запозичень, як це передбачено частиною одинадцятою статті 16 Бюджетного кодексу [1]. Використання цього джерела є особливо ефективним, оскільки воно не збільшує боргове навантаження і дозволяє оптимізувати бюджетні ресурси. Вільний залишок виступає своєрідним фінансовим резервом, який допомагає уряду гнучко реагувати на непередбачені витрати чи економічні виклики.</w:t>
      </w:r>
    </w:p>
    <w:p w14:paraId="2D62175F"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П’ятим джерелом є тимчасово вільні кошти єдиного казначейського рахунка, які надають можливість для короткострокового фінансування бюджетних потреб [1]. Цей механізм дозволяє оперативно спрямовувати наявні ресурси на покриття тимчасових касових розривів, що підвищує ефективність управління державними фінансами.</w:t>
      </w:r>
    </w:p>
    <w:p w14:paraId="27276B5C"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Також важливо зазначити, що Закон України «Про правовий режим воєнного стану» надає органам державної влади повноваження ухвалювати рішення в умовах обмеженого часу й оперативної необхідності. Завдяки цьому законодавчі та виконавчі органи отримали юридичне підґрунтя для гнучкого реагування на зміни у фінансовій сфері: перегляду бюджету, зміни макропоказників, тимчасового зупинення деяких бюджетних програм. Це забезпечує адаптивність фінансової системи до умов бойових дій, що є життєво важливим чинником національної безпеки [6].</w:t>
      </w:r>
    </w:p>
    <w:p w14:paraId="2E4E65B7"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 xml:space="preserve">Однак навіть за наявності таких правових механізмів, держава стикається з численними викликами. Значна частина доходів – кредитна або безповоротна допомога – має тимчасовий характер. Після завершення активної фази війни Україна потребуватиме стратегії скорочення дефіциту, реструктуризації боргів і відновлення внутрішніх джерел фінансування. </w:t>
      </w:r>
    </w:p>
    <w:p w14:paraId="10A0E74A"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 xml:space="preserve">Таким чином, правові інструменти управління бюджетним дефіцитом в умовах війни ґрунтуються на чітко структурованих джерелах фінансування, яка охоплює законодавче забезпечення бюджету, механізми залучення внутрішнього й зовнішнього фінансування, податкову політику, систему контролю та прозорості. Вони функціонують </w:t>
      </w:r>
      <w:proofErr w:type="gramStart"/>
      <w:r w:rsidRPr="00511005">
        <w:rPr>
          <w:rFonts w:ascii="Arial" w:eastAsia="Calibri" w:hAnsi="Arial" w:cs="Arial"/>
          <w:szCs w:val="28"/>
          <w:lang w:bidi="uk-UA"/>
        </w:rPr>
        <w:t>у межах</w:t>
      </w:r>
      <w:proofErr w:type="gramEnd"/>
      <w:r w:rsidRPr="00511005">
        <w:rPr>
          <w:rFonts w:ascii="Arial" w:eastAsia="Calibri" w:hAnsi="Arial" w:cs="Arial"/>
          <w:szCs w:val="28"/>
          <w:lang w:bidi="uk-UA"/>
        </w:rPr>
        <w:t xml:space="preserve"> спеціальних норм воєнного права та адаптованих бюджетних процедур. Ефективне їх використання є ключем до фінансової стійкості України в умовах війни та запорукою економічного відновлення в післявоєнний період.</w:t>
      </w:r>
    </w:p>
    <w:p w14:paraId="07D5B224" w14:textId="77777777" w:rsidR="00B67481" w:rsidRPr="00511005" w:rsidRDefault="00B67481" w:rsidP="003A292D">
      <w:pPr>
        <w:spacing w:line="264" w:lineRule="auto"/>
        <w:ind w:firstLine="708"/>
        <w:rPr>
          <w:rFonts w:ascii="Arial" w:eastAsia="Calibri" w:hAnsi="Arial" w:cs="Arial"/>
          <w:szCs w:val="28"/>
          <w:lang w:bidi="uk-UA"/>
        </w:rPr>
      </w:pPr>
    </w:p>
    <w:p w14:paraId="2C1FC1A8" w14:textId="77777777" w:rsidR="00B67481" w:rsidRPr="00511005" w:rsidRDefault="00B67481" w:rsidP="003A292D">
      <w:pPr>
        <w:spacing w:line="264" w:lineRule="auto"/>
        <w:ind w:firstLine="708"/>
        <w:jc w:val="center"/>
        <w:rPr>
          <w:rFonts w:ascii="Arial" w:eastAsia="Calibri" w:hAnsi="Arial" w:cs="Arial"/>
          <w:szCs w:val="28"/>
          <w:lang w:bidi="uk-UA"/>
        </w:rPr>
      </w:pPr>
      <w:r w:rsidRPr="00511005">
        <w:rPr>
          <w:rFonts w:ascii="Arial" w:eastAsia="Calibri" w:hAnsi="Arial" w:cs="Arial"/>
          <w:b/>
          <w:bCs/>
          <w:szCs w:val="28"/>
          <w:lang w:bidi="uk-UA"/>
        </w:rPr>
        <w:t>Списток використаних джерел</w:t>
      </w:r>
    </w:p>
    <w:p w14:paraId="595514CF"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 xml:space="preserve">1. Бюджетний кодекс </w:t>
      </w:r>
      <w:proofErr w:type="gramStart"/>
      <w:r w:rsidRPr="00511005">
        <w:rPr>
          <w:rFonts w:ascii="Arial" w:eastAsia="Calibri" w:hAnsi="Arial" w:cs="Arial"/>
          <w:szCs w:val="28"/>
          <w:lang w:bidi="uk-UA"/>
        </w:rPr>
        <w:t>України :</w:t>
      </w:r>
      <w:proofErr w:type="gramEnd"/>
      <w:r w:rsidRPr="00511005">
        <w:rPr>
          <w:rFonts w:ascii="Arial" w:eastAsia="Calibri" w:hAnsi="Arial" w:cs="Arial"/>
          <w:szCs w:val="28"/>
          <w:lang w:bidi="uk-UA"/>
        </w:rPr>
        <w:t xml:space="preserve"> Кодекс України від 08.07.2010 № 2456-VI (Редакція від 05.03.2025 № 4225-IX) URL: https://zakon.rada.gov.ua/laws/show/2456-17#Text (дата звернення: 08.04.2025).</w:t>
      </w:r>
    </w:p>
    <w:p w14:paraId="300C2DAE"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lastRenderedPageBreak/>
        <w:t xml:space="preserve">2. Колісник О.Я. Бюджетний дефіцит: причини, економічні ефекти та особливості управління. </w:t>
      </w:r>
      <w:r w:rsidRPr="00511005">
        <w:rPr>
          <w:rFonts w:ascii="Arial" w:eastAsia="Calibri" w:hAnsi="Arial" w:cs="Arial"/>
          <w:i/>
          <w:iCs/>
          <w:szCs w:val="28"/>
          <w:lang w:bidi="uk-UA"/>
        </w:rPr>
        <w:t>Економічна наука. Економіка та держава.</w:t>
      </w:r>
      <w:r w:rsidRPr="00511005">
        <w:rPr>
          <w:rFonts w:ascii="Arial" w:eastAsia="Calibri" w:hAnsi="Arial" w:cs="Arial"/>
          <w:szCs w:val="28"/>
          <w:lang w:bidi="uk-UA"/>
        </w:rPr>
        <w:t xml:space="preserve"> 2014. № 6. С. 26-32.</w:t>
      </w:r>
    </w:p>
    <w:p w14:paraId="5E4135F0"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 xml:space="preserve">3. Коляда Т.А., Косминіна О.С. Бюджетний дефіцит України: сутність, причини виникнення та особливості управління. </w:t>
      </w:r>
      <w:r w:rsidRPr="00511005">
        <w:rPr>
          <w:rFonts w:ascii="Arial" w:eastAsia="Calibri" w:hAnsi="Arial" w:cs="Arial"/>
          <w:i/>
          <w:iCs/>
          <w:szCs w:val="28"/>
          <w:lang w:bidi="uk-UA"/>
        </w:rPr>
        <w:t>Modern Economics.</w:t>
      </w:r>
      <w:r w:rsidRPr="00511005">
        <w:rPr>
          <w:rFonts w:ascii="Arial" w:eastAsia="Calibri" w:hAnsi="Arial" w:cs="Arial"/>
          <w:szCs w:val="28"/>
          <w:lang w:bidi="uk-UA"/>
        </w:rPr>
        <w:t xml:space="preserve"> 2018. № 12. С. 100–105.</w:t>
      </w:r>
    </w:p>
    <w:p w14:paraId="06BF2E34"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 xml:space="preserve">4. Касьяненко Л.М., Миколаєнко П.М., Підгородецький В.О. Правове регулювання дефіциту бюджету України в умовах воєнного стану. </w:t>
      </w:r>
      <w:r w:rsidRPr="00511005">
        <w:rPr>
          <w:rFonts w:ascii="Arial" w:eastAsia="Calibri" w:hAnsi="Arial" w:cs="Arial"/>
          <w:i/>
          <w:iCs/>
          <w:szCs w:val="28"/>
          <w:lang w:bidi="uk-UA"/>
        </w:rPr>
        <w:t>Ірпінський юридичний часопис.</w:t>
      </w:r>
      <w:r w:rsidRPr="00511005">
        <w:rPr>
          <w:rFonts w:ascii="Arial" w:eastAsia="Calibri" w:hAnsi="Arial" w:cs="Arial"/>
          <w:szCs w:val="28"/>
          <w:lang w:bidi="uk-UA"/>
        </w:rPr>
        <w:t xml:space="preserve"> 2023. № 3(12). С. 73–84.</w:t>
      </w:r>
    </w:p>
    <w:p w14:paraId="6F5C3796" w14:textId="77777777" w:rsidR="00B67481" w:rsidRPr="00511005" w:rsidRDefault="00B67481" w:rsidP="003A292D">
      <w:pPr>
        <w:spacing w:line="264" w:lineRule="auto"/>
        <w:ind w:firstLine="708"/>
        <w:rPr>
          <w:rFonts w:ascii="Arial" w:eastAsia="Calibri" w:hAnsi="Arial" w:cs="Arial"/>
          <w:szCs w:val="28"/>
          <w:lang w:bidi="uk-UA"/>
        </w:rPr>
      </w:pPr>
      <w:r w:rsidRPr="00511005">
        <w:rPr>
          <w:rFonts w:ascii="Arial" w:eastAsia="Calibri" w:hAnsi="Arial" w:cs="Arial"/>
          <w:szCs w:val="28"/>
          <w:lang w:bidi="uk-UA"/>
        </w:rPr>
        <w:t xml:space="preserve">5. </w:t>
      </w:r>
      <w:r w:rsidRPr="00511005">
        <w:rPr>
          <w:rFonts w:ascii="Arial" w:eastAsia="Times New Roman" w:hAnsi="Arial" w:cs="Arial"/>
          <w:szCs w:val="28"/>
          <w:lang w:eastAsia="uk-UA"/>
        </w:rPr>
        <w:t xml:space="preserve">Про випуск облігацій внутрішньої державної позики «Військові облігації»: Постанова Кабінету Міністрів України від 25.02.2022 № 156 (Редакція від 09.06.2022 № 659-2022-п.) URL: </w:t>
      </w:r>
      <w:hyperlink r:id="rId1001" w:anchor="_blank" w:history="1">
        <w:r w:rsidRPr="00511005">
          <w:rPr>
            <w:rFonts w:ascii="Arial" w:eastAsia="Calibri" w:hAnsi="Arial" w:cs="Arial"/>
            <w:szCs w:val="28"/>
            <w:lang w:eastAsia="uk-UA"/>
          </w:rPr>
          <w:t>https://zakon.rada.gov.ua/laws/show/156-2022-п#Text</w:t>
        </w:r>
      </w:hyperlink>
      <w:r w:rsidRPr="00511005">
        <w:rPr>
          <w:rFonts w:ascii="Arial" w:eastAsia="Times New Roman" w:hAnsi="Arial" w:cs="Arial"/>
          <w:szCs w:val="28"/>
          <w:lang w:eastAsia="uk-UA"/>
        </w:rPr>
        <w:t xml:space="preserve"> (дата звернення: 08.04.2025).</w:t>
      </w:r>
    </w:p>
    <w:p w14:paraId="3FCD6642" w14:textId="77777777" w:rsidR="00B67481" w:rsidRPr="00511005" w:rsidRDefault="00B67481" w:rsidP="003A292D">
      <w:pPr>
        <w:spacing w:line="264" w:lineRule="auto"/>
        <w:ind w:firstLine="708"/>
        <w:rPr>
          <w:rFonts w:ascii="Arial" w:eastAsia="Calibri" w:hAnsi="Arial" w:cs="Arial"/>
          <w:szCs w:val="28"/>
        </w:rPr>
      </w:pPr>
      <w:r w:rsidRPr="00511005">
        <w:rPr>
          <w:rFonts w:ascii="Arial" w:eastAsia="Calibri" w:hAnsi="Arial" w:cs="Arial"/>
          <w:szCs w:val="28"/>
          <w:lang w:bidi="uk-UA"/>
        </w:rPr>
        <w:t xml:space="preserve">6. Про правовий режим воєнного </w:t>
      </w:r>
      <w:proofErr w:type="gramStart"/>
      <w:r w:rsidRPr="00511005">
        <w:rPr>
          <w:rFonts w:ascii="Arial" w:eastAsia="Calibri" w:hAnsi="Arial" w:cs="Arial"/>
          <w:szCs w:val="28"/>
          <w:lang w:bidi="uk-UA"/>
        </w:rPr>
        <w:t>стану :</w:t>
      </w:r>
      <w:proofErr w:type="gramEnd"/>
      <w:r w:rsidRPr="00511005">
        <w:rPr>
          <w:rFonts w:ascii="Arial" w:eastAsia="Calibri" w:hAnsi="Arial" w:cs="Arial"/>
          <w:szCs w:val="28"/>
          <w:lang w:bidi="uk-UA"/>
        </w:rPr>
        <w:t xml:space="preserve"> Закон України від 12.05.2015 № 389-VIII (Редакція від 08.02.2025 № 4203-IX) URL: https://zakon.rada.gov.ua/laws/show/389-19#Text (дата звернення: 08.04.2025).</w:t>
      </w:r>
    </w:p>
    <w:p w14:paraId="45D8DA0D" w14:textId="77777777" w:rsidR="00B67481" w:rsidRPr="00511005" w:rsidRDefault="00B67481" w:rsidP="003A292D">
      <w:pPr>
        <w:spacing w:line="264" w:lineRule="auto"/>
        <w:ind w:firstLine="0"/>
        <w:rPr>
          <w:rFonts w:ascii="Arial" w:eastAsia="Calibri" w:hAnsi="Arial" w:cs="Arial"/>
          <w:szCs w:val="28"/>
        </w:rPr>
      </w:pPr>
    </w:p>
    <w:p w14:paraId="2B320A07" w14:textId="2773C985" w:rsidR="00B67481" w:rsidRPr="00511005" w:rsidRDefault="007B2628" w:rsidP="003A292D">
      <w:pPr>
        <w:spacing w:line="264" w:lineRule="auto"/>
        <w:rPr>
          <w:rFonts w:ascii="Arial" w:eastAsia="Calibri" w:hAnsi="Arial" w:cs="Arial"/>
          <w:szCs w:val="28"/>
        </w:rPr>
      </w:pPr>
      <w:r w:rsidRPr="00511005">
        <w:rPr>
          <w:rFonts w:ascii="Arial" w:eastAsia="Calibri" w:hAnsi="Arial" w:cs="Arial"/>
          <w:b/>
          <w:bCs/>
          <w:i/>
          <w:szCs w:val="28"/>
        </w:rPr>
        <w:t xml:space="preserve">Ключові слова: </w:t>
      </w:r>
      <w:r w:rsidR="00B67481" w:rsidRPr="00511005">
        <w:rPr>
          <w:rFonts w:ascii="Arial" w:eastAsia="Calibri" w:hAnsi="Arial" w:cs="Arial"/>
          <w:szCs w:val="28"/>
        </w:rPr>
        <w:t>бюджетний дефіцит, воєнний стан, державні фінанси, фінансова стабільність, державний борг, внутрішні запозичення</w:t>
      </w:r>
    </w:p>
    <w:p w14:paraId="39B77833" w14:textId="769F6F6F" w:rsidR="00B67481"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bCs/>
          <w:i/>
          <w:szCs w:val="28"/>
          <w:lang w:val="en-US"/>
        </w:rPr>
        <w:t xml:space="preserve">Key words: </w:t>
      </w:r>
      <w:r w:rsidR="00B67481" w:rsidRPr="00511005">
        <w:rPr>
          <w:rFonts w:ascii="Arial" w:eastAsia="Calibri" w:hAnsi="Arial" w:cs="Arial"/>
          <w:szCs w:val="28"/>
          <w:lang w:val="en-US"/>
        </w:rPr>
        <w:t>budget deficit, martial law, public finance, financial stability, public debt, domestic borrowing</w:t>
      </w:r>
    </w:p>
    <w:p w14:paraId="4E8B0535" w14:textId="0EC2B946" w:rsidR="00B67481" w:rsidRPr="00511005" w:rsidRDefault="007B2628" w:rsidP="003A292D">
      <w:pPr>
        <w:spacing w:line="264" w:lineRule="auto"/>
        <w:rPr>
          <w:rFonts w:ascii="Arial" w:eastAsia="Calibri" w:hAnsi="Arial" w:cs="Arial"/>
          <w:i/>
          <w:iCs/>
          <w:szCs w:val="28"/>
        </w:rPr>
      </w:pPr>
      <w:r w:rsidRPr="00511005">
        <w:rPr>
          <w:rFonts w:ascii="Arial" w:eastAsia="Calibri" w:hAnsi="Arial" w:cs="Arial"/>
          <w:b/>
          <w:i/>
          <w:iCs/>
          <w:szCs w:val="28"/>
        </w:rPr>
        <w:t xml:space="preserve">Науковий керівник: </w:t>
      </w:r>
      <w:r w:rsidR="00B67481" w:rsidRPr="00511005">
        <w:rPr>
          <w:rFonts w:ascii="Arial" w:eastAsia="Calibri" w:hAnsi="Arial" w:cs="Arial"/>
          <w:i/>
          <w:iCs/>
          <w:szCs w:val="28"/>
        </w:rPr>
        <w:t>к.ю.н., доцент Сідор М.І.</w:t>
      </w:r>
    </w:p>
    <w:p w14:paraId="46732181" w14:textId="77777777" w:rsidR="001D1A08" w:rsidRPr="00511005" w:rsidRDefault="001D1A08" w:rsidP="003A292D">
      <w:pPr>
        <w:spacing w:line="264" w:lineRule="auto"/>
        <w:ind w:firstLine="0"/>
        <w:jc w:val="left"/>
        <w:rPr>
          <w:rFonts w:ascii="Arial" w:eastAsia="Calibri" w:hAnsi="Arial" w:cs="Arial"/>
          <w:i/>
          <w:iCs/>
          <w:szCs w:val="28"/>
        </w:rPr>
      </w:pPr>
    </w:p>
    <w:p w14:paraId="2E488937" w14:textId="77777777" w:rsidR="001D1A08" w:rsidRPr="00511005" w:rsidRDefault="001D1A08" w:rsidP="003A292D">
      <w:pPr>
        <w:spacing w:line="264" w:lineRule="auto"/>
        <w:ind w:firstLine="0"/>
        <w:jc w:val="left"/>
        <w:rPr>
          <w:rFonts w:ascii="Arial" w:eastAsia="Calibri" w:hAnsi="Arial" w:cs="Arial"/>
          <w:i/>
          <w:iCs/>
          <w:szCs w:val="28"/>
        </w:rPr>
      </w:pPr>
    </w:p>
    <w:p w14:paraId="11B1C9B8" w14:textId="77777777" w:rsidR="00B67481" w:rsidRPr="00511005" w:rsidRDefault="00B67481" w:rsidP="003A292D">
      <w:pPr>
        <w:spacing w:line="264" w:lineRule="auto"/>
        <w:ind w:firstLine="0"/>
        <w:jc w:val="center"/>
        <w:rPr>
          <w:rFonts w:ascii="Arial" w:eastAsia="Calibri" w:hAnsi="Arial" w:cs="Arial"/>
          <w:b/>
          <w:bCs/>
          <w:i/>
          <w:szCs w:val="28"/>
          <w:lang w:val="uk-UA"/>
        </w:rPr>
      </w:pPr>
      <w:r w:rsidRPr="00511005">
        <w:rPr>
          <w:rFonts w:ascii="Arial" w:eastAsia="Calibri" w:hAnsi="Arial" w:cs="Arial"/>
          <w:b/>
          <w:bCs/>
          <w:i/>
          <w:szCs w:val="28"/>
          <w:lang w:val="uk-UA"/>
        </w:rPr>
        <w:t>Сентіщев Вадим Ігорович</w:t>
      </w:r>
    </w:p>
    <w:p w14:paraId="772FB2B4" w14:textId="505E326B"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 2-го курсу </w:t>
      </w:r>
    </w:p>
    <w:p w14:paraId="7BE79594"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E624812"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6F6D89B" w14:textId="77777777" w:rsidR="00B67481" w:rsidRPr="00511005" w:rsidRDefault="00B67481" w:rsidP="003A292D">
      <w:pPr>
        <w:spacing w:line="264" w:lineRule="auto"/>
        <w:ind w:firstLine="0"/>
        <w:jc w:val="center"/>
        <w:rPr>
          <w:rFonts w:ascii="Arial" w:eastAsia="Calibri" w:hAnsi="Arial" w:cs="Arial"/>
          <w:szCs w:val="28"/>
          <w:lang w:val="uk-UA"/>
        </w:rPr>
      </w:pPr>
    </w:p>
    <w:p w14:paraId="46E073CC" w14:textId="77777777" w:rsidR="00B67481" w:rsidRPr="00511005" w:rsidRDefault="00B67481" w:rsidP="00DE2391">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ОСОБЛИВОСТІ РЕАЛІЗАЦІЇ ПРИНЦИПУ «ЄДИНОГО ВІКНА» ЧЕРЕЗ ЄДИНИЙ ПОРТАЛ НАДАННЯ АДМІНІСТРАТИВНИХ ПОСЛУГ «ДІЯ»</w:t>
      </w:r>
    </w:p>
    <w:p w14:paraId="2BC7298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Активний розвиток цифрових технологій у державі створює потребу переосмислити звичні підходи до надання адміністративних послуг. Серед ключових тенденцій</w:t>
      </w:r>
      <w:r w:rsidRPr="00511005">
        <w:rPr>
          <w:rFonts w:ascii="Arial" w:eastAsia="Calibri" w:hAnsi="Arial" w:cs="Arial"/>
          <w:szCs w:val="28"/>
          <w:lang w:val="uk-UA"/>
        </w:rPr>
        <w:t xml:space="preserve"> у сфері надання адміністративних послуг</w:t>
      </w:r>
      <w:r w:rsidRPr="00511005">
        <w:rPr>
          <w:rFonts w:ascii="Arial" w:eastAsia="Calibri" w:hAnsi="Arial" w:cs="Arial"/>
          <w:szCs w:val="28"/>
        </w:rPr>
        <w:t xml:space="preserve"> — впровадження принципу </w:t>
      </w:r>
      <w:r w:rsidRPr="00511005">
        <w:rPr>
          <w:rFonts w:ascii="Arial" w:eastAsia="Calibri" w:hAnsi="Arial" w:cs="Arial"/>
          <w:szCs w:val="28"/>
          <w:lang w:val="uk-UA"/>
        </w:rPr>
        <w:t>«</w:t>
      </w:r>
      <w:r w:rsidRPr="00511005">
        <w:rPr>
          <w:rFonts w:ascii="Arial" w:eastAsia="Calibri" w:hAnsi="Arial" w:cs="Arial"/>
          <w:szCs w:val="28"/>
        </w:rPr>
        <w:t>єдиного вікна</w:t>
      </w:r>
      <w:r w:rsidRPr="00511005">
        <w:rPr>
          <w:rFonts w:ascii="Arial" w:eastAsia="Calibri" w:hAnsi="Arial" w:cs="Arial"/>
          <w:szCs w:val="28"/>
          <w:lang w:val="uk-UA"/>
        </w:rPr>
        <w:t>»</w:t>
      </w:r>
      <w:r w:rsidRPr="00511005">
        <w:rPr>
          <w:rFonts w:ascii="Arial" w:eastAsia="Calibri" w:hAnsi="Arial" w:cs="Arial"/>
          <w:szCs w:val="28"/>
        </w:rPr>
        <w:t xml:space="preserve">, який передбачає централізований доступ до публічних сервісів через єдину точку входу. </w:t>
      </w:r>
      <w:r w:rsidRPr="00511005">
        <w:rPr>
          <w:rFonts w:ascii="Arial" w:eastAsia="Calibri" w:hAnsi="Arial" w:cs="Arial"/>
          <w:szCs w:val="28"/>
          <w:lang w:val="uk-UA"/>
        </w:rPr>
        <w:t xml:space="preserve">Відповідно до проекту </w:t>
      </w:r>
      <w:r w:rsidRPr="00511005">
        <w:rPr>
          <w:rFonts w:ascii="Arial" w:eastAsia="Calibri" w:hAnsi="Arial" w:cs="Arial"/>
          <w:szCs w:val="28"/>
        </w:rPr>
        <w:t>С</w:t>
      </w:r>
      <w:r w:rsidRPr="00511005">
        <w:rPr>
          <w:rFonts w:ascii="Arial" w:eastAsia="Calibri" w:hAnsi="Arial" w:cs="Arial"/>
          <w:szCs w:val="28"/>
          <w:lang w:val="uk-UA"/>
        </w:rPr>
        <w:t xml:space="preserve">тратегії </w:t>
      </w:r>
      <w:r w:rsidRPr="00511005">
        <w:rPr>
          <w:rFonts w:ascii="Arial" w:eastAsia="Calibri" w:hAnsi="Arial" w:cs="Arial"/>
          <w:szCs w:val="28"/>
        </w:rPr>
        <w:t>розвитку сфери відкритих даних України на 2025–2027 роки</w:t>
      </w:r>
      <w:r w:rsidRPr="00511005">
        <w:rPr>
          <w:rFonts w:ascii="Arial" w:eastAsia="Calibri" w:hAnsi="Arial" w:cs="Arial"/>
          <w:szCs w:val="28"/>
          <w:lang w:val="uk-UA"/>
        </w:rPr>
        <w:t xml:space="preserve"> п</w:t>
      </w:r>
      <w:r w:rsidRPr="00511005">
        <w:rPr>
          <w:rFonts w:ascii="Arial" w:eastAsia="Calibri" w:hAnsi="Arial" w:cs="Arial"/>
          <w:szCs w:val="28"/>
        </w:rPr>
        <w:t xml:space="preserve">ринцип </w:t>
      </w:r>
      <w:r w:rsidRPr="00511005">
        <w:rPr>
          <w:rFonts w:ascii="Arial" w:eastAsia="Calibri" w:hAnsi="Arial" w:cs="Arial"/>
          <w:b/>
          <w:bCs/>
          <w:i/>
          <w:iCs/>
          <w:szCs w:val="28"/>
        </w:rPr>
        <w:t>«</w:t>
      </w:r>
      <w:r w:rsidRPr="00511005">
        <w:rPr>
          <w:rFonts w:ascii="Arial" w:eastAsia="Calibri" w:hAnsi="Arial" w:cs="Arial"/>
          <w:szCs w:val="28"/>
        </w:rPr>
        <w:t>єдиного вікна</w:t>
      </w:r>
      <w:r w:rsidRPr="00511005">
        <w:rPr>
          <w:rFonts w:ascii="Arial" w:eastAsia="Calibri" w:hAnsi="Arial" w:cs="Arial"/>
          <w:b/>
          <w:bCs/>
          <w:i/>
          <w:iCs/>
          <w:szCs w:val="28"/>
        </w:rPr>
        <w:t>»</w:t>
      </w:r>
      <w:r w:rsidRPr="00511005">
        <w:rPr>
          <w:rFonts w:ascii="Arial" w:eastAsia="Calibri" w:hAnsi="Arial" w:cs="Arial"/>
          <w:szCs w:val="28"/>
        </w:rPr>
        <w:t xml:space="preserve"> </w:t>
      </w:r>
      <w:r w:rsidRPr="00511005">
        <w:rPr>
          <w:rFonts w:ascii="Arial" w:eastAsia="Calibri" w:hAnsi="Arial" w:cs="Arial"/>
          <w:szCs w:val="28"/>
          <w:lang w:val="uk-UA"/>
        </w:rPr>
        <w:t>визначається як «основний</w:t>
      </w:r>
      <w:r w:rsidRPr="00511005">
        <w:rPr>
          <w:rFonts w:ascii="Arial" w:eastAsia="Calibri" w:hAnsi="Arial" w:cs="Arial"/>
          <w:szCs w:val="28"/>
        </w:rPr>
        <w:t xml:space="preserve"> принцип інформаційно-правових відносин, який</w:t>
      </w:r>
      <w:r w:rsidRPr="00511005">
        <w:rPr>
          <w:rFonts w:ascii="Arial" w:eastAsia="Calibri" w:hAnsi="Arial" w:cs="Arial"/>
          <w:szCs w:val="28"/>
          <w:lang w:val="uk-UA"/>
        </w:rPr>
        <w:t xml:space="preserve"> закріплює </w:t>
      </w:r>
      <w:r w:rsidRPr="00511005">
        <w:rPr>
          <w:rFonts w:ascii="Arial" w:eastAsia="Calibri" w:hAnsi="Arial" w:cs="Arial"/>
          <w:szCs w:val="28"/>
        </w:rPr>
        <w:t>необхідність забезпечення доступу до інформації розпорядниками через</w:t>
      </w:r>
      <w:r w:rsidRPr="00511005">
        <w:rPr>
          <w:rFonts w:ascii="Arial" w:eastAsia="Calibri" w:hAnsi="Arial" w:cs="Arial"/>
          <w:szCs w:val="28"/>
          <w:lang w:val="uk-UA"/>
        </w:rPr>
        <w:t xml:space="preserve"> </w:t>
      </w:r>
      <w:r w:rsidRPr="00511005">
        <w:rPr>
          <w:rFonts w:ascii="Arial" w:eastAsia="Calibri" w:hAnsi="Arial" w:cs="Arial"/>
          <w:szCs w:val="28"/>
        </w:rPr>
        <w:t xml:space="preserve">загальновідомі, єдині, офіційно визнані </w:t>
      </w:r>
      <w:r w:rsidRPr="00511005">
        <w:rPr>
          <w:rFonts w:ascii="Arial" w:eastAsia="Calibri" w:hAnsi="Arial" w:cs="Arial"/>
          <w:szCs w:val="28"/>
        </w:rPr>
        <w:lastRenderedPageBreak/>
        <w:t xml:space="preserve">канали комунікації та забороняє </w:t>
      </w:r>
      <w:r w:rsidRPr="00511005">
        <w:rPr>
          <w:rFonts w:ascii="Arial" w:eastAsia="Calibri" w:hAnsi="Arial" w:cs="Arial"/>
          <w:szCs w:val="28"/>
          <w:lang w:val="uk-UA"/>
        </w:rPr>
        <w:t>часткове</w:t>
      </w:r>
      <w:r w:rsidRPr="00511005">
        <w:rPr>
          <w:rFonts w:ascii="Arial" w:eastAsia="Calibri" w:hAnsi="Arial" w:cs="Arial"/>
          <w:szCs w:val="28"/>
        </w:rPr>
        <w:t xml:space="preserve"> й</w:t>
      </w:r>
      <w:r w:rsidRPr="00511005">
        <w:rPr>
          <w:rFonts w:ascii="Arial" w:eastAsia="Calibri" w:hAnsi="Arial" w:cs="Arial"/>
          <w:szCs w:val="28"/>
          <w:lang w:val="uk-UA"/>
        </w:rPr>
        <w:t xml:space="preserve"> </w:t>
      </w:r>
      <w:r w:rsidRPr="00511005">
        <w:rPr>
          <w:rFonts w:ascii="Arial" w:eastAsia="Calibri" w:hAnsi="Arial" w:cs="Arial"/>
          <w:szCs w:val="28"/>
        </w:rPr>
        <w:t>відокремлене оприлюднення інформації їх посадовими особами та структурними підрозділами</w:t>
      </w:r>
      <w:r w:rsidRPr="00511005">
        <w:rPr>
          <w:rFonts w:ascii="Arial" w:eastAsia="Calibri" w:hAnsi="Arial" w:cs="Arial"/>
          <w:szCs w:val="28"/>
          <w:lang w:val="uk-UA"/>
        </w:rPr>
        <w:t xml:space="preserve"> </w:t>
      </w:r>
      <w:r w:rsidRPr="00511005">
        <w:rPr>
          <w:rFonts w:ascii="Arial" w:eastAsia="Calibri" w:hAnsi="Arial" w:cs="Arial"/>
          <w:szCs w:val="28"/>
        </w:rPr>
        <w:t>на різних інформаційних ресурсах</w:t>
      </w:r>
      <w:r w:rsidRPr="00511005">
        <w:rPr>
          <w:rFonts w:ascii="Arial" w:eastAsia="Calibri" w:hAnsi="Arial" w:cs="Arial"/>
          <w:szCs w:val="28"/>
          <w:lang w:val="uk-UA"/>
        </w:rPr>
        <w:t>»</w:t>
      </w:r>
      <w:r w:rsidRPr="00511005">
        <w:rPr>
          <w:rFonts w:ascii="Arial" w:eastAsia="Calibri" w:hAnsi="Arial" w:cs="Arial"/>
          <w:szCs w:val="28"/>
        </w:rPr>
        <w:t>[</w:t>
      </w:r>
      <w:r w:rsidRPr="00511005">
        <w:rPr>
          <w:rFonts w:ascii="Arial" w:eastAsia="Calibri" w:hAnsi="Arial" w:cs="Arial"/>
          <w:szCs w:val="28"/>
          <w:lang w:val="uk-UA"/>
        </w:rPr>
        <w:t>1</w:t>
      </w:r>
      <w:r w:rsidRPr="00511005">
        <w:rPr>
          <w:rFonts w:ascii="Arial" w:eastAsia="Calibri" w:hAnsi="Arial" w:cs="Arial"/>
          <w:szCs w:val="28"/>
        </w:rPr>
        <w:t xml:space="preserve">]. </w:t>
      </w:r>
      <w:r w:rsidRPr="00511005">
        <w:rPr>
          <w:rFonts w:ascii="Arial" w:eastAsia="Calibri" w:hAnsi="Arial" w:cs="Arial"/>
          <w:szCs w:val="28"/>
          <w:lang w:val="uk-UA"/>
        </w:rPr>
        <w:t xml:space="preserve">Саме </w:t>
      </w:r>
      <w:r w:rsidRPr="00511005">
        <w:rPr>
          <w:rFonts w:ascii="Arial" w:eastAsia="Calibri" w:hAnsi="Arial" w:cs="Arial"/>
          <w:szCs w:val="28"/>
        </w:rPr>
        <w:t xml:space="preserve">адаптація </w:t>
      </w:r>
      <w:r w:rsidRPr="00511005">
        <w:rPr>
          <w:rFonts w:ascii="Arial" w:eastAsia="Calibri" w:hAnsi="Arial" w:cs="Arial"/>
          <w:szCs w:val="28"/>
          <w:lang w:val="uk-UA"/>
        </w:rPr>
        <w:t xml:space="preserve">даного принципу </w:t>
      </w:r>
      <w:r w:rsidRPr="00511005">
        <w:rPr>
          <w:rFonts w:ascii="Arial" w:eastAsia="Calibri" w:hAnsi="Arial" w:cs="Arial"/>
          <w:szCs w:val="28"/>
        </w:rPr>
        <w:t>у форматі цифрових платформ, зокрема</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szCs w:val="28"/>
          <w:lang w:val="uk-UA"/>
        </w:rPr>
        <w:t>через Єдиний портал надання адміністративних послуг «</w:t>
      </w:r>
      <w:r w:rsidRPr="00511005">
        <w:rPr>
          <w:rFonts w:ascii="Arial" w:eastAsia="Calibri" w:hAnsi="Arial" w:cs="Arial"/>
          <w:szCs w:val="28"/>
        </w:rPr>
        <w:t>Дія</w:t>
      </w:r>
      <w:r w:rsidRPr="00511005">
        <w:rPr>
          <w:rFonts w:ascii="Arial" w:eastAsia="Calibri" w:hAnsi="Arial" w:cs="Arial"/>
          <w:szCs w:val="28"/>
          <w:lang w:val="uk-UA"/>
        </w:rPr>
        <w:t>»</w:t>
      </w:r>
      <w:r w:rsidRPr="00511005">
        <w:rPr>
          <w:rFonts w:ascii="Arial" w:eastAsia="Calibri" w:hAnsi="Arial" w:cs="Arial"/>
          <w:szCs w:val="28"/>
        </w:rPr>
        <w:t>, дозволяє значно підвищити ефективність комунікації між громадянами і державою.</w:t>
      </w:r>
    </w:p>
    <w:p w14:paraId="1290363F" w14:textId="53174A0D"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В у</w:t>
      </w:r>
      <w:r w:rsidRPr="00511005">
        <w:rPr>
          <w:rFonts w:ascii="Arial" w:eastAsia="Calibri" w:hAnsi="Arial" w:cs="Arial"/>
          <w:szCs w:val="28"/>
        </w:rPr>
        <w:t xml:space="preserve">мовах дії режиму воєнного стану система надання електронних адміністративних послуг є невід’ємною платформою для </w:t>
      </w:r>
      <w:r w:rsidRPr="00511005">
        <w:rPr>
          <w:rFonts w:ascii="Arial" w:eastAsia="Calibri" w:hAnsi="Arial" w:cs="Arial"/>
          <w:szCs w:val="28"/>
          <w:lang w:val="uk-UA"/>
        </w:rPr>
        <w:t xml:space="preserve">комунікації </w:t>
      </w:r>
      <w:r w:rsidRPr="00511005">
        <w:rPr>
          <w:rFonts w:ascii="Arial" w:eastAsia="Calibri" w:hAnsi="Arial" w:cs="Arial"/>
          <w:szCs w:val="28"/>
        </w:rPr>
        <w:t xml:space="preserve">держави </w:t>
      </w:r>
      <w:r w:rsidRPr="00511005">
        <w:rPr>
          <w:rFonts w:ascii="Arial" w:eastAsia="Calibri" w:hAnsi="Arial" w:cs="Arial"/>
          <w:szCs w:val="28"/>
          <w:lang w:val="uk-UA"/>
        </w:rPr>
        <w:t xml:space="preserve">та </w:t>
      </w:r>
      <w:r w:rsidRPr="00511005">
        <w:rPr>
          <w:rFonts w:ascii="Arial" w:eastAsia="Calibri" w:hAnsi="Arial" w:cs="Arial"/>
          <w:szCs w:val="28"/>
        </w:rPr>
        <w:t xml:space="preserve">приватних осіб. </w:t>
      </w:r>
      <w:r w:rsidRPr="00511005">
        <w:rPr>
          <w:rFonts w:ascii="Arial" w:eastAsia="Calibri" w:hAnsi="Arial" w:cs="Arial"/>
          <w:szCs w:val="28"/>
          <w:lang w:val="uk-UA"/>
        </w:rPr>
        <w:t>Така комунікація потребує</w:t>
      </w:r>
      <w:r w:rsidRPr="00511005">
        <w:rPr>
          <w:rFonts w:ascii="Arial" w:eastAsia="Calibri" w:hAnsi="Arial" w:cs="Arial"/>
          <w:szCs w:val="28"/>
        </w:rPr>
        <w:t xml:space="preserve"> постійно</w:t>
      </w:r>
      <w:r w:rsidRPr="00511005">
        <w:rPr>
          <w:rFonts w:ascii="Arial" w:eastAsia="Calibri" w:hAnsi="Arial" w:cs="Arial"/>
          <w:szCs w:val="28"/>
          <w:lang w:val="uk-UA"/>
        </w:rPr>
        <w:t xml:space="preserve">го вдосконалення </w:t>
      </w:r>
      <w:r w:rsidRPr="00511005">
        <w:rPr>
          <w:rFonts w:ascii="Arial" w:eastAsia="Calibri" w:hAnsi="Arial" w:cs="Arial"/>
          <w:szCs w:val="28"/>
        </w:rPr>
        <w:t xml:space="preserve">електронних сервісів держави, забезпечення ефективного електронного урядування. </w:t>
      </w:r>
      <w:r w:rsidRPr="00511005">
        <w:rPr>
          <w:rFonts w:ascii="Arial" w:eastAsia="Calibri" w:hAnsi="Arial" w:cs="Arial"/>
          <w:szCs w:val="28"/>
          <w:lang w:val="uk-UA"/>
        </w:rPr>
        <w:t>Д</w:t>
      </w:r>
      <w:r w:rsidRPr="00511005">
        <w:rPr>
          <w:rFonts w:ascii="Arial" w:eastAsia="Calibri" w:hAnsi="Arial" w:cs="Arial"/>
          <w:szCs w:val="28"/>
        </w:rPr>
        <w:t>ля реалізації права кожно</w:t>
      </w:r>
      <w:r w:rsidRPr="00511005">
        <w:rPr>
          <w:rFonts w:ascii="Arial" w:eastAsia="Calibri" w:hAnsi="Arial" w:cs="Arial"/>
          <w:szCs w:val="28"/>
          <w:lang w:val="uk-UA"/>
        </w:rPr>
        <w:t>ї особи</w:t>
      </w:r>
      <w:r w:rsidRPr="00511005">
        <w:rPr>
          <w:rFonts w:ascii="Arial" w:eastAsia="Calibri" w:hAnsi="Arial" w:cs="Arial"/>
          <w:szCs w:val="28"/>
        </w:rPr>
        <w:t xml:space="preserve"> на доступ до електронних послуг</w:t>
      </w:r>
      <w:r w:rsidRPr="00511005">
        <w:rPr>
          <w:rFonts w:ascii="Arial" w:eastAsia="Calibri" w:hAnsi="Arial" w:cs="Arial"/>
          <w:szCs w:val="28"/>
          <w:lang w:val="uk-UA"/>
        </w:rPr>
        <w:t xml:space="preserve"> був створений </w:t>
      </w:r>
      <w:r w:rsidRPr="00511005">
        <w:rPr>
          <w:rFonts w:ascii="Arial" w:eastAsia="Calibri" w:hAnsi="Arial" w:cs="Arial"/>
          <w:szCs w:val="28"/>
        </w:rPr>
        <w:t>Єдиний державний веб портал електронних послуг</w:t>
      </w:r>
      <w:r w:rsidRPr="00511005">
        <w:rPr>
          <w:rFonts w:ascii="Arial" w:eastAsia="Calibri" w:hAnsi="Arial" w:cs="Arial"/>
          <w:szCs w:val="28"/>
          <w:lang w:val="uk-UA"/>
        </w:rPr>
        <w:t xml:space="preserve"> - </w:t>
      </w:r>
      <w:r w:rsidRPr="00511005">
        <w:rPr>
          <w:rFonts w:ascii="Arial" w:eastAsia="Calibri" w:hAnsi="Arial" w:cs="Arial"/>
          <w:szCs w:val="28"/>
        </w:rPr>
        <w:t>Портал «Дія»</w:t>
      </w:r>
      <w:r w:rsidRPr="00511005">
        <w:rPr>
          <w:rFonts w:ascii="Arial" w:eastAsia="Calibri" w:hAnsi="Arial" w:cs="Arial"/>
          <w:szCs w:val="28"/>
          <w:lang w:val="uk-UA"/>
        </w:rPr>
        <w:t>, який надає можливість не лише отримати адміністративні послуги, а також направляти</w:t>
      </w:r>
      <w:r w:rsidR="007B2628" w:rsidRPr="00511005">
        <w:rPr>
          <w:rFonts w:ascii="Arial" w:eastAsia="Calibri" w:hAnsi="Arial" w:cs="Arial"/>
          <w:szCs w:val="28"/>
          <w:lang w:val="uk-UA"/>
        </w:rPr>
        <w:t xml:space="preserve"> </w:t>
      </w:r>
      <w:r w:rsidRPr="00511005">
        <w:rPr>
          <w:rFonts w:ascii="Arial" w:eastAsia="Calibri" w:hAnsi="Arial" w:cs="Arial"/>
          <w:szCs w:val="28"/>
        </w:rPr>
        <w:t xml:space="preserve">звернення до </w:t>
      </w:r>
      <w:r w:rsidRPr="00511005">
        <w:rPr>
          <w:rFonts w:ascii="Arial" w:eastAsia="Calibri" w:hAnsi="Arial" w:cs="Arial"/>
          <w:szCs w:val="28"/>
          <w:lang w:val="uk-UA"/>
        </w:rPr>
        <w:t xml:space="preserve">суб’єктів владних повноважень, </w:t>
      </w:r>
      <w:r w:rsidRPr="00511005">
        <w:rPr>
          <w:rFonts w:ascii="Arial" w:eastAsia="Calibri" w:hAnsi="Arial" w:cs="Arial"/>
          <w:szCs w:val="28"/>
        </w:rPr>
        <w:t>отрим</w:t>
      </w:r>
      <w:r w:rsidRPr="00511005">
        <w:rPr>
          <w:rFonts w:ascii="Arial" w:eastAsia="Calibri" w:hAnsi="Arial" w:cs="Arial"/>
          <w:szCs w:val="28"/>
          <w:lang w:val="uk-UA"/>
        </w:rPr>
        <w:t>увати</w:t>
      </w:r>
      <w:r w:rsidRPr="00511005">
        <w:rPr>
          <w:rFonts w:ascii="Arial" w:eastAsia="Calibri" w:hAnsi="Arial" w:cs="Arial"/>
          <w:szCs w:val="28"/>
        </w:rPr>
        <w:t xml:space="preserve"> інформаці</w:t>
      </w:r>
      <w:r w:rsidRPr="00511005">
        <w:rPr>
          <w:rFonts w:ascii="Arial" w:eastAsia="Calibri" w:hAnsi="Arial" w:cs="Arial"/>
          <w:szCs w:val="28"/>
          <w:lang w:val="uk-UA"/>
        </w:rPr>
        <w:t xml:space="preserve">ю </w:t>
      </w:r>
      <w:r w:rsidRPr="00511005">
        <w:rPr>
          <w:rFonts w:ascii="Arial" w:eastAsia="Calibri" w:hAnsi="Arial" w:cs="Arial"/>
          <w:szCs w:val="28"/>
        </w:rPr>
        <w:t>з національних електронних інформаційних ресурсів, яка необхідна для надання послуг, а також пров</w:t>
      </w:r>
      <w:r w:rsidRPr="00511005">
        <w:rPr>
          <w:rFonts w:ascii="Arial" w:eastAsia="Calibri" w:hAnsi="Arial" w:cs="Arial"/>
          <w:szCs w:val="28"/>
          <w:lang w:val="uk-UA"/>
        </w:rPr>
        <w:t>одити</w:t>
      </w:r>
      <w:r w:rsidRPr="00511005">
        <w:rPr>
          <w:rFonts w:ascii="Arial" w:eastAsia="Calibri" w:hAnsi="Arial" w:cs="Arial"/>
          <w:szCs w:val="28"/>
        </w:rPr>
        <w:t xml:space="preserve"> моніторинг та оцінк</w:t>
      </w:r>
      <w:r w:rsidRPr="00511005">
        <w:rPr>
          <w:rFonts w:ascii="Arial" w:eastAsia="Calibri" w:hAnsi="Arial" w:cs="Arial"/>
          <w:szCs w:val="28"/>
          <w:lang w:val="uk-UA"/>
        </w:rPr>
        <w:t>у</w:t>
      </w:r>
      <w:r w:rsidRPr="00511005">
        <w:rPr>
          <w:rFonts w:ascii="Arial" w:eastAsia="Calibri" w:hAnsi="Arial" w:cs="Arial"/>
          <w:szCs w:val="28"/>
        </w:rPr>
        <w:t xml:space="preserve"> якості </w:t>
      </w:r>
      <w:r w:rsidRPr="00511005">
        <w:rPr>
          <w:rFonts w:ascii="Arial" w:eastAsia="Calibri" w:hAnsi="Arial" w:cs="Arial"/>
          <w:szCs w:val="28"/>
          <w:lang w:val="uk-UA"/>
        </w:rPr>
        <w:t xml:space="preserve">наданих послуг </w:t>
      </w:r>
      <w:r w:rsidRPr="00511005">
        <w:rPr>
          <w:rFonts w:ascii="Arial" w:eastAsia="Calibri" w:hAnsi="Arial" w:cs="Arial"/>
          <w:szCs w:val="28"/>
        </w:rPr>
        <w:t>[</w:t>
      </w:r>
      <w:r w:rsidRPr="00511005">
        <w:rPr>
          <w:rFonts w:ascii="Arial" w:eastAsia="Calibri" w:hAnsi="Arial" w:cs="Arial"/>
          <w:szCs w:val="28"/>
          <w:lang w:val="uk-UA"/>
        </w:rPr>
        <w:t>2</w:t>
      </w:r>
      <w:r w:rsidRPr="00511005">
        <w:rPr>
          <w:rFonts w:ascii="Arial" w:eastAsia="Calibri" w:hAnsi="Arial" w:cs="Arial"/>
          <w:szCs w:val="28"/>
        </w:rPr>
        <w:t xml:space="preserve">]. </w:t>
      </w:r>
      <w:r w:rsidRPr="00511005">
        <w:rPr>
          <w:rFonts w:ascii="Arial" w:eastAsia="Calibri" w:hAnsi="Arial" w:cs="Arial"/>
          <w:szCs w:val="28"/>
          <w:lang w:val="uk-UA"/>
        </w:rPr>
        <w:t xml:space="preserve">Але, попри численні переваги цифрового сервісу, Портал «Дія» має декілька недоліків, серед яких ризики кібератак, технічні збої та обмеження в доступі для окремих груп населення. Тому дослідження цих проблем є важливим для підвищення ефективності і безпеки взаємодії держави і приватних осіб. </w:t>
      </w:r>
    </w:p>
    <w:p w14:paraId="417DD672" w14:textId="53D755D5"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Перше обмеження з яким можуть зіткнутися користувачі, технічні збої. Так як цифрові платформи, зокрема, і Портал</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«Дії», сильно залежать від стабільної роботи інтернету та серверів. Якщо система перестає працювати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через збій чи перенавантаження – користувачі одразу втрачають доступ до всіх важливих послуг, зокрема і до документів. Це може викликати паніку і проблеми, якщо Портал «Дія» буде єдиним способом в доступі до цих документів і послуг. Але існують рекомендації, щодо вирішення окреслених проблем, зокрема: створення резервних серверів, які в автоматичному режимі вмикатимуться у разі збою, додавати функцію офлайн-доступу, за допомогою якої користувачі матимуть доступ до важливих документів, навіть без доступу до інтернету, здійснювати регулярну перевірку систему, в тому числі і під навантаженням, щоб навчитися швидко відновлювати роботу після збоїв.</w:t>
      </w:r>
    </w:p>
    <w:p w14:paraId="139898CD"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Ще однією актуальною проблемою в нашому сьогоденні є енергетична нестабільність, через військову агресію з боку росії, а також регулярні відключення світла чи проблеми зі зв’язком у різних регіонах ускладнюють або взагалі унеможливлюють доступ користувачів до електронних послуг. Для великої кількості громадян, особливо у віддалених населених пунктах, це означає втрату можливості швидкого отримання адміністративних послуг.</w:t>
      </w:r>
    </w:p>
    <w:p w14:paraId="602AAB97" w14:textId="585B24A9"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Наступна проблема в реалізації принципу «єдиного вікна» пов’язана з</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концентрацією величезного обсягу персональної інформації громадян на одній платформі. В Порталі «Дія» зберігається і проходить безліч даних, таких як, адреси, дані про власність, банківська інформація, тощо. Це робить платформу дуже привабливою для хакерів, тому в разі кібератаки можливий несанкціонований доступ до персональної інформації користувачів. Головна проблема в тому, що це не гіпотетичний ризик, а реальна загроза, яка вже неодноразово траплялася в Україні. Це є однією з основних проблем сьогодення, високий рівень кіберзагроз, зокрема хакерські атаки з боку росії, які мають на меті вивести з ладу державні електронні сервіси, та отримання несанкціонованого доступу до персональних даних громадян, потребують від Порталу «Дія» постійного удосконалення захисних механізмів.</w:t>
      </w:r>
    </w:p>
    <w:p w14:paraId="6005A5C2" w14:textId="0ECBA852"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Для ефективного захисту користувачів вживають необхідні заходи, що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впроваджують комплексну систему безпеки, яка враховує як технічні, так і організаційні аспекти. По-перше, це надійний технічний захист, що включає використання сучасних систем кібербезпеки, шифрування даних під час їх переміщення, а також регулярні перевірки платформи незалежними, можливо навіть міжнародними експертами. По-друге, це запровадження механізму резервного копіювання даних для оперативного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відновлення інформації у разі її втрати. По-третє, необхідно реалізувати системи автоматичного виявлення та реагування на загрози, щоб сервіс міг самостійно протидіяти спробам злому чи іншим підозрілим активностям. По-четверте, це впроваджувати та розвивати цифрову освіту для користувачів, що дозволить їм самостійно орієнтуватися в ситуаціях, пов’язаних із загрозою безпеці особистих акаунтів.</w:t>
      </w:r>
    </w:p>
    <w:p w14:paraId="53B4DE83"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Отже, з огляду на численні переваги функціонування Єдиного державного вебпорталу електронних послуг «Дія», який є формою реалізації принципу «єдиного вікна», несе в собі декілька серйозних проблем, які не можна ігнорувати. Зокрема, навіть прості технічні збої здатні тимчасово зупинити доступ до електронних послуг і важливих документів користувачів, що вже говорити про загрозу масових кібератак і витоку даних – ключова проблема, яка вимагає постійного оновлення системи безпеки. Якщо ці проблеми не вирішити найближчім часом, то держава ризикує втратити найголовніше – довіру громадян.</w:t>
      </w:r>
    </w:p>
    <w:p w14:paraId="5CC93C07" w14:textId="77777777" w:rsidR="00B67481" w:rsidRPr="00511005" w:rsidRDefault="00B67481" w:rsidP="003A292D">
      <w:pPr>
        <w:spacing w:line="264" w:lineRule="auto"/>
        <w:rPr>
          <w:rFonts w:ascii="Arial" w:eastAsia="Calibri" w:hAnsi="Arial" w:cs="Arial"/>
          <w:szCs w:val="28"/>
          <w:lang w:val="uk-UA"/>
        </w:rPr>
      </w:pPr>
    </w:p>
    <w:p w14:paraId="16B19931" w14:textId="15836124" w:rsidR="007B2628"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024D96D" w14:textId="7B235CF2" w:rsidR="00B67481" w:rsidRPr="00511005" w:rsidRDefault="00B67481" w:rsidP="003F6A5D">
      <w:pPr>
        <w:numPr>
          <w:ilvl w:val="0"/>
          <w:numId w:val="260"/>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bCs/>
          <w:iCs/>
          <w:szCs w:val="28"/>
          <w:lang w:eastAsia="ru-RU"/>
        </w:rPr>
        <w:t>Проєкт Стратегії розвитку сфери відкритих даних України на 2025–2027 роки</w:t>
      </w:r>
      <w:r w:rsidRPr="00511005">
        <w:rPr>
          <w:rFonts w:ascii="Arial" w:eastAsia="Times New Roman" w:hAnsi="Arial" w:cs="Arial"/>
          <w:bCs/>
          <w:szCs w:val="28"/>
          <w:lang w:eastAsia="ru-RU"/>
        </w:rPr>
        <w:t xml:space="preserve">. </w:t>
      </w:r>
      <w:r w:rsidRPr="00511005">
        <w:rPr>
          <w:rFonts w:ascii="Arial" w:eastAsia="Times New Roman" w:hAnsi="Arial" w:cs="Arial"/>
          <w:bCs/>
          <w:szCs w:val="28"/>
          <w:lang w:val="uk-UA" w:eastAsia="ru-RU"/>
        </w:rPr>
        <w:t xml:space="preserve">(Проєкт) </w:t>
      </w:r>
      <w:r w:rsidRPr="00511005">
        <w:rPr>
          <w:rFonts w:ascii="Arial" w:eastAsia="Times New Roman" w:hAnsi="Arial" w:cs="Arial"/>
          <w:bCs/>
          <w:szCs w:val="28"/>
          <w:lang w:eastAsia="ru-RU"/>
        </w:rPr>
        <w:t>Міністерство цифрової трансформації України</w:t>
      </w:r>
      <w:r w:rsidRPr="00511005">
        <w:rPr>
          <w:rFonts w:ascii="Arial" w:eastAsia="Times New Roman" w:hAnsi="Arial" w:cs="Arial"/>
          <w:b/>
          <w:bCs/>
          <w:szCs w:val="28"/>
          <w:lang w:eastAsia="ru-RU"/>
        </w:rPr>
        <w:t>.</w:t>
      </w:r>
      <w:r w:rsidR="007B2628" w:rsidRPr="00511005">
        <w:rPr>
          <w:rFonts w:ascii="Arial" w:eastAsia="Times New Roman" w:hAnsi="Arial" w:cs="Arial"/>
          <w:b/>
          <w:bCs/>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1002" w:history="1">
        <w:r w:rsidRPr="00511005">
          <w:rPr>
            <w:rFonts w:ascii="Arial" w:eastAsia="Times New Roman" w:hAnsi="Arial" w:cs="Arial"/>
            <w:bCs/>
            <w:szCs w:val="28"/>
            <w:lang w:eastAsia="ru-RU"/>
          </w:rPr>
          <w:t>https://data.gov.ua/uploads/files/2024-06-04-131815.019620ODStrategy2025-2027.pdf</w:t>
        </w:r>
      </w:hyperlink>
    </w:p>
    <w:p w14:paraId="10B60ABC" w14:textId="77777777" w:rsidR="00B67481" w:rsidRPr="00511005" w:rsidRDefault="00B67481" w:rsidP="003F6A5D">
      <w:pPr>
        <w:numPr>
          <w:ilvl w:val="0"/>
          <w:numId w:val="260"/>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Положення про Єдиний державний вебпортал електронних послуг</w:t>
      </w:r>
      <w:r w:rsidRPr="00511005">
        <w:rPr>
          <w:rFonts w:ascii="Arial" w:eastAsia="Times New Roman" w:hAnsi="Arial" w:cs="Arial"/>
          <w:bCs/>
          <w:szCs w:val="28"/>
          <w:lang w:val="uk-UA" w:eastAsia="ru-RU"/>
        </w:rPr>
        <w:t>. Постанова Кабінету Міністрів України ві</w:t>
      </w:r>
      <w:r w:rsidRPr="00511005">
        <w:rPr>
          <w:rFonts w:ascii="Arial" w:eastAsia="Times New Roman" w:hAnsi="Arial" w:cs="Arial"/>
          <w:bCs/>
          <w:szCs w:val="28"/>
          <w:lang w:eastAsia="ru-RU"/>
        </w:rPr>
        <w:t xml:space="preserve">д 4 грудня 2019 р. № 1137. </w:t>
      </w:r>
      <w:r w:rsidRPr="00511005">
        <w:rPr>
          <w:rFonts w:ascii="Arial" w:eastAsia="Times New Roman" w:hAnsi="Arial" w:cs="Arial"/>
          <w:bCs/>
          <w:szCs w:val="28"/>
          <w:lang w:val="en-US" w:eastAsia="ru-RU"/>
        </w:rPr>
        <w:t xml:space="preserve">URL </w:t>
      </w:r>
      <w:hyperlink r:id="rId1003" w:anchor="Text" w:history="1">
        <w:r w:rsidRPr="00511005">
          <w:rPr>
            <w:rFonts w:ascii="Arial" w:eastAsia="Times New Roman" w:hAnsi="Arial" w:cs="Arial"/>
            <w:bCs/>
            <w:szCs w:val="28"/>
            <w:lang w:val="en-US" w:eastAsia="ru-RU"/>
          </w:rPr>
          <w:t>https://zakon.rada.gov.ua/laws/show/1137-2019-</w:t>
        </w:r>
        <w:r w:rsidRPr="00511005">
          <w:rPr>
            <w:rFonts w:ascii="Arial" w:eastAsia="Times New Roman" w:hAnsi="Arial" w:cs="Arial"/>
            <w:bCs/>
            <w:szCs w:val="28"/>
            <w:lang w:eastAsia="ru-RU"/>
          </w:rPr>
          <w:t>п</w:t>
        </w:r>
        <w:r w:rsidRPr="00511005">
          <w:rPr>
            <w:rFonts w:ascii="Arial" w:eastAsia="Times New Roman" w:hAnsi="Arial" w:cs="Arial"/>
            <w:bCs/>
            <w:szCs w:val="28"/>
            <w:lang w:val="en-US" w:eastAsia="ru-RU"/>
          </w:rPr>
          <w:t>#Text</w:t>
        </w:r>
      </w:hyperlink>
    </w:p>
    <w:p w14:paraId="32C6837F" w14:textId="77777777" w:rsidR="00B67481" w:rsidRPr="00511005" w:rsidRDefault="00B67481" w:rsidP="003A292D">
      <w:pPr>
        <w:spacing w:line="264" w:lineRule="auto"/>
        <w:rPr>
          <w:rFonts w:ascii="Arial" w:eastAsia="Calibri" w:hAnsi="Arial" w:cs="Arial"/>
          <w:b/>
          <w:szCs w:val="28"/>
          <w:lang w:val="uk-UA"/>
        </w:rPr>
      </w:pPr>
    </w:p>
    <w:p w14:paraId="04AF77A2" w14:textId="3BD778CC"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B67481" w:rsidRPr="00511005">
        <w:rPr>
          <w:rFonts w:ascii="Arial" w:eastAsia="Calibri" w:hAnsi="Arial" w:cs="Arial"/>
          <w:szCs w:val="28"/>
          <w:lang w:val="uk-UA"/>
        </w:rPr>
        <w:t>адміністративні послуги, принцип «єдиного вікна»,</w:t>
      </w:r>
      <w:r w:rsidRPr="00511005">
        <w:rPr>
          <w:rFonts w:ascii="Arial" w:eastAsia="Calibri" w:hAnsi="Arial" w:cs="Arial"/>
          <w:szCs w:val="28"/>
          <w:lang w:val="uk-UA"/>
        </w:rPr>
        <w:t xml:space="preserve"> </w:t>
      </w:r>
      <w:r w:rsidR="00B67481" w:rsidRPr="00511005">
        <w:rPr>
          <w:rFonts w:ascii="Arial" w:eastAsia="Calibri" w:hAnsi="Arial" w:cs="Arial"/>
          <w:szCs w:val="28"/>
          <w:lang w:val="uk-UA"/>
        </w:rPr>
        <w:t>Єдиний портал надання адміністративних послуг «Дія», кібербезпека.</w:t>
      </w:r>
    </w:p>
    <w:p w14:paraId="5A8D22D2" w14:textId="00F2F1BF"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Key words: </w:t>
      </w:r>
      <w:r w:rsidR="00B67481" w:rsidRPr="00511005">
        <w:rPr>
          <w:rFonts w:ascii="Arial" w:eastAsia="Calibri" w:hAnsi="Arial" w:cs="Arial"/>
          <w:szCs w:val="28"/>
          <w:lang w:val="uk-UA"/>
        </w:rPr>
        <w:t>administrative services, the principle of "single window", the Single Portal for Providing Administrative Services "Diya", cybersecurity</w:t>
      </w:r>
    </w:p>
    <w:p w14:paraId="737DA921" w14:textId="4590174E" w:rsidR="00B67481" w:rsidRPr="00511005" w:rsidRDefault="007B2628" w:rsidP="003A292D">
      <w:pPr>
        <w:spacing w:line="264" w:lineRule="auto"/>
        <w:rPr>
          <w:rFonts w:ascii="Arial" w:eastAsia="Calibri" w:hAnsi="Arial" w:cs="Arial"/>
          <w:i/>
          <w:szCs w:val="28"/>
          <w:lang w:val="uk-UA"/>
        </w:rPr>
      </w:pPr>
      <w:r w:rsidRPr="00511005">
        <w:rPr>
          <w:rFonts w:ascii="Arial" w:eastAsia="Calibri" w:hAnsi="Arial" w:cs="Arial"/>
          <w:b/>
          <w:bCs/>
          <w:i/>
          <w:szCs w:val="28"/>
          <w:lang w:val="uk-UA"/>
        </w:rPr>
        <w:t xml:space="preserve">Науковий керівник: </w:t>
      </w:r>
      <w:r w:rsidR="00B67481" w:rsidRPr="00511005">
        <w:rPr>
          <w:rFonts w:ascii="Arial" w:eastAsia="Calibri" w:hAnsi="Arial" w:cs="Arial"/>
          <w:bCs/>
          <w:i/>
          <w:szCs w:val="28"/>
          <w:lang w:val="uk-UA"/>
        </w:rPr>
        <w:t xml:space="preserve">к.ю.н., доцент </w:t>
      </w:r>
      <w:r w:rsidR="00B67481" w:rsidRPr="00511005">
        <w:rPr>
          <w:rFonts w:ascii="Arial" w:eastAsia="Calibri" w:hAnsi="Arial" w:cs="Arial"/>
          <w:i/>
          <w:szCs w:val="28"/>
          <w:lang w:val="uk-UA"/>
        </w:rPr>
        <w:t>Закаленко О.В.</w:t>
      </w:r>
    </w:p>
    <w:p w14:paraId="6D32D635" w14:textId="77777777" w:rsidR="001D1A08" w:rsidRPr="00511005" w:rsidRDefault="001D1A08" w:rsidP="003A292D">
      <w:pPr>
        <w:spacing w:line="264" w:lineRule="auto"/>
        <w:ind w:firstLine="0"/>
        <w:jc w:val="left"/>
        <w:rPr>
          <w:rFonts w:ascii="Arial" w:eastAsia="Calibri" w:hAnsi="Arial" w:cs="Arial"/>
          <w:i/>
          <w:szCs w:val="28"/>
          <w:lang w:val="uk-UA"/>
        </w:rPr>
      </w:pPr>
    </w:p>
    <w:p w14:paraId="7D004651" w14:textId="77777777" w:rsidR="001D1A08" w:rsidRPr="00511005" w:rsidRDefault="001D1A08" w:rsidP="003A292D">
      <w:pPr>
        <w:spacing w:line="264" w:lineRule="auto"/>
        <w:ind w:firstLine="0"/>
        <w:jc w:val="left"/>
        <w:rPr>
          <w:rFonts w:ascii="Arial" w:eastAsia="Calibri" w:hAnsi="Arial" w:cs="Arial"/>
          <w:i/>
          <w:szCs w:val="28"/>
          <w:lang w:val="uk-UA"/>
        </w:rPr>
      </w:pPr>
    </w:p>
    <w:p w14:paraId="2233844F" w14:textId="77777777" w:rsidR="00B67481" w:rsidRPr="00511005" w:rsidRDefault="00B67481" w:rsidP="003A292D">
      <w:pPr>
        <w:keepNext/>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Скорода Карина Володимирівна</w:t>
      </w:r>
    </w:p>
    <w:p w14:paraId="110EFD8E" w14:textId="587F76B5"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0721E351"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A1A4CC7"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928B7B4" w14:textId="77777777" w:rsidR="00B67481" w:rsidRPr="00511005" w:rsidRDefault="00B67481" w:rsidP="003A292D">
      <w:pPr>
        <w:tabs>
          <w:tab w:val="left" w:pos="7088"/>
        </w:tabs>
        <w:spacing w:line="264" w:lineRule="auto"/>
        <w:ind w:firstLine="0"/>
        <w:jc w:val="center"/>
        <w:rPr>
          <w:rFonts w:ascii="Arial" w:eastAsia="Calibri" w:hAnsi="Arial" w:cs="Arial"/>
          <w:b/>
          <w:szCs w:val="28"/>
          <w:lang w:bidi="uk-UA"/>
        </w:rPr>
      </w:pPr>
    </w:p>
    <w:p w14:paraId="1A1C5008" w14:textId="77777777" w:rsidR="00B67481" w:rsidRPr="00511005" w:rsidRDefault="00B67481" w:rsidP="003A292D">
      <w:pPr>
        <w:tabs>
          <w:tab w:val="left" w:pos="7088"/>
        </w:tabs>
        <w:spacing w:line="264" w:lineRule="auto"/>
        <w:ind w:firstLine="0"/>
        <w:jc w:val="center"/>
        <w:rPr>
          <w:rFonts w:ascii="Arial" w:eastAsia="Calibri" w:hAnsi="Arial" w:cs="Arial"/>
          <w:b/>
          <w:szCs w:val="28"/>
          <w:lang w:bidi="uk-UA"/>
        </w:rPr>
      </w:pPr>
      <w:r w:rsidRPr="00511005">
        <w:rPr>
          <w:rFonts w:ascii="Arial" w:eastAsia="Calibri" w:hAnsi="Arial" w:cs="Arial"/>
          <w:b/>
          <w:szCs w:val="28"/>
          <w:lang w:bidi="uk-UA"/>
        </w:rPr>
        <w:t>ПРОБЛЕМИ ВИЗНАЧЕННЯ ПОНЯТТЯ АДМІНІСТРАТИВНОГО ПРАВОПОРУШЕННЯ</w:t>
      </w:r>
    </w:p>
    <w:p w14:paraId="4B36FC00" w14:textId="77777777" w:rsidR="00B67481" w:rsidRPr="00511005" w:rsidRDefault="00B67481"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Адміністративне правопорушення є однією з ключових категорій адміністративного права, що охоплює широкий спектр суспільно небезпечних дій, які посягають на публічний порядок, громадську безпеку, державне управління, права і свободи громадян. Попри наявність законодавчого визначення, ця категорія продовжує викликати наукові дискусії та породжує численні правозастосовні труднощі, особливо в умовах змін законодавства, реформування правоохоронної системи, а також трансформацій у сфері захисту прав людини. Визначення поняття адміністративного правопорушення, на перший погляд, є чітким і закріпленим у Кодексі України про адміністративні правопорушення. Згідно зі статтею 9 цього кодексу, адміністративне правопорушення (проступок) – це протиправна, винна дія чи бездіяльність, яка посягає на державний чи громадський порядок, власність, права і свободи громадян, на встановлений порядок управління і за яку законом передбачено адміністративну відповідальність [1]. Однак практика застосування цього поняття виявляє низку проблем, пов’язаних із його оціночністю, розмитістю меж адміністративної та кримінальної відповідальності, а також зміною соціального контексту, в якому ці дії оцінюються.</w:t>
      </w:r>
    </w:p>
    <w:p w14:paraId="176E7594" w14:textId="77777777" w:rsidR="00B67481" w:rsidRPr="00511005" w:rsidRDefault="00B67481"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 xml:space="preserve">Однією з найпомітніших проблем є складність чіткого розмежування адміністративного правопорушення від кримінального правопорушення. В сучасному правовому полі межа між ними часто є умовною, що зумовлює правову невизначеність. Наприклад, дрібна крадіжка в певних випадках може тягнути адміністративну відповідальність, а в інших – кримінальну, залежно від розміру завданої шкоди або повторності. Це породжує ризики </w:t>
      </w:r>
      <w:r w:rsidRPr="00511005">
        <w:rPr>
          <w:rFonts w:ascii="Arial" w:eastAsia="Calibri" w:hAnsi="Arial" w:cs="Arial"/>
          <w:bCs/>
          <w:szCs w:val="28"/>
          <w:lang w:val="uk-UA" w:bidi="uk-UA"/>
        </w:rPr>
        <w:lastRenderedPageBreak/>
        <w:t>свавільного тлумачення норм, неоднакового застосування законодавства судами, а також порушення прав особи на справедливий розгляд справи [2]. Ще однією проблемою є відсутність єдиного підходу в науці адміністративного права до дефініції цього поняття. Різні автори акцентують увагу на різних його складниках: суспільна небезпечність, адміністративна протиправність, наявність провини тощо. Дехто навіть пропонує відмовитися від терміну «адміністративне правопорушення» і замінити його поняттям «делікт» або «проступок», оскільки термін «правопорушення» часто асоціюється з кримінальним злочином [3]. Однак така зміна термінології сама по собі не вирішує змістовних проблем.</w:t>
      </w:r>
    </w:p>
    <w:p w14:paraId="03A15F9F" w14:textId="77777777" w:rsidR="00B67481" w:rsidRPr="00511005" w:rsidRDefault="00B67481"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Також актуальними є труднощі, пов’язані із визначенням суспільної небезпечності адміністративного правопорушення. У кримінальному праві це поняття має чітке навантаження, тоді як в адміністративному праві – оціночне і часто нечітке. Зокрема, виникає питання: чи кожне адміністративне правопорушення є суспільно небезпечним, якщо воно, наприклад, полягає в незначному порушенні правил дорожнього руху або правил благоустрою? Частина науковців вважає, що адміністративне правопорушення має характеризуватися не стільки небезпечністю, скільки шкідливістю, тобто завданням шкоди правовому порядку без істотного посягання на основи суспільного ладу.</w:t>
      </w:r>
    </w:p>
    <w:p w14:paraId="60DE1AB8" w14:textId="77777777" w:rsidR="00B67481" w:rsidRPr="00511005" w:rsidRDefault="00B67481"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Значною проблемою також залишається відсутність адаптації визначення адміністративного правопорушення до європейських стандартів прав людини. Так, Європейський суд з прав людини неодноразово звертав увагу на те, що правова кваліфікація діяння у національному законодавстві не завжди має вирішальне значення – суд враховує фактичний характер санкцій, їх тяжкість, процесуальні гарантії та вплив на права особи. Це означає, що навіть адміністративне правопорушення за українським законодавством може, з точки зору Страсбурга, розглядатися як «criminal charge», тобто прирівнюватися до кримінального обвинувачення, що вимагає дотримання принципів кримінального процесу, таких як презумпція невинуватості, право на захист, право не свідчити проти себе тощо [2].</w:t>
      </w:r>
    </w:p>
    <w:p w14:paraId="43B3FB61" w14:textId="77777777" w:rsidR="00B67481" w:rsidRPr="00511005" w:rsidRDefault="00B67481"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 xml:space="preserve">Також варто звернути увагу на те, що сучасне українське законодавство часто змінюється в умовах нестабільності, зокрема у зв’язку з воєнним станом, реформами адміністративного судочинства, появою нових категорій правопорушень, зокрема пов’язаних з воєнними ризиками, пропагандою, порушеннями у сфері мобілізаційної підготовки. У таких умовах виникає нова потреба в оновленому, більш гнучкому, але при цьому юридично точному визначенні адміністративного правопорушення, яке б відповідало як правозастосовній практиці, так і міжнародним стандартам. Ці проблеми мають не лише теоретичне, але й прикладне значення, оскільки без чіткого визначення ознак адміністративного правопорушення важко </w:t>
      </w:r>
      <w:r w:rsidRPr="00511005">
        <w:rPr>
          <w:rFonts w:ascii="Arial" w:eastAsia="Calibri" w:hAnsi="Arial" w:cs="Arial"/>
          <w:bCs/>
          <w:szCs w:val="28"/>
          <w:lang w:val="uk-UA" w:bidi="uk-UA"/>
        </w:rPr>
        <w:lastRenderedPageBreak/>
        <w:t>забезпечити ефективну правову відповідальність, захист прав особи, дотримання принципу правової визначеності.</w:t>
      </w:r>
    </w:p>
    <w:p w14:paraId="6ABF9FB6" w14:textId="77777777" w:rsidR="00B67481" w:rsidRPr="00511005" w:rsidRDefault="00B67481"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Таким чином, проблема визначення поняття адміністративного правопорушення полягає в його оціночності, розмитості меж із кримінальним правопорушенням, нечіткому співвідношенні з міжнародними стандартами прав людини, а також у слабкій адаптації до нових соціально-правових реалій. Удосконалення цього поняття потребує комплексного підходу: від термінологічної реформи до реформування процесуальних норм і розробки нових критеріїв суспільної небезпечності. Важливим є також залучення європейського досвіду та врахування позицій ЄСПЛ при оновленні законодавства у сфері адміністративної відповідальності.</w:t>
      </w:r>
    </w:p>
    <w:p w14:paraId="545F0366" w14:textId="77777777" w:rsidR="00B67481" w:rsidRPr="00511005" w:rsidRDefault="00B67481" w:rsidP="003A292D">
      <w:pPr>
        <w:tabs>
          <w:tab w:val="left" w:pos="7088"/>
        </w:tabs>
        <w:spacing w:line="264" w:lineRule="auto"/>
        <w:rPr>
          <w:rFonts w:ascii="Arial" w:eastAsia="Calibri" w:hAnsi="Arial" w:cs="Arial"/>
          <w:szCs w:val="28"/>
          <w:lang w:val="uk-UA" w:bidi="uk-UA"/>
        </w:rPr>
      </w:pPr>
    </w:p>
    <w:p w14:paraId="5C124AAD" w14:textId="77777777" w:rsidR="00B67481" w:rsidRPr="00511005" w:rsidRDefault="00B67481" w:rsidP="003A292D">
      <w:pPr>
        <w:tabs>
          <w:tab w:val="left" w:pos="7088"/>
        </w:tabs>
        <w:spacing w:line="264" w:lineRule="auto"/>
        <w:jc w:val="center"/>
        <w:rPr>
          <w:rFonts w:ascii="Arial" w:eastAsia="Calibri" w:hAnsi="Arial" w:cs="Arial"/>
          <w:b/>
          <w:szCs w:val="28"/>
          <w:lang w:val="uk-UA" w:bidi="uk-UA"/>
        </w:rPr>
      </w:pPr>
      <w:r w:rsidRPr="00511005">
        <w:rPr>
          <w:rFonts w:ascii="Arial" w:eastAsia="Calibri" w:hAnsi="Arial" w:cs="Arial"/>
          <w:b/>
          <w:szCs w:val="28"/>
          <w:lang w:val="en-US" w:bidi="uk-UA"/>
        </w:rPr>
        <w:t>C</w:t>
      </w:r>
      <w:r w:rsidRPr="00511005">
        <w:rPr>
          <w:rFonts w:ascii="Arial" w:eastAsia="Calibri" w:hAnsi="Arial" w:cs="Arial"/>
          <w:b/>
          <w:szCs w:val="28"/>
          <w:lang w:val="uk-UA" w:bidi="uk-UA"/>
        </w:rPr>
        <w:t>писок використаних джерел</w:t>
      </w:r>
    </w:p>
    <w:p w14:paraId="44C7BAE5" w14:textId="77777777" w:rsidR="00B67481" w:rsidRPr="00511005" w:rsidRDefault="00B67481" w:rsidP="003F6A5D">
      <w:pPr>
        <w:widowControl w:val="0"/>
        <w:numPr>
          <w:ilvl w:val="0"/>
          <w:numId w:val="261"/>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Cs/>
          <w:szCs w:val="28"/>
          <w:lang w:eastAsia="ru-RU" w:bidi="uk-UA"/>
        </w:rPr>
      </w:pPr>
      <w:r w:rsidRPr="00511005">
        <w:rPr>
          <w:rFonts w:ascii="Arial" w:eastAsia="Times New Roman" w:hAnsi="Arial" w:cs="Arial"/>
          <w:bCs/>
          <w:szCs w:val="28"/>
          <w:lang w:eastAsia="ru-RU" w:bidi="uk-UA"/>
        </w:rPr>
        <w:t>Кодекс України про адміністративні правопорушення. URL: https://zakon.rada.gov.ua/laws/show/80731-10#Text (дата звернення: 11.04.2025 року)</w:t>
      </w:r>
    </w:p>
    <w:p w14:paraId="3D59BA2F" w14:textId="0892E26A" w:rsidR="00B67481" w:rsidRPr="00511005" w:rsidRDefault="00B67481" w:rsidP="003F6A5D">
      <w:pPr>
        <w:widowControl w:val="0"/>
        <w:numPr>
          <w:ilvl w:val="0"/>
          <w:numId w:val="261"/>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Cs/>
          <w:szCs w:val="28"/>
          <w:lang w:eastAsia="ru-RU" w:bidi="uk-UA"/>
        </w:rPr>
      </w:pPr>
      <w:r w:rsidRPr="00511005">
        <w:rPr>
          <w:rFonts w:ascii="Arial" w:eastAsia="Times New Roman" w:hAnsi="Arial" w:cs="Arial"/>
          <w:bCs/>
          <w:szCs w:val="28"/>
          <w:lang w:eastAsia="ru-RU" w:bidi="uk-UA"/>
        </w:rPr>
        <w:t>Пінчук В. Поняття, ознаки та основні форми адміністративно-юрисдикційної діяльності. Підприємництво, господарство і право.</w:t>
      </w:r>
      <w:r w:rsidR="007B2628" w:rsidRPr="00511005">
        <w:rPr>
          <w:rFonts w:ascii="Arial" w:eastAsia="Times New Roman" w:hAnsi="Arial" w:cs="Arial"/>
          <w:bCs/>
          <w:szCs w:val="28"/>
          <w:lang w:eastAsia="ru-RU" w:bidi="uk-UA"/>
        </w:rPr>
        <w:t xml:space="preserve"> </w:t>
      </w:r>
      <w:r w:rsidRPr="00511005">
        <w:rPr>
          <w:rFonts w:ascii="Arial" w:eastAsia="Times New Roman" w:hAnsi="Arial" w:cs="Arial"/>
          <w:bCs/>
          <w:szCs w:val="28"/>
          <w:lang w:eastAsia="ru-RU" w:bidi="uk-UA"/>
        </w:rPr>
        <w:t>2021.</w:t>
      </w:r>
      <w:r w:rsidR="007B2628" w:rsidRPr="00511005">
        <w:rPr>
          <w:rFonts w:ascii="Arial" w:eastAsia="Times New Roman" w:hAnsi="Arial" w:cs="Arial"/>
          <w:bCs/>
          <w:szCs w:val="28"/>
          <w:lang w:eastAsia="ru-RU" w:bidi="uk-UA"/>
        </w:rPr>
        <w:t xml:space="preserve"> </w:t>
      </w:r>
      <w:r w:rsidRPr="00511005">
        <w:rPr>
          <w:rFonts w:ascii="Arial" w:eastAsia="Times New Roman" w:hAnsi="Arial" w:cs="Arial"/>
          <w:bCs/>
          <w:szCs w:val="28"/>
          <w:lang w:eastAsia="ru-RU" w:bidi="uk-UA"/>
        </w:rPr>
        <w:t>№. 3.</w:t>
      </w:r>
      <w:r w:rsidR="007B2628" w:rsidRPr="00511005">
        <w:rPr>
          <w:rFonts w:ascii="Arial" w:eastAsia="Times New Roman" w:hAnsi="Arial" w:cs="Arial"/>
          <w:bCs/>
          <w:szCs w:val="28"/>
          <w:lang w:eastAsia="ru-RU" w:bidi="uk-UA"/>
        </w:rPr>
        <w:t xml:space="preserve"> </w:t>
      </w:r>
      <w:r w:rsidRPr="00511005">
        <w:rPr>
          <w:rFonts w:ascii="Arial" w:eastAsia="Times New Roman" w:hAnsi="Arial" w:cs="Arial"/>
          <w:bCs/>
          <w:szCs w:val="28"/>
          <w:lang w:eastAsia="ru-RU" w:bidi="uk-UA"/>
        </w:rPr>
        <w:t>С. 191-195.</w:t>
      </w:r>
    </w:p>
    <w:p w14:paraId="3648727E" w14:textId="77777777" w:rsidR="00B67481" w:rsidRPr="00511005" w:rsidRDefault="00B67481" w:rsidP="003F6A5D">
      <w:pPr>
        <w:widowControl w:val="0"/>
        <w:numPr>
          <w:ilvl w:val="0"/>
          <w:numId w:val="261"/>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Погорецький М. А. Співвідношення адміністративної та кримінальної відповідальності: проблеми кваліфікації правопорушень. Юридична наука. 2022. № 3.</w:t>
      </w:r>
    </w:p>
    <w:p w14:paraId="145D2850" w14:textId="77777777" w:rsidR="00B67481" w:rsidRPr="00511005" w:rsidRDefault="00B67481" w:rsidP="003A292D">
      <w:pPr>
        <w:tabs>
          <w:tab w:val="left" w:pos="7088"/>
        </w:tabs>
        <w:spacing w:line="264" w:lineRule="auto"/>
        <w:rPr>
          <w:rFonts w:ascii="Arial" w:eastAsia="Calibri" w:hAnsi="Arial" w:cs="Arial"/>
          <w:b/>
          <w:szCs w:val="28"/>
          <w:lang w:val="uk-UA"/>
        </w:rPr>
      </w:pPr>
    </w:p>
    <w:p w14:paraId="54E0450D" w14:textId="672B89A9" w:rsidR="00B67481" w:rsidRPr="00511005" w:rsidRDefault="00B67481" w:rsidP="003A292D">
      <w:pPr>
        <w:tabs>
          <w:tab w:val="left" w:pos="7088"/>
        </w:tabs>
        <w:spacing w:line="264" w:lineRule="auto"/>
        <w:rPr>
          <w:rFonts w:ascii="Arial" w:eastAsia="Calibri" w:hAnsi="Arial" w:cs="Arial"/>
          <w:b/>
          <w:szCs w:val="28"/>
          <w:lang w:val="uk-UA"/>
        </w:rPr>
      </w:pPr>
      <w:r w:rsidRPr="00511005">
        <w:rPr>
          <w:rFonts w:ascii="Arial" w:eastAsia="Calibri" w:hAnsi="Arial" w:cs="Arial"/>
          <w:b/>
          <w:szCs w:val="28"/>
          <w:lang w:val="uk-UA"/>
        </w:rPr>
        <w:t>Ключові слова</w:t>
      </w:r>
      <w:r w:rsidR="009C3A24">
        <w:rPr>
          <w:rFonts w:ascii="Arial" w:eastAsia="Calibri" w:hAnsi="Arial" w:cs="Arial"/>
          <w:b/>
          <w:szCs w:val="28"/>
          <w:lang w:val="uk-UA"/>
        </w:rPr>
        <w:t>:</w:t>
      </w:r>
      <w:r w:rsidRPr="00511005">
        <w:rPr>
          <w:rFonts w:ascii="Arial" w:eastAsia="Calibri" w:hAnsi="Arial" w:cs="Arial"/>
          <w:szCs w:val="28"/>
          <w:lang w:val="uk-UA"/>
        </w:rPr>
        <w:t xml:space="preserve"> </w:t>
      </w:r>
      <w:r w:rsidRPr="00511005">
        <w:rPr>
          <w:rFonts w:ascii="Arial" w:eastAsia="Calibri" w:hAnsi="Arial" w:cs="Arial"/>
          <w:bCs/>
          <w:szCs w:val="28"/>
          <w:lang w:val="uk-UA"/>
        </w:rPr>
        <w:t>адміністративне правопорушення, адміністративна відповідальність, правова визначеність, суспільна небезпечність, адміністративний проступок</w:t>
      </w:r>
      <w:r w:rsidR="007B2628" w:rsidRPr="00511005">
        <w:rPr>
          <w:rFonts w:ascii="Arial" w:eastAsia="Calibri" w:hAnsi="Arial" w:cs="Arial"/>
          <w:b/>
          <w:szCs w:val="28"/>
          <w:lang w:val="uk-UA"/>
        </w:rPr>
        <w:t xml:space="preserve"> </w:t>
      </w:r>
    </w:p>
    <w:p w14:paraId="3AC5E235" w14:textId="0539D0C3" w:rsidR="00B67481" w:rsidRPr="00511005" w:rsidRDefault="007B2628" w:rsidP="003A292D">
      <w:pPr>
        <w:shd w:val="clear" w:color="auto" w:fill="FDFDFD"/>
        <w:spacing w:line="264" w:lineRule="auto"/>
        <w:jc w:val="left"/>
        <w:rPr>
          <w:rFonts w:ascii="Arial" w:eastAsia="Calibri" w:hAnsi="Arial" w:cs="Arial"/>
          <w:szCs w:val="28"/>
          <w:lang w:val="en-US"/>
        </w:rPr>
      </w:pPr>
      <w:r w:rsidRPr="00511005">
        <w:rPr>
          <w:rFonts w:ascii="Arial" w:eastAsia="Calibri" w:hAnsi="Arial" w:cs="Arial"/>
          <w:b/>
          <w:i/>
          <w:szCs w:val="28"/>
          <w:lang w:val="en-US"/>
        </w:rPr>
        <w:t xml:space="preserve">Key words: </w:t>
      </w:r>
      <w:r w:rsidR="00B67481" w:rsidRPr="00511005">
        <w:rPr>
          <w:rFonts w:ascii="Arial" w:eastAsia="Calibri" w:hAnsi="Arial" w:cs="Arial"/>
          <w:szCs w:val="28"/>
          <w:lang w:val="en-US"/>
        </w:rPr>
        <w:t>administrative offense, administrative liability, legal certainty, public danger, administrative offense</w:t>
      </w:r>
    </w:p>
    <w:p w14:paraId="5483E6F7" w14:textId="3F8861AB" w:rsidR="00B67481" w:rsidRPr="00511005" w:rsidRDefault="007B2628" w:rsidP="003A292D">
      <w:pPr>
        <w:keepNext/>
        <w:spacing w:line="264" w:lineRule="auto"/>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B67481" w:rsidRPr="00511005">
        <w:rPr>
          <w:rFonts w:ascii="Arial" w:eastAsia="Calibri" w:hAnsi="Arial" w:cs="Arial"/>
          <w:bCs/>
          <w:i/>
          <w:iCs/>
          <w:szCs w:val="28"/>
          <w:lang w:val="uk-UA"/>
        </w:rPr>
        <w:t>к.ю.н., доцент Панфілов О. Є.</w:t>
      </w:r>
    </w:p>
    <w:p w14:paraId="0F4C1861" w14:textId="77777777" w:rsidR="001D1A08" w:rsidRPr="00511005" w:rsidRDefault="001D1A08" w:rsidP="003A292D">
      <w:pPr>
        <w:spacing w:line="264" w:lineRule="auto"/>
        <w:ind w:firstLine="0"/>
        <w:jc w:val="left"/>
        <w:rPr>
          <w:rFonts w:ascii="Arial" w:eastAsia="Calibri" w:hAnsi="Arial" w:cs="Arial"/>
          <w:bCs/>
          <w:i/>
          <w:iCs/>
          <w:szCs w:val="28"/>
          <w:lang w:val="uk-UA"/>
        </w:rPr>
      </w:pPr>
    </w:p>
    <w:p w14:paraId="18A5340F" w14:textId="77777777" w:rsidR="001D1A08" w:rsidRPr="00511005" w:rsidRDefault="001D1A08" w:rsidP="003A292D">
      <w:pPr>
        <w:spacing w:line="264" w:lineRule="auto"/>
        <w:ind w:firstLine="0"/>
        <w:jc w:val="left"/>
        <w:rPr>
          <w:rFonts w:ascii="Arial" w:eastAsia="Calibri" w:hAnsi="Arial" w:cs="Arial"/>
          <w:bCs/>
          <w:i/>
          <w:iCs/>
          <w:szCs w:val="28"/>
          <w:lang w:val="uk-UA"/>
        </w:rPr>
      </w:pPr>
    </w:p>
    <w:p w14:paraId="3B4E7BFC" w14:textId="77777777" w:rsidR="00B67481" w:rsidRPr="00511005" w:rsidRDefault="00B67481" w:rsidP="003A292D">
      <w:pPr>
        <w:tabs>
          <w:tab w:val="left" w:pos="7088"/>
        </w:tabs>
        <w:spacing w:line="264" w:lineRule="auto"/>
        <w:ind w:firstLine="0"/>
        <w:jc w:val="center"/>
        <w:rPr>
          <w:rFonts w:ascii="Arial" w:eastAsia="Calibri" w:hAnsi="Arial" w:cs="Arial"/>
          <w:b/>
          <w:i/>
          <w:szCs w:val="28"/>
          <w:lang w:val="uk-UA" w:bidi="uk-UA"/>
        </w:rPr>
      </w:pPr>
      <w:r w:rsidRPr="00511005">
        <w:rPr>
          <w:rFonts w:ascii="Arial" w:eastAsia="Calibri" w:hAnsi="Arial" w:cs="Arial"/>
          <w:b/>
          <w:i/>
          <w:szCs w:val="28"/>
          <w:lang w:val="uk-UA" w:bidi="uk-UA"/>
        </w:rPr>
        <w:t xml:space="preserve">Скрипніченко Валерія Євгенівна </w:t>
      </w:r>
    </w:p>
    <w:p w14:paraId="1E004A88" w14:textId="0BBBFDC3"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0C380DE3"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D798612"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80134E2" w14:textId="77777777" w:rsidR="00B67481" w:rsidRPr="00511005" w:rsidRDefault="00B67481" w:rsidP="003A292D">
      <w:pPr>
        <w:tabs>
          <w:tab w:val="left" w:pos="7088"/>
        </w:tabs>
        <w:spacing w:line="264" w:lineRule="auto"/>
        <w:ind w:firstLine="0"/>
        <w:jc w:val="center"/>
        <w:rPr>
          <w:rFonts w:ascii="Arial" w:eastAsia="Calibri" w:hAnsi="Arial" w:cs="Arial"/>
          <w:szCs w:val="28"/>
          <w:lang w:val="uk-UA" w:bidi="uk-UA"/>
        </w:rPr>
      </w:pPr>
    </w:p>
    <w:p w14:paraId="4156AB73" w14:textId="77777777" w:rsidR="00B67481" w:rsidRPr="00511005" w:rsidRDefault="00B67481" w:rsidP="003A292D">
      <w:pPr>
        <w:tabs>
          <w:tab w:val="left" w:pos="7088"/>
        </w:tabs>
        <w:spacing w:line="264" w:lineRule="auto"/>
        <w:ind w:firstLine="0"/>
        <w:jc w:val="center"/>
        <w:rPr>
          <w:rFonts w:ascii="Arial" w:eastAsia="Calibri" w:hAnsi="Arial" w:cs="Arial"/>
          <w:b/>
          <w:szCs w:val="28"/>
          <w:lang w:bidi="uk-UA"/>
        </w:rPr>
      </w:pPr>
      <w:r w:rsidRPr="00511005">
        <w:rPr>
          <w:rFonts w:ascii="Arial" w:eastAsia="Calibri" w:hAnsi="Arial" w:cs="Arial"/>
          <w:b/>
          <w:szCs w:val="28"/>
          <w:lang w:val="uk-UA" w:bidi="uk-UA"/>
        </w:rPr>
        <w:t>А</w:t>
      </w:r>
      <w:r w:rsidRPr="00511005">
        <w:rPr>
          <w:rFonts w:ascii="Arial" w:eastAsia="Calibri" w:hAnsi="Arial" w:cs="Arial"/>
          <w:b/>
          <w:szCs w:val="28"/>
          <w:lang w:bidi="uk-UA"/>
        </w:rPr>
        <w:t>ДМІНІСТРАТИВНА ВІДПОВІДАЛЬНІСТЬ ЗА ПОРУШЕННЯ ПРАВ НА МИРНІ ЗІБРАННЯ</w:t>
      </w:r>
    </w:p>
    <w:p w14:paraId="34FC4374"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Право на мирні зібрання є одним із фундаментальних елементів демократичного суспільства. Воно забезпечує можливість громадянам вільно висловлювати свою думку, відстоювати інтереси, впливати на державну політику. Конституція України гарантує право на мирні зібрання </w:t>
      </w:r>
      <w:r w:rsidRPr="00511005">
        <w:rPr>
          <w:rFonts w:ascii="Arial" w:eastAsia="Calibri" w:hAnsi="Arial" w:cs="Arial"/>
          <w:szCs w:val="28"/>
          <w:lang w:val="uk-UA" w:bidi="uk-UA"/>
        </w:rPr>
        <w:lastRenderedPageBreak/>
        <w:t>кожному громадянину (стаття 39), однак здійснення цього права потребує правового регулювання, яке, з одного боку, забезпечує свободу зібрань, а з іншого — запобігає зловживанням і гарантує публічний порядок. У цьому контексті виникає питання про адміністративну відповідальність — як правовий механізм захисту суспільного інтересу та дотримання встановлених процедур проведення таких заходів.</w:t>
      </w:r>
    </w:p>
    <w:p w14:paraId="4CB48977"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Проблема захисту прав на мирні зібрання в адміністративному праві має два основні аспекти. Перший — це відповідальність держави за необґрунтовані обмеження або перешкоджання мирним зібранням. Другий — це відповідальність осіб, які порушують встановлені вимоги щодо організації або участі в зібраннях, у тому числі за дії, що загрожують громадському порядку. Водночас практика доводить, що найбільша кількість справ в адміністративному провадженні стосується саме останнього — дій учасників або організаторів зібрань, які виходять за межі законодавства або ігнорують приписи органів влади [1].</w:t>
      </w:r>
    </w:p>
    <w:p w14:paraId="450A6948"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Відповідальність за порушення порядку організації і проведення мирних зібрань передбачена Кодексом України про адміністративні правопорушення. Найчастіше застосовується стаття 185-1 КУпАП, яка встановлює відповідальність за порушення порядку організації і проведення зборів, мітингів, вуличних походів і демонстрацій. Це можуть бути, зокрема, випадки проведення заходів без завчасного повідомлення органів влади або з порушенням встановлених умов, що може призвести до санкцій у вигляді штрафу або адміністративного арешту. Однак при цьому важливо враховувати, що сам факт відсутності повідомлення не означає автоматичної незаконності зібрання — це підтверджується й практикою Конституційного Суду України, і позицією Європейського суду з прав людини [2].</w:t>
      </w:r>
    </w:p>
    <w:p w14:paraId="3B75BAD6"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Складність питання полягає в тому, що в Україні досі не прийнято спеціального закону, який би чітко регламентував порядок організації та проведення мирних зібрань. Через це органи поліції та суди нерідко діють на основі внутрішніх інструкцій або загальних норм адміністративного права, що створює простір для довільного тлумачення. З одного боку, це ускладнює захист прав громадян, а з іншого — надає можливість для вибіркового підходу до організаторів протестів. Проблема відсутності спеціального закону вже неодноразово ставала предметом критики з боку правозахисних організацій, які вказують на необхідність правової визначеності для забезпечення гарантій свободи зібрань .</w:t>
      </w:r>
    </w:p>
    <w:p w14:paraId="2E8D68C1"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Особливу увагу слід звернути на ситуації, коли </w:t>
      </w:r>
      <w:r w:rsidRPr="00511005">
        <w:rPr>
          <w:rFonts w:ascii="Arial" w:eastAsia="Calibri" w:hAnsi="Arial" w:cs="Arial"/>
          <w:bCs/>
          <w:szCs w:val="28"/>
          <w:lang w:val="uk-UA" w:bidi="uk-UA"/>
        </w:rPr>
        <w:t>органи влади зловживають повноваженнями</w:t>
      </w:r>
      <w:r w:rsidRPr="00511005">
        <w:rPr>
          <w:rFonts w:ascii="Arial" w:eastAsia="Calibri" w:hAnsi="Arial" w:cs="Arial"/>
          <w:szCs w:val="28"/>
          <w:lang w:val="uk-UA" w:bidi="uk-UA"/>
        </w:rPr>
        <w:t xml:space="preserve">, обмежуючи право на мирні зібрання з міркувань безпеки, громадського порядку або пандемії. Наприклад, у період COVID-19 було запроваджено низку карантинних обмежень, що стосувалися й зібрань. У низці випадків це призводило до притягнення осіб до </w:t>
      </w:r>
      <w:r w:rsidRPr="00511005">
        <w:rPr>
          <w:rFonts w:ascii="Arial" w:eastAsia="Calibri" w:hAnsi="Arial" w:cs="Arial"/>
          <w:szCs w:val="28"/>
          <w:lang w:val="uk-UA" w:bidi="uk-UA"/>
        </w:rPr>
        <w:lastRenderedPageBreak/>
        <w:t>адміністративної відповідальності за порушення санітарних норм під час протестів. Водночас важливо, щоб такі обмеження мали законодавчу основу, були пропорційними та не дискримінували конкретні групи населення [3].</w:t>
      </w:r>
    </w:p>
    <w:p w14:paraId="01F872C2"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Адміністративна відповідальність має бути співмірною з характером правопорушення. На жаль, на практиці нерідко спостерігається застосування санкцій без належного врахування конкретних обставин. Наприклад, надання штрафу за участь у спонтанному мітингу без наслідків для громадського порядку ставить під сумнів саму ідею демократичної правової держави. Тут важливо керуватися принципом верховенства права, який вимагає, щоб будь-яке обмеження права на свободу мирних зібрань мало законну мету, було необхідним у демократичному суспільстві та здійснювалося за процедурою, встановленою законом.</w:t>
      </w:r>
    </w:p>
    <w:p w14:paraId="33572A42"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Відповідно до практики Європейського суду з прав людини, держави повинні демонструвати «позитивний обов’язок» забезпечення умов для проведення зібрань, навіть якщо ці заходи мають критичний або опозиційний характер щодо влади. Адміністративна відповідальність учасників може застосовуватися лише у випадку наявності реальних загроз публічному порядку, а не за сам факт зібрання чи критику влади. Цей підхід мав бути інтегрований і в українську адміністративно-правову практику, однак наразі реалізується не завжди послідовно .</w:t>
      </w:r>
    </w:p>
    <w:p w14:paraId="31FCFF25" w14:textId="77777777" w:rsidR="00B67481" w:rsidRPr="00511005" w:rsidRDefault="00B67481"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Таким чином, ефективне правове регулювання та відповідальність у сфері мирних зібрань в Україні повинні бути спрямовані на баланс між захистом публічного порядку і реалізацією конституційних прав. З одного боку, адміністративна відповідальність є важливим інструментом протидії правопорушенням у цій сфері, з іншого — вона не повинна перетворюватися на інструмент тиску на громадянську активність. Ключовим тут є запровадження чіткого законодавства щодо зібрань, забезпечення незалежного судового контролю та розвиток правової культури як серед громадян, так і серед представників державних органів.</w:t>
      </w:r>
    </w:p>
    <w:p w14:paraId="51D4FEC4" w14:textId="77777777" w:rsidR="00B67481" w:rsidRPr="00511005" w:rsidRDefault="00B67481" w:rsidP="003A292D">
      <w:pPr>
        <w:tabs>
          <w:tab w:val="left" w:pos="7088"/>
        </w:tabs>
        <w:spacing w:line="264" w:lineRule="auto"/>
        <w:jc w:val="center"/>
        <w:rPr>
          <w:rFonts w:ascii="Arial" w:eastAsia="Calibri" w:hAnsi="Arial" w:cs="Arial"/>
          <w:b/>
          <w:szCs w:val="28"/>
          <w:lang w:bidi="uk-UA"/>
        </w:rPr>
      </w:pPr>
    </w:p>
    <w:p w14:paraId="733E7440" w14:textId="77777777" w:rsidR="00B67481" w:rsidRPr="00511005" w:rsidRDefault="00B67481" w:rsidP="003A292D">
      <w:pPr>
        <w:tabs>
          <w:tab w:val="left" w:pos="7088"/>
        </w:tabs>
        <w:spacing w:line="264" w:lineRule="auto"/>
        <w:ind w:firstLine="0"/>
        <w:jc w:val="center"/>
        <w:rPr>
          <w:rFonts w:ascii="Arial" w:eastAsia="Calibri" w:hAnsi="Arial" w:cs="Arial"/>
          <w:b/>
          <w:szCs w:val="28"/>
          <w:lang w:val="uk-UA" w:bidi="uk-UA"/>
        </w:rPr>
      </w:pPr>
      <w:r w:rsidRPr="00511005">
        <w:rPr>
          <w:rFonts w:ascii="Arial" w:eastAsia="Calibri" w:hAnsi="Arial" w:cs="Arial"/>
          <w:b/>
          <w:szCs w:val="28"/>
          <w:lang w:val="en-US" w:bidi="uk-UA"/>
        </w:rPr>
        <w:t>C</w:t>
      </w:r>
      <w:r w:rsidRPr="00511005">
        <w:rPr>
          <w:rFonts w:ascii="Arial" w:eastAsia="Calibri" w:hAnsi="Arial" w:cs="Arial"/>
          <w:b/>
          <w:szCs w:val="28"/>
          <w:lang w:val="uk-UA" w:bidi="uk-UA"/>
        </w:rPr>
        <w:t>писок використаних джерел</w:t>
      </w:r>
    </w:p>
    <w:p w14:paraId="3DFEAD4B" w14:textId="7A95C299" w:rsidR="00B67481" w:rsidRPr="00511005" w:rsidRDefault="00B67481" w:rsidP="003F6A5D">
      <w:pPr>
        <w:widowControl w:val="0"/>
        <w:numPr>
          <w:ilvl w:val="0"/>
          <w:numId w:val="262"/>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Погорілко В. Ф., Фрицький О. Ф. Конституційне право України.</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uk-UA" w:eastAsia="ru-RU" w:bidi="uk-UA"/>
        </w:rPr>
        <w:t>Київ: Юрінком Інтер, 2020.</w:t>
      </w:r>
    </w:p>
    <w:p w14:paraId="6E4ADB67" w14:textId="59A5A23B" w:rsidR="00B67481" w:rsidRPr="00511005" w:rsidRDefault="00B67481" w:rsidP="003F6A5D">
      <w:pPr>
        <w:widowControl w:val="0"/>
        <w:numPr>
          <w:ilvl w:val="0"/>
          <w:numId w:val="262"/>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Кодекс України про адміністративні правопорушення.</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en-US" w:eastAsia="ru-RU" w:bidi="uk-UA"/>
        </w:rPr>
        <w:t>URL</w:t>
      </w:r>
      <w:r w:rsidRPr="00511005">
        <w:rPr>
          <w:rFonts w:ascii="Arial" w:eastAsia="Times New Roman" w:hAnsi="Arial" w:cs="Arial"/>
          <w:bCs/>
          <w:szCs w:val="28"/>
          <w:lang w:eastAsia="ru-RU" w:bidi="uk-UA"/>
        </w:rPr>
        <w:t xml:space="preserve">: </w:t>
      </w:r>
      <w:hyperlink r:id="rId1004" w:anchor="Text" w:history="1">
        <w:r w:rsidRPr="00511005">
          <w:rPr>
            <w:rFonts w:ascii="Arial" w:eastAsia="Times New Roman" w:hAnsi="Arial" w:cs="Arial"/>
            <w:szCs w:val="28"/>
            <w:lang w:val="uk-UA" w:eastAsia="ru-RU" w:bidi="uk-UA"/>
          </w:rPr>
          <w:t>https://zakon.rada.gov.ua/laws/show/80731-10#Text</w:t>
        </w:r>
      </w:hyperlink>
      <w:r w:rsidRPr="00511005">
        <w:rPr>
          <w:rFonts w:ascii="Arial" w:eastAsia="Times New Roman" w:hAnsi="Arial" w:cs="Arial"/>
          <w:bCs/>
          <w:szCs w:val="28"/>
          <w:lang w:eastAsia="ru-RU" w:bidi="uk-UA"/>
        </w:rPr>
        <w:t xml:space="preserve"> (дата звернення: 09.04.2025 року)</w:t>
      </w:r>
    </w:p>
    <w:p w14:paraId="48CFF15C" w14:textId="5AC46C22" w:rsidR="00B67481" w:rsidRPr="00511005" w:rsidRDefault="00B67481" w:rsidP="003F6A5D">
      <w:pPr>
        <w:widowControl w:val="0"/>
        <w:numPr>
          <w:ilvl w:val="0"/>
          <w:numId w:val="262"/>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Омельченко О. Адміністративна відповідальність за порушення карантинних обмежень під час мітингів. Юридична газета.</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uk-UA" w:eastAsia="ru-RU" w:bidi="uk-UA"/>
        </w:rPr>
        <w:t>2021.</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uk-UA" w:eastAsia="ru-RU" w:bidi="uk-UA"/>
        </w:rPr>
        <w:t>№12.</w:t>
      </w:r>
    </w:p>
    <w:p w14:paraId="6C6B2279" w14:textId="77777777" w:rsidR="00B67481" w:rsidRPr="00511005" w:rsidRDefault="00B67481" w:rsidP="003A292D">
      <w:pPr>
        <w:tabs>
          <w:tab w:val="left" w:pos="0"/>
          <w:tab w:val="left" w:pos="7088"/>
        </w:tabs>
        <w:spacing w:line="264" w:lineRule="auto"/>
        <w:rPr>
          <w:rFonts w:ascii="Arial" w:eastAsia="Calibri" w:hAnsi="Arial" w:cs="Arial"/>
          <w:b/>
          <w:szCs w:val="28"/>
          <w:lang w:val="uk-UA" w:bidi="uk-UA"/>
        </w:rPr>
      </w:pPr>
    </w:p>
    <w:p w14:paraId="651663CE" w14:textId="00DB32C4" w:rsidR="00B67481" w:rsidRPr="00511005" w:rsidRDefault="007B2628" w:rsidP="003A292D">
      <w:pPr>
        <w:tabs>
          <w:tab w:val="left" w:pos="0"/>
          <w:tab w:val="left" w:pos="7088"/>
        </w:tabs>
        <w:spacing w:line="264" w:lineRule="auto"/>
        <w:rPr>
          <w:rFonts w:ascii="Arial" w:eastAsia="Calibri" w:hAnsi="Arial" w:cs="Arial"/>
          <w:szCs w:val="28"/>
          <w:lang w:val="uk-UA" w:bidi="uk-UA"/>
        </w:rPr>
      </w:pPr>
      <w:r w:rsidRPr="00511005">
        <w:rPr>
          <w:rFonts w:ascii="Arial" w:eastAsia="Calibri" w:hAnsi="Arial" w:cs="Arial"/>
          <w:b/>
          <w:i/>
          <w:szCs w:val="28"/>
          <w:lang w:val="uk-UA" w:bidi="uk-UA"/>
        </w:rPr>
        <w:lastRenderedPageBreak/>
        <w:t xml:space="preserve">Ключові слова: </w:t>
      </w:r>
      <w:r w:rsidR="00B67481" w:rsidRPr="00511005">
        <w:rPr>
          <w:rFonts w:ascii="Arial" w:eastAsia="Calibri" w:hAnsi="Arial" w:cs="Arial"/>
          <w:szCs w:val="28"/>
          <w:lang w:val="uk-UA" w:bidi="uk-UA"/>
        </w:rPr>
        <w:t>мирні зібрання</w:t>
      </w:r>
      <w:r w:rsidR="00B67481" w:rsidRPr="00511005">
        <w:rPr>
          <w:rFonts w:ascii="Arial" w:eastAsia="Calibri" w:hAnsi="Arial" w:cs="Arial"/>
          <w:b/>
          <w:szCs w:val="28"/>
          <w:lang w:val="uk-UA" w:bidi="uk-UA"/>
        </w:rPr>
        <w:t xml:space="preserve">, </w:t>
      </w:r>
      <w:r w:rsidR="00B67481" w:rsidRPr="00511005">
        <w:rPr>
          <w:rFonts w:ascii="Arial" w:eastAsia="Calibri" w:hAnsi="Arial" w:cs="Arial"/>
          <w:szCs w:val="28"/>
          <w:lang w:val="uk-UA" w:bidi="uk-UA"/>
        </w:rPr>
        <w:t>адміністративна відповідальність, захист прав,</w:t>
      </w:r>
      <w:r w:rsidRPr="00511005">
        <w:rPr>
          <w:rFonts w:ascii="Arial" w:eastAsia="Calibri" w:hAnsi="Arial" w:cs="Arial"/>
          <w:szCs w:val="28"/>
          <w:lang w:val="uk-UA" w:bidi="uk-UA"/>
        </w:rPr>
        <w:t xml:space="preserve"> </w:t>
      </w:r>
      <w:r w:rsidR="00B67481" w:rsidRPr="00511005">
        <w:rPr>
          <w:rFonts w:ascii="Arial" w:eastAsia="Calibri" w:hAnsi="Arial" w:cs="Arial"/>
          <w:szCs w:val="28"/>
          <w:lang w:val="uk-UA" w:bidi="uk-UA"/>
        </w:rPr>
        <w:t>Європейський суд, держава, правове регулювання, правопорушення, Конституція України, незаконні зібрання.</w:t>
      </w:r>
    </w:p>
    <w:p w14:paraId="26FFCCC0" w14:textId="2DF7BB85" w:rsidR="00B67481" w:rsidRPr="00511005" w:rsidRDefault="007B2628" w:rsidP="003A29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bidi="uk-UA"/>
        </w:rPr>
        <w:t xml:space="preserve">Key words: </w:t>
      </w:r>
      <w:r w:rsidR="00B67481" w:rsidRPr="00511005">
        <w:rPr>
          <w:rFonts w:ascii="Arial" w:eastAsia="Times New Roman" w:hAnsi="Arial" w:cs="Arial"/>
          <w:szCs w:val="28"/>
          <w:lang w:val="en-US" w:eastAsia="ru-RU"/>
        </w:rPr>
        <w:t>peaceful assemblies, administrative liability, protection of rights, European Court, state, legal regulation, offenses, Constitution of Ukraine, illegal assemblies.</w:t>
      </w:r>
    </w:p>
    <w:p w14:paraId="3E5E9F57" w14:textId="1C184C78" w:rsidR="00B67481" w:rsidRPr="00511005" w:rsidRDefault="007B2628" w:rsidP="003A292D">
      <w:pPr>
        <w:tabs>
          <w:tab w:val="left" w:pos="0"/>
          <w:tab w:val="left" w:pos="7088"/>
        </w:tabs>
        <w:spacing w:line="264" w:lineRule="auto"/>
        <w:rPr>
          <w:rFonts w:ascii="Arial" w:eastAsia="Calibri" w:hAnsi="Arial" w:cs="Arial"/>
          <w:i/>
          <w:szCs w:val="28"/>
          <w:lang w:val="uk-UA" w:bidi="uk-UA"/>
        </w:rPr>
      </w:pPr>
      <w:r w:rsidRPr="00511005">
        <w:rPr>
          <w:rFonts w:ascii="Arial" w:eastAsia="Calibri" w:hAnsi="Arial" w:cs="Arial"/>
          <w:b/>
          <w:i/>
          <w:szCs w:val="28"/>
          <w:lang w:val="uk-UA" w:bidi="uk-UA"/>
        </w:rPr>
        <w:t xml:space="preserve">Науковий керівник: </w:t>
      </w:r>
      <w:r w:rsidR="00B67481" w:rsidRPr="00511005">
        <w:rPr>
          <w:rFonts w:ascii="Arial" w:eastAsia="Calibri" w:hAnsi="Arial" w:cs="Arial"/>
          <w:i/>
          <w:szCs w:val="28"/>
          <w:lang w:val="uk-UA" w:bidi="uk-UA"/>
        </w:rPr>
        <w:t>к.ю.н., доцент, Панфілов О. Є.</w:t>
      </w:r>
    </w:p>
    <w:p w14:paraId="4B3DF684" w14:textId="77777777" w:rsidR="001D1A08" w:rsidRPr="00511005" w:rsidRDefault="001D1A08" w:rsidP="003A292D">
      <w:pPr>
        <w:spacing w:line="264" w:lineRule="auto"/>
        <w:ind w:firstLine="0"/>
        <w:jc w:val="left"/>
        <w:rPr>
          <w:rFonts w:ascii="Arial" w:eastAsia="Calibri" w:hAnsi="Arial" w:cs="Arial"/>
          <w:i/>
          <w:szCs w:val="28"/>
          <w:lang w:val="uk-UA" w:bidi="uk-UA"/>
        </w:rPr>
      </w:pPr>
    </w:p>
    <w:p w14:paraId="29F0A344" w14:textId="77777777" w:rsidR="001D1A08" w:rsidRPr="00511005" w:rsidRDefault="001D1A08" w:rsidP="003A292D">
      <w:pPr>
        <w:spacing w:line="264" w:lineRule="auto"/>
        <w:ind w:firstLine="0"/>
        <w:jc w:val="left"/>
        <w:rPr>
          <w:rFonts w:ascii="Arial" w:eastAsia="Calibri" w:hAnsi="Arial" w:cs="Arial"/>
          <w:i/>
          <w:szCs w:val="28"/>
          <w:lang w:val="uk-UA" w:bidi="uk-UA"/>
        </w:rPr>
      </w:pPr>
    </w:p>
    <w:p w14:paraId="41AB60A7" w14:textId="77777777" w:rsidR="00B67481" w:rsidRPr="00511005" w:rsidRDefault="00B67481" w:rsidP="003A292D">
      <w:pPr>
        <w:spacing w:line="264" w:lineRule="auto"/>
        <w:ind w:firstLine="0"/>
        <w:jc w:val="center"/>
        <w:rPr>
          <w:rFonts w:ascii="Arial" w:eastAsia="Calibri" w:hAnsi="Arial" w:cs="Arial"/>
          <w:b/>
          <w:i/>
          <w:szCs w:val="28"/>
        </w:rPr>
      </w:pPr>
      <w:r w:rsidRPr="00511005">
        <w:rPr>
          <w:rFonts w:ascii="Arial" w:eastAsia="Calibri" w:hAnsi="Arial" w:cs="Arial"/>
          <w:b/>
          <w:i/>
          <w:szCs w:val="28"/>
        </w:rPr>
        <w:t>Тодощак Володимир Олегович</w:t>
      </w:r>
    </w:p>
    <w:p w14:paraId="66A7C11B" w14:textId="3E57F9C0" w:rsidR="00B67481" w:rsidRPr="00511005" w:rsidRDefault="00536AAB"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 2-го курсу </w:t>
      </w:r>
      <w:r w:rsidR="001B7B25" w:rsidRPr="00511005">
        <w:rPr>
          <w:rFonts w:ascii="Arial" w:eastAsia="Calibri" w:hAnsi="Arial" w:cs="Arial"/>
          <w:szCs w:val="28"/>
        </w:rPr>
        <w:t>факультету судового та міжнародного права</w:t>
      </w:r>
      <w:r w:rsidR="00B67481" w:rsidRPr="00511005">
        <w:rPr>
          <w:rFonts w:ascii="Arial" w:eastAsia="Calibri" w:hAnsi="Arial" w:cs="Arial"/>
          <w:szCs w:val="28"/>
        </w:rPr>
        <w:br/>
      </w:r>
      <w:r w:rsidR="007B2628" w:rsidRPr="00511005">
        <w:rPr>
          <w:rFonts w:ascii="Arial" w:eastAsia="Calibri" w:hAnsi="Arial" w:cs="Arial"/>
          <w:szCs w:val="28"/>
        </w:rPr>
        <w:t>Національного університету «Одеська юридична академія»</w:t>
      </w:r>
    </w:p>
    <w:p w14:paraId="4CA80BDD" w14:textId="77777777" w:rsidR="00B67481" w:rsidRPr="00511005" w:rsidRDefault="00B67481" w:rsidP="003A292D">
      <w:pPr>
        <w:tabs>
          <w:tab w:val="left" w:pos="851"/>
        </w:tabs>
        <w:suppressAutoHyphens/>
        <w:spacing w:line="264" w:lineRule="auto"/>
        <w:ind w:firstLine="0"/>
        <w:rPr>
          <w:rFonts w:ascii="Arial" w:eastAsia="Times New Roman" w:hAnsi="Arial" w:cs="Arial"/>
          <w:szCs w:val="28"/>
          <w:lang w:eastAsia="pl-PL"/>
        </w:rPr>
      </w:pPr>
    </w:p>
    <w:p w14:paraId="65DBFC11" w14:textId="77777777" w:rsidR="00B67481" w:rsidRPr="00511005" w:rsidRDefault="00B67481" w:rsidP="003A292D">
      <w:pPr>
        <w:tabs>
          <w:tab w:val="left" w:pos="709"/>
        </w:tabs>
        <w:spacing w:line="264" w:lineRule="auto"/>
        <w:ind w:firstLine="0"/>
        <w:jc w:val="center"/>
        <w:rPr>
          <w:rFonts w:ascii="Arial" w:eastAsia="Calibri" w:hAnsi="Arial" w:cs="Arial"/>
          <w:b/>
          <w:szCs w:val="28"/>
          <w:lang w:val="uk-UA"/>
        </w:rPr>
      </w:pPr>
      <w:r w:rsidRPr="00511005">
        <w:rPr>
          <w:rFonts w:ascii="Arial" w:eastAsia="Calibri" w:hAnsi="Arial" w:cs="Arial"/>
          <w:b/>
          <w:szCs w:val="28"/>
        </w:rPr>
        <w:t>ВПЛИВ ДЕЦЕНТРАЛІЗАЦІЇ НА РОЗВИТОК АДМІНІСТРАТИВНОГО ПРАВА В УКРАЇНІ</w:t>
      </w:r>
    </w:p>
    <w:p w14:paraId="43620FC3" w14:textId="77777777" w:rsidR="00B67481" w:rsidRPr="00511005" w:rsidRDefault="00B67481" w:rsidP="003A292D">
      <w:pPr>
        <w:suppressAutoHyphens/>
        <w:spacing w:line="264" w:lineRule="auto"/>
        <w:rPr>
          <w:rFonts w:ascii="Arial" w:eastAsia="Times New Roman" w:hAnsi="Arial" w:cs="Arial"/>
          <w:szCs w:val="28"/>
          <w:lang w:eastAsia="pl-PL"/>
        </w:rPr>
      </w:pPr>
      <w:r w:rsidRPr="00511005">
        <w:rPr>
          <w:rFonts w:ascii="Arial" w:eastAsia="Times New Roman" w:hAnsi="Arial" w:cs="Arial"/>
          <w:szCs w:val="28"/>
          <w:lang w:eastAsia="pl-PL"/>
        </w:rPr>
        <w:t>Децентралізація влади в Україні є фундаментальною реформою, спрямованою на перерозподіл повноважень, ресурсів та відповідальності від центральних органів влади до органів місцевого самоврядування. Це трансформаційний процес, який бере свій початок з прийняття Концепції реформування місцевого самоврядування та територіальної організації влади в Україні у 2014 році [1] і ґрунтується на принципах Європейської хартії місцевого самоврядування [2]. Теоретико-правова основа децентралізації тісно пов'язана з конституційним та адміністративним правом, оскільки передбачає суттєве переосмислення системи публічного адміністрування та адміністративно-правових відносин.</w:t>
      </w:r>
    </w:p>
    <w:p w14:paraId="240381C9" w14:textId="77777777" w:rsidR="00B67481" w:rsidRPr="00511005" w:rsidRDefault="00B67481" w:rsidP="003A292D">
      <w:pPr>
        <w:suppressAutoHyphens/>
        <w:spacing w:line="264" w:lineRule="auto"/>
        <w:rPr>
          <w:rFonts w:ascii="Arial" w:eastAsia="Times New Roman" w:hAnsi="Arial" w:cs="Arial"/>
          <w:szCs w:val="28"/>
          <w:lang w:eastAsia="pl-PL"/>
        </w:rPr>
      </w:pPr>
      <w:r w:rsidRPr="00511005">
        <w:rPr>
          <w:rFonts w:ascii="Arial" w:eastAsia="Times New Roman" w:hAnsi="Arial" w:cs="Arial"/>
          <w:szCs w:val="28"/>
          <w:lang w:eastAsia="pl-PL"/>
        </w:rPr>
        <w:t>У контексті адміністративного права децентралізація виступає каталізатором системних змін його інститутів, принципів та механізмів. Вона зумовлює необхідність перегляду класичних підходів до розуміння публічного адміністрування, адміністративних повноважень, адміністративних послуг та адміністративної відповідальності. Децентралізаційні процеси призводять до формування нової парадигми адміністративно-правового регулювання, в якій центральне місце займає людиноцентристський підхід, принцип субсидіарності та дотримання публічного інтересу в діяльності органів місцевого самоврядування [3]. Це стимулює розвиток нових інститутів адміністративного права та модернізацію існуючих, зокрема, інституту публічної служби, адміністративних процедур та адміністративно-правових режимів.</w:t>
      </w:r>
    </w:p>
    <w:p w14:paraId="3596BC9C" w14:textId="77777777" w:rsidR="00B67481" w:rsidRPr="00511005" w:rsidRDefault="00B67481" w:rsidP="003A292D">
      <w:pPr>
        <w:suppressAutoHyphens/>
        <w:spacing w:line="264" w:lineRule="auto"/>
        <w:rPr>
          <w:rFonts w:ascii="Arial" w:eastAsia="Times New Roman" w:hAnsi="Arial" w:cs="Arial"/>
          <w:szCs w:val="28"/>
          <w:lang w:eastAsia="pl-PL"/>
        </w:rPr>
      </w:pPr>
      <w:r w:rsidRPr="00511005">
        <w:rPr>
          <w:rFonts w:ascii="Arial" w:eastAsia="Times New Roman" w:hAnsi="Arial" w:cs="Arial"/>
          <w:szCs w:val="28"/>
          <w:lang w:eastAsia="pl-PL"/>
        </w:rPr>
        <w:t xml:space="preserve">Децентралізація кардинально впливає на систему суб’єктів адміністративного права в Україні, змінюючи їх правовий статус, обсяг повноважень та функціональне призначення. Органи місцевого самоврядування набувають якісно нової ролі, перетворюючись із другорядних учасників адміністративно-правових відносин на повноцінних </w:t>
      </w:r>
      <w:r w:rsidRPr="00511005">
        <w:rPr>
          <w:rFonts w:ascii="Arial" w:eastAsia="Times New Roman" w:hAnsi="Arial" w:cs="Arial"/>
          <w:szCs w:val="28"/>
          <w:lang w:eastAsia="pl-PL"/>
        </w:rPr>
        <w:lastRenderedPageBreak/>
        <w:t>суб'єктів владних повноважень з широким спектром компетенцій. Територіальні громади та їх представницькі органи отримали значні правові можливості щодо вирішення питань місцевого значення, формування власних бюджетів, управління комунальним майном, землею та іншими ресурсами. Це зумовлює необхідність переосмислення традиційних підходів до класифікації суб'єктів адміністративного права та їх взаємодії.</w:t>
      </w:r>
    </w:p>
    <w:p w14:paraId="72CE762C" w14:textId="77777777" w:rsidR="00B67481" w:rsidRPr="00511005" w:rsidRDefault="00B67481" w:rsidP="003A292D">
      <w:pPr>
        <w:suppressAutoHyphens/>
        <w:spacing w:line="264" w:lineRule="auto"/>
        <w:rPr>
          <w:rFonts w:ascii="Arial" w:eastAsia="Times New Roman" w:hAnsi="Arial" w:cs="Arial"/>
          <w:szCs w:val="28"/>
          <w:lang w:eastAsia="pl-PL"/>
        </w:rPr>
      </w:pPr>
      <w:r w:rsidRPr="00511005">
        <w:rPr>
          <w:rFonts w:ascii="Arial" w:eastAsia="Times New Roman" w:hAnsi="Arial" w:cs="Arial"/>
          <w:szCs w:val="28"/>
          <w:lang w:eastAsia="pl-PL"/>
        </w:rPr>
        <w:t>Водночас, трансформація системи суб'єктів адміністративного права проявляється у формуванні нових організаційно-правових форм взаємодії органів публічної адміністрації. Виникають такі інституції як об'єднані територіальні громади, центри надання адміністративних послуг на місцевому рівні, що наділяються специфічними адміністративно-правовими повноваженнями. Зміна співвідношення централізованого та децентралізованого управління призводить до перерозподілу контрольно-наглядових функцій, зокрема, через запровадження державного нагляду за законністю рішень органів місцевого самоврядування замість прямого адміністративного підпорядкування. Це стимулює розвиток партнерських моделей взаємодії між різними суб'єктами адміністративного права та утвердження принципу рівності у публічно-правових відносинах.</w:t>
      </w:r>
    </w:p>
    <w:p w14:paraId="75987D74" w14:textId="77777777" w:rsidR="00B67481" w:rsidRPr="00511005" w:rsidRDefault="00B67481" w:rsidP="003A292D">
      <w:pPr>
        <w:suppressAutoHyphens/>
        <w:spacing w:line="264" w:lineRule="auto"/>
        <w:rPr>
          <w:rFonts w:ascii="Arial" w:eastAsia="Times New Roman" w:hAnsi="Arial" w:cs="Arial"/>
          <w:szCs w:val="28"/>
          <w:lang w:eastAsia="pl-PL"/>
        </w:rPr>
      </w:pPr>
      <w:r w:rsidRPr="00511005">
        <w:rPr>
          <w:rFonts w:ascii="Arial" w:eastAsia="Times New Roman" w:hAnsi="Arial" w:cs="Arial"/>
          <w:szCs w:val="28"/>
          <w:lang w:eastAsia="pl-PL"/>
        </w:rPr>
        <w:t xml:space="preserve">Децентралізація влади в Україні суттєво вплинула на трансформацію інституту адміністративних послуг, забезпечивши їх наближення до споживачів та підвищення якості їх надання [4, </w:t>
      </w:r>
      <w:r w:rsidRPr="00511005">
        <w:rPr>
          <w:rFonts w:ascii="Arial" w:eastAsia="Times New Roman" w:hAnsi="Arial" w:cs="Arial"/>
          <w:szCs w:val="28"/>
          <w:lang w:val="pl-PL" w:eastAsia="pl-PL"/>
        </w:rPr>
        <w:t>c</w:t>
      </w:r>
      <w:r w:rsidRPr="00511005">
        <w:rPr>
          <w:rFonts w:ascii="Arial" w:eastAsia="Times New Roman" w:hAnsi="Arial" w:cs="Arial"/>
          <w:szCs w:val="28"/>
          <w:lang w:eastAsia="pl-PL"/>
        </w:rPr>
        <w:t>. 7]. В результаті реформи відбулася делегація повноважень щодо надання широкого спектру адміністративних послуг на рівень територіальних громад, що дозволило створити розгалужену мережу центрів надання адміністративних послуг (ЦНАП) у різних населених пунктах. Це значно спростило доступ громадян до публічних сервісів, скоротило час обслуговування та мінімізувало корупційні ризики. Модернізація адміністративних послуг також проявилася через запровадження електронних сервісів, можливості отримання послуг за принципом «єдиного вікна» та розширення переліку послуг, що надаються на місцевому рівні.</w:t>
      </w:r>
    </w:p>
    <w:p w14:paraId="7611B490" w14:textId="77777777" w:rsidR="00B67481" w:rsidRPr="00511005" w:rsidRDefault="00B67481" w:rsidP="003A292D">
      <w:pPr>
        <w:suppressAutoHyphens/>
        <w:spacing w:line="264" w:lineRule="auto"/>
        <w:rPr>
          <w:rFonts w:ascii="Arial" w:eastAsia="Times New Roman" w:hAnsi="Arial" w:cs="Arial"/>
          <w:szCs w:val="28"/>
          <w:lang w:eastAsia="pl-PL"/>
        </w:rPr>
      </w:pPr>
      <w:r w:rsidRPr="00511005">
        <w:rPr>
          <w:rFonts w:ascii="Arial" w:eastAsia="Times New Roman" w:hAnsi="Arial" w:cs="Arial"/>
          <w:szCs w:val="28"/>
          <w:lang w:eastAsia="pl-PL"/>
        </w:rPr>
        <w:t xml:space="preserve">Якісні зміни в інституті адміністративних послуг супроводжуються удосконаленням його нормативно-правового регулювання. Відбувається систематизація та спрощення адміністративних процедур, стандартизація вимог до якості послуг, розробка уніфікованих інформаційних та технологічних карток. Важливим аспектом модернізації є зміна концептуального підходу до надання адміністративних послуг – від бюрократичної моделі до клієнтоорієнтованого сервісного підходу, за якого громадянин розглядається не як прохач, а як замовник послуг. Це зумовлює розвиток нових правових механізмів забезпечення якості адміністративних послуг, зокрема через запровадження систем моніторингу та оцінювання, механізмів зворотного зв'язку та залучення громадськості </w:t>
      </w:r>
      <w:proofErr w:type="gramStart"/>
      <w:r w:rsidRPr="00511005">
        <w:rPr>
          <w:rFonts w:ascii="Arial" w:eastAsia="Times New Roman" w:hAnsi="Arial" w:cs="Arial"/>
          <w:szCs w:val="28"/>
          <w:lang w:eastAsia="pl-PL"/>
        </w:rPr>
        <w:t>до контролю</w:t>
      </w:r>
      <w:proofErr w:type="gramEnd"/>
      <w:r w:rsidRPr="00511005">
        <w:rPr>
          <w:rFonts w:ascii="Arial" w:eastAsia="Times New Roman" w:hAnsi="Arial" w:cs="Arial"/>
          <w:szCs w:val="28"/>
          <w:lang w:eastAsia="pl-PL"/>
        </w:rPr>
        <w:t xml:space="preserve"> за діяльністю центрів надання адміністративних послуг.</w:t>
      </w:r>
    </w:p>
    <w:p w14:paraId="2048E808" w14:textId="77777777" w:rsidR="00B67481" w:rsidRPr="00511005" w:rsidRDefault="00B67481" w:rsidP="003A292D">
      <w:pPr>
        <w:suppressAutoHyphens/>
        <w:spacing w:line="264" w:lineRule="auto"/>
        <w:rPr>
          <w:rFonts w:ascii="Arial" w:eastAsia="Times New Roman" w:hAnsi="Arial" w:cs="Arial"/>
          <w:szCs w:val="28"/>
          <w:lang w:eastAsia="pl-PL"/>
        </w:rPr>
      </w:pPr>
      <w:r w:rsidRPr="00511005">
        <w:rPr>
          <w:rFonts w:ascii="Arial" w:eastAsia="Times New Roman" w:hAnsi="Arial" w:cs="Arial"/>
          <w:szCs w:val="28"/>
          <w:lang w:eastAsia="pl-PL"/>
        </w:rPr>
        <w:lastRenderedPageBreak/>
        <w:t xml:space="preserve">Процес децентралізації суттєво трансформує характер адміністративно-правових відносин між органами державної влади та територіальними громадами, змінюючи їх із субординаційних на координаційні та реординаційні. Замість вертикальної моделі управління з чіткою підпорядкованістю місцевих органів центральним, формується горизонтальна система взаємодії, заснована на принципах партнерства, взаємної поваги та співпраці. Органи державної влади поступово відходять від прямого адміністративного втручання у справи місцевого значення, зосереджуючись на стратегічному плануванні, виробленні державної політики та здійсненні нагляду за законністю рішень органів місцевого самоврядування. Водночас, територіальні громади отримують правові механізми для захисту своїх інтересів, включаючи можливість оскарження незаконних дій державних органів </w:t>
      </w:r>
      <w:proofErr w:type="gramStart"/>
      <w:r w:rsidRPr="00511005">
        <w:rPr>
          <w:rFonts w:ascii="Arial" w:eastAsia="Times New Roman" w:hAnsi="Arial" w:cs="Arial"/>
          <w:szCs w:val="28"/>
          <w:lang w:eastAsia="pl-PL"/>
        </w:rPr>
        <w:t>у судовому порядку</w:t>
      </w:r>
      <w:proofErr w:type="gramEnd"/>
      <w:r w:rsidRPr="00511005">
        <w:rPr>
          <w:rFonts w:ascii="Arial" w:eastAsia="Times New Roman" w:hAnsi="Arial" w:cs="Arial"/>
          <w:szCs w:val="28"/>
          <w:lang w:eastAsia="pl-PL"/>
        </w:rPr>
        <w:t>.</w:t>
      </w:r>
    </w:p>
    <w:p w14:paraId="27FA4E27" w14:textId="77777777" w:rsidR="00B67481" w:rsidRPr="00511005" w:rsidRDefault="00B67481" w:rsidP="003A292D">
      <w:pPr>
        <w:suppressAutoHyphens/>
        <w:spacing w:line="264" w:lineRule="auto"/>
        <w:rPr>
          <w:rFonts w:ascii="Arial" w:eastAsia="Times New Roman" w:hAnsi="Arial" w:cs="Arial"/>
          <w:szCs w:val="28"/>
          <w:lang w:eastAsia="pl-PL"/>
        </w:rPr>
      </w:pPr>
      <w:r w:rsidRPr="00511005">
        <w:rPr>
          <w:rFonts w:ascii="Arial" w:eastAsia="Times New Roman" w:hAnsi="Arial" w:cs="Arial"/>
          <w:szCs w:val="28"/>
          <w:lang w:eastAsia="pl-PL"/>
        </w:rPr>
        <w:t>В адміністративно-правових відносинах між органами державної влади та територіальними громадами особливої ваги набувають договірні форми взаємодії, що регламентуються адміністративними договорами. Зростає значення консультативно-дорадчих механізмів, через які територіальні громади залучаються до формування та реалізації державної політики. Важливою особливістю нової моделі відносин є перерозподіл фінансових ресурсів та повноважень щодо бюджетного регулювання, що супроводжується розвитком адміністративно-правових механізмів державної підтримки місцевого розвитку. При цьому, децентралізація не означає повного відсторонення держави від справ місцевого значення, а передбачає запровадження більш збалансованої системи державного нагляду та контролю, спрямованої на забезпечення законності в діяльності органів місцевого самоврядування при одночасному збереженні їх автономії.</w:t>
      </w:r>
    </w:p>
    <w:p w14:paraId="48950070" w14:textId="77777777" w:rsidR="00B67481" w:rsidRPr="00511005" w:rsidRDefault="00B67481" w:rsidP="003A292D">
      <w:pPr>
        <w:suppressAutoHyphens/>
        <w:spacing w:line="264" w:lineRule="auto"/>
        <w:rPr>
          <w:rFonts w:ascii="Arial" w:eastAsia="Times New Roman" w:hAnsi="Arial" w:cs="Arial"/>
          <w:szCs w:val="28"/>
          <w:lang w:eastAsia="pl-PL"/>
        </w:rPr>
      </w:pPr>
      <w:r w:rsidRPr="00511005">
        <w:rPr>
          <w:rFonts w:ascii="Arial" w:eastAsia="Times New Roman" w:hAnsi="Arial" w:cs="Arial"/>
          <w:szCs w:val="28"/>
          <w:lang w:eastAsia="pl-PL"/>
        </w:rPr>
        <w:t>Подальший розвиток адміністративного права України під впливом децентралізації вбачається у формуванні нової доктрини публічного адміністрування, що органічно поєднує загальнодержавні та місцеві інтереси. Очікується поглиблення диференціації адміністративно-правового регулювання з урахуванням регіональних особливостей та потреб конкретних територіальних громад. Важливим напрямом розвитку є вдосконалення адміністративно-процедурного законодавства, зокрема через прийняття та імплементацію Адміністративно-процедурного кодексу, який встановлюватиме єдині стандарти взаємодії органів публічної влади різних рівнів між собою та з приватними особами. Пріоритетного значення також набуває розвиток інституту адміністративної відповідальності посадових осіб органів місцевого самоврядування та забезпечення ефективного судового захисту прав територіальних громад.</w:t>
      </w:r>
    </w:p>
    <w:p w14:paraId="173EB377" w14:textId="77777777" w:rsidR="00B67481" w:rsidRPr="00511005" w:rsidRDefault="00B67481" w:rsidP="003A292D">
      <w:pPr>
        <w:suppressAutoHyphens/>
        <w:spacing w:line="264" w:lineRule="auto"/>
        <w:rPr>
          <w:rFonts w:ascii="Arial" w:eastAsia="Times New Roman" w:hAnsi="Arial" w:cs="Arial"/>
          <w:szCs w:val="28"/>
          <w:lang w:val="uk-UA" w:eastAsia="pl-PL"/>
        </w:rPr>
      </w:pPr>
      <w:r w:rsidRPr="00511005">
        <w:rPr>
          <w:rFonts w:ascii="Arial" w:eastAsia="Times New Roman" w:hAnsi="Arial" w:cs="Arial"/>
          <w:szCs w:val="28"/>
          <w:lang w:eastAsia="pl-PL"/>
        </w:rPr>
        <w:t xml:space="preserve">Ключовим викликом для адміністративного права в умовах децентралізації залишається досягнення оптимального балансу між </w:t>
      </w:r>
      <w:r w:rsidRPr="00511005">
        <w:rPr>
          <w:rFonts w:ascii="Arial" w:eastAsia="Times New Roman" w:hAnsi="Arial" w:cs="Arial"/>
          <w:szCs w:val="28"/>
          <w:lang w:eastAsia="pl-PL"/>
        </w:rPr>
        <w:lastRenderedPageBreak/>
        <w:t>автономією місцевого самоврядування та єдністю державної політики. Це потребує розробки нових правових механізмів узгодження інтересів, вирішення компетенційних спорів та запобігання фрагментації правового простору держави. У контексті європейської інтеграції України особливого значення набуває гармонізація національного адміністративного законодавства з європейськими стандартами місцевого самоврядування та регіонального розвитку. Перспективним напрямом є також розвиток адміністративно-правових засад транскордонного співробітництва територіальних громад, що сприятиме інтеграції України до європейського адміністративного простору та залученню міжнародного досвіду для вдосконалення системи публічного адміністрування на місцевому рівні.</w:t>
      </w:r>
    </w:p>
    <w:p w14:paraId="5B77897C" w14:textId="77777777" w:rsidR="00B67481" w:rsidRPr="00511005" w:rsidRDefault="00B67481" w:rsidP="003A292D">
      <w:pPr>
        <w:suppressAutoHyphens/>
        <w:spacing w:line="264" w:lineRule="auto"/>
        <w:rPr>
          <w:rFonts w:ascii="Arial" w:eastAsia="Times New Roman" w:hAnsi="Arial" w:cs="Arial"/>
          <w:szCs w:val="28"/>
          <w:lang w:val="uk-UA" w:eastAsia="pl-PL"/>
        </w:rPr>
      </w:pPr>
    </w:p>
    <w:p w14:paraId="13E24F2A" w14:textId="77777777" w:rsidR="00B67481" w:rsidRPr="00511005" w:rsidRDefault="00B67481" w:rsidP="003A292D">
      <w:pPr>
        <w:suppressAutoHyphens/>
        <w:spacing w:line="264" w:lineRule="auto"/>
        <w:rPr>
          <w:rFonts w:ascii="Arial" w:eastAsia="Times New Roman" w:hAnsi="Arial" w:cs="Arial"/>
          <w:szCs w:val="28"/>
          <w:lang w:val="uk-UA" w:eastAsia="pl-PL"/>
        </w:rPr>
      </w:pPr>
    </w:p>
    <w:p w14:paraId="6C03AE0F" w14:textId="657892AF" w:rsidR="00B67481" w:rsidRPr="00511005" w:rsidRDefault="007B2628" w:rsidP="007B2628">
      <w:pPr>
        <w:widowControl w:val="0"/>
        <w:autoSpaceDE w:val="0"/>
        <w:autoSpaceDN w:val="0"/>
        <w:adjustRightInd w:val="0"/>
        <w:spacing w:line="264" w:lineRule="auto"/>
        <w:contextualSpacing/>
        <w:jc w:val="center"/>
        <w:rPr>
          <w:rFonts w:ascii="Arial" w:eastAsia="Times New Roman" w:hAnsi="Arial" w:cs="Arial"/>
          <w:iCs/>
          <w:szCs w:val="28"/>
          <w:lang w:eastAsia="ru-RU"/>
        </w:rPr>
      </w:pPr>
      <w:r w:rsidRPr="00511005">
        <w:rPr>
          <w:rFonts w:ascii="Arial" w:eastAsia="Times New Roman" w:hAnsi="Arial" w:cs="Arial"/>
          <w:b/>
          <w:bCs/>
          <w:iCs/>
          <w:szCs w:val="28"/>
          <w:lang w:val="uk-UA" w:eastAsia="ru-RU"/>
        </w:rPr>
        <w:t>Список використаних джерел</w:t>
      </w:r>
    </w:p>
    <w:p w14:paraId="6439714E" w14:textId="77777777" w:rsidR="00B67481" w:rsidRPr="00511005" w:rsidRDefault="00B67481" w:rsidP="003F6A5D">
      <w:pPr>
        <w:numPr>
          <w:ilvl w:val="0"/>
          <w:numId w:val="287"/>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Про схвалення Концепції реформування місцевого самоврядування та територіальної організації влади в Україні: розпорядження Кабінету Міністрів України від 01.04.2014 № 333-р. Дата оновлення: 01.04.2014. URL: https://zakon.rada.gov.ua/laws/show/333-2014-р (дата звернення: 08.05.2025).</w:t>
      </w:r>
    </w:p>
    <w:p w14:paraId="0ABCA0EB" w14:textId="77777777" w:rsidR="00B67481" w:rsidRPr="00511005" w:rsidRDefault="00B67481" w:rsidP="003F6A5D">
      <w:pPr>
        <w:numPr>
          <w:ilvl w:val="0"/>
          <w:numId w:val="287"/>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Європейська хартія місцевого самоврядування від 15.10.1985. Дата оновлення: 16.11.2009. URL: https://zakon.rada.gov.ua/laws/show/994_036 (дата звернення: 08.05.2025).</w:t>
      </w:r>
    </w:p>
    <w:p w14:paraId="01761A36" w14:textId="77777777" w:rsidR="00B67481" w:rsidRPr="00511005" w:rsidRDefault="00B67481" w:rsidP="003F6A5D">
      <w:pPr>
        <w:numPr>
          <w:ilvl w:val="0"/>
          <w:numId w:val="287"/>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shd w:val="clear" w:color="auto" w:fill="FFFFFF"/>
          <w:lang w:eastAsia="ru-RU"/>
        </w:rPr>
        <w:t xml:space="preserve">Квітка С.А. Принцип субсидіарності та процеси децентралізації в Україні. </w:t>
      </w:r>
      <w:r w:rsidRPr="00511005">
        <w:rPr>
          <w:rFonts w:ascii="Arial" w:eastAsia="Times New Roman" w:hAnsi="Arial" w:cs="Arial"/>
          <w:i/>
          <w:iCs/>
          <w:szCs w:val="28"/>
          <w:lang w:eastAsia="ru-RU"/>
        </w:rPr>
        <w:t>Аспекти публічного управління</w:t>
      </w:r>
      <w:r w:rsidRPr="00511005">
        <w:rPr>
          <w:rFonts w:ascii="Arial" w:eastAsia="Times New Roman" w:hAnsi="Arial" w:cs="Arial"/>
          <w:szCs w:val="28"/>
          <w:shd w:val="clear" w:color="auto" w:fill="FFFFFF"/>
          <w:lang w:eastAsia="ru-RU"/>
        </w:rPr>
        <w:t xml:space="preserve">. 2015. № 4 (18). С. 28-35. DOI: https://doi.org/10.15421/151530 </w:t>
      </w:r>
      <w:r w:rsidRPr="00511005">
        <w:rPr>
          <w:rFonts w:ascii="Arial" w:eastAsia="Times New Roman" w:hAnsi="Arial" w:cs="Arial"/>
          <w:szCs w:val="28"/>
          <w:lang w:eastAsia="ru-RU"/>
        </w:rPr>
        <w:t>(дата звернення: 08.05.2025).</w:t>
      </w:r>
    </w:p>
    <w:p w14:paraId="2AD83DFE" w14:textId="77777777" w:rsidR="00B67481" w:rsidRPr="00511005" w:rsidRDefault="00B67481" w:rsidP="003F6A5D">
      <w:pPr>
        <w:numPr>
          <w:ilvl w:val="0"/>
          <w:numId w:val="287"/>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Лесюк В.С. Децентралізація влади в Україні як механізм розвитку громад: наукова робота. Полтава, 2017. 43 с. URL: https://oblrada-pl.gov.ua/sites/default/files/field/projects/07.pdf (дата звернення: 08.05.2025).</w:t>
      </w:r>
    </w:p>
    <w:p w14:paraId="44CF11D7" w14:textId="77777777" w:rsidR="00B67481" w:rsidRPr="00511005" w:rsidRDefault="00B67481" w:rsidP="003A292D">
      <w:pPr>
        <w:widowControl w:val="0"/>
        <w:autoSpaceDE w:val="0"/>
        <w:autoSpaceDN w:val="0"/>
        <w:adjustRightInd w:val="0"/>
        <w:spacing w:line="264" w:lineRule="auto"/>
        <w:contextualSpacing/>
        <w:rPr>
          <w:rFonts w:ascii="Arial" w:eastAsia="Times New Roman" w:hAnsi="Arial" w:cs="Arial"/>
          <w:szCs w:val="28"/>
          <w:lang w:eastAsia="ru-RU"/>
        </w:rPr>
      </w:pPr>
    </w:p>
    <w:p w14:paraId="56EC3EE8" w14:textId="08811578" w:rsidR="00B67481" w:rsidRPr="00511005" w:rsidRDefault="007B2628" w:rsidP="003A292D">
      <w:pPr>
        <w:widowControl w:val="0"/>
        <w:autoSpaceDE w:val="0"/>
        <w:autoSpaceDN w:val="0"/>
        <w:adjustRightInd w:val="0"/>
        <w:spacing w:line="264" w:lineRule="auto"/>
        <w:contextualSpacing/>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B67481" w:rsidRPr="00511005">
        <w:rPr>
          <w:rFonts w:ascii="Arial" w:eastAsia="Times New Roman" w:hAnsi="Arial" w:cs="Arial"/>
          <w:szCs w:val="28"/>
          <w:lang w:eastAsia="ru-RU"/>
        </w:rPr>
        <w:t>децентралізація, адміністративне право, територіальні громади, публічне адміністрування, адміністративні послуги, місцеве самоврядування, субсидіарність.</w:t>
      </w:r>
    </w:p>
    <w:p w14:paraId="40362BB0" w14:textId="539B7DF4" w:rsidR="00B67481" w:rsidRPr="00511005" w:rsidRDefault="007B2628" w:rsidP="003A292D">
      <w:pPr>
        <w:widowControl w:val="0"/>
        <w:autoSpaceDE w:val="0"/>
        <w:autoSpaceDN w:val="0"/>
        <w:adjustRightInd w:val="0"/>
        <w:spacing w:line="264" w:lineRule="auto"/>
        <w:contextualSpacing/>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B67481" w:rsidRPr="00511005">
        <w:rPr>
          <w:rFonts w:ascii="Arial" w:eastAsia="Times New Roman" w:hAnsi="Arial" w:cs="Arial"/>
          <w:szCs w:val="28"/>
          <w:lang w:val="en-US" w:eastAsia="ru-RU"/>
        </w:rPr>
        <w:t>decentralization, administrative law, territorial communities, public administration, administrative services, local self-government, subsidiarity.</w:t>
      </w:r>
    </w:p>
    <w:p w14:paraId="7936DDDE" w14:textId="67EF9550" w:rsidR="00B67481" w:rsidRPr="00511005" w:rsidRDefault="007B2628" w:rsidP="003A292D">
      <w:pPr>
        <w:spacing w:line="264" w:lineRule="auto"/>
        <w:rPr>
          <w:rFonts w:ascii="Arial" w:eastAsia="Calibri" w:hAnsi="Arial" w:cs="Arial"/>
          <w:i/>
          <w:iCs/>
          <w:szCs w:val="28"/>
        </w:rPr>
      </w:pPr>
      <w:r w:rsidRPr="00511005">
        <w:rPr>
          <w:rFonts w:ascii="Arial" w:eastAsia="Calibri" w:hAnsi="Arial" w:cs="Arial"/>
          <w:b/>
          <w:i/>
          <w:iCs/>
          <w:szCs w:val="28"/>
        </w:rPr>
        <w:t xml:space="preserve">Науковий керівник: </w:t>
      </w:r>
      <w:r w:rsidR="00B67481" w:rsidRPr="00511005">
        <w:rPr>
          <w:rFonts w:ascii="Arial" w:eastAsia="Calibri" w:hAnsi="Arial" w:cs="Arial"/>
          <w:i/>
          <w:iCs/>
          <w:szCs w:val="28"/>
        </w:rPr>
        <w:t xml:space="preserve">доктор філософії </w:t>
      </w:r>
      <w:r w:rsidR="00B67481" w:rsidRPr="00511005">
        <w:rPr>
          <w:rFonts w:ascii="Arial" w:eastAsia="Calibri" w:hAnsi="Arial" w:cs="Arial"/>
          <w:i/>
          <w:iCs/>
          <w:szCs w:val="28"/>
          <w:lang w:val="uk-UA"/>
        </w:rPr>
        <w:t>(</w:t>
      </w:r>
      <w:r w:rsidR="00B67481" w:rsidRPr="00511005">
        <w:rPr>
          <w:rFonts w:ascii="Arial" w:eastAsia="Calibri" w:hAnsi="Arial" w:cs="Arial"/>
          <w:i/>
          <w:iCs/>
          <w:szCs w:val="28"/>
          <w:lang w:val="en-US"/>
        </w:rPr>
        <w:t>PhD</w:t>
      </w:r>
      <w:r w:rsidR="00B67481" w:rsidRPr="00511005">
        <w:rPr>
          <w:rFonts w:ascii="Arial" w:eastAsia="Calibri" w:hAnsi="Arial" w:cs="Arial"/>
          <w:i/>
          <w:iCs/>
          <w:szCs w:val="28"/>
          <w:lang w:val="uk-UA"/>
        </w:rPr>
        <w:t xml:space="preserve">) </w:t>
      </w:r>
      <w:r w:rsidR="00B67481" w:rsidRPr="00511005">
        <w:rPr>
          <w:rFonts w:ascii="Arial" w:eastAsia="Calibri" w:hAnsi="Arial" w:cs="Arial"/>
          <w:i/>
          <w:iCs/>
          <w:szCs w:val="28"/>
        </w:rPr>
        <w:t>в галузі права, доцент</w:t>
      </w:r>
      <w:r w:rsidR="00B67481" w:rsidRPr="00511005">
        <w:rPr>
          <w:rFonts w:ascii="Arial" w:eastAsia="Calibri" w:hAnsi="Arial" w:cs="Arial"/>
          <w:i/>
          <w:iCs/>
          <w:szCs w:val="28"/>
          <w:lang w:val="uk-UA"/>
        </w:rPr>
        <w:t xml:space="preserve"> кафедри</w:t>
      </w:r>
      <w:r w:rsidR="00B67481" w:rsidRPr="00511005">
        <w:rPr>
          <w:rFonts w:ascii="Arial" w:eastAsia="Calibri" w:hAnsi="Arial" w:cs="Arial"/>
          <w:i/>
          <w:iCs/>
          <w:szCs w:val="28"/>
        </w:rPr>
        <w:t xml:space="preserve"> Негара Р. В.</w:t>
      </w:r>
    </w:p>
    <w:p w14:paraId="48EA932C" w14:textId="77777777" w:rsidR="00B67481" w:rsidRPr="00511005" w:rsidRDefault="00B67481" w:rsidP="003A292D">
      <w:pPr>
        <w:spacing w:line="264" w:lineRule="auto"/>
        <w:ind w:firstLine="0"/>
        <w:jc w:val="left"/>
        <w:rPr>
          <w:rFonts w:ascii="Arial" w:eastAsia="Calibri" w:hAnsi="Arial" w:cs="Arial"/>
          <w:i/>
          <w:iCs/>
          <w:szCs w:val="28"/>
        </w:rPr>
      </w:pPr>
      <w:r w:rsidRPr="00511005">
        <w:rPr>
          <w:rFonts w:ascii="Arial" w:eastAsia="Calibri" w:hAnsi="Arial" w:cs="Arial"/>
          <w:i/>
          <w:iCs/>
          <w:szCs w:val="28"/>
        </w:rPr>
        <w:br w:type="page"/>
      </w:r>
    </w:p>
    <w:p w14:paraId="54EFCC43" w14:textId="773F84C4" w:rsidR="00DE2391" w:rsidRPr="00511005" w:rsidRDefault="00B6748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
          <w:i/>
          <w:szCs w:val="28"/>
        </w:rPr>
        <w:lastRenderedPageBreak/>
        <w:t>Чорногор Ангеліна Олегівна</w:t>
      </w:r>
      <w:r w:rsidRPr="00511005">
        <w:rPr>
          <w:rFonts w:ascii="Arial" w:eastAsia="Times New Roman" w:hAnsi="Arial" w:cs="Arial"/>
          <w:b/>
          <w:szCs w:val="28"/>
        </w:rPr>
        <w:br/>
      </w:r>
      <w:r w:rsidR="00536AAB" w:rsidRPr="00511005">
        <w:rPr>
          <w:rFonts w:ascii="Arial" w:eastAsia="Times New Roman" w:hAnsi="Arial" w:cs="Arial"/>
          <w:bCs/>
          <w:iCs/>
          <w:szCs w:val="28"/>
          <w:lang w:val="uk-UA" w:eastAsia="ru-RU"/>
        </w:rPr>
        <w:t xml:space="preserve">студентка 2-го курсу </w:t>
      </w:r>
    </w:p>
    <w:p w14:paraId="0E7C117E"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8B7B882"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AF96309" w14:textId="4B2E33BC" w:rsidR="00B67481" w:rsidRPr="00511005" w:rsidRDefault="00B67481" w:rsidP="00DE2391">
      <w:pPr>
        <w:spacing w:line="264" w:lineRule="auto"/>
        <w:ind w:firstLine="0"/>
        <w:contextualSpacing/>
        <w:jc w:val="center"/>
        <w:rPr>
          <w:rFonts w:ascii="Arial" w:eastAsia="Calibri" w:hAnsi="Arial" w:cs="Arial"/>
          <w:szCs w:val="28"/>
        </w:rPr>
      </w:pPr>
    </w:p>
    <w:p w14:paraId="7C592F5A" w14:textId="77777777" w:rsidR="00B67481" w:rsidRPr="00511005" w:rsidRDefault="00B67481"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rPr>
        <w:t>П</w:t>
      </w:r>
      <w:r w:rsidRPr="00511005">
        <w:rPr>
          <w:rFonts w:ascii="Arial" w:eastAsia="Calibri" w:hAnsi="Arial" w:cs="Arial"/>
          <w:b/>
          <w:bCs/>
          <w:szCs w:val="28"/>
          <w:lang w:val="uk-UA"/>
        </w:rPr>
        <w:t>ЕРЕКОНАННЯ ЯК МЕТОД ПУБЛІЧНОГО АДМІНІСТРУВАННЯ</w:t>
      </w:r>
    </w:p>
    <w:p w14:paraId="047A7CDF"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lang w:val="uk-UA"/>
        </w:rPr>
        <w:t xml:space="preserve">Переконання є одним з найважливіших інструментів публічного адміністрування, оскільки воно дозволяє ефективно впливати на громадську думку та забезпечувати підтримку державної політики. </w:t>
      </w:r>
      <w:r w:rsidRPr="00511005">
        <w:rPr>
          <w:rFonts w:ascii="Arial" w:eastAsia="Calibri" w:hAnsi="Arial" w:cs="Arial"/>
          <w:szCs w:val="28"/>
        </w:rPr>
        <w:t>У сучасному світі державна влада повинна бути здатна переконувати громадян у правильності своїх рішень, щоб підвищити рівень довіри та підтримки серед населення. У цьому контексті аналіз методів переконання та їхньої ефективності є вкрай важливим для вдосконалення процесів публічного адміністрування та забезпечення прозорості державної діяльності.</w:t>
      </w:r>
    </w:p>
    <w:p w14:paraId="6A151D26" w14:textId="11FF12F2"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Переконання у юридичній літературі не має єдиного чіткого визначення. За В.В. Волинцем, це просоціальна категорія, що виникла в процесі спілкування між людьми і слугує способом реалізації влади. Воно ґрунтується на авторитеті держави, Конституції та законів України, а також на свідомому ставленні громадян до своїх обов’язків. Переконання є результатом інтелектуальної дії, що активує лінгвопсихологічний аспект юридичної аргументації, і спрямоване на формування внутрішньої потреби дотримуватися правових норм. Воно включає вплив на свідомість і волю людей, забезпечуючи добровільне виконання юридичних приписів, що робить його пріоритетним методом впливу у публічній адміністрації. [</w:t>
      </w:r>
      <w:r w:rsidRPr="00511005">
        <w:rPr>
          <w:rFonts w:ascii="Arial" w:eastAsia="Calibri" w:hAnsi="Arial" w:cs="Arial"/>
          <w:szCs w:val="28"/>
        </w:rPr>
        <w:fldChar w:fldCharType="begin"/>
      </w:r>
      <w:r w:rsidRPr="00511005">
        <w:rPr>
          <w:rFonts w:ascii="Arial" w:eastAsia="Calibri" w:hAnsi="Arial" w:cs="Arial"/>
          <w:szCs w:val="28"/>
        </w:rPr>
        <w:instrText xml:space="preserve"> REF _Ref195108582 \r \h </w:instrText>
      </w:r>
      <w:r w:rsidR="008F5AF9" w:rsidRPr="00511005">
        <w:rPr>
          <w:rFonts w:ascii="Arial" w:eastAsia="Calibri" w:hAnsi="Arial" w:cs="Arial"/>
          <w:szCs w:val="28"/>
        </w:rPr>
        <w:instrText xml:space="preserve"> \* MERGEFORMAT </w:instrText>
      </w:r>
      <w:r w:rsidRPr="00511005">
        <w:rPr>
          <w:rFonts w:ascii="Arial" w:eastAsia="Calibri" w:hAnsi="Arial" w:cs="Arial"/>
          <w:szCs w:val="28"/>
        </w:rPr>
      </w:r>
      <w:r w:rsidRPr="00511005">
        <w:rPr>
          <w:rFonts w:ascii="Arial" w:eastAsia="Calibri" w:hAnsi="Arial" w:cs="Arial"/>
          <w:szCs w:val="28"/>
        </w:rPr>
        <w:fldChar w:fldCharType="separate"/>
      </w:r>
      <w:r w:rsidR="006F7CE5">
        <w:rPr>
          <w:rFonts w:ascii="Arial" w:eastAsia="Calibri" w:hAnsi="Arial" w:cs="Arial"/>
          <w:szCs w:val="28"/>
        </w:rPr>
        <w:t>1</w:t>
      </w:r>
      <w:r w:rsidRPr="00511005">
        <w:rPr>
          <w:rFonts w:ascii="Arial" w:eastAsia="Calibri" w:hAnsi="Arial" w:cs="Arial"/>
          <w:szCs w:val="28"/>
        </w:rPr>
        <w:fldChar w:fldCharType="end"/>
      </w:r>
      <w:r w:rsidRPr="00511005">
        <w:rPr>
          <w:rFonts w:ascii="Arial" w:eastAsia="Calibri" w:hAnsi="Arial" w:cs="Arial"/>
          <w:szCs w:val="28"/>
          <w:lang w:val="uk-UA"/>
        </w:rPr>
        <w:t>, с.93</w:t>
      </w:r>
      <w:r w:rsidRPr="00511005">
        <w:rPr>
          <w:rFonts w:ascii="Arial" w:eastAsia="Calibri" w:hAnsi="Arial" w:cs="Arial"/>
          <w:szCs w:val="28"/>
        </w:rPr>
        <w:t>]</w:t>
      </w:r>
    </w:p>
    <w:p w14:paraId="470C261A" w14:textId="21E4D692"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Переконання — це активний і систематичний вплив на свідомість і поведінку людей, спрямований на добровільне дотримання правових норм. Цей метод адміністративного впливу, який може бути як правовим, так і неправовим, передбачає свідоме застосування моральних, психологічних і матеріальних засобів для формування у громадян правової свідомості, звички дотримуватися законів і профілактики правопорушень. Переконання реалізується через роз’яснення завдань державного управління, виховання, заохочення та інші заходи, що підвищують організованість і дисципліну населення. Воно забезпечує єдність волі законодавця і громадян, сприяє добровільному виконанню приписів і є економічно вигідним порівняно з примусом. Цей метод широко застосовується в публічній адміністрації для формування внутрішньої мотивації до правомірної поведінки та активної участі громадян у виконанні державних </w:t>
      </w:r>
      <w:proofErr w:type="gramStart"/>
      <w:r w:rsidRPr="00511005">
        <w:rPr>
          <w:rFonts w:ascii="Arial" w:eastAsia="Calibri" w:hAnsi="Arial" w:cs="Arial"/>
          <w:szCs w:val="28"/>
        </w:rPr>
        <w:t>завдань</w:t>
      </w:r>
      <w:r w:rsidRPr="00511005">
        <w:rPr>
          <w:rFonts w:ascii="Arial" w:eastAsia="Calibri" w:hAnsi="Arial" w:cs="Arial"/>
          <w:szCs w:val="28"/>
          <w:lang w:val="uk-UA"/>
        </w:rPr>
        <w:t>.</w:t>
      </w:r>
      <w:r w:rsidRPr="00511005">
        <w:rPr>
          <w:rFonts w:ascii="Arial" w:eastAsia="Calibri" w:hAnsi="Arial" w:cs="Arial"/>
          <w:szCs w:val="28"/>
        </w:rPr>
        <w:t>[</w:t>
      </w:r>
      <w:proofErr w:type="gramEnd"/>
      <w:r w:rsidRPr="00511005">
        <w:rPr>
          <w:rFonts w:ascii="Arial" w:eastAsia="Calibri" w:hAnsi="Arial" w:cs="Arial"/>
          <w:szCs w:val="28"/>
        </w:rPr>
        <w:fldChar w:fldCharType="begin"/>
      </w:r>
      <w:r w:rsidRPr="00511005">
        <w:rPr>
          <w:rFonts w:ascii="Arial" w:eastAsia="Calibri" w:hAnsi="Arial" w:cs="Arial"/>
          <w:szCs w:val="28"/>
        </w:rPr>
        <w:instrText xml:space="preserve"> REF _Ref195108676 \r \h </w:instrText>
      </w:r>
      <w:r w:rsidR="008F5AF9" w:rsidRPr="00511005">
        <w:rPr>
          <w:rFonts w:ascii="Arial" w:eastAsia="Calibri" w:hAnsi="Arial" w:cs="Arial"/>
          <w:szCs w:val="28"/>
        </w:rPr>
        <w:instrText xml:space="preserve"> \* MERGEFORMAT </w:instrText>
      </w:r>
      <w:r w:rsidRPr="00511005">
        <w:rPr>
          <w:rFonts w:ascii="Arial" w:eastAsia="Calibri" w:hAnsi="Arial" w:cs="Arial"/>
          <w:szCs w:val="28"/>
        </w:rPr>
      </w:r>
      <w:r w:rsidRPr="00511005">
        <w:rPr>
          <w:rFonts w:ascii="Arial" w:eastAsia="Calibri" w:hAnsi="Arial" w:cs="Arial"/>
          <w:szCs w:val="28"/>
        </w:rPr>
        <w:fldChar w:fldCharType="separate"/>
      </w:r>
      <w:r w:rsidR="006F7CE5">
        <w:rPr>
          <w:rFonts w:ascii="Arial" w:eastAsia="Calibri" w:hAnsi="Arial" w:cs="Arial"/>
          <w:szCs w:val="28"/>
        </w:rPr>
        <w:t>2</w:t>
      </w:r>
      <w:r w:rsidRPr="00511005">
        <w:rPr>
          <w:rFonts w:ascii="Arial" w:eastAsia="Calibri" w:hAnsi="Arial" w:cs="Arial"/>
          <w:szCs w:val="28"/>
        </w:rPr>
        <w:fldChar w:fldCharType="end"/>
      </w:r>
      <w:r w:rsidRPr="00511005">
        <w:rPr>
          <w:rFonts w:ascii="Arial" w:eastAsia="Calibri" w:hAnsi="Arial" w:cs="Arial"/>
          <w:szCs w:val="28"/>
          <w:lang w:val="uk-UA"/>
        </w:rPr>
        <w:t>, с.175</w:t>
      </w:r>
      <w:r w:rsidRPr="00511005">
        <w:rPr>
          <w:rFonts w:ascii="Arial" w:eastAsia="Calibri" w:hAnsi="Arial" w:cs="Arial"/>
          <w:szCs w:val="28"/>
        </w:rPr>
        <w:t>]</w:t>
      </w:r>
    </w:p>
    <w:p w14:paraId="381E917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Переконання в публічному адмініструванні — це послідовний процес дій, що включає правові та неправові заходи, спрямовані на оволодіння увагою громадян, вплив на їхню свідомість та емоції, а також створення інтересу до державної діяльності. Громадяни</w:t>
      </w:r>
      <w:r w:rsidRPr="00511005">
        <w:rPr>
          <w:rFonts w:ascii="Arial" w:eastAsia="Calibri" w:hAnsi="Arial" w:cs="Arial"/>
          <w:szCs w:val="28"/>
          <w:lang w:val="uk-UA"/>
        </w:rPr>
        <w:t xml:space="preserve"> (України)</w:t>
      </w:r>
      <w:r w:rsidRPr="00511005">
        <w:rPr>
          <w:rFonts w:ascii="Arial" w:eastAsia="Calibri" w:hAnsi="Arial" w:cs="Arial"/>
          <w:szCs w:val="28"/>
        </w:rPr>
        <w:t xml:space="preserve"> добровільно підпорядковуються юридичним актам, </w:t>
      </w:r>
      <w:r w:rsidRPr="00511005">
        <w:rPr>
          <w:rFonts w:ascii="Arial" w:eastAsia="Calibri" w:hAnsi="Arial" w:cs="Arial"/>
          <w:szCs w:val="28"/>
          <w:lang w:val="uk-UA"/>
        </w:rPr>
        <w:t>коли</w:t>
      </w:r>
      <w:r w:rsidRPr="00511005">
        <w:rPr>
          <w:rFonts w:ascii="Arial" w:eastAsia="Calibri" w:hAnsi="Arial" w:cs="Arial"/>
          <w:szCs w:val="28"/>
        </w:rPr>
        <w:t xml:space="preserve"> розуміють цілі державної </w:t>
      </w:r>
      <w:r w:rsidRPr="00511005">
        <w:rPr>
          <w:rFonts w:ascii="Arial" w:eastAsia="Calibri" w:hAnsi="Arial" w:cs="Arial"/>
          <w:szCs w:val="28"/>
        </w:rPr>
        <w:lastRenderedPageBreak/>
        <w:t xml:space="preserve">діяльності та схвалюють їх. Переконання </w:t>
      </w:r>
      <w:r w:rsidRPr="00511005">
        <w:rPr>
          <w:rFonts w:ascii="Arial" w:eastAsia="Calibri" w:hAnsi="Arial" w:cs="Arial"/>
          <w:szCs w:val="28"/>
          <w:lang w:val="uk-UA"/>
        </w:rPr>
        <w:t>являється</w:t>
      </w:r>
      <w:r w:rsidRPr="00511005">
        <w:rPr>
          <w:rFonts w:ascii="Arial" w:eastAsia="Calibri" w:hAnsi="Arial" w:cs="Arial"/>
          <w:szCs w:val="28"/>
        </w:rPr>
        <w:t xml:space="preserve"> пріоритетним методом впливу публічної адміністрації, </w:t>
      </w:r>
      <w:r w:rsidRPr="00511005">
        <w:rPr>
          <w:rFonts w:ascii="Arial" w:eastAsia="Calibri" w:hAnsi="Arial" w:cs="Arial"/>
          <w:szCs w:val="28"/>
          <w:lang w:val="uk-UA"/>
        </w:rPr>
        <w:t>так як</w:t>
      </w:r>
      <w:r w:rsidRPr="00511005">
        <w:rPr>
          <w:rFonts w:ascii="Arial" w:eastAsia="Calibri" w:hAnsi="Arial" w:cs="Arial"/>
          <w:szCs w:val="28"/>
        </w:rPr>
        <w:t xml:space="preserve"> забезпечує добровільне виконання приписів без значних фінансових витрат, на відміну від адміністративного примусу. Розвинута система засобів масової інформації сприяє цьому процесу, забезпечуючи оперативне інформування громадян про прийняті акти та заходи держави</w:t>
      </w:r>
    </w:p>
    <w:p w14:paraId="07BFF3F4" w14:textId="51696E1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О.М. Бандурка визначає переконання як комплекс заходів правового та неправового характеру, які реалізуються державними і громадськими органами. Ці заходи включають виховні, роз’яснювальні та заохочувальні методи, спрямовані на формування у громадян усвідомлення необхідності дотримання законів і нормативних актів. Переконання виступає засобом вироблення свідомого і добровільного виконання правових приписів, впливаючи на свідомість і поведінку людей, що є основою ефективного функціонування публічного управління. Метою цього методу є формування внутрішнього визнання суспільством справедливості нормативних норм, які захищають права і свободи громадян, а також забезпечення можливості їх удосконалення через суспільний </w:t>
      </w:r>
      <w:proofErr w:type="gramStart"/>
      <w:r w:rsidRPr="00511005">
        <w:rPr>
          <w:rFonts w:ascii="Arial" w:eastAsia="Calibri" w:hAnsi="Arial" w:cs="Arial"/>
          <w:szCs w:val="28"/>
        </w:rPr>
        <w:t>впл</w:t>
      </w:r>
      <w:r w:rsidRPr="00511005">
        <w:rPr>
          <w:rFonts w:ascii="Arial" w:eastAsia="Calibri" w:hAnsi="Arial" w:cs="Arial"/>
          <w:szCs w:val="28"/>
          <w:lang w:val="uk-UA"/>
        </w:rPr>
        <w:t>ив.</w:t>
      </w:r>
      <w:r w:rsidRPr="00511005">
        <w:rPr>
          <w:rFonts w:ascii="Arial" w:eastAsia="Calibri" w:hAnsi="Arial" w:cs="Arial"/>
          <w:szCs w:val="28"/>
        </w:rPr>
        <w:t>[</w:t>
      </w:r>
      <w:proofErr w:type="gramEnd"/>
      <w:r w:rsidRPr="00511005">
        <w:rPr>
          <w:rFonts w:ascii="Arial" w:eastAsia="Calibri" w:hAnsi="Arial" w:cs="Arial"/>
          <w:szCs w:val="28"/>
        </w:rPr>
        <w:fldChar w:fldCharType="begin"/>
      </w:r>
      <w:r w:rsidRPr="00511005">
        <w:rPr>
          <w:rFonts w:ascii="Arial" w:eastAsia="Calibri" w:hAnsi="Arial" w:cs="Arial"/>
          <w:szCs w:val="28"/>
        </w:rPr>
        <w:instrText xml:space="preserve"> REF _Ref195108864 \r \h </w:instrText>
      </w:r>
      <w:r w:rsidR="008F5AF9" w:rsidRPr="00511005">
        <w:rPr>
          <w:rFonts w:ascii="Arial" w:eastAsia="Calibri" w:hAnsi="Arial" w:cs="Arial"/>
          <w:szCs w:val="28"/>
        </w:rPr>
        <w:instrText xml:space="preserve"> \* MERGEFORMAT </w:instrText>
      </w:r>
      <w:r w:rsidRPr="00511005">
        <w:rPr>
          <w:rFonts w:ascii="Arial" w:eastAsia="Calibri" w:hAnsi="Arial" w:cs="Arial"/>
          <w:szCs w:val="28"/>
        </w:rPr>
      </w:r>
      <w:r w:rsidRPr="00511005">
        <w:rPr>
          <w:rFonts w:ascii="Arial" w:eastAsia="Calibri" w:hAnsi="Arial" w:cs="Arial"/>
          <w:szCs w:val="28"/>
        </w:rPr>
        <w:fldChar w:fldCharType="separate"/>
      </w:r>
      <w:r w:rsidR="006F7CE5">
        <w:rPr>
          <w:rFonts w:ascii="Arial" w:eastAsia="Calibri" w:hAnsi="Arial" w:cs="Arial"/>
          <w:szCs w:val="28"/>
        </w:rPr>
        <w:t>3</w:t>
      </w:r>
      <w:r w:rsidRPr="00511005">
        <w:rPr>
          <w:rFonts w:ascii="Arial" w:eastAsia="Calibri" w:hAnsi="Arial" w:cs="Arial"/>
          <w:szCs w:val="28"/>
        </w:rPr>
        <w:fldChar w:fldCharType="end"/>
      </w:r>
      <w:r w:rsidRPr="00511005">
        <w:rPr>
          <w:rFonts w:ascii="Arial" w:eastAsia="Calibri" w:hAnsi="Arial" w:cs="Arial"/>
          <w:szCs w:val="28"/>
        </w:rPr>
        <w:t>]</w:t>
      </w:r>
    </w:p>
    <w:p w14:paraId="029847C3" w14:textId="77777777" w:rsidR="007B2628"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Практичне застосування методу переконання у публічному адмініструванні включає кілька ключових форм. Аналіз літературних джерел та нормативно-правових актів показує, що до основних форм цього методу належать:</w:t>
      </w:r>
    </w:p>
    <w:p w14:paraId="1F0C0A7C" w14:textId="77777777" w:rsidR="007B2628"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1. Інформаційно-роз’яснювальна робота: проведення інформаційних кампаній та роз’яснення законодавства для підвищення правової свідомості громадян.</w:t>
      </w:r>
    </w:p>
    <w:p w14:paraId="54ED22F5" w14:textId="2705A808"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2. Індивідуальне консультування: надання консультацій щодо питань публічного адміністрування для забезпечення розуміння громадянами їхніх прав та обов’язків.</w:t>
      </w:r>
    </w:p>
    <w:p w14:paraId="56E6A71D" w14:textId="77777777" w:rsidR="007B2628"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3. Правове виховання: проведення освітніх програм для формування правової культури та свідомості серед населення.</w:t>
      </w:r>
    </w:p>
    <w:p w14:paraId="79112D05" w14:textId="2BFAFDC8"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4. Висвітлення діяльності державних органів: інформування громадськості про діяльність органів влади та успішний досвід боротьби з правопорушеннями.</w:t>
      </w:r>
    </w:p>
    <w:p w14:paraId="22F91F17" w14:textId="32338815"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Крім того, до форм методу переконання належать постійне інформування населення про законодавчі зміни, індивідуальна та масова виховна робота, застосування заходів заохочення, а також робота з особами, схильними до девіантної поведінки.[</w:t>
      </w:r>
      <w:r w:rsidRPr="00511005">
        <w:rPr>
          <w:rFonts w:ascii="Arial" w:eastAsia="Calibri" w:hAnsi="Arial" w:cs="Arial"/>
          <w:szCs w:val="28"/>
        </w:rPr>
        <w:fldChar w:fldCharType="begin"/>
      </w:r>
      <w:r w:rsidRPr="00511005">
        <w:rPr>
          <w:rFonts w:ascii="Arial" w:eastAsia="Calibri" w:hAnsi="Arial" w:cs="Arial"/>
          <w:szCs w:val="28"/>
        </w:rPr>
        <w:instrText xml:space="preserve"> REF _Ref195109054 \r \h </w:instrText>
      </w:r>
      <w:r w:rsidR="008F5AF9" w:rsidRPr="00511005">
        <w:rPr>
          <w:rFonts w:ascii="Arial" w:eastAsia="Calibri" w:hAnsi="Arial" w:cs="Arial"/>
          <w:szCs w:val="28"/>
        </w:rPr>
        <w:instrText xml:space="preserve"> \* MERGEFORMAT </w:instrText>
      </w:r>
      <w:r w:rsidRPr="00511005">
        <w:rPr>
          <w:rFonts w:ascii="Arial" w:eastAsia="Calibri" w:hAnsi="Arial" w:cs="Arial"/>
          <w:szCs w:val="28"/>
        </w:rPr>
      </w:r>
      <w:r w:rsidRPr="00511005">
        <w:rPr>
          <w:rFonts w:ascii="Arial" w:eastAsia="Calibri" w:hAnsi="Arial" w:cs="Arial"/>
          <w:szCs w:val="28"/>
        </w:rPr>
        <w:fldChar w:fldCharType="separate"/>
      </w:r>
      <w:r w:rsidR="006F7CE5">
        <w:rPr>
          <w:rFonts w:ascii="Arial" w:eastAsia="Calibri" w:hAnsi="Arial" w:cs="Arial"/>
          <w:szCs w:val="28"/>
        </w:rPr>
        <w:t>4</w:t>
      </w:r>
      <w:r w:rsidRPr="00511005">
        <w:rPr>
          <w:rFonts w:ascii="Arial" w:eastAsia="Calibri" w:hAnsi="Arial" w:cs="Arial"/>
          <w:szCs w:val="28"/>
        </w:rPr>
        <w:fldChar w:fldCharType="end"/>
      </w:r>
      <w:r w:rsidRPr="00511005">
        <w:rPr>
          <w:rFonts w:ascii="Arial" w:eastAsia="Calibri" w:hAnsi="Arial" w:cs="Arial"/>
          <w:szCs w:val="28"/>
        </w:rPr>
        <w:t>]</w:t>
      </w:r>
    </w:p>
    <w:p w14:paraId="4A2A7C03"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До форм методу переконання в сфері публічного адміністрування також належить індивідуальне консультування з різних питань. На прикладі діяльності Державної податкової служби України можна виділити наступні засоби проведення такого консультування:</w:t>
      </w:r>
    </w:p>
    <w:p w14:paraId="1D5B0455" w14:textId="77777777" w:rsidR="007B2628"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lastRenderedPageBreak/>
        <w:t>Діяльність контакт-центру Державної податкової служби України: надання консультацій громадянам через телефонні лінії та інші канали зв’язку.</w:t>
      </w:r>
    </w:p>
    <w:p w14:paraId="06DB0120" w14:textId="69A5EBFC" w:rsidR="00B67481" w:rsidRPr="00511005" w:rsidRDefault="00B67481" w:rsidP="003F6A5D">
      <w:pPr>
        <w:numPr>
          <w:ilvl w:val="0"/>
          <w:numId w:val="26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Індивідуальні податкові консультації на запити платників податків: надання роз’яснень щодо застосування податкового законодавства за запитами окремих платників податків.</w:t>
      </w:r>
    </w:p>
    <w:p w14:paraId="749EA603" w14:textId="77777777" w:rsidR="007B2628" w:rsidRPr="00511005" w:rsidRDefault="00B67481" w:rsidP="003F6A5D">
      <w:pPr>
        <w:numPr>
          <w:ilvl w:val="0"/>
          <w:numId w:val="26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Консультативна робота податкових інспекторів під час проведення податкового контролю: надання консультацій щодо дотримання податкового законодавства під час проведення контролю щодо конкретних платників податк</w:t>
      </w:r>
      <w:r w:rsidRPr="00511005">
        <w:rPr>
          <w:rFonts w:ascii="Arial" w:eastAsia="Times New Roman" w:hAnsi="Arial" w:cs="Arial"/>
          <w:szCs w:val="28"/>
          <w:lang w:val="uk-UA" w:eastAsia="ru-RU"/>
        </w:rPr>
        <w:t>ів.</w:t>
      </w:r>
    </w:p>
    <w:p w14:paraId="5B18F60E" w14:textId="3D5E5B80"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З розгляду питань про застосування форм методу переконання, правове виховання є систематизованим і активним впливом на свідомість та поведінку осіб за допомогою проведення ідеологічно-виховних заходів. Основною метою правового виховання є надання людям необхідних юридичних знань та навчання поважати й дотримуватися законів та підзаконних актів, що сприяє формуванню високого рівня правової культури та зменшенню кількості правопо [</w:t>
      </w:r>
      <w:r w:rsidRPr="00511005">
        <w:rPr>
          <w:rFonts w:ascii="Arial" w:eastAsia="Calibri" w:hAnsi="Arial" w:cs="Arial"/>
          <w:szCs w:val="28"/>
        </w:rPr>
        <w:fldChar w:fldCharType="begin"/>
      </w:r>
      <w:r w:rsidRPr="00511005">
        <w:rPr>
          <w:rFonts w:ascii="Arial" w:eastAsia="Calibri" w:hAnsi="Arial" w:cs="Arial"/>
          <w:szCs w:val="28"/>
        </w:rPr>
        <w:instrText xml:space="preserve"> REF _Ref195109237 \r \h </w:instrText>
      </w:r>
      <w:r w:rsidR="008F5AF9" w:rsidRPr="00511005">
        <w:rPr>
          <w:rFonts w:ascii="Arial" w:eastAsia="Calibri" w:hAnsi="Arial" w:cs="Arial"/>
          <w:szCs w:val="28"/>
        </w:rPr>
        <w:instrText xml:space="preserve"> \* MERGEFORMAT </w:instrText>
      </w:r>
      <w:r w:rsidRPr="00511005">
        <w:rPr>
          <w:rFonts w:ascii="Arial" w:eastAsia="Calibri" w:hAnsi="Arial" w:cs="Arial"/>
          <w:szCs w:val="28"/>
        </w:rPr>
      </w:r>
      <w:r w:rsidRPr="00511005">
        <w:rPr>
          <w:rFonts w:ascii="Arial" w:eastAsia="Calibri" w:hAnsi="Arial" w:cs="Arial"/>
          <w:szCs w:val="28"/>
        </w:rPr>
        <w:fldChar w:fldCharType="separate"/>
      </w:r>
      <w:r w:rsidR="006F7CE5">
        <w:rPr>
          <w:rFonts w:ascii="Arial" w:eastAsia="Calibri" w:hAnsi="Arial" w:cs="Arial"/>
          <w:szCs w:val="28"/>
        </w:rPr>
        <w:t>5</w:t>
      </w:r>
      <w:r w:rsidRPr="00511005">
        <w:rPr>
          <w:rFonts w:ascii="Arial" w:eastAsia="Calibri" w:hAnsi="Arial" w:cs="Arial"/>
          <w:szCs w:val="28"/>
        </w:rPr>
        <w:fldChar w:fldCharType="end"/>
      </w:r>
      <w:r w:rsidRPr="00511005">
        <w:rPr>
          <w:rFonts w:ascii="Arial" w:eastAsia="Calibri" w:hAnsi="Arial" w:cs="Arial"/>
          <w:szCs w:val="28"/>
          <w:lang w:val="uk-UA"/>
        </w:rPr>
        <w:t>, с.479-480</w:t>
      </w:r>
      <w:r w:rsidRPr="00511005">
        <w:rPr>
          <w:rFonts w:ascii="Arial" w:eastAsia="Calibri" w:hAnsi="Arial" w:cs="Arial"/>
          <w:szCs w:val="28"/>
        </w:rPr>
        <w:t>]</w:t>
      </w:r>
    </w:p>
    <w:p w14:paraId="67A4563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Прикладом використання методів переконання в діяльності публічної адміністрації </w:t>
      </w:r>
      <w:r w:rsidRPr="00511005">
        <w:rPr>
          <w:rFonts w:ascii="Arial" w:eastAsia="Calibri" w:hAnsi="Arial" w:cs="Arial"/>
          <w:szCs w:val="28"/>
          <w:lang w:val="uk-UA"/>
        </w:rPr>
        <w:t xml:space="preserve">також </w:t>
      </w:r>
      <w:r w:rsidRPr="00511005">
        <w:rPr>
          <w:rFonts w:ascii="Arial" w:eastAsia="Calibri" w:hAnsi="Arial" w:cs="Arial"/>
          <w:szCs w:val="28"/>
        </w:rPr>
        <w:t>можуть бути такі дії: постанова Кабінету Міністрів України № 411 від 13 квітня 2011 р. щодо навчання студентів за кордоном та листи Національного банку України щодо роз’яснення законодавства. Не менш суттєве значення мають інформування про досягнення публічної адміністрації на всіх рівнях, створення дієвих програм соціально-економічного розвитку та проведення публічних слухань. Наприклад, був затверджений Національний план дій щодо економічних реформ та порядок інформування громадськості про протидію корупції. Цей порядок передбачає розміщення інформації про державні органи та заходи щодо протидії корупції на інформаційних стендах, веб-сайтах та у засобах масової інформації. Крім того, проводяться просвітницькі заходи, такі як конференції та прес-конференції, для інформування громадськості про результати роботи органів влади. Такі дії сприяють підвищенню довіри населення до органів влади шляхом прозорості та освіти.</w:t>
      </w:r>
    </w:p>
    <w:p w14:paraId="268D7C97"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Переконання є важливим методом публічного адміністрування, який полягає у систематичному впливі на свідомість та поведінку громадян з метою добровільного виконання правових приписів. Воно включає застосування заходів правового та неправового характеру, спрямованих на формування правової свідомості та профілактику правопорушень.</w:t>
      </w:r>
    </w:p>
    <w:p w14:paraId="1CF16E3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Основними формами методу переконання є інформаційно-роз’яснювальна робота, індивідуальне консультування, правове виховання та висвітлення діяльності державних органів. Індивідуальне консультування, наприклад, здійснюється через діяльність контакт-центрів </w:t>
      </w:r>
      <w:r w:rsidRPr="00511005">
        <w:rPr>
          <w:rFonts w:ascii="Arial" w:eastAsia="Calibri" w:hAnsi="Arial" w:cs="Arial"/>
          <w:szCs w:val="28"/>
        </w:rPr>
        <w:lastRenderedPageBreak/>
        <w:t>державних органів, таких як Державна податкова служба України, де консультують платників податків щодо податкового законодавства.</w:t>
      </w:r>
    </w:p>
    <w:p w14:paraId="751D369F"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Правове виховання </w:t>
      </w:r>
      <w:r w:rsidRPr="00511005">
        <w:rPr>
          <w:rFonts w:ascii="Arial" w:eastAsia="Calibri" w:hAnsi="Arial" w:cs="Arial"/>
          <w:szCs w:val="28"/>
          <w:lang w:val="uk-UA"/>
        </w:rPr>
        <w:t>це</w:t>
      </w:r>
      <w:r w:rsidRPr="00511005">
        <w:rPr>
          <w:rFonts w:ascii="Arial" w:eastAsia="Calibri" w:hAnsi="Arial" w:cs="Arial"/>
          <w:szCs w:val="28"/>
        </w:rPr>
        <w:t xml:space="preserve"> систематизован</w:t>
      </w:r>
      <w:r w:rsidRPr="00511005">
        <w:rPr>
          <w:rFonts w:ascii="Arial" w:eastAsia="Calibri" w:hAnsi="Arial" w:cs="Arial"/>
          <w:szCs w:val="28"/>
          <w:lang w:val="uk-UA"/>
        </w:rPr>
        <w:t>ий</w:t>
      </w:r>
      <w:r w:rsidRPr="00511005">
        <w:rPr>
          <w:rFonts w:ascii="Arial" w:eastAsia="Calibri" w:hAnsi="Arial" w:cs="Arial"/>
          <w:szCs w:val="28"/>
        </w:rPr>
        <w:t xml:space="preserve"> впливом на свідомість осіб за допомогою проведення</w:t>
      </w:r>
      <w:r w:rsidRPr="00511005">
        <w:rPr>
          <w:rFonts w:ascii="Arial" w:eastAsia="Calibri" w:hAnsi="Arial" w:cs="Arial"/>
          <w:szCs w:val="28"/>
          <w:lang w:val="uk-UA"/>
        </w:rPr>
        <w:t xml:space="preserve"> певних</w:t>
      </w:r>
      <w:r w:rsidRPr="00511005">
        <w:rPr>
          <w:rFonts w:ascii="Arial" w:eastAsia="Calibri" w:hAnsi="Arial" w:cs="Arial"/>
          <w:szCs w:val="28"/>
        </w:rPr>
        <w:t xml:space="preserve"> ідеологічно-виховних заходів. Його основна мета полягає у наданні людям необхідних юридичних знань та навчанні їх поважати й дотримуватися законів, що сприяє формуванню високого рівня правової культури та зменшенню кількості правопорушень.</w:t>
      </w:r>
    </w:p>
    <w:p w14:paraId="7CC57662"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У сучасному суспільстві ефективність методу переконання залежить від рівня довіри населення до державної влади та якості інформації, яку вона надає. Переконання дозволяє підвищити рівень підтримки державної політики та сприяє більшій соціальній згоді серед населення.</w:t>
      </w:r>
    </w:p>
    <w:p w14:paraId="3E5B7AEC" w14:textId="77777777" w:rsidR="00B67481" w:rsidRPr="00511005" w:rsidRDefault="00B67481" w:rsidP="003A292D">
      <w:pPr>
        <w:spacing w:line="264" w:lineRule="auto"/>
        <w:rPr>
          <w:rFonts w:ascii="Arial" w:eastAsia="Calibri" w:hAnsi="Arial" w:cs="Arial"/>
          <w:szCs w:val="28"/>
          <w:lang w:val="uk-UA"/>
        </w:rPr>
      </w:pPr>
    </w:p>
    <w:p w14:paraId="56878A2C" w14:textId="6341B56B" w:rsidR="00B67481" w:rsidRPr="00511005" w:rsidRDefault="007B2628" w:rsidP="007B2628">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28CC9D0B" w14:textId="77777777" w:rsidR="00B67481" w:rsidRPr="00511005" w:rsidRDefault="00B67481" w:rsidP="003F6A5D">
      <w:pPr>
        <w:numPr>
          <w:ilvl w:val="0"/>
          <w:numId w:val="263"/>
        </w:numPr>
        <w:spacing w:line="264" w:lineRule="auto"/>
        <w:ind w:left="0" w:firstLine="709"/>
        <w:contextualSpacing/>
        <w:jc w:val="left"/>
        <w:rPr>
          <w:rFonts w:ascii="Arial" w:eastAsia="Times New Roman" w:hAnsi="Arial" w:cs="Arial"/>
          <w:szCs w:val="28"/>
          <w:lang w:val="uk-UA" w:eastAsia="ru-RU"/>
        </w:rPr>
      </w:pPr>
      <w:bookmarkStart w:id="129" w:name="_Ref195108582"/>
      <w:r w:rsidRPr="00511005">
        <w:rPr>
          <w:rFonts w:ascii="Arial" w:eastAsia="Times New Roman" w:hAnsi="Arial" w:cs="Arial"/>
          <w:szCs w:val="28"/>
          <w:lang w:val="uk-UA" w:eastAsia="ru-RU"/>
        </w:rPr>
        <w:t>Волинець В.В. Засоби переконання та стимулювання (заохочення) у забезпеченні зобовʼязань за трудовим договором. Форум права. 2009. Nº 1. C. 92-98.</w:t>
      </w:r>
      <w:bookmarkEnd w:id="129"/>
    </w:p>
    <w:p w14:paraId="4CB1676B" w14:textId="77777777" w:rsidR="00B67481" w:rsidRPr="00511005" w:rsidRDefault="00B67481" w:rsidP="003F6A5D">
      <w:pPr>
        <w:numPr>
          <w:ilvl w:val="0"/>
          <w:numId w:val="263"/>
        </w:numPr>
        <w:spacing w:line="264" w:lineRule="auto"/>
        <w:ind w:left="0" w:firstLine="709"/>
        <w:contextualSpacing/>
        <w:jc w:val="left"/>
        <w:rPr>
          <w:rFonts w:ascii="Arial" w:eastAsia="Times New Roman" w:hAnsi="Arial" w:cs="Arial"/>
          <w:szCs w:val="28"/>
          <w:lang w:val="uk-UA" w:eastAsia="ru-RU"/>
        </w:rPr>
      </w:pPr>
      <w:bookmarkStart w:id="130" w:name="_Ref195108676"/>
      <w:r w:rsidRPr="00511005">
        <w:rPr>
          <w:rFonts w:ascii="Arial" w:eastAsia="Times New Roman" w:hAnsi="Arial" w:cs="Arial"/>
          <w:szCs w:val="28"/>
          <w:lang w:val="uk-UA" w:eastAsia="ru-RU"/>
        </w:rPr>
        <w:t xml:space="preserve">Адміністративне право України. Загальна частина : курс лекцій / В.К. Колпаков, О.В. Кузьменко, І.Д. Пастух, О.В. Горбач та ін., 2011. </w:t>
      </w:r>
      <w:r w:rsidRPr="00511005">
        <w:rPr>
          <w:rFonts w:ascii="Arial" w:eastAsia="Times New Roman" w:hAnsi="Arial" w:cs="Arial"/>
          <w:szCs w:val="28"/>
          <w:lang w:eastAsia="ru-RU"/>
        </w:rPr>
        <w:t>395 с.</w:t>
      </w:r>
      <w:bookmarkEnd w:id="130"/>
    </w:p>
    <w:p w14:paraId="4CD94518" w14:textId="77777777" w:rsidR="00B67481" w:rsidRPr="00511005" w:rsidRDefault="00B67481" w:rsidP="003F6A5D">
      <w:pPr>
        <w:numPr>
          <w:ilvl w:val="0"/>
          <w:numId w:val="263"/>
        </w:numPr>
        <w:spacing w:line="264" w:lineRule="auto"/>
        <w:ind w:left="0" w:firstLine="709"/>
        <w:contextualSpacing/>
        <w:jc w:val="left"/>
        <w:rPr>
          <w:rFonts w:ascii="Arial" w:eastAsia="Times New Roman" w:hAnsi="Arial" w:cs="Arial"/>
          <w:szCs w:val="28"/>
          <w:lang w:val="uk-UA" w:eastAsia="ru-RU"/>
        </w:rPr>
      </w:pPr>
      <w:bookmarkStart w:id="131" w:name="_Ref195108864"/>
      <w:r w:rsidRPr="00511005">
        <w:rPr>
          <w:rFonts w:ascii="Arial" w:eastAsia="Times New Roman" w:hAnsi="Arial" w:cs="Arial"/>
          <w:szCs w:val="28"/>
          <w:lang w:val="uk-UA" w:eastAsia="ru-RU"/>
        </w:rPr>
        <w:t>Петков С.В. Основи переконання в адміністративній діяльності органів внутрішніх справ (організаційно-правові аспекти). Форум права. 2005. Nº 1. C. 58 64. URL: http:/nbuv.gov.ua/UJRN/FP_index.htm_2005_1_i0.</w:t>
      </w:r>
      <w:bookmarkEnd w:id="131"/>
    </w:p>
    <w:p w14:paraId="463C7FA9" w14:textId="77777777" w:rsidR="00B67481" w:rsidRPr="00511005" w:rsidRDefault="00B67481" w:rsidP="003F6A5D">
      <w:pPr>
        <w:numPr>
          <w:ilvl w:val="0"/>
          <w:numId w:val="263"/>
        </w:numPr>
        <w:spacing w:line="264" w:lineRule="auto"/>
        <w:ind w:left="0" w:firstLine="709"/>
        <w:contextualSpacing/>
        <w:jc w:val="left"/>
        <w:rPr>
          <w:rFonts w:ascii="Arial" w:eastAsia="Times New Roman" w:hAnsi="Arial" w:cs="Arial"/>
          <w:szCs w:val="28"/>
          <w:lang w:val="uk-UA" w:eastAsia="ru-RU"/>
        </w:rPr>
      </w:pPr>
      <w:bookmarkStart w:id="132" w:name="_Ref195109054"/>
      <w:r w:rsidRPr="00511005">
        <w:rPr>
          <w:rFonts w:ascii="Arial" w:eastAsia="Times New Roman" w:hAnsi="Arial" w:cs="Arial"/>
          <w:szCs w:val="28"/>
          <w:lang w:eastAsia="ru-RU"/>
        </w:rPr>
        <w:t>Ткаля О.В. Переконання як сучасний метод адміністративно-правового впливу. Право і суспільство. 2018. Nº 2. С.162-167</w:t>
      </w:r>
      <w:r w:rsidRPr="00511005">
        <w:rPr>
          <w:rFonts w:ascii="Arial" w:eastAsia="Times New Roman" w:hAnsi="Arial" w:cs="Arial"/>
          <w:szCs w:val="28"/>
          <w:lang w:val="uk-UA" w:eastAsia="ru-RU"/>
        </w:rPr>
        <w:t>.</w:t>
      </w:r>
      <w:bookmarkEnd w:id="132"/>
    </w:p>
    <w:p w14:paraId="19FA5D59" w14:textId="77777777" w:rsidR="00B67481" w:rsidRPr="00511005" w:rsidRDefault="00B67481" w:rsidP="003F6A5D">
      <w:pPr>
        <w:numPr>
          <w:ilvl w:val="0"/>
          <w:numId w:val="263"/>
        </w:numPr>
        <w:spacing w:line="264" w:lineRule="auto"/>
        <w:ind w:left="0" w:firstLine="709"/>
        <w:contextualSpacing/>
        <w:jc w:val="left"/>
        <w:rPr>
          <w:rFonts w:ascii="Arial" w:eastAsia="Times New Roman" w:hAnsi="Arial" w:cs="Arial"/>
          <w:szCs w:val="28"/>
          <w:lang w:val="uk-UA" w:eastAsia="ru-RU"/>
        </w:rPr>
      </w:pPr>
      <w:bookmarkStart w:id="133" w:name="_Ref195109237"/>
      <w:r w:rsidRPr="00511005">
        <w:rPr>
          <w:rFonts w:ascii="Arial" w:eastAsia="Times New Roman" w:hAnsi="Arial" w:cs="Arial"/>
          <w:szCs w:val="28"/>
          <w:lang w:eastAsia="ru-RU"/>
        </w:rPr>
        <w:t xml:space="preserve">Скакун О.Ф. Теорія держави та </w:t>
      </w:r>
      <w:proofErr w:type="gramStart"/>
      <w:r w:rsidRPr="00511005">
        <w:rPr>
          <w:rFonts w:ascii="Arial" w:eastAsia="Times New Roman" w:hAnsi="Arial" w:cs="Arial"/>
          <w:szCs w:val="28"/>
          <w:lang w:eastAsia="ru-RU"/>
        </w:rPr>
        <w:t>права :</w:t>
      </w:r>
      <w:proofErr w:type="gramEnd"/>
      <w:r w:rsidRPr="00511005">
        <w:rPr>
          <w:rFonts w:ascii="Arial" w:eastAsia="Times New Roman" w:hAnsi="Arial" w:cs="Arial"/>
          <w:szCs w:val="28"/>
          <w:lang w:eastAsia="ru-RU"/>
        </w:rPr>
        <w:t xml:space="preserve"> підручник. </w:t>
      </w:r>
      <w:proofErr w:type="gramStart"/>
      <w:r w:rsidRPr="00511005">
        <w:rPr>
          <w:rFonts w:ascii="Arial" w:eastAsia="Times New Roman" w:hAnsi="Arial" w:cs="Arial"/>
          <w:szCs w:val="28"/>
          <w:lang w:eastAsia="ru-RU"/>
        </w:rPr>
        <w:t>Харків :</w:t>
      </w:r>
      <w:proofErr w:type="gramEnd"/>
      <w:r w:rsidRPr="00511005">
        <w:rPr>
          <w:rFonts w:ascii="Arial" w:eastAsia="Times New Roman" w:hAnsi="Arial" w:cs="Arial"/>
          <w:szCs w:val="28"/>
          <w:lang w:eastAsia="ru-RU"/>
        </w:rPr>
        <w:t xml:space="preserve"> Консум, 2001. 656 с.</w:t>
      </w:r>
      <w:bookmarkEnd w:id="133"/>
    </w:p>
    <w:p w14:paraId="34DBE8D6" w14:textId="77777777" w:rsidR="00B67481" w:rsidRPr="00511005" w:rsidRDefault="00B67481" w:rsidP="003A292D">
      <w:pPr>
        <w:spacing w:line="264" w:lineRule="auto"/>
        <w:jc w:val="left"/>
        <w:rPr>
          <w:rFonts w:ascii="Arial" w:eastAsia="Calibri" w:hAnsi="Arial" w:cs="Arial"/>
          <w:b/>
          <w:bCs/>
          <w:szCs w:val="28"/>
          <w:lang w:val="uk-UA"/>
        </w:rPr>
      </w:pPr>
    </w:p>
    <w:p w14:paraId="73803AD9" w14:textId="2B007212"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B67481" w:rsidRPr="00511005">
        <w:rPr>
          <w:rFonts w:ascii="Arial" w:eastAsia="Calibri" w:hAnsi="Arial" w:cs="Arial"/>
          <w:szCs w:val="28"/>
          <w:lang w:val="uk-UA"/>
        </w:rPr>
        <w:t>переконання, публічне адміністрування, метод, заходи правового та неправового характеру.</w:t>
      </w:r>
    </w:p>
    <w:p w14:paraId="195E8042" w14:textId="086BA1FC" w:rsidR="00B67481" w:rsidRPr="00511005" w:rsidRDefault="007B2628" w:rsidP="003A292D">
      <w:pPr>
        <w:spacing w:line="264" w:lineRule="auto"/>
        <w:jc w:val="left"/>
        <w:rPr>
          <w:rFonts w:ascii="Arial" w:eastAsia="Calibri" w:hAnsi="Arial" w:cs="Arial"/>
          <w:szCs w:val="28"/>
          <w:lang w:val="en-US"/>
        </w:rPr>
      </w:pPr>
      <w:r w:rsidRPr="00511005">
        <w:rPr>
          <w:rFonts w:ascii="Arial" w:eastAsia="Calibri" w:hAnsi="Arial" w:cs="Arial"/>
          <w:b/>
          <w:bCs/>
          <w:i/>
          <w:szCs w:val="28"/>
          <w:lang w:val="uk-UA"/>
        </w:rPr>
        <w:t xml:space="preserve">Key words: </w:t>
      </w:r>
      <w:r w:rsidR="00B67481" w:rsidRPr="00511005">
        <w:rPr>
          <w:rFonts w:ascii="Arial" w:eastAsia="Calibri" w:hAnsi="Arial" w:cs="Arial"/>
          <w:szCs w:val="28"/>
          <w:lang w:val="en-US"/>
        </w:rPr>
        <w:t>beliefs, public administration, method, legal and non-legal measures.</w:t>
      </w:r>
    </w:p>
    <w:p w14:paraId="596B2D55" w14:textId="7399EDF5" w:rsidR="00B67481" w:rsidRPr="00511005" w:rsidRDefault="007B2628" w:rsidP="003A292D">
      <w:pPr>
        <w:spacing w:line="264" w:lineRule="auto"/>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B67481" w:rsidRPr="00511005">
        <w:rPr>
          <w:rFonts w:ascii="Arial" w:eastAsia="Calibri" w:hAnsi="Arial" w:cs="Arial"/>
          <w:i/>
          <w:iCs/>
          <w:szCs w:val="28"/>
          <w:lang w:val="uk-UA"/>
        </w:rPr>
        <w:t>доц</w:t>
      </w:r>
      <w:r w:rsidR="00015FF7">
        <w:rPr>
          <w:rFonts w:ascii="Arial" w:eastAsia="Calibri" w:hAnsi="Arial" w:cs="Arial"/>
          <w:i/>
          <w:iCs/>
          <w:szCs w:val="28"/>
          <w:lang w:val="uk-UA"/>
        </w:rPr>
        <w:t>ент</w:t>
      </w:r>
      <w:r w:rsidR="00B67481" w:rsidRPr="00511005">
        <w:rPr>
          <w:rFonts w:ascii="Arial" w:eastAsia="Calibri" w:hAnsi="Arial" w:cs="Arial"/>
          <w:i/>
          <w:iCs/>
          <w:szCs w:val="28"/>
          <w:lang w:val="uk-UA"/>
        </w:rPr>
        <w:t xml:space="preserve"> кафедри, к.ю.н. Панфілов О.Є.</w:t>
      </w:r>
    </w:p>
    <w:p w14:paraId="59234E4F" w14:textId="77777777" w:rsidR="001D1A08" w:rsidRPr="00511005" w:rsidRDefault="001D1A08" w:rsidP="003A292D">
      <w:pPr>
        <w:spacing w:line="264" w:lineRule="auto"/>
        <w:ind w:firstLine="0"/>
        <w:jc w:val="left"/>
        <w:rPr>
          <w:rFonts w:ascii="Arial" w:eastAsia="Calibri" w:hAnsi="Arial" w:cs="Arial"/>
          <w:i/>
          <w:iCs/>
          <w:szCs w:val="28"/>
          <w:lang w:val="uk-UA"/>
        </w:rPr>
      </w:pPr>
    </w:p>
    <w:p w14:paraId="5F256FAC" w14:textId="77777777" w:rsidR="001D1A08" w:rsidRPr="00511005" w:rsidRDefault="001D1A08" w:rsidP="003A292D">
      <w:pPr>
        <w:spacing w:line="264" w:lineRule="auto"/>
        <w:ind w:firstLine="0"/>
        <w:jc w:val="left"/>
        <w:rPr>
          <w:rFonts w:ascii="Arial" w:eastAsia="Calibri" w:hAnsi="Arial" w:cs="Arial"/>
          <w:i/>
          <w:iCs/>
          <w:szCs w:val="28"/>
          <w:lang w:val="uk-UA"/>
        </w:rPr>
      </w:pPr>
    </w:p>
    <w:p w14:paraId="27176307" w14:textId="77777777" w:rsidR="00B67481" w:rsidRPr="00511005" w:rsidRDefault="00B67481" w:rsidP="003A292D">
      <w:pPr>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eastAsia="ru-RU"/>
        </w:rPr>
        <w:t>Шовкович Богдана Іванівна</w:t>
      </w:r>
    </w:p>
    <w:p w14:paraId="473ECC26" w14:textId="53ACB790" w:rsidR="00B67481" w:rsidRPr="00511005" w:rsidRDefault="00536AAB"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1B7B25" w:rsidRPr="00511005">
        <w:rPr>
          <w:rFonts w:ascii="Arial" w:eastAsia="Times New Roman" w:hAnsi="Arial" w:cs="Arial"/>
          <w:szCs w:val="28"/>
          <w:lang w:eastAsia="ru-RU"/>
        </w:rPr>
        <w:t>факультету судового та міжнародного права</w:t>
      </w:r>
    </w:p>
    <w:p w14:paraId="4F2AA805" w14:textId="0A82E74E" w:rsidR="00B67481"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27C95F8" w14:textId="77777777" w:rsidR="00B67481" w:rsidRPr="00511005" w:rsidRDefault="00B67481" w:rsidP="003A292D">
      <w:pPr>
        <w:spacing w:line="264" w:lineRule="auto"/>
        <w:ind w:firstLine="0"/>
        <w:jc w:val="center"/>
        <w:rPr>
          <w:rFonts w:ascii="Arial" w:eastAsia="Times New Roman" w:hAnsi="Arial" w:cs="Arial"/>
          <w:i/>
          <w:szCs w:val="28"/>
          <w:lang w:eastAsia="ru-RU"/>
        </w:rPr>
      </w:pPr>
    </w:p>
    <w:p w14:paraId="70920FE0" w14:textId="77777777" w:rsidR="00B67481" w:rsidRPr="00511005" w:rsidRDefault="00B67481" w:rsidP="003A292D">
      <w:pPr>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szCs w:val="28"/>
          <w:lang w:eastAsia="ru-RU"/>
        </w:rPr>
        <w:t>ПРАВОВЕ РЕГУЛЮВАННЯ ДЕРЖАВНОГО БЮДЖЕТУ В УКРАЇНІ</w:t>
      </w:r>
      <w:r w:rsidRPr="00511005">
        <w:rPr>
          <w:rFonts w:ascii="Arial" w:eastAsia="Times New Roman" w:hAnsi="Arial" w:cs="Arial"/>
          <w:b/>
          <w:i/>
          <w:szCs w:val="28"/>
          <w:lang w:eastAsia="ru-RU"/>
        </w:rPr>
        <w:t xml:space="preserve"> </w:t>
      </w:r>
    </w:p>
    <w:p w14:paraId="2E77FAD7"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Державний бюджет України — це план формування та використання фінансових ресурсів для забезпечення завдань і функцій органів державної влади протягом бюджетного періоду Міністерство Фінансів України [1]. Бюджет складається з надходжень (доходів) і витрат, які формують </w:t>
      </w:r>
      <w:r w:rsidRPr="00511005">
        <w:rPr>
          <w:rFonts w:ascii="Arial" w:eastAsia="Times New Roman" w:hAnsi="Arial" w:cs="Arial"/>
          <w:szCs w:val="28"/>
          <w:lang w:eastAsia="ru-RU"/>
        </w:rPr>
        <w:lastRenderedPageBreak/>
        <w:t>бюджетні кошти [1]. Державний бюджет є головним фінансовим документом, через який держава втілює свої соціальні, економічні та оборонні пріоритети. Саме через бюджетні механізми відбувається розподіл ресурсів між центральними й місцевими органами влади, забезпечення виплат соціальних гарантій, фінансування обороноздатності, інвестицій у критичну інфраструктуру та підтримка економічного зростання.</w:t>
      </w:r>
    </w:p>
    <w:p w14:paraId="4BDEC453"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Державний бюджет України становить фундамент фінансової системи держави, забезпечуючи формування та розподіл публічних коштів на виконання суспільних функцій. Ефективність бюджетного процесу безпосередньо впливає на соціально</w:t>
      </w:r>
      <w:r w:rsidRPr="00511005">
        <w:rPr>
          <w:rFonts w:ascii="Cambria Math" w:eastAsia="Times New Roman" w:hAnsi="Cambria Math" w:cs="Cambria Math"/>
          <w:szCs w:val="28"/>
          <w:lang w:eastAsia="ru-RU"/>
        </w:rPr>
        <w:t>‑</w:t>
      </w:r>
      <w:r w:rsidRPr="00511005">
        <w:rPr>
          <w:rFonts w:ascii="Arial" w:eastAsia="Times New Roman" w:hAnsi="Arial" w:cs="Arial"/>
          <w:szCs w:val="28"/>
          <w:lang w:eastAsia="ru-RU"/>
        </w:rPr>
        <w:t xml:space="preserve">економічний розвиток, реалізацію державної політики </w:t>
      </w:r>
      <w:proofErr w:type="gramStart"/>
      <w:r w:rsidRPr="00511005">
        <w:rPr>
          <w:rFonts w:ascii="Arial" w:eastAsia="Times New Roman" w:hAnsi="Arial" w:cs="Arial"/>
          <w:szCs w:val="28"/>
          <w:lang w:eastAsia="ru-RU"/>
        </w:rPr>
        <w:t>у сферах</w:t>
      </w:r>
      <w:proofErr w:type="gramEnd"/>
      <w:r w:rsidRPr="00511005">
        <w:rPr>
          <w:rFonts w:ascii="Arial" w:eastAsia="Times New Roman" w:hAnsi="Arial" w:cs="Arial"/>
          <w:szCs w:val="28"/>
          <w:lang w:eastAsia="ru-RU"/>
        </w:rPr>
        <w:t xml:space="preserve"> освіти, охорони здоров’я, оборони та соціального захисту. Тому правове регулювання державного бюджету є надзвичайно важливим для забезпечення прозорості, підзвітності та раціонального використання ресурсів.</w:t>
      </w:r>
    </w:p>
    <w:p w14:paraId="3C1E8329"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Законодавча база регулювання бюджетного процесу:</w:t>
      </w:r>
    </w:p>
    <w:p w14:paraId="799AA205" w14:textId="77777777" w:rsidR="00B67481" w:rsidRPr="00511005" w:rsidRDefault="00B67481" w:rsidP="003F6A5D">
      <w:pPr>
        <w:numPr>
          <w:ilvl w:val="0"/>
          <w:numId w:val="265"/>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Бюджетний кодекс України</w:t>
      </w:r>
    </w:p>
    <w:p w14:paraId="3C4689C3"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Бюджетний кодекс України № 2456-VI від 8 липня 2010 року (зі змінами станом на 18.09.2024) є базовим актом, який встановлює правові засади функціонування бюджетної системи, її принципи та міжбюджетні відносини [2]. Стаття 2 Кодексу закріплює основоположні поняття, бюджет визначається виключно цим Кодексом та Законом про Державний бюджет України.</w:t>
      </w:r>
    </w:p>
    <w:p w14:paraId="791FBFB3" w14:textId="77777777" w:rsidR="00B67481" w:rsidRPr="00511005" w:rsidRDefault="00B67481" w:rsidP="003F6A5D">
      <w:pPr>
        <w:numPr>
          <w:ilvl w:val="0"/>
          <w:numId w:val="265"/>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Закон «Про Державний бюджет України»</w:t>
      </w:r>
    </w:p>
    <w:p w14:paraId="520A2944"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Щорічний Закон про Державний бюджет України, прийнятий Верховною Радою, деталізує склад доходів та видатків, затверджує граничні показники дефіциту чи профіциту [3]. Закон може передбачати перерозподіл доходів між загальним та спеціальним фондами бюджету в окремих випадках.</w:t>
      </w:r>
    </w:p>
    <w:p w14:paraId="6ADDFDA0"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Значну роль у системі регулювання виконує Рахункова палата України — орган, що здійснює зовнішній аудит бюджету. Його висновки мають рекомендаційний, але вагомий характер, особливо в контексті міжнародної підтримки.</w:t>
      </w:r>
    </w:p>
    <w:p w14:paraId="6157E0DA"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Також, необхідно зазначити основні принципи:</w:t>
      </w:r>
    </w:p>
    <w:p w14:paraId="035A039C" w14:textId="77777777" w:rsidR="00B67481" w:rsidRPr="00511005" w:rsidRDefault="00B67481" w:rsidP="003F6A5D">
      <w:pPr>
        <w:numPr>
          <w:ilvl w:val="0"/>
          <w:numId w:val="266"/>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Законність: всі операції з бюджетними коштами мають здійснюватися виключно в межах, передбачених Бюджетним кодексом та Законом про бюджет.</w:t>
      </w:r>
    </w:p>
    <w:p w14:paraId="2F49272E" w14:textId="77777777" w:rsidR="00B67481" w:rsidRPr="00511005" w:rsidRDefault="00B67481" w:rsidP="003F6A5D">
      <w:pPr>
        <w:numPr>
          <w:ilvl w:val="0"/>
          <w:numId w:val="266"/>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Плановість і обґрунтованість: рішення щодо доходів і видатків базуються на макроекономічному прогнозі та стратегічних цілях розвитку держави.</w:t>
      </w:r>
    </w:p>
    <w:p w14:paraId="2470C955" w14:textId="77777777" w:rsidR="00B67481" w:rsidRPr="00511005" w:rsidRDefault="00B67481" w:rsidP="003F6A5D">
      <w:pPr>
        <w:numPr>
          <w:ilvl w:val="0"/>
          <w:numId w:val="266"/>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Гласність і підзвітність: інформація про формування і виконання бюджету є відкритою для громадськості, а органи влади відповідають за ефективність використання коштів.</w:t>
      </w:r>
    </w:p>
    <w:p w14:paraId="15E88F82"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Варто згадати про важливість контролю державного бюджету. Зв’язок між контролем і державним бюджетом проявляється передусім у зворотному впливі: чим жорсткішими та прозорішими є контрольні процедури, тим більш обґрунтованим і реалістичним стає сам бюджет. </w:t>
      </w:r>
    </w:p>
    <w:p w14:paraId="15D62899" w14:textId="4892D932"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Метою поточного бюджетного контролю в</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Україні є виявлення відхилень від встановлених норм та нормативів, попередження їх на початковій стадії фінансових операцій; досягнення раціонального, ефективного використання фінансових ресурсів за цільовим призначенням [4]. Саме оперативний бюджетний контроль справляє найбільший вплив на процес формування 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використання державних бюджетних ресурсів [4].</w:t>
      </w:r>
    </w:p>
    <w:p w14:paraId="53E03C2A" w14:textId="444A024B"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На підставі проведеного дослідження зроблено такі висновки:</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 xml:space="preserve">Бюджетна система побудована на ключових принципах, зокрема єдності та збалансованості, а також прозорості й публічності. Згідно з ч.1 ст.7 Бюджетного кодексу закріплено принцип «публічності та прозорості» бюджетного процесу, що передбачає інформування громадськості про формування і виконання державного та місцевих бюджетів. Дотримання цих принципів забезпечує відкритість інформації та підзвітність органів влади [2]. Відповідно до ст.23 Бюджетного кодексу та Закону про Державний бюджет всі бюджетні зобов’язання і видатки можливі лише за наявності відповідного бюджетного призначення [2]. Аналогічно ст.48 Бюджетного кодексу встановлює, що розпорядники бюджетних коштів беруть зобов’язання і здійснюють платежі виключно в межах затверджених асигнувань [2]. Ці норми закріплюють правову процедуру розподілу та використання коштів – обсяги витрат мають відповідати джерелам доходів і затвердженим кошторисам. </w:t>
      </w:r>
    </w:p>
    <w:p w14:paraId="5C70F524"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Загалом, правове регулювання державного бюджету в Україні побудовано на жорстких законодавчих засадах, які гарантують законність, прозорість та цільове використання публічних коштів. Таким чином, державний бюджет в Україні виконує функцію головного фінансового інструменту реалізації державної політики. Ефективне управління ним забезпечується через принципи законності, прозорості та контролю, закріплені у Бюджетному кодексі та бюджетному законодавстві. Суворе дотримання встановлених процедур і нормативних вимог (через ст. 2, 7, 23, 48, 116 БКУ та відповідні статті законів про бюджет) є запорукою прозорості, підзвітності та раціонального використання публічних фінансів.</w:t>
      </w:r>
    </w:p>
    <w:p w14:paraId="747956C4" w14:textId="77777777" w:rsidR="00B67481" w:rsidRPr="00511005" w:rsidRDefault="00B67481" w:rsidP="003A292D">
      <w:pPr>
        <w:spacing w:line="264" w:lineRule="auto"/>
        <w:ind w:firstLine="0"/>
        <w:rPr>
          <w:rFonts w:ascii="Arial" w:eastAsia="Times New Roman" w:hAnsi="Arial" w:cs="Arial"/>
          <w:szCs w:val="28"/>
          <w:lang w:eastAsia="ru-RU"/>
        </w:rPr>
      </w:pPr>
    </w:p>
    <w:p w14:paraId="6E02A499" w14:textId="446469B4" w:rsidR="00B67481"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7671641C" w14:textId="77777777" w:rsidR="00B67481" w:rsidRPr="00511005" w:rsidRDefault="00B67481" w:rsidP="003F6A5D">
      <w:pPr>
        <w:numPr>
          <w:ilvl w:val="0"/>
          <w:numId w:val="267"/>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[Електронний ресурс] – Режим доступу: </w:t>
      </w:r>
      <w:hyperlink r:id="rId1005">
        <w:r w:rsidRPr="00511005">
          <w:rPr>
            <w:rFonts w:ascii="Arial" w:eastAsia="Times New Roman" w:hAnsi="Arial" w:cs="Arial"/>
            <w:szCs w:val="28"/>
            <w:lang w:eastAsia="ru-RU"/>
          </w:rPr>
          <w:t>https://mof.gov.ua/uk/budget?utm_source=chatgpt.com</w:t>
        </w:r>
      </w:hyperlink>
      <w:r w:rsidRPr="00511005">
        <w:rPr>
          <w:rFonts w:ascii="Arial" w:eastAsia="Times New Roman" w:hAnsi="Arial" w:cs="Arial"/>
          <w:szCs w:val="28"/>
          <w:lang w:eastAsia="ru-RU"/>
        </w:rPr>
        <w:t xml:space="preserve"> </w:t>
      </w:r>
    </w:p>
    <w:p w14:paraId="771A80FA" w14:textId="77777777" w:rsidR="00B67481" w:rsidRPr="00511005" w:rsidRDefault="00B67481" w:rsidP="003F6A5D">
      <w:pPr>
        <w:numPr>
          <w:ilvl w:val="0"/>
          <w:numId w:val="267"/>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 xml:space="preserve">Бюджетний кодекс України від 05.03.2025 URL: </w:t>
      </w:r>
      <w:hyperlink r:id="rId1006" w:anchor="Text">
        <w:r w:rsidRPr="00511005">
          <w:rPr>
            <w:rFonts w:ascii="Arial" w:eastAsia="Times New Roman" w:hAnsi="Arial" w:cs="Arial"/>
            <w:szCs w:val="28"/>
            <w:lang w:eastAsia="ru-RU"/>
          </w:rPr>
          <w:t>https://zakon.rada.gov.ua/laws/show/2456-17#Text</w:t>
        </w:r>
      </w:hyperlink>
      <w:r w:rsidRPr="00511005">
        <w:rPr>
          <w:rFonts w:ascii="Arial" w:eastAsia="Times New Roman" w:hAnsi="Arial" w:cs="Arial"/>
          <w:szCs w:val="28"/>
          <w:lang w:eastAsia="ru-RU"/>
        </w:rPr>
        <w:t xml:space="preserve"> </w:t>
      </w:r>
    </w:p>
    <w:p w14:paraId="4ED2EBEF" w14:textId="77777777" w:rsidR="00B67481" w:rsidRPr="00511005" w:rsidRDefault="00B67481" w:rsidP="003F6A5D">
      <w:pPr>
        <w:numPr>
          <w:ilvl w:val="0"/>
          <w:numId w:val="267"/>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Про Державний бюджет України на 2025 рік URL: </w:t>
      </w:r>
      <w:hyperlink r:id="rId1007" w:anchor="Text">
        <w:r w:rsidRPr="00511005">
          <w:rPr>
            <w:rFonts w:ascii="Arial" w:eastAsia="Times New Roman" w:hAnsi="Arial" w:cs="Arial"/>
            <w:szCs w:val="28"/>
            <w:lang w:eastAsia="ru-RU"/>
          </w:rPr>
          <w:t>https://zakon.rada.gov.ua/laws/show/4059-20#Text</w:t>
        </w:r>
      </w:hyperlink>
      <w:r w:rsidRPr="00511005">
        <w:rPr>
          <w:rFonts w:ascii="Arial" w:eastAsia="Times New Roman" w:hAnsi="Arial" w:cs="Arial"/>
          <w:szCs w:val="28"/>
          <w:lang w:eastAsia="ru-RU"/>
        </w:rPr>
        <w:t xml:space="preserve"> </w:t>
      </w:r>
    </w:p>
    <w:p w14:paraId="0CB20612" w14:textId="44549BBC" w:rsidR="00B67481" w:rsidRPr="00511005" w:rsidRDefault="00B67481" w:rsidP="003F6A5D">
      <w:pPr>
        <w:numPr>
          <w:ilvl w:val="0"/>
          <w:numId w:val="267"/>
        </w:numPr>
        <w:spacing w:line="264" w:lineRule="auto"/>
        <w:ind w:left="0" w:firstLine="709"/>
        <w:jc w:val="left"/>
        <w:rPr>
          <w:rFonts w:ascii="Arial" w:eastAsia="Times New Roman" w:hAnsi="Arial" w:cs="Arial"/>
          <w:szCs w:val="28"/>
          <w:lang w:eastAsia="ru-RU"/>
        </w:rPr>
      </w:pPr>
      <w:r w:rsidRPr="00511005">
        <w:rPr>
          <w:rFonts w:ascii="Arial" w:eastAsia="Times New Roman" w:hAnsi="Arial" w:cs="Arial"/>
          <w:szCs w:val="28"/>
          <w:lang w:eastAsia="ru-RU"/>
        </w:rPr>
        <w:t>Голоядова Т. О.</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Правові аспекти визначення бюджетного контролю України згідно з міжнародними стандартами. 2021р. с.113</w:t>
      </w:r>
    </w:p>
    <w:p w14:paraId="249F96A4" w14:textId="77777777" w:rsidR="00B67481" w:rsidRPr="00511005" w:rsidRDefault="00B67481" w:rsidP="003A292D">
      <w:pPr>
        <w:spacing w:line="264" w:lineRule="auto"/>
        <w:rPr>
          <w:rFonts w:ascii="Arial" w:eastAsia="Times New Roman" w:hAnsi="Arial" w:cs="Arial"/>
          <w:b/>
          <w:szCs w:val="28"/>
          <w:lang w:val="uk-UA" w:eastAsia="ru-RU"/>
        </w:rPr>
      </w:pPr>
    </w:p>
    <w:p w14:paraId="1962CA9A" w14:textId="61EA917B" w:rsidR="00B67481" w:rsidRPr="00511005" w:rsidRDefault="007B2628" w:rsidP="003A292D">
      <w:pPr>
        <w:spacing w:line="264" w:lineRule="auto"/>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B67481" w:rsidRPr="00511005">
        <w:rPr>
          <w:rFonts w:ascii="Arial" w:eastAsia="Times New Roman" w:hAnsi="Arial" w:cs="Arial"/>
          <w:szCs w:val="28"/>
          <w:lang w:eastAsia="ru-RU"/>
        </w:rPr>
        <w:t>державний бюджет, правове регулювання, бюджет, законодавство, фінансування.</w:t>
      </w:r>
    </w:p>
    <w:p w14:paraId="7E03322F" w14:textId="2B17FF9B" w:rsidR="00B67481"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B67481" w:rsidRPr="00511005">
        <w:rPr>
          <w:rFonts w:ascii="Arial" w:eastAsia="Times New Roman" w:hAnsi="Arial" w:cs="Arial"/>
          <w:szCs w:val="28"/>
          <w:lang w:val="en-US" w:eastAsia="ru-RU"/>
        </w:rPr>
        <w:t>state budget, legal regulation, budget, legislation, financing.</w:t>
      </w:r>
    </w:p>
    <w:p w14:paraId="5BA936C6" w14:textId="15A5CBAD" w:rsidR="00B67481" w:rsidRPr="00511005" w:rsidRDefault="00C76181" w:rsidP="003A292D">
      <w:pPr>
        <w:spacing w:line="264" w:lineRule="auto"/>
        <w:rPr>
          <w:rFonts w:ascii="Arial" w:eastAsia="Times New Roman" w:hAnsi="Arial" w:cs="Arial"/>
          <w:szCs w:val="28"/>
          <w:lang w:val="uk-UA" w:eastAsia="ru-RU"/>
        </w:rPr>
      </w:pPr>
      <w:r w:rsidRPr="00511005">
        <w:rPr>
          <w:rFonts w:ascii="Arial" w:eastAsia="Calibri" w:hAnsi="Arial" w:cs="Arial"/>
          <w:b/>
          <w:i/>
          <w:szCs w:val="28"/>
          <w:lang w:val="uk-UA"/>
        </w:rPr>
        <w:t xml:space="preserve">Науковий керівник: </w:t>
      </w:r>
      <w:r w:rsidR="00B67481" w:rsidRPr="00511005">
        <w:rPr>
          <w:rFonts w:ascii="Arial" w:eastAsia="Times New Roman" w:hAnsi="Arial" w:cs="Arial"/>
          <w:i/>
          <w:szCs w:val="28"/>
          <w:lang w:val="uk-UA" w:eastAsia="ru-RU"/>
        </w:rPr>
        <w:t>к.ю.н., д</w:t>
      </w:r>
      <w:r w:rsidR="00B67481" w:rsidRPr="00511005">
        <w:rPr>
          <w:rFonts w:ascii="Arial" w:eastAsia="Times New Roman" w:hAnsi="Arial" w:cs="Arial"/>
          <w:i/>
          <w:szCs w:val="28"/>
          <w:lang w:eastAsia="ru-RU"/>
        </w:rPr>
        <w:t>o</w:t>
      </w:r>
      <w:r w:rsidR="00B67481" w:rsidRPr="00511005">
        <w:rPr>
          <w:rFonts w:ascii="Arial" w:eastAsia="Times New Roman" w:hAnsi="Arial" w:cs="Arial"/>
          <w:i/>
          <w:szCs w:val="28"/>
          <w:lang w:val="uk-UA" w:eastAsia="ru-RU"/>
        </w:rPr>
        <w:t>цент Г</w:t>
      </w:r>
      <w:r w:rsidR="00B67481" w:rsidRPr="00511005">
        <w:rPr>
          <w:rFonts w:ascii="Arial" w:eastAsia="Times New Roman" w:hAnsi="Arial" w:cs="Arial"/>
          <w:i/>
          <w:szCs w:val="28"/>
          <w:lang w:eastAsia="ru-RU"/>
        </w:rPr>
        <w:t>o</w:t>
      </w:r>
      <w:r w:rsidR="00B67481" w:rsidRPr="00511005">
        <w:rPr>
          <w:rFonts w:ascii="Arial" w:eastAsia="Times New Roman" w:hAnsi="Arial" w:cs="Arial"/>
          <w:i/>
          <w:szCs w:val="28"/>
          <w:lang w:val="uk-UA" w:eastAsia="ru-RU"/>
        </w:rPr>
        <w:t>л</w:t>
      </w:r>
      <w:r w:rsidR="00B67481" w:rsidRPr="00511005">
        <w:rPr>
          <w:rFonts w:ascii="Arial" w:eastAsia="Times New Roman" w:hAnsi="Arial" w:cs="Arial"/>
          <w:i/>
          <w:szCs w:val="28"/>
          <w:lang w:eastAsia="ru-RU"/>
        </w:rPr>
        <w:t>o</w:t>
      </w:r>
      <w:r w:rsidR="00B67481" w:rsidRPr="00511005">
        <w:rPr>
          <w:rFonts w:ascii="Arial" w:eastAsia="Times New Roman" w:hAnsi="Arial" w:cs="Arial"/>
          <w:i/>
          <w:szCs w:val="28"/>
          <w:lang w:val="uk-UA" w:eastAsia="ru-RU"/>
        </w:rPr>
        <w:t>яд</w:t>
      </w:r>
      <w:r w:rsidR="00B67481" w:rsidRPr="00511005">
        <w:rPr>
          <w:rFonts w:ascii="Arial" w:eastAsia="Times New Roman" w:hAnsi="Arial" w:cs="Arial"/>
          <w:i/>
          <w:szCs w:val="28"/>
          <w:lang w:eastAsia="ru-RU"/>
        </w:rPr>
        <w:t>o</w:t>
      </w:r>
      <w:r w:rsidR="00B67481" w:rsidRPr="00511005">
        <w:rPr>
          <w:rFonts w:ascii="Arial" w:eastAsia="Times New Roman" w:hAnsi="Arial" w:cs="Arial"/>
          <w:i/>
          <w:szCs w:val="28"/>
          <w:lang w:val="uk-UA" w:eastAsia="ru-RU"/>
        </w:rPr>
        <w:t>ва Т.</w:t>
      </w:r>
      <w:r w:rsidR="00B67481" w:rsidRPr="00511005">
        <w:rPr>
          <w:rFonts w:ascii="Arial" w:eastAsia="Times New Roman" w:hAnsi="Arial" w:cs="Arial"/>
          <w:i/>
          <w:szCs w:val="28"/>
          <w:lang w:eastAsia="ru-RU"/>
        </w:rPr>
        <w:t>O</w:t>
      </w:r>
      <w:r w:rsidR="00B67481" w:rsidRPr="00511005">
        <w:rPr>
          <w:rFonts w:ascii="Arial" w:eastAsia="Times New Roman" w:hAnsi="Arial" w:cs="Arial"/>
          <w:i/>
          <w:szCs w:val="28"/>
          <w:lang w:val="uk-UA" w:eastAsia="ru-RU"/>
        </w:rPr>
        <w:t>.</w:t>
      </w:r>
    </w:p>
    <w:p w14:paraId="05A733F5" w14:textId="77777777" w:rsidR="00B67481" w:rsidRPr="00511005" w:rsidRDefault="00B67481" w:rsidP="003A292D">
      <w:pPr>
        <w:spacing w:line="264" w:lineRule="auto"/>
        <w:ind w:firstLine="0"/>
        <w:rPr>
          <w:rFonts w:ascii="Arial" w:eastAsia="Times New Roman" w:hAnsi="Arial" w:cs="Arial"/>
          <w:szCs w:val="28"/>
          <w:lang w:val="uk-UA" w:eastAsia="ru-RU"/>
        </w:rPr>
      </w:pPr>
    </w:p>
    <w:p w14:paraId="37F92275" w14:textId="77777777" w:rsidR="00B67481" w:rsidRPr="00511005" w:rsidRDefault="00B67481" w:rsidP="003A292D">
      <w:pPr>
        <w:spacing w:line="264" w:lineRule="auto"/>
        <w:ind w:firstLine="0"/>
        <w:jc w:val="left"/>
        <w:rPr>
          <w:rFonts w:ascii="Arial" w:eastAsia="Calibri" w:hAnsi="Arial" w:cs="Arial"/>
          <w:b/>
          <w:szCs w:val="28"/>
          <w:lang w:val="uk-UA"/>
        </w:rPr>
      </w:pPr>
      <w:r w:rsidRPr="00511005">
        <w:rPr>
          <w:rFonts w:ascii="Arial" w:eastAsia="Calibri" w:hAnsi="Arial" w:cs="Arial"/>
          <w:b/>
          <w:szCs w:val="28"/>
          <w:lang w:val="uk-UA"/>
        </w:rPr>
        <w:br w:type="page"/>
      </w:r>
    </w:p>
    <w:p w14:paraId="6BABC735" w14:textId="3B34E5E8" w:rsidR="00B67481" w:rsidRPr="00511005" w:rsidRDefault="00B67481" w:rsidP="00B0737F">
      <w:pPr>
        <w:pStyle w:val="21"/>
      </w:pPr>
      <w:bookmarkStart w:id="134" w:name="_Toc208298995"/>
      <w:r w:rsidRPr="00511005">
        <w:lastRenderedPageBreak/>
        <w:t>Підсекція 6.2. Напрями вдосконалення адміністративного процесу</w:t>
      </w:r>
      <w:bookmarkEnd w:id="134"/>
    </w:p>
    <w:p w14:paraId="38061AE4" w14:textId="77777777" w:rsidR="00B67481" w:rsidRPr="00511005" w:rsidRDefault="00B67481" w:rsidP="003A292D">
      <w:pPr>
        <w:spacing w:line="264" w:lineRule="auto"/>
        <w:ind w:left="40" w:right="40" w:firstLine="454"/>
        <w:contextualSpacing/>
        <w:jc w:val="center"/>
        <w:rPr>
          <w:rFonts w:ascii="Arial" w:eastAsia="Times New Roman" w:hAnsi="Arial" w:cs="Arial"/>
          <w:b/>
          <w:szCs w:val="28"/>
          <w:lang w:val="uk-UA"/>
        </w:rPr>
      </w:pPr>
    </w:p>
    <w:p w14:paraId="5D426030" w14:textId="77777777" w:rsidR="00B67481" w:rsidRPr="00511005" w:rsidRDefault="00B67481" w:rsidP="003A292D">
      <w:pPr>
        <w:spacing w:line="264" w:lineRule="auto"/>
        <w:ind w:firstLine="0"/>
        <w:contextualSpacing/>
        <w:jc w:val="center"/>
        <w:rPr>
          <w:rFonts w:ascii="Arial" w:eastAsia="Times New Roman" w:hAnsi="Arial" w:cs="Arial"/>
          <w:b/>
          <w:i/>
          <w:szCs w:val="28"/>
        </w:rPr>
      </w:pPr>
      <w:r w:rsidRPr="00511005">
        <w:rPr>
          <w:rFonts w:ascii="Arial" w:eastAsia="Times New Roman" w:hAnsi="Arial" w:cs="Arial"/>
          <w:b/>
          <w:i/>
          <w:szCs w:val="28"/>
        </w:rPr>
        <w:t>Балик Даша Вікторівна</w:t>
      </w:r>
    </w:p>
    <w:p w14:paraId="46838B56" w14:textId="247E5C59"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3F854C7E"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7D446FA"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AB2281D" w14:textId="77777777" w:rsidR="00B67481" w:rsidRPr="00511005" w:rsidRDefault="00B67481" w:rsidP="003A292D">
      <w:pPr>
        <w:spacing w:line="264" w:lineRule="auto"/>
        <w:ind w:firstLine="0"/>
        <w:contextualSpacing/>
        <w:jc w:val="center"/>
        <w:rPr>
          <w:rFonts w:ascii="Arial" w:eastAsia="Times New Roman" w:hAnsi="Arial" w:cs="Arial"/>
          <w:i/>
          <w:szCs w:val="28"/>
          <w:lang w:val="uk-UA"/>
        </w:rPr>
      </w:pPr>
    </w:p>
    <w:p w14:paraId="6FB99A9A" w14:textId="77777777" w:rsidR="00B67481" w:rsidRPr="00511005" w:rsidRDefault="00B67481" w:rsidP="003A292D">
      <w:pPr>
        <w:spacing w:line="264" w:lineRule="auto"/>
        <w:ind w:firstLine="0"/>
        <w:contextualSpacing/>
        <w:jc w:val="center"/>
        <w:rPr>
          <w:rFonts w:ascii="Arial" w:eastAsia="Calibri" w:hAnsi="Arial" w:cs="Arial"/>
          <w:b/>
          <w:bCs/>
          <w:szCs w:val="28"/>
        </w:rPr>
      </w:pPr>
      <w:r w:rsidRPr="00511005">
        <w:rPr>
          <w:rFonts w:ascii="Arial" w:eastAsia="Calibri" w:hAnsi="Arial" w:cs="Arial"/>
          <w:b/>
          <w:bCs/>
          <w:szCs w:val="28"/>
        </w:rPr>
        <w:t>ЗАБЕЗПЕЧЕННЯ ДОСТУПНОСТІ СУДОВОГО ЗАХИСТУ: СУЧАСНІ ВИКЛИКИ І МОЖЛИВОСТІ ІНФОРМАЦІЙНОЇ ДОБИ</w:t>
      </w:r>
    </w:p>
    <w:p w14:paraId="3E6CFD62"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Право на судовий захист є ключовою гарантією реалізації прав і свобод людини. В умовах інформаційної епохи, що стрімко трансформує всі сфери суспільного життя, забезпечення доступності правосуддя набуває нового змісту. У цьому контексті надзвичайно важливим стає питання цифровізації судочинства, що покликане не лише оптимізувати процес, а й зробити його доступнішим для кожного громадянина.</w:t>
      </w:r>
    </w:p>
    <w:p w14:paraId="764160C1"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Інформаційна епоха, за визначенням Мануеля Кастельса, формує «мережеве суспільство», де цифрові технології визначають функціонування як економіки, так і соціальних інститутів </w:t>
      </w:r>
      <w:r w:rsidRPr="00511005">
        <w:rPr>
          <w:rFonts w:ascii="Arial" w:eastAsia="Times New Roman" w:hAnsi="Arial" w:cs="Arial"/>
          <w:szCs w:val="28"/>
        </w:rPr>
        <w:t>[5</w:t>
      </w:r>
      <w:proofErr w:type="gramStart"/>
      <w:r w:rsidRPr="00511005">
        <w:rPr>
          <w:rFonts w:ascii="Arial" w:eastAsia="Times New Roman" w:hAnsi="Arial" w:cs="Arial"/>
          <w:szCs w:val="28"/>
        </w:rPr>
        <w:t>].</w:t>
      </w:r>
      <w:r w:rsidRPr="00511005">
        <w:rPr>
          <w:rFonts w:ascii="Arial" w:eastAsia="Calibri" w:hAnsi="Arial" w:cs="Arial"/>
          <w:szCs w:val="28"/>
        </w:rPr>
        <w:t>Україна</w:t>
      </w:r>
      <w:proofErr w:type="gramEnd"/>
      <w:r w:rsidRPr="00511005">
        <w:rPr>
          <w:rFonts w:ascii="Arial" w:eastAsia="Calibri" w:hAnsi="Arial" w:cs="Arial"/>
          <w:szCs w:val="28"/>
        </w:rPr>
        <w:t>, зокрема, зробила суттєвий крок у цьому напрямі: національний ІТ-сектор став третім за обсягом експорту послуг, а українські розробники здобули міжнародне визнання. Ці тенденції закономірно позначилися і на реформуванні судової системи.</w:t>
      </w:r>
    </w:p>
    <w:p w14:paraId="4529C93E"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З 2018 року в Україні почала функціонувати Єдина судова інформаційно-телекомунікаційна система (ЄСІТС), а у 2021 році запрацювали її ключові модулі: «Електронний кабінет», «Електронний суд» і підсистема відеоконференцзв’язку </w:t>
      </w:r>
      <w:r w:rsidRPr="00511005">
        <w:rPr>
          <w:rFonts w:ascii="Arial" w:eastAsia="Times New Roman" w:hAnsi="Arial" w:cs="Arial"/>
          <w:szCs w:val="28"/>
        </w:rPr>
        <w:t>[2</w:t>
      </w:r>
      <w:proofErr w:type="gramStart"/>
      <w:r w:rsidRPr="00511005">
        <w:rPr>
          <w:rFonts w:ascii="Arial" w:eastAsia="Times New Roman" w:hAnsi="Arial" w:cs="Arial"/>
          <w:szCs w:val="28"/>
        </w:rPr>
        <w:t>].</w:t>
      </w:r>
      <w:r w:rsidRPr="00511005">
        <w:rPr>
          <w:rFonts w:ascii="Arial" w:eastAsia="Calibri" w:hAnsi="Arial" w:cs="Arial"/>
          <w:szCs w:val="28"/>
        </w:rPr>
        <w:t>Такі</w:t>
      </w:r>
      <w:proofErr w:type="gramEnd"/>
      <w:r w:rsidRPr="00511005">
        <w:rPr>
          <w:rFonts w:ascii="Arial" w:eastAsia="Calibri" w:hAnsi="Arial" w:cs="Arial"/>
          <w:szCs w:val="28"/>
        </w:rPr>
        <w:t xml:space="preserve"> інновації дозволяють здійснювати процесуальні дії дистанційно, подавати документи онлайн, брати участь у засіданнях у режимі відеозв’язку, що суттєво спрощує доступ громадян до правосуддя.</w:t>
      </w:r>
    </w:p>
    <w:p w14:paraId="6F1A368C" w14:textId="52B12644"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Попри те, що Конституція України не містить прямої згадки про принцип доступності правосуддя, він випливає з гарантій звернення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xml:space="preserve"> </w:t>
      </w:r>
      <w:r w:rsidRPr="00511005">
        <w:rPr>
          <w:rFonts w:ascii="Arial" w:eastAsia="Times New Roman" w:hAnsi="Arial" w:cs="Arial"/>
          <w:szCs w:val="28"/>
        </w:rPr>
        <w:t>[1]</w:t>
      </w:r>
      <w:r w:rsidRPr="00511005">
        <w:rPr>
          <w:rFonts w:ascii="Arial" w:eastAsia="Calibri" w:hAnsi="Arial" w:cs="Arial"/>
          <w:szCs w:val="28"/>
        </w:rPr>
        <w:t>. Закон України «Про судоустрій і статус суддів» закріплює доступність правосуддя як один із основоположних принципів [2].</w:t>
      </w:r>
      <w:r w:rsidR="007B2628" w:rsidRPr="00511005">
        <w:rPr>
          <w:rFonts w:ascii="Arial" w:eastAsia="Calibri" w:hAnsi="Arial" w:cs="Arial"/>
          <w:szCs w:val="28"/>
        </w:rPr>
        <w:t xml:space="preserve"> </w:t>
      </w:r>
      <w:r w:rsidRPr="00511005">
        <w:rPr>
          <w:rFonts w:ascii="Arial" w:eastAsia="Calibri" w:hAnsi="Arial" w:cs="Arial"/>
          <w:szCs w:val="28"/>
        </w:rPr>
        <w:t>Усі процесуальні кодекси — ЦПК, КАСУ — гарантують відкритість судового розгляду та право отримувати інформацію про свою справу, зокрема через офіційний вебпортал судової влади.</w:t>
      </w:r>
    </w:p>
    <w:p w14:paraId="5BAB8FB2"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Прийняття Закону України № 5041-VI (2012 р.) про можливість участі в судовому засіданні у режимі відеоконференції стало важливою віхою в еволюції цифрового правосуддя. Це нововведення значно розширило межі доступу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особливо для осіб, які з об’єктивних причин не можуть бути фізично присутніми.</w:t>
      </w:r>
    </w:p>
    <w:p w14:paraId="5FB47CCC"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lastRenderedPageBreak/>
        <w:t xml:space="preserve">Однак упровадження інформаційних технологій у правосуддя не позбавлене труднощів. Як слушно зауважує Л. Ніколенко, цифрове правосуддя має майбутнє лише за умови забезпечення стандартів і принципів судочинства, зокрема доступності </w:t>
      </w:r>
      <w:r w:rsidRPr="00511005">
        <w:rPr>
          <w:rFonts w:ascii="Arial" w:eastAsia="Times New Roman" w:hAnsi="Arial" w:cs="Arial"/>
          <w:szCs w:val="28"/>
        </w:rPr>
        <w:t>[2</w:t>
      </w:r>
      <w:proofErr w:type="gramStart"/>
      <w:r w:rsidRPr="00511005">
        <w:rPr>
          <w:rFonts w:ascii="Arial" w:eastAsia="Times New Roman" w:hAnsi="Arial" w:cs="Arial"/>
          <w:szCs w:val="28"/>
        </w:rPr>
        <w:t>].</w:t>
      </w:r>
      <w:r w:rsidRPr="00511005">
        <w:rPr>
          <w:rFonts w:ascii="Arial" w:eastAsia="Calibri" w:hAnsi="Arial" w:cs="Arial"/>
          <w:szCs w:val="28"/>
        </w:rPr>
        <w:t>Серед</w:t>
      </w:r>
      <w:proofErr w:type="gramEnd"/>
      <w:r w:rsidRPr="00511005">
        <w:rPr>
          <w:rFonts w:ascii="Arial" w:eastAsia="Calibri" w:hAnsi="Arial" w:cs="Arial"/>
          <w:szCs w:val="28"/>
        </w:rPr>
        <w:t xml:space="preserve"> основних проблем можна виділити:</w:t>
      </w:r>
    </w:p>
    <w:p w14:paraId="2A2495D9" w14:textId="77777777" w:rsidR="00B67481" w:rsidRPr="00511005" w:rsidRDefault="00B67481" w:rsidP="003F6A5D">
      <w:pPr>
        <w:numPr>
          <w:ilvl w:val="0"/>
          <w:numId w:val="271"/>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нерівний доступ громадян до інтернету і техніки;</w:t>
      </w:r>
    </w:p>
    <w:p w14:paraId="58956359" w14:textId="77777777" w:rsidR="00B67481" w:rsidRPr="00511005" w:rsidRDefault="00B67481" w:rsidP="003F6A5D">
      <w:pPr>
        <w:numPr>
          <w:ilvl w:val="0"/>
          <w:numId w:val="271"/>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недостатнє технічне забезпечення судів;</w:t>
      </w:r>
    </w:p>
    <w:p w14:paraId="76112C0A" w14:textId="77777777" w:rsidR="00B67481" w:rsidRPr="00511005" w:rsidRDefault="00B67481" w:rsidP="003F6A5D">
      <w:pPr>
        <w:numPr>
          <w:ilvl w:val="0"/>
          <w:numId w:val="271"/>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ризики втрати або несанкціонованого доступу до інформації;</w:t>
      </w:r>
    </w:p>
    <w:p w14:paraId="0BD36C41" w14:textId="77777777" w:rsidR="00B67481" w:rsidRPr="00511005" w:rsidRDefault="00B67481" w:rsidP="003F6A5D">
      <w:pPr>
        <w:numPr>
          <w:ilvl w:val="0"/>
          <w:numId w:val="271"/>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відсутність належного технічного та кадрового супроводу системи електронного судочинства.</w:t>
      </w:r>
    </w:p>
    <w:p w14:paraId="48ECAD63"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Також важливо враховувати рівень цифрової грамотності населення. Як зазначають Ю. Навроцька та О. Угриновська, «комп’ютеризація» судочинства не повинна йти на шкоду доступності, адже не кожен громадянин має можливісь користуватися електронними сервісами</w:t>
      </w:r>
      <w:r w:rsidRPr="00511005">
        <w:rPr>
          <w:rFonts w:ascii="Arial" w:eastAsia="Times New Roman" w:hAnsi="Arial" w:cs="Arial"/>
          <w:szCs w:val="28"/>
        </w:rPr>
        <w:t xml:space="preserve"> [6].</w:t>
      </w:r>
    </w:p>
    <w:p w14:paraId="3AC49C83"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У Європейському Союзі електронне правосуддя є не лише нормою, але й засобом реалізації права на доступ до правосуддя. Основні стандарти закріплено у </w:t>
      </w:r>
      <w:proofErr w:type="gramStart"/>
      <w:r w:rsidRPr="00511005">
        <w:rPr>
          <w:rFonts w:ascii="Arial" w:eastAsia="Calibri" w:hAnsi="Arial" w:cs="Arial"/>
          <w:szCs w:val="28"/>
        </w:rPr>
        <w:t>рекомендаціях</w:t>
      </w:r>
      <w:proofErr w:type="gramEnd"/>
      <w:r w:rsidRPr="00511005">
        <w:rPr>
          <w:rFonts w:ascii="Arial" w:eastAsia="Calibri" w:hAnsi="Arial" w:cs="Arial"/>
          <w:szCs w:val="28"/>
        </w:rPr>
        <w:t xml:space="preserve"> Ради Європи, що регламентують використання ІТ у правовій сфері. Концепція телематичного процесу, популярна в європейських країнах, передбачає автоматизацію обміну інформацією між учасниками судового процесу.</w:t>
      </w:r>
    </w:p>
    <w:p w14:paraId="23B5167F"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Цікавим є і досвід Китаю, де реалізується концепція «розумних судів» [4]. </w:t>
      </w:r>
      <w:proofErr w:type="gramStart"/>
      <w:r w:rsidRPr="00511005">
        <w:rPr>
          <w:rFonts w:ascii="Arial" w:eastAsia="Calibri" w:hAnsi="Arial" w:cs="Arial"/>
          <w:szCs w:val="28"/>
        </w:rPr>
        <w:t>У залах</w:t>
      </w:r>
      <w:proofErr w:type="gramEnd"/>
      <w:r w:rsidRPr="00511005">
        <w:rPr>
          <w:rFonts w:ascii="Arial" w:eastAsia="Calibri" w:hAnsi="Arial" w:cs="Arial"/>
          <w:szCs w:val="28"/>
        </w:rPr>
        <w:t xml:space="preserve"> судових засідань використовуються роботи-помічники, а цифрова інфраструктура інтегрує хмарні технології, великі дані, штучний інтелект.</w:t>
      </w:r>
    </w:p>
    <w:p w14:paraId="752CD5DC"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Повномасштабна війна в Україні висвітлила нові виклики для реалізації принципу доступності правосуддя. Як зазначає М. Смокович, території України умовно поділяються на ті, де судочинство можливе, та ті, де — ні. У таких умовах Верховний Суд дозволив учасникам судових процесів подавати заяви про відкладення розгляду справ або брати участь у засіданнях дистанційно за допомогою особистих технічних засобів.</w:t>
      </w:r>
    </w:p>
    <w:p w14:paraId="54153CF3"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Система «Електронний суд» дозволяє навіть в умовах війни подавати документи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xml:space="preserve"> дистанційно. Водночас важливо забезпечити фізичну безпеку осіб, які беруть участь у процесі, зокрема при переміщенні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w:t>
      </w:r>
    </w:p>
    <w:p w14:paraId="4DD022FF" w14:textId="6CB12EB8"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Доступність судового захисту в умовах інформаційної епохи має подвійний характер: з одного боку, цифровізація розширює можливості громадян, з іншого — створює нові виклики [5].</w:t>
      </w:r>
      <w:r w:rsidR="007B2628" w:rsidRPr="00511005">
        <w:rPr>
          <w:rFonts w:ascii="Arial" w:eastAsia="Calibri" w:hAnsi="Arial" w:cs="Arial"/>
          <w:szCs w:val="28"/>
        </w:rPr>
        <w:t xml:space="preserve"> </w:t>
      </w:r>
      <w:r w:rsidRPr="00511005">
        <w:rPr>
          <w:rFonts w:ascii="Arial" w:eastAsia="Calibri" w:hAnsi="Arial" w:cs="Arial"/>
          <w:szCs w:val="28"/>
        </w:rPr>
        <w:t>Для досягнення справжньої доступності правосуддя в Україні необхідно:</w:t>
      </w:r>
    </w:p>
    <w:p w14:paraId="44DB7FFB" w14:textId="77777777" w:rsidR="00B67481" w:rsidRPr="00511005" w:rsidRDefault="00B67481" w:rsidP="003F6A5D">
      <w:pPr>
        <w:numPr>
          <w:ilvl w:val="0"/>
          <w:numId w:val="270"/>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забезпечити рівний доступ до цифрових ресурсів для всіх громадян;</w:t>
      </w:r>
    </w:p>
    <w:p w14:paraId="33C996E0" w14:textId="77777777" w:rsidR="00B67481" w:rsidRPr="00511005" w:rsidRDefault="00B67481" w:rsidP="003F6A5D">
      <w:pPr>
        <w:numPr>
          <w:ilvl w:val="0"/>
          <w:numId w:val="270"/>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підвищити технічну оснащеність судів;</w:t>
      </w:r>
    </w:p>
    <w:p w14:paraId="57ADEF48" w14:textId="77777777" w:rsidR="00B67481" w:rsidRPr="00511005" w:rsidRDefault="00B67481" w:rsidP="003F6A5D">
      <w:pPr>
        <w:numPr>
          <w:ilvl w:val="0"/>
          <w:numId w:val="270"/>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удосконалити законодавство щодо електронного судочинства;</w:t>
      </w:r>
    </w:p>
    <w:p w14:paraId="46C18A2D" w14:textId="77777777" w:rsidR="00B67481" w:rsidRPr="00511005" w:rsidRDefault="00B67481" w:rsidP="003F6A5D">
      <w:pPr>
        <w:numPr>
          <w:ilvl w:val="0"/>
          <w:numId w:val="270"/>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впровадити програми з підвищення цифрової грамотності;</w:t>
      </w:r>
    </w:p>
    <w:p w14:paraId="09DEC534" w14:textId="77777777" w:rsidR="00B67481" w:rsidRPr="00511005" w:rsidRDefault="00B67481" w:rsidP="003F6A5D">
      <w:pPr>
        <w:numPr>
          <w:ilvl w:val="0"/>
          <w:numId w:val="270"/>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lastRenderedPageBreak/>
        <w:t xml:space="preserve">розвивати державні сервіси на зразок «Дія», інтегруючи їх </w:t>
      </w:r>
      <w:proofErr w:type="gramStart"/>
      <w:r w:rsidRPr="00511005">
        <w:rPr>
          <w:rFonts w:ascii="Arial" w:eastAsia="Calibri" w:hAnsi="Arial" w:cs="Arial"/>
          <w:szCs w:val="28"/>
        </w:rPr>
        <w:t>у систему</w:t>
      </w:r>
      <w:proofErr w:type="gramEnd"/>
      <w:r w:rsidRPr="00511005">
        <w:rPr>
          <w:rFonts w:ascii="Arial" w:eastAsia="Calibri" w:hAnsi="Arial" w:cs="Arial"/>
          <w:szCs w:val="28"/>
        </w:rPr>
        <w:t xml:space="preserve"> правосуддя.</w:t>
      </w:r>
    </w:p>
    <w:p w14:paraId="42402219"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Інформаційні технології є потужним інструментом для забезпечення доступу до правосуддя, але лише за умови їх грамотного і виваженого використання. Україна має всі шанси стати прикладом ефективного поєднання цифрової трансформації та дотримання прав людини.</w:t>
      </w:r>
    </w:p>
    <w:p w14:paraId="3168FA7D" w14:textId="77777777" w:rsidR="00B67481" w:rsidRPr="00511005" w:rsidRDefault="00B67481" w:rsidP="003A292D">
      <w:pPr>
        <w:spacing w:line="264" w:lineRule="auto"/>
        <w:ind w:firstLine="454"/>
        <w:contextualSpacing/>
        <w:jc w:val="center"/>
        <w:rPr>
          <w:rFonts w:ascii="Arial" w:eastAsia="Calibri" w:hAnsi="Arial" w:cs="Arial"/>
          <w:b/>
          <w:bCs/>
          <w:szCs w:val="28"/>
          <w:lang w:val="uk-UA"/>
        </w:rPr>
      </w:pPr>
    </w:p>
    <w:p w14:paraId="235E6C59" w14:textId="0D743E86" w:rsidR="00B67481" w:rsidRPr="00511005" w:rsidRDefault="007B2628" w:rsidP="007B2628">
      <w:pPr>
        <w:spacing w:line="264" w:lineRule="auto"/>
        <w:contextualSpacing/>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786F4B20" w14:textId="7535B42D" w:rsidR="00B67481" w:rsidRPr="00511005" w:rsidRDefault="00B67481" w:rsidP="003F6A5D">
      <w:pPr>
        <w:numPr>
          <w:ilvl w:val="0"/>
          <w:numId w:val="269"/>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Конституція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Закон України від 28.06.1996 р. № 254к/96- ВР. URL: </w:t>
      </w:r>
      <w:hyperlink r:id="rId1008">
        <w:r w:rsidRPr="00511005">
          <w:rPr>
            <w:rFonts w:ascii="Arial" w:eastAsia="Times New Roman" w:hAnsi="Arial" w:cs="Arial"/>
            <w:szCs w:val="28"/>
            <w:lang w:eastAsia="ru-RU"/>
          </w:rPr>
          <w:t>https://zakon.rada.gov.ua/laws/show/254%D0%BA/96-%D0%B2%D1%80#Text</w:t>
        </w:r>
      </w:hyperlink>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(дата звернення: 08.04.2025).</w:t>
      </w:r>
    </w:p>
    <w:p w14:paraId="77A15DC8" w14:textId="77777777" w:rsidR="007B2628" w:rsidRPr="00511005" w:rsidRDefault="00B67481" w:rsidP="003F6A5D">
      <w:pPr>
        <w:numPr>
          <w:ilvl w:val="0"/>
          <w:numId w:val="269"/>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Про судоустрій і статус суддів: Закон України від 02.06.2016 № 1402-VIII. URL:</w:t>
      </w:r>
      <w:hyperlink r:id="rId1009" w:anchor="Text">
        <w:r w:rsidRPr="00511005">
          <w:rPr>
            <w:rFonts w:ascii="Arial" w:eastAsia="Times New Roman" w:hAnsi="Arial" w:cs="Arial"/>
            <w:szCs w:val="28"/>
            <w:lang w:eastAsia="ru-RU"/>
          </w:rPr>
          <w:t xml:space="preserve"> </w:t>
        </w:r>
      </w:hyperlink>
      <w:hyperlink r:id="rId1010" w:anchor="Text">
        <w:r w:rsidRPr="00511005">
          <w:rPr>
            <w:rFonts w:ascii="Arial" w:eastAsia="Times New Roman" w:hAnsi="Arial" w:cs="Arial"/>
            <w:szCs w:val="28"/>
            <w:lang w:eastAsia="ru-RU"/>
          </w:rPr>
          <w:t xml:space="preserve">https://zakon.rada.gov.ua/laws/show/1402-19#Text </w:t>
        </w:r>
      </w:hyperlink>
      <w:r w:rsidRPr="00511005">
        <w:rPr>
          <w:rFonts w:ascii="Arial" w:eastAsia="Times New Roman" w:hAnsi="Arial" w:cs="Arial"/>
          <w:szCs w:val="28"/>
          <w:lang w:eastAsia="ru-RU"/>
        </w:rPr>
        <w:t>(дата звернення: 08.04.2025).</w:t>
      </w:r>
    </w:p>
    <w:p w14:paraId="41B48DB7" w14:textId="0553B708" w:rsidR="00B67481" w:rsidRPr="00511005" w:rsidRDefault="00B67481" w:rsidP="003F6A5D">
      <w:pPr>
        <w:numPr>
          <w:ilvl w:val="0"/>
          <w:numId w:val="269"/>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Ніколенко Л. М. Електронне правосуддя як спосіб підвищення ефективності судового розгляду // Науковий вісник Ужгородського національного університету. Серія: Право. – 2022. – Вип. 71. – С. 338–341.</w:t>
      </w:r>
    </w:p>
    <w:p w14:paraId="46AD6EE9" w14:textId="77777777" w:rsidR="00B67481" w:rsidRPr="00511005" w:rsidRDefault="00B67481" w:rsidP="003F6A5D">
      <w:pPr>
        <w:numPr>
          <w:ilvl w:val="0"/>
          <w:numId w:val="269"/>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Погребняк О. С. Особливості запровадження електронного суду у цивільному судочинстві України // Порівняльно-аналітичне право. – 2018. – № 3. – С. 122–124.</w:t>
      </w:r>
    </w:p>
    <w:p w14:paraId="0684BAC9" w14:textId="77777777" w:rsidR="00B67481" w:rsidRPr="00511005" w:rsidRDefault="00B67481" w:rsidP="003F6A5D">
      <w:pPr>
        <w:numPr>
          <w:ilvl w:val="0"/>
          <w:numId w:val="269"/>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Олійничук О., Олійничук Р., Колесніков А. Електронне правосуддя як елемент сучасної системи судочинства // Актуальні проблеми правознавства. – 2021. – № 3 (27). – С. 141–147.</w:t>
      </w:r>
    </w:p>
    <w:p w14:paraId="2CFE7834" w14:textId="77777777" w:rsidR="00B67481" w:rsidRPr="00511005" w:rsidRDefault="00B67481" w:rsidP="003F6A5D">
      <w:pPr>
        <w:numPr>
          <w:ilvl w:val="0"/>
          <w:numId w:val="269"/>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Федоров М. Цифровізація України: до, під час та після повномасштабної війни // Українська правда. – 2022. URL:</w:t>
      </w:r>
      <w:hyperlink r:id="rId1011">
        <w:r w:rsidRPr="00511005">
          <w:rPr>
            <w:rFonts w:ascii="Arial" w:eastAsia="Times New Roman" w:hAnsi="Arial" w:cs="Arial"/>
            <w:szCs w:val="28"/>
            <w:lang w:eastAsia="ru-RU"/>
          </w:rPr>
          <w:t xml:space="preserve"> </w:t>
        </w:r>
      </w:hyperlink>
      <w:hyperlink r:id="rId1012">
        <w:r w:rsidRPr="00511005">
          <w:rPr>
            <w:rFonts w:ascii="Arial" w:eastAsia="Times New Roman" w:hAnsi="Arial" w:cs="Arial"/>
            <w:szCs w:val="28"/>
            <w:lang w:eastAsia="ru-RU"/>
          </w:rPr>
          <w:t>https://www.pravda.com.ua/columns/2022/05/27/7348844/</w:t>
        </w:r>
      </w:hyperlink>
    </w:p>
    <w:p w14:paraId="39562BCC" w14:textId="77777777" w:rsidR="00B67481" w:rsidRPr="00511005" w:rsidRDefault="00B67481" w:rsidP="003F6A5D">
      <w:pPr>
        <w:numPr>
          <w:ilvl w:val="0"/>
          <w:numId w:val="269"/>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Навроцька Ю., Угриновська О. Використання електронних сервісів у забезпеченні доступності правосуддя // Публічне право. – 2023. – № 1(49). – С. 113–117.</w:t>
      </w:r>
    </w:p>
    <w:p w14:paraId="39DB00D5" w14:textId="77777777" w:rsidR="00B67481" w:rsidRPr="00511005" w:rsidRDefault="00B67481" w:rsidP="003A292D">
      <w:pPr>
        <w:spacing w:line="264" w:lineRule="auto"/>
        <w:contextualSpacing/>
        <w:rPr>
          <w:rFonts w:ascii="Arial" w:eastAsia="Calibri" w:hAnsi="Arial" w:cs="Arial"/>
          <w:b/>
          <w:bCs/>
          <w:szCs w:val="28"/>
          <w:lang w:val="uk-UA"/>
        </w:rPr>
      </w:pPr>
    </w:p>
    <w:p w14:paraId="21BBCF69" w14:textId="59B14CF8" w:rsidR="00B67481" w:rsidRPr="00511005" w:rsidRDefault="007B2628" w:rsidP="003A292D">
      <w:pPr>
        <w:spacing w:line="264" w:lineRule="auto"/>
        <w:contextualSpacing/>
        <w:rPr>
          <w:rFonts w:ascii="Arial" w:eastAsia="Calibri" w:hAnsi="Arial" w:cs="Arial"/>
          <w:bCs/>
          <w:szCs w:val="28"/>
        </w:rPr>
      </w:pPr>
      <w:r w:rsidRPr="00511005">
        <w:rPr>
          <w:rFonts w:ascii="Arial" w:eastAsia="Calibri" w:hAnsi="Arial" w:cs="Arial"/>
          <w:b/>
          <w:bCs/>
          <w:i/>
          <w:szCs w:val="28"/>
        </w:rPr>
        <w:t xml:space="preserve">Ключові слова: </w:t>
      </w:r>
      <w:r w:rsidR="00B67481" w:rsidRPr="00511005">
        <w:rPr>
          <w:rFonts w:ascii="Arial" w:eastAsia="Calibri" w:hAnsi="Arial" w:cs="Arial"/>
          <w:bCs/>
          <w:szCs w:val="28"/>
        </w:rPr>
        <w:t>доступ до правосуддя, цифрове правосуддя, електронний суд, ЄСІТС, інформаційні технології, війна, відеоконференція, судовий захист, цифрова грамотність, електронні сервіси.</w:t>
      </w:r>
    </w:p>
    <w:p w14:paraId="3D10B56E" w14:textId="12E5D275" w:rsidR="00B67481" w:rsidRPr="00511005" w:rsidRDefault="007B2628" w:rsidP="003A292D">
      <w:pPr>
        <w:spacing w:line="264" w:lineRule="auto"/>
        <w:contextualSpacing/>
        <w:rPr>
          <w:rFonts w:ascii="Arial" w:eastAsia="Calibri" w:hAnsi="Arial" w:cs="Arial"/>
          <w:szCs w:val="28"/>
          <w:lang w:val="en-US"/>
        </w:rPr>
      </w:pPr>
      <w:r w:rsidRPr="00511005">
        <w:rPr>
          <w:rFonts w:ascii="Arial" w:eastAsia="Calibri" w:hAnsi="Arial" w:cs="Arial"/>
          <w:b/>
          <w:bCs/>
          <w:i/>
          <w:szCs w:val="28"/>
          <w:lang w:val="en-US"/>
        </w:rPr>
        <w:t xml:space="preserve">Key words: </w:t>
      </w:r>
      <w:r w:rsidR="00B67481" w:rsidRPr="00511005">
        <w:rPr>
          <w:rFonts w:ascii="Arial" w:eastAsia="Calibri" w:hAnsi="Arial" w:cs="Arial"/>
          <w:szCs w:val="28"/>
          <w:lang w:val="en-US"/>
        </w:rPr>
        <w:t>access to justice, digital justice, e-court, Unified Judicial Information and Telecommunication System (UJITS), information technologies, war, videoconferencing, judicial protection, digital literacy, electronic services.</w:t>
      </w:r>
    </w:p>
    <w:p w14:paraId="450CFEF9" w14:textId="2375D896" w:rsidR="00B67481" w:rsidRPr="00511005" w:rsidRDefault="007B2628" w:rsidP="003A292D">
      <w:pPr>
        <w:spacing w:line="264" w:lineRule="auto"/>
        <w:contextualSpacing/>
        <w:rPr>
          <w:rFonts w:ascii="Arial" w:eastAsia="Times New Roman" w:hAnsi="Arial" w:cs="Arial"/>
          <w:i/>
          <w:szCs w:val="28"/>
          <w:lang w:val="uk-UA"/>
        </w:rPr>
      </w:pPr>
      <w:r w:rsidRPr="00511005">
        <w:rPr>
          <w:rFonts w:ascii="Arial" w:eastAsia="Times New Roman" w:hAnsi="Arial" w:cs="Arial"/>
          <w:b/>
          <w:i/>
          <w:szCs w:val="28"/>
        </w:rPr>
        <w:t xml:space="preserve">Науковий керівник: </w:t>
      </w:r>
      <w:r w:rsidR="00B67481" w:rsidRPr="00511005">
        <w:rPr>
          <w:rFonts w:ascii="Arial" w:eastAsia="Times New Roman" w:hAnsi="Arial" w:cs="Arial"/>
          <w:i/>
          <w:szCs w:val="28"/>
        </w:rPr>
        <w:t>к.ю.н., доцент Панфілов О</w:t>
      </w:r>
      <w:r w:rsidR="00B67481" w:rsidRPr="00511005">
        <w:rPr>
          <w:rFonts w:ascii="Arial" w:eastAsia="Times New Roman" w:hAnsi="Arial" w:cs="Arial"/>
          <w:i/>
          <w:szCs w:val="28"/>
          <w:lang w:val="uk-UA"/>
        </w:rPr>
        <w:t>.Є.</w:t>
      </w:r>
    </w:p>
    <w:p w14:paraId="1E9E7146" w14:textId="2152D349" w:rsidR="00B67481" w:rsidRPr="00511005" w:rsidRDefault="00B67481" w:rsidP="003A292D">
      <w:pPr>
        <w:spacing w:line="264" w:lineRule="auto"/>
        <w:ind w:firstLine="0"/>
        <w:jc w:val="left"/>
        <w:rPr>
          <w:rFonts w:ascii="Arial" w:eastAsia="Times New Roman" w:hAnsi="Arial" w:cs="Arial"/>
          <w:i/>
          <w:szCs w:val="28"/>
          <w:lang w:val="uk-UA"/>
        </w:rPr>
      </w:pPr>
      <w:r w:rsidRPr="00511005">
        <w:rPr>
          <w:rFonts w:ascii="Arial" w:eastAsia="Times New Roman" w:hAnsi="Arial" w:cs="Arial"/>
          <w:i/>
          <w:szCs w:val="28"/>
          <w:lang w:val="uk-UA"/>
        </w:rPr>
        <w:br w:type="page"/>
      </w:r>
    </w:p>
    <w:p w14:paraId="3F6C439A" w14:textId="77777777" w:rsidR="00B67481" w:rsidRPr="00511005" w:rsidRDefault="00B67481" w:rsidP="003A292D">
      <w:pPr>
        <w:spacing w:line="264" w:lineRule="auto"/>
        <w:ind w:firstLine="0"/>
        <w:jc w:val="center"/>
        <w:rPr>
          <w:rFonts w:ascii="Arial" w:eastAsia="Calibri" w:hAnsi="Arial" w:cs="Arial"/>
          <w:b/>
          <w:bCs/>
          <w:i/>
          <w:szCs w:val="28"/>
          <w:lang w:val="uk-UA"/>
        </w:rPr>
      </w:pPr>
      <w:r w:rsidRPr="00511005">
        <w:rPr>
          <w:rFonts w:ascii="Arial" w:eastAsia="Calibri" w:hAnsi="Arial" w:cs="Arial"/>
          <w:b/>
          <w:bCs/>
          <w:i/>
          <w:szCs w:val="28"/>
          <w:lang w:val="uk-UA"/>
        </w:rPr>
        <w:lastRenderedPageBreak/>
        <w:t>Гієш Тетяна Романівна</w:t>
      </w:r>
    </w:p>
    <w:p w14:paraId="25B3D06B" w14:textId="78B30DA3"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7E4F6C6A"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7FF0CA7"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487808C" w14:textId="77777777" w:rsidR="00B67481" w:rsidRPr="00511005" w:rsidRDefault="00B67481" w:rsidP="003A292D">
      <w:pPr>
        <w:spacing w:line="264" w:lineRule="auto"/>
        <w:ind w:firstLine="0"/>
        <w:jc w:val="center"/>
        <w:rPr>
          <w:rFonts w:ascii="Arial" w:eastAsia="Calibri" w:hAnsi="Arial" w:cs="Arial"/>
          <w:b/>
          <w:bCs/>
          <w:i/>
          <w:szCs w:val="28"/>
          <w:lang w:val="uk-UA"/>
        </w:rPr>
      </w:pPr>
    </w:p>
    <w:p w14:paraId="5D5B2126" w14:textId="77777777" w:rsidR="00B67481" w:rsidRPr="00511005" w:rsidRDefault="00B67481" w:rsidP="003A292D">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ЕЛЕКТРОННІ ДОКАЗИ ЯК ЗАСОБИ ДОКАЗУВАННЯ</w:t>
      </w:r>
    </w:p>
    <w:p w14:paraId="0C138D2D"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Електронні докази стають все більш поширеними в адміністративному судочинстві, особливо у справах, пов’язаних із публічною владою, податками, державними закупівлями, ліцензуванням тощо. Їх використання регулюється Кодексом адміністративного судочинства України (КАСУ) та іншими спеціальними законами.</w:t>
      </w:r>
    </w:p>
    <w:p w14:paraId="651BADD2" w14:textId="54D3181C"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Електронні докази – це інформація в цифровій формі, яка може бути використана для підтвердження або спростування обставин справи. До них належать електронні документи. Електронний документ, як і паперовий, повинен мати обов’язкові реквізити, до яких слід віднести обов’язкові даних, без яких він не може бути підставою для його обліку і не матиме юридичної сили. Даний вид доказу не можна віднести до категорії письмового доказу, але учасники справи мають право подавати письмові докази в електронних копіях, посвідчених електронним цифровим підписом, прирівняним до власноручного підпису відповідно до закону. Електронна копія письмового доказу не вважається електронним доказом (ч. 3 ст. 99 КАС України)[1].</w:t>
      </w:r>
      <w:r w:rsidR="007B2628" w:rsidRPr="00511005">
        <w:rPr>
          <w:rFonts w:ascii="Arial" w:eastAsia="Calibri" w:hAnsi="Arial" w:cs="Arial"/>
          <w:szCs w:val="28"/>
          <w:lang w:val="uk-UA"/>
        </w:rPr>
        <w:t xml:space="preserve"> </w:t>
      </w:r>
    </w:p>
    <w:p w14:paraId="71E82D26"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Щоби встановити автора електронного документа, може використовуватися електронний підпис. Електронний підпис – це підпис, який можна отримати шляхом криптографічного перетворення набору електронних даних. Електронний цифровий підпис накладається за допомогою особистого ключа та перевіряється за допомогою відкритого ключа [2, с. 78]. Накладенням електронного підпису завершується створення електронного документа (ч. 2 ст. 6 Закону України «Про електронні документи та електронний документообіг») [3].</w:t>
      </w:r>
    </w:p>
    <w:p w14:paraId="7318FF2A"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Також до такого виду доказів належать дані з електронних систем. Це такі структуровані цифрові записи, які зберігаються, створюються, обробляються за допомогою інформаційних систем. До них можна віднести записи щодо реєстрації, електронні декларації, медичні електронні картки, дані про освітні документи.</w:t>
      </w:r>
    </w:p>
    <w:p w14:paraId="2101F1E9"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Не менш важливою категорією є метадані. Це такі відомості, які характеризують файл, описують його, а також пояснюють дані, які є у файлі. Це можуть бути заголовок, тема, ім’я автора, ключові слова, час та місце створення файлу.</w:t>
      </w:r>
    </w:p>
    <w:p w14:paraId="62AA30AA"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Цей вид електронного доказування знає кожен - дані з соціальних мереж, месенджерів. Сюди відносяться всім відомі текстові повідомлення, мультимедіа і інші взаємодії у соціальних мережах та чатах, які є в них.</w:t>
      </w:r>
    </w:p>
    <w:p w14:paraId="3619CC5D" w14:textId="5331909D"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Ну і про аудіо- та відеозаписи забувати не будемо. Аудіо- та відеозаписи охоплюють різноманітні технології фіксації, обробки, передачі, зберігання та відтворення візуального та звукового контенту. Цей вид доказів не належить ні до письмових, ні до речових, оскільки їхня сутність полягає не у фізичному носії (наприклад, диску або флешці), а в інформації, яку вони містять. Особливостями таких видів доказів є технологічна залежність, адже для їх відтворення необхідне спеціальне обладнання у виді моніторів, програвачів, динаміків; інформаційна цінність, бо при розгляді суд цікавить саме зміст даних на тому чи іншому носієві, а не сам носій матеріальної інформації; складність верифікації, що полягає у можливому монтажу чи спотворенні, для чого й потрібна експертиза.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Електронні докази у вигляді аудіо- або відеозаписів, які також не посвідчуються таким підписом [4].</w:t>
      </w:r>
    </w:p>
    <w:p w14:paraId="16C1E720"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Важливе значення у справі оцінки електронних доказів в адміністративному судочинстві відіграє судова практика та сформовані на її підставі правові позиції Верховного Суду України. Однак ситуацію ускладнює те, що на даний момент певні усталені підходи щодо оцінки всіх засобів доказування, окрім електронних доказів, вже сформовано. Так, у Керівництві «Електронні докази в цивільному та адміністративному процесі», ухваленому Комітетом міністрів Ради Європи 30.01.2019 року [5, с. 7] зазначено, що електронні докази слід оцінювати так само, як і інші види доказів, зокрема щодо їх допустимості, автентичності, точності та цілісності. Тобто за критеріями належності, допустимості, достатності та достовірності.</w:t>
      </w:r>
    </w:p>
    <w:p w14:paraId="27CC7A36"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Так, належними є докази, що містять інформацію стосовно предмета доказування, яким є обставини, що підтверджують заявлені вимоги чи заперечення або мають інше значення для розгляду справи і підлягають встановленню при ухваленні судового рішення [6, ст. 77]</w:t>
      </w:r>
    </w:p>
    <w:p w14:paraId="6A793D4F"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Д</w:t>
      </w:r>
      <w:r w:rsidRPr="00511005">
        <w:rPr>
          <w:rFonts w:ascii="Arial" w:eastAsia="Calibri" w:hAnsi="Arial" w:cs="Arial"/>
          <w:szCs w:val="28"/>
        </w:rPr>
        <w:t>опустим</w:t>
      </w:r>
      <w:r w:rsidRPr="00511005">
        <w:rPr>
          <w:rFonts w:ascii="Arial" w:eastAsia="Calibri" w:hAnsi="Arial" w:cs="Arial"/>
          <w:szCs w:val="28"/>
          <w:lang w:val="uk-UA"/>
        </w:rPr>
        <w:t xml:space="preserve">ими </w:t>
      </w:r>
      <w:r w:rsidRPr="00511005">
        <w:rPr>
          <w:rFonts w:ascii="Arial" w:eastAsia="Calibri" w:hAnsi="Arial" w:cs="Arial"/>
          <w:szCs w:val="28"/>
        </w:rPr>
        <w:t>доказ</w:t>
      </w:r>
      <w:r w:rsidRPr="00511005">
        <w:rPr>
          <w:rFonts w:ascii="Arial" w:eastAsia="Calibri" w:hAnsi="Arial" w:cs="Arial"/>
          <w:szCs w:val="28"/>
          <w:lang w:val="uk-UA"/>
        </w:rPr>
        <w:t xml:space="preserve">ами </w:t>
      </w:r>
      <w:r w:rsidRPr="00511005">
        <w:rPr>
          <w:rFonts w:ascii="Arial" w:eastAsia="Calibri" w:hAnsi="Arial" w:cs="Arial"/>
          <w:szCs w:val="28"/>
        </w:rPr>
        <w:t>можуть бути лише ті докази, які одержані в установленому законом порядку. Якщо цей порядок порушено, то суд такі докази не бере до уваги [</w:t>
      </w:r>
      <w:r w:rsidRPr="00511005">
        <w:rPr>
          <w:rFonts w:ascii="Arial" w:eastAsia="Calibri" w:hAnsi="Arial" w:cs="Arial"/>
          <w:szCs w:val="28"/>
          <w:lang w:val="uk-UA"/>
        </w:rPr>
        <w:t>6</w:t>
      </w:r>
      <w:r w:rsidRPr="00511005">
        <w:rPr>
          <w:rFonts w:ascii="Arial" w:eastAsia="Calibri" w:hAnsi="Arial" w:cs="Arial"/>
          <w:szCs w:val="28"/>
        </w:rPr>
        <w:t>, ст. 78].</w:t>
      </w:r>
      <w:r w:rsidRPr="00511005">
        <w:rPr>
          <w:rFonts w:ascii="Arial" w:eastAsia="Calibri" w:hAnsi="Arial" w:cs="Arial"/>
          <w:szCs w:val="28"/>
          <w:lang w:val="uk-UA"/>
        </w:rPr>
        <w:t xml:space="preserve"> Зазвичай допустимість визначається як використання електронного підпису.</w:t>
      </w:r>
    </w:p>
    <w:p w14:paraId="4831FBC8"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Що стосується достовірних доказів, то вони являють собою докази, на підставі яких можна встановити дійсні обставини справи [6, ст. 79].Достовірність електронного доказу – означає повну відповідність змісту об'єктивній дійсності, безпомилковість та точність містить інформації, відсутність суперечностей між даними та встановленими обставинами справи. </w:t>
      </w:r>
      <w:r w:rsidRPr="00511005">
        <w:rPr>
          <w:rFonts w:ascii="Arial" w:eastAsia="Calibri" w:hAnsi="Arial" w:cs="Arial"/>
          <w:szCs w:val="28"/>
        </w:rPr>
        <w:t>Головним механізмом забезпечення достовірності електронних доказів є вимога подання оригіналу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xml:space="preserve">. </w:t>
      </w:r>
      <w:r w:rsidRPr="00511005">
        <w:rPr>
          <w:rFonts w:ascii="Arial" w:eastAsia="Calibri" w:hAnsi="Arial" w:cs="Arial"/>
          <w:szCs w:val="28"/>
          <w:lang w:val="uk-UA"/>
        </w:rPr>
        <w:t>С</w:t>
      </w:r>
      <w:r w:rsidRPr="00511005">
        <w:rPr>
          <w:rFonts w:ascii="Arial" w:eastAsia="Calibri" w:hAnsi="Arial" w:cs="Arial"/>
          <w:szCs w:val="28"/>
        </w:rPr>
        <w:t>уд має можливість безпосередньо оцінити першоджерело інформації</w:t>
      </w:r>
      <w:r w:rsidRPr="00511005">
        <w:rPr>
          <w:rFonts w:ascii="Arial" w:eastAsia="Calibri" w:hAnsi="Arial" w:cs="Arial"/>
          <w:szCs w:val="28"/>
          <w:lang w:val="uk-UA"/>
        </w:rPr>
        <w:t>, що забезпечить</w:t>
      </w:r>
      <w:r w:rsidRPr="00511005">
        <w:rPr>
          <w:rFonts w:ascii="Arial" w:eastAsia="Calibri" w:hAnsi="Arial" w:cs="Arial"/>
          <w:szCs w:val="28"/>
        </w:rPr>
        <w:t xml:space="preserve"> максимальн</w:t>
      </w:r>
      <w:r w:rsidRPr="00511005">
        <w:rPr>
          <w:rFonts w:ascii="Arial" w:eastAsia="Calibri" w:hAnsi="Arial" w:cs="Arial"/>
          <w:szCs w:val="28"/>
          <w:lang w:val="uk-UA"/>
        </w:rPr>
        <w:t>у</w:t>
      </w:r>
      <w:r w:rsidRPr="00511005">
        <w:rPr>
          <w:rFonts w:ascii="Arial" w:eastAsia="Calibri" w:hAnsi="Arial" w:cs="Arial"/>
          <w:szCs w:val="28"/>
        </w:rPr>
        <w:t xml:space="preserve"> автентичність доказового матеріалу</w:t>
      </w:r>
      <w:r w:rsidRPr="00511005">
        <w:rPr>
          <w:rFonts w:ascii="Arial" w:eastAsia="Calibri" w:hAnsi="Arial" w:cs="Arial"/>
          <w:szCs w:val="28"/>
          <w:lang w:val="uk-UA"/>
        </w:rPr>
        <w:t>.</w:t>
      </w:r>
    </w:p>
    <w:p w14:paraId="4094F9B4"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 xml:space="preserve">Останніми є достатні докази, які у своїй сукупності дають змогу дійти висновку про наявність або відсутність обставин справи, які входять до </w:t>
      </w:r>
      <w:r w:rsidRPr="00511005">
        <w:rPr>
          <w:rFonts w:ascii="Arial" w:eastAsia="Calibri" w:hAnsi="Arial" w:cs="Arial"/>
          <w:szCs w:val="28"/>
        </w:rPr>
        <w:lastRenderedPageBreak/>
        <w:t>предмета доказування. Саме питання щодо достатності доказів для встановлення обставин, які мають значення у справі, суд вирішує відповідно до свого внутрішнього переконання [</w:t>
      </w:r>
      <w:r w:rsidRPr="00511005">
        <w:rPr>
          <w:rFonts w:ascii="Arial" w:eastAsia="Calibri" w:hAnsi="Arial" w:cs="Arial"/>
          <w:szCs w:val="28"/>
          <w:lang w:val="uk-UA"/>
        </w:rPr>
        <w:t>6</w:t>
      </w:r>
      <w:r w:rsidRPr="00511005">
        <w:rPr>
          <w:rFonts w:ascii="Arial" w:eastAsia="Calibri" w:hAnsi="Arial" w:cs="Arial"/>
          <w:szCs w:val="28"/>
        </w:rPr>
        <w:t>, ст. 80].</w:t>
      </w:r>
    </w:p>
    <w:p w14:paraId="2E3C4443"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Аналізуючи види електронних доказів, можна ознаки, які є специфічними саме для такого виду. На мою думку, варто розібрати кожну з таких ознак. По-перше, це залежність таких доказів від технічних засобів, адже створення, збереження та відтворення даного виду доказів вимагає використання спеціальних технологічних пристроїв або програмних систем.</w:t>
      </w:r>
    </w:p>
    <w:p w14:paraId="591377F5"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По-друге, сталість інформації при передачі з одного носія на інший. На відміну від фізичних носіїв, електронні докази можуть бути неодноразово скопійовані або перенесені між пристроями без втрати своїх початкових властивостей, що забезпечує їхню незмінність та можливість багаторазового відтворення.</w:t>
      </w:r>
    </w:p>
    <w:p w14:paraId="5AEDE5FE" w14:textId="3824246F"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b/>
          <w:bCs/>
          <w:szCs w:val="28"/>
          <w:lang w:val="uk-UA" w:eastAsia="ru-RU"/>
        </w:rPr>
        <w:t xml:space="preserve">Варто виокремити також можливість </w:t>
      </w:r>
      <w:r w:rsidRPr="00511005">
        <w:rPr>
          <w:rFonts w:ascii="Arial" w:eastAsia="Times New Roman" w:hAnsi="Arial" w:cs="Arial"/>
          <w:szCs w:val="28"/>
          <w:lang w:val="uk-UA" w:eastAsia="ru-RU"/>
        </w:rPr>
        <w:t>оригіналу електронного доказу одночасно існувати в кількох місцях без втрати автентичності.</w:t>
      </w:r>
      <w:r w:rsidR="007B2628" w:rsidRPr="00511005">
        <w:rPr>
          <w:rFonts w:ascii="Arial" w:eastAsia="Times New Roman" w:hAnsi="Arial" w:cs="Arial"/>
          <w:szCs w:val="28"/>
          <w:lang w:val="uk-UA" w:eastAsia="ru-RU"/>
        </w:rPr>
        <w:t xml:space="preserve"> </w:t>
      </w:r>
    </w:p>
    <w:p w14:paraId="739D2201"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b/>
          <w:bCs/>
          <w:szCs w:val="28"/>
          <w:lang w:val="uk-UA" w:eastAsia="ru-RU"/>
        </w:rPr>
        <w:t>Не менш важливою ознакою є відсутність жорсткої прив'язки до матеріального носія</w:t>
      </w:r>
      <w:r w:rsidRPr="00511005">
        <w:rPr>
          <w:rFonts w:ascii="Arial" w:eastAsia="Times New Roman" w:hAnsi="Arial" w:cs="Arial"/>
          <w:szCs w:val="28"/>
          <w:lang w:val="uk-UA" w:eastAsia="ru-RU"/>
        </w:rPr>
        <w:t>, бо на відміну від традиційних доказів, електронні дані можуть бути необмежено копійовані без втрати якості і автентичності. Вони є доступними для використання у будь-який час, а також існують у віртуальній формі.</w:t>
      </w:r>
    </w:p>
    <w:p w14:paraId="6E2E6D4E"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Виокремити варто і універсальність електронних доказів, яка полягає в тому, що вони включають в себе звукові записи, відеоматеріали, текстові документи, графічні зображення, схеми та комбінації всіх цих елементів в одному файлі. Вони постійно еволюціонує під впливом розвитку цифровізації та інновацій, наукових досягнень та нових суспільних потреб.</w:t>
      </w:r>
    </w:p>
    <w:p w14:paraId="06244DBD"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b/>
          <w:bCs/>
          <w:szCs w:val="28"/>
          <w:lang w:val="uk-UA" w:eastAsia="ru-RU"/>
        </w:rPr>
        <w:t>Існують і негативні ознаки, такі як вразливість до дистанційного впливу та проблеми автентифікації</w:t>
      </w:r>
      <w:r w:rsidRPr="00511005">
        <w:rPr>
          <w:rFonts w:ascii="Arial" w:eastAsia="Times New Roman" w:hAnsi="Arial" w:cs="Arial"/>
          <w:szCs w:val="28"/>
          <w:lang w:val="uk-UA" w:eastAsia="ru-RU"/>
        </w:rPr>
        <w:t>. Сучасні технології дозволяють як маніпулювати електронними даними, спотворюючи їх, так і повністю їх знищувати. Ще одним ключовим викликом залишається ідентифікація автора та джерела поширення електронного документу, особливо для контенту з соціальних мереж, через можливість створювати фейкові акаунти. Ці аспекти поки що не мають чіткого правового регулювання в адміністративному процесі, що ускладнює забезпечення достовірності таких доказів.</w:t>
      </w:r>
    </w:p>
    <w:p w14:paraId="39C6FDA3"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Виходячи з негативних ознак, можна виокремити проблеми, які виникають при використанні в судочинстві електронних доказів. </w:t>
      </w:r>
    </w:p>
    <w:p w14:paraId="21FD35FA"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Відсутні критерії, які дозволяють зрозуміти, де копія, а де оригінал, адже для суду вагоме значення має саме оригінал, як першоджерело. . Копії фіксуються пізніше, із зазначенням дати її створення, але межа між оригіналом і копією юридично розмита.</w:t>
      </w:r>
    </w:p>
    <w:p w14:paraId="0A0C708B"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Існує складність встановлення часу створення, які критично важливі, </w:t>
      </w:r>
      <w:r w:rsidRPr="00511005">
        <w:rPr>
          <w:rFonts w:ascii="Arial" w:eastAsia="Times New Roman" w:hAnsi="Arial" w:cs="Arial"/>
          <w:szCs w:val="28"/>
          <w:lang w:eastAsia="ru-RU"/>
        </w:rPr>
        <w:t>для доведення його автентичності, але технічно їх можна змінити або підробити</w:t>
      </w:r>
      <w:r w:rsidRPr="00511005">
        <w:rPr>
          <w:rFonts w:ascii="Arial" w:eastAsia="Times New Roman" w:hAnsi="Arial" w:cs="Arial"/>
          <w:szCs w:val="28"/>
          <w:lang w:val="uk-UA" w:eastAsia="ru-RU"/>
        </w:rPr>
        <w:t>.</w:t>
      </w:r>
    </w:p>
    <w:p w14:paraId="1A464B3B"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відсутня процедура ідентифікації автора документу. Неясно, як юридично підтвердити авторство електронного доказу, особливо якщо відсутній е-підпис або дані про особу.</w:t>
      </w:r>
    </w:p>
    <w:p w14:paraId="15C0DBE5"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 на мою думку, найголовніше – відсутність специфічного порядку дослідження такого виду доказів. Суд досліджує докази, в порядку, визначеному для письмових доказів, що не є правильним з точки зору їх особливості і своєрідності. Якщо вже є розподіл на види, мають бути і різні процедури та порядки дослідження.</w:t>
      </w:r>
    </w:p>
    <w:p w14:paraId="22C0A248" w14:textId="734816E3"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можна зробити висновок.</w:t>
      </w:r>
      <w:r w:rsidRPr="00511005">
        <w:rPr>
          <w:rFonts w:ascii="Arial" w:eastAsia="Times New Roman" w:hAnsi="Arial" w:cs="Arial"/>
          <w:szCs w:val="28"/>
          <w:lang w:eastAsia="ru-RU"/>
        </w:rPr>
        <w:t xml:space="preserve"> Використання електронних доказів стало суттєвим та результативним елементом сучасного доказового процесу. Незважаючи на те, що адміністративне процесуальне законодавство поки що не встигає повною мірою врегулювати всі нюанси їх застосування, їх поступове впровадження слід визнати прогресивним та об'єктивно необхідним кроком.</w:t>
      </w:r>
      <w:r w:rsidRPr="00511005">
        <w:rPr>
          <w:rFonts w:ascii="Arial" w:eastAsia="Times New Roman" w:hAnsi="Arial" w:cs="Arial"/>
          <w:szCs w:val="28"/>
          <w:lang w:val="uk-UA" w:eastAsia="ru-RU"/>
        </w:rPr>
        <w:t xml:space="preserve"> Прийняття на законодавчому рівні норм, що регулюють статус електронних доказів, становить важливий етап модернізації доказової системи, який допомагає більш якісно гарантувати захист прав та інтересів людини. Таким чином,</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електронні докази у адміністративному судочинстві відкривають нові можливості для підвищення якості правосуддя, залишаючись при цьому сферою, що потребує подальшого вдосконалення нормативної бази.</w:t>
      </w:r>
    </w:p>
    <w:p w14:paraId="531E5F93" w14:textId="77777777" w:rsidR="00B67481" w:rsidRPr="00511005" w:rsidRDefault="00B67481" w:rsidP="003A292D">
      <w:pPr>
        <w:spacing w:line="264" w:lineRule="auto"/>
        <w:ind w:firstLine="0"/>
        <w:jc w:val="left"/>
        <w:rPr>
          <w:rFonts w:ascii="Arial" w:eastAsia="Calibri" w:hAnsi="Arial" w:cs="Arial"/>
          <w:szCs w:val="28"/>
          <w:lang w:val="uk-UA"/>
        </w:rPr>
      </w:pPr>
    </w:p>
    <w:p w14:paraId="4F4565D0" w14:textId="76CA70CE" w:rsidR="00B67481" w:rsidRPr="00511005" w:rsidRDefault="007B2628" w:rsidP="007B2628">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345FCD7B" w14:textId="77777777" w:rsidR="00B67481" w:rsidRPr="00511005" w:rsidRDefault="00B67481" w:rsidP="003F6A5D">
      <w:pPr>
        <w:numPr>
          <w:ilvl w:val="0"/>
          <w:numId w:val="27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Кодекс адміністративного судочинства України Закон Укра</w:t>
      </w:r>
      <w:r w:rsidRPr="00511005">
        <w:rPr>
          <w:rFonts w:ascii="Arial" w:eastAsia="Times New Roman" w:hAnsi="Arial" w:cs="Arial"/>
          <w:szCs w:val="28"/>
          <w:lang w:val="uk-UA" w:eastAsia="ru-RU"/>
        </w:rPr>
        <w:t>їни</w:t>
      </w:r>
      <w:r w:rsidRPr="00511005">
        <w:rPr>
          <w:rFonts w:ascii="Arial" w:eastAsia="Times New Roman" w:hAnsi="Arial" w:cs="Arial"/>
          <w:szCs w:val="28"/>
          <w:lang w:eastAsia="ru-RU"/>
        </w:rPr>
        <w:t xml:space="preserve"> від 6 липня 2005 р. № 2747-IV. Верховна Рада України. Офіційний вебпортал.</w:t>
      </w:r>
      <w:bookmarkStart w:id="135" w:name="_Hlk197384737"/>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bookmarkEnd w:id="135"/>
      <w:r w:rsidRPr="00511005">
        <w:rPr>
          <w:rFonts w:ascii="Arial" w:eastAsia="Times New Roman" w:hAnsi="Arial" w:cs="Arial"/>
          <w:szCs w:val="28"/>
          <w:lang w:val="uk-UA" w:eastAsia="ru-RU"/>
        </w:rPr>
        <w:fldChar w:fldCharType="begin"/>
      </w:r>
      <w:r w:rsidRPr="00511005">
        <w:rPr>
          <w:rFonts w:ascii="Arial" w:eastAsia="Times New Roman" w:hAnsi="Arial" w:cs="Arial"/>
          <w:szCs w:val="28"/>
          <w:lang w:val="uk-UA" w:eastAsia="ru-RU"/>
        </w:rPr>
        <w:instrText>HYPERLINK "https://zakon.rada.gov.ua/laws/show/2747-15#Text"</w:instrText>
      </w:r>
      <w:r w:rsidRPr="00511005">
        <w:rPr>
          <w:rFonts w:ascii="Arial" w:eastAsia="Times New Roman" w:hAnsi="Arial" w:cs="Arial"/>
          <w:szCs w:val="28"/>
          <w:lang w:val="uk-UA" w:eastAsia="ru-RU"/>
        </w:rPr>
        <w:fldChar w:fldCharType="separate"/>
      </w:r>
      <w:r w:rsidRPr="00511005">
        <w:rPr>
          <w:rFonts w:ascii="Arial" w:eastAsia="Times New Roman" w:hAnsi="Arial" w:cs="Arial"/>
          <w:szCs w:val="28"/>
          <w:lang w:val="uk-UA" w:eastAsia="ru-RU"/>
        </w:rPr>
        <w:t>https://zakon.rada.gov.ua/laws/show/2747-15#Text</w:t>
      </w:r>
      <w:r w:rsidRPr="00511005">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xml:space="preserve"> </w:t>
      </w:r>
      <w:bookmarkStart w:id="136" w:name="_Hlk197384680"/>
      <w:bookmarkStart w:id="137" w:name="_Hlk197384913"/>
      <w:r w:rsidRPr="00511005">
        <w:rPr>
          <w:rFonts w:ascii="Arial" w:eastAsia="Times New Roman" w:hAnsi="Arial" w:cs="Arial"/>
          <w:szCs w:val="28"/>
          <w:lang w:val="uk-UA" w:eastAsia="ru-RU"/>
        </w:rPr>
        <w:t>Дата звернення: 28.04.2025</w:t>
      </w:r>
      <w:bookmarkEnd w:id="136"/>
    </w:p>
    <w:bookmarkEnd w:id="137"/>
    <w:p w14:paraId="5A5AB742" w14:textId="77777777" w:rsidR="00B67481" w:rsidRPr="00511005" w:rsidRDefault="00B67481" w:rsidP="003F6A5D">
      <w:pPr>
        <w:numPr>
          <w:ilvl w:val="0"/>
          <w:numId w:val="27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Найченко А. М. Електронні докази: реалії сьогодення. ДП «Видавничий дім «Персонал». Експерт: парадигми юридичних наук і державного управління. С. 72–85.</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013" w:history="1">
        <w:r w:rsidRPr="00511005">
          <w:rPr>
            <w:rFonts w:ascii="Arial" w:eastAsia="Times New Roman" w:hAnsi="Arial" w:cs="Arial"/>
            <w:szCs w:val="28"/>
            <w:lang w:val="uk-UA" w:eastAsia="ru-RU"/>
          </w:rPr>
          <w:t>https://intelect.org.ua/wp-content/uploads/2021/01/expert1.pdf</w:t>
        </w:r>
      </w:hyperlink>
      <w:r w:rsidRPr="00511005">
        <w:rPr>
          <w:rFonts w:ascii="Arial" w:eastAsia="Times New Roman" w:hAnsi="Arial" w:cs="Arial"/>
          <w:szCs w:val="28"/>
          <w:lang w:val="uk-UA" w:eastAsia="ru-RU"/>
        </w:rPr>
        <w:t xml:space="preserve"> Дата звернення: 28.04.2025</w:t>
      </w:r>
    </w:p>
    <w:p w14:paraId="65353511" w14:textId="77777777" w:rsidR="00B67481" w:rsidRPr="00511005" w:rsidRDefault="00B67481" w:rsidP="003F6A5D">
      <w:pPr>
        <w:numPr>
          <w:ilvl w:val="0"/>
          <w:numId w:val="27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 xml:space="preserve">Про електронні документи та електронний </w:t>
      </w:r>
      <w:proofErr w:type="gramStart"/>
      <w:r w:rsidRPr="00511005">
        <w:rPr>
          <w:rFonts w:ascii="Arial" w:eastAsia="Times New Roman" w:hAnsi="Arial" w:cs="Arial"/>
          <w:szCs w:val="28"/>
          <w:lang w:eastAsia="ru-RU"/>
        </w:rPr>
        <w:t>документообіг :</w:t>
      </w:r>
      <w:proofErr w:type="gramEnd"/>
      <w:r w:rsidRPr="00511005">
        <w:rPr>
          <w:rFonts w:ascii="Arial" w:eastAsia="Times New Roman" w:hAnsi="Arial" w:cs="Arial"/>
          <w:szCs w:val="28"/>
          <w:lang w:eastAsia="ru-RU"/>
        </w:rPr>
        <w:t xml:space="preserve"> Закон України від 22.05.2003 р. № 851-15. Верховна Рада України. Офіційний вебпортал. </w:t>
      </w:r>
      <w:proofErr w:type="gramStart"/>
      <w:r w:rsidRPr="00511005">
        <w:rPr>
          <w:rFonts w:ascii="Arial" w:eastAsia="Times New Roman" w:hAnsi="Arial" w:cs="Arial"/>
          <w:szCs w:val="28"/>
          <w:lang w:eastAsia="ru-RU"/>
        </w:rPr>
        <w:t>URL :</w:t>
      </w:r>
      <w:proofErr w:type="gramEnd"/>
      <w:r w:rsidRPr="00511005">
        <w:rPr>
          <w:rFonts w:ascii="Arial" w:eastAsia="Times New Roman" w:hAnsi="Arial" w:cs="Arial"/>
          <w:szCs w:val="28"/>
          <w:lang w:eastAsia="ru-RU"/>
        </w:rPr>
        <w:t xml:space="preserve"> </w:t>
      </w:r>
      <w:hyperlink r:id="rId1014" w:history="1">
        <w:r w:rsidRPr="00511005">
          <w:rPr>
            <w:rFonts w:ascii="Arial" w:eastAsia="Times New Roman" w:hAnsi="Arial" w:cs="Arial"/>
            <w:szCs w:val="28"/>
            <w:lang w:eastAsia="ru-RU"/>
          </w:rPr>
          <w:t>http://zakon0.rada.gov.ua/laws/show/851-15</w:t>
        </w:r>
      </w:hyperlink>
      <w:r w:rsidRPr="00511005">
        <w:rPr>
          <w:rFonts w:ascii="Arial" w:eastAsia="Times New Roman" w:hAnsi="Arial" w:cs="Arial"/>
          <w:szCs w:val="28"/>
          <w:lang w:val="uk-UA" w:eastAsia="ru-RU"/>
        </w:rPr>
        <w:t xml:space="preserve"> </w:t>
      </w:r>
      <w:bookmarkStart w:id="138" w:name="_Hlk197384754"/>
      <w:r w:rsidRPr="00511005">
        <w:rPr>
          <w:rFonts w:ascii="Arial" w:eastAsia="Times New Roman" w:hAnsi="Arial" w:cs="Arial"/>
          <w:szCs w:val="28"/>
          <w:lang w:val="uk-UA" w:eastAsia="ru-RU"/>
        </w:rPr>
        <w:t>Дата звернення: 26.04.2025</w:t>
      </w:r>
    </w:p>
    <w:bookmarkEnd w:id="138"/>
    <w:p w14:paraId="4541C210" w14:textId="77777777" w:rsidR="00B67481" w:rsidRPr="00511005" w:rsidRDefault="00B67481" w:rsidP="003F6A5D">
      <w:pPr>
        <w:numPr>
          <w:ilvl w:val="0"/>
          <w:numId w:val="27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 xml:space="preserve">Електронні докази та застосування останніх на практиці. 2018. </w:t>
      </w:r>
      <w:proofErr w:type="gramStart"/>
      <w:r w:rsidRPr="00511005">
        <w:rPr>
          <w:rFonts w:ascii="Arial" w:eastAsia="Times New Roman" w:hAnsi="Arial" w:cs="Arial"/>
          <w:szCs w:val="28"/>
          <w:lang w:eastAsia="ru-RU"/>
        </w:rPr>
        <w:t>URL :</w:t>
      </w:r>
      <w:proofErr w:type="gramEnd"/>
      <w:r w:rsidRPr="00511005">
        <w:rPr>
          <w:rFonts w:ascii="Arial" w:eastAsia="Times New Roman" w:hAnsi="Arial" w:cs="Arial"/>
          <w:szCs w:val="28"/>
          <w:lang w:eastAsia="ru-RU"/>
        </w:rPr>
        <w:t xml:space="preserve"> </w:t>
      </w:r>
      <w:hyperlink r:id="rId1015" w:history="1">
        <w:r w:rsidRPr="00511005">
          <w:rPr>
            <w:rFonts w:ascii="Arial" w:eastAsia="Times New Roman" w:hAnsi="Arial" w:cs="Arial"/>
            <w:szCs w:val="28"/>
            <w:lang w:eastAsia="ru-RU"/>
          </w:rPr>
          <w:t>http://consultant.parus.ua/newszakon?doc=.1DVG08090</w:t>
        </w:r>
      </w:hyperlink>
      <w:r w:rsidRPr="00511005">
        <w:rPr>
          <w:rFonts w:ascii="Arial" w:eastAsia="Times New Roman" w:hAnsi="Arial" w:cs="Arial"/>
          <w:szCs w:val="28"/>
          <w:lang w:val="uk-UA" w:eastAsia="ru-RU"/>
        </w:rPr>
        <w:t xml:space="preserve"> Дата звернення: 27.04.2025</w:t>
      </w:r>
    </w:p>
    <w:p w14:paraId="06BEC771" w14:textId="77777777" w:rsidR="00B67481" w:rsidRPr="00511005" w:rsidRDefault="00B67481" w:rsidP="003F6A5D">
      <w:pPr>
        <w:numPr>
          <w:ilvl w:val="0"/>
          <w:numId w:val="27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en-US" w:eastAsia="ru-RU"/>
        </w:rPr>
        <w:t xml:space="preserve">Council of Europe, Electronic Evidence in Civil and Administrative Proceedings. Guidelines and Explanatory Memorandum, Council of Europe, </w:t>
      </w:r>
      <w:r w:rsidRPr="00511005">
        <w:rPr>
          <w:rFonts w:ascii="Arial" w:eastAsia="Times New Roman" w:hAnsi="Arial" w:cs="Arial"/>
          <w:szCs w:val="28"/>
          <w:lang w:val="en-US" w:eastAsia="ru-RU"/>
        </w:rPr>
        <w:lastRenderedPageBreak/>
        <w:t xml:space="preserve">Strasbourg. 2019. </w:t>
      </w:r>
      <w:hyperlink r:id="rId1016" w:history="1">
        <w:r w:rsidRPr="00511005">
          <w:rPr>
            <w:rFonts w:ascii="Arial" w:eastAsia="Times New Roman" w:hAnsi="Arial" w:cs="Arial"/>
            <w:szCs w:val="28"/>
            <w:lang w:val="en-US" w:eastAsia="ru-RU"/>
          </w:rPr>
          <w:t>https://rm.coe.int/guidelines-on-electronic-evidence-and-explanatory-memorandum/1680968ab5</w:t>
        </w:r>
      </w:hyperlink>
      <w:r w:rsidRPr="00511005">
        <w:rPr>
          <w:rFonts w:ascii="Arial" w:eastAsia="Times New Roman" w:hAnsi="Arial" w:cs="Arial"/>
          <w:szCs w:val="28"/>
          <w:lang w:val="uk-UA" w:eastAsia="ru-RU"/>
        </w:rPr>
        <w:t xml:space="preserve"> Дата звернення: 25.04.2025</w:t>
      </w:r>
    </w:p>
    <w:p w14:paraId="5FF5F58B" w14:textId="77777777" w:rsidR="00B67481" w:rsidRPr="00511005" w:rsidRDefault="00B67481" w:rsidP="003F6A5D">
      <w:pPr>
        <w:numPr>
          <w:ilvl w:val="0"/>
          <w:numId w:val="27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 xml:space="preserve">Цивільний процесуальний кодекс України: Закон України від 18.03.2004 № 1618-ІV. (Відомості </w:t>
      </w:r>
      <w:proofErr w:type="gramStart"/>
      <w:r w:rsidRPr="00511005">
        <w:rPr>
          <w:rFonts w:ascii="Arial" w:eastAsia="Times New Roman" w:hAnsi="Arial" w:cs="Arial"/>
          <w:szCs w:val="28"/>
          <w:lang w:eastAsia="ru-RU"/>
        </w:rPr>
        <w:t>Верховної</w:t>
      </w:r>
      <w:proofErr w:type="gramEnd"/>
      <w:r w:rsidRPr="00511005">
        <w:rPr>
          <w:rFonts w:ascii="Arial" w:eastAsia="Times New Roman" w:hAnsi="Arial" w:cs="Arial"/>
          <w:szCs w:val="28"/>
          <w:lang w:eastAsia="ru-RU"/>
        </w:rPr>
        <w:t xml:space="preserve"> Ради України (ВВР). 2004. № 40-41, 42, ст. 492</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hyperlink r:id="rId1017" w:anchor="Text" w:history="1">
        <w:r w:rsidRPr="00511005">
          <w:rPr>
            <w:rFonts w:ascii="Arial" w:eastAsia="Times New Roman" w:hAnsi="Arial" w:cs="Arial"/>
            <w:szCs w:val="28"/>
            <w:lang w:val="uk-UA" w:eastAsia="ru-RU"/>
          </w:rPr>
          <w:t>https://zakon.rada.gov.ua/laws/show/1618-15#Text</w:t>
        </w:r>
      </w:hyperlink>
      <w:r w:rsidRPr="00511005">
        <w:rPr>
          <w:rFonts w:ascii="Arial" w:eastAsia="Times New Roman" w:hAnsi="Arial" w:cs="Arial"/>
          <w:szCs w:val="28"/>
          <w:lang w:val="uk-UA" w:eastAsia="ru-RU"/>
        </w:rPr>
        <w:t xml:space="preserve"> </w:t>
      </w:r>
      <w:bookmarkStart w:id="139" w:name="_Hlk197384795"/>
      <w:r w:rsidRPr="00511005">
        <w:rPr>
          <w:rFonts w:ascii="Arial" w:eastAsia="Times New Roman" w:hAnsi="Arial" w:cs="Arial"/>
          <w:szCs w:val="28"/>
          <w:lang w:val="uk-UA" w:eastAsia="ru-RU"/>
        </w:rPr>
        <w:t>Дата звернення: 26.04.2025</w:t>
      </w:r>
      <w:bookmarkEnd w:id="139"/>
    </w:p>
    <w:p w14:paraId="79D9B7E0" w14:textId="77777777" w:rsidR="00B67481" w:rsidRPr="00511005" w:rsidRDefault="00B67481" w:rsidP="003A292D">
      <w:pPr>
        <w:spacing w:line="264" w:lineRule="auto"/>
        <w:jc w:val="left"/>
        <w:rPr>
          <w:rFonts w:ascii="Arial" w:eastAsia="Calibri" w:hAnsi="Arial" w:cs="Arial"/>
          <w:b/>
          <w:bCs/>
          <w:szCs w:val="28"/>
          <w:lang w:val="uk-UA"/>
        </w:rPr>
      </w:pPr>
    </w:p>
    <w:p w14:paraId="306FF92C" w14:textId="6E916052" w:rsidR="00B67481" w:rsidRPr="00511005" w:rsidRDefault="007B2628" w:rsidP="003A292D">
      <w:pPr>
        <w:spacing w:line="264" w:lineRule="auto"/>
        <w:jc w:val="left"/>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B67481" w:rsidRPr="00511005">
        <w:rPr>
          <w:rFonts w:ascii="Arial" w:eastAsia="Calibri" w:hAnsi="Arial" w:cs="Arial"/>
          <w:szCs w:val="28"/>
          <w:lang w:val="uk-UA"/>
        </w:rPr>
        <w:t>електронні докази, доказування, адміністративний процес, ефективність, інформація, особливості, автентичнність, універсальність, сучасність.</w:t>
      </w:r>
    </w:p>
    <w:p w14:paraId="52B6DCEF" w14:textId="1B1899D7" w:rsidR="00B67481" w:rsidRPr="00511005" w:rsidRDefault="007B2628" w:rsidP="003A292D">
      <w:pPr>
        <w:spacing w:line="264" w:lineRule="auto"/>
        <w:jc w:val="left"/>
        <w:rPr>
          <w:rFonts w:ascii="Arial" w:eastAsia="Calibri" w:hAnsi="Arial" w:cs="Arial"/>
          <w:szCs w:val="28"/>
          <w:lang w:val="uk-UA"/>
        </w:rPr>
      </w:pPr>
      <w:r w:rsidRPr="00511005">
        <w:rPr>
          <w:rFonts w:ascii="Arial" w:eastAsia="Calibri" w:hAnsi="Arial" w:cs="Arial"/>
          <w:b/>
          <w:bCs/>
          <w:i/>
          <w:szCs w:val="28"/>
          <w:lang w:val="uk-UA"/>
        </w:rPr>
        <w:t xml:space="preserve">Key words: </w:t>
      </w:r>
      <w:r w:rsidR="00B67481" w:rsidRPr="00511005">
        <w:rPr>
          <w:rFonts w:ascii="Arial" w:eastAsia="Calibri" w:hAnsi="Arial" w:cs="Arial"/>
          <w:szCs w:val="28"/>
          <w:lang w:val="uk-UA"/>
        </w:rPr>
        <w:t>electronic evidence, proof, administrative process, efficiency, information, features, authenticity, universality, modernity.</w:t>
      </w:r>
    </w:p>
    <w:p w14:paraId="4C468F65" w14:textId="319FD601" w:rsidR="00B67481" w:rsidRPr="00511005" w:rsidRDefault="007B2628" w:rsidP="003A292D">
      <w:pPr>
        <w:spacing w:line="264" w:lineRule="auto"/>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B67481" w:rsidRPr="00511005">
        <w:rPr>
          <w:rFonts w:ascii="Arial" w:eastAsia="Calibri" w:hAnsi="Arial" w:cs="Arial"/>
          <w:i/>
          <w:iCs/>
          <w:szCs w:val="28"/>
          <w:lang w:val="uk-UA"/>
        </w:rPr>
        <w:t>к.ю.н., доцент Козачук Д.А.</w:t>
      </w:r>
    </w:p>
    <w:p w14:paraId="346D6BEB" w14:textId="77777777" w:rsidR="001D1A08" w:rsidRPr="00511005" w:rsidRDefault="001D1A08" w:rsidP="003A292D">
      <w:pPr>
        <w:spacing w:line="264" w:lineRule="auto"/>
        <w:ind w:firstLine="0"/>
        <w:jc w:val="left"/>
        <w:rPr>
          <w:rFonts w:ascii="Arial" w:eastAsia="Calibri" w:hAnsi="Arial" w:cs="Arial"/>
          <w:i/>
          <w:iCs/>
          <w:szCs w:val="28"/>
          <w:lang w:val="uk-UA"/>
        </w:rPr>
      </w:pPr>
    </w:p>
    <w:p w14:paraId="638095BB" w14:textId="77777777" w:rsidR="001D1A08" w:rsidRPr="00511005" w:rsidRDefault="001D1A08" w:rsidP="003A292D">
      <w:pPr>
        <w:spacing w:line="264" w:lineRule="auto"/>
        <w:ind w:firstLine="0"/>
        <w:jc w:val="left"/>
        <w:rPr>
          <w:rFonts w:ascii="Arial" w:eastAsia="Calibri" w:hAnsi="Arial" w:cs="Arial"/>
          <w:i/>
          <w:iCs/>
          <w:szCs w:val="28"/>
          <w:lang w:val="uk-UA"/>
        </w:rPr>
      </w:pPr>
    </w:p>
    <w:p w14:paraId="48A43AF5" w14:textId="77777777" w:rsidR="00B67481" w:rsidRPr="00511005" w:rsidRDefault="00B67481" w:rsidP="003A292D">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i/>
          <w:iCs/>
          <w:szCs w:val="28"/>
          <w:lang w:eastAsia="ru-RU"/>
        </w:rPr>
        <w:t>Думініка</w:t>
      </w:r>
      <w:r w:rsidRPr="00511005">
        <w:rPr>
          <w:rFonts w:ascii="Arial" w:eastAsia="Times New Roman" w:hAnsi="Arial" w:cs="Arial"/>
          <w:b/>
          <w:bCs/>
          <w:i/>
          <w:iCs/>
          <w:szCs w:val="28"/>
          <w:lang w:val="en-US" w:eastAsia="ru-RU"/>
        </w:rPr>
        <w:t> </w:t>
      </w:r>
      <w:r w:rsidRPr="00511005">
        <w:rPr>
          <w:rFonts w:ascii="Arial" w:eastAsia="Times New Roman" w:hAnsi="Arial" w:cs="Arial"/>
          <w:b/>
          <w:i/>
          <w:iCs/>
          <w:szCs w:val="28"/>
          <w:lang w:eastAsia="ru-RU"/>
        </w:rPr>
        <w:t>Марія Олександрівна,</w:t>
      </w:r>
      <w:r w:rsidRPr="00511005">
        <w:rPr>
          <w:rFonts w:ascii="Arial" w:eastAsia="Times New Roman" w:hAnsi="Arial" w:cs="Arial"/>
          <w:b/>
          <w:bCs/>
          <w:i/>
          <w:iCs/>
          <w:szCs w:val="28"/>
          <w:lang w:val="en-US" w:eastAsia="ru-RU"/>
        </w:rPr>
        <w:t> </w:t>
      </w:r>
      <w:r w:rsidRPr="00511005">
        <w:rPr>
          <w:rFonts w:ascii="Arial" w:eastAsia="Times New Roman" w:hAnsi="Arial" w:cs="Arial"/>
          <w:b/>
          <w:i/>
          <w:iCs/>
          <w:szCs w:val="28"/>
          <w:lang w:eastAsia="ru-RU"/>
        </w:rPr>
        <w:t>Рацун</w:t>
      </w:r>
      <w:r w:rsidRPr="00511005">
        <w:rPr>
          <w:rFonts w:ascii="Arial" w:eastAsia="Times New Roman" w:hAnsi="Arial" w:cs="Arial"/>
          <w:b/>
          <w:bCs/>
          <w:i/>
          <w:iCs/>
          <w:szCs w:val="28"/>
          <w:lang w:val="en-US" w:eastAsia="ru-RU"/>
        </w:rPr>
        <w:t> </w:t>
      </w:r>
      <w:r w:rsidRPr="00511005">
        <w:rPr>
          <w:rFonts w:ascii="Arial" w:eastAsia="Times New Roman" w:hAnsi="Arial" w:cs="Arial"/>
          <w:b/>
          <w:i/>
          <w:iCs/>
          <w:szCs w:val="28"/>
          <w:lang w:eastAsia="ru-RU"/>
        </w:rPr>
        <w:t>Ангеліна Анатоліївна</w:t>
      </w:r>
    </w:p>
    <w:p w14:paraId="5F769940" w14:textId="50BF18ED" w:rsidR="00B67481" w:rsidRPr="00511005" w:rsidRDefault="00B67481"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студентки 4-го курсу </w:t>
      </w:r>
      <w:r w:rsidR="001B7B25" w:rsidRPr="00511005">
        <w:rPr>
          <w:rFonts w:ascii="Arial" w:eastAsia="Times New Roman" w:hAnsi="Arial" w:cs="Arial"/>
          <w:szCs w:val="28"/>
          <w:lang w:eastAsia="ru-RU"/>
        </w:rPr>
        <w:t>факультету судового та міжнародного права</w:t>
      </w:r>
    </w:p>
    <w:p w14:paraId="63E21AB1" w14:textId="185F54CD" w:rsidR="00B67481" w:rsidRPr="00511005" w:rsidRDefault="007B2628"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426EE76" w14:textId="77777777" w:rsidR="00B67481" w:rsidRPr="00511005" w:rsidRDefault="00B67481" w:rsidP="003A292D">
      <w:pPr>
        <w:spacing w:line="264" w:lineRule="auto"/>
        <w:ind w:firstLine="0"/>
        <w:jc w:val="right"/>
        <w:rPr>
          <w:rFonts w:ascii="Arial" w:eastAsia="Calibri" w:hAnsi="Arial" w:cs="Arial"/>
          <w:b/>
          <w:szCs w:val="28"/>
          <w:lang w:val="uk-UA"/>
        </w:rPr>
      </w:pPr>
    </w:p>
    <w:p w14:paraId="14970FDE" w14:textId="77777777" w:rsidR="00B67481" w:rsidRPr="00511005" w:rsidRDefault="00B67481"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СУДОВІ СПОРИ ЩОДО ВИЇЗДУ ВІЙСЬКОВОЗОБОВʼЯЗАНИХ ЗА КОРДОН</w:t>
      </w:r>
    </w:p>
    <w:p w14:paraId="024879D0"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Запровадження правового режиму воєнного стану в Україні, спричинене широкомасштабною агресією російської федерації, істотно обмежило реалізацію деяких конституційних прав і свобод громадян, зокрема права на свободу пересування. Одним із ключових аспектів стало встановлення обмежень на виїзд за межі держави чоловіків віком від 18 до 60 років.</w:t>
      </w:r>
    </w:p>
    <w:p w14:paraId="3175E2F3"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Наслідком таких обмежень стало зростання кількості судових спорів щодо правомірності відмов у пропуску через державний кордон військовозобов'язаних осіб. Аналіз судової практики, сформованої Верховним Судом, дозволяє виявити основні підходи до вирішення подібних спорів і оцінити ефективність чинного правового регулювання у цій сфері.</w:t>
      </w:r>
    </w:p>
    <w:p w14:paraId="12905B93"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Правовою основою обмеження права громадян на виїзд за межі України є Закон України «Про правовий режим воєнного стану» від 12 травня 2015 року № 389-VIII [1], який передбачає можливість тимчасового обмеження конституційних прав і свобод в інтересах національної безпеки. Конкретизація цих положень міститься у Правилах перетинання державного кордону громадянами України, затверджених постановою Кабінету Міністрів України від 27 січня 1995 року № 57 [2].</w:t>
      </w:r>
    </w:p>
    <w:p w14:paraId="4715D1F8"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Крім того, у березні 2022 року Державна прикордонна служба України надала роз’яснення щодо порядку організації виїзду за кордон на період дії правового режиму воєнного стану. Однак, варто зазначити, що такі листи </w:t>
      </w:r>
      <w:r w:rsidRPr="00511005">
        <w:rPr>
          <w:rFonts w:ascii="Arial" w:eastAsia="Calibri" w:hAnsi="Arial" w:cs="Arial"/>
          <w:szCs w:val="28"/>
          <w:lang w:val="uk-UA"/>
        </w:rPr>
        <w:lastRenderedPageBreak/>
        <w:t>мають інформаційний характер і не є нормативно-правовими актами. З часом їх положення можуть втратити актуальність або бути змінені іншими нормативними документами [3]. Серед таких категорій — особи, що мають підстави для відстрочки від мобілізації, самостійні батьки дітей віком до 18 років, особи з інвалідністю тощо. Важливо відзначити, що право на перетин державного кордону повинно бути підтверджене належними документами, які встановлені Правилами № 57 та іншими нормативно-правовими актами.</w:t>
      </w:r>
    </w:p>
    <w:p w14:paraId="2B250072"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Однією з найбільш дискусійних тем є співвідношення права на відстрочку від призову та права на виїзд. Верховний Суд у постанові від 19 вересня 2023 року у справі № 160/14641/22 встановив, що наявність відстрочки не дорівнює праву на виїзд [4].</w:t>
      </w:r>
    </w:p>
    <w:p w14:paraId="458ED7BA"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Суд зауважив, що право на відстрочку лише тимчасово звільняє громадянина від обов'язку проходження військової служби, однак не анулює вимоги законодавства щодо обмеження виїзду в умовах воєнного стану. Ця позиція була підтверджена і у постанові від 16 листопада 2023 року у справі № 160/15200/22, де Верховний Суд чітко розмежував процедури мобілізаційної відстрочки і надання дозволу на перетин державного кордону [5].</w:t>
      </w:r>
    </w:p>
    <w:p w14:paraId="13F6CAE5"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Згідно з частиною першою статті 23 Закону України «Про мобілізаційну підготовку та мобілізацію», а також відповідно до змін, внесених у 2024 році, право на відстрочку від призову мають, зокрема:</w:t>
      </w:r>
    </w:p>
    <w:p w14:paraId="7DD2823D"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w:t>
      </w:r>
      <w:r w:rsidRPr="00511005">
        <w:rPr>
          <w:rFonts w:ascii="Arial" w:eastAsia="Calibri" w:hAnsi="Arial" w:cs="Arial"/>
          <w:szCs w:val="28"/>
          <w:lang w:val="uk-UA"/>
        </w:rPr>
        <w:tab/>
        <w:t>особи, які самостійно виховують дитину до 18 років;</w:t>
      </w:r>
    </w:p>
    <w:p w14:paraId="0FDB5034"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w:t>
      </w:r>
      <w:r w:rsidRPr="00511005">
        <w:rPr>
          <w:rFonts w:ascii="Arial" w:eastAsia="Calibri" w:hAnsi="Arial" w:cs="Arial"/>
          <w:szCs w:val="28"/>
          <w:lang w:val="uk-UA"/>
        </w:rPr>
        <w:tab/>
        <w:t>батьки трьох і більше неповнолітніх дітей;</w:t>
      </w:r>
    </w:p>
    <w:p w14:paraId="6BA0A00C"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w:t>
      </w:r>
      <w:r w:rsidRPr="00511005">
        <w:rPr>
          <w:rFonts w:ascii="Arial" w:eastAsia="Calibri" w:hAnsi="Arial" w:cs="Arial"/>
          <w:szCs w:val="28"/>
          <w:lang w:val="uk-UA"/>
        </w:rPr>
        <w:tab/>
        <w:t>особи, які доглядають за близькими родичами з інвалідністю;</w:t>
      </w:r>
    </w:p>
    <w:p w14:paraId="0C28DF4E"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w:t>
      </w:r>
      <w:r w:rsidRPr="00511005">
        <w:rPr>
          <w:rFonts w:ascii="Arial" w:eastAsia="Calibri" w:hAnsi="Arial" w:cs="Arial"/>
          <w:szCs w:val="28"/>
          <w:lang w:val="uk-UA"/>
        </w:rPr>
        <w:tab/>
        <w:t>студенти денної форми навчання, які здобувають освіту за кордоном. Цей перелік не є вичерпним і може змінюватися відповідно до актуального законодавства.</w:t>
      </w:r>
    </w:p>
    <w:p w14:paraId="170B5907"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У справі № 340/735/23 Верховний Суд визнав обґрунтованими доводи позивача про право на перетин державного кордону за наявності належних доказів самостійного виховання дітей [6]. Суд підкреслив, що документи, такі як рішення суду про визначення місця проживання дитини або свідоцтва про народження, мають бути подані обов’язково.</w:t>
      </w:r>
    </w:p>
    <w:p w14:paraId="29632308"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Іншою поширеною підставою для спорів стало питання використання військового квитка як підтвердження права на виїзд. Верховний Суд у справі № 600/2520/22-а зазначив, що факт виключення з військового обліку, який засвідчується відповідною відміткою у військовому квитку, може бути підставою для перетину державного кордону. Натомість зняття з обліку, наприклад, у зв’язку зі зміною місця проживання, не звільняє особу від обов’язків військовозобов’язаного і не є достатньою підставою для виїзду за кордон [7]. </w:t>
      </w:r>
    </w:p>
    <w:p w14:paraId="5B43BA4E"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У нещодавно переданих до Великої Палати Верховного Суду справах (січень–лютий 2025 року) розглядаються питання можливості відступу від існуючих правових позицій щодо виїзду чоловіків за кордон [8].</w:t>
      </w:r>
    </w:p>
    <w:p w14:paraId="504F185A"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Серед нових аспектів обговорюється можливість розширення категорій осіб, які мають право на виїзд, з огляду на гуманітарні потреби, а також удосконалення процедур підтвердження правових підстав для перетину кордону.</w:t>
      </w:r>
    </w:p>
    <w:p w14:paraId="0566229E"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Вивчення міжнародної практики засвідчує, що навіть у країнах із розвиненою демократією право на виїзд може обмежуватися під час надзвичайного стану. Водночас такі обмеження повинні бути чітко прописані в законодавстві, бути пропорційними та підлягати ефективному судовому контролю. Зокрема, у Франції після введення надзвичайного стану в 2015 році кожне обмеження свободи пересування перевірялося адміністративними судами на предмет його обґрунтованості та необхідності.</w:t>
      </w:r>
    </w:p>
    <w:p w14:paraId="3A4ACCC8"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Аналіз судової практики Верховного Суду свідчить про формування в Україні послідовної та обґрунтованої лінії у справах щодо виїзду військовозобовʼязаних за кордон. Ключовими засадами є розмежування процедур мобілізації та виїзду, обов’язковість надання належних доказів і суворе дотримання встановленого порядку. Подальший розвиток судової практики та вдосконалення законодавства мають бути спрямовані на забезпечення прав людини із одночасним дотриманням національних інтересів безпеки.</w:t>
      </w:r>
    </w:p>
    <w:p w14:paraId="629EF623" w14:textId="77777777" w:rsidR="00B67481" w:rsidRPr="00511005" w:rsidRDefault="00B67481" w:rsidP="003A292D">
      <w:pPr>
        <w:spacing w:line="264" w:lineRule="auto"/>
        <w:rPr>
          <w:rFonts w:ascii="Arial" w:eastAsia="Calibri" w:hAnsi="Arial" w:cs="Arial"/>
          <w:szCs w:val="28"/>
          <w:lang w:val="uk-UA"/>
        </w:rPr>
      </w:pPr>
    </w:p>
    <w:p w14:paraId="0755829F" w14:textId="458F51D4" w:rsidR="00B67481" w:rsidRPr="00511005" w:rsidRDefault="007B2628" w:rsidP="007B2628">
      <w:pPr>
        <w:spacing w:line="264" w:lineRule="auto"/>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7680C26F"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1.</w:t>
      </w:r>
      <w:r w:rsidRPr="00511005">
        <w:rPr>
          <w:rFonts w:ascii="Arial" w:eastAsia="Calibri" w:hAnsi="Arial" w:cs="Arial"/>
          <w:szCs w:val="28"/>
          <w:lang w:val="uk-UA"/>
        </w:rPr>
        <w:tab/>
        <w:t>Про правовий режим воєнного стану : Закон України від 12 трав. 2015 р. № 389-VIII // Відомості Верховної Ради України. 2015. № 28. Ст. 253.</w:t>
      </w:r>
    </w:p>
    <w:p w14:paraId="44B010C3"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2.</w:t>
      </w:r>
      <w:r w:rsidRPr="00511005">
        <w:rPr>
          <w:rFonts w:ascii="Arial" w:eastAsia="Calibri" w:hAnsi="Arial" w:cs="Arial"/>
          <w:szCs w:val="28"/>
          <w:lang w:val="uk-UA"/>
        </w:rPr>
        <w:tab/>
        <w:t>Про затвердження Правил перетинання державного кордону громадянами України : постанова Кабінету Міністрів України від 27 січ. 1995 р. № 57 // Офіційний вісник України. 1995. № 7. Ст. 178.</w:t>
      </w:r>
    </w:p>
    <w:p w14:paraId="317FED2C"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3.</w:t>
      </w:r>
      <w:r w:rsidRPr="00511005">
        <w:rPr>
          <w:rFonts w:ascii="Arial" w:eastAsia="Calibri" w:hAnsi="Arial" w:cs="Arial"/>
          <w:szCs w:val="28"/>
          <w:lang w:val="uk-UA"/>
        </w:rPr>
        <w:tab/>
        <w:t>Щодо порядку організації виїзду за кордон на період дії правового режиму воєнного стану : лист Державної прикордонної служби України від 17 берез. 2022 р. № 23-6855/0/6-22-Вих.</w:t>
      </w:r>
    </w:p>
    <w:p w14:paraId="13BA6CC8"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4.</w:t>
      </w:r>
      <w:r w:rsidRPr="00511005">
        <w:rPr>
          <w:rFonts w:ascii="Arial" w:eastAsia="Calibri" w:hAnsi="Arial" w:cs="Arial"/>
          <w:szCs w:val="28"/>
          <w:lang w:val="uk-UA"/>
        </w:rPr>
        <w:tab/>
        <w:t>Верховний Суд. Постанова від 19 верес. 2023 р. у справі № 160/14641/22 URL: https://tinyurl.com/ysfxrswz.</w:t>
      </w:r>
    </w:p>
    <w:p w14:paraId="71EBE62E"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5.</w:t>
      </w:r>
      <w:r w:rsidRPr="00511005">
        <w:rPr>
          <w:rFonts w:ascii="Arial" w:eastAsia="Calibri" w:hAnsi="Arial" w:cs="Arial"/>
          <w:szCs w:val="28"/>
          <w:lang w:val="uk-UA"/>
        </w:rPr>
        <w:tab/>
        <w:t>Верховний Суд. Постанова від 16 листоп. 2023 р. у справі № 160/15200/22 URL: https://tinyurl.com/3hmjr8wv.</w:t>
      </w:r>
    </w:p>
    <w:p w14:paraId="01EA7564"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6.</w:t>
      </w:r>
      <w:r w:rsidRPr="00511005">
        <w:rPr>
          <w:rFonts w:ascii="Arial" w:eastAsia="Calibri" w:hAnsi="Arial" w:cs="Arial"/>
          <w:szCs w:val="28"/>
          <w:lang w:val="uk-UA"/>
        </w:rPr>
        <w:tab/>
        <w:t>Верховний Суд. Постанова від 1 лип. 2024 р. у справі № 340/735/23 URL: https://tinyurl.com/znfv9rmn.</w:t>
      </w:r>
    </w:p>
    <w:p w14:paraId="1AA6286A"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7.</w:t>
      </w:r>
      <w:r w:rsidRPr="00511005">
        <w:rPr>
          <w:rFonts w:ascii="Arial" w:eastAsia="Calibri" w:hAnsi="Arial" w:cs="Arial"/>
          <w:szCs w:val="28"/>
          <w:lang w:val="uk-UA"/>
        </w:rPr>
        <w:tab/>
        <w:t>Верховний Суд. Постанова від 9 берез. 2023 р. у справі № 600/2520/22-а URL: https://tinyurl.com/3hmjr8wv.</w:t>
      </w:r>
    </w:p>
    <w:p w14:paraId="73692EFE"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8.</w:t>
      </w:r>
      <w:r w:rsidRPr="00511005">
        <w:rPr>
          <w:rFonts w:ascii="Arial" w:eastAsia="Calibri" w:hAnsi="Arial" w:cs="Arial"/>
          <w:szCs w:val="28"/>
          <w:lang w:val="uk-UA"/>
        </w:rPr>
        <w:tab/>
        <w:t>Верховний Суд. Огляд справ, переданих на розгляд Великої Палати (27 січ. — 2 лют. 2025 р.) URL: https://tinyurl.com/2p8twkj3.</w:t>
      </w:r>
    </w:p>
    <w:p w14:paraId="253CB7DE" w14:textId="77777777" w:rsidR="00B67481" w:rsidRPr="00511005" w:rsidRDefault="00B67481" w:rsidP="003A292D">
      <w:pPr>
        <w:spacing w:line="264" w:lineRule="auto"/>
        <w:rPr>
          <w:rFonts w:ascii="Arial" w:eastAsia="Calibri" w:hAnsi="Arial" w:cs="Arial"/>
          <w:b/>
          <w:szCs w:val="28"/>
          <w:lang w:val="uk-UA"/>
        </w:rPr>
      </w:pPr>
    </w:p>
    <w:p w14:paraId="25668136" w14:textId="7676B261"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B67481" w:rsidRPr="00511005">
        <w:rPr>
          <w:rFonts w:ascii="Arial" w:eastAsia="Calibri" w:hAnsi="Arial" w:cs="Arial"/>
          <w:szCs w:val="28"/>
          <w:lang w:val="uk-UA"/>
        </w:rPr>
        <w:t>воєнний стан, перетин кордону, мобілізація, судові спори, військовозобов'язаний, право на виїзд, Верховний Суд, адміністративне судочинство</w:t>
      </w:r>
    </w:p>
    <w:p w14:paraId="6877CBFB" w14:textId="3D4DB246" w:rsidR="00B67481"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B67481" w:rsidRPr="00511005">
        <w:rPr>
          <w:rFonts w:ascii="Arial" w:eastAsia="Calibri" w:hAnsi="Arial" w:cs="Arial"/>
          <w:szCs w:val="28"/>
          <w:lang w:val="en-US"/>
        </w:rPr>
        <w:t>martial law, border crossing, mobilization, court disputes, conscript, right to leave, Supreme Court, administrative proceedings</w:t>
      </w:r>
    </w:p>
    <w:p w14:paraId="56D95471" w14:textId="7EC91CDE" w:rsidR="00B67481" w:rsidRPr="00511005" w:rsidRDefault="007B2628" w:rsidP="003A292D">
      <w:pPr>
        <w:tabs>
          <w:tab w:val="left" w:pos="4995"/>
          <w:tab w:val="left" w:pos="31680"/>
        </w:tabs>
        <w:spacing w:line="264" w:lineRule="auto"/>
        <w:rPr>
          <w:rFonts w:ascii="Arial" w:eastAsia="Calibri" w:hAnsi="Arial" w:cs="Arial"/>
          <w:i/>
          <w:szCs w:val="28"/>
        </w:rPr>
      </w:pPr>
      <w:r w:rsidRPr="00511005">
        <w:rPr>
          <w:rFonts w:ascii="Arial" w:eastAsia="Calibri" w:hAnsi="Arial" w:cs="Arial"/>
          <w:b/>
          <w:i/>
          <w:szCs w:val="28"/>
        </w:rPr>
        <w:t xml:space="preserve">Науковий керівник: </w:t>
      </w:r>
      <w:r w:rsidR="00B67481" w:rsidRPr="00511005">
        <w:rPr>
          <w:rFonts w:ascii="Arial" w:eastAsia="Calibri" w:hAnsi="Arial" w:cs="Arial"/>
          <w:i/>
          <w:szCs w:val="28"/>
        </w:rPr>
        <w:t>к.ю.н., доцент Осадчий А. Ю.</w:t>
      </w:r>
    </w:p>
    <w:p w14:paraId="26363B84" w14:textId="77777777" w:rsidR="001D1A08" w:rsidRPr="00511005" w:rsidRDefault="001D1A08" w:rsidP="003A292D">
      <w:pPr>
        <w:spacing w:line="264" w:lineRule="auto"/>
        <w:ind w:firstLine="0"/>
        <w:jc w:val="left"/>
        <w:rPr>
          <w:rFonts w:ascii="Arial" w:eastAsia="Calibri" w:hAnsi="Arial" w:cs="Arial"/>
          <w:i/>
          <w:szCs w:val="28"/>
        </w:rPr>
      </w:pPr>
    </w:p>
    <w:p w14:paraId="5C90931B" w14:textId="77777777" w:rsidR="001D1A08" w:rsidRPr="00511005" w:rsidRDefault="001D1A08" w:rsidP="003A292D">
      <w:pPr>
        <w:spacing w:line="264" w:lineRule="auto"/>
        <w:ind w:firstLine="0"/>
        <w:jc w:val="left"/>
        <w:rPr>
          <w:rFonts w:ascii="Arial" w:eastAsia="Calibri" w:hAnsi="Arial" w:cs="Arial"/>
          <w:i/>
          <w:szCs w:val="28"/>
        </w:rPr>
      </w:pPr>
    </w:p>
    <w:p w14:paraId="33685532" w14:textId="77777777" w:rsidR="00B67481" w:rsidRPr="00511005" w:rsidRDefault="00B67481" w:rsidP="003A292D">
      <w:pPr>
        <w:spacing w:line="264" w:lineRule="auto"/>
        <w:ind w:firstLine="0"/>
        <w:contextualSpacing/>
        <w:jc w:val="center"/>
        <w:rPr>
          <w:rFonts w:ascii="Arial" w:eastAsia="Calibri" w:hAnsi="Arial" w:cs="Arial"/>
          <w:b/>
          <w:i/>
          <w:szCs w:val="28"/>
          <w:lang w:val="uk-UA"/>
        </w:rPr>
      </w:pPr>
      <w:r w:rsidRPr="00511005">
        <w:rPr>
          <w:rFonts w:ascii="Arial" w:eastAsia="Calibri" w:hAnsi="Arial" w:cs="Arial"/>
          <w:b/>
          <w:i/>
          <w:szCs w:val="28"/>
          <w:lang w:val="uk-UA"/>
        </w:rPr>
        <w:t>Елісашвілі Ілля Володимирович</w:t>
      </w:r>
    </w:p>
    <w:p w14:paraId="44992C0A" w14:textId="0E6ED18D" w:rsidR="00B67481" w:rsidRPr="00511005" w:rsidRDefault="00536AAB" w:rsidP="003A292D">
      <w:pPr>
        <w:spacing w:line="264" w:lineRule="auto"/>
        <w:ind w:firstLine="0"/>
        <w:contextualSpacing/>
        <w:jc w:val="center"/>
        <w:rPr>
          <w:rFonts w:ascii="Arial" w:eastAsia="Calibri" w:hAnsi="Arial" w:cs="Arial"/>
          <w:szCs w:val="28"/>
          <w:lang w:val="uk-UA"/>
        </w:rPr>
      </w:pPr>
      <w:r w:rsidRPr="00511005">
        <w:rPr>
          <w:rFonts w:ascii="Arial" w:eastAsia="Calibri" w:hAnsi="Arial" w:cs="Arial"/>
          <w:szCs w:val="28"/>
          <w:lang w:val="uk-UA"/>
        </w:rPr>
        <w:t xml:space="preserve">студент 4-го курсу </w:t>
      </w:r>
      <w:r w:rsidR="001B7B25" w:rsidRPr="00511005">
        <w:rPr>
          <w:rFonts w:ascii="Arial" w:eastAsia="Calibri" w:hAnsi="Arial" w:cs="Arial"/>
          <w:szCs w:val="28"/>
          <w:lang w:val="uk-UA"/>
        </w:rPr>
        <w:t>факультету судового та міжнародного права</w:t>
      </w:r>
    </w:p>
    <w:p w14:paraId="433B6369" w14:textId="1E53D0D2" w:rsidR="00B67481" w:rsidRPr="00511005" w:rsidRDefault="007B2628" w:rsidP="003A292D">
      <w:pPr>
        <w:spacing w:line="264" w:lineRule="auto"/>
        <w:ind w:firstLine="0"/>
        <w:contextualSpacing/>
        <w:jc w:val="center"/>
        <w:rPr>
          <w:rFonts w:ascii="Arial" w:eastAsia="Calibri" w:hAnsi="Arial" w:cs="Arial"/>
          <w:i/>
          <w:szCs w:val="28"/>
          <w:lang w:val="uk-UA"/>
        </w:rPr>
      </w:pPr>
      <w:r w:rsidRPr="00511005">
        <w:rPr>
          <w:rFonts w:ascii="Arial" w:eastAsia="Calibri" w:hAnsi="Arial" w:cs="Arial"/>
          <w:szCs w:val="28"/>
          <w:lang w:val="uk-UA"/>
        </w:rPr>
        <w:t>Національного університету «Одеська юридична академія»</w:t>
      </w:r>
    </w:p>
    <w:p w14:paraId="58617C93" w14:textId="77777777" w:rsidR="00B67481" w:rsidRPr="00511005" w:rsidRDefault="00B67481" w:rsidP="003A292D">
      <w:pPr>
        <w:spacing w:line="264" w:lineRule="auto"/>
        <w:ind w:firstLine="0"/>
        <w:contextualSpacing/>
        <w:jc w:val="center"/>
        <w:rPr>
          <w:rFonts w:ascii="Arial" w:eastAsia="Calibri" w:hAnsi="Arial" w:cs="Arial"/>
          <w:b/>
          <w:szCs w:val="28"/>
          <w:lang w:val="uk-UA"/>
        </w:rPr>
      </w:pPr>
    </w:p>
    <w:p w14:paraId="2EF4ED8B" w14:textId="77777777" w:rsidR="00B67481" w:rsidRPr="00511005" w:rsidRDefault="00B67481" w:rsidP="003A292D">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АСПЕКТИ ПОНОВЛЕННЯ ПРОЦЕСУАЛЬНИХ СТРОКІВ В АДМІНІСТРАТИВНОМУ СУДОЧИНСТВІ ПІД ЧАС ВОЄННОГО СТАНУ</w:t>
      </w:r>
    </w:p>
    <w:p w14:paraId="0549B4AF"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З початком повномасштабного вторгнення кардинальні зміни торкнулися не лише повсякденного життя кожного українця, а й адміністративного судочинство в нашій державі. І одним з найбільших, хто відчув ці зміни є безпосередньо інститут процесуальних строків.</w:t>
      </w:r>
    </w:p>
    <w:p w14:paraId="77A5401D"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Під час дії воєнного стану в Україні адміністративне судочинство продовжує функціонувати, однак виникають певні особливості щодо процесуальних строків. Варто зазначити, що сам факт введення воєнного стану не зупиняє перебіг процесуальних строків. Це підтверджується практикою Верховного Суду, зокрема постановою Великої Палати від 10.11.2022 у справі № 990/115/22, де зазначено, що запровадження воєнного стану не є підставою для автоматичного поновлення пропущених строків [1].</w:t>
      </w:r>
    </w:p>
    <w:p w14:paraId="19998EA0"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Що стосується воєнного стану, то потрібно зазначити, що законом визначено неприпустимість припинення повноважень органів державної влади, в тому числі і судів [2]. Проте, зрозуміло що під час військових дій все одно існує відповідна об’єктивна загроза зриву тих чи інших стадій та етапів судового процесу в адміністративному судочинстві. І найчастіше через це страждають саме процесуальні. Відповідно до частини 1 статті 119 Кодексу адміністративного судочинства України суд має встановлювати розумні строки для вчинення процесуальних дій. Згідно положень частини 1 статті 122 КАС України суд за заявою учасника справи поновлює пропущений процесуальний строк, встановлений законом, якщо визнає причини його пропуску поважними. В такому випадку суд буде виносити відповідну ухвалу [3].</w:t>
      </w:r>
    </w:p>
    <w:p w14:paraId="33014DCB"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В цьому контексті цікаве порівняння в ситуації зі строками позовної давності, природа яких є саме матеріальною, а не процесуальною. Варто звернути увагу на те, що в цивільному та господарському судочинстві строки </w:t>
      </w:r>
      <w:r w:rsidRPr="00511005">
        <w:rPr>
          <w:rFonts w:ascii="Arial" w:eastAsia="Calibri" w:hAnsi="Arial" w:cs="Arial"/>
          <w:szCs w:val="28"/>
          <w:lang w:val="uk-UA"/>
        </w:rPr>
        <w:lastRenderedPageBreak/>
        <w:t>позовної давності були зупинені на період дії воєнного стану, тоді як в адміністративному судочинстві такого зупинення не передбачено. Це створює певну нерівність між учасниками судових процесів у різних юрисдикціях та потребує законодавчого врегулювання.</w:t>
      </w:r>
    </w:p>
    <w:p w14:paraId="54122B07"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Поновлення процесуальних строків можливе лише за наявності об'єктивних обставин, що унеможливили виконання процесуальних дій. Суди розглядають кожен випадок індивідуально, враховуючи доводи сторін та надані докази. Наприклад, перебування особи в зоні бойових дій, відсутність зв'язку або інші обставини можуть бути визнані поважними причинами для поновлення строків.</w:t>
      </w:r>
    </w:p>
    <w:p w14:paraId="580993EB"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Цікавим є загальний практичний підхід щодо визначення поважності причин пропуску строку. Практика привчила нас до врахування декількох обставин одночасно. По-перше, факт введення воєнного стану та об’єктивних обмежень, що його передувала, повинен бути загальновідомим. По-друге, реально-об’єктивна обставина є триваючою. По-третє, сама обставина є такою, що тривала в момент подання того чи іншого документа чи вчинення тієї чи іншої дії. Тобто, такі обставини є загальновідомими в цілому і відповідно до положень статті 78 КАС України, є підставами звільнення від доказування.</w:t>
      </w:r>
    </w:p>
    <w:p w14:paraId="027C7930"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Проте, не можна розуміти, що введення воєнного стану в Україні дає абсолютну можливість зловживати цим особливим порядком щодо обчислення строку на користь сторін по справі. Насправді ж, саме по собі введення воєнного стану чи надзвичайного не буде означати повне зупинення процесуальних строків, адже таким чином, до прикладу, може буде автоматично позбавлено особу право на позов, тобто право на звернення до суду за захистом своїх прав, свобод та інтересів. Тому діє також зеркальне правило щодо поновлення процесуального строку - факт запровадження воєнного стану в Україні, сам по собі, не буде підставою для поновлення процесуального строку. Тому, відповідно для обґрунтування своєї позиції для поновлення особі процесуального строку потрібно враховувати не сам факт воєнного стану, а ті обставини та наслідки, які виникли в результаті цього і вплинули на можливості учасників процесу виконати свої процесуальні дії в становленні законом строки для цього.</w:t>
      </w:r>
    </w:p>
    <w:p w14:paraId="7C41DF9B"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Таким чином все це створює неабиякий виклик для нашої судової системи в адміністративному судочинстві. На сьогодні, узагальнюючи судову практику, можна дійти висновку, що станом більш ніж на четвертий рік війни, суди формують свої позиції виходячи з кожного випадку окремо, заслуховуючи доводи сторін щодо поважності своїх причин пропуску та поновлення строків. Тобто, єдиної усталеної практики поки немає, сподіваємося і не настане – а суди повернуться до довоєнного режиму роботи по всій країні.</w:t>
      </w:r>
    </w:p>
    <w:p w14:paraId="062C2DDB" w14:textId="77777777" w:rsidR="00B67481" w:rsidRPr="00511005" w:rsidRDefault="00B67481" w:rsidP="003A292D">
      <w:pPr>
        <w:spacing w:line="264" w:lineRule="auto"/>
        <w:ind w:firstLine="720"/>
        <w:contextualSpacing/>
        <w:rPr>
          <w:rFonts w:ascii="Arial" w:eastAsia="Calibri" w:hAnsi="Arial" w:cs="Arial"/>
          <w:b/>
          <w:szCs w:val="28"/>
          <w:lang w:val="uk-UA"/>
        </w:rPr>
      </w:pPr>
    </w:p>
    <w:p w14:paraId="67E7EE5E" w14:textId="7721AB98" w:rsidR="00B67481" w:rsidRPr="00511005" w:rsidRDefault="007B2628" w:rsidP="007B2628">
      <w:pPr>
        <w:spacing w:line="264" w:lineRule="auto"/>
        <w:contextualSpacing/>
        <w:jc w:val="center"/>
        <w:rPr>
          <w:rFonts w:ascii="Arial" w:eastAsia="Calibri" w:hAnsi="Arial" w:cs="Arial"/>
          <w:b/>
          <w:szCs w:val="28"/>
          <w:lang w:val="uk-UA"/>
        </w:rPr>
      </w:pPr>
      <w:r w:rsidRPr="00511005">
        <w:rPr>
          <w:rFonts w:ascii="Arial" w:eastAsia="Calibri" w:hAnsi="Arial" w:cs="Arial"/>
          <w:b/>
          <w:szCs w:val="28"/>
          <w:lang w:val="uk-UA"/>
        </w:rPr>
        <w:lastRenderedPageBreak/>
        <w:t>Список використаних джерел</w:t>
      </w:r>
    </w:p>
    <w:p w14:paraId="47B074C0" w14:textId="1768BCCF"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1. Верховний Суд. Постанова Великої Палати від 10.11.2022 у справі № 990/115/22 [Електронний ресурс].</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URL: </w:t>
      </w:r>
      <w:hyperlink r:id="rId1018" w:history="1">
        <w:r w:rsidRPr="00511005">
          <w:rPr>
            <w:rFonts w:ascii="Arial" w:eastAsia="Calibri" w:hAnsi="Arial" w:cs="Arial"/>
            <w:szCs w:val="28"/>
            <w:lang w:val="uk-UA"/>
          </w:rPr>
          <w:t>https://ips.ligazakon.net/document/C025495</w:t>
        </w:r>
      </w:hyperlink>
      <w:r w:rsidRPr="00511005">
        <w:rPr>
          <w:rFonts w:ascii="Arial" w:eastAsia="Calibri" w:hAnsi="Arial" w:cs="Arial"/>
          <w:szCs w:val="28"/>
          <w:lang w:val="uk-UA"/>
        </w:rPr>
        <w:t xml:space="preserve"> (дата звернення: 20.04.2025).</w:t>
      </w:r>
    </w:p>
    <w:p w14:paraId="577BB31B"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2. Закон України «Про правовий режим воєнного стану» від 19.10.2023 р. № 389-VIII. Законодавство України. URL: </w:t>
      </w:r>
      <w:hyperlink r:id="rId1019" w:anchor="Text" w:history="1">
        <w:r w:rsidRPr="00511005">
          <w:rPr>
            <w:rFonts w:ascii="Arial" w:eastAsia="Calibri" w:hAnsi="Arial" w:cs="Arial"/>
            <w:szCs w:val="28"/>
            <w:lang w:val="uk-UA"/>
          </w:rPr>
          <w:t>https://zakon.rada.gov.ua/laws/show/389-19#Text</w:t>
        </w:r>
      </w:hyperlink>
      <w:r w:rsidRPr="00511005">
        <w:rPr>
          <w:rFonts w:ascii="Arial" w:eastAsia="Calibri" w:hAnsi="Arial" w:cs="Arial"/>
          <w:szCs w:val="28"/>
          <w:lang w:val="uk-UA"/>
        </w:rPr>
        <w:t xml:space="preserve"> (дата звернення: 20.04.2025).</w:t>
      </w:r>
    </w:p>
    <w:p w14:paraId="3F92E5FB"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3. Кодекс адміністративного судочинства України від 06.07.2005. Законодавство України. URL: </w:t>
      </w:r>
      <w:hyperlink r:id="rId1020" w:anchor="top" w:history="1">
        <w:r w:rsidRPr="00511005">
          <w:rPr>
            <w:rFonts w:ascii="Arial" w:eastAsia="Calibri" w:hAnsi="Arial" w:cs="Arial"/>
            <w:szCs w:val="28"/>
            <w:lang w:val="uk-UA"/>
          </w:rPr>
          <w:t>https://zakon.rada.gov.ua/laws/show/2747-15#top</w:t>
        </w:r>
      </w:hyperlink>
      <w:r w:rsidRPr="00511005">
        <w:rPr>
          <w:rFonts w:ascii="Arial" w:eastAsia="Calibri" w:hAnsi="Arial" w:cs="Arial"/>
          <w:szCs w:val="28"/>
          <w:lang w:val="uk-UA"/>
        </w:rPr>
        <w:t xml:space="preserve"> (дата звернення: 20.04.2025).</w:t>
      </w:r>
    </w:p>
    <w:p w14:paraId="018D997E" w14:textId="77777777" w:rsidR="00B67481" w:rsidRPr="00511005" w:rsidRDefault="00B67481" w:rsidP="003A292D">
      <w:pPr>
        <w:spacing w:line="264" w:lineRule="auto"/>
        <w:ind w:firstLine="720"/>
        <w:contextualSpacing/>
        <w:rPr>
          <w:rFonts w:ascii="Arial" w:eastAsia="Calibri" w:hAnsi="Arial" w:cs="Arial"/>
          <w:b/>
          <w:szCs w:val="28"/>
          <w:lang w:val="uk-UA"/>
        </w:rPr>
      </w:pPr>
    </w:p>
    <w:p w14:paraId="304618F1" w14:textId="7B7AFA1B" w:rsidR="00B67481" w:rsidRPr="00511005" w:rsidRDefault="007B2628" w:rsidP="003A292D">
      <w:pPr>
        <w:spacing w:line="264" w:lineRule="auto"/>
        <w:ind w:firstLine="720"/>
        <w:contextualSpacing/>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B67481" w:rsidRPr="00511005">
        <w:rPr>
          <w:rFonts w:ascii="Arial" w:eastAsia="Calibri" w:hAnsi="Arial" w:cs="Arial"/>
          <w:szCs w:val="28"/>
          <w:lang w:val="uk-UA"/>
        </w:rPr>
        <w:t>адміністративне судочинство, війна, воєнний стан, процес, строки, судова влада.</w:t>
      </w:r>
    </w:p>
    <w:p w14:paraId="0C37A8CD" w14:textId="34907521" w:rsidR="00B67481" w:rsidRPr="00511005" w:rsidRDefault="007B2628" w:rsidP="003A292D">
      <w:pPr>
        <w:spacing w:line="264" w:lineRule="auto"/>
        <w:ind w:firstLine="720"/>
        <w:contextualSpacing/>
        <w:rPr>
          <w:rFonts w:ascii="Arial" w:eastAsia="Calibri" w:hAnsi="Arial" w:cs="Arial"/>
          <w:bCs/>
          <w:szCs w:val="28"/>
          <w:lang w:val="uk-UA"/>
        </w:rPr>
      </w:pPr>
      <w:r w:rsidRPr="00511005">
        <w:rPr>
          <w:rFonts w:ascii="Arial" w:eastAsia="Calibri" w:hAnsi="Arial" w:cs="Arial"/>
          <w:b/>
          <w:i/>
          <w:szCs w:val="28"/>
          <w:lang w:val="uk-UA"/>
        </w:rPr>
        <w:t xml:space="preserve">Key words: </w:t>
      </w:r>
      <w:r w:rsidR="00B67481" w:rsidRPr="00511005">
        <w:rPr>
          <w:rFonts w:ascii="Arial" w:eastAsia="Calibri" w:hAnsi="Arial" w:cs="Arial"/>
          <w:bCs/>
          <w:szCs w:val="28"/>
          <w:lang w:val="uk-UA"/>
        </w:rPr>
        <w:t>: administrative proceedings, war, martial law, process, terms, judiciary.</w:t>
      </w:r>
    </w:p>
    <w:p w14:paraId="4E5377E2" w14:textId="44285B9D" w:rsidR="00B67481" w:rsidRPr="00511005" w:rsidRDefault="007B2628" w:rsidP="003A292D">
      <w:pPr>
        <w:spacing w:line="264" w:lineRule="auto"/>
        <w:ind w:firstLine="720"/>
        <w:contextualSpacing/>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B67481" w:rsidRPr="00511005">
        <w:rPr>
          <w:rFonts w:ascii="Arial" w:eastAsia="Calibri" w:hAnsi="Arial" w:cs="Arial"/>
          <w:bCs/>
          <w:i/>
          <w:iCs/>
          <w:szCs w:val="28"/>
          <w:lang w:val="uk-UA"/>
        </w:rPr>
        <w:t>к.ю.н., доцент кафедри Осадчий А. Ю.</w:t>
      </w:r>
    </w:p>
    <w:p w14:paraId="37D4AD31" w14:textId="77777777" w:rsidR="001D1A08" w:rsidRPr="00511005" w:rsidRDefault="001D1A08" w:rsidP="003A292D">
      <w:pPr>
        <w:spacing w:line="264" w:lineRule="auto"/>
        <w:ind w:firstLine="0"/>
        <w:jc w:val="left"/>
        <w:rPr>
          <w:rFonts w:ascii="Arial" w:eastAsia="Calibri" w:hAnsi="Arial" w:cs="Arial"/>
          <w:bCs/>
          <w:i/>
          <w:iCs/>
          <w:szCs w:val="28"/>
          <w:lang w:val="uk-UA"/>
        </w:rPr>
      </w:pPr>
    </w:p>
    <w:p w14:paraId="5F059546" w14:textId="77777777" w:rsidR="001D1A08" w:rsidRPr="00511005" w:rsidRDefault="001D1A08" w:rsidP="003A292D">
      <w:pPr>
        <w:spacing w:line="264" w:lineRule="auto"/>
        <w:ind w:firstLine="0"/>
        <w:jc w:val="left"/>
        <w:rPr>
          <w:rFonts w:ascii="Arial" w:eastAsia="Calibri" w:hAnsi="Arial" w:cs="Arial"/>
          <w:bCs/>
          <w:i/>
          <w:iCs/>
          <w:szCs w:val="28"/>
          <w:lang w:val="uk-UA"/>
        </w:rPr>
      </w:pPr>
    </w:p>
    <w:p w14:paraId="49BF922D" w14:textId="2D0094D5" w:rsidR="00DE2391" w:rsidRPr="00511005" w:rsidRDefault="00B67481" w:rsidP="00DE2391">
      <w:pPr>
        <w:spacing w:line="264" w:lineRule="auto"/>
        <w:ind w:right="-1" w:firstLine="0"/>
        <w:jc w:val="center"/>
        <w:rPr>
          <w:rFonts w:ascii="Arial" w:eastAsia="Times New Roman" w:hAnsi="Arial" w:cs="Arial"/>
          <w:bCs/>
          <w:iCs/>
          <w:szCs w:val="28"/>
          <w:lang w:val="uk-UA" w:eastAsia="ru-RU"/>
        </w:rPr>
      </w:pPr>
      <w:bookmarkStart w:id="140" w:name="_Hlk208151817"/>
      <w:r w:rsidRPr="00511005">
        <w:rPr>
          <w:rFonts w:ascii="Arial" w:eastAsia="Times New Roman" w:hAnsi="Arial" w:cs="Arial"/>
          <w:b/>
          <w:i/>
          <w:szCs w:val="28"/>
        </w:rPr>
        <w:t xml:space="preserve">Затурінська </w:t>
      </w:r>
      <w:bookmarkEnd w:id="140"/>
      <w:r w:rsidRPr="00511005">
        <w:rPr>
          <w:rFonts w:ascii="Arial" w:eastAsia="Times New Roman" w:hAnsi="Arial" w:cs="Arial"/>
          <w:b/>
          <w:i/>
          <w:szCs w:val="28"/>
        </w:rPr>
        <w:t>Тетяна Іванівна</w:t>
      </w:r>
      <w:r w:rsidRPr="00511005">
        <w:rPr>
          <w:rFonts w:ascii="Arial" w:eastAsia="Times New Roman" w:hAnsi="Arial" w:cs="Arial"/>
          <w:b/>
          <w:szCs w:val="28"/>
        </w:rPr>
        <w:br/>
      </w:r>
      <w:r w:rsidR="00536AAB" w:rsidRPr="00511005">
        <w:rPr>
          <w:rFonts w:ascii="Arial" w:eastAsia="Times New Roman" w:hAnsi="Arial" w:cs="Arial"/>
          <w:bCs/>
          <w:iCs/>
          <w:szCs w:val="28"/>
          <w:lang w:val="uk-UA" w:eastAsia="ru-RU"/>
        </w:rPr>
        <w:t xml:space="preserve">студентка 4-го курсу </w:t>
      </w:r>
    </w:p>
    <w:p w14:paraId="5557A974"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F0CB091"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921DCA4" w14:textId="44DE73F5" w:rsidR="00B67481" w:rsidRPr="00511005" w:rsidRDefault="00B67481" w:rsidP="00DE2391">
      <w:pPr>
        <w:spacing w:line="264" w:lineRule="auto"/>
        <w:ind w:firstLine="0"/>
        <w:contextualSpacing/>
        <w:jc w:val="center"/>
        <w:rPr>
          <w:rFonts w:ascii="Arial" w:eastAsia="Times New Roman" w:hAnsi="Arial" w:cs="Arial"/>
          <w:b/>
          <w:bCs/>
          <w:szCs w:val="28"/>
        </w:rPr>
      </w:pPr>
    </w:p>
    <w:p w14:paraId="231A7598" w14:textId="77777777" w:rsidR="00B67481" w:rsidRPr="00511005" w:rsidRDefault="00B67481" w:rsidP="003A292D">
      <w:pPr>
        <w:spacing w:line="264" w:lineRule="auto"/>
        <w:ind w:firstLine="0"/>
        <w:contextualSpacing/>
        <w:jc w:val="center"/>
        <w:rPr>
          <w:rFonts w:ascii="Arial" w:eastAsia="Times New Roman" w:hAnsi="Arial" w:cs="Arial"/>
          <w:b/>
          <w:bCs/>
          <w:szCs w:val="28"/>
        </w:rPr>
      </w:pPr>
      <w:r w:rsidRPr="00511005">
        <w:rPr>
          <w:rFonts w:ascii="Arial" w:eastAsia="Times New Roman" w:hAnsi="Arial" w:cs="Arial"/>
          <w:b/>
          <w:bCs/>
          <w:szCs w:val="28"/>
        </w:rPr>
        <w:t>ОСОБЛИВОСТІ ЗДІЙСНЕННЯ АДМІНІСТРАТИВНОГО СУДОЧИНСТВА В УМОВАХ ВОЄННОГО СТАНУ</w:t>
      </w:r>
    </w:p>
    <w:p w14:paraId="491DFEF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Воєнний стан, який був введений в Україні у зв’язку з російським вторгненням, суттєво вплинув на всі сфери життя країни, включаючи систему правосуддя. Адміністративне судочинство, яке є важливою складовою захисту прав і свобод громадян, також зазнало певних змін. У цих умовах особливо актуальним стає питання про особливості здійснення адміністративного судочинства під час воєнного стану. Ця робота спрямована на аналіз тих змін та особливостей, які виникли внаслідок воєнних дій.</w:t>
      </w:r>
    </w:p>
    <w:p w14:paraId="1ECC27A6"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На даний час виникла низка особливестей, до основних з них можна віднести:</w:t>
      </w:r>
    </w:p>
    <w:p w14:paraId="1919C8D3" w14:textId="77777777" w:rsidR="00B67481" w:rsidRPr="00511005" w:rsidRDefault="00B67481" w:rsidP="003A292D">
      <w:pPr>
        <w:spacing w:line="264" w:lineRule="auto"/>
        <w:rPr>
          <w:rFonts w:ascii="Arial" w:eastAsia="Calibri" w:hAnsi="Arial" w:cs="Arial"/>
          <w:szCs w:val="28"/>
          <w:shd w:val="clear" w:color="auto" w:fill="212121"/>
        </w:rPr>
      </w:pPr>
      <w:r w:rsidRPr="00511005">
        <w:rPr>
          <w:rFonts w:ascii="Arial" w:eastAsia="Calibri" w:hAnsi="Arial" w:cs="Arial"/>
          <w:szCs w:val="28"/>
        </w:rPr>
        <w:t>1.</w:t>
      </w:r>
      <w:r w:rsidRPr="00511005">
        <w:rPr>
          <w:rFonts w:ascii="Arial" w:eastAsia="Calibri" w:hAnsi="Arial" w:cs="Arial"/>
          <w:bCs/>
          <w:szCs w:val="28"/>
        </w:rPr>
        <w:t> Зміна територіальної підсудності</w:t>
      </w:r>
      <w:proofErr w:type="gramStart"/>
      <w:r w:rsidRPr="00511005">
        <w:rPr>
          <w:rFonts w:ascii="Arial" w:eastAsia="Calibri" w:hAnsi="Arial" w:cs="Arial"/>
          <w:bCs/>
          <w:szCs w:val="28"/>
        </w:rPr>
        <w:t>:</w:t>
      </w:r>
      <w:r w:rsidRPr="00511005">
        <w:rPr>
          <w:rFonts w:ascii="Arial" w:eastAsia="Calibri" w:hAnsi="Arial" w:cs="Arial"/>
          <w:szCs w:val="28"/>
        </w:rPr>
        <w:t> Через</w:t>
      </w:r>
      <w:proofErr w:type="gramEnd"/>
      <w:r w:rsidRPr="00511005">
        <w:rPr>
          <w:rFonts w:ascii="Arial" w:eastAsia="Calibri" w:hAnsi="Arial" w:cs="Arial"/>
          <w:szCs w:val="28"/>
        </w:rPr>
        <w:t xml:space="preserve"> неможливість здійснення правосуддя в окремих регіонах, територіальна підсудність судових справ була змінена. Справи передавалися до найближчих територіально судів, які могли здійснювати правосуддя безперешкодно.</w:t>
      </w:r>
    </w:p>
    <w:p w14:paraId="0D39FF00" w14:textId="0CFCA371"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Зміна територіальної підсудності під час воєнного стану стала необхідною через неможливість здійснення правосуддя в окремих регіонах </w:t>
      </w:r>
      <w:r w:rsidRPr="00511005">
        <w:rPr>
          <w:rFonts w:ascii="Arial" w:eastAsia="Calibri" w:hAnsi="Arial" w:cs="Arial"/>
          <w:szCs w:val="28"/>
        </w:rPr>
        <w:lastRenderedPageBreak/>
        <w:t>України. Ця зміна спрямована на забезпечення безперервності судової діяльності та захисту прав громадян. Основними аспектами зміни територіальної підсудності є прийняття відповідних законодавчих змін та процедур їх реалізації. Верховна Рада України прийняла зміни до Закону України «Про судоустрій і статус суддів», які дозволяють змінювати територіальну підсудність у разі неможливості здійснення правосуддя через воєнний стан. [</w:t>
      </w:r>
      <w:r w:rsidR="00866D5F" w:rsidRPr="00511005">
        <w:rPr>
          <w:rFonts w:ascii="Arial" w:eastAsia="Calibri" w:hAnsi="Arial" w:cs="Arial"/>
          <w:szCs w:val="28"/>
          <w:lang w:val="en-US"/>
        </w:rPr>
        <w:t>1</w:t>
      </w:r>
      <w:r w:rsidRPr="00511005">
        <w:rPr>
          <w:rFonts w:ascii="Arial" w:eastAsia="Calibri" w:hAnsi="Arial" w:cs="Arial"/>
          <w:szCs w:val="28"/>
        </w:rPr>
        <w:t>]</w:t>
      </w:r>
    </w:p>
    <w:p w14:paraId="04F86D42" w14:textId="302DB000"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Процедура зміни підсудності передбачає прийняття рішень Вищою радою правосуддя за поданням Голови Верховного Суду. Якщо це неможливо, рішення приймає Голова Верховного Суду. Справи передаються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який найбільш територіально наближений до того суду, який не може здійснювати правосуддя. Після припинення бойових дій територіальна підсудність деяких судів відновлюється. Таким чином, зміна територіальної підсудності під час воєнного стану забезпечує безперервність судової діяльності та захист прав громадян у складних умовах.[</w:t>
      </w:r>
      <w:r w:rsidR="00866D5F" w:rsidRPr="00055389">
        <w:rPr>
          <w:rFonts w:ascii="Arial" w:eastAsia="Calibri" w:hAnsi="Arial" w:cs="Arial"/>
          <w:szCs w:val="28"/>
        </w:rPr>
        <w:t>1</w:t>
      </w:r>
      <w:r w:rsidRPr="00511005">
        <w:rPr>
          <w:rFonts w:ascii="Arial" w:eastAsia="Calibri" w:hAnsi="Arial" w:cs="Arial"/>
          <w:szCs w:val="28"/>
        </w:rPr>
        <w:t>]</w:t>
      </w:r>
    </w:p>
    <w:p w14:paraId="498430AD"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2.</w:t>
      </w:r>
      <w:r w:rsidRPr="00511005">
        <w:rPr>
          <w:rFonts w:ascii="Arial" w:eastAsia="Calibri" w:hAnsi="Arial" w:cs="Arial"/>
          <w:bCs/>
          <w:szCs w:val="28"/>
        </w:rPr>
        <w:t> Дистанційне правосуддя:</w:t>
      </w:r>
      <w:r w:rsidRPr="00511005">
        <w:rPr>
          <w:rFonts w:ascii="Arial" w:eastAsia="Calibri" w:hAnsi="Arial" w:cs="Arial"/>
          <w:szCs w:val="28"/>
        </w:rPr>
        <w:t> Використання відеоконференцзв'язку для проведення судових засідань стало поширеним, щоб забезпечити безперервність судової діяльності. Дистанційне правосуддя стало важливим інструментом для забезпечення безперервності судової діяльності під час воєнного стану в Україні. Ця практика дозволяє учасникам судових процесів брати участь у засіданнях через відеоконференцзв’язок, що суттєво полегшує здійснення правосуддя в умовах війни.</w:t>
      </w:r>
    </w:p>
    <w:p w14:paraId="6F4C436C" w14:textId="31ACDF04"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Законодавчі основи для проведення судових засідань у дистанційному режимі були закладені раніше, зокрема під час пандемії COVID-19. Ця можливість була закріплена в законодавстві для адміністративного, господарського та цивільного процесів. У період воєнного стану дистанційне правосуддя набуло особливого значення, забезпечуючи доступ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xml:space="preserve"> громадянам та юридичним особам, які не можуть бути присутніми фізично через воєнні дії.[</w:t>
      </w:r>
      <w:r w:rsidR="00866D5F" w:rsidRPr="00055389">
        <w:rPr>
          <w:rFonts w:ascii="Arial" w:eastAsia="Calibri" w:hAnsi="Arial" w:cs="Arial"/>
          <w:szCs w:val="28"/>
        </w:rPr>
        <w:t>2</w:t>
      </w:r>
      <w:r w:rsidRPr="00511005">
        <w:rPr>
          <w:rFonts w:ascii="Arial" w:eastAsia="Calibri" w:hAnsi="Arial" w:cs="Arial"/>
          <w:szCs w:val="28"/>
        </w:rPr>
        <w:t>]</w:t>
      </w:r>
    </w:p>
    <w:p w14:paraId="5BC3799F" w14:textId="391B0E11"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Незважаючи на переваги, дистанційне правосуддя під час війни стикається з технічними проблемами та перешкодами, пов’язаними з безпекою та доступністю мережі. Проте воно забезпечує право учасників на участь у судових засіданнях і вимагає уважного дотримання правових процедур для захисту їх інтересів. Таким чином, дистанційне правосуддя підтримує безперервність судової діяльності та захищає права громадян у складних умовах</w:t>
      </w:r>
      <w:r w:rsidR="00866D5F" w:rsidRPr="00055389">
        <w:rPr>
          <w:rFonts w:ascii="Arial" w:eastAsia="Calibri" w:hAnsi="Arial" w:cs="Arial"/>
          <w:szCs w:val="28"/>
        </w:rPr>
        <w:t xml:space="preserve">. </w:t>
      </w:r>
      <w:r w:rsidRPr="00511005">
        <w:rPr>
          <w:rFonts w:ascii="Arial" w:eastAsia="Calibri" w:hAnsi="Arial" w:cs="Arial"/>
          <w:szCs w:val="28"/>
        </w:rPr>
        <w:t>[</w:t>
      </w:r>
      <w:r w:rsidR="00866D5F" w:rsidRPr="00055389">
        <w:rPr>
          <w:rFonts w:ascii="Arial" w:eastAsia="Calibri" w:hAnsi="Arial" w:cs="Arial"/>
          <w:szCs w:val="28"/>
        </w:rPr>
        <w:t>2</w:t>
      </w:r>
      <w:r w:rsidRPr="00511005">
        <w:rPr>
          <w:rFonts w:ascii="Arial" w:eastAsia="Calibri" w:hAnsi="Arial" w:cs="Arial"/>
          <w:szCs w:val="28"/>
        </w:rPr>
        <w:t>]</w:t>
      </w:r>
    </w:p>
    <w:p w14:paraId="751DBE79" w14:textId="456DFEAF"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3.</w:t>
      </w:r>
      <w:r w:rsidRPr="00511005">
        <w:rPr>
          <w:rFonts w:ascii="Arial" w:eastAsia="Calibri" w:hAnsi="Arial" w:cs="Arial"/>
          <w:bCs/>
          <w:szCs w:val="28"/>
        </w:rPr>
        <w:t> Продовження процесуальних строків:</w:t>
      </w:r>
      <w:r w:rsidRPr="00511005">
        <w:rPr>
          <w:rFonts w:ascii="Arial" w:eastAsia="Calibri" w:hAnsi="Arial" w:cs="Arial"/>
          <w:szCs w:val="28"/>
        </w:rPr>
        <w:t xml:space="preserve"> Воєнний стан міг бути підставою для продовження чи поновлення процесуальних строків, залежно від обставин кожного випадку. Під час воєнного стану в Україні питання про подовження процесуальних строків в адміністративному судочинстві регулюється Кодексом адміністративного судочинства України (КАС </w:t>
      </w:r>
      <w:r w:rsidRPr="00511005">
        <w:rPr>
          <w:rFonts w:ascii="Arial" w:eastAsia="Calibri" w:hAnsi="Arial" w:cs="Arial"/>
          <w:szCs w:val="28"/>
        </w:rPr>
        <w:lastRenderedPageBreak/>
        <w:t>України). Стаття 121 КАС України передбачає, що суд за заявою учасника справи може поновити пропущений процесуальний строк, якщо причини його пропуску визнаються поважними. Воєнний стан сам по собі не є підставою для автоматичного продовження чи поновлення строків, але може бути врахований як поважна причина у разі прямого причинного зв’язку з обставинами, які унеможливили виконання учасником судового процесу процесуальних дій протягом встановлених законом строків.[</w:t>
      </w:r>
      <w:r w:rsidR="00866D5F" w:rsidRPr="00055389">
        <w:rPr>
          <w:rFonts w:ascii="Arial" w:eastAsia="Calibri" w:hAnsi="Arial" w:cs="Arial"/>
          <w:szCs w:val="28"/>
        </w:rPr>
        <w:t>3</w:t>
      </w:r>
      <w:r w:rsidRPr="00511005">
        <w:rPr>
          <w:rFonts w:ascii="Arial" w:eastAsia="Calibri" w:hAnsi="Arial" w:cs="Arial"/>
          <w:szCs w:val="28"/>
        </w:rPr>
        <w:t>]</w:t>
      </w:r>
    </w:p>
    <w:p w14:paraId="11210F83" w14:textId="6A059DF0"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Учасник справи повинен подати заяву про поновлення строку одночасно з виконанням пропущеної процесуальної дії. Суд розглядає кожну заяву індивідуально і постановляє ухвалу про поновлення чи продовження строку, якщо причини пропуску визнаються поважними. Таким чином, законодавство забезпечує можливість захисту прав учасників судових процесів у складних умовах, але вимагає обґрунтованості та індивідуального розгляду кожної справи.[</w:t>
      </w:r>
      <w:r w:rsidR="00866D5F" w:rsidRPr="00055389">
        <w:rPr>
          <w:rFonts w:ascii="Arial" w:eastAsia="Calibri" w:hAnsi="Arial" w:cs="Arial"/>
          <w:szCs w:val="28"/>
        </w:rPr>
        <w:t>4</w:t>
      </w:r>
      <w:r w:rsidRPr="00511005">
        <w:rPr>
          <w:rFonts w:ascii="Arial" w:eastAsia="Calibri" w:hAnsi="Arial" w:cs="Arial"/>
          <w:szCs w:val="28"/>
        </w:rPr>
        <w:t>]</w:t>
      </w:r>
    </w:p>
    <w:p w14:paraId="3C5CC944" w14:textId="6D6F392C"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4.</w:t>
      </w:r>
      <w:r w:rsidRPr="00511005">
        <w:rPr>
          <w:rFonts w:ascii="Arial" w:eastAsia="Calibri" w:hAnsi="Arial" w:cs="Arial"/>
          <w:bCs/>
          <w:szCs w:val="28"/>
        </w:rPr>
        <w:t> Захист прав людини:</w:t>
      </w:r>
      <w:r w:rsidRPr="00511005">
        <w:rPr>
          <w:rFonts w:ascii="Arial" w:eastAsia="Calibri" w:hAnsi="Arial" w:cs="Arial"/>
          <w:szCs w:val="28"/>
        </w:rPr>
        <w:t> Право на судовий захист залишилося незмінним, але його реалізація адаптувалася до умов воєнного стану.</w:t>
      </w:r>
      <w:r w:rsidRPr="00511005">
        <w:rPr>
          <w:rFonts w:ascii="Arial" w:eastAsia="Times New Roman" w:hAnsi="Arial" w:cs="Arial"/>
          <w:szCs w:val="28"/>
        </w:rPr>
        <w:t xml:space="preserve"> </w:t>
      </w:r>
      <w:r w:rsidRPr="00511005">
        <w:rPr>
          <w:rFonts w:ascii="Arial" w:eastAsia="Calibri" w:hAnsi="Arial" w:cs="Arial"/>
          <w:szCs w:val="28"/>
        </w:rPr>
        <w:t>Під час воєнного стану захист прав людини в адміністративному судочинстві України включає низку особливостей, які не стосуються подовження строків, зміни підсудності чи дистанційного правосуддя. Одним із ключових аспектів є забезпечення справедливості та рівності учасників судових процесів. Адміністративні суди повинні забезпечувати дотримання принципів справедливості та рівності учасників судових процесів, навіть у складних умовах війни.</w:t>
      </w:r>
      <w:r w:rsidRPr="00511005">
        <w:rPr>
          <w:rFonts w:ascii="Arial" w:eastAsia="Calibri" w:hAnsi="Arial" w:cs="Arial"/>
          <w:szCs w:val="28"/>
          <w:lang w:val="uk-UA"/>
        </w:rPr>
        <w:t xml:space="preserve"> Крім того, особливу увагу приділяється захисту прав осіб, які постраждали від війни, таких як учасники бойових дій та внутрішньо переміщені особи. </w:t>
      </w:r>
      <w:r w:rsidRPr="00511005">
        <w:rPr>
          <w:rFonts w:ascii="Arial" w:eastAsia="Calibri" w:hAnsi="Arial" w:cs="Arial"/>
          <w:szCs w:val="28"/>
        </w:rPr>
        <w:t>Адміністративні суди розглядають справи щодо компенсації збитків та інших питань, пов’язаних з воєнним станом, забезпечуючи оперативність розгляду таких справ.[</w:t>
      </w:r>
      <w:r w:rsidR="00866D5F" w:rsidRPr="00055389">
        <w:rPr>
          <w:rFonts w:ascii="Arial" w:eastAsia="Calibri" w:hAnsi="Arial" w:cs="Arial"/>
          <w:szCs w:val="28"/>
        </w:rPr>
        <w:t>5</w:t>
      </w:r>
      <w:r w:rsidRPr="00511005">
        <w:rPr>
          <w:rFonts w:ascii="Arial" w:eastAsia="Calibri" w:hAnsi="Arial" w:cs="Arial"/>
          <w:szCs w:val="28"/>
        </w:rPr>
        <w:t>]</w:t>
      </w:r>
    </w:p>
    <w:p w14:paraId="4EA203C7"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Також, законодавство України підкреслює важливість дотримання правових процедур та забезпечення доступу до правосуддя для всіх учасників процесів, незалежно від умов війни. Однак, залишається потреба у подальшому удосконаленні законодавства щодо окремих аспектів адміністративного судочинства під час війни, зокрема щодо зупинення провадження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та розгляду окремих категорій справ </w:t>
      </w:r>
    </w:p>
    <w:p w14:paraId="3877CD79"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Під час воєнного стану захист прав людини в адміністративному судочинстві України включає особливості розгляду справ, у яких одна зі сторін є суб’єктом владних повноважень. Наприклад, адміністративні суди розглядають справи щодо оскарження рішень органів державної влади щодо введення обмежень у зв’язку з воєнним станом. Ці справи можуть стосуватися обмеження руху, введення комендантської години тощо.</w:t>
      </w:r>
    </w:p>
    <w:p w14:paraId="67126F2D"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Іншим прикладом є розгляди спорів щодо дії органів влади щодо забезпечення безпеки населення під час війни. Адміністративні суди повинні забезпечити справедливий розгляд таких справ, враховуючи інтереси як </w:t>
      </w:r>
      <w:r w:rsidRPr="00511005">
        <w:rPr>
          <w:rFonts w:ascii="Arial" w:eastAsia="Calibri" w:hAnsi="Arial" w:cs="Arial"/>
          <w:szCs w:val="28"/>
        </w:rPr>
        <w:lastRenderedPageBreak/>
        <w:t xml:space="preserve">держави, так і окремих громадян. Таким чином, адміністративне судочинство під час війни відіграє важливу роль у захисті прав людини та забезпечення законності дій органів влади. </w:t>
      </w:r>
    </w:p>
    <w:p w14:paraId="493FF17B"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Воєнний стан суттєво вплинув на здійснення адміністративного судочинства в Україні, викликавши необхідність адаптації законодавства та судової практики до нових умов. Зміни територіальної підсудності, використання дистанційного правосуддя та особливості захисту прав людини стали ключовими аспектами адміністративного судочинства під час війни. Незважаючи на складності, адміністративні суди продовжують забезпечувати захист прав учасників судових процесів, підтримуючи принципи справедливості та законнос</w:t>
      </w:r>
      <w:r w:rsidRPr="00511005">
        <w:rPr>
          <w:rFonts w:ascii="Arial" w:eastAsia="Calibri" w:hAnsi="Arial" w:cs="Arial"/>
          <w:szCs w:val="28"/>
          <w:lang w:val="uk-UA"/>
        </w:rPr>
        <w:t>ті.</w:t>
      </w:r>
    </w:p>
    <w:p w14:paraId="351FD73F" w14:textId="77777777" w:rsidR="00B67481" w:rsidRPr="00511005" w:rsidRDefault="00B67481" w:rsidP="003A292D">
      <w:pPr>
        <w:spacing w:line="264" w:lineRule="auto"/>
        <w:rPr>
          <w:rFonts w:ascii="Arial" w:eastAsia="Calibri" w:hAnsi="Arial" w:cs="Arial"/>
          <w:szCs w:val="28"/>
          <w:lang w:val="uk-UA"/>
        </w:rPr>
      </w:pPr>
    </w:p>
    <w:p w14:paraId="21916461" w14:textId="416B625D" w:rsidR="00B67481"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61C4A491" w14:textId="77777777" w:rsidR="00B67481" w:rsidRPr="00511005" w:rsidRDefault="00B67481" w:rsidP="003F6A5D">
      <w:pPr>
        <w:numPr>
          <w:ilvl w:val="0"/>
          <w:numId w:val="24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ЮРЛІГА. Робота судів України в умовах воєнного стану Електронний ресурс. – Режим доступу: </w:t>
      </w:r>
      <w:hyperlink r:id="rId1021" w:tgtFrame="_blank" w:tooltip="https://jurliga.ligazakon.net/ru/news/209874_robota-sudv-ukrani-v-umovakh-vonnogo-stanu" w:history="1">
        <w:r w:rsidRPr="00511005">
          <w:rPr>
            <w:rFonts w:ascii="Arial" w:eastAsia="Times New Roman" w:hAnsi="Arial" w:cs="Arial"/>
            <w:szCs w:val="28"/>
            <w:lang w:eastAsia="ru-RU"/>
          </w:rPr>
          <w:t>https://jurliga.ligazakon.net/ru/news/209874_robota-sudv-ukrani-v-umovakh-vonnogo-stanu</w:t>
        </w:r>
      </w:hyperlink>
      <w:r w:rsidRPr="00511005">
        <w:rPr>
          <w:rFonts w:ascii="Arial" w:eastAsia="Times New Roman" w:hAnsi="Arial" w:cs="Arial"/>
          <w:szCs w:val="28"/>
          <w:lang w:eastAsia="ru-RU"/>
        </w:rPr>
        <w:t xml:space="preserve">. </w:t>
      </w:r>
    </w:p>
    <w:p w14:paraId="4FEA4BE1" w14:textId="77777777" w:rsidR="00B67481" w:rsidRPr="00511005" w:rsidRDefault="00B67481" w:rsidP="003F6A5D">
      <w:pPr>
        <w:numPr>
          <w:ilvl w:val="0"/>
          <w:numId w:val="24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Рада суддів України. Рекомендації щодо роботи судів в умовах воєнного стану Електронний ресурс. – Режим доступу: </w:t>
      </w:r>
      <w:hyperlink r:id="rId1022" w:tgtFrame="_blank" w:tooltip="https://rsu.gov.ua/ua/news/usim-sudam-ukraini-rsu-opublikuvala-rekomendacii-sodo-rooti-sudiv-v-umovah-voennogo-stanu" w:history="1">
        <w:r w:rsidRPr="00511005">
          <w:rPr>
            <w:rFonts w:ascii="Arial" w:eastAsia="Times New Roman" w:hAnsi="Arial" w:cs="Arial"/>
            <w:szCs w:val="28"/>
            <w:lang w:eastAsia="ru-RU"/>
          </w:rPr>
          <w:t>https://rsu.gov.ua/ua/news/usim-sudam-ukraini-rsu-opublikuvala-rekomendacii-sodo-rooti-sudiv-v-umovah-voennogo-stanu</w:t>
        </w:r>
      </w:hyperlink>
      <w:r w:rsidRPr="00511005">
        <w:rPr>
          <w:rFonts w:ascii="Arial" w:eastAsia="Times New Roman" w:hAnsi="Arial" w:cs="Arial"/>
          <w:szCs w:val="28"/>
          <w:lang w:eastAsia="ru-RU"/>
        </w:rPr>
        <w:t>.</w:t>
      </w:r>
    </w:p>
    <w:p w14:paraId="6A6DE495" w14:textId="77777777" w:rsidR="00B67481" w:rsidRPr="00511005" w:rsidRDefault="00B67481" w:rsidP="003F6A5D">
      <w:pPr>
        <w:numPr>
          <w:ilvl w:val="0"/>
          <w:numId w:val="24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ЮРЛІГА. Особливості здійснення судочинства в умовах воєнного стану Електронний ресурс. – Режим доступу: </w:t>
      </w:r>
      <w:hyperlink r:id="rId1023" w:tgtFrame="_blank" w:tooltip="https://jurliga.ligazakon.net/news/211140_osoblivost-zdysnennya-sudochinstva-v-umovakh-vonnogo-stanu" w:history="1">
        <w:r w:rsidRPr="00511005">
          <w:rPr>
            <w:rFonts w:ascii="Arial" w:eastAsia="Times New Roman" w:hAnsi="Arial" w:cs="Arial"/>
            <w:szCs w:val="28"/>
            <w:lang w:eastAsia="ru-RU"/>
          </w:rPr>
          <w:t>https://jurliga.ligazakon.net/news/211140_osoblivost-zdysnennya-sudochinstva-v-umovakh-vonnogo-stanu</w:t>
        </w:r>
      </w:hyperlink>
      <w:r w:rsidRPr="00511005">
        <w:rPr>
          <w:rFonts w:ascii="Arial" w:eastAsia="Times New Roman" w:hAnsi="Arial" w:cs="Arial"/>
          <w:szCs w:val="28"/>
          <w:lang w:eastAsia="ru-RU"/>
        </w:rPr>
        <w:t xml:space="preserve">. </w:t>
      </w:r>
    </w:p>
    <w:p w14:paraId="14E70CE9" w14:textId="77777777" w:rsidR="00B67481" w:rsidRPr="00511005" w:rsidRDefault="00B67481" w:rsidP="003F6A5D">
      <w:pPr>
        <w:numPr>
          <w:ilvl w:val="0"/>
          <w:numId w:val="24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Юридична газета. Робота судів під час війни: зміни у законодавстві та рекомендації РСУ Електронний ресурс. – Режим доступу: </w:t>
      </w:r>
      <w:hyperlink r:id="rId1024" w:tgtFrame="_blank" w:tooltip="https://yur-gazeta.com/dumka-eksperta/robota-sudiv-pid-chas-viyni-zmini-u-zakonodavstvi-ta-rekomendaciyi-rsu.html" w:history="1">
        <w:r w:rsidRPr="00511005">
          <w:rPr>
            <w:rFonts w:ascii="Arial" w:eastAsia="Times New Roman" w:hAnsi="Arial" w:cs="Arial"/>
            <w:szCs w:val="28"/>
            <w:lang w:eastAsia="ru-RU"/>
          </w:rPr>
          <w:t>https://yur-gazeta.com/dumka-eksperta/robota-sudiv-pid-chas-viyni-zmini-u-zakonodavstvi-ta-rekomendaciyi-rsu.html</w:t>
        </w:r>
      </w:hyperlink>
      <w:r w:rsidRPr="00511005">
        <w:rPr>
          <w:rFonts w:ascii="Arial" w:eastAsia="Times New Roman" w:hAnsi="Arial" w:cs="Arial"/>
          <w:szCs w:val="28"/>
          <w:lang w:eastAsia="ru-RU"/>
        </w:rPr>
        <w:t xml:space="preserve">. </w:t>
      </w:r>
    </w:p>
    <w:p w14:paraId="7EE705E1" w14:textId="77777777" w:rsidR="00B67481" w:rsidRPr="00511005" w:rsidRDefault="00B67481" w:rsidP="003F6A5D">
      <w:pPr>
        <w:numPr>
          <w:ilvl w:val="0"/>
          <w:numId w:val="24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Верховний Суд України. Адміністративне судочинство в умовах війни Електронний ресурс. – Режим доступу: </w:t>
      </w:r>
      <w:hyperlink r:id="rId1025" w:tgtFrame="_blank" w:tooltip="https://supreme.court.gov.ua/main/ua/press/press/press_2022/press_2022_02_24_1/" w:history="1">
        <w:r w:rsidRPr="00511005">
          <w:rPr>
            <w:rFonts w:ascii="Arial" w:eastAsia="Times New Roman" w:hAnsi="Arial" w:cs="Arial"/>
            <w:szCs w:val="28"/>
            <w:lang w:eastAsia="ru-RU"/>
          </w:rPr>
          <w:t>https://supreme.court.gov.ua/main/ua/press/press/press_2022/press_2022_02_24_1/</w:t>
        </w:r>
      </w:hyperlink>
      <w:r w:rsidRPr="00511005">
        <w:rPr>
          <w:rFonts w:ascii="Arial" w:eastAsia="Times New Roman" w:hAnsi="Arial" w:cs="Arial"/>
          <w:szCs w:val="28"/>
          <w:lang w:eastAsia="ru-RU"/>
        </w:rPr>
        <w:t xml:space="preserve">. </w:t>
      </w:r>
    </w:p>
    <w:p w14:paraId="7FD994A0" w14:textId="77777777" w:rsidR="00B67481" w:rsidRPr="00511005" w:rsidRDefault="00B67481" w:rsidP="003A292D">
      <w:pPr>
        <w:spacing w:line="264" w:lineRule="auto"/>
        <w:rPr>
          <w:rFonts w:ascii="Arial" w:eastAsia="Calibri" w:hAnsi="Arial" w:cs="Arial"/>
          <w:b/>
          <w:bCs/>
          <w:szCs w:val="28"/>
          <w:lang w:val="uk-UA"/>
        </w:rPr>
      </w:pPr>
    </w:p>
    <w:p w14:paraId="5927C31F" w14:textId="39442C26"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B67481" w:rsidRPr="00511005">
        <w:rPr>
          <w:rFonts w:ascii="Arial" w:eastAsia="Calibri" w:hAnsi="Arial" w:cs="Arial"/>
          <w:szCs w:val="28"/>
          <w:lang w:val="uk-UA"/>
        </w:rPr>
        <w:t>адміністративне судочинство, воєнний стан, дистанційне правосуддя, підсудність, адміністративні суди.</w:t>
      </w:r>
    </w:p>
    <w:p w14:paraId="657565FC" w14:textId="4A41E1D1" w:rsidR="00B67481" w:rsidRPr="00511005" w:rsidRDefault="007B2628" w:rsidP="003A292D">
      <w:pPr>
        <w:spacing w:line="264" w:lineRule="auto"/>
        <w:jc w:val="left"/>
        <w:rPr>
          <w:rFonts w:ascii="Arial" w:eastAsia="Calibri" w:hAnsi="Arial" w:cs="Arial"/>
          <w:szCs w:val="28"/>
          <w:lang w:val="uk-UA"/>
        </w:rPr>
      </w:pPr>
      <w:r w:rsidRPr="00511005">
        <w:rPr>
          <w:rFonts w:ascii="Arial" w:eastAsia="Calibri" w:hAnsi="Arial" w:cs="Arial"/>
          <w:b/>
          <w:bCs/>
          <w:i/>
          <w:szCs w:val="28"/>
          <w:lang w:val="uk-UA"/>
        </w:rPr>
        <w:t xml:space="preserve">Key words: </w:t>
      </w:r>
      <w:r w:rsidR="00B67481" w:rsidRPr="00511005">
        <w:rPr>
          <w:rFonts w:ascii="Arial" w:eastAsia="Calibri" w:hAnsi="Arial" w:cs="Arial"/>
          <w:szCs w:val="28"/>
          <w:lang w:val="uk-UA"/>
        </w:rPr>
        <w:t>administrative justice, martial law, remote justice, jurisdiction, administrative courts.</w:t>
      </w:r>
    </w:p>
    <w:p w14:paraId="63D659B3" w14:textId="103924EC" w:rsidR="00B67481" w:rsidRPr="00511005" w:rsidRDefault="007B2628" w:rsidP="003A292D">
      <w:pPr>
        <w:spacing w:line="264" w:lineRule="auto"/>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B67481" w:rsidRPr="00511005">
        <w:rPr>
          <w:rFonts w:ascii="Arial" w:eastAsia="Calibri" w:hAnsi="Arial" w:cs="Arial"/>
          <w:i/>
          <w:iCs/>
          <w:szCs w:val="28"/>
          <w:lang w:val="uk-UA"/>
        </w:rPr>
        <w:t>к.ю.н., доцент Козачук Д.А.</w:t>
      </w:r>
    </w:p>
    <w:p w14:paraId="313C0A1C" w14:textId="77777777" w:rsidR="00B67481" w:rsidRPr="00511005" w:rsidRDefault="00B67481" w:rsidP="003A292D">
      <w:pPr>
        <w:spacing w:line="264" w:lineRule="auto"/>
        <w:ind w:firstLine="0"/>
        <w:jc w:val="left"/>
        <w:rPr>
          <w:rFonts w:ascii="Arial" w:eastAsia="Calibri" w:hAnsi="Arial" w:cs="Arial"/>
          <w:i/>
          <w:iCs/>
          <w:szCs w:val="28"/>
          <w:lang w:val="uk-UA"/>
        </w:rPr>
      </w:pPr>
      <w:r w:rsidRPr="00511005">
        <w:rPr>
          <w:rFonts w:ascii="Arial" w:eastAsia="Calibri" w:hAnsi="Arial" w:cs="Arial"/>
          <w:i/>
          <w:iCs/>
          <w:szCs w:val="28"/>
          <w:lang w:val="uk-UA"/>
        </w:rPr>
        <w:br w:type="page"/>
      </w:r>
    </w:p>
    <w:p w14:paraId="675CA518" w14:textId="77777777" w:rsidR="00B67481" w:rsidRPr="00511005" w:rsidRDefault="00B67481"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lastRenderedPageBreak/>
        <w:t>Іщик Анна Вікторівна</w:t>
      </w:r>
    </w:p>
    <w:p w14:paraId="25134A35" w14:textId="49ABD06D"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7012A2AD"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5F7B55F"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AEEB187" w14:textId="77777777" w:rsidR="00B67481" w:rsidRPr="00511005" w:rsidRDefault="00B67481" w:rsidP="003A292D">
      <w:pPr>
        <w:spacing w:line="264" w:lineRule="auto"/>
        <w:ind w:firstLine="0"/>
        <w:jc w:val="center"/>
        <w:rPr>
          <w:rFonts w:ascii="Arial" w:eastAsia="Calibri" w:hAnsi="Arial" w:cs="Arial"/>
          <w:b/>
          <w:szCs w:val="28"/>
          <w:lang w:val="uk-UA"/>
        </w:rPr>
      </w:pPr>
    </w:p>
    <w:p w14:paraId="4D598237" w14:textId="77777777" w:rsidR="007B2628" w:rsidRPr="00511005" w:rsidRDefault="00B67481"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ПРОБЛЕМИ ДОСТУПУ ДО АДМІНІСТРАТИВНОГО СУДУ: ШЛЯХИ ВДОСКОНАЛЕННЯ</w:t>
      </w:r>
    </w:p>
    <w:p w14:paraId="7F7427E9" w14:textId="0497C47C" w:rsidR="00B67481" w:rsidRPr="00511005" w:rsidRDefault="00B67481"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Однією з ключових ознак правової держави є наявність ефективної системи судового захисту прав і свобод людини. У цьому контексті адміністративне судочинство відіграє особливу роль, оскільки саме воно забезпечує контроль за діяльністю органів державної влади, органів місцевого самоврядування, їхніх посадових осіб та захист прав фізичних і юридичних осіб у сфері публічно-п</w:t>
      </w:r>
      <w:r w:rsidRPr="00511005">
        <w:rPr>
          <w:rFonts w:ascii="Arial" w:eastAsia="Calibri" w:hAnsi="Arial" w:cs="Arial"/>
          <w:bCs/>
          <w:szCs w:val="28"/>
          <w:lang w:val="en-US"/>
        </w:rPr>
        <w:t>p</w:t>
      </w:r>
      <w:r w:rsidRPr="00511005">
        <w:rPr>
          <w:rFonts w:ascii="Arial" w:eastAsia="Calibri" w:hAnsi="Arial" w:cs="Arial"/>
          <w:bCs/>
          <w:szCs w:val="28"/>
          <w:lang w:val="uk-UA"/>
        </w:rPr>
        <w:t>авових відносин. Проте на практиці доступ до адміністративного суду в Україні залишається ускладненим з ряду причин.</w:t>
      </w:r>
    </w:p>
    <w:p w14:paraId="262C2429" w14:textId="77777777" w:rsidR="00B67481" w:rsidRPr="00511005" w:rsidRDefault="00B67481"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Складність процесуального законодавства. Кодекс адміністративного судочинства України містить значну кількість формальних вимог до позовної заяви, строків звернення, доказування, що часто є складними для розуміння пересічними громадянами, особливо без фахової юридичної допомоги.</w:t>
      </w:r>
    </w:p>
    <w:p w14:paraId="0673FEF5" w14:textId="77777777" w:rsidR="00B67481" w:rsidRPr="00511005" w:rsidRDefault="00B67481"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Судовий збір та вит</w:t>
      </w:r>
      <w:r w:rsidRPr="00511005">
        <w:rPr>
          <w:rFonts w:ascii="Arial" w:eastAsia="Calibri" w:hAnsi="Arial" w:cs="Arial"/>
          <w:bCs/>
          <w:szCs w:val="28"/>
          <w:lang w:val="en-US"/>
        </w:rPr>
        <w:t>p</w:t>
      </w:r>
      <w:r w:rsidRPr="00511005">
        <w:rPr>
          <w:rFonts w:ascii="Arial" w:eastAsia="Calibri" w:hAnsi="Arial" w:cs="Arial"/>
          <w:bCs/>
          <w:szCs w:val="28"/>
          <w:lang w:val="uk-UA"/>
        </w:rPr>
        <w:t xml:space="preserve">ати на правову допомогу можуть стати серйозною перешкодою для осіб з низьким рівнем доходу. Особливо це актуально для соціально незахищених категорій громадян, таких як пенсіонери, інваліди, безробітні тощо. В умовах завантаженості судів та нестачі кадрів часто спостерігається затягування розгляду справ, що знижує ефективність судового захисту та негативно впливає на довіру до судової системи </w:t>
      </w:r>
      <w:r w:rsidRPr="00511005">
        <w:rPr>
          <w:rFonts w:ascii="Arial" w:eastAsia="Calibri" w:hAnsi="Arial" w:cs="Arial"/>
          <w:bCs/>
          <w:szCs w:val="28"/>
        </w:rPr>
        <w:t>[1]</w:t>
      </w:r>
      <w:r w:rsidRPr="00511005">
        <w:rPr>
          <w:rFonts w:ascii="Arial" w:eastAsia="Calibri" w:hAnsi="Arial" w:cs="Arial"/>
          <w:bCs/>
          <w:szCs w:val="28"/>
          <w:lang w:val="uk-UA"/>
        </w:rPr>
        <w:t>.</w:t>
      </w:r>
    </w:p>
    <w:p w14:paraId="2B08AA1D" w14:textId="77777777" w:rsidR="00B67481" w:rsidRPr="00511005" w:rsidRDefault="00B67481"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 xml:space="preserve">Багато осіб не знають про свої права, механізми їх захисту та порядок звернення до адміністративного суду. Це призводить до пасивності громадян і невикористання наявних правових інструментів. Хоча в Україні впроваджено електронний суд, значна частина населення, особливо в сільській місцевості, не має належного доступу до цифрових технологій або не володіє ними на достатньому рівні. </w:t>
      </w:r>
    </w:p>
    <w:p w14:paraId="0672DB5A" w14:textId="77777777" w:rsidR="00B67481" w:rsidRPr="00511005" w:rsidRDefault="00B67481"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 xml:space="preserve">Спрощення процедур адміністративного судочинства. Необхідно переглянути формальні вимоги до позовної заяви, надати можливість подання заяв у спрощеній формі, особливо для справ соціального характеру. Розширення мережі центрів безоплатної правової допомоги та підвищення їх ефективності дасть змогу більшій кількості громадян скористатися правом на захист [2, </w:t>
      </w:r>
      <w:r w:rsidRPr="00511005">
        <w:rPr>
          <w:rFonts w:ascii="Arial" w:eastAsia="Calibri" w:hAnsi="Arial" w:cs="Arial"/>
          <w:bCs/>
          <w:szCs w:val="28"/>
          <w:lang w:val="pl-PL"/>
        </w:rPr>
        <w:t>c</w:t>
      </w:r>
      <w:r w:rsidRPr="00511005">
        <w:rPr>
          <w:rFonts w:ascii="Arial" w:eastAsia="Calibri" w:hAnsi="Arial" w:cs="Arial"/>
          <w:bCs/>
          <w:szCs w:val="28"/>
          <w:lang w:val="uk-UA"/>
        </w:rPr>
        <w:t xml:space="preserve">. 35]. Подальше вдосконалення системи електронного суду, забезпечення її зручності, безпеки та доступності для всіх громадян, включаючи маломобільні групи населення. Проведення інформаційно-роз’яснювальної роботи серед населення щодо прав і можливостей звернення до адміністративного суду, зокрема через школи, ЗМІ, соціальні мережі та інші канали. </w:t>
      </w:r>
      <w:r w:rsidRPr="00511005">
        <w:rPr>
          <w:rFonts w:ascii="Arial" w:eastAsia="Calibri" w:hAnsi="Arial" w:cs="Arial"/>
          <w:bCs/>
          <w:szCs w:val="28"/>
          <w:lang w:val="en-US"/>
        </w:rPr>
        <w:t>O</w:t>
      </w:r>
      <w:r w:rsidRPr="00511005">
        <w:rPr>
          <w:rFonts w:ascii="Arial" w:eastAsia="Calibri" w:hAnsi="Arial" w:cs="Arial"/>
          <w:bCs/>
          <w:szCs w:val="28"/>
          <w:lang w:val="uk-UA"/>
        </w:rPr>
        <w:t xml:space="preserve">птимізація кадрової політики в </w:t>
      </w:r>
      <w:r w:rsidRPr="00511005">
        <w:rPr>
          <w:rFonts w:ascii="Arial" w:eastAsia="Calibri" w:hAnsi="Arial" w:cs="Arial"/>
          <w:bCs/>
          <w:szCs w:val="28"/>
          <w:lang w:val="uk-UA"/>
        </w:rPr>
        <w:lastRenderedPageBreak/>
        <w:t>системі адміністративного судочинства, використання сучасних технологій для автоматизації рутинних процесів, що дозволить зменшити навантаження на суддів</w:t>
      </w:r>
      <w:r w:rsidRPr="00511005">
        <w:rPr>
          <w:rFonts w:ascii="Arial" w:eastAsia="Calibri" w:hAnsi="Arial" w:cs="Arial"/>
          <w:bCs/>
          <w:szCs w:val="28"/>
        </w:rPr>
        <w:t xml:space="preserve"> [3, </w:t>
      </w:r>
      <w:r w:rsidRPr="00511005">
        <w:rPr>
          <w:rFonts w:ascii="Arial" w:eastAsia="Calibri" w:hAnsi="Arial" w:cs="Arial"/>
          <w:bCs/>
          <w:szCs w:val="28"/>
          <w:lang w:val="pl-PL"/>
        </w:rPr>
        <w:t>c</w:t>
      </w:r>
      <w:r w:rsidRPr="00511005">
        <w:rPr>
          <w:rFonts w:ascii="Arial" w:eastAsia="Calibri" w:hAnsi="Arial" w:cs="Arial"/>
          <w:bCs/>
          <w:szCs w:val="28"/>
        </w:rPr>
        <w:t>. 10]</w:t>
      </w:r>
      <w:r w:rsidRPr="00511005">
        <w:rPr>
          <w:rFonts w:ascii="Arial" w:eastAsia="Calibri" w:hAnsi="Arial" w:cs="Arial"/>
          <w:bCs/>
          <w:szCs w:val="28"/>
          <w:lang w:val="uk-UA"/>
        </w:rPr>
        <w:t>.</w:t>
      </w:r>
    </w:p>
    <w:p w14:paraId="64E7AFC6" w14:textId="77777777" w:rsidR="007B2628" w:rsidRPr="00511005" w:rsidRDefault="00B67481"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 xml:space="preserve">Доступ до адміністративного суду є одним із ключових механізмів забезпечення прав і свобод людини. Вирішення зазначених проблем вимагає комплексного підходу, що включає як нормативні зміни, так і практичні заходи з боку держави. Вдосконалення процедур, розширення доступу до правової допомоги та цифрових інструментів, підвищення правової культури населення – усе це сприятиме зміцненню демократичних інститутів і підвищенню довіри до судової системи [4, </w:t>
      </w:r>
      <w:r w:rsidRPr="00511005">
        <w:rPr>
          <w:rFonts w:ascii="Arial" w:eastAsia="Calibri" w:hAnsi="Arial" w:cs="Arial"/>
          <w:bCs/>
          <w:szCs w:val="28"/>
          <w:lang w:val="pl-PL"/>
        </w:rPr>
        <w:t>c</w:t>
      </w:r>
      <w:r w:rsidRPr="00511005">
        <w:rPr>
          <w:rFonts w:ascii="Arial" w:eastAsia="Calibri" w:hAnsi="Arial" w:cs="Arial"/>
          <w:bCs/>
          <w:szCs w:val="28"/>
          <w:lang w:val="uk-UA"/>
        </w:rPr>
        <w:t>. 5].</w:t>
      </w:r>
    </w:p>
    <w:p w14:paraId="184324C5" w14:textId="7DE56885" w:rsidR="00B67481" w:rsidRPr="00511005" w:rsidRDefault="00B67481"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 xml:space="preserve">Проблема доступу до адміністративного суду в Україні є складною та багатогранною, оскільки стосується не лише нормативного забезпечення, але й практичного функціонування судової системи. Розгляд особливостей реалізації права на звернення до адміністративного суду дозволяє зробити висновок, що </w:t>
      </w:r>
      <w:r w:rsidRPr="00511005">
        <w:rPr>
          <w:rFonts w:ascii="Arial" w:eastAsia="Calibri" w:hAnsi="Arial" w:cs="Arial"/>
          <w:bCs/>
          <w:szCs w:val="28"/>
          <w:lang w:val="en-US"/>
        </w:rPr>
        <w:t>i</w:t>
      </w:r>
      <w:r w:rsidRPr="00511005">
        <w:rPr>
          <w:rFonts w:ascii="Arial" w:eastAsia="Calibri" w:hAnsi="Arial" w:cs="Arial"/>
          <w:bCs/>
          <w:szCs w:val="28"/>
          <w:lang w:val="uk-UA"/>
        </w:rPr>
        <w:t xml:space="preserve">снують як об'єктивні, так і суб'єктивні чинники, які перешкоджають ефективному доступу громадян до правосуддя у сфері публічно-правових відносин. Серед основних проблем доступу виділяються: складність адміністративного процесуального законодавства, фінансові бар’єри, надмірна тривалість судового розгляду, низький рівень правової культури населення, а також обмежений доступ до електронних засобів правосуддя. Такі обставини у сукупності створюють </w:t>
      </w:r>
      <w:r w:rsidRPr="00511005">
        <w:rPr>
          <w:rFonts w:ascii="Arial" w:eastAsia="Calibri" w:hAnsi="Arial" w:cs="Arial"/>
          <w:bCs/>
          <w:szCs w:val="28"/>
          <w:lang w:val="en-US"/>
        </w:rPr>
        <w:t>c</w:t>
      </w:r>
      <w:r w:rsidRPr="00511005">
        <w:rPr>
          <w:rFonts w:ascii="Arial" w:eastAsia="Calibri" w:hAnsi="Arial" w:cs="Arial"/>
          <w:bCs/>
          <w:szCs w:val="28"/>
          <w:lang w:val="uk-UA"/>
        </w:rPr>
        <w:t>итуацію, в якій значна частина громадян не може повноцінно скористатися своїм правом на судовий захист у спорах із державою.</w:t>
      </w:r>
    </w:p>
    <w:p w14:paraId="62E65DD3" w14:textId="77777777" w:rsidR="00B67481" w:rsidRPr="00511005" w:rsidRDefault="00B67481" w:rsidP="003A292D">
      <w:pPr>
        <w:spacing w:line="264" w:lineRule="auto"/>
        <w:ind w:firstLine="680"/>
        <w:rPr>
          <w:rFonts w:ascii="Arial" w:eastAsia="Calibri" w:hAnsi="Arial" w:cs="Arial"/>
          <w:bCs/>
          <w:szCs w:val="28"/>
          <w:lang w:val="uk-UA"/>
        </w:rPr>
      </w:pPr>
    </w:p>
    <w:p w14:paraId="3AAA53B3" w14:textId="2DE47F61" w:rsidR="00B67481"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359D105" w14:textId="77777777" w:rsidR="00B67481" w:rsidRPr="00511005" w:rsidRDefault="00B67481" w:rsidP="003F6A5D">
      <w:pPr>
        <w:numPr>
          <w:ilvl w:val="0"/>
          <w:numId w:val="273"/>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Кодекс адміністративного судочинства України: Закон України № 2747-IV у ред. від 01.01.2022 р., URL: </w:t>
      </w:r>
      <w:hyperlink r:id="rId1026" w:anchor="Text" w:history="1">
        <w:r w:rsidRPr="00511005">
          <w:rPr>
            <w:rFonts w:ascii="Arial" w:eastAsia="Times New Roman" w:hAnsi="Arial" w:cs="Arial"/>
            <w:szCs w:val="28"/>
            <w:lang w:val="uk-UA" w:eastAsia="ru-RU"/>
          </w:rPr>
          <w:t>https://zakon.rada.gov.ua/laws/show/2747-15/ed20220101#Text</w:t>
        </w:r>
      </w:hyperlink>
      <w:r w:rsidRPr="00511005">
        <w:rPr>
          <w:rFonts w:ascii="Arial" w:eastAsia="Times New Roman" w:hAnsi="Arial" w:cs="Arial"/>
          <w:szCs w:val="28"/>
          <w:lang w:eastAsia="ru-RU"/>
        </w:rPr>
        <w:t xml:space="preserve"> </w:t>
      </w:r>
    </w:p>
    <w:p w14:paraId="17B4823D" w14:textId="77777777" w:rsidR="00B67481" w:rsidRPr="00511005" w:rsidRDefault="00B67481" w:rsidP="003F6A5D">
      <w:pPr>
        <w:numPr>
          <w:ilvl w:val="0"/>
          <w:numId w:val="273"/>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Герич А.Й. Доступ до адміністративного правосуддя під час війни. 2022. С. 46.</w:t>
      </w:r>
      <w:r w:rsidRPr="00511005">
        <w:rPr>
          <w:rFonts w:ascii="Arial" w:eastAsia="Times New Roman" w:hAnsi="Arial" w:cs="Arial"/>
          <w:szCs w:val="28"/>
          <w:lang w:val="pl-PL" w:eastAsia="ru-RU"/>
        </w:rPr>
        <w:t xml:space="preserve"> URL: </w:t>
      </w:r>
      <w:hyperlink r:id="rId1027" w:history="1">
        <w:r w:rsidRPr="00511005">
          <w:rPr>
            <w:rFonts w:ascii="Arial" w:eastAsia="Times New Roman" w:hAnsi="Arial" w:cs="Arial"/>
            <w:szCs w:val="28"/>
            <w:lang w:val="pl-PL" w:eastAsia="ru-RU"/>
          </w:rPr>
          <w:t>https://dspace.uzhnu.edu.ua/jspui/handle/lib/61457</w:t>
        </w:r>
      </w:hyperlink>
      <w:r w:rsidRPr="00511005">
        <w:rPr>
          <w:rFonts w:ascii="Arial" w:eastAsia="Times New Roman" w:hAnsi="Arial" w:cs="Arial"/>
          <w:szCs w:val="28"/>
          <w:lang w:val="pl-PL" w:eastAsia="ru-RU"/>
        </w:rPr>
        <w:t xml:space="preserve"> </w:t>
      </w:r>
    </w:p>
    <w:p w14:paraId="02F51456" w14:textId="77777777" w:rsidR="00B67481" w:rsidRPr="00511005" w:rsidRDefault="00B67481" w:rsidP="003F6A5D">
      <w:pPr>
        <w:numPr>
          <w:ilvl w:val="0"/>
          <w:numId w:val="273"/>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Завидняк А. В. Доступ до адміністративного правосуддя в умовах воєнного стану. Аналітично-порівняльне правознавство 2022. С. 218-222.</w:t>
      </w:r>
      <w:r w:rsidRPr="00511005">
        <w:rPr>
          <w:rFonts w:ascii="Arial" w:eastAsia="Times New Roman" w:hAnsi="Arial" w:cs="Arial"/>
          <w:szCs w:val="28"/>
          <w:lang w:eastAsia="ru-RU"/>
        </w:rPr>
        <w:t xml:space="preserve"> </w:t>
      </w:r>
      <w:r w:rsidRPr="00511005">
        <w:rPr>
          <w:rFonts w:ascii="Arial" w:eastAsia="Times New Roman" w:hAnsi="Arial" w:cs="Arial"/>
          <w:szCs w:val="28"/>
          <w:lang w:val="pl-PL" w:eastAsia="ru-RU"/>
        </w:rPr>
        <w:t>URL</w:t>
      </w:r>
      <w:r w:rsidRPr="00511005">
        <w:rPr>
          <w:rFonts w:ascii="Arial" w:eastAsia="Times New Roman" w:hAnsi="Arial" w:cs="Arial"/>
          <w:szCs w:val="28"/>
          <w:lang w:eastAsia="ru-RU"/>
        </w:rPr>
        <w:t xml:space="preserve">: </w:t>
      </w:r>
      <w:hyperlink r:id="rId1028" w:history="1">
        <w:r w:rsidRPr="00511005">
          <w:rPr>
            <w:rFonts w:ascii="Arial" w:eastAsia="Times New Roman" w:hAnsi="Arial" w:cs="Arial"/>
            <w:szCs w:val="28"/>
            <w:lang w:val="pl-PL" w:eastAsia="ru-RU"/>
          </w:rPr>
          <w:t>http</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journal</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app</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uzhnu</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edu</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article</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view</w:t>
        </w:r>
        <w:r w:rsidRPr="00511005">
          <w:rPr>
            <w:rFonts w:ascii="Arial" w:eastAsia="Times New Roman" w:hAnsi="Arial" w:cs="Arial"/>
            <w:szCs w:val="28"/>
            <w:lang w:eastAsia="ru-RU"/>
          </w:rPr>
          <w:t>/259554</w:t>
        </w:r>
      </w:hyperlink>
      <w:r w:rsidRPr="00511005">
        <w:rPr>
          <w:rFonts w:ascii="Arial" w:eastAsia="Times New Roman" w:hAnsi="Arial" w:cs="Arial"/>
          <w:szCs w:val="28"/>
          <w:lang w:eastAsia="ru-RU"/>
        </w:rPr>
        <w:t xml:space="preserve"> </w:t>
      </w:r>
    </w:p>
    <w:p w14:paraId="0F19E73C" w14:textId="77777777" w:rsidR="00B67481" w:rsidRPr="00511005" w:rsidRDefault="00B67481" w:rsidP="003F6A5D">
      <w:pPr>
        <w:numPr>
          <w:ilvl w:val="0"/>
          <w:numId w:val="273"/>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Савчин М. Сучасні тенденції конституціоналізму у контексті глобалізації та правового плюралізму. 2-е вид. Ужгород: Видавничий дім «Гельветика», 2020. С. 291-292.</w:t>
      </w:r>
      <w:r w:rsidRPr="00511005">
        <w:rPr>
          <w:rFonts w:ascii="Arial" w:eastAsia="Times New Roman" w:hAnsi="Arial" w:cs="Arial"/>
          <w:szCs w:val="28"/>
          <w:lang w:eastAsia="ru-RU"/>
        </w:rPr>
        <w:t xml:space="preserve"> </w:t>
      </w:r>
      <w:r w:rsidRPr="00511005">
        <w:rPr>
          <w:rFonts w:ascii="Arial" w:eastAsia="Times New Roman" w:hAnsi="Arial" w:cs="Arial"/>
          <w:szCs w:val="28"/>
          <w:lang w:val="pl-PL" w:eastAsia="ru-RU"/>
        </w:rPr>
        <w:t>URL</w:t>
      </w:r>
      <w:r w:rsidRPr="00511005">
        <w:rPr>
          <w:rFonts w:ascii="Arial" w:eastAsia="Times New Roman" w:hAnsi="Arial" w:cs="Arial"/>
          <w:szCs w:val="28"/>
          <w:lang w:eastAsia="ru-RU"/>
        </w:rPr>
        <w:t xml:space="preserve">: </w:t>
      </w:r>
      <w:hyperlink r:id="rId1029" w:history="1">
        <w:r w:rsidRPr="00511005">
          <w:rPr>
            <w:rFonts w:ascii="Arial" w:eastAsia="Times New Roman" w:hAnsi="Arial" w:cs="Arial"/>
            <w:szCs w:val="28"/>
            <w:lang w:val="pl-PL"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dspace</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uzhnu</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edu</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jspui</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handle</w:t>
        </w:r>
        <w:r w:rsidRPr="00511005">
          <w:rPr>
            <w:rFonts w:ascii="Arial" w:eastAsia="Times New Roman" w:hAnsi="Arial" w:cs="Arial"/>
            <w:szCs w:val="28"/>
            <w:lang w:eastAsia="ru-RU"/>
          </w:rPr>
          <w:t>/</w:t>
        </w:r>
        <w:r w:rsidRPr="00511005">
          <w:rPr>
            <w:rFonts w:ascii="Arial" w:eastAsia="Times New Roman" w:hAnsi="Arial" w:cs="Arial"/>
            <w:szCs w:val="28"/>
            <w:lang w:val="pl-PL" w:eastAsia="ru-RU"/>
          </w:rPr>
          <w:t>lib</w:t>
        </w:r>
        <w:r w:rsidRPr="00511005">
          <w:rPr>
            <w:rFonts w:ascii="Arial" w:eastAsia="Times New Roman" w:hAnsi="Arial" w:cs="Arial"/>
            <w:szCs w:val="28"/>
            <w:lang w:eastAsia="ru-RU"/>
          </w:rPr>
          <w:t>/55633</w:t>
        </w:r>
      </w:hyperlink>
      <w:r w:rsidRPr="00511005">
        <w:rPr>
          <w:rFonts w:ascii="Arial" w:eastAsia="Times New Roman" w:hAnsi="Arial" w:cs="Arial"/>
          <w:szCs w:val="28"/>
          <w:lang w:eastAsia="ru-RU"/>
        </w:rPr>
        <w:t xml:space="preserve"> </w:t>
      </w:r>
    </w:p>
    <w:p w14:paraId="6FC8A0EB" w14:textId="77777777" w:rsidR="00B67481" w:rsidRPr="00511005" w:rsidRDefault="00B67481" w:rsidP="003A292D">
      <w:pPr>
        <w:spacing w:line="264" w:lineRule="auto"/>
        <w:rPr>
          <w:rFonts w:ascii="Arial" w:eastAsia="Calibri" w:hAnsi="Arial" w:cs="Arial"/>
          <w:b/>
          <w:bCs/>
          <w:szCs w:val="28"/>
          <w:lang w:val="uk-UA"/>
        </w:rPr>
      </w:pPr>
    </w:p>
    <w:p w14:paraId="7ED24A15" w14:textId="504A3954"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B67481" w:rsidRPr="00511005">
        <w:rPr>
          <w:rFonts w:ascii="Arial" w:eastAsia="Calibri" w:hAnsi="Arial" w:cs="Arial"/>
          <w:szCs w:val="28"/>
          <w:lang w:val="uk-UA"/>
        </w:rPr>
        <w:t>судовий збір, адміністративна справа, конституціоналізм, зміни, теорія, практика.</w:t>
      </w:r>
    </w:p>
    <w:p w14:paraId="64710B6D" w14:textId="5BA1B404" w:rsidR="00B67481" w:rsidRPr="00511005" w:rsidRDefault="007B2628" w:rsidP="003A29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jc w:val="left"/>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B67481" w:rsidRPr="00511005">
        <w:rPr>
          <w:rFonts w:ascii="Arial" w:eastAsia="Times New Roman" w:hAnsi="Arial" w:cs="Arial"/>
          <w:szCs w:val="28"/>
          <w:lang w:val="en-US" w:eastAsia="ru-RU"/>
        </w:rPr>
        <w:t>court fee, administrative case, constitutionalism, changes, theory, practice</w:t>
      </w:r>
      <w:r w:rsidR="00B67481" w:rsidRPr="00511005">
        <w:rPr>
          <w:rFonts w:ascii="Arial" w:eastAsia="Times New Roman" w:hAnsi="Arial" w:cs="Arial"/>
          <w:szCs w:val="28"/>
          <w:lang w:val="uk-UA" w:eastAsia="ru-RU"/>
        </w:rPr>
        <w:t>.</w:t>
      </w:r>
    </w:p>
    <w:p w14:paraId="5FD041EB" w14:textId="687963A8" w:rsidR="00B67481" w:rsidRPr="00511005" w:rsidRDefault="007B2628" w:rsidP="003A292D">
      <w:pPr>
        <w:spacing w:line="264" w:lineRule="auto"/>
        <w:rPr>
          <w:rFonts w:ascii="Arial" w:eastAsia="Calibri" w:hAnsi="Arial" w:cs="Arial"/>
          <w:i/>
          <w:iCs/>
          <w:szCs w:val="28"/>
          <w:lang w:val="uk-UA"/>
        </w:rPr>
      </w:pPr>
      <w:r w:rsidRPr="00511005">
        <w:rPr>
          <w:rFonts w:ascii="Arial" w:eastAsia="Calibri" w:hAnsi="Arial" w:cs="Arial"/>
          <w:b/>
          <w:i/>
          <w:iCs/>
          <w:szCs w:val="28"/>
          <w:lang w:val="uk-UA"/>
        </w:rPr>
        <w:lastRenderedPageBreak/>
        <w:t xml:space="preserve">Науковий керівник: </w:t>
      </w:r>
      <w:r w:rsidR="00B67481" w:rsidRPr="00511005">
        <w:rPr>
          <w:rFonts w:ascii="Arial" w:eastAsia="Calibri" w:hAnsi="Arial" w:cs="Arial"/>
          <w:i/>
          <w:iCs/>
          <w:szCs w:val="28"/>
          <w:lang w:val="uk-UA"/>
        </w:rPr>
        <w:t>к.ю.н., доцент Козачук Д.А.</w:t>
      </w:r>
    </w:p>
    <w:p w14:paraId="3ED554C5" w14:textId="77777777" w:rsidR="001D1A08" w:rsidRPr="00511005" w:rsidRDefault="001D1A08" w:rsidP="003A292D">
      <w:pPr>
        <w:spacing w:line="264" w:lineRule="auto"/>
        <w:ind w:firstLine="0"/>
        <w:jc w:val="left"/>
        <w:rPr>
          <w:rFonts w:ascii="Arial" w:eastAsia="Calibri" w:hAnsi="Arial" w:cs="Arial"/>
          <w:i/>
          <w:iCs/>
          <w:szCs w:val="28"/>
          <w:lang w:val="uk-UA"/>
        </w:rPr>
      </w:pPr>
    </w:p>
    <w:p w14:paraId="440F7F1A" w14:textId="77777777" w:rsidR="001D1A08" w:rsidRPr="00511005" w:rsidRDefault="001D1A08" w:rsidP="003A292D">
      <w:pPr>
        <w:spacing w:line="264" w:lineRule="auto"/>
        <w:ind w:firstLine="0"/>
        <w:jc w:val="left"/>
        <w:rPr>
          <w:rFonts w:ascii="Arial" w:eastAsia="Calibri" w:hAnsi="Arial" w:cs="Arial"/>
          <w:i/>
          <w:iCs/>
          <w:szCs w:val="28"/>
          <w:lang w:val="uk-UA"/>
        </w:rPr>
      </w:pPr>
    </w:p>
    <w:p w14:paraId="17A53E63" w14:textId="77777777" w:rsidR="00B67481" w:rsidRPr="00511005" w:rsidRDefault="00B67481" w:rsidP="003A292D">
      <w:pPr>
        <w:spacing w:line="264" w:lineRule="auto"/>
        <w:ind w:firstLine="0"/>
        <w:contextualSpacing/>
        <w:jc w:val="center"/>
        <w:rPr>
          <w:rFonts w:ascii="Arial" w:eastAsia="Calibri" w:hAnsi="Arial" w:cs="Arial"/>
          <w:b/>
          <w:bCs/>
          <w:i/>
          <w:szCs w:val="28"/>
        </w:rPr>
      </w:pPr>
      <w:r w:rsidRPr="00511005">
        <w:rPr>
          <w:rFonts w:ascii="Arial" w:eastAsia="Calibri" w:hAnsi="Arial" w:cs="Arial"/>
          <w:b/>
          <w:bCs/>
          <w:i/>
          <w:szCs w:val="28"/>
        </w:rPr>
        <w:t>Каліновська Катерина Станіславівна</w:t>
      </w:r>
    </w:p>
    <w:p w14:paraId="39571882" w14:textId="0F080F69" w:rsidR="00B67481" w:rsidRPr="00511005" w:rsidRDefault="00536AAB" w:rsidP="003A292D">
      <w:pPr>
        <w:spacing w:line="264" w:lineRule="auto"/>
        <w:ind w:firstLine="0"/>
        <w:contextualSpacing/>
        <w:jc w:val="center"/>
        <w:rPr>
          <w:rFonts w:ascii="Arial" w:eastAsia="Calibri" w:hAnsi="Arial" w:cs="Arial"/>
          <w:iCs/>
          <w:szCs w:val="28"/>
          <w:lang w:val="uk-UA"/>
        </w:rPr>
      </w:pPr>
      <w:r w:rsidRPr="00511005">
        <w:rPr>
          <w:rFonts w:ascii="Arial" w:eastAsia="Calibri" w:hAnsi="Arial" w:cs="Arial"/>
          <w:iCs/>
          <w:szCs w:val="28"/>
          <w:lang w:val="uk-UA"/>
        </w:rPr>
        <w:t xml:space="preserve">студентка 4-го курсу </w:t>
      </w:r>
      <w:r w:rsidR="001B7B25" w:rsidRPr="00511005">
        <w:rPr>
          <w:rFonts w:ascii="Arial" w:eastAsia="Calibri" w:hAnsi="Arial" w:cs="Arial"/>
          <w:iCs/>
          <w:szCs w:val="28"/>
          <w:lang w:val="uk-UA"/>
        </w:rPr>
        <w:t>факультету судового та міжнародного права</w:t>
      </w:r>
      <w:r w:rsidR="00B67481" w:rsidRPr="00511005">
        <w:rPr>
          <w:rFonts w:ascii="Arial" w:eastAsia="Calibri" w:hAnsi="Arial" w:cs="Arial"/>
          <w:iCs/>
          <w:szCs w:val="28"/>
        </w:rPr>
        <w:t xml:space="preserve"> </w:t>
      </w:r>
    </w:p>
    <w:p w14:paraId="5D540413" w14:textId="27683C6D" w:rsidR="00B67481" w:rsidRPr="00511005" w:rsidRDefault="007B2628" w:rsidP="003A292D">
      <w:pPr>
        <w:spacing w:line="264" w:lineRule="auto"/>
        <w:ind w:firstLine="0"/>
        <w:contextualSpacing/>
        <w:jc w:val="center"/>
        <w:rPr>
          <w:rFonts w:ascii="Arial" w:eastAsia="Calibri" w:hAnsi="Arial" w:cs="Arial"/>
          <w:iCs/>
          <w:szCs w:val="28"/>
        </w:rPr>
      </w:pPr>
      <w:r w:rsidRPr="00511005">
        <w:rPr>
          <w:rFonts w:ascii="Arial" w:eastAsia="Calibri" w:hAnsi="Arial" w:cs="Arial"/>
          <w:iCs/>
          <w:szCs w:val="28"/>
        </w:rPr>
        <w:t>Національного університету «Одеська юридична академія»</w:t>
      </w:r>
    </w:p>
    <w:p w14:paraId="7B2D265D" w14:textId="77777777" w:rsidR="00B67481" w:rsidRPr="00511005" w:rsidRDefault="00B67481" w:rsidP="003A292D">
      <w:pPr>
        <w:spacing w:line="264" w:lineRule="auto"/>
        <w:ind w:firstLine="0"/>
        <w:contextualSpacing/>
        <w:jc w:val="center"/>
        <w:rPr>
          <w:rFonts w:ascii="Arial" w:eastAsia="Calibri" w:hAnsi="Arial" w:cs="Arial"/>
          <w:i/>
          <w:iCs/>
          <w:szCs w:val="28"/>
        </w:rPr>
      </w:pPr>
    </w:p>
    <w:p w14:paraId="0E25B958" w14:textId="77777777" w:rsidR="00B67481" w:rsidRPr="00511005" w:rsidRDefault="00B67481" w:rsidP="003A292D">
      <w:pPr>
        <w:spacing w:line="264" w:lineRule="auto"/>
        <w:ind w:firstLine="0"/>
        <w:contextualSpacing/>
        <w:jc w:val="center"/>
        <w:rPr>
          <w:rFonts w:ascii="Arial" w:eastAsia="Calibri" w:hAnsi="Arial" w:cs="Arial"/>
          <w:b/>
          <w:bCs/>
          <w:szCs w:val="28"/>
        </w:rPr>
      </w:pPr>
      <w:r w:rsidRPr="00511005">
        <w:rPr>
          <w:rFonts w:ascii="Arial" w:eastAsia="Calibri" w:hAnsi="Arial" w:cs="Arial"/>
          <w:b/>
          <w:bCs/>
          <w:szCs w:val="28"/>
        </w:rPr>
        <w:t>ОСКАРЖЕННЯ ВІДМОВИ У ВЗЯТТІ НА ОБЛІК ЯК ВНУТРІШНЬО ПЕРЕМІЩЕНОЇ ОСОБИ (ВПО)</w:t>
      </w:r>
    </w:p>
    <w:p w14:paraId="58442CAD"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У контексті збройної агресії РФ проти України питання правового статусу внутрішньо переміщених осіб набуває особливої актуальності. Збройний конфлікт спричинив масове переміщення населення з тимчасово окупованих і небезпечних територій, що зумовило значне зростання кількості звернень щодо надання статусу внутрішньо переміщеної особи (ВПО). Водночас відмова у взятті на облік як ВПО часто тягне за собою обмеження доступу до соціальних гарантій, медичної допомоги та матеріальної підтримки. Саме тому адміністративне судочинство стає важливим інструментом захисту прав таких осіб. </w:t>
      </w:r>
    </w:p>
    <w:p w14:paraId="4A72BC2B"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Відповідно до Закону України «Про забезпечення прав і свобод внутрішньо переміщених осіб», статус ВПО підтверджується довідкою, яку видає орган соціального захисту. Однак оформлення цієї довідки пов’язане з рядом бюрократичних процедур та формальностей. Часто такі формальності і стають підставами для відмови, навіть попри очевидні докази переміщення з небезпечної території. Це породжує численні спори, що вирішуються в адміністративних судах [1].</w:t>
      </w:r>
    </w:p>
    <w:p w14:paraId="2EA996DD"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Однією з поширених підстав для відмови є відсутність </w:t>
      </w:r>
      <w:proofErr w:type="gramStart"/>
      <w:r w:rsidRPr="00511005">
        <w:rPr>
          <w:rFonts w:ascii="Arial" w:eastAsia="Calibri" w:hAnsi="Arial" w:cs="Arial"/>
          <w:szCs w:val="28"/>
        </w:rPr>
        <w:t>у документах</w:t>
      </w:r>
      <w:proofErr w:type="gramEnd"/>
      <w:r w:rsidRPr="00511005">
        <w:rPr>
          <w:rFonts w:ascii="Arial" w:eastAsia="Calibri" w:hAnsi="Arial" w:cs="Arial"/>
          <w:szCs w:val="28"/>
        </w:rPr>
        <w:t xml:space="preserve"> інформації про місце реєстрації особи на дату переміщення. Така ситуація виникла, зокрема, у справі №440/12260/23 Полтавського окружного адміністративного суду, де позивачу було відмовлено саме через цю обставину. Попри надані додаткові документи, які опосередковано підтверджували проживання за вказаною адресою, орган соціального захисту визнав їх недостатніми. Такий формальний підхід не враховує реалії воєнного часу, коли багато громадян втратили документи або не могли зареєструвати місце проживання з об’єктивних причин. Подібні ситуації свідчать про потребу у гнучкішому і людянішому підході до прийняття рішень [3].</w:t>
      </w:r>
    </w:p>
    <w:p w14:paraId="3B0D5C93"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Суд погодився з тим, що у поданому пакеті документів не вистачало ключових доказів саме на момент подання заяви. Хоча позивач мав інші документи (трудову книжку, талон зняття з обліку, паспорт дружини), вони не були надані до заяви. Суд визнав відмову обґрунтованою, але зазначив, що при повторному поданні повного пакета документів орган має надати </w:t>
      </w:r>
      <w:r w:rsidRPr="00511005">
        <w:rPr>
          <w:rFonts w:ascii="Arial" w:eastAsia="Calibri" w:hAnsi="Arial" w:cs="Arial"/>
          <w:szCs w:val="28"/>
        </w:rPr>
        <w:lastRenderedPageBreak/>
        <w:t>довідку. Таким чином, рішення спрямоване на стимулювання правильного порядку дій, а не позбавлення прав.</w:t>
      </w:r>
    </w:p>
    <w:p w14:paraId="0AA54767"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Іншою типовою підставою для відмови є факт тривалого проживання за новим місцем та наявність реєстрації за новою адресою. У справі №420/13434/23 Одеського окружного адміністративного суду позивачці відмовили на тій підставі, що вона давно мешкає в іншому регіоні та не зверталася по довідку раніше. Орган соціального захисту вважав, що втрата зв’язку з попереднім місцем проживання, зокрема через тривалу відсутність звернень, є підставою для відмови. Натомість позивачка зазначала, що її переміщення з окупованої території відбулося ще у 2014 році, а звернення було зумовлене новими життєвими обставинами. Це вкотре порушує питання про тривалість юридичної дії факту переміщення [2].</w:t>
      </w:r>
    </w:p>
    <w:p w14:paraId="01B0DF49"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Суд у цій справі дійшов висновку, що факт реєстрації за новою адресою не нівелює правового статусу ВПО. Ключовим чинником для надання статусу є саме факт переміщення з тимчасово окупованої території, а не дата звернення або нове місце проживання. Суд дослідив докази, які підтверджували місце роботи позивачки та її проживання </w:t>
      </w:r>
      <w:proofErr w:type="gramStart"/>
      <w:r w:rsidRPr="00511005">
        <w:rPr>
          <w:rFonts w:ascii="Arial" w:eastAsia="Calibri" w:hAnsi="Arial" w:cs="Arial"/>
          <w:szCs w:val="28"/>
        </w:rPr>
        <w:t>до моменту</w:t>
      </w:r>
      <w:proofErr w:type="gramEnd"/>
      <w:r w:rsidRPr="00511005">
        <w:rPr>
          <w:rFonts w:ascii="Arial" w:eastAsia="Calibri" w:hAnsi="Arial" w:cs="Arial"/>
          <w:szCs w:val="28"/>
        </w:rPr>
        <w:t xml:space="preserve"> переміщення, і визнав відмову органу соціального захисту неправомірною. Це рішення демонструє здатність адміністративного суду враховувати обставини справи в комплексі. Таким чином, суд захистив право особи, базуючись на принципах справедливості та верховенства права.</w:t>
      </w:r>
    </w:p>
    <w:p w14:paraId="7972B514"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Як показують наведені приклади, органи соціального захисту іноді застосовують надто формальне тлумачення норм, не зважаючи на фактичні обставини. Вони можуть відмовляти заявникам, навіть коли є очевидні ознаки переміщення, посилаючись лише на відсутність окремих документів. Такий підхід суперечить принципам добросовісного врядування та соціальної справедливості. Натомість адміністративні суди мають можливість здійснювати більш гнучкий аналіз кожної конкретної ситуації, враховуючи широкий спектр доказів. Це дозволяє уникати формального підходу та забезпечувати реальний правовий захист постраждалим особам.</w:t>
      </w:r>
    </w:p>
    <w:p w14:paraId="4099BDFF"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Звернення до адміністративного суду є дієвим способом захисту прав ВПО. Суди мають можливість всебічно досліджувати докази та обставини переміщення. Крім того, суди можуть зобов’язати органи видати довідку при наявності підтверджувальних матеріалів. Такий механізм є важливим для недопущення дискримінації осіб, які втекли з небезпечних територій.</w:t>
      </w:r>
    </w:p>
    <w:p w14:paraId="651AC89C"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 xml:space="preserve">Ключове значення </w:t>
      </w:r>
      <w:proofErr w:type="gramStart"/>
      <w:r w:rsidRPr="00511005">
        <w:rPr>
          <w:rFonts w:ascii="Arial" w:eastAsia="Calibri" w:hAnsi="Arial" w:cs="Arial"/>
          <w:szCs w:val="28"/>
        </w:rPr>
        <w:t>у спорах</w:t>
      </w:r>
      <w:proofErr w:type="gramEnd"/>
      <w:r w:rsidRPr="00511005">
        <w:rPr>
          <w:rFonts w:ascii="Arial" w:eastAsia="Calibri" w:hAnsi="Arial" w:cs="Arial"/>
          <w:szCs w:val="28"/>
        </w:rPr>
        <w:t xml:space="preserve"> щодо статусу ВПО має належна доказова база. Позивачі мають подавати максимально повний пакет документів, навіть якщо деякі з них не прямо передбачені законодавством. Практика свідчить, що суди враховують широкий спектр доказів — трудові книжки, довідки з місця роботи, документи про освіту тощо. Головне, щоб вони підтверджували зв’язок особи з окупованою або небезпечною територією.</w:t>
      </w:r>
    </w:p>
    <w:p w14:paraId="4F8EF4DE"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lastRenderedPageBreak/>
        <w:t>Часто органи соціального захисту зволікають із прийняттям рішень або ухвалюють відмови без належного мотивування. Це змушує осіб витрачати час і ресурси на судовий захист своїх прав. Особливо гостро це відчувають люди, які втекли з окупованих територій і не мають доступу до документів. Вирішення цього питання лежить у площині як правозастосування, так і удосконалення нормативної бази [4, с. 128].</w:t>
      </w:r>
    </w:p>
    <w:p w14:paraId="3A54CD94" w14:textId="77777777" w:rsidR="00B67481" w:rsidRPr="00511005" w:rsidRDefault="00B67481" w:rsidP="003A292D">
      <w:pPr>
        <w:spacing w:line="264" w:lineRule="auto"/>
        <w:contextualSpacing/>
        <w:rPr>
          <w:rFonts w:ascii="Arial" w:eastAsia="Calibri" w:hAnsi="Arial" w:cs="Arial"/>
          <w:szCs w:val="28"/>
        </w:rPr>
      </w:pPr>
      <w:r w:rsidRPr="00511005">
        <w:rPr>
          <w:rFonts w:ascii="Arial" w:eastAsia="Calibri" w:hAnsi="Arial" w:cs="Arial"/>
          <w:szCs w:val="28"/>
        </w:rPr>
        <w:t>Проблема відмов у взятті на облік ВПО потребує комплексного вирішення. Потрібно підвищити кваліфікацію посадовців, які приймають рішення щодо статусу ВПО. Крім того, необхідна ширша інформаційна кампанія для ВПО щодо порядку подання заяв і збору доказів. Такий підхід дозволить зменшити кількість конфліктів та позовів у цій сфері.</w:t>
      </w:r>
    </w:p>
    <w:p w14:paraId="625F73F1" w14:textId="77777777" w:rsidR="00B67481" w:rsidRPr="00511005" w:rsidRDefault="00B67481" w:rsidP="003A292D">
      <w:pPr>
        <w:spacing w:line="264" w:lineRule="auto"/>
        <w:contextualSpacing/>
        <w:rPr>
          <w:rFonts w:ascii="Arial" w:eastAsia="Calibri" w:hAnsi="Arial" w:cs="Arial"/>
          <w:szCs w:val="28"/>
          <w:lang w:val="uk-UA"/>
        </w:rPr>
      </w:pPr>
      <w:r w:rsidRPr="00511005">
        <w:rPr>
          <w:rFonts w:ascii="Arial" w:eastAsia="Calibri" w:hAnsi="Arial" w:cs="Arial"/>
          <w:szCs w:val="28"/>
        </w:rPr>
        <w:t>Оскарження відмови у взятті на облік як ВПО є важливою правозахисною практикою, що підтверджує роль адміністративного судочинства у захисті прав громадян. Судова практика демонструє, що навіть у складних випадках можна досягти справедливого рішення при належному обґрунтуванні. При цьому як органи влади, так і заявники мають діяти в межах закону та добросовісно. Захист прав ВПО — це не лише юридична, а й гуманітарна проблема, яка потребує чутливого підходу.</w:t>
      </w:r>
    </w:p>
    <w:p w14:paraId="02EFC1D7" w14:textId="77777777" w:rsidR="00B67481" w:rsidRPr="00511005" w:rsidRDefault="00B67481" w:rsidP="003A292D">
      <w:pPr>
        <w:spacing w:line="264" w:lineRule="auto"/>
        <w:contextualSpacing/>
        <w:rPr>
          <w:rFonts w:ascii="Arial" w:eastAsia="Calibri" w:hAnsi="Arial" w:cs="Arial"/>
          <w:szCs w:val="28"/>
          <w:lang w:val="uk-UA"/>
        </w:rPr>
      </w:pPr>
    </w:p>
    <w:p w14:paraId="42EC0E0D" w14:textId="7E4FF0E9" w:rsidR="00B67481" w:rsidRPr="00511005" w:rsidRDefault="007B2628" w:rsidP="007B2628">
      <w:pPr>
        <w:spacing w:line="264" w:lineRule="auto"/>
        <w:ind w:firstLine="0"/>
        <w:contextualSpacing/>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74E3E45C" w14:textId="77777777" w:rsidR="00B67481" w:rsidRPr="00511005" w:rsidRDefault="00B67481" w:rsidP="003F6A5D">
      <w:pPr>
        <w:numPr>
          <w:ilvl w:val="0"/>
          <w:numId w:val="27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Про забезпечення прав і свобод внутрішньо переміщених осіб. </w:t>
      </w:r>
      <w:r w:rsidRPr="00511005">
        <w:rPr>
          <w:rFonts w:ascii="Arial" w:eastAsia="Times New Roman" w:hAnsi="Arial" w:cs="Arial"/>
          <w:i/>
          <w:iCs/>
          <w:szCs w:val="28"/>
          <w:lang w:eastAsia="ru-RU"/>
        </w:rPr>
        <w:t>Офіційний вебпортал парламенту України</w:t>
      </w:r>
      <w:r w:rsidRPr="00511005">
        <w:rPr>
          <w:rFonts w:ascii="Arial" w:eastAsia="Times New Roman" w:hAnsi="Arial" w:cs="Arial"/>
          <w:szCs w:val="28"/>
          <w:lang w:eastAsia="ru-RU"/>
        </w:rPr>
        <w:t>. URL: </w:t>
      </w:r>
      <w:hyperlink r:id="rId1030" w:anchor="Text" w:tgtFrame="_blank" w:history="1">
        <w:r w:rsidRPr="00511005">
          <w:rPr>
            <w:rFonts w:ascii="Arial" w:eastAsia="Times New Roman" w:hAnsi="Arial" w:cs="Arial"/>
            <w:szCs w:val="28"/>
            <w:lang w:eastAsia="ru-RU"/>
          </w:rPr>
          <w:t>https://zakon.rada.gov.ua/laws/show/1706-18#Text</w:t>
        </w:r>
      </w:hyperlink>
      <w:r w:rsidRPr="00511005">
        <w:rPr>
          <w:rFonts w:ascii="Arial" w:eastAsia="Times New Roman" w:hAnsi="Arial" w:cs="Arial"/>
          <w:szCs w:val="28"/>
          <w:lang w:eastAsia="ru-RU"/>
        </w:rPr>
        <w:t> (дата звернення: 30.04.2025).</w:t>
      </w:r>
    </w:p>
    <w:p w14:paraId="65BC93E2" w14:textId="77777777" w:rsidR="00B67481" w:rsidRPr="00511005" w:rsidRDefault="00B67481" w:rsidP="003F6A5D">
      <w:pPr>
        <w:numPr>
          <w:ilvl w:val="0"/>
          <w:numId w:val="27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Справа № 420/13434/23. </w:t>
      </w:r>
      <w:r w:rsidRPr="00511005">
        <w:rPr>
          <w:rFonts w:ascii="Arial" w:eastAsia="Times New Roman" w:hAnsi="Arial" w:cs="Arial"/>
          <w:i/>
          <w:iCs/>
          <w:szCs w:val="28"/>
          <w:lang w:eastAsia="ru-RU"/>
        </w:rPr>
        <w:t>Єдиний державний реєстр судових рішень</w:t>
      </w:r>
      <w:r w:rsidRPr="00511005">
        <w:rPr>
          <w:rFonts w:ascii="Arial" w:eastAsia="Times New Roman" w:hAnsi="Arial" w:cs="Arial"/>
          <w:szCs w:val="28"/>
          <w:lang w:eastAsia="ru-RU"/>
        </w:rPr>
        <w:t>. URL: </w:t>
      </w:r>
      <w:hyperlink r:id="rId1031" w:tgtFrame="_blank" w:history="1">
        <w:r w:rsidRPr="00511005">
          <w:rPr>
            <w:rFonts w:ascii="Arial" w:eastAsia="Times New Roman" w:hAnsi="Arial" w:cs="Arial"/>
            <w:szCs w:val="28"/>
            <w:lang w:eastAsia="ru-RU"/>
          </w:rPr>
          <w:t>https://reyestr.court.gov.ua/Review/113479933</w:t>
        </w:r>
      </w:hyperlink>
      <w:r w:rsidRPr="00511005">
        <w:rPr>
          <w:rFonts w:ascii="Arial" w:eastAsia="Times New Roman" w:hAnsi="Arial" w:cs="Arial"/>
          <w:szCs w:val="28"/>
          <w:lang w:eastAsia="ru-RU"/>
        </w:rPr>
        <w:t> (дата звернення: 30.04.2025).</w:t>
      </w:r>
    </w:p>
    <w:p w14:paraId="0E8225B0" w14:textId="77777777" w:rsidR="00B67481" w:rsidRPr="00511005" w:rsidRDefault="00B67481" w:rsidP="003F6A5D">
      <w:pPr>
        <w:numPr>
          <w:ilvl w:val="0"/>
          <w:numId w:val="27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Справа № 440/12260/23. </w:t>
      </w:r>
      <w:r w:rsidRPr="00511005">
        <w:rPr>
          <w:rFonts w:ascii="Arial" w:eastAsia="Times New Roman" w:hAnsi="Arial" w:cs="Arial"/>
          <w:i/>
          <w:iCs/>
          <w:szCs w:val="28"/>
          <w:lang w:eastAsia="ru-RU"/>
        </w:rPr>
        <w:t>Єдиний державний реєстр судових рішень</w:t>
      </w:r>
      <w:r w:rsidRPr="00511005">
        <w:rPr>
          <w:rFonts w:ascii="Arial" w:eastAsia="Times New Roman" w:hAnsi="Arial" w:cs="Arial"/>
          <w:szCs w:val="28"/>
          <w:lang w:eastAsia="ru-RU"/>
        </w:rPr>
        <w:t>. URL: </w:t>
      </w:r>
      <w:hyperlink r:id="rId1032" w:tgtFrame="_blank" w:history="1">
        <w:r w:rsidRPr="00511005">
          <w:rPr>
            <w:rFonts w:ascii="Arial" w:eastAsia="Times New Roman" w:hAnsi="Arial" w:cs="Arial"/>
            <w:szCs w:val="28"/>
            <w:lang w:eastAsia="ru-RU"/>
          </w:rPr>
          <w:t>https://reyestr.court.gov.ua/Review/113824965</w:t>
        </w:r>
      </w:hyperlink>
      <w:r w:rsidRPr="00511005">
        <w:rPr>
          <w:rFonts w:ascii="Arial" w:eastAsia="Times New Roman" w:hAnsi="Arial" w:cs="Arial"/>
          <w:szCs w:val="28"/>
          <w:lang w:eastAsia="ru-RU"/>
        </w:rPr>
        <w:t> (дата звернення: 30.04.2025).</w:t>
      </w:r>
    </w:p>
    <w:p w14:paraId="31EC8996" w14:textId="77777777" w:rsidR="00B67481" w:rsidRPr="00511005" w:rsidRDefault="00B67481" w:rsidP="003F6A5D">
      <w:pPr>
        <w:numPr>
          <w:ilvl w:val="0"/>
          <w:numId w:val="274"/>
        </w:numPr>
        <w:spacing w:line="264" w:lineRule="auto"/>
        <w:ind w:left="0" w:firstLine="709"/>
        <w:contextualSpacing/>
        <w:jc w:val="left"/>
        <w:rPr>
          <w:rFonts w:ascii="Arial" w:eastAsia="Times New Roman" w:hAnsi="Arial" w:cs="Arial"/>
          <w:szCs w:val="28"/>
          <w:lang w:val="en-US" w:eastAsia="ru-RU"/>
        </w:rPr>
      </w:pPr>
      <w:r w:rsidRPr="00511005">
        <w:rPr>
          <w:rFonts w:ascii="Arial" w:eastAsia="Times New Roman" w:hAnsi="Arial" w:cs="Arial"/>
          <w:szCs w:val="28"/>
          <w:lang w:eastAsia="ru-RU"/>
        </w:rPr>
        <w:t>Алімова І. Правове регулювання соціального захисту внутрішньо переміщених осіб: проблеми та шляхи їх вирішення. </w:t>
      </w:r>
      <w:r w:rsidRPr="00511005">
        <w:rPr>
          <w:rFonts w:ascii="Arial" w:eastAsia="Times New Roman" w:hAnsi="Arial" w:cs="Arial"/>
          <w:i/>
          <w:iCs/>
          <w:szCs w:val="28"/>
          <w:lang w:val="en-US" w:eastAsia="ru-RU"/>
        </w:rPr>
        <w:t>Theory and Practice of Public Administration</w:t>
      </w:r>
      <w:r w:rsidRPr="00511005">
        <w:rPr>
          <w:rFonts w:ascii="Arial" w:eastAsia="Times New Roman" w:hAnsi="Arial" w:cs="Arial"/>
          <w:szCs w:val="28"/>
          <w:lang w:val="en-US" w:eastAsia="ru-RU"/>
        </w:rPr>
        <w:t xml:space="preserve">. 2020. </w:t>
      </w:r>
      <w:r w:rsidRPr="00511005">
        <w:rPr>
          <w:rFonts w:ascii="Arial" w:eastAsia="Times New Roman" w:hAnsi="Arial" w:cs="Arial"/>
          <w:szCs w:val="28"/>
          <w:lang w:eastAsia="ru-RU"/>
        </w:rPr>
        <w:t>Т</w:t>
      </w:r>
      <w:r w:rsidRPr="00511005">
        <w:rPr>
          <w:rFonts w:ascii="Arial" w:eastAsia="Times New Roman" w:hAnsi="Arial" w:cs="Arial"/>
          <w:szCs w:val="28"/>
          <w:lang w:val="en-US" w:eastAsia="ru-RU"/>
        </w:rPr>
        <w:t xml:space="preserve">. 1, № 68. </w:t>
      </w:r>
      <w:r w:rsidRPr="00511005">
        <w:rPr>
          <w:rFonts w:ascii="Arial" w:eastAsia="Times New Roman" w:hAnsi="Arial" w:cs="Arial"/>
          <w:szCs w:val="28"/>
          <w:lang w:eastAsia="ru-RU"/>
        </w:rPr>
        <w:t>С</w:t>
      </w:r>
      <w:r w:rsidRPr="00511005">
        <w:rPr>
          <w:rFonts w:ascii="Arial" w:eastAsia="Times New Roman" w:hAnsi="Arial" w:cs="Arial"/>
          <w:szCs w:val="28"/>
          <w:lang w:val="en-US" w:eastAsia="ru-RU"/>
        </w:rPr>
        <w:t>. 126–133. URL: </w:t>
      </w:r>
      <w:hyperlink r:id="rId1033" w:tgtFrame="_blank" w:history="1">
        <w:r w:rsidRPr="00511005">
          <w:rPr>
            <w:rFonts w:ascii="Arial" w:eastAsia="Times New Roman" w:hAnsi="Arial" w:cs="Arial"/>
            <w:szCs w:val="28"/>
            <w:lang w:val="en-US" w:eastAsia="ru-RU"/>
          </w:rPr>
          <w:t>https://doi.org/10.34213/tp.20.01.16</w:t>
        </w:r>
      </w:hyperlink>
      <w:r w:rsidRPr="00511005">
        <w:rPr>
          <w:rFonts w:ascii="Arial" w:eastAsia="Times New Roman" w:hAnsi="Arial" w:cs="Arial"/>
          <w:szCs w:val="28"/>
          <w:lang w:val="en-US" w:eastAsia="ru-RU"/>
        </w:rPr>
        <w:t> (</w:t>
      </w:r>
      <w:r w:rsidRPr="00511005">
        <w:rPr>
          <w:rFonts w:ascii="Arial" w:eastAsia="Times New Roman" w:hAnsi="Arial" w:cs="Arial"/>
          <w:szCs w:val="28"/>
          <w:lang w:eastAsia="ru-RU"/>
        </w:rPr>
        <w:t>дата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звернення</w:t>
      </w:r>
      <w:r w:rsidRPr="00511005">
        <w:rPr>
          <w:rFonts w:ascii="Arial" w:eastAsia="Times New Roman" w:hAnsi="Arial" w:cs="Arial"/>
          <w:szCs w:val="28"/>
          <w:lang w:val="en-US" w:eastAsia="ru-RU"/>
        </w:rPr>
        <w:t>: 30.04.2025).</w:t>
      </w:r>
    </w:p>
    <w:p w14:paraId="5A66FF41" w14:textId="77777777" w:rsidR="00B67481" w:rsidRPr="00511005" w:rsidRDefault="00B67481" w:rsidP="003A292D">
      <w:pPr>
        <w:spacing w:line="264" w:lineRule="auto"/>
        <w:rPr>
          <w:rFonts w:ascii="Arial" w:eastAsia="Calibri" w:hAnsi="Arial" w:cs="Arial"/>
          <w:b/>
          <w:szCs w:val="28"/>
          <w:lang w:val="uk-UA"/>
        </w:rPr>
      </w:pPr>
    </w:p>
    <w:p w14:paraId="3C5B508F" w14:textId="18BB3591"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rPr>
        <w:t xml:space="preserve">Ключові слова: </w:t>
      </w:r>
      <w:r w:rsidR="00B67481" w:rsidRPr="00511005">
        <w:rPr>
          <w:rFonts w:ascii="Arial" w:eastAsia="Calibri" w:hAnsi="Arial" w:cs="Arial"/>
          <w:szCs w:val="28"/>
        </w:rPr>
        <w:t>внутрішньо переміщена особа, адміністративне судочинство, відмова у взятті на облік, соціальний захист, судова практика</w:t>
      </w:r>
      <w:r w:rsidR="00B67481" w:rsidRPr="00511005">
        <w:rPr>
          <w:rFonts w:ascii="Arial" w:eastAsia="Calibri" w:hAnsi="Arial" w:cs="Arial"/>
          <w:szCs w:val="28"/>
          <w:lang w:val="uk-UA"/>
        </w:rPr>
        <w:t>.</w:t>
      </w:r>
    </w:p>
    <w:p w14:paraId="162E3FAA" w14:textId="100C3138"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Key words: </w:t>
      </w:r>
      <w:r w:rsidR="00B67481" w:rsidRPr="00511005">
        <w:rPr>
          <w:rFonts w:ascii="Arial" w:eastAsia="Calibri" w:hAnsi="Arial" w:cs="Arial"/>
          <w:szCs w:val="28"/>
          <w:lang w:val="uk-UA"/>
        </w:rPr>
        <w:t>internally displaced person, administrative proceedings, refusal to register, social protection, judicial practice.</w:t>
      </w:r>
    </w:p>
    <w:p w14:paraId="074D1BB4" w14:textId="2061D903" w:rsidR="00B67481" w:rsidRPr="00511005" w:rsidRDefault="007B2628" w:rsidP="003A292D">
      <w:pPr>
        <w:spacing w:line="264" w:lineRule="auto"/>
        <w:rPr>
          <w:rFonts w:ascii="Arial" w:eastAsia="Calibri" w:hAnsi="Arial" w:cs="Arial"/>
          <w:i/>
          <w:szCs w:val="28"/>
          <w:lang w:val="uk-UA"/>
        </w:rPr>
      </w:pPr>
      <w:r w:rsidRPr="00511005">
        <w:rPr>
          <w:rFonts w:ascii="Arial" w:eastAsia="Calibri" w:hAnsi="Arial" w:cs="Arial"/>
          <w:b/>
          <w:i/>
          <w:szCs w:val="28"/>
        </w:rPr>
        <w:t xml:space="preserve">Науковий керівник: </w:t>
      </w:r>
      <w:proofErr w:type="gramStart"/>
      <w:r w:rsidR="00B67481" w:rsidRPr="00511005">
        <w:rPr>
          <w:rFonts w:ascii="Arial" w:eastAsia="Calibri" w:hAnsi="Arial" w:cs="Arial"/>
          <w:i/>
          <w:szCs w:val="28"/>
        </w:rPr>
        <w:t>к.ю.н,доцент</w:t>
      </w:r>
      <w:proofErr w:type="gramEnd"/>
      <w:r w:rsidR="00B67481" w:rsidRPr="00511005">
        <w:rPr>
          <w:rFonts w:ascii="Arial" w:eastAsia="Calibri" w:hAnsi="Arial" w:cs="Arial"/>
          <w:i/>
          <w:szCs w:val="28"/>
        </w:rPr>
        <w:t xml:space="preserve"> Осадчий </w:t>
      </w:r>
      <w:r w:rsidR="00B67481" w:rsidRPr="00511005">
        <w:rPr>
          <w:rFonts w:ascii="Arial" w:eastAsia="Calibri" w:hAnsi="Arial" w:cs="Arial"/>
          <w:i/>
          <w:szCs w:val="28"/>
          <w:lang w:val="uk-UA"/>
        </w:rPr>
        <w:t>А.Ю.</w:t>
      </w:r>
    </w:p>
    <w:p w14:paraId="342C6BAF" w14:textId="77777777" w:rsidR="00B67481" w:rsidRPr="00511005" w:rsidRDefault="00B67481" w:rsidP="003A292D">
      <w:pPr>
        <w:spacing w:line="264" w:lineRule="auto"/>
        <w:ind w:firstLine="0"/>
        <w:jc w:val="left"/>
        <w:rPr>
          <w:rFonts w:ascii="Arial" w:eastAsia="Calibri" w:hAnsi="Arial" w:cs="Arial"/>
          <w:i/>
          <w:szCs w:val="28"/>
          <w:lang w:val="uk-UA"/>
        </w:rPr>
      </w:pPr>
      <w:r w:rsidRPr="00511005">
        <w:rPr>
          <w:rFonts w:ascii="Arial" w:eastAsia="Calibri" w:hAnsi="Arial" w:cs="Arial"/>
          <w:i/>
          <w:szCs w:val="28"/>
          <w:lang w:val="uk-UA"/>
        </w:rPr>
        <w:br w:type="page"/>
      </w:r>
    </w:p>
    <w:p w14:paraId="272BE142" w14:textId="77777777" w:rsidR="00B67481" w:rsidRPr="00511005" w:rsidRDefault="00B67481"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lastRenderedPageBreak/>
        <w:t>Масловська Єлизавета Денисівна</w:t>
      </w:r>
    </w:p>
    <w:p w14:paraId="5AF5ADFD" w14:textId="1F082D7E"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1E20B0C2"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729C0E4"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186093D" w14:textId="77777777" w:rsidR="00B67481" w:rsidRPr="00511005" w:rsidRDefault="00B67481" w:rsidP="003A292D">
      <w:pPr>
        <w:spacing w:line="264" w:lineRule="auto"/>
        <w:ind w:firstLine="0"/>
        <w:jc w:val="center"/>
        <w:rPr>
          <w:rFonts w:ascii="Arial" w:eastAsia="Calibri" w:hAnsi="Arial" w:cs="Arial"/>
          <w:szCs w:val="28"/>
          <w:lang w:val="uk-UA"/>
        </w:rPr>
      </w:pPr>
    </w:p>
    <w:p w14:paraId="4E1D35BD" w14:textId="77777777" w:rsidR="00B67481" w:rsidRPr="00511005" w:rsidRDefault="00B67481"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ЗАБЕЗПЕЧЕННЯ АДМІНІСТРАТИВНОГО ПОЗОВУ: ПРОБЛЕМИ ПРАВОВОГО РЕГУЛЮВАННЯ</w:t>
      </w:r>
    </w:p>
    <w:p w14:paraId="51A35F90"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Інститут забезпечення адміністративного позову врегульовано в розділі VI Кодексу адміністративного судочинства України. Він передбачає можливість тимчасового вжиття заходів для запобігання порушенню прав або законних інтересів позивача до винесення остаточного рішення у справі. Основними формами забезпечення є:</w:t>
      </w:r>
    </w:p>
    <w:p w14:paraId="0395F13B" w14:textId="77777777" w:rsidR="00B67481" w:rsidRPr="00511005" w:rsidRDefault="00B67481" w:rsidP="003F6A5D">
      <w:pPr>
        <w:numPr>
          <w:ilvl w:val="0"/>
          <w:numId w:val="275"/>
        </w:numPr>
        <w:spacing w:line="264" w:lineRule="auto"/>
        <w:ind w:left="0" w:firstLine="709"/>
        <w:jc w:val="left"/>
        <w:rPr>
          <w:rFonts w:ascii="Arial" w:eastAsia="Calibri" w:hAnsi="Arial" w:cs="Arial"/>
          <w:szCs w:val="28"/>
        </w:rPr>
      </w:pPr>
      <w:r w:rsidRPr="00511005">
        <w:rPr>
          <w:rFonts w:ascii="Arial" w:eastAsia="Calibri" w:hAnsi="Arial" w:cs="Arial"/>
          <w:szCs w:val="28"/>
        </w:rPr>
        <w:t>зупиненням дії індивідуального акта або нормативно-правового акта;</w:t>
      </w:r>
    </w:p>
    <w:p w14:paraId="2A5416B6" w14:textId="77777777" w:rsidR="00B67481" w:rsidRPr="00511005" w:rsidRDefault="00B67481" w:rsidP="003F6A5D">
      <w:pPr>
        <w:numPr>
          <w:ilvl w:val="0"/>
          <w:numId w:val="275"/>
        </w:numPr>
        <w:spacing w:line="264" w:lineRule="auto"/>
        <w:ind w:left="0" w:firstLine="709"/>
        <w:jc w:val="left"/>
        <w:rPr>
          <w:rFonts w:ascii="Arial" w:eastAsia="Calibri" w:hAnsi="Arial" w:cs="Arial"/>
          <w:szCs w:val="28"/>
        </w:rPr>
      </w:pPr>
      <w:r w:rsidRPr="00511005">
        <w:rPr>
          <w:rFonts w:ascii="Arial" w:eastAsia="Calibri" w:hAnsi="Arial" w:cs="Arial"/>
          <w:szCs w:val="28"/>
        </w:rPr>
        <w:t>забороною відповідачу вчиняти певні дії;</w:t>
      </w:r>
    </w:p>
    <w:p w14:paraId="76F81962" w14:textId="77777777" w:rsidR="00B67481" w:rsidRPr="00511005" w:rsidRDefault="00B67481" w:rsidP="003F6A5D">
      <w:pPr>
        <w:numPr>
          <w:ilvl w:val="0"/>
          <w:numId w:val="275"/>
        </w:numPr>
        <w:spacing w:line="264" w:lineRule="auto"/>
        <w:ind w:left="0" w:firstLine="709"/>
        <w:jc w:val="left"/>
        <w:rPr>
          <w:rFonts w:ascii="Arial" w:eastAsia="Calibri" w:hAnsi="Arial" w:cs="Arial"/>
          <w:szCs w:val="28"/>
        </w:rPr>
      </w:pPr>
      <w:r w:rsidRPr="00511005">
        <w:rPr>
          <w:rFonts w:ascii="Arial" w:eastAsia="Calibri" w:hAnsi="Arial" w:cs="Arial"/>
          <w:szCs w:val="28"/>
        </w:rPr>
        <w:t>забороною іншим особам вчиняти дії, що стосуються предмета спору;</w:t>
      </w:r>
    </w:p>
    <w:p w14:paraId="26F2B991" w14:textId="77777777" w:rsidR="00B67481" w:rsidRPr="00511005" w:rsidRDefault="00B67481" w:rsidP="003F6A5D">
      <w:pPr>
        <w:numPr>
          <w:ilvl w:val="0"/>
          <w:numId w:val="275"/>
        </w:numPr>
        <w:spacing w:line="264" w:lineRule="auto"/>
        <w:ind w:left="0" w:firstLine="709"/>
        <w:jc w:val="left"/>
        <w:rPr>
          <w:rFonts w:ascii="Arial" w:eastAsia="Calibri" w:hAnsi="Arial" w:cs="Arial"/>
          <w:szCs w:val="28"/>
        </w:rPr>
      </w:pPr>
      <w:r w:rsidRPr="00511005">
        <w:rPr>
          <w:rFonts w:ascii="Arial" w:eastAsia="Calibri" w:hAnsi="Arial" w:cs="Arial"/>
          <w:szCs w:val="28"/>
        </w:rPr>
        <w:t>зупиненням стягнення на підставі виконавчого документа або іншого документа, за яким стягнення здійснюється у безспірному порядку</w:t>
      </w:r>
      <w:r w:rsidRPr="00511005">
        <w:rPr>
          <w:rFonts w:ascii="Arial" w:eastAsia="Calibri" w:hAnsi="Arial" w:cs="Arial"/>
          <w:szCs w:val="28"/>
          <w:lang w:val="uk-UA"/>
        </w:rPr>
        <w:t xml:space="preserve"> </w:t>
      </w:r>
      <w:r w:rsidRPr="00511005">
        <w:rPr>
          <w:rFonts w:ascii="Arial" w:eastAsia="Calibri" w:hAnsi="Arial" w:cs="Arial"/>
          <w:szCs w:val="28"/>
        </w:rPr>
        <w:t>[1].</w:t>
      </w:r>
    </w:p>
    <w:p w14:paraId="48C5B7F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Важливе місце в контексті забезпечення адміністративного позову займає Постанова Пленуму Вищого адміністративного суду України від 06.03.2008 № 2. У ній зазначено, що заходи забезпечення адміністративного позову повинні застосовуватись з урахуванням необхідності реального захисту прав, свобод та інтересів особи. При цьому суд повинен ретельно зважувати пропорційність такого заходу з метою позову, а також забезпечувати баланс між інтересами сторін. Також наголошено, що застосування заходів забезпечення не повинно свідчити про упередженість суду щодо остаточного вирішення спору по суті. Таким чином, постанова закладає фундаментальні орієнтири для судів, спрямовані на уникнення зловживань і забезпечення справедливого судочинства [</w:t>
      </w:r>
      <w:r w:rsidRPr="00511005">
        <w:rPr>
          <w:rFonts w:ascii="Arial" w:eastAsia="Calibri" w:hAnsi="Arial" w:cs="Arial"/>
          <w:szCs w:val="28"/>
          <w:lang w:val="uk-UA"/>
        </w:rPr>
        <w:t>2</w:t>
      </w:r>
      <w:r w:rsidRPr="00511005">
        <w:rPr>
          <w:rFonts w:ascii="Arial" w:eastAsia="Calibri" w:hAnsi="Arial" w:cs="Arial"/>
          <w:szCs w:val="28"/>
        </w:rPr>
        <w:t>].</w:t>
      </w:r>
    </w:p>
    <w:p w14:paraId="642FFCE3"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Втім, на практиці цей перелік є занадто вузьким. У порівнянні з іншими видами судочинства, адміністративне забезпечення не передбачає, наприклад, накладення арешту на майно або зобов’язання вчинити певні дії. Така ситуація обмежує можливості суду ефективно реагувати на порушення балансу прав сторін.</w:t>
      </w:r>
    </w:p>
    <w:p w14:paraId="20056F1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Крім того, закон не містить чітких критеріїв, за якими суд повинен оцінювати доцільність забезпечення позову. Це відкриває простір для суб’єктивного трактування норм і неоднакової судової практики.</w:t>
      </w:r>
    </w:p>
    <w:p w14:paraId="0B83FBB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Окремо варто звернути увагу на те, що чинне законодавство не передбачає спеціальних запобіжників проти зловживань із боку позивача. Відсутність санкцій або чітких наслідків для сторони, яка подала </w:t>
      </w:r>
      <w:r w:rsidRPr="00511005">
        <w:rPr>
          <w:rFonts w:ascii="Arial" w:eastAsia="Calibri" w:hAnsi="Arial" w:cs="Arial"/>
          <w:szCs w:val="28"/>
        </w:rPr>
        <w:lastRenderedPageBreak/>
        <w:t>необґрунтовану заяву про забезпечення позову з метою тиску на іншу сторону, може призводити до недобросовісного використання цього механізму.</w:t>
      </w:r>
    </w:p>
    <w:p w14:paraId="615D131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Ця проблема набуває особливої актуальності в контексті сплати судового збору. Коли особа звертається із заявою про забезпечення позову до подання самого позову, вона зобов’язана сплатити судовий збір у відповідному розмірі. Проте в разі, якщо позовна заява так і не подається, або суд у подальшому відмовляє у відкритті провадження у справі, виникає парадоксальна ситуація: суд вже забезпечив права потенційного позивача, але провадження по суті не існує. При цьому сплачений судовий збір за заяву про забезпечення може бути повернутий, що фактично знімає фінансову відповідальність за подання потенційно необґрунтованих заяв.</w:t>
      </w:r>
    </w:p>
    <w:p w14:paraId="4AB34C1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Така законодавча конструкція створює прогалину, яка може використовуватися для тиску на відповідача без реального наміру продовжувати судовий спір. Це порушує принципи змагальності та добросовісності сторін у процесі, а також підриває довіру до інституту забезпечення позову як ефективного засобу судового захисту.</w:t>
      </w:r>
    </w:p>
    <w:p w14:paraId="5B7B51F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Стаття 151 Кодексу адміністративного судочинства України містить вичерпний перелік випадків, коли забезпечення адміністративного позову не допускається. Ці обмеження охоплюють акти та дії ключових державних інституцій, серед яких Верховна Рада України, Президент, Кабінет Міністрів, Національний банк України, регуляторні та контролюючі органи. Також заборонено втручатися через механізм забезпечення у дії, пов’язані з виведенням банків з ринку, виконанням рішень в авіаційній сфері, встановленням тарифів та у військові накази в умовах воєнного стану</w:t>
      </w:r>
      <w:r w:rsidRPr="00511005">
        <w:rPr>
          <w:rFonts w:ascii="Arial" w:eastAsia="Calibri" w:hAnsi="Arial" w:cs="Arial"/>
          <w:szCs w:val="28"/>
          <w:lang w:val="uk-UA"/>
        </w:rPr>
        <w:t xml:space="preserve"> </w:t>
      </w:r>
      <w:r w:rsidRPr="00511005">
        <w:rPr>
          <w:rFonts w:ascii="Arial" w:eastAsia="Calibri" w:hAnsi="Arial" w:cs="Arial"/>
          <w:szCs w:val="28"/>
        </w:rPr>
        <w:t>[1].</w:t>
      </w:r>
    </w:p>
    <w:p w14:paraId="2505613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Основна мета таких обмежень — гарантувати безперервність та стабільність функціонування державного управління та регуляторних процесів, уникнути втручання в критично важливі сфери з боку судової влади </w:t>
      </w:r>
      <w:proofErr w:type="gramStart"/>
      <w:r w:rsidRPr="00511005">
        <w:rPr>
          <w:rFonts w:ascii="Arial" w:eastAsia="Calibri" w:hAnsi="Arial" w:cs="Arial"/>
          <w:szCs w:val="28"/>
        </w:rPr>
        <w:t>до моменту</w:t>
      </w:r>
      <w:proofErr w:type="gramEnd"/>
      <w:r w:rsidRPr="00511005">
        <w:rPr>
          <w:rFonts w:ascii="Arial" w:eastAsia="Calibri" w:hAnsi="Arial" w:cs="Arial"/>
          <w:szCs w:val="28"/>
        </w:rPr>
        <w:t xml:space="preserve"> розгляду справи по суті. Однак з іншого боку, така законодавча конструкція породжує низку проблем і запитань у контексті захисту прав громадян.</w:t>
      </w:r>
    </w:p>
    <w:p w14:paraId="5A6FD3BF"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 xml:space="preserve">По-перше, заборона забезпечення позову стосовно рішень, які приймаються у банківській, фінансовій, енергетичній або оборонній сферах, фактично позбавляє особу дієвих інструментів негайного захисту своїх прав у разі очевидних порушень з боку держави чи її органів. Наприклад, фізична або юридична особа, яка зазнає збитків унаслідок рішення НБУ чи Фонду гарантування вкладів фізичних осіб, не має можливості зупинити дію такого акту </w:t>
      </w:r>
      <w:proofErr w:type="gramStart"/>
      <w:r w:rsidRPr="00511005">
        <w:rPr>
          <w:rFonts w:ascii="Arial" w:eastAsia="Calibri" w:hAnsi="Arial" w:cs="Arial"/>
          <w:szCs w:val="28"/>
        </w:rPr>
        <w:t>до моменту</w:t>
      </w:r>
      <w:proofErr w:type="gramEnd"/>
      <w:r w:rsidRPr="00511005">
        <w:rPr>
          <w:rFonts w:ascii="Arial" w:eastAsia="Calibri" w:hAnsi="Arial" w:cs="Arial"/>
          <w:szCs w:val="28"/>
        </w:rPr>
        <w:t xml:space="preserve"> винесення судом остаточного рішення, </w:t>
      </w:r>
      <w:r w:rsidRPr="00511005">
        <w:rPr>
          <w:rFonts w:ascii="Arial" w:eastAsia="Calibri" w:hAnsi="Arial" w:cs="Arial"/>
          <w:szCs w:val="28"/>
          <w:lang w:val="uk-UA"/>
        </w:rPr>
        <w:t>яке може розглядатись тривалий час.</w:t>
      </w:r>
    </w:p>
    <w:p w14:paraId="0F1B32E3" w14:textId="77777777" w:rsidR="00B67481" w:rsidRPr="00511005" w:rsidRDefault="00B67481" w:rsidP="003A292D">
      <w:pPr>
        <w:spacing w:line="264" w:lineRule="auto"/>
        <w:rPr>
          <w:rFonts w:ascii="Arial" w:eastAsia="Calibri" w:hAnsi="Arial" w:cs="Arial"/>
          <w:szCs w:val="28"/>
        </w:rPr>
      </w:pPr>
      <w:proofErr w:type="gramStart"/>
      <w:r w:rsidRPr="00511005">
        <w:rPr>
          <w:rFonts w:ascii="Arial" w:eastAsia="Calibri" w:hAnsi="Arial" w:cs="Arial"/>
          <w:szCs w:val="28"/>
        </w:rPr>
        <w:t>По-друге</w:t>
      </w:r>
      <w:proofErr w:type="gramEnd"/>
      <w:r w:rsidRPr="00511005">
        <w:rPr>
          <w:rFonts w:ascii="Arial" w:eastAsia="Calibri" w:hAnsi="Arial" w:cs="Arial"/>
          <w:szCs w:val="28"/>
        </w:rPr>
        <w:t xml:space="preserve">, встановлений в статті 151 перелік має доволі широке тлумачення, що створює простір для зловживань або формального підходу до розгляду суддями заяв про забезпечення позову. Це особливо актуально </w:t>
      </w:r>
      <w:r w:rsidRPr="00511005">
        <w:rPr>
          <w:rFonts w:ascii="Arial" w:eastAsia="Calibri" w:hAnsi="Arial" w:cs="Arial"/>
          <w:szCs w:val="28"/>
        </w:rPr>
        <w:lastRenderedPageBreak/>
        <w:t>в умовах нестабільної економіки чи політичної ситуації, коли важливість оперативного реагування на дії органів влади є надзвичайно високою.</w:t>
      </w:r>
    </w:p>
    <w:p w14:paraId="217BE28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Стаття 283 Кодексу адміністративного судочинства України регламентує особливий порядок звернення податкових та митних органів із заявами про забезпечення адміністративного позову. Основною метою такого механізму є забезпечення оперативного захисту інтересів держави у випадках, коли існує реальна загроза ухилення платника податків від виконання грошових зобов’язань, виведення активів чи інші дії, що можуть унеможливити виконання рішення суду в майбутньому</w:t>
      </w:r>
      <w:r w:rsidRPr="00511005">
        <w:rPr>
          <w:rFonts w:ascii="Arial" w:eastAsia="Calibri" w:hAnsi="Arial" w:cs="Arial"/>
          <w:szCs w:val="28"/>
          <w:lang w:val="uk-UA"/>
        </w:rPr>
        <w:t xml:space="preserve"> </w:t>
      </w:r>
      <w:r w:rsidRPr="00511005">
        <w:rPr>
          <w:rFonts w:ascii="Arial" w:eastAsia="Calibri" w:hAnsi="Arial" w:cs="Arial"/>
          <w:szCs w:val="28"/>
        </w:rPr>
        <w:t>[1].</w:t>
      </w:r>
    </w:p>
    <w:p w14:paraId="28AEAB31"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Однак на практиці цей механізм викликає </w:t>
      </w:r>
      <w:r w:rsidRPr="00511005">
        <w:rPr>
          <w:rFonts w:ascii="Arial" w:eastAsia="Calibri" w:hAnsi="Arial" w:cs="Arial"/>
          <w:szCs w:val="28"/>
          <w:lang w:val="uk-UA"/>
        </w:rPr>
        <w:t>певні</w:t>
      </w:r>
      <w:r w:rsidRPr="00511005">
        <w:rPr>
          <w:rFonts w:ascii="Arial" w:eastAsia="Calibri" w:hAnsi="Arial" w:cs="Arial"/>
          <w:szCs w:val="28"/>
        </w:rPr>
        <w:t xml:space="preserve"> проблем</w:t>
      </w:r>
      <w:r w:rsidRPr="00511005">
        <w:rPr>
          <w:rFonts w:ascii="Arial" w:eastAsia="Calibri" w:hAnsi="Arial" w:cs="Arial"/>
          <w:szCs w:val="28"/>
          <w:lang w:val="uk-UA"/>
        </w:rPr>
        <w:t>и</w:t>
      </w:r>
      <w:r w:rsidRPr="00511005">
        <w:rPr>
          <w:rFonts w:ascii="Arial" w:eastAsia="Calibri" w:hAnsi="Arial" w:cs="Arial"/>
          <w:szCs w:val="28"/>
        </w:rPr>
        <w:t>.</w:t>
      </w:r>
    </w:p>
    <w:p w14:paraId="4FEA2F39"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В</w:t>
      </w:r>
      <w:r w:rsidRPr="00511005">
        <w:rPr>
          <w:rFonts w:ascii="Arial" w:eastAsia="Calibri" w:hAnsi="Arial" w:cs="Arial"/>
          <w:szCs w:val="28"/>
        </w:rPr>
        <w:t>становлений статтею 283 КАСУ строк подання заяви (протягом 24 годин з моменту виявлення відповідних обставин) є надзвичайно стислим. Це створює ризик недотримання процедурних вимог і, відповідно, повернення заяви. Часто податкові органи, діючи поспіхом, подають неповну або недостатньо обґрунтовану заяву, яка не відповідає вимогам закону.</w:t>
      </w:r>
      <w:r w:rsidRPr="00511005">
        <w:rPr>
          <w:rFonts w:ascii="Arial" w:eastAsia="Calibri" w:hAnsi="Arial" w:cs="Arial"/>
          <w:szCs w:val="28"/>
          <w:lang w:val="uk-UA"/>
        </w:rPr>
        <w:t xml:space="preserve"> Навіть ухвалу про відмову у відкритті провадження можна оскаржити лише протягом 24 годин.</w:t>
      </w:r>
    </w:p>
    <w:p w14:paraId="66226EED"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Інститут забезпечення адміністративного позову є важливою гарантією ефективного судового захисту, однак його нормативне регулювання та практичне застосування мають низку істотних недоліків.</w:t>
      </w:r>
    </w:p>
    <w:p w14:paraId="52067667"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По-перше, обмежений перелік заходів забезпечення та відсутність чітких критеріїв для їх застосування ускладнюють захист прав сторін у процесі. </w:t>
      </w:r>
      <w:proofErr w:type="gramStart"/>
      <w:r w:rsidRPr="00511005">
        <w:rPr>
          <w:rFonts w:ascii="Arial" w:eastAsia="Calibri" w:hAnsi="Arial" w:cs="Arial"/>
          <w:szCs w:val="28"/>
        </w:rPr>
        <w:t>По-друге</w:t>
      </w:r>
      <w:proofErr w:type="gramEnd"/>
      <w:r w:rsidRPr="00511005">
        <w:rPr>
          <w:rFonts w:ascii="Arial" w:eastAsia="Calibri" w:hAnsi="Arial" w:cs="Arial"/>
          <w:szCs w:val="28"/>
        </w:rPr>
        <w:t>, чинне законодавство не передбачає дієвих запобіжників проти зловживань позивачами, що знижує довіру до цього механізму. Проблемним є також повернення судового збору у випадку, коли позов так і не подається, але забезпечення вже здійснено. Крім того, встановлені законодавством заборони щодо зупинення рішень певних державних органів (стаття 151 КАСУ) звужують можливості правового захисту громадян у чутливих сферах.</w:t>
      </w:r>
    </w:p>
    <w:p w14:paraId="5CF9345E"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Відповідно до підходу, закладеного в Кодексі адміністративного судочинства України, сам факт подання адміністративного позову чи відкриття провадження у справі не має автоматичного ефекту призупинення дії рішення органу державної влади. Такий ефект може бути досягнутий виключно за ухвалою суду в рамках застосування заходів забезпечення позову. При цьому, ухвалюючи рішення про зупинення дії відповідного акту, суд може визначити необхідність відновлення правового стану, який існував до його ухвалення чи виконання окремих його положень. Це спрямовано на мінімізацію можливих негативних наслідків для сторін у процесі судового розгляду [3].</w:t>
      </w:r>
      <w:r w:rsidRPr="00511005">
        <w:rPr>
          <w:rFonts w:ascii="Arial" w:eastAsia="Calibri" w:hAnsi="Arial" w:cs="Arial"/>
          <w:szCs w:val="28"/>
          <w:lang w:val="uk-UA"/>
        </w:rPr>
        <w:t xml:space="preserve"> </w:t>
      </w:r>
    </w:p>
    <w:p w14:paraId="5F5AEA04" w14:textId="77777777" w:rsidR="00B67481" w:rsidRPr="00511005" w:rsidRDefault="00B67481" w:rsidP="003A292D">
      <w:pPr>
        <w:spacing w:line="264" w:lineRule="auto"/>
        <w:ind w:firstLine="567"/>
        <w:rPr>
          <w:rFonts w:ascii="Arial" w:eastAsia="Calibri" w:hAnsi="Arial" w:cs="Arial"/>
          <w:szCs w:val="28"/>
        </w:rPr>
      </w:pPr>
    </w:p>
    <w:p w14:paraId="3DD07C90" w14:textId="58CEEDF4" w:rsidR="00B67481" w:rsidRPr="00511005" w:rsidRDefault="007B2628" w:rsidP="007B2628">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02476361"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 xml:space="preserve">1. </w:t>
      </w:r>
      <w:r w:rsidRPr="00511005">
        <w:rPr>
          <w:rFonts w:ascii="Arial" w:eastAsia="Calibri" w:hAnsi="Arial" w:cs="Arial"/>
          <w:szCs w:val="28"/>
        </w:rPr>
        <w:t xml:space="preserve">Кодекс адміністративного судочинства </w:t>
      </w:r>
      <w:proofErr w:type="gramStart"/>
      <w:r w:rsidRPr="00511005">
        <w:rPr>
          <w:rFonts w:ascii="Arial" w:eastAsia="Calibri" w:hAnsi="Arial" w:cs="Arial"/>
          <w:szCs w:val="28"/>
        </w:rPr>
        <w:t>України :</w:t>
      </w:r>
      <w:proofErr w:type="gramEnd"/>
      <w:r w:rsidRPr="00511005">
        <w:rPr>
          <w:rFonts w:ascii="Arial" w:eastAsia="Calibri" w:hAnsi="Arial" w:cs="Arial"/>
          <w:szCs w:val="28"/>
        </w:rPr>
        <w:t xml:space="preserve"> Кодекс України від 06.07.2005 № 2747-IV : станом на 9 квіт. 2025 р. URL: </w:t>
      </w:r>
      <w:hyperlink r:id="rId1034" w:anchor="Text" w:tgtFrame="_blank" w:history="1">
        <w:r w:rsidRPr="00511005">
          <w:rPr>
            <w:rFonts w:ascii="Arial" w:eastAsia="Calibri" w:hAnsi="Arial" w:cs="Arial"/>
            <w:szCs w:val="28"/>
          </w:rPr>
          <w:t>https://zakon.rada.gov.ua/laws/show/2747-15#Text</w:t>
        </w:r>
      </w:hyperlink>
      <w:r w:rsidRPr="00511005">
        <w:rPr>
          <w:rFonts w:ascii="Arial" w:eastAsia="Calibri" w:hAnsi="Arial" w:cs="Arial"/>
          <w:szCs w:val="28"/>
        </w:rPr>
        <w:t> (дата звернення: 20.04.2025).</w:t>
      </w:r>
    </w:p>
    <w:p w14:paraId="07BC2329"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lang w:val="uk-UA"/>
        </w:rPr>
        <w:t xml:space="preserve">2. </w:t>
      </w:r>
      <w:r w:rsidRPr="00511005">
        <w:rPr>
          <w:rFonts w:ascii="Arial" w:eastAsia="Calibri" w:hAnsi="Arial" w:cs="Arial"/>
          <w:szCs w:val="28"/>
        </w:rPr>
        <w:t>Про практику застосування адміністративними судами окремих положень Кодексу адміністративного судочинства України під час розгляду адміністративних справ : Постанова Вищ. адміністр. суду України від 06.03.2008 № 2. URL: </w:t>
      </w:r>
      <w:hyperlink r:id="rId1035" w:anchor="Text" w:tgtFrame="_blank" w:history="1">
        <w:r w:rsidRPr="00511005">
          <w:rPr>
            <w:rFonts w:ascii="Arial" w:eastAsia="Calibri" w:hAnsi="Arial" w:cs="Arial"/>
            <w:szCs w:val="28"/>
          </w:rPr>
          <w:t>https://zakon.rada.gov.ua/laws/show/v0002760-08#Text</w:t>
        </w:r>
      </w:hyperlink>
      <w:r w:rsidRPr="00511005">
        <w:rPr>
          <w:rFonts w:ascii="Arial" w:eastAsia="Calibri" w:hAnsi="Arial" w:cs="Arial"/>
          <w:szCs w:val="28"/>
        </w:rPr>
        <w:t> (дата звернення: 20.04.2025).</w:t>
      </w:r>
    </w:p>
    <w:p w14:paraId="579D81BC"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rPr>
        <w:t>3</w:t>
      </w:r>
      <w:r w:rsidRPr="00511005">
        <w:rPr>
          <w:rFonts w:ascii="Arial" w:eastAsia="Calibri" w:hAnsi="Arial" w:cs="Arial"/>
          <w:szCs w:val="28"/>
          <w:lang w:val="uk-UA"/>
        </w:rPr>
        <w:t xml:space="preserve">. </w:t>
      </w:r>
      <w:r w:rsidRPr="00511005">
        <w:rPr>
          <w:rFonts w:ascii="Arial" w:eastAsia="Calibri" w:hAnsi="Arial" w:cs="Arial"/>
          <w:szCs w:val="28"/>
        </w:rPr>
        <w:t xml:space="preserve">Забезпечення адміністративного позову в податкових спорах: аналіз судової практики / Юридична Газета. URL: </w:t>
      </w:r>
      <w:hyperlink r:id="rId1036" w:tgtFrame="_new" w:history="1">
        <w:r w:rsidRPr="00511005">
          <w:rPr>
            <w:rFonts w:ascii="Arial" w:eastAsia="Calibri" w:hAnsi="Arial" w:cs="Arial"/>
            <w:szCs w:val="28"/>
          </w:rPr>
          <w:t>https://yur-gazeta.com/publications/practice/podatkova-praktika/zabezpechennya-pozovu-v-podatkovih-sporah.html</w:t>
        </w:r>
      </w:hyperlink>
      <w:r w:rsidRPr="00511005">
        <w:rPr>
          <w:rFonts w:ascii="Arial" w:eastAsia="Calibri" w:hAnsi="Arial" w:cs="Arial"/>
          <w:szCs w:val="28"/>
        </w:rPr>
        <w:t xml:space="preserve"> (дата звернення: 20.04.2025).</w:t>
      </w:r>
      <w:r w:rsidRPr="00511005">
        <w:rPr>
          <w:rFonts w:ascii="Arial" w:eastAsia="Calibri" w:hAnsi="Arial" w:cs="Arial"/>
          <w:szCs w:val="28"/>
          <w:lang w:val="uk-UA"/>
        </w:rPr>
        <w:t xml:space="preserve"> </w:t>
      </w:r>
    </w:p>
    <w:p w14:paraId="5086EFB7" w14:textId="77777777" w:rsidR="00B67481" w:rsidRPr="00511005" w:rsidRDefault="00B67481" w:rsidP="003A292D">
      <w:pPr>
        <w:spacing w:line="264" w:lineRule="auto"/>
        <w:rPr>
          <w:rFonts w:ascii="Arial" w:eastAsia="Calibri" w:hAnsi="Arial" w:cs="Arial"/>
          <w:b/>
          <w:bCs/>
          <w:szCs w:val="28"/>
          <w:lang w:val="uk-UA"/>
        </w:rPr>
      </w:pPr>
    </w:p>
    <w:p w14:paraId="63A715A5" w14:textId="423F37B9"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B67481" w:rsidRPr="00511005">
        <w:rPr>
          <w:rFonts w:ascii="Arial" w:eastAsia="Calibri" w:hAnsi="Arial" w:cs="Arial"/>
          <w:szCs w:val="28"/>
          <w:lang w:val="uk-UA"/>
        </w:rPr>
        <w:t>забезпечення адміністративного позову, правове регулювання, заходи забезпечення позову, зловживання правом у суді.</w:t>
      </w:r>
    </w:p>
    <w:p w14:paraId="1BF656CD" w14:textId="22D8FAF1"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Key words: </w:t>
      </w:r>
      <w:r w:rsidR="00B67481" w:rsidRPr="00511005">
        <w:rPr>
          <w:rFonts w:ascii="Arial" w:eastAsia="Calibri" w:hAnsi="Arial" w:cs="Arial"/>
          <w:szCs w:val="28"/>
          <w:lang w:val="uk-UA"/>
        </w:rPr>
        <w:t>securing an administrative claim, legal regulation, measures to secure a claim, abuse of rights in court.</w:t>
      </w:r>
    </w:p>
    <w:p w14:paraId="546CB39D" w14:textId="763C1CD3" w:rsidR="00B67481" w:rsidRPr="00511005" w:rsidRDefault="007B2628" w:rsidP="003A292D">
      <w:pPr>
        <w:spacing w:line="264" w:lineRule="auto"/>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B67481" w:rsidRPr="00511005">
        <w:rPr>
          <w:rFonts w:ascii="Arial" w:eastAsia="Calibri" w:hAnsi="Arial" w:cs="Arial"/>
          <w:i/>
          <w:iCs/>
          <w:szCs w:val="28"/>
          <w:lang w:val="uk-UA"/>
        </w:rPr>
        <w:t>к.ю.н., доцент Козачук Д. А.</w:t>
      </w:r>
    </w:p>
    <w:p w14:paraId="075999C3" w14:textId="77777777" w:rsidR="001D1A08" w:rsidRPr="00511005" w:rsidRDefault="001D1A08" w:rsidP="003A292D">
      <w:pPr>
        <w:spacing w:line="264" w:lineRule="auto"/>
        <w:ind w:firstLine="0"/>
        <w:jc w:val="left"/>
        <w:rPr>
          <w:rFonts w:ascii="Arial" w:eastAsia="Calibri" w:hAnsi="Arial" w:cs="Arial"/>
          <w:i/>
          <w:iCs/>
          <w:szCs w:val="28"/>
          <w:lang w:val="uk-UA"/>
        </w:rPr>
      </w:pPr>
    </w:p>
    <w:p w14:paraId="4686FCA1" w14:textId="77777777" w:rsidR="001D1A08" w:rsidRPr="00511005" w:rsidRDefault="001D1A08" w:rsidP="003A292D">
      <w:pPr>
        <w:spacing w:line="264" w:lineRule="auto"/>
        <w:ind w:firstLine="0"/>
        <w:jc w:val="left"/>
        <w:rPr>
          <w:rFonts w:ascii="Arial" w:eastAsia="Calibri" w:hAnsi="Arial" w:cs="Arial"/>
          <w:i/>
          <w:iCs/>
          <w:szCs w:val="28"/>
          <w:lang w:val="uk-UA"/>
        </w:rPr>
      </w:pPr>
    </w:p>
    <w:p w14:paraId="7566BF8F" w14:textId="77777777" w:rsidR="00B67481" w:rsidRPr="00511005" w:rsidRDefault="00B67481" w:rsidP="003A292D">
      <w:pPr>
        <w:pBdr>
          <w:top w:val="nil"/>
          <w:left w:val="nil"/>
          <w:bottom w:val="nil"/>
          <w:right w:val="nil"/>
          <w:between w:val="nil"/>
        </w:pBdr>
        <w:spacing w:line="264" w:lineRule="auto"/>
        <w:ind w:firstLine="0"/>
        <w:contextualSpacing/>
        <w:jc w:val="center"/>
        <w:rPr>
          <w:rFonts w:ascii="Arial" w:eastAsia="Times New Roman" w:hAnsi="Arial" w:cs="Arial"/>
          <w:b/>
          <w:i/>
          <w:iCs/>
          <w:noProof/>
          <w:szCs w:val="28"/>
          <w:lang w:val="uk-UA"/>
        </w:rPr>
      </w:pPr>
      <w:r w:rsidRPr="00511005">
        <w:rPr>
          <w:rFonts w:ascii="Arial" w:eastAsia="Times New Roman" w:hAnsi="Arial" w:cs="Arial"/>
          <w:b/>
          <w:i/>
          <w:iCs/>
          <w:noProof/>
          <w:szCs w:val="28"/>
          <w:lang w:val="uk-UA"/>
        </w:rPr>
        <w:t>М</w:t>
      </w:r>
      <w:r w:rsidRPr="00511005">
        <w:rPr>
          <w:rFonts w:ascii="Arial" w:eastAsia="Times New Roman" w:hAnsi="Arial" w:cs="Arial"/>
          <w:b/>
          <w:i/>
          <w:iCs/>
          <w:noProof/>
          <w:szCs w:val="28"/>
        </w:rPr>
        <w:t>a</w:t>
      </w:r>
      <w:r w:rsidRPr="00511005">
        <w:rPr>
          <w:rFonts w:ascii="Arial" w:eastAsia="Times New Roman" w:hAnsi="Arial" w:cs="Arial"/>
          <w:b/>
          <w:i/>
          <w:iCs/>
          <w:noProof/>
          <w:szCs w:val="28"/>
          <w:lang w:val="uk-UA"/>
        </w:rPr>
        <w:t>сляк</w:t>
      </w:r>
      <w:r w:rsidRPr="00511005">
        <w:rPr>
          <w:rFonts w:ascii="Arial" w:eastAsia="Times New Roman" w:hAnsi="Arial" w:cs="Arial"/>
          <w:b/>
          <w:i/>
          <w:iCs/>
          <w:noProof/>
          <w:szCs w:val="28"/>
        </w:rPr>
        <w:t>o</w:t>
      </w:r>
      <w:r w:rsidRPr="00511005">
        <w:rPr>
          <w:rFonts w:ascii="Arial" w:eastAsia="Times New Roman" w:hAnsi="Arial" w:cs="Arial"/>
          <w:b/>
          <w:i/>
          <w:iCs/>
          <w:noProof/>
          <w:szCs w:val="28"/>
          <w:lang w:val="uk-UA"/>
        </w:rPr>
        <w:t>в</w:t>
      </w:r>
      <w:r w:rsidRPr="00511005">
        <w:rPr>
          <w:rFonts w:ascii="Arial" w:eastAsia="Times New Roman" w:hAnsi="Arial" w:cs="Arial"/>
          <w:b/>
          <w:i/>
          <w:iCs/>
          <w:noProof/>
          <w:szCs w:val="28"/>
        </w:rPr>
        <w:t>a</w:t>
      </w:r>
      <w:r w:rsidRPr="00511005">
        <w:rPr>
          <w:rFonts w:ascii="Arial" w:eastAsia="Times New Roman" w:hAnsi="Arial" w:cs="Arial"/>
          <w:b/>
          <w:i/>
          <w:iCs/>
          <w:noProof/>
          <w:szCs w:val="28"/>
          <w:lang w:val="uk-UA"/>
        </w:rPr>
        <w:t xml:space="preserve"> Анна Вікторівна </w:t>
      </w:r>
    </w:p>
    <w:p w14:paraId="01CFCF82" w14:textId="77777777" w:rsidR="00B67481" w:rsidRPr="00511005" w:rsidRDefault="00B67481" w:rsidP="003A292D">
      <w:pPr>
        <w:pBdr>
          <w:top w:val="nil"/>
          <w:left w:val="nil"/>
          <w:bottom w:val="nil"/>
          <w:right w:val="nil"/>
          <w:between w:val="nil"/>
        </w:pBdr>
        <w:spacing w:line="264" w:lineRule="auto"/>
        <w:ind w:firstLine="0"/>
        <w:contextualSpacing/>
        <w:jc w:val="center"/>
        <w:rPr>
          <w:rFonts w:ascii="Arial" w:eastAsia="Times New Roman" w:hAnsi="Arial" w:cs="Arial"/>
          <w:iCs/>
          <w:noProof/>
          <w:szCs w:val="28"/>
          <w:lang w:val="uk-UA"/>
        </w:rPr>
      </w:pPr>
      <w:r w:rsidRPr="00511005">
        <w:rPr>
          <w:rFonts w:ascii="Arial" w:eastAsia="Times New Roman" w:hAnsi="Arial" w:cs="Arial"/>
          <w:iCs/>
          <w:noProof/>
          <w:szCs w:val="28"/>
          <w:lang w:val="uk-UA"/>
        </w:rPr>
        <w:t>ст</w:t>
      </w:r>
      <w:r w:rsidRPr="00511005">
        <w:rPr>
          <w:rFonts w:ascii="Arial" w:eastAsia="Times New Roman" w:hAnsi="Arial" w:cs="Arial"/>
          <w:iCs/>
          <w:noProof/>
          <w:szCs w:val="28"/>
        </w:rPr>
        <w:t>y</w:t>
      </w:r>
      <w:r w:rsidRPr="00511005">
        <w:rPr>
          <w:rFonts w:ascii="Arial" w:eastAsia="Times New Roman" w:hAnsi="Arial" w:cs="Arial"/>
          <w:iCs/>
          <w:noProof/>
          <w:szCs w:val="28"/>
          <w:lang w:val="uk-UA"/>
        </w:rPr>
        <w:t>д</w:t>
      </w:r>
      <w:r w:rsidRPr="00511005">
        <w:rPr>
          <w:rFonts w:ascii="Arial" w:eastAsia="Times New Roman" w:hAnsi="Arial" w:cs="Arial"/>
          <w:iCs/>
          <w:noProof/>
          <w:szCs w:val="28"/>
        </w:rPr>
        <w:t>e</w:t>
      </w:r>
      <w:r w:rsidRPr="00511005">
        <w:rPr>
          <w:rFonts w:ascii="Arial" w:eastAsia="Times New Roman" w:hAnsi="Arial" w:cs="Arial"/>
          <w:iCs/>
          <w:noProof/>
          <w:szCs w:val="28"/>
          <w:lang w:val="uk-UA"/>
        </w:rPr>
        <w:t>нтка 4-го к</w:t>
      </w:r>
      <w:r w:rsidRPr="00511005">
        <w:rPr>
          <w:rFonts w:ascii="Arial" w:eastAsia="Times New Roman" w:hAnsi="Arial" w:cs="Arial"/>
          <w:iCs/>
          <w:noProof/>
          <w:szCs w:val="28"/>
        </w:rPr>
        <w:t>yp</w:t>
      </w:r>
      <w:r w:rsidRPr="00511005">
        <w:rPr>
          <w:rFonts w:ascii="Arial" w:eastAsia="Times New Roman" w:hAnsi="Arial" w:cs="Arial"/>
          <w:iCs/>
          <w:noProof/>
          <w:szCs w:val="28"/>
          <w:lang w:val="uk-UA"/>
        </w:rPr>
        <w:t>с</w:t>
      </w:r>
      <w:r w:rsidRPr="00511005">
        <w:rPr>
          <w:rFonts w:ascii="Arial" w:eastAsia="Times New Roman" w:hAnsi="Arial" w:cs="Arial"/>
          <w:iCs/>
          <w:noProof/>
          <w:szCs w:val="28"/>
        </w:rPr>
        <w:t>y</w:t>
      </w:r>
      <w:r w:rsidRPr="00511005">
        <w:rPr>
          <w:rFonts w:ascii="Arial" w:eastAsia="Times New Roman" w:hAnsi="Arial" w:cs="Arial"/>
          <w:iCs/>
          <w:noProof/>
          <w:szCs w:val="28"/>
          <w:lang w:val="uk-UA"/>
        </w:rPr>
        <w:t xml:space="preserve"> ф</w:t>
      </w:r>
      <w:r w:rsidRPr="00511005">
        <w:rPr>
          <w:rFonts w:ascii="Arial" w:eastAsia="Times New Roman" w:hAnsi="Arial" w:cs="Arial"/>
          <w:iCs/>
          <w:noProof/>
          <w:szCs w:val="28"/>
        </w:rPr>
        <w:t>a</w:t>
      </w:r>
      <w:r w:rsidRPr="00511005">
        <w:rPr>
          <w:rFonts w:ascii="Arial" w:eastAsia="Times New Roman" w:hAnsi="Arial" w:cs="Arial"/>
          <w:iCs/>
          <w:noProof/>
          <w:szCs w:val="28"/>
          <w:lang w:val="uk-UA"/>
        </w:rPr>
        <w:t>к</w:t>
      </w:r>
      <w:r w:rsidRPr="00511005">
        <w:rPr>
          <w:rFonts w:ascii="Arial" w:eastAsia="Times New Roman" w:hAnsi="Arial" w:cs="Arial"/>
          <w:iCs/>
          <w:noProof/>
          <w:szCs w:val="28"/>
        </w:rPr>
        <w:t>y</w:t>
      </w:r>
      <w:r w:rsidRPr="00511005">
        <w:rPr>
          <w:rFonts w:ascii="Arial" w:eastAsia="Times New Roman" w:hAnsi="Arial" w:cs="Arial"/>
          <w:iCs/>
          <w:noProof/>
          <w:szCs w:val="28"/>
          <w:lang w:val="uk-UA"/>
        </w:rPr>
        <w:t>льт</w:t>
      </w:r>
      <w:r w:rsidRPr="00511005">
        <w:rPr>
          <w:rFonts w:ascii="Arial" w:eastAsia="Times New Roman" w:hAnsi="Arial" w:cs="Arial"/>
          <w:iCs/>
          <w:noProof/>
          <w:szCs w:val="28"/>
        </w:rPr>
        <w:t>e</w:t>
      </w:r>
      <w:r w:rsidRPr="00511005">
        <w:rPr>
          <w:rFonts w:ascii="Arial" w:eastAsia="Times New Roman" w:hAnsi="Arial" w:cs="Arial"/>
          <w:iCs/>
          <w:noProof/>
          <w:szCs w:val="28"/>
          <w:lang w:val="uk-UA"/>
        </w:rPr>
        <w:t>т</w:t>
      </w:r>
      <w:r w:rsidRPr="00511005">
        <w:rPr>
          <w:rFonts w:ascii="Arial" w:eastAsia="Times New Roman" w:hAnsi="Arial" w:cs="Arial"/>
          <w:iCs/>
          <w:noProof/>
          <w:szCs w:val="28"/>
        </w:rPr>
        <w:t>y</w:t>
      </w:r>
      <w:r w:rsidRPr="00511005">
        <w:rPr>
          <w:rFonts w:ascii="Arial" w:eastAsia="Times New Roman" w:hAnsi="Arial" w:cs="Arial"/>
          <w:iCs/>
          <w:noProof/>
          <w:szCs w:val="28"/>
          <w:lang w:val="uk-UA"/>
        </w:rPr>
        <w:t xml:space="preserve"> </w:t>
      </w:r>
      <w:r w:rsidRPr="00511005">
        <w:rPr>
          <w:rFonts w:ascii="Arial" w:eastAsia="Times New Roman" w:hAnsi="Arial" w:cs="Arial"/>
          <w:iCs/>
          <w:noProof/>
          <w:szCs w:val="28"/>
        </w:rPr>
        <w:t>a</w:t>
      </w:r>
      <w:r w:rsidRPr="00511005">
        <w:rPr>
          <w:rFonts w:ascii="Arial" w:eastAsia="Times New Roman" w:hAnsi="Arial" w:cs="Arial"/>
          <w:iCs/>
          <w:noProof/>
          <w:szCs w:val="28"/>
          <w:lang w:val="uk-UA"/>
        </w:rPr>
        <w:t>дв</w:t>
      </w:r>
      <w:r w:rsidRPr="00511005">
        <w:rPr>
          <w:rFonts w:ascii="Arial" w:eastAsia="Times New Roman" w:hAnsi="Arial" w:cs="Arial"/>
          <w:iCs/>
          <w:noProof/>
          <w:szCs w:val="28"/>
        </w:rPr>
        <w:t>o</w:t>
      </w:r>
      <w:r w:rsidRPr="00511005">
        <w:rPr>
          <w:rFonts w:ascii="Arial" w:eastAsia="Times New Roman" w:hAnsi="Arial" w:cs="Arial"/>
          <w:iCs/>
          <w:noProof/>
          <w:szCs w:val="28"/>
          <w:lang w:val="uk-UA"/>
        </w:rPr>
        <w:t>к</w:t>
      </w:r>
      <w:r w:rsidRPr="00511005">
        <w:rPr>
          <w:rFonts w:ascii="Arial" w:eastAsia="Times New Roman" w:hAnsi="Arial" w:cs="Arial"/>
          <w:iCs/>
          <w:noProof/>
          <w:szCs w:val="28"/>
        </w:rPr>
        <w:t>a</w:t>
      </w:r>
      <w:r w:rsidRPr="00511005">
        <w:rPr>
          <w:rFonts w:ascii="Arial" w:eastAsia="Times New Roman" w:hAnsi="Arial" w:cs="Arial"/>
          <w:iCs/>
          <w:noProof/>
          <w:szCs w:val="28"/>
          <w:lang w:val="uk-UA"/>
        </w:rPr>
        <w:t>т</w:t>
      </w:r>
      <w:r w:rsidRPr="00511005">
        <w:rPr>
          <w:rFonts w:ascii="Arial" w:eastAsia="Times New Roman" w:hAnsi="Arial" w:cs="Arial"/>
          <w:iCs/>
          <w:noProof/>
          <w:szCs w:val="28"/>
        </w:rPr>
        <w:t>yp</w:t>
      </w:r>
      <w:r w:rsidRPr="00511005">
        <w:rPr>
          <w:rFonts w:ascii="Arial" w:eastAsia="Times New Roman" w:hAnsi="Arial" w:cs="Arial"/>
          <w:iCs/>
          <w:noProof/>
          <w:szCs w:val="28"/>
          <w:lang w:val="uk-UA"/>
        </w:rPr>
        <w:t>и т</w:t>
      </w:r>
      <w:r w:rsidRPr="00511005">
        <w:rPr>
          <w:rFonts w:ascii="Arial" w:eastAsia="Times New Roman" w:hAnsi="Arial" w:cs="Arial"/>
          <w:iCs/>
          <w:noProof/>
          <w:szCs w:val="28"/>
        </w:rPr>
        <w:t>a</w:t>
      </w:r>
      <w:r w:rsidRPr="00511005">
        <w:rPr>
          <w:rFonts w:ascii="Arial" w:eastAsia="Times New Roman" w:hAnsi="Arial" w:cs="Arial"/>
          <w:iCs/>
          <w:noProof/>
          <w:szCs w:val="28"/>
          <w:lang w:val="uk-UA"/>
        </w:rPr>
        <w:t xml:space="preserve"> </w:t>
      </w:r>
      <w:r w:rsidRPr="00511005">
        <w:rPr>
          <w:rFonts w:ascii="Arial" w:eastAsia="Times New Roman" w:hAnsi="Arial" w:cs="Arial"/>
          <w:iCs/>
          <w:noProof/>
          <w:szCs w:val="28"/>
        </w:rPr>
        <w:t>a</w:t>
      </w:r>
      <w:r w:rsidRPr="00511005">
        <w:rPr>
          <w:rFonts w:ascii="Arial" w:eastAsia="Times New Roman" w:hAnsi="Arial" w:cs="Arial"/>
          <w:iCs/>
          <w:noProof/>
          <w:szCs w:val="28"/>
          <w:lang w:val="uk-UA"/>
        </w:rPr>
        <w:t>нтик</w:t>
      </w:r>
      <w:r w:rsidRPr="00511005">
        <w:rPr>
          <w:rFonts w:ascii="Arial" w:eastAsia="Times New Roman" w:hAnsi="Arial" w:cs="Arial"/>
          <w:iCs/>
          <w:noProof/>
          <w:szCs w:val="28"/>
        </w:rPr>
        <w:t>opy</w:t>
      </w:r>
      <w:r w:rsidRPr="00511005">
        <w:rPr>
          <w:rFonts w:ascii="Arial" w:eastAsia="Times New Roman" w:hAnsi="Arial" w:cs="Arial"/>
          <w:iCs/>
          <w:noProof/>
          <w:szCs w:val="28"/>
          <w:lang w:val="uk-UA"/>
        </w:rPr>
        <w:t>пц</w:t>
      </w:r>
      <w:r w:rsidRPr="00511005">
        <w:rPr>
          <w:rFonts w:ascii="Arial" w:eastAsia="Times New Roman" w:hAnsi="Arial" w:cs="Arial"/>
          <w:iCs/>
          <w:noProof/>
          <w:szCs w:val="28"/>
        </w:rPr>
        <w:t>i</w:t>
      </w:r>
      <w:r w:rsidRPr="00511005">
        <w:rPr>
          <w:rFonts w:ascii="Arial" w:eastAsia="Times New Roman" w:hAnsi="Arial" w:cs="Arial"/>
          <w:iCs/>
          <w:noProof/>
          <w:szCs w:val="28"/>
          <w:lang w:val="uk-UA"/>
        </w:rPr>
        <w:t>йн</w:t>
      </w:r>
      <w:r w:rsidRPr="00511005">
        <w:rPr>
          <w:rFonts w:ascii="Arial" w:eastAsia="Times New Roman" w:hAnsi="Arial" w:cs="Arial"/>
          <w:iCs/>
          <w:noProof/>
          <w:szCs w:val="28"/>
        </w:rPr>
        <w:t>o</w:t>
      </w:r>
      <w:r w:rsidRPr="00511005">
        <w:rPr>
          <w:rFonts w:ascii="Arial" w:eastAsia="Times New Roman" w:hAnsi="Arial" w:cs="Arial"/>
          <w:iCs/>
          <w:noProof/>
          <w:szCs w:val="28"/>
          <w:lang w:val="uk-UA"/>
        </w:rPr>
        <w:t>ї д</w:t>
      </w:r>
      <w:r w:rsidRPr="00511005">
        <w:rPr>
          <w:rFonts w:ascii="Arial" w:eastAsia="Times New Roman" w:hAnsi="Arial" w:cs="Arial"/>
          <w:iCs/>
          <w:noProof/>
          <w:szCs w:val="28"/>
        </w:rPr>
        <w:t>i</w:t>
      </w:r>
      <w:r w:rsidRPr="00511005">
        <w:rPr>
          <w:rFonts w:ascii="Arial" w:eastAsia="Times New Roman" w:hAnsi="Arial" w:cs="Arial"/>
          <w:iCs/>
          <w:noProof/>
          <w:szCs w:val="28"/>
          <w:lang w:val="uk-UA"/>
        </w:rPr>
        <w:t>яльн</w:t>
      </w:r>
      <w:r w:rsidRPr="00511005">
        <w:rPr>
          <w:rFonts w:ascii="Arial" w:eastAsia="Times New Roman" w:hAnsi="Arial" w:cs="Arial"/>
          <w:iCs/>
          <w:noProof/>
          <w:szCs w:val="28"/>
        </w:rPr>
        <w:t>o</w:t>
      </w:r>
      <w:r w:rsidRPr="00511005">
        <w:rPr>
          <w:rFonts w:ascii="Arial" w:eastAsia="Times New Roman" w:hAnsi="Arial" w:cs="Arial"/>
          <w:iCs/>
          <w:noProof/>
          <w:szCs w:val="28"/>
          <w:lang w:val="uk-UA"/>
        </w:rPr>
        <w:t>ст</w:t>
      </w:r>
      <w:r w:rsidRPr="00511005">
        <w:rPr>
          <w:rFonts w:ascii="Arial" w:eastAsia="Times New Roman" w:hAnsi="Arial" w:cs="Arial"/>
          <w:iCs/>
          <w:noProof/>
          <w:szCs w:val="28"/>
        </w:rPr>
        <w:t>i</w:t>
      </w:r>
    </w:p>
    <w:p w14:paraId="1C5859C3" w14:textId="77777777" w:rsidR="00B67481" w:rsidRPr="00511005" w:rsidRDefault="00B67481" w:rsidP="003A292D">
      <w:pPr>
        <w:pBdr>
          <w:top w:val="nil"/>
          <w:left w:val="nil"/>
          <w:bottom w:val="nil"/>
          <w:right w:val="nil"/>
          <w:between w:val="nil"/>
        </w:pBdr>
        <w:spacing w:line="264" w:lineRule="auto"/>
        <w:ind w:firstLine="0"/>
        <w:contextualSpacing/>
        <w:jc w:val="center"/>
        <w:rPr>
          <w:rFonts w:ascii="Arial" w:eastAsia="Times New Roman" w:hAnsi="Arial" w:cs="Arial"/>
          <w:iCs/>
          <w:noProof/>
          <w:szCs w:val="28"/>
          <w:lang w:val="uk-UA"/>
        </w:rPr>
      </w:pPr>
      <w:r w:rsidRPr="00511005">
        <w:rPr>
          <w:rFonts w:ascii="Arial" w:eastAsia="Times New Roman" w:hAnsi="Arial" w:cs="Arial"/>
          <w:iCs/>
          <w:noProof/>
          <w:szCs w:val="28"/>
          <w:lang w:val="uk-UA"/>
        </w:rPr>
        <w:t>Н</w:t>
      </w:r>
      <w:r w:rsidRPr="00511005">
        <w:rPr>
          <w:rFonts w:ascii="Arial" w:eastAsia="Times New Roman" w:hAnsi="Arial" w:cs="Arial"/>
          <w:iCs/>
          <w:noProof/>
          <w:szCs w:val="28"/>
        </w:rPr>
        <w:t>a</w:t>
      </w:r>
      <w:r w:rsidRPr="00511005">
        <w:rPr>
          <w:rFonts w:ascii="Arial" w:eastAsia="Times New Roman" w:hAnsi="Arial" w:cs="Arial"/>
          <w:iCs/>
          <w:noProof/>
          <w:szCs w:val="28"/>
          <w:lang w:val="uk-UA"/>
        </w:rPr>
        <w:t>ц</w:t>
      </w:r>
      <w:r w:rsidRPr="00511005">
        <w:rPr>
          <w:rFonts w:ascii="Arial" w:eastAsia="Times New Roman" w:hAnsi="Arial" w:cs="Arial"/>
          <w:iCs/>
          <w:noProof/>
          <w:szCs w:val="28"/>
        </w:rPr>
        <w:t>io</w:t>
      </w:r>
      <w:r w:rsidRPr="00511005">
        <w:rPr>
          <w:rFonts w:ascii="Arial" w:eastAsia="Times New Roman" w:hAnsi="Arial" w:cs="Arial"/>
          <w:iCs/>
          <w:noProof/>
          <w:szCs w:val="28"/>
          <w:lang w:val="uk-UA"/>
        </w:rPr>
        <w:t>н</w:t>
      </w:r>
      <w:r w:rsidRPr="00511005">
        <w:rPr>
          <w:rFonts w:ascii="Arial" w:eastAsia="Times New Roman" w:hAnsi="Arial" w:cs="Arial"/>
          <w:iCs/>
          <w:noProof/>
          <w:szCs w:val="28"/>
        </w:rPr>
        <w:t>a</w:t>
      </w:r>
      <w:r w:rsidRPr="00511005">
        <w:rPr>
          <w:rFonts w:ascii="Arial" w:eastAsia="Times New Roman" w:hAnsi="Arial" w:cs="Arial"/>
          <w:iCs/>
          <w:noProof/>
          <w:szCs w:val="28"/>
          <w:lang w:val="uk-UA"/>
        </w:rPr>
        <w:t>льн</w:t>
      </w:r>
      <w:r w:rsidRPr="00511005">
        <w:rPr>
          <w:rFonts w:ascii="Arial" w:eastAsia="Times New Roman" w:hAnsi="Arial" w:cs="Arial"/>
          <w:iCs/>
          <w:noProof/>
          <w:szCs w:val="28"/>
        </w:rPr>
        <w:t>o</w:t>
      </w:r>
      <w:r w:rsidRPr="00511005">
        <w:rPr>
          <w:rFonts w:ascii="Arial" w:eastAsia="Times New Roman" w:hAnsi="Arial" w:cs="Arial"/>
          <w:iCs/>
          <w:noProof/>
          <w:szCs w:val="28"/>
          <w:lang w:val="uk-UA"/>
        </w:rPr>
        <w:t>г</w:t>
      </w:r>
      <w:r w:rsidRPr="00511005">
        <w:rPr>
          <w:rFonts w:ascii="Arial" w:eastAsia="Times New Roman" w:hAnsi="Arial" w:cs="Arial"/>
          <w:iCs/>
          <w:noProof/>
          <w:szCs w:val="28"/>
        </w:rPr>
        <w:t>o</w:t>
      </w:r>
      <w:r w:rsidRPr="00511005">
        <w:rPr>
          <w:rFonts w:ascii="Arial" w:eastAsia="Times New Roman" w:hAnsi="Arial" w:cs="Arial"/>
          <w:iCs/>
          <w:noProof/>
          <w:szCs w:val="28"/>
          <w:lang w:val="uk-UA"/>
        </w:rPr>
        <w:t xml:space="preserve"> </w:t>
      </w:r>
      <w:r w:rsidRPr="00511005">
        <w:rPr>
          <w:rFonts w:ascii="Arial" w:eastAsia="Times New Roman" w:hAnsi="Arial" w:cs="Arial"/>
          <w:iCs/>
          <w:noProof/>
          <w:szCs w:val="28"/>
        </w:rPr>
        <w:t>y</w:t>
      </w:r>
      <w:r w:rsidRPr="00511005">
        <w:rPr>
          <w:rFonts w:ascii="Arial" w:eastAsia="Times New Roman" w:hAnsi="Arial" w:cs="Arial"/>
          <w:iCs/>
          <w:noProof/>
          <w:szCs w:val="28"/>
          <w:lang w:val="uk-UA"/>
        </w:rPr>
        <w:t>н</w:t>
      </w:r>
      <w:r w:rsidRPr="00511005">
        <w:rPr>
          <w:rFonts w:ascii="Arial" w:eastAsia="Times New Roman" w:hAnsi="Arial" w:cs="Arial"/>
          <w:iCs/>
          <w:noProof/>
          <w:szCs w:val="28"/>
        </w:rPr>
        <w:t>i</w:t>
      </w:r>
      <w:r w:rsidRPr="00511005">
        <w:rPr>
          <w:rFonts w:ascii="Arial" w:eastAsia="Times New Roman" w:hAnsi="Arial" w:cs="Arial"/>
          <w:iCs/>
          <w:noProof/>
          <w:szCs w:val="28"/>
          <w:lang w:val="uk-UA"/>
        </w:rPr>
        <w:t>в</w:t>
      </w:r>
      <w:r w:rsidRPr="00511005">
        <w:rPr>
          <w:rFonts w:ascii="Arial" w:eastAsia="Times New Roman" w:hAnsi="Arial" w:cs="Arial"/>
          <w:iCs/>
          <w:noProof/>
          <w:szCs w:val="28"/>
        </w:rPr>
        <w:t>ep</w:t>
      </w:r>
      <w:r w:rsidRPr="00511005">
        <w:rPr>
          <w:rFonts w:ascii="Arial" w:eastAsia="Times New Roman" w:hAnsi="Arial" w:cs="Arial"/>
          <w:iCs/>
          <w:noProof/>
          <w:szCs w:val="28"/>
          <w:lang w:val="uk-UA"/>
        </w:rPr>
        <w:t>сит</w:t>
      </w:r>
      <w:r w:rsidRPr="00511005">
        <w:rPr>
          <w:rFonts w:ascii="Arial" w:eastAsia="Times New Roman" w:hAnsi="Arial" w:cs="Arial"/>
          <w:iCs/>
          <w:noProof/>
          <w:szCs w:val="28"/>
        </w:rPr>
        <w:t>e</w:t>
      </w:r>
      <w:r w:rsidRPr="00511005">
        <w:rPr>
          <w:rFonts w:ascii="Arial" w:eastAsia="Times New Roman" w:hAnsi="Arial" w:cs="Arial"/>
          <w:iCs/>
          <w:noProof/>
          <w:szCs w:val="28"/>
          <w:lang w:val="uk-UA"/>
        </w:rPr>
        <w:t>т</w:t>
      </w:r>
      <w:r w:rsidRPr="00511005">
        <w:rPr>
          <w:rFonts w:ascii="Arial" w:eastAsia="Times New Roman" w:hAnsi="Arial" w:cs="Arial"/>
          <w:iCs/>
          <w:noProof/>
          <w:szCs w:val="28"/>
        </w:rPr>
        <w:t>y</w:t>
      </w:r>
      <w:r w:rsidRPr="00511005">
        <w:rPr>
          <w:rFonts w:ascii="Arial" w:eastAsia="Times New Roman" w:hAnsi="Arial" w:cs="Arial"/>
          <w:iCs/>
          <w:noProof/>
          <w:szCs w:val="28"/>
          <w:lang w:val="uk-UA"/>
        </w:rPr>
        <w:t xml:space="preserve"> «</w:t>
      </w:r>
      <w:r w:rsidRPr="00511005">
        <w:rPr>
          <w:rFonts w:ascii="Arial" w:eastAsia="Times New Roman" w:hAnsi="Arial" w:cs="Arial"/>
          <w:iCs/>
          <w:noProof/>
          <w:szCs w:val="28"/>
        </w:rPr>
        <w:t>O</w:t>
      </w:r>
      <w:r w:rsidRPr="00511005">
        <w:rPr>
          <w:rFonts w:ascii="Arial" w:eastAsia="Times New Roman" w:hAnsi="Arial" w:cs="Arial"/>
          <w:iCs/>
          <w:noProof/>
          <w:szCs w:val="28"/>
          <w:lang w:val="uk-UA"/>
        </w:rPr>
        <w:t>д</w:t>
      </w:r>
      <w:r w:rsidRPr="00511005">
        <w:rPr>
          <w:rFonts w:ascii="Arial" w:eastAsia="Times New Roman" w:hAnsi="Arial" w:cs="Arial"/>
          <w:iCs/>
          <w:noProof/>
          <w:szCs w:val="28"/>
        </w:rPr>
        <w:t>e</w:t>
      </w:r>
      <w:r w:rsidRPr="00511005">
        <w:rPr>
          <w:rFonts w:ascii="Arial" w:eastAsia="Times New Roman" w:hAnsi="Arial" w:cs="Arial"/>
          <w:iCs/>
          <w:noProof/>
          <w:szCs w:val="28"/>
          <w:lang w:val="uk-UA"/>
        </w:rPr>
        <w:t>ськ</w:t>
      </w:r>
      <w:r w:rsidRPr="00511005">
        <w:rPr>
          <w:rFonts w:ascii="Arial" w:eastAsia="Times New Roman" w:hAnsi="Arial" w:cs="Arial"/>
          <w:iCs/>
          <w:noProof/>
          <w:szCs w:val="28"/>
        </w:rPr>
        <w:t>a</w:t>
      </w:r>
      <w:r w:rsidRPr="00511005">
        <w:rPr>
          <w:rFonts w:ascii="Arial" w:eastAsia="Times New Roman" w:hAnsi="Arial" w:cs="Arial"/>
          <w:iCs/>
          <w:noProof/>
          <w:szCs w:val="28"/>
          <w:lang w:val="uk-UA"/>
        </w:rPr>
        <w:t xml:space="preserve"> ю</w:t>
      </w:r>
      <w:r w:rsidRPr="00511005">
        <w:rPr>
          <w:rFonts w:ascii="Arial" w:eastAsia="Times New Roman" w:hAnsi="Arial" w:cs="Arial"/>
          <w:iCs/>
          <w:noProof/>
          <w:szCs w:val="28"/>
        </w:rPr>
        <w:t>p</w:t>
      </w:r>
      <w:r w:rsidRPr="00511005">
        <w:rPr>
          <w:rFonts w:ascii="Arial" w:eastAsia="Times New Roman" w:hAnsi="Arial" w:cs="Arial"/>
          <w:iCs/>
          <w:noProof/>
          <w:szCs w:val="28"/>
          <w:lang w:val="uk-UA"/>
        </w:rPr>
        <w:t>идичн</w:t>
      </w:r>
      <w:r w:rsidRPr="00511005">
        <w:rPr>
          <w:rFonts w:ascii="Arial" w:eastAsia="Times New Roman" w:hAnsi="Arial" w:cs="Arial"/>
          <w:iCs/>
          <w:noProof/>
          <w:szCs w:val="28"/>
        </w:rPr>
        <w:t>a</w:t>
      </w:r>
      <w:r w:rsidRPr="00511005">
        <w:rPr>
          <w:rFonts w:ascii="Arial" w:eastAsia="Times New Roman" w:hAnsi="Arial" w:cs="Arial"/>
          <w:iCs/>
          <w:noProof/>
          <w:szCs w:val="28"/>
          <w:lang w:val="uk-UA"/>
        </w:rPr>
        <w:t xml:space="preserve"> </w:t>
      </w:r>
      <w:r w:rsidRPr="00511005">
        <w:rPr>
          <w:rFonts w:ascii="Arial" w:eastAsia="Times New Roman" w:hAnsi="Arial" w:cs="Arial"/>
          <w:iCs/>
          <w:noProof/>
          <w:szCs w:val="28"/>
        </w:rPr>
        <w:t>a</w:t>
      </w:r>
      <w:r w:rsidRPr="00511005">
        <w:rPr>
          <w:rFonts w:ascii="Arial" w:eastAsia="Times New Roman" w:hAnsi="Arial" w:cs="Arial"/>
          <w:iCs/>
          <w:noProof/>
          <w:szCs w:val="28"/>
          <w:lang w:val="uk-UA"/>
        </w:rPr>
        <w:t>к</w:t>
      </w:r>
      <w:r w:rsidRPr="00511005">
        <w:rPr>
          <w:rFonts w:ascii="Arial" w:eastAsia="Times New Roman" w:hAnsi="Arial" w:cs="Arial"/>
          <w:iCs/>
          <w:noProof/>
          <w:szCs w:val="28"/>
        </w:rPr>
        <w:t>a</w:t>
      </w:r>
      <w:r w:rsidRPr="00511005">
        <w:rPr>
          <w:rFonts w:ascii="Arial" w:eastAsia="Times New Roman" w:hAnsi="Arial" w:cs="Arial"/>
          <w:iCs/>
          <w:noProof/>
          <w:szCs w:val="28"/>
          <w:lang w:val="uk-UA"/>
        </w:rPr>
        <w:t>д</w:t>
      </w:r>
      <w:r w:rsidRPr="00511005">
        <w:rPr>
          <w:rFonts w:ascii="Arial" w:eastAsia="Times New Roman" w:hAnsi="Arial" w:cs="Arial"/>
          <w:iCs/>
          <w:noProof/>
          <w:szCs w:val="28"/>
        </w:rPr>
        <w:t>e</w:t>
      </w:r>
      <w:r w:rsidRPr="00511005">
        <w:rPr>
          <w:rFonts w:ascii="Arial" w:eastAsia="Times New Roman" w:hAnsi="Arial" w:cs="Arial"/>
          <w:iCs/>
          <w:noProof/>
          <w:szCs w:val="28"/>
          <w:lang w:val="uk-UA"/>
        </w:rPr>
        <w:t>м</w:t>
      </w:r>
      <w:r w:rsidRPr="00511005">
        <w:rPr>
          <w:rFonts w:ascii="Arial" w:eastAsia="Times New Roman" w:hAnsi="Arial" w:cs="Arial"/>
          <w:iCs/>
          <w:noProof/>
          <w:szCs w:val="28"/>
        </w:rPr>
        <w:t>i</w:t>
      </w:r>
      <w:r w:rsidRPr="00511005">
        <w:rPr>
          <w:rFonts w:ascii="Arial" w:eastAsia="Times New Roman" w:hAnsi="Arial" w:cs="Arial"/>
          <w:iCs/>
          <w:noProof/>
          <w:szCs w:val="28"/>
          <w:lang w:val="uk-UA"/>
        </w:rPr>
        <w:t>я»</w:t>
      </w:r>
    </w:p>
    <w:p w14:paraId="047855C7" w14:textId="77777777" w:rsidR="00B67481" w:rsidRPr="00511005" w:rsidRDefault="00B67481" w:rsidP="003A292D">
      <w:pPr>
        <w:spacing w:line="264" w:lineRule="auto"/>
        <w:ind w:firstLine="0"/>
        <w:jc w:val="center"/>
        <w:rPr>
          <w:rFonts w:ascii="Arial" w:eastAsia="Calibri" w:hAnsi="Arial" w:cs="Arial"/>
          <w:b/>
          <w:bCs/>
          <w:szCs w:val="28"/>
          <w:lang w:val="uk-UA"/>
        </w:rPr>
      </w:pPr>
    </w:p>
    <w:p w14:paraId="177F65CC" w14:textId="77777777" w:rsidR="00B67481" w:rsidRPr="00511005" w:rsidRDefault="00B67481" w:rsidP="003A292D">
      <w:pPr>
        <w:spacing w:line="264" w:lineRule="auto"/>
        <w:ind w:firstLine="0"/>
        <w:jc w:val="center"/>
        <w:rPr>
          <w:rFonts w:ascii="Arial" w:eastAsia="Calibri" w:hAnsi="Arial" w:cs="Arial"/>
          <w:b/>
          <w:bCs/>
          <w:szCs w:val="28"/>
        </w:rPr>
      </w:pPr>
      <w:r w:rsidRPr="00511005">
        <w:rPr>
          <w:rFonts w:ascii="Arial" w:eastAsia="Calibri" w:hAnsi="Arial" w:cs="Arial"/>
          <w:b/>
          <w:bCs/>
          <w:szCs w:val="28"/>
        </w:rPr>
        <w:t>ЄВРОПЕЙСЬКІ СТАНДАРТИ АДМІНІСТРАТИВНОГО СУДОЧИНСТВА ТА ЇХ ІМПЛЕМЕНТАЦІЯ В УКРАЇНІ</w:t>
      </w:r>
    </w:p>
    <w:p w14:paraId="0D7106E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Важливим завданням адміністративного судочинства є формування ефективного механізму захисту прав, свобод та інтересів громадян у сфері публічно-правових відносин. Адміністративне судочинство, як основний інструмент контролю за органами влади, відіграє ключову роль у забезпеченні верховенства права, прозорості діяльності та підзвітності держави, тому важливого значення набуває впровадження європейських стандартів здійснення адміністративного судочинства, що базуються на таких принципах, як незалежність судової влади, доступність правосуддя та справедливість рішень.</w:t>
      </w:r>
    </w:p>
    <w:p w14:paraId="44234DF9" w14:textId="7368241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Європейські стандарти розвивалися через рішення Європейського суду з прав людини, </w:t>
      </w:r>
      <w:proofErr w:type="gramStart"/>
      <w:r w:rsidRPr="00511005">
        <w:rPr>
          <w:rFonts w:ascii="Arial" w:eastAsia="Calibri" w:hAnsi="Arial" w:cs="Arial"/>
          <w:szCs w:val="28"/>
        </w:rPr>
        <w:t>рекомендації</w:t>
      </w:r>
      <w:proofErr w:type="gramEnd"/>
      <w:r w:rsidRPr="00511005">
        <w:rPr>
          <w:rFonts w:ascii="Arial" w:eastAsia="Calibri" w:hAnsi="Arial" w:cs="Arial"/>
          <w:szCs w:val="28"/>
        </w:rPr>
        <w:t xml:space="preserve"> Ради Європи та практики країн ЄС. Вони не лише визначають мінімальні гарантії для учасників процесу, а й служать орієнтирами для країн, що реформують свою судову систему, зокрема для України. Імплементація цих стандартів стала частиною судової реформи, пов'язаної з євроінтеграційним курсом України та відіграє важливу функцію </w:t>
      </w:r>
      <w:r w:rsidRPr="00511005">
        <w:rPr>
          <w:rFonts w:ascii="Arial" w:eastAsia="Calibri" w:hAnsi="Arial" w:cs="Arial"/>
          <w:szCs w:val="28"/>
        </w:rPr>
        <w:lastRenderedPageBreak/>
        <w:t>в гармонізації національного законодавства з законодавством ЄС, що</w:t>
      </w:r>
      <w:r w:rsidR="007B2628" w:rsidRPr="00511005">
        <w:rPr>
          <w:rFonts w:ascii="Arial" w:eastAsia="Calibri" w:hAnsi="Arial" w:cs="Arial"/>
          <w:szCs w:val="28"/>
        </w:rPr>
        <w:t xml:space="preserve"> </w:t>
      </w:r>
      <w:r w:rsidRPr="00511005">
        <w:rPr>
          <w:rFonts w:ascii="Arial" w:eastAsia="Calibri" w:hAnsi="Arial" w:cs="Arial"/>
          <w:szCs w:val="28"/>
        </w:rPr>
        <w:t>наближає українську модель правосуддя до європейських вимог. Однак існують проблеми як нормативного, так і практичного характеру.</w:t>
      </w:r>
    </w:p>
    <w:p w14:paraId="197312D1"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Основні стандарти адміністративного судочинства закріплені у Європейській конвенції з прав людини та розвинутих практиках Європейського суду, що створюють основу для справедливого судового розгляду в демократичному суспільстві. Так, згідно з пунктом 1 статті 6 Конвенції, кожна особа, при вирішенні спору щодо її цивільних прав і обов’язків, має невід’ємне право на неупереджений, незалежний і справедливий судовий розгляд, що має відбуватися у розумні строки та за участю суду, створеного відповідно </w:t>
      </w:r>
      <w:proofErr w:type="gramStart"/>
      <w:r w:rsidRPr="00511005">
        <w:rPr>
          <w:rFonts w:ascii="Arial" w:eastAsia="Calibri" w:hAnsi="Arial" w:cs="Arial"/>
          <w:szCs w:val="28"/>
        </w:rPr>
        <w:t>до закону</w:t>
      </w:r>
      <w:proofErr w:type="gramEnd"/>
      <w:r w:rsidRPr="00511005">
        <w:rPr>
          <w:rFonts w:ascii="Arial" w:eastAsia="Calibri" w:hAnsi="Arial" w:cs="Arial"/>
          <w:szCs w:val="28"/>
        </w:rPr>
        <w:t xml:space="preserve"> [1]. Обов’язковою умовою такого розгляду є публічне проголошення судового рішення. Водночас, Конвенція передбачає винятки, які дозволяють обмежити відкритість слухання — зокрема, в інтересах моралі, громадського порядку, національної безпеки, захисту неповнолітніх чи приватного життя сторін. Такі обмеження допустимі лише в тих випадках, коли вони є абсолютно необхідними з точки зору інтересів правосуддя.</w:t>
      </w:r>
    </w:p>
    <w:p w14:paraId="6EA588B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Крім того, стаття 13 Конвенції гарантує кожному, хто вважає, що його права, зафіксовані в Конвенції, були порушені, право на ефективний засіб юридичного захисту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національної правової системи [1]. Це право є ключовим для забезпечення реального доступу до правосуддя, адже воно передбачає не лише формальну наявність механізму оскарження, але й ефективність його застосування.</w:t>
      </w:r>
    </w:p>
    <w:p w14:paraId="5F7B5F99"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Імплементація норм статей 6 та 13 Конвенції в адміністративному судочинстві України передбачає забезпечення неупередженості та незалежності суду, що гарантує справедливий розгляд справ. Судді повинні діяти без зовнішнього впливу, а рішення базуватися лише на фактах і праві, що відповідає вимогам статті 6 Конвенції. Публічне проголошення судових рішень є обов'язковим, однак можливі обмеження в інтересах безпеки чи захисту приватного життя, як це передбачено Конвенцією. Стаття 13 гарантує право на ефективний юридичний захист, що в Україні забезпечується через механізми оскарження рішень адміністративних судів, зокрема через апеляційне та касаційне оскарження, що дає змогу реально відновити порушені права. Тому, в цілому, ці норми сприяють дотриманню принципів справедливості та ефективного доступу до правосуддя.</w:t>
      </w:r>
    </w:p>
    <w:p w14:paraId="1B0F5F8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Положення Конвенції отримали подальший розвиток і конкретизацію в численних рішеннях ЄСПЛ. Наприклад, у справі «Джонстон та інші проти Ірландії» (1986 р., No 6/1985/92/139) суд уперше запропонував тлумачення поняття справедливого судового розгляду, що стало орієнтиром для подальшої юрисдикційної практики [2]. У справі «Стенлі Адамс проти Комісії» (No 145/83) було акцентовано увагу на процедурних гарантіях, які </w:t>
      </w:r>
      <w:r w:rsidRPr="00511005">
        <w:rPr>
          <w:rFonts w:ascii="Arial" w:eastAsia="Calibri" w:hAnsi="Arial" w:cs="Arial"/>
          <w:szCs w:val="28"/>
        </w:rPr>
        <w:lastRenderedPageBreak/>
        <w:t>становлять серцевину правової безпеки особи у відносинах із публічною адміністрацією [3].</w:t>
      </w:r>
    </w:p>
    <w:p w14:paraId="37D17E70"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Аналізуючи практику ЄСПЛ і національне законодавство, можна виділити основні принципи адміністративного судочинства. Найважливішим з них є принцип ефективного судового захисту, що полягає не лише в теоретичній можливості звернення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але й у реальному доступі до правосуддя, забезпеченому незалежністю судів та їх здатністю виносити обов'язкові рішення.</w:t>
      </w:r>
    </w:p>
    <w:p w14:paraId="7AEC5CD6"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 Рекомендації Комітету міністрів Ради Європи № </w:t>
      </w:r>
      <w:proofErr w:type="gramStart"/>
      <w:r w:rsidRPr="00511005">
        <w:rPr>
          <w:rFonts w:ascii="Arial" w:eastAsia="Times New Roman" w:hAnsi="Arial" w:cs="Arial"/>
          <w:szCs w:val="28"/>
          <w:lang w:eastAsia="ru-RU"/>
        </w:rPr>
        <w:t>Rec(</w:t>
      </w:r>
      <w:proofErr w:type="gramEnd"/>
      <w:r w:rsidRPr="00511005">
        <w:rPr>
          <w:rFonts w:ascii="Arial" w:eastAsia="Times New Roman" w:hAnsi="Arial" w:cs="Arial"/>
          <w:szCs w:val="28"/>
          <w:lang w:eastAsia="ru-RU"/>
        </w:rPr>
        <w:t xml:space="preserve">2004)20 від 13 грудня 2004 року «Про перегляд адміністративних актів судами» міститься ключовий принцип, який має фундаментальне значення для демократичних правових систем: забезпечення ефективного, реального доступу до правосуддя особам, які бажають оскаржити дії чи бездіяльність органів публічної адміністрації </w:t>
      </w:r>
      <w:r w:rsidRPr="00511005">
        <w:rPr>
          <w:rFonts w:ascii="Arial" w:eastAsia="Calibri" w:hAnsi="Arial" w:cs="Arial"/>
          <w:szCs w:val="28"/>
        </w:rPr>
        <w:t>[4, с. 28].</w:t>
      </w:r>
      <w:r w:rsidRPr="00511005">
        <w:rPr>
          <w:rFonts w:ascii="Arial" w:eastAsia="Times New Roman" w:hAnsi="Arial" w:cs="Arial"/>
          <w:szCs w:val="28"/>
          <w:lang w:eastAsia="ru-RU"/>
        </w:rPr>
        <w:t xml:space="preserve"> В даній Рекомендації йдеться не просто про формальне визнання права на судовий захист, а про створення таких юридичних та процедурних умов, які б дійсно дозволяли особі реалізувати це право на практиці. У цьому контексті особливу увагу приділено питанню усунення фінансових бар'єрів, які можуть чинити стримувальний або навіть відверто дискримінаційний вплив на доступ громадян до адміністративного судочинства. Рекомендація чітко вказує, що витрати, пов’язані з поданням позову до адміністративного суду, не повинні бути настільки значними, щоб унеможливлювати реалізацію права на звернення </w:t>
      </w:r>
      <w:proofErr w:type="gramStart"/>
      <w:r w:rsidRPr="00511005">
        <w:rPr>
          <w:rFonts w:ascii="Arial" w:eastAsia="Times New Roman" w:hAnsi="Arial" w:cs="Arial"/>
          <w:szCs w:val="28"/>
          <w:lang w:eastAsia="ru-RU"/>
        </w:rPr>
        <w:t>до суду</w:t>
      </w:r>
      <w:proofErr w:type="gramEnd"/>
      <w:r w:rsidRPr="00511005">
        <w:rPr>
          <w:rFonts w:ascii="Arial" w:eastAsia="Times New Roman" w:hAnsi="Arial" w:cs="Arial"/>
          <w:szCs w:val="28"/>
          <w:lang w:eastAsia="ru-RU"/>
        </w:rPr>
        <w:t>. З огляду на специфіку адміністративних справ, де громадянин найчастіше вступає в правовий конфлікт з суб’єктом владних повноважень, фінансова доступність судового захисту набуває особливої ваги. В умовах, коли держава наділена адміністративними, фінансовими та організаційними ресурсами, а громадянин часто перебуває в уразливому становищі, надмірне фінансове навантаження у вигляді судового збору, витрат на правову допомогу, експертизи тощо, фактично позбавляє його можливості здійснити захист своїх прав.</w:t>
      </w:r>
    </w:p>
    <w:p w14:paraId="58B268E3" w14:textId="28700873"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У контексті сучасних</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реалій ця рекомендація має особливу актуальність. Навіть попри наявність певних пільг щодо сплати судового збору, включаючи випадки, коли особа звільняється від його сплати, в реальності саме фінансовий аспект часто залишається перешкодою для реалізації права на звернення до адміністративного суду. Адже окрім судового збору, існують й інші витрати, які несе позивач — зокрема, витрати на складання позовної заяви, представництво адвоката, отримання витягів з реєстрів, виконання окремих процесуальних дій. Для соціально вразливих категорій населення, таких як, пенсіонери, особи з інвалідністю, безробітні,</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навіть ці витрати можуть виявитися критичними.</w:t>
      </w:r>
    </w:p>
    <w:p w14:paraId="4F6EC313"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Отже, впровадження європейських стандартів адміністративного судочинства в Україні є ключовим чинником формування ефективної, </w:t>
      </w:r>
      <w:r w:rsidRPr="00511005">
        <w:rPr>
          <w:rFonts w:ascii="Arial" w:eastAsia="Times New Roman" w:hAnsi="Arial" w:cs="Arial"/>
          <w:szCs w:val="28"/>
          <w:lang w:eastAsia="ru-RU"/>
        </w:rPr>
        <w:lastRenderedPageBreak/>
        <w:t xml:space="preserve">справедливої та доступної системи правового захисту в публічно-правових спорах. Незважаючи на те, що українське законодавство значною мірою узгоджене з положеннями Європейської конвенції з прав людини та практикою Європейського суду з прав людини, на практиці продовжують існувати проблеми, зокрема пов’язані з фінансовою недоступністю правосуддя для соціально вразливих груп населення, а також із забезпеченням повної незалежності судової влади. Подальша імплементація європейських підходів має бути спрямована не лише на формальне закріплення правових гарантій, а й на створення реальних умов для їх практичної реалізації. Це сприятиме посиленню довіри громадян до судової системи, утвердженню принципів верховенства права та успішному просуванню України </w:t>
      </w:r>
      <w:proofErr w:type="gramStart"/>
      <w:r w:rsidRPr="00511005">
        <w:rPr>
          <w:rFonts w:ascii="Arial" w:eastAsia="Times New Roman" w:hAnsi="Arial" w:cs="Arial"/>
          <w:szCs w:val="28"/>
          <w:lang w:eastAsia="ru-RU"/>
        </w:rPr>
        <w:t>на шляху</w:t>
      </w:r>
      <w:proofErr w:type="gramEnd"/>
      <w:r w:rsidRPr="00511005">
        <w:rPr>
          <w:rFonts w:ascii="Arial" w:eastAsia="Times New Roman" w:hAnsi="Arial" w:cs="Arial"/>
          <w:szCs w:val="28"/>
          <w:lang w:eastAsia="ru-RU"/>
        </w:rPr>
        <w:t xml:space="preserve"> європейської інтеграції.</w:t>
      </w:r>
    </w:p>
    <w:p w14:paraId="673E9E58" w14:textId="77777777" w:rsidR="00B67481" w:rsidRPr="00511005" w:rsidRDefault="00B67481" w:rsidP="003A292D">
      <w:pPr>
        <w:spacing w:line="264" w:lineRule="auto"/>
        <w:rPr>
          <w:rFonts w:ascii="Arial" w:eastAsia="Times New Roman" w:hAnsi="Arial" w:cs="Arial"/>
          <w:szCs w:val="28"/>
          <w:lang w:val="uk-UA" w:eastAsia="ru-RU"/>
        </w:rPr>
      </w:pPr>
    </w:p>
    <w:p w14:paraId="684D8C21" w14:textId="2898454F" w:rsidR="00B67481" w:rsidRPr="00511005" w:rsidRDefault="007B2628" w:rsidP="007B2628">
      <w:pPr>
        <w:spacing w:line="264" w:lineRule="auto"/>
        <w:ind w:firstLine="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0205B8FD" w14:textId="77777777" w:rsidR="00B67481" w:rsidRPr="00511005" w:rsidRDefault="00B67481" w:rsidP="003F6A5D">
      <w:pPr>
        <w:numPr>
          <w:ilvl w:val="0"/>
          <w:numId w:val="276"/>
        </w:numPr>
        <w:spacing w:line="264" w:lineRule="auto"/>
        <w:ind w:left="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Конвенція про захист прав людини і основоположних свобод від 4 листопада 1950 року. </w:t>
      </w:r>
      <w:hyperlink r:id="rId1037" w:anchor="Text" w:history="1">
        <w:r w:rsidRPr="00511005">
          <w:rPr>
            <w:rFonts w:ascii="Arial" w:eastAsia="Times New Roman" w:hAnsi="Arial" w:cs="Arial"/>
            <w:szCs w:val="28"/>
            <w:lang w:eastAsia="ru-RU"/>
          </w:rPr>
          <w:t>URL:https://zakon.rada.gov.ua/laws/show/995_004#Text</w:t>
        </w:r>
      </w:hyperlink>
      <w:r w:rsidRPr="00511005">
        <w:rPr>
          <w:rFonts w:ascii="Arial" w:eastAsia="Times New Roman" w:hAnsi="Arial" w:cs="Arial"/>
          <w:szCs w:val="28"/>
          <w:lang w:eastAsia="ru-RU"/>
        </w:rPr>
        <w:t>).</w:t>
      </w:r>
    </w:p>
    <w:p w14:paraId="30968413" w14:textId="77777777" w:rsidR="00B67481" w:rsidRPr="00511005" w:rsidRDefault="00B67481" w:rsidP="003F6A5D">
      <w:pPr>
        <w:numPr>
          <w:ilvl w:val="0"/>
          <w:numId w:val="276"/>
        </w:numPr>
        <w:spacing w:line="264" w:lineRule="auto"/>
        <w:ind w:left="0"/>
        <w:contextualSpacing/>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Справа Джонстона та інших 1986 року (No 6/1985/92/139). </w:t>
      </w:r>
      <w:r w:rsidRPr="00511005">
        <w:rPr>
          <w:rFonts w:ascii="Arial" w:eastAsia="Times New Roman" w:hAnsi="Arial" w:cs="Arial"/>
          <w:szCs w:val="28"/>
          <w:lang w:val="en-US" w:eastAsia="ru-RU"/>
        </w:rPr>
        <w:t xml:space="preserve">Case of Johnston and Others. </w:t>
      </w:r>
      <w:proofErr w:type="gramStart"/>
      <w:r w:rsidRPr="00511005">
        <w:rPr>
          <w:rFonts w:ascii="Arial" w:eastAsia="Times New Roman" w:hAnsi="Arial" w:cs="Arial"/>
          <w:szCs w:val="28"/>
          <w:lang w:val="en-US" w:eastAsia="ru-RU"/>
        </w:rPr>
        <w:t>URL:http://www2.womenslinkworldwide.org/wlw/admin/fileFS.ph</w:t>
      </w:r>
      <w:proofErr w:type="gramEnd"/>
      <w:r w:rsidRPr="00511005">
        <w:rPr>
          <w:rFonts w:ascii="Arial" w:eastAsia="Times New Roman" w:hAnsi="Arial" w:cs="Arial"/>
          <w:szCs w:val="28"/>
          <w:lang w:val="en-US" w:eastAsia="ru-RU"/>
        </w:rPr>
        <w:t xml:space="preserve"> p?table=decisiones_documentos&amp;field=es_archivo&amp;id=185</w:t>
      </w:r>
    </w:p>
    <w:p w14:paraId="19558F4B" w14:textId="77777777" w:rsidR="00B67481" w:rsidRPr="00511005" w:rsidRDefault="00B67481" w:rsidP="003F6A5D">
      <w:pPr>
        <w:numPr>
          <w:ilvl w:val="0"/>
          <w:numId w:val="276"/>
        </w:numPr>
        <w:spacing w:line="264" w:lineRule="auto"/>
        <w:ind w:left="0"/>
        <w:contextualSpacing/>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Справа «Стенлі Адамс проти Комісії» (No 145/83). </w:t>
      </w:r>
      <w:r w:rsidRPr="00511005">
        <w:rPr>
          <w:rFonts w:ascii="Arial" w:eastAsia="Times New Roman" w:hAnsi="Arial" w:cs="Arial"/>
          <w:szCs w:val="28"/>
          <w:lang w:val="en-US" w:eastAsia="ru-RU"/>
        </w:rPr>
        <w:t xml:space="preserve">Adams St. G. Commission of the </w:t>
      </w:r>
      <w:proofErr w:type="gramStart"/>
      <w:r w:rsidRPr="00511005">
        <w:rPr>
          <w:rFonts w:ascii="Arial" w:eastAsia="Times New Roman" w:hAnsi="Arial" w:cs="Arial"/>
          <w:szCs w:val="28"/>
          <w:lang w:val="en-US" w:eastAsia="ru-RU"/>
        </w:rPr>
        <w:t>EuropeanCommunities.URL:http://curia.europa.eu/juris/showPdf.js</w:t>
      </w:r>
      <w:proofErr w:type="gramEnd"/>
      <w:r w:rsidRPr="00511005">
        <w:rPr>
          <w:rFonts w:ascii="Arial" w:eastAsia="Times New Roman" w:hAnsi="Arial" w:cs="Arial"/>
          <w:szCs w:val="28"/>
          <w:lang w:val="en-US" w:eastAsia="ru-RU"/>
        </w:rPr>
        <w:t xml:space="preserve"> f;jsessionid=9ea7d2dc30dc476ded761fl4400f8ca7.</w:t>
      </w:r>
    </w:p>
    <w:p w14:paraId="0266F82E" w14:textId="77777777" w:rsidR="00B67481" w:rsidRPr="00511005" w:rsidRDefault="00B67481" w:rsidP="003F6A5D">
      <w:pPr>
        <w:numPr>
          <w:ilvl w:val="0"/>
          <w:numId w:val="276"/>
        </w:numPr>
        <w:spacing w:line="264" w:lineRule="auto"/>
        <w:ind w:left="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Капля О. М. Реалізація принципу ефективного захисту праві і свобод особи в адміністративному судочинстві країн Європейського Союзу. Науковий вісник Міжнародного гуманітарного університету. Серія: Юриспруденція. 2017. No 26. С. 27–30.</w:t>
      </w:r>
    </w:p>
    <w:p w14:paraId="434BBE93" w14:textId="37C4098F" w:rsidR="00B67481" w:rsidRPr="00511005" w:rsidRDefault="007B2628" w:rsidP="003A292D">
      <w:pPr>
        <w:tabs>
          <w:tab w:val="left" w:pos="1276"/>
          <w:tab w:val="left" w:pos="2540"/>
        </w:tabs>
        <w:spacing w:line="264" w:lineRule="auto"/>
        <w:rPr>
          <w:rFonts w:ascii="Arial" w:eastAsia="Times New Roman" w:hAnsi="Arial" w:cs="Arial"/>
          <w:iCs/>
          <w:szCs w:val="28"/>
        </w:rPr>
      </w:pPr>
      <w:r w:rsidRPr="00511005">
        <w:rPr>
          <w:rFonts w:ascii="Arial" w:eastAsia="Times New Roman" w:hAnsi="Arial" w:cs="Arial"/>
          <w:b/>
          <w:bCs/>
          <w:i/>
          <w:iCs/>
          <w:szCs w:val="28"/>
        </w:rPr>
        <w:t xml:space="preserve">Ключові слова: </w:t>
      </w:r>
      <w:r w:rsidR="00B67481" w:rsidRPr="00511005">
        <w:rPr>
          <w:rFonts w:ascii="Arial" w:eastAsia="Times New Roman" w:hAnsi="Arial" w:cs="Arial"/>
          <w:iCs/>
          <w:szCs w:val="28"/>
        </w:rPr>
        <w:t>адміністративне судочинство, європейські стандарти, права людини, ефективний захист, Європейський суд з прав людини, Конвенція про захист прав людини, доступ до правосуддя, судова реформа, публічне право, імплементація.</w:t>
      </w:r>
    </w:p>
    <w:p w14:paraId="4BDADA48" w14:textId="3EB3DECB" w:rsidR="00B67481" w:rsidRPr="00511005" w:rsidRDefault="007B2628" w:rsidP="003A292D">
      <w:pPr>
        <w:tabs>
          <w:tab w:val="left" w:pos="1276"/>
          <w:tab w:val="left" w:pos="2540"/>
        </w:tabs>
        <w:spacing w:line="264" w:lineRule="auto"/>
        <w:rPr>
          <w:rFonts w:ascii="Arial" w:eastAsia="Times New Roman" w:hAnsi="Arial" w:cs="Arial"/>
          <w:iCs/>
          <w:szCs w:val="28"/>
          <w:lang w:val="en-US"/>
        </w:rPr>
      </w:pPr>
      <w:r w:rsidRPr="00511005">
        <w:rPr>
          <w:rFonts w:ascii="Arial" w:eastAsia="Times New Roman" w:hAnsi="Arial" w:cs="Arial"/>
          <w:b/>
          <w:bCs/>
          <w:i/>
          <w:iCs/>
          <w:szCs w:val="28"/>
          <w:lang w:val="en-US"/>
        </w:rPr>
        <w:t xml:space="preserve">Key words: </w:t>
      </w:r>
      <w:r w:rsidR="00B67481" w:rsidRPr="00511005">
        <w:rPr>
          <w:rFonts w:ascii="Arial" w:eastAsia="Times New Roman" w:hAnsi="Arial" w:cs="Arial"/>
          <w:iCs/>
          <w:szCs w:val="28"/>
          <w:lang w:val="en-US"/>
        </w:rPr>
        <w:t>administrative justice, European standards, human rights, effective protection, European Court of Human Rights, Convention on Human Rights, access to justice, judicial reform, public law, implementation.</w:t>
      </w:r>
    </w:p>
    <w:p w14:paraId="25F4D493" w14:textId="319E5D5C" w:rsidR="00B67481" w:rsidRPr="00511005" w:rsidRDefault="007B2628" w:rsidP="003A292D">
      <w:pPr>
        <w:tabs>
          <w:tab w:val="left" w:pos="1276"/>
          <w:tab w:val="left" w:pos="2540"/>
        </w:tabs>
        <w:spacing w:line="264" w:lineRule="auto"/>
        <w:rPr>
          <w:rFonts w:ascii="Arial" w:eastAsia="Times New Roman" w:hAnsi="Arial" w:cs="Arial"/>
          <w:i/>
          <w:szCs w:val="28"/>
        </w:rPr>
      </w:pPr>
      <w:r w:rsidRPr="00511005">
        <w:rPr>
          <w:rFonts w:ascii="Arial" w:eastAsia="Times New Roman" w:hAnsi="Arial" w:cs="Arial"/>
          <w:b/>
          <w:i/>
          <w:szCs w:val="28"/>
        </w:rPr>
        <w:t xml:space="preserve">Науковий керівник: </w:t>
      </w:r>
      <w:r w:rsidR="00B67481" w:rsidRPr="00511005">
        <w:rPr>
          <w:rFonts w:ascii="Arial" w:eastAsia="Times New Roman" w:hAnsi="Arial" w:cs="Arial"/>
          <w:i/>
          <w:szCs w:val="28"/>
          <w:lang w:val="uk-UA"/>
        </w:rPr>
        <w:t>к.ю.н.</w:t>
      </w:r>
      <w:r w:rsidR="00B67481" w:rsidRPr="00511005">
        <w:rPr>
          <w:rFonts w:ascii="Arial" w:eastAsia="Times New Roman" w:hAnsi="Arial" w:cs="Arial"/>
          <w:i/>
          <w:szCs w:val="28"/>
        </w:rPr>
        <w:t xml:space="preserve">, доцент Закаленко </w:t>
      </w:r>
      <w:r w:rsidR="00B67481" w:rsidRPr="00511005">
        <w:rPr>
          <w:rFonts w:ascii="Arial" w:eastAsia="Times New Roman" w:hAnsi="Arial" w:cs="Arial"/>
          <w:i/>
          <w:szCs w:val="28"/>
          <w:lang w:val="uk-UA"/>
        </w:rPr>
        <w:t>О.В</w:t>
      </w:r>
      <w:r w:rsidR="00B67481" w:rsidRPr="00511005">
        <w:rPr>
          <w:rFonts w:ascii="Arial" w:eastAsia="Times New Roman" w:hAnsi="Arial" w:cs="Arial"/>
          <w:i/>
          <w:szCs w:val="28"/>
        </w:rPr>
        <w:t>.</w:t>
      </w:r>
    </w:p>
    <w:p w14:paraId="3C8BCBC4" w14:textId="77777777" w:rsidR="00B67481" w:rsidRPr="00511005" w:rsidRDefault="00B67481" w:rsidP="003A292D">
      <w:pPr>
        <w:spacing w:line="264" w:lineRule="auto"/>
        <w:ind w:firstLine="0"/>
        <w:jc w:val="left"/>
        <w:rPr>
          <w:rFonts w:ascii="Arial" w:eastAsia="Times New Roman" w:hAnsi="Arial" w:cs="Arial"/>
          <w:i/>
          <w:szCs w:val="28"/>
        </w:rPr>
      </w:pPr>
      <w:r w:rsidRPr="00511005">
        <w:rPr>
          <w:rFonts w:ascii="Arial" w:eastAsia="Times New Roman" w:hAnsi="Arial" w:cs="Arial"/>
          <w:i/>
          <w:szCs w:val="28"/>
        </w:rPr>
        <w:br w:type="page"/>
      </w:r>
    </w:p>
    <w:p w14:paraId="5A14F92A" w14:textId="77777777" w:rsidR="00B67481" w:rsidRPr="00511005" w:rsidRDefault="00B67481" w:rsidP="003A292D">
      <w:pPr>
        <w:spacing w:line="264" w:lineRule="auto"/>
        <w:ind w:firstLine="0"/>
        <w:jc w:val="center"/>
        <w:rPr>
          <w:rFonts w:ascii="Arial" w:eastAsia="Times New Roman" w:hAnsi="Arial" w:cs="Arial"/>
          <w:b/>
          <w:i/>
          <w:szCs w:val="28"/>
        </w:rPr>
      </w:pPr>
      <w:r w:rsidRPr="00511005">
        <w:rPr>
          <w:rFonts w:ascii="Arial" w:eastAsia="Times New Roman" w:hAnsi="Arial" w:cs="Arial"/>
          <w:b/>
          <w:i/>
          <w:szCs w:val="28"/>
        </w:rPr>
        <w:lastRenderedPageBreak/>
        <w:t>Мельник Олександріна Олександрівна</w:t>
      </w:r>
    </w:p>
    <w:p w14:paraId="71A7ADBA" w14:textId="2081A69B" w:rsidR="00B67481" w:rsidRPr="00511005" w:rsidRDefault="00536AAB" w:rsidP="003A292D">
      <w:pPr>
        <w:spacing w:line="264" w:lineRule="auto"/>
        <w:ind w:firstLine="0"/>
        <w:jc w:val="center"/>
        <w:rPr>
          <w:rFonts w:ascii="Arial" w:eastAsia="Times New Roman" w:hAnsi="Arial" w:cs="Arial"/>
          <w:szCs w:val="28"/>
        </w:rPr>
      </w:pPr>
      <w:r w:rsidRPr="00511005">
        <w:rPr>
          <w:rFonts w:ascii="Arial" w:eastAsia="Times New Roman" w:hAnsi="Arial" w:cs="Arial"/>
          <w:szCs w:val="28"/>
        </w:rPr>
        <w:t xml:space="preserve">студентка 3-го курсу </w:t>
      </w:r>
      <w:r w:rsidR="001B7B25" w:rsidRPr="00511005">
        <w:rPr>
          <w:rFonts w:ascii="Arial" w:eastAsia="Times New Roman" w:hAnsi="Arial" w:cs="Arial"/>
          <w:szCs w:val="28"/>
        </w:rPr>
        <w:t>факультету судового та міжнародного права</w:t>
      </w:r>
    </w:p>
    <w:p w14:paraId="48C0A0DF" w14:textId="140548C7" w:rsidR="00B67481" w:rsidRPr="00511005" w:rsidRDefault="00BE3972" w:rsidP="003A292D">
      <w:pPr>
        <w:spacing w:line="264" w:lineRule="auto"/>
        <w:ind w:firstLine="0"/>
        <w:jc w:val="center"/>
        <w:rPr>
          <w:rFonts w:ascii="Arial" w:eastAsia="Times New Roman" w:hAnsi="Arial" w:cs="Arial"/>
          <w:szCs w:val="28"/>
        </w:rPr>
      </w:pPr>
      <w:bookmarkStart w:id="141" w:name="_heading=h.5oz2645ik00q" w:colFirst="0" w:colLast="0"/>
      <w:bookmarkEnd w:id="141"/>
      <w:r w:rsidRPr="00511005">
        <w:rPr>
          <w:rFonts w:ascii="Arial" w:eastAsia="Times New Roman" w:hAnsi="Arial" w:cs="Arial"/>
          <w:szCs w:val="28"/>
        </w:rPr>
        <w:t>Національного університету «Одеська юридична академія»</w:t>
      </w:r>
    </w:p>
    <w:p w14:paraId="20E85EDC" w14:textId="77777777" w:rsidR="00B67481" w:rsidRPr="00511005" w:rsidRDefault="00B67481" w:rsidP="003A292D">
      <w:pPr>
        <w:spacing w:line="264" w:lineRule="auto"/>
        <w:ind w:firstLine="0"/>
        <w:jc w:val="center"/>
        <w:rPr>
          <w:rFonts w:ascii="Arial" w:eastAsia="Times New Roman" w:hAnsi="Arial" w:cs="Arial"/>
          <w:b/>
          <w:szCs w:val="28"/>
          <w:lang w:val="uk-UA"/>
        </w:rPr>
      </w:pPr>
    </w:p>
    <w:p w14:paraId="0D8BDB37" w14:textId="77777777" w:rsidR="00B67481" w:rsidRPr="00511005" w:rsidRDefault="00B67481" w:rsidP="003A292D">
      <w:pPr>
        <w:spacing w:line="264" w:lineRule="auto"/>
        <w:ind w:firstLine="0"/>
        <w:jc w:val="center"/>
        <w:rPr>
          <w:rFonts w:ascii="Arial" w:eastAsia="Times New Roman" w:hAnsi="Arial" w:cs="Arial"/>
          <w:b/>
          <w:szCs w:val="28"/>
        </w:rPr>
      </w:pPr>
      <w:r w:rsidRPr="00511005">
        <w:rPr>
          <w:rFonts w:ascii="Arial" w:eastAsia="Times New Roman" w:hAnsi="Arial" w:cs="Arial"/>
          <w:b/>
          <w:szCs w:val="28"/>
        </w:rPr>
        <w:t>ДИСТАНЦІЙНЕ ПРАВОСУДДЯ В АДМІНІСТРАТИВНОМУ ПРОЦЕСІ: ВИКЛИКИ ВОЄННОГО СТАНУ</w:t>
      </w:r>
    </w:p>
    <w:p w14:paraId="496596C9"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У сучасних умовах глобальних викликів, зокрема пандемії COVID-19, а відтак і повномасштабної збройної агресії російської федерації проти України, питання забезпечення ефективного та безперервного здійснення правосуддя набуло особливої ваги. Війна не лише завдала величезної шкоди системі державного управління та правопорядку, а й поставила перед судовою владою України абсолютно нові виклики, які раніше розглядалися здебільшого як теоретичні сценарії. Одним із ключових інструментів, який дозволив судовій системі продовжити функціонування в екстремальних умовах, стало дистанційне правосуддя.</w:t>
      </w:r>
    </w:p>
    <w:p w14:paraId="595673A3"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Дистанційне правосуддя — це не просто технічна альтернатива традиційним формам судового розгляду, а важливий етап еволюції судочинства, що забезпечує новий рівень доступності, ефективності та прозорості правосуддя. В умовах воєнного стану, коли значна частина населення переміщена, судові установи частково зруйновані або евакуйовані, а фізична присутність учасників процесу у суді часто є неможливою чи небезпечною, і тому дистанційне правосуддя перетворюється з факультативної можливості на критично необхідний механізм.</w:t>
      </w:r>
    </w:p>
    <w:p w14:paraId="649F0D27" w14:textId="1DF42275"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Варто зазначити, що правова база України вже передбачала можливість дистанційної участі в судовому процесі — через запровадження Єдиної судової інформаційно-телекомунікаційної системи (ЄСІТС), інструментів відеозв’язку, електронного документообігу. Проте саме війна створила умови для їх масового та форсованого впровадження. Такий «експрес-формат» цифровізації правосуддя, незважаючи на безумовні переваги, також породив значну кількість проблем, як юридичного, так і технічного характеру. Серед них — недосконалість законодавства, недостатня технічна готовність судів і учасників процесу до онлайн-комунікацій, проблеми безпеки та конфіденційності, нерівний доступ до цифрових технологій, що суперечить принципу рівності сторін [1].</w:t>
      </w:r>
      <w:r w:rsidR="007B2628" w:rsidRPr="00511005">
        <w:rPr>
          <w:rFonts w:ascii="Arial" w:eastAsia="Times New Roman" w:hAnsi="Arial" w:cs="Arial"/>
          <w:szCs w:val="28"/>
        </w:rPr>
        <w:t xml:space="preserve"> </w:t>
      </w:r>
    </w:p>
    <w:p w14:paraId="44C8824F"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У сучасному правовому полі України дистанційне правосуддя є результатом поєднання правових інновацій і цифрових технологій, спрямованих на забезпечення ефективного, безпечного та доступного судочинства. Ключовим нормативним актом, який регламентує питання дистанційної участі у судових засіданнях, є Кодекс адміністративного судочинства України (далі — КАС України). Відповідно до частини 6 статті 12 КАС України, суд має право проводити судове засідання в режимі </w:t>
      </w:r>
      <w:r w:rsidRPr="00511005">
        <w:rPr>
          <w:rFonts w:ascii="Arial" w:eastAsia="Times New Roman" w:hAnsi="Arial" w:cs="Arial"/>
          <w:szCs w:val="28"/>
        </w:rPr>
        <w:lastRenderedPageBreak/>
        <w:t xml:space="preserve">відеоконференції з використанням власних технічних засобів або із залученням відповідних технічних засобів іншого суду, у якому перебуває учасник справи. За погодженням суду така участь може здійснюватися також поза межами приміщення суду, за умови ідентифікації особи та дотримання вимог процесуального </w:t>
      </w:r>
      <w:proofErr w:type="gramStart"/>
      <w:r w:rsidRPr="00511005">
        <w:rPr>
          <w:rFonts w:ascii="Arial" w:eastAsia="Times New Roman" w:hAnsi="Arial" w:cs="Arial"/>
          <w:szCs w:val="28"/>
        </w:rPr>
        <w:t>законодавства[</w:t>
      </w:r>
      <w:proofErr w:type="gramEnd"/>
      <w:r w:rsidRPr="00511005">
        <w:rPr>
          <w:rFonts w:ascii="Arial" w:eastAsia="Times New Roman" w:hAnsi="Arial" w:cs="Arial"/>
          <w:szCs w:val="28"/>
        </w:rPr>
        <w:t>2]. </w:t>
      </w:r>
    </w:p>
    <w:p w14:paraId="5B3BF52D"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Важливо також підкреслити, що КАС України не встановлює обов’язку, а лише надає можливість проведення дистанційного судового засідання, що здійснюється з ініціативи суду або за заявою учасника справи. Ухвалюючи рішення про дистанційний розгляд, суд має враховувати обставини справи, технічну можливість зв’язку, дотримання гарантій справедливого судового розгляду та процесуальні права сторін [2]. </w:t>
      </w:r>
    </w:p>
    <w:p w14:paraId="2639AF71"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Дистанційне правосуддя стало особливо актуальним у період запровадження воєнного стану та після початку широкомасштабної агресії рф, коли учасники процесу не мали змоги прибути </w:t>
      </w:r>
      <w:proofErr w:type="gramStart"/>
      <w:r w:rsidRPr="00511005">
        <w:rPr>
          <w:rFonts w:ascii="Arial" w:eastAsia="Times New Roman" w:hAnsi="Arial" w:cs="Arial"/>
          <w:szCs w:val="28"/>
        </w:rPr>
        <w:t>до суду</w:t>
      </w:r>
      <w:proofErr w:type="gramEnd"/>
      <w:r w:rsidRPr="00511005">
        <w:rPr>
          <w:rFonts w:ascii="Arial" w:eastAsia="Times New Roman" w:hAnsi="Arial" w:cs="Arial"/>
          <w:szCs w:val="28"/>
        </w:rPr>
        <w:t xml:space="preserve"> особисто. Також, відповідно </w:t>
      </w:r>
      <w:proofErr w:type="gramStart"/>
      <w:r w:rsidRPr="00511005">
        <w:rPr>
          <w:rFonts w:ascii="Arial" w:eastAsia="Times New Roman" w:hAnsi="Arial" w:cs="Arial"/>
          <w:szCs w:val="28"/>
        </w:rPr>
        <w:t>до пункту</w:t>
      </w:r>
      <w:proofErr w:type="gramEnd"/>
      <w:r w:rsidRPr="00511005">
        <w:rPr>
          <w:rFonts w:ascii="Arial" w:eastAsia="Times New Roman" w:hAnsi="Arial" w:cs="Arial"/>
          <w:szCs w:val="28"/>
        </w:rPr>
        <w:t xml:space="preserve"> 19 частини 1 статті 4 КАС України, однією з основних засад адміністративного судочинства є доступність та ефективність судового захисту прав, свобод та інтересів, що цілком відповідає ідеї дистанційного судового розгляду [2]. </w:t>
      </w:r>
    </w:p>
    <w:p w14:paraId="0E0C51B4"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Розгортання ЄСІТС створило технічну можливість для повноцінного дистанційного провадження у адміністративних справах. Відповідно до статті 14¹ КАС Украіни, електронна форма процесуальних документів, поданих через ЄСІТС, прирівнюється до письмової форми, а подання таких документів засвідчується електронним цифровим підписом (КЕП). Це дозволяє подавати адміністративні позови, відзиви, заяви та інші документи в електронному форматі безпосередньо з дому або іншого місця перебування. </w:t>
      </w:r>
    </w:p>
    <w:p w14:paraId="09A71D18" w14:textId="57C9C231"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Зростає туальність принципу пропорційності при вирішенні соціальних спорів, що вимагає від судів пошуку балансу між інтересами держави та правами особи. Адміністративні суди повинні не лише формально оцінювати законність рішень органів влади, а й аналізувати їх справедливість у контексті захисту основоположних прав. Особливу складність становить забезпечення ефективного правового захисту в умовах воєнного </w:t>
      </w:r>
      <w:proofErr w:type="gramStart"/>
      <w:r w:rsidRPr="00511005">
        <w:rPr>
          <w:rFonts w:ascii="Arial" w:eastAsia="Times New Roman" w:hAnsi="Arial" w:cs="Arial"/>
          <w:szCs w:val="28"/>
        </w:rPr>
        <w:t>стану .</w:t>
      </w:r>
      <w:proofErr w:type="gramEnd"/>
      <w:r w:rsidRPr="00511005">
        <w:rPr>
          <w:rFonts w:ascii="Arial" w:eastAsia="Times New Roman" w:hAnsi="Arial" w:cs="Arial"/>
          <w:szCs w:val="28"/>
        </w:rPr>
        <w:t xml:space="preserve"> Реалізація права на ефективний засіб правового захисту вимагає не тільки належного нормативного забезпечення, а й практичної дієвості, зокрема здатності засобів захисту усунути порушення, забезпечити відшкодування і виконання судових рішень у прийнятні строки. Крім того, значний виклик для адміністративного судочинства становить адаптація роботи судів до умов воєнного стану. Це охоплює як потребу в безпечних умовах праці суддів і працівників суду, так і забезпечення доступу громадян до правосуддя незалежно від обставин.</w:t>
      </w:r>
      <w:r w:rsidR="007B2628" w:rsidRPr="00511005">
        <w:rPr>
          <w:rFonts w:ascii="Arial" w:eastAsia="Times New Roman" w:hAnsi="Arial" w:cs="Arial"/>
          <w:szCs w:val="28"/>
        </w:rPr>
        <w:t xml:space="preserve"> </w:t>
      </w:r>
      <w:r w:rsidRPr="00511005">
        <w:rPr>
          <w:rFonts w:ascii="Arial" w:eastAsia="Times New Roman" w:hAnsi="Arial" w:cs="Arial"/>
          <w:szCs w:val="28"/>
        </w:rPr>
        <w:t xml:space="preserve">У зв’язку з цим особливої ваги набуває впровадження електронного судочинства та принципів процесуальної економії. Це передбачає дистанційне проведення засідань, електронний </w:t>
      </w:r>
      <w:r w:rsidRPr="00511005">
        <w:rPr>
          <w:rFonts w:ascii="Arial" w:eastAsia="Times New Roman" w:hAnsi="Arial" w:cs="Arial"/>
          <w:szCs w:val="28"/>
        </w:rPr>
        <w:lastRenderedPageBreak/>
        <w:t>документообіг, нові форми судових повідомлень — усе це дозволяє зменшити витрати, пришвидшити розгляд справ та адаптувати судову систему до нових викликів. Також зростає зацікавленість у використанні цифрових технологій, включно зі штучним інтелектом, однак їх запровадження повинне супроводжуватись належним нормативним регулюванням, щоб уникнути ризиків дискримінації, порушення конфіденційності та втрати людського фактору.</w:t>
      </w:r>
    </w:p>
    <w:p w14:paraId="6B13C5C2"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Узагальнюючи, можна стверджувати, що адміністративне судочинство в Україні перебуває на етапі трансформації, що вимагає системної кодифікації законодавства, модернізації процесуальних механізмів, а також гнучкості у відповідях на надзвичайні умови, зберігаючи при цьому засадничі принципи верховенства права та ефективного захисту прав людини [3]. </w:t>
      </w:r>
    </w:p>
    <w:p w14:paraId="70968B79"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У контексті воєнного стану дистанційне правосуддя стало не лише вимушеною альтернативою, а повноцінною відповіддю на виклики безпеки, доступності та ефективності адміністративного судочинства. Приклад Чернігівського окружного адміністративного суду, який повністю перейшов на дистанційну форму роботи, підтверджує життєздатність та ефективність такої моделі в умовах постійних повітряних тривог, відключень електроенергії та міграції населення [4]. </w:t>
      </w:r>
    </w:p>
    <w:p w14:paraId="5A71A5A7" w14:textId="77777777" w:rsidR="00B67481" w:rsidRPr="00511005" w:rsidRDefault="00B67481" w:rsidP="003A292D">
      <w:pPr>
        <w:spacing w:line="264" w:lineRule="auto"/>
        <w:rPr>
          <w:rFonts w:ascii="Arial" w:eastAsia="Times New Roman" w:hAnsi="Arial" w:cs="Arial"/>
          <w:szCs w:val="28"/>
          <w:lang w:val="uk-UA"/>
        </w:rPr>
      </w:pPr>
      <w:r w:rsidRPr="00511005">
        <w:rPr>
          <w:rFonts w:ascii="Arial" w:eastAsia="Times New Roman" w:hAnsi="Arial" w:cs="Arial"/>
          <w:szCs w:val="28"/>
        </w:rPr>
        <w:t>Запровадження цифрових інструментів — відеозасідань, електронного документообігу, онлайн-викликів сторін — забезпечує процесуальну економію часу, зменшує витрати учасників та судової системи загалом. Дистанційна форма дозволяє гарантувати безпечний, зручний та стабільний доступ до адміністративного правосуддя, зберігаючи при цьому процесуальні гарантії та дотримання розумних строків розгляду справ. Отже, в умовах надзвичайних обставин така форма є не просто актуальною, а необхідною для підтримки функціонування правової держави.</w:t>
      </w:r>
    </w:p>
    <w:p w14:paraId="54ECEBE1" w14:textId="77777777" w:rsidR="00B67481" w:rsidRPr="00511005" w:rsidRDefault="00B67481" w:rsidP="003A292D">
      <w:pPr>
        <w:spacing w:line="264" w:lineRule="auto"/>
        <w:rPr>
          <w:rFonts w:ascii="Arial" w:eastAsia="Times New Roman" w:hAnsi="Arial" w:cs="Arial"/>
          <w:szCs w:val="28"/>
          <w:lang w:val="uk-UA"/>
        </w:rPr>
      </w:pPr>
    </w:p>
    <w:p w14:paraId="20220C61" w14:textId="5F5D2379" w:rsidR="00B67481" w:rsidRPr="00511005" w:rsidRDefault="007B2628" w:rsidP="007B2628">
      <w:pPr>
        <w:spacing w:line="264" w:lineRule="auto"/>
        <w:ind w:firstLine="0"/>
        <w:jc w:val="center"/>
        <w:rPr>
          <w:rFonts w:ascii="Arial" w:eastAsia="Calibri" w:hAnsi="Arial" w:cs="Arial"/>
          <w:szCs w:val="28"/>
        </w:rPr>
      </w:pPr>
      <w:r w:rsidRPr="00511005">
        <w:rPr>
          <w:rFonts w:ascii="Arial" w:eastAsia="Times New Roman" w:hAnsi="Arial" w:cs="Arial"/>
          <w:b/>
          <w:szCs w:val="28"/>
          <w:lang w:val="uk-UA"/>
        </w:rPr>
        <w:t>Список використаних джерел</w:t>
      </w:r>
    </w:p>
    <w:p w14:paraId="55419F75" w14:textId="77777777" w:rsidR="00B67481" w:rsidRPr="00511005" w:rsidRDefault="00B67481" w:rsidP="003F6A5D">
      <w:pPr>
        <w:numPr>
          <w:ilvl w:val="0"/>
          <w:numId w:val="277"/>
        </w:numPr>
        <w:spacing w:line="264" w:lineRule="auto"/>
        <w:ind w:left="0" w:firstLine="709"/>
        <w:jc w:val="left"/>
        <w:rPr>
          <w:rFonts w:ascii="Arial" w:eastAsia="Times New Roman" w:hAnsi="Arial" w:cs="Arial"/>
          <w:szCs w:val="28"/>
        </w:rPr>
      </w:pPr>
      <w:r w:rsidRPr="00511005">
        <w:rPr>
          <w:rFonts w:ascii="Arial" w:eastAsia="Times New Roman" w:hAnsi="Arial" w:cs="Arial"/>
          <w:szCs w:val="28"/>
        </w:rPr>
        <w:t>Переваги та недоліки дистанційного судочинства. Юридична клініка НЮУ ім. Ярослава Мудрого Безоплатна правова допомога. URL: http://legalclinic.nlu.edu.ua/2024/04/04/perevagy-ta-nedoliky-dystanczijnogo-sudochynstva/ (дата звернення: 11.05.2025).</w:t>
      </w:r>
    </w:p>
    <w:p w14:paraId="518F2A83" w14:textId="77777777" w:rsidR="00B67481" w:rsidRPr="00511005" w:rsidRDefault="00B67481" w:rsidP="003F6A5D">
      <w:pPr>
        <w:numPr>
          <w:ilvl w:val="0"/>
          <w:numId w:val="277"/>
        </w:numPr>
        <w:spacing w:line="264" w:lineRule="auto"/>
        <w:ind w:left="0" w:firstLine="709"/>
        <w:jc w:val="left"/>
        <w:rPr>
          <w:rFonts w:ascii="Arial" w:eastAsia="Times New Roman" w:hAnsi="Arial" w:cs="Arial"/>
          <w:szCs w:val="28"/>
        </w:rPr>
      </w:pPr>
      <w:r w:rsidRPr="00511005">
        <w:rPr>
          <w:rFonts w:ascii="Arial" w:eastAsia="Times New Roman" w:hAnsi="Arial" w:cs="Arial"/>
          <w:szCs w:val="28"/>
        </w:rPr>
        <w:t xml:space="preserve">Кодекс адміністративного судочинства </w:t>
      </w:r>
      <w:proofErr w:type="gramStart"/>
      <w:r w:rsidRPr="00511005">
        <w:rPr>
          <w:rFonts w:ascii="Arial" w:eastAsia="Times New Roman" w:hAnsi="Arial" w:cs="Arial"/>
          <w:szCs w:val="28"/>
        </w:rPr>
        <w:t>України :</w:t>
      </w:r>
      <w:proofErr w:type="gramEnd"/>
      <w:r w:rsidRPr="00511005">
        <w:rPr>
          <w:rFonts w:ascii="Arial" w:eastAsia="Times New Roman" w:hAnsi="Arial" w:cs="Arial"/>
          <w:szCs w:val="28"/>
        </w:rPr>
        <w:t xml:space="preserve"> Кодекс України від 06.07.2005 № 2747-IV : станом на 9 квіт. 2025 р. URL: https://zakon.rada.gov.ua/laws/show/2747-15#Text (дата звернення: 11.05.2025).</w:t>
      </w:r>
    </w:p>
    <w:p w14:paraId="7C5EC9B7" w14:textId="77777777" w:rsidR="00B67481" w:rsidRPr="00511005" w:rsidRDefault="00B67481" w:rsidP="003F6A5D">
      <w:pPr>
        <w:numPr>
          <w:ilvl w:val="0"/>
          <w:numId w:val="277"/>
        </w:numPr>
        <w:spacing w:line="264" w:lineRule="auto"/>
        <w:ind w:left="0" w:firstLine="709"/>
        <w:jc w:val="left"/>
        <w:rPr>
          <w:rFonts w:ascii="Arial" w:eastAsia="Times New Roman" w:hAnsi="Arial" w:cs="Arial"/>
          <w:szCs w:val="28"/>
        </w:rPr>
      </w:pPr>
      <w:r w:rsidRPr="00511005">
        <w:rPr>
          <w:rFonts w:ascii="Arial" w:eastAsia="Times New Roman" w:hAnsi="Arial" w:cs="Arial"/>
          <w:szCs w:val="28"/>
        </w:rPr>
        <w:t>Адміністративне судочинство в умовах війни: учасники міжнародної конференції обговорили питання щодо процесуального права. Верховний суд. URL: https://supreme.court.gov.ua/supreme/pres-centr/news/1450080/ (дата звернення: 11.05.2025).</w:t>
      </w:r>
    </w:p>
    <w:p w14:paraId="5B6D616C" w14:textId="77777777" w:rsidR="00B67481" w:rsidRPr="00511005" w:rsidRDefault="00B67481" w:rsidP="003F6A5D">
      <w:pPr>
        <w:numPr>
          <w:ilvl w:val="0"/>
          <w:numId w:val="277"/>
        </w:numPr>
        <w:spacing w:line="264" w:lineRule="auto"/>
        <w:ind w:left="0" w:firstLine="709"/>
        <w:jc w:val="left"/>
        <w:rPr>
          <w:rFonts w:ascii="Arial" w:eastAsia="Times New Roman" w:hAnsi="Arial" w:cs="Arial"/>
          <w:szCs w:val="28"/>
          <w:lang w:val="en-US"/>
        </w:rPr>
      </w:pPr>
      <w:r w:rsidRPr="00511005">
        <w:rPr>
          <w:rFonts w:ascii="Arial" w:eastAsia="Times New Roman" w:hAnsi="Arial" w:cs="Arial"/>
          <w:szCs w:val="28"/>
        </w:rPr>
        <w:lastRenderedPageBreak/>
        <w:t xml:space="preserve">Дистанційне судочинство в Україні: виклики та перспективи обговорили під час презентації аналітичного звіту. </w:t>
      </w:r>
      <w:r w:rsidRPr="00511005">
        <w:rPr>
          <w:rFonts w:ascii="Arial" w:eastAsia="Times New Roman" w:hAnsi="Arial" w:cs="Arial"/>
          <w:szCs w:val="28"/>
          <w:lang w:val="en-US"/>
        </w:rPr>
        <w:t>Pro Justice. URL: https://pro-justice.com.ua/dystanczijne-sudochynstvo-v-ukrayini-vyklyky-ta-perspektyvy-obgovoryly-pid-chas-prezentacziyi-analitychnogo-zvitu/ (</w:t>
      </w:r>
      <w:r w:rsidRPr="00511005">
        <w:rPr>
          <w:rFonts w:ascii="Arial" w:eastAsia="Times New Roman" w:hAnsi="Arial" w:cs="Arial"/>
          <w:szCs w:val="28"/>
        </w:rPr>
        <w:t>дата</w:t>
      </w:r>
      <w:r w:rsidRPr="00511005">
        <w:rPr>
          <w:rFonts w:ascii="Arial" w:eastAsia="Times New Roman" w:hAnsi="Arial" w:cs="Arial"/>
          <w:szCs w:val="28"/>
          <w:lang w:val="en-US"/>
        </w:rPr>
        <w:t xml:space="preserve"> </w:t>
      </w:r>
      <w:r w:rsidRPr="00511005">
        <w:rPr>
          <w:rFonts w:ascii="Arial" w:eastAsia="Times New Roman" w:hAnsi="Arial" w:cs="Arial"/>
          <w:szCs w:val="28"/>
        </w:rPr>
        <w:t>звернення</w:t>
      </w:r>
      <w:r w:rsidRPr="00511005">
        <w:rPr>
          <w:rFonts w:ascii="Arial" w:eastAsia="Times New Roman" w:hAnsi="Arial" w:cs="Arial"/>
          <w:szCs w:val="28"/>
          <w:lang w:val="en-US"/>
        </w:rPr>
        <w:t>: 11.05.2025).</w:t>
      </w:r>
    </w:p>
    <w:p w14:paraId="0E3F5477" w14:textId="77777777" w:rsidR="00B67481" w:rsidRPr="00511005" w:rsidRDefault="00B67481" w:rsidP="003A292D">
      <w:pPr>
        <w:pBdr>
          <w:top w:val="nil"/>
          <w:left w:val="nil"/>
          <w:bottom w:val="nil"/>
          <w:right w:val="nil"/>
          <w:between w:val="nil"/>
        </w:pBdr>
        <w:spacing w:line="264" w:lineRule="auto"/>
        <w:rPr>
          <w:rFonts w:ascii="Arial" w:eastAsia="Times New Roman" w:hAnsi="Arial" w:cs="Arial"/>
          <w:b/>
          <w:szCs w:val="28"/>
          <w:lang w:val="uk-UA"/>
        </w:rPr>
      </w:pPr>
    </w:p>
    <w:p w14:paraId="2E97FFBF" w14:textId="439FC242" w:rsidR="00B67481" w:rsidRPr="00511005" w:rsidRDefault="007B2628" w:rsidP="003A292D">
      <w:pPr>
        <w:pBdr>
          <w:top w:val="nil"/>
          <w:left w:val="nil"/>
          <w:bottom w:val="nil"/>
          <w:right w:val="nil"/>
          <w:between w:val="nil"/>
        </w:pBdr>
        <w:spacing w:line="264" w:lineRule="auto"/>
        <w:rPr>
          <w:rFonts w:ascii="Arial" w:eastAsia="Times New Roman" w:hAnsi="Arial" w:cs="Arial"/>
          <w:szCs w:val="28"/>
        </w:rPr>
      </w:pPr>
      <w:r w:rsidRPr="00511005">
        <w:rPr>
          <w:rFonts w:ascii="Arial" w:eastAsia="Times New Roman" w:hAnsi="Arial" w:cs="Arial"/>
          <w:b/>
          <w:i/>
          <w:szCs w:val="28"/>
        </w:rPr>
        <w:t xml:space="preserve">Ключові слова: </w:t>
      </w:r>
      <w:r w:rsidR="00B67481" w:rsidRPr="00511005">
        <w:rPr>
          <w:rFonts w:ascii="Arial" w:eastAsia="Times New Roman" w:hAnsi="Arial" w:cs="Arial"/>
          <w:szCs w:val="28"/>
        </w:rPr>
        <w:t>дистанційне правосуддя, воєнний стан, адміністративне судочинство, електронне судочинство, відеоконференція, цифровізація.</w:t>
      </w:r>
      <w:r w:rsidRPr="00511005">
        <w:rPr>
          <w:rFonts w:ascii="Arial" w:eastAsia="Times New Roman" w:hAnsi="Arial" w:cs="Arial"/>
          <w:szCs w:val="28"/>
        </w:rPr>
        <w:t xml:space="preserve"> </w:t>
      </w:r>
    </w:p>
    <w:p w14:paraId="183B03CD" w14:textId="0ECB4492" w:rsidR="00B67481" w:rsidRPr="00511005" w:rsidRDefault="007B2628" w:rsidP="003A292D">
      <w:pPr>
        <w:pBdr>
          <w:top w:val="nil"/>
          <w:left w:val="nil"/>
          <w:bottom w:val="nil"/>
          <w:right w:val="nil"/>
          <w:between w:val="nil"/>
        </w:pBdr>
        <w:spacing w:line="264" w:lineRule="auto"/>
        <w:rPr>
          <w:rFonts w:ascii="Arial" w:eastAsia="Times New Roman" w:hAnsi="Arial" w:cs="Arial"/>
          <w:szCs w:val="28"/>
          <w:lang w:val="en-US"/>
        </w:rPr>
      </w:pPr>
      <w:r w:rsidRPr="00511005">
        <w:rPr>
          <w:rFonts w:ascii="Arial" w:eastAsia="Times New Roman" w:hAnsi="Arial" w:cs="Arial"/>
          <w:b/>
          <w:i/>
          <w:szCs w:val="28"/>
          <w:lang w:val="en-US"/>
        </w:rPr>
        <w:t xml:space="preserve">Key words: </w:t>
      </w:r>
      <w:r w:rsidR="00B67481" w:rsidRPr="00511005">
        <w:rPr>
          <w:rFonts w:ascii="Arial" w:eastAsia="Times New Roman" w:hAnsi="Arial" w:cs="Arial"/>
          <w:szCs w:val="28"/>
          <w:lang w:val="en-US"/>
        </w:rPr>
        <w:t>remote justice, martial law, administrative justice, electronic justice, videoconference, digitalization.</w:t>
      </w:r>
    </w:p>
    <w:p w14:paraId="2B0D98E7" w14:textId="2BD64DED" w:rsidR="00B67481" w:rsidRPr="00511005" w:rsidRDefault="007B2628" w:rsidP="003A292D">
      <w:pPr>
        <w:pBdr>
          <w:top w:val="nil"/>
          <w:left w:val="nil"/>
          <w:bottom w:val="nil"/>
          <w:right w:val="nil"/>
          <w:between w:val="nil"/>
        </w:pBdr>
        <w:spacing w:line="264" w:lineRule="auto"/>
        <w:rPr>
          <w:rFonts w:ascii="Arial" w:eastAsia="Times New Roman" w:hAnsi="Arial" w:cs="Arial"/>
          <w:i/>
          <w:szCs w:val="28"/>
        </w:rPr>
      </w:pPr>
      <w:r w:rsidRPr="00511005">
        <w:rPr>
          <w:rFonts w:ascii="Arial" w:eastAsia="Times New Roman" w:hAnsi="Arial" w:cs="Arial"/>
          <w:b/>
          <w:i/>
          <w:szCs w:val="28"/>
        </w:rPr>
        <w:t xml:space="preserve">Науковий керівник: </w:t>
      </w:r>
      <w:r w:rsidR="00B67481" w:rsidRPr="00511005">
        <w:rPr>
          <w:rFonts w:ascii="Arial" w:eastAsia="Times New Roman" w:hAnsi="Arial" w:cs="Arial"/>
          <w:i/>
          <w:szCs w:val="28"/>
        </w:rPr>
        <w:t>к.ю.н., доцент Закаленко О.В.</w:t>
      </w:r>
    </w:p>
    <w:p w14:paraId="5ADD2014" w14:textId="77777777" w:rsidR="001D1A08" w:rsidRPr="00511005" w:rsidRDefault="001D1A08" w:rsidP="003A292D">
      <w:pPr>
        <w:spacing w:line="264" w:lineRule="auto"/>
        <w:ind w:firstLine="0"/>
        <w:jc w:val="left"/>
        <w:rPr>
          <w:rFonts w:ascii="Arial" w:eastAsia="Times New Roman" w:hAnsi="Arial" w:cs="Arial"/>
          <w:i/>
          <w:szCs w:val="28"/>
        </w:rPr>
      </w:pPr>
    </w:p>
    <w:p w14:paraId="45071E42" w14:textId="77777777" w:rsidR="001D1A08" w:rsidRPr="00511005" w:rsidRDefault="001D1A08" w:rsidP="003A292D">
      <w:pPr>
        <w:spacing w:line="264" w:lineRule="auto"/>
        <w:ind w:firstLine="0"/>
        <w:jc w:val="left"/>
        <w:rPr>
          <w:rFonts w:ascii="Arial" w:eastAsia="Times New Roman" w:hAnsi="Arial" w:cs="Arial"/>
          <w:i/>
          <w:szCs w:val="28"/>
        </w:rPr>
      </w:pPr>
    </w:p>
    <w:p w14:paraId="4601F6A2" w14:textId="77777777" w:rsidR="00B67481" w:rsidRPr="00511005" w:rsidRDefault="00B67481" w:rsidP="003A292D">
      <w:pPr>
        <w:spacing w:line="264" w:lineRule="auto"/>
        <w:ind w:firstLine="0"/>
        <w:jc w:val="center"/>
        <w:rPr>
          <w:rFonts w:ascii="Arial" w:eastAsia="Calibri" w:hAnsi="Arial" w:cs="Arial"/>
          <w:b/>
          <w:i/>
          <w:szCs w:val="28"/>
        </w:rPr>
      </w:pPr>
      <w:r w:rsidRPr="00511005">
        <w:rPr>
          <w:rFonts w:ascii="Arial" w:eastAsia="Calibri" w:hAnsi="Arial" w:cs="Arial"/>
          <w:b/>
          <w:i/>
          <w:szCs w:val="28"/>
        </w:rPr>
        <w:t xml:space="preserve">Мішеніна Євгенія Володимирівна </w:t>
      </w:r>
    </w:p>
    <w:p w14:paraId="47D9D06E" w14:textId="1F6BBDC3" w:rsidR="00DE2391" w:rsidRPr="00511005" w:rsidRDefault="00536AAB"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0A1DF17E" w14:textId="77777777" w:rsidR="00DE2391" w:rsidRPr="00511005" w:rsidRDefault="00DE2391" w:rsidP="00DE2391">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9C626F8" w14:textId="77777777" w:rsidR="00DE2391" w:rsidRPr="00511005" w:rsidRDefault="00DE2391" w:rsidP="00DE2391">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63D378F" w14:textId="77777777" w:rsidR="00B67481" w:rsidRPr="00511005" w:rsidRDefault="00B67481" w:rsidP="003A292D">
      <w:pPr>
        <w:spacing w:line="264" w:lineRule="auto"/>
        <w:ind w:firstLine="0"/>
        <w:jc w:val="center"/>
        <w:rPr>
          <w:rFonts w:ascii="Arial" w:eastAsia="Calibri" w:hAnsi="Arial" w:cs="Arial"/>
          <w:i/>
          <w:szCs w:val="28"/>
          <w:lang w:val="uk-UA"/>
        </w:rPr>
      </w:pPr>
    </w:p>
    <w:p w14:paraId="65892F4E" w14:textId="77777777" w:rsidR="00B67481" w:rsidRPr="00511005" w:rsidRDefault="00B67481"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rPr>
        <w:t>РОЗГЛЯД АДМІНІСТРАТИВНИМИ СУДАМИ СПРАВ ЩОДО ПРИТЯГНЕННЯ ДО АДМІНІСТРАТИВНОЇ ВІДПОВІДАЛЬНОСТІ</w:t>
      </w:r>
    </w:p>
    <w:p w14:paraId="5AE8B2AE"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lang w:val="uk-UA"/>
        </w:rPr>
        <w:t xml:space="preserve">Кількість справ, пов'язаних з оскарженням рішень, дій чи бездіяльності суб'єктів владних повноважень щодо притягнення до адміністративної відповідальності, невпинно зростає. </w:t>
      </w:r>
      <w:r w:rsidRPr="00511005">
        <w:rPr>
          <w:rFonts w:ascii="Arial" w:eastAsia="Calibri" w:hAnsi="Arial" w:cs="Arial"/>
          <w:szCs w:val="28"/>
        </w:rPr>
        <w:t>Це спостерігається навіть після того, як Верховний Суд України ухвалив рішення, згідно з яким подання позовної заяви про скасування постанови про адміністративне правопорушення передбачає сплату судового збору. Варто підкреслити, що переважна більшість таких справ стосується саме оскарження рішень про притягнення осіб до адміністративної відповідальності.[1].</w:t>
      </w:r>
    </w:p>
    <w:p w14:paraId="2C1B93E8"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Стаття 286 Кодексу адміністративного судочинства України (КАС України) визначає спеціальні правила, які регулюють розгляд справ, пов’язаних із притягненням осіб до адміністративної відповідальності. Ці особливості стосуються, зокрема, строків подання адміністративного позову, тривалості судового провадження </w:t>
      </w:r>
      <w:proofErr w:type="gramStart"/>
      <w:r w:rsidRPr="00511005">
        <w:rPr>
          <w:rFonts w:ascii="Arial" w:eastAsia="Calibri" w:hAnsi="Arial" w:cs="Arial"/>
          <w:szCs w:val="28"/>
        </w:rPr>
        <w:t>у судах</w:t>
      </w:r>
      <w:proofErr w:type="gramEnd"/>
      <w:r w:rsidRPr="00511005">
        <w:rPr>
          <w:rFonts w:ascii="Arial" w:eastAsia="Calibri" w:hAnsi="Arial" w:cs="Arial"/>
          <w:szCs w:val="28"/>
        </w:rPr>
        <w:t xml:space="preserve"> першої та апеляційної інстанції, а також повноважень суду щодо прийняття рішення за результатами розгляду справи. Однак, у подібних справах не менш важливе значення має і питання належного доказування: суд має оцінити, наскільки обґрунтованими та законними є рішення, дії чи бездіяльність суб’єктів владних повноважень. Оскільки часто йдеться про постанови про адміністративні правопорушення, суд повинен також враховувати межі застосування норм Кодексу України про адміністративні правопорушення (КУпАП), зокрема в частині юрисдикційного підходу до розмежування </w:t>
      </w:r>
      <w:r w:rsidRPr="00511005">
        <w:rPr>
          <w:rFonts w:ascii="Arial" w:eastAsia="Calibri" w:hAnsi="Arial" w:cs="Arial"/>
          <w:szCs w:val="28"/>
        </w:rPr>
        <w:lastRenderedPageBreak/>
        <w:t>адміністративного і кримінального переслідування, а також забезпечення прав особи при притягненні її до відповідальності.[2]</w:t>
      </w:r>
    </w:p>
    <w:p w14:paraId="3905E4D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Справи щодо оскарження рішень, дій або бездіяльності суб’єктів владних повноважень у контексті притягнення до адміністративної відповідальності підлягають розгляду місцевими загальними судами, які також уповноважені розглядати справи про адміністративні правопорушення відповідно до положень КУпАП. Складність розгляду таких справ в адміністративному судочинстві полягає в необхідності узгодженого застосування норм КУпАП і КАС України, які суттєво відрізняються як у процесуальних засадах, так і в механізмах правового регулювання. У процесі розгляду таких позовів адміністративні суди діють виключно в межах положень КАС України, визначаючи предмет і межі доказування, оцінюючи дії чи бездіяльність суб’єкта владних повноважень відповідно до закріплених у КАС України критеріїв та принципів. Разом із тим, характер спору вимагає від суду перевірки дотримання норм КУпАП та аналізу адміністративного правопорушення, у тому числі щодо доцільності зміни заходу адміністративного </w:t>
      </w:r>
      <w:proofErr w:type="gramStart"/>
      <w:r w:rsidRPr="00511005">
        <w:rPr>
          <w:rFonts w:ascii="Arial" w:eastAsia="Calibri" w:hAnsi="Arial" w:cs="Arial"/>
          <w:szCs w:val="28"/>
        </w:rPr>
        <w:t>стягнення[</w:t>
      </w:r>
      <w:proofErr w:type="gramEnd"/>
      <w:r w:rsidRPr="00511005">
        <w:rPr>
          <w:rFonts w:ascii="Arial" w:eastAsia="Calibri" w:hAnsi="Arial" w:cs="Arial"/>
          <w:szCs w:val="28"/>
        </w:rPr>
        <w:t xml:space="preserve">3]. Таким чином, КУпАП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таких справ застосовується як джерело права згідно зі статтею 7 КАС України.</w:t>
      </w:r>
    </w:p>
    <w:p w14:paraId="32285FAD"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Розгляд справ, що стосуються притягнення особи до адміністративної відповідальності, не повинен набувати ознак адміністративного деліктного процесу. Основна увага адміністративного суду має бути спрямована на перевірку дотримання критеріїв правомірності рішень, дій чи бездіяльності суб’єкта владних повноважень, визначених у статті 2 КАС України. Зокрема, йдеться про встановлення того, чи діяли ці суб’єкти в межах повноважень, визначених законом, чи діяли обґрунтовано — з урахуванням усіх значущих обставин справи, а також безсторонньо, добросовісно, розсудливо і своєчасно.[2] Стаття 280 КУпАП, у свою чергу, окреслює обсяг повноважень органу або посадової особи при розгляді справи про адміністративне правопорушення. Вони мають з’ясувати наявність правопорушення, винуватість особи, підстави для відповідальності, обставини, що пом’якшують або обтяжують відповідальність, а також інші важливі обставини, зокрема заподіяну шкоду або підстави для передачі справи на розгляд громадськості. Усі ці критерії підлягають ретельній перевірці, і в разі виявлення значних порушень, які суттєво впливають на права особи, суд має підстави для скасування відповідного рішення суб’єкта владних повноважень.</w:t>
      </w:r>
    </w:p>
    <w:p w14:paraId="51EB2E56"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Скасування рішення суб’єкта владних повноважень зумовлює необхідність визначення подальшої правової долі справи про адміністративне правопорушення. Якщо під час розгляду справи по суті судом досліджено достатню доказову базу, яка свідчить про наявність обставин, передбачених статтею 247 КУпАП (зокрема, відсутність події або складу правопорушення, вчинення дій у стані необхідної оборони чи </w:t>
      </w:r>
      <w:r w:rsidRPr="00511005">
        <w:rPr>
          <w:rFonts w:ascii="Arial" w:eastAsia="Calibri" w:hAnsi="Arial" w:cs="Arial"/>
          <w:szCs w:val="28"/>
        </w:rPr>
        <w:lastRenderedPageBreak/>
        <w:t>крайньої необхідності, сплив строків притягнення до відповідальності, скасування акту, що встановлює відповідальність тощо), суд приймає рішення про скасування постанови і одночасно закриває провадження. Водночас сама наявність спору свідчить про те, що не всі питання були з’ясовані належним чином. Через переважне письмове провадження у таких справах, а також тенденцію до неучасті сторін у засіданнях, коли представники влади подають повторно ті самі докази, які вже стали предметом спору, виникає ситуація, коли суд не має достатньої можливості для встановлення правомірності дій суб’єкта владних повноважень. Верховний Суд неодноразово наголошував, що тягар доведення правомірності рішень покладається на орган влади, а всі сумніви трактуються на користь позивача — приватної особи. Проте така оцінка не повинна суперечити принципам адміністративного судочинства, зокрема обов’язку повного і всебічного дослідження обставин справи</w:t>
      </w:r>
    </w:p>
    <w:p w14:paraId="465D85D0"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Аналізуючи особливості роботи адміністративних судів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щодо притягнення до адміністративної відповідальності, варто також погодитися з позицією А. В. Кишинського, який зазначає, що судова оцінка ґрунтується на різних критеріях: зокрема, у статті 17 КУпАП вказані обставини, які обов’язково має враховувати суб’єкт адміністративно-деліктної юрисдикції при ухваленні рішення; натомість у статті 285 ідеться про умови, за яких можливо винести правомірне рішення у справі. Таким чином, перші становлять форму інтелектуальної діяльності відповідного суб’єкта, а другі — визначають конкретні способи її реалізації [4, с. 114]. Водночас О. М. Пасенюк підкреслює, що адміністративні суди розглядають скарги осіб, які оскаржують порушення своїх прав внаслідок притягнення до адміністративної відповідальності, тоді як КУпАП регламентує правовідносини, що виникають через порушення адміністративних норм, та встановлює порядок і межі застосування адміністративних </w:t>
      </w:r>
      <w:proofErr w:type="gramStart"/>
      <w:r w:rsidRPr="00511005">
        <w:rPr>
          <w:rFonts w:ascii="Arial" w:eastAsia="Calibri" w:hAnsi="Arial" w:cs="Arial"/>
          <w:szCs w:val="28"/>
        </w:rPr>
        <w:t>стягнень.[</w:t>
      </w:r>
      <w:proofErr w:type="gramEnd"/>
      <w:r w:rsidRPr="00511005">
        <w:rPr>
          <w:rFonts w:ascii="Arial" w:eastAsia="Calibri" w:hAnsi="Arial" w:cs="Arial"/>
          <w:szCs w:val="28"/>
        </w:rPr>
        <w:t>5,</w:t>
      </w:r>
      <w:r w:rsidRPr="00511005">
        <w:rPr>
          <w:rFonts w:ascii="Arial" w:eastAsia="Calibri" w:hAnsi="Arial" w:cs="Arial"/>
          <w:szCs w:val="28"/>
          <w:lang w:val="en-US"/>
        </w:rPr>
        <w:t>c</w:t>
      </w:r>
      <w:r w:rsidRPr="00511005">
        <w:rPr>
          <w:rFonts w:ascii="Arial" w:eastAsia="Calibri" w:hAnsi="Arial" w:cs="Arial"/>
          <w:szCs w:val="28"/>
        </w:rPr>
        <w:t>.5]</w:t>
      </w:r>
    </w:p>
    <w:p w14:paraId="0CE35DF9"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Розгляд справ щодо оскарження рішень, дій або бездіяльності суб’єктів владних повноважень у контексті притягнення до адміністративної відповідальності є складним та багатоаспектним процесом, що потребує глибокого аналізу як положень КАС України, так і норм КУпАП. Адміністративні суди, хоча й діють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адміністративного судочинства, змушені враховувати специфіку адміністративно-деліктного провадження, оцінюючи як правомірність дій органів влади, так і законність прийнятих ними рішень. Судове провадження в таких справах повинне забезпечувати дотримання принципів правомірності, обґрунтованості та неупередженості, із чітким розмежуванням повноважень і обов’язків сторін. При цьому тягар доведення правомірності покладається на суб’єкта владних повноважень, а всі сумніви тлумачаться на користь приватної особи. Водночас адміністративні суди повинні забезпечувати повне та всебічне з’ясування обставин справи, не підмінюючи при цьому органи адміністративної </w:t>
      </w:r>
      <w:r w:rsidRPr="00511005">
        <w:rPr>
          <w:rFonts w:ascii="Arial" w:eastAsia="Calibri" w:hAnsi="Arial" w:cs="Arial"/>
          <w:szCs w:val="28"/>
        </w:rPr>
        <w:lastRenderedPageBreak/>
        <w:t>юрисдикції. Системне і збалансоване застосування КАС України і КУпАП дозволяє досягти справедливості в розгляді спорів, пов’язаних із притягненням до адміністративної відповідальності, та забезпечити ефективний захист прав і свобод громадян.</w:t>
      </w:r>
    </w:p>
    <w:p w14:paraId="0998D208" w14:textId="77777777" w:rsidR="00B67481" w:rsidRPr="00511005" w:rsidRDefault="00B67481" w:rsidP="003A292D">
      <w:pPr>
        <w:spacing w:line="264" w:lineRule="auto"/>
        <w:jc w:val="left"/>
        <w:rPr>
          <w:rFonts w:ascii="Arial" w:eastAsia="Calibri" w:hAnsi="Arial" w:cs="Arial"/>
          <w:szCs w:val="28"/>
        </w:rPr>
      </w:pPr>
    </w:p>
    <w:p w14:paraId="46BE35B4" w14:textId="4F47068A" w:rsidR="00B67481"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0A1F0818" w14:textId="77777777" w:rsidR="00B67481" w:rsidRPr="00511005" w:rsidRDefault="00B67481" w:rsidP="003F6A5D">
      <w:pPr>
        <w:numPr>
          <w:ilvl w:val="0"/>
          <w:numId w:val="27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Постанова Великої Палати Верховного Суду від 18.03.2020 року у справі №543/775/17.URL:</w:t>
      </w:r>
      <w:hyperlink r:id="rId1038" w:history="1">
        <w:r w:rsidRPr="00511005">
          <w:rPr>
            <w:rFonts w:ascii="Arial" w:eastAsia="Times New Roman" w:hAnsi="Arial" w:cs="Arial"/>
            <w:szCs w:val="28"/>
            <w:lang w:eastAsia="ru-RU"/>
          </w:rPr>
          <w:t>https://verdictum.ligazakon.net/document/88952415</w:t>
        </w:r>
      </w:hyperlink>
      <w:r w:rsidRPr="00511005">
        <w:rPr>
          <w:rFonts w:ascii="Arial" w:eastAsia="Times New Roman" w:hAnsi="Arial" w:cs="Arial"/>
          <w:szCs w:val="28"/>
          <w:lang w:eastAsia="ru-RU"/>
        </w:rPr>
        <w:t xml:space="preserve"> (дата звернення 09.04.2025)</w:t>
      </w:r>
    </w:p>
    <w:p w14:paraId="6386420E" w14:textId="77777777" w:rsidR="00B67481" w:rsidRPr="00511005" w:rsidRDefault="00B67481" w:rsidP="003F6A5D">
      <w:pPr>
        <w:numPr>
          <w:ilvl w:val="0"/>
          <w:numId w:val="27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Кодекс адміністративного судочинства: Закон України від 06.07.2005 р. URL: </w:t>
      </w:r>
      <w:hyperlink r:id="rId1039" w:anchor="Text" w:history="1">
        <w:r w:rsidRPr="00511005">
          <w:rPr>
            <w:rFonts w:ascii="Arial" w:eastAsia="Times New Roman" w:hAnsi="Arial" w:cs="Arial"/>
            <w:szCs w:val="28"/>
            <w:lang w:eastAsia="ru-RU"/>
          </w:rPr>
          <w:t>https://zakon.rada.gov.ua/laws/show/2747-15#Text</w:t>
        </w:r>
      </w:hyperlink>
      <w:r w:rsidRPr="00511005">
        <w:rPr>
          <w:rFonts w:ascii="Arial" w:eastAsia="Times New Roman" w:hAnsi="Arial" w:cs="Arial"/>
          <w:szCs w:val="28"/>
          <w:lang w:eastAsia="ru-RU"/>
        </w:rPr>
        <w:t xml:space="preserve"> (дата звернення 09.04.2025)</w:t>
      </w:r>
    </w:p>
    <w:p w14:paraId="30A0FBE9" w14:textId="77777777" w:rsidR="00B67481" w:rsidRPr="00511005" w:rsidRDefault="00B67481" w:rsidP="003F6A5D">
      <w:pPr>
        <w:numPr>
          <w:ilvl w:val="0"/>
          <w:numId w:val="27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Кодекс України про адміністративні правопорушення: Закон України від 07.12.1984 р. URL: </w:t>
      </w:r>
      <w:hyperlink r:id="rId1040" w:anchor="Text" w:history="1">
        <w:r w:rsidRPr="00511005">
          <w:rPr>
            <w:rFonts w:ascii="Arial" w:eastAsia="Times New Roman" w:hAnsi="Arial" w:cs="Arial"/>
            <w:szCs w:val="28"/>
            <w:lang w:eastAsia="ru-RU"/>
          </w:rPr>
          <w:t>https://zakon.rada.gov.ua/laws/show/80731-10#Text</w:t>
        </w:r>
      </w:hyperlink>
      <w:r w:rsidRPr="00511005">
        <w:rPr>
          <w:rFonts w:ascii="Arial" w:eastAsia="Times New Roman" w:hAnsi="Arial" w:cs="Arial"/>
          <w:szCs w:val="28"/>
          <w:lang w:eastAsia="ru-RU"/>
        </w:rPr>
        <w:t xml:space="preserve"> (дата звернення 09.04.2025)</w:t>
      </w:r>
    </w:p>
    <w:p w14:paraId="2AECF7E8" w14:textId="77777777" w:rsidR="00B67481" w:rsidRPr="00511005" w:rsidRDefault="00B67481" w:rsidP="003F6A5D">
      <w:pPr>
        <w:numPr>
          <w:ilvl w:val="0"/>
          <w:numId w:val="27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Кишинський А.В. Перегляд постанов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адміністративні правопорушення в адміністративному порядку: зміст та прогалини у правовому регулюванні. Часопис Київського університету права. 2011. № 1. С. 113-117.</w:t>
      </w:r>
    </w:p>
    <w:p w14:paraId="5FEF4616" w14:textId="77777777" w:rsidR="00B67481" w:rsidRPr="00511005" w:rsidRDefault="00B67481" w:rsidP="003F6A5D">
      <w:pPr>
        <w:numPr>
          <w:ilvl w:val="0"/>
          <w:numId w:val="278"/>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Пасенюк О. Адміністративна юстиція: перші результати впровадження. Юридичний вісник України. 2005. № 52. С. 5.</w:t>
      </w:r>
    </w:p>
    <w:p w14:paraId="7960ACC7" w14:textId="77777777" w:rsidR="00B67481" w:rsidRPr="00511005" w:rsidRDefault="00B67481" w:rsidP="003A292D">
      <w:pPr>
        <w:spacing w:line="264" w:lineRule="auto"/>
        <w:rPr>
          <w:rFonts w:ascii="Arial" w:eastAsia="Calibri" w:hAnsi="Arial" w:cs="Arial"/>
          <w:b/>
          <w:szCs w:val="28"/>
          <w:lang w:val="uk-UA"/>
        </w:rPr>
      </w:pPr>
    </w:p>
    <w:p w14:paraId="0CD158FD" w14:textId="1C4B5169" w:rsidR="00B67481" w:rsidRPr="00511005" w:rsidRDefault="007B2628" w:rsidP="003A292D">
      <w:pPr>
        <w:spacing w:line="264" w:lineRule="auto"/>
        <w:rPr>
          <w:rFonts w:ascii="Arial" w:eastAsia="Calibri" w:hAnsi="Arial" w:cs="Arial"/>
          <w:szCs w:val="28"/>
        </w:rPr>
      </w:pPr>
      <w:r w:rsidRPr="00511005">
        <w:rPr>
          <w:rFonts w:ascii="Arial" w:eastAsia="Calibri" w:hAnsi="Arial" w:cs="Arial"/>
          <w:b/>
          <w:i/>
          <w:szCs w:val="28"/>
        </w:rPr>
        <w:t xml:space="preserve">Ключові слова: </w:t>
      </w:r>
      <w:r w:rsidR="00B67481" w:rsidRPr="00511005">
        <w:rPr>
          <w:rFonts w:ascii="Arial" w:eastAsia="Calibri" w:hAnsi="Arial" w:cs="Arial"/>
          <w:szCs w:val="28"/>
        </w:rPr>
        <w:t>Адміністративний суд, суб’єкт владних повноважень, розгляд справи, суд, адміністративна відповідальність.</w:t>
      </w:r>
    </w:p>
    <w:p w14:paraId="564F9DC7" w14:textId="52F3D935" w:rsidR="00B67481" w:rsidRPr="00511005" w:rsidRDefault="007B2628" w:rsidP="003A292D">
      <w:pPr>
        <w:tabs>
          <w:tab w:val="left" w:pos="2880"/>
        </w:tabs>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B67481" w:rsidRPr="00511005">
        <w:rPr>
          <w:rFonts w:ascii="Arial" w:eastAsia="Calibri" w:hAnsi="Arial" w:cs="Arial"/>
          <w:szCs w:val="28"/>
          <w:lang w:val="en-US"/>
        </w:rPr>
        <w:t>Administrative court, subject of authority, consideration of the case, court, administrative responsibility.</w:t>
      </w:r>
    </w:p>
    <w:p w14:paraId="4764BA27" w14:textId="3C6D20BA" w:rsidR="00B67481" w:rsidRPr="00511005" w:rsidRDefault="007B2628" w:rsidP="003A292D">
      <w:pPr>
        <w:tabs>
          <w:tab w:val="left" w:pos="2880"/>
        </w:tabs>
        <w:spacing w:line="264" w:lineRule="auto"/>
        <w:rPr>
          <w:rFonts w:ascii="Arial" w:eastAsia="Calibri" w:hAnsi="Arial" w:cs="Arial"/>
          <w:i/>
          <w:szCs w:val="28"/>
          <w:lang w:val="uk-UA"/>
        </w:rPr>
      </w:pPr>
      <w:r w:rsidRPr="00511005">
        <w:rPr>
          <w:rFonts w:ascii="Arial" w:eastAsia="Calibri" w:hAnsi="Arial" w:cs="Arial"/>
          <w:b/>
          <w:i/>
          <w:szCs w:val="28"/>
        </w:rPr>
        <w:t xml:space="preserve">Науковий керівник: </w:t>
      </w:r>
      <w:r w:rsidR="00B67481" w:rsidRPr="00511005">
        <w:rPr>
          <w:rFonts w:ascii="Arial" w:eastAsia="Calibri" w:hAnsi="Arial" w:cs="Arial"/>
          <w:i/>
          <w:szCs w:val="28"/>
          <w:lang w:val="uk-UA"/>
        </w:rPr>
        <w:t>к.ю.н., доцент</w:t>
      </w:r>
      <w:r w:rsidR="00B67481" w:rsidRPr="00511005">
        <w:rPr>
          <w:rFonts w:ascii="Arial" w:eastAsia="Calibri" w:hAnsi="Arial" w:cs="Arial"/>
          <w:i/>
          <w:szCs w:val="28"/>
        </w:rPr>
        <w:t xml:space="preserve"> Козачук </w:t>
      </w:r>
      <w:r w:rsidR="00B67481" w:rsidRPr="00511005">
        <w:rPr>
          <w:rFonts w:ascii="Arial" w:eastAsia="Calibri" w:hAnsi="Arial" w:cs="Arial"/>
          <w:i/>
          <w:szCs w:val="28"/>
          <w:lang w:val="uk-UA"/>
        </w:rPr>
        <w:t>Д.А.</w:t>
      </w:r>
    </w:p>
    <w:p w14:paraId="643F172B" w14:textId="77777777" w:rsidR="001D1A08" w:rsidRPr="00511005" w:rsidRDefault="001D1A08" w:rsidP="003A292D">
      <w:pPr>
        <w:spacing w:line="264" w:lineRule="auto"/>
        <w:ind w:firstLine="0"/>
        <w:jc w:val="left"/>
        <w:rPr>
          <w:rFonts w:ascii="Arial" w:eastAsia="Calibri" w:hAnsi="Arial" w:cs="Arial"/>
          <w:i/>
          <w:szCs w:val="28"/>
          <w:lang w:val="uk-UA"/>
        </w:rPr>
      </w:pPr>
    </w:p>
    <w:p w14:paraId="40C9AE69" w14:textId="77777777" w:rsidR="001D1A08" w:rsidRPr="00511005" w:rsidRDefault="001D1A08" w:rsidP="003A292D">
      <w:pPr>
        <w:spacing w:line="264" w:lineRule="auto"/>
        <w:ind w:firstLine="0"/>
        <w:jc w:val="left"/>
        <w:rPr>
          <w:rFonts w:ascii="Arial" w:eastAsia="Calibri" w:hAnsi="Arial" w:cs="Arial"/>
          <w:i/>
          <w:szCs w:val="28"/>
          <w:lang w:val="uk-UA"/>
        </w:rPr>
      </w:pPr>
    </w:p>
    <w:p w14:paraId="686C953E" w14:textId="77777777" w:rsidR="00B67481" w:rsidRPr="00511005" w:rsidRDefault="00B67481" w:rsidP="003A292D">
      <w:pPr>
        <w:keepNext/>
        <w:spacing w:line="264" w:lineRule="auto"/>
        <w:ind w:firstLine="0"/>
        <w:jc w:val="center"/>
        <w:rPr>
          <w:rFonts w:ascii="Arial" w:eastAsia="Times New Roman" w:hAnsi="Arial" w:cs="Arial"/>
          <w:b/>
          <w:i/>
          <w:szCs w:val="28"/>
          <w:lang w:eastAsia="ru-RU"/>
        </w:rPr>
      </w:pPr>
      <w:r w:rsidRPr="00511005">
        <w:rPr>
          <w:rFonts w:ascii="Arial" w:eastAsia="Times New Roman" w:hAnsi="Arial" w:cs="Arial"/>
          <w:b/>
          <w:i/>
          <w:szCs w:val="28"/>
          <w:lang w:val="uk-UA" w:eastAsia="ru-RU"/>
        </w:rPr>
        <w:t>Моніч Наталія Русланівна</w:t>
      </w:r>
    </w:p>
    <w:p w14:paraId="370D99A9" w14:textId="6B9BB4AC"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1FCCA6AA"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9227910"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FC53B2E" w14:textId="77777777" w:rsidR="00B67481" w:rsidRPr="00511005" w:rsidRDefault="00B67481" w:rsidP="003A292D">
      <w:pPr>
        <w:spacing w:line="264" w:lineRule="auto"/>
        <w:ind w:firstLine="0"/>
        <w:jc w:val="center"/>
        <w:rPr>
          <w:rFonts w:ascii="Arial" w:eastAsia="Times New Roman" w:hAnsi="Arial" w:cs="Arial"/>
          <w:szCs w:val="28"/>
          <w:lang w:eastAsia="ru-RU"/>
        </w:rPr>
      </w:pPr>
    </w:p>
    <w:p w14:paraId="1C7C2037" w14:textId="77777777" w:rsidR="00B67481" w:rsidRPr="00511005" w:rsidRDefault="00B67481"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ПРОБЛЕМИ РЕАЛІЗАЦІЇ ПРИНЦИПУ ЗМАГАЛЬНОСТІ В АДМІНІСТРАТИВНОМУ ПРОЦЕСІ</w:t>
      </w:r>
    </w:p>
    <w:p w14:paraId="22FFB203" w14:textId="77777777" w:rsidR="007B2628"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Принцип змагальності є одним із ключових засад судочинства в демократичній державі. Він гарантує кожній стороні у спорі рівні можливості щодо захисту своїх прав та інтересів, а також участі у доведенні обставин справи. Однак на практиці реалізація цього принципу в адміністративному </w:t>
      </w:r>
      <w:r w:rsidRPr="00511005">
        <w:rPr>
          <w:rFonts w:ascii="Arial" w:eastAsia="Times New Roman" w:hAnsi="Arial" w:cs="Arial"/>
          <w:szCs w:val="28"/>
          <w:lang w:eastAsia="ru-RU"/>
        </w:rPr>
        <w:lastRenderedPageBreak/>
        <w:t>процесі в Україні стикається з низкою серйозних проблем, які потребують аналізу й подальшого вирішення.</w:t>
      </w:r>
    </w:p>
    <w:p w14:paraId="7132C90A" w14:textId="274F29B4" w:rsidR="00B67481" w:rsidRPr="00511005" w:rsidRDefault="00B67481" w:rsidP="003A292D">
      <w:pPr>
        <w:spacing w:line="264" w:lineRule="auto"/>
        <w:rPr>
          <w:rFonts w:ascii="Arial" w:eastAsia="Calibri" w:hAnsi="Arial" w:cs="Arial"/>
          <w:szCs w:val="28"/>
          <w:shd w:val="clear" w:color="auto" w:fill="FFFFFF"/>
          <w:lang w:val="uk-UA"/>
        </w:rPr>
      </w:pPr>
      <w:r w:rsidRPr="00511005">
        <w:rPr>
          <w:rFonts w:ascii="Arial" w:eastAsia="Calibri" w:hAnsi="Arial" w:cs="Arial"/>
          <w:szCs w:val="28"/>
          <w:shd w:val="clear" w:color="auto" w:fill="FFFFFF"/>
        </w:rPr>
        <w:tab/>
      </w:r>
      <w:r w:rsidRPr="00511005">
        <w:rPr>
          <w:rFonts w:ascii="Arial" w:eastAsia="Calibri" w:hAnsi="Arial" w:cs="Arial"/>
          <w:szCs w:val="28"/>
          <w:shd w:val="clear" w:color="auto" w:fill="FFFFFF"/>
          <w:lang w:val="uk-UA"/>
        </w:rPr>
        <w:t>У ч.1 ст. 9 КАСУ вказано, що р</w:t>
      </w:r>
      <w:r w:rsidRPr="00511005">
        <w:rPr>
          <w:rFonts w:ascii="Arial" w:eastAsia="Calibri" w:hAnsi="Arial" w:cs="Arial"/>
          <w:szCs w:val="28"/>
          <w:shd w:val="clear" w:color="auto" w:fill="FFFFFF"/>
        </w:rPr>
        <w:t>озгляд і вирішення справ в адміністративних судах здійснюються на засадах змагальності сторін та свободи в наданні ними суду своїх доказів і у доведенні перед судом їх переконливості [1].</w:t>
      </w:r>
    </w:p>
    <w:p w14:paraId="44578343" w14:textId="603FBCEB"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у ст. 129 Конституції України зазначається, що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однією з основних засад судочинства є змагальність сторін та свобода надання сторонами своїх доказів суду</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6C537A47"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Принцип змагальності сторін </w:t>
      </w:r>
      <w:r w:rsidRPr="00511005">
        <w:rPr>
          <w:rFonts w:ascii="Arial" w:eastAsia="Times New Roman" w:hAnsi="Arial" w:cs="Arial"/>
          <w:szCs w:val="28"/>
          <w:lang w:val="uk-UA" w:eastAsia="ru-RU"/>
        </w:rPr>
        <w:t>- це</w:t>
      </w:r>
      <w:r w:rsidRPr="00511005">
        <w:rPr>
          <w:rFonts w:ascii="Arial" w:eastAsia="Times New Roman" w:hAnsi="Arial" w:cs="Arial"/>
          <w:szCs w:val="28"/>
          <w:lang w:eastAsia="ru-RU"/>
        </w:rPr>
        <w:t xml:space="preserve"> фундаментальн</w:t>
      </w:r>
      <w:r w:rsidRPr="00511005">
        <w:rPr>
          <w:rFonts w:ascii="Arial" w:eastAsia="Times New Roman" w:hAnsi="Arial" w:cs="Arial"/>
          <w:szCs w:val="28"/>
          <w:lang w:val="uk-UA" w:eastAsia="ru-RU"/>
        </w:rPr>
        <w:t>а</w:t>
      </w:r>
      <w:r w:rsidRPr="00511005">
        <w:rPr>
          <w:rFonts w:ascii="Arial" w:eastAsia="Times New Roman" w:hAnsi="Arial" w:cs="Arial"/>
          <w:szCs w:val="28"/>
          <w:lang w:eastAsia="ru-RU"/>
        </w:rPr>
        <w:t xml:space="preserve"> засад</w:t>
      </w:r>
      <w:r w:rsidRPr="00511005">
        <w:rPr>
          <w:rFonts w:ascii="Arial" w:eastAsia="Times New Roman" w:hAnsi="Arial" w:cs="Arial"/>
          <w:szCs w:val="28"/>
          <w:lang w:val="uk-UA" w:eastAsia="ru-RU"/>
        </w:rPr>
        <w:t>а</w:t>
      </w:r>
      <w:r w:rsidRPr="00511005">
        <w:rPr>
          <w:rFonts w:ascii="Arial" w:eastAsia="Times New Roman" w:hAnsi="Arial" w:cs="Arial"/>
          <w:szCs w:val="28"/>
          <w:lang w:eastAsia="ru-RU"/>
        </w:rPr>
        <w:t xml:space="preserve"> судочинства в Україні, </w:t>
      </w:r>
      <w:r w:rsidRPr="00511005">
        <w:rPr>
          <w:rFonts w:ascii="Arial" w:eastAsia="Times New Roman" w:hAnsi="Arial" w:cs="Arial"/>
          <w:szCs w:val="28"/>
          <w:lang w:val="uk-UA" w:eastAsia="ru-RU"/>
        </w:rPr>
        <w:t>яка закріплена</w:t>
      </w:r>
      <w:r w:rsidRPr="00511005">
        <w:rPr>
          <w:rFonts w:ascii="Arial" w:eastAsia="Times New Roman" w:hAnsi="Arial" w:cs="Arial"/>
          <w:szCs w:val="28"/>
          <w:lang w:eastAsia="ru-RU"/>
        </w:rPr>
        <w:t xml:space="preserve"> в Конституції та процесуальних кодексах. Він гарантує рівність сторін у судовому процесі, забезпечуючи їм можливість самостійно </w:t>
      </w:r>
      <w:r w:rsidRPr="00511005">
        <w:rPr>
          <w:rFonts w:ascii="Arial" w:eastAsia="Times New Roman" w:hAnsi="Arial" w:cs="Arial"/>
          <w:szCs w:val="28"/>
          <w:lang w:val="uk-UA" w:eastAsia="ru-RU"/>
        </w:rPr>
        <w:t>відстоювати та аргументувати</w:t>
      </w:r>
      <w:r w:rsidRPr="00511005">
        <w:rPr>
          <w:rFonts w:ascii="Arial" w:eastAsia="Times New Roman" w:hAnsi="Arial" w:cs="Arial"/>
          <w:szCs w:val="28"/>
          <w:lang w:eastAsia="ru-RU"/>
        </w:rPr>
        <w:t xml:space="preserve"> свої правові позиції, подавати докази.</w:t>
      </w:r>
    </w:p>
    <w:p w14:paraId="5986E6EF" w14:textId="0282EB4F"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Існує певна проблематика реалізації даного принципу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 адміністративному судочинстві:</w:t>
      </w:r>
    </w:p>
    <w:p w14:paraId="27564374"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 xml:space="preserve">. Суд бере активну роль у зборі доказів, чим частково зменшує активність сторін у цьому процесі та впливає на баланс змагальності, </w:t>
      </w:r>
      <w:r w:rsidRPr="00511005">
        <w:rPr>
          <w:rFonts w:ascii="Arial" w:eastAsia="Times New Roman" w:hAnsi="Arial" w:cs="Arial"/>
          <w:szCs w:val="28"/>
          <w:lang w:eastAsia="ru-RU"/>
        </w:rPr>
        <w:t>обмежуючись пасивною позицією арбітра</w:t>
      </w:r>
      <w:r w:rsidRPr="00511005">
        <w:rPr>
          <w:rFonts w:ascii="Arial" w:eastAsia="Times New Roman" w:hAnsi="Arial" w:cs="Arial"/>
          <w:szCs w:val="28"/>
          <w:lang w:val="uk-UA" w:eastAsia="ru-RU"/>
        </w:rPr>
        <w:t>; Тому Суд, згідно з ч.5 ст. 11 КАСУ</w:t>
      </w:r>
      <w:r w:rsidRPr="00511005">
        <w:rPr>
          <w:rFonts w:ascii="Arial" w:eastAsia="Calibri" w:hAnsi="Arial" w:cs="Arial"/>
          <w:szCs w:val="28"/>
        </w:rPr>
        <w:t xml:space="preserve"> у разі недостатності доказів для встановлення обставин справи, зобов’язаний запропонувати учасникам подати додаткові докази</w:t>
      </w:r>
      <w:r w:rsidRPr="00511005">
        <w:rPr>
          <w:rFonts w:ascii="Arial" w:eastAsia="Calibri" w:hAnsi="Arial" w:cs="Arial"/>
          <w:szCs w:val="28"/>
          <w:lang w:val="uk-UA"/>
        </w:rPr>
        <w:t xml:space="preserve">. Якщо, на приклад, докази наявні у сторін, то суд звертається до них з пропозицією надати їх, а якщо такі докази перебувають у володінні інших осіб, то витребує їх самостійно. </w:t>
      </w:r>
      <w:r w:rsidRPr="00511005">
        <w:rPr>
          <w:rFonts w:ascii="Arial" w:eastAsia="Calibri" w:hAnsi="Arial" w:cs="Arial"/>
          <w:szCs w:val="28"/>
        </w:rPr>
        <w:t>Якщо учасник справи без поважних причин не виконає пропозицію суду, справа вирішується на підставі наявних доказів — але лише стосовно обставин, на які посилається ця особа (ч. 6 ст. 71 КАСУ). Усі ці приписи спрямовані на забезпечення добросовісного ведення справи. Якщо ж інші учасники справи ігнорують пропозицію суду, останній зобов’язаний витребувати необхідні докази (ч. 4 ст. 71 КАСУ).</w:t>
      </w:r>
    </w:p>
    <w:p w14:paraId="336690CF"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2. Нерівність сторін у доступі до інформації, наприклад часто суб’єкти владних повноважень мають більше можливостей у доступі до інформації та доказів і це ставить іншу сторону в менш вигідне становище і з цієї проблеми випливає інша проблема, щодо недостатнього врегулювання механізмів, які б гарантували рівність</w:t>
      </w:r>
      <w:r w:rsidRPr="00511005">
        <w:rPr>
          <w:rFonts w:ascii="Arial" w:eastAsia="Times New Roman" w:hAnsi="Arial" w:cs="Arial"/>
          <w:szCs w:val="28"/>
          <w:lang w:eastAsia="ru-RU"/>
        </w:rPr>
        <w:t>[3]</w:t>
      </w:r>
      <w:r w:rsidRPr="00511005">
        <w:rPr>
          <w:rFonts w:ascii="Arial" w:eastAsia="Times New Roman" w:hAnsi="Arial" w:cs="Arial"/>
          <w:szCs w:val="28"/>
          <w:lang w:val="uk-UA" w:eastAsia="ru-RU"/>
        </w:rPr>
        <w:t>;</w:t>
      </w:r>
    </w:p>
    <w:p w14:paraId="00CE1C9C"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Times New Roman" w:hAnsi="Arial" w:cs="Arial"/>
          <w:szCs w:val="28"/>
          <w:lang w:val="uk-UA" w:eastAsia="ru-RU"/>
        </w:rPr>
        <w:t xml:space="preserve">3. Також часто суд не роз’яснює сторонами їх права та обов’язки, і як наслідок порушується принцип змагальності. </w:t>
      </w:r>
      <w:r w:rsidRPr="00511005">
        <w:rPr>
          <w:rFonts w:ascii="Arial" w:eastAsia="Calibri" w:hAnsi="Arial" w:cs="Arial"/>
          <w:szCs w:val="28"/>
          <w:lang w:val="uk-UA"/>
        </w:rPr>
        <w:t>Враховуючи, що учасниками адміністративного судочинства, зокрема позивачами, часто є особи без юридичної освіти, на суд покладається обов’язок роз’яснити їм процесуальні права та обов’язки, а також попередити про можливі наслідки вчинення або невчинення процесуальних дій. Додатковою гарантією реалізації цього права є вимога надсилання разом із копією ухвали про відкриття провадження в справі інформації про відповідні права та обов’язки[4].</w:t>
      </w:r>
    </w:p>
    <w:p w14:paraId="7E2C441E"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 xml:space="preserve">Щодо </w:t>
      </w:r>
      <w:r w:rsidRPr="00511005">
        <w:rPr>
          <w:rFonts w:ascii="Arial" w:eastAsia="Times New Roman" w:hAnsi="Arial" w:cs="Arial"/>
          <w:szCs w:val="28"/>
          <w:lang w:val="uk-UA" w:eastAsia="ru-RU"/>
        </w:rPr>
        <w:t>н</w:t>
      </w:r>
      <w:r w:rsidRPr="00511005">
        <w:rPr>
          <w:rFonts w:ascii="Arial" w:eastAsia="Times New Roman" w:hAnsi="Arial" w:cs="Arial"/>
          <w:szCs w:val="28"/>
          <w:lang w:eastAsia="ru-RU"/>
        </w:rPr>
        <w:t>апрям</w:t>
      </w:r>
      <w:r w:rsidRPr="00511005">
        <w:rPr>
          <w:rFonts w:ascii="Arial" w:eastAsia="Times New Roman" w:hAnsi="Arial" w:cs="Arial"/>
          <w:szCs w:val="28"/>
          <w:lang w:val="uk-UA" w:eastAsia="ru-RU"/>
        </w:rPr>
        <w:t>ів</w:t>
      </w:r>
      <w:r w:rsidRPr="00511005">
        <w:rPr>
          <w:rFonts w:ascii="Arial" w:eastAsia="Times New Roman" w:hAnsi="Arial" w:cs="Arial"/>
          <w:szCs w:val="28"/>
          <w:lang w:eastAsia="ru-RU"/>
        </w:rPr>
        <w:t xml:space="preserve"> вдосконалення реалізації принципу змагальності</w:t>
      </w:r>
      <w:r w:rsidRPr="00511005">
        <w:rPr>
          <w:rFonts w:ascii="Arial" w:eastAsia="Calibri" w:hAnsi="Arial" w:cs="Arial"/>
          <w:szCs w:val="28"/>
          <w:lang w:val="uk-UA"/>
        </w:rPr>
        <w:t>, то д</w:t>
      </w:r>
      <w:r w:rsidRPr="00511005">
        <w:rPr>
          <w:rFonts w:ascii="Arial" w:eastAsia="Times New Roman" w:hAnsi="Arial" w:cs="Arial"/>
          <w:szCs w:val="28"/>
          <w:lang w:eastAsia="ru-RU"/>
        </w:rPr>
        <w:t>ля усунення зазначених проблем слід:</w:t>
      </w:r>
    </w:p>
    <w:p w14:paraId="033E1CA1" w14:textId="77777777" w:rsidR="00B67481" w:rsidRPr="00511005" w:rsidRDefault="00B67481" w:rsidP="003F6A5D">
      <w:pPr>
        <w:numPr>
          <w:ilvl w:val="0"/>
          <w:numId w:val="279"/>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Визначити диференційований підхід до розподілу доказового обов’язку, особливо на користь фізичних осіб у спорах з </w:t>
      </w:r>
      <w:proofErr w:type="gramStart"/>
      <w:r w:rsidRPr="00511005">
        <w:rPr>
          <w:rFonts w:ascii="Arial" w:eastAsia="Times New Roman" w:hAnsi="Arial" w:cs="Arial"/>
          <w:szCs w:val="28"/>
          <w:lang w:eastAsia="ru-RU"/>
        </w:rPr>
        <w:t>державою[</w:t>
      </w:r>
      <w:proofErr w:type="gramEnd"/>
      <w:r w:rsidRPr="00511005">
        <w:rPr>
          <w:rFonts w:ascii="Arial" w:eastAsia="Times New Roman" w:hAnsi="Arial" w:cs="Arial"/>
          <w:szCs w:val="28"/>
          <w:lang w:eastAsia="ru-RU"/>
        </w:rPr>
        <w:t>3]</w:t>
      </w:r>
      <w:r w:rsidRPr="00511005">
        <w:rPr>
          <w:rFonts w:ascii="Arial" w:eastAsia="Times New Roman" w:hAnsi="Arial" w:cs="Arial"/>
          <w:szCs w:val="28"/>
          <w:lang w:val="uk-UA" w:eastAsia="ru-RU"/>
        </w:rPr>
        <w:t>;</w:t>
      </w:r>
    </w:p>
    <w:p w14:paraId="00DCF088" w14:textId="77777777" w:rsidR="00B67481" w:rsidRPr="00511005" w:rsidRDefault="00B67481" w:rsidP="003F6A5D">
      <w:pPr>
        <w:numPr>
          <w:ilvl w:val="0"/>
          <w:numId w:val="279"/>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Вдосконалити механізми витребування доказів та забезпечити їх обов’язкове </w:t>
      </w:r>
      <w:proofErr w:type="gramStart"/>
      <w:r w:rsidRPr="00511005">
        <w:rPr>
          <w:rFonts w:ascii="Arial" w:eastAsia="Times New Roman" w:hAnsi="Arial" w:cs="Arial"/>
          <w:szCs w:val="28"/>
          <w:lang w:eastAsia="ru-RU"/>
        </w:rPr>
        <w:t>виконання[</w:t>
      </w:r>
      <w:proofErr w:type="gramEnd"/>
      <w:r w:rsidRPr="00511005">
        <w:rPr>
          <w:rFonts w:ascii="Arial" w:eastAsia="Times New Roman" w:hAnsi="Arial" w:cs="Arial"/>
          <w:szCs w:val="28"/>
          <w:lang w:eastAsia="ru-RU"/>
        </w:rPr>
        <w:t>1].</w:t>
      </w:r>
    </w:p>
    <w:p w14:paraId="3704530C" w14:textId="3ACDEB07" w:rsidR="00B67481" w:rsidRPr="00511005" w:rsidRDefault="00B67481" w:rsidP="003F6A5D">
      <w:pPr>
        <w:numPr>
          <w:ilvl w:val="0"/>
          <w:numId w:val="279"/>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Розширити доступ до безоплатної правової допомоги у справах адміністративної юрисдикції (Конвенція про захист прав </w:t>
      </w:r>
      <w:proofErr w:type="gramStart"/>
      <w:r w:rsidRPr="00511005">
        <w:rPr>
          <w:rFonts w:ascii="Arial" w:eastAsia="Times New Roman" w:hAnsi="Arial" w:cs="Arial"/>
          <w:szCs w:val="28"/>
          <w:lang w:eastAsia="ru-RU"/>
        </w:rPr>
        <w:t>людини[</w:t>
      </w:r>
      <w:proofErr w:type="gramEnd"/>
      <w:r w:rsidRPr="00511005">
        <w:rPr>
          <w:rFonts w:ascii="Arial" w:eastAsia="Times New Roman" w:hAnsi="Arial" w:cs="Arial"/>
          <w:szCs w:val="28"/>
          <w:lang w:val="uk-UA" w:eastAsia="ru-RU"/>
        </w:rPr>
        <w:t>5</w:t>
      </w:r>
      <w:r w:rsidRPr="00511005">
        <w:rPr>
          <w:rFonts w:ascii="Arial" w:eastAsia="Times New Roman" w:hAnsi="Arial" w:cs="Arial"/>
          <w:szCs w:val="28"/>
          <w:lang w:eastAsia="ru-RU"/>
        </w:rPr>
        <w:t>]</w:t>
      </w:r>
      <w:r w:rsidR="00146592" w:rsidRPr="00511005">
        <w:rPr>
          <w:rFonts w:ascii="Arial" w:eastAsia="Times New Roman" w:hAnsi="Arial" w:cs="Arial"/>
          <w:szCs w:val="28"/>
          <w:lang w:val="uk-UA" w:eastAsia="ru-RU"/>
        </w:rPr>
        <w:t>.</w:t>
      </w:r>
    </w:p>
    <w:p w14:paraId="3BF2C254" w14:textId="77777777" w:rsidR="00B67481" w:rsidRPr="00511005" w:rsidRDefault="00B67481" w:rsidP="003A292D">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Реалізація принципу змагальності — це не формальність, а умова справедливого судочинства. В адміністративному процесі, де сторони нерівні за природою, змагальність повинна бути не лише рівністю можливостей на папері, а й фактичним інструментом для досягнення істини.</w:t>
      </w:r>
      <w:r w:rsidRPr="00511005">
        <w:rPr>
          <w:rFonts w:ascii="Arial" w:eastAsia="Times New Roman" w:hAnsi="Arial" w:cs="Arial"/>
          <w:szCs w:val="28"/>
          <w:lang w:eastAsia="ru-RU"/>
        </w:rPr>
        <w:br/>
        <w:t>Від ефективного впровадження цього принципу залежить довіра громадян до правосуддя та спроможність суду захищати права людини у відносинах з державою.</w:t>
      </w:r>
    </w:p>
    <w:p w14:paraId="6B15E87B" w14:textId="1873A4F1" w:rsidR="00B67481" w:rsidRPr="00511005" w:rsidRDefault="007B2628" w:rsidP="007B2628">
      <w:pPr>
        <w:spacing w:line="264" w:lineRule="auto"/>
        <w:ind w:firstLine="0"/>
        <w:jc w:val="center"/>
        <w:rPr>
          <w:rFonts w:ascii="Arial" w:eastAsia="Times New Roman" w:hAnsi="Arial" w:cs="Arial"/>
          <w:iCs/>
          <w:szCs w:val="28"/>
          <w:lang w:eastAsia="ru-RU"/>
        </w:rPr>
      </w:pPr>
      <w:r w:rsidRPr="00511005">
        <w:rPr>
          <w:rFonts w:ascii="Arial" w:eastAsia="Times New Roman" w:hAnsi="Arial" w:cs="Arial"/>
          <w:b/>
          <w:bCs/>
          <w:iCs/>
          <w:szCs w:val="28"/>
          <w:lang w:val="uk-UA" w:eastAsia="ru-RU"/>
        </w:rPr>
        <w:t>Список використаних джерел</w:t>
      </w:r>
    </w:p>
    <w:p w14:paraId="428499F7" w14:textId="77777777" w:rsidR="00B67481" w:rsidRPr="00511005" w:rsidRDefault="00B67481" w:rsidP="003A292D">
      <w:pPr>
        <w:spacing w:line="264" w:lineRule="auto"/>
        <w:rPr>
          <w:rFonts w:ascii="Arial" w:eastAsia="Calibri" w:hAnsi="Arial" w:cs="Arial"/>
          <w:szCs w:val="28"/>
        </w:rPr>
      </w:pPr>
      <w:r w:rsidRPr="00511005">
        <w:rPr>
          <w:rFonts w:ascii="Arial" w:eastAsia="Times New Roman" w:hAnsi="Arial" w:cs="Arial"/>
          <w:szCs w:val="28"/>
          <w:lang w:val="uk-UA" w:eastAsia="ru-RU"/>
        </w:rPr>
        <w:t xml:space="preserve">1. Кодекс адміністративного судочинства України. </w:t>
      </w:r>
      <w:r w:rsidRPr="00511005">
        <w:rPr>
          <w:rFonts w:ascii="Arial" w:eastAsia="Calibri" w:hAnsi="Arial" w:cs="Arial"/>
          <w:szCs w:val="28"/>
        </w:rPr>
        <w:t>Документ 2747-IV, чинний,</w:t>
      </w:r>
      <w:r w:rsidRPr="00511005">
        <w:rPr>
          <w:rFonts w:ascii="Arial" w:eastAsia="Calibri" w:hAnsi="Arial" w:cs="Arial"/>
          <w:szCs w:val="28"/>
          <w:lang w:val="uk-UA"/>
        </w:rPr>
        <w:t xml:space="preserve"> </w:t>
      </w:r>
      <w:r w:rsidRPr="00511005">
        <w:rPr>
          <w:rFonts w:ascii="Arial" w:eastAsia="Calibri" w:hAnsi="Arial" w:cs="Arial"/>
          <w:szCs w:val="28"/>
        </w:rPr>
        <w:t>поточна редакція — Редакція від 09.04.2025, підстава - </w:t>
      </w:r>
      <w:hyperlink r:id="rId1041" w:tgtFrame="_blank" w:history="1">
        <w:r w:rsidRPr="00511005">
          <w:rPr>
            <w:rFonts w:ascii="Arial" w:eastAsia="Calibri" w:hAnsi="Arial" w:cs="Arial"/>
            <w:szCs w:val="28"/>
          </w:rPr>
          <w:t>4283-IX</w:t>
        </w:r>
      </w:hyperlink>
      <w:r w:rsidRPr="00511005">
        <w:rPr>
          <w:rFonts w:ascii="Arial" w:eastAsia="Calibri" w:hAnsi="Arial" w:cs="Arial"/>
          <w:szCs w:val="28"/>
          <w:lang w:val="uk-UA"/>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042" w:anchor="n9590" w:history="1">
        <w:r w:rsidRPr="00511005">
          <w:rPr>
            <w:rFonts w:ascii="Arial" w:eastAsia="Times New Roman" w:hAnsi="Arial" w:cs="Arial"/>
            <w:szCs w:val="28"/>
            <w:lang w:val="uk-UA" w:eastAsia="ru-RU"/>
          </w:rPr>
          <w:t>https://zakon.rada.gov.ua/laws/show/2747-15#n9590</w:t>
        </w:r>
      </w:hyperlink>
    </w:p>
    <w:p w14:paraId="74136621"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Times New Roman" w:hAnsi="Arial" w:cs="Arial"/>
          <w:szCs w:val="28"/>
          <w:lang w:val="uk-UA" w:eastAsia="ru-RU"/>
        </w:rPr>
        <w:t xml:space="preserve">2. Конституція України. Документ </w:t>
      </w:r>
      <w:r w:rsidRPr="00511005">
        <w:rPr>
          <w:rFonts w:ascii="Arial" w:eastAsia="Calibri" w:hAnsi="Arial" w:cs="Arial"/>
          <w:szCs w:val="28"/>
        </w:rPr>
        <w:t>254к/96-ВР, чинний, поточна редакція — Редакція від 01.01.2020, підстава - </w:t>
      </w:r>
      <w:hyperlink r:id="rId1043" w:tgtFrame="_blank" w:history="1">
        <w:r w:rsidRPr="00511005">
          <w:rPr>
            <w:rFonts w:ascii="Arial" w:eastAsia="Calibri" w:hAnsi="Arial" w:cs="Arial"/>
            <w:szCs w:val="28"/>
          </w:rPr>
          <w:t>27-IX</w:t>
        </w:r>
      </w:hyperlink>
      <w:r w:rsidRPr="00511005">
        <w:rPr>
          <w:rFonts w:ascii="Arial" w:eastAsia="Calibri" w:hAnsi="Arial" w:cs="Arial"/>
          <w:szCs w:val="28"/>
          <w:lang w:val="uk-UA"/>
        </w:rPr>
        <w:t xml:space="preserve">. </w:t>
      </w:r>
      <w:r w:rsidRPr="00511005">
        <w:rPr>
          <w:rFonts w:ascii="Arial" w:eastAsia="Calibri" w:hAnsi="Arial" w:cs="Arial"/>
          <w:szCs w:val="28"/>
          <w:lang w:val="en-US"/>
        </w:rPr>
        <w:t>URL</w:t>
      </w:r>
      <w:r w:rsidRPr="00511005">
        <w:rPr>
          <w:rFonts w:ascii="Arial" w:eastAsia="Calibri" w:hAnsi="Arial" w:cs="Arial"/>
          <w:szCs w:val="28"/>
          <w:lang w:val="uk-UA"/>
        </w:rPr>
        <w:t>:</w:t>
      </w:r>
      <w:hyperlink r:id="rId1044" w:anchor="Text" w:history="1">
        <w:r w:rsidRPr="00511005">
          <w:rPr>
            <w:rFonts w:ascii="Arial" w:eastAsia="Calibri" w:hAnsi="Arial" w:cs="Arial"/>
            <w:szCs w:val="28"/>
            <w:lang w:val="uk-UA"/>
          </w:rPr>
          <w:t>https://zakon.rada.gov.ua/laws/show/254%D0%BA/96-%D0%B2%D1%80#Text</w:t>
        </w:r>
      </w:hyperlink>
    </w:p>
    <w:p w14:paraId="2741F22E"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Calibri" w:hAnsi="Arial" w:cs="Arial"/>
          <w:szCs w:val="28"/>
        </w:rPr>
        <w:t>3</w:t>
      </w:r>
      <w:r w:rsidRPr="00511005">
        <w:rPr>
          <w:rFonts w:ascii="Arial" w:eastAsia="Calibri" w:hAnsi="Arial" w:cs="Arial"/>
          <w:szCs w:val="28"/>
          <w:lang w:val="uk-UA"/>
        </w:rPr>
        <w:t xml:space="preserve">. </w:t>
      </w:r>
      <w:r w:rsidRPr="00511005">
        <w:rPr>
          <w:rFonts w:ascii="Arial" w:eastAsia="Calibri" w:hAnsi="Arial" w:cs="Arial"/>
          <w:szCs w:val="28"/>
        </w:rPr>
        <w:t xml:space="preserve">Буроменський М. В., Стахівський С. В. </w:t>
      </w:r>
      <w:r w:rsidRPr="00511005">
        <w:rPr>
          <w:rFonts w:ascii="Arial" w:eastAsia="Calibri" w:hAnsi="Arial" w:cs="Arial"/>
          <w:i/>
          <w:iCs/>
          <w:szCs w:val="28"/>
        </w:rPr>
        <w:t>Проблеми реалізації принципу змагальності в контексті адміністративного судочинства</w:t>
      </w:r>
      <w:r w:rsidRPr="00511005">
        <w:rPr>
          <w:rFonts w:ascii="Arial" w:eastAsia="Calibri" w:hAnsi="Arial" w:cs="Arial"/>
          <w:szCs w:val="28"/>
        </w:rPr>
        <w:t xml:space="preserve"> // Право України. – 2022.</w:t>
      </w:r>
    </w:p>
    <w:p w14:paraId="27F4A1A9" w14:textId="77777777" w:rsidR="00B67481" w:rsidRPr="00511005" w:rsidRDefault="00B67481"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4. Принцип змагальності та його вплив на діяльність сторін адміністративного судочинства, О.О. Опанасенко.</w:t>
      </w:r>
    </w:p>
    <w:p w14:paraId="6EEA86CA"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Times New Roman" w:hAnsi="Arial" w:cs="Arial"/>
          <w:szCs w:val="28"/>
          <w:lang w:val="uk-UA" w:eastAsia="ru-RU"/>
        </w:rPr>
        <w:t xml:space="preserve">5. </w:t>
      </w:r>
      <w:r w:rsidRPr="00511005">
        <w:rPr>
          <w:rFonts w:ascii="Arial" w:eastAsia="Calibri" w:hAnsi="Arial" w:cs="Arial"/>
          <w:szCs w:val="28"/>
        </w:rPr>
        <w:t>Справа "Крутько проти України" (Заява N 22246/02)</w:t>
      </w:r>
      <w:r w:rsidRPr="00511005">
        <w:rPr>
          <w:rFonts w:ascii="Arial" w:eastAsia="Calibri" w:hAnsi="Arial" w:cs="Arial"/>
          <w:szCs w:val="28"/>
          <w:lang w:val="uk-UA"/>
        </w:rPr>
        <w:t xml:space="preserve">, Документ 974_252, поточна редакція – Прийняття від 22.11.2005.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045" w:anchor="Text" w:history="1">
        <w:r w:rsidRPr="00511005">
          <w:rPr>
            <w:rFonts w:ascii="Arial" w:eastAsia="Calibri" w:hAnsi="Arial" w:cs="Arial"/>
            <w:szCs w:val="28"/>
            <w:lang w:val="uk-UA"/>
          </w:rPr>
          <w:t>https://zakon.rada.gov.ua/laws/show/974_252#Text</w:t>
        </w:r>
      </w:hyperlink>
    </w:p>
    <w:p w14:paraId="3641EEA4" w14:textId="77777777" w:rsidR="00B67481" w:rsidRPr="00511005" w:rsidRDefault="00B67481" w:rsidP="003A292D">
      <w:pPr>
        <w:spacing w:line="264" w:lineRule="auto"/>
        <w:rPr>
          <w:rFonts w:ascii="Arial" w:eastAsia="Calibri" w:hAnsi="Arial" w:cs="Arial"/>
          <w:b/>
          <w:szCs w:val="28"/>
          <w:lang w:val="uk-UA"/>
        </w:rPr>
      </w:pPr>
    </w:p>
    <w:p w14:paraId="1A6CDBC7" w14:textId="6E108F5D" w:rsidR="00B67481" w:rsidRPr="00511005" w:rsidRDefault="007B2628" w:rsidP="003A292D">
      <w:pPr>
        <w:spacing w:line="264" w:lineRule="auto"/>
        <w:rPr>
          <w:rFonts w:ascii="Arial" w:eastAsia="Times New Roman" w:hAnsi="Arial" w:cs="Arial"/>
          <w:szCs w:val="28"/>
          <w:lang w:val="uk-UA" w:eastAsia="ru-RU"/>
        </w:rPr>
      </w:pPr>
      <w:r w:rsidRPr="00511005">
        <w:rPr>
          <w:rFonts w:ascii="Arial" w:eastAsia="Calibri" w:hAnsi="Arial" w:cs="Arial"/>
          <w:b/>
          <w:i/>
          <w:szCs w:val="28"/>
          <w:lang w:val="uk-UA"/>
        </w:rPr>
        <w:t xml:space="preserve">Ключові слова: </w:t>
      </w:r>
      <w:r w:rsidR="00B67481" w:rsidRPr="00511005">
        <w:rPr>
          <w:rFonts w:ascii="Arial" w:eastAsia="Times New Roman" w:hAnsi="Arial" w:cs="Arial"/>
          <w:szCs w:val="28"/>
          <w:lang w:val="uk-UA" w:eastAsia="ru-RU"/>
        </w:rPr>
        <w:t>принцип,</w:t>
      </w:r>
      <w:r w:rsidR="00B67481" w:rsidRPr="00511005">
        <w:rPr>
          <w:rFonts w:ascii="Arial" w:eastAsia="Times New Roman" w:hAnsi="Arial" w:cs="Arial"/>
          <w:szCs w:val="28"/>
          <w:lang w:val="en-US" w:eastAsia="ru-RU"/>
        </w:rPr>
        <w:t> </w:t>
      </w:r>
      <w:r w:rsidR="00B67481" w:rsidRPr="00511005">
        <w:rPr>
          <w:rFonts w:ascii="Arial" w:eastAsia="Times New Roman" w:hAnsi="Arial" w:cs="Arial"/>
          <w:szCs w:val="28"/>
          <w:lang w:val="uk-UA" w:eastAsia="ru-RU"/>
        </w:rPr>
        <w:t>змагальність, проблематика, права, докази.</w:t>
      </w:r>
    </w:p>
    <w:p w14:paraId="5D381EBC" w14:textId="0662FFE0" w:rsidR="00B67481"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B67481" w:rsidRPr="00511005">
        <w:rPr>
          <w:rFonts w:ascii="Arial" w:eastAsia="Times New Roman" w:hAnsi="Arial" w:cs="Arial"/>
          <w:szCs w:val="28"/>
          <w:lang w:val="en-US" w:eastAsia="ru-RU"/>
        </w:rPr>
        <w:t>principle, competitiveness, problem, rights, evidence.</w:t>
      </w:r>
      <w:r w:rsidR="00B67481" w:rsidRPr="00511005">
        <w:rPr>
          <w:rFonts w:ascii="Arial" w:eastAsia="Times New Roman" w:hAnsi="Arial" w:cs="Arial"/>
          <w:szCs w:val="28"/>
          <w:lang w:val="uk-UA" w:eastAsia="ru-RU"/>
        </w:rPr>
        <w:t>​</w:t>
      </w:r>
    </w:p>
    <w:p w14:paraId="4CFFEA0A" w14:textId="63A3C5BC" w:rsidR="00B67481" w:rsidRPr="00511005" w:rsidRDefault="007B2628" w:rsidP="003A292D">
      <w:pPr>
        <w:spacing w:line="264" w:lineRule="auto"/>
        <w:rPr>
          <w:rFonts w:ascii="Arial" w:eastAsia="Calibri" w:hAnsi="Arial" w:cs="Arial"/>
          <w:i/>
          <w:iCs/>
          <w:szCs w:val="28"/>
          <w:shd w:val="clear" w:color="auto" w:fill="FFFFFF"/>
          <w:lang w:val="uk-UA"/>
        </w:rPr>
      </w:pPr>
      <w:r w:rsidRPr="00511005">
        <w:rPr>
          <w:rFonts w:ascii="Arial" w:eastAsia="Calibri" w:hAnsi="Arial" w:cs="Arial"/>
          <w:b/>
          <w:i/>
          <w:iCs/>
          <w:szCs w:val="28"/>
          <w:lang w:val="uk-UA"/>
        </w:rPr>
        <w:t xml:space="preserve">Науковий керівник: </w:t>
      </w:r>
      <w:r w:rsidR="00B67481" w:rsidRPr="00511005">
        <w:rPr>
          <w:rFonts w:ascii="Arial" w:eastAsia="Calibri" w:hAnsi="Arial" w:cs="Arial"/>
          <w:b/>
          <w:bCs/>
          <w:i/>
          <w:iCs/>
          <w:szCs w:val="28"/>
          <w:shd w:val="clear" w:color="auto" w:fill="FFFFFF"/>
          <w:lang w:val="uk-UA"/>
        </w:rPr>
        <w:t>к.ю.н.</w:t>
      </w:r>
      <w:r w:rsidR="00B67481" w:rsidRPr="00511005">
        <w:rPr>
          <w:rFonts w:ascii="Arial" w:eastAsia="Calibri" w:hAnsi="Arial" w:cs="Arial"/>
          <w:b/>
          <w:bCs/>
          <w:i/>
          <w:iCs/>
          <w:szCs w:val="28"/>
          <w:shd w:val="clear" w:color="auto" w:fill="FFFFFF"/>
        </w:rPr>
        <w:t>, доцент</w:t>
      </w:r>
      <w:r w:rsidR="00B67481" w:rsidRPr="00511005">
        <w:rPr>
          <w:rFonts w:ascii="Arial" w:eastAsia="Calibri" w:hAnsi="Arial" w:cs="Arial"/>
          <w:b/>
          <w:bCs/>
          <w:i/>
          <w:iCs/>
          <w:szCs w:val="28"/>
          <w:shd w:val="clear" w:color="auto" w:fill="FFFFFF"/>
          <w:lang w:val="uk-UA"/>
        </w:rPr>
        <w:t xml:space="preserve"> </w:t>
      </w:r>
      <w:r w:rsidR="00B67481" w:rsidRPr="00511005">
        <w:rPr>
          <w:rFonts w:ascii="Arial" w:eastAsia="Calibri" w:hAnsi="Arial" w:cs="Arial"/>
          <w:b/>
          <w:bCs/>
          <w:i/>
          <w:iCs/>
          <w:szCs w:val="28"/>
          <w:shd w:val="clear" w:color="auto" w:fill="FFFFFF"/>
        </w:rPr>
        <w:t xml:space="preserve">Козачук </w:t>
      </w:r>
      <w:r w:rsidR="00B67481" w:rsidRPr="00511005">
        <w:rPr>
          <w:rFonts w:ascii="Arial" w:eastAsia="Calibri" w:hAnsi="Arial" w:cs="Arial"/>
          <w:b/>
          <w:bCs/>
          <w:i/>
          <w:iCs/>
          <w:szCs w:val="28"/>
          <w:shd w:val="clear" w:color="auto" w:fill="FFFFFF"/>
          <w:lang w:val="uk-UA"/>
        </w:rPr>
        <w:t>Д.А.</w:t>
      </w:r>
    </w:p>
    <w:p w14:paraId="10C25003" w14:textId="77777777" w:rsidR="00B67481" w:rsidRPr="00511005" w:rsidRDefault="00B67481" w:rsidP="003A292D">
      <w:pPr>
        <w:spacing w:line="264" w:lineRule="auto"/>
        <w:ind w:firstLine="0"/>
        <w:jc w:val="left"/>
        <w:rPr>
          <w:rFonts w:ascii="Arial" w:eastAsia="Calibri" w:hAnsi="Arial" w:cs="Arial"/>
          <w:i/>
          <w:iCs/>
          <w:szCs w:val="28"/>
          <w:shd w:val="clear" w:color="auto" w:fill="FFFFFF"/>
          <w:lang w:val="uk-UA"/>
        </w:rPr>
      </w:pPr>
      <w:r w:rsidRPr="00511005">
        <w:rPr>
          <w:rFonts w:ascii="Arial" w:eastAsia="Calibri" w:hAnsi="Arial" w:cs="Arial"/>
          <w:b/>
          <w:bCs/>
          <w:i/>
          <w:iCs/>
          <w:szCs w:val="28"/>
          <w:shd w:val="clear" w:color="auto" w:fill="FFFFFF"/>
          <w:lang w:val="uk-UA"/>
        </w:rPr>
        <w:br w:type="page"/>
      </w:r>
    </w:p>
    <w:p w14:paraId="0984366B" w14:textId="77777777" w:rsidR="00B67481" w:rsidRPr="00511005" w:rsidRDefault="00B67481" w:rsidP="003A292D">
      <w:pPr>
        <w:spacing w:line="264" w:lineRule="auto"/>
        <w:ind w:firstLine="0"/>
        <w:jc w:val="center"/>
        <w:rPr>
          <w:rFonts w:ascii="Arial" w:eastAsia="Calibri" w:hAnsi="Arial" w:cs="Arial"/>
          <w:b/>
          <w:i/>
          <w:szCs w:val="28"/>
        </w:rPr>
      </w:pPr>
      <w:r w:rsidRPr="00511005">
        <w:rPr>
          <w:rFonts w:ascii="Arial" w:eastAsia="Calibri" w:hAnsi="Arial" w:cs="Arial"/>
          <w:b/>
          <w:i/>
          <w:szCs w:val="28"/>
        </w:rPr>
        <w:lastRenderedPageBreak/>
        <w:t>Півченко Дарія Анатоліївна, Бондаренко Владислав Мар'янович</w:t>
      </w:r>
    </w:p>
    <w:p w14:paraId="30286A9C" w14:textId="65D607A3" w:rsidR="00B67481" w:rsidRPr="00511005" w:rsidRDefault="00B67481" w:rsidP="003A292D">
      <w:pPr>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студенти 4-го курсу </w:t>
      </w:r>
      <w:r w:rsidR="001B7B25" w:rsidRPr="00511005">
        <w:rPr>
          <w:rFonts w:ascii="Arial" w:eastAsia="Calibri" w:hAnsi="Arial" w:cs="Arial"/>
          <w:szCs w:val="28"/>
        </w:rPr>
        <w:t>факультету судового та міжнародного права</w:t>
      </w:r>
    </w:p>
    <w:p w14:paraId="198E9DF1" w14:textId="0203EA7A" w:rsidR="00B67481" w:rsidRPr="00511005" w:rsidRDefault="007B2628" w:rsidP="003A292D">
      <w:pPr>
        <w:spacing w:line="264" w:lineRule="auto"/>
        <w:ind w:firstLine="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0F4DF408" w14:textId="77777777" w:rsidR="00B67481" w:rsidRPr="00511005" w:rsidRDefault="00B67481" w:rsidP="003A292D">
      <w:pPr>
        <w:spacing w:line="264" w:lineRule="auto"/>
        <w:ind w:firstLine="0"/>
        <w:jc w:val="right"/>
        <w:rPr>
          <w:rFonts w:ascii="Arial" w:eastAsia="Calibri" w:hAnsi="Arial" w:cs="Arial"/>
          <w:b/>
          <w:szCs w:val="28"/>
        </w:rPr>
      </w:pPr>
    </w:p>
    <w:p w14:paraId="3C978357" w14:textId="77777777" w:rsidR="00B67481" w:rsidRPr="00511005" w:rsidRDefault="00B67481" w:rsidP="003A292D">
      <w:pPr>
        <w:spacing w:line="264" w:lineRule="auto"/>
        <w:ind w:firstLine="0"/>
        <w:jc w:val="center"/>
        <w:rPr>
          <w:rFonts w:ascii="Arial" w:eastAsia="Calibri" w:hAnsi="Arial" w:cs="Arial"/>
          <w:b/>
          <w:szCs w:val="28"/>
        </w:rPr>
      </w:pPr>
      <w:r w:rsidRPr="00511005">
        <w:rPr>
          <w:rFonts w:ascii="Arial" w:eastAsia="Calibri" w:hAnsi="Arial" w:cs="Arial"/>
          <w:b/>
          <w:szCs w:val="28"/>
        </w:rPr>
        <w:t>ОКРЕМІ АСПЕКТИ СУДОВОГО ОСКАРЖЕННЯ РІШЕНЬ ВІЙСЬКОВО-ЛІКАРСЬКИХ КОМІСІЙ</w:t>
      </w:r>
    </w:p>
    <w:p w14:paraId="1B966F6F"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В умовах дії воєнного стану в Україні питання судового оскарження рішень військово-лікарських комісій (далі – ВЛК) набуло особливої актуальності. ВЛК здійснюють визначення придатності осіб до військової служби, що безпосередньо впливає на реалізацію прав військовослужбовців та військовозобов'язаних. Однак, як показує практика, висновки ВЛК не завжди є об'єктивними та обґрунтованими, що породжує численні судові спори. Дослідження особливостей оскарження рішень ВЛК має важливе практичне значення для забезпечення балансу між потребами національної безпеки та правами людини, а також для удосконалення механізмів судового захисту.</w:t>
      </w:r>
    </w:p>
    <w:p w14:paraId="753DAC18"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Правову основу діяльності ВЛК становить Положення про військово-лікарську експертизу в Збройних Силах України, затверджене наказом Міністра оборони України від 14 серпня 2008 року № 402 [1]. Відповідно до Положення, ВЛК здійснюють оцінку стану здоров’я військовослужбовців, військовозобов'язаних, резервістів, кандидатів на військову службу та інших осіб. Процедура оскарження постанов ВЛК передбачає два шляхи: адміністративний (досудовий) та судовий. На досудовій стадії особа має право подати заяву до вищої ВЛК (зокрема до Центральної військово-лікарської комісії) </w:t>
      </w:r>
      <w:proofErr w:type="gramStart"/>
      <w:r w:rsidRPr="00511005">
        <w:rPr>
          <w:rFonts w:ascii="Arial" w:eastAsia="Calibri" w:hAnsi="Arial" w:cs="Arial"/>
          <w:szCs w:val="28"/>
        </w:rPr>
        <w:t>для перегляду</w:t>
      </w:r>
      <w:proofErr w:type="gramEnd"/>
      <w:r w:rsidRPr="00511005">
        <w:rPr>
          <w:rFonts w:ascii="Arial" w:eastAsia="Calibri" w:hAnsi="Arial" w:cs="Arial"/>
          <w:szCs w:val="28"/>
        </w:rPr>
        <w:t xml:space="preserve"> первинного рішення. У разі незгоди з рішенням вищої інстанції або бездіяльності органу, особа може звернутися до адміністративного суду в межах строків, встановлених Кодексом адміністративного судочинства України [2].</w:t>
      </w:r>
    </w:p>
    <w:p w14:paraId="5A000C7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У судовій практиці сформовано низку ключових підходів щодо вирішення спорів, пов'язаних із діяльністю ВЛК. Зокрема, Верховний Суд у своїх постановах послідовно підкреслює, що суд не має права оцінювати професійні дії лікарів та їхні медичні висновки [3]. Повноваження суду обмежуються перевіркою дотримання процедури прийняття рішення, а саме: повноти проведеного обстеження, обґрунтованості висновків і дотримання встановлених норм.</w:t>
      </w:r>
    </w:p>
    <w:p w14:paraId="4EEAA22B"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Так, у справі № 806/526/16 Верховний Суд наголосив, що «у межах адміністративного процесу суд не вправі надавати оцінку професійним діям членів ВЛК» [3]. Аналогічна правова позиція викладена у постанові від 12 червня 2020 року у справі № 810/5009/18 [4]. Суди звертають особливу увагу на процедурні порушення, такі як: відсутність належного направлення на медичний огляд, неврахування усіх наявних діагнозів, неналежне </w:t>
      </w:r>
      <w:r w:rsidRPr="00511005">
        <w:rPr>
          <w:rFonts w:ascii="Arial" w:eastAsia="Calibri" w:hAnsi="Arial" w:cs="Arial"/>
          <w:szCs w:val="28"/>
        </w:rPr>
        <w:lastRenderedPageBreak/>
        <w:t>оформлення висновків ВЛК. У разі виявлення таких порушень рішення ВЛК може бути скасоване, а справа — направлена на новий медичний огляд.</w:t>
      </w:r>
    </w:p>
    <w:p w14:paraId="1A5C384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Однією з головних проблем є складність доведення у суді порушень у процесі прийняття рішень ВЛК. Військовослужбовці часто не мають достатніх доказів для спростування висновків комісії. Брак документальних підтверджень щодо обставин травми, відсутність альтернативних медичних висновків значно знижує шанси на позитивний результат справи. </w:t>
      </w:r>
    </w:p>
    <w:p w14:paraId="5EE7711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Окремою складністю є доступ до ефективного судового захисту внаслідок недостатнього регулювання механізму оскарження висновків ВЛК. Відсутність чіткої процедури та можливості для оперативного перегляду рішень, особливо під час воєнного стану, ускладнює реалізацію права на захист [5]. </w:t>
      </w:r>
    </w:p>
    <w:p w14:paraId="6FE9E713"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З метою підвищення ефективності судового захисту </w:t>
      </w:r>
      <w:proofErr w:type="gramStart"/>
      <w:r w:rsidRPr="00511005">
        <w:rPr>
          <w:rFonts w:ascii="Arial" w:eastAsia="Calibri" w:hAnsi="Arial" w:cs="Arial"/>
          <w:szCs w:val="28"/>
        </w:rPr>
        <w:t>у спорах</w:t>
      </w:r>
      <w:proofErr w:type="gramEnd"/>
      <w:r w:rsidRPr="00511005">
        <w:rPr>
          <w:rFonts w:ascii="Arial" w:eastAsia="Calibri" w:hAnsi="Arial" w:cs="Arial"/>
          <w:szCs w:val="28"/>
        </w:rPr>
        <w:t xml:space="preserve"> щодо рішень ВЛК доцільно:</w:t>
      </w:r>
    </w:p>
    <w:p w14:paraId="7B52C9C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зобов’язати ВЛК надавати детальне письмове обґрунтування своїх висновків, із зазначенням усіх проведених обстежень та діагнозів;</w:t>
      </w:r>
    </w:p>
    <w:p w14:paraId="321487B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гарантувати повний і вільний доступ особи до медичних документів, висновків та актів обстеження;</w:t>
      </w:r>
    </w:p>
    <w:p w14:paraId="58A7C4B5" w14:textId="0DD7289C"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w:t>
      </w:r>
      <w:r w:rsidR="007B2628" w:rsidRPr="00511005">
        <w:rPr>
          <w:rFonts w:ascii="Arial" w:eastAsia="Calibri" w:hAnsi="Arial" w:cs="Arial"/>
          <w:szCs w:val="28"/>
        </w:rPr>
        <w:t xml:space="preserve"> </w:t>
      </w:r>
      <w:r w:rsidRPr="00511005">
        <w:rPr>
          <w:rFonts w:ascii="Arial" w:eastAsia="Calibri" w:hAnsi="Arial" w:cs="Arial"/>
          <w:szCs w:val="28"/>
        </w:rPr>
        <w:t>законодавчо врегулювати можливість проведення альтернативної медичної експертизи у державних або акредитованих цивільних медичних установах, результати якої можуть бути враховані при перегляді висновків ВЛК;</w:t>
      </w:r>
    </w:p>
    <w:p w14:paraId="3732414D"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передбачити можливість звернення до державних або акредитованих цивільних медичних закладів для отримання альтернативної експертизи, яка має юридичну силу в суді;</w:t>
      </w:r>
    </w:p>
    <w:p w14:paraId="1DFFEFE1"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забезпечити законодавче визнання права на судове оскарження висновків як штатних, так і позаштатних ВЛК.</w:t>
      </w:r>
    </w:p>
    <w:p w14:paraId="7EA25A7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Аналіз чинного законодавства та судової практики свідчить про необхідність удосконалення процедури оскарження рішень ВЛК. Забезпечення об'єктивності та прозорості процедур військово-лікарської експертизи є запорукою справедливого захисту прав військовослужбовців та військовозобов'язаних. Підвищення правової обізнаності громадян, належне документальне оформлення медичних обстежень та професійний юридичний супровід є важливими чинниками, що сприятимуть забезпеченню ефективного захисту прав </w:t>
      </w:r>
      <w:proofErr w:type="gramStart"/>
      <w:r w:rsidRPr="00511005">
        <w:rPr>
          <w:rFonts w:ascii="Arial" w:eastAsia="Calibri" w:hAnsi="Arial" w:cs="Arial"/>
          <w:szCs w:val="28"/>
        </w:rPr>
        <w:t>у спорах</w:t>
      </w:r>
      <w:proofErr w:type="gramEnd"/>
      <w:r w:rsidRPr="00511005">
        <w:rPr>
          <w:rFonts w:ascii="Arial" w:eastAsia="Calibri" w:hAnsi="Arial" w:cs="Arial"/>
          <w:szCs w:val="28"/>
        </w:rPr>
        <w:t xml:space="preserve"> щодо рішень ВЛК.</w:t>
      </w:r>
    </w:p>
    <w:p w14:paraId="357544E6" w14:textId="77777777" w:rsidR="00B67481" w:rsidRPr="00511005" w:rsidRDefault="00B67481" w:rsidP="003A292D">
      <w:pPr>
        <w:spacing w:line="264" w:lineRule="auto"/>
        <w:rPr>
          <w:rFonts w:ascii="Arial" w:eastAsia="Calibri" w:hAnsi="Arial" w:cs="Arial"/>
          <w:szCs w:val="28"/>
        </w:rPr>
      </w:pPr>
    </w:p>
    <w:p w14:paraId="6EE0F1E9" w14:textId="2C83EEA0" w:rsidR="00B67481" w:rsidRPr="00511005" w:rsidRDefault="007B2628" w:rsidP="007B2628">
      <w:pPr>
        <w:spacing w:line="264" w:lineRule="auto"/>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46AD66FD"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1.</w:t>
      </w:r>
      <w:r w:rsidRPr="00511005">
        <w:rPr>
          <w:rFonts w:ascii="Arial" w:eastAsia="Calibri" w:hAnsi="Arial" w:cs="Arial"/>
          <w:szCs w:val="28"/>
        </w:rPr>
        <w:tab/>
        <w:t xml:space="preserve">Про затвердження Положення про військово-лікарську експертизу в Збройних Силах </w:t>
      </w:r>
      <w:proofErr w:type="gramStart"/>
      <w:r w:rsidRPr="00511005">
        <w:rPr>
          <w:rFonts w:ascii="Arial" w:eastAsia="Calibri" w:hAnsi="Arial" w:cs="Arial"/>
          <w:szCs w:val="28"/>
        </w:rPr>
        <w:t>України :</w:t>
      </w:r>
      <w:proofErr w:type="gramEnd"/>
      <w:r w:rsidRPr="00511005">
        <w:rPr>
          <w:rFonts w:ascii="Arial" w:eastAsia="Calibri" w:hAnsi="Arial" w:cs="Arial"/>
          <w:szCs w:val="28"/>
        </w:rPr>
        <w:t xml:space="preserve"> наказ Міністерства оборони України від 14 серп. 2008 р. № 402 // Офіційний вісник України. 2008. № 65.</w:t>
      </w:r>
    </w:p>
    <w:p w14:paraId="0554CEC2"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2.</w:t>
      </w:r>
      <w:r w:rsidRPr="00511005">
        <w:rPr>
          <w:rFonts w:ascii="Arial" w:eastAsia="Calibri" w:hAnsi="Arial" w:cs="Arial"/>
          <w:szCs w:val="28"/>
        </w:rPr>
        <w:tab/>
        <w:t xml:space="preserve">Про судоустрій і статус </w:t>
      </w:r>
      <w:proofErr w:type="gramStart"/>
      <w:r w:rsidRPr="00511005">
        <w:rPr>
          <w:rFonts w:ascii="Arial" w:eastAsia="Calibri" w:hAnsi="Arial" w:cs="Arial"/>
          <w:szCs w:val="28"/>
        </w:rPr>
        <w:t>суддів :</w:t>
      </w:r>
      <w:proofErr w:type="gramEnd"/>
      <w:r w:rsidRPr="00511005">
        <w:rPr>
          <w:rFonts w:ascii="Arial" w:eastAsia="Calibri" w:hAnsi="Arial" w:cs="Arial"/>
          <w:szCs w:val="28"/>
        </w:rPr>
        <w:t xml:space="preserve"> Закон України від 2 черв. 2016 р. № 1402-VIII // Відомості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2016. № 31.</w:t>
      </w:r>
    </w:p>
    <w:p w14:paraId="218C8999"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lastRenderedPageBreak/>
        <w:t>3.</w:t>
      </w:r>
      <w:r w:rsidRPr="00511005">
        <w:rPr>
          <w:rFonts w:ascii="Arial" w:eastAsia="Calibri" w:hAnsi="Arial" w:cs="Arial"/>
          <w:szCs w:val="28"/>
        </w:rPr>
        <w:tab/>
        <w:t>Верховний Суд. Постанова від 13 черв. 2018 р. у справі № 806/526/16 URL: https://reyestr.court.gov.ua.</w:t>
      </w:r>
    </w:p>
    <w:p w14:paraId="27877100"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4.</w:t>
      </w:r>
      <w:r w:rsidRPr="00511005">
        <w:rPr>
          <w:rFonts w:ascii="Arial" w:eastAsia="Calibri" w:hAnsi="Arial" w:cs="Arial"/>
          <w:szCs w:val="28"/>
        </w:rPr>
        <w:tab/>
        <w:t>Верховний Суд. Постанова від 12 черв. 2020 р. у справі № 810/5009/18 URL: https://reyestr.court.gov.ua.</w:t>
      </w:r>
    </w:p>
    <w:p w14:paraId="1206CC3E" w14:textId="77777777" w:rsidR="00B67481" w:rsidRPr="00055389" w:rsidRDefault="00B67481" w:rsidP="003A292D">
      <w:pPr>
        <w:spacing w:line="264" w:lineRule="auto"/>
        <w:rPr>
          <w:rFonts w:ascii="Arial" w:eastAsia="Calibri" w:hAnsi="Arial" w:cs="Arial"/>
          <w:szCs w:val="28"/>
          <w:lang w:val="en-US"/>
        </w:rPr>
      </w:pPr>
      <w:r w:rsidRPr="00511005">
        <w:rPr>
          <w:rFonts w:ascii="Arial" w:eastAsia="Calibri" w:hAnsi="Arial" w:cs="Arial"/>
          <w:szCs w:val="28"/>
        </w:rPr>
        <w:t>5.</w:t>
      </w:r>
      <w:r w:rsidRPr="00511005">
        <w:rPr>
          <w:rFonts w:ascii="Arial" w:eastAsia="Calibri" w:hAnsi="Arial" w:cs="Arial"/>
          <w:szCs w:val="28"/>
        </w:rPr>
        <w:tab/>
        <w:t>Приймак С. Про оскарження рішень військово-лікарських комісій. ЛІГА</w:t>
      </w:r>
      <w:r w:rsidRPr="00055389">
        <w:rPr>
          <w:rFonts w:ascii="Arial" w:eastAsia="Calibri" w:hAnsi="Arial" w:cs="Arial"/>
          <w:szCs w:val="28"/>
          <w:lang w:val="en-US"/>
        </w:rPr>
        <w:t>.</w:t>
      </w:r>
      <w:r w:rsidRPr="00511005">
        <w:rPr>
          <w:rFonts w:ascii="Arial" w:eastAsia="Calibri" w:hAnsi="Arial" w:cs="Arial"/>
          <w:szCs w:val="28"/>
          <w:lang w:val="en-US"/>
        </w:rPr>
        <w:t>net</w:t>
      </w:r>
      <w:r w:rsidRPr="00055389">
        <w:rPr>
          <w:rFonts w:ascii="Arial" w:eastAsia="Calibri" w:hAnsi="Arial" w:cs="Arial"/>
          <w:szCs w:val="28"/>
          <w:lang w:val="en-US"/>
        </w:rPr>
        <w:t xml:space="preserve">. 10.03.2025 </w:t>
      </w:r>
      <w:r w:rsidRPr="00511005">
        <w:rPr>
          <w:rFonts w:ascii="Arial" w:eastAsia="Calibri" w:hAnsi="Arial" w:cs="Arial"/>
          <w:szCs w:val="28"/>
          <w:lang w:val="en-US"/>
        </w:rPr>
        <w:t>URL</w:t>
      </w:r>
      <w:r w:rsidRPr="00055389">
        <w:rPr>
          <w:rFonts w:ascii="Arial" w:eastAsia="Calibri" w:hAnsi="Arial" w:cs="Arial"/>
          <w:szCs w:val="28"/>
          <w:lang w:val="en-US"/>
        </w:rPr>
        <w:t xml:space="preserve">: </w:t>
      </w:r>
      <w:r w:rsidRPr="00511005">
        <w:rPr>
          <w:rFonts w:ascii="Arial" w:eastAsia="Calibri" w:hAnsi="Arial" w:cs="Arial"/>
          <w:szCs w:val="28"/>
          <w:lang w:val="en-US"/>
        </w:rPr>
        <w:t>https</w:t>
      </w:r>
      <w:r w:rsidRPr="00055389">
        <w:rPr>
          <w:rFonts w:ascii="Arial" w:eastAsia="Calibri" w:hAnsi="Arial" w:cs="Arial"/>
          <w:szCs w:val="28"/>
          <w:lang w:val="en-US"/>
        </w:rPr>
        <w:t>://7</w:t>
      </w:r>
      <w:r w:rsidRPr="00511005">
        <w:rPr>
          <w:rFonts w:ascii="Arial" w:eastAsia="Calibri" w:hAnsi="Arial" w:cs="Arial"/>
          <w:szCs w:val="28"/>
          <w:lang w:val="en-US"/>
        </w:rPr>
        <w:t>eminar</w:t>
      </w:r>
      <w:r w:rsidRPr="00055389">
        <w:rPr>
          <w:rFonts w:ascii="Arial" w:eastAsia="Calibri" w:hAnsi="Arial" w:cs="Arial"/>
          <w:szCs w:val="28"/>
          <w:lang w:val="en-US"/>
        </w:rPr>
        <w:t>.</w:t>
      </w:r>
      <w:r w:rsidRPr="00511005">
        <w:rPr>
          <w:rFonts w:ascii="Arial" w:eastAsia="Calibri" w:hAnsi="Arial" w:cs="Arial"/>
          <w:szCs w:val="28"/>
          <w:lang w:val="en-US"/>
        </w:rPr>
        <w:t>ua</w:t>
      </w:r>
      <w:r w:rsidRPr="00055389">
        <w:rPr>
          <w:rFonts w:ascii="Arial" w:eastAsia="Calibri" w:hAnsi="Arial" w:cs="Arial"/>
          <w:szCs w:val="28"/>
          <w:lang w:val="en-US"/>
        </w:rPr>
        <w:t>/</w:t>
      </w:r>
      <w:r w:rsidRPr="00511005">
        <w:rPr>
          <w:rFonts w:ascii="Arial" w:eastAsia="Calibri" w:hAnsi="Arial" w:cs="Arial"/>
          <w:szCs w:val="28"/>
          <w:lang w:val="en-US"/>
        </w:rPr>
        <w:t>news</w:t>
      </w:r>
      <w:r w:rsidRPr="00055389">
        <w:rPr>
          <w:rFonts w:ascii="Arial" w:eastAsia="Calibri" w:hAnsi="Arial" w:cs="Arial"/>
          <w:szCs w:val="28"/>
          <w:lang w:val="en-US"/>
        </w:rPr>
        <w:t>/5570-</w:t>
      </w:r>
      <w:r w:rsidRPr="00511005">
        <w:rPr>
          <w:rFonts w:ascii="Arial" w:eastAsia="Calibri" w:hAnsi="Arial" w:cs="Arial"/>
          <w:szCs w:val="28"/>
          <w:lang w:val="en-US"/>
        </w:rPr>
        <w:t>oskarzennya</w:t>
      </w:r>
      <w:r w:rsidRPr="00055389">
        <w:rPr>
          <w:rFonts w:ascii="Arial" w:eastAsia="Calibri" w:hAnsi="Arial" w:cs="Arial"/>
          <w:szCs w:val="28"/>
          <w:lang w:val="en-US"/>
        </w:rPr>
        <w:t>-</w:t>
      </w:r>
      <w:r w:rsidRPr="00511005">
        <w:rPr>
          <w:rFonts w:ascii="Arial" w:eastAsia="Calibri" w:hAnsi="Arial" w:cs="Arial"/>
          <w:szCs w:val="28"/>
          <w:lang w:val="en-US"/>
        </w:rPr>
        <w:t>risen</w:t>
      </w:r>
      <w:r w:rsidRPr="00055389">
        <w:rPr>
          <w:rFonts w:ascii="Arial" w:eastAsia="Calibri" w:hAnsi="Arial" w:cs="Arial"/>
          <w:szCs w:val="28"/>
          <w:lang w:val="en-US"/>
        </w:rPr>
        <w:t>-</w:t>
      </w:r>
      <w:r w:rsidRPr="00511005">
        <w:rPr>
          <w:rFonts w:ascii="Arial" w:eastAsia="Calibri" w:hAnsi="Arial" w:cs="Arial"/>
          <w:szCs w:val="28"/>
          <w:lang w:val="en-US"/>
        </w:rPr>
        <w:t>vlk</w:t>
      </w:r>
      <w:r w:rsidRPr="00055389">
        <w:rPr>
          <w:rFonts w:ascii="Arial" w:eastAsia="Calibri" w:hAnsi="Arial" w:cs="Arial"/>
          <w:szCs w:val="28"/>
          <w:lang w:val="en-US"/>
        </w:rPr>
        <w:t>-</w:t>
      </w:r>
      <w:r w:rsidRPr="00511005">
        <w:rPr>
          <w:rFonts w:ascii="Arial" w:eastAsia="Calibri" w:hAnsi="Arial" w:cs="Arial"/>
          <w:szCs w:val="28"/>
          <w:lang w:val="en-US"/>
        </w:rPr>
        <w:t>pidstavi</w:t>
      </w:r>
      <w:r w:rsidRPr="00055389">
        <w:rPr>
          <w:rFonts w:ascii="Arial" w:eastAsia="Calibri" w:hAnsi="Arial" w:cs="Arial"/>
          <w:szCs w:val="28"/>
          <w:lang w:val="en-US"/>
        </w:rPr>
        <w:t>-</w:t>
      </w:r>
      <w:r w:rsidRPr="00511005">
        <w:rPr>
          <w:rFonts w:ascii="Arial" w:eastAsia="Calibri" w:hAnsi="Arial" w:cs="Arial"/>
          <w:szCs w:val="28"/>
          <w:lang w:val="en-US"/>
        </w:rPr>
        <w:t>poryadok</w:t>
      </w:r>
      <w:r w:rsidRPr="00055389">
        <w:rPr>
          <w:rFonts w:ascii="Arial" w:eastAsia="Calibri" w:hAnsi="Arial" w:cs="Arial"/>
          <w:szCs w:val="28"/>
          <w:lang w:val="en-US"/>
        </w:rPr>
        <w:t>-</w:t>
      </w:r>
      <w:r w:rsidRPr="00511005">
        <w:rPr>
          <w:rFonts w:ascii="Arial" w:eastAsia="Calibri" w:hAnsi="Arial" w:cs="Arial"/>
          <w:szCs w:val="28"/>
          <w:lang w:val="en-US"/>
        </w:rPr>
        <w:t>i</w:t>
      </w:r>
      <w:r w:rsidRPr="00055389">
        <w:rPr>
          <w:rFonts w:ascii="Arial" w:eastAsia="Calibri" w:hAnsi="Arial" w:cs="Arial"/>
          <w:szCs w:val="28"/>
          <w:lang w:val="en-US"/>
        </w:rPr>
        <w:t>-</w:t>
      </w:r>
      <w:r w:rsidRPr="00511005">
        <w:rPr>
          <w:rFonts w:ascii="Arial" w:eastAsia="Calibri" w:hAnsi="Arial" w:cs="Arial"/>
          <w:szCs w:val="28"/>
          <w:lang w:val="en-US"/>
        </w:rPr>
        <w:t>stroki</w:t>
      </w:r>
      <w:r w:rsidRPr="00055389">
        <w:rPr>
          <w:rFonts w:ascii="Arial" w:eastAsia="Calibri" w:hAnsi="Arial" w:cs="Arial"/>
          <w:szCs w:val="28"/>
          <w:lang w:val="en-US"/>
        </w:rPr>
        <w:t>.</w:t>
      </w:r>
    </w:p>
    <w:p w14:paraId="29D625B1" w14:textId="77777777" w:rsidR="00B67481" w:rsidRPr="00511005" w:rsidRDefault="00B67481" w:rsidP="003A292D">
      <w:pPr>
        <w:spacing w:line="264" w:lineRule="auto"/>
        <w:rPr>
          <w:rFonts w:ascii="Arial" w:eastAsia="Calibri" w:hAnsi="Arial" w:cs="Arial"/>
          <w:b/>
          <w:szCs w:val="28"/>
          <w:lang w:val="uk-UA"/>
        </w:rPr>
      </w:pPr>
    </w:p>
    <w:p w14:paraId="1770AF80" w14:textId="44D5C606" w:rsidR="00B67481" w:rsidRPr="00511005" w:rsidRDefault="007B2628" w:rsidP="003A292D">
      <w:pPr>
        <w:spacing w:line="264" w:lineRule="auto"/>
        <w:rPr>
          <w:rFonts w:ascii="Arial" w:eastAsia="Calibri" w:hAnsi="Arial" w:cs="Arial"/>
          <w:szCs w:val="28"/>
        </w:rPr>
      </w:pPr>
      <w:r w:rsidRPr="00511005">
        <w:rPr>
          <w:rFonts w:ascii="Arial" w:eastAsia="Calibri" w:hAnsi="Arial" w:cs="Arial"/>
          <w:b/>
          <w:i/>
          <w:szCs w:val="28"/>
        </w:rPr>
        <w:t xml:space="preserve">Ключові слова: </w:t>
      </w:r>
      <w:r w:rsidR="00B67481" w:rsidRPr="00511005">
        <w:rPr>
          <w:rFonts w:ascii="Arial" w:eastAsia="Calibri" w:hAnsi="Arial" w:cs="Arial"/>
          <w:szCs w:val="28"/>
        </w:rPr>
        <w:t>військово-лікарська комісія, судове оскарження, адміністративне судочинство, військова служба, право на захист</w:t>
      </w:r>
    </w:p>
    <w:p w14:paraId="59097DD1" w14:textId="33C98B1A" w:rsidR="00B67481"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B67481" w:rsidRPr="00511005">
        <w:rPr>
          <w:rFonts w:ascii="Arial" w:eastAsia="Calibri" w:hAnsi="Arial" w:cs="Arial"/>
          <w:szCs w:val="28"/>
          <w:lang w:val="en-US"/>
        </w:rPr>
        <w:t>military medical commission, judicial appeal, administrative proceedings, military service, right to defense.</w:t>
      </w:r>
    </w:p>
    <w:p w14:paraId="5C2C9D3B" w14:textId="2ED86BE8" w:rsidR="00B67481" w:rsidRPr="00511005" w:rsidRDefault="007B2628" w:rsidP="003A292D">
      <w:pPr>
        <w:tabs>
          <w:tab w:val="left" w:pos="6672"/>
        </w:tabs>
        <w:spacing w:line="264" w:lineRule="auto"/>
        <w:rPr>
          <w:rFonts w:ascii="Arial" w:eastAsia="Calibri" w:hAnsi="Arial" w:cs="Arial"/>
          <w:i/>
          <w:szCs w:val="28"/>
        </w:rPr>
      </w:pPr>
      <w:r w:rsidRPr="00511005">
        <w:rPr>
          <w:rFonts w:ascii="Arial" w:eastAsia="Calibri" w:hAnsi="Arial" w:cs="Arial"/>
          <w:b/>
          <w:i/>
          <w:szCs w:val="28"/>
        </w:rPr>
        <w:t xml:space="preserve">Науковий керівник: </w:t>
      </w:r>
      <w:r w:rsidR="00B67481" w:rsidRPr="00511005">
        <w:rPr>
          <w:rFonts w:ascii="Arial" w:eastAsia="Calibri" w:hAnsi="Arial" w:cs="Arial"/>
          <w:i/>
          <w:szCs w:val="28"/>
        </w:rPr>
        <w:t>к.ю.н., доцент Осадчий А. Ю.</w:t>
      </w:r>
    </w:p>
    <w:p w14:paraId="041E8668" w14:textId="77777777" w:rsidR="001D1A08" w:rsidRPr="00511005" w:rsidRDefault="001D1A08" w:rsidP="003A292D">
      <w:pPr>
        <w:spacing w:line="264" w:lineRule="auto"/>
        <w:ind w:firstLine="0"/>
        <w:jc w:val="center"/>
        <w:rPr>
          <w:rFonts w:ascii="Arial" w:eastAsia="Calibri" w:hAnsi="Arial" w:cs="Arial"/>
          <w:i/>
          <w:kern w:val="2"/>
          <w:szCs w:val="28"/>
          <w:lang w:val="uk-UA"/>
        </w:rPr>
      </w:pPr>
    </w:p>
    <w:p w14:paraId="66ADE9EC" w14:textId="77777777" w:rsidR="001D1A08" w:rsidRPr="00511005" w:rsidRDefault="001D1A08" w:rsidP="003A292D">
      <w:pPr>
        <w:spacing w:line="264" w:lineRule="auto"/>
        <w:ind w:firstLine="0"/>
        <w:jc w:val="center"/>
        <w:rPr>
          <w:rFonts w:ascii="Arial" w:eastAsia="Calibri" w:hAnsi="Arial" w:cs="Arial"/>
          <w:i/>
          <w:kern w:val="2"/>
          <w:szCs w:val="28"/>
          <w:lang w:val="uk-UA"/>
        </w:rPr>
      </w:pPr>
    </w:p>
    <w:p w14:paraId="3698C643" w14:textId="38F3EC02" w:rsidR="00B67481" w:rsidRPr="00511005" w:rsidRDefault="00B67481" w:rsidP="003A292D">
      <w:pPr>
        <w:spacing w:line="264" w:lineRule="auto"/>
        <w:ind w:firstLine="0"/>
        <w:jc w:val="center"/>
        <w:rPr>
          <w:rFonts w:ascii="Arial" w:eastAsia="Calibri" w:hAnsi="Arial" w:cs="Arial"/>
          <w:b/>
          <w:i/>
          <w:kern w:val="2"/>
          <w:szCs w:val="28"/>
          <w:lang w:val="uk-UA"/>
        </w:rPr>
      </w:pPr>
      <w:r w:rsidRPr="00511005">
        <w:rPr>
          <w:rFonts w:ascii="Arial" w:eastAsia="Calibri" w:hAnsi="Arial" w:cs="Arial"/>
          <w:b/>
          <w:i/>
          <w:kern w:val="2"/>
          <w:szCs w:val="28"/>
          <w:lang w:val="uk-UA"/>
        </w:rPr>
        <w:t>Плєхова Марина Віталіївна</w:t>
      </w:r>
    </w:p>
    <w:p w14:paraId="1DFACC69" w14:textId="3165B43E" w:rsidR="00B67481" w:rsidRPr="00511005" w:rsidRDefault="00536AAB" w:rsidP="003A292D">
      <w:pPr>
        <w:spacing w:line="264" w:lineRule="auto"/>
        <w:ind w:firstLine="0"/>
        <w:jc w:val="center"/>
        <w:rPr>
          <w:rFonts w:ascii="Arial" w:eastAsia="Calibri" w:hAnsi="Arial" w:cs="Arial"/>
          <w:kern w:val="2"/>
          <w:szCs w:val="28"/>
          <w:lang w:val="uk-UA"/>
        </w:rPr>
      </w:pPr>
      <w:r w:rsidRPr="00511005">
        <w:rPr>
          <w:rFonts w:ascii="Arial" w:eastAsia="Calibri" w:hAnsi="Arial" w:cs="Arial"/>
          <w:kern w:val="2"/>
          <w:szCs w:val="28"/>
          <w:lang w:val="uk-UA"/>
        </w:rPr>
        <w:t xml:space="preserve">студентка 4-го курсу </w:t>
      </w:r>
      <w:r w:rsidR="001B7B25" w:rsidRPr="00511005">
        <w:rPr>
          <w:rFonts w:ascii="Arial" w:eastAsia="Calibri" w:hAnsi="Arial" w:cs="Arial"/>
          <w:kern w:val="2"/>
          <w:szCs w:val="28"/>
          <w:lang w:val="uk-UA"/>
        </w:rPr>
        <w:t>факультету судового та міжнародного права</w:t>
      </w:r>
      <w:r w:rsidR="00B67481" w:rsidRPr="00511005">
        <w:rPr>
          <w:rFonts w:ascii="Arial" w:eastAsia="Calibri" w:hAnsi="Arial" w:cs="Arial"/>
          <w:kern w:val="2"/>
          <w:szCs w:val="28"/>
          <w:lang w:val="uk-UA"/>
        </w:rPr>
        <w:t xml:space="preserve"> </w:t>
      </w:r>
      <w:r w:rsidR="00B67481" w:rsidRPr="00511005">
        <w:rPr>
          <w:rFonts w:ascii="Arial" w:eastAsia="Calibri" w:hAnsi="Arial" w:cs="Arial"/>
          <w:kern w:val="2"/>
          <w:szCs w:val="28"/>
          <w:lang w:val="uk-UA"/>
        </w:rPr>
        <w:br/>
      </w:r>
      <w:r w:rsidR="007B2628" w:rsidRPr="00511005">
        <w:rPr>
          <w:rFonts w:ascii="Arial" w:eastAsia="Calibri" w:hAnsi="Arial" w:cs="Arial"/>
          <w:kern w:val="2"/>
          <w:szCs w:val="28"/>
          <w:lang w:val="uk-UA"/>
        </w:rPr>
        <w:t>Національного університету «Одеська юридична академія»</w:t>
      </w:r>
    </w:p>
    <w:p w14:paraId="3980AA57" w14:textId="77777777" w:rsidR="00B67481" w:rsidRPr="00511005" w:rsidRDefault="00B67481" w:rsidP="003A292D">
      <w:pPr>
        <w:spacing w:line="264" w:lineRule="auto"/>
        <w:ind w:firstLine="0"/>
        <w:rPr>
          <w:rFonts w:ascii="Arial" w:eastAsia="Calibri" w:hAnsi="Arial" w:cs="Arial"/>
          <w:i/>
          <w:kern w:val="2"/>
          <w:szCs w:val="28"/>
          <w:lang w:val="uk-UA"/>
        </w:rPr>
      </w:pPr>
    </w:p>
    <w:p w14:paraId="1813AF6A" w14:textId="77777777" w:rsidR="00B67481" w:rsidRPr="00511005" w:rsidRDefault="00B67481" w:rsidP="003A292D">
      <w:pPr>
        <w:spacing w:line="264" w:lineRule="auto"/>
        <w:ind w:firstLine="0"/>
        <w:jc w:val="center"/>
        <w:rPr>
          <w:rFonts w:ascii="Arial" w:eastAsia="Calibri" w:hAnsi="Arial" w:cs="Arial"/>
          <w:b/>
          <w:kern w:val="2"/>
          <w:szCs w:val="28"/>
          <w:lang w:val="uk-UA"/>
        </w:rPr>
      </w:pPr>
      <w:r w:rsidRPr="00511005">
        <w:rPr>
          <w:rFonts w:ascii="Arial" w:eastAsia="Calibri" w:hAnsi="Arial" w:cs="Arial"/>
          <w:b/>
          <w:kern w:val="2"/>
          <w:szCs w:val="28"/>
          <w:lang w:val="uk-UA"/>
        </w:rPr>
        <w:t>ОСОБЛИВОСТІ СУДОВОГО РОЗГЛЯДУ СПРАВ ЩОДО ПРОХОДЖЕННЯ ПУБЛІЧНОЇ СЛУЖБИ</w:t>
      </w:r>
    </w:p>
    <w:p w14:paraId="463D26E3"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 xml:space="preserve">Визначення терміну «публічна служба» наведене у п. 17 ч. 1 ст. 4 КАС України, відповідно до якого «публічною службовою є діяльність на державних політичних посадах, у державних колегіальних органах, професійна діяльність суддів, прокурорів, військова служба, альтернативна (невійськова) служба, інша державна служба, патронатна служба в державних органах, служба в органах влади Автономної Республіки Крим, органах місцевого самоврядування» [1]. </w:t>
      </w:r>
    </w:p>
    <w:p w14:paraId="3309A0D7"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В межах адміністративного судочинства поняття «публічна служба» охоплює широкий спектр видів діяльності, що здійснюються в публічній сфері. Це включає виконання обов’язків на державних політичних посадах, професійну діяльність прокурорів, суддів, державну та військову службу, а також службу в органах місцевого самоврядування. До публічної служби також належить патронатна служба, яка охоплює посади помічників , радників, уповноважених і прес-секретаря Президента України, працівників патронатних служб Прем’єр-міністра України та інших членів Кабінету Міністрів України, працівників секретаріатів Голови Верховної Ради України, його Першого заступника та заступника, помічників та наукових консультантів суддів Конституційного Суду України, помічників-консультантів народних депутатів України, помічників суддів тощо.</w:t>
      </w:r>
    </w:p>
    <w:p w14:paraId="136C31CC"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Відповідно до ч.1 ст. 19 КАС України, «юрисдикція адміністративних судів поширюється на справи у публічно-правових спорах, зокрема:</w:t>
      </w:r>
      <w:r w:rsidRPr="00511005">
        <w:rPr>
          <w:rFonts w:ascii="Arial" w:eastAsia="Calibri" w:hAnsi="Arial" w:cs="Arial"/>
          <w:kern w:val="2"/>
          <w:szCs w:val="28"/>
          <w:shd w:val="clear" w:color="auto" w:fill="FFFFFF"/>
          <w:lang w:val="uk-UA"/>
        </w:rPr>
        <w:t xml:space="preserve"> </w:t>
      </w:r>
      <w:r w:rsidRPr="00511005">
        <w:rPr>
          <w:rFonts w:ascii="Arial" w:eastAsia="Calibri" w:hAnsi="Arial" w:cs="Arial"/>
          <w:bCs/>
          <w:kern w:val="2"/>
          <w:szCs w:val="28"/>
          <w:lang w:val="uk-UA"/>
        </w:rPr>
        <w:t xml:space="preserve">спорах </w:t>
      </w:r>
      <w:r w:rsidRPr="00511005">
        <w:rPr>
          <w:rFonts w:ascii="Arial" w:eastAsia="Calibri" w:hAnsi="Arial" w:cs="Arial"/>
          <w:bCs/>
          <w:kern w:val="2"/>
          <w:szCs w:val="28"/>
          <w:lang w:val="uk-UA"/>
        </w:rPr>
        <w:lastRenderedPageBreak/>
        <w:t xml:space="preserve">з приводу прийняття громадян на публічну службу, її проходження, звільнення з публічної служби» [1]. А тому вони підлягають розгляду і вирішенню в порядку адміністративного судочинства. </w:t>
      </w:r>
    </w:p>
    <w:p w14:paraId="38BF22D8"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 xml:space="preserve">Велика Палата Верховного Суду підкреслила, що «публічна служба належить до особливого виду трудової діяльності. Хоча службові правовідносини мають спільні риси з трудовим правом, вони також перетинаються з адміністративною сферою, проте регулюються різними правовими методами. Саме з цієї причини відносини, пов’язані з вступом, проходженням та припиненням публічної служби, регламентуються нормами адміністративного законодавства, а спори, які виникають з таких правовідносин, підлягають розгляду в порядку, встановленому КАС України» [2]. </w:t>
      </w:r>
    </w:p>
    <w:p w14:paraId="17A89A1A"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Втім, виникають певні труднощі щодо порядку їх розгляду. Відповідно до п. 1 ч. 6 ст. 12 КАС України, «справи про прийняття, проходження чи звільнення з публічної служби визнаються малозначними справами, окрім справ за позовами службових осіб, які у значенні Закону України «Про запобігання корупції» займають відповідальне та особливо відповідальне становище» [1].</w:t>
      </w:r>
    </w:p>
    <w:p w14:paraId="3A2CA4EC"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З огляду на особливості цієї категорії адміністративних справ, які хоч і мають суттєве значення, однак не передбачають складних юридичних аспектів, законодавець відніс їх до малозначних. Це справи, де спірні правовідносини, обсяг доказів і кількість учасників не потребують підготовчого провадження чи проведення судового засідання для повного з’ясування всіх фактичних обставин.</w:t>
      </w:r>
    </w:p>
    <w:p w14:paraId="5DBFC487"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 xml:space="preserve">І оскільки до справ незначної складності спрощене позовне провадження застосовується в безумовному порядку, що прямо вбачається з положень ч. 1 ст. 257 та ч. 7 ст. 260 КАС України, то зрозуміло, що адміністративні справи з приводу проходження публічної служби гарантовано підлягають розгляду саме в порядку спрощеного позовного провадження [3]. </w:t>
      </w:r>
    </w:p>
    <w:p w14:paraId="20E3643C"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Однак, на моє переконання, чинне законодавче вирішення розгляду цієї групи публічно-правових спорів не виглядає достатньо обґрунтованим та викликає сумніви з огляду на практичні аспекти їх розгляду.</w:t>
      </w:r>
    </w:p>
    <w:p w14:paraId="4E890892"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 xml:space="preserve">Відповідно до положень ч. 2 ст. 12 КАС України «спрощене позовне провадження призначене для розгляду справ незначної складності та інших справ, для яких пріоритетним є швидке вирішення справи» [1]. </w:t>
      </w:r>
    </w:p>
    <w:p w14:paraId="7A1A9A68"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Іншими словами, підставою для застосування спрощеного позовного провадження в адміністративному процесі виступає, зокрема, необхідність оперативного вирішення спору. Це обумовлює доцільність використання саме цієї процедури для справ, які вимагають розгляду в стислий термін (ч. 4 ст. 12, ч. 4 ст. 257 КАС України).</w:t>
      </w:r>
    </w:p>
    <w:p w14:paraId="69A29206"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lastRenderedPageBreak/>
        <w:t>З метою оперативного вирішення таких справ Кодекс адміністративного судочинства України передбачає скорочені процесуальні строки — не більше 60 днів від моменту відкриття провадження, що сприяє ефективному та своєчасному захисту прав, свобод і законних інтересів осіб у сфері публічних правовідносин.</w:t>
      </w:r>
    </w:p>
    <w:p w14:paraId="1CC8CEF7" w14:textId="77777777" w:rsidR="00B67481" w:rsidRPr="00511005" w:rsidRDefault="00B67481" w:rsidP="003A292D">
      <w:pPr>
        <w:spacing w:line="264" w:lineRule="auto"/>
        <w:rPr>
          <w:rFonts w:ascii="Arial" w:eastAsia="Times New Roman" w:hAnsi="Arial" w:cs="Arial"/>
          <w:szCs w:val="28"/>
          <w:lang w:eastAsia="uk-UA"/>
        </w:rPr>
      </w:pPr>
      <w:r w:rsidRPr="00511005">
        <w:rPr>
          <w:rFonts w:ascii="Arial" w:eastAsia="Times New Roman" w:hAnsi="Arial" w:cs="Arial"/>
          <w:szCs w:val="28"/>
          <w:lang w:val="uk-UA" w:eastAsia="uk-UA"/>
        </w:rPr>
        <w:t xml:space="preserve">Часто адміністративні справи, пов’язані з публічною службою, стосуються оскарження рішень про звільнення з посади. </w:t>
      </w:r>
      <w:r w:rsidRPr="00511005">
        <w:rPr>
          <w:rFonts w:ascii="Arial" w:eastAsia="Times New Roman" w:hAnsi="Arial" w:cs="Arial"/>
          <w:szCs w:val="28"/>
          <w:lang w:eastAsia="uk-UA"/>
        </w:rPr>
        <w:t xml:space="preserve">Оскільки втрата роботи позбавляє людину засобів для існування, важливим аспектом таких справ є їх оперативний розгляд. Затягування процесу безпосередньо впливає як на позивача, так і на </w:t>
      </w:r>
      <w:r w:rsidRPr="00511005">
        <w:rPr>
          <w:rFonts w:ascii="Arial" w:eastAsia="Times New Roman" w:hAnsi="Arial" w:cs="Arial"/>
          <w:bCs/>
          <w:szCs w:val="28"/>
          <w:lang w:eastAsia="uk-UA"/>
        </w:rPr>
        <w:t>суб’єкта владних повноважень</w:t>
      </w:r>
      <w:r w:rsidRPr="00511005">
        <w:rPr>
          <w:rFonts w:ascii="Arial" w:eastAsia="Times New Roman" w:hAnsi="Arial" w:cs="Arial"/>
          <w:szCs w:val="28"/>
          <w:lang w:eastAsia="uk-UA"/>
        </w:rPr>
        <w:t>, який у випадку незаконного звільнення зобов’язаний виплатити компенсацію за весь період вимушеного прогулу. Відтак, чим довше триває судовий розгляд, тим більшою стає сума компенсації.</w:t>
      </w:r>
    </w:p>
    <w:p w14:paraId="5EB8AAF4"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Швидкий розгляд спорів, що стосуються прийняття на публічну службу, її проходження або звільнення з неї, зазвичай є пріоритетним. Тому застосування виключно загального позовного провадження до таких справ не завжди сприяло б ефективному досягненню цілей адміністративного судочинства.</w:t>
      </w:r>
    </w:p>
    <w:p w14:paraId="6D832895"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Водночас не можна повністю погодитися з категоричним підходом законодавця щодо автоматичного віднесення всіх справ цієї категорії до малозначних.</w:t>
      </w:r>
    </w:p>
    <w:p w14:paraId="5BB8C314"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 xml:space="preserve">Судова практика свідчить, що значна частина адміністративних справ, які стосуються проходження публічної служби, є доволі складними за змістом, що унеможливлює їх належний розгляд у межах спрощеного провадження, і це, у свою чергу, часто призводить до порушення встановленого законом 60-денного строку для розгляду таких справ [4]. Зважаючи на ці обставини, суди нерідко вдаються до розгляду таких справ за правилами загального позовного провадження, навіть попри те, що згідно з приписами законодавства відповідні справи віднесено до категорії малозначних і, формально, вони мають розглядатися у спрощеному порядку [5]. </w:t>
      </w:r>
    </w:p>
    <w:p w14:paraId="5A20C648"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Це підтверджують і численні приклади допущення до касаційного розгляду справ, пов’язаних із проходженням публічної служби, які були вирішені в межах спрощеного позовного провадження як справи незначної складності, хоча відповідно до загального правила, передбаченого п. 2 ч. 5 ст. 328 КАС України, такі справи не підлягають перегляду в касаційному порядку [6].</w:t>
      </w:r>
    </w:p>
    <w:p w14:paraId="3663A733" w14:textId="62345D1C"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У цьому контексті доцільним виглядає виключення п. 1 з ч. 6 ст. 12 КАС України, що дозволить виключити з-під автоматичного віднесення до малозначних справ ті,</w:t>
      </w:r>
      <w:r w:rsidR="007B2628" w:rsidRPr="00511005">
        <w:rPr>
          <w:rFonts w:ascii="Arial" w:eastAsia="Calibri" w:hAnsi="Arial" w:cs="Arial"/>
          <w:bCs/>
          <w:kern w:val="2"/>
          <w:szCs w:val="28"/>
          <w:lang w:val="uk-UA"/>
        </w:rPr>
        <w:t xml:space="preserve"> </w:t>
      </w:r>
      <w:r w:rsidRPr="00511005">
        <w:rPr>
          <w:rFonts w:ascii="Arial" w:eastAsia="Calibri" w:hAnsi="Arial" w:cs="Arial"/>
          <w:bCs/>
          <w:kern w:val="2"/>
          <w:szCs w:val="28"/>
          <w:lang w:val="uk-UA"/>
        </w:rPr>
        <w:t xml:space="preserve">що стосуються прийняття громадян на публічну службу, її проходження та звільнення. При цьому, по-перше, суд зберігатиме </w:t>
      </w:r>
      <w:r w:rsidRPr="00511005">
        <w:rPr>
          <w:rFonts w:ascii="Arial" w:eastAsia="Calibri" w:hAnsi="Arial" w:cs="Arial"/>
          <w:bCs/>
          <w:kern w:val="2"/>
          <w:szCs w:val="28"/>
          <w:lang w:val="uk-UA"/>
        </w:rPr>
        <w:lastRenderedPageBreak/>
        <w:t xml:space="preserve">право визнавати такі справи незначної складності на підставі п. 10 ч. 6 ст. 12 КАСУ, а по-друге, це забезпечить більшу процесуальну гнучкість. </w:t>
      </w:r>
    </w:p>
    <w:p w14:paraId="281230B6"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Таким чином, з огляду на покладений на суд обов’язок ухвалювати законні та вмотивовані рішення в адміністративних справах, саме суду належить визначити, чи доцільно розглядати конкретну справу, що стосується проходження публічної служби, у порядку спрощеного позовного провадження, чи ж обґрунтованішим буде застосування загального позовного провадження задля забезпечення ефективного виконання завдань адміністративного судочинства.</w:t>
      </w:r>
    </w:p>
    <w:p w14:paraId="5CE38025" w14:textId="77777777" w:rsidR="00B67481" w:rsidRPr="00511005" w:rsidRDefault="00B67481" w:rsidP="003A292D">
      <w:pPr>
        <w:spacing w:line="264" w:lineRule="auto"/>
        <w:rPr>
          <w:rFonts w:ascii="Arial" w:eastAsia="Calibri" w:hAnsi="Arial" w:cs="Arial"/>
          <w:bCs/>
          <w:kern w:val="2"/>
          <w:szCs w:val="28"/>
          <w:lang w:val="uk-UA"/>
        </w:rPr>
      </w:pPr>
      <w:r w:rsidRPr="00511005">
        <w:rPr>
          <w:rFonts w:ascii="Arial" w:eastAsia="Calibri" w:hAnsi="Arial" w:cs="Arial"/>
          <w:bCs/>
          <w:kern w:val="2"/>
          <w:szCs w:val="28"/>
          <w:lang w:val="uk-UA"/>
        </w:rPr>
        <w:t>Приміром, розгляд справи щодо поновлення на публічній службі може здійснюватися як у спрощеному, так і в загальному позовному порядку — залежно від обставин конкретного випадку, таких як предмет доказування, характер спірних правовідносин, склад сторін та інші чинники, передбачені ч. 3 ст. 257 КАС України. Реалізуючи свої дискреційні повноваження, суд має можливість обрати найбільш доцільну форму провадження: або керуватися ч. 2 ст. 257 КАС України та застосувати спрощену процедуру, або надати перевагу загальному провадженню, якщо це забезпечить повноцінне та справедливе вирішення спору.</w:t>
      </w:r>
    </w:p>
    <w:p w14:paraId="1EB7F6F7" w14:textId="77777777" w:rsidR="00B67481" w:rsidRPr="00511005" w:rsidRDefault="00B67481" w:rsidP="003A292D">
      <w:pPr>
        <w:spacing w:line="264" w:lineRule="auto"/>
        <w:ind w:firstLine="0"/>
        <w:rPr>
          <w:rFonts w:ascii="Arial" w:eastAsia="Calibri" w:hAnsi="Arial" w:cs="Arial"/>
          <w:kern w:val="2"/>
          <w:szCs w:val="28"/>
          <w:lang w:val="uk-UA"/>
        </w:rPr>
      </w:pPr>
    </w:p>
    <w:p w14:paraId="128A2E4F" w14:textId="5AB79FD5" w:rsidR="00B67481" w:rsidRPr="00511005" w:rsidRDefault="007B2628" w:rsidP="007B2628">
      <w:pPr>
        <w:spacing w:line="264" w:lineRule="auto"/>
        <w:jc w:val="center"/>
        <w:rPr>
          <w:rFonts w:ascii="Arial" w:eastAsia="Calibri" w:hAnsi="Arial" w:cs="Arial"/>
          <w:b/>
          <w:iCs/>
          <w:kern w:val="2"/>
          <w:szCs w:val="28"/>
          <w:lang w:val="uk-UA"/>
        </w:rPr>
      </w:pPr>
      <w:r w:rsidRPr="00511005">
        <w:rPr>
          <w:rFonts w:ascii="Arial" w:eastAsia="Calibri" w:hAnsi="Arial" w:cs="Arial"/>
          <w:b/>
          <w:iCs/>
          <w:kern w:val="2"/>
          <w:szCs w:val="28"/>
          <w:lang w:val="uk-UA"/>
        </w:rPr>
        <w:t>Список використаних джерел</w:t>
      </w:r>
    </w:p>
    <w:p w14:paraId="5A1F589A" w14:textId="77777777" w:rsidR="00B67481" w:rsidRPr="00511005" w:rsidRDefault="00B67481" w:rsidP="003F6A5D">
      <w:pPr>
        <w:numPr>
          <w:ilvl w:val="0"/>
          <w:numId w:val="280"/>
        </w:numPr>
        <w:spacing w:line="264" w:lineRule="auto"/>
        <w:ind w:left="0" w:firstLine="709"/>
        <w:jc w:val="left"/>
        <w:rPr>
          <w:rFonts w:ascii="Arial" w:eastAsia="Calibri" w:hAnsi="Arial" w:cs="Arial"/>
          <w:kern w:val="2"/>
          <w:szCs w:val="28"/>
          <w:lang w:val="uk-UA"/>
        </w:rPr>
      </w:pPr>
      <w:r w:rsidRPr="00511005">
        <w:rPr>
          <w:rFonts w:ascii="Arial" w:eastAsia="Calibri" w:hAnsi="Arial" w:cs="Arial"/>
          <w:kern w:val="2"/>
          <w:szCs w:val="28"/>
          <w:lang w:val="uk-UA"/>
        </w:rPr>
        <w:t xml:space="preserve">Кодекс адміністративного судочинства України: Закон України від 6 липня 2005 року № 2747- IV. URL: </w:t>
      </w:r>
      <w:hyperlink r:id="rId1046" w:anchor="Text" w:history="1">
        <w:r w:rsidRPr="00511005">
          <w:rPr>
            <w:rFonts w:ascii="Arial" w:eastAsia="Calibri" w:hAnsi="Arial" w:cs="Arial"/>
            <w:kern w:val="2"/>
            <w:szCs w:val="28"/>
            <w:lang w:val="uk-UA"/>
          </w:rPr>
          <w:t>https://zakon.rada.gov.ua/laws/show/2747-15#Text</w:t>
        </w:r>
      </w:hyperlink>
      <w:r w:rsidRPr="00511005">
        <w:rPr>
          <w:rFonts w:ascii="Arial" w:eastAsia="Calibri" w:hAnsi="Arial" w:cs="Arial"/>
          <w:kern w:val="2"/>
          <w:szCs w:val="28"/>
          <w:lang w:val="uk-UA"/>
        </w:rPr>
        <w:t xml:space="preserve"> (дата звернення: 20.04.2025)</w:t>
      </w:r>
    </w:p>
    <w:p w14:paraId="7F96E5DB" w14:textId="23057523" w:rsidR="00B67481" w:rsidRPr="00511005" w:rsidRDefault="00B67481" w:rsidP="003F6A5D">
      <w:pPr>
        <w:numPr>
          <w:ilvl w:val="0"/>
          <w:numId w:val="280"/>
        </w:numPr>
        <w:spacing w:line="264" w:lineRule="auto"/>
        <w:ind w:left="0" w:firstLine="709"/>
        <w:jc w:val="left"/>
        <w:rPr>
          <w:rFonts w:ascii="Arial" w:eastAsia="Calibri" w:hAnsi="Arial" w:cs="Arial"/>
          <w:kern w:val="2"/>
          <w:szCs w:val="28"/>
          <w:lang w:val="uk-UA"/>
        </w:rPr>
      </w:pPr>
      <w:r w:rsidRPr="00511005">
        <w:rPr>
          <w:rFonts w:ascii="Arial" w:eastAsia="Calibri" w:hAnsi="Arial" w:cs="Arial"/>
          <w:kern w:val="2"/>
          <w:szCs w:val="28"/>
          <w:lang w:val="uk-UA"/>
        </w:rPr>
        <w:t xml:space="preserve">Постанова Великої Палати Верховного Суду від 31 жовтня 2018 року у справі № 761/33941/16- ц. URL: </w:t>
      </w:r>
      <w:hyperlink r:id="rId1047" w:history="1">
        <w:r w:rsidRPr="00511005">
          <w:rPr>
            <w:rFonts w:ascii="Arial" w:eastAsia="Calibri" w:hAnsi="Arial" w:cs="Arial"/>
            <w:kern w:val="2"/>
            <w:szCs w:val="28"/>
            <w:lang w:val="uk-UA"/>
          </w:rPr>
          <w:t>https://reestr.court.gov.ua/Review/77586810</w:t>
        </w:r>
      </w:hyperlink>
      <w:r w:rsidR="007B2628" w:rsidRPr="00511005">
        <w:rPr>
          <w:rFonts w:ascii="Arial" w:eastAsia="Calibri" w:hAnsi="Arial" w:cs="Arial"/>
          <w:kern w:val="2"/>
          <w:szCs w:val="28"/>
          <w:lang w:val="uk-UA"/>
        </w:rPr>
        <w:t xml:space="preserve"> </w:t>
      </w:r>
      <w:r w:rsidRPr="00511005">
        <w:rPr>
          <w:rFonts w:ascii="Arial" w:eastAsia="Calibri" w:hAnsi="Arial" w:cs="Arial"/>
          <w:kern w:val="2"/>
          <w:szCs w:val="28"/>
          <w:lang w:val="uk-UA"/>
        </w:rPr>
        <w:t>(дата звернення: 20.04.2025).</w:t>
      </w:r>
    </w:p>
    <w:p w14:paraId="5AFD0190" w14:textId="77777777" w:rsidR="00B67481" w:rsidRPr="00511005" w:rsidRDefault="00B67481" w:rsidP="003F6A5D">
      <w:pPr>
        <w:numPr>
          <w:ilvl w:val="0"/>
          <w:numId w:val="280"/>
        </w:numPr>
        <w:spacing w:line="264" w:lineRule="auto"/>
        <w:ind w:left="0" w:firstLine="709"/>
        <w:jc w:val="left"/>
        <w:rPr>
          <w:rFonts w:ascii="Arial" w:eastAsia="Calibri" w:hAnsi="Arial" w:cs="Arial"/>
          <w:kern w:val="2"/>
          <w:szCs w:val="28"/>
          <w:lang w:val="uk-UA"/>
        </w:rPr>
      </w:pPr>
      <w:r w:rsidRPr="00511005">
        <w:rPr>
          <w:rFonts w:ascii="Arial" w:eastAsia="Calibri" w:hAnsi="Arial" w:cs="Arial"/>
          <w:kern w:val="2"/>
          <w:szCs w:val="28"/>
          <w:lang w:val="uk-UA"/>
        </w:rPr>
        <w:t>Цуркан М.І. Особливості судового розгляду спорів щодо проходження публічної служби в Україні: автореф. дис… канд. юр. наук: 12.00.07. Одеса, 2009. 18 с.</w:t>
      </w:r>
    </w:p>
    <w:p w14:paraId="75D06D45" w14:textId="77777777" w:rsidR="007B2628" w:rsidRPr="00511005" w:rsidRDefault="00B67481" w:rsidP="003F6A5D">
      <w:pPr>
        <w:numPr>
          <w:ilvl w:val="0"/>
          <w:numId w:val="280"/>
        </w:numPr>
        <w:spacing w:line="264" w:lineRule="auto"/>
        <w:ind w:left="0" w:firstLine="709"/>
        <w:jc w:val="left"/>
        <w:rPr>
          <w:rFonts w:ascii="Arial" w:eastAsia="Calibri" w:hAnsi="Arial" w:cs="Arial"/>
          <w:kern w:val="2"/>
          <w:szCs w:val="28"/>
          <w:lang w:val="uk-UA"/>
        </w:rPr>
      </w:pPr>
      <w:r w:rsidRPr="00511005">
        <w:rPr>
          <w:rFonts w:ascii="Arial" w:eastAsia="Calibri" w:hAnsi="Arial" w:cs="Arial"/>
          <w:kern w:val="2"/>
          <w:szCs w:val="28"/>
          <w:lang w:val="uk-UA"/>
        </w:rPr>
        <w:t xml:space="preserve">Рішення Дніпропетровського окружного адміністративного суду від 30 серпня 2021 року у справі № 160/4983/21. URL: </w:t>
      </w:r>
      <w:hyperlink r:id="rId1048" w:history="1">
        <w:r w:rsidRPr="00511005">
          <w:rPr>
            <w:rFonts w:ascii="Arial" w:eastAsia="Calibri" w:hAnsi="Arial" w:cs="Arial"/>
            <w:kern w:val="2"/>
            <w:szCs w:val="28"/>
            <w:lang w:val="uk-UA"/>
          </w:rPr>
          <w:t>http://reyestr.court.gov.ua/Review/100057865</w:t>
        </w:r>
      </w:hyperlink>
      <w:r w:rsidR="007B2628" w:rsidRPr="00511005">
        <w:rPr>
          <w:rFonts w:ascii="Arial" w:eastAsia="Calibri" w:hAnsi="Arial" w:cs="Arial"/>
          <w:kern w:val="2"/>
          <w:szCs w:val="28"/>
          <w:lang w:val="uk-UA"/>
        </w:rPr>
        <w:t xml:space="preserve"> </w:t>
      </w:r>
      <w:r w:rsidRPr="00511005">
        <w:rPr>
          <w:rFonts w:ascii="Arial" w:eastAsia="Calibri" w:hAnsi="Arial" w:cs="Arial"/>
          <w:kern w:val="2"/>
          <w:szCs w:val="28"/>
          <w:lang w:val="uk-UA"/>
        </w:rPr>
        <w:t>(дата звернення: 20.04.2025).</w:t>
      </w:r>
    </w:p>
    <w:p w14:paraId="0B9EF09A" w14:textId="465CEBD7" w:rsidR="00B67481" w:rsidRPr="00511005" w:rsidRDefault="00B67481" w:rsidP="003F6A5D">
      <w:pPr>
        <w:numPr>
          <w:ilvl w:val="0"/>
          <w:numId w:val="280"/>
        </w:numPr>
        <w:spacing w:line="264" w:lineRule="auto"/>
        <w:ind w:left="0" w:firstLine="709"/>
        <w:jc w:val="left"/>
        <w:rPr>
          <w:rFonts w:ascii="Arial" w:eastAsia="Calibri" w:hAnsi="Arial" w:cs="Arial"/>
          <w:kern w:val="2"/>
          <w:szCs w:val="28"/>
          <w:lang w:val="uk-UA"/>
        </w:rPr>
      </w:pPr>
      <w:r w:rsidRPr="00511005">
        <w:rPr>
          <w:rFonts w:ascii="Arial" w:eastAsia="Calibri" w:hAnsi="Arial" w:cs="Arial"/>
          <w:kern w:val="2"/>
          <w:szCs w:val="28"/>
          <w:lang w:val="uk-UA"/>
        </w:rPr>
        <w:t xml:space="preserve">Ухвала Вінницького окружного адміністративного суду від 1 листопада 2021 року у справі № 120/14085/21-а. URL: </w:t>
      </w:r>
      <w:hyperlink r:id="rId1049" w:history="1">
        <w:r w:rsidRPr="00511005">
          <w:rPr>
            <w:rFonts w:ascii="Arial" w:eastAsia="Calibri" w:hAnsi="Arial" w:cs="Arial"/>
            <w:kern w:val="2"/>
            <w:szCs w:val="28"/>
            <w:lang w:val="uk-UA"/>
          </w:rPr>
          <w:t>http://reyestr.court.gov.ua/Review/100709870</w:t>
        </w:r>
      </w:hyperlink>
      <w:r w:rsidR="007B2628" w:rsidRPr="00511005">
        <w:rPr>
          <w:rFonts w:ascii="Arial" w:eastAsia="Calibri" w:hAnsi="Arial" w:cs="Arial"/>
          <w:kern w:val="2"/>
          <w:szCs w:val="28"/>
          <w:lang w:val="uk-UA"/>
        </w:rPr>
        <w:t xml:space="preserve"> </w:t>
      </w:r>
      <w:r w:rsidRPr="00511005">
        <w:rPr>
          <w:rFonts w:ascii="Arial" w:eastAsia="Calibri" w:hAnsi="Arial" w:cs="Arial"/>
          <w:kern w:val="2"/>
          <w:szCs w:val="28"/>
          <w:lang w:val="uk-UA"/>
        </w:rPr>
        <w:t xml:space="preserve">(дата звернення: 20.04.2025). </w:t>
      </w:r>
    </w:p>
    <w:p w14:paraId="6B81080E" w14:textId="77777777" w:rsidR="00B67481" w:rsidRPr="00511005" w:rsidRDefault="00B67481" w:rsidP="003F6A5D">
      <w:pPr>
        <w:numPr>
          <w:ilvl w:val="0"/>
          <w:numId w:val="280"/>
        </w:numPr>
        <w:spacing w:line="264" w:lineRule="auto"/>
        <w:ind w:left="0" w:firstLine="709"/>
        <w:jc w:val="left"/>
        <w:rPr>
          <w:rFonts w:ascii="Arial" w:eastAsia="Calibri" w:hAnsi="Arial" w:cs="Arial"/>
          <w:kern w:val="2"/>
          <w:szCs w:val="28"/>
          <w:lang w:val="uk-UA"/>
        </w:rPr>
      </w:pPr>
      <w:r w:rsidRPr="00511005">
        <w:rPr>
          <w:rFonts w:ascii="Arial" w:eastAsia="Calibri" w:hAnsi="Arial" w:cs="Arial"/>
          <w:kern w:val="2"/>
          <w:szCs w:val="28"/>
          <w:lang w:val="uk-UA"/>
        </w:rPr>
        <w:t xml:space="preserve">Ухвала Верховного Суду від 18 березня 2021 року у справі № 120/3458/20-а. URL: </w:t>
      </w:r>
      <w:hyperlink r:id="rId1050" w:history="1">
        <w:r w:rsidRPr="00511005">
          <w:rPr>
            <w:rFonts w:ascii="Arial" w:eastAsia="Calibri" w:hAnsi="Arial" w:cs="Arial"/>
            <w:kern w:val="2"/>
            <w:szCs w:val="28"/>
            <w:lang w:val="uk-UA"/>
          </w:rPr>
          <w:t>http://reyestr.court.gov.ua/Review/95616034.13</w:t>
        </w:r>
      </w:hyperlink>
      <w:r w:rsidRPr="00511005">
        <w:rPr>
          <w:rFonts w:ascii="Arial" w:eastAsia="Calibri" w:hAnsi="Arial" w:cs="Arial"/>
          <w:kern w:val="2"/>
          <w:szCs w:val="28"/>
          <w:lang w:val="uk-UA"/>
        </w:rPr>
        <w:t xml:space="preserve"> (дата звернення: 20.04.2025).</w:t>
      </w:r>
    </w:p>
    <w:p w14:paraId="501EDF32" w14:textId="77777777" w:rsidR="00B67481" w:rsidRPr="00511005" w:rsidRDefault="00B67481" w:rsidP="003A292D">
      <w:pPr>
        <w:spacing w:line="264" w:lineRule="auto"/>
        <w:rPr>
          <w:rFonts w:ascii="Arial" w:eastAsia="Calibri" w:hAnsi="Arial" w:cs="Arial"/>
          <w:b/>
          <w:kern w:val="2"/>
          <w:szCs w:val="28"/>
          <w:lang w:val="uk-UA"/>
        </w:rPr>
      </w:pPr>
    </w:p>
    <w:p w14:paraId="4B656066" w14:textId="148F909A" w:rsidR="00B67481" w:rsidRPr="00511005" w:rsidRDefault="007B2628" w:rsidP="003A292D">
      <w:pPr>
        <w:spacing w:line="264" w:lineRule="auto"/>
        <w:rPr>
          <w:rFonts w:ascii="Arial" w:eastAsia="Calibri" w:hAnsi="Arial" w:cs="Arial"/>
          <w:kern w:val="2"/>
          <w:szCs w:val="28"/>
          <w:lang w:val="uk-UA"/>
        </w:rPr>
      </w:pPr>
      <w:r w:rsidRPr="00511005">
        <w:rPr>
          <w:rFonts w:ascii="Arial" w:eastAsia="Calibri" w:hAnsi="Arial" w:cs="Arial"/>
          <w:b/>
          <w:i/>
          <w:kern w:val="2"/>
          <w:szCs w:val="28"/>
          <w:lang w:val="uk-UA"/>
        </w:rPr>
        <w:lastRenderedPageBreak/>
        <w:t xml:space="preserve">Ключові слова: </w:t>
      </w:r>
      <w:r w:rsidR="00B67481" w:rsidRPr="00511005">
        <w:rPr>
          <w:rFonts w:ascii="Arial" w:eastAsia="Calibri" w:hAnsi="Arial" w:cs="Arial"/>
          <w:kern w:val="2"/>
          <w:szCs w:val="28"/>
          <w:lang w:val="uk-UA"/>
        </w:rPr>
        <w:t>публічна служба, проходження публічної служби,</w:t>
      </w:r>
      <w:r w:rsidR="00B67481" w:rsidRPr="00511005">
        <w:rPr>
          <w:rFonts w:ascii="Arial" w:eastAsia="Calibri" w:hAnsi="Arial" w:cs="Arial"/>
          <w:bCs/>
          <w:kern w:val="2"/>
          <w:szCs w:val="28"/>
          <w:lang w:val="uk-UA"/>
        </w:rPr>
        <w:t xml:space="preserve"> публічна діяльність</w:t>
      </w:r>
      <w:r w:rsidR="00B67481" w:rsidRPr="00511005">
        <w:rPr>
          <w:rFonts w:ascii="Arial" w:eastAsia="Calibri" w:hAnsi="Arial" w:cs="Arial"/>
          <w:kern w:val="2"/>
          <w:szCs w:val="28"/>
          <w:lang w:val="uk-UA"/>
        </w:rPr>
        <w:t>, спрощене позовне провадження, поновлення на публічній службі, малозначні справи.</w:t>
      </w:r>
    </w:p>
    <w:p w14:paraId="0B2FFDBA" w14:textId="14843DCB" w:rsidR="00B67481" w:rsidRPr="00511005" w:rsidRDefault="007B2628" w:rsidP="003A292D">
      <w:pPr>
        <w:spacing w:line="264" w:lineRule="auto"/>
        <w:rPr>
          <w:rFonts w:ascii="Arial" w:eastAsia="Calibri" w:hAnsi="Arial" w:cs="Arial"/>
          <w:bCs/>
          <w:kern w:val="2"/>
          <w:szCs w:val="28"/>
          <w:lang w:val="en-US"/>
        </w:rPr>
      </w:pPr>
      <w:r w:rsidRPr="00511005">
        <w:rPr>
          <w:rFonts w:ascii="Arial" w:eastAsia="Calibri" w:hAnsi="Arial" w:cs="Arial"/>
          <w:b/>
          <w:i/>
          <w:kern w:val="2"/>
          <w:szCs w:val="28"/>
          <w:lang w:val="en-US"/>
        </w:rPr>
        <w:t xml:space="preserve">Key words: </w:t>
      </w:r>
      <w:r w:rsidR="00B67481" w:rsidRPr="00511005">
        <w:rPr>
          <w:rFonts w:ascii="Arial" w:eastAsia="Calibri" w:hAnsi="Arial" w:cs="Arial"/>
          <w:bCs/>
          <w:kern w:val="2"/>
          <w:szCs w:val="28"/>
          <w:lang w:val="en-US"/>
        </w:rPr>
        <w:t>public service, performance of public service, public activity, simplified action proceedings, reinstatement in public service, minor cases.</w:t>
      </w:r>
    </w:p>
    <w:p w14:paraId="4B2585C9" w14:textId="6D644678" w:rsidR="00B67481" w:rsidRPr="00511005" w:rsidRDefault="007B2628" w:rsidP="003A292D">
      <w:pPr>
        <w:spacing w:line="264" w:lineRule="auto"/>
        <w:rPr>
          <w:rFonts w:ascii="Arial" w:eastAsia="Calibri" w:hAnsi="Arial" w:cs="Arial"/>
          <w:bCs/>
          <w:i/>
          <w:iCs/>
          <w:kern w:val="2"/>
          <w:szCs w:val="28"/>
        </w:rPr>
      </w:pPr>
      <w:r w:rsidRPr="00511005">
        <w:rPr>
          <w:rFonts w:ascii="Arial" w:eastAsia="Calibri" w:hAnsi="Arial" w:cs="Arial"/>
          <w:b/>
          <w:bCs/>
          <w:i/>
          <w:iCs/>
          <w:kern w:val="2"/>
          <w:szCs w:val="28"/>
          <w:lang w:val="uk-UA"/>
        </w:rPr>
        <w:t xml:space="preserve">Науковий керівник: </w:t>
      </w:r>
      <w:r w:rsidR="00B67481" w:rsidRPr="00511005">
        <w:rPr>
          <w:rFonts w:ascii="Arial" w:eastAsia="Calibri" w:hAnsi="Arial" w:cs="Arial"/>
          <w:bCs/>
          <w:i/>
          <w:iCs/>
          <w:kern w:val="2"/>
          <w:szCs w:val="28"/>
          <w:lang w:val="uk-UA"/>
        </w:rPr>
        <w:t xml:space="preserve">к.ю.н., доцент </w:t>
      </w:r>
      <w:r w:rsidR="00B67481" w:rsidRPr="00511005">
        <w:rPr>
          <w:rFonts w:ascii="Arial" w:eastAsia="Calibri" w:hAnsi="Arial" w:cs="Arial"/>
          <w:bCs/>
          <w:i/>
          <w:iCs/>
          <w:kern w:val="2"/>
          <w:szCs w:val="28"/>
        </w:rPr>
        <w:t>Осадчий А. Ю.</w:t>
      </w:r>
    </w:p>
    <w:p w14:paraId="447B78C5" w14:textId="77777777" w:rsidR="001D1A08" w:rsidRPr="00511005" w:rsidRDefault="001D1A08" w:rsidP="003A292D">
      <w:pPr>
        <w:spacing w:line="264" w:lineRule="auto"/>
        <w:ind w:firstLine="0"/>
        <w:jc w:val="left"/>
        <w:rPr>
          <w:rFonts w:ascii="Arial" w:eastAsia="Calibri" w:hAnsi="Arial" w:cs="Arial"/>
          <w:bCs/>
          <w:i/>
          <w:iCs/>
          <w:szCs w:val="28"/>
        </w:rPr>
      </w:pPr>
    </w:p>
    <w:p w14:paraId="3677E130" w14:textId="77777777" w:rsidR="001D1A08" w:rsidRPr="00511005" w:rsidRDefault="001D1A08" w:rsidP="003A292D">
      <w:pPr>
        <w:spacing w:line="264" w:lineRule="auto"/>
        <w:ind w:firstLine="0"/>
        <w:jc w:val="left"/>
        <w:rPr>
          <w:rFonts w:ascii="Arial" w:eastAsia="Calibri" w:hAnsi="Arial" w:cs="Arial"/>
          <w:bCs/>
          <w:i/>
          <w:iCs/>
          <w:szCs w:val="28"/>
        </w:rPr>
      </w:pPr>
    </w:p>
    <w:p w14:paraId="4B8D9415" w14:textId="77777777" w:rsidR="00B67481" w:rsidRPr="00511005" w:rsidRDefault="00B67481" w:rsidP="003A292D">
      <w:pPr>
        <w:spacing w:line="264" w:lineRule="auto"/>
        <w:ind w:firstLine="0"/>
        <w:jc w:val="center"/>
        <w:rPr>
          <w:rFonts w:ascii="Arial" w:eastAsia="Calibri" w:hAnsi="Arial" w:cs="Arial"/>
          <w:b/>
          <w:bCs/>
          <w:i/>
          <w:iCs/>
          <w:szCs w:val="28"/>
        </w:rPr>
      </w:pPr>
      <w:r w:rsidRPr="00511005">
        <w:rPr>
          <w:rFonts w:ascii="Arial" w:eastAsia="Calibri" w:hAnsi="Arial" w:cs="Arial"/>
          <w:b/>
          <w:bCs/>
          <w:i/>
          <w:iCs/>
          <w:szCs w:val="28"/>
        </w:rPr>
        <w:t>Савчук Вікторія Валентинівна</w:t>
      </w:r>
    </w:p>
    <w:p w14:paraId="1176C246" w14:textId="63B286AF" w:rsidR="00B67481" w:rsidRPr="00511005" w:rsidRDefault="00536AAB" w:rsidP="003A292D">
      <w:pPr>
        <w:spacing w:line="264" w:lineRule="auto"/>
        <w:ind w:firstLine="0"/>
        <w:jc w:val="center"/>
        <w:rPr>
          <w:rFonts w:ascii="Arial" w:eastAsia="Calibri" w:hAnsi="Arial" w:cs="Arial"/>
          <w:szCs w:val="28"/>
        </w:rPr>
      </w:pPr>
      <w:r w:rsidRPr="00511005">
        <w:rPr>
          <w:rFonts w:ascii="Arial" w:eastAsia="Calibri" w:hAnsi="Arial" w:cs="Arial"/>
          <w:szCs w:val="28"/>
          <w:lang w:val="uk-UA"/>
        </w:rPr>
        <w:t xml:space="preserve">студентка 4-го курсу </w:t>
      </w:r>
      <w:r w:rsidR="001B7B25" w:rsidRPr="00511005">
        <w:rPr>
          <w:rFonts w:ascii="Arial" w:eastAsia="Calibri" w:hAnsi="Arial" w:cs="Arial"/>
          <w:szCs w:val="28"/>
          <w:lang w:val="uk-UA"/>
        </w:rPr>
        <w:t>факультету судового та міжнародного права</w:t>
      </w:r>
      <w:r w:rsidR="00B67481" w:rsidRPr="00511005">
        <w:rPr>
          <w:rFonts w:ascii="Arial" w:eastAsia="Calibri" w:hAnsi="Arial" w:cs="Arial"/>
          <w:szCs w:val="28"/>
        </w:rPr>
        <w:t xml:space="preserve"> </w:t>
      </w:r>
    </w:p>
    <w:p w14:paraId="1407A656" w14:textId="0C4016B1" w:rsidR="00B67481" w:rsidRPr="00511005" w:rsidRDefault="007B2628" w:rsidP="003A292D">
      <w:pPr>
        <w:spacing w:line="264" w:lineRule="auto"/>
        <w:ind w:firstLine="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0484FFD9" w14:textId="77777777" w:rsidR="00B67481" w:rsidRPr="00511005" w:rsidRDefault="00B67481" w:rsidP="003A292D">
      <w:pPr>
        <w:spacing w:line="264" w:lineRule="auto"/>
        <w:ind w:firstLine="0"/>
        <w:jc w:val="left"/>
        <w:rPr>
          <w:rFonts w:ascii="Arial" w:eastAsia="Calibri" w:hAnsi="Arial" w:cs="Arial"/>
          <w:szCs w:val="28"/>
        </w:rPr>
      </w:pPr>
    </w:p>
    <w:p w14:paraId="7D57C9B2" w14:textId="77777777" w:rsidR="00B67481" w:rsidRPr="00511005" w:rsidRDefault="00B67481" w:rsidP="003A292D">
      <w:pPr>
        <w:spacing w:line="264" w:lineRule="auto"/>
        <w:ind w:firstLine="0"/>
        <w:jc w:val="center"/>
        <w:rPr>
          <w:rFonts w:ascii="Arial" w:eastAsia="Calibri" w:hAnsi="Arial" w:cs="Arial"/>
          <w:b/>
          <w:bCs/>
          <w:caps/>
          <w:szCs w:val="28"/>
        </w:rPr>
      </w:pPr>
      <w:r w:rsidRPr="00511005">
        <w:rPr>
          <w:rFonts w:ascii="Arial" w:eastAsia="Calibri" w:hAnsi="Arial" w:cs="Arial"/>
          <w:b/>
          <w:bCs/>
          <w:caps/>
          <w:szCs w:val="28"/>
        </w:rPr>
        <w:t>запобігання Зловживанням процесуальними</w:t>
      </w:r>
    </w:p>
    <w:p w14:paraId="2BE1B5C4" w14:textId="77777777" w:rsidR="00B67481" w:rsidRPr="00511005" w:rsidRDefault="00B67481" w:rsidP="003A292D">
      <w:pPr>
        <w:spacing w:line="264" w:lineRule="auto"/>
        <w:ind w:firstLine="0"/>
        <w:jc w:val="center"/>
        <w:rPr>
          <w:rFonts w:ascii="Arial" w:eastAsia="Calibri" w:hAnsi="Arial" w:cs="Arial"/>
          <w:b/>
          <w:bCs/>
          <w:caps/>
          <w:szCs w:val="28"/>
        </w:rPr>
      </w:pPr>
      <w:r w:rsidRPr="00511005">
        <w:rPr>
          <w:rFonts w:ascii="Arial" w:eastAsia="Calibri" w:hAnsi="Arial" w:cs="Arial"/>
          <w:b/>
          <w:bCs/>
          <w:caps/>
          <w:szCs w:val="28"/>
        </w:rPr>
        <w:t>правами в адміністративному судочинстві</w:t>
      </w:r>
    </w:p>
    <w:p w14:paraId="0D06DCAC"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У сучасних умовах функціонування правової системи України, особливо в період воєнного стану, питання ефективності адміністративного судочинства набуває особливого значення. З огляду на обмежені ресурси держави, підвищене навантаження на судову систему та необхідність забезпечення оперативного доступу громадян до правосуддя, особливої уваги потребує проблема зловживання процесуальними правами учасниками адміністративного процесу.</w:t>
      </w:r>
    </w:p>
    <w:p w14:paraId="5B4C7C5D"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Попри те, що Кодекс адміністративного судочинства України гарантує сторонам широкий спектр процесуальних прав, ці права мають реалізовуватись добросовісно та виключно з метою належного захисту прав, свобод і законних інтересів. У протилежному випадку — при використанні процесуальних інструментів у спосіб, що суперечить їхній меті — виникає явище, яке в науковій та судовій практиці кваліфікується як зловживання процесуальними правами. Таке зловживання перешкоджає реалізації принципів розумного строку розгляду справи, доступу до правосуддя та рівності учасників процесу, а в умовах воєнного стану — також створює ризики для стабільності правового порядку. Саме тому дослідження цієї теми є своєчасним і необхідним як у теоретичному, так і в практичному аспектах.</w:t>
      </w:r>
    </w:p>
    <w:p w14:paraId="204BD95F"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В юридичній літературі поняття зловживання процесуальними правами трактується як "такі дії або бездіяльність сторони, які хоч і формально відповідають закону, однак мають на меті порушити принцип добросовісності та ефективності правосуддя" [1]. В. М. Шаповал зазначає, що «право перестає бути правом, коли використовується не з метою захисту, а як інструмент тиску чи маніпуляцій» [2]. Прикладами зловживань можуть бути: подання численних безпідставних клопотань про відвід судді; подання апеляцій чи касацій без нових доводів; навмисне затягування з ознайомленням із матеріалами справи;</w:t>
      </w:r>
    </w:p>
    <w:p w14:paraId="18DEE655"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lastRenderedPageBreak/>
        <w:t xml:space="preserve">Такі дії мають цілком реальні наслідки: затягується розгляд справи, навантаження на суд тільки зростає, сторони зазнають додаткових фінансових і моральних втрат. У результаті — страждає довіра </w:t>
      </w:r>
      <w:proofErr w:type="gramStart"/>
      <w:r w:rsidRPr="00511005">
        <w:rPr>
          <w:rFonts w:ascii="Arial" w:eastAsia="Times New Roman" w:hAnsi="Arial" w:cs="Arial"/>
          <w:szCs w:val="28"/>
        </w:rPr>
        <w:t>до суду</w:t>
      </w:r>
      <w:proofErr w:type="gramEnd"/>
      <w:r w:rsidRPr="00511005">
        <w:rPr>
          <w:rFonts w:ascii="Arial" w:eastAsia="Times New Roman" w:hAnsi="Arial" w:cs="Arial"/>
          <w:szCs w:val="28"/>
        </w:rPr>
        <w:t xml:space="preserve"> як до ефективного інструменту захисту прав. Як доречно зазначає Л. І. Стефанюк, "коли процедура стає зброєю в руках недобросовісного учасника, правосуддя перетворюється на фікцію" [3].</w:t>
      </w:r>
    </w:p>
    <w:p w14:paraId="3A371608"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КАС України прямо забороняє такі дії. У ч. 4 ст. 45 зазначено: </w:t>
      </w:r>
      <w:proofErr w:type="gramStart"/>
      <w:r w:rsidRPr="00511005">
        <w:rPr>
          <w:rFonts w:ascii="Arial" w:eastAsia="Times New Roman" w:hAnsi="Arial" w:cs="Arial"/>
          <w:i/>
          <w:iCs/>
          <w:szCs w:val="28"/>
        </w:rPr>
        <w:t>«</w:t>
      </w:r>
      <w:r w:rsidRPr="00511005">
        <w:rPr>
          <w:rFonts w:ascii="Arial" w:eastAsia="Calibri" w:hAnsi="Arial" w:cs="Arial"/>
          <w:szCs w:val="28"/>
          <w:shd w:val="clear" w:color="auto" w:fill="FFFFFF"/>
        </w:rPr>
        <w:t xml:space="preserve"> Суд</w:t>
      </w:r>
      <w:proofErr w:type="gramEnd"/>
      <w:r w:rsidRPr="00511005">
        <w:rPr>
          <w:rFonts w:ascii="Arial" w:eastAsia="Calibri" w:hAnsi="Arial" w:cs="Arial"/>
          <w:szCs w:val="28"/>
          <w:shd w:val="clear" w:color="auto" w:fill="FFFFFF"/>
        </w:rPr>
        <w:t xml:space="preserve"> зобов’язаний вживати заходів для запобігання зловживанню процесуальними правами. У випадку зловживання учасником судового процесу його процесуальними правами, суд застосовує до нього заходи, визначені цим Кодексом.</w:t>
      </w:r>
      <w:r w:rsidRPr="00511005">
        <w:rPr>
          <w:rFonts w:ascii="Arial" w:eastAsia="Times New Roman" w:hAnsi="Arial" w:cs="Arial"/>
          <w:i/>
          <w:iCs/>
          <w:szCs w:val="28"/>
        </w:rPr>
        <w:t>»</w:t>
      </w:r>
      <w:r w:rsidRPr="00511005">
        <w:rPr>
          <w:rFonts w:ascii="Arial" w:eastAsia="Times New Roman" w:hAnsi="Arial" w:cs="Arial"/>
          <w:szCs w:val="28"/>
        </w:rPr>
        <w:t>. [6]</w:t>
      </w:r>
    </w:p>
    <w:p w14:paraId="6E5511DC"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Проблема не нова і для Європейського суду з прав людини. Так, у справі </w:t>
      </w:r>
      <w:r w:rsidRPr="00511005">
        <w:rPr>
          <w:rFonts w:ascii="Arial" w:eastAsia="Times New Roman" w:hAnsi="Arial" w:cs="Arial"/>
          <w:i/>
          <w:iCs/>
          <w:szCs w:val="28"/>
        </w:rPr>
        <w:t xml:space="preserve">«Миролюбов та інші проти Латвії» </w:t>
      </w:r>
      <w:r w:rsidRPr="00511005">
        <w:rPr>
          <w:rFonts w:ascii="Arial" w:eastAsia="Times New Roman" w:hAnsi="Arial" w:cs="Arial"/>
          <w:szCs w:val="28"/>
        </w:rPr>
        <w:t xml:space="preserve">Суд підкреслив, що право на справедливий суд не є абсолютним і "не може бути використане для підриву самого процесу правосуддя" [4]. З огляду на викладене, можна стверджувати, що боротьба зі зловживаннями — це не лише справа закону, а й питання правової культури учасників процесу. Важливо не тільки карати за зловживання, а й створити такі умови, за яких це буде просто невигідно. </w:t>
      </w:r>
      <w:r w:rsidRPr="00511005">
        <w:rPr>
          <w:rFonts w:ascii="Arial" w:eastAsia="Calibri" w:hAnsi="Arial" w:cs="Arial"/>
          <w:szCs w:val="28"/>
        </w:rPr>
        <w:t xml:space="preserve">Це рішення особливо важливе у контексті воєнного часу, оскільки вказує: </w:t>
      </w:r>
      <w:r w:rsidRPr="00511005">
        <w:rPr>
          <w:rFonts w:ascii="Arial" w:eastAsia="Calibri" w:hAnsi="Arial" w:cs="Arial"/>
          <w:b/>
          <w:bCs/>
          <w:szCs w:val="28"/>
        </w:rPr>
        <w:t>права учасників процесу не є абсолютними</w:t>
      </w:r>
      <w:r w:rsidRPr="00511005">
        <w:rPr>
          <w:rFonts w:ascii="Arial" w:eastAsia="Calibri" w:hAnsi="Arial" w:cs="Arial"/>
          <w:bCs/>
          <w:szCs w:val="28"/>
        </w:rPr>
        <w:t>,</w:t>
      </w:r>
      <w:r w:rsidRPr="00511005">
        <w:rPr>
          <w:rFonts w:ascii="Arial" w:eastAsia="Calibri" w:hAnsi="Arial" w:cs="Arial"/>
          <w:b/>
          <w:szCs w:val="28"/>
        </w:rPr>
        <w:t xml:space="preserve"> </w:t>
      </w:r>
      <w:r w:rsidRPr="00511005">
        <w:rPr>
          <w:rFonts w:ascii="Arial" w:eastAsia="Calibri" w:hAnsi="Arial" w:cs="Arial"/>
          <w:szCs w:val="28"/>
        </w:rPr>
        <w:t xml:space="preserve">і їх реалізація повинна здійснюватися </w:t>
      </w:r>
      <w:proofErr w:type="gramStart"/>
      <w:r w:rsidRPr="00511005">
        <w:rPr>
          <w:rFonts w:ascii="Arial" w:eastAsia="Calibri" w:hAnsi="Arial" w:cs="Arial"/>
          <w:szCs w:val="28"/>
        </w:rPr>
        <w:t>у рамках</w:t>
      </w:r>
      <w:proofErr w:type="gramEnd"/>
      <w:r w:rsidRPr="00511005">
        <w:rPr>
          <w:rFonts w:ascii="Arial" w:eastAsia="Calibri" w:hAnsi="Arial" w:cs="Arial"/>
          <w:szCs w:val="28"/>
        </w:rPr>
        <w:t xml:space="preserve"> справедливого балансу між індивідуальними інтересами та суспільною потребою в ефективному правосудді.</w:t>
      </w:r>
    </w:p>
    <w:p w14:paraId="509B26C6"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У процесуальному праві (зокрема адміністративному) важливо розрізняти активне здійснення прав і їх недобросовісне використання. Якщо особа подає апеляцію, але робить це винятково з метою затягування справи, — це вже не реалізація права, а процесуальна маніпуляція. Ю. Л. Бошицький підкреслює, що зловживання правами є наслідком "формалізму в законодавстві та низької правової культури учасників процесу" [5]. І дійсно: більшість випадків зловживань базуються на слабких місцях процесуального законодавства або на тому, що суди не завжди оперативно реагують на подібні прояви.</w:t>
      </w:r>
    </w:p>
    <w:p w14:paraId="6B2B4B86"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 xml:space="preserve">Деякі науковці також пропонують класифікацію форм зловживань: Активні форми: безпідставні клопотання, навмисне дублювання документів, постійна зміна позиції або представника; Пасивні форми: неявка </w:t>
      </w:r>
      <w:proofErr w:type="gramStart"/>
      <w:r w:rsidRPr="00511005">
        <w:rPr>
          <w:rFonts w:ascii="Arial" w:eastAsia="Times New Roman" w:hAnsi="Arial" w:cs="Arial"/>
          <w:szCs w:val="28"/>
        </w:rPr>
        <w:t>до суду</w:t>
      </w:r>
      <w:proofErr w:type="gramEnd"/>
      <w:r w:rsidRPr="00511005">
        <w:rPr>
          <w:rFonts w:ascii="Arial" w:eastAsia="Times New Roman" w:hAnsi="Arial" w:cs="Arial"/>
          <w:szCs w:val="28"/>
        </w:rPr>
        <w:t>, затягування ознайомлення з матеріалами, відмова від участі без пояснень.</w:t>
      </w:r>
    </w:p>
    <w:p w14:paraId="76FD4C76"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Таким чином, зловживання процесуальними правами не завжди виглядає очевидно. Часто це — тонка межа між правом на захист і порушенням принципу добросовісності. І саме тут важлива роль суду — розпізнати такі дії та вчасно відреагувати.</w:t>
      </w:r>
    </w:p>
    <w:p w14:paraId="6E6B4393"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Українські суди дедалі частіше стикаються з випадками, коли учасники процесу використовують свої права не для реалізації правового захисту, а для затягування справ, створення перешкод або тиску на іншу сторону. Це </w:t>
      </w:r>
      <w:r w:rsidRPr="00511005">
        <w:rPr>
          <w:rFonts w:ascii="Arial" w:eastAsia="Calibri" w:hAnsi="Arial" w:cs="Arial"/>
          <w:szCs w:val="28"/>
        </w:rPr>
        <w:lastRenderedPageBreak/>
        <w:t xml:space="preserve">спричиняє як порушення процесуальних строків, так і підрив довіри до правосуддя. У відповідь суди почали формувати практику, яка дозволяє протидіяти таким проявам. </w:t>
      </w:r>
    </w:p>
    <w:p w14:paraId="240C5038"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Як приклад, справа №160/11412/19 </w:t>
      </w:r>
      <w:r w:rsidRPr="00511005">
        <w:rPr>
          <w:rFonts w:ascii="Arial" w:eastAsia="Times New Roman" w:hAnsi="Arial" w:cs="Arial"/>
          <w:szCs w:val="28"/>
        </w:rPr>
        <w:t>у цій справі Харківський окружний адміністративний суд розглядав позовну заяву, у ході якої відповідач тричі подавав клопотання про відвід одного й того ж судді, при чому жодного разу не наводив нових чи об’єктивних підстав. Підстави відводу були фактично скопійовані, ґрунтувалися на припущеннях і не відповідали вимогам частини першої статті 36 КАС України.</w:t>
      </w:r>
      <w:r w:rsidRPr="00511005">
        <w:rPr>
          <w:rFonts w:ascii="Arial" w:eastAsia="Calibri" w:hAnsi="Arial" w:cs="Arial"/>
          <w:szCs w:val="28"/>
        </w:rPr>
        <w:t xml:space="preserve"> </w:t>
      </w:r>
    </w:p>
    <w:p w14:paraId="076E4AE4"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Суд, проаналізувавши ситуацію, дійшов висновку, що таке повторне подання ідентичних клопотань не має на меті справедливий розгляд справи, а лише створює штучні перешкоди. В рішенні наголошено:</w:t>
      </w:r>
      <w:r w:rsidRPr="00511005">
        <w:rPr>
          <w:rFonts w:ascii="Arial" w:eastAsia="Calibri" w:hAnsi="Arial" w:cs="Arial"/>
          <w:szCs w:val="28"/>
        </w:rPr>
        <w:t xml:space="preserve"> </w:t>
      </w:r>
      <w:r w:rsidRPr="00511005">
        <w:rPr>
          <w:rFonts w:ascii="Arial" w:eastAsia="Times New Roman" w:hAnsi="Arial" w:cs="Arial"/>
          <w:szCs w:val="28"/>
        </w:rPr>
        <w:t>«Повторне подання клопотання про відвід без зміни обставин є зловживанням процесуальним правом, що суперечить принципам добросовісності та змагальності сторін».</w:t>
      </w:r>
      <w:r w:rsidRPr="00511005">
        <w:rPr>
          <w:rFonts w:ascii="Arial" w:eastAsia="Calibri" w:hAnsi="Arial" w:cs="Arial"/>
          <w:szCs w:val="28"/>
        </w:rPr>
        <w:t xml:space="preserve"> </w:t>
      </w:r>
      <w:r w:rsidRPr="00511005">
        <w:rPr>
          <w:rFonts w:ascii="Arial" w:eastAsia="Times New Roman" w:hAnsi="Arial" w:cs="Arial"/>
          <w:szCs w:val="28"/>
        </w:rPr>
        <w:t>Суд наклав штраф у розмірі 4200 гривень, зазначивши, що подібна поведінка не може залишатися без юридичних наслідків.</w:t>
      </w:r>
      <w:r w:rsidRPr="00511005">
        <w:rPr>
          <w:rFonts w:ascii="Arial" w:eastAsia="Calibri" w:hAnsi="Arial" w:cs="Arial"/>
          <w:szCs w:val="28"/>
        </w:rPr>
        <w:t xml:space="preserve"> </w:t>
      </w:r>
      <w:r w:rsidRPr="00511005">
        <w:rPr>
          <w:rFonts w:ascii="Arial" w:eastAsia="Times New Roman" w:hAnsi="Arial" w:cs="Arial"/>
          <w:szCs w:val="28"/>
        </w:rPr>
        <w:t>Цей випадок показовий, бо демонструє готовність суду не лише ідентифікувати зловживання, а й покарати його в межах процесуального інструментарію.</w:t>
      </w:r>
    </w:p>
    <w:p w14:paraId="2D3BB870"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Зловживання процесуальними правами в адміністративному судочинстві становить серйозну загрозу як для ефективності судового розгляду, так і для реалізації принципів добросовісності, рівності сторін та доступу до правосуддя. Особливо гостро ця проблема постає в умовах воєнного стану, коли ресурси правосуддя обмежені, а потреба у швидкому захисті прав лише зростає.</w:t>
      </w:r>
    </w:p>
    <w:p w14:paraId="671F6F96"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Судова практика демонструє, що українські суди поступово виробляють механізми реагування на недобросовісну поведінку сторін — зокрема, шляхом накладення штрафів або залишення заяв без розгляду. Аналогічні підходи простежуються і в практиці ЄСПЛ.</w:t>
      </w:r>
    </w:p>
    <w:p w14:paraId="3C08B199" w14:textId="77777777" w:rsidR="00B67481" w:rsidRPr="00511005" w:rsidRDefault="00B67481" w:rsidP="003A292D">
      <w:pPr>
        <w:spacing w:line="264" w:lineRule="auto"/>
        <w:rPr>
          <w:rFonts w:ascii="Arial" w:eastAsia="Times New Roman" w:hAnsi="Arial" w:cs="Arial"/>
          <w:szCs w:val="28"/>
        </w:rPr>
      </w:pPr>
      <w:r w:rsidRPr="00511005">
        <w:rPr>
          <w:rFonts w:ascii="Arial" w:eastAsia="Times New Roman" w:hAnsi="Arial" w:cs="Arial"/>
          <w:szCs w:val="28"/>
        </w:rPr>
        <w:t>Незважаючи на позитивні кроки в судовій практиці, важливо також посилити правову регламентацію зловживання процесуальними правами. Зокрема, необхідно розробити чіткіші критерії для визначення зловживання та передбачити більш ефективні заходи впливу, що сприятимуть стабільності судового процесу.</w:t>
      </w:r>
    </w:p>
    <w:p w14:paraId="349207D6" w14:textId="77777777" w:rsidR="00B67481" w:rsidRPr="00511005" w:rsidRDefault="00B67481" w:rsidP="003A292D">
      <w:pPr>
        <w:spacing w:line="264" w:lineRule="auto"/>
        <w:ind w:firstLine="720"/>
        <w:rPr>
          <w:rFonts w:ascii="Arial" w:eastAsia="Times New Roman" w:hAnsi="Arial" w:cs="Arial"/>
          <w:szCs w:val="28"/>
        </w:rPr>
      </w:pPr>
    </w:p>
    <w:p w14:paraId="61435AA2" w14:textId="0E057CE9" w:rsidR="00B67481" w:rsidRPr="00511005" w:rsidRDefault="007B2628" w:rsidP="007B2628">
      <w:pPr>
        <w:spacing w:line="264" w:lineRule="auto"/>
        <w:ind w:firstLine="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6FF8D409" w14:textId="77777777" w:rsidR="00B67481" w:rsidRPr="00511005" w:rsidRDefault="00B67481" w:rsidP="003F6A5D">
      <w:pPr>
        <w:numPr>
          <w:ilvl w:val="0"/>
          <w:numId w:val="281"/>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Давидюк О. Зловживання процесуальними правами в адміністративному судочинстві. </w:t>
      </w:r>
      <w:r w:rsidRPr="00511005">
        <w:rPr>
          <w:rFonts w:ascii="Arial" w:eastAsia="Times New Roman" w:hAnsi="Arial" w:cs="Arial"/>
          <w:i/>
          <w:iCs/>
          <w:szCs w:val="28"/>
          <w:lang w:eastAsia="ru-RU"/>
        </w:rPr>
        <w:t>Адміністративне право і процес</w:t>
      </w:r>
      <w:r w:rsidRPr="00511005">
        <w:rPr>
          <w:rFonts w:ascii="Arial" w:eastAsia="Times New Roman" w:hAnsi="Arial" w:cs="Arial"/>
          <w:szCs w:val="28"/>
          <w:lang w:eastAsia="ru-RU"/>
        </w:rPr>
        <w:t>. – 2022. – №2(30). – С. 54–58.</w:t>
      </w:r>
    </w:p>
    <w:p w14:paraId="37EB5FA5" w14:textId="77777777" w:rsidR="00B67481" w:rsidRPr="00511005" w:rsidRDefault="00B67481" w:rsidP="003F6A5D">
      <w:pPr>
        <w:numPr>
          <w:ilvl w:val="0"/>
          <w:numId w:val="281"/>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Шаповал В. М. Процесуальні права: межа між захистом і маніпуляцією </w:t>
      </w:r>
      <w:r w:rsidRPr="00511005">
        <w:rPr>
          <w:rFonts w:ascii="Arial" w:eastAsia="Times New Roman" w:hAnsi="Arial" w:cs="Arial"/>
          <w:i/>
          <w:iCs/>
          <w:szCs w:val="28"/>
          <w:lang w:eastAsia="ru-RU"/>
        </w:rPr>
        <w:t>Юридичний вісник України</w:t>
      </w:r>
      <w:r w:rsidRPr="00511005">
        <w:rPr>
          <w:rFonts w:ascii="Arial" w:eastAsia="Times New Roman" w:hAnsi="Arial" w:cs="Arial"/>
          <w:szCs w:val="28"/>
          <w:lang w:eastAsia="ru-RU"/>
        </w:rPr>
        <w:t>. – 2021. – №12.</w:t>
      </w:r>
    </w:p>
    <w:p w14:paraId="5BC118E1" w14:textId="77777777" w:rsidR="00B67481" w:rsidRPr="00511005" w:rsidRDefault="00B67481" w:rsidP="003F6A5D">
      <w:pPr>
        <w:numPr>
          <w:ilvl w:val="0"/>
          <w:numId w:val="281"/>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Стефанюк Л. І. Добросовісність як принцип адміністративного процесу. </w:t>
      </w:r>
      <w:r w:rsidRPr="00511005">
        <w:rPr>
          <w:rFonts w:ascii="Arial" w:eastAsia="Times New Roman" w:hAnsi="Arial" w:cs="Arial"/>
          <w:i/>
          <w:iCs/>
          <w:szCs w:val="28"/>
          <w:lang w:eastAsia="ru-RU"/>
        </w:rPr>
        <w:t>Вісник НАПрН України</w:t>
      </w:r>
      <w:r w:rsidRPr="00511005">
        <w:rPr>
          <w:rFonts w:ascii="Arial" w:eastAsia="Times New Roman" w:hAnsi="Arial" w:cs="Arial"/>
          <w:szCs w:val="28"/>
          <w:lang w:eastAsia="ru-RU"/>
        </w:rPr>
        <w:t>. – 2020. – №1(25). – С. 110–117.</w:t>
      </w:r>
    </w:p>
    <w:p w14:paraId="19E444B6" w14:textId="77777777" w:rsidR="00B67481" w:rsidRPr="00511005" w:rsidRDefault="00B67481" w:rsidP="003F6A5D">
      <w:pPr>
        <w:numPr>
          <w:ilvl w:val="0"/>
          <w:numId w:val="281"/>
        </w:numPr>
        <w:spacing w:line="264" w:lineRule="auto"/>
        <w:ind w:left="0" w:firstLine="709"/>
        <w:contextualSpacing/>
        <w:jc w:val="left"/>
        <w:rPr>
          <w:rFonts w:ascii="Arial" w:eastAsia="Times New Roman" w:hAnsi="Arial" w:cs="Arial"/>
          <w:szCs w:val="28"/>
          <w:lang w:val="en-US" w:eastAsia="ru-RU"/>
        </w:rPr>
      </w:pPr>
      <w:r w:rsidRPr="00511005">
        <w:rPr>
          <w:rFonts w:ascii="Arial" w:eastAsia="Times New Roman" w:hAnsi="Arial" w:cs="Arial"/>
          <w:i/>
          <w:iCs/>
          <w:szCs w:val="28"/>
          <w:lang w:val="en-US" w:eastAsia="ru-RU"/>
        </w:rPr>
        <w:t>Miroļubovs and Others v. Latvia</w:t>
      </w:r>
      <w:r w:rsidRPr="00511005">
        <w:rPr>
          <w:rFonts w:ascii="Arial" w:eastAsia="Times New Roman" w:hAnsi="Arial" w:cs="Arial"/>
          <w:szCs w:val="28"/>
          <w:lang w:val="en-US" w:eastAsia="ru-RU"/>
        </w:rPr>
        <w:t>, no. 798/05, ECHR 2009.</w:t>
      </w:r>
    </w:p>
    <w:p w14:paraId="652CACD7" w14:textId="77777777" w:rsidR="00B67481" w:rsidRPr="00511005" w:rsidRDefault="00B67481" w:rsidP="003F6A5D">
      <w:pPr>
        <w:numPr>
          <w:ilvl w:val="0"/>
          <w:numId w:val="281"/>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Бошицький Ю. Л. Принцип добросовісності у судовому процесі: між ідеєю і практикою. </w:t>
      </w:r>
      <w:r w:rsidRPr="00511005">
        <w:rPr>
          <w:rFonts w:ascii="Arial" w:eastAsia="Times New Roman" w:hAnsi="Arial" w:cs="Arial"/>
          <w:i/>
          <w:iCs/>
          <w:szCs w:val="28"/>
          <w:lang w:eastAsia="ru-RU"/>
        </w:rPr>
        <w:t>Юридичний журнал "Право України"</w:t>
      </w:r>
      <w:r w:rsidRPr="00511005">
        <w:rPr>
          <w:rFonts w:ascii="Arial" w:eastAsia="Times New Roman" w:hAnsi="Arial" w:cs="Arial"/>
          <w:szCs w:val="28"/>
          <w:lang w:eastAsia="ru-RU"/>
        </w:rPr>
        <w:t>. – 2021. – №6. – С. 32–37.</w:t>
      </w:r>
    </w:p>
    <w:p w14:paraId="7DEFB32E" w14:textId="77777777" w:rsidR="00B67481" w:rsidRPr="00511005" w:rsidRDefault="00B67481" w:rsidP="003F6A5D">
      <w:pPr>
        <w:numPr>
          <w:ilvl w:val="0"/>
          <w:numId w:val="281"/>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Кодекс адміністративного судочинства України.</w:t>
      </w:r>
    </w:p>
    <w:p w14:paraId="6FB9EE4F" w14:textId="77777777" w:rsidR="00B67481" w:rsidRPr="00511005" w:rsidRDefault="00B67481" w:rsidP="003A292D">
      <w:pPr>
        <w:spacing w:line="264" w:lineRule="auto"/>
        <w:rPr>
          <w:rFonts w:ascii="Arial" w:eastAsia="Calibri" w:hAnsi="Arial" w:cs="Arial"/>
          <w:b/>
          <w:bCs/>
          <w:szCs w:val="28"/>
          <w:lang w:val="uk-UA"/>
        </w:rPr>
      </w:pPr>
    </w:p>
    <w:p w14:paraId="4AF83D9E" w14:textId="5888FD96" w:rsidR="00B67481" w:rsidRPr="00511005" w:rsidRDefault="007B2628" w:rsidP="003A292D">
      <w:pPr>
        <w:spacing w:line="264" w:lineRule="auto"/>
        <w:rPr>
          <w:rFonts w:ascii="Arial" w:eastAsia="Calibri" w:hAnsi="Arial" w:cs="Arial"/>
          <w:szCs w:val="28"/>
        </w:rPr>
      </w:pPr>
      <w:r w:rsidRPr="00511005">
        <w:rPr>
          <w:rFonts w:ascii="Arial" w:eastAsia="Calibri" w:hAnsi="Arial" w:cs="Arial"/>
          <w:b/>
          <w:bCs/>
          <w:i/>
          <w:szCs w:val="28"/>
        </w:rPr>
        <w:t xml:space="preserve">Ключові слова: </w:t>
      </w:r>
      <w:r w:rsidR="00B67481" w:rsidRPr="00511005">
        <w:rPr>
          <w:rFonts w:ascii="Arial" w:eastAsia="Calibri" w:hAnsi="Arial" w:cs="Arial"/>
          <w:szCs w:val="28"/>
        </w:rPr>
        <w:t>зловживання процесуальними правами, адміністративне судочинство, судова практика, воєнний стан, добросовісність.</w:t>
      </w:r>
    </w:p>
    <w:p w14:paraId="3060A60C" w14:textId="1FCC292B" w:rsidR="00B67481"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bCs/>
          <w:i/>
          <w:szCs w:val="28"/>
          <w:lang w:val="en-US"/>
        </w:rPr>
        <w:t xml:space="preserve">Key words: </w:t>
      </w:r>
      <w:r w:rsidR="00B67481" w:rsidRPr="00511005">
        <w:rPr>
          <w:rFonts w:ascii="Arial" w:eastAsia="Calibri" w:hAnsi="Arial" w:cs="Arial"/>
          <w:szCs w:val="28"/>
          <w:lang w:val="en-US"/>
        </w:rPr>
        <w:t>abuse of procedural rights, administrative proceedings, court practice, martial law, good faith.</w:t>
      </w:r>
    </w:p>
    <w:p w14:paraId="06CEF76D" w14:textId="23C3A957" w:rsidR="00B67481" w:rsidRPr="00511005" w:rsidRDefault="007B2628" w:rsidP="003A292D">
      <w:pPr>
        <w:spacing w:line="264" w:lineRule="auto"/>
        <w:rPr>
          <w:rFonts w:ascii="Arial" w:eastAsia="Calibri" w:hAnsi="Arial" w:cs="Arial"/>
          <w:i/>
          <w:iCs/>
          <w:szCs w:val="28"/>
        </w:rPr>
      </w:pPr>
      <w:r w:rsidRPr="00511005">
        <w:rPr>
          <w:rFonts w:ascii="Arial" w:eastAsia="Calibri" w:hAnsi="Arial" w:cs="Arial"/>
          <w:b/>
          <w:i/>
          <w:iCs/>
          <w:szCs w:val="28"/>
        </w:rPr>
        <w:t xml:space="preserve">Науковий керівник: </w:t>
      </w:r>
      <w:r w:rsidR="00383DE9" w:rsidRPr="00511005">
        <w:rPr>
          <w:rFonts w:ascii="Arial" w:eastAsia="Calibri" w:hAnsi="Arial" w:cs="Arial"/>
          <w:i/>
          <w:iCs/>
          <w:szCs w:val="28"/>
        </w:rPr>
        <w:t xml:space="preserve">к.ю.н., </w:t>
      </w:r>
      <w:r w:rsidR="00B67481" w:rsidRPr="00511005">
        <w:rPr>
          <w:rFonts w:ascii="Arial" w:eastAsia="Calibri" w:hAnsi="Arial" w:cs="Arial"/>
          <w:i/>
          <w:iCs/>
          <w:szCs w:val="28"/>
        </w:rPr>
        <w:t>доцент Осадчий А.Ю.</w:t>
      </w:r>
    </w:p>
    <w:p w14:paraId="7ABBB7A5" w14:textId="77777777" w:rsidR="001D1A08" w:rsidRPr="00511005" w:rsidRDefault="001D1A08" w:rsidP="003A292D">
      <w:pPr>
        <w:spacing w:line="264" w:lineRule="auto"/>
        <w:ind w:firstLine="0"/>
        <w:jc w:val="center"/>
        <w:rPr>
          <w:rFonts w:ascii="Arial" w:eastAsia="Calibri" w:hAnsi="Arial" w:cs="Arial"/>
          <w:i/>
          <w:iCs/>
          <w:szCs w:val="28"/>
        </w:rPr>
      </w:pPr>
    </w:p>
    <w:p w14:paraId="0BB5D73A" w14:textId="77777777" w:rsidR="001D1A08" w:rsidRPr="00511005" w:rsidRDefault="001D1A08" w:rsidP="003A292D">
      <w:pPr>
        <w:spacing w:line="264" w:lineRule="auto"/>
        <w:ind w:firstLine="0"/>
        <w:jc w:val="center"/>
        <w:rPr>
          <w:rFonts w:ascii="Arial" w:eastAsia="Calibri" w:hAnsi="Arial" w:cs="Arial"/>
          <w:i/>
          <w:iCs/>
          <w:szCs w:val="28"/>
        </w:rPr>
      </w:pPr>
    </w:p>
    <w:p w14:paraId="1CF3A051" w14:textId="5A0E82C4" w:rsidR="007B2628" w:rsidRPr="00511005" w:rsidRDefault="00B67481"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Стрюкова Ірина Сергіївна</w:t>
      </w:r>
    </w:p>
    <w:p w14:paraId="2F7CB937" w14:textId="54C0BF97" w:rsidR="00B67481" w:rsidRPr="00511005" w:rsidRDefault="00536AAB" w:rsidP="003A292D">
      <w:pPr>
        <w:spacing w:line="264" w:lineRule="auto"/>
        <w:ind w:firstLine="0"/>
        <w:jc w:val="center"/>
        <w:rPr>
          <w:rFonts w:ascii="Arial" w:eastAsia="Calibri" w:hAnsi="Arial" w:cs="Arial"/>
          <w:b/>
          <w:i/>
          <w:szCs w:val="28"/>
          <w:lang w:val="uk-UA"/>
        </w:rPr>
      </w:pPr>
      <w:r w:rsidRPr="00511005">
        <w:rPr>
          <w:rFonts w:ascii="Arial" w:eastAsia="Calibri" w:hAnsi="Arial" w:cs="Arial"/>
          <w:i/>
          <w:szCs w:val="28"/>
          <w:lang w:val="uk-UA"/>
        </w:rPr>
        <w:t xml:space="preserve">студентка 2-го курсу </w:t>
      </w:r>
      <w:r w:rsidR="001B7B25" w:rsidRPr="00511005">
        <w:rPr>
          <w:rFonts w:ascii="Arial" w:eastAsia="Calibri" w:hAnsi="Arial" w:cs="Arial"/>
          <w:i/>
          <w:szCs w:val="28"/>
          <w:lang w:val="uk-UA"/>
        </w:rPr>
        <w:t>факультету судового та міжнародного права</w:t>
      </w:r>
    </w:p>
    <w:p w14:paraId="5EDA5150" w14:textId="77777777" w:rsidR="00B67481" w:rsidRPr="00511005" w:rsidRDefault="00B67481" w:rsidP="003A292D">
      <w:pPr>
        <w:spacing w:line="264" w:lineRule="auto"/>
        <w:ind w:firstLine="0"/>
        <w:jc w:val="center"/>
        <w:rPr>
          <w:rFonts w:ascii="Arial" w:eastAsia="Calibri" w:hAnsi="Arial" w:cs="Arial"/>
          <w:i/>
          <w:szCs w:val="28"/>
          <w:lang w:val="uk-UA"/>
        </w:rPr>
      </w:pPr>
      <w:r w:rsidRPr="00511005">
        <w:rPr>
          <w:rFonts w:ascii="Arial" w:eastAsia="Calibri" w:hAnsi="Arial" w:cs="Arial"/>
          <w:i/>
          <w:szCs w:val="28"/>
          <w:lang w:val="uk-UA"/>
        </w:rPr>
        <w:t>Націoнальнoгo університету «Oдеська юридична академія»</w:t>
      </w:r>
    </w:p>
    <w:p w14:paraId="786E5E33" w14:textId="77777777" w:rsidR="00B67481" w:rsidRPr="00511005" w:rsidRDefault="00B67481" w:rsidP="003A292D">
      <w:pPr>
        <w:spacing w:line="264" w:lineRule="auto"/>
        <w:ind w:firstLine="0"/>
        <w:jc w:val="center"/>
        <w:rPr>
          <w:rFonts w:ascii="Arial" w:eastAsia="Calibri" w:hAnsi="Arial" w:cs="Arial"/>
          <w:i/>
          <w:szCs w:val="28"/>
          <w:lang w:val="uk-UA"/>
        </w:rPr>
      </w:pPr>
    </w:p>
    <w:p w14:paraId="3D20B932" w14:textId="77777777" w:rsidR="00B67481" w:rsidRPr="00511005" w:rsidRDefault="00B67481"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ФІНАНСОВІ ПРАВОВІДНОСИНИ</w:t>
      </w:r>
    </w:p>
    <w:p w14:paraId="2B6D97F2"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Фінансові правовідносини є складовою частиною правової системи держави, що виникають у процесі мобілізації, розподілу та використання фінансових ресурсів між державою, юридичними та фізичними особами. Ці відносини ґрунтуються на нормах фінансового права та мають владно-розпорядчий характер, оскільки у більшості випадків однією із сторін виступає держава або уповноважений нею орган. Фінансові правовідносини забезпечують правове регулювання фінансової діяльності держави, реалізацію податкової, бюджетної та фіскальної політики, що є фундаментальними для функціонування публічних фінансів та забезпечення соціально-економічного розвитку суспільства.</w:t>
      </w:r>
    </w:p>
    <w:p w14:paraId="266ADE28"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Фінансові правовідносини – це суспільні відносини, які виникають у сфері створення, розподілу та використання як централізованих, так і децентралізованих грошових фондів держави чи органів місцевого самоврядування та регулюються нормами фінансового права і забезпечують функціонування фінансової системи, визначаючи правові межі взаємодії між державою та іншими суб’єктами у сфері фінансової діяльності. Характерними рисами цих правовідносин є їх майновий зміст, домінування владно-розпорядчого елементу, цільова спрямованість на акумуляцію та розподіл публічних фінансів, а також обов’язкова участь держави або місцевої влади, яка діє через відповідні уповноважені органи. </w:t>
      </w:r>
      <w:r w:rsidRPr="00511005">
        <w:rPr>
          <w:rFonts w:ascii="Arial" w:eastAsia="Calibri" w:hAnsi="Arial" w:cs="Arial"/>
          <w:szCs w:val="28"/>
          <w:lang w:val="uk-UA"/>
        </w:rPr>
        <w:lastRenderedPageBreak/>
        <w:t>Саме ці особливості відрізняють фінансові правовідносини від інших видів правових зв’язків у суспільстві [2, с. 15].</w:t>
      </w:r>
    </w:p>
    <w:p w14:paraId="6CD963B2"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У фінансових правовідносинах чітко проявляються два ключові аспекти – владний та майновий. Вони мають характер публічних відносин, у яких майнові операції тісно пов’язані з реалізацією владних повноважень. З одного боку, держава через відповідні органи здійснює керівництво та контроль за надходженням коштів до бюджету, використовуючи свої управлінські повноваження. З іншого – ці правовідносини мають матеріальний характер, адже стосуються акумулювання державної власності, хай і в особливій, грошовій формі [2, с. 16].</w:t>
      </w:r>
    </w:p>
    <w:p w14:paraId="6AD28239"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Фінансові правовідносини, що виникають у процесі реалізації державних позик, мають складну структуру з юридичної точки зору, що зумовлено тим, що їх виникнення спричиняється не одним, а цілою низкою юридичних фактів, серед яких – прийняття рішення про випуск позики, визначення умов емісії відповідного цінного паперу, встановлення порядку його розміщення та укладання договору купівлі-продажу інвесторами (покупцями облігацій). При цьому держава або уповноважені нею органи як позичальники мають виключне право встановлювати умови випуску, що надає цим правовідносинам владного та публічного характеру. Адже всі умови обігу цінних паперів визначаються саме публічно-правовим суб’єктом, а сама поява таких правовідносин обов’язково передбачає наявність відповідної правової бази у вигляді нормативно-правових актів [3, с. 132]. </w:t>
      </w:r>
    </w:p>
    <w:p w14:paraId="28DAA78A"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Перша й одна з головних особливостей фінансових правовідносин полягає в тому, що вони виникають виключно на підставі норм фінансового права. Наступна характерна риса полягає в тому, що такі відносини мають владний характер, що зумовлено тим, що фінансово-правові норми встановлюються уповноваженими державними органами й мають обов’язковий, імперативний характер, що виключає можливість учасників самостійно змінювати порядок чи умови їх застосування. </w:t>
      </w:r>
    </w:p>
    <w:p w14:paraId="675A2316"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Ще одна важлива ознака – це їх реалізація у межах фінансової діяльності, яка охоплює процеси формування, розподілу та використання як централізованих, так і децентралізованих фінансових ресурсів. Ці процеси здійснюються спеціально уповноваженими органами державної влади чи органами місцевого самоврядування з метою досягнення певних суспільно значущих результатів. Таким чином, обов’язкова участь суб’єкта публічної влади – одна з ключових відмінностей фінансових правовідносин [1, с. 117].</w:t>
      </w:r>
    </w:p>
    <w:p w14:paraId="0800E78D"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Отже, фінансові правовідносини становлять специфічний вид суспільних відносин, що виникають у процесі функціонування фінансової системи держави, зокрема у сфері мобілізації, розподілу та використання грошових ресурсів. Їхньою визначальною ознакою є те, що вони виникають виключно на основі норм фінансового права та мають владно-імперативний характер. Обов’язкова участь держави або уповноважених нею органів </w:t>
      </w:r>
      <w:r w:rsidRPr="00511005">
        <w:rPr>
          <w:rFonts w:ascii="Arial" w:eastAsia="Calibri" w:hAnsi="Arial" w:cs="Arial"/>
          <w:szCs w:val="28"/>
          <w:lang w:val="uk-UA"/>
        </w:rPr>
        <w:lastRenderedPageBreak/>
        <w:t>надає цим відносинам публічно-правової природи. Особливу увагу в межах цих правовідносин слід приділяти їх майновому змісту, що зумовлений оперуванням коштами у централізованих і децентралізованих фінансових фондах.</w:t>
      </w:r>
    </w:p>
    <w:p w14:paraId="25BFB68F"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Фінансові правовідносини виступають правовим інструментом реалізації фінансової політики держави, зокрема у сфері податкових, бюджетних, кредитних та інших фінансових механізмів. Їх правове регулювання спрямоване на забезпечення ефективного функціонування фінансової системи, сталого соціально-економічного розвитку та дотримання принципів законності й публічності у сфері фінансів. Відтак, фінансові правовідносини є важливою складовою правового механізму державного управління, що поєднує владні повноваження з майновими відношеннями.</w:t>
      </w:r>
    </w:p>
    <w:p w14:paraId="46CB577A" w14:textId="77777777" w:rsidR="00B67481" w:rsidRPr="00511005" w:rsidRDefault="00B67481" w:rsidP="003A292D">
      <w:pPr>
        <w:spacing w:line="264" w:lineRule="auto"/>
        <w:rPr>
          <w:rFonts w:ascii="Arial" w:eastAsia="Calibri" w:hAnsi="Arial" w:cs="Arial"/>
          <w:szCs w:val="28"/>
          <w:lang w:val="uk-UA"/>
        </w:rPr>
      </w:pPr>
    </w:p>
    <w:p w14:paraId="01E7C0C3" w14:textId="77777777" w:rsidR="00B67481" w:rsidRPr="00511005" w:rsidRDefault="00B67481"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w:t>
      </w:r>
      <w:r w:rsidRPr="00511005">
        <w:rPr>
          <w:rFonts w:ascii="Arial" w:eastAsia="Calibri" w:hAnsi="Arial" w:cs="Arial"/>
          <w:b/>
          <w:szCs w:val="28"/>
        </w:rPr>
        <w:t>o</w:t>
      </w:r>
      <w:r w:rsidRPr="00511005">
        <w:rPr>
          <w:rFonts w:ascii="Arial" w:eastAsia="Calibri" w:hAnsi="Arial" w:cs="Arial"/>
          <w:b/>
          <w:szCs w:val="28"/>
          <w:lang w:val="uk-UA"/>
        </w:rPr>
        <w:t>к використаних джерел</w:t>
      </w:r>
    </w:p>
    <w:p w14:paraId="32DA995C" w14:textId="77777777" w:rsidR="00B67481" w:rsidRPr="00511005" w:rsidRDefault="00B67481" w:rsidP="003F6A5D">
      <w:pPr>
        <w:numPr>
          <w:ilvl w:val="0"/>
          <w:numId w:val="282"/>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val="uk-UA" w:eastAsia="ru-RU"/>
        </w:rPr>
        <w:t xml:space="preserve">Бортник Н., Єсімов С. </w:t>
      </w:r>
      <w:r w:rsidRPr="00511005">
        <w:rPr>
          <w:rFonts w:ascii="Arial" w:eastAsia="Times New Roman" w:hAnsi="Arial" w:cs="Arial"/>
          <w:szCs w:val="28"/>
          <w:lang w:eastAsia="ru-RU"/>
        </w:rPr>
        <w:t xml:space="preserve">Контрольні правовідносини у системі фінансових правовідносин. </w:t>
      </w:r>
      <w:r w:rsidRPr="00511005">
        <w:rPr>
          <w:rFonts w:ascii="Arial" w:eastAsia="Times New Roman" w:hAnsi="Arial" w:cs="Arial"/>
          <w:i/>
          <w:szCs w:val="28"/>
          <w:lang w:val="uk-UA" w:eastAsia="ru-RU"/>
        </w:rPr>
        <w:t>Науковий вісник Ужгородського Національного Університету</w:t>
      </w:r>
      <w:r w:rsidRPr="00511005">
        <w:rPr>
          <w:rFonts w:ascii="Arial" w:eastAsia="Times New Roman" w:hAnsi="Arial" w:cs="Arial"/>
          <w:szCs w:val="28"/>
          <w:lang w:val="uk-UA" w:eastAsia="ru-RU"/>
        </w:rPr>
        <w:t>. Ужгород: УНУ, 2024. 300 с.</w:t>
      </w:r>
    </w:p>
    <w:p w14:paraId="073A31D3" w14:textId="77777777" w:rsidR="00B67481" w:rsidRPr="00511005" w:rsidRDefault="00B67481" w:rsidP="003F6A5D">
      <w:pPr>
        <w:numPr>
          <w:ilvl w:val="0"/>
          <w:numId w:val="28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Латковська Т., Сідор М., Голоядова Т. Фінансове право: навч.-метод. посіб. (для здобувачів вищої освіти). 2-ге вид., доопр. і доп. Одеса: Фенікс, 2023. 140 с</w:t>
      </w:r>
      <w:r w:rsidRPr="00511005">
        <w:rPr>
          <w:rFonts w:ascii="Arial" w:eastAsia="Times New Roman" w:hAnsi="Arial" w:cs="Arial"/>
          <w:szCs w:val="28"/>
          <w:lang w:val="uk-UA" w:eastAsia="ru-RU"/>
        </w:rPr>
        <w:t>.</w:t>
      </w:r>
    </w:p>
    <w:p w14:paraId="5E961623" w14:textId="77777777" w:rsidR="00B67481" w:rsidRPr="00511005" w:rsidRDefault="00B67481" w:rsidP="003F6A5D">
      <w:pPr>
        <w:numPr>
          <w:ilvl w:val="0"/>
          <w:numId w:val="28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Проць І. </w:t>
      </w:r>
      <w:r w:rsidRPr="00511005">
        <w:rPr>
          <w:rFonts w:ascii="Arial" w:eastAsia="Times New Roman" w:hAnsi="Arial" w:cs="Arial"/>
          <w:szCs w:val="28"/>
          <w:lang w:eastAsia="ru-RU"/>
        </w:rPr>
        <w:t xml:space="preserve">Фінансові правовідносини у сфері державних позик. </w:t>
      </w:r>
      <w:r w:rsidRPr="00511005">
        <w:rPr>
          <w:rFonts w:ascii="Arial" w:eastAsia="Times New Roman" w:hAnsi="Arial" w:cs="Arial"/>
          <w:i/>
          <w:szCs w:val="28"/>
          <w:lang w:val="uk-UA" w:eastAsia="ru-RU"/>
        </w:rPr>
        <w:t>Науковий вісник Ужгородського Національного Університету</w:t>
      </w:r>
      <w:r w:rsidRPr="00511005">
        <w:rPr>
          <w:rFonts w:ascii="Arial" w:eastAsia="Times New Roman" w:hAnsi="Arial" w:cs="Arial"/>
          <w:szCs w:val="28"/>
          <w:lang w:val="uk-UA" w:eastAsia="ru-RU"/>
        </w:rPr>
        <w:t>. Ужгород: УНУ, 2025. 376 с.</w:t>
      </w:r>
    </w:p>
    <w:p w14:paraId="3EDC162E" w14:textId="77777777" w:rsidR="00B67481" w:rsidRPr="00511005" w:rsidRDefault="00B67481" w:rsidP="003A292D">
      <w:pPr>
        <w:spacing w:line="264" w:lineRule="auto"/>
        <w:rPr>
          <w:rFonts w:ascii="Arial" w:eastAsia="Calibri" w:hAnsi="Arial" w:cs="Arial"/>
          <w:b/>
          <w:bCs/>
          <w:szCs w:val="28"/>
          <w:lang w:val="uk-UA"/>
        </w:rPr>
      </w:pPr>
    </w:p>
    <w:p w14:paraId="1C4BB7E8" w14:textId="20F4FE13" w:rsidR="00B67481" w:rsidRPr="00511005" w:rsidRDefault="007B2628" w:rsidP="003A292D">
      <w:pPr>
        <w:spacing w:line="264" w:lineRule="auto"/>
        <w:rPr>
          <w:rFonts w:ascii="Arial" w:eastAsia="Calibri" w:hAnsi="Arial" w:cs="Arial"/>
          <w:szCs w:val="28"/>
        </w:rPr>
      </w:pPr>
      <w:r w:rsidRPr="00511005">
        <w:rPr>
          <w:rFonts w:ascii="Arial" w:eastAsia="Calibri" w:hAnsi="Arial" w:cs="Arial"/>
          <w:b/>
          <w:bCs/>
          <w:i/>
          <w:szCs w:val="28"/>
        </w:rPr>
        <w:t xml:space="preserve">Ключові слова: </w:t>
      </w:r>
      <w:r w:rsidR="00B67481" w:rsidRPr="00511005">
        <w:rPr>
          <w:rFonts w:ascii="Arial" w:eastAsia="Calibri" w:hAnsi="Arial" w:cs="Arial"/>
          <w:szCs w:val="28"/>
          <w:lang w:val="uk-UA"/>
        </w:rPr>
        <w:t>фінансові правовідносини, правова система держави, фінансова політика, фінансова діяльність, фінансово-правові норми</w:t>
      </w:r>
      <w:r w:rsidR="00B67481" w:rsidRPr="00511005">
        <w:rPr>
          <w:rFonts w:ascii="Arial" w:eastAsia="Calibri" w:hAnsi="Arial" w:cs="Arial"/>
          <w:szCs w:val="28"/>
        </w:rPr>
        <w:t>.</w:t>
      </w:r>
    </w:p>
    <w:p w14:paraId="1FDB06EA" w14:textId="10DD9537"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en-US"/>
        </w:rPr>
        <w:t xml:space="preserve">Key words: </w:t>
      </w:r>
      <w:r w:rsidR="00B67481" w:rsidRPr="00511005">
        <w:rPr>
          <w:rFonts w:ascii="Arial" w:eastAsia="Calibri" w:hAnsi="Arial" w:cs="Arial"/>
          <w:szCs w:val="28"/>
          <w:lang w:val="en-US"/>
        </w:rPr>
        <w:t>financial legal relations, legal system of the state, financial policy, financial activity, financial and legal norms</w:t>
      </w:r>
      <w:r w:rsidR="00B67481" w:rsidRPr="00511005">
        <w:rPr>
          <w:rFonts w:ascii="Arial" w:eastAsia="Calibri" w:hAnsi="Arial" w:cs="Arial"/>
          <w:szCs w:val="28"/>
          <w:lang w:val="uk-UA"/>
        </w:rPr>
        <w:t>.</w:t>
      </w:r>
    </w:p>
    <w:p w14:paraId="30A50B5C" w14:textId="00F1167B" w:rsidR="00B67481" w:rsidRPr="00511005" w:rsidRDefault="007B2628" w:rsidP="003A292D">
      <w:pPr>
        <w:spacing w:line="264" w:lineRule="auto"/>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B67481" w:rsidRPr="00511005">
        <w:rPr>
          <w:rFonts w:ascii="Arial" w:eastAsia="Calibri" w:hAnsi="Arial" w:cs="Arial"/>
          <w:bCs/>
          <w:i/>
          <w:iCs/>
          <w:szCs w:val="28"/>
          <w:lang w:val="uk-UA"/>
        </w:rPr>
        <w:t>к.ю.н., дoцент Гoлoядoва Т.O.</w:t>
      </w:r>
    </w:p>
    <w:p w14:paraId="68F024E1" w14:textId="77777777" w:rsidR="004A03EB" w:rsidRDefault="004A03EB" w:rsidP="003A292D">
      <w:pPr>
        <w:spacing w:line="264" w:lineRule="auto"/>
        <w:ind w:firstLine="0"/>
        <w:jc w:val="left"/>
        <w:rPr>
          <w:rFonts w:ascii="Arial" w:eastAsia="Calibri" w:hAnsi="Arial" w:cs="Arial"/>
          <w:bCs/>
          <w:i/>
          <w:iCs/>
          <w:szCs w:val="28"/>
          <w:lang w:val="uk-UA"/>
        </w:rPr>
      </w:pPr>
    </w:p>
    <w:p w14:paraId="46B1A5C8" w14:textId="5FC3C32C" w:rsidR="00B67481" w:rsidRPr="00511005" w:rsidRDefault="00B67481" w:rsidP="003A292D">
      <w:pPr>
        <w:spacing w:line="264" w:lineRule="auto"/>
        <w:ind w:firstLine="0"/>
        <w:jc w:val="left"/>
        <w:rPr>
          <w:rFonts w:ascii="Arial" w:eastAsia="Calibri" w:hAnsi="Arial" w:cs="Arial"/>
          <w:bCs/>
          <w:i/>
          <w:iCs/>
          <w:szCs w:val="28"/>
          <w:lang w:val="uk-UA"/>
        </w:rPr>
      </w:pPr>
    </w:p>
    <w:p w14:paraId="2831CFEF" w14:textId="77777777" w:rsidR="00B67481" w:rsidRPr="00511005" w:rsidRDefault="00B67481"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Тарасенко Марія Леонідівна</w:t>
      </w:r>
    </w:p>
    <w:p w14:paraId="0A8B2239" w14:textId="1B40ADFD"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16AC9C28"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6EF6DE4"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AA5786F" w14:textId="77777777" w:rsidR="00B67481" w:rsidRPr="00511005" w:rsidRDefault="00B67481" w:rsidP="003A292D">
      <w:pPr>
        <w:spacing w:line="264" w:lineRule="auto"/>
        <w:ind w:firstLine="0"/>
        <w:jc w:val="center"/>
        <w:rPr>
          <w:rFonts w:ascii="Arial" w:eastAsia="Times New Roman" w:hAnsi="Arial" w:cs="Arial"/>
          <w:szCs w:val="28"/>
          <w:lang w:val="uk-UA" w:eastAsia="ru-RU"/>
        </w:rPr>
      </w:pPr>
    </w:p>
    <w:p w14:paraId="390A46BE" w14:textId="77777777" w:rsidR="00B67481" w:rsidRPr="00511005" w:rsidRDefault="00B67481" w:rsidP="003A292D">
      <w:pPr>
        <w:keepNext/>
        <w:widowControl w:val="0"/>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РЕАЛІЗАЦІЯ ПРИНЦИПІВ АДМІНІСТРАТИВНОГО СУДОЧИНСТВА В ЕЛЕКТРОННОМУ ПРОВАДЖЕННІ</w:t>
      </w:r>
    </w:p>
    <w:p w14:paraId="5A48A9C9" w14:textId="77777777" w:rsidR="00B67481" w:rsidRPr="00511005" w:rsidRDefault="00B67481"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Сьогодні, одним з напрямків удосконалення судочинства є безпосереднє впровадження електронно-комунікаційних технологій у сферу здійснення правосуддя. Україна, одна з перших держав, яка досить </w:t>
      </w:r>
      <w:r w:rsidRPr="00511005">
        <w:rPr>
          <w:rFonts w:ascii="Arial" w:eastAsia="Times New Roman" w:hAnsi="Arial" w:cs="Arial"/>
          <w:szCs w:val="28"/>
          <w:lang w:val="uk-UA" w:eastAsia="ru-RU"/>
        </w:rPr>
        <w:lastRenderedPageBreak/>
        <w:t xml:space="preserve">ефективно та швидко залучає цифрові досягнення фактично в усі сфери життя суспільства. Створення «цифрового суспільства» допомагає на шляху ставлення демократичної, соціальної, правової держави, адже застосування цифрових засобів допомагає сформувати новий тип держави та створити нові форми взаємовідносин, підвищити прозорість та відкритість судових процесів. Однозначно впровадження таких змін вплинуть на реалізацію принципів адміністративного судочинства саме в електронному провадженні. </w:t>
      </w:r>
    </w:p>
    <w:p w14:paraId="30A657CA" w14:textId="72540BBE" w:rsidR="00B67481" w:rsidRPr="00511005" w:rsidRDefault="00B67481"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Електронне провадження реалізується за допомогою Єдиної судової інформаційно-комунікаційної системи, одним з головних джерел регулювання порядку здійснення даного виду провадження є Кодекс адміністративного судочинства України (далі – КАС України), де зазначено, що згідно з ч.1 та ч. 4 ст. 18 КАС України : «У судах функціонує Єдина судова інформаційно-комунікаційна система. Єдина судова інформаційно-комунікаційна система відповідно до закону забезпечує обмін документами (надсилання та отримання документів) в електронній формі між судами, між судом та учасниками судового процесу, а також фіксування судового процесу і участь учасників судового процесу у судовому засіданні в режимі відеоконференції.» [</w:t>
      </w:r>
      <w:r w:rsidRPr="00511005">
        <w:rPr>
          <w:rFonts w:ascii="Arial" w:eastAsia="Times New Roman" w:hAnsi="Arial" w:cs="Arial"/>
          <w:szCs w:val="28"/>
          <w:lang w:val="uk-UA" w:eastAsia="ru-RU"/>
        </w:rPr>
        <w:fldChar w:fldCharType="begin"/>
      </w:r>
      <w:r w:rsidRPr="00511005">
        <w:rPr>
          <w:rFonts w:ascii="Arial" w:eastAsia="Times New Roman" w:hAnsi="Arial" w:cs="Arial"/>
          <w:szCs w:val="28"/>
          <w:lang w:val="uk-UA" w:eastAsia="ru-RU"/>
        </w:rPr>
        <w:instrText xml:space="preserve"> REF _Ref196139497 \r \h </w:instrText>
      </w:r>
      <w:r w:rsidR="008F5AF9" w:rsidRPr="00511005">
        <w:rPr>
          <w:rFonts w:ascii="Arial" w:eastAsia="Times New Roman" w:hAnsi="Arial" w:cs="Arial"/>
          <w:szCs w:val="28"/>
          <w:lang w:val="uk-UA" w:eastAsia="ru-RU"/>
        </w:rPr>
        <w:instrText xml:space="preserve"> \* MERGEFORMAT </w:instrText>
      </w:r>
      <w:r w:rsidRPr="00511005">
        <w:rPr>
          <w:rFonts w:ascii="Arial" w:eastAsia="Times New Roman" w:hAnsi="Arial" w:cs="Arial"/>
          <w:szCs w:val="28"/>
          <w:lang w:val="uk-UA" w:eastAsia="ru-RU"/>
        </w:rPr>
      </w:r>
      <w:r w:rsidRPr="00511005">
        <w:rPr>
          <w:rFonts w:ascii="Arial" w:eastAsia="Times New Roman" w:hAnsi="Arial" w:cs="Arial"/>
          <w:szCs w:val="28"/>
          <w:lang w:val="uk-UA" w:eastAsia="ru-RU"/>
        </w:rPr>
        <w:fldChar w:fldCharType="separate"/>
      </w:r>
      <w:r w:rsidR="006F7CE5">
        <w:rPr>
          <w:rFonts w:ascii="Arial" w:eastAsia="Times New Roman" w:hAnsi="Arial" w:cs="Arial"/>
          <w:szCs w:val="28"/>
          <w:lang w:val="uk-UA" w:eastAsia="ru-RU"/>
        </w:rPr>
        <w:t>2</w:t>
      </w:r>
      <w:r w:rsidRPr="00511005">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w:t>
      </w:r>
    </w:p>
    <w:p w14:paraId="7882BD11" w14:textId="2D637BF8" w:rsidR="00B67481" w:rsidRPr="00511005" w:rsidRDefault="00B67481"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Один із основних принципів судочинства є принцип доступності до правосуддя, який затверджений як і в Конституції України, де в статті 55 зазначено : «Права і свободи людини і громадянина захищаються судом.</w:t>
      </w:r>
      <w:r w:rsidRPr="00511005">
        <w:rPr>
          <w:rFonts w:ascii="Arial" w:eastAsia="Calibri" w:hAnsi="Arial" w:cs="Arial"/>
          <w:szCs w:val="28"/>
          <w:shd w:val="clear" w:color="auto" w:fill="FFFFFF"/>
          <w:lang w:val="uk-UA"/>
        </w:rPr>
        <w:t xml:space="preserve"> </w:t>
      </w:r>
      <w:r w:rsidRPr="00511005">
        <w:rPr>
          <w:rFonts w:ascii="Arial" w:eastAsia="Times New Roman" w:hAnsi="Arial" w:cs="Arial"/>
          <w:szCs w:val="28"/>
          <w:lang w:val="uk-UA" w:eastAsia="ru-RU"/>
        </w:rPr>
        <w:t>Кожному гарантується право на оскарження в суді рішень, дій чи бездіяльності органів державної влади, органів місцевого самоврядування, посадових і службових осіб.» [</w:t>
      </w:r>
      <w:r w:rsidRPr="00511005">
        <w:rPr>
          <w:rFonts w:ascii="Arial" w:eastAsia="Times New Roman" w:hAnsi="Arial" w:cs="Arial"/>
          <w:szCs w:val="28"/>
          <w:lang w:val="uk-UA" w:eastAsia="ru-RU"/>
        </w:rPr>
        <w:fldChar w:fldCharType="begin"/>
      </w:r>
      <w:r w:rsidRPr="00511005">
        <w:rPr>
          <w:rFonts w:ascii="Arial" w:eastAsia="Times New Roman" w:hAnsi="Arial" w:cs="Arial"/>
          <w:szCs w:val="28"/>
          <w:lang w:val="uk-UA" w:eastAsia="ru-RU"/>
        </w:rPr>
        <w:instrText xml:space="preserve"> REF _Ref196043640 \r \h </w:instrText>
      </w:r>
      <w:r w:rsidR="008F5AF9" w:rsidRPr="00511005">
        <w:rPr>
          <w:rFonts w:ascii="Arial" w:eastAsia="Times New Roman" w:hAnsi="Arial" w:cs="Arial"/>
          <w:szCs w:val="28"/>
          <w:lang w:val="uk-UA" w:eastAsia="ru-RU"/>
        </w:rPr>
        <w:instrText xml:space="preserve"> \* MERGEFORMAT </w:instrText>
      </w:r>
      <w:r w:rsidRPr="00511005">
        <w:rPr>
          <w:rFonts w:ascii="Arial" w:eastAsia="Times New Roman" w:hAnsi="Arial" w:cs="Arial"/>
          <w:szCs w:val="28"/>
          <w:lang w:val="uk-UA" w:eastAsia="ru-RU"/>
        </w:rPr>
      </w:r>
      <w:r w:rsidRPr="00511005">
        <w:rPr>
          <w:rFonts w:ascii="Arial" w:eastAsia="Times New Roman" w:hAnsi="Arial" w:cs="Arial"/>
          <w:szCs w:val="28"/>
          <w:lang w:val="uk-UA" w:eastAsia="ru-RU"/>
        </w:rPr>
        <w:fldChar w:fldCharType="separate"/>
      </w:r>
      <w:r w:rsidR="006F7CE5">
        <w:rPr>
          <w:rFonts w:ascii="Arial" w:eastAsia="Times New Roman" w:hAnsi="Arial" w:cs="Arial"/>
          <w:szCs w:val="28"/>
          <w:lang w:val="uk-UA" w:eastAsia="ru-RU"/>
        </w:rPr>
        <w:t>1</w:t>
      </w:r>
      <w:r w:rsidRPr="00511005">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так і в КАС Україні, де в ст. 5 закріплено : «Кожна особа має право в порядку, встановленому цим Кодексом, звернутися до адміністративного суду, якщо вважає, що рішенням, дією чи бездіяльністю суб’єкта владних повноважень порушені її права, свободи або законні інтереси» [</w:t>
      </w:r>
      <w:r w:rsidRPr="00511005">
        <w:rPr>
          <w:rFonts w:ascii="Arial" w:eastAsia="Times New Roman" w:hAnsi="Arial" w:cs="Arial"/>
          <w:szCs w:val="28"/>
          <w:lang w:val="uk-UA" w:eastAsia="ru-RU"/>
        </w:rPr>
        <w:fldChar w:fldCharType="begin"/>
      </w:r>
      <w:r w:rsidRPr="00511005">
        <w:rPr>
          <w:rFonts w:ascii="Arial" w:eastAsia="Times New Roman" w:hAnsi="Arial" w:cs="Arial"/>
          <w:szCs w:val="28"/>
          <w:lang w:val="uk-UA" w:eastAsia="ru-RU"/>
        </w:rPr>
        <w:instrText xml:space="preserve"> REF _Ref196139497 \r \h </w:instrText>
      </w:r>
      <w:r w:rsidR="008F5AF9" w:rsidRPr="00511005">
        <w:rPr>
          <w:rFonts w:ascii="Arial" w:eastAsia="Times New Roman" w:hAnsi="Arial" w:cs="Arial"/>
          <w:szCs w:val="28"/>
          <w:lang w:val="uk-UA" w:eastAsia="ru-RU"/>
        </w:rPr>
        <w:instrText xml:space="preserve"> \* MERGEFORMAT </w:instrText>
      </w:r>
      <w:r w:rsidRPr="00511005">
        <w:rPr>
          <w:rFonts w:ascii="Arial" w:eastAsia="Times New Roman" w:hAnsi="Arial" w:cs="Arial"/>
          <w:szCs w:val="28"/>
          <w:lang w:val="uk-UA" w:eastAsia="ru-RU"/>
        </w:rPr>
      </w:r>
      <w:r w:rsidRPr="00511005">
        <w:rPr>
          <w:rFonts w:ascii="Arial" w:eastAsia="Times New Roman" w:hAnsi="Arial" w:cs="Arial"/>
          <w:szCs w:val="28"/>
          <w:lang w:val="uk-UA" w:eastAsia="ru-RU"/>
        </w:rPr>
        <w:fldChar w:fldCharType="separate"/>
      </w:r>
      <w:r w:rsidR="006F7CE5">
        <w:rPr>
          <w:rFonts w:ascii="Arial" w:eastAsia="Times New Roman" w:hAnsi="Arial" w:cs="Arial"/>
          <w:szCs w:val="28"/>
          <w:lang w:val="uk-UA" w:eastAsia="ru-RU"/>
        </w:rPr>
        <w:t>2</w:t>
      </w:r>
      <w:r w:rsidRPr="00511005">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Саме цей принцип зазнав певних змін з провадженням електронного провадження. В традиційному судочинстві даний принцип зазнав обмежень, тому що впливали різні чинники ( географічні та фізичні фактори), за допомогою сервісу «Електронний суд», особа має змогу подати документи, ознайомлюватися з матеріалами справи та брати участь у судових засіданнях дистанційно, що робить правосуддя більш доступним для кожного.</w:t>
      </w:r>
    </w:p>
    <w:p w14:paraId="4A9C2977" w14:textId="4339A6AD" w:rsidR="00B67481" w:rsidRPr="00511005" w:rsidRDefault="00B67481"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Принцип змагальності, який є основним для досягнення демократичної країни, в електронному провадженні також зазнає певної трансформації. Кожна сторона повинна мати рівні можливості для подання доказів та висловлення своєї позиції. З технологічного боку це передбачає наявність рівного доступу до електронних доказів і можливість безперешкодно взаємодіяти із судом через відповідні електронні платформи, що в деяких випадках може бути проблематичним, адже потрібна наявність змоги в усіх </w:t>
      </w:r>
      <w:r w:rsidRPr="00511005">
        <w:rPr>
          <w:rFonts w:ascii="Arial" w:eastAsia="Times New Roman" w:hAnsi="Arial" w:cs="Arial"/>
          <w:szCs w:val="28"/>
          <w:lang w:val="uk-UA" w:eastAsia="ru-RU"/>
        </w:rPr>
        <w:lastRenderedPageBreak/>
        <w:t>учасників мати доступ до даної цифрової системи (що прямо стосується принципу рівності). Це стосується також участі в онлайн-засіданнях, де важливо забезпечити рівність умов для всіх учасників. Як влучно зазначав Єсімов С.С., що електронна форма судового сповіщення містить технічні та правові ризики. Технічні ризики виникають через непостійне надходження повідомлень на електронну пошту, їх потрапляння до розділу «спам», а також можливі технічні неполадки обладнання або програмного забезпечення. Правові ризики пов'язані з несвоєчасним або ненадходженням інформації про рух справи та процесуальні дії, що може обмежити реалізацію процесуальних прав учасників. Учасники адміністративного процесу повинні усвідомлювати ці ризики при виборі електронної форми комунікації з судом, оскільки їхнє рішення несе відповідальність за негативні наслідки. Суд, у свою чергу, має вжити заходів для мінімізації таких ризиків, а сторони повинні діяти добросовісно для забезпечення ефективного процесу. [</w:t>
      </w:r>
      <w:r w:rsidRPr="00511005">
        <w:rPr>
          <w:rFonts w:ascii="Arial" w:eastAsia="Times New Roman" w:hAnsi="Arial" w:cs="Arial"/>
          <w:szCs w:val="28"/>
          <w:lang w:val="uk-UA" w:eastAsia="ru-RU"/>
        </w:rPr>
        <w:fldChar w:fldCharType="begin"/>
      </w:r>
      <w:r w:rsidRPr="00511005">
        <w:rPr>
          <w:rFonts w:ascii="Arial" w:eastAsia="Times New Roman" w:hAnsi="Arial" w:cs="Arial"/>
          <w:szCs w:val="28"/>
          <w:lang w:val="uk-UA" w:eastAsia="ru-RU"/>
        </w:rPr>
        <w:instrText xml:space="preserve"> REF _Ref196139521 \r \h </w:instrText>
      </w:r>
      <w:r w:rsidR="008F5AF9" w:rsidRPr="00511005">
        <w:rPr>
          <w:rFonts w:ascii="Arial" w:eastAsia="Times New Roman" w:hAnsi="Arial" w:cs="Arial"/>
          <w:szCs w:val="28"/>
          <w:lang w:val="uk-UA" w:eastAsia="ru-RU"/>
        </w:rPr>
        <w:instrText xml:space="preserve"> \* MERGEFORMAT </w:instrText>
      </w:r>
      <w:r w:rsidRPr="00511005">
        <w:rPr>
          <w:rFonts w:ascii="Arial" w:eastAsia="Times New Roman" w:hAnsi="Arial" w:cs="Arial"/>
          <w:szCs w:val="28"/>
          <w:lang w:val="uk-UA" w:eastAsia="ru-RU"/>
        </w:rPr>
      </w:r>
      <w:r w:rsidRPr="00511005">
        <w:rPr>
          <w:rFonts w:ascii="Arial" w:eastAsia="Times New Roman" w:hAnsi="Arial" w:cs="Arial"/>
          <w:szCs w:val="28"/>
          <w:lang w:val="uk-UA" w:eastAsia="ru-RU"/>
        </w:rPr>
        <w:fldChar w:fldCharType="separate"/>
      </w:r>
      <w:r w:rsidR="006F7CE5">
        <w:rPr>
          <w:rFonts w:ascii="Arial" w:eastAsia="Times New Roman" w:hAnsi="Arial" w:cs="Arial"/>
          <w:szCs w:val="28"/>
          <w:lang w:val="uk-UA" w:eastAsia="ru-RU"/>
        </w:rPr>
        <w:t>3</w:t>
      </w:r>
      <w:r w:rsidRPr="00511005">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с. 253].</w:t>
      </w:r>
    </w:p>
    <w:p w14:paraId="63EF9079" w14:textId="77777777" w:rsidR="00B67481" w:rsidRPr="00511005" w:rsidRDefault="00B67481"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Принцип дотримання розумних строків та ефективності, що є невід'ємною частиною адміністративного судочинства, у контексті електронного провадження реалізується через автоматизацію процесів, оперативне оброблення заяв та позовів, а також швидкий обмін документами між судом і учасниками процесу. За допомогою сучасних інформаційних систем і програмного забезпечення суди можуть здійснювати більш швидкий розгляд справ, що є досить важливим елементом для розгляду деяких видів адміністративних справ. Відповідно до КАС України, «вирішення справи в розумний строк» є основним принципом адміністративного судочинства. Досягти цього можливо за умови впровадження ефективних електронних платформ, таких як ЄСІТС та «Електронний суд», що дозволяють оптимізувати процесуальні терміни та забезпечують доступ до правосуддя.</w:t>
      </w:r>
    </w:p>
    <w:p w14:paraId="78864E6A" w14:textId="77777777" w:rsidR="00B67481" w:rsidRPr="00511005" w:rsidRDefault="00B67481"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Принцип гласності в електронному провадженні набуває нового значення завдяки відкритості судових процесів і можливості онлайн-трансляції судових засідань (якщо на це є правові підстави). Цей принцип забезпечує підвищення довіри до судової влади, адже суспільство може контролювати діяльність суддів та результати розгляду справ, дивлячись або онлайн-трансляції, або записи судових засідань. Однак гласність також потребує уваги до питання захисту приватних даних учасників процесу (аби не відбувся витік персональної інформації). Для цього важливо, щоб судові електронні платформи мали відповідний рівень захисту персональної інформації.</w:t>
      </w:r>
    </w:p>
    <w:p w14:paraId="537B3E41" w14:textId="77777777" w:rsidR="00B67481" w:rsidRPr="00511005" w:rsidRDefault="00B67481"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Принцип законності в електронному адміністративному судочинстві полягає у забезпеченні прав і свобод громадян у відповідності до Конституції України та міжнародних стандартів прав людини. Водночас із впровадженням електронного судочинства з’являється необхідність </w:t>
      </w:r>
      <w:r w:rsidRPr="00511005">
        <w:rPr>
          <w:rFonts w:ascii="Arial" w:eastAsia="Times New Roman" w:hAnsi="Arial" w:cs="Arial"/>
          <w:szCs w:val="28"/>
          <w:lang w:val="uk-UA" w:eastAsia="ru-RU"/>
        </w:rPr>
        <w:lastRenderedPageBreak/>
        <w:t>регулювання нових правових відносин, що виникають у процесі використання цифрових технологій. Це потребує оновлення національного законодавства та гармонізації його з міжнародними стандартами в частині кібербезпеки та захисту персональних даних.</w:t>
      </w:r>
    </w:p>
    <w:p w14:paraId="3A10264B" w14:textId="77777777" w:rsidR="00B67481" w:rsidRPr="00511005" w:rsidRDefault="00B67481"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Підбиваючи висновки, можна зазначити, що в електронному провадженні основні принципи адміністративного судочинства зазнають певних змін, здебільшого в позитивну сторону, але попри це варто зазначити, що є певні недоліки, а саме : відсутність належної технічної бази забезпеченої в усіх судових установах та можливість їхньої безперебійної роботи; цифрова нерівність, адже не кожна особа має змогу подати електронний позов чи заяву; недостатня правова регламентація окремих етапів (регламентація змін в електронних документах та процесуальних діях, правова регламентація у випадку технічних збоїв); проблеми безпеки та конфіденційності.</w:t>
      </w:r>
    </w:p>
    <w:p w14:paraId="1899ED8E" w14:textId="77777777" w:rsidR="00B67481" w:rsidRPr="00511005" w:rsidRDefault="00B67481" w:rsidP="003A292D">
      <w:pPr>
        <w:keepNext/>
        <w:widowControl w:val="0"/>
        <w:spacing w:line="264" w:lineRule="auto"/>
        <w:rPr>
          <w:rFonts w:ascii="Arial" w:eastAsia="Times New Roman" w:hAnsi="Arial" w:cs="Arial"/>
          <w:szCs w:val="28"/>
          <w:lang w:val="uk-UA" w:eastAsia="ru-RU"/>
        </w:rPr>
      </w:pPr>
    </w:p>
    <w:p w14:paraId="643B200C" w14:textId="227AD89B" w:rsidR="00B67481" w:rsidRPr="00511005" w:rsidRDefault="007B2628" w:rsidP="007B2628">
      <w:pPr>
        <w:keepNext/>
        <w:widowControl w:val="0"/>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4B4966CB" w14:textId="77777777" w:rsidR="00B67481" w:rsidRPr="00511005" w:rsidRDefault="00B67481" w:rsidP="003F6A5D">
      <w:pPr>
        <w:keepNext/>
        <w:widowControl w:val="0"/>
        <w:numPr>
          <w:ilvl w:val="0"/>
          <w:numId w:val="154"/>
        </w:numPr>
        <w:tabs>
          <w:tab w:val="clear" w:pos="2346"/>
          <w:tab w:val="num" w:pos="720"/>
        </w:tabs>
        <w:spacing w:line="264" w:lineRule="auto"/>
        <w:ind w:left="0" w:firstLine="709"/>
        <w:jc w:val="left"/>
        <w:rPr>
          <w:rFonts w:ascii="Arial" w:eastAsia="Times New Roman" w:hAnsi="Arial" w:cs="Arial"/>
          <w:szCs w:val="28"/>
          <w:lang w:val="uk-UA" w:eastAsia="ru-RU"/>
        </w:rPr>
      </w:pPr>
      <w:bookmarkStart w:id="142" w:name="_Ref196139495"/>
      <w:bookmarkStart w:id="143" w:name="_Ref196043640"/>
      <w:r w:rsidRPr="00511005">
        <w:rPr>
          <w:rFonts w:ascii="Arial" w:eastAsia="Times New Roman" w:hAnsi="Arial" w:cs="Arial"/>
          <w:szCs w:val="28"/>
          <w:lang w:val="uk-UA" w:eastAsia="ru-RU"/>
        </w:rPr>
        <w:t>Конституція України : від 28.06.1996 № 254к/96-ВР : станом на 1 січ. 2020 р. URL: </w:t>
      </w:r>
      <w:hyperlink r:id="rId1051" w:anchor="Text" w:tgtFrame="_blank" w:history="1">
        <w:r w:rsidRPr="00511005">
          <w:rPr>
            <w:rFonts w:ascii="Arial" w:eastAsia="Times New Roman" w:hAnsi="Arial" w:cs="Arial"/>
            <w:szCs w:val="28"/>
            <w:lang w:val="uk-UA" w:eastAsia="ru-RU"/>
          </w:rPr>
          <w:t>https://zakon.rada.gov.ua/laws/show/254к/96-вр#Text</w:t>
        </w:r>
      </w:hyperlink>
      <w:r w:rsidRPr="00511005">
        <w:rPr>
          <w:rFonts w:ascii="Arial" w:eastAsia="Times New Roman" w:hAnsi="Arial" w:cs="Arial"/>
          <w:szCs w:val="28"/>
          <w:lang w:val="uk-UA" w:eastAsia="ru-RU"/>
        </w:rPr>
        <w:t> </w:t>
      </w:r>
      <w:bookmarkEnd w:id="142"/>
    </w:p>
    <w:p w14:paraId="59F94BF1" w14:textId="77777777" w:rsidR="00B67481" w:rsidRPr="00511005" w:rsidRDefault="00B67481" w:rsidP="003F6A5D">
      <w:pPr>
        <w:keepNext/>
        <w:widowControl w:val="0"/>
        <w:numPr>
          <w:ilvl w:val="0"/>
          <w:numId w:val="154"/>
        </w:numPr>
        <w:tabs>
          <w:tab w:val="clear" w:pos="2346"/>
          <w:tab w:val="num" w:pos="720"/>
        </w:tabs>
        <w:spacing w:line="264" w:lineRule="auto"/>
        <w:ind w:left="0" w:firstLine="709"/>
        <w:jc w:val="left"/>
        <w:rPr>
          <w:rFonts w:ascii="Arial" w:eastAsia="Times New Roman" w:hAnsi="Arial" w:cs="Arial"/>
          <w:szCs w:val="28"/>
          <w:lang w:val="uk-UA" w:eastAsia="ru-RU"/>
        </w:rPr>
      </w:pPr>
      <w:bookmarkStart w:id="144" w:name="_Ref196139497"/>
      <w:bookmarkEnd w:id="143"/>
      <w:r w:rsidRPr="00511005">
        <w:rPr>
          <w:rFonts w:ascii="Arial" w:eastAsia="Times New Roman" w:hAnsi="Arial" w:cs="Arial"/>
          <w:szCs w:val="28"/>
          <w:lang w:val="uk-UA" w:eastAsia="ru-RU"/>
        </w:rPr>
        <w:t>Кодекс адміністративного судочинства України : Кодекс України від 06.07.2005 № 2747-IV : станом на 9 квіт. 2025 р. URL: </w:t>
      </w:r>
      <w:hyperlink r:id="rId1052" w:anchor="Text" w:tgtFrame="_blank" w:history="1">
        <w:r w:rsidRPr="00511005">
          <w:rPr>
            <w:rFonts w:ascii="Arial" w:eastAsia="Times New Roman" w:hAnsi="Arial" w:cs="Arial"/>
            <w:szCs w:val="28"/>
            <w:lang w:val="uk-UA" w:eastAsia="ru-RU"/>
          </w:rPr>
          <w:t>https://zakon.rada.gov.ua/laws/show/2747-15#Text</w:t>
        </w:r>
      </w:hyperlink>
      <w:r w:rsidRPr="00511005">
        <w:rPr>
          <w:rFonts w:ascii="Arial" w:eastAsia="Times New Roman" w:hAnsi="Arial" w:cs="Arial"/>
          <w:szCs w:val="28"/>
          <w:lang w:val="uk-UA" w:eastAsia="ru-RU"/>
        </w:rPr>
        <w:t> </w:t>
      </w:r>
      <w:bookmarkEnd w:id="144"/>
    </w:p>
    <w:p w14:paraId="4BE3405B" w14:textId="77777777" w:rsidR="00B67481" w:rsidRPr="00511005" w:rsidRDefault="00B67481" w:rsidP="003F6A5D">
      <w:pPr>
        <w:keepNext/>
        <w:widowControl w:val="0"/>
        <w:numPr>
          <w:ilvl w:val="0"/>
          <w:numId w:val="154"/>
        </w:numPr>
        <w:tabs>
          <w:tab w:val="clear" w:pos="2346"/>
          <w:tab w:val="num" w:pos="720"/>
        </w:tabs>
        <w:spacing w:line="264" w:lineRule="auto"/>
        <w:ind w:left="0" w:firstLine="709"/>
        <w:jc w:val="left"/>
        <w:rPr>
          <w:rFonts w:ascii="Arial" w:eastAsia="Times New Roman" w:hAnsi="Arial" w:cs="Arial"/>
          <w:szCs w:val="28"/>
          <w:lang w:val="uk-UA" w:eastAsia="ru-RU"/>
        </w:rPr>
      </w:pPr>
      <w:bookmarkStart w:id="145" w:name="_Ref196139521"/>
      <w:r w:rsidRPr="00511005">
        <w:rPr>
          <w:rFonts w:ascii="Arial" w:eastAsia="Times New Roman" w:hAnsi="Arial" w:cs="Arial"/>
          <w:szCs w:val="28"/>
          <w:lang w:val="uk-UA" w:eastAsia="ru-RU"/>
        </w:rPr>
        <w:t>С. С. Єсімов. Реалізація принципу змагальності в адміністративному судочинстві при використанні інформаційних технологій. Аналітично-порівняльне правознавство. 2022. № 5. С. 253. URL: </w:t>
      </w:r>
      <w:hyperlink r:id="rId1053" w:tgtFrame="_blank" w:history="1">
        <w:r w:rsidRPr="00511005">
          <w:rPr>
            <w:rFonts w:ascii="Arial" w:eastAsia="Times New Roman" w:hAnsi="Arial" w:cs="Arial"/>
            <w:szCs w:val="28"/>
            <w:lang w:val="uk-UA" w:eastAsia="ru-RU"/>
          </w:rPr>
          <w:t>https://doi.org/10.24144/2788-6018.2022.05.46</w:t>
        </w:r>
      </w:hyperlink>
      <w:r w:rsidRPr="00511005">
        <w:rPr>
          <w:rFonts w:ascii="Arial" w:eastAsia="Times New Roman" w:hAnsi="Arial" w:cs="Arial"/>
          <w:szCs w:val="28"/>
          <w:lang w:val="uk-UA" w:eastAsia="ru-RU"/>
        </w:rPr>
        <w:t>.</w:t>
      </w:r>
      <w:bookmarkEnd w:id="145"/>
    </w:p>
    <w:p w14:paraId="6828BACC" w14:textId="77777777" w:rsidR="00B67481" w:rsidRPr="00511005" w:rsidRDefault="00B67481" w:rsidP="003A292D">
      <w:pPr>
        <w:keepNext/>
        <w:spacing w:line="264" w:lineRule="auto"/>
        <w:rPr>
          <w:rFonts w:ascii="Arial" w:eastAsia="Times New Roman" w:hAnsi="Arial" w:cs="Arial"/>
          <w:b/>
          <w:szCs w:val="28"/>
          <w:lang w:val="uk-UA" w:eastAsia="ru-RU"/>
        </w:rPr>
      </w:pPr>
    </w:p>
    <w:p w14:paraId="7D9318D8" w14:textId="052A8E36" w:rsidR="00B67481" w:rsidRPr="00511005" w:rsidRDefault="007B2628" w:rsidP="003A292D">
      <w:pPr>
        <w:keepNext/>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B67481" w:rsidRPr="00511005">
        <w:rPr>
          <w:rFonts w:ascii="Arial" w:eastAsia="Times New Roman" w:hAnsi="Arial" w:cs="Arial"/>
          <w:szCs w:val="28"/>
          <w:lang w:val="uk-UA" w:eastAsia="ru-RU"/>
        </w:rPr>
        <w:t>електронне провадження, принципи адміністативного судочиства, цифрове суспільство, цифровізація, технічні засоби, цифрові ризики.</w:t>
      </w:r>
    </w:p>
    <w:p w14:paraId="0F2D1686" w14:textId="0DA8E21C" w:rsidR="00B67481" w:rsidRPr="00511005" w:rsidRDefault="007B2628" w:rsidP="003A292D">
      <w:pPr>
        <w:keepNext/>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B67481" w:rsidRPr="00511005">
        <w:rPr>
          <w:rFonts w:ascii="Arial" w:eastAsia="Times New Roman" w:hAnsi="Arial" w:cs="Arial"/>
          <w:bCs/>
          <w:szCs w:val="28"/>
          <w:lang w:val="uk-UA" w:eastAsia="ru-RU"/>
        </w:rPr>
        <w:t>electronic proceedings, principles of administrative justice, digital society, digitalization,</w:t>
      </w:r>
      <w:r w:rsidR="00B67481" w:rsidRPr="00511005">
        <w:rPr>
          <w:rFonts w:ascii="Arial" w:eastAsia="Times New Roman" w:hAnsi="Arial" w:cs="Arial"/>
          <w:szCs w:val="28"/>
          <w:lang w:val="uk-UA" w:eastAsia="ru-RU"/>
        </w:rPr>
        <w:t xml:space="preserve"> </w:t>
      </w:r>
      <w:r w:rsidR="00B67481" w:rsidRPr="00511005">
        <w:rPr>
          <w:rFonts w:ascii="Arial" w:eastAsia="Times New Roman" w:hAnsi="Arial" w:cs="Arial"/>
          <w:bCs/>
          <w:szCs w:val="28"/>
          <w:lang w:val="uk-UA" w:eastAsia="ru-RU"/>
        </w:rPr>
        <w:t>technical means, digital risks.</w:t>
      </w:r>
    </w:p>
    <w:p w14:paraId="4FC5D67D" w14:textId="36E88E3C" w:rsidR="00B67481" w:rsidRPr="00511005" w:rsidRDefault="007B2628" w:rsidP="003A292D">
      <w:pPr>
        <w:keepNext/>
        <w:spacing w:line="264" w:lineRule="auto"/>
        <w:rPr>
          <w:rFonts w:ascii="Arial" w:eastAsia="Times New Roman" w:hAnsi="Arial" w:cs="Arial"/>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B67481" w:rsidRPr="00511005">
        <w:rPr>
          <w:rFonts w:ascii="Arial" w:eastAsia="Times New Roman" w:hAnsi="Arial" w:cs="Arial"/>
          <w:i/>
          <w:iCs/>
          <w:szCs w:val="28"/>
          <w:lang w:val="uk-UA" w:eastAsia="ru-RU"/>
        </w:rPr>
        <w:t>кандидат юридичних наук, доцент Козачук Д. А.</w:t>
      </w:r>
    </w:p>
    <w:p w14:paraId="2AA8D719" w14:textId="77777777" w:rsidR="001D1A08" w:rsidRPr="00511005" w:rsidRDefault="001D1A08" w:rsidP="003A292D">
      <w:pPr>
        <w:spacing w:line="264" w:lineRule="auto"/>
        <w:ind w:firstLine="0"/>
        <w:jc w:val="left"/>
        <w:rPr>
          <w:rFonts w:ascii="Arial" w:eastAsia="Calibri" w:hAnsi="Arial" w:cs="Arial"/>
          <w:i/>
          <w:iCs/>
          <w:szCs w:val="28"/>
          <w:lang w:val="uk-UA"/>
        </w:rPr>
      </w:pPr>
    </w:p>
    <w:p w14:paraId="6FFFF0DC" w14:textId="77777777" w:rsidR="001D1A08" w:rsidRPr="00511005" w:rsidRDefault="001D1A08" w:rsidP="003A292D">
      <w:pPr>
        <w:spacing w:line="264" w:lineRule="auto"/>
        <w:ind w:firstLine="0"/>
        <w:jc w:val="left"/>
        <w:rPr>
          <w:rFonts w:ascii="Arial" w:eastAsia="Calibri" w:hAnsi="Arial" w:cs="Arial"/>
          <w:i/>
          <w:iCs/>
          <w:szCs w:val="28"/>
          <w:lang w:val="uk-UA"/>
        </w:rPr>
      </w:pPr>
    </w:p>
    <w:p w14:paraId="0336D673" w14:textId="77777777" w:rsidR="00B67481" w:rsidRPr="00511005" w:rsidRDefault="00B67481" w:rsidP="003A292D">
      <w:pPr>
        <w:spacing w:line="264" w:lineRule="auto"/>
        <w:ind w:firstLine="0"/>
        <w:jc w:val="center"/>
        <w:rPr>
          <w:rFonts w:ascii="Arial" w:eastAsia="Calibri" w:hAnsi="Arial" w:cs="Arial"/>
          <w:b/>
          <w:bCs/>
          <w:i/>
          <w:szCs w:val="28"/>
          <w:lang w:val="uk-UA"/>
        </w:rPr>
      </w:pPr>
      <w:r w:rsidRPr="00511005">
        <w:rPr>
          <w:rFonts w:ascii="Arial" w:eastAsia="Calibri" w:hAnsi="Arial" w:cs="Arial"/>
          <w:b/>
          <w:bCs/>
          <w:i/>
          <w:szCs w:val="28"/>
          <w:lang w:val="uk-UA"/>
        </w:rPr>
        <w:t>Філон Олександра Ігорівна</w:t>
      </w:r>
    </w:p>
    <w:p w14:paraId="69CDA6A8" w14:textId="32B08E9F" w:rsidR="00B67481" w:rsidRPr="00511005" w:rsidRDefault="00536AAB" w:rsidP="003A292D">
      <w:pPr>
        <w:spacing w:line="264" w:lineRule="auto"/>
        <w:ind w:firstLine="0"/>
        <w:jc w:val="center"/>
        <w:rPr>
          <w:rFonts w:ascii="Arial" w:eastAsia="Calibri" w:hAnsi="Arial" w:cs="Arial"/>
          <w:bCs/>
          <w:szCs w:val="28"/>
          <w:lang w:val="uk-UA"/>
        </w:rPr>
      </w:pPr>
      <w:r w:rsidRPr="00511005">
        <w:rPr>
          <w:rFonts w:ascii="Arial" w:eastAsia="Calibri" w:hAnsi="Arial" w:cs="Arial"/>
          <w:bCs/>
          <w:szCs w:val="28"/>
          <w:lang w:val="uk-UA"/>
        </w:rPr>
        <w:t>студентка 4-го курсу факультету адвокатури та антикорупційної діяльності</w:t>
      </w:r>
    </w:p>
    <w:p w14:paraId="117F73AC" w14:textId="0DB77B1E" w:rsidR="00B67481" w:rsidRPr="00511005" w:rsidRDefault="007B2628" w:rsidP="003A292D">
      <w:pPr>
        <w:spacing w:line="264" w:lineRule="auto"/>
        <w:ind w:firstLine="0"/>
        <w:jc w:val="center"/>
        <w:rPr>
          <w:rFonts w:ascii="Arial" w:eastAsia="Calibri" w:hAnsi="Arial" w:cs="Arial"/>
          <w:bCs/>
          <w:szCs w:val="28"/>
          <w:lang w:val="uk-UA"/>
        </w:rPr>
      </w:pPr>
      <w:r w:rsidRPr="00511005">
        <w:rPr>
          <w:rFonts w:ascii="Arial" w:eastAsia="Calibri" w:hAnsi="Arial" w:cs="Arial"/>
          <w:bCs/>
          <w:szCs w:val="28"/>
          <w:lang w:val="uk-UA"/>
        </w:rPr>
        <w:t>Національного університету «Одеська юридична академія»</w:t>
      </w:r>
    </w:p>
    <w:p w14:paraId="61854288" w14:textId="77777777" w:rsidR="00B67481" w:rsidRPr="00511005" w:rsidRDefault="00B67481" w:rsidP="003A292D">
      <w:pPr>
        <w:spacing w:line="264" w:lineRule="auto"/>
        <w:ind w:firstLine="0"/>
        <w:jc w:val="center"/>
        <w:rPr>
          <w:rFonts w:ascii="Arial" w:eastAsia="Calibri" w:hAnsi="Arial" w:cs="Arial"/>
          <w:bCs/>
          <w:szCs w:val="28"/>
          <w:lang w:val="uk-UA"/>
        </w:rPr>
      </w:pPr>
    </w:p>
    <w:p w14:paraId="50564C53" w14:textId="453DF8A1" w:rsidR="00B67481" w:rsidRPr="00511005" w:rsidRDefault="00B67481"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ПРАВО НА ДОСТУП ДО АДМІНІСТРАТИВНИХ СУДІВ В УМОВАХ</w:t>
      </w:r>
      <w:r w:rsidR="007B2628" w:rsidRPr="00511005">
        <w:rPr>
          <w:rFonts w:ascii="Arial" w:eastAsia="Calibri" w:hAnsi="Arial" w:cs="Arial"/>
          <w:b/>
          <w:bCs/>
          <w:szCs w:val="28"/>
          <w:lang w:val="uk-UA"/>
        </w:rPr>
        <w:t xml:space="preserve"> </w:t>
      </w:r>
      <w:r w:rsidRPr="00511005">
        <w:rPr>
          <w:rFonts w:ascii="Arial" w:eastAsia="Calibri" w:hAnsi="Arial" w:cs="Arial"/>
          <w:b/>
          <w:bCs/>
          <w:szCs w:val="28"/>
          <w:lang w:val="uk-UA"/>
        </w:rPr>
        <w:t>ВОЄННОГО СТАНУ</w:t>
      </w:r>
    </w:p>
    <w:p w14:paraId="19BADBBB" w14:textId="5EA7B51A"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У межах Європейської конвенції з прав людини право на ефективний доступ до правосуддя визнається фундаментальною гарантією правової </w:t>
      </w:r>
      <w:r w:rsidRPr="00511005">
        <w:rPr>
          <w:rFonts w:ascii="Arial" w:eastAsia="Calibri" w:hAnsi="Arial" w:cs="Arial"/>
          <w:szCs w:val="28"/>
          <w:lang w:val="uk-UA"/>
        </w:rPr>
        <w:lastRenderedPageBreak/>
        <w:t>держави, забезпечує захист прав і свобод особи людини і громадянина,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а також виступає стрижнем принципу верховенства права. Однак після початку військової агресії росії 24 лютого 2022 року реалізація права на доступ до правосуддя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в Україні зазнала значних змін, через екстраординарними наслідками війни, зокрема, постійні обстріли, окупації та цілеспрямоване знищення інфраструктури істотно підірвали функціонування судової системи. </w:t>
      </w:r>
    </w:p>
    <w:p w14:paraId="308C44AA"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Адміністративна юстиція в Україні створювалася як інструмент контролю за владою, і в умовах військової агресії ця її функція стає критично важливою. В. Курило справедливо відмічає, що гарантії права на ефективний доступ до правосуддя мають залишатися реальними, а не декларативними — лише так можна забезпечити дієвість правосуддя в умовах збройного конфлікту [3, c. 634]. Очевидно, що сама лише правова фіксація цього права недостатня: необхідна його реальна доступність, яка передбачає фізичну можливість звернення до суду, безпечне пересування та стабільну роботу судових установ.</w:t>
      </w:r>
    </w:p>
    <w:p w14:paraId="1032FC49" w14:textId="77777777" w:rsidR="00B67481" w:rsidRPr="00511005" w:rsidRDefault="00B67481" w:rsidP="003A292D">
      <w:pPr>
        <w:spacing w:line="264" w:lineRule="auto"/>
        <w:rPr>
          <w:rFonts w:ascii="Arial" w:eastAsia="Times New Roman" w:hAnsi="Arial" w:cs="Arial"/>
          <w:szCs w:val="28"/>
          <w:lang w:eastAsia="en-GB"/>
        </w:rPr>
      </w:pPr>
      <w:r w:rsidRPr="00511005">
        <w:rPr>
          <w:rFonts w:ascii="Arial" w:eastAsia="Times New Roman" w:hAnsi="Arial" w:cs="Arial"/>
          <w:szCs w:val="28"/>
          <w:lang w:val="uk-UA" w:eastAsia="en-GB"/>
        </w:rPr>
        <w:t>Так, положення</w:t>
      </w:r>
      <w:r w:rsidRPr="00511005">
        <w:rPr>
          <w:rFonts w:ascii="Arial" w:eastAsia="Times New Roman" w:hAnsi="Arial" w:cs="Arial"/>
          <w:szCs w:val="28"/>
          <w:lang w:eastAsia="en-GB"/>
        </w:rPr>
        <w:t xml:space="preserve"> ст.</w:t>
      </w:r>
      <w:r w:rsidRPr="00511005">
        <w:rPr>
          <w:rFonts w:ascii="Arial" w:eastAsia="Times New Roman" w:hAnsi="Arial" w:cs="Arial"/>
          <w:szCs w:val="28"/>
          <w:lang w:val="uk-UA" w:eastAsia="en-GB"/>
        </w:rPr>
        <w:t xml:space="preserve"> </w:t>
      </w:r>
      <w:r w:rsidRPr="00511005">
        <w:rPr>
          <w:rFonts w:ascii="Arial" w:eastAsia="Times New Roman" w:hAnsi="Arial" w:cs="Arial"/>
          <w:szCs w:val="28"/>
          <w:lang w:eastAsia="en-GB"/>
        </w:rPr>
        <w:t xml:space="preserve">64 Конституції України </w:t>
      </w:r>
      <w:r w:rsidRPr="00511005">
        <w:rPr>
          <w:rFonts w:ascii="Arial" w:eastAsia="Times New Roman" w:hAnsi="Arial" w:cs="Arial"/>
          <w:szCs w:val="28"/>
          <w:lang w:val="uk-UA" w:eastAsia="en-GB"/>
        </w:rPr>
        <w:t xml:space="preserve">декларує що </w:t>
      </w:r>
      <w:r w:rsidRPr="00511005">
        <w:rPr>
          <w:rFonts w:ascii="Arial" w:eastAsia="Times New Roman" w:hAnsi="Arial" w:cs="Arial"/>
          <w:szCs w:val="28"/>
          <w:lang w:eastAsia="en-GB"/>
        </w:rPr>
        <w:t xml:space="preserve">конституційні права і свободи людини і </w:t>
      </w:r>
      <w:proofErr w:type="gramStart"/>
      <w:r w:rsidRPr="00511005">
        <w:rPr>
          <w:rFonts w:ascii="Arial" w:eastAsia="Times New Roman" w:hAnsi="Arial" w:cs="Arial"/>
          <w:szCs w:val="28"/>
          <w:lang w:eastAsia="en-GB"/>
        </w:rPr>
        <w:t>громадянина,передбачені</w:t>
      </w:r>
      <w:proofErr w:type="gramEnd"/>
      <w:r w:rsidRPr="00511005">
        <w:rPr>
          <w:rFonts w:ascii="Arial" w:eastAsia="Times New Roman" w:hAnsi="Arial" w:cs="Arial"/>
          <w:szCs w:val="28"/>
          <w:lang w:eastAsia="en-GB"/>
        </w:rPr>
        <w:t xml:space="preserve"> у ст. 55 Конституції України</w:t>
      </w:r>
      <w:r w:rsidRPr="00511005">
        <w:rPr>
          <w:rFonts w:ascii="Arial" w:eastAsia="Calibri" w:hAnsi="Arial" w:cs="Arial"/>
          <w:szCs w:val="28"/>
          <w:lang w:val="uk-UA"/>
        </w:rPr>
        <w:t xml:space="preserve"> </w:t>
      </w:r>
      <w:r w:rsidRPr="00511005">
        <w:rPr>
          <w:rFonts w:ascii="Arial" w:eastAsia="Times New Roman" w:hAnsi="Arial" w:cs="Arial"/>
          <w:szCs w:val="28"/>
          <w:lang w:eastAsia="en-GB"/>
        </w:rPr>
        <w:t xml:space="preserve">навіть за умов воєнного стану не можуть бути обмежені. </w:t>
      </w:r>
    </w:p>
    <w:p w14:paraId="0F053DC9" w14:textId="068AF16C" w:rsidR="00B67481" w:rsidRPr="00511005" w:rsidRDefault="00B67481" w:rsidP="003A292D">
      <w:pPr>
        <w:spacing w:line="264" w:lineRule="auto"/>
        <w:rPr>
          <w:rFonts w:ascii="Arial" w:eastAsia="Calibri" w:hAnsi="Arial" w:cs="Arial"/>
          <w:szCs w:val="28"/>
          <w:lang w:val="uk-UA"/>
        </w:rPr>
      </w:pPr>
      <w:r w:rsidRPr="00511005">
        <w:rPr>
          <w:rFonts w:ascii="Arial" w:eastAsia="Times New Roman" w:hAnsi="Arial" w:cs="Arial"/>
          <w:szCs w:val="28"/>
          <w:lang w:eastAsia="en-GB"/>
        </w:rPr>
        <w:t>Крім того,</w:t>
      </w:r>
      <w:r w:rsidR="007B2628" w:rsidRPr="00511005">
        <w:rPr>
          <w:rFonts w:ascii="Arial" w:eastAsia="Times New Roman" w:hAnsi="Arial" w:cs="Arial"/>
          <w:szCs w:val="28"/>
          <w:lang w:eastAsia="en-GB"/>
        </w:rPr>
        <w:t xml:space="preserve"> </w:t>
      </w:r>
      <w:r w:rsidRPr="00511005">
        <w:rPr>
          <w:rFonts w:ascii="Arial" w:eastAsia="Times New Roman" w:hAnsi="Arial" w:cs="Arial"/>
          <w:szCs w:val="28"/>
          <w:lang w:eastAsia="en-GB"/>
        </w:rPr>
        <w:t>у ст.</w:t>
      </w:r>
      <w:r w:rsidRPr="00511005">
        <w:rPr>
          <w:rFonts w:ascii="Arial" w:eastAsia="Calibri" w:hAnsi="Arial" w:cs="Arial"/>
          <w:szCs w:val="28"/>
          <w:lang w:val="uk-UA"/>
        </w:rPr>
        <w:t xml:space="preserve"> </w:t>
      </w:r>
      <w:r w:rsidRPr="00511005">
        <w:rPr>
          <w:rFonts w:ascii="Arial" w:eastAsia="Times New Roman" w:hAnsi="Arial" w:cs="Arial"/>
          <w:szCs w:val="28"/>
          <w:lang w:eastAsia="en-GB"/>
        </w:rPr>
        <w:t>10 Закону України</w:t>
      </w:r>
      <w:r w:rsidR="007B2628" w:rsidRPr="00511005">
        <w:rPr>
          <w:rFonts w:ascii="Arial" w:eastAsia="Times New Roman" w:hAnsi="Arial" w:cs="Arial"/>
          <w:szCs w:val="28"/>
          <w:lang w:eastAsia="en-GB"/>
        </w:rPr>
        <w:t xml:space="preserve"> </w:t>
      </w:r>
      <w:r w:rsidRPr="00511005">
        <w:rPr>
          <w:rFonts w:ascii="Arial" w:eastAsia="Times New Roman" w:hAnsi="Arial" w:cs="Arial"/>
          <w:szCs w:val="28"/>
          <w:lang w:eastAsia="en-GB"/>
        </w:rPr>
        <w:t>«Про правовий режим воєнного стану» вказано, що</w:t>
      </w:r>
      <w:r w:rsidRPr="00511005">
        <w:rPr>
          <w:rFonts w:ascii="Arial" w:eastAsia="Times New Roman" w:hAnsi="Arial" w:cs="Arial"/>
          <w:szCs w:val="28"/>
          <w:lang w:val="uk-UA" w:eastAsia="en-GB"/>
        </w:rPr>
        <w:t xml:space="preserve"> </w:t>
      </w:r>
      <w:r w:rsidRPr="00511005">
        <w:rPr>
          <w:rFonts w:ascii="Arial" w:eastAsia="Times New Roman" w:hAnsi="Arial" w:cs="Arial"/>
          <w:szCs w:val="28"/>
          <w:lang w:eastAsia="en-GB"/>
        </w:rPr>
        <w:t>припинення функціонування</w:t>
      </w:r>
      <w:r w:rsidR="007B2628" w:rsidRPr="00511005">
        <w:rPr>
          <w:rFonts w:ascii="Arial" w:eastAsia="Times New Roman" w:hAnsi="Arial" w:cs="Arial"/>
          <w:szCs w:val="28"/>
          <w:lang w:eastAsia="en-GB"/>
        </w:rPr>
        <w:t xml:space="preserve"> </w:t>
      </w:r>
      <w:r w:rsidRPr="00511005">
        <w:rPr>
          <w:rFonts w:ascii="Arial" w:eastAsia="Times New Roman" w:hAnsi="Arial" w:cs="Arial"/>
          <w:szCs w:val="28"/>
          <w:lang w:eastAsia="en-GB"/>
        </w:rPr>
        <w:t xml:space="preserve">судів є неприпустимим [2]. </w:t>
      </w:r>
      <w:r w:rsidRPr="00511005">
        <w:rPr>
          <w:rFonts w:ascii="Arial" w:eastAsia="Calibri" w:hAnsi="Arial" w:cs="Arial"/>
          <w:szCs w:val="28"/>
          <w:lang w:val="uk-UA"/>
        </w:rPr>
        <w:t>Водночас даний Закон не містить чітко визначених процедур щодо тимчасового припинення або обмеження роботи судів у надзвичайних умовах та залишає поза увагою важливий аспект регулювання функціонування судової влади під час війни, що створює правову невизначеність у сфері доступу до правосуддя.</w:t>
      </w:r>
    </w:p>
    <w:p w14:paraId="57200383" w14:textId="7C7E96E8"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Процесуальне</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законодавство ст. 5 Кодексу адміністративного судочинства України (далі КАС України) також гарантує кожному право на судовий захист [1], але фактичний доступ до нього в умовах війни часто блокується. Зокрема, робота адміністративних судів на прифронтових територіях припиняється, зв'язок порушено, а евакуація населення та обмеження мобільності створюють серйозні перешкоди в реалізації цього права на практиці. В умовах військової агресії росії</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держава змушена шукати баланс між дотриманням прав людини та захистом національної безпеки. Це породжує правовий парадокс: хоча право на доступ до суду формально не скасоване, фактично його реалізація для багатьох громадян істотно ускладнена або неможлива. У таких умовах постає потреба в альтернативних інструментах – електронному правосудді, дистанційних засіданнях, спрощених процедурах – здатних частково компенсувати обмежений доступ до правосуддя.</w:t>
      </w:r>
    </w:p>
    <w:p w14:paraId="02339AFA"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Цей розрив між правовими гарантіями та фактичними умовами створює ризик втрати доступу до правосуддя, зокрема в Донецькій, </w:t>
      </w:r>
      <w:r w:rsidRPr="00511005">
        <w:rPr>
          <w:rFonts w:ascii="Arial" w:eastAsia="Calibri" w:hAnsi="Arial" w:cs="Arial"/>
          <w:szCs w:val="28"/>
          <w:lang w:val="uk-UA"/>
        </w:rPr>
        <w:lastRenderedPageBreak/>
        <w:t>Запорізькій, Миколаївській областях. Так, за даними Державної судової адміністрації станом на 1 серпня 2022 року, через бойові дії тимчасово припинили роботу 98 судів, що становить понад 14% усіх місцевих і апеляційних судів. Унаслідок атак пошкоджено або повністю зруйновано 75 будівель судів, що загалом охоплює 777 приміщень [3, c. 635-636]. Руйнування судових будівель унаслідок збройної агресії — від пошкоджених фасадів до відсутності комунікацій — унеможливлює не лише проведення судових засідань, а й перебування персоналу в таких установах. Це створює нову правову реальність, у якій держава змушена шукати альтернативні механізми реалізації права на справедливий суд.</w:t>
      </w:r>
    </w:p>
    <w:p w14:paraId="10CD08E5"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Відсутність механізмів гнучкої адаптації системи породжує правовий вакуум і посилює нерівність. Держава має нагально переглянути законодавчу базу, запровадивши інструменти, як-от передислокація судів, дистанційне провадження, а також процесуальні механізми для розгляду справ без фізичної присутності сторін. Це не лише питання безпеки суддів, а й збереження легітимності судової системи.</w:t>
      </w:r>
    </w:p>
    <w:p w14:paraId="24DAE2C8"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Окремої уваги заслуговує поява змішаної форми дистанційного правосуддя, яка поєднує класичні елементи очного провадження з можливістю участі сторін у режимі відеоконференції або шляхом електронного документообігу. Така модель дозволяє зберігати гнучкість судового процесу, знижуючи ризики, пов’язані з фізичною присутністю у залі суду, особливо в регіонах, де тривають бойові дії або існує загроза обстрілів. Вона також підвищує доступність правосуддя для внутрішньо переміщених осіб, які через воєнні обставини не мають змоги прибути до місця розгляду справи.</w:t>
      </w:r>
    </w:p>
    <w:p w14:paraId="7C3AD5DD"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Суттєвим кроком на шляху до сталого впровадження дистанційних форм правосуддя стало функціонування «Електронного суду» — державного сервісу, який забезпечує подання процесуальних документів, ознайомлення з матеріалами справи та навіть участь у судових засіданнях онлайн. Система дозволяє автоматизувати багато аспектів судочинства, прискорює комунікацію між сторонами та судом, а також сприяє прозорості провадження.</w:t>
      </w:r>
    </w:p>
    <w:p w14:paraId="782B7CDD"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Вдалим прикладом повноцінного переходу до дистанційного формату став Чернігівський окружний адміністративний суд, який, попри складну безпекову ситуацію, організував свою роботу повністю онлайн. Справи розглядаються за допомогою відеозв’язку, документи приймаються через «Електронний суд», а комунікація із заявниками та адвокатами здійснюється переважно електронними засобами. Такий підхід не лише забезпечив безперервність розгляду справ, а й продемонстрував, що українська судова система здатна адаптуватися до умов війни, зберігаючи при цьому дотримання основоположних прав людини.</w:t>
      </w:r>
    </w:p>
    <w:p w14:paraId="3762149C"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Втім, дистанційне правосуддя не позбавлене недоліків. Поширені випадки технічних збоїв, проблеми з ідентифікацією учасників процесу, обмеження в доступі до інтернету в деяких регіонах, а також питання кібербезпеки — усе це створює додаткові ризики. Також складно забезпечити повноцінну участь у процесі малозахищених верств населення, які не мають необхідних технічних засобів. Таким чином, цифровізація судочинства має супроводжуватись державними програмами з технічної підтримки, навчання та забезпечення рівного доступу.</w:t>
      </w:r>
    </w:p>
    <w:p w14:paraId="48BD74EB" w14:textId="77777777" w:rsidR="00B67481" w:rsidRPr="00511005" w:rsidRDefault="00B67481" w:rsidP="003A292D">
      <w:pPr>
        <w:spacing w:line="264" w:lineRule="auto"/>
        <w:rPr>
          <w:rFonts w:ascii="Arial" w:eastAsia="Calibri" w:hAnsi="Arial" w:cs="Arial"/>
          <w:szCs w:val="28"/>
          <w:lang w:val="uk-UA"/>
        </w:rPr>
      </w:pPr>
      <w:r w:rsidRPr="00511005">
        <w:rPr>
          <w:rFonts w:ascii="Arial" w:eastAsia="Calibri" w:hAnsi="Arial" w:cs="Arial"/>
          <w:szCs w:val="28"/>
          <w:lang w:val="uk-UA"/>
        </w:rPr>
        <w:t>Загалом же, дистанційне правосуддя в умовах війни в Україні стало не лише вимушеним заходом, а й каталізатором глибших змін у судовій системі, що можуть мати довготривалі позитивні наслідки для її модернізації.</w:t>
      </w:r>
    </w:p>
    <w:p w14:paraId="273B49D1" w14:textId="77777777" w:rsidR="00B67481" w:rsidRPr="00511005" w:rsidRDefault="00B67481" w:rsidP="003A292D">
      <w:pPr>
        <w:spacing w:line="264" w:lineRule="auto"/>
        <w:rPr>
          <w:rFonts w:ascii="Arial" w:eastAsia="Calibri" w:hAnsi="Arial" w:cs="Arial"/>
          <w:szCs w:val="28"/>
          <w:lang w:val="uk-UA"/>
        </w:rPr>
      </w:pPr>
    </w:p>
    <w:p w14:paraId="288BA6BA" w14:textId="48C9688D" w:rsidR="00B67481" w:rsidRPr="00511005" w:rsidRDefault="007B2628" w:rsidP="007B2628">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1087F235" w14:textId="77777777" w:rsidR="00B67481" w:rsidRPr="00511005" w:rsidRDefault="00B67481" w:rsidP="003F6A5D">
      <w:pPr>
        <w:numPr>
          <w:ilvl w:val="0"/>
          <w:numId w:val="283"/>
        </w:numPr>
        <w:spacing w:line="264" w:lineRule="auto"/>
        <w:ind w:left="0" w:firstLine="709"/>
        <w:contextualSpacing/>
        <w:jc w:val="left"/>
        <w:rPr>
          <w:rFonts w:ascii="Arial" w:eastAsia="Times New Roman" w:hAnsi="Arial" w:cs="Arial"/>
          <w:b/>
          <w:bCs/>
          <w:szCs w:val="28"/>
          <w:lang w:val="uk-UA" w:eastAsia="ru-RU"/>
        </w:rPr>
      </w:pPr>
      <w:r w:rsidRPr="00511005">
        <w:rPr>
          <w:rFonts w:ascii="Arial" w:eastAsia="Times New Roman" w:hAnsi="Arial" w:cs="Arial"/>
          <w:szCs w:val="28"/>
          <w:lang w:val="uk-UA" w:eastAsia="ru-RU"/>
        </w:rPr>
        <w:t xml:space="preserve">Кодекс адміністративного судочинства України, 2005. [online]. Режим доступу: </w:t>
      </w:r>
      <w:hyperlink r:id="rId1054" w:anchor="Text" w:history="1">
        <w:r w:rsidRPr="00511005">
          <w:rPr>
            <w:rFonts w:ascii="Arial" w:eastAsia="Times New Roman" w:hAnsi="Arial" w:cs="Arial"/>
            <w:szCs w:val="28"/>
            <w:lang w:val="uk-UA" w:eastAsia="ru-RU"/>
          </w:rPr>
          <w:t>https://zakon.rada.gov.ua/laws/show/2747-15#Text</w:t>
        </w:r>
      </w:hyperlink>
      <w:r w:rsidRPr="00511005">
        <w:rPr>
          <w:rFonts w:ascii="Arial" w:eastAsia="Times New Roman" w:hAnsi="Arial" w:cs="Arial"/>
          <w:szCs w:val="28"/>
          <w:lang w:val="uk-UA" w:eastAsia="ru-RU"/>
        </w:rPr>
        <w:t xml:space="preserve"> </w:t>
      </w:r>
    </w:p>
    <w:p w14:paraId="4A639D6A" w14:textId="77777777" w:rsidR="00B67481" w:rsidRPr="00511005" w:rsidRDefault="00B67481" w:rsidP="003F6A5D">
      <w:pPr>
        <w:numPr>
          <w:ilvl w:val="0"/>
          <w:numId w:val="283"/>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Закон України «Про правовий режим воєнного стану», 2015. [online]. Режим доступу: </w:t>
      </w:r>
      <w:hyperlink r:id="rId1055" w:anchor="Text" w:history="1">
        <w:r w:rsidRPr="00511005">
          <w:rPr>
            <w:rFonts w:ascii="Arial" w:eastAsia="Times New Roman" w:hAnsi="Arial" w:cs="Arial"/>
            <w:szCs w:val="28"/>
            <w:lang w:val="uk-UA" w:eastAsia="ru-RU"/>
          </w:rPr>
          <w:t>https://zakon.rada.gov.ua/laws/show/389-19#Text</w:t>
        </w:r>
      </w:hyperlink>
      <w:r w:rsidRPr="00511005">
        <w:rPr>
          <w:rFonts w:ascii="Arial" w:eastAsia="Times New Roman" w:hAnsi="Arial" w:cs="Arial"/>
          <w:szCs w:val="28"/>
          <w:lang w:val="uk-UA" w:eastAsia="ru-RU"/>
        </w:rPr>
        <w:t xml:space="preserve"> </w:t>
      </w:r>
    </w:p>
    <w:p w14:paraId="6A9AD441" w14:textId="77777777" w:rsidR="00B67481" w:rsidRPr="00511005" w:rsidRDefault="00B67481" w:rsidP="003F6A5D">
      <w:pPr>
        <w:numPr>
          <w:ilvl w:val="0"/>
          <w:numId w:val="283"/>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Адміністративне право та адміністративний процес України в умовах воєнного стану: колективна монографія. За заг. ред. В. Курила, В. Галунька . Київ, 2022.</w:t>
      </w:r>
    </w:p>
    <w:p w14:paraId="50CDBF44" w14:textId="77777777" w:rsidR="00B67481" w:rsidRPr="00511005" w:rsidRDefault="00B67481" w:rsidP="003A292D">
      <w:pPr>
        <w:spacing w:line="264" w:lineRule="auto"/>
        <w:rPr>
          <w:rFonts w:ascii="Arial" w:eastAsia="Calibri" w:hAnsi="Arial" w:cs="Arial"/>
          <w:b/>
          <w:szCs w:val="28"/>
          <w:lang w:val="uk-UA"/>
        </w:rPr>
      </w:pPr>
    </w:p>
    <w:p w14:paraId="002F8500" w14:textId="706A8522"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B67481" w:rsidRPr="00511005">
        <w:rPr>
          <w:rFonts w:ascii="Arial" w:eastAsia="Calibri" w:hAnsi="Arial" w:cs="Arial"/>
          <w:szCs w:val="28"/>
          <w:lang w:val="uk-UA"/>
        </w:rPr>
        <w:t>адміністративне судочинство, доступ до правосуддя, адміністративні суди, європейська конвенція з прав людини, право на ефективний доступ до правосуддя, обмеження прав, електронне правосуддя, дистанційні засідання, тимчасова зміна територіальної підсудності.</w:t>
      </w:r>
    </w:p>
    <w:p w14:paraId="3A0DF6B1" w14:textId="7A470320" w:rsidR="00B67481"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Key words: </w:t>
      </w:r>
      <w:r w:rsidR="00B67481" w:rsidRPr="00511005">
        <w:rPr>
          <w:rFonts w:ascii="Arial" w:eastAsia="Calibri" w:hAnsi="Arial" w:cs="Arial"/>
          <w:szCs w:val="28"/>
          <w:lang w:val="uk-UA"/>
        </w:rPr>
        <w:t>administrative justice, access to justice, administrative courts, European Convention on Human Rights, right to effective access to justice, restrictions on rights, e-justice, remote hearings, temporary change of territorial jurisdiction.</w:t>
      </w:r>
    </w:p>
    <w:p w14:paraId="44BDA5CA" w14:textId="6F1B5B81" w:rsidR="00B67481" w:rsidRPr="00511005" w:rsidRDefault="007B2628" w:rsidP="003A292D">
      <w:pPr>
        <w:spacing w:line="264" w:lineRule="auto"/>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B67481" w:rsidRPr="00511005">
        <w:rPr>
          <w:rFonts w:ascii="Arial" w:eastAsia="Calibri" w:hAnsi="Arial" w:cs="Arial"/>
          <w:i/>
          <w:szCs w:val="28"/>
          <w:lang w:val="uk-UA"/>
        </w:rPr>
        <w:t>к.ю.н., доцент Закаленко О.В.</w:t>
      </w:r>
    </w:p>
    <w:p w14:paraId="0421C375" w14:textId="77777777" w:rsidR="001D1A08" w:rsidRPr="00511005" w:rsidRDefault="001D1A08" w:rsidP="003A292D">
      <w:pPr>
        <w:spacing w:line="264" w:lineRule="auto"/>
        <w:ind w:firstLine="0"/>
        <w:jc w:val="left"/>
        <w:rPr>
          <w:rFonts w:ascii="Arial" w:eastAsia="Calibri" w:hAnsi="Arial" w:cs="Arial"/>
          <w:i/>
          <w:szCs w:val="28"/>
          <w:lang w:val="uk-UA"/>
        </w:rPr>
      </w:pPr>
    </w:p>
    <w:p w14:paraId="1C2964AF" w14:textId="77777777" w:rsidR="001D1A08" w:rsidRPr="00511005" w:rsidRDefault="001D1A08" w:rsidP="003A292D">
      <w:pPr>
        <w:spacing w:line="264" w:lineRule="auto"/>
        <w:ind w:firstLine="0"/>
        <w:jc w:val="left"/>
        <w:rPr>
          <w:rFonts w:ascii="Arial" w:eastAsia="Calibri" w:hAnsi="Arial" w:cs="Arial"/>
          <w:i/>
          <w:szCs w:val="28"/>
          <w:lang w:val="uk-UA"/>
        </w:rPr>
      </w:pPr>
    </w:p>
    <w:p w14:paraId="77CEE3D7" w14:textId="77777777" w:rsidR="00B67481" w:rsidRPr="00511005" w:rsidRDefault="00B67481" w:rsidP="003A292D">
      <w:pPr>
        <w:spacing w:line="264" w:lineRule="auto"/>
        <w:ind w:firstLine="0"/>
        <w:jc w:val="center"/>
        <w:rPr>
          <w:rFonts w:ascii="Arial" w:eastAsia="Calibri" w:hAnsi="Arial" w:cs="Arial"/>
          <w:b/>
          <w:bCs/>
          <w:i/>
          <w:iCs/>
          <w:szCs w:val="28"/>
        </w:rPr>
      </w:pPr>
      <w:r w:rsidRPr="00511005">
        <w:rPr>
          <w:rFonts w:ascii="Arial" w:eastAsia="Calibri" w:hAnsi="Arial" w:cs="Arial"/>
          <w:b/>
          <w:bCs/>
          <w:i/>
          <w:iCs/>
          <w:szCs w:val="28"/>
        </w:rPr>
        <w:t>Череповська Ксенія Дмитрівна</w:t>
      </w:r>
    </w:p>
    <w:p w14:paraId="5707AB69" w14:textId="16AD6E40" w:rsidR="00B67481" w:rsidRPr="00511005" w:rsidRDefault="00536AAB" w:rsidP="003A292D">
      <w:pPr>
        <w:spacing w:line="264" w:lineRule="auto"/>
        <w:ind w:firstLine="0"/>
        <w:jc w:val="center"/>
        <w:rPr>
          <w:rFonts w:ascii="Arial" w:eastAsia="Calibri" w:hAnsi="Arial" w:cs="Arial"/>
          <w:szCs w:val="28"/>
        </w:rPr>
      </w:pPr>
      <w:r w:rsidRPr="00511005">
        <w:rPr>
          <w:rFonts w:ascii="Arial" w:eastAsia="Calibri" w:hAnsi="Arial" w:cs="Arial"/>
          <w:szCs w:val="28"/>
          <w:lang w:val="uk-UA"/>
        </w:rPr>
        <w:t xml:space="preserve">студентка 4-го курсу </w:t>
      </w:r>
      <w:r w:rsidR="001B7B25" w:rsidRPr="00511005">
        <w:rPr>
          <w:rFonts w:ascii="Arial" w:eastAsia="Calibri" w:hAnsi="Arial" w:cs="Arial"/>
          <w:szCs w:val="28"/>
          <w:lang w:val="uk-UA"/>
        </w:rPr>
        <w:t>факультету судового та міжнародного права</w:t>
      </w:r>
      <w:r w:rsidR="00B67481" w:rsidRPr="00511005">
        <w:rPr>
          <w:rFonts w:ascii="Arial" w:eastAsia="Calibri" w:hAnsi="Arial" w:cs="Arial"/>
          <w:szCs w:val="28"/>
        </w:rPr>
        <w:t xml:space="preserve"> </w:t>
      </w:r>
    </w:p>
    <w:p w14:paraId="5C47C22B" w14:textId="7E402A8F" w:rsidR="00B67481" w:rsidRPr="00511005" w:rsidRDefault="007B2628" w:rsidP="003A292D">
      <w:pPr>
        <w:spacing w:line="264" w:lineRule="auto"/>
        <w:ind w:firstLine="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47F0E275" w14:textId="77777777" w:rsidR="00B67481" w:rsidRPr="00511005" w:rsidRDefault="00B67481" w:rsidP="003A292D">
      <w:pPr>
        <w:spacing w:line="264" w:lineRule="auto"/>
        <w:ind w:firstLine="0"/>
        <w:jc w:val="center"/>
        <w:rPr>
          <w:rFonts w:ascii="Arial" w:eastAsia="Calibri" w:hAnsi="Arial" w:cs="Arial"/>
          <w:szCs w:val="28"/>
        </w:rPr>
      </w:pPr>
    </w:p>
    <w:p w14:paraId="7F2C7F7D" w14:textId="77777777" w:rsidR="00B67481" w:rsidRPr="00511005" w:rsidRDefault="00B67481" w:rsidP="003A292D">
      <w:pPr>
        <w:spacing w:line="264" w:lineRule="auto"/>
        <w:ind w:firstLine="0"/>
        <w:jc w:val="center"/>
        <w:rPr>
          <w:rFonts w:ascii="Arial" w:eastAsia="Calibri" w:hAnsi="Arial" w:cs="Arial"/>
          <w:b/>
          <w:bCs/>
          <w:szCs w:val="28"/>
        </w:rPr>
      </w:pPr>
      <w:r w:rsidRPr="00511005">
        <w:rPr>
          <w:rFonts w:ascii="Arial" w:eastAsia="Calibri" w:hAnsi="Arial" w:cs="Arial"/>
          <w:b/>
          <w:bCs/>
          <w:szCs w:val="28"/>
        </w:rPr>
        <w:t>ПРОБЛЕМНІ ПИТАННЯ СУДОВОГО КОНТРОЛЮ ЗА ВИКОНАННЯМ СУДОВИХ РІШЕНЬ В АДМІНІСТРАТИВНИХ СПРАВАХ</w:t>
      </w:r>
    </w:p>
    <w:p w14:paraId="6923C83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Виконання судових рішень є невід’ємною складовою права на справедливий суд та ключовим елементом реалізації принципу </w:t>
      </w:r>
      <w:r w:rsidRPr="00511005">
        <w:rPr>
          <w:rFonts w:ascii="Arial" w:eastAsia="Calibri" w:hAnsi="Arial" w:cs="Arial"/>
          <w:szCs w:val="28"/>
        </w:rPr>
        <w:lastRenderedPageBreak/>
        <w:t xml:space="preserve">верховенства права. Судове рішення, яке не виконується, втрачає свою юридичну силу як механізм захисту прав, свобод та законних інтересів особи, а правосуддя — свою легітимність. Особливо гостро це питання постає в адміністративному судочинстві, де рішення часто спрямовані на зобов’язання суб’єктів владних повноважень діяти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закону.</w:t>
      </w:r>
    </w:p>
    <w:p w14:paraId="1CC48561"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Невиконання таких рішень фактично нівелює функцію адміністративного суду як органу, що контролює законність рішень, дій (чи бездіяльності) органів державної влади. Більше того, системна бездіяльність органів державної виконавчої служби або самих суб’єктів владних повноважень створює атмосферу правової невизначеності, підриває довіру громадян до судової системи та дискредитує саму ідею правової держави.</w:t>
      </w:r>
    </w:p>
    <w:p w14:paraId="3A3D91D6"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Багато вчених досліджують питання визначення судового контролю, зокрема судової влади з належних до її компетенції питань. Контроль є самостійною формою державної діяльності, властивою практично всім елементам соціального управління. Водночас, з огляду на те, що судовий контроль здійснюється відповідно до компетенції судових органів, з дотриманням вимог підсудності та підвідомчості, та у законодавчо закріпленій процесуальній формі, автор доходить висновку, що судовий контроль, нарівні із правосуддям, є самостійною організаційно-правовою формою реалізації судової влади [4].</w:t>
      </w:r>
    </w:p>
    <w:p w14:paraId="6710900A"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Таким чином, дослідження проблем судового контролю за виконанням судових рішень в адміністративних справах є надзвичайно актуальним у сучасних українських реаліях, оскільки саме через ефективний механізм контролю можливо забезпечити реальне, а не декларативне відновлення порушених прав особи.</w:t>
      </w:r>
    </w:p>
    <w:p w14:paraId="0172AC8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Судовий контроль за виконанням рішень в адміністративних справах є важливою складовою ефективного функціонування системи правосуддя. Проте в українській правовій системі існує ряд проблем, які ускладнюють реалізацію цього механізму.</w:t>
      </w:r>
    </w:p>
    <w:p w14:paraId="27523354"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Однією з основних проблем є неефективність механізму примусового виконання рішень. Особливо гостро ця проблема проявляється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де відповідачами є органи державної влади. Такі суб’єкти часто затягують виконання або навіть свідомо ігнорують судові рішення. Державна виконавча служба не завжди має реальні інструменти впливу на посадових осіб, що веде до затягування процесу виконання або його повного ігнорування. Відповідно до ч. 1 ст. 382 Кодексу адміністративного судочинства України (КАСУ) передбачено, що суд може зобов’язати суб’єкта владних повноважень подати звіт про виконання судового рішення.</w:t>
      </w:r>
    </w:p>
    <w:p w14:paraId="1787E766"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Як приклад такого ігнорування є ухвала по справі № 420/15894/24 Одеського окружного адміністративного суду від 15.04.2025 в якій суд встановив судовий контроль за виконанням рішення суду Головним </w:t>
      </w:r>
      <w:r w:rsidRPr="00511005">
        <w:rPr>
          <w:rFonts w:ascii="Arial" w:eastAsia="Calibri" w:hAnsi="Arial" w:cs="Arial"/>
          <w:szCs w:val="28"/>
        </w:rPr>
        <w:lastRenderedPageBreak/>
        <w:t>управлінням Пенсійного фонду України в Одеській області, а також встановив новий строк для подання звіту про виконання рішення та виплати заборгованості пенсійних виплат Позивачу.</w:t>
      </w:r>
    </w:p>
    <w:p w14:paraId="53C4F6C7"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Додатково, в судовій практиці відсутній єдиний підхід щодо забезпечення виконання рішень, хоча стаття 382</w:t>
      </w:r>
      <w:r w:rsidRPr="00511005">
        <w:rPr>
          <w:rFonts w:ascii="Arial" w:eastAsia="Calibri" w:hAnsi="Arial" w:cs="Arial"/>
          <w:szCs w:val="28"/>
          <w:vertAlign w:val="superscript"/>
        </w:rPr>
        <w:t>-3</w:t>
      </w:r>
      <w:r w:rsidRPr="00511005">
        <w:rPr>
          <w:rFonts w:ascii="Arial" w:eastAsia="Calibri" w:hAnsi="Arial" w:cs="Arial"/>
          <w:szCs w:val="28"/>
        </w:rPr>
        <w:t xml:space="preserve"> КАС України передбачає можливість накладення штрафу за неподання звіту або невиконання рішення, у розмірі від 20 до 40 неоподатковуваних мінімумів, що стягується половину на користь заявника, а іншу половину – </w:t>
      </w:r>
      <w:proofErr w:type="gramStart"/>
      <w:r w:rsidRPr="00511005">
        <w:rPr>
          <w:rFonts w:ascii="Arial" w:eastAsia="Calibri" w:hAnsi="Arial" w:cs="Arial"/>
          <w:szCs w:val="28"/>
        </w:rPr>
        <w:t>до бюджету</w:t>
      </w:r>
      <w:proofErr w:type="gramEnd"/>
      <w:r w:rsidRPr="00511005">
        <w:rPr>
          <w:rFonts w:ascii="Arial" w:eastAsia="Calibri" w:hAnsi="Arial" w:cs="Arial"/>
          <w:szCs w:val="28"/>
        </w:rPr>
        <w:t xml:space="preserve">. </w:t>
      </w:r>
    </w:p>
    <w:p w14:paraId="463C13C3" w14:textId="77777777" w:rsidR="00B67481" w:rsidRPr="00511005" w:rsidRDefault="00B67481" w:rsidP="003A292D">
      <w:pPr>
        <w:spacing w:line="264" w:lineRule="auto"/>
        <w:rPr>
          <w:rFonts w:ascii="Arial" w:eastAsia="Calibri" w:hAnsi="Arial" w:cs="Arial"/>
          <w:b/>
          <w:bCs/>
          <w:szCs w:val="28"/>
        </w:rPr>
      </w:pPr>
      <w:r w:rsidRPr="00511005">
        <w:rPr>
          <w:rFonts w:ascii="Arial" w:eastAsia="Calibri" w:hAnsi="Arial" w:cs="Arial"/>
          <w:szCs w:val="28"/>
        </w:rPr>
        <w:t xml:space="preserve">Однак, як показує практика, якщо судове рішення стосується здійснення виплат (пенсійних чи соціальних), суд може зменшити розмір штрафу або звільнити від його сплати на підставі доказів, які підтверджують відсутність бюджетних асигнувань у суб’єкта владних повноважень та вжиття його керівником всіх необхідних заходів для встановлення таких бюджетних асигнувань. Наприклад, ухвала щодо справи № 420/20950/21 Одеського окружного адміністративного суду від 17.12.2024 в якій суд встановив для Департаменту праці та соціальної політики Одеської міської ради новий строк для подання звіту про виконання судового рішення і відмовив у задоволенні клопотання Позивача про накладення штрафу на Департамент за невиконання судового рішення. </w:t>
      </w:r>
    </w:p>
    <w:p w14:paraId="09CEEB5F"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Зокрема, О. Р. Івасин зазначає, що затягування виконання судових рішень часто має умисний характер або ж спричинене бюрократичними перепонами в діяльності органів виконавчої влади. Автор підкреслює, що навіть коли судове рішення набрало законної сили, його реалізація може тривати місяцями або роками, що нівелює саму ідею судового захисту прав особи [1].</w:t>
      </w:r>
    </w:p>
    <w:p w14:paraId="6228529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Проблема також полягає у частому порушенні строків виконання судових рішень. Відповідно до статті 255 КАС України рішення набирає сили після закінчення строку на апеляційне оскарження або з моменту проголошення рішення апеляційним судом, якщо апеляційну скаргу було подано. Проте, часто вони не виконуються вчасно, при цьому не існує механізмів оперативного реагування на такі порушення. Внаслідок цього громадяни позбавляються ефективного захисту своїх прав.</w:t>
      </w:r>
    </w:p>
    <w:p w14:paraId="3FF50B60"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У свою чергу, Т. І. Кирилюк зазначає, що затягування виконання судових рішень є однією з причин великої кількості заяв до Європейського суду з прав людини проти України. У таких випадках особа фактично позбавлена доступу до правосуддя, навіть попри вигране рішення суду [2].</w:t>
      </w:r>
    </w:p>
    <w:p w14:paraId="36C23545"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 xml:space="preserve">Крім того, Європейський суд з прав людини у своїх рішеннях неодноразово наголошував на системності проблеми невиконання національних судових рішень в Україні. Найвідомішим прецедентом є справа "Юрій Миколайович Іванов проти України" (заява № 40450/04), в якій ЄСПЛ встановив порушення ст. 6 Конвенції про захист прав людини і </w:t>
      </w:r>
      <w:r w:rsidRPr="00511005">
        <w:rPr>
          <w:rFonts w:ascii="Arial" w:eastAsia="Calibri" w:hAnsi="Arial" w:cs="Arial"/>
          <w:szCs w:val="28"/>
        </w:rPr>
        <w:lastRenderedPageBreak/>
        <w:t>основоположних свобод у зв’язку з тривалим невиконанням рішення національного суду.</w:t>
      </w:r>
    </w:p>
    <w:p w14:paraId="53827846"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Таким чином, порушення строків виконання судових рішень є не лише процедурною проблемою, а й глибокою системною кризою у сфері реалізації судового захисту, що вимагає комплексного нормативного, інституційного та практичного вирішення.</w:t>
      </w:r>
    </w:p>
    <w:p w14:paraId="4F4CF7F6"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Для вирішення зазначених проблем необхідно вжити комплексних заходів. Доцільно запровадити інститут судового контролю за виконанням рішень, розширити повноваження судів щодо контролю та накладення санкцій у разі невиконання рішень. Варто також автоматизувати контроль за виконанням через Єдину судову інформаційно-комунікаційну систему. Необхідні і законодавчі зміни, спрямовані на забезпечення невідворотності відповідальності посадових осіб за невиконання рішень суду.</w:t>
      </w:r>
    </w:p>
    <w:p w14:paraId="56D16CBC" w14:textId="77777777" w:rsidR="00B67481" w:rsidRPr="00511005" w:rsidRDefault="00B67481" w:rsidP="003A292D">
      <w:pPr>
        <w:spacing w:line="264" w:lineRule="auto"/>
        <w:rPr>
          <w:rFonts w:ascii="Arial" w:eastAsia="Calibri" w:hAnsi="Arial" w:cs="Arial"/>
          <w:szCs w:val="28"/>
        </w:rPr>
      </w:pPr>
      <w:r w:rsidRPr="00511005">
        <w:rPr>
          <w:rFonts w:ascii="Arial" w:eastAsia="Calibri" w:hAnsi="Arial" w:cs="Arial"/>
          <w:szCs w:val="28"/>
        </w:rPr>
        <w:t>Таким чином, ефективний судовий контроль за виконанням рішень в адміністративному судочинстві є важливою передумовою дотримання принципу верховенства права та реального захисту прав і свобод громадян. Його вдосконалення має стати пріоритетом правової політики держави.</w:t>
      </w:r>
    </w:p>
    <w:p w14:paraId="3B45565E" w14:textId="77777777" w:rsidR="00B67481" w:rsidRPr="00511005" w:rsidRDefault="00B67481" w:rsidP="003A292D">
      <w:pPr>
        <w:spacing w:line="264" w:lineRule="auto"/>
        <w:ind w:firstLine="851"/>
        <w:rPr>
          <w:rFonts w:ascii="Arial" w:eastAsia="Calibri" w:hAnsi="Arial" w:cs="Arial"/>
          <w:szCs w:val="28"/>
        </w:rPr>
      </w:pPr>
    </w:p>
    <w:p w14:paraId="6E0F2777" w14:textId="71B0CD30" w:rsidR="00B67481" w:rsidRPr="00511005" w:rsidRDefault="007B2628" w:rsidP="007B2628">
      <w:pPr>
        <w:spacing w:line="264" w:lineRule="auto"/>
        <w:ind w:firstLine="851"/>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5669FFD5" w14:textId="77777777" w:rsidR="00B67481" w:rsidRPr="00511005" w:rsidRDefault="00B67481" w:rsidP="003F6A5D">
      <w:pPr>
        <w:numPr>
          <w:ilvl w:val="0"/>
          <w:numId w:val="28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Івасин О.Р. Судовий контроль за виконанням судових рішень в адміністративних справах. </w:t>
      </w:r>
      <w:r w:rsidRPr="00511005">
        <w:rPr>
          <w:rFonts w:ascii="Arial" w:eastAsia="Times New Roman" w:hAnsi="Arial" w:cs="Arial"/>
          <w:i/>
          <w:iCs/>
          <w:szCs w:val="28"/>
          <w:lang w:eastAsia="ru-RU"/>
        </w:rPr>
        <w:t>Вісник Івано-Франківського університету права</w:t>
      </w:r>
      <w:r w:rsidRPr="00511005">
        <w:rPr>
          <w:rFonts w:ascii="Arial" w:eastAsia="Times New Roman" w:hAnsi="Arial" w:cs="Arial"/>
          <w:szCs w:val="28"/>
          <w:lang w:eastAsia="ru-RU"/>
        </w:rPr>
        <w:t>. – 2021. – Вип. 17. – С. 115–118.</w:t>
      </w:r>
    </w:p>
    <w:p w14:paraId="3B88751B" w14:textId="77777777" w:rsidR="00B67481" w:rsidRPr="00511005" w:rsidRDefault="00B67481" w:rsidP="003F6A5D">
      <w:pPr>
        <w:numPr>
          <w:ilvl w:val="0"/>
          <w:numId w:val="28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Кирилюк Т.І. Виконання судових рішень як елемент ефективного захисту прав людини. </w:t>
      </w:r>
      <w:r w:rsidRPr="00511005">
        <w:rPr>
          <w:rFonts w:ascii="Arial" w:eastAsia="Times New Roman" w:hAnsi="Arial" w:cs="Arial"/>
          <w:i/>
          <w:iCs/>
          <w:szCs w:val="28"/>
          <w:lang w:eastAsia="ru-RU"/>
        </w:rPr>
        <w:t>Юридичний вісник України</w:t>
      </w:r>
      <w:r w:rsidRPr="00511005">
        <w:rPr>
          <w:rFonts w:ascii="Arial" w:eastAsia="Times New Roman" w:hAnsi="Arial" w:cs="Arial"/>
          <w:szCs w:val="28"/>
          <w:lang w:eastAsia="ru-RU"/>
        </w:rPr>
        <w:t>. – 2020. – № 4. – С. 32–36.</w:t>
      </w:r>
    </w:p>
    <w:p w14:paraId="7D0167C5" w14:textId="77777777" w:rsidR="00B67481" w:rsidRPr="00511005" w:rsidRDefault="00B67481" w:rsidP="003F6A5D">
      <w:pPr>
        <w:numPr>
          <w:ilvl w:val="0"/>
          <w:numId w:val="28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Кодекс адміністративного судочинства України: Закон від 06.07.2005 № 2747-IV. URL: https://zakon.rada.gov. ua/laws/show/2747-15#Text. (дата звернення: 14.04.2025) (дата звернення: 18.04.2025р.).</w:t>
      </w:r>
    </w:p>
    <w:p w14:paraId="39F6DE0A" w14:textId="77777777" w:rsidR="00B67481" w:rsidRPr="00511005" w:rsidRDefault="00B67481" w:rsidP="003F6A5D">
      <w:pPr>
        <w:numPr>
          <w:ilvl w:val="0"/>
          <w:numId w:val="284"/>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Ладиченко, В. В., &amp; Потьомкін, С. О. (2023). ПОНЯТТЯ І СУТЬ СУДОВОГО КОНТРОЛЮ ЗА ВИКОНАННЯМ СУДОВИХ РІШЕНЬ. </w:t>
      </w:r>
      <w:r w:rsidRPr="00511005">
        <w:rPr>
          <w:rFonts w:ascii="Arial" w:eastAsia="Times New Roman" w:hAnsi="Arial" w:cs="Arial"/>
          <w:i/>
          <w:iCs/>
          <w:szCs w:val="28"/>
          <w:lang w:eastAsia="ru-RU"/>
        </w:rPr>
        <w:t>Часопис Київського університету права</w:t>
      </w:r>
      <w:r w:rsidRPr="00511005">
        <w:rPr>
          <w:rFonts w:ascii="Arial" w:eastAsia="Times New Roman" w:hAnsi="Arial" w:cs="Arial"/>
          <w:szCs w:val="28"/>
          <w:lang w:eastAsia="ru-RU"/>
        </w:rPr>
        <w:t xml:space="preserve">, (3), 190-198. </w:t>
      </w:r>
      <w:hyperlink r:id="rId1056" w:history="1">
        <w:r w:rsidRPr="00511005">
          <w:rPr>
            <w:rFonts w:ascii="Arial" w:eastAsia="Times New Roman" w:hAnsi="Arial" w:cs="Arial"/>
            <w:szCs w:val="28"/>
            <w:lang w:eastAsia="ru-RU"/>
          </w:rPr>
          <w:t>https://doi.org/10.36695/2219-5521.3.2023.39</w:t>
        </w:r>
      </w:hyperlink>
      <w:r w:rsidRPr="00511005">
        <w:rPr>
          <w:rFonts w:ascii="Arial" w:eastAsia="Times New Roman" w:hAnsi="Arial" w:cs="Arial"/>
          <w:szCs w:val="28"/>
          <w:lang w:eastAsia="ru-RU"/>
        </w:rPr>
        <w:t>.</w:t>
      </w:r>
    </w:p>
    <w:p w14:paraId="4EB0E7A5" w14:textId="77777777" w:rsidR="00B67481" w:rsidRPr="00511005" w:rsidRDefault="00B67481" w:rsidP="003A292D">
      <w:pPr>
        <w:widowControl w:val="0"/>
        <w:autoSpaceDE w:val="0"/>
        <w:autoSpaceDN w:val="0"/>
        <w:adjustRightInd w:val="0"/>
        <w:spacing w:line="264" w:lineRule="auto"/>
        <w:ind w:firstLine="851"/>
        <w:contextualSpacing/>
        <w:rPr>
          <w:rFonts w:ascii="Arial" w:eastAsia="Times New Roman" w:hAnsi="Arial" w:cs="Arial"/>
          <w:b/>
          <w:bCs/>
          <w:szCs w:val="28"/>
          <w:lang w:val="uk-UA" w:eastAsia="ru-RU"/>
        </w:rPr>
      </w:pPr>
    </w:p>
    <w:p w14:paraId="73B37FC0" w14:textId="4157D282" w:rsidR="00B67481" w:rsidRPr="00511005" w:rsidRDefault="007B2628" w:rsidP="003A292D">
      <w:pPr>
        <w:widowControl w:val="0"/>
        <w:autoSpaceDE w:val="0"/>
        <w:autoSpaceDN w:val="0"/>
        <w:adjustRightInd w:val="0"/>
        <w:spacing w:line="264" w:lineRule="auto"/>
        <w:ind w:firstLine="851"/>
        <w:contextualSpacing/>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B67481" w:rsidRPr="00511005">
        <w:rPr>
          <w:rFonts w:ascii="Arial" w:eastAsia="Times New Roman" w:hAnsi="Arial" w:cs="Arial"/>
          <w:szCs w:val="28"/>
          <w:lang w:eastAsia="ru-RU"/>
        </w:rPr>
        <w:t>адміністративне судочинство, виконання судових рішень, порушення строків, суб’єкт владних повноважень, судовий контроль.</w:t>
      </w:r>
    </w:p>
    <w:p w14:paraId="4838EEA6" w14:textId="41AF25E6" w:rsidR="00B67481" w:rsidRPr="00511005" w:rsidRDefault="007B2628" w:rsidP="003A292D">
      <w:pPr>
        <w:widowControl w:val="0"/>
        <w:autoSpaceDE w:val="0"/>
        <w:autoSpaceDN w:val="0"/>
        <w:adjustRightInd w:val="0"/>
        <w:spacing w:line="264" w:lineRule="auto"/>
        <w:ind w:firstLine="851"/>
        <w:contextualSpacing/>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B67481" w:rsidRPr="00511005">
        <w:rPr>
          <w:rFonts w:ascii="Arial" w:eastAsia="Times New Roman" w:hAnsi="Arial" w:cs="Arial"/>
          <w:szCs w:val="28"/>
          <w:lang w:val="en-US" w:eastAsia="ru-RU"/>
        </w:rPr>
        <w:t>administrative proceedings, enforcement of court decisions, violation of time limits, public authority, judicial control.</w:t>
      </w:r>
    </w:p>
    <w:p w14:paraId="4B28208F" w14:textId="160FF22F" w:rsidR="00B67481" w:rsidRPr="00511005" w:rsidRDefault="007B2628" w:rsidP="003A292D">
      <w:pPr>
        <w:widowControl w:val="0"/>
        <w:autoSpaceDE w:val="0"/>
        <w:autoSpaceDN w:val="0"/>
        <w:adjustRightInd w:val="0"/>
        <w:spacing w:line="264" w:lineRule="auto"/>
        <w:ind w:firstLine="851"/>
        <w:contextualSpacing/>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00B67481" w:rsidRPr="00511005">
        <w:rPr>
          <w:rFonts w:ascii="Arial" w:eastAsia="Times New Roman" w:hAnsi="Arial" w:cs="Arial"/>
          <w:i/>
          <w:iCs/>
          <w:szCs w:val="28"/>
          <w:lang w:eastAsia="ru-RU"/>
        </w:rPr>
        <w:t>к.ю.н., доцент Осадчий А. Ю.</w:t>
      </w:r>
    </w:p>
    <w:p w14:paraId="7F34B6E2" w14:textId="77777777" w:rsidR="003F5D68" w:rsidRPr="00511005" w:rsidRDefault="003F5D68" w:rsidP="003A292D">
      <w:pPr>
        <w:keepNext/>
        <w:spacing w:line="264" w:lineRule="auto"/>
        <w:ind w:firstLine="0"/>
        <w:jc w:val="left"/>
        <w:rPr>
          <w:rFonts w:ascii="Arial" w:hAnsi="Arial" w:cs="Arial"/>
          <w:szCs w:val="28"/>
        </w:rPr>
      </w:pPr>
    </w:p>
    <w:p w14:paraId="2459000D" w14:textId="77777777" w:rsidR="003F5D68" w:rsidRPr="00511005" w:rsidRDefault="003F5D68" w:rsidP="003A292D">
      <w:pPr>
        <w:keepNext/>
        <w:spacing w:line="264" w:lineRule="auto"/>
        <w:ind w:firstLine="0"/>
        <w:jc w:val="left"/>
        <w:rPr>
          <w:rFonts w:ascii="Arial" w:hAnsi="Arial" w:cs="Arial"/>
          <w:szCs w:val="28"/>
        </w:rPr>
      </w:pPr>
    </w:p>
    <w:p w14:paraId="5FEDCA85" w14:textId="5169DC18" w:rsidR="00181FEE" w:rsidRPr="00511005" w:rsidRDefault="00181FEE" w:rsidP="003A292D">
      <w:pPr>
        <w:keepNext/>
        <w:spacing w:line="264" w:lineRule="auto"/>
        <w:ind w:firstLine="0"/>
        <w:jc w:val="left"/>
        <w:rPr>
          <w:rFonts w:ascii="Arial" w:hAnsi="Arial" w:cs="Arial"/>
          <w:szCs w:val="28"/>
        </w:rPr>
      </w:pPr>
      <w:r w:rsidRPr="00511005">
        <w:rPr>
          <w:rFonts w:ascii="Arial" w:hAnsi="Arial" w:cs="Arial"/>
          <w:szCs w:val="28"/>
        </w:rPr>
        <w:br w:type="page"/>
      </w:r>
    </w:p>
    <w:p w14:paraId="652D5497" w14:textId="77777777" w:rsidR="003F5D68" w:rsidRPr="00511005" w:rsidRDefault="003F5D68" w:rsidP="003A292D">
      <w:pPr>
        <w:keepNext/>
        <w:suppressAutoHyphens/>
        <w:spacing w:line="264" w:lineRule="auto"/>
        <w:ind w:firstLine="0"/>
        <w:jc w:val="left"/>
        <w:rPr>
          <w:rFonts w:ascii="Arial" w:hAnsi="Arial" w:cs="Arial"/>
          <w:szCs w:val="28"/>
        </w:rPr>
      </w:pPr>
    </w:p>
    <w:p w14:paraId="407F2D27" w14:textId="2BC34ADF" w:rsidR="003F5D68" w:rsidRPr="00511005" w:rsidRDefault="003F5D68" w:rsidP="003A292D">
      <w:pPr>
        <w:pStyle w:val="aa"/>
        <w:spacing w:before="0" w:after="0" w:line="264" w:lineRule="auto"/>
        <w:rPr>
          <w:rFonts w:ascii="Arial" w:hAnsi="Arial" w:cs="Arial"/>
          <w:color w:val="auto"/>
          <w:sz w:val="28"/>
          <w:szCs w:val="28"/>
        </w:rPr>
      </w:pPr>
      <w:bookmarkStart w:id="146" w:name="_Toc208298996"/>
      <w:r w:rsidRPr="00511005">
        <w:rPr>
          <w:rFonts w:ascii="Arial" w:hAnsi="Arial" w:cs="Arial"/>
          <w:color w:val="auto"/>
          <w:sz w:val="28"/>
          <w:szCs w:val="28"/>
        </w:rPr>
        <w:t xml:space="preserve">СЕКЦІЯ </w:t>
      </w:r>
      <w:r w:rsidRPr="00511005">
        <w:rPr>
          <w:rFonts w:ascii="Arial" w:hAnsi="Arial" w:cs="Arial"/>
          <w:color w:val="auto"/>
          <w:sz w:val="28"/>
          <w:szCs w:val="28"/>
          <w:lang w:val="ru-RU"/>
        </w:rPr>
        <w:t>7. ПИТАННЯ ОРГАНІЗАЦІЇ ТА ДІЯЛЬНОСТІ СУДОВИХ, ПРАВООХОРОННИХ ОРГАНІВ ТА АДВОКАТУРИ</w:t>
      </w:r>
      <w:bookmarkEnd w:id="146"/>
      <w:r w:rsidRPr="00511005">
        <w:rPr>
          <w:rFonts w:ascii="Arial" w:hAnsi="Arial" w:cs="Arial"/>
          <w:color w:val="auto"/>
          <w:sz w:val="28"/>
          <w:szCs w:val="28"/>
        </w:rPr>
        <w:t xml:space="preserve"> </w:t>
      </w:r>
    </w:p>
    <w:p w14:paraId="69F40D07" w14:textId="77777777" w:rsidR="003F5D68" w:rsidRPr="00511005" w:rsidRDefault="003F5D68" w:rsidP="003A292D">
      <w:pPr>
        <w:keepNext/>
        <w:spacing w:line="264" w:lineRule="auto"/>
        <w:ind w:firstLine="0"/>
        <w:jc w:val="left"/>
        <w:rPr>
          <w:rFonts w:ascii="Arial" w:hAnsi="Arial" w:cs="Arial"/>
          <w:szCs w:val="28"/>
        </w:rPr>
      </w:pPr>
    </w:p>
    <w:p w14:paraId="044F0CE0" w14:textId="77777777" w:rsidR="00263376" w:rsidRPr="00511005" w:rsidRDefault="00263376" w:rsidP="003A292D">
      <w:pPr>
        <w:keepNext/>
        <w:spacing w:line="264" w:lineRule="auto"/>
        <w:rPr>
          <w:rFonts w:ascii="Arial" w:eastAsia="Calibri" w:hAnsi="Arial" w:cs="Arial"/>
          <w:b/>
          <w:szCs w:val="28"/>
          <w:lang w:val="uk-UA"/>
        </w:rPr>
      </w:pPr>
    </w:p>
    <w:p w14:paraId="3CBCF825" w14:textId="77777777" w:rsidR="00C10374" w:rsidRPr="00511005" w:rsidRDefault="00C10374" w:rsidP="003A292D">
      <w:pPr>
        <w:shd w:val="clear" w:color="auto" w:fill="FFFFFF"/>
        <w:spacing w:line="264" w:lineRule="auto"/>
        <w:ind w:firstLine="448"/>
        <w:contextualSpacing/>
        <w:mirrorIndents/>
        <w:jc w:val="center"/>
        <w:rPr>
          <w:rFonts w:ascii="Arial" w:eastAsia="Times New Roman" w:hAnsi="Arial" w:cs="Arial"/>
          <w:szCs w:val="28"/>
          <w:lang w:val="uk-UA" w:eastAsia="ru-RU"/>
        </w:rPr>
      </w:pPr>
      <w:r w:rsidRPr="00511005">
        <w:rPr>
          <w:rFonts w:ascii="Arial" w:eastAsia="Times New Roman" w:hAnsi="Arial" w:cs="Arial"/>
          <w:b/>
          <w:bCs/>
          <w:i/>
          <w:iCs/>
          <w:szCs w:val="28"/>
          <w:lang w:val="uk-UA" w:eastAsia="ru-RU"/>
        </w:rPr>
        <w:t>Аніщенко Олександра Олегівна</w:t>
      </w:r>
    </w:p>
    <w:p w14:paraId="388884D9" w14:textId="27BD6FCD" w:rsidR="00C10374" w:rsidRPr="00511005" w:rsidRDefault="00536AAB" w:rsidP="003A292D">
      <w:pPr>
        <w:shd w:val="clear" w:color="auto" w:fill="FFFFFF"/>
        <w:spacing w:line="264" w:lineRule="auto"/>
        <w:ind w:firstLine="448"/>
        <w:contextualSpacing/>
        <w:mirrorIndents/>
        <w:jc w:val="center"/>
        <w:rPr>
          <w:rFonts w:ascii="Arial" w:eastAsia="Times New Roman" w:hAnsi="Arial" w:cs="Arial"/>
          <w:i/>
          <w:iCs/>
          <w:szCs w:val="28"/>
          <w:lang w:val="uk-UA" w:eastAsia="ru-RU"/>
        </w:rPr>
      </w:pPr>
      <w:r w:rsidRPr="00511005">
        <w:rPr>
          <w:rFonts w:ascii="Arial" w:eastAsia="Times New Roman" w:hAnsi="Arial" w:cs="Arial"/>
          <w:i/>
          <w:iCs/>
          <w:szCs w:val="28"/>
          <w:lang w:val="uk-UA" w:eastAsia="ru-RU"/>
        </w:rPr>
        <w:t xml:space="preserve">студентка 3-го курсу </w:t>
      </w:r>
      <w:r w:rsidR="00C10374" w:rsidRPr="00511005">
        <w:rPr>
          <w:rFonts w:ascii="Arial" w:eastAsia="Times New Roman" w:hAnsi="Arial" w:cs="Arial"/>
          <w:i/>
          <w:iCs/>
          <w:szCs w:val="28"/>
          <w:lang w:val="uk-UA" w:eastAsia="ru-RU"/>
        </w:rPr>
        <w:t xml:space="preserve">факультету адвокатури </w:t>
      </w:r>
    </w:p>
    <w:p w14:paraId="685D57C4" w14:textId="77777777" w:rsidR="00C10374" w:rsidRPr="00511005" w:rsidRDefault="00C10374" w:rsidP="003A292D">
      <w:pPr>
        <w:shd w:val="clear" w:color="auto" w:fill="FFFFFF"/>
        <w:spacing w:line="264" w:lineRule="auto"/>
        <w:ind w:firstLine="448"/>
        <w:contextualSpacing/>
        <w:mirrorIndents/>
        <w:jc w:val="center"/>
        <w:rPr>
          <w:rFonts w:ascii="Arial" w:eastAsia="Times New Roman" w:hAnsi="Arial" w:cs="Arial"/>
          <w:szCs w:val="28"/>
          <w:lang w:val="uk-UA" w:eastAsia="ru-RU"/>
        </w:rPr>
      </w:pPr>
      <w:r w:rsidRPr="00511005">
        <w:rPr>
          <w:rFonts w:ascii="Arial" w:eastAsia="Times New Roman" w:hAnsi="Arial" w:cs="Arial"/>
          <w:i/>
          <w:iCs/>
          <w:szCs w:val="28"/>
          <w:lang w:val="uk-UA" w:eastAsia="ru-RU"/>
        </w:rPr>
        <w:t>та антикорупційної діяльності</w:t>
      </w:r>
    </w:p>
    <w:p w14:paraId="5FFCD95C" w14:textId="695F8D7F" w:rsidR="00C10374" w:rsidRPr="00511005" w:rsidRDefault="007B2628" w:rsidP="003A292D">
      <w:pPr>
        <w:shd w:val="clear" w:color="auto" w:fill="FFFFFF"/>
        <w:spacing w:line="264" w:lineRule="auto"/>
        <w:ind w:firstLine="448"/>
        <w:contextualSpacing/>
        <w:mirrorIndents/>
        <w:jc w:val="center"/>
        <w:rPr>
          <w:rFonts w:ascii="Arial" w:eastAsia="Times New Roman" w:hAnsi="Arial" w:cs="Arial"/>
          <w:i/>
          <w:iCs/>
          <w:szCs w:val="28"/>
          <w:lang w:val="uk-UA" w:eastAsia="ru-RU"/>
        </w:rPr>
      </w:pPr>
      <w:r w:rsidRPr="00511005">
        <w:rPr>
          <w:rFonts w:ascii="Arial" w:eastAsia="Times New Roman" w:hAnsi="Arial" w:cs="Arial"/>
          <w:i/>
          <w:iCs/>
          <w:szCs w:val="28"/>
          <w:lang w:val="uk-UA" w:eastAsia="ru-RU"/>
        </w:rPr>
        <w:t>Національного університету «Одеська юридична академія»</w:t>
      </w:r>
    </w:p>
    <w:p w14:paraId="022B927D" w14:textId="77777777" w:rsidR="00C10374" w:rsidRPr="00511005" w:rsidRDefault="00C10374" w:rsidP="003A292D">
      <w:pPr>
        <w:shd w:val="clear" w:color="auto" w:fill="FFFFFF"/>
        <w:spacing w:line="264" w:lineRule="auto"/>
        <w:ind w:firstLine="450"/>
        <w:jc w:val="center"/>
        <w:rPr>
          <w:rFonts w:ascii="Arial" w:eastAsia="Times New Roman" w:hAnsi="Arial" w:cs="Arial"/>
          <w:szCs w:val="28"/>
          <w:lang w:val="uk-UA" w:eastAsia="ru-RU"/>
        </w:rPr>
      </w:pPr>
    </w:p>
    <w:p w14:paraId="1DAF1315" w14:textId="77777777" w:rsidR="007B2628" w:rsidRPr="00511005" w:rsidRDefault="00C10374" w:rsidP="003A292D">
      <w:pPr>
        <w:shd w:val="clear" w:color="auto" w:fill="FFFFFF"/>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ДІЯЛЬНІСТЬ АДВОКАТУРИ В УМОВАХ ВОЄННОГО СТАНУ</w:t>
      </w:r>
    </w:p>
    <w:p w14:paraId="0654BFAF" w14:textId="77777777" w:rsidR="007B2628" w:rsidRPr="00511005" w:rsidRDefault="00C10374"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24 лютого 2022 року РФ напала на Україну та розпочала повномасштабне вторгнення. Ця російська агресія спричинила численні зміни в різних сферах суспільного життя, зокрема, в діяльності адвокатури, яка є незалежним самоврядним інститутом, що забезпечує професійний захист, представництво та надання правничої допомоги </w:t>
      </w:r>
      <w:r w:rsidRPr="00511005">
        <w:rPr>
          <w:rFonts w:ascii="Arial" w:eastAsia="Times New Roman" w:hAnsi="Arial" w:cs="Arial"/>
          <w:szCs w:val="28"/>
          <w:shd w:val="clear" w:color="auto" w:fill="FFFFFF"/>
          <w:lang w:val="uk-UA" w:eastAsia="ru-RU"/>
        </w:rPr>
        <w:t>[1].</w:t>
      </w:r>
    </w:p>
    <w:p w14:paraId="48DCC0AE" w14:textId="77777777" w:rsidR="007B2628" w:rsidRPr="00511005" w:rsidRDefault="00C10374"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Адвокатура України є недержавним самоврядним інститутом, який відповідає за захист прав і свобод громадян, а також надання їм кваліфікованої правничої допомоги. Відповідно до ст. 59 Конституції України, кожен має право на </w:t>
      </w:r>
      <w:r w:rsidRPr="00511005">
        <w:rPr>
          <w:rFonts w:ascii="Arial" w:eastAsia="Times New Roman" w:hAnsi="Arial" w:cs="Arial"/>
          <w:szCs w:val="28"/>
          <w:shd w:val="clear" w:color="auto" w:fill="FFFFFF"/>
          <w:lang w:eastAsia="ru-RU"/>
        </w:rPr>
        <w:t>професійну правничу допомогу</w:t>
      </w:r>
      <w:r w:rsidRPr="00511005">
        <w:rPr>
          <w:rFonts w:ascii="Arial" w:eastAsia="Times New Roman" w:hAnsi="Arial" w:cs="Arial"/>
          <w:szCs w:val="28"/>
          <w:shd w:val="clear" w:color="auto" w:fill="FFFFFF"/>
          <w:lang w:val="uk-UA" w:eastAsia="ru-RU"/>
        </w:rPr>
        <w:t xml:space="preserve">, у </w:t>
      </w:r>
      <w:r w:rsidRPr="00511005">
        <w:rPr>
          <w:rFonts w:ascii="Arial" w:eastAsia="Times New Roman" w:hAnsi="Arial" w:cs="Arial"/>
          <w:szCs w:val="28"/>
          <w:shd w:val="clear" w:color="auto" w:fill="FFFFFF"/>
          <w:lang w:eastAsia="ru-RU"/>
        </w:rPr>
        <w:t>випадках, передбачених законом, ця допомога надається безоплатно</w:t>
      </w:r>
      <w:r w:rsidRPr="00511005">
        <w:rPr>
          <w:rFonts w:ascii="Arial" w:eastAsia="Times New Roman" w:hAnsi="Arial" w:cs="Arial"/>
          <w:szCs w:val="28"/>
          <w:lang w:val="uk-UA" w:eastAsia="ru-RU"/>
        </w:rPr>
        <w:t xml:space="preserve"> </w:t>
      </w:r>
      <w:r w:rsidRPr="00511005">
        <w:rPr>
          <w:rFonts w:ascii="Arial" w:eastAsia="Times New Roman" w:hAnsi="Arial" w:cs="Arial"/>
          <w:szCs w:val="28"/>
          <w:shd w:val="clear" w:color="auto" w:fill="FFFFFF"/>
          <w:lang w:val="uk-UA" w:eastAsia="ru-RU"/>
        </w:rPr>
        <w:t>[2].</w:t>
      </w:r>
      <w:r w:rsidRPr="00511005">
        <w:rPr>
          <w:rFonts w:ascii="Arial" w:eastAsia="Times New Roman" w:hAnsi="Arial" w:cs="Arial"/>
          <w:szCs w:val="28"/>
          <w:lang w:val="uk-UA" w:eastAsia="ru-RU"/>
        </w:rPr>
        <w:t xml:space="preserve"> Під час війни, адвокатам стало набагато важче здійснювати свою діяльність та виконувати свої професійні обов’язки щодо захисту інтересів громадян.</w:t>
      </w:r>
    </w:p>
    <w:p w14:paraId="2F931077" w14:textId="77777777" w:rsidR="007B2628" w:rsidRPr="00511005" w:rsidRDefault="00C10374"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Після жорстокого нападу, багато адвокатів взяли до рук зброю та пішли до лав Збройних Сил України, боронять нашу країну та захищають громадян та державу не лише в суді, але й на поле бою </w:t>
      </w:r>
      <w:r w:rsidRPr="00511005">
        <w:rPr>
          <w:rFonts w:ascii="Arial" w:eastAsia="Times New Roman" w:hAnsi="Arial" w:cs="Arial"/>
          <w:szCs w:val="28"/>
          <w:shd w:val="clear" w:color="auto" w:fill="FFFFFF"/>
          <w:lang w:val="uk-UA" w:eastAsia="ru-RU"/>
        </w:rPr>
        <w:t>[3].</w:t>
      </w:r>
    </w:p>
    <w:p w14:paraId="5C211921" w14:textId="77777777" w:rsidR="007B2628" w:rsidRPr="00511005" w:rsidRDefault="00C10374"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 умовах воєнного стану громадяни України та держава в цілому зіткнулися з низкою величезних проблем, в яких допомога адвоката надзвичайно важливою. Через ракетні удари та руйнування, багато українців були вимушені покинути свої домівки, міста, села та переїхати в інші міста України або виїхати за кордон. Це призвело до виникнення численних проблем організаційного та правового характеру, пов’язаних з війною. Серед них – порядок отримання соціальних виплат, дії у разі втрати документів, питання компенсації за знищене майно, захист трудових прав та інші.</w:t>
      </w:r>
    </w:p>
    <w:p w14:paraId="03D1D8B0" w14:textId="77777777" w:rsidR="007B2628" w:rsidRPr="00511005" w:rsidRDefault="00C10374"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3 березня 2022 року Національною асоціацією адвокатів України була утворена Опікунська Рада, яка надає благодійну допомогу адвокатам та їх сім’ям, які постраждали внаслідок воєнних дій.</w:t>
      </w:r>
    </w:p>
    <w:p w14:paraId="59C2AE86" w14:textId="77777777" w:rsidR="007B2628" w:rsidRPr="00511005" w:rsidRDefault="00C10374"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Національна асоціація адвокатів України виконала велику частину роботи, надаючи безоплатну правничу допомогу за кордоном особам, які потребують тимчасового захисту. Для покращення цієї діяльності були створені представництва за кордоном, що сприяло вдосконаленню роботи асоціації на міжнародному рівні </w:t>
      </w:r>
      <w:r w:rsidRPr="00511005">
        <w:rPr>
          <w:rFonts w:ascii="Arial" w:eastAsia="Times New Roman" w:hAnsi="Arial" w:cs="Arial"/>
          <w:szCs w:val="28"/>
          <w:shd w:val="clear" w:color="auto" w:fill="FFFFFF"/>
          <w:lang w:val="uk-UA" w:eastAsia="ru-RU"/>
        </w:rPr>
        <w:t>[4].</w:t>
      </w:r>
    </w:p>
    <w:p w14:paraId="606E0BF8" w14:textId="77777777" w:rsidR="007B2628" w:rsidRPr="00511005" w:rsidRDefault="00C10374"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Крім того, поширеним явищем стало надання правничої допомоги дистанційно, таку допомогу адвокати надають через онлайн платформи. Багато людей через різні причини не мають можливості зустрітися з адвокатами особисто. Є регіони, які наразі окуповані РФ, через це жителі не можуть покинути місто. Тому громадяни мають змогу проконсультуватися з різних питань з адвокатами онлайн.</w:t>
      </w:r>
    </w:p>
    <w:p w14:paraId="143646C6" w14:textId="77777777" w:rsidR="007B2628" w:rsidRPr="00511005" w:rsidRDefault="00C10374"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Особливу увагу варто звернути на тиск на адвокатів з боку органів військового управління та територіальних центрів комплектування та соціальної підтримки. Адже, якщо взяти до прикладу ситуацію з клієнтом - військовослужбовцем у справах про звільнення із військової служби та допомоги щодо звільнення від військової служби, то органи ТЦК та СП часто забороняють спілкуватися з клієнтами та супроводжувати їх в приміщення військового управління, тим самим, заважаючи здійснювати свою професійну діяльність та виконувати свої обов’язки.</w:t>
      </w:r>
    </w:p>
    <w:p w14:paraId="6D956412" w14:textId="77777777" w:rsidR="007B2628" w:rsidRPr="00511005" w:rsidRDefault="00C10374"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Діяльність адвокатів у воєнний час звичайно ускладнилася та зіткнулася з проблемами, але ці всі труднощі сприяли її оновленню в організації роботи адвокатів, зміні режиму та формату функціонування професійного механізму.</w:t>
      </w:r>
    </w:p>
    <w:p w14:paraId="1C25EBF0" w14:textId="0145CB50" w:rsidR="00C10374" w:rsidRPr="00511005" w:rsidRDefault="00C10374"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Можна зробити висновок, що не зважаючи на всі труднощі та складні обставини, адвокатура продовжує виконувати свою основну місію – захист прав і свобод громадян, організовувати надання безоплатної правничої допомоги тим, хто її потребує, а також розширювати свою діяльність для громадян України, що перебувають за кордоном.</w:t>
      </w:r>
    </w:p>
    <w:p w14:paraId="75D9149A" w14:textId="77777777" w:rsidR="00C10374" w:rsidRPr="00511005" w:rsidRDefault="00C10374" w:rsidP="003A292D">
      <w:pPr>
        <w:shd w:val="clear" w:color="auto" w:fill="FFFFFF"/>
        <w:spacing w:line="264" w:lineRule="auto"/>
        <w:ind w:firstLine="0"/>
        <w:jc w:val="left"/>
        <w:rPr>
          <w:rFonts w:ascii="Arial" w:eastAsia="Times New Roman" w:hAnsi="Arial" w:cs="Arial"/>
          <w:b/>
          <w:bCs/>
          <w:szCs w:val="28"/>
          <w:shd w:val="clear" w:color="auto" w:fill="FFFFFF"/>
          <w:lang w:val="uk-UA" w:eastAsia="ru-RU"/>
        </w:rPr>
      </w:pPr>
    </w:p>
    <w:p w14:paraId="23F83D8D" w14:textId="2E6CAD04" w:rsidR="00C10374" w:rsidRPr="00511005" w:rsidRDefault="007B2628" w:rsidP="007B2628">
      <w:pPr>
        <w:shd w:val="clear" w:color="auto" w:fill="FFFFFF"/>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b/>
          <w:bCs/>
          <w:szCs w:val="28"/>
          <w:shd w:val="clear" w:color="auto" w:fill="FFFFFF"/>
          <w:lang w:val="uk-UA" w:eastAsia="ru-RU"/>
        </w:rPr>
        <w:t>Список використаних джерел</w:t>
      </w:r>
    </w:p>
    <w:p w14:paraId="055E0964" w14:textId="265E430F" w:rsidR="00C10374" w:rsidRPr="00511005" w:rsidRDefault="00C10374" w:rsidP="003A292D">
      <w:pPr>
        <w:shd w:val="clear" w:color="auto" w:fill="FFFFFF"/>
        <w:spacing w:line="264" w:lineRule="auto"/>
        <w:ind w:firstLine="0"/>
        <w:contextualSpacing/>
        <w:mirrorIndents/>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eastAsia="ru-RU"/>
        </w:rPr>
        <w:t>1.</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Остапенко Л., Шандрук А. Особливості діяльності адвокатури в умовах воєнного стану. </w:t>
      </w:r>
      <w:r w:rsidRPr="00511005">
        <w:rPr>
          <w:rFonts w:ascii="Arial" w:eastAsia="Times New Roman" w:hAnsi="Arial" w:cs="Arial"/>
          <w:i/>
          <w:iCs/>
          <w:szCs w:val="28"/>
          <w:lang w:val="uk-UA" w:eastAsia="ru-RU"/>
        </w:rPr>
        <w:t>Вісник Національного університету «Львівська політехніка». Серія: «Юридичні науки»</w:t>
      </w:r>
      <w:r w:rsidRPr="00511005">
        <w:rPr>
          <w:rFonts w:ascii="Arial" w:eastAsia="Times New Roman" w:hAnsi="Arial" w:cs="Arial"/>
          <w:szCs w:val="28"/>
          <w:lang w:val="uk-UA" w:eastAsia="ru-RU"/>
        </w:rPr>
        <w:t>. 2023. № 2 (38). С. 176-182.</w:t>
      </w:r>
      <w:r w:rsidRPr="00511005">
        <w:rPr>
          <w:rFonts w:ascii="Arial" w:eastAsia="Times New Roman" w:hAnsi="Arial" w:cs="Arial"/>
          <w:b/>
          <w:szCs w:val="28"/>
          <w:lang w:val="uk-UA" w:eastAsia="ru-RU"/>
        </w:rPr>
        <w:t xml:space="preserve"> </w:t>
      </w:r>
      <w:r w:rsidRPr="00511005">
        <w:rPr>
          <w:rFonts w:ascii="Arial" w:eastAsia="Times New Roman" w:hAnsi="Arial" w:cs="Arial"/>
          <w:szCs w:val="28"/>
          <w:shd w:val="clear" w:color="auto" w:fill="FFFFFF"/>
          <w:lang w:val="en-US" w:eastAsia="ru-RU"/>
        </w:rPr>
        <w:t>URL</w:t>
      </w:r>
      <w:r w:rsidRPr="00511005">
        <w:rPr>
          <w:rFonts w:ascii="Arial" w:eastAsia="Times New Roman" w:hAnsi="Arial" w:cs="Arial"/>
          <w:szCs w:val="28"/>
          <w:shd w:val="clear" w:color="auto" w:fill="FFFFFF"/>
          <w:lang w:val="uk-UA" w:eastAsia="ru-RU"/>
        </w:rPr>
        <w:t xml:space="preserve">: </w:t>
      </w:r>
      <w:hyperlink r:id="rId1057" w:history="1">
        <w:r w:rsidRPr="00511005">
          <w:rPr>
            <w:rFonts w:ascii="Arial" w:eastAsia="Times New Roman" w:hAnsi="Arial" w:cs="Arial"/>
            <w:szCs w:val="28"/>
            <w:lang w:val="en-US" w:eastAsia="ru-RU"/>
          </w:rPr>
          <w:t>https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science</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lpnu</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sites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default</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files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journal</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paper</w:t>
        </w:r>
        <w:r w:rsidRPr="00511005">
          <w:rPr>
            <w:rFonts w:ascii="Arial" w:eastAsia="Times New Roman" w:hAnsi="Arial" w:cs="Arial"/>
            <w:szCs w:val="28"/>
            <w:lang w:val="uk-UA" w:eastAsia="ru-RU"/>
          </w:rPr>
          <w:t>/2023/</w:t>
        </w:r>
        <w:r w:rsidRPr="00511005">
          <w:rPr>
            <w:rFonts w:ascii="Arial" w:eastAsia="Times New Roman" w:hAnsi="Arial" w:cs="Arial"/>
            <w:szCs w:val="28"/>
            <w:lang w:val="en-US" w:eastAsia="ru-RU"/>
          </w:rPr>
          <w:t>nov</w:t>
        </w:r>
        <w:r w:rsidRPr="00511005">
          <w:rPr>
            <w:rFonts w:ascii="Arial" w:eastAsia="Times New Roman" w:hAnsi="Arial" w:cs="Arial"/>
            <w:szCs w:val="28"/>
            <w:lang w:val="uk-UA" w:eastAsia="ru-RU"/>
          </w:rPr>
          <w:t>/31673/26.</w:t>
        </w:r>
        <w:r w:rsidRPr="00511005">
          <w:rPr>
            <w:rFonts w:ascii="Arial" w:eastAsia="Times New Roman" w:hAnsi="Arial" w:cs="Arial"/>
            <w:szCs w:val="28"/>
            <w:lang w:val="en-US" w:eastAsia="ru-RU"/>
          </w:rPr>
          <w:t>pdf</w:t>
        </w:r>
      </w:hyperlink>
      <w:r w:rsidRPr="00511005">
        <w:rPr>
          <w:rFonts w:ascii="Arial" w:eastAsia="Times New Roman" w:hAnsi="Arial" w:cs="Arial"/>
          <w:szCs w:val="28"/>
          <w:lang w:val="uk-UA" w:eastAsia="ru-RU"/>
        </w:rPr>
        <w:t xml:space="preserve"> </w:t>
      </w:r>
      <w:r w:rsidRPr="00511005">
        <w:rPr>
          <w:rFonts w:ascii="Arial" w:eastAsia="Times New Roman" w:hAnsi="Arial" w:cs="Arial"/>
          <w:szCs w:val="28"/>
          <w:shd w:val="clear" w:color="auto" w:fill="FFFFFF"/>
          <w:lang w:val="uk-UA" w:eastAsia="ru-RU"/>
        </w:rPr>
        <w:t>(дата звернення:</w:t>
      </w:r>
      <w:r w:rsidR="007B2628" w:rsidRPr="00055389">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28.04.2025).</w:t>
      </w:r>
    </w:p>
    <w:p w14:paraId="52C7BD66" w14:textId="54F52601" w:rsidR="0087239D" w:rsidRPr="00511005" w:rsidRDefault="0087239D" w:rsidP="003A292D">
      <w:pPr>
        <w:shd w:val="clear" w:color="auto" w:fill="FFFFFF"/>
        <w:spacing w:line="264" w:lineRule="auto"/>
        <w:ind w:firstLine="0"/>
        <w:contextualSpacing/>
        <w:mirrorIndents/>
        <w:rPr>
          <w:rFonts w:ascii="Arial" w:eastAsia="Times New Roman" w:hAnsi="Arial" w:cs="Arial"/>
          <w:bCs/>
          <w:kern w:val="36"/>
          <w:szCs w:val="28"/>
          <w:shd w:val="clear" w:color="auto" w:fill="FFFFFF"/>
          <w:lang w:eastAsia="ru-RU"/>
        </w:rPr>
      </w:pPr>
      <w:r w:rsidRPr="00511005">
        <w:rPr>
          <w:rFonts w:ascii="Arial" w:eastAsia="Times New Roman" w:hAnsi="Arial" w:cs="Arial"/>
          <w:bCs/>
          <w:kern w:val="36"/>
          <w:szCs w:val="28"/>
          <w:lang w:val="uk-UA" w:eastAsia="ru-RU"/>
        </w:rPr>
        <w:t xml:space="preserve">2. </w:t>
      </w:r>
      <w:r w:rsidRPr="00511005">
        <w:rPr>
          <w:rFonts w:ascii="Arial" w:eastAsia="Times New Roman" w:hAnsi="Arial" w:cs="Arial"/>
          <w:bCs/>
          <w:kern w:val="36"/>
          <w:szCs w:val="28"/>
          <w:shd w:val="clear" w:color="auto" w:fill="FFFFFF"/>
          <w:lang w:eastAsia="ru-RU"/>
        </w:rPr>
        <w:t>Конституція України від 28.06</w:t>
      </w:r>
      <w:r w:rsidRPr="00511005">
        <w:rPr>
          <w:rFonts w:ascii="Arial" w:eastAsia="Times New Roman" w:hAnsi="Arial" w:cs="Arial"/>
          <w:bCs/>
          <w:kern w:val="36"/>
          <w:szCs w:val="28"/>
          <w:shd w:val="clear" w:color="auto" w:fill="FFFFFF"/>
          <w:lang w:val="uk-UA" w:eastAsia="ru-RU"/>
        </w:rPr>
        <w:t>.</w:t>
      </w:r>
      <w:r w:rsidRPr="00511005">
        <w:rPr>
          <w:rFonts w:ascii="Arial" w:eastAsia="Times New Roman" w:hAnsi="Arial" w:cs="Arial"/>
          <w:bCs/>
          <w:kern w:val="36"/>
          <w:szCs w:val="28"/>
          <w:shd w:val="clear" w:color="auto" w:fill="FFFFFF"/>
          <w:lang w:eastAsia="ru-RU"/>
        </w:rPr>
        <w:t>1996 р. №254к/96-ВР</w:t>
      </w:r>
      <w:r w:rsidRPr="00511005">
        <w:rPr>
          <w:rFonts w:ascii="Arial" w:eastAsia="Times New Roman" w:hAnsi="Arial" w:cs="Arial"/>
          <w:bCs/>
          <w:kern w:val="36"/>
          <w:szCs w:val="28"/>
          <w:shd w:val="clear" w:color="auto" w:fill="FFFFFF"/>
          <w:lang w:val="uk-UA" w:eastAsia="ru-RU"/>
        </w:rPr>
        <w:t>.</w:t>
      </w:r>
      <w:r w:rsidRPr="00511005">
        <w:rPr>
          <w:rFonts w:ascii="Arial" w:eastAsia="Times New Roman" w:hAnsi="Arial" w:cs="Arial"/>
          <w:bCs/>
          <w:kern w:val="36"/>
          <w:szCs w:val="28"/>
          <w:shd w:val="clear" w:color="auto" w:fill="FFFFFF"/>
          <w:lang w:eastAsia="ru-RU"/>
        </w:rPr>
        <w:t xml:space="preserve"> URL: </w:t>
      </w:r>
      <w:hyperlink r:id="rId1058" w:anchor="n4363" w:history="1">
        <w:r w:rsidRPr="00511005">
          <w:rPr>
            <w:rFonts w:ascii="Arial" w:eastAsia="Times New Roman" w:hAnsi="Arial" w:cs="Arial"/>
            <w:bCs/>
            <w:kern w:val="36"/>
            <w:szCs w:val="28"/>
            <w:shd w:val="clear" w:color="auto" w:fill="FFFFFF"/>
            <w:lang w:eastAsia="ru-RU"/>
          </w:rPr>
          <w:t>https://zakon.rada.gov.ua/laws/show/254%D0%BA/96%D0%B2%D1%80#n4363</w:t>
        </w:r>
      </w:hyperlink>
      <w:r w:rsidRPr="00511005">
        <w:rPr>
          <w:rFonts w:ascii="Arial" w:eastAsia="Times New Roman" w:hAnsi="Arial" w:cs="Arial"/>
          <w:bCs/>
          <w:kern w:val="36"/>
          <w:szCs w:val="28"/>
          <w:shd w:val="clear" w:color="auto" w:fill="FFFFFF"/>
          <w:lang w:val="uk-UA" w:eastAsia="ru-RU"/>
        </w:rPr>
        <w:t xml:space="preserve"> </w:t>
      </w:r>
      <w:r w:rsidRPr="00511005">
        <w:rPr>
          <w:rFonts w:ascii="Arial" w:eastAsia="Times New Roman" w:hAnsi="Arial" w:cs="Arial"/>
          <w:bCs/>
          <w:kern w:val="36"/>
          <w:szCs w:val="28"/>
          <w:shd w:val="clear" w:color="auto" w:fill="FFFFFF"/>
          <w:lang w:eastAsia="ru-RU"/>
        </w:rPr>
        <w:t>(дата</w:t>
      </w:r>
      <w:r w:rsidRPr="00511005">
        <w:rPr>
          <w:rFonts w:ascii="Arial" w:eastAsia="Times New Roman" w:hAnsi="Arial" w:cs="Arial"/>
          <w:bCs/>
          <w:kern w:val="36"/>
          <w:szCs w:val="28"/>
          <w:shd w:val="clear" w:color="auto" w:fill="FFFFFF"/>
          <w:lang w:val="uk-UA" w:eastAsia="ru-RU"/>
        </w:rPr>
        <w:t> </w:t>
      </w:r>
      <w:r w:rsidRPr="00511005">
        <w:rPr>
          <w:rFonts w:ascii="Arial" w:eastAsia="Times New Roman" w:hAnsi="Arial" w:cs="Arial"/>
          <w:bCs/>
          <w:kern w:val="36"/>
          <w:szCs w:val="28"/>
          <w:shd w:val="clear" w:color="auto" w:fill="FFFFFF"/>
          <w:lang w:eastAsia="ru-RU"/>
        </w:rPr>
        <w:t xml:space="preserve">звернення: </w:t>
      </w:r>
      <w:r w:rsidRPr="00511005">
        <w:rPr>
          <w:rFonts w:ascii="Arial" w:eastAsia="Times New Roman" w:hAnsi="Arial" w:cs="Arial"/>
          <w:bCs/>
          <w:kern w:val="36"/>
          <w:szCs w:val="28"/>
          <w:shd w:val="clear" w:color="auto" w:fill="FFFFFF"/>
          <w:lang w:val="uk-UA" w:eastAsia="ru-RU"/>
        </w:rPr>
        <w:t>28</w:t>
      </w:r>
      <w:r w:rsidRPr="00511005">
        <w:rPr>
          <w:rFonts w:ascii="Arial" w:eastAsia="Times New Roman" w:hAnsi="Arial" w:cs="Arial"/>
          <w:bCs/>
          <w:kern w:val="36"/>
          <w:szCs w:val="28"/>
          <w:shd w:val="clear" w:color="auto" w:fill="FFFFFF"/>
          <w:lang w:eastAsia="ru-RU"/>
        </w:rPr>
        <w:t>.</w:t>
      </w:r>
      <w:r w:rsidRPr="00511005">
        <w:rPr>
          <w:rFonts w:ascii="Arial" w:eastAsia="Times New Roman" w:hAnsi="Arial" w:cs="Arial"/>
          <w:bCs/>
          <w:kern w:val="36"/>
          <w:szCs w:val="28"/>
          <w:shd w:val="clear" w:color="auto" w:fill="FFFFFF"/>
          <w:lang w:val="uk-UA" w:eastAsia="ru-RU"/>
        </w:rPr>
        <w:t>04</w:t>
      </w:r>
      <w:r w:rsidRPr="00511005">
        <w:rPr>
          <w:rFonts w:ascii="Arial" w:eastAsia="Times New Roman" w:hAnsi="Arial" w:cs="Arial"/>
          <w:bCs/>
          <w:kern w:val="36"/>
          <w:szCs w:val="28"/>
          <w:shd w:val="clear" w:color="auto" w:fill="FFFFFF"/>
          <w:lang w:eastAsia="ru-RU"/>
        </w:rPr>
        <w:t>.</w:t>
      </w:r>
      <w:r w:rsidRPr="00511005">
        <w:rPr>
          <w:rFonts w:ascii="Arial" w:eastAsia="Times New Roman" w:hAnsi="Arial" w:cs="Arial"/>
          <w:bCs/>
          <w:kern w:val="36"/>
          <w:szCs w:val="28"/>
          <w:shd w:val="clear" w:color="auto" w:fill="FFFFFF"/>
          <w:lang w:val="uk-UA" w:eastAsia="ru-RU"/>
        </w:rPr>
        <w:t>2025</w:t>
      </w:r>
      <w:r w:rsidRPr="00511005">
        <w:rPr>
          <w:rFonts w:ascii="Arial" w:eastAsia="Times New Roman" w:hAnsi="Arial" w:cs="Arial"/>
          <w:bCs/>
          <w:kern w:val="36"/>
          <w:szCs w:val="28"/>
          <w:shd w:val="clear" w:color="auto" w:fill="FFFFFF"/>
          <w:lang w:eastAsia="ru-RU"/>
        </w:rPr>
        <w:t>).</w:t>
      </w:r>
    </w:p>
    <w:p w14:paraId="5BBFE32E" w14:textId="748706ED" w:rsidR="0087239D" w:rsidRPr="00511005" w:rsidRDefault="0087239D" w:rsidP="003A292D">
      <w:pPr>
        <w:shd w:val="clear" w:color="auto" w:fill="FFFFFF"/>
        <w:spacing w:line="264" w:lineRule="auto"/>
        <w:ind w:firstLine="0"/>
        <w:contextualSpacing/>
        <w:mirrorIndents/>
        <w:rPr>
          <w:rFonts w:ascii="Arial" w:eastAsia="Times New Roman" w:hAnsi="Arial" w:cs="Arial"/>
          <w:bCs/>
          <w:kern w:val="36"/>
          <w:szCs w:val="28"/>
          <w:shd w:val="clear" w:color="auto" w:fill="FFFFFF"/>
          <w:lang w:val="uk-UA" w:eastAsia="ru-RU"/>
        </w:rPr>
      </w:pPr>
      <w:r w:rsidRPr="00511005">
        <w:rPr>
          <w:rFonts w:ascii="Arial" w:eastAsia="Times New Roman" w:hAnsi="Arial" w:cs="Arial"/>
          <w:bCs/>
          <w:kern w:val="36"/>
          <w:szCs w:val="28"/>
          <w:shd w:val="clear" w:color="auto" w:fill="FFFFFF"/>
          <w:lang w:val="uk-UA" w:eastAsia="ru-RU"/>
        </w:rPr>
        <w:t xml:space="preserve">3. Адвокатура України під час воєнного стану. </w:t>
      </w:r>
      <w:r w:rsidRPr="00511005">
        <w:rPr>
          <w:rFonts w:ascii="Arial" w:eastAsia="Times New Roman" w:hAnsi="Arial" w:cs="Arial"/>
          <w:bCs/>
          <w:i/>
          <w:iCs/>
          <w:kern w:val="36"/>
          <w:szCs w:val="28"/>
          <w:shd w:val="clear" w:color="auto" w:fill="FFFFFF"/>
          <w:lang w:val="uk-UA" w:eastAsia="ru-RU"/>
        </w:rPr>
        <w:t>Офіційний сайт Національної асоціації адвокатів України</w:t>
      </w:r>
      <w:r w:rsidRPr="00511005">
        <w:rPr>
          <w:rFonts w:ascii="Arial" w:eastAsia="Times New Roman" w:hAnsi="Arial" w:cs="Arial"/>
          <w:bCs/>
          <w:kern w:val="36"/>
          <w:szCs w:val="28"/>
          <w:shd w:val="clear" w:color="auto" w:fill="FFFFFF"/>
          <w:lang w:val="uk-UA" w:eastAsia="ru-RU"/>
        </w:rPr>
        <w:t xml:space="preserve">. </w:t>
      </w:r>
      <w:r w:rsidRPr="00511005">
        <w:rPr>
          <w:rFonts w:ascii="Arial" w:eastAsia="Times New Roman" w:hAnsi="Arial" w:cs="Arial"/>
          <w:bCs/>
          <w:kern w:val="36"/>
          <w:szCs w:val="28"/>
          <w:shd w:val="clear" w:color="auto" w:fill="FFFFFF"/>
          <w:lang w:val="en-US" w:eastAsia="ru-RU"/>
        </w:rPr>
        <w:t>URL</w:t>
      </w:r>
      <w:r w:rsidRPr="00511005">
        <w:rPr>
          <w:rFonts w:ascii="Arial" w:eastAsia="Times New Roman" w:hAnsi="Arial" w:cs="Arial"/>
          <w:bCs/>
          <w:kern w:val="36"/>
          <w:szCs w:val="28"/>
          <w:shd w:val="clear" w:color="auto" w:fill="FFFFFF"/>
          <w:lang w:val="uk-UA" w:eastAsia="ru-RU"/>
        </w:rPr>
        <w:t xml:space="preserve">: </w:t>
      </w:r>
      <w:hyperlink r:id="rId1059" w:history="1">
        <w:r w:rsidRPr="00511005">
          <w:rPr>
            <w:rFonts w:ascii="Arial" w:eastAsia="Times New Roman" w:hAnsi="Arial" w:cs="Arial"/>
            <w:bCs/>
            <w:kern w:val="36"/>
            <w:szCs w:val="28"/>
            <w:shd w:val="clear" w:color="auto" w:fill="FFFFFF"/>
            <w:lang w:val="uk-UA" w:eastAsia="ru-RU"/>
          </w:rPr>
          <w:t>https://unba.org.ua/publications/8390-advokatura-ukraini-pid-chas-voennogo-stanu.html</w:t>
        </w:r>
      </w:hyperlink>
      <w:r w:rsidRPr="00511005">
        <w:rPr>
          <w:rFonts w:ascii="Arial" w:eastAsia="Times New Roman" w:hAnsi="Arial" w:cs="Arial"/>
          <w:bCs/>
          <w:kern w:val="36"/>
          <w:szCs w:val="28"/>
          <w:shd w:val="clear" w:color="auto" w:fill="FFFFFF"/>
          <w:lang w:val="uk-UA" w:eastAsia="ru-RU"/>
        </w:rPr>
        <w:t xml:space="preserve"> (дата звернення: 28.04.2025).</w:t>
      </w:r>
    </w:p>
    <w:p w14:paraId="7B21B4B2" w14:textId="745ED40B" w:rsidR="0087239D" w:rsidRPr="00511005" w:rsidRDefault="0087239D" w:rsidP="003A292D">
      <w:pPr>
        <w:shd w:val="clear" w:color="auto" w:fill="FFFFFF"/>
        <w:spacing w:line="264" w:lineRule="auto"/>
        <w:ind w:firstLine="0"/>
        <w:contextualSpacing/>
        <w:mirrorIndents/>
        <w:rPr>
          <w:rFonts w:ascii="Arial" w:eastAsia="Times New Roman" w:hAnsi="Arial" w:cs="Arial"/>
          <w:bCs/>
          <w:kern w:val="36"/>
          <w:szCs w:val="28"/>
          <w:shd w:val="clear" w:color="auto" w:fill="FFFFFF"/>
          <w:lang w:val="uk-UA" w:eastAsia="ru-RU"/>
        </w:rPr>
      </w:pPr>
      <w:r w:rsidRPr="00511005">
        <w:rPr>
          <w:rFonts w:ascii="Arial" w:eastAsia="Times New Roman" w:hAnsi="Arial" w:cs="Arial"/>
          <w:bCs/>
          <w:kern w:val="36"/>
          <w:szCs w:val="28"/>
          <w:shd w:val="clear" w:color="auto" w:fill="FFFFFF"/>
          <w:lang w:val="uk-UA" w:eastAsia="ru-RU"/>
        </w:rPr>
        <w:t>4</w:t>
      </w:r>
      <w:r w:rsidRPr="00511005">
        <w:rPr>
          <w:rFonts w:ascii="Arial" w:eastAsia="Times New Roman" w:hAnsi="Arial" w:cs="Arial"/>
          <w:bCs/>
          <w:kern w:val="36"/>
          <w:szCs w:val="28"/>
          <w:lang w:val="uk-UA" w:eastAsia="ru-RU"/>
        </w:rPr>
        <w:t xml:space="preserve">. Хомин Д.Р., Шандук А.М. Особливості діяльності адвокатури в умовах воєнного стану. </w:t>
      </w:r>
      <w:r w:rsidRPr="00511005">
        <w:rPr>
          <w:rFonts w:ascii="Arial" w:eastAsia="Times New Roman" w:hAnsi="Arial" w:cs="Arial"/>
          <w:bCs/>
          <w:i/>
          <w:iCs/>
          <w:kern w:val="36"/>
          <w:szCs w:val="28"/>
          <w:lang w:val="uk-UA" w:eastAsia="ru-RU"/>
        </w:rPr>
        <w:t xml:space="preserve">Юридичний науковий електронний журнал. </w:t>
      </w:r>
      <w:r w:rsidRPr="00511005">
        <w:rPr>
          <w:rFonts w:ascii="Arial" w:eastAsia="Times New Roman" w:hAnsi="Arial" w:cs="Arial"/>
          <w:bCs/>
          <w:kern w:val="36"/>
          <w:szCs w:val="28"/>
          <w:lang w:val="uk-UA" w:eastAsia="ru-RU"/>
        </w:rPr>
        <w:t>2023. №1. С. 513-515</w:t>
      </w:r>
      <w:r w:rsidRPr="00511005">
        <w:rPr>
          <w:rFonts w:ascii="Arial" w:eastAsia="Times New Roman" w:hAnsi="Arial" w:cs="Arial"/>
          <w:bCs/>
          <w:i/>
          <w:iCs/>
          <w:kern w:val="36"/>
          <w:szCs w:val="28"/>
          <w:lang w:val="uk-UA" w:eastAsia="ru-RU"/>
        </w:rPr>
        <w:t>.</w:t>
      </w:r>
      <w:r w:rsidRPr="00511005">
        <w:rPr>
          <w:rFonts w:ascii="Arial" w:eastAsia="Times New Roman" w:hAnsi="Arial" w:cs="Arial"/>
          <w:bCs/>
          <w:kern w:val="36"/>
          <w:szCs w:val="28"/>
          <w:lang w:val="uk-UA" w:eastAsia="ru-RU"/>
        </w:rPr>
        <w:t xml:space="preserve"> </w:t>
      </w:r>
      <w:r w:rsidRPr="00511005">
        <w:rPr>
          <w:rFonts w:ascii="Arial" w:eastAsia="Times New Roman" w:hAnsi="Arial" w:cs="Arial"/>
          <w:bCs/>
          <w:kern w:val="36"/>
          <w:szCs w:val="28"/>
          <w:shd w:val="clear" w:color="auto" w:fill="FFFFFF"/>
          <w:lang w:eastAsia="ru-RU"/>
        </w:rPr>
        <w:t>URL</w:t>
      </w:r>
      <w:r w:rsidRPr="00511005">
        <w:rPr>
          <w:rFonts w:ascii="Arial" w:eastAsia="Times New Roman" w:hAnsi="Arial" w:cs="Arial"/>
          <w:bCs/>
          <w:kern w:val="36"/>
          <w:szCs w:val="28"/>
          <w:shd w:val="clear" w:color="auto" w:fill="FFFFFF"/>
          <w:lang w:val="uk-UA" w:eastAsia="ru-RU"/>
        </w:rPr>
        <w:t xml:space="preserve">: </w:t>
      </w:r>
      <w:hyperlink r:id="rId1060" w:history="1">
        <w:r w:rsidRPr="00511005">
          <w:rPr>
            <w:rFonts w:ascii="Arial" w:eastAsia="Times New Roman" w:hAnsi="Arial" w:cs="Arial"/>
            <w:bCs/>
            <w:kern w:val="36"/>
            <w:szCs w:val="28"/>
            <w:shd w:val="clear" w:color="auto" w:fill="FFFFFF"/>
            <w:lang w:val="uk-UA" w:eastAsia="ru-RU"/>
          </w:rPr>
          <w:t>http://lsej.org.ua/1_2023/117.pdf</w:t>
        </w:r>
      </w:hyperlink>
      <w:r w:rsidRPr="00511005">
        <w:rPr>
          <w:rFonts w:ascii="Arial" w:eastAsia="Times New Roman" w:hAnsi="Arial" w:cs="Arial"/>
          <w:bCs/>
          <w:kern w:val="36"/>
          <w:szCs w:val="28"/>
          <w:shd w:val="clear" w:color="auto" w:fill="FFFFFF"/>
          <w:lang w:val="uk-UA" w:eastAsia="ru-RU"/>
        </w:rPr>
        <w:t xml:space="preserve"> (дата звернення: 28.04.2025).</w:t>
      </w:r>
    </w:p>
    <w:p w14:paraId="74F9A6E6" w14:textId="13FFC5A3" w:rsidR="0087239D" w:rsidRPr="00511005" w:rsidRDefault="007B2628" w:rsidP="003A292D">
      <w:pPr>
        <w:shd w:val="clear" w:color="auto" w:fill="FFFFFF"/>
        <w:spacing w:line="264" w:lineRule="auto"/>
        <w:ind w:firstLine="0"/>
        <w:contextualSpacing/>
        <w:mirrorIndents/>
        <w:rPr>
          <w:rFonts w:ascii="Arial" w:eastAsia="Times New Roman" w:hAnsi="Arial" w:cs="Arial"/>
          <w:bCs/>
          <w:kern w:val="36"/>
          <w:szCs w:val="28"/>
          <w:shd w:val="clear" w:color="auto" w:fill="FFFFFF"/>
          <w:lang w:val="uk-UA" w:eastAsia="ru-RU"/>
        </w:rPr>
      </w:pPr>
      <w:r w:rsidRPr="00511005">
        <w:rPr>
          <w:rFonts w:ascii="Arial" w:eastAsia="Calibri" w:hAnsi="Arial" w:cs="Arial"/>
          <w:b/>
          <w:i/>
          <w:szCs w:val="28"/>
          <w:lang w:val="uk-UA"/>
        </w:rPr>
        <w:t xml:space="preserve">Ключові слова: </w:t>
      </w:r>
      <w:r w:rsidR="0087239D" w:rsidRPr="00511005">
        <w:rPr>
          <w:rFonts w:ascii="Arial" w:eastAsia="Calibri" w:hAnsi="Arial" w:cs="Arial"/>
          <w:szCs w:val="28"/>
          <w:lang w:val="uk-UA"/>
        </w:rPr>
        <w:t>адвокатура, адвокатська діяльність, захист, права людини, війна, військовий стан</w:t>
      </w:r>
    </w:p>
    <w:p w14:paraId="077882AD" w14:textId="7DFF04A9" w:rsidR="0087239D" w:rsidRPr="00511005" w:rsidRDefault="007B2628" w:rsidP="003A292D">
      <w:pPr>
        <w:shd w:val="clear" w:color="auto" w:fill="FFFFFF"/>
        <w:spacing w:line="264" w:lineRule="auto"/>
        <w:ind w:firstLine="0"/>
        <w:contextualSpacing/>
        <w:mirrorIndents/>
        <w:rPr>
          <w:rFonts w:ascii="Arial" w:eastAsia="Times New Roman" w:hAnsi="Arial" w:cs="Arial"/>
          <w:bCs/>
          <w:kern w:val="36"/>
          <w:szCs w:val="28"/>
          <w:shd w:val="clear" w:color="auto" w:fill="FFFFFF"/>
          <w:lang w:val="uk-UA" w:eastAsia="ru-RU"/>
        </w:rPr>
      </w:pPr>
      <w:r w:rsidRPr="00511005">
        <w:rPr>
          <w:rFonts w:ascii="Arial" w:eastAsia="Calibri" w:hAnsi="Arial" w:cs="Arial"/>
          <w:b/>
          <w:i/>
          <w:szCs w:val="28"/>
          <w:lang w:val="en-US"/>
        </w:rPr>
        <w:lastRenderedPageBreak/>
        <w:t xml:space="preserve">Key words: </w:t>
      </w:r>
      <w:r w:rsidR="0087239D" w:rsidRPr="00511005">
        <w:rPr>
          <w:rFonts w:ascii="Arial" w:eastAsia="Calibri" w:hAnsi="Arial" w:cs="Arial"/>
          <w:bCs/>
          <w:szCs w:val="28"/>
          <w:lang w:val="uk-UA"/>
        </w:rPr>
        <w:t>advocacy, legal practice, defense, human rights, war, martial law</w:t>
      </w:r>
    </w:p>
    <w:p w14:paraId="2EED0A30" w14:textId="77777777" w:rsidR="0087239D" w:rsidRPr="00511005" w:rsidRDefault="0087239D" w:rsidP="003A292D">
      <w:pPr>
        <w:shd w:val="clear" w:color="auto" w:fill="FFFFFF"/>
        <w:spacing w:line="264" w:lineRule="auto"/>
        <w:ind w:firstLine="0"/>
        <w:contextualSpacing/>
        <w:mirrorIndents/>
        <w:rPr>
          <w:rFonts w:ascii="Arial" w:eastAsia="Calibri" w:hAnsi="Arial" w:cs="Arial"/>
          <w:i/>
          <w:iCs/>
          <w:szCs w:val="28"/>
          <w:lang w:val="uk-UA"/>
        </w:rPr>
      </w:pPr>
    </w:p>
    <w:p w14:paraId="09707D32" w14:textId="07E7416C" w:rsidR="0087239D" w:rsidRPr="00511005" w:rsidRDefault="007B2628" w:rsidP="003A292D">
      <w:pPr>
        <w:shd w:val="clear" w:color="auto" w:fill="FFFFFF"/>
        <w:spacing w:line="264" w:lineRule="auto"/>
        <w:ind w:firstLine="0"/>
        <w:contextualSpacing/>
        <w:mirrorIndents/>
        <w:rPr>
          <w:rFonts w:ascii="Arial" w:eastAsia="Times New Roman" w:hAnsi="Arial" w:cs="Arial"/>
          <w:szCs w:val="28"/>
          <w:lang w:val="uk-UA" w:eastAsia="ru-RU"/>
        </w:rPr>
      </w:pPr>
      <w:r w:rsidRPr="00511005">
        <w:rPr>
          <w:rFonts w:ascii="Arial" w:eastAsia="Calibri" w:hAnsi="Arial" w:cs="Arial"/>
          <w:b/>
          <w:i/>
          <w:iCs/>
          <w:szCs w:val="28"/>
          <w:lang w:val="uk-UA"/>
        </w:rPr>
        <w:t xml:space="preserve">Науковий керівник: </w:t>
      </w:r>
      <w:r w:rsidR="0087239D" w:rsidRPr="00511005">
        <w:rPr>
          <w:rFonts w:ascii="Arial" w:eastAsia="Calibri" w:hAnsi="Arial" w:cs="Arial"/>
          <w:i/>
          <w:szCs w:val="28"/>
          <w:lang w:val="uk-UA"/>
        </w:rPr>
        <w:t>к.ю.н., доцент Кісліцина І.О.</w:t>
      </w:r>
    </w:p>
    <w:p w14:paraId="7D872E3E" w14:textId="77777777" w:rsidR="00C10374" w:rsidRPr="00511005" w:rsidRDefault="00C10374" w:rsidP="003A292D">
      <w:pPr>
        <w:spacing w:line="264" w:lineRule="auto"/>
        <w:ind w:firstLine="0"/>
        <w:rPr>
          <w:rFonts w:ascii="Arial" w:eastAsia="Calibri" w:hAnsi="Arial" w:cs="Arial"/>
          <w:szCs w:val="28"/>
          <w:lang w:val="uk-UA"/>
        </w:rPr>
      </w:pPr>
    </w:p>
    <w:p w14:paraId="4605F782" w14:textId="77777777" w:rsidR="00C10374" w:rsidRPr="00511005" w:rsidRDefault="00C10374" w:rsidP="003A292D">
      <w:pPr>
        <w:spacing w:line="264" w:lineRule="auto"/>
        <w:ind w:firstLine="0"/>
        <w:rPr>
          <w:rFonts w:ascii="Arial" w:eastAsia="Calibri" w:hAnsi="Arial" w:cs="Arial"/>
          <w:szCs w:val="28"/>
          <w:lang w:val="uk-UA"/>
        </w:rPr>
      </w:pPr>
    </w:p>
    <w:p w14:paraId="70EDA43C" w14:textId="77777777" w:rsidR="00C10374" w:rsidRPr="00511005" w:rsidRDefault="00C10374" w:rsidP="003A292D">
      <w:pPr>
        <w:keepNext/>
        <w:spacing w:line="264" w:lineRule="auto"/>
        <w:ind w:firstLine="567"/>
        <w:jc w:val="center"/>
        <w:rPr>
          <w:rFonts w:ascii="Arial" w:eastAsia="Calibri" w:hAnsi="Arial" w:cs="Arial"/>
          <w:b/>
          <w:i/>
          <w:szCs w:val="28"/>
          <w:lang w:val="uk-UA"/>
        </w:rPr>
      </w:pPr>
      <w:r w:rsidRPr="00511005">
        <w:rPr>
          <w:rFonts w:ascii="Arial" w:eastAsia="Calibri" w:hAnsi="Arial" w:cs="Arial"/>
          <w:b/>
          <w:i/>
          <w:szCs w:val="28"/>
          <w:lang w:val="uk-UA"/>
        </w:rPr>
        <w:t>Барабаш Олександра Олександрівна</w:t>
      </w:r>
    </w:p>
    <w:p w14:paraId="67C27B5E" w14:textId="2C7972EB" w:rsidR="00C10374" w:rsidRPr="00511005" w:rsidRDefault="00BE3972" w:rsidP="003A292D">
      <w:pPr>
        <w:spacing w:line="264" w:lineRule="auto"/>
        <w:ind w:firstLine="567"/>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r w:rsidR="00C10374" w:rsidRPr="00511005">
        <w:rPr>
          <w:rFonts w:ascii="Arial" w:eastAsia="Calibri" w:hAnsi="Arial" w:cs="Arial"/>
          <w:szCs w:val="28"/>
          <w:lang w:val="uk-UA"/>
        </w:rPr>
        <w:br/>
      </w:r>
      <w:r w:rsidR="007B2628" w:rsidRPr="00511005">
        <w:rPr>
          <w:rFonts w:ascii="Arial" w:eastAsia="Calibri" w:hAnsi="Arial" w:cs="Arial"/>
          <w:szCs w:val="28"/>
          <w:lang w:val="uk-UA"/>
        </w:rPr>
        <w:t>Національного університету «Одеська юридична академія»</w:t>
      </w:r>
    </w:p>
    <w:p w14:paraId="2B03C2CE" w14:textId="77777777" w:rsidR="00C10374" w:rsidRPr="00511005" w:rsidRDefault="00C10374" w:rsidP="003A292D">
      <w:pPr>
        <w:keepNext/>
        <w:spacing w:line="264" w:lineRule="auto"/>
        <w:ind w:firstLine="567"/>
        <w:jc w:val="center"/>
        <w:rPr>
          <w:rFonts w:ascii="Arial" w:eastAsia="Calibri" w:hAnsi="Arial" w:cs="Arial"/>
          <w:i/>
          <w:szCs w:val="28"/>
          <w:lang w:val="uk-UA"/>
        </w:rPr>
      </w:pPr>
    </w:p>
    <w:p w14:paraId="4A5523C4" w14:textId="77777777" w:rsidR="00C10374" w:rsidRPr="00511005" w:rsidRDefault="00C10374" w:rsidP="003A292D">
      <w:pPr>
        <w:spacing w:line="264" w:lineRule="auto"/>
        <w:ind w:firstLine="567"/>
        <w:jc w:val="center"/>
        <w:rPr>
          <w:rFonts w:ascii="Arial" w:eastAsia="Calibri" w:hAnsi="Arial" w:cs="Arial"/>
          <w:b/>
          <w:szCs w:val="28"/>
          <w:lang w:val="uk-UA"/>
        </w:rPr>
      </w:pPr>
      <w:r w:rsidRPr="00511005">
        <w:rPr>
          <w:rFonts w:ascii="Arial" w:eastAsia="Calibri" w:hAnsi="Arial" w:cs="Arial"/>
          <w:b/>
          <w:szCs w:val="28"/>
          <w:lang w:val="uk-UA"/>
        </w:rPr>
        <w:t>РОЛЬ АДВОКАТА У ЗАБЕЗПЕЧЕННІ ЗАХИСТУ ПРАВ ЛЮДИНИ</w:t>
      </w:r>
    </w:p>
    <w:p w14:paraId="3F49E241" w14:textId="77777777" w:rsidR="00C10374" w:rsidRPr="00511005" w:rsidRDefault="00C10374" w:rsidP="003A292D">
      <w:pPr>
        <w:spacing w:line="264" w:lineRule="auto"/>
        <w:ind w:firstLine="567"/>
        <w:rPr>
          <w:rFonts w:ascii="Arial" w:eastAsia="Calibri" w:hAnsi="Arial" w:cs="Arial"/>
          <w:b/>
          <w:szCs w:val="28"/>
          <w:lang w:val="uk-UA"/>
        </w:rPr>
      </w:pPr>
    </w:p>
    <w:p w14:paraId="1079BF78" w14:textId="77777777"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Адвокатура є важливим елементом механізму забезпечення прав і свобод людини у будь-якому демократичному суспільстві. Вона не лише виконує роль правового посередника між особою та державою, а й виступає гарантом того, що кожен громадянин матиме можливість реалізувати свої права на практиці, а не лише на папері. ё</w:t>
      </w:r>
    </w:p>
    <w:p w14:paraId="29B308A1" w14:textId="77777777" w:rsidR="00C10374" w:rsidRPr="00511005" w:rsidRDefault="00C10374" w:rsidP="003A292D">
      <w:pPr>
        <w:spacing w:line="264" w:lineRule="auto"/>
        <w:ind w:firstLine="567"/>
        <w:rPr>
          <w:rFonts w:ascii="Arial" w:eastAsia="Calibri" w:hAnsi="Arial" w:cs="Arial"/>
          <w:szCs w:val="28"/>
          <w:lang w:val="uk-UA" w:eastAsia="uk-UA"/>
        </w:rPr>
      </w:pPr>
      <w:r w:rsidRPr="00511005">
        <w:rPr>
          <w:rFonts w:ascii="Arial" w:eastAsia="Calibri" w:hAnsi="Arial" w:cs="Arial"/>
          <w:szCs w:val="28"/>
          <w:lang w:val="uk-UA" w:eastAsia="uk-UA"/>
        </w:rPr>
        <w:t xml:space="preserve">У нашій державі людина, її життя і здоров’я, честь, гідність, недоторканність та безпека визнаються найвищою соціальною цінністю. </w:t>
      </w:r>
      <w:r w:rsidRPr="00511005">
        <w:rPr>
          <w:rFonts w:ascii="Arial" w:eastAsia="Calibri" w:hAnsi="Arial" w:cs="Arial"/>
          <w:szCs w:val="28"/>
          <w:lang w:val="uk-UA"/>
        </w:rPr>
        <w:t xml:space="preserve">Ці конституційні засади є основоположними принципами, на яких має будуватися вся система державного управління та правозастосування </w:t>
      </w:r>
      <w:r w:rsidRPr="00511005">
        <w:rPr>
          <w:rFonts w:ascii="Arial" w:eastAsia="Calibri" w:hAnsi="Arial" w:cs="Arial"/>
          <w:szCs w:val="28"/>
          <w:lang w:val="uk-UA" w:eastAsia="uk-UA"/>
        </w:rPr>
        <w:t xml:space="preserve">[1]. </w:t>
      </w:r>
    </w:p>
    <w:p w14:paraId="545EDE81" w14:textId="77777777" w:rsidR="00C10374" w:rsidRPr="00511005" w:rsidRDefault="00C10374" w:rsidP="003A292D">
      <w:pPr>
        <w:spacing w:line="264" w:lineRule="auto"/>
        <w:ind w:firstLine="567"/>
        <w:rPr>
          <w:rFonts w:ascii="Arial" w:eastAsia="Calibri" w:hAnsi="Arial" w:cs="Arial"/>
          <w:szCs w:val="28"/>
          <w:lang w:val="uk-UA" w:eastAsia="uk-UA"/>
        </w:rPr>
      </w:pPr>
      <w:r w:rsidRPr="00511005">
        <w:rPr>
          <w:rFonts w:ascii="Arial" w:eastAsia="Calibri" w:hAnsi="Arial" w:cs="Arial"/>
          <w:szCs w:val="28"/>
          <w:lang w:val="uk-UA" w:eastAsia="uk-UA"/>
        </w:rPr>
        <w:t xml:space="preserve">Надання громадянам професійної правничої допомоги через адвокатську спільноту виступає важливою гарантією захисту їхніх прав. У будь-якому цивілізованому суспільстві забезпечення доступу до правової допомоги є ключовим елементом правопорядку. Адже </w:t>
      </w:r>
      <w:r w:rsidRPr="00511005">
        <w:rPr>
          <w:rFonts w:ascii="Arial" w:eastAsia="Calibri" w:hAnsi="Arial" w:cs="Arial"/>
          <w:szCs w:val="28"/>
          <w:lang w:val="uk-UA"/>
        </w:rPr>
        <w:t>без ефективного доступу людей до юридичної допомоги та консультації навіть найкращі закони можуть залишитися лише деклараціями.</w:t>
      </w:r>
      <w:r w:rsidRPr="00511005">
        <w:rPr>
          <w:rFonts w:ascii="Arial" w:eastAsia="Calibri" w:hAnsi="Arial" w:cs="Arial"/>
          <w:szCs w:val="28"/>
          <w:lang w:val="uk-UA" w:eastAsia="uk-UA"/>
        </w:rPr>
        <w:t xml:space="preserve"> Відповідно до статті 59 Конституції України, право кожної особи на професійну правничу допомогу є складовою частиною її правового статусу. Для реалізації цього права, згідно зі статтею 131 Основного закону, в державі функціонує інститут адвокатури[1].</w:t>
      </w:r>
    </w:p>
    <w:p w14:paraId="568AE8C8" w14:textId="77777777"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Адвокатура є незалежним професійним об’єднанням осіб, які здійснюють адвокатську діяльність з метою надання правничої допомоги. Її функціонування забезпечує не лише правову підтримку окремих осіб, а й стабільність усієї правової системи. </w:t>
      </w:r>
      <w:r w:rsidRPr="00511005">
        <w:rPr>
          <w:rFonts w:ascii="Arial" w:eastAsia="Calibri" w:hAnsi="Arial" w:cs="Arial"/>
          <w:szCs w:val="28"/>
          <w:lang w:val="uk-UA" w:eastAsia="uk-UA"/>
        </w:rPr>
        <w:t>Вона виконує функцію представництва і захисту прав, свобод та законних інтересів осіб перед державними органами, місцевим самоврядуванням, судами та іншими структурами [3]. Її діяльність побудована на принципах законності, незалежності, конфіденційності та уникнення конфлікту інтересів.</w:t>
      </w:r>
    </w:p>
    <w:p w14:paraId="2A112C68" w14:textId="77777777" w:rsidR="00C10374" w:rsidRPr="00511005" w:rsidRDefault="00C10374" w:rsidP="003A292D">
      <w:pPr>
        <w:spacing w:line="264" w:lineRule="auto"/>
        <w:ind w:firstLine="567"/>
        <w:rPr>
          <w:rFonts w:ascii="Arial" w:eastAsia="Calibri" w:hAnsi="Arial" w:cs="Arial"/>
          <w:szCs w:val="28"/>
          <w:lang w:val="uk-UA" w:eastAsia="uk-UA"/>
        </w:rPr>
      </w:pPr>
      <w:r w:rsidRPr="00511005">
        <w:rPr>
          <w:rFonts w:ascii="Arial" w:eastAsia="Calibri" w:hAnsi="Arial" w:cs="Arial"/>
          <w:szCs w:val="28"/>
          <w:lang w:val="uk-UA"/>
        </w:rPr>
        <w:t xml:space="preserve">Основна місія полягає у професійному наданні правової допомоги та забезпеченні справедливості в суспільстві. В Україні, де продовжуються процеси демократичних перетворень і реформування судової влади, адвокатура відіграє особливу роль у зміцненні принципу верховенства </w:t>
      </w:r>
      <w:r w:rsidRPr="00511005">
        <w:rPr>
          <w:rFonts w:ascii="Arial" w:eastAsia="Calibri" w:hAnsi="Arial" w:cs="Arial"/>
          <w:szCs w:val="28"/>
          <w:lang w:val="uk-UA"/>
        </w:rPr>
        <w:lastRenderedPageBreak/>
        <w:t>права.</w:t>
      </w:r>
      <w:r w:rsidRPr="00511005">
        <w:rPr>
          <w:rFonts w:ascii="Arial" w:eastAsia="Calibri" w:hAnsi="Arial" w:cs="Arial"/>
          <w:szCs w:val="28"/>
          <w:lang w:val="uk-UA" w:eastAsia="uk-UA"/>
        </w:rPr>
        <w:t xml:space="preserve"> Важливо також те, що адвокатура забезпечує баланс між владою і суспільством, стримуючи можливе свавілля державних органів через професійний захист прав громадян [2].</w:t>
      </w:r>
    </w:p>
    <w:p w14:paraId="6FE14CE6" w14:textId="77777777" w:rsidR="00C10374" w:rsidRPr="00511005" w:rsidRDefault="00C10374" w:rsidP="003A292D">
      <w:pPr>
        <w:spacing w:line="264" w:lineRule="auto"/>
        <w:ind w:firstLine="567"/>
        <w:rPr>
          <w:rFonts w:ascii="Arial" w:eastAsia="Calibri" w:hAnsi="Arial" w:cs="Arial"/>
          <w:szCs w:val="28"/>
          <w:lang w:val="uk-UA" w:eastAsia="uk-UA"/>
        </w:rPr>
      </w:pPr>
      <w:r w:rsidRPr="00511005">
        <w:rPr>
          <w:rFonts w:ascii="Arial" w:eastAsia="Calibri" w:hAnsi="Arial" w:cs="Arial"/>
          <w:szCs w:val="28"/>
          <w:lang w:val="uk-UA" w:eastAsia="uk-UA"/>
        </w:rPr>
        <w:t>Адвокатура є одним із головних елементів механізму гарантування та захисту прав і свобод людини у демократичній правовій державі. Її діяльність спрямована на забезпечення реальної дії конституційних гарантій, насамперед права кожної особи на справедливий судовий розгляд, право на захист і отримання правової допомоги [1].</w:t>
      </w:r>
      <w:r w:rsidRPr="00511005">
        <w:rPr>
          <w:rFonts w:ascii="Arial" w:eastAsia="Calibri" w:hAnsi="Arial" w:cs="Arial"/>
          <w:szCs w:val="28"/>
          <w:lang w:val="uk-UA"/>
        </w:rPr>
        <w:t xml:space="preserve"> </w:t>
      </w:r>
      <w:r w:rsidRPr="00511005">
        <w:rPr>
          <w:rFonts w:ascii="Arial" w:eastAsia="Calibri" w:hAnsi="Arial" w:cs="Arial"/>
          <w:szCs w:val="28"/>
          <w:lang w:val="uk-UA" w:eastAsia="uk-UA"/>
        </w:rPr>
        <w:t>Ці гарантії не можуть бути ефективними без активної участі адвокатів, які є фахівцями у сфері права та мають відповідні повноваження для ведення справ на всіх етапах процесу. Саме через діяльність адвокатів реалізується принцип доступу до правосуддя, що є важливою складовою цивілізованого та демократичного суспільства.</w:t>
      </w:r>
    </w:p>
    <w:p w14:paraId="314FF975" w14:textId="77777777" w:rsidR="00C10374" w:rsidRPr="00511005" w:rsidRDefault="00C10374" w:rsidP="003A292D">
      <w:pPr>
        <w:spacing w:line="264" w:lineRule="auto"/>
        <w:ind w:firstLine="567"/>
        <w:rPr>
          <w:rFonts w:ascii="Arial" w:eastAsia="Calibri" w:hAnsi="Arial" w:cs="Arial"/>
          <w:szCs w:val="28"/>
          <w:lang w:val="uk-UA" w:eastAsia="uk-UA"/>
        </w:rPr>
      </w:pPr>
      <w:r w:rsidRPr="00511005">
        <w:rPr>
          <w:rFonts w:ascii="Arial" w:eastAsia="Calibri" w:hAnsi="Arial" w:cs="Arial"/>
          <w:szCs w:val="28"/>
          <w:lang w:val="uk-UA" w:eastAsia="uk-UA"/>
        </w:rPr>
        <w:t xml:space="preserve">Захист прав людини здійснюється не лише в межах судового процесу, а й на досудових стадіях кримінального провадження. </w:t>
      </w:r>
      <w:r w:rsidRPr="00511005">
        <w:rPr>
          <w:rFonts w:ascii="Arial" w:eastAsia="Calibri" w:hAnsi="Arial" w:cs="Arial"/>
          <w:szCs w:val="28"/>
          <w:lang w:val="uk-UA"/>
        </w:rPr>
        <w:t xml:space="preserve">На цьому етапі особа є найбільш вразливою і найменше захищеною, тому участь адвоката набуває критичного значення. Адже в цей момент </w:t>
      </w:r>
      <w:r w:rsidRPr="00511005">
        <w:rPr>
          <w:rFonts w:ascii="Arial" w:eastAsia="Calibri" w:hAnsi="Arial" w:cs="Arial"/>
          <w:szCs w:val="28"/>
          <w:lang w:val="uk-UA" w:eastAsia="uk-UA"/>
        </w:rPr>
        <w:t>важливо не допустити такі порушення, як незаконне затримання, катування, примушення до самообмови та інші форми неправомірного впливу на особу[2]. Саме на цьому етапі участь адвоката часто є єдиною реальною гарантією дотримання основоположних прав затриманої особи.</w:t>
      </w:r>
    </w:p>
    <w:p w14:paraId="6421D88A" w14:textId="77777777" w:rsidR="00C10374" w:rsidRPr="00511005" w:rsidRDefault="00C10374" w:rsidP="003A292D">
      <w:pPr>
        <w:spacing w:line="264" w:lineRule="auto"/>
        <w:ind w:firstLine="567"/>
        <w:rPr>
          <w:rFonts w:ascii="Arial" w:eastAsia="Calibri" w:hAnsi="Arial" w:cs="Arial"/>
          <w:szCs w:val="28"/>
          <w:lang w:val="uk-UA" w:eastAsia="uk-UA"/>
        </w:rPr>
      </w:pPr>
      <w:r w:rsidRPr="00511005">
        <w:rPr>
          <w:rFonts w:ascii="Arial" w:eastAsia="Calibri" w:hAnsi="Arial" w:cs="Arial"/>
          <w:szCs w:val="28"/>
          <w:lang w:val="uk-UA" w:eastAsia="uk-UA"/>
        </w:rPr>
        <w:t>Особливо важливою є діяльність адвокатів у сфері захисту вразливих категорій населення, таких як діти, особи з інвалідністю, люди похилого віку, внутрішньо переміщені особи та малозабезпечені громадяни. Ці групи часто не мають достатньо ресурсів, знань або можливостей для самостійного захисту своїх прав, і саме адвокат виступає для них голосом у правовому полі. Вразливі групи населення найчастіше стикаються з труднощами у реалізації своїх прав і потребують особливої уваги та підтримки з боку професійних правників [3]. Забезпечення доступу до правової допомоги для цих осіб є важливим елементом реалізації принципу соціальної справедливості.</w:t>
      </w:r>
    </w:p>
    <w:p w14:paraId="017D1A93" w14:textId="77777777" w:rsidR="00C10374" w:rsidRPr="00511005" w:rsidRDefault="00C10374" w:rsidP="003A292D">
      <w:pPr>
        <w:spacing w:line="264" w:lineRule="auto"/>
        <w:ind w:firstLine="567"/>
        <w:rPr>
          <w:rFonts w:ascii="Arial" w:eastAsia="Calibri" w:hAnsi="Arial" w:cs="Arial"/>
          <w:szCs w:val="28"/>
          <w:lang w:val="uk-UA" w:eastAsia="uk-UA"/>
        </w:rPr>
      </w:pPr>
      <w:r w:rsidRPr="00511005">
        <w:rPr>
          <w:rFonts w:ascii="Arial" w:eastAsia="Calibri" w:hAnsi="Arial" w:cs="Arial"/>
          <w:szCs w:val="28"/>
          <w:lang w:val="uk-UA"/>
        </w:rPr>
        <w:t>Увагу слід приділити і праву особи на безоплатну правничу допомогу. Відповідно до Закону України «Про безоплатну правову допомогу», кожна особа має право на отримання безоплатної вторинної правової допомоги у випадках, передбачених законом, зокрема — у кримінальних провадженнях. У таких випадках держава забезпечує участь адвоката, навіть якщо особа не має фінансової можливості його найняти. Така допомога гарантується державою через систему центрів безоплатної правової допомоги, що функціонують на території всієї України. Таким чином, навіть найбільш соціально незахищені верстви населення можуть розраховувати на реальний правовий захист своїх інтересів.</w:t>
      </w:r>
    </w:p>
    <w:p w14:paraId="37713738" w14:textId="77777777" w:rsidR="00C10374" w:rsidRPr="00511005" w:rsidRDefault="00C10374" w:rsidP="003A292D">
      <w:pPr>
        <w:spacing w:line="264" w:lineRule="auto"/>
        <w:ind w:firstLine="567"/>
        <w:rPr>
          <w:rFonts w:ascii="Arial" w:eastAsia="Calibri" w:hAnsi="Arial" w:cs="Arial"/>
          <w:szCs w:val="28"/>
          <w:lang w:val="uk-UA" w:eastAsia="uk-UA"/>
        </w:rPr>
      </w:pPr>
      <w:r w:rsidRPr="00511005">
        <w:rPr>
          <w:rFonts w:ascii="Arial" w:eastAsia="Calibri" w:hAnsi="Arial" w:cs="Arial"/>
          <w:szCs w:val="28"/>
          <w:lang w:val="uk-UA" w:eastAsia="uk-UA"/>
        </w:rPr>
        <w:lastRenderedPageBreak/>
        <w:t>Функціонування адвокатури як незалежного інституту сприяє втіленню у життя принципу рівності сторін у судовому процесі. Адвокат надає професійну підтримку особі, забезпечуючи її реальну здатність протистояти державному обвинуваченню та захищати свої законні права та інтереси [4]. У системі правосуддя, де однією стороною виступає потужна державна машина, адвокат — це саме той, хто може урівноважити шальки терезів на користь справедливості. Підтримка цього балансу є критично важливою для запобігання зловживанням з боку органів влади та для зміцнення довіри громадян до судової системи.</w:t>
      </w:r>
    </w:p>
    <w:p w14:paraId="0D603391" w14:textId="77777777"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Отже, адвокатура в Україні відіграє ключову роль у функціонуванні правової держави, забезпечуючи ефективний механізм захисту прав і свобод людини. Її незалежність, професійність та соціальна спрямованість роблять її не лише інструментом юридичної допомоги, а й надійною опорою громадян у протистоянні можливому зловживанню владою. Розвиток і підтримка адвокатури — це не просто потреба правової системи, а запорука.</w:t>
      </w:r>
    </w:p>
    <w:p w14:paraId="3EA706E9" w14:textId="77777777" w:rsidR="00C10374" w:rsidRPr="00511005" w:rsidRDefault="00C10374" w:rsidP="003A292D">
      <w:pPr>
        <w:spacing w:line="264" w:lineRule="auto"/>
        <w:ind w:firstLine="567"/>
        <w:jc w:val="center"/>
        <w:rPr>
          <w:rFonts w:ascii="Arial" w:eastAsia="Calibri" w:hAnsi="Arial" w:cs="Arial"/>
          <w:b/>
          <w:bCs/>
          <w:szCs w:val="28"/>
          <w:lang w:val="uk-UA"/>
        </w:rPr>
      </w:pPr>
    </w:p>
    <w:p w14:paraId="28C0EC31" w14:textId="2F8151C6" w:rsidR="00C10374" w:rsidRPr="00511005" w:rsidRDefault="007B2628" w:rsidP="007B2628">
      <w:pPr>
        <w:spacing w:line="264" w:lineRule="auto"/>
        <w:ind w:firstLine="567"/>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0C31DB96" w14:textId="77777777" w:rsidR="00C10374" w:rsidRPr="00511005" w:rsidRDefault="00C10374" w:rsidP="003F6A5D">
      <w:pPr>
        <w:widowControl w:val="0"/>
        <w:numPr>
          <w:ilvl w:val="0"/>
          <w:numId w:val="288"/>
        </w:numPr>
        <w:tabs>
          <w:tab w:val="left" w:pos="1560"/>
        </w:tabs>
        <w:autoSpaceDE w:val="0"/>
        <w:autoSpaceDN w:val="0"/>
        <w:spacing w:line="264" w:lineRule="auto"/>
        <w:ind w:left="0" w:firstLine="567"/>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Конституція України від 28 червня 1996 р.: </w:t>
      </w:r>
      <w:r w:rsidR="003F6A5D" w:rsidRPr="00511005">
        <w:rPr>
          <w:szCs w:val="28"/>
        </w:rPr>
        <w:fldChar w:fldCharType="begin"/>
      </w:r>
      <w:r w:rsidR="003F6A5D" w:rsidRPr="00511005">
        <w:rPr>
          <w:szCs w:val="28"/>
        </w:rPr>
        <w:instrText xml:space="preserve"> HYPERLINK "https://www.president.gov.ua/documents/constitution" \t "_new" </w:instrText>
      </w:r>
      <w:r w:rsidR="003F6A5D" w:rsidRPr="00511005">
        <w:rPr>
          <w:szCs w:val="28"/>
        </w:rPr>
        <w:fldChar w:fldCharType="separate"/>
      </w:r>
      <w:r w:rsidRPr="00511005">
        <w:rPr>
          <w:rFonts w:ascii="Arial" w:eastAsia="Times New Roman" w:hAnsi="Arial" w:cs="Arial"/>
          <w:szCs w:val="28"/>
          <w:lang w:val="uk-UA" w:eastAsia="ru-RU"/>
        </w:rPr>
        <w:t>https://www.president.gov.ua/documents/constitution</w:t>
      </w:r>
      <w:r w:rsidR="003F6A5D" w:rsidRPr="00511005">
        <w:rPr>
          <w:rFonts w:ascii="Arial" w:eastAsia="Times New Roman" w:hAnsi="Arial" w:cs="Arial"/>
          <w:szCs w:val="28"/>
          <w:lang w:val="uk-UA" w:eastAsia="ru-RU"/>
        </w:rPr>
        <w:fldChar w:fldCharType="end"/>
      </w:r>
    </w:p>
    <w:p w14:paraId="6FC1BD6A" w14:textId="5EB5BBBB" w:rsidR="00C10374" w:rsidRPr="00511005" w:rsidRDefault="00C10374" w:rsidP="003F6A5D">
      <w:pPr>
        <w:numPr>
          <w:ilvl w:val="0"/>
          <w:numId w:val="288"/>
        </w:numPr>
        <w:spacing w:line="264" w:lineRule="auto"/>
        <w:ind w:left="0" w:firstLine="567"/>
        <w:jc w:val="left"/>
        <w:rPr>
          <w:rFonts w:ascii="Arial" w:eastAsia="Calibri" w:hAnsi="Arial" w:cs="Arial"/>
          <w:szCs w:val="28"/>
          <w:lang w:val="uk-UA" w:eastAsia="uk-UA"/>
        </w:rPr>
      </w:pPr>
      <w:r w:rsidRPr="00511005">
        <w:rPr>
          <w:rFonts w:ascii="Arial" w:eastAsia="Calibri" w:hAnsi="Arial" w:cs="Arial"/>
          <w:szCs w:val="28"/>
          <w:lang w:val="uk-UA"/>
        </w:rPr>
        <w:t xml:space="preserve">Маркович Х. М. Адвокатура України як механізм захисту прав людини та громадянина. </w:t>
      </w:r>
      <w:r w:rsidRPr="00511005">
        <w:rPr>
          <w:rFonts w:ascii="Arial" w:eastAsia="Calibri" w:hAnsi="Arial" w:cs="Arial"/>
          <w:i/>
          <w:iCs/>
          <w:szCs w:val="28"/>
          <w:lang w:val="uk-UA"/>
        </w:rPr>
        <w:t>Порівняльно-аналітичне право</w:t>
      </w:r>
      <w:r w:rsidRPr="00511005">
        <w:rPr>
          <w:rFonts w:ascii="Arial" w:eastAsia="Calibri" w:hAnsi="Arial" w:cs="Arial"/>
          <w:szCs w:val="28"/>
          <w:lang w:val="uk-UA"/>
        </w:rPr>
        <w:t>. 2020.</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2. С. 45–49. URL: https://dspace.uzhnu.edu.ua/handle/lib/32372</w:t>
      </w:r>
    </w:p>
    <w:p w14:paraId="768C86FD" w14:textId="180D05E5" w:rsidR="00C10374" w:rsidRPr="00511005" w:rsidRDefault="00C10374" w:rsidP="003F6A5D">
      <w:pPr>
        <w:numPr>
          <w:ilvl w:val="0"/>
          <w:numId w:val="288"/>
        </w:numPr>
        <w:spacing w:line="264" w:lineRule="auto"/>
        <w:ind w:left="0" w:firstLine="567"/>
        <w:jc w:val="left"/>
        <w:rPr>
          <w:rFonts w:ascii="Arial" w:eastAsia="Calibri" w:hAnsi="Arial" w:cs="Arial"/>
          <w:szCs w:val="28"/>
          <w:lang w:val="uk-UA"/>
        </w:rPr>
      </w:pPr>
      <w:r w:rsidRPr="00511005">
        <w:rPr>
          <w:rFonts w:ascii="Arial" w:eastAsia="Calibri" w:hAnsi="Arial" w:cs="Arial"/>
          <w:szCs w:val="28"/>
          <w:lang w:val="uk-UA"/>
        </w:rPr>
        <w:t xml:space="preserve">Бєлов М. Д. Роль та місце інституту адвокатури в механізмі захисту прав і свобод людини і громадянина. </w:t>
      </w:r>
      <w:r w:rsidRPr="00511005">
        <w:rPr>
          <w:rFonts w:ascii="Arial" w:eastAsia="Calibri" w:hAnsi="Arial" w:cs="Arial"/>
          <w:i/>
          <w:iCs/>
          <w:szCs w:val="28"/>
          <w:lang w:val="uk-UA"/>
        </w:rPr>
        <w:t>Аналітично-порівняльне правознавство: електронне наукове видання</w:t>
      </w:r>
      <w:r w:rsidRPr="00511005">
        <w:rPr>
          <w:rFonts w:ascii="Arial" w:eastAsia="Calibri" w:hAnsi="Arial" w:cs="Arial"/>
          <w:szCs w:val="28"/>
          <w:lang w:val="uk-UA"/>
        </w:rPr>
        <w:t>. 2023. Вип. 99.</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 85–90.</w:t>
      </w:r>
      <w:r w:rsidRPr="00511005">
        <w:rPr>
          <w:rFonts w:ascii="Arial" w:eastAsia="Calibri" w:hAnsi="Arial" w:cs="Arial"/>
          <w:szCs w:val="28"/>
          <w:lang w:val="uk-UA"/>
        </w:rPr>
        <w:br/>
        <w:t xml:space="preserve">URL: </w:t>
      </w:r>
      <w:hyperlink r:id="rId1061" w:tgtFrame="_new" w:history="1">
        <w:r w:rsidRPr="00511005">
          <w:rPr>
            <w:rFonts w:ascii="Arial" w:eastAsia="Calibri" w:hAnsi="Arial" w:cs="Arial"/>
            <w:szCs w:val="28"/>
            <w:lang w:val="uk-UA"/>
          </w:rPr>
          <w:t>http://journal-app.uzhnu.edu.ua/article/view/273521/268905</w:t>
        </w:r>
      </w:hyperlink>
    </w:p>
    <w:p w14:paraId="08237EF1" w14:textId="33322AF6" w:rsidR="00C10374" w:rsidRPr="00511005" w:rsidRDefault="00C10374" w:rsidP="003F6A5D">
      <w:pPr>
        <w:numPr>
          <w:ilvl w:val="0"/>
          <w:numId w:val="288"/>
        </w:numPr>
        <w:spacing w:line="264" w:lineRule="auto"/>
        <w:ind w:left="0" w:firstLine="567"/>
        <w:jc w:val="left"/>
        <w:rPr>
          <w:rFonts w:ascii="Arial" w:eastAsia="Calibri" w:hAnsi="Arial" w:cs="Arial"/>
          <w:szCs w:val="28"/>
          <w:lang w:val="uk-UA"/>
        </w:rPr>
      </w:pPr>
      <w:r w:rsidRPr="00511005">
        <w:rPr>
          <w:rFonts w:ascii="Arial" w:eastAsia="Calibri" w:hAnsi="Arial" w:cs="Arial"/>
          <w:szCs w:val="28"/>
          <w:lang w:val="uk-UA"/>
        </w:rPr>
        <w:t xml:space="preserve">Бочуляк Н. І. Роль адвокатури у механізмі захисту прав і свобод людини. </w:t>
      </w:r>
      <w:r w:rsidRPr="00511005">
        <w:rPr>
          <w:rFonts w:ascii="Arial" w:eastAsia="Calibri" w:hAnsi="Arial" w:cs="Arial"/>
          <w:i/>
          <w:iCs/>
          <w:szCs w:val="28"/>
          <w:lang w:val="uk-UA"/>
        </w:rPr>
        <w:t>Теорія та філософія права</w:t>
      </w:r>
      <w:r w:rsidRPr="00511005">
        <w:rPr>
          <w:rFonts w:ascii="Arial" w:eastAsia="Calibri" w:hAnsi="Arial" w:cs="Arial"/>
          <w:szCs w:val="28"/>
          <w:lang w:val="uk-UA"/>
        </w:rPr>
        <w:t>. 2019. № 4.</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 112–117.</w:t>
      </w:r>
      <w:r w:rsidRPr="00511005">
        <w:rPr>
          <w:rFonts w:ascii="Arial" w:eastAsia="Calibri" w:hAnsi="Arial" w:cs="Arial"/>
          <w:szCs w:val="28"/>
          <w:lang w:val="uk-UA"/>
        </w:rPr>
        <w:br/>
        <w:t xml:space="preserve">URL: </w:t>
      </w:r>
      <w:hyperlink r:id="rId1062" w:tgtFrame="_new" w:history="1">
        <w:r w:rsidRPr="00511005">
          <w:rPr>
            <w:rFonts w:ascii="Arial" w:eastAsia="Calibri" w:hAnsi="Arial" w:cs="Arial"/>
            <w:szCs w:val="28"/>
            <w:lang w:val="uk-UA"/>
          </w:rPr>
          <w:t>https://science.lpnu.ua/sites/default/files/journal-paper/2020/apr/21437/4.pdf</w:t>
        </w:r>
      </w:hyperlink>
    </w:p>
    <w:p w14:paraId="54C98DBC" w14:textId="7D70076D" w:rsidR="00C10374" w:rsidRPr="00511005" w:rsidRDefault="007B2628" w:rsidP="003A292D">
      <w:pPr>
        <w:spacing w:line="264" w:lineRule="auto"/>
        <w:ind w:firstLine="567"/>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0374" w:rsidRPr="00511005">
        <w:rPr>
          <w:rFonts w:ascii="Arial" w:eastAsia="Calibri" w:hAnsi="Arial" w:cs="Arial"/>
          <w:szCs w:val="28"/>
          <w:lang w:val="uk-UA"/>
        </w:rPr>
        <w:t>адвокатура, правова допомога, права людини, конституційні гарантії, захист прав, правосуддя, незалежність адвокатури.</w:t>
      </w:r>
    </w:p>
    <w:p w14:paraId="534F4940" w14:textId="18450091" w:rsidR="00C10374" w:rsidRPr="00511005" w:rsidRDefault="007B2628" w:rsidP="003A292D">
      <w:pPr>
        <w:spacing w:line="264" w:lineRule="auto"/>
        <w:ind w:firstLine="567"/>
        <w:rPr>
          <w:rFonts w:ascii="Arial" w:eastAsia="Calibri" w:hAnsi="Arial" w:cs="Arial"/>
          <w:szCs w:val="28"/>
          <w:lang w:val="uk-UA"/>
        </w:rPr>
      </w:pPr>
      <w:r w:rsidRPr="00511005">
        <w:rPr>
          <w:rFonts w:ascii="Arial" w:eastAsia="Calibri" w:hAnsi="Arial" w:cs="Arial"/>
          <w:b/>
          <w:bCs/>
          <w:i/>
          <w:szCs w:val="28"/>
          <w:lang w:val="uk-UA"/>
        </w:rPr>
        <w:t xml:space="preserve">Key words: </w:t>
      </w:r>
      <w:r w:rsidR="00C10374" w:rsidRPr="00511005">
        <w:rPr>
          <w:rFonts w:ascii="Arial" w:eastAsia="Calibri" w:hAnsi="Arial" w:cs="Arial"/>
          <w:szCs w:val="28"/>
          <w:lang w:val="uk-UA"/>
        </w:rPr>
        <w:t>advocacy, legal aid, human rights, constitutional guarantees, rights protection, justice,</w:t>
      </w:r>
      <w:r w:rsidRPr="00511005">
        <w:rPr>
          <w:rFonts w:ascii="Arial" w:eastAsia="Calibri" w:hAnsi="Arial" w:cs="Arial"/>
          <w:szCs w:val="28"/>
          <w:lang w:val="uk-UA"/>
        </w:rPr>
        <w:t xml:space="preserve"> </w:t>
      </w:r>
      <w:r w:rsidR="00C10374" w:rsidRPr="00511005">
        <w:rPr>
          <w:rFonts w:ascii="Arial" w:eastAsia="Calibri" w:hAnsi="Arial" w:cs="Arial"/>
          <w:szCs w:val="28"/>
          <w:lang w:val="uk-UA"/>
        </w:rPr>
        <w:t>independence of advocacy</w:t>
      </w:r>
    </w:p>
    <w:p w14:paraId="23BA01EE" w14:textId="2BC4462C" w:rsidR="00C10374" w:rsidRPr="00511005" w:rsidRDefault="007B2628" w:rsidP="003A292D">
      <w:pPr>
        <w:keepNext/>
        <w:spacing w:line="264" w:lineRule="auto"/>
        <w:ind w:firstLine="567"/>
        <w:rPr>
          <w:rFonts w:ascii="Arial" w:eastAsia="Calibri" w:hAnsi="Arial" w:cs="Arial"/>
          <w:i/>
          <w:szCs w:val="28"/>
          <w:lang w:val="uk-UA"/>
        </w:rPr>
      </w:pPr>
      <w:r w:rsidRPr="00511005">
        <w:rPr>
          <w:rFonts w:ascii="Arial" w:eastAsia="Calibri" w:hAnsi="Arial" w:cs="Arial"/>
          <w:b/>
          <w:i/>
          <w:iCs/>
          <w:szCs w:val="28"/>
          <w:lang w:val="uk-UA"/>
        </w:rPr>
        <w:t xml:space="preserve">Науковий керівник: </w:t>
      </w:r>
      <w:r w:rsidR="00C10374" w:rsidRPr="00511005">
        <w:rPr>
          <w:rFonts w:ascii="Arial" w:eastAsia="Calibri" w:hAnsi="Arial" w:cs="Arial"/>
          <w:i/>
          <w:szCs w:val="28"/>
          <w:lang w:val="uk-UA"/>
        </w:rPr>
        <w:t>к.ю.н., доцент Кравченко М.О</w:t>
      </w:r>
    </w:p>
    <w:p w14:paraId="31E8CD98" w14:textId="77777777" w:rsidR="00C10374" w:rsidRPr="00511005" w:rsidRDefault="00C10374" w:rsidP="003A292D">
      <w:pPr>
        <w:keepNext/>
        <w:spacing w:line="264" w:lineRule="auto"/>
        <w:ind w:firstLine="567"/>
        <w:rPr>
          <w:rFonts w:ascii="Arial" w:eastAsia="Calibri" w:hAnsi="Arial" w:cs="Arial"/>
          <w:szCs w:val="28"/>
          <w:lang w:val="uk-UA"/>
        </w:rPr>
      </w:pPr>
    </w:p>
    <w:p w14:paraId="4B241AA8" w14:textId="77777777" w:rsidR="00C10374" w:rsidRPr="00511005" w:rsidRDefault="00C10374" w:rsidP="003A292D">
      <w:pPr>
        <w:spacing w:line="264" w:lineRule="auto"/>
        <w:ind w:firstLine="0"/>
        <w:rPr>
          <w:rFonts w:ascii="Arial" w:eastAsia="Calibri" w:hAnsi="Arial" w:cs="Arial"/>
          <w:szCs w:val="28"/>
        </w:rPr>
      </w:pPr>
    </w:p>
    <w:p w14:paraId="1846CA8D" w14:textId="77777777" w:rsidR="00C10374" w:rsidRPr="00511005" w:rsidRDefault="00C10374" w:rsidP="00BE3972">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Бершадська Дар’я Олександрівна</w:t>
      </w:r>
    </w:p>
    <w:p w14:paraId="6ED54E39" w14:textId="3C051CDC" w:rsidR="00C10374" w:rsidRPr="00511005" w:rsidRDefault="00BE3972" w:rsidP="00BE3972">
      <w:pPr>
        <w:spacing w:line="264" w:lineRule="auto"/>
        <w:ind w:firstLine="0"/>
        <w:jc w:val="center"/>
        <w:rPr>
          <w:rFonts w:ascii="Arial" w:eastAsia="Calibri" w:hAnsi="Arial" w:cs="Arial"/>
          <w:szCs w:val="28"/>
          <w:lang w:val="uk-UA"/>
        </w:rPr>
      </w:pPr>
      <w:r w:rsidRPr="00511005">
        <w:rPr>
          <w:rFonts w:ascii="Arial" w:eastAsia="Times New Roman" w:hAnsi="Arial" w:cs="Arial"/>
          <w:szCs w:val="28"/>
          <w:lang w:val="uk-UA"/>
        </w:rPr>
        <w:t xml:space="preserve">студентка 1-го курсу </w:t>
      </w:r>
      <w:r w:rsidR="001B7B25" w:rsidRPr="00511005">
        <w:rPr>
          <w:rFonts w:ascii="Arial" w:eastAsia="Times New Roman" w:hAnsi="Arial" w:cs="Arial"/>
          <w:szCs w:val="28"/>
          <w:lang w:val="uk-UA"/>
        </w:rPr>
        <w:t>факультету судового та міжнародного права</w:t>
      </w:r>
    </w:p>
    <w:p w14:paraId="4CA56D4D" w14:textId="77777777" w:rsidR="00BE3972" w:rsidRPr="00511005" w:rsidRDefault="00BE3972" w:rsidP="00BE3972">
      <w:pPr>
        <w:spacing w:line="264" w:lineRule="auto"/>
        <w:ind w:firstLine="0"/>
        <w:jc w:val="center"/>
        <w:rPr>
          <w:rFonts w:ascii="Arial" w:eastAsia="Times New Roman" w:hAnsi="Arial" w:cs="Arial"/>
          <w:iCs/>
          <w:szCs w:val="28"/>
          <w:lang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55898816"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 xml:space="preserve">‎ </w:t>
      </w:r>
    </w:p>
    <w:p w14:paraId="183684C5" w14:textId="77777777" w:rsidR="00C10374" w:rsidRPr="00511005" w:rsidRDefault="00C10374" w:rsidP="003A292D">
      <w:pPr>
        <w:spacing w:line="264" w:lineRule="auto"/>
        <w:jc w:val="center"/>
        <w:rPr>
          <w:rFonts w:ascii="Arial" w:eastAsia="Calibri" w:hAnsi="Arial" w:cs="Arial"/>
          <w:szCs w:val="28"/>
          <w:lang w:val="uk-UA"/>
        </w:rPr>
      </w:pPr>
      <w:r w:rsidRPr="00511005">
        <w:rPr>
          <w:rFonts w:ascii="Arial" w:eastAsia="Times New Roman" w:hAnsi="Arial" w:cs="Arial"/>
          <w:b/>
          <w:bCs/>
          <w:szCs w:val="28"/>
          <w:lang w:val="uk-UA"/>
        </w:rPr>
        <w:t>ЕЛЕКТРОННЕ СУДОЧИНСТВО В УКРАЇНІ: СУЧАСНІ ПРОБЛЕМИ</w:t>
      </w:r>
    </w:p>
    <w:p w14:paraId="7E9025B2"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lastRenderedPageBreak/>
        <w:t>У сучасних умовах цифрової трансформації державного управління особливої актуальності набуває запровадження електронного судочинства як інструменту підвищення ефективності функціонування судової влади. Застосування інформаційно-комунікаційних технологій у сфері правосуддя сприяє спрощенню процедур розгляду справ, підвищенню доступності судових послуг для громадян, зменшенню адміністративного навантаження на судові установи та забезпеченню прозорості й відкритості судових процесів.</w:t>
      </w:r>
    </w:p>
    <w:p w14:paraId="7B031D57"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 xml:space="preserve">Україна, задекларувавши курс на цифровізацію всіх сфер публічного управління, вже протягом кількох років впроваджує електронне судочинство. </w:t>
      </w:r>
    </w:p>
    <w:p w14:paraId="4189803A"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Електронне судочинство становить собою сучасний інструмент, що сприяє підвищенню прозорості, оперативності та доступності правосуддя для всіх учасників процесу. Застосування цифрових комунікаційних технологій, особливо в умовах, коли фізична присутність сторін у судовому засіданні є неможливою або утрудненою, визнається одним із базових стандартів організації справедливого судового розгляду.</w:t>
      </w:r>
    </w:p>
    <w:p w14:paraId="53090105"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Практичне впровадження елементів електронного правосуддя в Україні фактично стартувало з ухвалення Вищою радою правосуддя «Положення про порядок функціонування окремих підсистем Єдиної судової інформаційно-телекомунікаційної системи (ЄСІТС)» від 17 серпня 2021 року [1].</w:t>
      </w:r>
    </w:p>
    <w:p w14:paraId="1B78EF64"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Починаючи з 5 жовтня 2021 року, свою роботу офіційно розпочали три ключові підсистеми ЄСІТС: «Електронний кабінет», «Електронний суд» і підсистема відеоконференцзв’язку. Кожен із цих модулів забезпечує конкретні функціональні можливості для учасників судового процесу - від подання документів онлайн до дистанційної участі в судових засіданнях.</w:t>
      </w:r>
    </w:p>
    <w:p w14:paraId="09848940"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На думку М. А. Кулинич, запровадження електронного судочинства в Україні створює нові можливості для адвокатів у сфері комунікації з судовими органами, зокрема через цифрові канали взаємодії. Такий формат сприяє оптимізації процесу - зменшенню витрат часу та коштів, що особливо важливо для правозахисників, які активно представляють інтереси сторін у суді. Крім того, електронна система забезпечує оперативний доступ до судових матеріалів і рішень, що значно полегшує процес ознайомлення з перебігом справ.</w:t>
      </w:r>
    </w:p>
    <w:p w14:paraId="3C921F63"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Електронний документообіг покращує якість інформаційного обміну між учасниками проваджень і сприяє більш ефективному процесу судового розгляду. Водночас дослідниця звертає увагу на наявність технічних складнощів - можливі збої в роботі системи можуть перешкоджати доступу до важливих процесуальних документів і матеріалів справи [2, с. 37].</w:t>
      </w:r>
    </w:p>
    <w:p w14:paraId="4CCAE936"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 xml:space="preserve">Як уже було зазначено, попри значні переваги впровадження цифрових інструментів у судовий процес, їх використання супроводжується </w:t>
      </w:r>
      <w:r w:rsidRPr="00511005">
        <w:rPr>
          <w:rFonts w:ascii="Arial" w:eastAsia="Times New Roman" w:hAnsi="Arial" w:cs="Arial"/>
          <w:szCs w:val="28"/>
          <w:lang w:val="uk-UA"/>
        </w:rPr>
        <w:lastRenderedPageBreak/>
        <w:t>низкою суттєвих проблем. Зокрема, С. В. Щербак звертає увагу на те, що функціонування підсистем «Електронний суд» та «Електронний кабінет», які створені для забезпечення електронної взаємодії між учасниками судових процесів та їх представниками, наразі є далеким від ідеального. На думку дослідника, ці сервіси не повною мірою відповідають очікуванням користувачів і не завжди орієнтовані на зручність та практичну ефективність.</w:t>
      </w:r>
    </w:p>
    <w:p w14:paraId="1F61AB10"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Частими є скарги на недоліки інтерфейсу, труднощі з доступом до особистих кабінетів, випадки зникнення судових справ із системи, а також відсутність оновленої інформації щодо статусу поданих документів. Крім того, у процесі проведення судових засідань у форматі відеоконференцій нерідко виникають технічні збої, які ускладнюють або унеможливлюють повноцінну участь сторін у процесі [3, с. 240].</w:t>
      </w:r>
    </w:p>
    <w:p w14:paraId="00EC549E"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В цілому, впровадження електронного судочинства значно покращує доступність правосуддя, робить судові процеси більш ефективними та сприяє підвищенню довіри громадян до системи правосуддя. Особливо важливо це в умовах війни та загроз безпеці громадян, оскільки електронне судочинство забезпечує конфіденційність судових справ і зменшує ризики корупції в судових процесах. Це є важливим кроком у відновленні правопорядку та стабільності в умовах національної безпеки.</w:t>
      </w:r>
    </w:p>
    <w:p w14:paraId="0576CFAC"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Однак, незважаючи на численні переваги, слід враховувати й потенційні недоліки, що супроводжують цей процес. Однією з головних проблем є те, що чинне законодавство не зобов'язує громадян, які є активними учасниками судових проваджень, реєструвати електронний кабінет. Це обмежує їх доступ до електронних документів, що, в свою чергу, змушує суди витрачати додаткові ресурси на друк матеріалів справи, що іноді може включати сотні сторінок. Враховуючи обмеженість бюджетних ресурсів для судів, суддям часто доводиться самостійно закуповувати необхідні витратні матеріали (папір, заправка картриджів).</w:t>
      </w:r>
    </w:p>
    <w:p w14:paraId="3A09BBA6"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У цьому контексті доцільно внести зміни до процесуальних кодексів і встановити зобов'язання для громадян, які звертаються до суду, реєструвати електронні кабінети, що дозволить їм мати безперешкодний доступ до всіх документів у цифровому форматі.</w:t>
      </w:r>
    </w:p>
    <w:p w14:paraId="22709D31"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Times New Roman" w:hAnsi="Arial" w:cs="Arial"/>
          <w:szCs w:val="28"/>
          <w:lang w:val="uk-UA"/>
        </w:rPr>
        <w:t>Отже, електронне судочинство - невід’ємний компонент сучасної судової системи, що має великий потенціал для оптимізації процесу здійснення правосуддя в Україні. Однак для його повноцінного функціонування необхідне комплексне вирішення технічних, організаційних та правових проблем. Реформа в цій сфері має здійснюватися системно, із врахуванням як національного контексту, так і кращих світових практик.</w:t>
      </w:r>
    </w:p>
    <w:p w14:paraId="554B18C5" w14:textId="77777777" w:rsidR="00C10374" w:rsidRPr="00511005" w:rsidRDefault="00C10374" w:rsidP="003A292D">
      <w:pPr>
        <w:spacing w:line="264" w:lineRule="auto"/>
        <w:rPr>
          <w:rFonts w:ascii="Arial" w:eastAsia="Times New Roman" w:hAnsi="Arial" w:cs="Arial"/>
          <w:b/>
          <w:bCs/>
          <w:szCs w:val="28"/>
          <w:lang w:val="uk-UA"/>
        </w:rPr>
      </w:pPr>
      <w:r w:rsidRPr="00511005">
        <w:rPr>
          <w:rFonts w:ascii="Arial" w:eastAsia="Times New Roman" w:hAnsi="Arial" w:cs="Arial"/>
          <w:szCs w:val="28"/>
          <w:lang w:val="uk-UA"/>
        </w:rPr>
        <w:t xml:space="preserve">Електронізація правосуддя є невід'ємною частиною сучасних вимог та нагальною потребою. Впровадження судової інформаційно-телекомунікаційної системи в усіх судах України відкриває широкі можливості для дематеріалізації судового процесу, полегшення доступу до </w:t>
      </w:r>
      <w:r w:rsidRPr="00511005">
        <w:rPr>
          <w:rFonts w:ascii="Arial" w:eastAsia="Times New Roman" w:hAnsi="Arial" w:cs="Arial"/>
          <w:szCs w:val="28"/>
          <w:lang w:val="uk-UA"/>
        </w:rPr>
        <w:lastRenderedPageBreak/>
        <w:t>правосуддя, а також для прискорення та підвищення ефективності розгляду судових справ. Однак, процес масштабного застосування інформаційних технологій у судовій сфері стикається з рядом труднощів, що мають психологічний, технічний і організаційний характер. Подолання цих проблем є важливим напрямом для подальших наукових досліджень у цій галузі.</w:t>
      </w:r>
    </w:p>
    <w:p w14:paraId="3D0231B5" w14:textId="7BDBB651" w:rsidR="00C10374" w:rsidRPr="00511005" w:rsidRDefault="007B2628" w:rsidP="007B2628">
      <w:pPr>
        <w:spacing w:line="264" w:lineRule="auto"/>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1839B510" w14:textId="77777777" w:rsidR="00C10374" w:rsidRPr="00511005" w:rsidRDefault="00C10374" w:rsidP="003A292D">
      <w:pPr>
        <w:shd w:val="clear" w:color="auto" w:fill="FFFFFF"/>
        <w:spacing w:line="264" w:lineRule="auto"/>
        <w:rPr>
          <w:rFonts w:ascii="Arial" w:eastAsia="Calibri" w:hAnsi="Arial" w:cs="Arial"/>
          <w:szCs w:val="28"/>
          <w:lang w:val="uk-UA"/>
        </w:rPr>
      </w:pPr>
      <w:r w:rsidRPr="00511005">
        <w:rPr>
          <w:rFonts w:ascii="Arial" w:eastAsia="Times New Roman" w:hAnsi="Arial" w:cs="Arial"/>
          <w:szCs w:val="28"/>
          <w:lang w:val="uk-UA"/>
        </w:rPr>
        <w:t xml:space="preserve">1. Положення про порядок функціонування окремих підсистем Єдиної судової інформаційно-телекомунікаційної системи: Рішення Вищої ради правосуддя від 17 серпня 2021 року. URL: https: </w:t>
      </w:r>
      <w:hyperlink r:id="rId1063" w:anchor="Text" w:history="1">
        <w:r w:rsidRPr="00511005">
          <w:rPr>
            <w:rFonts w:ascii="Arial" w:eastAsia="Calibri" w:hAnsi="Arial" w:cs="Arial"/>
            <w:szCs w:val="28"/>
            <w:lang w:val="uk-UA"/>
          </w:rPr>
          <w:t>https://zakon.rada.gov.ua/rada/show/v1845910-21#Text</w:t>
        </w:r>
      </w:hyperlink>
      <w:r w:rsidRPr="00511005">
        <w:rPr>
          <w:rFonts w:ascii="Arial" w:eastAsia="Times New Roman" w:hAnsi="Arial" w:cs="Arial"/>
          <w:szCs w:val="28"/>
          <w:lang w:val="uk-UA"/>
        </w:rPr>
        <w:t>.</w:t>
      </w:r>
    </w:p>
    <w:p w14:paraId="78E3E526" w14:textId="77777777" w:rsidR="00C10374" w:rsidRPr="00511005" w:rsidRDefault="00C10374" w:rsidP="003A292D">
      <w:pPr>
        <w:shd w:val="clear" w:color="auto" w:fill="FFFFFF"/>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2. Кулинич М.-М.А. Використання захисником підсистеми «Електронний суд» під час досудового розслідування. Інформаційні технології в освіті та практиці: </w:t>
      </w:r>
      <w:r w:rsidRPr="00511005">
        <w:rPr>
          <w:rFonts w:ascii="Arial" w:eastAsia="Times New Roman" w:hAnsi="Arial" w:cs="Arial"/>
          <w:i/>
          <w:szCs w:val="28"/>
          <w:lang w:val="uk-UA"/>
        </w:rPr>
        <w:t>матеріали Науково-практичної конференції (Львів, 16 грудня 2022)</w:t>
      </w:r>
      <w:r w:rsidRPr="00511005">
        <w:rPr>
          <w:rFonts w:ascii="Arial" w:eastAsia="Times New Roman" w:hAnsi="Arial" w:cs="Arial"/>
          <w:szCs w:val="28"/>
          <w:lang w:val="uk-UA"/>
        </w:rPr>
        <w:t>; упорядник: Т. В. Магеровська. Львів: ЛьвДУВС, 2023. С. 37-39</w:t>
      </w:r>
    </w:p>
    <w:p w14:paraId="59DAE7CD" w14:textId="77777777" w:rsidR="00C10374" w:rsidRPr="00511005" w:rsidRDefault="00C10374" w:rsidP="003A292D">
      <w:pPr>
        <w:shd w:val="clear" w:color="auto" w:fill="FFFFFF"/>
        <w:spacing w:line="264" w:lineRule="auto"/>
        <w:rPr>
          <w:rFonts w:ascii="Arial" w:eastAsia="Calibri" w:hAnsi="Arial" w:cs="Arial"/>
          <w:szCs w:val="28"/>
          <w:lang w:val="uk-UA"/>
        </w:rPr>
      </w:pPr>
      <w:r w:rsidRPr="00511005">
        <w:rPr>
          <w:rFonts w:ascii="Arial" w:eastAsia="Times New Roman" w:hAnsi="Arial" w:cs="Arial"/>
          <w:szCs w:val="28"/>
          <w:lang w:val="uk-UA"/>
        </w:rPr>
        <w:t xml:space="preserve">3. Щербак С.В., Кожевнікова А.В. Електронізація судочинства: сучасний стан та орієнтири розвитку електронного суду в Україні у світлі цивільного процесу. </w:t>
      </w:r>
      <w:r w:rsidRPr="00511005">
        <w:rPr>
          <w:rFonts w:ascii="Arial" w:eastAsia="Times New Roman" w:hAnsi="Arial" w:cs="Arial"/>
          <w:i/>
          <w:szCs w:val="28"/>
          <w:lang w:val="uk-UA"/>
        </w:rPr>
        <w:t>Юридичний електронний науковий журнал.2023</w:t>
      </w:r>
      <w:r w:rsidRPr="00511005">
        <w:rPr>
          <w:rFonts w:ascii="Arial" w:eastAsia="Times New Roman" w:hAnsi="Arial" w:cs="Arial"/>
          <w:szCs w:val="28"/>
          <w:lang w:val="uk-UA"/>
        </w:rPr>
        <w:t xml:space="preserve">. № 4. C. 238-242. URL: </w:t>
      </w:r>
      <w:hyperlink r:id="rId1064">
        <w:r w:rsidRPr="00511005">
          <w:rPr>
            <w:rFonts w:ascii="Arial" w:eastAsia="Calibri" w:hAnsi="Arial" w:cs="Arial"/>
            <w:szCs w:val="28"/>
            <w:lang w:val="uk-UA"/>
          </w:rPr>
          <w:t>http://www.lsej.org.ua/4_2023/57.pdf</w:t>
        </w:r>
      </w:hyperlink>
      <w:r w:rsidRPr="00511005">
        <w:rPr>
          <w:rFonts w:ascii="Arial" w:eastAsia="Times New Roman" w:hAnsi="Arial" w:cs="Arial"/>
          <w:szCs w:val="28"/>
          <w:lang w:val="uk-UA"/>
        </w:rPr>
        <w:t xml:space="preserve">. </w:t>
      </w:r>
    </w:p>
    <w:p w14:paraId="3DFB8D32" w14:textId="77777777" w:rsidR="00C10374" w:rsidRPr="00511005" w:rsidRDefault="00C10374" w:rsidP="003A292D">
      <w:pPr>
        <w:shd w:val="clear" w:color="auto" w:fill="FFFFFF"/>
        <w:spacing w:line="264" w:lineRule="auto"/>
        <w:rPr>
          <w:rFonts w:ascii="Arial" w:eastAsia="Times New Roman" w:hAnsi="Arial" w:cs="Arial"/>
          <w:b/>
          <w:bCs/>
          <w:szCs w:val="28"/>
          <w:lang w:val="uk-UA"/>
        </w:rPr>
      </w:pPr>
    </w:p>
    <w:p w14:paraId="76649C50" w14:textId="3ABD085B" w:rsidR="00C10374" w:rsidRPr="00511005" w:rsidRDefault="007B2628" w:rsidP="003A292D">
      <w:pPr>
        <w:shd w:val="clear" w:color="auto" w:fill="FFFFFF"/>
        <w:spacing w:line="264" w:lineRule="auto"/>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C10374" w:rsidRPr="00511005">
        <w:rPr>
          <w:rFonts w:ascii="Arial" w:eastAsia="Times New Roman" w:hAnsi="Arial" w:cs="Arial"/>
          <w:szCs w:val="28"/>
          <w:lang w:val="uk-UA"/>
        </w:rPr>
        <w:t>електронне судочинство, цифровізація, Єдина судова інформаційно-телекомунікаційна система, правосуддя, інформаційно-комунікаційні технології, доступність, технічні проблеми, електронний кабінет, електронний документообіг, відеоконференція.</w:t>
      </w:r>
    </w:p>
    <w:p w14:paraId="0CCDB183" w14:textId="572E4EBA" w:rsidR="00C10374" w:rsidRPr="00511005" w:rsidRDefault="007B2628" w:rsidP="003A292D">
      <w:pPr>
        <w:shd w:val="clear" w:color="auto" w:fill="FFFFFF"/>
        <w:spacing w:line="264" w:lineRule="auto"/>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C10374" w:rsidRPr="00511005">
        <w:rPr>
          <w:rFonts w:ascii="Arial" w:eastAsia="Times New Roman" w:hAnsi="Arial" w:cs="Arial"/>
          <w:szCs w:val="28"/>
          <w:lang w:val="uk-UA"/>
        </w:rPr>
        <w:t>electronic justice, digitalization, Unified Judicial Information and Telecommunication System, justice, information and communication technologies, accessibility, technical problems, electronic cabinet, electronic document management, videoconference.</w:t>
      </w:r>
    </w:p>
    <w:p w14:paraId="4A1F9939" w14:textId="4F955850" w:rsidR="00C10374" w:rsidRPr="00511005" w:rsidRDefault="007B2628" w:rsidP="003A292D">
      <w:pPr>
        <w:shd w:val="clear" w:color="auto" w:fill="FFFFFF"/>
        <w:spacing w:line="264" w:lineRule="auto"/>
        <w:rPr>
          <w:rFonts w:ascii="Arial" w:eastAsia="Calibri" w:hAnsi="Arial" w:cs="Arial"/>
          <w:szCs w:val="28"/>
          <w:lang w:val="uk-UA"/>
        </w:rPr>
      </w:pPr>
      <w:r w:rsidRPr="00511005">
        <w:rPr>
          <w:rFonts w:ascii="Arial" w:eastAsia="Times New Roman" w:hAnsi="Arial" w:cs="Arial"/>
          <w:b/>
          <w:i/>
          <w:iCs/>
          <w:szCs w:val="28"/>
          <w:lang w:val="uk-UA"/>
        </w:rPr>
        <w:t xml:space="preserve">Науковий керівник: </w:t>
      </w:r>
      <w:r w:rsidR="00C10374" w:rsidRPr="00511005">
        <w:rPr>
          <w:rFonts w:ascii="Arial" w:eastAsia="Times New Roman" w:hAnsi="Arial" w:cs="Arial"/>
          <w:i/>
          <w:iCs/>
          <w:szCs w:val="28"/>
          <w:lang w:val="uk-UA"/>
        </w:rPr>
        <w:t>старший викладач кафедри Нестерчук Л. П.</w:t>
      </w:r>
    </w:p>
    <w:p w14:paraId="3946071C" w14:textId="77777777" w:rsidR="00C10374" w:rsidRPr="00511005" w:rsidRDefault="00C10374" w:rsidP="003A292D">
      <w:pPr>
        <w:spacing w:line="264" w:lineRule="auto"/>
        <w:ind w:firstLine="0"/>
        <w:rPr>
          <w:rFonts w:ascii="Arial" w:eastAsia="Calibri" w:hAnsi="Arial" w:cs="Arial"/>
          <w:szCs w:val="28"/>
        </w:rPr>
      </w:pPr>
    </w:p>
    <w:p w14:paraId="4E8B8A1F" w14:textId="77777777" w:rsidR="00C10374" w:rsidRPr="00511005" w:rsidRDefault="00C10374" w:rsidP="003A292D">
      <w:pPr>
        <w:spacing w:line="264" w:lineRule="auto"/>
        <w:ind w:firstLine="0"/>
        <w:rPr>
          <w:rFonts w:ascii="Arial" w:eastAsia="Calibri" w:hAnsi="Arial" w:cs="Arial"/>
          <w:szCs w:val="28"/>
        </w:rPr>
      </w:pPr>
    </w:p>
    <w:p w14:paraId="59D202DF" w14:textId="77777777" w:rsidR="00C10374" w:rsidRPr="00511005" w:rsidRDefault="00C10374" w:rsidP="003A292D">
      <w:pPr>
        <w:spacing w:line="264" w:lineRule="auto"/>
        <w:jc w:val="center"/>
        <w:rPr>
          <w:rFonts w:ascii="Arial" w:eastAsia="Calibri" w:hAnsi="Arial" w:cs="Arial"/>
          <w:b/>
          <w:bCs/>
          <w:i/>
          <w:iCs/>
          <w:szCs w:val="28"/>
          <w:lang w:val="uk-UA"/>
        </w:rPr>
      </w:pPr>
      <w:r w:rsidRPr="00511005">
        <w:rPr>
          <w:rFonts w:ascii="Arial" w:eastAsia="Calibri" w:hAnsi="Arial" w:cs="Arial"/>
          <w:b/>
          <w:bCs/>
          <w:i/>
          <w:iCs/>
          <w:szCs w:val="28"/>
          <w:lang w:val="uk-UA"/>
        </w:rPr>
        <w:t>Бехало Анна Вячеславівна</w:t>
      </w:r>
    </w:p>
    <w:p w14:paraId="68C51CF8" w14:textId="1267094C" w:rsidR="00C10374" w:rsidRPr="00511005" w:rsidRDefault="00BE3972" w:rsidP="003A292D">
      <w:pPr>
        <w:spacing w:line="264" w:lineRule="auto"/>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p>
    <w:p w14:paraId="6CF54EE0" w14:textId="034CEBB4" w:rsidR="00C10374" w:rsidRPr="00511005" w:rsidRDefault="007B2628" w:rsidP="003A292D">
      <w:pPr>
        <w:spacing w:line="264" w:lineRule="auto"/>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19DFE016" w14:textId="77777777" w:rsidR="00C10374" w:rsidRPr="00511005" w:rsidRDefault="00C10374" w:rsidP="003A292D">
      <w:pPr>
        <w:spacing w:line="264" w:lineRule="auto"/>
        <w:jc w:val="center"/>
        <w:rPr>
          <w:rFonts w:ascii="Arial" w:eastAsia="Calibri" w:hAnsi="Arial" w:cs="Arial"/>
          <w:szCs w:val="28"/>
          <w:lang w:val="uk-UA"/>
        </w:rPr>
      </w:pPr>
    </w:p>
    <w:p w14:paraId="3CA47772" w14:textId="77777777" w:rsidR="00C10374" w:rsidRPr="00511005" w:rsidRDefault="00C10374" w:rsidP="003A292D">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 xml:space="preserve">ПСИХОЛОГІЧНІ ОСОБЛИВОСТІ ДІЯЛЬНОСТІ АДВОКАТА У КРИМІНАЛЬНОМУ ПРОЦЕСІ </w:t>
      </w:r>
    </w:p>
    <w:p w14:paraId="0C8726E3"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Професія адвоката вважається однією з найпрестижніших і найвідповідальніших у сучасному суспільстві. Виконання професійних обов’язків у цій сфері передбачає не лише реалізацію глибоких правових знань та практичних навичок, а й вияв високого рівня моральної зрілості, стресостійкості та сформованого емоційного інтелекту. Адвокатська </w:t>
      </w:r>
      <w:r w:rsidRPr="00511005">
        <w:rPr>
          <w:rFonts w:ascii="Arial" w:eastAsia="Calibri" w:hAnsi="Arial" w:cs="Arial"/>
          <w:szCs w:val="28"/>
          <w:lang w:val="uk-UA"/>
        </w:rPr>
        <w:lastRenderedPageBreak/>
        <w:t>діяльність вимагає не просто вміння тлумачити правові норми, але й здатності до ефективної міжособистісної взаємодії, особливо в умовах підвищеного психоемоційного напруження. Саме тому, щоб бути успішним фахівцем у сфері кримінального права, недостатньо лише глибоких знань законодавства. Ця відповідальна професія вимагає від правника розвинених психологічних компетенцій [1, c.37]</w:t>
      </w:r>
    </w:p>
    <w:p w14:paraId="37EB771B"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Одним із ключових аспектів професійної підготовки адвоката є розуміння психологічних чинників, які впливають на комунікативну взаємодію з підзахисним [1,c.38]. У більшості випадків обвинувачені перебувають у стані стресу, обумовленого загрозою особистому благополуччю, репутації, соціальному статусу, а також майбутнім життєвим перспективам. Такий психоемоційний стан істотно ускладнює процес конструктивного спілкування. Саме тому адвокат повинен володіти розвинутими психологічними навичками, такими як: когнітивною емпатією, емоційною саморегуляцією, здатністю до психологічного впливу, а також навичками побудови довірчих стосунків у кризових ситуаціях</w:t>
      </w:r>
    </w:p>
    <w:p w14:paraId="5F4519D4"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У зв’язку з цим правник повинен володіти не лише теоретичними знаннями з юриспруденції, а й бути компетентним в основах психології: здатністю до налагодження міжособистісного контакту, проявом емоційного інтелекту, адаптивністю до стресових умов і когнітивною гнучкістю. Синтез юридичної та психологічної компетентності є запорукою ефективного захисту прав та інтересів клієнта</w:t>
      </w:r>
    </w:p>
    <w:p w14:paraId="78FCBDBE"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Розглянемо основні психологічні характеристики, які визначають ефективність адвокатської діяльності особливо у кримінальному процесі:</w:t>
      </w:r>
    </w:p>
    <w:p w14:paraId="1308192A" w14:textId="77777777" w:rsidR="00C10374" w:rsidRPr="00511005" w:rsidRDefault="00C10374" w:rsidP="003F6A5D">
      <w:pPr>
        <w:numPr>
          <w:ilvl w:val="0"/>
          <w:numId w:val="289"/>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Стресостійкість та емоційна стабільність.</w:t>
      </w:r>
      <w:r w:rsidRPr="00511005">
        <w:rPr>
          <w:rFonts w:ascii="Arial" w:eastAsia="Calibri" w:hAnsi="Arial" w:cs="Arial"/>
          <w:szCs w:val="28"/>
          <w:lang w:val="uk-UA"/>
        </w:rPr>
        <w:br/>
        <w:t>Професійна діяльність адвоката в галузі кримінального права передбачає постійну взаємодію з психотравмуючими факторами: конфліктами, проявами агресії, емоційною нестабільністю клієнтів. Здатність залишатися врівноваженим, не піддаватися афективним реакціям, а також раціонально оцінювати ситуацію в умовах емоційного навантаження є критично важливою для прийняття зважених рішень [2, c.91].</w:t>
      </w:r>
    </w:p>
    <w:p w14:paraId="38BA0C8B" w14:textId="77777777" w:rsidR="00C10374" w:rsidRPr="00511005" w:rsidRDefault="00C10374" w:rsidP="003F6A5D">
      <w:pPr>
        <w:numPr>
          <w:ilvl w:val="0"/>
          <w:numId w:val="289"/>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Розвинені комунікативні компетенції.</w:t>
      </w:r>
      <w:r w:rsidRPr="00511005">
        <w:rPr>
          <w:rFonts w:ascii="Arial" w:eastAsia="Calibri" w:hAnsi="Arial" w:cs="Arial"/>
          <w:szCs w:val="28"/>
          <w:lang w:val="uk-UA"/>
        </w:rPr>
        <w:br/>
        <w:t>Цей пункт передбачає активну взаємодію з різними суб’єктами кримінального процесу — підзахисними, суддями, прокурорами, слідчими, свідками. Комунікативна компетентність включає вміння формулювати переконливі правові позиції, застосовувати риторичні прийоми та будувати комунікацію, засновану на принципах відкритості та довіри.</w:t>
      </w:r>
    </w:p>
    <w:p w14:paraId="547FF162" w14:textId="77777777" w:rsidR="00C10374" w:rsidRPr="00511005" w:rsidRDefault="00C10374" w:rsidP="003F6A5D">
      <w:pPr>
        <w:numPr>
          <w:ilvl w:val="0"/>
          <w:numId w:val="289"/>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Саморегуляція та емоційний контроль.</w:t>
      </w:r>
      <w:r w:rsidRPr="00511005">
        <w:rPr>
          <w:rFonts w:ascii="Arial" w:eastAsia="Calibri" w:hAnsi="Arial" w:cs="Arial"/>
          <w:szCs w:val="28"/>
          <w:lang w:val="uk-UA"/>
        </w:rPr>
        <w:br/>
        <w:t>Здатність до афективної саморегуляції — одна з ключових характеристик успішного адвоката. У кризових ситуаціях фахівець повинен приймати рішення, керуючись правовими нормами й етичними принципами, не піддаючись емоційному тиску або зовнішнім подразникам.</w:t>
      </w:r>
    </w:p>
    <w:p w14:paraId="4B5C21FB" w14:textId="77777777" w:rsidR="00C10374" w:rsidRPr="00511005" w:rsidRDefault="00C10374" w:rsidP="003F6A5D">
      <w:pPr>
        <w:numPr>
          <w:ilvl w:val="0"/>
          <w:numId w:val="289"/>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lastRenderedPageBreak/>
        <w:t>Аналітичне мислення.</w:t>
      </w:r>
      <w:r w:rsidRPr="00511005">
        <w:rPr>
          <w:rFonts w:ascii="Arial" w:eastAsia="Calibri" w:hAnsi="Arial" w:cs="Arial"/>
          <w:szCs w:val="28"/>
          <w:lang w:val="uk-UA"/>
        </w:rPr>
        <w:br/>
        <w:t>Юридична практика вимагає високого рівня когнітивної активності: системного аналізу доказової бази, вміння передбачати варіанти розвитку подій, логічного структурування правових позицій. Це передбачає розвинене критичне мислення, уміння інтегрувати інформацію з різних джерел і формувати обґрунтовані висновки.</w:t>
      </w:r>
    </w:p>
    <w:p w14:paraId="28906ACF" w14:textId="77777777" w:rsidR="00C10374" w:rsidRPr="00511005" w:rsidRDefault="00C10374" w:rsidP="003F6A5D">
      <w:pPr>
        <w:numPr>
          <w:ilvl w:val="0"/>
          <w:numId w:val="289"/>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Здатність до вирішення морально-етичних дилем.</w:t>
      </w:r>
      <w:r w:rsidRPr="00511005">
        <w:rPr>
          <w:rFonts w:ascii="Arial" w:eastAsia="Calibri" w:hAnsi="Arial" w:cs="Arial"/>
          <w:szCs w:val="28"/>
          <w:lang w:val="uk-UA"/>
        </w:rPr>
        <w:br/>
        <w:t>Кримінальний процес часто висуває перед адвокатом складні моральні виклики. Наприклад, необхідність захищати особу, вина якої викликає внутрішній спротив. У таких випадках адвокат повинен діяти відповідно до професійної етики, дотримуючись принципів презумпції невинуватості й доступу до правового захисту.</w:t>
      </w:r>
    </w:p>
    <w:p w14:paraId="475E4BC2" w14:textId="77777777" w:rsidR="00C10374" w:rsidRPr="00511005" w:rsidRDefault="00C10374" w:rsidP="003F6A5D">
      <w:pPr>
        <w:numPr>
          <w:ilvl w:val="0"/>
          <w:numId w:val="289"/>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Емпатія та соціальна чутливість.</w:t>
      </w:r>
      <w:r w:rsidRPr="00511005">
        <w:rPr>
          <w:rFonts w:ascii="Arial" w:eastAsia="Calibri" w:hAnsi="Arial" w:cs="Arial"/>
          <w:szCs w:val="28"/>
          <w:lang w:val="uk-UA"/>
        </w:rPr>
        <w:br/>
        <w:t xml:space="preserve">Адвокат повинен володіти розвиненою здатністю до когнітивного співпереживання, розуміти емоційний стан клієнта, виявляти толерантність і відкритість до різних соціальних груп. Збалансоване поєднання емпатії та професійної дистанції дозволяє ефективно будувати стратегію захисту [2, c.50-52]. </w:t>
      </w:r>
    </w:p>
    <w:p w14:paraId="078D3309"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Ефективна професійна діяльність адвоката у кримінальному процесі є результатом синергії юридичної ерудиції та психологічної підготовки. Стресостійкість, аналітичне мислення, самоконтроль, моральна зрілість, емпатія та комунікативні компетенції формують психологічний портрет успішного адвоката. Саме ці якості забезпечують реалізацію принципів справедливості й правової захищеності в умовах кримінального судочинства.[3, c.185-186]. </w:t>
      </w:r>
    </w:p>
    <w:p w14:paraId="4EEBA6C7" w14:textId="77777777" w:rsidR="00C10374" w:rsidRPr="00511005" w:rsidRDefault="00C10374" w:rsidP="003A292D">
      <w:pPr>
        <w:spacing w:line="264" w:lineRule="auto"/>
        <w:rPr>
          <w:rFonts w:ascii="Arial" w:eastAsia="Calibri" w:hAnsi="Arial" w:cs="Arial"/>
          <w:szCs w:val="28"/>
          <w:lang w:val="uk-UA"/>
        </w:rPr>
      </w:pPr>
    </w:p>
    <w:p w14:paraId="4169F736" w14:textId="6A75D08B" w:rsidR="00C10374" w:rsidRPr="00511005" w:rsidRDefault="007B2628" w:rsidP="007B2628">
      <w:pPr>
        <w:spacing w:line="264" w:lineRule="auto"/>
        <w:jc w:val="center"/>
        <w:rPr>
          <w:rFonts w:ascii="Arial" w:eastAsia="Calibri" w:hAnsi="Arial" w:cs="Arial"/>
          <w:b/>
          <w:bCs/>
          <w:i/>
          <w:iCs/>
          <w:szCs w:val="28"/>
          <w:lang w:val="uk-UA"/>
        </w:rPr>
      </w:pPr>
      <w:r w:rsidRPr="00511005">
        <w:rPr>
          <w:rFonts w:ascii="Arial" w:eastAsia="Calibri" w:hAnsi="Arial" w:cs="Arial"/>
          <w:b/>
          <w:bCs/>
          <w:i/>
          <w:iCs/>
          <w:szCs w:val="28"/>
          <w:lang w:val="uk-UA"/>
        </w:rPr>
        <w:t>Список використаних джерел</w:t>
      </w:r>
    </w:p>
    <w:p w14:paraId="193DA112" w14:textId="15CB4BF1"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1. Скрябін О. М. Психологічні особливості організаторської діяльності адвоката. </w:t>
      </w:r>
      <w:r w:rsidRPr="00511005">
        <w:rPr>
          <w:rFonts w:ascii="Arial" w:eastAsia="Calibri" w:hAnsi="Arial" w:cs="Arial"/>
          <w:i/>
          <w:iCs/>
          <w:szCs w:val="28"/>
          <w:lang w:val="uk-UA"/>
        </w:rPr>
        <w:t>Юридичні науки</w:t>
      </w:r>
      <w:r w:rsidRPr="00511005">
        <w:rPr>
          <w:rFonts w:ascii="Arial" w:eastAsia="Calibri" w:hAnsi="Arial" w:cs="Arial"/>
          <w:szCs w:val="28"/>
          <w:lang w:val="uk-UA"/>
        </w:rPr>
        <w:t>.</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№1.</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2011</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С.36-41. </w:t>
      </w:r>
    </w:p>
    <w:p w14:paraId="6C58E9D5"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2. Кацавець Р. С. Юридична психологія. Навчальний посібник. 3-тє вид., доповнене. Київ: Алерта, 2023. С. 282. </w:t>
      </w:r>
    </w:p>
    <w:p w14:paraId="2A0F765C" w14:textId="3A05C909"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3. Маршалюк С. І. Психологічні особливості професійної діяльності фахівців юридичної сфери. </w:t>
      </w:r>
      <w:r w:rsidRPr="00511005">
        <w:rPr>
          <w:rFonts w:ascii="Arial" w:eastAsia="Calibri" w:hAnsi="Arial" w:cs="Arial"/>
          <w:i/>
          <w:iCs/>
          <w:szCs w:val="28"/>
          <w:lang w:val="uk-UA"/>
        </w:rPr>
        <w:t>Науковий вісник Львівського державного університету внутрішніх справ.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№1.</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2013. С.179-187</w:t>
      </w:r>
    </w:p>
    <w:p w14:paraId="2E3C6324" w14:textId="77777777" w:rsidR="00C10374" w:rsidRPr="00511005" w:rsidRDefault="00C10374" w:rsidP="003A292D">
      <w:pPr>
        <w:spacing w:line="264" w:lineRule="auto"/>
        <w:ind w:firstLine="0"/>
        <w:rPr>
          <w:rFonts w:ascii="Arial" w:eastAsia="Calibri" w:hAnsi="Arial" w:cs="Arial"/>
          <w:szCs w:val="28"/>
          <w:lang w:val="uk-UA"/>
        </w:rPr>
      </w:pPr>
    </w:p>
    <w:p w14:paraId="5DB42D00" w14:textId="060B4E6E" w:rsidR="00C10374"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0374" w:rsidRPr="00511005">
        <w:rPr>
          <w:rFonts w:ascii="Arial" w:eastAsia="Calibri" w:hAnsi="Arial" w:cs="Arial"/>
          <w:szCs w:val="28"/>
          <w:lang w:val="uk-UA"/>
        </w:rPr>
        <w:t>психологічні особливості, адвокатська діяльність, кримінальний процес, стресостійкість, емпатія.</w:t>
      </w:r>
    </w:p>
    <w:p w14:paraId="642F396E" w14:textId="0292B862" w:rsidR="00C10374" w:rsidRPr="00511005" w:rsidRDefault="002611B5" w:rsidP="003A292D">
      <w:pPr>
        <w:spacing w:line="264" w:lineRule="auto"/>
        <w:ind w:firstLine="0"/>
        <w:rPr>
          <w:rFonts w:ascii="Arial" w:eastAsia="Calibri" w:hAnsi="Arial" w:cs="Arial"/>
          <w:szCs w:val="28"/>
          <w:lang w:val="uk-UA"/>
        </w:rPr>
      </w:pPr>
      <w:r w:rsidRPr="00511005">
        <w:rPr>
          <w:rFonts w:ascii="Arial" w:eastAsia="Times New Roman" w:hAnsi="Arial" w:cs="Arial"/>
          <w:b/>
          <w:bCs/>
          <w:i/>
          <w:szCs w:val="28"/>
          <w:lang w:val="en-US" w:eastAsia="ru-RU"/>
        </w:rPr>
        <w:t xml:space="preserve">Key words: </w:t>
      </w:r>
      <w:r w:rsidR="00C10374" w:rsidRPr="00511005">
        <w:rPr>
          <w:rFonts w:ascii="Arial" w:eastAsia="Calibri" w:hAnsi="Arial" w:cs="Arial"/>
          <w:szCs w:val="28"/>
          <w:lang w:val="uk-UA"/>
        </w:rPr>
        <w:t>psychological characteristics, advocacy, criminal procedure, stress resistance, empathy.</w:t>
      </w:r>
    </w:p>
    <w:p w14:paraId="02BB2867" w14:textId="0789D8BC" w:rsidR="00C10374"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C10374" w:rsidRPr="00511005">
        <w:rPr>
          <w:rFonts w:ascii="Arial" w:eastAsia="Calibri" w:hAnsi="Arial" w:cs="Arial"/>
          <w:i/>
          <w:iCs/>
          <w:szCs w:val="28"/>
          <w:lang w:val="uk-UA"/>
        </w:rPr>
        <w:t xml:space="preserve">к.ю.н., доцент Кравченко М. О. </w:t>
      </w:r>
    </w:p>
    <w:p w14:paraId="6109990F" w14:textId="77777777" w:rsidR="00C10374" w:rsidRPr="00511005" w:rsidRDefault="00C10374" w:rsidP="003A292D">
      <w:pPr>
        <w:spacing w:line="264" w:lineRule="auto"/>
        <w:ind w:firstLine="0"/>
        <w:rPr>
          <w:rFonts w:ascii="Arial" w:eastAsia="Calibri" w:hAnsi="Arial" w:cs="Arial"/>
          <w:i/>
          <w:iCs/>
          <w:szCs w:val="28"/>
          <w:lang w:val="uk-UA"/>
        </w:rPr>
      </w:pPr>
    </w:p>
    <w:p w14:paraId="4841C3A5" w14:textId="77777777" w:rsidR="00C10374" w:rsidRPr="00511005" w:rsidRDefault="00C10374" w:rsidP="003A292D">
      <w:pPr>
        <w:spacing w:line="264" w:lineRule="auto"/>
        <w:ind w:firstLine="0"/>
        <w:rPr>
          <w:rFonts w:ascii="Arial" w:eastAsia="Calibri" w:hAnsi="Arial" w:cs="Arial"/>
          <w:i/>
          <w:iCs/>
          <w:szCs w:val="28"/>
          <w:lang w:val="uk-UA"/>
        </w:rPr>
      </w:pPr>
    </w:p>
    <w:p w14:paraId="53D250F2" w14:textId="77777777" w:rsidR="00C10374" w:rsidRPr="00511005" w:rsidRDefault="00C10374" w:rsidP="003A292D">
      <w:pPr>
        <w:keepNext/>
        <w:spacing w:line="264" w:lineRule="auto"/>
        <w:ind w:firstLine="0"/>
        <w:jc w:val="center"/>
        <w:rPr>
          <w:rFonts w:ascii="Arial" w:eastAsia="Times New Roman" w:hAnsi="Arial" w:cs="Arial"/>
          <w:b/>
          <w:i/>
          <w:szCs w:val="28"/>
          <w:lang w:val="uk-UA"/>
        </w:rPr>
      </w:pPr>
      <w:bookmarkStart w:id="147" w:name="_heading=h.mxnvoiihekvz" w:colFirst="0" w:colLast="0"/>
      <w:bookmarkEnd w:id="147"/>
      <w:r w:rsidRPr="00511005">
        <w:rPr>
          <w:rFonts w:ascii="Arial" w:eastAsia="Times New Roman" w:hAnsi="Arial" w:cs="Arial"/>
          <w:b/>
          <w:i/>
          <w:szCs w:val="28"/>
          <w:lang w:val="uk-UA"/>
        </w:rPr>
        <w:lastRenderedPageBreak/>
        <w:t>Білокінь Тарас Юрійович</w:t>
      </w:r>
    </w:p>
    <w:p w14:paraId="46782A4E" w14:textId="7E5596BD" w:rsidR="00C10374"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студент 3-го курсу факультету адвокатури та антикорупційної діяльності</w:t>
      </w:r>
      <w:r w:rsidR="00C10374" w:rsidRPr="00511005">
        <w:rPr>
          <w:rFonts w:ascii="Arial" w:eastAsia="Times New Roman" w:hAnsi="Arial" w:cs="Arial"/>
          <w:szCs w:val="28"/>
          <w:lang w:val="uk-UA"/>
        </w:rPr>
        <w:t xml:space="preserve"> </w:t>
      </w:r>
      <w:r w:rsidR="00C10374" w:rsidRPr="00511005">
        <w:rPr>
          <w:rFonts w:ascii="Arial" w:eastAsia="Times New Roman" w:hAnsi="Arial" w:cs="Arial"/>
          <w:szCs w:val="28"/>
          <w:lang w:val="uk-UA"/>
        </w:rPr>
        <w:br/>
      </w:r>
      <w:r w:rsidR="007B2628" w:rsidRPr="00511005">
        <w:rPr>
          <w:rFonts w:ascii="Arial" w:eastAsia="Times New Roman" w:hAnsi="Arial" w:cs="Arial"/>
          <w:szCs w:val="28"/>
          <w:lang w:val="uk-UA"/>
        </w:rPr>
        <w:t>Національного університету «Одеська юридична академія»</w:t>
      </w:r>
    </w:p>
    <w:p w14:paraId="0AFBDCBD" w14:textId="77777777" w:rsidR="00C10374" w:rsidRPr="00511005" w:rsidRDefault="00C10374" w:rsidP="003A292D">
      <w:pPr>
        <w:spacing w:line="264" w:lineRule="auto"/>
        <w:ind w:firstLine="0"/>
        <w:rPr>
          <w:rFonts w:ascii="Arial" w:eastAsia="Times New Roman" w:hAnsi="Arial" w:cs="Arial"/>
          <w:b/>
          <w:szCs w:val="28"/>
          <w:lang w:val="uk-UA"/>
        </w:rPr>
      </w:pPr>
    </w:p>
    <w:p w14:paraId="7B4FEF6F" w14:textId="77777777" w:rsidR="00C10374" w:rsidRPr="00511005" w:rsidRDefault="00C10374"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РОЛЬ САП ТА НАБУ У РЕАЛІЗАЦІЇ АНТИКОРУПЦІЙНОЇ СТРАТЕГІЇ УКРАЇНИ</w:t>
      </w:r>
    </w:p>
    <w:p w14:paraId="44A17F0B"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Антикорупційна стратегія України на 2021–2025 роки є системним документом, який визначає основні напрямки, пріоритети та інструменти у боротьбі з корупцією в державі. Її мета – створити ефективну, прозору та підзвітну систему державного управління, яка забезпечить рівні можливості для всіх громадян, зменшить корупційні ризики у публічному секторі, а також сприятиме формуванню довіри до органів державної влади.</w:t>
      </w:r>
    </w:p>
    <w:p w14:paraId="02939D72"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Корупція в Україні протягом багатьох років була серйозною проблемою, яка негативно впливала на розвиток держави, економіки, інвестиційного клімату та міжнародну репутацію. Відтак, формування та реалізація чіткої стратегії у цій сфері стало пріоритетом державної політики. Одним з ключових компонентів цієї стратегії є ефективна діяльність інституцій, відповідальних за розслідування та притягнення до відповідальності осіб, причетних до корупційних правопорушень.</w:t>
      </w:r>
    </w:p>
    <w:p w14:paraId="740BC6B9"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У цьому контексті Спеціалізована антикорупційна прокуратура (далі - САП) та Національне антикорупційне бюро України (далі - НАБУ) відіграють першочергову роль. Вони є частиною незалежної антикорупційної інфраструктури, створеної в межах реформ, підтриманих як внутрішнім запитом суспільства, так і зовнішніми партнерами України. Їхня робота є наріжним каменем ефективної реалізації антикорупційної стратегії, оскільки саме ці органи відповідають за найрезонансніші справи, що стосуються високопосадовців, суддів, правоохоронців та інших суб’єктів, які мають суттєвий вплив на суспільне життя.</w:t>
      </w:r>
    </w:p>
    <w:p w14:paraId="02D39CC7"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З огляду на це, розгляд ролі САП та НАБУ в реалізації антикорупційної стратегії є вкрай актуальним і потребує детального аналізу їхньої діяльності, досягнень, проблемних аспектів, а також перспектив розвитку у майбутньому.</w:t>
      </w:r>
    </w:p>
    <w:p w14:paraId="0B322230"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Національне антикорупційне бюро України було створено у 2015 році як орган, що здійснює незалежне розслідування корупційних злочинів найвищого рівня. Його юрисдикція охоплює осіб, що займають особливо відповідальне становище: суддів, прокурорів, народних депутатів, керівників державних підприємств та інші категорії посадовців, визначених законодавством. НАБУ наділене правом проводити оперативно-розшукові дії, збирати докази, вести досудове розслідування та взаємодіяти з іншими правоохоронними органами [1].</w:t>
      </w:r>
    </w:p>
    <w:p w14:paraId="1D563F25" w14:textId="05CA108A"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Спеціалізована антикорупційна прокуратура отримала більше незалежності від Офісу Генерального прокурора, наразі САП за свої </w:t>
      </w:r>
      <w:r w:rsidRPr="00511005">
        <w:rPr>
          <w:rFonts w:ascii="Arial" w:eastAsia="Times New Roman" w:hAnsi="Arial" w:cs="Arial"/>
          <w:szCs w:val="28"/>
          <w:lang w:val="uk-UA"/>
        </w:rPr>
        <w:lastRenderedPageBreak/>
        <w:t xml:space="preserve">статусом є </w:t>
      </w:r>
      <w:r w:rsidRPr="00511005">
        <w:rPr>
          <w:rFonts w:ascii="Arial" w:eastAsia="Calibri" w:hAnsi="Arial" w:cs="Arial"/>
          <w:szCs w:val="28"/>
          <w:shd w:val="clear" w:color="auto" w:fill="FFFFFF"/>
          <w:lang w:val="uk-UA"/>
        </w:rPr>
        <w:t xml:space="preserve">юридичною особою публічного права, має відокремлене майно, що є державною власністю, рахунки в органах, що здійснюють казначейське обслуговування бюджетних коштів, печатку із зображенням Державного Герба України та своїм найменуванням. САП </w:t>
      </w:r>
      <w:r w:rsidRPr="00511005">
        <w:rPr>
          <w:rFonts w:ascii="Arial" w:eastAsia="Times New Roman" w:hAnsi="Arial" w:cs="Arial"/>
          <w:szCs w:val="28"/>
          <w:lang w:val="uk-UA"/>
        </w:rPr>
        <w:t>не лише здійснює процесуальне керівництво у справах НАБУ, а й самостійно ініціює кримінальні провадження. Вона забезпечує дотримання законності при проведенні досудового розслідування, ухвалює рішення про направлення справ до суду та здійснює підтримання</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публічного обвинувачення [2].</w:t>
      </w:r>
    </w:p>
    <w:p w14:paraId="10C11F4A"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Особливістю цих органів є їх незалежність, гарантована законом, а також процедурні механізми добору персоналу, які покликані мінімізувати політичний вплив і забезпечити професіоналізм. Це принципово відрізняє їх від традиційних правоохоронних структур, що раніше часто зазнавали впливу з боку влади [3].</w:t>
      </w:r>
    </w:p>
    <w:p w14:paraId="5BDA0E98"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Протягом останніх років НАБУ та САП продемонстрували суттєве зростання ефективності. Лише у 2023 році до суду було передано понад 150 обвинувальних актів, серед яких – справи щодо топчиновників, депутатів, представників судової гілки влади. Завдяки їхній діяльності державі повернуто мільярди гривень, які раніше могли бути втрачені через корупційні схеми.</w:t>
      </w:r>
    </w:p>
    <w:p w14:paraId="576EC1F5"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Одним із найвідоміших прикладів стала справа про заволодіння коштами «Укрзалізниці», у якій фігурували високопосадовці. Також успішно завершені розслідування щодо оборудок в «Укрнафті», «Центренерго», Держгеонадрах та інших стратегічних підприємствах. НАБУ активно застосовує новітні методи розслідування, зокрама, аналітичні центри, прослуховування, роботу агентів під прикриттям, що значно підвищує рівень доказовості матеріалів у справах [4].</w:t>
      </w:r>
    </w:p>
    <w:p w14:paraId="4F13C957"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Однією з ознак ефективної реалізації антикорупційної політики є скоординована робота всіх інституцій. НАБУ і САП взаємодіють з НАЗК, яке відповідає за перевірку декларацій, аналіз ризиків і профілактику корупції. Отримана НАЗК інформація часто стає підставою для відкриття кримінальних проваджень.</w:t>
      </w:r>
    </w:p>
    <w:p w14:paraId="451FF9AE"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Не менш важливим у боротьбі із корупційними правопорушеннями є Вищий антикорупційний суд України (дал - ВАКС), створений у 2019 році. Завдяки спеціалізації суддів та швидшому розгляду справ вдалося уникнути затягувань, характерних для інших судів. У багатьох випадках рішення ВАКС стали прецедентами, що формують нову практику застосування антикорупційного законодавства.</w:t>
      </w:r>
    </w:p>
    <w:p w14:paraId="76BA5157"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Незважаючи на прогрес, САП та НАБУ зіштовхуються з численними викликами. По-перше, зберігається опір старої системи, що проявляється у спробах дискредитації, блокування реформ, тиску на суддів і прокурорів. По-друге, існує проблема кадрового забезпечення: складність добору кваліфікованих кадрів, їх плинність та перевантаженість [5].</w:t>
      </w:r>
    </w:p>
    <w:p w14:paraId="64CF5B3B"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lastRenderedPageBreak/>
        <w:t>Окрему загрозу становить втручання політиків у роботу незалежних органів, що суперечить принципам правової держави. У зв’язку з цим вкрай важливим є збереження гарантій незалежності, регулярне оновлення законодавчої бази та забезпечення належного фінансування діяльності САП і НАБУ.</w:t>
      </w:r>
    </w:p>
    <w:p w14:paraId="01EBE48B" w14:textId="77777777"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Разом із тим, є підстави для оптимізму. Україна отримує підтримку з боку Європейського Союзу та США, що вимагають збереження незалежності антикорупційної інфраструктури. Реформи в цій сфері є умовою продовження інтеграційних процесів, зокрема вступу до ЄС [3].</w:t>
      </w:r>
    </w:p>
    <w:p w14:paraId="51AB5082" w14:textId="12DF0DD5" w:rsidR="00C10374" w:rsidRPr="00511005" w:rsidRDefault="00C10374"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Таким чином, діяльність САП та НАБУ є не лише елементом внутрішньої антикорупційної політики, а й важливою складовою міжнародного іміджу України як держави, що бореться з системною корупцією. Ці органи формують нову якість розслідування правопорушень, засновану на професіоналізмі, неупередженості та ефективності. Їхня робота демонструє, що створення спеціалізованих інституцій з чітко окресленими повноваженнями та незалежним статусом може мати реальний вплив на зменшення рівня корупції. Водночас, подальший розвиток та вдосконалення цієї системи мають бути пріоритетом державної політики, особливо в умовах післявоєнного відновлення, де прозорість та контроль над державними фінансами відіграватимуть ключову роль. САП і НАБУ –</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це приклад того, як реформа може дати конкретний результат, коли вона реалізується системно, прозоро та з урахуванням кращих міжнародних практик. Збереження незалежності цих органів, посилення їхніх повноважень та ресурсного забезпечення є запорукою подальшого прогресу України у сфері боротьби з корупцією.</w:t>
      </w:r>
    </w:p>
    <w:p w14:paraId="343C64EB" w14:textId="77777777" w:rsidR="00C10374" w:rsidRPr="00511005" w:rsidRDefault="00C10374" w:rsidP="003A292D">
      <w:pPr>
        <w:spacing w:line="264" w:lineRule="auto"/>
        <w:ind w:firstLine="567"/>
        <w:rPr>
          <w:rFonts w:ascii="Arial" w:eastAsia="Times New Roman" w:hAnsi="Arial" w:cs="Arial"/>
          <w:szCs w:val="28"/>
          <w:lang w:val="uk-UA"/>
        </w:rPr>
      </w:pPr>
    </w:p>
    <w:p w14:paraId="0BF8661D" w14:textId="3CBD9B6A" w:rsidR="00C10374" w:rsidRPr="00511005" w:rsidRDefault="007B2628" w:rsidP="007B2628">
      <w:pPr>
        <w:spacing w:line="264" w:lineRule="auto"/>
        <w:ind w:firstLine="567"/>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537218BC" w14:textId="77777777" w:rsidR="00C10374" w:rsidRPr="00511005" w:rsidRDefault="00C10374" w:rsidP="003F6A5D">
      <w:pPr>
        <w:numPr>
          <w:ilvl w:val="0"/>
          <w:numId w:val="290"/>
        </w:numPr>
        <w:tabs>
          <w:tab w:val="left" w:pos="851"/>
        </w:tabs>
        <w:spacing w:line="264" w:lineRule="auto"/>
        <w:ind w:left="0" w:firstLine="567"/>
        <w:rPr>
          <w:rFonts w:ascii="Arial" w:eastAsia="Times New Roman" w:hAnsi="Arial" w:cs="Arial"/>
          <w:szCs w:val="28"/>
          <w:lang w:val="uk-UA"/>
        </w:rPr>
      </w:pPr>
      <w:r w:rsidRPr="00511005">
        <w:rPr>
          <w:rFonts w:ascii="Arial" w:eastAsia="Times New Roman" w:hAnsi="Arial" w:cs="Arial"/>
          <w:szCs w:val="28"/>
          <w:lang w:val="uk-UA"/>
        </w:rPr>
        <w:t xml:space="preserve">Антикорупційна стратегія України на 2021–2025 роки: Закон України від 20.06.2022 № 2322-IX. </w:t>
      </w:r>
      <w:r w:rsidRPr="00511005">
        <w:rPr>
          <w:rFonts w:ascii="Arial" w:eastAsia="Times New Roman" w:hAnsi="Arial" w:cs="Arial"/>
          <w:i/>
          <w:szCs w:val="28"/>
          <w:lang w:val="uk-UA"/>
        </w:rPr>
        <w:t>Відомості Верховної Ради України</w:t>
      </w:r>
      <w:r w:rsidRPr="00511005">
        <w:rPr>
          <w:rFonts w:ascii="Arial" w:eastAsia="Times New Roman" w:hAnsi="Arial" w:cs="Arial"/>
          <w:szCs w:val="28"/>
          <w:lang w:val="uk-UA"/>
        </w:rPr>
        <w:t>, 2022. № 35. Ст. 232.</w:t>
      </w:r>
    </w:p>
    <w:p w14:paraId="5B2BD8F5" w14:textId="77777777" w:rsidR="00C10374" w:rsidRPr="00511005" w:rsidRDefault="00C10374" w:rsidP="003F6A5D">
      <w:pPr>
        <w:numPr>
          <w:ilvl w:val="0"/>
          <w:numId w:val="290"/>
        </w:numPr>
        <w:tabs>
          <w:tab w:val="left" w:pos="851"/>
        </w:tabs>
        <w:spacing w:line="264" w:lineRule="auto"/>
        <w:ind w:left="0" w:firstLine="567"/>
        <w:rPr>
          <w:rFonts w:ascii="Arial" w:eastAsia="Times New Roman" w:hAnsi="Arial" w:cs="Arial"/>
          <w:szCs w:val="28"/>
          <w:lang w:val="uk-UA"/>
        </w:rPr>
      </w:pPr>
      <w:r w:rsidRPr="00511005">
        <w:rPr>
          <w:rFonts w:ascii="Arial" w:eastAsia="Times New Roman" w:hAnsi="Arial" w:cs="Arial"/>
          <w:szCs w:val="28"/>
          <w:lang w:val="uk-UA"/>
        </w:rPr>
        <w:t xml:space="preserve">Ткаченко І.М. Вплив міжнародного антикорупційного співробітництва на діяльність НАБУ. </w:t>
      </w:r>
      <w:r w:rsidRPr="00511005">
        <w:rPr>
          <w:rFonts w:ascii="Arial" w:eastAsia="Times New Roman" w:hAnsi="Arial" w:cs="Arial"/>
          <w:i/>
          <w:szCs w:val="28"/>
          <w:lang w:val="uk-UA"/>
        </w:rPr>
        <w:t>Право і безпека</w:t>
      </w:r>
      <w:r w:rsidRPr="00511005">
        <w:rPr>
          <w:rFonts w:ascii="Arial" w:eastAsia="Times New Roman" w:hAnsi="Arial" w:cs="Arial"/>
          <w:szCs w:val="28"/>
          <w:lang w:val="uk-UA"/>
        </w:rPr>
        <w:t>. 2020. № 4. С. 112–117.</w:t>
      </w:r>
    </w:p>
    <w:p w14:paraId="3C2F2817" w14:textId="4AADFCF0" w:rsidR="00C10374" w:rsidRPr="00511005" w:rsidRDefault="00C10374" w:rsidP="003F6A5D">
      <w:pPr>
        <w:numPr>
          <w:ilvl w:val="0"/>
          <w:numId w:val="290"/>
        </w:numPr>
        <w:tabs>
          <w:tab w:val="left" w:pos="851"/>
        </w:tabs>
        <w:spacing w:line="264" w:lineRule="auto"/>
        <w:ind w:left="0" w:firstLine="567"/>
        <w:rPr>
          <w:rFonts w:ascii="Arial" w:eastAsia="Times New Roman" w:hAnsi="Arial" w:cs="Arial"/>
          <w:szCs w:val="28"/>
          <w:lang w:val="uk-UA"/>
        </w:rPr>
      </w:pPr>
      <w:r w:rsidRPr="00511005">
        <w:rPr>
          <w:rFonts w:ascii="Arial" w:eastAsia="Times New Roman" w:hAnsi="Arial" w:cs="Arial"/>
          <w:szCs w:val="28"/>
          <w:lang w:val="uk-UA"/>
        </w:rPr>
        <w:t xml:space="preserve">Литвин О.П. Антикорупційна інфраструктура України: стан, проблеми, перспективи. </w:t>
      </w:r>
      <w:r w:rsidRPr="00511005">
        <w:rPr>
          <w:rFonts w:ascii="Arial" w:eastAsia="Times New Roman" w:hAnsi="Arial" w:cs="Arial"/>
          <w:i/>
          <w:szCs w:val="28"/>
          <w:lang w:val="uk-UA"/>
        </w:rPr>
        <w:t>Державне управління та місцеве самоврядування</w:t>
      </w:r>
      <w:r w:rsidRPr="00511005">
        <w:rPr>
          <w:rFonts w:ascii="Arial" w:eastAsia="Times New Roman" w:hAnsi="Arial" w:cs="Arial"/>
          <w:szCs w:val="28"/>
          <w:lang w:val="uk-UA"/>
        </w:rPr>
        <w:t>, 2022. № 1.</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С. 88–94.</w:t>
      </w:r>
    </w:p>
    <w:p w14:paraId="7821C235" w14:textId="77777777" w:rsidR="00C10374" w:rsidRPr="00511005" w:rsidRDefault="00C10374" w:rsidP="003F6A5D">
      <w:pPr>
        <w:numPr>
          <w:ilvl w:val="0"/>
          <w:numId w:val="290"/>
        </w:numPr>
        <w:tabs>
          <w:tab w:val="left" w:pos="851"/>
        </w:tabs>
        <w:spacing w:line="264" w:lineRule="auto"/>
        <w:ind w:left="0" w:firstLine="567"/>
        <w:rPr>
          <w:rFonts w:ascii="Arial" w:eastAsia="Times New Roman" w:hAnsi="Arial" w:cs="Arial"/>
          <w:szCs w:val="28"/>
          <w:lang w:val="uk-UA"/>
        </w:rPr>
      </w:pPr>
      <w:r w:rsidRPr="00511005">
        <w:rPr>
          <w:rFonts w:ascii="Arial" w:eastAsia="Times New Roman" w:hAnsi="Arial" w:cs="Arial"/>
          <w:szCs w:val="28"/>
          <w:lang w:val="uk-UA"/>
        </w:rPr>
        <w:t xml:space="preserve">Хавронюк М.І. Реалізація державної антикорупційної політики: сучасний стан та виклики. </w:t>
      </w:r>
      <w:r w:rsidRPr="00511005">
        <w:rPr>
          <w:rFonts w:ascii="Arial" w:eastAsia="Times New Roman" w:hAnsi="Arial" w:cs="Arial"/>
          <w:i/>
          <w:szCs w:val="28"/>
          <w:lang w:val="uk-UA"/>
        </w:rPr>
        <w:t>Юридичний вісник України</w:t>
      </w:r>
      <w:r w:rsidRPr="00511005">
        <w:rPr>
          <w:rFonts w:ascii="Arial" w:eastAsia="Times New Roman" w:hAnsi="Arial" w:cs="Arial"/>
          <w:szCs w:val="28"/>
          <w:lang w:val="uk-UA"/>
        </w:rPr>
        <w:t>, 2021. № 5. С. 14–19.</w:t>
      </w:r>
    </w:p>
    <w:p w14:paraId="422472E0" w14:textId="77777777" w:rsidR="00C10374" w:rsidRPr="00511005" w:rsidRDefault="00C10374" w:rsidP="003F6A5D">
      <w:pPr>
        <w:numPr>
          <w:ilvl w:val="0"/>
          <w:numId w:val="290"/>
        </w:numPr>
        <w:tabs>
          <w:tab w:val="left" w:pos="851"/>
        </w:tabs>
        <w:spacing w:line="264" w:lineRule="auto"/>
        <w:ind w:left="0" w:firstLine="567"/>
        <w:rPr>
          <w:rFonts w:ascii="Arial" w:eastAsia="Times New Roman" w:hAnsi="Arial" w:cs="Arial"/>
          <w:szCs w:val="28"/>
          <w:lang w:val="uk-UA"/>
        </w:rPr>
      </w:pPr>
      <w:r w:rsidRPr="00511005">
        <w:rPr>
          <w:rFonts w:ascii="Arial" w:eastAsia="Times New Roman" w:hAnsi="Arial" w:cs="Arial"/>
          <w:szCs w:val="28"/>
          <w:lang w:val="uk-UA"/>
        </w:rPr>
        <w:t xml:space="preserve">Шевченко А.В. САП і НАБУ: аналіз ефективності взаємодії у сфері протидії корупції. </w:t>
      </w:r>
      <w:r w:rsidRPr="00511005">
        <w:rPr>
          <w:rFonts w:ascii="Arial" w:eastAsia="Times New Roman" w:hAnsi="Arial" w:cs="Arial"/>
          <w:i/>
          <w:szCs w:val="28"/>
          <w:lang w:val="uk-UA"/>
        </w:rPr>
        <w:t>Науковий вісник публічного та приватного права</w:t>
      </w:r>
      <w:r w:rsidRPr="00511005">
        <w:rPr>
          <w:rFonts w:ascii="Arial" w:eastAsia="Times New Roman" w:hAnsi="Arial" w:cs="Arial"/>
          <w:szCs w:val="28"/>
          <w:lang w:val="uk-UA"/>
        </w:rPr>
        <w:t>, 2023. № 2. С. 65–71.</w:t>
      </w:r>
    </w:p>
    <w:p w14:paraId="0B57CC87" w14:textId="77777777" w:rsidR="00C10374" w:rsidRPr="00511005" w:rsidRDefault="00C10374" w:rsidP="003A292D">
      <w:pPr>
        <w:tabs>
          <w:tab w:val="left" w:pos="851"/>
        </w:tabs>
        <w:spacing w:line="264" w:lineRule="auto"/>
        <w:ind w:left="567" w:firstLine="0"/>
        <w:rPr>
          <w:rFonts w:ascii="Arial" w:eastAsia="Times New Roman" w:hAnsi="Arial" w:cs="Arial"/>
          <w:szCs w:val="28"/>
          <w:lang w:val="uk-UA"/>
        </w:rPr>
      </w:pPr>
    </w:p>
    <w:p w14:paraId="424DFFA7" w14:textId="14BD44A0" w:rsidR="00C10374" w:rsidRPr="00511005" w:rsidRDefault="007B2628" w:rsidP="003A292D">
      <w:pPr>
        <w:spacing w:line="264" w:lineRule="auto"/>
        <w:ind w:firstLine="567"/>
        <w:rPr>
          <w:rFonts w:ascii="Arial" w:eastAsia="Times New Roman" w:hAnsi="Arial" w:cs="Arial"/>
          <w:szCs w:val="28"/>
          <w:lang w:val="uk-UA"/>
        </w:rPr>
      </w:pPr>
      <w:r w:rsidRPr="00511005">
        <w:rPr>
          <w:rFonts w:ascii="Arial" w:eastAsia="Times New Roman" w:hAnsi="Arial" w:cs="Arial"/>
          <w:b/>
          <w:bCs/>
          <w:i/>
          <w:szCs w:val="28"/>
          <w:lang w:val="uk-UA"/>
        </w:rPr>
        <w:lastRenderedPageBreak/>
        <w:t xml:space="preserve">Ключові слова: </w:t>
      </w:r>
      <w:r w:rsidR="00C10374" w:rsidRPr="00511005">
        <w:rPr>
          <w:rFonts w:ascii="Arial" w:eastAsia="Times New Roman" w:hAnsi="Arial" w:cs="Arial"/>
          <w:szCs w:val="28"/>
          <w:lang w:val="uk-UA"/>
        </w:rPr>
        <w:t xml:space="preserve">антикорупційна стратегія, САП, НАБУ, корупція, незалежність, розслідування, правова держава, реформи </w:t>
      </w:r>
    </w:p>
    <w:p w14:paraId="455594BE" w14:textId="58496C95" w:rsidR="00C10374" w:rsidRPr="00511005" w:rsidRDefault="007B2628" w:rsidP="003A292D">
      <w:pPr>
        <w:spacing w:line="264" w:lineRule="auto"/>
        <w:ind w:firstLine="567"/>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C10374" w:rsidRPr="00511005">
        <w:rPr>
          <w:rFonts w:ascii="Arial" w:eastAsia="Times New Roman" w:hAnsi="Arial" w:cs="Arial"/>
          <w:szCs w:val="28"/>
          <w:lang w:val="uk-UA"/>
        </w:rPr>
        <w:t>Anti-corruption strategy, SAPO, NABU, corruption, independence, investigation, rule of law, reforms</w:t>
      </w:r>
    </w:p>
    <w:p w14:paraId="7F380626" w14:textId="6129601A" w:rsidR="00C10374" w:rsidRPr="00511005" w:rsidRDefault="007B2628" w:rsidP="003A292D">
      <w:pPr>
        <w:keepNext/>
        <w:spacing w:line="264" w:lineRule="auto"/>
        <w:ind w:firstLine="567"/>
        <w:rPr>
          <w:rFonts w:ascii="Arial" w:eastAsia="Calibri" w:hAnsi="Arial" w:cs="Arial"/>
          <w:b/>
          <w:szCs w:val="28"/>
          <w:lang w:val="uk-UA"/>
        </w:rPr>
      </w:pPr>
      <w:r w:rsidRPr="00511005">
        <w:rPr>
          <w:rFonts w:ascii="Arial" w:eastAsia="Calibri" w:hAnsi="Arial" w:cs="Arial"/>
          <w:b/>
          <w:i/>
          <w:iCs/>
          <w:szCs w:val="28"/>
          <w:lang w:val="uk-UA"/>
        </w:rPr>
        <w:t xml:space="preserve">Науковий керівник: </w:t>
      </w:r>
      <w:r w:rsidR="00C10374" w:rsidRPr="00511005">
        <w:rPr>
          <w:rFonts w:ascii="Arial" w:eastAsia="Calibri" w:hAnsi="Arial" w:cs="Arial"/>
          <w:i/>
          <w:szCs w:val="28"/>
          <w:lang w:val="uk-UA"/>
        </w:rPr>
        <w:t>к.ю.н., доцент Кісліцина І.О.</w:t>
      </w:r>
    </w:p>
    <w:p w14:paraId="2350EACC" w14:textId="77777777" w:rsidR="00C10374" w:rsidRPr="00511005" w:rsidRDefault="00C10374" w:rsidP="003A292D">
      <w:pPr>
        <w:spacing w:line="264" w:lineRule="auto"/>
        <w:ind w:firstLine="0"/>
        <w:rPr>
          <w:rFonts w:ascii="Arial" w:eastAsia="Calibri" w:hAnsi="Arial" w:cs="Arial"/>
          <w:i/>
          <w:iCs/>
          <w:szCs w:val="28"/>
          <w:lang w:val="uk-UA"/>
        </w:rPr>
      </w:pPr>
    </w:p>
    <w:p w14:paraId="724C6BD9" w14:textId="77777777" w:rsidR="00C10374" w:rsidRPr="00511005" w:rsidRDefault="00C10374" w:rsidP="003A292D">
      <w:pPr>
        <w:spacing w:line="264" w:lineRule="auto"/>
        <w:ind w:firstLine="0"/>
        <w:rPr>
          <w:rFonts w:ascii="Arial" w:eastAsia="Calibri" w:hAnsi="Arial" w:cs="Arial"/>
          <w:szCs w:val="28"/>
          <w:lang w:val="uk-UA"/>
        </w:rPr>
      </w:pPr>
    </w:p>
    <w:p w14:paraId="38F813E8" w14:textId="77777777" w:rsidR="00C10374" w:rsidRPr="00511005" w:rsidRDefault="00C10374" w:rsidP="003A292D">
      <w:pPr>
        <w:snapToGrid w:val="0"/>
        <w:spacing w:line="264" w:lineRule="auto"/>
        <w:ind w:firstLine="567"/>
        <w:jc w:val="center"/>
        <w:rPr>
          <w:rFonts w:ascii="Arial" w:eastAsia="Times New Roman" w:hAnsi="Arial" w:cs="Arial"/>
          <w:b/>
          <w:i/>
          <w:iCs/>
          <w:szCs w:val="28"/>
          <w:lang w:val="uk-UA" w:eastAsia="uk-UA"/>
        </w:rPr>
      </w:pPr>
      <w:r w:rsidRPr="00511005">
        <w:rPr>
          <w:rFonts w:ascii="Arial" w:eastAsia="Times New Roman" w:hAnsi="Arial" w:cs="Arial"/>
          <w:b/>
          <w:i/>
          <w:iCs/>
          <w:szCs w:val="28"/>
          <w:lang w:val="uk-UA" w:eastAsia="uk-UA"/>
        </w:rPr>
        <w:t>Бобейко Неллі Ігорівна</w:t>
      </w:r>
    </w:p>
    <w:p w14:paraId="20207FE1" w14:textId="34C79D1F" w:rsidR="00C10374" w:rsidRPr="004A03EB" w:rsidRDefault="00C10374" w:rsidP="003A292D">
      <w:pPr>
        <w:snapToGrid w:val="0"/>
        <w:spacing w:line="264" w:lineRule="auto"/>
        <w:ind w:firstLine="567"/>
        <w:jc w:val="center"/>
        <w:rPr>
          <w:rFonts w:ascii="Arial" w:eastAsia="Calibri" w:hAnsi="Arial" w:cs="Arial"/>
          <w:szCs w:val="28"/>
          <w:lang w:val="uk-UA"/>
        </w:rPr>
      </w:pPr>
      <w:r w:rsidRPr="004A03EB">
        <w:rPr>
          <w:rFonts w:ascii="Arial" w:eastAsia="Calibri" w:hAnsi="Arial" w:cs="Arial"/>
          <w:szCs w:val="28"/>
          <w:lang w:val="uk-UA"/>
        </w:rPr>
        <w:t>студентк</w:t>
      </w:r>
      <w:r w:rsidR="004A03EB">
        <w:rPr>
          <w:rFonts w:ascii="Arial" w:eastAsia="Calibri" w:hAnsi="Arial" w:cs="Arial"/>
          <w:szCs w:val="28"/>
          <w:lang w:val="uk-UA"/>
        </w:rPr>
        <w:t>а</w:t>
      </w:r>
      <w:r w:rsidRPr="004A03EB">
        <w:rPr>
          <w:rFonts w:ascii="Arial" w:eastAsia="Calibri" w:hAnsi="Arial" w:cs="Arial"/>
          <w:szCs w:val="28"/>
          <w:lang w:val="uk-UA"/>
        </w:rPr>
        <w:t xml:space="preserve"> 1-го курсу </w:t>
      </w:r>
      <w:r w:rsidR="001B7B25" w:rsidRPr="004A03EB">
        <w:rPr>
          <w:rFonts w:ascii="Arial" w:eastAsia="Calibri" w:hAnsi="Arial" w:cs="Arial"/>
          <w:szCs w:val="28"/>
          <w:lang w:val="uk-UA"/>
        </w:rPr>
        <w:t>факультету судового та міжнародного права</w:t>
      </w:r>
    </w:p>
    <w:p w14:paraId="19D690FD" w14:textId="60BD3860" w:rsidR="00C10374" w:rsidRPr="004A03EB" w:rsidRDefault="007B2628" w:rsidP="003A292D">
      <w:pPr>
        <w:snapToGrid w:val="0"/>
        <w:spacing w:line="264" w:lineRule="auto"/>
        <w:ind w:firstLine="567"/>
        <w:jc w:val="center"/>
        <w:rPr>
          <w:rFonts w:ascii="Arial" w:eastAsia="Calibri" w:hAnsi="Arial" w:cs="Arial"/>
          <w:szCs w:val="28"/>
          <w:lang w:val="uk-UA"/>
        </w:rPr>
      </w:pPr>
      <w:r w:rsidRPr="004A03EB">
        <w:rPr>
          <w:rFonts w:ascii="Arial" w:eastAsia="Calibri" w:hAnsi="Arial" w:cs="Arial"/>
          <w:szCs w:val="28"/>
          <w:lang w:val="uk-UA"/>
        </w:rPr>
        <w:t>Національного університету «Одеська юридична академія»</w:t>
      </w:r>
    </w:p>
    <w:p w14:paraId="578500DE" w14:textId="77777777" w:rsidR="00C10374" w:rsidRPr="00511005" w:rsidRDefault="00C10374" w:rsidP="003A292D">
      <w:pPr>
        <w:snapToGrid w:val="0"/>
        <w:spacing w:line="264" w:lineRule="auto"/>
        <w:ind w:firstLine="567"/>
        <w:jc w:val="center"/>
        <w:rPr>
          <w:rFonts w:ascii="Arial" w:eastAsia="Calibri" w:hAnsi="Arial" w:cs="Arial"/>
          <w:i/>
          <w:iCs/>
          <w:szCs w:val="28"/>
          <w:lang w:val="uk-UA"/>
        </w:rPr>
      </w:pPr>
    </w:p>
    <w:p w14:paraId="247F1F04" w14:textId="77777777" w:rsidR="00C10374" w:rsidRPr="00511005" w:rsidRDefault="00C10374" w:rsidP="003A292D">
      <w:pPr>
        <w:snapToGrid w:val="0"/>
        <w:spacing w:line="264" w:lineRule="auto"/>
        <w:ind w:firstLine="567"/>
        <w:jc w:val="center"/>
        <w:rPr>
          <w:rFonts w:ascii="Arial" w:eastAsia="Calibri" w:hAnsi="Arial" w:cs="Arial"/>
          <w:b/>
          <w:szCs w:val="28"/>
          <w:lang w:val="uk-UA"/>
        </w:rPr>
      </w:pPr>
      <w:r w:rsidRPr="00511005">
        <w:rPr>
          <w:rFonts w:ascii="Arial" w:eastAsia="Calibri" w:hAnsi="Arial" w:cs="Arial"/>
          <w:b/>
          <w:szCs w:val="28"/>
          <w:lang w:val="uk-UA"/>
        </w:rPr>
        <w:t xml:space="preserve">ПРОБЛЕМИ НЕЗАЛЕЖНОСТІ СУДІВ В УКРАЇНІ: </w:t>
      </w:r>
    </w:p>
    <w:p w14:paraId="3BD5922D" w14:textId="77777777" w:rsidR="00C10374" w:rsidRPr="00511005" w:rsidRDefault="00C10374" w:rsidP="003A292D">
      <w:pPr>
        <w:snapToGrid w:val="0"/>
        <w:spacing w:line="264" w:lineRule="auto"/>
        <w:ind w:firstLine="567"/>
        <w:jc w:val="center"/>
        <w:rPr>
          <w:rFonts w:ascii="Arial" w:eastAsia="Calibri" w:hAnsi="Arial" w:cs="Arial"/>
          <w:b/>
          <w:szCs w:val="28"/>
          <w:lang w:val="uk-UA"/>
        </w:rPr>
      </w:pPr>
      <w:r w:rsidRPr="00511005">
        <w:rPr>
          <w:rFonts w:ascii="Arial" w:eastAsia="Calibri" w:hAnsi="Arial" w:cs="Arial"/>
          <w:b/>
          <w:szCs w:val="28"/>
          <w:lang w:val="uk-UA"/>
        </w:rPr>
        <w:t xml:space="preserve">ПРАВОВІ ТА ІНСТИТУЦІЙНІ АСПЕКТИ </w:t>
      </w:r>
    </w:p>
    <w:p w14:paraId="0B55AB42" w14:textId="77777777" w:rsidR="00C10374" w:rsidRPr="00511005" w:rsidRDefault="00C10374" w:rsidP="003A292D">
      <w:pPr>
        <w:snapToGrid w:val="0"/>
        <w:spacing w:line="264" w:lineRule="auto"/>
        <w:ind w:firstLine="567"/>
        <w:rPr>
          <w:rFonts w:ascii="Arial" w:eastAsia="Calibri" w:hAnsi="Arial" w:cs="Arial"/>
          <w:b/>
          <w:szCs w:val="28"/>
          <w:lang w:val="uk-UA"/>
        </w:rPr>
      </w:pPr>
    </w:p>
    <w:p w14:paraId="7097AD75" w14:textId="77777777" w:rsidR="00C10374" w:rsidRPr="00511005" w:rsidRDefault="00C10374" w:rsidP="003A292D">
      <w:pPr>
        <w:snapToGrid w:val="0"/>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‎Актуальністю дослідження цього питання полягає в тому, що без забезпечення відповідного рівня незалежності судів неможливе функціювання усієї судової системи та втілення основних принципів за якими вона будується, а саме: територіальності, інстанційності та спеціалізації. Досліджуючи незалежність суддів, В.О Скрипченко виокремлює два аспекти: зовнішній та внутрішній. Зовнішній аспект визначає місце суду у системі поділу влади та незалежність судді у прийняті рішень від усіх сторонніх осіб. Натомість, внутрішній полягає саме у незалежності від учасників судового процесу, голови суду тощо. По іншому розглядає зміст цього поняття Р.О. Куйбіда, який виокремлює два рівня незалежності суддів інституційний та індивідуальний. На інституційному рівні він розглядає судів у здійсненні правосуддя, тобто незалежність усієї судової влади насамперед на посягання інших гілок. А на індивідуальному сутність незалежності суддів проявляється спроможністю приймати рішення відповідно до вимог законодавства без спроб підкупу,тиску та посягання у процес сторонніх осіб [1,с.154-155].</w:t>
      </w:r>
    </w:p>
    <w:p w14:paraId="05E66156" w14:textId="77777777" w:rsidR="00C10374" w:rsidRPr="00511005" w:rsidRDefault="00C10374" w:rsidP="003A292D">
      <w:pPr>
        <w:snapToGrid w:val="0"/>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‎Варто зазначити те, що прийняття нового закону про судоустрій в 2016 році внаслідок реформи позитивно вплинуло на рівень довіри населення до судової влади. Якщо порівняти рівень довіри відповідно до даних Програми USAID ‎ "Нове правосуддя" то можна помітити, що в 2015 році лише 5 % респондентів частково або повністю довіряли судовій владі. Натомість у 2018 році рівень довіри вже становив 16 %. </w:t>
      </w:r>
    </w:p>
    <w:p w14:paraId="7230CF38" w14:textId="77777777" w:rsidR="00C10374" w:rsidRPr="00511005" w:rsidRDefault="00C10374" w:rsidP="003A292D">
      <w:pPr>
        <w:snapToGrid w:val="0"/>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‎Наступною проблемою є великий рівень корупції в судовій системі. Зумовлюється це тим, що дуже мала кількість суддів притягується до відповідальності за кримінальні правопорушення. </w:t>
      </w:r>
    </w:p>
    <w:p w14:paraId="558A9346" w14:textId="5EFAB89A" w:rsidR="00C10374" w:rsidRPr="00511005" w:rsidRDefault="00C10374" w:rsidP="003A292D">
      <w:pPr>
        <w:snapToGrid w:val="0"/>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Правовий аспект незалежності судів насамперед закріплений в Конституції України, Законі України «Про судоустрій і статус суддів», Закон України «Про державний захист працівників суду і правоохоронних органів». </w:t>
      </w:r>
      <w:r w:rsidRPr="00511005">
        <w:rPr>
          <w:rFonts w:ascii="Arial" w:eastAsia="Times New Roman" w:hAnsi="Arial" w:cs="Arial"/>
          <w:szCs w:val="28"/>
          <w:lang w:val="uk-UA"/>
        </w:rPr>
        <w:lastRenderedPageBreak/>
        <w:t>Саме в цих нормативно-правових актах закріплено основні напрямки діяльності держави із</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забезпечення незалежності судів. ‎Так, стаття 126 Конституційному України гарантує незалежність і недоторканність судді, забороняє вплив на суддю у будь-який спосіб. Крім того, суддю не може бути затримано, утримувано під вартою чи арештом до винесення обвинувального акту судом без згоди Вищої ради правосуддя, окрім випадків</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коли суддю затримано під час</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або після скоєння особливо тяжкого злочину.З однієї сторони це захищає від посягань на незалежність суддів інших гілок судової влади, проте така конституційна гарантія ускладнює процедуру боротьби з корупцією у судах.</w:t>
      </w:r>
    </w:p>
    <w:p w14:paraId="4040CF0E" w14:textId="77777777" w:rsidR="00C10374" w:rsidRPr="00511005" w:rsidRDefault="00C10374" w:rsidP="003A292D">
      <w:pPr>
        <w:snapToGrid w:val="0"/>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Крім того, на незалежність роботи суду впливає організаційне забезпечення. Держава в цьому аспекті виступає гарантом у фінансовому забезпеченні судів та суддів. Недостатнє фінансування судів ставить під загрозу їх незалежніст. </w:t>
      </w:r>
    </w:p>
    <w:p w14:paraId="115411C6" w14:textId="77777777" w:rsidR="00C10374" w:rsidRPr="00511005" w:rsidRDefault="00C10374" w:rsidP="003A292D">
      <w:pPr>
        <w:snapToGrid w:val="0"/>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ab/>
        <w:t xml:space="preserve">Отже, в ході дослідження було визначено основні аспекти незалежності судової влади через призму незалежності суддів, їх захисту та фінансуванню зі сторони держави. </w:t>
      </w:r>
    </w:p>
    <w:p w14:paraId="613A898E" w14:textId="77777777" w:rsidR="00C10374" w:rsidRPr="00511005" w:rsidRDefault="00C10374" w:rsidP="003A292D">
      <w:pPr>
        <w:snapToGrid w:val="0"/>
        <w:spacing w:line="264" w:lineRule="auto"/>
        <w:ind w:firstLine="567"/>
        <w:rPr>
          <w:rFonts w:ascii="Arial" w:eastAsia="Times New Roman" w:hAnsi="Arial" w:cs="Arial"/>
          <w:b/>
          <w:bCs/>
          <w:i/>
          <w:iCs/>
          <w:szCs w:val="28"/>
          <w:lang w:val="uk-UA"/>
        </w:rPr>
      </w:pPr>
    </w:p>
    <w:p w14:paraId="1DBC085F" w14:textId="0B2776D7" w:rsidR="00C10374" w:rsidRPr="00511005" w:rsidRDefault="007B2628" w:rsidP="007B2628">
      <w:pPr>
        <w:snapToGrid w:val="0"/>
        <w:spacing w:line="264" w:lineRule="auto"/>
        <w:ind w:firstLine="567"/>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Список використаних джерел</w:t>
      </w:r>
    </w:p>
    <w:p w14:paraId="3562C492" w14:textId="77777777" w:rsidR="007B2628" w:rsidRPr="00511005" w:rsidRDefault="00C10374" w:rsidP="003A292D">
      <w:pPr>
        <w:snapToGrid w:val="0"/>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1.Куйбіда Р.О. Реформування правосуддя в Україні: стан і перспективи: Монографія. К.: Атіка, 2004. 288 с. </w:t>
      </w:r>
    </w:p>
    <w:p w14:paraId="166751EE" w14:textId="172D0698" w:rsidR="00C10374" w:rsidRPr="00511005" w:rsidRDefault="00C10374" w:rsidP="003A292D">
      <w:pPr>
        <w:snapToGrid w:val="0"/>
        <w:spacing w:line="264" w:lineRule="auto"/>
        <w:ind w:firstLine="567"/>
        <w:rPr>
          <w:rFonts w:ascii="Arial" w:eastAsia="Calibri" w:hAnsi="Arial" w:cs="Arial"/>
          <w:szCs w:val="28"/>
          <w:lang w:val="uk-UA"/>
        </w:rPr>
      </w:pPr>
      <w:r w:rsidRPr="00511005">
        <w:rPr>
          <w:rFonts w:ascii="Arial" w:eastAsia="Calibri" w:hAnsi="Arial" w:cs="Arial"/>
          <w:szCs w:val="28"/>
          <w:lang w:val="uk-UA"/>
        </w:rPr>
        <w:t>‎</w:t>
      </w:r>
    </w:p>
    <w:p w14:paraId="14BECF96" w14:textId="291B60CF" w:rsidR="00C10374" w:rsidRPr="00511005" w:rsidRDefault="007B2628" w:rsidP="003A292D">
      <w:pPr>
        <w:snapToGrid w:val="0"/>
        <w:spacing w:line="264" w:lineRule="auto"/>
        <w:ind w:firstLine="567"/>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суд, система судоустрю, незалежність суддів, організаційне забезпечення діяльності судів</w:t>
      </w:r>
    </w:p>
    <w:p w14:paraId="772E62D7" w14:textId="4E6D0E33" w:rsidR="00C10374" w:rsidRPr="00511005" w:rsidRDefault="007B2628" w:rsidP="003A292D">
      <w:pPr>
        <w:snapToGrid w:val="0"/>
        <w:spacing w:line="264" w:lineRule="auto"/>
        <w:ind w:firstLine="567"/>
        <w:rPr>
          <w:rFonts w:ascii="Arial" w:eastAsia="Calibri" w:hAnsi="Arial" w:cs="Arial"/>
          <w:szCs w:val="28"/>
          <w:lang w:val="en-US"/>
        </w:rPr>
      </w:pPr>
      <w:r w:rsidRPr="00511005">
        <w:rPr>
          <w:rFonts w:ascii="Arial" w:eastAsia="Calibri" w:hAnsi="Arial" w:cs="Arial"/>
          <w:b/>
          <w:i/>
          <w:szCs w:val="28"/>
          <w:lang w:val="en-US"/>
        </w:rPr>
        <w:t xml:space="preserve">Key words: </w:t>
      </w:r>
      <w:r w:rsidR="00C10374" w:rsidRPr="00511005">
        <w:rPr>
          <w:rFonts w:ascii="Arial" w:eastAsia="Calibri" w:hAnsi="Arial" w:cs="Arial"/>
          <w:szCs w:val="28"/>
          <w:lang w:val="en-US"/>
        </w:rPr>
        <w:t>court, judicial system, independence of judges, organization support of judicial activities</w:t>
      </w:r>
    </w:p>
    <w:p w14:paraId="4992B888" w14:textId="632576B4" w:rsidR="00C10374" w:rsidRPr="00511005" w:rsidRDefault="007B2628" w:rsidP="003A292D">
      <w:pPr>
        <w:snapToGrid w:val="0"/>
        <w:spacing w:line="264" w:lineRule="auto"/>
        <w:ind w:firstLine="567"/>
        <w:jc w:val="left"/>
        <w:rPr>
          <w:rFonts w:ascii="Arial" w:eastAsia="Times New Roman" w:hAnsi="Arial" w:cs="Arial"/>
          <w:bCs/>
          <w:i/>
          <w:szCs w:val="28"/>
          <w:lang w:val="uk-UA" w:eastAsia="ru-RU"/>
        </w:rPr>
      </w:pPr>
      <w:r w:rsidRPr="00511005">
        <w:rPr>
          <w:rFonts w:ascii="Arial" w:eastAsia="Times New Roman" w:hAnsi="Arial" w:cs="Arial"/>
          <w:b/>
          <w:i/>
          <w:iCs/>
          <w:szCs w:val="28"/>
          <w:lang w:val="uk-UA" w:eastAsia="uk-UA"/>
        </w:rPr>
        <w:t xml:space="preserve">Науковий керівник: </w:t>
      </w:r>
      <w:r w:rsidR="00C10374" w:rsidRPr="00511005">
        <w:rPr>
          <w:rFonts w:ascii="Arial" w:eastAsia="Times New Roman" w:hAnsi="Arial" w:cs="Arial"/>
          <w:i/>
          <w:szCs w:val="28"/>
          <w:lang w:val="uk-UA" w:eastAsia="ru-RU"/>
        </w:rPr>
        <w:t xml:space="preserve">к.ю.н., доцент </w:t>
      </w:r>
      <w:r w:rsidR="00C10374" w:rsidRPr="00511005">
        <w:rPr>
          <w:rFonts w:ascii="Arial" w:eastAsia="Times New Roman" w:hAnsi="Arial" w:cs="Arial"/>
          <w:bCs/>
          <w:i/>
          <w:szCs w:val="28"/>
          <w:lang w:val="uk-UA" w:eastAsia="ru-RU"/>
        </w:rPr>
        <w:t>Кравченко М. О.</w:t>
      </w:r>
    </w:p>
    <w:p w14:paraId="1CBE1EF0" w14:textId="77777777" w:rsidR="00C10374" w:rsidRPr="00511005" w:rsidRDefault="00C10374" w:rsidP="003A292D">
      <w:pPr>
        <w:snapToGrid w:val="0"/>
        <w:spacing w:line="264" w:lineRule="auto"/>
        <w:ind w:firstLine="0"/>
        <w:jc w:val="left"/>
        <w:rPr>
          <w:rFonts w:ascii="Arial" w:eastAsia="Times New Roman" w:hAnsi="Arial" w:cs="Arial"/>
          <w:bCs/>
          <w:i/>
          <w:szCs w:val="28"/>
          <w:lang w:val="uk-UA" w:eastAsia="ru-RU"/>
        </w:rPr>
      </w:pPr>
    </w:p>
    <w:p w14:paraId="44B59562" w14:textId="77777777" w:rsidR="00C10374" w:rsidRPr="00511005" w:rsidRDefault="00C10374" w:rsidP="003A292D">
      <w:pPr>
        <w:snapToGrid w:val="0"/>
        <w:spacing w:line="264" w:lineRule="auto"/>
        <w:ind w:firstLine="0"/>
        <w:jc w:val="left"/>
        <w:rPr>
          <w:rFonts w:ascii="Arial" w:eastAsia="Times New Roman" w:hAnsi="Arial" w:cs="Arial"/>
          <w:bCs/>
          <w:i/>
          <w:szCs w:val="28"/>
          <w:lang w:val="uk-UA" w:eastAsia="ru-RU"/>
        </w:rPr>
      </w:pPr>
    </w:p>
    <w:p w14:paraId="0C44AC83" w14:textId="77777777" w:rsidR="00C10374" w:rsidRPr="00511005" w:rsidRDefault="00C10374" w:rsidP="003A292D">
      <w:pPr>
        <w:snapToGrid w:val="0"/>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Бойко Дар’я Юріївна</w:t>
      </w:r>
    </w:p>
    <w:p w14:paraId="419AD44A" w14:textId="292ABC24" w:rsidR="00C10374" w:rsidRPr="00511005" w:rsidRDefault="00BE3972" w:rsidP="003A292D">
      <w:pPr>
        <w:snapToGrid w:val="0"/>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p>
    <w:p w14:paraId="6BCEE549" w14:textId="6F6D902C" w:rsidR="00C10374" w:rsidRPr="00511005" w:rsidRDefault="007B2628" w:rsidP="003A292D">
      <w:pPr>
        <w:snapToGrid w:val="0"/>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7B3F0984" w14:textId="77777777" w:rsidR="00C10374" w:rsidRPr="00511005" w:rsidRDefault="00C10374" w:rsidP="003A292D">
      <w:pPr>
        <w:snapToGrid w:val="0"/>
        <w:spacing w:line="264" w:lineRule="auto"/>
        <w:ind w:firstLine="0"/>
        <w:jc w:val="center"/>
        <w:rPr>
          <w:rFonts w:ascii="Arial" w:eastAsia="Calibri" w:hAnsi="Arial" w:cs="Arial"/>
          <w:szCs w:val="28"/>
          <w:lang w:val="uk-UA"/>
        </w:rPr>
      </w:pPr>
    </w:p>
    <w:p w14:paraId="3C5D11A7" w14:textId="77777777" w:rsidR="00C10374" w:rsidRPr="00511005" w:rsidRDefault="00C10374" w:rsidP="003A292D">
      <w:pPr>
        <w:snapToGrid w:val="0"/>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 xml:space="preserve">ВЗАЄМОДІЯ НАЦІОНАЛЬНОГО АНТИКОРУПЦІЙНОГО БЮРО УКРАЇНИ З ІНШИМИ ОРГАНАМИ ТА СУДАМИ </w:t>
      </w:r>
    </w:p>
    <w:p w14:paraId="597B0184" w14:textId="77777777" w:rsidR="00C10374" w:rsidRPr="00511005" w:rsidRDefault="00C10374" w:rsidP="003A292D">
      <w:pPr>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Взаємодія Національного антикорупційного бюро України (НАБУ) з іншими правоохоронними органами та судами є ключовим елементом у системі боротьби з корупцією. У сучасних умовах вона набуває особливої актуальності, оскільки протидія корупції є одним з пріоритетів державної політики. </w:t>
      </w:r>
    </w:p>
    <w:p w14:paraId="5EF61A97" w14:textId="77777777" w:rsidR="00C10374" w:rsidRPr="00511005" w:rsidRDefault="00C10374" w:rsidP="003A292D">
      <w:pPr>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t>Розслідування корупційних злочинів вимагає тісної взаємодії між різними суб’єктами, що здійснюють досудове та судове розслідування.</w:t>
      </w:r>
    </w:p>
    <w:p w14:paraId="2266F371" w14:textId="77777777" w:rsidR="00C10374" w:rsidRPr="00511005" w:rsidRDefault="00C10374" w:rsidP="003A292D">
      <w:pPr>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Відповідно до Закону України «Про Національне антикорупційне бюро України» №1698-18, НАБУ є центральним органом виконавчої влади зі спеціальним статусом, що здійснює запобігання, виявлення, припинення, розслідування та розкриття корупційних та інших кримінальних правопорушень, віднесених до його підслідності [1].</w:t>
      </w:r>
    </w:p>
    <w:p w14:paraId="6295EEB2" w14:textId="77777777" w:rsidR="00C10374" w:rsidRPr="00511005" w:rsidRDefault="00C10374" w:rsidP="003A292D">
      <w:pPr>
        <w:snapToGrid w:val="0"/>
        <w:spacing w:line="264" w:lineRule="auto"/>
        <w:ind w:firstLine="0"/>
        <w:rPr>
          <w:rFonts w:ascii="Arial" w:eastAsia="Calibri" w:hAnsi="Arial" w:cs="Arial"/>
          <w:szCs w:val="28"/>
          <w:lang w:val="uk-UA"/>
        </w:rPr>
      </w:pPr>
      <w:r w:rsidRPr="00511005">
        <w:rPr>
          <w:rFonts w:ascii="Arial" w:eastAsia="Calibri" w:hAnsi="Arial" w:cs="Arial"/>
          <w:szCs w:val="28"/>
          <w:shd w:val="clear" w:color="auto" w:fill="FFFFFF"/>
          <w:lang w:val="uk-UA"/>
        </w:rPr>
        <w:t>Стаття 19</w:t>
      </w:r>
      <w:r w:rsidRPr="00511005">
        <w:rPr>
          <w:rFonts w:ascii="Arial" w:eastAsia="Calibri" w:hAnsi="Arial" w:cs="Arial"/>
          <w:szCs w:val="28"/>
          <w:shd w:val="clear" w:color="auto" w:fill="FFFFFF"/>
          <w:vertAlign w:val="superscript"/>
          <w:lang w:val="uk-UA"/>
        </w:rPr>
        <w:t xml:space="preserve">-1 </w:t>
      </w:r>
      <w:r w:rsidRPr="00511005">
        <w:rPr>
          <w:rFonts w:ascii="Arial" w:eastAsia="Calibri" w:hAnsi="Arial" w:cs="Arial"/>
          <w:szCs w:val="28"/>
          <w:lang w:val="uk-UA"/>
        </w:rPr>
        <w:t>Закону України про «Про Національне бюро України» зазначає, що для ефективної взаємодії Національного бюро з органами внутрішніх справ, Службою безпеки України та іншими правоохоронними органами в їхніх центральних апаратах передбачено окремі посади, відповідальні за комунікацію з Бюро. Обмін оперативною інформацією щодо спільних заходів відбувається винятково на підставі письмового наказу керівників відповідних підрозділів. Умови та порядок такого обміну регламентуються спільним нормативно-правовим актом між Національним бюро та цими органами. Передача оперативної інформації з боку Національного бюро відбувається лише за письмовим наказом керівника відповідного підрозділу Бюро [2].</w:t>
      </w:r>
    </w:p>
    <w:p w14:paraId="2CF308CB" w14:textId="77777777" w:rsidR="00C10374" w:rsidRPr="00511005" w:rsidRDefault="00C10374" w:rsidP="003A292D">
      <w:pPr>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t>Одним із важливих напрямів діяльності НАБУ є співпраця з Спеціалізованою антикорупційною прокуратурою (САП). Згідно з Кримінальним процесуальним кодексом України, САП є процесуальним керівником у справах, розслідуваних НАБУ. НАБУ проводить розслідування та збирає докази, а САП перевіряє їх і затверджує обвинувальні акти, надає консультації з тактики розслідувань. Взаємодія між НАБУ та САП здійснюється через регулярні наради та робочі зустрічі, що сприяє ефективному і швидкому розслідуванню [3].</w:t>
      </w:r>
    </w:p>
    <w:p w14:paraId="02A51D54" w14:textId="77777777" w:rsidR="00C10374" w:rsidRPr="00511005" w:rsidRDefault="00C10374" w:rsidP="003A292D">
      <w:pPr>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t>За потреби Національне антикорупційне бюро України взаємодіє з іншими правоохоронними органами, такими як Державне бюро розслідувань, Служба безпеки України та Національна поліція України. Наприклад, у справах, де присутні елементи державної зради або контрабанди, НАБУ може залучати Службу безпеки України для збору відомостей про здійснення оперативно-розшукових заходів. У подібних випадках координація між цими структурами дозволяє обмінюватись даними та спільно виявляти порушення.</w:t>
      </w:r>
    </w:p>
    <w:p w14:paraId="1362E13B" w14:textId="77777777" w:rsidR="00C10374" w:rsidRPr="00511005" w:rsidRDefault="00C10374" w:rsidP="003A292D">
      <w:pPr>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t>Взаємодія НАБУ з судовою системою є важливим складником забезпечення справедливості та ефективності боротьби з корупцією в Україні. Головні аспекти цієї взаємодії включають як процесуальні етапи, так і вирішення питань, що постають під час розгляду справ, переданих до суду.</w:t>
      </w:r>
    </w:p>
    <w:p w14:paraId="53675360" w14:textId="77777777" w:rsidR="00C10374" w:rsidRPr="00511005" w:rsidRDefault="00C10374" w:rsidP="003A292D">
      <w:pPr>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t>Важливою складовою судової взаємодії є Спеціалізований антикорупційний суд України (ВАКС), який був створений для розгляду справ, пов'язаних з корупцією серед високопосадовців. ВАКС є частиною судової реформи, спрямованої на боротьбу з корупцією. У його юрисдикції знаходяться справи, розслідувані НАБУ, і саме цей суд має повноваження приймати рішення по обвинуваченнях, висунутих НАБУ та САП.</w:t>
      </w:r>
    </w:p>
    <w:p w14:paraId="3DF66A88" w14:textId="77777777" w:rsidR="00C10374" w:rsidRPr="00511005" w:rsidRDefault="00C10374" w:rsidP="003A292D">
      <w:pPr>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Згідно з Законом України «Про Вищий антикорупційний суд» та іншими нормативними актами, НАБУ разом з САП надають суду матеріали розслідувань, які є основою обвинувачення. Суд, у свою чергу, виносить рішення щодо обрання запобіжних заходів, розгляду обвинувальних актів, а також вирішення питання про правомірність доказів, зібраних у ході розслідування [2].</w:t>
      </w:r>
    </w:p>
    <w:p w14:paraId="3161C963" w14:textId="77777777" w:rsidR="00C10374" w:rsidRPr="00511005" w:rsidRDefault="00C10374" w:rsidP="003A292D">
      <w:pPr>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t>Взаємодія Національного антикорупційного бюро України з іншими правоохоронними органами та судами є важливим чинником ефективної боротьби з корупцією. У сучасних умовах, коли корупція становить загрозу національній безпеці та розвитку держави, така співпраця набуває особливої ваги. Роль НАБУ як спеціалізованого органу реалізується через тісну координацію з Спеціалізованою антикорупційною прокуратурою, Вищим антикорупційним судом, Національною поліцією, Службою безпеки України та іншими структурами. Така взаємодія не лише підвищує ефективність розслідувань, а й сприяє зміцненню довіри громадськості до правоохоронної та судової системи, що є необхідною умовою демократичного розвитку та євроінтеграції України.</w:t>
      </w:r>
    </w:p>
    <w:p w14:paraId="0F77969C" w14:textId="77777777" w:rsidR="00C10374" w:rsidRPr="00511005" w:rsidRDefault="00C10374" w:rsidP="003A292D">
      <w:pPr>
        <w:snapToGrid w:val="0"/>
        <w:spacing w:line="264" w:lineRule="auto"/>
        <w:ind w:firstLine="0"/>
        <w:jc w:val="center"/>
        <w:rPr>
          <w:rFonts w:ascii="Arial" w:eastAsia="Calibri" w:hAnsi="Arial" w:cs="Arial"/>
          <w:b/>
          <w:bCs/>
          <w:szCs w:val="28"/>
          <w:lang w:val="uk-UA"/>
        </w:rPr>
      </w:pPr>
    </w:p>
    <w:p w14:paraId="79D9A89F" w14:textId="16A925B0" w:rsidR="00C10374" w:rsidRPr="00511005" w:rsidRDefault="007B2628" w:rsidP="007B2628">
      <w:pPr>
        <w:snapToGrid w:val="0"/>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2E26E6AE" w14:textId="77777777" w:rsidR="00C10374" w:rsidRPr="00511005" w:rsidRDefault="00C10374" w:rsidP="003F6A5D">
      <w:pPr>
        <w:numPr>
          <w:ilvl w:val="0"/>
          <w:numId w:val="291"/>
        </w:numPr>
        <w:snapToGrid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Зміст та принципи діяльності НАБУ. </w:t>
      </w:r>
      <w:r w:rsidRPr="00511005">
        <w:rPr>
          <w:rFonts w:ascii="Arial" w:eastAsia="Times New Roman" w:hAnsi="Arial" w:cs="Arial"/>
          <w:i/>
          <w:iCs/>
          <w:szCs w:val="28"/>
          <w:lang w:val="uk-UA" w:eastAsia="ru-RU"/>
        </w:rPr>
        <w:t>Вебсайт</w:t>
      </w:r>
      <w:r w:rsidRPr="00511005">
        <w:rPr>
          <w:rFonts w:ascii="Arial" w:eastAsia="Times New Roman" w:hAnsi="Arial" w:cs="Arial"/>
          <w:szCs w:val="28"/>
          <w:lang w:val="uk-UA" w:eastAsia="ru-RU"/>
        </w:rPr>
        <w:t xml:space="preserve"> </w:t>
      </w:r>
      <w:r w:rsidRPr="00511005">
        <w:rPr>
          <w:rFonts w:ascii="Arial" w:eastAsia="Times New Roman" w:hAnsi="Arial" w:cs="Arial"/>
          <w:i/>
          <w:iCs/>
          <w:szCs w:val="28"/>
          <w:lang w:val="uk-UA" w:eastAsia="ru-RU"/>
        </w:rPr>
        <w:t>Національного антикорупційного бюро України.</w:t>
      </w:r>
      <w:r w:rsidRPr="00511005">
        <w:rPr>
          <w:rFonts w:ascii="Arial" w:eastAsia="Times New Roman" w:hAnsi="Arial" w:cs="Arial"/>
          <w:szCs w:val="28"/>
          <w:lang w:val="uk-UA" w:eastAsia="ru-RU"/>
        </w:rPr>
        <w:t xml:space="preserve"> URL: </w:t>
      </w:r>
      <w:hyperlink r:id="rId1065" w:history="1">
        <w:r w:rsidRPr="00511005">
          <w:rPr>
            <w:rFonts w:ascii="Arial" w:eastAsia="Times New Roman" w:hAnsi="Arial" w:cs="Arial"/>
            <w:szCs w:val="28"/>
            <w:lang w:val="uk-UA" w:eastAsia="ru-RU"/>
          </w:rPr>
          <w:t>https://nabu.gov.ua/about-the-bureau/zasadi-roboti/zmist-ta-pryncypy-diyalnosti/</w:t>
        </w:r>
      </w:hyperlink>
      <w:r w:rsidRPr="00511005">
        <w:rPr>
          <w:rFonts w:ascii="Arial" w:eastAsia="Times New Roman" w:hAnsi="Arial" w:cs="Arial"/>
          <w:szCs w:val="28"/>
          <w:lang w:val="uk-UA" w:eastAsia="ru-RU"/>
        </w:rPr>
        <w:t xml:space="preserve"> </w:t>
      </w:r>
    </w:p>
    <w:p w14:paraId="256C720F" w14:textId="77777777" w:rsidR="00C10374" w:rsidRPr="00511005" w:rsidRDefault="00C10374" w:rsidP="003F6A5D">
      <w:pPr>
        <w:numPr>
          <w:ilvl w:val="0"/>
          <w:numId w:val="291"/>
        </w:numPr>
        <w:snapToGrid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 Національне антикорупційне бюро України: Закон України від 14 жовтня 2014 р. № 1698-</w:t>
      </w:r>
      <w:r w:rsidRPr="00511005">
        <w:rPr>
          <w:rFonts w:ascii="Arial" w:eastAsia="Times New Roman" w:hAnsi="Arial" w:cs="Arial"/>
          <w:szCs w:val="28"/>
          <w:shd w:val="clear" w:color="auto" w:fill="FFFFFF"/>
          <w:lang w:val="uk-UA" w:eastAsia="ru-RU"/>
        </w:rPr>
        <w:t xml:space="preserve">VII. URL: </w:t>
      </w:r>
      <w:hyperlink r:id="rId1066" w:anchor="n561" w:history="1">
        <w:r w:rsidRPr="00511005">
          <w:rPr>
            <w:rFonts w:ascii="Arial" w:eastAsia="Times New Roman" w:hAnsi="Arial" w:cs="Arial"/>
            <w:szCs w:val="28"/>
            <w:shd w:val="clear" w:color="auto" w:fill="FFFFFF"/>
            <w:lang w:val="uk-UA" w:eastAsia="ru-RU"/>
          </w:rPr>
          <w:t>https://zakon.rada.gov.ua/laws/show/1698-18#n561</w:t>
        </w:r>
      </w:hyperlink>
      <w:r w:rsidRPr="00511005">
        <w:rPr>
          <w:rFonts w:ascii="Arial" w:eastAsia="Times New Roman" w:hAnsi="Arial" w:cs="Arial"/>
          <w:szCs w:val="28"/>
          <w:shd w:val="clear" w:color="auto" w:fill="FFFFFF"/>
          <w:lang w:val="uk-UA" w:eastAsia="ru-RU"/>
        </w:rPr>
        <w:t xml:space="preserve"> </w:t>
      </w:r>
    </w:p>
    <w:p w14:paraId="4C6082EA" w14:textId="77777777" w:rsidR="00C10374" w:rsidRPr="00511005" w:rsidRDefault="00C10374" w:rsidP="003F6A5D">
      <w:pPr>
        <w:numPr>
          <w:ilvl w:val="0"/>
          <w:numId w:val="291"/>
        </w:numPr>
        <w:snapToGrid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Національне антикорупційне бюро України: офіційний вебсайт. URL: </w:t>
      </w:r>
      <w:hyperlink r:id="rId1067" w:history="1">
        <w:r w:rsidRPr="00511005">
          <w:rPr>
            <w:rFonts w:ascii="Arial" w:eastAsia="Times New Roman" w:hAnsi="Arial" w:cs="Arial"/>
            <w:szCs w:val="28"/>
            <w:lang w:val="uk-UA" w:eastAsia="ru-RU"/>
          </w:rPr>
          <w:t>https://nabu.gov.ua/</w:t>
        </w:r>
      </w:hyperlink>
      <w:r w:rsidRPr="00511005">
        <w:rPr>
          <w:rFonts w:ascii="Arial" w:eastAsia="Times New Roman" w:hAnsi="Arial" w:cs="Arial"/>
          <w:szCs w:val="28"/>
          <w:lang w:val="uk-UA" w:eastAsia="ru-RU"/>
        </w:rPr>
        <w:t xml:space="preserve"> </w:t>
      </w:r>
    </w:p>
    <w:p w14:paraId="2D8B2034" w14:textId="77777777" w:rsidR="00C10374" w:rsidRPr="00511005" w:rsidRDefault="00C10374" w:rsidP="003A292D">
      <w:pPr>
        <w:snapToGrid w:val="0"/>
        <w:spacing w:line="264" w:lineRule="auto"/>
        <w:ind w:left="644" w:firstLine="0"/>
        <w:jc w:val="left"/>
        <w:rPr>
          <w:rFonts w:ascii="Arial" w:eastAsia="Times New Roman" w:hAnsi="Arial" w:cs="Arial"/>
          <w:szCs w:val="28"/>
          <w:lang w:val="uk-UA" w:eastAsia="ru-RU"/>
        </w:rPr>
      </w:pPr>
    </w:p>
    <w:p w14:paraId="4D5F3286" w14:textId="167FD673" w:rsidR="00C10374" w:rsidRPr="00511005" w:rsidRDefault="007B2628" w:rsidP="003A292D">
      <w:pPr>
        <w:snapToGrid w:val="0"/>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0374" w:rsidRPr="00511005">
        <w:rPr>
          <w:rFonts w:ascii="Arial" w:eastAsia="Calibri" w:hAnsi="Arial" w:cs="Arial"/>
          <w:szCs w:val="28"/>
          <w:lang w:val="uk-UA"/>
        </w:rPr>
        <w:t xml:space="preserve">корупція, протидія корупції, антикорупційні органи, Спеціалізована антикорупційна прокуратура, Вищий антикорупційний суд, Національне антикорупційне бюро </w:t>
      </w:r>
    </w:p>
    <w:p w14:paraId="58220B08" w14:textId="05228CBB" w:rsidR="00C10374" w:rsidRPr="00511005" w:rsidRDefault="007B2628" w:rsidP="003A292D">
      <w:pPr>
        <w:snapToGrid w:val="0"/>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Key words: </w:t>
      </w:r>
      <w:r w:rsidR="00C10374" w:rsidRPr="00511005">
        <w:rPr>
          <w:rFonts w:ascii="Arial" w:eastAsia="Calibri" w:hAnsi="Arial" w:cs="Arial"/>
          <w:szCs w:val="28"/>
          <w:lang w:val="uk-UA"/>
        </w:rPr>
        <w:t>corruption, combating corruption, anti-corruption agencies, Specialized Anti-Corruption Prosecutor’s Office, High Anti-Corruption Court, National Anti-Corruption Bureau.</w:t>
      </w:r>
    </w:p>
    <w:p w14:paraId="2D0E0F45" w14:textId="77777777" w:rsidR="00C10374" w:rsidRPr="00511005" w:rsidRDefault="00C10374" w:rsidP="003A292D">
      <w:pPr>
        <w:snapToGrid w:val="0"/>
        <w:spacing w:line="264" w:lineRule="auto"/>
        <w:ind w:firstLine="0"/>
        <w:rPr>
          <w:rFonts w:ascii="Arial" w:eastAsia="Calibri" w:hAnsi="Arial" w:cs="Arial"/>
          <w:szCs w:val="28"/>
          <w:lang w:val="uk-UA"/>
        </w:rPr>
      </w:pPr>
    </w:p>
    <w:p w14:paraId="0F6C89FC" w14:textId="71E776BC" w:rsidR="00C10374" w:rsidRPr="00511005" w:rsidRDefault="007B2628" w:rsidP="003A292D">
      <w:pPr>
        <w:snapToGrid w:val="0"/>
        <w:spacing w:line="264" w:lineRule="auto"/>
        <w:ind w:firstLine="0"/>
        <w:rPr>
          <w:rFonts w:ascii="Arial" w:eastAsia="Calibri" w:hAnsi="Arial" w:cs="Arial"/>
          <w:i/>
          <w:iCs/>
          <w:szCs w:val="28"/>
          <w:lang w:val="uk-UA"/>
        </w:rPr>
      </w:pPr>
      <w:r w:rsidRPr="00511005">
        <w:rPr>
          <w:rFonts w:ascii="Arial" w:eastAsia="Calibri" w:hAnsi="Arial" w:cs="Arial"/>
          <w:b/>
          <w:i/>
          <w:szCs w:val="28"/>
          <w:lang w:val="uk-UA"/>
        </w:rPr>
        <w:t xml:space="preserve">Науковий керівник: </w:t>
      </w:r>
      <w:r w:rsidR="00C10374" w:rsidRPr="00511005">
        <w:rPr>
          <w:rFonts w:ascii="Arial" w:eastAsia="Calibri" w:hAnsi="Arial" w:cs="Arial"/>
          <w:szCs w:val="28"/>
          <w:lang w:val="uk-UA"/>
        </w:rPr>
        <w:t>к.ю.н</w:t>
      </w:r>
      <w:r w:rsidR="00C10374" w:rsidRPr="00511005">
        <w:rPr>
          <w:rFonts w:ascii="Arial" w:eastAsia="Calibri" w:hAnsi="Arial" w:cs="Arial"/>
          <w:i/>
          <w:iCs/>
          <w:szCs w:val="28"/>
          <w:lang w:val="uk-UA"/>
        </w:rPr>
        <w:t xml:space="preserve">.. доцент Кравченко М. О. </w:t>
      </w:r>
    </w:p>
    <w:p w14:paraId="51F639B3" w14:textId="77777777" w:rsidR="00C10374" w:rsidRPr="00511005" w:rsidRDefault="00C10374"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Василенко Дарія Олександрівна</w:t>
      </w:r>
    </w:p>
    <w:p w14:paraId="6E1067DC" w14:textId="499A8854" w:rsidR="00C10374" w:rsidRPr="00511005" w:rsidRDefault="00BE3972"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p>
    <w:p w14:paraId="066D48FA" w14:textId="2A6BA75C" w:rsidR="00C10374"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29956195" w14:textId="77777777" w:rsidR="00C10374" w:rsidRPr="00511005" w:rsidRDefault="00C10374" w:rsidP="003A292D">
      <w:pPr>
        <w:spacing w:line="264" w:lineRule="auto"/>
        <w:ind w:firstLine="0"/>
        <w:rPr>
          <w:rFonts w:ascii="Arial" w:eastAsia="Times New Roman" w:hAnsi="Arial" w:cs="Arial"/>
          <w:szCs w:val="28"/>
          <w:lang w:val="uk-UA"/>
        </w:rPr>
      </w:pPr>
    </w:p>
    <w:p w14:paraId="62CD64E6" w14:textId="77777777" w:rsidR="00C10374" w:rsidRPr="00511005" w:rsidRDefault="00C10374" w:rsidP="003A292D">
      <w:pPr>
        <w:spacing w:line="264" w:lineRule="auto"/>
        <w:ind w:firstLine="0"/>
        <w:jc w:val="center"/>
        <w:rPr>
          <w:rFonts w:ascii="Arial" w:eastAsia="Times New Roman" w:hAnsi="Arial" w:cs="Arial"/>
          <w:b/>
          <w:bCs/>
          <w:szCs w:val="28"/>
          <w:lang w:val="uk-UA"/>
        </w:rPr>
      </w:pPr>
      <w:r w:rsidRPr="00511005">
        <w:rPr>
          <w:rFonts w:ascii="Arial" w:eastAsia="Calibri" w:hAnsi="Arial" w:cs="Arial"/>
          <w:b/>
          <w:bCs/>
          <w:szCs w:val="28"/>
          <w:lang w:val="uk-UA"/>
        </w:rPr>
        <w:t>РОЛЬ ВИЩОЇ РАДИ ПРАВОСУДДЯ У ФОРМУВАННІ НЕЗАЛЕЖНОЇ СУДОВОЇ СИСТЕМИ</w:t>
      </w:r>
    </w:p>
    <w:p w14:paraId="7CA4A83D"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lastRenderedPageBreak/>
        <w:t xml:space="preserve">Судова влада є ключовою складовою демократичної правової держави, і її незалежність забезпечує справедливість, дотримання законності та захист прав і свобод людей. Забезпечення цієї незалежності є складним і багатоступеневим процесом, в якому значну роль відіграють інституції, що формують і контролюють судову систему. </w:t>
      </w:r>
    </w:p>
    <w:p w14:paraId="53D72073"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Ключовим органом у цьому контексті є Вища рада правосуддя. Вища рада правосуддя (ВРП) є конституційним органом, відповідальним за формування професійного та доброчесного складу суддів, а також забезпечення правосуддя відповідно до принципу незалежності судової влади. </w:t>
      </w:r>
    </w:p>
    <w:p w14:paraId="7F04B204" w14:textId="414C3F5D"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Її статус та повноваження закріплені в Конституції України (стаття 131)[1] та Законі України «Про Вищу раду правосуддя» [2].</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Незалежність судової влади від інших гілок влади вимагає дієвих механізмів призначення, дисциплінарної відповідальності та звільнення суддів. ВРП приймає рішення про подання Президенту України призначень суддів та про їх звільнення на законодавчо визначених підставах, що забезпечує стабільність суддівського корпусу та його захист від політичного тиску. </w:t>
      </w:r>
    </w:p>
    <w:p w14:paraId="722E4646"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Головним викликом для гарантування незалежності судової системи є уникнення зовнішнього впливу, включно з політичним і корпоративним. У цьому контексті ВРП відіграє важливу роль у відборі кандидатів до суддівського корпусу за принципами професійності, етики та доброчесності. Члени ВРП мають незалежність, а процес добору суддів регламентований чіткими процедурами, які запобігають свавільному втручанню. </w:t>
      </w:r>
    </w:p>
    <w:p w14:paraId="744AF153"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Діяльність Вищої ради правосуддя безпосередньо пов’язана із реалізацією принципу верховенства права, оскільки суд, як незалежний арбітр у правових питаннях, повинен бути захищений від будь-якого тиску чи втручання. ВРП здійснює контроль за дотриманням суддями професійної етики та поведінки, що сприяє підтриманню довіри суспільства до судової системи. </w:t>
      </w:r>
    </w:p>
    <w:p w14:paraId="7A18EDC4" w14:textId="7E66C42C"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Важливим аспектом є те, що ВРП розглядає дисциплінарні справи щодо суддів, які можуть бути притягнені до відповідальності за порушення закону або службових обов’язків [3].</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Це допомагає очищенню суддівського корпусу від недоброчесних працівників і захищає від репресивного впливу політичних або адміністративних переслідувань. </w:t>
      </w:r>
    </w:p>
    <w:p w14:paraId="296678B5" w14:textId="77777777" w:rsidR="00C10374" w:rsidRPr="00511005" w:rsidRDefault="00C10374" w:rsidP="003A292D">
      <w:pPr>
        <w:spacing w:line="264" w:lineRule="auto"/>
        <w:ind w:firstLine="708"/>
        <w:rPr>
          <w:rFonts w:ascii="Arial" w:eastAsia="Times New Roman" w:hAnsi="Arial" w:cs="Arial"/>
          <w:b/>
          <w:bCs/>
          <w:szCs w:val="28"/>
          <w:lang w:val="uk-UA"/>
        </w:rPr>
      </w:pPr>
      <w:r w:rsidRPr="00511005">
        <w:rPr>
          <w:rFonts w:ascii="Arial" w:eastAsia="Times New Roman" w:hAnsi="Arial" w:cs="Arial"/>
          <w:szCs w:val="28"/>
          <w:lang w:val="uk-UA"/>
        </w:rPr>
        <w:t>Під час реформування судової системи в Україні, Вища рада правосуддя перебувала в центрі уваги міжнародних експертів і національних реформаторів. Було внесено зміни до законодавства для підвищення прозорості, підзвітності та доброчесності членів ВРП. Важливим кроком стала участь громадськості у виборі членів ВРП, що підвищує легітимність цього органу в очах суспільства.</w:t>
      </w:r>
    </w:p>
    <w:p w14:paraId="5B317F02"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Склад Вищої ради правосуддя формується з представників різних юридичних професій, включаючи суддів, адвокатів, науковців і прокурорів. </w:t>
      </w:r>
      <w:r w:rsidRPr="00511005">
        <w:rPr>
          <w:rFonts w:ascii="Arial" w:eastAsia="Times New Roman" w:hAnsi="Arial" w:cs="Arial"/>
          <w:szCs w:val="28"/>
          <w:lang w:val="uk-UA"/>
        </w:rPr>
        <w:lastRenderedPageBreak/>
        <w:t xml:space="preserve">Такий різноманітний склад забезпечує ширше представлення правової спільноти, що сприяє зваженим рішенням і запобігає домінуванню однієї професійної групи. </w:t>
      </w:r>
    </w:p>
    <w:p w14:paraId="14E265F7"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Окрім кадрових функцій, Вища рада правосуддя бере активну участь у розробці нормативних актів, які стосуються організації судової влади. Вона може надавати висновки щодо законопроєктів, що стосуються судової влади. </w:t>
      </w:r>
    </w:p>
    <w:p w14:paraId="4C6E8055"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Особлива роль в умовах політичної нестабільності або надзвичайних ситуацій відводиться Вищій раді правосуддя, яка захищає судову систему від політичного тиску. У такі моменти важлива інституційна стійкість ВРП для збереження незалежності судів і стабільності конституційного ладу. Наявність незалежного органу для кадрового та дисциплінарного управління в судовій системі дозволяє формувати неупереджену систему правосуддя на засадах об'єктивності, неупередженості та рівності. Це також створює передумови для відновлення суспільної довіри, яку судова влада втратила через критику протягом багатьох років. </w:t>
      </w:r>
    </w:p>
    <w:p w14:paraId="463E2148"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Вища рада правосуддя відіграє системоутворюючу роль у формуванні незалежної судової системи. Завдяки своїм повноваженням, автономії та впливу вона виконує ключову функцію в побудові міцної правової держави. Продовження реформ у її діяльності є шляхом до гарантування реальної незалежності суддів в Україні. </w:t>
      </w:r>
    </w:p>
    <w:p w14:paraId="588FB048"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Однією із ключових проблем Вищої ради правосуддя залишається питання доброчесності як суддів, так і членів самої Ради. Протягом останніх років суспільство неодноразово виражало недовіру до судової системи через корупцію та ухвалення сумнівних рішень. В цьому контексті ВРП повинна демонструвати відкритість, підзвітність і принциповість у своїй діяльності.</w:t>
      </w:r>
    </w:p>
    <w:p w14:paraId="1B6A8DEE"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Незважаючи на позитивні зміни, залишається чимало викликів, зокрема, політичний тиск, конфлікти інтересів, закритість окремих процедур і недостатня прозорість у справах суддів. Це підкреслює нагальну потребу у подальших перетвореннях Вищої ради правосуддя та зміцненні механізмів нагляду, включаючи активізацію ролі громадськості та професійних правничих організацій у прийнятті рішень. </w:t>
      </w:r>
    </w:p>
    <w:p w14:paraId="61D399C8"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Важливо також встановити єдині стандарти оцінювання суддів. Вища рада правосуддя має координувати свої дії з Вищою кваліфікаційною комісією суддів України, щоб уникнути дублювання функцій чи розбіжностей у підходах. Доцільно переглянути моделі співпраці цих інституцій, аби запобігти конфліктам і забезпечити узгоджену кадрову політику у судовій системі. </w:t>
      </w:r>
    </w:p>
    <w:p w14:paraId="0DBF81F3"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Перспективним напрямком є цифровізація процедур Вищої ради правосуддя. Введення електронного документообігу, онлайн-трансляцій засідань, електронних сервісів для подання скарг та відстеження </w:t>
      </w:r>
      <w:r w:rsidRPr="00511005">
        <w:rPr>
          <w:rFonts w:ascii="Arial" w:eastAsia="Times New Roman" w:hAnsi="Arial" w:cs="Arial"/>
          <w:szCs w:val="28"/>
          <w:lang w:val="uk-UA"/>
        </w:rPr>
        <w:lastRenderedPageBreak/>
        <w:t xml:space="preserve">дисциплінарних процесів здатне підвищити прозорість роботи Ради. Ці заходи відповідають принципам відкритого врядування та можуть зміцнити репутацію судової влади. </w:t>
      </w:r>
    </w:p>
    <w:p w14:paraId="06E8F729"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Таким чином, Вища рада правосуддя відіграє важливу роль у формуванні незалежної судової системи, що виходить за межі просто кадрових процедур або дисциплінарної юрисдикції. Ця інституція визначає стратегічний напрямок розвитку судової влади, сприяє формуванню культури відповідальності та професійної етики, а також зміцнює довіру до правосуддя як основоположного елемента демократичного суспільства. </w:t>
      </w:r>
    </w:p>
    <w:p w14:paraId="325E95FE" w14:textId="77777777" w:rsidR="00C10374" w:rsidRPr="00511005" w:rsidRDefault="00C10374" w:rsidP="003A292D">
      <w:pPr>
        <w:spacing w:line="264" w:lineRule="auto"/>
        <w:ind w:firstLine="708"/>
        <w:rPr>
          <w:rFonts w:ascii="Arial" w:eastAsia="Times New Roman" w:hAnsi="Arial" w:cs="Arial"/>
          <w:szCs w:val="28"/>
          <w:lang w:val="uk-UA"/>
        </w:rPr>
      </w:pPr>
    </w:p>
    <w:p w14:paraId="71AD10A8" w14:textId="0C287DB5" w:rsidR="00C10374"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1764DFA4" w14:textId="77777777" w:rsidR="00C10374" w:rsidRPr="00511005" w:rsidRDefault="00C10374"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1. Конституція України - Розділ VIII. </w:t>
      </w:r>
      <w:r w:rsidRPr="00511005">
        <w:rPr>
          <w:rFonts w:ascii="Arial" w:eastAsia="Times New Roman" w:hAnsi="Arial" w:cs="Arial"/>
          <w:i/>
          <w:iCs/>
          <w:szCs w:val="28"/>
          <w:lang w:val="uk-UA"/>
        </w:rPr>
        <w:t>Офіційне інтернет-представництво Президента України</w:t>
      </w:r>
      <w:r w:rsidRPr="00511005">
        <w:rPr>
          <w:rFonts w:ascii="Arial" w:eastAsia="Times New Roman" w:hAnsi="Arial" w:cs="Arial"/>
          <w:szCs w:val="28"/>
          <w:lang w:val="uk-UA"/>
        </w:rPr>
        <w:t>. URL: </w:t>
      </w:r>
      <w:hyperlink r:id="rId1068" w:tgtFrame="_blank" w:history="1">
        <w:r w:rsidRPr="00511005">
          <w:rPr>
            <w:rFonts w:ascii="Arial" w:eastAsia="Times New Roman" w:hAnsi="Arial" w:cs="Arial"/>
            <w:szCs w:val="28"/>
            <w:lang w:val="uk-UA"/>
          </w:rPr>
          <w:t>https://www.president.gov.ua/ua/documents/constitution/konstituciya-ukrayini-rozdil-viii</w:t>
        </w:r>
      </w:hyperlink>
      <w:r w:rsidRPr="00511005">
        <w:rPr>
          <w:rFonts w:ascii="Arial" w:eastAsia="Times New Roman" w:hAnsi="Arial" w:cs="Arial"/>
          <w:szCs w:val="28"/>
          <w:lang w:val="uk-UA"/>
        </w:rPr>
        <w:t>(дата звернення: 19.04.2025).</w:t>
      </w:r>
    </w:p>
    <w:p w14:paraId="13E44B8E" w14:textId="77777777" w:rsidR="00C10374" w:rsidRPr="00511005" w:rsidRDefault="00C10374"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2. Про Вищу раду правосуддя. </w:t>
      </w:r>
      <w:r w:rsidRPr="00511005">
        <w:rPr>
          <w:rFonts w:ascii="Arial" w:eastAsia="Times New Roman" w:hAnsi="Arial" w:cs="Arial"/>
          <w:i/>
          <w:iCs/>
          <w:szCs w:val="28"/>
          <w:lang w:val="uk-UA"/>
        </w:rPr>
        <w:t>Офіційний вебпортал парламенту України</w:t>
      </w:r>
      <w:r w:rsidRPr="00511005">
        <w:rPr>
          <w:rFonts w:ascii="Arial" w:eastAsia="Times New Roman" w:hAnsi="Arial" w:cs="Arial"/>
          <w:szCs w:val="28"/>
          <w:lang w:val="uk-UA"/>
        </w:rPr>
        <w:t>. URL: </w:t>
      </w:r>
      <w:hyperlink r:id="rId1069" w:tgtFrame="_blank" w:history="1">
        <w:r w:rsidRPr="00511005">
          <w:rPr>
            <w:rFonts w:ascii="Arial" w:eastAsia="Times New Roman" w:hAnsi="Arial" w:cs="Arial"/>
            <w:szCs w:val="28"/>
            <w:lang w:val="uk-UA"/>
          </w:rPr>
          <w:t>https://zakon.rada.gov.ua/go/1798-19</w:t>
        </w:r>
      </w:hyperlink>
      <w:r w:rsidRPr="00511005">
        <w:rPr>
          <w:rFonts w:ascii="Arial" w:eastAsia="Times New Roman" w:hAnsi="Arial" w:cs="Arial"/>
          <w:szCs w:val="28"/>
          <w:lang w:val="uk-UA"/>
        </w:rPr>
        <w:t>(дата звернення: 19.04.2025).</w:t>
      </w:r>
    </w:p>
    <w:p w14:paraId="38334A2C" w14:textId="77777777" w:rsidR="00C10374" w:rsidRPr="00511005" w:rsidRDefault="00C10374"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3. Пушкар С. Роль Вищої ради правосуддя у забезпеченні незалежності судової влади. </w:t>
      </w:r>
      <w:r w:rsidRPr="00511005">
        <w:rPr>
          <w:rFonts w:ascii="Arial" w:eastAsia="Times New Roman" w:hAnsi="Arial" w:cs="Arial"/>
          <w:i/>
          <w:iCs/>
          <w:szCs w:val="28"/>
          <w:lang w:val="uk-UA"/>
        </w:rPr>
        <w:t>Репозитарій НУ "ОЮА" - eNUOLAIR</w:t>
      </w:r>
      <w:r w:rsidRPr="00511005">
        <w:rPr>
          <w:rFonts w:ascii="Arial" w:eastAsia="Times New Roman" w:hAnsi="Arial" w:cs="Arial"/>
          <w:szCs w:val="28"/>
          <w:lang w:val="uk-UA"/>
        </w:rPr>
        <w:t>. URL: </w:t>
      </w:r>
      <w:hyperlink r:id="rId1070" w:tgtFrame="_blank" w:history="1">
        <w:r w:rsidRPr="00511005">
          <w:rPr>
            <w:rFonts w:ascii="Arial" w:eastAsia="Times New Roman" w:hAnsi="Arial" w:cs="Arial"/>
            <w:szCs w:val="28"/>
            <w:lang w:val="uk-UA"/>
          </w:rPr>
          <w:t>https://dspace.onua.edu.ua/items/88a7cada-8779-448b-b39a-290f0478e065</w:t>
        </w:r>
      </w:hyperlink>
      <w:r w:rsidRPr="00511005">
        <w:rPr>
          <w:rFonts w:ascii="Arial" w:eastAsia="Times New Roman" w:hAnsi="Arial" w:cs="Arial"/>
          <w:szCs w:val="28"/>
          <w:lang w:val="uk-UA"/>
        </w:rPr>
        <w:t>(дата звернення: 19.04.2025).</w:t>
      </w:r>
    </w:p>
    <w:p w14:paraId="22B14DAE" w14:textId="77777777" w:rsidR="00C10374" w:rsidRPr="00511005" w:rsidRDefault="00C10374"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4. Іванов А. Вища рада правосуддя як орган посилення незалежності судової гілки влади | Науковий вісник Ужгородського національного університету. Серія: Право. </w:t>
      </w:r>
      <w:r w:rsidRPr="00511005">
        <w:rPr>
          <w:rFonts w:ascii="Arial" w:eastAsia="Times New Roman" w:hAnsi="Arial" w:cs="Arial"/>
          <w:i/>
          <w:iCs/>
          <w:szCs w:val="28"/>
          <w:lang w:val="uk-UA"/>
        </w:rPr>
        <w:t>Науковий вісник Ужгородського національного університету. Серія: Право</w:t>
      </w:r>
      <w:r w:rsidRPr="00511005">
        <w:rPr>
          <w:rFonts w:ascii="Arial" w:eastAsia="Times New Roman" w:hAnsi="Arial" w:cs="Arial"/>
          <w:szCs w:val="28"/>
          <w:lang w:val="uk-UA"/>
        </w:rPr>
        <w:t>. URL: </w:t>
      </w:r>
      <w:hyperlink r:id="rId1071" w:tgtFrame="_blank" w:history="1">
        <w:r w:rsidRPr="00511005">
          <w:rPr>
            <w:rFonts w:ascii="Arial" w:eastAsia="Times New Roman" w:hAnsi="Arial" w:cs="Arial"/>
            <w:szCs w:val="28"/>
            <w:lang w:val="uk-UA"/>
          </w:rPr>
          <w:t>http://visnyk-pravo.uzhnu.edu.ua/article/view/268088</w:t>
        </w:r>
      </w:hyperlink>
      <w:r w:rsidRPr="00511005">
        <w:rPr>
          <w:rFonts w:ascii="Arial" w:eastAsia="Times New Roman" w:hAnsi="Arial" w:cs="Arial"/>
          <w:szCs w:val="28"/>
          <w:lang w:val="uk-UA"/>
        </w:rPr>
        <w:t>(дата звернення: 19.04.2025).</w:t>
      </w:r>
    </w:p>
    <w:p w14:paraId="06FDE1EF" w14:textId="77777777" w:rsidR="00C10374" w:rsidRPr="00511005" w:rsidRDefault="00C10374" w:rsidP="003A292D">
      <w:pPr>
        <w:spacing w:line="264" w:lineRule="auto"/>
        <w:ind w:firstLine="0"/>
        <w:rPr>
          <w:rFonts w:ascii="Arial" w:eastAsia="Times New Roman" w:hAnsi="Arial" w:cs="Arial"/>
          <w:szCs w:val="28"/>
          <w:lang w:val="uk-UA"/>
        </w:rPr>
      </w:pPr>
    </w:p>
    <w:p w14:paraId="54D13982" w14:textId="1DCD1144" w:rsidR="00C10374"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0374" w:rsidRPr="00511005">
        <w:rPr>
          <w:rFonts w:ascii="Arial" w:eastAsia="Calibri" w:hAnsi="Arial" w:cs="Arial"/>
          <w:szCs w:val="28"/>
          <w:lang w:val="uk-UA"/>
        </w:rPr>
        <w:t>Вища рада правосуддя, незалежність судової влади, судова реформа, доброчесність, дисциплінарна відповідальність суддів</w:t>
      </w:r>
    </w:p>
    <w:p w14:paraId="79980617" w14:textId="1118AB39" w:rsidR="00C10374"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Key words: </w:t>
      </w:r>
      <w:r w:rsidR="00C10374" w:rsidRPr="00511005">
        <w:rPr>
          <w:rFonts w:ascii="Arial" w:eastAsia="Calibri" w:hAnsi="Arial" w:cs="Arial"/>
          <w:szCs w:val="28"/>
          <w:lang w:val="uk-UA"/>
        </w:rPr>
        <w:t>High Council of Justice, independence of the judiciary, judicial reform, integrity, disciplinary responsibility of judges</w:t>
      </w:r>
    </w:p>
    <w:p w14:paraId="582EA6B3" w14:textId="6CBC4D2E" w:rsidR="00C10374" w:rsidRPr="00511005" w:rsidRDefault="007B2628" w:rsidP="003A292D">
      <w:pPr>
        <w:spacing w:line="264" w:lineRule="auto"/>
        <w:ind w:firstLine="0"/>
        <w:rPr>
          <w:rFonts w:ascii="Arial" w:eastAsia="Times New Roman" w:hAnsi="Arial" w:cs="Arial"/>
          <w:i/>
          <w:iCs/>
          <w:szCs w:val="28"/>
          <w:lang w:val="uk-UA"/>
        </w:rPr>
      </w:pPr>
      <w:r w:rsidRPr="00511005">
        <w:rPr>
          <w:rFonts w:ascii="Arial" w:eastAsia="Calibri" w:hAnsi="Arial" w:cs="Arial"/>
          <w:b/>
          <w:i/>
          <w:iCs/>
          <w:szCs w:val="28"/>
          <w:lang w:val="uk-UA"/>
        </w:rPr>
        <w:t xml:space="preserve">Науковий керівник: </w:t>
      </w:r>
      <w:r w:rsidR="00C10374" w:rsidRPr="00511005">
        <w:rPr>
          <w:rFonts w:ascii="Arial" w:eastAsia="Calibri" w:hAnsi="Arial" w:cs="Arial"/>
          <w:i/>
          <w:iCs/>
          <w:szCs w:val="28"/>
          <w:lang w:val="uk-UA"/>
        </w:rPr>
        <w:t>доцент кафедри, к. ю. н., доцент Кравченко М. О.</w:t>
      </w:r>
    </w:p>
    <w:p w14:paraId="10BE1518" w14:textId="77777777" w:rsidR="00C10374" w:rsidRPr="00511005" w:rsidRDefault="00C10374" w:rsidP="003A292D">
      <w:pPr>
        <w:spacing w:line="264" w:lineRule="auto"/>
        <w:ind w:left="708" w:firstLine="0"/>
        <w:rPr>
          <w:rFonts w:ascii="Arial" w:eastAsia="Times New Roman" w:hAnsi="Arial" w:cs="Arial"/>
          <w:szCs w:val="28"/>
        </w:rPr>
      </w:pPr>
    </w:p>
    <w:p w14:paraId="673BFB0E" w14:textId="77777777" w:rsidR="00C10374" w:rsidRPr="00511005" w:rsidRDefault="00C10374" w:rsidP="003A292D">
      <w:pPr>
        <w:snapToGrid w:val="0"/>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Вільха Софія Вадимівна</w:t>
      </w:r>
    </w:p>
    <w:p w14:paraId="031B30EA" w14:textId="112B1E74" w:rsidR="00C10374" w:rsidRPr="00511005" w:rsidRDefault="00BE3972" w:rsidP="003A292D">
      <w:pPr>
        <w:snapToGrid w:val="0"/>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 xml:space="preserve">студентка 1-го курсу </w:t>
      </w:r>
      <w:r w:rsidR="001B7B25" w:rsidRPr="00511005">
        <w:rPr>
          <w:rFonts w:ascii="Arial" w:eastAsia="Calibri" w:hAnsi="Arial" w:cs="Arial"/>
          <w:iCs/>
          <w:szCs w:val="28"/>
          <w:lang w:val="uk-UA"/>
        </w:rPr>
        <w:t>факультету судового та міжнародного права</w:t>
      </w:r>
    </w:p>
    <w:p w14:paraId="453038E8" w14:textId="490C5A6B" w:rsidR="00C10374" w:rsidRPr="00511005" w:rsidRDefault="007B2628" w:rsidP="003A292D">
      <w:pPr>
        <w:snapToGrid w:val="0"/>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6603E317" w14:textId="77777777" w:rsidR="00C10374" w:rsidRPr="00511005" w:rsidRDefault="00C10374" w:rsidP="003A292D">
      <w:pPr>
        <w:snapToGrid w:val="0"/>
        <w:spacing w:line="264" w:lineRule="auto"/>
        <w:ind w:firstLine="0"/>
        <w:rPr>
          <w:rFonts w:ascii="Arial" w:eastAsia="Calibri" w:hAnsi="Arial" w:cs="Arial"/>
          <w:b/>
          <w:bCs/>
          <w:szCs w:val="28"/>
          <w:shd w:val="clear" w:color="auto" w:fill="FFFFFF"/>
          <w:lang w:val="uk-UA"/>
        </w:rPr>
      </w:pPr>
    </w:p>
    <w:p w14:paraId="3E2BCCC9" w14:textId="77777777" w:rsidR="00C10374" w:rsidRPr="00511005" w:rsidRDefault="00C10374" w:rsidP="003A292D">
      <w:pPr>
        <w:snapToGrid w:val="0"/>
        <w:spacing w:line="264" w:lineRule="auto"/>
        <w:ind w:firstLine="0"/>
        <w:jc w:val="center"/>
        <w:rPr>
          <w:rFonts w:ascii="Arial" w:eastAsia="Calibri" w:hAnsi="Arial" w:cs="Arial"/>
          <w:b/>
          <w:bCs/>
          <w:szCs w:val="28"/>
          <w:shd w:val="clear" w:color="auto" w:fill="FFFFFF"/>
          <w:lang w:val="uk-UA"/>
        </w:rPr>
      </w:pPr>
      <w:r w:rsidRPr="00511005">
        <w:rPr>
          <w:rFonts w:ascii="Arial" w:eastAsia="Calibri" w:hAnsi="Arial" w:cs="Arial"/>
          <w:b/>
          <w:bCs/>
          <w:szCs w:val="28"/>
          <w:shd w:val="clear" w:color="auto" w:fill="FFFFFF"/>
          <w:lang w:val="uk-UA"/>
        </w:rPr>
        <w:t xml:space="preserve">ПРЕЗУМПЦІЯ НЕВИНУВАТОСТІ </w:t>
      </w:r>
    </w:p>
    <w:p w14:paraId="315C1649" w14:textId="77777777" w:rsidR="00C10374" w:rsidRPr="00511005" w:rsidRDefault="00C10374" w:rsidP="003A292D">
      <w:pPr>
        <w:snapToGrid w:val="0"/>
        <w:spacing w:line="264" w:lineRule="auto"/>
        <w:ind w:firstLine="0"/>
        <w:jc w:val="center"/>
        <w:rPr>
          <w:rFonts w:ascii="Arial" w:eastAsia="Calibri" w:hAnsi="Arial" w:cs="Arial"/>
          <w:b/>
          <w:bCs/>
          <w:szCs w:val="28"/>
          <w:shd w:val="clear" w:color="auto" w:fill="FFFFFF"/>
          <w:lang w:val="uk-UA"/>
        </w:rPr>
      </w:pPr>
      <w:r w:rsidRPr="00511005">
        <w:rPr>
          <w:rFonts w:ascii="Arial" w:eastAsia="Calibri" w:hAnsi="Arial" w:cs="Arial"/>
          <w:b/>
          <w:bCs/>
          <w:szCs w:val="28"/>
          <w:shd w:val="clear" w:color="auto" w:fill="FFFFFF"/>
          <w:lang w:val="uk-UA"/>
        </w:rPr>
        <w:t>ЯК ЗАСАДА ЗДІЙСНЕННЯ СУДОЧИНСТВА</w:t>
      </w:r>
    </w:p>
    <w:p w14:paraId="34CFAB23" w14:textId="34120067" w:rsidR="00C10374" w:rsidRPr="00511005" w:rsidRDefault="00C10374" w:rsidP="003A292D">
      <w:pPr>
        <w:snapToGrid w:val="0"/>
        <w:spacing w:line="264" w:lineRule="auto"/>
        <w:ind w:firstLine="567"/>
        <w:rPr>
          <w:rFonts w:ascii="Arial" w:eastAsia="Calibri" w:hAnsi="Arial" w:cs="Arial"/>
          <w:szCs w:val="28"/>
          <w:lang w:val="uk-UA"/>
        </w:rPr>
      </w:pPr>
      <w:r w:rsidRPr="00511005">
        <w:rPr>
          <w:rFonts w:ascii="Arial" w:eastAsia="Calibri" w:hAnsi="Arial" w:cs="Arial"/>
          <w:szCs w:val="28"/>
          <w:lang w:val="uk-UA"/>
        </w:rPr>
        <w:t>У сучасній юридичній літературі існують два основних підходи до трактування принципу презумпції невинуватості: перший – </w:t>
      </w:r>
      <w:r w:rsidRPr="00511005">
        <w:rPr>
          <w:rFonts w:ascii="Arial" w:eastAsia="Calibri" w:hAnsi="Arial" w:cs="Arial"/>
          <w:iCs/>
          <w:szCs w:val="28"/>
          <w:lang w:val="uk-UA"/>
        </w:rPr>
        <w:t>широкий</w:t>
      </w:r>
      <w:r w:rsidRPr="00511005">
        <w:rPr>
          <w:rFonts w:ascii="Arial" w:eastAsia="Calibri" w:hAnsi="Arial" w:cs="Arial"/>
          <w:szCs w:val="28"/>
          <w:lang w:val="uk-UA"/>
        </w:rPr>
        <w:t>, другий – </w:t>
      </w:r>
      <w:r w:rsidRPr="00511005">
        <w:rPr>
          <w:rFonts w:ascii="Arial" w:eastAsia="Calibri" w:hAnsi="Arial" w:cs="Arial"/>
          <w:iCs/>
          <w:szCs w:val="28"/>
          <w:lang w:val="uk-UA"/>
        </w:rPr>
        <w:t>вузький</w:t>
      </w:r>
      <w:r w:rsidRPr="00511005">
        <w:rPr>
          <w:rFonts w:ascii="Arial" w:eastAsia="Calibri" w:hAnsi="Arial" w:cs="Arial"/>
          <w:szCs w:val="28"/>
          <w:lang w:val="uk-UA"/>
        </w:rPr>
        <w:t xml:space="preserve">. Вузьке розуміння цього принципу зводиться до того, що тягар </w:t>
      </w:r>
      <w:r w:rsidRPr="00511005">
        <w:rPr>
          <w:rFonts w:ascii="Arial" w:eastAsia="Calibri" w:hAnsi="Arial" w:cs="Arial"/>
          <w:szCs w:val="28"/>
          <w:lang w:val="uk-UA"/>
        </w:rPr>
        <w:lastRenderedPageBreak/>
        <w:t>доведення вини особи у скоєнні злочину покладається на сторону обвинувачення (прокурора), причому доведення повинно бути без сумніву [1, с. 61].</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Однак більш прийнятним для правового розуміння є саме широкий підхід, оскільки він є закріпленим у статті 62 Конституції України [2]. Згідно з частиною 1 статті 17 Кримінального процесуального кодексу України, особа вважається невинуватою у вчиненні кримінального правопорушення і не може бути піддана кримінальному покаранню, поки її вина не буде доведена відповідно до процедур, передбачених цим Кодексом, і не буде підтверджена обвинувальним вироком суду, який набрав законної сили [3].</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Варто зазначити, що цей принцип застосовується лише в рамках кримінального процесу в Україні. Широке розуміння презумпції невинуватості також охоплює обов'язок держави визнавати правовий статус особи як невинуватої на всіх етапах, що передують її визнанню винною. Конституція України не встановлює жодних винятків ані для принципу презумпції невинуватості, ані для права особи не надавати показань чи пояснень стосовно себе, членів сім'ї або близьких родичів. Крім того, у частині другій статті 64 Конституції України підкреслюється, що не можна обмежувати низку прав і свобод, зокрема ті, що гарантовані статтями 62 та 63 Конституції України. </w:t>
      </w:r>
    </w:p>
    <w:p w14:paraId="1DE53589" w14:textId="50CE77BF" w:rsidR="00C10374" w:rsidRPr="00511005" w:rsidRDefault="00C10374" w:rsidP="003A292D">
      <w:pPr>
        <w:snapToGrid w:val="0"/>
        <w:spacing w:line="264" w:lineRule="auto"/>
        <w:ind w:firstLine="567"/>
        <w:rPr>
          <w:rFonts w:ascii="Arial" w:eastAsia="Calibri" w:hAnsi="Arial" w:cs="Arial"/>
          <w:i/>
          <w:szCs w:val="28"/>
          <w:lang w:val="uk-UA"/>
        </w:rPr>
      </w:pPr>
      <w:r w:rsidRPr="00511005">
        <w:rPr>
          <w:rFonts w:ascii="Arial" w:eastAsia="Calibri" w:hAnsi="Arial" w:cs="Arial"/>
          <w:szCs w:val="28"/>
          <w:lang w:val="uk-UA"/>
        </w:rPr>
        <w:t xml:space="preserve">Зауважимо, що зміст та значення цього принципу знайшли висвітлення у Рішеннях Конституційного Суду України. </w:t>
      </w:r>
      <w:r w:rsidRPr="00511005">
        <w:rPr>
          <w:rFonts w:ascii="Arial" w:eastAsia="Calibri" w:hAnsi="Arial" w:cs="Arial"/>
          <w:iCs/>
          <w:szCs w:val="28"/>
          <w:lang w:val="uk-UA"/>
        </w:rPr>
        <w:t xml:space="preserve">Так, </w:t>
      </w:r>
      <w:r w:rsidRPr="00511005">
        <w:rPr>
          <w:rFonts w:ascii="Arial" w:eastAsia="Times New Roman" w:hAnsi="Arial" w:cs="Arial"/>
          <w:szCs w:val="28"/>
          <w:lang w:val="uk-UA" w:eastAsia="ru-RU"/>
        </w:rPr>
        <w:t xml:space="preserve">Конституційний Суд України підкреслює, що презумпція невинуватості є </w:t>
      </w:r>
      <w:r w:rsidRPr="00511005">
        <w:rPr>
          <w:rFonts w:ascii="Arial" w:eastAsia="Times New Roman" w:hAnsi="Arial" w:cs="Arial"/>
          <w:bCs/>
          <w:szCs w:val="28"/>
          <w:lang w:val="uk-UA" w:eastAsia="ru-RU"/>
        </w:rPr>
        <w:t>основоположним принципом</w:t>
      </w:r>
      <w:r w:rsidRPr="00511005">
        <w:rPr>
          <w:rFonts w:ascii="Arial" w:eastAsia="Times New Roman" w:hAnsi="Arial" w:cs="Arial"/>
          <w:szCs w:val="28"/>
          <w:lang w:val="uk-UA" w:eastAsia="ru-RU"/>
        </w:rPr>
        <w:t xml:space="preserve"> в кримінальному праві та застосовується на всіх етапах кримінального процесу – від початку розслідування до завершення судового розгляду. Презумпція невинуватості означає, що кожна особа вважається невинною, доки її вину не буде доведено в суді. Згідно з </w:t>
      </w:r>
      <w:r w:rsidRPr="00511005">
        <w:rPr>
          <w:rFonts w:ascii="Arial" w:eastAsia="Times New Roman" w:hAnsi="Arial" w:cs="Arial"/>
          <w:bCs/>
          <w:szCs w:val="28"/>
          <w:lang w:val="uk-UA" w:eastAsia="ru-RU"/>
        </w:rPr>
        <w:t>статтею 62 Конституції</w:t>
      </w:r>
      <w:r w:rsidRPr="00511005">
        <w:rPr>
          <w:rFonts w:ascii="Arial" w:eastAsia="Times New Roman" w:hAnsi="Arial" w:cs="Arial"/>
          <w:b/>
          <w:bCs/>
          <w:szCs w:val="28"/>
          <w:lang w:val="uk-UA" w:eastAsia="ru-RU"/>
        </w:rPr>
        <w:t xml:space="preserve"> </w:t>
      </w:r>
      <w:r w:rsidRPr="00511005">
        <w:rPr>
          <w:rFonts w:ascii="Arial" w:eastAsia="Times New Roman" w:hAnsi="Arial" w:cs="Arial"/>
          <w:bCs/>
          <w:szCs w:val="28"/>
          <w:lang w:val="uk-UA" w:eastAsia="ru-RU"/>
        </w:rPr>
        <w:t>України</w:t>
      </w:r>
      <w:r w:rsidRPr="00511005">
        <w:rPr>
          <w:rFonts w:ascii="Arial" w:eastAsia="Times New Roman" w:hAnsi="Arial" w:cs="Arial"/>
          <w:szCs w:val="28"/>
          <w:lang w:val="uk-UA" w:eastAsia="ru-RU"/>
        </w:rPr>
        <w:t>, це право не може бути обмежене, і це право не можна звузити чи скасувати для окремих категорій осіб.</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Суд також наголошує, що навіть після завершення кримінального провадження, коли особа не була засуджена, вона не повинна зазнавати </w:t>
      </w:r>
      <w:r w:rsidRPr="00511005">
        <w:rPr>
          <w:rFonts w:ascii="Arial" w:eastAsia="Times New Roman" w:hAnsi="Arial" w:cs="Arial"/>
          <w:bCs/>
          <w:szCs w:val="28"/>
          <w:lang w:val="uk-UA" w:eastAsia="ru-RU"/>
        </w:rPr>
        <w:t>негативного суспільного осуду</w:t>
      </w:r>
      <w:r w:rsidRPr="00511005">
        <w:rPr>
          <w:rFonts w:ascii="Arial" w:eastAsia="Times New Roman" w:hAnsi="Arial" w:cs="Arial"/>
          <w:szCs w:val="28"/>
          <w:lang w:val="uk-UA" w:eastAsia="ru-RU"/>
        </w:rPr>
        <w:t xml:space="preserve"> або припущень про її винуватість, доки не буде винесено обвинувальний вирок. Всі органи державної влади, а також представники органів правопорядку повинні поводитися з особою як з невинною, доки не буде встановлено зворотне. </w:t>
      </w:r>
    </w:p>
    <w:p w14:paraId="7D4377BF" w14:textId="77777777" w:rsidR="00C10374" w:rsidRPr="00511005" w:rsidRDefault="00C10374" w:rsidP="003A292D">
      <w:pPr>
        <w:snapToGrid w:val="0"/>
        <w:spacing w:line="264" w:lineRule="auto"/>
        <w:ind w:firstLine="567"/>
        <w:rPr>
          <w:rFonts w:ascii="Arial" w:eastAsia="Calibri" w:hAnsi="Arial" w:cs="Arial"/>
          <w:i/>
          <w:szCs w:val="28"/>
          <w:lang w:val="uk-UA"/>
        </w:rPr>
      </w:pPr>
      <w:r w:rsidRPr="00511005">
        <w:rPr>
          <w:rFonts w:ascii="Arial" w:eastAsia="Calibri" w:hAnsi="Arial" w:cs="Arial"/>
          <w:iCs/>
          <w:szCs w:val="28"/>
          <w:lang w:val="uk-UA"/>
        </w:rPr>
        <w:t>Заслуговує на увагу також висновок К</w:t>
      </w:r>
      <w:r w:rsidRPr="00511005">
        <w:rPr>
          <w:rFonts w:ascii="Arial" w:eastAsia="Times New Roman" w:hAnsi="Arial" w:cs="Arial"/>
          <w:iCs/>
          <w:szCs w:val="28"/>
          <w:lang w:val="uk-UA" w:eastAsia="ru-RU"/>
        </w:rPr>
        <w:t>онституційного Суду України</w:t>
      </w:r>
      <w:r w:rsidRPr="00511005">
        <w:rPr>
          <w:rFonts w:ascii="Arial" w:eastAsia="Times New Roman" w:hAnsi="Arial" w:cs="Arial"/>
          <w:szCs w:val="28"/>
          <w:lang w:val="uk-UA" w:eastAsia="ru-RU"/>
        </w:rPr>
        <w:t xml:space="preserve"> щодо того, що презумпція невинуватості не може бути звужена або скасована навіть в умовах воєнного стану. Це підкреслює </w:t>
      </w:r>
      <w:r w:rsidRPr="00511005">
        <w:rPr>
          <w:rFonts w:ascii="Arial" w:eastAsia="Times New Roman" w:hAnsi="Arial" w:cs="Arial"/>
          <w:bCs/>
          <w:iCs/>
          <w:szCs w:val="28"/>
          <w:lang w:val="uk-UA" w:eastAsia="ru-RU"/>
        </w:rPr>
        <w:t>абсолютність</w:t>
      </w:r>
      <w:r w:rsidRPr="00511005">
        <w:rPr>
          <w:rFonts w:ascii="Arial" w:eastAsia="Times New Roman" w:hAnsi="Arial" w:cs="Arial"/>
          <w:szCs w:val="28"/>
          <w:lang w:val="uk-UA" w:eastAsia="ru-RU"/>
        </w:rPr>
        <w:t xml:space="preserve"> цього принципу в контексті прав людини, гарантованих Конституцією України та міжнародними зобов'язаннями країни. У підсумку, права людини, які гарантуються Конституцією, не можуть бути обмежені воєнним станом, і будь-які втручання у ці права повинні бути обґрунтованими та пропорційними. </w:t>
      </w:r>
    </w:p>
    <w:p w14:paraId="2055D652" w14:textId="77777777" w:rsidR="00C10374" w:rsidRPr="00511005" w:rsidRDefault="00C10374" w:rsidP="003A292D">
      <w:pPr>
        <w:snapToGrid w:val="0"/>
        <w:spacing w:line="264" w:lineRule="auto"/>
        <w:ind w:firstLine="567"/>
        <w:rPr>
          <w:rFonts w:ascii="Arial" w:eastAsia="Calibri" w:hAnsi="Arial" w:cs="Arial"/>
          <w:szCs w:val="28"/>
          <w:lang w:val="uk-UA"/>
        </w:rPr>
      </w:pPr>
      <w:r w:rsidRPr="00511005">
        <w:rPr>
          <w:rFonts w:ascii="Arial" w:eastAsia="Calibri" w:hAnsi="Arial" w:cs="Arial"/>
          <w:szCs w:val="28"/>
          <w:lang w:val="uk-UA"/>
        </w:rPr>
        <w:lastRenderedPageBreak/>
        <w:t>Погоджуємося з В. Нор щодо того, що головне призначення презумпції невинуватості полягає в тому, щоб протистояти обвинувальному ухилу в кримінальному процесі, запобігати проявам суб’єктивізму, упередженості чи навіть свавілля. Цей принцип покликаний не допустити, щоб кримінальне судочинство перетворилося на інструмент розправи над обвинуваченим, коли його автоматично ототожнюють із винним, фактично позбавляючи процесуальних прав [4, с. 26].</w:t>
      </w:r>
    </w:p>
    <w:p w14:paraId="2BF649F6" w14:textId="77777777" w:rsidR="007B2628"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Задля всебічності висвітлення обраної проблематики, звернемо увагу на випадки, в яких презумпція невинуватості найчастіше порушується в Україні: </w:t>
      </w:r>
    </w:p>
    <w:p w14:paraId="179FD469" w14:textId="291BD63A"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 коли політики чи прокурори роблять публічні заяви про винуватість особи ще до завершення судового процесу; </w:t>
      </w:r>
    </w:p>
    <w:p w14:paraId="69A470C5"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2) коли судове рішення, яке не є обвинувальним вироком, все одно надає оцінку винуватості особи; </w:t>
      </w:r>
    </w:p>
    <w:p w14:paraId="64873159"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 під час затримання осіб, які підозрюються або обвинувачуються у вчиненні злочину, а також при обранні їм запобіжного заходу [5, с. 56]. </w:t>
      </w:r>
    </w:p>
    <w:p w14:paraId="317CFFDF" w14:textId="77777777" w:rsidR="00C10374" w:rsidRPr="00511005" w:rsidRDefault="00C10374" w:rsidP="003A292D">
      <w:pPr>
        <w:snapToGrid w:val="0"/>
        <w:spacing w:line="264" w:lineRule="auto"/>
        <w:ind w:firstLine="567"/>
        <w:rPr>
          <w:rFonts w:ascii="Arial" w:eastAsia="Calibri" w:hAnsi="Arial" w:cs="Arial"/>
          <w:szCs w:val="28"/>
          <w:lang w:val="uk-UA"/>
        </w:rPr>
      </w:pPr>
      <w:r w:rsidRPr="00511005">
        <w:rPr>
          <w:rFonts w:ascii="Arial" w:eastAsia="Calibri" w:hAnsi="Arial" w:cs="Arial"/>
          <w:szCs w:val="28"/>
          <w:shd w:val="clear" w:color="auto" w:fill="FFFFFF"/>
          <w:lang w:val="uk-UA"/>
        </w:rPr>
        <w:t xml:space="preserve">Аналізуючи вищевикладене, зазначимо, що </w:t>
      </w:r>
      <w:r w:rsidRPr="00511005">
        <w:rPr>
          <w:rFonts w:ascii="Arial" w:eastAsia="Calibri" w:hAnsi="Arial" w:cs="Arial"/>
          <w:szCs w:val="28"/>
          <w:lang w:val="uk-UA"/>
        </w:rPr>
        <w:t>принцип презумпції невинуватості передусім спрямований на державні органи та посадових осіб, які ведуть кримінальний процес і зобов’язані доказувати винуватість особи відповідно до закону. Це означає, що слідчі, прокурори та органи дізнання повинні підтвердити свою правову позицію шляхом здійснення процесуальних дій, які сприяють формуванню доказової бази для обвинувачення та її обґрунтування в процесуальних рішеннях. Таким чином, держава забезпечує гарантії того, що вина підозрюваного чи обвинуваченого буде доведена або спростована в межах процесуальних норм за допомогою належних і незаперечних доказів.</w:t>
      </w:r>
    </w:p>
    <w:p w14:paraId="2370CE01"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Важливим кроком для посилення ролі презумпцїї може бути вдосконалення механізмів контролю за медіа, щоб уникнути необґрунтованих публікацій про кримінальні справи до судового вироку. Крім того, слід посилити роль судових органів у забезпеченні дотримання презумпції невинуватості, наприклад, через більш чітке визначення процедур, які мінімізують ризик накладення неправомірних обмежень на підозрюваних до винесення обвинувального вироку. </w:t>
      </w:r>
    </w:p>
    <w:p w14:paraId="399BB47C"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p>
    <w:p w14:paraId="2567D4C3" w14:textId="169BE1F8" w:rsidR="00C10374" w:rsidRPr="00511005" w:rsidRDefault="007B2628" w:rsidP="007B2628">
      <w:pPr>
        <w:snapToGrid w:val="0"/>
        <w:spacing w:line="264" w:lineRule="auto"/>
        <w:ind w:firstLine="567"/>
        <w:jc w:val="center"/>
        <w:rPr>
          <w:rFonts w:ascii="Arial" w:eastAsia="Times New Roman" w:hAnsi="Arial" w:cs="Arial"/>
          <w:b/>
          <w:i/>
          <w:iCs/>
          <w:szCs w:val="28"/>
          <w:lang w:val="uk-UA" w:eastAsia="ru-RU"/>
        </w:rPr>
      </w:pPr>
      <w:r w:rsidRPr="00511005">
        <w:rPr>
          <w:rFonts w:ascii="Arial" w:eastAsia="Times New Roman" w:hAnsi="Arial" w:cs="Arial"/>
          <w:b/>
          <w:i/>
          <w:iCs/>
          <w:szCs w:val="28"/>
          <w:lang w:val="uk-UA" w:eastAsia="ru-RU"/>
        </w:rPr>
        <w:t>Список використаних джерел</w:t>
      </w:r>
    </w:p>
    <w:p w14:paraId="1B59FCE8" w14:textId="77777777" w:rsidR="00C10374" w:rsidRPr="00511005" w:rsidRDefault="00C10374" w:rsidP="003A292D">
      <w:pPr>
        <w:shd w:val="clear" w:color="auto" w:fill="FFFFFF"/>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1. Вапнярчук В.В. Загальна характеристика правових презумпцій та їх значення для кримінального процесуального доказування. </w:t>
      </w:r>
      <w:r w:rsidRPr="00511005">
        <w:rPr>
          <w:rFonts w:ascii="Arial" w:eastAsia="Calibri" w:hAnsi="Arial" w:cs="Arial"/>
          <w:i/>
          <w:iCs/>
          <w:szCs w:val="28"/>
          <w:lang w:val="uk-UA"/>
        </w:rPr>
        <w:t>Юрист України</w:t>
      </w:r>
      <w:r w:rsidRPr="00511005">
        <w:rPr>
          <w:rFonts w:ascii="Arial" w:eastAsia="Calibri" w:hAnsi="Arial" w:cs="Arial"/>
          <w:szCs w:val="28"/>
          <w:lang w:val="uk-UA"/>
        </w:rPr>
        <w:t>. No 3 (24). 2013. С. 62–68</w:t>
      </w:r>
    </w:p>
    <w:p w14:paraId="66480F5E" w14:textId="77777777" w:rsidR="00C10374" w:rsidRPr="00511005" w:rsidRDefault="00C10374" w:rsidP="003A292D">
      <w:pPr>
        <w:shd w:val="clear" w:color="auto" w:fill="FFFFFF"/>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t>2. Конституція України: Закон України від 28 червня 1996 р. № 254к/96-ВР</w:t>
      </w:r>
      <w:r w:rsidRPr="00511005">
        <w:rPr>
          <w:rFonts w:ascii="Arial" w:eastAsia="Calibri" w:hAnsi="Arial" w:cs="Arial"/>
          <w:szCs w:val="28"/>
        </w:rPr>
        <w:t xml:space="preserve">. </w:t>
      </w:r>
      <w:r w:rsidRPr="00511005">
        <w:rPr>
          <w:rFonts w:ascii="Arial" w:eastAsia="Calibri" w:hAnsi="Arial" w:cs="Arial"/>
          <w:szCs w:val="28"/>
          <w:lang w:val="pl-PL"/>
        </w:rPr>
        <w:t>URL</w:t>
      </w:r>
      <w:r w:rsidRPr="00511005">
        <w:rPr>
          <w:rFonts w:ascii="Arial" w:eastAsia="Calibri" w:hAnsi="Arial" w:cs="Arial"/>
          <w:szCs w:val="28"/>
          <w:lang w:val="uk-UA"/>
        </w:rPr>
        <w:t xml:space="preserve">: </w:t>
      </w:r>
      <w:hyperlink r:id="rId1072" w:anchor="Text" w:history="1">
        <w:r w:rsidRPr="00511005">
          <w:rPr>
            <w:rFonts w:ascii="Arial" w:eastAsia="Calibri" w:hAnsi="Arial" w:cs="Arial"/>
            <w:szCs w:val="28"/>
            <w:lang w:val="uk-UA"/>
          </w:rPr>
          <w:t>https://zakon.rada.gov.ua/laws/show/254к/96-вр#Text</w:t>
        </w:r>
      </w:hyperlink>
      <w:r w:rsidRPr="00511005">
        <w:rPr>
          <w:rFonts w:ascii="Arial" w:eastAsia="Calibri" w:hAnsi="Arial" w:cs="Arial"/>
          <w:szCs w:val="28"/>
          <w:lang w:val="uk-UA"/>
        </w:rPr>
        <w:t xml:space="preserve"> </w:t>
      </w:r>
    </w:p>
    <w:p w14:paraId="7582871A" w14:textId="77777777" w:rsidR="00C10374" w:rsidRPr="00511005" w:rsidRDefault="00C10374" w:rsidP="003A292D">
      <w:pPr>
        <w:shd w:val="clear" w:color="auto" w:fill="FFFFFF"/>
        <w:snapToGrid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3. Кримінальний процесуальний кодекс України: Закон України від 13 квітня 2012 р. № 4651-VI.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073" w:anchor="Text" w:tgtFrame="_new" w:history="1">
        <w:r w:rsidRPr="00511005">
          <w:rPr>
            <w:rFonts w:ascii="Arial" w:eastAsia="Calibri" w:hAnsi="Arial" w:cs="Arial"/>
            <w:szCs w:val="28"/>
            <w:lang w:val="uk-UA"/>
          </w:rPr>
          <w:t>https://zakon.rada.gov.ua/laws/show/4651-17#Text</w:t>
        </w:r>
      </w:hyperlink>
      <w:r w:rsidRPr="00511005">
        <w:rPr>
          <w:rFonts w:ascii="Arial" w:eastAsia="Calibri" w:hAnsi="Arial" w:cs="Arial"/>
          <w:szCs w:val="28"/>
          <w:lang w:val="uk-UA"/>
        </w:rPr>
        <w:t>.</w:t>
      </w:r>
    </w:p>
    <w:p w14:paraId="2B85D740" w14:textId="77777777" w:rsidR="00C10374" w:rsidRPr="00511005" w:rsidRDefault="00C10374" w:rsidP="003A292D">
      <w:pPr>
        <w:shd w:val="clear" w:color="auto" w:fill="FFFFFF"/>
        <w:snapToGri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4. Нор В.Т. Презумпція невинуватості як конституційна засада кримінального судочинства та її застосування в практиці Європейського Суду з прав людини. </w:t>
      </w:r>
      <w:r w:rsidRPr="00511005">
        <w:rPr>
          <w:rFonts w:ascii="Arial" w:eastAsia="Times New Roman" w:hAnsi="Arial" w:cs="Arial"/>
          <w:i/>
          <w:iCs/>
          <w:szCs w:val="28"/>
          <w:lang w:val="uk-UA" w:eastAsia="ru-RU"/>
        </w:rPr>
        <w:t>Часопис Національного університету «Острозька академія»</w:t>
      </w:r>
      <w:r w:rsidRPr="00511005">
        <w:rPr>
          <w:rFonts w:ascii="Arial" w:eastAsia="Times New Roman" w:hAnsi="Arial" w:cs="Arial"/>
          <w:szCs w:val="28"/>
          <w:lang w:val="uk-UA" w:eastAsia="ru-RU"/>
        </w:rPr>
        <w:t>. Серія «Право». 2011. No 1 (3). С.1–34.</w:t>
      </w:r>
    </w:p>
    <w:p w14:paraId="489F6DD1" w14:textId="77777777" w:rsidR="00C10374" w:rsidRPr="00511005" w:rsidRDefault="00C10374" w:rsidP="003A292D">
      <w:pPr>
        <w:shd w:val="clear" w:color="auto" w:fill="FFFFFF"/>
        <w:snapToGri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5. Барчук Г.І., Чеханюк П.Ю. Презумпція невинуватості як один із принципів кримінального процесу. </w:t>
      </w:r>
      <w:r w:rsidRPr="00511005">
        <w:rPr>
          <w:rFonts w:ascii="Arial" w:eastAsia="Times New Roman" w:hAnsi="Arial" w:cs="Arial"/>
          <w:i/>
          <w:iCs/>
          <w:szCs w:val="28"/>
          <w:lang w:val="uk-UA" w:eastAsia="ru-RU"/>
        </w:rPr>
        <w:t>Науковий вісник Київського національного університету внутрішніх справ</w:t>
      </w:r>
      <w:r w:rsidRPr="00511005">
        <w:rPr>
          <w:rFonts w:ascii="Arial" w:eastAsia="Times New Roman" w:hAnsi="Arial" w:cs="Arial"/>
          <w:szCs w:val="28"/>
          <w:lang w:val="uk-UA" w:eastAsia="ru-RU"/>
        </w:rPr>
        <w:t>.2010. No 4 (71). С. 54–62.</w:t>
      </w:r>
    </w:p>
    <w:p w14:paraId="2744D447" w14:textId="77777777" w:rsidR="00C10374" w:rsidRPr="00511005" w:rsidRDefault="00C10374" w:rsidP="003A292D">
      <w:pPr>
        <w:shd w:val="clear" w:color="auto" w:fill="FFFFFF"/>
        <w:snapToGri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6. </w:t>
      </w:r>
      <w:r w:rsidRPr="00511005">
        <w:rPr>
          <w:rFonts w:ascii="Arial" w:eastAsia="Calibri" w:hAnsi="Arial" w:cs="Arial"/>
          <w:szCs w:val="28"/>
          <w:lang w:val="uk-UA"/>
        </w:rPr>
        <w:t>Презумпція невинуватості</w:t>
      </w:r>
      <w:r w:rsidRPr="00511005">
        <w:rPr>
          <w:rFonts w:ascii="Arial" w:eastAsia="Calibri" w:hAnsi="Arial" w:cs="Arial"/>
          <w:szCs w:val="28"/>
        </w:rPr>
        <w:t>.</w:t>
      </w:r>
      <w:r w:rsidRPr="00511005">
        <w:rPr>
          <w:rFonts w:ascii="Arial" w:eastAsia="Calibri" w:hAnsi="Arial" w:cs="Arial"/>
          <w:szCs w:val="28"/>
          <w:lang w:val="uk-UA"/>
        </w:rPr>
        <w:t xml:space="preserve"> </w:t>
      </w:r>
      <w:r w:rsidRPr="00511005">
        <w:rPr>
          <w:rFonts w:ascii="Arial" w:eastAsia="Calibri" w:hAnsi="Arial" w:cs="Arial"/>
          <w:i/>
          <w:iCs/>
          <w:szCs w:val="28"/>
          <w:lang w:val="uk-UA"/>
        </w:rPr>
        <w:t>Вебсайт</w:t>
      </w:r>
      <w:r w:rsidRPr="00511005">
        <w:rPr>
          <w:rFonts w:ascii="Arial" w:eastAsia="Calibri" w:hAnsi="Arial" w:cs="Arial"/>
          <w:szCs w:val="28"/>
          <w:lang w:val="uk-UA"/>
        </w:rPr>
        <w:t xml:space="preserve"> </w:t>
      </w:r>
      <w:r w:rsidRPr="00511005">
        <w:rPr>
          <w:rFonts w:ascii="Arial" w:eastAsia="Calibri" w:hAnsi="Arial" w:cs="Arial"/>
          <w:i/>
          <w:iCs/>
          <w:szCs w:val="28"/>
          <w:lang w:val="uk-UA"/>
        </w:rPr>
        <w:t>Конституційного Суду України</w:t>
      </w:r>
      <w:r w:rsidRPr="00511005">
        <w:rPr>
          <w:rFonts w:ascii="Arial" w:eastAsia="Calibri" w:hAnsi="Arial" w:cs="Arial"/>
          <w:szCs w:val="28"/>
          <w:lang w:val="uk-UA"/>
        </w:rPr>
        <w:t xml:space="preserve">.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074" w:tgtFrame="_new" w:history="1">
        <w:r w:rsidRPr="00511005">
          <w:rPr>
            <w:rFonts w:ascii="Arial" w:eastAsia="Calibri" w:hAnsi="Arial" w:cs="Arial"/>
            <w:szCs w:val="28"/>
            <w:lang w:val="uk-UA"/>
          </w:rPr>
          <w:t>https://ccu.gov.ua/storinka-knygy/43911-prezumpciya-nevynuvatosti</w:t>
        </w:r>
      </w:hyperlink>
      <w:r w:rsidRPr="00511005">
        <w:rPr>
          <w:rFonts w:ascii="Arial" w:eastAsia="Calibri" w:hAnsi="Arial" w:cs="Arial"/>
          <w:szCs w:val="28"/>
          <w:lang w:val="uk-UA"/>
        </w:rPr>
        <w:t xml:space="preserve"> </w:t>
      </w:r>
    </w:p>
    <w:p w14:paraId="16906A1B" w14:textId="77777777" w:rsidR="00C10374" w:rsidRPr="00511005" w:rsidRDefault="00C10374" w:rsidP="003A292D">
      <w:pPr>
        <w:shd w:val="clear" w:color="auto" w:fill="FFFFFF"/>
        <w:snapToGrid w:val="0"/>
        <w:spacing w:line="264" w:lineRule="auto"/>
        <w:ind w:firstLine="0"/>
        <w:rPr>
          <w:rFonts w:ascii="Arial" w:eastAsia="Times New Roman" w:hAnsi="Arial" w:cs="Arial"/>
          <w:szCs w:val="28"/>
          <w:lang w:val="uk-UA" w:eastAsia="ru-RU"/>
        </w:rPr>
      </w:pPr>
    </w:p>
    <w:p w14:paraId="3D435E22" w14:textId="57C829F6" w:rsidR="00C10374" w:rsidRPr="00511005" w:rsidRDefault="007B2628" w:rsidP="003A292D">
      <w:pPr>
        <w:snapToGrid w:val="0"/>
        <w:spacing w:line="264" w:lineRule="auto"/>
        <w:ind w:firstLine="567"/>
        <w:rPr>
          <w:rFonts w:ascii="Arial" w:eastAsia="Times New Roman" w:hAnsi="Arial" w:cs="Arial"/>
          <w:szCs w:val="28"/>
          <w:lang w:val="uk-UA" w:eastAsia="ru-RU"/>
        </w:rPr>
      </w:pPr>
      <w:r w:rsidRPr="00511005">
        <w:rPr>
          <w:rFonts w:ascii="Arial" w:eastAsia="Calibri" w:hAnsi="Arial" w:cs="Arial"/>
          <w:b/>
          <w:i/>
          <w:szCs w:val="28"/>
          <w:lang w:val="uk-UA"/>
        </w:rPr>
        <w:t xml:space="preserve">Ключові слова: </w:t>
      </w:r>
      <w:r w:rsidR="00C10374" w:rsidRPr="00511005">
        <w:rPr>
          <w:rFonts w:ascii="Arial" w:eastAsia="Times New Roman" w:hAnsi="Arial" w:cs="Arial"/>
          <w:szCs w:val="28"/>
          <w:lang w:val="uk-UA" w:eastAsia="ru-RU"/>
        </w:rPr>
        <w:t xml:space="preserve">презумпція, кримінальне судочинство, права обвинуваченого, справедливий суд, доказування вини, захист прав людини, юридична відповідальність. </w:t>
      </w:r>
    </w:p>
    <w:p w14:paraId="5C7F0D66" w14:textId="005B6005" w:rsidR="00C10374" w:rsidRPr="00511005" w:rsidRDefault="007B2628" w:rsidP="003A292D">
      <w:pPr>
        <w:snapToGrid w:val="0"/>
        <w:spacing w:line="264" w:lineRule="auto"/>
        <w:ind w:firstLine="567"/>
        <w:rPr>
          <w:rFonts w:ascii="Arial" w:eastAsia="Calibri" w:hAnsi="Arial" w:cs="Arial"/>
          <w:szCs w:val="28"/>
          <w:lang w:val="uk-UA"/>
        </w:rPr>
      </w:pPr>
      <w:r w:rsidRPr="00511005">
        <w:rPr>
          <w:rFonts w:ascii="Arial" w:eastAsia="Calibri" w:hAnsi="Arial" w:cs="Arial"/>
          <w:b/>
          <w:i/>
          <w:szCs w:val="28"/>
          <w:lang w:val="uk-UA"/>
        </w:rPr>
        <w:t xml:space="preserve">Key words: </w:t>
      </w:r>
      <w:r w:rsidR="00C10374" w:rsidRPr="00511005">
        <w:rPr>
          <w:rFonts w:ascii="Arial" w:eastAsia="Calibri" w:hAnsi="Arial" w:cs="Arial"/>
          <w:szCs w:val="28"/>
          <w:lang w:val="uk-UA"/>
        </w:rPr>
        <w:t>presumption, criminal justice, rights of the accused, fair trial, proof of guilt, protection of human rights, legal responsibility.</w:t>
      </w:r>
    </w:p>
    <w:p w14:paraId="1131F419"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p>
    <w:p w14:paraId="446E2817" w14:textId="453A38CE" w:rsidR="00C10374" w:rsidRPr="00511005" w:rsidRDefault="00C76181" w:rsidP="003A292D">
      <w:pPr>
        <w:snapToGrid w:val="0"/>
        <w:spacing w:line="264" w:lineRule="auto"/>
        <w:ind w:firstLine="0"/>
        <w:rPr>
          <w:rFonts w:ascii="Arial" w:eastAsia="Calibri" w:hAnsi="Arial" w:cs="Arial"/>
          <w:b/>
          <w:szCs w:val="28"/>
          <w:lang w:val="uk-UA"/>
        </w:rPr>
      </w:pPr>
      <w:r w:rsidRPr="00511005">
        <w:rPr>
          <w:rFonts w:ascii="Arial" w:eastAsia="Calibri" w:hAnsi="Arial" w:cs="Arial"/>
          <w:b/>
          <w:i/>
          <w:szCs w:val="28"/>
          <w:lang w:val="uk-UA"/>
        </w:rPr>
        <w:t xml:space="preserve">Науковий керівник: </w:t>
      </w:r>
      <w:r w:rsidR="00C10374" w:rsidRPr="00511005">
        <w:rPr>
          <w:rFonts w:ascii="Arial" w:eastAsia="Calibri" w:hAnsi="Arial" w:cs="Arial"/>
          <w:szCs w:val="28"/>
          <w:lang w:val="uk-UA"/>
        </w:rPr>
        <w:t>к.ю.н.,</w:t>
      </w:r>
      <w:r w:rsidR="00C10374" w:rsidRPr="00511005">
        <w:rPr>
          <w:rFonts w:ascii="Arial" w:eastAsia="Calibri" w:hAnsi="Arial" w:cs="Arial"/>
          <w:b/>
          <w:bCs/>
          <w:i/>
          <w:szCs w:val="28"/>
          <w:shd w:val="clear" w:color="auto" w:fill="FFFFFF"/>
          <w:lang w:val="uk-UA"/>
        </w:rPr>
        <w:t xml:space="preserve"> </w:t>
      </w:r>
      <w:r w:rsidR="00C10374" w:rsidRPr="00C76181">
        <w:rPr>
          <w:rFonts w:ascii="Arial" w:eastAsia="Calibri" w:hAnsi="Arial" w:cs="Arial"/>
          <w:iCs/>
          <w:szCs w:val="28"/>
          <w:shd w:val="clear" w:color="auto" w:fill="FFFFFF"/>
          <w:lang w:val="uk-UA"/>
        </w:rPr>
        <w:t>доцент Кравченко М.О.</w:t>
      </w:r>
    </w:p>
    <w:p w14:paraId="5104DF5C" w14:textId="77777777" w:rsidR="00C10374" w:rsidRPr="00511005" w:rsidRDefault="00C10374" w:rsidP="003A292D">
      <w:pPr>
        <w:spacing w:line="264" w:lineRule="auto"/>
        <w:ind w:left="708" w:firstLine="0"/>
        <w:rPr>
          <w:rFonts w:ascii="Arial" w:eastAsia="Times New Roman" w:hAnsi="Arial" w:cs="Arial"/>
          <w:szCs w:val="28"/>
        </w:rPr>
      </w:pPr>
    </w:p>
    <w:p w14:paraId="42F9A091" w14:textId="77777777" w:rsidR="00C10374" w:rsidRPr="00511005" w:rsidRDefault="00C10374" w:rsidP="003A292D">
      <w:pPr>
        <w:snapToGrid w:val="0"/>
        <w:spacing w:line="264" w:lineRule="auto"/>
        <w:ind w:firstLine="0"/>
        <w:jc w:val="left"/>
        <w:rPr>
          <w:rFonts w:ascii="Arial" w:eastAsia="Times New Roman" w:hAnsi="Arial" w:cs="Arial"/>
          <w:bCs/>
          <w:i/>
          <w:szCs w:val="28"/>
          <w:lang w:val="uk-UA" w:eastAsia="ru-RU"/>
        </w:rPr>
      </w:pPr>
    </w:p>
    <w:p w14:paraId="5DD4EB50" w14:textId="77777777" w:rsidR="00C10374" w:rsidRPr="00511005" w:rsidRDefault="00C10374" w:rsidP="003A292D">
      <w:pPr>
        <w:spacing w:line="264" w:lineRule="auto"/>
        <w:jc w:val="center"/>
        <w:rPr>
          <w:rFonts w:ascii="Arial" w:eastAsia="Times New Roman" w:hAnsi="Arial" w:cs="Arial"/>
          <w:b/>
          <w:bCs/>
          <w:i/>
          <w:szCs w:val="28"/>
          <w:lang w:val="uk-UA" w:eastAsia="uk-UA"/>
        </w:rPr>
      </w:pPr>
      <w:r w:rsidRPr="00511005">
        <w:rPr>
          <w:rFonts w:ascii="Arial" w:eastAsia="Times New Roman" w:hAnsi="Arial" w:cs="Arial"/>
          <w:b/>
          <w:bCs/>
          <w:i/>
          <w:szCs w:val="28"/>
          <w:lang w:val="uk-UA" w:eastAsia="uk-UA"/>
        </w:rPr>
        <w:t>Воєвода Єлизавета Сергіївна</w:t>
      </w:r>
    </w:p>
    <w:p w14:paraId="4C543DFE" w14:textId="1C7EA19A" w:rsidR="00C10374" w:rsidRPr="00511005" w:rsidRDefault="00BE3972"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1-го курсу </w:t>
      </w:r>
      <w:r w:rsidR="001B7B25" w:rsidRPr="00511005">
        <w:rPr>
          <w:rFonts w:ascii="Arial" w:eastAsia="Times New Roman" w:hAnsi="Arial" w:cs="Arial"/>
          <w:szCs w:val="28"/>
          <w:lang w:val="uk-UA" w:eastAsia="uk-UA"/>
        </w:rPr>
        <w:t>факультету судового та міжнародного права</w:t>
      </w:r>
    </w:p>
    <w:p w14:paraId="56DB229F" w14:textId="21B358B4" w:rsidR="00C10374" w:rsidRPr="00511005" w:rsidRDefault="00BE3972"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2FCC1670" w14:textId="77777777" w:rsidR="00C10374" w:rsidRPr="00511005" w:rsidRDefault="00C10374" w:rsidP="003A292D">
      <w:pPr>
        <w:spacing w:line="264" w:lineRule="auto"/>
        <w:jc w:val="center"/>
        <w:rPr>
          <w:rFonts w:ascii="Arial" w:eastAsia="Times New Roman" w:hAnsi="Arial" w:cs="Arial"/>
          <w:szCs w:val="28"/>
          <w:lang w:val="uk-UA" w:eastAsia="uk-UA"/>
        </w:rPr>
      </w:pPr>
    </w:p>
    <w:p w14:paraId="43859703" w14:textId="77777777" w:rsidR="00C10374" w:rsidRPr="00511005" w:rsidRDefault="00C10374" w:rsidP="003A292D">
      <w:pPr>
        <w:spacing w:line="264" w:lineRule="auto"/>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ГАРАНТІЇ НЕЗАЛЕЖНОСТІ СУДОВОЇ ВЛАДИ В ЄВРОПЕЙСЬКИХ КРАЇНАХ ТА МОЖЛИВОСТІ ЇХ ІМПЛЕМЕНТАЦІЇ В УКРАЇНІ</w:t>
      </w:r>
    </w:p>
    <w:p w14:paraId="76FF1D23" w14:textId="77777777" w:rsidR="00C10374" w:rsidRPr="00511005" w:rsidRDefault="00C10374" w:rsidP="003A292D">
      <w:pPr>
        <w:spacing w:line="264" w:lineRule="auto"/>
        <w:jc w:val="center"/>
        <w:rPr>
          <w:rFonts w:ascii="Arial" w:eastAsia="Times New Roman" w:hAnsi="Arial" w:cs="Arial"/>
          <w:b/>
          <w:bCs/>
          <w:szCs w:val="28"/>
          <w:lang w:val="uk-UA" w:eastAsia="uk-UA"/>
        </w:rPr>
      </w:pPr>
    </w:p>
    <w:p w14:paraId="340DB9C2" w14:textId="77777777" w:rsidR="00C10374" w:rsidRPr="00511005" w:rsidRDefault="00C10374"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процесі європейської інтеграції для України важливим є сприйняття цінностей, принципів та концепцій країн Європейського Союзу, спрямованих на розвиток демократичних держав, де головною метою є захист прав, свобод та інтересів громадян. Однією з ключових задач є зміцнення прозорості, самостійності та незалежності судової влади, оскільки ці принципи є основою правової держави. Вони забезпечують справедливість та рівність перед законом, адже лише незалежний суд може ухвалювати рішення без протиправного впливу, тиску чи втручання. Гарантування незалежності є важливою умовою для забезпечення верховенства права в державі, а також створює необхідне середовище для розвитку країни, як демократичної та стабільної європейської держави.</w:t>
      </w:r>
    </w:p>
    <w:p w14:paraId="0D9C0CA4" w14:textId="77777777" w:rsidR="00C10374" w:rsidRPr="00511005" w:rsidRDefault="00C10374"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 міжнародному рівні незалежність судової влади закріплена в Конвенції про захист прав людини та основоположних свобод, зокрема в статті 6, яка гарантує право кожного на справедливий і відкритий судовий розгляд у розумний строк незалежним і неупередженим судом, створеним </w:t>
      </w:r>
      <w:r w:rsidRPr="00511005">
        <w:rPr>
          <w:rFonts w:ascii="Arial" w:eastAsia="Times New Roman" w:hAnsi="Arial" w:cs="Arial"/>
          <w:szCs w:val="28"/>
          <w:lang w:val="uk-UA" w:eastAsia="uk-UA"/>
        </w:rPr>
        <w:lastRenderedPageBreak/>
        <w:t>на підставі національного закону. Це положення підкреслює важливість незалежності суду для забезпечення основ правової держави [1].</w:t>
      </w:r>
    </w:p>
    <w:p w14:paraId="369D95CB" w14:textId="77777777" w:rsidR="00C10374" w:rsidRPr="00511005" w:rsidRDefault="00C10374"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свою чергу гарантування незалежності судової влади набуло значного розвитку після приєднання держав Східної та Центральної Європи до Ради Європи, коли інституційна незалежність судової влади стала одним із головних напрямків реформ. У цей період особлива увага була приділена створенню спеціальних інститутів, таких як ради магістратури або юстиції, що виконують функції суддівського врядування. Метою діяльності цих органів було «виведення» судових органів з-під прямого адміністративного контролю та фактичного управління виконавчої та законодавчої гілок державної влади, що мало на меті забезпечити незалежність суддів і судових органів у їхній діяльності [2].</w:t>
      </w:r>
    </w:p>
    <w:p w14:paraId="568858A6" w14:textId="4AFBBC44"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Документальне закріплення принципу незалежності судової влади відбулося також у листопаді 1985 року, коли Генеральна Асамблея ООН прийняла Основні принципи незалежності судових органів, і вони стали важливим кроком у зміцненні незалежності судової влади в країнах, що переживали процеси демократизації. Положення, визначені в резолюції,</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формують основні складові для забезпечення незалежності, зокрема, такі як призначення суддів на основі об'єктивних критеріїв, захист їхніх прав від політичного або адміністративного втручання та надання їм необхідних соціальних гарантій для стабільного виконання обов'язків [3]. </w:t>
      </w:r>
    </w:p>
    <w:p w14:paraId="47BDB238" w14:textId="5D157128"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Згідно до принципів незалежності суддів її повинно бути забезпечено через прозорі та неупереджені процедури їхнього призначення, а також через створення незалежних органів суддівського врядування, які б контролювали процеси призначення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та дисциплінарної відповідальності суддів. Крім того, для забезпечення ефективності правосуддя важливо, щоб судді мали достатньо ресурсів, часу та гарантій для того, щоб здійснювати свою діяльність без страху перед зовнішнім тиском.</w:t>
      </w:r>
    </w:p>
    <w:p w14:paraId="536AE6FC"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Згодом, у 1998 році, було розширено положення, викладені у попередніх документах, в межах Європейської Хартії про статус суддів, що відзначила значущі принципи незалежності судової влади та відповідальності суддів. Згідно з Хартією, процеси відбору, призначення, підвищення по службі та припинення повноважень суддів мають здійснюватися за участі незалежного від виконавчої та законодавчої гілок влади органу. Важливо, що щонайменше половину його складу повинні становити судді, обрані своїми колегами, що мінімізує можливості для політичного впливу на судові рішення. У випадку, коли суддя вважає, що його незалежність, а також незалежність судового процесу опиняються під загрозою, закон передбачає можливість звернення до незалежного органу, що може вжити заходів для виправлення ситуації [4]. </w:t>
      </w:r>
    </w:p>
    <w:p w14:paraId="472C26D1"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На цьому тлі український досвід реформування судової влади набуває особливого значення, адже країна послідовно рухається курсом </w:t>
      </w:r>
      <w:r w:rsidRPr="00511005">
        <w:rPr>
          <w:rFonts w:ascii="Arial" w:eastAsia="Calibri" w:hAnsi="Arial" w:cs="Arial"/>
          <w:szCs w:val="28"/>
          <w:lang w:val="uk-UA"/>
        </w:rPr>
        <w:lastRenderedPageBreak/>
        <w:t>європейської інтеграції, що вимагає не лише гармонізації законодавства, а й створення ефективної системи стримувань і противаг. Однією з ключових умов цього процесу є реальне забезпечення незалежності судової гілки влади, яка є необхідною складовою демократичної держави та гарантом верховенства права. Попри конституційне закріплення принципу поділу влади і відповідні положення Закону України «Про судоустрій і статус суддів», на практиці зберігаються серйозні виклики, зокрема політичний тиск, корупційні ризики, непрозорі процедури добору та призначення суддів, а також обмежена спроможність органів суддівського врядування ефективно виконувати свої функції. Подолання цих проблем є критично важливим для формування незалежної судової влади, здатної виконувати свою роль у системі стримувань і противаг [5,6] та захищати права і свободи громадян.</w:t>
      </w:r>
    </w:p>
    <w:p w14:paraId="03D9EE88"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Особливої уваги вимагає подальше вдосконалення діяльності таких органів, як Вища рада правосуддя та Вища кваліфікаційна комісія суддів України, які мають відігравати ключову роль у гарантуванні суддівської незалежності. Україна вже отримала низку рекомендацій від європейських інституцій щодо необхідності перезавантаження цих органів, забезпечення їхньої прозорості, доброчесності членів та недопущення політичного впливу на ухвалення рішень. </w:t>
      </w:r>
    </w:p>
    <w:p w14:paraId="5AA07946"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Отже, аналіз європейського досвіду свідчить про те, що ефективне функціонування судоустрійної системи можливе лише за наявності реальних, а не декларативних гарантій незалежності судовою влади. Імплементація європейських практик у цій сфері сприятиме зміцненню довіри до судоустрійної системи в Україні та загальному утвердженню демократичних цінностей.</w:t>
      </w:r>
    </w:p>
    <w:p w14:paraId="5959502A" w14:textId="77777777" w:rsidR="00C10374" w:rsidRPr="00511005" w:rsidRDefault="00C10374" w:rsidP="003A292D">
      <w:pPr>
        <w:spacing w:line="264" w:lineRule="auto"/>
        <w:rPr>
          <w:rFonts w:ascii="Arial" w:eastAsia="Calibri" w:hAnsi="Arial" w:cs="Arial"/>
          <w:szCs w:val="28"/>
        </w:rPr>
      </w:pPr>
    </w:p>
    <w:p w14:paraId="52653E03" w14:textId="1812DEC4" w:rsidR="00C10374" w:rsidRPr="00511005" w:rsidRDefault="007B2628" w:rsidP="007B2628">
      <w:pPr>
        <w:spacing w:line="264" w:lineRule="auto"/>
        <w:ind w:firstLine="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1108E25E" w14:textId="77777777" w:rsidR="00C10374" w:rsidRPr="00511005" w:rsidRDefault="00C10374" w:rsidP="003F6A5D">
      <w:pPr>
        <w:numPr>
          <w:ilvl w:val="0"/>
          <w:numId w:val="292"/>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Конвенція про захист прав людини і основоположних свобод від 4.11.1950. Ратифікована Україною 17.07.1997.</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075" w:anchor="Text" w:history="1">
        <w:r w:rsidRPr="00511005">
          <w:rPr>
            <w:rFonts w:ascii="Arial" w:eastAsia="Times New Roman" w:hAnsi="Arial" w:cs="Arial"/>
            <w:szCs w:val="28"/>
            <w:lang w:val="uk-UA" w:eastAsia="ru-RU"/>
          </w:rPr>
          <w:t>https://zakon.rada.gov.ua/laws/show/995_004#Text</w:t>
        </w:r>
      </w:hyperlink>
      <w:r w:rsidRPr="00511005">
        <w:rPr>
          <w:rFonts w:ascii="Arial" w:eastAsia="Times New Roman" w:hAnsi="Arial" w:cs="Arial"/>
          <w:szCs w:val="28"/>
          <w:lang w:val="uk-UA" w:eastAsia="ru-RU"/>
        </w:rPr>
        <w:t xml:space="preserve"> </w:t>
      </w:r>
    </w:p>
    <w:p w14:paraId="1CE0EB7E" w14:textId="7768921E" w:rsidR="00C10374" w:rsidRPr="00511005" w:rsidRDefault="00C10374" w:rsidP="003F6A5D">
      <w:pPr>
        <w:numPr>
          <w:ilvl w:val="0"/>
          <w:numId w:val="292"/>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Комітет Міністрів. Рекомендація CM/Rec(2010)12 Комітету Міністрів державам-членам щодо суддів: незалежність, ефективність та обов’язки.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076" w:anchor="Text" w:history="1">
        <w:r w:rsidRPr="00511005">
          <w:rPr>
            <w:rFonts w:ascii="Arial" w:eastAsia="Times New Roman" w:hAnsi="Arial" w:cs="Arial"/>
            <w:szCs w:val="28"/>
            <w:lang w:val="uk-UA" w:eastAsia="ru-RU"/>
          </w:rPr>
          <w:t>https://zakon.rada.gov.ua/laws/show/994_a38#Text</w:t>
        </w:r>
      </w:hyperlink>
      <w:r w:rsidR="007B2628" w:rsidRPr="00511005">
        <w:rPr>
          <w:rFonts w:ascii="Arial" w:eastAsia="Times New Roman" w:hAnsi="Arial" w:cs="Arial"/>
          <w:szCs w:val="28"/>
          <w:lang w:val="uk-UA" w:eastAsia="ru-RU"/>
        </w:rPr>
        <w:t xml:space="preserve"> </w:t>
      </w:r>
    </w:p>
    <w:p w14:paraId="7BB71537" w14:textId="72D09DE6" w:rsidR="00C10374" w:rsidRPr="00511005" w:rsidRDefault="00C10374" w:rsidP="003F6A5D">
      <w:pPr>
        <w:numPr>
          <w:ilvl w:val="0"/>
          <w:numId w:val="292"/>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Основні принципи незалежності судових органів від 13.12.1985. Схвалені резолюціями 40/32 та 40/146 Генеральної Асамблеї від 29 листопада та 13 грудня 1985 року.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hyperlink r:id="rId1077" w:anchor="Text" w:history="1">
        <w:r w:rsidRPr="00511005">
          <w:rPr>
            <w:rFonts w:ascii="Arial" w:eastAsia="Times New Roman" w:hAnsi="Arial" w:cs="Arial"/>
            <w:szCs w:val="28"/>
            <w:lang w:val="uk-UA" w:eastAsia="ru-RU"/>
          </w:rPr>
          <w:t>https://zakon.rada.gov.ua/laws/show/995_201#Text</w:t>
        </w:r>
      </w:hyperlink>
    </w:p>
    <w:p w14:paraId="39B5D405" w14:textId="77777777" w:rsidR="00C10374" w:rsidRPr="00511005" w:rsidRDefault="00C10374" w:rsidP="003F6A5D">
      <w:pPr>
        <w:numPr>
          <w:ilvl w:val="0"/>
          <w:numId w:val="292"/>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Європейська хартія «Про статус суддів» від 10 червня 1998 р. [Електронний ресурс] // </w:t>
      </w:r>
      <w:r w:rsidRPr="00511005">
        <w:rPr>
          <w:rFonts w:ascii="Arial" w:eastAsia="Times New Roman" w:hAnsi="Arial" w:cs="Arial"/>
          <w:i/>
          <w:szCs w:val="28"/>
          <w:lang w:val="uk-UA" w:eastAsia="ru-RU"/>
        </w:rPr>
        <w:t>Офіційний веб-сайт Верховної Ради України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078" w:history="1">
        <w:r w:rsidRPr="00511005">
          <w:rPr>
            <w:rFonts w:ascii="Arial" w:eastAsia="Times New Roman" w:hAnsi="Arial" w:cs="Arial"/>
            <w:szCs w:val="28"/>
            <w:lang w:val="uk-UA" w:eastAsia="ru-RU"/>
          </w:rPr>
          <w:t>http://zakon1.rada.gov.ua/laws/show/994_236</w:t>
        </w:r>
      </w:hyperlink>
      <w:r w:rsidRPr="00511005">
        <w:rPr>
          <w:rFonts w:ascii="Arial" w:eastAsia="Times New Roman" w:hAnsi="Arial" w:cs="Arial"/>
          <w:szCs w:val="28"/>
          <w:lang w:val="uk-UA" w:eastAsia="ru-RU"/>
        </w:rPr>
        <w:t xml:space="preserve">. </w:t>
      </w:r>
    </w:p>
    <w:p w14:paraId="28B89B49" w14:textId="77777777" w:rsidR="007B2628" w:rsidRPr="00511005" w:rsidRDefault="00C10374" w:rsidP="003F6A5D">
      <w:pPr>
        <w:numPr>
          <w:ilvl w:val="0"/>
          <w:numId w:val="292"/>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b/>
          <w:bCs/>
          <w:szCs w:val="28"/>
          <w:lang w:val="uk-UA" w:eastAsia="ru-RU"/>
        </w:rPr>
        <w:t>Конституція України.</w:t>
      </w:r>
      <w:r w:rsidRPr="00511005">
        <w:rPr>
          <w:rFonts w:ascii="Arial" w:eastAsia="Times New Roman" w:hAnsi="Arial" w:cs="Arial"/>
          <w:szCs w:val="28"/>
          <w:lang w:val="uk-UA" w:eastAsia="ru-RU"/>
        </w:rPr>
        <w:t xml:space="preserve"> Офіційний текст // </w:t>
      </w:r>
      <w:r w:rsidRPr="00511005">
        <w:rPr>
          <w:rFonts w:ascii="Arial" w:eastAsia="Times New Roman" w:hAnsi="Arial" w:cs="Arial"/>
          <w:i/>
          <w:szCs w:val="28"/>
          <w:lang w:val="uk-UA" w:eastAsia="ru-RU"/>
        </w:rPr>
        <w:t>Верховна Рада України.</w:t>
      </w:r>
      <w:r w:rsidR="007B2628" w:rsidRPr="00511005">
        <w:rPr>
          <w:rFonts w:ascii="Arial" w:eastAsia="Times New Roman" w:hAnsi="Arial" w:cs="Arial"/>
          <w:i/>
          <w:szCs w:val="28"/>
          <w:lang w:val="uk-UA" w:eastAsia="ru-RU"/>
        </w:rPr>
        <w:t xml:space="preserve"> </w:t>
      </w:r>
      <w:r w:rsidRPr="00511005">
        <w:rPr>
          <w:rFonts w:ascii="Arial" w:eastAsia="Times New Roman" w:hAnsi="Arial" w:cs="Arial"/>
          <w:i/>
          <w:szCs w:val="28"/>
          <w:lang w:val="uk-UA" w:eastAsia="ru-RU"/>
        </w:rPr>
        <w:t>Київ: ВР України, 1996.</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w:t>
      </w:r>
      <w:hyperlink r:id="rId1079" w:history="1">
        <w:r w:rsidRPr="00511005">
          <w:rPr>
            <w:rFonts w:ascii="Arial" w:eastAsia="Times New Roman" w:hAnsi="Arial" w:cs="Arial"/>
            <w:szCs w:val="28"/>
            <w:lang w:val="uk-UA" w:eastAsia="ru-RU"/>
          </w:rPr>
          <w:t>https://zakon.rada.gov.ua/laws/show/254к/96-вр</w:t>
        </w:r>
      </w:hyperlink>
      <w:r w:rsidRPr="00511005">
        <w:rPr>
          <w:rFonts w:ascii="Arial" w:eastAsia="Times New Roman" w:hAnsi="Arial" w:cs="Arial"/>
          <w:szCs w:val="28"/>
          <w:lang w:val="uk-UA" w:eastAsia="ru-RU"/>
        </w:rPr>
        <w:t xml:space="preserve"> </w:t>
      </w:r>
    </w:p>
    <w:p w14:paraId="2B8199CF" w14:textId="22802282" w:rsidR="00C10374" w:rsidRPr="00511005" w:rsidRDefault="00C10374" w:rsidP="003F6A5D">
      <w:pPr>
        <w:numPr>
          <w:ilvl w:val="0"/>
          <w:numId w:val="292"/>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Про судоустрій і статус суддів: Закон України від 02 червня 2016 р. № 1402-VII. URL: </w:t>
      </w:r>
      <w:hyperlink r:id="rId1080" w:anchor="Text" w:history="1">
        <w:r w:rsidRPr="00511005">
          <w:rPr>
            <w:rFonts w:ascii="Arial" w:eastAsia="Times New Roman" w:hAnsi="Arial" w:cs="Arial"/>
            <w:szCs w:val="28"/>
            <w:lang w:val="uk-UA" w:eastAsia="ru-RU"/>
          </w:rPr>
          <w:t>https://zakon.rada.gov.ua/laws/show/1402-19#Text</w:t>
        </w:r>
      </w:hyperlink>
      <w:r w:rsidRPr="00511005">
        <w:rPr>
          <w:rFonts w:ascii="Arial" w:eastAsia="Times New Roman" w:hAnsi="Arial" w:cs="Arial"/>
          <w:szCs w:val="28"/>
          <w:lang w:val="uk-UA" w:eastAsia="ru-RU"/>
        </w:rPr>
        <w:t xml:space="preserve"> </w:t>
      </w:r>
    </w:p>
    <w:p w14:paraId="25F67517" w14:textId="77777777" w:rsidR="00C10374" w:rsidRPr="00511005" w:rsidRDefault="00C10374" w:rsidP="003A292D">
      <w:pPr>
        <w:spacing w:line="264" w:lineRule="auto"/>
        <w:contextualSpacing/>
        <w:rPr>
          <w:rFonts w:ascii="Arial" w:eastAsia="Times New Roman" w:hAnsi="Arial" w:cs="Arial"/>
          <w:szCs w:val="28"/>
          <w:lang w:val="uk-UA" w:eastAsia="ru-RU"/>
        </w:rPr>
      </w:pPr>
    </w:p>
    <w:p w14:paraId="7AF6B37E" w14:textId="286A9B87" w:rsidR="00C10374"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C10374" w:rsidRPr="00511005">
        <w:rPr>
          <w:rFonts w:ascii="Arial" w:eastAsia="Times New Roman" w:hAnsi="Arial" w:cs="Arial"/>
          <w:szCs w:val="28"/>
          <w:lang w:val="uk-UA" w:eastAsia="ru-RU"/>
        </w:rPr>
        <w:t>незалежність, судова влада, європейська інтеграція, верховенство права, демократія, реформа, прозорість, справедливість, суддівське врядування, політичний тиск.</w:t>
      </w:r>
    </w:p>
    <w:p w14:paraId="6550D531" w14:textId="4D4083AF" w:rsidR="00C10374"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C10374" w:rsidRPr="00511005">
        <w:rPr>
          <w:rFonts w:ascii="Arial" w:eastAsia="Times New Roman" w:hAnsi="Arial" w:cs="Arial"/>
          <w:szCs w:val="28"/>
          <w:lang w:val="en-US" w:eastAsia="ru-RU"/>
        </w:rPr>
        <w:t>i</w:t>
      </w:r>
      <w:r w:rsidR="00C10374" w:rsidRPr="00511005">
        <w:rPr>
          <w:rFonts w:ascii="Arial" w:eastAsia="Times New Roman" w:hAnsi="Arial" w:cs="Arial"/>
          <w:szCs w:val="28"/>
          <w:lang w:val="uk-UA" w:eastAsia="ru-RU"/>
        </w:rPr>
        <w:t>ndependence, judiciary, European integration, rule of law, democracy, reform, transparency, justice, judicial governance, political pressure.</w:t>
      </w:r>
    </w:p>
    <w:p w14:paraId="690FB2B5" w14:textId="77777777" w:rsidR="00C10374" w:rsidRPr="00511005" w:rsidRDefault="00C10374" w:rsidP="003A292D">
      <w:pPr>
        <w:spacing w:line="264" w:lineRule="auto"/>
        <w:rPr>
          <w:rFonts w:ascii="Arial" w:eastAsia="Calibri" w:hAnsi="Arial" w:cs="Arial"/>
          <w:i/>
          <w:iCs/>
          <w:szCs w:val="28"/>
          <w:lang w:val="en-US"/>
        </w:rPr>
      </w:pPr>
    </w:p>
    <w:p w14:paraId="1A47B7E7" w14:textId="3BFED6D3" w:rsidR="00C10374" w:rsidRPr="00511005" w:rsidRDefault="007B2628" w:rsidP="003A292D">
      <w:pPr>
        <w:spacing w:line="264" w:lineRule="auto"/>
        <w:rPr>
          <w:rFonts w:ascii="Arial" w:eastAsia="Calibri" w:hAnsi="Arial" w:cs="Arial"/>
          <w:i/>
          <w:iCs/>
          <w:szCs w:val="28"/>
        </w:rPr>
      </w:pPr>
      <w:r w:rsidRPr="00511005">
        <w:rPr>
          <w:rFonts w:ascii="Arial" w:eastAsia="Calibri" w:hAnsi="Arial" w:cs="Arial"/>
          <w:b/>
          <w:i/>
          <w:iCs/>
          <w:szCs w:val="28"/>
        </w:rPr>
        <w:t xml:space="preserve">Науковий керівник: </w:t>
      </w:r>
      <w:r w:rsidR="00C10374" w:rsidRPr="00511005">
        <w:rPr>
          <w:rFonts w:ascii="Arial" w:eastAsia="Calibri" w:hAnsi="Arial" w:cs="Arial"/>
          <w:i/>
          <w:iCs/>
          <w:szCs w:val="28"/>
        </w:rPr>
        <w:t>старший викладач Нестерчук Лілія Петрівна.</w:t>
      </w:r>
    </w:p>
    <w:p w14:paraId="4C66CCD8" w14:textId="77777777" w:rsidR="00C10374" w:rsidRPr="00511005" w:rsidRDefault="00C10374" w:rsidP="003A292D">
      <w:pPr>
        <w:spacing w:line="264" w:lineRule="auto"/>
        <w:ind w:firstLine="0"/>
        <w:rPr>
          <w:rFonts w:ascii="Arial" w:eastAsia="Calibri" w:hAnsi="Arial" w:cs="Arial"/>
          <w:szCs w:val="28"/>
        </w:rPr>
      </w:pPr>
    </w:p>
    <w:p w14:paraId="1ECD4F97" w14:textId="77777777" w:rsidR="00C10374" w:rsidRPr="00511005" w:rsidRDefault="00C10374" w:rsidP="003A292D">
      <w:pPr>
        <w:spacing w:line="264" w:lineRule="auto"/>
        <w:ind w:firstLine="0"/>
        <w:rPr>
          <w:rFonts w:ascii="Arial" w:eastAsia="Calibri" w:hAnsi="Arial" w:cs="Arial"/>
          <w:szCs w:val="28"/>
        </w:rPr>
      </w:pPr>
    </w:p>
    <w:p w14:paraId="5AACEC05" w14:textId="77777777" w:rsidR="00C10374" w:rsidRPr="00511005" w:rsidRDefault="00C10374" w:rsidP="003A292D">
      <w:pPr>
        <w:keepNext/>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Войткова Єва Дмитрівна</w:t>
      </w:r>
    </w:p>
    <w:p w14:paraId="36E76EE8" w14:textId="43234712" w:rsidR="00C10374" w:rsidRPr="00511005" w:rsidRDefault="00BE3972" w:rsidP="003A292D">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r w:rsidR="00C10374" w:rsidRPr="00511005">
        <w:rPr>
          <w:rFonts w:ascii="Arial" w:eastAsia="Calibri" w:hAnsi="Arial" w:cs="Arial"/>
          <w:szCs w:val="28"/>
          <w:lang w:val="uk-UA"/>
        </w:rPr>
        <w:br/>
      </w:r>
      <w:r w:rsidR="007B2628" w:rsidRPr="00511005">
        <w:rPr>
          <w:rFonts w:ascii="Arial" w:eastAsia="Calibri" w:hAnsi="Arial" w:cs="Arial"/>
          <w:szCs w:val="28"/>
          <w:lang w:val="uk-UA"/>
        </w:rPr>
        <w:t>Національного університету «Одеська юридична академія»</w:t>
      </w:r>
    </w:p>
    <w:p w14:paraId="6796941E" w14:textId="77777777" w:rsidR="00C10374" w:rsidRPr="00511005" w:rsidRDefault="00C10374" w:rsidP="003A292D">
      <w:pPr>
        <w:spacing w:line="264" w:lineRule="auto"/>
        <w:ind w:firstLine="720"/>
        <w:jc w:val="center"/>
        <w:rPr>
          <w:rFonts w:ascii="Arial" w:eastAsia="Calibri" w:hAnsi="Arial" w:cs="Arial"/>
          <w:b/>
          <w:szCs w:val="28"/>
        </w:rPr>
      </w:pPr>
    </w:p>
    <w:p w14:paraId="16BD3AF0" w14:textId="77777777" w:rsidR="00C10374" w:rsidRPr="00511005" w:rsidRDefault="00C10374" w:rsidP="003A292D">
      <w:pPr>
        <w:spacing w:line="264" w:lineRule="auto"/>
        <w:ind w:firstLine="720"/>
        <w:jc w:val="center"/>
        <w:rPr>
          <w:rFonts w:ascii="Arial" w:eastAsia="Calibri" w:hAnsi="Arial" w:cs="Arial"/>
          <w:b/>
          <w:caps/>
          <w:szCs w:val="28"/>
        </w:rPr>
      </w:pPr>
      <w:r w:rsidRPr="00511005">
        <w:rPr>
          <w:rFonts w:ascii="Arial" w:eastAsia="Calibri" w:hAnsi="Arial" w:cs="Arial"/>
          <w:b/>
          <w:caps/>
          <w:szCs w:val="28"/>
        </w:rPr>
        <w:t xml:space="preserve">роль постійної комісії конституційного суду україни з міжнародних зв’язків у розвитку співпраці з НАТО на місцевому рівні </w:t>
      </w:r>
    </w:p>
    <w:p w14:paraId="748ABC36" w14:textId="77777777" w:rsidR="00C10374" w:rsidRPr="00511005" w:rsidRDefault="00C10374" w:rsidP="003A292D">
      <w:pPr>
        <w:spacing w:line="264" w:lineRule="auto"/>
        <w:ind w:firstLine="720"/>
        <w:jc w:val="center"/>
        <w:rPr>
          <w:rFonts w:ascii="Arial" w:eastAsia="Calibri" w:hAnsi="Arial" w:cs="Arial"/>
          <w:caps/>
          <w:szCs w:val="28"/>
        </w:rPr>
      </w:pPr>
    </w:p>
    <w:p w14:paraId="09635836"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сучасних умовах глобальної нестабільності та збройної агресії з боку Російської Федерації трансатлантична єдність набуває особливого значення для гарантування безпеки й стабільності в Європі. Україна, обравши стратегічний курс на набуття повноправного членства в НАТО, послідовно здійснює політичні, правові та інституційні кроки для досягнення цієї мети. Особливу роль у цьому процесі відіграють не лише виконавчі чи законодавчі органи, а й судові інституції, зокрема Конституційний Суд України (далі – КСУ). Постійна комісія з міжнародних зв’язків при КСУ виконує важливу функцію підтримки міжнародного діалогу та поширення євроатлантичних стандартів правової культури. Метою даної тези є висвітлення ролі цієї комісії у зміцненні трансатлантичних зв’язків та сприянні співпраці з НАТО на місцевому рівні.</w:t>
      </w:r>
    </w:p>
    <w:p w14:paraId="433BB502"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Основи співпраці України з НАТО беруть свій початок ще з 1997 року, коли було підписано </w:t>
      </w:r>
      <w:r w:rsidRPr="00511005">
        <w:rPr>
          <w:rFonts w:ascii="Arial" w:eastAsia="Calibri" w:hAnsi="Arial" w:cs="Arial"/>
          <w:b/>
          <w:bCs/>
          <w:szCs w:val="28"/>
          <w:lang w:val="uk-UA"/>
        </w:rPr>
        <w:t>Хартію про особливе партнерство між Україною та НАТО</w:t>
      </w:r>
      <w:r w:rsidRPr="00511005">
        <w:rPr>
          <w:rFonts w:ascii="Arial" w:eastAsia="Calibri" w:hAnsi="Arial" w:cs="Arial"/>
          <w:szCs w:val="28"/>
          <w:lang w:val="uk-UA"/>
        </w:rPr>
        <w:t xml:space="preserve"> і створено </w:t>
      </w:r>
      <w:r w:rsidRPr="00511005">
        <w:rPr>
          <w:rFonts w:ascii="Arial" w:eastAsia="Calibri" w:hAnsi="Arial" w:cs="Arial"/>
          <w:b/>
          <w:bCs/>
          <w:szCs w:val="28"/>
          <w:lang w:val="uk-UA"/>
        </w:rPr>
        <w:t>Комісію Україна–НАТО [4]</w:t>
      </w:r>
      <w:r w:rsidRPr="00511005">
        <w:rPr>
          <w:rFonts w:ascii="Arial" w:eastAsia="Calibri" w:hAnsi="Arial" w:cs="Arial"/>
          <w:szCs w:val="28"/>
          <w:lang w:val="uk-UA"/>
        </w:rPr>
        <w:t>. Ця Комісія стала головною інституційною платформою для координації взаємодії між сторонами. Вона функціонувала як політичний механізм, який забезпечував постійний діалог, визначав напрямки розвитку партнерства та координував реалізацію спільних програм. Її діяльність охоплювала як політичні, так і безпекові аспекти, спрямовані на підтримку реформ в Україні відповідно до стандартів НАТО.</w:t>
      </w:r>
    </w:p>
    <w:p w14:paraId="649BD9B4"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 xml:space="preserve">Новий імпульс розвитку співпраці був наданий </w:t>
      </w:r>
      <w:r w:rsidRPr="00511005">
        <w:rPr>
          <w:rFonts w:ascii="Arial" w:eastAsia="Calibri" w:hAnsi="Arial" w:cs="Arial"/>
          <w:b/>
          <w:bCs/>
          <w:szCs w:val="28"/>
          <w:lang w:val="uk-UA"/>
        </w:rPr>
        <w:t>Указом Президента України № 289/2008 від 1 квітня 2008 року</w:t>
      </w:r>
      <w:r w:rsidRPr="00511005">
        <w:rPr>
          <w:rFonts w:ascii="Arial" w:eastAsia="Calibri" w:hAnsi="Arial" w:cs="Arial"/>
          <w:szCs w:val="28"/>
          <w:lang w:val="uk-UA"/>
        </w:rPr>
        <w:t xml:space="preserve">, який затвердив План заходів щодо реалізації пріоритетів співпраці з НАТО [3]. Цей документ заклав інституційні та процедурні основи для активного наближення України до Альянсу. Одночасно з цим було посилено взаємодію з НАТО на всіх рівнях державного управління, включно з місцевим. Значну роль у цьому процесі відіграє </w:t>
      </w:r>
      <w:r w:rsidRPr="00511005">
        <w:rPr>
          <w:rFonts w:ascii="Arial" w:eastAsia="Calibri" w:hAnsi="Arial" w:cs="Arial"/>
          <w:b/>
          <w:bCs/>
          <w:szCs w:val="28"/>
          <w:lang w:val="uk-UA"/>
        </w:rPr>
        <w:t>постійна комісія з міжнародних зв’язків при Конституційному Суді України</w:t>
      </w:r>
      <w:r w:rsidRPr="00511005">
        <w:rPr>
          <w:rFonts w:ascii="Arial" w:eastAsia="Calibri" w:hAnsi="Arial" w:cs="Arial"/>
          <w:szCs w:val="28"/>
          <w:lang w:val="uk-UA"/>
        </w:rPr>
        <w:t>, яка сприяє формуванню євроатлантичного правового простору в межах українського конституційного поля.</w:t>
      </w:r>
    </w:p>
    <w:p w14:paraId="49FBAF46"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Комісія при Конституційному Суді України забезпечує участь судової влади у міжнародному діалозі, правовій експертизі та обміні досвідом з європейськими інституціями. Вона сприяє адаптації стандартів НАТО щодо демократії, прав людини та верховенства права. У контексті збройної агресії РФ Комісія формує правові позиції України у сфері безпеки. Важливим інструментом співпраці стала Річна національна програма, яка з 2009 року замінила План дій щодо членства в НАТО. РНП охоплює п’ять напрямів реформ і залучає не лише центральну, а й місцеву владу. Це сприяє децентралізації євроатлантичної інтеграції через впровадження стандартів НАТО на місцях. Завдяки діяльності Комісії створено ефективну модель координації правових, політичних і адміністративних компонентів у співпраці з НАТО.</w:t>
      </w:r>
    </w:p>
    <w:p w14:paraId="577FE4F3"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Важливим етапом у закріпленні євроатлантичного курсу України стали події 2018–2019 років, які мали не лише політичне, а й глибоке конституційно-правове значення. </w:t>
      </w:r>
      <w:r w:rsidRPr="00511005">
        <w:rPr>
          <w:rFonts w:ascii="Arial" w:eastAsia="Calibri" w:hAnsi="Arial" w:cs="Arial"/>
          <w:b/>
          <w:bCs/>
          <w:szCs w:val="28"/>
          <w:lang w:val="uk-UA"/>
        </w:rPr>
        <w:t>22 листопада 2018 року Конституційний Суд України</w:t>
      </w:r>
      <w:r w:rsidRPr="00511005">
        <w:rPr>
          <w:rFonts w:ascii="Arial" w:eastAsia="Calibri" w:hAnsi="Arial" w:cs="Arial"/>
          <w:b/>
          <w:szCs w:val="28"/>
          <w:lang w:val="uk-UA"/>
        </w:rPr>
        <w:t xml:space="preserve"> </w:t>
      </w:r>
      <w:r w:rsidRPr="00511005">
        <w:rPr>
          <w:rFonts w:ascii="Arial" w:eastAsia="Calibri" w:hAnsi="Arial" w:cs="Arial"/>
          <w:szCs w:val="28"/>
          <w:lang w:val="uk-UA"/>
        </w:rPr>
        <w:t>надав</w:t>
      </w:r>
      <w:r w:rsidRPr="00511005">
        <w:rPr>
          <w:rFonts w:ascii="Arial" w:eastAsia="Calibri" w:hAnsi="Arial" w:cs="Arial"/>
          <w:b/>
          <w:szCs w:val="28"/>
          <w:lang w:val="uk-UA"/>
        </w:rPr>
        <w:t xml:space="preserve"> </w:t>
      </w:r>
      <w:r w:rsidRPr="00511005">
        <w:rPr>
          <w:rFonts w:ascii="Arial" w:eastAsia="Calibri" w:hAnsi="Arial" w:cs="Arial"/>
          <w:b/>
          <w:bCs/>
          <w:szCs w:val="28"/>
          <w:lang w:val="uk-UA"/>
        </w:rPr>
        <w:t>висновок № 2-в/2018</w:t>
      </w:r>
      <w:r w:rsidRPr="00511005">
        <w:rPr>
          <w:rFonts w:ascii="Arial" w:eastAsia="Calibri" w:hAnsi="Arial" w:cs="Arial"/>
          <w:szCs w:val="28"/>
          <w:lang w:val="uk-UA"/>
        </w:rPr>
        <w:t xml:space="preserve">, у якому підтвердив відповідність Конституції законопроєкту про внесення змін щодо закріплення стратегічного курсу України на набуття повноправного членства в Європейському Союзі та НАТО. Цей висновок став основою для розгляду відповідного законопроекту у Верховній Раді. Згодом, 7 лютого 2019 року Верховна Рада України ухвалила Закон під номером 2680-VIII. Цим законом було внесено правки до преамбули, а також до статей 85, 102 і 116 Конституції України. У цих положеннях було прямо закріплено курс України на повноправне членство в ЄС та НАТО як </w:t>
      </w:r>
      <w:r w:rsidRPr="00511005">
        <w:rPr>
          <w:rFonts w:ascii="Arial" w:eastAsia="Calibri" w:hAnsi="Arial" w:cs="Arial"/>
          <w:b/>
          <w:bCs/>
          <w:szCs w:val="28"/>
          <w:lang w:val="uk-UA"/>
        </w:rPr>
        <w:t>стратегічну мету державної політики [1]</w:t>
      </w:r>
      <w:r w:rsidRPr="00511005">
        <w:rPr>
          <w:rFonts w:ascii="Arial" w:eastAsia="Calibri" w:hAnsi="Arial" w:cs="Arial"/>
          <w:szCs w:val="28"/>
          <w:lang w:val="uk-UA"/>
        </w:rPr>
        <w:t>. Президент, парламент та уряд відтепер мають конституційний обов’язок реалізовувати цю стратегію. Це рішення суттєво зміцнило правову основу для євроатлантичної інтеграції, зменшивши ризики зміни зовнішньополітичного курсу через зміну політичної кон’юнктури.</w:t>
      </w:r>
    </w:p>
    <w:p w14:paraId="607F13EB"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Конституційний Суд України відіграв принципову роль у цьому процесі, виступивши не лише як гарант Основного Закону, а і як </w:t>
      </w:r>
      <w:r w:rsidRPr="00511005">
        <w:rPr>
          <w:rFonts w:ascii="Arial" w:eastAsia="Calibri" w:hAnsi="Arial" w:cs="Arial"/>
          <w:b/>
          <w:bCs/>
          <w:szCs w:val="28"/>
          <w:lang w:val="uk-UA"/>
        </w:rPr>
        <w:t>інституція, що підтверджує євроатлантичний вектор України на рівні найвищої юридичної сили</w:t>
      </w:r>
      <w:r w:rsidRPr="00511005">
        <w:rPr>
          <w:rFonts w:ascii="Arial" w:eastAsia="Calibri" w:hAnsi="Arial" w:cs="Arial"/>
          <w:szCs w:val="28"/>
          <w:lang w:val="uk-UA"/>
        </w:rPr>
        <w:t xml:space="preserve">. Висновок КСУ також показав, що інтеграція з НАТО не суперечить національному суверенітету, а навпаки, посилює його, </w:t>
      </w:r>
      <w:r w:rsidRPr="00511005">
        <w:rPr>
          <w:rFonts w:ascii="Arial" w:eastAsia="Calibri" w:hAnsi="Arial" w:cs="Arial"/>
          <w:szCs w:val="28"/>
          <w:lang w:val="uk-UA"/>
        </w:rPr>
        <w:lastRenderedPageBreak/>
        <w:t xml:space="preserve">забезпечуючи безпеку та стабільність у довгостроковій перспективі. У цьому контексті важливою є діяльність </w:t>
      </w:r>
      <w:r w:rsidRPr="00511005">
        <w:rPr>
          <w:rFonts w:ascii="Arial" w:eastAsia="Calibri" w:hAnsi="Arial" w:cs="Arial"/>
          <w:b/>
          <w:bCs/>
          <w:szCs w:val="28"/>
          <w:lang w:val="uk-UA"/>
        </w:rPr>
        <w:t>постійної комісії з міжнародних зв’язків при Конституційному Суді України</w:t>
      </w:r>
      <w:r w:rsidRPr="00511005">
        <w:rPr>
          <w:rFonts w:ascii="Arial" w:eastAsia="Calibri" w:hAnsi="Arial" w:cs="Arial"/>
          <w:szCs w:val="28"/>
          <w:lang w:val="uk-UA"/>
        </w:rPr>
        <w:t xml:space="preserve">, яка виступає провідником міжнародного правового діалогу. Комісія має низку важливих функцій, зокрема розвиток міжнародного співробітництва КСУ із судовими інституціями держав-членів ЄС та НАТО, участь у міжнародних конференціях, семінарах, експертних платформах. Комісія також координує участь Конституційного Суду України у міжнародних правових форумах, зокрема у співпраці з Венеційською комісією, Радою Європи, Європейським судом з прав людини, та надає експертні висновки з питань дотримання міжнародних зобов’язань. Це дозволяє Україні </w:t>
      </w:r>
      <w:r w:rsidRPr="00511005">
        <w:rPr>
          <w:rFonts w:ascii="Arial" w:eastAsia="Calibri" w:hAnsi="Arial" w:cs="Arial"/>
          <w:b/>
          <w:bCs/>
          <w:szCs w:val="28"/>
          <w:lang w:val="uk-UA"/>
        </w:rPr>
        <w:t>поступово імплементувати найкращі правові практики</w:t>
      </w:r>
      <w:r w:rsidRPr="00511005">
        <w:rPr>
          <w:rFonts w:ascii="Arial" w:eastAsia="Calibri" w:hAnsi="Arial" w:cs="Arial"/>
          <w:szCs w:val="28"/>
          <w:lang w:val="uk-UA"/>
        </w:rPr>
        <w:t xml:space="preserve">, які функціонують у демократичних державах-членах НАТО. Крім того, постійна комісія активно підтримує </w:t>
      </w:r>
      <w:r w:rsidRPr="00511005">
        <w:rPr>
          <w:rFonts w:ascii="Arial" w:eastAsia="Calibri" w:hAnsi="Arial" w:cs="Arial"/>
          <w:b/>
          <w:bCs/>
          <w:szCs w:val="28"/>
          <w:lang w:val="uk-UA"/>
        </w:rPr>
        <w:t>діалог із правовими інституціями країн НАТО</w:t>
      </w:r>
      <w:r w:rsidRPr="00511005">
        <w:rPr>
          <w:rFonts w:ascii="Arial" w:eastAsia="Calibri" w:hAnsi="Arial" w:cs="Arial"/>
          <w:szCs w:val="28"/>
          <w:lang w:val="uk-UA"/>
        </w:rPr>
        <w:t xml:space="preserve">, що є важливою складовою трансатлантичної інтеграції. Особливу увагу вона приділяє аналізу </w:t>
      </w:r>
      <w:r w:rsidRPr="00511005">
        <w:rPr>
          <w:rFonts w:ascii="Arial" w:eastAsia="Calibri" w:hAnsi="Arial" w:cs="Arial"/>
          <w:b/>
          <w:bCs/>
          <w:szCs w:val="28"/>
          <w:lang w:val="uk-UA"/>
        </w:rPr>
        <w:t>конституційних моделей правової держави</w:t>
      </w:r>
      <w:r w:rsidRPr="00511005">
        <w:rPr>
          <w:rFonts w:ascii="Arial" w:eastAsia="Calibri" w:hAnsi="Arial" w:cs="Arial"/>
          <w:szCs w:val="28"/>
          <w:lang w:val="uk-UA"/>
        </w:rPr>
        <w:t xml:space="preserve">, стандартам безпеки, дотримання прав людини, судової незалежності - тих сфер, які є визначальними для вступу до НАТО. </w:t>
      </w:r>
    </w:p>
    <w:p w14:paraId="062C0FD1"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Також, сприяння розвитку співпраці з НАТО на місцевому рівні є ключовим елементом процесу євроатлантичної інтеграції України. </w:t>
      </w:r>
      <w:r w:rsidRPr="00511005">
        <w:rPr>
          <w:rFonts w:ascii="Arial" w:eastAsia="Calibri" w:hAnsi="Arial" w:cs="Arial"/>
          <w:b/>
          <w:bCs/>
          <w:szCs w:val="28"/>
          <w:lang w:val="uk-UA"/>
        </w:rPr>
        <w:t>Передача євроатлантичного досвіду у громади</w:t>
      </w:r>
      <w:r w:rsidRPr="00511005">
        <w:rPr>
          <w:rFonts w:ascii="Arial" w:eastAsia="Calibri" w:hAnsi="Arial" w:cs="Arial"/>
          <w:szCs w:val="28"/>
          <w:lang w:val="uk-UA"/>
        </w:rPr>
        <w:t xml:space="preserve"> дозволяє забезпечити сталість реформ, побудованих на принципах НАТО, та активізувати підтримку цього процесу серед населення [2]. Важливим елементом цього процесу є </w:t>
      </w:r>
      <w:r w:rsidRPr="00511005">
        <w:rPr>
          <w:rFonts w:ascii="Arial" w:eastAsia="Calibri" w:hAnsi="Arial" w:cs="Arial"/>
          <w:b/>
          <w:bCs/>
          <w:szCs w:val="28"/>
          <w:lang w:val="uk-UA"/>
        </w:rPr>
        <w:t>освітні та інформаційні ініціативи</w:t>
      </w:r>
      <w:r w:rsidRPr="00511005">
        <w:rPr>
          <w:rFonts w:ascii="Arial" w:eastAsia="Calibri" w:hAnsi="Arial" w:cs="Arial"/>
          <w:szCs w:val="28"/>
          <w:lang w:val="uk-UA"/>
        </w:rPr>
        <w:t xml:space="preserve">, які забезпечують громади необхідними знаннями про роль НАТО в сучасному світі, його стандарти та механізми співпраці. Важливо, щоб місцеві органи влади активно залучали громадян до обговорення питань безпеки, прав людини та реформ, які є частиною євроатлантичного курсу України. Окрім освітніх ініціатив, особливу увагу слід приділяти </w:t>
      </w:r>
      <w:r w:rsidRPr="00511005">
        <w:rPr>
          <w:rFonts w:ascii="Arial" w:eastAsia="Calibri" w:hAnsi="Arial" w:cs="Arial"/>
          <w:b/>
          <w:bCs/>
          <w:szCs w:val="28"/>
          <w:lang w:val="uk-UA"/>
        </w:rPr>
        <w:t>проектам з безпеки, цивільного захисту та цифрової трансформації</w:t>
      </w:r>
      <w:r w:rsidRPr="00511005">
        <w:rPr>
          <w:rFonts w:ascii="Arial" w:eastAsia="Calibri" w:hAnsi="Arial" w:cs="Arial"/>
          <w:szCs w:val="28"/>
          <w:lang w:val="uk-UA"/>
        </w:rPr>
        <w:t>, що відповідають вимогам НАТО. Така співпраця на місцевому рівні допомагає формувати у громадах практичні навички у сфері реагування на кризові ситуації, модернізації інфраструктури та захисту інформації. Програми з цифровізації, що підтримуються НАТО, можуть стати основою для розвитку інноваційних рішень на місцях, що в свою чергу зміцнює національну безпеку.</w:t>
      </w:r>
    </w:p>
    <w:p w14:paraId="6367788D"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b/>
          <w:bCs/>
          <w:szCs w:val="28"/>
          <w:lang w:val="uk-UA"/>
        </w:rPr>
        <w:t>Постійна комісія з міжнародних зв’язків при Конституційному Суді України</w:t>
      </w:r>
      <w:r w:rsidRPr="00511005">
        <w:rPr>
          <w:rFonts w:ascii="Arial" w:eastAsia="Calibri" w:hAnsi="Arial" w:cs="Arial"/>
          <w:szCs w:val="28"/>
          <w:lang w:val="uk-UA"/>
        </w:rPr>
        <w:t xml:space="preserve"> може бути важливим майданчиком для діалогу між центральними і регіональними структурами. Через активну координацію та обмін досвідом між цими структурами комісія здатна забезпечити кращу інтеграцію євроатлантичних стандартів на всіх рівнях управління. Це допоможе не лише посилити зв’язки між різними гілками влади, але й створити єдину стратегію розвитку України відповідно до вимог НАТО.</w:t>
      </w:r>
    </w:p>
    <w:p w14:paraId="138898D6"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b/>
          <w:bCs/>
          <w:szCs w:val="28"/>
          <w:lang w:val="uk-UA"/>
        </w:rPr>
        <w:lastRenderedPageBreak/>
        <w:t>Як висновок, варто зазначити що,</w:t>
      </w:r>
      <w:r w:rsidRPr="00511005">
        <w:rPr>
          <w:rFonts w:ascii="Arial" w:eastAsia="Calibri" w:hAnsi="Arial" w:cs="Arial"/>
          <w:szCs w:val="28"/>
          <w:lang w:val="uk-UA"/>
        </w:rPr>
        <w:t xml:space="preserve"> </w:t>
      </w:r>
      <w:r w:rsidRPr="00511005">
        <w:rPr>
          <w:rFonts w:ascii="Arial" w:eastAsia="Calibri" w:hAnsi="Arial" w:cs="Arial"/>
          <w:b/>
          <w:bCs/>
          <w:szCs w:val="28"/>
          <w:lang w:val="uk-UA"/>
        </w:rPr>
        <w:t>постійна комісія з міжнародних зв’язків при КСУ</w:t>
      </w:r>
      <w:r w:rsidRPr="00511005">
        <w:rPr>
          <w:rFonts w:ascii="Arial" w:eastAsia="Calibri" w:hAnsi="Arial" w:cs="Arial"/>
          <w:szCs w:val="28"/>
          <w:lang w:val="uk-UA"/>
        </w:rPr>
        <w:t xml:space="preserve"> є важливим аналітичним і комунікаційним центром у процесі євроатлантичної інтеграції України. Її діяльність сприяє укріпленню трансатлантичних зв’язків на рівні правових інституцій та адаптації стандартів НАТО на місцевому рівні. Діяльність комісії з міжнародних зв’язків є важливою не тільки для забезпечення правової стабільності, але й для розвитку практичних ініціатив, що сприяють зміцненню зв’язків між Україною та Альянсом. Подальша інтеграція України в НАТО потребує активної </w:t>
      </w:r>
      <w:r w:rsidRPr="00511005">
        <w:rPr>
          <w:rFonts w:ascii="Arial" w:eastAsia="Calibri" w:hAnsi="Arial" w:cs="Arial"/>
          <w:b/>
          <w:bCs/>
          <w:szCs w:val="28"/>
          <w:lang w:val="uk-UA"/>
        </w:rPr>
        <w:t>підтримки міжнародного діалогу</w:t>
      </w:r>
      <w:r w:rsidRPr="00511005">
        <w:rPr>
          <w:rFonts w:ascii="Arial" w:eastAsia="Calibri" w:hAnsi="Arial" w:cs="Arial"/>
          <w:szCs w:val="28"/>
          <w:lang w:val="uk-UA"/>
        </w:rPr>
        <w:t xml:space="preserve">, що включає не лише підтримку з боку центральних органів, а й </w:t>
      </w:r>
      <w:r w:rsidRPr="00511005">
        <w:rPr>
          <w:rFonts w:ascii="Arial" w:eastAsia="Calibri" w:hAnsi="Arial" w:cs="Arial"/>
          <w:b/>
          <w:bCs/>
          <w:szCs w:val="28"/>
          <w:lang w:val="uk-UA"/>
        </w:rPr>
        <w:t>активне включення місцевих громад</w:t>
      </w:r>
      <w:r w:rsidRPr="00511005">
        <w:rPr>
          <w:rFonts w:ascii="Arial" w:eastAsia="Calibri" w:hAnsi="Arial" w:cs="Arial"/>
          <w:szCs w:val="28"/>
          <w:lang w:val="uk-UA"/>
        </w:rPr>
        <w:t xml:space="preserve"> у процес співпраці з Альянсом. Це дозволить створити міцну правову та інфраструктурну основу для реалізації євроатлантичного курсу на всіх рівнях державного управління, забезпечуючи тим самим сталий розвиток і безпеку України.</w:t>
      </w:r>
    </w:p>
    <w:p w14:paraId="7A5BF486" w14:textId="2F16B9C8" w:rsidR="00C10374"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4C0AE05" w14:textId="77777777" w:rsidR="00C10374" w:rsidRPr="00511005" w:rsidRDefault="00C10374" w:rsidP="003F6A5D">
      <w:pPr>
        <w:numPr>
          <w:ilvl w:val="0"/>
          <w:numId w:val="293"/>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Про внесення змін до Конституції України (щодо стратегічного курсу держави на набуття повноправного членства України в Європейському Союзі та в Організації Північноатлантичного договору</w:t>
      </w:r>
      <w:bookmarkStart w:id="148" w:name="n16"/>
      <w:bookmarkEnd w:id="148"/>
      <w:r w:rsidRPr="00511005">
        <w:rPr>
          <w:rFonts w:ascii="Arial" w:eastAsia="Times New Roman" w:hAnsi="Arial" w:cs="Arial"/>
          <w:szCs w:val="28"/>
          <w:lang w:val="uk-UA" w:eastAsia="ru-RU"/>
        </w:rPr>
        <w:t xml:space="preserve">: Закон України. </w:t>
      </w:r>
      <w:r w:rsidRPr="00511005">
        <w:rPr>
          <w:rFonts w:ascii="Arial" w:eastAsia="Times New Roman" w:hAnsi="Arial" w:cs="Arial"/>
          <w:i/>
          <w:szCs w:val="28"/>
          <w:lang w:val="uk-UA" w:eastAsia="ru-RU"/>
        </w:rPr>
        <w:t>Відомості Верховної Ради (ВВР), 2019, № 9, ст.50)</w:t>
      </w:r>
      <w:r w:rsidRPr="00511005">
        <w:rPr>
          <w:rFonts w:ascii="Arial" w:eastAsia="Times New Roman" w:hAnsi="Arial" w:cs="Arial"/>
          <w:szCs w:val="28"/>
          <w:lang w:val="uk-UA" w:eastAsia="ru-RU"/>
        </w:rPr>
        <w:t xml:space="preserve"> URL: </w:t>
      </w:r>
      <w:hyperlink r:id="rId1081" w:anchor="Text" w:history="1">
        <w:r w:rsidRPr="00511005">
          <w:rPr>
            <w:rFonts w:ascii="Arial" w:eastAsia="Times New Roman" w:hAnsi="Arial" w:cs="Arial"/>
            <w:szCs w:val="28"/>
            <w:lang w:val="uk-UA" w:eastAsia="ru-RU"/>
          </w:rPr>
          <w:t>https://zakon.rada.gov.ua/laws/show/2680-19#Text</w:t>
        </w:r>
      </w:hyperlink>
      <w:r w:rsidRPr="00511005">
        <w:rPr>
          <w:rFonts w:ascii="Arial" w:eastAsia="Times New Roman" w:hAnsi="Arial" w:cs="Arial"/>
          <w:szCs w:val="28"/>
          <w:lang w:val="uk-UA" w:eastAsia="ru-RU"/>
        </w:rPr>
        <w:t xml:space="preserve"> (дата звернення: 01.05.2025).</w:t>
      </w:r>
    </w:p>
    <w:p w14:paraId="62275B16" w14:textId="77777777" w:rsidR="007B2628" w:rsidRPr="00511005" w:rsidRDefault="00C10374" w:rsidP="003F6A5D">
      <w:pPr>
        <w:numPr>
          <w:ilvl w:val="0"/>
          <w:numId w:val="293"/>
        </w:numPr>
        <w:spacing w:line="264" w:lineRule="auto"/>
        <w:ind w:left="0" w:firstLine="0"/>
        <w:rPr>
          <w:rFonts w:ascii="Arial" w:eastAsia="Calibri" w:hAnsi="Arial" w:cs="Arial"/>
          <w:szCs w:val="28"/>
          <w:lang w:val="uk-UA"/>
        </w:rPr>
      </w:pPr>
      <w:r w:rsidRPr="00511005">
        <w:rPr>
          <w:rFonts w:ascii="Arial" w:eastAsia="Calibri" w:hAnsi="Arial" w:cs="Arial"/>
          <w:szCs w:val="28"/>
          <w:lang w:val="uk-UA"/>
        </w:rPr>
        <w:t>Організація північноатлантичного договору. Рада Україна – НАТО.</w:t>
      </w:r>
      <w:r w:rsidRPr="00511005">
        <w:rPr>
          <w:rFonts w:ascii="Arial" w:eastAsia="Calibri" w:hAnsi="Arial" w:cs="Arial"/>
          <w:iCs/>
          <w:szCs w:val="28"/>
          <w:lang w:val="uk-UA"/>
        </w:rPr>
        <w:t xml:space="preserve"> </w:t>
      </w:r>
      <w:r w:rsidRPr="00511005">
        <w:rPr>
          <w:rFonts w:ascii="Arial" w:eastAsia="Calibri" w:hAnsi="Arial" w:cs="Arial"/>
          <w:szCs w:val="28"/>
          <w:lang w:val="uk-UA"/>
        </w:rPr>
        <w:t xml:space="preserve">URL: </w:t>
      </w:r>
      <w:hyperlink r:id="rId1082" w:history="1">
        <w:r w:rsidRPr="00511005">
          <w:rPr>
            <w:rFonts w:ascii="Arial" w:eastAsia="Calibri" w:hAnsi="Arial" w:cs="Arial"/>
            <w:szCs w:val="28"/>
            <w:lang w:val="uk-UA"/>
          </w:rPr>
          <w:t>https://www.nato.int/cps/uk/natohq/topics_217652.htm?selectedLocale=uk&amp;utm_source=chatgpt.cm</w:t>
        </w:r>
      </w:hyperlink>
      <w:r w:rsidRPr="00511005">
        <w:rPr>
          <w:rFonts w:ascii="Arial" w:eastAsia="Calibri" w:hAnsi="Arial" w:cs="Arial"/>
          <w:szCs w:val="28"/>
          <w:lang w:val="uk-UA"/>
        </w:rPr>
        <w:t xml:space="preserve"> (дата звернення: 01.05.2025).</w:t>
      </w:r>
    </w:p>
    <w:p w14:paraId="6E6655E9" w14:textId="4D2A12FD" w:rsidR="00C10374" w:rsidRPr="00511005" w:rsidRDefault="00C10374" w:rsidP="003F6A5D">
      <w:pPr>
        <w:numPr>
          <w:ilvl w:val="0"/>
          <w:numId w:val="293"/>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 Цільовий план Україна - НАТО на 2008 рік у рамках Плану дій Україна – НАТО: Указ Президента України. План від 01.04.2008 № 289/2008. URL: </w:t>
      </w:r>
      <w:hyperlink r:id="rId1083" w:history="1">
        <w:r w:rsidRPr="00511005">
          <w:rPr>
            <w:rFonts w:ascii="Arial" w:eastAsia="Times New Roman" w:hAnsi="Arial" w:cs="Arial"/>
            <w:szCs w:val="28"/>
            <w:lang w:val="uk-UA" w:eastAsia="ru-RU"/>
          </w:rPr>
          <w:t>https://ips.ligazakon.net/document/U289_08?an=1649</w:t>
        </w:r>
      </w:hyperlink>
      <w:r w:rsidRPr="00511005">
        <w:rPr>
          <w:rFonts w:ascii="Arial" w:eastAsia="Times New Roman" w:hAnsi="Arial" w:cs="Arial"/>
          <w:szCs w:val="28"/>
          <w:lang w:val="uk-UA" w:eastAsia="ru-RU"/>
        </w:rPr>
        <w:t xml:space="preserve"> (дата звернення: 01.05.2025).</w:t>
      </w:r>
    </w:p>
    <w:p w14:paraId="66FACE64" w14:textId="77777777" w:rsidR="00C10374" w:rsidRPr="00511005" w:rsidRDefault="00C10374" w:rsidP="003F6A5D">
      <w:pPr>
        <w:numPr>
          <w:ilvl w:val="0"/>
          <w:numId w:val="293"/>
        </w:numPr>
        <w:spacing w:line="264" w:lineRule="auto"/>
        <w:ind w:left="0" w:firstLine="0"/>
        <w:rPr>
          <w:rFonts w:ascii="Arial" w:eastAsia="Calibri" w:hAnsi="Arial" w:cs="Arial"/>
          <w:szCs w:val="28"/>
          <w:lang w:val="uk-UA"/>
        </w:rPr>
      </w:pPr>
      <w:bookmarkStart w:id="149" w:name="n3"/>
      <w:bookmarkEnd w:id="149"/>
      <w:r w:rsidRPr="00511005">
        <w:rPr>
          <w:rFonts w:ascii="Arial" w:eastAsia="Calibri" w:hAnsi="Arial" w:cs="Arial"/>
          <w:szCs w:val="28"/>
          <w:lang w:val="uk-UA"/>
        </w:rPr>
        <w:t xml:space="preserve">Хартія про особливе партнерство між Україною та Організацією Північноатлантичного договору. Від 9 липня 1997 року, </w:t>
      </w:r>
      <w:r w:rsidRPr="00511005">
        <w:rPr>
          <w:rFonts w:ascii="Arial" w:eastAsia="Calibri" w:hAnsi="Arial" w:cs="Arial"/>
          <w:i/>
          <w:szCs w:val="28"/>
          <w:lang w:val="uk-UA"/>
        </w:rPr>
        <w:t>Документ 994_002</w:t>
      </w:r>
      <w:r w:rsidRPr="00511005">
        <w:rPr>
          <w:rFonts w:ascii="Arial" w:eastAsia="Calibri" w:hAnsi="Arial" w:cs="Arial"/>
          <w:szCs w:val="28"/>
          <w:lang w:val="uk-UA"/>
        </w:rPr>
        <w:t xml:space="preserve"> </w:t>
      </w:r>
      <w:hyperlink r:id="rId1084" w:anchor="Text" w:history="1">
        <w:r w:rsidRPr="00511005">
          <w:rPr>
            <w:rFonts w:ascii="Arial" w:eastAsia="Calibri" w:hAnsi="Arial" w:cs="Arial"/>
            <w:szCs w:val="28"/>
            <w:lang w:val="uk-UA"/>
          </w:rPr>
          <w:t>URL:https://zakon.rada.gov.ua/laws/show/994_002?utm_source=chatgpt.com#Text</w:t>
        </w:r>
      </w:hyperlink>
      <w:r w:rsidRPr="00511005">
        <w:rPr>
          <w:rFonts w:ascii="Arial" w:eastAsia="Calibri" w:hAnsi="Arial" w:cs="Arial"/>
          <w:szCs w:val="28"/>
          <w:lang w:val="uk-UA"/>
        </w:rPr>
        <w:t xml:space="preserve"> (дата звернення: 01.05.2025).</w:t>
      </w:r>
    </w:p>
    <w:p w14:paraId="3ECCD12F" w14:textId="7395AF0C" w:rsidR="00C10374"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Конституційний суд України, Конституція України, НАТО, Європейський Союз, постійна комісія з міжнародних зв’язків, місцевий рівень, євроатлантична інтеграція, трансатлантична єдність, збройна агресія.</w:t>
      </w:r>
    </w:p>
    <w:p w14:paraId="5281BF68" w14:textId="53264884" w:rsidR="00C10374" w:rsidRPr="00511005" w:rsidRDefault="007B2628" w:rsidP="003A292D">
      <w:pPr>
        <w:spacing w:line="264" w:lineRule="auto"/>
        <w:ind w:firstLine="0"/>
        <w:rPr>
          <w:rFonts w:ascii="Arial" w:eastAsia="Calibri" w:hAnsi="Arial" w:cs="Arial"/>
          <w:szCs w:val="28"/>
          <w:lang w:val="en-US"/>
        </w:rPr>
      </w:pPr>
      <w:r w:rsidRPr="00511005">
        <w:rPr>
          <w:rFonts w:ascii="Arial" w:eastAsia="Calibri" w:hAnsi="Arial" w:cs="Arial"/>
          <w:b/>
          <w:i/>
          <w:szCs w:val="28"/>
          <w:lang w:val="en-US"/>
        </w:rPr>
        <w:t xml:space="preserve">Key words: </w:t>
      </w:r>
      <w:r w:rsidR="00C10374" w:rsidRPr="00511005">
        <w:rPr>
          <w:rFonts w:ascii="Arial" w:eastAsia="Calibri" w:hAnsi="Arial" w:cs="Arial"/>
          <w:szCs w:val="28"/>
          <w:lang w:val="en-US"/>
        </w:rPr>
        <w:t>Constitutional Court of Ukraine, Constitution of Ukraine, NATO, European Union, Standing Committee on International Relations, local level, Euro-Atlantic integration, transatlantic unity, armed aggression</w:t>
      </w:r>
    </w:p>
    <w:p w14:paraId="5698CF9F" w14:textId="734AC530" w:rsidR="00C10374"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C10374" w:rsidRPr="00511005">
        <w:rPr>
          <w:rFonts w:ascii="Arial" w:eastAsia="Calibri" w:hAnsi="Arial" w:cs="Arial"/>
          <w:i/>
          <w:szCs w:val="28"/>
          <w:lang w:val="uk-UA"/>
        </w:rPr>
        <w:t>старший викладач кафедри Нестерчук Л.П.</w:t>
      </w:r>
    </w:p>
    <w:p w14:paraId="167BC5F1" w14:textId="256559A3" w:rsidR="00015FF7" w:rsidRDefault="00015FF7" w:rsidP="003A292D">
      <w:pPr>
        <w:spacing w:line="264" w:lineRule="auto"/>
        <w:ind w:firstLine="0"/>
        <w:rPr>
          <w:rFonts w:ascii="Arial" w:eastAsia="Calibri" w:hAnsi="Arial" w:cs="Arial"/>
          <w:i/>
          <w:szCs w:val="28"/>
          <w:lang w:val="uk-UA"/>
        </w:rPr>
      </w:pPr>
    </w:p>
    <w:p w14:paraId="3C2C86B3" w14:textId="77777777" w:rsidR="00015FF7" w:rsidRPr="00511005" w:rsidRDefault="00015FF7" w:rsidP="003A292D">
      <w:pPr>
        <w:spacing w:line="264" w:lineRule="auto"/>
        <w:ind w:firstLine="0"/>
        <w:rPr>
          <w:rFonts w:ascii="Arial" w:eastAsia="Calibri" w:hAnsi="Arial" w:cs="Arial"/>
          <w:i/>
          <w:szCs w:val="28"/>
          <w:lang w:val="uk-UA"/>
        </w:rPr>
      </w:pPr>
    </w:p>
    <w:p w14:paraId="3F61F49B" w14:textId="77777777" w:rsidR="00C10374" w:rsidRPr="00511005" w:rsidRDefault="00C10374" w:rsidP="003A292D">
      <w:pPr>
        <w:tabs>
          <w:tab w:val="left" w:pos="7088"/>
        </w:tabs>
        <w:spacing w:line="264" w:lineRule="auto"/>
        <w:ind w:firstLine="0"/>
        <w:jc w:val="center"/>
        <w:rPr>
          <w:rFonts w:ascii="Arial" w:eastAsia="Calibri" w:hAnsi="Arial" w:cs="Arial"/>
          <w:b/>
          <w:i/>
          <w:szCs w:val="28"/>
          <w:lang w:val="uk-UA" w:bidi="uk-UA"/>
        </w:rPr>
      </w:pPr>
      <w:r w:rsidRPr="00511005">
        <w:rPr>
          <w:rFonts w:ascii="Arial" w:eastAsia="Calibri" w:hAnsi="Arial" w:cs="Arial"/>
          <w:b/>
          <w:i/>
          <w:szCs w:val="28"/>
          <w:lang w:val="uk-UA" w:bidi="uk-UA"/>
        </w:rPr>
        <w:t>Гут Анастасія Вадимівна</w:t>
      </w:r>
    </w:p>
    <w:p w14:paraId="2BF1C317" w14:textId="76BE7767" w:rsidR="00C10374" w:rsidRPr="00511005" w:rsidRDefault="00C10374" w:rsidP="003A292D">
      <w:pPr>
        <w:tabs>
          <w:tab w:val="left" w:pos="7088"/>
        </w:tabs>
        <w:spacing w:line="264" w:lineRule="auto"/>
        <w:ind w:firstLine="0"/>
        <w:jc w:val="center"/>
        <w:rPr>
          <w:rFonts w:ascii="Arial" w:eastAsia="Calibri" w:hAnsi="Arial" w:cs="Arial"/>
          <w:szCs w:val="28"/>
          <w:lang w:val="uk-UA" w:bidi="uk-UA"/>
        </w:rPr>
      </w:pPr>
      <w:r w:rsidRPr="00511005">
        <w:rPr>
          <w:rFonts w:ascii="Arial" w:eastAsia="Calibri" w:hAnsi="Arial" w:cs="Arial"/>
          <w:szCs w:val="28"/>
          <w:lang w:val="uk-UA" w:bidi="uk-UA"/>
        </w:rPr>
        <w:t xml:space="preserve">cтудентки 1-го курсу </w:t>
      </w:r>
      <w:r w:rsidR="001B7B25" w:rsidRPr="00511005">
        <w:rPr>
          <w:rFonts w:ascii="Arial" w:eastAsia="Calibri" w:hAnsi="Arial" w:cs="Arial"/>
          <w:szCs w:val="28"/>
          <w:lang w:val="uk-UA" w:bidi="uk-UA"/>
        </w:rPr>
        <w:t>факультету судового та міжнародного права</w:t>
      </w:r>
    </w:p>
    <w:p w14:paraId="74D60898" w14:textId="77777777" w:rsidR="00C10374" w:rsidRPr="00511005" w:rsidRDefault="00C10374" w:rsidP="003A292D">
      <w:pPr>
        <w:tabs>
          <w:tab w:val="left" w:pos="7088"/>
        </w:tabs>
        <w:spacing w:line="264" w:lineRule="auto"/>
        <w:ind w:firstLine="0"/>
        <w:jc w:val="center"/>
        <w:rPr>
          <w:rFonts w:ascii="Arial" w:eastAsia="Calibri" w:hAnsi="Arial" w:cs="Arial"/>
          <w:szCs w:val="28"/>
          <w:lang w:val="uk-UA" w:bidi="uk-UA"/>
        </w:rPr>
      </w:pPr>
      <w:r w:rsidRPr="00511005">
        <w:rPr>
          <w:rFonts w:ascii="Arial" w:eastAsia="Calibri" w:hAnsi="Arial" w:cs="Arial"/>
          <w:szCs w:val="28"/>
          <w:lang w:val="uk-UA" w:bidi="uk-UA"/>
        </w:rPr>
        <w:t>Національний Університет “Одеська юридична академія”</w:t>
      </w:r>
    </w:p>
    <w:p w14:paraId="521494BF" w14:textId="77777777" w:rsidR="00C10374" w:rsidRPr="00511005" w:rsidRDefault="00C10374" w:rsidP="003A292D">
      <w:pPr>
        <w:tabs>
          <w:tab w:val="left" w:pos="7088"/>
        </w:tabs>
        <w:spacing w:line="264" w:lineRule="auto"/>
        <w:ind w:firstLine="0"/>
        <w:jc w:val="center"/>
        <w:rPr>
          <w:rFonts w:ascii="Arial" w:eastAsia="Calibri" w:hAnsi="Arial" w:cs="Arial"/>
          <w:szCs w:val="28"/>
          <w:lang w:val="uk-UA" w:bidi="uk-UA"/>
        </w:rPr>
      </w:pPr>
    </w:p>
    <w:p w14:paraId="7A9B4205" w14:textId="77777777" w:rsidR="00C10374" w:rsidRPr="00511005" w:rsidRDefault="00C10374" w:rsidP="003A292D">
      <w:pPr>
        <w:tabs>
          <w:tab w:val="left" w:pos="7088"/>
        </w:tabs>
        <w:spacing w:line="264" w:lineRule="auto"/>
        <w:ind w:firstLine="0"/>
        <w:jc w:val="center"/>
        <w:rPr>
          <w:rFonts w:ascii="Arial" w:eastAsia="Calibri" w:hAnsi="Arial" w:cs="Arial"/>
          <w:b/>
          <w:szCs w:val="28"/>
          <w:lang w:val="uk-UA" w:bidi="uk-UA"/>
        </w:rPr>
      </w:pPr>
      <w:r w:rsidRPr="00511005">
        <w:rPr>
          <w:rFonts w:ascii="Arial" w:eastAsia="Calibri" w:hAnsi="Arial" w:cs="Arial"/>
          <w:b/>
          <w:szCs w:val="28"/>
          <w:lang w:val="uk-UA" w:bidi="uk-UA"/>
        </w:rPr>
        <w:t>МІЖНАРОДНІ СТАНДАРТИ У СФЕРІ ПРАВОСУДДЯ</w:t>
      </w:r>
    </w:p>
    <w:p w14:paraId="3140A377" w14:textId="77777777" w:rsidR="00C10374" w:rsidRPr="00511005" w:rsidRDefault="00C10374" w:rsidP="003A292D">
      <w:pPr>
        <w:tabs>
          <w:tab w:val="left" w:pos="7088"/>
        </w:tabs>
        <w:spacing w:line="264" w:lineRule="auto"/>
        <w:ind w:firstLine="0"/>
        <w:jc w:val="center"/>
        <w:rPr>
          <w:rFonts w:ascii="Arial" w:eastAsia="Calibri" w:hAnsi="Arial" w:cs="Arial"/>
          <w:b/>
          <w:szCs w:val="28"/>
          <w:lang w:val="uk-UA" w:bidi="uk-UA"/>
        </w:rPr>
      </w:pPr>
    </w:p>
    <w:p w14:paraId="17CBEA91"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Міжнародні стандарти у сфері правосуддя відіграють ключову роль у формуванні справедливої, незалежної та ефективної системи судочинства в будь-якій правовій державі. Вони становлять своєрідну правову основу, на якій ґрунтується діяльність судових органів у всьому світі, визначаючи як загальні принципи правосуддя, так і конкретні механізми захисту прав людини. Для України, яка нині переживає збройну агресію з боку Російської Федерації, дотримання цих стандартів є не лише вимогою міжнародної спільноти, а й гарантією дотримання внутрішньої правової стабільності.</w:t>
      </w:r>
    </w:p>
    <w:p w14:paraId="04F28A75"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На думку Ю. Христової «міжнародні стандарти забезпечення безпеки правосуддя – це закріплені у міжнародних актах і документах норми, принципи, рекомендації, правила, критерії щодо забезпечення безпеки в будівлі (приміщеннях/території) суду, особистої безпеки та захисту професійної діяльності осіб, які здійснюють правосуддя (суддів і присяжних (беруть участь у його здійсненні) та їх близьких родичів, а також інших осіб, які сприяють його здійсненню, забезпечують функціонування суду та його безпеку, інших учасників судового процесу, систем даних та організаційних систем, у тому числі електронного правосуддя, від криміногенних ризиків, загроз і впливів» [2, с.239].</w:t>
      </w:r>
    </w:p>
    <w:p w14:paraId="67B64C72"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Як зазначає Ю. І. Цвіркун «міжнародні правові стандарти можна поділити на такі групи: 1) міжнародні стандарти, які містяться у загальносвітових документах; 2) регіональні, наприклад, європейські стандарти, які закріплені в європейських міжнародних правових актах. Крім цього, у сфері правосуддя міжнародні стандарти в науковій літературі класифікуються на: 1) базові – універсальні міжнародні стандарти, закріплені в основоположних документах, що визначають стандарти правової держави; 2) спеціальні – галузеві міжнародні стандарти у сфері правосуддя; 3) міжнародні стандарти, втілені у практиці міжнародних юрисдикційних органів» [3, </w:t>
      </w:r>
      <w:r w:rsidRPr="00511005">
        <w:rPr>
          <w:rFonts w:ascii="Arial" w:eastAsia="Calibri" w:hAnsi="Arial" w:cs="Arial"/>
          <w:szCs w:val="28"/>
          <w:lang w:val="en-US" w:bidi="uk-UA"/>
        </w:rPr>
        <w:t>c</w:t>
      </w:r>
      <w:r w:rsidRPr="00511005">
        <w:rPr>
          <w:rFonts w:ascii="Arial" w:eastAsia="Calibri" w:hAnsi="Arial" w:cs="Arial"/>
          <w:szCs w:val="28"/>
          <w:lang w:val="uk-UA" w:bidi="uk-UA"/>
        </w:rPr>
        <w:t>.80]</w:t>
      </w:r>
    </w:p>
    <w:p w14:paraId="579F961E"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Міжнародні стандарти правосуддя формуються передусім через діяльність міжнародних організацій, таких як Організація Об’єднаних Націй, Рада Європи, ОБСЄ. Найважливішими документами, що відображають ці стандарти, є Міжнародний пакт про громадянські і політичні права 1966 року, Європейська конвенція з прав людини 1950 року, а також Основні принципи незалежності судових органів, прийняті Генеральною Асамблеєю ООН у 1985 році. Вони містять ключові положення про презумпцію невинуватості, </w:t>
      </w:r>
      <w:r w:rsidRPr="00511005">
        <w:rPr>
          <w:rFonts w:ascii="Arial" w:eastAsia="Calibri" w:hAnsi="Arial" w:cs="Arial"/>
          <w:szCs w:val="28"/>
          <w:lang w:val="uk-UA" w:bidi="uk-UA"/>
        </w:rPr>
        <w:lastRenderedPageBreak/>
        <w:t>право на справедливий суд, незалежність суддів, рівність сторін у процесі, право на захист та гласність судових слухань.</w:t>
      </w:r>
    </w:p>
    <w:p w14:paraId="204EDB89"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Європейська конвенція з прав людини, зокрема її стаття 6, стала визначальною для української судоустройної системи, оскільки рішення Європейського суду з прав людини мають обов’язковий характер для держави, що визнала юрисдикцію цього суду [1]. Протягом останніх десятиліть Україна поступово гармонізує своє законодавство з вимогами міжнародних стандартів. Зокрема, зміни до Конституції України, судова реформа, оновлення процесуальних кодексів – усе це було спрямовано на реалізацію прав громадян на ефективний захист у судах, незалежне правосуддя та належну судову процедуру.</w:t>
      </w:r>
    </w:p>
    <w:p w14:paraId="0C48DA0F"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Попри ці зусилля, на практиці реалізація міжнародних стандартів стикається з низкою серйозних викликів. Одним із найбільш поширених є надмірна тривалість розгляду справ у судах, що є порушенням вимоги «розумного строку» судового розгляду. Також часто трапляються ситуації, коли українські суди не дотримуються принципу змагальності чи допускають порушення прав захисту. </w:t>
      </w:r>
    </w:p>
    <w:p w14:paraId="61E22945"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Особливе значення дотримання міжнародних стандартів набуває в умовах війни. Воєнний стан не звільняє державу від зобов’язань перед міжнародним правом. Навпаки, у періоди збройного конфлікту права людини потребують ще більшого захисту. Саме в таких умовах критично важливо забезпечити незалежність суду, захист прав військовослужбовців, цивільних осіб, внутрішньо переміщених осіб, а також здійснювати належне провадження у справах про воєнні злочини. Саме міжнародні стандарти дають змогу структурувати систему судочинства, яка відповідає вимогам гуманізму, справедливості та правової визначеності.</w:t>
      </w:r>
    </w:p>
    <w:p w14:paraId="3C562245"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Не менш важливим є питання кадрової політики в системі судоустрою. Міжнародні документи, такі як Основні принципи незалежності судових органів ООН, визначають, що судді мають бути призначені на основі професійної підготовки, неупередженості та незалежності. Деякі позитивні зміни все ж відбулись, зокрема створення Вищої ради правосуддя та конкурсного добору до Верховного Суду, однак ці процеси потребують продовження та вдосконалення.</w:t>
      </w:r>
    </w:p>
    <w:p w14:paraId="4F6D819D"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В умовах євроінтеграційного курсу України та подальшого наближення до стандартів Європейського Союзу, питання дотримання міжнародних стандартів правосуддя стає ще більш актуальним. Вимоги щодо незалежності суду, ефективності правосуддя, прозорості судових процедур прямо пов’язані з критеріями членства в ЄС, а тому євроінтеграція стимулює Україну до глибших реформ судової системи.</w:t>
      </w:r>
    </w:p>
    <w:p w14:paraId="371247FE"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У підсумку слід зазначити, що міжнародні стандарти у сфері правосуддя є базовим орієнтиром для розвитку судової влади в Україні. Їх дотримання – не лише вимога міжнародного співтовариства, а й </w:t>
      </w:r>
      <w:r w:rsidRPr="00511005">
        <w:rPr>
          <w:rFonts w:ascii="Arial" w:eastAsia="Calibri" w:hAnsi="Arial" w:cs="Arial"/>
          <w:szCs w:val="28"/>
          <w:lang w:val="uk-UA" w:bidi="uk-UA"/>
        </w:rPr>
        <w:lastRenderedPageBreak/>
        <w:t>необхідність для забезпечення прав і свобод людини, підвищення довіри до судової системи та утвердження принципу верховенства права. У період війни, реформ та політичних викликів ці стандарти стають особливо важливими для зміцнення демократичних засад державності.</w:t>
      </w:r>
    </w:p>
    <w:p w14:paraId="53609A96" w14:textId="77777777" w:rsidR="00C10374" w:rsidRPr="00511005" w:rsidRDefault="00C10374" w:rsidP="003A292D">
      <w:pPr>
        <w:tabs>
          <w:tab w:val="left" w:pos="7088"/>
        </w:tabs>
        <w:spacing w:line="264" w:lineRule="auto"/>
        <w:jc w:val="center"/>
        <w:rPr>
          <w:rFonts w:ascii="Arial" w:eastAsia="Calibri" w:hAnsi="Arial" w:cs="Arial"/>
          <w:szCs w:val="28"/>
          <w:lang w:val="uk-UA" w:bidi="uk-UA"/>
        </w:rPr>
      </w:pPr>
    </w:p>
    <w:p w14:paraId="3C1758FD" w14:textId="6E9C324F" w:rsidR="00C10374" w:rsidRPr="00511005" w:rsidRDefault="00875A11" w:rsidP="007B2628">
      <w:pPr>
        <w:tabs>
          <w:tab w:val="left" w:pos="7088"/>
        </w:tabs>
        <w:spacing w:line="264" w:lineRule="auto"/>
        <w:jc w:val="center"/>
        <w:rPr>
          <w:rFonts w:ascii="Arial" w:eastAsia="Calibri" w:hAnsi="Arial" w:cs="Arial"/>
          <w:b/>
          <w:szCs w:val="28"/>
          <w:lang w:val="uk-UA" w:bidi="uk-UA"/>
        </w:rPr>
      </w:pPr>
      <w:r>
        <w:rPr>
          <w:rFonts w:ascii="Arial" w:eastAsia="Calibri" w:hAnsi="Arial" w:cs="Arial"/>
          <w:b/>
          <w:szCs w:val="28"/>
          <w:lang w:val="uk-UA" w:bidi="uk-UA"/>
        </w:rPr>
        <w:t>Список використаних джерел</w:t>
      </w:r>
    </w:p>
    <w:p w14:paraId="5A4CF929" w14:textId="77777777" w:rsidR="007B2628" w:rsidRPr="00511005" w:rsidRDefault="00C10374" w:rsidP="003F6A5D">
      <w:pPr>
        <w:widowControl w:val="0"/>
        <w:numPr>
          <w:ilvl w:val="0"/>
          <w:numId w:val="825"/>
        </w:numPr>
        <w:tabs>
          <w:tab w:val="left" w:pos="7088"/>
        </w:tabs>
        <w:autoSpaceDE w:val="0"/>
        <w:autoSpaceDN w:val="0"/>
        <w:adjustRightInd w:val="0"/>
        <w:spacing w:line="264" w:lineRule="auto"/>
        <w:ind w:left="0" w:hanging="426"/>
        <w:contextualSpacing/>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Конвенція про захист прав людини і основоположних свобод (з протоколами) (Європейська конвенція з прав людини) Документ № 995_004 від 01.01.1990 р. URL:</w:t>
      </w:r>
      <w:r w:rsidRPr="00511005">
        <w:rPr>
          <w:rFonts w:ascii="Arial" w:eastAsia="Times New Roman" w:hAnsi="Arial" w:cs="Arial"/>
          <w:szCs w:val="28"/>
          <w:lang w:val="uk-UA" w:eastAsia="ru-RU"/>
        </w:rPr>
        <w:t xml:space="preserve"> </w:t>
      </w:r>
      <w:hyperlink r:id="rId1085" w:anchor="Text" w:history="1">
        <w:r w:rsidRPr="00511005">
          <w:rPr>
            <w:rFonts w:ascii="Arial" w:eastAsia="Times New Roman" w:hAnsi="Arial" w:cs="Arial"/>
            <w:szCs w:val="28"/>
            <w:lang w:val="uk-UA" w:eastAsia="ru-RU" w:bidi="uk-UA"/>
          </w:rPr>
          <w:t>https://zakon.rada.gov.ua/laws/show/995_004#Text</w:t>
        </w:r>
      </w:hyperlink>
      <w:r w:rsidRPr="00511005">
        <w:rPr>
          <w:rFonts w:ascii="Arial" w:eastAsia="Times New Roman" w:hAnsi="Arial" w:cs="Arial"/>
          <w:szCs w:val="28"/>
          <w:lang w:val="uk-UA" w:eastAsia="ru-RU" w:bidi="uk-UA"/>
        </w:rPr>
        <w:t xml:space="preserve"> (дата звернення: 10.04.2025 року)</w:t>
      </w:r>
    </w:p>
    <w:p w14:paraId="17EF8564" w14:textId="1ADE3968" w:rsidR="00C10374" w:rsidRPr="00511005" w:rsidRDefault="00C10374" w:rsidP="003F6A5D">
      <w:pPr>
        <w:widowControl w:val="0"/>
        <w:numPr>
          <w:ilvl w:val="0"/>
          <w:numId w:val="825"/>
        </w:numPr>
        <w:tabs>
          <w:tab w:val="left" w:pos="7088"/>
        </w:tabs>
        <w:autoSpaceDE w:val="0"/>
        <w:autoSpaceDN w:val="0"/>
        <w:adjustRightInd w:val="0"/>
        <w:spacing w:line="264" w:lineRule="auto"/>
        <w:ind w:left="0" w:hanging="426"/>
        <w:contextualSpacing/>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Христова Ю. Міжнародні стандарти забезпечення безпеки правосуддя. </w:t>
      </w:r>
      <w:r w:rsidRPr="00511005">
        <w:rPr>
          <w:rFonts w:ascii="Arial" w:eastAsia="Times New Roman" w:hAnsi="Arial" w:cs="Arial"/>
          <w:i/>
          <w:szCs w:val="28"/>
          <w:lang w:val="uk-UA" w:eastAsia="ru-RU" w:bidi="uk-UA"/>
        </w:rPr>
        <w:t>Науковий вісник Дніпропетровського державного університету внутрішніх справ.</w:t>
      </w:r>
      <w:r w:rsidRPr="00511005">
        <w:rPr>
          <w:rFonts w:ascii="Arial" w:eastAsia="Times New Roman" w:hAnsi="Arial" w:cs="Arial"/>
          <w:szCs w:val="28"/>
          <w:lang w:val="uk-UA" w:eastAsia="ru-RU" w:bidi="uk-UA"/>
        </w:rPr>
        <w:t xml:space="preserve"> 2023. </w:t>
      </w:r>
      <w:r w:rsidRPr="00511005">
        <w:rPr>
          <w:rFonts w:ascii="Arial" w:eastAsia="Times New Roman" w:hAnsi="Arial" w:cs="Arial"/>
          <w:szCs w:val="28"/>
          <w:shd w:val="clear" w:color="auto" w:fill="FFFFFF"/>
          <w:lang w:val="uk-UA" w:eastAsia="ru-RU"/>
        </w:rPr>
        <w:t xml:space="preserve">№ 2 (123). С. 234-243 </w:t>
      </w:r>
      <w:r w:rsidRPr="00511005">
        <w:rPr>
          <w:rFonts w:ascii="Arial" w:eastAsia="Times New Roman" w:hAnsi="Arial" w:cs="Arial"/>
          <w:szCs w:val="28"/>
          <w:lang w:val="uk-UA" w:eastAsia="ru-RU" w:bidi="uk-UA"/>
        </w:rPr>
        <w:t xml:space="preserve">URL: </w:t>
      </w:r>
      <w:hyperlink r:id="rId1086" w:history="1">
        <w:r w:rsidRPr="00511005">
          <w:rPr>
            <w:rFonts w:ascii="Arial" w:eastAsia="Times New Roman" w:hAnsi="Arial" w:cs="Arial"/>
            <w:szCs w:val="28"/>
            <w:lang w:val="uk-UA" w:eastAsia="ru-RU" w:bidi="uk-UA"/>
          </w:rPr>
          <w:t>https://er.dduvs.edu.ua/bitstream/123456789/12063/1/34.pdf</w:t>
        </w:r>
      </w:hyperlink>
      <w:r w:rsidRPr="00511005">
        <w:rPr>
          <w:rFonts w:ascii="Arial" w:eastAsia="Times New Roman" w:hAnsi="Arial" w:cs="Arial"/>
          <w:szCs w:val="28"/>
          <w:lang w:val="uk-UA" w:eastAsia="ru-RU" w:bidi="uk-UA"/>
        </w:rPr>
        <w:t xml:space="preserve"> (дата звернення: 10.04.2025 року) </w:t>
      </w:r>
    </w:p>
    <w:p w14:paraId="5ADD05BF" w14:textId="77777777" w:rsidR="00C10374" w:rsidRPr="00511005" w:rsidRDefault="00C10374" w:rsidP="003F6A5D">
      <w:pPr>
        <w:widowControl w:val="0"/>
        <w:numPr>
          <w:ilvl w:val="0"/>
          <w:numId w:val="825"/>
        </w:numPr>
        <w:tabs>
          <w:tab w:val="left" w:pos="7088"/>
        </w:tabs>
        <w:autoSpaceDE w:val="0"/>
        <w:autoSpaceDN w:val="0"/>
        <w:adjustRightInd w:val="0"/>
        <w:spacing w:line="264" w:lineRule="auto"/>
        <w:ind w:left="0" w:hanging="426"/>
        <w:contextualSpacing/>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Цвіркун Ю. І. Стан впровадження міжнародних стандартів у сфері правосуддя в адміністративному судочинстві України. </w:t>
      </w:r>
      <w:r w:rsidRPr="00511005">
        <w:rPr>
          <w:rFonts w:ascii="Arial" w:eastAsia="Times New Roman" w:hAnsi="Arial" w:cs="Arial"/>
          <w:i/>
          <w:szCs w:val="28"/>
          <w:lang w:val="uk-UA" w:eastAsia="ru-RU" w:bidi="uk-UA"/>
        </w:rPr>
        <w:t xml:space="preserve">Juris Europensis Scientia </w:t>
      </w:r>
      <w:r w:rsidRPr="00511005">
        <w:rPr>
          <w:rFonts w:ascii="Arial" w:eastAsia="Times New Roman" w:hAnsi="Arial" w:cs="Arial"/>
          <w:szCs w:val="28"/>
          <w:lang w:val="uk-UA" w:eastAsia="ru-RU" w:bidi="uk-UA"/>
        </w:rPr>
        <w:t xml:space="preserve">(2022) С. 78-83. </w:t>
      </w:r>
      <w:r w:rsidRPr="00511005">
        <w:rPr>
          <w:rFonts w:ascii="Arial" w:eastAsia="Times New Roman" w:hAnsi="Arial" w:cs="Arial"/>
          <w:szCs w:val="28"/>
          <w:lang w:val="en-US" w:eastAsia="ru-RU" w:bidi="uk-UA"/>
        </w:rPr>
        <w:t>URL</w:t>
      </w:r>
      <w:r w:rsidRPr="00511005">
        <w:rPr>
          <w:rFonts w:ascii="Arial" w:eastAsia="Times New Roman" w:hAnsi="Arial" w:cs="Arial"/>
          <w:szCs w:val="28"/>
          <w:lang w:val="uk-UA" w:eastAsia="ru-RU" w:bidi="uk-UA"/>
        </w:rPr>
        <w:t xml:space="preserve">: </w:t>
      </w:r>
      <w:hyperlink r:id="rId1087" w:history="1">
        <w:r w:rsidRPr="00511005">
          <w:rPr>
            <w:rFonts w:ascii="Arial" w:eastAsia="Times New Roman" w:hAnsi="Arial" w:cs="Arial"/>
            <w:szCs w:val="28"/>
            <w:lang w:val="uk-UA" w:eastAsia="ru-RU" w:bidi="uk-UA"/>
          </w:rPr>
          <w:t>https://ir.kneu.edu.ua/items/fc8d926c-9ed0-474b-a1d9-c5ce1c68a352</w:t>
        </w:r>
      </w:hyperlink>
      <w:r w:rsidRPr="00511005">
        <w:rPr>
          <w:rFonts w:ascii="Arial" w:eastAsia="Times New Roman" w:hAnsi="Arial" w:cs="Arial"/>
          <w:szCs w:val="28"/>
          <w:lang w:val="uk-UA" w:eastAsia="ru-RU" w:bidi="uk-UA"/>
        </w:rPr>
        <w:t xml:space="preserve"> </w:t>
      </w:r>
    </w:p>
    <w:p w14:paraId="6C3267F8" w14:textId="77777777" w:rsidR="00C10374" w:rsidRPr="00511005" w:rsidRDefault="00C10374" w:rsidP="003A292D">
      <w:pPr>
        <w:tabs>
          <w:tab w:val="left" w:pos="993"/>
          <w:tab w:val="left" w:pos="7088"/>
        </w:tabs>
        <w:spacing w:line="264" w:lineRule="auto"/>
        <w:contextualSpacing/>
        <w:rPr>
          <w:rFonts w:ascii="Arial" w:eastAsia="Times New Roman" w:hAnsi="Arial" w:cs="Arial"/>
          <w:b/>
          <w:szCs w:val="28"/>
          <w:lang w:val="uk-UA" w:eastAsia="ru-RU" w:bidi="uk-UA"/>
        </w:rPr>
      </w:pPr>
    </w:p>
    <w:p w14:paraId="64CB9166" w14:textId="74BAB21C" w:rsidR="00C10374" w:rsidRPr="00511005" w:rsidRDefault="007B2628" w:rsidP="003A292D">
      <w:pPr>
        <w:tabs>
          <w:tab w:val="left" w:pos="993"/>
          <w:tab w:val="left" w:pos="7088"/>
        </w:tabs>
        <w:spacing w:line="264" w:lineRule="auto"/>
        <w:contextualSpacing/>
        <w:rPr>
          <w:rFonts w:ascii="Arial" w:eastAsia="Times New Roman" w:hAnsi="Arial" w:cs="Arial"/>
          <w:szCs w:val="28"/>
          <w:lang w:val="uk-UA" w:eastAsia="ru-RU" w:bidi="uk-UA"/>
        </w:rPr>
      </w:pPr>
      <w:r w:rsidRPr="00511005">
        <w:rPr>
          <w:rFonts w:ascii="Arial" w:eastAsia="Times New Roman" w:hAnsi="Arial" w:cs="Arial"/>
          <w:b/>
          <w:i/>
          <w:szCs w:val="28"/>
          <w:lang w:val="uk-UA" w:eastAsia="ru-RU" w:bidi="uk-UA"/>
        </w:rPr>
        <w:t xml:space="preserve">Ключові слова: </w:t>
      </w:r>
      <w:r w:rsidR="00C10374" w:rsidRPr="00511005">
        <w:rPr>
          <w:rFonts w:ascii="Arial" w:eastAsia="Times New Roman" w:hAnsi="Arial" w:cs="Arial"/>
          <w:szCs w:val="28"/>
          <w:lang w:val="uk-UA" w:eastAsia="ru-RU" w:bidi="uk-UA"/>
        </w:rPr>
        <w:t>міжнародні стандарти, правосуддя, право на справедливий суд, європейська конвенція, судова незалежність, правова система, права людини, судова реформа, демократичне правосуддя, юрисдикція міжнародних судів.</w:t>
      </w:r>
    </w:p>
    <w:p w14:paraId="7095DD14" w14:textId="16389359" w:rsidR="00C10374" w:rsidRPr="00511005" w:rsidRDefault="007B2628" w:rsidP="003A292D">
      <w:pPr>
        <w:tabs>
          <w:tab w:val="left" w:pos="993"/>
          <w:tab w:val="left" w:pos="7088"/>
        </w:tabs>
        <w:spacing w:line="264" w:lineRule="auto"/>
        <w:contextualSpacing/>
        <w:rPr>
          <w:rFonts w:ascii="Arial" w:eastAsia="Times New Roman" w:hAnsi="Arial" w:cs="Arial"/>
          <w:szCs w:val="28"/>
          <w:lang w:val="en-US" w:eastAsia="ru-RU" w:bidi="uk-UA"/>
        </w:rPr>
      </w:pPr>
      <w:r w:rsidRPr="00511005">
        <w:rPr>
          <w:rFonts w:ascii="Arial" w:eastAsia="Times New Roman" w:hAnsi="Arial" w:cs="Arial"/>
          <w:b/>
          <w:i/>
          <w:szCs w:val="28"/>
          <w:lang w:val="en-US" w:eastAsia="ru-RU" w:bidi="uk-UA"/>
        </w:rPr>
        <w:t xml:space="preserve">Key words: </w:t>
      </w:r>
      <w:r w:rsidR="00C10374" w:rsidRPr="00511005">
        <w:rPr>
          <w:rFonts w:ascii="Arial" w:eastAsia="Times New Roman" w:hAnsi="Arial" w:cs="Arial"/>
          <w:szCs w:val="28"/>
          <w:lang w:val="en-US" w:eastAsia="ru-RU" w:bidi="uk-UA"/>
        </w:rPr>
        <w:t>International standards, Justice, Right to a fair trial, European Convention, Judicial independence, Legal system, Human rights, Judicial reform, Democratic justice, Jurisdiction of international courts.</w:t>
      </w:r>
    </w:p>
    <w:p w14:paraId="404F3F1A" w14:textId="2D2FB654" w:rsidR="00C10374" w:rsidRPr="00511005" w:rsidRDefault="00C10374" w:rsidP="003A292D">
      <w:pPr>
        <w:tabs>
          <w:tab w:val="left" w:pos="993"/>
          <w:tab w:val="left" w:pos="7088"/>
        </w:tabs>
        <w:spacing w:line="264" w:lineRule="auto"/>
        <w:ind w:firstLine="0"/>
        <w:contextualSpacing/>
        <w:rPr>
          <w:rFonts w:ascii="Arial" w:eastAsia="Times New Roman" w:hAnsi="Arial" w:cs="Arial"/>
          <w:i/>
          <w:szCs w:val="28"/>
          <w:lang w:val="uk-UA" w:eastAsia="ru-RU" w:bidi="uk-UA"/>
        </w:rPr>
      </w:pPr>
      <w:r w:rsidRPr="00511005">
        <w:rPr>
          <w:rFonts w:ascii="Arial" w:eastAsia="Times New Roman" w:hAnsi="Arial" w:cs="Arial"/>
          <w:bCs/>
          <w:i/>
          <w:iCs/>
          <w:szCs w:val="28"/>
          <w:lang w:val="uk-UA" w:eastAsia="ru-RU"/>
        </w:rPr>
        <w:tab/>
      </w:r>
      <w:r w:rsidR="007B2628" w:rsidRPr="00511005">
        <w:rPr>
          <w:rFonts w:ascii="Arial" w:eastAsia="Times New Roman" w:hAnsi="Arial" w:cs="Arial"/>
          <w:b/>
          <w:i/>
          <w:szCs w:val="28"/>
          <w:lang w:val="uk-UA" w:eastAsia="ru-RU" w:bidi="uk-UA"/>
        </w:rPr>
        <w:t xml:space="preserve">Науковий керівник: </w:t>
      </w:r>
      <w:r w:rsidRPr="00511005">
        <w:rPr>
          <w:rFonts w:ascii="Arial" w:eastAsia="Times New Roman" w:hAnsi="Arial" w:cs="Arial"/>
          <w:i/>
          <w:szCs w:val="28"/>
          <w:lang w:val="uk-UA" w:eastAsia="ru-RU" w:bidi="uk-UA"/>
        </w:rPr>
        <w:t>старший викладач Нестерчук Л. П.</w:t>
      </w:r>
    </w:p>
    <w:p w14:paraId="3B34A595" w14:textId="77777777" w:rsidR="00C10374" w:rsidRPr="00511005" w:rsidRDefault="00C10374" w:rsidP="003A292D">
      <w:pPr>
        <w:spacing w:line="264" w:lineRule="auto"/>
        <w:ind w:firstLine="0"/>
        <w:rPr>
          <w:rFonts w:ascii="Arial" w:eastAsia="Calibri" w:hAnsi="Arial" w:cs="Arial"/>
          <w:i/>
          <w:szCs w:val="28"/>
          <w:lang w:val="uk-UA"/>
        </w:rPr>
      </w:pPr>
    </w:p>
    <w:p w14:paraId="2D801EF9" w14:textId="77777777" w:rsidR="00C10374" w:rsidRPr="00511005" w:rsidRDefault="00C10374" w:rsidP="003A292D">
      <w:pPr>
        <w:spacing w:line="264" w:lineRule="auto"/>
        <w:ind w:firstLine="0"/>
        <w:rPr>
          <w:rFonts w:ascii="Arial" w:eastAsia="Calibri" w:hAnsi="Arial" w:cs="Arial"/>
          <w:szCs w:val="28"/>
        </w:rPr>
      </w:pPr>
    </w:p>
    <w:p w14:paraId="273102D0" w14:textId="77777777" w:rsidR="00C10374" w:rsidRPr="00511005" w:rsidRDefault="00C10374"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Думбрава Яна Романівна</w:t>
      </w:r>
    </w:p>
    <w:p w14:paraId="1E459C90" w14:textId="4E429421" w:rsidR="00C10374" w:rsidRPr="00511005" w:rsidRDefault="00BE3972" w:rsidP="003A292D">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 xml:space="preserve">студентка 1-го курсу </w:t>
      </w:r>
      <w:r w:rsidR="001B7B25" w:rsidRPr="00511005">
        <w:rPr>
          <w:rFonts w:ascii="Arial" w:eastAsia="Calibri" w:hAnsi="Arial" w:cs="Arial"/>
          <w:iCs/>
          <w:szCs w:val="28"/>
          <w:lang w:val="uk-UA"/>
        </w:rPr>
        <w:t>факультету судового та міжнародного права</w:t>
      </w:r>
    </w:p>
    <w:p w14:paraId="6F940039" w14:textId="7FFCF050" w:rsidR="00C10374" w:rsidRPr="00511005" w:rsidRDefault="007B2628" w:rsidP="003A292D">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1BD98897" w14:textId="77777777" w:rsidR="00C10374" w:rsidRPr="00511005" w:rsidRDefault="00C10374" w:rsidP="003A292D">
      <w:pPr>
        <w:spacing w:line="264" w:lineRule="auto"/>
        <w:jc w:val="center"/>
        <w:rPr>
          <w:rFonts w:ascii="Arial" w:eastAsia="Calibri" w:hAnsi="Arial" w:cs="Arial"/>
          <w:b/>
          <w:bCs/>
          <w:szCs w:val="28"/>
          <w:lang w:val="uk-UA"/>
        </w:rPr>
      </w:pPr>
    </w:p>
    <w:p w14:paraId="0359C254" w14:textId="77777777" w:rsidR="00C10374" w:rsidRPr="00511005" w:rsidRDefault="00C10374"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ЗАРУБІЖНИЙ ДОСВІД ФУНКЦІОНУВАННЯ АНТИКОРУПЦІЙНИХ СУДІВ ТА МОЖЛИВОСТІ ЙОГО ІМПЛЕМЕНТАЦІЇ В УКРАЇНІ</w:t>
      </w:r>
    </w:p>
    <w:p w14:paraId="2580D035" w14:textId="77777777" w:rsidR="00C10374" w:rsidRPr="00511005" w:rsidRDefault="00C10374" w:rsidP="003A292D">
      <w:pPr>
        <w:spacing w:line="264" w:lineRule="auto"/>
        <w:ind w:firstLine="0"/>
        <w:rPr>
          <w:rFonts w:ascii="Arial" w:eastAsia="Calibri" w:hAnsi="Arial" w:cs="Arial"/>
          <w:b/>
          <w:bCs/>
          <w:szCs w:val="28"/>
          <w:lang w:val="uk-UA"/>
        </w:rPr>
      </w:pPr>
    </w:p>
    <w:p w14:paraId="59C043DD"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Корупція є одним із найсерйозніших викликів сучасності, який не лише підриває довіру громадян до органів влади, але й гальмує економічний розвиток, створює нерівні умови для бізнесу та інвесторів, і в кінцевому результаті погіршує добробут населення. В Україні корупція вже тривалий час залишається системною проблемою, яка зачіпає всі сфери суспільного </w:t>
      </w:r>
      <w:r w:rsidRPr="00511005">
        <w:rPr>
          <w:rFonts w:ascii="Arial" w:eastAsia="Calibri" w:hAnsi="Arial" w:cs="Arial"/>
          <w:szCs w:val="28"/>
          <w:lang w:val="uk-UA"/>
        </w:rPr>
        <w:lastRenderedPageBreak/>
        <w:t>життя — від політики й економіки до освіти й охорони здоров’я. У цьому контексті ефективна протидія корупції вимагає не лише законодавчих змін чи декларативних заяв, а й створення дієвих інституцій, здатних забезпечити невідворотність покарання за корупційні правопорушення. Однією з таких інституцій є антикорупційні суди. Їхня головна мета — не просто розгляд справ, а формування нової судової культури, де панують прозорість, неупередженість і професіоналізм.</w:t>
      </w:r>
    </w:p>
    <w:p w14:paraId="3FF8617B"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Досвід інших країн, зокрема Румунії, Індонезії чи Словаччини, демонструє, що створення окремих судових органів, які спеціалізуються виключно на корупційних справах, може суттєво підвищити ефективність боротьби з цим явищем. У Румунії, наприклад, завдяки роботі Національного антикорупційного управління та спеціалізованих судів вдалося притягнути до відповідальності численних високопосадовців, що стало позитивним сигналом для суспільства й міжнародних партнерів. Україна вже зробила крок у цьому напрямку, створивши Вищий антикорупційний суд. Проте його подальша ефективність залежатиме від незалежності, належного фінансування, захисту суддів та взаємодії з іншими органами — НАБУ, САП, ДБР. Крім того, вкрай важливо продовжувати аналізувати зарубіжну практику, адаптувати найкращі механізми та уникати чужих помилок.</w:t>
      </w:r>
    </w:p>
    <w:p w14:paraId="36C0909D"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Одним із найуспішніших прикладів антикорупційної трансформації є Естонія, яка досягла значних результатів без створення окремих антикорупційних органів. Ключовим чинником успіху стала рішуча політична воля естонських лідерів, спрямована на викорінення хабарництва. Після розпаду радянської системи країна отримала історичний шанс на кардинальні зміни. Встановлення естонської мови як державної призвело до відходу з посад багатьох російськомовних чиновників, яких замінила нова генерація молодих естонців. Це дозволило розірвати старі корупційні зв’язки, що зберігалися з радянських часів. Крім того, динамічне економічне зростання дало змогу забезпечити конкурентні зарплати для держслужбовців, що суттєво знизило спокусу до корупції.</w:t>
      </w:r>
    </w:p>
    <w:p w14:paraId="1478A437"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На противагу цьому, у Болгарії реальні антикорупційні зрушення стали можливими лише під зовнішнім тиском з боку Європейського Союзу. Тільки після того, як ЄС пригрозив зупинити фінансування, місцеві органи отримали право проводити антикорупційні розслідування. Це свідчить про те, що сам факт створення спеціалізованих структур не гарантує ефективної боротьби з корупцією. Навпаки, реальний прогрес можливий навіть за відсутності таких інституцій — за умови наявності чіткої політичної волі та системної державної політики.</w:t>
      </w:r>
    </w:p>
    <w:p w14:paraId="734088E6"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В Естонії питання протидії корупції покладено на Бюро з розслідування корупційних злочинів, що входить до складу Центральної кримінальної поліції при Міністерстві внутрішніх справ, зазначає М.В. Фільштейн. У </w:t>
      </w:r>
      <w:r w:rsidRPr="00511005">
        <w:rPr>
          <w:rFonts w:ascii="Arial" w:eastAsia="Calibri" w:hAnsi="Arial" w:cs="Arial"/>
          <w:szCs w:val="28"/>
          <w:lang w:val="uk-UA"/>
        </w:rPr>
        <w:lastRenderedPageBreak/>
        <w:t>співпраці з підрозділом внутрішньої безпеки міністерства цей орган здійснює як превентивну діяльність, так і виявляє корупційні правопорушення, що дозволяє забезпечити ефективний контроль без надмірного бюрократичного навантаження [3].</w:t>
      </w:r>
    </w:p>
    <w:p w14:paraId="0DD0E53B"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Ще одним яскравим прикладом є Індонезія, яка створила Комісію з викорінення корупції (KPK) та спеціальний антикорупційний суд, який має незалежний статус та розглядає справи виключно щодо корупційних правопорушень. Судді відбираються за жорсткими критеріями доброчесності [1].</w:t>
      </w:r>
    </w:p>
    <w:p w14:paraId="21F6BDB6"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Одним із прикладів інституційної боротьби з корупцією є також Філіппіни, де функціонує спеціалізований антикорупційний суд — Сандиганбаян. Цей судовий орган був створений ще у 1978 році і став важливою ланкою у філіппінській системі правосуддя, орієнтованій на боротьбу з корупцією серед державних службовців, зокрема тих, хто займає високі посади.</w:t>
      </w:r>
    </w:p>
    <w:p w14:paraId="11D8A837"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На думку К.О.Придачук, Сандиганбаян має повноваження розглядати справи про зловживання владою, розтрату бюджетних коштів, хабарництво, незаконне збагачення та інші корупційні злочини. Його юрисдикція охоплює державних службовців, включно з міністрами, суддями, військовими високого рангу та іншими посадовцями, які мають доступ до значних ресурсів або впливають на ухвалення рішень у сфері публічного управління [2].</w:t>
      </w:r>
    </w:p>
    <w:p w14:paraId="3FBA0931"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Особливістю цього суду є його незалежність і спеціалізація — він розглядає виключно антикорупційні справи, що дозволяє забезпечити високу експертизу, пришвидшення розгляду справ і підвищення ефективності правосуддя. Крім того, Сандиганбаян виконує важливу символічну функцію: його існування засвідчує політичну готовність держави протистояти корупції на найвищому рівні. Однак, як і в багатьох країнах, ефективність діяльності Сандиганбаяна залежить не лише від законодавчих норм чи процесуальних механізмів, а й від загального політичного середовища, рівня незалежності судової влади, захищеності суддів та довіри громадян до системи правосуддя.</w:t>
      </w:r>
    </w:p>
    <w:p w14:paraId="5EFF7404"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Основні уроки для України, як вважає Х.С.Буха: </w:t>
      </w:r>
    </w:p>
    <w:p w14:paraId="0912A7C8" w14:textId="1913625E"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«1.</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Незалежність суддів. Успіх іноземних антикорупційних судів значною мірою залежав від того, наскільки незалежними були їхні судді. В Україні важливо продовжувати практику залучення міжнародних експертів до конкурсних комісій.</w:t>
      </w:r>
    </w:p>
    <w:p w14:paraId="2BBB4D78" w14:textId="77777777" w:rsidR="00C10374" w:rsidRPr="00511005" w:rsidRDefault="00C10374" w:rsidP="003F6A5D">
      <w:pPr>
        <w:numPr>
          <w:ilvl w:val="0"/>
          <w:numId w:val="295"/>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Швидкість розгляду справ. Іноземний досвід свідчить, що спеціалізовані суди повинні працювати за окремими процедурами, які дозволяють пришвидшити розгляд справ, уникнувши затягування.</w:t>
      </w:r>
    </w:p>
    <w:p w14:paraId="4B97B5B5" w14:textId="77777777" w:rsidR="00C10374" w:rsidRPr="00511005" w:rsidRDefault="00C10374" w:rsidP="003F6A5D">
      <w:pPr>
        <w:numPr>
          <w:ilvl w:val="0"/>
          <w:numId w:val="295"/>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Інституційна взаємодія. Важливим є налагодження ефективної співпраці між антикорупційними органами: НАБУ, САП та Вищим антикорупційним судом (ВАКС).</w:t>
      </w:r>
    </w:p>
    <w:p w14:paraId="1622B4AD" w14:textId="77777777" w:rsidR="00C10374" w:rsidRPr="00511005" w:rsidRDefault="00C10374" w:rsidP="003F6A5D">
      <w:pPr>
        <w:numPr>
          <w:ilvl w:val="0"/>
          <w:numId w:val="295"/>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Прозорість процесів. Відкрите висвітлення роботи судів у ЗМІ підвищує довіру суспільства до антикорупційної боротьби» [4].</w:t>
      </w:r>
    </w:p>
    <w:p w14:paraId="4C7A151B"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Україна вже має певний фундамент завдяки створенню Вищого антикорупційного суду. Проте для подальшого вдосконалення можна: запровадити додаткові навчальні програми для суддів та прокурорів; опрацювати можливість створення окремих палат у ВАКС для різних типів корупційних справ; посилити контроль громадськості за доброчесністю суддів; розширити міжнародну співпрацю для обміну досвідом та кращими практиками.</w:t>
      </w:r>
    </w:p>
    <w:p w14:paraId="028898DC"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Імплементація зарубіжного досвіду функціонування антикорупційних судів в Україні можлива лише за умови дотримання високих стандартів незалежності, прозорості та професіоналізму. Це стане важливим кроком на шляху до побудови правової держави та зміцнення довіри громадян до влади.</w:t>
      </w:r>
    </w:p>
    <w:p w14:paraId="4D5CE08D" w14:textId="77777777" w:rsidR="00C10374" w:rsidRPr="00511005" w:rsidRDefault="00C10374" w:rsidP="003A292D">
      <w:pPr>
        <w:spacing w:line="264" w:lineRule="auto"/>
        <w:rPr>
          <w:rFonts w:ascii="Arial" w:eastAsia="Calibri" w:hAnsi="Arial" w:cs="Arial"/>
          <w:szCs w:val="28"/>
          <w:lang w:val="uk-UA"/>
        </w:rPr>
      </w:pPr>
    </w:p>
    <w:p w14:paraId="7F1F56A4" w14:textId="1718FBD9" w:rsidR="00C10374" w:rsidRPr="00511005" w:rsidRDefault="007B2628" w:rsidP="007B2628">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704BC51D" w14:textId="77777777" w:rsidR="00C10374" w:rsidRPr="00511005" w:rsidRDefault="00C10374" w:rsidP="003F6A5D">
      <w:pPr>
        <w:numPr>
          <w:ilvl w:val="0"/>
          <w:numId w:val="294"/>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Від кризи до розвитку: Індонезія як приклад відновлення для України. </w:t>
      </w:r>
      <w:r w:rsidRPr="00511005">
        <w:rPr>
          <w:rFonts w:ascii="Arial" w:eastAsia="Times New Roman" w:hAnsi="Arial" w:cs="Arial"/>
          <w:i/>
          <w:iCs/>
          <w:szCs w:val="28"/>
          <w:lang w:val="uk-UA" w:eastAsia="ru-RU"/>
        </w:rPr>
        <w:t>Mind.ua</w:t>
      </w:r>
      <w:r w:rsidRPr="00511005">
        <w:rPr>
          <w:rFonts w:ascii="Arial" w:eastAsia="Times New Roman" w:hAnsi="Arial" w:cs="Arial"/>
          <w:szCs w:val="28"/>
          <w:lang w:val="uk-UA" w:eastAsia="ru-RU"/>
        </w:rPr>
        <w:t>. URL: </w:t>
      </w:r>
      <w:hyperlink r:id="rId1088" w:tgtFrame="_blank" w:history="1">
        <w:r w:rsidRPr="00511005">
          <w:rPr>
            <w:rFonts w:ascii="Arial" w:eastAsia="Times New Roman" w:hAnsi="Arial" w:cs="Arial"/>
            <w:szCs w:val="28"/>
            <w:lang w:val="uk-UA" w:eastAsia="ru-RU"/>
          </w:rPr>
          <w:t>https://mind.ua/openmind/20256734-vid-krizi-do-rozvitku-indoneziya-yak-priklad-vidnovlennya-dlya-ukrayini</w:t>
        </w:r>
      </w:hyperlink>
      <w:r w:rsidRPr="00511005">
        <w:rPr>
          <w:rFonts w:ascii="Arial" w:eastAsia="Times New Roman" w:hAnsi="Arial" w:cs="Arial"/>
          <w:szCs w:val="28"/>
          <w:lang w:val="uk-UA" w:eastAsia="ru-RU"/>
        </w:rPr>
        <w:t> (дата звернення: 29.04.2025).</w:t>
      </w:r>
    </w:p>
    <w:p w14:paraId="25D5ED56" w14:textId="77777777" w:rsidR="00C10374" w:rsidRPr="00511005" w:rsidRDefault="00C10374" w:rsidP="003F6A5D">
      <w:pPr>
        <w:numPr>
          <w:ilvl w:val="0"/>
          <w:numId w:val="294"/>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Придачук К. О. Особливості кадрового забезпечення діяльності антикорупційного суду в Філіппінах. Київський часопис права. 2023. № 2. С. 228–233. URL: </w:t>
      </w:r>
      <w:hyperlink r:id="rId1089" w:tgtFrame="_blank" w:history="1">
        <w:r w:rsidRPr="00511005">
          <w:rPr>
            <w:rFonts w:ascii="Arial" w:eastAsia="Times New Roman" w:hAnsi="Arial" w:cs="Arial"/>
            <w:szCs w:val="28"/>
            <w:lang w:val="uk-UA" w:eastAsia="ru-RU"/>
          </w:rPr>
          <w:t>https://doi.org/10.32782/klj/2023.2.32</w:t>
        </w:r>
      </w:hyperlink>
      <w:r w:rsidRPr="00511005">
        <w:rPr>
          <w:rFonts w:ascii="Arial" w:eastAsia="Times New Roman" w:hAnsi="Arial" w:cs="Arial"/>
          <w:szCs w:val="28"/>
          <w:lang w:val="uk-UA" w:eastAsia="ru-RU"/>
        </w:rPr>
        <w:t> (дата звернення: 29.04.2025).</w:t>
      </w:r>
    </w:p>
    <w:p w14:paraId="1AFEC334" w14:textId="77777777" w:rsidR="00C10374" w:rsidRPr="00511005" w:rsidRDefault="00C10374" w:rsidP="003F6A5D">
      <w:pPr>
        <w:numPr>
          <w:ilvl w:val="0"/>
          <w:numId w:val="294"/>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Фільштейн М.В. Досвід країн Прибалтики в подоланні корупції в поліцейському середовищі. </w:t>
      </w:r>
      <w:r w:rsidRPr="00511005">
        <w:rPr>
          <w:rFonts w:ascii="Arial" w:eastAsia="Times New Roman" w:hAnsi="Arial" w:cs="Arial"/>
          <w:i/>
          <w:iCs/>
          <w:szCs w:val="28"/>
          <w:lang w:val="uk-UA" w:eastAsia="ru-RU"/>
        </w:rPr>
        <w:t>Право і суспільство</w:t>
      </w:r>
      <w:r w:rsidRPr="00511005">
        <w:rPr>
          <w:rFonts w:ascii="Arial" w:eastAsia="Times New Roman" w:hAnsi="Arial" w:cs="Arial"/>
          <w:szCs w:val="28"/>
          <w:lang w:val="uk-UA" w:eastAsia="ru-RU"/>
        </w:rPr>
        <w:t>. 2015. № 6.2(2). С. 149‒152.</w:t>
      </w:r>
    </w:p>
    <w:p w14:paraId="3A9355E4" w14:textId="77777777" w:rsidR="00C10374" w:rsidRPr="00511005" w:rsidRDefault="00C10374" w:rsidP="003F6A5D">
      <w:pPr>
        <w:numPr>
          <w:ilvl w:val="0"/>
          <w:numId w:val="294"/>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Buha H. S. Experience of foreign countries in the prevention of corruption. </w:t>
      </w:r>
      <w:r w:rsidRPr="00511005">
        <w:rPr>
          <w:rFonts w:ascii="Arial" w:eastAsia="Times New Roman" w:hAnsi="Arial" w:cs="Arial"/>
          <w:i/>
          <w:iCs/>
          <w:szCs w:val="28"/>
          <w:lang w:val="uk-UA" w:eastAsia="ru-RU"/>
        </w:rPr>
        <w:t>Legal position</w:t>
      </w:r>
      <w:r w:rsidRPr="00511005">
        <w:rPr>
          <w:rFonts w:ascii="Arial" w:eastAsia="Times New Roman" w:hAnsi="Arial" w:cs="Arial"/>
          <w:szCs w:val="28"/>
          <w:lang w:val="uk-UA" w:eastAsia="ru-RU"/>
        </w:rPr>
        <w:t>. 2023. № 1. С. 149–152. URL: </w:t>
      </w:r>
      <w:hyperlink r:id="rId1090" w:tgtFrame="_blank" w:history="1">
        <w:r w:rsidRPr="00511005">
          <w:rPr>
            <w:rFonts w:ascii="Arial" w:eastAsia="Times New Roman" w:hAnsi="Arial" w:cs="Arial"/>
            <w:szCs w:val="28"/>
            <w:lang w:val="uk-UA" w:eastAsia="ru-RU"/>
          </w:rPr>
          <w:t>https://doi.org/10.32782/2521-6473.2023-1.29</w:t>
        </w:r>
      </w:hyperlink>
      <w:r w:rsidRPr="00511005">
        <w:rPr>
          <w:rFonts w:ascii="Arial" w:eastAsia="Times New Roman" w:hAnsi="Arial" w:cs="Arial"/>
          <w:szCs w:val="28"/>
          <w:lang w:val="uk-UA" w:eastAsia="ru-RU"/>
        </w:rPr>
        <w:t> (дата звернення: 29.04.2025).</w:t>
      </w:r>
    </w:p>
    <w:p w14:paraId="4152E7EA" w14:textId="77777777" w:rsidR="00C10374" w:rsidRPr="00511005" w:rsidRDefault="00C10374" w:rsidP="003A292D">
      <w:pPr>
        <w:spacing w:line="264" w:lineRule="auto"/>
        <w:contextualSpacing/>
        <w:rPr>
          <w:rFonts w:ascii="Arial" w:eastAsia="Times New Roman" w:hAnsi="Arial" w:cs="Arial"/>
          <w:szCs w:val="28"/>
          <w:lang w:val="uk-UA" w:eastAsia="ru-RU"/>
        </w:rPr>
      </w:pPr>
    </w:p>
    <w:p w14:paraId="2497DEEA" w14:textId="45FD151C" w:rsidR="00C10374" w:rsidRPr="00511005" w:rsidRDefault="007B2628" w:rsidP="003A292D">
      <w:pPr>
        <w:spacing w:line="264" w:lineRule="auto"/>
        <w:rPr>
          <w:rFonts w:ascii="Arial" w:eastAsia="Calibri" w:hAnsi="Arial" w:cs="Arial"/>
          <w:iCs/>
          <w:szCs w:val="28"/>
          <w:lang w:val="uk-UA"/>
        </w:rPr>
      </w:pPr>
      <w:r w:rsidRPr="00511005">
        <w:rPr>
          <w:rFonts w:ascii="Arial" w:eastAsia="Calibri" w:hAnsi="Arial" w:cs="Arial"/>
          <w:b/>
          <w:i/>
          <w:iCs/>
          <w:szCs w:val="28"/>
          <w:lang w:val="uk-UA"/>
        </w:rPr>
        <w:t xml:space="preserve">Ключові слова: </w:t>
      </w:r>
      <w:r w:rsidR="00C10374" w:rsidRPr="00511005">
        <w:rPr>
          <w:rFonts w:ascii="Arial" w:eastAsia="Calibri" w:hAnsi="Arial" w:cs="Arial"/>
          <w:iCs/>
          <w:szCs w:val="28"/>
          <w:lang w:val="uk-UA"/>
        </w:rPr>
        <w:t>антикорупційний суд, корупція, судова система, міжнародний досвід, імплементація, ВАКС, незалежність суддів, ефективність правосуддя.</w:t>
      </w:r>
    </w:p>
    <w:p w14:paraId="714F87DA" w14:textId="4BBD87D3" w:rsidR="00C10374" w:rsidRPr="00511005" w:rsidRDefault="007B2628" w:rsidP="003A292D">
      <w:pPr>
        <w:spacing w:line="264" w:lineRule="auto"/>
        <w:rPr>
          <w:rFonts w:ascii="Arial" w:eastAsia="Calibri" w:hAnsi="Arial" w:cs="Arial"/>
          <w:iCs/>
          <w:szCs w:val="28"/>
          <w:lang w:val="uk-UA"/>
        </w:rPr>
      </w:pPr>
      <w:r w:rsidRPr="00511005">
        <w:rPr>
          <w:rFonts w:ascii="Arial" w:eastAsia="Calibri" w:hAnsi="Arial" w:cs="Arial"/>
          <w:b/>
          <w:i/>
          <w:iCs/>
          <w:szCs w:val="28"/>
          <w:lang w:val="uk-UA"/>
        </w:rPr>
        <w:t xml:space="preserve">Key words: </w:t>
      </w:r>
      <w:r w:rsidR="00C10374" w:rsidRPr="00511005">
        <w:rPr>
          <w:rFonts w:ascii="Arial" w:eastAsia="Calibri" w:hAnsi="Arial" w:cs="Arial"/>
          <w:iCs/>
          <w:szCs w:val="28"/>
          <w:lang w:val="uk-UA"/>
        </w:rPr>
        <w:t>anti-corruption court, corruption, judicial system, international experience, implementation, HACC, judicial independence, efficiency of justice.</w:t>
      </w:r>
    </w:p>
    <w:p w14:paraId="131BB607" w14:textId="378FAD72" w:rsidR="00C10374" w:rsidRPr="00511005" w:rsidRDefault="007B2628" w:rsidP="003A292D">
      <w:pPr>
        <w:spacing w:line="264" w:lineRule="auto"/>
        <w:rPr>
          <w:rFonts w:ascii="Arial" w:eastAsia="Calibri" w:hAnsi="Arial" w:cs="Arial"/>
          <w:i/>
          <w:iCs/>
          <w:szCs w:val="28"/>
          <w:lang w:val="uk-UA"/>
        </w:rPr>
      </w:pPr>
      <w:r w:rsidRPr="00511005">
        <w:rPr>
          <w:rFonts w:ascii="Arial" w:eastAsia="Calibri" w:hAnsi="Arial" w:cs="Arial"/>
          <w:b/>
          <w:i/>
          <w:szCs w:val="28"/>
          <w:lang w:val="uk-UA"/>
        </w:rPr>
        <w:t xml:space="preserve">Науковий керівник: </w:t>
      </w:r>
      <w:r w:rsidR="00C10374" w:rsidRPr="00511005">
        <w:rPr>
          <w:rFonts w:ascii="Arial" w:eastAsia="Calibri" w:hAnsi="Arial" w:cs="Arial"/>
          <w:i/>
          <w:szCs w:val="28"/>
          <w:lang w:val="uk-UA"/>
        </w:rPr>
        <w:t>старший викладач Нестерчук Л.П.</w:t>
      </w:r>
    </w:p>
    <w:p w14:paraId="2922D986" w14:textId="77777777" w:rsidR="00C10374" w:rsidRPr="00511005" w:rsidRDefault="00C10374" w:rsidP="003A292D">
      <w:pPr>
        <w:spacing w:line="264" w:lineRule="auto"/>
        <w:ind w:firstLine="0"/>
        <w:rPr>
          <w:rFonts w:ascii="Arial" w:eastAsia="Calibri" w:hAnsi="Arial" w:cs="Arial"/>
          <w:szCs w:val="28"/>
        </w:rPr>
      </w:pPr>
    </w:p>
    <w:p w14:paraId="38FFBF40" w14:textId="77777777" w:rsidR="00C10374" w:rsidRPr="00511005" w:rsidRDefault="00C10374" w:rsidP="003A292D">
      <w:pPr>
        <w:spacing w:line="264" w:lineRule="auto"/>
        <w:ind w:firstLine="0"/>
        <w:rPr>
          <w:rFonts w:ascii="Arial" w:eastAsia="Calibri" w:hAnsi="Arial" w:cs="Arial"/>
          <w:szCs w:val="28"/>
        </w:rPr>
      </w:pPr>
    </w:p>
    <w:p w14:paraId="18437145" w14:textId="77777777" w:rsidR="00C10374" w:rsidRPr="00511005" w:rsidRDefault="00C10374" w:rsidP="003A292D">
      <w:pPr>
        <w:spacing w:line="264" w:lineRule="auto"/>
        <w:ind w:left="-113"/>
        <w:jc w:val="center"/>
        <w:rPr>
          <w:rFonts w:ascii="Arial" w:eastAsia="Calibri" w:hAnsi="Arial" w:cs="Arial"/>
          <w:b/>
          <w:bCs/>
          <w:i/>
          <w:szCs w:val="28"/>
          <w:lang w:val="uk-UA"/>
        </w:rPr>
      </w:pPr>
      <w:r w:rsidRPr="00511005">
        <w:rPr>
          <w:rFonts w:ascii="Arial" w:eastAsia="Calibri" w:hAnsi="Arial" w:cs="Arial"/>
          <w:b/>
          <w:bCs/>
          <w:i/>
          <w:szCs w:val="28"/>
          <w:lang w:val="uk-UA"/>
        </w:rPr>
        <w:lastRenderedPageBreak/>
        <w:t>Журавель Владислав Олексійович</w:t>
      </w:r>
    </w:p>
    <w:p w14:paraId="6E5D29E6" w14:textId="18FF38D2" w:rsidR="00C10374" w:rsidRPr="00511005" w:rsidRDefault="00BE3972" w:rsidP="003A292D">
      <w:pPr>
        <w:spacing w:line="264" w:lineRule="auto"/>
        <w:ind w:left="-113"/>
        <w:jc w:val="center"/>
        <w:rPr>
          <w:rFonts w:ascii="Arial" w:eastAsia="Calibri" w:hAnsi="Arial" w:cs="Arial"/>
          <w:bCs/>
          <w:szCs w:val="28"/>
          <w:lang w:val="uk-UA"/>
        </w:rPr>
      </w:pPr>
      <w:r w:rsidRPr="00511005">
        <w:rPr>
          <w:rFonts w:ascii="Arial" w:eastAsia="Calibri" w:hAnsi="Arial" w:cs="Arial"/>
          <w:bCs/>
          <w:szCs w:val="28"/>
          <w:lang w:val="uk-UA"/>
        </w:rPr>
        <w:t xml:space="preserve">студент 1-го курсу </w:t>
      </w:r>
      <w:r w:rsidR="001B7B25" w:rsidRPr="00511005">
        <w:rPr>
          <w:rFonts w:ascii="Arial" w:eastAsia="Calibri" w:hAnsi="Arial" w:cs="Arial"/>
          <w:bCs/>
          <w:szCs w:val="28"/>
          <w:lang w:val="uk-UA"/>
        </w:rPr>
        <w:t>факультету судового та міжнародного права</w:t>
      </w:r>
    </w:p>
    <w:p w14:paraId="071D417D" w14:textId="7308A0E1" w:rsidR="00C10374" w:rsidRPr="00511005" w:rsidRDefault="007B2628" w:rsidP="003A292D">
      <w:pPr>
        <w:spacing w:line="264" w:lineRule="auto"/>
        <w:ind w:left="-113"/>
        <w:jc w:val="center"/>
        <w:rPr>
          <w:rFonts w:ascii="Arial" w:eastAsia="Calibri" w:hAnsi="Arial" w:cs="Arial"/>
          <w:bCs/>
          <w:szCs w:val="28"/>
          <w:lang w:val="uk-UA"/>
        </w:rPr>
      </w:pPr>
      <w:r w:rsidRPr="00511005">
        <w:rPr>
          <w:rFonts w:ascii="Arial" w:eastAsia="Calibri" w:hAnsi="Arial" w:cs="Arial"/>
          <w:bCs/>
          <w:szCs w:val="28"/>
          <w:lang w:val="uk-UA"/>
        </w:rPr>
        <w:t>Національного університету «Одеська юридична академія»</w:t>
      </w:r>
    </w:p>
    <w:p w14:paraId="0865FF4D" w14:textId="77777777" w:rsidR="00C10374" w:rsidRPr="00511005" w:rsidRDefault="00C10374" w:rsidP="003A292D">
      <w:pPr>
        <w:spacing w:line="264" w:lineRule="auto"/>
        <w:ind w:left="-113"/>
        <w:jc w:val="center"/>
        <w:rPr>
          <w:rFonts w:ascii="Arial" w:eastAsia="Calibri" w:hAnsi="Arial" w:cs="Arial"/>
          <w:bCs/>
          <w:szCs w:val="28"/>
          <w:lang w:val="uk-UA"/>
        </w:rPr>
      </w:pPr>
    </w:p>
    <w:p w14:paraId="4BFFEADD" w14:textId="77777777" w:rsidR="00C10374" w:rsidRPr="00511005" w:rsidRDefault="00C10374" w:rsidP="003A292D">
      <w:pPr>
        <w:spacing w:line="264" w:lineRule="auto"/>
        <w:ind w:left="-113"/>
        <w:jc w:val="center"/>
        <w:rPr>
          <w:rFonts w:ascii="Arial" w:eastAsia="Calibri" w:hAnsi="Arial" w:cs="Arial"/>
          <w:b/>
          <w:bCs/>
          <w:szCs w:val="28"/>
          <w:lang w:val="uk-UA"/>
        </w:rPr>
      </w:pPr>
      <w:r w:rsidRPr="00511005">
        <w:rPr>
          <w:rFonts w:ascii="Arial" w:eastAsia="Calibri" w:hAnsi="Arial" w:cs="Arial"/>
          <w:b/>
          <w:bCs/>
          <w:szCs w:val="28"/>
          <w:lang w:val="uk-UA"/>
        </w:rPr>
        <w:t>ПРОБЛЕМИ ФОРМУВАННЯ ВИЩОГО СУДУ З ПИТАНЬ ІНТЕЛЕКТУАЛЬНОЇ ВЛАСНОСТІ</w:t>
      </w:r>
    </w:p>
    <w:p w14:paraId="33E1FB79" w14:textId="77777777" w:rsidR="00C10374" w:rsidRPr="00511005" w:rsidRDefault="00C10374" w:rsidP="003A292D">
      <w:pPr>
        <w:spacing w:line="264" w:lineRule="auto"/>
        <w:ind w:left="-113"/>
        <w:rPr>
          <w:rFonts w:ascii="Arial" w:eastAsia="Calibri" w:hAnsi="Arial" w:cs="Arial"/>
          <w:b/>
          <w:bCs/>
          <w:szCs w:val="28"/>
          <w:lang w:val="uk-UA"/>
        </w:rPr>
      </w:pPr>
    </w:p>
    <w:p w14:paraId="7F792CF7" w14:textId="77777777" w:rsidR="00C10374" w:rsidRPr="00511005" w:rsidRDefault="00C10374" w:rsidP="003A292D">
      <w:pPr>
        <w:spacing w:line="264" w:lineRule="auto"/>
        <w:ind w:left="-113"/>
        <w:rPr>
          <w:rFonts w:ascii="Arial" w:eastAsia="Calibri" w:hAnsi="Arial" w:cs="Arial"/>
          <w:szCs w:val="28"/>
          <w:lang w:val="uk-UA"/>
        </w:rPr>
      </w:pPr>
      <w:r w:rsidRPr="00511005">
        <w:rPr>
          <w:rFonts w:ascii="Arial" w:eastAsia="Calibri" w:hAnsi="Arial" w:cs="Arial"/>
          <w:szCs w:val="28"/>
          <w:lang w:val="uk-UA"/>
        </w:rPr>
        <w:t xml:space="preserve">Захист інтелектуальної власності є надзвичайно вважливим у сучасних умовах науково-технічного прогресу. У зв’язку з цим особливої актуальності набуває забезпечення прав осіб на результати їхньої інтелектуальної діяльності. яким надається правова можливість захистити інтелектуальні продукти своєї діяльності та використовувати їх задля власних інтересів. Належний рівень охорони авторського права сприяє розвитку підприємницької, творчої та культурної сфер, а також позитивно впливає на економічне зростання держави. Крім того, ефективна система захисту прав інтелектуальної власності формує довіру з боку іноземних інвесторів, що створює сприятливе середовище задля залучення інвестицій в економіку країни. </w:t>
      </w:r>
    </w:p>
    <w:p w14:paraId="66BF0207" w14:textId="77777777" w:rsidR="00C10374" w:rsidRPr="00511005" w:rsidRDefault="00C10374" w:rsidP="003A292D">
      <w:pPr>
        <w:spacing w:line="264" w:lineRule="auto"/>
        <w:ind w:left="-113"/>
        <w:rPr>
          <w:rFonts w:ascii="Arial" w:eastAsia="Calibri" w:hAnsi="Arial" w:cs="Arial"/>
          <w:szCs w:val="28"/>
          <w:lang w:val="uk-UA"/>
        </w:rPr>
      </w:pPr>
      <w:r w:rsidRPr="00511005">
        <w:rPr>
          <w:rFonts w:ascii="Arial" w:eastAsia="Calibri" w:hAnsi="Arial" w:cs="Arial"/>
          <w:szCs w:val="28"/>
          <w:lang w:val="uk-UA"/>
        </w:rPr>
        <w:t xml:space="preserve">В Європейському Союзі захист інтелектуальної власності є розвинутий на достатньо високому рівні, не дивно, що задля подальшого вступу України до Європейського Союзу необхідно нашій державі приділити увагу захисту цій сфері прав людини. </w:t>
      </w:r>
    </w:p>
    <w:p w14:paraId="48BDC1F3" w14:textId="77777777" w:rsidR="00C10374" w:rsidRPr="00511005" w:rsidRDefault="00C10374" w:rsidP="003A292D">
      <w:pPr>
        <w:spacing w:line="264" w:lineRule="auto"/>
        <w:ind w:left="-113"/>
        <w:rPr>
          <w:rFonts w:ascii="Arial" w:eastAsia="Calibri" w:hAnsi="Arial" w:cs="Arial"/>
          <w:szCs w:val="28"/>
          <w:lang w:val="uk-UA"/>
        </w:rPr>
      </w:pPr>
      <w:r w:rsidRPr="00511005">
        <w:rPr>
          <w:rFonts w:ascii="Arial" w:eastAsia="Calibri" w:hAnsi="Arial" w:cs="Arial"/>
          <w:szCs w:val="28"/>
          <w:lang w:val="uk-UA"/>
        </w:rPr>
        <w:t>В Україні захист авторського права гарантується: 1)Конституцією України, стаття 54, положеннями про свободу творчої, літературної, наукової та технічної діяльності, й захист права інтелектуальної власності; 2) Законом України про авторське право та суміжні права.</w:t>
      </w:r>
    </w:p>
    <w:p w14:paraId="32C66756" w14:textId="77777777" w:rsidR="00C10374" w:rsidRPr="00511005" w:rsidRDefault="00C10374" w:rsidP="003A292D">
      <w:pPr>
        <w:spacing w:line="264" w:lineRule="auto"/>
        <w:ind w:left="-113"/>
        <w:rPr>
          <w:rFonts w:ascii="Arial" w:eastAsia="Calibri" w:hAnsi="Arial" w:cs="Arial"/>
          <w:szCs w:val="28"/>
          <w:lang w:val="uk-UA"/>
        </w:rPr>
      </w:pPr>
      <w:r w:rsidRPr="00511005">
        <w:rPr>
          <w:rFonts w:ascii="Arial" w:eastAsia="Calibri" w:hAnsi="Arial" w:cs="Arial"/>
          <w:szCs w:val="28"/>
          <w:lang w:val="uk-UA"/>
        </w:rPr>
        <w:t>29 вересня 2017 року був підписаний Указ Президента № 299/2017 “Про створення Вищого суду з питань інтелектуальної власності”. Правовою основою до цього суду є: 1) Конституція України (частина 4 статті 125), де зазначається, що відповідно до закону можуть діяти спеціалізовані суди; 2) Закон України «Про судоустрій та статус суддів»: а) (частини 3 статті 17), для розгляду окремих категорій справ існують вищі спеціалізовані суди; б) (частина 2 статті 31) визначає перелік таких судів, до якого входить, зокрема, Вищий суд з питань інтелектуальної власності; в) (32 стаття) цей суд виконує функції суду першої та апеляційної інстанції, займається аналізом судової статистики, вивченням і узагальненням судової практики, а також передає результати узагальнення на розгляд Верховного Суду.</w:t>
      </w:r>
    </w:p>
    <w:p w14:paraId="007722D7" w14:textId="77777777" w:rsidR="00C10374" w:rsidRPr="00511005" w:rsidRDefault="00C10374" w:rsidP="003A292D">
      <w:pPr>
        <w:spacing w:line="264" w:lineRule="auto"/>
        <w:ind w:left="-113"/>
        <w:rPr>
          <w:rFonts w:ascii="Arial" w:eastAsia="Calibri" w:hAnsi="Arial" w:cs="Arial"/>
          <w:szCs w:val="28"/>
          <w:lang w:val="uk-UA"/>
        </w:rPr>
      </w:pPr>
      <w:r w:rsidRPr="00511005">
        <w:rPr>
          <w:rFonts w:ascii="Arial" w:eastAsia="Calibri" w:hAnsi="Arial" w:cs="Arial"/>
          <w:szCs w:val="28"/>
          <w:lang w:val="uk-UA"/>
        </w:rPr>
        <w:t xml:space="preserve">Суд існує майже 8 років (відповідно до Указу Президента “Про створення Вищого суду з питань інтелектуальної власності” № 299/2017, який підписаний 29 вересня 2017 року). На відміну від Вищого антикорупційного суду України, який функціонує вже протягом кількох років, IP-суд не розпочав свою діяльність. Вища кваліфікаційна комісія суддів (далі – ВККС) уже </w:t>
      </w:r>
      <w:r w:rsidRPr="00511005">
        <w:rPr>
          <w:rFonts w:ascii="Arial" w:eastAsia="Calibri" w:hAnsi="Arial" w:cs="Arial"/>
          <w:szCs w:val="28"/>
          <w:lang w:val="uk-UA"/>
        </w:rPr>
        <w:lastRenderedPageBreak/>
        <w:t xml:space="preserve">провела конкурс суддів в 2017 році на 21 посадових місць до ВС з питань інтелектуальної власності, а в 2018 році – на 9 посадових місць Апеляційної палати того ж суду. Але робота ВККС була призупинена в 2019 році, через організаційні проблеми та припинення повноваження ВККС. Відновлення її роботи відбулося в 2023 році. Державна влада регулярно виділяє гроші на цей суд. Як зазначає Н.Мамченко, в 2024 році на фінансування ВС з питань інтелектуальної власності було виділено 4,3 млн грн, і на 2025 рік сума залишиться тою самою [1]. </w:t>
      </w:r>
    </w:p>
    <w:p w14:paraId="7580485A" w14:textId="77777777" w:rsidR="00C10374" w:rsidRPr="00511005" w:rsidRDefault="00C10374" w:rsidP="003A292D">
      <w:pPr>
        <w:spacing w:line="264" w:lineRule="auto"/>
        <w:ind w:left="-113"/>
        <w:rPr>
          <w:rFonts w:ascii="Arial" w:eastAsia="Calibri" w:hAnsi="Arial" w:cs="Arial"/>
          <w:szCs w:val="28"/>
          <w:lang w:val="uk-UA"/>
        </w:rPr>
      </w:pPr>
      <w:r w:rsidRPr="00511005">
        <w:rPr>
          <w:rFonts w:ascii="Arial" w:eastAsia="Calibri" w:hAnsi="Arial" w:cs="Arial"/>
          <w:szCs w:val="28"/>
          <w:lang w:val="uk-UA"/>
        </w:rPr>
        <w:t xml:space="preserve">Основними причинами, чому Вищий суд питань інтелектуальної власності не працює є два фактора: 1) ВККС тривалий час не працювала, що ускладнювало процес добору суддів, зокрема, кандидатів, які мають великий досвід саме в праві інтелектуальної власності; 2) недостатня правова база для цього суду: фактично правовою базою для ВС з питань інтелектуальної власності є тільки Конституція України та Закон України «Про судоустрій та статус суддів». Окремого нормативно-правового акта, який би детально регулював діяльність IP-суду, наразі не існує, на відміну від Вищого антикорупційного суду, для якого передбачено спеціальний закон. Були спроби створити закон про цей суд. Зокрема до Верховної Ради України був поданий проект Закону України «Про Вищий суд з питань інтелектуальної власності» (дата реєстрації та номер: 6487 від 29.12.2021), але в результаті він не був прийнятий [2]. </w:t>
      </w:r>
    </w:p>
    <w:p w14:paraId="55649204" w14:textId="77777777" w:rsidR="00C10374" w:rsidRPr="00511005" w:rsidRDefault="00C10374" w:rsidP="003A292D">
      <w:pPr>
        <w:spacing w:line="264" w:lineRule="auto"/>
        <w:ind w:left="-113"/>
        <w:rPr>
          <w:rFonts w:ascii="Arial" w:eastAsia="Calibri" w:hAnsi="Arial" w:cs="Arial"/>
          <w:szCs w:val="28"/>
          <w:lang w:val="uk-UA"/>
        </w:rPr>
      </w:pPr>
      <w:r w:rsidRPr="00511005">
        <w:rPr>
          <w:rFonts w:ascii="Arial" w:eastAsia="Calibri" w:hAnsi="Arial" w:cs="Arial"/>
          <w:szCs w:val="28"/>
          <w:lang w:val="uk-UA"/>
        </w:rPr>
        <w:t xml:space="preserve">Відносно добору суддів до IP-суду, то відповідно до статті 33 Закону України «Про судоустрій та статус суддів», судді необхідно відповідати таким критеріям: 1) на посаді судді особа повинна мати стаж роботи не менше трьох років; 2) необхідний досвід професійної діяльності у сфері інтелектуальної власності як патентного повіреного протягом щонайменше п’яти років; 3) також потрібно мати щонайменше п’ятирічний досвід адвокатської діяльності з представництва інтересів у суді у справах про захист прав інтелектуальної власності; 4) загальний стаж роботи або професійної діяльності за вимогами, зазначеними у пунктах 1–3 цієї частини, має становити не менше п’яти років. </w:t>
      </w:r>
    </w:p>
    <w:p w14:paraId="0E42896F" w14:textId="77777777" w:rsidR="00C10374" w:rsidRPr="00511005" w:rsidRDefault="00C10374" w:rsidP="003A292D">
      <w:pPr>
        <w:spacing w:line="264" w:lineRule="auto"/>
        <w:ind w:left="-113"/>
        <w:rPr>
          <w:rFonts w:ascii="Arial" w:eastAsia="Calibri" w:hAnsi="Arial" w:cs="Arial"/>
          <w:szCs w:val="28"/>
          <w:lang w:val="uk-UA"/>
        </w:rPr>
      </w:pPr>
      <w:r w:rsidRPr="00511005">
        <w:rPr>
          <w:rFonts w:ascii="Arial" w:eastAsia="Calibri" w:hAnsi="Arial" w:cs="Arial"/>
          <w:szCs w:val="28"/>
          <w:lang w:val="uk-UA"/>
        </w:rPr>
        <w:t xml:space="preserve">31 березня 2021 року було проведено круглий стіл “Інтелектуальна власність: розвиток законодавства та розвиток господарського судочинства”. Один з учасників цієї конференції - Антон Капітоненко, юрист МЮГ (Міжнародна юридична група) Baker McKenzie, вважає, що вимоги до суддів є занадто низькими, що може зашкодити ефективності захисту авторського права людей. Також він наголосив на проблемі того, що 90% кандидатів на посаду судді IP - суду належать до суддівського корпусу, і лише 10% є патентними юристами, що мають досвід у сфері авторського права. Тобто серед 21 потенційного судді ВС з питань інтелектуальної власності, тільки 1 є патентним повіреним серед суддів, всі інші - діючі судді [3]. </w:t>
      </w:r>
    </w:p>
    <w:p w14:paraId="299F22F8" w14:textId="77777777" w:rsidR="00C10374" w:rsidRPr="00511005" w:rsidRDefault="00C10374" w:rsidP="003A292D">
      <w:pPr>
        <w:spacing w:line="264" w:lineRule="auto"/>
        <w:ind w:left="-113"/>
        <w:rPr>
          <w:rFonts w:ascii="Arial" w:eastAsia="Calibri" w:hAnsi="Arial" w:cs="Arial"/>
          <w:szCs w:val="28"/>
          <w:lang w:val="uk-UA"/>
        </w:rPr>
      </w:pPr>
      <w:r w:rsidRPr="00511005">
        <w:rPr>
          <w:rFonts w:ascii="Arial" w:eastAsia="Calibri" w:hAnsi="Arial" w:cs="Arial"/>
          <w:szCs w:val="28"/>
          <w:lang w:val="uk-UA"/>
        </w:rPr>
        <w:lastRenderedPageBreak/>
        <w:t>Необхідно враховувати нинішній стан в країні та його вплив на судову владу в Україні. Зараз є великий недобір серед суддів і багато хто з суддів пішли у відставку.. Голова Вищої Ради Правосуддя Григорій Усик заявив, що зараз на посаду судді апеляційної інстанції претендує 3-4 кандидати, раніше було 9-10 кандидатів. Пан Усик назвав основні причини зниження інтересу до суддівської професії: 1) перманентність судової реформи; 2) тривалість і складність конкурсних процедур на посади суддів; 3) велике навантаження, непристосовані приміщення; 4) постійний тиск з боку антикорупційних органів [4]. Голова Верховного суду – Станіслав Кравченко сказав, що «суди мають велике навантаження, тому що справ постійно більшає, а суддів, які їх розглядають – меншає» [5]. Проблема з відбором кандидатів впливає на всю судову систему, на Вищий суд з питань інтелектуальної власності в тому числі. На початку жовтня 2023 року у вищому суді з питань інтелектуальної власності працювало 2 особи [6]. Зараз в IP–суді, зазначає В.Багатир, працює тільки одна людина – очільник апарату суду І.Романків, який займається тільки написанням звітів [7]. Тобто для нашого судоустрою характерний дефіцит суддів. В тому числі і суддів IP-суду, що також не сприяє початку функціонування IP-суду, і враховуючи яке зараз навантаження на систему судоустрою. Тому така кількість людей просто не здатна тримати на собі роботу цілого суду.</w:t>
      </w:r>
    </w:p>
    <w:p w14:paraId="590D4E0C" w14:textId="77777777" w:rsidR="00C10374" w:rsidRPr="00511005" w:rsidRDefault="00C10374" w:rsidP="003A292D">
      <w:pPr>
        <w:spacing w:line="264" w:lineRule="auto"/>
        <w:ind w:left="-113"/>
        <w:rPr>
          <w:rFonts w:ascii="Arial" w:eastAsia="Times New Roman" w:hAnsi="Arial" w:cs="Arial"/>
          <w:szCs w:val="28"/>
          <w:lang w:val="uk-UA" w:eastAsia="uk-UA"/>
        </w:rPr>
      </w:pPr>
      <w:r w:rsidRPr="00511005">
        <w:rPr>
          <w:rFonts w:ascii="Arial" w:eastAsia="Calibri" w:hAnsi="Arial" w:cs="Arial"/>
          <w:szCs w:val="28"/>
          <w:lang w:val="uk-UA"/>
        </w:rPr>
        <w:t>Вищий суд з питань інтелектуальної власності є органом з великим потенціалом. Але якщо цей суд продовже не функціонувати, а буде просто дірою в бюджеті, то він може бути в майбутньому ліквідований.</w:t>
      </w:r>
      <w:r w:rsidRPr="00511005">
        <w:rPr>
          <w:rFonts w:ascii="Arial" w:eastAsia="Times New Roman" w:hAnsi="Arial" w:cs="Arial"/>
          <w:szCs w:val="28"/>
          <w:lang w:val="uk-UA" w:eastAsia="uk-UA"/>
        </w:rPr>
        <w:t xml:space="preserve"> </w:t>
      </w:r>
    </w:p>
    <w:p w14:paraId="6E7806E9" w14:textId="77777777" w:rsidR="00C10374" w:rsidRPr="00511005" w:rsidRDefault="00C10374" w:rsidP="003A292D">
      <w:pPr>
        <w:spacing w:line="264" w:lineRule="auto"/>
        <w:ind w:left="-113"/>
        <w:rPr>
          <w:rFonts w:ascii="Arial" w:eastAsia="Calibri" w:hAnsi="Arial" w:cs="Arial"/>
          <w:szCs w:val="28"/>
          <w:lang w:val="uk-UA"/>
        </w:rPr>
      </w:pPr>
      <w:r w:rsidRPr="00511005">
        <w:rPr>
          <w:rFonts w:ascii="Arial" w:eastAsia="Calibri" w:hAnsi="Arial" w:cs="Arial"/>
          <w:szCs w:val="28"/>
          <w:lang w:val="uk-UA"/>
        </w:rPr>
        <w:t xml:space="preserve">В ОПУ (Офіс Президента України) надійшло повідомлення про потенційну можливість ліквідації вищого суду з питань інтелектуальної власності та його Апеляційної палати. Голова Верховної Ради України Руслан Стефанчук підтримує ідею ліквідації IP-суду. Це рішення планується ухвалити, коли Президент України затвердить Стратегію розвитку системи правосуддя та конституційного судочинства до 2029 року [8]. Цей суд має велике значення для запровадження європейських стандартів та залучення інвестицій в Україну. </w:t>
      </w:r>
    </w:p>
    <w:p w14:paraId="0DAE0FB6" w14:textId="77777777" w:rsidR="00C10374" w:rsidRPr="00511005" w:rsidRDefault="00C10374" w:rsidP="003A292D">
      <w:pPr>
        <w:spacing w:line="264" w:lineRule="auto"/>
        <w:ind w:left="-113"/>
        <w:rPr>
          <w:rFonts w:ascii="Arial" w:eastAsia="Calibri" w:hAnsi="Arial" w:cs="Arial"/>
          <w:szCs w:val="28"/>
          <w:lang w:val="uk-UA"/>
        </w:rPr>
      </w:pPr>
      <w:r w:rsidRPr="00511005">
        <w:rPr>
          <w:rFonts w:ascii="Arial" w:eastAsia="Calibri" w:hAnsi="Arial" w:cs="Arial"/>
          <w:szCs w:val="28"/>
          <w:lang w:val="uk-UA"/>
        </w:rPr>
        <w:t xml:space="preserve">В червні 2022 року Україна отримала статус кандидата ЄС, але щоб далі рухатися до членства в Європейському Союзі необхідно провести дуже багато реформ, зокрема, організувати міцний захист авторського права. </w:t>
      </w:r>
    </w:p>
    <w:p w14:paraId="699D5E5B" w14:textId="77777777" w:rsidR="00C10374" w:rsidRPr="00511005" w:rsidRDefault="00C10374" w:rsidP="003A292D">
      <w:pPr>
        <w:spacing w:line="264" w:lineRule="auto"/>
        <w:ind w:left="-113"/>
        <w:jc w:val="center"/>
        <w:rPr>
          <w:rFonts w:ascii="Arial" w:eastAsia="Calibri" w:hAnsi="Arial" w:cs="Arial"/>
          <w:szCs w:val="28"/>
          <w:lang w:val="uk-UA"/>
        </w:rPr>
      </w:pPr>
    </w:p>
    <w:p w14:paraId="5539AD76" w14:textId="0BCD3BD6" w:rsidR="00C10374" w:rsidRPr="00511005" w:rsidRDefault="007B2628" w:rsidP="007B2628">
      <w:pPr>
        <w:spacing w:line="264" w:lineRule="auto"/>
        <w:ind w:left="-113"/>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20C070FE" w14:textId="77777777" w:rsidR="00C10374" w:rsidRPr="00511005" w:rsidRDefault="005938AD" w:rsidP="003F6A5D">
      <w:pPr>
        <w:numPr>
          <w:ilvl w:val="0"/>
          <w:numId w:val="296"/>
        </w:numPr>
        <w:spacing w:line="264" w:lineRule="auto"/>
        <w:ind w:left="0" w:firstLine="709"/>
        <w:contextualSpacing/>
        <w:rPr>
          <w:rFonts w:ascii="Arial" w:eastAsia="Times New Roman" w:hAnsi="Arial" w:cs="Arial"/>
          <w:szCs w:val="28"/>
          <w:lang w:val="uk-UA" w:eastAsia="ru-RU"/>
        </w:rPr>
      </w:pPr>
      <w:hyperlink r:id="rId1091" w:history="1">
        <w:r w:rsidR="00C10374" w:rsidRPr="00511005">
          <w:rPr>
            <w:rFonts w:ascii="Arial" w:eastAsia="Times New Roman" w:hAnsi="Arial" w:cs="Arial"/>
            <w:bCs/>
            <w:szCs w:val="28"/>
            <w:bdr w:val="none" w:sz="0" w:space="0" w:color="auto" w:frame="1"/>
            <w:shd w:val="clear" w:color="auto" w:fill="FFFFFF"/>
            <w:lang w:val="uk-UA" w:eastAsia="ru-RU"/>
          </w:rPr>
          <w:t>Мамченко</w:t>
        </w:r>
      </w:hyperlink>
      <w:r w:rsidR="00C10374" w:rsidRPr="00511005">
        <w:rPr>
          <w:rFonts w:ascii="Arial" w:eastAsia="Times New Roman" w:hAnsi="Arial" w:cs="Arial"/>
          <w:bCs/>
          <w:szCs w:val="28"/>
          <w:bdr w:val="none" w:sz="0" w:space="0" w:color="auto" w:frame="1"/>
          <w:shd w:val="clear" w:color="auto" w:fill="FFFFFF"/>
          <w:lang w:val="uk-UA" w:eastAsia="ru-RU"/>
        </w:rPr>
        <w:t xml:space="preserve"> Н.</w:t>
      </w:r>
      <w:r w:rsidR="00C10374" w:rsidRPr="00511005">
        <w:rPr>
          <w:rFonts w:ascii="Arial" w:eastAsia="Times New Roman" w:hAnsi="Arial" w:cs="Arial"/>
          <w:b/>
          <w:bCs/>
          <w:szCs w:val="28"/>
          <w:bdr w:val="none" w:sz="0" w:space="0" w:color="auto" w:frame="1"/>
          <w:shd w:val="clear" w:color="auto" w:fill="FFFFFF"/>
          <w:lang w:val="uk-UA" w:eastAsia="ru-RU"/>
        </w:rPr>
        <w:t> </w:t>
      </w:r>
      <w:r w:rsidR="00C10374" w:rsidRPr="00511005">
        <w:rPr>
          <w:rFonts w:ascii="Arial" w:eastAsia="Times New Roman" w:hAnsi="Arial" w:cs="Arial"/>
          <w:szCs w:val="28"/>
          <w:lang w:val="uk-UA" w:eastAsia="ru-RU"/>
        </w:rPr>
        <w:t xml:space="preserve">Фінансування судової влади у 2025 році залишиться на рівні поточного року – проект бюджету. </w:t>
      </w:r>
      <w:r w:rsidR="00C10374" w:rsidRPr="00511005">
        <w:rPr>
          <w:rFonts w:ascii="Arial" w:eastAsia="Times New Roman" w:hAnsi="Arial" w:cs="Arial"/>
          <w:i/>
          <w:iCs/>
          <w:szCs w:val="28"/>
          <w:lang w:val="uk-UA" w:eastAsia="ru-RU"/>
        </w:rPr>
        <w:t xml:space="preserve">Судово-юридична газета. </w:t>
      </w:r>
      <w:r w:rsidR="00C10374" w:rsidRPr="00511005">
        <w:rPr>
          <w:rFonts w:ascii="Arial" w:eastAsia="Times New Roman" w:hAnsi="Arial" w:cs="Arial"/>
          <w:szCs w:val="28"/>
          <w:lang w:val="uk-UA" w:eastAsia="ru-RU"/>
        </w:rPr>
        <w:t xml:space="preserve">22.09.2024 URL: </w:t>
      </w:r>
      <w:hyperlink r:id="rId1092" w:history="1">
        <w:r w:rsidR="00C10374" w:rsidRPr="00511005">
          <w:rPr>
            <w:rFonts w:ascii="Arial" w:eastAsia="Times New Roman" w:hAnsi="Arial" w:cs="Arial"/>
            <w:szCs w:val="28"/>
            <w:lang w:val="uk-UA" w:eastAsia="ru-RU"/>
          </w:rPr>
          <w:t>https://sud.ua/uk/news/publication/310671-finansirovanie-sudebnoy-vlasti-v-2025-godu-ostanetsya-na-urovne-tekuschego-goda-proekt-byudzheta</w:t>
        </w:r>
      </w:hyperlink>
      <w:r w:rsidR="00C10374" w:rsidRPr="00511005">
        <w:rPr>
          <w:rFonts w:ascii="Arial" w:eastAsia="Times New Roman" w:hAnsi="Arial" w:cs="Arial"/>
          <w:szCs w:val="28"/>
          <w:lang w:val="uk-UA" w:eastAsia="ru-RU"/>
        </w:rPr>
        <w:t xml:space="preserve"> </w:t>
      </w:r>
    </w:p>
    <w:p w14:paraId="11BB940C" w14:textId="77777777" w:rsidR="00C10374" w:rsidRPr="00511005" w:rsidRDefault="00C10374" w:rsidP="003F6A5D">
      <w:pPr>
        <w:numPr>
          <w:ilvl w:val="0"/>
          <w:numId w:val="29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Проект Закону України від 29.12.2021 № 6487 "Про Вищий суд з питань інтелектуальної власності". </w:t>
      </w:r>
      <w:r w:rsidRPr="00511005">
        <w:rPr>
          <w:rFonts w:ascii="Arial" w:eastAsia="Times New Roman" w:hAnsi="Arial" w:cs="Arial"/>
          <w:i/>
          <w:iCs/>
          <w:szCs w:val="28"/>
          <w:lang w:val="uk-UA" w:eastAsia="ru-RU"/>
        </w:rPr>
        <w:t xml:space="preserve">Liga 360 </w:t>
      </w:r>
      <w:r w:rsidRPr="00511005">
        <w:rPr>
          <w:rFonts w:ascii="Arial" w:eastAsia="Times New Roman" w:hAnsi="Arial" w:cs="Arial"/>
          <w:szCs w:val="28"/>
          <w:lang w:val="uk-UA" w:eastAsia="ru-RU"/>
        </w:rPr>
        <w:t xml:space="preserve">URL: </w:t>
      </w:r>
      <w:hyperlink r:id="rId1093" w:history="1">
        <w:r w:rsidRPr="00511005">
          <w:rPr>
            <w:rFonts w:ascii="Arial" w:eastAsia="Times New Roman" w:hAnsi="Arial" w:cs="Arial"/>
            <w:szCs w:val="28"/>
            <w:lang w:val="uk-UA" w:eastAsia="ru-RU"/>
          </w:rPr>
          <w:t>https://ips.ligazakon.net/document/JI06744A</w:t>
        </w:r>
      </w:hyperlink>
    </w:p>
    <w:p w14:paraId="642B46AE" w14:textId="0BBD9D7F" w:rsidR="00C10374" w:rsidRPr="00511005" w:rsidRDefault="00C10374" w:rsidP="003F6A5D">
      <w:pPr>
        <w:numPr>
          <w:ilvl w:val="0"/>
          <w:numId w:val="29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Яке майбутнє чекає на Вищий суд з питань інтелектуальної власності? </w:t>
      </w:r>
      <w:r w:rsidRPr="00511005">
        <w:rPr>
          <w:rFonts w:ascii="Arial" w:eastAsia="Times New Roman" w:hAnsi="Arial" w:cs="Arial"/>
          <w:i/>
          <w:szCs w:val="28"/>
          <w:lang w:val="uk-UA" w:eastAsia="ru-RU"/>
        </w:rPr>
        <w:t>Юридична практика</w:t>
      </w:r>
      <w:r w:rsidRPr="00511005">
        <w:rPr>
          <w:rFonts w:ascii="Arial" w:eastAsia="Times New Roman" w:hAnsi="Arial" w:cs="Arial"/>
          <w:szCs w:val="28"/>
          <w:lang w:val="uk-UA" w:eastAsia="ru-RU"/>
        </w:rPr>
        <w:t>. 31.03.2021</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URL: </w:t>
      </w:r>
      <w:hyperlink r:id="rId1094" w:history="1">
        <w:r w:rsidRPr="00511005">
          <w:rPr>
            <w:rFonts w:ascii="Arial" w:eastAsia="Times New Roman" w:hAnsi="Arial" w:cs="Arial"/>
            <w:szCs w:val="28"/>
            <w:lang w:val="uk-UA" w:eastAsia="ru-RU"/>
          </w:rPr>
          <w:t>https://pravo.ua/iake-maibutnie-chekaie-na-vyshchyi-sud-z-pytan-intelektualnoi-vlasnosti/</w:t>
        </w:r>
      </w:hyperlink>
      <w:r w:rsidR="007B2628" w:rsidRPr="00511005">
        <w:rPr>
          <w:rFonts w:ascii="Arial" w:eastAsia="Times New Roman" w:hAnsi="Arial" w:cs="Arial"/>
          <w:szCs w:val="28"/>
          <w:lang w:val="uk-UA" w:eastAsia="ru-RU"/>
        </w:rPr>
        <w:t xml:space="preserve"> </w:t>
      </w:r>
    </w:p>
    <w:p w14:paraId="6B43757F" w14:textId="77777777" w:rsidR="00C10374" w:rsidRPr="00511005" w:rsidRDefault="00C10374" w:rsidP="003F6A5D">
      <w:pPr>
        <w:numPr>
          <w:ilvl w:val="0"/>
          <w:numId w:val="29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Усик Г. Вітчизняна судова система працює у критичних умовах через значний дефіцит суддівських кадрів : відеозапис круглого столу на тему «Привабливість суддівської кар’єри: європейський та український виміри» / Вища Рада правосуддя. YouTube. 2024, 23 вересня. </w:t>
      </w:r>
    </w:p>
    <w:p w14:paraId="15FF85BF" w14:textId="0692060B" w:rsidR="00C10374" w:rsidRPr="00511005" w:rsidRDefault="00C10374" w:rsidP="003A292D">
      <w:pPr>
        <w:spacing w:line="264" w:lineRule="auto"/>
        <w:ind w:left="709"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URL: </w:t>
      </w:r>
      <w:hyperlink r:id="rId1095" w:history="1">
        <w:r w:rsidRPr="00511005">
          <w:rPr>
            <w:rFonts w:ascii="Arial" w:eastAsia="Times New Roman" w:hAnsi="Arial" w:cs="Arial"/>
            <w:szCs w:val="28"/>
            <w:lang w:val="uk-UA" w:eastAsia="ru-RU"/>
          </w:rPr>
          <w:t>https://www.youtube.com/live/d7rxlB9wRAg?si=43tQUvhda89KmsAp</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(дата звернення: 04.05.2025) </w:t>
      </w:r>
      <w:hyperlink r:id="rId1096" w:history="1">
        <w:r w:rsidRPr="00511005">
          <w:rPr>
            <w:rFonts w:ascii="Arial" w:eastAsia="Times New Roman" w:hAnsi="Arial" w:cs="Arial"/>
            <w:szCs w:val="28"/>
            <w:lang w:val="uk-UA" w:eastAsia="ru-RU"/>
          </w:rPr>
          <w:t>https://hcj.gov.ua/news/vitchyznyana-sudova-systema-pracyuye-u-krytychnyh-umovah-cherez-znachnyy-deficyt-suddivskyh</w:t>
        </w:r>
      </w:hyperlink>
      <w:r w:rsidRPr="00511005">
        <w:rPr>
          <w:rFonts w:ascii="Arial" w:eastAsia="Times New Roman" w:hAnsi="Arial" w:cs="Arial"/>
          <w:szCs w:val="28"/>
          <w:lang w:val="uk-UA" w:eastAsia="ru-RU"/>
        </w:rPr>
        <w:t xml:space="preserve"> </w:t>
      </w:r>
    </w:p>
    <w:p w14:paraId="06BAA690" w14:textId="00DF674C" w:rsidR="00C10374" w:rsidRPr="00511005" w:rsidRDefault="00C10374" w:rsidP="003F6A5D">
      <w:pPr>
        <w:numPr>
          <w:ilvl w:val="0"/>
          <w:numId w:val="29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Кравченко С. Кількість справ росте, а штат – зменшується : [інтерв’ю Голови Верховного Суду] / Українське національне інформаційне агентство «Укрінформ». 2024. 2 лютого. URL: </w:t>
      </w:r>
      <w:hyperlink r:id="rId1097" w:history="1">
        <w:r w:rsidRPr="00511005">
          <w:rPr>
            <w:rFonts w:ascii="Arial" w:eastAsia="Times New Roman" w:hAnsi="Arial" w:cs="Arial"/>
            <w:szCs w:val="28"/>
            <w:lang w:val="uk-UA" w:eastAsia="ru-RU"/>
          </w:rPr>
          <w:t>https://www.ukrinform.ua/rubric-society/3824958-golova-verhovnogo-sudu-pro-robotu-sudovoi-sistemi-kilkist-sprav-roste-a-stat-zmensuetsa.html</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(дата звернення: 04.05.2025) </w:t>
      </w:r>
    </w:p>
    <w:p w14:paraId="4194A24D" w14:textId="77777777" w:rsidR="00C10374" w:rsidRPr="00511005" w:rsidRDefault="00C10374" w:rsidP="003F6A5D">
      <w:pPr>
        <w:numPr>
          <w:ilvl w:val="0"/>
          <w:numId w:val="29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 початок жовтня у судовій сфері працює 35 тис. осіб. /Дані опублікувало Міністерство фінансів України 13.11.2023 URL: </w:t>
      </w:r>
      <w:hyperlink r:id="rId1098" w:history="1">
        <w:r w:rsidRPr="00511005">
          <w:rPr>
            <w:rFonts w:ascii="Arial" w:eastAsia="Times New Roman" w:hAnsi="Arial" w:cs="Arial"/>
            <w:szCs w:val="28"/>
            <w:lang w:val="uk-UA" w:eastAsia="ru-RU"/>
          </w:rPr>
          <w:t>https://skilky-skilky.info/na-pochatok-zhovtnia-u-orhanakh-sudovoi-vlady-pratsiuie-35-tys-osib/</w:t>
        </w:r>
      </w:hyperlink>
    </w:p>
    <w:p w14:paraId="7E234274" w14:textId="7EBE6B60" w:rsidR="00C10374" w:rsidRPr="00511005" w:rsidRDefault="00C10374" w:rsidP="003F6A5D">
      <w:pPr>
        <w:numPr>
          <w:ilvl w:val="0"/>
          <w:numId w:val="296"/>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Багатир В. Історія IP-суду стане пам’ятником хаотичності реформ в Україні. Закон і бізнес. Фіктивна Феміда. 11.04.2025 URL: </w:t>
      </w:r>
      <w:hyperlink r:id="rId1099" w:history="1">
        <w:r w:rsidRPr="00511005">
          <w:rPr>
            <w:rFonts w:ascii="Arial" w:eastAsia="Calibri" w:hAnsi="Arial" w:cs="Arial"/>
            <w:szCs w:val="28"/>
            <w:lang w:val="uk-UA"/>
          </w:rPr>
          <w:t>https://zib.com.ua/ua/pda/166506.html</w:t>
        </w:r>
      </w:hyperlink>
      <w:r w:rsidR="007B2628" w:rsidRPr="00511005">
        <w:rPr>
          <w:rFonts w:ascii="Arial" w:eastAsia="Calibri" w:hAnsi="Arial" w:cs="Arial"/>
          <w:szCs w:val="28"/>
          <w:lang w:val="uk-UA"/>
        </w:rPr>
        <w:t xml:space="preserve"> </w:t>
      </w:r>
    </w:p>
    <w:p w14:paraId="29B95E38" w14:textId="77777777" w:rsidR="00C10374" w:rsidRPr="00511005" w:rsidRDefault="00C10374" w:rsidP="003F6A5D">
      <w:pPr>
        <w:numPr>
          <w:ilvl w:val="0"/>
          <w:numId w:val="29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Хрипун В. Буде проведено вивчення доцільності функціонування Вищого суду з питань інтелектуальної власності – Офіс Президента. </w:t>
      </w:r>
      <w:r w:rsidRPr="00511005">
        <w:rPr>
          <w:rFonts w:ascii="Arial" w:eastAsia="Times New Roman" w:hAnsi="Arial" w:cs="Arial"/>
          <w:i/>
          <w:szCs w:val="28"/>
          <w:lang w:val="uk-UA" w:eastAsia="ru-RU"/>
        </w:rPr>
        <w:t xml:space="preserve">Судово-юридична газета, </w:t>
      </w:r>
      <w:r w:rsidRPr="00511005">
        <w:rPr>
          <w:rFonts w:ascii="Arial" w:eastAsia="Times New Roman" w:hAnsi="Arial" w:cs="Arial"/>
          <w:szCs w:val="28"/>
          <w:lang w:val="uk-UA" w:eastAsia="ru-RU"/>
        </w:rPr>
        <w:t xml:space="preserve">від 7 березня 2025 URL: </w:t>
      </w:r>
      <w:hyperlink r:id="rId1100" w:history="1">
        <w:r w:rsidRPr="00511005">
          <w:rPr>
            <w:rFonts w:ascii="Arial" w:eastAsia="Times New Roman" w:hAnsi="Arial" w:cs="Arial"/>
            <w:szCs w:val="28"/>
            <w:lang w:val="uk-UA" w:eastAsia="ru-RU"/>
          </w:rPr>
          <w:t>https://sud.ua/uk/news/publication/325049-vysshiy-sud-po-voprosam-intellektualnoy-sobstvennosti-budet-likvidirovan-ofis-prezidenta</w:t>
        </w:r>
      </w:hyperlink>
    </w:p>
    <w:p w14:paraId="47604A68" w14:textId="77777777" w:rsidR="00C10374" w:rsidRPr="00511005" w:rsidRDefault="00C10374" w:rsidP="003A292D">
      <w:pPr>
        <w:spacing w:line="264" w:lineRule="auto"/>
        <w:ind w:firstLine="0"/>
        <w:contextualSpacing/>
        <w:rPr>
          <w:rFonts w:ascii="Arial" w:eastAsia="Times New Roman" w:hAnsi="Arial" w:cs="Arial"/>
          <w:szCs w:val="28"/>
          <w:lang w:val="uk-UA" w:eastAsia="ru-RU"/>
        </w:rPr>
      </w:pPr>
    </w:p>
    <w:p w14:paraId="54135D3C" w14:textId="6FA1B93C" w:rsidR="00C10374" w:rsidRPr="00511005" w:rsidRDefault="007B2628" w:rsidP="003A292D">
      <w:pPr>
        <w:spacing w:line="264" w:lineRule="auto"/>
        <w:contextualSpacing/>
        <w:rPr>
          <w:rFonts w:ascii="Arial" w:eastAsia="Calibri" w:hAnsi="Arial" w:cs="Arial"/>
          <w:bCs/>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bCs/>
          <w:szCs w:val="28"/>
          <w:lang w:val="uk-UA"/>
        </w:rPr>
        <w:t>Вищий суд з питань інтелектуальної власності, інтелектуальна власність, IP – суд, авторське право, судді, дефіцит суддів, патентні юристи, європейські стандарти, вищі спеціалізовані суди, судова система.</w:t>
      </w:r>
    </w:p>
    <w:p w14:paraId="05EC9E64" w14:textId="31F0262E" w:rsidR="00C10374" w:rsidRPr="00511005" w:rsidRDefault="007B2628" w:rsidP="003A292D">
      <w:pPr>
        <w:spacing w:line="264" w:lineRule="auto"/>
        <w:contextualSpacing/>
        <w:rPr>
          <w:rFonts w:ascii="Arial" w:eastAsia="Calibri" w:hAnsi="Arial" w:cs="Arial"/>
          <w:bCs/>
          <w:szCs w:val="28"/>
          <w:lang w:val="uk-UA"/>
        </w:rPr>
      </w:pPr>
      <w:r w:rsidRPr="00511005">
        <w:rPr>
          <w:rFonts w:ascii="Arial" w:eastAsia="Calibri" w:hAnsi="Arial" w:cs="Arial"/>
          <w:b/>
          <w:i/>
          <w:szCs w:val="28"/>
          <w:lang w:val="uk-UA"/>
        </w:rPr>
        <w:t xml:space="preserve">Key words: </w:t>
      </w:r>
      <w:r w:rsidR="00C10374" w:rsidRPr="00511005">
        <w:rPr>
          <w:rFonts w:ascii="Arial" w:eastAsia="Calibri" w:hAnsi="Arial" w:cs="Arial"/>
          <w:bCs/>
          <w:szCs w:val="28"/>
          <w:lang w:val="uk-UA"/>
        </w:rPr>
        <w:t>Higher court for Intellectual Property, intellectual property</w:t>
      </w:r>
      <w:r w:rsidR="00C10374" w:rsidRPr="00511005">
        <w:rPr>
          <w:rFonts w:ascii="Arial" w:eastAsia="Calibri" w:hAnsi="Arial" w:cs="Arial"/>
          <w:b/>
          <w:szCs w:val="28"/>
          <w:lang w:val="uk-UA"/>
        </w:rPr>
        <w:t>,</w:t>
      </w:r>
      <w:r w:rsidR="00C10374" w:rsidRPr="00511005">
        <w:rPr>
          <w:rFonts w:ascii="Arial" w:eastAsia="Calibri" w:hAnsi="Arial" w:cs="Arial"/>
          <w:bCs/>
          <w:szCs w:val="28"/>
          <w:lang w:val="uk-UA"/>
        </w:rPr>
        <w:t xml:space="preserve"> intellectual property, IP – court, copyright, judges, shortage of judges, patent lawyers, european standards, higher specialized courts, judicial system.</w:t>
      </w:r>
    </w:p>
    <w:p w14:paraId="618522C4" w14:textId="2D5F871F" w:rsidR="00C10374" w:rsidRPr="00511005" w:rsidRDefault="007B2628" w:rsidP="003A292D">
      <w:pPr>
        <w:spacing w:line="264" w:lineRule="auto"/>
        <w:contextualSpacing/>
        <w:rPr>
          <w:rFonts w:ascii="Arial" w:eastAsia="Calibri" w:hAnsi="Arial" w:cs="Arial"/>
          <w:bCs/>
          <w:i/>
          <w:szCs w:val="28"/>
          <w:lang w:val="uk-UA"/>
        </w:rPr>
      </w:pPr>
      <w:r w:rsidRPr="00511005">
        <w:rPr>
          <w:rFonts w:ascii="Arial" w:eastAsia="Calibri" w:hAnsi="Arial" w:cs="Arial"/>
          <w:b/>
          <w:bCs/>
          <w:i/>
          <w:szCs w:val="28"/>
          <w:lang w:val="uk-UA"/>
        </w:rPr>
        <w:t xml:space="preserve">Науковий керівник: </w:t>
      </w:r>
      <w:r w:rsidR="00C10374" w:rsidRPr="00511005">
        <w:rPr>
          <w:rFonts w:ascii="Arial" w:eastAsia="Calibri" w:hAnsi="Arial" w:cs="Arial"/>
          <w:bCs/>
          <w:i/>
          <w:szCs w:val="28"/>
          <w:lang w:val="uk-UA"/>
        </w:rPr>
        <w:t xml:space="preserve">старший викладач Нестерчук Л.П. </w:t>
      </w:r>
    </w:p>
    <w:p w14:paraId="4B939B22" w14:textId="77777777" w:rsidR="00C10374" w:rsidRPr="00511005" w:rsidRDefault="00C10374" w:rsidP="003A292D">
      <w:pPr>
        <w:spacing w:line="264" w:lineRule="auto"/>
        <w:ind w:firstLine="0"/>
        <w:contextualSpacing/>
        <w:rPr>
          <w:rFonts w:ascii="Arial" w:eastAsia="Times New Roman" w:hAnsi="Arial" w:cs="Arial"/>
          <w:bCs/>
          <w:szCs w:val="28"/>
          <w:lang w:eastAsia="ru-RU"/>
        </w:rPr>
      </w:pPr>
    </w:p>
    <w:p w14:paraId="370C1BCE" w14:textId="77777777" w:rsidR="00C10374" w:rsidRPr="00511005" w:rsidRDefault="00C10374" w:rsidP="003A292D">
      <w:pPr>
        <w:spacing w:line="264" w:lineRule="auto"/>
        <w:ind w:firstLine="0"/>
        <w:rPr>
          <w:rFonts w:ascii="Arial" w:eastAsia="Calibri" w:hAnsi="Arial" w:cs="Arial"/>
          <w:szCs w:val="28"/>
        </w:rPr>
      </w:pPr>
    </w:p>
    <w:p w14:paraId="6693826E" w14:textId="375B6407" w:rsidR="00C10374" w:rsidRPr="0052789C" w:rsidRDefault="0052789C" w:rsidP="0052789C">
      <w:pPr>
        <w:spacing w:line="264" w:lineRule="auto"/>
        <w:ind w:firstLine="0"/>
        <w:jc w:val="center"/>
        <w:rPr>
          <w:rFonts w:ascii="Arial" w:eastAsia="Calibri" w:hAnsi="Arial" w:cs="Arial"/>
          <w:i/>
          <w:iCs/>
          <w:szCs w:val="28"/>
        </w:rPr>
      </w:pPr>
      <w:r w:rsidRPr="0052789C">
        <w:rPr>
          <w:rFonts w:ascii="Arial" w:eastAsia="Calibri" w:hAnsi="Arial" w:cs="Arial"/>
          <w:b/>
          <w:bCs/>
          <w:i/>
          <w:iCs/>
          <w:szCs w:val="28"/>
          <w:lang w:val="uk-UA"/>
        </w:rPr>
        <w:t>Завальніцька Дарина</w:t>
      </w:r>
    </w:p>
    <w:p w14:paraId="21C71BCA" w14:textId="2366680B" w:rsidR="00C10374" w:rsidRPr="0052789C" w:rsidRDefault="0052789C" w:rsidP="0052789C">
      <w:pPr>
        <w:spacing w:line="264" w:lineRule="auto"/>
        <w:ind w:firstLine="0"/>
        <w:jc w:val="center"/>
        <w:rPr>
          <w:rFonts w:ascii="Arial" w:eastAsia="Calibri" w:hAnsi="Arial" w:cs="Arial"/>
          <w:szCs w:val="28"/>
          <w:lang w:val="uk-UA"/>
        </w:rPr>
      </w:pPr>
      <w:r w:rsidRPr="0052789C">
        <w:rPr>
          <w:rFonts w:ascii="Arial" w:eastAsia="Calibri" w:hAnsi="Arial" w:cs="Arial"/>
          <w:szCs w:val="28"/>
          <w:lang w:val="uk-UA"/>
        </w:rPr>
        <w:t xml:space="preserve">студентка </w:t>
      </w:r>
      <w:r w:rsidR="00C10374" w:rsidRPr="0052789C">
        <w:rPr>
          <w:rFonts w:ascii="Arial" w:eastAsia="Calibri" w:hAnsi="Arial" w:cs="Arial"/>
          <w:szCs w:val="28"/>
          <w:lang w:val="uk-UA"/>
        </w:rPr>
        <w:t>2</w:t>
      </w:r>
      <w:r w:rsidRPr="0052789C">
        <w:rPr>
          <w:rFonts w:ascii="Arial" w:eastAsia="Calibri" w:hAnsi="Arial" w:cs="Arial"/>
          <w:szCs w:val="28"/>
          <w:lang w:val="uk-UA"/>
        </w:rPr>
        <w:t>-го</w:t>
      </w:r>
      <w:r w:rsidR="00C10374" w:rsidRPr="0052789C">
        <w:rPr>
          <w:rFonts w:ascii="Arial" w:eastAsia="Calibri" w:hAnsi="Arial" w:cs="Arial"/>
          <w:szCs w:val="28"/>
          <w:lang w:val="uk-UA"/>
        </w:rPr>
        <w:t xml:space="preserve"> курс</w:t>
      </w:r>
      <w:r w:rsidRPr="0052789C">
        <w:rPr>
          <w:rFonts w:ascii="Arial" w:eastAsia="Calibri" w:hAnsi="Arial" w:cs="Arial"/>
          <w:szCs w:val="28"/>
          <w:lang w:val="uk-UA"/>
        </w:rPr>
        <w:t>у</w:t>
      </w:r>
      <w:r w:rsidR="00C10374" w:rsidRPr="0052789C">
        <w:rPr>
          <w:rFonts w:ascii="Arial" w:eastAsia="Calibri" w:hAnsi="Arial" w:cs="Arial"/>
          <w:szCs w:val="28"/>
          <w:lang w:val="uk-UA"/>
        </w:rPr>
        <w:t xml:space="preserve"> факультет</w:t>
      </w:r>
      <w:r w:rsidRPr="0052789C">
        <w:rPr>
          <w:rFonts w:ascii="Arial" w:eastAsia="Calibri" w:hAnsi="Arial" w:cs="Arial"/>
          <w:szCs w:val="28"/>
          <w:lang w:val="uk-UA"/>
        </w:rPr>
        <w:t>у</w:t>
      </w:r>
      <w:r w:rsidR="00C10374" w:rsidRPr="0052789C">
        <w:rPr>
          <w:rFonts w:ascii="Arial" w:eastAsia="Calibri" w:hAnsi="Arial" w:cs="Arial"/>
          <w:szCs w:val="28"/>
          <w:lang w:val="uk-UA"/>
        </w:rPr>
        <w:t xml:space="preserve"> адвокатури та антикорупційної діяльності </w:t>
      </w:r>
    </w:p>
    <w:p w14:paraId="6E81CA1B" w14:textId="482C86F8" w:rsidR="00C10374" w:rsidRDefault="007B2628" w:rsidP="0052789C">
      <w:pPr>
        <w:spacing w:line="264" w:lineRule="auto"/>
        <w:ind w:firstLine="0"/>
        <w:jc w:val="center"/>
        <w:rPr>
          <w:rFonts w:ascii="Arial" w:eastAsia="Calibri" w:hAnsi="Arial" w:cs="Arial"/>
          <w:szCs w:val="28"/>
          <w:lang w:val="uk-UA"/>
        </w:rPr>
      </w:pPr>
      <w:r w:rsidRPr="0052789C">
        <w:rPr>
          <w:rFonts w:ascii="Arial" w:eastAsia="Calibri" w:hAnsi="Arial" w:cs="Arial"/>
          <w:szCs w:val="28"/>
          <w:lang w:val="uk-UA"/>
        </w:rPr>
        <w:t>Національного університету «Одеська юридична академія»</w:t>
      </w:r>
    </w:p>
    <w:p w14:paraId="6F42A890" w14:textId="77777777" w:rsidR="0052789C" w:rsidRPr="0052789C" w:rsidRDefault="0052789C" w:rsidP="0052789C">
      <w:pPr>
        <w:spacing w:line="264" w:lineRule="auto"/>
        <w:ind w:firstLine="0"/>
        <w:jc w:val="center"/>
        <w:rPr>
          <w:rFonts w:ascii="Arial" w:eastAsia="Calibri" w:hAnsi="Arial" w:cs="Arial"/>
          <w:szCs w:val="28"/>
          <w:lang w:val="uk-UA"/>
        </w:rPr>
      </w:pPr>
    </w:p>
    <w:p w14:paraId="043350B8" w14:textId="77777777" w:rsidR="00C10374" w:rsidRPr="00511005" w:rsidRDefault="00C10374" w:rsidP="003A292D">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ГАРМОНІЗАЦІЯ НАЦІОНАЛЬНОГО СУДОЧИНСТВА З ПРАКТИКОЮ ЄВРОПЕЙСЬКОГО СУДУ З ПРАВ ЛЮДИНИ: ВИКЛИКИ ТА ПЕРСПЕКТИВИ</w:t>
      </w:r>
    </w:p>
    <w:p w14:paraId="3FAC4D54"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Актуальність гармонізації національного судочинства з практикою Європейського Суду з прав людини (далі - ЄСПЛ) обумовлена необхідністю забезпечення ефективного захисту прав людини на національному рівні, у відповідності до міжнародних стандартів та вимог, які встановлені Європейською конвенцією з прав людини. ЄСПЛ є важливим інструментом міжнародного правосуддя, який здійснює контроль за виконанням державами своїх зобов'язань щодо прав людини. Для країн-членів Ради Європи, включаючи Україну, важливо впроваджувати практику ЄСПЛ в національну правову систему, що дозволяє забезпечити високий рівень правового захисту громадян та дотримання стандартів демократії.</w:t>
      </w:r>
    </w:p>
    <w:p w14:paraId="501F68FB"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Відповідно до положень статті 17 Закону України «Про виконання рішень та застосування практики Європейського суду з прав людини» українські суди зобов’язані враховувати практику ЄСПЛ при розгляді справ, визнаючи її джерелом права. Україна регулярно постає відповідачем у справах, які розглядає ЄСПЛ. Останнім часом в українському суспільстві активно піднімаються теми, пов’язані з юридичним правом на надію, а також з примусовим годуванням. У своїх рішеннях ЄСПЛ неодноразово звертав увагу на суперечності та недопрацювання у вітчизняному законодавстві, що спонукало державу вносити корективи до чинних нормативно-правових актів [1, с. 99].</w:t>
      </w:r>
    </w:p>
    <w:p w14:paraId="600B3A60"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Рабінович П. виокремлює два основоположні напрями впливу рішень ЄСПЛ на систему конституційного судочинства [2, с. 35–36]. Перший полягає у необхідності врахування органами конституційного контролю висновків і зауважень, викладених у рішеннях ЄСПЛ у справах, розглянутих у межах національної юрисдикції. Наприклад, у контексті тлумачення положення пункту 1 статті 6 Європейської конвенції з прав людини щодо «розумного строку» судового провадження, ЄСПЛ неодноразово підкреслював, що при його визначенні має враховуватися і час, витрачений на розгляд скарг або звернень особи в органах конституційного контролю. Особливу увагу приділяється випадкам, коли рішення конституційних судів можуть прямо впливати на підсумковий результат справи.</w:t>
      </w:r>
    </w:p>
    <w:p w14:paraId="29CB62DF"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У своїх прецедентних рішеннях Суд чітко визначає критерії, за яких подання індивідуальної скарги до органу конституційного контролю може вважатися ефективним засобом захисту прав, а коли - ні. Враховуючи </w:t>
      </w:r>
      <w:r w:rsidRPr="00511005">
        <w:rPr>
          <w:rFonts w:ascii="Arial" w:eastAsia="Calibri" w:hAnsi="Arial" w:cs="Arial"/>
          <w:szCs w:val="28"/>
          <w:lang w:val="uk-UA"/>
        </w:rPr>
        <w:lastRenderedPageBreak/>
        <w:t>прецедентну природу практики ЄСПЛ, його правові позиції мають універсальне значення: вони застосовуються не тільки до країн - безпосередніх учасниць розгляду, але й можуть бути орієнтиром для інших держав, які визнають юрисдикцію Суду. Це особливо важливо при формуванні чи реформуванні інституту конституційної скарги.</w:t>
      </w:r>
    </w:p>
    <w:p w14:paraId="7A9CD15C"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Другий шлях впливу пов'язаний із урахуванням конституційними судами загальних підходів, концепцій та принципів захисту прав людини, вироблених у практиці ЄСПЛ. Цей механізм менш формалізований, однак потенційно охоплює ширше коло правових ситуацій і дає змогу формувати рішення, спираючись на ціннісні засади європейської правової традиції [2, с. 36].</w:t>
      </w:r>
    </w:p>
    <w:p w14:paraId="6D18BA25"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Хоча Україна має достатньо сформовану нормативну базу для впровадження стандартів ЄСПЛ і застосування його практики у поєднанні з національними підходами до захисту прав людини, фактична реалізація цих механізмів поки не дає очікуваного ефекту ані в юридичному, ані в суспільному вимірі. Застосування практики ЄСПЛ у судових рішеннях наразі має радше декларативний характер. Нерідко судді виявляють недостатнє розуміння цілісності правових позицій Суду, що ускладнює системне використання прецедентного підходу в їх діяльності.</w:t>
      </w:r>
    </w:p>
    <w:p w14:paraId="68AA03DE"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На думку І. Ю. Кретової, хоча законодавчі невизначеності у цій сфері переважно усунуті, відсутність конкретних алгоритмів застосування рішень ЄСПЛ у межах української правової системи - в умовах слабкої традиції прецедентного права - все ще створює бар’єри для їх повноцінної імплементації [3, с. 17].</w:t>
      </w:r>
    </w:p>
    <w:p w14:paraId="5D63412D"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Проблеми, які спостерігаються в українській судовій практиці щодо застосування рішень ЄСПЛ, мають значно глибші наслідки, ніж лише ризик винесення помилкового рішення у конкретній справі. Вони суттєво впливають на ефективність функціонування усієї системи конвенційного захисту прав людини, а також на формування так званого «європейського консенсусу». Ступінь залучення судів та інших державних органів до процесу реалізації положень Європейської конвенції з прав людини значною мірою визначається особливостями національної правової системи. Йдеться, зокрема, про правовий статус Конвенції в системі внутрішнього права та про обсяг повноважень, які дозволяють застосовувати міжнародні стандарти прав людини у процесі здійснення правосуддя.</w:t>
      </w:r>
    </w:p>
    <w:p w14:paraId="43C839E8"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Слід зауважити, що Конвенція залишає державам-учасницям значну свободу у виборі форм і механізмів її імплементації. Водночас у міжнародному праві відповідальність держав фокусується не стільки на засобах, скільки на результаті — забезпеченні реального й ефективного захисту прав людини [4, с. 20].</w:t>
      </w:r>
    </w:p>
    <w:p w14:paraId="73625BF6"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Інтерпретація прав і свобод, здійснювана національними судами, також відіграє важливу роль у правотворчій діяльності самого ЄСПЛ. Суд, </w:t>
      </w:r>
      <w:r w:rsidRPr="00511005">
        <w:rPr>
          <w:rFonts w:ascii="Arial" w:eastAsia="Calibri" w:hAnsi="Arial" w:cs="Arial"/>
          <w:szCs w:val="28"/>
          <w:lang w:val="uk-UA"/>
        </w:rPr>
        <w:lastRenderedPageBreak/>
        <w:t>адаптуючи свої тлумачення під впливом рішень національних інституцій, у такий спосіб реагує на загальноєвропейські тенденції праворозуміння. Це й формує так званий «європейський консенсус» — уявлення про те, які підходи визнаються більшістю держав як загальноприйняті.</w:t>
      </w:r>
    </w:p>
    <w:p w14:paraId="1F6ECEAD"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С. Б. Каравацька розглядає вказане явище як невід’ємний елемент еволюційної природи тлумачення Європейської конвенції про права людини. Вона наголошує, що Конвенція є «живим інструментом», зміст якого змінюється відповідно до змін у правовій та соціальній реальності. Метод консенсусу, що використовується Судом, дозволяє водночас визначити межі дискреції держав-членів та обґрунтувати запровадження нових стандартів у випадках, коли значна частина країн дотримується прогресивного підходу до тлумачення прав людини [5, с. 217].</w:t>
      </w:r>
    </w:p>
    <w:p w14:paraId="78FB824F"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У питаннях, щодо яких відсутній консенсус, таких як евтаназія, право на аборт або обмеження свободи релігії, держави мають ширшу свободу розсуду, оскільки погляди на ці питання можуть істотно розрізнятися в демократичному суспільстві. Перенесення практики ЄСПЛ на інші країни, де правове регулювання суттєво відрізняється, може бути непродуктивним. Якщо національні суди виносять рішення, спираючись виключно на практику ЄСПЛ, не враховуючи внутрішні погляди та національні особливості, це може призвести до спотворення самого поняття консенсусу. В результаті може виникнути неправильне розуміння того, як держави оцінюють ті чи інші питання, що може негативно вплинути на довіру до конвенційної системи. Тому для ефективної імплементації прецедентного права ЄСПЛ судді, посадові особи та адвокати повинні бути належно підготовлені та постійно орієнтуватися в доводах Суду. Однак в Україні, на жаль, не забезпечено достатньої кількості офіційних перекладів рішень ЄСПЛ та відповідних коментарів до них [6]. Це є однією з основних причин неефективного та непослідовного застосування практики ЄСПЛ в українських судах.</w:t>
      </w:r>
    </w:p>
    <w:p w14:paraId="63C30B21"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Гармонізація національного судочинства з практикою ЄСПЛ є ключовим фактором для покращення правового захисту в Україні та забезпечення виконання міжнародних зобов'язань перед Європейською радою. Розвиток цієї взаємодії допомагає посилити довіру громадян до національної судової системи та сприяє зміцненню демократичних інститутів країни. Однак, для ефективної гармонізації необхідно продовжити роботу над удосконаленням національного законодавства, впровадженням європейських стандартів у правозастосовчу практику, а також підвищенням кваліфікації суддів щодо практики ЄСПЛ. Таким чином, успішна гармонізація національного судочинства з практикою ЄСПЛ є важливим кроком до забезпечення верховенства права, захисту прав і свобод громадян та інтеграції України у європейське правове поле.</w:t>
      </w:r>
    </w:p>
    <w:p w14:paraId="4C8EE9B3" w14:textId="77777777" w:rsidR="00C10374" w:rsidRPr="00511005" w:rsidRDefault="00C10374" w:rsidP="003A292D">
      <w:pPr>
        <w:spacing w:line="264" w:lineRule="auto"/>
        <w:rPr>
          <w:rFonts w:ascii="Arial" w:eastAsia="Calibri" w:hAnsi="Arial" w:cs="Arial"/>
          <w:b/>
          <w:bCs/>
          <w:szCs w:val="28"/>
          <w:lang w:val="uk-UA"/>
        </w:rPr>
      </w:pPr>
    </w:p>
    <w:p w14:paraId="1C9A8C68" w14:textId="77777777" w:rsidR="00875A11" w:rsidRDefault="00875A11" w:rsidP="007B2628">
      <w:pPr>
        <w:spacing w:line="264" w:lineRule="auto"/>
        <w:jc w:val="center"/>
        <w:rPr>
          <w:rFonts w:ascii="Arial" w:eastAsia="Calibri" w:hAnsi="Arial" w:cs="Arial"/>
          <w:b/>
          <w:bCs/>
          <w:szCs w:val="28"/>
          <w:lang w:val="uk-UA"/>
        </w:rPr>
      </w:pPr>
    </w:p>
    <w:p w14:paraId="21A84368" w14:textId="58179ACD" w:rsidR="00C10374" w:rsidRPr="00511005" w:rsidRDefault="007B2628" w:rsidP="007B2628">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lastRenderedPageBreak/>
        <w:t>Список використаних джерел</w:t>
      </w:r>
    </w:p>
    <w:p w14:paraId="4F2EBC48"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1. Дмитрук М.М. Гармонізація КК України із практикою Європейського суду з прав людини як чинник впровадження кримінального проступку Актуальні проблеми держави і права : зб. наук. пр. Одеської нац. юрид. акад. Одеса : Юрид. літ., 2010. Вип. 55. С. 98–102.</w:t>
      </w:r>
    </w:p>
    <w:p w14:paraId="4EF9E548" w14:textId="72AFF57A"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2. Рабінович П. Практика Страсбургського суду як орієнтир діяльності конституційних судів з імплементації європейських стандартів прав людини. Вісник Конституційного Суду України. 2005. № 6.</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 34 – 40</w:t>
      </w:r>
    </w:p>
    <w:p w14:paraId="63DDCDCD"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3. Кретова І. Ю. Тлумачення права: доктрини, розвинуті Європейським судом з прав людини : автореф. дис. … канд. юрид. наук : 12.00.01. Харків, 2015. 20 с. </w:t>
      </w:r>
    </w:p>
    <w:p w14:paraId="4F2D18B9"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4.Христова Г. О., Трало Ю. В., Буряковська К. О. Національна судова практика з питань внутрішнього переміщення: застосування стандартів Ради Європи. Харків, Право, 2020. 301 с. </w:t>
      </w:r>
    </w:p>
    <w:p w14:paraId="101A5697"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5.Каравацька С. Б. Інтерпретаційна практика Європейського суду щодо міжнародних договорів із прав людини: особливості, принципи та методи. Актуальні проблеми вітчизняної юриспруденції. 2019. № 2. С. 214–219. </w:t>
      </w:r>
    </w:p>
    <w:p w14:paraId="5D78891D"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6.Монаєнко А., Смирнова К. Застосування практики ЄСПЛ та суду ЄС на прикладі адміністративного судочинства. Юридична газета. 2020. № 8(714). https://yur-gazeta.com/publications/practice/ inshe/zastosuvannya-praktiki-espl-ta-sudu-es-na-prikladi-administrativnogo-sudochinstva.html (дата звернення: 09.04.2025).</w:t>
      </w:r>
    </w:p>
    <w:p w14:paraId="5E3EF678" w14:textId="77777777" w:rsidR="00C10374" w:rsidRPr="00511005" w:rsidRDefault="00C10374" w:rsidP="003A292D">
      <w:pPr>
        <w:spacing w:line="264" w:lineRule="auto"/>
        <w:rPr>
          <w:rFonts w:ascii="Arial" w:eastAsia="Calibri" w:hAnsi="Arial" w:cs="Arial"/>
          <w:szCs w:val="28"/>
          <w:lang w:val="uk-UA"/>
        </w:rPr>
      </w:pPr>
    </w:p>
    <w:p w14:paraId="30823E73" w14:textId="24D830F1" w:rsidR="00C10374" w:rsidRDefault="007B2628" w:rsidP="003A292D">
      <w:pPr>
        <w:spacing w:line="264" w:lineRule="auto"/>
        <w:contextualSpacing/>
        <w:rPr>
          <w:rFonts w:ascii="Arial" w:eastAsia="Calibri" w:hAnsi="Arial" w:cs="Arial"/>
          <w:bCs/>
          <w:i/>
          <w:szCs w:val="28"/>
          <w:lang w:val="uk-UA"/>
        </w:rPr>
      </w:pPr>
      <w:r w:rsidRPr="00511005">
        <w:rPr>
          <w:rFonts w:ascii="Arial" w:eastAsia="Calibri" w:hAnsi="Arial" w:cs="Arial"/>
          <w:b/>
          <w:bCs/>
          <w:i/>
          <w:szCs w:val="28"/>
          <w:lang w:val="uk-UA"/>
        </w:rPr>
        <w:t xml:space="preserve">Науковий керівник: </w:t>
      </w:r>
      <w:r w:rsidR="00C10374" w:rsidRPr="00511005">
        <w:rPr>
          <w:rFonts w:ascii="Arial" w:eastAsia="Calibri" w:hAnsi="Arial" w:cs="Arial"/>
          <w:bCs/>
          <w:i/>
          <w:szCs w:val="28"/>
          <w:lang w:val="uk-UA"/>
        </w:rPr>
        <w:t>старший викладач Курганський О.В.</w:t>
      </w:r>
    </w:p>
    <w:p w14:paraId="14DA4D9E" w14:textId="15E0657E" w:rsidR="00875A11" w:rsidRDefault="00875A11" w:rsidP="003A292D">
      <w:pPr>
        <w:spacing w:line="264" w:lineRule="auto"/>
        <w:contextualSpacing/>
        <w:rPr>
          <w:rFonts w:ascii="Arial" w:eastAsia="Calibri" w:hAnsi="Arial" w:cs="Arial"/>
          <w:bCs/>
          <w:i/>
          <w:szCs w:val="28"/>
          <w:lang w:val="uk-UA"/>
        </w:rPr>
      </w:pPr>
    </w:p>
    <w:p w14:paraId="5CA24400" w14:textId="77777777" w:rsidR="00875A11" w:rsidRPr="00511005" w:rsidRDefault="00875A11" w:rsidP="003A292D">
      <w:pPr>
        <w:spacing w:line="264" w:lineRule="auto"/>
        <w:contextualSpacing/>
        <w:rPr>
          <w:rFonts w:ascii="Arial" w:eastAsia="Calibri" w:hAnsi="Arial" w:cs="Arial"/>
          <w:bCs/>
          <w:i/>
          <w:szCs w:val="28"/>
          <w:lang w:val="uk-UA"/>
        </w:rPr>
      </w:pPr>
    </w:p>
    <w:p w14:paraId="0FA287FD" w14:textId="77777777" w:rsidR="00C10374" w:rsidRPr="00511005" w:rsidRDefault="00C10374" w:rsidP="003A292D">
      <w:pPr>
        <w:snapToGrid w:val="0"/>
        <w:spacing w:line="264" w:lineRule="auto"/>
        <w:ind w:firstLine="567"/>
        <w:jc w:val="center"/>
        <w:rPr>
          <w:rFonts w:ascii="Arial" w:eastAsia="Calibri" w:hAnsi="Arial" w:cs="Arial"/>
          <w:b/>
          <w:i/>
          <w:szCs w:val="28"/>
          <w:lang w:val="uk-UA"/>
        </w:rPr>
      </w:pPr>
      <w:r w:rsidRPr="00511005">
        <w:rPr>
          <w:rFonts w:ascii="Arial" w:eastAsia="Calibri" w:hAnsi="Arial" w:cs="Arial"/>
          <w:b/>
          <w:i/>
          <w:szCs w:val="28"/>
          <w:lang w:val="uk-UA"/>
        </w:rPr>
        <w:t>Ільницька Вікторія Віталіївна</w:t>
      </w:r>
    </w:p>
    <w:p w14:paraId="6947AFF4" w14:textId="6088E2E3" w:rsidR="00C10374" w:rsidRPr="00511005" w:rsidRDefault="00BE3972" w:rsidP="003A292D">
      <w:pPr>
        <w:snapToGrid w:val="0"/>
        <w:spacing w:line="264" w:lineRule="auto"/>
        <w:ind w:firstLine="567"/>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p>
    <w:p w14:paraId="7E360292" w14:textId="0E41AA69" w:rsidR="00C10374" w:rsidRPr="00511005" w:rsidRDefault="007B2628" w:rsidP="003A292D">
      <w:pPr>
        <w:snapToGrid w:val="0"/>
        <w:spacing w:line="264" w:lineRule="auto"/>
        <w:ind w:firstLine="567"/>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790DA08F" w14:textId="77777777" w:rsidR="00C10374" w:rsidRPr="00511005" w:rsidRDefault="00C10374" w:rsidP="003A292D">
      <w:pPr>
        <w:snapToGrid w:val="0"/>
        <w:spacing w:line="264" w:lineRule="auto"/>
        <w:ind w:firstLine="567"/>
        <w:rPr>
          <w:rFonts w:ascii="Arial" w:eastAsia="Calibri" w:hAnsi="Arial" w:cs="Arial"/>
          <w:b/>
          <w:szCs w:val="28"/>
          <w:lang w:val="uk-UA"/>
        </w:rPr>
      </w:pPr>
    </w:p>
    <w:p w14:paraId="1AD5822A" w14:textId="77777777" w:rsidR="00C10374" w:rsidRPr="00511005" w:rsidRDefault="00C10374" w:rsidP="003A292D">
      <w:pPr>
        <w:snapToGrid w:val="0"/>
        <w:spacing w:line="264" w:lineRule="auto"/>
        <w:ind w:firstLine="567"/>
        <w:jc w:val="center"/>
        <w:rPr>
          <w:rFonts w:ascii="Arial" w:eastAsia="Calibri" w:hAnsi="Arial" w:cs="Arial"/>
          <w:b/>
          <w:szCs w:val="28"/>
          <w:lang w:val="uk-UA"/>
        </w:rPr>
      </w:pPr>
      <w:r w:rsidRPr="00511005">
        <w:rPr>
          <w:rFonts w:ascii="Arial" w:eastAsia="Calibri" w:hAnsi="Arial" w:cs="Arial"/>
          <w:b/>
          <w:szCs w:val="28"/>
          <w:lang w:val="uk-UA"/>
        </w:rPr>
        <w:t>РОЛЬ АДВОКАТА У КРИМІНАЛЬНОМУ ПРОЦЕСІ</w:t>
      </w:r>
    </w:p>
    <w:p w14:paraId="0BEF549C"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Стаття 59 Конституції України проголошує, що «кожен має право на професійну правничу допомогу, а у випадках, передбачених законом, ця допомога надається безоплатно». Крім того, Основним закон держави передбачено, що кожна особа є вільною у виборі захисника своїх прав [1].</w:t>
      </w:r>
      <w:r w:rsidRPr="00511005">
        <w:rPr>
          <w:rFonts w:ascii="Arial" w:eastAsia="Calibri" w:hAnsi="Arial" w:cs="Arial"/>
          <w:szCs w:val="28"/>
          <w:lang w:val="uk-UA"/>
        </w:rPr>
        <w:t xml:space="preserve"> </w:t>
      </w:r>
      <w:r w:rsidRPr="00511005">
        <w:rPr>
          <w:rFonts w:ascii="Arial" w:eastAsia="Times New Roman" w:hAnsi="Arial" w:cs="Arial"/>
          <w:szCs w:val="28"/>
          <w:lang w:val="uk-UA" w:eastAsia="ru-RU"/>
        </w:rPr>
        <w:t xml:space="preserve">Ці конституційні положення є фундаментом для діяльності адвокатів, у тому числі, у кримінальному процесі. Нагадаємо, що правнича допомога також може надаватися безоплатно (детальне такі випадки врегульовано Законом України «Про безоплатну правничу допомогу»)[2]. Наприклад, особа, яка затримана без рішення суду за підозрою у вчиненні злочину і не має можливості оплатити адвоката, має право на призначення захисника за рахунок державного бюджету. </w:t>
      </w:r>
    </w:p>
    <w:p w14:paraId="778DA5DB"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Відповідно до Кримінального процесуального кодексу України (надалі – КПК), жодна особа не зобов’язана визнавати свою вину, і вона має право на правовий захист з моменту затримання або повідомлення про підозру [3]. Адвокат у цьому контексті зобов'язаний не лише захищати інтереси клієнта, але й контролювати дотримання процесуального порядку, недопущення тиску, фізичного або психологічного впливу з боку правоохоронних органів. Крім того, він має право подавати заяви та скарги, ініціювати відкриття дисциплінарного провадження щодо недобросовісних слідчих.</w:t>
      </w:r>
    </w:p>
    <w:p w14:paraId="1020C3D0"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 стадії досудового розслідування адвокат відіграє активну роль у зборі доказів, опитуванні свідків, проведенні незалежних експертиз. Наприклад, у справі щодо зґвалтування, адвокат може заявити клопотання про проведення ДНК-експертизи, яка повністю змінить хід справи. Це дає змогу створити повноцінну захисну позицію ще до передачі справи до суду. </w:t>
      </w:r>
    </w:p>
    <w:p w14:paraId="5404C2C6"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У ході судового розгляду саме адвокат забезпечує висвітлення точки зору, протилежної від позиції сторони обвинувачення, подає клопотання щодо виключення недопустимих доказів, вимагає виклику додаткових свідків, експертів тощо.</w:t>
      </w:r>
    </w:p>
    <w:p w14:paraId="55B11951"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Особливого значення у кримінальному процесі набуває етична складова поведінки адвоката. Зауважимо, що моральні та етичні засади поведінки адвокатів регламентується Правилами адвокатської етики, порушення яких може стати підставою для притягнення адвоката до дисциплінарної відповідальності. Такий підхід сприяє зміцненню довіри суспільства до інституту адвокатури та формує образ адвоката як відповідального та неупередженого правника. У той же час, дотримання цих Правил дозволяє уникнути звинувачень у зловживанні правом чи маніпуляціях процесуальними інструментами.</w:t>
      </w:r>
    </w:p>
    <w:p w14:paraId="06252E24"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bCs/>
          <w:szCs w:val="28"/>
          <w:lang w:val="uk-UA" w:eastAsia="ru-RU"/>
        </w:rPr>
        <w:t xml:space="preserve">Суттєвим кроком у розвитку гарантій адвокатської діяльності стало прийняття Верховною Радою Постанови №4330-IX від 26 березня 2025 року, якою було ухвалено за основу законопроєкт №12320, зареєстрований у грудні 2024року[4]. </w:t>
      </w:r>
      <w:r w:rsidRPr="00511005">
        <w:rPr>
          <w:rFonts w:ascii="Arial" w:eastAsia="Times New Roman" w:hAnsi="Arial" w:cs="Arial"/>
          <w:szCs w:val="28"/>
          <w:lang w:val="uk-UA" w:eastAsia="ru-RU"/>
        </w:rPr>
        <w:t>Цей законопроєкт спрямований на внесення змін до Кодексу України про адміністративні правопорушення, Кримінального кодексу та Кримінального процесуального кодексу. Основними нововведеннями є унормування безперешкодного доступу адвоката до підзахисного навіть за умов тимчасового обмеження свободи, а також заборона проведення слідчих дій без участі адвоката, якщо він заявляє про необхідність бути присутнім. Крім того, законопроєкт посилює відповідальність за перешкоджання діяльності адвокатів, що, у свою чергу, сприяє підвищенню рівня правової справедливості та довіри до судової системи.</w:t>
      </w:r>
    </w:p>
    <w:p w14:paraId="5B67DC44"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Звернемо увагу, що значення діяльності адвоката у кримінальному процесі знайшло також відображення у практиці Європейського суду з прав людини. У ряді справ Суд підкреслив, що неефективна правова допомога </w:t>
      </w:r>
      <w:r w:rsidRPr="00511005">
        <w:rPr>
          <w:rFonts w:ascii="Arial" w:eastAsia="Times New Roman" w:hAnsi="Arial" w:cs="Arial"/>
          <w:szCs w:val="28"/>
          <w:lang w:val="uk-UA" w:eastAsia="ru-RU"/>
        </w:rPr>
        <w:lastRenderedPageBreak/>
        <w:t>адвоката порушує право на справедливий суд, передбачене статтею 6 Конвенції про захист прав людини і основоположних свобод [5]. До прикладу, у справі «Salduz v. Turkey» Суд зазначив, що відмова у доступі до адвоката під час допиту порушує право на захист, і така заява підсудного не може бути використана як доказ винуватості. Такі прецеденти мають прямий вплив на українське законодавство і практику, оскільки Україна визнає юрисдикцію ЄСПЛ.</w:t>
      </w:r>
    </w:p>
    <w:p w14:paraId="3A79F798"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Крім безпосередньої ролі захисника адвокат також займається роз’яснювальною діяльністю. До прикладу, він пояснює клієнтові його права, можливі наслідки правових дій, надає консультації щодо вибору позиції у справі, зокрема щодо доцільності визнання вини або укладення угоди про визнання винуватості. Такий підхід сприяє інформованому прийняттю рішень з боку особи, яка перебуває у складній життєвій ситуації.</w:t>
      </w:r>
    </w:p>
    <w:p w14:paraId="741C425B"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якості висновку зауважимо, що адвокат є захисником демократичних цінностей, а його місія полягає у забезпеченні того, щоб кожна особа, незалежно від соціального статусу, мала рівні шанси на справедливий розгляд справи. </w:t>
      </w:r>
    </w:p>
    <w:p w14:paraId="7B2A897A"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p>
    <w:p w14:paraId="29E9073B" w14:textId="7D592E2F" w:rsidR="00C10374" w:rsidRPr="00511005" w:rsidRDefault="007B2628" w:rsidP="007B2628">
      <w:pPr>
        <w:keepNext/>
        <w:widowControl w:val="0"/>
        <w:snapToGrid w:val="0"/>
        <w:spacing w:line="264" w:lineRule="auto"/>
        <w:ind w:firstLine="567"/>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6BC72A4A" w14:textId="77777777" w:rsidR="00C10374" w:rsidRPr="00511005" w:rsidRDefault="00C10374" w:rsidP="003F6A5D">
      <w:pPr>
        <w:numPr>
          <w:ilvl w:val="0"/>
          <w:numId w:val="297"/>
        </w:numPr>
        <w:snapToGrid w:val="0"/>
        <w:spacing w:line="264" w:lineRule="auto"/>
        <w:ind w:left="0"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Конституція України від 28.06.1996 р.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w:t>
      </w:r>
      <w:r w:rsidRPr="00511005">
        <w:rPr>
          <w:rFonts w:ascii="Arial" w:eastAsia="Calibri" w:hAnsi="Arial" w:cs="Arial"/>
          <w:szCs w:val="28"/>
        </w:rPr>
        <w:t xml:space="preserve"> </w:t>
      </w:r>
      <w:r w:rsidRPr="00511005">
        <w:rPr>
          <w:rFonts w:ascii="Arial" w:eastAsia="Times New Roman" w:hAnsi="Arial" w:cs="Arial"/>
          <w:szCs w:val="28"/>
          <w:lang w:val="en-US" w:eastAsia="ru-RU"/>
        </w:rPr>
        <w:fldChar w:fldCharType="begin"/>
      </w:r>
      <w:r w:rsidRPr="00511005">
        <w:rPr>
          <w:rFonts w:ascii="Arial" w:eastAsia="Times New Roman" w:hAnsi="Arial" w:cs="Arial"/>
          <w:szCs w:val="28"/>
          <w:lang w:val="en-US" w:eastAsia="ru-RU"/>
        </w:rPr>
        <w:instrText>HYPERLINK</w:instrText>
      </w:r>
      <w:r w:rsidRPr="00511005">
        <w:rPr>
          <w:rFonts w:ascii="Arial" w:eastAsia="Times New Roman" w:hAnsi="Arial" w:cs="Arial"/>
          <w:szCs w:val="28"/>
          <w:lang w:eastAsia="ru-RU"/>
        </w:rPr>
        <w:instrText xml:space="preserve"> "</w:instrText>
      </w:r>
      <w:r w:rsidRPr="00511005">
        <w:rPr>
          <w:rFonts w:ascii="Arial" w:eastAsia="Times New Roman" w:hAnsi="Arial" w:cs="Arial"/>
          <w:szCs w:val="28"/>
          <w:lang w:val="en-US" w:eastAsia="ru-RU"/>
        </w:rPr>
        <w:instrText>https</w:instrText>
      </w:r>
      <w:r w:rsidRPr="00511005">
        <w:rPr>
          <w:rFonts w:ascii="Arial" w:eastAsia="Times New Roman" w:hAnsi="Arial" w:cs="Arial"/>
          <w:szCs w:val="28"/>
          <w:lang w:eastAsia="ru-RU"/>
        </w:rPr>
        <w:instrText>://</w:instrText>
      </w:r>
      <w:r w:rsidRPr="00511005">
        <w:rPr>
          <w:rFonts w:ascii="Arial" w:eastAsia="Times New Roman" w:hAnsi="Arial" w:cs="Arial"/>
          <w:szCs w:val="28"/>
          <w:lang w:val="en-US" w:eastAsia="ru-RU"/>
        </w:rPr>
        <w:instrText>zakon</w:instrText>
      </w:r>
      <w:r w:rsidRPr="00511005">
        <w:rPr>
          <w:rFonts w:ascii="Arial" w:eastAsia="Times New Roman" w:hAnsi="Arial" w:cs="Arial"/>
          <w:szCs w:val="28"/>
          <w:lang w:eastAsia="ru-RU"/>
        </w:rPr>
        <w:instrText>.</w:instrText>
      </w:r>
      <w:r w:rsidRPr="00511005">
        <w:rPr>
          <w:rFonts w:ascii="Arial" w:eastAsia="Times New Roman" w:hAnsi="Arial" w:cs="Arial"/>
          <w:szCs w:val="28"/>
          <w:lang w:val="en-US" w:eastAsia="ru-RU"/>
        </w:rPr>
        <w:instrText>rada</w:instrText>
      </w:r>
      <w:r w:rsidRPr="00511005">
        <w:rPr>
          <w:rFonts w:ascii="Arial" w:eastAsia="Times New Roman" w:hAnsi="Arial" w:cs="Arial"/>
          <w:szCs w:val="28"/>
          <w:lang w:eastAsia="ru-RU"/>
        </w:rPr>
        <w:instrText>.</w:instrText>
      </w:r>
      <w:r w:rsidRPr="00511005">
        <w:rPr>
          <w:rFonts w:ascii="Arial" w:eastAsia="Times New Roman" w:hAnsi="Arial" w:cs="Arial"/>
          <w:szCs w:val="28"/>
          <w:lang w:val="en-US" w:eastAsia="ru-RU"/>
        </w:rPr>
        <w:instrText>gov</w:instrText>
      </w:r>
      <w:r w:rsidRPr="00511005">
        <w:rPr>
          <w:rFonts w:ascii="Arial" w:eastAsia="Times New Roman" w:hAnsi="Arial" w:cs="Arial"/>
          <w:szCs w:val="28"/>
          <w:lang w:eastAsia="ru-RU"/>
        </w:rPr>
        <w:instrText>.</w:instrText>
      </w:r>
      <w:r w:rsidRPr="00511005">
        <w:rPr>
          <w:rFonts w:ascii="Arial" w:eastAsia="Times New Roman" w:hAnsi="Arial" w:cs="Arial"/>
          <w:szCs w:val="28"/>
          <w:lang w:val="en-US" w:eastAsia="ru-RU"/>
        </w:rPr>
        <w:instrText>ua</w:instrText>
      </w:r>
      <w:r w:rsidRPr="00511005">
        <w:rPr>
          <w:rFonts w:ascii="Arial" w:eastAsia="Times New Roman" w:hAnsi="Arial" w:cs="Arial"/>
          <w:szCs w:val="28"/>
          <w:lang w:eastAsia="ru-RU"/>
        </w:rPr>
        <w:instrText>/</w:instrText>
      </w:r>
      <w:r w:rsidRPr="00511005">
        <w:rPr>
          <w:rFonts w:ascii="Arial" w:eastAsia="Times New Roman" w:hAnsi="Arial" w:cs="Arial"/>
          <w:szCs w:val="28"/>
          <w:lang w:val="en-US" w:eastAsia="ru-RU"/>
        </w:rPr>
        <w:instrText>laws</w:instrText>
      </w:r>
      <w:r w:rsidRPr="00511005">
        <w:rPr>
          <w:rFonts w:ascii="Arial" w:eastAsia="Times New Roman" w:hAnsi="Arial" w:cs="Arial"/>
          <w:szCs w:val="28"/>
          <w:lang w:eastAsia="ru-RU"/>
        </w:rPr>
        <w:instrText>/</w:instrText>
      </w:r>
      <w:r w:rsidRPr="00511005">
        <w:rPr>
          <w:rFonts w:ascii="Arial" w:eastAsia="Times New Roman" w:hAnsi="Arial" w:cs="Arial"/>
          <w:szCs w:val="28"/>
          <w:lang w:val="en-US" w:eastAsia="ru-RU"/>
        </w:rPr>
        <w:instrText>show</w:instrText>
      </w:r>
      <w:r w:rsidRPr="00511005">
        <w:rPr>
          <w:rFonts w:ascii="Arial" w:eastAsia="Times New Roman" w:hAnsi="Arial" w:cs="Arial"/>
          <w:szCs w:val="28"/>
          <w:lang w:eastAsia="ru-RU"/>
        </w:rPr>
        <w:instrText>/254%</w:instrText>
      </w:r>
      <w:r w:rsidRPr="00511005">
        <w:rPr>
          <w:rFonts w:ascii="Arial" w:eastAsia="Times New Roman" w:hAnsi="Arial" w:cs="Arial"/>
          <w:szCs w:val="28"/>
          <w:lang w:val="en-US" w:eastAsia="ru-RU"/>
        </w:rPr>
        <w:instrText>D</w:instrText>
      </w:r>
      <w:r w:rsidRPr="00511005">
        <w:rPr>
          <w:rFonts w:ascii="Arial" w:eastAsia="Times New Roman" w:hAnsi="Arial" w:cs="Arial"/>
          <w:szCs w:val="28"/>
          <w:lang w:eastAsia="ru-RU"/>
        </w:rPr>
        <w:instrText>0%</w:instrText>
      </w:r>
      <w:r w:rsidRPr="00511005">
        <w:rPr>
          <w:rFonts w:ascii="Arial" w:eastAsia="Times New Roman" w:hAnsi="Arial" w:cs="Arial"/>
          <w:szCs w:val="28"/>
          <w:lang w:val="en-US" w:eastAsia="ru-RU"/>
        </w:rPr>
        <w:instrText>BA</w:instrText>
      </w:r>
      <w:r w:rsidRPr="00511005">
        <w:rPr>
          <w:rFonts w:ascii="Arial" w:eastAsia="Times New Roman" w:hAnsi="Arial" w:cs="Arial"/>
          <w:szCs w:val="28"/>
          <w:lang w:eastAsia="ru-RU"/>
        </w:rPr>
        <w:instrText>/96-%</w:instrText>
      </w:r>
      <w:r w:rsidRPr="00511005">
        <w:rPr>
          <w:rFonts w:ascii="Arial" w:eastAsia="Times New Roman" w:hAnsi="Arial" w:cs="Arial"/>
          <w:szCs w:val="28"/>
          <w:lang w:val="en-US" w:eastAsia="ru-RU"/>
        </w:rPr>
        <w:instrText>D</w:instrText>
      </w:r>
      <w:r w:rsidRPr="00511005">
        <w:rPr>
          <w:rFonts w:ascii="Arial" w:eastAsia="Times New Roman" w:hAnsi="Arial" w:cs="Arial"/>
          <w:szCs w:val="28"/>
          <w:lang w:eastAsia="ru-RU"/>
        </w:rPr>
        <w:instrText>0%</w:instrText>
      </w:r>
      <w:r w:rsidRPr="00511005">
        <w:rPr>
          <w:rFonts w:ascii="Arial" w:eastAsia="Times New Roman" w:hAnsi="Arial" w:cs="Arial"/>
          <w:szCs w:val="28"/>
          <w:lang w:val="en-US" w:eastAsia="ru-RU"/>
        </w:rPr>
        <w:instrText>B</w:instrText>
      </w:r>
      <w:r w:rsidRPr="00511005">
        <w:rPr>
          <w:rFonts w:ascii="Arial" w:eastAsia="Times New Roman" w:hAnsi="Arial" w:cs="Arial"/>
          <w:szCs w:val="28"/>
          <w:lang w:eastAsia="ru-RU"/>
        </w:rPr>
        <w:instrText>2%</w:instrText>
      </w:r>
      <w:r w:rsidRPr="00511005">
        <w:rPr>
          <w:rFonts w:ascii="Arial" w:eastAsia="Times New Roman" w:hAnsi="Arial" w:cs="Arial"/>
          <w:szCs w:val="28"/>
          <w:lang w:val="en-US" w:eastAsia="ru-RU"/>
        </w:rPr>
        <w:instrText>D</w:instrText>
      </w:r>
      <w:r w:rsidRPr="00511005">
        <w:rPr>
          <w:rFonts w:ascii="Arial" w:eastAsia="Times New Roman" w:hAnsi="Arial" w:cs="Arial"/>
          <w:szCs w:val="28"/>
          <w:lang w:eastAsia="ru-RU"/>
        </w:rPr>
        <w:instrText>1%80" \</w:instrText>
      </w:r>
      <w:r w:rsidRPr="00511005">
        <w:rPr>
          <w:rFonts w:ascii="Arial" w:eastAsia="Times New Roman" w:hAnsi="Arial" w:cs="Arial"/>
          <w:szCs w:val="28"/>
          <w:lang w:val="en-US" w:eastAsia="ru-RU"/>
        </w:rPr>
        <w:instrText>l</w:instrText>
      </w:r>
      <w:r w:rsidRPr="00511005">
        <w:rPr>
          <w:rFonts w:ascii="Arial" w:eastAsia="Times New Roman" w:hAnsi="Arial" w:cs="Arial"/>
          <w:szCs w:val="28"/>
          <w:lang w:eastAsia="ru-RU"/>
        </w:rPr>
        <w:instrText xml:space="preserve"> "</w:instrText>
      </w:r>
      <w:r w:rsidRPr="00511005">
        <w:rPr>
          <w:rFonts w:ascii="Arial" w:eastAsia="Times New Roman" w:hAnsi="Arial" w:cs="Arial"/>
          <w:szCs w:val="28"/>
          <w:lang w:val="en-US" w:eastAsia="ru-RU"/>
        </w:rPr>
        <w:instrText>Text</w:instrText>
      </w:r>
      <w:r w:rsidRPr="00511005">
        <w:rPr>
          <w:rFonts w:ascii="Arial" w:eastAsia="Times New Roman" w:hAnsi="Arial" w:cs="Arial"/>
          <w:szCs w:val="28"/>
          <w:lang w:eastAsia="ru-RU"/>
        </w:rPr>
        <w:instrText>"</w:instrText>
      </w:r>
      <w:r w:rsidRPr="00511005">
        <w:rPr>
          <w:rFonts w:ascii="Arial" w:eastAsia="Times New Roman" w:hAnsi="Arial" w:cs="Arial"/>
          <w:szCs w:val="28"/>
          <w:lang w:val="en-US" w:eastAsia="ru-RU"/>
        </w:rPr>
        <w:fldChar w:fldCharType="separate"/>
      </w:r>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show</w:t>
      </w:r>
      <w:r w:rsidRPr="00511005">
        <w:rPr>
          <w:rFonts w:ascii="Arial" w:eastAsia="Times New Roman" w:hAnsi="Arial" w:cs="Arial"/>
          <w:szCs w:val="28"/>
          <w:lang w:eastAsia="ru-RU"/>
        </w:rPr>
        <w:t>/254к/96-вр#</w:t>
      </w:r>
      <w:r w:rsidRPr="00511005">
        <w:rPr>
          <w:rFonts w:ascii="Arial" w:eastAsia="Times New Roman" w:hAnsi="Arial" w:cs="Arial"/>
          <w:szCs w:val="28"/>
          <w:lang w:val="en-US" w:eastAsia="ru-RU"/>
        </w:rPr>
        <w:t>Text</w:t>
      </w:r>
    </w:p>
    <w:p w14:paraId="52AE3A24" w14:textId="77777777" w:rsidR="00C10374" w:rsidRPr="00511005" w:rsidRDefault="00C10374" w:rsidP="003F6A5D">
      <w:pPr>
        <w:numPr>
          <w:ilvl w:val="0"/>
          <w:numId w:val="297"/>
        </w:numPr>
        <w:snapToGrid w:val="0"/>
        <w:spacing w:line="264" w:lineRule="auto"/>
        <w:ind w:left="0" w:firstLine="567"/>
        <w:rPr>
          <w:rFonts w:ascii="Arial" w:eastAsia="Times New Roman" w:hAnsi="Arial" w:cs="Arial"/>
          <w:szCs w:val="28"/>
          <w:lang w:val="uk-UA" w:eastAsia="ru-RU"/>
        </w:rPr>
      </w:pPr>
      <w:r w:rsidRPr="00511005">
        <w:rPr>
          <w:rFonts w:ascii="Arial" w:eastAsia="Times New Roman" w:hAnsi="Arial" w:cs="Arial"/>
          <w:szCs w:val="28"/>
          <w:lang w:val="en-US" w:eastAsia="ru-RU"/>
        </w:rPr>
        <w:fldChar w:fldCharType="end"/>
      </w:r>
      <w:r w:rsidRPr="00511005">
        <w:rPr>
          <w:rFonts w:ascii="Arial" w:eastAsia="Times New Roman" w:hAnsi="Arial" w:cs="Arial"/>
          <w:szCs w:val="28"/>
          <w:lang w:val="uk-UA" w:eastAsia="ru-RU"/>
        </w:rPr>
        <w:t xml:space="preserve">Про безоплатну правничу допомогу: Закон України від 02.06.2011 р.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hyperlink r:id="rId1101" w:history="1">
        <w:r w:rsidRPr="00511005">
          <w:rPr>
            <w:rFonts w:ascii="Arial" w:eastAsia="Times New Roman" w:hAnsi="Arial" w:cs="Arial"/>
            <w:szCs w:val="28"/>
            <w:lang w:val="uk-UA" w:eastAsia="ru-RU"/>
          </w:rPr>
          <w:t>https://zakon.rada.gov.ua/laws/show/3460-17#Text</w:t>
        </w:r>
      </w:hyperlink>
    </w:p>
    <w:p w14:paraId="00F9483B" w14:textId="77777777" w:rsidR="00C10374" w:rsidRPr="00511005" w:rsidRDefault="00C10374" w:rsidP="003F6A5D">
      <w:pPr>
        <w:numPr>
          <w:ilvl w:val="0"/>
          <w:numId w:val="297"/>
        </w:numPr>
        <w:snapToGrid w:val="0"/>
        <w:spacing w:line="264" w:lineRule="auto"/>
        <w:ind w:left="0" w:firstLine="567"/>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Кримінальний процесуальний кодекс України: Закон України від 13.04.2012 р. URL: </w:t>
      </w:r>
      <w:hyperlink r:id="rId1102" w:history="1">
        <w:r w:rsidRPr="00511005">
          <w:rPr>
            <w:rFonts w:ascii="Arial" w:eastAsia="Times New Roman" w:hAnsi="Arial" w:cs="Arial"/>
            <w:szCs w:val="28"/>
            <w:lang w:val="uk-UA" w:eastAsia="ru-RU"/>
          </w:rPr>
          <w:t>https://zakon.rada.gov.ua/go/4651-17</w:t>
        </w:r>
      </w:hyperlink>
    </w:p>
    <w:p w14:paraId="7654A80B" w14:textId="77777777" w:rsidR="00C10374" w:rsidRPr="00511005" w:rsidRDefault="00C10374" w:rsidP="003F6A5D">
      <w:pPr>
        <w:numPr>
          <w:ilvl w:val="0"/>
          <w:numId w:val="297"/>
        </w:numPr>
        <w:snapToGrid w:val="0"/>
        <w:spacing w:line="264" w:lineRule="auto"/>
        <w:ind w:left="0" w:firstLine="567"/>
        <w:rPr>
          <w:rFonts w:ascii="Arial" w:eastAsia="Times New Roman" w:hAnsi="Arial" w:cs="Arial"/>
          <w:szCs w:val="28"/>
          <w:lang w:val="uk-UA" w:eastAsia="ru-RU"/>
        </w:rPr>
      </w:pPr>
      <w:r w:rsidRPr="00511005">
        <w:rPr>
          <w:rFonts w:ascii="Arial" w:eastAsia="Times New Roman" w:hAnsi="Arial" w:cs="Arial"/>
          <w:szCs w:val="28"/>
          <w:lang w:val="uk-UA" w:eastAsia="ru-RU"/>
        </w:rPr>
        <w:t>Постанова Верховної Ради України №4330-IX від 26.03.2025</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щодо законопроєкту №12320 про зміни до КУпАП, ККУ та КПК України. URL: </w:t>
      </w:r>
      <w:hyperlink r:id="rId1103" w:history="1">
        <w:r w:rsidRPr="00511005">
          <w:rPr>
            <w:rFonts w:ascii="Arial" w:eastAsia="Times New Roman" w:hAnsi="Arial" w:cs="Arial"/>
            <w:szCs w:val="28"/>
            <w:lang w:val="uk-UA" w:eastAsia="ru-RU"/>
          </w:rPr>
          <w:t>https://zakon.rada.gov.ua/laws/show/4330-IX#Text</w:t>
        </w:r>
      </w:hyperlink>
    </w:p>
    <w:p w14:paraId="28BF9912" w14:textId="77777777" w:rsidR="00C10374" w:rsidRPr="00511005" w:rsidRDefault="00C10374" w:rsidP="003F6A5D">
      <w:pPr>
        <w:numPr>
          <w:ilvl w:val="0"/>
          <w:numId w:val="297"/>
        </w:numPr>
        <w:snapToGrid w:val="0"/>
        <w:spacing w:line="264" w:lineRule="auto"/>
        <w:ind w:left="0" w:firstLine="567"/>
        <w:rPr>
          <w:rFonts w:ascii="Arial" w:eastAsia="Times New Roman" w:hAnsi="Arial" w:cs="Arial"/>
          <w:szCs w:val="28"/>
          <w:lang w:val="uk-UA" w:eastAsia="ru-RU"/>
        </w:rPr>
      </w:pPr>
      <w:r w:rsidRPr="00511005">
        <w:rPr>
          <w:rFonts w:ascii="Arial" w:eastAsia="Times New Roman" w:hAnsi="Arial" w:cs="Arial"/>
          <w:szCs w:val="28"/>
          <w:lang w:val="uk-UA" w:eastAsia="ru-RU"/>
        </w:rPr>
        <w:t>Справа Salduz v. Turkey: Рішення ЄСПЛ №36391/02. URL:</w:t>
      </w:r>
      <w:r w:rsidRPr="00055389">
        <w:rPr>
          <w:rFonts w:ascii="Arial" w:eastAsia="Times New Roman" w:hAnsi="Arial" w:cs="Arial"/>
          <w:szCs w:val="28"/>
          <w:lang w:val="en-US" w:eastAsia="ru-RU"/>
        </w:rPr>
        <w:t xml:space="preserve"> </w:t>
      </w:r>
      <w:hyperlink r:id="rId1104" w:history="1">
        <w:r w:rsidRPr="00511005">
          <w:rPr>
            <w:rFonts w:ascii="Arial" w:eastAsia="Times New Roman" w:hAnsi="Arial" w:cs="Arial"/>
            <w:szCs w:val="28"/>
            <w:lang w:val="uk-UA" w:eastAsia="ru-RU"/>
          </w:rPr>
          <w:t>https://hudoc.echr.coe.int/eng#{%22itemid%22:[%22001-89893%22</w:t>
        </w:r>
      </w:hyperlink>
    </w:p>
    <w:p w14:paraId="59601C48" w14:textId="23C27A82" w:rsidR="00C10374" w:rsidRPr="00511005" w:rsidRDefault="007B2628"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C10374" w:rsidRPr="00511005">
        <w:rPr>
          <w:rFonts w:ascii="Arial" w:eastAsia="Times New Roman" w:hAnsi="Arial" w:cs="Arial"/>
          <w:szCs w:val="28"/>
          <w:lang w:val="uk-UA" w:eastAsia="ru-RU"/>
        </w:rPr>
        <w:t>адвокатура, кримінальний процес, адвокат, захисник, верховенство права</w:t>
      </w:r>
    </w:p>
    <w:p w14:paraId="5729E0B4" w14:textId="6D08D890" w:rsidR="00C10374" w:rsidRPr="00511005" w:rsidRDefault="007B2628"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C10374" w:rsidRPr="00511005">
        <w:rPr>
          <w:rFonts w:ascii="Arial" w:eastAsia="Times New Roman" w:hAnsi="Arial" w:cs="Arial"/>
          <w:szCs w:val="28"/>
          <w:lang w:val="uk-UA" w:eastAsia="ru-RU"/>
        </w:rPr>
        <w:t>advocacy, criminal procedure, lawyer, lawyer, rule of law</w:t>
      </w:r>
    </w:p>
    <w:p w14:paraId="7C9E3E77" w14:textId="777AC07C" w:rsidR="00C10374" w:rsidRPr="00511005" w:rsidRDefault="007B2628" w:rsidP="003A292D">
      <w:pPr>
        <w:snapToGrid w:val="0"/>
        <w:spacing w:line="264" w:lineRule="auto"/>
        <w:ind w:firstLine="567"/>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C10374" w:rsidRPr="00511005">
        <w:rPr>
          <w:rFonts w:ascii="Arial" w:eastAsia="Times New Roman" w:hAnsi="Arial" w:cs="Arial"/>
          <w:i/>
          <w:iCs/>
          <w:szCs w:val="28"/>
          <w:lang w:val="uk-UA" w:eastAsia="ru-RU"/>
        </w:rPr>
        <w:t xml:space="preserve">к.ю.н., доцент Кравченко М. О. </w:t>
      </w:r>
    </w:p>
    <w:p w14:paraId="5DCF5CB4" w14:textId="77777777" w:rsidR="00C10374" w:rsidRPr="00511005" w:rsidRDefault="00C10374" w:rsidP="003A292D">
      <w:pPr>
        <w:spacing w:line="264" w:lineRule="auto"/>
        <w:contextualSpacing/>
        <w:rPr>
          <w:rFonts w:ascii="Arial" w:eastAsia="Calibri" w:hAnsi="Arial" w:cs="Arial"/>
          <w:szCs w:val="28"/>
        </w:rPr>
      </w:pPr>
    </w:p>
    <w:p w14:paraId="772460CB" w14:textId="77777777" w:rsidR="00C10374" w:rsidRPr="00511005" w:rsidRDefault="00C10374" w:rsidP="003A292D">
      <w:pPr>
        <w:spacing w:line="264" w:lineRule="auto"/>
        <w:contextualSpacing/>
        <w:rPr>
          <w:rFonts w:ascii="Arial" w:eastAsia="Calibri" w:hAnsi="Arial" w:cs="Arial"/>
          <w:szCs w:val="28"/>
        </w:rPr>
      </w:pPr>
    </w:p>
    <w:p w14:paraId="2C3A2BE1" w14:textId="77777777" w:rsidR="00875A11" w:rsidRDefault="00875A11">
      <w:pPr>
        <w:spacing w:after="200" w:line="276" w:lineRule="auto"/>
        <w:ind w:firstLine="0"/>
        <w:jc w:val="left"/>
        <w:rPr>
          <w:rFonts w:ascii="Arial" w:eastAsia="Calibri" w:hAnsi="Arial" w:cs="Arial"/>
          <w:b/>
          <w:i/>
          <w:szCs w:val="28"/>
          <w:lang w:val="uk-UA"/>
        </w:rPr>
      </w:pPr>
      <w:r>
        <w:rPr>
          <w:rFonts w:ascii="Arial" w:eastAsia="Calibri" w:hAnsi="Arial" w:cs="Arial"/>
          <w:b/>
          <w:i/>
          <w:szCs w:val="28"/>
          <w:lang w:val="uk-UA"/>
        </w:rPr>
        <w:br w:type="page"/>
      </w:r>
    </w:p>
    <w:p w14:paraId="70F3042F" w14:textId="700934C4" w:rsidR="00C10374" w:rsidRPr="00511005" w:rsidRDefault="00C10374" w:rsidP="003A292D">
      <w:pPr>
        <w:spacing w:line="264" w:lineRule="auto"/>
        <w:ind w:right="-1" w:firstLine="567"/>
        <w:jc w:val="center"/>
        <w:rPr>
          <w:rFonts w:ascii="Arial" w:eastAsia="Calibri" w:hAnsi="Arial" w:cs="Arial"/>
          <w:b/>
          <w:i/>
          <w:szCs w:val="28"/>
          <w:lang w:val="uk-UA"/>
        </w:rPr>
      </w:pPr>
      <w:r w:rsidRPr="00511005">
        <w:rPr>
          <w:rFonts w:ascii="Arial" w:eastAsia="Calibri" w:hAnsi="Arial" w:cs="Arial"/>
          <w:b/>
          <w:i/>
          <w:szCs w:val="28"/>
          <w:lang w:val="uk-UA"/>
        </w:rPr>
        <w:lastRenderedPageBreak/>
        <w:t>Калтишев Антон Олександрович</w:t>
      </w:r>
    </w:p>
    <w:p w14:paraId="35F47264" w14:textId="69ED886B" w:rsidR="00C10374" w:rsidRPr="00511005" w:rsidRDefault="00BE3972" w:rsidP="003A292D">
      <w:pPr>
        <w:spacing w:line="264" w:lineRule="auto"/>
        <w:ind w:right="-1" w:firstLine="567"/>
        <w:jc w:val="center"/>
        <w:rPr>
          <w:rFonts w:ascii="Arial" w:eastAsia="Calibri" w:hAnsi="Arial" w:cs="Arial"/>
          <w:iCs/>
          <w:szCs w:val="28"/>
          <w:lang w:val="uk-UA"/>
        </w:rPr>
      </w:pPr>
      <w:r w:rsidRPr="00511005">
        <w:rPr>
          <w:rFonts w:ascii="Arial" w:eastAsia="Calibri" w:hAnsi="Arial" w:cs="Arial"/>
          <w:iCs/>
          <w:szCs w:val="28"/>
          <w:lang w:val="uk-UA"/>
        </w:rPr>
        <w:t xml:space="preserve">студент 1-го курсу </w:t>
      </w:r>
      <w:r w:rsidR="001B7B25" w:rsidRPr="00511005">
        <w:rPr>
          <w:rFonts w:ascii="Arial" w:eastAsia="Calibri" w:hAnsi="Arial" w:cs="Arial"/>
          <w:iCs/>
          <w:szCs w:val="28"/>
          <w:lang w:val="uk-UA"/>
        </w:rPr>
        <w:t>факультету судового та міжнародного права</w:t>
      </w:r>
    </w:p>
    <w:p w14:paraId="7DD52EC8" w14:textId="2EC71527" w:rsidR="00C10374" w:rsidRPr="00511005" w:rsidRDefault="007B2628" w:rsidP="003A292D">
      <w:pPr>
        <w:spacing w:line="264" w:lineRule="auto"/>
        <w:ind w:right="-1" w:firstLine="567"/>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59E8B726" w14:textId="77777777" w:rsidR="00C10374" w:rsidRPr="00511005" w:rsidRDefault="00C10374" w:rsidP="003A292D">
      <w:pPr>
        <w:spacing w:line="264" w:lineRule="auto"/>
        <w:ind w:right="-1" w:firstLine="567"/>
        <w:jc w:val="center"/>
        <w:rPr>
          <w:rFonts w:ascii="Arial" w:eastAsia="Calibri" w:hAnsi="Arial" w:cs="Arial"/>
          <w:b/>
          <w:szCs w:val="28"/>
          <w:lang w:val="uk-UA"/>
        </w:rPr>
      </w:pPr>
    </w:p>
    <w:p w14:paraId="4FC72537" w14:textId="77777777" w:rsidR="00C10374" w:rsidRPr="00511005" w:rsidRDefault="00C10374" w:rsidP="003A292D">
      <w:pPr>
        <w:spacing w:line="264" w:lineRule="auto"/>
        <w:ind w:right="-1" w:firstLine="567"/>
        <w:jc w:val="center"/>
        <w:rPr>
          <w:rFonts w:ascii="Arial" w:eastAsia="Calibri" w:hAnsi="Arial" w:cs="Arial"/>
          <w:b/>
          <w:szCs w:val="28"/>
          <w:lang w:val="uk-UA"/>
        </w:rPr>
      </w:pPr>
      <w:r w:rsidRPr="00511005">
        <w:rPr>
          <w:rFonts w:ascii="Arial" w:eastAsia="Calibri" w:hAnsi="Arial" w:cs="Arial"/>
          <w:b/>
          <w:szCs w:val="28"/>
          <w:lang w:val="uk-UA"/>
        </w:rPr>
        <w:t>СУЧАСНІ ВИКЛИКИ В ДІЯЛЬНОСТІ СУДІВ ТА СУДДІВ</w:t>
      </w:r>
    </w:p>
    <w:p w14:paraId="25EB84DA" w14:textId="566AABB4"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Ефективна судова система нашої держави є невід’ємною складовою її функціонування як демократичної, соціальної та правової. Сучасна система судоустрою функціонує відповідно до Конституції та законів України, що визначають її організацію, компетенцію та принципи діяльності. Суди, як і будь-які інші органи та інститути нашої держави, зазнають впливу різних факторів та чинників.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Одним з таких чинників, до прикладу, є вплив діджиталізації (наразі в кожному суді діє автоматизована система документообігу, запроваджено інформаційну телекомунікаційну систему, а суддям дозволили використовувати технології штучного інтелекту).</w:t>
      </w:r>
    </w:p>
    <w:p w14:paraId="575458D0" w14:textId="77777777"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Однак разом з будь-якими змінами постають і нові виклики, що ускладнюють прогрес або навіть загрожують його існуванню. Дослідження актуальних проблем процесу реформування судової системи України дозволяє не лише оцінити ефективність проведених змін, а й окреслити напрями подальшого удосконалення правосуддя відповідно до конституційних принципів і досягнення європейського рівня. Це пояснюється тим, що розвиток судів України спрямований не лише на виконання їх безпосереднього завдання – вирішення правових конфліктів, що виникають у суспільстві, але й на приведення їх діяльності у відповідність до міжнародних стандартів та практик.</w:t>
      </w:r>
    </w:p>
    <w:p w14:paraId="59E0178D" w14:textId="77777777"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Зауважимо, що у процесі реформування судової системи України залишається не розв’язаною низка проблем, які негативно впливають на ефективне здійснення правосуддя та підривають довіру суспільства до судової влади. Одним із викликів реформування судової системи України є «відсутність чітко визначеного плану дій для реалізації Стратегії розвитку системи правосуддя та конституційного судочинства» [1]. Його наслідком є хаотичне законодавче регулювання, що призводить до реєстрації суперечливих законопроєктів, які, замість узгодженого удосконалення, «розмивають» законодавчу базу реформ. Це створює правову невизначеність, яка безпосередньо впливає на ефективність їхньої імплементації та підриває стабільність судової системи. Відсутність стратегічно обґрунтованого та детального плану дій негативно позначається на здатності законодавчих органів координувати заходи щодо модернізації правосуддя. Для подолання цієї проблеми необхідно розробити комплексний план, який міститиме чітко визначені завдання, відповідальних осіб і часові рамки реалізації, оскільки «ухвалення документу у нинішньому вигляді не вирішить жодних проблем судової влади та лише посилить вплив недоброчесних суддівських функціонерів» [2]. Отже, слід удосконалити </w:t>
      </w:r>
      <w:r w:rsidRPr="00511005">
        <w:rPr>
          <w:rFonts w:ascii="Arial" w:eastAsia="Calibri" w:hAnsi="Arial" w:cs="Arial"/>
          <w:szCs w:val="28"/>
          <w:lang w:val="uk-UA"/>
        </w:rPr>
        <w:lastRenderedPageBreak/>
        <w:t>механізми публічного контролю та участі громадянського суспільства, що сприятиме прозорості процесу реформування та забезпечить відповідальність законодавців за прийняття рішень.</w:t>
      </w:r>
    </w:p>
    <w:p w14:paraId="04F45CF6" w14:textId="77777777"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Крім того, дефіцит кваліфікованих суддів і обмежене фінансування створюють суттєві перешкоди для забезпечення належного рівня правосуддя, що проявляється у перевантаженні судових установ та подовженні строків розгляду справ. Дані досліджень свідчать, що «основною причиною тривалого розгляду справ є непомірне навантаження на суддів першої інстанції» [</w:t>
      </w:r>
      <w:r w:rsidRPr="00511005">
        <w:rPr>
          <w:rFonts w:ascii="Arial" w:eastAsia="Calibri" w:hAnsi="Arial" w:cs="Arial"/>
          <w:szCs w:val="28"/>
        </w:rPr>
        <w:t>3</w:t>
      </w:r>
      <w:r w:rsidRPr="00511005">
        <w:rPr>
          <w:rFonts w:ascii="Arial" w:eastAsia="Calibri" w:hAnsi="Arial" w:cs="Arial"/>
          <w:szCs w:val="28"/>
          <w:lang w:val="uk-UA"/>
        </w:rPr>
        <w:t>]. Це зумовлює необхідність застосування системного підходу до реформування, який включатиме вдосконалення кадрової політики, оптимізацію фінансового забезпечення та активну цифровізацію процесів. Вважаємо, що слід переглянути нормативно-правову базу щодо встановлення максимально допустимих показників навантаження та розробити механізми їх регулярного контролю, що сприятиме більш раціональному розподілу трудових ресурсів. Крім того, вкрай важливо посилити взаємодію між судовими органами та іншими структурами державного управління для створення ефективної координаційної моделі розвитку судової влади. Забезпечення незалежності суддів та суворе дотримання конституційних норм є критично важливими умовами для відновлення довіри громадськості до правосуддя. Сильні інституції дозволять країні розвиватися стабільно та потужно.</w:t>
      </w:r>
    </w:p>
    <w:p w14:paraId="2D9EE996" w14:textId="77777777"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Таким чином, судова система України може і має бути більш прозорою. Україна – демократична та соціальна держава, а, отже, такий аналіз викликів, що постають перед системою судоустрою в процесі її реформування є корисним для підтримки стійкого розвитку нашої держави.</w:t>
      </w:r>
    </w:p>
    <w:p w14:paraId="4473FD61" w14:textId="77777777" w:rsidR="00C10374" w:rsidRPr="00511005" w:rsidRDefault="00C10374" w:rsidP="003A292D">
      <w:pPr>
        <w:spacing w:line="264" w:lineRule="auto"/>
        <w:ind w:firstLine="567"/>
        <w:rPr>
          <w:rFonts w:ascii="Arial" w:eastAsia="Calibri" w:hAnsi="Arial" w:cs="Arial"/>
          <w:szCs w:val="28"/>
          <w:lang w:val="uk-UA"/>
        </w:rPr>
      </w:pPr>
    </w:p>
    <w:p w14:paraId="30CC3C92" w14:textId="006F61C9" w:rsidR="00C10374" w:rsidRPr="00511005" w:rsidRDefault="007B2628" w:rsidP="007B2628">
      <w:pPr>
        <w:spacing w:line="264" w:lineRule="auto"/>
        <w:ind w:firstLine="567"/>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263C67B6" w14:textId="11712C83" w:rsidR="00C10374" w:rsidRPr="00511005" w:rsidRDefault="00C10374" w:rsidP="003A292D">
      <w:pPr>
        <w:spacing w:line="264" w:lineRule="auto"/>
        <w:ind w:left="142" w:hanging="284"/>
        <w:rPr>
          <w:rFonts w:ascii="Arial" w:eastAsia="Calibri" w:hAnsi="Arial" w:cs="Arial"/>
          <w:szCs w:val="28"/>
          <w:lang w:val="uk-UA"/>
        </w:rPr>
      </w:pPr>
      <w:r w:rsidRPr="00511005">
        <w:rPr>
          <w:rFonts w:ascii="Arial" w:eastAsia="Calibri" w:hAnsi="Arial" w:cs="Arial"/>
          <w:spacing w:val="4"/>
          <w:szCs w:val="28"/>
          <w:lang w:val="uk-UA"/>
        </w:rPr>
        <w:t>1.</w:t>
      </w:r>
      <w:r w:rsidRPr="00511005">
        <w:rPr>
          <w:rFonts w:ascii="Arial" w:eastAsia="Calibri" w:hAnsi="Arial" w:cs="Arial"/>
          <w:spacing w:val="4"/>
          <w:szCs w:val="28"/>
          <w:lang w:val="uk-UA"/>
        </w:rPr>
        <w:tab/>
      </w:r>
      <w:r w:rsidRPr="00511005">
        <w:rPr>
          <w:rFonts w:ascii="Arial" w:eastAsia="Calibri" w:hAnsi="Arial" w:cs="Arial"/>
          <w:spacing w:val="-16"/>
          <w:szCs w:val="28"/>
          <w:lang w:val="uk-UA"/>
        </w:rPr>
        <w:t>Bandurka, O., Teremetskyi, V., Boiko V., Zubov O.</w:t>
      </w:r>
      <w:r w:rsidRPr="00511005">
        <w:rPr>
          <w:rFonts w:ascii="Arial" w:eastAsia="Calibri" w:hAnsi="Arial" w:cs="Arial"/>
          <w:spacing w:val="-16"/>
          <w:szCs w:val="28"/>
          <w:lang w:val="en-US"/>
        </w:rPr>
        <w:t>,</w:t>
      </w:r>
      <w:r w:rsidRPr="00511005">
        <w:rPr>
          <w:rFonts w:ascii="Arial" w:eastAsia="Calibri" w:hAnsi="Arial" w:cs="Arial"/>
          <w:spacing w:val="-16"/>
          <w:szCs w:val="28"/>
          <w:lang w:val="uk-UA"/>
        </w:rPr>
        <w:t xml:space="preserve"> Patlachuk V. Current situation of judicial reform in Ukraine: problems and ways of their solution. </w:t>
      </w:r>
      <w:r w:rsidRPr="00511005">
        <w:rPr>
          <w:rFonts w:ascii="Arial" w:eastAsia="Calibri" w:hAnsi="Arial" w:cs="Arial"/>
          <w:i/>
          <w:iCs/>
          <w:spacing w:val="-16"/>
          <w:szCs w:val="28"/>
          <w:lang w:val="uk-UA"/>
        </w:rPr>
        <w:t>Lex Humana.</w:t>
      </w:r>
      <w:r w:rsidRPr="00511005">
        <w:rPr>
          <w:rFonts w:ascii="Arial" w:eastAsia="Calibri" w:hAnsi="Arial" w:cs="Arial"/>
          <w:spacing w:val="-16"/>
          <w:szCs w:val="28"/>
          <w:lang w:val="uk-UA"/>
        </w:rPr>
        <w:t xml:space="preserve"> 2023. №15(4). </w:t>
      </w:r>
      <w:r w:rsidRPr="00511005">
        <w:rPr>
          <w:rFonts w:ascii="Arial" w:eastAsia="Calibri" w:hAnsi="Arial" w:cs="Arial"/>
          <w:spacing w:val="-16"/>
          <w:szCs w:val="28"/>
          <w:lang w:val="en-US"/>
        </w:rPr>
        <w:t>P.</w:t>
      </w:r>
      <w:r w:rsidR="007B2628" w:rsidRPr="00511005">
        <w:rPr>
          <w:rFonts w:ascii="Arial" w:eastAsia="Calibri" w:hAnsi="Arial" w:cs="Arial"/>
          <w:spacing w:val="-16"/>
          <w:szCs w:val="28"/>
          <w:lang w:val="en-US"/>
        </w:rPr>
        <w:t xml:space="preserve"> </w:t>
      </w:r>
      <w:r w:rsidRPr="00511005">
        <w:rPr>
          <w:rFonts w:ascii="Arial" w:eastAsia="Calibri" w:hAnsi="Arial" w:cs="Arial"/>
          <w:spacing w:val="-16"/>
          <w:szCs w:val="28"/>
          <w:lang w:val="uk-UA"/>
        </w:rPr>
        <w:t>55–72. URL: https://seer.ucp.br/seer/index.php/LexHumana/article/view/2700</w:t>
      </w:r>
    </w:p>
    <w:p w14:paraId="76636D35" w14:textId="2C2DDDDB" w:rsidR="00C10374" w:rsidRPr="00511005" w:rsidRDefault="00C10374" w:rsidP="003A292D">
      <w:pPr>
        <w:spacing w:line="264" w:lineRule="auto"/>
        <w:ind w:left="142" w:hanging="284"/>
        <w:rPr>
          <w:rFonts w:ascii="Arial" w:eastAsia="Calibri" w:hAnsi="Arial" w:cs="Arial"/>
          <w:spacing w:val="-16"/>
          <w:szCs w:val="28"/>
          <w:lang w:val="en-US"/>
        </w:rPr>
      </w:pPr>
      <w:r w:rsidRPr="00511005">
        <w:rPr>
          <w:rFonts w:ascii="Arial" w:eastAsia="Calibri" w:hAnsi="Arial" w:cs="Arial"/>
          <w:spacing w:val="-16"/>
          <w:szCs w:val="28"/>
          <w:lang w:val="uk-UA"/>
        </w:rPr>
        <w:t>2.</w:t>
      </w:r>
      <w:r w:rsidRPr="00511005">
        <w:rPr>
          <w:rFonts w:ascii="Arial" w:eastAsia="Calibri" w:hAnsi="Arial" w:cs="Arial"/>
          <w:spacing w:val="-16"/>
          <w:szCs w:val="28"/>
          <w:lang w:val="uk-UA"/>
        </w:rPr>
        <w:tab/>
        <w:t>Аналіз стратегії судової реформи від Офісу Президента.</w:t>
      </w:r>
      <w:r w:rsidRPr="00511005">
        <w:rPr>
          <w:rFonts w:ascii="Arial" w:eastAsia="Calibri" w:hAnsi="Arial" w:cs="Arial"/>
          <w:szCs w:val="28"/>
        </w:rPr>
        <w:t xml:space="preserve"> </w:t>
      </w:r>
      <w:r w:rsidRPr="00511005">
        <w:rPr>
          <w:rFonts w:ascii="Arial" w:eastAsia="Calibri" w:hAnsi="Arial" w:cs="Arial"/>
          <w:spacing w:val="-16"/>
          <w:szCs w:val="28"/>
          <w:lang w:val="uk-UA"/>
        </w:rPr>
        <w:t>Фундація DEJURE.</w:t>
      </w:r>
      <w:r w:rsidR="007B2628" w:rsidRPr="00511005">
        <w:rPr>
          <w:rFonts w:ascii="Arial" w:eastAsia="Calibri" w:hAnsi="Arial" w:cs="Arial"/>
          <w:spacing w:val="-16"/>
          <w:szCs w:val="28"/>
          <w:lang w:val="uk-UA"/>
        </w:rPr>
        <w:t xml:space="preserve"> </w:t>
      </w:r>
      <w:r w:rsidRPr="00511005">
        <w:rPr>
          <w:rFonts w:ascii="Arial" w:eastAsia="Calibri" w:hAnsi="Arial" w:cs="Arial"/>
          <w:spacing w:val="-16"/>
          <w:szCs w:val="28"/>
          <w:lang w:val="en-US"/>
        </w:rPr>
        <w:t xml:space="preserve">2021. </w:t>
      </w:r>
      <w:r w:rsidRPr="00511005">
        <w:rPr>
          <w:rFonts w:ascii="Arial" w:eastAsia="Calibri" w:hAnsi="Arial" w:cs="Arial"/>
          <w:spacing w:val="-16"/>
          <w:szCs w:val="28"/>
          <w:lang w:val="uk-UA"/>
        </w:rPr>
        <w:t>URL:</w:t>
      </w:r>
      <w:r w:rsidR="007B2628" w:rsidRPr="00511005">
        <w:rPr>
          <w:rFonts w:ascii="Arial" w:eastAsia="Calibri" w:hAnsi="Arial" w:cs="Arial"/>
          <w:spacing w:val="-16"/>
          <w:szCs w:val="28"/>
          <w:lang w:val="uk-UA"/>
        </w:rPr>
        <w:t xml:space="preserve"> </w:t>
      </w:r>
      <w:hyperlink r:id="rId1105" w:history="1">
        <w:r w:rsidRPr="00511005">
          <w:rPr>
            <w:rFonts w:ascii="Arial" w:eastAsia="Calibri" w:hAnsi="Arial" w:cs="Arial"/>
            <w:spacing w:val="-16"/>
            <w:szCs w:val="28"/>
            <w:lang w:val="uk-UA"/>
          </w:rPr>
          <w:t>https://dejure.foundation/analiz-stratehii-sudovoi-reformy-vid-ofisu-prezydenta</w:t>
        </w:r>
      </w:hyperlink>
      <w:r w:rsidRPr="00511005">
        <w:rPr>
          <w:rFonts w:ascii="Arial" w:eastAsia="Calibri" w:hAnsi="Arial" w:cs="Arial"/>
          <w:spacing w:val="-16"/>
          <w:szCs w:val="28"/>
          <w:lang w:val="en-US"/>
        </w:rPr>
        <w:t xml:space="preserve"> </w:t>
      </w:r>
    </w:p>
    <w:p w14:paraId="5F617E04" w14:textId="77777777" w:rsidR="00C10374" w:rsidRPr="00511005" w:rsidRDefault="00C10374" w:rsidP="003A292D">
      <w:pPr>
        <w:spacing w:line="264" w:lineRule="auto"/>
        <w:ind w:left="142" w:hanging="284"/>
        <w:rPr>
          <w:rFonts w:ascii="Arial" w:eastAsia="Calibri" w:hAnsi="Arial" w:cs="Arial"/>
          <w:spacing w:val="-16"/>
          <w:szCs w:val="28"/>
          <w:lang w:val="uk-UA"/>
        </w:rPr>
      </w:pPr>
      <w:r w:rsidRPr="00511005">
        <w:rPr>
          <w:rFonts w:ascii="Arial" w:eastAsia="Calibri" w:hAnsi="Arial" w:cs="Arial"/>
          <w:spacing w:val="-16"/>
          <w:szCs w:val="28"/>
          <w:lang w:val="uk-UA"/>
        </w:rPr>
        <w:t>3.</w:t>
      </w:r>
      <w:r w:rsidRPr="00511005">
        <w:rPr>
          <w:rFonts w:ascii="Arial" w:eastAsia="Calibri" w:hAnsi="Arial" w:cs="Arial"/>
          <w:spacing w:val="-16"/>
          <w:szCs w:val="28"/>
          <w:lang w:val="uk-UA"/>
        </w:rPr>
        <w:tab/>
        <w:t>Судіть самі</w:t>
      </w:r>
      <w:r w:rsidRPr="00511005">
        <w:rPr>
          <w:rFonts w:ascii="Arial" w:eastAsia="Calibri" w:hAnsi="Arial" w:cs="Arial"/>
          <w:spacing w:val="-16"/>
          <w:szCs w:val="28"/>
          <w:lang w:val="en-US"/>
        </w:rPr>
        <w:t xml:space="preserve">. </w:t>
      </w:r>
      <w:r w:rsidRPr="00511005">
        <w:rPr>
          <w:rFonts w:ascii="Arial" w:eastAsia="Calibri" w:hAnsi="Arial" w:cs="Arial"/>
          <w:spacing w:val="-16"/>
          <w:szCs w:val="28"/>
          <w:lang w:val="uk-UA"/>
        </w:rPr>
        <w:t>PRAVO.UA.</w:t>
      </w:r>
      <w:r w:rsidRPr="00511005">
        <w:rPr>
          <w:rFonts w:ascii="Arial" w:eastAsia="Calibri" w:hAnsi="Arial" w:cs="Arial"/>
          <w:spacing w:val="-16"/>
          <w:szCs w:val="28"/>
          <w:lang w:val="en-US"/>
        </w:rPr>
        <w:t xml:space="preserve"> </w:t>
      </w:r>
      <w:r w:rsidRPr="00511005">
        <w:rPr>
          <w:rFonts w:ascii="Arial" w:eastAsia="Calibri" w:hAnsi="Arial" w:cs="Arial"/>
          <w:spacing w:val="-16"/>
          <w:szCs w:val="28"/>
          <w:lang w:val="uk-UA"/>
        </w:rPr>
        <w:t xml:space="preserve">2020. </w:t>
      </w:r>
      <w:r w:rsidRPr="00511005">
        <w:rPr>
          <w:rFonts w:ascii="Arial" w:eastAsia="Calibri" w:hAnsi="Arial" w:cs="Arial"/>
          <w:spacing w:val="-16"/>
          <w:szCs w:val="28"/>
          <w:lang w:val="en-US"/>
        </w:rPr>
        <w:t>URL</w:t>
      </w:r>
      <w:r w:rsidRPr="00511005">
        <w:rPr>
          <w:rFonts w:ascii="Arial" w:eastAsia="Calibri" w:hAnsi="Arial" w:cs="Arial"/>
          <w:spacing w:val="-16"/>
          <w:szCs w:val="28"/>
          <w:lang w:val="uk-UA"/>
        </w:rPr>
        <w:t xml:space="preserve">: </w:t>
      </w:r>
      <w:hyperlink r:id="rId1106" w:history="1">
        <w:r w:rsidRPr="00511005">
          <w:rPr>
            <w:rFonts w:ascii="Arial" w:eastAsia="Calibri" w:hAnsi="Arial" w:cs="Arial"/>
            <w:spacing w:val="-16"/>
            <w:szCs w:val="28"/>
            <w:lang w:val="uk-UA"/>
          </w:rPr>
          <w:t>https://pravo.ua/articles/sudit-sami/</w:t>
        </w:r>
      </w:hyperlink>
    </w:p>
    <w:p w14:paraId="3A2C51B8" w14:textId="77777777" w:rsidR="00C10374" w:rsidRPr="00511005" w:rsidRDefault="00C10374" w:rsidP="003A292D">
      <w:pPr>
        <w:spacing w:line="264" w:lineRule="auto"/>
        <w:ind w:left="142" w:hanging="284"/>
        <w:rPr>
          <w:rFonts w:ascii="Arial" w:eastAsia="Calibri" w:hAnsi="Arial" w:cs="Arial"/>
          <w:spacing w:val="-16"/>
          <w:szCs w:val="28"/>
          <w:lang w:val="uk-UA"/>
        </w:rPr>
      </w:pPr>
    </w:p>
    <w:p w14:paraId="5147D9C2" w14:textId="6F91EFF5" w:rsidR="00C10374" w:rsidRPr="00511005" w:rsidRDefault="007B2628" w:rsidP="00875A11">
      <w:pPr>
        <w:spacing w:line="264" w:lineRule="auto"/>
        <w:ind w:firstLine="0"/>
        <w:rPr>
          <w:rFonts w:ascii="Arial" w:eastAsia="Calibri" w:hAnsi="Arial" w:cs="Arial"/>
          <w:spacing w:val="-16"/>
          <w:szCs w:val="28"/>
          <w:lang w:val="uk-UA"/>
        </w:rPr>
      </w:pPr>
      <w:r w:rsidRPr="00511005">
        <w:rPr>
          <w:rFonts w:ascii="Arial" w:eastAsia="Calibri" w:hAnsi="Arial" w:cs="Arial"/>
          <w:b/>
          <w:bCs/>
          <w:i/>
          <w:spacing w:val="-16"/>
          <w:szCs w:val="28"/>
          <w:lang w:val="uk-UA"/>
        </w:rPr>
        <w:t xml:space="preserve">Ключові слова: </w:t>
      </w:r>
      <w:r w:rsidR="00C10374" w:rsidRPr="00511005">
        <w:rPr>
          <w:rFonts w:ascii="Arial" w:eastAsia="Calibri" w:hAnsi="Arial" w:cs="Arial"/>
          <w:spacing w:val="-16"/>
          <w:szCs w:val="28"/>
          <w:lang w:val="uk-UA"/>
        </w:rPr>
        <w:t>суд, правосуддя, судова влада, діджиталізаіція, реформування судової системи</w:t>
      </w:r>
    </w:p>
    <w:p w14:paraId="4C79C01E" w14:textId="62E4235A" w:rsidR="00C10374" w:rsidRPr="00511005" w:rsidRDefault="007B2628" w:rsidP="00875A11">
      <w:pPr>
        <w:spacing w:line="264" w:lineRule="auto"/>
        <w:ind w:firstLine="0"/>
        <w:rPr>
          <w:rFonts w:ascii="Arial" w:eastAsia="Calibri" w:hAnsi="Arial" w:cs="Arial"/>
          <w:spacing w:val="-16"/>
          <w:szCs w:val="28"/>
          <w:lang w:val="uk-UA"/>
        </w:rPr>
      </w:pPr>
      <w:r w:rsidRPr="00511005">
        <w:rPr>
          <w:rFonts w:ascii="Arial" w:eastAsia="Calibri" w:hAnsi="Arial" w:cs="Arial"/>
          <w:b/>
          <w:bCs/>
          <w:i/>
          <w:spacing w:val="-16"/>
          <w:szCs w:val="28"/>
          <w:lang w:val="uk-UA"/>
        </w:rPr>
        <w:t xml:space="preserve">Key words: </w:t>
      </w:r>
      <w:r w:rsidR="00C10374" w:rsidRPr="00511005">
        <w:rPr>
          <w:rFonts w:ascii="Arial" w:eastAsia="Calibri" w:hAnsi="Arial" w:cs="Arial"/>
          <w:spacing w:val="-16"/>
          <w:szCs w:val="28"/>
          <w:lang w:val="uk-UA"/>
        </w:rPr>
        <w:t>court, justice, judiciary, digitalization, reform of the judicial system</w:t>
      </w:r>
    </w:p>
    <w:p w14:paraId="75CC142A" w14:textId="50B51946" w:rsidR="00C10374" w:rsidRPr="00511005" w:rsidRDefault="007B2628" w:rsidP="00875A11">
      <w:pPr>
        <w:spacing w:line="264" w:lineRule="auto"/>
        <w:ind w:firstLine="0"/>
        <w:rPr>
          <w:rFonts w:ascii="Arial" w:eastAsia="Calibri" w:hAnsi="Arial" w:cs="Arial"/>
          <w:spacing w:val="-16"/>
          <w:szCs w:val="28"/>
          <w:lang w:val="uk-UA"/>
        </w:rPr>
      </w:pPr>
      <w:r w:rsidRPr="00511005">
        <w:rPr>
          <w:rFonts w:ascii="Arial" w:eastAsia="Calibri" w:hAnsi="Arial" w:cs="Arial"/>
          <w:b/>
          <w:i/>
          <w:spacing w:val="-16"/>
          <w:szCs w:val="28"/>
          <w:lang w:val="uk-UA"/>
        </w:rPr>
        <w:t xml:space="preserve">Науковий керівник: </w:t>
      </w:r>
      <w:r w:rsidR="00C10374" w:rsidRPr="00511005">
        <w:rPr>
          <w:rFonts w:ascii="Arial" w:eastAsia="Calibri" w:hAnsi="Arial" w:cs="Arial"/>
          <w:spacing w:val="-16"/>
          <w:szCs w:val="28"/>
          <w:lang w:val="uk-UA"/>
        </w:rPr>
        <w:t xml:space="preserve">к.ю.н., доцент Кравченко М. О. </w:t>
      </w:r>
    </w:p>
    <w:p w14:paraId="60934703" w14:textId="77777777" w:rsidR="00C10374" w:rsidRPr="00511005" w:rsidRDefault="00C10374" w:rsidP="003A292D">
      <w:pPr>
        <w:spacing w:line="264" w:lineRule="auto"/>
        <w:ind w:left="142" w:hanging="284"/>
        <w:rPr>
          <w:rFonts w:ascii="Arial" w:eastAsia="Calibri" w:hAnsi="Arial" w:cs="Arial"/>
          <w:spacing w:val="-16"/>
          <w:szCs w:val="28"/>
          <w:lang w:val="uk-UA"/>
        </w:rPr>
      </w:pPr>
    </w:p>
    <w:p w14:paraId="1A7EDC76" w14:textId="0BC134E4" w:rsidR="0052789C" w:rsidRDefault="0052789C">
      <w:pPr>
        <w:spacing w:after="200" w:line="276" w:lineRule="auto"/>
        <w:ind w:firstLine="0"/>
        <w:jc w:val="left"/>
        <w:rPr>
          <w:rFonts w:ascii="Arial" w:eastAsia="Calibri" w:hAnsi="Arial" w:cs="Arial"/>
          <w:b/>
          <w:bCs/>
          <w:i/>
          <w:iCs/>
          <w:szCs w:val="28"/>
          <w:lang w:val="uk-UA"/>
        </w:rPr>
      </w:pPr>
    </w:p>
    <w:p w14:paraId="23943FBC" w14:textId="77777777" w:rsidR="00875A11" w:rsidRDefault="00875A11">
      <w:pPr>
        <w:spacing w:after="200" w:line="276" w:lineRule="auto"/>
        <w:ind w:firstLine="0"/>
        <w:jc w:val="left"/>
        <w:rPr>
          <w:rFonts w:ascii="Arial" w:eastAsia="Calibri" w:hAnsi="Arial" w:cs="Arial"/>
          <w:b/>
          <w:bCs/>
          <w:i/>
          <w:iCs/>
          <w:szCs w:val="28"/>
          <w:lang w:val="uk-UA"/>
        </w:rPr>
      </w:pPr>
      <w:r>
        <w:rPr>
          <w:rFonts w:ascii="Arial" w:eastAsia="Calibri" w:hAnsi="Arial" w:cs="Arial"/>
          <w:b/>
          <w:bCs/>
          <w:i/>
          <w:iCs/>
          <w:szCs w:val="28"/>
          <w:lang w:val="uk-UA"/>
        </w:rPr>
        <w:br w:type="page"/>
      </w:r>
    </w:p>
    <w:p w14:paraId="7F8B4F99" w14:textId="4EB22723" w:rsidR="00C10374" w:rsidRPr="00511005" w:rsidRDefault="00C10374" w:rsidP="003A292D">
      <w:pPr>
        <w:spacing w:line="264" w:lineRule="auto"/>
        <w:ind w:left="-567" w:firstLine="0"/>
        <w:jc w:val="center"/>
        <w:rPr>
          <w:rFonts w:ascii="Arial" w:eastAsia="Calibri" w:hAnsi="Arial" w:cs="Arial"/>
          <w:b/>
          <w:bCs/>
          <w:i/>
          <w:iCs/>
          <w:szCs w:val="28"/>
          <w:lang w:val="uk-UA"/>
        </w:rPr>
      </w:pPr>
      <w:r w:rsidRPr="00511005">
        <w:rPr>
          <w:rFonts w:ascii="Arial" w:eastAsia="Calibri" w:hAnsi="Arial" w:cs="Arial"/>
          <w:b/>
          <w:bCs/>
          <w:i/>
          <w:iCs/>
          <w:szCs w:val="28"/>
          <w:lang w:val="uk-UA"/>
        </w:rPr>
        <w:lastRenderedPageBreak/>
        <w:t>Камінська Яна Олександрівна</w:t>
      </w:r>
    </w:p>
    <w:p w14:paraId="1E79A523" w14:textId="414D6071" w:rsidR="00C10374" w:rsidRPr="00511005" w:rsidRDefault="00BE3972" w:rsidP="003A292D">
      <w:pPr>
        <w:spacing w:line="264" w:lineRule="auto"/>
        <w:ind w:left="-567" w:firstLine="0"/>
        <w:jc w:val="center"/>
        <w:rPr>
          <w:rFonts w:ascii="Arial" w:eastAsia="Calibri" w:hAnsi="Arial" w:cs="Arial"/>
          <w:bCs/>
          <w:szCs w:val="28"/>
          <w:lang w:val="uk-UA"/>
        </w:rPr>
      </w:pPr>
      <w:r w:rsidRPr="00511005">
        <w:rPr>
          <w:rFonts w:ascii="Arial" w:eastAsia="Calibri" w:hAnsi="Arial" w:cs="Arial"/>
          <w:bCs/>
          <w:szCs w:val="28"/>
          <w:lang w:val="uk-UA"/>
        </w:rPr>
        <w:t xml:space="preserve">студентка 1-го курсу </w:t>
      </w:r>
      <w:r w:rsidR="001B7B25" w:rsidRPr="00511005">
        <w:rPr>
          <w:rFonts w:ascii="Arial" w:eastAsia="Calibri" w:hAnsi="Arial" w:cs="Arial"/>
          <w:bCs/>
          <w:szCs w:val="28"/>
          <w:lang w:val="uk-UA"/>
        </w:rPr>
        <w:t>факультету судового та міжнародного права</w:t>
      </w:r>
    </w:p>
    <w:p w14:paraId="3BC0E032" w14:textId="12BBD773" w:rsidR="00C10374" w:rsidRPr="00511005" w:rsidRDefault="007B2628" w:rsidP="003A292D">
      <w:pPr>
        <w:spacing w:line="264" w:lineRule="auto"/>
        <w:ind w:left="-567" w:firstLine="0"/>
        <w:jc w:val="center"/>
        <w:rPr>
          <w:rFonts w:ascii="Arial" w:eastAsia="Calibri" w:hAnsi="Arial" w:cs="Arial"/>
          <w:bCs/>
          <w:szCs w:val="28"/>
          <w:lang w:val="uk-UA"/>
        </w:rPr>
      </w:pPr>
      <w:r w:rsidRPr="00511005">
        <w:rPr>
          <w:rFonts w:ascii="Arial" w:eastAsia="Calibri" w:hAnsi="Arial" w:cs="Arial"/>
          <w:bCs/>
          <w:szCs w:val="28"/>
          <w:lang w:val="uk-UA"/>
        </w:rPr>
        <w:t>Національного університету «Одеська юридична академія»</w:t>
      </w:r>
    </w:p>
    <w:p w14:paraId="7165A5A5" w14:textId="77777777" w:rsidR="00C10374" w:rsidRPr="00511005" w:rsidRDefault="00C10374" w:rsidP="003A292D">
      <w:pPr>
        <w:spacing w:line="264" w:lineRule="auto"/>
        <w:ind w:left="-567" w:firstLine="0"/>
        <w:jc w:val="center"/>
        <w:rPr>
          <w:rFonts w:ascii="Arial" w:eastAsia="Calibri" w:hAnsi="Arial" w:cs="Arial"/>
          <w:bCs/>
          <w:szCs w:val="28"/>
          <w:lang w:val="uk-UA"/>
        </w:rPr>
      </w:pPr>
    </w:p>
    <w:p w14:paraId="63908FB8" w14:textId="77777777" w:rsidR="00C10374" w:rsidRPr="00511005" w:rsidRDefault="00C10374" w:rsidP="003A292D">
      <w:pPr>
        <w:spacing w:line="264" w:lineRule="auto"/>
        <w:ind w:left="-567" w:firstLine="0"/>
        <w:jc w:val="center"/>
        <w:rPr>
          <w:rFonts w:ascii="Arial" w:eastAsia="Calibri" w:hAnsi="Arial" w:cs="Arial"/>
          <w:b/>
          <w:bCs/>
          <w:szCs w:val="28"/>
          <w:lang w:val="uk-UA"/>
        </w:rPr>
      </w:pPr>
      <w:r w:rsidRPr="00511005">
        <w:rPr>
          <w:rFonts w:ascii="Arial" w:eastAsia="Calibri" w:hAnsi="Arial" w:cs="Arial"/>
          <w:b/>
          <w:bCs/>
          <w:szCs w:val="28"/>
          <w:lang w:val="uk-UA"/>
        </w:rPr>
        <w:t>СУДОВА РЕФОРМА В УКРАЇНІ: ДОСЯГНЕННЯ ТА ВИКЛИКИ</w:t>
      </w:r>
    </w:p>
    <w:p w14:paraId="3BE66B86"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Україна перебуває у стані постійного процесу реформування судової системи, що визначається як один із ключових критеріїв її готовності до інтеграції з Європейським Союзом. На сучасному етапі судової реформи пріоритетними завданнями є ефективного функціонування суддівського врядування – Вищої ради правосуддя та Вищої кваліфікаційної комісії суддів, а також структурна модернізація та оптимізація судової системи. Важливою складовою цього процесу є проведення комплексного аудиту повноважень судових установ для усунення дублювання функцій та забезпечення ефективного розподілу ресурсів. Крім того, необхідним є вдосконалення механізмів призначення суддів на посади, їх звільнення та притягнення до дисциплінарної відповідальності, оптимізація мережі загальних судів відповідно до адміністративно-територіальної реформи та сучасних викликів, а також розвиток цифрових технологій у судочинстві [1].</w:t>
      </w:r>
    </w:p>
    <w:p w14:paraId="11B7B9D1"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У науковій літературі судова система визначається як комплекс судових органів, що здійснюють правосуддя та реалізують судову владу. Водночас вона не є простою сукупністю окремих судових установ, а характеризується специфічними механізмами взаємодії її складових. Серед внутрішніх форм взаємодії судової системи виділяють процесуальні зв’язки, організаційну взаємодію між судами, а також співпрацю із зовнішніми суб’єктами – органами суддівського самоврядування, установами, які забезпечують діяльність судової влади, та іншими державними органами. Окремим аспектом є взаємодія суддів у межах професійної самоорганізації [2].</w:t>
      </w:r>
    </w:p>
    <w:p w14:paraId="50603B00"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У межах зовнішніх зв’язків судової системи розрізняють два напрямки: співпрацю з несудовими органами (координація роботи судів із правоохоронними структурами, забезпечення виконання судових рішень тощо) та взаємодію із судовими системами інших держав. Останній аспект охоплює як двосторонні відносини між національними судами, так і співпрацю із міжнародними та наднаціональними судовими установами, що сприяє гармонізації судової практики та міжнародній юридичній інтеграції [3, с. 830-831].</w:t>
      </w:r>
    </w:p>
    <w:p w14:paraId="16C4520F"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 xml:space="preserve">Таке енциклопедичне визначення судової системи загалом відображає положення статті 3 Закону України «Про судоустрій і статус суддів», відповідно до яких суди України складають єдину систему. Дане законодавче формулювання, як зазначає О. Хотинська-Нор, демонструє формально-легальний підхід до розуміння судової системи, а також традиційне її тлумачення як структурної організації судових установ. Таке </w:t>
      </w:r>
      <w:r w:rsidRPr="00511005">
        <w:rPr>
          <w:rFonts w:ascii="Arial" w:eastAsia="Calibri" w:hAnsi="Arial" w:cs="Arial"/>
          <w:szCs w:val="28"/>
          <w:lang w:val="uk-UA"/>
        </w:rPr>
        <w:lastRenderedPageBreak/>
        <w:t>визначення відповідає концепції «судоустрій», яка передбачає нормативне закріплення структури судової влади у законодавчих актах [4, с. 31-32].</w:t>
      </w:r>
    </w:p>
    <w:p w14:paraId="048CC1E0"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З точки зору суб’єктного складу судової системи, у науковій юридичній літературі виділяють два підходи до її розуміння. У вузькому значенні судова система розглядається як структура, що складається із двох підсистем: судоустрою, який забезпечує організацію роботи судів, та судового ладу, що охоплює організацію діяльності допоміжних органів, до яких належать Вища рада правосуддя, Вища кваліфікаційна комісія суддів України, Державна судова адміністрація України та Національна школа суддів України. Широке тлумачення судової системи охоплює цілісний комплекс правових інституцій, які забезпечують здійснення судової влади, а також їх взаємозв’язки. У цьому підході до складу судової системи включають принципи організації судової влади, суддівський корпус, самоврядування суддів, судове право, практику та тлумачення, прокуратуру й адвокатуру [4, с. 27-30].</w:t>
      </w:r>
    </w:p>
    <w:p w14:paraId="26F6593C"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Правовий аналіз Закону України від 2 червня 2016 року № 1401-VIII «Про внесення змін до Конституції України (щодо правосуддя)» дозволяє встановити суттєве зближення прокуратури та судової влади, що стало результатом конституційних змін. Це підтверджується розташуванням положень про прокуратуру та судову владу в одному розділі Конституції України, пов’язаному із правосуддям. Серед науковців існують розбіжності у тлумаченні цього явища. Одні дослідники вважають, що прокуратура є суб’єктом судової влади, оскільки реалізує основні функції у сфері правосуддя, а рівень її правового статусу безпосередньо впливає на авторитет судової системи та ефективність здійснення правосуддя [5, с. 66]. Інші науковці критикують таку позицію, наголошуючи, що прокуратура лише сприяє здійсненню правосуддя, але не є суб’єктом судової влади. Це узгоджується із положеннями ч. 1 ст. 124 Конституції України, згідно з якими правосуддя здійснюють виключно суди [6].</w:t>
      </w:r>
    </w:p>
    <w:p w14:paraId="53CA28BD"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 xml:space="preserve">Відмова громадян звертатися до суду часто зумовлена відсутністю віри у його справедливість, сумнівами щодо чесного вирішення спорів, а також затягнутістю і складністю судових процедур. Це призводить до існування значної кількості латентних спорів, які залишаються поза межами судових органів через недовіру до правових механізмів захисту. На думку експертів, створення мирових судів могло б сприяти вирішенню цієї проблеми завдяки їх близькості до територіальних громад, спрощеним процедурам та оперативності у розгляді справ [7]. Заплановане укрупнення мережі місцевих судів відповідно до адміністративної реформи та утворення територіальних громад є додатковим аргументом для створення мирових судів. Зменшення кількості судів через їх укрупнення потенційно ускладнює доступ до правосуддя для населення. У сучасних умовах основними перешкодами для завершення реформування системи місцевих судів є </w:t>
      </w:r>
      <w:r w:rsidRPr="00511005">
        <w:rPr>
          <w:rFonts w:ascii="Arial" w:eastAsia="Calibri" w:hAnsi="Arial" w:cs="Arial"/>
          <w:szCs w:val="28"/>
          <w:lang w:val="uk-UA"/>
        </w:rPr>
        <w:lastRenderedPageBreak/>
        <w:t>політичні чинники та триваюча війна на території України. Як зазначає І. Мудра, оптимізація мережі судів є складним і соціально чутливим питанням, однак її якісна реалізація дозволить збалансувати навантаження на суддів по всій країні [8].</w:t>
      </w:r>
    </w:p>
    <w:p w14:paraId="0D89C19D"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Крім того, ключовим завданням є підвищення довіри до судової системи, яка має один із найнижчих рівнів довіри серед державних інституцій. Експерти вважають, що мирові суди, завдяки ефективній взаємодії з громадами, забезпечать швидке і справедливе вирішення спорів, що дозволить максимально наблизити правосуддя до місцевого рівня та покращити довіру до системи правосуддя загалом. Створення мирових судів також сприятиме формуванню кадрового резерву для судової системи та частково вирішить проблему дефіциту кадрів у судових установах [7, 8].</w:t>
      </w:r>
    </w:p>
    <w:p w14:paraId="78D56D89"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Мировий суддя, набувши практичного досвіду у взаємодії з учасниками судового процесу, аналізі доказів, організації та розгляді спорів, може стати перспективним кандидатом для призначення на посаду у загальній судовій юрисдикції. Це особливо актуально в умовах дефіциту висококваліфікованих і доброчесних правників, які готові працювати у системі правосуддя. Крім того, що більше спорів вирішується у суспільстві без залучення державних судових інституцій, то вищим є рівень правової культури громадян.</w:t>
      </w:r>
    </w:p>
    <w:p w14:paraId="2ED8283E"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Сподіваємося, що найближчим часом функціонуватиме Служба дисциплінарних інспекторів, що сприятиме ефективному контролю за суддівським корпусом. Це забезпечить механізм очищення судової системи, зокрема через розгляд дисциплінарних скарг на суддів та проведення кваліфікаційного оцінювання. Особливу увагу планується приділити суддям, які порушували принципи суддівської етики, не можуть аргументовано пояснити походження значних активів або ухвалювали політично мотивовані рішення. Важливо максимально використати можливість для перезапуску судової системи, щоб у майбутньому вона відповідала стандартам незалежного правосуддя як перед міжнародними партнерами, так і перед українським суспільством.</w:t>
      </w:r>
    </w:p>
    <w:p w14:paraId="358C9596"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Перспективними науковими дослідженнями є аналіз недоліків та здобутків у межах реалізації Стратегії розвитку системи правосуддя та конституційного судочинства на 2021–2023 роки, яка через низку об’єктивних та суб’єктивних факторів була виконана лише частково. Проведення такого аналізу є необхідним для розробки нової, більш ефективної Стратегії розвитку системи правосуддя та конституційного судочинства на 2024–2029 роки, яка дозволить створити дієву модель судової системи, адаптовану до сучасних викликів правової реформи.</w:t>
      </w:r>
    </w:p>
    <w:p w14:paraId="6D5364C5" w14:textId="77777777" w:rsidR="00C10374" w:rsidRPr="00511005" w:rsidRDefault="00C10374" w:rsidP="003A292D">
      <w:pPr>
        <w:spacing w:line="264" w:lineRule="auto"/>
        <w:ind w:left="-567" w:firstLine="0"/>
        <w:jc w:val="center"/>
        <w:rPr>
          <w:rFonts w:ascii="Arial" w:eastAsia="Calibri" w:hAnsi="Arial" w:cs="Arial"/>
          <w:szCs w:val="28"/>
          <w:lang w:val="uk-UA"/>
        </w:rPr>
      </w:pPr>
    </w:p>
    <w:p w14:paraId="46686A57" w14:textId="77777777" w:rsidR="00875A11" w:rsidRDefault="00875A11" w:rsidP="007B2628">
      <w:pPr>
        <w:spacing w:line="264" w:lineRule="auto"/>
        <w:ind w:left="-567" w:firstLine="0"/>
        <w:jc w:val="center"/>
        <w:rPr>
          <w:rFonts w:ascii="Arial" w:eastAsia="Calibri" w:hAnsi="Arial" w:cs="Arial"/>
          <w:b/>
          <w:bCs/>
          <w:szCs w:val="28"/>
          <w:lang w:val="uk-UA"/>
        </w:rPr>
      </w:pPr>
    </w:p>
    <w:p w14:paraId="334DCC22" w14:textId="74BB0980" w:rsidR="00C10374" w:rsidRPr="00511005" w:rsidRDefault="007B2628" w:rsidP="007B2628">
      <w:pPr>
        <w:spacing w:line="264" w:lineRule="auto"/>
        <w:ind w:left="-567" w:firstLine="0"/>
        <w:jc w:val="center"/>
        <w:rPr>
          <w:rFonts w:ascii="Arial" w:eastAsia="Calibri" w:hAnsi="Arial" w:cs="Arial"/>
          <w:b/>
          <w:bCs/>
          <w:szCs w:val="28"/>
          <w:lang w:val="uk-UA"/>
        </w:rPr>
      </w:pPr>
      <w:r w:rsidRPr="00511005">
        <w:rPr>
          <w:rFonts w:ascii="Arial" w:eastAsia="Calibri" w:hAnsi="Arial" w:cs="Arial"/>
          <w:b/>
          <w:bCs/>
          <w:szCs w:val="28"/>
          <w:lang w:val="uk-UA"/>
        </w:rPr>
        <w:lastRenderedPageBreak/>
        <w:t>Список використаних джерел</w:t>
      </w:r>
    </w:p>
    <w:p w14:paraId="4A9D03DA" w14:textId="77777777" w:rsidR="00C10374" w:rsidRPr="00511005" w:rsidRDefault="00C10374" w:rsidP="003F6A5D">
      <w:pPr>
        <w:numPr>
          <w:ilvl w:val="0"/>
          <w:numId w:val="29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Проект Плану відновлення України. URL: </w:t>
      </w:r>
      <w:hyperlink r:id="rId1107" w:history="1">
        <w:r w:rsidRPr="00511005">
          <w:rPr>
            <w:rFonts w:ascii="Arial" w:eastAsia="Times New Roman" w:hAnsi="Arial" w:cs="Arial"/>
            <w:szCs w:val="28"/>
            <w:lang w:val="uk-UA" w:eastAsia="ru-RU"/>
          </w:rPr>
          <w:t>https://uploads-ssl.webflow.com/625d81ec8313622a52e2f031/62dea471331181b583d43ec5_Юстиція.pdf</w:t>
        </w:r>
      </w:hyperlink>
    </w:p>
    <w:p w14:paraId="04A99153" w14:textId="77777777" w:rsidR="00C10374" w:rsidRPr="00511005" w:rsidRDefault="00C10374" w:rsidP="003F6A5D">
      <w:pPr>
        <w:numPr>
          <w:ilvl w:val="0"/>
          <w:numId w:val="29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Стефанчук, М. М. Судова реформа в Україні: визначеність категоріального апарату. 2023. Вип 77. С. 276-282.</w:t>
      </w:r>
    </w:p>
    <w:p w14:paraId="7838C96F" w14:textId="77777777" w:rsidR="00C10374" w:rsidRPr="00511005" w:rsidRDefault="00C10374" w:rsidP="003F6A5D">
      <w:pPr>
        <w:numPr>
          <w:ilvl w:val="0"/>
          <w:numId w:val="29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Велика юридична енциклопедія: у 20 т. Т. 19: Кримінальний процес, судоустрій, прокуратура та адвокатура / редкол.: В.Т. Нор (голова) та ін.; Нац. акад. прав. Наук України; Ін-т держави і права ім. В.М. Корецького НАН України; Нац. юрид. ун-т ім. Ярослава Мудрого. 2020. 960 с.</w:t>
      </w:r>
    </w:p>
    <w:p w14:paraId="35948E94" w14:textId="77777777" w:rsidR="00C10374" w:rsidRPr="00511005" w:rsidRDefault="00C10374" w:rsidP="003F6A5D">
      <w:pPr>
        <w:numPr>
          <w:ilvl w:val="0"/>
          <w:numId w:val="29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Хотинська-Нор О.З. Теоретико-правові та праксеологічні засади судової реформи в Україні: дис. ... д-ра юрид. наук. Київ, 2017. 573 с.</w:t>
      </w:r>
    </w:p>
    <w:p w14:paraId="1F2E82EF" w14:textId="77777777" w:rsidR="00C10374" w:rsidRPr="00511005" w:rsidRDefault="00C10374" w:rsidP="003F6A5D">
      <w:pPr>
        <w:numPr>
          <w:ilvl w:val="0"/>
          <w:numId w:val="29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Кравчук В. Структура правового статусу прокуратури в умовах конституційної реформи в Україні. </w:t>
      </w:r>
      <w:r w:rsidRPr="00511005">
        <w:rPr>
          <w:rFonts w:ascii="Arial" w:eastAsia="Times New Roman" w:hAnsi="Arial" w:cs="Arial"/>
          <w:i/>
          <w:iCs/>
          <w:szCs w:val="28"/>
          <w:lang w:val="uk-UA" w:eastAsia="ru-RU"/>
        </w:rPr>
        <w:t>Вісник прокуратури</w:t>
      </w:r>
      <w:r w:rsidRPr="00511005">
        <w:rPr>
          <w:rFonts w:ascii="Arial" w:eastAsia="Times New Roman" w:hAnsi="Arial" w:cs="Arial"/>
          <w:szCs w:val="28"/>
          <w:lang w:val="uk-UA" w:eastAsia="ru-RU"/>
        </w:rPr>
        <w:t>. 2017. № 2. С. 63–67.</w:t>
      </w:r>
    </w:p>
    <w:p w14:paraId="5661C305" w14:textId="77777777" w:rsidR="00C10374" w:rsidRPr="00511005" w:rsidRDefault="00C10374" w:rsidP="003F6A5D">
      <w:pPr>
        <w:numPr>
          <w:ilvl w:val="0"/>
          <w:numId w:val="29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Штогун С.Г. Судова реформа чи косметичний ремонт системи судової влади? </w:t>
      </w:r>
      <w:r w:rsidRPr="00511005">
        <w:rPr>
          <w:rFonts w:ascii="Arial" w:eastAsia="Times New Roman" w:hAnsi="Arial" w:cs="Arial"/>
          <w:i/>
          <w:iCs/>
          <w:szCs w:val="28"/>
          <w:lang w:val="uk-UA" w:eastAsia="ru-RU"/>
        </w:rPr>
        <w:t>Часопис Національного університету «Острозька академія».</w:t>
      </w:r>
      <w:r w:rsidRPr="00511005">
        <w:rPr>
          <w:rFonts w:ascii="Arial" w:eastAsia="Times New Roman" w:hAnsi="Arial" w:cs="Arial"/>
          <w:szCs w:val="28"/>
          <w:lang w:val="uk-UA" w:eastAsia="ru-RU"/>
        </w:rPr>
        <w:t xml:space="preserve"> Серія «Право». 2016. № 2(14). С. ??? URL: </w:t>
      </w:r>
      <w:hyperlink r:id="rId1108" w:history="1">
        <w:r w:rsidRPr="00511005">
          <w:rPr>
            <w:rFonts w:ascii="Arial" w:eastAsia="Times New Roman" w:hAnsi="Arial" w:cs="Arial"/>
            <w:szCs w:val="28"/>
            <w:lang w:val="uk-UA" w:eastAsia="ru-RU"/>
          </w:rPr>
          <w:t>http://lj.oa.edu.ua/articles/2016/n2/16sshssv.pdf</w:t>
        </w:r>
      </w:hyperlink>
    </w:p>
    <w:p w14:paraId="7F83797E" w14:textId="77777777" w:rsidR="00C10374" w:rsidRPr="00511005" w:rsidRDefault="00C10374" w:rsidP="003F6A5D">
      <w:pPr>
        <w:numPr>
          <w:ilvl w:val="0"/>
          <w:numId w:val="29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Ковач Я. В. Судова реформа в Україні: сучасний стан, проблеми та можливі шляхи їх вирішення. </w:t>
      </w:r>
      <w:r w:rsidRPr="00511005">
        <w:rPr>
          <w:rFonts w:ascii="Arial" w:eastAsia="Times New Roman" w:hAnsi="Arial" w:cs="Arial"/>
          <w:i/>
          <w:iCs/>
          <w:szCs w:val="28"/>
          <w:lang w:val="uk-UA" w:eastAsia="ru-RU"/>
        </w:rPr>
        <w:t>Вісник Кримінологічної асоціації України</w:t>
      </w:r>
      <w:r w:rsidRPr="00511005">
        <w:rPr>
          <w:rFonts w:ascii="Arial" w:eastAsia="Times New Roman" w:hAnsi="Arial" w:cs="Arial"/>
          <w:szCs w:val="28"/>
          <w:lang w:val="uk-UA" w:eastAsia="ru-RU"/>
        </w:rPr>
        <w:t>. 2024. № 32(2). С. 419-439.</w:t>
      </w:r>
    </w:p>
    <w:p w14:paraId="71D8DF71" w14:textId="77777777" w:rsidR="00C10374" w:rsidRPr="00511005" w:rsidRDefault="00C10374" w:rsidP="003F6A5D">
      <w:pPr>
        <w:numPr>
          <w:ilvl w:val="0"/>
          <w:numId w:val="29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Мамченко Н. Оптимізація мережі судів дозволить вирівняти суддівське навантаження і економити кошти на утримання судів – Ірина Мудра. 06.09.2024. URL: </w:t>
      </w:r>
      <w:hyperlink r:id="rId1109" w:history="1">
        <w:r w:rsidRPr="00511005">
          <w:rPr>
            <w:rFonts w:ascii="Arial" w:eastAsia="Times New Roman" w:hAnsi="Arial" w:cs="Arial"/>
            <w:szCs w:val="28"/>
            <w:lang w:val="uk-UA" w:eastAsia="ru-RU"/>
          </w:rPr>
          <w:t>https://sud.ua/uk/news/publication/309974-optimizatsiya-seti-sudov-pozvolit-vyrovnyat-sudeyskuyunagruzku-i-ekonomit-sredstva-na-soderzhanie-sudov-irina-mudraya</w:t>
        </w:r>
      </w:hyperlink>
      <w:r w:rsidRPr="00511005">
        <w:rPr>
          <w:rFonts w:ascii="Arial" w:eastAsia="Times New Roman" w:hAnsi="Arial" w:cs="Arial"/>
          <w:szCs w:val="28"/>
          <w:lang w:val="uk-UA" w:eastAsia="ru-RU"/>
        </w:rPr>
        <w:t xml:space="preserve"> </w:t>
      </w:r>
    </w:p>
    <w:p w14:paraId="2800D7E1" w14:textId="77777777" w:rsidR="00C10374" w:rsidRPr="00511005" w:rsidRDefault="00C10374" w:rsidP="00875A11">
      <w:pPr>
        <w:spacing w:line="264" w:lineRule="auto"/>
        <w:ind w:firstLine="0"/>
        <w:rPr>
          <w:rFonts w:ascii="Arial" w:eastAsia="Calibri" w:hAnsi="Arial" w:cs="Arial"/>
          <w:szCs w:val="28"/>
          <w:lang w:val="uk-UA"/>
        </w:rPr>
      </w:pPr>
    </w:p>
    <w:p w14:paraId="4366A6E2" w14:textId="04C06BBB" w:rsidR="00C10374" w:rsidRPr="00511005" w:rsidRDefault="007B2628" w:rsidP="00875A11">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судова система, суддівське врядування, мировий суддя, судова реформа, судоустрій.</w:t>
      </w:r>
    </w:p>
    <w:p w14:paraId="541D0544" w14:textId="100D88AC" w:rsidR="00C10374" w:rsidRPr="00511005" w:rsidRDefault="007B2628" w:rsidP="00875A11">
      <w:pPr>
        <w:spacing w:line="264" w:lineRule="auto"/>
        <w:ind w:firstLine="0"/>
        <w:rPr>
          <w:rFonts w:ascii="Arial" w:eastAsia="Calibri" w:hAnsi="Arial" w:cs="Arial"/>
          <w:b/>
          <w:bCs/>
          <w:szCs w:val="28"/>
          <w:lang w:val="uk-UA"/>
        </w:rPr>
      </w:pPr>
      <w:r w:rsidRPr="00511005">
        <w:rPr>
          <w:rFonts w:ascii="Arial" w:eastAsia="Calibri" w:hAnsi="Arial" w:cs="Arial"/>
          <w:b/>
          <w:bCs/>
          <w:i/>
          <w:szCs w:val="28"/>
          <w:lang w:val="en-US"/>
        </w:rPr>
        <w:t xml:space="preserve">Key words: </w:t>
      </w:r>
      <w:r w:rsidR="00C10374" w:rsidRPr="00511005">
        <w:rPr>
          <w:rFonts w:ascii="Arial" w:eastAsia="Calibri" w:hAnsi="Arial" w:cs="Arial"/>
          <w:bCs/>
          <w:szCs w:val="28"/>
          <w:lang w:val="uk-UA"/>
        </w:rPr>
        <w:t>judicial system, judiciary, justice of the peace, judicial reform, judicial system.</w:t>
      </w:r>
    </w:p>
    <w:p w14:paraId="785FE162" w14:textId="255A5FA0" w:rsidR="00C10374" w:rsidRPr="00511005" w:rsidRDefault="007B2628" w:rsidP="00875A11">
      <w:pPr>
        <w:spacing w:line="264" w:lineRule="auto"/>
        <w:ind w:firstLine="0"/>
        <w:rPr>
          <w:rFonts w:ascii="Arial" w:eastAsia="Calibri" w:hAnsi="Arial" w:cs="Arial"/>
          <w:i/>
          <w:iCs/>
          <w:szCs w:val="28"/>
          <w:lang w:val="uk-UA"/>
        </w:rPr>
      </w:pPr>
      <w:r w:rsidRPr="00511005">
        <w:rPr>
          <w:rFonts w:ascii="Arial" w:eastAsia="Calibri" w:hAnsi="Arial" w:cs="Arial"/>
          <w:b/>
          <w:bCs/>
          <w:i/>
          <w:iCs/>
          <w:szCs w:val="28"/>
          <w:lang w:val="uk-UA"/>
        </w:rPr>
        <w:t xml:space="preserve">Науковий керівник: </w:t>
      </w:r>
      <w:r w:rsidR="00C10374" w:rsidRPr="00511005">
        <w:rPr>
          <w:rFonts w:ascii="Arial" w:eastAsia="Calibri" w:hAnsi="Arial" w:cs="Arial"/>
          <w:i/>
          <w:iCs/>
          <w:szCs w:val="28"/>
          <w:lang w:val="uk-UA"/>
        </w:rPr>
        <w:t>к.ю.н., доц</w:t>
      </w:r>
      <w:r w:rsidR="00C10374" w:rsidRPr="00511005">
        <w:rPr>
          <w:rFonts w:ascii="Arial" w:eastAsia="Calibri" w:hAnsi="Arial" w:cs="Arial"/>
          <w:b/>
          <w:bCs/>
          <w:i/>
          <w:iCs/>
          <w:szCs w:val="28"/>
          <w:lang w:val="uk-UA"/>
        </w:rPr>
        <w:t>.</w:t>
      </w:r>
      <w:r w:rsidR="00C10374" w:rsidRPr="00511005">
        <w:rPr>
          <w:rFonts w:ascii="Arial" w:eastAsia="Calibri" w:hAnsi="Arial" w:cs="Arial"/>
          <w:i/>
          <w:iCs/>
          <w:szCs w:val="28"/>
          <w:lang w:val="uk-UA"/>
        </w:rPr>
        <w:t xml:space="preserve"> </w:t>
      </w:r>
      <w:r w:rsidR="00C10374" w:rsidRPr="00511005">
        <w:rPr>
          <w:rFonts w:ascii="Arial" w:eastAsia="Calibri" w:hAnsi="Arial" w:cs="Arial"/>
          <w:bCs/>
          <w:i/>
          <w:iCs/>
          <w:szCs w:val="28"/>
          <w:lang w:val="uk-UA"/>
        </w:rPr>
        <w:t>Кравченко М.О.</w:t>
      </w:r>
      <w:r w:rsidR="00C10374" w:rsidRPr="00511005">
        <w:rPr>
          <w:rFonts w:ascii="Arial" w:eastAsia="Calibri" w:hAnsi="Arial" w:cs="Arial"/>
          <w:b/>
          <w:i/>
          <w:iCs/>
          <w:szCs w:val="28"/>
          <w:lang w:val="uk-UA"/>
        </w:rPr>
        <w:t xml:space="preserve"> </w:t>
      </w:r>
    </w:p>
    <w:p w14:paraId="11566B15" w14:textId="77777777" w:rsidR="00C10374" w:rsidRPr="00511005" w:rsidRDefault="00C10374" w:rsidP="003A292D">
      <w:pPr>
        <w:spacing w:line="264" w:lineRule="auto"/>
        <w:ind w:left="142" w:hanging="284"/>
        <w:rPr>
          <w:rFonts w:ascii="Arial" w:eastAsia="Calibri" w:hAnsi="Arial" w:cs="Arial"/>
          <w:spacing w:val="-16"/>
          <w:szCs w:val="28"/>
          <w:lang w:val="uk-UA"/>
        </w:rPr>
      </w:pPr>
    </w:p>
    <w:p w14:paraId="3B56CF7C" w14:textId="77777777" w:rsidR="00C10374" w:rsidRPr="00511005" w:rsidRDefault="00C10374" w:rsidP="003A292D">
      <w:pPr>
        <w:spacing w:line="264" w:lineRule="auto"/>
        <w:ind w:left="142" w:hanging="284"/>
        <w:rPr>
          <w:rFonts w:ascii="Arial" w:eastAsia="Calibri" w:hAnsi="Arial" w:cs="Arial"/>
          <w:spacing w:val="-16"/>
          <w:szCs w:val="28"/>
          <w:lang w:val="uk-UA"/>
        </w:rPr>
      </w:pPr>
    </w:p>
    <w:p w14:paraId="0C628D22" w14:textId="77777777" w:rsidR="00C10374" w:rsidRPr="00511005" w:rsidRDefault="00C10374" w:rsidP="003A292D">
      <w:pPr>
        <w:spacing w:line="264" w:lineRule="auto"/>
        <w:ind w:left="142" w:hanging="284"/>
        <w:rPr>
          <w:rFonts w:ascii="Arial" w:eastAsia="Calibri" w:hAnsi="Arial" w:cs="Arial"/>
          <w:spacing w:val="-16"/>
          <w:szCs w:val="28"/>
          <w:lang w:val="uk-UA"/>
        </w:rPr>
      </w:pPr>
    </w:p>
    <w:p w14:paraId="5E12B1E9" w14:textId="77777777" w:rsidR="00875A11" w:rsidRDefault="00875A11">
      <w:pPr>
        <w:spacing w:after="200" w:line="276" w:lineRule="auto"/>
        <w:ind w:firstLine="0"/>
        <w:jc w:val="left"/>
        <w:rPr>
          <w:rFonts w:ascii="Arial" w:eastAsia="Times New Roman" w:hAnsi="Arial" w:cs="Arial"/>
          <w:b/>
          <w:bCs/>
          <w:i/>
          <w:iCs/>
          <w:szCs w:val="28"/>
          <w:lang w:val="uk-UA" w:eastAsia="uk-UA"/>
        </w:rPr>
      </w:pPr>
      <w:r>
        <w:rPr>
          <w:rFonts w:ascii="Arial" w:eastAsia="Times New Roman" w:hAnsi="Arial" w:cs="Arial"/>
          <w:b/>
          <w:bCs/>
          <w:i/>
          <w:iCs/>
          <w:szCs w:val="28"/>
          <w:lang w:val="uk-UA" w:eastAsia="uk-UA"/>
        </w:rPr>
        <w:br w:type="page"/>
      </w:r>
    </w:p>
    <w:p w14:paraId="3BCD16F6" w14:textId="5711B9D3" w:rsidR="00C10374" w:rsidRPr="00511005" w:rsidRDefault="00C10374" w:rsidP="003A292D">
      <w:pPr>
        <w:spacing w:line="264" w:lineRule="auto"/>
        <w:ind w:firstLine="567"/>
        <w:jc w:val="center"/>
        <w:rPr>
          <w:rFonts w:ascii="Arial" w:eastAsia="Times New Roman" w:hAnsi="Arial" w:cs="Arial"/>
          <w:b/>
          <w:bCs/>
          <w:i/>
          <w:iCs/>
          <w:szCs w:val="28"/>
          <w:lang w:val="uk-UA" w:eastAsia="uk-UA"/>
        </w:rPr>
      </w:pPr>
      <w:r w:rsidRPr="00511005">
        <w:rPr>
          <w:rFonts w:ascii="Arial" w:eastAsia="Times New Roman" w:hAnsi="Arial" w:cs="Arial"/>
          <w:b/>
          <w:bCs/>
          <w:i/>
          <w:iCs/>
          <w:szCs w:val="28"/>
          <w:lang w:val="uk-UA" w:eastAsia="uk-UA"/>
        </w:rPr>
        <w:lastRenderedPageBreak/>
        <w:t>Копильчук Дарія Володимирівна</w:t>
      </w:r>
    </w:p>
    <w:p w14:paraId="45F6AB64" w14:textId="65EF48E5" w:rsidR="00C10374" w:rsidRPr="00511005" w:rsidRDefault="00BE3972" w:rsidP="003A292D">
      <w:pPr>
        <w:spacing w:line="264" w:lineRule="auto"/>
        <w:ind w:firstLine="567"/>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 1-го курсу </w:t>
      </w:r>
      <w:r w:rsidR="001B7B25" w:rsidRPr="00511005">
        <w:rPr>
          <w:rFonts w:ascii="Arial" w:eastAsia="Times New Roman" w:hAnsi="Arial" w:cs="Arial"/>
          <w:szCs w:val="28"/>
          <w:lang w:val="uk-UA" w:eastAsia="uk-UA"/>
        </w:rPr>
        <w:t>факультету судового та міжнародного права</w:t>
      </w:r>
    </w:p>
    <w:p w14:paraId="2319F4DF" w14:textId="35E02C2B" w:rsidR="00C10374" w:rsidRPr="00511005" w:rsidRDefault="007B2628" w:rsidP="003A292D">
      <w:pPr>
        <w:spacing w:line="264" w:lineRule="auto"/>
        <w:ind w:firstLine="567"/>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35D3C4D0" w14:textId="77777777" w:rsidR="00C10374" w:rsidRPr="00511005" w:rsidRDefault="00C10374" w:rsidP="003A292D">
      <w:pPr>
        <w:spacing w:line="264" w:lineRule="auto"/>
        <w:ind w:firstLine="0"/>
        <w:jc w:val="left"/>
        <w:rPr>
          <w:rFonts w:ascii="Arial" w:eastAsia="Times New Roman" w:hAnsi="Arial" w:cs="Arial"/>
          <w:szCs w:val="28"/>
          <w:lang w:val="uk-UA" w:eastAsia="uk-UA"/>
        </w:rPr>
      </w:pPr>
    </w:p>
    <w:p w14:paraId="18322313" w14:textId="77777777" w:rsidR="00C10374" w:rsidRPr="00511005" w:rsidRDefault="00C10374" w:rsidP="003A292D">
      <w:pPr>
        <w:spacing w:line="264" w:lineRule="auto"/>
        <w:ind w:firstLine="567"/>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РОЛЬ АДВОКАТУРИ У ЗАБЕЗПЕЧЕННІ ВЕРХОВЕНСТВА ПРАВА В УМОВАХ ВИКЛИКІВ ВОЄННОГО СТАНУ</w:t>
      </w:r>
    </w:p>
    <w:p w14:paraId="56785CA1" w14:textId="77777777" w:rsidR="00C10374" w:rsidRPr="00511005" w:rsidRDefault="00C10374" w:rsidP="003A292D">
      <w:pPr>
        <w:spacing w:line="264" w:lineRule="auto"/>
        <w:ind w:firstLine="567"/>
        <w:jc w:val="center"/>
        <w:rPr>
          <w:rFonts w:ascii="Arial" w:eastAsia="Times New Roman" w:hAnsi="Arial" w:cs="Arial"/>
          <w:szCs w:val="28"/>
          <w:lang w:val="uk-UA" w:eastAsia="uk-UA"/>
        </w:rPr>
      </w:pPr>
    </w:p>
    <w:p w14:paraId="62866653" w14:textId="77777777"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Воєнний стан, запроваджений в Україні у зв’язку з агресією Російської Федерації, спричинив суттєві зміни в механізмах реалізації та забезпечення прав людини і громадянина. При цьому особливої актуальності набуває діяльність адвокатури як інституції, покликаної гарантувати право на правову допомогу та здійснення захисту. Але незважаючи на нормативне закріплення незалежності адвокатської професії, реалії воєнного часу створюють низку викликів для ефективного здійснення адвокатської діяльності, включно з обмеженнями доступу до клієнтів, ускладненням комунікації, безпековими ризиками, а також потенційним тиском з боку органів державної влади. В вказаному контексті а</w:t>
      </w:r>
      <w:r w:rsidRPr="00511005">
        <w:rPr>
          <w:rFonts w:ascii="Arial" w:eastAsia="Calibri" w:hAnsi="Arial" w:cs="Arial"/>
          <w:b/>
          <w:bCs/>
          <w:szCs w:val="28"/>
          <w:lang w:val="uk-UA"/>
        </w:rPr>
        <w:t>ктуальність проведення дослідження ролі адвокатури у забезпеченні верховенства права в умовах воєнного стану зумовлена необхідністю оцінки функціональної спроможності адвокатури, визначення правових механізмів захисту її незалежності, а також розробки комплексних заходів із забезпечення доступу до правової допомоги як елементу гарантування верховенства права в умовах воєнного стану.</w:t>
      </w:r>
    </w:p>
    <w:p w14:paraId="59107630" w14:textId="77777777"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О.Барановський зазначає, що «…сучасне законодавство України, аналогічно до законодавства інших демократичних країн, містить вичерпний перелік обмежень, за допомогою яких регулюється поведінка громадян та інших осіб на території країни. Ці обмеження часто встановлюються нормативно-правовими актами та передбачають відповідальність за порушення встановлених правил» [1, с. 49-50].</w:t>
      </w:r>
    </w:p>
    <w:p w14:paraId="6792E8D3" w14:textId="77777777" w:rsidR="00C10374" w:rsidRPr="00511005" w:rsidRDefault="00C10374" w:rsidP="003A292D">
      <w:pPr>
        <w:spacing w:line="264" w:lineRule="auto"/>
        <w:ind w:firstLine="567"/>
        <w:rPr>
          <w:rFonts w:ascii="Arial" w:eastAsia="Times New Roman" w:hAnsi="Arial" w:cs="Arial"/>
          <w:szCs w:val="28"/>
          <w:lang w:val="uk-UA" w:eastAsia="ru-RU"/>
        </w:rPr>
      </w:pPr>
      <w:r w:rsidRPr="00511005">
        <w:rPr>
          <w:rFonts w:ascii="Arial" w:eastAsia="Calibri" w:hAnsi="Arial" w:cs="Arial"/>
          <w:szCs w:val="28"/>
          <w:lang w:val="uk-UA"/>
        </w:rPr>
        <w:t>Вивчення сучасних наукових доробок та законодавчої бази показало, що роль адвокатури у забезпеченні верховенства права в умовах воєнного стану полягає у реалізації конституційного права на захист, гарантуванні доступу до правосуддя та недопущенні зловживань з боку державної влади, особливо в умовах обмеження прав і свобод людини. Сьогодні адвокати виступають не лише професійними захисниками інтересів громадян, а й інституційними гарантами дотримання принципу юридичної визначеності, правової передбачуваності та процесуальної справедливості.</w:t>
      </w:r>
    </w:p>
    <w:p w14:paraId="09FADB3F" w14:textId="77777777" w:rsidR="00C10374" w:rsidRPr="00511005" w:rsidRDefault="00C10374"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Аналіз функціонування адвокатури в умовах повномасштабної війни, зазначає </w:t>
      </w:r>
      <w:r w:rsidRPr="00511005">
        <w:rPr>
          <w:rFonts w:ascii="Arial" w:eastAsia="Calibri" w:hAnsi="Arial" w:cs="Arial"/>
          <w:szCs w:val="28"/>
          <w:lang w:val="uk-UA"/>
        </w:rPr>
        <w:t>С. Іваницький</w:t>
      </w:r>
      <w:r w:rsidRPr="00511005">
        <w:rPr>
          <w:rFonts w:ascii="Arial" w:eastAsia="Times New Roman" w:hAnsi="Arial" w:cs="Arial"/>
          <w:szCs w:val="28"/>
          <w:lang w:val="uk-UA" w:eastAsia="ru-RU"/>
        </w:rPr>
        <w:t>, розв’язаної проти України у 2022 році, дозволяє виокремити три ключові етапи її адаптації та розвитку.</w:t>
      </w:r>
    </w:p>
    <w:p w14:paraId="77B9A546" w14:textId="77777777" w:rsidR="00C10374" w:rsidRPr="00511005" w:rsidRDefault="00C10374"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Перший, найгостріший період, який охоплює лютий-квітень 2022 року, характеризувався негайною переорієнтацією адвокатів на забезпечення </w:t>
      </w:r>
      <w:r w:rsidRPr="00511005">
        <w:rPr>
          <w:rFonts w:ascii="Arial" w:eastAsia="Times New Roman" w:hAnsi="Arial" w:cs="Arial"/>
          <w:szCs w:val="28"/>
          <w:lang w:val="uk-UA" w:eastAsia="ru-RU"/>
        </w:rPr>
        <w:lastRenderedPageBreak/>
        <w:t xml:space="preserve">особистої безпеки, евакуацію до безпечніших регіонів або за кордон, тимчасовим призупиненням професійної діяльності, а також кризовими умовами ведення практики. Роботу судів у багатьох регіонах було припинено або обмежено, змінено територіальну підсудність та підслідність. Для адвокатів не було передбачено обов’язкової релокації, тому чимало з них залишилися на окупованих територіях або тимчасово припинили практику, дехто змінив сферу діяльності або долучився до лав ЗСУ. </w:t>
      </w:r>
    </w:p>
    <w:p w14:paraId="280660C6" w14:textId="77777777" w:rsidR="00C10374" w:rsidRPr="00511005" w:rsidRDefault="00C10374"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Другий етап, що розпочався після часткової деокупації північних регіонів України у травні 2022 року, ознаменувався поступовою стабілізацією адвокатської діяльності, частковим поверненням внутрішньо переміщених осіб, а також частковим відновленням функціонування судової системи, державних реєстрів та онлайн-сервісів. Попри поступове зростання запитів на правову допомогу, адвокатська спільнота стикалася зі зменшенням доходів та неповним завантаженням.</w:t>
      </w:r>
    </w:p>
    <w:p w14:paraId="17BB469A" w14:textId="77777777" w:rsidR="00C10374" w:rsidRPr="00511005" w:rsidRDefault="00C10374"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Третій етап – етап поступового відновлення, який продовжується дотепер, демонструє нерівномірність адаптації різних організаційних форм адвокатської діяльності. Деякі юридичні фірми, зокрема ті, що спеціалізуються на міжнародному праві або мають пул іноземних клієнтів, не лише відновили свою діяльність, а й досягли показників, які перевищують довоєнні </w:t>
      </w:r>
      <w:r w:rsidRPr="00511005">
        <w:rPr>
          <w:rFonts w:ascii="Arial" w:eastAsia="Calibri" w:hAnsi="Arial" w:cs="Arial"/>
          <w:szCs w:val="28"/>
          <w:lang w:val="uk-UA"/>
        </w:rPr>
        <w:t>[2, с. 75-77]</w:t>
      </w:r>
      <w:r w:rsidRPr="00511005">
        <w:rPr>
          <w:rFonts w:ascii="Arial" w:eastAsia="Times New Roman" w:hAnsi="Arial" w:cs="Arial"/>
          <w:szCs w:val="28"/>
          <w:lang w:val="uk-UA" w:eastAsia="ru-RU"/>
        </w:rPr>
        <w:t xml:space="preserve">. </w:t>
      </w:r>
    </w:p>
    <w:p w14:paraId="06903E0B" w14:textId="77777777" w:rsidR="00C10374" w:rsidRPr="00511005" w:rsidRDefault="00C10374" w:rsidP="003A292D">
      <w:pPr>
        <w:spacing w:line="264" w:lineRule="auto"/>
        <w:ind w:firstLine="567"/>
        <w:rPr>
          <w:rFonts w:ascii="Arial" w:eastAsia="Times New Roman" w:hAnsi="Arial" w:cs="Arial"/>
          <w:szCs w:val="28"/>
          <w:lang w:val="uk-UA" w:eastAsia="ru-RU"/>
        </w:rPr>
      </w:pPr>
      <w:r w:rsidRPr="00511005">
        <w:rPr>
          <w:rFonts w:ascii="Arial" w:eastAsia="Calibri" w:hAnsi="Arial" w:cs="Arial"/>
          <w:szCs w:val="28"/>
          <w:lang w:val="uk-UA"/>
        </w:rPr>
        <w:t>Отже, в вказаному контексті необхідно відмітити, що</w:t>
      </w:r>
      <w:r w:rsidRPr="00511005">
        <w:rPr>
          <w:rFonts w:ascii="Arial" w:eastAsia="Calibri" w:hAnsi="Arial" w:cs="Arial"/>
          <w:b/>
          <w:bCs/>
          <w:szCs w:val="28"/>
          <w:lang w:val="uk-UA"/>
        </w:rPr>
        <w:t xml:space="preserve"> </w:t>
      </w:r>
      <w:r w:rsidRPr="00511005">
        <w:rPr>
          <w:rFonts w:ascii="Arial" w:eastAsia="Times New Roman" w:hAnsi="Arial" w:cs="Arial"/>
          <w:szCs w:val="28"/>
          <w:lang w:val="uk-UA" w:eastAsia="ru-RU"/>
        </w:rPr>
        <w:t>незважаючи на закріплення принципу незалежності адвокатської діяльності у національному законодавстві, зокрема у статті 1 та статті 20 Закону України «Про адвокатуру та адвокатську діяльність» [3], яка гарантує адвокатові недопущення втручання у здійснення його професійної функції, воєнний стан створює низку системних, багатовимірних викликів, що істотно ускладнюють здійснення адвокатської діяльності відповідно до стандартів правової держави. У цьому контексті слід констатувати, що незалежність адвоката, як одна з ключових ознак ефективної правозахисної системи, на практиці зазнає певних труднощів унаслідок особливих умов правового режиму, пов’язаного з воєнними діями.</w:t>
      </w:r>
    </w:p>
    <w:p w14:paraId="66A8D308" w14:textId="77777777" w:rsidR="00C10374" w:rsidRPr="00511005" w:rsidRDefault="00C10374"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 суттєвими є територіальні обмеження доступу адвокатів до клієнтів, особливо у прикордонних, тимчасово окупованих або деокупованих регіонах. Також фіксуються ускладнення у здійсненні комунікації між адвокатом і клієнтом, спричинені порушенням логістичних і цифрових ланцюгів у зоні активних бойових дій. Існують й реальні загрози для фізичної безпеки адвокатів, які продовжують здійснювати свої функції у зонах підвищеної небезпеки. </w:t>
      </w:r>
    </w:p>
    <w:p w14:paraId="75B4CC18" w14:textId="77777777"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В вказаному контексті Остапенко Л., Шандрук А. зазначають, що «реалізація права правничої допомоги у воєнний час, досить ускладнила діяльність адвокатури і водночас вплинула на її оновлення у частині </w:t>
      </w:r>
      <w:r w:rsidRPr="00511005">
        <w:rPr>
          <w:rFonts w:ascii="Arial" w:eastAsia="Calibri" w:hAnsi="Arial" w:cs="Arial"/>
          <w:szCs w:val="28"/>
          <w:lang w:val="uk-UA"/>
        </w:rPr>
        <w:lastRenderedPageBreak/>
        <w:t xml:space="preserve">організації роботи адвокатів, зміни режиму і формату функціонування професійного механізму» [4, с. 179]. </w:t>
      </w:r>
    </w:p>
    <w:p w14:paraId="3406AE07" w14:textId="77777777" w:rsidR="00C10374" w:rsidRPr="00511005" w:rsidRDefault="00C10374"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У підсумку зазначимо, що ефективне виконання адвокатами своїх функцій в умовах воєнного стану залежить не лише від їхньої професійної підготовки чи моральних якостей, але й від наявності системних інституційних гарантій, які повинні забезпечувати неухильне дотримання принципів незалежності, безпеки та процесуального паритету. Відсутність належної державної політики щодо захисту адвокатської діяльності в умовах збройного конфлікту загрожує руйнуванням фундаментальних гарантій прав людини, що суперечить як національному законодавству, так і міжнародно-правовим стандартам.</w:t>
      </w:r>
    </w:p>
    <w:p w14:paraId="7F4F1F60" w14:textId="2F60B453" w:rsidR="00C10374" w:rsidRPr="00511005" w:rsidRDefault="00C10374"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Але узагальнення теоретичних положень та практичного досвіду функціонування адвокатури в умовах воєнного стану свідчить про її ключову роль у підтриманні правопорядку, захисті прав і свобод людини та забезпеченні принципу верховенства права. Адвокатура, як незалежний інститут правничої допомоги, за надзвичайних умов воєнного стану виступає одним із небагатьох механізмів, здатних забезпечити реалізацію права на захист та процесуальну рівність сторін.</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Водночас, виклики, що постали перед адвокатською спільнотою з 2022 року, зокрема територіальні, безпекові, комунікаційні та адміністративні обмеження, актуалізують необхідність посилення гарантій незалежності адвокатської професії. У цьому контексті першочергового значення набуває формування чіткої державної політики, спрямованої на інституційний захист адвокатської діяльності, удосконалення нормативного регулювання, забезпечення рівного доступу до правової допомоги та розвиток системи адвокатського самоврядування в умовах воєнного стану. </w:t>
      </w:r>
    </w:p>
    <w:p w14:paraId="1973A81A" w14:textId="77777777" w:rsidR="00C10374" w:rsidRPr="00511005" w:rsidRDefault="00C10374" w:rsidP="003A292D">
      <w:pPr>
        <w:spacing w:line="264" w:lineRule="auto"/>
        <w:ind w:firstLine="567"/>
        <w:rPr>
          <w:rFonts w:ascii="Arial" w:eastAsia="Calibri" w:hAnsi="Arial" w:cs="Arial"/>
          <w:b/>
          <w:bCs/>
          <w:szCs w:val="28"/>
          <w:lang w:val="uk-UA"/>
        </w:rPr>
      </w:pPr>
      <w:r w:rsidRPr="00511005">
        <w:rPr>
          <w:rFonts w:ascii="Arial" w:eastAsia="Calibri" w:hAnsi="Arial" w:cs="Arial"/>
          <w:szCs w:val="28"/>
          <w:lang w:val="uk-UA"/>
        </w:rPr>
        <w:t>Таким чином, тільки за умови належної правової підтримки адвокатура зможе повною мірою виконати свою функцію гаранта справедливості, правової визначеності та демократичності правового порядку навіть у період глибокої суспільної кризи, викликаної військовими діями на території нашої країни та введенням воєнного стану.</w:t>
      </w:r>
    </w:p>
    <w:p w14:paraId="0504BB99" w14:textId="77777777" w:rsidR="00C10374" w:rsidRPr="00511005" w:rsidRDefault="00C10374" w:rsidP="003A292D">
      <w:pPr>
        <w:spacing w:line="264" w:lineRule="auto"/>
        <w:ind w:firstLine="567"/>
        <w:rPr>
          <w:rFonts w:ascii="Arial" w:eastAsia="Calibri" w:hAnsi="Arial" w:cs="Arial"/>
          <w:szCs w:val="28"/>
          <w:lang w:val="uk-UA"/>
        </w:rPr>
      </w:pPr>
    </w:p>
    <w:p w14:paraId="219DA15E" w14:textId="6EC98AE0" w:rsidR="00C10374" w:rsidRPr="00511005" w:rsidRDefault="007B2628" w:rsidP="007B2628">
      <w:pPr>
        <w:spacing w:line="264" w:lineRule="auto"/>
        <w:ind w:firstLine="567"/>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3744633F" w14:textId="77777777" w:rsidR="00C10374" w:rsidRPr="00511005" w:rsidRDefault="00C10374" w:rsidP="003F6A5D">
      <w:pPr>
        <w:numPr>
          <w:ilvl w:val="0"/>
          <w:numId w:val="299"/>
        </w:numPr>
        <w:tabs>
          <w:tab w:val="left" w:pos="851"/>
        </w:tabs>
        <w:spacing w:line="264" w:lineRule="auto"/>
        <w:ind w:left="0" w:firstLine="567"/>
        <w:rPr>
          <w:rFonts w:ascii="Arial" w:eastAsia="Calibri" w:hAnsi="Arial" w:cs="Arial"/>
          <w:szCs w:val="28"/>
          <w:lang w:val="uk-UA"/>
        </w:rPr>
      </w:pPr>
      <w:r w:rsidRPr="00511005">
        <w:rPr>
          <w:rFonts w:ascii="Arial" w:eastAsia="Calibri" w:hAnsi="Arial" w:cs="Arial"/>
          <w:szCs w:val="28"/>
          <w:shd w:val="clear" w:color="auto" w:fill="FFFFFF"/>
          <w:lang w:val="uk-UA"/>
        </w:rPr>
        <w:t xml:space="preserve">Барановський О. Здійснення правового захисту в умовах воєнного стану: виклики та перспективи для адвокатів в Україні. </w:t>
      </w:r>
      <w:r w:rsidRPr="00511005">
        <w:rPr>
          <w:rFonts w:ascii="Arial" w:eastAsia="Calibri" w:hAnsi="Arial" w:cs="Arial"/>
          <w:i/>
          <w:iCs/>
          <w:szCs w:val="28"/>
          <w:lang w:val="uk-UA"/>
        </w:rPr>
        <w:t>Правова наука і державотворення в Україні в умовах сучасних викликів, породжених російською воєнною агресією: теорія, практика, перспективи розвитку: збірник матеріалів Всеукраїнського науково-практичного семінару.</w:t>
      </w:r>
      <w:r w:rsidRPr="00511005">
        <w:rPr>
          <w:rFonts w:ascii="Arial" w:eastAsia="Calibri" w:hAnsi="Arial" w:cs="Arial"/>
          <w:szCs w:val="28"/>
          <w:lang w:val="uk-UA"/>
        </w:rPr>
        <w:t xml:space="preserve"> м. Кривий Ріг, 24 травня 2024 р. Кропивницький : ДонДУВС, 2024.</w:t>
      </w:r>
      <w:r w:rsidRPr="00511005">
        <w:rPr>
          <w:rFonts w:ascii="Arial" w:eastAsia="Calibri" w:hAnsi="Arial" w:cs="Arial"/>
          <w:szCs w:val="28"/>
          <w:shd w:val="clear" w:color="auto" w:fill="FFFFFF"/>
          <w:lang w:val="uk-UA"/>
        </w:rPr>
        <w:t xml:space="preserve"> С. 48-52. </w:t>
      </w:r>
      <w:r w:rsidRPr="00511005">
        <w:rPr>
          <w:rFonts w:ascii="Arial" w:eastAsia="Calibri" w:hAnsi="Arial" w:cs="Arial"/>
          <w:szCs w:val="28"/>
          <w:lang w:val="uk-UA"/>
        </w:rPr>
        <w:t xml:space="preserve">URL: </w:t>
      </w:r>
      <w:hyperlink r:id="rId1110" w:history="1">
        <w:r w:rsidRPr="00511005">
          <w:rPr>
            <w:rFonts w:ascii="Arial" w:eastAsia="Calibri" w:hAnsi="Arial" w:cs="Arial"/>
            <w:szCs w:val="28"/>
            <w:lang w:val="uk-UA"/>
          </w:rPr>
          <w:t>https://repository.mu.edu.ua/jspui/bitstream/123456789/7595/1/baran_zdiy_sem_2024_48.pdf</w:t>
        </w:r>
      </w:hyperlink>
    </w:p>
    <w:p w14:paraId="55A04865" w14:textId="17A23F9B" w:rsidR="00C10374" w:rsidRPr="00511005" w:rsidRDefault="00C10374" w:rsidP="003F6A5D">
      <w:pPr>
        <w:numPr>
          <w:ilvl w:val="0"/>
          <w:numId w:val="299"/>
        </w:numPr>
        <w:tabs>
          <w:tab w:val="left" w:pos="851"/>
        </w:tabs>
        <w:spacing w:line="264" w:lineRule="auto"/>
        <w:ind w:left="0" w:firstLine="567"/>
        <w:rPr>
          <w:rFonts w:ascii="Arial" w:eastAsia="Calibri" w:hAnsi="Arial" w:cs="Arial"/>
          <w:szCs w:val="28"/>
          <w:lang w:val="uk-UA"/>
        </w:rPr>
      </w:pPr>
      <w:r w:rsidRPr="00511005">
        <w:rPr>
          <w:rFonts w:ascii="Arial" w:eastAsia="Calibri" w:hAnsi="Arial" w:cs="Arial"/>
          <w:szCs w:val="28"/>
          <w:shd w:val="clear" w:color="auto" w:fill="FFFFFF"/>
          <w:lang w:val="uk-UA"/>
        </w:rPr>
        <w:lastRenderedPageBreak/>
        <w:t>Лемеха Р.І. Інститут правової допомоги в умовах дії правового режиму воєнного стану: виклики сьогодення. </w:t>
      </w:r>
      <w:r w:rsidRPr="00511005">
        <w:rPr>
          <w:rFonts w:ascii="Arial" w:eastAsia="Calibri" w:hAnsi="Arial" w:cs="Arial"/>
          <w:i/>
          <w:iCs/>
          <w:szCs w:val="28"/>
          <w:shd w:val="clear" w:color="auto" w:fill="FFFFFF"/>
          <w:lang w:val="uk-UA"/>
        </w:rPr>
        <w:t>Правові новели.</w:t>
      </w:r>
      <w:r w:rsidRPr="00511005">
        <w:rPr>
          <w:rFonts w:ascii="Arial" w:eastAsia="Calibri" w:hAnsi="Arial" w:cs="Arial"/>
          <w:szCs w:val="28"/>
          <w:shd w:val="clear" w:color="auto" w:fill="FFFFFF"/>
          <w:lang w:val="uk-UA"/>
        </w:rPr>
        <w:t xml:space="preserve"> № 23. 2024. С. 276-283. </w:t>
      </w:r>
      <w:r w:rsidRPr="00511005">
        <w:rPr>
          <w:rFonts w:ascii="Arial" w:eastAsia="Calibri" w:hAnsi="Arial" w:cs="Arial"/>
          <w:szCs w:val="28"/>
          <w:lang w:val="uk-UA"/>
        </w:rPr>
        <w:t xml:space="preserve">URL: </w:t>
      </w:r>
      <w:hyperlink r:id="rId1111" w:history="1">
        <w:r w:rsidRPr="00511005">
          <w:rPr>
            <w:rFonts w:ascii="Arial" w:eastAsia="Calibri" w:hAnsi="Arial" w:cs="Arial"/>
            <w:szCs w:val="28"/>
            <w:lang w:val="uk-UA"/>
          </w:rPr>
          <w:t>http://legalnovels.in.ua/journal/23_2024/37.pdf</w:t>
        </w:r>
      </w:hyperlink>
      <w:r w:rsidR="007B2628" w:rsidRPr="00511005">
        <w:rPr>
          <w:rFonts w:ascii="Arial" w:eastAsia="Calibri" w:hAnsi="Arial" w:cs="Arial"/>
          <w:szCs w:val="28"/>
          <w:lang w:val="uk-UA"/>
        </w:rPr>
        <w:t xml:space="preserve"> </w:t>
      </w:r>
    </w:p>
    <w:p w14:paraId="010622BC" w14:textId="77777777" w:rsidR="00C10374" w:rsidRPr="00511005" w:rsidRDefault="00C10374" w:rsidP="003F6A5D">
      <w:pPr>
        <w:numPr>
          <w:ilvl w:val="0"/>
          <w:numId w:val="299"/>
        </w:numPr>
        <w:tabs>
          <w:tab w:val="left" w:pos="851"/>
        </w:tabs>
        <w:spacing w:line="264" w:lineRule="auto"/>
        <w:ind w:left="0" w:firstLine="567"/>
        <w:rPr>
          <w:rFonts w:ascii="Arial" w:eastAsia="Calibri" w:hAnsi="Arial" w:cs="Arial"/>
          <w:szCs w:val="28"/>
          <w:lang w:val="uk-UA"/>
        </w:rPr>
      </w:pPr>
      <w:r w:rsidRPr="00511005">
        <w:rPr>
          <w:rFonts w:ascii="Arial" w:eastAsia="Calibri" w:hAnsi="Arial" w:cs="Arial"/>
          <w:szCs w:val="28"/>
          <w:shd w:val="clear" w:color="auto" w:fill="FFFFFF"/>
          <w:lang w:val="uk-UA"/>
        </w:rPr>
        <w:t xml:space="preserve">Про адвокатуру та адвокатську діяльність: Закон України від 5 липня 2012 р. № 5076-VI. </w:t>
      </w:r>
      <w:r w:rsidRPr="00511005">
        <w:rPr>
          <w:rFonts w:ascii="Arial" w:eastAsia="Calibri" w:hAnsi="Arial" w:cs="Arial"/>
          <w:i/>
          <w:iCs/>
          <w:szCs w:val="28"/>
          <w:shd w:val="clear" w:color="auto" w:fill="FFFFFF"/>
          <w:lang w:val="uk-UA"/>
        </w:rPr>
        <w:t>Відомості Верховної Ради</w:t>
      </w:r>
      <w:r w:rsidRPr="00511005">
        <w:rPr>
          <w:rFonts w:ascii="Arial" w:eastAsia="Calibri" w:hAnsi="Arial" w:cs="Arial"/>
          <w:szCs w:val="28"/>
          <w:shd w:val="clear" w:color="auto" w:fill="FFFFFF"/>
          <w:lang w:val="uk-UA"/>
        </w:rPr>
        <w:t xml:space="preserve">. 2013. № 27. ст. 282. </w:t>
      </w:r>
      <w:r w:rsidRPr="00511005">
        <w:rPr>
          <w:rFonts w:ascii="Arial" w:eastAsia="Calibri" w:hAnsi="Arial" w:cs="Arial"/>
          <w:szCs w:val="28"/>
          <w:lang w:val="uk-UA"/>
        </w:rPr>
        <w:t xml:space="preserve">URL: </w:t>
      </w:r>
      <w:hyperlink r:id="rId1112" w:anchor="Text" w:history="1">
        <w:r w:rsidRPr="00511005">
          <w:rPr>
            <w:rFonts w:ascii="Arial" w:eastAsia="Calibri" w:hAnsi="Arial" w:cs="Arial"/>
            <w:szCs w:val="28"/>
            <w:lang w:val="uk-UA"/>
          </w:rPr>
          <w:t>https://zakon.rada.gov.ua/laws/show/5076-17#Text</w:t>
        </w:r>
      </w:hyperlink>
    </w:p>
    <w:p w14:paraId="636F4A2E" w14:textId="77777777" w:rsidR="00C10374" w:rsidRPr="00511005" w:rsidRDefault="00C10374" w:rsidP="003F6A5D">
      <w:pPr>
        <w:numPr>
          <w:ilvl w:val="0"/>
          <w:numId w:val="299"/>
        </w:numPr>
        <w:tabs>
          <w:tab w:val="left" w:pos="851"/>
        </w:tabs>
        <w:spacing w:line="264" w:lineRule="auto"/>
        <w:ind w:left="0" w:firstLine="567"/>
        <w:rPr>
          <w:rFonts w:ascii="Arial" w:eastAsia="Calibri" w:hAnsi="Arial" w:cs="Arial"/>
          <w:szCs w:val="28"/>
          <w:lang w:val="uk-UA"/>
        </w:rPr>
      </w:pPr>
      <w:r w:rsidRPr="00511005">
        <w:rPr>
          <w:rFonts w:ascii="Arial" w:eastAsia="Calibri" w:hAnsi="Arial" w:cs="Arial"/>
          <w:szCs w:val="28"/>
          <w:lang w:val="uk-UA"/>
        </w:rPr>
        <w:t xml:space="preserve">Остапенко Л., Шандрук А. Особливості діяльності адвокатури в умовах воєнного стану. </w:t>
      </w:r>
      <w:r w:rsidRPr="00511005">
        <w:rPr>
          <w:rFonts w:ascii="Arial" w:eastAsia="Calibri" w:hAnsi="Arial" w:cs="Arial"/>
          <w:i/>
          <w:szCs w:val="28"/>
          <w:lang w:val="uk-UA"/>
        </w:rPr>
        <w:t>Вісник Національного університету «Львівська політехніка». Серія: «Юридичні науки».</w:t>
      </w:r>
      <w:r w:rsidRPr="00511005">
        <w:rPr>
          <w:rFonts w:ascii="Arial" w:eastAsia="Calibri" w:hAnsi="Arial" w:cs="Arial"/>
          <w:szCs w:val="28"/>
          <w:lang w:val="uk-UA"/>
        </w:rPr>
        <w:t xml:space="preserve"> 2023. № 2 (38). С. 176-182. URL: </w:t>
      </w:r>
      <w:hyperlink r:id="rId1113" w:history="1">
        <w:r w:rsidRPr="00511005">
          <w:rPr>
            <w:rFonts w:ascii="Arial" w:eastAsia="Calibri" w:hAnsi="Arial" w:cs="Arial"/>
            <w:szCs w:val="28"/>
            <w:lang w:val="uk-UA"/>
          </w:rPr>
          <w:t>https://science.lpnu.ua/sites/default/files/journal-paper/2023/nov/31673/26.pdf</w:t>
        </w:r>
      </w:hyperlink>
    </w:p>
    <w:p w14:paraId="3F7DB648" w14:textId="77777777" w:rsidR="00C10374" w:rsidRPr="00511005" w:rsidRDefault="00C10374" w:rsidP="003A292D">
      <w:pPr>
        <w:keepNext/>
        <w:spacing w:line="264" w:lineRule="auto"/>
        <w:ind w:firstLine="567"/>
        <w:rPr>
          <w:rFonts w:ascii="Arial" w:eastAsia="Calibri" w:hAnsi="Arial" w:cs="Arial"/>
          <w:bCs/>
          <w:i/>
          <w:iCs/>
          <w:szCs w:val="28"/>
          <w:lang w:val="uk-UA"/>
        </w:rPr>
      </w:pPr>
    </w:p>
    <w:p w14:paraId="54C6B8DA" w14:textId="220975FC" w:rsidR="00C10374" w:rsidRPr="00511005" w:rsidRDefault="007B2628" w:rsidP="003A292D">
      <w:pPr>
        <w:spacing w:line="264" w:lineRule="auto"/>
        <w:ind w:firstLine="567"/>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0374" w:rsidRPr="00511005">
        <w:rPr>
          <w:rFonts w:ascii="Arial" w:eastAsia="Calibri" w:hAnsi="Arial" w:cs="Arial"/>
          <w:szCs w:val="28"/>
          <w:lang w:val="uk-UA"/>
        </w:rPr>
        <w:t>адвокатура, адвокатська діяльність, право на захист, доступ до правової допомоги, незалежність адвоката, доступ до правосуддя, воєнний стан, верховенство права, захист прав людини, обмеження прав і свобод людини.</w:t>
      </w:r>
    </w:p>
    <w:p w14:paraId="66AE7516" w14:textId="3873541E" w:rsidR="00C10374" w:rsidRPr="00511005" w:rsidRDefault="00C10374" w:rsidP="003A292D">
      <w:pPr>
        <w:spacing w:line="264" w:lineRule="auto"/>
        <w:ind w:firstLine="567"/>
        <w:jc w:val="left"/>
        <w:rPr>
          <w:rFonts w:ascii="Arial" w:eastAsia="Times New Roman" w:hAnsi="Arial" w:cs="Arial"/>
          <w:szCs w:val="28"/>
          <w:lang w:val="en-US" w:eastAsia="uk-UA"/>
        </w:rPr>
      </w:pPr>
      <w:r w:rsidRPr="00070B72">
        <w:rPr>
          <w:rFonts w:ascii="Arial" w:eastAsia="Times New Roman" w:hAnsi="Arial" w:cs="Arial"/>
          <w:b/>
          <w:bCs/>
          <w:i/>
          <w:iCs/>
          <w:szCs w:val="28"/>
          <w:lang w:val="en-US" w:eastAsia="uk-UA"/>
        </w:rPr>
        <w:t>Key</w:t>
      </w:r>
      <w:r w:rsidR="00070B72" w:rsidRPr="00070B72">
        <w:rPr>
          <w:rFonts w:ascii="Arial" w:eastAsia="Times New Roman" w:hAnsi="Arial" w:cs="Arial"/>
          <w:b/>
          <w:bCs/>
          <w:i/>
          <w:iCs/>
          <w:szCs w:val="28"/>
          <w:lang w:val="uk-UA" w:eastAsia="uk-UA"/>
        </w:rPr>
        <w:t xml:space="preserve"> </w:t>
      </w:r>
      <w:r w:rsidRPr="00070B72">
        <w:rPr>
          <w:rFonts w:ascii="Arial" w:eastAsia="Times New Roman" w:hAnsi="Arial" w:cs="Arial"/>
          <w:b/>
          <w:bCs/>
          <w:i/>
          <w:iCs/>
          <w:szCs w:val="28"/>
          <w:lang w:val="en-US" w:eastAsia="uk-UA"/>
        </w:rPr>
        <w:t>words</w:t>
      </w:r>
      <w:r w:rsidR="00070B72" w:rsidRPr="00070B72">
        <w:rPr>
          <w:rFonts w:ascii="Arial" w:eastAsia="Times New Roman" w:hAnsi="Arial" w:cs="Arial"/>
          <w:b/>
          <w:bCs/>
          <w:i/>
          <w:iCs/>
          <w:szCs w:val="28"/>
          <w:lang w:val="uk-UA" w:eastAsia="uk-UA"/>
        </w:rPr>
        <w:t>:</w:t>
      </w:r>
      <w:r w:rsidRPr="00511005">
        <w:rPr>
          <w:rFonts w:ascii="Arial" w:eastAsia="Times New Roman" w:hAnsi="Arial" w:cs="Arial"/>
          <w:szCs w:val="28"/>
          <w:lang w:val="en-US" w:eastAsia="uk-UA"/>
        </w:rPr>
        <w:t xml:space="preserve"> advocacy, legal practice, right to defense, access to legal aid, independence of the lawyer, access to justice, martial law, rule of law, human rights protection, restriction of human rights and freedoms.</w:t>
      </w:r>
    </w:p>
    <w:p w14:paraId="4DCEAA6D" w14:textId="77777777" w:rsidR="00C10374" w:rsidRPr="00511005" w:rsidRDefault="00C10374" w:rsidP="003A292D">
      <w:pPr>
        <w:spacing w:line="264" w:lineRule="auto"/>
        <w:ind w:firstLine="567"/>
        <w:jc w:val="left"/>
        <w:rPr>
          <w:rFonts w:ascii="Arial" w:eastAsia="Times New Roman" w:hAnsi="Arial" w:cs="Arial"/>
          <w:bCs/>
          <w:i/>
          <w:iCs/>
          <w:szCs w:val="28"/>
          <w:lang w:val="uk-UA" w:eastAsia="uk-UA"/>
        </w:rPr>
      </w:pPr>
    </w:p>
    <w:p w14:paraId="0C6D04D9" w14:textId="57252B24" w:rsidR="00C10374" w:rsidRPr="00511005" w:rsidRDefault="007B2628" w:rsidP="003A292D">
      <w:pPr>
        <w:keepNext/>
        <w:spacing w:line="264" w:lineRule="auto"/>
        <w:ind w:firstLine="567"/>
        <w:rPr>
          <w:rFonts w:ascii="Arial" w:eastAsia="Calibri" w:hAnsi="Arial" w:cs="Arial"/>
          <w:bCs/>
          <w:i/>
          <w:iCs/>
          <w:szCs w:val="28"/>
          <w:lang w:val="uk-UA" w:eastAsia="ru-RU"/>
        </w:rPr>
      </w:pPr>
      <w:r w:rsidRPr="00511005">
        <w:rPr>
          <w:rFonts w:ascii="Arial" w:eastAsia="Calibri" w:hAnsi="Arial" w:cs="Arial"/>
          <w:b/>
          <w:bCs/>
          <w:i/>
          <w:iCs/>
          <w:szCs w:val="28"/>
          <w:lang w:val="uk-UA"/>
        </w:rPr>
        <w:t xml:space="preserve">Науковий керівник: </w:t>
      </w:r>
      <w:r w:rsidR="00C10374" w:rsidRPr="00511005">
        <w:rPr>
          <w:rFonts w:ascii="Arial" w:eastAsia="Calibri" w:hAnsi="Arial" w:cs="Arial"/>
          <w:bCs/>
          <w:i/>
          <w:iCs/>
          <w:szCs w:val="28"/>
          <w:lang w:val="uk-UA"/>
        </w:rPr>
        <w:t>старший викладач</w:t>
      </w:r>
      <w:r w:rsidRPr="00511005">
        <w:rPr>
          <w:rFonts w:ascii="Arial" w:eastAsia="Calibri" w:hAnsi="Arial" w:cs="Arial"/>
          <w:bCs/>
          <w:i/>
          <w:iCs/>
          <w:szCs w:val="28"/>
          <w:lang w:val="uk-UA"/>
        </w:rPr>
        <w:t xml:space="preserve"> </w:t>
      </w:r>
      <w:r w:rsidR="00C10374" w:rsidRPr="00511005">
        <w:rPr>
          <w:rFonts w:ascii="Arial" w:eastAsia="Calibri" w:hAnsi="Arial" w:cs="Arial"/>
          <w:bCs/>
          <w:i/>
          <w:iCs/>
          <w:szCs w:val="28"/>
          <w:lang w:val="uk-UA"/>
        </w:rPr>
        <w:t>Нестерчук Л.П.</w:t>
      </w:r>
    </w:p>
    <w:p w14:paraId="4D5FA5DD" w14:textId="77777777" w:rsidR="00C10374" w:rsidRPr="00511005" w:rsidRDefault="00C10374" w:rsidP="003A292D">
      <w:pPr>
        <w:spacing w:line="264" w:lineRule="auto"/>
        <w:ind w:left="142" w:hanging="284"/>
        <w:rPr>
          <w:rFonts w:ascii="Arial" w:eastAsia="Calibri" w:hAnsi="Arial" w:cs="Arial"/>
          <w:spacing w:val="-16"/>
          <w:szCs w:val="28"/>
          <w:lang w:val="uk-UA"/>
        </w:rPr>
      </w:pPr>
    </w:p>
    <w:p w14:paraId="4672974E" w14:textId="77777777" w:rsidR="00C10374" w:rsidRPr="00511005" w:rsidRDefault="00C10374" w:rsidP="003A292D">
      <w:pPr>
        <w:spacing w:line="264" w:lineRule="auto"/>
        <w:contextualSpacing/>
        <w:rPr>
          <w:rFonts w:ascii="Arial" w:eastAsia="Calibri" w:hAnsi="Arial" w:cs="Arial"/>
          <w:szCs w:val="28"/>
        </w:rPr>
      </w:pPr>
    </w:p>
    <w:p w14:paraId="19DA977F" w14:textId="77777777" w:rsidR="00C10374" w:rsidRPr="00511005" w:rsidRDefault="00C10374"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 xml:space="preserve">Крамаренко Анна Віталіївна </w:t>
      </w:r>
    </w:p>
    <w:p w14:paraId="71F2AE5D" w14:textId="68490128" w:rsidR="00C10374" w:rsidRPr="00511005" w:rsidRDefault="00BE3972"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r w:rsidR="00C10374" w:rsidRPr="00511005">
        <w:rPr>
          <w:rFonts w:ascii="Arial" w:eastAsia="Calibri" w:hAnsi="Arial" w:cs="Arial"/>
          <w:szCs w:val="28"/>
          <w:lang w:val="uk-UA"/>
        </w:rPr>
        <w:t xml:space="preserve"> </w:t>
      </w:r>
    </w:p>
    <w:p w14:paraId="06180DB7" w14:textId="70AA2110" w:rsidR="00C10374"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63D2D68F" w14:textId="77777777" w:rsidR="00C10374" w:rsidRPr="00511005" w:rsidRDefault="00C10374" w:rsidP="003A292D">
      <w:pPr>
        <w:spacing w:line="264" w:lineRule="auto"/>
        <w:ind w:firstLine="0"/>
        <w:rPr>
          <w:rFonts w:ascii="Arial" w:eastAsia="Calibri" w:hAnsi="Arial" w:cs="Arial"/>
          <w:szCs w:val="28"/>
          <w:lang w:val="uk-UA"/>
        </w:rPr>
      </w:pPr>
    </w:p>
    <w:p w14:paraId="2A7E04D1" w14:textId="77777777" w:rsidR="00C10374" w:rsidRPr="00511005" w:rsidRDefault="00C10374"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ДО ПИТАННЯ ПРАВОВОГО СТАТУСУ ПРОКУРАТУРИ В УКРАЇНІ</w:t>
      </w:r>
    </w:p>
    <w:p w14:paraId="3F8B89BC" w14:textId="77777777" w:rsidR="00C10374" w:rsidRPr="00511005" w:rsidRDefault="00C10374" w:rsidP="003A292D">
      <w:pPr>
        <w:spacing w:line="264" w:lineRule="auto"/>
        <w:ind w:firstLine="0"/>
        <w:rPr>
          <w:rFonts w:ascii="Arial" w:eastAsia="Calibri" w:hAnsi="Arial" w:cs="Arial"/>
          <w:szCs w:val="28"/>
        </w:rPr>
      </w:pPr>
    </w:p>
    <w:p w14:paraId="672FD9E5"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Проблематика місця прокуратури серед інших органів та серед гілок державної влади завжди привертала увагу. У той саме час, прокуратура України не підпорядковується жодній з гілок влади. Вона не є складовою частиною ані законодавчої, ані виконавчої, ані судової гілок влади, хоча й підтримує тісну співпрацю з ними, перш за все – з судовими органами. Варто зазначити, що раніше правове становище прокуратури України було закріплене в Конституції України, в окремому розділі VII, що мав назву «Прокуратура» (</w:t>
      </w:r>
      <w:r w:rsidRPr="00511005">
        <w:rPr>
          <w:rFonts w:ascii="Arial" w:eastAsia="Calibri" w:hAnsi="Arial" w:cs="Arial"/>
          <w:szCs w:val="28"/>
        </w:rPr>
        <w:t>на разі</w:t>
      </w:r>
      <w:r w:rsidRPr="00511005">
        <w:rPr>
          <w:rFonts w:ascii="Arial" w:eastAsia="Calibri" w:hAnsi="Arial" w:cs="Arial"/>
          <w:szCs w:val="28"/>
          <w:lang w:val="uk-UA"/>
        </w:rPr>
        <w:t xml:space="preserve"> цей розділ виключено) [</w:t>
      </w:r>
      <w:r w:rsidRPr="00511005">
        <w:rPr>
          <w:rFonts w:ascii="Arial" w:eastAsia="Calibri" w:hAnsi="Arial" w:cs="Arial"/>
          <w:szCs w:val="28"/>
        </w:rPr>
        <w:t>1</w:t>
      </w:r>
      <w:r w:rsidRPr="00511005">
        <w:rPr>
          <w:rFonts w:ascii="Arial" w:eastAsia="Calibri" w:hAnsi="Arial" w:cs="Arial"/>
          <w:szCs w:val="28"/>
          <w:lang w:val="uk-UA"/>
        </w:rPr>
        <w:t>]. Цей розділ не був типовим для конституційних документів демократичних країн; у багатьох з них прокуратура лише коротко зазначається, а в деяких про неї взагалі нічого не сказано. Прокуратура України є єдиною системою, яка відповідно до Закону України «Про прокуратуру» виконує завдання, що визначені в Основному Законі України, з метою оборони прав та свобод громадян, а також для забезпечення спільних інтересів громади та країни [2].</w:t>
      </w:r>
    </w:p>
    <w:p w14:paraId="31C715E9" w14:textId="57102885"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На прокуратуру</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відповідно до ст. 131-1 Конституції України покладено такі завдання: підтримання публічного обвинувачення в суді; організація і процесуальне керівництво досудовим розслідуванням, вирішення відповідно до закону інших питань під час кримінального провадження, нагляд за негласними та іншими слідчими і розшуковими діями органів правопорядку; представництво інтересів держави в суді у виключних випадках і в порядку, що визначені законом [1]. Вона також здійснює нагляд за дотриманням законодавства під час виконання вироків у кримінальних справах та застосування інших примусових заходів, що обмежують свободу громадян, до набуття чинності закону про створення двоступеневої системи регулярних пенітенціарних інспекцій.</w:t>
      </w:r>
    </w:p>
    <w:p w14:paraId="3DA05ED1" w14:textId="77558402"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Доцільно в даному контексті зазначає К. Воронецька: «Прокуратура реалізовує покладені на неї функції, використовуючи компетенцію у визначених територіальних рамках. Вона зосереджує свою роботу на різних аспектах прокурорської практики, і характеризується багаторівневою структурою. Такий підхід сприяє злагодженій роботі прокуратури, допомагає розподіляти посадові обов’язки та відповідальність між різними підрозділами, а також координувати їхню діяльність на різних рівнях» [3, с. 178].</w:t>
      </w:r>
      <w:r w:rsidR="007B2628" w:rsidRPr="00511005">
        <w:rPr>
          <w:rFonts w:ascii="Arial" w:eastAsia="Calibri" w:hAnsi="Arial" w:cs="Arial"/>
          <w:szCs w:val="28"/>
          <w:lang w:val="uk-UA"/>
        </w:rPr>
        <w:t xml:space="preserve"> </w:t>
      </w:r>
    </w:p>
    <w:p w14:paraId="4C62433A" w14:textId="366D58A9"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Як і для будь-якого державного органу в Україні, структурування прокуратури та порядок її функціонування повинні відповідати загальним нормам, що закріплені в законодавстві. На наше переконання, принцип законності є найважливішим для роботи прокуратури. Він вимагає, щоб органи прокуратури ніколи не порушували Конституцію та закони України. Принцип самостійності та незалежності прокуратури передбачає, що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органи прокуратури, діючи незалежно від інших державних інституцій, органів місцевого самоврядування, та їх представників, реалізують свої повноваження, керуючись виключно Конституцією та законами України. У відповідності до принципу гласності, органи прокуратури забезпечують інформування державних органів та суспільства про стан законності та про вжиті заходи задля її зміцнення. При цьому, прокуратура України в рамках своєї діяльності суворо дотримується вимог законодавства щодо забезпечення конфіденційності особистої інформації та діяльності фізичних і юридичних осіб, а також охорони таємниць, що охороняються законом [3, с. 177].</w:t>
      </w:r>
    </w:p>
    <w:p w14:paraId="70B9F6F6"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Зокрема, О. Скибенко вказує: «Безумовно, прокурор, як і суддя, втілюючи в реальність базовий юридичний постулат - засаду справедливості, приймаючи процесуальні постанови та гарантуючи невідворотність кримінального покарання, зобов’язані виходити тільки з критеріїв справедливості та моралі. Їхні рішення повинні відповідати виключно методам, передбаченим як законодавством України, так і міжнародними стандартами. Прокурори мусять бути вільними від </w:t>
      </w:r>
      <w:r w:rsidRPr="00511005">
        <w:rPr>
          <w:rFonts w:ascii="Arial" w:eastAsia="Calibri" w:hAnsi="Arial" w:cs="Arial"/>
          <w:szCs w:val="28"/>
          <w:lang w:val="uk-UA"/>
        </w:rPr>
        <w:lastRenderedPageBreak/>
        <w:t xml:space="preserve">стороннього, незаконного впливу, тиску або втручання, що є надзвичайно важливою умовою високих демократичних стандартів діяльності прокуратури» [4, с. 83]. </w:t>
      </w:r>
    </w:p>
    <w:p w14:paraId="294434FA" w14:textId="3F51ED88"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Значуще місце у функціях прокуратури відведене представництву інтересів держави в суді, як того вимагає законодавство. Реалізуючи цю функцію, прокуратура України, відповідно до чинного законодавства та у встановлених процесуально-правових формах, стає представником держави в судових інстанціях у виключних випадках. Щодо випадків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представництва прокурором інтересів держави в суді, то воно відбувається тоді, коли існують встановлені факти порушень або потенційні загрози порушення економічних, політичних та інших загальнодержавних інтересів, які виникли через неправомірні дії або бездіяльність фізичних чи юридичних осіб. </w:t>
      </w:r>
    </w:p>
    <w:p w14:paraId="38B12D2B"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Отже, правовий статус прокуратури в Україні є юридичним режимом публічно-правового становища прокуратури. В подальшому, на нашу думку, правовий статус та функціонування системи прокуратури в Україні потребує перетворення шляхом утвердження засад незалежності, відповідності до закону, народовладдя, людяності, відкритості, неупередженості, політичної зваженості, фаховості та системного підходу. Будь-які зміни у системі державного управління, зокрема й втілення конституційної реформи, повинні враховувати вирішення питання про визначення статусу прокуратури в цій системі. Отже, реформа прокуратури України, щоб вона відповідала найкращим демократичним зразкам інших країн, вимагає розуміння особливостей нашої держави.</w:t>
      </w:r>
    </w:p>
    <w:p w14:paraId="001E9601" w14:textId="77777777" w:rsidR="00C10374" w:rsidRPr="00511005" w:rsidRDefault="00C10374" w:rsidP="003A292D">
      <w:pPr>
        <w:spacing w:line="264" w:lineRule="auto"/>
        <w:rPr>
          <w:rFonts w:ascii="Arial" w:eastAsia="Calibri" w:hAnsi="Arial" w:cs="Arial"/>
          <w:szCs w:val="28"/>
          <w:lang w:val="uk-UA"/>
        </w:rPr>
      </w:pPr>
    </w:p>
    <w:p w14:paraId="306D4D80" w14:textId="21F80369" w:rsidR="00C10374" w:rsidRPr="00511005" w:rsidRDefault="007B2628" w:rsidP="007B2628">
      <w:pPr>
        <w:spacing w:line="264" w:lineRule="auto"/>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6C42F6A0" w14:textId="77777777" w:rsidR="00C10374" w:rsidRPr="00511005" w:rsidRDefault="00C10374" w:rsidP="003F6A5D">
      <w:pPr>
        <w:numPr>
          <w:ilvl w:val="0"/>
          <w:numId w:val="300"/>
        </w:num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Конституція України: Закон України від 28.06.1996, № 254к/96-ВР. </w:t>
      </w:r>
      <w:r w:rsidRPr="00511005">
        <w:rPr>
          <w:rFonts w:ascii="Arial" w:eastAsia="Times New Roman" w:hAnsi="Arial" w:cs="Arial"/>
          <w:i/>
          <w:szCs w:val="28"/>
          <w:lang w:val="uk-UA" w:eastAsia="ru-RU"/>
        </w:rPr>
        <w:t>Відомості Верховної Ради України.</w:t>
      </w:r>
      <w:r w:rsidRPr="00511005">
        <w:rPr>
          <w:rFonts w:ascii="Arial" w:eastAsia="Times New Roman" w:hAnsi="Arial" w:cs="Arial"/>
          <w:szCs w:val="28"/>
          <w:lang w:val="uk-UA" w:eastAsia="ru-RU"/>
        </w:rPr>
        <w:t xml:space="preserve"> URL: </w:t>
      </w:r>
      <w:hyperlink r:id="rId1114" w:anchor="Text" w:history="1">
        <w:r w:rsidRPr="00511005">
          <w:rPr>
            <w:rFonts w:ascii="Arial" w:eastAsia="Times New Roman" w:hAnsi="Arial" w:cs="Arial"/>
            <w:szCs w:val="28"/>
            <w:lang w:val="uk-UA" w:eastAsia="ru-RU"/>
          </w:rPr>
          <w:t>https://zakon.rada.gov.ua/laws/show/254%D0%BA/96-%D0%B2%D1%80#Text</w:t>
        </w:r>
      </w:hyperlink>
      <w:r w:rsidRPr="00511005">
        <w:rPr>
          <w:rFonts w:ascii="Arial" w:eastAsia="Times New Roman" w:hAnsi="Arial" w:cs="Arial"/>
          <w:szCs w:val="28"/>
          <w:lang w:val="uk-UA" w:eastAsia="ru-RU"/>
        </w:rPr>
        <w:t xml:space="preserve"> (дата звернення: 09.04.2025).</w:t>
      </w:r>
    </w:p>
    <w:p w14:paraId="5FFC3928" w14:textId="77777777" w:rsidR="00C10374" w:rsidRPr="00511005" w:rsidRDefault="00C10374" w:rsidP="003F6A5D">
      <w:pPr>
        <w:numPr>
          <w:ilvl w:val="0"/>
          <w:numId w:val="300"/>
        </w:num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 прокуратуру: Закон України від 05.11.1991, № 1789-XII. </w:t>
      </w:r>
      <w:r w:rsidRPr="00511005">
        <w:rPr>
          <w:rFonts w:ascii="Arial" w:eastAsia="Times New Roman" w:hAnsi="Arial" w:cs="Arial"/>
          <w:i/>
          <w:szCs w:val="28"/>
          <w:lang w:val="uk-UA" w:eastAsia="ru-RU"/>
        </w:rPr>
        <w:t>Відомості Верховної Ради України.</w:t>
      </w:r>
      <w:r w:rsidRPr="00511005">
        <w:rPr>
          <w:rFonts w:ascii="Arial" w:eastAsia="Times New Roman" w:hAnsi="Arial" w:cs="Arial"/>
          <w:szCs w:val="28"/>
          <w:lang w:val="uk-UA" w:eastAsia="ru-RU"/>
        </w:rPr>
        <w:t xml:space="preserve"> URL: </w:t>
      </w:r>
      <w:hyperlink r:id="rId1115" w:anchor="Text" w:history="1">
        <w:r w:rsidRPr="00511005">
          <w:rPr>
            <w:rFonts w:ascii="Arial" w:eastAsia="Times New Roman" w:hAnsi="Arial" w:cs="Arial"/>
            <w:szCs w:val="28"/>
            <w:lang w:val="uk-UA" w:eastAsia="ru-RU"/>
          </w:rPr>
          <w:t>https://zakon.rada.gov.ua/laws/show/1789-12#Text</w:t>
        </w:r>
      </w:hyperlink>
      <w:r w:rsidRPr="00511005">
        <w:rPr>
          <w:rFonts w:ascii="Arial" w:eastAsia="Times New Roman" w:hAnsi="Arial" w:cs="Arial"/>
          <w:szCs w:val="28"/>
          <w:lang w:val="uk-UA" w:eastAsia="ru-RU"/>
        </w:rPr>
        <w:t xml:space="preserve"> (дата звернення: 09.04.2025).</w:t>
      </w:r>
    </w:p>
    <w:p w14:paraId="6A29960F" w14:textId="77777777" w:rsidR="00C10374" w:rsidRPr="00511005" w:rsidRDefault="00C10374" w:rsidP="003F6A5D">
      <w:pPr>
        <w:numPr>
          <w:ilvl w:val="0"/>
          <w:numId w:val="300"/>
        </w:num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Воронецька К. С. Правовий статус прокуратури. Збірник матеріалів ІІІ Міжнародної науково-практичної інтернет-конференції з нагоди відзначення Дня науки – 2023 в Україні «Актуальність та особливості наукових досліджень в умовах воєнного стану» (23 травня 2023 року). Київ: ДНДІ МВС України. 2023. С. 177-178.</w:t>
      </w:r>
    </w:p>
    <w:p w14:paraId="586EB82E" w14:textId="77777777" w:rsidR="00C10374" w:rsidRPr="00511005" w:rsidRDefault="00C10374" w:rsidP="003F6A5D">
      <w:pPr>
        <w:numPr>
          <w:ilvl w:val="0"/>
          <w:numId w:val="300"/>
        </w:num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Скибенко О. І. Конституційно-правовий статус прокуратури України в умовах реформування : </w:t>
      </w:r>
      <w:r w:rsidRPr="00511005">
        <w:rPr>
          <w:rFonts w:ascii="Arial" w:eastAsia="Times New Roman" w:hAnsi="Arial" w:cs="Arial"/>
          <w:i/>
          <w:szCs w:val="28"/>
          <w:lang w:val="uk-UA" w:eastAsia="ru-RU"/>
        </w:rPr>
        <w:t xml:space="preserve">дисертація на здобуття наук. ступ. ... </w:t>
      </w:r>
      <w:r w:rsidRPr="00511005">
        <w:rPr>
          <w:rFonts w:ascii="Arial" w:eastAsia="Times New Roman" w:hAnsi="Arial" w:cs="Arial"/>
          <w:i/>
          <w:szCs w:val="28"/>
          <w:lang w:val="uk-UA" w:eastAsia="ru-RU"/>
        </w:rPr>
        <w:lastRenderedPageBreak/>
        <w:t>за спец. 12.00.02</w:t>
      </w:r>
      <w:r w:rsidRPr="00511005">
        <w:rPr>
          <w:rFonts w:ascii="Arial" w:eastAsia="Times New Roman" w:hAnsi="Arial" w:cs="Arial"/>
          <w:szCs w:val="28"/>
          <w:lang w:val="uk-UA" w:eastAsia="ru-RU"/>
        </w:rPr>
        <w:t xml:space="preserve"> – конституційне право; муніципальне право. Нац. акад. внутр. справ. Київ, 2021. 237 с.</w:t>
      </w:r>
    </w:p>
    <w:p w14:paraId="2A9CAAC8" w14:textId="77777777" w:rsidR="00C10374" w:rsidRPr="00511005" w:rsidRDefault="00C10374" w:rsidP="003A292D">
      <w:pPr>
        <w:spacing w:line="264" w:lineRule="auto"/>
        <w:ind w:firstLine="0"/>
        <w:rPr>
          <w:rFonts w:ascii="Arial" w:eastAsia="Calibri" w:hAnsi="Arial" w:cs="Arial"/>
          <w:szCs w:val="28"/>
          <w:lang w:val="uk-UA"/>
        </w:rPr>
      </w:pPr>
    </w:p>
    <w:p w14:paraId="57508DFA" w14:textId="7C3F144D" w:rsidR="00C10374"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 xml:space="preserve">прокуратура, принципи діяльності, функції, прокурорський нагляд, представництво в суді. </w:t>
      </w:r>
    </w:p>
    <w:p w14:paraId="4863890F" w14:textId="3FD5B8C5" w:rsidR="00C10374"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C10374" w:rsidRPr="00511005">
        <w:rPr>
          <w:rFonts w:ascii="Arial" w:eastAsia="Calibri" w:hAnsi="Arial" w:cs="Arial"/>
          <w:szCs w:val="28"/>
          <w:lang w:val="en-US"/>
        </w:rPr>
        <w:t>prosecutor's office, principles of activity, functions, prosecutorial supervision, representation in court.</w:t>
      </w:r>
    </w:p>
    <w:p w14:paraId="2D8DEB1A" w14:textId="1998DF09" w:rsidR="00C10374"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C10374" w:rsidRPr="00511005">
        <w:rPr>
          <w:rFonts w:ascii="Arial" w:eastAsia="Calibri" w:hAnsi="Arial" w:cs="Arial"/>
          <w:i/>
          <w:iCs/>
          <w:szCs w:val="28"/>
          <w:lang w:val="uk-UA"/>
        </w:rPr>
        <w:t>к.ю.н., доцент Кравченко М.О.</w:t>
      </w:r>
    </w:p>
    <w:p w14:paraId="38811871" w14:textId="77777777" w:rsidR="00C10374" w:rsidRPr="00511005" w:rsidRDefault="00C10374" w:rsidP="003A292D">
      <w:pPr>
        <w:spacing w:line="264" w:lineRule="auto"/>
        <w:contextualSpacing/>
        <w:rPr>
          <w:rFonts w:ascii="Arial" w:eastAsia="Calibri" w:hAnsi="Arial" w:cs="Arial"/>
          <w:szCs w:val="28"/>
        </w:rPr>
      </w:pPr>
    </w:p>
    <w:p w14:paraId="06F4BB58" w14:textId="77777777" w:rsidR="00C10374" w:rsidRPr="00511005" w:rsidRDefault="00C10374" w:rsidP="003A292D">
      <w:pPr>
        <w:spacing w:line="264" w:lineRule="auto"/>
        <w:contextualSpacing/>
        <w:rPr>
          <w:rFonts w:ascii="Arial" w:eastAsia="Calibri" w:hAnsi="Arial" w:cs="Arial"/>
          <w:szCs w:val="28"/>
        </w:rPr>
      </w:pPr>
    </w:p>
    <w:p w14:paraId="75C3DE35" w14:textId="77777777" w:rsidR="00C10374" w:rsidRPr="00511005" w:rsidRDefault="00C10374"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Кринецький Валерій Вікторович</w:t>
      </w:r>
    </w:p>
    <w:p w14:paraId="76307CC7" w14:textId="648194B9" w:rsidR="00C10374" w:rsidRPr="00511005" w:rsidRDefault="00BE3972"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 1-го курсу </w:t>
      </w:r>
      <w:r w:rsidR="00536AAB" w:rsidRPr="00511005">
        <w:rPr>
          <w:rFonts w:ascii="Arial" w:eastAsia="Times New Roman" w:hAnsi="Arial" w:cs="Arial"/>
          <w:szCs w:val="28"/>
          <w:lang w:val="uk-UA"/>
        </w:rPr>
        <w:t>факультету адвокатури та антикорупційної діяльності</w:t>
      </w:r>
    </w:p>
    <w:p w14:paraId="3D2FE34B" w14:textId="63A41146" w:rsidR="00C10374"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712F779B" w14:textId="77777777" w:rsidR="00C10374" w:rsidRPr="00511005" w:rsidRDefault="00C10374" w:rsidP="003A292D">
      <w:pPr>
        <w:spacing w:line="264" w:lineRule="auto"/>
        <w:ind w:firstLine="0"/>
        <w:jc w:val="center"/>
        <w:rPr>
          <w:rFonts w:ascii="Arial" w:eastAsia="Times New Roman" w:hAnsi="Arial" w:cs="Arial"/>
          <w:szCs w:val="28"/>
          <w:lang w:val="uk-UA"/>
        </w:rPr>
      </w:pPr>
    </w:p>
    <w:p w14:paraId="450C5A76" w14:textId="77777777" w:rsidR="00C10374" w:rsidRPr="00511005" w:rsidRDefault="00C10374" w:rsidP="003A292D">
      <w:pPr>
        <w:spacing w:line="264" w:lineRule="auto"/>
        <w:ind w:firstLine="708"/>
        <w:jc w:val="center"/>
        <w:rPr>
          <w:rFonts w:ascii="Arial" w:eastAsia="Times New Roman" w:hAnsi="Arial" w:cs="Arial"/>
          <w:b/>
          <w:szCs w:val="28"/>
          <w:lang w:val="uk-UA"/>
        </w:rPr>
      </w:pPr>
      <w:r w:rsidRPr="00511005">
        <w:rPr>
          <w:rFonts w:ascii="Arial" w:eastAsia="Times New Roman" w:hAnsi="Arial" w:cs="Arial"/>
          <w:b/>
          <w:szCs w:val="28"/>
          <w:lang w:val="uk-UA"/>
        </w:rPr>
        <w:t>ЕТИЧНА ПОВЕДІНКА АДВОКАТА В ПУБЛІЧНОМУ ПРОСТОРІ ТА СОЦІАЛЬНИХ МЕРЕЖАХ</w:t>
      </w:r>
    </w:p>
    <w:p w14:paraId="05F7431A" w14:textId="77777777" w:rsidR="00C10374" w:rsidRPr="00511005" w:rsidRDefault="00C10374" w:rsidP="003A292D">
      <w:pPr>
        <w:spacing w:line="264" w:lineRule="auto"/>
        <w:ind w:firstLine="708"/>
        <w:rPr>
          <w:rFonts w:ascii="Arial" w:eastAsia="Times New Roman" w:hAnsi="Arial" w:cs="Arial"/>
          <w:bCs/>
          <w:szCs w:val="28"/>
          <w:lang w:val="uk-UA"/>
        </w:rPr>
      </w:pPr>
      <w:r w:rsidRPr="00511005">
        <w:rPr>
          <w:rFonts w:ascii="Arial" w:eastAsia="Times New Roman" w:hAnsi="Arial" w:cs="Arial"/>
          <w:bCs/>
          <w:szCs w:val="28"/>
          <w:lang w:val="uk-UA"/>
        </w:rPr>
        <w:t>У сучасному світі питання етичної поведінки адвоката набуває особливої актуальності. Адвокат не лише представляє інтереси клієнта в суді, але й є носієм високих моральних стандартів, дотримання яких є запорукою довіри суспільства до інституту адвокатури. Його поведінка в публічному просторі, зокрема в соціальних мережах, може мати значний вплив на репутацію як самого адвоката, так і його клієнтів, а також на авторитет адвокатської професії.</w:t>
      </w:r>
    </w:p>
    <w:p w14:paraId="79D5F4F0" w14:textId="6A48314A" w:rsidR="00C10374" w:rsidRPr="00511005" w:rsidRDefault="00C10374" w:rsidP="003A292D">
      <w:pPr>
        <w:spacing w:line="264" w:lineRule="auto"/>
        <w:ind w:firstLine="708"/>
        <w:rPr>
          <w:rFonts w:ascii="Arial" w:eastAsia="Times New Roman" w:hAnsi="Arial" w:cs="Arial"/>
          <w:bCs/>
          <w:szCs w:val="28"/>
          <w:lang w:val="uk-UA"/>
        </w:rPr>
      </w:pPr>
      <w:r w:rsidRPr="00511005">
        <w:rPr>
          <w:rFonts w:ascii="Arial" w:eastAsia="Times New Roman" w:hAnsi="Arial" w:cs="Arial"/>
          <w:bCs/>
          <w:szCs w:val="28"/>
          <w:lang w:val="uk-UA"/>
        </w:rPr>
        <w:t>Основоположні принципи адвокатської етики, такі як законність, незалежність, конфіденційність, компетентність, доброчесність та повага до професії, мають бути непорушними і в публічному просторі[1].</w:t>
      </w:r>
      <w:r w:rsidR="007B2628" w:rsidRPr="00511005">
        <w:rPr>
          <w:rFonts w:ascii="Arial" w:eastAsia="Times New Roman" w:hAnsi="Arial" w:cs="Arial"/>
          <w:bCs/>
          <w:szCs w:val="28"/>
          <w:lang w:val="uk-UA"/>
        </w:rPr>
        <w:t xml:space="preserve"> </w:t>
      </w:r>
      <w:r w:rsidRPr="00511005">
        <w:rPr>
          <w:rFonts w:ascii="Arial" w:eastAsia="Times New Roman" w:hAnsi="Arial" w:cs="Arial"/>
          <w:bCs/>
          <w:szCs w:val="28"/>
          <w:lang w:val="uk-UA"/>
        </w:rPr>
        <w:t>Адвокат у своїх публічних висловлюваннях повинен неухильно дотримуватися вимог чинного законодавства, уникати поширення неправдивої або викривленої інформації. Публічні виступи адвоката не повинні піддаватися впливу політичних сил, комерційних інтересів чи особистих симпатій, якщо це може зашкодити інтересам клієнта або об'єктивності його позиції. Адвокат зобов'язаний зберігати адвокатську таємницю навіть у своїх публічних коментарях. Розголошення інформації, що становить адвокатську таємницю, є неприпустимим. Публічні висловлювання адвоката з правових питань повинні бути професійними, обґрунтованими та відповідати рівню його кваліфікації. Недопустимим є введення в оману громадськості щодо власних знань та досвіду. Адвокат своєю публічною поведінкою повинен сприяти підвищенню престижу адвокатури, уникати дій та висловлювань, що можуть зашкодити репутації колег або професії в цілому. Це включає в себе коректність у спілкуванні, утримання від образливих висловлювань, критики колег у неприйнятній формі та поширення неперевіреної інформації про їхню діяльність.</w:t>
      </w:r>
    </w:p>
    <w:p w14:paraId="202299BE" w14:textId="77777777" w:rsidR="00C10374" w:rsidRPr="00511005" w:rsidRDefault="00C10374" w:rsidP="003A292D">
      <w:pPr>
        <w:spacing w:line="264" w:lineRule="auto"/>
        <w:ind w:firstLine="708"/>
        <w:rPr>
          <w:rFonts w:ascii="Arial" w:eastAsia="Times New Roman" w:hAnsi="Arial" w:cs="Arial"/>
          <w:bCs/>
          <w:szCs w:val="28"/>
          <w:lang w:val="uk-UA"/>
        </w:rPr>
      </w:pPr>
      <w:r w:rsidRPr="00511005">
        <w:rPr>
          <w:rFonts w:ascii="Arial" w:eastAsia="Times New Roman" w:hAnsi="Arial" w:cs="Arial"/>
          <w:bCs/>
          <w:szCs w:val="28"/>
          <w:lang w:val="uk-UA"/>
        </w:rPr>
        <w:lastRenderedPageBreak/>
        <w:t>Соціальні мережі відкривають нові можливості для комунікації, але водночас створюють специфічні етичні виклики для адвокатів. Розміщення будь-якої інформації, що стосується клієнтів або справ, без їхньої згоди є порушенням принципу конфіденційності. Навіть непрямі згадки або деталі, що можуть ідентифікувати клієнта чи справу, є неприпустимими. Адвокат повинен бути обережним у своїх публічних коментарях щодо поточних або завершених справ. Його особиста думка може бути сприйнята як позиція клієнта або вплинути на об'єктивність судового розгляду.</w:t>
      </w:r>
    </w:p>
    <w:p w14:paraId="6A70DFEB" w14:textId="77777777" w:rsidR="00C10374" w:rsidRPr="00511005" w:rsidRDefault="00C10374" w:rsidP="003A292D">
      <w:pPr>
        <w:spacing w:line="264" w:lineRule="auto"/>
        <w:ind w:firstLine="708"/>
        <w:rPr>
          <w:rFonts w:ascii="Arial" w:eastAsia="Times New Roman" w:hAnsi="Arial" w:cs="Arial"/>
          <w:bCs/>
          <w:szCs w:val="28"/>
          <w:lang w:val="uk-UA"/>
        </w:rPr>
      </w:pPr>
      <w:r w:rsidRPr="00511005">
        <w:rPr>
          <w:rFonts w:ascii="Arial" w:eastAsia="Times New Roman" w:hAnsi="Arial" w:cs="Arial"/>
          <w:bCs/>
          <w:szCs w:val="28"/>
          <w:lang w:val="uk-UA"/>
        </w:rPr>
        <w:t>Публічна критика судових рішень повинна бути обґрунтованою, коректною та спрямованою на вдосконалення правової системи, а не на особисте приниження суддів. Критика колег по професії в соціальних мережах може підірвати корпоративну солідарність та завдати шкоди репутації адвокатської спільноти. Адвокат повинен усвідомлювати, що його особиста сторінка в соціальних мережах також є частиною його публічного образу. Недоречна або компрометуюча інформація може негативно вплинути на його професійну репутацію та довіру клієнтів. Реклама адвокатських послуг у соціальних мережах повинна бути чесною, не вводити в оману, не містити гарантій успіху та відповідати вимогам законодавства про рекламу адвокатської діяльності та правилам адвокатської етики. Надання юридичних консультацій через соціальні мережі може бути ризикованим через обмеженість формату та відсутність можливості повної ідентифікації клієнта та збору необхідної інформації. Адвокат повинен бути обережним у своїх онлайн-консультаціях та уникати формування відносин "клієнт-адвокат" у неформальному онлайн-середовищі.</w:t>
      </w:r>
    </w:p>
    <w:p w14:paraId="074B28AB" w14:textId="77777777" w:rsidR="00C10374" w:rsidRPr="00511005" w:rsidRDefault="00C10374" w:rsidP="003A292D">
      <w:pPr>
        <w:spacing w:line="264" w:lineRule="auto"/>
        <w:ind w:firstLine="708"/>
        <w:rPr>
          <w:rFonts w:ascii="Arial" w:eastAsia="Calibri" w:hAnsi="Arial" w:cs="Arial"/>
          <w:bCs/>
          <w:szCs w:val="28"/>
          <w:lang w:val="uk-UA"/>
        </w:rPr>
      </w:pPr>
      <w:r w:rsidRPr="00511005">
        <w:rPr>
          <w:rFonts w:ascii="Arial" w:eastAsia="Times New Roman" w:hAnsi="Arial" w:cs="Arial"/>
          <w:bCs/>
          <w:szCs w:val="28"/>
          <w:lang w:val="uk-UA"/>
        </w:rPr>
        <w:t>Адвокат повинен завжди пам'ятати, що його висловлювання та дії в публічному просторі, включаючи соціальні мережі, можуть мати наслідки для його професійної репутації. Будь-яка інформація, що стосується клієнтів або справ, має бути захищена від публічного розголошення. Публічні коментарі з правових питань повинні бути компетентними, обґрунтованими та відповідати рівню кваліфікації адвоката. Уникати образливих висловлювань, критики колег у неприйнятній формі та поширення неперевіреної інформації. Усвідомлювати, що особиста сторінка в соціальних мережах також є частиною публічного образу адвоката. Бути обережним у наданні юридичних консультацій через соціальні мережі та уникати формування відносин "клієнт-адвокат" у неформальному онлайн-середовищі. Реклама адвокатських послуг у соціальних мережах повинна бути чесною, не вводити в оману та відповідати вимогам</w:t>
      </w:r>
      <w:r w:rsidRPr="00511005">
        <w:rPr>
          <w:rFonts w:ascii="Arial" w:eastAsia="Calibri" w:hAnsi="Arial" w:cs="Arial"/>
          <w:bCs/>
          <w:szCs w:val="28"/>
          <w:lang w:val="uk-UA"/>
        </w:rPr>
        <w:t xml:space="preserve"> законодавства та правилам адвокатської етики. Адвокати повинні бути обізнані з етичними стандартами поведінки в публічному просторі та соціальних мережах, а також слідкувати за оновленнями та роз'ясненнями з цих питань від органів адвокатського самоврядування.</w:t>
      </w:r>
    </w:p>
    <w:p w14:paraId="6963E9FB" w14:textId="77777777" w:rsidR="00C10374" w:rsidRPr="00511005" w:rsidRDefault="00C10374" w:rsidP="003A292D">
      <w:pPr>
        <w:spacing w:line="264" w:lineRule="auto"/>
        <w:ind w:firstLine="708"/>
        <w:rPr>
          <w:rFonts w:ascii="Arial" w:eastAsia="Calibri" w:hAnsi="Arial" w:cs="Arial"/>
          <w:bCs/>
          <w:szCs w:val="28"/>
          <w:lang w:val="uk-UA"/>
        </w:rPr>
      </w:pPr>
      <w:r w:rsidRPr="00511005">
        <w:rPr>
          <w:rFonts w:ascii="Arial" w:eastAsia="Calibri" w:hAnsi="Arial" w:cs="Arial"/>
          <w:bCs/>
          <w:szCs w:val="28"/>
          <w:lang w:val="uk-UA"/>
        </w:rPr>
        <w:lastRenderedPageBreak/>
        <w:t>Етична поведінка адвоката в публічному просторі та соціальних мережах є невід'ємною складовою його професійної діяльності. Дотримання високих етичних стандартів сприяє зміцненню довіри суспільства до адвокатури, забезпечує належне здійснення правосуддя та підтримує авторитет адвокатської професії. Адвокати повинні бути свідомими своєї відповідальності за власну поведінку в публічному просторі та використовувати можливості соціальних мереж з урахуванням етичних вимог та принципів адвокатської діяльності.</w:t>
      </w:r>
    </w:p>
    <w:p w14:paraId="3914356D" w14:textId="77777777" w:rsidR="00C10374" w:rsidRPr="00511005" w:rsidRDefault="00C10374" w:rsidP="003A292D">
      <w:pPr>
        <w:spacing w:line="264" w:lineRule="auto"/>
        <w:ind w:firstLine="708"/>
        <w:rPr>
          <w:rFonts w:ascii="Arial" w:eastAsia="Times New Roman" w:hAnsi="Arial" w:cs="Arial"/>
          <w:szCs w:val="28"/>
          <w:lang w:val="uk-UA"/>
        </w:rPr>
      </w:pPr>
    </w:p>
    <w:p w14:paraId="57525802" w14:textId="334B4C40" w:rsidR="00C10374" w:rsidRPr="00511005" w:rsidRDefault="007B2628" w:rsidP="007B2628">
      <w:pPr>
        <w:spacing w:line="264" w:lineRule="auto"/>
        <w:ind w:firstLine="708"/>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0D073486" w14:textId="77777777" w:rsidR="00C10374" w:rsidRPr="00511005" w:rsidRDefault="00C10374" w:rsidP="003F6A5D">
      <w:pPr>
        <w:numPr>
          <w:ilvl w:val="0"/>
          <w:numId w:val="301"/>
        </w:numPr>
        <w:pBdr>
          <w:top w:val="nil"/>
          <w:left w:val="nil"/>
          <w:bottom w:val="nil"/>
          <w:right w:val="nil"/>
          <w:between w:val="nil"/>
        </w:pBdr>
        <w:spacing w:line="264" w:lineRule="auto"/>
        <w:rPr>
          <w:rFonts w:ascii="Arial" w:eastAsia="Times New Roman" w:hAnsi="Arial" w:cs="Arial"/>
          <w:szCs w:val="28"/>
        </w:rPr>
      </w:pPr>
      <w:r w:rsidRPr="00511005">
        <w:rPr>
          <w:rFonts w:ascii="Arial" w:eastAsia="Calibri" w:hAnsi="Arial" w:cs="Arial"/>
          <w:szCs w:val="28"/>
        </w:rPr>
        <w:t xml:space="preserve">Правила адвокатської етики від 09.06.2017. URL: </w:t>
      </w:r>
      <w:hyperlink r:id="rId1116" w:anchor="Text" w:history="1">
        <w:r w:rsidRPr="00511005">
          <w:rPr>
            <w:rFonts w:ascii="Arial" w:eastAsia="Calibri" w:hAnsi="Arial" w:cs="Arial"/>
            <w:szCs w:val="28"/>
          </w:rPr>
          <w:t>https://zakon.rada.gov.ua/rada/show/n0001891-17#Text</w:t>
        </w:r>
      </w:hyperlink>
    </w:p>
    <w:p w14:paraId="6876AC74" w14:textId="77777777" w:rsidR="00C10374" w:rsidRPr="00511005" w:rsidRDefault="00C10374" w:rsidP="003A292D">
      <w:pPr>
        <w:pBdr>
          <w:top w:val="nil"/>
          <w:left w:val="nil"/>
          <w:bottom w:val="nil"/>
          <w:right w:val="nil"/>
          <w:between w:val="nil"/>
        </w:pBdr>
        <w:spacing w:line="264" w:lineRule="auto"/>
        <w:ind w:left="720" w:firstLine="0"/>
        <w:rPr>
          <w:rFonts w:ascii="Arial" w:eastAsia="Times New Roman" w:hAnsi="Arial" w:cs="Arial"/>
          <w:szCs w:val="28"/>
        </w:rPr>
      </w:pPr>
    </w:p>
    <w:p w14:paraId="2BC2CBB0" w14:textId="23627F0F" w:rsidR="00C10374" w:rsidRPr="00511005" w:rsidRDefault="007B2628" w:rsidP="003A292D">
      <w:pPr>
        <w:spacing w:line="264" w:lineRule="auto"/>
        <w:ind w:firstLine="708"/>
        <w:rPr>
          <w:rFonts w:ascii="Arial" w:eastAsia="Times New Roman" w:hAnsi="Arial" w:cs="Arial"/>
          <w:bCs/>
          <w:szCs w:val="28"/>
          <w:lang w:val="uk-UA"/>
        </w:rPr>
      </w:pPr>
      <w:r w:rsidRPr="00511005">
        <w:rPr>
          <w:rFonts w:ascii="Arial" w:eastAsia="Times New Roman" w:hAnsi="Arial" w:cs="Arial"/>
          <w:b/>
          <w:i/>
          <w:szCs w:val="28"/>
          <w:lang w:val="uk-UA"/>
        </w:rPr>
        <w:t xml:space="preserve">Ключові слова: </w:t>
      </w:r>
      <w:r w:rsidR="00C10374" w:rsidRPr="00511005">
        <w:rPr>
          <w:rFonts w:ascii="Arial" w:eastAsia="Times New Roman" w:hAnsi="Arial" w:cs="Arial"/>
          <w:bCs/>
          <w:szCs w:val="28"/>
          <w:lang w:val="uk-UA"/>
        </w:rPr>
        <w:t>етика адвоката, професійна етика, публічна поведінка адвоката, поведінка адвоката в соціальних мережах, репутація адвоката, конфіденційність, адвокатська таємниця , незалежність адвоката, чесність адвоката, гідність адвоката, повага до суду та інших учасників процесу, уникнення конфлікту інтересів, критика судової системи (етичні межі), реклама адвокатської діяльності (етичні аспекти), комунікація з клієнтами онлайн, захист персональних даних, відповідальність за публікації, професійні стандарти в онлайн-середовищі,етичні дилеми в соціальних мережах, дисциплінарна відповідальність адвоката</w:t>
      </w:r>
    </w:p>
    <w:p w14:paraId="6B0CE7D7" w14:textId="7329637C" w:rsidR="00C10374" w:rsidRPr="00511005" w:rsidRDefault="007B2628" w:rsidP="003A292D">
      <w:pPr>
        <w:tabs>
          <w:tab w:val="left" w:pos="2429"/>
        </w:tabs>
        <w:spacing w:line="264" w:lineRule="auto"/>
        <w:ind w:firstLine="708"/>
        <w:rPr>
          <w:rFonts w:ascii="Arial" w:eastAsia="Times New Roman" w:hAnsi="Arial" w:cs="Arial"/>
          <w:bCs/>
          <w:szCs w:val="28"/>
          <w:lang w:val="en-US"/>
        </w:rPr>
      </w:pPr>
      <w:r w:rsidRPr="00511005">
        <w:rPr>
          <w:rFonts w:ascii="Arial" w:eastAsia="Times New Roman" w:hAnsi="Arial" w:cs="Arial"/>
          <w:b/>
          <w:i/>
          <w:szCs w:val="28"/>
          <w:lang w:val="en-US"/>
        </w:rPr>
        <w:t xml:space="preserve">Key words: </w:t>
      </w:r>
      <w:r w:rsidR="00C10374" w:rsidRPr="00511005">
        <w:rPr>
          <w:rFonts w:ascii="Arial" w:eastAsia="Times New Roman" w:hAnsi="Arial" w:cs="Arial"/>
          <w:bCs/>
          <w:szCs w:val="28"/>
          <w:lang w:val="en-US"/>
        </w:rPr>
        <w:t>lawyer ethics, professional ethics, public behavior of a lawyer, behavior of a lawyer in social networks, reputation of a lawyer, confidentiality, lawyer-client privilege, independence of a lawyer, honesty of a lawyer, dignity of a lawyer, respect for the court and other participants in the process, avoidance of conflict of interest, criticism of the judicial system (ethical boundaries), advertising of legal activities (ethical aspects), communication with clients online, protection of personal data, responsibility for publications, professional standards in the online environment, ethical dilemmas in social networks, disciplinary liability of a lawyer</w:t>
      </w:r>
    </w:p>
    <w:p w14:paraId="69271931" w14:textId="77777777" w:rsidR="00C10374" w:rsidRPr="00511005" w:rsidRDefault="00C10374" w:rsidP="003A292D">
      <w:pPr>
        <w:tabs>
          <w:tab w:val="left" w:pos="2429"/>
        </w:tabs>
        <w:spacing w:line="264" w:lineRule="auto"/>
        <w:ind w:firstLine="708"/>
        <w:rPr>
          <w:rFonts w:ascii="Arial" w:eastAsia="Times New Roman" w:hAnsi="Arial" w:cs="Arial"/>
          <w:bCs/>
          <w:szCs w:val="28"/>
          <w:lang w:val="en-US"/>
        </w:rPr>
      </w:pPr>
    </w:p>
    <w:p w14:paraId="1BFE50D5" w14:textId="5CD836FF" w:rsidR="00C10374" w:rsidRPr="00511005" w:rsidRDefault="007B2628" w:rsidP="003A292D">
      <w:pPr>
        <w:widowControl w:val="0"/>
        <w:spacing w:line="264" w:lineRule="auto"/>
        <w:ind w:firstLine="0"/>
        <w:rPr>
          <w:rFonts w:ascii="Arial" w:hAnsi="Arial" w:cs="Arial"/>
          <w:i/>
          <w:iCs/>
          <w:kern w:val="2"/>
          <w:szCs w:val="28"/>
          <w:lang w:val="uk-UA" w:eastAsia="zh-CN"/>
        </w:rPr>
      </w:pPr>
      <w:r w:rsidRPr="00511005">
        <w:rPr>
          <w:rFonts w:ascii="Arial" w:hAnsi="Arial" w:cs="Arial"/>
          <w:b/>
          <w:bCs/>
          <w:i/>
          <w:iCs/>
          <w:kern w:val="2"/>
          <w:szCs w:val="28"/>
          <w:lang w:val="uk-UA" w:eastAsia="zh-CN"/>
        </w:rPr>
        <w:t xml:space="preserve">Науковий керівник: </w:t>
      </w:r>
      <w:r w:rsidR="00C10374" w:rsidRPr="00511005">
        <w:rPr>
          <w:rFonts w:ascii="Arial" w:hAnsi="Arial" w:cs="Arial"/>
          <w:i/>
          <w:iCs/>
          <w:kern w:val="2"/>
          <w:szCs w:val="28"/>
          <w:lang w:val="uk-UA" w:eastAsia="zh-CN"/>
        </w:rPr>
        <w:t>к.ю.н., доцент Храпенко О.О.</w:t>
      </w:r>
    </w:p>
    <w:p w14:paraId="066FC1AA" w14:textId="77777777" w:rsidR="00C10374" w:rsidRPr="00511005" w:rsidRDefault="00C10374" w:rsidP="003A292D">
      <w:pPr>
        <w:widowControl w:val="0"/>
        <w:spacing w:line="264" w:lineRule="auto"/>
        <w:ind w:firstLine="0"/>
        <w:rPr>
          <w:rFonts w:ascii="Arial" w:hAnsi="Arial" w:cs="Arial"/>
          <w:b/>
          <w:bCs/>
          <w:i/>
          <w:iCs/>
          <w:kern w:val="2"/>
          <w:szCs w:val="28"/>
          <w:lang w:val="uk-UA" w:eastAsia="zh-CN"/>
        </w:rPr>
      </w:pPr>
    </w:p>
    <w:p w14:paraId="00CFD369" w14:textId="77777777" w:rsidR="00C10374" w:rsidRPr="00511005" w:rsidRDefault="00C10374" w:rsidP="003A292D">
      <w:pPr>
        <w:spacing w:line="264" w:lineRule="auto"/>
        <w:contextualSpacing/>
        <w:rPr>
          <w:rFonts w:ascii="Arial" w:eastAsia="Calibri" w:hAnsi="Arial" w:cs="Arial"/>
          <w:szCs w:val="28"/>
        </w:rPr>
      </w:pPr>
    </w:p>
    <w:p w14:paraId="4DD1325A" w14:textId="77777777" w:rsidR="00875A11" w:rsidRDefault="00875A11">
      <w:pPr>
        <w:spacing w:after="200" w:line="276" w:lineRule="auto"/>
        <w:ind w:firstLine="0"/>
        <w:jc w:val="left"/>
        <w:rPr>
          <w:rFonts w:ascii="Arial" w:eastAsia="Times New Roman" w:hAnsi="Arial" w:cs="Arial"/>
          <w:b/>
          <w:i/>
          <w:szCs w:val="28"/>
        </w:rPr>
      </w:pPr>
      <w:r>
        <w:rPr>
          <w:rFonts w:ascii="Arial" w:eastAsia="Times New Roman" w:hAnsi="Arial" w:cs="Arial"/>
          <w:b/>
          <w:i/>
          <w:szCs w:val="28"/>
        </w:rPr>
        <w:br w:type="page"/>
      </w:r>
    </w:p>
    <w:p w14:paraId="3FEE1C9D" w14:textId="0E4024D2" w:rsidR="00C10374" w:rsidRPr="00511005" w:rsidRDefault="00C10374" w:rsidP="003A292D">
      <w:pPr>
        <w:spacing w:line="264" w:lineRule="auto"/>
        <w:ind w:firstLine="0"/>
        <w:jc w:val="center"/>
        <w:rPr>
          <w:rFonts w:ascii="Arial" w:eastAsia="Times New Roman" w:hAnsi="Arial" w:cs="Arial"/>
          <w:b/>
          <w:i/>
          <w:szCs w:val="28"/>
        </w:rPr>
      </w:pPr>
      <w:r w:rsidRPr="00511005">
        <w:rPr>
          <w:rFonts w:ascii="Arial" w:eastAsia="Times New Roman" w:hAnsi="Arial" w:cs="Arial"/>
          <w:b/>
          <w:i/>
          <w:szCs w:val="28"/>
        </w:rPr>
        <w:lastRenderedPageBreak/>
        <w:t>Кротова Емілія Олександрівна</w:t>
      </w:r>
    </w:p>
    <w:p w14:paraId="2CCC9917" w14:textId="4767DD43" w:rsidR="00C10374" w:rsidRPr="00511005" w:rsidRDefault="00BE3972" w:rsidP="003A292D">
      <w:pPr>
        <w:spacing w:line="264" w:lineRule="auto"/>
        <w:ind w:firstLine="0"/>
        <w:jc w:val="center"/>
        <w:rPr>
          <w:rFonts w:ascii="Arial" w:eastAsia="Times New Roman" w:hAnsi="Arial" w:cs="Arial"/>
          <w:iCs/>
          <w:szCs w:val="28"/>
        </w:rPr>
      </w:pPr>
      <w:r w:rsidRPr="00511005">
        <w:rPr>
          <w:rFonts w:ascii="Arial" w:eastAsia="Times New Roman" w:hAnsi="Arial" w:cs="Arial"/>
          <w:iCs/>
          <w:szCs w:val="28"/>
        </w:rPr>
        <w:t xml:space="preserve">студентка 1-го курсу </w:t>
      </w:r>
      <w:r w:rsidR="001B7B25" w:rsidRPr="00511005">
        <w:rPr>
          <w:rFonts w:ascii="Arial" w:eastAsia="Times New Roman" w:hAnsi="Arial" w:cs="Arial"/>
          <w:iCs/>
          <w:szCs w:val="28"/>
        </w:rPr>
        <w:t>факультету судового та міжнародного права</w:t>
      </w:r>
    </w:p>
    <w:p w14:paraId="4019D56E" w14:textId="7669AAC2" w:rsidR="00C10374" w:rsidRPr="00511005" w:rsidRDefault="007B2628" w:rsidP="003A292D">
      <w:pPr>
        <w:spacing w:line="264" w:lineRule="auto"/>
        <w:ind w:firstLine="0"/>
        <w:jc w:val="center"/>
        <w:rPr>
          <w:rFonts w:ascii="Arial" w:eastAsia="Times New Roman" w:hAnsi="Arial" w:cs="Arial"/>
          <w:b/>
          <w:iCs/>
          <w:szCs w:val="28"/>
        </w:rPr>
      </w:pPr>
      <w:r w:rsidRPr="00511005">
        <w:rPr>
          <w:rFonts w:ascii="Arial" w:eastAsia="Times New Roman" w:hAnsi="Arial" w:cs="Arial"/>
          <w:iCs/>
          <w:szCs w:val="28"/>
        </w:rPr>
        <w:t>Національного університету «Одеська юридична академія»</w:t>
      </w:r>
    </w:p>
    <w:p w14:paraId="3A1DC124" w14:textId="77777777" w:rsidR="00C10374" w:rsidRPr="00511005" w:rsidRDefault="00C10374" w:rsidP="003A292D">
      <w:pPr>
        <w:spacing w:line="264" w:lineRule="auto"/>
        <w:ind w:firstLine="0"/>
        <w:rPr>
          <w:rFonts w:ascii="Arial" w:eastAsia="Times New Roman" w:hAnsi="Arial" w:cs="Arial"/>
          <w:b/>
          <w:szCs w:val="28"/>
        </w:rPr>
      </w:pPr>
    </w:p>
    <w:p w14:paraId="2287564D" w14:textId="77777777" w:rsidR="00C10374" w:rsidRPr="00511005" w:rsidRDefault="00C10374" w:rsidP="003A292D">
      <w:pPr>
        <w:spacing w:line="264" w:lineRule="auto"/>
        <w:ind w:firstLine="0"/>
        <w:jc w:val="center"/>
        <w:rPr>
          <w:rFonts w:ascii="Arial" w:eastAsia="Times New Roman" w:hAnsi="Arial" w:cs="Arial"/>
          <w:b/>
          <w:szCs w:val="28"/>
        </w:rPr>
      </w:pPr>
      <w:r w:rsidRPr="00511005">
        <w:rPr>
          <w:rFonts w:ascii="Arial" w:eastAsia="Times New Roman" w:hAnsi="Arial" w:cs="Arial"/>
          <w:b/>
          <w:szCs w:val="28"/>
        </w:rPr>
        <w:t xml:space="preserve">ПРОБЛЕМИ ТА ПЕРСПЕКТИВИ РОЗВИТКУ </w:t>
      </w:r>
    </w:p>
    <w:p w14:paraId="3D0681BE" w14:textId="77777777" w:rsidR="00C10374" w:rsidRPr="00511005" w:rsidRDefault="00C10374" w:rsidP="003A292D">
      <w:pPr>
        <w:spacing w:line="264" w:lineRule="auto"/>
        <w:ind w:firstLine="0"/>
        <w:jc w:val="center"/>
        <w:rPr>
          <w:rFonts w:ascii="Arial" w:eastAsia="Times New Roman" w:hAnsi="Arial" w:cs="Arial"/>
          <w:b/>
          <w:szCs w:val="28"/>
        </w:rPr>
      </w:pPr>
      <w:r w:rsidRPr="00511005">
        <w:rPr>
          <w:rFonts w:ascii="Arial" w:eastAsia="Times New Roman" w:hAnsi="Arial" w:cs="Arial"/>
          <w:b/>
          <w:szCs w:val="28"/>
        </w:rPr>
        <w:t>АНТИКОРУПЦІЙНИХ ОРГАНІВ В УКРАЇНІ</w:t>
      </w:r>
    </w:p>
    <w:p w14:paraId="11F71FFC" w14:textId="53891800" w:rsidR="00C10374" w:rsidRPr="00511005" w:rsidRDefault="00C10374" w:rsidP="003A292D">
      <w:pPr>
        <w:spacing w:line="264" w:lineRule="auto"/>
        <w:rPr>
          <w:rFonts w:ascii="Arial" w:eastAsia="Times New Roman" w:hAnsi="Arial" w:cs="Arial"/>
          <w:szCs w:val="28"/>
        </w:rPr>
      </w:pPr>
      <w:r w:rsidRPr="00511005">
        <w:rPr>
          <w:rFonts w:ascii="Arial" w:eastAsia="Times New Roman" w:hAnsi="Arial" w:cs="Arial"/>
          <w:szCs w:val="28"/>
        </w:rPr>
        <w:t>Активізація антикорупційної діяльності нашої держави є критично важливим для подальшого майбутнього нашої країни. Вказана проблема набуває надзвичайної актуальності особливо в умовах воєнного стану та необхідності відбудови держави. Корупція негативно впливає на всі сфери суспільного життя, зокрема, економіку, судову систему, державне управління,</w:t>
      </w:r>
      <w:r w:rsidR="007B2628" w:rsidRPr="00511005">
        <w:rPr>
          <w:rFonts w:ascii="Arial" w:eastAsia="Times New Roman" w:hAnsi="Arial" w:cs="Arial"/>
          <w:szCs w:val="28"/>
        </w:rPr>
        <w:t xml:space="preserve"> </w:t>
      </w:r>
      <w:r w:rsidRPr="00511005">
        <w:rPr>
          <w:rFonts w:ascii="Arial" w:eastAsia="Times New Roman" w:hAnsi="Arial" w:cs="Arial"/>
          <w:szCs w:val="28"/>
        </w:rPr>
        <w:t>міжнародні відносини тощо. Упродовж останніх років в Україні здійснено низку важливих кроків у сфері протидії корупцією, зокрема створено спеціалізовані органи, такі як Національне антикорупційне бюро України (надалі – НАБУ) та Спеціалізована антикорупційна прокуратура (надалі – САП). Ці інституції відіграють ключову роль у виявленні та розслідуванні корупційних злочинів, демонструючи вищу ефективність порівняно з традиційними правоохоронними структурами. Проте, попри ці позитивні зрушення, проблема корупції залишається одним із головних викликів для держави. Недостатня швидкість реалізації антикорупційних реформ, складнощі у впровадженні законодавчих ініціатив і брак політичної волі уповільнюють процес змін. Усе це негативно позначається на темпах економічного розвитку країни, знижує рівень довіри громадян до державних інституцій і створює додаткові ризики для інвестиційного клімату [1, с. 179</w:t>
      </w:r>
      <w:proofErr w:type="gramStart"/>
      <w:r w:rsidRPr="00511005">
        <w:rPr>
          <w:rFonts w:ascii="Arial" w:eastAsia="Times New Roman" w:hAnsi="Arial" w:cs="Arial"/>
          <w:szCs w:val="28"/>
        </w:rPr>
        <w:t>] .</w:t>
      </w:r>
      <w:proofErr w:type="gramEnd"/>
    </w:p>
    <w:p w14:paraId="5092CDE1" w14:textId="77777777" w:rsidR="00C10374" w:rsidRPr="00511005" w:rsidRDefault="00C10374" w:rsidP="003A292D">
      <w:pPr>
        <w:spacing w:line="264" w:lineRule="auto"/>
        <w:rPr>
          <w:rFonts w:ascii="Arial" w:eastAsia="Times New Roman" w:hAnsi="Arial" w:cs="Arial"/>
          <w:szCs w:val="28"/>
        </w:rPr>
      </w:pPr>
      <w:r w:rsidRPr="00511005">
        <w:rPr>
          <w:rFonts w:ascii="Arial" w:eastAsia="Times New Roman" w:hAnsi="Arial" w:cs="Arial"/>
          <w:szCs w:val="28"/>
        </w:rPr>
        <w:t xml:space="preserve">Одним із найбільш значущих викликів у сфері антикорупційної політики залишається недостатня результативність її реалізації на практиці. Попри ухвалення Антикорупційної стратегії на 2021–2025 роки, її впровадження стикається з численними перешкодами, серед яких можна виділити політичний спротив, відсутність належної координації між державними інституціями та обмеженість ресурсів. Окрім того, високий рівень корупції в поєднанні з недовірою до судової системи продовжує гальмувати економічний розвиток та ускладнює залучення іноземних інвестицій [2]. </w:t>
      </w:r>
    </w:p>
    <w:p w14:paraId="2AF10795" w14:textId="77777777" w:rsidR="00C10374" w:rsidRPr="00511005" w:rsidRDefault="00C10374" w:rsidP="003A292D">
      <w:pPr>
        <w:spacing w:line="264" w:lineRule="auto"/>
        <w:rPr>
          <w:rFonts w:ascii="Arial" w:eastAsia="Times New Roman" w:hAnsi="Arial" w:cs="Arial"/>
          <w:szCs w:val="28"/>
        </w:rPr>
      </w:pPr>
      <w:r w:rsidRPr="00511005">
        <w:rPr>
          <w:rFonts w:ascii="Arial" w:eastAsia="Times New Roman" w:hAnsi="Arial" w:cs="Arial"/>
          <w:szCs w:val="28"/>
        </w:rPr>
        <w:t xml:space="preserve">Досягнення цілісності антикорупційної системи можливе через системний підхід. Розглянемо деякі заходи у цьому напрямку </w:t>
      </w:r>
    </w:p>
    <w:p w14:paraId="7BBCA69B" w14:textId="77777777" w:rsidR="00C10374" w:rsidRPr="00511005" w:rsidRDefault="00C10374" w:rsidP="003A292D">
      <w:pPr>
        <w:spacing w:line="264" w:lineRule="auto"/>
        <w:rPr>
          <w:rFonts w:ascii="Arial" w:eastAsia="Times New Roman" w:hAnsi="Arial" w:cs="Arial"/>
          <w:szCs w:val="28"/>
        </w:rPr>
      </w:pPr>
      <w:r w:rsidRPr="00511005">
        <w:rPr>
          <w:rFonts w:ascii="Arial" w:eastAsia="Times New Roman" w:hAnsi="Arial" w:cs="Arial"/>
          <w:szCs w:val="28"/>
        </w:rPr>
        <w:t xml:space="preserve">1. Аналіз рівня корупції, її чинників та ризиків. Ефективна стратегія має враховувати політичні, соціально-економічні умови, рівень правової свідомості та роботу правоохоронних органів. Аналіз здійснюють економісти, кримінологи, представники НАБУ, САП, Вищого антикорупційного суду та фінансові експерти. Його результати потребують відкритого суспільного обговорення для підвищення довіри. </w:t>
      </w:r>
    </w:p>
    <w:p w14:paraId="0F509374" w14:textId="0DDF65F8" w:rsidR="00C10374" w:rsidRPr="00511005" w:rsidRDefault="00C10374" w:rsidP="003A292D">
      <w:pPr>
        <w:spacing w:line="264" w:lineRule="auto"/>
        <w:rPr>
          <w:rFonts w:ascii="Arial" w:eastAsia="Times New Roman" w:hAnsi="Arial" w:cs="Arial"/>
          <w:szCs w:val="28"/>
        </w:rPr>
      </w:pPr>
      <w:r w:rsidRPr="00511005">
        <w:rPr>
          <w:rFonts w:ascii="Arial" w:eastAsia="Times New Roman" w:hAnsi="Arial" w:cs="Arial"/>
          <w:szCs w:val="28"/>
        </w:rPr>
        <w:t>2.</w:t>
      </w:r>
      <w:r w:rsidR="007B2628" w:rsidRPr="00511005">
        <w:rPr>
          <w:rFonts w:ascii="Arial" w:eastAsia="Times New Roman" w:hAnsi="Arial" w:cs="Arial"/>
          <w:szCs w:val="28"/>
        </w:rPr>
        <w:t xml:space="preserve"> </w:t>
      </w:r>
      <w:r w:rsidRPr="00511005">
        <w:rPr>
          <w:rFonts w:ascii="Arial" w:eastAsia="Times New Roman" w:hAnsi="Arial" w:cs="Arial"/>
          <w:szCs w:val="28"/>
        </w:rPr>
        <w:t xml:space="preserve">Розробка узгоджених державних і регіональних програм боротьби з корупцією, що формують єдиний механізм протидії. </w:t>
      </w:r>
    </w:p>
    <w:p w14:paraId="21358875" w14:textId="77777777" w:rsidR="00C10374" w:rsidRPr="00511005" w:rsidRDefault="00C10374" w:rsidP="003A292D">
      <w:pPr>
        <w:spacing w:line="264" w:lineRule="auto"/>
        <w:rPr>
          <w:rFonts w:ascii="Arial" w:eastAsia="Times New Roman" w:hAnsi="Arial" w:cs="Arial"/>
          <w:szCs w:val="28"/>
        </w:rPr>
      </w:pPr>
      <w:r w:rsidRPr="00511005">
        <w:rPr>
          <w:rFonts w:ascii="Arial" w:eastAsia="Times New Roman" w:hAnsi="Arial" w:cs="Arial"/>
          <w:szCs w:val="28"/>
        </w:rPr>
        <w:lastRenderedPageBreak/>
        <w:t xml:space="preserve">3. Уніфікація застосування міжнародних антикорупційних стандартів для уникнення колізій у законодавстві та нестабільності правозастосування. Важливо створити спільні методичні рекомендації для підвищення ефективності їх реалізації. </w:t>
      </w:r>
    </w:p>
    <w:p w14:paraId="1DC0B6A4" w14:textId="1027C72A" w:rsidR="00C10374" w:rsidRPr="00511005" w:rsidRDefault="00C10374" w:rsidP="003A292D">
      <w:pPr>
        <w:spacing w:line="264" w:lineRule="auto"/>
        <w:rPr>
          <w:rFonts w:ascii="Arial" w:eastAsia="Times New Roman" w:hAnsi="Arial" w:cs="Arial"/>
          <w:szCs w:val="28"/>
        </w:rPr>
      </w:pPr>
      <w:bookmarkStart w:id="150" w:name="_heading=h.337w5q9m40oe" w:colFirst="0" w:colLast="0"/>
      <w:bookmarkEnd w:id="150"/>
      <w:r w:rsidRPr="00511005">
        <w:rPr>
          <w:rFonts w:ascii="Arial" w:eastAsia="Times New Roman" w:hAnsi="Arial" w:cs="Arial"/>
          <w:szCs w:val="28"/>
        </w:rPr>
        <w:t xml:space="preserve">4. </w:t>
      </w:r>
      <w:r w:rsidRPr="00511005">
        <w:rPr>
          <w:rFonts w:ascii="Arial" w:eastAsia="Times New Roman" w:hAnsi="Arial" w:cs="Arial"/>
          <w:szCs w:val="28"/>
        </w:rPr>
        <w:tab/>
        <w:t xml:space="preserve"> Урахування історичних, правових та ментальних особливостей держави. Ефективна антикорупційна політика має зважати не лише на правові й організаційні аспекти, а й на соціально-психологічні чинники – ставлення суспільства до корупції, систему цінностей, особистісні характеристики корупціонерів. Це сприятиме не лише ефективним механізмам боротьби, а й формуванню культури доброчесності</w:t>
      </w:r>
      <w:r w:rsidR="007B2628" w:rsidRPr="00511005">
        <w:rPr>
          <w:rFonts w:ascii="Arial" w:eastAsia="Times New Roman" w:hAnsi="Arial" w:cs="Arial"/>
          <w:szCs w:val="28"/>
        </w:rPr>
        <w:t xml:space="preserve"> </w:t>
      </w:r>
      <w:r w:rsidRPr="00511005">
        <w:rPr>
          <w:rFonts w:ascii="Arial" w:eastAsia="Times New Roman" w:hAnsi="Arial" w:cs="Arial"/>
          <w:szCs w:val="28"/>
        </w:rPr>
        <w:t>[3, с. 69–70].</w:t>
      </w:r>
    </w:p>
    <w:p w14:paraId="052B65A8" w14:textId="77777777" w:rsidR="00C10374" w:rsidRPr="00511005" w:rsidRDefault="00C10374" w:rsidP="003A292D">
      <w:pPr>
        <w:spacing w:line="264" w:lineRule="auto"/>
        <w:rPr>
          <w:rFonts w:ascii="Arial" w:eastAsia="Times New Roman" w:hAnsi="Arial" w:cs="Arial"/>
          <w:szCs w:val="28"/>
        </w:rPr>
      </w:pPr>
      <w:r w:rsidRPr="00511005">
        <w:rPr>
          <w:rFonts w:ascii="Arial" w:eastAsia="Times New Roman" w:hAnsi="Arial" w:cs="Arial"/>
          <w:szCs w:val="28"/>
        </w:rPr>
        <w:t>Для підвищення ефективності системи антикорупційних органів в Україні необхідно зосередитися на кількох ключових напрямах. Насамперед слід забезпечити незалежність і спроможність антикорупційних органів, зокрема НАБУ та САП, для ефективного виконання їхніх функцій. Крім того, варто вдосконалювати законодавчу базу та механізми її реалізації, що дозволить мінімізувати можливості для корупційних дій. Потребує також підвищення рівня прозорості та підзвітності державних інституцій сприятиме зміцненню довіри громадян і міжнародної спільноти до антикорупційних зусиль України [4, с. 75].</w:t>
      </w:r>
    </w:p>
    <w:p w14:paraId="6CE79AB9" w14:textId="77777777" w:rsidR="00C10374" w:rsidRPr="00511005" w:rsidRDefault="00C10374" w:rsidP="003A292D">
      <w:pPr>
        <w:spacing w:line="264" w:lineRule="auto"/>
        <w:rPr>
          <w:rFonts w:ascii="Arial" w:eastAsia="Times New Roman" w:hAnsi="Arial" w:cs="Arial"/>
          <w:szCs w:val="28"/>
        </w:rPr>
      </w:pPr>
      <w:r w:rsidRPr="00511005">
        <w:rPr>
          <w:rFonts w:ascii="Arial" w:eastAsia="Times New Roman" w:hAnsi="Arial" w:cs="Arial"/>
          <w:szCs w:val="28"/>
        </w:rPr>
        <w:t>Отже, ефективна антикорупційна політика є важливою передумовою стабільного розвитку України, особливо в умовах війни та післявоєнного відновлення. Незважаючи на впровадження низки реформ, корупція залишається серйозною загрозою, що підриває економічний потенціал країни, довіру до державних інституцій і міжнародну співпрацю. Для досягнення значних зрушень необхідно забезпечити незалежність антикорупційних органів, удосконалити законодавчі механізми, підвищити рівень прозорості державного управління та формувати культуру доброчесності в суспільстві. Комплексний підхід до боротьби з корупцією сприятиме політичній стабільності, економічному зростанню та інтеграції України до європейського правового простору.</w:t>
      </w:r>
    </w:p>
    <w:p w14:paraId="0C2789FF" w14:textId="77777777" w:rsidR="00C10374" w:rsidRPr="00511005" w:rsidRDefault="00C10374" w:rsidP="003A292D">
      <w:pPr>
        <w:spacing w:line="264" w:lineRule="auto"/>
        <w:rPr>
          <w:rFonts w:ascii="Arial" w:eastAsia="Times New Roman" w:hAnsi="Arial" w:cs="Arial"/>
          <w:szCs w:val="28"/>
        </w:rPr>
      </w:pPr>
    </w:p>
    <w:p w14:paraId="63E5A692" w14:textId="54FF0225" w:rsidR="00C10374" w:rsidRPr="00511005" w:rsidRDefault="007B2628" w:rsidP="007B2628">
      <w:pPr>
        <w:keepNext/>
        <w:widowControl w:val="0"/>
        <w:snapToGrid w:val="0"/>
        <w:spacing w:line="264" w:lineRule="auto"/>
        <w:ind w:firstLine="0"/>
        <w:jc w:val="center"/>
        <w:rPr>
          <w:rFonts w:ascii="Arial" w:eastAsia="Calibri" w:hAnsi="Arial" w:cs="Arial"/>
          <w:b/>
          <w:iCs/>
          <w:szCs w:val="28"/>
        </w:rPr>
      </w:pPr>
      <w:r w:rsidRPr="00511005">
        <w:rPr>
          <w:rFonts w:ascii="Arial" w:eastAsia="Calibri" w:hAnsi="Arial" w:cs="Arial"/>
          <w:b/>
          <w:iCs/>
          <w:szCs w:val="28"/>
          <w:lang w:val="uk-UA"/>
        </w:rPr>
        <w:t>Список використаних джерел</w:t>
      </w:r>
    </w:p>
    <w:p w14:paraId="7C340BF2" w14:textId="77777777" w:rsidR="00C10374" w:rsidRPr="00511005" w:rsidRDefault="00C10374" w:rsidP="003F6A5D">
      <w:pPr>
        <w:numPr>
          <w:ilvl w:val="0"/>
          <w:numId w:val="302"/>
        </w:numPr>
        <w:pBdr>
          <w:top w:val="nil"/>
          <w:left w:val="nil"/>
          <w:bottom w:val="nil"/>
          <w:right w:val="nil"/>
          <w:between w:val="nil"/>
        </w:pBdr>
        <w:spacing w:line="264" w:lineRule="auto"/>
        <w:ind w:left="0" w:firstLine="357"/>
        <w:rPr>
          <w:rFonts w:ascii="Arial" w:eastAsia="Times New Roman" w:hAnsi="Arial" w:cs="Arial"/>
          <w:szCs w:val="28"/>
        </w:rPr>
      </w:pPr>
      <w:r w:rsidRPr="00511005">
        <w:rPr>
          <w:rFonts w:ascii="Arial" w:eastAsia="Times New Roman" w:hAnsi="Arial" w:cs="Arial"/>
          <w:szCs w:val="28"/>
        </w:rPr>
        <w:t>Гречко О. Проблеми формування та розвитку системи суб’єктів протидії корупції в Україні. </w:t>
      </w:r>
      <w:r w:rsidRPr="00511005">
        <w:rPr>
          <w:rFonts w:ascii="Arial" w:eastAsia="Times New Roman" w:hAnsi="Arial" w:cs="Arial"/>
          <w:i/>
          <w:szCs w:val="28"/>
        </w:rPr>
        <w:t>Вісник Кримінологічної асоціації України</w:t>
      </w:r>
      <w:r w:rsidRPr="00511005">
        <w:rPr>
          <w:rFonts w:ascii="Arial" w:eastAsia="Times New Roman" w:hAnsi="Arial" w:cs="Arial"/>
          <w:szCs w:val="28"/>
        </w:rPr>
        <w:t>, </w:t>
      </w:r>
      <w:r w:rsidRPr="00511005">
        <w:rPr>
          <w:rFonts w:ascii="Arial" w:eastAsia="Times New Roman" w:hAnsi="Arial" w:cs="Arial"/>
          <w:i/>
          <w:szCs w:val="28"/>
        </w:rPr>
        <w:t>30</w:t>
      </w:r>
      <w:r w:rsidRPr="00511005">
        <w:rPr>
          <w:rFonts w:ascii="Arial" w:eastAsia="Times New Roman" w:hAnsi="Arial" w:cs="Arial"/>
          <w:szCs w:val="28"/>
        </w:rPr>
        <w:t xml:space="preserve">(3), 2023. с. 177–185. URL: </w:t>
      </w:r>
      <w:hyperlink r:id="rId1117">
        <w:r w:rsidRPr="00511005">
          <w:rPr>
            <w:rFonts w:ascii="Arial" w:eastAsia="Times New Roman" w:hAnsi="Arial" w:cs="Arial"/>
            <w:szCs w:val="28"/>
          </w:rPr>
          <w:t>https://doi.org/10.32631/vca.2023.3.14</w:t>
        </w:r>
      </w:hyperlink>
    </w:p>
    <w:p w14:paraId="73BB4C1B" w14:textId="77777777" w:rsidR="00C10374" w:rsidRPr="00511005" w:rsidRDefault="00C10374" w:rsidP="003F6A5D">
      <w:pPr>
        <w:numPr>
          <w:ilvl w:val="0"/>
          <w:numId w:val="302"/>
        </w:numPr>
        <w:pBdr>
          <w:top w:val="nil"/>
          <w:left w:val="nil"/>
          <w:bottom w:val="nil"/>
          <w:right w:val="nil"/>
          <w:between w:val="nil"/>
        </w:pBdr>
        <w:spacing w:line="264" w:lineRule="auto"/>
        <w:ind w:left="0" w:firstLine="357"/>
        <w:rPr>
          <w:rFonts w:ascii="Arial" w:eastAsia="Calibri" w:hAnsi="Arial" w:cs="Arial"/>
          <w:szCs w:val="28"/>
          <w:lang w:val="pl-PL"/>
        </w:rPr>
      </w:pPr>
      <w:r w:rsidRPr="00511005">
        <w:rPr>
          <w:rFonts w:ascii="Arial" w:eastAsia="Times New Roman" w:hAnsi="Arial" w:cs="Arial"/>
          <w:szCs w:val="28"/>
        </w:rPr>
        <w:t xml:space="preserve">Антикорупційна стратегія на 2021–2025 </w:t>
      </w:r>
      <w:proofErr w:type="gramStart"/>
      <w:r w:rsidRPr="00511005">
        <w:rPr>
          <w:rFonts w:ascii="Arial" w:eastAsia="Times New Roman" w:hAnsi="Arial" w:cs="Arial"/>
          <w:szCs w:val="28"/>
        </w:rPr>
        <w:t>роки .</w:t>
      </w:r>
      <w:proofErr w:type="gramEnd"/>
      <w:r w:rsidRPr="00511005">
        <w:rPr>
          <w:rFonts w:ascii="Arial" w:eastAsia="Times New Roman" w:hAnsi="Arial" w:cs="Arial"/>
          <w:szCs w:val="28"/>
        </w:rPr>
        <w:t xml:space="preserve"> Національне агентство з питань запобігання корупції. </w:t>
      </w:r>
      <w:r w:rsidRPr="00511005">
        <w:rPr>
          <w:rFonts w:ascii="Arial" w:eastAsia="Times New Roman" w:hAnsi="Arial" w:cs="Arial"/>
          <w:szCs w:val="28"/>
          <w:lang w:val="pl-PL"/>
        </w:rPr>
        <w:t xml:space="preserve">2021. 55 </w:t>
      </w:r>
      <w:r w:rsidRPr="00511005">
        <w:rPr>
          <w:rFonts w:ascii="Arial" w:eastAsia="Times New Roman" w:hAnsi="Arial" w:cs="Arial"/>
          <w:szCs w:val="28"/>
        </w:rPr>
        <w:t>с</w:t>
      </w:r>
      <w:r w:rsidRPr="00511005">
        <w:rPr>
          <w:rFonts w:ascii="Arial" w:eastAsia="Times New Roman" w:hAnsi="Arial" w:cs="Arial"/>
          <w:szCs w:val="28"/>
          <w:lang w:val="pl-PL"/>
        </w:rPr>
        <w:t xml:space="preserve">. URL: </w:t>
      </w:r>
      <w:hyperlink r:id="rId1118">
        <w:r w:rsidRPr="00511005">
          <w:rPr>
            <w:rFonts w:ascii="Arial" w:eastAsia="Times New Roman" w:hAnsi="Arial" w:cs="Arial"/>
            <w:szCs w:val="28"/>
            <w:lang w:val="pl-PL"/>
          </w:rPr>
          <w:t>https://nazk.gov.ua/wp-content/uploads/2022/08/Antykoruptsijna-strategiya-na-2021-2025-rr.pdf</w:t>
        </w:r>
      </w:hyperlink>
    </w:p>
    <w:p w14:paraId="73639820" w14:textId="77777777" w:rsidR="00C10374" w:rsidRPr="00511005" w:rsidRDefault="00C10374" w:rsidP="003F6A5D">
      <w:pPr>
        <w:numPr>
          <w:ilvl w:val="0"/>
          <w:numId w:val="302"/>
        </w:numPr>
        <w:spacing w:line="264" w:lineRule="auto"/>
        <w:ind w:left="0" w:firstLine="357"/>
        <w:rPr>
          <w:rFonts w:ascii="Arial" w:eastAsia="Times New Roman" w:hAnsi="Arial" w:cs="Arial"/>
          <w:szCs w:val="28"/>
        </w:rPr>
      </w:pPr>
      <w:r w:rsidRPr="00511005">
        <w:rPr>
          <w:rFonts w:ascii="Arial" w:eastAsia="Times New Roman" w:hAnsi="Arial" w:cs="Arial"/>
          <w:szCs w:val="28"/>
        </w:rPr>
        <w:t xml:space="preserve">Калугіна І. О. Проблеми та перспективи вдосконалення антикорупційної політики у контексті сучасних викликів. </w:t>
      </w:r>
      <w:r w:rsidRPr="00511005">
        <w:rPr>
          <w:rFonts w:ascii="Arial" w:eastAsia="Times New Roman" w:hAnsi="Arial" w:cs="Arial"/>
          <w:i/>
          <w:szCs w:val="28"/>
        </w:rPr>
        <w:t>Наукові заходи Юридичного факультету Західноукраїнського національного університету.</w:t>
      </w:r>
      <w:r w:rsidRPr="00511005">
        <w:rPr>
          <w:rFonts w:ascii="Arial" w:eastAsia="Times New Roman" w:hAnsi="Arial" w:cs="Arial"/>
          <w:szCs w:val="28"/>
        </w:rPr>
        <w:t xml:space="preserve"> 2023. №4. С. 68-70.</w:t>
      </w:r>
    </w:p>
    <w:p w14:paraId="4ECFE841" w14:textId="77777777" w:rsidR="00C10374" w:rsidRPr="00511005" w:rsidRDefault="00C10374" w:rsidP="003F6A5D">
      <w:pPr>
        <w:numPr>
          <w:ilvl w:val="0"/>
          <w:numId w:val="302"/>
        </w:numPr>
        <w:spacing w:line="264" w:lineRule="auto"/>
        <w:ind w:left="0" w:firstLine="357"/>
        <w:rPr>
          <w:rFonts w:ascii="Arial" w:eastAsia="Times New Roman" w:hAnsi="Arial" w:cs="Arial"/>
          <w:szCs w:val="28"/>
        </w:rPr>
      </w:pPr>
      <w:r w:rsidRPr="00511005">
        <w:rPr>
          <w:rFonts w:ascii="Arial" w:eastAsia="Times New Roman" w:hAnsi="Arial" w:cs="Arial"/>
          <w:szCs w:val="28"/>
        </w:rPr>
        <w:lastRenderedPageBreak/>
        <w:t xml:space="preserve">Калугіна І.О. Проблеми вдосконалення антикорупційної правової політики в Україні у контексті сучасних викликів. </w:t>
      </w:r>
      <w:r w:rsidRPr="00511005">
        <w:rPr>
          <w:rFonts w:ascii="Arial" w:eastAsia="Times New Roman" w:hAnsi="Arial" w:cs="Arial"/>
          <w:i/>
          <w:szCs w:val="28"/>
        </w:rPr>
        <w:t>Науковий вісник Ужгородського національного університету</w:t>
      </w:r>
      <w:r w:rsidRPr="00511005">
        <w:rPr>
          <w:rFonts w:ascii="Arial" w:eastAsia="Times New Roman" w:hAnsi="Arial" w:cs="Arial"/>
          <w:szCs w:val="28"/>
        </w:rPr>
        <w:t>. 2024. Вип. 85. с. 71–75.</w:t>
      </w:r>
    </w:p>
    <w:p w14:paraId="190DDD5B" w14:textId="6B2F7969" w:rsidR="00C10374" w:rsidRPr="00511005" w:rsidRDefault="00C10374" w:rsidP="003A292D">
      <w:pPr>
        <w:spacing w:line="264" w:lineRule="auto"/>
        <w:ind w:left="-142"/>
        <w:rPr>
          <w:rFonts w:ascii="Arial" w:eastAsia="Times New Roman" w:hAnsi="Arial" w:cs="Arial"/>
          <w:szCs w:val="28"/>
        </w:rPr>
      </w:pPr>
      <w:r w:rsidRPr="00511005">
        <w:rPr>
          <w:rFonts w:ascii="Arial" w:eastAsia="Times New Roman" w:hAnsi="Arial" w:cs="Arial"/>
          <w:szCs w:val="28"/>
        </w:rPr>
        <w:br/>
      </w:r>
      <w:r w:rsidRPr="00511005">
        <w:rPr>
          <w:rFonts w:ascii="Arial" w:eastAsia="Times New Roman" w:hAnsi="Arial" w:cs="Arial"/>
          <w:b/>
          <w:bCs/>
          <w:szCs w:val="28"/>
        </w:rPr>
        <w:tab/>
      </w:r>
      <w:r w:rsidRPr="00511005">
        <w:rPr>
          <w:rFonts w:ascii="Arial" w:eastAsia="Times New Roman" w:hAnsi="Arial" w:cs="Arial"/>
          <w:b/>
          <w:bCs/>
          <w:szCs w:val="28"/>
        </w:rPr>
        <w:tab/>
      </w:r>
      <w:r w:rsidR="007B2628" w:rsidRPr="00511005">
        <w:rPr>
          <w:rFonts w:ascii="Arial" w:eastAsia="Times New Roman" w:hAnsi="Arial" w:cs="Arial"/>
          <w:b/>
          <w:bCs/>
          <w:i/>
          <w:szCs w:val="28"/>
        </w:rPr>
        <w:t xml:space="preserve">Ключові слова: </w:t>
      </w:r>
      <w:r w:rsidRPr="00511005">
        <w:rPr>
          <w:rFonts w:ascii="Arial" w:eastAsia="Times New Roman" w:hAnsi="Arial" w:cs="Arial"/>
          <w:szCs w:val="28"/>
        </w:rPr>
        <w:t xml:space="preserve">корупція, антикорупційні органи, Національне антикорупційне бюро України, Спеціалізована антикорупційна прокуратура, Вищий антикорупційний суд. </w:t>
      </w:r>
    </w:p>
    <w:p w14:paraId="43F1BA6F" w14:textId="7B630F15" w:rsidR="00C10374" w:rsidRPr="00511005" w:rsidRDefault="007B2628" w:rsidP="003A292D">
      <w:pPr>
        <w:spacing w:line="264" w:lineRule="auto"/>
        <w:ind w:left="-142"/>
        <w:rPr>
          <w:rFonts w:ascii="Arial" w:eastAsia="Times New Roman" w:hAnsi="Arial" w:cs="Arial"/>
          <w:szCs w:val="28"/>
          <w:lang w:val="en-US"/>
        </w:rPr>
      </w:pPr>
      <w:r w:rsidRPr="00511005">
        <w:rPr>
          <w:rFonts w:ascii="Arial" w:eastAsia="Times New Roman" w:hAnsi="Arial" w:cs="Arial"/>
          <w:b/>
          <w:bCs/>
          <w:i/>
          <w:szCs w:val="28"/>
          <w:lang w:val="en-US"/>
        </w:rPr>
        <w:t xml:space="preserve">Key words: </w:t>
      </w:r>
      <w:r w:rsidR="00C10374" w:rsidRPr="00511005">
        <w:rPr>
          <w:rFonts w:ascii="Arial" w:eastAsia="Times New Roman" w:hAnsi="Arial" w:cs="Arial"/>
          <w:szCs w:val="28"/>
          <w:lang w:val="en-US"/>
        </w:rPr>
        <w:t xml:space="preserve">corruption, anti-corruption bodies, National Anti-Corruption Bureau of Ukraine, Specialized Anti-Corruption Prosecutor's Office, Higer Anti-Corruption Court. </w:t>
      </w:r>
    </w:p>
    <w:p w14:paraId="2B8A0E04" w14:textId="77777777" w:rsidR="00C10374" w:rsidRPr="00511005" w:rsidRDefault="00C10374" w:rsidP="003A292D">
      <w:pPr>
        <w:spacing w:line="264" w:lineRule="auto"/>
        <w:ind w:left="-142"/>
        <w:rPr>
          <w:rFonts w:ascii="Arial" w:eastAsia="Times New Roman" w:hAnsi="Arial" w:cs="Arial"/>
          <w:szCs w:val="28"/>
          <w:lang w:val="en-US"/>
        </w:rPr>
      </w:pPr>
    </w:p>
    <w:p w14:paraId="6A487330" w14:textId="617866CF" w:rsidR="00C10374" w:rsidRPr="00511005" w:rsidRDefault="007B2628" w:rsidP="003A292D">
      <w:pPr>
        <w:spacing w:line="264" w:lineRule="auto"/>
        <w:ind w:firstLine="0"/>
        <w:rPr>
          <w:rFonts w:ascii="Arial" w:eastAsia="Times New Roman" w:hAnsi="Arial" w:cs="Arial"/>
          <w:szCs w:val="28"/>
        </w:rPr>
      </w:pPr>
      <w:bookmarkStart w:id="151" w:name="_heading=h.deeiivbel0go" w:colFirst="0" w:colLast="0"/>
      <w:bookmarkEnd w:id="151"/>
      <w:r w:rsidRPr="00511005">
        <w:rPr>
          <w:rFonts w:ascii="Arial" w:eastAsia="Times New Roman" w:hAnsi="Arial" w:cs="Arial"/>
          <w:b/>
          <w:i/>
          <w:szCs w:val="28"/>
        </w:rPr>
        <w:t xml:space="preserve">Науковий керівник: </w:t>
      </w:r>
      <w:r w:rsidR="00C10374" w:rsidRPr="00511005">
        <w:rPr>
          <w:rFonts w:ascii="Arial" w:eastAsia="Times New Roman" w:hAnsi="Arial" w:cs="Arial"/>
          <w:i/>
          <w:szCs w:val="28"/>
        </w:rPr>
        <w:t>к.ю.н., доцент</w:t>
      </w:r>
      <w:r w:rsidRPr="00511005">
        <w:rPr>
          <w:rFonts w:ascii="Arial" w:eastAsia="Times New Roman" w:hAnsi="Arial" w:cs="Arial"/>
          <w:i/>
          <w:szCs w:val="28"/>
        </w:rPr>
        <w:t xml:space="preserve"> </w:t>
      </w:r>
      <w:r w:rsidR="00C10374" w:rsidRPr="00511005">
        <w:rPr>
          <w:rFonts w:ascii="Arial" w:eastAsia="Times New Roman" w:hAnsi="Arial" w:cs="Arial"/>
          <w:i/>
          <w:szCs w:val="28"/>
        </w:rPr>
        <w:t>Кравченко М.О.</w:t>
      </w:r>
    </w:p>
    <w:p w14:paraId="7877DA11" w14:textId="77777777" w:rsidR="00C10374" w:rsidRPr="00511005" w:rsidRDefault="00C10374" w:rsidP="003A292D">
      <w:pPr>
        <w:spacing w:line="264" w:lineRule="auto"/>
        <w:contextualSpacing/>
        <w:rPr>
          <w:rFonts w:ascii="Arial" w:eastAsia="Calibri" w:hAnsi="Arial" w:cs="Arial"/>
          <w:szCs w:val="28"/>
        </w:rPr>
      </w:pPr>
    </w:p>
    <w:p w14:paraId="28F5B204" w14:textId="77777777" w:rsidR="00C10374" w:rsidRPr="00511005" w:rsidRDefault="00C10374" w:rsidP="003A292D">
      <w:pPr>
        <w:spacing w:line="264" w:lineRule="auto"/>
        <w:contextualSpacing/>
        <w:rPr>
          <w:rFonts w:ascii="Arial" w:eastAsia="Calibri" w:hAnsi="Arial" w:cs="Arial"/>
          <w:szCs w:val="28"/>
        </w:rPr>
      </w:pPr>
    </w:p>
    <w:p w14:paraId="7583BCAA" w14:textId="7BDFC833" w:rsidR="00C10374" w:rsidRPr="00511005" w:rsidRDefault="00C10374" w:rsidP="003A292D">
      <w:pPr>
        <w:snapToGrid w:val="0"/>
        <w:spacing w:line="264" w:lineRule="auto"/>
        <w:ind w:firstLine="0"/>
        <w:jc w:val="center"/>
        <w:rPr>
          <w:rFonts w:ascii="Arial" w:eastAsia="Calibri" w:hAnsi="Arial" w:cs="Arial"/>
          <w:b/>
          <w:i/>
          <w:szCs w:val="28"/>
        </w:rPr>
      </w:pPr>
      <w:r w:rsidRPr="00511005">
        <w:rPr>
          <w:rFonts w:ascii="Arial" w:eastAsia="Calibri" w:hAnsi="Arial" w:cs="Arial"/>
          <w:b/>
          <w:i/>
          <w:szCs w:val="28"/>
        </w:rPr>
        <w:t>Кукуруза</w:t>
      </w:r>
      <w:r w:rsidR="007B2628" w:rsidRPr="00511005">
        <w:rPr>
          <w:rFonts w:ascii="Arial" w:eastAsia="Calibri" w:hAnsi="Arial" w:cs="Arial"/>
          <w:b/>
          <w:i/>
          <w:szCs w:val="28"/>
        </w:rPr>
        <w:t xml:space="preserve"> </w:t>
      </w:r>
      <w:r w:rsidRPr="00511005">
        <w:rPr>
          <w:rFonts w:ascii="Arial" w:eastAsia="Calibri" w:hAnsi="Arial" w:cs="Arial"/>
          <w:b/>
          <w:i/>
          <w:szCs w:val="28"/>
        </w:rPr>
        <w:t>Анастасія</w:t>
      </w:r>
      <w:r w:rsidR="007B2628" w:rsidRPr="00511005">
        <w:rPr>
          <w:rFonts w:ascii="Arial" w:eastAsia="Calibri" w:hAnsi="Arial" w:cs="Arial"/>
          <w:b/>
          <w:i/>
          <w:szCs w:val="28"/>
        </w:rPr>
        <w:t xml:space="preserve"> </w:t>
      </w:r>
      <w:r w:rsidRPr="00511005">
        <w:rPr>
          <w:rFonts w:ascii="Arial" w:eastAsia="Calibri" w:hAnsi="Arial" w:cs="Arial"/>
          <w:b/>
          <w:i/>
          <w:szCs w:val="28"/>
        </w:rPr>
        <w:t>Вікторівна</w:t>
      </w:r>
    </w:p>
    <w:p w14:paraId="59E9B746" w14:textId="7CF46CB8" w:rsidR="00C10374" w:rsidRPr="00511005" w:rsidRDefault="00BE3972" w:rsidP="003A292D">
      <w:pPr>
        <w:snapToGrid w:val="0"/>
        <w:spacing w:line="264" w:lineRule="auto"/>
        <w:ind w:firstLine="0"/>
        <w:jc w:val="center"/>
        <w:rPr>
          <w:rFonts w:ascii="Arial" w:eastAsia="Calibri" w:hAnsi="Arial" w:cs="Arial"/>
          <w:bCs/>
          <w:szCs w:val="28"/>
        </w:rPr>
      </w:pPr>
      <w:r w:rsidRPr="00511005">
        <w:rPr>
          <w:rFonts w:ascii="Arial" w:eastAsia="Calibri" w:hAnsi="Arial" w:cs="Arial"/>
          <w:bCs/>
          <w:szCs w:val="28"/>
        </w:rPr>
        <w:t xml:space="preserve">студентка 1-го курсу </w:t>
      </w:r>
      <w:r w:rsidR="001B7B25" w:rsidRPr="00511005">
        <w:rPr>
          <w:rFonts w:ascii="Arial" w:eastAsia="Calibri" w:hAnsi="Arial" w:cs="Arial"/>
          <w:bCs/>
          <w:szCs w:val="28"/>
        </w:rPr>
        <w:t>факультету судового та міжнародного права</w:t>
      </w:r>
      <w:r w:rsidR="00C10374" w:rsidRPr="00511005">
        <w:rPr>
          <w:rFonts w:ascii="Arial" w:eastAsia="Calibri" w:hAnsi="Arial" w:cs="Arial"/>
          <w:bCs/>
          <w:szCs w:val="28"/>
        </w:rPr>
        <w:br/>
      </w:r>
      <w:r w:rsidR="007B2628" w:rsidRPr="00511005">
        <w:rPr>
          <w:rFonts w:ascii="Arial" w:eastAsia="Calibri" w:hAnsi="Arial" w:cs="Arial"/>
          <w:bCs/>
          <w:szCs w:val="28"/>
        </w:rPr>
        <w:t>Національного університету «Одеська юридична академія»</w:t>
      </w:r>
    </w:p>
    <w:p w14:paraId="7628D975" w14:textId="77777777" w:rsidR="00C10374" w:rsidRPr="00511005" w:rsidRDefault="00C10374" w:rsidP="003A292D">
      <w:pPr>
        <w:snapToGrid w:val="0"/>
        <w:spacing w:line="264" w:lineRule="auto"/>
        <w:ind w:firstLine="0"/>
        <w:jc w:val="center"/>
        <w:rPr>
          <w:rFonts w:ascii="Arial" w:eastAsia="Calibri" w:hAnsi="Arial" w:cs="Arial"/>
          <w:bCs/>
          <w:szCs w:val="28"/>
        </w:rPr>
      </w:pPr>
    </w:p>
    <w:p w14:paraId="182B6653" w14:textId="77777777" w:rsidR="00C10374" w:rsidRPr="00511005" w:rsidRDefault="00C10374" w:rsidP="003A292D">
      <w:pPr>
        <w:snapToGrid w:val="0"/>
        <w:spacing w:line="264" w:lineRule="auto"/>
        <w:ind w:firstLine="0"/>
        <w:jc w:val="center"/>
        <w:rPr>
          <w:rFonts w:ascii="Arial" w:eastAsia="Calibri" w:hAnsi="Arial" w:cs="Arial"/>
          <w:b/>
          <w:szCs w:val="28"/>
        </w:rPr>
      </w:pPr>
      <w:r w:rsidRPr="00511005">
        <w:rPr>
          <w:rFonts w:ascii="Arial" w:eastAsia="Calibri" w:hAnsi="Arial" w:cs="Arial"/>
          <w:b/>
          <w:szCs w:val="28"/>
        </w:rPr>
        <w:t>РОЛЬ ВЕРХОВНОГО СУДУ В ПРАВОВІЙ СИСТЕМІ УКРАЇНИ</w:t>
      </w:r>
    </w:p>
    <w:p w14:paraId="54014BB4" w14:textId="3031D827" w:rsidR="00C10374" w:rsidRPr="00511005" w:rsidRDefault="00C10374" w:rsidP="003A292D">
      <w:pPr>
        <w:shd w:val="clear" w:color="auto" w:fill="FFFFFF"/>
        <w:snapToGrid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умовах правових реформ в Україні, спрямованих на вдосконалення судової системи, роль Верховного Суду набуває особливої актуальності. Відповідно до ч.</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3 ст. 125 Конституції України, Верховний Суд є найвищою судовою інстанцією в системі судоустрою країни [1].</w:t>
      </w:r>
      <w:r w:rsidRPr="00511005">
        <w:rPr>
          <w:rFonts w:ascii="Arial" w:eastAsia="Times New Roman" w:hAnsi="Arial" w:cs="Arial"/>
          <w:szCs w:val="28"/>
          <w:lang w:eastAsia="uk-UA"/>
        </w:rPr>
        <w:t xml:space="preserve"> </w:t>
      </w:r>
      <w:r w:rsidRPr="00511005">
        <w:rPr>
          <w:rFonts w:ascii="Arial" w:eastAsia="Times New Roman" w:hAnsi="Arial" w:cs="Arial"/>
          <w:szCs w:val="28"/>
          <w:lang w:val="uk-UA" w:eastAsia="uk-UA"/>
        </w:rPr>
        <w:t>Цей суд, переважно, виконує функцію касаційн</w:t>
      </w:r>
      <w:r w:rsidRPr="00511005">
        <w:rPr>
          <w:rFonts w:ascii="Arial" w:eastAsia="Times New Roman" w:hAnsi="Arial" w:cs="Arial"/>
          <w:szCs w:val="28"/>
          <w:lang w:eastAsia="uk-UA"/>
        </w:rPr>
        <w:t>о</w:t>
      </w:r>
      <w:r w:rsidRPr="00511005">
        <w:rPr>
          <w:rFonts w:ascii="Arial" w:eastAsia="Times New Roman" w:hAnsi="Arial" w:cs="Arial"/>
          <w:szCs w:val="28"/>
          <w:lang w:val="uk-UA" w:eastAsia="uk-UA"/>
        </w:rPr>
        <w:t xml:space="preserve">го перегляду справи, що дає змогу усунути правові суперечності та забезпечити однакове застосування норм права. Повний перелік його повноважень міститься у ст. 36 Закону України «Про судоустрій і статус суддів», проте, на нашу думку, вкрай позитивним є наявність у нього можливості «звертатится до Конституційного Суду України щодо конституційності законів, інших правових актів, а також щодо офіційного тлумачення Конституції України» та «надавати висновок про наявність чи відсутність у діяннях, у яких звинувачується Президент України, ознак державної зради або іншого злочину» [2]. </w:t>
      </w:r>
    </w:p>
    <w:p w14:paraId="50C21227" w14:textId="77777777" w:rsidR="00C10374" w:rsidRPr="00511005" w:rsidRDefault="00C10374" w:rsidP="003A292D">
      <w:pPr>
        <w:shd w:val="clear" w:color="auto" w:fill="FFFFFF"/>
        <w:snapToGrid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Зауважимо, що Верховний Суд відіграє значну роль у правовій системі України, забезпечуючи єдність та сталість судової практики. У науковому середовищі переважає думка, що судова практика Верховного Суду віді</w:t>
      </w:r>
      <w:r w:rsidRPr="00511005">
        <w:rPr>
          <w:rFonts w:ascii="Arial" w:eastAsia="Times New Roman" w:hAnsi="Arial" w:cs="Arial"/>
          <w:szCs w:val="28"/>
          <w:lang w:eastAsia="uk-UA"/>
        </w:rPr>
        <w:t xml:space="preserve">грає вагому </w:t>
      </w:r>
      <w:r w:rsidRPr="00511005">
        <w:rPr>
          <w:rFonts w:ascii="Arial" w:eastAsia="Times New Roman" w:hAnsi="Arial" w:cs="Arial"/>
          <w:szCs w:val="28"/>
          <w:lang w:val="uk-UA" w:eastAsia="uk-UA"/>
        </w:rPr>
        <w:t xml:space="preserve">роль у процесі застосування правових норм, оскільки сприяє усуненню правової невизначеності. Водночас, як зазначає Н. Шишка, порівняно з правовими нормами, її значення у правозастосуванні є важливим, але вторинним [3, с. 152]. Звернемо увагу, що його правові висновки мають обов'язковий характер для судів нижчих інстанцій при розгляді аналогічних справ, що сприяє передбачуваності та послідовності судових рішень, що вкрай необхідно в умовах динамічного розвитку </w:t>
      </w:r>
      <w:r w:rsidRPr="00511005">
        <w:rPr>
          <w:rFonts w:ascii="Arial" w:eastAsia="Times New Roman" w:hAnsi="Arial" w:cs="Arial"/>
          <w:szCs w:val="28"/>
          <w:lang w:val="uk-UA" w:eastAsia="uk-UA"/>
        </w:rPr>
        <w:lastRenderedPageBreak/>
        <w:t>законодавства та необхідності його однакового застосування. Узагальнення та систематизація судової практики дозволяють зменшити кількість розбіжностей у рішеннях судів, що своєю чергою підвищує довіру громадян до судової влади [4, с. 35].</w:t>
      </w:r>
    </w:p>
    <w:p w14:paraId="403F533C" w14:textId="77777777" w:rsidR="00C10374" w:rsidRPr="00511005" w:rsidRDefault="00C10374" w:rsidP="003A292D">
      <w:pPr>
        <w:shd w:val="clear" w:color="auto" w:fill="FFFFFF"/>
        <w:snapToGrid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Верховний Суд також формує правові позиції, які можуть мати квазірегуляторний характер. Хоча його основною функцією є забезпечення єдності та сталості судової практики, правові висновки Суду можуть впливати на правозастосування та розвиток законодавства, заповнюючи прогалини та уточнюючи зміст правових норм. «Правові висновки Верховного Суду мають характер квазіпрецедентів», – про це зазначає М. Шумило. На його думку, саме таке термінологічне визначення є найбільш обґрунтованим, оскільки називати практику Верховного Суду прецедентами в класичному розумінні цього терміна в англосаксонській правовій системі було б некоректно. Аналізуючи правову природу квазіпрецедентів, можна дійти висновку, що вони здатні формувати своєрідне квазіправове регулювання. Водночас, якщо судові прецеденти можуть безпосередньо створювати правове регулювання, то квазіпрецеденти, використовуючи розширене тлумачення правових норм, надають їм додаткового регуляторного змісту [5].</w:t>
      </w:r>
    </w:p>
    <w:p w14:paraId="5869024E" w14:textId="7FC7E3F6" w:rsidR="00C10374" w:rsidRPr="00511005" w:rsidRDefault="00C10374" w:rsidP="003A292D">
      <w:pPr>
        <w:shd w:val="clear" w:color="auto" w:fill="FFFFFF"/>
        <w:snapToGrid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Як зазначають В. </w:t>
      </w:r>
      <w:r w:rsidRPr="00511005">
        <w:rPr>
          <w:rFonts w:ascii="Arial" w:eastAsia="Times New Roman" w:hAnsi="Arial" w:cs="Arial"/>
          <w:szCs w:val="28"/>
          <w:shd w:val="clear" w:color="auto" w:fill="FFFFFF"/>
          <w:lang w:val="uk-UA" w:eastAsia="uk-UA"/>
        </w:rPr>
        <w:t>Скоморовського та Є. Лантуха,</w:t>
      </w:r>
      <w:r w:rsidR="007B2628" w:rsidRPr="00511005">
        <w:rPr>
          <w:rFonts w:ascii="Arial" w:eastAsia="Times New Roman" w:hAnsi="Arial" w:cs="Arial"/>
          <w:szCs w:val="28"/>
          <w:shd w:val="clear" w:color="auto" w:fill="FFFFFF"/>
          <w:lang w:val="uk-UA" w:eastAsia="uk-UA"/>
        </w:rPr>
        <w:t xml:space="preserve"> </w:t>
      </w:r>
      <w:r w:rsidRPr="00511005">
        <w:rPr>
          <w:rFonts w:ascii="Arial" w:eastAsia="Times New Roman" w:hAnsi="Arial" w:cs="Arial"/>
          <w:szCs w:val="28"/>
          <w:lang w:val="uk-UA" w:eastAsia="uk-UA"/>
        </w:rPr>
        <w:t xml:space="preserve">роль цієї судової інстанції в сучасному правозастосуванні України потребує переосмислення. На </w:t>
      </w:r>
      <w:r w:rsidRPr="00511005">
        <w:rPr>
          <w:rFonts w:ascii="Arial" w:eastAsia="Times New Roman" w:hAnsi="Arial" w:cs="Arial"/>
          <w:szCs w:val="28"/>
          <w:lang w:eastAsia="uk-UA"/>
        </w:rPr>
        <w:t xml:space="preserve">їхню </w:t>
      </w:r>
      <w:r w:rsidRPr="00511005">
        <w:rPr>
          <w:rFonts w:ascii="Arial" w:eastAsia="Times New Roman" w:hAnsi="Arial" w:cs="Arial"/>
          <w:szCs w:val="28"/>
          <w:lang w:val="uk-UA" w:eastAsia="uk-UA"/>
        </w:rPr>
        <w:t>думку, викладене підтверджує позицію, що Верховний Суд формує висновки щодо застосування норм права, які можна розглядати як «вітчизняну форму судового прецеденту». Вони є обов’язковими для застосування як судами нижчих інстанцій, так і органами державної влади відповідно до чинного законодавства, що є характерною ознакою «джерела права» [</w:t>
      </w:r>
      <w:r w:rsidRPr="00511005">
        <w:rPr>
          <w:rFonts w:ascii="Arial" w:eastAsia="Times New Roman" w:hAnsi="Arial" w:cs="Arial"/>
          <w:szCs w:val="28"/>
          <w:lang w:eastAsia="uk-UA"/>
        </w:rPr>
        <w:t>4</w:t>
      </w:r>
      <w:r w:rsidRPr="00511005">
        <w:rPr>
          <w:rFonts w:ascii="Arial" w:eastAsia="Times New Roman" w:hAnsi="Arial" w:cs="Arial"/>
          <w:szCs w:val="28"/>
          <w:lang w:val="uk-UA" w:eastAsia="uk-UA"/>
        </w:rPr>
        <w:t>, с. 3</w:t>
      </w:r>
      <w:r w:rsidRPr="00511005">
        <w:rPr>
          <w:rFonts w:ascii="Arial" w:eastAsia="Times New Roman" w:hAnsi="Arial" w:cs="Arial"/>
          <w:szCs w:val="28"/>
          <w:lang w:eastAsia="uk-UA"/>
        </w:rPr>
        <w:t>8</w:t>
      </w:r>
      <w:r w:rsidRPr="00511005">
        <w:rPr>
          <w:rFonts w:ascii="Arial" w:eastAsia="Times New Roman" w:hAnsi="Arial" w:cs="Arial"/>
          <w:szCs w:val="28"/>
          <w:lang w:val="uk-UA" w:eastAsia="uk-UA"/>
        </w:rPr>
        <w:t>].</w:t>
      </w:r>
    </w:p>
    <w:p w14:paraId="4F8A5E8D" w14:textId="77777777" w:rsidR="00C10374" w:rsidRPr="00511005" w:rsidRDefault="00C10374" w:rsidP="003A292D">
      <w:pPr>
        <w:shd w:val="clear" w:color="auto" w:fill="FFFFFF"/>
        <w:snapToGrid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свою чергу, Н. Скідан також звертає увагу, що Верховний Суд сприяє формуванню верховенства права через свою судову практику. Авторка зазначає, що в Україні склався унікальний підхід, коли Верховний Суд відіграє провідну роль у формуванні правової системи, доповнюючи функції Конституційного Суду, що відповідає міжнародним принципам, хоча й є відмінним від практики більшості європейських країн. Вона підкреслює, що надмірна активність Верховного Суду призводить до перевантаження судової системи. Наприклад, у першій половині 2023 року цей суд розглянув понад 63 тисячі справ, що викликає занепокоєння щодо правової визначеності в країні. Авторка пропонує дві законодавчі ініціативи для покращення ситуації: визнати судову практику Верховного Суду джерелом права та забезпечити її публікацію у визначеному форматі [6, с. 63]. </w:t>
      </w:r>
    </w:p>
    <w:p w14:paraId="0A5A1680" w14:textId="77777777" w:rsidR="00C10374" w:rsidRPr="00511005" w:rsidRDefault="00C10374" w:rsidP="003A292D">
      <w:pPr>
        <w:shd w:val="clear" w:color="auto" w:fill="FFFFFF"/>
        <w:snapToGrid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Отже, діяльність Верховного Суду спрямована на створення ефективної, справедливої та прозорої судової системи, яка відповідає європейським стандартам і забезпечує захист прав та свобод кожного </w:t>
      </w:r>
      <w:r w:rsidRPr="00511005">
        <w:rPr>
          <w:rFonts w:ascii="Arial" w:eastAsia="Times New Roman" w:hAnsi="Arial" w:cs="Arial"/>
          <w:szCs w:val="28"/>
          <w:lang w:val="uk-UA" w:eastAsia="uk-UA"/>
        </w:rPr>
        <w:lastRenderedPageBreak/>
        <w:t>громадянина України. Верховний Суд є фундаментальним елементом правової системи України, який не лише здійснює правосуддя, але й сприяє розвитку законодавства та забезпечує єдність судової практики, що в сукупності зміцнює правопорядок та довіру громадян до судової влади.</w:t>
      </w:r>
    </w:p>
    <w:p w14:paraId="3D1DE6B8" w14:textId="77777777" w:rsidR="00C10374" w:rsidRPr="00511005" w:rsidRDefault="00C10374" w:rsidP="003A292D">
      <w:pPr>
        <w:shd w:val="clear" w:color="auto" w:fill="FFFFFF"/>
        <w:snapToGrid w:val="0"/>
        <w:spacing w:line="264" w:lineRule="auto"/>
        <w:rPr>
          <w:rFonts w:ascii="Arial" w:eastAsia="Times New Roman" w:hAnsi="Arial" w:cs="Arial"/>
          <w:szCs w:val="28"/>
          <w:lang w:val="uk-UA" w:eastAsia="uk-UA"/>
        </w:rPr>
      </w:pPr>
    </w:p>
    <w:p w14:paraId="3F28FFDA" w14:textId="296B8ADB" w:rsidR="00C10374" w:rsidRPr="00511005" w:rsidRDefault="007B2628" w:rsidP="007B2628">
      <w:pPr>
        <w:snapToGrid w:val="0"/>
        <w:spacing w:line="264" w:lineRule="auto"/>
        <w:ind w:firstLine="0"/>
        <w:jc w:val="center"/>
        <w:rPr>
          <w:rFonts w:ascii="Arial" w:eastAsia="Calibri" w:hAnsi="Arial" w:cs="Arial"/>
          <w:b/>
          <w:szCs w:val="28"/>
        </w:rPr>
      </w:pPr>
      <w:r w:rsidRPr="00511005">
        <w:rPr>
          <w:rFonts w:ascii="Arial" w:eastAsia="Calibri" w:hAnsi="Arial" w:cs="Arial"/>
          <w:b/>
          <w:szCs w:val="28"/>
          <w:lang w:val="uk-UA"/>
        </w:rPr>
        <w:t>Список використаних джерел</w:t>
      </w:r>
    </w:p>
    <w:p w14:paraId="22EC3453" w14:textId="23E18CF5" w:rsidR="00C10374" w:rsidRPr="00511005" w:rsidRDefault="00C10374" w:rsidP="003F6A5D">
      <w:pPr>
        <w:numPr>
          <w:ilvl w:val="0"/>
          <w:numId w:val="303"/>
        </w:numPr>
        <w:snapToGrid w:val="0"/>
        <w:spacing w:line="264" w:lineRule="auto"/>
        <w:ind w:left="0" w:firstLine="709"/>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Конституція України від 28.06.1996 р.</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 xml:space="preserve">URL: </w:t>
      </w:r>
      <w:hyperlink r:id="rId1119" w:anchor="Text" w:history="1">
        <w:r w:rsidRPr="00511005">
          <w:rPr>
            <w:rFonts w:ascii="Arial" w:eastAsia="Times New Roman" w:hAnsi="Arial" w:cs="Arial"/>
            <w:szCs w:val="28"/>
            <w:shd w:val="clear" w:color="auto" w:fill="FFFFFF"/>
            <w:lang w:val="uk-UA" w:eastAsia="ru-RU"/>
          </w:rPr>
          <w:t>https://zakon.rada.gov.ua/laws/show/254%D0%BA/96-%D0%B2%D1%80#Text</w:t>
        </w:r>
      </w:hyperlink>
      <w:r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val="uk-UA" w:eastAsia="ru-RU"/>
        </w:rPr>
        <w:t>(дата звернення: 04.04.2025).</w:t>
      </w:r>
    </w:p>
    <w:p w14:paraId="5AA01DBB" w14:textId="77777777" w:rsidR="00C10374" w:rsidRPr="00511005" w:rsidRDefault="00C10374" w:rsidP="003F6A5D">
      <w:pPr>
        <w:numPr>
          <w:ilvl w:val="0"/>
          <w:numId w:val="303"/>
        </w:numPr>
        <w:snapToGrid w:val="0"/>
        <w:spacing w:line="264" w:lineRule="auto"/>
        <w:ind w:left="0" w:firstLine="709"/>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Про судоустрій і статус суддів: Закон України від 02.06.2016 р. URL:</w:t>
      </w:r>
      <w:r w:rsidRPr="00511005">
        <w:rPr>
          <w:rFonts w:ascii="Arial" w:eastAsia="Times New Roman" w:hAnsi="Arial" w:cs="Arial"/>
          <w:szCs w:val="28"/>
          <w:lang w:val="uk-UA" w:eastAsia="ru-RU"/>
        </w:rPr>
        <w:t xml:space="preserve"> </w:t>
      </w:r>
      <w:r w:rsidRPr="00511005">
        <w:rPr>
          <w:rFonts w:ascii="Arial" w:eastAsia="Times New Roman" w:hAnsi="Arial" w:cs="Arial"/>
          <w:szCs w:val="28"/>
          <w:shd w:val="clear" w:color="auto" w:fill="FFFFFF"/>
          <w:lang w:val="uk-UA" w:eastAsia="ru-RU"/>
        </w:rPr>
        <w:t>https://zakon.rada.gov.ua/laws/show/1402-19#Text</w:t>
      </w:r>
    </w:p>
    <w:p w14:paraId="4BA17702" w14:textId="77AC9984" w:rsidR="00C10374" w:rsidRPr="00511005" w:rsidRDefault="00C10374" w:rsidP="003F6A5D">
      <w:pPr>
        <w:numPr>
          <w:ilvl w:val="0"/>
          <w:numId w:val="303"/>
        </w:numPr>
        <w:snapToGrid w:val="0"/>
        <w:spacing w:line="264" w:lineRule="auto"/>
        <w:ind w:left="0" w:firstLine="709"/>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eastAsia="ru-RU"/>
        </w:rPr>
        <w:t>Ш</w:t>
      </w:r>
      <w:r w:rsidRPr="00511005">
        <w:rPr>
          <w:rFonts w:ascii="Arial" w:eastAsia="Times New Roman" w:hAnsi="Arial" w:cs="Arial"/>
          <w:szCs w:val="28"/>
          <w:shd w:val="clear" w:color="auto" w:fill="FFFFFF"/>
          <w:lang w:val="uk-UA" w:eastAsia="ru-RU"/>
        </w:rPr>
        <w:t>ишка Н.</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В.</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Роль судової практики Верховного Суду у процесі</w:t>
      </w:r>
      <w:r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val="uk-UA" w:eastAsia="ru-RU"/>
        </w:rPr>
        <w:t xml:space="preserve">правозастосування цивільно-правових норм. </w:t>
      </w:r>
      <w:r w:rsidRPr="00511005">
        <w:rPr>
          <w:rFonts w:ascii="Arial" w:eastAsia="Times New Roman" w:hAnsi="Arial" w:cs="Arial"/>
          <w:i/>
          <w:iCs/>
          <w:szCs w:val="28"/>
          <w:shd w:val="clear" w:color="auto" w:fill="FFFFFF"/>
          <w:lang w:val="uk-UA" w:eastAsia="ru-RU"/>
        </w:rPr>
        <w:t>Наше право</w:t>
      </w:r>
      <w:r w:rsidRPr="00511005">
        <w:rPr>
          <w:rFonts w:ascii="Arial" w:eastAsia="Times New Roman" w:hAnsi="Arial" w:cs="Arial"/>
          <w:szCs w:val="28"/>
          <w:shd w:val="clear" w:color="auto" w:fill="FFFFFF"/>
          <w:lang w:val="uk-UA" w:eastAsia="ru-RU"/>
        </w:rPr>
        <w:t>. 2021. No 2. С. 147-156.</w:t>
      </w:r>
    </w:p>
    <w:p w14:paraId="0C5F6D08" w14:textId="77777777" w:rsidR="00C10374" w:rsidRPr="00511005" w:rsidRDefault="00C10374" w:rsidP="003F6A5D">
      <w:pPr>
        <w:numPr>
          <w:ilvl w:val="0"/>
          <w:numId w:val="303"/>
        </w:numPr>
        <w:snapToGrid w:val="0"/>
        <w:spacing w:line="264" w:lineRule="auto"/>
        <w:ind w:left="0" w:firstLine="709"/>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Скоморовський В. Б., Лантух Є. С. Роль Верховного Суду у сучасному українському правозастосуванні</w:t>
      </w:r>
      <w:r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i/>
          <w:iCs/>
          <w:szCs w:val="28"/>
          <w:shd w:val="clear" w:color="auto" w:fill="FFFFFF"/>
          <w:lang w:val="uk-UA" w:eastAsia="ru-RU"/>
        </w:rPr>
        <w:t>Legal Bulletin</w:t>
      </w:r>
      <w:r w:rsidRPr="00511005">
        <w:rPr>
          <w:rFonts w:ascii="Arial" w:eastAsia="Times New Roman" w:hAnsi="Arial" w:cs="Arial"/>
          <w:szCs w:val="28"/>
          <w:shd w:val="clear" w:color="auto" w:fill="FFFFFF"/>
          <w:lang w:val="uk-UA" w:eastAsia="ru-RU"/>
        </w:rPr>
        <w:t>. 2024. С. 34–39. URL:</w:t>
      </w:r>
      <w:r w:rsidRPr="00511005">
        <w:rPr>
          <w:rFonts w:ascii="Arial" w:eastAsia="Times New Roman" w:hAnsi="Arial" w:cs="Arial"/>
          <w:szCs w:val="28"/>
          <w:shd w:val="clear" w:color="auto" w:fill="FFFFFF"/>
          <w:lang w:val="en-US" w:eastAsia="ru-RU"/>
        </w:rPr>
        <w:t xml:space="preserve"> </w:t>
      </w:r>
      <w:hyperlink r:id="rId1120" w:history="1">
        <w:r w:rsidRPr="00511005">
          <w:rPr>
            <w:rFonts w:ascii="Arial" w:eastAsia="Times New Roman" w:hAnsi="Arial" w:cs="Arial"/>
            <w:szCs w:val="28"/>
            <w:shd w:val="clear" w:color="auto" w:fill="FFFFFF"/>
            <w:lang w:val="uk-UA" w:eastAsia="ru-RU"/>
          </w:rPr>
          <w:t>https://doi.org/10.31732/2708-339X-2024-12-A4</w:t>
        </w:r>
      </w:hyperlink>
      <w:r w:rsidRPr="00511005">
        <w:rPr>
          <w:rFonts w:ascii="Arial" w:eastAsia="Times New Roman" w:hAnsi="Arial" w:cs="Arial"/>
          <w:szCs w:val="28"/>
          <w:shd w:val="clear" w:color="auto" w:fill="FFFFFF"/>
          <w:lang w:val="uk-UA" w:eastAsia="ru-RU"/>
        </w:rPr>
        <w:t>.</w:t>
      </w:r>
      <w:r w:rsidRPr="00511005">
        <w:rPr>
          <w:rFonts w:ascii="Arial" w:eastAsia="Times New Roman" w:hAnsi="Arial" w:cs="Arial"/>
          <w:szCs w:val="28"/>
          <w:shd w:val="clear" w:color="auto" w:fill="FFFFFF"/>
          <w:lang w:val="en-US" w:eastAsia="ru-RU"/>
        </w:rPr>
        <w:t xml:space="preserve"> (</w:t>
      </w:r>
      <w:r w:rsidRPr="00511005">
        <w:rPr>
          <w:rFonts w:ascii="Arial" w:eastAsia="Times New Roman" w:hAnsi="Arial" w:cs="Arial"/>
          <w:szCs w:val="28"/>
          <w:shd w:val="clear" w:color="auto" w:fill="FFFFFF"/>
          <w:lang w:eastAsia="ru-RU"/>
        </w:rPr>
        <w:t>дата</w:t>
      </w:r>
      <w:r w:rsidRPr="00511005">
        <w:rPr>
          <w:rFonts w:ascii="Arial" w:eastAsia="Times New Roman" w:hAnsi="Arial" w:cs="Arial"/>
          <w:szCs w:val="28"/>
          <w:shd w:val="clear" w:color="auto" w:fill="FFFFFF"/>
          <w:lang w:val="en-US" w:eastAsia="ru-RU"/>
        </w:rPr>
        <w:t xml:space="preserve"> </w:t>
      </w:r>
      <w:r w:rsidRPr="00511005">
        <w:rPr>
          <w:rFonts w:ascii="Arial" w:eastAsia="Times New Roman" w:hAnsi="Arial" w:cs="Arial"/>
          <w:szCs w:val="28"/>
          <w:shd w:val="clear" w:color="auto" w:fill="FFFFFF"/>
          <w:lang w:eastAsia="ru-RU"/>
        </w:rPr>
        <w:t>звернення</w:t>
      </w:r>
      <w:r w:rsidRPr="00511005">
        <w:rPr>
          <w:rFonts w:ascii="Arial" w:eastAsia="Times New Roman" w:hAnsi="Arial" w:cs="Arial"/>
          <w:szCs w:val="28"/>
          <w:shd w:val="clear" w:color="auto" w:fill="FFFFFF"/>
          <w:lang w:val="en-US" w:eastAsia="ru-RU"/>
        </w:rPr>
        <w:t>: 04.04.2025).</w:t>
      </w:r>
    </w:p>
    <w:p w14:paraId="43E69590" w14:textId="77777777" w:rsidR="00C10374" w:rsidRPr="00511005" w:rsidRDefault="00C10374" w:rsidP="003F6A5D">
      <w:pPr>
        <w:numPr>
          <w:ilvl w:val="0"/>
          <w:numId w:val="303"/>
        </w:numPr>
        <w:snapToGrid w:val="0"/>
        <w:spacing w:line="264" w:lineRule="auto"/>
        <w:ind w:left="0" w:firstLine="709"/>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eastAsia="ru-RU"/>
        </w:rPr>
        <w:t xml:space="preserve">Шумило М. </w:t>
      </w:r>
      <w:r w:rsidRPr="00511005">
        <w:rPr>
          <w:rFonts w:ascii="Arial" w:eastAsia="Times New Roman" w:hAnsi="Arial" w:cs="Arial"/>
          <w:szCs w:val="28"/>
          <w:shd w:val="clear" w:color="auto" w:fill="FFFFFF"/>
          <w:lang w:val="uk-UA" w:eastAsia="ru-RU"/>
        </w:rPr>
        <w:t>Квазірегуляторна роль правових висновків Верховного Суду (на прикладі справи про відшкодування моральної шкоди у сімейному спорі)</w:t>
      </w:r>
      <w:r w:rsidRPr="00511005">
        <w:rPr>
          <w:rFonts w:ascii="Arial" w:eastAsia="Times New Roman" w:hAnsi="Arial" w:cs="Arial"/>
          <w:szCs w:val="28"/>
          <w:shd w:val="clear" w:color="auto" w:fill="FFFFFF"/>
          <w:lang w:eastAsia="ru-RU"/>
        </w:rPr>
        <w:t>. 2021.</w:t>
      </w:r>
      <w:r w:rsidRPr="00511005">
        <w:rPr>
          <w:rFonts w:ascii="Arial" w:eastAsia="Times New Roman" w:hAnsi="Arial" w:cs="Arial"/>
          <w:szCs w:val="28"/>
          <w:lang w:val="uk-UA" w:eastAsia="ru-RU"/>
        </w:rPr>
        <w:t xml:space="preserve"> </w:t>
      </w:r>
      <w:r w:rsidRPr="00511005">
        <w:rPr>
          <w:rFonts w:ascii="Arial" w:eastAsia="Times New Roman" w:hAnsi="Arial" w:cs="Arial"/>
          <w:szCs w:val="28"/>
          <w:shd w:val="clear" w:color="auto" w:fill="FFFFFF"/>
          <w:lang w:val="en-US" w:eastAsia="ru-RU"/>
        </w:rPr>
        <w:t>URL</w:t>
      </w:r>
      <w:r w:rsidRPr="00511005">
        <w:rPr>
          <w:rFonts w:ascii="Arial" w:eastAsia="Times New Roman" w:hAnsi="Arial" w:cs="Arial"/>
          <w:szCs w:val="28"/>
          <w:shd w:val="clear" w:color="auto" w:fill="FFFFFF"/>
          <w:lang w:eastAsia="ru-RU"/>
        </w:rPr>
        <w:t xml:space="preserve">: </w:t>
      </w:r>
      <w:hyperlink r:id="rId1121" w:history="1">
        <w:r w:rsidRPr="00511005">
          <w:rPr>
            <w:rFonts w:ascii="Arial" w:eastAsia="Times New Roman" w:hAnsi="Arial" w:cs="Arial"/>
            <w:szCs w:val="28"/>
            <w:shd w:val="clear" w:color="auto" w:fill="FFFFFF"/>
            <w:lang w:val="uk-UA" w:eastAsia="ru-RU"/>
          </w:rPr>
          <w:t>https://supreme.court.gov.ua/supreme/pres-centr/zmi/1133965/</w:t>
        </w:r>
      </w:hyperlink>
      <w:r w:rsidRPr="00511005">
        <w:rPr>
          <w:rFonts w:ascii="Arial" w:eastAsia="Times New Roman" w:hAnsi="Arial" w:cs="Arial"/>
          <w:szCs w:val="28"/>
          <w:shd w:val="clear" w:color="auto" w:fill="FFFFFF"/>
          <w:lang w:val="uk-UA" w:eastAsia="ru-RU"/>
        </w:rPr>
        <w:t xml:space="preserve"> (дата звернення: 04.04.2025).</w:t>
      </w:r>
    </w:p>
    <w:p w14:paraId="00047DFF" w14:textId="77777777" w:rsidR="00C10374" w:rsidRPr="00511005" w:rsidRDefault="00C10374" w:rsidP="003F6A5D">
      <w:pPr>
        <w:numPr>
          <w:ilvl w:val="0"/>
          <w:numId w:val="303"/>
        </w:numPr>
        <w:snapToGrid w:val="0"/>
        <w:spacing w:line="264" w:lineRule="auto"/>
        <w:ind w:left="0" w:firstLine="709"/>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Скідан Н. Роль Верховного Суду у забезпеченні дотримання та поваги до верховенства права</w:t>
      </w:r>
      <w:r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i/>
          <w:iCs/>
          <w:szCs w:val="28"/>
          <w:shd w:val="clear" w:color="auto" w:fill="FFFFFF"/>
          <w:lang w:val="uk-UA" w:eastAsia="ru-RU"/>
        </w:rPr>
        <w:t>Вісник НТУУ «КПІ». Політологія. Соціологія. Право</w:t>
      </w:r>
      <w:r w:rsidRPr="00511005">
        <w:rPr>
          <w:rFonts w:ascii="Arial" w:eastAsia="Times New Roman" w:hAnsi="Arial" w:cs="Arial"/>
          <w:szCs w:val="28"/>
          <w:shd w:val="clear" w:color="auto" w:fill="FFFFFF"/>
          <w:lang w:val="uk-UA" w:eastAsia="ru-RU"/>
        </w:rPr>
        <w:t>. 2024. Т. 1 (61). С. 58–69.</w:t>
      </w:r>
    </w:p>
    <w:p w14:paraId="47625A75" w14:textId="77777777" w:rsidR="00C10374" w:rsidRPr="00511005" w:rsidRDefault="00C10374" w:rsidP="003A292D">
      <w:pPr>
        <w:snapToGrid w:val="0"/>
        <w:spacing w:line="264" w:lineRule="auto"/>
        <w:ind w:left="709" w:firstLine="0"/>
        <w:rPr>
          <w:rFonts w:ascii="Arial" w:eastAsia="Times New Roman" w:hAnsi="Arial" w:cs="Arial"/>
          <w:szCs w:val="28"/>
          <w:shd w:val="clear" w:color="auto" w:fill="FFFFFF"/>
          <w:lang w:eastAsia="ru-RU"/>
        </w:rPr>
      </w:pPr>
    </w:p>
    <w:p w14:paraId="23350489" w14:textId="31C5EF42" w:rsidR="00C10374" w:rsidRPr="00511005" w:rsidRDefault="007B2628" w:rsidP="003A292D">
      <w:pPr>
        <w:snapToGrid w:val="0"/>
        <w:spacing w:line="264" w:lineRule="auto"/>
        <w:rPr>
          <w:rFonts w:ascii="Arial" w:eastAsia="Calibri" w:hAnsi="Arial" w:cs="Arial"/>
          <w:szCs w:val="28"/>
          <w:shd w:val="clear" w:color="auto" w:fill="FFFFFF"/>
        </w:rPr>
      </w:pPr>
      <w:r w:rsidRPr="00511005">
        <w:rPr>
          <w:rFonts w:ascii="Arial" w:eastAsia="Calibri" w:hAnsi="Arial" w:cs="Arial"/>
          <w:b/>
          <w:bCs/>
          <w:i/>
          <w:szCs w:val="28"/>
          <w:shd w:val="clear" w:color="auto" w:fill="FFFFFF"/>
        </w:rPr>
        <w:t xml:space="preserve">Ключові слова: </w:t>
      </w:r>
      <w:r w:rsidR="00C10374" w:rsidRPr="00511005">
        <w:rPr>
          <w:rFonts w:ascii="Arial" w:eastAsia="Calibri" w:hAnsi="Arial" w:cs="Arial"/>
          <w:szCs w:val="28"/>
          <w:shd w:val="clear" w:color="auto" w:fill="FFFFFF"/>
        </w:rPr>
        <w:t>Верховний Суд, судова влада, правова система, судова практика, правосуддя, квазіпрецедент, тлумачення права, правова держава, верховенство права, права людини, демократичні засади, судова реформа.</w:t>
      </w:r>
    </w:p>
    <w:p w14:paraId="43FBCECA" w14:textId="06C9F2EE" w:rsidR="00C10374" w:rsidRPr="00511005" w:rsidRDefault="007B2628" w:rsidP="003A292D">
      <w:pPr>
        <w:snapToGrid w:val="0"/>
        <w:spacing w:line="264" w:lineRule="auto"/>
        <w:rPr>
          <w:rFonts w:ascii="Arial" w:eastAsia="Calibri" w:hAnsi="Arial" w:cs="Arial"/>
          <w:szCs w:val="28"/>
          <w:shd w:val="clear" w:color="auto" w:fill="FFFFFF"/>
          <w:lang w:val="en-US"/>
        </w:rPr>
      </w:pPr>
      <w:r w:rsidRPr="00511005">
        <w:rPr>
          <w:rFonts w:ascii="Arial" w:eastAsia="Calibri" w:hAnsi="Arial" w:cs="Arial"/>
          <w:b/>
          <w:bCs/>
          <w:i/>
          <w:szCs w:val="28"/>
          <w:shd w:val="clear" w:color="auto" w:fill="FFFFFF"/>
          <w:lang w:val="en-US"/>
        </w:rPr>
        <w:t xml:space="preserve">Key words: </w:t>
      </w:r>
      <w:r w:rsidR="00C10374" w:rsidRPr="00511005">
        <w:rPr>
          <w:rFonts w:ascii="Arial" w:eastAsia="Calibri" w:hAnsi="Arial" w:cs="Arial"/>
          <w:szCs w:val="28"/>
          <w:shd w:val="clear" w:color="auto" w:fill="FFFFFF"/>
          <w:lang w:val="en-US"/>
        </w:rPr>
        <w:t>Supreme Court, judiciary, legal system, judicial practice, justice, quasi-precedent, interpretation of law, rule of law, human rights, democracy, legal reform.</w:t>
      </w:r>
    </w:p>
    <w:p w14:paraId="2E38FF1D" w14:textId="04051241" w:rsidR="00C10374" w:rsidRPr="00511005" w:rsidRDefault="007B2628" w:rsidP="003A292D">
      <w:pPr>
        <w:snapToGrid w:val="0"/>
        <w:spacing w:line="264" w:lineRule="auto"/>
        <w:rPr>
          <w:rFonts w:ascii="Arial" w:eastAsia="Calibri" w:hAnsi="Arial" w:cs="Arial"/>
          <w:bCs/>
          <w:i/>
          <w:iCs/>
          <w:szCs w:val="28"/>
          <w:shd w:val="clear" w:color="auto" w:fill="FFFFFF"/>
        </w:rPr>
      </w:pPr>
      <w:r w:rsidRPr="00511005">
        <w:rPr>
          <w:rFonts w:ascii="Arial" w:eastAsia="Calibri" w:hAnsi="Arial" w:cs="Arial"/>
          <w:b/>
          <w:bCs/>
          <w:i/>
          <w:iCs/>
          <w:szCs w:val="28"/>
          <w:shd w:val="clear" w:color="auto" w:fill="FFFFFF"/>
        </w:rPr>
        <w:t xml:space="preserve">Науковий керівник: </w:t>
      </w:r>
      <w:r w:rsidR="00C10374" w:rsidRPr="00511005">
        <w:rPr>
          <w:rFonts w:ascii="Arial" w:eastAsia="Calibri" w:hAnsi="Arial" w:cs="Arial"/>
          <w:bCs/>
          <w:i/>
          <w:iCs/>
          <w:szCs w:val="28"/>
          <w:shd w:val="clear" w:color="auto" w:fill="FFFFFF"/>
        </w:rPr>
        <w:t xml:space="preserve">к. ю. н., доцент Кравченко </w:t>
      </w:r>
      <w:proofErr w:type="gramStart"/>
      <w:r w:rsidR="00C10374" w:rsidRPr="00511005">
        <w:rPr>
          <w:rFonts w:ascii="Arial" w:eastAsia="Calibri" w:hAnsi="Arial" w:cs="Arial"/>
          <w:bCs/>
          <w:i/>
          <w:iCs/>
          <w:szCs w:val="28"/>
          <w:shd w:val="clear" w:color="auto" w:fill="FFFFFF"/>
        </w:rPr>
        <w:t>М.О</w:t>
      </w:r>
      <w:proofErr w:type="gramEnd"/>
    </w:p>
    <w:p w14:paraId="76A5566C" w14:textId="0FDC5910" w:rsidR="00C10374" w:rsidRDefault="00C10374" w:rsidP="003A292D">
      <w:pPr>
        <w:spacing w:line="264" w:lineRule="auto"/>
        <w:contextualSpacing/>
        <w:rPr>
          <w:rFonts w:ascii="Arial" w:eastAsia="Calibri" w:hAnsi="Arial" w:cs="Arial"/>
          <w:szCs w:val="28"/>
        </w:rPr>
      </w:pPr>
    </w:p>
    <w:p w14:paraId="13516526" w14:textId="77777777" w:rsidR="0052789C" w:rsidRPr="00511005" w:rsidRDefault="0052789C" w:rsidP="003A292D">
      <w:pPr>
        <w:spacing w:line="264" w:lineRule="auto"/>
        <w:contextualSpacing/>
        <w:rPr>
          <w:rFonts w:ascii="Arial" w:eastAsia="Calibri" w:hAnsi="Arial" w:cs="Arial"/>
          <w:szCs w:val="28"/>
        </w:rPr>
      </w:pPr>
    </w:p>
    <w:p w14:paraId="37334756" w14:textId="77777777" w:rsidR="00875A11" w:rsidRDefault="00875A11">
      <w:pPr>
        <w:spacing w:after="200" w:line="276" w:lineRule="auto"/>
        <w:ind w:firstLine="0"/>
        <w:jc w:val="left"/>
        <w:rPr>
          <w:rFonts w:ascii="Arial" w:eastAsia="Times New Roman" w:hAnsi="Arial" w:cs="Arial"/>
          <w:b/>
          <w:i/>
          <w:szCs w:val="28"/>
          <w:lang w:val="uk-UA"/>
        </w:rPr>
      </w:pPr>
      <w:bookmarkStart w:id="152" w:name="_Hlk197641125"/>
      <w:r>
        <w:rPr>
          <w:rFonts w:ascii="Arial" w:eastAsia="Times New Roman" w:hAnsi="Arial" w:cs="Arial"/>
          <w:b/>
          <w:i/>
          <w:szCs w:val="28"/>
          <w:lang w:val="uk-UA"/>
        </w:rPr>
        <w:br w:type="page"/>
      </w:r>
    </w:p>
    <w:p w14:paraId="11E5EA8B" w14:textId="6D858B06" w:rsidR="00C10374" w:rsidRPr="00511005" w:rsidRDefault="00C10374"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lastRenderedPageBreak/>
        <w:t>Курносенко Софія Олександрівна</w:t>
      </w:r>
    </w:p>
    <w:bookmarkEnd w:id="152"/>
    <w:p w14:paraId="3C6380D5" w14:textId="236DC3A9" w:rsidR="00C10374" w:rsidRPr="00511005" w:rsidRDefault="00BE3972"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1-го курсу </w:t>
      </w:r>
      <w:r w:rsidR="001B7B25" w:rsidRPr="00511005">
        <w:rPr>
          <w:rFonts w:ascii="Arial" w:eastAsia="Times New Roman" w:hAnsi="Arial" w:cs="Arial"/>
          <w:szCs w:val="28"/>
          <w:lang w:val="uk-UA"/>
        </w:rPr>
        <w:t>факультету судового та міжнародного права</w:t>
      </w:r>
      <w:bookmarkStart w:id="153" w:name="_Hlk197641103"/>
      <w:r w:rsidR="007B2628" w:rsidRPr="00511005">
        <w:rPr>
          <w:rFonts w:ascii="Arial" w:eastAsia="Times New Roman" w:hAnsi="Arial" w:cs="Arial"/>
          <w:szCs w:val="28"/>
          <w:lang w:val="uk-UA"/>
        </w:rPr>
        <w:t xml:space="preserve"> </w:t>
      </w:r>
      <w:bookmarkEnd w:id="153"/>
      <w:r w:rsidR="007B2628" w:rsidRPr="00511005">
        <w:rPr>
          <w:rFonts w:ascii="Arial" w:eastAsia="Times New Roman" w:hAnsi="Arial" w:cs="Arial"/>
          <w:szCs w:val="28"/>
          <w:lang w:val="uk-UA"/>
        </w:rPr>
        <w:t>Національного університету «Одеська юридична академія»</w:t>
      </w:r>
    </w:p>
    <w:p w14:paraId="505236E8" w14:textId="77777777" w:rsidR="00C10374" w:rsidRPr="00511005" w:rsidRDefault="00C10374" w:rsidP="003A292D">
      <w:pPr>
        <w:spacing w:line="264" w:lineRule="auto"/>
        <w:ind w:firstLine="0"/>
        <w:jc w:val="center"/>
        <w:rPr>
          <w:rFonts w:ascii="Arial" w:eastAsia="Times New Roman" w:hAnsi="Arial" w:cs="Arial"/>
          <w:szCs w:val="28"/>
          <w:lang w:val="uk-UA"/>
        </w:rPr>
      </w:pPr>
    </w:p>
    <w:p w14:paraId="7D113FB7" w14:textId="77777777" w:rsidR="00C10374" w:rsidRPr="00511005" w:rsidRDefault="00C10374"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ВЗАЄМОДІЯ АДВОКАТА З ПРАВООХОРОННИМИ ОРГАНАМИ: ПРОБЛЕМИ ТА ШЛЯХИ ЇХ ПОДОЛАННЯ</w:t>
      </w:r>
    </w:p>
    <w:p w14:paraId="19C63CBB"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У сучасному світі, адвокатура є недержавним самоврядним інститутом, який відіграє ключову роль у забезпеченні захисту прав і свобод людини, представництві громадян та наданні інших видів правничої допомоги на професійній основі в порядку, що передбачений Законом України «Про адвокатуру та адвокатську діяльність» (далі – Закон) [1]. Адвокат – це фізична особа, яка здійснює адвокатську діяльність на підставах і в порядку, встановлених цим Законом.</w:t>
      </w:r>
    </w:p>
    <w:p w14:paraId="65147F1D"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Адвокатська діяльність часто реалізується в умовах конфлікту, де інтереси учасників взаємодії перебувають у протиріччі або суперечності. На практиці, взаємодія адвоката з поліцією та слідчими органами часто супроводжується низкою викликів. До них належать недостатній рівень комунікації між сторонами, що часто призводить до непорозумінь та конфліктів. Вміння адвоката будувати конструктивну комунікацію з процесуальними опонентами — слідчим, прокурором, оперативними працівниками — з метою мінімізації конфліктних ситуацій є важливим аспектом. </w:t>
      </w:r>
    </w:p>
    <w:p w14:paraId="5E5D69AE"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Ускладнюють здійснення адвокатської діяльності неналежне інформування про слідчі дії, порушення принципу рівності сторін у кримінальному процесі з боку органів досудового розслідування, оскільки на практиці, вони мають значно ширші можливості для впливу, перешкоджання діяльності адвокатів, зокрема, через обмеження доступу до підзахисного, чи матеріалів справи. </w:t>
      </w:r>
    </w:p>
    <w:p w14:paraId="40AC1280"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Незважаючи на існування чітких законодавчих гарантій, адвокати часто стикаються з необґрунтованими обмеженнями в доступі до клієнтів, зокрема у перші години після затримання, що є прямим порушенням права на захист. Також часто зустрічаються випадки недопуску адвоката до слідчих дій, затягування процесу видачі документів або ознайомлення з матеріалами справи. Психологічний та фізичний тиск на адвокатів, незаконне прослуховування їхніх розмов з підзахисними, спроби дискредитації чи провокації, затягування процесуальних дій, та недотримання етичних стандартів є суттєвими перешкодами на шляху до ефективної реалізації правової допомоги. Такі дії не лише порушують права адвоката, а й ставлять під сумнів легітимність правосуддя.</w:t>
      </w:r>
    </w:p>
    <w:p w14:paraId="244E8D9F"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Нерідкі й випадки прямого порушення прав адвоката, коли його діяльність трактують як перешкоджання слідству або навмисне ускладнюють виконання ним професійних обов’язків. В українській практиці </w:t>
      </w:r>
      <w:r w:rsidRPr="00511005">
        <w:rPr>
          <w:rFonts w:ascii="Arial" w:eastAsia="Times New Roman" w:hAnsi="Arial" w:cs="Arial"/>
          <w:szCs w:val="28"/>
          <w:lang w:val="uk-UA"/>
        </w:rPr>
        <w:lastRenderedPageBreak/>
        <w:t>фіксувалися ситуації, коли адвокатів незаконно викликали на допити як свідків у справах своїх клієнтів, проводили обшуки в їхніх офісах без належних правових підстав, що суперечить положенням Закону [1] та міжнародним стандартам захисту адвокатської незалежності.</w:t>
      </w:r>
    </w:p>
    <w:p w14:paraId="749BCD6C"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Конституційне право на правову допомогу (ст. 59 Конституції України) передбачає, що адвокат діє як гарант забезпечення прав і свобод особи. Однак на практиці така взаємодія часто ускладнюється низкою чинників.</w:t>
      </w:r>
    </w:p>
    <w:p w14:paraId="18249F13"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Серед основних проблем можна виокремити:</w:t>
      </w:r>
    </w:p>
    <w:p w14:paraId="4FF752AD" w14:textId="77777777" w:rsidR="00C10374" w:rsidRPr="00511005" w:rsidRDefault="00C10374" w:rsidP="003F6A5D">
      <w:pPr>
        <w:numPr>
          <w:ilvl w:val="0"/>
          <w:numId w:val="304"/>
        </w:num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ігнорування процесуальних прав адвоката, зокрема, випадки необґрунтованого недопуску до участі в процесуальних діях, затягування ознайомлення з матеріалами справи тощо;</w:t>
      </w:r>
    </w:p>
    <w:p w14:paraId="4688C821" w14:textId="77777777" w:rsidR="007B2628" w:rsidRPr="00511005" w:rsidRDefault="00C10374" w:rsidP="003F6A5D">
      <w:pPr>
        <w:numPr>
          <w:ilvl w:val="0"/>
          <w:numId w:val="304"/>
        </w:num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адвокатській діяльності, часті випадки незаконного обшуку адвокатських офісів або спроби тиску через виклики на допити як свідків;</w:t>
      </w:r>
    </w:p>
    <w:p w14:paraId="2A033B7E" w14:textId="77777777" w:rsidR="007B2628" w:rsidRPr="00511005" w:rsidRDefault="00C10374" w:rsidP="003F6A5D">
      <w:pPr>
        <w:numPr>
          <w:ilvl w:val="0"/>
          <w:numId w:val="304"/>
        </w:num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нерівність у доступі до доказів, адже адвокати часто обмежені у можливості отримання копій матеріалів, що є у володінні слідства або прокуратури;</w:t>
      </w:r>
    </w:p>
    <w:p w14:paraId="2616596B" w14:textId="0872751B" w:rsidR="00C10374" w:rsidRPr="00511005" w:rsidRDefault="00C10374" w:rsidP="003F6A5D">
      <w:pPr>
        <w:numPr>
          <w:ilvl w:val="0"/>
          <w:numId w:val="304"/>
        </w:num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недостатня відповідальність правоохоронців за порушення прав адвоката.</w:t>
      </w:r>
    </w:p>
    <w:p w14:paraId="42712820" w14:textId="0CDB86AC" w:rsidR="00C10374"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Для подолання зазначених проблем необхідним є</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посилення гарантій незалежності адвокатської діяльності на законодавчому рівні, зокрема шляхом імплементації міжнародних стандартів, запровадження ефективних механізмів притягнення до відповідальності посадових осіб за перешкоджання законній діяльності адвоката, підвищення рівня правової культури та етичних стандартів у правоохоронній системі, проведення спільних тренінгів для адвокатів, слідчих і прокурорів з метою формування конструктивної моделі взаємодії.</w:t>
      </w:r>
    </w:p>
    <w:p w14:paraId="0A1D2DB1" w14:textId="77777777" w:rsidR="00C10374"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Для ефективної взаємодії адвокатів і правоохоронних органів потрібен системний підхід: вдосконалення законодавства, підвищення професійної підготовки та розвиток культури правової взаємодії. Необхідно закріпити процесуальні гарантії адвокатської діяльності: чіткі механізми притягнення до відповідальності за перешкоджання адвокатській діяльності, удосконалення процедур допуску адвоката до слідчих дій, захист адвокатської таємниці та оперативне реагування на порушення прав адвокатів з боку уповноважених органів. Також слід використовувати цифрові платформи для забезпечення відкритого та контрольованого доступу адвоката до матеріалів справи</w:t>
      </w:r>
    </w:p>
    <w:p w14:paraId="1C6E9F84"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Важливим є підвищення кваліфікації всіх учасників процесу через тренінги та семінари, акцентуючи увагу на комунікації, етиці та зниженні конфліктів. Варто також формувати культуру партнерства, засновану на повазі, професіоналізмі та законності, в основі якої — не протистояння, а співробітництво. Варто сприяти поширенню співпраці між сторонами, які </w:t>
      </w:r>
      <w:r w:rsidRPr="00511005">
        <w:rPr>
          <w:rFonts w:ascii="Arial" w:eastAsia="Times New Roman" w:hAnsi="Arial" w:cs="Arial"/>
          <w:szCs w:val="28"/>
          <w:lang w:val="uk-UA"/>
        </w:rPr>
        <w:lastRenderedPageBreak/>
        <w:t>спрямовані на досягнення спільної мети — забезпечення справедливого правосуддя.</w:t>
      </w:r>
    </w:p>
    <w:p w14:paraId="5AEA57FA" w14:textId="77777777" w:rsidR="00C10374" w:rsidRPr="00511005" w:rsidRDefault="00C10374"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Отже, взаємодія адвоката з правоохоронними органами є важливим елементом для ефективної реалізації правової допомоги та дотримання принципів справедливості. Незважаючи на наявність законодавчих національних та міжнародних норм, практика свідчить про численні порушення прав адвокатів, що суттєво ускладнює їхню діяльність і впливає на якість захисту прав громадян. Для подолання цих проблем необхідно впроваджувати системні зміни — удосконалення законодавства, посилення відповідальності за перешкоджання адвокатській діяльності, розвиток професійної етики та комунікації між сторонами процесу. Лише за умови партнерської взаємодії, заснованої на повазі, законності та професіоналізмі, можливо забезпечити ефективне функціонування правосуддя в Україні.</w:t>
      </w:r>
    </w:p>
    <w:p w14:paraId="6B3E0788" w14:textId="77777777" w:rsidR="00C10374" w:rsidRPr="00511005" w:rsidRDefault="00C10374" w:rsidP="003A292D">
      <w:pPr>
        <w:spacing w:line="264" w:lineRule="auto"/>
        <w:ind w:firstLine="708"/>
        <w:rPr>
          <w:rFonts w:ascii="Arial" w:eastAsia="Times New Roman" w:hAnsi="Arial" w:cs="Arial"/>
          <w:szCs w:val="28"/>
          <w:lang w:val="uk-UA"/>
        </w:rPr>
      </w:pPr>
    </w:p>
    <w:p w14:paraId="45B3D3F5" w14:textId="2246F527" w:rsidR="00C10374" w:rsidRPr="00511005" w:rsidRDefault="007B2628" w:rsidP="007B2628">
      <w:pPr>
        <w:spacing w:line="264" w:lineRule="auto"/>
        <w:ind w:firstLine="708"/>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1ED7390B" w14:textId="77777777" w:rsidR="00C10374" w:rsidRPr="00511005" w:rsidRDefault="00C10374" w:rsidP="003F6A5D">
      <w:pPr>
        <w:numPr>
          <w:ilvl w:val="0"/>
          <w:numId w:val="826"/>
        </w:numPr>
        <w:spacing w:line="264" w:lineRule="auto"/>
        <w:rPr>
          <w:rFonts w:ascii="Arial" w:eastAsia="Calibri" w:hAnsi="Arial" w:cs="Arial"/>
          <w:szCs w:val="28"/>
          <w:lang w:val="pl-PL"/>
        </w:rPr>
      </w:pPr>
      <w:r w:rsidRPr="00511005">
        <w:rPr>
          <w:rFonts w:ascii="Arial" w:eastAsia="Calibri" w:hAnsi="Arial" w:cs="Arial"/>
          <w:szCs w:val="28"/>
        </w:rPr>
        <w:t>Про адвокатуру та адвокатську діяльність: Закон України від 15.08.2012 № </w:t>
      </w:r>
      <w:r w:rsidRPr="00511005">
        <w:rPr>
          <w:rFonts w:ascii="Arial" w:eastAsia="Calibri" w:hAnsi="Arial" w:cs="Arial"/>
          <w:bCs/>
          <w:szCs w:val="28"/>
        </w:rPr>
        <w:t xml:space="preserve">5076-VI. </w:t>
      </w:r>
      <w:r w:rsidRPr="00511005">
        <w:rPr>
          <w:rFonts w:ascii="Arial" w:eastAsia="Calibri" w:hAnsi="Arial" w:cs="Arial"/>
          <w:szCs w:val="28"/>
          <w:lang w:val="pl-PL"/>
        </w:rPr>
        <w:t>URL: https://zakon.rada.gov.ua/laws/show/5076-17?find=1&amp;text=%D0%B7%D0%B0%D0%BF%D0%B8%D1%82#w1_</w:t>
      </w:r>
    </w:p>
    <w:p w14:paraId="41B42912" w14:textId="77777777" w:rsidR="00C10374" w:rsidRPr="00511005" w:rsidRDefault="00C10374" w:rsidP="003A292D">
      <w:pPr>
        <w:pBdr>
          <w:top w:val="nil"/>
          <w:left w:val="nil"/>
          <w:bottom w:val="nil"/>
          <w:right w:val="nil"/>
          <w:between w:val="nil"/>
        </w:pBdr>
        <w:spacing w:line="264" w:lineRule="auto"/>
        <w:ind w:left="720" w:firstLine="0"/>
        <w:rPr>
          <w:rFonts w:ascii="Arial" w:eastAsia="Times New Roman" w:hAnsi="Arial" w:cs="Arial"/>
          <w:szCs w:val="28"/>
          <w:lang w:val="uk-UA"/>
        </w:rPr>
      </w:pPr>
    </w:p>
    <w:p w14:paraId="37987BB8" w14:textId="0B0A2D99" w:rsidR="00C10374" w:rsidRPr="00511005" w:rsidRDefault="007B2628" w:rsidP="003A292D">
      <w:pPr>
        <w:spacing w:line="264" w:lineRule="auto"/>
        <w:ind w:firstLine="708"/>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C10374" w:rsidRPr="00511005">
        <w:rPr>
          <w:rFonts w:ascii="Arial" w:eastAsia="Times New Roman" w:hAnsi="Arial" w:cs="Arial"/>
          <w:szCs w:val="28"/>
          <w:lang w:val="uk-UA"/>
        </w:rPr>
        <w:t>адвокат, адвокатська діяльність, правоохоронні органи, взаємодія, порушення прав, правова допомога, незалежність адвокатури, правосуддя, міжнародні стандарти, професійна етика,</w:t>
      </w:r>
      <w:r w:rsidR="006C2EDA" w:rsidRPr="00055389">
        <w:rPr>
          <w:rFonts w:ascii="Arial" w:eastAsia="Times New Roman" w:hAnsi="Arial" w:cs="Arial"/>
          <w:szCs w:val="28"/>
          <w:lang w:val="uk-UA"/>
        </w:rPr>
        <w:t xml:space="preserve"> </w:t>
      </w:r>
      <w:r w:rsidR="00C10374" w:rsidRPr="00511005">
        <w:rPr>
          <w:rFonts w:ascii="Arial" w:eastAsia="Times New Roman" w:hAnsi="Arial" w:cs="Arial"/>
          <w:szCs w:val="28"/>
          <w:lang w:val="uk-UA"/>
        </w:rPr>
        <w:t>адвокатська таємниця</w:t>
      </w:r>
    </w:p>
    <w:p w14:paraId="6FCF1610" w14:textId="22A740EC" w:rsidR="00C10374" w:rsidRPr="00511005" w:rsidRDefault="007B2628" w:rsidP="003A292D">
      <w:pPr>
        <w:spacing w:line="264" w:lineRule="auto"/>
        <w:ind w:firstLine="708"/>
        <w:rPr>
          <w:rFonts w:ascii="Arial" w:eastAsia="Times New Roman" w:hAnsi="Arial" w:cs="Arial"/>
          <w:szCs w:val="28"/>
          <w:lang w:val="en-US"/>
        </w:rPr>
      </w:pPr>
      <w:r w:rsidRPr="00511005">
        <w:rPr>
          <w:rFonts w:ascii="Arial" w:eastAsia="Times New Roman" w:hAnsi="Arial" w:cs="Arial"/>
          <w:b/>
          <w:i/>
          <w:szCs w:val="28"/>
          <w:lang w:val="en-US"/>
        </w:rPr>
        <w:t xml:space="preserve">Key words: </w:t>
      </w:r>
      <w:r w:rsidR="00C10374" w:rsidRPr="00511005">
        <w:rPr>
          <w:rFonts w:ascii="Arial" w:eastAsia="Times New Roman" w:hAnsi="Arial" w:cs="Arial"/>
          <w:szCs w:val="28"/>
          <w:lang w:val="en-US"/>
        </w:rPr>
        <w:t>lawyer, legal practice, law enforcement agencies, cooperation, rights violations, legal assistance, independence of the legal profession, justice, international standards, professional ethics, attorney-client privilege</w:t>
      </w:r>
    </w:p>
    <w:p w14:paraId="768E43F1" w14:textId="1B4DF283" w:rsidR="00C10374" w:rsidRPr="00511005" w:rsidRDefault="007B2628" w:rsidP="003A292D">
      <w:pPr>
        <w:widowControl w:val="0"/>
        <w:spacing w:line="264" w:lineRule="auto"/>
        <w:ind w:firstLine="0"/>
        <w:rPr>
          <w:rFonts w:ascii="Arial" w:hAnsi="Arial" w:cs="Arial"/>
          <w:i/>
          <w:iCs/>
          <w:kern w:val="2"/>
          <w:szCs w:val="28"/>
          <w:lang w:val="uk-UA" w:eastAsia="zh-CN"/>
        </w:rPr>
      </w:pPr>
      <w:r w:rsidRPr="00511005">
        <w:rPr>
          <w:rFonts w:ascii="Arial" w:hAnsi="Arial" w:cs="Arial"/>
          <w:b/>
          <w:bCs/>
          <w:i/>
          <w:iCs/>
          <w:kern w:val="2"/>
          <w:szCs w:val="28"/>
          <w:lang w:val="uk-UA" w:eastAsia="zh-CN"/>
        </w:rPr>
        <w:t xml:space="preserve">Науковий керівник: </w:t>
      </w:r>
      <w:r w:rsidR="00C10374" w:rsidRPr="00511005">
        <w:rPr>
          <w:rFonts w:ascii="Arial" w:hAnsi="Arial" w:cs="Arial"/>
          <w:i/>
          <w:iCs/>
          <w:kern w:val="2"/>
          <w:szCs w:val="28"/>
          <w:lang w:val="uk-UA" w:eastAsia="zh-CN"/>
        </w:rPr>
        <w:t>к.ю.н., доцент Храпенко О.О.</w:t>
      </w:r>
    </w:p>
    <w:p w14:paraId="4AD1768D" w14:textId="77777777" w:rsidR="00C10374" w:rsidRPr="00511005" w:rsidRDefault="00C10374" w:rsidP="003A292D">
      <w:pPr>
        <w:widowControl w:val="0"/>
        <w:spacing w:line="264" w:lineRule="auto"/>
        <w:ind w:firstLine="0"/>
        <w:rPr>
          <w:rFonts w:ascii="Arial" w:hAnsi="Arial" w:cs="Arial"/>
          <w:i/>
          <w:iCs/>
          <w:kern w:val="2"/>
          <w:szCs w:val="28"/>
          <w:lang w:val="uk-UA" w:eastAsia="zh-CN"/>
        </w:rPr>
      </w:pPr>
    </w:p>
    <w:p w14:paraId="60BDDEC1" w14:textId="77777777" w:rsidR="00C10374" w:rsidRPr="00511005" w:rsidRDefault="00C10374" w:rsidP="003A292D">
      <w:pPr>
        <w:widowControl w:val="0"/>
        <w:spacing w:line="264" w:lineRule="auto"/>
        <w:ind w:firstLine="0"/>
        <w:rPr>
          <w:rFonts w:ascii="Arial" w:hAnsi="Arial" w:cs="Arial"/>
          <w:i/>
          <w:iCs/>
          <w:kern w:val="2"/>
          <w:szCs w:val="28"/>
          <w:lang w:val="uk-UA" w:eastAsia="zh-CN"/>
        </w:rPr>
      </w:pPr>
    </w:p>
    <w:p w14:paraId="3C1E88AE" w14:textId="77777777" w:rsidR="00C10374" w:rsidRPr="00511005" w:rsidRDefault="00C10374" w:rsidP="003A292D">
      <w:pPr>
        <w:spacing w:line="264" w:lineRule="auto"/>
        <w:ind w:firstLine="0"/>
        <w:jc w:val="center"/>
        <w:rPr>
          <w:rFonts w:ascii="Arial" w:eastAsia="Calibri" w:hAnsi="Arial" w:cs="Arial"/>
          <w:b/>
          <w:bCs/>
          <w:i/>
          <w:iCs/>
          <w:szCs w:val="28"/>
          <w:lang w:val="en-US"/>
        </w:rPr>
      </w:pPr>
      <w:r w:rsidRPr="00511005">
        <w:rPr>
          <w:rFonts w:ascii="Arial" w:eastAsia="Calibri" w:hAnsi="Arial" w:cs="Arial"/>
          <w:b/>
          <w:bCs/>
          <w:i/>
          <w:iCs/>
          <w:szCs w:val="28"/>
          <w:lang w:val="en-US"/>
        </w:rPr>
        <w:t>Kutserubova Sofia Evhenivna</w:t>
      </w:r>
    </w:p>
    <w:p w14:paraId="4CD85050" w14:textId="77777777" w:rsidR="0052789C" w:rsidRDefault="00C10374"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student of the 1</w:t>
      </w:r>
      <w:r w:rsidRPr="00511005">
        <w:rPr>
          <w:rFonts w:ascii="Arial" w:eastAsia="Calibri" w:hAnsi="Arial" w:cs="Arial"/>
          <w:szCs w:val="28"/>
          <w:vertAlign w:val="superscript"/>
          <w:lang w:val="en-US"/>
        </w:rPr>
        <w:t>st</w:t>
      </w:r>
      <w:r w:rsidRPr="00511005">
        <w:rPr>
          <w:rFonts w:ascii="Arial" w:eastAsia="Calibri" w:hAnsi="Arial" w:cs="Arial"/>
          <w:szCs w:val="28"/>
          <w:lang w:val="en-US"/>
        </w:rPr>
        <w:t xml:space="preserve"> course of the Faculty of Judicial and International Law </w:t>
      </w:r>
    </w:p>
    <w:p w14:paraId="7A6E5BF1" w14:textId="6D60BB5B" w:rsidR="00C10374" w:rsidRPr="00511005" w:rsidRDefault="00C10374"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of the National University “Odesa Law Academy”</w:t>
      </w:r>
    </w:p>
    <w:p w14:paraId="76CA197E" w14:textId="77777777" w:rsidR="00C10374" w:rsidRPr="00511005" w:rsidRDefault="00C10374" w:rsidP="003A292D">
      <w:pPr>
        <w:spacing w:line="264" w:lineRule="auto"/>
        <w:ind w:firstLine="0"/>
        <w:jc w:val="center"/>
        <w:rPr>
          <w:rFonts w:ascii="Arial" w:eastAsia="Calibri" w:hAnsi="Arial" w:cs="Arial"/>
          <w:szCs w:val="28"/>
          <w:lang w:val="en-US"/>
        </w:rPr>
      </w:pPr>
    </w:p>
    <w:p w14:paraId="0AB47231" w14:textId="77777777" w:rsidR="007B2628" w:rsidRPr="00511005" w:rsidRDefault="00C10374" w:rsidP="003A292D">
      <w:pPr>
        <w:spacing w:line="264" w:lineRule="auto"/>
        <w:ind w:firstLine="0"/>
        <w:jc w:val="center"/>
        <w:rPr>
          <w:rFonts w:ascii="Arial" w:eastAsia="Calibri" w:hAnsi="Arial" w:cs="Arial"/>
          <w:b/>
          <w:bCs/>
          <w:szCs w:val="28"/>
          <w:lang w:val="en-US"/>
        </w:rPr>
      </w:pPr>
      <w:r w:rsidRPr="00511005">
        <w:rPr>
          <w:rFonts w:ascii="Arial" w:eastAsia="Calibri" w:hAnsi="Arial" w:cs="Arial"/>
          <w:b/>
          <w:bCs/>
          <w:szCs w:val="28"/>
          <w:lang w:val="en-US"/>
        </w:rPr>
        <w:t>CHALLENGES IN THE ACTIVITIES OF JUDGES</w:t>
      </w:r>
    </w:p>
    <w:p w14:paraId="51F09F53" w14:textId="590E0A78" w:rsidR="00C10374" w:rsidRPr="00511005" w:rsidRDefault="00C10374" w:rsidP="003A292D">
      <w:pPr>
        <w:spacing w:line="264" w:lineRule="auto"/>
        <w:ind w:firstLine="0"/>
        <w:jc w:val="center"/>
        <w:rPr>
          <w:rFonts w:ascii="Arial" w:eastAsia="Calibri" w:hAnsi="Arial" w:cs="Arial"/>
          <w:b/>
          <w:bCs/>
          <w:szCs w:val="28"/>
          <w:lang w:val="en-US"/>
        </w:rPr>
      </w:pPr>
      <w:r w:rsidRPr="00511005">
        <w:rPr>
          <w:rFonts w:ascii="Arial" w:eastAsia="Calibri" w:hAnsi="Arial" w:cs="Arial"/>
          <w:b/>
          <w:bCs/>
          <w:szCs w:val="28"/>
          <w:lang w:val="en-US"/>
        </w:rPr>
        <w:t>UNDER MARTIAL LAW</w:t>
      </w:r>
    </w:p>
    <w:p w14:paraId="171D12EA" w14:textId="77777777" w:rsidR="00C10374" w:rsidRPr="00511005" w:rsidRDefault="00C10374" w:rsidP="003A292D">
      <w:pPr>
        <w:spacing w:line="264" w:lineRule="auto"/>
        <w:ind w:firstLine="0"/>
        <w:jc w:val="center"/>
        <w:rPr>
          <w:rFonts w:ascii="Arial" w:eastAsia="Calibri" w:hAnsi="Arial" w:cs="Arial"/>
          <w:szCs w:val="28"/>
          <w:lang w:val="en-US"/>
        </w:rPr>
      </w:pPr>
    </w:p>
    <w:p w14:paraId="516B53BA" w14:textId="77777777" w:rsidR="00C10374" w:rsidRPr="00511005" w:rsidRDefault="00C10374" w:rsidP="003A292D">
      <w:pPr>
        <w:spacing w:line="264" w:lineRule="auto"/>
        <w:ind w:firstLine="720"/>
        <w:rPr>
          <w:rFonts w:ascii="Arial" w:eastAsia="Calibri" w:hAnsi="Arial" w:cs="Arial"/>
          <w:szCs w:val="28"/>
          <w:lang w:val="en-US"/>
        </w:rPr>
      </w:pPr>
      <w:r w:rsidRPr="00511005">
        <w:rPr>
          <w:rFonts w:ascii="Arial" w:eastAsia="Calibri" w:hAnsi="Arial" w:cs="Arial"/>
          <w:szCs w:val="28"/>
          <w:lang w:val="en-US"/>
        </w:rPr>
        <w:t xml:space="preserve">As russia's aggression against Ukraine intensifies and the state declared martial law in 2022, significant changes are taking place in all areas of social life. The introduction of such a regime also affects the activities and structure of all branches of government. In the context of martial law, the analysis of affecting the work of judges becomes particularly important. The establishment of martial law creates extreme conditions for the judicial system, which, in turn, increases </w:t>
      </w:r>
      <w:r w:rsidRPr="00511005">
        <w:rPr>
          <w:rFonts w:ascii="Arial" w:eastAsia="Calibri" w:hAnsi="Arial" w:cs="Arial"/>
          <w:szCs w:val="28"/>
          <w:lang w:val="en-US"/>
        </w:rPr>
        <w:lastRenderedPageBreak/>
        <w:t>pressure on judges due to threats to their lives and health, and requires urgent decision-making in difficult circumstances. In the context of military actions, it is extremely important that court decisions remain lawful and fair, and that judges' behavior complies with current legislation. Therefore, the study challenges faced by judges during martial law is crucial for ensuring justice and protection of human rights, as well as for maintaining public confidence in the judiciary.</w:t>
      </w:r>
    </w:p>
    <w:p w14:paraId="1D77F3AB" w14:textId="77777777" w:rsidR="00C10374" w:rsidRPr="00511005" w:rsidRDefault="00C10374" w:rsidP="003A292D">
      <w:pPr>
        <w:spacing w:line="264" w:lineRule="auto"/>
        <w:ind w:firstLine="720"/>
        <w:rPr>
          <w:rFonts w:ascii="Arial" w:eastAsia="Calibri" w:hAnsi="Arial" w:cs="Arial"/>
          <w:szCs w:val="28"/>
          <w:lang w:val="en-US"/>
        </w:rPr>
      </w:pPr>
      <w:r w:rsidRPr="00511005">
        <w:rPr>
          <w:rFonts w:ascii="Arial" w:eastAsia="Calibri" w:hAnsi="Arial" w:cs="Arial"/>
          <w:szCs w:val="28"/>
          <w:lang w:val="en-US"/>
        </w:rPr>
        <w:t>Even in the context of the complex legal regime of martial law, Article 10 of the Law of Ukraine ‘On the Legal Regime of Martial Law’ clearly states that the termination of powers of courts, other state bodies and the President of Ukraine is not permissible [1]. This appears to be necessary to ensure the constitutional rights and freedoms of citizens, as justice should be administered exclusively by courts, and the independence and immunity of judges is guaranteed by the Constitution (Articles 124, 126) [2]. It is also worth noting that according to Article 147 paragraph 2 of the Law ‘On the Judiciary and the Status of Judges’, state and local authorities have an obligation to ensure access to justice for citizens, even in the presence of potential dangers or threats, in order to protect their rights [3].</w:t>
      </w:r>
    </w:p>
    <w:p w14:paraId="1DCBAC95" w14:textId="77777777" w:rsidR="00C10374" w:rsidRPr="00511005" w:rsidRDefault="00C10374" w:rsidP="003A292D">
      <w:pPr>
        <w:spacing w:line="264" w:lineRule="auto"/>
        <w:ind w:firstLine="720"/>
        <w:rPr>
          <w:rFonts w:ascii="Arial" w:eastAsia="Calibri" w:hAnsi="Arial" w:cs="Arial"/>
          <w:szCs w:val="28"/>
          <w:lang w:val="en-US"/>
        </w:rPr>
      </w:pPr>
      <w:r w:rsidRPr="00511005">
        <w:rPr>
          <w:rFonts w:ascii="Arial" w:eastAsia="Calibri" w:hAnsi="Arial" w:cs="Arial"/>
          <w:szCs w:val="28"/>
          <w:lang w:val="en-US"/>
        </w:rPr>
        <w:t>In the context of war, including information warfare, the emotional state of society becomes more tense, which leads to pressure on judges during the consideration of high-profile cases, especially those related to war crimes. As rightly noted by O. Zagurskyi, the independence of judges is considered to be the main ethical axiom of their work, which includes financial and organizational autonomy of the judiciary, as well as protection from political influence [4, p. 100]. This principle should be seen as an exception to any relationship that does not correspond to the official duties of a judge, except for representative ones (Article 3 of the Code of Judicial Ethics). It is also important to note that the war may cause situations where personal connections of judges influence their decisions, which is a direct violation of the principle of impartiality enshrined in Article 4 of the above-mentioned code. According to these rules, a judge must be free from personal preferences, bias or prejudice [5]. This is reflected in the Bangalore Principles of Judicial Conduct, adopted on 27 July 2006, according to Article 2 paragraph 5, a judge should withdraw from a case if he or she is unable to be objective or if there is doubt about his or her impartiality [6].</w:t>
      </w:r>
    </w:p>
    <w:p w14:paraId="29A89238" w14:textId="77777777" w:rsidR="00C10374" w:rsidRPr="00511005" w:rsidRDefault="00C10374" w:rsidP="003A292D">
      <w:pPr>
        <w:spacing w:line="264" w:lineRule="auto"/>
        <w:ind w:firstLine="720"/>
        <w:rPr>
          <w:rFonts w:ascii="Arial" w:eastAsia="Calibri" w:hAnsi="Arial" w:cs="Arial"/>
          <w:szCs w:val="28"/>
          <w:lang w:val="en-US"/>
        </w:rPr>
      </w:pPr>
      <w:r w:rsidRPr="00511005">
        <w:rPr>
          <w:rFonts w:ascii="Arial" w:eastAsia="Calibri" w:hAnsi="Arial" w:cs="Arial"/>
          <w:szCs w:val="28"/>
          <w:lang w:val="en-US"/>
        </w:rPr>
        <w:t xml:space="preserve">Another critical issue is access to justice. As noted earlier, the suspension of judges during martial law is unlawful. However, according to statistics as of January 2024, 131 court buildings have been damaged since the beginning of Russia's full-scale invasion, and courts in the occupied territories (Donetsk, Luhansk, Kharkiv, Zaporizhzhia, Sumy regions, and the Autonomous Republic of Crimea) are not functioning. At the same time, courts located near the front line operate under extreme risk [7]. All of the above is one of the reasons why it is difficult or impossible to visit judicial institutions. The problem here is that the state must ensure access to justice even in times of war, which actually means </w:t>
      </w:r>
      <w:r w:rsidRPr="00511005">
        <w:rPr>
          <w:rFonts w:ascii="Arial" w:eastAsia="Calibri" w:hAnsi="Arial" w:cs="Arial"/>
          <w:szCs w:val="28"/>
          <w:lang w:val="en-US"/>
        </w:rPr>
        <w:lastRenderedPageBreak/>
        <w:t>introducing an alternative way of conducting legal proceedings. Under such circumstances, the use of the Unified Judicial Information and Telecommunication System, namely the video conferencing and e-court subsystems, enabled the Ukrainian judicial system to operate effectively during martial law.</w:t>
      </w:r>
    </w:p>
    <w:p w14:paraId="42FE29C3" w14:textId="77777777" w:rsidR="00C10374" w:rsidRPr="00511005" w:rsidRDefault="00C10374" w:rsidP="003A292D">
      <w:pPr>
        <w:spacing w:line="264" w:lineRule="auto"/>
        <w:ind w:firstLine="720"/>
        <w:rPr>
          <w:rFonts w:ascii="Arial" w:eastAsia="Calibri" w:hAnsi="Arial" w:cs="Arial"/>
          <w:szCs w:val="28"/>
          <w:lang w:val="en-US"/>
        </w:rPr>
      </w:pPr>
      <w:r w:rsidRPr="00511005">
        <w:rPr>
          <w:rFonts w:ascii="Arial" w:eastAsia="Calibri" w:hAnsi="Arial" w:cs="Arial"/>
          <w:szCs w:val="28"/>
          <w:lang w:val="en-US"/>
        </w:rPr>
        <w:t xml:space="preserve">In his publications, K.L Bohaychuk emphasises another fundamental point: the regulatory regulation and resumption of the activities of the judiciary in the de-occupied territories. He notes that the government's plans for the restoration of the de-occupied territories (in particular, Donetsk and Luhansk regions) do not provide for the restoration of the judiciary. He emphasizes that this issue should be considered at the level of the State Judicial Administration and the government by developing and approving a document on the resumption of the work of the judiciary in the de-occupied territories, organization of their political activities, interaction with executive authorities and local self-government, and special attention should be paid to ensuring the safety of judges and employees, access to state registers and protection of information systems [8, pp. 98-99 ]. </w:t>
      </w:r>
    </w:p>
    <w:p w14:paraId="2B94F941" w14:textId="77777777" w:rsidR="00C10374" w:rsidRPr="00511005" w:rsidRDefault="00C10374" w:rsidP="003A292D">
      <w:pPr>
        <w:spacing w:line="264" w:lineRule="auto"/>
        <w:ind w:firstLine="720"/>
        <w:rPr>
          <w:rFonts w:ascii="Arial" w:eastAsia="Calibri" w:hAnsi="Arial" w:cs="Arial"/>
          <w:szCs w:val="28"/>
          <w:lang w:val="en-US"/>
        </w:rPr>
      </w:pPr>
      <w:r w:rsidRPr="00511005">
        <w:rPr>
          <w:rFonts w:ascii="Arial" w:eastAsia="Calibri" w:hAnsi="Arial" w:cs="Arial"/>
          <w:szCs w:val="28"/>
          <w:lang w:val="en-US"/>
        </w:rPr>
        <w:t xml:space="preserve">Thus, the essence of the above is that even in difficult times of martial law in countries, courts should not cease their activities, ensuring access to justice for citizens. In times of extraordinary trials, judges face numerous ethical and other challenges, but their main task remains to ensure fair and impartial justice. </w:t>
      </w:r>
    </w:p>
    <w:p w14:paraId="0D2AFD2C" w14:textId="77777777" w:rsidR="00C10374" w:rsidRPr="00511005" w:rsidRDefault="00C10374" w:rsidP="003A292D">
      <w:pPr>
        <w:spacing w:line="264" w:lineRule="auto"/>
        <w:ind w:firstLine="720"/>
        <w:rPr>
          <w:rFonts w:ascii="Arial" w:eastAsia="Calibri" w:hAnsi="Arial" w:cs="Arial"/>
          <w:szCs w:val="28"/>
          <w:lang w:val="en-US"/>
        </w:rPr>
      </w:pPr>
    </w:p>
    <w:p w14:paraId="453F2A32" w14:textId="77777777" w:rsidR="00C10374" w:rsidRPr="00511005" w:rsidRDefault="00C10374" w:rsidP="003A292D">
      <w:pPr>
        <w:spacing w:line="264" w:lineRule="auto"/>
        <w:ind w:firstLine="0"/>
        <w:jc w:val="center"/>
        <w:rPr>
          <w:rFonts w:ascii="Arial" w:eastAsia="Calibri" w:hAnsi="Arial" w:cs="Arial"/>
          <w:b/>
          <w:bCs/>
          <w:szCs w:val="28"/>
        </w:rPr>
      </w:pPr>
      <w:r w:rsidRPr="00511005">
        <w:rPr>
          <w:rFonts w:ascii="Arial" w:eastAsia="Calibri" w:hAnsi="Arial" w:cs="Arial"/>
          <w:b/>
          <w:bCs/>
          <w:szCs w:val="28"/>
        </w:rPr>
        <w:t>References:</w:t>
      </w:r>
    </w:p>
    <w:p w14:paraId="23429642" w14:textId="77777777" w:rsidR="00C10374" w:rsidRPr="00511005" w:rsidRDefault="00C10374" w:rsidP="003F6A5D">
      <w:pPr>
        <w:numPr>
          <w:ilvl w:val="0"/>
          <w:numId w:val="305"/>
        </w:numPr>
        <w:spacing w:line="264" w:lineRule="auto"/>
        <w:ind w:firstLine="0"/>
        <w:rPr>
          <w:rFonts w:ascii="Arial" w:eastAsia="Calibri" w:hAnsi="Arial" w:cs="Arial"/>
          <w:szCs w:val="28"/>
        </w:rPr>
      </w:pPr>
      <w:r w:rsidRPr="00511005">
        <w:rPr>
          <w:rFonts w:ascii="Arial" w:eastAsia="Calibri" w:hAnsi="Arial" w:cs="Arial"/>
          <w:szCs w:val="28"/>
        </w:rPr>
        <w:t>Про правовий режим воєнного стану: Закон України від 12.05.2015 р. URL: </w:t>
      </w:r>
      <w:hyperlink r:id="rId1122" w:anchor="Text" w:tgtFrame="https://www.grafiati.com/uk/_blank" w:history="1">
        <w:r w:rsidRPr="00511005">
          <w:rPr>
            <w:rFonts w:ascii="Arial" w:eastAsia="Calibri" w:hAnsi="Arial" w:cs="Arial"/>
            <w:szCs w:val="28"/>
          </w:rPr>
          <w:t>https://zakon.rada.gov.ua/laws/show/389-19#Text</w:t>
        </w:r>
      </w:hyperlink>
      <w:r w:rsidRPr="00511005">
        <w:rPr>
          <w:rFonts w:ascii="Arial" w:eastAsia="Calibri" w:hAnsi="Arial" w:cs="Arial"/>
          <w:szCs w:val="28"/>
        </w:rPr>
        <w:t> (дата звернення: 10.03.2025).</w:t>
      </w:r>
    </w:p>
    <w:p w14:paraId="4C8B3080" w14:textId="77777777" w:rsidR="00C10374" w:rsidRPr="00511005" w:rsidRDefault="00C10374" w:rsidP="003F6A5D">
      <w:pPr>
        <w:numPr>
          <w:ilvl w:val="0"/>
          <w:numId w:val="305"/>
        </w:numPr>
        <w:spacing w:line="264" w:lineRule="auto"/>
        <w:ind w:firstLine="0"/>
        <w:rPr>
          <w:rFonts w:ascii="Arial" w:eastAsia="Calibri" w:hAnsi="Arial" w:cs="Arial"/>
          <w:szCs w:val="28"/>
        </w:rPr>
      </w:pPr>
      <w:r w:rsidRPr="00511005">
        <w:rPr>
          <w:rFonts w:ascii="Arial" w:eastAsia="Calibri" w:hAnsi="Arial" w:cs="Arial"/>
          <w:szCs w:val="28"/>
        </w:rPr>
        <w:t>Конституція України від 28.06.1996 р. URL: https://zakon.rada.gov.ua/laws/show/254к/96-вр#Text (дата звернення: 10.03.2025).</w:t>
      </w:r>
    </w:p>
    <w:p w14:paraId="12D08621" w14:textId="03565BD6" w:rsidR="00C10374" w:rsidRPr="00511005" w:rsidRDefault="00C10374" w:rsidP="003F6A5D">
      <w:pPr>
        <w:numPr>
          <w:ilvl w:val="0"/>
          <w:numId w:val="305"/>
        </w:numPr>
        <w:spacing w:line="264" w:lineRule="auto"/>
        <w:ind w:firstLine="0"/>
        <w:rPr>
          <w:rFonts w:ascii="Arial" w:eastAsia="Calibri" w:hAnsi="Arial" w:cs="Arial"/>
          <w:szCs w:val="28"/>
        </w:rPr>
      </w:pPr>
      <w:r w:rsidRPr="00511005">
        <w:rPr>
          <w:rFonts w:ascii="Arial" w:eastAsia="Calibri" w:hAnsi="Arial" w:cs="Arial"/>
          <w:szCs w:val="28"/>
        </w:rPr>
        <w:t>Про судоустрій і статус суддів: Закон України від 02.06.2016 р.</w:t>
      </w:r>
      <w:r w:rsidR="007B2628" w:rsidRPr="00511005">
        <w:rPr>
          <w:rFonts w:ascii="Arial" w:eastAsia="Calibri" w:hAnsi="Arial" w:cs="Arial"/>
          <w:szCs w:val="28"/>
        </w:rPr>
        <w:t xml:space="preserve"> </w:t>
      </w:r>
      <w:r w:rsidRPr="00511005">
        <w:rPr>
          <w:rFonts w:ascii="Arial" w:eastAsia="Calibri" w:hAnsi="Arial" w:cs="Arial"/>
          <w:szCs w:val="28"/>
        </w:rPr>
        <w:t>URL: </w:t>
      </w:r>
      <w:hyperlink r:id="rId1123" w:anchor="Text" w:tgtFrame="https://www.grafiati.com/uk/_blank" w:history="1">
        <w:r w:rsidRPr="00511005">
          <w:rPr>
            <w:rFonts w:ascii="Arial" w:eastAsia="Calibri" w:hAnsi="Arial" w:cs="Arial"/>
            <w:szCs w:val="28"/>
          </w:rPr>
          <w:t>https://zakon.rada.gov.ua/laws/show/1402-19#Text</w:t>
        </w:r>
      </w:hyperlink>
      <w:r w:rsidRPr="00511005">
        <w:rPr>
          <w:rFonts w:ascii="Arial" w:eastAsia="Calibri" w:hAnsi="Arial" w:cs="Arial"/>
          <w:szCs w:val="28"/>
        </w:rPr>
        <w:t> (дата звернення: 10.03.2025).</w:t>
      </w:r>
    </w:p>
    <w:p w14:paraId="64B65B7B" w14:textId="77777777" w:rsidR="00C10374" w:rsidRPr="00511005" w:rsidRDefault="00C10374" w:rsidP="003F6A5D">
      <w:pPr>
        <w:numPr>
          <w:ilvl w:val="0"/>
          <w:numId w:val="305"/>
        </w:numPr>
        <w:spacing w:line="264" w:lineRule="auto"/>
        <w:ind w:firstLine="0"/>
        <w:rPr>
          <w:rFonts w:ascii="Arial" w:eastAsia="Calibri" w:hAnsi="Arial" w:cs="Arial"/>
          <w:szCs w:val="28"/>
        </w:rPr>
      </w:pPr>
      <w:r w:rsidRPr="00511005">
        <w:rPr>
          <w:rFonts w:ascii="Arial" w:eastAsia="Calibri" w:hAnsi="Arial" w:cs="Arial"/>
          <w:szCs w:val="28"/>
          <w:lang w:val="en-US"/>
        </w:rPr>
        <w:t xml:space="preserve">Zagurskyy O. Ensuring compliance with ethical standards of judicial activity under martial law. Scientific and informational bulletin of Ivano-Frankivsk University of Law named after King Danylo Halytskyi. </w:t>
      </w:r>
      <w:r w:rsidRPr="00511005">
        <w:rPr>
          <w:rFonts w:ascii="Arial" w:eastAsia="Calibri" w:hAnsi="Arial" w:cs="Arial"/>
          <w:szCs w:val="28"/>
        </w:rPr>
        <w:t>2023. Vol. 2, no. 15(27). P. 98–105.</w:t>
      </w:r>
    </w:p>
    <w:p w14:paraId="42E06011" w14:textId="77777777" w:rsidR="00C10374" w:rsidRPr="00511005" w:rsidRDefault="00C10374" w:rsidP="003F6A5D">
      <w:pPr>
        <w:numPr>
          <w:ilvl w:val="0"/>
          <w:numId w:val="305"/>
        </w:numPr>
        <w:spacing w:line="264" w:lineRule="auto"/>
        <w:ind w:firstLine="0"/>
        <w:rPr>
          <w:rFonts w:ascii="Arial" w:eastAsia="Calibri" w:hAnsi="Arial" w:cs="Arial"/>
          <w:szCs w:val="28"/>
        </w:rPr>
      </w:pPr>
      <w:r w:rsidRPr="00511005">
        <w:rPr>
          <w:rFonts w:ascii="Arial" w:eastAsia="Calibri" w:hAnsi="Arial" w:cs="Arial"/>
          <w:szCs w:val="28"/>
        </w:rPr>
        <w:t>Кодекс суддівської етики від 22.02.2013 р. URL: https://zakon.rada.gov.ua/rada/show/n0001415-13#Text (дата звернення: 10.03.2025).</w:t>
      </w:r>
    </w:p>
    <w:p w14:paraId="34D2329C" w14:textId="50C54D0D" w:rsidR="00C10374" w:rsidRPr="00511005" w:rsidRDefault="00C10374" w:rsidP="003F6A5D">
      <w:pPr>
        <w:numPr>
          <w:ilvl w:val="0"/>
          <w:numId w:val="305"/>
        </w:numPr>
        <w:spacing w:line="264" w:lineRule="auto"/>
        <w:ind w:firstLine="0"/>
        <w:rPr>
          <w:rFonts w:ascii="Arial" w:eastAsia="Calibri" w:hAnsi="Arial" w:cs="Arial"/>
          <w:szCs w:val="28"/>
        </w:rPr>
      </w:pPr>
      <w:r w:rsidRPr="00511005">
        <w:rPr>
          <w:rFonts w:ascii="Arial" w:eastAsia="Calibri" w:hAnsi="Arial" w:cs="Arial"/>
          <w:szCs w:val="28"/>
        </w:rPr>
        <w:t>Бангалорські принципи поведінки суддів від 19.06.2006 р.</w:t>
      </w:r>
      <w:r w:rsidR="007B2628" w:rsidRPr="00511005">
        <w:rPr>
          <w:rFonts w:ascii="Arial" w:eastAsia="Calibri" w:hAnsi="Arial" w:cs="Arial"/>
          <w:szCs w:val="28"/>
        </w:rPr>
        <w:t xml:space="preserve"> </w:t>
      </w:r>
      <w:r w:rsidRPr="00511005">
        <w:rPr>
          <w:rFonts w:ascii="Arial" w:eastAsia="Calibri" w:hAnsi="Arial" w:cs="Arial"/>
          <w:szCs w:val="28"/>
        </w:rPr>
        <w:t>URL: https://zakon.rada.gov.ua/laws/show/995_j67#Text (дата звернення: 10.03.2025).</w:t>
      </w:r>
    </w:p>
    <w:p w14:paraId="7EEC5A9E" w14:textId="77777777" w:rsidR="00C10374" w:rsidRPr="00511005" w:rsidRDefault="00C10374" w:rsidP="003F6A5D">
      <w:pPr>
        <w:numPr>
          <w:ilvl w:val="0"/>
          <w:numId w:val="305"/>
        </w:numPr>
        <w:spacing w:line="264" w:lineRule="auto"/>
        <w:ind w:firstLine="0"/>
        <w:rPr>
          <w:rFonts w:ascii="Arial" w:eastAsia="Calibri" w:hAnsi="Arial" w:cs="Arial"/>
          <w:szCs w:val="28"/>
        </w:rPr>
      </w:pPr>
      <w:r w:rsidRPr="00511005">
        <w:rPr>
          <w:rFonts w:ascii="Arial" w:eastAsia="Calibri" w:hAnsi="Arial" w:cs="Arial"/>
          <w:szCs w:val="28"/>
        </w:rPr>
        <w:lastRenderedPageBreak/>
        <w:t>Судочинство під час війни: судді ВС розповіли про виклики та особливості здійснення правосуддя в умовах воєнного стану. Вебсайт Верховного Суду. URL: </w:t>
      </w:r>
      <w:hyperlink r:id="rId1124" w:tgtFrame="https://www.grafiati.com/uk/_blank" w:history="1">
        <w:r w:rsidRPr="00511005">
          <w:rPr>
            <w:rFonts w:ascii="Arial" w:eastAsia="Calibri" w:hAnsi="Arial" w:cs="Arial"/>
            <w:szCs w:val="28"/>
          </w:rPr>
          <w:t>https://supreme.court.gov.ua/supreme/pres-centr/news/1576075/</w:t>
        </w:r>
      </w:hyperlink>
      <w:r w:rsidRPr="00511005">
        <w:rPr>
          <w:rFonts w:ascii="Arial" w:eastAsia="Calibri" w:hAnsi="Arial" w:cs="Arial"/>
          <w:szCs w:val="28"/>
        </w:rPr>
        <w:t> (дата звернення: 10.03.2025).</w:t>
      </w:r>
    </w:p>
    <w:p w14:paraId="4C5D5855" w14:textId="77777777" w:rsidR="00C10374" w:rsidRPr="00511005" w:rsidRDefault="00C10374" w:rsidP="003F6A5D">
      <w:pPr>
        <w:numPr>
          <w:ilvl w:val="0"/>
          <w:numId w:val="305"/>
        </w:numPr>
        <w:spacing w:line="264" w:lineRule="auto"/>
        <w:ind w:firstLine="0"/>
        <w:rPr>
          <w:rFonts w:ascii="Arial" w:eastAsia="Calibri" w:hAnsi="Arial" w:cs="Arial"/>
          <w:szCs w:val="28"/>
        </w:rPr>
      </w:pPr>
      <w:r w:rsidRPr="00511005">
        <w:rPr>
          <w:rFonts w:ascii="Arial" w:eastAsia="Calibri" w:hAnsi="Arial" w:cs="Arial"/>
          <w:szCs w:val="28"/>
        </w:rPr>
        <w:t>Бугайчук К. Л. Особливості організації доступу до правосуддя в період дії правового режиму воєнного стану. </w:t>
      </w:r>
      <w:r w:rsidRPr="00511005">
        <w:rPr>
          <w:rFonts w:ascii="Arial" w:eastAsia="Calibri" w:hAnsi="Arial" w:cs="Arial"/>
          <w:i/>
          <w:iCs/>
          <w:szCs w:val="28"/>
        </w:rPr>
        <w:t>New Ukrainian law</w:t>
      </w:r>
      <w:r w:rsidRPr="00511005">
        <w:rPr>
          <w:rFonts w:ascii="Arial" w:eastAsia="Calibri" w:hAnsi="Arial" w:cs="Arial"/>
          <w:szCs w:val="28"/>
        </w:rPr>
        <w:t>. 2024. № 4. С. 93–100.</w:t>
      </w:r>
    </w:p>
    <w:p w14:paraId="34129550" w14:textId="77777777" w:rsidR="00C10374" w:rsidRPr="00511005" w:rsidRDefault="00C10374" w:rsidP="003A292D">
      <w:pPr>
        <w:spacing w:line="264" w:lineRule="auto"/>
        <w:ind w:firstLine="0"/>
        <w:rPr>
          <w:rFonts w:ascii="Arial" w:eastAsia="Calibri" w:hAnsi="Arial" w:cs="Arial"/>
          <w:szCs w:val="28"/>
        </w:rPr>
      </w:pPr>
    </w:p>
    <w:p w14:paraId="47F6EF22" w14:textId="2CA17265" w:rsidR="00C10374" w:rsidRPr="00511005" w:rsidRDefault="007B2628" w:rsidP="006C2EDA">
      <w:pPr>
        <w:spacing w:line="264" w:lineRule="auto"/>
        <w:ind w:firstLine="0"/>
        <w:rPr>
          <w:rFonts w:ascii="Arial" w:eastAsia="Calibri" w:hAnsi="Arial" w:cs="Arial"/>
          <w:szCs w:val="28"/>
        </w:rPr>
      </w:pPr>
      <w:r w:rsidRPr="00511005">
        <w:rPr>
          <w:rFonts w:ascii="Arial" w:eastAsia="Calibri" w:hAnsi="Arial" w:cs="Arial"/>
          <w:b/>
          <w:bCs/>
          <w:i/>
          <w:iCs/>
          <w:szCs w:val="28"/>
        </w:rPr>
        <w:t xml:space="preserve">Ключові слова: </w:t>
      </w:r>
      <w:r w:rsidR="00C10374" w:rsidRPr="00511005">
        <w:rPr>
          <w:rFonts w:ascii="Arial" w:eastAsia="Calibri" w:hAnsi="Arial" w:cs="Arial"/>
          <w:szCs w:val="28"/>
        </w:rPr>
        <w:t>війна, воєнний стан, етика, судова система, Кодекс суддівської етики</w:t>
      </w:r>
    </w:p>
    <w:p w14:paraId="6740D9B8" w14:textId="12737ED0" w:rsidR="00C10374" w:rsidRPr="00511005" w:rsidRDefault="007B2628" w:rsidP="006C2EDA">
      <w:pPr>
        <w:spacing w:line="264" w:lineRule="auto"/>
        <w:ind w:firstLine="0"/>
        <w:rPr>
          <w:rFonts w:ascii="Arial" w:eastAsia="Calibri" w:hAnsi="Arial" w:cs="Arial"/>
          <w:szCs w:val="28"/>
          <w:lang w:val="en-US"/>
        </w:rPr>
      </w:pPr>
      <w:r w:rsidRPr="00511005">
        <w:rPr>
          <w:rFonts w:ascii="Arial" w:eastAsia="Calibri" w:hAnsi="Arial" w:cs="Arial"/>
          <w:b/>
          <w:bCs/>
          <w:i/>
          <w:iCs/>
          <w:szCs w:val="28"/>
          <w:lang w:val="en-US"/>
        </w:rPr>
        <w:t xml:space="preserve">Key words: </w:t>
      </w:r>
      <w:r w:rsidR="00C10374" w:rsidRPr="00511005">
        <w:rPr>
          <w:rFonts w:ascii="Arial" w:eastAsia="Calibri" w:hAnsi="Arial" w:cs="Arial"/>
          <w:szCs w:val="28"/>
          <w:lang w:val="en-US"/>
        </w:rPr>
        <w:t xml:space="preserve">war, martial law, ethic, judicial system, </w:t>
      </w:r>
      <w:r w:rsidR="00C10374" w:rsidRPr="00511005">
        <w:rPr>
          <w:rFonts w:ascii="Arial" w:eastAsia="Calibri" w:hAnsi="Arial" w:cs="Arial"/>
          <w:szCs w:val="28"/>
        </w:rPr>
        <w:t>С</w:t>
      </w:r>
      <w:r w:rsidR="00C10374" w:rsidRPr="00511005">
        <w:rPr>
          <w:rFonts w:ascii="Arial" w:eastAsia="Calibri" w:hAnsi="Arial" w:cs="Arial"/>
          <w:szCs w:val="28"/>
          <w:lang w:val="en-US"/>
        </w:rPr>
        <w:t>ode of judicial ethic</w:t>
      </w:r>
    </w:p>
    <w:p w14:paraId="5530E363" w14:textId="5CD84A38" w:rsidR="00C10374" w:rsidRPr="00511005" w:rsidRDefault="006C2EDA" w:rsidP="006C2EDA">
      <w:pPr>
        <w:spacing w:line="264" w:lineRule="auto"/>
        <w:ind w:firstLine="0"/>
        <w:rPr>
          <w:rFonts w:ascii="Arial" w:eastAsia="Calibri" w:hAnsi="Arial" w:cs="Arial"/>
          <w:i/>
          <w:iCs/>
          <w:szCs w:val="28"/>
          <w:lang w:val="en-US"/>
        </w:rPr>
      </w:pPr>
      <w:r w:rsidRPr="006C2EDA">
        <w:rPr>
          <w:rFonts w:ascii="Arial" w:eastAsia="Times New Roman" w:hAnsi="Arial" w:cs="Arial"/>
          <w:b/>
          <w:bCs/>
          <w:i/>
          <w:iCs/>
          <w:szCs w:val="28"/>
          <w:lang w:val="en-US" w:eastAsia="ru-RU"/>
        </w:rPr>
        <w:t xml:space="preserve">Academic supervisor: </w:t>
      </w:r>
      <w:r w:rsidR="00C10374" w:rsidRPr="00511005">
        <w:rPr>
          <w:rFonts w:ascii="Arial" w:eastAsia="Calibri" w:hAnsi="Arial" w:cs="Arial"/>
          <w:i/>
          <w:iCs/>
          <w:szCs w:val="28"/>
          <w:lang w:val="en-US"/>
        </w:rPr>
        <w:t>candidate of legal science, docent Kravchenko M.O</w:t>
      </w:r>
    </w:p>
    <w:p w14:paraId="4F90351D" w14:textId="77777777" w:rsidR="00C10374" w:rsidRPr="00511005" w:rsidRDefault="00C10374" w:rsidP="003A292D">
      <w:pPr>
        <w:spacing w:line="264" w:lineRule="auto"/>
        <w:ind w:firstLine="0"/>
        <w:rPr>
          <w:rFonts w:ascii="Arial" w:eastAsia="Calibri" w:hAnsi="Arial" w:cs="Arial"/>
          <w:i/>
          <w:iCs/>
          <w:szCs w:val="28"/>
          <w:lang w:val="en-US"/>
        </w:rPr>
      </w:pPr>
    </w:p>
    <w:p w14:paraId="6A5285CE" w14:textId="77777777" w:rsidR="00C10374" w:rsidRPr="00511005" w:rsidRDefault="00C10374" w:rsidP="003A292D">
      <w:pPr>
        <w:spacing w:line="264" w:lineRule="auto"/>
        <w:ind w:firstLine="0"/>
        <w:rPr>
          <w:rFonts w:ascii="Arial" w:eastAsia="Calibri" w:hAnsi="Arial" w:cs="Arial"/>
          <w:i/>
          <w:iCs/>
          <w:szCs w:val="28"/>
          <w:lang w:val="en-US"/>
        </w:rPr>
      </w:pPr>
    </w:p>
    <w:p w14:paraId="2748DA4B" w14:textId="77777777" w:rsidR="00C10374" w:rsidRPr="00511005" w:rsidRDefault="00C10374" w:rsidP="003A292D">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Литвин Матвій Юрійович</w:t>
      </w:r>
    </w:p>
    <w:p w14:paraId="30EB3C59" w14:textId="75B23ED7" w:rsidR="00C10374" w:rsidRPr="00511005" w:rsidRDefault="00C10374" w:rsidP="003A292D">
      <w:pPr>
        <w:spacing w:line="264" w:lineRule="auto"/>
        <w:ind w:firstLine="720"/>
        <w:jc w:val="center"/>
        <w:rPr>
          <w:rFonts w:ascii="Arial" w:eastAsia="Calibri" w:hAnsi="Arial" w:cs="Arial"/>
          <w:iCs/>
          <w:szCs w:val="28"/>
          <w:lang w:val="uk-UA"/>
        </w:rPr>
      </w:pPr>
      <w:r w:rsidRPr="00511005">
        <w:rPr>
          <w:rFonts w:ascii="Arial" w:eastAsia="Calibri" w:hAnsi="Arial" w:cs="Arial"/>
          <w:iCs/>
          <w:szCs w:val="28"/>
          <w:lang w:val="uk-UA"/>
        </w:rPr>
        <w:t xml:space="preserve">студента 1-го курсу </w:t>
      </w:r>
      <w:r w:rsidR="001B7B25" w:rsidRPr="00511005">
        <w:rPr>
          <w:rFonts w:ascii="Arial" w:eastAsia="Calibri" w:hAnsi="Arial" w:cs="Arial"/>
          <w:iCs/>
          <w:szCs w:val="28"/>
          <w:lang w:val="uk-UA"/>
        </w:rPr>
        <w:t>факультету судового та міжнародного права</w:t>
      </w:r>
      <w:r w:rsidRPr="00511005">
        <w:rPr>
          <w:rFonts w:ascii="Arial" w:eastAsia="Calibri" w:hAnsi="Arial" w:cs="Arial"/>
          <w:iCs/>
          <w:szCs w:val="28"/>
          <w:lang w:val="uk-UA"/>
        </w:rPr>
        <w:t xml:space="preserve"> </w:t>
      </w:r>
    </w:p>
    <w:p w14:paraId="4B76F8A6" w14:textId="39523661" w:rsidR="00C10374" w:rsidRPr="00511005" w:rsidRDefault="007B2628" w:rsidP="003A292D">
      <w:pPr>
        <w:spacing w:line="264" w:lineRule="auto"/>
        <w:ind w:firstLine="720"/>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2E2DDBBC" w14:textId="77777777" w:rsidR="00C10374" w:rsidRPr="00511005" w:rsidRDefault="00C10374" w:rsidP="003A292D">
      <w:pPr>
        <w:spacing w:line="264" w:lineRule="auto"/>
        <w:ind w:firstLine="720"/>
        <w:jc w:val="center"/>
        <w:rPr>
          <w:rFonts w:ascii="Arial" w:eastAsia="Calibri" w:hAnsi="Arial" w:cs="Arial"/>
          <w:iCs/>
          <w:szCs w:val="28"/>
          <w:lang w:val="uk-UA"/>
        </w:rPr>
      </w:pPr>
    </w:p>
    <w:p w14:paraId="30539690" w14:textId="77777777" w:rsidR="00C10374" w:rsidRPr="00511005" w:rsidRDefault="00C10374" w:rsidP="003A292D">
      <w:pPr>
        <w:spacing w:line="264" w:lineRule="auto"/>
        <w:ind w:firstLine="720"/>
        <w:jc w:val="center"/>
        <w:rPr>
          <w:rFonts w:ascii="Arial" w:eastAsia="Calibri" w:hAnsi="Arial" w:cs="Arial"/>
          <w:i/>
          <w:iCs/>
          <w:szCs w:val="28"/>
          <w:lang w:val="uk-UA"/>
        </w:rPr>
      </w:pPr>
      <w:r w:rsidRPr="00511005">
        <w:rPr>
          <w:rFonts w:ascii="Arial" w:eastAsia="Calibri" w:hAnsi="Arial" w:cs="Arial"/>
          <w:b/>
          <w:bCs/>
          <w:szCs w:val="28"/>
          <w:lang w:val="uk-UA"/>
        </w:rPr>
        <w:t>ДИСЦИПЛІНАРНА ВІДПОВІДАЛЬНІСТЬ АДВОКАТА</w:t>
      </w:r>
      <w:r w:rsidRPr="00511005">
        <w:rPr>
          <w:rFonts w:ascii="Arial" w:eastAsia="Calibri" w:hAnsi="Arial" w:cs="Arial"/>
          <w:i/>
          <w:iCs/>
          <w:szCs w:val="28"/>
          <w:lang w:val="uk-UA"/>
        </w:rPr>
        <w:t xml:space="preserve"> </w:t>
      </w:r>
    </w:p>
    <w:p w14:paraId="11C3CEEF" w14:textId="77777777" w:rsidR="00C10374" w:rsidRPr="00511005" w:rsidRDefault="00C10374" w:rsidP="003A292D">
      <w:pPr>
        <w:spacing w:line="264" w:lineRule="auto"/>
        <w:ind w:firstLine="720"/>
        <w:jc w:val="center"/>
        <w:rPr>
          <w:rFonts w:ascii="Arial" w:eastAsia="Calibri" w:hAnsi="Arial" w:cs="Arial"/>
          <w:b/>
          <w:bCs/>
          <w:szCs w:val="28"/>
          <w:lang w:val="uk-UA"/>
        </w:rPr>
      </w:pPr>
    </w:p>
    <w:p w14:paraId="1FE65847"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Адвокати є важливою професією у судовій системі України та у сучасному світі загалом. Буває багато різних ситуацій, коли людину або громадянина обвинувачують у скоєнні злочину, до якого ця людина не має ніякого відношення. В цих випадках людині або громадянину повинна професійна допомога у захисті своїх прав. Цією допомогою є адвокат, який захищає права та свободу людини у суді. Але не завжди адвокат виконує свої обов’язки згідно з нормами, прописаними у чинному законодавстві. Внаслідок цього його може бути притягнуто до дисциплінарної відповідальності. </w:t>
      </w:r>
    </w:p>
    <w:p w14:paraId="62D57122" w14:textId="77777777" w:rsidR="00C10374" w:rsidRPr="00511005" w:rsidRDefault="00C10374" w:rsidP="003A292D">
      <w:pPr>
        <w:spacing w:line="264" w:lineRule="auto"/>
        <w:ind w:firstLine="720"/>
        <w:rPr>
          <w:rFonts w:ascii="Arial" w:eastAsia="Calibri" w:hAnsi="Arial" w:cs="Arial"/>
          <w:bCs/>
          <w:szCs w:val="28"/>
          <w:lang w:val="uk-UA"/>
        </w:rPr>
      </w:pPr>
      <w:r w:rsidRPr="00511005">
        <w:rPr>
          <w:rFonts w:ascii="Arial" w:eastAsia="Calibri" w:hAnsi="Arial" w:cs="Arial"/>
          <w:bCs/>
          <w:szCs w:val="28"/>
          <w:lang w:val="uk-UA"/>
        </w:rPr>
        <w:t>Досліджуючи питання, можна дізнатися про підстави притягнення до дисциплінарної відповідальності, її види та строк застосування відповідних стягнень, ініціювання питання про дисциплінарну відповідальність, дисциплінарне провадження, його стадії та процес дисциплінарної справи.</w:t>
      </w:r>
    </w:p>
    <w:p w14:paraId="31622149"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bCs/>
          <w:szCs w:val="28"/>
          <w:lang w:val="uk-UA"/>
        </w:rPr>
        <w:t>Дисциплінарна відповідальність</w:t>
      </w:r>
      <w:r w:rsidRPr="00511005">
        <w:rPr>
          <w:rFonts w:ascii="Arial" w:eastAsia="Calibri" w:hAnsi="Arial" w:cs="Arial"/>
          <w:szCs w:val="28"/>
          <w:lang w:val="uk-UA"/>
        </w:rPr>
        <w:t xml:space="preserve"> – це відповідальність службовців або робітників за порушення дисципліни та правил, яке виявляється у накладанні певних стягнень службовою адміністрацією установи чи організації. Існує два види дисциплінарної відповідальності: загальна ( регулюється положеннями трудового кодексу ) та спеціальна ( регулюється законом та певними статутами ). Саме до адвокатів застосовується спеціальна дисциплінарна відповідальність.</w:t>
      </w:r>
    </w:p>
    <w:p w14:paraId="1CA3B1A2" w14:textId="2848259A"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Для притягнення до дисциплінарної відповідальності адвокат повинен вчинити певні проступки. Такими проступками є, наприклад,</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порушення вимог несумісності, порушення присяги адвоката, порушення Правил етики </w:t>
      </w:r>
      <w:r w:rsidRPr="00511005">
        <w:rPr>
          <w:rFonts w:ascii="Arial" w:eastAsia="Calibri" w:hAnsi="Arial" w:cs="Arial"/>
          <w:szCs w:val="28"/>
          <w:lang w:val="uk-UA"/>
        </w:rPr>
        <w:lastRenderedPageBreak/>
        <w:t>адвоката, розголошення адвокатської таємниці або вчинення дій, що призвели до цього розголошення тощо. Але такі ситуації як винесення судом рішення не на користь клієнта адвоката, зміна або скасування судового рішення не є підставою притягнення до дисциплінарної відповідальності адвоката [4, с.24].</w:t>
      </w:r>
    </w:p>
    <w:p w14:paraId="4EE24B99"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Якщо адвокат вчинив певний проступок, згідно якого впроваджується дисциплінарна відповідальність, по відношенню до нього можуть застосувати певні дисциплінарні стягнення, такі як: попередження; зупинення права на заняття адвокатською діяльністю строком від одного місяця до року; позбавлення права на заняття адвокатською діяльністю з наступним виключенням з Єдиного реєстру адвокатів України [4, с.24-25].</w:t>
      </w:r>
    </w:p>
    <w:p w14:paraId="5A7B0BD1" w14:textId="77777777" w:rsidR="00C10374" w:rsidRPr="00511005" w:rsidRDefault="00C10374" w:rsidP="003A292D">
      <w:pPr>
        <w:spacing w:line="264" w:lineRule="auto"/>
        <w:ind w:firstLine="720"/>
        <w:rPr>
          <w:rFonts w:ascii="Arial" w:eastAsia="Calibri" w:hAnsi="Arial" w:cs="Arial"/>
          <w:szCs w:val="28"/>
        </w:rPr>
      </w:pPr>
      <w:r w:rsidRPr="00511005">
        <w:rPr>
          <w:rFonts w:ascii="Arial" w:eastAsia="Calibri" w:hAnsi="Arial" w:cs="Arial"/>
          <w:szCs w:val="28"/>
          <w:lang w:val="uk-UA"/>
        </w:rPr>
        <w:t>Кожен має право подати скаргу до кваліфікаційно-дисциплінарної комісії адвокатури про непрофесійну поведінку адвоката</w:t>
      </w:r>
      <w:r w:rsidRPr="00511005">
        <w:rPr>
          <w:rFonts w:ascii="Arial" w:eastAsia="Calibri" w:hAnsi="Arial" w:cs="Arial"/>
          <w:i/>
          <w:iCs/>
          <w:szCs w:val="28"/>
          <w:lang w:val="uk-UA"/>
        </w:rPr>
        <w:t xml:space="preserve"> </w:t>
      </w:r>
      <w:r w:rsidRPr="00511005">
        <w:rPr>
          <w:rFonts w:ascii="Arial" w:eastAsia="Calibri" w:hAnsi="Arial" w:cs="Arial"/>
          <w:szCs w:val="28"/>
          <w:lang w:val="uk-UA"/>
        </w:rPr>
        <w:t xml:space="preserve">за умови, що існують підстави до цієї скарги. Ця скарга є причиною для несення дисциплінарної відповідальності. Але не допускається зловживати правом на оскарження роботи адвоката, якщо у скарги немає підстав для відповідальності </w:t>
      </w:r>
      <w:r w:rsidRPr="00511005">
        <w:rPr>
          <w:rFonts w:ascii="Arial" w:eastAsia="Calibri" w:hAnsi="Arial" w:cs="Arial"/>
          <w:szCs w:val="28"/>
        </w:rPr>
        <w:t>[4</w:t>
      </w:r>
      <w:r w:rsidRPr="00511005">
        <w:rPr>
          <w:rFonts w:ascii="Arial" w:eastAsia="Calibri" w:hAnsi="Arial" w:cs="Arial"/>
          <w:szCs w:val="28"/>
          <w:lang w:val="uk-UA"/>
        </w:rPr>
        <w:t>, с.25</w:t>
      </w:r>
      <w:r w:rsidRPr="00511005">
        <w:rPr>
          <w:rFonts w:ascii="Arial" w:eastAsia="Calibri" w:hAnsi="Arial" w:cs="Arial"/>
          <w:szCs w:val="28"/>
        </w:rPr>
        <w:t>].</w:t>
      </w:r>
    </w:p>
    <w:p w14:paraId="3D812598"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bCs/>
          <w:szCs w:val="28"/>
          <w:lang w:val="uk-UA"/>
        </w:rPr>
        <w:t>Дисциплінарне провадження</w:t>
      </w:r>
      <w:r w:rsidRPr="00511005">
        <w:rPr>
          <w:rFonts w:ascii="Arial" w:eastAsia="Calibri" w:hAnsi="Arial" w:cs="Arial"/>
          <w:b/>
          <w:bCs/>
          <w:szCs w:val="28"/>
          <w:lang w:val="uk-UA"/>
        </w:rPr>
        <w:t xml:space="preserve"> – </w:t>
      </w:r>
      <w:r w:rsidRPr="00511005">
        <w:rPr>
          <w:rFonts w:ascii="Arial" w:eastAsia="Calibri" w:hAnsi="Arial" w:cs="Arial"/>
          <w:szCs w:val="28"/>
          <w:lang w:val="uk-UA"/>
        </w:rPr>
        <w:t xml:space="preserve">це певна процедура розгляду скарги про дисциплінарний проступок певним органом, який має відповідні повноваження. Є певні стадії, згідно яким здійснюється дисциплінарне провадження [4, с.25]. В.Вовнюк вважає, що спочатку треба провести перевірку відомостей про дисциплінарний проступок адвоката. Потім порушити дисциплінарну справу стосовно адвоката, який вчинив проступок. Після цього порушену справу розглядають і у заключенні приймають до неї рішення </w:t>
      </w:r>
      <w:r w:rsidRPr="00511005">
        <w:rPr>
          <w:rFonts w:ascii="Arial" w:eastAsia="Calibri" w:hAnsi="Arial" w:cs="Arial"/>
          <w:szCs w:val="28"/>
        </w:rPr>
        <w:t>[1</w:t>
      </w:r>
      <w:r w:rsidRPr="00511005">
        <w:rPr>
          <w:rFonts w:ascii="Arial" w:eastAsia="Calibri" w:hAnsi="Arial" w:cs="Arial"/>
          <w:szCs w:val="28"/>
          <w:lang w:val="uk-UA"/>
        </w:rPr>
        <w:t>, с.173</w:t>
      </w:r>
      <w:r w:rsidRPr="00511005">
        <w:rPr>
          <w:rFonts w:ascii="Arial" w:eastAsia="Calibri" w:hAnsi="Arial" w:cs="Arial"/>
          <w:szCs w:val="28"/>
        </w:rPr>
        <w:t>]</w:t>
      </w:r>
      <w:r w:rsidRPr="00511005">
        <w:rPr>
          <w:rFonts w:ascii="Arial" w:eastAsia="Calibri" w:hAnsi="Arial" w:cs="Arial"/>
          <w:szCs w:val="28"/>
          <w:lang w:val="uk-UA"/>
        </w:rPr>
        <w:t>.</w:t>
      </w:r>
    </w:p>
    <w:p w14:paraId="1E8C1BCD"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Щодо процесу дисциплінарної справи (провадження), то можна виокремити декілька особливостей. Наприклад, під час цього процесу адвокат, проти якого порушено це провадження, та особа, яка ініціювала питання про дисциплінарну відповідальність, мають право надавати пояснення щодо справи, задавати питання учасникам цього провадження, подавати докази на підтвердження своїх доводів, заявляти відводи та клопотання та користуватися допомогою адвоката.</w:t>
      </w:r>
    </w:p>
    <w:p w14:paraId="00134A50" w14:textId="63B5E3F9"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Кримінальний процесуальний кодекс передбачає можливість звернення судді на поведінку адвоката до спеціально-дисциплінарних органів, але при цьому процедура провадження значно зменшується. Згідно ч.1 ст.324 КПК України це звернення має обґрунтування лише у випадку неприбуття адвоката на судове засідання з неповажної причини.</w:t>
      </w:r>
      <w:r w:rsidRPr="00511005">
        <w:rPr>
          <w:rFonts w:ascii="Arial" w:eastAsia="Calibri" w:hAnsi="Arial" w:cs="Arial"/>
          <w:szCs w:val="28"/>
        </w:rPr>
        <w:t>[3</w:t>
      </w:r>
      <w:r w:rsidRPr="00511005">
        <w:rPr>
          <w:rFonts w:ascii="Arial" w:eastAsia="Calibri" w:hAnsi="Arial" w:cs="Arial"/>
          <w:szCs w:val="28"/>
          <w:lang w:val="uk-UA"/>
        </w:rPr>
        <w:t>, с.263</w:t>
      </w:r>
      <w:r w:rsidRPr="00511005">
        <w:rPr>
          <w:rFonts w:ascii="Arial" w:eastAsia="Calibri" w:hAnsi="Arial" w:cs="Arial"/>
          <w:szCs w:val="28"/>
        </w:rPr>
        <w:t>]</w:t>
      </w:r>
      <w:r w:rsidR="007B2628" w:rsidRPr="00511005">
        <w:rPr>
          <w:rFonts w:ascii="Arial" w:eastAsia="Calibri" w:hAnsi="Arial" w:cs="Arial"/>
          <w:szCs w:val="28"/>
          <w:lang w:val="uk-UA"/>
        </w:rPr>
        <w:t xml:space="preserve"> </w:t>
      </w:r>
    </w:p>
    <w:p w14:paraId="7F16936F"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Також за ч.3 ст.324 КПК, якщо подальша участь у судовій справі захисника неможлива, то головуючий суду дає можливість обвинуваченому протягом трьох днів обрати собі іншого захисника </w:t>
      </w:r>
      <w:r w:rsidRPr="00511005">
        <w:rPr>
          <w:rFonts w:ascii="Arial" w:eastAsia="Calibri" w:hAnsi="Arial" w:cs="Arial"/>
          <w:szCs w:val="28"/>
        </w:rPr>
        <w:t>[3</w:t>
      </w:r>
      <w:r w:rsidRPr="00511005">
        <w:rPr>
          <w:rFonts w:ascii="Arial" w:eastAsia="Calibri" w:hAnsi="Arial" w:cs="Arial"/>
          <w:szCs w:val="28"/>
          <w:lang w:val="uk-UA"/>
        </w:rPr>
        <w:t>, с.264</w:t>
      </w:r>
      <w:r w:rsidRPr="00511005">
        <w:rPr>
          <w:rFonts w:ascii="Arial" w:eastAsia="Calibri" w:hAnsi="Arial" w:cs="Arial"/>
          <w:szCs w:val="28"/>
        </w:rPr>
        <w:t>]</w:t>
      </w:r>
      <w:r w:rsidRPr="00511005">
        <w:rPr>
          <w:rFonts w:ascii="Arial" w:eastAsia="Calibri" w:hAnsi="Arial" w:cs="Arial"/>
          <w:szCs w:val="28"/>
          <w:lang w:val="uk-UA"/>
        </w:rPr>
        <w:t xml:space="preserve">. Якщо ж у кримінальному провадженні, де участь адвоката є обов’язковою, прибуття на судове засідання захисника, обраного обвинувачем, у період трьох днів </w:t>
      </w:r>
      <w:r w:rsidRPr="00511005">
        <w:rPr>
          <w:rFonts w:ascii="Arial" w:eastAsia="Calibri" w:hAnsi="Arial" w:cs="Arial"/>
          <w:szCs w:val="28"/>
          <w:lang w:val="uk-UA"/>
        </w:rPr>
        <w:lastRenderedPageBreak/>
        <w:t>неможливе, то суд відкладає розгляд справи на необхідний для з’явлення адвоката період або одночасно з відкладенням судової справи залучає захисника для здійснення захисту за призначенням.</w:t>
      </w:r>
    </w:p>
    <w:p w14:paraId="20230842"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Якщо повернутися до стадій дисциплінарної справи, окремим етапом можна виділити оскарження рішення. Згідно з ст.42 закону України «Про адвокатуру та адвокатську діяльність», адвокат чи особа, яка подала заяву про дисциплінарну відповідальність адвоката, має право на оскарження рішення у період тридцяти днів з моменту прийняття його до Вищої кваліфікаційно-дисциплінарної комісії адвокатури або ж суду [4, с.28]. Але оскарження рішення не припиняє його дії.</w:t>
      </w:r>
    </w:p>
    <w:p w14:paraId="7B0081B2"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Отже, дисциплінарна відповідальність адвоката – це дія, яка спричинена діями адвоката, які суперечать закону. Розглядати справу про дисциплінарну відповідальність належить до кваліфікаційно-дисциплінарної комісії. Вона приймає рішення про відповідальність згідно певних норм та законів. </w:t>
      </w:r>
    </w:p>
    <w:p w14:paraId="5D7C92EE" w14:textId="77777777" w:rsidR="00C10374" w:rsidRPr="00511005" w:rsidRDefault="00C10374" w:rsidP="003A292D">
      <w:pPr>
        <w:spacing w:line="264" w:lineRule="auto"/>
        <w:ind w:firstLine="720"/>
        <w:rPr>
          <w:rFonts w:ascii="Arial" w:eastAsia="Calibri" w:hAnsi="Arial" w:cs="Arial"/>
          <w:b/>
          <w:bCs/>
          <w:szCs w:val="28"/>
          <w:lang w:val="uk-UA"/>
        </w:rPr>
      </w:pPr>
    </w:p>
    <w:p w14:paraId="0F1DABAD" w14:textId="4A157C5D" w:rsidR="00C10374" w:rsidRPr="00511005" w:rsidRDefault="007B2628" w:rsidP="007B2628">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004FBEF4" w14:textId="77777777" w:rsidR="00C10374" w:rsidRPr="00511005" w:rsidRDefault="00C10374" w:rsidP="003F6A5D">
      <w:pPr>
        <w:numPr>
          <w:ilvl w:val="0"/>
          <w:numId w:val="306"/>
        </w:numPr>
        <w:spacing w:line="264" w:lineRule="auto"/>
        <w:ind w:left="0" w:firstLine="72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Вовнюк В. Дисциплінарна відповідальність адвоката в Україні: переваги, недоліки та особливості процедури. </w:t>
      </w:r>
      <w:r w:rsidRPr="00511005">
        <w:rPr>
          <w:rFonts w:ascii="Arial" w:eastAsia="Times New Roman" w:hAnsi="Arial" w:cs="Arial"/>
          <w:i/>
          <w:iCs/>
          <w:szCs w:val="28"/>
          <w:lang w:val="uk-UA" w:eastAsia="ru-RU"/>
        </w:rPr>
        <w:t>Юридичний вісник</w:t>
      </w:r>
      <w:r w:rsidRPr="00511005">
        <w:rPr>
          <w:rFonts w:ascii="Arial" w:eastAsia="Times New Roman" w:hAnsi="Arial" w:cs="Arial"/>
          <w:szCs w:val="28"/>
          <w:lang w:val="uk-UA" w:eastAsia="ru-RU"/>
        </w:rPr>
        <w:t xml:space="preserve">, 2022/5. С.170-176 </w:t>
      </w:r>
      <w:hyperlink r:id="rId1125" w:history="1">
        <w:r w:rsidRPr="00511005">
          <w:rPr>
            <w:rFonts w:ascii="Arial" w:eastAsia="Times New Roman" w:hAnsi="Arial" w:cs="Arial"/>
            <w:szCs w:val="28"/>
            <w:lang w:val="uk-UA" w:eastAsia="ru-RU"/>
          </w:rPr>
          <w:t>http://yurvisnyk.in.ua/v5_2022/18.pdf</w:t>
        </w:r>
      </w:hyperlink>
    </w:p>
    <w:p w14:paraId="0E5D4579" w14:textId="77777777" w:rsidR="00C10374" w:rsidRPr="00511005" w:rsidRDefault="00C10374" w:rsidP="003F6A5D">
      <w:pPr>
        <w:numPr>
          <w:ilvl w:val="0"/>
          <w:numId w:val="306"/>
        </w:numPr>
        <w:spacing w:line="264" w:lineRule="auto"/>
        <w:ind w:left="0" w:firstLine="72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Конституція України: офіц. текст. Київ : КМ, 2019. С. 40-45 </w:t>
      </w:r>
      <w:hyperlink r:id="rId1126" w:anchor="Text" w:history="1">
        <w:r w:rsidRPr="00511005">
          <w:rPr>
            <w:rFonts w:ascii="Arial" w:eastAsia="Times New Roman" w:hAnsi="Arial" w:cs="Arial"/>
            <w:szCs w:val="28"/>
            <w:lang w:val="uk-UA" w:eastAsia="ru-RU"/>
          </w:rPr>
          <w:t>https://zakon.rada.gov.ua/laws/show/254%D0%BA/96-%D0%B2%D1%80#Text</w:t>
        </w:r>
      </w:hyperlink>
      <w:r w:rsidRPr="00511005">
        <w:rPr>
          <w:rFonts w:ascii="Arial" w:eastAsia="Times New Roman" w:hAnsi="Arial" w:cs="Arial"/>
          <w:szCs w:val="28"/>
          <w:lang w:val="uk-UA" w:eastAsia="ru-RU"/>
        </w:rPr>
        <w:t xml:space="preserve"> </w:t>
      </w:r>
    </w:p>
    <w:p w14:paraId="2B3EFA97" w14:textId="46573080" w:rsidR="00C10374" w:rsidRPr="00511005" w:rsidRDefault="00C10374" w:rsidP="003F6A5D">
      <w:pPr>
        <w:numPr>
          <w:ilvl w:val="0"/>
          <w:numId w:val="306"/>
        </w:numPr>
        <w:spacing w:line="264" w:lineRule="auto"/>
        <w:ind w:left="0" w:firstLine="72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Кримінальний процесуальний кодекс України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від 13.04.2012 №</w:t>
      </w:r>
      <w:r w:rsidRPr="00511005">
        <w:rPr>
          <w:rFonts w:ascii="Arial" w:eastAsia="Times New Roman" w:hAnsi="Arial" w:cs="Arial"/>
          <w:szCs w:val="28"/>
          <w:shd w:val="clear" w:color="auto" w:fill="F7F7F7"/>
          <w:lang w:val="uk-UA" w:eastAsia="ru-RU"/>
        </w:rPr>
        <w:t xml:space="preserve"> 4651-</w:t>
      </w:r>
      <w:r w:rsidRPr="00511005">
        <w:rPr>
          <w:rFonts w:ascii="Arial" w:eastAsia="Times New Roman" w:hAnsi="Arial" w:cs="Arial"/>
          <w:szCs w:val="28"/>
          <w:shd w:val="clear" w:color="auto" w:fill="F7F7F7"/>
          <w:lang w:val="en-US" w:eastAsia="ru-RU"/>
        </w:rPr>
        <w:t>VI</w:t>
      </w:r>
      <w:r w:rsidRPr="00511005">
        <w:rPr>
          <w:rFonts w:ascii="Arial" w:eastAsia="Times New Roman" w:hAnsi="Arial" w:cs="Arial"/>
          <w:szCs w:val="28"/>
          <w:shd w:val="clear" w:color="auto" w:fill="F7F7F7"/>
          <w:lang w:val="uk-UA" w:eastAsia="ru-RU"/>
        </w:rPr>
        <w:t>.</w:t>
      </w:r>
      <w:r w:rsidRPr="00511005">
        <w:rPr>
          <w:rFonts w:ascii="Arial" w:eastAsia="Times New Roman" w:hAnsi="Arial" w:cs="Arial"/>
          <w:szCs w:val="28"/>
          <w:shd w:val="clear" w:color="auto" w:fill="F7F7F7"/>
          <w:lang w:eastAsia="ru-RU"/>
        </w:rPr>
        <w:t xml:space="preserve"> </w:t>
      </w:r>
      <w:r w:rsidRPr="00511005">
        <w:rPr>
          <w:rFonts w:ascii="Arial" w:eastAsia="Times New Roman" w:hAnsi="Arial" w:cs="Arial"/>
          <w:szCs w:val="28"/>
          <w:shd w:val="clear" w:color="auto" w:fill="F7F7F7"/>
          <w:lang w:val="uk-UA" w:eastAsia="ru-RU"/>
        </w:rPr>
        <w:t>С</w:t>
      </w:r>
      <w:r w:rsidRPr="00511005">
        <w:rPr>
          <w:rFonts w:ascii="Arial" w:eastAsia="Times New Roman" w:hAnsi="Arial" w:cs="Arial"/>
          <w:szCs w:val="28"/>
          <w:shd w:val="clear" w:color="auto" w:fill="F7F7F7"/>
          <w:lang w:eastAsia="ru-RU"/>
        </w:rPr>
        <w:t xml:space="preserve">. 263-264 </w:t>
      </w:r>
      <w:hyperlink r:id="rId1127" w:anchor="Text" w:history="1">
        <w:r w:rsidRPr="00511005">
          <w:rPr>
            <w:rFonts w:ascii="Arial" w:eastAsia="Times New Roman" w:hAnsi="Arial" w:cs="Arial"/>
            <w:szCs w:val="28"/>
            <w:lang w:val="uk-UA" w:eastAsia="ru-RU"/>
          </w:rPr>
          <w:t>https://zakon.rada.gov.ua/laws/show/4651-17#Text</w:t>
        </w:r>
      </w:hyperlink>
    </w:p>
    <w:p w14:paraId="2A204D94" w14:textId="77777777" w:rsidR="00C10374" w:rsidRPr="00511005" w:rsidRDefault="00C10374" w:rsidP="003F6A5D">
      <w:pPr>
        <w:numPr>
          <w:ilvl w:val="0"/>
          <w:numId w:val="306"/>
        </w:numPr>
        <w:spacing w:line="264" w:lineRule="auto"/>
        <w:ind w:left="0" w:firstLine="72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Про адвокатуру та адвокатську діяльність: Закон України від 05.07.2012. №</w:t>
      </w:r>
      <w:r w:rsidRPr="00511005">
        <w:rPr>
          <w:rFonts w:ascii="Arial" w:eastAsia="Times New Roman" w:hAnsi="Arial" w:cs="Arial"/>
          <w:szCs w:val="28"/>
          <w:lang w:val="en-US" w:eastAsia="ru-RU"/>
        </w:rPr>
        <w:t xml:space="preserve"> 5076-VI</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val="uk-UA" w:eastAsia="ru-RU"/>
        </w:rPr>
        <w:t xml:space="preserve">С. 24-28 </w:t>
      </w:r>
      <w:hyperlink r:id="rId1128" w:anchor="Text" w:history="1">
        <w:r w:rsidRPr="00511005">
          <w:rPr>
            <w:rFonts w:ascii="Arial" w:eastAsia="Times New Roman" w:hAnsi="Arial" w:cs="Arial"/>
            <w:szCs w:val="28"/>
            <w:lang w:val="uk-UA" w:eastAsia="ru-RU"/>
          </w:rPr>
          <w:t>https://zakon.rada.gov.ua/laws/show/5076-17#Text</w:t>
        </w:r>
      </w:hyperlink>
      <w:r w:rsidRPr="00511005">
        <w:rPr>
          <w:rFonts w:ascii="Arial" w:eastAsia="Times New Roman" w:hAnsi="Arial" w:cs="Arial"/>
          <w:szCs w:val="28"/>
          <w:lang w:val="uk-UA" w:eastAsia="ru-RU"/>
        </w:rPr>
        <w:t xml:space="preserve"> </w:t>
      </w:r>
    </w:p>
    <w:p w14:paraId="344CE0D6" w14:textId="77777777" w:rsidR="00C10374" w:rsidRPr="00511005" w:rsidRDefault="00C10374" w:rsidP="003A292D">
      <w:pPr>
        <w:spacing w:line="264" w:lineRule="auto"/>
        <w:ind w:firstLine="720"/>
        <w:contextualSpacing/>
        <w:jc w:val="left"/>
        <w:rPr>
          <w:rFonts w:ascii="Arial" w:eastAsia="Times New Roman" w:hAnsi="Arial" w:cs="Arial"/>
          <w:b/>
          <w:bCs/>
          <w:szCs w:val="28"/>
          <w:lang w:val="uk-UA" w:eastAsia="ru-RU"/>
        </w:rPr>
      </w:pPr>
    </w:p>
    <w:p w14:paraId="045A42D2" w14:textId="6172F130" w:rsidR="00C10374" w:rsidRPr="00511005" w:rsidRDefault="007B2628" w:rsidP="003A292D">
      <w:pPr>
        <w:spacing w:line="264" w:lineRule="auto"/>
        <w:ind w:firstLine="720"/>
        <w:contextualSpacing/>
        <w:jc w:val="left"/>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C10374" w:rsidRPr="00511005">
        <w:rPr>
          <w:rFonts w:ascii="Arial" w:eastAsia="Times New Roman" w:hAnsi="Arial" w:cs="Arial"/>
          <w:szCs w:val="28"/>
          <w:lang w:val="uk-UA" w:eastAsia="ru-RU"/>
        </w:rPr>
        <w:t>адвокат, судова система України, дисциплінарна відповідальність адвоката, підстави дисциплінарної відповідальності, дисциплінарне провадження, кваліфікаційно-дисциплінарна комісія адвокатури, порушення правил етики адвоката.</w:t>
      </w:r>
    </w:p>
    <w:p w14:paraId="15C213EF" w14:textId="34488E1D" w:rsidR="00C10374" w:rsidRPr="00511005" w:rsidRDefault="007B2628" w:rsidP="003A292D">
      <w:pPr>
        <w:spacing w:line="264" w:lineRule="auto"/>
        <w:ind w:firstLine="720"/>
        <w:contextualSpacing/>
        <w:jc w:val="left"/>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C10374" w:rsidRPr="00511005">
        <w:rPr>
          <w:rFonts w:ascii="Arial" w:eastAsia="Times New Roman" w:hAnsi="Arial" w:cs="Arial"/>
          <w:szCs w:val="28"/>
          <w:lang w:val="en-US" w:eastAsia="ru-RU"/>
        </w:rPr>
        <w:t>lawyer, judicial system of Ukraine, disciplinary liability of a lawyer, grounds for disciplinary liability, disciplinary proceedings, qualification and disciplinary commission of the bar, violation of the rules of lawyer ethics.</w:t>
      </w:r>
    </w:p>
    <w:p w14:paraId="518380A7" w14:textId="4F7F5BDC" w:rsidR="00C10374" w:rsidRPr="00511005" w:rsidRDefault="007B2628" w:rsidP="003A292D">
      <w:pPr>
        <w:spacing w:line="264" w:lineRule="auto"/>
        <w:ind w:firstLine="720"/>
        <w:contextualSpacing/>
        <w:jc w:val="left"/>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C10374" w:rsidRPr="00511005">
        <w:rPr>
          <w:rFonts w:ascii="Arial" w:eastAsia="Times New Roman" w:hAnsi="Arial" w:cs="Arial"/>
          <w:i/>
          <w:iCs/>
          <w:szCs w:val="28"/>
          <w:lang w:val="uk-UA" w:eastAsia="ru-RU"/>
        </w:rPr>
        <w:t>старший викладач Нестерчук Л.П.</w:t>
      </w:r>
    </w:p>
    <w:p w14:paraId="3CEB75CA" w14:textId="77777777" w:rsidR="00C10374" w:rsidRPr="00511005" w:rsidRDefault="00C10374" w:rsidP="003A292D">
      <w:pPr>
        <w:spacing w:line="264" w:lineRule="auto"/>
        <w:ind w:firstLine="0"/>
        <w:rPr>
          <w:rFonts w:ascii="Arial" w:eastAsia="Calibri" w:hAnsi="Arial" w:cs="Arial"/>
          <w:i/>
          <w:iCs/>
          <w:szCs w:val="28"/>
        </w:rPr>
      </w:pPr>
    </w:p>
    <w:p w14:paraId="3012882C" w14:textId="77777777" w:rsidR="00C10374" w:rsidRPr="00511005" w:rsidRDefault="00C10374" w:rsidP="003A292D">
      <w:pPr>
        <w:spacing w:line="264" w:lineRule="auto"/>
        <w:ind w:firstLine="0"/>
        <w:rPr>
          <w:rFonts w:ascii="Arial" w:eastAsia="Calibri" w:hAnsi="Arial" w:cs="Arial"/>
          <w:i/>
          <w:iCs/>
          <w:szCs w:val="28"/>
        </w:rPr>
      </w:pPr>
    </w:p>
    <w:p w14:paraId="749F18AE" w14:textId="77777777" w:rsidR="00875A11" w:rsidRDefault="00875A11">
      <w:pPr>
        <w:spacing w:after="200" w:line="276" w:lineRule="auto"/>
        <w:ind w:firstLine="0"/>
        <w:jc w:val="left"/>
        <w:rPr>
          <w:rFonts w:ascii="Arial" w:eastAsia="Times New Roman" w:hAnsi="Arial" w:cs="Arial"/>
          <w:b/>
          <w:i/>
          <w:szCs w:val="28"/>
          <w:lang w:val="uk-UA"/>
        </w:rPr>
      </w:pPr>
      <w:r>
        <w:rPr>
          <w:rFonts w:ascii="Arial" w:eastAsia="Times New Roman" w:hAnsi="Arial" w:cs="Arial"/>
          <w:b/>
          <w:i/>
          <w:szCs w:val="28"/>
          <w:lang w:val="uk-UA"/>
        </w:rPr>
        <w:br w:type="page"/>
      </w:r>
    </w:p>
    <w:p w14:paraId="4613E626" w14:textId="49B66074" w:rsidR="00C10374" w:rsidRPr="00511005" w:rsidRDefault="00C10374" w:rsidP="003A292D">
      <w:pPr>
        <w:snapToGrid w:val="0"/>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lastRenderedPageBreak/>
        <w:t>Ломєєва Кристина Нурджан Муратівна</w:t>
      </w:r>
    </w:p>
    <w:p w14:paraId="04712231" w14:textId="7191E569" w:rsidR="00C10374" w:rsidRPr="00511005" w:rsidRDefault="00BE3972" w:rsidP="003A292D">
      <w:pPr>
        <w:snapToGrid w:val="0"/>
        <w:spacing w:line="264" w:lineRule="auto"/>
        <w:ind w:firstLine="0"/>
        <w:jc w:val="center"/>
        <w:rPr>
          <w:rFonts w:ascii="Arial" w:eastAsia="Times New Roman" w:hAnsi="Arial" w:cs="Arial"/>
          <w:iCs/>
          <w:szCs w:val="28"/>
          <w:lang w:val="uk-UA"/>
        </w:rPr>
      </w:pPr>
      <w:r w:rsidRPr="00511005">
        <w:rPr>
          <w:rFonts w:ascii="Arial" w:eastAsia="Times New Roman" w:hAnsi="Arial" w:cs="Arial"/>
          <w:iCs/>
          <w:szCs w:val="28"/>
          <w:lang w:val="uk-UA"/>
        </w:rPr>
        <w:t xml:space="preserve">студентка 1-го курсу </w:t>
      </w:r>
      <w:r w:rsidR="001B7B25" w:rsidRPr="00511005">
        <w:rPr>
          <w:rFonts w:ascii="Arial" w:eastAsia="Times New Roman" w:hAnsi="Arial" w:cs="Arial"/>
          <w:iCs/>
          <w:szCs w:val="28"/>
          <w:lang w:val="uk-UA"/>
        </w:rPr>
        <w:t>факультету судового та міжнародного права</w:t>
      </w:r>
    </w:p>
    <w:p w14:paraId="033951E0" w14:textId="7FD1E872" w:rsidR="00C10374" w:rsidRPr="00511005" w:rsidRDefault="007B2628" w:rsidP="003A292D">
      <w:pPr>
        <w:snapToGrid w:val="0"/>
        <w:spacing w:line="264" w:lineRule="auto"/>
        <w:ind w:firstLine="0"/>
        <w:jc w:val="center"/>
        <w:rPr>
          <w:rFonts w:ascii="Arial" w:eastAsia="Times New Roman" w:hAnsi="Arial" w:cs="Arial"/>
          <w:b/>
          <w:iCs/>
          <w:szCs w:val="28"/>
          <w:lang w:val="uk-UA"/>
        </w:rPr>
      </w:pPr>
      <w:r w:rsidRPr="00511005">
        <w:rPr>
          <w:rFonts w:ascii="Arial" w:eastAsia="Times New Roman" w:hAnsi="Arial" w:cs="Arial"/>
          <w:iCs/>
          <w:szCs w:val="28"/>
          <w:lang w:val="uk-UA"/>
        </w:rPr>
        <w:t>Національного університету «Одеська юридична академія»</w:t>
      </w:r>
    </w:p>
    <w:p w14:paraId="4906A7F6" w14:textId="77777777" w:rsidR="00C10374" w:rsidRPr="00511005" w:rsidRDefault="00C10374" w:rsidP="003A292D">
      <w:pPr>
        <w:snapToGrid w:val="0"/>
        <w:spacing w:line="264" w:lineRule="auto"/>
        <w:ind w:firstLine="0"/>
        <w:rPr>
          <w:rFonts w:ascii="Arial" w:eastAsia="Times New Roman" w:hAnsi="Arial" w:cs="Arial"/>
          <w:b/>
          <w:i/>
          <w:szCs w:val="28"/>
          <w:lang w:val="uk-UA"/>
        </w:rPr>
      </w:pPr>
    </w:p>
    <w:p w14:paraId="1F665AF1" w14:textId="77777777" w:rsidR="00C10374" w:rsidRPr="00511005" w:rsidRDefault="00C10374" w:rsidP="003A292D">
      <w:pPr>
        <w:snapToGrid w:val="0"/>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ІСТОРІЯ ВИНИКНЕННЯ АДВОКАТУРИ В УКРАЇНІ</w:t>
      </w:r>
    </w:p>
    <w:p w14:paraId="34BBA079" w14:textId="1FDCF2C3" w:rsidR="00C10374" w:rsidRPr="00511005" w:rsidRDefault="00C10374" w:rsidP="003A292D">
      <w:pPr>
        <w:spacing w:line="264" w:lineRule="auto"/>
        <w:ind w:firstLineChars="150" w:firstLine="420"/>
        <w:rPr>
          <w:rFonts w:ascii="Arial" w:eastAsia="Calibri" w:hAnsi="Arial" w:cs="Arial"/>
          <w:szCs w:val="28"/>
          <w:lang w:val="uk-UA"/>
        </w:rPr>
      </w:pPr>
      <w:r w:rsidRPr="00511005">
        <w:rPr>
          <w:rFonts w:ascii="Arial" w:eastAsia="Calibri" w:hAnsi="Arial" w:cs="Arial"/>
          <w:szCs w:val="28"/>
          <w:lang w:val="uk-UA"/>
        </w:rPr>
        <w:t xml:space="preserve">Інститут адвокатури на землях України почав зароджуватися ще за часів Київської Русі. Треба зауважити, що адвокатура того часу формувалася з огляду на загальні світові тенденції </w:t>
      </w:r>
      <w:hyperlink r:id="rId1129" w:history="1">
        <w:r w:rsidRPr="00511005">
          <w:rPr>
            <w:rFonts w:ascii="Arial" w:eastAsia="Segoe UI" w:hAnsi="Arial" w:cs="Arial"/>
            <w:szCs w:val="28"/>
            <w:shd w:val="clear" w:color="auto" w:fill="FFFFFF"/>
            <w:lang w:val="uk-UA"/>
          </w:rPr>
          <w:t>[1]</w:t>
        </w:r>
      </w:hyperlink>
      <w:r w:rsidRPr="00511005">
        <w:rPr>
          <w:rFonts w:ascii="Arial" w:eastAsia="Calibri" w:hAnsi="Arial" w:cs="Arial"/>
          <w:szCs w:val="28"/>
          <w:lang w:val="uk-UA"/>
        </w:rPr>
        <w:t>. Поняття «адвокат» за часів Київської Русі не вживалося, а роль захисника виконували родичі сторін, сусіди, «послухи» та «видоки». Діяльність цих осіб регулювалася в основному звичаєвим правом</w:t>
      </w:r>
      <w:r w:rsidRPr="00511005">
        <w:rPr>
          <w:rFonts w:ascii="Arial" w:eastAsia="Segoe UI" w:hAnsi="Arial" w:cs="Arial"/>
          <w:szCs w:val="28"/>
          <w:shd w:val="clear" w:color="auto" w:fill="FFFFFF"/>
          <w:lang w:val="uk-UA"/>
        </w:rPr>
        <w:t>.</w:t>
      </w:r>
      <w:r w:rsidRPr="00511005">
        <w:rPr>
          <w:rFonts w:ascii="Arial" w:eastAsia="Calibri" w:hAnsi="Arial" w:cs="Arial"/>
          <w:szCs w:val="28"/>
          <w:lang w:val="uk-UA"/>
        </w:rPr>
        <w:t xml:space="preserve"> За часів Київської Русі (IX-XIII ст.) ще не було організаційного оформлення та законодавчого закріплення адвокатури як правового інституту. Інститут захисту прав і свобод людини формувався у Київській Русі в специфічних умовах общинного співжиття: захист, обвинувачення, покарання були функціями общини. Слово «адвокатура» походить від латинського кореня «advocare», «advocatus» («закликати», «запрошений»). Саме родичі, близькі та друзі були першими «запрошеними захисниками». За стародавнім правом Київської Русі обовʼязки захисника здійснював глава сімʼї або старший в роді. Фактично діяльність захисту була наслідком турботи старшого про своїх домочадців. Адвокатуру Київської Русі можна назвати «непрофесійною» та «докорпоративною», тому що особи, які діяли як правозахисники, не мали юридичної освіти, певного статусу та організаційно не були обʼєднані. Функції представників визначалися звичаєвим правом. По суті, захист, як і обвинувачення та покарання, ставав функцією общини.</w:t>
      </w:r>
      <w:r w:rsidR="007B2628" w:rsidRPr="00511005">
        <w:rPr>
          <w:rFonts w:ascii="Arial" w:eastAsia="Calibri" w:hAnsi="Arial" w:cs="Arial"/>
          <w:szCs w:val="28"/>
          <w:lang w:val="uk-UA"/>
        </w:rPr>
        <w:t xml:space="preserve"> </w:t>
      </w:r>
    </w:p>
    <w:p w14:paraId="1D082264" w14:textId="77777777" w:rsidR="00C10374" w:rsidRPr="00511005" w:rsidRDefault="00C10374" w:rsidP="003A292D">
      <w:pPr>
        <w:spacing w:line="264" w:lineRule="auto"/>
        <w:ind w:firstLineChars="150" w:firstLine="420"/>
        <w:rPr>
          <w:rFonts w:ascii="Arial" w:eastAsia="Calibri" w:hAnsi="Arial" w:cs="Arial"/>
          <w:szCs w:val="28"/>
          <w:lang w:val="uk-UA"/>
        </w:rPr>
      </w:pPr>
      <w:r w:rsidRPr="00511005">
        <w:rPr>
          <w:rFonts w:ascii="Arial" w:eastAsia="Calibri" w:hAnsi="Arial" w:cs="Arial"/>
          <w:szCs w:val="28"/>
          <w:lang w:val="uk-UA"/>
        </w:rPr>
        <w:t xml:space="preserve">Зародження адвокатури на українських землях припадає на час існування перших історичних памʼяток права. До таких памʼяток, що поклали початок розвитку інституту захисту на землях України, належать «Руська правда», Новгородська та Псковські судні грамоти, Литовські статути, «Права, за якими судиться малоросійський народ» та ін. «Руська правда» стала першою писаною пам'яткою, в якій можна знайти згадки про процесуальне представництво. За часів Київської Русі інститут захисту виник у тісному звʼязку з інститутом судового представництва. Родичі, що приходили на суд як оборонці, допомагали позивачам та фактично виконували роль правозахисників і представників на суді на рівні зі сторонами судового процесу. Захисник за часів Київської Русі не був особою, яка здійснювала свої професійні обовʼязки або мала якісь спеціальні навички. Знання права не було визначальним чинником у діяльності правозаступника. Існування представництва та захисту в суді за часів Київської Русі деякою мірою було прописано в «Руській правді» — першій пам'ятці звичаєвого права. За Руською правдою судова влада знаходилась у руках князя, який здійснював правосуддя особисто або </w:t>
      </w:r>
      <w:r w:rsidRPr="00511005">
        <w:rPr>
          <w:rFonts w:ascii="Arial" w:eastAsia="Calibri" w:hAnsi="Arial" w:cs="Arial"/>
          <w:szCs w:val="28"/>
          <w:lang w:val="uk-UA"/>
        </w:rPr>
        <w:lastRenderedPageBreak/>
        <w:t>доручав намісникам. Одночасно існував і суд громади. Роль оборонців у судах виконували рідні та друзі сторін, «послухи» (свідки порядного життя обвинуваченого), «видоки» (свідки вчиненого стороною або спірного факту). У «Руській Правді» визначається, що в судовому процесі того часу брав участь так званий судовий захисник — «детский отрок». Про інститут захисту та представництва у Київській Русі згадується у Псковській та Новгородській судних грамотах — документах кінця XIV — початку XV ст</w:t>
      </w:r>
      <w:r w:rsidRPr="00511005">
        <w:rPr>
          <w:rFonts w:ascii="Arial" w:eastAsia="Segoe UI" w:hAnsi="Arial" w:cs="Arial"/>
          <w:szCs w:val="28"/>
          <w:shd w:val="clear" w:color="auto" w:fill="FFFFFF"/>
          <w:lang w:val="uk-UA"/>
        </w:rPr>
        <w:t>.</w:t>
      </w:r>
      <w:r w:rsidRPr="00511005">
        <w:rPr>
          <w:rFonts w:ascii="Arial" w:eastAsia="Calibri" w:hAnsi="Arial" w:cs="Arial"/>
          <w:szCs w:val="28"/>
          <w:lang w:val="uk-UA"/>
        </w:rPr>
        <w:t xml:space="preserve"> Завдяки цим грамотам вдалося уникнути участі в суді натовпу родичів, закріпивши за певним колом осіб право (або обов'язок) відправляти замість себе представників, які обов'язково мусили бути особисто присутніми на суді. Крім того, «Руська Правда» стверджувала, що суд відбувався за певними формальними звичаями та традиціями, в присутності прокурора (мечника) і судового захисника («наївного хлопця»), а також на основі показань свідків — чуток (свідків «доброї слави») та очевидців (свідків, які безпосередньо бачили вчинений злочин). Система оборони та писане право склалися в особливих історичних умовах співіснування києворуського суспільства, де захист, переслідування та покарання стали суспільними функціями. На засідання, крім свідків і понятих, запрошувалися також родичі, близькі та знайомі підсудного. Вони виконували початкову оборонну функцію і були зародком майбутньої української адвокатури. Згодом великій кількості цих захисників було заборонено з’являтися в суді, щоб вони не могли вплинути на рішення суду. На вечірку допускалося лише двоє, і їх називали «хороші хлопці». Останній відігравав охоронну роль аж до прийняття Литовського статуту</w:t>
      </w:r>
      <w:r w:rsidRPr="00511005">
        <w:rPr>
          <w:rFonts w:ascii="Arial" w:eastAsia="Segoe UI" w:hAnsi="Arial" w:cs="Arial"/>
          <w:szCs w:val="28"/>
          <w:shd w:val="clear" w:color="auto" w:fill="FFFFFF"/>
          <w:lang w:val="uk-UA"/>
        </w:rPr>
        <w:t>.</w:t>
      </w:r>
      <w:r w:rsidRPr="00511005">
        <w:rPr>
          <w:rFonts w:ascii="Arial" w:eastAsia="Calibri" w:hAnsi="Arial" w:cs="Arial"/>
          <w:szCs w:val="28"/>
          <w:lang w:val="uk-UA"/>
        </w:rPr>
        <w:t xml:space="preserve"> </w:t>
      </w:r>
    </w:p>
    <w:p w14:paraId="194351AF" w14:textId="77777777" w:rsidR="007B2628" w:rsidRPr="00511005" w:rsidRDefault="00C10374" w:rsidP="003A292D">
      <w:pPr>
        <w:snapToGrid w:val="0"/>
        <w:spacing w:line="264" w:lineRule="auto"/>
        <w:ind w:firstLineChars="150" w:firstLine="420"/>
        <w:rPr>
          <w:rFonts w:ascii="Arial" w:eastAsia="Times New Roman" w:hAnsi="Arial" w:cs="Arial"/>
          <w:szCs w:val="28"/>
          <w:lang w:val="uk-UA"/>
        </w:rPr>
      </w:pPr>
      <w:r w:rsidRPr="00511005">
        <w:rPr>
          <w:rFonts w:ascii="Arial" w:eastAsia="Times New Roman" w:hAnsi="Arial" w:cs="Arial"/>
          <w:szCs w:val="28"/>
          <w:lang w:val="uk-UA"/>
        </w:rPr>
        <w:t>Деякі джерела, в яких досліджувалося питання виникнення адвокатури на землях України, вказують на те, що в «Руській Правді» взагалі немає згадок про існування інститутів захисту та представництва того часу. Проте це не є доказом того, що представництва та захисту як таких на той час не існувало. Вперше про інститут захисту та представництва згадується в законодавчих актах кінця XIV - початку XV ст. – Псковській та Новгородській судних грамотах.</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В них окреслювались обов'язки судових захисників і представників, котрі окрім родичів позивачів могли виконувати всі громадяни, за винятком осіб, наділених владою. Можна простежити виникнення категорії найманих захисників. Саме з цієї категорії поступово виникатиме інститут фахових захисників і представників.</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Також було встановлено норми заборонного або обмежувального характеру </w:t>
      </w:r>
      <w:hyperlink r:id="rId1130" w:history="1">
        <w:r w:rsidRPr="00511005">
          <w:rPr>
            <w:rFonts w:ascii="Arial" w:eastAsia="Segoe UI" w:hAnsi="Arial" w:cs="Arial"/>
            <w:szCs w:val="28"/>
            <w:shd w:val="clear" w:color="auto" w:fill="FFFFFF"/>
            <w:lang w:val="uk-UA"/>
          </w:rPr>
          <w:t>[2]</w:t>
        </w:r>
      </w:hyperlink>
      <w:r w:rsidRPr="00511005">
        <w:rPr>
          <w:rFonts w:ascii="Arial" w:eastAsia="Segoe UI" w:hAnsi="Arial" w:cs="Arial"/>
          <w:szCs w:val="28"/>
          <w:shd w:val="clear" w:color="auto" w:fill="FFFFFF"/>
          <w:lang w:val="uk-UA"/>
        </w:rPr>
        <w:t>.</w:t>
      </w:r>
    </w:p>
    <w:p w14:paraId="371C957D" w14:textId="77777777" w:rsidR="007B2628" w:rsidRPr="00511005" w:rsidRDefault="00C10374" w:rsidP="003A292D">
      <w:pPr>
        <w:snapToGrid w:val="0"/>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Не менш важливі історичні відомості про адвокатів в Україні відображено в редакціях Литовського статуту. Зокрема, в них визначався правовий статус, обовʼязки та відповідальність адвокатів. Тогочасних адвокатів називали «прокураторами», і вони мали право захищати своїх клієнтів у суді. Перша редакція Литовського статуту (1529) присвятила артикул 13 розділу VI «Про прокураторів» діяльності адвокатів - прокураторів. </w:t>
      </w:r>
    </w:p>
    <w:p w14:paraId="317B5746" w14:textId="77777777" w:rsidR="007B2628" w:rsidRPr="00511005" w:rsidRDefault="00C10374" w:rsidP="003A292D">
      <w:pPr>
        <w:snapToGrid w:val="0"/>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 xml:space="preserve">Зокрема вона окреслювала коло справ, у яких могли брати участь адвокати, а також вимоги, які висували до особи адвоката. Адвокатом-прокуратором міг бути чужо-земець, якому дозволялось здійснювати захист виключно у справах про приниження честі: </w:t>
      </w:r>
      <w:r w:rsidRPr="00511005">
        <w:rPr>
          <w:rFonts w:ascii="Arial" w:eastAsia="Times New Roman" w:hAnsi="Arial" w:cs="Arial"/>
          <w:i/>
          <w:szCs w:val="28"/>
          <w:lang w:val="uk-UA"/>
        </w:rPr>
        <w:t>«Хто б кому честь образив, той може мати прокуратора... хоча б і не осілого у великому князівстві».</w:t>
      </w:r>
      <w:r w:rsidRPr="00511005">
        <w:rPr>
          <w:rFonts w:ascii="Arial" w:eastAsia="Times New Roman" w:hAnsi="Arial" w:cs="Arial"/>
          <w:szCs w:val="28"/>
          <w:lang w:val="uk-UA"/>
        </w:rPr>
        <w:t xml:space="preserve"> Друга редакція Литовського статуту (1566) більш широко окреслює статус адвоката. </w:t>
      </w:r>
    </w:p>
    <w:p w14:paraId="5DEC1CB7" w14:textId="5E9FBF50" w:rsidR="00C10374" w:rsidRPr="00511005" w:rsidRDefault="00C10374" w:rsidP="003A292D">
      <w:pPr>
        <w:snapToGrid w:val="0"/>
        <w:spacing w:line="264" w:lineRule="auto"/>
        <w:ind w:firstLineChars="150" w:firstLine="420"/>
        <w:rPr>
          <w:rFonts w:ascii="Arial" w:eastAsia="Times New Roman" w:hAnsi="Arial" w:cs="Arial"/>
          <w:szCs w:val="28"/>
          <w:lang w:val="uk-UA"/>
        </w:rPr>
      </w:pPr>
      <w:r w:rsidRPr="00511005">
        <w:rPr>
          <w:rFonts w:ascii="Arial" w:eastAsia="Times New Roman" w:hAnsi="Arial" w:cs="Arial"/>
          <w:szCs w:val="28"/>
          <w:lang w:val="uk-UA"/>
        </w:rPr>
        <w:t xml:space="preserve">Важливим пунктом було встановлення категорій справ, у яких може брати участь адвокат: кримінальні справи про вбивство, приниження честі, земельні спори (артикул 34 розділу IV). Вже на той час з'являються інститут державної правової допомоги - «Тоді суд мусить йому з уряду надати прокуратора» (артикул 33). Друга редакція також сповіщає про соціальний стан адвокатів: ними могли бути як шляхтичі, так і простолюдини (артикул 35). Статут 1566 р. вже визначав і те, що було заборонено адвокатам. У другій редакції відбувся розподіл на адвокатів («прокураторів») та представників («заступник», «заступець»). Такому заступнику, було дозволено мати свого адвоката («мусить бути сам або при собі маючи прокуратора») у випадку недуги, неможливості захистити свої права (артикул 31 розділу IV). Друга редакція Литовського статуту встановлює порядок наділення прокураторів правами адвоката. Уперше в актах того часу було визначено юридичну відповідальність адвокатів та перші ознаки адвокатської етики. В артикулах 35 і 36 розділу IV зазначалося, що адвокати мусять бути покарані за зраду своєму клієнтові </w:t>
      </w:r>
      <w:hyperlink r:id="rId1131" w:history="1">
        <w:r w:rsidRPr="00511005">
          <w:rPr>
            <w:rFonts w:ascii="Arial" w:eastAsia="Times New Roman" w:hAnsi="Arial" w:cs="Arial"/>
            <w:szCs w:val="28"/>
            <w:lang w:val="uk-UA"/>
          </w:rPr>
          <w:t>[3]</w:t>
        </w:r>
      </w:hyperlink>
      <w:r w:rsidRPr="00511005">
        <w:rPr>
          <w:rFonts w:ascii="Arial" w:eastAsia="Times New Roman" w:hAnsi="Arial" w:cs="Arial"/>
          <w:szCs w:val="28"/>
          <w:lang w:val="uk-UA"/>
        </w:rPr>
        <w:t>.</w:t>
      </w:r>
    </w:p>
    <w:p w14:paraId="3B7FB363" w14:textId="77777777" w:rsidR="007B2628" w:rsidRPr="00511005" w:rsidRDefault="00C10374" w:rsidP="003A292D">
      <w:pPr>
        <w:snapToGrid w:val="0"/>
        <w:spacing w:line="264" w:lineRule="auto"/>
        <w:ind w:firstLineChars="100" w:firstLine="280"/>
        <w:rPr>
          <w:rFonts w:ascii="Arial" w:eastAsia="Times New Roman" w:hAnsi="Arial" w:cs="Arial"/>
          <w:szCs w:val="28"/>
          <w:lang w:val="uk-UA"/>
        </w:rPr>
      </w:pPr>
      <w:r w:rsidRPr="00511005">
        <w:rPr>
          <w:rFonts w:ascii="Arial" w:eastAsia="Times New Roman" w:hAnsi="Arial" w:cs="Arial"/>
          <w:szCs w:val="28"/>
          <w:lang w:val="uk-UA"/>
        </w:rPr>
        <w:t>Третій Литовський статут (1588) ще більше деталізує правовий статус адвоката. Зокрема, в ньому Встановлюється кримінальна відповідальність за навмисні протиправні діяння адвоката.</w:t>
      </w:r>
    </w:p>
    <w:p w14:paraId="18E44DF0" w14:textId="77777777" w:rsidR="007B2628" w:rsidRPr="00511005" w:rsidRDefault="00C10374" w:rsidP="003A292D">
      <w:pPr>
        <w:snapToGrid w:val="0"/>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Стаття 10 першого Литовського статуту передбачала обмеження для іноземців виступати як прокуратор (захисник) у суді. Третій Литовський статут у розділі IV постановив, що оборонцем може бути кожна вільна людина (навіть не шляхтич), за винятком духовних осіб та судового персоналу гродських і земських судів у своїх округах. Прокуратор мусив подати судді засвідчений письмовий документ на право представляти інтереси сторони. Якщо ця сторона була присутня в суді, то вона тільки усно це підтверджувала. Був передбачений спеціальний урядовий захисник для убогих людей, які не могли самі себе захищати. Передбачались і досить жорсткі санкції за порушення оборонцем адвокатської етики - від позбавлення права займатись адвокатською діяльністю до страти. Артикул 61 цього статуту визначав співвідношення повноважень адвоката особи, яку він представляв.</w:t>
      </w:r>
    </w:p>
    <w:p w14:paraId="1B91DA60" w14:textId="2D11A499" w:rsidR="00C10374" w:rsidRPr="00511005" w:rsidRDefault="00C10374" w:rsidP="003A292D">
      <w:pPr>
        <w:snapToGrid w:val="0"/>
        <w:spacing w:line="264" w:lineRule="auto"/>
        <w:ind w:firstLineChars="100" w:firstLine="280"/>
        <w:rPr>
          <w:rFonts w:ascii="Arial" w:eastAsia="Times New Roman" w:hAnsi="Arial" w:cs="Arial"/>
          <w:szCs w:val="28"/>
          <w:lang w:val="uk-UA"/>
        </w:rPr>
      </w:pPr>
      <w:r w:rsidRPr="00511005">
        <w:rPr>
          <w:rFonts w:ascii="Arial" w:eastAsia="Times New Roman" w:hAnsi="Arial" w:cs="Arial"/>
          <w:szCs w:val="28"/>
          <w:lang w:val="uk-UA"/>
        </w:rPr>
        <w:t>Зважаючи все, хочу наголосити на тому, що українська адвокатура має глибокі історичні корені, що сягають ще часів Київської Русі. Це свідчить про те, що правова культура та необхідність у незалежному захисті прав і свобод людини є органічною частиною української цивілізації.</w:t>
      </w:r>
    </w:p>
    <w:p w14:paraId="45735DEE" w14:textId="77777777" w:rsidR="00C10374" w:rsidRPr="00511005" w:rsidRDefault="00C10374" w:rsidP="003A292D">
      <w:pPr>
        <w:snapToGrid w:val="0"/>
        <w:spacing w:line="264" w:lineRule="auto"/>
        <w:ind w:firstLine="0"/>
        <w:jc w:val="center"/>
        <w:rPr>
          <w:rFonts w:ascii="Arial" w:eastAsia="Times New Roman" w:hAnsi="Arial" w:cs="Arial"/>
          <w:b/>
          <w:i/>
          <w:szCs w:val="28"/>
          <w:lang w:val="uk-UA"/>
        </w:rPr>
      </w:pPr>
    </w:p>
    <w:p w14:paraId="75E7511E" w14:textId="77122476" w:rsidR="00C10374" w:rsidRPr="00875A11" w:rsidRDefault="007B2628" w:rsidP="007B2628">
      <w:pPr>
        <w:snapToGrid w:val="0"/>
        <w:spacing w:line="264" w:lineRule="auto"/>
        <w:ind w:firstLine="0"/>
        <w:jc w:val="center"/>
        <w:rPr>
          <w:rFonts w:ascii="Arial" w:eastAsia="Times New Roman" w:hAnsi="Arial" w:cs="Arial"/>
          <w:b/>
          <w:iCs/>
          <w:szCs w:val="28"/>
          <w:lang w:val="uk-UA"/>
        </w:rPr>
      </w:pPr>
      <w:r w:rsidRPr="00875A11">
        <w:rPr>
          <w:rFonts w:ascii="Arial" w:eastAsia="Times New Roman" w:hAnsi="Arial" w:cs="Arial"/>
          <w:b/>
          <w:iCs/>
          <w:szCs w:val="28"/>
          <w:lang w:val="uk-UA"/>
        </w:rPr>
        <w:t>Список використаних джерел</w:t>
      </w:r>
    </w:p>
    <w:p w14:paraId="461FEE0D" w14:textId="77777777" w:rsidR="00C10374" w:rsidRPr="00511005" w:rsidRDefault="00C10374" w:rsidP="003F6A5D">
      <w:pPr>
        <w:numPr>
          <w:ilvl w:val="0"/>
          <w:numId w:val="307"/>
        </w:numPr>
        <w:snapToGrid w:val="0"/>
        <w:spacing w:line="264" w:lineRule="auto"/>
        <w:rPr>
          <w:rFonts w:ascii="Arial" w:eastAsia="Times New Roman" w:hAnsi="Arial" w:cs="Arial"/>
          <w:szCs w:val="28"/>
          <w:lang w:val="uk-UA"/>
        </w:rPr>
      </w:pPr>
      <w:r w:rsidRPr="00511005">
        <w:rPr>
          <w:rFonts w:ascii="Arial" w:hAnsi="Arial" w:cs="Arial"/>
          <w:szCs w:val="28"/>
          <w:lang w:val="uk-UA"/>
        </w:rPr>
        <w:t>Адвокатура України: історія і сучасність: матеріали Всеукраїнського круглого столу. Київ; Тернопіль: ТНПУ ім. В.Гнатюка, 2013. 153 с.</w:t>
      </w:r>
    </w:p>
    <w:p w14:paraId="51FC2FD4" w14:textId="77777777" w:rsidR="00C10374" w:rsidRPr="00511005" w:rsidRDefault="00C10374" w:rsidP="003F6A5D">
      <w:pPr>
        <w:numPr>
          <w:ilvl w:val="0"/>
          <w:numId w:val="307"/>
        </w:numPr>
        <w:snapToGrid w:val="0"/>
        <w:spacing w:line="264" w:lineRule="auto"/>
        <w:rPr>
          <w:rFonts w:ascii="Arial" w:eastAsia="Times New Roman" w:hAnsi="Arial" w:cs="Arial"/>
          <w:szCs w:val="28"/>
          <w:lang w:val="uk-UA"/>
        </w:rPr>
      </w:pPr>
      <w:r w:rsidRPr="00511005">
        <w:rPr>
          <w:rFonts w:ascii="Arial" w:hAnsi="Arial" w:cs="Arial"/>
          <w:szCs w:val="28"/>
          <w:lang w:val="uk-UA"/>
        </w:rPr>
        <w:t>Бакаянова Н. М., Храпенко О. О. Історія адвокатури України у запитаннях та відповідях, ілюстраціях та фотографіях : навчальний посібник. Вид.2-ге, переробл. та допов. Одеса: Юридична література, 2019, 214 с.</w:t>
      </w:r>
    </w:p>
    <w:p w14:paraId="52C3C051" w14:textId="77777777" w:rsidR="00C10374" w:rsidRPr="00511005" w:rsidRDefault="00C10374" w:rsidP="003F6A5D">
      <w:pPr>
        <w:numPr>
          <w:ilvl w:val="0"/>
          <w:numId w:val="307"/>
        </w:numPr>
        <w:snapToGrid w:val="0"/>
        <w:spacing w:line="264" w:lineRule="auto"/>
        <w:rPr>
          <w:rFonts w:ascii="Arial" w:eastAsia="Times New Roman" w:hAnsi="Arial" w:cs="Arial"/>
          <w:szCs w:val="28"/>
          <w:lang w:val="uk-UA"/>
        </w:rPr>
      </w:pPr>
      <w:r w:rsidRPr="00511005">
        <w:rPr>
          <w:rFonts w:ascii="Arial" w:hAnsi="Arial" w:cs="Arial"/>
          <w:szCs w:val="28"/>
          <w:lang w:val="uk-UA"/>
        </w:rPr>
        <w:t>Бакаянова Н.М. Історія адвокатури України: навч.-метод. посібник. Одеса: Фенікс, 2015. 44 с.</w:t>
      </w:r>
    </w:p>
    <w:p w14:paraId="3AB5B745" w14:textId="77777777" w:rsidR="00C10374" w:rsidRPr="00511005" w:rsidRDefault="00C10374" w:rsidP="003A292D">
      <w:pPr>
        <w:snapToGrid w:val="0"/>
        <w:spacing w:line="264" w:lineRule="auto"/>
        <w:ind w:left="360" w:firstLine="0"/>
        <w:rPr>
          <w:rFonts w:ascii="Arial" w:eastAsia="Times New Roman" w:hAnsi="Arial" w:cs="Arial"/>
          <w:szCs w:val="28"/>
          <w:lang w:val="uk-UA"/>
        </w:rPr>
      </w:pPr>
    </w:p>
    <w:p w14:paraId="6844B5B8" w14:textId="18E2F0D4" w:rsidR="00C10374" w:rsidRPr="00511005" w:rsidRDefault="007B2628" w:rsidP="003A292D">
      <w:pPr>
        <w:snapToGrid w:val="0"/>
        <w:spacing w:line="264" w:lineRule="auto"/>
        <w:ind w:firstLine="0"/>
        <w:rPr>
          <w:rFonts w:ascii="Arial" w:eastAsia="Times New Roman" w:hAnsi="Arial" w:cs="Arial"/>
          <w:szCs w:val="28"/>
          <w:lang w:val="uk-UA"/>
        </w:rPr>
      </w:pPr>
      <w:r w:rsidRPr="00511005">
        <w:rPr>
          <w:rFonts w:ascii="Arial" w:hAnsi="Arial" w:cs="Arial"/>
          <w:b/>
          <w:bCs/>
          <w:i/>
          <w:szCs w:val="28"/>
          <w:lang w:val="uk-UA"/>
        </w:rPr>
        <w:t xml:space="preserve">Ключові слова: </w:t>
      </w:r>
      <w:r w:rsidR="00C10374" w:rsidRPr="00511005">
        <w:rPr>
          <w:rFonts w:ascii="Arial" w:hAnsi="Arial" w:cs="Arial"/>
          <w:szCs w:val="28"/>
          <w:lang w:val="uk-UA"/>
        </w:rPr>
        <w:t>адвокатура, адвокат, історія адвокатури, захист, інститут.</w:t>
      </w:r>
    </w:p>
    <w:p w14:paraId="2EFC4403" w14:textId="3F3F68A4" w:rsidR="00C10374" w:rsidRPr="00511005" w:rsidRDefault="007B2628" w:rsidP="003A292D">
      <w:pPr>
        <w:snapToGrid w:val="0"/>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C10374" w:rsidRPr="00511005">
        <w:rPr>
          <w:rFonts w:ascii="Arial" w:eastAsia="Times New Roman" w:hAnsi="Arial" w:cs="Arial"/>
          <w:szCs w:val="28"/>
          <w:lang w:val="uk-UA"/>
        </w:rPr>
        <w:t>advocacy, a</w:t>
      </w:r>
      <w:r w:rsidR="00C10374" w:rsidRPr="00511005">
        <w:rPr>
          <w:rFonts w:ascii="Arial" w:eastAsia="Times New Roman" w:hAnsi="Arial" w:cs="Arial"/>
          <w:szCs w:val="28"/>
          <w:lang w:val="en-US"/>
        </w:rPr>
        <w:t xml:space="preserve">dvocate, </w:t>
      </w:r>
      <w:r w:rsidR="00C10374" w:rsidRPr="00511005">
        <w:rPr>
          <w:rFonts w:ascii="Arial" w:eastAsia="Times New Roman" w:hAnsi="Arial" w:cs="Arial"/>
          <w:szCs w:val="28"/>
          <w:lang w:val="uk-UA"/>
        </w:rPr>
        <w:t xml:space="preserve">history </w:t>
      </w:r>
      <w:r w:rsidR="00C10374" w:rsidRPr="00511005">
        <w:rPr>
          <w:rFonts w:ascii="Arial" w:eastAsia="Times New Roman" w:hAnsi="Arial" w:cs="Arial"/>
          <w:szCs w:val="28"/>
          <w:lang w:val="en-US"/>
        </w:rPr>
        <w:t>of advocacy</w:t>
      </w:r>
      <w:r w:rsidR="00C10374" w:rsidRPr="00511005">
        <w:rPr>
          <w:rFonts w:ascii="Arial" w:eastAsia="Times New Roman" w:hAnsi="Arial" w:cs="Arial"/>
          <w:szCs w:val="28"/>
          <w:lang w:val="uk-UA"/>
        </w:rPr>
        <w:t>, protection, institute.</w:t>
      </w:r>
    </w:p>
    <w:p w14:paraId="1EC9FDB6" w14:textId="1F8958ED" w:rsidR="00C10374" w:rsidRPr="00511005" w:rsidRDefault="007B2628" w:rsidP="003A292D">
      <w:pPr>
        <w:spacing w:line="264" w:lineRule="auto"/>
        <w:ind w:firstLineChars="150" w:firstLine="422"/>
        <w:rPr>
          <w:rFonts w:ascii="Arial" w:eastAsia="Calibri" w:hAnsi="Arial" w:cs="Arial"/>
          <w:szCs w:val="28"/>
          <w:lang w:val="uk-UA"/>
        </w:rPr>
      </w:pPr>
      <w:r w:rsidRPr="00511005">
        <w:rPr>
          <w:rFonts w:ascii="Arial" w:eastAsia="Times New Roman" w:hAnsi="Arial" w:cs="Arial"/>
          <w:b/>
          <w:bCs/>
          <w:i/>
          <w:szCs w:val="28"/>
          <w:lang w:val="uk-UA"/>
        </w:rPr>
        <w:t xml:space="preserve">Науковий керівник: </w:t>
      </w:r>
      <w:r w:rsidR="00C10374" w:rsidRPr="00511005">
        <w:rPr>
          <w:rFonts w:ascii="Arial" w:eastAsia="Times New Roman" w:hAnsi="Arial" w:cs="Arial"/>
          <w:i/>
          <w:szCs w:val="28"/>
          <w:lang w:val="uk-UA"/>
        </w:rPr>
        <w:t>к. ю. н., доцент Кравченко М. О.</w:t>
      </w:r>
    </w:p>
    <w:p w14:paraId="4616E1B2" w14:textId="77777777" w:rsidR="00C10374" w:rsidRPr="00511005" w:rsidRDefault="00C10374" w:rsidP="003A292D">
      <w:pPr>
        <w:spacing w:line="264" w:lineRule="auto"/>
        <w:ind w:firstLine="0"/>
        <w:rPr>
          <w:rFonts w:ascii="Arial" w:eastAsia="Calibri" w:hAnsi="Arial" w:cs="Arial"/>
          <w:i/>
          <w:iCs/>
          <w:szCs w:val="28"/>
        </w:rPr>
      </w:pPr>
    </w:p>
    <w:p w14:paraId="76DD3471" w14:textId="77777777" w:rsidR="00C10374" w:rsidRPr="00511005" w:rsidRDefault="00C10374" w:rsidP="003A292D">
      <w:pPr>
        <w:widowControl w:val="0"/>
        <w:spacing w:line="264" w:lineRule="auto"/>
        <w:ind w:firstLine="0"/>
        <w:rPr>
          <w:rFonts w:ascii="Arial" w:hAnsi="Arial" w:cs="Arial"/>
          <w:i/>
          <w:iCs/>
          <w:kern w:val="2"/>
          <w:szCs w:val="28"/>
          <w:lang w:val="uk-UA" w:eastAsia="zh-CN"/>
        </w:rPr>
      </w:pPr>
    </w:p>
    <w:p w14:paraId="54D6CBC6" w14:textId="77777777" w:rsidR="00C10374" w:rsidRPr="00511005" w:rsidRDefault="00C10374" w:rsidP="003A292D">
      <w:pPr>
        <w:snapToGrid w:val="0"/>
        <w:spacing w:line="264" w:lineRule="auto"/>
        <w:ind w:firstLine="567"/>
        <w:jc w:val="center"/>
        <w:rPr>
          <w:rFonts w:ascii="Arial" w:eastAsia="Times New Roman" w:hAnsi="Arial" w:cs="Arial"/>
          <w:szCs w:val="28"/>
          <w:lang w:val="uk-UA" w:eastAsia="ru-RU"/>
        </w:rPr>
      </w:pPr>
      <w:r w:rsidRPr="00511005">
        <w:rPr>
          <w:rFonts w:ascii="Arial" w:eastAsia="Times New Roman" w:hAnsi="Arial" w:cs="Arial"/>
          <w:b/>
          <w:bCs/>
          <w:i/>
          <w:iCs/>
          <w:szCs w:val="28"/>
          <w:lang w:val="uk-UA" w:eastAsia="ru-RU"/>
        </w:rPr>
        <w:t>Мальована Анна Олегівна</w:t>
      </w:r>
    </w:p>
    <w:p w14:paraId="4F54503B" w14:textId="716A0B2F" w:rsidR="00C10374" w:rsidRPr="00511005" w:rsidRDefault="00BE3972" w:rsidP="003A292D">
      <w:pPr>
        <w:snapToGrid w:val="0"/>
        <w:spacing w:line="264" w:lineRule="auto"/>
        <w:ind w:right="140" w:firstLine="567"/>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 1-го курсу </w:t>
      </w:r>
      <w:r w:rsidR="001B7B25" w:rsidRPr="00511005">
        <w:rPr>
          <w:rFonts w:ascii="Arial" w:eastAsia="Times New Roman" w:hAnsi="Arial" w:cs="Arial"/>
          <w:szCs w:val="28"/>
          <w:lang w:val="uk-UA" w:eastAsia="ru-RU"/>
        </w:rPr>
        <w:t>факультету судового та міжнародного права</w:t>
      </w:r>
    </w:p>
    <w:p w14:paraId="7096D773" w14:textId="5855A76C" w:rsidR="00C10374" w:rsidRPr="00511005" w:rsidRDefault="007B2628" w:rsidP="003A292D">
      <w:pPr>
        <w:snapToGrid w:val="0"/>
        <w:spacing w:line="264" w:lineRule="auto"/>
        <w:ind w:right="120" w:firstLine="567"/>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65D445D2" w14:textId="77777777" w:rsidR="00C10374" w:rsidRPr="00511005" w:rsidRDefault="00C10374" w:rsidP="003A292D">
      <w:pPr>
        <w:snapToGrid w:val="0"/>
        <w:spacing w:line="264" w:lineRule="auto"/>
        <w:ind w:right="120" w:firstLine="567"/>
        <w:jc w:val="center"/>
        <w:rPr>
          <w:rFonts w:ascii="Arial" w:eastAsia="Times New Roman" w:hAnsi="Arial" w:cs="Arial"/>
          <w:szCs w:val="28"/>
          <w:lang w:val="uk-UA" w:eastAsia="ru-RU"/>
        </w:rPr>
      </w:pPr>
    </w:p>
    <w:p w14:paraId="1B876AA0" w14:textId="77777777" w:rsidR="00C10374" w:rsidRPr="00511005" w:rsidRDefault="00C10374" w:rsidP="003A292D">
      <w:pPr>
        <w:snapToGrid w:val="0"/>
        <w:spacing w:line="264" w:lineRule="auto"/>
        <w:ind w:right="520" w:firstLine="567"/>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 xml:space="preserve">ДО ПИТАННЯ АДВОКАТСЬКОЇ ЕТИКИ </w:t>
      </w:r>
    </w:p>
    <w:p w14:paraId="35122DBB"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Адвокатська етика становить комплекс моральних засад і принципів, на яких грунтується поведінка представників адвокатської професії. Правова природа адвокатської етики визначається специфікою адвокатської діяльності та особливим статусом адвоката у суспільстві. Моральний вимір виконання обовʼязків захисника пронизує всю професійну діяльність, починаючи від спілкування з клієнтом і завершуючи представництвом його інтересів у суді. Правила адвокатської етики затверджується зʼїздом адвокатів України та визначають основні засади морально-етичної поведінки адвоката при здійсненні професійної діяльності [1]. Дотримання етичних стандартів сприяє підвищенню авторитету адвокатської професії, формуванню довіри суспільства до правозахисної діяльності, а також створює умови для ефективного захисту прав і свобод громадян [2]. </w:t>
      </w:r>
    </w:p>
    <w:p w14:paraId="15711BDA"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Фундаментальними принципами адвокатської етики виступають незалежність, пріоритет інтересів клієнта, неприпустимість конфлікту інтересів, конфіденційність, компетентність та добросовісність. Правилами також визначаються особливі вимоги до рекламування адвокатської діяльності [1]. </w:t>
      </w:r>
    </w:p>
    <w:p w14:paraId="2F464786"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Розглянемо деякі принципи адвокатської етики детальніше. Незалежність адвоката проявляється у свободі від будь-якого зовнішнього впливу, тиску чи втручання в його професійну діяльність, можливості самостійно формувати правову позицію у справі, обирати стратегію і тактику </w:t>
      </w:r>
      <w:r w:rsidRPr="00511005">
        <w:rPr>
          <w:rFonts w:ascii="Arial" w:eastAsia="Times New Roman" w:hAnsi="Arial" w:cs="Arial"/>
          <w:szCs w:val="28"/>
          <w:lang w:val="uk-UA" w:eastAsia="ru-RU"/>
        </w:rPr>
        <w:lastRenderedPageBreak/>
        <w:t xml:space="preserve">захисту. Адвокат повинен уникати ситуацій, за яких виникає залежність від клієнта, держави, інших адвокатів, третіх осіб. </w:t>
      </w:r>
    </w:p>
    <w:p w14:paraId="3632A48A"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Принцип пріоритету інтересів клієнта виражається у спрямованості діяльності адвоката виключно на захист законних інтересів особи, яка звернулася за правовою допомогою [3]. При наданні професійної правничої допомоги адвокат має керуватися передусім міркування користі для клієнта, діяти в рамках закону для захисту його прав та інтересів. </w:t>
      </w:r>
    </w:p>
    <w:p w14:paraId="4FDF1933"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Неприпустимість конфлікту інтересів як етичний принцип адвокатської діяльності полягає у забороні адвокату представляти або захищати одночасно двох або більше клієнтів, інтереси яких є взаємно суперечливими, або можуть стати такими, а також використовувати інформацію, отриману від клієнта, проти нього самого. Адвокат зобов’язаний відмовитися від надання правової допомоги у випадку наявності конфлікту інтересів. </w:t>
      </w:r>
    </w:p>
    <w:p w14:paraId="3CD695EA"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Конфіденційність адвокатської діяльності гарантується через збереження адвокатської таємниці, яка охоплює факт звернення до адвоката, зміст порад, консультацій, роз’яснень, складених документів, інформацію, отриману від клієнта, та про клієнта, а також інші відомості, пов’язані з наданням правової допомоги.</w:t>
      </w:r>
    </w:p>
    <w:p w14:paraId="0F420A6D"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Компетентність та добросовісність як етичні засади професійної діяльності адвоката передбачають наявність необхідних знань, умінь і навичок, постійне підвищення кваліфікації, сумлінне ставлення до виконання своїх обов’язків, ретельну підготовку до процесуальних дій, дотримання правил адвокатської етики. Адвокат має надавати правову допомогу клієнту компетентно і добросовісно, застосовувати всі законні засоби для захисту його прав та інтересів, не допускати неналежного надання правової допомоги через недостатній рівень кваліфікації чи завантаженість.</w:t>
      </w:r>
    </w:p>
    <w:p w14:paraId="7396B7F5"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Відносини адвоката з клієнтом характеризуються довірчим характером і будуються на засадах порядності, чесності, відповідальності. Адвокат має своєчасно інформувати клієнта про хід виконання доручення, пояснювати значення дій, які вчиняються у процесі надання правової допомоги, обговорювати правові позиції у справі, надавати об’єктивну оцінку судової перспективи справи. Неприпустимим у відносинах з клієнтом виступає введення в оману щодо можливого результату виконання доручення, штучне затягування справи з метою отримання додаткової винагороди, приховування обставин, які мають істотне значення для клієнта. Адвокат не має права давати клієнту запевнення і гарантії стосовно результату виконання доручення, повинен ретельно роз’яснювати клієнту правові наслідки тих чи інших дій.</w:t>
      </w:r>
    </w:p>
    <w:p w14:paraId="781C3354"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Морально-етичні аспекти відносин адвоката з колегами ґрунтуються на принципах взаємної поваги, ділового партнерства, корпоративної солідарності.</w:t>
      </w:r>
    </w:p>
    <w:p w14:paraId="6CEA0B22"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Адвокати повинні уникати дій, спрямованих на приниження честі, гідності та ділової репутації колег, не допускати висловлювань, які можуть завдати шкоди авторитету адвокатури в цілому. У відносинах між адвокатами має панувати атмосфера довіри, взаємодопомоги, а також дотримання культури полеміки і дискусії. Адвокату не дозволяється давати оцінку якості роботи іншого адвоката у присутності клієнта, переманювати клієнтів, поширювати недостовірну інформацію про колег [1]. </w:t>
      </w:r>
    </w:p>
    <w:p w14:paraId="69BA0DA9"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Відповідальність за порушення правил адвокатської етики передбачена Законом України «Про адвокатуру та адвокатську діяльність». До адвоката, який порушив етичні норми, можуть бути застосовані дисциплінарні стягнення у вигляді попередження, зупинення права на заняття адвокатською діяльністю на строк від одного місяця до одного року, позбавлення права на заняття адвокатською діяльністю з наступним виключенням з Єдиного реєстру адвокатів України. Дисциплінарне провадження щодо адвоката здійснює кваліфікаційно-дисциплінарна комісія адвокатури за місцем перебування адвоката в Єдиному реєстрі адвокатів України.</w:t>
      </w:r>
    </w:p>
    <w:p w14:paraId="21AB0568"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Практичний вимір адвокатської етики проявляється у щоденній діяльності адвоката та ситуаціях морального вибору. Адвокати часто стикаються з етичними дилемами, коли необхідно балансувати між різними моральними принципами або між професійним обов’язком та особистими моральними переконаннями. Наприклад, адвокат може опинитися перед вибором між обов’язком зберігати адвокатську таємницю та необхідністю запобігти скоєнню тяжкого злочину.</w:t>
      </w:r>
    </w:p>
    <w:p w14:paraId="38FB27AB"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Моральна свідомість адвоката, його система цінностей, внутрішні переконання відіграють вирішальну роль у розв’язанні подібних етичних конфліктів. Формування високих моральних стандартів адвокатської діяльності починається ще на етапі юридичної освіти та продовжується протягом усього професійного шляху адвоката.</w:t>
      </w:r>
    </w:p>
    <w:p w14:paraId="40B09C5A" w14:textId="77777777" w:rsidR="007B2628" w:rsidRPr="00511005" w:rsidRDefault="00C10374"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Адвокатська етика в сучасних умовах зазнає трансформацій під впливом глобалізаційних процесів, розвитку інформаційних технологій, змін у правовій системі. Поява нових форм комунікації, зокрема через соціальні мережі, розширення сфер адвокатської діяльності, зростання конкуренції на ринку юридичних послуг породжують нові етичні виклики. Етична поведінка адвоката у віртуальному просторі, дотримання принципу конфіденційності при використанні електронних засобів комунікації, етичні аспекти реклами адвокатських послуг — питання, які потребують постійної уваги з боку адвокатської спільноти.</w:t>
      </w:r>
    </w:p>
    <w:p w14:paraId="71D8EF1F" w14:textId="098EA730" w:rsidR="00C10374" w:rsidRPr="00511005" w:rsidRDefault="00C10374" w:rsidP="003A292D">
      <w:pPr>
        <w:snapToGrid w:val="0"/>
        <w:spacing w:line="264" w:lineRule="auto"/>
        <w:ind w:firstLine="567"/>
        <w:rPr>
          <w:rFonts w:ascii="Arial" w:eastAsia="Times New Roman" w:hAnsi="Arial" w:cs="Arial"/>
          <w:szCs w:val="28"/>
          <w:lang w:val="uk-UA" w:eastAsia="ru-RU"/>
        </w:rPr>
      </w:pPr>
    </w:p>
    <w:p w14:paraId="2A5A6330" w14:textId="3EF912C5" w:rsidR="00C10374" w:rsidRPr="00FF6286" w:rsidRDefault="007B2628" w:rsidP="007B2628">
      <w:pPr>
        <w:snapToGrid w:val="0"/>
        <w:spacing w:line="264" w:lineRule="auto"/>
        <w:ind w:firstLine="567"/>
        <w:jc w:val="center"/>
        <w:rPr>
          <w:rFonts w:ascii="Arial" w:eastAsia="Times New Roman" w:hAnsi="Arial" w:cs="Arial"/>
          <w:b/>
          <w:bCs/>
          <w:szCs w:val="28"/>
          <w:lang w:val="uk-UA" w:eastAsia="ru-RU"/>
        </w:rPr>
      </w:pPr>
      <w:r w:rsidRPr="00FF6286">
        <w:rPr>
          <w:rFonts w:ascii="Arial" w:eastAsia="Times New Roman" w:hAnsi="Arial" w:cs="Arial"/>
          <w:b/>
          <w:bCs/>
          <w:szCs w:val="28"/>
          <w:lang w:val="uk-UA" w:eastAsia="ru-RU"/>
        </w:rPr>
        <w:lastRenderedPageBreak/>
        <w:t>Список використаних джерел</w:t>
      </w:r>
    </w:p>
    <w:p w14:paraId="689BE3B4" w14:textId="77777777" w:rsidR="00C10374" w:rsidRPr="00511005" w:rsidRDefault="00C10374" w:rsidP="003F6A5D">
      <w:pPr>
        <w:numPr>
          <w:ilvl w:val="0"/>
          <w:numId w:val="308"/>
        </w:numPr>
        <w:snapToGrid w:val="0"/>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Правила адвокатської етики: Затверджено З’їздом адвокатів України 9 червня 2017 р. URL:</w:t>
      </w:r>
      <w:hyperlink r:id="rId1132" w:history="1">
        <w:r w:rsidRPr="00511005">
          <w:rPr>
            <w:rFonts w:ascii="Arial" w:eastAsia="Times New Roman" w:hAnsi="Arial" w:cs="Arial"/>
            <w:szCs w:val="28"/>
            <w:lang w:val="uk-UA" w:eastAsia="ru-RU"/>
          </w:rPr>
          <w:t xml:space="preserve"> https://zakon.rada.gov.ua/rada/show/n0001891-17</w:t>
        </w:r>
      </w:hyperlink>
    </w:p>
    <w:p w14:paraId="3F7B643B" w14:textId="77777777" w:rsidR="00C10374" w:rsidRPr="00511005" w:rsidRDefault="00C10374" w:rsidP="003F6A5D">
      <w:pPr>
        <w:numPr>
          <w:ilvl w:val="0"/>
          <w:numId w:val="308"/>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Зельдич О. Правила адвокатської етики та дисциплінарна відповідальність адвоката за їх порушення. </w:t>
      </w:r>
      <w:r w:rsidRPr="00511005">
        <w:rPr>
          <w:rFonts w:ascii="Arial" w:eastAsia="Times New Roman" w:hAnsi="Arial" w:cs="Arial"/>
          <w:i/>
          <w:iCs/>
          <w:szCs w:val="28"/>
          <w:lang w:val="uk-UA" w:eastAsia="ru-RU"/>
        </w:rPr>
        <w:t>Advokatpost.com</w:t>
      </w:r>
      <w:r w:rsidRPr="00511005">
        <w:rPr>
          <w:rFonts w:ascii="Arial" w:eastAsia="Times New Roman" w:hAnsi="Arial" w:cs="Arial"/>
          <w:szCs w:val="28"/>
          <w:lang w:val="uk-UA" w:eastAsia="ru-RU"/>
        </w:rPr>
        <w:t>. URL:</w:t>
      </w:r>
      <w:hyperlink r:id="rId1133" w:history="1">
        <w:r w:rsidRPr="00511005">
          <w:rPr>
            <w:rFonts w:ascii="Arial" w:eastAsia="Times New Roman" w:hAnsi="Arial" w:cs="Arial"/>
            <w:szCs w:val="28"/>
            <w:lang w:val="uk-UA" w:eastAsia="ru-RU"/>
          </w:rPr>
          <w:t xml:space="preserve"> https://advokatpost.com/pravyla-advokatskoi-etyky-ta-dystsyplinarnavidpovidalnist-advokata-za-ikh-porushennia-advokat-oksana-zeldych</w:t>
        </w:r>
      </w:hyperlink>
    </w:p>
    <w:p w14:paraId="6DF3F773" w14:textId="77777777" w:rsidR="007B2628" w:rsidRPr="00511005" w:rsidRDefault="00C10374" w:rsidP="003F6A5D">
      <w:pPr>
        <w:numPr>
          <w:ilvl w:val="0"/>
          <w:numId w:val="308"/>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Бірюкова А. М. Принцип пріоритету інтересів клієнта в системі етичних засад адвокатської діяльності. Вісник кримінального судочинства. 2017. №4. С. 121–128. URL: </w:t>
      </w:r>
      <w:hyperlink r:id="rId1134" w:history="1">
        <w:r w:rsidRPr="00511005">
          <w:rPr>
            <w:rFonts w:ascii="Arial" w:eastAsia="Times New Roman" w:hAnsi="Arial" w:cs="Arial"/>
            <w:szCs w:val="28"/>
            <w:lang w:val="uk-UA" w:eastAsia="ru-RU"/>
          </w:rPr>
          <w:t>https://vkslaw.com.ua/index.php/journal/article/view/351/323</w:t>
        </w:r>
      </w:hyperlink>
    </w:p>
    <w:p w14:paraId="35E5EC42" w14:textId="526B0036" w:rsidR="00C10374" w:rsidRPr="00511005" w:rsidRDefault="00C10374" w:rsidP="003A292D">
      <w:pPr>
        <w:snapToGrid w:val="0"/>
        <w:spacing w:line="264" w:lineRule="auto"/>
        <w:ind w:firstLine="567"/>
        <w:rPr>
          <w:rFonts w:ascii="Arial" w:eastAsia="Times New Roman" w:hAnsi="Arial" w:cs="Arial"/>
          <w:szCs w:val="28"/>
          <w:lang w:val="uk-UA" w:eastAsia="ru-RU"/>
        </w:rPr>
      </w:pPr>
    </w:p>
    <w:p w14:paraId="50A57D1D" w14:textId="3DF387B7" w:rsidR="00C10374" w:rsidRPr="00511005" w:rsidRDefault="007B2628"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C10374" w:rsidRPr="00511005">
        <w:rPr>
          <w:rFonts w:ascii="Arial" w:eastAsia="Times New Roman" w:hAnsi="Arial" w:cs="Arial"/>
          <w:szCs w:val="28"/>
          <w:lang w:val="uk-UA" w:eastAsia="ru-RU"/>
        </w:rPr>
        <w:t>принципи адвокатської етики, незалежність адвоката, пріоритет інтересів клієнта, конфлікт інтересів, конфіденційність, компетентність, добросовісність, дисциплінарна відповідальність. </w:t>
      </w:r>
    </w:p>
    <w:p w14:paraId="77BD92E7" w14:textId="17E9CABC" w:rsidR="00C10374" w:rsidRPr="00511005" w:rsidRDefault="007B2628" w:rsidP="003A292D">
      <w:pPr>
        <w:snapToGrid w:val="0"/>
        <w:spacing w:line="264" w:lineRule="auto"/>
        <w:ind w:firstLine="567"/>
        <w:rPr>
          <w:rFonts w:ascii="Arial" w:eastAsia="Times New Roman" w:hAnsi="Arial" w:cs="Arial"/>
          <w:i/>
          <w:iCs/>
          <w:szCs w:val="28"/>
          <w:lang w:val="uk-UA" w:eastAsia="ru-RU"/>
        </w:rPr>
      </w:pPr>
      <w:r w:rsidRPr="00511005">
        <w:rPr>
          <w:rFonts w:ascii="Arial" w:eastAsia="Times New Roman" w:hAnsi="Arial" w:cs="Arial"/>
          <w:b/>
          <w:bCs/>
          <w:i/>
          <w:szCs w:val="28"/>
          <w:lang w:val="uk-UA" w:eastAsia="ru-RU"/>
        </w:rPr>
        <w:t xml:space="preserve">Key words: </w:t>
      </w:r>
      <w:r w:rsidR="00C10374" w:rsidRPr="00511005">
        <w:rPr>
          <w:rFonts w:ascii="Arial" w:eastAsia="Times New Roman" w:hAnsi="Arial" w:cs="Arial"/>
          <w:szCs w:val="28"/>
          <w:lang w:val="uk-UA" w:eastAsia="ru-RU"/>
        </w:rPr>
        <w:t xml:space="preserve">principles of advocate ethics, advocate`s independence, priority of the client’s interests, conflict of interest, confidentiality, competence, conscientiousness, disciplinary liability. </w:t>
      </w:r>
    </w:p>
    <w:p w14:paraId="3EB9B229" w14:textId="77777777" w:rsidR="00C10374" w:rsidRPr="00511005" w:rsidRDefault="00C10374" w:rsidP="003A292D">
      <w:pPr>
        <w:snapToGrid w:val="0"/>
        <w:spacing w:line="264" w:lineRule="auto"/>
        <w:ind w:firstLine="567"/>
        <w:rPr>
          <w:rFonts w:ascii="Arial" w:eastAsia="Times New Roman" w:hAnsi="Arial" w:cs="Arial"/>
          <w:szCs w:val="28"/>
          <w:lang w:val="uk-UA" w:eastAsia="ru-RU"/>
        </w:rPr>
      </w:pPr>
    </w:p>
    <w:p w14:paraId="74F4ADAD" w14:textId="76CC92FB" w:rsidR="00C10374" w:rsidRPr="00511005" w:rsidRDefault="007B2628" w:rsidP="003A292D">
      <w:pPr>
        <w:snapToGrid w:val="0"/>
        <w:spacing w:line="264" w:lineRule="auto"/>
        <w:ind w:firstLine="567"/>
        <w:rPr>
          <w:rFonts w:ascii="Arial" w:eastAsia="Times New Roman" w:hAnsi="Arial" w:cs="Arial"/>
          <w:szCs w:val="28"/>
          <w:lang w:val="uk-UA" w:eastAsia="ru-RU"/>
        </w:rPr>
      </w:pPr>
      <w:r w:rsidRPr="00511005">
        <w:rPr>
          <w:rFonts w:ascii="Arial" w:eastAsia="Times New Roman" w:hAnsi="Arial" w:cs="Arial"/>
          <w:b/>
          <w:i/>
          <w:iCs/>
          <w:szCs w:val="28"/>
          <w:lang w:val="uk-UA" w:eastAsia="ru-RU"/>
        </w:rPr>
        <w:t xml:space="preserve">Науковий керівник: </w:t>
      </w:r>
      <w:r w:rsidR="00C10374" w:rsidRPr="00511005">
        <w:rPr>
          <w:rFonts w:ascii="Arial" w:eastAsia="Times New Roman" w:hAnsi="Arial" w:cs="Arial"/>
          <w:i/>
          <w:iCs/>
          <w:szCs w:val="28"/>
          <w:lang w:val="uk-UA" w:eastAsia="ru-RU"/>
        </w:rPr>
        <w:t>к.ю.н. доцент Кравченко М. О.</w:t>
      </w:r>
    </w:p>
    <w:p w14:paraId="69B7BD6E" w14:textId="77777777" w:rsidR="00C10374" w:rsidRPr="00511005" w:rsidRDefault="00C10374" w:rsidP="003A292D">
      <w:pPr>
        <w:widowControl w:val="0"/>
        <w:spacing w:line="264" w:lineRule="auto"/>
        <w:ind w:firstLine="0"/>
        <w:rPr>
          <w:rFonts w:ascii="Arial" w:hAnsi="Arial" w:cs="Arial"/>
          <w:i/>
          <w:iCs/>
          <w:kern w:val="2"/>
          <w:szCs w:val="28"/>
          <w:lang w:val="uk-UA" w:eastAsia="zh-CN"/>
        </w:rPr>
      </w:pPr>
    </w:p>
    <w:p w14:paraId="0BB2A56A" w14:textId="77777777" w:rsidR="00C10374" w:rsidRPr="00511005" w:rsidRDefault="00C10374" w:rsidP="003A292D">
      <w:pPr>
        <w:widowControl w:val="0"/>
        <w:spacing w:line="264" w:lineRule="auto"/>
        <w:ind w:firstLine="0"/>
        <w:rPr>
          <w:rFonts w:ascii="Arial" w:eastAsia="Calibri" w:hAnsi="Arial" w:cs="Arial"/>
          <w:szCs w:val="28"/>
        </w:rPr>
      </w:pPr>
    </w:p>
    <w:p w14:paraId="1EA56A4E" w14:textId="77777777" w:rsidR="00C10374" w:rsidRPr="00511005" w:rsidRDefault="00C10374" w:rsidP="003A292D">
      <w:pPr>
        <w:spacing w:line="264" w:lineRule="auto"/>
        <w:ind w:firstLine="0"/>
        <w:jc w:val="center"/>
        <w:rPr>
          <w:rFonts w:ascii="Arial" w:eastAsia="Calibri" w:hAnsi="Arial" w:cs="Arial"/>
          <w:b/>
          <w:i/>
          <w:spacing w:val="-4"/>
          <w:szCs w:val="28"/>
          <w:lang w:val="uk-UA"/>
        </w:rPr>
      </w:pPr>
      <w:r w:rsidRPr="00511005">
        <w:rPr>
          <w:rFonts w:ascii="Arial" w:eastAsia="Calibri" w:hAnsi="Arial" w:cs="Arial"/>
          <w:b/>
          <w:i/>
          <w:spacing w:val="-4"/>
          <w:szCs w:val="28"/>
        </w:rPr>
        <w:t>Марковська А</w:t>
      </w:r>
      <w:r w:rsidRPr="00511005">
        <w:rPr>
          <w:rFonts w:ascii="Arial" w:eastAsia="Calibri" w:hAnsi="Arial" w:cs="Arial"/>
          <w:b/>
          <w:i/>
          <w:spacing w:val="-4"/>
          <w:szCs w:val="28"/>
          <w:lang w:val="uk-UA"/>
        </w:rPr>
        <w:t>нна</w:t>
      </w:r>
      <w:r w:rsidRPr="00511005">
        <w:rPr>
          <w:rFonts w:ascii="Arial" w:eastAsia="Calibri" w:hAnsi="Arial" w:cs="Arial"/>
          <w:b/>
          <w:i/>
          <w:spacing w:val="-4"/>
          <w:szCs w:val="28"/>
        </w:rPr>
        <w:t xml:space="preserve"> С</w:t>
      </w:r>
      <w:r w:rsidRPr="00511005">
        <w:rPr>
          <w:rFonts w:ascii="Arial" w:eastAsia="Calibri" w:hAnsi="Arial" w:cs="Arial"/>
          <w:b/>
          <w:i/>
          <w:spacing w:val="-4"/>
          <w:szCs w:val="28"/>
          <w:lang w:val="uk-UA"/>
        </w:rPr>
        <w:t>ергіївна</w:t>
      </w:r>
    </w:p>
    <w:p w14:paraId="5A57A8FB" w14:textId="5D7987D8"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4-го курсу </w:t>
      </w:r>
    </w:p>
    <w:p w14:paraId="6FFA8769"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929CC5D"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4BDF583" w14:textId="77777777" w:rsidR="00C10374" w:rsidRPr="00511005" w:rsidRDefault="00C10374" w:rsidP="003A292D">
      <w:pPr>
        <w:spacing w:line="264" w:lineRule="auto"/>
        <w:ind w:left="5529" w:firstLine="0"/>
        <w:rPr>
          <w:rFonts w:ascii="Arial" w:eastAsia="Calibri" w:hAnsi="Arial" w:cs="Arial"/>
          <w:b/>
          <w:spacing w:val="-4"/>
          <w:szCs w:val="28"/>
        </w:rPr>
      </w:pPr>
    </w:p>
    <w:p w14:paraId="2680765D" w14:textId="77777777" w:rsidR="00C10374" w:rsidRPr="00511005" w:rsidRDefault="00C10374" w:rsidP="003A292D">
      <w:pPr>
        <w:spacing w:line="264" w:lineRule="auto"/>
        <w:ind w:firstLine="0"/>
        <w:jc w:val="center"/>
        <w:rPr>
          <w:rFonts w:ascii="Arial" w:eastAsia="Calibri" w:hAnsi="Arial" w:cs="Arial"/>
          <w:b/>
          <w:spacing w:val="-4"/>
          <w:szCs w:val="28"/>
        </w:rPr>
      </w:pPr>
      <w:r w:rsidRPr="00511005">
        <w:rPr>
          <w:rFonts w:ascii="Arial" w:eastAsia="Calibri" w:hAnsi="Arial" w:cs="Arial"/>
          <w:b/>
          <w:spacing w:val="-4"/>
          <w:szCs w:val="28"/>
        </w:rPr>
        <w:t>ЕФЕКТИВНІСТЬ ОПЕРАТИВНО-РОЗШУКОВИХ ЗАХОДІВ У СФЕРІ АНТИКОРУПЦІЙНОЇ ДІЯЛЬНОСТІ: ВИКЛИКИ ТА ПЕРСПЕКТИВИ</w:t>
      </w:r>
    </w:p>
    <w:p w14:paraId="2949841C" w14:textId="77777777" w:rsidR="00C10374" w:rsidRPr="00511005" w:rsidRDefault="00C10374" w:rsidP="003A292D">
      <w:pPr>
        <w:spacing w:line="264" w:lineRule="auto"/>
        <w:ind w:firstLine="0"/>
        <w:jc w:val="center"/>
        <w:rPr>
          <w:rFonts w:ascii="Arial" w:eastAsia="Calibri" w:hAnsi="Arial" w:cs="Arial"/>
          <w:b/>
          <w:spacing w:val="-4"/>
          <w:szCs w:val="28"/>
        </w:rPr>
      </w:pPr>
    </w:p>
    <w:p w14:paraId="045DF41A"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spacing w:val="-4"/>
          <w:szCs w:val="28"/>
          <w:lang w:val="uk-UA" w:eastAsia="ru-RU"/>
        </w:rPr>
        <w:t>Сучасні суспільно-правові реалії засвідчують необхідність комплексного та багаторівневого підходу до протидії корупційним діянням, що детермінується глобальними викликами транснаціоналізації економічної злочинності, ескалацією латентних корупційних процесів та ускладненням механізмів їх детекції. Корупція, як соціально-правове явище, набуває високого рівня інституціоналізації, проявляючись у різних секторах державного управління, що зумовлює необхідність розроблення ефективних превентивних і протидійних механізмів на основі сучасних оперативно-розшукових методик.</w:t>
      </w:r>
    </w:p>
    <w:p w14:paraId="236A3954"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spacing w:val="-4"/>
          <w:szCs w:val="28"/>
          <w:lang w:val="uk-UA" w:eastAsia="ru-RU"/>
        </w:rPr>
        <w:lastRenderedPageBreak/>
        <w:t>Оперативно-розшукова діяльність у сфері антикорупційної діяльності являє собою специфічний інструмент кримінального переслідування, що оперує категоріями латентності правопорушень, конспіративності діяльності суб'єктів злочинних угруповань та високого рівня інтелектуалізації корупційних схем. Вона спрямована на виявлення, документування та нейтралізацію корупційних проявів шляхом застосування оперативних засобів, що ґрунтуються на положеннях криміналістики, кримінології, юридичної психології та інформаційно-аналітичних технологій.</w:t>
      </w:r>
    </w:p>
    <w:p w14:paraId="3D26019D"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spacing w:val="-4"/>
          <w:szCs w:val="28"/>
          <w:lang w:val="uk-UA" w:eastAsia="ru-RU"/>
        </w:rPr>
        <w:t>Актуальність дослідження ефективності оперативно-розшукових заходів у сфері антикорупційної діяльності детермінована необхідністю підвищення ефективності правоохоронної діяльності через удосконалення методів оперативного документування корупційних правопорушень, розширення міжвідомчої координації та інтеграцію високотехнологічних аналітичних платформ у систему превентивних заходів. Зважаючи на еволюційний розвиток корупційних схем та їхню адаптивність до змін у правовому регулюванні, вивчення ефективності оперативно-розшукової діяльності як ключового механізму протидії корупції набуває особливого значення.</w:t>
      </w:r>
    </w:p>
    <w:p w14:paraId="7618C36A"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spacing w:val="-4"/>
          <w:szCs w:val="28"/>
          <w:lang w:val="uk-UA" w:eastAsia="ru-RU"/>
        </w:rPr>
        <w:t>Таким чином, науково-прикладний дискурс щодо ефективності оперативно-розшукових заходів у сфері антикорупційної діяльності потребує глибокого міждисциплінарного аналізу, що охоплює криміналістичний, адміністративно-правовий, кримінологічний та інформаційно-аналітичний аспекти функціонування правоохоронних структур у контексті запобігання корупції.</w:t>
      </w:r>
    </w:p>
    <w:p w14:paraId="2F0DC27A"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spacing w:val="-4"/>
          <w:szCs w:val="28"/>
          <w:lang w:val="uk-UA" w:eastAsia="ru-RU"/>
        </w:rPr>
        <w:t>У науковій літературі зазначається, що ефективність оперативно-розшукової діяльності є одним із ключових показників її результативності та визначається ступенем досягнення поставлених завдань. Вона залежить від низки чинників, зокрема: якості правового регулювання, рівня організаційного та управлінського забезпечення, професійної компетентності та кваліфікації співробітників оперативно-розшукових підрозділів, застосування сучасних методів і технічних засобів, а також ефективної координації між оперативними підрозділами Національної поліції України та іншими правоохоронними структурами [1, с.98].</w:t>
      </w:r>
    </w:p>
    <w:p w14:paraId="3DEA9DA9"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spacing w:val="-4"/>
          <w:szCs w:val="28"/>
          <w:lang w:val="uk-UA" w:eastAsia="ru-RU"/>
        </w:rPr>
        <w:t xml:space="preserve">Досліджуючи проблеми ефективності діяльності правоохоронних органів А.В. Кубаєнко вважає, що ефективність оперативно-розшукових заходів значною мірою визначається рівнем інформаційно-аналітичного забезпечення правоохоронної діяльності. Він підкреслює, що специфіка оперативно-службової роботи ускладнює об'єктивне вимірювання результативності проведених заходів, оскільки розкриття кримінального правопорушення часто є результатом спільної діяльності декількох підрозділів, що робить неможливим чітке визначення внеску кожного з них. Вчений наголошує на необхідності розробки єдиної системи збору, обробки та аналізу статистичних даних, яка б дозволяла комплексно оцінювати ефективність використання </w:t>
      </w:r>
      <w:r w:rsidRPr="00511005">
        <w:rPr>
          <w:rFonts w:ascii="Arial" w:eastAsia="Times New Roman" w:hAnsi="Arial" w:cs="Arial"/>
          <w:spacing w:val="-4"/>
          <w:szCs w:val="28"/>
          <w:lang w:val="uk-UA" w:eastAsia="ru-RU"/>
        </w:rPr>
        <w:lastRenderedPageBreak/>
        <w:t>оперативних ресурсів. Зокрема, він вказує на важливість створення інтегрованих баз даних про злочинність, рівень розкриття правопорушень, кадровий потенціал правоохоронних органів, а також системи моніторингу громадської думки щодо рівня довіри населення до поліції [2, с.205].</w:t>
      </w:r>
    </w:p>
    <w:p w14:paraId="6CAF1FFA"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spacing w:val="-4"/>
          <w:szCs w:val="28"/>
          <w:lang w:val="uk-UA" w:eastAsia="ru-RU"/>
        </w:rPr>
        <w:t>Кубаєнко А.В. також звертає увагу на відсутність уніфікованих підходів до визначення таких понять, як «розкриття кримінальних правопорушень по гарячих слідах», що ускладнює аналіз ефективності застосування оперативно-розшукових заходів. Він підкреслює необхідність запровадження сучасних інформаційних систем, що дозволять не лише оцінювати ефективність правоохоронної діяльності в реальному часі, а й прогнозувати розвиток криміногенної ситуації та адаптувати стратегію боротьби з корупційними та іншими правопорушеннями [3, с.137].</w:t>
      </w:r>
    </w:p>
    <w:p w14:paraId="156AB3E2"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spacing w:val="-4"/>
          <w:szCs w:val="28"/>
          <w:lang w:val="uk-UA" w:eastAsia="ru-RU"/>
        </w:rPr>
        <w:t>У контексті дослідження заслуговують на увагу висновки В. С. Горбача та В. Г. Телійчука щодо багатовимірності оперативно-розшукової діяльності у сфері протидії корупції. Дослідники акцентують увагу на тому, що ОРД відіграє ключову роль у виявленні та припиненні корупційних правопорушень, проте її ефективність значною мірою залежить від міжвідомчої взаємодії, аналітичного супроводу та суворого дотримання правових норм. Важливим є їхній підхід до класифікації форм і методів ОРД у протидії корупції. Вони виокремлюють інформаційно-аналітичний аспект, що включає збір і систематизацію даних про корупційні ризики; застосування негласних слідчих (розшукових) дій, що дозволяють отримувати фактичні докази корупційної діяльності; а також превентивні заходи, спрямовані на попередження та мінімізацію корупційних проявів. Дослідники підкреслюють, що ОРД не є автономним механізмом, а виступає невід’ємною частиною комплексної антикорупційної стратегії держави. Вони обґрунтовують необхідність інтеграції сучасних інформаційно-аналітичних технологій, розробки уніфікованих методик оцінки ефективності оперативно-розшукових заходів та зміцнення міжінституційної координації для досягнення максимального результату у протидії корупції.</w:t>
      </w:r>
    </w:p>
    <w:p w14:paraId="39839488"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spacing w:val="-4"/>
          <w:szCs w:val="28"/>
          <w:lang w:val="uk-UA" w:eastAsia="ru-RU"/>
        </w:rPr>
        <w:t>В умовах воєнного стану ефективність оперативно-розшукових заходів у сфері антикорупційної діяльності значною мірою залежить від адаптації нормативно-правової бази, оперативності прийняття управлінських рішень та можливості використання спеціальних технічних засобів. Особливістю цього періоду є превалювання публічного інтересу над приватним, що зумовлює необхідність пошуку балансу між державними інтересами та забезпеченням прав людини.</w:t>
      </w:r>
    </w:p>
    <w:p w14:paraId="07E5FE6D"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bCs/>
          <w:iCs/>
          <w:spacing w:val="-4"/>
          <w:szCs w:val="28"/>
          <w:lang w:val="uk-UA" w:eastAsia="ru-RU"/>
        </w:rPr>
        <w:t xml:space="preserve">На думку Д.О. Шумейко, </w:t>
      </w:r>
      <w:r w:rsidRPr="00511005">
        <w:rPr>
          <w:rFonts w:ascii="Arial" w:eastAsia="Times New Roman" w:hAnsi="Arial" w:cs="Arial"/>
          <w:spacing w:val="-4"/>
          <w:szCs w:val="28"/>
          <w:lang w:val="uk-UA" w:eastAsia="ru-RU"/>
        </w:rPr>
        <w:t xml:space="preserve">факторами, що впливають на застосування оперативно-розшукових заходів, є обмежені повноваження суб’єктів ОРД, складнощі у взаємодії між правоохоронними органами, віддаленість спеціалізованих прокуратур від судів та місць вчинення кримінальних правопорушень, а також дестабілізація механізмів отримання дозволів на негласні слідчі (розшукові) дії. Дефіцит правових механізмів взаємодії з іншими </w:t>
      </w:r>
      <w:r w:rsidRPr="00511005">
        <w:rPr>
          <w:rFonts w:ascii="Arial" w:eastAsia="Times New Roman" w:hAnsi="Arial" w:cs="Arial"/>
          <w:spacing w:val="-4"/>
          <w:szCs w:val="28"/>
          <w:lang w:val="uk-UA" w:eastAsia="ru-RU"/>
        </w:rPr>
        <w:lastRenderedPageBreak/>
        <w:t>суб’єктами, знищення важливих документів та відсутність єдиних критеріїв щодо процедур ОРД додатково ускладнюють боротьбу з корупцією </w:t>
      </w:r>
      <w:r w:rsidRPr="00511005">
        <w:rPr>
          <w:rFonts w:ascii="Arial" w:eastAsia="Times New Roman" w:hAnsi="Arial" w:cs="Arial"/>
          <w:spacing w:val="-4"/>
          <w:szCs w:val="28"/>
          <w:lang w:eastAsia="ru-RU"/>
        </w:rPr>
        <w:t>[5</w:t>
      </w:r>
      <w:r w:rsidRPr="00511005">
        <w:rPr>
          <w:rFonts w:ascii="Arial" w:eastAsia="Times New Roman" w:hAnsi="Arial" w:cs="Arial"/>
          <w:spacing w:val="-4"/>
          <w:szCs w:val="28"/>
          <w:lang w:val="uk-UA" w:eastAsia="ru-RU"/>
        </w:rPr>
        <w:t>, с.154</w:t>
      </w:r>
      <w:r w:rsidRPr="00511005">
        <w:rPr>
          <w:rFonts w:ascii="Arial" w:eastAsia="Times New Roman" w:hAnsi="Arial" w:cs="Arial"/>
          <w:spacing w:val="-4"/>
          <w:szCs w:val="28"/>
          <w:lang w:eastAsia="ru-RU"/>
        </w:rPr>
        <w:t>]</w:t>
      </w:r>
      <w:r w:rsidRPr="00511005">
        <w:rPr>
          <w:rFonts w:ascii="Arial" w:eastAsia="Times New Roman" w:hAnsi="Arial" w:cs="Arial"/>
          <w:spacing w:val="-4"/>
          <w:szCs w:val="28"/>
          <w:lang w:val="uk-UA" w:eastAsia="ru-RU"/>
        </w:rPr>
        <w:t>.</w:t>
      </w:r>
    </w:p>
    <w:p w14:paraId="1D5E46FC"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spacing w:val="-4"/>
          <w:szCs w:val="28"/>
          <w:lang w:val="uk-UA" w:eastAsia="ru-RU"/>
        </w:rPr>
        <w:t>Аналіз ефективності оперативно-розшукових заходів у сфері антикорупційної діяльності свідчить про необхідність комплексного вдосконалення цього напряму, враховуючи сучасні виклики, особливо в умовах воєнного стану. Основними проблемами залишаються відсутність уніфікованої методики оцінки результативності ОРД, фрагментованість міжвідомчої взаємодії, недостатнє технологічне оснащення та складнощі в отриманні дозволів на проведення негласних слідчих (розшукових) дій. Додатковими факторами, що ускладнюють протидію корупції, є непослідовність правозастосовної практики, обмеженість ресурсного потенціалу та відсутність єдиних процедур залучення інших суб’єктів до антикорупційних розслідувань.</w:t>
      </w:r>
    </w:p>
    <w:p w14:paraId="44D5EB8B" w14:textId="77777777" w:rsidR="00C10374" w:rsidRPr="00511005" w:rsidRDefault="00C10374" w:rsidP="003A292D">
      <w:pPr>
        <w:spacing w:line="264" w:lineRule="auto"/>
        <w:rPr>
          <w:rFonts w:ascii="Arial" w:eastAsia="Times New Roman" w:hAnsi="Arial" w:cs="Arial"/>
          <w:spacing w:val="-4"/>
          <w:szCs w:val="28"/>
          <w:lang w:val="uk-UA" w:eastAsia="ru-RU"/>
        </w:rPr>
      </w:pPr>
      <w:r w:rsidRPr="00511005">
        <w:rPr>
          <w:rFonts w:ascii="Arial" w:eastAsia="Times New Roman" w:hAnsi="Arial" w:cs="Arial"/>
          <w:spacing w:val="-4"/>
          <w:szCs w:val="28"/>
          <w:lang w:val="uk-UA" w:eastAsia="ru-RU"/>
        </w:rPr>
        <w:t>Для підвищення ефективності оперативно-розшукової діяльності необхідно впровадити уніфіковану систему оцінки її результативності, що передбачає стандартизовані критерії аналізу та інтегровані бази даних для виявлення корупційних ризиків. Важливим напрямом є інституційне посилення міжвідомчої координації між правоохоронними структурами, впровадження сучасних інформаційно-аналітичних систем для автоматизованого оброблення великих масивів даних, а також спрощення нормативних процедур щодо отримання дозволів на негласні слідчі (розшукові) дії в умовах надзвичайних ситуацій. Окрему увагу слід приділити підвищенню професійної підготовки оперативних підрозділів, що дозволить ефективніше документувати корупційні кримінальні правопорушення та застосовувати сучасні технічні засоби у процесі протидії корупції.</w:t>
      </w:r>
    </w:p>
    <w:p w14:paraId="5DB9FD99" w14:textId="77777777" w:rsidR="00C10374" w:rsidRPr="00511005" w:rsidRDefault="00C10374" w:rsidP="003A292D">
      <w:pPr>
        <w:spacing w:line="264" w:lineRule="auto"/>
        <w:ind w:firstLine="0"/>
        <w:jc w:val="center"/>
        <w:rPr>
          <w:rFonts w:ascii="Arial" w:eastAsia="Calibri" w:hAnsi="Arial" w:cs="Arial"/>
          <w:b/>
          <w:spacing w:val="-4"/>
          <w:szCs w:val="28"/>
          <w:lang w:val="uk-UA"/>
        </w:rPr>
      </w:pPr>
    </w:p>
    <w:p w14:paraId="1A0E19D2" w14:textId="77777777" w:rsidR="00FF6286" w:rsidRPr="00FF6286" w:rsidRDefault="00FF6286" w:rsidP="00FF6286">
      <w:pPr>
        <w:snapToGrid w:val="0"/>
        <w:spacing w:line="264" w:lineRule="auto"/>
        <w:ind w:firstLine="0"/>
        <w:jc w:val="center"/>
        <w:rPr>
          <w:rFonts w:ascii="Arial" w:eastAsia="Times New Roman" w:hAnsi="Arial" w:cs="Arial"/>
          <w:b/>
          <w:bCs/>
          <w:szCs w:val="28"/>
          <w:lang w:val="uk-UA" w:eastAsia="ru-RU"/>
        </w:rPr>
      </w:pPr>
      <w:r w:rsidRPr="00FF6286">
        <w:rPr>
          <w:rFonts w:ascii="Arial" w:eastAsia="Times New Roman" w:hAnsi="Arial" w:cs="Arial"/>
          <w:b/>
          <w:bCs/>
          <w:szCs w:val="28"/>
          <w:lang w:val="uk-UA" w:eastAsia="ru-RU"/>
        </w:rPr>
        <w:t>Список використаних джерел</w:t>
      </w:r>
    </w:p>
    <w:p w14:paraId="7428A65B" w14:textId="77777777" w:rsidR="00C10374" w:rsidRPr="00511005" w:rsidRDefault="00C10374" w:rsidP="003F6A5D">
      <w:pPr>
        <w:numPr>
          <w:ilvl w:val="0"/>
          <w:numId w:val="309"/>
        </w:numPr>
        <w:spacing w:line="264" w:lineRule="auto"/>
        <w:ind w:left="0" w:firstLine="709"/>
        <w:contextualSpacing/>
        <w:rPr>
          <w:rFonts w:ascii="Arial" w:eastAsia="Times New Roman" w:hAnsi="Arial" w:cs="Arial"/>
          <w:bCs/>
          <w:iCs/>
          <w:spacing w:val="-4"/>
          <w:szCs w:val="28"/>
          <w:lang w:val="uk-UA" w:eastAsia="ru-RU"/>
        </w:rPr>
      </w:pPr>
      <w:r w:rsidRPr="00511005">
        <w:rPr>
          <w:rFonts w:ascii="Arial" w:eastAsia="Times New Roman" w:hAnsi="Arial" w:cs="Arial"/>
          <w:spacing w:val="-4"/>
          <w:szCs w:val="28"/>
          <w:lang w:val="uk-UA" w:eastAsia="ru-RU"/>
        </w:rPr>
        <w:t xml:space="preserve">Куріленко К. В. Ефективність оперативно-розшукової діяльності: деякі практичні аспекти для працівників оперативних підрозділів Національної поліції України. </w:t>
      </w:r>
      <w:r w:rsidRPr="00511005">
        <w:rPr>
          <w:rFonts w:ascii="Arial" w:eastAsia="Times New Roman" w:hAnsi="Arial" w:cs="Arial"/>
          <w:i/>
          <w:spacing w:val="-4"/>
          <w:szCs w:val="28"/>
          <w:lang w:val="uk-UA" w:eastAsia="ru-RU"/>
        </w:rPr>
        <w:t>Міжнародна та національна безпека: теоретичні і прикладні аспекти</w:t>
      </w:r>
      <w:r w:rsidRPr="00511005">
        <w:rPr>
          <w:rFonts w:ascii="Arial" w:eastAsia="Times New Roman" w:hAnsi="Arial" w:cs="Arial"/>
          <w:spacing w:val="-4"/>
          <w:szCs w:val="28"/>
          <w:lang w:val="uk-UA" w:eastAsia="ru-RU"/>
        </w:rPr>
        <w:t xml:space="preserve"> : матеріали VІІІ Міжнар. наук.- практ. конф. (м. Дніпро, 15 бер. 2024 р.) ; у 2-х ч. Дніпро: ДДУВС, 2024. Ч. ІІ. С.98-100.</w:t>
      </w:r>
    </w:p>
    <w:p w14:paraId="5682E3B3" w14:textId="77777777" w:rsidR="00C10374" w:rsidRPr="00511005" w:rsidRDefault="00C10374" w:rsidP="003F6A5D">
      <w:pPr>
        <w:numPr>
          <w:ilvl w:val="0"/>
          <w:numId w:val="309"/>
        </w:numPr>
        <w:spacing w:line="264" w:lineRule="auto"/>
        <w:ind w:left="0" w:firstLine="709"/>
        <w:contextualSpacing/>
        <w:rPr>
          <w:rFonts w:ascii="Arial" w:eastAsia="Times New Roman" w:hAnsi="Arial" w:cs="Arial"/>
          <w:bCs/>
          <w:iCs/>
          <w:spacing w:val="-4"/>
          <w:szCs w:val="28"/>
          <w:lang w:val="uk-UA" w:eastAsia="ru-RU"/>
        </w:rPr>
      </w:pPr>
      <w:r w:rsidRPr="00511005">
        <w:rPr>
          <w:rFonts w:ascii="Arial" w:eastAsia="Times New Roman" w:hAnsi="Arial" w:cs="Arial"/>
          <w:spacing w:val="-4"/>
          <w:szCs w:val="28"/>
          <w:lang w:val="uk-UA" w:eastAsia="ru-RU"/>
        </w:rPr>
        <w:t xml:space="preserve">Кубаєнко А.В. Інформаційно-аналітичне забезпечення оцінки ефективності діяльності правоохоронних органів: погляд на проблему. </w:t>
      </w:r>
      <w:r w:rsidRPr="00511005">
        <w:rPr>
          <w:rFonts w:ascii="Arial" w:eastAsia="Times New Roman" w:hAnsi="Arial" w:cs="Arial"/>
          <w:i/>
          <w:spacing w:val="-4"/>
          <w:szCs w:val="28"/>
          <w:lang w:val="uk-UA" w:eastAsia="ru-RU"/>
        </w:rPr>
        <w:t xml:space="preserve">Київський часопис права. </w:t>
      </w:r>
      <w:r w:rsidRPr="00511005">
        <w:rPr>
          <w:rFonts w:ascii="Arial" w:eastAsia="Times New Roman" w:hAnsi="Arial" w:cs="Arial"/>
          <w:spacing w:val="-4"/>
          <w:szCs w:val="28"/>
          <w:lang w:val="uk-UA" w:eastAsia="ru-RU"/>
        </w:rPr>
        <w:t>2023. № 1. С.</w:t>
      </w:r>
      <w:r w:rsidRPr="00511005">
        <w:rPr>
          <w:rFonts w:ascii="Arial" w:eastAsia="Times New Roman" w:hAnsi="Arial" w:cs="Arial"/>
          <w:bCs/>
          <w:iCs/>
          <w:spacing w:val="-4"/>
          <w:szCs w:val="28"/>
          <w:lang w:val="uk-UA" w:eastAsia="ru-RU"/>
        </w:rPr>
        <w:t xml:space="preserve"> 202-208.</w:t>
      </w:r>
    </w:p>
    <w:p w14:paraId="76662091" w14:textId="77777777" w:rsidR="00C10374" w:rsidRPr="00511005" w:rsidRDefault="00C10374" w:rsidP="003F6A5D">
      <w:pPr>
        <w:numPr>
          <w:ilvl w:val="0"/>
          <w:numId w:val="309"/>
        </w:numPr>
        <w:spacing w:line="264" w:lineRule="auto"/>
        <w:ind w:left="0" w:firstLine="709"/>
        <w:contextualSpacing/>
        <w:rPr>
          <w:rFonts w:ascii="Arial" w:eastAsia="Times New Roman" w:hAnsi="Arial" w:cs="Arial"/>
          <w:bCs/>
          <w:iCs/>
          <w:spacing w:val="-4"/>
          <w:szCs w:val="28"/>
          <w:lang w:val="uk-UA" w:eastAsia="ru-RU"/>
        </w:rPr>
      </w:pPr>
      <w:r w:rsidRPr="00511005">
        <w:rPr>
          <w:rFonts w:ascii="Arial" w:eastAsia="Times New Roman" w:hAnsi="Arial" w:cs="Arial"/>
          <w:spacing w:val="-4"/>
          <w:szCs w:val="28"/>
          <w:lang w:val="uk-UA" w:eastAsia="ru-RU"/>
        </w:rPr>
        <w:t xml:space="preserve">Кубаєнко А.В. Ефективність діяльності правоохоронних органів: оцінка та аналіз за допомогою інформаційно-аналітичних засобів. </w:t>
      </w:r>
      <w:r w:rsidRPr="00511005">
        <w:rPr>
          <w:rFonts w:ascii="Arial" w:eastAsia="Times New Roman" w:hAnsi="Arial" w:cs="Arial"/>
          <w:i/>
          <w:spacing w:val="-4"/>
          <w:szCs w:val="28"/>
          <w:lang w:val="uk-UA" w:eastAsia="ru-RU"/>
        </w:rPr>
        <w:t>Європейські орієнтири розвитку України в умовах війни та глобальних викликів ХХІ століття: синергія наукових, освітніх та технологічних рішень</w:t>
      </w:r>
      <w:r w:rsidRPr="00511005">
        <w:rPr>
          <w:rFonts w:ascii="Arial" w:eastAsia="Times New Roman" w:hAnsi="Arial" w:cs="Arial"/>
          <w:spacing w:val="-4"/>
          <w:szCs w:val="28"/>
          <w:lang w:val="uk-UA" w:eastAsia="ru-RU"/>
        </w:rPr>
        <w:t>: у 2 т. : матеріали Міжнар. наук.-практ. конф. (м. Одеса, 19 травня 2023 р.) / за загальною редакцією С. В. Ківалова. Одеса : Видавництво «Юридика», 2023. Т. 2. С. 134-137.</w:t>
      </w:r>
    </w:p>
    <w:p w14:paraId="46FC5303" w14:textId="77777777" w:rsidR="00C10374" w:rsidRPr="00511005" w:rsidRDefault="00C10374" w:rsidP="003F6A5D">
      <w:pPr>
        <w:numPr>
          <w:ilvl w:val="0"/>
          <w:numId w:val="309"/>
        </w:numPr>
        <w:spacing w:line="264" w:lineRule="auto"/>
        <w:ind w:left="0" w:firstLine="709"/>
        <w:contextualSpacing/>
        <w:rPr>
          <w:rFonts w:ascii="Arial" w:eastAsia="Times New Roman" w:hAnsi="Arial" w:cs="Arial"/>
          <w:bCs/>
          <w:iCs/>
          <w:spacing w:val="-4"/>
          <w:szCs w:val="28"/>
          <w:lang w:val="uk-UA" w:eastAsia="ru-RU"/>
        </w:rPr>
      </w:pPr>
      <w:r w:rsidRPr="00511005">
        <w:rPr>
          <w:rFonts w:ascii="Arial" w:eastAsia="Times New Roman" w:hAnsi="Arial" w:cs="Arial"/>
          <w:spacing w:val="-4"/>
          <w:szCs w:val="28"/>
          <w:lang w:val="uk-UA" w:eastAsia="ru-RU"/>
        </w:rPr>
        <w:lastRenderedPageBreak/>
        <w:t xml:space="preserve">Горбач В.С. Щодо питання ефективності використання оперативно-розшукової діяльності у протидії корупції. </w:t>
      </w:r>
      <w:r w:rsidRPr="00511005">
        <w:rPr>
          <w:rFonts w:ascii="Arial" w:eastAsia="Times New Roman" w:hAnsi="Arial" w:cs="Arial"/>
          <w:i/>
          <w:spacing w:val="-4"/>
          <w:szCs w:val="28"/>
          <w:lang w:val="uk-UA" w:eastAsia="ru-RU"/>
        </w:rPr>
        <w:t xml:space="preserve">Міжнародна та національна безпека: теоретичні і прикладні аспекти </w:t>
      </w:r>
      <w:r w:rsidRPr="00511005">
        <w:rPr>
          <w:rFonts w:ascii="Arial" w:eastAsia="Times New Roman" w:hAnsi="Arial" w:cs="Arial"/>
          <w:spacing w:val="-4"/>
          <w:szCs w:val="28"/>
          <w:lang w:val="uk-UA" w:eastAsia="ru-RU"/>
        </w:rPr>
        <w:t>: матеріали VІІІ Міжнар. наук.- практ. конф. (м. Дніпро, 15 бер. 2024 р.) ; у 2-х ч. Дніпро: ДДУВС, 2024. Ч. ІІ. С.148-150.</w:t>
      </w:r>
    </w:p>
    <w:p w14:paraId="59096923" w14:textId="77777777" w:rsidR="00C10374" w:rsidRPr="00511005" w:rsidRDefault="00C10374" w:rsidP="003F6A5D">
      <w:pPr>
        <w:numPr>
          <w:ilvl w:val="0"/>
          <w:numId w:val="309"/>
        </w:numPr>
        <w:spacing w:line="264" w:lineRule="auto"/>
        <w:ind w:left="0" w:firstLine="709"/>
        <w:contextualSpacing/>
        <w:rPr>
          <w:rFonts w:ascii="Arial" w:eastAsia="Times New Roman" w:hAnsi="Arial" w:cs="Arial"/>
          <w:bCs/>
          <w:iCs/>
          <w:spacing w:val="-4"/>
          <w:szCs w:val="28"/>
          <w:lang w:val="uk-UA" w:eastAsia="ru-RU"/>
        </w:rPr>
      </w:pPr>
      <w:r w:rsidRPr="00511005">
        <w:rPr>
          <w:rFonts w:ascii="Arial" w:eastAsia="Times New Roman" w:hAnsi="Arial" w:cs="Arial"/>
          <w:bCs/>
          <w:iCs/>
          <w:spacing w:val="-4"/>
          <w:szCs w:val="28"/>
          <w:lang w:eastAsia="ru-RU"/>
        </w:rPr>
        <w:t xml:space="preserve">Шумейко Д.О. </w:t>
      </w:r>
      <w:r w:rsidRPr="00511005">
        <w:rPr>
          <w:rFonts w:ascii="Arial" w:eastAsia="Times New Roman" w:hAnsi="Arial" w:cs="Arial"/>
          <w:spacing w:val="-4"/>
          <w:szCs w:val="28"/>
          <w:lang w:val="uk-UA" w:eastAsia="ru-RU"/>
        </w:rPr>
        <w:t xml:space="preserve">Фактори, що впливають на ефективність застосування засобів оперативно-розшукової діяльності в умовах воєнного стану. </w:t>
      </w:r>
      <w:r w:rsidRPr="00511005">
        <w:rPr>
          <w:rFonts w:ascii="Arial" w:eastAsia="Times New Roman" w:hAnsi="Arial" w:cs="Arial"/>
          <w:i/>
          <w:spacing w:val="-4"/>
          <w:szCs w:val="28"/>
          <w:lang w:val="uk-UA" w:eastAsia="ru-RU"/>
        </w:rPr>
        <w:t>Актуальні питання та перспективи використання оперативно-розшукових засобів у розкритті злочинів в умовах воєнного стану</w:t>
      </w:r>
      <w:r w:rsidRPr="00511005">
        <w:rPr>
          <w:rFonts w:ascii="Arial" w:eastAsia="Times New Roman" w:hAnsi="Arial" w:cs="Arial"/>
          <w:spacing w:val="-4"/>
          <w:szCs w:val="28"/>
          <w:lang w:val="uk-UA" w:eastAsia="ru-RU"/>
        </w:rPr>
        <w:t>: матеріали міжвідом. наук.- практ. конф. (Київ, 30 берез. 2023 р.) / [редкол.: В. В. Чернєй, С. Д. Гусарєв, С. С. Чернявський та ін.]. Київ : Нац. акад. внутр. справ, 2023.С.153-154.</w:t>
      </w:r>
    </w:p>
    <w:p w14:paraId="591355C1" w14:textId="77777777" w:rsidR="00C10374" w:rsidRPr="00511005" w:rsidRDefault="00C10374" w:rsidP="003A292D">
      <w:pPr>
        <w:spacing w:line="264" w:lineRule="auto"/>
        <w:ind w:firstLine="0"/>
        <w:rPr>
          <w:rFonts w:ascii="Arial" w:eastAsia="Calibri" w:hAnsi="Arial" w:cs="Arial"/>
          <w:bCs/>
          <w:iCs/>
          <w:spacing w:val="-4"/>
          <w:szCs w:val="28"/>
        </w:rPr>
      </w:pPr>
    </w:p>
    <w:p w14:paraId="55CDB87C" w14:textId="1B1B472C" w:rsidR="00C10374" w:rsidRPr="00511005" w:rsidRDefault="007B2628" w:rsidP="003A292D">
      <w:pPr>
        <w:spacing w:line="264" w:lineRule="auto"/>
        <w:ind w:firstLine="0"/>
        <w:rPr>
          <w:rFonts w:ascii="Arial" w:eastAsia="Calibri" w:hAnsi="Arial" w:cs="Arial"/>
          <w:spacing w:val="-4"/>
          <w:szCs w:val="28"/>
        </w:rPr>
      </w:pPr>
      <w:r w:rsidRPr="00511005">
        <w:rPr>
          <w:rFonts w:ascii="Arial" w:eastAsia="Calibri" w:hAnsi="Arial" w:cs="Arial"/>
          <w:b/>
          <w:bCs/>
          <w:i/>
          <w:spacing w:val="-4"/>
          <w:szCs w:val="28"/>
        </w:rPr>
        <w:t xml:space="preserve">Ключові слова: </w:t>
      </w:r>
      <w:r w:rsidR="00C10374" w:rsidRPr="00511005">
        <w:rPr>
          <w:rFonts w:ascii="Arial" w:eastAsia="Calibri" w:hAnsi="Arial" w:cs="Arial"/>
          <w:spacing w:val="-4"/>
          <w:szCs w:val="28"/>
        </w:rPr>
        <w:t xml:space="preserve">оперативно-розшукова діяльність, антикорупційна діяльність, ефективність, інформаційно-аналітичне забезпечення, міжвідомча координація. </w:t>
      </w:r>
    </w:p>
    <w:p w14:paraId="502B520D" w14:textId="20F1990D" w:rsidR="00C10374" w:rsidRPr="00511005" w:rsidRDefault="007B2628" w:rsidP="003A292D">
      <w:pPr>
        <w:spacing w:line="264" w:lineRule="auto"/>
        <w:ind w:firstLine="0"/>
        <w:rPr>
          <w:rFonts w:ascii="Arial" w:eastAsia="Calibri" w:hAnsi="Arial" w:cs="Arial"/>
          <w:bCs/>
          <w:iCs/>
          <w:spacing w:val="-4"/>
          <w:szCs w:val="28"/>
          <w:lang w:val="en-US"/>
        </w:rPr>
      </w:pPr>
      <w:r w:rsidRPr="00511005">
        <w:rPr>
          <w:rFonts w:ascii="Arial" w:eastAsia="Calibri" w:hAnsi="Arial" w:cs="Arial"/>
          <w:b/>
          <w:i/>
          <w:spacing w:val="-4"/>
          <w:szCs w:val="28"/>
          <w:lang w:val="en-US"/>
        </w:rPr>
        <w:t xml:space="preserve">Key words: </w:t>
      </w:r>
      <w:r w:rsidR="00C10374" w:rsidRPr="00511005">
        <w:rPr>
          <w:rFonts w:ascii="Arial" w:eastAsia="Calibri" w:hAnsi="Arial" w:cs="Arial"/>
          <w:spacing w:val="-4"/>
          <w:szCs w:val="28"/>
          <w:lang w:val="en-US"/>
        </w:rPr>
        <w:t>operative-search activity, anti-corruption activity, effectiveness, information-analytical support, interagency coordination.</w:t>
      </w:r>
    </w:p>
    <w:p w14:paraId="28F790DE" w14:textId="77777777" w:rsidR="00C10374" w:rsidRPr="00511005" w:rsidRDefault="00C10374" w:rsidP="003A292D">
      <w:pPr>
        <w:spacing w:line="264" w:lineRule="auto"/>
        <w:ind w:firstLine="0"/>
        <w:rPr>
          <w:rFonts w:ascii="Arial" w:eastAsia="Calibri" w:hAnsi="Arial" w:cs="Arial"/>
          <w:bCs/>
          <w:iCs/>
          <w:spacing w:val="-4"/>
          <w:szCs w:val="28"/>
          <w:lang w:val="en-US"/>
        </w:rPr>
      </w:pPr>
    </w:p>
    <w:p w14:paraId="3C7D6DD0" w14:textId="3D0FC8E2" w:rsidR="00C10374" w:rsidRPr="00511005" w:rsidRDefault="007B2628" w:rsidP="003A292D">
      <w:pPr>
        <w:spacing w:line="264" w:lineRule="auto"/>
        <w:ind w:firstLine="0"/>
        <w:rPr>
          <w:rFonts w:ascii="Arial" w:eastAsia="Calibri" w:hAnsi="Arial" w:cs="Arial"/>
          <w:bCs/>
          <w:iCs/>
          <w:spacing w:val="-4"/>
          <w:szCs w:val="28"/>
          <w:lang w:val="uk-UA"/>
        </w:rPr>
      </w:pPr>
      <w:r w:rsidRPr="00511005">
        <w:rPr>
          <w:rFonts w:ascii="Arial" w:eastAsia="Times New Roman" w:hAnsi="Arial" w:cs="Arial"/>
          <w:b/>
          <w:bCs/>
          <w:i/>
          <w:iCs/>
          <w:spacing w:val="-4"/>
          <w:szCs w:val="28"/>
        </w:rPr>
        <w:t xml:space="preserve">Науковий керівник: </w:t>
      </w:r>
      <w:r w:rsidR="00C10374" w:rsidRPr="00511005">
        <w:rPr>
          <w:rFonts w:ascii="Arial" w:eastAsia="Times New Roman" w:hAnsi="Arial" w:cs="Arial"/>
          <w:i/>
          <w:iCs/>
          <w:spacing w:val="-4"/>
          <w:szCs w:val="28"/>
        </w:rPr>
        <w:t>к.ю.н., доцент Куба</w:t>
      </w:r>
      <w:r w:rsidR="00C10374" w:rsidRPr="00511005">
        <w:rPr>
          <w:rFonts w:ascii="Arial" w:eastAsia="Times New Roman" w:hAnsi="Arial" w:cs="Arial"/>
          <w:i/>
          <w:iCs/>
          <w:spacing w:val="-4"/>
          <w:szCs w:val="28"/>
          <w:lang w:val="uk-UA"/>
        </w:rPr>
        <w:t>єнко А.В.</w:t>
      </w:r>
    </w:p>
    <w:p w14:paraId="32EAA43F" w14:textId="77777777" w:rsidR="00C10374" w:rsidRPr="00511005" w:rsidRDefault="00C10374" w:rsidP="003A292D">
      <w:pPr>
        <w:widowControl w:val="0"/>
        <w:spacing w:line="264" w:lineRule="auto"/>
        <w:ind w:firstLine="0"/>
        <w:rPr>
          <w:rFonts w:ascii="Arial" w:eastAsia="Calibri" w:hAnsi="Arial" w:cs="Arial"/>
          <w:szCs w:val="28"/>
        </w:rPr>
      </w:pPr>
    </w:p>
    <w:p w14:paraId="6EABDD00" w14:textId="77777777" w:rsidR="00C10374" w:rsidRPr="00511005" w:rsidRDefault="00C10374" w:rsidP="003A292D">
      <w:pPr>
        <w:widowControl w:val="0"/>
        <w:spacing w:line="264" w:lineRule="auto"/>
        <w:ind w:firstLine="0"/>
        <w:rPr>
          <w:rFonts w:ascii="Arial" w:eastAsia="Calibri" w:hAnsi="Arial" w:cs="Arial"/>
          <w:szCs w:val="28"/>
        </w:rPr>
      </w:pPr>
    </w:p>
    <w:p w14:paraId="63896266" w14:textId="77777777" w:rsidR="00C10374" w:rsidRPr="00511005" w:rsidRDefault="00C10374" w:rsidP="003A292D">
      <w:pPr>
        <w:spacing w:line="264" w:lineRule="auto"/>
        <w:ind w:firstLine="0"/>
        <w:jc w:val="center"/>
        <w:rPr>
          <w:rFonts w:ascii="Arial" w:eastAsia="Calibri" w:hAnsi="Arial" w:cs="Arial"/>
          <w:b/>
          <w:szCs w:val="28"/>
          <w:lang w:val="uk-UA"/>
        </w:rPr>
      </w:pPr>
      <w:r w:rsidRPr="00511005">
        <w:rPr>
          <w:rFonts w:ascii="Arial" w:eastAsia="Calibri" w:hAnsi="Arial" w:cs="Arial"/>
          <w:b/>
          <w:i/>
          <w:szCs w:val="28"/>
          <w:lang w:val="uk-UA"/>
        </w:rPr>
        <w:t>Марченко Аліна Олександрівна</w:t>
      </w:r>
    </w:p>
    <w:p w14:paraId="2890D6BF" w14:textId="7227685E" w:rsidR="00C10374" w:rsidRPr="00511005" w:rsidRDefault="00BE3972"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p>
    <w:p w14:paraId="578B223F" w14:textId="5978F6CF" w:rsidR="00C10374"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0FADA1F5" w14:textId="77777777" w:rsidR="00C10374" w:rsidRPr="00511005" w:rsidRDefault="00C10374" w:rsidP="003A292D">
      <w:pPr>
        <w:spacing w:line="264" w:lineRule="auto"/>
        <w:ind w:firstLine="0"/>
        <w:jc w:val="center"/>
        <w:rPr>
          <w:rFonts w:ascii="Arial" w:eastAsia="Calibri" w:hAnsi="Arial" w:cs="Arial"/>
          <w:szCs w:val="28"/>
          <w:lang w:val="uk-UA"/>
        </w:rPr>
      </w:pPr>
    </w:p>
    <w:p w14:paraId="132AEA08" w14:textId="56ACA495" w:rsidR="00C10374" w:rsidRPr="00511005" w:rsidRDefault="00C10374" w:rsidP="003A292D">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ПРОБЛЕМАТИКА ДОТРИМАННЯ ТА ЗАХИСТУ ГАРАНТІЙ</w:t>
      </w:r>
    </w:p>
    <w:p w14:paraId="3832DD78" w14:textId="69B87D38" w:rsidR="0087239D" w:rsidRPr="00511005" w:rsidRDefault="0087239D" w:rsidP="003A292D">
      <w:pPr>
        <w:spacing w:line="264" w:lineRule="auto"/>
        <w:ind w:firstLine="0"/>
        <w:contextualSpacing/>
        <w:jc w:val="center"/>
        <w:rPr>
          <w:rFonts w:ascii="Arial" w:eastAsia="Calibri" w:hAnsi="Arial" w:cs="Arial"/>
          <w:szCs w:val="28"/>
          <w:lang w:val="uk-UA"/>
        </w:rPr>
      </w:pPr>
      <w:r w:rsidRPr="00511005">
        <w:rPr>
          <w:rFonts w:ascii="Arial" w:eastAsia="Times New Roman" w:hAnsi="Arial" w:cs="Arial"/>
          <w:b/>
          <w:bCs/>
          <w:kern w:val="36"/>
          <w:szCs w:val="28"/>
          <w:lang w:val="uk-UA" w:eastAsia="ru-RU"/>
        </w:rPr>
        <w:t>АДВОКАТСЬКОЇ ДІЯЛЬНОСТІ</w:t>
      </w:r>
    </w:p>
    <w:p w14:paraId="50892BBB"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Адвокатська діяльність має величезне значення у правовій державі, оскільки адвокати виступають як захисники прав і свобод громадян, забезпечуючи доступ до правосуддя. Вони допомагають людям реалізовувати свої конституційні права та захищають їхні інтереси у судових та інших правових процесах. Відповідно до статті 23 Закону України «Про адвокатуру та адвокатську діяльність», права, честь і гідність адвоката гарантуються і захищаються Конституцією України, Законом України «Про адвокатуру та адвокатську діяльність» та іншим законодавством [2, c. 23] </w:t>
      </w:r>
    </w:p>
    <w:p w14:paraId="395F7FF9" w14:textId="2F5F003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Основні гарантії адвокатської діяльності включають право на незалежність, конфіденційність та професійну таємницю. Зокрема, Р. В. Афанасієв зазначає, що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вони забезпечують адвокатам можливість ефективно виконувати свої обов'язки без втручання з боку державних органів чи інших суб'єктів.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Дослідивши їх детальніше, можна зазначити, що конфіденційність є ключовою гарантією, яка забезпечує захист інформації, </w:t>
      </w:r>
      <w:r w:rsidRPr="00511005">
        <w:rPr>
          <w:rFonts w:ascii="Arial" w:eastAsia="Calibri" w:hAnsi="Arial" w:cs="Arial"/>
          <w:szCs w:val="28"/>
          <w:lang w:val="uk-UA"/>
        </w:rPr>
        <w:lastRenderedPageBreak/>
        <w:t>наданої клієнтом адвокату. Це дозволяє клієнтам довіряти свої проблеми адвокату, знаючи, що їхня інформація не буде розголошена. Водночас, за висновком Національної асоціації адвокатів України (2021), незалежність адвоката – це свобода від зовнішнього впливу, що дозволяє йому діяти виключно в інтересах клієнта. Важливість дотримання та захисту гарантій адвокатської діяльності полягає у забезпеченні справедливого правосуддя</w:t>
      </w:r>
      <w:r w:rsidRPr="00511005">
        <w:rPr>
          <w:rFonts w:ascii="Arial" w:eastAsia="Calibri" w:hAnsi="Arial" w:cs="Arial"/>
          <w:szCs w:val="28"/>
        </w:rPr>
        <w:t xml:space="preserve"> [3]</w:t>
      </w:r>
      <w:r w:rsidRPr="00511005">
        <w:rPr>
          <w:rFonts w:ascii="Arial" w:eastAsia="Calibri" w:hAnsi="Arial" w:cs="Arial"/>
          <w:szCs w:val="28"/>
          <w:lang w:val="uk-UA"/>
        </w:rPr>
        <w:t xml:space="preserve">. Відсутність належних гарантій може призвести до порушення прав громадян та недовіри до судової системи. Захист адвокатської діяльності також сприяє забезпеченню правової рівності та недопущенню дискримінації в судових процесах. Недотримання цих гарантій може поставити під загрозу правову систему держави та підірвати її основи. Адвокатська спільнота повинна мати можливість вільно виконувати свої функції без страху перед переслідуванням чи іншими негативними наслідками. </w:t>
      </w:r>
    </w:p>
    <w:p w14:paraId="1FBD4189" w14:textId="673E4BD0"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Сутність гарантій адвокатської діяльності полягає у створенні умов для ефективного здійснення професійної діяльності адвокатів та захисту їхніх прав. За словами О. М. Уштаніт, ці гарантії забезпечують незалежність, об'єктивність та професіоналізм у роботі адвокатів [3]. Вони включають правові та етичні норми, що спрямовані на захист прав адвокатів та їхніх клієнтів, а також на забезпечення верховенства права.</w:t>
      </w:r>
      <w:r w:rsidR="007B2628" w:rsidRPr="00511005">
        <w:rPr>
          <w:rFonts w:ascii="Arial" w:eastAsia="Calibri" w:hAnsi="Arial" w:cs="Arial"/>
          <w:szCs w:val="28"/>
          <w:lang w:val="uk-UA"/>
        </w:rPr>
        <w:t xml:space="preserve"> </w:t>
      </w:r>
    </w:p>
    <w:p w14:paraId="3A87E296" w14:textId="090B27F5"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Правові гарантії адвокатської діяльності закріплені в національному та міжнародному законодавстві. На національному рівні вони включають закони про адвокатуру, кримінальний та цивільний кодекси, процесуальне законодавство та інші нормативні акти. Міжнародні стандарти, зокрема, такі документи, як Основні принципи щодо ролі адвокатів, прийняті Організації Об’єднаних Націй у 1990 році, забезпечують загальні рекомендації для захисту прав адвокатів на міжнародному рівні. Законодавча база передбачає, що адвокат має право на захист своїх професійних прав та інтересів, а також на здійснення адвокатської діяльності на принципах законності, незалежності, конфіденційності та недопустимості втручання у професійну діяльність адвоката. Адвокат має право на вільний доступ до інформації, необхідної для здійснення захисту клієнта, а також на співпрацю з іншими адвокатами та юридичними організаціями. Основні права та обов'язки адвокатів, передбачені законодавцем,</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включають право на захист своїх професійних інтересів, право на конфіденційність спілкування з клієнтом, право на незалежність у виконанні професійних обов'язків, а також обов'язок дотримуватися професійної етики та законодавства [5]. Адвокати зобов'язані забезпечувати захист прав та інтересів клієнтів, надавати їм кваліфіковану юридичну допомогу та діяти в їх інтересах. Також варто зазначити етичні гарантії адвокатської діяльності, які включають Правила адвокатської етики (далі - Правила), який встановлює загальні принципи та норми поведінки [4]. Правила регулюють питання взаємовідносин адвокатів </w:t>
      </w:r>
      <w:r w:rsidRPr="00511005">
        <w:rPr>
          <w:rFonts w:ascii="Arial" w:eastAsia="Calibri" w:hAnsi="Arial" w:cs="Arial"/>
          <w:szCs w:val="28"/>
          <w:lang w:val="uk-UA"/>
        </w:rPr>
        <w:lastRenderedPageBreak/>
        <w:t xml:space="preserve">з клієнтами, колегами, судовими органами та суспільством в цілому. Дотримання етичних норм сприяє забезпеченню високих стандартів професійної діяльності адвокатів та зміцненню довіри до адвокатури. </w:t>
      </w:r>
    </w:p>
    <w:p w14:paraId="0A0C68B7"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Проблеми дотримання гарантій адвокатської діяльності є однією з найбільш актуальних тем у сучасному правовому суспільстві. Адвокати відіграють ключову роль у захисті прав і свобод громадян, проте часто стикаються з різноманітними перешкодами у своїй професійній діяльності. Законодавчі проблеми є одними з основних факторів, що впливають на ефективність адвокатської діяльності. Недосконалість національного законодавства створює значні перешкоди для реалізації адвокатами своїх професійних обов'язків. Зокрема, існують прогалини у законодавстві, що регулює діяльність адвокатів, які залишають можливість для неоднозначного тлумачення і застосування норм права [1, с. 152]. Відсутність чітких механізмів захисту прав адвокатів також створює значні труднощі у їхній роботі. Практичні проблеми, з якими стикаються адвокати, включають порушення їхніх прав з боку правоохоронних органів. Часто адвокати піддаються незаконним обшукам, затриманням або переслідуванням, що порушує їхні професійні права та ускладнює виконання обов'язків. Тиск і загрози від клієнтів або інших суб'єктів також є значною проблемою. Адвокати можуть стикатися з фізичними чи психологічними загрозами, що впливає на їхню здатність забезпечувати належний захист своїх клієнтів. Суттєвою проблемою на адвокатську діяльність також є вплив корупції. Корупційні практики у судовій системі можуть перешкоджати справедливому розгляду справ та об'єктивному прийняттю рішень. Адвокати часто стикаються з ситуаціями, коли для досягнення позитивного результату необхідно вступати в корупційні відносини, що підриває їхню професійну етику та довіру до правової системи в цілому. Вплив корупції на ефективність адвокатської діяльності виражається у зниженні якості наданих юридичних послуг та несправедливому вирішенні справ. </w:t>
      </w:r>
    </w:p>
    <w:p w14:paraId="1919EE41"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Для забезпечення ефективного функціонування адвокатської діяльності необхідно вдосконалювати законодавчу базу, усуваючи прогалини та забезпечуючи чіткі механізми захисту прав адвокатів. Важливо також створювати умови для незалежності адвокатів, захищати їх від незаконного втручання та тиску з боку правоохоронних органів та інших суб'єктів. Антикорупційні заходи повинні стати пріоритетом, щоб забезпечити справедливість у судовій системі та підвищити ефективність адвокатської діяльності. Захист прав адвокатів є необхідною умовою для забезпечення верховенства права та справедливості у суспільстві. Недотримання гарантій адвокатської діяльності може призвести до серйозних порушень прав громадян та підриву довіри до правової системи. Тому забезпечення ефективного функціонування адвокатури є важливим </w:t>
      </w:r>
      <w:r w:rsidRPr="00511005">
        <w:rPr>
          <w:rFonts w:ascii="Arial" w:eastAsia="Calibri" w:hAnsi="Arial" w:cs="Arial"/>
          <w:szCs w:val="28"/>
          <w:lang w:val="uk-UA"/>
        </w:rPr>
        <w:lastRenderedPageBreak/>
        <w:t xml:space="preserve">завданням для держави та суспільства. Вдосконалення законодавства, підвищення професійної етики та боротьба з корупцією повинні стати пріоритетами у процесі забезпечення гарантій адвокатської діяльності [2, c. 35]. Механізми захисту гарантій адвокатської діяльності є важливою складовою правової системи, що забезпечує належне виконання адвокатами своїх обов'язків і захист прав громадян. </w:t>
      </w:r>
    </w:p>
    <w:p w14:paraId="12D5E8D1"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Одним із основних правових механізмів є забезпечення судового захисту прав адвокатів. Це включає право на звернення до суду у випадку порушення професійних прав, а також можливість отримати захист від незаконних дій або бездіяльності інших суб'єктів. Судовий захист забезпечує справедливий розгляд справ та прийняття відповідних рішень, що сприяє відновленню порушених прав адвокатів. Важливу роль у захисті прав адвокатів відіграють адвокатські об'єднання та асоціації. Вони здійснюють координацію діяльності адвокатів, надають їм консультації, захищають їхні права та інтереси, а також представляють адвокатуру в органах державної влади та міжнародних організаціях. Міжнародні механізми захисту прав адвокатів включають діяльність міжнародних організацій та інституцій, таких як Організація Об'єднаних Націй, Міжнародна асоціація юристів та інші. Ці організації розробляють міжнародні стандарти, проводять моніторинг дотримання прав адвокатів у різних країнах, а також надають підтримку у випадках порушення прав. Важливим прикладом міжнародної співпраці є взаємодія між адвокатськими асоціаціями різних країн у питаннях обміну досвідом, проведення спільних заходів та підготовки міжнародних угод. </w:t>
      </w:r>
    </w:p>
    <w:p w14:paraId="33514C0E"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Пропозиції щодо вдосконалення механізмів захисту прав адвокатів включають внесення змін до законодавства [2, c. 25]. Це може включати уточнення і розширення правових норм, що регулюють адвокатську діяльність, створення чітких механізмів захисту прав адвокатів, а також підвищення відповідальності за порушення їхніх прав. Посилення відповідальності за порушення прав адвокатів є важливим заходом, що сприяє запобіганню неправомірних дій та забезпечує належний рівень захисту адвокатів у їхній професійній діяльності. </w:t>
      </w:r>
    </w:p>
    <w:p w14:paraId="50DF7C6B"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Як висновок, варто зазначити, проблеми дотримання та захисту гарантій адвокатської діяльності підкреслюють низку ключових аспектів. Основні проблеми включають прогалини у законодавстві, недостатність механізмів захисту, порушення прав адвокатів з боку правоохоронних органів, тиск і загрози від клієнтів та вплив корупції. </w:t>
      </w:r>
    </w:p>
    <w:p w14:paraId="28B4EBB7" w14:textId="04463A09" w:rsidR="00C10374" w:rsidRPr="00511005" w:rsidRDefault="007B2628" w:rsidP="007B2628">
      <w:pPr>
        <w:spacing w:line="264" w:lineRule="auto"/>
        <w:jc w:val="center"/>
        <w:rPr>
          <w:rFonts w:ascii="Arial" w:eastAsia="Calibri" w:hAnsi="Arial" w:cs="Arial"/>
          <w:szCs w:val="28"/>
          <w:lang w:val="uk-UA"/>
        </w:rPr>
      </w:pPr>
      <w:r w:rsidRPr="00511005">
        <w:rPr>
          <w:rFonts w:ascii="Arial" w:eastAsia="Calibri" w:hAnsi="Arial" w:cs="Arial"/>
          <w:b/>
          <w:szCs w:val="28"/>
          <w:lang w:val="uk-UA"/>
        </w:rPr>
        <w:t>Список використаних джерел</w:t>
      </w:r>
    </w:p>
    <w:p w14:paraId="3FC392F6" w14:textId="77777777" w:rsidR="00C10374" w:rsidRPr="00511005" w:rsidRDefault="00C10374" w:rsidP="003F6A5D">
      <w:pPr>
        <w:numPr>
          <w:ilvl w:val="0"/>
          <w:numId w:val="310"/>
        </w:numPr>
        <w:spacing w:line="264" w:lineRule="auto"/>
        <w:rPr>
          <w:rFonts w:ascii="Arial" w:eastAsia="Calibri" w:hAnsi="Arial" w:cs="Arial"/>
          <w:szCs w:val="28"/>
          <w:lang w:val="uk-UA"/>
        </w:rPr>
      </w:pPr>
      <w:r w:rsidRPr="00511005">
        <w:rPr>
          <w:rFonts w:ascii="Arial" w:eastAsia="Calibri" w:hAnsi="Arial" w:cs="Arial"/>
          <w:szCs w:val="28"/>
          <w:lang w:val="uk-UA"/>
        </w:rPr>
        <w:t xml:space="preserve">Афанасієв Р. В. Проблеми правового регулювання окремих гарантій адвокатської діяльності. </w:t>
      </w:r>
      <w:r w:rsidRPr="00511005">
        <w:rPr>
          <w:rFonts w:ascii="Arial" w:eastAsia="Calibri" w:hAnsi="Arial" w:cs="Arial"/>
          <w:i/>
          <w:szCs w:val="28"/>
          <w:lang w:val="uk-UA"/>
        </w:rPr>
        <w:t>Науковий вісник Ужгородського національного університету. Серія: Право.</w:t>
      </w:r>
      <w:r w:rsidRPr="00511005">
        <w:rPr>
          <w:rFonts w:ascii="Arial" w:eastAsia="Calibri" w:hAnsi="Arial" w:cs="Arial"/>
          <w:szCs w:val="28"/>
          <w:lang w:val="uk-UA"/>
        </w:rPr>
        <w:t xml:space="preserve"> 2014. Вип. 24. Т. 4. С. 151 - 155. URL: </w:t>
      </w:r>
      <w:hyperlink r:id="rId1135" w:history="1">
        <w:r w:rsidRPr="00511005">
          <w:rPr>
            <w:rFonts w:ascii="Arial" w:eastAsia="Calibri" w:hAnsi="Arial" w:cs="Arial"/>
            <w:szCs w:val="28"/>
            <w:lang w:val="uk-UA"/>
          </w:rPr>
          <w:t>https://dspace.onua.edu.ua/server/api/core/bitstreams/69979d3d-7422-42c1-b0ff-8802078f6fe0/content</w:t>
        </w:r>
      </w:hyperlink>
      <w:r w:rsidRPr="00511005">
        <w:rPr>
          <w:rFonts w:ascii="Arial" w:eastAsia="Calibri" w:hAnsi="Arial" w:cs="Arial"/>
          <w:szCs w:val="28"/>
          <w:lang w:val="uk-UA"/>
        </w:rPr>
        <w:t xml:space="preserve"> </w:t>
      </w:r>
    </w:p>
    <w:p w14:paraId="4CE9CC25" w14:textId="088522B6" w:rsidR="00C10374" w:rsidRPr="00511005" w:rsidRDefault="00C10374" w:rsidP="003F6A5D">
      <w:pPr>
        <w:numPr>
          <w:ilvl w:val="0"/>
          <w:numId w:val="310"/>
        </w:numPr>
        <w:spacing w:line="264" w:lineRule="auto"/>
        <w:rPr>
          <w:rFonts w:ascii="Arial" w:eastAsia="Calibri" w:hAnsi="Arial" w:cs="Arial"/>
          <w:szCs w:val="28"/>
          <w:lang w:val="uk-UA"/>
        </w:rPr>
      </w:pPr>
      <w:r w:rsidRPr="00511005">
        <w:rPr>
          <w:rFonts w:ascii="Arial" w:eastAsia="Calibri" w:hAnsi="Arial" w:cs="Arial"/>
          <w:szCs w:val="28"/>
          <w:lang w:val="uk-UA"/>
        </w:rPr>
        <w:lastRenderedPageBreak/>
        <w:t>Національна асоціація адвокатів України. Аналіз порушень прав та гарантій адвокатської діяльності право-охоронними органами та судом/ Аналітичні матеріали членів комітету захисту прав адвокатів та гарантій адвокатської діяльності. 2021р.</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URL: </w:t>
      </w:r>
      <w:hyperlink r:id="rId1136">
        <w:r w:rsidRPr="00511005">
          <w:rPr>
            <w:rFonts w:ascii="Arial" w:eastAsia="Calibri" w:hAnsi="Arial" w:cs="Arial"/>
            <w:szCs w:val="28"/>
            <w:lang w:val="uk-UA"/>
          </w:rPr>
          <w:t>https://unba.org.ua/assets/uploads/news/zvity</w:t>
        </w:r>
      </w:hyperlink>
      <w:r w:rsidR="007B2628" w:rsidRPr="00511005">
        <w:rPr>
          <w:rFonts w:ascii="Arial" w:eastAsia="Calibri" w:hAnsi="Arial" w:cs="Arial"/>
          <w:szCs w:val="28"/>
          <w:lang w:val="uk-UA"/>
        </w:rPr>
        <w:t xml:space="preserve"> </w:t>
      </w:r>
    </w:p>
    <w:p w14:paraId="40498D0B" w14:textId="77777777" w:rsidR="00C10374" w:rsidRPr="00511005" w:rsidRDefault="00C10374" w:rsidP="003F6A5D">
      <w:pPr>
        <w:numPr>
          <w:ilvl w:val="0"/>
          <w:numId w:val="310"/>
        </w:numPr>
        <w:spacing w:line="264" w:lineRule="auto"/>
        <w:rPr>
          <w:rFonts w:ascii="Arial" w:eastAsia="Calibri" w:hAnsi="Arial" w:cs="Arial"/>
          <w:szCs w:val="28"/>
          <w:lang w:val="uk-UA"/>
        </w:rPr>
      </w:pPr>
      <w:r w:rsidRPr="00511005">
        <w:rPr>
          <w:rFonts w:ascii="Arial" w:eastAsia="Calibri" w:hAnsi="Arial" w:cs="Arial"/>
          <w:szCs w:val="28"/>
          <w:lang w:val="uk-UA"/>
        </w:rPr>
        <w:t xml:space="preserve">Про адвокатуру та адвокатську діяльність: Закон України від 05.07.2012 р. URL: </w:t>
      </w:r>
      <w:hyperlink r:id="rId1137" w:anchor="Text" w:history="1">
        <w:r w:rsidRPr="00511005">
          <w:rPr>
            <w:rFonts w:ascii="Arial" w:eastAsia="Calibri" w:hAnsi="Arial" w:cs="Arial"/>
            <w:szCs w:val="28"/>
            <w:lang w:val="uk-UA"/>
          </w:rPr>
          <w:t>https://zakon.rada.gov.ua/laws/show/5076-17#Text</w:t>
        </w:r>
      </w:hyperlink>
      <w:r w:rsidRPr="00511005">
        <w:rPr>
          <w:rFonts w:ascii="Arial" w:eastAsia="Calibri" w:hAnsi="Arial" w:cs="Arial"/>
          <w:szCs w:val="28"/>
          <w:lang w:val="uk-UA"/>
        </w:rPr>
        <w:t xml:space="preserve"> </w:t>
      </w:r>
    </w:p>
    <w:p w14:paraId="60B4C486" w14:textId="77777777" w:rsidR="00C10374" w:rsidRPr="00511005" w:rsidRDefault="00C10374" w:rsidP="003F6A5D">
      <w:pPr>
        <w:numPr>
          <w:ilvl w:val="0"/>
          <w:numId w:val="310"/>
        </w:numPr>
        <w:spacing w:line="264" w:lineRule="auto"/>
        <w:ind w:firstLine="695"/>
        <w:rPr>
          <w:rFonts w:ascii="Arial" w:eastAsia="Calibri" w:hAnsi="Arial" w:cs="Arial"/>
          <w:szCs w:val="28"/>
          <w:lang w:val="uk-UA"/>
        </w:rPr>
      </w:pPr>
      <w:r w:rsidRPr="00511005">
        <w:rPr>
          <w:rFonts w:ascii="Arial" w:eastAsia="Calibri" w:hAnsi="Arial" w:cs="Arial"/>
          <w:bCs/>
          <w:szCs w:val="28"/>
          <w:shd w:val="clear" w:color="auto" w:fill="FFFFFF"/>
          <w:lang w:val="uk-UA"/>
        </w:rPr>
        <w:t xml:space="preserve">Правила адвокатської етики: </w:t>
      </w:r>
      <w:r w:rsidRPr="00511005">
        <w:rPr>
          <w:rFonts w:ascii="Arial" w:eastAsia="Calibri" w:hAnsi="Arial" w:cs="Arial"/>
          <w:bCs/>
          <w:szCs w:val="28"/>
          <w:lang w:val="uk-UA"/>
        </w:rPr>
        <w:t>ЗАТВЕРДЖЕНІ</w:t>
      </w:r>
      <w:r w:rsidRPr="00511005">
        <w:rPr>
          <w:rFonts w:ascii="Arial" w:eastAsia="Calibri" w:hAnsi="Arial" w:cs="Arial"/>
          <w:szCs w:val="28"/>
          <w:lang w:val="uk-UA"/>
        </w:rPr>
        <w:t xml:space="preserve"> </w:t>
      </w:r>
      <w:r w:rsidRPr="00511005">
        <w:rPr>
          <w:rFonts w:ascii="Arial" w:eastAsia="Calibri" w:hAnsi="Arial" w:cs="Arial"/>
          <w:bCs/>
          <w:szCs w:val="28"/>
          <w:lang w:val="uk-UA"/>
        </w:rPr>
        <w:t>Звітно-виборним з'їздом</w:t>
      </w:r>
      <w:r w:rsidRPr="00511005">
        <w:rPr>
          <w:rFonts w:ascii="Arial" w:eastAsia="Calibri" w:hAnsi="Arial" w:cs="Arial"/>
          <w:szCs w:val="28"/>
          <w:lang w:val="uk-UA"/>
        </w:rPr>
        <w:t xml:space="preserve"> </w:t>
      </w:r>
      <w:r w:rsidRPr="00511005">
        <w:rPr>
          <w:rFonts w:ascii="Arial" w:eastAsia="Calibri" w:hAnsi="Arial" w:cs="Arial"/>
          <w:bCs/>
          <w:szCs w:val="28"/>
          <w:lang w:val="uk-UA"/>
        </w:rPr>
        <w:t>адвокатів України 2017 року</w:t>
      </w:r>
      <w:r w:rsidRPr="00511005">
        <w:rPr>
          <w:rFonts w:ascii="Arial" w:eastAsia="Calibri" w:hAnsi="Arial" w:cs="Arial"/>
          <w:szCs w:val="28"/>
          <w:lang w:val="uk-UA"/>
        </w:rPr>
        <w:t xml:space="preserve"> </w:t>
      </w:r>
      <w:r w:rsidRPr="00511005">
        <w:rPr>
          <w:rFonts w:ascii="Arial" w:eastAsia="Calibri" w:hAnsi="Arial" w:cs="Arial"/>
          <w:bCs/>
          <w:szCs w:val="28"/>
          <w:lang w:val="uk-UA"/>
        </w:rPr>
        <w:t>09 червня 2017 року.</w:t>
      </w:r>
      <w:r w:rsidRPr="00511005">
        <w:rPr>
          <w:rFonts w:ascii="Arial" w:eastAsia="Calibri" w:hAnsi="Arial" w:cs="Arial"/>
          <w:b/>
          <w:bCs/>
          <w:szCs w:val="28"/>
          <w:lang w:val="uk-UA"/>
        </w:rPr>
        <w:t xml:space="preserve"> </w:t>
      </w:r>
      <w:r w:rsidRPr="00511005">
        <w:rPr>
          <w:rFonts w:ascii="Arial" w:eastAsia="Calibri" w:hAnsi="Arial" w:cs="Arial"/>
          <w:szCs w:val="28"/>
          <w:lang w:val="uk-UA"/>
        </w:rPr>
        <w:t xml:space="preserve">URL: </w:t>
      </w:r>
      <w:hyperlink r:id="rId1138" w:anchor="Text" w:history="1">
        <w:r w:rsidRPr="00511005">
          <w:rPr>
            <w:rFonts w:ascii="Arial" w:eastAsia="Calibri" w:hAnsi="Arial" w:cs="Arial"/>
            <w:szCs w:val="28"/>
            <w:lang w:val="en-US"/>
          </w:rPr>
          <w:t>https</w:t>
        </w:r>
        <w:r w:rsidRPr="00511005">
          <w:rPr>
            <w:rFonts w:ascii="Arial" w:eastAsia="Calibri" w:hAnsi="Arial" w:cs="Arial"/>
            <w:szCs w:val="28"/>
            <w:lang w:val="uk-UA"/>
          </w:rPr>
          <w:t>://</w:t>
        </w:r>
        <w:r w:rsidRPr="00511005">
          <w:rPr>
            <w:rFonts w:ascii="Arial" w:eastAsia="Calibri" w:hAnsi="Arial" w:cs="Arial"/>
            <w:szCs w:val="28"/>
            <w:lang w:val="en-US"/>
          </w:rPr>
          <w:t>zakon</w:t>
        </w:r>
        <w:r w:rsidRPr="00511005">
          <w:rPr>
            <w:rFonts w:ascii="Arial" w:eastAsia="Calibri" w:hAnsi="Arial" w:cs="Arial"/>
            <w:szCs w:val="28"/>
            <w:lang w:val="uk-UA"/>
          </w:rPr>
          <w:t>.</w:t>
        </w:r>
        <w:r w:rsidRPr="00511005">
          <w:rPr>
            <w:rFonts w:ascii="Arial" w:eastAsia="Calibri" w:hAnsi="Arial" w:cs="Arial"/>
            <w:szCs w:val="28"/>
            <w:lang w:val="en-US"/>
          </w:rPr>
          <w:t>rada</w:t>
        </w:r>
        <w:r w:rsidRPr="00511005">
          <w:rPr>
            <w:rFonts w:ascii="Arial" w:eastAsia="Calibri" w:hAnsi="Arial" w:cs="Arial"/>
            <w:szCs w:val="28"/>
            <w:lang w:val="uk-UA"/>
          </w:rPr>
          <w:t>.</w:t>
        </w:r>
        <w:r w:rsidRPr="00511005">
          <w:rPr>
            <w:rFonts w:ascii="Arial" w:eastAsia="Calibri" w:hAnsi="Arial" w:cs="Arial"/>
            <w:szCs w:val="28"/>
            <w:lang w:val="en-US"/>
          </w:rPr>
          <w:t>gov</w:t>
        </w:r>
        <w:r w:rsidRPr="00511005">
          <w:rPr>
            <w:rFonts w:ascii="Arial" w:eastAsia="Calibri" w:hAnsi="Arial" w:cs="Arial"/>
            <w:szCs w:val="28"/>
            <w:lang w:val="uk-UA"/>
          </w:rPr>
          <w:t>.</w:t>
        </w:r>
        <w:r w:rsidRPr="00511005">
          <w:rPr>
            <w:rFonts w:ascii="Arial" w:eastAsia="Calibri" w:hAnsi="Arial" w:cs="Arial"/>
            <w:szCs w:val="28"/>
            <w:lang w:val="en-US"/>
          </w:rPr>
          <w:t>ua</w:t>
        </w:r>
        <w:r w:rsidRPr="00511005">
          <w:rPr>
            <w:rFonts w:ascii="Arial" w:eastAsia="Calibri" w:hAnsi="Arial" w:cs="Arial"/>
            <w:szCs w:val="28"/>
            <w:lang w:val="uk-UA"/>
          </w:rPr>
          <w:t>/</w:t>
        </w:r>
        <w:r w:rsidRPr="00511005">
          <w:rPr>
            <w:rFonts w:ascii="Arial" w:eastAsia="Calibri" w:hAnsi="Arial" w:cs="Arial"/>
            <w:szCs w:val="28"/>
            <w:lang w:val="en-US"/>
          </w:rPr>
          <w:t>rada</w:t>
        </w:r>
        <w:r w:rsidRPr="00511005">
          <w:rPr>
            <w:rFonts w:ascii="Arial" w:eastAsia="Calibri" w:hAnsi="Arial" w:cs="Arial"/>
            <w:szCs w:val="28"/>
            <w:lang w:val="uk-UA"/>
          </w:rPr>
          <w:t>/</w:t>
        </w:r>
        <w:r w:rsidRPr="00511005">
          <w:rPr>
            <w:rFonts w:ascii="Arial" w:eastAsia="Calibri" w:hAnsi="Arial" w:cs="Arial"/>
            <w:szCs w:val="28"/>
            <w:lang w:val="en-US"/>
          </w:rPr>
          <w:t>show</w:t>
        </w:r>
        <w:r w:rsidRPr="00511005">
          <w:rPr>
            <w:rFonts w:ascii="Arial" w:eastAsia="Calibri" w:hAnsi="Arial" w:cs="Arial"/>
            <w:szCs w:val="28"/>
            <w:lang w:val="uk-UA"/>
          </w:rPr>
          <w:t>/</w:t>
        </w:r>
        <w:r w:rsidRPr="00511005">
          <w:rPr>
            <w:rFonts w:ascii="Arial" w:eastAsia="Calibri" w:hAnsi="Arial" w:cs="Arial"/>
            <w:szCs w:val="28"/>
            <w:lang w:val="en-US"/>
          </w:rPr>
          <w:t>n</w:t>
        </w:r>
        <w:r w:rsidRPr="00511005">
          <w:rPr>
            <w:rFonts w:ascii="Arial" w:eastAsia="Calibri" w:hAnsi="Arial" w:cs="Arial"/>
            <w:szCs w:val="28"/>
            <w:lang w:val="uk-UA"/>
          </w:rPr>
          <w:t>0001891-17#</w:t>
        </w:r>
        <w:r w:rsidRPr="00511005">
          <w:rPr>
            <w:rFonts w:ascii="Arial" w:eastAsia="Calibri" w:hAnsi="Arial" w:cs="Arial"/>
            <w:szCs w:val="28"/>
            <w:lang w:val="en-US"/>
          </w:rPr>
          <w:t>Text</w:t>
        </w:r>
      </w:hyperlink>
      <w:r w:rsidRPr="00511005">
        <w:rPr>
          <w:rFonts w:ascii="Arial" w:eastAsia="Calibri" w:hAnsi="Arial" w:cs="Arial"/>
          <w:szCs w:val="28"/>
          <w:lang w:val="uk-UA"/>
        </w:rPr>
        <w:t xml:space="preserve"> </w:t>
      </w:r>
    </w:p>
    <w:p w14:paraId="11E4273E" w14:textId="77777777" w:rsidR="00C10374" w:rsidRPr="00511005" w:rsidRDefault="00C10374" w:rsidP="003F6A5D">
      <w:pPr>
        <w:numPr>
          <w:ilvl w:val="0"/>
          <w:numId w:val="310"/>
        </w:numPr>
        <w:spacing w:line="264" w:lineRule="auto"/>
        <w:rPr>
          <w:rFonts w:ascii="Arial" w:eastAsia="Calibri" w:hAnsi="Arial" w:cs="Arial"/>
          <w:szCs w:val="28"/>
          <w:lang w:val="uk-UA"/>
        </w:rPr>
      </w:pPr>
      <w:r w:rsidRPr="00511005">
        <w:rPr>
          <w:rFonts w:ascii="Arial" w:eastAsia="Calibri" w:hAnsi="Arial" w:cs="Arial"/>
          <w:szCs w:val="28"/>
          <w:lang w:val="uk-UA"/>
        </w:rPr>
        <w:t xml:space="preserve">Уштаніт О. М. Сучасні проблеми дотримання гарантій адвокатської діяльності URL: </w:t>
      </w:r>
      <w:hyperlink r:id="rId1139">
        <w:r w:rsidRPr="00511005">
          <w:rPr>
            <w:rFonts w:ascii="Arial" w:eastAsia="Calibri" w:hAnsi="Arial" w:cs="Arial"/>
            <w:szCs w:val="28"/>
            <w:lang w:val="uk-UA"/>
          </w:rPr>
          <w:t xml:space="preserve">https://dspace.onua.edu.ua/server/api/core/bitstreams/e46bbed9-78df-427f-a33c-97071f213 </w:t>
        </w:r>
      </w:hyperlink>
      <w:hyperlink r:id="rId1140">
        <w:r w:rsidRPr="00511005">
          <w:rPr>
            <w:rFonts w:ascii="Arial" w:eastAsia="Calibri" w:hAnsi="Arial" w:cs="Arial"/>
            <w:szCs w:val="28"/>
            <w:lang w:val="uk-UA"/>
          </w:rPr>
          <w:t>73a/content</w:t>
        </w:r>
      </w:hyperlink>
      <w:r w:rsidRPr="00511005">
        <w:rPr>
          <w:rFonts w:ascii="Arial" w:eastAsia="Calibri" w:hAnsi="Arial" w:cs="Arial"/>
          <w:szCs w:val="28"/>
          <w:lang w:val="uk-UA"/>
        </w:rPr>
        <w:t xml:space="preserve"> </w:t>
      </w:r>
    </w:p>
    <w:p w14:paraId="78C231D6" w14:textId="77777777" w:rsidR="00C10374" w:rsidRPr="00511005" w:rsidRDefault="00C10374" w:rsidP="003A292D">
      <w:pPr>
        <w:spacing w:line="264" w:lineRule="auto"/>
        <w:rPr>
          <w:rFonts w:ascii="Arial" w:eastAsia="Calibri" w:hAnsi="Arial" w:cs="Arial"/>
          <w:b/>
          <w:bCs/>
          <w:szCs w:val="28"/>
          <w:lang w:val="uk-UA"/>
        </w:rPr>
      </w:pPr>
    </w:p>
    <w:p w14:paraId="4CFEE769" w14:textId="329A043B" w:rsidR="00C10374"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0374" w:rsidRPr="00511005">
        <w:rPr>
          <w:rFonts w:ascii="Arial" w:eastAsia="Calibri" w:hAnsi="Arial" w:cs="Arial"/>
          <w:szCs w:val="28"/>
          <w:lang w:val="uk-UA"/>
        </w:rPr>
        <w:t>адвокатська діяльність, етичні норми, гарантії, міжнародні стандарти, порушення правил, Національна асоціація адвокатів України, Закон України «Про адвокатуру та адвокатську діяльність», неправомірність, правила, міжнародні організації.</w:t>
      </w:r>
    </w:p>
    <w:p w14:paraId="6A008CF8" w14:textId="0D999C4B" w:rsidR="00C10374"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bCs/>
          <w:i/>
          <w:szCs w:val="28"/>
          <w:lang w:val="en-US"/>
        </w:rPr>
        <w:t xml:space="preserve">Key words: </w:t>
      </w:r>
      <w:r w:rsidR="00C10374" w:rsidRPr="00511005">
        <w:rPr>
          <w:rFonts w:ascii="Arial" w:eastAsia="Calibri" w:hAnsi="Arial" w:cs="Arial"/>
          <w:szCs w:val="28"/>
          <w:lang w:val="en-US"/>
        </w:rPr>
        <w:t>advocacy, ethical norms, guarantees, international standards, violation of rules, National Bar Association of Ukraine, Law of Ukraine «On Advocacy and Advocacy», illegality, rules, international organizations.</w:t>
      </w:r>
    </w:p>
    <w:p w14:paraId="322D0087" w14:textId="3A6811D6" w:rsidR="00C10374" w:rsidRPr="00511005" w:rsidRDefault="007B2628" w:rsidP="003A292D">
      <w:pPr>
        <w:spacing w:line="264" w:lineRule="auto"/>
        <w:jc w:val="left"/>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C10374" w:rsidRPr="00511005">
        <w:rPr>
          <w:rFonts w:ascii="Arial" w:eastAsia="Calibri" w:hAnsi="Arial" w:cs="Arial"/>
          <w:i/>
          <w:szCs w:val="28"/>
          <w:lang w:val="uk-UA"/>
        </w:rPr>
        <w:t>старший викладач кафедри Нестерчук Л.П.</w:t>
      </w:r>
      <w:r w:rsidRPr="00511005">
        <w:rPr>
          <w:rFonts w:ascii="Arial" w:eastAsia="Calibri" w:hAnsi="Arial" w:cs="Arial"/>
          <w:i/>
          <w:szCs w:val="28"/>
          <w:lang w:val="uk-UA"/>
        </w:rPr>
        <w:t xml:space="preserve"> </w:t>
      </w:r>
    </w:p>
    <w:p w14:paraId="037A0D3E" w14:textId="77777777" w:rsidR="00C10374" w:rsidRPr="00511005" w:rsidRDefault="00C10374" w:rsidP="003A292D">
      <w:pPr>
        <w:widowControl w:val="0"/>
        <w:spacing w:line="264" w:lineRule="auto"/>
        <w:ind w:firstLine="0"/>
        <w:rPr>
          <w:rFonts w:ascii="Arial" w:eastAsia="Calibri" w:hAnsi="Arial" w:cs="Arial"/>
          <w:szCs w:val="28"/>
        </w:rPr>
      </w:pPr>
    </w:p>
    <w:p w14:paraId="2E935971" w14:textId="77777777" w:rsidR="00C10374" w:rsidRPr="00511005" w:rsidRDefault="00C10374" w:rsidP="003A292D">
      <w:pPr>
        <w:widowControl w:val="0"/>
        <w:spacing w:line="264" w:lineRule="auto"/>
        <w:ind w:firstLine="0"/>
        <w:rPr>
          <w:rFonts w:ascii="Arial" w:eastAsia="Calibri" w:hAnsi="Arial" w:cs="Arial"/>
          <w:szCs w:val="28"/>
        </w:rPr>
      </w:pPr>
    </w:p>
    <w:p w14:paraId="29B49206" w14:textId="77777777" w:rsidR="00C10374" w:rsidRPr="00511005" w:rsidRDefault="00C10374"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Марчук Анастасія Олександрівна</w:t>
      </w:r>
    </w:p>
    <w:p w14:paraId="0F52C394" w14:textId="49109E7A" w:rsidR="00C10374" w:rsidRPr="00511005" w:rsidRDefault="00BE3972"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r w:rsidR="00C10374" w:rsidRPr="00511005">
        <w:rPr>
          <w:rFonts w:ascii="Arial" w:eastAsia="Calibri" w:hAnsi="Arial" w:cs="Arial"/>
          <w:szCs w:val="28"/>
          <w:lang w:val="uk-UA"/>
        </w:rPr>
        <w:t xml:space="preserve"> </w:t>
      </w:r>
      <w:r w:rsidR="007B2628" w:rsidRPr="00511005">
        <w:rPr>
          <w:rFonts w:ascii="Arial" w:eastAsia="Calibri" w:hAnsi="Arial" w:cs="Arial"/>
          <w:szCs w:val="28"/>
          <w:lang w:val="uk-UA"/>
        </w:rPr>
        <w:t>Національного університету «Одеська юридична академія»</w:t>
      </w:r>
    </w:p>
    <w:p w14:paraId="7525BE9B" w14:textId="77777777" w:rsidR="00C10374" w:rsidRPr="00511005" w:rsidRDefault="00C10374" w:rsidP="003A292D">
      <w:pPr>
        <w:spacing w:line="264" w:lineRule="auto"/>
        <w:ind w:firstLine="0"/>
        <w:jc w:val="center"/>
        <w:rPr>
          <w:rFonts w:ascii="Arial" w:eastAsia="Calibri" w:hAnsi="Arial" w:cs="Arial"/>
          <w:szCs w:val="28"/>
          <w:lang w:val="uk-UA"/>
        </w:rPr>
      </w:pPr>
    </w:p>
    <w:p w14:paraId="440E4934" w14:textId="77777777" w:rsidR="00C10374" w:rsidRPr="00511005" w:rsidRDefault="00C10374"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ПСИХОЛОГІЧНИЙ АСПЕКТ ДІЯЛЬНОСТІ АДВОКАТА У КРИМІНАЛЬНИХ СПРАВАХ</w:t>
      </w:r>
    </w:p>
    <w:p w14:paraId="731B2455" w14:textId="31E584C2"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Одним з ключових елементів судового провадження у сфері кримінального права є інститут захисту, фактичну реалізацію якого забезпечує адвокат –</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важливіший суб’єкт процесу. Професійній діяльності адвоката властивий високий рівень соціальної взаємодії, що обумовлює потребу розвинутих комунікативних навичок. В контексті міжособистісної взаємодії захисник стикається з різноманітними психологічними факторами, які можуть виступати інструментом впливу як з його боку, так і з боку інших учасників процесу. У цьому контексті дослідження психологічної складової професійної діяльності адвоката в умовах кримінального судочинства набуває особливої актуальності.</w:t>
      </w:r>
    </w:p>
    <w:p w14:paraId="734DC5EA"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 xml:space="preserve">З наведеного вище випливає, що діяльність адвоката має певні психологічні особливості. По-перше, вона носить пізнавальний характер. Адвокат має аналізувати велику кількість фактів та обставин, оцінювати їх з позиції захисту, відбираючи ті, що виправдовують або пом’якшують відповідальність підзахисного. Він використовує психологію для оцінки доказів, розуміння мотивів, емоцій та намірів обвинуваченого. Як зазначав А. Ф. Коні, головним фактором у справі є особистість підсудного, тому аналіз його характеру та поведінки має велике значення. </w:t>
      </w:r>
    </w:p>
    <w:p w14:paraId="09AE97B9"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Не менш важливими є інші практичні аспекти адвокатської діяльності. Організаторський – включає планування захисту, вибір методів і тактики ведення справи, а конструктивний – стосується ухвалення рішень щодо стратегії захисту та структури судової промови. Найбільш важливо це на стадії судового розгляду, коли адвокат має швидко адаптувати тактику до нових обставин, визначати необхідність допиту свідків, коригувати аргументацію. </w:t>
      </w:r>
      <w:r w:rsidRPr="00511005">
        <w:rPr>
          <w:rFonts w:ascii="Arial" w:eastAsia="Calibri" w:hAnsi="Arial" w:cs="Arial"/>
          <w:szCs w:val="28"/>
        </w:rPr>
        <w:t>Структура захисної промови повинна бути чіткою, аргументованою, заснованою на знанні справи та психологічному аналізі підзахисного</w:t>
      </w:r>
      <w:r w:rsidRPr="00511005">
        <w:rPr>
          <w:rFonts w:ascii="Arial" w:eastAsia="Calibri" w:hAnsi="Arial" w:cs="Arial"/>
          <w:szCs w:val="28"/>
          <w:lang w:val="uk-UA"/>
        </w:rPr>
        <w:t xml:space="preserve"> </w:t>
      </w:r>
      <w:r w:rsidRPr="00511005">
        <w:rPr>
          <w:rFonts w:ascii="Arial" w:eastAsia="Calibri" w:hAnsi="Arial" w:cs="Arial"/>
          <w:szCs w:val="28"/>
        </w:rPr>
        <w:t>[</w:t>
      </w:r>
      <w:r w:rsidRPr="00511005">
        <w:rPr>
          <w:rFonts w:ascii="Arial" w:eastAsia="Calibri" w:hAnsi="Arial" w:cs="Arial"/>
          <w:szCs w:val="28"/>
          <w:lang w:val="uk-UA"/>
        </w:rPr>
        <w:t>1</w:t>
      </w:r>
      <w:r w:rsidRPr="00511005">
        <w:rPr>
          <w:rFonts w:ascii="Arial" w:eastAsia="Calibri" w:hAnsi="Arial" w:cs="Arial"/>
          <w:szCs w:val="28"/>
        </w:rPr>
        <w:t>].</w:t>
      </w:r>
    </w:p>
    <w:p w14:paraId="09FF5579" w14:textId="4DD6572B"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rPr>
        <w:t>Комунікатив</w:t>
      </w:r>
      <w:r w:rsidRPr="00511005">
        <w:rPr>
          <w:rFonts w:ascii="Arial" w:eastAsia="Calibri" w:hAnsi="Arial" w:cs="Arial"/>
          <w:szCs w:val="28"/>
          <w:lang w:val="uk-UA"/>
        </w:rPr>
        <w:t xml:space="preserve">ний характер адвокатської діяльності вимигає спеціальних навичок, які </w:t>
      </w:r>
      <w:r w:rsidRPr="00511005">
        <w:rPr>
          <w:rFonts w:ascii="Arial" w:eastAsia="Calibri" w:hAnsi="Arial" w:cs="Arial"/>
          <w:szCs w:val="28"/>
        </w:rPr>
        <w:t xml:space="preserve">допомагають глибше аналізувати причини злочину, особистість обвинуваченого, а також будувати правильну тактику у процесі. </w:t>
      </w:r>
      <w:r w:rsidRPr="00511005">
        <w:rPr>
          <w:rFonts w:ascii="Arial" w:eastAsia="Calibri" w:hAnsi="Arial" w:cs="Arial"/>
          <w:szCs w:val="28"/>
          <w:lang w:val="uk-UA"/>
        </w:rPr>
        <w:t xml:space="preserve">В цьому контексті для встановлення довіри з підзахисним важливим є вміння підтримувати психологічний стан клієнта, а заради ефективної взаємодії з представниками судових та правоохоронних органів – уникати конфліктів </w:t>
      </w:r>
      <w:r w:rsidRPr="00511005">
        <w:rPr>
          <w:rFonts w:ascii="Arial" w:eastAsia="Calibri" w:hAnsi="Arial" w:cs="Arial"/>
          <w:szCs w:val="28"/>
        </w:rPr>
        <w:t>[</w:t>
      </w:r>
      <w:r w:rsidRPr="00511005">
        <w:rPr>
          <w:rFonts w:ascii="Arial" w:eastAsia="Calibri" w:hAnsi="Arial" w:cs="Arial"/>
          <w:szCs w:val="28"/>
          <w:lang w:val="uk-UA"/>
        </w:rPr>
        <w:t>1</w:t>
      </w:r>
      <w:r w:rsidRPr="00511005">
        <w:rPr>
          <w:rFonts w:ascii="Arial" w:eastAsia="Calibri" w:hAnsi="Arial" w:cs="Arial"/>
          <w:szCs w:val="28"/>
        </w:rPr>
        <w:t>]</w:t>
      </w:r>
      <w:r w:rsidRPr="00511005">
        <w:rPr>
          <w:rFonts w:ascii="Arial" w:eastAsia="Calibri" w:hAnsi="Arial" w:cs="Arial"/>
          <w:szCs w:val="28"/>
          <w:lang w:val="uk-UA"/>
        </w:rPr>
        <w:t>. Для ефективного спілкування необхідно дотримуватися принципу взаємоповаги,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проявляти уважність та активне слухання, стримувати емоції, враховувати психологічні особливості опонента, а також підтримувати високий рівень культури та такту. </w:t>
      </w:r>
    </w:p>
    <w:p w14:paraId="237EBE74"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На додаток до опису психологічних особливостей професії адвоката слід окремо зупинитися на проблемах високої емоційної напруженості. Суттєвою проблемою є дефіцит часу, оскільки адвокат працює в умовах постійного навантаження та високої інтенсивності через правові строки та необхідність оперативних рішень. Такий ритм діяльності може супроводжується стресом. Крім того, специфіка справ, конфлікти та надзвичайні ситуації можуть призводити до психоемоційного виснаження. Тому, професія адвоката вимагає психологічної стійкості [2]. </w:t>
      </w:r>
    </w:p>
    <w:p w14:paraId="505D2428" w14:textId="1118E1F1"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Не менш важливим чинником є підвищенна відповільність адвоката у своїй</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професійній діяльності. Саме ця якість є визначальною основою для прийняття рішень. І це вагомо впливає на моральний стан та репутацію перед клієнтами, суспільством і колегами [2]. </w:t>
      </w:r>
    </w:p>
    <w:p w14:paraId="2040FF54" w14:textId="650AED7D"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Важливим елементом кримінального процесу є взаємовідносини між адвокатом і прокурором</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у суді, які будуються на дотриманні службової етики, правової тактовності та спільної мети. Адвокат захищає не злочин, а людину </w:t>
      </w:r>
      <w:r w:rsidRPr="00511005">
        <w:rPr>
          <w:rFonts w:ascii="Arial" w:eastAsia="Calibri" w:hAnsi="Arial" w:cs="Arial"/>
          <w:szCs w:val="28"/>
          <w:lang w:val="uk-UA"/>
        </w:rPr>
        <w:lastRenderedPageBreak/>
        <w:t>та її права. Його професійна та психологічна компетентність допомагає уникати судових помилок і захищати законні інтереси обвинуваченого. Гармонійні відносини між прокурором і адвокатом підвищують ефективність судового процесу та сприяють правосуддю [1].</w:t>
      </w:r>
    </w:p>
    <w:p w14:paraId="78900976" w14:textId="618ADB48"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Окремим визначним аспектом є взаємодія адвоката з клієнтом під час дачі показань. Р. С. Бєлкін вважає ефективним методом рефлексивний аналіз допиту: адвокат може поставити себе на місце підзахисного, прогнозувати його реакцію та контролювати хід допиту. На додаток до цього,</w:t>
      </w:r>
      <w:r w:rsidR="007B2628" w:rsidRPr="00511005">
        <w:rPr>
          <w:rFonts w:ascii="Arial" w:eastAsia="Calibri" w:hAnsi="Arial" w:cs="Arial"/>
          <w:szCs w:val="28"/>
          <w:lang w:val="uk-UA"/>
        </w:rPr>
        <w:t xml:space="preserve"> </w:t>
      </w:r>
      <w:r w:rsidRPr="00511005">
        <w:rPr>
          <w:rFonts w:ascii="Arial" w:eastAsia="Calibri" w:hAnsi="Arial" w:cs="Arial"/>
          <w:szCs w:val="28"/>
        </w:rPr>
        <w:t>Я. П. Зейкан застерігає, що запитання слід ставити обережно, аби не зашкодити клієнту</w:t>
      </w:r>
      <w:r w:rsidRPr="00511005">
        <w:rPr>
          <w:rFonts w:ascii="Arial" w:eastAsia="Calibri" w:hAnsi="Arial" w:cs="Arial"/>
          <w:szCs w:val="28"/>
          <w:lang w:val="uk-UA"/>
        </w:rPr>
        <w:t xml:space="preserve"> [3].</w:t>
      </w:r>
    </w:p>
    <w:p w14:paraId="48C7ECCD"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Дискусійним залишається питання про допустимість «слідчих хитрощів». Методи психологічного впливу базуються на закономірностях психічної діяльності людини й можуть застосовуватися як слідчим, так і захисником. </w:t>
      </w:r>
      <w:r w:rsidRPr="00511005">
        <w:rPr>
          <w:rFonts w:ascii="Arial" w:eastAsia="Calibri" w:hAnsi="Arial" w:cs="Arial"/>
          <w:szCs w:val="28"/>
        </w:rPr>
        <w:t>Адвокат повинен не лише використовувати такі прийоми, а й уміти їм протистояти під час слідчих дій [3].</w:t>
      </w:r>
    </w:p>
    <w:p w14:paraId="38D454E8" w14:textId="774808EC"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У той же час д</w:t>
      </w:r>
      <w:r w:rsidRPr="00511005">
        <w:rPr>
          <w:rFonts w:ascii="Arial" w:eastAsia="Calibri" w:hAnsi="Arial" w:cs="Arial"/>
          <w:szCs w:val="28"/>
        </w:rPr>
        <w:t>еякі вчені виступають проти психологічного впливу в кримінальному процесі,</w:t>
      </w:r>
      <w:r w:rsidRPr="00511005">
        <w:rPr>
          <w:rFonts w:ascii="Arial" w:eastAsia="Calibri" w:hAnsi="Arial" w:cs="Arial"/>
          <w:szCs w:val="28"/>
          <w:lang w:val="uk-UA"/>
        </w:rPr>
        <w:t xml:space="preserve"> </w:t>
      </w:r>
      <w:r w:rsidRPr="00511005">
        <w:rPr>
          <w:rFonts w:ascii="Arial" w:eastAsia="Calibri" w:hAnsi="Arial" w:cs="Arial"/>
          <w:szCs w:val="28"/>
        </w:rPr>
        <w:t>інші</w:t>
      </w:r>
      <w:r w:rsidRPr="00511005">
        <w:rPr>
          <w:rFonts w:ascii="Arial" w:eastAsia="Calibri" w:hAnsi="Arial" w:cs="Arial"/>
          <w:szCs w:val="28"/>
          <w:lang w:val="uk-UA"/>
        </w:rPr>
        <w:t xml:space="preserve"> </w:t>
      </w:r>
      <w:r w:rsidRPr="00511005">
        <w:rPr>
          <w:rFonts w:ascii="Arial" w:eastAsia="Calibri" w:hAnsi="Arial" w:cs="Arial"/>
          <w:szCs w:val="28"/>
        </w:rPr>
        <w:t>– вважають його допустимим</w:t>
      </w:r>
      <w:r w:rsidRPr="00511005">
        <w:rPr>
          <w:rFonts w:ascii="Arial" w:eastAsia="Calibri" w:hAnsi="Arial" w:cs="Arial"/>
          <w:szCs w:val="28"/>
          <w:lang w:val="uk-UA"/>
        </w:rPr>
        <w:t xml:space="preserve"> за умови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дотримання</w:t>
      </w:r>
      <w:r w:rsidRPr="00511005">
        <w:rPr>
          <w:rFonts w:ascii="Arial" w:eastAsia="Calibri" w:hAnsi="Arial" w:cs="Arial"/>
          <w:szCs w:val="28"/>
        </w:rPr>
        <w:t xml:space="preserve"> закон</w:t>
      </w:r>
      <w:r w:rsidRPr="00511005">
        <w:rPr>
          <w:rFonts w:ascii="Arial" w:eastAsia="Calibri" w:hAnsi="Arial" w:cs="Arial"/>
          <w:szCs w:val="28"/>
          <w:lang w:val="uk-UA"/>
        </w:rPr>
        <w:t>у</w:t>
      </w:r>
      <w:r w:rsidRPr="00511005">
        <w:rPr>
          <w:rFonts w:ascii="Arial" w:eastAsia="Calibri" w:hAnsi="Arial" w:cs="Arial"/>
          <w:szCs w:val="28"/>
        </w:rPr>
        <w:t xml:space="preserve"> та морал</w:t>
      </w:r>
      <w:r w:rsidRPr="00511005">
        <w:rPr>
          <w:rFonts w:ascii="Arial" w:eastAsia="Calibri" w:hAnsi="Arial" w:cs="Arial"/>
          <w:szCs w:val="28"/>
          <w:lang w:val="uk-UA"/>
        </w:rPr>
        <w:t>і</w:t>
      </w:r>
      <w:r w:rsidRPr="00511005">
        <w:rPr>
          <w:rFonts w:ascii="Arial" w:eastAsia="Calibri" w:hAnsi="Arial" w:cs="Arial"/>
          <w:szCs w:val="28"/>
        </w:rPr>
        <w:t xml:space="preserve">. </w:t>
      </w:r>
      <w:r w:rsidRPr="00511005">
        <w:rPr>
          <w:rFonts w:ascii="Arial" w:eastAsia="Calibri" w:hAnsi="Arial" w:cs="Arial"/>
          <w:szCs w:val="28"/>
          <w:lang w:val="uk-UA"/>
        </w:rPr>
        <w:t xml:space="preserve">У будь-якому випадку, заради збереження свобод та волевиявлення клієнта, </w:t>
      </w:r>
      <w:r w:rsidRPr="00511005">
        <w:rPr>
          <w:rFonts w:ascii="Arial" w:eastAsia="Calibri" w:hAnsi="Arial" w:cs="Arial"/>
          <w:szCs w:val="28"/>
        </w:rPr>
        <w:t>важливо уникати переходу від допустимого психологічного впливу до примусу [4].</w:t>
      </w:r>
    </w:p>
    <w:p w14:paraId="44CA195B"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lang w:val="uk-UA"/>
        </w:rPr>
        <w:t xml:space="preserve">Отже, адвокатська діяльність поєднує юридичну, психологічну та комунікативну складові, а її успіх залежить від професійної підготовки, психологічної культури та вміння адаптувати тактику до обставин справи. </w:t>
      </w:r>
      <w:r w:rsidRPr="00511005">
        <w:rPr>
          <w:rFonts w:ascii="Arial" w:eastAsia="Calibri" w:hAnsi="Arial" w:cs="Arial"/>
          <w:szCs w:val="28"/>
        </w:rPr>
        <w:t xml:space="preserve">Професійна діяльність адвоката вимагає особливих особистісних якостей і стійкості до стресів. </w:t>
      </w:r>
      <w:r w:rsidRPr="00511005">
        <w:rPr>
          <w:rFonts w:ascii="Arial" w:eastAsia="Calibri" w:hAnsi="Arial" w:cs="Arial"/>
          <w:szCs w:val="28"/>
          <w:lang w:val="uk-UA"/>
        </w:rPr>
        <w:t xml:space="preserve">Психологічний аспект, як система цілеспрямованого впливу на особистість або групу людей, є невід’ємною частиною взаємодії учасників судововго процесу. </w:t>
      </w:r>
      <w:r w:rsidRPr="00511005">
        <w:rPr>
          <w:rFonts w:ascii="Arial" w:eastAsia="Calibri" w:hAnsi="Arial" w:cs="Arial"/>
          <w:szCs w:val="28"/>
        </w:rPr>
        <w:t xml:space="preserve">Цей вплив має бути заснований на принципах цілеспрямованості, попереднього вивчення об’єкта впливу, врахування мотивації та моральної адекватності. </w:t>
      </w:r>
    </w:p>
    <w:p w14:paraId="183B8011" w14:textId="008E0537" w:rsidR="00C10374" w:rsidRPr="00511005" w:rsidRDefault="007B2628" w:rsidP="007B2628">
      <w:pPr>
        <w:spacing w:line="264" w:lineRule="auto"/>
        <w:ind w:firstLine="0"/>
        <w:jc w:val="center"/>
        <w:rPr>
          <w:rFonts w:ascii="Arial" w:eastAsia="Calibri" w:hAnsi="Arial" w:cs="Arial"/>
          <w:bCs/>
          <w:szCs w:val="28"/>
          <w:lang w:val="uk-UA"/>
        </w:rPr>
      </w:pPr>
      <w:r w:rsidRPr="00511005">
        <w:rPr>
          <w:rFonts w:ascii="Arial" w:eastAsia="Calibri" w:hAnsi="Arial" w:cs="Arial"/>
          <w:b/>
          <w:szCs w:val="28"/>
          <w:lang w:val="uk-UA"/>
        </w:rPr>
        <w:t>Список використаних джерел</w:t>
      </w:r>
    </w:p>
    <w:p w14:paraId="3DACD502" w14:textId="12997B09" w:rsidR="00C10374" w:rsidRPr="00511005" w:rsidRDefault="00C10374" w:rsidP="003A292D">
      <w:pPr>
        <w:spacing w:line="264" w:lineRule="auto"/>
        <w:ind w:firstLine="0"/>
        <w:rPr>
          <w:rFonts w:ascii="Arial" w:eastAsia="Calibri" w:hAnsi="Arial" w:cs="Arial"/>
          <w:szCs w:val="28"/>
        </w:rPr>
      </w:pPr>
      <w:r w:rsidRPr="00511005">
        <w:rPr>
          <w:rFonts w:ascii="Arial" w:eastAsia="Calibri" w:hAnsi="Arial" w:cs="Arial"/>
          <w:szCs w:val="28"/>
          <w:lang w:val="uk-UA"/>
        </w:rPr>
        <w:t>1.</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Маркіна Л. Л. Конспект лекцій з дисципліни «Юридична психологія» для здобувачів вищої освіти 5 курсу факультету заочного навчання цивільних осіб ННІ ПОЗН / Л. Л. Маркіна. Дніпро : Дніпропетровський державний університет внутрішніх справ, 2016. 234 с. Рецензенти: Батраченко І. Г., Пріснякова Л. М. Режим доступу: </w:t>
      </w:r>
      <w:hyperlink r:id="rId1141" w:history="1">
        <w:r w:rsidRPr="00511005">
          <w:rPr>
            <w:rFonts w:ascii="Arial" w:eastAsia="Calibri" w:hAnsi="Arial" w:cs="Arial"/>
            <w:szCs w:val="28"/>
          </w:rPr>
          <w:t>https</w:t>
        </w:r>
        <w:r w:rsidRPr="00511005">
          <w:rPr>
            <w:rFonts w:ascii="Arial" w:eastAsia="Calibri" w:hAnsi="Arial" w:cs="Arial"/>
            <w:szCs w:val="28"/>
            <w:lang w:val="uk-UA"/>
          </w:rPr>
          <w:t>://</w:t>
        </w:r>
        <w:r w:rsidRPr="00511005">
          <w:rPr>
            <w:rFonts w:ascii="Arial" w:eastAsia="Calibri" w:hAnsi="Arial" w:cs="Arial"/>
            <w:szCs w:val="28"/>
          </w:rPr>
          <w:t>dduvs</w:t>
        </w:r>
        <w:r w:rsidRPr="00511005">
          <w:rPr>
            <w:rFonts w:ascii="Arial" w:eastAsia="Calibri" w:hAnsi="Arial" w:cs="Arial"/>
            <w:szCs w:val="28"/>
            <w:lang w:val="uk-UA"/>
          </w:rPr>
          <w:t>.</w:t>
        </w:r>
        <w:r w:rsidRPr="00511005">
          <w:rPr>
            <w:rFonts w:ascii="Arial" w:eastAsia="Calibri" w:hAnsi="Arial" w:cs="Arial"/>
            <w:szCs w:val="28"/>
          </w:rPr>
          <w:t>edu</w:t>
        </w:r>
        <w:r w:rsidRPr="00511005">
          <w:rPr>
            <w:rFonts w:ascii="Arial" w:eastAsia="Calibri" w:hAnsi="Arial" w:cs="Arial"/>
            <w:szCs w:val="28"/>
            <w:lang w:val="uk-UA"/>
          </w:rPr>
          <w:t>.</w:t>
        </w:r>
        <w:r w:rsidRPr="00511005">
          <w:rPr>
            <w:rFonts w:ascii="Arial" w:eastAsia="Calibri" w:hAnsi="Arial" w:cs="Arial"/>
            <w:szCs w:val="28"/>
          </w:rPr>
          <w:t>ua</w:t>
        </w:r>
        <w:r w:rsidRPr="00511005">
          <w:rPr>
            <w:rFonts w:ascii="Arial" w:eastAsia="Calibri" w:hAnsi="Arial" w:cs="Arial"/>
            <w:szCs w:val="28"/>
            <w:lang w:val="uk-UA"/>
          </w:rPr>
          <w:t>/</w:t>
        </w:r>
        <w:r w:rsidRPr="00511005">
          <w:rPr>
            <w:rFonts w:ascii="Arial" w:eastAsia="Calibri" w:hAnsi="Arial" w:cs="Arial"/>
            <w:szCs w:val="28"/>
          </w:rPr>
          <w:t>wp</w:t>
        </w:r>
        <w:r w:rsidRPr="00511005">
          <w:rPr>
            <w:rFonts w:ascii="Arial" w:eastAsia="Calibri" w:hAnsi="Arial" w:cs="Arial"/>
            <w:szCs w:val="28"/>
            <w:lang w:val="uk-UA"/>
          </w:rPr>
          <w:t>-</w:t>
        </w:r>
        <w:r w:rsidRPr="00511005">
          <w:rPr>
            <w:rFonts w:ascii="Arial" w:eastAsia="Calibri" w:hAnsi="Arial" w:cs="Arial"/>
            <w:szCs w:val="28"/>
          </w:rPr>
          <w:t>content</w:t>
        </w:r>
        <w:r w:rsidRPr="00511005">
          <w:rPr>
            <w:rFonts w:ascii="Arial" w:eastAsia="Calibri" w:hAnsi="Arial" w:cs="Arial"/>
            <w:szCs w:val="28"/>
            <w:lang w:val="uk-UA"/>
          </w:rPr>
          <w:t>/</w:t>
        </w:r>
        <w:r w:rsidRPr="00511005">
          <w:rPr>
            <w:rFonts w:ascii="Arial" w:eastAsia="Calibri" w:hAnsi="Arial" w:cs="Arial"/>
            <w:szCs w:val="28"/>
          </w:rPr>
          <w:t>uploads</w:t>
        </w:r>
        <w:r w:rsidRPr="00511005">
          <w:rPr>
            <w:rFonts w:ascii="Arial" w:eastAsia="Calibri" w:hAnsi="Arial" w:cs="Arial"/>
            <w:szCs w:val="28"/>
            <w:lang w:val="uk-UA"/>
          </w:rPr>
          <w:t>/</w:t>
        </w:r>
        <w:r w:rsidRPr="00511005">
          <w:rPr>
            <w:rFonts w:ascii="Arial" w:eastAsia="Calibri" w:hAnsi="Arial" w:cs="Arial"/>
            <w:szCs w:val="28"/>
          </w:rPr>
          <w:t>files</w:t>
        </w:r>
        <w:r w:rsidRPr="00511005">
          <w:rPr>
            <w:rFonts w:ascii="Arial" w:eastAsia="Calibri" w:hAnsi="Arial" w:cs="Arial"/>
            <w:szCs w:val="28"/>
            <w:lang w:val="uk-UA"/>
          </w:rPr>
          <w:t>/</w:t>
        </w:r>
        <w:r w:rsidRPr="00511005">
          <w:rPr>
            <w:rFonts w:ascii="Arial" w:eastAsia="Calibri" w:hAnsi="Arial" w:cs="Arial"/>
            <w:szCs w:val="28"/>
          </w:rPr>
          <w:t>Structure</w:t>
        </w:r>
        <w:r w:rsidRPr="00511005">
          <w:rPr>
            <w:rFonts w:ascii="Arial" w:eastAsia="Calibri" w:hAnsi="Arial" w:cs="Arial"/>
            <w:szCs w:val="28"/>
            <w:lang w:val="uk-UA"/>
          </w:rPr>
          <w:t>/</w:t>
        </w:r>
        <w:r w:rsidRPr="00511005">
          <w:rPr>
            <w:rFonts w:ascii="Arial" w:eastAsia="Calibri" w:hAnsi="Arial" w:cs="Arial"/>
            <w:szCs w:val="28"/>
          </w:rPr>
          <w:t>library</w:t>
        </w:r>
        <w:r w:rsidRPr="00511005">
          <w:rPr>
            <w:rFonts w:ascii="Arial" w:eastAsia="Calibri" w:hAnsi="Arial" w:cs="Arial"/>
            <w:szCs w:val="28"/>
            <w:lang w:val="uk-UA"/>
          </w:rPr>
          <w:t>/</w:t>
        </w:r>
        <w:r w:rsidRPr="00511005">
          <w:rPr>
            <w:rFonts w:ascii="Arial" w:eastAsia="Calibri" w:hAnsi="Arial" w:cs="Arial"/>
            <w:szCs w:val="28"/>
          </w:rPr>
          <w:t>student</w:t>
        </w:r>
        <w:r w:rsidRPr="00511005">
          <w:rPr>
            <w:rFonts w:ascii="Arial" w:eastAsia="Calibri" w:hAnsi="Arial" w:cs="Arial"/>
            <w:szCs w:val="28"/>
            <w:lang w:val="uk-UA"/>
          </w:rPr>
          <w:t>/</w:t>
        </w:r>
        <w:r w:rsidRPr="00511005">
          <w:rPr>
            <w:rFonts w:ascii="Arial" w:eastAsia="Calibri" w:hAnsi="Arial" w:cs="Arial"/>
            <w:szCs w:val="28"/>
          </w:rPr>
          <w:t>lectures</w:t>
        </w:r>
        <w:r w:rsidRPr="00511005">
          <w:rPr>
            <w:rFonts w:ascii="Arial" w:eastAsia="Calibri" w:hAnsi="Arial" w:cs="Arial"/>
            <w:szCs w:val="28"/>
            <w:lang w:val="uk-UA"/>
          </w:rPr>
          <w:t>/0930/2.1.</w:t>
        </w:r>
        <w:r w:rsidRPr="00511005">
          <w:rPr>
            <w:rFonts w:ascii="Arial" w:eastAsia="Calibri" w:hAnsi="Arial" w:cs="Arial"/>
            <w:szCs w:val="28"/>
          </w:rPr>
          <w:t>pdf</w:t>
        </w:r>
      </w:hyperlink>
      <w:r w:rsidR="007B2628" w:rsidRPr="00511005">
        <w:rPr>
          <w:rFonts w:ascii="Arial" w:eastAsia="Calibri" w:hAnsi="Arial" w:cs="Arial"/>
          <w:szCs w:val="28"/>
          <w:lang w:val="uk-UA"/>
        </w:rPr>
        <w:t xml:space="preserve"> </w:t>
      </w:r>
    </w:p>
    <w:p w14:paraId="2A74767C" w14:textId="33510C16" w:rsidR="00C10374" w:rsidRPr="00511005" w:rsidRDefault="00C10374" w:rsidP="003A292D">
      <w:pPr>
        <w:spacing w:line="264" w:lineRule="auto"/>
        <w:ind w:firstLine="0"/>
        <w:rPr>
          <w:rFonts w:ascii="Arial" w:eastAsia="Calibri" w:hAnsi="Arial" w:cs="Arial"/>
          <w:szCs w:val="28"/>
        </w:rPr>
      </w:pPr>
      <w:r w:rsidRPr="00511005">
        <w:rPr>
          <w:rFonts w:ascii="Arial" w:eastAsia="Calibri" w:hAnsi="Arial" w:cs="Arial"/>
          <w:szCs w:val="28"/>
        </w:rPr>
        <w:t xml:space="preserve">2. Мазур М. Р. Психологічні особливості адвокатської діяльності. </w:t>
      </w:r>
      <w:r w:rsidRPr="00511005">
        <w:rPr>
          <w:rFonts w:ascii="Arial" w:eastAsia="Calibri" w:hAnsi="Arial" w:cs="Arial"/>
          <w:i/>
          <w:szCs w:val="28"/>
        </w:rPr>
        <w:t xml:space="preserve">Науковий вісник Міжнародного гуманітарного університету. </w:t>
      </w:r>
      <w:r w:rsidRPr="00511005">
        <w:rPr>
          <w:rFonts w:ascii="Arial" w:eastAsia="Calibri" w:hAnsi="Arial" w:cs="Arial"/>
          <w:szCs w:val="28"/>
        </w:rPr>
        <w:t xml:space="preserve">Серія: Юриспруденція. 2017. № 27. С. 106–109. Режим доступу: </w:t>
      </w:r>
      <w:hyperlink r:id="rId1142" w:history="1">
        <w:r w:rsidRPr="00511005">
          <w:rPr>
            <w:rFonts w:ascii="Arial" w:eastAsia="Calibri" w:hAnsi="Arial" w:cs="Arial"/>
            <w:szCs w:val="28"/>
          </w:rPr>
          <w:t>https://journals.indexcopernicus.com/api/file/viewByFileId/483193.pdf</w:t>
        </w:r>
      </w:hyperlink>
      <w:r w:rsidR="007B2628" w:rsidRPr="00511005">
        <w:rPr>
          <w:rFonts w:ascii="Arial" w:eastAsia="Calibri" w:hAnsi="Arial" w:cs="Arial"/>
          <w:szCs w:val="28"/>
        </w:rPr>
        <w:t xml:space="preserve"> </w:t>
      </w:r>
    </w:p>
    <w:p w14:paraId="50F234D5"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3. </w:t>
      </w:r>
      <w:r w:rsidRPr="00511005">
        <w:rPr>
          <w:rFonts w:ascii="Arial" w:eastAsia="Calibri" w:hAnsi="Arial" w:cs="Arial"/>
          <w:szCs w:val="28"/>
        </w:rPr>
        <w:t xml:space="preserve">Скрябін О. М. Методи психологічного впливу в діяльності адвоката: специфіка та допустимість застосування. </w:t>
      </w:r>
      <w:r w:rsidRPr="00511005">
        <w:rPr>
          <w:rFonts w:ascii="Arial" w:eastAsia="Calibri" w:hAnsi="Arial" w:cs="Arial"/>
          <w:i/>
          <w:szCs w:val="28"/>
        </w:rPr>
        <w:t xml:space="preserve">Наукові праці </w:t>
      </w:r>
      <w:r w:rsidRPr="00511005">
        <w:rPr>
          <w:rFonts w:ascii="Arial" w:eastAsia="Calibri" w:hAnsi="Arial" w:cs="Arial"/>
          <w:i/>
          <w:szCs w:val="28"/>
        </w:rPr>
        <w:lastRenderedPageBreak/>
        <w:t>Дніпропетровського державного університету внутрішніх справ.</w:t>
      </w:r>
      <w:r w:rsidRPr="00511005">
        <w:rPr>
          <w:rFonts w:ascii="Arial" w:eastAsia="Calibri" w:hAnsi="Arial" w:cs="Arial"/>
          <w:szCs w:val="28"/>
        </w:rPr>
        <w:t xml:space="preserve"> 2018. УДК 343.114. С. 531–535. Режим доступу: </w:t>
      </w:r>
      <w:hyperlink r:id="rId1143" w:history="1">
        <w:r w:rsidRPr="00511005">
          <w:rPr>
            <w:rFonts w:ascii="Arial" w:eastAsia="Calibri" w:hAnsi="Arial" w:cs="Arial"/>
            <w:szCs w:val="28"/>
          </w:rPr>
          <w:t>https://rep.dnuvs.ukr.education/server/api/core/bitstreams/551d4438-ba2b-4296-9f02-cb47b64e5f1d/content</w:t>
        </w:r>
      </w:hyperlink>
      <w:r w:rsidRPr="00511005">
        <w:rPr>
          <w:rFonts w:ascii="Arial" w:eastAsia="Calibri" w:hAnsi="Arial" w:cs="Arial"/>
          <w:szCs w:val="28"/>
        </w:rPr>
        <w:t xml:space="preserve"> </w:t>
      </w:r>
    </w:p>
    <w:p w14:paraId="76E1BBA6" w14:textId="77777777" w:rsidR="00C10374" w:rsidRPr="00511005" w:rsidRDefault="00C10374" w:rsidP="003A292D">
      <w:pPr>
        <w:spacing w:line="264" w:lineRule="auto"/>
        <w:ind w:firstLine="0"/>
        <w:rPr>
          <w:rFonts w:ascii="Arial" w:eastAsia="Calibri" w:hAnsi="Arial" w:cs="Arial"/>
          <w:szCs w:val="28"/>
        </w:rPr>
      </w:pPr>
      <w:r w:rsidRPr="00511005">
        <w:rPr>
          <w:rFonts w:ascii="Arial" w:eastAsia="Calibri" w:hAnsi="Arial" w:cs="Arial"/>
          <w:szCs w:val="28"/>
        </w:rPr>
        <w:t xml:space="preserve">4. Яновська О. Г. Психологічний вплив як чинник ефективної діяльності прокурора та адвоката в змагальному кримінальному судочинстві / О. Г. Яновська. </w:t>
      </w:r>
      <w:r w:rsidRPr="00511005">
        <w:rPr>
          <w:rFonts w:ascii="Arial" w:eastAsia="Calibri" w:hAnsi="Arial" w:cs="Arial"/>
          <w:i/>
          <w:szCs w:val="28"/>
        </w:rPr>
        <w:t>Часопис Київського університету права</w:t>
      </w:r>
      <w:r w:rsidRPr="00511005">
        <w:rPr>
          <w:rFonts w:ascii="Arial" w:eastAsia="Calibri" w:hAnsi="Arial" w:cs="Arial"/>
          <w:szCs w:val="28"/>
        </w:rPr>
        <w:t xml:space="preserve">. 2011. № 3. С. 257–261. </w:t>
      </w:r>
    </w:p>
    <w:p w14:paraId="4CE8BB33" w14:textId="77777777" w:rsidR="00C10374" w:rsidRPr="00511005" w:rsidRDefault="00C10374" w:rsidP="003A292D">
      <w:pPr>
        <w:tabs>
          <w:tab w:val="left" w:pos="1575"/>
        </w:tabs>
        <w:spacing w:line="264" w:lineRule="auto"/>
        <w:ind w:firstLine="0"/>
        <w:rPr>
          <w:rFonts w:ascii="Arial" w:eastAsia="Calibri" w:hAnsi="Arial" w:cs="Arial"/>
          <w:b/>
          <w:szCs w:val="28"/>
          <w:lang w:val="uk-UA"/>
        </w:rPr>
      </w:pPr>
    </w:p>
    <w:p w14:paraId="176282F3" w14:textId="147C1E7D" w:rsidR="00C10374" w:rsidRPr="00511005" w:rsidRDefault="007B2628" w:rsidP="003A292D">
      <w:pPr>
        <w:tabs>
          <w:tab w:val="left" w:pos="1575"/>
        </w:tabs>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кримінальний процес, адвокат, адвокатська діяльність, психологічні особливості,</w:t>
      </w:r>
      <w:r w:rsidRPr="00511005">
        <w:rPr>
          <w:rFonts w:ascii="Arial" w:eastAsia="Calibri" w:hAnsi="Arial" w:cs="Arial"/>
          <w:szCs w:val="28"/>
          <w:lang w:val="uk-UA"/>
        </w:rPr>
        <w:t xml:space="preserve"> </w:t>
      </w:r>
      <w:r w:rsidR="00C10374" w:rsidRPr="00511005">
        <w:rPr>
          <w:rFonts w:ascii="Arial" w:eastAsia="Calibri" w:hAnsi="Arial" w:cs="Arial"/>
          <w:szCs w:val="28"/>
          <w:lang w:val="uk-UA"/>
        </w:rPr>
        <w:t>вплив.</w:t>
      </w:r>
    </w:p>
    <w:p w14:paraId="39465B93" w14:textId="02BBB6A5" w:rsidR="00C10374" w:rsidRPr="00511005" w:rsidRDefault="007B2628" w:rsidP="003A292D">
      <w:pPr>
        <w:tabs>
          <w:tab w:val="left" w:pos="1575"/>
        </w:tabs>
        <w:spacing w:line="264" w:lineRule="auto"/>
        <w:ind w:firstLine="0"/>
        <w:rPr>
          <w:rFonts w:ascii="Arial" w:eastAsia="Calibri" w:hAnsi="Arial" w:cs="Arial"/>
          <w:szCs w:val="28"/>
          <w:lang w:val="en-US"/>
        </w:rPr>
      </w:pPr>
      <w:r w:rsidRPr="00511005">
        <w:rPr>
          <w:rFonts w:ascii="Arial" w:eastAsia="Calibri" w:hAnsi="Arial" w:cs="Arial"/>
          <w:b/>
          <w:i/>
          <w:szCs w:val="28"/>
          <w:lang w:val="en-US"/>
        </w:rPr>
        <w:t xml:space="preserve">Key words: </w:t>
      </w:r>
      <w:r w:rsidR="00C10374" w:rsidRPr="00511005">
        <w:rPr>
          <w:rFonts w:ascii="Arial" w:eastAsia="Calibri" w:hAnsi="Arial" w:cs="Arial"/>
          <w:szCs w:val="28"/>
          <w:lang w:val="en-US"/>
        </w:rPr>
        <w:t>criminal proceeding, attorney, legal practise, psychological features, influence.</w:t>
      </w:r>
    </w:p>
    <w:p w14:paraId="5B33F230" w14:textId="02AD53EB" w:rsidR="00C10374" w:rsidRPr="00511005" w:rsidRDefault="007B2628" w:rsidP="003A292D">
      <w:pPr>
        <w:tabs>
          <w:tab w:val="left" w:pos="1575"/>
        </w:tabs>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C10374" w:rsidRPr="00511005">
        <w:rPr>
          <w:rFonts w:ascii="Arial" w:eastAsia="Calibri" w:hAnsi="Arial" w:cs="Arial"/>
          <w:i/>
          <w:szCs w:val="28"/>
          <w:lang w:val="uk-UA"/>
        </w:rPr>
        <w:t>к.ю.н., доц. Кравченко М. О.</w:t>
      </w:r>
    </w:p>
    <w:p w14:paraId="72DF08D4" w14:textId="77777777" w:rsidR="00C10374" w:rsidRPr="00511005" w:rsidRDefault="00C10374" w:rsidP="003A292D">
      <w:pPr>
        <w:tabs>
          <w:tab w:val="left" w:pos="1575"/>
        </w:tabs>
        <w:spacing w:line="264" w:lineRule="auto"/>
        <w:ind w:firstLine="0"/>
        <w:rPr>
          <w:rFonts w:ascii="Arial" w:eastAsia="Calibri" w:hAnsi="Arial" w:cs="Arial"/>
          <w:i/>
          <w:szCs w:val="28"/>
          <w:lang w:val="uk-UA"/>
        </w:rPr>
      </w:pPr>
    </w:p>
    <w:p w14:paraId="7162B4B5" w14:textId="77777777" w:rsidR="00C10374" w:rsidRPr="00511005" w:rsidRDefault="00C10374" w:rsidP="003A292D">
      <w:pPr>
        <w:tabs>
          <w:tab w:val="left" w:pos="1575"/>
        </w:tabs>
        <w:spacing w:line="264" w:lineRule="auto"/>
        <w:ind w:firstLine="0"/>
        <w:rPr>
          <w:rFonts w:ascii="Arial" w:eastAsia="Calibri" w:hAnsi="Arial" w:cs="Arial"/>
          <w:i/>
          <w:szCs w:val="28"/>
          <w:lang w:val="uk-UA"/>
        </w:rPr>
      </w:pPr>
    </w:p>
    <w:p w14:paraId="4ABAF19D" w14:textId="77777777" w:rsidR="00C10374" w:rsidRPr="00511005" w:rsidRDefault="00C10374" w:rsidP="0052789C">
      <w:pPr>
        <w:spacing w:line="264" w:lineRule="auto"/>
        <w:ind w:firstLine="0"/>
        <w:jc w:val="center"/>
        <w:rPr>
          <w:rFonts w:ascii="Arial" w:eastAsia="Calibri" w:hAnsi="Arial" w:cs="Arial"/>
          <w:szCs w:val="28"/>
        </w:rPr>
      </w:pPr>
      <w:r w:rsidRPr="00511005">
        <w:rPr>
          <w:rFonts w:ascii="Arial" w:eastAsia="Calibri" w:hAnsi="Arial" w:cs="Arial"/>
          <w:b/>
          <w:bCs/>
          <w:i/>
          <w:iCs/>
          <w:szCs w:val="28"/>
        </w:rPr>
        <w:t>Мельник Діана Володимирівна</w:t>
      </w:r>
    </w:p>
    <w:p w14:paraId="00D3DDD8" w14:textId="085554C2" w:rsidR="00C10374" w:rsidRPr="00511005" w:rsidRDefault="00536AAB" w:rsidP="0052789C">
      <w:pPr>
        <w:spacing w:line="264" w:lineRule="auto"/>
        <w:ind w:firstLine="0"/>
        <w:jc w:val="center"/>
        <w:rPr>
          <w:rFonts w:ascii="Arial" w:eastAsia="Calibri" w:hAnsi="Arial" w:cs="Arial"/>
          <w:szCs w:val="28"/>
        </w:rPr>
      </w:pPr>
      <w:r w:rsidRPr="00511005">
        <w:rPr>
          <w:rFonts w:ascii="Arial" w:eastAsia="Calibri" w:hAnsi="Arial" w:cs="Arial"/>
          <w:szCs w:val="28"/>
        </w:rPr>
        <w:t>студент</w:t>
      </w:r>
      <w:r w:rsidR="0052789C">
        <w:rPr>
          <w:rFonts w:ascii="Arial" w:eastAsia="Calibri" w:hAnsi="Arial" w:cs="Arial"/>
          <w:szCs w:val="28"/>
          <w:lang w:val="uk-UA"/>
        </w:rPr>
        <w:t>ка</w:t>
      </w:r>
      <w:r w:rsidRPr="00511005">
        <w:rPr>
          <w:rFonts w:ascii="Arial" w:eastAsia="Calibri" w:hAnsi="Arial" w:cs="Arial"/>
          <w:szCs w:val="28"/>
        </w:rPr>
        <w:t xml:space="preserve"> 2-го курсу факультету адвокатури та антикорупційної діяльності</w:t>
      </w:r>
      <w:r w:rsidR="00C10374" w:rsidRPr="00511005">
        <w:rPr>
          <w:rFonts w:ascii="Arial" w:eastAsia="Calibri" w:hAnsi="Arial" w:cs="Arial"/>
          <w:szCs w:val="28"/>
        </w:rPr>
        <w:br/>
      </w:r>
      <w:r w:rsidR="007B2628" w:rsidRPr="00511005">
        <w:rPr>
          <w:rFonts w:ascii="Arial" w:eastAsia="Calibri" w:hAnsi="Arial" w:cs="Arial"/>
          <w:szCs w:val="28"/>
        </w:rPr>
        <w:t>Національного університету «Одеська юридична академія»</w:t>
      </w:r>
    </w:p>
    <w:p w14:paraId="5AF257B9" w14:textId="77777777" w:rsidR="00C10374" w:rsidRPr="00511005" w:rsidRDefault="00C10374" w:rsidP="0052789C">
      <w:pPr>
        <w:spacing w:line="264" w:lineRule="auto"/>
        <w:ind w:firstLine="0"/>
        <w:jc w:val="center"/>
        <w:rPr>
          <w:rFonts w:ascii="Arial" w:eastAsia="Calibri" w:hAnsi="Arial" w:cs="Arial"/>
          <w:szCs w:val="28"/>
        </w:rPr>
      </w:pPr>
    </w:p>
    <w:p w14:paraId="1E1C2D27" w14:textId="77777777" w:rsidR="00C10374" w:rsidRPr="00511005" w:rsidRDefault="00C10374" w:rsidP="0052789C">
      <w:pPr>
        <w:spacing w:line="264" w:lineRule="auto"/>
        <w:ind w:firstLine="0"/>
        <w:jc w:val="center"/>
        <w:rPr>
          <w:rFonts w:ascii="Arial" w:eastAsia="Calibri" w:hAnsi="Arial" w:cs="Arial"/>
          <w:b/>
          <w:bCs/>
          <w:szCs w:val="28"/>
        </w:rPr>
      </w:pPr>
      <w:r w:rsidRPr="00511005">
        <w:rPr>
          <w:rFonts w:ascii="Arial" w:eastAsia="Calibri" w:hAnsi="Arial" w:cs="Arial"/>
          <w:b/>
          <w:bCs/>
          <w:szCs w:val="28"/>
        </w:rPr>
        <w:t xml:space="preserve">АДВОКАТСЬКА ДІЯЛЬНІСТЬ В УМОВАХ ВІЙНИ: ВИКЛИКИ ТА ПЕРСПЕКТИВИ </w:t>
      </w:r>
    </w:p>
    <w:p w14:paraId="39FCE10C" w14:textId="77777777" w:rsidR="00C10374" w:rsidRPr="00511005" w:rsidRDefault="00C10374" w:rsidP="0052789C">
      <w:pPr>
        <w:spacing w:line="264" w:lineRule="auto"/>
        <w:ind w:firstLine="0"/>
        <w:rPr>
          <w:rFonts w:ascii="Arial" w:eastAsia="Calibri" w:hAnsi="Arial" w:cs="Arial"/>
          <w:szCs w:val="28"/>
        </w:rPr>
      </w:pPr>
    </w:p>
    <w:p w14:paraId="355265D2"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Війна — це не лише випробування для держави, армії та суспільства загалом, а й серйозний виклик для правової системи. В умовах війни право стає не менш важливим, ніж зброя. І в центрі цього правового фронту перебуває адвокат — захисник прав, свобод і законних інтересів людини. Українські адвокати, як і все суспільство, зіштовхнулися з безпрецедентними труднощами після повномасштабного вторгнення росії в Україну. Їхня професійна діяльність набула нових сенсів, а водночас — і нових ризиків. </w:t>
      </w:r>
    </w:p>
    <w:p w14:paraId="351908AC"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Одним з найочевидніших викликів є фізична небезпека. Адвокати, як і всі громадяни, стають жертвами обстрілів, окупації, евакуації. У багатьох випадках вони змушені залишати місця своєї професійної діяльності, переміщатися або ж працювати в умовах постійної загрози життю. Робота в зоні бойових дій або на тимчасово окупованих територіях часто неможлива або надзвичайно ускладнена.</w:t>
      </w:r>
    </w:p>
    <w:p w14:paraId="1C6E9118"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В умовах війни порушується нормальна діяльність судової системи: зруйновані або евакуйовані суди, призупинено розгляд справ, немає належного доступу до процесуальних документів, електронних реєстрів. Це істотно ускладнює здійснення правосуддя, а адвокатам заважає ефективно виконувати свої функції — особливо в кримінальних та адміністративних процесах. Проблемою стало зокрема представництво інтересів фізичних і </w:t>
      </w:r>
      <w:r w:rsidRPr="00511005">
        <w:rPr>
          <w:rFonts w:ascii="Arial" w:eastAsia="Calibri" w:hAnsi="Arial" w:cs="Arial"/>
          <w:szCs w:val="28"/>
        </w:rPr>
        <w:lastRenderedPageBreak/>
        <w:t>юридичних осіб у процесах цивільного, господарського та адміністративного судочинства. Ця проблема значною мірою пов'язана з тим, що на сьогодні українські суди умовно поділяються на дві категорії: суди, які не можуть функціонувати, та суди, що працюють у звичайному режимі. Щодо перших, йдеться про суди, територіальна підсудність яких була змінена за розпорядженням Голови Верховного Суду. Станом на березень 2022 року таких судів налічувалося 128 [1], але вже у квітні-травні 30 з них (переважно з Житомирської, Київської, Чернігівської та Сумської областей) відновили свою діяльність за попередньою підсудністю [2].</w:t>
      </w:r>
    </w:p>
    <w:p w14:paraId="58C0FAB1"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Під час війни зростає кількість випадків порушення прав людини — незаконні затримання, катування, примусова мобілізація, воєнні злочини, зникнення безвісти. Адвокати мають справу з великою кількістю таких справ, однак часто стикаються з безсиллям системи або відсутністю механізмів впливу на ситуацію.</w:t>
      </w:r>
    </w:p>
    <w:p w14:paraId="7E5E423F"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До того ж в адвокатській практиці виникла проблема, пов'язана з процесом ознайомлення з матеріалами справи. Часто трапляється, що адвокат (представник), розпочавши ознайомлення в канцелярії суду, змушений залишити приміщення через оголошення повітряної тривоги. Здавалося б, логічно було б продовжити ознайомлення після завершення тривоги, як це роблять у більшості судів. Проте на практиці бувають випадки, коли адвокату (представнику) відмовляють у продовженні ознайомлення і вимагають повторного подання клопотання та запису на ознайомлення.</w:t>
      </w:r>
    </w:p>
    <w:p w14:paraId="012064F3"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Справжнім порятунком для адвокатів у умовах війни та змін територіальної підсудності судів стала Єдина судова інформаційно-телекомунікаційна система «Електронний суд». Ця система дозволяє адвокатам подавати документи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xml:space="preserve"> в електронному форматі, а також отримувати процесуальні документи в електронному вигляді, паралельно з паперовими, відповідно до процесуального законодавства. Адвокати можуть надсилати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xml:space="preserve"> будь-які документи та матеріали, передбачені законодавством, в електронному форматі. Крім того, «Електронний суд» надає можливість дистанційно ознайомлюватися з матеріалами справи, що є зручним рішенням для адвокатів, які представляють інтереси клієнтів у умовах війни, постійних тривог та змін територіальної підсудності [3].</w:t>
      </w:r>
    </w:p>
    <w:p w14:paraId="52CD6DB5"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В умовах війни особливо гостро постає питання професійної етики. Наприклад, чи повинен адвокат захищати особу, яку підозрюють у державній зраді? Як зберігати баланс між національними інтересами та захистом прав конкретної людини? Такі ситуації вимагають не лише професіоналізму, а й моральної зрілості та сміливості.</w:t>
      </w:r>
    </w:p>
    <w:p w14:paraId="2DF691C5"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Комунікаційні труднощі можуть виникати через психологічний стан клієнта, який може бути дезорієнтованим або перебувати в стресі. Адвокат повинен враховувати цей стан і пояснювати правові аспекти справи так, щоб </w:t>
      </w:r>
      <w:r w:rsidRPr="00511005">
        <w:rPr>
          <w:rFonts w:ascii="Arial" w:eastAsia="Calibri" w:hAnsi="Arial" w:cs="Arial"/>
          <w:szCs w:val="28"/>
        </w:rPr>
        <w:lastRenderedPageBreak/>
        <w:t xml:space="preserve">клієнт чітко розумів свої права та можливості. Окрім надання юридичної допомоги, адвокат також має підтримувати клієнтів морально [4, с. 792]. </w:t>
      </w:r>
    </w:p>
    <w:p w14:paraId="67430FC6"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Перспективи адвокатської професії в післявоєнний період</w:t>
      </w:r>
    </w:p>
    <w:p w14:paraId="12C11DA3"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1. Переосмислення ролі адвокатури. Війна вже продемонструвала, що адвокат — не лише процесуальна фігура, а й активний учасник боротьби за права людини, за правду та справедливість. У майбутньому адвокатура може стати ключовим гравцем у сфері перехідного правосуддя, документування воєнних злочинів, відшкодування збитків потерпілим.</w:t>
      </w:r>
    </w:p>
    <w:p w14:paraId="159AAF9D"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2. Зміцнення правової спільноти. Адвокати активно об'єднуються в професійні спільноти, долучаються до волонтерських ініціатив, допомагають ЗСУ, займаються евакуацією людей, супроводжують справи біженців. Це свідчить про зростання солідарності й самосвідомості в межах професії.</w:t>
      </w:r>
    </w:p>
    <w:p w14:paraId="6A4FD2C1"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3. Інтеграція в міжнародну правову спільноту. Українські адвокати дедалі активніше взаємодіють з міжнародними правозахисними структурами. Багато хто проходить стажування за кордоном, працює над справами в ЄСПЛ, Міжнародному кримінальному суді тощо. Це відкриває нові можливості для професійного зростання та міжнародної співпраці.</w:t>
      </w:r>
    </w:p>
    <w:p w14:paraId="13552336"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4. Діджиталізація адвокатської діяльності. Війна прискорила діджиталізацію правової сфери. Онлайн-засідання, електронні документи, дистанційна правова допомога — усе це стало частиною нової реальності, до якої адвокати пристосувалися досить швидко. Ці тенденції залишаться актуальними й у майбутньому.</w:t>
      </w:r>
    </w:p>
    <w:p w14:paraId="44349413"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5. Формування нової етики. Після війни зміниться не лише юридична практика, а й сам дух професії. Війна породжує нові вимоги до адвоката — бути не лише фахівцем, а й громадянином, лідером думок, моральним авторитетом у суспільстві.</w:t>
      </w:r>
    </w:p>
    <w:p w14:paraId="3021855B"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Отже, адвокатська діяльність в умовах війни — це виклик, але й можливість. Можливість для перетворення професії, її оновлення, зміцнення довіри суспільства. Адвокати, які залишаються вірними присязі навіть в найтемніші часи, — це приклад професійної честі, сили духу й відданості закону. Майбутнє української адвокатури — це не лише відновлення, а й еволюція. У цій еволюції закладено надію на сильну, справедливу й гуманну правову державу.</w:t>
      </w:r>
    </w:p>
    <w:p w14:paraId="1105AF7B" w14:textId="77777777" w:rsidR="00C10374" w:rsidRPr="00511005" w:rsidRDefault="00C10374" w:rsidP="003A292D">
      <w:pPr>
        <w:spacing w:line="264" w:lineRule="auto"/>
        <w:rPr>
          <w:rFonts w:ascii="Arial" w:eastAsia="Calibri" w:hAnsi="Arial" w:cs="Arial"/>
          <w:szCs w:val="28"/>
        </w:rPr>
      </w:pPr>
    </w:p>
    <w:p w14:paraId="2229B6BC" w14:textId="12A44951" w:rsidR="00C10374" w:rsidRPr="00511005" w:rsidRDefault="007B2628" w:rsidP="007B2628">
      <w:pPr>
        <w:spacing w:line="264" w:lineRule="auto"/>
        <w:jc w:val="center"/>
        <w:rPr>
          <w:rFonts w:ascii="Arial" w:eastAsia="Calibri" w:hAnsi="Arial" w:cs="Arial"/>
          <w:szCs w:val="28"/>
        </w:rPr>
      </w:pPr>
      <w:r w:rsidRPr="00511005">
        <w:rPr>
          <w:rFonts w:ascii="Arial" w:eastAsia="Calibri" w:hAnsi="Arial" w:cs="Arial"/>
          <w:b/>
          <w:bCs/>
          <w:szCs w:val="28"/>
          <w:lang w:val="uk-UA"/>
        </w:rPr>
        <w:t>Список використаних джерел</w:t>
      </w:r>
    </w:p>
    <w:p w14:paraId="355414DA" w14:textId="77777777" w:rsidR="00C10374" w:rsidRPr="00511005" w:rsidRDefault="00C10374" w:rsidP="003F6A5D">
      <w:pPr>
        <w:numPr>
          <w:ilvl w:val="0"/>
          <w:numId w:val="311"/>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Перелік судів, територіальну підсудність яких було змінено у зв’язку з неможливістю здійснювати правосуддя під час воєнного стану. </w:t>
      </w:r>
      <w:r w:rsidRPr="00511005">
        <w:rPr>
          <w:rFonts w:ascii="Arial" w:eastAsia="Times New Roman" w:hAnsi="Arial" w:cs="Arial"/>
          <w:i/>
          <w:iCs/>
          <w:szCs w:val="28"/>
          <w:lang w:val="uk-UA" w:eastAsia="ru-RU"/>
        </w:rPr>
        <w:t>ВЕРХОВНИЙ СУД</w:t>
      </w:r>
      <w:r w:rsidRPr="00511005">
        <w:rPr>
          <w:rFonts w:ascii="Arial" w:eastAsia="Times New Roman" w:hAnsi="Arial" w:cs="Arial"/>
          <w:szCs w:val="28"/>
          <w:lang w:val="uk-UA" w:eastAsia="ru-RU"/>
        </w:rPr>
        <w:t>. URL: </w:t>
      </w:r>
      <w:hyperlink r:id="rId1144" w:tgtFrame="_blank" w:history="1">
        <w:r w:rsidRPr="00511005">
          <w:rPr>
            <w:rFonts w:ascii="Arial" w:eastAsia="Times New Roman" w:hAnsi="Arial" w:cs="Arial"/>
            <w:szCs w:val="28"/>
            <w:lang w:val="uk-UA" w:eastAsia="ru-RU"/>
          </w:rPr>
          <w:t>https://supreme.court.gov.ua/userfiles/media/new_folder_for_uploads/supreme/rozporyadjennya/Zagalna_tablica_sudiv_02_09_2024.pdf</w:t>
        </w:r>
      </w:hyperlink>
      <w:r w:rsidRPr="00511005">
        <w:rPr>
          <w:rFonts w:ascii="Arial" w:eastAsia="Times New Roman" w:hAnsi="Arial" w:cs="Arial"/>
          <w:szCs w:val="28"/>
          <w:lang w:val="uk-UA" w:eastAsia="ru-RU"/>
        </w:rPr>
        <w:t> (дата звернення: 08.04.2025).</w:t>
      </w:r>
    </w:p>
    <w:p w14:paraId="75B0BEC4" w14:textId="77777777" w:rsidR="00C10374" w:rsidRPr="00511005" w:rsidRDefault="00C10374" w:rsidP="003F6A5D">
      <w:pPr>
        <w:numPr>
          <w:ilvl w:val="0"/>
          <w:numId w:val="311"/>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Перелік судів, територіальну підсудність яких відновлено. </w:t>
      </w:r>
      <w:r w:rsidRPr="00511005">
        <w:rPr>
          <w:rFonts w:ascii="Arial" w:eastAsia="Times New Roman" w:hAnsi="Arial" w:cs="Arial"/>
          <w:i/>
          <w:iCs/>
          <w:szCs w:val="28"/>
          <w:lang w:val="uk-UA" w:eastAsia="ru-RU"/>
        </w:rPr>
        <w:t>ВЕРХОВНИЙ СУД</w:t>
      </w:r>
      <w:r w:rsidRPr="00511005">
        <w:rPr>
          <w:rFonts w:ascii="Arial" w:eastAsia="Times New Roman" w:hAnsi="Arial" w:cs="Arial"/>
          <w:szCs w:val="28"/>
          <w:lang w:val="uk-UA" w:eastAsia="ru-RU"/>
        </w:rPr>
        <w:t>. URL: </w:t>
      </w:r>
      <w:hyperlink r:id="rId1145" w:tgtFrame="_blank" w:history="1">
        <w:r w:rsidRPr="00511005">
          <w:rPr>
            <w:rFonts w:ascii="Arial" w:eastAsia="Times New Roman" w:hAnsi="Arial" w:cs="Arial"/>
            <w:szCs w:val="28"/>
            <w:lang w:val="uk-UA" w:eastAsia="ru-RU"/>
          </w:rPr>
          <w:t>https://supreme.court.gov.ua/supreme/gromadyanam/terutor_pidsudnist/</w:t>
        </w:r>
      </w:hyperlink>
      <w:r w:rsidRPr="00511005">
        <w:rPr>
          <w:rFonts w:ascii="Arial" w:eastAsia="Times New Roman" w:hAnsi="Arial" w:cs="Arial"/>
          <w:szCs w:val="28"/>
          <w:lang w:val="uk-UA" w:eastAsia="ru-RU"/>
        </w:rPr>
        <w:t> (дата звернення: 08.04.2025).</w:t>
      </w:r>
    </w:p>
    <w:p w14:paraId="189361A9" w14:textId="77777777" w:rsidR="00C10374" w:rsidRPr="00511005" w:rsidRDefault="00C10374" w:rsidP="003F6A5D">
      <w:pPr>
        <w:numPr>
          <w:ilvl w:val="0"/>
          <w:numId w:val="311"/>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https://jurliga.ligazakon.net/. "Електронний суд": практичний досвід користувача | ЮРЛІГА. </w:t>
      </w:r>
      <w:r w:rsidRPr="00511005">
        <w:rPr>
          <w:rFonts w:ascii="Arial" w:eastAsia="Times New Roman" w:hAnsi="Arial" w:cs="Arial"/>
          <w:i/>
          <w:iCs/>
          <w:szCs w:val="28"/>
          <w:lang w:val="uk-UA" w:eastAsia="ru-RU"/>
        </w:rPr>
        <w:t>ЮРЛІГА</w:t>
      </w:r>
      <w:r w:rsidRPr="00511005">
        <w:rPr>
          <w:rFonts w:ascii="Arial" w:eastAsia="Times New Roman" w:hAnsi="Arial" w:cs="Arial"/>
          <w:szCs w:val="28"/>
          <w:lang w:val="uk-UA" w:eastAsia="ru-RU"/>
        </w:rPr>
        <w:t>. URL: </w:t>
      </w:r>
      <w:hyperlink r:id="rId1146" w:tgtFrame="_blank" w:history="1">
        <w:r w:rsidRPr="00511005">
          <w:rPr>
            <w:rFonts w:ascii="Arial" w:eastAsia="Times New Roman" w:hAnsi="Arial" w:cs="Arial"/>
            <w:szCs w:val="28"/>
            <w:lang w:val="uk-UA" w:eastAsia="ru-RU"/>
          </w:rPr>
          <w:t>https://jurliga.ligazakon.net/news/225650_elektronniy-sud-praktichniy-dosvd-koristuvacha</w:t>
        </w:r>
      </w:hyperlink>
      <w:r w:rsidRPr="00511005">
        <w:rPr>
          <w:rFonts w:ascii="Arial" w:eastAsia="Times New Roman" w:hAnsi="Arial" w:cs="Arial"/>
          <w:szCs w:val="28"/>
          <w:lang w:val="uk-UA" w:eastAsia="ru-RU"/>
        </w:rPr>
        <w:t> (дата звернення: 08.04.2025).</w:t>
      </w:r>
    </w:p>
    <w:p w14:paraId="69165EFE" w14:textId="77777777" w:rsidR="00C10374" w:rsidRPr="00511005" w:rsidRDefault="00C10374" w:rsidP="003F6A5D">
      <w:pPr>
        <w:numPr>
          <w:ilvl w:val="0"/>
          <w:numId w:val="311"/>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Yena I. V. Peculiarities and challenges of lawyer communication in the conditions of martial law in Ukraine. </w:t>
      </w:r>
      <w:r w:rsidRPr="00511005">
        <w:rPr>
          <w:rFonts w:ascii="Arial" w:eastAsia="Times New Roman" w:hAnsi="Arial" w:cs="Arial"/>
          <w:i/>
          <w:iCs/>
          <w:szCs w:val="28"/>
          <w:lang w:val="uk-UA" w:eastAsia="ru-RU"/>
        </w:rPr>
        <w:t>Analytical and Comparative Jurisprudence</w:t>
      </w:r>
      <w:r w:rsidRPr="00511005">
        <w:rPr>
          <w:rFonts w:ascii="Arial" w:eastAsia="Times New Roman" w:hAnsi="Arial" w:cs="Arial"/>
          <w:szCs w:val="28"/>
          <w:lang w:val="uk-UA" w:eastAsia="ru-RU"/>
        </w:rPr>
        <w:t>. 2025. № 1. С. 789–793. URL: </w:t>
      </w:r>
      <w:hyperlink r:id="rId1147" w:tgtFrame="_blank" w:history="1">
        <w:r w:rsidRPr="00511005">
          <w:rPr>
            <w:rFonts w:ascii="Arial" w:eastAsia="Times New Roman" w:hAnsi="Arial" w:cs="Arial"/>
            <w:szCs w:val="28"/>
            <w:lang w:val="uk-UA" w:eastAsia="ru-RU"/>
          </w:rPr>
          <w:t>https://doi.org/10.24144/2788-6018.2025.01.131</w:t>
        </w:r>
      </w:hyperlink>
      <w:r w:rsidRPr="00511005">
        <w:rPr>
          <w:rFonts w:ascii="Arial" w:eastAsia="Times New Roman" w:hAnsi="Arial" w:cs="Arial"/>
          <w:szCs w:val="28"/>
          <w:lang w:val="uk-UA" w:eastAsia="ru-RU"/>
        </w:rPr>
        <w:t> (дата звернення: 08.04.2025).</w:t>
      </w:r>
    </w:p>
    <w:p w14:paraId="1A4724DF" w14:textId="77777777" w:rsidR="00C10374" w:rsidRPr="00511005" w:rsidRDefault="00C10374" w:rsidP="003A292D">
      <w:pPr>
        <w:spacing w:line="264" w:lineRule="auto"/>
        <w:rPr>
          <w:rFonts w:ascii="Arial" w:eastAsia="Calibri" w:hAnsi="Arial" w:cs="Arial"/>
          <w:b/>
          <w:bCs/>
          <w:szCs w:val="28"/>
          <w:lang w:val="en-US"/>
        </w:rPr>
      </w:pPr>
    </w:p>
    <w:p w14:paraId="365E3662" w14:textId="39D4F6A5" w:rsidR="00C10374" w:rsidRPr="00511005" w:rsidRDefault="007B2628" w:rsidP="003A292D">
      <w:pPr>
        <w:spacing w:line="264" w:lineRule="auto"/>
        <w:rPr>
          <w:rFonts w:ascii="Arial" w:eastAsia="Calibri" w:hAnsi="Arial" w:cs="Arial"/>
          <w:b/>
          <w:bCs/>
          <w:szCs w:val="28"/>
        </w:rPr>
      </w:pPr>
      <w:r w:rsidRPr="00511005">
        <w:rPr>
          <w:rFonts w:ascii="Arial" w:eastAsia="Calibri" w:hAnsi="Arial" w:cs="Arial"/>
          <w:b/>
          <w:bCs/>
          <w:i/>
          <w:szCs w:val="28"/>
        </w:rPr>
        <w:t xml:space="preserve">Ключові слова: </w:t>
      </w:r>
      <w:r w:rsidR="00C10374" w:rsidRPr="00511005">
        <w:rPr>
          <w:rFonts w:ascii="Arial" w:eastAsia="Calibri" w:hAnsi="Arial" w:cs="Arial"/>
          <w:szCs w:val="28"/>
        </w:rPr>
        <w:t>адвокатська діяльність</w:t>
      </w:r>
      <w:r w:rsidR="00C10374" w:rsidRPr="00511005">
        <w:rPr>
          <w:rFonts w:ascii="Arial" w:eastAsia="Calibri" w:hAnsi="Arial" w:cs="Arial"/>
          <w:b/>
          <w:bCs/>
          <w:szCs w:val="28"/>
        </w:rPr>
        <w:t xml:space="preserve">, </w:t>
      </w:r>
      <w:r w:rsidR="00C10374" w:rsidRPr="00511005">
        <w:rPr>
          <w:rFonts w:ascii="Arial" w:eastAsia="Calibri" w:hAnsi="Arial" w:cs="Arial"/>
          <w:szCs w:val="28"/>
        </w:rPr>
        <w:t>війна</w:t>
      </w:r>
      <w:r w:rsidR="00C10374" w:rsidRPr="00511005">
        <w:rPr>
          <w:rFonts w:ascii="Arial" w:eastAsia="Calibri" w:hAnsi="Arial" w:cs="Arial"/>
          <w:b/>
          <w:bCs/>
          <w:szCs w:val="28"/>
        </w:rPr>
        <w:t xml:space="preserve">, </w:t>
      </w:r>
      <w:r w:rsidR="00C10374" w:rsidRPr="00511005">
        <w:rPr>
          <w:rFonts w:ascii="Arial" w:eastAsia="Calibri" w:hAnsi="Arial" w:cs="Arial"/>
          <w:szCs w:val="28"/>
        </w:rPr>
        <w:t>професійна етика</w:t>
      </w:r>
      <w:r w:rsidR="00C10374" w:rsidRPr="00511005">
        <w:rPr>
          <w:rFonts w:ascii="Arial" w:eastAsia="Calibri" w:hAnsi="Arial" w:cs="Arial"/>
          <w:b/>
          <w:bCs/>
          <w:szCs w:val="28"/>
        </w:rPr>
        <w:t xml:space="preserve">, </w:t>
      </w:r>
      <w:r w:rsidR="00C10374" w:rsidRPr="00511005">
        <w:rPr>
          <w:rFonts w:ascii="Arial" w:eastAsia="Calibri" w:hAnsi="Arial" w:cs="Arial"/>
          <w:szCs w:val="28"/>
        </w:rPr>
        <w:t>судова система</w:t>
      </w:r>
      <w:r w:rsidR="00C10374" w:rsidRPr="00511005">
        <w:rPr>
          <w:rFonts w:ascii="Arial" w:eastAsia="Calibri" w:hAnsi="Arial" w:cs="Arial"/>
          <w:b/>
          <w:bCs/>
          <w:szCs w:val="28"/>
        </w:rPr>
        <w:t xml:space="preserve">, </w:t>
      </w:r>
      <w:r w:rsidR="00C10374" w:rsidRPr="00511005">
        <w:rPr>
          <w:rFonts w:ascii="Arial" w:eastAsia="Calibri" w:hAnsi="Arial" w:cs="Arial"/>
          <w:szCs w:val="28"/>
        </w:rPr>
        <w:t>воєнні злочини, правова допомога</w:t>
      </w:r>
      <w:r w:rsidR="00C10374" w:rsidRPr="00511005">
        <w:rPr>
          <w:rFonts w:ascii="Arial" w:eastAsia="Calibri" w:hAnsi="Arial" w:cs="Arial"/>
          <w:b/>
          <w:bCs/>
          <w:szCs w:val="28"/>
        </w:rPr>
        <w:t xml:space="preserve">, </w:t>
      </w:r>
      <w:r w:rsidR="00C10374" w:rsidRPr="00511005">
        <w:rPr>
          <w:rFonts w:ascii="Arial" w:eastAsia="Calibri" w:hAnsi="Arial" w:cs="Arial"/>
          <w:szCs w:val="28"/>
        </w:rPr>
        <w:t>правова держава.</w:t>
      </w:r>
    </w:p>
    <w:p w14:paraId="5759305B" w14:textId="78F4C5E1" w:rsidR="00C10374"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bCs/>
          <w:i/>
          <w:szCs w:val="28"/>
          <w:lang w:val="en-US"/>
        </w:rPr>
        <w:t xml:space="preserve">Key words: </w:t>
      </w:r>
      <w:r w:rsidR="00C10374" w:rsidRPr="00511005">
        <w:rPr>
          <w:rFonts w:ascii="Arial" w:eastAsia="Calibri" w:hAnsi="Arial" w:cs="Arial"/>
          <w:szCs w:val="28"/>
          <w:lang w:val="en-US"/>
        </w:rPr>
        <w:t>advocacy, war, professional ethics, judicial system, war crimes, legal aid, rule of law.</w:t>
      </w:r>
    </w:p>
    <w:p w14:paraId="13A0FC56" w14:textId="17BC8BD8" w:rsidR="00C10374" w:rsidRPr="00511005" w:rsidRDefault="007B2628" w:rsidP="003A292D">
      <w:pPr>
        <w:spacing w:line="264" w:lineRule="auto"/>
        <w:rPr>
          <w:rFonts w:ascii="Arial" w:eastAsia="Calibri" w:hAnsi="Arial" w:cs="Arial"/>
          <w:i/>
          <w:iCs/>
          <w:szCs w:val="28"/>
        </w:rPr>
      </w:pPr>
      <w:r w:rsidRPr="00511005">
        <w:rPr>
          <w:rFonts w:ascii="Arial" w:eastAsia="Calibri" w:hAnsi="Arial" w:cs="Arial"/>
          <w:b/>
          <w:i/>
          <w:iCs/>
          <w:szCs w:val="28"/>
        </w:rPr>
        <w:t xml:space="preserve">Науковий керівник: </w:t>
      </w:r>
      <w:r w:rsidR="00C10374" w:rsidRPr="00511005">
        <w:rPr>
          <w:rFonts w:ascii="Arial" w:eastAsia="Calibri" w:hAnsi="Arial" w:cs="Arial"/>
          <w:i/>
          <w:iCs/>
          <w:szCs w:val="28"/>
        </w:rPr>
        <w:t>старший викладач кафедри Курганський О.В.</w:t>
      </w:r>
    </w:p>
    <w:p w14:paraId="21FD2A96" w14:textId="77777777" w:rsidR="00C10374" w:rsidRPr="00511005" w:rsidRDefault="00C10374" w:rsidP="003A292D">
      <w:pPr>
        <w:spacing w:line="264" w:lineRule="auto"/>
        <w:rPr>
          <w:rFonts w:ascii="Arial" w:eastAsia="Calibri" w:hAnsi="Arial" w:cs="Arial"/>
          <w:i/>
          <w:iCs/>
          <w:szCs w:val="28"/>
        </w:rPr>
      </w:pPr>
    </w:p>
    <w:p w14:paraId="085790F1" w14:textId="77777777" w:rsidR="00C10374" w:rsidRPr="00511005" w:rsidRDefault="00C10374" w:rsidP="003A292D">
      <w:pPr>
        <w:spacing w:line="264" w:lineRule="auto"/>
        <w:rPr>
          <w:rFonts w:ascii="Arial" w:eastAsia="Calibri" w:hAnsi="Arial" w:cs="Arial"/>
          <w:i/>
          <w:iCs/>
          <w:szCs w:val="28"/>
        </w:rPr>
      </w:pPr>
    </w:p>
    <w:p w14:paraId="29A3B4D8" w14:textId="4CA157E3" w:rsidR="00C10374" w:rsidRPr="00511005" w:rsidRDefault="00C10374"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Мостовий Вадим Валерійович</w:t>
      </w:r>
    </w:p>
    <w:p w14:paraId="085D9365" w14:textId="16F87766" w:rsidR="00C10374" w:rsidRPr="00511005" w:rsidRDefault="00BE3972"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 1-го курсу </w:t>
      </w:r>
      <w:r w:rsidR="001B7B25" w:rsidRPr="00511005">
        <w:rPr>
          <w:rFonts w:ascii="Arial" w:eastAsia="Calibri" w:hAnsi="Arial" w:cs="Arial"/>
          <w:szCs w:val="28"/>
          <w:lang w:val="uk-UA"/>
        </w:rPr>
        <w:t>факультету судового та міжнародного права</w:t>
      </w:r>
    </w:p>
    <w:p w14:paraId="08EC43C4" w14:textId="6A224EAD" w:rsidR="00C10374"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6AF060E9" w14:textId="77777777" w:rsidR="00C10374" w:rsidRPr="00511005" w:rsidRDefault="00C10374" w:rsidP="003A292D">
      <w:pPr>
        <w:spacing w:line="264" w:lineRule="auto"/>
        <w:ind w:firstLine="0"/>
        <w:rPr>
          <w:rFonts w:ascii="Arial" w:eastAsia="Calibri" w:hAnsi="Arial" w:cs="Arial"/>
          <w:szCs w:val="28"/>
          <w:lang w:val="uk-UA"/>
        </w:rPr>
      </w:pPr>
    </w:p>
    <w:p w14:paraId="22C2B904" w14:textId="77777777" w:rsidR="00C10374" w:rsidRPr="00511005" w:rsidRDefault="00C10374" w:rsidP="003A292D">
      <w:pPr>
        <w:spacing w:line="264" w:lineRule="auto"/>
        <w:ind w:firstLine="0"/>
        <w:jc w:val="center"/>
        <w:rPr>
          <w:rFonts w:ascii="Arial" w:eastAsia="Calibri" w:hAnsi="Arial" w:cs="Arial"/>
          <w:b/>
          <w:szCs w:val="28"/>
        </w:rPr>
      </w:pPr>
      <w:r w:rsidRPr="00511005">
        <w:rPr>
          <w:rFonts w:ascii="Arial" w:eastAsia="Calibri" w:hAnsi="Arial" w:cs="Arial"/>
          <w:b/>
          <w:szCs w:val="28"/>
        </w:rPr>
        <w:t>ІНФОРМАЦІЙНА ТРАНСФОРМАЦІЯ СУДОУСТРОЮ, ПРАВООХОРОННОЇ СФЕРИ ТА ІНСТИТУТУ АДВОКАТУРИ В УКРАЇНІ</w:t>
      </w:r>
    </w:p>
    <w:p w14:paraId="2340975C" w14:textId="77777777" w:rsidR="00C10374" w:rsidRPr="00511005" w:rsidRDefault="00C10374" w:rsidP="003A292D">
      <w:pPr>
        <w:spacing w:line="264" w:lineRule="auto"/>
        <w:ind w:firstLine="0"/>
        <w:jc w:val="center"/>
        <w:rPr>
          <w:rFonts w:ascii="Arial" w:eastAsia="Calibri" w:hAnsi="Arial" w:cs="Arial"/>
          <w:b/>
          <w:szCs w:val="28"/>
        </w:rPr>
      </w:pPr>
    </w:p>
    <w:p w14:paraId="7FFB7424"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Відповідно до положень «Стратегії сталого розвитку “Україна – 2020” (далі – Стратегія), одним із ключових напрямів визначено впровадження європейських стандартів життя та виведення держави на провідні світові позиції шляхом масштабного реформування основних сфер суспільного функціонування, серед яких важливе місце займає правоохоронний сектор [1]. </w:t>
      </w:r>
    </w:p>
    <w:p w14:paraId="6CA39378"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Аналізуючи пріоритети цієї Стратегії, можна стверджувати, що трансформація системи органів правопорядку та судоустрою є не лише актуальним завданням, а й визначеним напрямом державної політики. Зокрема, ця реформа входить до переліку 62 базових змін, розподілених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чотирьох векторів національного розвитку. Водночас зазначений документ не враховує темпи цифрового прогресу, які дедалі частіше визначають характер змін у практичному вимірі. Інакше кажучи, технічна й цифрова еволюція в державі випереджає темпи осмислення її значення в стратегічному плануванні. Україна вже закріпила за собою статус </w:t>
      </w:r>
      <w:r w:rsidRPr="00511005">
        <w:rPr>
          <w:rFonts w:ascii="Arial" w:eastAsia="Calibri" w:hAnsi="Arial" w:cs="Arial"/>
          <w:szCs w:val="28"/>
        </w:rPr>
        <w:lastRenderedPageBreak/>
        <w:t xml:space="preserve">інноваційного лідера у деяких напрямах: наприклад, вона стала першою державою у світі, яка офіційно прирівняла електронний паспорт до фізичного, а також увійшла до переліку перших чотирьох країн, де водійське посвідчення стало доступним у цифровому форматі. Ці досягнення є лише верхівкою масштабного процесу цифрової трансформації, який охоплює практично всі сфери суспільного устрою, зокрема і судоустрій, правоохоронну діяльність та адвокатуру. </w:t>
      </w:r>
    </w:p>
    <w:p w14:paraId="5A5D4F50"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Як зазначає Ю. Тимошенко, створення державної платформи «Дія», запуск Єдиної судової інформаційно-телекомунікаційної системи (ЄСІТС), інтеграція програмного забезпечення для проведення дистанційних судових засідань "EasyCon", а також функціонування електронного кримінального провадження eCase MS - усе це є свідченням системного впровадження цифрових рішень у сферу правосуддя та досудового слідства [2, с. 41–42].</w:t>
      </w:r>
    </w:p>
    <w:p w14:paraId="48B89F7B"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На думку І. Солончука, стрімкий розвиток ІТ-технологій, безперечно, відкриває нові горизонти для оптимізації структури судоустрою. Зокрема, технології дозволяють мінімізувати вплив людського чинника там, де він є небажаним або потенційно корупціогенним. Традиційна уява про суддів як моральних авторитетів із високим рівнем професіоналізму нині доповнюється потребою у прозорих автоматизованих процесах, які б унеможливлювали маніпуляції чи необґрунтоване втручання. У цьому контексті потенціал штучного інтелекту, який поступово впроваджується у правову практику, має значення не як альтернатива судді, а як інструмент підтримки прийняття об'єктивних рішень і цифрового порядку в судовій інфраструктурі [3, с. 49].</w:t>
      </w:r>
    </w:p>
    <w:p w14:paraId="6DCB0F57"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Як підкреслює О.Д. Жученко, інформаційна трансформація правоохоронних органів України є також важливою складовою загального курсу на цифровізацію державного управління. Правоохоронна система активно модернізується під впливом стрімкого розвитку інформаційно-комунікаційних технологій, що призводить до зміни її функціональної моделі, структури та взаємодії з громадянами. Цифрові інструменти істотно посилюють ефективність і прозорість роботи органів правопорядку, дозволяючи не лише покращити адміністративну діяльність, але й вивести на новий рівень боротьбу з сучасними загрозами, насамперед з кіберзлочинністю та шахрайством у цифровому середовищі. Інтеграція аналітичних платформ, систем збору та обробки цифрових доказів, а також технологій захисту інформації дозволяє суттєво економити ресурси, мінімізуючи ризики несанкціонованого доступу до даних. Сучасна цифрова криміналістика, включаючи такі напрями, як хмарні обчислення, постійно вдосконалюється та адаптується до технологічного середовища. У той же час цифрова трансформація сприяє активнішій комунікації між поліцією та громадськістю: через розширення онлайн-сервісів, багатоканальне інформування, чат-боти та інструменти штучного інтелекту значно </w:t>
      </w:r>
      <w:r w:rsidRPr="00511005">
        <w:rPr>
          <w:rFonts w:ascii="Arial" w:eastAsia="Calibri" w:hAnsi="Arial" w:cs="Arial"/>
          <w:szCs w:val="28"/>
        </w:rPr>
        <w:lastRenderedPageBreak/>
        <w:t>підвищується рівень залучення громадян у процес підтримання правопорядку. Такі підходи лежать в основі новітніх концепцій, що передбачають функціонування «електронної поліції», «віртуальної дільниці» та інших елементів цифрового врядування [4, с. 60–62].</w:t>
      </w:r>
    </w:p>
    <w:p w14:paraId="22187EC2" w14:textId="77777777" w:rsidR="00C10374" w:rsidRPr="00511005" w:rsidRDefault="00C10374" w:rsidP="003A292D">
      <w:pPr>
        <w:spacing w:line="264" w:lineRule="auto"/>
        <w:ind w:firstLine="720"/>
        <w:rPr>
          <w:rFonts w:ascii="Arial" w:eastAsia="Calibri" w:hAnsi="Arial" w:cs="Arial"/>
          <w:szCs w:val="28"/>
        </w:rPr>
      </w:pPr>
      <w:r w:rsidRPr="00511005">
        <w:rPr>
          <w:rFonts w:ascii="Arial" w:eastAsia="Calibri" w:hAnsi="Arial" w:cs="Arial"/>
          <w:szCs w:val="28"/>
        </w:rPr>
        <w:t xml:space="preserve">І.І. Комарницька </w:t>
      </w:r>
      <w:r w:rsidRPr="00511005">
        <w:rPr>
          <w:rFonts w:ascii="Arial" w:eastAsia="Calibri" w:hAnsi="Arial" w:cs="Arial"/>
          <w:szCs w:val="28"/>
          <w:lang w:val="uk-UA"/>
        </w:rPr>
        <w:t xml:space="preserve">зазначає </w:t>
      </w:r>
      <w:r w:rsidRPr="00511005">
        <w:rPr>
          <w:rFonts w:ascii="Arial" w:eastAsia="Calibri" w:hAnsi="Arial" w:cs="Arial"/>
          <w:szCs w:val="28"/>
        </w:rPr>
        <w:t>що цифрові трансформаційні процеси охоплюють і сферу адвокатури. Використання сучасних технологій стає запорукою підвищення якості правової допомоги, її доступності та оперативності. До головних напрямів цифровізації адвокатської практики належать: електронний документообіг, застосування соціальних медіа для комунікації та формування професійного іміджу, залучення штучного інтелекту до аналізу великих обсягів правової інформації, активне використання відеозв’язку для взаємодії з клієнтами, а також віртуальні моделі моделювання судових процесів і доступ до правових баз даних. У межах цифровізації адвокатської діяльності можна виокремити три ключові рівні: перший - автоматизація юридичних послуг шляхом впровадження сервісів, які спрощують доступ до консультацій та забезпечують ефективну підтримку громадян; другий - побудова цифрового середовища для функціонування адвокатської спільноти, зокрема супроводу судових процесів; третій - інформатизація інституцій адвокатського самоврядування та Національної асоціації адвокатів України як інструмент внутрішньої ефективності. Проте цифровізація висуває і нові вимоги: йдеться насамперед про захист персональних даних, дотримання конфіденційності клієнтів і необхідність адаптації нормативно-правової бази [5, с. 244–245].</w:t>
      </w:r>
    </w:p>
    <w:p w14:paraId="20C39F96" w14:textId="77777777" w:rsidR="00C10374" w:rsidRPr="00511005" w:rsidRDefault="00C10374" w:rsidP="003A292D">
      <w:pPr>
        <w:spacing w:line="264" w:lineRule="auto"/>
        <w:rPr>
          <w:rFonts w:ascii="Arial" w:eastAsia="Times New Roman" w:hAnsi="Arial" w:cs="Arial"/>
          <w:szCs w:val="28"/>
          <w:lang w:val="uk-UA"/>
        </w:rPr>
      </w:pPr>
      <w:r w:rsidRPr="00511005">
        <w:rPr>
          <w:rFonts w:ascii="Arial" w:eastAsia="Calibri" w:hAnsi="Arial" w:cs="Arial"/>
          <w:szCs w:val="28"/>
          <w:lang w:val="uk-UA"/>
        </w:rPr>
        <w:t xml:space="preserve">Отже, </w:t>
      </w:r>
      <w:r w:rsidRPr="00511005">
        <w:rPr>
          <w:rFonts w:ascii="Arial" w:eastAsia="Times New Roman" w:hAnsi="Arial" w:cs="Arial"/>
          <w:szCs w:val="28"/>
        </w:rPr>
        <w:t>інформаційна трансформація судоустрою, правоохоронної системи та адвокатури в Україні є закономірною відповіддю на виклики сучасного цифрового світу та складовою ширшої стратегії сталого розвитку держави. Сучасні технології дедалі глибше інтегруються в правову сферу, істотно змінюючи її інфраструктуру, функціональні механізми та взаємодію з громадянами. Завдяки цифровим інструментам підвищується прозорість судового процесу, оперативність слідчих дій, доступність правової допомоги, а також загальна ефективність правозастосовної діяльності. Запровадження таких рішень, як електронне кримінальне провадження, дистанційні судові засідання, інтелектуальний аналіз даних та онлайн-сервіси для адвокатів, свідчить про поступовий перехід до нової моделі цифрової правової держави.</w:t>
      </w:r>
      <w:r w:rsidRPr="00511005">
        <w:rPr>
          <w:rFonts w:ascii="Arial" w:eastAsia="Times New Roman" w:hAnsi="Arial" w:cs="Arial"/>
          <w:szCs w:val="28"/>
          <w:lang w:val="uk-UA"/>
        </w:rPr>
        <w:t xml:space="preserve"> Разом з тим, активна цифровізація висуває нові вимоги до професійної підготовки фахівців правової сфери, зокрема щодо цифрової компетентності, кібербезпеки та етичного використання інноваційних технологій. Таким чином, цифрова трансформація не тільки модернізує наявні інститути, але й вимагає осмисленої адаптації правового регулювання до нових реалій, забезпечуючи баланс між технологічним прогресом та принципами правової державності.</w:t>
      </w:r>
    </w:p>
    <w:p w14:paraId="0BCDFF6F" w14:textId="77777777" w:rsidR="00C10374" w:rsidRPr="00511005" w:rsidRDefault="00C10374" w:rsidP="003A292D">
      <w:pPr>
        <w:keepNext/>
        <w:tabs>
          <w:tab w:val="left" w:pos="4836"/>
        </w:tabs>
        <w:spacing w:line="264" w:lineRule="auto"/>
        <w:jc w:val="center"/>
        <w:rPr>
          <w:rFonts w:ascii="Arial" w:eastAsia="Calibri" w:hAnsi="Arial" w:cs="Arial"/>
          <w:b/>
          <w:i/>
          <w:szCs w:val="28"/>
          <w:lang w:val="uk-UA"/>
        </w:rPr>
      </w:pPr>
    </w:p>
    <w:p w14:paraId="78CCF2CD" w14:textId="085F8D22" w:rsidR="00C10374" w:rsidRPr="00511005" w:rsidRDefault="007B2628" w:rsidP="007B2628">
      <w:pPr>
        <w:keepNext/>
        <w:tabs>
          <w:tab w:val="left" w:pos="4836"/>
        </w:tabs>
        <w:spacing w:line="264" w:lineRule="auto"/>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698BAC7D" w14:textId="77777777" w:rsidR="00C10374" w:rsidRPr="00511005" w:rsidRDefault="00C10374" w:rsidP="003F6A5D">
      <w:pPr>
        <w:numPr>
          <w:ilvl w:val="0"/>
          <w:numId w:val="312"/>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 Стратегію сталого розвитку «Україна – 2020». Указ Президента України від 12.01.2015 № 5/2015. </w:t>
      </w:r>
      <w:r w:rsidRPr="00511005">
        <w:rPr>
          <w:rFonts w:ascii="Arial" w:eastAsia="Times New Roman" w:hAnsi="Arial" w:cs="Arial"/>
          <w:i/>
          <w:szCs w:val="28"/>
          <w:lang w:val="uk-UA" w:eastAsia="ru-RU"/>
        </w:rPr>
        <w:t>Офіційний вісник Президента України</w:t>
      </w:r>
      <w:r w:rsidRPr="00511005">
        <w:rPr>
          <w:rFonts w:ascii="Arial" w:eastAsia="Times New Roman" w:hAnsi="Arial" w:cs="Arial"/>
          <w:szCs w:val="28"/>
          <w:lang w:val="uk-UA" w:eastAsia="ru-RU"/>
        </w:rPr>
        <w:t xml:space="preserve">. 2015. № 2. С. 14. Ст. 154.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148" w:anchor="Text" w:tgtFrame="_new" w:history="1">
        <w:r w:rsidRPr="00511005">
          <w:rPr>
            <w:rFonts w:ascii="Arial" w:eastAsia="Times New Roman" w:hAnsi="Arial" w:cs="Arial"/>
            <w:szCs w:val="28"/>
            <w:lang w:val="uk-UA" w:eastAsia="ru-RU"/>
          </w:rPr>
          <w:t>https://zakon.rada.gov.ua/laws/show/5/2015#Text</w:t>
        </w:r>
      </w:hyperlink>
    </w:p>
    <w:p w14:paraId="2E6527BB" w14:textId="77777777" w:rsidR="00C10374" w:rsidRPr="00511005" w:rsidRDefault="00C10374" w:rsidP="003F6A5D">
      <w:pPr>
        <w:numPr>
          <w:ilvl w:val="0"/>
          <w:numId w:val="312"/>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Тимошенко Ю. Кисленко Д. Правоохоронна система в епоху діджиталізації. </w:t>
      </w:r>
      <w:r w:rsidRPr="00511005">
        <w:rPr>
          <w:rFonts w:ascii="Arial" w:eastAsia="Times New Roman" w:hAnsi="Arial" w:cs="Arial"/>
          <w:i/>
          <w:szCs w:val="28"/>
          <w:lang w:val="uk-UA" w:eastAsia="ru-RU"/>
        </w:rPr>
        <w:t>Наукові праці Міжрегіональної академії управління персоналом.</w:t>
      </w:r>
      <w:r w:rsidRPr="00511005">
        <w:rPr>
          <w:rFonts w:ascii="Arial" w:eastAsia="Times New Roman" w:hAnsi="Arial" w:cs="Arial"/>
          <w:szCs w:val="28"/>
          <w:lang w:val="uk-UA" w:eastAsia="ru-RU"/>
        </w:rPr>
        <w:t xml:space="preserve"> Юридичні науки. 2020. Вип. 1 (59). С. 40–45. </w:t>
      </w:r>
      <w:r w:rsidRPr="00511005">
        <w:rPr>
          <w:rFonts w:ascii="Arial" w:eastAsia="Times New Roman" w:hAnsi="Arial" w:cs="Arial"/>
          <w:szCs w:val="28"/>
          <w:lang w:val="pl-PL" w:eastAsia="ru-RU"/>
        </w:rPr>
        <w:t>URL: https://journals.maup.com.ua/index.php/law/article/view/1236/1735</w:t>
      </w:r>
    </w:p>
    <w:p w14:paraId="79B1EF1F" w14:textId="77777777" w:rsidR="00C10374" w:rsidRPr="00511005" w:rsidRDefault="00C10374" w:rsidP="003F6A5D">
      <w:pPr>
        <w:numPr>
          <w:ilvl w:val="0"/>
          <w:numId w:val="312"/>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Солончук І. Цифрова трансформація. Впровадження технологій Інтернету речей (IoT) у сфері судочинства. Інтернет речей. </w:t>
      </w:r>
      <w:r w:rsidRPr="00511005">
        <w:rPr>
          <w:rFonts w:ascii="Arial" w:eastAsia="Times New Roman" w:hAnsi="Arial" w:cs="Arial"/>
          <w:i/>
          <w:szCs w:val="28"/>
          <w:lang w:val="uk-UA" w:eastAsia="ru-RU"/>
        </w:rPr>
        <w:t>Теоретико-правові та практичні аспекти впровадження в умовах Європейської інтеграції. Матеріали Всеукр. наук.-практ. конф.</w:t>
      </w:r>
      <w:r w:rsidRPr="00511005">
        <w:rPr>
          <w:rFonts w:ascii="Arial" w:eastAsia="Times New Roman" w:hAnsi="Arial" w:cs="Arial"/>
          <w:szCs w:val="28"/>
          <w:lang w:val="uk-UA" w:eastAsia="ru-RU"/>
        </w:rPr>
        <w:t xml:space="preserve"> (29.04.2021. м. Київ). Упоряд. Баранов О.А. Головко О.М. Дубняк М.В. Київ. КПІ ім. Ігоря Сікорського. 2021. С. 46–50. URL:https://www.researchgate.net/profile/Mariia-Dubniak/publication/387368345</w:t>
      </w:r>
    </w:p>
    <w:p w14:paraId="3A2F6F53" w14:textId="77777777" w:rsidR="00C10374" w:rsidRPr="00511005" w:rsidRDefault="00C10374" w:rsidP="003F6A5D">
      <w:pPr>
        <w:numPr>
          <w:ilvl w:val="0"/>
          <w:numId w:val="312"/>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Жученко О.</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Д. Вплив сучасних інформаційних технологій на діяльність правоохоронних органів. Основні тенденції та ризики. </w:t>
      </w:r>
      <w:r w:rsidRPr="00511005">
        <w:rPr>
          <w:rFonts w:ascii="Arial" w:eastAsia="Times New Roman" w:hAnsi="Arial" w:cs="Arial"/>
          <w:i/>
          <w:szCs w:val="28"/>
          <w:lang w:val="uk-UA" w:eastAsia="ru-RU"/>
        </w:rPr>
        <w:t>Науковий вісник Ужгородського національного університету</w:t>
      </w:r>
      <w:r w:rsidRPr="00511005">
        <w:rPr>
          <w:rFonts w:ascii="Arial" w:eastAsia="Times New Roman" w:hAnsi="Arial" w:cs="Arial"/>
          <w:szCs w:val="28"/>
          <w:lang w:val="uk-UA" w:eastAsia="ru-RU"/>
        </w:rPr>
        <w:t>. Серія. Право. 2024. Вип. 86. Ч. 5. С. 59–65.</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visnyk</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juris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uzhnu</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com</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wp</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content</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uploads</w:t>
      </w:r>
      <w:r w:rsidRPr="00511005">
        <w:rPr>
          <w:rFonts w:ascii="Arial" w:eastAsia="Times New Roman" w:hAnsi="Arial" w:cs="Arial"/>
          <w:szCs w:val="28"/>
          <w:lang w:eastAsia="ru-RU"/>
        </w:rPr>
        <w:t>/2025/01/10-4.</w:t>
      </w:r>
      <w:r w:rsidRPr="00511005">
        <w:rPr>
          <w:rFonts w:ascii="Arial" w:eastAsia="Times New Roman" w:hAnsi="Arial" w:cs="Arial"/>
          <w:szCs w:val="28"/>
          <w:lang w:val="en-US" w:eastAsia="ru-RU"/>
        </w:rPr>
        <w:t>pdf</w:t>
      </w:r>
    </w:p>
    <w:p w14:paraId="48CE8EC1" w14:textId="77777777" w:rsidR="00C10374" w:rsidRPr="00511005" w:rsidRDefault="00C10374" w:rsidP="003F6A5D">
      <w:pPr>
        <w:numPr>
          <w:ilvl w:val="0"/>
          <w:numId w:val="312"/>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Комарницька І.</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І. Цифровізація та інформаційні технології у професійній діяльності адвоката в сучасних умовах. </w:t>
      </w:r>
      <w:r w:rsidRPr="00511005">
        <w:rPr>
          <w:rFonts w:ascii="Arial" w:eastAsia="Times New Roman" w:hAnsi="Arial" w:cs="Arial"/>
          <w:i/>
          <w:szCs w:val="28"/>
          <w:lang w:val="uk-UA" w:eastAsia="ru-RU"/>
        </w:rPr>
        <w:t>Аналітично-порівняльне правознавство</w:t>
      </w:r>
      <w:r w:rsidRPr="00511005">
        <w:rPr>
          <w:rFonts w:ascii="Arial" w:eastAsia="Times New Roman" w:hAnsi="Arial" w:cs="Arial"/>
          <w:szCs w:val="28"/>
          <w:lang w:val="uk-UA" w:eastAsia="ru-RU"/>
        </w:rPr>
        <w:t>. Електронне наукове видання. 2024. С. 243–247. URL</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hyperlink r:id="rId1149" w:history="1">
        <w:r w:rsidRPr="00511005">
          <w:rPr>
            <w:rFonts w:ascii="Arial" w:eastAsia="Times New Roman" w:hAnsi="Arial" w:cs="Arial"/>
            <w:szCs w:val="28"/>
            <w:lang w:val="en-US" w:eastAsia="ru-RU"/>
          </w:rPr>
          <w:t>http</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journal</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app</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uzhnu</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edu</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article</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view</w:t>
        </w:r>
        <w:r w:rsidRPr="00511005">
          <w:rPr>
            <w:rFonts w:ascii="Arial" w:eastAsia="Times New Roman" w:hAnsi="Arial" w:cs="Arial"/>
            <w:szCs w:val="28"/>
            <w:lang w:eastAsia="ru-RU"/>
          </w:rPr>
          <w:t>/316974/307479</w:t>
        </w:r>
      </w:hyperlink>
    </w:p>
    <w:p w14:paraId="37476685" w14:textId="37FA9161" w:rsidR="00C10374" w:rsidRPr="00511005" w:rsidRDefault="007B2628" w:rsidP="003A292D">
      <w:pPr>
        <w:keepNext/>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цифровізація, судоустрій, правоохоронна система, адвокатура, електронне правосуддя, інформаційні технології, штучний інтелект, електронні сервіси, кібербезпека, правова трансформація.</w:t>
      </w:r>
    </w:p>
    <w:p w14:paraId="4934BF14" w14:textId="0C7AC457" w:rsidR="00C10374" w:rsidRPr="00511005" w:rsidRDefault="007B2628" w:rsidP="003A292D">
      <w:pPr>
        <w:keepNext/>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C10374" w:rsidRPr="00511005">
        <w:rPr>
          <w:rFonts w:ascii="Arial" w:eastAsia="Calibri" w:hAnsi="Arial" w:cs="Arial"/>
          <w:szCs w:val="28"/>
          <w:lang w:val="en-US"/>
        </w:rPr>
        <w:t>digitalization, judicial system, law enforcement, advocacy, e-justice, information technologies, artificial intelligence, electronic services, cybersecurity, legal transformation.</w:t>
      </w:r>
    </w:p>
    <w:p w14:paraId="0793360A" w14:textId="77777777" w:rsidR="00C10374" w:rsidRPr="00511005" w:rsidRDefault="00C10374" w:rsidP="003A292D">
      <w:pPr>
        <w:keepNext/>
        <w:spacing w:line="264" w:lineRule="auto"/>
        <w:rPr>
          <w:rFonts w:ascii="Arial" w:eastAsia="Calibri" w:hAnsi="Arial" w:cs="Arial"/>
          <w:bCs/>
          <w:szCs w:val="28"/>
          <w:lang w:val="uk-UA"/>
        </w:rPr>
      </w:pPr>
    </w:p>
    <w:p w14:paraId="358CD3F5" w14:textId="3556EA3E" w:rsidR="00C10374" w:rsidRPr="00511005" w:rsidRDefault="007B2628" w:rsidP="003A292D">
      <w:pPr>
        <w:spacing w:line="264" w:lineRule="auto"/>
        <w:rPr>
          <w:rFonts w:ascii="Arial" w:eastAsia="Calibri" w:hAnsi="Arial" w:cs="Arial"/>
          <w:i/>
          <w:szCs w:val="28"/>
          <w:lang w:val="uk-UA"/>
        </w:rPr>
      </w:pPr>
      <w:r w:rsidRPr="00511005">
        <w:rPr>
          <w:rFonts w:ascii="Arial" w:eastAsia="Calibri" w:hAnsi="Arial" w:cs="Arial"/>
          <w:b/>
          <w:i/>
          <w:iCs/>
          <w:szCs w:val="28"/>
          <w:lang w:val="uk-UA"/>
        </w:rPr>
        <w:t xml:space="preserve">Науковий керівник: </w:t>
      </w:r>
      <w:r w:rsidR="00C10374" w:rsidRPr="00511005">
        <w:rPr>
          <w:rFonts w:ascii="Arial" w:eastAsia="Calibri" w:hAnsi="Arial" w:cs="Arial"/>
          <w:i/>
          <w:szCs w:val="28"/>
          <w:lang w:val="uk-UA"/>
        </w:rPr>
        <w:t xml:space="preserve">старший викладач </w:t>
      </w:r>
      <w:r w:rsidR="00C10374" w:rsidRPr="00511005">
        <w:rPr>
          <w:rFonts w:ascii="Arial" w:eastAsia="Calibri" w:hAnsi="Arial" w:cs="Arial"/>
          <w:bCs/>
          <w:i/>
          <w:iCs/>
          <w:szCs w:val="28"/>
          <w:lang w:val="uk-UA"/>
        </w:rPr>
        <w:t>Нестерчук Л.П.</w:t>
      </w:r>
    </w:p>
    <w:p w14:paraId="76AC2BED" w14:textId="77777777" w:rsidR="00C10374" w:rsidRPr="00511005" w:rsidRDefault="00C10374" w:rsidP="003A292D">
      <w:pPr>
        <w:spacing w:line="264" w:lineRule="auto"/>
        <w:rPr>
          <w:rFonts w:ascii="Arial" w:eastAsia="Calibri" w:hAnsi="Arial" w:cs="Arial"/>
          <w:bCs/>
          <w:szCs w:val="28"/>
        </w:rPr>
      </w:pPr>
    </w:p>
    <w:p w14:paraId="461E1FB4" w14:textId="77777777" w:rsidR="00C10374" w:rsidRPr="00511005" w:rsidRDefault="00C10374" w:rsidP="003A292D">
      <w:pPr>
        <w:tabs>
          <w:tab w:val="left" w:pos="1575"/>
        </w:tabs>
        <w:spacing w:line="264" w:lineRule="auto"/>
        <w:ind w:firstLine="0"/>
        <w:rPr>
          <w:rFonts w:ascii="Arial" w:eastAsia="Calibri" w:hAnsi="Arial" w:cs="Arial"/>
          <w:i/>
          <w:szCs w:val="28"/>
          <w:lang w:val="uk-UA"/>
        </w:rPr>
      </w:pPr>
    </w:p>
    <w:p w14:paraId="74CE2A4C" w14:textId="77777777" w:rsidR="00C10374" w:rsidRPr="00511005" w:rsidRDefault="00C10374"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Муха Вероніка Юріївна</w:t>
      </w:r>
    </w:p>
    <w:p w14:paraId="24399B06" w14:textId="37B10906" w:rsidR="00C10374" w:rsidRPr="00511005" w:rsidRDefault="00C10374"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3C5E59" w:rsidRPr="00511005">
        <w:rPr>
          <w:rFonts w:ascii="Arial" w:eastAsia="Calibri" w:hAnsi="Arial" w:cs="Arial"/>
          <w:szCs w:val="28"/>
          <w:lang w:val="uk-UA"/>
        </w:rPr>
        <w:t>факультету судового та міжнародного права</w:t>
      </w:r>
    </w:p>
    <w:p w14:paraId="50FD00EE" w14:textId="1978E050" w:rsidR="00C10374"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15199CCE" w14:textId="77777777" w:rsidR="00C10374" w:rsidRPr="00511005" w:rsidRDefault="00C10374" w:rsidP="003A292D">
      <w:pPr>
        <w:spacing w:line="264" w:lineRule="auto"/>
        <w:ind w:firstLine="0"/>
        <w:jc w:val="center"/>
        <w:rPr>
          <w:rFonts w:ascii="Arial" w:eastAsia="Calibri" w:hAnsi="Arial" w:cs="Arial"/>
          <w:b/>
          <w:szCs w:val="28"/>
          <w:lang w:val="uk-UA"/>
        </w:rPr>
      </w:pPr>
    </w:p>
    <w:p w14:paraId="12A1455C" w14:textId="77777777" w:rsidR="00C10374" w:rsidRPr="00511005" w:rsidRDefault="00C10374" w:rsidP="003A292D">
      <w:pPr>
        <w:spacing w:line="264" w:lineRule="auto"/>
        <w:ind w:firstLine="0"/>
        <w:jc w:val="center"/>
        <w:rPr>
          <w:rFonts w:ascii="Arial" w:eastAsia="Calibri" w:hAnsi="Arial" w:cs="Arial"/>
          <w:b/>
          <w:caps/>
          <w:szCs w:val="28"/>
          <w:lang w:val="uk-UA"/>
        </w:rPr>
      </w:pPr>
      <w:r w:rsidRPr="00511005">
        <w:rPr>
          <w:rFonts w:ascii="Arial" w:eastAsia="Calibri" w:hAnsi="Arial" w:cs="Arial"/>
          <w:b/>
          <w:caps/>
          <w:szCs w:val="28"/>
          <w:lang w:val="uk-UA"/>
        </w:rPr>
        <w:t>Організація діяльності колегій Конституційного Суду України та процедура розгляду конституційної скарги</w:t>
      </w:r>
    </w:p>
    <w:p w14:paraId="4FEE8894" w14:textId="77777777" w:rsidR="00C10374" w:rsidRPr="00511005" w:rsidRDefault="00C10374" w:rsidP="003A292D">
      <w:pPr>
        <w:spacing w:line="264" w:lineRule="auto"/>
        <w:ind w:firstLine="0"/>
        <w:rPr>
          <w:rFonts w:ascii="Arial" w:eastAsia="Calibri" w:hAnsi="Arial" w:cs="Arial"/>
          <w:szCs w:val="28"/>
          <w:lang w:val="uk-UA"/>
        </w:rPr>
      </w:pPr>
    </w:p>
    <w:p w14:paraId="0CFA6B69"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сучасному правовому суспільстві питання ефективного захисту конституційних прав і свобод людини та громадянина набуває особливої ваги. Одним із ключових механізмів такого захисту в Україні є інститут конституційної скарги, запроваджений із реформою Конституційного Суду у 2016 році [5, c. 672]. Конституційна скарга дозволяє кожному звернутися до Конституційного Cуду України у разі порушення його прав остаточним судовим рішенням, що має неконституційне підґрунтя [2]. Особливу роль у забезпеченні діяльності цього інституту відіграють колегії суддів Конституційного Cуду України (далі – КСУ), які виконують функцію первинного фільтра при розгляді скарг. Саме вони ухвалюють рішення про відкриття або відмову у відкритті конституційного провадження, що визначає подальшу долю справи. </w:t>
      </w:r>
    </w:p>
    <w:p w14:paraId="7DF76638"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Основа дослідження полягає в розумінні організації діяльності колегій Конституційного Суду України та аналізу процедури розгляду конституційної скарги. Актуальність теми обумовлена потребою в належному функціонуванні механізмів правового захисту в умовах реформування судоустрою України та зростаючого попиту на справедливість і правову визначеність.</w:t>
      </w:r>
    </w:p>
    <w:p w14:paraId="171972B3"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Конституційний Суд України є єдиним органом конституційної юрисдикції в державі, завданням якого є гарантування верховенства Конституції України як Основного Закону. Його юридичний статус, компетенції та процедуру роботи встановлено Конституцією України (розділ XII) [2] й Законом України «Про Конституційний Суд України» від 13 липня 2017 року № 2136-VIII [1]. </w:t>
      </w:r>
    </w:p>
    <w:p w14:paraId="4651F659"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Особливого значення набуло право фізичних та юридичних осіб на подання </w:t>
      </w:r>
      <w:r w:rsidRPr="00511005">
        <w:rPr>
          <w:rFonts w:ascii="Arial" w:eastAsia="Calibri" w:hAnsi="Arial" w:cs="Arial"/>
          <w:bCs/>
          <w:szCs w:val="28"/>
          <w:lang w:val="uk-UA"/>
        </w:rPr>
        <w:t>конституційної скарги</w:t>
      </w:r>
      <w:r w:rsidRPr="00511005">
        <w:rPr>
          <w:rFonts w:ascii="Arial" w:eastAsia="Calibri" w:hAnsi="Arial" w:cs="Arial"/>
          <w:szCs w:val="28"/>
          <w:lang w:val="uk-UA"/>
        </w:rPr>
        <w:t xml:space="preserve"> - це відносно новий інститут в українському праві, запроваджений із внесенням змін до Конституції України у 2016 році (закон № 1401-VIII). Це положення закріплено в частині першій статті 55 Конституції України, яка гарантує право звернутись із конституційною скаргою до Конституційного Суду України з підстав, установлених Конституцією України, та у порядку, визначеному законом, а також відповідно до статті 151</w:t>
      </w:r>
      <w:r w:rsidRPr="00511005">
        <w:rPr>
          <w:rFonts w:ascii="Arial" w:eastAsia="Calibri" w:hAnsi="Arial" w:cs="Arial"/>
          <w:szCs w:val="28"/>
          <w:vertAlign w:val="superscript"/>
          <w:lang w:val="uk-UA"/>
        </w:rPr>
        <w:t>1</w:t>
      </w:r>
      <w:r w:rsidRPr="00511005">
        <w:rPr>
          <w:rFonts w:ascii="Arial" w:eastAsia="Calibri" w:hAnsi="Arial" w:cs="Arial"/>
          <w:szCs w:val="28"/>
          <w:lang w:val="uk-UA"/>
        </w:rPr>
        <w:t xml:space="preserve"> Конституції України громадяни та юридичні особи можуть звертатися до Конституційного Суду України з конституційними скаргами щодо відповідності Конституції України (конституційності) законів України за умови, що автор клопотання вважає застосований в остаточному судовому рішенні в її справі Закон України таким, що суперечить Конституції України [2]. </w:t>
      </w:r>
    </w:p>
    <w:p w14:paraId="51648C72"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Закон України «Про Конституційний Cуд України» деталізує правовий механізм розгляду таких скарг, визначає склад Суду, повноваження палат, сенатів та колегій суддів, порядок провадження, строки та вимоги до суб’єктів звернення. Він також регламентує процесуальні аспекти діяльності Конституційного Суду, зокрема розподіл функцій між його структурними </w:t>
      </w:r>
      <w:r w:rsidRPr="00511005">
        <w:rPr>
          <w:rFonts w:ascii="Arial" w:eastAsia="Calibri" w:hAnsi="Arial" w:cs="Arial"/>
          <w:szCs w:val="28"/>
          <w:lang w:val="uk-UA"/>
        </w:rPr>
        <w:lastRenderedPageBreak/>
        <w:t>підрозділами [1]. Таким чином, нормативна база діяльності Конституційного Суду України охоплює як конституційні приписи, так і спеціальний закон, що створює умови для стабільної та послідовної реалізації функцій органу конституційної юрисдикції в умовах розвитку правової держави.</w:t>
      </w:r>
    </w:p>
    <w:p w14:paraId="196CE2A2"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Відповідно до Закону України «Про Конституційний Суд України», колегії суддів Конституційного Суду лише вирішують питання про відкриття провадження, а не розглядають справи по суті. Усього діють шість колегій, сформовані щорічно на засіданні Суду. Склад кожної колегії формується шляхом жеребкування, що проводиться Головою Конституційного Суду або його заступником. Такий механізм призначений для забезпечення об’єктивності та неупередженості при розподілі суддів. Кожна колегія складається з трьох суддів, які виконують свої повноваження протягом одного календарного року. У разі неможливості участі одного з суддів у роботі колегії, до її складу може бути включений інший суддя за процедурою, передбаченою регламентом. </w:t>
      </w:r>
    </w:p>
    <w:p w14:paraId="013F25F1"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Колегії суддів Конституційного Суду перевіряють відповідність звернень формальним вимогам закону, зокрема повноваження суб’єкта, строки та інші процесуальні критерії. Якщо звернення не відповідає вимогам, колегія може відмовити у відкритті провадження, і ця ухвала є остаточною. У разі дотримання всіх умов справа передається до Сенату або Великої палати для розгляду по суті. Ухвали колегій не формують правової позиції Суду і не мають прецедентного значення, їхня функція - попередня фільтрація справ. </w:t>
      </w:r>
    </w:p>
    <w:p w14:paraId="6E9F2DCB"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Аналізуючи процедуру розгляду конституційної скарги, слід наголосити, що вона визначена Законом України «Про Конституційний Суд України» та Регламентом Суду і включає кілька етапів. Скарга реєструється Секретаріатом Суду через систему «Документообіг КСУ» з присвоєнням унікального індексу, після чого, як зазначає Шанталій К.С., перевіряється на відповідність формальним вимогам без участі суддів [4]. У разі невідповідності вона повертається заявнику з обґрунтуванням, що не виключає повторного звернення. Якщо вимоги дотримані, скаргу передають судді-доповідачу, який упродовж 20 днів готує її для розгляду колегією суддів. Рішення про відкриття провадження ухвалює колегія з трьох суддів, а за відсутності одностайності - Сенат. Основне провадження здійснюється Сенатом із дев’яти суддів у письмовій або усній формі, а рішення ухвалюється двома третинами голосів. У разі задоволення скарги неконституційний Закон втрачає чинність, а рішення Суду надсилається заявнику наступного робочого дня. Справи можуть передаватись Великій палаті, якщо необхідне тлумачення Конституції України або виникає ризик суперечностей із попередніми рішеннями. У виняткових випадках Велика палата може вжити заходів забезпечення скарги, наприклад, видати забезпечувальний наказ. За наявності кількох схожих скарг вони можуть </w:t>
      </w:r>
      <w:r w:rsidRPr="00511005">
        <w:rPr>
          <w:rFonts w:ascii="Arial" w:eastAsia="Calibri" w:hAnsi="Arial" w:cs="Arial"/>
          <w:szCs w:val="28"/>
          <w:lang w:val="uk-UA"/>
        </w:rPr>
        <w:lastRenderedPageBreak/>
        <w:t>бути об'єднані в одне провадження з відповідним повідомленням заявників [3].</w:t>
      </w:r>
    </w:p>
    <w:p w14:paraId="28EC9A24" w14:textId="77777777" w:rsidR="007B2628"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Крім того, організація діяльності колегій Конституційного Суду України має вагоме значення для ефективного функціонування всього інституту конституційного контролю. У науковому контексті функції колегій розглядаються передусім як фільтраційний механізм, покликаний забезпечити належний попередній розгляд конституційних скарг. Однак практика свідчить про низку проблем, пов’язаних із формуванням складу колегій, обмеженістю процедурної прозорості їхньої діяльності та ризиком зловживання правом на відмову у відкритті провадження. У наукових колах дедалі частіше порушується питання, наскільки ці колегії є неупередженими та об’єктивними, адже рішення трьох суддів можуть фактично заблокувати подальший розгляд скарги, яка потенційно має конституційне значення.</w:t>
      </w:r>
    </w:p>
    <w:p w14:paraId="5A92A384" w14:textId="77777777" w:rsidR="007B2628"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Однією з ключових проблем є відсутність чітко визначеного механізму відбору суддів до складу колегій, що породжує сумніви у їхній неупередженості та рівномірному розподілі навантаження між суддями. Крім того, рішення колегії про відмову у відкритті провадження не підлягає оскарженню, що суперечить принципам відкритості та справедливості, передбаченим як національним законодавством, так і міжнародними стандартами. Існує також небезпека того, що такий підхід може призвести до формального підходу при розгляді скарг і втрати реального механізму конституційного захисту для заявників. З огляду на це, діяльність колегій потребує глибшого нормативного осмислення, включаючи запровадження внутрішніх процесуальних гарантій.</w:t>
      </w:r>
    </w:p>
    <w:p w14:paraId="31E21326" w14:textId="17E22ADA"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 метою усунення зазначених проблем доцільно запровадити прозору процедуру ротації складу колегій та чітко визначити критерії добору суддів до їхнього складу. Варто також законодавчо передбачити можливість перегляду рішень про відмову у відкритті провадження - принаймні в окремих категоріях справ або за скаргою заявника. Для зміцнення довіри громадян до інституту конституційної скарги необхідно посилити вимоги до обґрунтування рішень колегій, передбачити їх оприлюднення в узагальненій формі та залучити до обговорення механізмів їх удосконалення наукову спільноту. Такий підхід не лише підвищить ефективність конституційного судочинства, а й зміцнить легітимність самого Суду як інституту правового захисту.</w:t>
      </w:r>
    </w:p>
    <w:p w14:paraId="490574D1"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підсумку можна констатувати, що інститут конституційної скарги в Україні є важливим механізмом захисту прав і свобод людини в умовах демократичного суспільства. Важливу роль у цій процедурі відіграють колегії суддів Конституційного Суду України, які здійснюють попередній відбір скарг та ухвалюють рішення щодо відкриття провадження. Рівень ефективності їхньої роботи може впливати на якість здійснення конституційного судочинства та формування довіри громадян до судової влади. Подальше </w:t>
      </w:r>
      <w:r w:rsidRPr="00511005">
        <w:rPr>
          <w:rFonts w:ascii="Arial" w:eastAsia="Calibri" w:hAnsi="Arial" w:cs="Arial"/>
          <w:szCs w:val="28"/>
          <w:lang w:val="uk-UA"/>
        </w:rPr>
        <w:lastRenderedPageBreak/>
        <w:t>вдосконалення правового регулювання діяльності колегій сприятиме реалізації принципів верховенства права та підвищенню відчуття справедливості в суспільстві.</w:t>
      </w:r>
    </w:p>
    <w:p w14:paraId="715F51DC" w14:textId="77777777" w:rsidR="00C10374" w:rsidRPr="00511005" w:rsidRDefault="00C10374" w:rsidP="003A292D">
      <w:pPr>
        <w:spacing w:line="264" w:lineRule="auto"/>
        <w:ind w:firstLine="0"/>
        <w:jc w:val="center"/>
        <w:rPr>
          <w:rFonts w:ascii="Arial" w:eastAsia="Calibri" w:hAnsi="Arial" w:cs="Arial"/>
          <w:b/>
          <w:szCs w:val="28"/>
          <w:lang w:val="uk-UA"/>
        </w:rPr>
      </w:pPr>
    </w:p>
    <w:p w14:paraId="70D46040" w14:textId="68AFCA7C" w:rsidR="00C10374"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4E5B67C4" w14:textId="77777777" w:rsidR="007B2628" w:rsidRPr="00511005" w:rsidRDefault="00C10374" w:rsidP="003A292D">
      <w:pPr>
        <w:spacing w:line="264" w:lineRule="auto"/>
        <w:ind w:firstLine="0"/>
        <w:jc w:val="center"/>
        <w:rPr>
          <w:rFonts w:ascii="Arial" w:eastAsia="Calibri" w:hAnsi="Arial" w:cs="Arial"/>
          <w:szCs w:val="28"/>
          <w:lang w:val="uk-UA"/>
        </w:rPr>
      </w:pPr>
      <w:r w:rsidRPr="00511005">
        <w:rPr>
          <w:rFonts w:ascii="Arial" w:eastAsia="Calibri" w:hAnsi="Arial" w:cs="Arial"/>
          <w:b/>
          <w:szCs w:val="28"/>
          <w:lang w:val="uk-UA"/>
        </w:rPr>
        <w:tab/>
      </w:r>
    </w:p>
    <w:p w14:paraId="4E456FEC" w14:textId="4697F33E" w:rsidR="00C10374" w:rsidRPr="00511005" w:rsidRDefault="00C10374" w:rsidP="003F6A5D">
      <w:pPr>
        <w:numPr>
          <w:ilvl w:val="0"/>
          <w:numId w:val="827"/>
        </w:numPr>
        <w:spacing w:line="264" w:lineRule="auto"/>
        <w:ind w:left="0"/>
        <w:rPr>
          <w:rFonts w:ascii="Arial" w:eastAsia="Calibri" w:hAnsi="Arial" w:cs="Arial"/>
          <w:szCs w:val="28"/>
          <w:lang w:val="uk-UA"/>
        </w:rPr>
      </w:pPr>
      <w:r w:rsidRPr="00511005">
        <w:rPr>
          <w:rFonts w:ascii="Arial" w:eastAsia="Calibri" w:hAnsi="Arial" w:cs="Arial"/>
          <w:szCs w:val="28"/>
          <w:lang w:val="uk-UA"/>
        </w:rPr>
        <w:t xml:space="preserve">Конституційний суд України: Закон України від 13.07.2017 р. </w:t>
      </w:r>
      <w:r w:rsidRPr="00511005">
        <w:rPr>
          <w:rFonts w:ascii="Arial" w:eastAsia="Calibri" w:hAnsi="Arial" w:cs="Arial"/>
          <w:i/>
          <w:iCs/>
          <w:szCs w:val="28"/>
          <w:lang w:val="uk-UA"/>
        </w:rPr>
        <w:t>Відомості Верховної Ради (ВВР),</w:t>
      </w:r>
      <w:r w:rsidRPr="00511005">
        <w:rPr>
          <w:rFonts w:ascii="Arial" w:eastAsia="Calibri" w:hAnsi="Arial" w:cs="Arial"/>
          <w:iCs/>
          <w:szCs w:val="28"/>
          <w:lang w:val="uk-UA"/>
        </w:rPr>
        <w:t xml:space="preserve"> 2017, № 35, ст.376 </w:t>
      </w:r>
      <w:r w:rsidRPr="00511005">
        <w:rPr>
          <w:rFonts w:ascii="Arial" w:eastAsia="Calibri" w:hAnsi="Arial" w:cs="Arial"/>
          <w:szCs w:val="28"/>
          <w:lang w:val="uk-UA"/>
        </w:rPr>
        <w:t xml:space="preserve">URL: </w:t>
      </w:r>
      <w:hyperlink r:id="rId1150" w:anchor="Text" w:history="1">
        <w:r w:rsidRPr="00511005">
          <w:rPr>
            <w:rFonts w:ascii="Arial" w:eastAsia="Calibri" w:hAnsi="Arial" w:cs="Arial"/>
            <w:szCs w:val="28"/>
            <w:lang w:val="uk-UA"/>
          </w:rPr>
          <w:t>https://zakon.rada.gov.ua/laws/show/2136-19#Text</w:t>
        </w:r>
      </w:hyperlink>
      <w:r w:rsidRPr="00511005">
        <w:rPr>
          <w:rFonts w:ascii="Arial" w:eastAsia="Calibri" w:hAnsi="Arial" w:cs="Arial"/>
          <w:szCs w:val="28"/>
          <w:lang w:val="uk-UA"/>
        </w:rPr>
        <w:t xml:space="preserve"> (дата звернення: 30.04.2025).</w:t>
      </w:r>
    </w:p>
    <w:p w14:paraId="58E38BB2" w14:textId="77777777" w:rsidR="00C10374" w:rsidRPr="00511005" w:rsidRDefault="00C10374" w:rsidP="003F6A5D">
      <w:pPr>
        <w:numPr>
          <w:ilvl w:val="0"/>
          <w:numId w:val="827"/>
        </w:numPr>
        <w:spacing w:line="264" w:lineRule="auto"/>
        <w:ind w:left="0"/>
        <w:rPr>
          <w:rFonts w:ascii="Arial" w:eastAsia="Calibri" w:hAnsi="Arial" w:cs="Arial"/>
          <w:szCs w:val="28"/>
          <w:lang w:val="uk-UA"/>
        </w:rPr>
      </w:pPr>
      <w:r w:rsidRPr="00511005">
        <w:rPr>
          <w:rFonts w:ascii="Arial" w:eastAsia="Calibri" w:hAnsi="Arial" w:cs="Arial"/>
          <w:szCs w:val="28"/>
          <w:lang w:val="uk-UA"/>
        </w:rPr>
        <w:t xml:space="preserve">Конституція України: Закон України від 28 червня 1996 р. N 254к/96-ВР / </w:t>
      </w:r>
      <w:r w:rsidRPr="00511005">
        <w:rPr>
          <w:rFonts w:ascii="Arial" w:eastAsia="Calibri" w:hAnsi="Arial" w:cs="Arial"/>
          <w:i/>
          <w:szCs w:val="28"/>
          <w:lang w:val="uk-UA"/>
        </w:rPr>
        <w:t>Верховна Рада України. Відомості Верховної Ради України.</w:t>
      </w:r>
      <w:r w:rsidRPr="00511005">
        <w:rPr>
          <w:rFonts w:ascii="Arial" w:eastAsia="Calibri" w:hAnsi="Arial" w:cs="Arial"/>
          <w:szCs w:val="28"/>
          <w:lang w:val="uk-UA"/>
        </w:rPr>
        <w:t xml:space="preserve"> 1996. N 30 Ст. 141. Із наступними змінами та доповненнями. URL: zakon.rada.gov.ua/go/254к/96-вр. (дата звернення: 30.04.2025).</w:t>
      </w:r>
    </w:p>
    <w:p w14:paraId="2C731923" w14:textId="0252BA89" w:rsidR="00C10374" w:rsidRPr="00511005" w:rsidRDefault="00C10374" w:rsidP="003F6A5D">
      <w:pPr>
        <w:numPr>
          <w:ilvl w:val="0"/>
          <w:numId w:val="827"/>
        </w:numPr>
        <w:spacing w:line="264" w:lineRule="auto"/>
        <w:ind w:left="0"/>
        <w:rPr>
          <w:rFonts w:ascii="Arial" w:eastAsia="Calibri" w:hAnsi="Arial" w:cs="Arial"/>
          <w:szCs w:val="28"/>
          <w:lang w:val="uk-UA"/>
        </w:rPr>
      </w:pPr>
      <w:r w:rsidRPr="00875A11">
        <w:rPr>
          <w:rFonts w:ascii="Arial" w:eastAsia="Calibri" w:hAnsi="Arial" w:cs="Arial"/>
          <w:szCs w:val="28"/>
          <w:lang w:val="uk-UA"/>
        </w:rPr>
        <w:t xml:space="preserve">Конституційна юрисдикція: організація діяльності Конституційного Суду України. URL: </w:t>
      </w:r>
      <w:hyperlink r:id="rId1151" w:history="1">
        <w:r w:rsidRPr="00875A11">
          <w:rPr>
            <w:rFonts w:ascii="Arial" w:eastAsia="Calibri" w:hAnsi="Arial" w:cs="Arial"/>
            <w:szCs w:val="28"/>
            <w:lang w:val="uk-UA"/>
          </w:rPr>
          <w:t>https://studentam.net.ua/content/view/5904/93/</w:t>
        </w:r>
      </w:hyperlink>
      <w:r w:rsidR="007B2628" w:rsidRPr="00875A11">
        <w:rPr>
          <w:rFonts w:ascii="Arial" w:eastAsia="Calibri" w:hAnsi="Arial" w:cs="Arial"/>
          <w:szCs w:val="28"/>
          <w:lang w:val="uk-UA"/>
        </w:rPr>
        <w:t xml:space="preserve"> </w:t>
      </w:r>
      <w:r w:rsidRPr="00875A11">
        <w:rPr>
          <w:rFonts w:ascii="Arial" w:eastAsia="Calibri" w:hAnsi="Arial" w:cs="Arial"/>
          <w:szCs w:val="28"/>
          <w:lang w:val="uk-UA"/>
        </w:rPr>
        <w:t>(дата</w:t>
      </w:r>
      <w:r w:rsidRPr="00511005">
        <w:rPr>
          <w:rFonts w:ascii="Arial" w:eastAsia="Calibri" w:hAnsi="Arial" w:cs="Arial"/>
          <w:szCs w:val="28"/>
          <w:lang w:val="uk-UA"/>
        </w:rPr>
        <w:t xml:space="preserve"> звернення: 30.04.2025). </w:t>
      </w:r>
    </w:p>
    <w:p w14:paraId="569815A7" w14:textId="29920D7F" w:rsidR="00C10374" w:rsidRPr="00511005" w:rsidRDefault="00C10374" w:rsidP="003F6A5D">
      <w:pPr>
        <w:numPr>
          <w:ilvl w:val="0"/>
          <w:numId w:val="827"/>
        </w:numPr>
        <w:spacing w:line="264" w:lineRule="auto"/>
        <w:ind w:left="0"/>
        <w:rPr>
          <w:rFonts w:ascii="Arial" w:eastAsia="Calibri" w:hAnsi="Arial" w:cs="Arial"/>
          <w:szCs w:val="28"/>
          <w:lang w:val="uk-UA"/>
        </w:rPr>
      </w:pPr>
      <w:r w:rsidRPr="00511005">
        <w:rPr>
          <w:rFonts w:ascii="Arial" w:eastAsia="Calibri" w:hAnsi="Arial" w:cs="Arial"/>
          <w:szCs w:val="28"/>
          <w:lang w:val="uk-UA"/>
        </w:rPr>
        <w:t xml:space="preserve">Шанталій К.С. Проблемні аспекти реалізації інституту конституційної скарги в Україні. С. 672-674. URL: </w:t>
      </w:r>
      <w:hyperlink r:id="rId1152" w:history="1">
        <w:r w:rsidRPr="00511005">
          <w:rPr>
            <w:rFonts w:ascii="Arial" w:eastAsia="Calibri" w:hAnsi="Arial" w:cs="Arial"/>
            <w:szCs w:val="28"/>
            <w:lang w:val="uk-UA"/>
          </w:rPr>
          <w:t>file:///C:/Users/admin/Downloads/Telegram%20Desktop/169.pdf</w:t>
        </w:r>
      </w:hyperlink>
      <w:r w:rsidRPr="00511005">
        <w:rPr>
          <w:rFonts w:ascii="Arial" w:eastAsia="Calibri" w:hAnsi="Arial" w:cs="Arial"/>
          <w:szCs w:val="28"/>
          <w:lang w:val="uk-UA"/>
        </w:rPr>
        <w:tab/>
      </w:r>
    </w:p>
    <w:p w14:paraId="23837B84" w14:textId="24C29DD6" w:rsidR="00C10374" w:rsidRPr="00511005" w:rsidRDefault="007B2628" w:rsidP="003A292D">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Конституційний суд України, Конституція України, конституційна скарга, інститут, процедура, захисти прав.</w:t>
      </w:r>
    </w:p>
    <w:p w14:paraId="06263440" w14:textId="0FC87BC5" w:rsidR="00C10374" w:rsidRPr="00511005" w:rsidRDefault="007B2628" w:rsidP="003A292D">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Key words: </w:t>
      </w:r>
      <w:r w:rsidR="00C10374" w:rsidRPr="00511005">
        <w:rPr>
          <w:rFonts w:ascii="Arial" w:eastAsia="Calibri" w:hAnsi="Arial" w:cs="Arial"/>
          <w:szCs w:val="28"/>
          <w:lang w:val="uk-UA"/>
        </w:rPr>
        <w:t>Constitutional Court of Ukraine, Constitution of Ukraine, constitutional complaint, institution, procedure, protection of rights.</w:t>
      </w:r>
    </w:p>
    <w:p w14:paraId="02AF1EB2" w14:textId="5CA8D907" w:rsidR="00C10374" w:rsidRPr="00511005" w:rsidRDefault="007B2628" w:rsidP="003A292D">
      <w:pPr>
        <w:spacing w:line="264" w:lineRule="auto"/>
        <w:ind w:firstLine="72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C10374" w:rsidRPr="00511005">
        <w:rPr>
          <w:rFonts w:ascii="Arial" w:eastAsia="Calibri" w:hAnsi="Arial" w:cs="Arial"/>
          <w:i/>
          <w:szCs w:val="28"/>
          <w:lang w:val="uk-UA"/>
        </w:rPr>
        <w:t>старший викладач Нестерчук Л.П.</w:t>
      </w:r>
    </w:p>
    <w:p w14:paraId="133942EC" w14:textId="77777777" w:rsidR="00C10374" w:rsidRPr="00511005" w:rsidRDefault="00C10374" w:rsidP="003A292D">
      <w:pPr>
        <w:widowControl w:val="0"/>
        <w:spacing w:line="264" w:lineRule="auto"/>
        <w:ind w:firstLine="0"/>
        <w:rPr>
          <w:rFonts w:ascii="Arial" w:eastAsia="Calibri" w:hAnsi="Arial" w:cs="Arial"/>
          <w:szCs w:val="28"/>
        </w:rPr>
      </w:pPr>
    </w:p>
    <w:p w14:paraId="16C90A51" w14:textId="77777777" w:rsidR="00C10374" w:rsidRPr="00511005" w:rsidRDefault="00C10374" w:rsidP="003A292D">
      <w:pPr>
        <w:widowControl w:val="0"/>
        <w:spacing w:line="264" w:lineRule="auto"/>
        <w:ind w:firstLine="0"/>
        <w:rPr>
          <w:rFonts w:ascii="Arial" w:eastAsia="Calibri" w:hAnsi="Arial" w:cs="Arial"/>
          <w:szCs w:val="28"/>
        </w:rPr>
      </w:pPr>
    </w:p>
    <w:p w14:paraId="12E2E422" w14:textId="77777777" w:rsidR="00C10374" w:rsidRPr="00511005" w:rsidRDefault="00C10374" w:rsidP="003A292D">
      <w:pPr>
        <w:tabs>
          <w:tab w:val="left" w:pos="7088"/>
        </w:tabs>
        <w:spacing w:line="264" w:lineRule="auto"/>
        <w:ind w:firstLine="0"/>
        <w:jc w:val="center"/>
        <w:rPr>
          <w:rFonts w:ascii="Arial" w:eastAsia="Calibri" w:hAnsi="Arial" w:cs="Arial"/>
          <w:b/>
          <w:i/>
          <w:iCs/>
          <w:szCs w:val="28"/>
          <w:lang w:val="uk-UA" w:bidi="uk-UA"/>
        </w:rPr>
      </w:pPr>
      <w:r w:rsidRPr="00511005">
        <w:rPr>
          <w:rFonts w:ascii="Arial" w:eastAsia="Calibri" w:hAnsi="Arial" w:cs="Arial"/>
          <w:b/>
          <w:i/>
          <w:iCs/>
          <w:szCs w:val="28"/>
          <w:lang w:val="uk-UA" w:bidi="uk-UA"/>
        </w:rPr>
        <w:t>Новосельська Марина Олексіївна</w:t>
      </w:r>
    </w:p>
    <w:p w14:paraId="2556BAA7" w14:textId="612AC578" w:rsidR="00C10374" w:rsidRPr="00511005" w:rsidRDefault="00BE3972" w:rsidP="003A292D">
      <w:pPr>
        <w:tabs>
          <w:tab w:val="left" w:pos="7088"/>
        </w:tabs>
        <w:spacing w:line="264" w:lineRule="auto"/>
        <w:ind w:firstLine="0"/>
        <w:jc w:val="center"/>
        <w:rPr>
          <w:rFonts w:ascii="Arial" w:eastAsia="Calibri" w:hAnsi="Arial" w:cs="Arial"/>
          <w:bCs/>
          <w:szCs w:val="28"/>
          <w:lang w:val="uk-UA" w:bidi="uk-UA"/>
        </w:rPr>
      </w:pPr>
      <w:r w:rsidRPr="00511005">
        <w:rPr>
          <w:rFonts w:ascii="Arial" w:eastAsia="Calibri" w:hAnsi="Arial" w:cs="Arial"/>
          <w:bCs/>
          <w:szCs w:val="28"/>
          <w:lang w:val="uk-UA" w:bidi="uk-UA"/>
        </w:rPr>
        <w:t xml:space="preserve">студентка 1-го курсу </w:t>
      </w:r>
      <w:r w:rsidR="001B7B25" w:rsidRPr="00511005">
        <w:rPr>
          <w:rFonts w:ascii="Arial" w:eastAsia="Calibri" w:hAnsi="Arial" w:cs="Arial"/>
          <w:bCs/>
          <w:szCs w:val="28"/>
          <w:lang w:val="uk-UA" w:bidi="uk-UA"/>
        </w:rPr>
        <w:t>факультету судового та міжнародного права</w:t>
      </w:r>
    </w:p>
    <w:p w14:paraId="0B436B64" w14:textId="7AE8CB25" w:rsidR="00C10374" w:rsidRPr="00511005" w:rsidRDefault="007B2628" w:rsidP="003A292D">
      <w:pPr>
        <w:tabs>
          <w:tab w:val="left" w:pos="7088"/>
        </w:tabs>
        <w:spacing w:line="264" w:lineRule="auto"/>
        <w:ind w:firstLine="0"/>
        <w:jc w:val="center"/>
        <w:rPr>
          <w:rFonts w:ascii="Arial" w:eastAsia="Calibri" w:hAnsi="Arial" w:cs="Arial"/>
          <w:bCs/>
          <w:szCs w:val="28"/>
          <w:lang w:val="uk-UA" w:bidi="uk-UA"/>
        </w:rPr>
      </w:pPr>
      <w:r w:rsidRPr="00511005">
        <w:rPr>
          <w:rFonts w:ascii="Arial" w:eastAsia="Calibri" w:hAnsi="Arial" w:cs="Arial"/>
          <w:bCs/>
          <w:szCs w:val="28"/>
          <w:lang w:val="uk-UA" w:bidi="uk-UA"/>
        </w:rPr>
        <w:t>Національного університету «Одеська юридична академія»</w:t>
      </w:r>
    </w:p>
    <w:p w14:paraId="347BA32F" w14:textId="77777777" w:rsidR="00C10374" w:rsidRPr="00511005" w:rsidRDefault="00C10374" w:rsidP="003A292D">
      <w:pPr>
        <w:tabs>
          <w:tab w:val="left" w:pos="7088"/>
        </w:tabs>
        <w:spacing w:line="264" w:lineRule="auto"/>
        <w:ind w:firstLine="0"/>
        <w:jc w:val="center"/>
        <w:rPr>
          <w:rFonts w:ascii="Arial" w:eastAsia="Calibri" w:hAnsi="Arial" w:cs="Arial"/>
          <w:b/>
          <w:szCs w:val="28"/>
          <w:lang w:bidi="uk-UA"/>
        </w:rPr>
      </w:pPr>
    </w:p>
    <w:p w14:paraId="06302356" w14:textId="77777777" w:rsidR="00C10374" w:rsidRPr="00511005" w:rsidRDefault="00C10374" w:rsidP="003A292D">
      <w:pPr>
        <w:tabs>
          <w:tab w:val="left" w:pos="7088"/>
        </w:tabs>
        <w:spacing w:line="264" w:lineRule="auto"/>
        <w:ind w:firstLine="0"/>
        <w:jc w:val="center"/>
        <w:rPr>
          <w:rFonts w:ascii="Arial" w:eastAsia="Calibri" w:hAnsi="Arial" w:cs="Arial"/>
          <w:b/>
          <w:szCs w:val="28"/>
          <w:lang w:bidi="uk-UA"/>
        </w:rPr>
      </w:pPr>
      <w:r w:rsidRPr="00511005">
        <w:rPr>
          <w:rFonts w:ascii="Arial" w:eastAsia="Calibri" w:hAnsi="Arial" w:cs="Arial"/>
          <w:b/>
          <w:szCs w:val="28"/>
          <w:lang w:bidi="uk-UA"/>
        </w:rPr>
        <w:t>ОСОБЛИВОСТІ ЗДІЙСНЕННЯ ПРАВОСУДДЯ СУДАМИ УКРАЇНИ В УМОВАХ ВОЄННОГО СТАНУ</w:t>
      </w:r>
    </w:p>
    <w:p w14:paraId="7FC844DF" w14:textId="77777777" w:rsidR="00C10374" w:rsidRPr="00511005" w:rsidRDefault="00C10374"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З початком збройної агресії Російської Федерації проти України в 2014 році та особливо після масштабного вторгнення у 2022 році, українська правова система зіткнулася з новими викликами, зокрема у сфері здійснення правосуддя. Воєнний стан, введений на території країни з 24 лютого 2022 року, суттєво вплинув на роботу судових органів, обумовивши необхідність адаптації судового процесу до умов надзвичайної ситуації. Це, в свою чергу, поставило важливі питання щодо ефективності правосуддя, гарантій прав і свобод громадян, а також збереження функціонування судової влади в умовах війни.</w:t>
      </w:r>
    </w:p>
    <w:p w14:paraId="41072CC7" w14:textId="77777777" w:rsidR="00C10374" w:rsidRPr="00511005" w:rsidRDefault="00C10374"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lastRenderedPageBreak/>
        <w:t>Згідно зі статтею 1 Закону України "Про правовий режим воєнного стану" від 12 травня 2015 року, правовий режим воєнного стану включає в себе застосування комплексу заходів, спрямованих на забезпечення національної безпеки та обороноздатності держави. У цей період можуть бути введені обмеження на здійснення певних прав та свобод, що, безумовно, впливає на всі аспекти діяльності органів державної влади, у тому числі судової гілки влади</w:t>
      </w:r>
      <w:r w:rsidRPr="00511005">
        <w:rPr>
          <w:rFonts w:ascii="Arial" w:eastAsia="Calibri" w:hAnsi="Arial" w:cs="Arial"/>
          <w:bCs/>
          <w:szCs w:val="28"/>
          <w:lang w:bidi="uk-UA"/>
        </w:rPr>
        <w:t xml:space="preserve"> [1]</w:t>
      </w:r>
      <w:r w:rsidRPr="00511005">
        <w:rPr>
          <w:rFonts w:ascii="Arial" w:eastAsia="Calibri" w:hAnsi="Arial" w:cs="Arial"/>
          <w:bCs/>
          <w:szCs w:val="28"/>
          <w:lang w:val="uk-UA" w:bidi="uk-UA"/>
        </w:rPr>
        <w:t>.</w:t>
      </w:r>
    </w:p>
    <w:p w14:paraId="4B4D9B3E" w14:textId="77777777" w:rsidR="00C10374" w:rsidRPr="00511005" w:rsidRDefault="00C10374"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Основними актами, що регламентують здійснення правосуддя в умовах воєнного стану, є Конституція України та Закон України "Про правовий режим воєнного стану". Водночас в умовах війни виникають ситуації, які не завжди охоплені традиційним законодавством. Тому суди змушені знаходити нові шляхи для забезпечення справедливості, дотримуючись основних принципів правосуддя, але в умовах обмежених ресурсів і підвищеного ризику.</w:t>
      </w:r>
    </w:p>
    <w:p w14:paraId="7B498844" w14:textId="77777777" w:rsidR="00C10374" w:rsidRPr="00511005" w:rsidRDefault="00C10374"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Один із головних викликів, з яким зіткнулися українські суди в умовах воєнного стану, — це забезпечення безпеки учасників судового процесу, а також гарантій доступу до правосуддя. На території, що знаходиться під впливом бойових дій або тимчасовою окупацією, судова система виявилася ускладненою через руйнування інфраструктури, тимчасову неможливість проведення судових засідань, а також обмежену доступність до матеріалів справ. Судові органи змушені адаптуватися до нових умов, зокрема, застосовуючи технології дистанційних засідань, що забезпечує продовження функціонування правосуддя навіть за умови неможливості фізичного присутності сторін.</w:t>
      </w:r>
    </w:p>
    <w:p w14:paraId="4EFD8460" w14:textId="77777777" w:rsidR="00C10374" w:rsidRPr="00511005" w:rsidRDefault="00C10374"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Згідно з нормами процесуального права, встановленими в Кримінальному процесуальному кодексі України, особливості проведення судових засідань під час воєнного стану дозволяють, за необхідності, використовувати інтернет-технології для забезпечення участі осіб у судових процесах, що забезпечує оперативність розгляду справ навіть під час активних бойових дій. Водночас на перший план виходить питання якості такого правосуддя — особливо щодо забезпечення прав на захист та право на справедливий суд</w:t>
      </w:r>
      <w:r w:rsidRPr="00511005">
        <w:rPr>
          <w:rFonts w:ascii="Arial" w:eastAsia="Calibri" w:hAnsi="Arial" w:cs="Arial"/>
          <w:bCs/>
          <w:szCs w:val="28"/>
          <w:lang w:bidi="uk-UA"/>
        </w:rPr>
        <w:t xml:space="preserve"> [2, </w:t>
      </w:r>
      <w:r w:rsidRPr="00511005">
        <w:rPr>
          <w:rFonts w:ascii="Arial" w:eastAsia="Calibri" w:hAnsi="Arial" w:cs="Arial"/>
          <w:bCs/>
          <w:szCs w:val="28"/>
          <w:lang w:val="en-US" w:bidi="uk-UA"/>
        </w:rPr>
        <w:t>c</w:t>
      </w:r>
      <w:r w:rsidRPr="00511005">
        <w:rPr>
          <w:rFonts w:ascii="Arial" w:eastAsia="Calibri" w:hAnsi="Arial" w:cs="Arial"/>
          <w:bCs/>
          <w:szCs w:val="28"/>
          <w:lang w:bidi="uk-UA"/>
        </w:rPr>
        <w:t>.74]</w:t>
      </w:r>
      <w:r w:rsidRPr="00511005">
        <w:rPr>
          <w:rFonts w:ascii="Arial" w:eastAsia="Calibri" w:hAnsi="Arial" w:cs="Arial"/>
          <w:bCs/>
          <w:szCs w:val="28"/>
          <w:lang w:val="uk-UA" w:bidi="uk-UA"/>
        </w:rPr>
        <w:t>.</w:t>
      </w:r>
    </w:p>
    <w:p w14:paraId="6ECC3176" w14:textId="77777777" w:rsidR="00C10374" w:rsidRPr="00511005" w:rsidRDefault="00C10374"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Застосування правосуддя в умовах війни викликає цілу низку проблем. Однією з найбільших важливих є забезпечення належного процесуального захисту прав осіб, залучених до судових справ. Це стосується як підозрюваних і обвинувачених у кримінальних справах, так і позивачів та відповідачів у цивільних справах. Порушення прав учасників судових процесів, пов’язані із затримками у слуханнях справ або відсутністю можливості надати свідчення в умовах бойових дій, створюють додаткові виклики для правосуддя.</w:t>
      </w:r>
    </w:p>
    <w:p w14:paraId="2A926CDC" w14:textId="77777777" w:rsidR="00C10374" w:rsidRPr="00511005" w:rsidRDefault="00C10374"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 xml:space="preserve">Крім того, важливим є питання зміщення акценту на кримінальні справи, пов’язані з воєнними злочинами, а також порушеннями прав людини </w:t>
      </w:r>
      <w:r w:rsidRPr="00511005">
        <w:rPr>
          <w:rFonts w:ascii="Arial" w:eastAsia="Calibri" w:hAnsi="Arial" w:cs="Arial"/>
          <w:bCs/>
          <w:szCs w:val="28"/>
          <w:lang w:val="uk-UA" w:bidi="uk-UA"/>
        </w:rPr>
        <w:lastRenderedPageBreak/>
        <w:t>під час збройної агресії. Однак в умовах воєнного стану створюються труднощі з фіксацією доказів і допитом свідків, що можуть призвести до зволікань у розслідуванні і винесенні вироків.</w:t>
      </w:r>
    </w:p>
    <w:p w14:paraId="4E670A77" w14:textId="77777777" w:rsidR="00C10374" w:rsidRPr="00511005" w:rsidRDefault="00C10374"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Одним з основних викликів є також забезпечення ефективного функціонування апеляційної та касаційної інстанцій, особливо в контексті забезпечення належного доступу до правосуддя для громадян, які опинилися на тимчасово окупованих територіях. Законодавчі ініціативи, спрямовані на врегулювання цього питання, поки що не забезпечили достатнього результату.</w:t>
      </w:r>
    </w:p>
    <w:p w14:paraId="62094933" w14:textId="77777777" w:rsidR="00C10374" w:rsidRPr="00511005" w:rsidRDefault="00C10374"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Необхідність адаптації судової системи до умов воєнного стану передбачає не лише оперативне реагування на нові виклики, а й стратегічне реформування правосуддя в Україні. Це має включати вдосконалення механізмів судочинства, удосконалення нормативно-правової бази для забезпечення справедливості в умовах війни, розвиток нових технологій для проведення дистанційних судових засідань, а також посилення ролі міжнародної співпраці у відновленні правопорядку на територіях, звільнених від агресора</w:t>
      </w:r>
      <w:r w:rsidRPr="00511005">
        <w:rPr>
          <w:rFonts w:ascii="Arial" w:eastAsia="Calibri" w:hAnsi="Arial" w:cs="Arial"/>
          <w:bCs/>
          <w:szCs w:val="28"/>
          <w:lang w:bidi="uk-UA"/>
        </w:rPr>
        <w:t xml:space="preserve"> [3, </w:t>
      </w:r>
      <w:r w:rsidRPr="00511005">
        <w:rPr>
          <w:rFonts w:ascii="Arial" w:eastAsia="Calibri" w:hAnsi="Arial" w:cs="Arial"/>
          <w:bCs/>
          <w:szCs w:val="28"/>
          <w:lang w:val="en-US" w:bidi="uk-UA"/>
        </w:rPr>
        <w:t>c</w:t>
      </w:r>
      <w:r w:rsidRPr="00511005">
        <w:rPr>
          <w:rFonts w:ascii="Arial" w:eastAsia="Calibri" w:hAnsi="Arial" w:cs="Arial"/>
          <w:bCs/>
          <w:szCs w:val="28"/>
          <w:lang w:bidi="uk-UA"/>
        </w:rPr>
        <w:t>.28]</w:t>
      </w:r>
      <w:r w:rsidRPr="00511005">
        <w:rPr>
          <w:rFonts w:ascii="Arial" w:eastAsia="Calibri" w:hAnsi="Arial" w:cs="Arial"/>
          <w:bCs/>
          <w:szCs w:val="28"/>
          <w:lang w:val="uk-UA" w:bidi="uk-UA"/>
        </w:rPr>
        <w:t>.</w:t>
      </w:r>
    </w:p>
    <w:p w14:paraId="194A1ECB" w14:textId="77777777" w:rsidR="00C10374" w:rsidRPr="00511005" w:rsidRDefault="00C10374" w:rsidP="003A292D">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Одним із напрямків реформ є вдосконалення законодавства щодо функціонування судової системи в умовах воєнного стану, особливо щодо питань доступу до правосуддя, заочного правосуддя та процедурних гарантій захисту прав громадян. Важливим є також розвиток механізмів фіксації доказів та залучення свідків через електронні засоби зв’язку.</w:t>
      </w:r>
    </w:p>
    <w:p w14:paraId="4B8C0F7D" w14:textId="77777777" w:rsidR="00C10374" w:rsidRPr="00511005" w:rsidRDefault="00C10374" w:rsidP="003A292D">
      <w:pPr>
        <w:tabs>
          <w:tab w:val="left" w:pos="7088"/>
        </w:tabs>
        <w:spacing w:line="264" w:lineRule="auto"/>
        <w:rPr>
          <w:rFonts w:ascii="Arial" w:eastAsia="Calibri" w:hAnsi="Arial" w:cs="Arial"/>
          <w:b/>
          <w:szCs w:val="28"/>
          <w:lang w:bidi="uk-UA"/>
        </w:rPr>
      </w:pPr>
      <w:r w:rsidRPr="00511005">
        <w:rPr>
          <w:rFonts w:ascii="Arial" w:eastAsia="Calibri" w:hAnsi="Arial" w:cs="Arial"/>
          <w:bCs/>
          <w:szCs w:val="28"/>
          <w:lang w:val="uk-UA" w:bidi="uk-UA"/>
        </w:rPr>
        <w:t>Таким чином, здійснення правосуддя судами України в умовах воєнного стану є складним і багатогранним процесом, який потребує особливої уваги та адаптації існуючого правового механізму до екстремальних умов. Враховуючи численні виклики, що виникають у результаті збройної агресії Російської Федерації, судова система повинна зберігати функціональність і гарантувати справедливість, незважаючи на складнощі. Тільки через ефективну адаптацію та реформування судового процесу в умовах війни можна забезпечити належний захист прав громадян та правопорядок в країні.</w:t>
      </w:r>
    </w:p>
    <w:p w14:paraId="573AFBA9" w14:textId="77777777" w:rsidR="00C10374" w:rsidRPr="00511005" w:rsidRDefault="00C10374" w:rsidP="003A292D">
      <w:pPr>
        <w:tabs>
          <w:tab w:val="left" w:pos="7088"/>
        </w:tabs>
        <w:spacing w:line="264" w:lineRule="auto"/>
        <w:rPr>
          <w:rFonts w:ascii="Arial" w:eastAsia="Calibri" w:hAnsi="Arial" w:cs="Arial"/>
          <w:b/>
          <w:szCs w:val="28"/>
          <w:lang w:bidi="uk-UA"/>
        </w:rPr>
      </w:pPr>
    </w:p>
    <w:p w14:paraId="0CD566A7" w14:textId="77777777" w:rsidR="00C10374" w:rsidRPr="00875A11" w:rsidRDefault="00C10374" w:rsidP="003A292D">
      <w:pPr>
        <w:tabs>
          <w:tab w:val="left" w:pos="7088"/>
        </w:tabs>
        <w:spacing w:line="264" w:lineRule="auto"/>
        <w:jc w:val="center"/>
        <w:rPr>
          <w:rFonts w:ascii="Arial" w:eastAsia="Calibri" w:hAnsi="Arial" w:cs="Arial"/>
          <w:bCs/>
          <w:szCs w:val="28"/>
          <w:lang w:val="uk-UA" w:bidi="uk-UA"/>
        </w:rPr>
      </w:pPr>
      <w:r w:rsidRPr="00875A11">
        <w:rPr>
          <w:rFonts w:ascii="Arial" w:eastAsia="Calibri" w:hAnsi="Arial" w:cs="Arial"/>
          <w:b/>
          <w:szCs w:val="28"/>
          <w:lang w:val="en-US" w:bidi="uk-UA"/>
        </w:rPr>
        <w:t>C</w:t>
      </w:r>
      <w:r w:rsidRPr="00875A11">
        <w:rPr>
          <w:rFonts w:ascii="Arial" w:eastAsia="Calibri" w:hAnsi="Arial" w:cs="Arial"/>
          <w:b/>
          <w:szCs w:val="28"/>
          <w:lang w:val="uk-UA" w:bidi="uk-UA"/>
        </w:rPr>
        <w:t>писок використаних джерел</w:t>
      </w:r>
    </w:p>
    <w:p w14:paraId="71CFC97D" w14:textId="77777777" w:rsidR="00C10374" w:rsidRPr="00511005" w:rsidRDefault="00C10374" w:rsidP="003F6A5D">
      <w:pPr>
        <w:widowControl w:val="0"/>
        <w:numPr>
          <w:ilvl w:val="0"/>
          <w:numId w:val="828"/>
        </w:numPr>
        <w:tabs>
          <w:tab w:val="left" w:pos="7088"/>
        </w:tabs>
        <w:autoSpaceDE w:val="0"/>
        <w:autoSpaceDN w:val="0"/>
        <w:adjustRightInd w:val="0"/>
        <w:spacing w:line="264" w:lineRule="auto"/>
        <w:ind w:left="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Закон України "Про правовий режим воєнного стану". Закон України № 389-VI від 12 травня 2015 року URL: https://zakon.rada.gov.ua/laws/show/389-19#Text (дата звернення: 18 квітня 2025 р.)</w:t>
      </w:r>
    </w:p>
    <w:p w14:paraId="4B71C2C9" w14:textId="70F5AF90" w:rsidR="00C10374" w:rsidRPr="00511005" w:rsidRDefault="00C10374" w:rsidP="003F6A5D">
      <w:pPr>
        <w:widowControl w:val="0"/>
        <w:numPr>
          <w:ilvl w:val="0"/>
          <w:numId w:val="828"/>
        </w:numPr>
        <w:tabs>
          <w:tab w:val="left" w:pos="7088"/>
        </w:tabs>
        <w:autoSpaceDE w:val="0"/>
        <w:autoSpaceDN w:val="0"/>
        <w:adjustRightInd w:val="0"/>
        <w:spacing w:line="264" w:lineRule="auto"/>
        <w:ind w:left="0"/>
        <w:contextualSpacing/>
        <w:rPr>
          <w:rFonts w:ascii="Arial" w:eastAsia="Times New Roman" w:hAnsi="Arial" w:cs="Arial"/>
          <w:szCs w:val="28"/>
          <w:lang w:val="uk-UA" w:eastAsia="ru-RU"/>
        </w:rPr>
      </w:pPr>
      <w:r w:rsidRPr="00875A11">
        <w:rPr>
          <w:rFonts w:ascii="Arial" w:eastAsia="Times New Roman" w:hAnsi="Arial" w:cs="Arial"/>
          <w:szCs w:val="28"/>
          <w:lang w:val="uk-UA" w:eastAsia="ru-RU"/>
        </w:rPr>
        <w:t>Смокович М. І.</w:t>
      </w:r>
      <w:r w:rsidRPr="00511005">
        <w:rPr>
          <w:rFonts w:ascii="Arial" w:eastAsia="Times New Roman" w:hAnsi="Arial" w:cs="Arial"/>
          <w:b/>
          <w:szCs w:val="28"/>
          <w:lang w:val="uk-UA" w:eastAsia="ru-RU"/>
        </w:rPr>
        <w:t xml:space="preserve"> </w:t>
      </w:r>
      <w:r w:rsidRPr="00511005">
        <w:rPr>
          <w:rFonts w:ascii="Arial" w:eastAsia="Times New Roman" w:hAnsi="Arial" w:cs="Arial"/>
          <w:szCs w:val="28"/>
          <w:lang w:val="uk-UA" w:eastAsia="ru-RU"/>
        </w:rPr>
        <w:t xml:space="preserve">Здійснення правосуддя в умовах воєнного стану: до питання законодавчих змін. </w:t>
      </w:r>
      <w:r w:rsidRPr="00511005">
        <w:rPr>
          <w:rFonts w:ascii="Arial" w:eastAsia="Times New Roman" w:hAnsi="Arial" w:cs="Arial"/>
          <w:i/>
          <w:iCs/>
          <w:szCs w:val="28"/>
          <w:lang w:val="uk-UA" w:eastAsia="ru-RU"/>
        </w:rPr>
        <w:t>Вісник юридичних наук Ужгородського національного університету</w:t>
      </w:r>
      <w:r w:rsidRPr="00511005">
        <w:rPr>
          <w:rFonts w:ascii="Arial" w:eastAsia="Times New Roman" w:hAnsi="Arial" w:cs="Arial"/>
          <w:szCs w:val="28"/>
          <w:lang w:val="uk-UA" w:eastAsia="ru-RU"/>
        </w:rPr>
        <w:t>. 2022. Вип. 70. С. 72–77.</w:t>
      </w:r>
      <w:r w:rsidRPr="00511005">
        <w:rPr>
          <w:rFonts w:ascii="Arial" w:eastAsia="Times New Roman" w:hAnsi="Arial" w:cs="Arial"/>
          <w:szCs w:val="28"/>
          <w:lang w:val="uk-UA" w:eastAsia="ru-RU"/>
        </w:rPr>
        <w:br/>
        <w:t>URL: https://visnyk-juris-uzhnu.com/wp-content/uploads/2022/05/74.pdf (дата звернення: 18 квітня 2025 р.)</w:t>
      </w:r>
    </w:p>
    <w:p w14:paraId="664A74F4" w14:textId="77777777" w:rsidR="00C10374" w:rsidRPr="00511005" w:rsidRDefault="00C10374" w:rsidP="003F6A5D">
      <w:pPr>
        <w:widowControl w:val="0"/>
        <w:numPr>
          <w:ilvl w:val="0"/>
          <w:numId w:val="828"/>
        </w:numPr>
        <w:tabs>
          <w:tab w:val="left" w:pos="7088"/>
        </w:tabs>
        <w:autoSpaceDE w:val="0"/>
        <w:autoSpaceDN w:val="0"/>
        <w:adjustRightInd w:val="0"/>
        <w:spacing w:line="264" w:lineRule="auto"/>
        <w:ind w:left="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Шеремет О. С., Коверзнев В.О. Проблеми судового захисту прав осіб в </w:t>
      </w:r>
      <w:r w:rsidRPr="00511005">
        <w:rPr>
          <w:rFonts w:ascii="Arial" w:eastAsia="Times New Roman" w:hAnsi="Arial" w:cs="Arial"/>
          <w:szCs w:val="28"/>
          <w:lang w:val="uk-UA" w:eastAsia="ru-RU"/>
        </w:rPr>
        <w:lastRenderedPageBreak/>
        <w:t xml:space="preserve">умовах воєнного стану. Економіка та право. 2022. №2 (65). С. 25-30. URL: </w:t>
      </w:r>
      <w:hyperlink r:id="rId1153" w:history="1">
        <w:r w:rsidRPr="00511005">
          <w:rPr>
            <w:rFonts w:ascii="Arial" w:eastAsia="Times New Roman" w:hAnsi="Arial" w:cs="Arial"/>
            <w:szCs w:val="28"/>
            <w:lang w:val="uk-UA" w:eastAsia="ru-RU"/>
          </w:rPr>
          <w:t>https://doi.org/10.15407/econlaw.2022.02.025</w:t>
        </w:r>
      </w:hyperlink>
    </w:p>
    <w:p w14:paraId="5175AFF9" w14:textId="77777777" w:rsidR="00C10374" w:rsidRPr="00511005" w:rsidRDefault="00C10374" w:rsidP="003A292D">
      <w:pPr>
        <w:tabs>
          <w:tab w:val="left" w:pos="993"/>
          <w:tab w:val="left" w:pos="7088"/>
        </w:tabs>
        <w:spacing w:line="264" w:lineRule="auto"/>
        <w:ind w:firstLine="0"/>
        <w:rPr>
          <w:rFonts w:ascii="Arial" w:eastAsia="Calibri" w:hAnsi="Arial" w:cs="Arial"/>
          <w:b/>
          <w:bCs/>
          <w:szCs w:val="28"/>
          <w:lang w:val="uk-UA"/>
        </w:rPr>
      </w:pPr>
    </w:p>
    <w:p w14:paraId="2AECBC8C" w14:textId="4FA8B0DB" w:rsidR="00C10374" w:rsidRPr="00511005" w:rsidRDefault="007B2628" w:rsidP="003A292D">
      <w:pPr>
        <w:tabs>
          <w:tab w:val="left" w:pos="993"/>
          <w:tab w:val="left" w:pos="7088"/>
        </w:tabs>
        <w:spacing w:line="264" w:lineRule="auto"/>
        <w:ind w:firstLine="0"/>
        <w:rPr>
          <w:rFonts w:ascii="Arial" w:eastAsia="Calibri" w:hAnsi="Arial" w:cs="Arial"/>
          <w:szCs w:val="28"/>
        </w:rPr>
      </w:pPr>
      <w:r w:rsidRPr="00511005">
        <w:rPr>
          <w:rFonts w:ascii="Arial" w:eastAsia="Calibri" w:hAnsi="Arial" w:cs="Arial"/>
          <w:b/>
          <w:bCs/>
          <w:i/>
          <w:szCs w:val="28"/>
          <w:lang w:val="uk-UA"/>
        </w:rPr>
        <w:t xml:space="preserve">Ключові слова: </w:t>
      </w:r>
      <w:r w:rsidR="00C10374" w:rsidRPr="00511005">
        <w:rPr>
          <w:rFonts w:ascii="Arial" w:eastAsia="Calibri" w:hAnsi="Arial" w:cs="Arial"/>
          <w:szCs w:val="28"/>
          <w:lang w:val="uk-UA"/>
        </w:rPr>
        <w:t>здійснення правосуддя, воєнний стан, доступ до правосуддя, захист прав людини, правосуддя в умовах війни</w:t>
      </w:r>
      <w:r w:rsidR="00C10374" w:rsidRPr="00511005">
        <w:rPr>
          <w:rFonts w:ascii="Arial" w:eastAsia="Calibri" w:hAnsi="Arial" w:cs="Arial"/>
          <w:szCs w:val="28"/>
        </w:rPr>
        <w:t>.</w:t>
      </w:r>
    </w:p>
    <w:p w14:paraId="570A1F93" w14:textId="7067461C" w:rsidR="00C10374" w:rsidRPr="00511005" w:rsidRDefault="007B2628" w:rsidP="003A292D">
      <w:pPr>
        <w:tabs>
          <w:tab w:val="left" w:pos="993"/>
          <w:tab w:val="left" w:pos="7088"/>
        </w:tabs>
        <w:spacing w:line="264" w:lineRule="auto"/>
        <w:ind w:firstLine="0"/>
        <w:rPr>
          <w:rFonts w:ascii="Arial" w:eastAsia="Calibri" w:hAnsi="Arial" w:cs="Arial"/>
          <w:b/>
          <w:bCs/>
          <w:szCs w:val="28"/>
          <w:lang w:val="en-GB"/>
        </w:rPr>
      </w:pPr>
      <w:r w:rsidRPr="00511005">
        <w:rPr>
          <w:rFonts w:ascii="Arial" w:eastAsia="Calibri" w:hAnsi="Arial" w:cs="Arial"/>
          <w:b/>
          <w:bCs/>
          <w:i/>
          <w:szCs w:val="28"/>
          <w:lang w:val="uk-UA"/>
        </w:rPr>
        <w:t xml:space="preserve">Key words: </w:t>
      </w:r>
      <w:r w:rsidR="00C10374" w:rsidRPr="00511005">
        <w:rPr>
          <w:rFonts w:ascii="Arial" w:eastAsia="Calibri" w:hAnsi="Arial" w:cs="Arial"/>
          <w:szCs w:val="28"/>
          <w:lang w:val="en-GB"/>
        </w:rPr>
        <w:t>administration of justice, martial law, access to justice, protection of human rights, wartime justice.</w:t>
      </w:r>
    </w:p>
    <w:p w14:paraId="3A6A26A4" w14:textId="4EB77469" w:rsidR="00C10374" w:rsidRPr="00511005" w:rsidRDefault="007B2628" w:rsidP="003A292D">
      <w:pPr>
        <w:tabs>
          <w:tab w:val="left" w:pos="993"/>
          <w:tab w:val="left" w:pos="7088"/>
        </w:tabs>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C10374" w:rsidRPr="00511005">
        <w:rPr>
          <w:rFonts w:ascii="Arial" w:eastAsia="Calibri" w:hAnsi="Arial" w:cs="Arial"/>
          <w:i/>
          <w:iCs/>
          <w:szCs w:val="28"/>
          <w:lang w:val="uk-UA"/>
        </w:rPr>
        <w:t xml:space="preserve">к.ю.н., доцент Кравченко М. О. </w:t>
      </w:r>
    </w:p>
    <w:p w14:paraId="15592C0F" w14:textId="77777777" w:rsidR="00C10374" w:rsidRPr="00511005" w:rsidRDefault="00C10374" w:rsidP="003A292D">
      <w:pPr>
        <w:widowControl w:val="0"/>
        <w:spacing w:line="264" w:lineRule="auto"/>
        <w:ind w:firstLine="0"/>
        <w:rPr>
          <w:rFonts w:ascii="Arial" w:eastAsia="Calibri" w:hAnsi="Arial" w:cs="Arial"/>
          <w:szCs w:val="28"/>
        </w:rPr>
      </w:pPr>
    </w:p>
    <w:p w14:paraId="18FC040F" w14:textId="77777777" w:rsidR="00C10374" w:rsidRPr="00511005" w:rsidRDefault="00C10374" w:rsidP="003A292D">
      <w:pPr>
        <w:widowControl w:val="0"/>
        <w:spacing w:line="264" w:lineRule="auto"/>
        <w:ind w:firstLine="0"/>
        <w:rPr>
          <w:rFonts w:ascii="Arial" w:eastAsia="Calibri" w:hAnsi="Arial" w:cs="Arial"/>
          <w:szCs w:val="28"/>
        </w:rPr>
      </w:pPr>
    </w:p>
    <w:p w14:paraId="4B4D27D5" w14:textId="77777777" w:rsidR="00C10374" w:rsidRPr="00511005" w:rsidRDefault="00C10374" w:rsidP="003A292D">
      <w:pPr>
        <w:spacing w:line="264" w:lineRule="auto"/>
        <w:jc w:val="center"/>
        <w:rPr>
          <w:rFonts w:ascii="Arial" w:eastAsia="Times New Roman" w:hAnsi="Arial" w:cs="Arial"/>
          <w:i/>
          <w:szCs w:val="28"/>
          <w:lang w:val="uk-UA"/>
        </w:rPr>
      </w:pPr>
      <w:r w:rsidRPr="00511005">
        <w:rPr>
          <w:rFonts w:ascii="Arial" w:eastAsia="Times New Roman" w:hAnsi="Arial" w:cs="Arial"/>
          <w:b/>
          <w:i/>
          <w:szCs w:val="28"/>
          <w:lang w:val="uk-UA"/>
        </w:rPr>
        <w:t xml:space="preserve">Остапенко Світлана Олександрівна </w:t>
      </w:r>
    </w:p>
    <w:p w14:paraId="69FDE1C1" w14:textId="636FF0EC" w:rsidR="00C10374" w:rsidRPr="00511005" w:rsidRDefault="00BE3972" w:rsidP="003A292D">
      <w:pPr>
        <w:spacing w:line="264" w:lineRule="auto"/>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1-го курсу </w:t>
      </w:r>
      <w:r w:rsidR="001B7B25" w:rsidRPr="00511005">
        <w:rPr>
          <w:rFonts w:ascii="Arial" w:eastAsia="Times New Roman" w:hAnsi="Arial" w:cs="Arial"/>
          <w:szCs w:val="28"/>
          <w:lang w:val="uk-UA"/>
        </w:rPr>
        <w:t>факультету судового та міжнародного права</w:t>
      </w:r>
      <w:r w:rsidR="00C10374" w:rsidRPr="00511005">
        <w:rPr>
          <w:rFonts w:ascii="Arial" w:eastAsia="Times New Roman" w:hAnsi="Arial" w:cs="Arial"/>
          <w:szCs w:val="28"/>
          <w:lang w:val="uk-UA"/>
        </w:rPr>
        <w:t xml:space="preserve"> </w:t>
      </w:r>
    </w:p>
    <w:p w14:paraId="4BCA9EFA" w14:textId="05DCA5AD" w:rsidR="00C10374" w:rsidRPr="00511005" w:rsidRDefault="007B2628" w:rsidP="003A292D">
      <w:pPr>
        <w:spacing w:line="264" w:lineRule="auto"/>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3741ABF2" w14:textId="77777777" w:rsidR="00C10374" w:rsidRPr="00511005" w:rsidRDefault="00C10374" w:rsidP="003A292D">
      <w:pPr>
        <w:spacing w:line="264" w:lineRule="auto"/>
        <w:rPr>
          <w:rFonts w:ascii="Arial" w:eastAsia="Times New Roman" w:hAnsi="Arial" w:cs="Arial"/>
          <w:b/>
          <w:szCs w:val="28"/>
          <w:lang w:val="uk-UA"/>
        </w:rPr>
      </w:pPr>
    </w:p>
    <w:p w14:paraId="6D6E358F" w14:textId="77777777" w:rsidR="00C10374" w:rsidRPr="00511005" w:rsidRDefault="00C10374" w:rsidP="003A292D">
      <w:pPr>
        <w:spacing w:line="264" w:lineRule="auto"/>
        <w:jc w:val="center"/>
        <w:rPr>
          <w:rFonts w:ascii="Arial" w:eastAsia="Times New Roman" w:hAnsi="Arial" w:cs="Arial"/>
          <w:b/>
          <w:caps/>
          <w:szCs w:val="28"/>
          <w:lang w:val="uk-UA"/>
        </w:rPr>
      </w:pPr>
      <w:r w:rsidRPr="00511005">
        <w:rPr>
          <w:rFonts w:ascii="Arial" w:eastAsia="Times New Roman" w:hAnsi="Arial" w:cs="Arial"/>
          <w:b/>
          <w:caps/>
          <w:szCs w:val="28"/>
          <w:lang w:val="uk-UA"/>
        </w:rPr>
        <w:t>Система судоустрою України: проблеми та перспективи реформування</w:t>
      </w:r>
    </w:p>
    <w:p w14:paraId="38099634" w14:textId="77777777" w:rsidR="00C10374" w:rsidRPr="00511005" w:rsidRDefault="00C10374" w:rsidP="003A292D">
      <w:pPr>
        <w:spacing w:line="264" w:lineRule="auto"/>
        <w:rPr>
          <w:rFonts w:ascii="Arial" w:eastAsia="Times New Roman" w:hAnsi="Arial" w:cs="Arial"/>
          <w:b/>
          <w:szCs w:val="28"/>
          <w:lang w:val="uk-UA"/>
        </w:rPr>
      </w:pPr>
    </w:p>
    <w:p w14:paraId="62D4080E" w14:textId="77777777" w:rsidR="00C10374"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Судова система є важливою основою забезпечення правопорядку, реалізації верховенства права та захисту прав і свобод громадян. В Україні, яка є демократичною правовою державою, судова влада відіграє ключову роль у зміцненні довіри громадян до державних інституцій та забезпеченні справедливості.</w:t>
      </w:r>
    </w:p>
    <w:p w14:paraId="7B45DFA4" w14:textId="77777777" w:rsidR="00C10374"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Після Революції Гідності у 2014 році реформування судової системи стало пріоритетом державної політики. Було ухвалено низку законодавчих актів, спрямованих на підвищення прозорості, ефективності та незалежності суддів. Зокрема, у 2016 році були внесені зміни до Конституції України та прийнято новий Закон України «Про судоустрій і статус суддів», що стало початком масштабної судової реформи.</w:t>
      </w:r>
    </w:p>
    <w:p w14:paraId="42A19F9F" w14:textId="77777777" w:rsidR="00C10374"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Незважаючи на ці зусилля, дослідження та громадська думка свідчать про низький рівень довіри до судоустрою в Україні. Це пов’язано як із тривалими історичними проблемами, так і з недостатньою результативністю проведених реформ. Зокрема, проблеми корупції, впливу політичних сил на суддів, дефіциту кваліфікованих кадрів і недоліки законодавства продовжують негативно впливати на ефективність судової влади.</w:t>
      </w:r>
    </w:p>
    <w:p w14:paraId="180EA725" w14:textId="77777777" w:rsidR="007B2628"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У такій ситуації важливо переосмислити сучасний стан судової системи, провести аналіз основних проблем, що перешкоджають її реформуванню, та запропонувати практичні рішення для вдосконалення. Особливу увагу слід приділити створенню незалежної, ефективної та сучасної системи правосуддя, яка стане основою демократичного розвитку України.</w:t>
      </w:r>
    </w:p>
    <w:p w14:paraId="2EB546E0" w14:textId="23A8A6AB" w:rsidR="00C10374"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Станом на 2025 рік, судоустрій України перебуває в критичному стані, що обумовлено сукупністю системних проблем, які накопичувалися </w:t>
      </w:r>
      <w:r w:rsidRPr="00511005">
        <w:rPr>
          <w:rFonts w:ascii="Arial" w:eastAsia="Times New Roman" w:hAnsi="Arial" w:cs="Arial"/>
          <w:szCs w:val="28"/>
          <w:lang w:val="uk-UA"/>
        </w:rPr>
        <w:lastRenderedPageBreak/>
        <w:t xml:space="preserve">впродовж десятиліть. Однією з першочергових проблем залишається високий рівень корупції та відповідно – вкрай низький рівень довіри громадян до судової влади. За даними онлайн-опитування "Соціально політичні настрої українців", понад 69% українців вважають судову гілку влади найбільш корумпованою, що суттєво підриває її авторитет і правову легітимність [1]. </w:t>
      </w:r>
    </w:p>
    <w:p w14:paraId="7B6CCF52" w14:textId="77777777" w:rsidR="00C10374"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Другою фундаментальною проблемою функціонування судової системи є загроза політичного впливу на суддівський корпус. Незалежність суддів гарантована статтею 126 Конституції України </w:t>
      </w:r>
      <w:r w:rsidRPr="00511005">
        <w:rPr>
          <w:rFonts w:ascii="Arial" w:eastAsia="Times New Roman" w:hAnsi="Arial" w:cs="Arial"/>
          <w:szCs w:val="28"/>
        </w:rPr>
        <w:t>[2]</w:t>
      </w:r>
      <w:r w:rsidRPr="00511005">
        <w:rPr>
          <w:rFonts w:ascii="Arial" w:eastAsia="Times New Roman" w:hAnsi="Arial" w:cs="Arial"/>
          <w:szCs w:val="28"/>
          <w:lang w:val="uk-UA"/>
        </w:rPr>
        <w:t>, яка прямо забороняє будь-який вплив на суддю. Водночас участь органів законодавчої влади, зокрема Верховної Ради України, у формуванні складу Вищої ради правосуддя, що здійснює ключові кадрові та дисциплінарні функції щодо суддів, створює потенційні ризики для дотримання принципу незалежності судової влади.</w:t>
      </w:r>
    </w:p>
    <w:p w14:paraId="7520FEE9" w14:textId="77777777" w:rsidR="007B2628"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Третім викликом є гострий кадровий дефіцит. Унаслідок тривалих реформ та оновлення органів суддівського врядування на початок 2024 року понад 1800 суддівських посад залишаються вакантними за даними Вищої кваліфікаційної комісії суддів (далі - ВККС) [3]. Це спричиняє перевантаження судів, затягування розгляду справ та зниження ефективності судочинства. </w:t>
      </w:r>
    </w:p>
    <w:p w14:paraId="69690D10" w14:textId="77777777" w:rsidR="007B2628"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Четверта проблема – нестабільність правового регулювання. Часті зміни до процесуального законодавства, неоднозначність правових норм і низька якість законотворчої роботи зумовлюють правову невизначеність, що, у свою чергу, призводить до нерівномірної судової практики та зростання кількості апеляційних і касаційних проваджень. Разом ці проблеми демонструють невідповідність чинної моделі правосуддя очікуванням суспільства та європейським стандартам. Проте саме в цьому контексті виникає потреба в глибоких і системних змінах. Україна вже ініціювала низку важливих реформ, спрямованих на відновлення довіри до судової влади та її ефективного функціонування. Серед ключових заходів слід відзначити відновлення діяльності ВККС, що за участі міжнародних експертів здійснює добір суддів на основі професіоналізму й доброчесності [4]. Також значний потенціал має цифровізація судочинства через впровадження системи "Електронний суд", яка мінімізує корупційні ризики та підвищує доступність правосуддя [5]. Важливу роль відіграє й громадський контроль – зокрема, діяльність Громадської ради доброчесності (далі – ГРД), яка оцінює моральні якості кандидатів на посади суддів, сприяючи прозорості судової реформи. Згідно зі статтею 87 Закону України «Про судоустрій і статус суддів», ГРД утворюється з метою сприяння Вищій кваліфікаційній комісії суддів України у встановленні відповідності судді (кандидата на посаду судді) критеріям професійної етики та доброчесності для цілей кваліфікаційного оцінювання. ГРД збирає, перевіряє та аналізує </w:t>
      </w:r>
      <w:r w:rsidRPr="00511005">
        <w:rPr>
          <w:rFonts w:ascii="Arial" w:eastAsia="Times New Roman" w:hAnsi="Arial" w:cs="Arial"/>
          <w:szCs w:val="28"/>
          <w:lang w:val="uk-UA"/>
        </w:rPr>
        <w:lastRenderedPageBreak/>
        <w:t xml:space="preserve">інформацію щодо судді або кандидата на посаду судді, а також надає Вищій кваліфікаційній комісії суддів України висновки про відповідність або невідповідність критеріям професійної етики та доброчесності [6]. </w:t>
      </w:r>
    </w:p>
    <w:p w14:paraId="39967F66" w14:textId="77777777" w:rsidR="007B2628"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Завершальним, але не менш важливим напрямом є імплементація європейських стандартів у сфері судочинства, що охоплює виконання рішень Європейського суду з прав людини (далі – ЄСПЛ), адаптацію національного законодавства до acquis Європейського Союзу та впровадження принципів верховенства права.</w:t>
      </w:r>
    </w:p>
    <w:p w14:paraId="34E7794C" w14:textId="77777777" w:rsidR="007B2628"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Таким чином, судова система України нині перебуває у фазі трансформаційного переходу, в межах якого виявлені проблеми створюють основу для глибоких змін.</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За умови послідовної реалізації реформ можна очікувати формування незалежної, ефективної та справедливої судової системи, здатної забезпечити демократичний розвиток держави та її інтеграцію в європейський правовий простір.</w:t>
      </w:r>
    </w:p>
    <w:p w14:paraId="5CE591AD" w14:textId="5DA242BF" w:rsidR="00C10374"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Отже, реформування судоустройної системи в Україні слід розглядати не лише як суто юридичне завдання, а як комплексний процес, що охоплює політичні, соціальні та культурні виміри. Це — багаторівневе випробування для держави, громадянського суспільства та міжнародної спільноти, яке потребує консолідованих зусиль і відповідальності з боку всіх зацікавлених сторін.</w:t>
      </w:r>
    </w:p>
    <w:p w14:paraId="6E1288F7" w14:textId="77777777" w:rsidR="00C10374" w:rsidRPr="00511005" w:rsidRDefault="00C10374"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Якість і незалежність судочинства безпосередньо впливають на довіру громадян до влади, ефективність реформ та інтеграцію України до європейського правового простору. Успішне втілення судової реформи стане маркером зрілості українських інституцій та вагомим кроком на шляху до зміцнення демократичного устрою, верховенства права і сталого розвитку держави.</w:t>
      </w:r>
    </w:p>
    <w:p w14:paraId="581D53E1" w14:textId="77777777" w:rsidR="00C10374" w:rsidRPr="00511005" w:rsidRDefault="00C10374" w:rsidP="003A292D">
      <w:pPr>
        <w:spacing w:line="264" w:lineRule="auto"/>
        <w:rPr>
          <w:rFonts w:ascii="Arial" w:eastAsia="Times New Roman" w:hAnsi="Arial" w:cs="Arial"/>
          <w:szCs w:val="28"/>
          <w:lang w:val="uk-UA"/>
        </w:rPr>
      </w:pPr>
    </w:p>
    <w:p w14:paraId="7827CB28" w14:textId="5176F63B" w:rsidR="00C10374" w:rsidRPr="00511005" w:rsidRDefault="007B2628" w:rsidP="007B2628">
      <w:pPr>
        <w:spacing w:line="264" w:lineRule="auto"/>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29A9B75E" w14:textId="6D1296B2" w:rsidR="00C10374" w:rsidRPr="00511005" w:rsidRDefault="00C10374" w:rsidP="003F6A5D">
      <w:pPr>
        <w:numPr>
          <w:ilvl w:val="0"/>
          <w:numId w:val="313"/>
        </w:numPr>
        <w:spacing w:line="264" w:lineRule="auto"/>
        <w:ind w:left="0" w:firstLine="709"/>
        <w:rPr>
          <w:rFonts w:ascii="Arial" w:eastAsia="Times New Roman" w:hAnsi="Arial" w:cs="Arial"/>
          <w:szCs w:val="28"/>
          <w:lang w:val="uk-UA"/>
        </w:rPr>
      </w:pPr>
      <w:r w:rsidRPr="00511005">
        <w:rPr>
          <w:rFonts w:ascii="Arial" w:eastAsia="Times New Roman" w:hAnsi="Arial" w:cs="Arial"/>
          <w:szCs w:val="28"/>
          <w:lang w:val="uk-UA"/>
        </w:rPr>
        <w:t>Найбільш поширеною корупцію вважають у судовій системі та державних органах влади України. / Результати онлайн-опитування "Соціально політичні настрої українців" 04.04.2025</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en-US"/>
        </w:rPr>
        <w:t>URL</w:t>
      </w:r>
      <w:r w:rsidRPr="00511005">
        <w:rPr>
          <w:rFonts w:ascii="Arial" w:eastAsia="Times New Roman" w:hAnsi="Arial" w:cs="Arial"/>
          <w:szCs w:val="28"/>
          <w:lang w:val="uk-UA"/>
        </w:rPr>
        <w:t xml:space="preserve">: </w:t>
      </w:r>
      <w:hyperlink r:id="rId1154" w:history="1">
        <w:r w:rsidRPr="00511005">
          <w:rPr>
            <w:rFonts w:ascii="Arial" w:eastAsia="Times New Roman" w:hAnsi="Arial" w:cs="Arial"/>
            <w:szCs w:val="28"/>
            <w:lang w:val="uk-UA"/>
          </w:rPr>
          <w:t>https://www.dsnews.ua/ukr/politics/dvi-tretini-ukrajinciv-vvazhayut-shcho-korupciji-v-derzhavi-za-ostanniy-rik-pobilshalo-04022025-516160</w:t>
        </w:r>
      </w:hyperlink>
      <w:r w:rsidRPr="00511005">
        <w:rPr>
          <w:rFonts w:ascii="Arial" w:eastAsia="Times New Roman" w:hAnsi="Arial" w:cs="Arial"/>
          <w:szCs w:val="28"/>
          <w:lang w:val="uk-UA"/>
        </w:rPr>
        <w:t xml:space="preserve"> </w:t>
      </w:r>
    </w:p>
    <w:p w14:paraId="6EEC521C" w14:textId="64ED7297" w:rsidR="00C10374" w:rsidRPr="00511005" w:rsidRDefault="00C10374" w:rsidP="003F6A5D">
      <w:pPr>
        <w:numPr>
          <w:ilvl w:val="0"/>
          <w:numId w:val="313"/>
        </w:numPr>
        <w:spacing w:line="264" w:lineRule="auto"/>
        <w:ind w:left="0" w:firstLine="709"/>
        <w:rPr>
          <w:rFonts w:ascii="Arial" w:eastAsia="Times New Roman" w:hAnsi="Arial" w:cs="Arial"/>
          <w:szCs w:val="28"/>
          <w:lang w:val="uk-UA"/>
        </w:rPr>
      </w:pPr>
      <w:r w:rsidRPr="00511005">
        <w:rPr>
          <w:rFonts w:ascii="Arial" w:eastAsia="Times New Roman" w:hAnsi="Arial" w:cs="Arial"/>
          <w:szCs w:val="28"/>
          <w:lang w:val="uk-UA"/>
        </w:rPr>
        <w:t>Конституція України.</w:t>
      </w:r>
      <w:r w:rsidRPr="00511005">
        <w:rPr>
          <w:rFonts w:ascii="Arial" w:eastAsia="Calibri" w:hAnsi="Arial" w:cs="Arial"/>
          <w:szCs w:val="28"/>
          <w:lang w:val="uk-UA"/>
        </w:rPr>
        <w:t xml:space="preserve"> </w:t>
      </w:r>
      <w:r w:rsidRPr="00511005">
        <w:rPr>
          <w:rFonts w:ascii="Arial" w:eastAsia="Times New Roman" w:hAnsi="Arial" w:cs="Arial"/>
          <w:i/>
          <w:szCs w:val="28"/>
          <w:lang w:val="uk-UA"/>
        </w:rPr>
        <w:t>Відомості Верховної Ради України (ВВР),</w:t>
      </w:r>
      <w:r w:rsidRPr="00511005">
        <w:rPr>
          <w:rFonts w:ascii="Arial" w:eastAsia="Times New Roman" w:hAnsi="Arial" w:cs="Arial"/>
          <w:szCs w:val="28"/>
          <w:lang w:val="uk-UA"/>
        </w:rPr>
        <w:t xml:space="preserve"> 1996, № 30, ст. 141)</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en-US"/>
        </w:rPr>
        <w:t>URL</w:t>
      </w:r>
      <w:r w:rsidRPr="00511005">
        <w:rPr>
          <w:rFonts w:ascii="Arial" w:eastAsia="Times New Roman" w:hAnsi="Arial" w:cs="Arial"/>
          <w:szCs w:val="28"/>
          <w:lang w:val="uk-UA"/>
        </w:rPr>
        <w:t>:</w:t>
      </w:r>
      <w:r w:rsidR="007B2628" w:rsidRPr="00511005">
        <w:rPr>
          <w:rFonts w:ascii="Arial" w:eastAsia="Times New Roman" w:hAnsi="Arial" w:cs="Arial"/>
          <w:szCs w:val="28"/>
          <w:lang w:val="uk-UA"/>
        </w:rPr>
        <w:t xml:space="preserve"> </w:t>
      </w:r>
      <w:hyperlink r:id="rId1155" w:history="1">
        <w:r w:rsidRPr="00511005">
          <w:rPr>
            <w:rFonts w:ascii="Arial" w:eastAsia="Times New Roman" w:hAnsi="Arial" w:cs="Arial"/>
            <w:szCs w:val="28"/>
            <w:lang w:val="en-US"/>
          </w:rPr>
          <w:t>https</w:t>
        </w:r>
        <w:r w:rsidRPr="00511005">
          <w:rPr>
            <w:rFonts w:ascii="Arial" w:eastAsia="Times New Roman" w:hAnsi="Arial" w:cs="Arial"/>
            <w:szCs w:val="28"/>
            <w:lang w:val="uk-UA"/>
          </w:rPr>
          <w:t>://</w:t>
        </w:r>
        <w:r w:rsidRPr="00511005">
          <w:rPr>
            <w:rFonts w:ascii="Arial" w:eastAsia="Times New Roman" w:hAnsi="Arial" w:cs="Arial"/>
            <w:szCs w:val="28"/>
            <w:lang w:val="en-US"/>
          </w:rPr>
          <w:t>zakon</w:t>
        </w:r>
        <w:r w:rsidRPr="00511005">
          <w:rPr>
            <w:rFonts w:ascii="Arial" w:eastAsia="Times New Roman" w:hAnsi="Arial" w:cs="Arial"/>
            <w:szCs w:val="28"/>
            <w:lang w:val="uk-UA"/>
          </w:rPr>
          <w:t>.</w:t>
        </w:r>
        <w:r w:rsidRPr="00511005">
          <w:rPr>
            <w:rFonts w:ascii="Arial" w:eastAsia="Times New Roman" w:hAnsi="Arial" w:cs="Arial"/>
            <w:szCs w:val="28"/>
            <w:lang w:val="en-US"/>
          </w:rPr>
          <w:t>rada</w:t>
        </w:r>
        <w:r w:rsidRPr="00511005">
          <w:rPr>
            <w:rFonts w:ascii="Arial" w:eastAsia="Times New Roman" w:hAnsi="Arial" w:cs="Arial"/>
            <w:szCs w:val="28"/>
            <w:lang w:val="uk-UA"/>
          </w:rPr>
          <w:t>.</w:t>
        </w:r>
        <w:r w:rsidRPr="00511005">
          <w:rPr>
            <w:rFonts w:ascii="Arial" w:eastAsia="Times New Roman" w:hAnsi="Arial" w:cs="Arial"/>
            <w:szCs w:val="28"/>
            <w:lang w:val="en-US"/>
          </w:rPr>
          <w:t>gov</w:t>
        </w:r>
        <w:r w:rsidRPr="00511005">
          <w:rPr>
            <w:rFonts w:ascii="Arial" w:eastAsia="Times New Roman" w:hAnsi="Arial" w:cs="Arial"/>
            <w:szCs w:val="28"/>
            <w:lang w:val="uk-UA"/>
          </w:rPr>
          <w:t>.</w:t>
        </w:r>
        <w:r w:rsidRPr="00511005">
          <w:rPr>
            <w:rFonts w:ascii="Arial" w:eastAsia="Times New Roman" w:hAnsi="Arial" w:cs="Arial"/>
            <w:szCs w:val="28"/>
            <w:lang w:val="en-US"/>
          </w:rPr>
          <w:t>ua</w:t>
        </w:r>
        <w:r w:rsidRPr="00511005">
          <w:rPr>
            <w:rFonts w:ascii="Arial" w:eastAsia="Times New Roman" w:hAnsi="Arial" w:cs="Arial"/>
            <w:szCs w:val="28"/>
            <w:lang w:val="uk-UA"/>
          </w:rPr>
          <w:t>/</w:t>
        </w:r>
        <w:r w:rsidRPr="00511005">
          <w:rPr>
            <w:rFonts w:ascii="Arial" w:eastAsia="Times New Roman" w:hAnsi="Arial" w:cs="Arial"/>
            <w:szCs w:val="28"/>
            <w:lang w:val="en-US"/>
          </w:rPr>
          <w:t>laws</w:t>
        </w:r>
        <w:r w:rsidRPr="00511005">
          <w:rPr>
            <w:rFonts w:ascii="Arial" w:eastAsia="Times New Roman" w:hAnsi="Arial" w:cs="Arial"/>
            <w:szCs w:val="28"/>
            <w:lang w:val="uk-UA"/>
          </w:rPr>
          <w:t>/</w:t>
        </w:r>
        <w:r w:rsidRPr="00511005">
          <w:rPr>
            <w:rFonts w:ascii="Arial" w:eastAsia="Times New Roman" w:hAnsi="Arial" w:cs="Arial"/>
            <w:szCs w:val="28"/>
            <w:lang w:val="en-US"/>
          </w:rPr>
          <w:t>show</w:t>
        </w:r>
        <w:r w:rsidRPr="00511005">
          <w:rPr>
            <w:rFonts w:ascii="Arial" w:eastAsia="Times New Roman" w:hAnsi="Arial" w:cs="Arial"/>
            <w:szCs w:val="28"/>
            <w:lang w:val="uk-UA"/>
          </w:rPr>
          <w:t>/254%</w:t>
        </w:r>
        <w:r w:rsidRPr="00511005">
          <w:rPr>
            <w:rFonts w:ascii="Arial" w:eastAsia="Times New Roman" w:hAnsi="Arial" w:cs="Arial"/>
            <w:szCs w:val="28"/>
            <w:lang w:val="en-US"/>
          </w:rPr>
          <w:t>D</w:t>
        </w:r>
        <w:r w:rsidRPr="00511005">
          <w:rPr>
            <w:rFonts w:ascii="Arial" w:eastAsia="Times New Roman" w:hAnsi="Arial" w:cs="Arial"/>
            <w:szCs w:val="28"/>
            <w:lang w:val="uk-UA"/>
          </w:rPr>
          <w:t>0%</w:t>
        </w:r>
        <w:r w:rsidRPr="00511005">
          <w:rPr>
            <w:rFonts w:ascii="Arial" w:eastAsia="Times New Roman" w:hAnsi="Arial" w:cs="Arial"/>
            <w:szCs w:val="28"/>
            <w:lang w:val="en-US"/>
          </w:rPr>
          <w:t>BA</w:t>
        </w:r>
        <w:r w:rsidRPr="00511005">
          <w:rPr>
            <w:rFonts w:ascii="Arial" w:eastAsia="Times New Roman" w:hAnsi="Arial" w:cs="Arial"/>
            <w:szCs w:val="28"/>
            <w:lang w:val="uk-UA"/>
          </w:rPr>
          <w:t>/96-%</w:t>
        </w:r>
        <w:r w:rsidRPr="00511005">
          <w:rPr>
            <w:rFonts w:ascii="Arial" w:eastAsia="Times New Roman" w:hAnsi="Arial" w:cs="Arial"/>
            <w:szCs w:val="28"/>
            <w:lang w:val="en-US"/>
          </w:rPr>
          <w:t>D</w:t>
        </w:r>
        <w:r w:rsidRPr="00511005">
          <w:rPr>
            <w:rFonts w:ascii="Arial" w:eastAsia="Times New Roman" w:hAnsi="Arial" w:cs="Arial"/>
            <w:szCs w:val="28"/>
            <w:lang w:val="uk-UA"/>
          </w:rPr>
          <w:t>0%</w:t>
        </w:r>
        <w:r w:rsidRPr="00511005">
          <w:rPr>
            <w:rFonts w:ascii="Arial" w:eastAsia="Times New Roman" w:hAnsi="Arial" w:cs="Arial"/>
            <w:szCs w:val="28"/>
            <w:lang w:val="en-US"/>
          </w:rPr>
          <w:t>B</w:t>
        </w:r>
        <w:r w:rsidRPr="00511005">
          <w:rPr>
            <w:rFonts w:ascii="Arial" w:eastAsia="Times New Roman" w:hAnsi="Arial" w:cs="Arial"/>
            <w:szCs w:val="28"/>
            <w:lang w:val="uk-UA"/>
          </w:rPr>
          <w:t>2%</w:t>
        </w:r>
        <w:r w:rsidRPr="00511005">
          <w:rPr>
            <w:rFonts w:ascii="Arial" w:eastAsia="Times New Roman" w:hAnsi="Arial" w:cs="Arial"/>
            <w:szCs w:val="28"/>
            <w:lang w:val="en-US"/>
          </w:rPr>
          <w:t>D</w:t>
        </w:r>
        <w:r w:rsidRPr="00511005">
          <w:rPr>
            <w:rFonts w:ascii="Arial" w:eastAsia="Times New Roman" w:hAnsi="Arial" w:cs="Arial"/>
            <w:szCs w:val="28"/>
            <w:lang w:val="uk-UA"/>
          </w:rPr>
          <w:t>1%80</w:t>
        </w:r>
      </w:hyperlink>
      <w:r w:rsidRPr="00511005">
        <w:rPr>
          <w:rFonts w:ascii="Arial" w:eastAsia="Times New Roman" w:hAnsi="Arial" w:cs="Arial"/>
          <w:szCs w:val="28"/>
          <w:lang w:val="uk-UA"/>
        </w:rPr>
        <w:t xml:space="preserve"> </w:t>
      </w:r>
    </w:p>
    <w:p w14:paraId="7B16E884" w14:textId="785A2E0F" w:rsidR="00C10374" w:rsidRPr="00055389" w:rsidRDefault="00C10374" w:rsidP="003F6A5D">
      <w:pPr>
        <w:numPr>
          <w:ilvl w:val="0"/>
          <w:numId w:val="313"/>
        </w:numPr>
        <w:spacing w:line="264" w:lineRule="auto"/>
        <w:ind w:left="0" w:firstLine="709"/>
        <w:rPr>
          <w:rFonts w:ascii="Arial" w:eastAsia="Times New Roman" w:hAnsi="Arial" w:cs="Arial"/>
          <w:szCs w:val="28"/>
          <w:lang w:val="uk-UA"/>
        </w:rPr>
      </w:pPr>
      <w:r w:rsidRPr="00511005">
        <w:rPr>
          <w:rFonts w:ascii="Arial" w:eastAsia="Times New Roman" w:hAnsi="Arial" w:cs="Arial"/>
          <w:szCs w:val="28"/>
          <w:lang w:val="uk-UA"/>
        </w:rPr>
        <w:t>ВККСУ оголосила про початок наймасштабнішого добору на посади суддів місцевих судів.</w:t>
      </w:r>
      <w:r w:rsidR="007B2628" w:rsidRPr="00055389">
        <w:rPr>
          <w:rFonts w:ascii="Arial" w:eastAsia="Times New Roman" w:hAnsi="Arial" w:cs="Arial"/>
          <w:szCs w:val="28"/>
          <w:lang w:val="uk-UA"/>
        </w:rPr>
        <w:t xml:space="preserve"> </w:t>
      </w:r>
      <w:r w:rsidRPr="00055389">
        <w:rPr>
          <w:rFonts w:ascii="Arial" w:eastAsia="Times New Roman" w:hAnsi="Arial" w:cs="Arial"/>
          <w:szCs w:val="28"/>
          <w:lang w:val="uk-UA"/>
        </w:rPr>
        <w:t xml:space="preserve">/ </w:t>
      </w:r>
      <w:r w:rsidRPr="00055389">
        <w:rPr>
          <w:rFonts w:ascii="Arial" w:eastAsia="Times New Roman" w:hAnsi="Arial" w:cs="Arial"/>
          <w:i/>
          <w:szCs w:val="28"/>
          <w:lang w:val="uk-UA"/>
        </w:rPr>
        <w:t>Дані опублікувала Вища кваліфікаційна комісія суддів України</w:t>
      </w:r>
      <w:r w:rsidR="007B2628" w:rsidRPr="00055389">
        <w:rPr>
          <w:rFonts w:ascii="Arial" w:eastAsia="Times New Roman" w:hAnsi="Arial" w:cs="Arial"/>
          <w:i/>
          <w:szCs w:val="28"/>
          <w:lang w:val="uk-UA"/>
        </w:rPr>
        <w:t xml:space="preserve"> </w:t>
      </w:r>
      <w:r w:rsidRPr="00055389">
        <w:rPr>
          <w:rFonts w:ascii="Arial" w:eastAsia="Times New Roman" w:hAnsi="Arial" w:cs="Arial"/>
          <w:i/>
          <w:szCs w:val="28"/>
          <w:lang w:val="uk-UA"/>
        </w:rPr>
        <w:t>17.12.2024</w:t>
      </w:r>
      <w:r w:rsidR="007B2628" w:rsidRPr="00055389">
        <w:rPr>
          <w:rFonts w:ascii="Arial" w:eastAsia="Times New Roman" w:hAnsi="Arial" w:cs="Arial"/>
          <w:szCs w:val="28"/>
          <w:lang w:val="uk-UA"/>
        </w:rPr>
        <w:t xml:space="preserve"> </w:t>
      </w:r>
      <w:r w:rsidRPr="00511005">
        <w:rPr>
          <w:rFonts w:ascii="Arial" w:eastAsia="Times New Roman" w:hAnsi="Arial" w:cs="Arial"/>
          <w:szCs w:val="28"/>
          <w:lang w:val="en-US"/>
        </w:rPr>
        <w:t>URL</w:t>
      </w:r>
      <w:r w:rsidRPr="00055389">
        <w:rPr>
          <w:rFonts w:ascii="Arial" w:eastAsia="Times New Roman" w:hAnsi="Arial" w:cs="Arial"/>
          <w:szCs w:val="28"/>
          <w:lang w:val="uk-UA"/>
        </w:rPr>
        <w:t>:</w:t>
      </w:r>
      <w:r w:rsidR="007B2628" w:rsidRPr="00055389">
        <w:rPr>
          <w:rFonts w:ascii="Arial" w:eastAsia="Times New Roman" w:hAnsi="Arial" w:cs="Arial"/>
          <w:szCs w:val="28"/>
          <w:lang w:val="uk-UA"/>
        </w:rPr>
        <w:t xml:space="preserve"> </w:t>
      </w:r>
      <w:hyperlink r:id="rId1156" w:history="1">
        <w:r w:rsidRPr="00511005">
          <w:rPr>
            <w:rFonts w:ascii="Arial" w:eastAsia="Times New Roman" w:hAnsi="Arial" w:cs="Arial"/>
            <w:szCs w:val="28"/>
            <w:lang w:val="en-US"/>
          </w:rPr>
          <w:t>https</w:t>
        </w:r>
        <w:r w:rsidRPr="00055389">
          <w:rPr>
            <w:rFonts w:ascii="Arial" w:eastAsia="Times New Roman" w:hAnsi="Arial" w:cs="Arial"/>
            <w:szCs w:val="28"/>
            <w:lang w:val="uk-UA"/>
          </w:rPr>
          <w:t>://</w:t>
        </w:r>
        <w:r w:rsidRPr="00511005">
          <w:rPr>
            <w:rFonts w:ascii="Arial" w:eastAsia="Times New Roman" w:hAnsi="Arial" w:cs="Arial"/>
            <w:szCs w:val="28"/>
            <w:lang w:val="en-US"/>
          </w:rPr>
          <w:t>www</w:t>
        </w:r>
        <w:r w:rsidRPr="00055389">
          <w:rPr>
            <w:rFonts w:ascii="Arial" w:eastAsia="Times New Roman" w:hAnsi="Arial" w:cs="Arial"/>
            <w:szCs w:val="28"/>
            <w:lang w:val="uk-UA"/>
          </w:rPr>
          <w:t>.</w:t>
        </w:r>
        <w:r w:rsidRPr="00511005">
          <w:rPr>
            <w:rFonts w:ascii="Arial" w:eastAsia="Times New Roman" w:hAnsi="Arial" w:cs="Arial"/>
            <w:szCs w:val="28"/>
            <w:lang w:val="en-US"/>
          </w:rPr>
          <w:t>vkksu</w:t>
        </w:r>
        <w:r w:rsidRPr="00055389">
          <w:rPr>
            <w:rFonts w:ascii="Arial" w:eastAsia="Times New Roman" w:hAnsi="Arial" w:cs="Arial"/>
            <w:szCs w:val="28"/>
            <w:lang w:val="uk-UA"/>
          </w:rPr>
          <w:t>.</w:t>
        </w:r>
        <w:r w:rsidRPr="00511005">
          <w:rPr>
            <w:rFonts w:ascii="Arial" w:eastAsia="Times New Roman" w:hAnsi="Arial" w:cs="Arial"/>
            <w:szCs w:val="28"/>
            <w:lang w:val="en-US"/>
          </w:rPr>
          <w:t>gov</w:t>
        </w:r>
        <w:r w:rsidRPr="00055389">
          <w:rPr>
            <w:rFonts w:ascii="Arial" w:eastAsia="Times New Roman" w:hAnsi="Arial" w:cs="Arial"/>
            <w:szCs w:val="28"/>
            <w:lang w:val="uk-UA"/>
          </w:rPr>
          <w:t>.</w:t>
        </w:r>
        <w:r w:rsidRPr="00511005">
          <w:rPr>
            <w:rFonts w:ascii="Arial" w:eastAsia="Times New Roman" w:hAnsi="Arial" w:cs="Arial"/>
            <w:szCs w:val="28"/>
            <w:lang w:val="en-US"/>
          </w:rPr>
          <w:t>ua</w:t>
        </w:r>
        <w:r w:rsidRPr="00055389">
          <w:rPr>
            <w:rFonts w:ascii="Arial" w:eastAsia="Times New Roman" w:hAnsi="Arial" w:cs="Arial"/>
            <w:szCs w:val="28"/>
            <w:lang w:val="uk-UA"/>
          </w:rPr>
          <w:t>/</w:t>
        </w:r>
        <w:r w:rsidRPr="00511005">
          <w:rPr>
            <w:rFonts w:ascii="Arial" w:eastAsia="Times New Roman" w:hAnsi="Arial" w:cs="Arial"/>
            <w:szCs w:val="28"/>
            <w:lang w:val="en-US"/>
          </w:rPr>
          <w:t>news</w:t>
        </w:r>
        <w:r w:rsidRPr="00055389">
          <w:rPr>
            <w:rFonts w:ascii="Arial" w:eastAsia="Times New Roman" w:hAnsi="Arial" w:cs="Arial"/>
            <w:szCs w:val="28"/>
            <w:lang w:val="uk-UA"/>
          </w:rPr>
          <w:t>/</w:t>
        </w:r>
        <w:r w:rsidRPr="00511005">
          <w:rPr>
            <w:rFonts w:ascii="Arial" w:eastAsia="Times New Roman" w:hAnsi="Arial" w:cs="Arial"/>
            <w:szCs w:val="28"/>
            <w:lang w:val="en-US"/>
          </w:rPr>
          <w:t>vkksu</w:t>
        </w:r>
        <w:r w:rsidRPr="00055389">
          <w:rPr>
            <w:rFonts w:ascii="Arial" w:eastAsia="Times New Roman" w:hAnsi="Arial" w:cs="Arial"/>
            <w:szCs w:val="28"/>
            <w:lang w:val="uk-UA"/>
          </w:rPr>
          <w:t>-</w:t>
        </w:r>
        <w:r w:rsidRPr="00511005">
          <w:rPr>
            <w:rFonts w:ascii="Arial" w:eastAsia="Times New Roman" w:hAnsi="Arial" w:cs="Arial"/>
            <w:szCs w:val="28"/>
            <w:lang w:val="en-US"/>
          </w:rPr>
          <w:t>ogolosyla</w:t>
        </w:r>
        <w:r w:rsidRPr="00055389">
          <w:rPr>
            <w:rFonts w:ascii="Arial" w:eastAsia="Times New Roman" w:hAnsi="Arial" w:cs="Arial"/>
            <w:szCs w:val="28"/>
            <w:lang w:val="uk-UA"/>
          </w:rPr>
          <w:t>-</w:t>
        </w:r>
        <w:r w:rsidRPr="00511005">
          <w:rPr>
            <w:rFonts w:ascii="Arial" w:eastAsia="Times New Roman" w:hAnsi="Arial" w:cs="Arial"/>
            <w:szCs w:val="28"/>
            <w:lang w:val="en-US"/>
          </w:rPr>
          <w:t>pro</w:t>
        </w:r>
        <w:r w:rsidRPr="00055389">
          <w:rPr>
            <w:rFonts w:ascii="Arial" w:eastAsia="Times New Roman" w:hAnsi="Arial" w:cs="Arial"/>
            <w:szCs w:val="28"/>
            <w:lang w:val="uk-UA"/>
          </w:rPr>
          <w:t>-</w:t>
        </w:r>
        <w:r w:rsidRPr="00511005">
          <w:rPr>
            <w:rFonts w:ascii="Arial" w:eastAsia="Times New Roman" w:hAnsi="Arial" w:cs="Arial"/>
            <w:szCs w:val="28"/>
            <w:lang w:val="en-US"/>
          </w:rPr>
          <w:t>pochatok</w:t>
        </w:r>
        <w:r w:rsidRPr="00055389">
          <w:rPr>
            <w:rFonts w:ascii="Arial" w:eastAsia="Times New Roman" w:hAnsi="Arial" w:cs="Arial"/>
            <w:szCs w:val="28"/>
            <w:lang w:val="uk-UA"/>
          </w:rPr>
          <w:t>-</w:t>
        </w:r>
        <w:r w:rsidRPr="00511005">
          <w:rPr>
            <w:rFonts w:ascii="Arial" w:eastAsia="Times New Roman" w:hAnsi="Arial" w:cs="Arial"/>
            <w:szCs w:val="28"/>
            <w:lang w:val="en-US"/>
          </w:rPr>
          <w:t>naymasshtabnishogo</w:t>
        </w:r>
        <w:r w:rsidRPr="00055389">
          <w:rPr>
            <w:rFonts w:ascii="Arial" w:eastAsia="Times New Roman" w:hAnsi="Arial" w:cs="Arial"/>
            <w:szCs w:val="28"/>
            <w:lang w:val="uk-UA"/>
          </w:rPr>
          <w:t>-</w:t>
        </w:r>
        <w:r w:rsidRPr="00511005">
          <w:rPr>
            <w:rFonts w:ascii="Arial" w:eastAsia="Times New Roman" w:hAnsi="Arial" w:cs="Arial"/>
            <w:szCs w:val="28"/>
            <w:lang w:val="en-US"/>
          </w:rPr>
          <w:t>doboru</w:t>
        </w:r>
        <w:r w:rsidRPr="00055389">
          <w:rPr>
            <w:rFonts w:ascii="Arial" w:eastAsia="Times New Roman" w:hAnsi="Arial" w:cs="Arial"/>
            <w:szCs w:val="28"/>
            <w:lang w:val="uk-UA"/>
          </w:rPr>
          <w:t>-</w:t>
        </w:r>
        <w:r w:rsidRPr="00511005">
          <w:rPr>
            <w:rFonts w:ascii="Arial" w:eastAsia="Times New Roman" w:hAnsi="Arial" w:cs="Arial"/>
            <w:szCs w:val="28"/>
            <w:lang w:val="en-US"/>
          </w:rPr>
          <w:t>na</w:t>
        </w:r>
        <w:r w:rsidRPr="00055389">
          <w:rPr>
            <w:rFonts w:ascii="Arial" w:eastAsia="Times New Roman" w:hAnsi="Arial" w:cs="Arial"/>
            <w:szCs w:val="28"/>
            <w:lang w:val="uk-UA"/>
          </w:rPr>
          <w:t>-</w:t>
        </w:r>
        <w:r w:rsidRPr="00511005">
          <w:rPr>
            <w:rFonts w:ascii="Arial" w:eastAsia="Times New Roman" w:hAnsi="Arial" w:cs="Arial"/>
            <w:szCs w:val="28"/>
            <w:lang w:val="en-US"/>
          </w:rPr>
          <w:t>posady</w:t>
        </w:r>
        <w:r w:rsidRPr="00055389">
          <w:rPr>
            <w:rFonts w:ascii="Arial" w:eastAsia="Times New Roman" w:hAnsi="Arial" w:cs="Arial"/>
            <w:szCs w:val="28"/>
            <w:lang w:val="uk-UA"/>
          </w:rPr>
          <w:t>-</w:t>
        </w:r>
        <w:r w:rsidRPr="00511005">
          <w:rPr>
            <w:rFonts w:ascii="Arial" w:eastAsia="Times New Roman" w:hAnsi="Arial" w:cs="Arial"/>
            <w:szCs w:val="28"/>
            <w:lang w:val="en-US"/>
          </w:rPr>
          <w:t>suddiv</w:t>
        </w:r>
        <w:r w:rsidRPr="00055389">
          <w:rPr>
            <w:rFonts w:ascii="Arial" w:eastAsia="Times New Roman" w:hAnsi="Arial" w:cs="Arial"/>
            <w:szCs w:val="28"/>
            <w:lang w:val="uk-UA"/>
          </w:rPr>
          <w:t>-</w:t>
        </w:r>
        <w:r w:rsidRPr="00511005">
          <w:rPr>
            <w:rFonts w:ascii="Arial" w:eastAsia="Times New Roman" w:hAnsi="Arial" w:cs="Arial"/>
            <w:szCs w:val="28"/>
            <w:lang w:val="en-US"/>
          </w:rPr>
          <w:t>miscevyh</w:t>
        </w:r>
        <w:r w:rsidRPr="00055389">
          <w:rPr>
            <w:rFonts w:ascii="Arial" w:eastAsia="Times New Roman" w:hAnsi="Arial" w:cs="Arial"/>
            <w:szCs w:val="28"/>
            <w:lang w:val="uk-UA"/>
          </w:rPr>
          <w:t>-</w:t>
        </w:r>
        <w:r w:rsidRPr="00511005">
          <w:rPr>
            <w:rFonts w:ascii="Arial" w:eastAsia="Times New Roman" w:hAnsi="Arial" w:cs="Arial"/>
            <w:szCs w:val="28"/>
            <w:lang w:val="en-US"/>
          </w:rPr>
          <w:t>sudiv</w:t>
        </w:r>
        <w:r w:rsidRPr="00055389">
          <w:rPr>
            <w:rFonts w:ascii="Arial" w:eastAsia="Times New Roman" w:hAnsi="Arial" w:cs="Arial"/>
            <w:szCs w:val="28"/>
            <w:lang w:val="uk-UA"/>
          </w:rPr>
          <w:t>?</w:t>
        </w:r>
        <w:r w:rsidRPr="00511005">
          <w:rPr>
            <w:rFonts w:ascii="Arial" w:eastAsia="Times New Roman" w:hAnsi="Arial" w:cs="Arial"/>
            <w:szCs w:val="28"/>
            <w:lang w:val="en-US"/>
          </w:rPr>
          <w:t>utm</w:t>
        </w:r>
        <w:r w:rsidRPr="00055389">
          <w:rPr>
            <w:rFonts w:ascii="Arial" w:eastAsia="Times New Roman" w:hAnsi="Arial" w:cs="Arial"/>
            <w:szCs w:val="28"/>
            <w:lang w:val="uk-UA"/>
          </w:rPr>
          <w:t>_</w:t>
        </w:r>
        <w:r w:rsidRPr="00511005">
          <w:rPr>
            <w:rFonts w:ascii="Arial" w:eastAsia="Times New Roman" w:hAnsi="Arial" w:cs="Arial"/>
            <w:szCs w:val="28"/>
            <w:lang w:val="en-US"/>
          </w:rPr>
          <w:t>source</w:t>
        </w:r>
      </w:hyperlink>
      <w:r w:rsidRPr="00055389">
        <w:rPr>
          <w:rFonts w:ascii="Arial" w:eastAsia="Times New Roman" w:hAnsi="Arial" w:cs="Arial"/>
          <w:szCs w:val="28"/>
          <w:lang w:val="uk-UA"/>
        </w:rPr>
        <w:t xml:space="preserve"> </w:t>
      </w:r>
    </w:p>
    <w:p w14:paraId="38E302F8" w14:textId="3A51AB11" w:rsidR="00C10374" w:rsidRPr="00511005" w:rsidRDefault="00C10374" w:rsidP="003F6A5D">
      <w:pPr>
        <w:numPr>
          <w:ilvl w:val="0"/>
          <w:numId w:val="313"/>
        </w:numPr>
        <w:spacing w:line="264" w:lineRule="auto"/>
        <w:ind w:left="0" w:firstLine="709"/>
        <w:rPr>
          <w:rFonts w:ascii="Arial" w:eastAsia="Times New Roman" w:hAnsi="Arial" w:cs="Arial"/>
          <w:szCs w:val="28"/>
          <w:lang w:val="uk-UA"/>
        </w:rPr>
      </w:pPr>
      <w:r w:rsidRPr="00511005">
        <w:rPr>
          <w:rFonts w:ascii="Arial" w:eastAsia="Times New Roman" w:hAnsi="Arial" w:cs="Arial"/>
          <w:szCs w:val="28"/>
          <w:lang w:val="uk-UA"/>
        </w:rPr>
        <w:lastRenderedPageBreak/>
        <w:t>Наступні кроки судової реформи: які вони</w:t>
      </w:r>
      <w:r w:rsidRPr="00511005">
        <w:rPr>
          <w:rFonts w:ascii="Arial" w:eastAsia="Times New Roman" w:hAnsi="Arial" w:cs="Arial"/>
          <w:szCs w:val="28"/>
        </w:rPr>
        <w:t>?</w:t>
      </w:r>
      <w:r w:rsidRPr="00511005">
        <w:rPr>
          <w:rFonts w:ascii="Arial" w:eastAsia="Times New Roman" w:hAnsi="Arial" w:cs="Arial"/>
          <w:szCs w:val="28"/>
          <w:lang w:val="uk-UA"/>
        </w:rPr>
        <w:t xml:space="preserve"> Стаття опублікована на сайті Національного координаційного центру сприяння проти корупції</w:t>
      </w:r>
      <w:r w:rsidRPr="00511005">
        <w:rPr>
          <w:rFonts w:ascii="Arial" w:eastAsia="Times New Roman" w:hAnsi="Arial" w:cs="Arial"/>
          <w:szCs w:val="28"/>
        </w:rPr>
        <w:t xml:space="preserve">. </w:t>
      </w:r>
      <w:r w:rsidRPr="00511005">
        <w:rPr>
          <w:rFonts w:ascii="Arial" w:eastAsia="Times New Roman" w:hAnsi="Arial" w:cs="Arial"/>
          <w:szCs w:val="28"/>
          <w:lang w:val="pl-PL"/>
        </w:rPr>
        <w:t>URL</w:t>
      </w:r>
      <w:r w:rsidRPr="00511005">
        <w:rPr>
          <w:rFonts w:ascii="Arial" w:eastAsia="Times New Roman" w:hAnsi="Arial" w:cs="Arial"/>
          <w:szCs w:val="28"/>
          <w:lang w:val="uk-UA"/>
        </w:rPr>
        <w:t xml:space="preserve">: </w:t>
      </w:r>
      <w:hyperlink r:id="rId1157" w:history="1">
        <w:r w:rsidRPr="00511005">
          <w:rPr>
            <w:rFonts w:ascii="Arial" w:eastAsia="Times New Roman" w:hAnsi="Arial" w:cs="Arial"/>
            <w:szCs w:val="28"/>
            <w:lang w:val="uk-UA"/>
          </w:rPr>
          <w:t>https://nkkspk.com.ua/nastupni-kroky-sudovoyi-reformy-yaki-vony/</w:t>
        </w:r>
      </w:hyperlink>
      <w:r w:rsidR="007B2628" w:rsidRPr="00511005">
        <w:rPr>
          <w:rFonts w:ascii="Arial" w:eastAsia="Times New Roman" w:hAnsi="Arial" w:cs="Arial"/>
          <w:szCs w:val="28"/>
          <w:lang w:val="uk-UA"/>
        </w:rPr>
        <w:t xml:space="preserve"> </w:t>
      </w:r>
    </w:p>
    <w:p w14:paraId="77F5B709" w14:textId="18CACE09" w:rsidR="00C10374" w:rsidRPr="00511005" w:rsidRDefault="00C10374" w:rsidP="003F6A5D">
      <w:pPr>
        <w:numPr>
          <w:ilvl w:val="0"/>
          <w:numId w:val="313"/>
        </w:numPr>
        <w:spacing w:line="264" w:lineRule="auto"/>
        <w:ind w:left="0" w:firstLine="709"/>
        <w:rPr>
          <w:rFonts w:ascii="Arial" w:eastAsia="Times New Roman" w:hAnsi="Arial" w:cs="Arial"/>
          <w:szCs w:val="28"/>
          <w:lang w:val="uk-UA"/>
        </w:rPr>
      </w:pPr>
      <w:r w:rsidRPr="00511005">
        <w:rPr>
          <w:rFonts w:ascii="Arial" w:eastAsia="Times New Roman" w:hAnsi="Arial" w:cs="Arial"/>
          <w:szCs w:val="28"/>
          <w:lang w:val="uk-UA"/>
        </w:rPr>
        <w:t xml:space="preserve">Електронне судочинство забезпечить пришвидшення розгляду справ громадян та зменшить фінансові витрати судів </w:t>
      </w:r>
      <w:r w:rsidRPr="00511005">
        <w:rPr>
          <w:rFonts w:ascii="Arial" w:eastAsia="Times New Roman" w:hAnsi="Arial" w:cs="Arial"/>
          <w:szCs w:val="28"/>
        </w:rPr>
        <w:t>13.10.2022</w:t>
      </w:r>
      <w:r w:rsidR="007B2628" w:rsidRPr="00511005">
        <w:rPr>
          <w:rFonts w:ascii="Arial" w:eastAsia="Times New Roman" w:hAnsi="Arial" w:cs="Arial"/>
          <w:szCs w:val="28"/>
        </w:rPr>
        <w:t xml:space="preserve"> </w:t>
      </w:r>
      <w:r w:rsidRPr="00511005">
        <w:rPr>
          <w:rFonts w:ascii="Arial" w:eastAsia="Times New Roman" w:hAnsi="Arial" w:cs="Arial"/>
          <w:szCs w:val="28"/>
          <w:lang w:val="en-US"/>
        </w:rPr>
        <w:t>URL</w:t>
      </w:r>
      <w:r w:rsidRPr="00511005">
        <w:rPr>
          <w:rFonts w:ascii="Arial" w:eastAsia="Times New Roman" w:hAnsi="Arial" w:cs="Arial"/>
          <w:szCs w:val="28"/>
        </w:rPr>
        <w:t xml:space="preserve">: </w:t>
      </w:r>
      <w:hyperlink r:id="rId1158"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www</w:t>
        </w:r>
        <w:r w:rsidRPr="00511005">
          <w:rPr>
            <w:rFonts w:ascii="Arial" w:eastAsia="Times New Roman" w:hAnsi="Arial" w:cs="Arial"/>
            <w:szCs w:val="28"/>
          </w:rPr>
          <w:t>.</w:t>
        </w:r>
        <w:r w:rsidRPr="00511005">
          <w:rPr>
            <w:rFonts w:ascii="Arial" w:eastAsia="Times New Roman" w:hAnsi="Arial" w:cs="Arial"/>
            <w:szCs w:val="28"/>
            <w:lang w:val="en-US"/>
          </w:rPr>
          <w:t>rada</w:t>
        </w:r>
        <w:r w:rsidRPr="00511005">
          <w:rPr>
            <w:rFonts w:ascii="Arial" w:eastAsia="Times New Roman" w:hAnsi="Arial" w:cs="Arial"/>
            <w:szCs w:val="28"/>
          </w:rPr>
          <w:t>.</w:t>
        </w:r>
        <w:r w:rsidRPr="00511005">
          <w:rPr>
            <w:rFonts w:ascii="Arial" w:eastAsia="Times New Roman" w:hAnsi="Arial" w:cs="Arial"/>
            <w:szCs w:val="28"/>
            <w:lang w:val="en-US"/>
          </w:rPr>
          <w:t>gov</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news</w:t>
        </w:r>
        <w:r w:rsidRPr="00511005">
          <w:rPr>
            <w:rFonts w:ascii="Arial" w:eastAsia="Times New Roman" w:hAnsi="Arial" w:cs="Arial"/>
            <w:szCs w:val="28"/>
          </w:rPr>
          <w:t>/</w:t>
        </w:r>
        <w:r w:rsidRPr="00511005">
          <w:rPr>
            <w:rFonts w:ascii="Arial" w:eastAsia="Times New Roman" w:hAnsi="Arial" w:cs="Arial"/>
            <w:szCs w:val="28"/>
            <w:lang w:val="en-US"/>
          </w:rPr>
          <w:t>news</w:t>
        </w:r>
        <w:r w:rsidRPr="00511005">
          <w:rPr>
            <w:rFonts w:ascii="Arial" w:eastAsia="Times New Roman" w:hAnsi="Arial" w:cs="Arial"/>
            <w:szCs w:val="28"/>
          </w:rPr>
          <w:t>_</w:t>
        </w:r>
        <w:r w:rsidRPr="00511005">
          <w:rPr>
            <w:rFonts w:ascii="Arial" w:eastAsia="Times New Roman" w:hAnsi="Arial" w:cs="Arial"/>
            <w:szCs w:val="28"/>
            <w:lang w:val="en-US"/>
          </w:rPr>
          <w:t>kom</w:t>
        </w:r>
        <w:r w:rsidRPr="00511005">
          <w:rPr>
            <w:rFonts w:ascii="Arial" w:eastAsia="Times New Roman" w:hAnsi="Arial" w:cs="Arial"/>
            <w:szCs w:val="28"/>
          </w:rPr>
          <w:t>/229124.</w:t>
        </w:r>
        <w:r w:rsidRPr="00511005">
          <w:rPr>
            <w:rFonts w:ascii="Arial" w:eastAsia="Times New Roman" w:hAnsi="Arial" w:cs="Arial"/>
            <w:szCs w:val="28"/>
            <w:lang w:val="en-US"/>
          </w:rPr>
          <w:t>html</w:t>
        </w:r>
        <w:r w:rsidRPr="00511005">
          <w:rPr>
            <w:rFonts w:ascii="Arial" w:eastAsia="Times New Roman" w:hAnsi="Arial" w:cs="Arial"/>
            <w:szCs w:val="28"/>
          </w:rPr>
          <w:t>?</w:t>
        </w:r>
        <w:r w:rsidRPr="00511005">
          <w:rPr>
            <w:rFonts w:ascii="Arial" w:eastAsia="Times New Roman" w:hAnsi="Arial" w:cs="Arial"/>
            <w:szCs w:val="28"/>
            <w:lang w:val="en-US"/>
          </w:rPr>
          <w:t>utm</w:t>
        </w:r>
        <w:r w:rsidRPr="00511005">
          <w:rPr>
            <w:rFonts w:ascii="Arial" w:eastAsia="Times New Roman" w:hAnsi="Arial" w:cs="Arial"/>
            <w:szCs w:val="28"/>
          </w:rPr>
          <w:t>_</w:t>
        </w:r>
        <w:r w:rsidRPr="00511005">
          <w:rPr>
            <w:rFonts w:ascii="Arial" w:eastAsia="Times New Roman" w:hAnsi="Arial" w:cs="Arial"/>
            <w:szCs w:val="28"/>
            <w:lang w:val="en-US"/>
          </w:rPr>
          <w:t>source</w:t>
        </w:r>
      </w:hyperlink>
      <w:r w:rsidRPr="00511005">
        <w:rPr>
          <w:rFonts w:ascii="Arial" w:eastAsia="Times New Roman" w:hAnsi="Arial" w:cs="Arial"/>
          <w:szCs w:val="28"/>
        </w:rPr>
        <w:t xml:space="preserve"> </w:t>
      </w:r>
    </w:p>
    <w:p w14:paraId="3E2D588F" w14:textId="77777777" w:rsidR="007B2628" w:rsidRPr="00511005" w:rsidRDefault="00C10374" w:rsidP="003F6A5D">
      <w:pPr>
        <w:numPr>
          <w:ilvl w:val="0"/>
          <w:numId w:val="313"/>
        </w:numPr>
        <w:spacing w:line="264" w:lineRule="auto"/>
        <w:ind w:left="0" w:firstLine="709"/>
        <w:rPr>
          <w:rFonts w:ascii="Arial" w:eastAsia="Times New Roman" w:hAnsi="Arial" w:cs="Arial"/>
          <w:szCs w:val="28"/>
          <w:lang w:val="uk-UA"/>
        </w:rPr>
      </w:pPr>
      <w:r w:rsidRPr="00511005">
        <w:rPr>
          <w:rFonts w:ascii="Arial" w:eastAsia="Times New Roman" w:hAnsi="Arial" w:cs="Arial"/>
          <w:szCs w:val="28"/>
          <w:lang w:val="uk-UA"/>
        </w:rPr>
        <w:t>Громадська рада доброчесності</w:t>
      </w:r>
      <w:r w:rsidRPr="00511005">
        <w:rPr>
          <w:rFonts w:ascii="Arial" w:eastAsia="Times New Roman" w:hAnsi="Arial" w:cs="Arial"/>
          <w:szCs w:val="28"/>
        </w:rPr>
        <w:t xml:space="preserve">. </w:t>
      </w:r>
      <w:r w:rsidRPr="00511005">
        <w:rPr>
          <w:rFonts w:ascii="Arial" w:eastAsia="Times New Roman" w:hAnsi="Arial" w:cs="Arial"/>
          <w:szCs w:val="28"/>
          <w:lang w:val="uk-UA"/>
        </w:rPr>
        <w:t xml:space="preserve">Юридичний інтернет ресурс «Протокол». </w:t>
      </w:r>
      <w:r w:rsidRPr="00511005">
        <w:rPr>
          <w:rFonts w:ascii="Arial" w:eastAsia="Times New Roman" w:hAnsi="Arial" w:cs="Arial"/>
          <w:szCs w:val="28"/>
          <w:lang w:val="pl-PL"/>
        </w:rPr>
        <w:t xml:space="preserve">URL: </w:t>
      </w:r>
      <w:hyperlink r:id="rId1159" w:history="1">
        <w:r w:rsidRPr="00511005">
          <w:rPr>
            <w:rFonts w:ascii="Arial" w:eastAsia="Times New Roman" w:hAnsi="Arial" w:cs="Arial"/>
            <w:szCs w:val="28"/>
            <w:lang w:val="pl-PL"/>
          </w:rPr>
          <w:t>https://protocol.ua/ua/pro_sudoustriy_i_status_suddiv_stattya_87/?utm_source</w:t>
        </w:r>
      </w:hyperlink>
      <w:r w:rsidRPr="00511005">
        <w:rPr>
          <w:rFonts w:ascii="Arial" w:eastAsia="Times New Roman" w:hAnsi="Arial" w:cs="Arial"/>
          <w:szCs w:val="28"/>
          <w:lang w:val="pl-PL"/>
        </w:rPr>
        <w:t xml:space="preserve"> </w:t>
      </w:r>
    </w:p>
    <w:p w14:paraId="320312BC" w14:textId="2F251F45" w:rsidR="00C10374" w:rsidRPr="00511005" w:rsidRDefault="00C10374" w:rsidP="003A292D">
      <w:pPr>
        <w:spacing w:line="264" w:lineRule="auto"/>
        <w:rPr>
          <w:rFonts w:ascii="Arial" w:eastAsia="Times New Roman" w:hAnsi="Arial" w:cs="Arial"/>
          <w:szCs w:val="28"/>
          <w:lang w:val="pl-PL"/>
        </w:rPr>
      </w:pPr>
    </w:p>
    <w:p w14:paraId="3AF2965B" w14:textId="29EFCD47" w:rsidR="00C10374"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C10374" w:rsidRPr="00511005">
        <w:rPr>
          <w:rFonts w:ascii="Arial" w:eastAsia="Times New Roman" w:hAnsi="Arial" w:cs="Arial"/>
          <w:szCs w:val="28"/>
          <w:lang w:val="uk-UA"/>
        </w:rPr>
        <w:t>судова система, реформування, законодавство, Україна, влада, акти, перспективи, проблематика, судді, судочинство, суспільство.</w:t>
      </w:r>
    </w:p>
    <w:p w14:paraId="077EF5A8" w14:textId="349EF63F" w:rsidR="00C10374"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C10374" w:rsidRPr="00511005">
        <w:rPr>
          <w:rFonts w:ascii="Arial" w:eastAsia="Times New Roman" w:hAnsi="Arial" w:cs="Arial"/>
          <w:szCs w:val="28"/>
          <w:lang w:val="uk-UA"/>
        </w:rPr>
        <w:t>judicial system, reform, legislation, Ukraine, government, acts, prospects, issues, judges, judicial proceedings, society.</w:t>
      </w:r>
    </w:p>
    <w:p w14:paraId="2CA2E448" w14:textId="7FD36E06" w:rsidR="00C10374"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i/>
          <w:szCs w:val="28"/>
          <w:lang w:val="uk-UA"/>
        </w:rPr>
        <w:t xml:space="preserve">Науковий керівник: </w:t>
      </w:r>
      <w:r w:rsidR="00C10374" w:rsidRPr="00511005">
        <w:rPr>
          <w:rFonts w:ascii="Arial" w:eastAsia="Times New Roman" w:hAnsi="Arial" w:cs="Arial"/>
          <w:i/>
          <w:szCs w:val="28"/>
          <w:lang w:val="uk-UA"/>
        </w:rPr>
        <w:t xml:space="preserve">старший викладач Нестерчук Л.П. </w:t>
      </w:r>
    </w:p>
    <w:p w14:paraId="001C651E" w14:textId="77777777" w:rsidR="00C10374" w:rsidRPr="00511005" w:rsidRDefault="00C10374" w:rsidP="003A292D">
      <w:pPr>
        <w:widowControl w:val="0"/>
        <w:spacing w:line="264" w:lineRule="auto"/>
        <w:ind w:firstLine="0"/>
        <w:rPr>
          <w:rFonts w:ascii="Arial" w:eastAsia="Calibri" w:hAnsi="Arial" w:cs="Arial"/>
          <w:szCs w:val="28"/>
        </w:rPr>
      </w:pPr>
    </w:p>
    <w:p w14:paraId="5C5FE3E6" w14:textId="77777777" w:rsidR="00C10374" w:rsidRPr="00511005" w:rsidRDefault="00C10374" w:rsidP="003A292D">
      <w:pPr>
        <w:widowControl w:val="0"/>
        <w:spacing w:line="264" w:lineRule="auto"/>
        <w:ind w:firstLine="0"/>
        <w:rPr>
          <w:rFonts w:ascii="Arial" w:eastAsia="Calibri" w:hAnsi="Arial" w:cs="Arial"/>
          <w:szCs w:val="28"/>
        </w:rPr>
      </w:pPr>
    </w:p>
    <w:p w14:paraId="28E69B14" w14:textId="5E204A34" w:rsidR="00C10374" w:rsidRPr="00511005" w:rsidRDefault="00C10374" w:rsidP="003A292D">
      <w:pPr>
        <w:spacing w:line="264" w:lineRule="auto"/>
        <w:ind w:left="-709"/>
        <w:jc w:val="center"/>
        <w:rPr>
          <w:rFonts w:ascii="Arial" w:eastAsia="Calibri" w:hAnsi="Arial" w:cs="Arial"/>
          <w:b/>
          <w:i/>
          <w:szCs w:val="28"/>
          <w:lang w:val="uk-UA"/>
        </w:rPr>
      </w:pPr>
      <w:r w:rsidRPr="00511005">
        <w:rPr>
          <w:rFonts w:ascii="Arial" w:eastAsia="Calibri" w:hAnsi="Arial" w:cs="Arial"/>
          <w:b/>
          <w:i/>
          <w:szCs w:val="28"/>
          <w:lang w:val="uk-UA"/>
        </w:rPr>
        <w:t>Паламарчук Андрій Павлович</w:t>
      </w:r>
    </w:p>
    <w:p w14:paraId="31D81047" w14:textId="6F8A4E88" w:rsidR="00C10374" w:rsidRPr="00511005" w:rsidRDefault="00BE3972" w:rsidP="003A292D">
      <w:pPr>
        <w:spacing w:line="264" w:lineRule="auto"/>
        <w:ind w:left="-709" w:right="-1"/>
        <w:jc w:val="center"/>
        <w:rPr>
          <w:rFonts w:ascii="Arial" w:eastAsia="Calibri" w:hAnsi="Arial" w:cs="Arial"/>
          <w:szCs w:val="28"/>
          <w:lang w:val="uk-UA"/>
        </w:rPr>
      </w:pPr>
      <w:r w:rsidRPr="00511005">
        <w:rPr>
          <w:rFonts w:ascii="Arial" w:eastAsia="Calibri" w:hAnsi="Arial" w:cs="Arial"/>
          <w:szCs w:val="28"/>
          <w:lang w:val="uk-UA"/>
        </w:rPr>
        <w:t xml:space="preserve">студент 1-го курсу </w:t>
      </w:r>
      <w:r w:rsidR="001B7B25" w:rsidRPr="00511005">
        <w:rPr>
          <w:rFonts w:ascii="Arial" w:eastAsia="Calibri" w:hAnsi="Arial" w:cs="Arial"/>
          <w:szCs w:val="28"/>
          <w:lang w:val="uk-UA"/>
        </w:rPr>
        <w:t>факультету судового та міжнародного права</w:t>
      </w:r>
    </w:p>
    <w:p w14:paraId="48F54E9B" w14:textId="4C1E6F49" w:rsidR="00C10374" w:rsidRPr="00511005" w:rsidRDefault="007B2628" w:rsidP="003A292D">
      <w:pPr>
        <w:spacing w:line="264" w:lineRule="auto"/>
        <w:ind w:left="-709" w:right="-1"/>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05D56FD9" w14:textId="77777777" w:rsidR="00C10374" w:rsidRPr="00511005" w:rsidRDefault="00C10374" w:rsidP="003A292D">
      <w:pPr>
        <w:spacing w:line="264" w:lineRule="auto"/>
        <w:ind w:left="-709" w:right="-1"/>
        <w:jc w:val="center"/>
        <w:rPr>
          <w:rFonts w:ascii="Arial" w:eastAsia="Calibri" w:hAnsi="Arial" w:cs="Arial"/>
          <w:szCs w:val="28"/>
          <w:lang w:val="uk-UA"/>
        </w:rPr>
      </w:pPr>
    </w:p>
    <w:p w14:paraId="68307BA5" w14:textId="77777777" w:rsidR="00C10374" w:rsidRPr="00511005" w:rsidRDefault="00C10374" w:rsidP="003A292D">
      <w:pPr>
        <w:spacing w:line="264" w:lineRule="auto"/>
        <w:ind w:left="-709" w:right="-1"/>
        <w:jc w:val="center"/>
        <w:rPr>
          <w:rFonts w:ascii="Arial" w:eastAsia="Calibri" w:hAnsi="Arial" w:cs="Arial"/>
          <w:b/>
          <w:i/>
          <w:caps/>
          <w:szCs w:val="28"/>
          <w:lang w:val="uk-UA"/>
        </w:rPr>
      </w:pPr>
      <w:r w:rsidRPr="00511005">
        <w:rPr>
          <w:rFonts w:ascii="Arial" w:eastAsia="Calibri" w:hAnsi="Arial" w:cs="Arial"/>
          <w:b/>
          <w:caps/>
          <w:szCs w:val="28"/>
          <w:lang w:val="uk-UA"/>
        </w:rPr>
        <w:t>Принципи та засади здійснення адвокатської діяльності</w:t>
      </w:r>
    </w:p>
    <w:p w14:paraId="27046267"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Адвокатура є важливою складовою правової системи, що постійно розвивається та адаптується до викликів часу. Зміни в законодавстві, суспільстві й технологіях вимагають від адвокатів оновлення знань і навичок. Тому дослідження принципів адвокатської діяльності є актуальним, адже саме вони визначають межі професійної поведінки адвоката.</w:t>
      </w:r>
    </w:p>
    <w:p w14:paraId="6E3FCDC0"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Метою цього дослідження є аналіз принципів і засад адвокатської діяльності та їхнього впливу на захист прав громадян. Адвокатура в Україні відіграє ключову роль у забезпеченні правосуддя, дотриманні верховенства права й розвитку демократичної держави. Її діяльність регулюється Законом України «Про адвокатуру та адвокатську діяльність».</w:t>
      </w:r>
    </w:p>
    <w:p w14:paraId="7DC9DBEF" w14:textId="77777777" w:rsidR="007B2628" w:rsidRPr="00511005" w:rsidRDefault="00C10374" w:rsidP="00875A11">
      <w:pPr>
        <w:spacing w:line="264" w:lineRule="auto"/>
        <w:rPr>
          <w:rFonts w:ascii="Arial" w:eastAsia="Calibri" w:hAnsi="Arial" w:cs="Arial"/>
          <w:szCs w:val="28"/>
          <w:shd w:val="clear" w:color="auto" w:fill="FFFFFF"/>
          <w:lang w:val="uk-UA"/>
        </w:rPr>
      </w:pPr>
      <w:r w:rsidRPr="00511005">
        <w:rPr>
          <w:rFonts w:ascii="Arial" w:eastAsia="Calibri" w:hAnsi="Arial" w:cs="Arial"/>
          <w:szCs w:val="28"/>
          <w:lang w:val="uk-UA"/>
        </w:rPr>
        <w:t xml:space="preserve">На початку варто визначити, що адвокатура — це самоврядний інститут, який є невід’ємною частиною правової системи, адвокатура постійно розвивається та адаптується до нових викликів, а адвокатська діяльність — це професійна правова допомога. Вона покликана захищати права, свободи та законні інтереси громадян і юридичних осіб, забезпечуючи справедливість та правопорядок. Їхня різниця полягає в тому, що перша є організаційною формою, а друга — практичною діяльністю адвоката. У статті 2 Закону України «Про адвокатуру та адвокатську діяльність» зазначено, що </w:t>
      </w:r>
      <w:r w:rsidRPr="00511005">
        <w:rPr>
          <w:rFonts w:ascii="Arial" w:eastAsia="Calibri" w:hAnsi="Arial" w:cs="Arial"/>
          <w:szCs w:val="28"/>
          <w:shd w:val="clear" w:color="auto" w:fill="FFFFFF"/>
          <w:lang w:val="uk-UA"/>
        </w:rPr>
        <w:t xml:space="preserve">Адвокатура України - недержавний самоврядний </w:t>
      </w:r>
      <w:r w:rsidRPr="00511005">
        <w:rPr>
          <w:rFonts w:ascii="Arial" w:eastAsia="Calibri" w:hAnsi="Arial" w:cs="Arial"/>
          <w:szCs w:val="28"/>
          <w:shd w:val="clear" w:color="auto" w:fill="FFFFFF"/>
          <w:lang w:val="uk-UA"/>
        </w:rPr>
        <w:lastRenderedPageBreak/>
        <w:t>інститут, що забезпечує здійснення захисту, представництва та надання інших видів правничої допомоги на професійній основі, а також самостійно вирішує питання організації і діяльності адвокатури в порядку, встановленому цим Законом [4].</w:t>
      </w:r>
    </w:p>
    <w:p w14:paraId="4812FF26" w14:textId="6CAB2C28"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 xml:space="preserve">На думку Бакаянової Н.М., адвокатська діяльність є одним із різновидів діяльності людини та належить до одного з видів юридичної діяльності, яка полягає у наданні юридичної допомоги фізичним та юридичним особам [1, с.11]. </w:t>
      </w:r>
    </w:p>
    <w:p w14:paraId="1BD33192"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 xml:space="preserve">Основна </w:t>
      </w:r>
      <w:r w:rsidRPr="00511005">
        <w:rPr>
          <w:rFonts w:ascii="Arial" w:eastAsia="Calibri" w:hAnsi="Arial" w:cs="Arial"/>
          <w:bCs/>
          <w:szCs w:val="28"/>
          <w:lang w:val="uk-UA"/>
        </w:rPr>
        <w:t>різниця</w:t>
      </w:r>
      <w:r w:rsidRPr="00511005">
        <w:rPr>
          <w:rFonts w:ascii="Arial" w:eastAsia="Calibri" w:hAnsi="Arial" w:cs="Arial"/>
          <w:szCs w:val="28"/>
          <w:lang w:val="uk-UA"/>
        </w:rPr>
        <w:t xml:space="preserve"> між цими поняттями полягає в тому, що адвокатура — це інституція (організація), яка регулює адвокатську професію, а адвокатська діяльність — це конкретні дії, що виконуються адвокатами в рамках їхньої професії.</w:t>
      </w:r>
    </w:p>
    <w:p w14:paraId="10215C93"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Як ми можемо побачити із визначення, адвокатура — це не просто сукупність адвокатів, а незалежний самоврядний інститут, що має власні правила та структуру. Її основна мета — захист прав і свобод громадян. Адвокати, як кваліфіковані правники, представляють інтереси клієнтів у судах та органах, надаючи юридичну допомогу. Адвокатура регулює свою діяльність, встановлюючи етичні норми та розглядаючи дисциплінарні справи, забезпечуючи ефективний правовий захист.</w:t>
      </w:r>
    </w:p>
    <w:p w14:paraId="6AE91F28"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Правове регулювання адвокатської діяльності в Україні здійснюється, перш за все, Законом України "Про адвокатуру та адвокатську діяльність". Цей Закон визначає правовий статус адвоката, його права та обов’язки, принципи організації та діяльності адвокатури, а також гарантії здійснення адвокатської діяльності.</w:t>
      </w:r>
    </w:p>
    <w:p w14:paraId="0C5D44BC"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Відповідно до ст. 4 Закону України «Про адвокатуру та адвокатську діяльність» адвокатська діяльність здійснюється на принципах верховенства права, законності, незалежності, конфіденційності та уникнення конфлікту інтересів [4].</w:t>
      </w:r>
    </w:p>
    <w:p w14:paraId="712295DE"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Times New Roman" w:hAnsi="Arial" w:cs="Arial"/>
          <w:szCs w:val="28"/>
          <w:lang w:val="uk-UA" w:eastAsia="ru-RU"/>
        </w:rPr>
        <w:t xml:space="preserve"> </w:t>
      </w:r>
      <w:r w:rsidRPr="00511005">
        <w:rPr>
          <w:rFonts w:ascii="Arial" w:eastAsia="Calibri" w:hAnsi="Arial" w:cs="Arial"/>
          <w:b/>
          <w:bCs/>
          <w:i/>
          <w:szCs w:val="28"/>
          <w:lang w:val="uk-UA"/>
        </w:rPr>
        <w:t>Принцип верховенства права</w:t>
      </w:r>
      <w:r w:rsidRPr="00511005">
        <w:rPr>
          <w:rFonts w:ascii="Arial" w:eastAsia="Calibri" w:hAnsi="Arial" w:cs="Arial"/>
          <w:b/>
          <w:bCs/>
          <w:szCs w:val="28"/>
          <w:lang w:val="uk-UA"/>
        </w:rPr>
        <w:t xml:space="preserve"> вимагає, щоб адвокат діяв у межах правового поля, забезпечував дотримання законодавства та захист прав людини. Він є основою правової системи, закріплений у ст. 8 Конституції України, та передбачає орієнтацію на міжнародні правові норми. Дотримання цього принципу — ключова умова ефективної адвокатської діяльності та ознака правової держави, у формуванні якої адвокатура відіграє важливу роль [3].</w:t>
      </w:r>
    </w:p>
    <w:p w14:paraId="56DC60FB" w14:textId="77777777" w:rsidR="00C10374" w:rsidRPr="00511005" w:rsidRDefault="00C10374" w:rsidP="00875A11">
      <w:pPr>
        <w:spacing w:line="264" w:lineRule="auto"/>
        <w:rPr>
          <w:rFonts w:ascii="Arial" w:eastAsia="Calibri" w:hAnsi="Arial" w:cs="Arial"/>
          <w:bCs/>
          <w:szCs w:val="28"/>
          <w:lang w:val="uk-UA"/>
        </w:rPr>
      </w:pPr>
      <w:r w:rsidRPr="00511005">
        <w:rPr>
          <w:rFonts w:ascii="Arial" w:eastAsia="Times New Roman" w:hAnsi="Arial" w:cs="Arial"/>
          <w:szCs w:val="28"/>
          <w:lang w:val="uk-UA" w:eastAsia="ru-RU"/>
        </w:rPr>
        <w:t xml:space="preserve"> </w:t>
      </w:r>
      <w:r w:rsidRPr="00511005">
        <w:rPr>
          <w:rFonts w:ascii="Arial" w:eastAsia="Calibri" w:hAnsi="Arial" w:cs="Arial"/>
          <w:i/>
          <w:szCs w:val="28"/>
          <w:lang w:val="uk-UA"/>
        </w:rPr>
        <w:t>Принцип законності</w:t>
      </w:r>
      <w:r w:rsidRPr="00511005">
        <w:rPr>
          <w:rFonts w:ascii="Arial" w:eastAsia="Calibri" w:hAnsi="Arial" w:cs="Arial"/>
          <w:szCs w:val="28"/>
          <w:lang w:val="uk-UA"/>
        </w:rPr>
        <w:t xml:space="preserve"> вимагає від адвоката діяти в межах Конституції України, законів та міжнародних зобов’язань. Це гарантує правомірність, неупередженість та справедливість адвокатської діяльності, а також зміцнює довіру до правосуддя. Законність — фундамент адвокатської професії, що забезпечує захист прав клієнта та рівність усіх перед законом. Принцип закріплено у Конституції України (ст. 8) та Законі «Про адвокатуру та адвокатську діяльність» [3]. Закон України "Про адвокатуру та </w:t>
      </w:r>
      <w:r w:rsidRPr="00511005">
        <w:rPr>
          <w:rFonts w:ascii="Arial" w:eastAsia="Calibri" w:hAnsi="Arial" w:cs="Arial"/>
          <w:szCs w:val="28"/>
          <w:lang w:val="uk-UA"/>
        </w:rPr>
        <w:lastRenderedPageBreak/>
        <w:t>адвокатську діяльність" - визначає принципи законності та етики адвокатської діяльності. Ці документи підкреслюють важливість дотримання принципу законності в адвокатській практиці [4].</w:t>
      </w:r>
    </w:p>
    <w:p w14:paraId="5F81566C" w14:textId="1DB0DBC0" w:rsidR="00C10374" w:rsidRPr="00511005" w:rsidRDefault="00C10374" w:rsidP="00875A11">
      <w:pPr>
        <w:spacing w:line="264" w:lineRule="auto"/>
        <w:rPr>
          <w:rFonts w:ascii="Arial" w:eastAsia="Calibri" w:hAnsi="Arial" w:cs="Arial"/>
          <w:szCs w:val="28"/>
          <w:lang w:val="uk-UA"/>
        </w:rPr>
      </w:pP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 xml:space="preserve">Закон України "Про адвокатуру та адвокатську діяльність" закріплює, що адвокат у своїй професійній діяльності є </w:t>
      </w:r>
      <w:r w:rsidRPr="00511005">
        <w:rPr>
          <w:rFonts w:ascii="Arial" w:eastAsia="Calibri" w:hAnsi="Arial" w:cs="Arial"/>
          <w:i/>
          <w:szCs w:val="28"/>
          <w:lang w:val="uk-UA"/>
        </w:rPr>
        <w:t>незалежним</w:t>
      </w:r>
      <w:r w:rsidRPr="00511005">
        <w:rPr>
          <w:rFonts w:ascii="Arial" w:eastAsia="Calibri" w:hAnsi="Arial" w:cs="Arial"/>
          <w:szCs w:val="28"/>
          <w:lang w:val="uk-UA"/>
        </w:rPr>
        <w:t>. Він має право самостійно приймати рішення щодо ведення справ, і жоден орган чи посадова особа не мають права втручатися в його діяльність. Це забезпечує об'єктивність та неупередженість у роботі адвоката [4].</w:t>
      </w:r>
    </w:p>
    <w:p w14:paraId="7FDD53E2" w14:textId="6756EE5C" w:rsidR="00C10374" w:rsidRPr="00511005" w:rsidRDefault="00C10374" w:rsidP="00875A11">
      <w:pPr>
        <w:spacing w:line="264" w:lineRule="auto"/>
        <w:rPr>
          <w:rFonts w:ascii="Arial" w:eastAsia="Calibri" w:hAnsi="Arial" w:cs="Arial"/>
          <w:szCs w:val="28"/>
          <w:lang w:val="uk-UA"/>
        </w:rPr>
      </w:pP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Calibri" w:hAnsi="Arial" w:cs="Arial"/>
          <w:b/>
          <w:bCs/>
          <w:i/>
          <w:szCs w:val="28"/>
          <w:lang w:val="uk-UA"/>
        </w:rPr>
        <w:t>Принцип конфіденційності</w:t>
      </w:r>
      <w:r w:rsidRPr="00511005">
        <w:rPr>
          <w:rFonts w:ascii="Arial" w:eastAsia="Calibri" w:hAnsi="Arial" w:cs="Arial"/>
          <w:szCs w:val="28"/>
          <w:lang w:val="uk-UA"/>
        </w:rPr>
        <w:t xml:space="preserve"> зобов’язує адвоката не розголошувати інформацію, отриману від клієнта без його згоди. Це важливий елемент професійної етики, що гарантує захист прав клієнта та зміцнює довіру до адвокатури. Конфіденційними є всі відомості, незалежно від форми й змісту, отримані під час надання правової допомоги. Навіть після завершення справи адвокат не має права використовувати ці дані у власних інтересах або на шкоду клієнту [2, c.22].</w:t>
      </w:r>
    </w:p>
    <w:p w14:paraId="68E7FF75"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Times New Roman" w:hAnsi="Arial" w:cs="Arial"/>
          <w:szCs w:val="28"/>
          <w:lang w:val="uk-UA" w:eastAsia="ru-RU"/>
        </w:rPr>
        <w:t xml:space="preserve"> </w:t>
      </w:r>
      <w:r w:rsidRPr="00511005">
        <w:rPr>
          <w:rFonts w:ascii="Arial" w:eastAsia="Calibri" w:hAnsi="Arial" w:cs="Arial"/>
          <w:b/>
          <w:bCs/>
          <w:i/>
          <w:szCs w:val="28"/>
          <w:lang w:val="uk-UA"/>
        </w:rPr>
        <w:t>Принцип уникнення конфлікту інтересів</w:t>
      </w:r>
      <w:r w:rsidRPr="00511005">
        <w:rPr>
          <w:rFonts w:ascii="Arial" w:eastAsia="Calibri" w:hAnsi="Arial" w:cs="Arial"/>
          <w:szCs w:val="28"/>
          <w:lang w:val="uk-UA"/>
        </w:rPr>
        <w:t xml:space="preserve"> зобов’язує адвоката не допускати ситуацій, у яких його особисті чи фінансові інтереси можуть суперечити інтересам клієнта. Це ключовий аспект професійної етики, що гарантує об’єктивність, неупередженість та якість правової допомоги. Дотримання цього принципу захищає права клієнта, зберігає довіру до адвоката й репутацію професії. Він закріплений у Законі України «Про адвокатуру та адвокатську діяльність» і Кодексі професійної етики адвоката [4], [5].</w:t>
      </w:r>
    </w:p>
    <w:p w14:paraId="27401D2C" w14:textId="50A6EF0E" w:rsidR="00C10374" w:rsidRPr="00511005" w:rsidRDefault="00C10374" w:rsidP="00875A11">
      <w:pPr>
        <w:spacing w:line="264" w:lineRule="auto"/>
        <w:rPr>
          <w:rFonts w:ascii="Arial" w:eastAsia="Calibri" w:hAnsi="Arial" w:cs="Arial"/>
          <w:szCs w:val="28"/>
          <w:lang w:val="uk-UA"/>
        </w:rPr>
      </w:pPr>
      <w:r w:rsidRPr="00511005">
        <w:rPr>
          <w:rFonts w:ascii="Arial" w:eastAsia="Calibri" w:hAnsi="Arial" w:cs="Arial"/>
          <w:szCs w:val="28"/>
          <w:lang w:val="uk-UA"/>
        </w:rPr>
        <w:t>Також хотілось б виділити, на мою думку, не менш важливі принципи, 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саме:</w:t>
      </w:r>
    </w:p>
    <w:p w14:paraId="61ABE983" w14:textId="77777777" w:rsidR="00C10374" w:rsidRPr="00511005" w:rsidRDefault="00C10374" w:rsidP="00875A11">
      <w:pPr>
        <w:spacing w:line="264" w:lineRule="auto"/>
        <w:rPr>
          <w:rFonts w:ascii="Arial" w:eastAsia="Calibri" w:hAnsi="Arial" w:cs="Arial"/>
          <w:szCs w:val="28"/>
          <w:lang w:val="uk-UA"/>
        </w:rPr>
      </w:pPr>
      <w:r w:rsidRPr="00511005">
        <w:rPr>
          <w:rFonts w:ascii="Arial" w:eastAsia="Times New Roman" w:hAnsi="Arial" w:cs="Arial"/>
          <w:szCs w:val="28"/>
          <w:lang w:val="uk-UA" w:eastAsia="ru-RU"/>
        </w:rPr>
        <w:t xml:space="preserve"> </w:t>
      </w:r>
      <w:r w:rsidRPr="00511005">
        <w:rPr>
          <w:rFonts w:ascii="Arial" w:eastAsia="Calibri" w:hAnsi="Arial" w:cs="Arial"/>
          <w:b/>
          <w:bCs/>
          <w:i/>
          <w:szCs w:val="28"/>
          <w:lang w:val="uk-UA"/>
        </w:rPr>
        <w:t xml:space="preserve">Добросовісність і професійна етика </w:t>
      </w:r>
      <w:r w:rsidRPr="00511005">
        <w:rPr>
          <w:rFonts w:ascii="Arial" w:eastAsia="Calibri" w:hAnsi="Arial" w:cs="Arial"/>
          <w:b/>
          <w:bCs/>
          <w:szCs w:val="28"/>
          <w:lang w:val="uk-UA"/>
        </w:rPr>
        <w:t>адвоката є фундаментальними засадами його діяльності. Адвокат зобов’язаний діяти чесно, компетентно й відповідально, в інтересах клієнта, не порушуючи прав інших осіб і не завдаючи шкоди суспільству. Професійна етика вимагає дотримання норм чесності, справедливості, поваги до суду, колег і всіх учасників процесу, а також недопущення конфлікту інтересів. Важливою складовою є збереження конфіденційності отриманої від клієнта інформації та недопущення її використання у власних інтересах або на шкоду клієнту [5].</w:t>
      </w:r>
    </w:p>
    <w:p w14:paraId="1B2A4033" w14:textId="0B39D953" w:rsidR="00C10374" w:rsidRPr="00511005" w:rsidRDefault="00C10374" w:rsidP="00875A11">
      <w:pPr>
        <w:spacing w:line="264" w:lineRule="auto"/>
        <w:rPr>
          <w:rFonts w:ascii="Arial" w:eastAsia="Calibri" w:hAnsi="Arial" w:cs="Arial"/>
          <w:i/>
          <w:szCs w:val="28"/>
          <w:lang w:val="uk-UA"/>
        </w:rPr>
      </w:pP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Calibri" w:hAnsi="Arial" w:cs="Arial"/>
          <w:i/>
          <w:szCs w:val="28"/>
          <w:lang w:val="uk-UA"/>
        </w:rPr>
        <w:t>Професіоналізм адвоката</w:t>
      </w:r>
      <w:r w:rsidRPr="00511005">
        <w:rPr>
          <w:rFonts w:ascii="Arial" w:eastAsia="Calibri" w:hAnsi="Arial" w:cs="Arial"/>
          <w:szCs w:val="28"/>
          <w:lang w:val="uk-UA"/>
        </w:rPr>
        <w:t xml:space="preserve"> передбачає високий рівень підготовки та постійне вдосконалення знань у сфері права. Це основоположний принцип, що визначає якість правової допомоги, відповідальність перед клієнтом і суспільством, а також репутацію професії. Адвокат повинен мати глибокі знання, підвищувати кваліфікацію та діяти відповідно до найвищих стандартів. Професійний адвокат забезпечує якісний захист інтересів клієнта, чітко розуміючи справу, будуючи правову стратегію, ведучи переговори та готуючи судові процеси. Професіоналізм також включає </w:t>
      </w:r>
      <w:r w:rsidRPr="00511005">
        <w:rPr>
          <w:rFonts w:ascii="Arial" w:eastAsia="Calibri" w:hAnsi="Arial" w:cs="Arial"/>
          <w:szCs w:val="28"/>
          <w:lang w:val="uk-UA"/>
        </w:rPr>
        <w:lastRenderedPageBreak/>
        <w:t>відповідальність за дії, дотримання етичних норм, конфіденційності та уникнення конфліктів інтересів [4].</w:t>
      </w:r>
    </w:p>
    <w:p w14:paraId="3EEDB6CD" w14:textId="65C8B971" w:rsidR="00C10374" w:rsidRPr="00511005" w:rsidRDefault="00C10374" w:rsidP="00875A11">
      <w:pPr>
        <w:spacing w:line="264" w:lineRule="auto"/>
        <w:rPr>
          <w:rFonts w:ascii="Arial" w:eastAsia="Calibri" w:hAnsi="Arial" w:cs="Arial"/>
          <w:szCs w:val="28"/>
          <w:lang w:val="uk-UA"/>
        </w:rPr>
      </w:pP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Calibri" w:hAnsi="Arial" w:cs="Arial"/>
          <w:i/>
          <w:szCs w:val="28"/>
          <w:lang w:val="uk-UA"/>
        </w:rPr>
        <w:t>Етична поведінка адвоката</w:t>
      </w:r>
      <w:r w:rsidRPr="00511005">
        <w:rPr>
          <w:rFonts w:ascii="Arial" w:eastAsia="Calibri" w:hAnsi="Arial" w:cs="Arial"/>
          <w:szCs w:val="28"/>
          <w:lang w:val="uk-UA"/>
        </w:rPr>
        <w:t xml:space="preserve"> – це комплексний феномен, який охоплює як дотримання професійних стандартів, так і моральних принципів. Чесність, добросовісність, справедливість та рівність перед законом – це фундаментальні цінності, якими повинен керуватися кожен адвокат. Відповідальність перед суспільством зобов’язує адвоката використовувати свої знання та навички для захисту правопорядку та зміцнення демократичних засад. Відповідно до </w:t>
      </w:r>
      <w:r w:rsidRPr="00511005">
        <w:rPr>
          <w:rFonts w:ascii="Arial" w:eastAsia="Calibri" w:hAnsi="Arial" w:cs="Arial"/>
          <w:b/>
          <w:bCs/>
          <w:i/>
          <w:szCs w:val="28"/>
          <w:lang w:val="uk-UA"/>
        </w:rPr>
        <w:t>ст. 19 Правил адвокатської етики</w:t>
      </w:r>
      <w:r w:rsidRPr="00511005">
        <w:rPr>
          <w:rFonts w:ascii="Arial" w:eastAsia="Calibri" w:hAnsi="Arial" w:cs="Arial"/>
          <w:szCs w:val="28"/>
          <w:lang w:val="uk-UA"/>
        </w:rPr>
        <w:t>, адвокат не має права приймати доручення, якщо клієнт наполягає на протиправних діях, або ж якщо доручення виходить за межі професійних прав адвоката. У таких випадках адвокат зобов'язаний відмовитися від надання послуг [5].</w:t>
      </w:r>
    </w:p>
    <w:p w14:paraId="408A9AE2" w14:textId="77777777" w:rsidR="00C10374" w:rsidRPr="00511005" w:rsidRDefault="00C10374" w:rsidP="00875A11">
      <w:pPr>
        <w:spacing w:line="264" w:lineRule="auto"/>
        <w:rPr>
          <w:rFonts w:ascii="Arial" w:eastAsia="Calibri" w:hAnsi="Arial" w:cs="Arial"/>
          <w:b/>
          <w:szCs w:val="28"/>
          <w:lang w:val="uk-UA"/>
        </w:rPr>
      </w:pPr>
      <w:r w:rsidRPr="00511005">
        <w:rPr>
          <w:rFonts w:ascii="Arial" w:eastAsia="Calibri" w:hAnsi="Arial" w:cs="Arial"/>
          <w:szCs w:val="28"/>
          <w:lang w:val="uk-UA"/>
        </w:rPr>
        <w:t>Підсумовуючи наведене у даному тексті, слід зазначити у висновку, що адвокатська діяльність в Україні базується на ключових принципах, які забезпечують ефективну правову допомогу та захист прав громадян. Верховенство права, законність, незалежність, конфіденційність та уникнення конфлікту інтересів гарантують якісну адвокатську допомогу й сприяють правовій державі. Принципи добросовісності, професіоналізму та етики відіграють важливу роль, забезпечуючи моральну відповідальність адвоката та зміцнюючи довіру до правової системи України.</w:t>
      </w:r>
    </w:p>
    <w:p w14:paraId="2064A3B9" w14:textId="77777777" w:rsidR="00C10374" w:rsidRPr="00511005" w:rsidRDefault="00C10374" w:rsidP="003A292D">
      <w:pPr>
        <w:spacing w:line="264" w:lineRule="auto"/>
        <w:ind w:left="-709"/>
        <w:jc w:val="center"/>
        <w:rPr>
          <w:rFonts w:ascii="Arial" w:eastAsia="Calibri" w:hAnsi="Arial" w:cs="Arial"/>
          <w:b/>
          <w:szCs w:val="28"/>
          <w:lang w:val="uk-UA"/>
        </w:rPr>
      </w:pPr>
    </w:p>
    <w:p w14:paraId="4FE9BEF5" w14:textId="7CF930F8" w:rsidR="00C10374" w:rsidRPr="00511005" w:rsidRDefault="007B2628" w:rsidP="007B2628">
      <w:pPr>
        <w:spacing w:line="264" w:lineRule="auto"/>
        <w:ind w:left="-709"/>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554F932C" w14:textId="77777777" w:rsidR="00C10374" w:rsidRPr="00511005" w:rsidRDefault="00C10374" w:rsidP="003F6A5D">
      <w:pPr>
        <w:numPr>
          <w:ilvl w:val="0"/>
          <w:numId w:val="314"/>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Бакаянова Н. М. Актуальні проблеми правового регулювання адвокатської діяльності : навчально-методичний посібник (для здобувачів вищої освіти денної форми навчання) [Електронний ресурс] / Н. М. Бакаянова, М. О. Деменчук. – Одеса : </w:t>
      </w:r>
      <w:r w:rsidRPr="00511005">
        <w:rPr>
          <w:rFonts w:ascii="Arial" w:eastAsia="Times New Roman" w:hAnsi="Arial" w:cs="Arial"/>
          <w:i/>
          <w:szCs w:val="28"/>
          <w:lang w:val="uk-UA" w:eastAsia="ru-RU"/>
        </w:rPr>
        <w:t>Фенікс</w:t>
      </w:r>
      <w:r w:rsidRPr="00511005">
        <w:rPr>
          <w:rFonts w:ascii="Arial" w:eastAsia="Times New Roman" w:hAnsi="Arial" w:cs="Arial"/>
          <w:szCs w:val="28"/>
          <w:lang w:val="uk-UA" w:eastAsia="ru-RU"/>
        </w:rPr>
        <w:t xml:space="preserve">, 2020. – 126 с. - URL: </w:t>
      </w:r>
      <w:hyperlink r:id="rId1160" w:history="1">
        <w:r w:rsidRPr="00511005">
          <w:rPr>
            <w:rFonts w:ascii="Arial" w:eastAsia="Times New Roman" w:hAnsi="Arial" w:cs="Arial"/>
            <w:szCs w:val="28"/>
            <w:lang w:val="uk-UA" w:eastAsia="ru-RU"/>
          </w:rPr>
          <w:t>https://hdl.handle.net/11300/14729</w:t>
        </w:r>
      </w:hyperlink>
    </w:p>
    <w:p w14:paraId="68CDD47A" w14:textId="77777777" w:rsidR="00C10374" w:rsidRPr="00511005" w:rsidRDefault="00C10374" w:rsidP="003F6A5D">
      <w:pPr>
        <w:numPr>
          <w:ilvl w:val="0"/>
          <w:numId w:val="314"/>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Бакаянова Н. М. Основи, засади та принципи адвокатури: співвідношення понять / Н. М. Бакаянова // </w:t>
      </w:r>
      <w:r w:rsidRPr="00511005">
        <w:rPr>
          <w:rFonts w:ascii="Arial" w:eastAsia="Times New Roman" w:hAnsi="Arial" w:cs="Arial"/>
          <w:i/>
          <w:szCs w:val="28"/>
          <w:lang w:val="uk-UA" w:eastAsia="ru-RU"/>
        </w:rPr>
        <w:t>Наукові праці Національного університету "Одеська юридична академія"</w:t>
      </w:r>
      <w:r w:rsidRPr="00511005">
        <w:rPr>
          <w:rFonts w:ascii="Arial" w:eastAsia="Times New Roman" w:hAnsi="Arial" w:cs="Arial"/>
          <w:szCs w:val="28"/>
          <w:lang w:val="uk-UA" w:eastAsia="ru-RU"/>
        </w:rPr>
        <w:t xml:space="preserve">. - 2016. - Т. 18. - С. 20-25. - URL: </w:t>
      </w:r>
      <w:hyperlink r:id="rId1161" w:history="1">
        <w:r w:rsidRPr="00511005">
          <w:rPr>
            <w:rFonts w:ascii="Arial" w:eastAsia="Times New Roman" w:hAnsi="Arial" w:cs="Arial"/>
            <w:szCs w:val="28"/>
            <w:lang w:val="uk-UA" w:eastAsia="ru-RU"/>
          </w:rPr>
          <w:t>http://nbuv.gov.ua/UJRN/Nponyua_2016_18_5</w:t>
        </w:r>
      </w:hyperlink>
      <w:r w:rsidRPr="00511005">
        <w:rPr>
          <w:rFonts w:ascii="Arial" w:eastAsia="Times New Roman" w:hAnsi="Arial" w:cs="Arial"/>
          <w:szCs w:val="28"/>
          <w:lang w:val="uk-UA" w:eastAsia="ru-RU"/>
        </w:rPr>
        <w:t>.</w:t>
      </w:r>
    </w:p>
    <w:p w14:paraId="3B5D2FD3" w14:textId="77777777" w:rsidR="00C10374" w:rsidRPr="00511005" w:rsidRDefault="00C10374" w:rsidP="003F6A5D">
      <w:pPr>
        <w:numPr>
          <w:ilvl w:val="0"/>
          <w:numId w:val="314"/>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Конституція України [Електронний ресурс]: Закон України від 28.06.1996 № 254к/96-ВР // </w:t>
      </w:r>
      <w:r w:rsidRPr="00511005">
        <w:rPr>
          <w:rFonts w:ascii="Arial" w:eastAsia="Times New Roman" w:hAnsi="Arial" w:cs="Arial"/>
          <w:i/>
          <w:szCs w:val="28"/>
          <w:lang w:val="uk-UA" w:eastAsia="ru-RU"/>
        </w:rPr>
        <w:t>Верховна Рада України.</w:t>
      </w:r>
      <w:r w:rsidRPr="00511005">
        <w:rPr>
          <w:rFonts w:ascii="Arial" w:eastAsia="Times New Roman" w:hAnsi="Arial" w:cs="Arial"/>
          <w:szCs w:val="28"/>
          <w:lang w:val="uk-UA" w:eastAsia="ru-RU"/>
        </w:rPr>
        <w:t xml:space="preserve"> - Режим доступу: </w:t>
      </w:r>
      <w:hyperlink r:id="rId1162" w:anchor="Text" w:history="1">
        <w:r w:rsidRPr="00511005">
          <w:rPr>
            <w:rFonts w:ascii="Arial" w:eastAsia="Times New Roman" w:hAnsi="Arial" w:cs="Arial"/>
            <w:szCs w:val="28"/>
            <w:lang w:val="uk-UA" w:eastAsia="ru-RU"/>
          </w:rPr>
          <w:t>https://zakon.rada.gov.ua/laws/show/254к/96-вр#Text</w:t>
        </w:r>
      </w:hyperlink>
    </w:p>
    <w:p w14:paraId="010093E3" w14:textId="05C48423" w:rsidR="00C10374" w:rsidRPr="00511005" w:rsidRDefault="00C10374" w:rsidP="003F6A5D">
      <w:pPr>
        <w:numPr>
          <w:ilvl w:val="0"/>
          <w:numId w:val="314"/>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 адвокатуру і адвокатську діяльність: Закон України від 05.07.2012 № 5076-VI. Редакція від 05.01.2017 [Електронний ресурс]. – Режим доступу: </w:t>
      </w:r>
      <w:hyperlink r:id="rId1163" w:history="1">
        <w:r w:rsidRPr="00511005">
          <w:rPr>
            <w:rFonts w:ascii="Arial" w:eastAsia="Times New Roman" w:hAnsi="Arial" w:cs="Arial"/>
            <w:szCs w:val="28"/>
            <w:lang w:val="uk-UA" w:eastAsia="ru-RU"/>
          </w:rPr>
          <w:t>http://zakon.rada.gov.ua/laws/show/5076-17</w:t>
        </w:r>
      </w:hyperlink>
      <w:r w:rsidR="007B2628" w:rsidRPr="00511005">
        <w:rPr>
          <w:rFonts w:ascii="Arial" w:eastAsia="Times New Roman" w:hAnsi="Arial" w:cs="Arial"/>
          <w:szCs w:val="28"/>
          <w:lang w:val="uk-UA" w:eastAsia="ru-RU"/>
        </w:rPr>
        <w:t xml:space="preserve"> </w:t>
      </w:r>
    </w:p>
    <w:p w14:paraId="0E3623F7" w14:textId="77777777" w:rsidR="00C10374" w:rsidRPr="00511005" w:rsidRDefault="00C10374" w:rsidP="003F6A5D">
      <w:pPr>
        <w:numPr>
          <w:ilvl w:val="0"/>
          <w:numId w:val="314"/>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Правила адвокатської етики, затверджені звітно-виборним з’їздом адвокатів України 09 червня 2017 року. - URL: </w:t>
      </w:r>
      <w:hyperlink r:id="rId1164" w:anchor="Text" w:history="1">
        <w:r w:rsidRPr="00511005">
          <w:rPr>
            <w:rFonts w:ascii="Arial" w:eastAsia="Times New Roman" w:hAnsi="Arial" w:cs="Arial"/>
            <w:szCs w:val="28"/>
            <w:lang w:val="uk-UA" w:eastAsia="ru-RU"/>
          </w:rPr>
          <w:t>https://zakon.rada.gov.ua/rada/show/n0001891-17#Text</w:t>
        </w:r>
      </w:hyperlink>
    </w:p>
    <w:p w14:paraId="4E0E6C8F" w14:textId="77777777" w:rsidR="00C10374" w:rsidRPr="00511005" w:rsidRDefault="00C10374" w:rsidP="003A292D">
      <w:pPr>
        <w:spacing w:line="264" w:lineRule="auto"/>
        <w:ind w:left="720" w:firstLine="0"/>
        <w:contextualSpacing/>
        <w:rPr>
          <w:rFonts w:ascii="Arial" w:eastAsia="Times New Roman" w:hAnsi="Arial" w:cs="Arial"/>
          <w:szCs w:val="28"/>
          <w:lang w:val="uk-UA" w:eastAsia="ru-RU"/>
        </w:rPr>
      </w:pPr>
    </w:p>
    <w:p w14:paraId="1A678746" w14:textId="5627E133" w:rsidR="00C10374" w:rsidRPr="00511005" w:rsidRDefault="007B2628" w:rsidP="00875A11">
      <w:pPr>
        <w:spacing w:line="264" w:lineRule="auto"/>
        <w:rPr>
          <w:rFonts w:ascii="Arial" w:eastAsia="Calibri" w:hAnsi="Arial" w:cs="Arial"/>
          <w:szCs w:val="28"/>
          <w:lang w:val="uk-UA"/>
        </w:rPr>
      </w:pPr>
      <w:r w:rsidRPr="00511005">
        <w:rPr>
          <w:rFonts w:ascii="Arial" w:eastAsia="Calibri" w:hAnsi="Arial" w:cs="Arial"/>
          <w:b/>
          <w:bCs/>
          <w:i/>
          <w:szCs w:val="28"/>
          <w:lang w:val="uk-UA"/>
        </w:rPr>
        <w:lastRenderedPageBreak/>
        <w:t xml:space="preserve">Ключові слова: </w:t>
      </w:r>
      <w:r w:rsidR="00C10374" w:rsidRPr="00511005">
        <w:rPr>
          <w:rFonts w:ascii="Arial" w:eastAsia="Calibri" w:hAnsi="Arial" w:cs="Arial"/>
          <w:szCs w:val="28"/>
          <w:lang w:val="uk-UA"/>
        </w:rPr>
        <w:t>адвокатура, адвокатська діяльність, принципи, верховенство права, законність, незалежність, конфіденційність, конфлікт інтересів, добросовісність, професійна етика, професіоналізм, етична поведінка.</w:t>
      </w:r>
    </w:p>
    <w:p w14:paraId="10BD5802" w14:textId="783D52A5" w:rsidR="00C10374" w:rsidRPr="00511005" w:rsidRDefault="007B2628" w:rsidP="00875A11">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Key words: </w:t>
      </w:r>
      <w:r w:rsidR="00C10374" w:rsidRPr="00511005">
        <w:rPr>
          <w:rFonts w:ascii="Arial" w:eastAsia="Calibri" w:hAnsi="Arial" w:cs="Arial"/>
          <w:szCs w:val="28"/>
          <w:lang w:val="uk-UA"/>
        </w:rPr>
        <w:t>advocacy, advocacy, principles, rule of law, legality, independence, confidentiality, conflict of interest, good faith, professional ethics, professionalism, ethical behavior.</w:t>
      </w:r>
    </w:p>
    <w:p w14:paraId="4AE5F475" w14:textId="040B09CE" w:rsidR="00C10374" w:rsidRPr="00511005" w:rsidRDefault="007B2628" w:rsidP="00875A11">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Науковий керівник: </w:t>
      </w:r>
      <w:r w:rsidR="00C10374" w:rsidRPr="00511005">
        <w:rPr>
          <w:rFonts w:ascii="Arial" w:eastAsia="Calibri" w:hAnsi="Arial" w:cs="Arial"/>
          <w:i/>
          <w:szCs w:val="28"/>
          <w:lang w:val="uk-UA"/>
        </w:rPr>
        <w:t>старший викладач Нестерчук Л.П.</w:t>
      </w:r>
    </w:p>
    <w:p w14:paraId="72DFFB07" w14:textId="77777777" w:rsidR="00C10374" w:rsidRPr="00511005" w:rsidRDefault="00C10374" w:rsidP="003A292D">
      <w:pPr>
        <w:widowControl w:val="0"/>
        <w:spacing w:line="264" w:lineRule="auto"/>
        <w:ind w:firstLine="0"/>
        <w:rPr>
          <w:rFonts w:ascii="Arial" w:eastAsia="Calibri" w:hAnsi="Arial" w:cs="Arial"/>
          <w:szCs w:val="28"/>
        </w:rPr>
      </w:pPr>
    </w:p>
    <w:p w14:paraId="32354DCF" w14:textId="77777777" w:rsidR="00C10374" w:rsidRPr="00511005" w:rsidRDefault="00C10374" w:rsidP="003A292D">
      <w:pPr>
        <w:widowControl w:val="0"/>
        <w:spacing w:line="264" w:lineRule="auto"/>
        <w:ind w:firstLine="0"/>
        <w:rPr>
          <w:rFonts w:ascii="Arial" w:eastAsia="Calibri" w:hAnsi="Arial" w:cs="Arial"/>
          <w:szCs w:val="28"/>
        </w:rPr>
      </w:pPr>
    </w:p>
    <w:p w14:paraId="41F6BDE3" w14:textId="77777777" w:rsidR="00C10374" w:rsidRPr="00511005" w:rsidRDefault="00C10374" w:rsidP="003A292D">
      <w:pPr>
        <w:spacing w:line="264" w:lineRule="auto"/>
        <w:ind w:firstLine="0"/>
        <w:jc w:val="center"/>
        <w:rPr>
          <w:rFonts w:ascii="Arial" w:eastAsia="Calibri" w:hAnsi="Arial" w:cs="Arial"/>
          <w:szCs w:val="28"/>
          <w:lang w:val="uk-UA"/>
        </w:rPr>
      </w:pPr>
      <w:r w:rsidRPr="00511005">
        <w:rPr>
          <w:rFonts w:ascii="Arial" w:eastAsia="Calibri" w:hAnsi="Arial" w:cs="Arial"/>
          <w:b/>
          <w:i/>
          <w:szCs w:val="28"/>
          <w:lang w:val="uk-UA"/>
        </w:rPr>
        <w:t>Парубець Валерія Олександрівна</w:t>
      </w:r>
    </w:p>
    <w:p w14:paraId="31DF9671" w14:textId="490ECD7E" w:rsidR="00C10374" w:rsidRPr="00511005" w:rsidRDefault="00BE3972"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p>
    <w:p w14:paraId="699B32E2" w14:textId="074E2734" w:rsidR="00C10374"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01FBED09" w14:textId="77777777" w:rsidR="00C10374" w:rsidRPr="00511005" w:rsidRDefault="00C10374" w:rsidP="003A292D">
      <w:pPr>
        <w:spacing w:line="264" w:lineRule="auto"/>
        <w:ind w:left="59" w:firstLine="0"/>
        <w:jc w:val="center"/>
        <w:rPr>
          <w:rFonts w:ascii="Arial" w:eastAsia="Calibri" w:hAnsi="Arial" w:cs="Arial"/>
          <w:szCs w:val="28"/>
          <w:lang w:val="uk-UA"/>
        </w:rPr>
      </w:pPr>
    </w:p>
    <w:p w14:paraId="38C11915" w14:textId="77777777" w:rsidR="00C10374" w:rsidRPr="00511005" w:rsidRDefault="00C10374" w:rsidP="003A292D">
      <w:pPr>
        <w:spacing w:line="264" w:lineRule="auto"/>
        <w:ind w:left="59" w:firstLine="0"/>
        <w:jc w:val="center"/>
        <w:rPr>
          <w:rFonts w:ascii="Arial" w:eastAsia="Calibri" w:hAnsi="Arial" w:cs="Arial"/>
          <w:caps/>
          <w:szCs w:val="28"/>
          <w:lang w:val="uk-UA"/>
        </w:rPr>
      </w:pPr>
      <w:r w:rsidRPr="00511005">
        <w:rPr>
          <w:rFonts w:ascii="Arial" w:eastAsia="Calibri" w:hAnsi="Arial" w:cs="Arial"/>
          <w:b/>
          <w:caps/>
          <w:szCs w:val="28"/>
          <w:lang w:val="uk-UA"/>
        </w:rPr>
        <w:t>Інституційна спроможність правоохоронних органів у протидії корупції</w:t>
      </w:r>
    </w:p>
    <w:p w14:paraId="62EC17EA" w14:textId="77777777" w:rsidR="00C10374" w:rsidRPr="00511005" w:rsidRDefault="00C10374" w:rsidP="00875A11">
      <w:pPr>
        <w:spacing w:line="264" w:lineRule="auto"/>
        <w:ind w:left="-15" w:right="-2" w:firstLine="724"/>
        <w:rPr>
          <w:rFonts w:ascii="Arial" w:eastAsia="Calibri" w:hAnsi="Arial" w:cs="Arial"/>
          <w:szCs w:val="28"/>
          <w:lang w:val="uk-UA"/>
        </w:rPr>
      </w:pPr>
      <w:r w:rsidRPr="00511005">
        <w:rPr>
          <w:rFonts w:ascii="Arial" w:eastAsia="Calibri" w:hAnsi="Arial" w:cs="Arial"/>
          <w:szCs w:val="28"/>
          <w:lang w:val="uk-UA"/>
        </w:rPr>
        <w:t xml:space="preserve">Корупція в Україні є серйозною загрозою для національної безпеки, демократії та верховенства права. Вона підриває довіру до держави, гальмує розвиток економіки й посилює соціальну несправедливість. У цьому контексті важливою є ефективна робота правоохоронних органів, які реалізують антикорупційну політику. Їхня інституційна спроможність охоплює організацію, кадри, технічне забезпечення, правову основу та незалежність. Саме від цих чинників залежить результативність боротьби з корупцією. </w:t>
      </w:r>
    </w:p>
    <w:p w14:paraId="165E6253" w14:textId="77777777" w:rsidR="00C10374" w:rsidRPr="00511005" w:rsidRDefault="00C10374" w:rsidP="00875A11">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Інституційна спроможність правоохоронних органів України у протидії корупції базується на діяльності кількох ключових структур: Національного антикорупційного бюро України (далі – НАБУ), Спеціалізованої антикорупційної прокуратури (далі – САП), Національне агентство з питань запобігання корупції (далі – НАЗК), Державне бюро розслідувань (далі – ДБР) та Служба безпеки України (далі – СБУ). Кожен із них має власні функції, а ефективна взаємодія між ними є важливою умовою для результативної боротьби з корупцією. НАБУ спеціалізується на розслідуванні корупційних злочинів високопосадовців, проводить оперативно-розшукову діяльність і взаємодіє з міжнародними партнерами. САП здійснює процесуальне керівництво у кримінальних провадженнях, які розслідує НАБУ та підтримує обвинувачення у Вищому антикорупційному суді. НАЗК виконує превентивні функції — перевіряє декларації посадовців, виявляє конфлікти інтересів і формує антикорупційну політику. ДБР розслідує правопорушення, вчинені суддями, правоохоронцями та військовими, забезпечуючи контроль усередині системи. СБУ, хоч і не є спеціалізованим антикорупційним органом, виконує важливу роль у виявленні корупційних загроз, що стосуються державної безпеки. </w:t>
      </w:r>
    </w:p>
    <w:p w14:paraId="3DEEB65C" w14:textId="77777777" w:rsidR="00C10374" w:rsidRPr="00875A11" w:rsidRDefault="00C10374" w:rsidP="00875A11">
      <w:pPr>
        <w:spacing w:line="264" w:lineRule="auto"/>
        <w:ind w:right="-2"/>
        <w:rPr>
          <w:rFonts w:ascii="Arial" w:eastAsia="Calibri" w:hAnsi="Arial" w:cs="Arial"/>
          <w:szCs w:val="28"/>
          <w:lang w:val="uk-UA"/>
        </w:rPr>
      </w:pPr>
      <w:r w:rsidRPr="00875A11">
        <w:rPr>
          <w:rFonts w:ascii="Arial" w:eastAsia="Calibri" w:hAnsi="Arial" w:cs="Arial"/>
          <w:szCs w:val="28"/>
          <w:lang w:val="uk-UA"/>
        </w:rPr>
        <w:lastRenderedPageBreak/>
        <w:t xml:space="preserve">Звернемо увагу на визначення А.С. Євтушенко, який підкреслює, що ці інституції хоч і мають чіткий функціональний розподіл, однак страждають від низької інституційної спроможності через політичний тиск, обмеження у кадрових та фінансових рішеннях, а також недостатню скоординованість дій [1,с. 165–167]. </w:t>
      </w:r>
    </w:p>
    <w:p w14:paraId="09D6C7B5" w14:textId="77777777" w:rsidR="00C10374" w:rsidRPr="00875A11" w:rsidRDefault="00C10374" w:rsidP="00875A11">
      <w:pPr>
        <w:spacing w:line="264" w:lineRule="auto"/>
        <w:ind w:right="-2"/>
        <w:rPr>
          <w:rFonts w:ascii="Arial" w:eastAsia="Calibri" w:hAnsi="Arial" w:cs="Arial"/>
          <w:szCs w:val="28"/>
          <w:lang w:val="uk-UA"/>
        </w:rPr>
      </w:pPr>
      <w:r w:rsidRPr="00875A11">
        <w:rPr>
          <w:rFonts w:ascii="Arial" w:eastAsia="Calibri" w:hAnsi="Arial" w:cs="Arial"/>
          <w:szCs w:val="28"/>
          <w:lang w:val="uk-UA"/>
        </w:rPr>
        <w:t xml:space="preserve">Попри наявність розвиненої антикорупційної інфраструктури, існують проблеми, зокрема політичний вплив, нестача ресурсів та недосконала координація між органами. Для зміцнення їхньої інституційної спроможності необхідне гарантування незалежності, належне фінансування, підвищення кваліфікації кадрів та покращення міжвідомчої співпраці. </w:t>
      </w:r>
    </w:p>
    <w:p w14:paraId="0FB82DE5" w14:textId="77777777" w:rsidR="00C10374" w:rsidRPr="00875A11" w:rsidRDefault="00C10374" w:rsidP="00875A11">
      <w:pPr>
        <w:spacing w:line="264" w:lineRule="auto"/>
        <w:ind w:right="-2"/>
        <w:rPr>
          <w:rFonts w:ascii="Arial" w:eastAsia="Calibri" w:hAnsi="Arial" w:cs="Arial"/>
          <w:szCs w:val="28"/>
          <w:lang w:val="uk-UA"/>
        </w:rPr>
      </w:pPr>
      <w:r w:rsidRPr="00875A11">
        <w:rPr>
          <w:rFonts w:ascii="Arial" w:eastAsia="Calibri" w:hAnsi="Arial" w:cs="Arial"/>
          <w:szCs w:val="28"/>
          <w:lang w:val="uk-UA"/>
        </w:rPr>
        <w:t xml:space="preserve">У дисертаційному дослідженні А. Євтушенка наголошено на важливості розбудови інституційної спроможності як одного з ключових чинників успішної протидії корупції в органах публічної влади. Автор визначає, що корупція в Україні має не лише економічний, а й глибоко інституційний характер, що проявляється у слабкості механізмів стримувань і противаг, неефективності бюрократичного апарату та формальності правових процедур. </w:t>
      </w:r>
    </w:p>
    <w:p w14:paraId="27C55414" w14:textId="77777777" w:rsidR="00C10374" w:rsidRPr="00511005" w:rsidRDefault="00C10374" w:rsidP="00875A11">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 думку А.С.Євтушенко, підвищення інституційної спроможності правоохоронних органів можливе через забезпечення інституційної незалежності, вдосконалення організаційної структури, розвиток професійного потенціалу працівників, впровадження сучасних інформаційних технологій. Крім того, автор акцентує на важливості стратегічного планування у роботі антикорупційних органів та громадського контролю, тобто воно передбачає визначення довгострокових цілей, пріоритетів і ресурсів для ефективної протидії корупції, що у поєднанні з механізмами громадського контролю сприяє підвищенню їхньої підзвітності та зміцненню довіри суспільства до їхньої діяльності [1,с. 181–183]. </w:t>
      </w:r>
    </w:p>
    <w:p w14:paraId="58374B58" w14:textId="77777777" w:rsidR="00C10374" w:rsidRPr="00875A11" w:rsidRDefault="00C10374" w:rsidP="00875A11">
      <w:pPr>
        <w:spacing w:line="264" w:lineRule="auto"/>
        <w:ind w:right="-2"/>
        <w:rPr>
          <w:rFonts w:ascii="Arial" w:eastAsia="Calibri" w:hAnsi="Arial" w:cs="Arial"/>
          <w:szCs w:val="28"/>
          <w:lang w:val="uk-UA"/>
        </w:rPr>
      </w:pPr>
      <w:r w:rsidRPr="00875A11">
        <w:rPr>
          <w:rFonts w:ascii="Arial" w:eastAsia="Calibri" w:hAnsi="Arial" w:cs="Arial"/>
          <w:szCs w:val="28"/>
          <w:lang w:val="uk-UA"/>
        </w:rPr>
        <w:t xml:space="preserve">Однією з основних ключових проблем, які обмежують ефективність їхньої роботи є недостатність ресурсів — обмежене фінансування, нестача кадрів і технічного забезпечення. У Стратегії розвитку НАБУ наголошується, що для повноцінного виконання завдань органу необхідне стабільне матеріальне забезпечення [3]. </w:t>
      </w:r>
    </w:p>
    <w:p w14:paraId="5C526521" w14:textId="77777777" w:rsidR="00C10374" w:rsidRPr="00511005" w:rsidRDefault="00C10374" w:rsidP="00875A11">
      <w:pPr>
        <w:spacing w:line="264" w:lineRule="auto"/>
        <w:ind w:left="-15" w:right="-2" w:firstLine="724"/>
        <w:rPr>
          <w:rFonts w:ascii="Arial" w:eastAsia="Calibri" w:hAnsi="Arial" w:cs="Arial"/>
          <w:szCs w:val="28"/>
          <w:lang w:val="uk-UA"/>
        </w:rPr>
      </w:pPr>
      <w:r w:rsidRPr="00511005">
        <w:rPr>
          <w:rFonts w:ascii="Arial" w:eastAsia="Calibri" w:hAnsi="Arial" w:cs="Arial"/>
          <w:szCs w:val="28"/>
          <w:lang w:val="uk-UA"/>
        </w:rPr>
        <w:t xml:space="preserve">Серйозною проблемою є й внутрішня корупція. ДБР займається розслідуванням злочинів самих правоохоронців і суддів, що свідчить про наявність корупційних проявів всередині системи. У дисертації А.Ф.Войтюка звертається увага на потребу посилення внутрішнього контролю в цих структурах [2]. </w:t>
      </w:r>
    </w:p>
    <w:p w14:paraId="5FFE8DFC" w14:textId="77777777" w:rsidR="00C10374" w:rsidRPr="00511005" w:rsidRDefault="00C10374" w:rsidP="00875A11">
      <w:pPr>
        <w:spacing w:line="264" w:lineRule="auto"/>
        <w:ind w:left="-15" w:right="-2" w:firstLine="724"/>
        <w:rPr>
          <w:rFonts w:ascii="Arial" w:eastAsia="Calibri" w:hAnsi="Arial" w:cs="Arial"/>
          <w:szCs w:val="28"/>
          <w:lang w:val="uk-UA"/>
        </w:rPr>
      </w:pPr>
      <w:r w:rsidRPr="00511005">
        <w:rPr>
          <w:rFonts w:ascii="Arial" w:eastAsia="Calibri" w:hAnsi="Arial" w:cs="Arial"/>
          <w:szCs w:val="28"/>
          <w:lang w:val="uk-UA"/>
        </w:rPr>
        <w:t xml:space="preserve">Ще один виклик — недовіра з боку суспільства. Громадяни часто скептично оцінюють роботу антикорупційних органів, що ускладнює співпрацю та знижує легітимність їхніх дій. Як підкреслює А.С.Євтушенко, зміцнення довіри до правоохоронної системи є необхідною умовою її ефективності [1, с.146-184] </w:t>
      </w:r>
    </w:p>
    <w:p w14:paraId="4399E512" w14:textId="77777777" w:rsidR="00C10374" w:rsidRPr="00511005" w:rsidRDefault="00C10374" w:rsidP="00875A11">
      <w:pPr>
        <w:spacing w:line="264" w:lineRule="auto"/>
        <w:ind w:left="-15" w:right="-2" w:firstLine="724"/>
        <w:rPr>
          <w:rFonts w:ascii="Arial" w:eastAsia="Calibri" w:hAnsi="Arial" w:cs="Arial"/>
          <w:szCs w:val="28"/>
          <w:lang w:val="uk-UA"/>
        </w:rPr>
      </w:pPr>
      <w:r w:rsidRPr="00511005">
        <w:rPr>
          <w:rFonts w:ascii="Arial" w:eastAsia="Calibri" w:hAnsi="Arial" w:cs="Arial"/>
          <w:szCs w:val="28"/>
          <w:lang w:val="uk-UA"/>
        </w:rPr>
        <w:lastRenderedPageBreak/>
        <w:t>Загалом, подолання цих проблем потребує комплексного підходу, спрямованого на посилення незалежності, прозорості та професійності антикорупційних інституцій.[3]</w:t>
      </w:r>
    </w:p>
    <w:p w14:paraId="01F5CC4B" w14:textId="77777777" w:rsidR="00C10374" w:rsidRPr="00511005" w:rsidRDefault="00C10374" w:rsidP="00875A11">
      <w:pPr>
        <w:spacing w:line="264" w:lineRule="auto"/>
        <w:ind w:left="-15" w:right="-2" w:firstLine="724"/>
        <w:rPr>
          <w:rFonts w:ascii="Arial" w:eastAsia="Calibri" w:hAnsi="Arial" w:cs="Arial"/>
          <w:szCs w:val="28"/>
          <w:lang w:val="uk-UA"/>
        </w:rPr>
      </w:pPr>
      <w:r w:rsidRPr="00511005">
        <w:rPr>
          <w:rFonts w:ascii="Arial" w:eastAsia="Calibri" w:hAnsi="Arial" w:cs="Arial"/>
          <w:szCs w:val="28"/>
          <w:lang w:val="uk-UA"/>
        </w:rPr>
        <w:t>У контексті теми «Інституційна спроможність правоохоронних органів у протидії корупції» ключовим є пошук шляхів її посилення. Насамперед, виказує думку А.С.Євтушенко, потрібна комплексна реформа антикорупційних інституцій, яка включає модернізацію законодавства та реорганізацію структури й функцій відповідно до міжнародних стандартів [1, с.146-184]</w:t>
      </w:r>
    </w:p>
    <w:p w14:paraId="4DAB0A2C" w14:textId="77777777" w:rsidR="00C10374" w:rsidRPr="00511005" w:rsidRDefault="00C10374" w:rsidP="00875A11">
      <w:pPr>
        <w:spacing w:line="264" w:lineRule="auto"/>
        <w:ind w:left="-15" w:right="-2" w:firstLine="724"/>
        <w:rPr>
          <w:rFonts w:ascii="Arial" w:eastAsia="Calibri" w:hAnsi="Arial" w:cs="Arial"/>
          <w:szCs w:val="28"/>
          <w:lang w:val="uk-UA"/>
        </w:rPr>
      </w:pPr>
      <w:r w:rsidRPr="00511005">
        <w:rPr>
          <w:rFonts w:ascii="Arial" w:eastAsia="Calibri" w:hAnsi="Arial" w:cs="Arial"/>
          <w:szCs w:val="28"/>
          <w:lang w:val="uk-UA"/>
        </w:rPr>
        <w:t xml:space="preserve">Важливим аспектом є забезпечення незалежності органів від політичного тиску через механізми зовнішнього контролю, а також підвищення прозорості їхньої роботи. Водночас необхідний високий рівень професіоналізму та доброчесності працівників [3]. </w:t>
      </w:r>
    </w:p>
    <w:p w14:paraId="35B22B47" w14:textId="77777777" w:rsidR="00C10374" w:rsidRPr="00511005" w:rsidRDefault="00C10374" w:rsidP="00875A11">
      <w:pPr>
        <w:spacing w:line="264" w:lineRule="auto"/>
        <w:ind w:left="-15" w:right="-2" w:firstLine="724"/>
        <w:rPr>
          <w:rFonts w:ascii="Arial" w:eastAsia="Calibri" w:hAnsi="Arial" w:cs="Arial"/>
          <w:szCs w:val="28"/>
          <w:lang w:val="uk-UA"/>
        </w:rPr>
      </w:pPr>
      <w:r w:rsidRPr="00511005">
        <w:rPr>
          <w:rFonts w:ascii="Arial" w:eastAsia="Calibri" w:hAnsi="Arial" w:cs="Arial"/>
          <w:szCs w:val="28"/>
          <w:lang w:val="uk-UA"/>
        </w:rPr>
        <w:t xml:space="preserve">Не менш значущим є розвиток кадрового потенціалу. Антикорупційна діяльність вимагає фахівців із знаннями в галузі права, фінансів, ІТ та міжнародних практик, а також регулярного підвищення їхньої кваліфікації [2]. </w:t>
      </w:r>
    </w:p>
    <w:p w14:paraId="0F3325DA" w14:textId="77777777" w:rsidR="00C10374" w:rsidRPr="00511005" w:rsidRDefault="00C10374" w:rsidP="00875A11">
      <w:pPr>
        <w:spacing w:line="264" w:lineRule="auto"/>
        <w:ind w:left="-15" w:right="-2" w:firstLine="724"/>
        <w:rPr>
          <w:rFonts w:ascii="Arial" w:eastAsia="Calibri" w:hAnsi="Arial" w:cs="Arial"/>
          <w:szCs w:val="28"/>
          <w:lang w:val="uk-UA"/>
        </w:rPr>
      </w:pPr>
      <w:r w:rsidRPr="00511005">
        <w:rPr>
          <w:rFonts w:ascii="Arial" w:eastAsia="Calibri" w:hAnsi="Arial" w:cs="Arial"/>
          <w:szCs w:val="28"/>
          <w:lang w:val="uk-UA"/>
        </w:rPr>
        <w:t xml:space="preserve">Співпраця з громадянським суспільством і міжнародними організаціями сприяє відкритості, залученню експертної підтримки та зростанню довіри до правоохоронних органів. Громадський моніторинг відіграє важливу роль у підвищенні ефективності системи. </w:t>
      </w:r>
    </w:p>
    <w:p w14:paraId="383FD49E" w14:textId="77777777" w:rsidR="00C10374" w:rsidRPr="00511005" w:rsidRDefault="00C10374" w:rsidP="00875A11">
      <w:pPr>
        <w:spacing w:line="264" w:lineRule="auto"/>
        <w:ind w:left="-15" w:right="-2" w:firstLine="724"/>
        <w:rPr>
          <w:rFonts w:ascii="Arial" w:eastAsia="Calibri" w:hAnsi="Arial" w:cs="Arial"/>
          <w:szCs w:val="28"/>
          <w:lang w:val="uk-UA"/>
        </w:rPr>
      </w:pPr>
      <w:r w:rsidRPr="00511005">
        <w:rPr>
          <w:rFonts w:ascii="Arial" w:eastAsia="Calibri" w:hAnsi="Arial" w:cs="Arial"/>
          <w:szCs w:val="28"/>
          <w:lang w:val="uk-UA"/>
        </w:rPr>
        <w:t xml:space="preserve">Інституційна спроможність правоохоронних органів є ключовим чинником ефективної протидії корупції в державі. Проведений аналіз засвідчив, що наявні організаційні, кадрові, нормативні та технічні ресурси не завжди забезпечують належний рівень реагування на корупційні прояви. Системні недоліки, такі як фрагментарність реформ, низький рівень взаємодії між інституціями та обмежений суспільний контроль, значною мірою знижують ефективність антикорупційної діяльності. Тому підвищення інституційної спроможності потребує комплексного підходу, орієнтованого на сталий розвиток, професіоналізацію кадрів і впровадження сучасних управлінських практик. </w:t>
      </w:r>
    </w:p>
    <w:p w14:paraId="03CC82A0" w14:textId="77777777" w:rsidR="00C10374" w:rsidRPr="00511005" w:rsidRDefault="00C10374" w:rsidP="00875A11">
      <w:pPr>
        <w:spacing w:line="264" w:lineRule="auto"/>
        <w:ind w:left="-15" w:right="-2" w:firstLine="724"/>
        <w:rPr>
          <w:rFonts w:ascii="Arial" w:eastAsia="Calibri" w:hAnsi="Arial" w:cs="Arial"/>
          <w:szCs w:val="28"/>
          <w:lang w:val="uk-UA"/>
        </w:rPr>
      </w:pPr>
      <w:r w:rsidRPr="00511005">
        <w:rPr>
          <w:rFonts w:ascii="Arial" w:eastAsia="Calibri" w:hAnsi="Arial" w:cs="Arial"/>
          <w:szCs w:val="28"/>
          <w:lang w:val="uk-UA"/>
        </w:rPr>
        <w:t xml:space="preserve">Напрями подальшого розвитку інституційної спроможності правоохоронних органів у протидії корупції передбачають комплексне вдосконалення низки ключових елементів. Передусім важливим є посилення кадрового потенціалу, що включає професійну підготовку, прозорий добір та належну мотивацію працівників. Також необхідно удосконалити нормативноправову базу з урахуванням сучасних викликів та усуненням наявних прогалин. Одним із пріоритетних напрямів є впровадження цифрових технологій у процеси виявлення, розслідування й запобігання корупційним злочинам. Важливою умовою підвищення ефективності є зміцнення міжінституційної співпраці між усіма органами, що беруть участь у боротьбі з корупцією. Крім того, слід активніше залучати громадськість та засоби масової інформації до процесу контролю за </w:t>
      </w:r>
      <w:r w:rsidRPr="00511005">
        <w:rPr>
          <w:rFonts w:ascii="Arial" w:eastAsia="Calibri" w:hAnsi="Arial" w:cs="Arial"/>
          <w:szCs w:val="28"/>
          <w:lang w:val="uk-UA"/>
        </w:rPr>
        <w:lastRenderedPageBreak/>
        <w:t xml:space="preserve">діяльністю правоохоронців, що сприятиме підвищенню рівня прозорості та підзвітності. Завершальним, але не менш важливим напрямом є забезпечення реальної незалежності антикорупційних структур від політичного впливу, що є основою для їхньої ефективної та неупередженої діяльності. </w:t>
      </w:r>
    </w:p>
    <w:p w14:paraId="57BBE3B4" w14:textId="77777777" w:rsidR="00C10374" w:rsidRPr="00511005" w:rsidRDefault="00C10374" w:rsidP="003A292D">
      <w:pPr>
        <w:spacing w:line="264" w:lineRule="auto"/>
        <w:ind w:left="-5" w:hanging="10"/>
        <w:jc w:val="center"/>
        <w:rPr>
          <w:rFonts w:ascii="Arial" w:eastAsia="Calibri" w:hAnsi="Arial" w:cs="Arial"/>
          <w:b/>
          <w:szCs w:val="28"/>
          <w:lang w:val="uk-UA"/>
        </w:rPr>
      </w:pPr>
    </w:p>
    <w:p w14:paraId="5E1B5757" w14:textId="589B30CC" w:rsidR="00C10374" w:rsidRPr="00511005" w:rsidRDefault="007B2628" w:rsidP="007B2628">
      <w:pPr>
        <w:spacing w:line="264" w:lineRule="auto"/>
        <w:ind w:left="-5" w:hanging="10"/>
        <w:jc w:val="center"/>
        <w:rPr>
          <w:rFonts w:ascii="Arial" w:eastAsia="Calibri" w:hAnsi="Arial" w:cs="Arial"/>
          <w:szCs w:val="28"/>
          <w:lang w:val="uk-UA"/>
        </w:rPr>
      </w:pPr>
      <w:r w:rsidRPr="00511005">
        <w:rPr>
          <w:rFonts w:ascii="Arial" w:eastAsia="Calibri" w:hAnsi="Arial" w:cs="Arial"/>
          <w:b/>
          <w:szCs w:val="28"/>
          <w:lang w:val="uk-UA"/>
        </w:rPr>
        <w:t>Список використаних джерел</w:t>
      </w:r>
    </w:p>
    <w:p w14:paraId="59F29479" w14:textId="77777777" w:rsidR="00C10374" w:rsidRPr="00511005" w:rsidRDefault="00C10374" w:rsidP="003F6A5D">
      <w:pPr>
        <w:numPr>
          <w:ilvl w:val="0"/>
          <w:numId w:val="315"/>
        </w:numPr>
        <w:spacing w:line="264" w:lineRule="auto"/>
        <w:ind w:left="0" w:right="-2"/>
        <w:rPr>
          <w:rFonts w:ascii="Arial" w:eastAsia="Calibri" w:hAnsi="Arial" w:cs="Arial"/>
          <w:szCs w:val="28"/>
          <w:lang w:val="uk-UA"/>
        </w:rPr>
      </w:pPr>
      <w:r w:rsidRPr="00511005">
        <w:rPr>
          <w:rFonts w:ascii="Arial" w:eastAsia="Calibri" w:hAnsi="Arial" w:cs="Arial"/>
          <w:szCs w:val="28"/>
          <w:lang w:val="uk-UA"/>
        </w:rPr>
        <w:t xml:space="preserve">Євтушенко А. С. Механізми запобігання та протидії корупції в органах публічної влади: дисертація доктора філософ.; Харківський національний університет імені В.Н.Каразіна Харків,2025. 245 с. URL: </w:t>
      </w:r>
      <w:hyperlink r:id="rId1165">
        <w:r w:rsidRPr="00511005">
          <w:rPr>
            <w:rFonts w:ascii="Arial" w:eastAsia="Calibri" w:hAnsi="Arial" w:cs="Arial"/>
            <w:szCs w:val="28"/>
            <w:lang w:val="uk-UA"/>
          </w:rPr>
          <w:t xml:space="preserve"> </w:t>
        </w:r>
      </w:hyperlink>
      <w:r w:rsidRPr="00511005">
        <w:rPr>
          <w:rFonts w:ascii="Arial" w:eastAsia="Calibri" w:hAnsi="Arial" w:cs="Arial"/>
          <w:szCs w:val="28"/>
          <w:lang w:val="uk-UA"/>
        </w:rPr>
        <w:t xml:space="preserve"> </w:t>
      </w:r>
      <w:hyperlink r:id="rId1166" w:history="1">
        <w:r w:rsidRPr="00511005">
          <w:rPr>
            <w:rFonts w:ascii="Arial" w:eastAsia="Calibri" w:hAnsi="Arial" w:cs="Arial"/>
            <w:szCs w:val="28"/>
            <w:lang w:val="uk-UA"/>
          </w:rPr>
          <w:t>https://karazin.ua/storage/static-content/source/documents/aspirantura/zakhysty/jevtushenko_a/Дисертація%20Євтушенко.pdf</w:t>
        </w:r>
      </w:hyperlink>
      <w:r w:rsidRPr="00511005">
        <w:rPr>
          <w:rFonts w:ascii="Arial" w:eastAsia="Calibri" w:hAnsi="Arial" w:cs="Arial"/>
          <w:szCs w:val="28"/>
          <w:lang w:val="uk-UA"/>
        </w:rPr>
        <w:t xml:space="preserve"> </w:t>
      </w:r>
    </w:p>
    <w:p w14:paraId="4A36C710" w14:textId="77777777" w:rsidR="00C10374" w:rsidRPr="00511005" w:rsidRDefault="00C10374" w:rsidP="003F6A5D">
      <w:pPr>
        <w:numPr>
          <w:ilvl w:val="0"/>
          <w:numId w:val="315"/>
        </w:numPr>
        <w:spacing w:line="264" w:lineRule="auto"/>
        <w:ind w:left="0" w:right="-2"/>
        <w:rPr>
          <w:rFonts w:ascii="Arial" w:eastAsia="Calibri" w:hAnsi="Arial" w:cs="Arial"/>
          <w:szCs w:val="28"/>
          <w:lang w:val="uk-UA"/>
        </w:rPr>
      </w:pPr>
      <w:r w:rsidRPr="00511005">
        <w:rPr>
          <w:rFonts w:ascii="Arial" w:eastAsia="Calibri" w:hAnsi="Arial" w:cs="Arial"/>
          <w:szCs w:val="28"/>
          <w:lang w:val="uk-UA"/>
        </w:rPr>
        <w:t>Войтюк Р. В. Детектив Національного антикорупційного бюро України як суб’єкт кримінальних процесуальних</w:t>
      </w:r>
      <w:r w:rsidRPr="00511005">
        <w:rPr>
          <w:rFonts w:ascii="Arial" w:eastAsia="Calibri" w:hAnsi="Arial" w:cs="Arial"/>
          <w:szCs w:val="28"/>
          <w:lang w:val="uk-UA"/>
        </w:rPr>
        <w:tab/>
        <w:t xml:space="preserve">відносин: дисертація доктора філософ.; Київ, 2019. 289 с. URL: </w:t>
      </w:r>
      <w:hyperlink r:id="rId1167" w:history="1">
        <w:r w:rsidRPr="00511005">
          <w:rPr>
            <w:rFonts w:ascii="Arial" w:eastAsia="Calibri" w:hAnsi="Arial" w:cs="Arial"/>
            <w:szCs w:val="28"/>
            <w:lang w:val="pl-PL"/>
          </w:rPr>
          <w:t>https://elar.navs.edu.ua/server/api/core/bitstreams/f15c3379-f8ac-4692-9bc9-526a5b78fc22/content</w:t>
        </w:r>
      </w:hyperlink>
      <w:r w:rsidRPr="00511005">
        <w:rPr>
          <w:rFonts w:ascii="Arial" w:eastAsia="Calibri" w:hAnsi="Arial" w:cs="Arial"/>
          <w:szCs w:val="28"/>
          <w:lang w:val="uk-UA"/>
        </w:rPr>
        <w:t xml:space="preserve"> </w:t>
      </w:r>
    </w:p>
    <w:p w14:paraId="327F9A3D" w14:textId="77777777" w:rsidR="00C10374" w:rsidRPr="00511005" w:rsidRDefault="00C10374" w:rsidP="003F6A5D">
      <w:pPr>
        <w:numPr>
          <w:ilvl w:val="0"/>
          <w:numId w:val="315"/>
        </w:numPr>
        <w:spacing w:line="264" w:lineRule="auto"/>
        <w:ind w:left="0" w:right="-2"/>
        <w:rPr>
          <w:rFonts w:ascii="Arial" w:eastAsia="Calibri" w:hAnsi="Arial" w:cs="Arial"/>
          <w:szCs w:val="28"/>
          <w:lang w:val="uk-UA"/>
        </w:rPr>
      </w:pPr>
      <w:r w:rsidRPr="00511005">
        <w:rPr>
          <w:rFonts w:ascii="Arial" w:eastAsia="Calibri" w:hAnsi="Arial" w:cs="Arial"/>
          <w:szCs w:val="28"/>
          <w:lang w:val="uk-UA"/>
        </w:rPr>
        <w:t xml:space="preserve">Стратегія </w:t>
      </w:r>
      <w:r w:rsidRPr="00511005">
        <w:rPr>
          <w:rFonts w:ascii="Arial" w:eastAsia="Calibri" w:hAnsi="Arial" w:cs="Arial"/>
          <w:szCs w:val="28"/>
          <w:lang w:val="uk-UA"/>
        </w:rPr>
        <w:tab/>
        <w:t xml:space="preserve">розвитку </w:t>
      </w:r>
      <w:r w:rsidRPr="00511005">
        <w:rPr>
          <w:rFonts w:ascii="Arial" w:eastAsia="Calibri" w:hAnsi="Arial" w:cs="Arial"/>
          <w:szCs w:val="28"/>
          <w:lang w:val="uk-UA"/>
        </w:rPr>
        <w:tab/>
        <w:t xml:space="preserve">НАБУ. URL: </w:t>
      </w:r>
      <w:hyperlink r:id="rId1168" w:history="1">
        <w:r w:rsidRPr="00511005">
          <w:rPr>
            <w:rFonts w:ascii="Arial" w:eastAsia="Calibri" w:hAnsi="Arial" w:cs="Arial"/>
            <w:szCs w:val="28"/>
          </w:rPr>
          <w:t>https://nabu.gov.ua/site/assets/files/28142/strategiya_rozvytku_nabu.pdf</w:t>
        </w:r>
      </w:hyperlink>
      <w:r w:rsidRPr="00511005">
        <w:rPr>
          <w:rFonts w:ascii="Arial" w:eastAsia="Calibri" w:hAnsi="Arial" w:cs="Arial"/>
          <w:szCs w:val="28"/>
          <w:lang w:val="uk-UA"/>
        </w:rPr>
        <w:t xml:space="preserve"> </w:t>
      </w:r>
    </w:p>
    <w:p w14:paraId="644CDF70" w14:textId="77777777" w:rsidR="00C10374" w:rsidRPr="00511005" w:rsidRDefault="00C10374" w:rsidP="003A292D">
      <w:pPr>
        <w:spacing w:line="264" w:lineRule="auto"/>
        <w:rPr>
          <w:rFonts w:ascii="Arial" w:eastAsia="Calibri" w:hAnsi="Arial" w:cs="Arial"/>
          <w:b/>
          <w:szCs w:val="28"/>
          <w:lang w:val="uk-UA"/>
        </w:rPr>
      </w:pPr>
    </w:p>
    <w:p w14:paraId="7424BE40" w14:textId="743139D9" w:rsidR="00C10374"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корупція, національна безпека, демократія, верховенство права, довіра до держави, економічний розвиток, соціальна несправедливість, інституційна спроможність, правоохоронні органи, антикорупційна політика</w:t>
      </w:r>
    </w:p>
    <w:p w14:paraId="40A3930A" w14:textId="6CBC0104" w:rsidR="00C10374"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Key words: </w:t>
      </w:r>
      <w:r w:rsidR="00C10374" w:rsidRPr="00511005">
        <w:rPr>
          <w:rFonts w:ascii="Arial" w:eastAsia="Calibri" w:hAnsi="Arial" w:cs="Arial"/>
          <w:szCs w:val="28"/>
          <w:lang w:val="uk-UA"/>
        </w:rPr>
        <w:t>Corruption, National Security, Democracy, Rule of Law, Trust in the State, Economic Development, Social Injustice, Institutional Capacity, Law Enforcement Agencies, Anti-Corruption Policy.</w:t>
      </w:r>
    </w:p>
    <w:p w14:paraId="5E4CAECA" w14:textId="79C876AA" w:rsidR="00C10374" w:rsidRPr="00511005" w:rsidRDefault="007B2628" w:rsidP="003A292D">
      <w:pPr>
        <w:spacing w:line="264" w:lineRule="auto"/>
        <w:rPr>
          <w:rFonts w:ascii="Arial" w:eastAsia="Calibri" w:hAnsi="Arial" w:cs="Arial"/>
          <w:i/>
          <w:iCs/>
          <w:szCs w:val="28"/>
          <w:lang w:val="uk-UA" w:eastAsia="ru-RU"/>
        </w:rPr>
      </w:pPr>
      <w:r w:rsidRPr="00511005">
        <w:rPr>
          <w:rFonts w:ascii="Arial" w:eastAsia="Calibri" w:hAnsi="Arial" w:cs="Arial"/>
          <w:b/>
          <w:i/>
          <w:iCs/>
          <w:szCs w:val="28"/>
          <w:lang w:val="uk-UA" w:eastAsia="ru-RU"/>
        </w:rPr>
        <w:t xml:space="preserve">Науковий керівник: </w:t>
      </w:r>
      <w:r w:rsidR="00C10374" w:rsidRPr="00511005">
        <w:rPr>
          <w:rFonts w:ascii="Arial" w:eastAsia="Calibri" w:hAnsi="Arial" w:cs="Arial"/>
          <w:i/>
          <w:iCs/>
          <w:szCs w:val="28"/>
          <w:lang w:val="uk-UA" w:eastAsia="ru-RU"/>
        </w:rPr>
        <w:t>старший викладач Нестерчук Л.П.</w:t>
      </w:r>
    </w:p>
    <w:p w14:paraId="3EDA5226" w14:textId="77777777" w:rsidR="00C10374" w:rsidRPr="00511005" w:rsidRDefault="00C10374" w:rsidP="003A292D">
      <w:pPr>
        <w:spacing w:line="264" w:lineRule="auto"/>
        <w:rPr>
          <w:rFonts w:ascii="Arial" w:eastAsia="Calibri" w:hAnsi="Arial" w:cs="Arial"/>
          <w:i/>
          <w:iCs/>
          <w:szCs w:val="28"/>
          <w:lang w:val="uk-UA" w:eastAsia="ru-RU"/>
        </w:rPr>
      </w:pPr>
    </w:p>
    <w:p w14:paraId="588E62AE" w14:textId="77777777" w:rsidR="00C10374" w:rsidRPr="00511005" w:rsidRDefault="00C10374" w:rsidP="003A292D">
      <w:pPr>
        <w:spacing w:line="264" w:lineRule="auto"/>
        <w:rPr>
          <w:rFonts w:ascii="Arial" w:eastAsia="Calibri" w:hAnsi="Arial" w:cs="Arial"/>
          <w:i/>
          <w:iCs/>
          <w:szCs w:val="28"/>
          <w:lang w:val="uk-UA" w:eastAsia="ru-RU"/>
        </w:rPr>
      </w:pPr>
    </w:p>
    <w:p w14:paraId="316FFF9C" w14:textId="77777777" w:rsidR="00C10374" w:rsidRPr="00511005" w:rsidRDefault="00C10374"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Пацанівська Вікторія Євгеніївна</w:t>
      </w:r>
    </w:p>
    <w:p w14:paraId="30ADE47B" w14:textId="674E6940" w:rsidR="00C10374" w:rsidRPr="00511005" w:rsidRDefault="00BE3972"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p>
    <w:p w14:paraId="1A23103D" w14:textId="01EA2989" w:rsidR="00C10374"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4E32A78F" w14:textId="77777777" w:rsidR="00C10374" w:rsidRPr="00511005" w:rsidRDefault="00C10374" w:rsidP="003A292D">
      <w:pPr>
        <w:spacing w:line="264" w:lineRule="auto"/>
        <w:ind w:firstLine="0"/>
        <w:jc w:val="center"/>
        <w:rPr>
          <w:rFonts w:ascii="Arial" w:eastAsia="Calibri" w:hAnsi="Arial" w:cs="Arial"/>
          <w:szCs w:val="28"/>
          <w:lang w:val="uk-UA"/>
        </w:rPr>
      </w:pPr>
    </w:p>
    <w:p w14:paraId="08530A05" w14:textId="1A0AD652" w:rsidR="00C10374" w:rsidRPr="00511005" w:rsidRDefault="00C10374" w:rsidP="003A292D">
      <w:pPr>
        <w:spacing w:line="264" w:lineRule="auto"/>
        <w:ind w:firstLine="0"/>
        <w:jc w:val="center"/>
        <w:rPr>
          <w:rFonts w:ascii="Arial" w:eastAsia="Calibri" w:hAnsi="Arial" w:cs="Arial"/>
          <w:b/>
          <w:bCs/>
          <w:szCs w:val="28"/>
          <w:shd w:val="clear" w:color="auto" w:fill="FFFFFF"/>
          <w:lang w:val="uk-UA"/>
        </w:rPr>
      </w:pPr>
      <w:r w:rsidRPr="00511005">
        <w:rPr>
          <w:rFonts w:ascii="Arial" w:eastAsia="Calibri" w:hAnsi="Arial" w:cs="Arial"/>
          <w:b/>
          <w:bCs/>
          <w:szCs w:val="28"/>
          <w:shd w:val="clear" w:color="auto" w:fill="FFFFFF"/>
          <w:lang w:val="uk-UA"/>
        </w:rPr>
        <w:t>ЗУПИНЕННЯ ТА ПРИПИНЕННЯ ПРАВА НА ЗАНЯТТЯ</w:t>
      </w:r>
      <w:r w:rsidR="007B2628" w:rsidRPr="00511005">
        <w:rPr>
          <w:rFonts w:ascii="Arial" w:eastAsia="Calibri" w:hAnsi="Arial" w:cs="Arial"/>
          <w:b/>
          <w:bCs/>
          <w:szCs w:val="28"/>
          <w:shd w:val="clear" w:color="auto" w:fill="FFFFFF"/>
          <w:lang w:val="uk-UA"/>
        </w:rPr>
        <w:t xml:space="preserve"> </w:t>
      </w:r>
      <w:r w:rsidRPr="00511005">
        <w:rPr>
          <w:rFonts w:ascii="Arial" w:eastAsia="Calibri" w:hAnsi="Arial" w:cs="Arial"/>
          <w:b/>
          <w:bCs/>
          <w:szCs w:val="28"/>
          <w:shd w:val="clear" w:color="auto" w:fill="FFFFFF"/>
          <w:lang w:val="uk-UA"/>
        </w:rPr>
        <w:t>АДВОКАТСЬКОЮ ДІЯЛЬНІСТЮ В УКРАЇНІ ТА У ДЕЯКИХ КРАЇНАХ ЄВРОПЕЙСЬКОГО СОЮЗУ</w:t>
      </w:r>
    </w:p>
    <w:p w14:paraId="6ABF357E" w14:textId="77777777" w:rsidR="007B2628"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Захист прав та свобод громадян будь-якої держави є головним аспектом функціонування самої держави. У багатьох країнах світу панує демократія, тобто народовладдя. Народ – це рушійна сила, яка повинна бути захищена </w:t>
      </w:r>
      <w:r w:rsidRPr="00511005">
        <w:rPr>
          <w:rFonts w:ascii="Arial" w:eastAsia="Calibri" w:hAnsi="Arial" w:cs="Arial"/>
          <w:szCs w:val="28"/>
          <w:lang w:val="uk-UA"/>
        </w:rPr>
        <w:lastRenderedPageBreak/>
        <w:t>від свавілля органів державної влади, і єдина особа, яка може надати їм потрібну допомогу - адвокат.</w:t>
      </w:r>
    </w:p>
    <w:p w14:paraId="3C2E8995" w14:textId="4407651F"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Актуальність теми полягає у зростанні з кожним роком вимог до професійної етики адвоката, яка полягає у дотриманні вітчизняних стандартів.</w:t>
      </w:r>
    </w:p>
    <w:p w14:paraId="6060E87A"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Діяльність адвокатури регулюється Законом України «Про адвокатуру та адвокатську діяльність». В цьому Законі міститься розділ V - «Зупинення та припинення права на заняття адвокатською діяльністю», з Законом кожен громадянин може вільно ознайомитися та упевнитися у офіційній діяльності свого адвоката.</w:t>
      </w:r>
    </w:p>
    <w:p w14:paraId="00C377E0"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Кожен адвокат має бути добросовісним та добропорядним (ст.ст. 11, 12</w:t>
      </w:r>
      <w:r w:rsidRPr="00511005">
        <w:rPr>
          <w:rFonts w:ascii="Arial" w:eastAsia="Calibri" w:hAnsi="Arial" w:cs="Arial"/>
          <w:szCs w:val="28"/>
          <w:vertAlign w:val="superscript"/>
          <w:lang w:val="uk-UA"/>
        </w:rPr>
        <w:t>1</w:t>
      </w:r>
      <w:r w:rsidRPr="00511005">
        <w:rPr>
          <w:rFonts w:ascii="Arial" w:eastAsia="Calibri" w:hAnsi="Arial" w:cs="Arial"/>
          <w:szCs w:val="28"/>
          <w:lang w:val="uk-UA"/>
        </w:rPr>
        <w:t xml:space="preserve"> «Правила адвокатської етики») [6], але при деяких ситуаціях, можливо, навіть вимушених, може порушити певною мірою свою присягу, наприклад, порушивши адвокатську таємницю (ч. 3 ст. 22 Закону України «Про адвокатуру та адвокатську діяльність») [5]. У результаті адвокат може бути підданий дисциплінарному стягненню, що передбачає позбавлення права здійснення адвокатської практики (ч. 2 ст. 32 Закону України «Про адвокатуру та адвокатську діяльність») [5]. Тлумачення поняття «адвокатська таємниця» зазначається у ч. 1 ст. 22 Закону України «Про адвокатуру та адвокатську діяльність», а саме: що це будь-які дані, які адвокат або його клієнт надають один одному. </w:t>
      </w:r>
    </w:p>
    <w:p w14:paraId="65DA80E6"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На думку В. В. Заборовського, таке дисциплінарне стягнення, а саме: позбавлення права здійснення адвокатської практики, є дещо критичним та невиправданим, вважаючи розголошення адвокатської таємниці простою річчю, якщо вона не несе негативного наслідку для клієнта та пропонує інші покарання: попередження або догана, вважаючи їх більш справедливими [1, с. 3]. Припустимо, що між адвокатом та фізичною особою було укладено договір про надання правової допомоги. Але згодом адвокат дав свідчення проти свого клієнта, які мали обвинувальний характер. Згоду на розголошення цієї інформації клієнт не надав, а свідчення лягли в основу кримінального обвинувачення проти нього. У цьому випадку, дії адвоката були умисними, без жодного тиску на нього, тому в результаті розголошення адвокатської таємниці, тим самим порушивши правила адвокатської етики, зазначені в статті 10 «Правила адвокатської етики» [6], за законодавством він має бути позбавлений права здійснювати адвокатську діяльність.</w:t>
      </w:r>
    </w:p>
    <w:p w14:paraId="0A8FDE10"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Також підставою для припинення адвокатської діяльності є дії адвоката, які навмисно та/або ненавмисно завдають шкоду клієнту, у тому випадку, коли така дія встановлена судовим рішенням, що набрало законної сили (ч. 2 ст. 32 Закону України «Про адвокатуру та адвокатську діяльність») [5]. Наприклад, за значну шкоду клієнту можна вважати негативний наслідок для клієнта після розголошення адвокатської таємниці адвокатом даного клієнта. У такому разі буде проведений судовий розгляд протиправних дій адвоката, встановлений факт заподіяння шкоди клієнту на основі цієї </w:t>
      </w:r>
      <w:r w:rsidRPr="00511005">
        <w:rPr>
          <w:rFonts w:ascii="Arial" w:eastAsia="Calibri" w:hAnsi="Arial" w:cs="Arial"/>
          <w:szCs w:val="28"/>
          <w:lang w:val="uk-UA"/>
        </w:rPr>
        <w:lastRenderedPageBreak/>
        <w:t xml:space="preserve">інформації та буде оголошений результат, який встановить факт протиправної дії адвоката і це стане головним чинником для притягнення адвоката до дисциплінарної відповідальності [1, с. 3]. </w:t>
      </w:r>
    </w:p>
    <w:p w14:paraId="4C46B6F9"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Одна з причин позбавлення права адвоката на його діяльність - це систематичне або грубе одноразове порушення правил Кодексу адвокатської етики, і це часто підвищує індекс недовіри суб’єкта до адвокатури України (ч. 2 ст. 32 Закону України «Про адвокатуру та адвокатську діяльність»). Щодо цього в Законі України «Про адвокатуру та адвокатську діяльність» нічого не вказано про те, які дії потрібно вважати грубим порушенням правил адвокатської етики, що підривають авторитет адвокатури України. На думку С. Мостовенка, у цьому Законі треба було б описати та навести приклади з адвокатського досвіду, які дії вважаються неприпустимими в адвокатській діяльності[2].</w:t>
      </w:r>
    </w:p>
    <w:p w14:paraId="4FE639E9"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Законодавство України щодо регулювання певною мірою діяльності адвокатів деякими аспектами відрізняється від країн Європейського Союзу. </w:t>
      </w:r>
    </w:p>
    <w:p w14:paraId="4E48761C"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Загальновідомо, щодо адвоката України під час вчинення ним дисциплінарного правопорушення можуть застосувати три санкції: попередження, зупинення права на заняття адвокатською діяльністю від одного місяця до одного року і позбавлення права на заняття адвокатською діяльністю, та виключення його з Єдиного реєстру адвокатів України (ст. 35 Закону України «Про адвокатуру та адвокатську діяльність»).</w:t>
      </w:r>
    </w:p>
    <w:p w14:paraId="4CE8018A"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До речі, у праці Вільчик Т. Б. зазначається, що французьке законодавство досить суворе до діяльності адвокатів та прагнуть повноцінного дотримання всіх законів. У французькому законодавстві за такий протиправний вчинок можуть застосовувати: попередження, догану, заборону провадити адвокатську діяльність до трьох років, позбавлення статусу почесного адвоката, а також його можуть виключити зі складу адвокатської асоціації [3, с. 41]. </w:t>
      </w:r>
    </w:p>
    <w:p w14:paraId="7B8FDE26"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А от щодо Польщі, то Вільчик Т. Б. вказує, що там застосовують більш медійне виховання адвокатів-правопорушників, а саме: орган адвокатури оприлюднює у журналі дисциплінарний проступок винного адвоката громадськості [3, с. 40].</w:t>
      </w:r>
    </w:p>
    <w:p w14:paraId="594A61E5"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Погляд щодо застосування санкцій у Німеччині до адвоката порівняно з іншими країнами досить різниться: коли у інших країнах зазвичай до адвокатів застосовують лише одне стягнення, то в цій країні можуть застосувати дві санкції паралельно, наприклад, штраф у розмірі 25 тис. євро та догану. Крім цього, адвокат може нести відповідальність: заборона вести адвокатську діяльність від одного до п’яти років та виключення з адвокатури назавжди [4, с. 44].</w:t>
      </w:r>
    </w:p>
    <w:p w14:paraId="159A8568"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Австрії адвокати несуть відповідальність за будь-які діяння, що можуть підірвати авторитет адвокатури. Скаргу щодо цього може подати будь-хто навіть анонімна особа. Основні санкції, які австрійське законодавство може </w:t>
      </w:r>
      <w:r w:rsidRPr="00511005">
        <w:rPr>
          <w:rFonts w:ascii="Arial" w:eastAsia="Calibri" w:hAnsi="Arial" w:cs="Arial"/>
          <w:szCs w:val="28"/>
          <w:lang w:val="uk-UA"/>
        </w:rPr>
        <w:lastRenderedPageBreak/>
        <w:t>застосувати до адвоката - це письмова догана, штраф у розмірі 45 тис. євро, заборону на ведення адвокатської діяльності до одного року та виключити назавжди з адвокатури [1, с. 39]. Подання скарги на адвоката в Україні досить відрізняється від подання скарги у Австрії. Анонімна скарга в Україні не вважається за скаргу, що є більш професійним та гуманним.</w:t>
      </w:r>
    </w:p>
    <w:p w14:paraId="63FC99E1"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Україна – це країна, яка знаходиться ще в стадії розвитку адвокатського спрямування. Законодавство України щодо припинення та зупинення права на заняття адвокатською діяльністю потребує певних доробок, які стосуються уточнення деяких аспектів Закону та впровадження кращих, нових міжнародних практик, які б могли підвищити рівень довіри громади до адвокатської спільноти. До Закону можна додати практику «громадського осуду», вона буде соромити недобросовісного адвоката та буде більш дієвою та довготривалою, а найголовніше вона буде ефективніше притягувати до відповідальності адвокатів. Так як наша держава прагне стати членом ЄС, то робота над цією сферою дозволить їй покращити не тільки судочинство, щодо адвокатства, а все законодавство в цілому. </w:t>
      </w:r>
    </w:p>
    <w:p w14:paraId="6CA8484B" w14:textId="77777777" w:rsidR="00C10374" w:rsidRPr="00511005" w:rsidRDefault="00C10374" w:rsidP="003A292D">
      <w:pPr>
        <w:spacing w:line="264" w:lineRule="auto"/>
        <w:ind w:firstLine="0"/>
        <w:rPr>
          <w:rFonts w:ascii="Arial" w:eastAsia="Calibri" w:hAnsi="Arial" w:cs="Arial"/>
          <w:szCs w:val="28"/>
          <w:lang w:val="uk-UA"/>
        </w:rPr>
      </w:pPr>
    </w:p>
    <w:p w14:paraId="0EEA533F" w14:textId="63522638" w:rsidR="00C10374"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4E883DE0" w14:textId="77777777" w:rsidR="00C10374" w:rsidRPr="00511005" w:rsidRDefault="00C10374" w:rsidP="003F6A5D">
      <w:pPr>
        <w:numPr>
          <w:ilvl w:val="0"/>
          <w:numId w:val="31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Заборовський В. В. Деякі аспекти припинення права на зайняття адвокатською діяльністю. </w:t>
      </w:r>
      <w:r w:rsidRPr="00511005">
        <w:rPr>
          <w:rFonts w:ascii="Arial" w:eastAsia="Times New Roman" w:hAnsi="Arial" w:cs="Arial"/>
          <w:i/>
          <w:iCs/>
          <w:szCs w:val="28"/>
          <w:lang w:val="uk-UA" w:eastAsia="ru-RU"/>
        </w:rPr>
        <w:t>Юридичний науковий електронний журнал</w:t>
      </w:r>
      <w:r w:rsidRPr="00511005">
        <w:rPr>
          <w:rFonts w:ascii="Arial" w:eastAsia="Times New Roman" w:hAnsi="Arial" w:cs="Arial"/>
          <w:szCs w:val="28"/>
          <w:lang w:val="uk-UA" w:eastAsia="ru-RU"/>
        </w:rPr>
        <w:t>. 2014. № 4. С. 221–224. URL: </w:t>
      </w:r>
      <w:hyperlink r:id="rId1169" w:tgtFrame="_blank" w:history="1">
        <w:r w:rsidRPr="00511005">
          <w:rPr>
            <w:rFonts w:ascii="Arial" w:eastAsia="Times New Roman" w:hAnsi="Arial" w:cs="Arial"/>
            <w:szCs w:val="28"/>
            <w:lang w:val="uk-UA" w:eastAsia="ru-RU"/>
          </w:rPr>
          <w:t>http://lsej.org.ua/4_2014/60.pdf</w:t>
        </w:r>
      </w:hyperlink>
      <w:r w:rsidRPr="00511005">
        <w:rPr>
          <w:rFonts w:ascii="Arial" w:eastAsia="Times New Roman" w:hAnsi="Arial" w:cs="Arial"/>
          <w:szCs w:val="28"/>
          <w:lang w:val="uk-UA" w:eastAsia="ru-RU"/>
        </w:rPr>
        <w:t>.</w:t>
      </w:r>
    </w:p>
    <w:p w14:paraId="5BBA97BC" w14:textId="45B76BAF" w:rsidR="00C10374" w:rsidRPr="00511005" w:rsidRDefault="00C10374" w:rsidP="003F6A5D">
      <w:pPr>
        <w:numPr>
          <w:ilvl w:val="0"/>
          <w:numId w:val="31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Мостовенко С. Адвокат – не посередник між чиновником і клієнтом!.</w:t>
      </w:r>
      <w:r w:rsidR="007B2628" w:rsidRPr="00511005">
        <w:rPr>
          <w:rFonts w:ascii="Arial" w:eastAsia="Times New Roman" w:hAnsi="Arial" w:cs="Arial"/>
          <w:szCs w:val="28"/>
          <w:lang w:val="uk-UA" w:eastAsia="ru-RU"/>
        </w:rPr>
        <w:t xml:space="preserve"> </w:t>
      </w:r>
      <w:r w:rsidRPr="00511005">
        <w:rPr>
          <w:rFonts w:ascii="Arial" w:eastAsia="Times New Roman" w:hAnsi="Arial" w:cs="Arial"/>
          <w:i/>
          <w:iCs/>
          <w:szCs w:val="28"/>
          <w:lang w:val="uk-UA" w:eastAsia="ru-RU"/>
        </w:rPr>
        <w:t>Дзеркало тижня | Mirror Weekly</w:t>
      </w:r>
      <w:r w:rsidRPr="00511005">
        <w:rPr>
          <w:rFonts w:ascii="Arial" w:eastAsia="Times New Roman" w:hAnsi="Arial" w:cs="Arial"/>
          <w:szCs w:val="28"/>
          <w:lang w:val="uk-UA" w:eastAsia="ru-RU"/>
        </w:rPr>
        <w:t>. URL: </w:t>
      </w:r>
      <w:hyperlink r:id="rId1170" w:tgtFrame="_blank" w:history="1">
        <w:r w:rsidRPr="00511005">
          <w:rPr>
            <w:rFonts w:ascii="Arial" w:eastAsia="Times New Roman" w:hAnsi="Arial" w:cs="Arial"/>
            <w:szCs w:val="28"/>
            <w:lang w:val="uk-UA" w:eastAsia="ru-RU"/>
          </w:rPr>
          <w:t>https://zn.ua/ukr/LAW/advokat__ne_poserednik_mizh_chinovnikom_i_klientom_.html</w:t>
        </w:r>
      </w:hyperlink>
      <w:r w:rsidRPr="00511005">
        <w:rPr>
          <w:rFonts w:ascii="Arial" w:eastAsia="Times New Roman" w:hAnsi="Arial" w:cs="Arial"/>
          <w:szCs w:val="28"/>
          <w:lang w:val="uk-UA" w:eastAsia="ru-RU"/>
        </w:rPr>
        <w:t> (дата звернення: 29.01.2025).</w:t>
      </w:r>
    </w:p>
    <w:p w14:paraId="205BED94" w14:textId="77777777" w:rsidR="00C10374" w:rsidRPr="00511005" w:rsidRDefault="00C10374" w:rsidP="003F6A5D">
      <w:pPr>
        <w:numPr>
          <w:ilvl w:val="0"/>
          <w:numId w:val="31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Вільчик Т. Б. Дисциплінарна відповідальність адвокатів в країнах ЄС та в Україні. </w:t>
      </w:r>
      <w:r w:rsidRPr="00511005">
        <w:rPr>
          <w:rFonts w:ascii="Arial" w:eastAsia="Times New Roman" w:hAnsi="Arial" w:cs="Arial"/>
          <w:i/>
          <w:iCs/>
          <w:szCs w:val="28"/>
          <w:lang w:val="uk-UA" w:eastAsia="ru-RU"/>
        </w:rPr>
        <w:t>Форум права</w:t>
      </w:r>
      <w:r w:rsidRPr="00511005">
        <w:rPr>
          <w:rFonts w:ascii="Arial" w:eastAsia="Times New Roman" w:hAnsi="Arial" w:cs="Arial"/>
          <w:szCs w:val="28"/>
          <w:lang w:val="uk-UA" w:eastAsia="ru-RU"/>
        </w:rPr>
        <w:t>. 2015. № 4. С. 38–44. URL: </w:t>
      </w:r>
      <w:hyperlink r:id="rId1171" w:tgtFrame="_blank" w:history="1">
        <w:r w:rsidRPr="00511005">
          <w:rPr>
            <w:rFonts w:ascii="Arial" w:eastAsia="Times New Roman" w:hAnsi="Arial" w:cs="Arial"/>
            <w:szCs w:val="28"/>
            <w:lang w:val="uk-UA" w:eastAsia="ru-RU"/>
          </w:rPr>
          <w:t>https://dspace.nlu.edu.ua/bitstream/123456789/12381/1/Vilchyk_38-44.pdf</w:t>
        </w:r>
      </w:hyperlink>
      <w:r w:rsidRPr="00511005">
        <w:rPr>
          <w:rFonts w:ascii="Arial" w:eastAsia="Times New Roman" w:hAnsi="Arial" w:cs="Arial"/>
          <w:szCs w:val="28"/>
          <w:lang w:val="uk-UA" w:eastAsia="ru-RU"/>
        </w:rPr>
        <w:t>.</w:t>
      </w:r>
    </w:p>
    <w:p w14:paraId="01B5F7EC" w14:textId="77777777" w:rsidR="00C10374" w:rsidRPr="00511005" w:rsidRDefault="00C10374" w:rsidP="003F6A5D">
      <w:pPr>
        <w:numPr>
          <w:ilvl w:val="0"/>
          <w:numId w:val="31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Федеральне Положення про адвокатуру : </w:t>
      </w:r>
      <w:r w:rsidRPr="00511005">
        <w:rPr>
          <w:rFonts w:ascii="Arial" w:eastAsia="Times New Roman" w:hAnsi="Arial" w:cs="Arial"/>
          <w:i/>
          <w:szCs w:val="28"/>
          <w:lang w:val="uk-UA" w:eastAsia="ru-RU"/>
        </w:rPr>
        <w:t>Федер. вісн. законів від 01.08.1959 № 303-8 : станом на 10 жовт. 2013 р.</w:t>
      </w:r>
      <w:r w:rsidRPr="00511005">
        <w:rPr>
          <w:rFonts w:ascii="Arial" w:eastAsia="Times New Roman" w:hAnsi="Arial" w:cs="Arial"/>
          <w:szCs w:val="28"/>
          <w:lang w:val="uk-UA" w:eastAsia="ru-RU"/>
        </w:rPr>
        <w:t xml:space="preserve"> URL: </w:t>
      </w:r>
      <w:hyperlink r:id="rId1172" w:tgtFrame="_blank" w:history="1">
        <w:r w:rsidRPr="00511005">
          <w:rPr>
            <w:rFonts w:ascii="Arial" w:eastAsia="Times New Roman" w:hAnsi="Arial" w:cs="Arial"/>
            <w:szCs w:val="28"/>
            <w:lang w:val="uk-UA" w:eastAsia="ru-RU"/>
          </w:rPr>
          <w:t>https://unba.org.ua/assets/uploads/legislations/pologennya/bundesrechtsanwaltsordnung-ukr.pdf</w:t>
        </w:r>
      </w:hyperlink>
      <w:r w:rsidRPr="00511005">
        <w:rPr>
          <w:rFonts w:ascii="Arial" w:eastAsia="Times New Roman" w:hAnsi="Arial" w:cs="Arial"/>
          <w:szCs w:val="28"/>
          <w:lang w:val="uk-UA" w:eastAsia="ru-RU"/>
        </w:rPr>
        <w:t>.</w:t>
      </w:r>
    </w:p>
    <w:p w14:paraId="3CF4D234" w14:textId="77777777" w:rsidR="00C10374" w:rsidRPr="00511005" w:rsidRDefault="00C10374" w:rsidP="003F6A5D">
      <w:pPr>
        <w:numPr>
          <w:ilvl w:val="0"/>
          <w:numId w:val="31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Про адвокатуру та адвокатську діяльність. </w:t>
      </w:r>
      <w:r w:rsidRPr="00511005">
        <w:rPr>
          <w:rFonts w:ascii="Arial" w:eastAsia="Times New Roman" w:hAnsi="Arial" w:cs="Arial"/>
          <w:i/>
          <w:iCs/>
          <w:szCs w:val="28"/>
          <w:lang w:val="uk-UA" w:eastAsia="ru-RU"/>
        </w:rPr>
        <w:t>Офіційний вебпортал парламенту України</w:t>
      </w:r>
      <w:r w:rsidRPr="00511005">
        <w:rPr>
          <w:rFonts w:ascii="Arial" w:eastAsia="Times New Roman" w:hAnsi="Arial" w:cs="Arial"/>
          <w:szCs w:val="28"/>
          <w:lang w:val="uk-UA" w:eastAsia="ru-RU"/>
        </w:rPr>
        <w:t>. URL: </w:t>
      </w:r>
      <w:hyperlink r:id="rId1173" w:anchor="n284" w:tgtFrame="_blank" w:history="1">
        <w:r w:rsidRPr="00511005">
          <w:rPr>
            <w:rFonts w:ascii="Arial" w:eastAsia="Times New Roman" w:hAnsi="Arial" w:cs="Arial"/>
            <w:szCs w:val="28"/>
            <w:lang w:val="uk-UA" w:eastAsia="ru-RU"/>
          </w:rPr>
          <w:t>https://zakon.rada.gov.ua/rada/show/5076-17#n284</w:t>
        </w:r>
      </w:hyperlink>
      <w:r w:rsidRPr="00511005">
        <w:rPr>
          <w:rFonts w:ascii="Arial" w:eastAsia="Times New Roman" w:hAnsi="Arial" w:cs="Arial"/>
          <w:szCs w:val="28"/>
          <w:lang w:val="uk-UA" w:eastAsia="ru-RU"/>
        </w:rPr>
        <w:t> (дата звернення: 29.01.2025).</w:t>
      </w:r>
    </w:p>
    <w:p w14:paraId="1730FAF3" w14:textId="77777777" w:rsidR="00C10374" w:rsidRPr="00511005" w:rsidRDefault="00C10374" w:rsidP="003F6A5D">
      <w:pPr>
        <w:numPr>
          <w:ilvl w:val="0"/>
          <w:numId w:val="31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Правила адвокатської етики. </w:t>
      </w:r>
      <w:r w:rsidRPr="00511005">
        <w:rPr>
          <w:rFonts w:ascii="Arial" w:eastAsia="Times New Roman" w:hAnsi="Arial" w:cs="Arial"/>
          <w:i/>
          <w:iCs/>
          <w:szCs w:val="28"/>
          <w:lang w:val="uk-UA" w:eastAsia="ru-RU"/>
        </w:rPr>
        <w:t>Офіційний вебпортал парламенту України</w:t>
      </w:r>
      <w:r w:rsidRPr="00511005">
        <w:rPr>
          <w:rFonts w:ascii="Arial" w:eastAsia="Times New Roman" w:hAnsi="Arial" w:cs="Arial"/>
          <w:szCs w:val="28"/>
          <w:lang w:val="uk-UA" w:eastAsia="ru-RU"/>
        </w:rPr>
        <w:t>. URL: </w:t>
      </w:r>
      <w:hyperlink r:id="rId1174" w:anchor="Text" w:tgtFrame="_blank" w:history="1">
        <w:r w:rsidRPr="00511005">
          <w:rPr>
            <w:rFonts w:ascii="Arial" w:eastAsia="Times New Roman" w:hAnsi="Arial" w:cs="Arial"/>
            <w:szCs w:val="28"/>
            <w:lang w:val="uk-UA" w:eastAsia="ru-RU"/>
          </w:rPr>
          <w:t>https://zakon.rada.gov.ua/rada/show/n0001891-17#Text</w:t>
        </w:r>
      </w:hyperlink>
      <w:r w:rsidRPr="00511005">
        <w:rPr>
          <w:rFonts w:ascii="Arial" w:eastAsia="Times New Roman" w:hAnsi="Arial" w:cs="Arial"/>
          <w:szCs w:val="28"/>
          <w:lang w:val="uk-UA" w:eastAsia="ru-RU"/>
        </w:rPr>
        <w:t> (дата звернення: 29.01.2025).</w:t>
      </w:r>
    </w:p>
    <w:p w14:paraId="4D17EF87" w14:textId="54A301EE" w:rsidR="00C10374"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0374" w:rsidRPr="00511005">
        <w:rPr>
          <w:rFonts w:ascii="Arial" w:eastAsia="Calibri" w:hAnsi="Arial" w:cs="Arial"/>
          <w:szCs w:val="28"/>
          <w:lang w:val="uk-UA"/>
        </w:rPr>
        <w:t>адвокат, закон, дисциплінарне стягнення, держава, Європейський Союз, адвокатська таємниця, судове рішення, порушення присяги, адвокатура, Єдиний реєстр адвокатів України.</w:t>
      </w:r>
    </w:p>
    <w:p w14:paraId="35A84B6B" w14:textId="6A40D192" w:rsidR="007B262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lastRenderedPageBreak/>
        <w:t xml:space="preserve">Key words: </w:t>
      </w:r>
      <w:r w:rsidR="00C10374" w:rsidRPr="00511005">
        <w:rPr>
          <w:rFonts w:ascii="Arial" w:eastAsia="Calibri" w:hAnsi="Arial" w:cs="Arial"/>
          <w:szCs w:val="28"/>
          <w:lang w:val="uk-UA"/>
        </w:rPr>
        <w:t>lawyer, law, disciplinary sanction, state, European Union, attorney-client privilege, court decision, violation of the oath, advocacy, Unified Register of Advocates of Ukraine.</w:t>
      </w:r>
    </w:p>
    <w:p w14:paraId="64CD0ABC" w14:textId="54179BF6" w:rsidR="00C10374" w:rsidRPr="00511005" w:rsidRDefault="007B2628" w:rsidP="003A292D">
      <w:pPr>
        <w:spacing w:line="264" w:lineRule="auto"/>
        <w:ind w:left="284"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C10374" w:rsidRPr="00511005">
        <w:rPr>
          <w:rFonts w:ascii="Arial" w:eastAsia="Calibri" w:hAnsi="Arial" w:cs="Arial"/>
          <w:i/>
          <w:iCs/>
          <w:szCs w:val="28"/>
          <w:lang w:val="uk-UA"/>
        </w:rPr>
        <w:t>старший викладач Нестерчук Л.П.</w:t>
      </w:r>
    </w:p>
    <w:p w14:paraId="2921C1C3" w14:textId="77777777" w:rsidR="00C10374" w:rsidRPr="00511005" w:rsidRDefault="00C10374" w:rsidP="003A292D">
      <w:pPr>
        <w:spacing w:line="264" w:lineRule="auto"/>
        <w:ind w:left="284" w:firstLine="0"/>
        <w:rPr>
          <w:rFonts w:ascii="Arial" w:eastAsia="Calibri" w:hAnsi="Arial" w:cs="Arial"/>
          <w:i/>
          <w:iCs/>
          <w:szCs w:val="28"/>
          <w:lang w:val="uk-UA"/>
        </w:rPr>
      </w:pPr>
    </w:p>
    <w:p w14:paraId="0C6B7328" w14:textId="77777777" w:rsidR="00C10374" w:rsidRPr="00511005" w:rsidRDefault="00C10374" w:rsidP="003A292D">
      <w:pPr>
        <w:spacing w:line="264" w:lineRule="auto"/>
        <w:ind w:left="284" w:firstLine="0"/>
        <w:rPr>
          <w:rFonts w:ascii="Arial" w:eastAsia="Calibri" w:hAnsi="Arial" w:cs="Arial"/>
          <w:i/>
          <w:iCs/>
          <w:szCs w:val="28"/>
          <w:lang w:val="uk-UA"/>
        </w:rPr>
      </w:pPr>
    </w:p>
    <w:p w14:paraId="112D6C6C" w14:textId="77777777" w:rsidR="00C10374" w:rsidRPr="00511005" w:rsidRDefault="00C10374"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Плачинда Анастасія Павлівна</w:t>
      </w:r>
    </w:p>
    <w:p w14:paraId="16A52921" w14:textId="7C855D15" w:rsidR="00C10374"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2-го курсу </w:t>
      </w:r>
    </w:p>
    <w:p w14:paraId="59278BD0" w14:textId="5FA0A3F1" w:rsidR="00C10374"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факультету адвокатури та антикорупційної діяльності</w:t>
      </w:r>
      <w:r w:rsidR="00C10374" w:rsidRPr="00511005">
        <w:rPr>
          <w:rFonts w:ascii="Arial" w:eastAsia="Calibri" w:hAnsi="Arial" w:cs="Arial"/>
          <w:szCs w:val="28"/>
          <w:lang w:val="uk-UA"/>
        </w:rPr>
        <w:t xml:space="preserve"> </w:t>
      </w:r>
    </w:p>
    <w:p w14:paraId="5D2B8693" w14:textId="5C186D6C" w:rsidR="00C10374"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69D69156" w14:textId="77777777" w:rsidR="00C10374" w:rsidRPr="00511005" w:rsidRDefault="00C10374" w:rsidP="003A292D">
      <w:pPr>
        <w:spacing w:line="264" w:lineRule="auto"/>
        <w:ind w:firstLine="0"/>
        <w:jc w:val="center"/>
        <w:rPr>
          <w:rFonts w:ascii="Arial" w:eastAsia="Calibri" w:hAnsi="Arial" w:cs="Arial"/>
          <w:szCs w:val="28"/>
          <w:lang w:val="uk-UA"/>
        </w:rPr>
      </w:pPr>
    </w:p>
    <w:p w14:paraId="67928B92" w14:textId="77777777" w:rsidR="00C10374" w:rsidRPr="00511005" w:rsidRDefault="00C10374"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ПРОБЛЕМА ВИЯВЛЕННЯ ТА РОЗСЛІДУВАННЯ КОРУПЦІЙНИХ ПРАВОПОРУШЕНЬ У ДІЯЛЬНОСТІ ВІЙСЬКОВИХ ОСІБ: РОЛЬ СПЕЦІАЛІЗОВАНОЇ ПРОКУРАТУРИ У СФЕРІ ОБОРОНИ</w:t>
      </w:r>
    </w:p>
    <w:p w14:paraId="7C015F7D" w14:textId="77777777" w:rsidR="00C10374" w:rsidRPr="00511005" w:rsidRDefault="00C10374" w:rsidP="003A292D">
      <w:pPr>
        <w:spacing w:line="264" w:lineRule="auto"/>
        <w:ind w:firstLine="0"/>
        <w:jc w:val="center"/>
        <w:rPr>
          <w:rFonts w:ascii="Arial" w:eastAsia="Calibri" w:hAnsi="Arial" w:cs="Arial"/>
          <w:b/>
          <w:szCs w:val="28"/>
          <w:lang w:val="uk-UA"/>
        </w:rPr>
      </w:pPr>
    </w:p>
    <w:p w14:paraId="5BB93D7D" w14:textId="42A3CCDA" w:rsidR="00C10374" w:rsidRPr="00511005" w:rsidRDefault="00C10374" w:rsidP="003A292D">
      <w:pPr>
        <w:shd w:val="clear" w:color="auto" w:fill="FFFFFF"/>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сучасних умовах збройної агресії Російської Федерації проти України особливої уваги набуває питання забезпечення належного рівня законності у сфері оборони. В умовах воєнного стану наявність корупційних правопорушень серед військових посадових осіб створює реальну загрозу обороноздатності держави, сприяє поширенню правопорушень у військовому середовищі, дискредитує Збройні Сили України та підриває довіру громадськості до державних інституцій. Корупція є однією з найбільших загроз для національної безпеки та стабільності держави. Особливо гострою ця проблема постає у військовій сфері, де корупційні правопорушення можуть мати катастрофічні наслідки для обороноздатності країни. В Україні, в умовах збройного конфлікту та необхідності реформування оборонного сектору, питання виявлення та розслідування корупційних правопорушень у діяльності військових посадових осіб набуває особливої актуальності. Спеціалізована прокуратура у сфері оборони (далі – СПСО) поряд зі Спеціалізованою антикорупційною прокуратурою (далі – САП)</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відіграє ключову роль у боротьбі з корупцією в Україні. Однак, незважаючи на наявність законодавчої бази та механізмів взаємодії, існує безліч проблем, які ускладнюють ефективне виявлення та розслідування корупційних правопорушень. </w:t>
      </w:r>
    </w:p>
    <w:p w14:paraId="6C78C0A5" w14:textId="77777777" w:rsidR="00C10374" w:rsidRPr="00511005" w:rsidRDefault="00C10374" w:rsidP="003A292D">
      <w:pPr>
        <w:shd w:val="clear" w:color="auto" w:fill="FFFFFF"/>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Корупція визначається як зловживання владою або службовим становищем для отримання особистої вигоди, про це йдеться в ст.1 Законі України «Про запобігання корупції» </w:t>
      </w: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 xml:space="preserve">. Корупційні правопорушення у військовій сфері можуть бути класифіковані на кілька основних видів. По-перше, це хабарництво, яке може мати місце під час укладання контрактів на постачання військової техніки або послуг. По-друге, це зловживання службовим становищем, коли посадові особи використовують своє становище для отримання неправомірної вигоди, наприклад, шляхом </w:t>
      </w:r>
      <w:r w:rsidRPr="00511005">
        <w:rPr>
          <w:rFonts w:ascii="Arial" w:eastAsia="Times New Roman" w:hAnsi="Arial" w:cs="Arial"/>
          <w:szCs w:val="28"/>
          <w:lang w:val="uk-UA" w:eastAsia="ru-RU"/>
        </w:rPr>
        <w:lastRenderedPageBreak/>
        <w:t xml:space="preserve">надання переваг певним підрядникам. По-третє, це фальсифікація документів, що може включати підробку звітів про виконання контрактів або завищення вартості товарів і послуг. </w:t>
      </w:r>
    </w:p>
    <w:p w14:paraId="6F836AC8" w14:textId="77777777" w:rsidR="00C10374" w:rsidRPr="00511005" w:rsidRDefault="00C10374" w:rsidP="003A292D">
      <w:pPr>
        <w:shd w:val="clear" w:color="auto" w:fill="FFFFFF"/>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За даними щорічних звітів Національного агентства з питань запобігання корупції (далі - НАЗК), зафіксовано значну кількість корупційних правопорушень у сфері оборони, зокрема щодо зловживання службовим становищем та розтрати державного майна. Особливість таких злочинів полягає у їхній латентності, високій складності виявлення і доведення вини винних осіб. Згідно зі статтею 216 Кримінального процесуального кодексу України (далі - КПК) [2], визначено підслідність корупційних злочинів, зокрема Національному антикорупційному бюро України (далі - НАБУ) та слідчих органів Державного бюро розслідувань (далі - ДБР), залежно від статусу особи. САП здійснює процесуальне керівництво у справах, віднесених до підслідності НАБУ, у той час як СПСО входить до структури Офісу Генерального прокурора і здійснює процесуальне керівництво у справах щодо військових службових осіб. Однією з основних проблем є складність визначення належної підслідності на початковому етапі виявлення корупційного правопорушення. Часто статус особи як суб’єкта, що підпадає під юрисдикцію НАБУ та САП (згідно з частиною 5 статті 216 КПК України), встановлюється вже у процесі досудового розслідування, що призводить до необхідності передачі справи за підслідністю, втрати часу та ризику втрати доказової бази. Другою проблемою є складність виявлення самих корупційних правопорушень. Специфіка військової служби, регулювання питань державної таємниці обмежує можливість доступу до інформації щодо процесів забезпечення військових частин, закупівель, будівництва оборонних об'єктів, що є найбільш ризикованими сферами з точки зору корупційних проявів [3].</w:t>
      </w:r>
    </w:p>
    <w:p w14:paraId="1FA469C7" w14:textId="77777777" w:rsidR="00C10374" w:rsidRPr="00511005" w:rsidRDefault="00C10374"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Також актуальною є проблема належного документування корупційних правопорушень у військовому середовищі. В умовах воєнного стану діють обмеження щодо доступу сторонніх осіб до військових об'єктів, що ускладнює проведення слідчих дій, обшуків, тимчасового доступу до речей і документів [4].</w:t>
      </w:r>
    </w:p>
    <w:p w14:paraId="017AB929" w14:textId="77777777" w:rsidR="00C10374" w:rsidRPr="00511005" w:rsidRDefault="00C10374"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val="uk-UA" w:eastAsia="ru-RU"/>
        </w:rPr>
        <w:t xml:space="preserve">Особливу увагу слід звернути на проблеми координації між САП та Спеціалізованими прокуратурами у сфері оборони. Незважаючи на те, що чіткий розподіл компетенцій закріплено у внутрішніх актах Офісу Генерального прокурора, на практиці виникають труднощі у швидкому обміні інформацією щодо фактів виявлення корупційних діянь. Важливо зазначити, що взаємодія САП і СПСО має здійснюватися на засадах координації та узгодженості відповідно до Закону України «Про прокуратуру». Однак відсутність єдиної електронної системи фіксації повідомлень про виявлені корупційні ризики у військових підрозділах призводить до затримок у початку кримінальних проваджень. Окрему проблему становить процес доказування </w:t>
      </w:r>
      <w:r w:rsidRPr="00511005">
        <w:rPr>
          <w:rFonts w:ascii="Arial" w:eastAsia="Times New Roman" w:hAnsi="Arial" w:cs="Arial"/>
          <w:szCs w:val="28"/>
          <w:lang w:val="uk-UA" w:eastAsia="ru-RU"/>
        </w:rPr>
        <w:lastRenderedPageBreak/>
        <w:t>корупційних правопорушень, які часто маскуються під адміністративні правопорушення, службові недбалість або порушення порядку витрачання бюджетних коштів. Статті 364–369-2 Кримінального кодексу України передбачають кримінальну відповідальність за корупційні злочини, проте розмежування складів злочинів і правильна кваліфікація дій потребують високого рівня спеціалізації прокурорів і слідчих. Нарешті, викликом залишається недостатня кадрова забезпеченість САП і спеціалізованих прокуратур у сфері оборони</w:t>
      </w:r>
      <w:r w:rsidRPr="00511005">
        <w:rPr>
          <w:rFonts w:ascii="Arial" w:eastAsia="Times New Roman" w:hAnsi="Arial" w:cs="Arial"/>
          <w:szCs w:val="28"/>
          <w:lang w:eastAsia="ru-RU"/>
        </w:rPr>
        <w:t>.</w:t>
      </w:r>
    </w:p>
    <w:p w14:paraId="5C1E0068" w14:textId="2E36C2D8" w:rsidR="00C10374" w:rsidRPr="00511005" w:rsidRDefault="00C10374"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Основними завданнями СПСО є здійснення процесуального керівництва досудовим розслідуванням кримінальних правопорушень, вчинених військовослужбовцями та іншими особами у сфері оборони, підтримання публічного обвинувачення в суді, нагляд за додержанням законів при здійсненні оперативно-розшукової діяльності, досудового розслідування та під час виконання судових рішень у кримінальних провадженнях цієї категорії. </w:t>
      </w:r>
      <w:r w:rsidRPr="00511005">
        <w:rPr>
          <w:rFonts w:ascii="Arial" w:eastAsia="Calibri" w:hAnsi="Arial" w:cs="Arial"/>
          <w:szCs w:val="28"/>
          <w:shd w:val="clear" w:color="auto" w:fill="FFFFFF"/>
          <w:lang w:val="uk-UA"/>
        </w:rPr>
        <w:t>Важливим аспектом у боротьбі з корупцією є організаційно-правові засади протидії корупції в секторі безпеки й оборони України на відомчому рівні [</w:t>
      </w:r>
      <w:r w:rsidRPr="00511005">
        <w:rPr>
          <w:rFonts w:ascii="Arial" w:eastAsia="Calibri" w:hAnsi="Arial" w:cs="Arial"/>
          <w:szCs w:val="28"/>
          <w:shd w:val="clear" w:color="auto" w:fill="FFFFFF"/>
          <w:lang w:val="en-US"/>
        </w:rPr>
        <w:t>c</w:t>
      </w:r>
      <w:r w:rsidRPr="00511005">
        <w:rPr>
          <w:rFonts w:ascii="Arial" w:eastAsia="Calibri" w:hAnsi="Arial" w:cs="Arial"/>
          <w:szCs w:val="28"/>
          <w:shd w:val="clear" w:color="auto" w:fill="FFFFFF"/>
          <w:lang w:val="uk-UA"/>
        </w:rPr>
        <w:t xml:space="preserve"> 38, 5].</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Пащенко Є. М. та Чалий М. Г. зазначають, що ефективна протидія корупції в цьому секторі вимагає чіткої організаційної структури, яка б забезпечувала координацію дій між різними державними органами та установами [6]. Вони підкреслюють, що без належної організації та правового регулювання боротьба з корупцією може бути неефективною, оскільки корупційні схеми часто мають складний і багатогранний характер.</w:t>
      </w:r>
      <w:r w:rsidRPr="00511005">
        <w:rPr>
          <w:rFonts w:ascii="Arial" w:eastAsia="Times New Roman" w:hAnsi="Arial" w:cs="Arial"/>
          <w:szCs w:val="28"/>
          <w:lang w:val="uk-UA" w:eastAsia="ru-RU"/>
        </w:rPr>
        <w:t xml:space="preserve"> Таким чином, у сучасних умовах протидія корупційним правопорушенням серед військових посадових осіб повинна стати одним із пріоритетних напрямків державної антикорупційної політики, що потребує належного нормативного забезпечення, професійної підготовки кадрів та системного підходу до реформування сектору безпеки і оборони України.</w:t>
      </w:r>
    </w:p>
    <w:p w14:paraId="06027D90" w14:textId="77777777" w:rsidR="00C10374" w:rsidRPr="00511005" w:rsidRDefault="00C10374"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Командна субординація має суттєвий вплив на перебіг слідчих дій, оскільки військовослужбовці часто змушені підпорядковуватися наказам вищого керівництва, навіть якщо це суперечить інтересам правосуддя. Зазначене може призводити до викривлення свідчень або до приховування фактів корупційної діяльності. За таких умов особливого значення набуває об'єктивність та незалежність органів досудового розслідування. Система привілеїв та недоторканості посадових осіб військової сфери також істотно впливає на ефективність розслідувань. Відповідно до законодавства, окремі категорії військовослужбовців користуються імунітетом від кримінального переслідування без згоди відповідних органів. Такі правові запобіжники, з одного боку, забезпечують захист національних інтересів, а з іншого – можуть створювати передумови для уникнення відповідальності. Важливою складовою є міжнародна співпраця у сфері протидії військовій корупції. Україна активно співпрацює з міжнародними організаціями, такими як </w:t>
      </w:r>
      <w:r w:rsidRPr="00511005">
        <w:rPr>
          <w:rFonts w:ascii="Arial" w:eastAsia="Times New Roman" w:hAnsi="Arial" w:cs="Arial"/>
          <w:szCs w:val="28"/>
          <w:lang w:val="uk-UA" w:eastAsia="ru-RU"/>
        </w:rPr>
        <w:lastRenderedPageBreak/>
        <w:t xml:space="preserve">GRECO, НАТО та Європейський Союз, запозичуючи кращі практики боротьби з корупцією [7]. Шляхи вирішення вказаних проблем передбачають, зокрема, посилення незалежності прокурорів, залучених до розслідування корупційних правопорушень у військовій сфері, шляхом надання їм додаткових процесуальних гарантій. Одним із важливих напрямів удосконалення є розширення доступу до цифрових доказів і використання сучасних аналітичних інструментів, що дозволяють оперативно виявляти факти незаконного збагачення або розкрадання державних ресурсів. Підвищення кваліфікації прокурорів спеціалізованих прокуратур має здійснюватися через регулярне навчання, участь у міжнародних тренінгах та програмах обміну досвідом, що сприятиме формуванню професійних навичок у боротьбі з корупцією у військовому секторі. </w:t>
      </w:r>
    </w:p>
    <w:p w14:paraId="2897ABD8" w14:textId="77777777" w:rsidR="00C10374" w:rsidRPr="00511005" w:rsidRDefault="00C10374" w:rsidP="003A292D">
      <w:pPr>
        <w:shd w:val="clear" w:color="auto" w:fill="FFFFFF"/>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ефективне розслідування корупційних правопорушень у військовій сфері можливе лише за умов комплексного підходу, який включає вдосконалення законодавчої бази, посилення незалежності правоохоронних органів, міжнародну співпрацю та активний контроль за оборонною сферою. Реалізація запропонованих заходів сприятиме підвищенню рівня прозорості, зміцненню правопорядку у Збройних Силах України та гарантуванню національної безпеки держави. САП та СПСО відіграють ключову роль у виявленні та розслідуванні корупційних правопорушень. Однак, для підвищення їхньої ефективності необхідно забезпечити належну взаємодію між цими органами, а також з іншими правоохоронними структурами. Отже, для успішної боротьби з корупцією в секторі безпеки та оборони України важливо не лише вдосконалити законодавство, але й забезпечити його ефективне виконання, а також створити умови для прозорості та підзвітності у діяльності військових посадових осіб. Лише комплексний підхід до вирішення цих проблем може забезпечити реальні зміни у боротьбі з корупцією та зміцнити національну безпеку України.</w:t>
      </w:r>
    </w:p>
    <w:p w14:paraId="5DA84F97" w14:textId="77777777" w:rsidR="00C10374" w:rsidRPr="00511005" w:rsidRDefault="00C10374" w:rsidP="003A292D">
      <w:pPr>
        <w:shd w:val="clear" w:color="auto" w:fill="FFFFFF"/>
        <w:spacing w:line="264" w:lineRule="auto"/>
        <w:ind w:firstLine="708"/>
        <w:rPr>
          <w:rFonts w:ascii="Arial" w:eastAsia="Times New Roman" w:hAnsi="Arial" w:cs="Arial"/>
          <w:szCs w:val="28"/>
          <w:lang w:val="uk-UA" w:eastAsia="ru-RU"/>
        </w:rPr>
      </w:pPr>
    </w:p>
    <w:p w14:paraId="1D0230B2" w14:textId="175058EF" w:rsidR="00C10374" w:rsidRPr="00511005" w:rsidRDefault="007B2628" w:rsidP="007B2628">
      <w:pPr>
        <w:spacing w:line="264" w:lineRule="auto"/>
        <w:ind w:firstLine="708"/>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7812D229" w14:textId="21373E9A" w:rsidR="00C10374" w:rsidRPr="00511005" w:rsidRDefault="00C10374" w:rsidP="003F6A5D">
      <w:pPr>
        <w:numPr>
          <w:ilvl w:val="0"/>
          <w:numId w:val="317"/>
        </w:numPr>
        <w:spacing w:line="264" w:lineRule="auto"/>
        <w:ind w:left="426"/>
        <w:contextualSpacing/>
        <w:rPr>
          <w:rFonts w:ascii="Arial" w:eastAsia="Times New Roman" w:hAnsi="Arial" w:cs="Arial"/>
          <w:szCs w:val="28"/>
          <w:lang w:val="uk-UA" w:eastAsia="ru-RU"/>
        </w:rPr>
      </w:pPr>
      <w:r w:rsidRPr="00511005">
        <w:rPr>
          <w:rFonts w:ascii="Arial" w:eastAsia="Times New Roman" w:hAnsi="Arial" w:cs="Arial"/>
          <w:bCs/>
          <w:szCs w:val="28"/>
          <w:lang w:val="uk-UA" w:eastAsia="ru-RU"/>
        </w:rPr>
        <w:t>Про запобігання корупції</w:t>
      </w:r>
      <w:r w:rsidRPr="00511005">
        <w:rPr>
          <w:rFonts w:ascii="Arial" w:eastAsia="Times New Roman" w:hAnsi="Arial" w:cs="Arial"/>
          <w:szCs w:val="28"/>
          <w:lang w:val="uk-UA" w:eastAsia="ru-RU"/>
        </w:rPr>
        <w:t>: Закон України від 14.10.2014 № 1700-VII.</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175" w:anchor="Text" w:tgtFrame="_new" w:history="1">
        <w:r w:rsidRPr="00511005">
          <w:rPr>
            <w:rFonts w:ascii="Arial" w:eastAsia="Times New Roman" w:hAnsi="Arial" w:cs="Arial"/>
            <w:szCs w:val="28"/>
            <w:lang w:val="uk-UA" w:eastAsia="ru-RU"/>
          </w:rPr>
          <w:t>https://zakon.rada.gov.ua/laws/show/1700-18#Text</w:t>
        </w:r>
      </w:hyperlink>
      <w:r w:rsidRPr="00511005">
        <w:rPr>
          <w:rFonts w:ascii="Arial" w:eastAsia="Times New Roman" w:hAnsi="Arial" w:cs="Arial"/>
          <w:szCs w:val="28"/>
          <w:lang w:val="uk-UA" w:eastAsia="ru-RU"/>
        </w:rPr>
        <w:t xml:space="preserve">. </w:t>
      </w:r>
    </w:p>
    <w:p w14:paraId="05156343" w14:textId="69F949CB" w:rsidR="00C10374" w:rsidRPr="00511005" w:rsidRDefault="00C10374" w:rsidP="003F6A5D">
      <w:pPr>
        <w:numPr>
          <w:ilvl w:val="0"/>
          <w:numId w:val="317"/>
        </w:numPr>
        <w:spacing w:line="264" w:lineRule="auto"/>
        <w:ind w:left="426"/>
        <w:contextualSpacing/>
        <w:rPr>
          <w:rFonts w:ascii="Arial" w:eastAsia="Times New Roman" w:hAnsi="Arial" w:cs="Arial"/>
          <w:szCs w:val="28"/>
          <w:lang w:val="uk-UA" w:eastAsia="ru-RU"/>
        </w:rPr>
      </w:pPr>
      <w:r w:rsidRPr="00511005">
        <w:rPr>
          <w:rFonts w:ascii="Arial" w:eastAsia="Times New Roman" w:hAnsi="Arial" w:cs="Arial"/>
          <w:bCs/>
          <w:szCs w:val="28"/>
          <w:lang w:val="uk-UA" w:eastAsia="ru-RU"/>
        </w:rPr>
        <w:t>Кримінальний процесуальний кодекс України</w:t>
      </w:r>
      <w:r w:rsidRPr="00511005">
        <w:rPr>
          <w:rFonts w:ascii="Arial" w:eastAsia="Times New Roman" w:hAnsi="Arial" w:cs="Arial"/>
          <w:szCs w:val="28"/>
          <w:lang w:val="uk-UA" w:eastAsia="ru-RU"/>
        </w:rPr>
        <w:t>: Кодекс України від 13.04.2012 № 4651-VI.</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176" w:anchor="Text" w:tgtFrame="_new" w:history="1">
        <w:r w:rsidRPr="00511005">
          <w:rPr>
            <w:rFonts w:ascii="Arial" w:eastAsia="Times New Roman" w:hAnsi="Arial" w:cs="Arial"/>
            <w:szCs w:val="28"/>
            <w:lang w:val="uk-UA" w:eastAsia="ru-RU"/>
          </w:rPr>
          <w:t>https://zakon.rada.gov.ua/laws/show/4651-17#Text</w:t>
        </w:r>
      </w:hyperlink>
      <w:r w:rsidRPr="00511005">
        <w:rPr>
          <w:rFonts w:ascii="Arial" w:eastAsia="Times New Roman" w:hAnsi="Arial" w:cs="Arial"/>
          <w:szCs w:val="28"/>
          <w:lang w:val="uk-UA" w:eastAsia="ru-RU"/>
        </w:rPr>
        <w:t xml:space="preserve">. </w:t>
      </w:r>
    </w:p>
    <w:p w14:paraId="208DB844" w14:textId="22A0AA24" w:rsidR="00C10374" w:rsidRPr="00511005" w:rsidRDefault="00C10374" w:rsidP="003F6A5D">
      <w:pPr>
        <w:numPr>
          <w:ilvl w:val="0"/>
          <w:numId w:val="317"/>
        </w:numPr>
        <w:spacing w:line="264" w:lineRule="auto"/>
        <w:ind w:left="426"/>
        <w:contextualSpacing/>
        <w:rPr>
          <w:rFonts w:ascii="Arial" w:eastAsia="Times New Roman" w:hAnsi="Arial" w:cs="Arial"/>
          <w:szCs w:val="28"/>
          <w:lang w:val="uk-UA" w:eastAsia="ru-RU"/>
        </w:rPr>
      </w:pPr>
      <w:r w:rsidRPr="00511005">
        <w:rPr>
          <w:rFonts w:ascii="Arial" w:eastAsia="Times New Roman" w:hAnsi="Arial" w:cs="Arial"/>
          <w:b/>
          <w:bCs/>
          <w:szCs w:val="28"/>
          <w:lang w:val="uk-UA" w:eastAsia="ru-RU"/>
        </w:rPr>
        <w:t>Про державну таємницю</w:t>
      </w:r>
      <w:r w:rsidRPr="00511005">
        <w:rPr>
          <w:rFonts w:ascii="Arial" w:eastAsia="Times New Roman" w:hAnsi="Arial" w:cs="Arial"/>
          <w:szCs w:val="28"/>
          <w:lang w:val="uk-UA" w:eastAsia="ru-RU"/>
        </w:rPr>
        <w:t>: Закон України № 3855-XII від 21.01.1994 року.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177" w:anchor="Text" w:tgtFrame="_new" w:history="1">
        <w:r w:rsidRPr="00511005">
          <w:rPr>
            <w:rFonts w:ascii="Arial" w:eastAsia="Times New Roman" w:hAnsi="Arial" w:cs="Arial"/>
            <w:szCs w:val="28"/>
            <w:lang w:val="uk-UA" w:eastAsia="ru-RU"/>
          </w:rPr>
          <w:t>https://zakon.rada.gov.ua/laws/show/3855-12#Text</w:t>
        </w:r>
      </w:hyperlink>
      <w:r w:rsidRPr="00511005">
        <w:rPr>
          <w:rFonts w:ascii="Arial" w:eastAsia="Times New Roman" w:hAnsi="Arial" w:cs="Arial"/>
          <w:szCs w:val="28"/>
          <w:lang w:val="uk-UA" w:eastAsia="ru-RU"/>
        </w:rPr>
        <w:t>.</w:t>
      </w:r>
    </w:p>
    <w:p w14:paraId="77E2C1A5" w14:textId="46B52B2F" w:rsidR="00C10374" w:rsidRPr="00511005" w:rsidRDefault="00C10374" w:rsidP="003F6A5D">
      <w:pPr>
        <w:numPr>
          <w:ilvl w:val="0"/>
          <w:numId w:val="317"/>
        </w:numPr>
        <w:spacing w:line="264" w:lineRule="auto"/>
        <w:ind w:left="426"/>
        <w:contextualSpacing/>
        <w:rPr>
          <w:rFonts w:ascii="Arial" w:eastAsia="Times New Roman" w:hAnsi="Arial" w:cs="Arial"/>
          <w:szCs w:val="28"/>
          <w:lang w:val="uk-UA" w:eastAsia="ru-RU"/>
        </w:rPr>
      </w:pPr>
      <w:r w:rsidRPr="00511005">
        <w:rPr>
          <w:rFonts w:ascii="Arial" w:eastAsia="Times New Roman" w:hAnsi="Arial" w:cs="Arial"/>
          <w:b/>
          <w:bCs/>
          <w:szCs w:val="28"/>
          <w:lang w:val="uk-UA" w:eastAsia="ru-RU"/>
        </w:rPr>
        <w:t>Про введення воєнного стану в Україні</w:t>
      </w:r>
      <w:r w:rsidRPr="00511005">
        <w:rPr>
          <w:rFonts w:ascii="Arial" w:eastAsia="Times New Roman" w:hAnsi="Arial" w:cs="Arial"/>
          <w:szCs w:val="28"/>
          <w:lang w:val="uk-UA" w:eastAsia="ru-RU"/>
        </w:rPr>
        <w:t>: Указ Президента України № 64/2022 від 24.02.2022 року.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178" w:tgtFrame="_new" w:history="1">
        <w:r w:rsidRPr="00511005">
          <w:rPr>
            <w:rFonts w:ascii="Arial" w:eastAsia="Times New Roman" w:hAnsi="Arial" w:cs="Arial"/>
            <w:szCs w:val="28"/>
            <w:lang w:val="uk-UA" w:eastAsia="ru-RU"/>
          </w:rPr>
          <w:t>https://www.president.gov.ua/documents/642022-41397</w:t>
        </w:r>
      </w:hyperlink>
    </w:p>
    <w:p w14:paraId="512BD8F1" w14:textId="413F22A9" w:rsidR="00C10374" w:rsidRPr="00511005" w:rsidRDefault="00C10374" w:rsidP="003F6A5D">
      <w:pPr>
        <w:numPr>
          <w:ilvl w:val="0"/>
          <w:numId w:val="317"/>
        </w:numPr>
        <w:spacing w:line="264" w:lineRule="auto"/>
        <w:ind w:left="426"/>
        <w:contextualSpacing/>
        <w:rPr>
          <w:rFonts w:ascii="Arial" w:eastAsia="Times New Roman" w:hAnsi="Arial" w:cs="Arial"/>
          <w:szCs w:val="28"/>
          <w:lang w:val="uk-UA" w:eastAsia="ru-RU"/>
        </w:rPr>
      </w:pPr>
      <w:r w:rsidRPr="00511005">
        <w:rPr>
          <w:rFonts w:ascii="Arial" w:eastAsia="Times New Roman" w:hAnsi="Arial" w:cs="Arial"/>
          <w:b/>
          <w:bCs/>
          <w:szCs w:val="28"/>
          <w:lang w:val="uk-UA" w:eastAsia="ru-RU"/>
        </w:rPr>
        <w:lastRenderedPageBreak/>
        <w:t>Військова юстиція в Україні</w:t>
      </w:r>
      <w:r w:rsidRPr="00511005">
        <w:rPr>
          <w:rFonts w:ascii="Arial" w:eastAsia="Times New Roman" w:hAnsi="Arial" w:cs="Arial"/>
          <w:b/>
          <w:szCs w:val="28"/>
          <w:lang w:val="uk-UA" w:eastAsia="ru-RU"/>
        </w:rPr>
        <w:t>:</w:t>
      </w:r>
      <w:r w:rsidRPr="00511005">
        <w:rPr>
          <w:rFonts w:ascii="Arial" w:eastAsia="Times New Roman" w:hAnsi="Arial" w:cs="Arial"/>
          <w:szCs w:val="28"/>
          <w:lang w:val="uk-UA" w:eastAsia="ru-RU"/>
        </w:rPr>
        <w:t xml:space="preserve"> Лабораторія законодавчих ініціатив.</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pl-PL" w:eastAsia="ru-RU"/>
        </w:rPr>
        <w:t xml:space="preserve">URL: </w:t>
      </w:r>
      <w:hyperlink r:id="rId1179" w:tgtFrame="_new" w:history="1">
        <w:r w:rsidRPr="00511005">
          <w:rPr>
            <w:rFonts w:ascii="Arial" w:eastAsia="Times New Roman" w:hAnsi="Arial" w:cs="Arial"/>
            <w:szCs w:val="28"/>
            <w:lang w:val="pl-PL" w:eastAsia="ru-RU"/>
          </w:rPr>
          <w:t>https://parlament.org.ua/wp-content/uploads/2024/06/lab-green-book.pdf</w:t>
        </w:r>
      </w:hyperlink>
      <w:r w:rsidRPr="00511005">
        <w:rPr>
          <w:rFonts w:ascii="Arial" w:eastAsia="Times New Roman" w:hAnsi="Arial" w:cs="Arial"/>
          <w:szCs w:val="28"/>
          <w:lang w:val="pl-PL" w:eastAsia="ru-RU"/>
        </w:rPr>
        <w:t>.</w:t>
      </w:r>
    </w:p>
    <w:p w14:paraId="1A2E7516" w14:textId="568A6343" w:rsidR="00C10374" w:rsidRPr="00511005" w:rsidRDefault="00C10374" w:rsidP="003F6A5D">
      <w:pPr>
        <w:numPr>
          <w:ilvl w:val="0"/>
          <w:numId w:val="317"/>
        </w:numPr>
        <w:spacing w:line="264" w:lineRule="auto"/>
        <w:ind w:left="426"/>
        <w:contextualSpacing/>
        <w:rPr>
          <w:rFonts w:ascii="Arial" w:eastAsia="Times New Roman" w:hAnsi="Arial" w:cs="Arial"/>
          <w:szCs w:val="28"/>
          <w:lang w:val="uk-UA" w:eastAsia="ru-RU"/>
        </w:rPr>
      </w:pPr>
      <w:r w:rsidRPr="00511005">
        <w:rPr>
          <w:rFonts w:ascii="Arial" w:eastAsia="Times New Roman" w:hAnsi="Arial" w:cs="Arial"/>
          <w:b/>
          <w:bCs/>
          <w:szCs w:val="28"/>
          <w:lang w:val="uk-UA" w:eastAsia="ru-RU"/>
        </w:rPr>
        <w:t>Організаційно-правові засади протидії корупції в секторі безпеки й оборони України на відомчому рівні</w:t>
      </w:r>
      <w:r w:rsidRPr="00511005">
        <w:rPr>
          <w:rFonts w:ascii="Arial" w:eastAsia="Times New Roman" w:hAnsi="Arial" w:cs="Arial"/>
          <w:b/>
          <w:szCs w:val="28"/>
          <w:lang w:val="uk-UA" w:eastAsia="ru-RU"/>
        </w:rPr>
        <w:t>:</w:t>
      </w:r>
      <w:r w:rsidRPr="00511005">
        <w:rPr>
          <w:rFonts w:ascii="Arial" w:eastAsia="Times New Roman" w:hAnsi="Arial" w:cs="Arial"/>
          <w:szCs w:val="28"/>
          <w:lang w:val="uk-UA" w:eastAsia="ru-RU"/>
        </w:rPr>
        <w:t xml:space="preserve"> Пащенко Є. М., Чалий М. Г.</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pl-PL" w:eastAsia="ru-RU"/>
        </w:rPr>
        <w:t xml:space="preserve">URL: </w:t>
      </w:r>
      <w:hyperlink r:id="rId1180" w:tgtFrame="_new" w:history="1">
        <w:r w:rsidRPr="00511005">
          <w:rPr>
            <w:rFonts w:ascii="Arial" w:eastAsia="Times New Roman" w:hAnsi="Arial" w:cs="Arial"/>
            <w:szCs w:val="28"/>
            <w:lang w:val="pl-PL" w:eastAsia="ru-RU"/>
          </w:rPr>
          <w:t>http://www.sulj.oduvs.od.ua/archive/2022/4/part_3/35.pdf</w:t>
        </w:r>
      </w:hyperlink>
      <w:r w:rsidRPr="00511005">
        <w:rPr>
          <w:rFonts w:ascii="Arial" w:eastAsia="Times New Roman" w:hAnsi="Arial" w:cs="Arial"/>
          <w:szCs w:val="28"/>
          <w:lang w:val="pl-PL" w:eastAsia="ru-RU"/>
        </w:rPr>
        <w:t>.</w:t>
      </w:r>
    </w:p>
    <w:p w14:paraId="034E972D" w14:textId="77777777" w:rsidR="00C10374" w:rsidRPr="00511005" w:rsidRDefault="00C10374" w:rsidP="003F6A5D">
      <w:pPr>
        <w:numPr>
          <w:ilvl w:val="0"/>
          <w:numId w:val="317"/>
        </w:numPr>
        <w:spacing w:line="264" w:lineRule="auto"/>
        <w:ind w:left="426"/>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GRECO. Fourth Evaluation Round. Ukraine Compliance Report. Strasbourg, 2023.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https://rm.coe.int/fourth-evaluation-round-corruption-prevention-in-respect-of-members-of/1680aaa790</w:t>
      </w:r>
    </w:p>
    <w:p w14:paraId="790A4614" w14:textId="77777777" w:rsidR="00C10374" w:rsidRPr="00511005" w:rsidRDefault="00C10374" w:rsidP="003A292D">
      <w:pPr>
        <w:spacing w:line="264" w:lineRule="auto"/>
        <w:ind w:left="426" w:firstLine="0"/>
        <w:contextualSpacing/>
        <w:rPr>
          <w:rFonts w:ascii="Arial" w:eastAsia="Times New Roman" w:hAnsi="Arial" w:cs="Arial"/>
          <w:szCs w:val="28"/>
          <w:lang w:val="uk-UA" w:eastAsia="ru-RU"/>
        </w:rPr>
      </w:pPr>
    </w:p>
    <w:p w14:paraId="1A2F57F8" w14:textId="3B7BE7F6" w:rsidR="00C10374" w:rsidRPr="00511005" w:rsidRDefault="007B262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C10374" w:rsidRPr="00511005">
        <w:rPr>
          <w:rFonts w:ascii="Arial" w:eastAsia="Times New Roman" w:hAnsi="Arial" w:cs="Arial"/>
          <w:szCs w:val="28"/>
          <w:lang w:val="uk-UA" w:eastAsia="ru-RU"/>
        </w:rPr>
        <w:t>корупція, військова сфера, антикорупційна прокуратура, спеціалізована прокуратура, виявлення корупційних правопорушень, розслідування, національна безпека, військові посадові особи, законодавство, взаємодія.</w:t>
      </w:r>
    </w:p>
    <w:p w14:paraId="14364FD3" w14:textId="5A11156D" w:rsidR="0087239D" w:rsidRPr="00511005" w:rsidRDefault="007B2628" w:rsidP="003A292D">
      <w:pPr>
        <w:spacing w:line="264" w:lineRule="auto"/>
        <w:ind w:firstLine="708"/>
        <w:rPr>
          <w:rFonts w:ascii="Arial" w:eastAsia="Times New Roman" w:hAnsi="Arial" w:cs="Arial"/>
          <w:i/>
          <w:szCs w:val="28"/>
          <w:lang w:val="uk-UA" w:eastAsia="ru-RU"/>
        </w:rPr>
      </w:pPr>
      <w:r w:rsidRPr="00511005">
        <w:rPr>
          <w:rFonts w:ascii="Arial" w:eastAsia="Times New Roman" w:hAnsi="Arial" w:cs="Arial"/>
          <w:b/>
          <w:bCs/>
          <w:i/>
          <w:szCs w:val="28"/>
          <w:lang w:val="en-US" w:eastAsia="ru-RU"/>
        </w:rPr>
        <w:t xml:space="preserve">Key words: </w:t>
      </w:r>
      <w:r w:rsidR="0087239D" w:rsidRPr="00511005">
        <w:rPr>
          <w:rFonts w:ascii="Arial" w:eastAsia="Times New Roman" w:hAnsi="Arial" w:cs="Arial"/>
          <w:szCs w:val="28"/>
          <w:lang w:val="en-US" w:eastAsia="ru-RU"/>
        </w:rPr>
        <w:t>corruption, military sector, anti-corruption prosecutor, specialized prosecutor, detection of corruption offenses, investigation, national security, military officials, legislation, interaction.</w:t>
      </w:r>
    </w:p>
    <w:p w14:paraId="4FEFB9A4" w14:textId="763D5150" w:rsidR="00C10374" w:rsidRPr="00511005" w:rsidRDefault="007B2628" w:rsidP="003A292D">
      <w:pPr>
        <w:spacing w:line="264" w:lineRule="auto"/>
        <w:ind w:firstLine="708"/>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C10374" w:rsidRPr="00511005">
        <w:rPr>
          <w:rFonts w:ascii="Arial" w:eastAsia="Times New Roman" w:hAnsi="Arial" w:cs="Arial"/>
          <w:i/>
          <w:szCs w:val="28"/>
          <w:lang w:val="uk-UA" w:eastAsia="ru-RU"/>
        </w:rPr>
        <w:t>к.ю.н., доцент Кісліцина І.О.</w:t>
      </w:r>
    </w:p>
    <w:p w14:paraId="3AB19B13" w14:textId="77777777" w:rsidR="00C10374" w:rsidRPr="00511005" w:rsidRDefault="00C10374" w:rsidP="003A292D">
      <w:pPr>
        <w:spacing w:line="264" w:lineRule="auto"/>
        <w:ind w:firstLine="708"/>
        <w:rPr>
          <w:rFonts w:ascii="Arial" w:eastAsia="Times New Roman" w:hAnsi="Arial" w:cs="Arial"/>
          <w:i/>
          <w:szCs w:val="28"/>
          <w:lang w:val="uk-UA" w:eastAsia="ru-RU"/>
        </w:rPr>
      </w:pPr>
    </w:p>
    <w:p w14:paraId="4A970137" w14:textId="77777777" w:rsidR="00C10374" w:rsidRPr="00511005" w:rsidRDefault="00C10374" w:rsidP="003A292D">
      <w:pPr>
        <w:spacing w:line="264" w:lineRule="auto"/>
        <w:ind w:firstLine="708"/>
        <w:rPr>
          <w:rFonts w:ascii="Arial" w:eastAsia="Times New Roman" w:hAnsi="Arial" w:cs="Arial"/>
          <w:i/>
          <w:szCs w:val="28"/>
          <w:lang w:val="uk-UA" w:eastAsia="ru-RU"/>
        </w:rPr>
      </w:pPr>
    </w:p>
    <w:p w14:paraId="7FAA493A" w14:textId="77777777" w:rsidR="00C10374" w:rsidRPr="00511005" w:rsidRDefault="00C10374"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Полігова Анастасія Олегівна</w:t>
      </w:r>
    </w:p>
    <w:p w14:paraId="53920A7D" w14:textId="730C915E"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студентка 2-го курсу </w:t>
      </w:r>
    </w:p>
    <w:p w14:paraId="24A93D3F"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B9F5994"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1454E39" w14:textId="77777777" w:rsidR="00C10374" w:rsidRPr="00511005" w:rsidRDefault="00C10374" w:rsidP="003A292D">
      <w:pPr>
        <w:spacing w:line="264" w:lineRule="auto"/>
        <w:ind w:firstLine="0"/>
        <w:jc w:val="center"/>
        <w:rPr>
          <w:rFonts w:ascii="Arial" w:eastAsia="Calibri" w:hAnsi="Arial" w:cs="Arial"/>
          <w:i/>
          <w:szCs w:val="28"/>
          <w:lang w:val="uk-UA"/>
        </w:rPr>
      </w:pPr>
    </w:p>
    <w:p w14:paraId="7AD6B752" w14:textId="77777777" w:rsidR="00C10374" w:rsidRPr="00511005" w:rsidRDefault="00C10374"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ІСТОРИЧНИЙ РОЗВИТОК ІНСТИТУТУ АДВОКАТУРИ ФРАНЦІЇ</w:t>
      </w:r>
    </w:p>
    <w:p w14:paraId="1A43C418"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Інститут адвокатури є невід’ємною складовою правової системи будь-якої демократичної держави, що забезпечує захист прав і свобод громадян та правосуддя на засадах верховенства права. У Франції адвокатура має глибокі історичні корені та унікальні особливості, що сформувалися в результаті тривалої еволюції правових норм і соціальних інститутів. Французька адвокатура є однією з найстаріших у Європі та пройшла складний шлях трансформації – від привілейованої касти захисників у Середньовіччі до сучасної професійної спільноти з чітко визначеними функціями й етикою.</w:t>
      </w:r>
    </w:p>
    <w:p w14:paraId="34C69793"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Дослідження розвитку та специфіки інституту адвокатури у Франції, визначення основних етапів його формування, а також особливостей діяльності французьких адвокатів у сучасних умовах є важливим з наукової та практичної точки зору, наприклад, досвід Франції може бути корисним при реформуванні адвокатури України.</w:t>
      </w:r>
    </w:p>
    <w:p w14:paraId="41B1A77D"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Інституціалізація адвокатури у Франції, як свідчить історія, розпочинається з Кутюмів Бовезі – збірника звичаєвого права північно-східної частини Франції, складеного в 1282 році [1, с. 9]. </w:t>
      </w:r>
    </w:p>
    <w:p w14:paraId="57732C04"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Канонічне право містить лише кілька згадок про адвокатів у Франції в найдавніші часи, де їх називали avoués. В подальшому почали розділяти стряпчих (avoués) та адвокатів у вузькому значенні (avocats) [2, с. 156].</w:t>
      </w:r>
    </w:p>
    <w:p w14:paraId="786C8BD6"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Спершу вони захищали інтереси монастирів і костелів, виконуючи не лише юридичні, а й господарські функції. Для того, щоб виступати в суді замість іншої особи, потрібно було отримати дозвіл короля. До XII століття вирішальну роль у судах відігравав поєдинок: захисник, який тримався до появи перших зірок, вважався переможцем. Перемога в поєдинку автоматично означала виграш у справі. Простолюдинам заборонялося призначати когось замість себе для участі в поєдинках. З часом сформувалася окрема група людей, які професійно брали участь у таких змаганнях. У 1260 році Людовік Святий частково заборонив судові поєдинки, а остаточно їх скасували лише в 1386 році.</w:t>
      </w:r>
    </w:p>
    <w:p w14:paraId="773D90A4"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Розвиток феодалізму змусив захисників не лише досконало володіти зброєю, а й знати юридичні норми. Спершу юристів називали clamatores або plaideurs. За Людовіка Святого їх уперше почали називати адвокатами, а конфлікт між національною церквою і папством лише прискорив розвиток професії. Вже в 1274 році адвокати працювали при судах і складали присягу. З 1344 року їх поділяли на дві категорії: захисників та радників (avocats plaidants і avocats consultants). Обирали також 12 найстарших адвокатів, які користувалися особливими привілеями. Адвокатами могли бути лише католики, не піддані церковним покаранням, і світські особи.</w:t>
      </w:r>
    </w:p>
    <w:p w14:paraId="0FE2E62E"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Адвокатів також розподіляли на три групи:</w:t>
      </w:r>
    </w:p>
    <w:p w14:paraId="0EA53D45" w14:textId="77777777" w:rsidR="00C10374" w:rsidRPr="00511005" w:rsidRDefault="00C10374" w:rsidP="003F6A5D">
      <w:pPr>
        <w:numPr>
          <w:ilvl w:val="0"/>
          <w:numId w:val="318"/>
        </w:numPr>
        <w:spacing w:line="264" w:lineRule="auto"/>
        <w:ind w:left="0"/>
        <w:contextualSpacing/>
        <w:rPr>
          <w:rFonts w:ascii="Arial" w:eastAsia="Times New Roman" w:hAnsi="Arial" w:cs="Arial"/>
          <w:szCs w:val="28"/>
          <w:lang w:val="uk-UA" w:eastAsia="ru-RU"/>
        </w:rPr>
      </w:pPr>
      <w:r w:rsidRPr="00511005">
        <w:rPr>
          <w:rFonts w:ascii="Arial" w:eastAsia="Times New Roman" w:hAnsi="Arial" w:cs="Arial"/>
          <w:i/>
          <w:iCs/>
          <w:szCs w:val="28"/>
          <w:lang w:val="uk-UA" w:eastAsia="ru-RU"/>
        </w:rPr>
        <w:t>consiliarii</w:t>
      </w:r>
      <w:r w:rsidRPr="00511005">
        <w:rPr>
          <w:rFonts w:ascii="Arial" w:eastAsia="Times New Roman" w:hAnsi="Arial" w:cs="Arial"/>
          <w:szCs w:val="28"/>
          <w:lang w:val="uk-UA" w:eastAsia="ru-RU"/>
        </w:rPr>
        <w:t xml:space="preserve"> – найдосвідченіші адвокати, до яких зверталися за порадами.</w:t>
      </w:r>
    </w:p>
    <w:p w14:paraId="742C2946" w14:textId="77777777" w:rsidR="00C10374" w:rsidRPr="00511005" w:rsidRDefault="00C10374" w:rsidP="003A292D">
      <w:pPr>
        <w:spacing w:line="264" w:lineRule="auto"/>
        <w:ind w:firstLine="0"/>
        <w:contextualSpacing/>
        <w:jc w:val="left"/>
        <w:rPr>
          <w:rFonts w:ascii="Arial" w:eastAsia="Times New Roman" w:hAnsi="Arial" w:cs="Arial"/>
          <w:szCs w:val="28"/>
          <w:lang w:val="uk-UA" w:eastAsia="ru-RU"/>
        </w:rPr>
      </w:pPr>
      <w:r w:rsidRPr="00511005">
        <w:rPr>
          <w:rFonts w:ascii="Arial" w:eastAsia="Times New Roman" w:hAnsi="Arial" w:cs="Arial"/>
          <w:i/>
          <w:iCs/>
          <w:szCs w:val="28"/>
          <w:lang w:val="uk-UA" w:eastAsia="ru-RU"/>
        </w:rPr>
        <w:t>proponentes</w:t>
      </w:r>
      <w:r w:rsidRPr="00511005">
        <w:rPr>
          <w:rFonts w:ascii="Arial" w:eastAsia="Times New Roman" w:hAnsi="Arial" w:cs="Arial"/>
          <w:szCs w:val="28"/>
          <w:lang w:val="uk-UA" w:eastAsia="ru-RU"/>
        </w:rPr>
        <w:t xml:space="preserve"> – адвокати, які подавали процесуальні документи до суду.</w:t>
      </w:r>
    </w:p>
    <w:p w14:paraId="5D385EE2" w14:textId="77777777" w:rsidR="00C10374" w:rsidRPr="00511005" w:rsidRDefault="00C10374" w:rsidP="003F6A5D">
      <w:pPr>
        <w:numPr>
          <w:ilvl w:val="0"/>
          <w:numId w:val="318"/>
        </w:numPr>
        <w:spacing w:line="264" w:lineRule="auto"/>
        <w:ind w:left="0"/>
        <w:contextualSpacing/>
        <w:rPr>
          <w:rFonts w:ascii="Arial" w:eastAsia="Times New Roman" w:hAnsi="Arial" w:cs="Arial"/>
          <w:szCs w:val="28"/>
          <w:lang w:val="uk-UA" w:eastAsia="ru-RU"/>
        </w:rPr>
      </w:pPr>
      <w:r w:rsidRPr="00511005">
        <w:rPr>
          <w:rFonts w:ascii="Arial" w:eastAsia="Times New Roman" w:hAnsi="Arial" w:cs="Arial"/>
          <w:i/>
          <w:iCs/>
          <w:szCs w:val="28"/>
          <w:lang w:val="uk-UA" w:eastAsia="ru-RU"/>
        </w:rPr>
        <w:t>auolientes</w:t>
      </w:r>
      <w:r w:rsidRPr="00511005">
        <w:rPr>
          <w:rFonts w:ascii="Arial" w:eastAsia="Times New Roman" w:hAnsi="Arial" w:cs="Arial"/>
          <w:szCs w:val="28"/>
          <w:lang w:val="uk-UA" w:eastAsia="ru-RU"/>
        </w:rPr>
        <w:t xml:space="preserve"> – стажисти, що проходили практичне навчання [3].</w:t>
      </w:r>
    </w:p>
    <w:p w14:paraId="569CF910"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Під час правління Карла VII та Карла VIII з’явилася нова категорія – «королівські адвокати», які захищали інтереси корони. Їм було заборонено займатися приватними справами. За короля Егінгара адвокатура перебувала під королівською опікою, адвокати отримували шляхетство та мали привілеї займати судові посади без складання додаткових іспитів.</w:t>
      </w:r>
    </w:p>
    <w:p w14:paraId="5F0BC968"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XVIII столітті відповідачі в цивільних справах могли користуватися послугами адвокатів, але обвинувачені у кримінальних справах змушені були захищатися самостійно. Це було пов’язано з ідеєю, що суддя сам по собі є захисником обвинуваченого.</w:t>
      </w:r>
    </w:p>
    <w:p w14:paraId="623A7884"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Під час Великої французької революції адвокатура опинилася під тиском державної влади. Усі адвокати відмовилися виконувати свої обов'язки, а 2 вересня 1790 року адвокатуру офіційно ліквідували. Лише в 1804 році, за правління Наполеона, професія була відновлена, а в 1822 році новий закон дозволив займатися адвокатською діяльністю як французам, так і іноземцям. Проте іноземці могли практикувати лише в провінції. Серед вимог до адвокатів було: наявність юридичної освіти, наукового ступеня та </w:t>
      </w:r>
      <w:r w:rsidRPr="00511005">
        <w:rPr>
          <w:rFonts w:ascii="Arial" w:eastAsia="Calibri" w:hAnsi="Arial" w:cs="Arial"/>
          <w:szCs w:val="28"/>
          <w:lang w:val="uk-UA"/>
        </w:rPr>
        <w:lastRenderedPageBreak/>
        <w:t>складання присяги на засіданні апеляційного суду. Стажування тривало три роки й включало участь у судових процесах і відвідування лекцій досвідчених адвокатів.</w:t>
      </w:r>
    </w:p>
    <w:p w14:paraId="782E42B5"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Згідно з Кодексом Наполеона адвокатам заборонялося купувати нерухомість, яка була предметом судового спору, а також отримувати винагороду залежно від результату справи. Такі угоди визнавалися недійсними відповідно до принципу pacta de quota litis (неправомірна винагорода). Щороку адвокати складали присягу.</w:t>
      </w:r>
    </w:p>
    <w:p w14:paraId="21C20308"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Французька адвокатура сьогодні є прикладом ефективної структури, яка зберегла кращі традиції минулих століть. Вона відзначається високою самоорганізацією, чітким регулюванням професійної діяльності та суворим дотриманням етичних норм.</w:t>
      </w:r>
    </w:p>
    <w:p w14:paraId="2AFB0553"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1 січня 1992 року набули чинності поправки до Основного закону про статус адвокатів (№ 71-1130 від 31 грудня 1990 р.). Ці зміни мали на меті оновити юридичні професії та об'єднати їх під спільним званням «адвокат» [2, с. 156].</w:t>
      </w:r>
    </w:p>
    <w:p w14:paraId="7B081C90"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Щоб стати адвокатом у Франції зараз, необхідно мати французьке громадянство або громадянство однієї з держав Європейського Співтовариства, вищу юридичну освіту (із ступенем магістра права) учбового закладу, який визнається у Франції. Кандидат складає адвокатські іспити: два письмових та один усний. Іспити здаються в одному з регіональних центрів професійної підготовки, які працюють під егідою адвокатури та вищої школи. У разі успішної здачі іспитів кандидат у цих центрах проходить протягом року теоретичний курс та практичне стажування після, чого знову складає іспити: один письмовий та три усних. Лише при успішній здачі цих іспитів кандидат вписується до списку ордену (колегії) адвокатів і складає присягу [3].</w:t>
      </w:r>
    </w:p>
    <w:p w14:paraId="013CB13C" w14:textId="77777777" w:rsidR="00C10374" w:rsidRPr="00511005" w:rsidRDefault="00C10374"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Можна зробити висновок, що інститут адвокатури у Франції пройшов тривалий шлях трансформації від середньовічних захисників до сучасних професійних юристів. Його розвиток тісно пов'язаний з історичними подіями, які формували правову систему країни. Сьогодні французькі адвокати виконують важливу роль у забезпеченні правосуддя та захисту прав громадян, що робить їх невід'ємною частиною демократичного суспільства. Дослідження особливостей французької адвокатури також має значення для порівняльного аналізу з іншими правовими системами Європи, що дозволяє краще зрозуміти їхню роль у забезпеченні верховенства права.</w:t>
      </w:r>
    </w:p>
    <w:p w14:paraId="1067F416" w14:textId="77777777" w:rsidR="00C10374" w:rsidRPr="00511005" w:rsidRDefault="00C10374" w:rsidP="003A292D">
      <w:pPr>
        <w:spacing w:line="264" w:lineRule="auto"/>
        <w:ind w:firstLine="0"/>
        <w:rPr>
          <w:rFonts w:ascii="Arial" w:eastAsia="Calibri" w:hAnsi="Arial" w:cs="Arial"/>
          <w:szCs w:val="28"/>
          <w:lang w:val="uk-UA"/>
        </w:rPr>
      </w:pPr>
    </w:p>
    <w:p w14:paraId="7F0BA6B0" w14:textId="58842DE1" w:rsidR="00C10374" w:rsidRPr="00511005" w:rsidRDefault="00C10374" w:rsidP="003A292D">
      <w:pPr>
        <w:widowControl w:val="0"/>
        <w:spacing w:line="264" w:lineRule="auto"/>
        <w:contextualSpacing/>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 xml:space="preserve">Список </w:t>
      </w:r>
      <w:r w:rsidR="00875A11">
        <w:rPr>
          <w:rFonts w:ascii="Arial" w:eastAsia="Times New Roman" w:hAnsi="Arial" w:cs="Arial"/>
          <w:b/>
          <w:bCs/>
          <w:szCs w:val="28"/>
          <w:lang w:val="uk-UA" w:eastAsia="ru-RU"/>
        </w:rPr>
        <w:t>використаних джерел</w:t>
      </w:r>
    </w:p>
    <w:p w14:paraId="7D06AA34" w14:textId="53C67973" w:rsidR="00C10374" w:rsidRPr="00511005" w:rsidRDefault="00C10374" w:rsidP="000C392A">
      <w:pPr>
        <w:widowControl w:val="0"/>
        <w:numPr>
          <w:ilvl w:val="0"/>
          <w:numId w:val="8"/>
        </w:numPr>
        <w:spacing w:line="264" w:lineRule="auto"/>
        <w:ind w:left="0" w:firstLine="70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Попелюшко В.О. Виникнення та інституційне становлення адвокатури Франції. </w:t>
      </w:r>
      <w:r w:rsidRPr="00511005">
        <w:rPr>
          <w:rFonts w:ascii="Arial" w:eastAsia="Times New Roman" w:hAnsi="Arial" w:cs="Arial"/>
          <w:i/>
          <w:iCs/>
          <w:szCs w:val="28"/>
          <w:lang w:val="uk-UA" w:eastAsia="ru-RU"/>
        </w:rPr>
        <w:t>Адвокат.</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1 (124).</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2011. С. 9-13. URL: </w:t>
      </w:r>
      <w:hyperlink r:id="rId1181" w:history="1">
        <w:r w:rsidRPr="00511005">
          <w:rPr>
            <w:rFonts w:ascii="Arial" w:eastAsia="Times New Roman" w:hAnsi="Arial" w:cs="Arial"/>
            <w:szCs w:val="28"/>
            <w:lang w:val="uk-UA" w:eastAsia="ru-RU"/>
          </w:rPr>
          <w:t>https://eprints.oa.edu.ua/id/eprint/1004/1/advokatura.pdf</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(дата звернення: 05.05.2025)</w:t>
      </w:r>
    </w:p>
    <w:p w14:paraId="03BC83A8" w14:textId="77777777" w:rsidR="00C10374" w:rsidRPr="00511005" w:rsidRDefault="00C10374" w:rsidP="000C392A">
      <w:pPr>
        <w:widowControl w:val="0"/>
        <w:numPr>
          <w:ilvl w:val="0"/>
          <w:numId w:val="8"/>
        </w:numPr>
        <w:spacing w:line="264" w:lineRule="auto"/>
        <w:ind w:left="0" w:firstLine="70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Личенко І.О. Загальні засади організації та функціонування </w:t>
      </w:r>
      <w:r w:rsidRPr="00511005">
        <w:rPr>
          <w:rFonts w:ascii="Arial" w:eastAsia="Times New Roman" w:hAnsi="Arial" w:cs="Arial"/>
          <w:szCs w:val="28"/>
          <w:lang w:val="uk-UA" w:eastAsia="ru-RU"/>
        </w:rPr>
        <w:lastRenderedPageBreak/>
        <w:t xml:space="preserve">адвокатури зарубіжних країн. </w:t>
      </w:r>
      <w:r w:rsidRPr="00511005">
        <w:rPr>
          <w:rFonts w:ascii="Arial" w:eastAsia="Times New Roman" w:hAnsi="Arial" w:cs="Arial"/>
          <w:i/>
          <w:iCs/>
          <w:szCs w:val="28"/>
          <w:lang w:val="uk-UA" w:eastAsia="ru-RU"/>
        </w:rPr>
        <w:t xml:space="preserve">Вісник Національного університету «Львівська політехніка». Серія: «Юридичні науки». </w:t>
      </w:r>
      <w:r w:rsidRPr="00511005">
        <w:rPr>
          <w:rFonts w:ascii="Arial" w:eastAsia="Times New Roman" w:hAnsi="Arial" w:cs="Arial"/>
          <w:szCs w:val="28"/>
          <w:lang w:val="uk-UA" w:eastAsia="ru-RU"/>
        </w:rPr>
        <w:t xml:space="preserve">Т. 7, № 1, 2020. С. 153-159. URL: </w:t>
      </w:r>
      <w:hyperlink r:id="rId1182" w:history="1">
        <w:r w:rsidRPr="00511005">
          <w:rPr>
            <w:rFonts w:ascii="Arial" w:eastAsia="Times New Roman" w:hAnsi="Arial" w:cs="Arial"/>
            <w:szCs w:val="28"/>
            <w:lang w:val="uk-UA" w:eastAsia="ru-RU"/>
          </w:rPr>
          <w:t>https://science.lpnu.ua/sites/default/files/journal-paper/2020/may/21534/26.pdf</w:t>
        </w:r>
      </w:hyperlink>
      <w:r w:rsidRPr="00511005">
        <w:rPr>
          <w:rFonts w:ascii="Arial" w:eastAsia="Times New Roman" w:hAnsi="Arial" w:cs="Arial"/>
          <w:szCs w:val="28"/>
          <w:lang w:val="uk-UA" w:eastAsia="ru-RU"/>
        </w:rPr>
        <w:t xml:space="preserve"> (дата звернення: 05.05.2025)</w:t>
      </w:r>
    </w:p>
    <w:p w14:paraId="42EBE5E8" w14:textId="77777777" w:rsidR="007B2628" w:rsidRPr="00511005" w:rsidRDefault="00C10374" w:rsidP="000C392A">
      <w:pPr>
        <w:widowControl w:val="0"/>
        <w:numPr>
          <w:ilvl w:val="0"/>
          <w:numId w:val="8"/>
        </w:numPr>
        <w:spacing w:line="264" w:lineRule="auto"/>
        <w:ind w:left="0" w:firstLine="70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Розвиток інституту адвокатури у Франції. Мего-Інфо - Юридичний портал №1. URL: </w:t>
      </w:r>
      <w:hyperlink r:id="rId1183" w:history="1">
        <w:r w:rsidRPr="00511005">
          <w:rPr>
            <w:rFonts w:ascii="Arial" w:eastAsia="Times New Roman" w:hAnsi="Arial" w:cs="Arial"/>
            <w:szCs w:val="28"/>
            <w:lang w:val="uk-UA" w:eastAsia="ru-RU"/>
          </w:rPr>
          <w:t>https://surl.li/vuryro</w:t>
        </w:r>
      </w:hyperlink>
      <w:r w:rsidRPr="00511005">
        <w:rPr>
          <w:rFonts w:ascii="Arial" w:eastAsia="Times New Roman" w:hAnsi="Arial" w:cs="Arial"/>
          <w:szCs w:val="28"/>
          <w:lang w:val="uk-UA" w:eastAsia="ru-RU"/>
        </w:rPr>
        <w:t xml:space="preserve"> (дата звернення: 05.05.2025)</w:t>
      </w:r>
    </w:p>
    <w:p w14:paraId="1A089639" w14:textId="77777777" w:rsidR="007B2628" w:rsidRPr="00511005" w:rsidRDefault="007B2628" w:rsidP="003A292D">
      <w:pPr>
        <w:widowControl w:val="0"/>
        <w:spacing w:line="264" w:lineRule="auto"/>
        <w:ind w:firstLine="0"/>
        <w:contextualSpacing/>
        <w:jc w:val="left"/>
        <w:rPr>
          <w:rFonts w:ascii="Arial" w:eastAsia="Times New Roman" w:hAnsi="Arial" w:cs="Arial"/>
          <w:b/>
          <w:bCs/>
          <w:szCs w:val="28"/>
          <w:lang w:val="uk-UA" w:eastAsia="ru-RU"/>
        </w:rPr>
      </w:pPr>
    </w:p>
    <w:p w14:paraId="4B9A9BD0" w14:textId="64E23442" w:rsidR="007B2628" w:rsidRPr="00511005" w:rsidRDefault="007B2628" w:rsidP="003A292D">
      <w:pPr>
        <w:widowControl w:val="0"/>
        <w:spacing w:line="264" w:lineRule="auto"/>
        <w:ind w:firstLine="0"/>
        <w:contextualSpacing/>
        <w:jc w:val="left"/>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C10374" w:rsidRPr="00511005">
        <w:rPr>
          <w:rFonts w:ascii="Arial" w:eastAsia="Times New Roman" w:hAnsi="Arial" w:cs="Arial"/>
          <w:szCs w:val="28"/>
          <w:lang w:val="uk-UA" w:eastAsia="ru-RU"/>
        </w:rPr>
        <w:t>адвокатура Франції, розвиток адвокатури Франції, особливості адвокатури Франції, сучасний етап розвитку адвокатури Франції.</w:t>
      </w:r>
    </w:p>
    <w:p w14:paraId="392A7714" w14:textId="5C719C05" w:rsidR="00C10374" w:rsidRPr="00511005" w:rsidRDefault="007B2628" w:rsidP="003A292D">
      <w:pPr>
        <w:widowControl w:val="0"/>
        <w:spacing w:line="264" w:lineRule="auto"/>
        <w:ind w:firstLine="0"/>
        <w:contextualSpacing/>
        <w:jc w:val="left"/>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C10374" w:rsidRPr="00511005">
        <w:rPr>
          <w:rFonts w:ascii="Arial" w:eastAsia="Times New Roman" w:hAnsi="Arial" w:cs="Arial"/>
          <w:szCs w:val="28"/>
          <w:lang w:val="uk-UA" w:eastAsia="ru-RU"/>
        </w:rPr>
        <w:t>the French Bar, the development of the French Bar, the peculiarities of the French Bar, the modern stage of the development of the French Bar.</w:t>
      </w:r>
    </w:p>
    <w:p w14:paraId="2D26FD54" w14:textId="2EB3D22E" w:rsidR="00C10374" w:rsidRPr="00511005" w:rsidRDefault="007B2628" w:rsidP="003A292D">
      <w:pPr>
        <w:keepNext/>
        <w:spacing w:line="264" w:lineRule="auto"/>
        <w:ind w:firstLine="567"/>
        <w:rPr>
          <w:rFonts w:ascii="Arial" w:eastAsia="Calibri" w:hAnsi="Arial" w:cs="Arial"/>
          <w:b/>
          <w:szCs w:val="28"/>
          <w:lang w:val="uk-UA"/>
        </w:rPr>
      </w:pPr>
      <w:r w:rsidRPr="00511005">
        <w:rPr>
          <w:rFonts w:ascii="Arial" w:eastAsia="Calibri" w:hAnsi="Arial" w:cs="Arial"/>
          <w:b/>
          <w:bCs/>
          <w:i/>
          <w:iCs/>
          <w:szCs w:val="28"/>
          <w:lang w:val="uk-UA"/>
        </w:rPr>
        <w:t xml:space="preserve">Науковий керівник: </w:t>
      </w:r>
      <w:r w:rsidR="00C10374" w:rsidRPr="00511005">
        <w:rPr>
          <w:rFonts w:ascii="Arial" w:eastAsia="Calibri" w:hAnsi="Arial" w:cs="Arial"/>
          <w:i/>
          <w:szCs w:val="28"/>
          <w:lang w:val="uk-UA"/>
        </w:rPr>
        <w:t>к.ю.н., доцент Кісліцина І.О.</w:t>
      </w:r>
    </w:p>
    <w:p w14:paraId="4BD148CC" w14:textId="77777777" w:rsidR="00C10374" w:rsidRPr="00511005" w:rsidRDefault="00C10374" w:rsidP="003A292D">
      <w:pPr>
        <w:spacing w:line="264" w:lineRule="auto"/>
        <w:ind w:firstLine="708"/>
        <w:rPr>
          <w:rFonts w:ascii="Arial" w:eastAsia="Times New Roman" w:hAnsi="Arial" w:cs="Arial"/>
          <w:i/>
          <w:szCs w:val="28"/>
          <w:lang w:val="uk-UA" w:eastAsia="ru-RU"/>
        </w:rPr>
      </w:pPr>
    </w:p>
    <w:p w14:paraId="36E28650" w14:textId="77777777" w:rsidR="00C10374" w:rsidRPr="00511005" w:rsidRDefault="00C10374" w:rsidP="003A292D">
      <w:pPr>
        <w:snapToGrid w:val="0"/>
        <w:spacing w:line="264" w:lineRule="auto"/>
        <w:ind w:left="-567" w:right="-432" w:firstLine="0"/>
        <w:jc w:val="center"/>
        <w:rPr>
          <w:rFonts w:ascii="Arial" w:eastAsia="Times New Roman" w:hAnsi="Arial" w:cs="Arial"/>
          <w:b/>
          <w:i/>
          <w:szCs w:val="28"/>
          <w:lang w:val="uk-UA"/>
        </w:rPr>
      </w:pPr>
      <w:r w:rsidRPr="00511005">
        <w:rPr>
          <w:rFonts w:ascii="Arial" w:eastAsia="Times New Roman" w:hAnsi="Arial" w:cs="Arial"/>
          <w:b/>
          <w:i/>
          <w:szCs w:val="28"/>
          <w:lang w:val="uk-UA"/>
        </w:rPr>
        <w:t>Поправка Денис Сергійович</w:t>
      </w:r>
    </w:p>
    <w:p w14:paraId="2B477A7D" w14:textId="206B8700" w:rsidR="00C10374" w:rsidRPr="00511005" w:rsidRDefault="00BE3972" w:rsidP="003A292D">
      <w:pPr>
        <w:snapToGrid w:val="0"/>
        <w:spacing w:line="264" w:lineRule="auto"/>
        <w:ind w:left="-567" w:right="-432" w:firstLine="0"/>
        <w:jc w:val="center"/>
        <w:rPr>
          <w:rFonts w:ascii="Arial" w:eastAsia="Times New Roman" w:hAnsi="Arial" w:cs="Arial"/>
          <w:iCs/>
          <w:szCs w:val="28"/>
          <w:lang w:val="uk-UA"/>
        </w:rPr>
      </w:pPr>
      <w:r w:rsidRPr="00511005">
        <w:rPr>
          <w:rFonts w:ascii="Arial" w:eastAsia="Times New Roman" w:hAnsi="Arial" w:cs="Arial"/>
          <w:iCs/>
          <w:szCs w:val="28"/>
          <w:lang w:val="uk-UA"/>
        </w:rPr>
        <w:t xml:space="preserve">студент 1-го курсу </w:t>
      </w:r>
      <w:r w:rsidR="001B7B25" w:rsidRPr="00511005">
        <w:rPr>
          <w:rFonts w:ascii="Arial" w:eastAsia="Times New Roman" w:hAnsi="Arial" w:cs="Arial"/>
          <w:iCs/>
          <w:szCs w:val="28"/>
          <w:lang w:val="uk-UA"/>
        </w:rPr>
        <w:t>факультету судового та міжнародного права</w:t>
      </w:r>
    </w:p>
    <w:p w14:paraId="7032D590" w14:textId="17984D97" w:rsidR="00C10374" w:rsidRPr="00511005" w:rsidRDefault="007B2628" w:rsidP="003A292D">
      <w:pPr>
        <w:snapToGrid w:val="0"/>
        <w:spacing w:line="264" w:lineRule="auto"/>
        <w:ind w:left="-567" w:right="-432" w:firstLine="0"/>
        <w:jc w:val="center"/>
        <w:rPr>
          <w:rFonts w:ascii="Arial" w:eastAsia="Times New Roman" w:hAnsi="Arial" w:cs="Arial"/>
          <w:b/>
          <w:szCs w:val="28"/>
          <w:lang w:val="uk-UA"/>
        </w:rPr>
      </w:pPr>
      <w:r w:rsidRPr="00511005">
        <w:rPr>
          <w:rFonts w:ascii="Arial" w:eastAsia="Times New Roman" w:hAnsi="Arial" w:cs="Arial"/>
          <w:iCs/>
          <w:szCs w:val="28"/>
          <w:lang w:val="uk-UA"/>
        </w:rPr>
        <w:t>Національного університету «Одеська юридична академія»</w:t>
      </w:r>
    </w:p>
    <w:p w14:paraId="6937F271" w14:textId="77777777" w:rsidR="00C10374" w:rsidRPr="00511005" w:rsidRDefault="00C10374" w:rsidP="003A292D">
      <w:pPr>
        <w:snapToGrid w:val="0"/>
        <w:spacing w:line="264" w:lineRule="auto"/>
        <w:ind w:left="-567" w:right="-432" w:firstLine="0"/>
        <w:jc w:val="center"/>
        <w:rPr>
          <w:rFonts w:ascii="Arial" w:eastAsia="Times New Roman" w:hAnsi="Arial" w:cs="Arial"/>
          <w:b/>
          <w:szCs w:val="28"/>
          <w:lang w:val="uk-UA"/>
        </w:rPr>
      </w:pPr>
    </w:p>
    <w:p w14:paraId="225CC014" w14:textId="77777777" w:rsidR="00C10374" w:rsidRPr="00511005" w:rsidRDefault="00C10374" w:rsidP="003A292D">
      <w:pPr>
        <w:snapToGrid w:val="0"/>
        <w:spacing w:line="264" w:lineRule="auto"/>
        <w:ind w:left="-567" w:right="-432" w:firstLine="0"/>
        <w:jc w:val="center"/>
        <w:rPr>
          <w:rFonts w:ascii="Arial" w:eastAsia="Times New Roman" w:hAnsi="Arial" w:cs="Arial"/>
          <w:b/>
          <w:szCs w:val="28"/>
          <w:lang w:val="uk-UA"/>
        </w:rPr>
      </w:pPr>
      <w:r w:rsidRPr="00511005">
        <w:rPr>
          <w:rFonts w:ascii="Arial" w:eastAsia="Times New Roman" w:hAnsi="Arial" w:cs="Arial"/>
          <w:b/>
          <w:szCs w:val="28"/>
          <w:lang w:val="uk-UA"/>
        </w:rPr>
        <w:t>ПЕРСПЕКТИВИ РОЗВИТКУ АДВОКАТУРИ В УКРАЇНІ</w:t>
      </w:r>
    </w:p>
    <w:p w14:paraId="5B418FBD" w14:textId="77777777" w:rsidR="00C10374" w:rsidRPr="00511005" w:rsidRDefault="00C10374" w:rsidP="00FF6286">
      <w:pPr>
        <w:snapToGrid w:val="0"/>
        <w:spacing w:line="264" w:lineRule="auto"/>
        <w:ind w:right="-2"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Адвокатура посідає центральне місце в правовій системі України, виступаючи не лише як її невід'ємний елемент, а й як надійний гарант реалізації фундаментального конституційного права кожного громадянина на професійну правничу допомогу. В умовах динамічного розвитку демократичної держави та активного впровадження правової реформи нагально постає питання не простого збереження, а й системного та всебічного удосконалення організації та діяльності інституту адвокатури. </w:t>
      </w:r>
    </w:p>
    <w:p w14:paraId="7D3422A5" w14:textId="77777777" w:rsidR="00C10374" w:rsidRPr="00511005" w:rsidRDefault="00C10374" w:rsidP="00FF6286">
      <w:pPr>
        <w:snapToGrid w:val="0"/>
        <w:spacing w:line="264" w:lineRule="auto"/>
        <w:ind w:right="-2" w:firstLine="720"/>
        <w:rPr>
          <w:rFonts w:ascii="Arial" w:eastAsia="Times New Roman" w:hAnsi="Arial" w:cs="Arial"/>
          <w:szCs w:val="28"/>
          <w:lang w:val="uk-UA" w:eastAsia="ru-RU"/>
        </w:rPr>
      </w:pPr>
      <w:r w:rsidRPr="00511005">
        <w:rPr>
          <w:rFonts w:ascii="Arial" w:eastAsia="Times New Roman" w:hAnsi="Arial" w:cs="Arial"/>
          <w:szCs w:val="28"/>
          <w:lang w:val="uk-UA" w:eastAsia="ru-RU"/>
        </w:rPr>
        <w:t>На сучасному етапі становлення української державності адвокатура переживає період глибоких та багатогранних трансформацій. Реформування судової системи, спрямоване на підвищення її прозорості та ефективності, вдосконалення і розширення механізмів надання безоплатної правничої допомоги для забезпечення рівного доступу до правосуддя, а також неухильне зростання ролі адвокатів у процесі забезпечення та захисту основоположних прав і свобод людини – усі ці фактори створюють нові значні можливості для якісного розширення функціонального потенціалу адвокатури.</w:t>
      </w:r>
    </w:p>
    <w:p w14:paraId="2A14F4CC" w14:textId="77777777" w:rsidR="007B2628" w:rsidRPr="00511005" w:rsidRDefault="00C10374" w:rsidP="00FF6286">
      <w:pPr>
        <w:snapToGrid w:val="0"/>
        <w:spacing w:line="264" w:lineRule="auto"/>
        <w:ind w:right="-2" w:firstLine="720"/>
        <w:rPr>
          <w:rFonts w:ascii="Arial" w:eastAsia="Times New Roman" w:hAnsi="Arial" w:cs="Arial"/>
          <w:szCs w:val="28"/>
          <w:lang w:val="uk-UA" w:eastAsia="ru-RU"/>
        </w:rPr>
      </w:pPr>
      <w:r w:rsidRPr="00511005">
        <w:rPr>
          <w:rFonts w:ascii="Arial" w:eastAsia="Times New Roman" w:hAnsi="Arial" w:cs="Arial"/>
          <w:szCs w:val="28"/>
          <w:lang w:val="uk-UA" w:eastAsia="ru-RU"/>
        </w:rPr>
        <w:t>На нашу думку, подальшого розвитку потребує система адвокатського самоврядування. Національна асоціація адвокатів України (НААУ) відіграє ключову роль у забезпеченні незалежності професії, встановленні стандартів адвокатської етики, а також у захисті прав адвокатів. Зміцнення її організаційної та фінансової спроможності є важливими кроками на шляху до інституційної незалежності адвокатури.</w:t>
      </w:r>
    </w:p>
    <w:p w14:paraId="371027C8" w14:textId="05585DD9" w:rsidR="00C10374" w:rsidRPr="00511005" w:rsidRDefault="00C10374" w:rsidP="00FF6286">
      <w:pPr>
        <w:snapToGrid w:val="0"/>
        <w:spacing w:line="264" w:lineRule="auto"/>
        <w:ind w:right="-2" w:firstLine="72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Окремої, пильної уваги потребує питання забезпечення непохитної незалежності адвокатури. Ефективне та безперешкодне здійснення адвокатської діяльності стає можливим лише за умови наявності дієвих процесуальних гарантій, відсутності будь-якого тиску чи втручання з боку правоохоронних органів та інших владних структур, а також здатності адвокатів вільно і без остраху виконувати свої високі професійні обов'язки. Незалежність адвоката є запорукою об'єктивності та неупередженості у наданні правової допомоги. Реальна незалежність адвокатури є наріжним каменем справедливого правосуддя та захисту прав людини. Це вимагає не лише законодавчих гарантій, але й практичних механізмів їх забезпечення. До таких механізмів належать: забезпечення недоторканності адвокатської діяльності, посилення процесуальних гарантій діяльності адвоката, належний захист адвокатів від тиску з боку третіх осіб. </w:t>
      </w:r>
    </w:p>
    <w:p w14:paraId="01D3019F" w14:textId="77777777" w:rsidR="00C10374" w:rsidRPr="00511005" w:rsidRDefault="00C10374" w:rsidP="00FF6286">
      <w:pPr>
        <w:snapToGrid w:val="0"/>
        <w:spacing w:line="264" w:lineRule="auto"/>
        <w:ind w:right="-2" w:firstLine="720"/>
        <w:rPr>
          <w:rFonts w:ascii="Arial" w:eastAsia="Times New Roman" w:hAnsi="Arial" w:cs="Arial"/>
          <w:szCs w:val="28"/>
          <w:lang w:val="uk-UA" w:eastAsia="ru-RU"/>
        </w:rPr>
      </w:pPr>
      <w:r w:rsidRPr="00511005">
        <w:rPr>
          <w:rFonts w:ascii="Arial" w:eastAsia="Times New Roman" w:hAnsi="Arial" w:cs="Arial"/>
          <w:szCs w:val="28"/>
          <w:lang w:val="uk-UA" w:eastAsia="ru-RU"/>
        </w:rPr>
        <w:t>У довгостроковій перспективі особливої ваги набуває стрімка цифровізація адвокатської діяльності. Активне впровадження системи електронного судочинства, широке використання сучасних цифрових сервісів для оперативного та зручного обміну інформацією між адвокатами, судовими інстанціями та клієнтами, а також значне підвищення рівня кібербезпеки для захисту конфіденційних даних є ключовими елементами комплексної модернізації інституту адвокатури, що відповідають вимогам часу. Цифровізація відкриває безмежні можливості для оптимізації роботи адвокатів, підвищення ефективності правосуддя та поліпшення доступу громадян до правової допомоги. Для повноцінної реалізації потенціалу цифрових технологій необхідно забезпечити надійну інфраструктуру, кібербезпеку, підвищення цифрової грамотності адвокатів та уніфікацію стандартів. Використання штучного інтелекту (ШІ) також може стати перспективним напрямом розвитку адвокатської діяльності.</w:t>
      </w:r>
    </w:p>
    <w:p w14:paraId="16F1DBB3" w14:textId="77777777" w:rsidR="00C10374" w:rsidRPr="00511005" w:rsidRDefault="00C10374" w:rsidP="00FF6286">
      <w:pPr>
        <w:snapToGrid w:val="0"/>
        <w:spacing w:line="264" w:lineRule="auto"/>
        <w:ind w:right="-2"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Ще одним надзвичайно важливим напрямом розвитку є неухильне дотримання високих стандартів професійної етики та постійне підвищення професійної рівня адвокатів. Високий професійний рівень та бездоганна етична поведінка кожного адвоката є запорукою якості правової допомоги та довіри суспільства до інституту адвокатури. </w:t>
      </w:r>
    </w:p>
    <w:p w14:paraId="57861894" w14:textId="77777777" w:rsidR="00C10374" w:rsidRPr="00511005" w:rsidRDefault="00C10374" w:rsidP="00FF6286">
      <w:pPr>
        <w:snapToGrid w:val="0"/>
        <w:spacing w:line="264" w:lineRule="auto"/>
        <w:ind w:right="-2"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Таким чином, майбутні перспективи розвитку адвокатури в Україні нерозривно пов’язані з її подальшим інституційним зміцненням, глибокою цифровою трансформацією усіх аспектів діяльності, забезпеченням належного рівня незалежності та постійним зростанням професійного рівня кожного адвоката. Саме такий комплексний підхід дозволить адвокатурі ефективно реагувати на нові виклики правового середовища та залишатися надійним і дієвим гарантом захисту прав і свобод людини в розбудові сильної та правової Української держави. </w:t>
      </w:r>
    </w:p>
    <w:p w14:paraId="4E69B93C" w14:textId="77777777" w:rsidR="00C10374" w:rsidRPr="00511005" w:rsidRDefault="00C10374" w:rsidP="00FF6286">
      <w:pPr>
        <w:snapToGrid w:val="0"/>
        <w:spacing w:line="264" w:lineRule="auto"/>
        <w:ind w:right="-2" w:firstLine="720"/>
        <w:jc w:val="center"/>
        <w:rPr>
          <w:rFonts w:ascii="Arial" w:eastAsia="Calibri" w:hAnsi="Arial" w:cs="Arial"/>
          <w:b/>
          <w:i/>
          <w:szCs w:val="28"/>
          <w:lang w:val="uk-UA"/>
        </w:rPr>
      </w:pPr>
    </w:p>
    <w:p w14:paraId="48F419F9" w14:textId="5907CC38" w:rsidR="00C10374" w:rsidRPr="00511005" w:rsidRDefault="007B2628" w:rsidP="00FF6286">
      <w:pPr>
        <w:snapToGrid w:val="0"/>
        <w:spacing w:line="264" w:lineRule="auto"/>
        <w:ind w:right="-2" w:firstLine="720"/>
        <w:rPr>
          <w:rFonts w:ascii="Arial" w:eastAsia="Calibri" w:hAnsi="Arial" w:cs="Arial"/>
          <w:szCs w:val="28"/>
          <w:lang w:val="uk-UA"/>
        </w:rPr>
      </w:pPr>
      <w:r w:rsidRPr="00511005">
        <w:rPr>
          <w:rFonts w:ascii="Arial" w:eastAsia="Calibri" w:hAnsi="Arial" w:cs="Arial"/>
          <w:b/>
          <w:bCs/>
          <w:i/>
          <w:szCs w:val="28"/>
          <w:lang w:val="uk-UA"/>
        </w:rPr>
        <w:lastRenderedPageBreak/>
        <w:t xml:space="preserve">Ключові слова: </w:t>
      </w:r>
      <w:r w:rsidR="00C10374" w:rsidRPr="00511005">
        <w:rPr>
          <w:rFonts w:ascii="Arial" w:eastAsia="Calibri" w:hAnsi="Arial" w:cs="Arial"/>
          <w:szCs w:val="28"/>
          <w:lang w:val="uk-UA"/>
        </w:rPr>
        <w:t>адвокат, адвокатура, , правнича допомога, незалежність адвоката</w:t>
      </w:r>
    </w:p>
    <w:p w14:paraId="579543DE" w14:textId="4C7BDDBE" w:rsidR="00C10374" w:rsidRPr="00511005" w:rsidRDefault="007B2628" w:rsidP="00FF6286">
      <w:pPr>
        <w:snapToGrid w:val="0"/>
        <w:spacing w:line="264" w:lineRule="auto"/>
        <w:ind w:right="-2" w:firstLine="720"/>
        <w:rPr>
          <w:rFonts w:ascii="Arial" w:eastAsia="Calibri" w:hAnsi="Arial" w:cs="Arial"/>
          <w:szCs w:val="28"/>
          <w:lang w:val="uk-UA"/>
        </w:rPr>
      </w:pPr>
      <w:r w:rsidRPr="00511005">
        <w:rPr>
          <w:rFonts w:ascii="Arial" w:eastAsia="Calibri" w:hAnsi="Arial" w:cs="Arial"/>
          <w:b/>
          <w:bCs/>
          <w:i/>
          <w:szCs w:val="28"/>
          <w:lang w:val="uk-UA"/>
        </w:rPr>
        <w:t xml:space="preserve">Key words: </w:t>
      </w:r>
      <w:r w:rsidR="00C10374" w:rsidRPr="00511005">
        <w:rPr>
          <w:rFonts w:ascii="Arial" w:eastAsia="Calibri" w:hAnsi="Arial" w:cs="Arial"/>
          <w:szCs w:val="28"/>
          <w:lang w:val="uk-UA"/>
        </w:rPr>
        <w:t>advocat, advocacy,legal aid,independence of advocate</w:t>
      </w:r>
    </w:p>
    <w:p w14:paraId="14597065" w14:textId="77777777" w:rsidR="00C10374" w:rsidRPr="00511005" w:rsidRDefault="00C10374" w:rsidP="00FF6286">
      <w:pPr>
        <w:snapToGrid w:val="0"/>
        <w:spacing w:line="264" w:lineRule="auto"/>
        <w:ind w:right="-2" w:firstLine="720"/>
        <w:rPr>
          <w:rFonts w:ascii="Arial" w:eastAsia="Times New Roman" w:hAnsi="Arial" w:cs="Arial"/>
          <w:i/>
          <w:szCs w:val="28"/>
          <w:lang w:val="uk-UA"/>
        </w:rPr>
      </w:pPr>
    </w:p>
    <w:p w14:paraId="463996E0" w14:textId="768BAB21" w:rsidR="00C10374" w:rsidRPr="00511005" w:rsidRDefault="007B2628" w:rsidP="00FF6286">
      <w:pPr>
        <w:snapToGrid w:val="0"/>
        <w:spacing w:line="264" w:lineRule="auto"/>
        <w:ind w:right="-2" w:firstLine="720"/>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C10374" w:rsidRPr="00511005">
        <w:rPr>
          <w:rFonts w:ascii="Arial" w:eastAsia="Times New Roman" w:hAnsi="Arial" w:cs="Arial"/>
          <w:i/>
          <w:szCs w:val="28"/>
          <w:lang w:val="uk-UA"/>
        </w:rPr>
        <w:t>к.ю.н., доцент</w:t>
      </w:r>
      <w:r w:rsidRPr="00511005">
        <w:rPr>
          <w:rFonts w:ascii="Arial" w:eastAsia="Times New Roman" w:hAnsi="Arial" w:cs="Arial"/>
          <w:i/>
          <w:szCs w:val="28"/>
          <w:lang w:val="uk-UA"/>
        </w:rPr>
        <w:t xml:space="preserve"> </w:t>
      </w:r>
      <w:r w:rsidR="00C10374" w:rsidRPr="00511005">
        <w:rPr>
          <w:rFonts w:ascii="Arial" w:eastAsia="Times New Roman" w:hAnsi="Arial" w:cs="Arial"/>
          <w:i/>
          <w:szCs w:val="28"/>
          <w:lang w:val="uk-UA"/>
        </w:rPr>
        <w:t>Кравченко М.О.</w:t>
      </w:r>
    </w:p>
    <w:p w14:paraId="2A5DF474" w14:textId="77777777" w:rsidR="00C10374" w:rsidRPr="00511005" w:rsidRDefault="00C10374" w:rsidP="00FF6286">
      <w:pPr>
        <w:snapToGrid w:val="0"/>
        <w:spacing w:line="264" w:lineRule="auto"/>
        <w:ind w:right="-2" w:firstLine="720"/>
        <w:rPr>
          <w:rFonts w:ascii="Arial" w:eastAsia="Times New Roman" w:hAnsi="Arial" w:cs="Arial"/>
          <w:i/>
          <w:szCs w:val="28"/>
          <w:lang w:val="uk-UA"/>
        </w:rPr>
      </w:pPr>
    </w:p>
    <w:p w14:paraId="7177E140" w14:textId="77777777" w:rsidR="00C10374" w:rsidRPr="00511005" w:rsidRDefault="00C10374" w:rsidP="00FF6286">
      <w:pPr>
        <w:snapToGrid w:val="0"/>
        <w:spacing w:line="264" w:lineRule="auto"/>
        <w:ind w:right="-432" w:firstLine="720"/>
        <w:rPr>
          <w:rFonts w:ascii="Arial" w:eastAsia="Times New Roman" w:hAnsi="Arial" w:cs="Arial"/>
          <w:i/>
          <w:szCs w:val="28"/>
          <w:lang w:val="uk-UA"/>
        </w:rPr>
      </w:pPr>
    </w:p>
    <w:p w14:paraId="7A3E5BFE" w14:textId="77777777" w:rsidR="00C10374" w:rsidRPr="00511005" w:rsidRDefault="00C10374" w:rsidP="003A292D">
      <w:pPr>
        <w:tabs>
          <w:tab w:val="left" w:pos="7088"/>
        </w:tabs>
        <w:spacing w:line="264" w:lineRule="auto"/>
        <w:ind w:firstLine="0"/>
        <w:jc w:val="center"/>
        <w:rPr>
          <w:rFonts w:ascii="Arial" w:eastAsia="Calibri" w:hAnsi="Arial" w:cs="Arial"/>
          <w:b/>
          <w:i/>
          <w:iCs/>
          <w:szCs w:val="28"/>
          <w:lang w:val="uk-UA" w:bidi="uk-UA"/>
        </w:rPr>
      </w:pPr>
      <w:r w:rsidRPr="00511005">
        <w:rPr>
          <w:rFonts w:ascii="Arial" w:eastAsia="Calibri" w:hAnsi="Arial" w:cs="Arial"/>
          <w:b/>
          <w:i/>
          <w:iCs/>
          <w:szCs w:val="28"/>
          <w:lang w:val="uk-UA" w:bidi="uk-UA"/>
        </w:rPr>
        <w:t>Руда Адріана Андріївна</w:t>
      </w:r>
    </w:p>
    <w:p w14:paraId="455C19C8" w14:textId="647C9C6D" w:rsidR="00C10374" w:rsidRPr="00511005" w:rsidRDefault="00BE3972" w:rsidP="003A292D">
      <w:pPr>
        <w:tabs>
          <w:tab w:val="left" w:pos="7088"/>
        </w:tabs>
        <w:spacing w:line="264" w:lineRule="auto"/>
        <w:ind w:firstLine="0"/>
        <w:jc w:val="center"/>
        <w:rPr>
          <w:rFonts w:ascii="Arial" w:eastAsia="Calibri" w:hAnsi="Arial" w:cs="Arial"/>
          <w:szCs w:val="28"/>
          <w:lang w:val="uk-UA" w:bidi="uk-UA"/>
        </w:rPr>
      </w:pPr>
      <w:r w:rsidRPr="00511005">
        <w:rPr>
          <w:rFonts w:ascii="Arial" w:eastAsia="Calibri" w:hAnsi="Arial" w:cs="Arial"/>
          <w:szCs w:val="28"/>
          <w:lang w:val="uk-UA" w:bidi="uk-UA"/>
        </w:rPr>
        <w:t xml:space="preserve">студентка 1-го курсу </w:t>
      </w:r>
      <w:r w:rsidR="001B7B25" w:rsidRPr="00511005">
        <w:rPr>
          <w:rFonts w:ascii="Arial" w:eastAsia="Calibri" w:hAnsi="Arial" w:cs="Arial"/>
          <w:szCs w:val="28"/>
          <w:lang w:val="uk-UA" w:bidi="uk-UA"/>
        </w:rPr>
        <w:t>факультету судового та міжнародного права</w:t>
      </w:r>
    </w:p>
    <w:p w14:paraId="7955E6E5" w14:textId="21589618" w:rsidR="00C10374" w:rsidRPr="00511005" w:rsidRDefault="007B2628" w:rsidP="003A292D">
      <w:pPr>
        <w:tabs>
          <w:tab w:val="left" w:pos="7088"/>
        </w:tabs>
        <w:spacing w:line="264" w:lineRule="auto"/>
        <w:ind w:firstLine="0"/>
        <w:jc w:val="center"/>
        <w:rPr>
          <w:rFonts w:ascii="Arial" w:eastAsia="Calibri" w:hAnsi="Arial" w:cs="Arial"/>
          <w:szCs w:val="28"/>
          <w:lang w:val="uk-UA" w:bidi="uk-UA"/>
        </w:rPr>
      </w:pPr>
      <w:r w:rsidRPr="00511005">
        <w:rPr>
          <w:rFonts w:ascii="Arial" w:eastAsia="Calibri" w:hAnsi="Arial" w:cs="Arial"/>
          <w:szCs w:val="28"/>
          <w:lang w:val="uk-UA" w:bidi="uk-UA"/>
        </w:rPr>
        <w:t>Національного університету «Одеська юридична академія»</w:t>
      </w:r>
    </w:p>
    <w:p w14:paraId="6F87C5D7" w14:textId="77777777" w:rsidR="00C10374" w:rsidRPr="00511005" w:rsidRDefault="00C10374" w:rsidP="003A292D">
      <w:pPr>
        <w:tabs>
          <w:tab w:val="left" w:pos="7088"/>
        </w:tabs>
        <w:spacing w:line="264" w:lineRule="auto"/>
        <w:ind w:firstLine="0"/>
        <w:jc w:val="center"/>
        <w:rPr>
          <w:rFonts w:ascii="Arial" w:eastAsia="Calibri" w:hAnsi="Arial" w:cs="Arial"/>
          <w:szCs w:val="28"/>
          <w:lang w:val="uk-UA" w:bidi="uk-UA"/>
        </w:rPr>
      </w:pPr>
    </w:p>
    <w:p w14:paraId="46BDC39D" w14:textId="77777777" w:rsidR="00C10374" w:rsidRPr="00511005" w:rsidRDefault="00C10374" w:rsidP="003A292D">
      <w:pPr>
        <w:tabs>
          <w:tab w:val="left" w:pos="7088"/>
        </w:tabs>
        <w:spacing w:line="264" w:lineRule="auto"/>
        <w:ind w:firstLine="0"/>
        <w:jc w:val="center"/>
        <w:rPr>
          <w:rFonts w:ascii="Arial" w:eastAsia="Calibri" w:hAnsi="Arial" w:cs="Arial"/>
          <w:b/>
          <w:szCs w:val="28"/>
          <w:lang w:bidi="uk-UA"/>
        </w:rPr>
      </w:pPr>
      <w:r w:rsidRPr="00511005">
        <w:rPr>
          <w:rFonts w:ascii="Arial" w:eastAsia="Calibri" w:hAnsi="Arial" w:cs="Arial"/>
          <w:b/>
          <w:szCs w:val="28"/>
          <w:lang w:bidi="uk-UA"/>
        </w:rPr>
        <w:t>РОЛЬ СУДОВОЇ ВЛАДИ У СИСТЕМІ ПОДІЛУ ВЛАДИ В УКРАЇНІ</w:t>
      </w:r>
    </w:p>
    <w:p w14:paraId="79063746"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Поділ влади є одним із базових принципів організації демократичної держави, який забезпечує розмежування функцій між законодавчою, виконавчою та судовою гілками влади. В нашій країні цей принцип закріплений у Конституції України. В рамках системи поділу державної влади на гілки судова влада має особливе значення, оскільки гарантує дотримання верховенства права та забезпечує захист прав і свобод людини шляхом реалізації своєї ключової функції – здійснення правосуддя. </w:t>
      </w:r>
    </w:p>
    <w:p w14:paraId="7E835F14"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В Україні судова влада реалізується судами, що діють у системі судоустрою. Відповідно до положень Конституції та профільного законодавства, судова влада здійснюється на засадах верховенства права, законності, рівності всіх перед законом та судом, забезпечення права на справедливий суд. Суд має діяти незалежно від політичних впливів та тиску з боку інших гілок влади, проте на практиці українська судова система протягом тривалого часу зазнавала істотних викликів у цій сфері. Політична залежність суддів, корупційні ризики, тиск з боку органів виконавчої влади залишалися проблемами, що підривали довіру громадськості до судочинства та унеможливлювали повноцінне виконання судовою гілкою її призначення в системі поділу влади [1].</w:t>
      </w:r>
    </w:p>
    <w:p w14:paraId="10E37CC7"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Значний виклик для ефективної реалізації ролі судової влади у системі поділу влади становить проблема довіри громадськості до суду. В умовах низької довіри навіть найкращі зусилля з реформування можуть бути знецінені в очах суспільства. Формування довіри потребує не тільки глибоких інституційних змін, а й створення сталої судової практики, що забезпечує передбачуваність рішень, їх відповідність правовим стандартам та справедливість. Лише тоді суд буде сприйматися як справді незалежний арбітр, що стоїть на сторожі конституційного порядку і прав людини</w:t>
      </w:r>
      <w:r w:rsidRPr="00511005">
        <w:rPr>
          <w:rFonts w:ascii="Arial" w:eastAsia="Calibri" w:hAnsi="Arial" w:cs="Arial"/>
          <w:szCs w:val="28"/>
          <w:lang w:bidi="uk-UA"/>
        </w:rPr>
        <w:t xml:space="preserve"> [2]</w:t>
      </w:r>
      <w:r w:rsidRPr="00511005">
        <w:rPr>
          <w:rFonts w:ascii="Arial" w:eastAsia="Calibri" w:hAnsi="Arial" w:cs="Arial"/>
          <w:szCs w:val="28"/>
          <w:lang w:val="uk-UA" w:bidi="uk-UA"/>
        </w:rPr>
        <w:t>.</w:t>
      </w:r>
    </w:p>
    <w:p w14:paraId="0236912C"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Не менш важливим аспектом у забезпеченні реальної ролі судової влади є її взаємодія з іншими гілками влади. Законодавча влада повинна поважати рішення судів, не втручатися у процес здійснення правосуддя та створювати законодавчу базу, яка б зміцнювала незалежність суду. </w:t>
      </w:r>
      <w:r w:rsidRPr="00511005">
        <w:rPr>
          <w:rFonts w:ascii="Arial" w:eastAsia="Calibri" w:hAnsi="Arial" w:cs="Arial"/>
          <w:szCs w:val="28"/>
          <w:lang w:val="uk-UA" w:bidi="uk-UA"/>
        </w:rPr>
        <w:lastRenderedPageBreak/>
        <w:t>Виконавча влада зобов'язана забезпечувати виконання судових рішень, що є необхідною умовою підтримання авторитету судової влади та довіри до неї. Історія становлення української державності переконливо показала, що нехтування цими вимогами призводить до серйозних криз довіри та підриву основ правового порядку.</w:t>
      </w:r>
    </w:p>
    <w:p w14:paraId="026C0547"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Аналіз судової практики свідчить, що у випадках, коли судова влада демонструє незалежність і неупередженість, вона виступає ефективним гарантом реалізації конституційного принципу поділу влади. Наприклад, рішення українських судів щодо оскарження актів органів виконавчої влади, які порушують права громадян, стали важливим чинником у забезпеченні правового захисту населення від свавілля влади. Крім того, у сфері конституційного контролю Конституційний Суд України неодноразово визнавав неконституційними закони, що суперечили Основному закону держави, що свідчить про спроможність судової влади протистояти спробам порушення конституційного балансу.</w:t>
      </w:r>
    </w:p>
    <w:p w14:paraId="0513226E"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Водночас залишаються випадки, коли суди ухилялися від прийняття принципових рішень або ухвалювали їх під очевидним впливом політичних факторів. Це знижувало рівень легітимності судових інститутів і вимагало нових підходів до гарантування їх незалежності. Ефективна імплементація міжнародних стандартів у сфері правосуддя, таких як Бангалорські принципи поведінки суддів, рекомендації Ради Європи та Венеційської комісії, є необхідною умовою посилення ролі судової влади в Україні. Міжнародний досвід свідчить, що незалежність судової влади неможлива без створення спеціалізованих органів для захисту суддів від тиску, запровадження системи постійного професійного розвитку суддів і встановлення чітких правил етичної поведінки [3].</w:t>
      </w:r>
    </w:p>
    <w:p w14:paraId="4A1C91D3" w14:textId="77777777" w:rsidR="00C10374" w:rsidRPr="00511005" w:rsidRDefault="00C10374" w:rsidP="003A292D">
      <w:pPr>
        <w:tabs>
          <w:tab w:val="left" w:pos="7088"/>
        </w:tabs>
        <w:spacing w:line="264" w:lineRule="auto"/>
        <w:rPr>
          <w:rFonts w:ascii="Arial" w:eastAsia="Calibri" w:hAnsi="Arial" w:cs="Arial"/>
          <w:szCs w:val="28"/>
          <w:lang w:val="uk-UA" w:bidi="uk-UA"/>
        </w:rPr>
      </w:pPr>
      <w:r w:rsidRPr="00511005">
        <w:rPr>
          <w:rFonts w:ascii="Arial" w:eastAsia="Calibri" w:hAnsi="Arial" w:cs="Arial"/>
          <w:szCs w:val="28"/>
          <w:lang w:val="uk-UA" w:bidi="uk-UA"/>
        </w:rPr>
        <w:t xml:space="preserve">Підсумовуючи, можна зазначити, що роль судової влади в системі поділу влади в Україні є визначальною для забезпечення стабільності конституційного ладу, захисту прав людини і утвердження принципу верховенства права. Незалежний, неупереджений і компетентний суд є запорукою того, що влада в Україні буде здійснюватися в межах, встановлених Конституцією та законами. </w:t>
      </w:r>
    </w:p>
    <w:p w14:paraId="451322E2" w14:textId="77777777" w:rsidR="00C10374" w:rsidRPr="00511005" w:rsidRDefault="00C10374" w:rsidP="003A292D">
      <w:pPr>
        <w:tabs>
          <w:tab w:val="left" w:pos="7088"/>
        </w:tabs>
        <w:spacing w:line="264" w:lineRule="auto"/>
        <w:rPr>
          <w:rFonts w:ascii="Arial" w:eastAsia="Calibri" w:hAnsi="Arial" w:cs="Arial"/>
          <w:szCs w:val="28"/>
          <w:lang w:val="uk-UA" w:bidi="uk-UA"/>
        </w:rPr>
      </w:pPr>
    </w:p>
    <w:p w14:paraId="0A2E12EB" w14:textId="77777777" w:rsidR="00C10374" w:rsidRPr="00511005" w:rsidRDefault="00C10374" w:rsidP="003A292D">
      <w:pPr>
        <w:tabs>
          <w:tab w:val="left" w:pos="7088"/>
        </w:tabs>
        <w:spacing w:line="264" w:lineRule="auto"/>
        <w:jc w:val="center"/>
        <w:rPr>
          <w:rFonts w:ascii="Arial" w:eastAsia="Calibri" w:hAnsi="Arial" w:cs="Arial"/>
          <w:b/>
          <w:szCs w:val="28"/>
          <w:lang w:val="uk-UA" w:bidi="uk-UA"/>
        </w:rPr>
      </w:pPr>
      <w:r w:rsidRPr="00511005">
        <w:rPr>
          <w:rFonts w:ascii="Arial" w:eastAsia="Calibri" w:hAnsi="Arial" w:cs="Arial"/>
          <w:b/>
          <w:szCs w:val="28"/>
          <w:lang w:val="en-US" w:bidi="uk-UA"/>
        </w:rPr>
        <w:t>C</w:t>
      </w:r>
      <w:r w:rsidRPr="00511005">
        <w:rPr>
          <w:rFonts w:ascii="Arial" w:eastAsia="Calibri" w:hAnsi="Arial" w:cs="Arial"/>
          <w:b/>
          <w:szCs w:val="28"/>
          <w:lang w:val="uk-UA" w:bidi="uk-UA"/>
        </w:rPr>
        <w:t>писок використаних джерел</w:t>
      </w:r>
    </w:p>
    <w:p w14:paraId="24987A8B" w14:textId="77777777" w:rsidR="00C10374" w:rsidRPr="00511005" w:rsidRDefault="00C10374" w:rsidP="003F6A5D">
      <w:pPr>
        <w:widowControl w:val="0"/>
        <w:numPr>
          <w:ilvl w:val="0"/>
          <w:numId w:val="319"/>
        </w:numPr>
        <w:tabs>
          <w:tab w:val="left" w:pos="993"/>
          <w:tab w:val="left" w:pos="7088"/>
        </w:tabs>
        <w:autoSpaceDE w:val="0"/>
        <w:autoSpaceDN w:val="0"/>
        <w:adjustRightInd w:val="0"/>
        <w:spacing w:line="264" w:lineRule="auto"/>
        <w:ind w:left="0" w:firstLine="709"/>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Бєлов Д.М., Придачук О. А. Місце та роль судової влади в системі органів державної влади: реалізація принципу народовладдя. 2023. </w:t>
      </w:r>
      <w:hyperlink r:id="rId1184" w:history="1">
        <w:r w:rsidRPr="00511005">
          <w:rPr>
            <w:rFonts w:ascii="Arial" w:eastAsia="Times New Roman" w:hAnsi="Arial" w:cs="Arial"/>
            <w:bCs/>
            <w:szCs w:val="28"/>
            <w:lang w:val="en-US" w:eastAsia="ru-RU"/>
          </w:rPr>
          <w:t>URL</w:t>
        </w:r>
        <w:r w:rsidRPr="00511005">
          <w:rPr>
            <w:rFonts w:ascii="Arial" w:eastAsia="Times New Roman" w:hAnsi="Arial" w:cs="Arial"/>
            <w:bCs/>
            <w:szCs w:val="28"/>
            <w:lang w:val="uk-UA" w:eastAsia="ru-RU"/>
          </w:rPr>
          <w:t>:https://dspace.uzhnu.edu.ua/jspui/handle/lib/62383</w:t>
        </w:r>
      </w:hyperlink>
      <w:r w:rsidRPr="00511005">
        <w:rPr>
          <w:rFonts w:ascii="Arial" w:eastAsia="Times New Roman" w:hAnsi="Arial" w:cs="Arial"/>
          <w:bCs/>
          <w:szCs w:val="28"/>
          <w:lang w:val="uk-UA" w:eastAsia="ru-RU"/>
        </w:rPr>
        <w:t xml:space="preserve"> (дата звернення: 28.04.2025 р.)</w:t>
      </w:r>
    </w:p>
    <w:p w14:paraId="08A1F0AE" w14:textId="0F39C842" w:rsidR="00C10374" w:rsidRPr="00511005" w:rsidRDefault="00C10374" w:rsidP="003F6A5D">
      <w:pPr>
        <w:widowControl w:val="0"/>
        <w:numPr>
          <w:ilvl w:val="0"/>
          <w:numId w:val="319"/>
        </w:numPr>
        <w:tabs>
          <w:tab w:val="left" w:pos="993"/>
          <w:tab w:val="left" w:pos="7088"/>
        </w:tabs>
        <w:autoSpaceDE w:val="0"/>
        <w:autoSpaceDN w:val="0"/>
        <w:adjustRightInd w:val="0"/>
        <w:spacing w:line="264" w:lineRule="auto"/>
        <w:ind w:left="0" w:firstLine="709"/>
        <w:contextualSpacing/>
        <w:rPr>
          <w:rFonts w:ascii="Arial" w:eastAsia="Times New Roman" w:hAnsi="Arial" w:cs="Arial"/>
          <w:bCs/>
          <w:szCs w:val="28"/>
          <w:lang w:val="en-US" w:eastAsia="ru-RU"/>
        </w:rPr>
      </w:pPr>
      <w:r w:rsidRPr="00511005">
        <w:rPr>
          <w:rFonts w:ascii="Arial" w:eastAsia="Times New Roman" w:hAnsi="Arial" w:cs="Arial"/>
          <w:bCs/>
          <w:szCs w:val="28"/>
          <w:lang w:val="uk-UA" w:eastAsia="ru-RU"/>
        </w:rPr>
        <w:t>Северінова О</w:t>
      </w:r>
      <w:r w:rsidRPr="00511005">
        <w:rPr>
          <w:rFonts w:ascii="Arial" w:eastAsia="Times New Roman" w:hAnsi="Arial" w:cs="Arial"/>
          <w:bCs/>
          <w:szCs w:val="28"/>
          <w:lang w:val="en-US" w:eastAsia="ru-RU"/>
        </w:rPr>
        <w:t xml:space="preserve">. </w:t>
      </w:r>
      <w:r w:rsidRPr="00511005">
        <w:rPr>
          <w:rFonts w:ascii="Arial" w:eastAsia="Times New Roman" w:hAnsi="Arial" w:cs="Arial"/>
          <w:bCs/>
          <w:szCs w:val="28"/>
          <w:lang w:val="uk-UA" w:eastAsia="ru-RU"/>
        </w:rPr>
        <w:t>Б</w:t>
      </w:r>
      <w:r w:rsidRPr="00511005">
        <w:rPr>
          <w:rFonts w:ascii="Arial" w:eastAsia="Times New Roman" w:hAnsi="Arial" w:cs="Arial"/>
          <w:bCs/>
          <w:szCs w:val="28"/>
          <w:lang w:val="en-US" w:eastAsia="ru-RU"/>
        </w:rPr>
        <w:t xml:space="preserve">. </w:t>
      </w:r>
      <w:r w:rsidRPr="00511005">
        <w:rPr>
          <w:rFonts w:ascii="Arial" w:eastAsia="Times New Roman" w:hAnsi="Arial" w:cs="Arial"/>
          <w:bCs/>
          <w:szCs w:val="28"/>
          <w:lang w:val="uk-UA" w:eastAsia="ru-RU"/>
        </w:rPr>
        <w:t>Роль</w:t>
      </w:r>
      <w:r w:rsidRPr="00511005">
        <w:rPr>
          <w:rFonts w:ascii="Arial" w:eastAsia="Times New Roman" w:hAnsi="Arial" w:cs="Arial"/>
          <w:bCs/>
          <w:szCs w:val="28"/>
          <w:lang w:val="en-US" w:eastAsia="ru-RU"/>
        </w:rPr>
        <w:t xml:space="preserve"> </w:t>
      </w:r>
      <w:r w:rsidRPr="00511005">
        <w:rPr>
          <w:rFonts w:ascii="Arial" w:eastAsia="Times New Roman" w:hAnsi="Arial" w:cs="Arial"/>
          <w:bCs/>
          <w:szCs w:val="28"/>
          <w:lang w:val="uk-UA" w:eastAsia="ru-RU"/>
        </w:rPr>
        <w:t>судової</w:t>
      </w:r>
      <w:r w:rsidRPr="00511005">
        <w:rPr>
          <w:rFonts w:ascii="Arial" w:eastAsia="Times New Roman" w:hAnsi="Arial" w:cs="Arial"/>
          <w:bCs/>
          <w:szCs w:val="28"/>
          <w:lang w:val="en-US" w:eastAsia="ru-RU"/>
        </w:rPr>
        <w:t xml:space="preserve"> </w:t>
      </w:r>
      <w:r w:rsidRPr="00511005">
        <w:rPr>
          <w:rFonts w:ascii="Arial" w:eastAsia="Times New Roman" w:hAnsi="Arial" w:cs="Arial"/>
          <w:bCs/>
          <w:szCs w:val="28"/>
          <w:lang w:val="uk-UA" w:eastAsia="ru-RU"/>
        </w:rPr>
        <w:t>влади</w:t>
      </w:r>
      <w:r w:rsidRPr="00511005">
        <w:rPr>
          <w:rFonts w:ascii="Arial" w:eastAsia="Times New Roman" w:hAnsi="Arial" w:cs="Arial"/>
          <w:bCs/>
          <w:szCs w:val="28"/>
          <w:lang w:val="en-US" w:eastAsia="ru-RU"/>
        </w:rPr>
        <w:t xml:space="preserve"> </w:t>
      </w:r>
      <w:r w:rsidRPr="00511005">
        <w:rPr>
          <w:rFonts w:ascii="Arial" w:eastAsia="Times New Roman" w:hAnsi="Arial" w:cs="Arial"/>
          <w:bCs/>
          <w:szCs w:val="28"/>
          <w:lang w:val="uk-UA" w:eastAsia="ru-RU"/>
        </w:rPr>
        <w:t>у</w:t>
      </w:r>
      <w:r w:rsidRPr="00511005">
        <w:rPr>
          <w:rFonts w:ascii="Arial" w:eastAsia="Times New Roman" w:hAnsi="Arial" w:cs="Arial"/>
          <w:bCs/>
          <w:szCs w:val="28"/>
          <w:lang w:val="en-US" w:eastAsia="ru-RU"/>
        </w:rPr>
        <w:t xml:space="preserve"> </w:t>
      </w:r>
      <w:r w:rsidRPr="00511005">
        <w:rPr>
          <w:rFonts w:ascii="Arial" w:eastAsia="Times New Roman" w:hAnsi="Arial" w:cs="Arial"/>
          <w:bCs/>
          <w:szCs w:val="28"/>
          <w:lang w:val="uk-UA" w:eastAsia="ru-RU"/>
        </w:rPr>
        <w:t>правовій</w:t>
      </w:r>
      <w:r w:rsidRPr="00511005">
        <w:rPr>
          <w:rFonts w:ascii="Arial" w:eastAsia="Times New Roman" w:hAnsi="Arial" w:cs="Arial"/>
          <w:bCs/>
          <w:szCs w:val="28"/>
          <w:lang w:val="en-US" w:eastAsia="ru-RU"/>
        </w:rPr>
        <w:t xml:space="preserve"> </w:t>
      </w:r>
      <w:r w:rsidRPr="00511005">
        <w:rPr>
          <w:rFonts w:ascii="Arial" w:eastAsia="Times New Roman" w:hAnsi="Arial" w:cs="Arial"/>
          <w:bCs/>
          <w:szCs w:val="28"/>
          <w:lang w:val="uk-UA" w:eastAsia="ru-RU"/>
        </w:rPr>
        <w:t>державі</w:t>
      </w:r>
      <w:r w:rsidRPr="00511005">
        <w:rPr>
          <w:rFonts w:ascii="Arial" w:eastAsia="Times New Roman" w:hAnsi="Arial" w:cs="Arial"/>
          <w:bCs/>
          <w:szCs w:val="28"/>
          <w:lang w:val="en-US" w:eastAsia="ru-RU"/>
        </w:rPr>
        <w:t xml:space="preserve"> the role of the judicial power in a rule of law state. </w:t>
      </w:r>
      <w:r w:rsidRPr="00511005">
        <w:rPr>
          <w:rFonts w:ascii="Arial" w:eastAsia="Times New Roman" w:hAnsi="Arial" w:cs="Arial"/>
          <w:bCs/>
          <w:i/>
          <w:iCs/>
          <w:szCs w:val="28"/>
          <w:lang w:val="uk-UA" w:eastAsia="ru-RU"/>
        </w:rPr>
        <w:t>Актуальні</w:t>
      </w:r>
      <w:r w:rsidRPr="00511005">
        <w:rPr>
          <w:rFonts w:ascii="Arial" w:eastAsia="Times New Roman" w:hAnsi="Arial" w:cs="Arial"/>
          <w:bCs/>
          <w:i/>
          <w:iCs/>
          <w:szCs w:val="28"/>
          <w:lang w:val="en-US" w:eastAsia="ru-RU"/>
        </w:rPr>
        <w:t xml:space="preserve"> </w:t>
      </w:r>
      <w:r w:rsidRPr="00511005">
        <w:rPr>
          <w:rFonts w:ascii="Arial" w:eastAsia="Times New Roman" w:hAnsi="Arial" w:cs="Arial"/>
          <w:bCs/>
          <w:i/>
          <w:iCs/>
          <w:szCs w:val="28"/>
          <w:lang w:val="uk-UA" w:eastAsia="ru-RU"/>
        </w:rPr>
        <w:t>проблеми</w:t>
      </w:r>
      <w:r w:rsidRPr="00511005">
        <w:rPr>
          <w:rFonts w:ascii="Arial" w:eastAsia="Times New Roman" w:hAnsi="Arial" w:cs="Arial"/>
          <w:bCs/>
          <w:i/>
          <w:iCs/>
          <w:szCs w:val="28"/>
          <w:lang w:val="en-US" w:eastAsia="ru-RU"/>
        </w:rPr>
        <w:t xml:space="preserve"> </w:t>
      </w:r>
      <w:r w:rsidRPr="00511005">
        <w:rPr>
          <w:rFonts w:ascii="Arial" w:eastAsia="Times New Roman" w:hAnsi="Arial" w:cs="Arial"/>
          <w:bCs/>
          <w:i/>
          <w:iCs/>
          <w:szCs w:val="28"/>
          <w:lang w:val="uk-UA" w:eastAsia="ru-RU"/>
        </w:rPr>
        <w:t>вітчизняної</w:t>
      </w:r>
      <w:r w:rsidRPr="00511005">
        <w:rPr>
          <w:rFonts w:ascii="Arial" w:eastAsia="Times New Roman" w:hAnsi="Arial" w:cs="Arial"/>
          <w:bCs/>
          <w:i/>
          <w:iCs/>
          <w:szCs w:val="28"/>
          <w:lang w:val="en-US" w:eastAsia="ru-RU"/>
        </w:rPr>
        <w:t xml:space="preserve"> </w:t>
      </w:r>
      <w:r w:rsidRPr="00511005">
        <w:rPr>
          <w:rFonts w:ascii="Arial" w:eastAsia="Times New Roman" w:hAnsi="Arial" w:cs="Arial"/>
          <w:bCs/>
          <w:i/>
          <w:iCs/>
          <w:szCs w:val="28"/>
          <w:lang w:val="uk-UA" w:eastAsia="ru-RU"/>
        </w:rPr>
        <w:t>юриспруденції</w:t>
      </w:r>
      <w:r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val="en-US" w:eastAsia="ru-RU"/>
        </w:rPr>
        <w:t>2023</w:t>
      </w:r>
      <w:r w:rsidRPr="00511005">
        <w:rPr>
          <w:rFonts w:ascii="Arial" w:eastAsia="Times New Roman" w:hAnsi="Arial" w:cs="Arial"/>
          <w:bCs/>
          <w:szCs w:val="28"/>
          <w:lang w:val="uk-UA" w:eastAsia="ru-RU"/>
        </w:rPr>
        <w:t>.</w:t>
      </w:r>
      <w:r w:rsidR="007B2628"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val="uk-UA" w:eastAsia="ru-RU"/>
        </w:rPr>
        <w:t>№</w:t>
      </w:r>
      <w:r w:rsidRPr="00511005">
        <w:rPr>
          <w:rFonts w:ascii="Arial" w:eastAsia="Times New Roman" w:hAnsi="Arial" w:cs="Arial"/>
          <w:bCs/>
          <w:szCs w:val="28"/>
          <w:lang w:val="en-US" w:eastAsia="ru-RU"/>
        </w:rPr>
        <w:t xml:space="preserve"> 16.</w:t>
      </w:r>
      <w:r w:rsidR="007B2628"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val="uk-UA" w:eastAsia="ru-RU"/>
        </w:rPr>
        <w:t>URL:</w:t>
      </w:r>
      <w:r w:rsidRPr="00511005">
        <w:rPr>
          <w:rFonts w:ascii="Arial" w:eastAsia="Times New Roman" w:hAnsi="Arial" w:cs="Arial"/>
          <w:szCs w:val="28"/>
          <w:lang w:val="en-US" w:eastAsia="ru-RU"/>
        </w:rPr>
        <w:t xml:space="preserve"> </w:t>
      </w:r>
      <w:hyperlink r:id="rId1185" w:history="1">
        <w:r w:rsidRPr="00511005">
          <w:rPr>
            <w:rFonts w:ascii="Arial" w:eastAsia="Times New Roman" w:hAnsi="Arial" w:cs="Arial"/>
            <w:bCs/>
            <w:szCs w:val="28"/>
            <w:lang w:val="uk-UA" w:eastAsia="ru-RU"/>
          </w:rPr>
          <w:t>http://www.apnl.dnu.in.ua/3_2023/3.pdf</w:t>
        </w:r>
      </w:hyperlink>
      <w:r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val="en-US" w:eastAsia="ru-RU"/>
        </w:rPr>
        <w:t>(</w:t>
      </w:r>
      <w:r w:rsidRPr="00511005">
        <w:rPr>
          <w:rFonts w:ascii="Arial" w:eastAsia="Times New Roman" w:hAnsi="Arial" w:cs="Arial"/>
          <w:bCs/>
          <w:szCs w:val="28"/>
          <w:lang w:val="uk-UA" w:eastAsia="ru-RU"/>
        </w:rPr>
        <w:t>дата звернення: 28.04.2025 р.</w:t>
      </w:r>
      <w:r w:rsidRPr="00511005">
        <w:rPr>
          <w:rFonts w:ascii="Arial" w:eastAsia="Times New Roman" w:hAnsi="Arial" w:cs="Arial"/>
          <w:bCs/>
          <w:szCs w:val="28"/>
          <w:lang w:val="en-US" w:eastAsia="ru-RU"/>
        </w:rPr>
        <w:t>)</w:t>
      </w:r>
    </w:p>
    <w:p w14:paraId="479AEFF1" w14:textId="77777777" w:rsidR="00C10374" w:rsidRPr="00511005" w:rsidRDefault="00C10374" w:rsidP="003F6A5D">
      <w:pPr>
        <w:widowControl w:val="0"/>
        <w:numPr>
          <w:ilvl w:val="0"/>
          <w:numId w:val="319"/>
        </w:numPr>
        <w:tabs>
          <w:tab w:val="left" w:pos="993"/>
          <w:tab w:val="left" w:pos="7088"/>
        </w:tabs>
        <w:autoSpaceDE w:val="0"/>
        <w:autoSpaceDN w:val="0"/>
        <w:adjustRightInd w:val="0"/>
        <w:spacing w:line="264" w:lineRule="auto"/>
        <w:ind w:left="0" w:firstLine="709"/>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lastRenderedPageBreak/>
        <w:t>Гончарукм В. Л., Злакоман І. М., Бабкова Т. В. Роль судової реформи в побудові правової держави в Україні. 2025. URL:</w:t>
      </w:r>
      <w:r w:rsidRPr="00511005">
        <w:rPr>
          <w:rFonts w:ascii="Arial" w:eastAsia="Times New Roman" w:hAnsi="Arial" w:cs="Arial"/>
          <w:szCs w:val="28"/>
          <w:lang w:val="uk-UA" w:eastAsia="ru-RU"/>
        </w:rPr>
        <w:t xml:space="preserve"> </w:t>
      </w:r>
      <w:hyperlink r:id="rId1186" w:history="1">
        <w:r w:rsidRPr="00511005">
          <w:rPr>
            <w:rFonts w:ascii="Arial" w:eastAsia="Times New Roman" w:hAnsi="Arial" w:cs="Arial"/>
            <w:bCs/>
            <w:szCs w:val="28"/>
            <w:lang w:val="uk-UA" w:eastAsia="ru-RU"/>
          </w:rPr>
          <w:t>https://dspace.uzhnu.edu.ua/jspui/handle/lib/71836</w:t>
        </w:r>
      </w:hyperlink>
      <w:r w:rsidRPr="00511005">
        <w:rPr>
          <w:rFonts w:ascii="Arial" w:eastAsia="Times New Roman" w:hAnsi="Arial" w:cs="Arial"/>
          <w:bCs/>
          <w:szCs w:val="28"/>
          <w:lang w:val="uk-UA" w:eastAsia="ru-RU"/>
        </w:rPr>
        <w:t xml:space="preserve"> (дата звернення: 28.04.2025 р.)</w:t>
      </w:r>
    </w:p>
    <w:p w14:paraId="1DF3DB40" w14:textId="78808ECD" w:rsidR="00C10374" w:rsidRPr="00511005" w:rsidRDefault="007B2628" w:rsidP="003A292D">
      <w:pPr>
        <w:tabs>
          <w:tab w:val="left" w:pos="993"/>
          <w:tab w:val="left" w:pos="7088"/>
        </w:tabs>
        <w:spacing w:line="264" w:lineRule="auto"/>
        <w:ind w:firstLine="0"/>
        <w:rPr>
          <w:rFonts w:ascii="Arial" w:eastAsia="Calibri" w:hAnsi="Arial" w:cs="Arial"/>
          <w:bCs/>
          <w:szCs w:val="28"/>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bCs/>
          <w:szCs w:val="28"/>
          <w:lang w:val="uk-UA"/>
        </w:rPr>
        <w:t>судова влада, поділ влади, незалежність, конституція, влада</w:t>
      </w:r>
    </w:p>
    <w:p w14:paraId="2F2EF2E7" w14:textId="7D5BE3BD" w:rsidR="00C10374" w:rsidRPr="00511005" w:rsidRDefault="007B2628" w:rsidP="003A292D">
      <w:pPr>
        <w:tabs>
          <w:tab w:val="left" w:pos="993"/>
          <w:tab w:val="left" w:pos="7088"/>
        </w:tabs>
        <w:spacing w:line="264" w:lineRule="auto"/>
        <w:ind w:firstLine="0"/>
        <w:rPr>
          <w:rFonts w:ascii="Arial" w:eastAsia="Calibri" w:hAnsi="Arial" w:cs="Arial"/>
          <w:bCs/>
          <w:szCs w:val="28"/>
          <w:lang w:val="en-US"/>
        </w:rPr>
      </w:pPr>
      <w:r w:rsidRPr="00511005">
        <w:rPr>
          <w:rFonts w:ascii="Arial" w:eastAsia="Calibri" w:hAnsi="Arial" w:cs="Arial"/>
          <w:b/>
          <w:i/>
          <w:szCs w:val="28"/>
          <w:lang w:val="en-US"/>
        </w:rPr>
        <w:t xml:space="preserve">Key words: </w:t>
      </w:r>
      <w:r w:rsidR="00C10374" w:rsidRPr="00511005">
        <w:rPr>
          <w:rFonts w:ascii="Arial" w:eastAsia="Calibri" w:hAnsi="Arial" w:cs="Arial"/>
          <w:bCs/>
          <w:szCs w:val="28"/>
          <w:lang w:val="en-US"/>
        </w:rPr>
        <w:t>judicial power</w:t>
      </w:r>
      <w:r w:rsidR="00C10374" w:rsidRPr="00511005">
        <w:rPr>
          <w:rFonts w:ascii="Arial" w:eastAsia="Calibri" w:hAnsi="Arial" w:cs="Arial"/>
          <w:bCs/>
          <w:szCs w:val="28"/>
          <w:lang w:val="uk-UA"/>
        </w:rPr>
        <w:t xml:space="preserve">, </w:t>
      </w:r>
      <w:r w:rsidR="00C10374" w:rsidRPr="00511005">
        <w:rPr>
          <w:rFonts w:ascii="Arial" w:eastAsia="Calibri" w:hAnsi="Arial" w:cs="Arial"/>
          <w:bCs/>
          <w:szCs w:val="28"/>
          <w:lang w:val="en-US"/>
        </w:rPr>
        <w:t>s</w:t>
      </w:r>
      <w:r w:rsidR="00C10374" w:rsidRPr="00511005">
        <w:rPr>
          <w:rFonts w:ascii="Arial" w:eastAsia="Calibri" w:hAnsi="Arial" w:cs="Arial"/>
          <w:bCs/>
          <w:szCs w:val="28"/>
          <w:lang w:val="uk-UA"/>
        </w:rPr>
        <w:t>eparation of powers</w:t>
      </w:r>
      <w:r w:rsidR="00C10374" w:rsidRPr="00511005">
        <w:rPr>
          <w:rFonts w:ascii="Arial" w:eastAsia="Calibri" w:hAnsi="Arial" w:cs="Arial"/>
          <w:bCs/>
          <w:szCs w:val="28"/>
          <w:lang w:val="en-US"/>
        </w:rPr>
        <w:t>, independence, constitution, power</w:t>
      </w:r>
    </w:p>
    <w:p w14:paraId="37295ACA" w14:textId="77777777" w:rsidR="00C10374" w:rsidRPr="00511005" w:rsidRDefault="00C10374" w:rsidP="003A292D">
      <w:pPr>
        <w:tabs>
          <w:tab w:val="left" w:pos="993"/>
          <w:tab w:val="left" w:pos="7088"/>
        </w:tabs>
        <w:spacing w:line="264" w:lineRule="auto"/>
        <w:ind w:firstLine="0"/>
        <w:rPr>
          <w:rFonts w:ascii="Arial" w:eastAsia="Calibri" w:hAnsi="Arial" w:cs="Arial"/>
          <w:bCs/>
          <w:szCs w:val="28"/>
          <w:lang w:val="en-US"/>
        </w:rPr>
      </w:pPr>
    </w:p>
    <w:p w14:paraId="488CCD2D" w14:textId="60C0B2B8" w:rsidR="00C10374" w:rsidRPr="00511005" w:rsidRDefault="007B2628" w:rsidP="003A292D">
      <w:pPr>
        <w:tabs>
          <w:tab w:val="left" w:pos="993"/>
          <w:tab w:val="left" w:pos="7088"/>
        </w:tabs>
        <w:spacing w:line="264" w:lineRule="auto"/>
        <w:ind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C10374" w:rsidRPr="00511005">
        <w:rPr>
          <w:rFonts w:ascii="Arial" w:eastAsia="Calibri" w:hAnsi="Arial" w:cs="Arial"/>
          <w:bCs/>
          <w:i/>
          <w:iCs/>
          <w:szCs w:val="28"/>
          <w:lang w:val="uk-UA"/>
        </w:rPr>
        <w:t xml:space="preserve">к.ю.н., доцент Кравченко М. О. </w:t>
      </w:r>
    </w:p>
    <w:p w14:paraId="5CA8105C" w14:textId="77777777" w:rsidR="00C10374" w:rsidRPr="00511005" w:rsidRDefault="00C10374" w:rsidP="003A292D">
      <w:pPr>
        <w:snapToGrid w:val="0"/>
        <w:spacing w:line="264" w:lineRule="auto"/>
        <w:ind w:left="-567" w:right="-432" w:firstLine="0"/>
        <w:rPr>
          <w:rFonts w:ascii="Arial" w:eastAsia="Times New Roman" w:hAnsi="Arial" w:cs="Arial"/>
          <w:szCs w:val="28"/>
          <w:lang w:val="uk-UA"/>
        </w:rPr>
      </w:pPr>
    </w:p>
    <w:p w14:paraId="392B9F4F" w14:textId="77777777" w:rsidR="00C10374" w:rsidRPr="00511005" w:rsidRDefault="00C10374" w:rsidP="003A292D">
      <w:pPr>
        <w:spacing w:line="264" w:lineRule="auto"/>
        <w:rPr>
          <w:rFonts w:ascii="Arial" w:eastAsia="Calibri" w:hAnsi="Arial" w:cs="Arial"/>
          <w:i/>
          <w:iCs/>
          <w:szCs w:val="28"/>
          <w:lang w:val="uk-UA" w:eastAsia="ru-RU"/>
        </w:rPr>
      </w:pPr>
    </w:p>
    <w:p w14:paraId="598B65D3" w14:textId="77777777" w:rsidR="00C10374" w:rsidRPr="00511005" w:rsidRDefault="00C10374"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Рудик Юліана Павлівна</w:t>
      </w:r>
    </w:p>
    <w:p w14:paraId="53CE3E78" w14:textId="0BCB6B1B" w:rsidR="00C10374" w:rsidRPr="00511005" w:rsidRDefault="00BE3972"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536AAB" w:rsidRPr="00511005">
        <w:rPr>
          <w:rFonts w:ascii="Arial" w:eastAsia="Calibri" w:hAnsi="Arial" w:cs="Arial"/>
          <w:szCs w:val="28"/>
          <w:lang w:val="uk-UA"/>
        </w:rPr>
        <w:t>факультету адвокатури та антикорупційної діяльності</w:t>
      </w:r>
      <w:r w:rsidR="00C10374" w:rsidRPr="00511005">
        <w:rPr>
          <w:rFonts w:ascii="Arial" w:eastAsia="Calibri" w:hAnsi="Arial" w:cs="Arial"/>
          <w:szCs w:val="28"/>
          <w:lang w:val="uk-UA"/>
        </w:rPr>
        <w:t xml:space="preserve"> </w:t>
      </w:r>
      <w:r w:rsidR="007B2628" w:rsidRPr="00511005">
        <w:rPr>
          <w:rFonts w:ascii="Arial" w:eastAsia="Calibri" w:hAnsi="Arial" w:cs="Arial"/>
          <w:szCs w:val="28"/>
          <w:lang w:val="uk-UA"/>
        </w:rPr>
        <w:t>Національного університету «Одеська юридична академія»</w:t>
      </w:r>
    </w:p>
    <w:p w14:paraId="2A3F743C" w14:textId="77777777" w:rsidR="00C10374" w:rsidRPr="00511005" w:rsidRDefault="00C10374" w:rsidP="003A292D">
      <w:pPr>
        <w:spacing w:line="264" w:lineRule="auto"/>
        <w:ind w:firstLine="0"/>
        <w:jc w:val="center"/>
        <w:rPr>
          <w:rFonts w:ascii="Arial" w:eastAsia="Calibri" w:hAnsi="Arial" w:cs="Arial"/>
          <w:szCs w:val="28"/>
          <w:lang w:val="uk-UA"/>
        </w:rPr>
      </w:pPr>
    </w:p>
    <w:p w14:paraId="5F5AF830" w14:textId="77777777" w:rsidR="00C10374" w:rsidRPr="00511005" w:rsidRDefault="00C10374"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ПРОБЛЕМИ НАБУТТЯ СТАТУСУ АДВОКАТА В УКРАЇНІ</w:t>
      </w:r>
    </w:p>
    <w:p w14:paraId="3FF033D6" w14:textId="35F043DF"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Насамперед варто зазначити, що порядок набуття права на заняття адвокатською діяльністю та вимоги до особи, яка виявила бажання займатися такою діяльністю, визначені Законом України «Про адвокатуру та адвокатську діяльність» від 5 липня 2012 року (далі – Закон). Відповідно до ч. 1 ст. 6 Закону адвокатом може бути: фізична особа, яка має повну вищу юридичну освіту, володіє державною мовою відповідно до рівня, визначеного згідно із</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Законом України "Про забезпечення функціонування української мови як державної", має стаж роботи в галузі права не менше двох років, склала кваліфікаційний іспит, пройшла стажування (крім випадків, встановлених цим Законом), склала присягу адвоката України та отримала свідоцтво про право на заняття адвокатською діяльністю [1].</w:t>
      </w:r>
    </w:p>
    <w:p w14:paraId="7D016FE1"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Якщо порівняти положення чинного Закону з попереднім Законом «Про адвокатуру» 1992 р., то можна зробити висновок, що було дещо ускладнено процедуру набуття професійного статусу адвоката. Чинне законодавство запровадило нову вимогу для осіб, які мають намір набути статус адвоката - проходження стажування. Такий крок може стати додатковим стимулом для формування необхідних професійних знань, навичок та набуття практичного досвіду. У разі ускладнення процедури допуску до професії, здобуті в процесі підготовки до кваліфікаційного іспиту та під час стажування знання будуть більш цінними та корисними в подальшій професійній діяльності адвоката.</w:t>
      </w:r>
    </w:p>
    <w:p w14:paraId="3B2E1475"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Необхідно звернути увагу також на обставини, які унеможливлюють набуття права здійснювати адвокатську діяльність. Згідно з ч. 2 ст. 6 Закону «Про адвокатуру та адвокатську діяльність», не може бути адвокатом особа, яка: </w:t>
      </w:r>
    </w:p>
    <w:p w14:paraId="71D3A0F2"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1) має непогашену чи незняту в установленому законом порядку судимість за вчинення тяжкого, особливо тяжкого злочину, а також нетяжкого злочину, за який призначено покарання у виді позбавлення волі;</w:t>
      </w:r>
    </w:p>
    <w:p w14:paraId="5ED258F3" w14:textId="77777777" w:rsidR="00C10374" w:rsidRPr="00511005" w:rsidRDefault="00C10374" w:rsidP="003A292D">
      <w:pPr>
        <w:spacing w:line="264" w:lineRule="auto"/>
        <w:ind w:firstLine="720"/>
        <w:rPr>
          <w:rFonts w:ascii="Arial" w:eastAsia="Calibri" w:hAnsi="Arial" w:cs="Arial"/>
          <w:szCs w:val="28"/>
          <w:lang w:val="uk-UA"/>
        </w:rPr>
      </w:pPr>
      <w:bookmarkStart w:id="154" w:name="n701"/>
      <w:bookmarkStart w:id="155" w:name="n36"/>
      <w:bookmarkEnd w:id="154"/>
      <w:bookmarkEnd w:id="155"/>
      <w:r w:rsidRPr="00511005">
        <w:rPr>
          <w:rFonts w:ascii="Arial" w:eastAsia="Calibri" w:hAnsi="Arial" w:cs="Arial"/>
          <w:szCs w:val="28"/>
          <w:lang w:val="uk-UA"/>
        </w:rPr>
        <w:t>2) визнана судом недієздатною чи обмежено дієздатною;</w:t>
      </w:r>
    </w:p>
    <w:p w14:paraId="46AB57FD" w14:textId="77777777" w:rsidR="00C10374" w:rsidRPr="00511005" w:rsidRDefault="00C10374" w:rsidP="003A292D">
      <w:pPr>
        <w:spacing w:line="264" w:lineRule="auto"/>
        <w:ind w:firstLine="720"/>
        <w:rPr>
          <w:rFonts w:ascii="Arial" w:eastAsia="Calibri" w:hAnsi="Arial" w:cs="Arial"/>
          <w:szCs w:val="28"/>
          <w:lang w:val="uk-UA"/>
        </w:rPr>
      </w:pPr>
      <w:bookmarkStart w:id="156" w:name="n37"/>
      <w:bookmarkEnd w:id="156"/>
      <w:r w:rsidRPr="00511005">
        <w:rPr>
          <w:rFonts w:ascii="Arial" w:eastAsia="Calibri" w:hAnsi="Arial" w:cs="Arial"/>
          <w:szCs w:val="28"/>
          <w:lang w:val="uk-UA"/>
        </w:rPr>
        <w:t>3) позбавлена права на заняття адвокатською діяльністю, - протягом двох років з дня прийняття рішення про припинення права на заняття адвокатською діяльністю;</w:t>
      </w:r>
    </w:p>
    <w:p w14:paraId="365B6C76" w14:textId="77777777" w:rsidR="00C10374" w:rsidRPr="00511005" w:rsidRDefault="00C10374" w:rsidP="003A292D">
      <w:pPr>
        <w:spacing w:line="264" w:lineRule="auto"/>
        <w:ind w:firstLine="720"/>
        <w:rPr>
          <w:rFonts w:ascii="Arial" w:eastAsia="Calibri" w:hAnsi="Arial" w:cs="Arial"/>
          <w:szCs w:val="28"/>
          <w:lang w:val="uk-UA"/>
        </w:rPr>
      </w:pPr>
      <w:bookmarkStart w:id="157" w:name="n38"/>
      <w:bookmarkEnd w:id="157"/>
      <w:r w:rsidRPr="00511005">
        <w:rPr>
          <w:rFonts w:ascii="Arial" w:eastAsia="Calibri" w:hAnsi="Arial" w:cs="Arial"/>
          <w:szCs w:val="28"/>
          <w:lang w:val="uk-UA"/>
        </w:rPr>
        <w:t>4) звільнена з посади судді, прокурора, слідчого, дізнавача, нотаріуса, з державної служби або служби в органах місцевого самоврядування за порушення присяги, вчинення корупційного правопорушення, - протягом трьох років з дня такого звільнення [1].</w:t>
      </w:r>
    </w:p>
    <w:p w14:paraId="6C5CC5C1"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Положення щодо заборони набуття статусу адвоката особами, які мають непогашену чи незняту судимість за вчинення тяжкого, особливо тяжкого злочину, а також нетяжкого злочину, за який призначено покарання у виді позбавлення волі, є предметом наукової дискусії. Видається, що основною метою законодавця при встановленні такої норми має бути недопущення до здійснення адвокатської діяльності осіб, які внаслідок своїх вчинків продемонстрували невідповідність високим моральним та етичним вимогам, що висуваються до представників правничої професії. При цьому акцент має бути зроблений не лише на формальному критерію тяжкості злочину, а насамперед на здатності особи у подальшому здійснювати адвокатську діяльність без шкоди для авторитету адвокатури. З огляду на специфіку правового статусу адвоката та довіру, яка покладається на нього суспільством, видається обґрунтованим підхід, згідно з яким вчинення умисного тяжкого чи особливо тяжкого злочину має розглядатися як нездоланна перешкода для доступу до професії незалежно від строку давності.</w:t>
      </w:r>
    </w:p>
    <w:p w14:paraId="3E1B639E"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Отже, процедура набуття статусу адвоката виступає ключовим елементом системи гарантування якісного надання правничої допомоги, що обумовлено необхідністю забезпечення високого рівня професійної компетентності осіб, які допускаються до здійснення адвокатської діяльності. Встановлені вимоги до кандидатів спрямовані на відбір осіб, які володіють належним рівнем теоретичної підготовки, практичних навичок і відповідають етичним критеріям, що у сукупності сприяє реалізації конституційного права кожного на отримання кваліфікованої юридичної допомоги.</w:t>
      </w:r>
    </w:p>
    <w:p w14:paraId="3BC96A75" w14:textId="77777777" w:rsidR="00C10374" w:rsidRPr="00511005" w:rsidRDefault="00C10374" w:rsidP="003A292D">
      <w:pPr>
        <w:spacing w:line="264" w:lineRule="auto"/>
        <w:ind w:firstLine="720"/>
        <w:rPr>
          <w:rFonts w:ascii="Arial" w:eastAsia="Calibri" w:hAnsi="Arial" w:cs="Arial"/>
          <w:szCs w:val="28"/>
          <w:lang w:val="uk-UA"/>
        </w:rPr>
      </w:pPr>
    </w:p>
    <w:p w14:paraId="3905DDFA"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Разом з тим окремі положення чинного порядку допуску до адвокатської професії потребують перегляду та вдосконалення. Зокрема, доцільним вбачається продовження строку, після спливу якого особа може повторно складати кваліфікаційний іспит, з метою забезпечення більш ґрунтовної підготовки. Крім того, слушною є пропозиція щодо збільшення </w:t>
      </w:r>
      <w:r w:rsidRPr="00511005">
        <w:rPr>
          <w:rFonts w:ascii="Arial" w:eastAsia="Calibri" w:hAnsi="Arial" w:cs="Arial"/>
          <w:szCs w:val="28"/>
          <w:lang w:val="uk-UA"/>
        </w:rPr>
        <w:lastRenderedPageBreak/>
        <w:t>мінімального строку стажування до дванадцяти місяців, удосконалення порядку його проходження, а також перегляд структури та змісту кваліфікаційного іспиту. Такий підхід сприятиме підвищенню ефективності професійної підготовки майбутніх адвокатів та відповідатиме вимогам сучасної правозастосовної практики.</w:t>
      </w:r>
    </w:p>
    <w:p w14:paraId="312180A2" w14:textId="77777777" w:rsidR="00C10374" w:rsidRPr="00511005" w:rsidRDefault="00C10374" w:rsidP="003A292D">
      <w:pPr>
        <w:spacing w:line="264" w:lineRule="auto"/>
        <w:ind w:firstLine="720"/>
        <w:rPr>
          <w:rFonts w:ascii="Arial" w:eastAsia="Calibri" w:hAnsi="Arial" w:cs="Arial"/>
          <w:szCs w:val="28"/>
          <w:lang w:val="uk-UA"/>
        </w:rPr>
      </w:pPr>
    </w:p>
    <w:p w14:paraId="6D50A542" w14:textId="79994265" w:rsidR="00C10374" w:rsidRPr="00511005" w:rsidRDefault="007B2628" w:rsidP="007B2628">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49E0D015" w14:textId="77777777" w:rsidR="00C10374" w:rsidRPr="00511005" w:rsidRDefault="00C10374" w:rsidP="003F6A5D">
      <w:pPr>
        <w:numPr>
          <w:ilvl w:val="0"/>
          <w:numId w:val="320"/>
        </w:num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 адвокатуру та адвокатську діяльність: Закон України від 15.08.2012 № 5076-VI. URL: </w:t>
      </w:r>
      <w:hyperlink r:id="rId1187" w:anchor="w1_" w:history="1">
        <w:r w:rsidRPr="00511005">
          <w:rPr>
            <w:rFonts w:ascii="Arial" w:eastAsia="Times New Roman" w:hAnsi="Arial" w:cs="Arial"/>
            <w:szCs w:val="28"/>
            <w:lang w:val="uk-UA" w:eastAsia="ru-RU"/>
          </w:rPr>
          <w:t>https://zakon.rada.gov.ua/laws/show/5076-17?find=1&amp;text=%D0%B7%D0%B0%D0%BF%D0%B8%D1%82#w1_</w:t>
        </w:r>
      </w:hyperlink>
    </w:p>
    <w:p w14:paraId="509BA040" w14:textId="77777777" w:rsidR="00C10374" w:rsidRPr="00511005" w:rsidRDefault="00C10374" w:rsidP="003A292D">
      <w:pPr>
        <w:spacing w:line="264" w:lineRule="auto"/>
        <w:ind w:firstLine="0"/>
        <w:rPr>
          <w:rFonts w:ascii="Arial" w:eastAsia="Calibri" w:hAnsi="Arial" w:cs="Arial"/>
          <w:szCs w:val="28"/>
          <w:lang w:val="uk-UA"/>
        </w:rPr>
      </w:pPr>
    </w:p>
    <w:p w14:paraId="7D5FA34B" w14:textId="6BFC1899" w:rsidR="00C10374" w:rsidRPr="00511005" w:rsidRDefault="007B2628" w:rsidP="003A292D">
      <w:pPr>
        <w:spacing w:line="264" w:lineRule="auto"/>
        <w:ind w:firstLine="0"/>
        <w:rPr>
          <w:rFonts w:ascii="Arial" w:eastAsia="Times New Roman" w:hAnsi="Arial" w:cs="Arial"/>
          <w:bCs/>
          <w:szCs w:val="28"/>
          <w:lang w:val="uk-UA"/>
        </w:rPr>
      </w:pPr>
      <w:r w:rsidRPr="00511005">
        <w:rPr>
          <w:rFonts w:ascii="Arial" w:eastAsia="Times New Roman" w:hAnsi="Arial" w:cs="Arial"/>
          <w:b/>
          <w:i/>
          <w:szCs w:val="28"/>
          <w:lang w:val="uk-UA"/>
        </w:rPr>
        <w:t xml:space="preserve">Ключові слова: </w:t>
      </w:r>
      <w:r w:rsidR="00C10374" w:rsidRPr="00511005">
        <w:rPr>
          <w:rFonts w:ascii="Arial" w:eastAsia="Times New Roman" w:hAnsi="Arial" w:cs="Arial"/>
          <w:bCs/>
          <w:szCs w:val="28"/>
          <w:lang w:val="uk-UA"/>
        </w:rPr>
        <w:t>адвокат,</w:t>
      </w:r>
      <w:r w:rsidR="00C10374" w:rsidRPr="00511005">
        <w:rPr>
          <w:rFonts w:ascii="Arial" w:eastAsia="Times New Roman" w:hAnsi="Arial" w:cs="Arial"/>
          <w:b/>
          <w:szCs w:val="28"/>
          <w:lang w:val="uk-UA"/>
        </w:rPr>
        <w:t xml:space="preserve"> </w:t>
      </w:r>
      <w:r w:rsidR="00C10374" w:rsidRPr="00511005">
        <w:rPr>
          <w:rFonts w:ascii="Arial" w:eastAsia="Times New Roman" w:hAnsi="Arial" w:cs="Arial"/>
          <w:bCs/>
          <w:szCs w:val="28"/>
          <w:lang w:val="uk-UA"/>
        </w:rPr>
        <w:t xml:space="preserve">набуття статусу, адвокатська професія, кваліфікаційний іспит, стажування вимоги до адвоката. </w:t>
      </w:r>
    </w:p>
    <w:p w14:paraId="5908719A" w14:textId="3BE2576A" w:rsidR="00C10374" w:rsidRPr="00511005" w:rsidRDefault="007B2628" w:rsidP="003A292D">
      <w:pPr>
        <w:spacing w:line="264" w:lineRule="auto"/>
        <w:ind w:firstLine="0"/>
        <w:rPr>
          <w:rFonts w:ascii="Arial" w:eastAsia="Calibri" w:hAnsi="Arial" w:cs="Arial"/>
          <w:szCs w:val="28"/>
          <w:lang w:val="uk-UA"/>
        </w:rPr>
      </w:pPr>
      <w:r w:rsidRPr="00511005">
        <w:rPr>
          <w:rFonts w:ascii="Arial" w:eastAsia="Times New Roman" w:hAnsi="Arial" w:cs="Arial"/>
          <w:b/>
          <w:i/>
          <w:szCs w:val="28"/>
          <w:lang w:val="uk-UA"/>
        </w:rPr>
        <w:t xml:space="preserve">Key words: </w:t>
      </w:r>
      <w:r w:rsidR="00C10374" w:rsidRPr="00511005">
        <w:rPr>
          <w:rFonts w:ascii="Arial" w:eastAsia="Calibri" w:hAnsi="Arial" w:cs="Arial"/>
          <w:szCs w:val="28"/>
          <w:lang w:val="en"/>
        </w:rPr>
        <w:t>lawyer, acquisition of status, legal profession, qualification exam, internship, requirements for a lawyer.</w:t>
      </w:r>
    </w:p>
    <w:p w14:paraId="33FAF671" w14:textId="77777777" w:rsidR="00C10374" w:rsidRPr="00511005" w:rsidRDefault="00C10374" w:rsidP="003A292D">
      <w:pPr>
        <w:spacing w:line="264" w:lineRule="auto"/>
        <w:ind w:firstLine="0"/>
        <w:rPr>
          <w:rFonts w:ascii="Arial" w:eastAsia="Calibri" w:hAnsi="Arial" w:cs="Arial"/>
          <w:b/>
          <w:bCs/>
          <w:i/>
          <w:iCs/>
          <w:szCs w:val="28"/>
          <w:lang w:val="uk-UA"/>
        </w:rPr>
      </w:pPr>
    </w:p>
    <w:p w14:paraId="3DCD0A31" w14:textId="0698EF71" w:rsidR="00C10374"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bCs/>
          <w:i/>
          <w:iCs/>
          <w:szCs w:val="28"/>
          <w:lang w:val="uk-UA"/>
        </w:rPr>
        <w:t xml:space="preserve">Науковий керівник: </w:t>
      </w:r>
      <w:r w:rsidR="00C10374" w:rsidRPr="00511005">
        <w:rPr>
          <w:rFonts w:ascii="Arial" w:eastAsia="Calibri" w:hAnsi="Arial" w:cs="Arial"/>
          <w:i/>
          <w:iCs/>
          <w:szCs w:val="28"/>
          <w:lang w:val="uk-UA"/>
        </w:rPr>
        <w:t>к.ю.н., доцент Храпенко О.О.</w:t>
      </w:r>
    </w:p>
    <w:p w14:paraId="7E0CDC07" w14:textId="77777777" w:rsidR="00C10374" w:rsidRPr="00511005" w:rsidRDefault="00C10374" w:rsidP="003A292D">
      <w:pPr>
        <w:spacing w:line="264" w:lineRule="auto"/>
        <w:ind w:firstLine="0"/>
        <w:rPr>
          <w:rFonts w:ascii="Arial" w:eastAsia="Calibri" w:hAnsi="Arial" w:cs="Arial"/>
          <w:i/>
          <w:iCs/>
          <w:szCs w:val="28"/>
          <w:lang w:val="uk-UA"/>
        </w:rPr>
      </w:pPr>
    </w:p>
    <w:p w14:paraId="4E61FDC4" w14:textId="77777777" w:rsidR="00C10374" w:rsidRPr="00511005" w:rsidRDefault="00C10374" w:rsidP="003A292D">
      <w:pPr>
        <w:spacing w:line="264" w:lineRule="auto"/>
        <w:ind w:firstLine="0"/>
        <w:rPr>
          <w:rFonts w:ascii="Arial" w:eastAsia="Calibri" w:hAnsi="Arial" w:cs="Arial"/>
          <w:i/>
          <w:iCs/>
          <w:szCs w:val="28"/>
          <w:lang w:val="uk-UA"/>
        </w:rPr>
      </w:pPr>
    </w:p>
    <w:p w14:paraId="1B5F20B3" w14:textId="77777777" w:rsidR="00C10374" w:rsidRPr="00511005" w:rsidRDefault="00C10374" w:rsidP="003A292D">
      <w:pPr>
        <w:snapToGrid w:val="0"/>
        <w:spacing w:line="264" w:lineRule="auto"/>
        <w:ind w:firstLine="851"/>
        <w:jc w:val="center"/>
        <w:rPr>
          <w:rFonts w:ascii="Arial" w:eastAsia="Calibri" w:hAnsi="Arial" w:cs="Arial"/>
          <w:b/>
          <w:bCs/>
          <w:i/>
          <w:iCs/>
          <w:szCs w:val="28"/>
          <w:lang w:val="uk-UA"/>
        </w:rPr>
      </w:pPr>
      <w:bookmarkStart w:id="158" w:name="_Hlk165485050"/>
      <w:bookmarkStart w:id="159" w:name="_Hlk165510034"/>
      <w:bookmarkStart w:id="160" w:name="_Hlk167910419"/>
      <w:bookmarkStart w:id="161" w:name="_Hlk168134375"/>
      <w:bookmarkStart w:id="162" w:name="_Hlk168134922"/>
      <w:r w:rsidRPr="00511005">
        <w:rPr>
          <w:rFonts w:ascii="Arial" w:eastAsia="Calibri" w:hAnsi="Arial" w:cs="Arial"/>
          <w:b/>
          <w:bCs/>
          <w:i/>
          <w:iCs/>
          <w:szCs w:val="28"/>
          <w:lang w:val="uk-UA"/>
        </w:rPr>
        <w:t>Сакара Дар’я Вікторівна</w:t>
      </w:r>
    </w:p>
    <w:p w14:paraId="2B7639C3" w14:textId="15466BBF" w:rsidR="00C10374" w:rsidRPr="00511005" w:rsidRDefault="00BE3972" w:rsidP="003A292D">
      <w:pPr>
        <w:snapToGrid w:val="0"/>
        <w:spacing w:line="264" w:lineRule="auto"/>
        <w:ind w:firstLine="851"/>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p>
    <w:p w14:paraId="7192B34C" w14:textId="11224112" w:rsidR="00C10374" w:rsidRPr="00511005" w:rsidRDefault="007B2628" w:rsidP="003A292D">
      <w:pPr>
        <w:snapToGrid w:val="0"/>
        <w:spacing w:line="264" w:lineRule="auto"/>
        <w:ind w:firstLine="851"/>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23F55310" w14:textId="77777777" w:rsidR="00C10374" w:rsidRPr="00511005" w:rsidRDefault="00C10374" w:rsidP="003A292D">
      <w:pPr>
        <w:snapToGrid w:val="0"/>
        <w:spacing w:line="264" w:lineRule="auto"/>
        <w:ind w:firstLine="851"/>
        <w:jc w:val="center"/>
        <w:rPr>
          <w:rFonts w:ascii="Arial" w:eastAsia="Calibri" w:hAnsi="Arial" w:cs="Arial"/>
          <w:szCs w:val="28"/>
          <w:lang w:val="uk-UA"/>
        </w:rPr>
      </w:pPr>
    </w:p>
    <w:p w14:paraId="15804862" w14:textId="77777777" w:rsidR="00C10374" w:rsidRPr="00511005" w:rsidRDefault="00C10374" w:rsidP="003A292D">
      <w:pPr>
        <w:snapToGrid w:val="0"/>
        <w:spacing w:line="264" w:lineRule="auto"/>
        <w:ind w:firstLine="851"/>
        <w:rPr>
          <w:rFonts w:ascii="Arial" w:eastAsia="Calibri" w:hAnsi="Arial" w:cs="Arial"/>
          <w:b/>
          <w:bCs/>
          <w:szCs w:val="28"/>
          <w:lang w:val="uk-UA"/>
        </w:rPr>
      </w:pPr>
      <w:r w:rsidRPr="00511005">
        <w:rPr>
          <w:rFonts w:ascii="Arial" w:eastAsia="Calibri" w:hAnsi="Arial" w:cs="Arial"/>
          <w:b/>
          <w:bCs/>
          <w:szCs w:val="28"/>
          <w:lang w:val="uk-UA"/>
        </w:rPr>
        <w:t xml:space="preserve">ЩОДО ВИКЛИКІВ В АДВОКАТУРІ В УМОВАХ СЬОГОДЕННЯ </w:t>
      </w:r>
    </w:p>
    <w:p w14:paraId="75659A96" w14:textId="77777777" w:rsidR="00C10374" w:rsidRPr="00511005" w:rsidRDefault="00C10374" w:rsidP="003A292D">
      <w:pPr>
        <w:snapToGrid w:val="0"/>
        <w:spacing w:line="264" w:lineRule="auto"/>
        <w:ind w:firstLine="851"/>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 xml:space="preserve">Адвокатура в Україні як провідна інституція надання правничої допомоги, має значну роль у забезпеченні прав і свобод громадян. В останні роки система адвокатури стикається з низкою серйозних викликів, які спричиняють значні зміни в її організації та функціонуванні. </w:t>
      </w:r>
    </w:p>
    <w:p w14:paraId="55E8552A" w14:textId="77777777" w:rsidR="00C10374" w:rsidRPr="00511005" w:rsidRDefault="00C10374" w:rsidP="003A292D">
      <w:pPr>
        <w:snapToGrid w:val="0"/>
        <w:spacing w:line="264" w:lineRule="auto"/>
        <w:ind w:firstLine="851"/>
        <w:rPr>
          <w:rFonts w:ascii="Arial" w:eastAsia="Calibri" w:hAnsi="Arial" w:cs="Arial"/>
          <w:bCs/>
          <w:szCs w:val="28"/>
          <w:shd w:val="clear" w:color="auto" w:fill="FFFFFF"/>
          <w:lang w:val="uk-UA"/>
        </w:rPr>
      </w:pPr>
      <w:r w:rsidRPr="00511005">
        <w:rPr>
          <w:rFonts w:ascii="Arial" w:eastAsia="Calibri" w:hAnsi="Arial" w:cs="Arial"/>
          <w:bCs/>
          <w:szCs w:val="28"/>
          <w:shd w:val="clear" w:color="auto" w:fill="FFFFFF"/>
          <w:lang w:val="uk-UA"/>
        </w:rPr>
        <w:t>Відповідно до статті 59 Конституції України, кожен має право на професійну правничу допомогу. У випадках, передбачених законом, ця допомога надається безоплатно. Кожен є вільним у виборі захисника своїх прав. Конституційний статус адвокатури підтверджує важливість цієї інституції для суспільства та держави [1, c. 245].</w:t>
      </w:r>
    </w:p>
    <w:p w14:paraId="4D182305" w14:textId="77777777" w:rsidR="00C10374" w:rsidRPr="00511005" w:rsidRDefault="00C10374" w:rsidP="003A292D">
      <w:pPr>
        <w:snapToGrid w:val="0"/>
        <w:spacing w:line="264" w:lineRule="auto"/>
        <w:ind w:firstLine="851"/>
        <w:rPr>
          <w:rFonts w:ascii="Arial" w:eastAsia="Calibri" w:hAnsi="Arial" w:cs="Arial"/>
          <w:bCs/>
          <w:szCs w:val="28"/>
          <w:shd w:val="clear" w:color="auto" w:fill="FFFFFF"/>
          <w:lang w:val="uk-UA"/>
        </w:rPr>
      </w:pPr>
      <w:r w:rsidRPr="00511005">
        <w:rPr>
          <w:rFonts w:ascii="Arial" w:eastAsia="Calibri" w:hAnsi="Arial" w:cs="Arial"/>
          <w:bCs/>
          <w:szCs w:val="28"/>
          <w:shd w:val="clear" w:color="auto" w:fill="FFFFFF"/>
          <w:lang w:val="uk-UA"/>
        </w:rPr>
        <w:t>Адвокатура є незалежним інститутом, який функціонує для надання професійної правничої допомоги на постійній основі. Її завдання полягають у захисті прав, свобод і законних інтересів громадян та юридичних осіб, наданні правової допомоги у кримінальних, цивільних, адміністративних та інших справах. Адвокати відіграють важливу роль у системі правосуддя, забезпечуючи реалізацію конституційного права на захист у суді.</w:t>
      </w:r>
    </w:p>
    <w:p w14:paraId="32044CD6" w14:textId="77777777" w:rsidR="00C10374" w:rsidRPr="00511005" w:rsidRDefault="00C10374" w:rsidP="003A292D">
      <w:pPr>
        <w:snapToGrid w:val="0"/>
        <w:spacing w:line="264" w:lineRule="auto"/>
        <w:ind w:firstLine="851"/>
        <w:rPr>
          <w:rFonts w:ascii="Arial" w:eastAsia="Calibri" w:hAnsi="Arial" w:cs="Arial"/>
          <w:bCs/>
          <w:szCs w:val="28"/>
          <w:shd w:val="clear" w:color="auto" w:fill="FFFFFF"/>
          <w:lang w:val="uk-UA"/>
        </w:rPr>
      </w:pPr>
      <w:r w:rsidRPr="00511005">
        <w:rPr>
          <w:rFonts w:ascii="Arial" w:eastAsia="Calibri" w:hAnsi="Arial" w:cs="Arial"/>
          <w:bCs/>
          <w:szCs w:val="28"/>
          <w:shd w:val="clear" w:color="auto" w:fill="FFFFFF"/>
          <w:lang w:val="uk-UA"/>
        </w:rPr>
        <w:t xml:space="preserve">Правовий статус адвокатури та діяльність адвокатів регулюються Законом України «Про адвокатуру та адвокатську діяльність» від 5 липня 2012 року. Цей закон визначає організаційні основи адвокатури, принципи </w:t>
      </w:r>
      <w:r w:rsidRPr="00511005">
        <w:rPr>
          <w:rFonts w:ascii="Arial" w:eastAsia="Calibri" w:hAnsi="Arial" w:cs="Arial"/>
          <w:bCs/>
          <w:szCs w:val="28"/>
          <w:shd w:val="clear" w:color="auto" w:fill="FFFFFF"/>
          <w:lang w:val="uk-UA"/>
        </w:rPr>
        <w:lastRenderedPageBreak/>
        <w:t>адвокатської діяльності, права та обов’язки адвокатів, а також механізми контролю за дотриманням адвокатами професійної етики та дисципліни.</w:t>
      </w:r>
    </w:p>
    <w:p w14:paraId="6A04754C" w14:textId="77777777" w:rsidR="00C10374" w:rsidRPr="00511005" w:rsidRDefault="00C10374" w:rsidP="003A292D">
      <w:pPr>
        <w:snapToGrid w:val="0"/>
        <w:spacing w:line="264" w:lineRule="auto"/>
        <w:ind w:firstLine="851"/>
        <w:rPr>
          <w:rFonts w:ascii="Arial" w:eastAsia="Calibri" w:hAnsi="Arial" w:cs="Arial"/>
          <w:b/>
          <w:bCs/>
          <w:szCs w:val="28"/>
          <w:shd w:val="clear" w:color="auto" w:fill="FFFFFF"/>
          <w:lang w:val="uk-UA"/>
        </w:rPr>
      </w:pPr>
      <w:r w:rsidRPr="00511005">
        <w:rPr>
          <w:rFonts w:ascii="Arial" w:eastAsia="Calibri" w:hAnsi="Arial" w:cs="Arial"/>
          <w:szCs w:val="28"/>
          <w:shd w:val="clear" w:color="auto" w:fill="FFFFFF"/>
          <w:lang w:val="uk-UA"/>
        </w:rPr>
        <w:t xml:space="preserve">Одним із основних викликів в сучасній адвокатурі є забезпечення реальної незалежності адвокатури від зовнішнього впливу. Незважаючи на законодавчі гарантії, адвокати все частіше стикаються з труднощами, пов’язаними з тиском з боку органів державної влади, правоохоронних органів або навіть з боку клієнтів. Це ставить під загрозу не лише професійну діяльність адвоката, але й престиж до цього інституту. Одним із можливих шляхів вирішення цієї проблеми є вдосконалення механізмів контролю за дотриманням принципів незалежності адвокатури. </w:t>
      </w:r>
    </w:p>
    <w:p w14:paraId="4814D05B" w14:textId="77777777" w:rsidR="00C10374" w:rsidRPr="00511005" w:rsidRDefault="00C10374" w:rsidP="003A292D">
      <w:pPr>
        <w:snapToGrid w:val="0"/>
        <w:spacing w:line="264" w:lineRule="auto"/>
        <w:ind w:firstLine="851"/>
        <w:rPr>
          <w:rFonts w:ascii="Arial" w:eastAsia="Calibri" w:hAnsi="Arial" w:cs="Arial"/>
          <w:b/>
          <w:bCs/>
          <w:szCs w:val="28"/>
          <w:shd w:val="clear" w:color="auto" w:fill="FFFFFF"/>
          <w:lang w:val="uk-UA"/>
        </w:rPr>
      </w:pPr>
      <w:r w:rsidRPr="00511005">
        <w:rPr>
          <w:rFonts w:ascii="Arial" w:eastAsia="Calibri" w:hAnsi="Arial" w:cs="Arial"/>
          <w:szCs w:val="28"/>
          <w:shd w:val="clear" w:color="auto" w:fill="FFFFFF"/>
          <w:lang w:val="uk-UA"/>
        </w:rPr>
        <w:t>У сучасному світі технологічні інновації значно впливають на всі сфери життя, в тому числі й на адвокатуру. Впровадження цифрових технологій, зокрема електронних судових реєстрів, онлайн-консультацій, а також використання штучного інтелекту для аналізу справ, відкриває нові можливості для адвокатів. Однак це також створює нові виклики щодо безпеки даних, захисту конфіденційності інформації, а також необхідності постійного оновлення професійних навичок адвокатів. Для забезпечення ефективного використання новітніх технологій необхідно розробити відповідні правові норми та провести навчання для адвокатів [2, c. 172].</w:t>
      </w:r>
    </w:p>
    <w:p w14:paraId="618A148A" w14:textId="77777777" w:rsidR="00C10374" w:rsidRPr="00511005" w:rsidRDefault="00C10374" w:rsidP="003A292D">
      <w:pPr>
        <w:snapToGrid w:val="0"/>
        <w:spacing w:line="264" w:lineRule="auto"/>
        <w:ind w:firstLine="851"/>
        <w:rPr>
          <w:rFonts w:ascii="Arial" w:eastAsia="Calibri" w:hAnsi="Arial" w:cs="Arial"/>
          <w:b/>
          <w:bCs/>
          <w:szCs w:val="28"/>
          <w:shd w:val="clear" w:color="auto" w:fill="FFFFFF"/>
          <w:lang w:val="uk-UA"/>
        </w:rPr>
      </w:pPr>
      <w:r w:rsidRPr="00511005">
        <w:rPr>
          <w:rFonts w:ascii="Arial" w:eastAsia="Calibri" w:hAnsi="Arial" w:cs="Arial"/>
          <w:szCs w:val="28"/>
          <w:shd w:val="clear" w:color="auto" w:fill="FFFFFF"/>
          <w:lang w:val="uk-UA"/>
        </w:rPr>
        <w:t>Реформи в судовій системі України також впливають на адвокатуру. У зв’язку з впровадженням нових процедурних норм, розвитку системи альтернативного вирішення спорів та зростанням ролі медіації, адвокати повинні адаптувати свої методи роботи до нових умов. Важливим аспектом є забезпечення ефективної взаємодії між адвокатами та іншими учасниками судового процесу, зокрема суддями та прокурорами, для досягнення оптимальних результатів у справі.</w:t>
      </w:r>
    </w:p>
    <w:p w14:paraId="0942D80A" w14:textId="77777777" w:rsidR="00C10374" w:rsidRPr="00511005" w:rsidRDefault="00C10374" w:rsidP="003A292D">
      <w:pPr>
        <w:snapToGrid w:val="0"/>
        <w:spacing w:line="264" w:lineRule="auto"/>
        <w:ind w:firstLine="851"/>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 xml:space="preserve">Не менш важливою проблемою є забезпечення доступу до правосуддя для всіх верств населення. Незважаючи на розвиток системи безоплатної правничої допомоги, значна частина громадян є необізнаною щодо способів отримання такої допомоги. </w:t>
      </w:r>
    </w:p>
    <w:p w14:paraId="6466AC4E" w14:textId="77777777" w:rsidR="00C10374" w:rsidRPr="00511005" w:rsidRDefault="00C10374" w:rsidP="003A292D">
      <w:pPr>
        <w:snapToGrid w:val="0"/>
        <w:spacing w:line="264" w:lineRule="auto"/>
        <w:ind w:firstLine="851"/>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 xml:space="preserve">Отже, адвокатура в Україні стикається з низкою серйозних викликів, серед яких можна виділити забезпечення незалежності професії, необхідність адаптації до нових технологій тощо. Вирішення цих проблем потребує комплексного підходу, що потребує подальшого дослідження. </w:t>
      </w:r>
    </w:p>
    <w:p w14:paraId="51ED20C6" w14:textId="77777777" w:rsidR="00C10374" w:rsidRPr="00511005" w:rsidRDefault="00C10374" w:rsidP="003A292D">
      <w:pPr>
        <w:snapToGrid w:val="0"/>
        <w:spacing w:line="264" w:lineRule="auto"/>
        <w:ind w:firstLine="851"/>
        <w:rPr>
          <w:rFonts w:ascii="Arial" w:eastAsia="Calibri" w:hAnsi="Arial" w:cs="Arial"/>
          <w:szCs w:val="28"/>
          <w:shd w:val="clear" w:color="auto" w:fill="FFFFFF"/>
          <w:lang w:val="uk-UA"/>
        </w:rPr>
      </w:pPr>
    </w:p>
    <w:p w14:paraId="110F301D" w14:textId="7ECD171C" w:rsidR="00C10374" w:rsidRPr="00511005" w:rsidRDefault="007B2628" w:rsidP="007B2628">
      <w:pPr>
        <w:snapToGrid w:val="0"/>
        <w:spacing w:line="264" w:lineRule="auto"/>
        <w:ind w:firstLine="851"/>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bookmarkStart w:id="163" w:name="_Hlk167904113"/>
      <w:bookmarkStart w:id="164" w:name="_Hlk167909630"/>
    </w:p>
    <w:bookmarkEnd w:id="158"/>
    <w:bookmarkEnd w:id="159"/>
    <w:bookmarkEnd w:id="160"/>
    <w:bookmarkEnd w:id="161"/>
    <w:bookmarkEnd w:id="162"/>
    <w:bookmarkEnd w:id="163"/>
    <w:bookmarkEnd w:id="164"/>
    <w:p w14:paraId="0EB57665" w14:textId="77777777" w:rsidR="00C10374" w:rsidRPr="00511005" w:rsidRDefault="00C10374" w:rsidP="003F6A5D">
      <w:pPr>
        <w:numPr>
          <w:ilvl w:val="0"/>
          <w:numId w:val="829"/>
        </w:numPr>
        <w:snapToGrid w:val="0"/>
        <w:spacing w:line="264" w:lineRule="auto"/>
        <w:ind w:left="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Вільчик Т. Б. </w:t>
      </w:r>
      <w:r w:rsidRPr="00511005">
        <w:rPr>
          <w:rFonts w:ascii="Arial" w:eastAsia="Times New Roman" w:hAnsi="Arial" w:cs="Arial"/>
          <w:i/>
          <w:iCs/>
          <w:szCs w:val="28"/>
          <w:lang w:val="uk-UA" w:eastAsia="ru-RU"/>
        </w:rPr>
        <w:t>Адвокатура та громадянське суспільство у правовій державі</w:t>
      </w:r>
      <w:r w:rsidRPr="00511005">
        <w:rPr>
          <w:rFonts w:ascii="Arial" w:eastAsia="Times New Roman" w:hAnsi="Arial" w:cs="Arial"/>
          <w:szCs w:val="28"/>
          <w:lang w:val="uk-UA" w:eastAsia="ru-RU"/>
        </w:rPr>
        <w:t xml:space="preserve">. </w:t>
      </w:r>
      <w:r w:rsidRPr="00511005">
        <w:rPr>
          <w:rFonts w:ascii="Arial" w:eastAsia="Times New Roman" w:hAnsi="Arial" w:cs="Arial"/>
          <w:i/>
          <w:iCs/>
          <w:szCs w:val="28"/>
          <w:lang w:val="uk-UA" w:eastAsia="ru-RU"/>
        </w:rPr>
        <w:t>Право України</w:t>
      </w:r>
      <w:r w:rsidRPr="00511005">
        <w:rPr>
          <w:rFonts w:ascii="Arial" w:eastAsia="Times New Roman" w:hAnsi="Arial" w:cs="Arial"/>
          <w:szCs w:val="28"/>
          <w:lang w:val="uk-UA" w:eastAsia="ru-RU"/>
        </w:rPr>
        <w:t xml:space="preserve">. 2014. № 11. С. 243–250. </w:t>
      </w:r>
    </w:p>
    <w:p w14:paraId="628BBA76" w14:textId="77777777" w:rsidR="00C10374" w:rsidRPr="00511005" w:rsidRDefault="00C10374" w:rsidP="003F6A5D">
      <w:pPr>
        <w:numPr>
          <w:ilvl w:val="0"/>
          <w:numId w:val="829"/>
        </w:numPr>
        <w:snapToGrid w:val="0"/>
        <w:spacing w:line="264" w:lineRule="auto"/>
        <w:ind w:left="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Городовенко В. В. </w:t>
      </w:r>
      <w:r w:rsidRPr="00511005">
        <w:rPr>
          <w:rFonts w:ascii="Arial" w:eastAsia="Times New Roman" w:hAnsi="Arial" w:cs="Arial"/>
          <w:i/>
          <w:iCs/>
          <w:szCs w:val="28"/>
          <w:lang w:val="uk-UA" w:eastAsia="ru-RU"/>
        </w:rPr>
        <w:t xml:space="preserve">Проблеми становлення незалежної судової влади в Україні </w:t>
      </w:r>
      <w:r w:rsidRPr="00511005">
        <w:rPr>
          <w:rFonts w:ascii="Arial" w:eastAsia="Times New Roman" w:hAnsi="Arial" w:cs="Arial"/>
          <w:szCs w:val="28"/>
          <w:lang w:val="uk-UA" w:eastAsia="ru-RU"/>
        </w:rPr>
        <w:t>: монографія / К. : Фенікс, 2007. С. 172-173.</w:t>
      </w:r>
    </w:p>
    <w:p w14:paraId="257D1C6E" w14:textId="77777777" w:rsidR="00C10374" w:rsidRPr="00511005" w:rsidRDefault="00C10374" w:rsidP="003A292D">
      <w:pPr>
        <w:snapToGrid w:val="0"/>
        <w:spacing w:line="264" w:lineRule="auto"/>
        <w:ind w:firstLine="0"/>
        <w:rPr>
          <w:rFonts w:ascii="Arial" w:eastAsia="Calibri" w:hAnsi="Arial" w:cs="Arial"/>
          <w:szCs w:val="28"/>
          <w:lang w:val="uk-UA"/>
        </w:rPr>
      </w:pPr>
    </w:p>
    <w:p w14:paraId="4BB88073" w14:textId="1AD3645B" w:rsidR="00C10374" w:rsidRPr="00511005" w:rsidRDefault="007B2628" w:rsidP="003A292D">
      <w:pPr>
        <w:snapToGrid w:val="0"/>
        <w:spacing w:line="264" w:lineRule="auto"/>
        <w:ind w:left="567" w:firstLine="0"/>
        <w:rPr>
          <w:rFonts w:ascii="Arial" w:eastAsia="Calibri" w:hAnsi="Arial" w:cs="Arial"/>
          <w:szCs w:val="28"/>
          <w:lang w:val="uk-UA"/>
        </w:rPr>
      </w:pPr>
      <w:r w:rsidRPr="00511005">
        <w:rPr>
          <w:rFonts w:ascii="Arial" w:eastAsia="Calibri" w:hAnsi="Arial" w:cs="Arial"/>
          <w:b/>
          <w:bCs/>
          <w:i/>
          <w:szCs w:val="28"/>
          <w:lang w:val="uk-UA"/>
        </w:rPr>
        <w:lastRenderedPageBreak/>
        <w:t xml:space="preserve">Ключові слова: </w:t>
      </w:r>
      <w:r w:rsidR="00C10374" w:rsidRPr="00511005">
        <w:rPr>
          <w:rFonts w:ascii="Arial" w:eastAsia="Calibri" w:hAnsi="Arial" w:cs="Arial"/>
          <w:szCs w:val="28"/>
          <w:lang w:val="uk-UA"/>
        </w:rPr>
        <w:t>адвокат, адвокатура, адвокатська діяльність, правнича допомога, права і свободи громадян, виклики в адвокатурі</w:t>
      </w:r>
    </w:p>
    <w:p w14:paraId="0024A97A" w14:textId="408EE110" w:rsidR="00C10374" w:rsidRPr="00511005" w:rsidRDefault="007B2628" w:rsidP="003A292D">
      <w:pPr>
        <w:snapToGrid w:val="0"/>
        <w:spacing w:line="264" w:lineRule="auto"/>
        <w:ind w:left="567"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C10374" w:rsidRPr="00511005">
        <w:rPr>
          <w:rFonts w:ascii="Arial" w:eastAsia="Times New Roman" w:hAnsi="Arial" w:cs="Arial"/>
          <w:szCs w:val="28"/>
          <w:lang w:val="uk-UA"/>
        </w:rPr>
        <w:t>advocate, аdvocacy, advocate activity, legal aid, rights and freedoms of citizens, challenges of the advocacy profession</w:t>
      </w:r>
    </w:p>
    <w:p w14:paraId="19865DCD" w14:textId="77777777" w:rsidR="00C10374" w:rsidRPr="00511005" w:rsidRDefault="00C10374" w:rsidP="003A292D">
      <w:pPr>
        <w:snapToGrid w:val="0"/>
        <w:spacing w:line="264" w:lineRule="auto"/>
        <w:ind w:left="567" w:firstLine="0"/>
        <w:rPr>
          <w:rFonts w:ascii="Arial" w:eastAsia="Times New Roman" w:hAnsi="Arial" w:cs="Arial"/>
          <w:i/>
          <w:iCs/>
          <w:szCs w:val="28"/>
          <w:lang w:val="uk-UA"/>
        </w:rPr>
      </w:pPr>
    </w:p>
    <w:p w14:paraId="52C948F4" w14:textId="424C6FA8" w:rsidR="00C10374" w:rsidRPr="00511005" w:rsidRDefault="007B2628" w:rsidP="003A292D">
      <w:pPr>
        <w:snapToGrid w:val="0"/>
        <w:spacing w:line="264" w:lineRule="auto"/>
        <w:ind w:left="567"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C10374" w:rsidRPr="00511005">
        <w:rPr>
          <w:rFonts w:ascii="Arial" w:eastAsia="Times New Roman" w:hAnsi="Arial" w:cs="Arial"/>
          <w:i/>
          <w:iCs/>
          <w:szCs w:val="28"/>
          <w:lang w:val="uk-UA"/>
        </w:rPr>
        <w:t>к.ю.н., доцент Кравченко М.О.</w:t>
      </w:r>
    </w:p>
    <w:p w14:paraId="0F00ABCA" w14:textId="77777777" w:rsidR="00C10374" w:rsidRPr="00511005" w:rsidRDefault="00C10374" w:rsidP="003A292D">
      <w:pPr>
        <w:spacing w:line="264" w:lineRule="auto"/>
        <w:ind w:firstLine="0"/>
        <w:rPr>
          <w:rFonts w:ascii="Arial" w:eastAsia="Calibri" w:hAnsi="Arial" w:cs="Arial"/>
          <w:b/>
          <w:bCs/>
          <w:i/>
          <w:iCs/>
          <w:szCs w:val="28"/>
          <w:lang w:val="uk-UA"/>
        </w:rPr>
      </w:pPr>
    </w:p>
    <w:p w14:paraId="27CB26B2" w14:textId="77777777" w:rsidR="00C10374" w:rsidRPr="00511005" w:rsidRDefault="00C10374" w:rsidP="003A292D">
      <w:pPr>
        <w:spacing w:line="264" w:lineRule="auto"/>
        <w:rPr>
          <w:rFonts w:ascii="Arial" w:eastAsia="Calibri" w:hAnsi="Arial" w:cs="Arial"/>
          <w:i/>
          <w:iCs/>
          <w:szCs w:val="28"/>
          <w:lang w:val="uk-UA" w:eastAsia="ru-RU"/>
        </w:rPr>
      </w:pPr>
    </w:p>
    <w:p w14:paraId="3FFC7CD9" w14:textId="77777777" w:rsidR="00C10374" w:rsidRPr="00511005" w:rsidRDefault="00C10374" w:rsidP="003A292D">
      <w:pPr>
        <w:keepNext/>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Сапунов Микита Вікторович</w:t>
      </w:r>
    </w:p>
    <w:p w14:paraId="544E5744" w14:textId="718BA458" w:rsidR="00C10374" w:rsidRPr="00511005" w:rsidRDefault="00BE3972"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 1-го курсу </w:t>
      </w:r>
      <w:r w:rsidR="001B7B25" w:rsidRPr="00511005">
        <w:rPr>
          <w:rFonts w:ascii="Arial" w:eastAsia="Calibri" w:hAnsi="Arial" w:cs="Arial"/>
          <w:szCs w:val="28"/>
          <w:lang w:val="uk-UA"/>
        </w:rPr>
        <w:t>факультету судового та міжнародного права</w:t>
      </w:r>
      <w:r w:rsidR="00C10374" w:rsidRPr="00511005">
        <w:rPr>
          <w:rFonts w:ascii="Arial" w:eastAsia="Calibri" w:hAnsi="Arial" w:cs="Arial"/>
          <w:szCs w:val="28"/>
          <w:lang w:val="uk-UA"/>
        </w:rPr>
        <w:br/>
      </w:r>
      <w:r w:rsidR="007B2628" w:rsidRPr="00511005">
        <w:rPr>
          <w:rFonts w:ascii="Arial" w:eastAsia="Calibri" w:hAnsi="Arial" w:cs="Arial"/>
          <w:szCs w:val="28"/>
          <w:lang w:val="uk-UA"/>
        </w:rPr>
        <w:t>Національного університету «Одеська юридична академія»</w:t>
      </w:r>
    </w:p>
    <w:p w14:paraId="5C769BA6" w14:textId="77777777" w:rsidR="00C10374" w:rsidRPr="00511005" w:rsidRDefault="00C10374" w:rsidP="003A292D">
      <w:pPr>
        <w:keepNext/>
        <w:spacing w:line="264" w:lineRule="auto"/>
        <w:ind w:firstLine="0"/>
        <w:jc w:val="center"/>
        <w:rPr>
          <w:rFonts w:ascii="Arial" w:eastAsia="Calibri" w:hAnsi="Arial" w:cs="Arial"/>
          <w:b/>
          <w:szCs w:val="28"/>
          <w:lang w:val="uk-UA"/>
        </w:rPr>
      </w:pPr>
    </w:p>
    <w:p w14:paraId="4D3E283D" w14:textId="77777777" w:rsidR="00C10374" w:rsidRPr="00511005" w:rsidRDefault="00C10374" w:rsidP="003A292D">
      <w:pPr>
        <w:keepNext/>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 xml:space="preserve">РОЛЬ АДВОКАТУРИ В СИСТЕМІ </w:t>
      </w:r>
    </w:p>
    <w:p w14:paraId="649A8C71" w14:textId="77777777" w:rsidR="00C10374" w:rsidRPr="00511005" w:rsidRDefault="00C10374" w:rsidP="003A292D">
      <w:pPr>
        <w:keepNext/>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ЗАХИСТУ ПРАВ ВІЙСЬКОВОСЛУЖБОВЦІВ</w:t>
      </w:r>
    </w:p>
    <w:p w14:paraId="180AB48D" w14:textId="77777777" w:rsidR="00C10374" w:rsidRPr="00511005" w:rsidRDefault="00C10374" w:rsidP="003A292D">
      <w:pPr>
        <w:keepNext/>
        <w:spacing w:line="264" w:lineRule="auto"/>
        <w:jc w:val="center"/>
        <w:rPr>
          <w:rFonts w:ascii="Arial" w:eastAsia="Calibri" w:hAnsi="Arial" w:cs="Arial"/>
          <w:b/>
          <w:szCs w:val="28"/>
          <w:lang w:val="uk-UA"/>
        </w:rPr>
      </w:pPr>
    </w:p>
    <w:p w14:paraId="6DBD5578" w14:textId="77777777" w:rsidR="00C10374" w:rsidRPr="00511005" w:rsidRDefault="00C10374" w:rsidP="003A292D">
      <w:pPr>
        <w:keepNext/>
        <w:spacing w:line="264" w:lineRule="auto"/>
        <w:rPr>
          <w:rFonts w:ascii="Arial" w:eastAsia="Calibri" w:hAnsi="Arial" w:cs="Arial"/>
          <w:szCs w:val="28"/>
          <w:lang w:val="uk-UA"/>
        </w:rPr>
      </w:pPr>
      <w:r w:rsidRPr="00511005">
        <w:rPr>
          <w:rFonts w:ascii="Arial" w:eastAsia="Calibri" w:hAnsi="Arial" w:cs="Arial"/>
          <w:szCs w:val="28"/>
          <w:lang w:val="uk-UA"/>
        </w:rPr>
        <w:t>"Захищаючи захисників" – саме так можна охарактеризувати роль адвокатури для українських військовослужбовців сьогодні. Військова форма не скасовує громадянських прав, але часто ускладнює їх реалізацію. Військові, повинні бути зосереджені на бойовому завданні, але замість цього змушені розбиратися з відмовою у виплаті компенсації чи неправомірним притягненням до відповідальності. Саме тут на сцену виходить адвокат, який допомагає та вирішує ці проблеми, та стає "другою лінією оборони".</w:t>
      </w:r>
    </w:p>
    <w:p w14:paraId="1384CB0B" w14:textId="10B9F12C" w:rsidR="00C10374" w:rsidRPr="00511005" w:rsidRDefault="00C10374" w:rsidP="003A292D">
      <w:pPr>
        <w:keepNext/>
        <w:spacing w:line="264" w:lineRule="auto"/>
        <w:rPr>
          <w:rFonts w:ascii="Arial" w:eastAsia="Calibri" w:hAnsi="Arial" w:cs="Arial"/>
          <w:szCs w:val="28"/>
          <w:lang w:val="uk-UA"/>
        </w:rPr>
      </w:pPr>
      <w:r w:rsidRPr="00511005">
        <w:rPr>
          <w:rFonts w:ascii="Arial" w:eastAsia="Calibri" w:hAnsi="Arial" w:cs="Arial"/>
          <w:szCs w:val="28"/>
          <w:lang w:val="uk-UA"/>
        </w:rPr>
        <w:t>Захист прав військовослужбовців, як це бачить</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О. Пасенюк, спирається на міцний правовий фундамент [7]: Закон України «Про адвокатуру та адвокатську діяльність» [1], «Про безоплатну правничу допомогу» [2] та «Про соціальний і правовий захист військовослужбовців та членів їх сімей» [3]. Особливо важливим є те, що військовослужбовці мають право на безоплатну вторинну правничу допомогу з питань соціального захисту.</w:t>
      </w:r>
    </w:p>
    <w:p w14:paraId="686E0E94" w14:textId="77777777" w:rsidR="00C10374" w:rsidRPr="00511005" w:rsidRDefault="00C10374" w:rsidP="003A292D">
      <w:pPr>
        <w:keepNext/>
        <w:spacing w:line="264" w:lineRule="auto"/>
        <w:rPr>
          <w:rFonts w:ascii="Arial" w:eastAsia="Calibri" w:hAnsi="Arial" w:cs="Arial"/>
          <w:szCs w:val="28"/>
          <w:lang w:val="uk-UA"/>
        </w:rPr>
      </w:pPr>
      <w:r w:rsidRPr="00511005">
        <w:rPr>
          <w:rFonts w:ascii="Arial" w:eastAsia="Calibri" w:hAnsi="Arial" w:cs="Arial"/>
          <w:szCs w:val="28"/>
          <w:lang w:val="uk-UA"/>
        </w:rPr>
        <w:t>Значним кроком уперед стало впровадження в серпні 2024 року нового інституту правового захисту – служб супроводу військовослужбовців у структурі державних органів (Постанова КМУ № 948) [4]. Ці служби не замінюють адвокатуру, а стають додатковим ресурсом, забезпечуючи інформаційно-консультативну підтримку та ефективну взаємодію між військовослужбовцями та адвокатами.</w:t>
      </w:r>
    </w:p>
    <w:p w14:paraId="61323CB3" w14:textId="086FBE8C" w:rsidR="00C10374" w:rsidRPr="00511005" w:rsidRDefault="00C10374" w:rsidP="003A292D">
      <w:pPr>
        <w:keepNext/>
        <w:spacing w:line="264" w:lineRule="auto"/>
        <w:rPr>
          <w:rFonts w:ascii="Arial" w:eastAsia="Calibri" w:hAnsi="Arial" w:cs="Arial"/>
          <w:szCs w:val="28"/>
          <w:lang w:val="uk-UA"/>
        </w:rPr>
      </w:pPr>
      <w:r w:rsidRPr="00511005">
        <w:rPr>
          <w:rFonts w:ascii="Arial" w:eastAsia="Calibri" w:hAnsi="Arial" w:cs="Arial"/>
          <w:szCs w:val="28"/>
          <w:lang w:val="uk-UA"/>
        </w:rPr>
        <w:t>Адвокатська допомога військовослужбовцям, зазначає Ю.Меліхова,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охоплює кілька ключових напрямків [6]. Насамперед, це захист під час призову та мобілізації, коли адвокати оскаржують необґрунтовані відмови у відстрочці, ігнорування медичних протипоказань чи порушення процедури вручення повісток. В умовах воєнного стану набули актуальності питання </w:t>
      </w:r>
      <w:r w:rsidRPr="00511005">
        <w:rPr>
          <w:rFonts w:ascii="Arial" w:eastAsia="Calibri" w:hAnsi="Arial" w:cs="Arial"/>
          <w:szCs w:val="28"/>
          <w:lang w:val="uk-UA"/>
        </w:rPr>
        <w:lastRenderedPageBreak/>
        <w:t>законності обмежень виїзду за кордон та реалізації права на альтернативну службу.</w:t>
      </w:r>
    </w:p>
    <w:p w14:paraId="5F4F7F4F" w14:textId="77777777" w:rsidR="00C10374" w:rsidRPr="00511005" w:rsidRDefault="00C10374" w:rsidP="003A292D">
      <w:pPr>
        <w:keepNext/>
        <w:spacing w:line="264" w:lineRule="auto"/>
        <w:rPr>
          <w:rFonts w:ascii="Arial" w:eastAsia="Calibri" w:hAnsi="Arial" w:cs="Arial"/>
          <w:szCs w:val="28"/>
          <w:lang w:val="uk-UA"/>
        </w:rPr>
      </w:pPr>
      <w:r w:rsidRPr="00511005">
        <w:rPr>
          <w:rFonts w:ascii="Arial" w:eastAsia="Calibri" w:hAnsi="Arial" w:cs="Arial"/>
          <w:szCs w:val="28"/>
          <w:lang w:val="uk-UA"/>
        </w:rPr>
        <w:t>Соціальний захист – інший важливий напрямок роботи адвокатів. Вони допомагають військовослужбовцям отримати належні виплати: надбавки за участь у бойових діях та компенсації за поранення. Адвокати супроводжують процес встановлення статусу особи з інвалідністю внаслідок війни та сприяють вирішенню житлових питань, що особливо актуально для ветеранів.</w:t>
      </w:r>
    </w:p>
    <w:p w14:paraId="07D3E334" w14:textId="77777777" w:rsidR="00C10374" w:rsidRPr="00511005" w:rsidRDefault="00C10374" w:rsidP="003A292D">
      <w:pPr>
        <w:keepNext/>
        <w:spacing w:line="264" w:lineRule="auto"/>
        <w:rPr>
          <w:rFonts w:ascii="Arial" w:eastAsia="Calibri" w:hAnsi="Arial" w:cs="Arial"/>
          <w:szCs w:val="28"/>
          <w:lang w:val="uk-UA"/>
        </w:rPr>
      </w:pPr>
      <w:r w:rsidRPr="00511005">
        <w:rPr>
          <w:rFonts w:ascii="Arial" w:eastAsia="Calibri" w:hAnsi="Arial" w:cs="Arial"/>
          <w:szCs w:val="28"/>
          <w:lang w:val="uk-UA"/>
        </w:rPr>
        <w:t>Кримінально-правовий захист військовослужбовців здійснюється адвокатами з урахуванням специфіки військової служби. У справах про самовільне залишення частини, дезертирство чи невиконання наказу адвокати беруть до уваги бойову обстановку та психологічний стан підзахисного, часто залучаючи військових психологів для діагностики посттравматичного стресового розладу.</w:t>
      </w:r>
    </w:p>
    <w:p w14:paraId="66BFEBC6" w14:textId="77777777" w:rsidR="00C10374" w:rsidRPr="00511005" w:rsidRDefault="00C10374" w:rsidP="003A292D">
      <w:pPr>
        <w:keepNext/>
        <w:spacing w:line="264" w:lineRule="auto"/>
        <w:rPr>
          <w:rFonts w:ascii="Arial" w:eastAsia="Calibri" w:hAnsi="Arial" w:cs="Arial"/>
          <w:szCs w:val="28"/>
          <w:lang w:val="uk-UA"/>
        </w:rPr>
      </w:pPr>
      <w:r w:rsidRPr="00511005">
        <w:rPr>
          <w:rFonts w:ascii="Arial" w:eastAsia="Calibri" w:hAnsi="Arial" w:cs="Arial"/>
          <w:szCs w:val="28"/>
          <w:lang w:val="uk-UA"/>
        </w:rPr>
        <w:t>Окремим напрямком є захист прав сімей військовослужбовців у випадках загибелі, поранення або перебування в полоні. Адвокати допомагають отримати статус члена сім'ї загиблого захисника України, оформити відповідні виплати та пільги, вирішити питання спадщини.</w:t>
      </w:r>
    </w:p>
    <w:p w14:paraId="6BC4F95F" w14:textId="77777777" w:rsidR="00C10374" w:rsidRPr="00511005" w:rsidRDefault="00C10374" w:rsidP="003A292D">
      <w:pPr>
        <w:keepNext/>
        <w:spacing w:line="264" w:lineRule="auto"/>
        <w:rPr>
          <w:rFonts w:ascii="Arial" w:eastAsia="Calibri" w:hAnsi="Arial" w:cs="Arial"/>
          <w:szCs w:val="28"/>
          <w:lang w:val="uk-UA"/>
        </w:rPr>
      </w:pPr>
      <w:r w:rsidRPr="00511005">
        <w:rPr>
          <w:rFonts w:ascii="Arial" w:eastAsia="Calibri" w:hAnsi="Arial" w:cs="Arial"/>
          <w:szCs w:val="28"/>
          <w:lang w:val="uk-UA"/>
        </w:rPr>
        <w:t>У цивільних справах адвокати представляють інтереси військовослужбовців щодо захисту честі та гідності, відшкодування шкоди у сімейних та спадкових питаннях. В адміністративному судочинстві оскаржуються неправомірні рішення органів військового управління: незаконні дисциплінарні стягнення, неправомірне звільнення або відмова у наданні статусу учасника бойових дій.</w:t>
      </w:r>
    </w:p>
    <w:p w14:paraId="7E9FA7AC" w14:textId="77777777" w:rsidR="00C10374" w:rsidRPr="00511005" w:rsidRDefault="00C10374" w:rsidP="003A292D">
      <w:pPr>
        <w:keepNext/>
        <w:spacing w:line="264" w:lineRule="auto"/>
        <w:rPr>
          <w:rFonts w:ascii="Arial" w:eastAsia="Calibri" w:hAnsi="Arial" w:cs="Arial"/>
          <w:szCs w:val="28"/>
          <w:lang w:val="uk-UA"/>
        </w:rPr>
      </w:pPr>
      <w:r w:rsidRPr="00511005">
        <w:rPr>
          <w:rFonts w:ascii="Arial" w:eastAsia="Calibri" w:hAnsi="Arial" w:cs="Arial"/>
          <w:szCs w:val="28"/>
          <w:lang w:val="uk-UA"/>
        </w:rPr>
        <w:t>Безоплатна правнича допомога стала життєво необхідним механізмом забезпечення доступу військовослужбовців до правосуддя. Система БПД надає військовослужбовцям як первинну правову допомогу (юридичні консультації та роз'яснення), так і вторинну (складання процесуальних документів та представництво інтересів у судах). Важливо, що право на безоплатну вторинну правову допомогу мають не лише діючі військовослужбовці, але й ветерани війни, особи з інвалідністю внаслідок війни та члени сімей загиблих. Адвокати системи БПД (безоплатної правничої допомоги) консультують дистанційно, виїжджають до місця перебування військовослужбовця та проводять правопросвітницьку роботу у військових частинах [5].</w:t>
      </w:r>
    </w:p>
    <w:p w14:paraId="4DF05C8E" w14:textId="77777777" w:rsidR="00C10374" w:rsidRPr="00511005" w:rsidRDefault="00C10374" w:rsidP="003A292D">
      <w:pPr>
        <w:keepNext/>
        <w:spacing w:line="264" w:lineRule="auto"/>
        <w:rPr>
          <w:rFonts w:ascii="Arial" w:eastAsia="Calibri" w:hAnsi="Arial" w:cs="Arial"/>
          <w:szCs w:val="28"/>
          <w:lang w:val="uk-UA"/>
        </w:rPr>
      </w:pPr>
      <w:r w:rsidRPr="00511005">
        <w:rPr>
          <w:rFonts w:ascii="Arial" w:eastAsia="Calibri" w:hAnsi="Arial" w:cs="Arial"/>
          <w:szCs w:val="28"/>
          <w:lang w:val="uk-UA"/>
        </w:rPr>
        <w:t>Таким чином, адвокатура сьогодні виконує надзвичайно важливу місію захисту прав тих, хто захищає Україну, забезпечуючи правову підтримку на всіх етапах військової служби та після її завершення.</w:t>
      </w:r>
    </w:p>
    <w:p w14:paraId="191BA328" w14:textId="77777777" w:rsidR="00C10374" w:rsidRPr="00511005" w:rsidRDefault="00C10374" w:rsidP="003A292D">
      <w:pPr>
        <w:keepNext/>
        <w:spacing w:line="264" w:lineRule="auto"/>
        <w:ind w:firstLine="0"/>
        <w:rPr>
          <w:rFonts w:ascii="Arial" w:eastAsia="Calibri" w:hAnsi="Arial" w:cs="Arial"/>
          <w:szCs w:val="28"/>
          <w:lang w:val="uk-UA"/>
        </w:rPr>
      </w:pPr>
    </w:p>
    <w:p w14:paraId="544EFAC4" w14:textId="08AEEF07" w:rsidR="00C10374" w:rsidRPr="00511005" w:rsidRDefault="007B2628" w:rsidP="007B2628">
      <w:pPr>
        <w:keepNext/>
        <w:spacing w:line="264" w:lineRule="auto"/>
        <w:jc w:val="center"/>
        <w:rPr>
          <w:rFonts w:ascii="Arial" w:eastAsia="Calibri" w:hAnsi="Arial" w:cs="Arial"/>
          <w:b/>
          <w:iCs/>
          <w:szCs w:val="28"/>
          <w:lang w:val="uk-UA"/>
        </w:rPr>
      </w:pPr>
      <w:r w:rsidRPr="00511005">
        <w:rPr>
          <w:rFonts w:ascii="Arial" w:eastAsia="Calibri" w:hAnsi="Arial" w:cs="Arial"/>
          <w:b/>
          <w:iCs/>
          <w:szCs w:val="28"/>
          <w:lang w:val="uk-UA"/>
        </w:rPr>
        <w:t>Список використаних джерел</w:t>
      </w:r>
    </w:p>
    <w:p w14:paraId="74F704BF" w14:textId="77777777" w:rsidR="00C10374" w:rsidRPr="00511005" w:rsidRDefault="00C10374" w:rsidP="003F6A5D">
      <w:pPr>
        <w:numPr>
          <w:ilvl w:val="0"/>
          <w:numId w:val="321"/>
        </w:numPr>
        <w:spacing w:line="264" w:lineRule="auto"/>
        <w:ind w:left="0" w:firstLine="709"/>
        <w:rPr>
          <w:rFonts w:ascii="Arial" w:eastAsia="Calibri" w:hAnsi="Arial" w:cs="Arial"/>
          <w:szCs w:val="28"/>
        </w:rPr>
      </w:pPr>
      <w:r w:rsidRPr="00511005">
        <w:rPr>
          <w:rFonts w:ascii="Arial" w:eastAsia="Calibri" w:hAnsi="Arial" w:cs="Arial"/>
          <w:szCs w:val="28"/>
        </w:rPr>
        <w:t xml:space="preserve">Про адвокатуру та адвокатську діяльність: Закон України від 05.07.2012 № 5076–VI (в ред. від 15.11.2024). Відомості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w:t>
      </w:r>
      <w:r w:rsidRPr="00511005">
        <w:rPr>
          <w:rFonts w:ascii="Arial" w:eastAsia="Calibri" w:hAnsi="Arial" w:cs="Arial"/>
          <w:szCs w:val="28"/>
        </w:rPr>
        <w:lastRenderedPageBreak/>
        <w:t>України. 2012. № 37–38. URL: https://zakon.rada.gov.ua/laws/show/5076-17#Text</w:t>
      </w:r>
    </w:p>
    <w:p w14:paraId="437E0188" w14:textId="77777777" w:rsidR="00C10374" w:rsidRPr="00511005" w:rsidRDefault="00C10374" w:rsidP="003F6A5D">
      <w:pPr>
        <w:numPr>
          <w:ilvl w:val="0"/>
          <w:numId w:val="321"/>
        </w:numPr>
        <w:spacing w:line="264" w:lineRule="auto"/>
        <w:ind w:left="0" w:firstLine="709"/>
        <w:rPr>
          <w:rFonts w:ascii="Arial" w:eastAsia="Calibri" w:hAnsi="Arial" w:cs="Arial"/>
          <w:szCs w:val="28"/>
        </w:rPr>
      </w:pPr>
      <w:r w:rsidRPr="00511005">
        <w:rPr>
          <w:rFonts w:ascii="Arial" w:eastAsia="Calibri" w:hAnsi="Arial" w:cs="Arial"/>
          <w:szCs w:val="28"/>
        </w:rPr>
        <w:t xml:space="preserve">Про безоплатну правничу допомогу: Закон України від 02.06.2011 № 3460–VI (в ред. від 15.11.2024). Відомості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2011. № 23. URL: https://zakon.rada.gov.ua/laws/show/3460-17#Text</w:t>
      </w:r>
    </w:p>
    <w:p w14:paraId="540D98D8" w14:textId="77777777" w:rsidR="00C10374" w:rsidRPr="00511005" w:rsidRDefault="00C10374" w:rsidP="003F6A5D">
      <w:pPr>
        <w:numPr>
          <w:ilvl w:val="0"/>
          <w:numId w:val="321"/>
        </w:numPr>
        <w:spacing w:line="264" w:lineRule="auto"/>
        <w:ind w:left="0" w:firstLine="709"/>
        <w:rPr>
          <w:rFonts w:ascii="Arial" w:eastAsia="Calibri" w:hAnsi="Arial" w:cs="Arial"/>
          <w:szCs w:val="28"/>
        </w:rPr>
      </w:pPr>
      <w:r w:rsidRPr="00511005">
        <w:rPr>
          <w:rFonts w:ascii="Arial" w:eastAsia="Calibri" w:hAnsi="Arial" w:cs="Arial"/>
          <w:szCs w:val="28"/>
        </w:rPr>
        <w:t xml:space="preserve">Про соціальний і правовий захист військовослужбовців та членів їх сімей: Закон України від 26.01.1992 № 2010–XII (в ред. 2024). Відомості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1992. № 6. URL: https://zakon.rada.gov.ua/laws/show/2011-12#Text</w:t>
      </w:r>
    </w:p>
    <w:p w14:paraId="28AD7987" w14:textId="77777777" w:rsidR="00C10374" w:rsidRPr="00511005" w:rsidRDefault="00C10374" w:rsidP="003F6A5D">
      <w:pPr>
        <w:numPr>
          <w:ilvl w:val="0"/>
          <w:numId w:val="321"/>
        </w:numPr>
        <w:spacing w:line="264" w:lineRule="auto"/>
        <w:ind w:left="0" w:firstLine="709"/>
        <w:rPr>
          <w:rFonts w:ascii="Arial" w:eastAsia="Calibri" w:hAnsi="Arial" w:cs="Arial"/>
          <w:szCs w:val="28"/>
        </w:rPr>
      </w:pPr>
      <w:r w:rsidRPr="00511005">
        <w:rPr>
          <w:rFonts w:ascii="Arial" w:eastAsia="Calibri" w:hAnsi="Arial" w:cs="Arial"/>
          <w:szCs w:val="28"/>
        </w:rPr>
        <w:t>Порядок організації діяльності служб супроводу військовослужбовців, осіб рядового і начальницького складу служби цивільного захисту, поліцейських та членів їх сімей: затверджено постановою Кабінету Міністрів України від 20 серпня 2024 р. № 948. URL: https://zakon.rada.gov.ua/laws/show/948-2024-%D0%BF#Text</w:t>
      </w:r>
    </w:p>
    <w:p w14:paraId="221BE877" w14:textId="77777777" w:rsidR="00C10374" w:rsidRPr="00511005" w:rsidRDefault="00C10374" w:rsidP="003F6A5D">
      <w:pPr>
        <w:numPr>
          <w:ilvl w:val="0"/>
          <w:numId w:val="321"/>
        </w:numPr>
        <w:spacing w:line="264" w:lineRule="auto"/>
        <w:ind w:left="0" w:firstLine="709"/>
        <w:rPr>
          <w:rFonts w:ascii="Arial" w:eastAsia="Calibri" w:hAnsi="Arial" w:cs="Arial"/>
          <w:szCs w:val="28"/>
          <w:lang w:val="pl-PL"/>
        </w:rPr>
      </w:pPr>
      <w:r w:rsidRPr="00511005">
        <w:rPr>
          <w:rFonts w:ascii="Arial" w:eastAsia="Calibri" w:hAnsi="Arial" w:cs="Arial"/>
          <w:szCs w:val="28"/>
        </w:rPr>
        <w:t xml:space="preserve">Іпатенко О., Милокостий Д., Л. Аболончикова. Правовий захист військовослужбовців. </w:t>
      </w:r>
      <w:r w:rsidRPr="00511005">
        <w:rPr>
          <w:rFonts w:ascii="Arial" w:eastAsia="Calibri" w:hAnsi="Arial" w:cs="Arial"/>
          <w:i/>
          <w:szCs w:val="28"/>
        </w:rPr>
        <w:t>Офіційний сайт безоплатної правничої допомоги.</w:t>
      </w:r>
      <w:r w:rsidRPr="00511005">
        <w:rPr>
          <w:rFonts w:ascii="Arial" w:eastAsia="Calibri" w:hAnsi="Arial" w:cs="Arial"/>
          <w:szCs w:val="28"/>
        </w:rPr>
        <w:t xml:space="preserve"> </w:t>
      </w:r>
      <w:r w:rsidRPr="00511005">
        <w:rPr>
          <w:rFonts w:ascii="Arial" w:eastAsia="Calibri" w:hAnsi="Arial" w:cs="Arial"/>
          <w:szCs w:val="28"/>
          <w:lang w:val="pl-PL"/>
        </w:rPr>
        <w:t>URL: https://legalaid.gov.ua/kliyentam/pro-bezoplatnu-pravovu-dopomogu-bpd/</w:t>
      </w:r>
    </w:p>
    <w:p w14:paraId="23B1EE74" w14:textId="77777777" w:rsidR="00C10374" w:rsidRPr="00511005" w:rsidRDefault="00C10374" w:rsidP="003F6A5D">
      <w:pPr>
        <w:numPr>
          <w:ilvl w:val="0"/>
          <w:numId w:val="321"/>
        </w:numPr>
        <w:spacing w:line="264" w:lineRule="auto"/>
        <w:ind w:left="0" w:firstLine="709"/>
        <w:rPr>
          <w:rFonts w:ascii="Arial" w:eastAsia="Calibri" w:hAnsi="Arial" w:cs="Arial"/>
          <w:szCs w:val="28"/>
          <w:lang w:val="pl-PL"/>
        </w:rPr>
      </w:pPr>
      <w:r w:rsidRPr="00511005">
        <w:rPr>
          <w:rFonts w:ascii="Arial" w:eastAsia="Calibri" w:hAnsi="Arial" w:cs="Arial"/>
          <w:szCs w:val="28"/>
        </w:rPr>
        <w:t>Меліхова Ю. Діяльність адвокатури в умовах воєнного часу // Адвокатура України: сучасний стан та перспективи розвитку: зб. матеріалів. С</w:t>
      </w:r>
      <w:r w:rsidRPr="00511005">
        <w:rPr>
          <w:rFonts w:ascii="Arial" w:eastAsia="Calibri" w:hAnsi="Arial" w:cs="Arial"/>
          <w:szCs w:val="28"/>
          <w:lang w:val="pl-PL"/>
        </w:rPr>
        <w:t xml:space="preserve">. 84–87. URL: https://nauka.nlu.edu.ua/nauka/wp-content/uploads/2024/02/vilchyk-zbirnyk_verstka.pdf </w:t>
      </w:r>
    </w:p>
    <w:p w14:paraId="7C15AE14" w14:textId="77777777" w:rsidR="00C10374" w:rsidRPr="00511005" w:rsidRDefault="00C10374" w:rsidP="003F6A5D">
      <w:pPr>
        <w:numPr>
          <w:ilvl w:val="0"/>
          <w:numId w:val="321"/>
        </w:numPr>
        <w:spacing w:line="264" w:lineRule="auto"/>
        <w:ind w:left="0" w:firstLine="709"/>
        <w:rPr>
          <w:rFonts w:ascii="Arial" w:eastAsia="Calibri" w:hAnsi="Arial" w:cs="Arial"/>
          <w:szCs w:val="28"/>
          <w:lang w:val="pl-PL"/>
        </w:rPr>
      </w:pPr>
      <w:r w:rsidRPr="00511005">
        <w:rPr>
          <w:rFonts w:ascii="Arial" w:eastAsia="Calibri" w:hAnsi="Arial" w:cs="Arial"/>
          <w:szCs w:val="28"/>
        </w:rPr>
        <w:t>Пасенюк О. Основи захисту прав військовослужбовців та їх родин адвокатом (правовий статус осіб, зниклих безвісти за особливих обставин та військовополонених). // Адвокатура України: сучасний стан та перспективи розвитку: зб. матеріалів. С</w:t>
      </w:r>
      <w:r w:rsidRPr="00511005">
        <w:rPr>
          <w:rFonts w:ascii="Arial" w:eastAsia="Calibri" w:hAnsi="Arial" w:cs="Arial"/>
          <w:szCs w:val="28"/>
          <w:lang w:val="pl-PL"/>
        </w:rPr>
        <w:t>. 102–105. URL: https://nauka.nlu.edu.ua/nauka/wp-content/uploads/2024/02/vilchyk-zbirnyk_verstka.pdf</w:t>
      </w:r>
    </w:p>
    <w:p w14:paraId="66C44294" w14:textId="77777777" w:rsidR="00C10374" w:rsidRPr="00511005" w:rsidRDefault="00C10374" w:rsidP="003A292D">
      <w:pPr>
        <w:keepNext/>
        <w:spacing w:line="264" w:lineRule="auto"/>
        <w:ind w:firstLine="0"/>
        <w:rPr>
          <w:rFonts w:ascii="Arial" w:eastAsia="Calibri" w:hAnsi="Arial" w:cs="Arial"/>
          <w:b/>
          <w:szCs w:val="28"/>
          <w:lang w:val="uk-UA"/>
        </w:rPr>
      </w:pPr>
    </w:p>
    <w:p w14:paraId="123B17C9" w14:textId="1B18A65D" w:rsidR="00C10374" w:rsidRPr="00511005" w:rsidRDefault="007B2628" w:rsidP="003A292D">
      <w:pPr>
        <w:keepNext/>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адвокатура, захист прав, військовослужбовці, безоплатна правова допомога, військовий адвокат, нормативно-правове регулювання, міжнародні стандарти адвокатської діяльності, адвокатська таємниця, службa супроводу військовослужбовців, адвокатська етика, доступ до правосуддя, професійна незалежність адвоката</w:t>
      </w:r>
    </w:p>
    <w:p w14:paraId="000C42B4" w14:textId="40830B40" w:rsidR="00C10374" w:rsidRPr="00511005" w:rsidRDefault="007B2628" w:rsidP="003A292D">
      <w:pPr>
        <w:keepNext/>
        <w:spacing w:line="264" w:lineRule="auto"/>
        <w:rPr>
          <w:rFonts w:ascii="Arial" w:eastAsia="Calibri" w:hAnsi="Arial" w:cs="Arial"/>
          <w:bCs/>
          <w:szCs w:val="28"/>
          <w:lang w:val="uk-UA"/>
        </w:rPr>
      </w:pPr>
      <w:r w:rsidRPr="00511005">
        <w:rPr>
          <w:rFonts w:ascii="Arial" w:eastAsia="Calibri" w:hAnsi="Arial" w:cs="Arial"/>
          <w:b/>
          <w:i/>
          <w:szCs w:val="28"/>
          <w:lang w:val="uk-UA"/>
        </w:rPr>
        <w:t xml:space="preserve">Key words: </w:t>
      </w:r>
      <w:r w:rsidR="00C10374" w:rsidRPr="00511005">
        <w:rPr>
          <w:rFonts w:ascii="Arial" w:eastAsia="Calibri" w:hAnsi="Arial" w:cs="Arial"/>
          <w:bCs/>
          <w:szCs w:val="28"/>
          <w:lang w:val="uk-UA"/>
        </w:rPr>
        <w:t>advocacy, protection of rights, military personnel, free legal aid, military lawyer, regulatory and legal regulation, international standards of legal practice, lawyer's confidentiality, military escort service, lawyer's ethics, access to justice, professional independence of a lawyer.</w:t>
      </w:r>
    </w:p>
    <w:p w14:paraId="7167AE35" w14:textId="678B4C31" w:rsidR="00C10374" w:rsidRPr="00511005" w:rsidRDefault="007B2628" w:rsidP="003A292D">
      <w:pPr>
        <w:keepNext/>
        <w:spacing w:line="264" w:lineRule="auto"/>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C10374" w:rsidRPr="00511005">
        <w:rPr>
          <w:rFonts w:ascii="Arial" w:eastAsia="Calibri" w:hAnsi="Arial" w:cs="Arial"/>
          <w:bCs/>
          <w:i/>
          <w:iCs/>
          <w:szCs w:val="28"/>
          <w:lang w:val="uk-UA"/>
        </w:rPr>
        <w:t>старший викладач кафедри Нестерчук Л. П.</w:t>
      </w:r>
    </w:p>
    <w:p w14:paraId="319317A6" w14:textId="77777777" w:rsidR="00C10374" w:rsidRPr="00511005" w:rsidRDefault="00C10374" w:rsidP="003A292D">
      <w:pPr>
        <w:keepNext/>
        <w:spacing w:line="264" w:lineRule="auto"/>
        <w:rPr>
          <w:rFonts w:ascii="Arial" w:eastAsia="Calibri" w:hAnsi="Arial" w:cs="Arial"/>
          <w:bCs/>
          <w:i/>
          <w:iCs/>
          <w:szCs w:val="28"/>
          <w:lang w:val="uk-UA"/>
        </w:rPr>
      </w:pPr>
    </w:p>
    <w:p w14:paraId="7F56D81B" w14:textId="77777777" w:rsidR="00C10374" w:rsidRPr="00511005" w:rsidRDefault="00C10374" w:rsidP="003A292D">
      <w:pPr>
        <w:spacing w:line="264" w:lineRule="auto"/>
        <w:ind w:firstLine="0"/>
        <w:jc w:val="center"/>
        <w:rPr>
          <w:rFonts w:ascii="Arial" w:eastAsia="Calibri" w:hAnsi="Arial" w:cs="Arial"/>
          <w:b/>
          <w:i/>
          <w:iCs/>
          <w:szCs w:val="28"/>
          <w:lang w:val="uk-UA" w:eastAsia="ru-RU"/>
        </w:rPr>
      </w:pPr>
      <w:r w:rsidRPr="00511005">
        <w:rPr>
          <w:rFonts w:ascii="Arial" w:eastAsia="Calibri" w:hAnsi="Arial" w:cs="Arial"/>
          <w:b/>
          <w:i/>
          <w:iCs/>
          <w:szCs w:val="28"/>
          <w:lang w:val="uk-UA" w:eastAsia="ru-RU"/>
        </w:rPr>
        <w:t>Сидловський Сергій Віталійович</w:t>
      </w:r>
    </w:p>
    <w:p w14:paraId="41AD6E35" w14:textId="35568480" w:rsidR="00C10374" w:rsidRPr="00511005" w:rsidRDefault="00536AAB" w:rsidP="003A292D">
      <w:pPr>
        <w:spacing w:line="264" w:lineRule="auto"/>
        <w:ind w:firstLine="0"/>
        <w:jc w:val="center"/>
        <w:rPr>
          <w:rFonts w:ascii="Arial" w:eastAsia="Calibri" w:hAnsi="Arial" w:cs="Arial"/>
          <w:iCs/>
          <w:szCs w:val="28"/>
          <w:lang w:val="uk-UA" w:eastAsia="ru-RU"/>
        </w:rPr>
      </w:pPr>
      <w:r w:rsidRPr="00511005">
        <w:rPr>
          <w:rFonts w:ascii="Arial" w:eastAsia="Calibri" w:hAnsi="Arial" w:cs="Arial"/>
          <w:iCs/>
          <w:szCs w:val="28"/>
          <w:lang w:val="uk-UA" w:eastAsia="ru-RU"/>
        </w:rPr>
        <w:t>студент 2-го курсу факультету адвокатури та антикорупційної діяльності</w:t>
      </w:r>
    </w:p>
    <w:p w14:paraId="3569BE65" w14:textId="6028C549" w:rsidR="00C10374" w:rsidRPr="00511005" w:rsidRDefault="007B2628" w:rsidP="003A292D">
      <w:pPr>
        <w:spacing w:line="264" w:lineRule="auto"/>
        <w:ind w:firstLine="0"/>
        <w:jc w:val="center"/>
        <w:rPr>
          <w:rFonts w:ascii="Arial" w:eastAsia="Calibri" w:hAnsi="Arial" w:cs="Arial"/>
          <w:iCs/>
          <w:szCs w:val="28"/>
          <w:lang w:val="uk-UA" w:eastAsia="ru-RU"/>
        </w:rPr>
      </w:pPr>
      <w:r w:rsidRPr="00511005">
        <w:rPr>
          <w:rFonts w:ascii="Arial" w:eastAsia="Calibri" w:hAnsi="Arial" w:cs="Arial"/>
          <w:iCs/>
          <w:szCs w:val="28"/>
          <w:lang w:val="uk-UA" w:eastAsia="ru-RU"/>
        </w:rPr>
        <w:t>Національного університету «Одеська юридична академія»</w:t>
      </w:r>
    </w:p>
    <w:p w14:paraId="34BA0C0C" w14:textId="77777777" w:rsidR="00C10374" w:rsidRPr="00511005" w:rsidRDefault="00C10374" w:rsidP="003A292D">
      <w:pPr>
        <w:spacing w:line="264" w:lineRule="auto"/>
        <w:ind w:firstLine="0"/>
        <w:jc w:val="center"/>
        <w:rPr>
          <w:rFonts w:ascii="Arial" w:eastAsia="Calibri" w:hAnsi="Arial" w:cs="Arial"/>
          <w:iCs/>
          <w:szCs w:val="28"/>
          <w:lang w:val="uk-UA" w:eastAsia="ru-RU"/>
        </w:rPr>
      </w:pPr>
    </w:p>
    <w:p w14:paraId="606CFCA7" w14:textId="77777777" w:rsidR="00C10374" w:rsidRPr="00511005" w:rsidRDefault="00C10374" w:rsidP="003A292D">
      <w:pPr>
        <w:spacing w:line="264" w:lineRule="auto"/>
        <w:ind w:firstLine="0"/>
        <w:jc w:val="center"/>
        <w:rPr>
          <w:rFonts w:ascii="Arial" w:eastAsia="Calibri" w:hAnsi="Arial" w:cs="Arial"/>
          <w:b/>
          <w:bCs/>
          <w:iCs/>
          <w:szCs w:val="28"/>
          <w:lang w:val="uk-UA" w:eastAsia="ru-RU"/>
        </w:rPr>
      </w:pPr>
      <w:r w:rsidRPr="00511005">
        <w:rPr>
          <w:rFonts w:ascii="Arial" w:eastAsia="Calibri" w:hAnsi="Arial" w:cs="Arial"/>
          <w:b/>
          <w:bCs/>
          <w:iCs/>
          <w:szCs w:val="28"/>
          <w:lang w:val="uk-UA" w:eastAsia="ru-RU"/>
        </w:rPr>
        <w:t>ОСОБЛИВОСТІ НАДАННЯ БЕЗОПЛАТНОЇ ПРАВОВОЇ ДОПОМОГИ В УКРАЇНІ ПІД ЧАС ВОЄННОГО СТАНУ</w:t>
      </w:r>
    </w:p>
    <w:p w14:paraId="502579C5"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Безоплатна правова допомога (БПД) є важливим елементом забезпечення прав і свобод людини в Україні, що має конституційне підґрунтя. Її завдання полягає в наданні професійних правничих послуг для захисту, реалізації та відновлення прав громадян. Фінансування БПД здійснюється за рахунок державного та місцевих бюджетів, а також інших джерел, що забезпечує її доступність для всіх осіб, які перебувають під юрисдикцією України. Система включає надання консультаційних послуг, представництво в судах та інших органах, сприяючи рівному доступу до правосуддя [1].</w:t>
      </w:r>
    </w:p>
    <w:p w14:paraId="48BD5202"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БПД поділяється на первинну та вторинну правову допомогу, кожна з яких має свої особливості. Первинна допомога охоплює консультації, роз’яснення, підготовку непроцесуальних документів, а також сприяння в отриманні вторинної допомоги чи використанні альтернативних методів вирішення спорів. Вона доступна всім особам, які перебувають під юрисдикцією України, незалежно від громадянства чи соціального статусу. Вторинна допомога включає захист прав, представництво інтересів у судах, органах державної влади, місцевого самоврядування чи перед іншими особами, а також складання процесуальних документів. Цей вид допомоги надається певним категоріям осіб, визначеним законодавством, зокрема соціально вразливим групам [1, 2, с. 78].</w:t>
      </w:r>
    </w:p>
    <w:p w14:paraId="21FFEF98"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Організація БПД здійснюється через широку мережу суб’єктів, до якої входять Координаційний центр з надання правової допомоги, органи виконавчої влади, місцевого самоврядування, фізичні та юридичні особи приватного права, спеціалізовані установи, центри вторинної правової допомоги, а також адвокати, внесені до Реєстру адвокатів для надання вторинної допомоги. Крім того, правову допомогу на безоплатній основі можуть надавати фізичні та юридичні особи, які діють самостійно або у співпраці з благодійними організаціями, що сприяє ширшому доступу до правничої підтримки [1].</w:t>
      </w:r>
    </w:p>
    <w:p w14:paraId="72975E07"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 xml:space="preserve">Через війну, розпочату Російською Федерацією, система БПД зіткнулася з новими викликами, що потребують швидкої адаптації. З початку повномасштабного вторгнення 24 лютого 2022 року кількість звернень за правовою допомогою значно зросла. За даними Координаційного центру з надання правової допомоги, з лютого по липень 2022 року було зареєстровано понад 101,8 тис. звернень, і їх число продовжує зростати. Найпоширеніші запити стосуються перетину державного кордону, отримання статусу внутрішньо переміщеної особи, соціальних виплат, трудових прав, мобілізації, гуманітарної допомоги, а також оформлення статусу біженця чи тимчасового захисту в країнах ЄС. Зміни в законодавстві, </w:t>
      </w:r>
      <w:r w:rsidRPr="00511005">
        <w:rPr>
          <w:rFonts w:ascii="Arial" w:eastAsia="Calibri" w:hAnsi="Arial" w:cs="Arial"/>
          <w:iCs/>
          <w:szCs w:val="28"/>
          <w:lang w:val="uk-UA" w:eastAsia="ru-RU"/>
        </w:rPr>
        <w:lastRenderedPageBreak/>
        <w:t>спричинені воєнним станом, призвели до появи нових категорій справ, таких як розірвання трудових договорів у зонах бойових дій, встановлення факту смерті чи призупинення трудових відносин [3].</w:t>
      </w:r>
    </w:p>
    <w:p w14:paraId="33FF1B25"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Одним із ключових викликів для системи БПД під час війни є обмеження доступу до послуг. Через бойові дії частина бюро правової допомоги припинила роботу або перейшла на дистанційний формат. У регіонах активних бойових дій кількість діючих бюро значно скоротилася, а на окупованих територіях доступ до правової допомоги ускладнений через відсутність зв’язку чи українського сегменту інтернету. Наприклад, у Києві консультаційні пункти зупинили діяльність з 24 лютого 2022 року через безпекові ризики, відновивши роботу лише у квітні. Водночас у регіонах із більш стабільною ситуацією фахівці БПД продовжують працювати в офісах, на вокзалах, у місцях перебування ВПО та інших локаціях, адаптуючись до нових умов [9, с. 78].</w:t>
      </w:r>
    </w:p>
    <w:p w14:paraId="5CC123CB"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Фінансові труднощі також вплинули на функціонування системи БПД, оскільки бюджетні кошти спрямовуються переважно на оборону та безпеку. У 2022 році виникла заборгованість з оплати праці адвокатів, які надають вторинну правову допомогу, через віднесення цих витрат до незахищених статей бюджету. Проте адвокати продовжували надавати послуги, адже право на БПД, гарантоване законом, залишається чинним навіть у воєнний час. Це підкреслює необхідність стабільного фінансування для забезпечення якісного захисту прав громадян [4].</w:t>
      </w:r>
    </w:p>
    <w:p w14:paraId="78871C47"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Кадрові проблеми додатково ускладнюють роботу системи БПД. Багато адвокатів, які співпрацювали з центрами вторинної правової допомоги, виїхали за кордон, стали внутрішньо переміщеними особами або були мобілізовані. Водночас до системи в інших регіонах долучаються адвокати з територій бойових дій, таких як Херсонська, Харківська, Донецька та Луганська області. Наприклад, у Львівській області з початку війни почали працювати 18 адвокатів-переселенців із постраждалих регіонів. Однак у зонах активних бойових дій дефіцит кваліфікованих фахівців залишається серйозною проблемою [5].</w:t>
      </w:r>
    </w:p>
    <w:p w14:paraId="7254C175"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Особлива увага в умовах війни приділяється захисту прав дітей, які постраждали від воєнних дій. Багато дітей зазнали травм, втратили рідних, стали жертвами насильства чи отримали статус сиріт. Законодавство гарантує дітям доступ до вторинної правової допомоги, а фахівці БПД активно проводять правопросвітницьку роботу, інформуючи дітей і батьків про їхні права та способи їх захисту. Ці зусилля є важливим кроком для подолання кризи захисту прав дітей, спричиненої війною [9, с. 78].</w:t>
      </w:r>
    </w:p>
    <w:p w14:paraId="388E9479"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 xml:space="preserve">Для громадян, які виїхали за кордон, правова підтримка залишається актуальною. Закордонні представництва Національної асоціації адвокатів України надають безоплатну правову допомогу біженцям у Польщі, Австрії, Латвії, Італії, Угорщині та Румунії. Проте доступ до правової допомоги для </w:t>
      </w:r>
      <w:r w:rsidRPr="00511005">
        <w:rPr>
          <w:rFonts w:ascii="Arial" w:eastAsia="Calibri" w:hAnsi="Arial" w:cs="Arial"/>
          <w:iCs/>
          <w:szCs w:val="28"/>
          <w:lang w:val="uk-UA" w:eastAsia="ru-RU"/>
        </w:rPr>
        <w:lastRenderedPageBreak/>
        <w:t>осіб на окупованих територіях або в полоні залишається обмеженим, що створює значні виклики для захисту їхніх прав. Пропонується залучати адвокатів до організації обміну військовополонених, що могло б сприяти забезпеченню їхніх прав відповідно до міжнародних стандартів [6, с. 9].</w:t>
      </w:r>
    </w:p>
    <w:p w14:paraId="50E2C03F"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Українське законодавство адаптується до викликів воєнного часу. У 2022 році до Закону України «Про безоплатну правову допомогу» внесено зміни, які розширили перелік осіб, що мають право на вторинну правову допомогу. До нього включено членів сімей загиблих захисників України, осіб без документів, що посвідчують особу, а також жертв катувань чи насильства під час бойових дій. Ці зміни відображають прагнення держави підтримати постраждалих від війни [7, 8].</w:t>
      </w:r>
    </w:p>
    <w:p w14:paraId="25F60602"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Висновок: Отже, надання безоплатної правової допомоги (БПД) під час воєнного стану ускладнене через соціально-економічні проблеми та часті зміни законодавства. Основні перешкоди охоплюють обмежений доступ до БПД, зокрема в окупованих регіонах і зонах бойових дій, брак кваліфікованих адвокатів і фахівців у районах конфлікту, а також зростання кількості звернень через нові виклики, спричинені війною.</w:t>
      </w:r>
    </w:p>
    <w:p w14:paraId="6A513B63" w14:textId="77777777" w:rsidR="00C10374" w:rsidRPr="00511005" w:rsidRDefault="00C10374" w:rsidP="003A292D">
      <w:pPr>
        <w:spacing w:line="264" w:lineRule="auto"/>
        <w:ind w:firstLine="567"/>
        <w:rPr>
          <w:rFonts w:ascii="Arial" w:eastAsia="Calibri" w:hAnsi="Arial" w:cs="Arial"/>
          <w:iCs/>
          <w:szCs w:val="28"/>
          <w:lang w:val="uk-UA" w:eastAsia="ru-RU"/>
        </w:rPr>
      </w:pPr>
      <w:r w:rsidRPr="00511005">
        <w:rPr>
          <w:rFonts w:ascii="Arial" w:eastAsia="Calibri" w:hAnsi="Arial" w:cs="Arial"/>
          <w:iCs/>
          <w:szCs w:val="28"/>
          <w:lang w:val="uk-UA" w:eastAsia="ru-RU"/>
        </w:rPr>
        <w:t>Для вдосконалення системи БПД у воєнний період пропонується низка заходів. По-перше, залучення адвокатів до організації обміну військовополонених для захисту їхніх прав. По-друге, забезпечення стабільного фінансування оплати послуг адвокатів із державного бюджету, що підвищить їхню мотивацію до співпраці. По-третє, розширення волонтерського руху для правопросвітницької діяльності та надання БПД, що дозволить охопити більшу кількість осіб, які потребують підтримки. Ці ініціативи сприятимуть зміцненню системи БПД і захисту прав громадян у складних умовах воєнного стану [6, 9, с. 78].</w:t>
      </w:r>
    </w:p>
    <w:p w14:paraId="49603BCD" w14:textId="77777777" w:rsidR="00C10374" w:rsidRPr="00511005" w:rsidRDefault="00C10374" w:rsidP="003A292D">
      <w:pPr>
        <w:spacing w:line="264" w:lineRule="auto"/>
        <w:ind w:firstLine="567"/>
        <w:rPr>
          <w:rFonts w:ascii="Arial" w:eastAsia="Calibri" w:hAnsi="Arial" w:cs="Arial"/>
          <w:iCs/>
          <w:szCs w:val="28"/>
          <w:lang w:val="uk-UA" w:eastAsia="ru-RU"/>
        </w:rPr>
      </w:pPr>
    </w:p>
    <w:p w14:paraId="0BE30476" w14:textId="414954B6" w:rsidR="00C10374" w:rsidRPr="00511005" w:rsidRDefault="007B2628" w:rsidP="007B2628">
      <w:pPr>
        <w:spacing w:line="264" w:lineRule="auto"/>
        <w:ind w:firstLine="567"/>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1F2EE64E" w14:textId="77777777" w:rsidR="00C10374" w:rsidRPr="00511005" w:rsidRDefault="00C10374" w:rsidP="003F6A5D">
      <w:pPr>
        <w:numPr>
          <w:ilvl w:val="0"/>
          <w:numId w:val="322"/>
        </w:numPr>
        <w:spacing w:line="264" w:lineRule="auto"/>
        <w:ind w:left="0" w:firstLine="851"/>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 безоплатну правничу допомогу : Закон України від 02 черв. 2011 р. № 3460-VI. Відомості Верховної Ради України. 2011. № 51. Ст. 2136. С. 577. URL: </w:t>
      </w:r>
      <w:hyperlink r:id="rId1188" w:history="1">
        <w:r w:rsidRPr="00511005">
          <w:rPr>
            <w:rFonts w:ascii="Arial" w:eastAsia="Times New Roman" w:hAnsi="Arial" w:cs="Arial"/>
            <w:szCs w:val="28"/>
            <w:lang w:val="uk-UA" w:eastAsia="ru-RU"/>
          </w:rPr>
          <w:t>https://zakon.rada.gov.ua/laws/show/3460-17</w:t>
        </w:r>
      </w:hyperlink>
      <w:r w:rsidRPr="00511005">
        <w:rPr>
          <w:rFonts w:ascii="Arial" w:eastAsia="Times New Roman" w:hAnsi="Arial" w:cs="Arial"/>
          <w:szCs w:val="28"/>
          <w:lang w:val="uk-UA" w:eastAsia="ru-RU"/>
        </w:rPr>
        <w:t xml:space="preserve"> (дата звернення: 07.05.2025).</w:t>
      </w:r>
    </w:p>
    <w:p w14:paraId="65460418" w14:textId="77777777" w:rsidR="00C10374" w:rsidRPr="00511005" w:rsidRDefault="00C10374" w:rsidP="003F6A5D">
      <w:pPr>
        <w:numPr>
          <w:ilvl w:val="0"/>
          <w:numId w:val="322"/>
        </w:numPr>
        <w:spacing w:line="264" w:lineRule="auto"/>
        <w:ind w:left="0" w:firstLine="851"/>
        <w:contextualSpacing/>
        <w:jc w:val="left"/>
        <w:rPr>
          <w:rFonts w:ascii="Arial" w:eastAsia="Times New Roman" w:hAnsi="Arial" w:cs="Arial"/>
          <w:szCs w:val="28"/>
          <w:lang w:eastAsia="ru-RU"/>
        </w:rPr>
      </w:pPr>
      <w:r w:rsidRPr="00511005">
        <w:rPr>
          <w:rFonts w:ascii="Arial" w:eastAsia="Times New Roman" w:hAnsi="Arial" w:cs="Arial"/>
          <w:szCs w:val="28"/>
          <w:lang w:val="uk-UA" w:eastAsia="ru-RU"/>
        </w:rPr>
        <w:t xml:space="preserve">Польська М. О. Суб’єкти відносин безоплатної правової допомоги в Україні. Науковий вісник Національної академії внутрішніх справ. 2016. </w:t>
      </w:r>
      <w:r w:rsidRPr="00511005">
        <w:rPr>
          <w:rFonts w:ascii="Arial" w:eastAsia="Times New Roman" w:hAnsi="Arial" w:cs="Arial"/>
          <w:szCs w:val="28"/>
          <w:lang w:eastAsia="ru-RU"/>
        </w:rPr>
        <w:t xml:space="preserve">№ 2. </w:t>
      </w:r>
      <w:r w:rsidRPr="00511005">
        <w:rPr>
          <w:rFonts w:ascii="Arial" w:eastAsia="Times New Roman" w:hAnsi="Arial" w:cs="Arial"/>
          <w:szCs w:val="28"/>
          <w:lang w:val="uk-UA" w:eastAsia="ru-RU"/>
        </w:rPr>
        <w:t>С</w:t>
      </w:r>
      <w:r w:rsidRPr="00511005">
        <w:rPr>
          <w:rFonts w:ascii="Arial" w:eastAsia="Times New Roman" w:hAnsi="Arial" w:cs="Arial"/>
          <w:szCs w:val="28"/>
          <w:lang w:eastAsia="ru-RU"/>
        </w:rPr>
        <w:t>. 76–85.</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189" w:history="1">
        <w:r w:rsidRPr="00511005">
          <w:rPr>
            <w:rFonts w:ascii="Arial" w:eastAsia="Times New Roman" w:hAnsi="Arial" w:cs="Arial"/>
            <w:szCs w:val="28"/>
            <w:lang w:val="uk-UA" w:eastAsia="ru-RU"/>
          </w:rPr>
          <w:t>http://nbuv.gov.ua/UJRN/Nvknuvs_2016_2_9</w:t>
        </w:r>
      </w:hyperlink>
      <w:r w:rsidRPr="00511005">
        <w:rPr>
          <w:rFonts w:ascii="Arial" w:eastAsia="Times New Roman" w:hAnsi="Arial" w:cs="Arial"/>
          <w:szCs w:val="28"/>
          <w:lang w:val="uk-UA" w:eastAsia="ru-RU"/>
        </w:rPr>
        <w:t xml:space="preserve"> (дата звернення: 07.05.2025).</w:t>
      </w:r>
    </w:p>
    <w:p w14:paraId="4A17EAAE" w14:textId="77777777" w:rsidR="00C10374" w:rsidRPr="00511005" w:rsidRDefault="00C10374" w:rsidP="003F6A5D">
      <w:pPr>
        <w:numPr>
          <w:ilvl w:val="0"/>
          <w:numId w:val="322"/>
        </w:numPr>
        <w:spacing w:line="264" w:lineRule="auto"/>
        <w:ind w:left="0" w:firstLine="851"/>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Держава продовжує надавати безоплатну правову допомогу в умовах війни. Голос України : веб-сайт. URL: </w:t>
      </w:r>
      <w:hyperlink r:id="rId1190" w:history="1">
        <w:r w:rsidRPr="00511005">
          <w:rPr>
            <w:rFonts w:ascii="Arial" w:eastAsia="Times New Roman" w:hAnsi="Arial" w:cs="Arial"/>
            <w:szCs w:val="28"/>
            <w:lang w:val="uk-UA" w:eastAsia="ru-RU"/>
          </w:rPr>
          <w:t>http://www.golos.com.ua/article/362753</w:t>
        </w:r>
      </w:hyperlink>
      <w:r w:rsidRPr="00511005">
        <w:rPr>
          <w:rFonts w:ascii="Arial" w:eastAsia="Times New Roman" w:hAnsi="Arial" w:cs="Arial"/>
          <w:szCs w:val="28"/>
          <w:lang w:val="uk-UA" w:eastAsia="ru-RU"/>
        </w:rPr>
        <w:t xml:space="preserve"> (дата звернення: 07.05.2025).</w:t>
      </w:r>
    </w:p>
    <w:p w14:paraId="1292E683" w14:textId="77777777" w:rsidR="00C10374" w:rsidRPr="00511005" w:rsidRDefault="00C10374" w:rsidP="003F6A5D">
      <w:pPr>
        <w:numPr>
          <w:ilvl w:val="0"/>
          <w:numId w:val="322"/>
        </w:numPr>
        <w:spacing w:line="264" w:lineRule="auto"/>
        <w:ind w:left="0" w:firstLine="851"/>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Здійснено фінансування оплати послуг та відшкодування витрат адвокатів, які надають БВПД. Безоплатна правнича допомога : веб-сайт. URL: </w:t>
      </w:r>
      <w:hyperlink r:id="rId1191" w:history="1">
        <w:r w:rsidRPr="00511005">
          <w:rPr>
            <w:rFonts w:ascii="Arial" w:eastAsia="Times New Roman" w:hAnsi="Arial" w:cs="Arial"/>
            <w:szCs w:val="28"/>
            <w:lang w:val="uk-UA" w:eastAsia="ru-RU"/>
          </w:rPr>
          <w:t>https://legalaid.gov.ua/novyny/zdijsneno-finansuvannya-oplaty-poslug-ta-</w:t>
        </w:r>
        <w:r w:rsidRPr="00511005">
          <w:rPr>
            <w:rFonts w:ascii="Arial" w:eastAsia="Times New Roman" w:hAnsi="Arial" w:cs="Arial"/>
            <w:szCs w:val="28"/>
            <w:lang w:val="uk-UA" w:eastAsia="ru-RU"/>
          </w:rPr>
          <w:lastRenderedPageBreak/>
          <w:t>vidshkoduvannya-vytrat-advokativ-yaki-nadayut-bvpd/</w:t>
        </w:r>
      </w:hyperlink>
      <w:r w:rsidRPr="00511005">
        <w:rPr>
          <w:rFonts w:ascii="Arial" w:eastAsia="Times New Roman" w:hAnsi="Arial" w:cs="Arial"/>
          <w:szCs w:val="28"/>
          <w:lang w:val="uk-UA" w:eastAsia="ru-RU"/>
        </w:rPr>
        <w:t xml:space="preserve"> (дата звернення: 07.05.2025).</w:t>
      </w:r>
    </w:p>
    <w:p w14:paraId="28A1E624" w14:textId="77777777" w:rsidR="00C10374" w:rsidRPr="00511005" w:rsidRDefault="00C10374" w:rsidP="003F6A5D">
      <w:pPr>
        <w:numPr>
          <w:ilvl w:val="0"/>
          <w:numId w:val="322"/>
        </w:numPr>
        <w:spacing w:line="264" w:lineRule="auto"/>
        <w:ind w:left="0" w:firstLine="851"/>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Як адвокати, які співпрацюють з системою БПД, захищають права українців в умовах воєнного стану. Вільшанська громада : веб-сайт. URL: </w:t>
      </w:r>
      <w:hyperlink r:id="rId1192" w:history="1">
        <w:r w:rsidRPr="00511005">
          <w:rPr>
            <w:rFonts w:ascii="Arial" w:eastAsia="Times New Roman" w:hAnsi="Arial" w:cs="Arial"/>
            <w:szCs w:val="28"/>
            <w:lang w:val="uk-UA" w:eastAsia="ru-RU"/>
          </w:rPr>
          <w:t>https://vilshsr.gov.ua/news/1655288895/</w:t>
        </w:r>
      </w:hyperlink>
      <w:r w:rsidRPr="00511005">
        <w:rPr>
          <w:rFonts w:ascii="Arial" w:eastAsia="Times New Roman" w:hAnsi="Arial" w:cs="Arial"/>
          <w:szCs w:val="28"/>
          <w:lang w:val="uk-UA" w:eastAsia="ru-RU"/>
        </w:rPr>
        <w:t xml:space="preserve"> (дата звернення: 07.05.2025).</w:t>
      </w:r>
    </w:p>
    <w:p w14:paraId="6606AF8B" w14:textId="77777777" w:rsidR="00C10374" w:rsidRPr="00511005" w:rsidRDefault="00C10374" w:rsidP="003F6A5D">
      <w:pPr>
        <w:numPr>
          <w:ilvl w:val="0"/>
          <w:numId w:val="322"/>
        </w:numPr>
        <w:spacing w:line="264" w:lineRule="auto"/>
        <w:ind w:left="0" w:firstLine="851"/>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НААУ пропонує долучити адвокатів до організації обміну військовополонених. Вісник Національної асоціації адвокатів України. 2022. Вип. № 3–5 (81). С. 10. URL: </w:t>
      </w:r>
      <w:hyperlink r:id="rId1193" w:history="1">
        <w:r w:rsidRPr="00511005">
          <w:rPr>
            <w:rFonts w:ascii="Arial" w:eastAsia="Times New Roman" w:hAnsi="Arial" w:cs="Arial"/>
            <w:szCs w:val="28"/>
            <w:lang w:val="uk-UA" w:eastAsia="ru-RU"/>
          </w:rPr>
          <w:t>https://unba.org.ua/news/7413-naau-proponuedoluchiti-advokativ-do-organizacii-obminu-vijs-kovopolonenih.html</w:t>
        </w:r>
      </w:hyperlink>
      <w:r w:rsidRPr="00511005">
        <w:rPr>
          <w:rFonts w:ascii="Arial" w:eastAsia="Times New Roman" w:hAnsi="Arial" w:cs="Arial"/>
          <w:szCs w:val="28"/>
          <w:lang w:val="uk-UA" w:eastAsia="ru-RU"/>
        </w:rPr>
        <w:t xml:space="preserve"> (дата звернення: 07.05.2025).</w:t>
      </w:r>
    </w:p>
    <w:p w14:paraId="298957BE" w14:textId="77777777" w:rsidR="00C10374" w:rsidRPr="00511005" w:rsidRDefault="00C10374" w:rsidP="003F6A5D">
      <w:pPr>
        <w:numPr>
          <w:ilvl w:val="0"/>
          <w:numId w:val="322"/>
        </w:numPr>
        <w:spacing w:line="264" w:lineRule="auto"/>
        <w:ind w:left="0" w:firstLine="851"/>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 внесення змін до деяких законодавчих актів України у зв’язку з внесенням змін до Закону України «Про статус ветеранів війни, гарантії їх соціального захисту» : Закон України від 24 берез. 2022 р. Голос України. 2022. 01 квіт. № 73.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194" w:anchor="Text" w:history="1">
        <w:r w:rsidRPr="00511005">
          <w:rPr>
            <w:rFonts w:ascii="Arial" w:eastAsia="Times New Roman" w:hAnsi="Arial" w:cs="Arial"/>
            <w:szCs w:val="28"/>
            <w:lang w:val="uk-UA" w:eastAsia="ru-RU"/>
          </w:rPr>
          <w:t>https://zakon.rada.gov.ua/laws/show/2153-20#Text</w:t>
        </w:r>
      </w:hyperlink>
      <w:r w:rsidRPr="00511005">
        <w:rPr>
          <w:rFonts w:ascii="Arial" w:eastAsia="Times New Roman" w:hAnsi="Arial" w:cs="Arial"/>
          <w:szCs w:val="28"/>
          <w:lang w:val="uk-UA" w:eastAsia="ru-RU"/>
        </w:rPr>
        <w:t xml:space="preserve"> (дата звернення: 07.05.2025).</w:t>
      </w:r>
    </w:p>
    <w:p w14:paraId="14F7CB40" w14:textId="77777777" w:rsidR="00C10374" w:rsidRPr="00511005" w:rsidRDefault="00C10374" w:rsidP="003F6A5D">
      <w:pPr>
        <w:numPr>
          <w:ilvl w:val="0"/>
          <w:numId w:val="322"/>
        </w:numPr>
        <w:spacing w:line="264" w:lineRule="auto"/>
        <w:ind w:left="0" w:firstLine="851"/>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 внесення змін до частини першої статті 14 Закону України «Про безоплатну правову допомогу» щодо розширення переліку осіб, які мають право на безоплатну вторинну правову допомогу : Закон України від 03 трав. 2022 р. Голос України. 2022. 19 трав. № 106.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195" w:anchor="Text" w:history="1">
        <w:r w:rsidRPr="00511005">
          <w:rPr>
            <w:rFonts w:ascii="Arial" w:eastAsia="Times New Roman" w:hAnsi="Arial" w:cs="Arial"/>
            <w:szCs w:val="28"/>
            <w:lang w:val="uk-UA" w:eastAsia="ru-RU"/>
          </w:rPr>
          <w:t>https://zakon.rada.gov.ua/laws/show/2238-20#Text</w:t>
        </w:r>
      </w:hyperlink>
      <w:r w:rsidRPr="00511005">
        <w:rPr>
          <w:rFonts w:ascii="Arial" w:eastAsia="Times New Roman" w:hAnsi="Arial" w:cs="Arial"/>
          <w:szCs w:val="28"/>
          <w:lang w:val="uk-UA" w:eastAsia="ru-RU"/>
        </w:rPr>
        <w:t xml:space="preserve"> (дата звернення: 07.05.2025).</w:t>
      </w:r>
    </w:p>
    <w:p w14:paraId="013D04B6" w14:textId="77777777" w:rsidR="00C10374" w:rsidRPr="00511005" w:rsidRDefault="00C10374" w:rsidP="003F6A5D">
      <w:pPr>
        <w:numPr>
          <w:ilvl w:val="0"/>
          <w:numId w:val="322"/>
        </w:numPr>
        <w:spacing w:line="264" w:lineRule="auto"/>
        <w:ind w:left="0" w:firstLine="851"/>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Литвин О. Л. Особливості надання безоплатної правової допомоги населенню в умовах воєнного стану. Знання європейського права. 2022. Вип. 2. С. 76–81.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196" w:history="1">
        <w:r w:rsidRPr="00511005">
          <w:rPr>
            <w:rFonts w:ascii="Arial" w:eastAsia="Times New Roman" w:hAnsi="Arial" w:cs="Arial"/>
            <w:szCs w:val="28"/>
            <w:lang w:val="uk-UA" w:eastAsia="ru-RU"/>
          </w:rPr>
          <w:t>http://jes.nuoua.od.ua/archive/2_2022/17.pdf</w:t>
        </w:r>
      </w:hyperlink>
      <w:r w:rsidRPr="00511005">
        <w:rPr>
          <w:rFonts w:ascii="Arial" w:eastAsia="Times New Roman" w:hAnsi="Arial" w:cs="Arial"/>
          <w:szCs w:val="28"/>
          <w:lang w:val="uk-UA" w:eastAsia="ru-RU"/>
        </w:rPr>
        <w:t xml:space="preserve"> (дата звернення: 07.05.2025).</w:t>
      </w:r>
    </w:p>
    <w:p w14:paraId="1CEA5EE9" w14:textId="77777777" w:rsidR="00C10374" w:rsidRPr="00511005" w:rsidRDefault="00C10374" w:rsidP="003A292D">
      <w:pPr>
        <w:spacing w:line="264" w:lineRule="auto"/>
        <w:ind w:left="851" w:firstLine="0"/>
        <w:contextualSpacing/>
        <w:jc w:val="left"/>
        <w:rPr>
          <w:rFonts w:ascii="Arial" w:eastAsia="Times New Roman" w:hAnsi="Arial" w:cs="Arial"/>
          <w:szCs w:val="28"/>
          <w:lang w:val="uk-UA" w:eastAsia="ru-RU"/>
        </w:rPr>
      </w:pPr>
    </w:p>
    <w:p w14:paraId="6647CB3D" w14:textId="3D9EA954" w:rsidR="00C10374" w:rsidRPr="00511005" w:rsidRDefault="007B2628" w:rsidP="003A292D">
      <w:pPr>
        <w:spacing w:line="264" w:lineRule="auto"/>
        <w:ind w:firstLine="567"/>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0374" w:rsidRPr="00511005">
        <w:rPr>
          <w:rFonts w:ascii="Arial" w:eastAsia="Calibri" w:hAnsi="Arial" w:cs="Arial"/>
          <w:szCs w:val="28"/>
          <w:lang w:val="uk-UA"/>
        </w:rPr>
        <w:t>безоплатна правова допомога, Координаційний центр, адвокати, правозахист, воєнний стан, внутрішньо переміщені особи, біженці, окуповані території, Національна асоціація адвокатів України.</w:t>
      </w:r>
    </w:p>
    <w:p w14:paraId="6B4CCA26" w14:textId="4E8D9FCC" w:rsidR="00C10374" w:rsidRPr="00511005" w:rsidRDefault="007B2628" w:rsidP="003A292D">
      <w:pPr>
        <w:spacing w:line="264" w:lineRule="auto"/>
        <w:ind w:firstLine="567"/>
        <w:rPr>
          <w:rFonts w:ascii="Arial" w:eastAsia="Calibri" w:hAnsi="Arial" w:cs="Arial"/>
          <w:szCs w:val="28"/>
          <w:lang w:val="en-US"/>
        </w:rPr>
      </w:pPr>
      <w:r w:rsidRPr="00511005">
        <w:rPr>
          <w:rFonts w:ascii="Arial" w:eastAsia="Calibri" w:hAnsi="Arial" w:cs="Arial"/>
          <w:b/>
          <w:bCs/>
          <w:i/>
          <w:szCs w:val="28"/>
          <w:lang w:val="en-US"/>
        </w:rPr>
        <w:t xml:space="preserve">Key words: </w:t>
      </w:r>
      <w:r w:rsidR="00C10374" w:rsidRPr="00511005">
        <w:rPr>
          <w:rFonts w:ascii="Arial" w:eastAsia="Calibri" w:hAnsi="Arial" w:cs="Arial"/>
          <w:szCs w:val="28"/>
          <w:lang w:val="en-US"/>
        </w:rPr>
        <w:t>free legal aid, Coordination Center, lawyers, human rights, martial law, internally displaced persons, refugees, occupied territories, National Bar Association of Ukraine.</w:t>
      </w:r>
    </w:p>
    <w:p w14:paraId="7BF3F402" w14:textId="4E09FB63" w:rsidR="00C10374" w:rsidRPr="00511005" w:rsidRDefault="007B2628" w:rsidP="003A292D">
      <w:pPr>
        <w:spacing w:line="264" w:lineRule="auto"/>
        <w:ind w:firstLine="567"/>
        <w:rPr>
          <w:rFonts w:ascii="Arial" w:eastAsia="Calibri" w:hAnsi="Arial" w:cs="Arial"/>
          <w:i/>
          <w:iCs/>
          <w:szCs w:val="28"/>
          <w:lang w:val="uk-UA"/>
        </w:rPr>
      </w:pPr>
      <w:r w:rsidRPr="00511005">
        <w:rPr>
          <w:rFonts w:ascii="Arial" w:eastAsia="Calibri" w:hAnsi="Arial" w:cs="Arial"/>
          <w:b/>
          <w:i/>
          <w:iCs/>
          <w:szCs w:val="28"/>
        </w:rPr>
        <w:t xml:space="preserve">Науковий керівник: </w:t>
      </w:r>
      <w:r w:rsidR="00C10374" w:rsidRPr="00511005">
        <w:rPr>
          <w:rFonts w:ascii="Arial" w:eastAsia="Calibri" w:hAnsi="Arial" w:cs="Arial"/>
          <w:i/>
          <w:iCs/>
          <w:szCs w:val="28"/>
        </w:rPr>
        <w:t>старший викладач кафедри</w:t>
      </w:r>
      <w:r w:rsidR="00C10374" w:rsidRPr="00511005">
        <w:rPr>
          <w:rFonts w:ascii="Arial" w:eastAsia="Calibri" w:hAnsi="Arial" w:cs="Arial"/>
          <w:i/>
          <w:iCs/>
          <w:szCs w:val="28"/>
          <w:lang w:val="uk-UA"/>
        </w:rPr>
        <w:t xml:space="preserve"> </w:t>
      </w:r>
      <w:r w:rsidR="00C10374" w:rsidRPr="00511005">
        <w:rPr>
          <w:rFonts w:ascii="Arial" w:eastAsia="Calibri" w:hAnsi="Arial" w:cs="Arial"/>
          <w:i/>
          <w:iCs/>
          <w:szCs w:val="28"/>
        </w:rPr>
        <w:t>Курганський О</w:t>
      </w:r>
      <w:r w:rsidR="00C10374" w:rsidRPr="00511005">
        <w:rPr>
          <w:rFonts w:ascii="Arial" w:eastAsia="Calibri" w:hAnsi="Arial" w:cs="Arial"/>
          <w:i/>
          <w:iCs/>
          <w:szCs w:val="28"/>
          <w:lang w:val="uk-UA"/>
        </w:rPr>
        <w:t>.</w:t>
      </w:r>
      <w:r w:rsidR="00C10374" w:rsidRPr="00511005">
        <w:rPr>
          <w:rFonts w:ascii="Arial" w:eastAsia="Calibri" w:hAnsi="Arial" w:cs="Arial"/>
          <w:i/>
          <w:iCs/>
          <w:szCs w:val="28"/>
        </w:rPr>
        <w:t>В</w:t>
      </w:r>
      <w:r w:rsidR="00C10374" w:rsidRPr="00511005">
        <w:rPr>
          <w:rFonts w:ascii="Arial" w:eastAsia="Calibri" w:hAnsi="Arial" w:cs="Arial"/>
          <w:i/>
          <w:iCs/>
          <w:szCs w:val="28"/>
          <w:lang w:val="uk-UA"/>
        </w:rPr>
        <w:t>.</w:t>
      </w:r>
    </w:p>
    <w:p w14:paraId="58E4F99F" w14:textId="77777777" w:rsidR="00C10374" w:rsidRPr="00511005" w:rsidRDefault="00C10374" w:rsidP="003A292D">
      <w:pPr>
        <w:spacing w:line="264" w:lineRule="auto"/>
        <w:ind w:firstLine="567"/>
        <w:rPr>
          <w:rFonts w:ascii="Arial" w:eastAsia="Calibri" w:hAnsi="Arial" w:cs="Arial"/>
          <w:i/>
          <w:iCs/>
          <w:szCs w:val="28"/>
          <w:lang w:val="uk-UA"/>
        </w:rPr>
      </w:pPr>
    </w:p>
    <w:p w14:paraId="63491D34" w14:textId="77777777" w:rsidR="00C10374" w:rsidRPr="00511005" w:rsidRDefault="00C10374" w:rsidP="003A292D">
      <w:pPr>
        <w:spacing w:line="264" w:lineRule="auto"/>
        <w:ind w:firstLine="567"/>
        <w:rPr>
          <w:rFonts w:ascii="Arial" w:eastAsia="Calibri" w:hAnsi="Arial" w:cs="Arial"/>
          <w:i/>
          <w:iCs/>
          <w:szCs w:val="28"/>
          <w:lang w:val="uk-UA"/>
        </w:rPr>
      </w:pPr>
    </w:p>
    <w:p w14:paraId="35C91414" w14:textId="77777777" w:rsidR="00C10374" w:rsidRPr="00511005" w:rsidRDefault="00C10374" w:rsidP="003A292D">
      <w:pPr>
        <w:keepNext/>
        <w:widowControl w:val="0"/>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Степашкін Сергій Станіславович</w:t>
      </w:r>
    </w:p>
    <w:p w14:paraId="7E141B87" w14:textId="6F18B8A1" w:rsidR="00C10374" w:rsidRPr="00511005" w:rsidRDefault="00BE3972" w:rsidP="003A292D">
      <w:pPr>
        <w:keepNext/>
        <w:widowControl w:val="0"/>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 1-го курсу </w:t>
      </w:r>
      <w:r w:rsidR="001B7B25" w:rsidRPr="00511005">
        <w:rPr>
          <w:rFonts w:ascii="Arial" w:eastAsia="Calibri" w:hAnsi="Arial" w:cs="Arial"/>
          <w:szCs w:val="28"/>
          <w:lang w:val="uk-UA"/>
        </w:rPr>
        <w:t>факультету судового та міжнародного права</w:t>
      </w:r>
      <w:r w:rsidR="00C10374" w:rsidRPr="00511005">
        <w:rPr>
          <w:rFonts w:ascii="Arial" w:eastAsia="Calibri" w:hAnsi="Arial" w:cs="Arial"/>
          <w:szCs w:val="28"/>
          <w:lang w:val="uk-UA"/>
        </w:rPr>
        <w:t xml:space="preserve"> </w:t>
      </w:r>
    </w:p>
    <w:p w14:paraId="64710932" w14:textId="144D6F20" w:rsidR="00C10374" w:rsidRPr="00511005" w:rsidRDefault="007B2628" w:rsidP="003A292D">
      <w:pPr>
        <w:keepNext/>
        <w:widowControl w:val="0"/>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F7AA671" w14:textId="77777777" w:rsidR="00C10374" w:rsidRPr="00511005" w:rsidRDefault="00C10374" w:rsidP="003A292D">
      <w:pPr>
        <w:keepNext/>
        <w:widowControl w:val="0"/>
        <w:spacing w:line="264" w:lineRule="auto"/>
        <w:ind w:firstLine="0"/>
        <w:jc w:val="center"/>
        <w:rPr>
          <w:rFonts w:ascii="Arial" w:eastAsia="Calibri" w:hAnsi="Arial" w:cs="Arial"/>
          <w:b/>
          <w:szCs w:val="28"/>
          <w:lang w:val="uk-UA"/>
        </w:rPr>
      </w:pPr>
    </w:p>
    <w:p w14:paraId="7F5030BD" w14:textId="77777777" w:rsidR="00C10374" w:rsidRPr="00511005" w:rsidRDefault="00C10374" w:rsidP="003A292D">
      <w:pPr>
        <w:keepNext/>
        <w:widowControl w:val="0"/>
        <w:spacing w:line="264" w:lineRule="auto"/>
        <w:ind w:firstLine="0"/>
        <w:jc w:val="center"/>
        <w:rPr>
          <w:rFonts w:ascii="Arial" w:eastAsia="Calibri" w:hAnsi="Arial" w:cs="Arial"/>
          <w:b/>
          <w:szCs w:val="28"/>
          <w:lang w:val="uk-UA"/>
        </w:rPr>
      </w:pPr>
      <w:r w:rsidRPr="00511005">
        <w:rPr>
          <w:rFonts w:ascii="Arial" w:eastAsia="Calibri" w:hAnsi="Arial" w:cs="Arial"/>
          <w:b/>
          <w:szCs w:val="28"/>
        </w:rPr>
        <w:t xml:space="preserve">СПЕЦІАЛІЗОВАНІ СУДИ В УКРАЇНІ: ДОСВІД, ПРОБЛЕМИ ТА </w:t>
      </w:r>
      <w:r w:rsidRPr="00511005">
        <w:rPr>
          <w:rFonts w:ascii="Arial" w:eastAsia="Calibri" w:hAnsi="Arial" w:cs="Arial"/>
          <w:b/>
          <w:szCs w:val="28"/>
          <w:lang w:val="uk-UA"/>
        </w:rPr>
        <w:t xml:space="preserve">ПЕРСПЕКТИВИ РОЗВИТКУ </w:t>
      </w:r>
    </w:p>
    <w:p w14:paraId="119D8E3F" w14:textId="77777777" w:rsidR="00C10374" w:rsidRPr="00511005" w:rsidRDefault="00C10374" w:rsidP="003A292D">
      <w:pPr>
        <w:keepNext/>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Внаслідок судової реформи 2016 року та виданням останньої редакції </w:t>
      </w:r>
      <w:r w:rsidRPr="00511005">
        <w:rPr>
          <w:rFonts w:ascii="Arial" w:eastAsia="Calibri" w:hAnsi="Arial" w:cs="Arial"/>
          <w:szCs w:val="28"/>
          <w:lang w:val="uk-UA"/>
        </w:rPr>
        <w:lastRenderedPageBreak/>
        <w:t xml:space="preserve">Закону України «Про судоустрій та статус суддів», що масштабно реформувала судоустрій в Україні: чотирирівнева система судів була замінена на трирівневу, відповідно до неї Верховний суд очолив судоустрій, як суд касаційної інстанції, а спеціалізовані суди, що існували були ліквідовані. </w:t>
      </w:r>
    </w:p>
    <w:p w14:paraId="6466C3E0" w14:textId="77777777" w:rsidR="00C10374" w:rsidRPr="00511005" w:rsidRDefault="00C10374" w:rsidP="003A292D">
      <w:pPr>
        <w:keepNext/>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Сучасні спеціалізовані суди утворені наново [3, с.767], а їх теперішній стан та повноваження сформувались нещодавно, що дозволяє поставити питання про їхній розвиток, проблеми та формування сталої практики цих судів відкритим.</w:t>
      </w:r>
    </w:p>
    <w:p w14:paraId="55756308" w14:textId="77777777" w:rsidR="00C10374" w:rsidRPr="00511005" w:rsidRDefault="00C10374" w:rsidP="003A292D">
      <w:pPr>
        <w:keepNext/>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Тема про судову реформу 2016 року та спеціалізовані суди в Україні часто з’являється в суспільному та професійному обговоренні з різних позицій та точок зору: від загальної невизначеності громадян до обґрунтованих пропозицій науковців. Дослідження на цю тему проводили Бабкова Т.В., Марочкін І.Є., Руденко М.В., Саленко О.В., Тесленко І.О. та інші.</w:t>
      </w:r>
    </w:p>
    <w:p w14:paraId="13651103" w14:textId="77777777" w:rsidR="00C10374" w:rsidRPr="00511005" w:rsidRDefault="00C10374" w:rsidP="003A292D">
      <w:pPr>
        <w:keepNext/>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Як спеціалізовані суди наразі існують Вищий антикорупційний суд (ВАКС), Вищий суд з питань інтелектуальної власності(ВСІВ), Спеціалізований окружний адміністративний суд та Спеціалізований апеляційний адміністративний суд [5, ст.31]. На кожен із зазначених судів покладена велика відповідальність щодо здійснення правосуддя та окрема юрисдикція. Ці установи посідають першу ланку (розгляд справ по суті) та другу (розгляд с прав в апеляційному порядку) в системі судоустрою України та є судами першої та апеляційної інстанції.</w:t>
      </w:r>
    </w:p>
    <w:p w14:paraId="274A512B" w14:textId="77777777" w:rsidR="00C10374" w:rsidRPr="00511005" w:rsidRDefault="00C10374" w:rsidP="003A292D">
      <w:pPr>
        <w:keepNext/>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ВАКС почав свою роботу 5 вересня 2019 року. Здебільшого суд розглядає справи, за якими досудове розслідування здійснюється НАБУ, процесуальне керівництво здійснюється прокурорами САП. Вони стосуються розкрадання державного майна, зловживання впливом, владою або службовим становищем; нецільове використання бюджету, здійснення грошових видатків без встановленого призначення бюджетних коштів, надання чи отримання неправомірної вигоди; розкрадання, привласнення майна у вигляді службових документів, унікальних знаків приналежності до установи, як штампів, печаток тощо; зброї, вибухових та радіоактивних матеріалів; наркотичних, психотропних, психоактивних речовин, їх аналогів шляхом зловживання службовим становищем [1]. Суддів, окрім загальних вимог до кандидата, обирали з числа досвідчених у сфері протидії корупції юристів, доброчесних та не заплямованих у корупційних скандалах, загалом неодіозних осіб, що було здійснено за допомогою Громадської ради міжнародних експертів</w:t>
      </w:r>
      <w:r w:rsidRPr="00511005">
        <w:rPr>
          <w:rFonts w:ascii="Arial" w:eastAsia="Calibri" w:hAnsi="Arial" w:cs="Arial"/>
          <w:szCs w:val="28"/>
        </w:rPr>
        <w:t xml:space="preserve"> (ГРМЕ) [</w:t>
      </w:r>
      <w:r w:rsidRPr="00511005">
        <w:rPr>
          <w:rFonts w:ascii="Arial" w:eastAsia="Calibri" w:hAnsi="Arial" w:cs="Arial"/>
          <w:szCs w:val="28"/>
          <w:lang w:val="uk-UA"/>
        </w:rPr>
        <w:t>7</w:t>
      </w:r>
      <w:r w:rsidRPr="00511005">
        <w:rPr>
          <w:rFonts w:ascii="Arial" w:eastAsia="Calibri" w:hAnsi="Arial" w:cs="Arial"/>
          <w:szCs w:val="28"/>
        </w:rPr>
        <w:t>]</w:t>
      </w:r>
      <w:r w:rsidRPr="00511005">
        <w:rPr>
          <w:rFonts w:ascii="Arial" w:eastAsia="Calibri" w:hAnsi="Arial" w:cs="Arial"/>
          <w:szCs w:val="28"/>
          <w:lang w:val="uk-UA"/>
        </w:rPr>
        <w:t xml:space="preserve">. За роки діяльності суд постановив 207 рішень, з яких більше половини – під час воєнного стану, незначна частина вироків у вигляді 10% були виправдувальними </w:t>
      </w:r>
      <w:r w:rsidRPr="00511005">
        <w:rPr>
          <w:rFonts w:ascii="Arial" w:eastAsia="Calibri" w:hAnsi="Arial" w:cs="Arial"/>
          <w:szCs w:val="28"/>
        </w:rPr>
        <w:t>[</w:t>
      </w:r>
      <w:r w:rsidRPr="00511005">
        <w:rPr>
          <w:rFonts w:ascii="Arial" w:eastAsia="Calibri" w:hAnsi="Arial" w:cs="Arial"/>
          <w:szCs w:val="28"/>
          <w:lang w:val="uk-UA"/>
        </w:rPr>
        <w:t>6</w:t>
      </w:r>
      <w:r w:rsidRPr="00511005">
        <w:rPr>
          <w:rFonts w:ascii="Arial" w:eastAsia="Calibri" w:hAnsi="Arial" w:cs="Arial"/>
          <w:szCs w:val="28"/>
        </w:rPr>
        <w:t>]</w:t>
      </w:r>
      <w:r w:rsidRPr="00511005">
        <w:rPr>
          <w:rFonts w:ascii="Arial" w:eastAsia="Calibri" w:hAnsi="Arial" w:cs="Arial"/>
          <w:szCs w:val="28"/>
          <w:lang w:val="uk-UA"/>
        </w:rPr>
        <w:t>.</w:t>
      </w:r>
    </w:p>
    <w:p w14:paraId="6918B77C" w14:textId="77777777" w:rsidR="00C10374" w:rsidRPr="00511005" w:rsidRDefault="00C10374" w:rsidP="003A292D">
      <w:pPr>
        <w:keepNext/>
        <w:widowControl w:val="0"/>
        <w:spacing w:line="264" w:lineRule="auto"/>
        <w:ind w:firstLine="567"/>
        <w:rPr>
          <w:rFonts w:ascii="Arial" w:eastAsia="Calibri" w:hAnsi="Arial" w:cs="Arial"/>
          <w:szCs w:val="28"/>
          <w:lang w:val="uk-UA"/>
        </w:rPr>
      </w:pPr>
      <w:r w:rsidRPr="00511005">
        <w:rPr>
          <w:rFonts w:ascii="Arial" w:eastAsia="Calibri" w:hAnsi="Arial" w:cs="Arial"/>
          <w:szCs w:val="28"/>
        </w:rPr>
        <w:t>Вищий суд з питань інтелектуальної власності (далі – ВСІВ</w:t>
      </w:r>
      <w:r w:rsidRPr="00511005">
        <w:rPr>
          <w:rFonts w:ascii="Arial" w:eastAsia="Calibri" w:hAnsi="Arial" w:cs="Arial"/>
          <w:szCs w:val="28"/>
          <w:lang w:val="uk-UA"/>
        </w:rPr>
        <w:t xml:space="preserve">) утворено відповідно до Указу Президента України від 29 вересня 2017 року </w:t>
      </w:r>
      <w:r w:rsidRPr="00511005">
        <w:rPr>
          <w:rFonts w:ascii="Arial" w:eastAsia="Calibri" w:hAnsi="Arial" w:cs="Arial"/>
          <w:szCs w:val="28"/>
        </w:rPr>
        <w:lastRenderedPageBreak/>
        <w:t xml:space="preserve">№299/2017. </w:t>
      </w:r>
      <w:r w:rsidRPr="00511005">
        <w:rPr>
          <w:rFonts w:ascii="Arial" w:eastAsia="Calibri" w:hAnsi="Arial" w:cs="Arial"/>
          <w:szCs w:val="28"/>
          <w:lang w:val="uk-UA"/>
        </w:rPr>
        <w:t>Хоча й було здійснено значну роботу над втіленням у життя такого проєкту, проте процес добору суддів не було завершено через припинення діяльності Вищої кваліфікаційної комісії на момент створення суду. Проте в наступні роки, не зважаючи на активність комісії, набір не було здійснено</w:t>
      </w:r>
      <w:r w:rsidRPr="00511005">
        <w:rPr>
          <w:rFonts w:ascii="Arial" w:eastAsia="Calibri" w:hAnsi="Arial" w:cs="Arial"/>
          <w:szCs w:val="28"/>
        </w:rPr>
        <w:t xml:space="preserve">, </w:t>
      </w:r>
      <w:r w:rsidRPr="00511005">
        <w:rPr>
          <w:rFonts w:ascii="Arial" w:eastAsia="Calibri" w:hAnsi="Arial" w:cs="Arial"/>
          <w:szCs w:val="28"/>
          <w:lang w:val="uk-UA"/>
        </w:rPr>
        <w:t>він так і не почав роботу. Згідно ст. 3 проєкту Закону України від 29.12.2021 «Про Вищий суд з питань інтелектуальної власності» суд має здійснювати правосуддя щодо захисту чи порушення законних інтересів у сфері інтелектуальної власності, які гарантуються законами України та міжнародними договорами. Суддів мали добирати за додатковими критеріями, як доброчесність, неодіозність, досвід чи спеціалізація у сфері патентної юстиції та інтелектуальної власності.</w:t>
      </w:r>
    </w:p>
    <w:p w14:paraId="7443FA38" w14:textId="77777777" w:rsidR="00C10374" w:rsidRPr="00511005" w:rsidRDefault="00C10374" w:rsidP="003A292D">
      <w:pPr>
        <w:keepNext/>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Спеціалізований окружний адміністративний суд (далі - СОАС) утворено замість окружного адміністративного суду міста Києва (далі - ОАСК) з аналогічними повноваженнями та юрисдикцією, проте сформований з урахуванням минулого корупційного досвіду. Суд здійснює правосуддя розглядом по суті у справах, пов’язаних з центральними органами влади; НПА загальнодержавного характеру; справах, пов’язані із політичним процесом та справах щодо виборів та референдумів. Спеціалізований апеляційний адміністративний суд (далі - СААС) здійснює перегляд справ СОАС у апеляційному порядку.</w:t>
      </w:r>
    </w:p>
    <w:p w14:paraId="6EE31EF1" w14:textId="77777777" w:rsidR="00C10374" w:rsidRPr="00511005" w:rsidRDefault="00C10374" w:rsidP="003A292D">
      <w:pPr>
        <w:keepNext/>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Незважаючи на полярність думок, зазначає Т.П.Шепель, перша частина яких полягає в недовірі від населення до судів, яка сформувалась впродовж розвитку незалежної України, відсутність стратегічного мислення у державних діячів [8], реакційна політика багатьох суддів та їх лобіювання спрямоване на блокування реформи й подальших зсувів. Також вагомими в суспільстві були та є пропагандистські наративи, виказує думку О.Мігачова, про втрату суверенітету в рамках реформи, коли вплив на судочинство мають міжнародні комісії, як Венеційська, видача грошової підтримки для здійснення реформ [4], а з іншого боку впевненість в правильних діях та майбутньому результаті, розгляд справ щодо корупції та інших складових професіоналами (П. Вуєць, С. Груздєв, Я. Степанковська) саме у їх вузькій сфері [2], майбутні кроки для розвитку цієї частини реформи відкритими. З практики утворених за реформою судів можна виокремити ідею, що створення нових спеціалізованих судів є логічним продовженням реформи, облегшенням діяльності судів судоустрою та фокусування на окремих питаннях.</w:t>
      </w:r>
    </w:p>
    <w:p w14:paraId="1A26F346" w14:textId="77777777" w:rsidR="00C10374" w:rsidRPr="00511005" w:rsidRDefault="00C10374" w:rsidP="003A292D">
      <w:pPr>
        <w:keepNext/>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Таким судом міг би стати спеціалізований суд з розгляду військових злочинів, що розглядав би кримінальні правопорушення вчинені військовослужбовцями, зокрема військовослужбовцями держави-агресора, що буде гарантувати незалежність національного правосуддя від міжнародних судових інституцій в разі їх неефективності. Така ідея існує в інформаційному просторі, а в умовах воєнного стану є критично важливою </w:t>
      </w:r>
      <w:r w:rsidRPr="00511005">
        <w:rPr>
          <w:rFonts w:ascii="Arial" w:eastAsia="Calibri" w:hAnsi="Arial" w:cs="Arial"/>
          <w:szCs w:val="28"/>
          <w:lang w:val="uk-UA"/>
        </w:rPr>
        <w:lastRenderedPageBreak/>
        <w:t>щодо покарання за неправомірні дії, скоєні ними проти миру, людства та порушення законів та звичаїв війни. Або суд, що розглядав би правопорушення, пов’язані з екологією: недбалістю, цілеспрямованим погіршенням екологічної ситуації в Україні, захистом червонокнижних та інших видів тварин та рослин. Це зменшить навантаження на суди системи судоустрою, а екологічна проблема, що є наразі однією з критичних у світі, буде більше розкрита та опрацьована.</w:t>
      </w:r>
    </w:p>
    <w:p w14:paraId="634F714F" w14:textId="77777777" w:rsidR="00C10374" w:rsidRPr="00511005" w:rsidRDefault="00C10374" w:rsidP="003A292D">
      <w:pPr>
        <w:keepNext/>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Створення спеціалізованих судів надало можливість передати справи для розвантаження судів судоустрою, надати належну увагу справам, що потребують спеціального розгляду. Утворення Вищого антикорупційного суду, Спеціалізованого окружного та апеляційного адміністративних судів, а також невпровадженого повноцінно Вищого суду з питань інтелектуальної власності свідчить про прагнення держави з неоднозначними результатами адаптувати правосуддя боротьби з корупцією, захисту прав у сфері інтелектуальної власності, забезпечення ефективного контролю за діяльністю центральної влади.</w:t>
      </w:r>
    </w:p>
    <w:p w14:paraId="79BADC55" w14:textId="77777777" w:rsidR="00C10374" w:rsidRPr="00511005" w:rsidRDefault="00C10374" w:rsidP="003A292D">
      <w:pPr>
        <w:keepNext/>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Логічним та правильним продовженням реформи судоустрою 2016 року та спеціалізованих судів є впровадження нових спеціалізованих судів, що будуть реагувати на критичні питання, пов’язані із сучасним розвитком судоустрою та проблеми, з яким він стикається в умовах воєнного стану, розвитку глобального потепління, винищенням біорізноманіття та інших проблем. Майбутнє спеціалізованих судів є пов’язане з потребами суспільства, а законодавці й реформісти мають враховувати це у майбутніх зрушеннях у цій сфері, взявши до уваги акцент на доброчесність кандидатів.</w:t>
      </w:r>
    </w:p>
    <w:p w14:paraId="10A393A8" w14:textId="77777777" w:rsidR="00C10374" w:rsidRPr="00511005" w:rsidRDefault="00C10374" w:rsidP="003A292D">
      <w:pPr>
        <w:keepNext/>
        <w:widowControl w:val="0"/>
        <w:spacing w:line="264" w:lineRule="auto"/>
        <w:ind w:firstLine="567"/>
        <w:jc w:val="center"/>
        <w:rPr>
          <w:rFonts w:ascii="Arial" w:eastAsia="Calibri" w:hAnsi="Arial" w:cs="Arial"/>
          <w:b/>
          <w:iCs/>
          <w:szCs w:val="28"/>
          <w:lang w:val="uk-UA"/>
        </w:rPr>
      </w:pPr>
    </w:p>
    <w:p w14:paraId="6E64415C" w14:textId="7CE1F799" w:rsidR="00C10374" w:rsidRPr="00511005" w:rsidRDefault="007B2628" w:rsidP="007B2628">
      <w:pPr>
        <w:keepNext/>
        <w:widowControl w:val="0"/>
        <w:spacing w:line="264" w:lineRule="auto"/>
        <w:ind w:firstLine="567"/>
        <w:jc w:val="center"/>
        <w:rPr>
          <w:rFonts w:ascii="Arial" w:eastAsia="Calibri" w:hAnsi="Arial" w:cs="Arial"/>
          <w:b/>
          <w:iCs/>
          <w:szCs w:val="28"/>
          <w:lang w:val="uk-UA"/>
        </w:rPr>
      </w:pPr>
      <w:r w:rsidRPr="00511005">
        <w:rPr>
          <w:rFonts w:ascii="Arial" w:eastAsia="Calibri" w:hAnsi="Arial" w:cs="Arial"/>
          <w:b/>
          <w:iCs/>
          <w:szCs w:val="28"/>
          <w:lang w:val="uk-UA"/>
        </w:rPr>
        <w:t>Список використаних джерел</w:t>
      </w:r>
    </w:p>
    <w:p w14:paraId="172C6282" w14:textId="77777777" w:rsidR="00C10374" w:rsidRPr="00511005" w:rsidRDefault="00C10374" w:rsidP="003F6A5D">
      <w:pPr>
        <w:numPr>
          <w:ilvl w:val="0"/>
          <w:numId w:val="323"/>
        </w:numPr>
        <w:spacing w:line="264" w:lineRule="auto"/>
        <w:ind w:left="0" w:firstLine="709"/>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Вищий антикорупційний суд. </w:t>
      </w:r>
      <w:r w:rsidRPr="00511005">
        <w:rPr>
          <w:rFonts w:ascii="Arial" w:eastAsia="Times New Roman" w:hAnsi="Arial" w:cs="Arial"/>
          <w:bCs/>
          <w:i/>
          <w:szCs w:val="28"/>
          <w:lang w:val="uk-UA" w:eastAsia="ru-RU"/>
        </w:rPr>
        <w:t>Буклет.</w:t>
      </w:r>
      <w:r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val="en-US" w:eastAsia="ru-RU"/>
        </w:rPr>
        <w:t>URL</w:t>
      </w:r>
      <w:r w:rsidRPr="00511005">
        <w:rPr>
          <w:rFonts w:ascii="Arial" w:eastAsia="Times New Roman" w:hAnsi="Arial" w:cs="Arial"/>
          <w:bCs/>
          <w:szCs w:val="28"/>
          <w:lang w:val="uk-UA" w:eastAsia="ru-RU"/>
        </w:rPr>
        <w:t xml:space="preserve">: </w:t>
      </w:r>
      <w:hyperlink r:id="rId1197" w:history="1">
        <w:r w:rsidRPr="00511005">
          <w:rPr>
            <w:rFonts w:ascii="Arial" w:eastAsia="Times New Roman" w:hAnsi="Arial" w:cs="Arial"/>
            <w:bCs/>
            <w:szCs w:val="28"/>
            <w:lang w:val="uk-UA" w:eastAsia="ru-RU"/>
          </w:rPr>
          <w:t>https://hcac.court.gov.ua/userfiles/media/VAKS/PICS/dok/HACC_Leaflet_03.03.2020_one%20page_UKR.pdf</w:t>
        </w:r>
      </w:hyperlink>
      <w:r w:rsidRPr="00511005">
        <w:rPr>
          <w:rFonts w:ascii="Arial" w:eastAsia="Times New Roman" w:hAnsi="Arial" w:cs="Arial"/>
          <w:bCs/>
          <w:szCs w:val="28"/>
          <w:lang w:val="uk-UA" w:eastAsia="ru-RU"/>
        </w:rPr>
        <w:t xml:space="preserve"> (дата звернення 03.05.2024)</w:t>
      </w:r>
    </w:p>
    <w:p w14:paraId="1CCBC0EA" w14:textId="77777777" w:rsidR="00C10374" w:rsidRPr="00511005" w:rsidRDefault="00C10374" w:rsidP="003F6A5D">
      <w:pPr>
        <w:numPr>
          <w:ilvl w:val="0"/>
          <w:numId w:val="323"/>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Вуєць П., Груздєв С., Степанковська Я. Антикорупційний суд. Перемога, яку не чекали. URL: </w:t>
      </w:r>
      <w:hyperlink r:id="rId1198" w:history="1">
        <w:r w:rsidRPr="00511005">
          <w:rPr>
            <w:rFonts w:ascii="Arial" w:eastAsia="Times New Roman" w:hAnsi="Arial" w:cs="Arial"/>
            <w:szCs w:val="28"/>
            <w:lang w:val="uk-UA" w:eastAsia="ru-RU"/>
          </w:rPr>
          <w:t>https://glavcom.ua/country/politics/antikorupciyniy-sud-peremoga-yaku-ne-chekali-503623.html</w:t>
        </w:r>
      </w:hyperlink>
      <w:r w:rsidRPr="00511005">
        <w:rPr>
          <w:rFonts w:ascii="Arial" w:eastAsia="Times New Roman" w:hAnsi="Arial" w:cs="Arial"/>
          <w:szCs w:val="28"/>
          <w:lang w:val="uk-UA" w:eastAsia="ru-RU"/>
        </w:rPr>
        <w:t xml:space="preserve"> </w:t>
      </w:r>
      <w:r w:rsidRPr="00511005">
        <w:rPr>
          <w:rFonts w:ascii="Arial" w:eastAsia="Times New Roman" w:hAnsi="Arial" w:cs="Arial"/>
          <w:bCs/>
          <w:szCs w:val="28"/>
          <w:lang w:val="uk-UA" w:eastAsia="ru-RU"/>
        </w:rPr>
        <w:t>(дата звернення 03.05.2024)</w:t>
      </w:r>
    </w:p>
    <w:p w14:paraId="4FB48083" w14:textId="77777777" w:rsidR="00C10374" w:rsidRPr="00511005" w:rsidRDefault="00C10374" w:rsidP="003F6A5D">
      <w:pPr>
        <w:numPr>
          <w:ilvl w:val="0"/>
          <w:numId w:val="323"/>
        </w:numPr>
        <w:spacing w:line="264" w:lineRule="auto"/>
        <w:ind w:left="0" w:firstLine="709"/>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Лісніченко В.О. Судова реформа 2016: точка відліку кардинальних змін? </w:t>
      </w:r>
      <w:r w:rsidRPr="00511005">
        <w:rPr>
          <w:rFonts w:ascii="Arial" w:eastAsia="Times New Roman" w:hAnsi="Arial" w:cs="Arial"/>
          <w:bCs/>
          <w:szCs w:val="28"/>
          <w:lang w:val="en-US" w:eastAsia="ru-RU"/>
        </w:rPr>
        <w:t xml:space="preserve">URL: </w:t>
      </w:r>
      <w:hyperlink r:id="rId1199" w:history="1">
        <w:r w:rsidRPr="00511005">
          <w:rPr>
            <w:rFonts w:ascii="Arial" w:eastAsia="Times New Roman" w:hAnsi="Arial" w:cs="Arial"/>
            <w:bCs/>
            <w:szCs w:val="28"/>
            <w:lang w:val="uk-UA" w:eastAsia="ru-RU"/>
          </w:rPr>
          <w:t>http://www.lsej.org.ua/11_2021/196.pdf</w:t>
        </w:r>
      </w:hyperlink>
      <w:r w:rsidRPr="00511005">
        <w:rPr>
          <w:rFonts w:ascii="Arial" w:eastAsia="Times New Roman" w:hAnsi="Arial" w:cs="Arial"/>
          <w:bCs/>
          <w:szCs w:val="28"/>
          <w:lang w:val="uk-UA" w:eastAsia="ru-RU"/>
        </w:rPr>
        <w:t xml:space="preserve"> (дата звернення 03.05.2024)</w:t>
      </w:r>
    </w:p>
    <w:p w14:paraId="5AB30192" w14:textId="77777777" w:rsidR="00C10374" w:rsidRPr="00511005" w:rsidRDefault="00C10374" w:rsidP="003F6A5D">
      <w:pPr>
        <w:numPr>
          <w:ilvl w:val="0"/>
          <w:numId w:val="323"/>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Мігачова О. Судова реформа: чи готуватися до спротиву «суддівської мафії»?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200" w:history="1">
        <w:r w:rsidRPr="00511005">
          <w:rPr>
            <w:rFonts w:ascii="Arial" w:eastAsia="Times New Roman" w:hAnsi="Arial" w:cs="Arial"/>
            <w:szCs w:val="28"/>
            <w:lang w:val="en-US" w:eastAsia="ru-RU"/>
          </w:rPr>
          <w:t>https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www</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ukrinform</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rubric</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society</w:t>
        </w:r>
        <w:r w:rsidRPr="00511005">
          <w:rPr>
            <w:rFonts w:ascii="Arial" w:eastAsia="Times New Roman" w:hAnsi="Arial" w:cs="Arial"/>
            <w:szCs w:val="28"/>
            <w:lang w:val="uk-UA" w:eastAsia="ru-RU"/>
          </w:rPr>
          <w:t>/3283824-</w:t>
        </w:r>
        <w:r w:rsidRPr="00511005">
          <w:rPr>
            <w:rFonts w:ascii="Arial" w:eastAsia="Times New Roman" w:hAnsi="Arial" w:cs="Arial"/>
            <w:szCs w:val="28"/>
            <w:lang w:val="en-US" w:eastAsia="ru-RU"/>
          </w:rPr>
          <w:t>sudova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reforma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ci</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gotuvatisa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do</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sprotivu</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suddivskoi</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mafii</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html</w:t>
        </w:r>
      </w:hyperlink>
      <w:r w:rsidRPr="00511005">
        <w:rPr>
          <w:rFonts w:ascii="Arial" w:eastAsia="Times New Roman" w:hAnsi="Arial" w:cs="Arial"/>
          <w:szCs w:val="28"/>
          <w:lang w:val="uk-UA" w:eastAsia="ru-RU"/>
        </w:rPr>
        <w:t xml:space="preserve"> </w:t>
      </w:r>
      <w:r w:rsidRPr="00511005">
        <w:rPr>
          <w:rFonts w:ascii="Arial" w:eastAsia="Times New Roman" w:hAnsi="Arial" w:cs="Arial"/>
          <w:bCs/>
          <w:szCs w:val="28"/>
          <w:lang w:val="uk-UA" w:eastAsia="ru-RU"/>
        </w:rPr>
        <w:t>(дата звернення 03.05.2024)</w:t>
      </w:r>
    </w:p>
    <w:p w14:paraId="774BD328" w14:textId="77777777" w:rsidR="007B2628" w:rsidRPr="00511005" w:rsidRDefault="00C10374" w:rsidP="003F6A5D">
      <w:pPr>
        <w:numPr>
          <w:ilvl w:val="0"/>
          <w:numId w:val="323"/>
        </w:numPr>
        <w:spacing w:line="264" w:lineRule="auto"/>
        <w:ind w:left="0" w:firstLine="709"/>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lastRenderedPageBreak/>
        <w:t xml:space="preserve">Про судоустрій та статус суддів: закон України від 02.06.2016 № 1402-VIII </w:t>
      </w:r>
      <w:r w:rsidRPr="00511005">
        <w:rPr>
          <w:rFonts w:ascii="Arial" w:eastAsia="Times New Roman" w:hAnsi="Arial" w:cs="Arial"/>
          <w:bCs/>
          <w:szCs w:val="28"/>
          <w:lang w:val="en-US" w:eastAsia="ru-RU"/>
        </w:rPr>
        <w:t>URL</w:t>
      </w:r>
      <w:r w:rsidRPr="00511005">
        <w:rPr>
          <w:rFonts w:ascii="Arial" w:eastAsia="Times New Roman" w:hAnsi="Arial" w:cs="Arial"/>
          <w:bCs/>
          <w:szCs w:val="28"/>
          <w:lang w:val="uk-UA" w:eastAsia="ru-RU"/>
        </w:rPr>
        <w:t xml:space="preserve">: </w:t>
      </w:r>
      <w:hyperlink r:id="rId1201" w:anchor="Text" w:history="1">
        <w:r w:rsidRPr="00511005">
          <w:rPr>
            <w:rFonts w:ascii="Arial" w:eastAsia="Times New Roman" w:hAnsi="Arial" w:cs="Arial"/>
            <w:bCs/>
            <w:szCs w:val="28"/>
            <w:lang w:val="en-US" w:eastAsia="ru-RU"/>
          </w:rPr>
          <w:t>https</w:t>
        </w:r>
        <w:r w:rsidRPr="00511005">
          <w:rPr>
            <w:rFonts w:ascii="Arial" w:eastAsia="Times New Roman" w:hAnsi="Arial" w:cs="Arial"/>
            <w:bCs/>
            <w:szCs w:val="28"/>
            <w:lang w:val="uk-UA" w:eastAsia="ru-RU"/>
          </w:rPr>
          <w:t>://</w:t>
        </w:r>
        <w:r w:rsidRPr="00511005">
          <w:rPr>
            <w:rFonts w:ascii="Arial" w:eastAsia="Times New Roman" w:hAnsi="Arial" w:cs="Arial"/>
            <w:bCs/>
            <w:szCs w:val="28"/>
            <w:lang w:val="en-US" w:eastAsia="ru-RU"/>
          </w:rPr>
          <w:t>zakon</w:t>
        </w:r>
        <w:r w:rsidRPr="00511005">
          <w:rPr>
            <w:rFonts w:ascii="Arial" w:eastAsia="Times New Roman" w:hAnsi="Arial" w:cs="Arial"/>
            <w:bCs/>
            <w:szCs w:val="28"/>
            <w:lang w:val="uk-UA" w:eastAsia="ru-RU"/>
          </w:rPr>
          <w:t>.</w:t>
        </w:r>
        <w:r w:rsidRPr="00511005">
          <w:rPr>
            <w:rFonts w:ascii="Arial" w:eastAsia="Times New Roman" w:hAnsi="Arial" w:cs="Arial"/>
            <w:bCs/>
            <w:szCs w:val="28"/>
            <w:lang w:val="en-US" w:eastAsia="ru-RU"/>
          </w:rPr>
          <w:t>rada</w:t>
        </w:r>
        <w:r w:rsidRPr="00511005">
          <w:rPr>
            <w:rFonts w:ascii="Arial" w:eastAsia="Times New Roman" w:hAnsi="Arial" w:cs="Arial"/>
            <w:bCs/>
            <w:szCs w:val="28"/>
            <w:lang w:val="uk-UA" w:eastAsia="ru-RU"/>
          </w:rPr>
          <w:t>.</w:t>
        </w:r>
        <w:r w:rsidRPr="00511005">
          <w:rPr>
            <w:rFonts w:ascii="Arial" w:eastAsia="Times New Roman" w:hAnsi="Arial" w:cs="Arial"/>
            <w:bCs/>
            <w:szCs w:val="28"/>
            <w:lang w:val="en-US" w:eastAsia="ru-RU"/>
          </w:rPr>
          <w:t>gov</w:t>
        </w:r>
        <w:r w:rsidRPr="00511005">
          <w:rPr>
            <w:rFonts w:ascii="Arial" w:eastAsia="Times New Roman" w:hAnsi="Arial" w:cs="Arial"/>
            <w:bCs/>
            <w:szCs w:val="28"/>
            <w:lang w:val="uk-UA" w:eastAsia="ru-RU"/>
          </w:rPr>
          <w:t>.</w:t>
        </w:r>
        <w:r w:rsidRPr="00511005">
          <w:rPr>
            <w:rFonts w:ascii="Arial" w:eastAsia="Times New Roman" w:hAnsi="Arial" w:cs="Arial"/>
            <w:bCs/>
            <w:szCs w:val="28"/>
            <w:lang w:val="en-US" w:eastAsia="ru-RU"/>
          </w:rPr>
          <w:t>ua</w:t>
        </w:r>
        <w:r w:rsidRPr="00511005">
          <w:rPr>
            <w:rFonts w:ascii="Arial" w:eastAsia="Times New Roman" w:hAnsi="Arial" w:cs="Arial"/>
            <w:bCs/>
            <w:szCs w:val="28"/>
            <w:lang w:val="uk-UA" w:eastAsia="ru-RU"/>
          </w:rPr>
          <w:t>/</w:t>
        </w:r>
        <w:r w:rsidRPr="00511005">
          <w:rPr>
            <w:rFonts w:ascii="Arial" w:eastAsia="Times New Roman" w:hAnsi="Arial" w:cs="Arial"/>
            <w:bCs/>
            <w:szCs w:val="28"/>
            <w:lang w:val="en-US" w:eastAsia="ru-RU"/>
          </w:rPr>
          <w:t>laws</w:t>
        </w:r>
        <w:r w:rsidRPr="00511005">
          <w:rPr>
            <w:rFonts w:ascii="Arial" w:eastAsia="Times New Roman" w:hAnsi="Arial" w:cs="Arial"/>
            <w:bCs/>
            <w:szCs w:val="28"/>
            <w:lang w:val="uk-UA" w:eastAsia="ru-RU"/>
          </w:rPr>
          <w:t>/</w:t>
        </w:r>
        <w:r w:rsidRPr="00511005">
          <w:rPr>
            <w:rFonts w:ascii="Arial" w:eastAsia="Times New Roman" w:hAnsi="Arial" w:cs="Arial"/>
            <w:bCs/>
            <w:szCs w:val="28"/>
            <w:lang w:val="en-US" w:eastAsia="ru-RU"/>
          </w:rPr>
          <w:t>show</w:t>
        </w:r>
        <w:r w:rsidRPr="00511005">
          <w:rPr>
            <w:rFonts w:ascii="Arial" w:eastAsia="Times New Roman" w:hAnsi="Arial" w:cs="Arial"/>
            <w:bCs/>
            <w:szCs w:val="28"/>
            <w:lang w:val="uk-UA" w:eastAsia="ru-RU"/>
          </w:rPr>
          <w:t>/1402-19#</w:t>
        </w:r>
        <w:r w:rsidRPr="00511005">
          <w:rPr>
            <w:rFonts w:ascii="Arial" w:eastAsia="Times New Roman" w:hAnsi="Arial" w:cs="Arial"/>
            <w:bCs/>
            <w:szCs w:val="28"/>
            <w:lang w:val="en-US" w:eastAsia="ru-RU"/>
          </w:rPr>
          <w:t>Text</w:t>
        </w:r>
      </w:hyperlink>
      <w:r w:rsidRPr="00511005">
        <w:rPr>
          <w:rFonts w:ascii="Arial" w:eastAsia="Times New Roman" w:hAnsi="Arial" w:cs="Arial"/>
          <w:bCs/>
          <w:szCs w:val="28"/>
          <w:lang w:val="uk-UA" w:eastAsia="ru-RU"/>
        </w:rPr>
        <w:t xml:space="preserve"> (дата звернення 03.05.2024) </w:t>
      </w:r>
    </w:p>
    <w:p w14:paraId="3F9C1747" w14:textId="00FFFAF9" w:rsidR="00C10374" w:rsidRPr="00511005" w:rsidRDefault="00C10374" w:rsidP="003F6A5D">
      <w:pPr>
        <w:numPr>
          <w:ilvl w:val="0"/>
          <w:numId w:val="323"/>
        </w:numPr>
        <w:spacing w:line="264" w:lineRule="auto"/>
        <w:ind w:left="0" w:firstLine="709"/>
        <w:contextualSpacing/>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Суддя-спікер ВАКС Олексій Кравчук виступив на 41 Міжнародному симпозіумі з економічних злочинів в Університеті Кембриджу. </w:t>
      </w:r>
      <w:r w:rsidRPr="00511005">
        <w:rPr>
          <w:rFonts w:ascii="Arial" w:eastAsia="Times New Roman" w:hAnsi="Arial" w:cs="Arial"/>
          <w:bCs/>
          <w:i/>
          <w:szCs w:val="28"/>
          <w:lang w:val="uk-UA" w:eastAsia="ru-RU"/>
        </w:rPr>
        <w:t>Сайт «Судова влада». Вищий антикорупціний суд. 5 вересня 2024 р.</w:t>
      </w:r>
      <w:r w:rsidRPr="00511005">
        <w:rPr>
          <w:rFonts w:ascii="Arial" w:eastAsia="Times New Roman" w:hAnsi="Arial" w:cs="Arial"/>
          <w:bCs/>
          <w:szCs w:val="28"/>
          <w:lang w:val="uk-UA" w:eastAsia="ru-RU"/>
        </w:rPr>
        <w:t xml:space="preserve"> URL: </w:t>
      </w:r>
      <w:hyperlink r:id="rId1202" w:history="1">
        <w:r w:rsidRPr="00511005">
          <w:rPr>
            <w:rFonts w:ascii="Arial" w:eastAsia="Times New Roman" w:hAnsi="Arial" w:cs="Arial"/>
            <w:bCs/>
            <w:szCs w:val="28"/>
            <w:lang w:val="uk-UA" w:eastAsia="ru-RU"/>
          </w:rPr>
          <w:t>https://hcac.court.gov.ua/hcac/pres-centr/news/1661107/</w:t>
        </w:r>
      </w:hyperlink>
      <w:r w:rsidRPr="00511005">
        <w:rPr>
          <w:rFonts w:ascii="Arial" w:eastAsia="Times New Roman" w:hAnsi="Arial" w:cs="Arial"/>
          <w:bCs/>
          <w:szCs w:val="28"/>
          <w:lang w:val="uk-UA" w:eastAsia="ru-RU"/>
        </w:rPr>
        <w:t xml:space="preserve"> (дата звернення 03.05.2024)</w:t>
      </w:r>
    </w:p>
    <w:p w14:paraId="6235C560" w14:textId="77777777" w:rsidR="00C10374" w:rsidRPr="00511005" w:rsidRDefault="00C10374" w:rsidP="003F6A5D">
      <w:pPr>
        <w:numPr>
          <w:ilvl w:val="0"/>
          <w:numId w:val="323"/>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Судова реформа в Україні: короткий огляд.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203" w:history="1">
        <w:r w:rsidRPr="00511005">
          <w:rPr>
            <w:rFonts w:ascii="Arial" w:eastAsia="Times New Roman" w:hAnsi="Arial" w:cs="Arial"/>
            <w:szCs w:val="28"/>
            <w:lang w:val="en-US" w:eastAsia="ru-RU"/>
          </w:rPr>
          <w:t>https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dejure</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foundation</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sudova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reforma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v</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ukraini</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scho</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zminylos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za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try</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roky</w:t>
        </w:r>
        <w:r w:rsidRPr="00511005">
          <w:rPr>
            <w:rFonts w:ascii="Arial" w:eastAsia="Times New Roman" w:hAnsi="Arial" w:cs="Arial"/>
            <w:szCs w:val="28"/>
            <w:lang w:val="uk-UA" w:eastAsia="ru-RU"/>
          </w:rPr>
          <w:t>/</w:t>
        </w:r>
      </w:hyperlink>
      <w:r w:rsidRPr="00511005">
        <w:rPr>
          <w:rFonts w:ascii="Arial" w:eastAsia="Times New Roman" w:hAnsi="Arial" w:cs="Arial"/>
          <w:szCs w:val="28"/>
          <w:lang w:val="uk-UA" w:eastAsia="ru-RU"/>
        </w:rPr>
        <w:t xml:space="preserve"> </w:t>
      </w:r>
      <w:r w:rsidRPr="00511005">
        <w:rPr>
          <w:rFonts w:ascii="Arial" w:eastAsia="Times New Roman" w:hAnsi="Arial" w:cs="Arial"/>
          <w:bCs/>
          <w:szCs w:val="28"/>
          <w:lang w:val="uk-UA" w:eastAsia="ru-RU"/>
        </w:rPr>
        <w:t>(дата звернення 03.05.2024)</w:t>
      </w:r>
    </w:p>
    <w:p w14:paraId="43E1D1C3" w14:textId="77777777" w:rsidR="00C10374" w:rsidRPr="00511005" w:rsidRDefault="00C10374" w:rsidP="003F6A5D">
      <w:pPr>
        <w:numPr>
          <w:ilvl w:val="0"/>
          <w:numId w:val="323"/>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Шепель Т. П. Судова реформа без підзвітності суспільству: чому зміни відстають від очікувань і як це виправити. URL: </w:t>
      </w:r>
      <w:hyperlink r:id="rId1204" w:history="1">
        <w:r w:rsidRPr="00511005">
          <w:rPr>
            <w:rFonts w:ascii="Arial" w:eastAsia="Times New Roman" w:hAnsi="Arial" w:cs="Arial"/>
            <w:szCs w:val="28"/>
            <w:lang w:val="en-US" w:eastAsia="ru-RU"/>
          </w:rPr>
          <w:t>https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lb</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blog</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taras</w:t>
        </w:r>
        <w:r w:rsidRPr="00511005">
          <w:rPr>
            <w:rFonts w:ascii="Arial" w:eastAsia="Times New Roman" w:hAnsi="Arial" w:cs="Arial"/>
            <w:szCs w:val="28"/>
            <w:lang w:val="uk-UA" w:eastAsia="ru-RU"/>
          </w:rPr>
          <w:t>_</w:t>
        </w:r>
        <w:r w:rsidRPr="00511005">
          <w:rPr>
            <w:rFonts w:ascii="Arial" w:eastAsia="Times New Roman" w:hAnsi="Arial" w:cs="Arial"/>
            <w:szCs w:val="28"/>
            <w:lang w:val="en-US" w:eastAsia="ru-RU"/>
          </w:rPr>
          <w:t>shepel</w:t>
        </w:r>
        <w:r w:rsidRPr="00511005">
          <w:rPr>
            <w:rFonts w:ascii="Arial" w:eastAsia="Times New Roman" w:hAnsi="Arial" w:cs="Arial"/>
            <w:szCs w:val="28"/>
            <w:lang w:val="uk-UA" w:eastAsia="ru-RU"/>
          </w:rPr>
          <w:t>/400168_</w:t>
        </w:r>
        <w:r w:rsidRPr="00511005">
          <w:rPr>
            <w:rFonts w:ascii="Arial" w:eastAsia="Times New Roman" w:hAnsi="Arial" w:cs="Arial"/>
            <w:szCs w:val="28"/>
            <w:lang w:val="en-US" w:eastAsia="ru-RU"/>
          </w:rPr>
          <w:t>sudova</w:t>
        </w:r>
        <w:r w:rsidRPr="00511005">
          <w:rPr>
            <w:rFonts w:ascii="Arial" w:eastAsia="Times New Roman" w:hAnsi="Arial" w:cs="Arial"/>
            <w:szCs w:val="28"/>
            <w:lang w:val="uk-UA" w:eastAsia="ru-RU"/>
          </w:rPr>
          <w:t>_</w:t>
        </w:r>
        <w:r w:rsidRPr="00511005">
          <w:rPr>
            <w:rFonts w:ascii="Arial" w:eastAsia="Times New Roman" w:hAnsi="Arial" w:cs="Arial"/>
            <w:szCs w:val="28"/>
            <w:lang w:val="en-US" w:eastAsia="ru-RU"/>
          </w:rPr>
          <w:t>reforma</w:t>
        </w:r>
        <w:r w:rsidRPr="00511005">
          <w:rPr>
            <w:rFonts w:ascii="Arial" w:eastAsia="Times New Roman" w:hAnsi="Arial" w:cs="Arial"/>
            <w:szCs w:val="28"/>
            <w:lang w:val="uk-UA" w:eastAsia="ru-RU"/>
          </w:rPr>
          <w:t>_</w:t>
        </w:r>
        <w:r w:rsidRPr="00511005">
          <w:rPr>
            <w:rFonts w:ascii="Arial" w:eastAsia="Times New Roman" w:hAnsi="Arial" w:cs="Arial"/>
            <w:szCs w:val="28"/>
            <w:lang w:val="en-US" w:eastAsia="ru-RU"/>
          </w:rPr>
          <w:t>bez</w:t>
        </w:r>
        <w:r w:rsidRPr="00511005">
          <w:rPr>
            <w:rFonts w:ascii="Arial" w:eastAsia="Times New Roman" w:hAnsi="Arial" w:cs="Arial"/>
            <w:szCs w:val="28"/>
            <w:lang w:val="uk-UA" w:eastAsia="ru-RU"/>
          </w:rPr>
          <w:t>_</w:t>
        </w:r>
        <w:r w:rsidRPr="00511005">
          <w:rPr>
            <w:rFonts w:ascii="Arial" w:eastAsia="Times New Roman" w:hAnsi="Arial" w:cs="Arial"/>
            <w:szCs w:val="28"/>
            <w:lang w:val="en-US" w:eastAsia="ru-RU"/>
          </w:rPr>
          <w:t>pidzvitnosti</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html</w:t>
        </w:r>
      </w:hyperlink>
      <w:r w:rsidRPr="00511005">
        <w:rPr>
          <w:rFonts w:ascii="Arial" w:eastAsia="Times New Roman" w:hAnsi="Arial" w:cs="Arial"/>
          <w:szCs w:val="28"/>
          <w:lang w:val="uk-UA" w:eastAsia="ru-RU"/>
        </w:rPr>
        <w:t xml:space="preserve"> </w:t>
      </w:r>
      <w:r w:rsidRPr="00511005">
        <w:rPr>
          <w:rFonts w:ascii="Arial" w:eastAsia="Times New Roman" w:hAnsi="Arial" w:cs="Arial"/>
          <w:bCs/>
          <w:szCs w:val="28"/>
          <w:lang w:val="uk-UA" w:eastAsia="ru-RU"/>
        </w:rPr>
        <w:t>(дата звернення 03.05.2024)</w:t>
      </w:r>
    </w:p>
    <w:p w14:paraId="4938F02B" w14:textId="77777777" w:rsidR="00C10374" w:rsidRPr="00511005" w:rsidRDefault="00C10374" w:rsidP="003A292D">
      <w:pPr>
        <w:spacing w:line="264" w:lineRule="auto"/>
        <w:ind w:firstLine="567"/>
        <w:rPr>
          <w:rFonts w:ascii="Arial" w:eastAsia="Calibri" w:hAnsi="Arial" w:cs="Arial"/>
          <w:b/>
          <w:szCs w:val="28"/>
        </w:rPr>
      </w:pPr>
    </w:p>
    <w:p w14:paraId="286282A8" w14:textId="536A0B96" w:rsidR="00C10374" w:rsidRPr="00511005" w:rsidRDefault="007B2628" w:rsidP="003A292D">
      <w:pPr>
        <w:spacing w:line="264" w:lineRule="auto"/>
        <w:ind w:firstLine="567"/>
        <w:rPr>
          <w:rFonts w:ascii="Arial" w:eastAsia="Calibri" w:hAnsi="Arial" w:cs="Arial"/>
          <w:szCs w:val="28"/>
          <w:lang w:val="uk-UA"/>
        </w:rPr>
      </w:pPr>
      <w:r w:rsidRPr="00511005">
        <w:rPr>
          <w:rFonts w:ascii="Arial" w:eastAsia="Calibri" w:hAnsi="Arial" w:cs="Arial"/>
          <w:b/>
          <w:i/>
          <w:szCs w:val="28"/>
        </w:rPr>
        <w:t xml:space="preserve">Ключові слова: </w:t>
      </w:r>
      <w:r w:rsidR="00C10374" w:rsidRPr="00511005">
        <w:rPr>
          <w:rFonts w:ascii="Arial" w:eastAsia="Calibri" w:hAnsi="Arial" w:cs="Arial"/>
          <w:szCs w:val="28"/>
        </w:rPr>
        <w:t>спеціалізовані суди, розвиток судоустрою, сучасні виклики судоустрою, судова реформа 2016 року</w:t>
      </w:r>
      <w:r w:rsidR="00C10374" w:rsidRPr="00511005">
        <w:rPr>
          <w:rFonts w:ascii="Arial" w:eastAsia="Calibri" w:hAnsi="Arial" w:cs="Arial"/>
          <w:szCs w:val="28"/>
          <w:lang w:val="uk-UA"/>
        </w:rPr>
        <w:t>, с</w:t>
      </w:r>
      <w:r w:rsidR="00C10374" w:rsidRPr="00511005">
        <w:rPr>
          <w:rFonts w:ascii="Arial" w:eastAsia="Calibri" w:hAnsi="Arial" w:cs="Arial"/>
          <w:szCs w:val="28"/>
        </w:rPr>
        <w:t>удова система під час воєнного стану</w:t>
      </w:r>
      <w:r w:rsidR="00C10374" w:rsidRPr="00511005">
        <w:rPr>
          <w:rFonts w:ascii="Arial" w:eastAsia="Calibri" w:hAnsi="Arial" w:cs="Arial"/>
          <w:szCs w:val="28"/>
          <w:lang w:val="uk-UA"/>
        </w:rPr>
        <w:t>, реакція на воєнні злочини у системі судоустрою України, вирішення екологічних проблем через систему судоустрою України.</w:t>
      </w:r>
    </w:p>
    <w:p w14:paraId="663B231F" w14:textId="62DA6A32" w:rsidR="00C10374" w:rsidRPr="00511005" w:rsidRDefault="007B2628" w:rsidP="003A292D">
      <w:pPr>
        <w:keepNext/>
        <w:spacing w:line="264" w:lineRule="auto"/>
        <w:ind w:firstLine="567"/>
        <w:rPr>
          <w:rFonts w:ascii="Arial" w:eastAsia="Calibri" w:hAnsi="Arial" w:cs="Arial"/>
          <w:bCs/>
          <w:szCs w:val="28"/>
          <w:lang w:val="uk-UA"/>
        </w:rPr>
      </w:pPr>
      <w:r w:rsidRPr="00511005">
        <w:rPr>
          <w:rFonts w:ascii="Arial" w:eastAsia="Calibri" w:hAnsi="Arial" w:cs="Arial"/>
          <w:b/>
          <w:i/>
          <w:szCs w:val="28"/>
          <w:lang w:val="en-US"/>
        </w:rPr>
        <w:t xml:space="preserve">Key words: </w:t>
      </w:r>
      <w:r w:rsidR="00C10374" w:rsidRPr="00511005">
        <w:rPr>
          <w:rFonts w:ascii="Arial" w:eastAsia="Calibri" w:hAnsi="Arial" w:cs="Arial"/>
          <w:bCs/>
          <w:szCs w:val="28"/>
          <w:lang w:val="en-US"/>
        </w:rPr>
        <w:t>specialised courts, development of the judiciary, current challenges of the judiciary, judicial reform of 2016, judicial system during martial law, response to war crimes in the judicial system of Ukraine, solving environmental problems through the judicial system of Ukraine.</w:t>
      </w:r>
    </w:p>
    <w:p w14:paraId="05BF5008" w14:textId="7BF158A1" w:rsidR="00C10374" w:rsidRPr="00511005" w:rsidRDefault="007B2628" w:rsidP="003A292D">
      <w:pPr>
        <w:keepNext/>
        <w:spacing w:line="264" w:lineRule="auto"/>
        <w:ind w:firstLine="567"/>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C10374" w:rsidRPr="00511005">
        <w:rPr>
          <w:rFonts w:ascii="Arial" w:eastAsia="Calibri" w:hAnsi="Arial" w:cs="Arial"/>
          <w:bCs/>
          <w:i/>
          <w:iCs/>
          <w:szCs w:val="28"/>
          <w:lang w:val="uk-UA"/>
        </w:rPr>
        <w:t>старший викладач Нестерчук Л.П.</w:t>
      </w:r>
    </w:p>
    <w:p w14:paraId="176DE860" w14:textId="77777777" w:rsidR="00C10374" w:rsidRPr="00511005" w:rsidRDefault="00C10374" w:rsidP="003A292D">
      <w:pPr>
        <w:spacing w:line="264" w:lineRule="auto"/>
        <w:ind w:firstLine="567"/>
        <w:rPr>
          <w:rFonts w:ascii="Arial" w:eastAsia="Calibri" w:hAnsi="Arial" w:cs="Arial"/>
          <w:i/>
          <w:iCs/>
          <w:szCs w:val="28"/>
        </w:rPr>
      </w:pPr>
    </w:p>
    <w:p w14:paraId="6E785774" w14:textId="77777777" w:rsidR="00C10374" w:rsidRPr="00511005" w:rsidRDefault="00C10374" w:rsidP="003A292D">
      <w:pPr>
        <w:widowControl w:val="0"/>
        <w:spacing w:line="264" w:lineRule="auto"/>
        <w:ind w:firstLine="0"/>
        <w:rPr>
          <w:rFonts w:ascii="Arial" w:eastAsia="Calibri" w:hAnsi="Arial" w:cs="Arial"/>
          <w:szCs w:val="28"/>
          <w:lang w:val="uk-UA"/>
        </w:rPr>
      </w:pPr>
    </w:p>
    <w:p w14:paraId="15EFD8CD" w14:textId="77777777" w:rsidR="00C10374" w:rsidRPr="00511005" w:rsidRDefault="00C10374"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Тарасова Вероніка Олександрівна</w:t>
      </w:r>
    </w:p>
    <w:p w14:paraId="60738982" w14:textId="791BA1A6" w:rsidR="00C10374" w:rsidRPr="007040FD" w:rsidRDefault="00536AAB" w:rsidP="003A292D">
      <w:pPr>
        <w:spacing w:line="264" w:lineRule="auto"/>
        <w:ind w:firstLine="0"/>
        <w:jc w:val="center"/>
        <w:rPr>
          <w:rFonts w:ascii="Arial" w:eastAsia="Calibri" w:hAnsi="Arial" w:cs="Arial"/>
          <w:iCs/>
          <w:szCs w:val="28"/>
          <w:lang w:val="uk-UA"/>
        </w:rPr>
      </w:pPr>
      <w:r w:rsidRPr="007040FD">
        <w:rPr>
          <w:rFonts w:ascii="Arial" w:eastAsia="Calibri" w:hAnsi="Arial" w:cs="Arial"/>
          <w:iCs/>
          <w:szCs w:val="28"/>
          <w:lang w:val="uk-UA"/>
        </w:rPr>
        <w:t xml:space="preserve">студентка 3-го курсу </w:t>
      </w:r>
      <w:r w:rsidR="00C10374" w:rsidRPr="007040FD">
        <w:rPr>
          <w:rFonts w:ascii="Arial" w:eastAsia="Calibri" w:hAnsi="Arial" w:cs="Arial"/>
          <w:iCs/>
          <w:szCs w:val="28"/>
          <w:lang w:val="uk-UA"/>
        </w:rPr>
        <w:t>факультету адвокатури та антикорупційної діяльності</w:t>
      </w:r>
    </w:p>
    <w:p w14:paraId="4B6F1FAF" w14:textId="760AC0DB" w:rsidR="00C10374" w:rsidRPr="007040FD" w:rsidRDefault="007B2628" w:rsidP="003A292D">
      <w:pPr>
        <w:spacing w:line="264" w:lineRule="auto"/>
        <w:ind w:firstLine="0"/>
        <w:jc w:val="center"/>
        <w:rPr>
          <w:rFonts w:ascii="Arial" w:eastAsia="Calibri" w:hAnsi="Arial" w:cs="Arial"/>
          <w:iCs/>
          <w:szCs w:val="28"/>
          <w:lang w:val="uk-UA"/>
        </w:rPr>
      </w:pPr>
      <w:r w:rsidRPr="007040FD">
        <w:rPr>
          <w:rFonts w:ascii="Arial" w:eastAsia="Calibri" w:hAnsi="Arial" w:cs="Arial"/>
          <w:iCs/>
          <w:szCs w:val="28"/>
          <w:lang w:val="uk-UA"/>
        </w:rPr>
        <w:t>Національного університету «Одеська юридична академія»</w:t>
      </w:r>
    </w:p>
    <w:p w14:paraId="011F6627" w14:textId="77777777" w:rsidR="00C10374" w:rsidRPr="00511005" w:rsidRDefault="00C10374" w:rsidP="003A292D">
      <w:pPr>
        <w:spacing w:line="264" w:lineRule="auto"/>
        <w:ind w:firstLine="0"/>
        <w:jc w:val="center"/>
        <w:rPr>
          <w:rFonts w:ascii="Arial" w:eastAsia="Calibri" w:hAnsi="Arial" w:cs="Arial"/>
          <w:b/>
          <w:szCs w:val="28"/>
          <w:lang w:val="uk-UA"/>
        </w:rPr>
      </w:pPr>
    </w:p>
    <w:p w14:paraId="2C9E9706" w14:textId="741F3B4A" w:rsidR="00C10374" w:rsidRPr="00511005" w:rsidRDefault="00C10374"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РОЛЬ САП ТА НАБУ У ВІДНОВЛЕННІ ДОВІРИ ДО ДЕРЖАВНИХ</w:t>
      </w:r>
      <w:r w:rsidR="007B2628" w:rsidRPr="00511005">
        <w:rPr>
          <w:rFonts w:ascii="Arial" w:eastAsia="Calibri" w:hAnsi="Arial" w:cs="Arial"/>
          <w:b/>
          <w:szCs w:val="28"/>
          <w:lang w:val="uk-UA"/>
        </w:rPr>
        <w:t xml:space="preserve"> </w:t>
      </w:r>
      <w:r w:rsidRPr="00511005">
        <w:rPr>
          <w:rFonts w:ascii="Arial" w:eastAsia="Calibri" w:hAnsi="Arial" w:cs="Arial"/>
          <w:b/>
          <w:szCs w:val="28"/>
          <w:lang w:val="uk-UA"/>
        </w:rPr>
        <w:t>ІНСТИТУЦІЙ: АНАЛІЗ УСПІШНИХ КЕЙСІВ ТА ВИКЛИКІВ</w:t>
      </w:r>
    </w:p>
    <w:p w14:paraId="3D4491C1"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 xml:space="preserve">У період трансформації державного управління та глибоких соціально-економічних змін, питання довіри громадян до органів влади набуває особливої значущості. Успішне функціонування демократичної держави неможливе без прозорості, підзвітності та справедливості в діяльності її інституцій. Саме тому боротьба з корупцією та зловживаннями з боку посадових осіб стала одним із пріоритетних напрямів державної політики в Україні. У цьому контексті діяльність таких спеціалізованих органів, як Національне антикорупційне бюро України (НАБУ) та Спеціалізована антикорупційна прокуратура (САП), є не лише юридичним механізмом </w:t>
      </w:r>
      <w:r w:rsidRPr="00511005">
        <w:rPr>
          <w:rFonts w:ascii="Arial" w:eastAsia="Calibri" w:hAnsi="Arial" w:cs="Arial"/>
          <w:szCs w:val="28"/>
          <w:lang w:val="uk-UA"/>
        </w:rPr>
        <w:lastRenderedPageBreak/>
        <w:t>протидії корупції, а й інструментом формування довіри до держави як інституції.</w:t>
      </w:r>
    </w:p>
    <w:p w14:paraId="0A9868D7"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Національне антикорупційне бюро України та Спеціалізована антикорупційна прокуратура відіграють центральну роль у сучасній антикорупційній системі України. Вони створені з метою протидії корупції серед вищих посадових осіб держави та забезпечення ефективного реагування на зловживання владою. Формування цих інституцій стало відповіддю на вимоги як українського суспільства, так і міжнародних партнерів, які підтримували Україну на шляху реформ, зокрема Європейського Союзу, Ради Європи, МВФ та Світового банку [1, с. 58].</w:t>
      </w:r>
    </w:p>
    <w:p w14:paraId="13FABDC6"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 xml:space="preserve">Основними завданнями НАБУ є виявлення, запобігання, припинення та розслідування кримінальних правопорушень, що мають ознаки корупції, а також інших злочинів, пов’язаних із зловживанням владою або службовим становищем з боку осіб, які займають відповідальне або особливо відповідальне становище [2]. НАБУ здійснює досудове розслідування відповідно до визначеної законом підслідності, зокрема щодо правопорушень, передбачених статтями 191, 368, 369, 369-2 Кримінального кодексу України. Важливим завданням бюро є також викриття фактів незаконного збагачення, конфлікту інтересів, службових зловживань та інших проявів корупційних правопорушень. </w:t>
      </w:r>
    </w:p>
    <w:p w14:paraId="154F1B37"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У свою чергу, Спеціалізована антикорупційна прокуратура здійснює процесуальне керівництво у кримінальних провадженнях, що розслідуються детективами НАБУ. САП відповідає за підтримання публічного обвинувачення в суді, зокрема у справах щодо корупції, та нагляд за додержанням законності під час досудового розслідування. До функцій САП належить також ініціювання заходів щодо накладення арешту на майно, конфіскації незаконних активів і забезпечення відшкодування збитків, завданих державі внаслідок корупційних злочинів [3].</w:t>
      </w:r>
    </w:p>
    <w:p w14:paraId="16D3CEFF"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Тісна взаємодія НАБУ та САП забезпечує ефективне функціонування антикорупційного правосуддя, а розмежування функцій між слідством і процесуальним керівництвом сприяє незалежності та професіоналізації кожного з органів.</w:t>
      </w:r>
    </w:p>
    <w:p w14:paraId="56B8C116"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 xml:space="preserve">Одним з показових кейсів, що доказують прагнення справедливості САП та НАБУ, є справа «Роттердам плюс». Справа «Роттердам+» є однією з найрезонансніших у сфері енергетики та антикорупційного правосуддя в Україні. Її розслідування, ініційоване Національним антикорупційним бюро України (НАБУ) у березні 2017 року, стосувалося формули розрахунку оптової ринкової ціни на електроенергію, затвердженої Національною комісією, що здійснює державне регулювання у сферах енергетики та комунальних послуг (НКРЕКП) у 2016 році. Ця формула передбачала включення до ціни вартості доставки вугілля з порту Роттердам, що, за </w:t>
      </w:r>
      <w:r w:rsidRPr="00511005">
        <w:rPr>
          <w:rFonts w:ascii="Arial" w:eastAsia="Calibri" w:hAnsi="Arial" w:cs="Arial"/>
          <w:szCs w:val="28"/>
          <w:lang w:val="uk-UA"/>
        </w:rPr>
        <w:lastRenderedPageBreak/>
        <w:t>версією слідства, призвело до необґрунтованого підвищення тарифів для споживачів.</w:t>
      </w:r>
    </w:p>
    <w:p w14:paraId="08D44888"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У 2019 році шістьом особам, включно з колишніми посадовцями НКРЕКП, повідомлено про підозру у зловживанні службовим становищем, що нібито спричинило збитки у понад 18,87 млрд грн. Проте в 2020 році САП закрила справу, посилаючись на відсутність експертного підтвердження збитків. Це рішення викликало широку критику й стало предметом оскарження з боку НАБУ [4].</w:t>
      </w:r>
    </w:p>
    <w:p w14:paraId="52EF2D39"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Закриття справи викликало широкий резонанс у суспільстві та серед експертів. НАБУ не погодилося з рішенням САП і заявило про намір оскаржити його, вказуючи на наявність достатніх доказів для передачі справи до суду. У подальшому відбулося кілька спроб поновлення розслідування, зокрема за ініціативою громадських організацій та окремих народних депутатів. У вересні 2022 року керівник САП Олександр Клименко скасував постанову про закриття справи, що дозволило НАБУ завершити розслідування та передати матеріали до суду.</w:t>
      </w:r>
    </w:p>
    <w:p w14:paraId="3CA6B6CE"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У січні 2023 року САП направила до Вищого антикорупційного суду перший епізод справи «Роттердам+», заявивши цивільний позов на суму 19,357 мільярдів гривень. У березні того ж року розпочалося підготовче судове засідання. Слідство також завершило розслідування другого епізоду, який стосується збитків на суму понад 20 мільярдів гривень, завданих у 2018–2019 роках. Загалом, за версією слідства, внаслідок дії формули «Роттердам+» споживачі електроенергії переплатили понад 39 мільярдів гривень [5].</w:t>
      </w:r>
    </w:p>
    <w:p w14:paraId="62BFC12B"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Станом на квітень 2025 року Вищий антикорупційний суд призначив до розгляду по суті кримінальне провадження у справі «Роттердам+», що свідчить про продовження судового процесу. Ця справа стала важливим тестом для антикорупційної системи України, демонструючи як її здатність розслідувати складні економічні злочини, так і виклики, пов'язані з політичним тиском та суспільними очікуваннями.</w:t>
      </w:r>
    </w:p>
    <w:p w14:paraId="716281A2" w14:textId="59739EA9"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Ще одним</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прикладом ефективної роботи НАБУ та САП є викриття схеми одержання неправомірної вигоди за підготовку звітів про експертну грошову оцінку землі та позитивної рецензії на такі звіти. У 2023 році один зі співзасновників товариства у сфері оцінки землі висунув депутату Черкаської обласної ради вимогу надати хабар за визначення незавищеної оцінки потрібної ділянки. У разі відмови погрожував значно завищити оцінку. Замість того, щоб повідомити компетентним органам про вимагання неправомірної вигоди, депутат погодився та перевів необхідну суму на банківську картку іншого співзасновника товариства, який перерахував 50% партнеру, а решту залишив собі. Товариство підготувало звіт з не завищеною грошовою оцінкою землі та надало позитивну рецензію на нього. Подібні земельні "послуги" надавалися співзасновниками товариства </w:t>
      </w:r>
      <w:r w:rsidRPr="00511005">
        <w:rPr>
          <w:rFonts w:ascii="Arial" w:eastAsia="Calibri" w:hAnsi="Arial" w:cs="Arial"/>
          <w:szCs w:val="28"/>
          <w:lang w:val="uk-UA"/>
        </w:rPr>
        <w:lastRenderedPageBreak/>
        <w:t>систематично. Про підозру повідомили співзасновнику товариства за ч. 4 ст. 368-4 КК України і ч. 1 ст. 209 КК України, а також депутату облради за ч. 1 ст. 368-4 КК України [6].</w:t>
      </w:r>
    </w:p>
    <w:p w14:paraId="6B141D15"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Цей випадок демонструє, як НАБУ та САП ефективно виявляють та розслідують корупційні схеми, що пов'язані з одержанням неправомірної вигоди. Завдяки їхній роботі вдалося викрити механізм, який дозволяв отримувати хабарі за підготовку неправдивих оцінок землі, що могло призвести до значних збитків для держави.</w:t>
      </w:r>
    </w:p>
    <w:p w14:paraId="7DACAAEE"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 xml:space="preserve">Проаналізувавши велику кількість справ я виділила низку викликів, з якими систематично зіштовхується САП та НАБУ. Першим серед них залишається </w:t>
      </w:r>
      <w:r w:rsidRPr="00511005">
        <w:rPr>
          <w:rFonts w:ascii="Arial" w:eastAsia="Calibri" w:hAnsi="Arial" w:cs="Arial"/>
          <w:bCs/>
          <w:szCs w:val="28"/>
          <w:lang w:val="uk-UA"/>
        </w:rPr>
        <w:t>політичний тиск</w:t>
      </w:r>
      <w:r w:rsidRPr="00511005">
        <w:rPr>
          <w:rFonts w:ascii="Arial" w:eastAsia="Calibri" w:hAnsi="Arial" w:cs="Arial"/>
          <w:szCs w:val="28"/>
          <w:lang w:val="uk-UA"/>
        </w:rPr>
        <w:t>, який часто проявляється у спробах впливу на хід розслідувань, маніпуляції громадською думкою або через законотворчі ініціативи, що намагаються звузити повноваження антикорупційних органів. Незалежність антикорупційної інфраструктури є надзвичайно вразливою в умовах політичної турбулентності та браку ефективного механізму інституційного захисту.</w:t>
      </w:r>
    </w:p>
    <w:p w14:paraId="642679D9"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 xml:space="preserve">Другим вагомим чинником є </w:t>
      </w:r>
      <w:r w:rsidRPr="00511005">
        <w:rPr>
          <w:rFonts w:ascii="Arial" w:eastAsia="Calibri" w:hAnsi="Arial" w:cs="Arial"/>
          <w:bCs/>
          <w:szCs w:val="28"/>
          <w:lang w:val="uk-UA"/>
        </w:rPr>
        <w:t>кадровий дефіцит</w:t>
      </w:r>
      <w:r w:rsidRPr="00511005">
        <w:rPr>
          <w:rFonts w:ascii="Arial" w:eastAsia="Calibri" w:hAnsi="Arial" w:cs="Arial"/>
          <w:szCs w:val="28"/>
          <w:lang w:val="uk-UA"/>
        </w:rPr>
        <w:t xml:space="preserve">. Потреба у кваліфікованих детективах, прокурорах та аналітиках з досвідом розслідування складних фінансових злочинів залишається гострою. </w:t>
      </w:r>
    </w:p>
    <w:p w14:paraId="331D70BF"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 xml:space="preserve">Ще одним серйозним бар’єром є </w:t>
      </w:r>
      <w:r w:rsidRPr="00511005">
        <w:rPr>
          <w:rFonts w:ascii="Arial" w:eastAsia="Calibri" w:hAnsi="Arial" w:cs="Arial"/>
          <w:bCs/>
          <w:szCs w:val="28"/>
          <w:lang w:val="uk-UA"/>
        </w:rPr>
        <w:t>труднощі у доведенні вини у справах, що стосуються високопосадовців</w:t>
      </w:r>
      <w:r w:rsidRPr="00511005">
        <w:rPr>
          <w:rFonts w:ascii="Arial" w:eastAsia="Calibri" w:hAnsi="Arial" w:cs="Arial"/>
          <w:szCs w:val="28"/>
          <w:lang w:val="uk-UA"/>
        </w:rPr>
        <w:t>. Корупційні злочини часто маскуються під легальні економічні операції, здійснюються за складними схемами, що вимагає від детективів не лише юридичної підготовки, але й володіння навичками фінансового аудиту, ІТ-форензіки, міжнародного права.</w:t>
      </w:r>
    </w:p>
    <w:p w14:paraId="0B7B0CFB"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 xml:space="preserve">Крім того, </w:t>
      </w:r>
      <w:r w:rsidRPr="00511005">
        <w:rPr>
          <w:rFonts w:ascii="Arial" w:eastAsia="Calibri" w:hAnsi="Arial" w:cs="Arial"/>
          <w:bCs/>
          <w:szCs w:val="28"/>
          <w:lang w:val="uk-UA"/>
        </w:rPr>
        <w:t>тривалість судових процесів</w:t>
      </w:r>
      <w:r w:rsidRPr="00511005">
        <w:rPr>
          <w:rFonts w:ascii="Arial" w:eastAsia="Calibri" w:hAnsi="Arial" w:cs="Arial"/>
          <w:szCs w:val="28"/>
          <w:lang w:val="uk-UA"/>
        </w:rPr>
        <w:t xml:space="preserve"> залишається критичною проблемою. Після передачі справ до суду значна частина з них роками не розглядається, через навмисне затягування, зміну підсудності, оскарження процедурних рішень. </w:t>
      </w:r>
    </w:p>
    <w:p w14:paraId="0AADB880" w14:textId="77777777" w:rsidR="00C10374" w:rsidRPr="00511005" w:rsidRDefault="00C10374"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Для подолання вказаних викликів необхідне комплексне реформування судових та правоохоронних органів, прозорі механізми підбору кадрів до НАБУ і САП, міжнародна технічна підтримка та законодавчі гарантії незалежності антикорупційної інфраструктури. Адже, саме успішне функціонування цих органів є критично важливим для зміцнення правової держави та відновлення довіри громадян до системи правосуддя.</w:t>
      </w:r>
    </w:p>
    <w:p w14:paraId="458BCCA2" w14:textId="77777777" w:rsidR="00C10374" w:rsidRPr="00511005" w:rsidRDefault="00C10374" w:rsidP="003A292D">
      <w:pPr>
        <w:spacing w:line="264" w:lineRule="auto"/>
        <w:ind w:firstLine="708"/>
        <w:rPr>
          <w:rFonts w:ascii="Arial" w:eastAsia="Calibri" w:hAnsi="Arial" w:cs="Arial"/>
          <w:szCs w:val="28"/>
          <w:lang w:val="uk-UA"/>
        </w:rPr>
      </w:pPr>
    </w:p>
    <w:p w14:paraId="1F363D4B" w14:textId="755FE1DF" w:rsidR="00C10374" w:rsidRPr="00511005" w:rsidRDefault="007B2628" w:rsidP="007B2628">
      <w:pPr>
        <w:spacing w:line="264" w:lineRule="auto"/>
        <w:ind w:firstLine="708"/>
        <w:jc w:val="center"/>
        <w:rPr>
          <w:rFonts w:ascii="Arial" w:eastAsia="Calibri" w:hAnsi="Arial" w:cs="Arial"/>
          <w:b/>
          <w:noProof/>
          <w:szCs w:val="28"/>
          <w:lang w:val="uk-UA"/>
        </w:rPr>
      </w:pPr>
      <w:r w:rsidRPr="00511005">
        <w:rPr>
          <w:rFonts w:ascii="Arial" w:eastAsia="Calibri" w:hAnsi="Arial" w:cs="Arial"/>
          <w:b/>
          <w:noProof/>
          <w:szCs w:val="28"/>
          <w:lang w:val="uk-UA"/>
        </w:rPr>
        <w:t>Список використаних джерел</w:t>
      </w:r>
    </w:p>
    <w:p w14:paraId="7EDA22EF" w14:textId="1D1A8A72" w:rsidR="00C10374" w:rsidRPr="00511005" w:rsidRDefault="00C10374" w:rsidP="003F6A5D">
      <w:pPr>
        <w:numPr>
          <w:ilvl w:val="0"/>
          <w:numId w:val="324"/>
        </w:numPr>
        <w:spacing w:line="264" w:lineRule="auto"/>
        <w:ind w:left="0" w:firstLine="708"/>
        <w:contextualSpacing/>
        <w:rPr>
          <w:rFonts w:ascii="Arial" w:eastAsia="Times New Roman" w:hAnsi="Arial" w:cs="Arial"/>
          <w:b/>
          <w:noProof/>
          <w:szCs w:val="28"/>
          <w:lang w:val="uk-UA" w:eastAsia="ru-RU"/>
        </w:rPr>
      </w:pPr>
      <w:r w:rsidRPr="00511005">
        <w:rPr>
          <w:rFonts w:ascii="Arial" w:eastAsia="Times New Roman" w:hAnsi="Arial" w:cs="Arial"/>
          <w:noProof/>
          <w:szCs w:val="28"/>
          <w:lang w:val="uk-UA" w:eastAsia="ru-RU"/>
        </w:rPr>
        <w:t>Муляр Г., Ховпун О. Взаємодія антикорупційних органів України під час розслідування кримінальних проваджень. </w:t>
      </w:r>
      <w:r w:rsidRPr="00511005">
        <w:rPr>
          <w:rFonts w:ascii="Arial" w:eastAsia="Times New Roman" w:hAnsi="Arial" w:cs="Arial"/>
          <w:i/>
          <w:iCs/>
          <w:noProof/>
          <w:szCs w:val="28"/>
          <w:lang w:val="uk-UA" w:eastAsia="ru-RU"/>
        </w:rPr>
        <w:t xml:space="preserve">Вісник Академії праці, соціальних відносин і туризму. </w:t>
      </w:r>
      <w:r w:rsidRPr="00511005">
        <w:rPr>
          <w:rFonts w:ascii="Arial" w:eastAsia="Times New Roman" w:hAnsi="Arial" w:cs="Arial"/>
          <w:noProof/>
          <w:szCs w:val="28"/>
          <w:lang w:val="uk-UA" w:eastAsia="ru-RU"/>
        </w:rPr>
        <w:t>2019. № 2.</w:t>
      </w:r>
      <w:r w:rsidR="007B2628" w:rsidRPr="00511005">
        <w:rPr>
          <w:rFonts w:ascii="Arial" w:eastAsia="Times New Roman" w:hAnsi="Arial" w:cs="Arial"/>
          <w:noProof/>
          <w:szCs w:val="28"/>
          <w:lang w:val="uk-UA" w:eastAsia="ru-RU"/>
        </w:rPr>
        <w:t xml:space="preserve"> </w:t>
      </w:r>
      <w:r w:rsidRPr="00511005">
        <w:rPr>
          <w:rFonts w:ascii="Arial" w:eastAsia="Times New Roman" w:hAnsi="Arial" w:cs="Arial"/>
          <w:noProof/>
          <w:szCs w:val="28"/>
          <w:lang w:val="uk-UA" w:eastAsia="ru-RU"/>
        </w:rPr>
        <w:t>С. 56-65.</w:t>
      </w:r>
    </w:p>
    <w:p w14:paraId="117B2FFA" w14:textId="48661EA1" w:rsidR="00C10374" w:rsidRPr="00511005" w:rsidRDefault="00C10374" w:rsidP="003F6A5D">
      <w:pPr>
        <w:numPr>
          <w:ilvl w:val="0"/>
          <w:numId w:val="324"/>
        </w:numPr>
        <w:spacing w:line="264" w:lineRule="auto"/>
        <w:ind w:left="0" w:firstLine="708"/>
        <w:contextualSpacing/>
        <w:rPr>
          <w:rFonts w:ascii="Arial" w:eastAsia="Times New Roman" w:hAnsi="Arial" w:cs="Arial"/>
          <w:b/>
          <w:noProof/>
          <w:szCs w:val="28"/>
          <w:lang w:val="uk-UA" w:eastAsia="ru-RU"/>
        </w:rPr>
      </w:pPr>
      <w:r w:rsidRPr="00511005">
        <w:rPr>
          <w:rFonts w:ascii="Arial" w:eastAsia="Times New Roman" w:hAnsi="Arial" w:cs="Arial"/>
          <w:noProof/>
          <w:szCs w:val="28"/>
          <w:lang w:val="uk-UA" w:eastAsia="ru-RU"/>
        </w:rPr>
        <w:t xml:space="preserve">Про Національне антикорупційне бюро України : Закон України від 14.10.2014 № 1698-VII : станом на 25 берез. 2025 р. URL: </w:t>
      </w:r>
      <w:hyperlink r:id="rId1205" w:anchor="Text" w:history="1">
        <w:r w:rsidRPr="00511005">
          <w:rPr>
            <w:rFonts w:ascii="Arial" w:eastAsia="Times New Roman" w:hAnsi="Arial" w:cs="Arial"/>
            <w:noProof/>
            <w:szCs w:val="28"/>
            <w:lang w:val="uk-UA" w:eastAsia="ru-RU"/>
          </w:rPr>
          <w:t>https://zakon.rada.gov.ua/laws/show/1698-18#Text</w:t>
        </w:r>
      </w:hyperlink>
      <w:r w:rsidR="007B2628" w:rsidRPr="00511005">
        <w:rPr>
          <w:rFonts w:ascii="Arial" w:eastAsia="Times New Roman" w:hAnsi="Arial" w:cs="Arial"/>
          <w:noProof/>
          <w:szCs w:val="28"/>
          <w:lang w:val="uk-UA" w:eastAsia="ru-RU"/>
        </w:rPr>
        <w:t xml:space="preserve"> </w:t>
      </w:r>
      <w:r w:rsidRPr="00511005">
        <w:rPr>
          <w:rFonts w:ascii="Arial" w:eastAsia="Times New Roman" w:hAnsi="Arial" w:cs="Arial"/>
          <w:noProof/>
          <w:szCs w:val="28"/>
          <w:lang w:val="uk-UA" w:eastAsia="ru-RU"/>
        </w:rPr>
        <w:t>(дата звернення: 05.05.2025).</w:t>
      </w:r>
    </w:p>
    <w:p w14:paraId="3DEC34C1" w14:textId="77777777" w:rsidR="00C10374" w:rsidRPr="00511005" w:rsidRDefault="00C10374" w:rsidP="003F6A5D">
      <w:pPr>
        <w:numPr>
          <w:ilvl w:val="0"/>
          <w:numId w:val="324"/>
        </w:numPr>
        <w:spacing w:line="264" w:lineRule="auto"/>
        <w:ind w:left="0" w:firstLine="708"/>
        <w:contextualSpacing/>
        <w:rPr>
          <w:rFonts w:ascii="Arial" w:eastAsia="Times New Roman" w:hAnsi="Arial" w:cs="Arial"/>
          <w:b/>
          <w:noProof/>
          <w:szCs w:val="28"/>
          <w:lang w:val="uk-UA" w:eastAsia="ru-RU"/>
        </w:rPr>
      </w:pPr>
      <w:r w:rsidRPr="00511005">
        <w:rPr>
          <w:rFonts w:ascii="Arial" w:eastAsia="Times New Roman" w:hAnsi="Arial" w:cs="Arial"/>
          <w:noProof/>
          <w:szCs w:val="28"/>
          <w:lang w:val="uk-UA" w:eastAsia="ru-RU"/>
        </w:rPr>
        <w:t xml:space="preserve">Про прокуратуру : Закон України від 14.10.2014 № 1697-VII : станом на 04 квітня 2025 р. URL: </w:t>
      </w:r>
      <w:hyperlink r:id="rId1206" w:anchor="Text" w:history="1">
        <w:r w:rsidRPr="00511005">
          <w:rPr>
            <w:rFonts w:ascii="Arial" w:eastAsia="Times New Roman" w:hAnsi="Arial" w:cs="Arial"/>
            <w:noProof/>
            <w:szCs w:val="28"/>
            <w:lang w:val="uk-UA" w:eastAsia="ru-RU"/>
          </w:rPr>
          <w:t>https://zakon.rada.gov.ua/laws/show/1697-18#Text</w:t>
        </w:r>
      </w:hyperlink>
      <w:r w:rsidRPr="00511005">
        <w:rPr>
          <w:rFonts w:ascii="Arial" w:eastAsia="Times New Roman" w:hAnsi="Arial" w:cs="Arial"/>
          <w:noProof/>
          <w:szCs w:val="28"/>
          <w:lang w:val="uk-UA" w:eastAsia="ru-RU"/>
        </w:rPr>
        <w:t xml:space="preserve"> (дата звернення: 05.05.2025).</w:t>
      </w:r>
    </w:p>
    <w:p w14:paraId="29B0AD07" w14:textId="77777777" w:rsidR="00C10374" w:rsidRPr="00511005" w:rsidRDefault="00C10374" w:rsidP="003F6A5D">
      <w:pPr>
        <w:numPr>
          <w:ilvl w:val="0"/>
          <w:numId w:val="324"/>
        </w:numPr>
        <w:spacing w:line="264" w:lineRule="auto"/>
        <w:ind w:left="0" w:firstLine="708"/>
        <w:contextualSpacing/>
        <w:rPr>
          <w:rFonts w:ascii="Arial" w:eastAsia="Times New Roman" w:hAnsi="Arial" w:cs="Arial"/>
          <w:b/>
          <w:noProof/>
          <w:szCs w:val="28"/>
          <w:lang w:val="uk-UA" w:eastAsia="ru-RU"/>
        </w:rPr>
      </w:pPr>
      <w:r w:rsidRPr="00511005">
        <w:rPr>
          <w:rFonts w:ascii="Arial" w:eastAsia="Times New Roman" w:hAnsi="Arial" w:cs="Arial"/>
          <w:noProof/>
          <w:szCs w:val="28"/>
          <w:lang w:val="uk-UA" w:eastAsia="ru-RU"/>
        </w:rPr>
        <w:t xml:space="preserve">«Роттердам+»: 6 особам повідомлено про підозру. 08.08.2019. Національне антикорупційне бюро України. URL: </w:t>
      </w:r>
      <w:hyperlink r:id="rId1207" w:history="1">
        <w:r w:rsidRPr="00511005">
          <w:rPr>
            <w:rFonts w:ascii="Arial" w:eastAsia="Times New Roman" w:hAnsi="Arial" w:cs="Arial"/>
            <w:noProof/>
            <w:szCs w:val="28"/>
            <w:lang w:val="uk-UA" w:eastAsia="ru-RU"/>
          </w:rPr>
          <w:t>https://nabu.gov.ua/news/novyny-rotterdam-6-osobam-povidomleno-pro-pidozru/</w:t>
        </w:r>
      </w:hyperlink>
      <w:r w:rsidRPr="00511005">
        <w:rPr>
          <w:rFonts w:ascii="Arial" w:eastAsia="Times New Roman" w:hAnsi="Arial" w:cs="Arial"/>
          <w:noProof/>
          <w:szCs w:val="28"/>
          <w:lang w:val="uk-UA" w:eastAsia="ru-RU"/>
        </w:rPr>
        <w:t xml:space="preserve"> (дата звернення: 05.05.2025).</w:t>
      </w:r>
    </w:p>
    <w:p w14:paraId="5574B62F" w14:textId="77777777" w:rsidR="007B2628" w:rsidRPr="00511005" w:rsidRDefault="00C10374" w:rsidP="003F6A5D">
      <w:pPr>
        <w:numPr>
          <w:ilvl w:val="0"/>
          <w:numId w:val="324"/>
        </w:numPr>
        <w:spacing w:line="264" w:lineRule="auto"/>
        <w:ind w:left="0" w:firstLine="708"/>
        <w:contextualSpacing/>
        <w:rPr>
          <w:rFonts w:ascii="Arial" w:eastAsia="Times New Roman" w:hAnsi="Arial" w:cs="Arial"/>
          <w:b/>
          <w:noProof/>
          <w:szCs w:val="28"/>
          <w:lang w:val="uk-UA" w:eastAsia="ru-RU"/>
        </w:rPr>
      </w:pPr>
      <w:r w:rsidRPr="00511005">
        <w:rPr>
          <w:rFonts w:ascii="Arial" w:eastAsia="Times New Roman" w:hAnsi="Arial" w:cs="Arial"/>
          <w:noProof/>
          <w:szCs w:val="28"/>
          <w:lang w:val="uk-UA" w:eastAsia="ru-RU"/>
        </w:rPr>
        <w:t xml:space="preserve">Другий епізод справи «Роттердам+» скерували до суду. Національне антикорупційне бюро України. 02.01.2024. URL: </w:t>
      </w:r>
      <w:hyperlink r:id="rId1208" w:history="1">
        <w:r w:rsidRPr="00511005">
          <w:rPr>
            <w:rFonts w:ascii="Arial" w:eastAsia="Times New Roman" w:hAnsi="Arial" w:cs="Arial"/>
            <w:noProof/>
            <w:szCs w:val="28"/>
            <w:lang w:val="uk-UA" w:eastAsia="ru-RU"/>
          </w:rPr>
          <w:t>https://nabu.gov.ua/news/drugii-ep-zod-spravi-rotterdam-skeruvali-do-sudu/</w:t>
        </w:r>
      </w:hyperlink>
      <w:r w:rsidRPr="00511005">
        <w:rPr>
          <w:rFonts w:ascii="Arial" w:eastAsia="Times New Roman" w:hAnsi="Arial" w:cs="Arial"/>
          <w:noProof/>
          <w:szCs w:val="28"/>
          <w:lang w:val="uk-UA" w:eastAsia="ru-RU"/>
        </w:rPr>
        <w:t xml:space="preserve"> (дата звернення: 05.05.2025).</w:t>
      </w:r>
    </w:p>
    <w:p w14:paraId="395616F8" w14:textId="32F0A849" w:rsidR="00C10374" w:rsidRPr="00511005" w:rsidRDefault="00C10374" w:rsidP="003F6A5D">
      <w:pPr>
        <w:numPr>
          <w:ilvl w:val="0"/>
          <w:numId w:val="324"/>
        </w:numPr>
        <w:spacing w:line="264" w:lineRule="auto"/>
        <w:ind w:left="0" w:firstLine="708"/>
        <w:contextualSpacing/>
        <w:rPr>
          <w:rFonts w:ascii="Arial" w:eastAsia="Times New Roman" w:hAnsi="Arial" w:cs="Arial"/>
          <w:b/>
          <w:noProof/>
          <w:szCs w:val="28"/>
          <w:lang w:val="uk-UA" w:eastAsia="ru-RU"/>
        </w:rPr>
      </w:pPr>
      <w:r w:rsidRPr="00511005">
        <w:rPr>
          <w:rFonts w:ascii="Arial" w:eastAsia="Times New Roman" w:hAnsi="Arial" w:cs="Arial"/>
          <w:noProof/>
          <w:szCs w:val="28"/>
          <w:lang w:val="uk-UA" w:eastAsia="ru-RU"/>
        </w:rPr>
        <w:t xml:space="preserve">Корупція в земельній сфері: викрито схему одержання хабарів за оцінку ділянок. Національне антикорупційне бюро України. 15.04.2025. URL: </w:t>
      </w:r>
      <w:hyperlink r:id="rId1209" w:history="1">
        <w:r w:rsidRPr="00511005">
          <w:rPr>
            <w:rFonts w:ascii="Arial" w:eastAsia="Times New Roman" w:hAnsi="Arial" w:cs="Arial"/>
            <w:noProof/>
            <w:szCs w:val="28"/>
            <w:lang w:val="uk-UA" w:eastAsia="ru-RU"/>
          </w:rPr>
          <w:t>https://nabu.gov.ua/news/koruptciia-v-zemel-niyi-sferi-vykryto-skhemu-oderzhannia-khabariv-za-otcinku-dilianok/</w:t>
        </w:r>
      </w:hyperlink>
      <w:r w:rsidRPr="00511005">
        <w:rPr>
          <w:rFonts w:ascii="Arial" w:eastAsia="Times New Roman" w:hAnsi="Arial" w:cs="Arial"/>
          <w:noProof/>
          <w:szCs w:val="28"/>
          <w:lang w:val="uk-UA" w:eastAsia="ru-RU"/>
        </w:rPr>
        <w:t xml:space="preserve"> </w:t>
      </w:r>
    </w:p>
    <w:p w14:paraId="36BC05D4" w14:textId="77777777" w:rsidR="00C10374" w:rsidRPr="00511005" w:rsidRDefault="00C10374" w:rsidP="003A292D">
      <w:pPr>
        <w:spacing w:line="264" w:lineRule="auto"/>
        <w:ind w:firstLine="708"/>
        <w:rPr>
          <w:rFonts w:ascii="Arial" w:eastAsia="Calibri" w:hAnsi="Arial" w:cs="Arial"/>
          <w:szCs w:val="28"/>
          <w:lang w:val="uk-UA"/>
        </w:rPr>
      </w:pPr>
    </w:p>
    <w:p w14:paraId="663878C5" w14:textId="339A8C1C" w:rsidR="00C10374" w:rsidRPr="00511005" w:rsidRDefault="007B2628" w:rsidP="003A292D">
      <w:pPr>
        <w:spacing w:line="264" w:lineRule="auto"/>
        <w:ind w:firstLine="708"/>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антикорупційна інфраструктура, НАБУ, САП, корупція, довіра громадян.</w:t>
      </w:r>
    </w:p>
    <w:p w14:paraId="1F7E06D8" w14:textId="6F02F333" w:rsidR="00C10374" w:rsidRPr="00511005" w:rsidRDefault="007B2628" w:rsidP="003A292D">
      <w:pPr>
        <w:spacing w:line="264" w:lineRule="auto"/>
        <w:ind w:firstLine="708"/>
        <w:rPr>
          <w:rFonts w:ascii="Arial" w:eastAsia="Calibri" w:hAnsi="Arial" w:cs="Arial"/>
          <w:szCs w:val="28"/>
          <w:lang w:val="uk-UA"/>
        </w:rPr>
      </w:pPr>
      <w:r w:rsidRPr="00511005">
        <w:rPr>
          <w:rFonts w:ascii="Arial" w:eastAsia="Calibri" w:hAnsi="Arial" w:cs="Arial"/>
          <w:b/>
          <w:i/>
          <w:szCs w:val="28"/>
          <w:lang w:val="uk-UA"/>
        </w:rPr>
        <w:t xml:space="preserve">Key words: </w:t>
      </w:r>
      <w:r w:rsidR="00C10374" w:rsidRPr="00511005">
        <w:rPr>
          <w:rFonts w:ascii="Arial" w:eastAsia="Calibri" w:hAnsi="Arial" w:cs="Arial"/>
          <w:szCs w:val="28"/>
          <w:lang w:val="uk-UA"/>
        </w:rPr>
        <w:t>anti-corruption infrastructure, NABU, SAPO, corruption, public trust.</w:t>
      </w:r>
    </w:p>
    <w:p w14:paraId="40D947D0" w14:textId="21DCC469" w:rsidR="00C10374" w:rsidRPr="00511005" w:rsidRDefault="007B2628" w:rsidP="003A292D">
      <w:pPr>
        <w:spacing w:line="264" w:lineRule="auto"/>
        <w:ind w:firstLine="708"/>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C10374" w:rsidRPr="00511005">
        <w:rPr>
          <w:rFonts w:ascii="Arial" w:eastAsia="Calibri" w:hAnsi="Arial" w:cs="Arial"/>
          <w:i/>
          <w:szCs w:val="28"/>
          <w:lang w:val="uk-UA"/>
        </w:rPr>
        <w:t>к.ю.н., доцент Кісліцина І.О.</w:t>
      </w:r>
    </w:p>
    <w:p w14:paraId="6AA4CB01" w14:textId="77777777" w:rsidR="00C10374" w:rsidRPr="00511005" w:rsidRDefault="00C10374" w:rsidP="003A292D">
      <w:pPr>
        <w:widowControl w:val="0"/>
        <w:spacing w:line="264" w:lineRule="auto"/>
        <w:ind w:firstLine="0"/>
        <w:rPr>
          <w:rFonts w:ascii="Arial" w:eastAsia="Calibri" w:hAnsi="Arial" w:cs="Arial"/>
          <w:szCs w:val="28"/>
          <w:lang w:val="uk-UA"/>
        </w:rPr>
      </w:pPr>
    </w:p>
    <w:p w14:paraId="03E41DE6" w14:textId="77777777" w:rsidR="00C10374" w:rsidRPr="00511005" w:rsidRDefault="00C10374" w:rsidP="003A292D">
      <w:pPr>
        <w:widowControl w:val="0"/>
        <w:spacing w:line="264" w:lineRule="auto"/>
        <w:ind w:firstLine="0"/>
        <w:rPr>
          <w:rFonts w:ascii="Arial" w:eastAsia="Calibri" w:hAnsi="Arial" w:cs="Arial"/>
          <w:szCs w:val="28"/>
          <w:lang w:val="uk-UA"/>
        </w:rPr>
      </w:pPr>
    </w:p>
    <w:p w14:paraId="615BAC29" w14:textId="77777777" w:rsidR="00C10374" w:rsidRPr="00511005" w:rsidRDefault="00C10374"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Ткачук Анастасія Сергіївна</w:t>
      </w:r>
    </w:p>
    <w:p w14:paraId="14E89629" w14:textId="39D8B053" w:rsidR="00C10374" w:rsidRPr="00511005" w:rsidRDefault="00BE3972"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p>
    <w:p w14:paraId="39D560A3" w14:textId="3415624E" w:rsidR="00C10374"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3690DB3" w14:textId="77777777" w:rsidR="007040FD" w:rsidRPr="00511005" w:rsidRDefault="007040FD" w:rsidP="003A292D">
      <w:pPr>
        <w:spacing w:line="264" w:lineRule="auto"/>
        <w:ind w:firstLine="0"/>
        <w:jc w:val="center"/>
        <w:rPr>
          <w:rFonts w:ascii="Arial" w:eastAsia="Calibri" w:hAnsi="Arial" w:cs="Arial"/>
          <w:szCs w:val="28"/>
          <w:lang w:val="uk-UA"/>
        </w:rPr>
      </w:pPr>
    </w:p>
    <w:p w14:paraId="49E91A77" w14:textId="77777777" w:rsidR="00C10374" w:rsidRPr="00511005" w:rsidRDefault="00C10374"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 xml:space="preserve">ЗАБЕЗПЕЧЕННЯ ФУНКЦІОНУВАННЯ ПРАВОСУДДЯ В УКРАЇНІ </w:t>
      </w:r>
    </w:p>
    <w:p w14:paraId="75141C37" w14:textId="77777777" w:rsidR="007B2628" w:rsidRPr="00511005" w:rsidRDefault="00C10374"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ПІД ЧАС ВОЄННОГО СТАНУ</w:t>
      </w:r>
    </w:p>
    <w:p w14:paraId="429D9D03" w14:textId="77777777" w:rsidR="007B2628"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Україна вже три роки героїчно протистоїть збройній агресії росії. З 24 лютого 2022 року в країні діє воєнний стан, що неодноразово продовжувався, останнє – указом No 451/2023 від 26 липня та законом No 3275-IX від 27 липня 2023 року. Держава робить усе можливе для стабільної роботи інституцій, проте війна ускладнює безперебійну діяльність, зокрема й судової системи.</w:t>
      </w:r>
    </w:p>
    <w:p w14:paraId="340AD340" w14:textId="77777777" w:rsidR="007B2628"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Нині правові засади функціонування органів державної влади визначає Закон України «Про правовий режим воєнного стану». Відповідно до нього, на території, де запроваджено воєнний стан, здійснювати правосуддя мають виключно суди, створені відповідно до Конституції України. Будь-які скорочення або прискорення судових процедур, які можуть </w:t>
      </w:r>
      <w:r w:rsidRPr="00511005">
        <w:rPr>
          <w:rFonts w:ascii="Arial" w:eastAsia="Calibri" w:hAnsi="Arial" w:cs="Arial"/>
          <w:szCs w:val="28"/>
          <w:lang w:val="uk-UA"/>
        </w:rPr>
        <w:lastRenderedPageBreak/>
        <w:t>порушити принцип верховенства права, є неприпустимими. Це означає, що навіть за надзвичайних умов громадяни мають гарантоване право на справедливий суд, а принцип верховенства права залишається непорушним.</w:t>
      </w:r>
    </w:p>
    <w:p w14:paraId="0A924694" w14:textId="77777777" w:rsidR="007B2628"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Внаслідок</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російської</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військової агресії</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судова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система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зіткнулася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багатьма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викликами.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Насамперед</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постали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питання щодо діяльності судів, розташованих на територіях, на яких ведуться активні бойові дії та які перебувають під тимчасовою окупацією, зазнав змін і судовий розгляд справ. Низка судів в Донецькій, Запорізькій, Луганській, Харківській та Херсонській областях певною</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мірою</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призупинили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свою</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діяльність.</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перші</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місяці</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бойових</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дій,</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коли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події розвивалися дуже швидко, майже 20% судів не здійснювали правосуддя взагалі, будівлі 29 судів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зазнали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критичних</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ушкоджень,</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декілька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приміщень</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судів,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на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жаль,</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повністю зруйновані [1]. У зв’язку з неможливістю здійснення судами правосуддя під час воєнного стану, Голова Верховного Суду видав відповідні розпорядження щодо зміни територіальної підсудності судових справ. Це дозволило передати розгляд справ до інших судових установ, здатних продовжувати свою діяльність. Повноваження для ухвалення таких рішень були надані завдяки внесенню змін до частини сьомої статті 147 Закону України «Про судоустрій і статус суддів», що були ухвалені у березні 2022 року.</w:t>
      </w:r>
    </w:p>
    <w:p w14:paraId="2A949957" w14:textId="77777777" w:rsidR="007B2628"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Відтак, забезпечення здійснення правосуддя судами та уможливлення реальної доступності до правосуддя, особливо в умовах дії правового режиму воєнного стану, є складним багатоаспектним питанням, що передбачає широкий спектр заходів і засобів, завдяки яким: а) кожен має не лише реальну можливість звернутися до судових органів, а й дієво скористатися перевагами процедури судового розгляду та отримати належний захист своїх прав; б) забезпечується реалізація конституційної вимоги щодо сталої системності правового порядку в організації та діяльності органів державної влади, зокрема й судових органів як державних інституцій, наділеними виключними владними повноваженнями у механізмі держави у сфері здійснення правосуддя [2]. </w:t>
      </w:r>
    </w:p>
    <w:p w14:paraId="7FFB1EA9" w14:textId="28AA5BE8"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З позитивних моментів в налагодженні безперебійної роботи правосуддя, Рада суддів Україна ухвалила низку рекомендацій відповідно до яких повинні діяти суди. Відповідно до таких рекомендацій повинні здійснюватись контроль і облік кадрів в апараті суду та судах, тобто призначається відповідальна особа, що здійснюватиме контроль даного питання, крім того по можливості частину працівників перевести на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дистанційну форму роботу, необхідно здійснювати чергування суддів, тобто визначено певну кількість працівників, які можуть перебувати одночасно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 суді. Також, що стосується розгляду справ, то можливе перенесення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розгляду справ на певний термін чи здійснення розгляду справи в умовах відео конференції. Окрім того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діють певні обмеження щодо допуску </w:t>
      </w:r>
      <w:r w:rsidRPr="00511005">
        <w:rPr>
          <w:rFonts w:ascii="Arial" w:eastAsia="Calibri" w:hAnsi="Arial" w:cs="Arial"/>
          <w:szCs w:val="28"/>
          <w:lang w:val="uk-UA"/>
        </w:rPr>
        <w:lastRenderedPageBreak/>
        <w:t>громадян до судових засідань, тобто присутність тільки учасників справи. Також суд повинен забезпечити безпеку перебування учасників судових</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засідань та працівників суду та усувати будь-які загрози [</w:t>
      </w:r>
      <w:r w:rsidRPr="00511005">
        <w:rPr>
          <w:rFonts w:ascii="Arial" w:eastAsia="Calibri" w:hAnsi="Arial" w:cs="Arial"/>
          <w:szCs w:val="28"/>
        </w:rPr>
        <w:t>3</w:t>
      </w:r>
      <w:r w:rsidRPr="00511005">
        <w:rPr>
          <w:rFonts w:ascii="Arial" w:eastAsia="Calibri" w:hAnsi="Arial" w:cs="Arial"/>
          <w:szCs w:val="28"/>
          <w:lang w:val="uk-UA"/>
        </w:rPr>
        <w:t>].</w:t>
      </w:r>
    </w:p>
    <w:p w14:paraId="14E42A15" w14:textId="77777777" w:rsidR="007B2628"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Верховний Суд України зазначає, що воєнний стан може бути підставою для поновлення процесуальних строків, але не гарантує цього автоматично. Важливо довести, що обставини, спричинені війною, унеможливили своєчасне виконання процесуальних дій.</w:t>
      </w:r>
    </w:p>
    <w:p w14:paraId="7ADF0497" w14:textId="77777777" w:rsidR="007B2628"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Суди розглядають такі питання індивідуально, враховуючи місцезнаходження установи, бойові дії та реальну можливість звернення до суду. Наразі в законодавстві відсутні спеціальні норми щодо судочинства в умовах війни, що змушує суддів адаптувати чинні правила. Попри складнощі, суди продовжують роботу там, де це можливо, забезпечуючи право громадян на судовий захист.</w:t>
      </w:r>
    </w:p>
    <w:p w14:paraId="420286A5" w14:textId="102F1FAE"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Підсумовуючи викладене, можна зазначити, що здійснення правосуддя під час воєнного стану має відбуватися не лише з урахуванням забезпечення доступу громадян до судового захисту, а й створенням належних умов для роботи суддів та судових органів. Це складне і багатогранне завдання, яке вимагає від держави впровадження ефективних управлінських, фінансових та законодавчих заходів, ключовим серед яких є розробка відповідної нормативно-правової бази.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Судді повинні дотримуватися норм права як у мирний, так і у воєнний час, суворо виконуючи процесуальні вимоги. Проте сучасні реалії вимагають оновлення процесуальних кодексів, що має базуватися на вже запропонованих законодавчих ініціативах, адаптованих до викликів, спричинених війною.</w:t>
      </w:r>
    </w:p>
    <w:p w14:paraId="75F430B2" w14:textId="2D5377A8" w:rsidR="00C10374" w:rsidRPr="00875A11" w:rsidRDefault="00C10374" w:rsidP="003A292D">
      <w:pPr>
        <w:spacing w:line="264" w:lineRule="auto"/>
        <w:ind w:firstLine="0"/>
        <w:jc w:val="center"/>
        <w:rPr>
          <w:rFonts w:ascii="Arial" w:eastAsia="Calibri" w:hAnsi="Arial" w:cs="Arial"/>
          <w:iCs/>
          <w:szCs w:val="28"/>
          <w:lang w:val="uk-UA"/>
        </w:rPr>
      </w:pPr>
      <w:r w:rsidRPr="00875A11">
        <w:rPr>
          <w:rFonts w:ascii="Arial" w:eastAsia="Calibri" w:hAnsi="Arial" w:cs="Arial"/>
          <w:b/>
          <w:iCs/>
          <w:szCs w:val="28"/>
          <w:lang w:val="uk-UA"/>
        </w:rPr>
        <w:t xml:space="preserve">Список </w:t>
      </w:r>
      <w:r w:rsidR="00875A11">
        <w:rPr>
          <w:rFonts w:ascii="Arial" w:eastAsia="Calibri" w:hAnsi="Arial" w:cs="Arial"/>
          <w:b/>
          <w:iCs/>
          <w:szCs w:val="28"/>
          <w:lang w:val="uk-UA"/>
        </w:rPr>
        <w:t>використаних джерел</w:t>
      </w:r>
    </w:p>
    <w:p w14:paraId="33FD04D1" w14:textId="19DCB570"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1.</w:t>
      </w:r>
      <w:r w:rsidRPr="00511005">
        <w:rPr>
          <w:rFonts w:ascii="Arial" w:eastAsia="Calibri" w:hAnsi="Arial" w:cs="Arial"/>
          <w:szCs w:val="28"/>
        </w:rPr>
        <w:t xml:space="preserve"> </w:t>
      </w:r>
      <w:r w:rsidRPr="00511005">
        <w:rPr>
          <w:rFonts w:ascii="Arial" w:eastAsia="Calibri" w:hAnsi="Arial" w:cs="Arial"/>
          <w:szCs w:val="28"/>
          <w:lang w:val="uk-UA"/>
        </w:rPr>
        <w:t>Федоренко Т. В. Особливості</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здійснення судочинства в умовах воєнного стану.</w:t>
      </w:r>
      <w:r w:rsidRPr="00511005">
        <w:rPr>
          <w:rFonts w:ascii="Arial" w:eastAsia="Calibri" w:hAnsi="Arial" w:cs="Arial"/>
          <w:szCs w:val="28"/>
        </w:rPr>
        <w:t xml:space="preserve"> </w:t>
      </w:r>
      <w:r w:rsidRPr="00511005">
        <w:rPr>
          <w:rFonts w:ascii="Arial" w:eastAsia="Calibri" w:hAnsi="Arial" w:cs="Arial"/>
          <w:i/>
          <w:szCs w:val="28"/>
          <w:lang w:val="uk-UA"/>
        </w:rPr>
        <w:t>Modern scientific journal (Сучасний науковий журнал).</w:t>
      </w:r>
      <w:r w:rsidRPr="00511005">
        <w:rPr>
          <w:rFonts w:ascii="Arial" w:eastAsia="Calibri" w:hAnsi="Arial" w:cs="Arial"/>
          <w:szCs w:val="28"/>
          <w:lang w:val="uk-UA"/>
        </w:rPr>
        <w:t xml:space="preserve"> 2023. Вип. 1 (1). С. 46-51. URL:</w:t>
      </w:r>
      <w:r w:rsidRPr="00511005">
        <w:rPr>
          <w:rFonts w:ascii="Arial" w:eastAsia="Calibri" w:hAnsi="Arial" w:cs="Arial"/>
          <w:szCs w:val="28"/>
        </w:rPr>
        <w:t xml:space="preserve"> </w:t>
      </w:r>
      <w:hyperlink r:id="rId1210" w:history="1">
        <w:r w:rsidRPr="00511005">
          <w:rPr>
            <w:rFonts w:ascii="Arial" w:eastAsia="Calibri" w:hAnsi="Arial" w:cs="Arial"/>
            <w:szCs w:val="28"/>
            <w:lang w:val="uk-UA"/>
          </w:rPr>
          <w:t>https://mosjournal.com/index.php/journal/article/view/7/6</w:t>
        </w:r>
      </w:hyperlink>
      <w:r w:rsidRPr="00511005">
        <w:rPr>
          <w:rFonts w:ascii="Arial" w:eastAsia="Calibri" w:hAnsi="Arial" w:cs="Arial"/>
          <w:szCs w:val="28"/>
          <w:lang w:val="uk-UA"/>
        </w:rPr>
        <w:t xml:space="preserve"> (дата звернення: 31.03.2025).</w:t>
      </w:r>
    </w:p>
    <w:p w14:paraId="0CAE8BFD"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2. Смокович М. І.</w:t>
      </w:r>
      <w:r w:rsidRPr="00511005">
        <w:rPr>
          <w:rFonts w:ascii="Arial" w:eastAsia="Calibri" w:hAnsi="Arial" w:cs="Arial"/>
          <w:szCs w:val="28"/>
        </w:rPr>
        <w:t xml:space="preserve"> </w:t>
      </w:r>
      <w:r w:rsidRPr="00511005">
        <w:rPr>
          <w:rFonts w:ascii="Arial" w:eastAsia="Calibri" w:hAnsi="Arial" w:cs="Arial"/>
          <w:szCs w:val="28"/>
          <w:lang w:val="uk-UA"/>
        </w:rPr>
        <w:t xml:space="preserve">Здійснення правосуддя в умовах воєнного стану: до питання законодавчих змін. </w:t>
      </w:r>
      <w:r w:rsidRPr="00511005">
        <w:rPr>
          <w:rFonts w:ascii="Arial" w:eastAsia="Calibri" w:hAnsi="Arial" w:cs="Arial"/>
          <w:i/>
          <w:szCs w:val="28"/>
          <w:lang w:val="uk-UA"/>
        </w:rPr>
        <w:t xml:space="preserve">Науковий вісник Ужгородського Національного Університету. </w:t>
      </w:r>
      <w:r w:rsidRPr="00511005">
        <w:rPr>
          <w:rFonts w:ascii="Arial" w:eastAsia="Calibri" w:hAnsi="Arial" w:cs="Arial"/>
          <w:szCs w:val="28"/>
          <w:lang w:val="uk-UA"/>
        </w:rPr>
        <w:t>2022. Вип. 70. С. 450-455. URL:</w:t>
      </w:r>
      <w:r w:rsidRPr="00511005">
        <w:rPr>
          <w:rFonts w:ascii="Arial" w:eastAsia="Calibri" w:hAnsi="Arial" w:cs="Arial"/>
          <w:szCs w:val="28"/>
        </w:rPr>
        <w:t xml:space="preserve"> </w:t>
      </w:r>
      <w:hyperlink r:id="rId1211" w:history="1">
        <w:r w:rsidRPr="00511005">
          <w:rPr>
            <w:rFonts w:ascii="Arial" w:eastAsia="Calibri" w:hAnsi="Arial" w:cs="Arial"/>
            <w:szCs w:val="28"/>
            <w:lang w:val="uk-UA"/>
          </w:rPr>
          <w:t>https://visnyk-juris-uzhnu.com/wp-content/uploads/2022/05/74.pdf</w:t>
        </w:r>
      </w:hyperlink>
      <w:r w:rsidRPr="00511005">
        <w:rPr>
          <w:rFonts w:ascii="Arial" w:eastAsia="Calibri" w:hAnsi="Arial" w:cs="Arial"/>
          <w:szCs w:val="28"/>
          <w:lang w:val="uk-UA"/>
        </w:rPr>
        <w:t xml:space="preserve"> (дата звернення: 31.03.2025).</w:t>
      </w:r>
    </w:p>
    <w:p w14:paraId="1F3D1605" w14:textId="2466548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3. Лазар У.</w:t>
      </w:r>
      <w:r w:rsidRPr="00511005">
        <w:rPr>
          <w:rFonts w:ascii="Arial" w:eastAsia="Calibri" w:hAnsi="Arial" w:cs="Arial"/>
          <w:szCs w:val="28"/>
        </w:rPr>
        <w:t xml:space="preserve"> </w:t>
      </w:r>
      <w:r w:rsidRPr="00511005">
        <w:rPr>
          <w:rFonts w:ascii="Arial" w:eastAsia="Calibri" w:hAnsi="Arial" w:cs="Arial"/>
          <w:szCs w:val="28"/>
          <w:lang w:val="uk-UA"/>
        </w:rPr>
        <w:t>Здійснення правосуддя в умовах війни.</w:t>
      </w:r>
      <w:r w:rsidR="007B2628" w:rsidRPr="00511005">
        <w:rPr>
          <w:rFonts w:ascii="Arial" w:eastAsia="Calibri" w:hAnsi="Arial" w:cs="Arial"/>
          <w:szCs w:val="28"/>
          <w:lang w:val="uk-UA"/>
        </w:rPr>
        <w:t xml:space="preserve"> </w:t>
      </w:r>
      <w:r w:rsidRPr="00511005">
        <w:rPr>
          <w:rFonts w:ascii="Arial" w:eastAsia="Calibri" w:hAnsi="Arial" w:cs="Arial"/>
          <w:i/>
          <w:iCs/>
          <w:szCs w:val="28"/>
        </w:rPr>
        <w:t>Юридичний вісник</w:t>
      </w:r>
      <w:r w:rsidRPr="00511005">
        <w:rPr>
          <w:rFonts w:ascii="Arial" w:eastAsia="Calibri" w:hAnsi="Arial" w:cs="Arial"/>
          <w:szCs w:val="28"/>
        </w:rPr>
        <w:t xml:space="preserve">. 2023. </w:t>
      </w:r>
      <w:r w:rsidRPr="00511005">
        <w:rPr>
          <w:rFonts w:ascii="Arial" w:eastAsia="Calibri" w:hAnsi="Arial" w:cs="Arial"/>
          <w:szCs w:val="28"/>
          <w:lang w:val="uk-UA"/>
        </w:rPr>
        <w:t>Вип</w:t>
      </w:r>
      <w:r w:rsidRPr="00511005">
        <w:rPr>
          <w:rFonts w:ascii="Arial" w:eastAsia="Calibri" w:hAnsi="Arial" w:cs="Arial"/>
          <w:szCs w:val="28"/>
        </w:rPr>
        <w:t>.</w:t>
      </w:r>
      <w:r w:rsidRPr="00511005">
        <w:rPr>
          <w:rFonts w:ascii="Arial" w:eastAsia="Calibri" w:hAnsi="Arial" w:cs="Arial"/>
          <w:szCs w:val="28"/>
          <w:lang w:val="en-US"/>
        </w:rPr>
        <w:t> </w:t>
      </w:r>
      <w:r w:rsidRPr="00511005">
        <w:rPr>
          <w:rFonts w:ascii="Arial" w:eastAsia="Calibri" w:hAnsi="Arial" w:cs="Arial"/>
          <w:szCs w:val="28"/>
        </w:rPr>
        <w:t xml:space="preserve">1. </w:t>
      </w:r>
      <w:r w:rsidRPr="00511005">
        <w:rPr>
          <w:rFonts w:ascii="Arial" w:eastAsia="Calibri" w:hAnsi="Arial" w:cs="Arial"/>
          <w:szCs w:val="28"/>
          <w:lang w:val="uk-UA"/>
        </w:rPr>
        <w:t>С</w:t>
      </w:r>
      <w:r w:rsidRPr="00511005">
        <w:rPr>
          <w:rFonts w:ascii="Arial" w:eastAsia="Calibri" w:hAnsi="Arial" w:cs="Arial"/>
          <w:szCs w:val="28"/>
        </w:rPr>
        <w:t>.</w:t>
      </w:r>
      <w:r w:rsidRPr="00511005">
        <w:rPr>
          <w:rFonts w:ascii="Arial" w:eastAsia="Calibri" w:hAnsi="Arial" w:cs="Arial"/>
          <w:szCs w:val="28"/>
          <w:lang w:val="en-US"/>
        </w:rPr>
        <w:t> </w:t>
      </w:r>
      <w:r w:rsidRPr="00511005">
        <w:rPr>
          <w:rFonts w:ascii="Arial" w:eastAsia="Calibri" w:hAnsi="Arial" w:cs="Arial"/>
          <w:szCs w:val="28"/>
        </w:rPr>
        <w:t xml:space="preserve">69–73. </w:t>
      </w:r>
      <w:r w:rsidRPr="00511005">
        <w:rPr>
          <w:rFonts w:ascii="Arial" w:eastAsia="Calibri" w:hAnsi="Arial" w:cs="Arial"/>
          <w:szCs w:val="28"/>
          <w:lang w:val="en-US"/>
        </w:rPr>
        <w:t>URL</w:t>
      </w:r>
      <w:r w:rsidRPr="00511005">
        <w:rPr>
          <w:rFonts w:ascii="Arial" w:eastAsia="Calibri" w:hAnsi="Arial" w:cs="Arial"/>
          <w:szCs w:val="28"/>
        </w:rPr>
        <w:t>:</w:t>
      </w:r>
      <w:r w:rsidRPr="00511005">
        <w:rPr>
          <w:rFonts w:ascii="Arial" w:eastAsia="Calibri" w:hAnsi="Arial" w:cs="Arial"/>
          <w:szCs w:val="28"/>
          <w:lang w:val="en-US"/>
        </w:rPr>
        <w:t> </w:t>
      </w:r>
      <w:hyperlink r:id="rId1212" w:history="1">
        <w:r w:rsidRPr="00511005">
          <w:rPr>
            <w:rFonts w:ascii="Arial" w:eastAsia="Calibri" w:hAnsi="Arial" w:cs="Arial"/>
            <w:szCs w:val="28"/>
            <w:lang w:val="en-US"/>
          </w:rPr>
          <w:t>http</w:t>
        </w:r>
        <w:r w:rsidRPr="00511005">
          <w:rPr>
            <w:rFonts w:ascii="Arial" w:eastAsia="Calibri" w:hAnsi="Arial" w:cs="Arial"/>
            <w:szCs w:val="28"/>
          </w:rPr>
          <w:t>://</w:t>
        </w:r>
        <w:r w:rsidRPr="00511005">
          <w:rPr>
            <w:rFonts w:ascii="Arial" w:eastAsia="Calibri" w:hAnsi="Arial" w:cs="Arial"/>
            <w:szCs w:val="28"/>
            <w:lang w:val="en-US"/>
          </w:rPr>
          <w:t>yurvisnyk</w:t>
        </w:r>
        <w:r w:rsidRPr="00511005">
          <w:rPr>
            <w:rFonts w:ascii="Arial" w:eastAsia="Calibri" w:hAnsi="Arial" w:cs="Arial"/>
            <w:szCs w:val="28"/>
          </w:rPr>
          <w:t>.</w:t>
        </w:r>
        <w:r w:rsidRPr="00511005">
          <w:rPr>
            <w:rFonts w:ascii="Arial" w:eastAsia="Calibri" w:hAnsi="Arial" w:cs="Arial"/>
            <w:szCs w:val="28"/>
            <w:lang w:val="en-US"/>
          </w:rPr>
          <w:t>in</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v</w:t>
        </w:r>
        <w:r w:rsidRPr="00511005">
          <w:rPr>
            <w:rFonts w:ascii="Arial" w:eastAsia="Calibri" w:hAnsi="Arial" w:cs="Arial"/>
            <w:szCs w:val="28"/>
          </w:rPr>
          <w:t>1_2023/9.</w:t>
        </w:r>
        <w:r w:rsidRPr="00511005">
          <w:rPr>
            <w:rFonts w:ascii="Arial" w:eastAsia="Calibri" w:hAnsi="Arial" w:cs="Arial"/>
            <w:szCs w:val="28"/>
            <w:lang w:val="en-US"/>
          </w:rPr>
          <w:t>pdf</w:t>
        </w:r>
      </w:hyperlink>
      <w:r w:rsidRPr="00511005">
        <w:rPr>
          <w:rFonts w:ascii="Arial" w:eastAsia="Calibri" w:hAnsi="Arial" w:cs="Arial"/>
          <w:szCs w:val="28"/>
        </w:rPr>
        <w:t xml:space="preserve"> </w:t>
      </w:r>
      <w:r w:rsidRPr="00511005">
        <w:rPr>
          <w:rFonts w:ascii="Arial" w:eastAsia="Calibri" w:hAnsi="Arial" w:cs="Arial"/>
          <w:szCs w:val="28"/>
          <w:lang w:val="uk-UA"/>
        </w:rPr>
        <w:t>(дата звернення: 31.03.2025).</w:t>
      </w:r>
    </w:p>
    <w:p w14:paraId="05827EA2" w14:textId="0A922311" w:rsidR="00C10374"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воєнний стан, судова система, правовий режим, правосуддя, верховенство права, судова влада, тимчасова окупація, доступність правосуддя, зміна територіальної юрисдикції.</w:t>
      </w:r>
    </w:p>
    <w:p w14:paraId="7A40C4E5" w14:textId="472360D2" w:rsidR="00C10374"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lastRenderedPageBreak/>
        <w:t xml:space="preserve">Key words: </w:t>
      </w:r>
      <w:r w:rsidR="00C10374" w:rsidRPr="00511005">
        <w:rPr>
          <w:rFonts w:ascii="Arial" w:eastAsia="Calibri" w:hAnsi="Arial" w:cs="Arial"/>
          <w:szCs w:val="28"/>
          <w:lang w:val="uk-UA"/>
        </w:rPr>
        <w:t>Martial law, judicial system, legal regime, justice, rule of law, judiciary, temporary occupation, access to justice, change of territorial jurisdiction.</w:t>
      </w:r>
    </w:p>
    <w:p w14:paraId="21CE804D" w14:textId="77777777" w:rsidR="00C10374" w:rsidRPr="00511005" w:rsidRDefault="00C10374" w:rsidP="003A292D">
      <w:pPr>
        <w:spacing w:line="264" w:lineRule="auto"/>
        <w:rPr>
          <w:rFonts w:ascii="Arial" w:eastAsia="Calibri" w:hAnsi="Arial" w:cs="Arial"/>
          <w:bCs/>
          <w:iCs/>
          <w:szCs w:val="28"/>
          <w:lang w:val="uk-UA"/>
        </w:rPr>
      </w:pPr>
    </w:p>
    <w:p w14:paraId="0A1CCE3C" w14:textId="663541C8" w:rsidR="00C10374"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iCs/>
          <w:szCs w:val="28"/>
          <w:lang w:val="uk-UA"/>
        </w:rPr>
        <w:t xml:space="preserve">Науковий керівник: </w:t>
      </w:r>
      <w:r w:rsidR="00383DE9" w:rsidRPr="00511005">
        <w:rPr>
          <w:rFonts w:ascii="Arial" w:eastAsia="Calibri" w:hAnsi="Arial" w:cs="Arial"/>
          <w:szCs w:val="28"/>
          <w:lang w:val="uk-UA"/>
        </w:rPr>
        <w:t xml:space="preserve">к.ю.н., </w:t>
      </w:r>
      <w:r w:rsidR="00C10374" w:rsidRPr="00511005">
        <w:rPr>
          <w:rFonts w:ascii="Arial" w:eastAsia="Calibri" w:hAnsi="Arial" w:cs="Arial"/>
          <w:szCs w:val="28"/>
          <w:lang w:val="uk-UA"/>
        </w:rPr>
        <w:t xml:space="preserve">доцент </w:t>
      </w:r>
      <w:r w:rsidR="00C10374" w:rsidRPr="00511005">
        <w:rPr>
          <w:rFonts w:ascii="Arial" w:eastAsia="Calibri" w:hAnsi="Arial" w:cs="Arial"/>
          <w:bCs/>
          <w:iCs/>
          <w:szCs w:val="28"/>
          <w:lang w:val="uk-UA"/>
        </w:rPr>
        <w:t>Кравченко М. О</w:t>
      </w:r>
      <w:r w:rsidR="00C10374" w:rsidRPr="00511005">
        <w:rPr>
          <w:rFonts w:ascii="Arial" w:eastAsia="Calibri" w:hAnsi="Arial" w:cs="Arial"/>
          <w:szCs w:val="28"/>
          <w:lang w:val="uk-UA"/>
        </w:rPr>
        <w:t>.</w:t>
      </w:r>
    </w:p>
    <w:p w14:paraId="49252365" w14:textId="77777777" w:rsidR="00C10374" w:rsidRPr="00511005" w:rsidRDefault="00C10374" w:rsidP="003A292D">
      <w:pPr>
        <w:widowControl w:val="0"/>
        <w:spacing w:line="264" w:lineRule="auto"/>
        <w:ind w:firstLine="0"/>
        <w:rPr>
          <w:rFonts w:ascii="Arial" w:eastAsia="Calibri" w:hAnsi="Arial" w:cs="Arial"/>
          <w:szCs w:val="28"/>
          <w:lang w:val="uk-UA"/>
        </w:rPr>
      </w:pPr>
    </w:p>
    <w:p w14:paraId="30CBC8BD" w14:textId="77777777" w:rsidR="00C10374" w:rsidRPr="00511005" w:rsidRDefault="00C10374" w:rsidP="003A292D">
      <w:pPr>
        <w:widowControl w:val="0"/>
        <w:spacing w:line="264" w:lineRule="auto"/>
        <w:ind w:firstLine="0"/>
        <w:rPr>
          <w:rFonts w:ascii="Arial" w:eastAsia="Calibri" w:hAnsi="Arial" w:cs="Arial"/>
          <w:szCs w:val="28"/>
          <w:lang w:val="uk-UA"/>
        </w:rPr>
      </w:pPr>
    </w:p>
    <w:p w14:paraId="14E0B57B" w14:textId="77777777" w:rsidR="00C10374" w:rsidRPr="00511005" w:rsidRDefault="00C10374" w:rsidP="003A292D">
      <w:pPr>
        <w:spacing w:line="264" w:lineRule="auto"/>
        <w:jc w:val="center"/>
        <w:rPr>
          <w:rFonts w:ascii="Arial" w:eastAsia="Times New Roman" w:hAnsi="Arial" w:cs="Arial"/>
          <w:b/>
          <w:i/>
          <w:szCs w:val="28"/>
          <w:lang w:val="uk-UA"/>
        </w:rPr>
      </w:pPr>
      <w:r w:rsidRPr="00511005">
        <w:rPr>
          <w:rFonts w:ascii="Arial" w:eastAsia="Times New Roman" w:hAnsi="Arial" w:cs="Arial"/>
          <w:b/>
          <w:i/>
          <w:szCs w:val="28"/>
          <w:lang w:val="uk-UA"/>
        </w:rPr>
        <w:t>Філонов Анатолій Юрійович</w:t>
      </w:r>
    </w:p>
    <w:p w14:paraId="0B9EF9B7" w14:textId="69DD3059" w:rsidR="00C10374" w:rsidRPr="00511005" w:rsidRDefault="00C10374" w:rsidP="003A292D">
      <w:pPr>
        <w:spacing w:line="264" w:lineRule="auto"/>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студента 1-го курсу </w:t>
      </w:r>
      <w:r w:rsidR="001B7B25" w:rsidRPr="00511005">
        <w:rPr>
          <w:rFonts w:ascii="Arial" w:eastAsia="Times New Roman" w:hAnsi="Arial" w:cs="Arial"/>
          <w:szCs w:val="28"/>
          <w:lang w:val="uk-UA"/>
        </w:rPr>
        <w:t>факультету судового та міжнародного права</w:t>
      </w:r>
      <w:r w:rsidRPr="00511005">
        <w:rPr>
          <w:rFonts w:ascii="Arial" w:eastAsia="Times New Roman" w:hAnsi="Arial" w:cs="Arial"/>
          <w:szCs w:val="28"/>
          <w:lang w:val="uk-UA"/>
        </w:rPr>
        <w:t xml:space="preserve"> </w:t>
      </w:r>
    </w:p>
    <w:p w14:paraId="6CDEA6A3" w14:textId="53647EC7" w:rsidR="00C10374" w:rsidRPr="00511005" w:rsidRDefault="007B2628" w:rsidP="003A292D">
      <w:pPr>
        <w:spacing w:line="264" w:lineRule="auto"/>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34ABAE28" w14:textId="77777777" w:rsidR="00C10374" w:rsidRPr="00511005" w:rsidRDefault="00C10374" w:rsidP="003A292D">
      <w:pPr>
        <w:spacing w:line="264" w:lineRule="auto"/>
        <w:rPr>
          <w:rFonts w:ascii="Arial" w:eastAsia="Times New Roman" w:hAnsi="Arial" w:cs="Arial"/>
          <w:szCs w:val="28"/>
          <w:lang w:val="uk-UA"/>
        </w:rPr>
      </w:pPr>
    </w:p>
    <w:p w14:paraId="55341625" w14:textId="0B271BA7" w:rsidR="00C10374" w:rsidRPr="00511005" w:rsidRDefault="00C10374" w:rsidP="007040FD">
      <w:pPr>
        <w:spacing w:line="264" w:lineRule="auto"/>
        <w:ind w:right="16" w:firstLine="0"/>
        <w:jc w:val="center"/>
        <w:rPr>
          <w:rFonts w:ascii="Arial" w:eastAsia="Times New Roman" w:hAnsi="Arial" w:cs="Arial"/>
          <w:b/>
          <w:szCs w:val="28"/>
          <w:lang w:val="uk-UA"/>
        </w:rPr>
      </w:pPr>
      <w:r w:rsidRPr="00511005">
        <w:rPr>
          <w:rFonts w:ascii="Arial" w:eastAsia="Times New Roman" w:hAnsi="Arial" w:cs="Arial"/>
          <w:b/>
          <w:szCs w:val="28"/>
          <w:lang w:val="uk-UA"/>
        </w:rPr>
        <w:t>ДІЯЛЬНІСТЬ НАЦІОНАЛЬНОГО АНТИКОРУПЦІЙНОГО</w:t>
      </w:r>
      <w:r w:rsidR="007040FD">
        <w:rPr>
          <w:rFonts w:ascii="Arial" w:eastAsia="Times New Roman" w:hAnsi="Arial" w:cs="Arial"/>
          <w:b/>
          <w:szCs w:val="28"/>
          <w:lang w:val="uk-UA"/>
        </w:rPr>
        <w:t xml:space="preserve"> </w:t>
      </w:r>
      <w:r w:rsidRPr="00511005">
        <w:rPr>
          <w:rFonts w:ascii="Arial" w:eastAsia="Times New Roman" w:hAnsi="Arial" w:cs="Arial"/>
          <w:b/>
          <w:szCs w:val="28"/>
          <w:lang w:val="uk-UA"/>
        </w:rPr>
        <w:t>БЮРО УКРАЇНИ: ДОСЯГНЕННЯ ТА НЕДОЛІКИ</w:t>
      </w:r>
    </w:p>
    <w:p w14:paraId="4F45626C" w14:textId="77777777" w:rsidR="00C10374" w:rsidRPr="00511005" w:rsidRDefault="00C10374" w:rsidP="003A292D">
      <w:pPr>
        <w:spacing w:line="264" w:lineRule="auto"/>
        <w:ind w:left="4" w:firstLine="720"/>
        <w:rPr>
          <w:rFonts w:ascii="Arial" w:eastAsia="Times New Roman" w:hAnsi="Arial" w:cs="Arial"/>
          <w:szCs w:val="28"/>
          <w:lang w:val="uk-UA"/>
        </w:rPr>
      </w:pPr>
      <w:r w:rsidRPr="00511005">
        <w:rPr>
          <w:rFonts w:ascii="Arial" w:eastAsia="Times New Roman" w:hAnsi="Arial" w:cs="Arial"/>
          <w:szCs w:val="28"/>
          <w:lang w:val="uk-UA"/>
        </w:rPr>
        <w:t>Національне антикорупційне бюро України (далі - НАБУ) функціонує як спеціалізований правоохоронний орган, створений у відповідь на гостру потребу держави у протидії корупційним загрозам, які набули системного характеру. Закон України «Про Національне антикорупційне бюро України» окреслив його правовий статус та компетенцію, визначивши основну мету – викриття, документування, припинення й розслідування корупційних діянь, що здійснюються посадовими особами найвищого рівня.</w:t>
      </w:r>
    </w:p>
    <w:p w14:paraId="59FF337A" w14:textId="77777777" w:rsidR="00C10374" w:rsidRPr="00511005" w:rsidRDefault="00C10374" w:rsidP="003A292D">
      <w:pPr>
        <w:spacing w:line="264" w:lineRule="auto"/>
        <w:ind w:left="4" w:firstLine="720"/>
        <w:rPr>
          <w:rFonts w:ascii="Arial" w:eastAsia="Times New Roman" w:hAnsi="Arial" w:cs="Arial"/>
          <w:szCs w:val="28"/>
          <w:lang w:val="uk-UA"/>
        </w:rPr>
      </w:pPr>
      <w:r w:rsidRPr="00511005">
        <w:rPr>
          <w:rFonts w:ascii="Arial" w:eastAsia="Times New Roman" w:hAnsi="Arial" w:cs="Arial"/>
          <w:szCs w:val="28"/>
          <w:lang w:val="uk-UA"/>
        </w:rPr>
        <w:t>Поява НАБУ у 2015 році стала наслідком складної політичної ситуації, що склалася після подій Революції Гідності, коли держава вперше за багато років отримала шанс системно підійти до реформи антикорупційної політики.</w:t>
      </w:r>
    </w:p>
    <w:p w14:paraId="22C25E66" w14:textId="58E122E8" w:rsidR="00C10374" w:rsidRPr="00511005" w:rsidRDefault="00C10374" w:rsidP="007040FD">
      <w:pPr>
        <w:spacing w:line="264" w:lineRule="auto"/>
        <w:ind w:left="4" w:firstLine="720"/>
        <w:rPr>
          <w:rFonts w:ascii="Arial" w:eastAsia="Times New Roman" w:hAnsi="Arial" w:cs="Arial"/>
          <w:szCs w:val="28"/>
          <w:lang w:val="uk-UA"/>
        </w:rPr>
      </w:pPr>
      <w:r w:rsidRPr="00511005">
        <w:rPr>
          <w:rFonts w:ascii="Arial" w:eastAsia="Times New Roman" w:hAnsi="Arial" w:cs="Arial"/>
          <w:szCs w:val="28"/>
          <w:lang w:val="uk-UA"/>
        </w:rPr>
        <w:t>Формування нового інституційного підходу до боротьби з корупцією було не лише внутрішнім викликом, а й частиною міжнародних зобов’язань України перед ключовими партнерами - Європейським Союзом, Міжнародним валютним фондом</w:t>
      </w:r>
      <w:r w:rsidR="007040FD">
        <w:rPr>
          <w:rFonts w:ascii="Arial" w:eastAsia="Times New Roman" w:hAnsi="Arial" w:cs="Arial"/>
          <w:szCs w:val="28"/>
          <w:lang w:val="uk-UA"/>
        </w:rPr>
        <w:t xml:space="preserve">, </w:t>
      </w:r>
      <w:r w:rsidRPr="00511005">
        <w:rPr>
          <w:rFonts w:ascii="Arial" w:eastAsia="Times New Roman" w:hAnsi="Arial" w:cs="Arial"/>
          <w:szCs w:val="28"/>
          <w:lang w:val="uk-UA"/>
        </w:rPr>
        <w:t>Світовим банком. У цьому контексті створення незалежного антикорупційного органу розглядалось як критично необхідний крок, здатний забезпечити реальні зміни в сфері кримінального переслідування осіб, причетних до корупції у вищих ешелонах влади [1].</w:t>
      </w:r>
    </w:p>
    <w:p w14:paraId="0A9E0B96" w14:textId="77777777" w:rsidR="00C10374" w:rsidRPr="00511005" w:rsidRDefault="00C10374" w:rsidP="003A292D">
      <w:pPr>
        <w:spacing w:line="264" w:lineRule="auto"/>
        <w:ind w:left="4" w:firstLine="720"/>
        <w:rPr>
          <w:rFonts w:ascii="Arial" w:eastAsia="Times New Roman" w:hAnsi="Arial" w:cs="Arial"/>
          <w:szCs w:val="28"/>
          <w:lang w:val="uk-UA"/>
        </w:rPr>
      </w:pPr>
      <w:r w:rsidRPr="00511005">
        <w:rPr>
          <w:rFonts w:ascii="Arial" w:eastAsia="Times New Roman" w:hAnsi="Arial" w:cs="Arial"/>
          <w:szCs w:val="28"/>
          <w:lang w:val="uk-UA"/>
        </w:rPr>
        <w:t xml:space="preserve">Законодавча база, ухвалена у 2014 році, заклала правові засади діяльності НАБУ, однак реальне становлення Бюро відбулося впродовж наступного року, коли були здійснені організаційні кроки щодо запуску його повноцінної роботи. Як зазначає Є. А. Ювчик, створення структури, підбір кадрів, забезпечення незалежності від політичного впливу — усе це супроводжувалося постійною увагою як з боку українського суспільства, так і міжнародної спільноти. Від самого початку НАБУ було покликане стати інструментом розслідування саме </w:t>
      </w:r>
      <w:bookmarkStart w:id="165" w:name="page2"/>
      <w:bookmarkEnd w:id="165"/>
      <w:r w:rsidRPr="00511005">
        <w:rPr>
          <w:rFonts w:ascii="Arial" w:eastAsia="Times New Roman" w:hAnsi="Arial" w:cs="Arial"/>
          <w:szCs w:val="28"/>
          <w:lang w:val="uk-UA"/>
        </w:rPr>
        <w:t>топкорупції, тобто злочинів, що здійснюються вищими посадовцями держави, та, згідно з очікуваннями, продемонструвати нову якість у підходах до правозастосування [2, с. 66].</w:t>
      </w:r>
    </w:p>
    <w:p w14:paraId="69D14CC5" w14:textId="77777777" w:rsidR="00C10374" w:rsidRPr="00511005" w:rsidRDefault="00C10374"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lastRenderedPageBreak/>
        <w:t>Щодо недоліків у функціонуванні Національного антикорупційного бюро України, варто звернути увагу на низку системних проблем, які досі стримують ефективність цього органу.</w:t>
      </w:r>
    </w:p>
    <w:p w14:paraId="16FC5D8D" w14:textId="77777777" w:rsidR="00C10374" w:rsidRPr="00511005" w:rsidRDefault="00C10374"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Однією з найпомітніших є складність у реалізації антикорупційної реформи, насамперед через кадрову неготовність. Значна частина співробітників НАБУ не має належної професійної підготовки, бракує досвідчених слідчих, а серед молодих кадрів часто спостерігається низький рівень фахової юридичної освіти. У таких умовах формування сильної доказової бази стає складним завданням, що знижує якість розслідувань.</w:t>
      </w:r>
    </w:p>
    <w:p w14:paraId="3FDF3DD9" w14:textId="77777777" w:rsidR="00C10374" w:rsidRPr="00511005" w:rsidRDefault="00C10374"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Водночас ефективність інституційної побудови органів, що протидіють корупції, значною мірою залежить від залучення фахових юристів, адвокатів, науковців і практиків. Якби цей ресурс був повноцінно задіяний у процесі формування структури НАБУ, її діяльність могла б стати більш злагодженою та результативною. Проте ці інституційні зусилля наштовхуються на давню й досі нерозв’язану проблему - відсутність справжньої незалежності судової гілки влади, що ускладнює реалізацію антикорупційної політики.</w:t>
      </w:r>
    </w:p>
    <w:p w14:paraId="314A131F" w14:textId="77777777" w:rsidR="00C10374" w:rsidRPr="00511005" w:rsidRDefault="00C10374"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Незважаючи на це, в умовах поступового оновлення як системи правоохоронних органів, так і судоустрою, залишається підґрунтя для оптимізму щодо покращення ситуації. Як підкреслює А. Є. Герасимов, важливо звернути увагу на недоліки, зокрема на конкурсний відбір до НАБУ, який нерідко викликає обґрунтовану критику через формальний підхід з боку комісій, які часто демонструють брак компетентності та поверхове розуміння принципів протидії корупції [3, с. 54–55].</w:t>
      </w:r>
    </w:p>
    <w:p w14:paraId="1792DAD9" w14:textId="77777777" w:rsidR="00C10374" w:rsidRPr="00511005" w:rsidRDefault="00C10374"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Окрему увагу слід приділити політичному впливу на діяльність антикорупційних інституцій. Як зазначає Н. Зізда, незважаючи на декларовану незалежність НАБУ, на практиці окремі представники політичного класу намагаються втручатися в його роботу. Таке втручання може мати різні форми — від внесення сумнівних законодавчих ініціатив до тиску в кадрових питаннях і управлінських процесах. З огляду на це, ключовими умовами для реального</w:t>
      </w:r>
    </w:p>
    <w:p w14:paraId="77E26BA8" w14:textId="77777777" w:rsidR="00C10374" w:rsidRPr="00511005" w:rsidRDefault="00C10374" w:rsidP="003A292D">
      <w:pPr>
        <w:spacing w:line="264" w:lineRule="auto"/>
        <w:ind w:firstLine="0"/>
        <w:rPr>
          <w:rFonts w:ascii="Arial" w:eastAsia="Times New Roman" w:hAnsi="Arial" w:cs="Arial"/>
          <w:szCs w:val="28"/>
          <w:lang w:val="uk-UA"/>
        </w:rPr>
      </w:pPr>
      <w:bookmarkStart w:id="166" w:name="page3"/>
      <w:bookmarkEnd w:id="166"/>
      <w:r w:rsidRPr="00511005">
        <w:rPr>
          <w:rFonts w:ascii="Arial" w:eastAsia="Times New Roman" w:hAnsi="Arial" w:cs="Arial"/>
          <w:szCs w:val="28"/>
          <w:lang w:val="uk-UA"/>
        </w:rPr>
        <w:t>зміцнення незалежності антикорупційної системи є залучення міжнародного контролю, проведення прозорих конкурсів на керівні посади, а також мінімізація важелів впливу політиків на роботу таких органів, як НАБУ [4, с. 70].</w:t>
      </w:r>
    </w:p>
    <w:p w14:paraId="3F6D424E" w14:textId="77777777" w:rsidR="00C10374" w:rsidRPr="00511005" w:rsidRDefault="00C10374"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Разом з тим, слід підкреслити й ті позитивні результати, які демонструє НАБУ в останні роки.</w:t>
      </w:r>
    </w:p>
    <w:p w14:paraId="4C6C9EFA" w14:textId="77777777" w:rsidR="00C10374" w:rsidRPr="00511005" w:rsidRDefault="00C10374"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Після 2020 року НАБУ значно посилило свою інституційну спроможність. За оцінками Риженко К., ефективність НАБУ зросла з 3.6 до 4.3 балів із 5 можливих. Це зростання відображає покращення нормативної бази, а також визнання НАБУ як центрального органу виконавчої влади зі спеціальним статусом [5]. Після початку повномасштабної агресії Росії у </w:t>
      </w:r>
      <w:r w:rsidRPr="00511005">
        <w:rPr>
          <w:rFonts w:ascii="Arial" w:eastAsia="Times New Roman" w:hAnsi="Arial" w:cs="Arial"/>
          <w:szCs w:val="28"/>
          <w:lang w:val="uk-UA"/>
        </w:rPr>
        <w:lastRenderedPageBreak/>
        <w:t>2022 році цей орган зміг адаптуватися до нових умов, зберегти кадровий склад і не зупинити кримінальні провадження, що стало свідченням інституційної стійкості. У 2023 році, з приходом нового керівництва, розпочато глибокий внутрішній аналіз організаційної структури задля підвищення результативності роботи [6]. Особливу увагу НАБУ зосередило на боротьбі з корупцією у сфері оборонних закупівель - станом на лютий 2024 року, як повідомляє Пелещук Д., під процесуальним керівництвом детективів перебувало понад 60 проваджень у цій галузі [7].</w:t>
      </w:r>
    </w:p>
    <w:p w14:paraId="07133064" w14:textId="77777777" w:rsidR="00C10374" w:rsidRPr="00511005" w:rsidRDefault="00C10374"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Отже, діяльність Національного антикорупційного бюро України демонструє складний, але поступальний розвиток у боротьбі з корупцією високопосадовців. Попри серйозні виклики, серед яких - кадрова нестача, недостатній рівень професійної підготовки співробітників, політичний тиск і проблеми в судоустрої, НАБУ поступово зміцнює свою інституційну спроможність. Досягнення останніх років, зокрема зростання рейтингу ефективності, адаптація до умов воєнного часу та розслідування справ у критично важливих секторах, таких як оборона, свідчать про його здатність відповідати на виклики часу. Збереження незалежності, прозорість у кадровій політиці та посилення міжнародного нагляду залишаються необхідними умовами для подальшої результативності цього органу в умовах реформування української державності.</w:t>
      </w:r>
    </w:p>
    <w:p w14:paraId="19056FE4" w14:textId="77777777" w:rsidR="00C10374" w:rsidRPr="00511005" w:rsidRDefault="00C10374" w:rsidP="003A292D">
      <w:pPr>
        <w:spacing w:line="264" w:lineRule="auto"/>
        <w:ind w:firstLine="0"/>
        <w:rPr>
          <w:rFonts w:ascii="Arial" w:eastAsia="Times New Roman" w:hAnsi="Arial" w:cs="Arial"/>
          <w:szCs w:val="28"/>
          <w:lang w:val="uk-UA"/>
        </w:rPr>
      </w:pPr>
    </w:p>
    <w:p w14:paraId="00A2308F" w14:textId="2D025148" w:rsidR="00C10374" w:rsidRPr="007040FD" w:rsidRDefault="007B2628" w:rsidP="007040FD">
      <w:pPr>
        <w:spacing w:line="264" w:lineRule="auto"/>
        <w:ind w:left="3420" w:firstLine="0"/>
        <w:rPr>
          <w:rFonts w:ascii="Arial" w:eastAsia="Times New Roman" w:hAnsi="Arial" w:cs="Arial"/>
          <w:b/>
          <w:iCs/>
          <w:szCs w:val="28"/>
          <w:lang w:val="uk-UA"/>
        </w:rPr>
      </w:pPr>
      <w:r w:rsidRPr="007040FD">
        <w:rPr>
          <w:rFonts w:ascii="Arial" w:eastAsia="Times New Roman" w:hAnsi="Arial" w:cs="Arial"/>
          <w:b/>
          <w:iCs/>
          <w:szCs w:val="28"/>
          <w:lang w:val="uk-UA"/>
        </w:rPr>
        <w:t>Список використаних джерел</w:t>
      </w:r>
    </w:p>
    <w:p w14:paraId="1405B637" w14:textId="58BFFF67" w:rsidR="00C10374" w:rsidRPr="00511005" w:rsidRDefault="00C10374" w:rsidP="003F6A5D">
      <w:pPr>
        <w:numPr>
          <w:ilvl w:val="0"/>
          <w:numId w:val="325"/>
        </w:numPr>
        <w:spacing w:line="264" w:lineRule="auto"/>
        <w:rPr>
          <w:rFonts w:ascii="Arial" w:eastAsia="Calibri" w:hAnsi="Arial" w:cs="Arial"/>
          <w:szCs w:val="28"/>
          <w:lang w:val="uk-UA"/>
        </w:rPr>
      </w:pPr>
      <w:r w:rsidRPr="00511005">
        <w:rPr>
          <w:rFonts w:ascii="Arial" w:eastAsia="Calibri" w:hAnsi="Arial" w:cs="Arial"/>
          <w:szCs w:val="28"/>
        </w:rPr>
        <w:t>Про Національне антикорупційне бюро України: Закон України від 14.10.2014 р. № 1698-VII.</w:t>
      </w:r>
      <w:r w:rsidRPr="00511005">
        <w:rPr>
          <w:rFonts w:ascii="Arial" w:eastAsia="Calibri" w:hAnsi="Arial" w:cs="Arial"/>
          <w:szCs w:val="28"/>
          <w:lang w:val="uk-UA"/>
        </w:rPr>
        <w:t xml:space="preserve"> URL: </w:t>
      </w:r>
      <w:hyperlink r:id="rId1213" w:anchor="Text">
        <w:r w:rsidRPr="00511005">
          <w:rPr>
            <w:rFonts w:ascii="Arial" w:eastAsia="Calibri" w:hAnsi="Arial" w:cs="Arial"/>
            <w:szCs w:val="28"/>
            <w:u w:color="0000FF"/>
            <w:lang w:val="uk-UA"/>
          </w:rPr>
          <w:t>https://zakon.rada.gov.ua/laws/show/1698</w:t>
        </w:r>
      </w:hyperlink>
      <w:hyperlink r:id="rId1214" w:anchor="Text">
        <w:r w:rsidRPr="00511005">
          <w:rPr>
            <w:rFonts w:ascii="Arial" w:eastAsia="Calibri" w:hAnsi="Arial" w:cs="Arial"/>
            <w:szCs w:val="28"/>
            <w:u w:color="0000FF"/>
            <w:lang w:val="uk-UA"/>
          </w:rPr>
          <w:t>-</w:t>
        </w:r>
      </w:hyperlink>
      <w:hyperlink r:id="rId1215" w:anchor="Text">
        <w:r w:rsidRPr="00511005">
          <w:rPr>
            <w:rFonts w:ascii="Arial" w:eastAsia="Calibri" w:hAnsi="Arial" w:cs="Arial"/>
            <w:szCs w:val="28"/>
            <w:u w:color="0000FF"/>
            <w:lang w:val="uk-UA"/>
          </w:rPr>
          <w:t>18#Text</w:t>
        </w:r>
      </w:hyperlink>
      <w:hyperlink r:id="rId1216" w:anchor="Text">
        <w:r w:rsidRPr="00511005">
          <w:rPr>
            <w:rFonts w:ascii="Arial" w:eastAsia="Calibri" w:hAnsi="Arial" w:cs="Arial"/>
            <w:szCs w:val="28"/>
            <w:lang w:val="uk-UA"/>
          </w:rPr>
          <w:t xml:space="preserve"> </w:t>
        </w:r>
      </w:hyperlink>
    </w:p>
    <w:p w14:paraId="3A2C0B90" w14:textId="77777777" w:rsidR="00C10374" w:rsidRPr="00511005" w:rsidRDefault="00C10374" w:rsidP="003F6A5D">
      <w:pPr>
        <w:numPr>
          <w:ilvl w:val="0"/>
          <w:numId w:val="325"/>
        </w:numPr>
        <w:spacing w:line="264" w:lineRule="auto"/>
        <w:rPr>
          <w:rFonts w:ascii="Arial" w:eastAsia="Calibri" w:hAnsi="Arial" w:cs="Arial"/>
          <w:szCs w:val="28"/>
          <w:lang w:val="uk-UA"/>
        </w:rPr>
      </w:pPr>
      <w:r w:rsidRPr="00511005">
        <w:rPr>
          <w:rFonts w:ascii="Arial" w:eastAsia="Calibri" w:hAnsi="Arial" w:cs="Arial"/>
          <w:szCs w:val="28"/>
          <w:lang w:val="uk-UA"/>
        </w:rPr>
        <w:t xml:space="preserve">Ювчик Є. А. Правовий статус Національного антикорупційного бюро України. </w:t>
      </w:r>
      <w:r w:rsidRPr="00511005">
        <w:rPr>
          <w:rFonts w:ascii="Arial" w:eastAsia="Calibri" w:hAnsi="Arial" w:cs="Arial"/>
          <w:i/>
          <w:szCs w:val="28"/>
          <w:lang w:val="uk-UA"/>
        </w:rPr>
        <w:t>Дослідження та інновації. 2024.</w:t>
      </w:r>
      <w:r w:rsidRPr="00511005">
        <w:rPr>
          <w:rFonts w:ascii="Arial" w:eastAsia="Calibri" w:hAnsi="Arial" w:cs="Arial"/>
          <w:szCs w:val="28"/>
          <w:lang w:val="uk-UA"/>
        </w:rPr>
        <w:t xml:space="preserve"> № 1 (1). С. 65–71. </w:t>
      </w:r>
      <w:r w:rsidRPr="00511005">
        <w:rPr>
          <w:rFonts w:ascii="Arial" w:eastAsia="Calibri" w:hAnsi="Arial" w:cs="Arial"/>
          <w:szCs w:val="28"/>
        </w:rPr>
        <w:t>URL</w:t>
      </w:r>
      <w:r w:rsidRPr="00511005">
        <w:rPr>
          <w:rFonts w:ascii="Arial" w:eastAsia="Calibri" w:hAnsi="Arial" w:cs="Arial"/>
          <w:szCs w:val="28"/>
          <w:lang w:val="uk-UA"/>
        </w:rPr>
        <w:t xml:space="preserve">: </w:t>
      </w:r>
      <w:r w:rsidRPr="00511005">
        <w:rPr>
          <w:rFonts w:ascii="Arial" w:eastAsia="Calibri" w:hAnsi="Arial" w:cs="Arial"/>
          <w:szCs w:val="28"/>
        </w:rPr>
        <w:t>https</w:t>
      </w:r>
      <w:r w:rsidRPr="00511005">
        <w:rPr>
          <w:rFonts w:ascii="Arial" w:eastAsia="Calibri" w:hAnsi="Arial" w:cs="Arial"/>
          <w:szCs w:val="28"/>
          <w:lang w:val="uk-UA"/>
        </w:rPr>
        <w:t>://</w:t>
      </w:r>
      <w:r w:rsidRPr="00511005">
        <w:rPr>
          <w:rFonts w:ascii="Arial" w:eastAsia="Calibri" w:hAnsi="Arial" w:cs="Arial"/>
          <w:szCs w:val="28"/>
        </w:rPr>
        <w:t>rni</w:t>
      </w:r>
      <w:r w:rsidRPr="00511005">
        <w:rPr>
          <w:rFonts w:ascii="Arial" w:eastAsia="Calibri" w:hAnsi="Arial" w:cs="Arial"/>
          <w:szCs w:val="28"/>
          <w:lang w:val="uk-UA"/>
        </w:rPr>
        <w:t>.</w:t>
      </w:r>
      <w:r w:rsidRPr="00511005">
        <w:rPr>
          <w:rFonts w:ascii="Arial" w:eastAsia="Calibri" w:hAnsi="Arial" w:cs="Arial"/>
          <w:szCs w:val="28"/>
        </w:rPr>
        <w:t>com</w:t>
      </w:r>
      <w:r w:rsidRPr="00511005">
        <w:rPr>
          <w:rFonts w:ascii="Arial" w:eastAsia="Calibri" w:hAnsi="Arial" w:cs="Arial"/>
          <w:szCs w:val="28"/>
          <w:lang w:val="uk-UA"/>
        </w:rPr>
        <w:t>.</w:t>
      </w:r>
      <w:r w:rsidRPr="00511005">
        <w:rPr>
          <w:rFonts w:ascii="Arial" w:eastAsia="Calibri" w:hAnsi="Arial" w:cs="Arial"/>
          <w:szCs w:val="28"/>
        </w:rPr>
        <w:t>ua</w:t>
      </w:r>
      <w:r w:rsidRPr="00511005">
        <w:rPr>
          <w:rFonts w:ascii="Arial" w:eastAsia="Calibri" w:hAnsi="Arial" w:cs="Arial"/>
          <w:szCs w:val="28"/>
          <w:lang w:val="uk-UA"/>
        </w:rPr>
        <w:t>/</w:t>
      </w:r>
      <w:r w:rsidRPr="00511005">
        <w:rPr>
          <w:rFonts w:ascii="Arial" w:eastAsia="Calibri" w:hAnsi="Arial" w:cs="Arial"/>
          <w:szCs w:val="28"/>
        </w:rPr>
        <w:t>index</w:t>
      </w:r>
      <w:r w:rsidRPr="00511005">
        <w:rPr>
          <w:rFonts w:ascii="Arial" w:eastAsia="Calibri" w:hAnsi="Arial" w:cs="Arial"/>
          <w:szCs w:val="28"/>
          <w:lang w:val="uk-UA"/>
        </w:rPr>
        <w:t>.</w:t>
      </w:r>
      <w:r w:rsidRPr="00511005">
        <w:rPr>
          <w:rFonts w:ascii="Arial" w:eastAsia="Calibri" w:hAnsi="Arial" w:cs="Arial"/>
          <w:szCs w:val="28"/>
        </w:rPr>
        <w:t>php</w:t>
      </w:r>
      <w:r w:rsidRPr="00511005">
        <w:rPr>
          <w:rFonts w:ascii="Arial" w:eastAsia="Calibri" w:hAnsi="Arial" w:cs="Arial"/>
          <w:szCs w:val="28"/>
          <w:lang w:val="uk-UA"/>
        </w:rPr>
        <w:t>/</w:t>
      </w:r>
      <w:r w:rsidRPr="00511005">
        <w:rPr>
          <w:rFonts w:ascii="Arial" w:eastAsia="Calibri" w:hAnsi="Arial" w:cs="Arial"/>
          <w:szCs w:val="28"/>
        </w:rPr>
        <w:t>ri</w:t>
      </w:r>
      <w:r w:rsidRPr="00511005">
        <w:rPr>
          <w:rFonts w:ascii="Arial" w:eastAsia="Calibri" w:hAnsi="Arial" w:cs="Arial"/>
          <w:szCs w:val="28"/>
          <w:lang w:val="uk-UA"/>
        </w:rPr>
        <w:t>/</w:t>
      </w:r>
      <w:r w:rsidRPr="00511005">
        <w:rPr>
          <w:rFonts w:ascii="Arial" w:eastAsia="Calibri" w:hAnsi="Arial" w:cs="Arial"/>
          <w:szCs w:val="28"/>
        </w:rPr>
        <w:t>article</w:t>
      </w:r>
      <w:r w:rsidRPr="00511005">
        <w:rPr>
          <w:rFonts w:ascii="Arial" w:eastAsia="Calibri" w:hAnsi="Arial" w:cs="Arial"/>
          <w:szCs w:val="28"/>
          <w:lang w:val="uk-UA"/>
        </w:rPr>
        <w:t>/</w:t>
      </w:r>
      <w:r w:rsidRPr="00511005">
        <w:rPr>
          <w:rFonts w:ascii="Arial" w:eastAsia="Calibri" w:hAnsi="Arial" w:cs="Arial"/>
          <w:szCs w:val="28"/>
        </w:rPr>
        <w:t>view</w:t>
      </w:r>
      <w:r w:rsidRPr="00511005">
        <w:rPr>
          <w:rFonts w:ascii="Arial" w:eastAsia="Calibri" w:hAnsi="Arial" w:cs="Arial"/>
          <w:szCs w:val="28"/>
          <w:lang w:val="uk-UA"/>
        </w:rPr>
        <w:t>/11/9</w:t>
      </w:r>
    </w:p>
    <w:p w14:paraId="46C453E7" w14:textId="77777777" w:rsidR="00C10374" w:rsidRPr="00511005" w:rsidRDefault="00C10374" w:rsidP="003F6A5D">
      <w:pPr>
        <w:numPr>
          <w:ilvl w:val="0"/>
          <w:numId w:val="325"/>
        </w:numPr>
        <w:spacing w:line="264" w:lineRule="auto"/>
        <w:rPr>
          <w:rFonts w:ascii="Arial" w:eastAsia="Calibri" w:hAnsi="Arial" w:cs="Arial"/>
          <w:szCs w:val="28"/>
          <w:lang w:val="uk-UA"/>
        </w:rPr>
      </w:pPr>
      <w:r w:rsidRPr="00511005">
        <w:rPr>
          <w:rFonts w:ascii="Arial" w:eastAsia="Calibri" w:hAnsi="Arial" w:cs="Arial"/>
          <w:szCs w:val="28"/>
          <w:lang w:val="uk-UA"/>
        </w:rPr>
        <w:t xml:space="preserve">Герасимов А. Є. Актуальні проблеми та перспективи розвитку Національного антикорупційного бюро. </w:t>
      </w:r>
      <w:r w:rsidRPr="00511005">
        <w:rPr>
          <w:rFonts w:ascii="Arial" w:eastAsia="Calibri" w:hAnsi="Arial" w:cs="Arial"/>
          <w:i/>
          <w:szCs w:val="28"/>
          <w:lang w:val="uk-UA"/>
        </w:rPr>
        <w:t>Матеріали Всеукраїнської науковопрактичної конференції (ДДУВС, 19 травня 2021 р.). Дніпро. 2021.</w:t>
      </w:r>
      <w:r w:rsidRPr="00511005">
        <w:rPr>
          <w:rFonts w:ascii="Arial" w:eastAsia="Calibri" w:hAnsi="Arial" w:cs="Arial"/>
          <w:szCs w:val="28"/>
          <w:lang w:val="uk-UA"/>
        </w:rPr>
        <w:t xml:space="preserve"> С. 53–56. </w:t>
      </w:r>
      <w:r w:rsidRPr="00511005">
        <w:rPr>
          <w:rFonts w:ascii="Arial" w:eastAsia="Calibri" w:hAnsi="Arial" w:cs="Arial"/>
          <w:szCs w:val="28"/>
        </w:rPr>
        <w:t>URL: https://er.dduvs.edu.ua/bitstream/123456789/7854/1/8.pdf</w:t>
      </w:r>
    </w:p>
    <w:p w14:paraId="74D38E6B" w14:textId="2B41EAE1" w:rsidR="00C10374" w:rsidRPr="00511005" w:rsidRDefault="00C10374" w:rsidP="003F6A5D">
      <w:pPr>
        <w:numPr>
          <w:ilvl w:val="0"/>
          <w:numId w:val="325"/>
        </w:numPr>
        <w:spacing w:line="264" w:lineRule="auto"/>
        <w:rPr>
          <w:rFonts w:ascii="Arial" w:eastAsia="Calibri" w:hAnsi="Arial" w:cs="Arial"/>
          <w:szCs w:val="28"/>
          <w:lang w:val="uk-UA"/>
        </w:rPr>
      </w:pPr>
      <w:r w:rsidRPr="00511005">
        <w:rPr>
          <w:rFonts w:ascii="Arial" w:eastAsia="Calibri" w:hAnsi="Arial" w:cs="Arial"/>
          <w:szCs w:val="28"/>
          <w:lang w:val="uk-UA"/>
        </w:rPr>
        <w:t xml:space="preserve">Зізда Н. Антикорупційна політика в Україні: виклики та перспективи. Публічне управління в Україні: історичний досвід та перспективи розвитку. </w:t>
      </w:r>
      <w:r w:rsidRPr="00511005">
        <w:rPr>
          <w:rFonts w:ascii="Arial" w:eastAsia="Calibri" w:hAnsi="Arial" w:cs="Arial"/>
          <w:i/>
          <w:szCs w:val="28"/>
          <w:lang w:val="uk-UA"/>
        </w:rPr>
        <w:t>Матеріали Всеукр. наук.-практ. конф. (м. Київ, 18 лютого 2025 р.)</w:t>
      </w:r>
      <w:r w:rsidRPr="00511005">
        <w:rPr>
          <w:rFonts w:ascii="Arial" w:eastAsia="Calibri" w:hAnsi="Arial" w:cs="Arial"/>
          <w:szCs w:val="28"/>
          <w:lang w:val="uk-UA"/>
        </w:rPr>
        <w:t xml:space="preserve"> За заг. ред. Л. Г. Комахи, Н. М. Корчак, Л. В. Гонюкової. Київ. ННІПУДС КНУ імені Тараса Шевченка. 2025. С. 70–71.</w:t>
      </w:r>
      <w:r w:rsidR="007B2628" w:rsidRPr="00511005">
        <w:rPr>
          <w:rFonts w:ascii="Arial" w:eastAsia="Calibri" w:hAnsi="Arial" w:cs="Arial"/>
          <w:szCs w:val="28"/>
          <w:lang w:val="uk-UA"/>
        </w:rPr>
        <w:t xml:space="preserve"> </w:t>
      </w:r>
      <w:r w:rsidRPr="00511005">
        <w:rPr>
          <w:rFonts w:ascii="Arial" w:eastAsia="Calibri" w:hAnsi="Arial" w:cs="Arial"/>
          <w:szCs w:val="28"/>
        </w:rPr>
        <w:t>URL</w:t>
      </w:r>
      <w:r w:rsidRPr="00511005">
        <w:rPr>
          <w:rFonts w:ascii="Arial" w:eastAsia="Calibri" w:hAnsi="Arial" w:cs="Arial"/>
          <w:szCs w:val="28"/>
          <w:lang w:val="uk-UA"/>
        </w:rPr>
        <w:t xml:space="preserve">: </w:t>
      </w:r>
      <w:hyperlink r:id="rId1217" w:history="1">
        <w:r w:rsidRPr="00511005">
          <w:rPr>
            <w:rFonts w:ascii="Arial" w:eastAsia="Calibri" w:hAnsi="Arial" w:cs="Arial"/>
            <w:szCs w:val="28"/>
          </w:rPr>
          <w:t>https</w:t>
        </w:r>
        <w:r w:rsidRPr="00511005">
          <w:rPr>
            <w:rFonts w:ascii="Arial" w:eastAsia="Calibri" w:hAnsi="Arial" w:cs="Arial"/>
            <w:szCs w:val="28"/>
            <w:lang w:val="uk-UA"/>
          </w:rPr>
          <w:t>://</w:t>
        </w:r>
        <w:r w:rsidRPr="00511005">
          <w:rPr>
            <w:rFonts w:ascii="Arial" w:eastAsia="Calibri" w:hAnsi="Arial" w:cs="Arial"/>
            <w:szCs w:val="28"/>
          </w:rPr>
          <w:t>dspace</w:t>
        </w:r>
        <w:r w:rsidRPr="00511005">
          <w:rPr>
            <w:rFonts w:ascii="Arial" w:eastAsia="Calibri" w:hAnsi="Arial" w:cs="Arial"/>
            <w:szCs w:val="28"/>
            <w:lang w:val="uk-UA"/>
          </w:rPr>
          <w:t>.</w:t>
        </w:r>
        <w:r w:rsidRPr="00511005">
          <w:rPr>
            <w:rFonts w:ascii="Arial" w:eastAsia="Calibri" w:hAnsi="Arial" w:cs="Arial"/>
            <w:szCs w:val="28"/>
          </w:rPr>
          <w:t>mnau</w:t>
        </w:r>
        <w:r w:rsidRPr="00511005">
          <w:rPr>
            <w:rFonts w:ascii="Arial" w:eastAsia="Calibri" w:hAnsi="Arial" w:cs="Arial"/>
            <w:szCs w:val="28"/>
            <w:lang w:val="uk-UA"/>
          </w:rPr>
          <w:t>.</w:t>
        </w:r>
        <w:r w:rsidRPr="00511005">
          <w:rPr>
            <w:rFonts w:ascii="Arial" w:eastAsia="Calibri" w:hAnsi="Arial" w:cs="Arial"/>
            <w:szCs w:val="28"/>
          </w:rPr>
          <w:t>edu</w:t>
        </w:r>
        <w:r w:rsidRPr="00511005">
          <w:rPr>
            <w:rFonts w:ascii="Arial" w:eastAsia="Calibri" w:hAnsi="Arial" w:cs="Arial"/>
            <w:szCs w:val="28"/>
            <w:lang w:val="uk-UA"/>
          </w:rPr>
          <w:t>.</w:t>
        </w:r>
        <w:r w:rsidRPr="00511005">
          <w:rPr>
            <w:rFonts w:ascii="Arial" w:eastAsia="Calibri" w:hAnsi="Arial" w:cs="Arial"/>
            <w:szCs w:val="28"/>
          </w:rPr>
          <w:t>ua</w:t>
        </w:r>
        <w:r w:rsidRPr="00511005">
          <w:rPr>
            <w:rFonts w:ascii="Arial" w:eastAsia="Calibri" w:hAnsi="Arial" w:cs="Arial"/>
            <w:szCs w:val="28"/>
            <w:lang w:val="uk-UA"/>
          </w:rPr>
          <w:t>/</w:t>
        </w:r>
        <w:r w:rsidRPr="00511005">
          <w:rPr>
            <w:rFonts w:ascii="Arial" w:eastAsia="Calibri" w:hAnsi="Arial" w:cs="Arial"/>
            <w:szCs w:val="28"/>
          </w:rPr>
          <w:t>jspui</w:t>
        </w:r>
        <w:r w:rsidRPr="00511005">
          <w:rPr>
            <w:rFonts w:ascii="Arial" w:eastAsia="Calibri" w:hAnsi="Arial" w:cs="Arial"/>
            <w:szCs w:val="28"/>
            <w:lang w:val="uk-UA"/>
          </w:rPr>
          <w:t>/</w:t>
        </w:r>
        <w:r w:rsidRPr="00511005">
          <w:rPr>
            <w:rFonts w:ascii="Arial" w:eastAsia="Calibri" w:hAnsi="Arial" w:cs="Arial"/>
            <w:szCs w:val="28"/>
          </w:rPr>
          <w:t>bitstream</w:t>
        </w:r>
        <w:r w:rsidRPr="00511005">
          <w:rPr>
            <w:rFonts w:ascii="Arial" w:eastAsia="Calibri" w:hAnsi="Arial" w:cs="Arial"/>
            <w:szCs w:val="28"/>
            <w:lang w:val="uk-UA"/>
          </w:rPr>
          <w:t>/123456789/21040/1/70-71.</w:t>
        </w:r>
        <w:r w:rsidRPr="00511005">
          <w:rPr>
            <w:rFonts w:ascii="Arial" w:eastAsia="Calibri" w:hAnsi="Arial" w:cs="Arial"/>
            <w:szCs w:val="28"/>
          </w:rPr>
          <w:t>pdf</w:t>
        </w:r>
      </w:hyperlink>
      <w:r w:rsidRPr="00511005">
        <w:rPr>
          <w:rFonts w:ascii="Arial" w:eastAsia="Calibri" w:hAnsi="Arial" w:cs="Arial"/>
          <w:szCs w:val="28"/>
          <w:lang w:val="uk-UA"/>
        </w:rPr>
        <w:t xml:space="preserve"> </w:t>
      </w:r>
    </w:p>
    <w:p w14:paraId="730BA657" w14:textId="77777777" w:rsidR="00C10374" w:rsidRPr="00511005" w:rsidRDefault="00C10374" w:rsidP="003F6A5D">
      <w:pPr>
        <w:numPr>
          <w:ilvl w:val="0"/>
          <w:numId w:val="325"/>
        </w:numPr>
        <w:spacing w:line="264" w:lineRule="auto"/>
        <w:rPr>
          <w:rFonts w:ascii="Arial" w:eastAsia="Calibri" w:hAnsi="Arial" w:cs="Arial"/>
          <w:szCs w:val="28"/>
          <w:lang w:val="uk-UA"/>
        </w:rPr>
      </w:pPr>
      <w:r w:rsidRPr="00511005">
        <w:rPr>
          <w:rFonts w:ascii="Arial" w:eastAsia="Calibri" w:hAnsi="Arial" w:cs="Arial"/>
          <w:szCs w:val="28"/>
          <w:lang w:val="uk-UA"/>
        </w:rPr>
        <w:t xml:space="preserve">Ryzhenko K. Obstacles in the Work of the Anti-Corruption Ecosystem. </w:t>
      </w:r>
      <w:r w:rsidRPr="00511005">
        <w:rPr>
          <w:rFonts w:ascii="Arial" w:eastAsia="Calibri" w:hAnsi="Arial" w:cs="Arial"/>
          <w:i/>
          <w:szCs w:val="28"/>
          <w:lang w:val="uk-UA"/>
        </w:rPr>
        <w:t>Transparency International Ukraine</w:t>
      </w:r>
      <w:r w:rsidRPr="00511005">
        <w:rPr>
          <w:rFonts w:ascii="Arial" w:eastAsia="Calibri" w:hAnsi="Arial" w:cs="Arial"/>
          <w:szCs w:val="28"/>
          <w:lang w:val="uk-UA"/>
        </w:rPr>
        <w:t xml:space="preserve">. 2023. URL: </w:t>
      </w:r>
      <w:hyperlink r:id="rId1218">
        <w:r w:rsidRPr="00511005">
          <w:rPr>
            <w:rFonts w:ascii="Arial" w:eastAsia="Calibri" w:hAnsi="Arial" w:cs="Arial"/>
            <w:szCs w:val="28"/>
            <w:u w:color="0000FF"/>
            <w:lang w:val="uk-UA"/>
          </w:rPr>
          <w:t>https://ti</w:t>
        </w:r>
      </w:hyperlink>
      <w:hyperlink r:id="rId1219">
        <w:r w:rsidRPr="00511005">
          <w:rPr>
            <w:rFonts w:ascii="Arial" w:eastAsia="Calibri" w:hAnsi="Arial" w:cs="Arial"/>
            <w:szCs w:val="28"/>
            <w:u w:color="0000FF"/>
            <w:lang w:val="uk-UA"/>
          </w:rPr>
          <w:t>-</w:t>
        </w:r>
      </w:hyperlink>
      <w:hyperlink r:id="rId1220">
        <w:r w:rsidRPr="00511005">
          <w:rPr>
            <w:rFonts w:ascii="Arial" w:eastAsia="Calibri" w:hAnsi="Arial" w:cs="Arial"/>
            <w:szCs w:val="28"/>
            <w:u w:color="0000FF"/>
            <w:lang w:val="uk-UA"/>
          </w:rPr>
          <w:t>ukraine.org/en/news/obstacles</w:t>
        </w:r>
      </w:hyperlink>
      <w:hyperlink r:id="rId1221">
        <w:r w:rsidRPr="00511005">
          <w:rPr>
            <w:rFonts w:ascii="Arial" w:eastAsia="Calibri" w:hAnsi="Arial" w:cs="Arial"/>
            <w:szCs w:val="28"/>
            <w:u w:color="0000FF"/>
            <w:lang w:val="uk-UA"/>
          </w:rPr>
          <w:t>-</w:t>
        </w:r>
      </w:hyperlink>
      <w:hyperlink r:id="rId1222">
        <w:r w:rsidRPr="00511005">
          <w:rPr>
            <w:rFonts w:ascii="Arial" w:eastAsia="Calibri" w:hAnsi="Arial" w:cs="Arial"/>
            <w:szCs w:val="28"/>
            <w:u w:color="0000FF"/>
            <w:lang w:val="uk-UA"/>
          </w:rPr>
          <w:t>in</w:t>
        </w:r>
      </w:hyperlink>
      <w:hyperlink r:id="rId1223">
        <w:r w:rsidRPr="00511005">
          <w:rPr>
            <w:rFonts w:ascii="Arial" w:eastAsia="Calibri" w:hAnsi="Arial" w:cs="Arial"/>
            <w:szCs w:val="28"/>
            <w:u w:color="0000FF"/>
            <w:lang w:val="uk-UA"/>
          </w:rPr>
          <w:t>-</w:t>
        </w:r>
      </w:hyperlink>
      <w:hyperlink r:id="rId1224">
        <w:r w:rsidRPr="00511005">
          <w:rPr>
            <w:rFonts w:ascii="Arial" w:eastAsia="Calibri" w:hAnsi="Arial" w:cs="Arial"/>
            <w:szCs w:val="28"/>
            <w:u w:color="0000FF"/>
            <w:lang w:val="uk-UA"/>
          </w:rPr>
          <w:t>the</w:t>
        </w:r>
      </w:hyperlink>
      <w:hyperlink r:id="rId1225">
        <w:r w:rsidRPr="00511005">
          <w:rPr>
            <w:rFonts w:ascii="Arial" w:eastAsia="Calibri" w:hAnsi="Arial" w:cs="Arial"/>
            <w:szCs w:val="28"/>
            <w:u w:color="0000FF"/>
            <w:lang w:val="uk-UA"/>
          </w:rPr>
          <w:t>-</w:t>
        </w:r>
      </w:hyperlink>
      <w:hyperlink r:id="rId1226">
        <w:r w:rsidRPr="00511005">
          <w:rPr>
            <w:rFonts w:ascii="Arial" w:eastAsia="Calibri" w:hAnsi="Arial" w:cs="Arial"/>
            <w:szCs w:val="28"/>
            <w:u w:color="0000FF"/>
            <w:lang w:val="uk-UA"/>
          </w:rPr>
          <w:t>work</w:t>
        </w:r>
      </w:hyperlink>
      <w:hyperlink r:id="rId1227">
        <w:r w:rsidRPr="00511005">
          <w:rPr>
            <w:rFonts w:ascii="Arial" w:eastAsia="Calibri" w:hAnsi="Arial" w:cs="Arial"/>
            <w:szCs w:val="28"/>
            <w:u w:color="0000FF"/>
            <w:lang w:val="uk-UA"/>
          </w:rPr>
          <w:t>-</w:t>
        </w:r>
      </w:hyperlink>
      <w:hyperlink r:id="rId1228">
        <w:r w:rsidRPr="00511005">
          <w:rPr>
            <w:rFonts w:ascii="Arial" w:eastAsia="Calibri" w:hAnsi="Arial" w:cs="Arial"/>
            <w:szCs w:val="28"/>
            <w:u w:color="0000FF"/>
            <w:lang w:val="uk-UA"/>
          </w:rPr>
          <w:t>of</w:t>
        </w:r>
      </w:hyperlink>
      <w:hyperlink r:id="rId1229">
        <w:r w:rsidRPr="00511005">
          <w:rPr>
            <w:rFonts w:ascii="Arial" w:eastAsia="Calibri" w:hAnsi="Arial" w:cs="Arial"/>
            <w:szCs w:val="28"/>
            <w:u w:color="0000FF"/>
            <w:lang w:val="uk-UA"/>
          </w:rPr>
          <w:t>-</w:t>
        </w:r>
      </w:hyperlink>
      <w:hyperlink r:id="rId1230">
        <w:r w:rsidRPr="00511005">
          <w:rPr>
            <w:rFonts w:ascii="Arial" w:eastAsia="Calibri" w:hAnsi="Arial" w:cs="Arial"/>
            <w:szCs w:val="28"/>
            <w:u w:color="0000FF"/>
            <w:lang w:val="uk-UA"/>
          </w:rPr>
          <w:t>the</w:t>
        </w:r>
      </w:hyperlink>
      <w:hyperlink r:id="rId1231">
        <w:r w:rsidRPr="00511005">
          <w:rPr>
            <w:rFonts w:ascii="Arial" w:eastAsia="Calibri" w:hAnsi="Arial" w:cs="Arial"/>
            <w:szCs w:val="28"/>
            <w:u w:color="0000FF"/>
            <w:lang w:val="uk-UA"/>
          </w:rPr>
          <w:t>-</w:t>
        </w:r>
      </w:hyperlink>
      <w:hyperlink r:id="rId1232">
        <w:r w:rsidRPr="00511005">
          <w:rPr>
            <w:rFonts w:ascii="Arial" w:eastAsia="Calibri" w:hAnsi="Arial" w:cs="Arial"/>
            <w:szCs w:val="28"/>
            <w:u w:color="0000FF"/>
            <w:lang w:val="uk-UA"/>
          </w:rPr>
          <w:t>anti</w:t>
        </w:r>
      </w:hyperlink>
      <w:hyperlink r:id="rId1233">
        <w:r w:rsidRPr="00511005">
          <w:rPr>
            <w:rFonts w:ascii="Arial" w:eastAsia="Calibri" w:hAnsi="Arial" w:cs="Arial"/>
            <w:szCs w:val="28"/>
            <w:u w:color="0000FF"/>
            <w:lang w:val="uk-UA"/>
          </w:rPr>
          <w:t>-</w:t>
        </w:r>
      </w:hyperlink>
      <w:hyperlink r:id="rId1234">
        <w:r w:rsidRPr="00511005">
          <w:rPr>
            <w:rFonts w:ascii="Arial" w:eastAsia="Calibri" w:hAnsi="Arial" w:cs="Arial"/>
            <w:szCs w:val="28"/>
            <w:u w:color="0000FF"/>
            <w:lang w:val="uk-UA"/>
          </w:rPr>
          <w:t>corruption</w:t>
        </w:r>
      </w:hyperlink>
      <w:hyperlink r:id="rId1235">
        <w:r w:rsidRPr="00511005">
          <w:rPr>
            <w:rFonts w:ascii="Arial" w:eastAsia="Calibri" w:hAnsi="Arial" w:cs="Arial"/>
            <w:szCs w:val="28"/>
            <w:u w:color="0000FF"/>
            <w:lang w:val="uk-UA"/>
          </w:rPr>
          <w:t>-</w:t>
        </w:r>
      </w:hyperlink>
      <w:hyperlink r:id="rId1236">
        <w:r w:rsidRPr="00511005">
          <w:rPr>
            <w:rFonts w:ascii="Arial" w:eastAsia="Calibri" w:hAnsi="Arial" w:cs="Arial"/>
            <w:szCs w:val="28"/>
            <w:u w:color="0000FF"/>
            <w:lang w:val="uk-UA"/>
          </w:rPr>
          <w:t>ecosystem</w:t>
        </w:r>
      </w:hyperlink>
      <w:hyperlink r:id="rId1237">
        <w:r w:rsidRPr="00511005">
          <w:rPr>
            <w:rFonts w:ascii="Arial" w:eastAsia="Calibri" w:hAnsi="Arial" w:cs="Arial"/>
            <w:szCs w:val="28"/>
            <w:lang w:val="uk-UA"/>
          </w:rPr>
          <w:t xml:space="preserve"> </w:t>
        </w:r>
      </w:hyperlink>
    </w:p>
    <w:p w14:paraId="20F94108" w14:textId="77777777" w:rsidR="00C10374" w:rsidRPr="00511005" w:rsidRDefault="00C10374" w:rsidP="003F6A5D">
      <w:pPr>
        <w:numPr>
          <w:ilvl w:val="0"/>
          <w:numId w:val="325"/>
        </w:numPr>
        <w:spacing w:line="264" w:lineRule="auto"/>
        <w:rPr>
          <w:rFonts w:ascii="Arial" w:eastAsia="Calibri" w:hAnsi="Arial" w:cs="Arial"/>
          <w:szCs w:val="28"/>
          <w:lang w:val="uk-UA"/>
        </w:rPr>
      </w:pPr>
      <w:r w:rsidRPr="00511005">
        <w:rPr>
          <w:rFonts w:ascii="Arial" w:eastAsia="Calibri" w:hAnsi="Arial" w:cs="Arial"/>
          <w:szCs w:val="28"/>
          <w:lang w:val="uk-UA"/>
        </w:rPr>
        <w:lastRenderedPageBreak/>
        <w:t xml:space="preserve">Технічна оцінка Національного антикорупційного бюро України. Перекл. з англ. мови. </w:t>
      </w:r>
      <w:r w:rsidRPr="00511005">
        <w:rPr>
          <w:rFonts w:ascii="Arial" w:eastAsia="Calibri" w:hAnsi="Arial" w:cs="Arial"/>
          <w:i/>
          <w:szCs w:val="28"/>
          <w:lang w:val="uk-UA"/>
        </w:rPr>
        <w:t>Звіт технічної оцінки НАБУ. 2023</w:t>
      </w:r>
      <w:r w:rsidRPr="00511005">
        <w:rPr>
          <w:rFonts w:ascii="Arial" w:eastAsia="Calibri" w:hAnsi="Arial" w:cs="Arial"/>
          <w:szCs w:val="28"/>
          <w:lang w:val="uk-UA"/>
        </w:rPr>
        <w:t xml:space="preserve">. URL: </w:t>
      </w:r>
      <w:hyperlink r:id="rId1238">
        <w:r w:rsidRPr="00511005">
          <w:rPr>
            <w:rFonts w:ascii="Arial" w:eastAsia="Calibri" w:hAnsi="Arial" w:cs="Arial"/>
            <w:szCs w:val="28"/>
            <w:u w:color="0000FF"/>
            <w:lang w:val="uk-UA"/>
          </w:rPr>
          <w:t>https://nabu.gov.ua/site/assets/files/47003/tekhnichna_otcinka_nabu_2023_ua</w:t>
        </w:r>
      </w:hyperlink>
      <w:hyperlink r:id="rId1239">
        <w:r w:rsidRPr="00511005">
          <w:rPr>
            <w:rFonts w:ascii="Arial" w:eastAsia="Calibri" w:hAnsi="Arial" w:cs="Arial"/>
            <w:szCs w:val="28"/>
            <w:u w:color="0000FF"/>
            <w:lang w:val="uk-UA"/>
          </w:rPr>
          <w:t>-</w:t>
        </w:r>
      </w:hyperlink>
      <w:hyperlink r:id="rId1240">
        <w:r w:rsidRPr="00511005">
          <w:rPr>
            <w:rFonts w:ascii="Arial" w:eastAsia="Calibri" w:hAnsi="Arial" w:cs="Arial"/>
            <w:szCs w:val="28"/>
            <w:u w:color="0000FF"/>
            <w:lang w:val="uk-UA"/>
          </w:rPr>
          <w:t>1.pdf</w:t>
        </w:r>
      </w:hyperlink>
      <w:hyperlink r:id="rId1241">
        <w:r w:rsidRPr="00511005">
          <w:rPr>
            <w:rFonts w:ascii="Arial" w:eastAsia="Calibri" w:hAnsi="Arial" w:cs="Arial"/>
            <w:szCs w:val="28"/>
            <w:lang w:val="uk-UA"/>
          </w:rPr>
          <w:t xml:space="preserve"> </w:t>
        </w:r>
      </w:hyperlink>
      <w:r w:rsidRPr="00511005">
        <w:rPr>
          <w:rFonts w:ascii="Arial" w:eastAsia="Calibri" w:hAnsi="Arial" w:cs="Arial"/>
          <w:szCs w:val="28"/>
          <w:lang w:val="uk-UA"/>
        </w:rPr>
        <w:t xml:space="preserve"> </w:t>
      </w:r>
    </w:p>
    <w:p w14:paraId="15409944" w14:textId="77777777" w:rsidR="00C10374" w:rsidRPr="00511005" w:rsidRDefault="00C10374" w:rsidP="003F6A5D">
      <w:pPr>
        <w:numPr>
          <w:ilvl w:val="0"/>
          <w:numId w:val="325"/>
        </w:numPr>
        <w:spacing w:line="264" w:lineRule="auto"/>
        <w:rPr>
          <w:rFonts w:ascii="Arial" w:eastAsia="Calibri" w:hAnsi="Arial" w:cs="Arial"/>
          <w:szCs w:val="28"/>
          <w:lang w:val="uk-UA"/>
        </w:rPr>
      </w:pPr>
      <w:r w:rsidRPr="00511005">
        <w:rPr>
          <w:rFonts w:ascii="Arial" w:eastAsia="Calibri" w:hAnsi="Arial" w:cs="Arial"/>
          <w:szCs w:val="28"/>
          <w:lang w:val="uk-UA"/>
        </w:rPr>
        <w:t xml:space="preserve">Peleschuk D. Ukraine anti-graft police probing dozens of defence-related cases. </w:t>
      </w:r>
      <w:r w:rsidRPr="00511005">
        <w:rPr>
          <w:rFonts w:ascii="Arial" w:eastAsia="Calibri" w:hAnsi="Arial" w:cs="Arial"/>
          <w:i/>
          <w:szCs w:val="28"/>
          <w:lang w:val="uk-UA"/>
        </w:rPr>
        <w:t>Reuters. 2024</w:t>
      </w:r>
      <w:r w:rsidRPr="00511005">
        <w:rPr>
          <w:rFonts w:ascii="Arial" w:eastAsia="Calibri" w:hAnsi="Arial" w:cs="Arial"/>
          <w:szCs w:val="28"/>
          <w:lang w:val="uk-UA"/>
        </w:rPr>
        <w:t xml:space="preserve">. URL: </w:t>
      </w:r>
      <w:hyperlink r:id="rId1242">
        <w:r w:rsidRPr="00511005">
          <w:rPr>
            <w:rFonts w:ascii="Arial" w:eastAsia="Calibri" w:hAnsi="Arial" w:cs="Arial"/>
            <w:szCs w:val="28"/>
            <w:u w:color="0000FF"/>
            <w:lang w:val="uk-UA"/>
          </w:rPr>
          <w:t>https://www.reuters.com/world/europe/ukraine</w:t>
        </w:r>
      </w:hyperlink>
      <w:hyperlink r:id="rId1243">
        <w:r w:rsidRPr="00511005">
          <w:rPr>
            <w:rFonts w:ascii="Arial" w:eastAsia="Calibri" w:hAnsi="Arial" w:cs="Arial"/>
            <w:szCs w:val="28"/>
            <w:u w:color="0000FF"/>
            <w:lang w:val="uk-UA"/>
          </w:rPr>
          <w:t>-</w:t>
        </w:r>
      </w:hyperlink>
      <w:hyperlink r:id="rId1244">
        <w:r w:rsidRPr="00511005">
          <w:rPr>
            <w:rFonts w:ascii="Arial" w:eastAsia="Calibri" w:hAnsi="Arial" w:cs="Arial"/>
            <w:szCs w:val="28"/>
            <w:u w:color="0000FF"/>
            <w:lang w:val="uk-UA"/>
          </w:rPr>
          <w:t>anti</w:t>
        </w:r>
      </w:hyperlink>
      <w:hyperlink r:id="rId1245"/>
      <w:hyperlink r:id="rId1246">
        <w:r w:rsidRPr="00511005">
          <w:rPr>
            <w:rFonts w:ascii="Arial" w:eastAsia="Calibri" w:hAnsi="Arial" w:cs="Arial"/>
            <w:szCs w:val="28"/>
            <w:u w:color="0000FF"/>
            <w:lang w:val="uk-UA"/>
          </w:rPr>
          <w:t>graft</w:t>
        </w:r>
      </w:hyperlink>
      <w:hyperlink r:id="rId1247">
        <w:r w:rsidRPr="00511005">
          <w:rPr>
            <w:rFonts w:ascii="Arial" w:eastAsia="Calibri" w:hAnsi="Arial" w:cs="Arial"/>
            <w:szCs w:val="28"/>
            <w:u w:color="0000FF"/>
            <w:lang w:val="uk-UA"/>
          </w:rPr>
          <w:t>-</w:t>
        </w:r>
      </w:hyperlink>
      <w:hyperlink r:id="rId1248">
        <w:r w:rsidRPr="00511005">
          <w:rPr>
            <w:rFonts w:ascii="Arial" w:eastAsia="Calibri" w:hAnsi="Arial" w:cs="Arial"/>
            <w:szCs w:val="28"/>
            <w:u w:color="0000FF"/>
            <w:lang w:val="uk-UA"/>
          </w:rPr>
          <w:t>police</w:t>
        </w:r>
      </w:hyperlink>
      <w:hyperlink r:id="rId1249">
        <w:r w:rsidRPr="00511005">
          <w:rPr>
            <w:rFonts w:ascii="Arial" w:eastAsia="Calibri" w:hAnsi="Arial" w:cs="Arial"/>
            <w:szCs w:val="28"/>
            <w:u w:color="0000FF"/>
            <w:lang w:val="uk-UA"/>
          </w:rPr>
          <w:t>-</w:t>
        </w:r>
      </w:hyperlink>
      <w:hyperlink r:id="rId1250">
        <w:r w:rsidRPr="00511005">
          <w:rPr>
            <w:rFonts w:ascii="Arial" w:eastAsia="Calibri" w:hAnsi="Arial" w:cs="Arial"/>
            <w:szCs w:val="28"/>
            <w:u w:color="0000FF"/>
            <w:lang w:val="uk-UA"/>
          </w:rPr>
          <w:t>probing</w:t>
        </w:r>
      </w:hyperlink>
      <w:hyperlink r:id="rId1251">
        <w:r w:rsidRPr="00511005">
          <w:rPr>
            <w:rFonts w:ascii="Arial" w:eastAsia="Calibri" w:hAnsi="Arial" w:cs="Arial"/>
            <w:szCs w:val="28"/>
            <w:u w:color="0000FF"/>
            <w:lang w:val="uk-UA"/>
          </w:rPr>
          <w:t>-</w:t>
        </w:r>
      </w:hyperlink>
      <w:hyperlink r:id="rId1252">
        <w:r w:rsidRPr="00511005">
          <w:rPr>
            <w:rFonts w:ascii="Arial" w:eastAsia="Calibri" w:hAnsi="Arial" w:cs="Arial"/>
            <w:szCs w:val="28"/>
            <w:u w:color="0000FF"/>
            <w:lang w:val="uk-UA"/>
          </w:rPr>
          <w:t>dozens</w:t>
        </w:r>
      </w:hyperlink>
      <w:hyperlink r:id="rId1253">
        <w:r w:rsidRPr="00511005">
          <w:rPr>
            <w:rFonts w:ascii="Arial" w:eastAsia="Calibri" w:hAnsi="Arial" w:cs="Arial"/>
            <w:szCs w:val="28"/>
            <w:u w:color="0000FF"/>
            <w:lang w:val="uk-UA"/>
          </w:rPr>
          <w:t>-</w:t>
        </w:r>
      </w:hyperlink>
      <w:hyperlink r:id="rId1254">
        <w:r w:rsidRPr="00511005">
          <w:rPr>
            <w:rFonts w:ascii="Arial" w:eastAsia="Calibri" w:hAnsi="Arial" w:cs="Arial"/>
            <w:szCs w:val="28"/>
            <w:u w:color="0000FF"/>
            <w:lang w:val="uk-UA"/>
          </w:rPr>
          <w:t>defence</w:t>
        </w:r>
      </w:hyperlink>
      <w:hyperlink r:id="rId1255">
        <w:r w:rsidRPr="00511005">
          <w:rPr>
            <w:rFonts w:ascii="Arial" w:eastAsia="Calibri" w:hAnsi="Arial" w:cs="Arial"/>
            <w:szCs w:val="28"/>
            <w:u w:color="0000FF"/>
            <w:lang w:val="uk-UA"/>
          </w:rPr>
          <w:t>-</w:t>
        </w:r>
      </w:hyperlink>
      <w:hyperlink r:id="rId1256">
        <w:r w:rsidRPr="00511005">
          <w:rPr>
            <w:rFonts w:ascii="Arial" w:eastAsia="Calibri" w:hAnsi="Arial" w:cs="Arial"/>
            <w:szCs w:val="28"/>
            <w:u w:color="0000FF"/>
            <w:lang w:val="uk-UA"/>
          </w:rPr>
          <w:t>related</w:t>
        </w:r>
      </w:hyperlink>
      <w:hyperlink r:id="rId1257">
        <w:r w:rsidRPr="00511005">
          <w:rPr>
            <w:rFonts w:ascii="Arial" w:eastAsia="Calibri" w:hAnsi="Arial" w:cs="Arial"/>
            <w:szCs w:val="28"/>
            <w:u w:color="0000FF"/>
            <w:lang w:val="uk-UA"/>
          </w:rPr>
          <w:t>-</w:t>
        </w:r>
      </w:hyperlink>
      <w:hyperlink r:id="rId1258">
        <w:r w:rsidRPr="00511005">
          <w:rPr>
            <w:rFonts w:ascii="Arial" w:eastAsia="Calibri" w:hAnsi="Arial" w:cs="Arial"/>
            <w:szCs w:val="28"/>
            <w:u w:color="0000FF"/>
            <w:lang w:val="uk-UA"/>
          </w:rPr>
          <w:t>cases</w:t>
        </w:r>
      </w:hyperlink>
      <w:hyperlink r:id="rId1259">
        <w:r w:rsidRPr="00511005">
          <w:rPr>
            <w:rFonts w:ascii="Arial" w:eastAsia="Calibri" w:hAnsi="Arial" w:cs="Arial"/>
            <w:szCs w:val="28"/>
            <w:u w:color="0000FF"/>
            <w:lang w:val="uk-UA"/>
          </w:rPr>
          <w:t>-</w:t>
        </w:r>
      </w:hyperlink>
      <w:hyperlink r:id="rId1260">
        <w:r w:rsidRPr="00511005">
          <w:rPr>
            <w:rFonts w:ascii="Arial" w:eastAsia="Calibri" w:hAnsi="Arial" w:cs="Arial"/>
            <w:szCs w:val="28"/>
            <w:u w:color="0000FF"/>
            <w:lang w:val="uk-UA"/>
          </w:rPr>
          <w:t>2024</w:t>
        </w:r>
      </w:hyperlink>
      <w:hyperlink r:id="rId1261">
        <w:r w:rsidRPr="00511005">
          <w:rPr>
            <w:rFonts w:ascii="Arial" w:eastAsia="Calibri" w:hAnsi="Arial" w:cs="Arial"/>
            <w:szCs w:val="28"/>
            <w:u w:color="0000FF"/>
            <w:lang w:val="uk-UA"/>
          </w:rPr>
          <w:t>-</w:t>
        </w:r>
      </w:hyperlink>
      <w:hyperlink r:id="rId1262">
        <w:r w:rsidRPr="00511005">
          <w:rPr>
            <w:rFonts w:ascii="Arial" w:eastAsia="Calibri" w:hAnsi="Arial" w:cs="Arial"/>
            <w:szCs w:val="28"/>
            <w:u w:color="0000FF"/>
            <w:lang w:val="uk-UA"/>
          </w:rPr>
          <w:t>02</w:t>
        </w:r>
      </w:hyperlink>
      <w:hyperlink r:id="rId1263">
        <w:r w:rsidRPr="00511005">
          <w:rPr>
            <w:rFonts w:ascii="Arial" w:eastAsia="Calibri" w:hAnsi="Arial" w:cs="Arial"/>
            <w:szCs w:val="28"/>
            <w:u w:color="0000FF"/>
            <w:lang w:val="uk-UA"/>
          </w:rPr>
          <w:t>-</w:t>
        </w:r>
      </w:hyperlink>
      <w:hyperlink r:id="rId1264">
        <w:r w:rsidRPr="00511005">
          <w:rPr>
            <w:rFonts w:ascii="Arial" w:eastAsia="Calibri" w:hAnsi="Arial" w:cs="Arial"/>
            <w:szCs w:val="28"/>
            <w:u w:color="0000FF"/>
            <w:lang w:val="uk-UA"/>
          </w:rPr>
          <w:t>21/</w:t>
        </w:r>
      </w:hyperlink>
      <w:hyperlink r:id="rId1265">
        <w:r w:rsidRPr="00511005">
          <w:rPr>
            <w:rFonts w:ascii="Arial" w:eastAsia="Calibri" w:hAnsi="Arial" w:cs="Arial"/>
            <w:szCs w:val="28"/>
            <w:lang w:val="uk-UA"/>
          </w:rPr>
          <w:t xml:space="preserve"> </w:t>
        </w:r>
      </w:hyperlink>
      <w:r w:rsidRPr="00511005">
        <w:rPr>
          <w:rFonts w:ascii="Arial" w:eastAsia="Calibri" w:hAnsi="Arial" w:cs="Arial"/>
          <w:szCs w:val="28"/>
          <w:lang w:val="uk-UA"/>
        </w:rPr>
        <w:t xml:space="preserve"> </w:t>
      </w:r>
    </w:p>
    <w:p w14:paraId="6A447282" w14:textId="77777777" w:rsidR="00C10374" w:rsidRPr="00511005" w:rsidRDefault="00C10374" w:rsidP="003A292D">
      <w:pPr>
        <w:spacing w:line="264" w:lineRule="auto"/>
        <w:ind w:firstLine="0"/>
        <w:rPr>
          <w:rFonts w:ascii="Arial" w:eastAsia="Times New Roman" w:hAnsi="Arial" w:cs="Arial"/>
          <w:szCs w:val="28"/>
          <w:lang w:val="uk-UA"/>
        </w:rPr>
      </w:pPr>
    </w:p>
    <w:p w14:paraId="5EE9D6E4" w14:textId="00399ADF" w:rsidR="00C10374"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C10374" w:rsidRPr="00511005">
        <w:rPr>
          <w:rFonts w:ascii="Arial" w:eastAsia="Times New Roman" w:hAnsi="Arial" w:cs="Arial"/>
          <w:szCs w:val="28"/>
          <w:lang w:val="uk-UA"/>
        </w:rPr>
        <w:t>Національне антикорупційне бюро України, НАБУ, корупція, антикорупційна реформа, незалежність, кадровий відбір, політичний тиск, ефективність, оборонні закупівлі, інституційна спроможність.</w:t>
      </w:r>
    </w:p>
    <w:p w14:paraId="4BE5D7B9" w14:textId="77777777" w:rsidR="00C10374" w:rsidRPr="00511005" w:rsidRDefault="00C10374" w:rsidP="003A292D">
      <w:pPr>
        <w:spacing w:line="264" w:lineRule="auto"/>
        <w:rPr>
          <w:rFonts w:ascii="Arial" w:eastAsia="Times New Roman" w:hAnsi="Arial" w:cs="Arial"/>
          <w:szCs w:val="28"/>
          <w:lang w:val="uk-UA"/>
        </w:rPr>
      </w:pPr>
    </w:p>
    <w:p w14:paraId="4B91A774" w14:textId="2287DB69" w:rsidR="00C10374"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C10374" w:rsidRPr="00511005">
        <w:rPr>
          <w:rFonts w:ascii="Arial" w:eastAsia="Times New Roman" w:hAnsi="Arial" w:cs="Arial"/>
          <w:szCs w:val="28"/>
          <w:lang w:val="uk-UA"/>
        </w:rPr>
        <w:t>National Anti-Corruption Bureau of Ukraine, NABU, corruption, anti-corruption reform, independence, recruitment, political pressure, effectiveness, defense procurement, institutional capacity.</w:t>
      </w:r>
    </w:p>
    <w:p w14:paraId="2DD1DF6A" w14:textId="53FD7A18" w:rsidR="00C10374" w:rsidRPr="00511005" w:rsidRDefault="007B2628" w:rsidP="003A292D">
      <w:pPr>
        <w:spacing w:line="264" w:lineRule="auto"/>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C10374" w:rsidRPr="00511005">
        <w:rPr>
          <w:rFonts w:ascii="Arial" w:eastAsia="Times New Roman" w:hAnsi="Arial" w:cs="Arial"/>
          <w:i/>
          <w:szCs w:val="28"/>
          <w:lang w:val="uk-UA"/>
        </w:rPr>
        <w:t>старший викладач Нестерчук Л.П.</w:t>
      </w:r>
    </w:p>
    <w:p w14:paraId="6774A9EA" w14:textId="77777777" w:rsidR="00C10374" w:rsidRPr="00511005" w:rsidRDefault="00C10374" w:rsidP="003A292D">
      <w:pPr>
        <w:widowControl w:val="0"/>
        <w:spacing w:line="264" w:lineRule="auto"/>
        <w:ind w:firstLine="0"/>
        <w:rPr>
          <w:rFonts w:ascii="Arial" w:eastAsia="Calibri" w:hAnsi="Arial" w:cs="Arial"/>
          <w:szCs w:val="28"/>
          <w:lang w:val="uk-UA"/>
        </w:rPr>
      </w:pPr>
    </w:p>
    <w:p w14:paraId="01A76FFF" w14:textId="77777777" w:rsidR="00C10374" w:rsidRPr="00511005" w:rsidRDefault="00C10374" w:rsidP="003A292D">
      <w:pPr>
        <w:widowControl w:val="0"/>
        <w:spacing w:line="264" w:lineRule="auto"/>
        <w:ind w:firstLine="0"/>
        <w:rPr>
          <w:rFonts w:ascii="Arial" w:eastAsia="Calibri" w:hAnsi="Arial" w:cs="Arial"/>
          <w:szCs w:val="28"/>
          <w:lang w:val="uk-UA"/>
        </w:rPr>
      </w:pPr>
    </w:p>
    <w:p w14:paraId="256A4942" w14:textId="39F62742" w:rsidR="00C10374" w:rsidRPr="00511005" w:rsidRDefault="00C10374" w:rsidP="003A292D">
      <w:pPr>
        <w:snapToGrid w:val="0"/>
        <w:spacing w:line="264" w:lineRule="auto"/>
        <w:jc w:val="center"/>
        <w:rPr>
          <w:rFonts w:ascii="Arial" w:eastAsia="Calibri" w:hAnsi="Arial" w:cs="Arial"/>
          <w:b/>
          <w:bCs/>
          <w:i/>
          <w:iCs/>
          <w:szCs w:val="28"/>
          <w:lang w:val="en-US"/>
        </w:rPr>
      </w:pPr>
      <w:r w:rsidRPr="00511005">
        <w:rPr>
          <w:rFonts w:ascii="Arial" w:eastAsia="Calibri" w:hAnsi="Arial" w:cs="Arial"/>
          <w:b/>
          <w:bCs/>
          <w:i/>
          <w:iCs/>
          <w:szCs w:val="28"/>
        </w:rPr>
        <w:t>Ховращук</w:t>
      </w:r>
      <w:r w:rsidRPr="00511005">
        <w:rPr>
          <w:rFonts w:ascii="Arial" w:eastAsia="Calibri" w:hAnsi="Arial" w:cs="Arial"/>
          <w:b/>
          <w:bCs/>
          <w:i/>
          <w:iCs/>
          <w:szCs w:val="28"/>
          <w:lang w:val="en-US"/>
        </w:rPr>
        <w:t xml:space="preserve"> </w:t>
      </w:r>
      <w:r w:rsidRPr="00511005">
        <w:rPr>
          <w:rFonts w:ascii="Arial" w:eastAsia="Calibri" w:hAnsi="Arial" w:cs="Arial"/>
          <w:b/>
          <w:bCs/>
          <w:i/>
          <w:iCs/>
          <w:szCs w:val="28"/>
        </w:rPr>
        <w:t>Роман</w:t>
      </w:r>
      <w:r w:rsidRPr="00511005">
        <w:rPr>
          <w:rFonts w:ascii="Arial" w:eastAsia="Calibri" w:hAnsi="Arial" w:cs="Arial"/>
          <w:b/>
          <w:bCs/>
          <w:i/>
          <w:iCs/>
          <w:szCs w:val="28"/>
          <w:lang w:val="en-US"/>
        </w:rPr>
        <w:t xml:space="preserve"> </w:t>
      </w:r>
      <w:r w:rsidRPr="00511005">
        <w:rPr>
          <w:rFonts w:ascii="Arial" w:eastAsia="Calibri" w:hAnsi="Arial" w:cs="Arial"/>
          <w:b/>
          <w:bCs/>
          <w:i/>
          <w:iCs/>
          <w:szCs w:val="28"/>
        </w:rPr>
        <w:t>Володимирович</w:t>
      </w:r>
    </w:p>
    <w:p w14:paraId="79893D91" w14:textId="14BFC7E8" w:rsidR="00C10374" w:rsidRPr="00511005" w:rsidRDefault="00BE3972" w:rsidP="003A292D">
      <w:pPr>
        <w:snapToGrid w:val="0"/>
        <w:spacing w:line="264" w:lineRule="auto"/>
        <w:jc w:val="center"/>
        <w:rPr>
          <w:rFonts w:ascii="Arial" w:eastAsia="Calibri" w:hAnsi="Arial" w:cs="Arial"/>
          <w:szCs w:val="28"/>
          <w:lang w:val="en-US"/>
        </w:rPr>
      </w:pPr>
      <w:r w:rsidRPr="00511005">
        <w:rPr>
          <w:rFonts w:ascii="Arial" w:eastAsia="Calibri" w:hAnsi="Arial" w:cs="Arial"/>
          <w:szCs w:val="28"/>
        </w:rPr>
        <w:t>студент</w:t>
      </w:r>
      <w:r w:rsidRPr="00055389">
        <w:rPr>
          <w:rFonts w:ascii="Arial" w:eastAsia="Calibri" w:hAnsi="Arial" w:cs="Arial"/>
          <w:szCs w:val="28"/>
          <w:lang w:val="en-US"/>
        </w:rPr>
        <w:t xml:space="preserve"> 1-</w:t>
      </w:r>
      <w:r w:rsidRPr="00511005">
        <w:rPr>
          <w:rFonts w:ascii="Arial" w:eastAsia="Calibri" w:hAnsi="Arial" w:cs="Arial"/>
          <w:szCs w:val="28"/>
        </w:rPr>
        <w:t>го</w:t>
      </w:r>
      <w:r w:rsidRPr="00055389">
        <w:rPr>
          <w:rFonts w:ascii="Arial" w:eastAsia="Calibri" w:hAnsi="Arial" w:cs="Arial"/>
          <w:szCs w:val="28"/>
          <w:lang w:val="en-US"/>
        </w:rPr>
        <w:t xml:space="preserve"> </w:t>
      </w:r>
      <w:r w:rsidRPr="00511005">
        <w:rPr>
          <w:rFonts w:ascii="Arial" w:eastAsia="Calibri" w:hAnsi="Arial" w:cs="Arial"/>
          <w:szCs w:val="28"/>
        </w:rPr>
        <w:t>курсу</w:t>
      </w:r>
      <w:r w:rsidRPr="00055389">
        <w:rPr>
          <w:rFonts w:ascii="Arial" w:eastAsia="Calibri" w:hAnsi="Arial" w:cs="Arial"/>
          <w:szCs w:val="28"/>
          <w:lang w:val="en-US"/>
        </w:rPr>
        <w:t xml:space="preserve"> </w:t>
      </w:r>
      <w:r w:rsidR="001B7B25" w:rsidRPr="00511005">
        <w:rPr>
          <w:rFonts w:ascii="Arial" w:eastAsia="Calibri" w:hAnsi="Arial" w:cs="Arial"/>
          <w:szCs w:val="28"/>
        </w:rPr>
        <w:t>факультету</w:t>
      </w:r>
      <w:r w:rsidR="001B7B25" w:rsidRPr="00055389">
        <w:rPr>
          <w:rFonts w:ascii="Arial" w:eastAsia="Calibri" w:hAnsi="Arial" w:cs="Arial"/>
          <w:szCs w:val="28"/>
          <w:lang w:val="en-US"/>
        </w:rPr>
        <w:t xml:space="preserve"> </w:t>
      </w:r>
      <w:r w:rsidR="001B7B25" w:rsidRPr="00511005">
        <w:rPr>
          <w:rFonts w:ascii="Arial" w:eastAsia="Calibri" w:hAnsi="Arial" w:cs="Arial"/>
          <w:szCs w:val="28"/>
        </w:rPr>
        <w:t>судового</w:t>
      </w:r>
      <w:r w:rsidR="001B7B25" w:rsidRPr="00055389">
        <w:rPr>
          <w:rFonts w:ascii="Arial" w:eastAsia="Calibri" w:hAnsi="Arial" w:cs="Arial"/>
          <w:szCs w:val="28"/>
          <w:lang w:val="en-US"/>
        </w:rPr>
        <w:t xml:space="preserve"> </w:t>
      </w:r>
      <w:r w:rsidR="001B7B25" w:rsidRPr="00511005">
        <w:rPr>
          <w:rFonts w:ascii="Arial" w:eastAsia="Calibri" w:hAnsi="Arial" w:cs="Arial"/>
          <w:szCs w:val="28"/>
        </w:rPr>
        <w:t>та</w:t>
      </w:r>
      <w:r w:rsidR="001B7B25" w:rsidRPr="00055389">
        <w:rPr>
          <w:rFonts w:ascii="Arial" w:eastAsia="Calibri" w:hAnsi="Arial" w:cs="Arial"/>
          <w:szCs w:val="28"/>
          <w:lang w:val="en-US"/>
        </w:rPr>
        <w:t xml:space="preserve"> </w:t>
      </w:r>
      <w:r w:rsidR="001B7B25" w:rsidRPr="00511005">
        <w:rPr>
          <w:rFonts w:ascii="Arial" w:eastAsia="Calibri" w:hAnsi="Arial" w:cs="Arial"/>
          <w:szCs w:val="28"/>
        </w:rPr>
        <w:t>міжнародного</w:t>
      </w:r>
      <w:r w:rsidR="001B7B25" w:rsidRPr="00055389">
        <w:rPr>
          <w:rFonts w:ascii="Arial" w:eastAsia="Calibri" w:hAnsi="Arial" w:cs="Arial"/>
          <w:szCs w:val="28"/>
          <w:lang w:val="en-US"/>
        </w:rPr>
        <w:t xml:space="preserve"> </w:t>
      </w:r>
      <w:r w:rsidR="001B7B25" w:rsidRPr="00511005">
        <w:rPr>
          <w:rFonts w:ascii="Arial" w:eastAsia="Calibri" w:hAnsi="Arial" w:cs="Arial"/>
          <w:szCs w:val="28"/>
        </w:rPr>
        <w:t>права</w:t>
      </w:r>
    </w:p>
    <w:p w14:paraId="210BE6A7" w14:textId="7DB3A0C0" w:rsidR="00C10374" w:rsidRPr="00511005" w:rsidRDefault="007B2628" w:rsidP="003A292D">
      <w:pPr>
        <w:snapToGrid w:val="0"/>
        <w:spacing w:line="264" w:lineRule="auto"/>
        <w:jc w:val="center"/>
        <w:rPr>
          <w:rFonts w:ascii="Arial" w:eastAsia="Calibri" w:hAnsi="Arial" w:cs="Arial"/>
          <w:szCs w:val="28"/>
          <w:lang w:val="en-US"/>
        </w:rPr>
      </w:pPr>
      <w:r w:rsidRPr="00511005">
        <w:rPr>
          <w:rFonts w:ascii="Arial" w:eastAsia="Calibri" w:hAnsi="Arial" w:cs="Arial"/>
          <w:szCs w:val="28"/>
        </w:rPr>
        <w:t>Національного</w:t>
      </w:r>
      <w:r w:rsidRPr="00055389">
        <w:rPr>
          <w:rFonts w:ascii="Arial" w:eastAsia="Calibri" w:hAnsi="Arial" w:cs="Arial"/>
          <w:szCs w:val="28"/>
          <w:lang w:val="en-US"/>
        </w:rPr>
        <w:t xml:space="preserve"> </w:t>
      </w:r>
      <w:r w:rsidRPr="00511005">
        <w:rPr>
          <w:rFonts w:ascii="Arial" w:eastAsia="Calibri" w:hAnsi="Arial" w:cs="Arial"/>
          <w:szCs w:val="28"/>
        </w:rPr>
        <w:t>університету</w:t>
      </w:r>
      <w:r w:rsidRPr="00055389">
        <w:rPr>
          <w:rFonts w:ascii="Arial" w:eastAsia="Calibri" w:hAnsi="Arial" w:cs="Arial"/>
          <w:szCs w:val="28"/>
          <w:lang w:val="en-US"/>
        </w:rPr>
        <w:t xml:space="preserve"> «</w:t>
      </w:r>
      <w:r w:rsidRPr="00511005">
        <w:rPr>
          <w:rFonts w:ascii="Arial" w:eastAsia="Calibri" w:hAnsi="Arial" w:cs="Arial"/>
          <w:szCs w:val="28"/>
        </w:rPr>
        <w:t>Одеська</w:t>
      </w:r>
      <w:r w:rsidRPr="00055389">
        <w:rPr>
          <w:rFonts w:ascii="Arial" w:eastAsia="Calibri" w:hAnsi="Arial" w:cs="Arial"/>
          <w:szCs w:val="28"/>
          <w:lang w:val="en-US"/>
        </w:rPr>
        <w:t xml:space="preserve"> </w:t>
      </w:r>
      <w:r w:rsidRPr="00511005">
        <w:rPr>
          <w:rFonts w:ascii="Arial" w:eastAsia="Calibri" w:hAnsi="Arial" w:cs="Arial"/>
          <w:szCs w:val="28"/>
        </w:rPr>
        <w:t>юридична</w:t>
      </w:r>
      <w:r w:rsidRPr="00055389">
        <w:rPr>
          <w:rFonts w:ascii="Arial" w:eastAsia="Calibri" w:hAnsi="Arial" w:cs="Arial"/>
          <w:szCs w:val="28"/>
          <w:lang w:val="en-US"/>
        </w:rPr>
        <w:t xml:space="preserve"> </w:t>
      </w:r>
      <w:r w:rsidRPr="00511005">
        <w:rPr>
          <w:rFonts w:ascii="Arial" w:eastAsia="Calibri" w:hAnsi="Arial" w:cs="Arial"/>
          <w:szCs w:val="28"/>
        </w:rPr>
        <w:t>академія</w:t>
      </w:r>
      <w:r w:rsidRPr="00055389">
        <w:rPr>
          <w:rFonts w:ascii="Arial" w:eastAsia="Calibri" w:hAnsi="Arial" w:cs="Arial"/>
          <w:szCs w:val="28"/>
          <w:lang w:val="en-US"/>
        </w:rPr>
        <w:t>»</w:t>
      </w:r>
    </w:p>
    <w:p w14:paraId="609C5BA0" w14:textId="77777777" w:rsidR="00C10374" w:rsidRPr="00511005" w:rsidRDefault="00C10374" w:rsidP="003A292D">
      <w:pPr>
        <w:snapToGrid w:val="0"/>
        <w:spacing w:line="264" w:lineRule="auto"/>
        <w:rPr>
          <w:rFonts w:ascii="Arial" w:eastAsia="Calibri" w:hAnsi="Arial" w:cs="Arial"/>
          <w:b/>
          <w:bCs/>
          <w:szCs w:val="28"/>
          <w:lang w:val="en-US"/>
        </w:rPr>
      </w:pPr>
    </w:p>
    <w:p w14:paraId="6973E37C" w14:textId="77777777" w:rsidR="00C10374" w:rsidRPr="00511005" w:rsidRDefault="00C10374" w:rsidP="003A292D">
      <w:pPr>
        <w:snapToGrid w:val="0"/>
        <w:spacing w:line="264" w:lineRule="auto"/>
        <w:ind w:firstLine="0"/>
        <w:jc w:val="center"/>
        <w:rPr>
          <w:rFonts w:ascii="Arial" w:eastAsia="Calibri" w:hAnsi="Arial" w:cs="Arial"/>
          <w:b/>
          <w:bCs/>
          <w:szCs w:val="28"/>
          <w:lang w:val="en-US"/>
        </w:rPr>
      </w:pPr>
      <w:r w:rsidRPr="00511005">
        <w:rPr>
          <w:rFonts w:ascii="Arial" w:eastAsia="Calibri" w:hAnsi="Arial" w:cs="Arial"/>
          <w:b/>
          <w:bCs/>
          <w:szCs w:val="28"/>
        </w:rPr>
        <w:t>ЩОДО</w:t>
      </w:r>
      <w:r w:rsidRPr="00511005">
        <w:rPr>
          <w:rFonts w:ascii="Arial" w:eastAsia="Calibri" w:hAnsi="Arial" w:cs="Arial"/>
          <w:b/>
          <w:bCs/>
          <w:szCs w:val="28"/>
          <w:lang w:val="en-US"/>
        </w:rPr>
        <w:t xml:space="preserve"> </w:t>
      </w:r>
      <w:r w:rsidRPr="00511005">
        <w:rPr>
          <w:rFonts w:ascii="Arial" w:eastAsia="Calibri" w:hAnsi="Arial" w:cs="Arial"/>
          <w:b/>
          <w:bCs/>
          <w:szCs w:val="28"/>
        </w:rPr>
        <w:t>РОЗВИТКУ</w:t>
      </w:r>
      <w:r w:rsidRPr="00511005">
        <w:rPr>
          <w:rFonts w:ascii="Arial" w:eastAsia="Calibri" w:hAnsi="Arial" w:cs="Arial"/>
          <w:b/>
          <w:bCs/>
          <w:szCs w:val="28"/>
          <w:lang w:val="en-US"/>
        </w:rPr>
        <w:t xml:space="preserve"> </w:t>
      </w:r>
      <w:r w:rsidRPr="00511005">
        <w:rPr>
          <w:rFonts w:ascii="Arial" w:eastAsia="Calibri" w:hAnsi="Arial" w:cs="Arial"/>
          <w:b/>
          <w:bCs/>
          <w:szCs w:val="28"/>
        </w:rPr>
        <w:t>ПРАВОВОГО</w:t>
      </w:r>
      <w:r w:rsidRPr="00511005">
        <w:rPr>
          <w:rFonts w:ascii="Arial" w:eastAsia="Calibri" w:hAnsi="Arial" w:cs="Arial"/>
          <w:b/>
          <w:bCs/>
          <w:szCs w:val="28"/>
          <w:lang w:val="en-US"/>
        </w:rPr>
        <w:t xml:space="preserve"> </w:t>
      </w:r>
      <w:r w:rsidRPr="00511005">
        <w:rPr>
          <w:rFonts w:ascii="Arial" w:eastAsia="Calibri" w:hAnsi="Arial" w:cs="Arial"/>
          <w:b/>
          <w:bCs/>
          <w:szCs w:val="28"/>
        </w:rPr>
        <w:t>РЕГУЛЮВАННЯ</w:t>
      </w:r>
      <w:r w:rsidRPr="00511005">
        <w:rPr>
          <w:rFonts w:ascii="Arial" w:eastAsia="Calibri" w:hAnsi="Arial" w:cs="Arial"/>
          <w:b/>
          <w:bCs/>
          <w:szCs w:val="28"/>
          <w:lang w:val="en-US"/>
        </w:rPr>
        <w:t xml:space="preserve"> </w:t>
      </w:r>
      <w:r w:rsidRPr="00511005">
        <w:rPr>
          <w:rFonts w:ascii="Arial" w:eastAsia="Calibri" w:hAnsi="Arial" w:cs="Arial"/>
          <w:b/>
          <w:bCs/>
          <w:szCs w:val="28"/>
        </w:rPr>
        <w:t>ФУНКЦІОНУВАННЯ</w:t>
      </w:r>
      <w:r w:rsidRPr="00511005">
        <w:rPr>
          <w:rFonts w:ascii="Arial" w:eastAsia="Calibri" w:hAnsi="Arial" w:cs="Arial"/>
          <w:b/>
          <w:bCs/>
          <w:szCs w:val="28"/>
          <w:lang w:val="en-US"/>
        </w:rPr>
        <w:t xml:space="preserve"> </w:t>
      </w:r>
      <w:r w:rsidRPr="00511005">
        <w:rPr>
          <w:rFonts w:ascii="Arial" w:eastAsia="Calibri" w:hAnsi="Arial" w:cs="Arial"/>
          <w:b/>
          <w:bCs/>
          <w:szCs w:val="28"/>
        </w:rPr>
        <w:t>ІНСТИТУТУ</w:t>
      </w:r>
      <w:r w:rsidRPr="00511005">
        <w:rPr>
          <w:rFonts w:ascii="Arial" w:eastAsia="Calibri" w:hAnsi="Arial" w:cs="Arial"/>
          <w:b/>
          <w:bCs/>
          <w:szCs w:val="28"/>
          <w:lang w:val="en-US"/>
        </w:rPr>
        <w:t xml:space="preserve"> </w:t>
      </w:r>
      <w:r w:rsidRPr="00511005">
        <w:rPr>
          <w:rFonts w:ascii="Arial" w:eastAsia="Calibri" w:hAnsi="Arial" w:cs="Arial"/>
          <w:b/>
          <w:bCs/>
          <w:szCs w:val="28"/>
        </w:rPr>
        <w:t>АДВОКАТУРИ</w:t>
      </w:r>
    </w:p>
    <w:p w14:paraId="5D98010A" w14:textId="18984327" w:rsidR="00C10374" w:rsidRPr="00511005" w:rsidRDefault="00C10374" w:rsidP="003A292D">
      <w:pPr>
        <w:snapToGrid w:val="0"/>
        <w:spacing w:line="264" w:lineRule="auto"/>
        <w:rPr>
          <w:rFonts w:ascii="Arial" w:eastAsia="Calibri" w:hAnsi="Arial" w:cs="Arial"/>
          <w:szCs w:val="28"/>
        </w:rPr>
      </w:pPr>
      <w:r w:rsidRPr="00511005">
        <w:rPr>
          <w:rFonts w:ascii="Arial" w:eastAsia="Calibri" w:hAnsi="Arial" w:cs="Arial"/>
          <w:szCs w:val="28"/>
          <w:lang w:val="en-US"/>
        </w:rPr>
        <w:t xml:space="preserve">28 </w:t>
      </w:r>
      <w:r w:rsidRPr="00511005">
        <w:rPr>
          <w:rFonts w:ascii="Arial" w:eastAsia="Calibri" w:hAnsi="Arial" w:cs="Arial"/>
          <w:szCs w:val="28"/>
        </w:rPr>
        <w:t>квітня</w:t>
      </w:r>
      <w:r w:rsidRPr="00511005">
        <w:rPr>
          <w:rFonts w:ascii="Arial" w:eastAsia="Calibri" w:hAnsi="Arial" w:cs="Arial"/>
          <w:szCs w:val="28"/>
          <w:lang w:val="en-US"/>
        </w:rPr>
        <w:t xml:space="preserve"> 1992 </w:t>
      </w:r>
      <w:r w:rsidRPr="00511005">
        <w:rPr>
          <w:rFonts w:ascii="Arial" w:eastAsia="Calibri" w:hAnsi="Arial" w:cs="Arial"/>
          <w:szCs w:val="28"/>
        </w:rPr>
        <w:t>року</w:t>
      </w:r>
      <w:r w:rsidRPr="00511005">
        <w:rPr>
          <w:rFonts w:ascii="Arial" w:eastAsia="Calibri" w:hAnsi="Arial" w:cs="Arial"/>
          <w:szCs w:val="28"/>
          <w:lang w:val="en-US"/>
        </w:rPr>
        <w:t xml:space="preserve"> </w:t>
      </w:r>
      <w:r w:rsidRPr="00511005">
        <w:rPr>
          <w:rFonts w:ascii="Arial" w:eastAsia="Calibri" w:hAnsi="Arial" w:cs="Arial"/>
          <w:szCs w:val="28"/>
        </w:rPr>
        <w:t>Верховна</w:t>
      </w:r>
      <w:r w:rsidRPr="00511005">
        <w:rPr>
          <w:rFonts w:ascii="Arial" w:eastAsia="Calibri" w:hAnsi="Arial" w:cs="Arial"/>
          <w:szCs w:val="28"/>
          <w:lang w:val="en-US"/>
        </w:rPr>
        <w:t xml:space="preserve"> </w:t>
      </w:r>
      <w:r w:rsidRPr="00511005">
        <w:rPr>
          <w:rFonts w:ascii="Arial" w:eastAsia="Calibri" w:hAnsi="Arial" w:cs="Arial"/>
          <w:szCs w:val="28"/>
        </w:rPr>
        <w:t>Рада</w:t>
      </w:r>
      <w:r w:rsidRPr="00511005">
        <w:rPr>
          <w:rFonts w:ascii="Arial" w:eastAsia="Calibri" w:hAnsi="Arial" w:cs="Arial"/>
          <w:szCs w:val="28"/>
          <w:lang w:val="en-US"/>
        </w:rPr>
        <w:t xml:space="preserve"> </w:t>
      </w:r>
      <w:r w:rsidRPr="00511005">
        <w:rPr>
          <w:rFonts w:ascii="Arial" w:eastAsia="Calibri" w:hAnsi="Arial" w:cs="Arial"/>
          <w:szCs w:val="28"/>
        </w:rPr>
        <w:t>прийняла</w:t>
      </w:r>
      <w:r w:rsidRPr="00511005">
        <w:rPr>
          <w:rFonts w:ascii="Arial" w:eastAsia="Calibri" w:hAnsi="Arial" w:cs="Arial"/>
          <w:szCs w:val="28"/>
          <w:lang w:val="en-US"/>
        </w:rPr>
        <w:t xml:space="preserve"> </w:t>
      </w:r>
      <w:r w:rsidRPr="00511005">
        <w:rPr>
          <w:rFonts w:ascii="Arial" w:eastAsia="Calibri" w:hAnsi="Arial" w:cs="Arial"/>
          <w:szCs w:val="28"/>
        </w:rPr>
        <w:t>Постанову</w:t>
      </w:r>
      <w:r w:rsidRPr="00511005">
        <w:rPr>
          <w:rFonts w:ascii="Arial" w:eastAsia="Calibri" w:hAnsi="Arial" w:cs="Arial"/>
          <w:szCs w:val="28"/>
          <w:lang w:val="en-US"/>
        </w:rPr>
        <w:t xml:space="preserve"> № 2296-XII, </w:t>
      </w:r>
      <w:r w:rsidRPr="00511005">
        <w:rPr>
          <w:rFonts w:ascii="Arial" w:eastAsia="Calibri" w:hAnsi="Arial" w:cs="Arial"/>
          <w:szCs w:val="28"/>
        </w:rPr>
        <w:t>якою</w:t>
      </w:r>
      <w:r w:rsidRPr="00511005">
        <w:rPr>
          <w:rFonts w:ascii="Arial" w:eastAsia="Calibri" w:hAnsi="Arial" w:cs="Arial"/>
          <w:szCs w:val="28"/>
          <w:lang w:val="en-US"/>
        </w:rPr>
        <w:t xml:space="preserve"> </w:t>
      </w:r>
      <w:r w:rsidRPr="00511005">
        <w:rPr>
          <w:rFonts w:ascii="Arial" w:eastAsia="Calibri" w:hAnsi="Arial" w:cs="Arial"/>
          <w:szCs w:val="28"/>
        </w:rPr>
        <w:t>затвердила</w:t>
      </w:r>
      <w:r w:rsidRPr="00511005">
        <w:rPr>
          <w:rFonts w:ascii="Arial" w:eastAsia="Calibri" w:hAnsi="Arial" w:cs="Arial"/>
          <w:szCs w:val="28"/>
          <w:lang w:val="en-US"/>
        </w:rPr>
        <w:t xml:space="preserve"> </w:t>
      </w:r>
      <w:r w:rsidRPr="00511005">
        <w:rPr>
          <w:rFonts w:ascii="Arial" w:eastAsia="Calibri" w:hAnsi="Arial" w:cs="Arial"/>
          <w:szCs w:val="28"/>
        </w:rPr>
        <w:t>Концепцію</w:t>
      </w:r>
      <w:r w:rsidRPr="00511005">
        <w:rPr>
          <w:rFonts w:ascii="Arial" w:eastAsia="Calibri" w:hAnsi="Arial" w:cs="Arial"/>
          <w:szCs w:val="28"/>
          <w:lang w:val="en-US"/>
        </w:rPr>
        <w:t xml:space="preserve"> </w:t>
      </w:r>
      <w:r w:rsidRPr="00511005">
        <w:rPr>
          <w:rFonts w:ascii="Arial" w:eastAsia="Calibri" w:hAnsi="Arial" w:cs="Arial"/>
          <w:szCs w:val="28"/>
        </w:rPr>
        <w:t>судово</w:t>
      </w:r>
      <w:r w:rsidRPr="00511005">
        <w:rPr>
          <w:rFonts w:ascii="Arial" w:eastAsia="Calibri" w:hAnsi="Arial" w:cs="Arial"/>
          <w:szCs w:val="28"/>
          <w:lang w:val="en-US"/>
        </w:rPr>
        <w:t>-</w:t>
      </w:r>
      <w:r w:rsidRPr="00511005">
        <w:rPr>
          <w:rFonts w:ascii="Arial" w:eastAsia="Calibri" w:hAnsi="Arial" w:cs="Arial"/>
          <w:szCs w:val="28"/>
        </w:rPr>
        <w:t>правової</w:t>
      </w:r>
      <w:r w:rsidRPr="00511005">
        <w:rPr>
          <w:rFonts w:ascii="Arial" w:eastAsia="Calibri" w:hAnsi="Arial" w:cs="Arial"/>
          <w:szCs w:val="28"/>
          <w:lang w:val="en-US"/>
        </w:rPr>
        <w:t xml:space="preserve"> </w:t>
      </w:r>
      <w:r w:rsidRPr="00511005">
        <w:rPr>
          <w:rFonts w:ascii="Arial" w:eastAsia="Calibri" w:hAnsi="Arial" w:cs="Arial"/>
          <w:szCs w:val="28"/>
        </w:rPr>
        <w:t>реформи</w:t>
      </w:r>
      <w:r w:rsidRPr="00511005">
        <w:rPr>
          <w:rFonts w:ascii="Arial" w:eastAsia="Calibri" w:hAnsi="Arial" w:cs="Arial"/>
          <w:szCs w:val="28"/>
          <w:lang w:val="en-US"/>
        </w:rPr>
        <w:t xml:space="preserve"> </w:t>
      </w:r>
      <w:r w:rsidRPr="00511005">
        <w:rPr>
          <w:rFonts w:ascii="Arial" w:eastAsia="Calibri" w:hAnsi="Arial" w:cs="Arial"/>
          <w:szCs w:val="28"/>
        </w:rPr>
        <w:t>в</w:t>
      </w:r>
      <w:r w:rsidRPr="00511005">
        <w:rPr>
          <w:rFonts w:ascii="Arial" w:eastAsia="Calibri" w:hAnsi="Arial" w:cs="Arial"/>
          <w:szCs w:val="28"/>
          <w:lang w:val="en-US"/>
        </w:rPr>
        <w:t xml:space="preserve"> </w:t>
      </w:r>
      <w:r w:rsidRPr="00511005">
        <w:rPr>
          <w:rFonts w:ascii="Arial" w:eastAsia="Calibri" w:hAnsi="Arial" w:cs="Arial"/>
          <w:szCs w:val="28"/>
        </w:rPr>
        <w:t>Україні</w:t>
      </w:r>
      <w:r w:rsidRPr="00511005">
        <w:rPr>
          <w:rFonts w:ascii="Arial" w:eastAsia="Calibri" w:hAnsi="Arial" w:cs="Arial"/>
          <w:szCs w:val="28"/>
          <w:lang w:val="en-US"/>
        </w:rPr>
        <w:t xml:space="preserve">. </w:t>
      </w:r>
      <w:r w:rsidRPr="00511005">
        <w:rPr>
          <w:rFonts w:ascii="Arial" w:eastAsia="Calibri" w:hAnsi="Arial" w:cs="Arial"/>
          <w:szCs w:val="28"/>
        </w:rPr>
        <w:t>Зазначена</w:t>
      </w:r>
      <w:r w:rsidRPr="00511005">
        <w:rPr>
          <w:rFonts w:ascii="Arial" w:eastAsia="Calibri" w:hAnsi="Arial" w:cs="Arial"/>
          <w:szCs w:val="28"/>
          <w:lang w:val="en-US"/>
        </w:rPr>
        <w:t xml:space="preserve"> </w:t>
      </w:r>
      <w:r w:rsidRPr="00511005">
        <w:rPr>
          <w:rFonts w:ascii="Arial" w:eastAsia="Calibri" w:hAnsi="Arial" w:cs="Arial"/>
          <w:szCs w:val="28"/>
        </w:rPr>
        <w:t>Концепція</w:t>
      </w:r>
      <w:r w:rsidRPr="00511005">
        <w:rPr>
          <w:rFonts w:ascii="Arial" w:eastAsia="Calibri" w:hAnsi="Arial" w:cs="Arial"/>
          <w:szCs w:val="28"/>
          <w:lang w:val="en-US"/>
        </w:rPr>
        <w:t xml:space="preserve"> </w:t>
      </w:r>
      <w:r w:rsidRPr="00511005">
        <w:rPr>
          <w:rFonts w:ascii="Arial" w:eastAsia="Calibri" w:hAnsi="Arial" w:cs="Arial"/>
          <w:szCs w:val="28"/>
        </w:rPr>
        <w:t>містила</w:t>
      </w:r>
      <w:r w:rsidRPr="00511005">
        <w:rPr>
          <w:rFonts w:ascii="Arial" w:eastAsia="Calibri" w:hAnsi="Arial" w:cs="Arial"/>
          <w:szCs w:val="28"/>
          <w:lang w:val="en-US"/>
        </w:rPr>
        <w:t xml:space="preserve"> </w:t>
      </w:r>
      <w:r w:rsidRPr="00511005">
        <w:rPr>
          <w:rFonts w:ascii="Arial" w:eastAsia="Calibri" w:hAnsi="Arial" w:cs="Arial"/>
          <w:szCs w:val="28"/>
        </w:rPr>
        <w:t>ряд</w:t>
      </w:r>
      <w:r w:rsidRPr="00511005">
        <w:rPr>
          <w:rFonts w:ascii="Arial" w:eastAsia="Calibri" w:hAnsi="Arial" w:cs="Arial"/>
          <w:szCs w:val="28"/>
          <w:lang w:val="en-US"/>
        </w:rPr>
        <w:t xml:space="preserve"> </w:t>
      </w:r>
      <w:r w:rsidRPr="00511005">
        <w:rPr>
          <w:rFonts w:ascii="Arial" w:eastAsia="Calibri" w:hAnsi="Arial" w:cs="Arial"/>
          <w:szCs w:val="28"/>
        </w:rPr>
        <w:t>положень</w:t>
      </w:r>
      <w:r w:rsidRPr="00511005">
        <w:rPr>
          <w:rFonts w:ascii="Arial" w:eastAsia="Calibri" w:hAnsi="Arial" w:cs="Arial"/>
          <w:szCs w:val="28"/>
          <w:lang w:val="en-US"/>
        </w:rPr>
        <w:t xml:space="preserve"> </w:t>
      </w:r>
      <w:r w:rsidRPr="00511005">
        <w:rPr>
          <w:rFonts w:ascii="Arial" w:eastAsia="Calibri" w:hAnsi="Arial" w:cs="Arial"/>
          <w:szCs w:val="28"/>
        </w:rPr>
        <w:t>щодо</w:t>
      </w:r>
      <w:r w:rsidRPr="00511005">
        <w:rPr>
          <w:rFonts w:ascii="Arial" w:eastAsia="Calibri" w:hAnsi="Arial" w:cs="Arial"/>
          <w:szCs w:val="28"/>
          <w:lang w:val="en-US"/>
        </w:rPr>
        <w:t xml:space="preserve"> </w:t>
      </w:r>
      <w:r w:rsidRPr="00511005">
        <w:rPr>
          <w:rFonts w:ascii="Arial" w:eastAsia="Calibri" w:hAnsi="Arial" w:cs="Arial"/>
          <w:szCs w:val="28"/>
        </w:rPr>
        <w:t>адвокатури</w:t>
      </w:r>
      <w:r w:rsidRPr="00511005">
        <w:rPr>
          <w:rFonts w:ascii="Arial" w:eastAsia="Calibri" w:hAnsi="Arial" w:cs="Arial"/>
          <w:szCs w:val="28"/>
          <w:lang w:val="en-US"/>
        </w:rPr>
        <w:t xml:space="preserve">, </w:t>
      </w:r>
      <w:r w:rsidRPr="00511005">
        <w:rPr>
          <w:rFonts w:ascii="Arial" w:eastAsia="Calibri" w:hAnsi="Arial" w:cs="Arial"/>
          <w:szCs w:val="28"/>
        </w:rPr>
        <w:t>зокрема</w:t>
      </w:r>
      <w:r w:rsidR="007B2628" w:rsidRPr="00511005">
        <w:rPr>
          <w:rFonts w:ascii="Arial" w:eastAsia="Calibri" w:hAnsi="Arial" w:cs="Arial"/>
          <w:szCs w:val="28"/>
          <w:lang w:val="en-US"/>
        </w:rPr>
        <w:t xml:space="preserve"> </w:t>
      </w:r>
      <w:r w:rsidRPr="00511005">
        <w:rPr>
          <w:rFonts w:ascii="Arial" w:eastAsia="Calibri" w:hAnsi="Arial" w:cs="Arial"/>
          <w:szCs w:val="28"/>
        </w:rPr>
        <w:t>передбачалося</w:t>
      </w:r>
      <w:r w:rsidRPr="00511005">
        <w:rPr>
          <w:rFonts w:ascii="Arial" w:eastAsia="Calibri" w:hAnsi="Arial" w:cs="Arial"/>
          <w:szCs w:val="28"/>
          <w:lang w:val="en-US"/>
        </w:rPr>
        <w:t xml:space="preserve"> </w:t>
      </w:r>
      <w:r w:rsidRPr="00511005">
        <w:rPr>
          <w:rFonts w:ascii="Arial" w:eastAsia="Calibri" w:hAnsi="Arial" w:cs="Arial"/>
          <w:szCs w:val="28"/>
        </w:rPr>
        <w:t>існування</w:t>
      </w:r>
      <w:r w:rsidRPr="00511005">
        <w:rPr>
          <w:rFonts w:ascii="Arial" w:eastAsia="Calibri" w:hAnsi="Arial" w:cs="Arial"/>
          <w:szCs w:val="28"/>
          <w:lang w:val="en-US"/>
        </w:rPr>
        <w:t xml:space="preserve"> </w:t>
      </w:r>
      <w:r w:rsidRPr="00511005">
        <w:rPr>
          <w:rFonts w:ascii="Arial" w:eastAsia="Calibri" w:hAnsi="Arial" w:cs="Arial"/>
          <w:szCs w:val="28"/>
        </w:rPr>
        <w:t>адвокатського</w:t>
      </w:r>
      <w:r w:rsidRPr="00511005">
        <w:rPr>
          <w:rFonts w:ascii="Arial" w:eastAsia="Calibri" w:hAnsi="Arial" w:cs="Arial"/>
          <w:szCs w:val="28"/>
          <w:lang w:val="en-US"/>
        </w:rPr>
        <w:t xml:space="preserve"> </w:t>
      </w:r>
      <w:r w:rsidRPr="00511005">
        <w:rPr>
          <w:rFonts w:ascii="Arial" w:eastAsia="Calibri" w:hAnsi="Arial" w:cs="Arial"/>
          <w:szCs w:val="28"/>
        </w:rPr>
        <w:t>самоврядування</w:t>
      </w:r>
      <w:r w:rsidRPr="00511005">
        <w:rPr>
          <w:rFonts w:ascii="Arial" w:eastAsia="Calibri" w:hAnsi="Arial" w:cs="Arial"/>
          <w:szCs w:val="28"/>
          <w:lang w:val="en-US"/>
        </w:rPr>
        <w:t xml:space="preserve">, </w:t>
      </w:r>
      <w:r w:rsidRPr="00511005">
        <w:rPr>
          <w:rFonts w:ascii="Arial" w:eastAsia="Calibri" w:hAnsi="Arial" w:cs="Arial"/>
          <w:szCs w:val="28"/>
        </w:rPr>
        <w:t>запровадження</w:t>
      </w:r>
      <w:r w:rsidRPr="00511005">
        <w:rPr>
          <w:rFonts w:ascii="Arial" w:eastAsia="Calibri" w:hAnsi="Arial" w:cs="Arial"/>
          <w:szCs w:val="28"/>
          <w:lang w:val="en-US"/>
        </w:rPr>
        <w:t xml:space="preserve"> </w:t>
      </w:r>
      <w:r w:rsidRPr="00511005">
        <w:rPr>
          <w:rFonts w:ascii="Arial" w:eastAsia="Calibri" w:hAnsi="Arial" w:cs="Arial"/>
          <w:szCs w:val="28"/>
        </w:rPr>
        <w:t>нових</w:t>
      </w:r>
      <w:r w:rsidRPr="00511005">
        <w:rPr>
          <w:rFonts w:ascii="Arial" w:eastAsia="Calibri" w:hAnsi="Arial" w:cs="Arial"/>
          <w:szCs w:val="28"/>
          <w:lang w:val="en-US"/>
        </w:rPr>
        <w:t xml:space="preserve"> </w:t>
      </w:r>
      <w:r w:rsidRPr="00511005">
        <w:rPr>
          <w:rFonts w:ascii="Arial" w:eastAsia="Calibri" w:hAnsi="Arial" w:cs="Arial"/>
          <w:szCs w:val="28"/>
        </w:rPr>
        <w:t>видів</w:t>
      </w:r>
      <w:r w:rsidRPr="00511005">
        <w:rPr>
          <w:rFonts w:ascii="Arial" w:eastAsia="Calibri" w:hAnsi="Arial" w:cs="Arial"/>
          <w:szCs w:val="28"/>
          <w:lang w:val="en-US"/>
        </w:rPr>
        <w:t xml:space="preserve"> </w:t>
      </w:r>
      <w:r w:rsidRPr="00511005">
        <w:rPr>
          <w:rFonts w:ascii="Arial" w:eastAsia="Calibri" w:hAnsi="Arial" w:cs="Arial"/>
          <w:szCs w:val="28"/>
        </w:rPr>
        <w:t>адвокатської</w:t>
      </w:r>
      <w:r w:rsidRPr="00511005">
        <w:rPr>
          <w:rFonts w:ascii="Arial" w:eastAsia="Calibri" w:hAnsi="Arial" w:cs="Arial"/>
          <w:szCs w:val="28"/>
          <w:lang w:val="en-US"/>
        </w:rPr>
        <w:t xml:space="preserve"> </w:t>
      </w:r>
      <w:r w:rsidRPr="00511005">
        <w:rPr>
          <w:rFonts w:ascii="Arial" w:eastAsia="Calibri" w:hAnsi="Arial" w:cs="Arial"/>
          <w:szCs w:val="28"/>
        </w:rPr>
        <w:t>діяльності</w:t>
      </w:r>
      <w:r w:rsidRPr="00511005">
        <w:rPr>
          <w:rFonts w:ascii="Arial" w:eastAsia="Calibri" w:hAnsi="Arial" w:cs="Arial"/>
          <w:szCs w:val="28"/>
          <w:lang w:val="en-US"/>
        </w:rPr>
        <w:t xml:space="preserve">, </w:t>
      </w:r>
      <w:r w:rsidRPr="00511005">
        <w:rPr>
          <w:rFonts w:ascii="Arial" w:eastAsia="Calibri" w:hAnsi="Arial" w:cs="Arial"/>
          <w:szCs w:val="28"/>
        </w:rPr>
        <w:t>розширення</w:t>
      </w:r>
      <w:r w:rsidRPr="00511005">
        <w:rPr>
          <w:rFonts w:ascii="Arial" w:eastAsia="Calibri" w:hAnsi="Arial" w:cs="Arial"/>
          <w:szCs w:val="28"/>
          <w:lang w:val="en-US"/>
        </w:rPr>
        <w:t xml:space="preserve"> </w:t>
      </w:r>
      <w:r w:rsidRPr="00511005">
        <w:rPr>
          <w:rFonts w:ascii="Arial" w:eastAsia="Calibri" w:hAnsi="Arial" w:cs="Arial"/>
          <w:szCs w:val="28"/>
        </w:rPr>
        <w:t>прав</w:t>
      </w:r>
      <w:r w:rsidRPr="00511005">
        <w:rPr>
          <w:rFonts w:ascii="Arial" w:eastAsia="Calibri" w:hAnsi="Arial" w:cs="Arial"/>
          <w:szCs w:val="28"/>
          <w:lang w:val="en-US"/>
        </w:rPr>
        <w:t xml:space="preserve"> </w:t>
      </w:r>
      <w:r w:rsidRPr="00511005">
        <w:rPr>
          <w:rFonts w:ascii="Arial" w:eastAsia="Calibri" w:hAnsi="Arial" w:cs="Arial"/>
          <w:szCs w:val="28"/>
        </w:rPr>
        <w:t>адвокатів</w:t>
      </w:r>
      <w:r w:rsidRPr="00511005">
        <w:rPr>
          <w:rFonts w:ascii="Arial" w:eastAsia="Calibri" w:hAnsi="Arial" w:cs="Arial"/>
          <w:szCs w:val="28"/>
          <w:lang w:val="en-US"/>
        </w:rPr>
        <w:t xml:space="preserve"> </w:t>
      </w:r>
      <w:r w:rsidRPr="00511005">
        <w:rPr>
          <w:rFonts w:ascii="Arial" w:eastAsia="Calibri" w:hAnsi="Arial" w:cs="Arial"/>
          <w:szCs w:val="28"/>
        </w:rPr>
        <w:t>та</w:t>
      </w:r>
      <w:r w:rsidRPr="00511005">
        <w:rPr>
          <w:rFonts w:ascii="Arial" w:eastAsia="Calibri" w:hAnsi="Arial" w:cs="Arial"/>
          <w:szCs w:val="28"/>
          <w:lang w:val="en-US"/>
        </w:rPr>
        <w:t xml:space="preserve"> </w:t>
      </w:r>
      <w:r w:rsidRPr="00511005">
        <w:rPr>
          <w:rFonts w:ascii="Arial" w:eastAsia="Calibri" w:hAnsi="Arial" w:cs="Arial"/>
          <w:szCs w:val="28"/>
        </w:rPr>
        <w:t>організаційних</w:t>
      </w:r>
      <w:r w:rsidRPr="00511005">
        <w:rPr>
          <w:rFonts w:ascii="Arial" w:eastAsia="Calibri" w:hAnsi="Arial" w:cs="Arial"/>
          <w:szCs w:val="28"/>
          <w:lang w:val="en-US"/>
        </w:rPr>
        <w:t xml:space="preserve"> </w:t>
      </w:r>
      <w:r w:rsidRPr="00511005">
        <w:rPr>
          <w:rFonts w:ascii="Arial" w:eastAsia="Calibri" w:hAnsi="Arial" w:cs="Arial"/>
          <w:szCs w:val="28"/>
        </w:rPr>
        <w:t>форм</w:t>
      </w:r>
      <w:r w:rsidRPr="00511005">
        <w:rPr>
          <w:rFonts w:ascii="Arial" w:eastAsia="Calibri" w:hAnsi="Arial" w:cs="Arial"/>
          <w:szCs w:val="28"/>
          <w:lang w:val="en-US"/>
        </w:rPr>
        <w:t xml:space="preserve"> </w:t>
      </w:r>
      <w:r w:rsidRPr="00511005">
        <w:rPr>
          <w:rFonts w:ascii="Arial" w:eastAsia="Calibri" w:hAnsi="Arial" w:cs="Arial"/>
          <w:szCs w:val="28"/>
        </w:rPr>
        <w:t>адвокатської</w:t>
      </w:r>
      <w:r w:rsidRPr="00511005">
        <w:rPr>
          <w:rFonts w:ascii="Arial" w:eastAsia="Calibri" w:hAnsi="Arial" w:cs="Arial"/>
          <w:szCs w:val="28"/>
          <w:lang w:val="en-US"/>
        </w:rPr>
        <w:t xml:space="preserve"> </w:t>
      </w:r>
      <w:r w:rsidRPr="00511005">
        <w:rPr>
          <w:rFonts w:ascii="Arial" w:eastAsia="Calibri" w:hAnsi="Arial" w:cs="Arial"/>
          <w:szCs w:val="28"/>
        </w:rPr>
        <w:t>діяльності</w:t>
      </w:r>
      <w:r w:rsidRPr="00511005">
        <w:rPr>
          <w:rFonts w:ascii="Arial" w:eastAsia="Calibri" w:hAnsi="Arial" w:cs="Arial"/>
          <w:szCs w:val="28"/>
          <w:lang w:val="en-US"/>
        </w:rPr>
        <w:t xml:space="preserve">. </w:t>
      </w:r>
      <w:r w:rsidRPr="00511005">
        <w:rPr>
          <w:rFonts w:ascii="Arial" w:eastAsia="Calibri" w:hAnsi="Arial" w:cs="Arial"/>
          <w:szCs w:val="28"/>
        </w:rPr>
        <w:t>Розділ</w:t>
      </w:r>
      <w:r w:rsidRPr="00511005">
        <w:rPr>
          <w:rFonts w:ascii="Arial" w:eastAsia="Calibri" w:hAnsi="Arial" w:cs="Arial"/>
          <w:szCs w:val="28"/>
          <w:lang w:val="en-US"/>
        </w:rPr>
        <w:t xml:space="preserve"> V </w:t>
      </w:r>
      <w:r w:rsidRPr="00511005">
        <w:rPr>
          <w:rFonts w:ascii="Arial" w:eastAsia="Calibri" w:hAnsi="Arial" w:cs="Arial"/>
          <w:szCs w:val="28"/>
        </w:rPr>
        <w:t>Концепції</w:t>
      </w:r>
      <w:r w:rsidRPr="00511005">
        <w:rPr>
          <w:rFonts w:ascii="Arial" w:eastAsia="Calibri" w:hAnsi="Arial" w:cs="Arial"/>
          <w:szCs w:val="28"/>
          <w:lang w:val="en-US"/>
        </w:rPr>
        <w:t xml:space="preserve"> </w:t>
      </w:r>
      <w:r w:rsidRPr="00511005">
        <w:rPr>
          <w:rFonts w:ascii="Arial" w:eastAsia="Calibri" w:hAnsi="Arial" w:cs="Arial"/>
          <w:szCs w:val="28"/>
        </w:rPr>
        <w:t>визначав</w:t>
      </w:r>
      <w:r w:rsidRPr="00511005">
        <w:rPr>
          <w:rFonts w:ascii="Arial" w:eastAsia="Calibri" w:hAnsi="Arial" w:cs="Arial"/>
          <w:szCs w:val="28"/>
          <w:lang w:val="en-US"/>
        </w:rPr>
        <w:t xml:space="preserve">, </w:t>
      </w:r>
      <w:r w:rsidRPr="00511005">
        <w:rPr>
          <w:rFonts w:ascii="Arial" w:eastAsia="Calibri" w:hAnsi="Arial" w:cs="Arial"/>
          <w:szCs w:val="28"/>
        </w:rPr>
        <w:t>що</w:t>
      </w:r>
      <w:r w:rsidRPr="00511005">
        <w:rPr>
          <w:rFonts w:ascii="Arial" w:eastAsia="Calibri" w:hAnsi="Arial" w:cs="Arial"/>
          <w:szCs w:val="28"/>
          <w:lang w:val="en-US"/>
        </w:rPr>
        <w:t xml:space="preserve"> </w:t>
      </w:r>
      <w:r w:rsidRPr="00511005">
        <w:rPr>
          <w:rFonts w:ascii="Arial" w:eastAsia="Calibri" w:hAnsi="Arial" w:cs="Arial"/>
          <w:szCs w:val="28"/>
        </w:rPr>
        <w:t>адвокатура</w:t>
      </w:r>
      <w:r w:rsidRPr="00511005">
        <w:rPr>
          <w:rFonts w:ascii="Arial" w:eastAsia="Calibri" w:hAnsi="Arial" w:cs="Arial"/>
          <w:szCs w:val="28"/>
          <w:lang w:val="en-US"/>
        </w:rPr>
        <w:t xml:space="preserve"> </w:t>
      </w:r>
      <w:r w:rsidRPr="00511005">
        <w:rPr>
          <w:rFonts w:ascii="Arial" w:eastAsia="Calibri" w:hAnsi="Arial" w:cs="Arial"/>
          <w:szCs w:val="28"/>
        </w:rPr>
        <w:t>є</w:t>
      </w:r>
      <w:r w:rsidRPr="00511005">
        <w:rPr>
          <w:rFonts w:ascii="Arial" w:eastAsia="Calibri" w:hAnsi="Arial" w:cs="Arial"/>
          <w:szCs w:val="28"/>
          <w:lang w:val="en-US"/>
        </w:rPr>
        <w:t xml:space="preserve"> </w:t>
      </w:r>
      <w:r w:rsidRPr="00511005">
        <w:rPr>
          <w:rFonts w:ascii="Arial" w:eastAsia="Calibri" w:hAnsi="Arial" w:cs="Arial"/>
          <w:szCs w:val="28"/>
        </w:rPr>
        <w:t>самостійною</w:t>
      </w:r>
      <w:r w:rsidRPr="00511005">
        <w:rPr>
          <w:rFonts w:ascii="Arial" w:eastAsia="Calibri" w:hAnsi="Arial" w:cs="Arial"/>
          <w:szCs w:val="28"/>
          <w:lang w:val="en-US"/>
        </w:rPr>
        <w:t xml:space="preserve"> </w:t>
      </w:r>
      <w:r w:rsidRPr="00511005">
        <w:rPr>
          <w:rFonts w:ascii="Arial" w:eastAsia="Calibri" w:hAnsi="Arial" w:cs="Arial"/>
          <w:szCs w:val="28"/>
        </w:rPr>
        <w:t>структурою</w:t>
      </w:r>
      <w:r w:rsidRPr="00511005">
        <w:rPr>
          <w:rFonts w:ascii="Arial" w:eastAsia="Calibri" w:hAnsi="Arial" w:cs="Arial"/>
          <w:szCs w:val="28"/>
          <w:lang w:val="en-US"/>
        </w:rPr>
        <w:t xml:space="preserve"> </w:t>
      </w:r>
      <w:r w:rsidRPr="00511005">
        <w:rPr>
          <w:rFonts w:ascii="Arial" w:eastAsia="Calibri" w:hAnsi="Arial" w:cs="Arial"/>
          <w:szCs w:val="28"/>
        </w:rPr>
        <w:t>для</w:t>
      </w:r>
      <w:r w:rsidRPr="00511005">
        <w:rPr>
          <w:rFonts w:ascii="Arial" w:eastAsia="Calibri" w:hAnsi="Arial" w:cs="Arial"/>
          <w:szCs w:val="28"/>
          <w:lang w:val="en-US"/>
        </w:rPr>
        <w:t xml:space="preserve"> </w:t>
      </w:r>
      <w:r w:rsidRPr="00511005">
        <w:rPr>
          <w:rFonts w:ascii="Arial" w:eastAsia="Calibri" w:hAnsi="Arial" w:cs="Arial"/>
          <w:szCs w:val="28"/>
        </w:rPr>
        <w:t>надання</w:t>
      </w:r>
      <w:r w:rsidRPr="00511005">
        <w:rPr>
          <w:rFonts w:ascii="Arial" w:eastAsia="Calibri" w:hAnsi="Arial" w:cs="Arial"/>
          <w:szCs w:val="28"/>
          <w:lang w:val="en-US"/>
        </w:rPr>
        <w:t xml:space="preserve"> </w:t>
      </w:r>
      <w:r w:rsidRPr="00511005">
        <w:rPr>
          <w:rFonts w:ascii="Arial" w:eastAsia="Calibri" w:hAnsi="Arial" w:cs="Arial"/>
          <w:szCs w:val="28"/>
        </w:rPr>
        <w:t>юридичної</w:t>
      </w:r>
      <w:r w:rsidRPr="00511005">
        <w:rPr>
          <w:rFonts w:ascii="Arial" w:eastAsia="Calibri" w:hAnsi="Arial" w:cs="Arial"/>
          <w:szCs w:val="28"/>
          <w:lang w:val="en-US"/>
        </w:rPr>
        <w:t xml:space="preserve"> </w:t>
      </w:r>
      <w:r w:rsidRPr="00511005">
        <w:rPr>
          <w:rFonts w:ascii="Arial" w:eastAsia="Calibri" w:hAnsi="Arial" w:cs="Arial"/>
          <w:szCs w:val="28"/>
        </w:rPr>
        <w:t>допомоги</w:t>
      </w:r>
      <w:r w:rsidRPr="00511005">
        <w:rPr>
          <w:rFonts w:ascii="Arial" w:eastAsia="Calibri" w:hAnsi="Arial" w:cs="Arial"/>
          <w:szCs w:val="28"/>
          <w:lang w:val="en-US"/>
        </w:rPr>
        <w:t xml:space="preserve"> </w:t>
      </w:r>
      <w:r w:rsidRPr="00511005">
        <w:rPr>
          <w:rFonts w:ascii="Arial" w:eastAsia="Calibri" w:hAnsi="Arial" w:cs="Arial"/>
          <w:szCs w:val="28"/>
        </w:rPr>
        <w:t>фізичним</w:t>
      </w:r>
      <w:r w:rsidRPr="00511005">
        <w:rPr>
          <w:rFonts w:ascii="Arial" w:eastAsia="Calibri" w:hAnsi="Arial" w:cs="Arial"/>
          <w:szCs w:val="28"/>
          <w:lang w:val="en-US"/>
        </w:rPr>
        <w:t xml:space="preserve"> </w:t>
      </w:r>
      <w:r w:rsidRPr="00511005">
        <w:rPr>
          <w:rFonts w:ascii="Arial" w:eastAsia="Calibri" w:hAnsi="Arial" w:cs="Arial"/>
          <w:szCs w:val="28"/>
        </w:rPr>
        <w:t>та</w:t>
      </w:r>
      <w:r w:rsidRPr="00511005">
        <w:rPr>
          <w:rFonts w:ascii="Arial" w:eastAsia="Calibri" w:hAnsi="Arial" w:cs="Arial"/>
          <w:szCs w:val="28"/>
          <w:lang w:val="en-US"/>
        </w:rPr>
        <w:t xml:space="preserve"> </w:t>
      </w:r>
      <w:r w:rsidRPr="00511005">
        <w:rPr>
          <w:rFonts w:ascii="Arial" w:eastAsia="Calibri" w:hAnsi="Arial" w:cs="Arial"/>
          <w:szCs w:val="28"/>
        </w:rPr>
        <w:t>юридичним</w:t>
      </w:r>
      <w:r w:rsidRPr="00511005">
        <w:rPr>
          <w:rFonts w:ascii="Arial" w:eastAsia="Calibri" w:hAnsi="Arial" w:cs="Arial"/>
          <w:szCs w:val="28"/>
          <w:lang w:val="en-US"/>
        </w:rPr>
        <w:t xml:space="preserve"> </w:t>
      </w:r>
      <w:r w:rsidRPr="00511005">
        <w:rPr>
          <w:rFonts w:ascii="Arial" w:eastAsia="Calibri" w:hAnsi="Arial" w:cs="Arial"/>
          <w:szCs w:val="28"/>
        </w:rPr>
        <w:t>особам</w:t>
      </w:r>
      <w:r w:rsidRPr="00511005">
        <w:rPr>
          <w:rFonts w:ascii="Arial" w:eastAsia="Calibri" w:hAnsi="Arial" w:cs="Arial"/>
          <w:szCs w:val="28"/>
          <w:lang w:val="en-US"/>
        </w:rPr>
        <w:t xml:space="preserve">. </w:t>
      </w:r>
      <w:r w:rsidRPr="00511005">
        <w:rPr>
          <w:rFonts w:ascii="Arial" w:eastAsia="Calibri" w:hAnsi="Arial" w:cs="Arial"/>
          <w:szCs w:val="28"/>
        </w:rPr>
        <w:t>Адвокати</w:t>
      </w:r>
      <w:r w:rsidRPr="00055389">
        <w:rPr>
          <w:rFonts w:ascii="Arial" w:eastAsia="Calibri" w:hAnsi="Arial" w:cs="Arial"/>
          <w:szCs w:val="28"/>
        </w:rPr>
        <w:t xml:space="preserve"> </w:t>
      </w:r>
      <w:r w:rsidRPr="00511005">
        <w:rPr>
          <w:rFonts w:ascii="Arial" w:eastAsia="Calibri" w:hAnsi="Arial" w:cs="Arial"/>
          <w:szCs w:val="28"/>
        </w:rPr>
        <w:t>мали</w:t>
      </w:r>
      <w:r w:rsidRPr="00055389">
        <w:rPr>
          <w:rFonts w:ascii="Arial" w:eastAsia="Calibri" w:hAnsi="Arial" w:cs="Arial"/>
          <w:szCs w:val="28"/>
        </w:rPr>
        <w:t xml:space="preserve"> </w:t>
      </w:r>
      <w:r w:rsidRPr="00511005">
        <w:rPr>
          <w:rFonts w:ascii="Arial" w:eastAsia="Calibri" w:hAnsi="Arial" w:cs="Arial"/>
          <w:szCs w:val="28"/>
        </w:rPr>
        <w:t>право</w:t>
      </w:r>
      <w:r w:rsidRPr="00055389">
        <w:rPr>
          <w:rFonts w:ascii="Arial" w:eastAsia="Calibri" w:hAnsi="Arial" w:cs="Arial"/>
          <w:szCs w:val="28"/>
        </w:rPr>
        <w:t xml:space="preserve"> </w:t>
      </w:r>
      <w:r w:rsidRPr="00511005">
        <w:rPr>
          <w:rFonts w:ascii="Arial" w:eastAsia="Calibri" w:hAnsi="Arial" w:cs="Arial"/>
          <w:szCs w:val="28"/>
        </w:rPr>
        <w:t>самостійно</w:t>
      </w:r>
      <w:r w:rsidRPr="00055389">
        <w:rPr>
          <w:rFonts w:ascii="Arial" w:eastAsia="Calibri" w:hAnsi="Arial" w:cs="Arial"/>
          <w:szCs w:val="28"/>
        </w:rPr>
        <w:t xml:space="preserve"> </w:t>
      </w:r>
      <w:r w:rsidRPr="00511005">
        <w:rPr>
          <w:rFonts w:ascii="Arial" w:eastAsia="Calibri" w:hAnsi="Arial" w:cs="Arial"/>
          <w:szCs w:val="28"/>
        </w:rPr>
        <w:t>визначати</w:t>
      </w:r>
      <w:r w:rsidRPr="00055389">
        <w:rPr>
          <w:rFonts w:ascii="Arial" w:eastAsia="Calibri" w:hAnsi="Arial" w:cs="Arial"/>
          <w:szCs w:val="28"/>
        </w:rPr>
        <w:t xml:space="preserve"> </w:t>
      </w:r>
      <w:r w:rsidRPr="00511005">
        <w:rPr>
          <w:rFonts w:ascii="Arial" w:eastAsia="Calibri" w:hAnsi="Arial" w:cs="Arial"/>
          <w:szCs w:val="28"/>
        </w:rPr>
        <w:t>форми</w:t>
      </w:r>
      <w:r w:rsidRPr="00055389">
        <w:rPr>
          <w:rFonts w:ascii="Arial" w:eastAsia="Calibri" w:hAnsi="Arial" w:cs="Arial"/>
          <w:szCs w:val="28"/>
        </w:rPr>
        <w:t xml:space="preserve"> </w:t>
      </w:r>
      <w:r w:rsidRPr="00511005">
        <w:rPr>
          <w:rFonts w:ascii="Arial" w:eastAsia="Calibri" w:hAnsi="Arial" w:cs="Arial"/>
          <w:szCs w:val="28"/>
        </w:rPr>
        <w:t>організаційної роботи, а також мали розширені професійні права. Допуск до адвокатської діяльності вирішувався кваліфікаційною комісією на основі іспитів.</w:t>
      </w:r>
    </w:p>
    <w:p w14:paraId="2B6CD3D8" w14:textId="77777777" w:rsidR="00C10374" w:rsidRPr="00511005" w:rsidRDefault="00C10374" w:rsidP="003A292D">
      <w:pPr>
        <w:snapToGrid w:val="0"/>
        <w:spacing w:line="264" w:lineRule="auto"/>
        <w:rPr>
          <w:rFonts w:ascii="Arial" w:eastAsia="Calibri" w:hAnsi="Arial" w:cs="Arial"/>
          <w:szCs w:val="28"/>
        </w:rPr>
      </w:pPr>
      <w:r w:rsidRPr="00511005">
        <w:rPr>
          <w:rFonts w:ascii="Arial" w:eastAsia="Calibri" w:hAnsi="Arial" w:cs="Arial"/>
          <w:szCs w:val="28"/>
        </w:rPr>
        <w:t xml:space="preserve">Значну роль у реформуванні адвокатури відіграла громадська організація «Спілка адвокатів України». Нагадаємо, що у 1989 році було засновано Спілку адвокатів СРСР. Пізніше, 17 грудня 1989 року, на засіданні ради Київського громадського науково-дослідницького інституту адвокатури, більшість колегій адвокатів схвалили рішення про створення незалежної </w:t>
      </w:r>
      <w:r w:rsidRPr="00511005">
        <w:rPr>
          <w:rFonts w:ascii="Arial" w:eastAsia="Calibri" w:hAnsi="Arial" w:cs="Arial"/>
          <w:szCs w:val="28"/>
        </w:rPr>
        <w:lastRenderedPageBreak/>
        <w:t>Спілки адвокатів України. З 20 по 22 вересня 1990 року було утворено відділення Спілки в усіх регіонах України, а 14 листопада 1990 року Міністерство юстиції зареєструвало Спілку як самоврядну, добровільну, незалежну, професійну всеукраїнську організацію.</w:t>
      </w:r>
    </w:p>
    <w:p w14:paraId="0907DEF0" w14:textId="77777777" w:rsidR="00C10374" w:rsidRPr="00511005" w:rsidRDefault="00C10374" w:rsidP="003A292D">
      <w:pPr>
        <w:snapToGrid w:val="0"/>
        <w:spacing w:line="264" w:lineRule="auto"/>
        <w:rPr>
          <w:rFonts w:ascii="Arial" w:eastAsia="Calibri" w:hAnsi="Arial" w:cs="Arial"/>
          <w:szCs w:val="28"/>
        </w:rPr>
      </w:pPr>
      <w:r w:rsidRPr="00511005">
        <w:rPr>
          <w:rFonts w:ascii="Arial" w:eastAsia="Calibri" w:hAnsi="Arial" w:cs="Arial"/>
          <w:szCs w:val="28"/>
        </w:rPr>
        <w:t xml:space="preserve">Важливе значення для правового регулювання адвокатської діяльності мала Постанова Кабінету Міністрів України № 315 від 15 листопада 1991 року «Про порядок оплати праці адвокатів за надання юридичної допомоги у кримінальних справах». Згідно з цією постановою, оплата праці адвокатів у різних сферах (зокрема у кримінальних справах громадян, попередньому слідстві та суді за призначенням) здійснювалася за рахунок бюджету. 27 листопада 1991 року Міністерства юстиції та фінансів розробили Положення про порядок оплати праці адвокатів та надання допомоги громадянам у різних кримінальних справах. Оплата адвокатів здійснювалася за рахунок державного бюджету у розмірі однієї мінімальної заробітної плати, встановленої Постановою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від 20 лютого 1996 року за повний робочий день. Якщо адвокат працював неповний робочий день, оплата здійснювалася пропорційно витраченому часу. Якщо адвокат перебував у відрядженні за місцем розгляду справи, його відшкодування здійснювалося відповідно до чинного законодавства. Підставою для оплати праці адвокатів були постанова судді або особи, яка проводила дізнання, слідчого чи прокурора, ухвала суду про звільнення особи від оплати за надану юридичну допомогу або про призначення адвоката, та довідка про участь адвоката у справі з зазначенням кількості витраченого часу та обсягу виконаної роботи. Один примірник довідки-розрахунку надсилався особі, яка проводила дізнання, а другий залишався у адвоката чи адвокатського об’єднання. Якщо адвокат брав участь у дізнанні або суді за призначенням, при визнанні особи винною у вчиненні злочину і за відсутності підстав для звільнення від оплати витрат на юридичну допомогу, відшкодування витрат покладалося на засудженого. Управління юстиції відшкодовувало кошти протягом 10 днів після отримання документів від адвоката або спілки адвокатів за рахунок коштів, виділених Міністерством юстиції України на ці цілі.</w:t>
      </w:r>
    </w:p>
    <w:p w14:paraId="0E004C05" w14:textId="77777777" w:rsidR="00C10374" w:rsidRPr="00511005" w:rsidRDefault="00C10374" w:rsidP="003A292D">
      <w:pPr>
        <w:snapToGrid w:val="0"/>
        <w:spacing w:line="264" w:lineRule="auto"/>
        <w:rPr>
          <w:rFonts w:ascii="Arial" w:eastAsia="Calibri" w:hAnsi="Arial" w:cs="Arial"/>
          <w:szCs w:val="28"/>
        </w:rPr>
      </w:pPr>
      <w:r w:rsidRPr="00511005">
        <w:rPr>
          <w:rFonts w:ascii="Arial" w:eastAsia="Calibri" w:hAnsi="Arial" w:cs="Arial"/>
          <w:szCs w:val="28"/>
        </w:rPr>
        <w:t>Фундаментальне значення у регулюванні адвокатської діяльності мають норми Конституції України від 28 червня 1996 року. Вперше на рівні Основного закону закріплено призначення адвокатури. Крім того, ч. 4 ст. 29 Конституції передбачала право заарештованого чи затриманого користуватися правовою допомогою, ст. 59 проголосила право кожного на правову допомогу, яка у деяких випадках надається безоплатно, ст. 63 гарантувала підозрюваному, обвинуваченому та підсудному право на захист тощо.</w:t>
      </w:r>
    </w:p>
    <w:p w14:paraId="3C712373" w14:textId="77777777" w:rsidR="00C10374" w:rsidRPr="00511005" w:rsidRDefault="00C10374" w:rsidP="003A292D">
      <w:pPr>
        <w:snapToGrid w:val="0"/>
        <w:spacing w:line="264" w:lineRule="auto"/>
        <w:rPr>
          <w:rFonts w:ascii="Arial" w:eastAsia="Calibri" w:hAnsi="Arial" w:cs="Arial"/>
          <w:szCs w:val="28"/>
        </w:rPr>
      </w:pPr>
      <w:r w:rsidRPr="00511005">
        <w:rPr>
          <w:rFonts w:ascii="Arial" w:eastAsia="Calibri" w:hAnsi="Arial" w:cs="Arial"/>
          <w:szCs w:val="28"/>
        </w:rPr>
        <w:t xml:space="preserve">У червні 2011 року було прийнято Закон України «Про безоплатну правову допомогу» від 02 червня 2011 року (наразі – Закон України «Про </w:t>
      </w:r>
      <w:r w:rsidRPr="00511005">
        <w:rPr>
          <w:rFonts w:ascii="Arial" w:eastAsia="Calibri" w:hAnsi="Arial" w:cs="Arial"/>
          <w:szCs w:val="28"/>
        </w:rPr>
        <w:lastRenderedPageBreak/>
        <w:t>безоплатну правничу допомогу»), який визначив зміст права на безоплатну правову допомогу, порядок реалізації цього закону та порядок надання цієї допомоги. Цим законом адвокатів віднесено до суб’єктів надання вторинної допомоги.</w:t>
      </w:r>
    </w:p>
    <w:p w14:paraId="5B69BF21" w14:textId="77777777" w:rsidR="00C10374" w:rsidRPr="00511005" w:rsidRDefault="00C10374" w:rsidP="003A292D">
      <w:pPr>
        <w:snapToGrid w:val="0"/>
        <w:spacing w:line="264" w:lineRule="auto"/>
        <w:rPr>
          <w:rFonts w:ascii="Arial" w:eastAsia="Calibri" w:hAnsi="Arial" w:cs="Arial"/>
          <w:szCs w:val="28"/>
        </w:rPr>
      </w:pPr>
      <w:r w:rsidRPr="00511005">
        <w:rPr>
          <w:rFonts w:ascii="Arial" w:eastAsia="Calibri" w:hAnsi="Arial" w:cs="Arial"/>
          <w:szCs w:val="28"/>
        </w:rPr>
        <w:t>Через рік було прийнято Закон «Про адвокатуру та адвокатську діяльність» від 05 липня 2012 року. Він був прийнятий з метою реформування адвокатури з урахуванням демократичних стандартів та забезпечення виконання зобов’язань України перед Радою Європи. Як наслідок, було необхідно:</w:t>
      </w:r>
    </w:p>
    <w:p w14:paraId="02D6325A" w14:textId="77777777" w:rsidR="00C10374" w:rsidRPr="00511005" w:rsidRDefault="00C10374" w:rsidP="003A292D">
      <w:pPr>
        <w:snapToGrid w:val="0"/>
        <w:spacing w:line="264" w:lineRule="auto"/>
        <w:ind w:firstLine="567"/>
        <w:rPr>
          <w:rFonts w:ascii="Arial" w:eastAsia="Calibri" w:hAnsi="Arial" w:cs="Arial"/>
          <w:szCs w:val="28"/>
        </w:rPr>
      </w:pPr>
      <w:r w:rsidRPr="00511005">
        <w:rPr>
          <w:rFonts w:ascii="Arial" w:eastAsia="Calibri" w:hAnsi="Arial" w:cs="Arial"/>
          <w:szCs w:val="28"/>
        </w:rPr>
        <w:t>створити систему органів адвокатського самоврядування;</w:t>
      </w:r>
    </w:p>
    <w:p w14:paraId="6E56669B" w14:textId="77777777" w:rsidR="00C10374" w:rsidRPr="00511005" w:rsidRDefault="00C10374" w:rsidP="003A292D">
      <w:pPr>
        <w:snapToGrid w:val="0"/>
        <w:spacing w:line="264" w:lineRule="auto"/>
        <w:ind w:firstLine="567"/>
        <w:rPr>
          <w:rFonts w:ascii="Arial" w:eastAsia="Calibri" w:hAnsi="Arial" w:cs="Arial"/>
          <w:szCs w:val="28"/>
        </w:rPr>
      </w:pPr>
      <w:r w:rsidRPr="00511005">
        <w:rPr>
          <w:rFonts w:ascii="Arial" w:eastAsia="Calibri" w:hAnsi="Arial" w:cs="Arial"/>
          <w:szCs w:val="28"/>
        </w:rPr>
        <w:t>створити Національну асоціацію адвокатів України;</w:t>
      </w:r>
    </w:p>
    <w:p w14:paraId="03AB4632" w14:textId="77777777" w:rsidR="00C10374" w:rsidRPr="00511005" w:rsidRDefault="00C10374" w:rsidP="003A292D">
      <w:pPr>
        <w:snapToGrid w:val="0"/>
        <w:spacing w:line="264" w:lineRule="auto"/>
        <w:ind w:firstLine="567"/>
        <w:rPr>
          <w:rFonts w:ascii="Arial" w:eastAsia="Calibri" w:hAnsi="Arial" w:cs="Arial"/>
          <w:szCs w:val="28"/>
        </w:rPr>
      </w:pPr>
      <w:r w:rsidRPr="00511005">
        <w:rPr>
          <w:rFonts w:ascii="Arial" w:eastAsia="Calibri" w:hAnsi="Arial" w:cs="Arial"/>
          <w:szCs w:val="28"/>
        </w:rPr>
        <w:t>створити Єдиний реєстр адвокатів України;</w:t>
      </w:r>
    </w:p>
    <w:p w14:paraId="5CB09659" w14:textId="77777777" w:rsidR="00C10374" w:rsidRPr="00511005" w:rsidRDefault="00C10374" w:rsidP="003A292D">
      <w:pPr>
        <w:snapToGrid w:val="0"/>
        <w:spacing w:line="264" w:lineRule="auto"/>
        <w:ind w:firstLine="567"/>
        <w:rPr>
          <w:rFonts w:ascii="Arial" w:eastAsia="Calibri" w:hAnsi="Arial" w:cs="Arial"/>
          <w:szCs w:val="28"/>
        </w:rPr>
      </w:pPr>
      <w:r w:rsidRPr="00511005">
        <w:rPr>
          <w:rFonts w:ascii="Arial" w:eastAsia="Calibri" w:hAnsi="Arial" w:cs="Arial"/>
          <w:szCs w:val="28"/>
        </w:rPr>
        <w:t>врегулювати питання дисциплінарної відповідальності адвокатів;</w:t>
      </w:r>
    </w:p>
    <w:p w14:paraId="7D84B848" w14:textId="77777777" w:rsidR="00C10374" w:rsidRPr="00511005" w:rsidRDefault="00C10374" w:rsidP="003A292D">
      <w:pPr>
        <w:snapToGrid w:val="0"/>
        <w:spacing w:line="264" w:lineRule="auto"/>
        <w:ind w:firstLine="567"/>
        <w:rPr>
          <w:rFonts w:ascii="Arial" w:eastAsia="Calibri" w:hAnsi="Arial" w:cs="Arial"/>
          <w:szCs w:val="28"/>
        </w:rPr>
      </w:pPr>
      <w:r w:rsidRPr="00511005">
        <w:rPr>
          <w:rFonts w:ascii="Arial" w:eastAsia="Calibri" w:hAnsi="Arial" w:cs="Arial"/>
          <w:szCs w:val="28"/>
        </w:rPr>
        <w:t>врегулювати питання щодо допуску адвокатів іноземних держав до здійснення адвокатської діяльності на території України.</w:t>
      </w:r>
    </w:p>
    <w:p w14:paraId="679EAE32" w14:textId="77777777" w:rsidR="00C10374" w:rsidRPr="00511005" w:rsidRDefault="00C10374" w:rsidP="003A292D">
      <w:pPr>
        <w:snapToGrid w:val="0"/>
        <w:spacing w:line="264" w:lineRule="auto"/>
        <w:rPr>
          <w:rFonts w:ascii="Arial" w:eastAsia="Calibri" w:hAnsi="Arial" w:cs="Arial"/>
          <w:szCs w:val="28"/>
        </w:rPr>
      </w:pPr>
      <w:r w:rsidRPr="00511005">
        <w:rPr>
          <w:rFonts w:ascii="Arial" w:eastAsia="Calibri" w:hAnsi="Arial" w:cs="Arial"/>
          <w:szCs w:val="28"/>
        </w:rPr>
        <w:t xml:space="preserve">Зазначені завдання були успішно реалізовані. У той саме час, інститут адвокатури потребує подальшого розвитку з урахуванням викликів сьогодення та умов воєнного часу. </w:t>
      </w:r>
    </w:p>
    <w:p w14:paraId="4D8DA0BC" w14:textId="77777777" w:rsidR="00C10374" w:rsidRPr="00511005" w:rsidRDefault="00C10374" w:rsidP="003A292D">
      <w:pPr>
        <w:snapToGrid w:val="0"/>
        <w:spacing w:line="264" w:lineRule="auto"/>
        <w:rPr>
          <w:rFonts w:ascii="Arial" w:eastAsia="Calibri" w:hAnsi="Arial" w:cs="Arial"/>
          <w:szCs w:val="28"/>
        </w:rPr>
      </w:pPr>
    </w:p>
    <w:p w14:paraId="4D5C2DB4" w14:textId="6BCD8DC4" w:rsidR="00C10374" w:rsidRPr="00511005" w:rsidRDefault="007B2628" w:rsidP="003A292D">
      <w:pPr>
        <w:snapToGrid w:val="0"/>
        <w:spacing w:line="264" w:lineRule="auto"/>
        <w:ind w:right="142" w:firstLine="567"/>
        <w:rPr>
          <w:rFonts w:ascii="Arial" w:eastAsia="Calibri" w:hAnsi="Arial" w:cs="Arial"/>
          <w:szCs w:val="28"/>
        </w:rPr>
      </w:pPr>
      <w:r w:rsidRPr="00511005">
        <w:rPr>
          <w:rFonts w:ascii="Arial" w:eastAsia="Calibri" w:hAnsi="Arial" w:cs="Arial"/>
          <w:b/>
          <w:bCs/>
          <w:i/>
          <w:szCs w:val="28"/>
        </w:rPr>
        <w:t xml:space="preserve">Ключові слова: </w:t>
      </w:r>
      <w:r w:rsidR="00C10374" w:rsidRPr="00511005">
        <w:rPr>
          <w:rFonts w:ascii="Arial" w:eastAsia="Calibri" w:hAnsi="Arial" w:cs="Arial"/>
          <w:szCs w:val="28"/>
        </w:rPr>
        <w:t>судово-правова реформа, правове регулювання, адвокатура, адвокатська діяльність, адвокат</w:t>
      </w:r>
    </w:p>
    <w:p w14:paraId="64523153" w14:textId="7F325E8E" w:rsidR="00C10374" w:rsidRPr="00511005" w:rsidRDefault="007B2628" w:rsidP="003A292D">
      <w:pPr>
        <w:snapToGrid w:val="0"/>
        <w:spacing w:line="264" w:lineRule="auto"/>
        <w:ind w:right="142" w:firstLine="567"/>
        <w:rPr>
          <w:rFonts w:ascii="Arial" w:eastAsia="Calibri" w:hAnsi="Arial" w:cs="Arial"/>
          <w:szCs w:val="28"/>
          <w:lang w:val="en-US"/>
        </w:rPr>
      </w:pPr>
      <w:r w:rsidRPr="00511005">
        <w:rPr>
          <w:rFonts w:ascii="Arial" w:eastAsia="Calibri" w:hAnsi="Arial" w:cs="Arial"/>
          <w:b/>
          <w:i/>
          <w:szCs w:val="28"/>
          <w:lang w:val="en-US"/>
        </w:rPr>
        <w:t xml:space="preserve">Key words: </w:t>
      </w:r>
      <w:r w:rsidR="00C10374" w:rsidRPr="00511005">
        <w:rPr>
          <w:rFonts w:ascii="Arial" w:eastAsia="Calibri" w:hAnsi="Arial" w:cs="Arial"/>
          <w:szCs w:val="28"/>
          <w:lang w:val="en-US"/>
        </w:rPr>
        <w:t>judicial and legal reform, legal regulation, advocacy, advocate activite, advocate</w:t>
      </w:r>
    </w:p>
    <w:p w14:paraId="403B1C50" w14:textId="77777777" w:rsidR="00C10374" w:rsidRPr="00511005" w:rsidRDefault="00C10374" w:rsidP="003A292D">
      <w:pPr>
        <w:snapToGrid w:val="0"/>
        <w:spacing w:line="264" w:lineRule="auto"/>
        <w:rPr>
          <w:rFonts w:ascii="Arial" w:eastAsia="Calibri" w:hAnsi="Arial" w:cs="Arial"/>
          <w:szCs w:val="28"/>
          <w:lang w:val="en-US"/>
        </w:rPr>
      </w:pPr>
    </w:p>
    <w:p w14:paraId="36B9F6C4" w14:textId="7CDF0AF4" w:rsidR="00C10374" w:rsidRPr="00511005" w:rsidRDefault="007B2628" w:rsidP="003A292D">
      <w:pPr>
        <w:snapToGrid w:val="0"/>
        <w:spacing w:line="264" w:lineRule="auto"/>
        <w:rPr>
          <w:rFonts w:ascii="Arial" w:eastAsia="Calibri" w:hAnsi="Arial" w:cs="Arial"/>
          <w:b/>
          <w:bCs/>
          <w:i/>
          <w:iCs/>
          <w:szCs w:val="28"/>
        </w:rPr>
      </w:pPr>
      <w:r w:rsidRPr="00511005">
        <w:rPr>
          <w:rFonts w:ascii="Arial" w:eastAsia="Calibri" w:hAnsi="Arial" w:cs="Arial"/>
          <w:b/>
          <w:i/>
          <w:iCs/>
          <w:szCs w:val="28"/>
        </w:rPr>
        <w:t xml:space="preserve">Науковий керівник: </w:t>
      </w:r>
      <w:r w:rsidR="00C10374" w:rsidRPr="00511005">
        <w:rPr>
          <w:rFonts w:ascii="Arial" w:eastAsia="Calibri" w:hAnsi="Arial" w:cs="Arial"/>
          <w:i/>
          <w:iCs/>
          <w:szCs w:val="28"/>
        </w:rPr>
        <w:t>к.ю.н., доцент Кравченко Марина Олександрівна</w:t>
      </w:r>
    </w:p>
    <w:p w14:paraId="173C7E8B" w14:textId="77777777" w:rsidR="00C10374" w:rsidRPr="00511005" w:rsidRDefault="00C10374" w:rsidP="003A292D">
      <w:pPr>
        <w:snapToGrid w:val="0"/>
        <w:spacing w:line="264" w:lineRule="auto"/>
        <w:rPr>
          <w:rFonts w:ascii="Arial" w:eastAsia="Calibri" w:hAnsi="Arial" w:cs="Arial"/>
          <w:b/>
          <w:bCs/>
          <w:szCs w:val="28"/>
        </w:rPr>
      </w:pPr>
    </w:p>
    <w:p w14:paraId="06CF5CF6" w14:textId="77777777" w:rsidR="00C10374" w:rsidRPr="00511005" w:rsidRDefault="00C10374" w:rsidP="003A292D">
      <w:pPr>
        <w:widowControl w:val="0"/>
        <w:spacing w:line="264" w:lineRule="auto"/>
        <w:ind w:firstLine="0"/>
        <w:rPr>
          <w:rFonts w:ascii="Arial" w:eastAsia="Calibri" w:hAnsi="Arial" w:cs="Arial"/>
          <w:szCs w:val="28"/>
          <w:lang w:val="uk-UA"/>
        </w:rPr>
      </w:pPr>
    </w:p>
    <w:p w14:paraId="5C2E0143" w14:textId="77777777" w:rsidR="00C10374" w:rsidRPr="00511005" w:rsidRDefault="00C10374" w:rsidP="003A292D">
      <w:pPr>
        <w:widowControl w:val="0"/>
        <w:spacing w:line="264" w:lineRule="auto"/>
        <w:ind w:firstLine="0"/>
        <w:rPr>
          <w:rFonts w:ascii="Arial" w:eastAsia="Calibri" w:hAnsi="Arial" w:cs="Arial"/>
          <w:szCs w:val="28"/>
          <w:lang w:val="uk-UA"/>
        </w:rPr>
      </w:pPr>
    </w:p>
    <w:p w14:paraId="6BF35482" w14:textId="77777777" w:rsidR="00C10374" w:rsidRPr="00511005" w:rsidRDefault="00C10374" w:rsidP="003A292D">
      <w:pPr>
        <w:spacing w:line="264" w:lineRule="auto"/>
        <w:ind w:firstLine="0"/>
        <w:jc w:val="center"/>
        <w:rPr>
          <w:rFonts w:ascii="Arial" w:eastAsia="Calibri" w:hAnsi="Arial" w:cs="Arial"/>
          <w:b/>
          <w:i/>
          <w:szCs w:val="28"/>
        </w:rPr>
      </w:pPr>
      <w:r w:rsidRPr="00511005">
        <w:rPr>
          <w:rFonts w:ascii="Arial" w:eastAsia="Calibri" w:hAnsi="Arial" w:cs="Arial"/>
          <w:b/>
          <w:i/>
          <w:szCs w:val="28"/>
        </w:rPr>
        <w:t xml:space="preserve">Чепіль Тетяна Сергіївна </w:t>
      </w:r>
    </w:p>
    <w:p w14:paraId="70FDF204" w14:textId="60488161" w:rsidR="00C10374" w:rsidRPr="00511005" w:rsidRDefault="00BE3972" w:rsidP="003A292D">
      <w:pPr>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студентка 1-го курсу </w:t>
      </w:r>
      <w:r w:rsidR="001B7B25" w:rsidRPr="00511005">
        <w:rPr>
          <w:rFonts w:ascii="Arial" w:eastAsia="Calibri" w:hAnsi="Arial" w:cs="Arial"/>
          <w:szCs w:val="28"/>
        </w:rPr>
        <w:t>факультету судового та міжнародного права</w:t>
      </w:r>
      <w:r w:rsidR="00C10374" w:rsidRPr="00511005">
        <w:rPr>
          <w:rFonts w:ascii="Arial" w:eastAsia="Calibri" w:hAnsi="Arial" w:cs="Arial"/>
          <w:szCs w:val="28"/>
        </w:rPr>
        <w:t xml:space="preserve"> </w:t>
      </w:r>
    </w:p>
    <w:p w14:paraId="593A67C8" w14:textId="5BAAB4A0" w:rsidR="00C10374" w:rsidRPr="00511005" w:rsidRDefault="007B2628" w:rsidP="003A292D">
      <w:pPr>
        <w:spacing w:line="264" w:lineRule="auto"/>
        <w:ind w:firstLine="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30AC45E3" w14:textId="77777777" w:rsidR="00C10374" w:rsidRPr="00511005" w:rsidRDefault="00C10374" w:rsidP="003A292D">
      <w:pPr>
        <w:spacing w:line="264" w:lineRule="auto"/>
        <w:jc w:val="center"/>
        <w:rPr>
          <w:rFonts w:ascii="Arial" w:eastAsia="Calibri" w:hAnsi="Arial" w:cs="Arial"/>
          <w:szCs w:val="28"/>
        </w:rPr>
      </w:pPr>
    </w:p>
    <w:p w14:paraId="5C01F453" w14:textId="77777777" w:rsidR="00C10374" w:rsidRPr="00511005" w:rsidRDefault="00C10374" w:rsidP="003A292D">
      <w:pPr>
        <w:spacing w:line="264" w:lineRule="auto"/>
        <w:ind w:firstLine="0"/>
        <w:jc w:val="center"/>
        <w:rPr>
          <w:rFonts w:ascii="Arial" w:eastAsia="Calibri" w:hAnsi="Arial" w:cs="Arial"/>
          <w:b/>
          <w:szCs w:val="28"/>
        </w:rPr>
      </w:pPr>
      <w:r w:rsidRPr="00511005">
        <w:rPr>
          <w:rFonts w:ascii="Arial" w:eastAsia="Calibri" w:hAnsi="Arial" w:cs="Arial"/>
          <w:b/>
          <w:szCs w:val="28"/>
        </w:rPr>
        <w:t>ПРОБЛЕМНІ АСПЕКТИ ФІНАНСУВАННЯ СУДІВ</w:t>
      </w:r>
    </w:p>
    <w:p w14:paraId="5206EC58" w14:textId="77777777" w:rsidR="00C10374" w:rsidRPr="00511005" w:rsidRDefault="00C10374" w:rsidP="003A292D">
      <w:pPr>
        <w:spacing w:line="264" w:lineRule="auto"/>
        <w:jc w:val="center"/>
        <w:rPr>
          <w:rFonts w:ascii="Arial" w:eastAsia="Calibri" w:hAnsi="Arial" w:cs="Arial"/>
          <w:b/>
          <w:szCs w:val="28"/>
        </w:rPr>
      </w:pPr>
    </w:p>
    <w:p w14:paraId="6EA5BDCA" w14:textId="77777777"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t>Незалежність судової влади є наріжним каменем демократичної правової держави, що закріплено як у Конституції України, так і в численних міжнародних правових актах, таких як Конвенція про захист прав людини і основоположних свобод. Забезпечення незалежного, неупередженого й ефективного судочинства неможливе без належного фінансування судової системи. Рівень матеріального забезпечення судів безпосередньо впливає не лише на якість здійснення правосуддя, але й на довіру громадян до судової влади та легітимність її рішень.</w:t>
      </w:r>
    </w:p>
    <w:p w14:paraId="676ED5B5" w14:textId="77777777"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lastRenderedPageBreak/>
        <w:t>В умовах постійних змін у політичному, економічному та соціальному середовищі України, система судоустрою стикається з численними викликами. Одним із найбільш актуальних є хронічна нестача бюджетних ресурсів, що ускладнює функціонування судів як органів, покликаних забезпечити справедливість та правопорядок у суспільстві. Недофінансування призводить до неможливості оновлення матеріально-технічної бази, забезпечення суддів і працівників апарату гідною оплатою праці, а також до погіршення доступу громадян до правосуддя.</w:t>
      </w:r>
    </w:p>
    <w:p w14:paraId="22096D2D" w14:textId="66963079"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t>Питання фінансового забезпечення, а отже й відповідних нормативів, є об’єктом активного обговорення в науковому середовищі. У фаховій літературі термін «фінансове забезпечення» застосовується доволі широко, однак єдиного, загальноприйнятого визначення цього поняття, а також його структурних елементів, наразі не сформовано. Одним із найбільш вдалих тлумачень вважається</w:t>
      </w:r>
      <w:r w:rsidR="007B2628" w:rsidRPr="00511005">
        <w:rPr>
          <w:rFonts w:ascii="Arial" w:eastAsia="Calibri" w:hAnsi="Arial" w:cs="Arial"/>
          <w:szCs w:val="28"/>
        </w:rPr>
        <w:t xml:space="preserve"> </w:t>
      </w:r>
      <w:r w:rsidRPr="00511005">
        <w:rPr>
          <w:rFonts w:ascii="Arial" w:eastAsia="Calibri" w:hAnsi="Arial" w:cs="Arial"/>
          <w:szCs w:val="28"/>
        </w:rPr>
        <w:t>тлумачення І.П.Устінової: «Фінансове забезпечення - це сукупність заходів, спрямованих на економічне зростання шляхом залучення фінансових ресурсів через різноманітні методи, форми та способи фінансування». При цьому воно нерозривно пов’язане з процесом фінансування, що передбачає визначення необхідного обсягу коштів для підтримки відповідної діяльності [1, с. 91].</w:t>
      </w:r>
    </w:p>
    <w:p w14:paraId="5EAE2AD1" w14:textId="77777777"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t>У першій частині статті 130 Конституції України закріплено, що фінансування судової влади покладається на державу. Це означає, що держава зобов’язується забезпечити належні умови для ефективного функціонування судів, включаючи їх фінансове, матеріальне та організаційне забезпечення. Такий підхід спрямований на гарантування реальної незалежності судів і суддів, що витікає з конституційно визначеного статусу судової влади [2].</w:t>
      </w:r>
    </w:p>
    <w:p w14:paraId="5AAD7B1A" w14:textId="77777777"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t>Беззаперечною є істина, що незалежність судової влади - ключова передумова ефективної реалізації не лише її функцій та програм, а й побудови правової держави загалом. Проте саме через механізми фінансування, матеріального та технічного забезпечення судів, органи виконавчої й законодавчої влади можуть опосередковано впливати на процес здійснення правосуддя.</w:t>
      </w:r>
    </w:p>
    <w:p w14:paraId="4C5872DB" w14:textId="77777777"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t>Фінансова автономія - одна з основних складових судової незалежності. Сьогодні питання належного фінансування судів є пріоритетним серед заходів, що створюють умови для повноцінного та неупередженого здійснення правосуддя. Водночас, як свідчать положення статті 146 Закону України «Про судоустрій і статус суддів», форми такого забезпечення є різними та залежать від об’єкта, якого вони стосуються. Варто зауважити, що хоча назва статті 146 вказує на забезпечення функціонування судової влади загалом, фактичний її зміст зосереджується переважно на фінансуванні судів і частково - на матеріальному забезпеченні самих суддів [3].</w:t>
      </w:r>
    </w:p>
    <w:p w14:paraId="783B104D" w14:textId="77777777"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lastRenderedPageBreak/>
        <w:t>Відповідно до положень Закону України «Про джерела фінансування органів державної влади» від 30 червня 1999 року № 783-XIV, функціонування державних органів здійснюється виключно за рахунок коштів, передбачених у державному бюджеті в межах, установлених законом про Державний бюджет України на відповідний рік. Зокрема, видатки на забезпечення діяльності органів державної влади, включаючи фінансування судів, передбачаються окремим рядком у структурі Державного бюджету [4]. Щорічне затвердження бюджету здійснюється Верховною Радою України у формі закону, що відповідає вимогам пункту 1 частини 2 статті 92 та частини 1 статті 96 Конституції України [2].</w:t>
      </w:r>
    </w:p>
    <w:p w14:paraId="0CED4486" w14:textId="77777777"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t>У контексті фінансування суддів надзвичайно важливо з'ясувати, чи можуть нормативи, що стосуються оснащення судів засобами інформатизації та ліцензійним програмним забезпеченням, вважатися складовою матеріально-технічного забезпечення. Це питання набуває особливого значення у світлі положень пункту 17 частини першої статті 3 Закону України «Про Вищу раду правосуддя» [5].</w:t>
      </w:r>
    </w:p>
    <w:p w14:paraId="056A878C" w14:textId="77777777"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t xml:space="preserve">Відповідно до частини першої статті 151 Закону України «Про судоустрій і статус суддів», Державна судова адміністрація України (ДСА) виступає центральним органом у системі правосуддя, на який покладено організаційне та фінансове забезпечення діяльності судової влади в межах повноважень, визначених цим законом. Зокрема, ДСА відповідає за комп’ютеризацію судів, що включає підтримку судочинства, ведення діловодства, забезпечення доступу до нормативно-правової інформації, а також функціонування Єдиної судової інформаційної (автоматизованої) системи. Крім того, адміністрація забезпечує суди технічними засобами для фіксації судових процесів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бюджетного фінансування, передбаченого для цих цілей. До її функцій також належить впровадження системи електронного судочинства, організація електронного документообігу між судами та іншими державними установами, ведення Єдиного державного реєстру судових рішень і Реєстру електронних адрес органів влади, а також підтримка зв’язку для участі сторін у судових засіданнях у форматі відеоконференції [3].</w:t>
      </w:r>
    </w:p>
    <w:p w14:paraId="62DEC88B" w14:textId="77777777"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t>Отже, фінансування судової системи України має стати не лише бюджетним, а й політичним пріоритетом, оскільки саме від його рівня залежить реальна спроможність держави гарантувати доступ до справедливого суду. Вирішення проблемних аспектів фінансового забезпечення судів потребує системного підходу, заснованого на принципах незалежності, ефективності та прозорості.</w:t>
      </w:r>
    </w:p>
    <w:p w14:paraId="17C06FAA" w14:textId="77777777" w:rsidR="00C10374" w:rsidRPr="00511005" w:rsidRDefault="00C10374" w:rsidP="003A292D">
      <w:pPr>
        <w:spacing w:line="264" w:lineRule="auto"/>
        <w:rPr>
          <w:rFonts w:ascii="Arial" w:eastAsia="Calibri" w:hAnsi="Arial" w:cs="Arial"/>
          <w:szCs w:val="28"/>
        </w:rPr>
      </w:pPr>
    </w:p>
    <w:p w14:paraId="4C888734" w14:textId="77777777" w:rsidR="00C10374" w:rsidRPr="00511005" w:rsidRDefault="00C10374" w:rsidP="003A292D">
      <w:pPr>
        <w:spacing w:line="264" w:lineRule="auto"/>
        <w:rPr>
          <w:rFonts w:ascii="Arial" w:eastAsia="Calibri" w:hAnsi="Arial" w:cs="Arial"/>
          <w:szCs w:val="28"/>
        </w:rPr>
      </w:pPr>
    </w:p>
    <w:p w14:paraId="2CB7A371" w14:textId="18BD6428" w:rsidR="00C10374" w:rsidRPr="00511005" w:rsidRDefault="00875A11" w:rsidP="007B2628">
      <w:pPr>
        <w:spacing w:line="264" w:lineRule="auto"/>
        <w:jc w:val="center"/>
        <w:rPr>
          <w:rFonts w:ascii="Arial" w:eastAsia="Calibri" w:hAnsi="Arial" w:cs="Arial"/>
          <w:b/>
          <w:szCs w:val="28"/>
        </w:rPr>
      </w:pPr>
      <w:r>
        <w:rPr>
          <w:rFonts w:ascii="Arial" w:eastAsia="Calibri" w:hAnsi="Arial" w:cs="Arial"/>
          <w:b/>
          <w:szCs w:val="28"/>
          <w:lang w:val="uk-UA"/>
        </w:rPr>
        <w:t>Список використаних джерел</w:t>
      </w:r>
    </w:p>
    <w:p w14:paraId="1C05FFD1" w14:textId="77777777" w:rsidR="00C10374" w:rsidRPr="00511005" w:rsidRDefault="00C10374" w:rsidP="003A292D">
      <w:pPr>
        <w:spacing w:line="264" w:lineRule="auto"/>
        <w:contextualSpacing/>
        <w:rPr>
          <w:rFonts w:ascii="Arial" w:eastAsia="Calibri" w:hAnsi="Arial" w:cs="Arial"/>
          <w:szCs w:val="28"/>
          <w:lang w:val="en-US"/>
        </w:rPr>
      </w:pPr>
      <w:r w:rsidRPr="00511005">
        <w:rPr>
          <w:rFonts w:ascii="Arial" w:eastAsia="Calibri" w:hAnsi="Arial" w:cs="Arial"/>
          <w:szCs w:val="28"/>
        </w:rPr>
        <w:lastRenderedPageBreak/>
        <w:t>1. Устинова І.П. Окремі питання фінансування суддів. </w:t>
      </w:r>
      <w:r w:rsidRPr="00511005">
        <w:rPr>
          <w:rFonts w:ascii="Arial" w:eastAsia="Calibri" w:hAnsi="Arial" w:cs="Arial"/>
          <w:i/>
          <w:szCs w:val="28"/>
          <w:lang w:val="en-US"/>
        </w:rPr>
        <w:t>Scientific works of National Aviation University. Series: Law Journal" Air and Space Law"</w:t>
      </w:r>
      <w:r w:rsidRPr="00511005">
        <w:rPr>
          <w:rFonts w:ascii="Arial" w:eastAsia="Calibri" w:hAnsi="Arial" w:cs="Arial"/>
          <w:szCs w:val="28"/>
          <w:lang w:val="en-US"/>
        </w:rPr>
        <w:t> 1.66: 91-96. URL: https://er.nau.edu.ua/items/655745c3-a27d-4c3c-bd46-2643311cd3a6</w:t>
      </w:r>
    </w:p>
    <w:p w14:paraId="2D33BFA1" w14:textId="77777777" w:rsidR="00C10374" w:rsidRPr="00511005" w:rsidRDefault="00C10374" w:rsidP="003A292D">
      <w:pPr>
        <w:spacing w:line="264" w:lineRule="auto"/>
        <w:contextualSpacing/>
        <w:rPr>
          <w:rFonts w:ascii="Arial" w:eastAsia="Calibri" w:hAnsi="Arial" w:cs="Arial"/>
          <w:szCs w:val="28"/>
          <w:lang w:val="pl-PL"/>
        </w:rPr>
      </w:pPr>
      <w:r w:rsidRPr="00511005">
        <w:rPr>
          <w:rFonts w:ascii="Arial" w:eastAsia="Calibri" w:hAnsi="Arial" w:cs="Arial"/>
          <w:szCs w:val="28"/>
        </w:rPr>
        <w:t xml:space="preserve">2. Конституція </w:t>
      </w:r>
      <w:proofErr w:type="gramStart"/>
      <w:r w:rsidRPr="00511005">
        <w:rPr>
          <w:rFonts w:ascii="Arial" w:eastAsia="Calibri" w:hAnsi="Arial" w:cs="Arial"/>
          <w:szCs w:val="28"/>
        </w:rPr>
        <w:t>України :</w:t>
      </w:r>
      <w:proofErr w:type="gramEnd"/>
      <w:r w:rsidRPr="00511005">
        <w:rPr>
          <w:rFonts w:ascii="Arial" w:eastAsia="Calibri" w:hAnsi="Arial" w:cs="Arial"/>
          <w:szCs w:val="28"/>
        </w:rPr>
        <w:t xml:space="preserve"> прийнята на п'ятій сесії Верховної Ради України 28 червня 1996 року. </w:t>
      </w:r>
      <w:r w:rsidRPr="00511005">
        <w:rPr>
          <w:rFonts w:ascii="Arial" w:eastAsia="Calibri" w:hAnsi="Arial" w:cs="Arial"/>
          <w:szCs w:val="28"/>
          <w:lang w:val="pl-PL"/>
        </w:rPr>
        <w:t xml:space="preserve">URL: </w:t>
      </w:r>
      <w:hyperlink r:id="rId1266" w:anchor="Text" w:history="1">
        <w:r w:rsidRPr="00511005">
          <w:rPr>
            <w:rFonts w:ascii="Arial" w:eastAsia="Calibri" w:hAnsi="Arial" w:cs="Arial"/>
            <w:szCs w:val="28"/>
            <w:lang w:val="pl-PL"/>
          </w:rPr>
          <w:t>https://zakon.rada.gov.ua/laws/show/254%D0%BA/96-%D0%B2%D1%80#Text</w:t>
        </w:r>
      </w:hyperlink>
    </w:p>
    <w:p w14:paraId="354B6100" w14:textId="77777777"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t xml:space="preserve">3. Про судоустрій і статус </w:t>
      </w:r>
      <w:proofErr w:type="gramStart"/>
      <w:r w:rsidRPr="00511005">
        <w:rPr>
          <w:rFonts w:ascii="Arial" w:eastAsia="Calibri" w:hAnsi="Arial" w:cs="Arial"/>
          <w:szCs w:val="28"/>
        </w:rPr>
        <w:t>суддів :</w:t>
      </w:r>
      <w:proofErr w:type="gramEnd"/>
      <w:r w:rsidRPr="00511005">
        <w:rPr>
          <w:rFonts w:ascii="Arial" w:eastAsia="Calibri" w:hAnsi="Arial" w:cs="Arial"/>
          <w:szCs w:val="28"/>
        </w:rPr>
        <w:t xml:space="preserve"> Закон України від 2 червня 2016 року № 1402-VIII. </w:t>
      </w:r>
      <w:r w:rsidRPr="00511005">
        <w:rPr>
          <w:rFonts w:ascii="Arial" w:eastAsia="Calibri" w:hAnsi="Arial" w:cs="Arial"/>
          <w:i/>
          <w:szCs w:val="28"/>
        </w:rPr>
        <w:t xml:space="preserve">Відомості </w:t>
      </w:r>
      <w:proofErr w:type="gramStart"/>
      <w:r w:rsidRPr="00511005">
        <w:rPr>
          <w:rFonts w:ascii="Arial" w:eastAsia="Calibri" w:hAnsi="Arial" w:cs="Arial"/>
          <w:i/>
          <w:szCs w:val="28"/>
        </w:rPr>
        <w:t>Верховної</w:t>
      </w:r>
      <w:proofErr w:type="gramEnd"/>
      <w:r w:rsidRPr="00511005">
        <w:rPr>
          <w:rFonts w:ascii="Arial" w:eastAsia="Calibri" w:hAnsi="Arial" w:cs="Arial"/>
          <w:i/>
          <w:szCs w:val="28"/>
        </w:rPr>
        <w:t xml:space="preserve"> Ради України</w:t>
      </w:r>
      <w:r w:rsidRPr="00511005">
        <w:rPr>
          <w:rFonts w:ascii="Arial" w:eastAsia="Calibri" w:hAnsi="Arial" w:cs="Arial"/>
          <w:szCs w:val="28"/>
        </w:rPr>
        <w:t xml:space="preserve">. 2016. № 31. Ст. 545. </w:t>
      </w:r>
      <w:r w:rsidRPr="00511005">
        <w:rPr>
          <w:rFonts w:ascii="Arial" w:eastAsia="Calibri" w:hAnsi="Arial" w:cs="Arial"/>
          <w:szCs w:val="28"/>
          <w:lang w:val="en-GB"/>
        </w:rPr>
        <w:t>URL</w:t>
      </w:r>
      <w:r w:rsidRPr="00511005">
        <w:rPr>
          <w:rFonts w:ascii="Arial" w:eastAsia="Calibri" w:hAnsi="Arial" w:cs="Arial"/>
          <w:szCs w:val="28"/>
        </w:rPr>
        <w:t xml:space="preserve">: </w:t>
      </w:r>
      <w:hyperlink r:id="rId1267" w:history="1">
        <w:r w:rsidRPr="00511005">
          <w:rPr>
            <w:rFonts w:ascii="Arial" w:eastAsia="Calibri" w:hAnsi="Arial" w:cs="Arial"/>
            <w:szCs w:val="28"/>
            <w:lang w:val="en-GB"/>
          </w:rPr>
          <w:t>https</w:t>
        </w:r>
        <w:r w:rsidRPr="00511005">
          <w:rPr>
            <w:rFonts w:ascii="Arial" w:eastAsia="Calibri" w:hAnsi="Arial" w:cs="Arial"/>
            <w:szCs w:val="28"/>
          </w:rPr>
          <w:t>://</w:t>
        </w:r>
        <w:r w:rsidRPr="00511005">
          <w:rPr>
            <w:rFonts w:ascii="Arial" w:eastAsia="Calibri" w:hAnsi="Arial" w:cs="Arial"/>
            <w:szCs w:val="28"/>
            <w:lang w:val="en-GB"/>
          </w:rPr>
          <w:t>zakon</w:t>
        </w:r>
        <w:r w:rsidRPr="00511005">
          <w:rPr>
            <w:rFonts w:ascii="Arial" w:eastAsia="Calibri" w:hAnsi="Arial" w:cs="Arial"/>
            <w:szCs w:val="28"/>
          </w:rPr>
          <w:t>.</w:t>
        </w:r>
        <w:r w:rsidRPr="00511005">
          <w:rPr>
            <w:rFonts w:ascii="Arial" w:eastAsia="Calibri" w:hAnsi="Arial" w:cs="Arial"/>
            <w:szCs w:val="28"/>
            <w:lang w:val="en-GB"/>
          </w:rPr>
          <w:t>rada</w:t>
        </w:r>
        <w:r w:rsidRPr="00511005">
          <w:rPr>
            <w:rFonts w:ascii="Arial" w:eastAsia="Calibri" w:hAnsi="Arial" w:cs="Arial"/>
            <w:szCs w:val="28"/>
          </w:rPr>
          <w:t>.</w:t>
        </w:r>
        <w:r w:rsidRPr="00511005">
          <w:rPr>
            <w:rFonts w:ascii="Arial" w:eastAsia="Calibri" w:hAnsi="Arial" w:cs="Arial"/>
            <w:szCs w:val="28"/>
            <w:lang w:val="en-GB"/>
          </w:rPr>
          <w:t>gov</w:t>
        </w:r>
        <w:r w:rsidRPr="00511005">
          <w:rPr>
            <w:rFonts w:ascii="Arial" w:eastAsia="Calibri" w:hAnsi="Arial" w:cs="Arial"/>
            <w:szCs w:val="28"/>
          </w:rPr>
          <w:t>.</w:t>
        </w:r>
        <w:r w:rsidRPr="00511005">
          <w:rPr>
            <w:rFonts w:ascii="Arial" w:eastAsia="Calibri" w:hAnsi="Arial" w:cs="Arial"/>
            <w:szCs w:val="28"/>
            <w:lang w:val="en-GB"/>
          </w:rPr>
          <w:t>ua</w:t>
        </w:r>
        <w:r w:rsidRPr="00511005">
          <w:rPr>
            <w:rFonts w:ascii="Arial" w:eastAsia="Calibri" w:hAnsi="Arial" w:cs="Arial"/>
            <w:szCs w:val="28"/>
          </w:rPr>
          <w:t>/</w:t>
        </w:r>
        <w:r w:rsidRPr="00511005">
          <w:rPr>
            <w:rFonts w:ascii="Arial" w:eastAsia="Calibri" w:hAnsi="Arial" w:cs="Arial"/>
            <w:szCs w:val="28"/>
            <w:lang w:val="en-GB"/>
          </w:rPr>
          <w:t>laws</w:t>
        </w:r>
        <w:r w:rsidRPr="00511005">
          <w:rPr>
            <w:rFonts w:ascii="Arial" w:eastAsia="Calibri" w:hAnsi="Arial" w:cs="Arial"/>
            <w:szCs w:val="28"/>
          </w:rPr>
          <w:t>/</w:t>
        </w:r>
        <w:r w:rsidRPr="00511005">
          <w:rPr>
            <w:rFonts w:ascii="Arial" w:eastAsia="Calibri" w:hAnsi="Arial" w:cs="Arial"/>
            <w:szCs w:val="28"/>
            <w:lang w:val="en-GB"/>
          </w:rPr>
          <w:t>show</w:t>
        </w:r>
        <w:r w:rsidRPr="00511005">
          <w:rPr>
            <w:rFonts w:ascii="Arial" w:eastAsia="Calibri" w:hAnsi="Arial" w:cs="Arial"/>
            <w:szCs w:val="28"/>
          </w:rPr>
          <w:t>/1402-19</w:t>
        </w:r>
      </w:hyperlink>
    </w:p>
    <w:p w14:paraId="27D50ADA" w14:textId="51DB3FCA" w:rsidR="00C10374" w:rsidRPr="00511005" w:rsidRDefault="00C10374" w:rsidP="003A292D">
      <w:pPr>
        <w:spacing w:line="264" w:lineRule="auto"/>
        <w:contextualSpacing/>
        <w:rPr>
          <w:rFonts w:ascii="Arial" w:eastAsia="Calibri" w:hAnsi="Arial" w:cs="Arial"/>
          <w:szCs w:val="28"/>
        </w:rPr>
      </w:pPr>
      <w:r w:rsidRPr="00511005">
        <w:rPr>
          <w:rFonts w:ascii="Arial" w:eastAsia="Calibri" w:hAnsi="Arial" w:cs="Arial"/>
          <w:szCs w:val="28"/>
        </w:rPr>
        <w:t>4. Про джерела фінансування органів державної влади: Закон України від 30 чер. 1999 р. № 783-XIV. URL:</w:t>
      </w:r>
      <w:r w:rsidR="007B2628" w:rsidRPr="00511005">
        <w:rPr>
          <w:rFonts w:ascii="Arial" w:eastAsia="Calibri" w:hAnsi="Arial" w:cs="Arial"/>
          <w:szCs w:val="28"/>
        </w:rPr>
        <w:t xml:space="preserve"> </w:t>
      </w:r>
      <w:hyperlink r:id="rId1268" w:anchor="Text" w:history="1">
        <w:r w:rsidRPr="00511005">
          <w:rPr>
            <w:rFonts w:ascii="Arial" w:eastAsia="Calibri" w:hAnsi="Arial" w:cs="Arial"/>
            <w:szCs w:val="28"/>
          </w:rPr>
          <w:t>https://zakon.rada.gov.ua/laws/show/783-14#Text</w:t>
        </w:r>
      </w:hyperlink>
    </w:p>
    <w:p w14:paraId="5524A613" w14:textId="77777777" w:rsidR="007B2628" w:rsidRPr="00511005" w:rsidRDefault="00C10374" w:rsidP="003A292D">
      <w:pPr>
        <w:spacing w:line="264" w:lineRule="auto"/>
        <w:contextualSpacing/>
        <w:rPr>
          <w:rFonts w:ascii="Arial" w:eastAsia="Calibri" w:hAnsi="Arial" w:cs="Arial"/>
          <w:szCs w:val="28"/>
          <w:lang w:val="pl-PL"/>
        </w:rPr>
      </w:pPr>
      <w:r w:rsidRPr="00511005">
        <w:rPr>
          <w:rFonts w:ascii="Arial" w:eastAsia="Calibri" w:hAnsi="Arial" w:cs="Arial"/>
          <w:szCs w:val="28"/>
          <w:lang w:val="uk-UA"/>
        </w:rPr>
        <w:t>5.</w:t>
      </w:r>
      <w:r w:rsidRPr="00511005">
        <w:rPr>
          <w:rFonts w:ascii="Arial" w:eastAsia="Calibri" w:hAnsi="Arial" w:cs="Arial"/>
          <w:szCs w:val="28"/>
        </w:rPr>
        <w:t xml:space="preserve"> Про Вищу раду правосуддя: Закон України від 21 груд. </w:t>
      </w:r>
      <w:r w:rsidRPr="00511005">
        <w:rPr>
          <w:rFonts w:ascii="Arial" w:eastAsia="Calibri" w:hAnsi="Arial" w:cs="Arial"/>
          <w:szCs w:val="28"/>
          <w:lang w:val="pl-PL"/>
        </w:rPr>
        <w:t xml:space="preserve">2016 </w:t>
      </w:r>
      <w:r w:rsidRPr="00511005">
        <w:rPr>
          <w:rFonts w:ascii="Arial" w:eastAsia="Calibri" w:hAnsi="Arial" w:cs="Arial"/>
          <w:szCs w:val="28"/>
        </w:rPr>
        <w:t>р</w:t>
      </w:r>
      <w:r w:rsidRPr="00511005">
        <w:rPr>
          <w:rFonts w:ascii="Arial" w:eastAsia="Calibri" w:hAnsi="Arial" w:cs="Arial"/>
          <w:szCs w:val="28"/>
          <w:lang w:val="pl-PL"/>
        </w:rPr>
        <w:t xml:space="preserve">. № 1798-VIII. URL: </w:t>
      </w:r>
      <w:hyperlink r:id="rId1269" w:anchor="Text" w:history="1">
        <w:r w:rsidRPr="00511005">
          <w:rPr>
            <w:rFonts w:ascii="Arial" w:eastAsia="Calibri" w:hAnsi="Arial" w:cs="Arial"/>
            <w:szCs w:val="28"/>
            <w:lang w:val="pl-PL"/>
          </w:rPr>
          <w:t>https://zakon.rada.gov.ua/laws/show/1798-19#Text</w:t>
        </w:r>
      </w:hyperlink>
    </w:p>
    <w:p w14:paraId="07A89EAC" w14:textId="77777777" w:rsidR="007B2628" w:rsidRPr="00511005" w:rsidRDefault="007B2628" w:rsidP="003A292D">
      <w:pPr>
        <w:spacing w:line="264" w:lineRule="auto"/>
        <w:contextualSpacing/>
        <w:rPr>
          <w:rFonts w:ascii="Arial" w:eastAsia="Calibri" w:hAnsi="Arial" w:cs="Arial"/>
          <w:b/>
          <w:bCs/>
          <w:szCs w:val="28"/>
          <w:lang w:val="pl-PL"/>
        </w:rPr>
      </w:pPr>
    </w:p>
    <w:p w14:paraId="102BB20B" w14:textId="579CB30E" w:rsidR="007B2628" w:rsidRPr="00511005" w:rsidRDefault="007B2628" w:rsidP="003A292D">
      <w:pPr>
        <w:spacing w:line="264" w:lineRule="auto"/>
        <w:contextualSpacing/>
        <w:rPr>
          <w:rFonts w:ascii="Arial" w:eastAsia="Calibri" w:hAnsi="Arial" w:cs="Arial"/>
          <w:szCs w:val="28"/>
          <w:lang w:val="pl-PL"/>
        </w:rPr>
      </w:pPr>
      <w:r w:rsidRPr="00511005">
        <w:rPr>
          <w:rFonts w:ascii="Arial" w:eastAsia="Calibri" w:hAnsi="Arial" w:cs="Arial"/>
          <w:b/>
          <w:bCs/>
          <w:i/>
          <w:szCs w:val="28"/>
        </w:rPr>
        <w:t>Ключові</w:t>
      </w:r>
      <w:r w:rsidRPr="00055389">
        <w:rPr>
          <w:rFonts w:ascii="Arial" w:eastAsia="Calibri" w:hAnsi="Arial" w:cs="Arial"/>
          <w:b/>
          <w:bCs/>
          <w:i/>
          <w:szCs w:val="28"/>
          <w:lang w:val="pl-PL"/>
        </w:rPr>
        <w:t xml:space="preserve"> </w:t>
      </w:r>
      <w:r w:rsidRPr="00511005">
        <w:rPr>
          <w:rFonts w:ascii="Arial" w:eastAsia="Calibri" w:hAnsi="Arial" w:cs="Arial"/>
          <w:b/>
          <w:bCs/>
          <w:i/>
          <w:szCs w:val="28"/>
        </w:rPr>
        <w:t>слова</w:t>
      </w:r>
      <w:r w:rsidRPr="00055389">
        <w:rPr>
          <w:rFonts w:ascii="Arial" w:eastAsia="Calibri" w:hAnsi="Arial" w:cs="Arial"/>
          <w:b/>
          <w:bCs/>
          <w:i/>
          <w:szCs w:val="28"/>
          <w:lang w:val="pl-PL"/>
        </w:rPr>
        <w:t xml:space="preserve">: </w:t>
      </w:r>
      <w:r w:rsidR="00C10374" w:rsidRPr="00511005">
        <w:rPr>
          <w:rFonts w:ascii="Arial" w:eastAsia="Calibri" w:hAnsi="Arial" w:cs="Arial"/>
          <w:szCs w:val="28"/>
        </w:rPr>
        <w:t>незалежність</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судової</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влади</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фінансове</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забезпечення</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судів</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матеріально</w:t>
      </w:r>
      <w:r w:rsidR="00C10374" w:rsidRPr="00511005">
        <w:rPr>
          <w:rFonts w:ascii="Arial" w:eastAsia="Calibri" w:hAnsi="Arial" w:cs="Arial"/>
          <w:szCs w:val="28"/>
          <w:lang w:val="pl-PL"/>
        </w:rPr>
        <w:t>-</w:t>
      </w:r>
      <w:r w:rsidR="00C10374" w:rsidRPr="00511005">
        <w:rPr>
          <w:rFonts w:ascii="Arial" w:eastAsia="Calibri" w:hAnsi="Arial" w:cs="Arial"/>
          <w:szCs w:val="28"/>
        </w:rPr>
        <w:t>технічна</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база</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доступ</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до</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правосуддя</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Конституція</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України</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Державний</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бюджет</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Державна</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судова</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адміністрація</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електронне</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судочинство</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Вища</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рада</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правосуддя</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Реєстр</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судових</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рішень</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недофінансування</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Верховна</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Рада</w:t>
      </w:r>
      <w:r w:rsidR="00C10374" w:rsidRPr="00511005">
        <w:rPr>
          <w:rFonts w:ascii="Arial" w:eastAsia="Calibri" w:hAnsi="Arial" w:cs="Arial"/>
          <w:szCs w:val="28"/>
          <w:lang w:val="pl-PL"/>
        </w:rPr>
        <w:t xml:space="preserve"> </w:t>
      </w:r>
      <w:r w:rsidR="00C10374" w:rsidRPr="00511005">
        <w:rPr>
          <w:rFonts w:ascii="Arial" w:eastAsia="Calibri" w:hAnsi="Arial" w:cs="Arial"/>
          <w:szCs w:val="28"/>
        </w:rPr>
        <w:t>України</w:t>
      </w:r>
      <w:r w:rsidR="00C10374" w:rsidRPr="00511005">
        <w:rPr>
          <w:rFonts w:ascii="Arial" w:eastAsia="Calibri" w:hAnsi="Arial" w:cs="Arial"/>
          <w:szCs w:val="28"/>
          <w:lang w:val="pl-PL"/>
        </w:rPr>
        <w:t>.</w:t>
      </w:r>
    </w:p>
    <w:p w14:paraId="53388B25" w14:textId="28F4F708" w:rsidR="007B2628" w:rsidRPr="00511005" w:rsidRDefault="007B2628" w:rsidP="003A292D">
      <w:pPr>
        <w:spacing w:line="264" w:lineRule="auto"/>
        <w:contextualSpacing/>
        <w:rPr>
          <w:rFonts w:ascii="Arial" w:eastAsia="Calibri" w:hAnsi="Arial" w:cs="Arial"/>
          <w:szCs w:val="28"/>
          <w:lang w:val="en-US"/>
        </w:rPr>
      </w:pPr>
      <w:r w:rsidRPr="00511005">
        <w:rPr>
          <w:rFonts w:ascii="Arial" w:eastAsia="Calibri" w:hAnsi="Arial" w:cs="Arial"/>
          <w:b/>
          <w:bCs/>
          <w:i/>
          <w:szCs w:val="28"/>
          <w:lang w:val="en-US"/>
        </w:rPr>
        <w:t xml:space="preserve">Key words: </w:t>
      </w:r>
      <w:r w:rsidR="00C10374" w:rsidRPr="00511005">
        <w:rPr>
          <w:rFonts w:ascii="Arial" w:eastAsia="Calibri" w:hAnsi="Arial" w:cs="Arial"/>
          <w:szCs w:val="28"/>
          <w:lang w:val="en-US"/>
        </w:rPr>
        <w:t>independence of the judiciary, financial support of courts, material and technical base, access to justice, Constitution of Ukraine, State Budget, State Judicial Administration, electronic justice, High Council of Justice, Register of Court Decisions, underfunding, Verkhovna Rada of Ukraine.</w:t>
      </w:r>
    </w:p>
    <w:p w14:paraId="17A02D18" w14:textId="01DBC7FC" w:rsidR="00C10374" w:rsidRPr="00511005" w:rsidRDefault="007B2628" w:rsidP="003A292D">
      <w:pPr>
        <w:spacing w:line="264" w:lineRule="auto"/>
        <w:contextualSpacing/>
        <w:rPr>
          <w:rFonts w:ascii="Arial" w:eastAsia="Calibri" w:hAnsi="Arial" w:cs="Arial"/>
          <w:i/>
          <w:szCs w:val="28"/>
        </w:rPr>
      </w:pPr>
      <w:r w:rsidRPr="00511005">
        <w:rPr>
          <w:rFonts w:ascii="Arial" w:eastAsia="Calibri" w:hAnsi="Arial" w:cs="Arial"/>
          <w:b/>
          <w:i/>
          <w:szCs w:val="28"/>
        </w:rPr>
        <w:t xml:space="preserve">Науковий керівник: </w:t>
      </w:r>
      <w:r w:rsidR="00C10374" w:rsidRPr="00511005">
        <w:rPr>
          <w:rFonts w:ascii="Arial" w:eastAsia="Calibri" w:hAnsi="Arial" w:cs="Arial"/>
          <w:i/>
          <w:szCs w:val="28"/>
        </w:rPr>
        <w:t>старший викладач Нестерчук Л.П.</w:t>
      </w:r>
    </w:p>
    <w:p w14:paraId="76EEBA65" w14:textId="77777777" w:rsidR="00C10374" w:rsidRPr="00511005" w:rsidRDefault="00C10374" w:rsidP="003A292D">
      <w:pPr>
        <w:spacing w:line="264" w:lineRule="auto"/>
        <w:contextualSpacing/>
        <w:rPr>
          <w:rFonts w:ascii="Arial" w:eastAsia="Calibri" w:hAnsi="Arial" w:cs="Arial"/>
          <w:i/>
          <w:szCs w:val="28"/>
        </w:rPr>
      </w:pPr>
    </w:p>
    <w:p w14:paraId="3F7B0ED5" w14:textId="77777777" w:rsidR="00C10374" w:rsidRPr="00511005" w:rsidRDefault="00C10374" w:rsidP="003A292D">
      <w:pPr>
        <w:widowControl w:val="0"/>
        <w:spacing w:line="264" w:lineRule="auto"/>
        <w:ind w:firstLine="0"/>
        <w:rPr>
          <w:rFonts w:ascii="Arial" w:eastAsia="Calibri" w:hAnsi="Arial" w:cs="Arial"/>
          <w:szCs w:val="28"/>
          <w:lang w:val="uk-UA"/>
        </w:rPr>
      </w:pPr>
    </w:p>
    <w:p w14:paraId="6EF4C9D5" w14:textId="77777777" w:rsidR="00C10374" w:rsidRPr="00511005" w:rsidRDefault="00C10374" w:rsidP="003A292D">
      <w:pPr>
        <w:spacing w:line="264" w:lineRule="auto"/>
        <w:jc w:val="center"/>
        <w:rPr>
          <w:rFonts w:ascii="Arial" w:eastAsia="Calibri" w:hAnsi="Arial" w:cs="Arial"/>
          <w:b/>
          <w:bCs/>
          <w:i/>
          <w:szCs w:val="28"/>
        </w:rPr>
      </w:pPr>
      <w:r w:rsidRPr="00511005">
        <w:rPr>
          <w:rFonts w:ascii="Arial" w:eastAsia="Calibri" w:hAnsi="Arial" w:cs="Arial"/>
          <w:b/>
          <w:bCs/>
          <w:i/>
          <w:szCs w:val="28"/>
        </w:rPr>
        <w:t>Чечельницький Богдан Петрович</w:t>
      </w:r>
    </w:p>
    <w:p w14:paraId="3FEFE305" w14:textId="67BEC451" w:rsidR="00C10374" w:rsidRPr="00511005" w:rsidRDefault="00BE3972" w:rsidP="003A292D">
      <w:pPr>
        <w:spacing w:line="264" w:lineRule="auto"/>
        <w:jc w:val="center"/>
        <w:rPr>
          <w:rFonts w:ascii="Arial" w:eastAsia="Calibri" w:hAnsi="Arial" w:cs="Arial"/>
          <w:szCs w:val="28"/>
        </w:rPr>
      </w:pPr>
      <w:r w:rsidRPr="00511005">
        <w:rPr>
          <w:rFonts w:ascii="Arial" w:eastAsia="Calibri" w:hAnsi="Arial" w:cs="Arial"/>
          <w:szCs w:val="28"/>
        </w:rPr>
        <w:t xml:space="preserve">студент 1-го курсу </w:t>
      </w:r>
      <w:r w:rsidR="001B7B25" w:rsidRPr="00511005">
        <w:rPr>
          <w:rFonts w:ascii="Arial" w:eastAsia="Calibri" w:hAnsi="Arial" w:cs="Arial"/>
          <w:szCs w:val="28"/>
        </w:rPr>
        <w:t>факультету судового та міжнародного права</w:t>
      </w:r>
    </w:p>
    <w:p w14:paraId="70E50D5B" w14:textId="3CA73B32" w:rsidR="00C10374" w:rsidRPr="00511005" w:rsidRDefault="007B2628" w:rsidP="003A292D">
      <w:pPr>
        <w:spacing w:line="264" w:lineRule="auto"/>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1E3E5465" w14:textId="77777777" w:rsidR="00C10374" w:rsidRPr="00511005" w:rsidRDefault="00C10374" w:rsidP="003A292D">
      <w:pPr>
        <w:spacing w:line="264" w:lineRule="auto"/>
        <w:rPr>
          <w:rFonts w:ascii="Arial" w:eastAsia="Calibri" w:hAnsi="Arial" w:cs="Arial"/>
          <w:szCs w:val="28"/>
        </w:rPr>
      </w:pPr>
    </w:p>
    <w:p w14:paraId="583875BD" w14:textId="77777777" w:rsidR="00C10374" w:rsidRPr="00511005" w:rsidRDefault="00C10374" w:rsidP="003A292D">
      <w:pPr>
        <w:spacing w:line="264" w:lineRule="auto"/>
        <w:jc w:val="center"/>
        <w:rPr>
          <w:rFonts w:ascii="Arial" w:eastAsia="Calibri" w:hAnsi="Arial" w:cs="Arial"/>
          <w:b/>
          <w:bCs/>
          <w:szCs w:val="28"/>
        </w:rPr>
      </w:pPr>
      <w:r w:rsidRPr="00511005">
        <w:rPr>
          <w:rFonts w:ascii="Arial" w:eastAsia="Calibri" w:hAnsi="Arial" w:cs="Arial"/>
          <w:b/>
          <w:bCs/>
          <w:szCs w:val="28"/>
        </w:rPr>
        <w:t>ПРОБЛЕМАТИКА ОРГАНІЗЦІЙНОГО ЗАБЕЗПЕЧЕННЯ СУДОВОЇ ГІЛКИ ВЛАДИ</w:t>
      </w:r>
    </w:p>
    <w:p w14:paraId="0909C5B4" w14:textId="77777777" w:rsidR="00C10374" w:rsidRPr="00511005" w:rsidRDefault="00C10374" w:rsidP="003A292D">
      <w:pPr>
        <w:spacing w:line="264" w:lineRule="auto"/>
        <w:jc w:val="center"/>
        <w:rPr>
          <w:rFonts w:ascii="Arial" w:eastAsia="Calibri" w:hAnsi="Arial" w:cs="Arial"/>
          <w:b/>
          <w:bCs/>
          <w:szCs w:val="28"/>
        </w:rPr>
      </w:pPr>
    </w:p>
    <w:p w14:paraId="56F24F66"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Сучасні проблеми організаційного забезпечення судів, спричинені низкою законодавчих, економічних, соціальних та політичних процесів. Головною проблемою організаційного забезпечення судової гілки влади, станом на сьогодення, це повномасштабне вторгнення Російської Федерації на територію України, що спричинило величезні труднощі для всієї держави, в тому числі чисельні навантаження і на суди. Через анексію територій </w:t>
      </w:r>
      <w:r w:rsidRPr="00511005">
        <w:rPr>
          <w:rFonts w:ascii="Arial" w:eastAsia="Calibri" w:hAnsi="Arial" w:cs="Arial"/>
          <w:szCs w:val="28"/>
        </w:rPr>
        <w:lastRenderedPageBreak/>
        <w:t xml:space="preserve">України певні суди що перебували на захоплених територіях були зруйновані, або припинили свою діяльність та були вимушені переміститись. </w:t>
      </w:r>
    </w:p>
    <w:p w14:paraId="28DCE10F"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Суди що знаходяться на прифронтових ділянках території України, вимушені працювати в штатному режимі, що підвищує ризики під час здійснення судового процесу, дана проблема сповільнює судочинство, а також гальмівним фактором є </w:t>
      </w:r>
      <w:proofErr w:type="gramStart"/>
      <w:r w:rsidRPr="00511005">
        <w:rPr>
          <w:rFonts w:ascii="Arial" w:eastAsia="Calibri" w:hAnsi="Arial" w:cs="Arial"/>
          <w:szCs w:val="28"/>
        </w:rPr>
        <w:t>не достача</w:t>
      </w:r>
      <w:proofErr w:type="gramEnd"/>
      <w:r w:rsidRPr="00511005">
        <w:rPr>
          <w:rFonts w:ascii="Arial" w:eastAsia="Calibri" w:hAnsi="Arial" w:cs="Arial"/>
          <w:szCs w:val="28"/>
        </w:rPr>
        <w:t xml:space="preserve"> персоналу суду, а саме суддів, слідчих, секретарів, працівників канцелярії та інших членів апарату суду. Проблема недостатнього кадрового забезпечення суду лише посилилась, за останні десять років кількість суддів скоротилось майже в двічі, а кількість судових справ досягає чотирьох мільйонів на рік, в зв’язку зі зменшенням кількості суддів, навантаження на одного суддю зростає і це впливає не лише на якість розглядання справи, але й строках необхідних для розгляду справи. Не достатнє кадрове забезпечення судів в умовах воєнного стану, </w:t>
      </w:r>
      <w:proofErr w:type="gramStart"/>
      <w:r w:rsidRPr="00511005">
        <w:rPr>
          <w:rFonts w:ascii="Arial" w:eastAsia="Calibri" w:hAnsi="Arial" w:cs="Arial"/>
          <w:szCs w:val="28"/>
        </w:rPr>
        <w:t>через велику</w:t>
      </w:r>
      <w:proofErr w:type="gramEnd"/>
      <w:r w:rsidRPr="00511005">
        <w:rPr>
          <w:rFonts w:ascii="Arial" w:eastAsia="Calibri" w:hAnsi="Arial" w:cs="Arial"/>
          <w:szCs w:val="28"/>
        </w:rPr>
        <w:t xml:space="preserve"> кількість справ які припадають на одного суддю, виникає проблема що до покарання осіб за вчинення злочинів, фактично вони залишаються безкарними на протязі великого часу [1].</w:t>
      </w:r>
    </w:p>
    <w:p w14:paraId="3CB2D098"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Одним з інноваційних рішень розгляду судових справ в Україні, є розгляд справ в режимі онлайн, а саме відео-конференції ці положення прописані в статті 11 пункті 4 Закону України «Про судоустрій та статус суддів». Проте з ініціативою такого рішення постає проблема з забезпеченням електроенергії всіх осіб судового процесу, але такі методи розгляду судових справ можуть бути здійснені лише за згодою з судом, та саме суд бере на себе обов’язок забезпечити відеоконференцію. [2]</w:t>
      </w:r>
    </w:p>
    <w:p w14:paraId="32F93062"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Як зазначає І. Знась, згідно зі статтею 148 Конституції України, до складу Конституційного Суду України входять 18 суддів, проте станом на квітень 2025 року, в складі цього суду є лише 11 суддів, чого не достатньо для нормального функціонування суду, в статті 10 Закону України «Про Конституційний Суд України» зазначено що суд має право здійснювати конституційні провадження за умови, якщо в складі суду є що найменше 12 суддів Конституційного суду. Фактично в зв’язку з недостатнім кадровим забезпеченням, Конституційний суд не може здійснювати свої повноваження [3].</w:t>
      </w:r>
    </w:p>
    <w:p w14:paraId="1CC1FF4A"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Однією з причин які призвели до кадрової недостачі в сфері судової влади, стало реформування 7 листопада 2019 року, Вища кваліфікаційна комісія суддів України (далі - ВККС) припинила свої повноваження. Це сталося у зв'язку з прийняттям Верховною Радою України Закону від 16 жовтня 2019 року № 193-ІХ «Про внесення змін до Закону України "Про судоустрій і статус суддів" та деяких законів України щодо діяльності органів суддівського врядування». Основоположними ідеями прийняття такого рішення, стало бажання забезпечити незалежність суддів, поліпшити кваліфікаційний відбір, та підняти рівень довіри населення України до судової влади. Головною причиною прийняття такого рішення, стало провал </w:t>
      </w:r>
      <w:r w:rsidRPr="00511005">
        <w:rPr>
          <w:rFonts w:ascii="Arial" w:eastAsia="Calibri" w:hAnsi="Arial" w:cs="Arial"/>
          <w:szCs w:val="28"/>
        </w:rPr>
        <w:lastRenderedPageBreak/>
        <w:t xml:space="preserve">відбору попереднім складом ВККС, з майже трьох тисяч суддів не змогли пройти конкурсний відбір лише 15, а також провал оцінювання суддів Верховного Суду, ці події зазначають не якісну роботу ВККС та причини для розформування. Проте 13 листопада 2023 року роботу ВККС було відновлено в новому складі [4]. </w:t>
      </w:r>
    </w:p>
    <w:p w14:paraId="596B6BA2" w14:textId="1A6DD58D"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Якщо розглянути проблему діджиталізації в Україні, то вона не є яскраво вираженою, тому що вона тримається на досить високому рівні, але в порівнянні з діджиталізацією Німеччини, Англії та інших світових лідерів в Україні рівень діджиталізації нижчий, та має свої вади. В</w:t>
      </w:r>
      <w:r w:rsidR="007B2628" w:rsidRPr="00511005">
        <w:rPr>
          <w:rFonts w:ascii="Arial" w:eastAsia="Calibri" w:hAnsi="Arial" w:cs="Arial"/>
          <w:szCs w:val="28"/>
        </w:rPr>
        <w:t xml:space="preserve"> </w:t>
      </w:r>
      <w:r w:rsidRPr="00511005">
        <w:rPr>
          <w:rFonts w:ascii="Arial" w:eastAsia="Calibri" w:hAnsi="Arial" w:cs="Arial"/>
          <w:szCs w:val="28"/>
        </w:rPr>
        <w:t>плані процесуального законодавства, яке надає широкі</w:t>
      </w:r>
      <w:r w:rsidR="007B2628" w:rsidRPr="00511005">
        <w:rPr>
          <w:rFonts w:ascii="Arial" w:eastAsia="Calibri" w:hAnsi="Arial" w:cs="Arial"/>
          <w:szCs w:val="28"/>
        </w:rPr>
        <w:t xml:space="preserve"> </w:t>
      </w:r>
      <w:r w:rsidRPr="00511005">
        <w:rPr>
          <w:rFonts w:ascii="Arial" w:eastAsia="Calibri" w:hAnsi="Arial" w:cs="Arial"/>
          <w:szCs w:val="28"/>
        </w:rPr>
        <w:t>можливості використовувати цифрові технології під час судового процесу, а саме процесуальні зміни 2017 року, врегулювали можливість застосовувати електронні докази в цивільних, адміністративних та господарських справах, що робить українське процесуальне законодавство в контексті врегулювання використання цифрових технологій під час здійснення правосуддя, одним із найпрогресивніших серед країн-членів Європейського Союзу (далі – ЄС).</w:t>
      </w:r>
    </w:p>
    <w:p w14:paraId="090D1712" w14:textId="77777777" w:rsidR="00C10374" w:rsidRPr="00511005" w:rsidRDefault="00C10374" w:rsidP="003A292D">
      <w:pPr>
        <w:spacing w:line="264" w:lineRule="auto"/>
        <w:rPr>
          <w:rFonts w:ascii="Arial" w:eastAsia="Calibri" w:hAnsi="Arial" w:cs="Arial"/>
          <w:szCs w:val="28"/>
          <w:lang w:val="en-GB"/>
        </w:rPr>
      </w:pPr>
      <w:r w:rsidRPr="00511005">
        <w:rPr>
          <w:rFonts w:ascii="Arial" w:eastAsia="Calibri" w:hAnsi="Arial" w:cs="Arial"/>
          <w:szCs w:val="28"/>
        </w:rPr>
        <w:t xml:space="preserve">Проте основними проблемами в діджиталізації судів України є якість серверів на яких знаходиться програмне забезпечення суду, що сповільнює швидкість видачі інформації на електронні пристрої, в умовах постійного навантаження на судову гілку влади цей процес уповільнюється ще більше. Великою проблемою є поганий захист серверів, на яких зберігається інформація. Проблемою поганого захисту може бути втрата даних, або витік конфіденційної інформації. Окрім поганої захищеності серверів є погана захищеність програмного забезпечення яке використовують під час безпосереднього здійснення судочинства, </w:t>
      </w:r>
      <w:r w:rsidRPr="00511005">
        <w:rPr>
          <w:rFonts w:ascii="Arial" w:eastAsia="Calibri" w:hAnsi="Arial" w:cs="Arial"/>
          <w:szCs w:val="28"/>
          <w:lang w:val="en-GB"/>
        </w:rPr>
        <w:t>Trueconf</w:t>
      </w:r>
      <w:r w:rsidRPr="00511005">
        <w:rPr>
          <w:rFonts w:ascii="Arial" w:eastAsia="Calibri" w:hAnsi="Arial" w:cs="Arial"/>
          <w:szCs w:val="28"/>
        </w:rPr>
        <w:t xml:space="preserve"> програма яка використовується в судах України для відеоконференцій, є Російським програмним забезпеченням що ставить під сумнів конфіденційність судових процесів, а такі програми як EasyCon, Skype, Zoom не проходили процедуру державної сертифікації [5. Ст 43-54</w:t>
      </w:r>
      <w:r w:rsidRPr="00511005">
        <w:rPr>
          <w:rFonts w:ascii="Arial" w:eastAsia="Calibri" w:hAnsi="Arial" w:cs="Arial"/>
          <w:szCs w:val="28"/>
          <w:lang w:val="en-GB"/>
        </w:rPr>
        <w:t>]</w:t>
      </w:r>
    </w:p>
    <w:p w14:paraId="563AD29F" w14:textId="77777777" w:rsidR="00C10374" w:rsidRPr="00511005" w:rsidRDefault="00C10374" w:rsidP="003A292D">
      <w:pPr>
        <w:spacing w:line="264" w:lineRule="auto"/>
        <w:rPr>
          <w:rFonts w:ascii="Arial" w:eastAsia="Calibri" w:hAnsi="Arial" w:cs="Arial"/>
          <w:szCs w:val="28"/>
        </w:rPr>
      </w:pPr>
    </w:p>
    <w:p w14:paraId="29AF09BC" w14:textId="107D165F" w:rsidR="00C10374" w:rsidRPr="00511005" w:rsidRDefault="007B2628" w:rsidP="007B2628">
      <w:pPr>
        <w:spacing w:line="264" w:lineRule="auto"/>
        <w:jc w:val="center"/>
        <w:rPr>
          <w:rFonts w:ascii="Arial" w:eastAsia="Calibri" w:hAnsi="Arial" w:cs="Arial"/>
          <w:b/>
          <w:szCs w:val="28"/>
        </w:rPr>
      </w:pPr>
      <w:r w:rsidRPr="00511005">
        <w:rPr>
          <w:rFonts w:ascii="Arial" w:eastAsia="Calibri" w:hAnsi="Arial" w:cs="Arial"/>
          <w:b/>
          <w:szCs w:val="28"/>
          <w:lang w:val="uk-UA"/>
        </w:rPr>
        <w:t>Список використаних джерел</w:t>
      </w:r>
    </w:p>
    <w:p w14:paraId="3B154152" w14:textId="77777777" w:rsidR="00C10374" w:rsidRPr="00511005" w:rsidRDefault="00C10374" w:rsidP="003F6A5D">
      <w:pPr>
        <w:numPr>
          <w:ilvl w:val="0"/>
          <w:numId w:val="32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Надмірне навантаження на судову систему впливає на строки розгляду справ і якість рішень – голова КЦС ВС. </w:t>
      </w:r>
      <w:r w:rsidRPr="00511005">
        <w:rPr>
          <w:rFonts w:ascii="Arial" w:eastAsia="Times New Roman" w:hAnsi="Arial" w:cs="Arial"/>
          <w:i/>
          <w:iCs/>
          <w:szCs w:val="28"/>
          <w:lang w:val="uk-UA" w:eastAsia="ru-RU"/>
        </w:rPr>
        <w:t>ВЕРХОВНИЙ СУД</w:t>
      </w:r>
      <w:r w:rsidRPr="00511005">
        <w:rPr>
          <w:rFonts w:ascii="Arial" w:eastAsia="Times New Roman" w:hAnsi="Arial" w:cs="Arial"/>
          <w:szCs w:val="28"/>
          <w:lang w:val="uk-UA" w:eastAsia="ru-RU"/>
        </w:rPr>
        <w:t>. URL: </w:t>
      </w:r>
      <w:hyperlink r:id="rId1270" w:tgtFrame="_blank" w:history="1">
        <w:r w:rsidRPr="00511005">
          <w:rPr>
            <w:rFonts w:ascii="Arial" w:eastAsia="Times New Roman" w:hAnsi="Arial" w:cs="Arial"/>
            <w:szCs w:val="28"/>
            <w:lang w:val="uk-UA" w:eastAsia="ru-RU"/>
          </w:rPr>
          <w:t>https://supreme.court.gov.ua/supreme/pres-centr/news/1720264/</w:t>
        </w:r>
      </w:hyperlink>
      <w:r w:rsidRPr="00511005">
        <w:rPr>
          <w:rFonts w:ascii="Arial" w:eastAsia="Times New Roman" w:hAnsi="Arial" w:cs="Arial"/>
          <w:szCs w:val="28"/>
          <w:lang w:val="uk-UA" w:eastAsia="ru-RU"/>
        </w:rPr>
        <w:t> (дата звернення: 24.04.2025).</w:t>
      </w:r>
    </w:p>
    <w:p w14:paraId="3977C054" w14:textId="77777777" w:rsidR="00C10374" w:rsidRPr="00511005" w:rsidRDefault="00C10374" w:rsidP="003F6A5D">
      <w:pPr>
        <w:numPr>
          <w:ilvl w:val="0"/>
          <w:numId w:val="32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Про судоустрій і статус суддів. </w:t>
      </w:r>
      <w:r w:rsidRPr="00511005">
        <w:rPr>
          <w:rFonts w:ascii="Arial" w:eastAsia="Times New Roman" w:hAnsi="Arial" w:cs="Arial"/>
          <w:i/>
          <w:iCs/>
          <w:szCs w:val="28"/>
          <w:lang w:val="uk-UA" w:eastAsia="ru-RU"/>
        </w:rPr>
        <w:t>Офіційний вебпортал парламенту України</w:t>
      </w:r>
      <w:r w:rsidRPr="00511005">
        <w:rPr>
          <w:rFonts w:ascii="Arial" w:eastAsia="Times New Roman" w:hAnsi="Arial" w:cs="Arial"/>
          <w:szCs w:val="28"/>
          <w:lang w:val="uk-UA" w:eastAsia="ru-RU"/>
        </w:rPr>
        <w:t>. URL: </w:t>
      </w:r>
      <w:hyperlink r:id="rId1271" w:anchor="Text" w:tgtFrame="_blank" w:history="1">
        <w:r w:rsidRPr="00511005">
          <w:rPr>
            <w:rFonts w:ascii="Arial" w:eastAsia="Times New Roman" w:hAnsi="Arial" w:cs="Arial"/>
            <w:szCs w:val="28"/>
            <w:lang w:val="uk-UA" w:eastAsia="ru-RU"/>
          </w:rPr>
          <w:t>https://zakon.rada.gov.ua/laws/show/1402-19#Text</w:t>
        </w:r>
      </w:hyperlink>
      <w:r w:rsidRPr="00511005">
        <w:rPr>
          <w:rFonts w:ascii="Arial" w:eastAsia="Times New Roman" w:hAnsi="Arial" w:cs="Arial"/>
          <w:szCs w:val="28"/>
          <w:lang w:val="uk-UA" w:eastAsia="ru-RU"/>
        </w:rPr>
        <w:t> (дата звернення: 05.05.2025).</w:t>
      </w:r>
    </w:p>
    <w:p w14:paraId="421A32AD" w14:textId="77777777" w:rsidR="00C10374" w:rsidRPr="00511005" w:rsidRDefault="00C10374" w:rsidP="003F6A5D">
      <w:pPr>
        <w:numPr>
          <w:ilvl w:val="0"/>
          <w:numId w:val="32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Знась І. На п’ять суддів КСУ відібрали десять кандидатів. </w:t>
      </w:r>
      <w:r w:rsidRPr="00511005">
        <w:rPr>
          <w:rFonts w:ascii="Arial" w:eastAsia="Times New Roman" w:hAnsi="Arial" w:cs="Arial"/>
          <w:i/>
          <w:iCs/>
          <w:szCs w:val="28"/>
          <w:lang w:val="uk-UA" w:eastAsia="ru-RU"/>
        </w:rPr>
        <w:t>Зеркало недели | Дзеркало тижня | Mirror Weekly</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lastRenderedPageBreak/>
        <w:t>URL: </w:t>
      </w:r>
      <w:hyperlink r:id="rId1272" w:tgtFrame="_blank" w:history="1">
        <w:r w:rsidRPr="00511005">
          <w:rPr>
            <w:rFonts w:ascii="Arial" w:eastAsia="Times New Roman" w:hAnsi="Arial" w:cs="Arial"/>
            <w:szCs w:val="28"/>
            <w:lang w:val="uk-UA" w:eastAsia="ru-RU"/>
          </w:rPr>
          <w:t>https://zn.ua/ukr/LAW/na-pjat-suddiv-ksu-vidibrali-desjat-kandidativ.html</w:t>
        </w:r>
      </w:hyperlink>
      <w:r w:rsidRPr="00511005">
        <w:rPr>
          <w:rFonts w:ascii="Arial" w:eastAsia="Times New Roman" w:hAnsi="Arial" w:cs="Arial"/>
          <w:szCs w:val="28"/>
          <w:lang w:val="uk-UA" w:eastAsia="ru-RU"/>
        </w:rPr>
        <w:t> (дата звернення: 25.04.2025).</w:t>
      </w:r>
    </w:p>
    <w:p w14:paraId="021700BA" w14:textId="77777777" w:rsidR="00C10374" w:rsidRPr="00511005" w:rsidRDefault="00C10374" w:rsidP="003F6A5D">
      <w:pPr>
        <w:numPr>
          <w:ilvl w:val="0"/>
          <w:numId w:val="32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Про судоустрій і статус суддів. </w:t>
      </w:r>
      <w:r w:rsidRPr="00511005">
        <w:rPr>
          <w:rFonts w:ascii="Arial" w:eastAsia="Times New Roman" w:hAnsi="Arial" w:cs="Arial"/>
          <w:i/>
          <w:iCs/>
          <w:szCs w:val="28"/>
          <w:lang w:val="uk-UA" w:eastAsia="ru-RU"/>
        </w:rPr>
        <w:t>Офіційний вебпортал парламенту України</w:t>
      </w:r>
      <w:r w:rsidRPr="00511005">
        <w:rPr>
          <w:rFonts w:ascii="Arial" w:eastAsia="Times New Roman" w:hAnsi="Arial" w:cs="Arial"/>
          <w:szCs w:val="28"/>
          <w:lang w:val="uk-UA" w:eastAsia="ru-RU"/>
        </w:rPr>
        <w:t>. URL: </w:t>
      </w:r>
      <w:hyperlink r:id="rId1273" w:anchor="Text" w:tgtFrame="_blank" w:history="1">
        <w:r w:rsidRPr="00511005">
          <w:rPr>
            <w:rFonts w:ascii="Arial" w:eastAsia="Times New Roman" w:hAnsi="Arial" w:cs="Arial"/>
            <w:szCs w:val="28"/>
            <w:lang w:val="uk-UA" w:eastAsia="ru-RU"/>
          </w:rPr>
          <w:t>https://zakon.rada.gov.ua/laws/show/1402-19#Text</w:t>
        </w:r>
      </w:hyperlink>
      <w:r w:rsidRPr="00511005">
        <w:rPr>
          <w:rFonts w:ascii="Arial" w:eastAsia="Times New Roman" w:hAnsi="Arial" w:cs="Arial"/>
          <w:szCs w:val="28"/>
          <w:lang w:val="uk-UA" w:eastAsia="ru-RU"/>
        </w:rPr>
        <w:t> (дата звернення: 05.05.2025).</w:t>
      </w:r>
    </w:p>
    <w:p w14:paraId="478385EF" w14:textId="77777777" w:rsidR="00C10374" w:rsidRPr="00511005" w:rsidRDefault="00C10374" w:rsidP="003F6A5D">
      <w:pPr>
        <w:numPr>
          <w:ilvl w:val="0"/>
          <w:numId w:val="326"/>
        </w:numPr>
        <w:spacing w:line="264" w:lineRule="auto"/>
        <w:ind w:left="0" w:firstLine="709"/>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МАТРИЦЯ УКРАЇНСЬКОГО ПРАВОСУДДЯ: ОЦІНКА УКРАЇНСЬКОЇ СИСТЕМИ ПРАВОСУДДЯ ЗА МЕТОДИКОЮ EU JUSTICE SCOREBOARD 2022</w:t>
      </w:r>
      <w:r w:rsidRPr="00511005">
        <w:rPr>
          <w:rFonts w:ascii="Arial" w:eastAsia="Times New Roman" w:hAnsi="Arial" w:cs="Arial"/>
          <w:i/>
          <w:iCs/>
          <w:szCs w:val="28"/>
          <w:lang w:val="uk-UA" w:eastAsia="ru-RU"/>
        </w:rPr>
        <w:t>. Міжнародний фонд відродження. (Центр політико-правових реформ). Київ, 2022.</w:t>
      </w:r>
      <w:r w:rsidRPr="00511005">
        <w:rPr>
          <w:rFonts w:ascii="Arial" w:eastAsia="Times New Roman" w:hAnsi="Arial" w:cs="Arial"/>
          <w:szCs w:val="28"/>
          <w:lang w:val="uk-UA" w:eastAsia="ru-RU"/>
        </w:rPr>
        <w:t xml:space="preserve"> URL: </w:t>
      </w:r>
      <w:hyperlink r:id="rId1274" w:tgtFrame="_blank" w:history="1">
        <w:r w:rsidRPr="00511005">
          <w:rPr>
            <w:rFonts w:ascii="Arial" w:eastAsia="Times New Roman" w:hAnsi="Arial" w:cs="Arial"/>
            <w:szCs w:val="28"/>
            <w:lang w:val="uk-UA" w:eastAsia="ru-RU"/>
          </w:rPr>
          <w:t>https://pravo.org.ua/wp-content/uploads/2022/10/Matrix_2022_ukr.pdf</w:t>
        </w:r>
      </w:hyperlink>
      <w:r w:rsidRPr="00511005">
        <w:rPr>
          <w:rFonts w:ascii="Arial" w:eastAsia="Times New Roman" w:hAnsi="Arial" w:cs="Arial"/>
          <w:szCs w:val="28"/>
          <w:lang w:val="uk-UA" w:eastAsia="ru-RU"/>
        </w:rPr>
        <w:t> (дата звернення: 05.05.2025).</w:t>
      </w:r>
    </w:p>
    <w:p w14:paraId="1BB5FBAB" w14:textId="77777777" w:rsidR="00C10374" w:rsidRPr="00511005" w:rsidRDefault="00C10374" w:rsidP="003A292D">
      <w:pPr>
        <w:spacing w:line="264" w:lineRule="auto"/>
        <w:ind w:firstLine="0"/>
        <w:contextualSpacing/>
        <w:rPr>
          <w:rFonts w:ascii="Arial" w:eastAsia="Times New Roman" w:hAnsi="Arial" w:cs="Arial"/>
          <w:szCs w:val="28"/>
          <w:lang w:val="uk-UA" w:eastAsia="ru-RU"/>
        </w:rPr>
      </w:pPr>
    </w:p>
    <w:p w14:paraId="2F84916F" w14:textId="2DDC74BB" w:rsidR="00C10374"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C10374" w:rsidRPr="00511005">
        <w:rPr>
          <w:rFonts w:ascii="Arial" w:eastAsia="Times New Roman" w:hAnsi="Arial" w:cs="Arial"/>
          <w:szCs w:val="28"/>
          <w:lang w:val="uk-UA" w:eastAsia="ru-RU"/>
        </w:rPr>
        <w:t>військовий стан, судоустрій, реформи, діджиталізація, забезпечення, судді, недостача, конституційний суд, вища кваліфікаційна комісія суддів, парламент.</w:t>
      </w:r>
    </w:p>
    <w:p w14:paraId="0BCC1FA7" w14:textId="3B742311" w:rsidR="00C10374"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i/>
          <w:szCs w:val="28"/>
          <w:lang w:val="en-GB" w:eastAsia="ru-RU"/>
        </w:rPr>
        <w:t xml:space="preserve">Key words: </w:t>
      </w:r>
      <w:r w:rsidR="00C10374" w:rsidRPr="00511005">
        <w:rPr>
          <w:rFonts w:ascii="Arial" w:eastAsia="Times New Roman" w:hAnsi="Arial" w:cs="Arial"/>
          <w:szCs w:val="28"/>
          <w:lang w:val="en-GB" w:eastAsia="ru-RU"/>
        </w:rPr>
        <w:t>martial law, judiciary, reforms, digitalization</w:t>
      </w:r>
      <w:r w:rsidR="00C10374" w:rsidRPr="00511005">
        <w:rPr>
          <w:rFonts w:ascii="Arial" w:eastAsia="Times New Roman" w:hAnsi="Arial" w:cs="Arial"/>
          <w:szCs w:val="28"/>
          <w:lang w:val="uk-UA" w:eastAsia="ru-RU"/>
        </w:rPr>
        <w:t>, provision, judges, shortage, constitutional court, higher qualification commission of judges, parliament.</w:t>
      </w:r>
    </w:p>
    <w:p w14:paraId="30E6F25B" w14:textId="278D7421" w:rsidR="00C10374" w:rsidRPr="00511005" w:rsidRDefault="007B2628" w:rsidP="003A292D">
      <w:pPr>
        <w:spacing w:line="264" w:lineRule="auto"/>
        <w:contextualSpacing/>
        <w:rPr>
          <w:rFonts w:ascii="Arial" w:eastAsia="Times New Roman" w:hAnsi="Arial" w:cs="Arial"/>
          <w:szCs w:val="28"/>
          <w:lang w:eastAsia="ru-RU"/>
        </w:rPr>
      </w:pPr>
      <w:r w:rsidRPr="00511005">
        <w:rPr>
          <w:rFonts w:ascii="Arial" w:eastAsia="Times New Roman" w:hAnsi="Arial" w:cs="Arial"/>
          <w:b/>
          <w:i/>
          <w:iCs/>
          <w:szCs w:val="28"/>
          <w:lang w:val="uk-UA" w:eastAsia="ru-RU"/>
        </w:rPr>
        <w:t xml:space="preserve">Науковий керівник: </w:t>
      </w:r>
      <w:r w:rsidR="00C10374" w:rsidRPr="00511005">
        <w:rPr>
          <w:rFonts w:ascii="Arial" w:eastAsia="Times New Roman" w:hAnsi="Arial" w:cs="Arial"/>
          <w:i/>
          <w:iCs/>
          <w:szCs w:val="28"/>
          <w:lang w:val="uk-UA" w:eastAsia="ru-RU"/>
        </w:rPr>
        <w:t xml:space="preserve">старший викладач Нестерчук Лілія Петрівна </w:t>
      </w:r>
    </w:p>
    <w:p w14:paraId="26EC58BD" w14:textId="77777777" w:rsidR="00C10374" w:rsidRPr="00511005" w:rsidRDefault="00C10374" w:rsidP="003A292D">
      <w:pPr>
        <w:widowControl w:val="0"/>
        <w:spacing w:line="264" w:lineRule="auto"/>
        <w:ind w:firstLine="0"/>
        <w:rPr>
          <w:rFonts w:ascii="Arial" w:eastAsia="Calibri" w:hAnsi="Arial" w:cs="Arial"/>
          <w:szCs w:val="28"/>
          <w:lang w:val="uk-UA"/>
        </w:rPr>
      </w:pPr>
    </w:p>
    <w:p w14:paraId="54150FAB" w14:textId="77777777" w:rsidR="00C10374" w:rsidRPr="00511005" w:rsidRDefault="00C10374" w:rsidP="003A292D">
      <w:pPr>
        <w:widowControl w:val="0"/>
        <w:spacing w:line="264" w:lineRule="auto"/>
        <w:ind w:firstLine="0"/>
        <w:rPr>
          <w:rFonts w:ascii="Arial" w:eastAsia="Calibri" w:hAnsi="Arial" w:cs="Arial"/>
          <w:szCs w:val="28"/>
          <w:lang w:val="uk-UA"/>
        </w:rPr>
      </w:pPr>
    </w:p>
    <w:p w14:paraId="3EE74C20" w14:textId="77777777" w:rsidR="00C10374" w:rsidRPr="00511005" w:rsidRDefault="00C10374" w:rsidP="003A292D">
      <w:pPr>
        <w:keepNext/>
        <w:snapToGrid w:val="0"/>
        <w:spacing w:line="264" w:lineRule="auto"/>
        <w:ind w:firstLine="567"/>
        <w:jc w:val="center"/>
        <w:rPr>
          <w:rFonts w:ascii="Arial" w:eastAsia="Calibri" w:hAnsi="Arial" w:cs="Arial"/>
          <w:b/>
          <w:i/>
          <w:szCs w:val="28"/>
          <w:lang w:val="uk-UA"/>
        </w:rPr>
      </w:pPr>
      <w:r w:rsidRPr="00511005">
        <w:rPr>
          <w:rFonts w:ascii="Arial" w:eastAsia="Calibri" w:hAnsi="Arial" w:cs="Arial"/>
          <w:b/>
          <w:i/>
          <w:szCs w:val="28"/>
          <w:lang w:val="uk-UA"/>
        </w:rPr>
        <w:t>Шаповал Поліна Андріївна</w:t>
      </w:r>
    </w:p>
    <w:p w14:paraId="4A603F11" w14:textId="358A31F2" w:rsidR="00C10374" w:rsidRPr="00511005" w:rsidRDefault="00BE3972" w:rsidP="003A292D">
      <w:pPr>
        <w:snapToGrid w:val="0"/>
        <w:spacing w:line="264" w:lineRule="auto"/>
        <w:ind w:firstLine="567"/>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r w:rsidR="00C10374" w:rsidRPr="00511005">
        <w:rPr>
          <w:rFonts w:ascii="Arial" w:eastAsia="Calibri" w:hAnsi="Arial" w:cs="Arial"/>
          <w:szCs w:val="28"/>
          <w:lang w:val="uk-UA"/>
        </w:rPr>
        <w:br/>
      </w:r>
      <w:r w:rsidR="007B2628" w:rsidRPr="00511005">
        <w:rPr>
          <w:rFonts w:ascii="Arial" w:eastAsia="Calibri" w:hAnsi="Arial" w:cs="Arial"/>
          <w:szCs w:val="28"/>
          <w:lang w:val="uk-UA"/>
        </w:rPr>
        <w:t>Національного університету «Одеська юридична академія»</w:t>
      </w:r>
    </w:p>
    <w:p w14:paraId="6960480A" w14:textId="77777777" w:rsidR="00C10374" w:rsidRPr="00511005" w:rsidRDefault="00C10374" w:rsidP="003A292D">
      <w:pPr>
        <w:snapToGrid w:val="0"/>
        <w:spacing w:line="264" w:lineRule="auto"/>
        <w:ind w:firstLine="567"/>
        <w:jc w:val="center"/>
        <w:rPr>
          <w:rFonts w:ascii="Arial" w:eastAsia="Calibri" w:hAnsi="Arial" w:cs="Arial"/>
          <w:szCs w:val="28"/>
          <w:lang w:val="uk-UA"/>
        </w:rPr>
      </w:pPr>
    </w:p>
    <w:p w14:paraId="2DB891CF" w14:textId="5EF89197" w:rsidR="00C10374" w:rsidRPr="00511005" w:rsidRDefault="00C10374" w:rsidP="00365F78">
      <w:pPr>
        <w:snapToGrid w:val="0"/>
        <w:spacing w:line="264" w:lineRule="auto"/>
        <w:ind w:firstLine="567"/>
        <w:jc w:val="center"/>
        <w:rPr>
          <w:rFonts w:ascii="Arial" w:eastAsia="Calibri" w:hAnsi="Arial" w:cs="Arial"/>
          <w:b/>
          <w:bCs/>
          <w:szCs w:val="28"/>
          <w:lang w:val="uk-UA"/>
        </w:rPr>
      </w:pPr>
      <w:r w:rsidRPr="00511005">
        <w:rPr>
          <w:rFonts w:ascii="Arial" w:eastAsia="Calibri" w:hAnsi="Arial" w:cs="Arial"/>
          <w:b/>
          <w:bCs/>
          <w:szCs w:val="28"/>
          <w:lang w:val="uk-UA"/>
        </w:rPr>
        <w:t>КОРУПЦІЯ В СУДОВІЙ СИСТЕМІ: ШЛЯХИ ВИРІШЕННЯ</w:t>
      </w:r>
    </w:p>
    <w:p w14:paraId="1CBE7470" w14:textId="77777777" w:rsidR="00C10374" w:rsidRPr="00511005" w:rsidRDefault="00C10374" w:rsidP="003A292D">
      <w:pPr>
        <w:snapToGrid w:val="0"/>
        <w:spacing w:line="264" w:lineRule="auto"/>
        <w:ind w:firstLine="567"/>
        <w:rPr>
          <w:rFonts w:ascii="Arial" w:eastAsia="Calibri" w:hAnsi="Arial" w:cs="Arial"/>
          <w:szCs w:val="28"/>
          <w:lang w:val="uk-UA"/>
        </w:rPr>
      </w:pPr>
      <w:r w:rsidRPr="00511005">
        <w:rPr>
          <w:rFonts w:ascii="Arial" w:eastAsia="Calibri" w:hAnsi="Arial" w:cs="Arial"/>
          <w:szCs w:val="28"/>
        </w:rPr>
        <w:t xml:space="preserve">Незалежні та справедливі суди </w:t>
      </w:r>
      <w:r w:rsidRPr="00511005">
        <w:rPr>
          <w:rFonts w:ascii="Arial" w:eastAsia="Calibri" w:hAnsi="Arial" w:cs="Arial"/>
          <w:szCs w:val="28"/>
          <w:lang w:val="uk-UA"/>
        </w:rPr>
        <w:t xml:space="preserve">– </w:t>
      </w:r>
      <w:r w:rsidRPr="00511005">
        <w:rPr>
          <w:rFonts w:ascii="Arial" w:eastAsia="Calibri" w:hAnsi="Arial" w:cs="Arial"/>
          <w:szCs w:val="28"/>
        </w:rPr>
        <w:t>ключова ознака демократичної держави. Наявність корупції суперечить принципам судової діяльності, адже вона унеможливлює право кожного громадянина на справедливий і чесний суд</w:t>
      </w:r>
      <w:r w:rsidRPr="00511005">
        <w:rPr>
          <w:rFonts w:ascii="Arial" w:eastAsia="Calibri" w:hAnsi="Arial" w:cs="Arial"/>
          <w:szCs w:val="28"/>
          <w:lang w:val="uk-UA"/>
        </w:rPr>
        <w:t>. За</w:t>
      </w:r>
      <w:r w:rsidRPr="00511005">
        <w:rPr>
          <w:rFonts w:ascii="Arial" w:eastAsia="Calibri" w:hAnsi="Arial" w:cs="Arial"/>
          <w:b/>
          <w:bCs/>
          <w:szCs w:val="28"/>
          <w:lang w:val="uk-UA"/>
        </w:rPr>
        <w:t xml:space="preserve"> </w:t>
      </w:r>
      <w:r w:rsidRPr="00511005">
        <w:rPr>
          <w:rFonts w:ascii="Arial" w:eastAsia="Calibri" w:hAnsi="Arial" w:cs="Arial"/>
          <w:szCs w:val="28"/>
          <w:lang w:val="uk-UA"/>
        </w:rPr>
        <w:t>результатами соціологічного опитування 59% респондентів висловлюють недовіру судам та судовій системі загалом. Однією з причин є корупції [1].</w:t>
      </w:r>
    </w:p>
    <w:p w14:paraId="5185B60B" w14:textId="77777777" w:rsidR="00C10374" w:rsidRPr="00511005" w:rsidRDefault="00C10374" w:rsidP="003A292D">
      <w:pPr>
        <w:snapToGrid w:val="0"/>
        <w:spacing w:line="264" w:lineRule="auto"/>
        <w:ind w:firstLine="567"/>
        <w:rPr>
          <w:rFonts w:ascii="Arial" w:eastAsia="Calibri" w:hAnsi="Arial" w:cs="Arial"/>
          <w:szCs w:val="28"/>
        </w:rPr>
      </w:pPr>
      <w:r w:rsidRPr="00511005">
        <w:rPr>
          <w:rFonts w:ascii="Arial" w:eastAsia="Calibri" w:hAnsi="Arial" w:cs="Arial"/>
          <w:szCs w:val="28"/>
          <w:lang w:val="uk-UA"/>
        </w:rPr>
        <w:t xml:space="preserve">Доцільно підтримати позицію Т. Демедюк, яка наголошує на тому, що боротьба з корупцією у сфері правосуддя є однією з ключових сучасних проблем. Корумпований суддя, який ухвалює рішення від імені України, підриває авторитет держави, що може мати негативні наслідки для сприйняття України на міжнародному рівні. </w:t>
      </w:r>
      <w:r w:rsidRPr="00511005">
        <w:rPr>
          <w:rFonts w:ascii="Arial" w:eastAsia="Calibri" w:hAnsi="Arial" w:cs="Arial"/>
          <w:szCs w:val="28"/>
        </w:rPr>
        <w:t>Повага до судових рішень залежить від довіри суспільства до непідкупності суддів. Незалежна судова система</w:t>
      </w:r>
      <w:r w:rsidRPr="00511005">
        <w:rPr>
          <w:rFonts w:ascii="Arial" w:eastAsia="Calibri" w:hAnsi="Arial" w:cs="Arial"/>
          <w:szCs w:val="28"/>
          <w:lang w:val="uk-UA"/>
        </w:rPr>
        <w:t xml:space="preserve"> –</w:t>
      </w:r>
      <w:r w:rsidRPr="00511005">
        <w:rPr>
          <w:rFonts w:ascii="Arial" w:eastAsia="Calibri" w:hAnsi="Arial" w:cs="Arial"/>
          <w:szCs w:val="28"/>
        </w:rPr>
        <w:t xml:space="preserve"> основа справедливості, а кожен суддя має дотримуватися високих стандартів поведінки, утверджуючи чесність і незалежність. Судова система має гарантувати чесне та ефективне правосуддя</w:t>
      </w:r>
      <w:r w:rsidRPr="00511005">
        <w:rPr>
          <w:rFonts w:ascii="Arial" w:eastAsia="Calibri" w:hAnsi="Arial" w:cs="Arial"/>
          <w:szCs w:val="28"/>
          <w:lang w:val="uk-UA"/>
        </w:rPr>
        <w:t xml:space="preserve"> </w:t>
      </w:r>
      <w:r w:rsidRPr="00511005">
        <w:rPr>
          <w:rFonts w:ascii="Arial" w:eastAsia="Calibri" w:hAnsi="Arial" w:cs="Arial"/>
          <w:szCs w:val="28"/>
        </w:rPr>
        <w:t>[</w:t>
      </w:r>
      <w:r w:rsidRPr="00511005">
        <w:rPr>
          <w:rFonts w:ascii="Arial" w:eastAsia="Calibri" w:hAnsi="Arial" w:cs="Arial"/>
          <w:szCs w:val="28"/>
          <w:lang w:val="uk-UA"/>
        </w:rPr>
        <w:t>2</w:t>
      </w:r>
      <w:r w:rsidRPr="00511005">
        <w:rPr>
          <w:rFonts w:ascii="Arial" w:eastAsia="Calibri" w:hAnsi="Arial" w:cs="Arial"/>
          <w:szCs w:val="28"/>
        </w:rPr>
        <w:t>].</w:t>
      </w:r>
    </w:p>
    <w:p w14:paraId="11A5972B" w14:textId="77777777" w:rsidR="00C10374" w:rsidRPr="00511005" w:rsidRDefault="00C10374" w:rsidP="003A292D">
      <w:pPr>
        <w:snapToGrid w:val="0"/>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На жаль, корупція в судах є поширеною проблемою у світі. </w:t>
      </w:r>
      <w:r w:rsidRPr="00511005">
        <w:rPr>
          <w:rFonts w:ascii="Arial" w:eastAsia="Calibri" w:hAnsi="Arial" w:cs="Arial"/>
          <w:szCs w:val="28"/>
        </w:rPr>
        <w:t xml:space="preserve">Парламентська </w:t>
      </w:r>
      <w:proofErr w:type="gramStart"/>
      <w:r w:rsidRPr="00511005">
        <w:rPr>
          <w:rFonts w:ascii="Arial" w:eastAsia="Calibri" w:hAnsi="Arial" w:cs="Arial"/>
          <w:szCs w:val="28"/>
        </w:rPr>
        <w:t>Асамблея</w:t>
      </w:r>
      <w:proofErr w:type="gramEnd"/>
      <w:r w:rsidRPr="00511005">
        <w:rPr>
          <w:rFonts w:ascii="Arial" w:eastAsia="Calibri" w:hAnsi="Arial" w:cs="Arial"/>
          <w:szCs w:val="28"/>
        </w:rPr>
        <w:t xml:space="preserve"> Ради Європи у Резолюції 1703 (2010) «Корупція в </w:t>
      </w:r>
      <w:r w:rsidRPr="00511005">
        <w:rPr>
          <w:rFonts w:ascii="Arial" w:eastAsia="Calibri" w:hAnsi="Arial" w:cs="Arial"/>
          <w:szCs w:val="28"/>
        </w:rPr>
        <w:lastRenderedPageBreak/>
        <w:t>судовій системі</w:t>
      </w:r>
      <w:r w:rsidRPr="00511005">
        <w:rPr>
          <w:rFonts w:ascii="Arial" w:eastAsia="Calibri" w:hAnsi="Arial" w:cs="Arial"/>
          <w:szCs w:val="28"/>
          <w:lang w:val="uk-UA"/>
        </w:rPr>
        <w:t>» визначає, що корумпованість в судах підриває верховенство права та ставить під сумнів рівність перед законом. Отже, Асамблея закликає всі держави-учасниці створити механізм, який мінімізуватиме ризик корупції судової системи [3].</w:t>
      </w:r>
    </w:p>
    <w:p w14:paraId="18A517ED" w14:textId="6FAECF6E" w:rsidR="00C10374" w:rsidRPr="00511005" w:rsidRDefault="00C10374" w:rsidP="003A292D">
      <w:pPr>
        <w:snapToGrid w:val="0"/>
        <w:spacing w:line="264" w:lineRule="auto"/>
        <w:ind w:firstLine="567"/>
        <w:rPr>
          <w:rFonts w:ascii="Arial" w:eastAsia="Calibri" w:hAnsi="Arial" w:cs="Arial"/>
          <w:szCs w:val="28"/>
          <w:lang w:val="uk-UA"/>
        </w:rPr>
      </w:pPr>
      <w:r w:rsidRPr="00511005">
        <w:rPr>
          <w:rFonts w:ascii="Arial" w:eastAsia="Calibri" w:hAnsi="Arial" w:cs="Arial"/>
          <w:szCs w:val="28"/>
        </w:rPr>
        <w:t>Згідно з аналітичним звітом Національного агентства з питань запобігання корупції за 2024 рік, 6,8% опитаних стикалися з корупцією,</w:t>
      </w:r>
      <w:r w:rsidR="007B2628" w:rsidRPr="00511005">
        <w:rPr>
          <w:rFonts w:ascii="Arial" w:eastAsia="Calibri" w:hAnsi="Arial" w:cs="Arial"/>
          <w:szCs w:val="28"/>
        </w:rPr>
        <w:t xml:space="preserve"> </w:t>
      </w:r>
      <w:r w:rsidRPr="00511005">
        <w:rPr>
          <w:rFonts w:ascii="Arial" w:eastAsia="Calibri" w:hAnsi="Arial" w:cs="Arial"/>
          <w:szCs w:val="28"/>
        </w:rPr>
        <w:t>не усвідомлюючи цього.</w:t>
      </w:r>
      <w:r w:rsidRPr="00511005">
        <w:rPr>
          <w:rFonts w:ascii="Arial" w:eastAsia="Calibri" w:hAnsi="Arial" w:cs="Arial"/>
          <w:szCs w:val="28"/>
          <w:lang w:val="uk-UA"/>
        </w:rPr>
        <w:t xml:space="preserve"> Видається логічним, що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я</w:t>
      </w:r>
      <w:r w:rsidRPr="00511005">
        <w:rPr>
          <w:rFonts w:ascii="Arial" w:eastAsia="Calibri" w:hAnsi="Arial" w:cs="Arial"/>
          <w:szCs w:val="28"/>
        </w:rPr>
        <w:t>кби вони знали про характер таких ситуацій, то могли б їх ідентифікувати</w:t>
      </w:r>
      <w:r w:rsidRPr="00511005">
        <w:rPr>
          <w:rFonts w:ascii="Arial" w:eastAsia="Calibri" w:hAnsi="Arial" w:cs="Arial"/>
          <w:szCs w:val="28"/>
          <w:lang w:val="uk-UA"/>
        </w:rPr>
        <w:t xml:space="preserve"> та</w:t>
      </w:r>
      <w:r w:rsidRPr="00511005">
        <w:rPr>
          <w:rFonts w:ascii="Arial" w:eastAsia="Calibri" w:hAnsi="Arial" w:cs="Arial"/>
          <w:szCs w:val="28"/>
        </w:rPr>
        <w:t xml:space="preserve"> повідомити про порушення </w:t>
      </w:r>
      <w:r w:rsidRPr="00511005">
        <w:rPr>
          <w:rFonts w:ascii="Arial" w:eastAsia="Calibri" w:hAnsi="Arial" w:cs="Arial"/>
          <w:szCs w:val="28"/>
          <w:lang w:val="uk-UA"/>
        </w:rPr>
        <w:t>і</w:t>
      </w:r>
      <w:r w:rsidRPr="00511005">
        <w:rPr>
          <w:rFonts w:ascii="Arial" w:eastAsia="Calibri" w:hAnsi="Arial" w:cs="Arial"/>
          <w:szCs w:val="28"/>
        </w:rPr>
        <w:t>, можливо, запобігти їм. Це свідчить про недостатню обізнаність громадян щодо корупції, що створює сприятливий ґрунт для її поширення.</w:t>
      </w:r>
    </w:p>
    <w:p w14:paraId="1093A7A2" w14:textId="77777777" w:rsidR="00C10374" w:rsidRPr="00511005" w:rsidRDefault="00C10374" w:rsidP="003A292D">
      <w:pPr>
        <w:snapToGrid w:val="0"/>
        <w:spacing w:line="264" w:lineRule="auto"/>
        <w:ind w:firstLine="567"/>
        <w:rPr>
          <w:rFonts w:ascii="Arial" w:eastAsia="Calibri" w:hAnsi="Arial" w:cs="Arial"/>
          <w:spacing w:val="2"/>
          <w:szCs w:val="28"/>
          <w:shd w:val="clear" w:color="auto" w:fill="FFFFFF"/>
          <w:lang w:val="uk-UA"/>
        </w:rPr>
      </w:pPr>
      <w:r w:rsidRPr="00511005">
        <w:rPr>
          <w:rFonts w:ascii="Arial" w:eastAsia="Times New Roman" w:hAnsi="Arial" w:cs="Arial"/>
          <w:szCs w:val="28"/>
          <w:lang w:val="uk-UA"/>
        </w:rPr>
        <w:t xml:space="preserve">Вважаємо, що </w:t>
      </w:r>
      <w:r w:rsidRPr="00511005">
        <w:rPr>
          <w:rFonts w:ascii="Arial" w:eastAsia="Calibri" w:hAnsi="Arial" w:cs="Arial"/>
          <w:spacing w:val="2"/>
          <w:szCs w:val="28"/>
          <w:shd w:val="clear" w:color="auto" w:fill="FFFFFF"/>
          <w:lang w:val="uk-UA"/>
        </w:rPr>
        <w:t xml:space="preserve">перспективні напрямки судової антикорупційної протидії включають реформу кримінальної юстиції (належна реалізація принципу невідворотності покарання), посилення прозорості діяльності судової системи, зміцнення усвідомлення потреби дотримання професійної етики тощо. </w:t>
      </w:r>
    </w:p>
    <w:p w14:paraId="0B929EBD" w14:textId="77777777" w:rsidR="00C10374" w:rsidRPr="00511005" w:rsidRDefault="00C10374" w:rsidP="003A292D">
      <w:pPr>
        <w:snapToGrid w:val="0"/>
        <w:spacing w:line="264" w:lineRule="auto"/>
        <w:ind w:firstLine="567"/>
        <w:rPr>
          <w:rFonts w:ascii="Arial" w:eastAsia="Calibri" w:hAnsi="Arial" w:cs="Arial"/>
          <w:spacing w:val="2"/>
          <w:szCs w:val="28"/>
          <w:shd w:val="clear" w:color="auto" w:fill="FFFFFF"/>
          <w:lang w:val="uk-UA"/>
        </w:rPr>
      </w:pPr>
      <w:r w:rsidRPr="00511005">
        <w:rPr>
          <w:rFonts w:ascii="Arial" w:eastAsia="Calibri" w:hAnsi="Arial" w:cs="Arial"/>
          <w:spacing w:val="2"/>
          <w:szCs w:val="28"/>
          <w:shd w:val="clear" w:color="auto" w:fill="FFFFFF"/>
          <w:lang w:val="uk-UA"/>
        </w:rPr>
        <w:t xml:space="preserve">Отже, </w:t>
      </w:r>
      <w:r w:rsidRPr="00511005">
        <w:rPr>
          <w:rFonts w:ascii="Arial" w:eastAsia="Calibri" w:hAnsi="Arial" w:cs="Arial"/>
          <w:szCs w:val="28"/>
          <w:lang w:val="uk-UA"/>
        </w:rPr>
        <w:t>к</w:t>
      </w:r>
      <w:r w:rsidRPr="00511005">
        <w:rPr>
          <w:rFonts w:ascii="Arial" w:eastAsia="Calibri" w:hAnsi="Arial" w:cs="Arial"/>
          <w:szCs w:val="28"/>
        </w:rPr>
        <w:t>орупція в судовій системі є серйозною загрозою для демократичних засад держави, верховенства права та довіри громадян до правосуддя. Її існування зумовл</w:t>
      </w:r>
      <w:r w:rsidRPr="00511005">
        <w:rPr>
          <w:rFonts w:ascii="Arial" w:eastAsia="Calibri" w:hAnsi="Arial" w:cs="Arial"/>
          <w:szCs w:val="28"/>
          <w:lang w:val="uk-UA"/>
        </w:rPr>
        <w:t>ено</w:t>
      </w:r>
      <w:r w:rsidRPr="00511005">
        <w:rPr>
          <w:rFonts w:ascii="Arial" w:eastAsia="Calibri" w:hAnsi="Arial" w:cs="Arial"/>
          <w:szCs w:val="28"/>
        </w:rPr>
        <w:t xml:space="preserve"> не лише недосконаліс</w:t>
      </w:r>
      <w:r w:rsidRPr="00511005">
        <w:rPr>
          <w:rFonts w:ascii="Arial" w:eastAsia="Calibri" w:hAnsi="Arial" w:cs="Arial"/>
          <w:szCs w:val="28"/>
          <w:lang w:val="uk-UA"/>
        </w:rPr>
        <w:t xml:space="preserve">тю </w:t>
      </w:r>
      <w:r w:rsidRPr="00511005">
        <w:rPr>
          <w:rFonts w:ascii="Arial" w:eastAsia="Calibri" w:hAnsi="Arial" w:cs="Arial"/>
          <w:szCs w:val="28"/>
        </w:rPr>
        <w:t>законодавства, а й толерантніст</w:t>
      </w:r>
      <w:r w:rsidRPr="00511005">
        <w:rPr>
          <w:rFonts w:ascii="Arial" w:eastAsia="Calibri" w:hAnsi="Arial" w:cs="Arial"/>
          <w:szCs w:val="28"/>
          <w:lang w:val="uk-UA"/>
        </w:rPr>
        <w:t>ю населення</w:t>
      </w:r>
      <w:r w:rsidRPr="00511005">
        <w:rPr>
          <w:rFonts w:ascii="Arial" w:eastAsia="Calibri" w:hAnsi="Arial" w:cs="Arial"/>
          <w:szCs w:val="28"/>
        </w:rPr>
        <w:t xml:space="preserve"> до корупційних дій. Лише комплексний підхід</w:t>
      </w:r>
      <w:r w:rsidRPr="00511005">
        <w:rPr>
          <w:rFonts w:ascii="Arial" w:eastAsia="Calibri" w:hAnsi="Arial" w:cs="Arial"/>
          <w:szCs w:val="28"/>
          <w:lang w:val="uk-UA"/>
        </w:rPr>
        <w:t xml:space="preserve">, спрямований на подолання цього негативного соціального явища, </w:t>
      </w:r>
      <w:r w:rsidRPr="00511005">
        <w:rPr>
          <w:rFonts w:ascii="Arial" w:eastAsia="Calibri" w:hAnsi="Arial" w:cs="Arial"/>
          <w:szCs w:val="28"/>
        </w:rPr>
        <w:t>з боку держави, громадськості та самих представників правосуддя може забезпечити очищення судової влади та відновлення довіри до неї як до незалежного арбітра в суспільстві.</w:t>
      </w:r>
    </w:p>
    <w:p w14:paraId="12E06492" w14:textId="77777777" w:rsidR="00C10374" w:rsidRPr="00511005" w:rsidRDefault="00C10374" w:rsidP="003A292D">
      <w:pPr>
        <w:snapToGrid w:val="0"/>
        <w:spacing w:line="264" w:lineRule="auto"/>
        <w:ind w:firstLine="567"/>
        <w:rPr>
          <w:rFonts w:ascii="Arial" w:eastAsia="Calibri" w:hAnsi="Arial" w:cs="Arial"/>
          <w:szCs w:val="28"/>
        </w:rPr>
      </w:pPr>
    </w:p>
    <w:p w14:paraId="457EF973" w14:textId="2C3F8E2C" w:rsidR="00C10374" w:rsidRPr="00511005" w:rsidRDefault="007B2628" w:rsidP="007B2628">
      <w:pPr>
        <w:snapToGrid w:val="0"/>
        <w:spacing w:line="264" w:lineRule="auto"/>
        <w:ind w:firstLine="567"/>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33348466" w14:textId="77777777" w:rsidR="00C10374" w:rsidRPr="00511005" w:rsidRDefault="00C10374" w:rsidP="003F6A5D">
      <w:pPr>
        <w:numPr>
          <w:ilvl w:val="0"/>
          <w:numId w:val="327"/>
        </w:numPr>
        <w:snapToGrid w:val="0"/>
        <w:spacing w:line="264" w:lineRule="auto"/>
        <w:ind w:left="426" w:firstLine="567"/>
        <w:rPr>
          <w:rFonts w:ascii="Arial" w:eastAsia="Times New Roman" w:hAnsi="Arial" w:cs="Arial"/>
          <w:b/>
          <w:bCs/>
          <w:szCs w:val="28"/>
          <w:lang w:val="uk-UA" w:eastAsia="ru-RU"/>
        </w:rPr>
      </w:pPr>
      <w:r w:rsidRPr="00511005">
        <w:rPr>
          <w:rFonts w:ascii="Arial" w:eastAsia="Times New Roman" w:hAnsi="Arial" w:cs="Arial"/>
          <w:szCs w:val="28"/>
          <w:lang w:val="uk-UA" w:eastAsia="ru-RU"/>
        </w:rPr>
        <w:t>Індекс сприйняття корупції - 2023. Transparency International Ukraine - Знизити рівень корупції. URL: </w:t>
      </w:r>
      <w:hyperlink r:id="rId1275" w:tgtFrame="_blank" w:history="1">
        <w:r w:rsidRPr="00511005">
          <w:rPr>
            <w:rFonts w:ascii="Arial" w:eastAsia="Times New Roman" w:hAnsi="Arial" w:cs="Arial"/>
            <w:szCs w:val="28"/>
            <w:lang w:val="uk-UA" w:eastAsia="ru-RU"/>
          </w:rPr>
          <w:t>https://ti-ukraine.org/research/indeks-spryjnyattya-koruptsiyi-2023?utm_source=chatgpt.com</w:t>
        </w:r>
      </w:hyperlink>
      <w:r w:rsidRPr="00511005">
        <w:rPr>
          <w:rFonts w:ascii="Arial" w:eastAsia="Times New Roman" w:hAnsi="Arial" w:cs="Arial"/>
          <w:szCs w:val="28"/>
          <w:lang w:val="uk-UA" w:eastAsia="ru-RU"/>
        </w:rPr>
        <w:t> (дата звернення: 23.04.2025).</w:t>
      </w:r>
    </w:p>
    <w:p w14:paraId="00C80BCF" w14:textId="77777777" w:rsidR="00C10374" w:rsidRPr="00511005" w:rsidRDefault="00C10374" w:rsidP="003F6A5D">
      <w:pPr>
        <w:numPr>
          <w:ilvl w:val="0"/>
          <w:numId w:val="327"/>
        </w:numPr>
        <w:snapToGrid w:val="0"/>
        <w:spacing w:line="264" w:lineRule="auto"/>
        <w:ind w:left="426"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lang w:val="uk-UA" w:eastAsia="ru-RU"/>
        </w:rPr>
        <w:t xml:space="preserve">Демедюк Т. Проблеми протидії корупції в судах. </w:t>
      </w:r>
      <w:r w:rsidRPr="00511005">
        <w:rPr>
          <w:rFonts w:ascii="Arial" w:eastAsia="Times New Roman" w:hAnsi="Arial" w:cs="Arial"/>
          <w:i/>
          <w:iCs/>
          <w:szCs w:val="28"/>
          <w:lang w:val="uk-UA" w:eastAsia="ru-RU"/>
        </w:rPr>
        <w:t>Вісник Академії управління МВС</w:t>
      </w:r>
      <w:r w:rsidRPr="00511005">
        <w:rPr>
          <w:rFonts w:ascii="Arial" w:eastAsia="Times New Roman" w:hAnsi="Arial" w:cs="Arial"/>
          <w:szCs w:val="28"/>
          <w:lang w:val="uk-UA" w:eastAsia="ru-RU"/>
        </w:rPr>
        <w:t>. 2009. № 2. С. 112–122.</w:t>
      </w:r>
    </w:p>
    <w:p w14:paraId="1579B402" w14:textId="77777777" w:rsidR="00C10374" w:rsidRPr="00511005" w:rsidRDefault="00C10374" w:rsidP="003F6A5D">
      <w:pPr>
        <w:numPr>
          <w:ilvl w:val="0"/>
          <w:numId w:val="327"/>
        </w:numPr>
        <w:snapToGrid w:val="0"/>
        <w:spacing w:line="264" w:lineRule="auto"/>
        <w:ind w:left="426" w:firstLine="567"/>
        <w:rPr>
          <w:rFonts w:ascii="Arial" w:eastAsia="Times New Roman" w:hAnsi="Arial" w:cs="Arial"/>
          <w:szCs w:val="28"/>
          <w:lang w:val="uk-UA" w:eastAsia="ru-RU"/>
        </w:rPr>
      </w:pPr>
      <w:r w:rsidRPr="00511005">
        <w:rPr>
          <w:rFonts w:ascii="Arial" w:eastAsia="Times New Roman" w:hAnsi="Arial" w:cs="Arial"/>
          <w:szCs w:val="28"/>
          <w:lang w:val="uk-UA" w:eastAsia="ru-RU"/>
        </w:rPr>
        <w:t>Корупція в судовій системі : резолюція Парламентської Асамблеї Ради Європи 1703 (2010)</w:t>
      </w:r>
      <w:r w:rsidRPr="00511005">
        <w:rPr>
          <w:rFonts w:ascii="Arial" w:eastAsia="Times New Roman" w:hAnsi="Arial" w:cs="Arial"/>
          <w:szCs w:val="28"/>
          <w:lang w:eastAsia="ru-RU"/>
        </w:rPr>
        <w:t xml:space="preserve">. </w:t>
      </w:r>
      <w:r w:rsidRPr="00511005">
        <w:rPr>
          <w:rFonts w:ascii="Arial" w:eastAsia="Times New Roman" w:hAnsi="Arial" w:cs="Arial"/>
          <w:szCs w:val="28"/>
          <w:lang w:val="pl-PL" w:eastAsia="ru-RU"/>
        </w:rPr>
        <w:t>URL</w:t>
      </w:r>
      <w:r w:rsidRPr="00511005">
        <w:rPr>
          <w:rFonts w:ascii="Arial" w:eastAsia="Times New Roman" w:hAnsi="Arial" w:cs="Arial"/>
          <w:szCs w:val="28"/>
          <w:lang w:val="uk-UA" w:eastAsia="ru-RU"/>
        </w:rPr>
        <w:t xml:space="preserve">: http://w1.c1.rada.gov.ua/pls/mpz/docs/1044_rez_1703.htm </w:t>
      </w:r>
    </w:p>
    <w:p w14:paraId="78FB5FDB" w14:textId="01B57914" w:rsidR="00C10374" w:rsidRPr="00511005" w:rsidRDefault="00C10374" w:rsidP="003F6A5D">
      <w:pPr>
        <w:numPr>
          <w:ilvl w:val="0"/>
          <w:numId w:val="327"/>
        </w:numPr>
        <w:snapToGrid w:val="0"/>
        <w:spacing w:line="264" w:lineRule="auto"/>
        <w:ind w:left="426" w:firstLine="567"/>
        <w:rPr>
          <w:rFonts w:ascii="Arial" w:eastAsia="Times New Roman" w:hAnsi="Arial" w:cs="Arial"/>
          <w:szCs w:val="28"/>
          <w:lang w:val="uk-UA" w:eastAsia="ru-RU"/>
        </w:rPr>
      </w:pPr>
      <w:r w:rsidRPr="00511005">
        <w:rPr>
          <w:rFonts w:ascii="Arial" w:eastAsia="Times New Roman" w:hAnsi="Arial" w:cs="Arial"/>
          <w:szCs w:val="28"/>
          <w:shd w:val="clear" w:color="auto" w:fill="FFFFFF"/>
          <w:lang w:val="uk-UA" w:eastAsia="ru-RU"/>
        </w:rPr>
        <w:t>Соловйов В. М., Розвадовський</w:t>
      </w:r>
      <w:r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val="uk-UA" w:eastAsia="ru-RU"/>
        </w:rPr>
        <w:t>Б. Л. Запобігання та протидія корупційним правопорушенням у судовій системі України. </w:t>
      </w:r>
      <w:r w:rsidRPr="00511005">
        <w:rPr>
          <w:rFonts w:ascii="Arial" w:eastAsia="Times New Roman" w:hAnsi="Arial" w:cs="Arial"/>
          <w:i/>
          <w:iCs/>
          <w:szCs w:val="28"/>
          <w:shd w:val="clear" w:color="auto" w:fill="FFFFFF"/>
          <w:lang w:val="uk-UA" w:eastAsia="ru-RU"/>
        </w:rPr>
        <w:t>Боротьба з організованою злочинністю і корупцією (теорія і практика)</w:t>
      </w:r>
      <w:r w:rsidRPr="00511005">
        <w:rPr>
          <w:rFonts w:ascii="Arial" w:eastAsia="Times New Roman" w:hAnsi="Arial" w:cs="Arial"/>
          <w:szCs w:val="28"/>
          <w:shd w:val="clear" w:color="auto" w:fill="FFFFFF"/>
          <w:lang w:val="uk-UA" w:eastAsia="ru-RU"/>
        </w:rPr>
        <w:t>. 2010. № 23. С.</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123-132.</w:t>
      </w:r>
    </w:p>
    <w:p w14:paraId="5E994390" w14:textId="12B84495" w:rsidR="00C10374" w:rsidRPr="00511005" w:rsidRDefault="00C10374" w:rsidP="003F6A5D">
      <w:pPr>
        <w:numPr>
          <w:ilvl w:val="0"/>
          <w:numId w:val="327"/>
        </w:numPr>
        <w:snapToGrid w:val="0"/>
        <w:spacing w:line="264" w:lineRule="auto"/>
        <w:ind w:left="426"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Кравчук В. Шляхи подолання корупції в судах. </w:t>
      </w:r>
      <w:r w:rsidRPr="00511005">
        <w:rPr>
          <w:rFonts w:ascii="Arial" w:eastAsia="Times New Roman" w:hAnsi="Arial" w:cs="Arial"/>
          <w:i/>
          <w:iCs/>
          <w:szCs w:val="28"/>
          <w:shd w:val="clear" w:color="auto" w:fill="FFFFFF"/>
          <w:lang w:val="uk-UA" w:eastAsia="ru-RU"/>
        </w:rPr>
        <w:t>Право України</w:t>
      </w:r>
      <w:r w:rsidRPr="00511005">
        <w:rPr>
          <w:rFonts w:ascii="Arial" w:eastAsia="Times New Roman" w:hAnsi="Arial" w:cs="Arial"/>
          <w:i/>
          <w:iCs/>
          <w:szCs w:val="28"/>
          <w:shd w:val="clear" w:color="auto" w:fill="FFFFFF"/>
          <w:lang w:eastAsia="ru-RU"/>
        </w:rPr>
        <w:t>.</w:t>
      </w:r>
      <w:r w:rsidRPr="00511005">
        <w:rPr>
          <w:rFonts w:ascii="Arial" w:eastAsia="Times New Roman" w:hAnsi="Arial" w:cs="Arial"/>
          <w:szCs w:val="28"/>
          <w:shd w:val="clear" w:color="auto" w:fill="FFFFFF"/>
          <w:lang w:val="uk-UA" w:eastAsia="ru-RU"/>
        </w:rPr>
        <w:t> </w:t>
      </w:r>
      <w:r w:rsidRPr="00511005">
        <w:rPr>
          <w:rFonts w:ascii="Arial" w:eastAsia="Times New Roman" w:hAnsi="Arial" w:cs="Arial"/>
          <w:szCs w:val="28"/>
          <w:shd w:val="clear" w:color="auto" w:fill="FFFFFF"/>
          <w:lang w:eastAsia="ru-RU"/>
        </w:rPr>
        <w:t>20</w:t>
      </w:r>
      <w:r w:rsidRPr="00511005">
        <w:rPr>
          <w:rFonts w:ascii="Arial" w:eastAsia="Times New Roman" w:hAnsi="Arial" w:cs="Arial"/>
          <w:szCs w:val="28"/>
          <w:shd w:val="clear" w:color="auto" w:fill="FFFFFF"/>
          <w:lang w:val="uk-UA" w:eastAsia="ru-RU"/>
        </w:rPr>
        <w:t>1</w:t>
      </w:r>
      <w:r w:rsidRPr="00511005">
        <w:rPr>
          <w:rFonts w:ascii="Arial" w:eastAsia="Times New Roman" w:hAnsi="Arial" w:cs="Arial"/>
          <w:szCs w:val="28"/>
          <w:shd w:val="clear" w:color="auto" w:fill="FFFFFF"/>
          <w:lang w:eastAsia="ru-RU"/>
        </w:rPr>
        <w:t>7. № 1.</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eastAsia="ru-RU"/>
        </w:rPr>
        <w:t>С.</w:t>
      </w:r>
      <w:r w:rsidR="007B2628" w:rsidRPr="00511005">
        <w:rPr>
          <w:rFonts w:ascii="Arial" w:eastAsia="Times New Roman" w:hAnsi="Arial" w:cs="Arial"/>
          <w:szCs w:val="28"/>
          <w:shd w:val="clear" w:color="auto" w:fill="FFFFFF"/>
          <w:lang w:eastAsia="ru-RU"/>
        </w:rPr>
        <w:t xml:space="preserve"> </w:t>
      </w:r>
      <w:r w:rsidRPr="00511005">
        <w:rPr>
          <w:rFonts w:ascii="Arial" w:eastAsia="Times New Roman" w:hAnsi="Arial" w:cs="Arial"/>
          <w:szCs w:val="28"/>
          <w:shd w:val="clear" w:color="auto" w:fill="FFFFFF"/>
          <w:lang w:val="uk-UA" w:eastAsia="ru-RU"/>
        </w:rPr>
        <w:t>22-27.</w:t>
      </w:r>
    </w:p>
    <w:p w14:paraId="38C1DC3B" w14:textId="5597259D" w:rsidR="00C10374" w:rsidRPr="00511005" w:rsidRDefault="007B2628" w:rsidP="003A292D">
      <w:pPr>
        <w:snapToGrid w:val="0"/>
        <w:spacing w:line="264" w:lineRule="auto"/>
        <w:ind w:firstLine="567"/>
        <w:rPr>
          <w:rFonts w:ascii="Arial" w:eastAsia="Calibri" w:hAnsi="Arial" w:cs="Arial"/>
          <w:szCs w:val="28"/>
          <w:shd w:val="clear" w:color="auto" w:fill="FFFFFF"/>
          <w:lang w:val="uk-UA"/>
        </w:rPr>
      </w:pPr>
      <w:r w:rsidRPr="00511005">
        <w:rPr>
          <w:rFonts w:ascii="Arial" w:eastAsia="Calibri" w:hAnsi="Arial" w:cs="Arial"/>
          <w:b/>
          <w:i/>
          <w:szCs w:val="28"/>
          <w:shd w:val="clear" w:color="auto" w:fill="FFFFFF"/>
          <w:lang w:val="uk-UA"/>
        </w:rPr>
        <w:t xml:space="preserve">Ключові слова: </w:t>
      </w:r>
      <w:r w:rsidR="00C10374" w:rsidRPr="00511005">
        <w:rPr>
          <w:rFonts w:ascii="Arial" w:eastAsia="Calibri" w:hAnsi="Arial" w:cs="Arial"/>
          <w:szCs w:val="28"/>
          <w:shd w:val="clear" w:color="auto" w:fill="FFFFFF"/>
          <w:lang w:val="uk-UA"/>
        </w:rPr>
        <w:t>корупція, корупція в судах, громадський контроль, суди.</w:t>
      </w:r>
    </w:p>
    <w:p w14:paraId="002A9303" w14:textId="408B22BD" w:rsidR="00C10374" w:rsidRPr="00511005" w:rsidRDefault="007B2628" w:rsidP="003A292D">
      <w:pPr>
        <w:snapToGrid w:val="0"/>
        <w:spacing w:line="264" w:lineRule="auto"/>
        <w:ind w:firstLine="567"/>
        <w:rPr>
          <w:rFonts w:ascii="Arial" w:eastAsia="Calibri" w:hAnsi="Arial" w:cs="Arial"/>
          <w:szCs w:val="28"/>
          <w:lang w:val="uk-UA"/>
        </w:rPr>
      </w:pPr>
      <w:r w:rsidRPr="00511005">
        <w:rPr>
          <w:rFonts w:ascii="Arial" w:eastAsia="Calibri" w:hAnsi="Arial" w:cs="Arial"/>
          <w:b/>
          <w:i/>
          <w:szCs w:val="28"/>
          <w:shd w:val="clear" w:color="auto" w:fill="FFFFFF"/>
          <w:lang w:val="en-US"/>
        </w:rPr>
        <w:lastRenderedPageBreak/>
        <w:t xml:space="preserve">Key words: </w:t>
      </w:r>
      <w:r w:rsidR="00C10374" w:rsidRPr="00511005">
        <w:rPr>
          <w:rFonts w:ascii="Arial" w:eastAsia="Calibri" w:hAnsi="Arial" w:cs="Arial"/>
          <w:szCs w:val="28"/>
          <w:lang w:val="en-US"/>
        </w:rPr>
        <w:t>corruption</w:t>
      </w:r>
      <w:r w:rsidR="00C10374" w:rsidRPr="00511005">
        <w:rPr>
          <w:rFonts w:ascii="Arial" w:eastAsia="Calibri" w:hAnsi="Arial" w:cs="Arial"/>
          <w:szCs w:val="28"/>
          <w:lang w:val="uk-UA"/>
        </w:rPr>
        <w:t xml:space="preserve">, </w:t>
      </w:r>
      <w:r w:rsidR="00C10374" w:rsidRPr="00511005">
        <w:rPr>
          <w:rFonts w:ascii="Arial" w:eastAsia="Calibri" w:hAnsi="Arial" w:cs="Arial"/>
          <w:szCs w:val="28"/>
          <w:lang w:val="en-US"/>
        </w:rPr>
        <w:t>c</w:t>
      </w:r>
      <w:r w:rsidR="00C10374" w:rsidRPr="00511005">
        <w:rPr>
          <w:rFonts w:ascii="Arial" w:eastAsia="Calibri" w:hAnsi="Arial" w:cs="Arial"/>
          <w:szCs w:val="28"/>
          <w:lang w:val="uk-UA"/>
        </w:rPr>
        <w:t>orruption in the courts, public control, courts.</w:t>
      </w:r>
    </w:p>
    <w:p w14:paraId="7C5689D1" w14:textId="77777777" w:rsidR="00C10374" w:rsidRPr="00511005" w:rsidRDefault="00C10374" w:rsidP="003A292D">
      <w:pPr>
        <w:snapToGrid w:val="0"/>
        <w:spacing w:line="264" w:lineRule="auto"/>
        <w:ind w:firstLine="567"/>
        <w:rPr>
          <w:rFonts w:ascii="Arial" w:eastAsia="Calibri" w:hAnsi="Arial" w:cs="Arial"/>
          <w:szCs w:val="28"/>
          <w:shd w:val="clear" w:color="auto" w:fill="FFFFFF"/>
          <w:lang w:val="uk-UA"/>
        </w:rPr>
      </w:pPr>
    </w:p>
    <w:p w14:paraId="1EF20BD1" w14:textId="180A2849" w:rsidR="00C10374" w:rsidRPr="00511005" w:rsidRDefault="007B2628" w:rsidP="003A292D">
      <w:pPr>
        <w:snapToGrid w:val="0"/>
        <w:spacing w:line="264" w:lineRule="auto"/>
        <w:ind w:firstLine="567"/>
        <w:rPr>
          <w:rFonts w:ascii="Arial" w:eastAsia="Calibri" w:hAnsi="Arial" w:cs="Arial"/>
          <w:i/>
          <w:iCs/>
          <w:szCs w:val="28"/>
          <w:shd w:val="clear" w:color="auto" w:fill="FFFFFF"/>
          <w:lang w:val="uk-UA"/>
        </w:rPr>
      </w:pPr>
      <w:r w:rsidRPr="00511005">
        <w:rPr>
          <w:rFonts w:ascii="Arial" w:eastAsia="Calibri" w:hAnsi="Arial" w:cs="Arial"/>
          <w:b/>
          <w:i/>
          <w:iCs/>
          <w:szCs w:val="28"/>
          <w:shd w:val="clear" w:color="auto" w:fill="FFFFFF"/>
          <w:lang w:val="uk-UA"/>
        </w:rPr>
        <w:t xml:space="preserve">Науковий керівник: </w:t>
      </w:r>
      <w:r w:rsidR="00C10374" w:rsidRPr="00511005">
        <w:rPr>
          <w:rFonts w:ascii="Arial" w:eastAsia="Calibri" w:hAnsi="Arial" w:cs="Arial"/>
          <w:i/>
          <w:iCs/>
          <w:szCs w:val="28"/>
          <w:shd w:val="clear" w:color="auto" w:fill="FFFFFF"/>
          <w:lang w:val="uk-UA"/>
        </w:rPr>
        <w:t xml:space="preserve">к.ю.н., доцент Кравченко М. О. </w:t>
      </w:r>
    </w:p>
    <w:p w14:paraId="46BC2093" w14:textId="77777777" w:rsidR="00C10374" w:rsidRPr="00511005" w:rsidRDefault="00C10374" w:rsidP="003A292D">
      <w:pPr>
        <w:widowControl w:val="0"/>
        <w:spacing w:line="264" w:lineRule="auto"/>
        <w:ind w:firstLine="0"/>
        <w:rPr>
          <w:rFonts w:ascii="Arial" w:eastAsia="Calibri" w:hAnsi="Arial" w:cs="Arial"/>
          <w:szCs w:val="28"/>
          <w:lang w:val="uk-UA"/>
        </w:rPr>
      </w:pPr>
    </w:p>
    <w:p w14:paraId="3A3A8477" w14:textId="77777777" w:rsidR="00C10374" w:rsidRPr="00511005" w:rsidRDefault="00C10374" w:rsidP="003A292D">
      <w:pPr>
        <w:widowControl w:val="0"/>
        <w:spacing w:line="264" w:lineRule="auto"/>
        <w:ind w:firstLine="0"/>
        <w:rPr>
          <w:rFonts w:ascii="Arial" w:eastAsia="Calibri" w:hAnsi="Arial" w:cs="Arial"/>
          <w:szCs w:val="28"/>
          <w:lang w:val="uk-UA"/>
        </w:rPr>
      </w:pPr>
    </w:p>
    <w:p w14:paraId="43D60FD4" w14:textId="77777777" w:rsidR="00C10374" w:rsidRPr="00511005" w:rsidRDefault="00C10374" w:rsidP="003A292D">
      <w:pPr>
        <w:spacing w:line="264" w:lineRule="auto"/>
        <w:ind w:firstLine="0"/>
        <w:jc w:val="center"/>
        <w:rPr>
          <w:rFonts w:ascii="Arial" w:eastAsia="Times New Roman" w:hAnsi="Arial" w:cs="Arial"/>
          <w:b/>
          <w:i/>
          <w:iCs/>
          <w:szCs w:val="28"/>
          <w:lang w:val="uk-UA" w:eastAsia="ru-RU" w:bidi="uk-UA"/>
        </w:rPr>
      </w:pPr>
      <w:r w:rsidRPr="00511005">
        <w:rPr>
          <w:rFonts w:ascii="Arial" w:eastAsia="Times New Roman" w:hAnsi="Arial" w:cs="Arial"/>
          <w:b/>
          <w:i/>
          <w:iCs/>
          <w:szCs w:val="28"/>
          <w:lang w:val="uk-UA" w:eastAsia="ru-RU" w:bidi="uk-UA"/>
        </w:rPr>
        <w:t>Шкімбова Ганна Олександрівна</w:t>
      </w:r>
    </w:p>
    <w:p w14:paraId="062A0F39" w14:textId="64C6223E" w:rsidR="00C10374" w:rsidRPr="00511005" w:rsidRDefault="00BE3972" w:rsidP="003A292D">
      <w:pPr>
        <w:spacing w:line="264" w:lineRule="auto"/>
        <w:ind w:firstLine="0"/>
        <w:jc w:val="center"/>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студентка 1-го курсу </w:t>
      </w:r>
      <w:r w:rsidR="001B7B25" w:rsidRPr="00511005">
        <w:rPr>
          <w:rFonts w:ascii="Arial" w:eastAsia="Times New Roman" w:hAnsi="Arial" w:cs="Arial"/>
          <w:bCs/>
          <w:szCs w:val="28"/>
          <w:lang w:val="uk-UA" w:eastAsia="ru-RU" w:bidi="uk-UA"/>
        </w:rPr>
        <w:t>факультету судового та міжнародного права</w:t>
      </w:r>
    </w:p>
    <w:p w14:paraId="1696B648" w14:textId="5E6E0554" w:rsidR="00C10374" w:rsidRPr="00511005" w:rsidRDefault="007B2628" w:rsidP="003A292D">
      <w:pPr>
        <w:spacing w:line="264" w:lineRule="auto"/>
        <w:ind w:firstLine="0"/>
        <w:jc w:val="center"/>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Національного університету «Одеська юридична академія»</w:t>
      </w:r>
    </w:p>
    <w:p w14:paraId="2EDBA0F4" w14:textId="77777777" w:rsidR="00C10374" w:rsidRPr="00511005" w:rsidRDefault="00C10374" w:rsidP="003A292D">
      <w:pPr>
        <w:spacing w:line="264" w:lineRule="auto"/>
        <w:ind w:firstLine="0"/>
        <w:jc w:val="center"/>
        <w:rPr>
          <w:rFonts w:ascii="Arial" w:eastAsia="Times New Roman" w:hAnsi="Arial" w:cs="Arial"/>
          <w:b/>
          <w:szCs w:val="28"/>
          <w:lang w:val="uk-UA" w:eastAsia="ru-RU" w:bidi="uk-UA"/>
        </w:rPr>
      </w:pPr>
    </w:p>
    <w:p w14:paraId="3ABA7E58" w14:textId="77777777" w:rsidR="00C10374" w:rsidRPr="00511005" w:rsidRDefault="00C10374" w:rsidP="003A292D">
      <w:pPr>
        <w:spacing w:line="264" w:lineRule="auto"/>
        <w:ind w:firstLine="0"/>
        <w:jc w:val="center"/>
        <w:rPr>
          <w:rFonts w:ascii="Arial" w:eastAsia="Times New Roman" w:hAnsi="Arial" w:cs="Arial"/>
          <w:b/>
          <w:szCs w:val="28"/>
          <w:lang w:val="uk-UA" w:eastAsia="ru-RU" w:bidi="uk-UA"/>
        </w:rPr>
      </w:pPr>
      <w:r w:rsidRPr="00511005">
        <w:rPr>
          <w:rFonts w:ascii="Arial" w:eastAsia="Times New Roman" w:hAnsi="Arial" w:cs="Arial"/>
          <w:b/>
          <w:szCs w:val="28"/>
          <w:lang w:val="uk-UA" w:eastAsia="ru-RU" w:bidi="uk-UA"/>
        </w:rPr>
        <w:t xml:space="preserve">АДВОКАТСЬКА ТАЄМНИЦЯ ТА ЇЇ ЗНАЧЕННЯ </w:t>
      </w:r>
    </w:p>
    <w:p w14:paraId="1F8DB74F" w14:textId="77777777" w:rsidR="00C10374" w:rsidRPr="00511005" w:rsidRDefault="00C10374" w:rsidP="003A292D">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Згідно з українським законодавством, зокрема Законом України «Про адвокатуру та адвокатську діяльність», адвокатська таємниця включає будь-яку інформацію, що стала відома адвокату у зв’язку з виконанням його професійних обов’язків. До неї належать документи, що містять персональні або справові відомості клієнта, інформація про стратегію захисту, правові висновки, матеріали справи, в тому числі ті, що зібрані за дорученням клієнта чи на його прохання [1].</w:t>
      </w:r>
    </w:p>
    <w:p w14:paraId="1ABE142A" w14:textId="77777777" w:rsidR="00C10374" w:rsidRPr="00511005" w:rsidRDefault="00C10374" w:rsidP="003A292D">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 xml:space="preserve">Адвокатська таємниця відіграє фундаментальну роль у формуванні професійних та етичних взаємовідносин між адвокатом і клієнтом. Вона забезпечує необхідний рівень довіри, без якого ефективне надання правничої допомоги було б неможливе. Клієнт, звертаючись за допомогою, повинен мати впевненість, що вся надана інформація (незалежно від її характеру чи важливості) залишиться конфіденційною та не буде використана проти нього ні адвокатом, ні третіми особами. Така впевненість формує відкритість у спілкуванні, дозволяючи адвокату отримати повну картину справи й обрати найоптимальнішу правову стратегію захисту. Крім того, коли клієнт знає, що адвокат зобов'язаний зберігати таємницю навіть після завершення їх взаємовідносин, це підсилює повагу до інституту адвокатури. </w:t>
      </w:r>
    </w:p>
    <w:p w14:paraId="09184728" w14:textId="77777777" w:rsidR="00C10374" w:rsidRPr="00511005" w:rsidRDefault="00C10374" w:rsidP="003A292D">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Порушення адвокатської таємниці не лише підриває цю довіру, але й ставить під загрозу реалізацію основоположних прав людини. Таємниця спілкування між підзахисним і його адвокатом є недоторканною (якщо ми говоримо про кримінальний процес), а втручання в неї, наприклад, шляхом прослуховування або негласного стеження, не допускається.</w:t>
      </w:r>
    </w:p>
    <w:p w14:paraId="036E9058" w14:textId="77777777" w:rsidR="00C10374" w:rsidRPr="00511005" w:rsidRDefault="00C10374" w:rsidP="003A292D">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На жаль, на практиці гарантії адвокатської таємниці часто зазнають утисків. Типовими проблемами залишаються безпідставні обшуки в офісах адвокатів, вилучення електронних носіїв інформації, проведення негласних слідчих дій стосовно захисників без наявності достатніх підстав. Це викликає значне занепокоєння як серед правозахисної спільноти, так і серед міжнародних організацій, адже такі дії можуть бути інструментом тиску на сторону захисту, що нівелює ідею рівності сторін у процесі.</w:t>
      </w:r>
    </w:p>
    <w:p w14:paraId="43A42608" w14:textId="77777777" w:rsidR="00C10374" w:rsidRPr="00511005" w:rsidRDefault="00C10374" w:rsidP="003A292D">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lastRenderedPageBreak/>
        <w:t>Адвокатська таємниця, як правовий інститут, перебуває також у сфері регулювання міжнародного права. Європейський суд з прав людини неодноразово підкреслював, що таємниця комунікацій адвоката з клієнтом є невід’ємною частиною права на справедливий суд, закріпленого у статті 6 Європейської конвенції з прав людини. Будь-яке порушення цієї таємниці може бути кваліфіковане як втручання в особисте життя (стаття 8 Конвенції), що є неприпустимим без законного обґрунтування.</w:t>
      </w:r>
    </w:p>
    <w:p w14:paraId="0B53E53D" w14:textId="048341C3" w:rsidR="00C10374" w:rsidRPr="00511005" w:rsidRDefault="00C10374" w:rsidP="003A292D">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Водночас важливо розуміти, що адвокатська таємниця не є абсолютною. Вона не може бути прикриттям для сприяння злочинній діяльності. Саме тому закон передбачає винятки, коли адвокат може бути звільнений від обов’язку нерозголошення, зокрема у випадках</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визначених п. 7</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ст. 22 Закону України «Про адвокатуру та адвокатську діяльність». </w:t>
      </w:r>
    </w:p>
    <w:p w14:paraId="2C8E10F4" w14:textId="22304811" w:rsidR="00C10374" w:rsidRPr="00511005" w:rsidRDefault="00C10374" w:rsidP="003A292D">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У контексті сучасного правозастосування виникає ряд нових викликів, пов’язаних з цифровізацією правничої діяльності, у тому числі, діяльності адвоката.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Широке використання електронної пошти, хмарних сервісів, мессенджерів і відеозв'язку породжує необхідність забезпечення безпеки адвокатської комунікації в умовах кіберзагроз. Відповідно, потрібно удосконалювати законодавче забезпечення захисту цифрових форм адвокатської таємниці, зокрема шляхом впровадження спеціального програмного забезпечення для захищеної комунікації між адвокатом і клієнтом, а також забезпечення контролю за дотриманням таких стандартів [2].</w:t>
      </w:r>
    </w:p>
    <w:p w14:paraId="612D3888" w14:textId="77777777" w:rsidR="00C10374" w:rsidRPr="00511005" w:rsidRDefault="00C10374" w:rsidP="003A292D">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 xml:space="preserve">На нашу думку, Закон України «Про судоустрій і статус суддів» також прямо пов'язаний із реалізацією інституту адвокатської таємниці. Адже саме судді є тими суб'єктами, які, розглядаючи клопотання про доступ до речей і документів адвоката, мають забезпечити дотримання принципу пропорційності втручання в адвокатську діяльність, зберігаючи баланс між потребами правосуддя та недоторканністю професійної діяльності захисника [3]. </w:t>
      </w:r>
    </w:p>
    <w:p w14:paraId="1EDE95B8" w14:textId="77777777" w:rsidR="00C10374" w:rsidRPr="00511005" w:rsidRDefault="00C10374" w:rsidP="003A292D">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Отже, адвокатська таємниця – це не просто професійний обов’язок, а один із ключових правових інститутів в демократичній державі. Його ефективне функціонування залежить від низки чинників: законодавчих гарантій, добросовісного виконання обов’язків адвокатами, а також активної позиції органів адвокатського самоврядування. В умовах сучасних викликів, включаючи технологічні загрози та політичну турбулентність, держава повинна посилити захист цього інституту, адже будь-яке послаблення гарантій конфіденційності може стати небезпечним прецедентом на шляху до згортання правових свобод.</w:t>
      </w:r>
    </w:p>
    <w:p w14:paraId="5C22854A" w14:textId="77777777" w:rsidR="00C10374" w:rsidRPr="00511005" w:rsidRDefault="00C10374" w:rsidP="003A292D">
      <w:pPr>
        <w:tabs>
          <w:tab w:val="left" w:pos="7088"/>
        </w:tabs>
        <w:spacing w:line="264" w:lineRule="auto"/>
        <w:rPr>
          <w:rFonts w:ascii="Arial" w:eastAsia="Calibri" w:hAnsi="Arial" w:cs="Arial"/>
          <w:szCs w:val="28"/>
          <w:lang w:val="uk-UA"/>
        </w:rPr>
      </w:pPr>
    </w:p>
    <w:p w14:paraId="336052BB" w14:textId="703A95C3" w:rsidR="00C10374" w:rsidRPr="00511005" w:rsidRDefault="007B2628" w:rsidP="007B2628">
      <w:pPr>
        <w:tabs>
          <w:tab w:val="left" w:pos="7088"/>
        </w:tabs>
        <w:spacing w:line="264" w:lineRule="auto"/>
        <w:jc w:val="center"/>
        <w:rPr>
          <w:rFonts w:ascii="Arial" w:eastAsia="Calibri" w:hAnsi="Arial" w:cs="Arial"/>
          <w:b/>
          <w:szCs w:val="28"/>
          <w:lang w:val="uk-UA" w:bidi="uk-UA"/>
        </w:rPr>
      </w:pPr>
      <w:r w:rsidRPr="00511005">
        <w:rPr>
          <w:rFonts w:ascii="Arial" w:eastAsia="Calibri" w:hAnsi="Arial" w:cs="Arial"/>
          <w:b/>
          <w:szCs w:val="28"/>
          <w:lang w:val="uk-UA" w:bidi="uk-UA"/>
        </w:rPr>
        <w:t>Список використаних джерел</w:t>
      </w:r>
    </w:p>
    <w:p w14:paraId="1152AA86" w14:textId="77777777" w:rsidR="00C10374" w:rsidRPr="00511005" w:rsidRDefault="00C10374" w:rsidP="003F6A5D">
      <w:pPr>
        <w:widowControl w:val="0"/>
        <w:numPr>
          <w:ilvl w:val="0"/>
          <w:numId w:val="830"/>
        </w:numPr>
        <w:tabs>
          <w:tab w:val="left" w:pos="7088"/>
        </w:tabs>
        <w:autoSpaceDE w:val="0"/>
        <w:autoSpaceDN w:val="0"/>
        <w:adjustRightInd w:val="0"/>
        <w:spacing w:line="264" w:lineRule="auto"/>
        <w:ind w:left="0"/>
        <w:contextualSpacing/>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Про адвокатуру та адвокатську діяльність: Закон України № 5076-VI від 05.07.2012 р. URL: https://zakon.rada.gov.ua/laws/show/5076-17#Text (дата </w:t>
      </w:r>
      <w:r w:rsidRPr="00511005">
        <w:rPr>
          <w:rFonts w:ascii="Arial" w:eastAsia="Times New Roman" w:hAnsi="Arial" w:cs="Arial"/>
          <w:szCs w:val="28"/>
          <w:lang w:val="uk-UA" w:eastAsia="ru-RU" w:bidi="uk-UA"/>
        </w:rPr>
        <w:lastRenderedPageBreak/>
        <w:t>звернення: 11.04.2025)</w:t>
      </w:r>
    </w:p>
    <w:p w14:paraId="2B64A14F" w14:textId="77777777" w:rsidR="00C10374" w:rsidRPr="00511005" w:rsidRDefault="00C10374" w:rsidP="003F6A5D">
      <w:pPr>
        <w:widowControl w:val="0"/>
        <w:numPr>
          <w:ilvl w:val="0"/>
          <w:numId w:val="830"/>
        </w:numPr>
        <w:tabs>
          <w:tab w:val="left" w:pos="7088"/>
        </w:tabs>
        <w:autoSpaceDE w:val="0"/>
        <w:autoSpaceDN w:val="0"/>
        <w:adjustRightInd w:val="0"/>
        <w:spacing w:line="264" w:lineRule="auto"/>
        <w:ind w:left="0"/>
        <w:contextualSpacing/>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Волонтир О. О. Питання збереження адвокатської таємниці як гарантії дотримання та забезпечення принципу конфіденційності. </w:t>
      </w:r>
      <w:r w:rsidRPr="00511005">
        <w:rPr>
          <w:rFonts w:ascii="Arial" w:eastAsia="Times New Roman" w:hAnsi="Arial" w:cs="Arial"/>
          <w:i/>
          <w:szCs w:val="28"/>
          <w:lang w:val="uk-UA" w:eastAsia="ru-RU" w:bidi="uk-UA"/>
        </w:rPr>
        <w:t>Сучасні аспекти модернізації науки: стан, проблеми, тенденції розвитку.</w:t>
      </w:r>
      <w:r w:rsidRPr="00511005">
        <w:rPr>
          <w:rFonts w:ascii="Arial" w:eastAsia="Times New Roman" w:hAnsi="Arial" w:cs="Arial"/>
          <w:szCs w:val="28"/>
          <w:lang w:val="uk-UA" w:eastAsia="ru-RU" w:bidi="uk-UA"/>
        </w:rPr>
        <w:t xml:space="preserve"> URL:</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bidi="uk-UA"/>
        </w:rPr>
        <w:t>https://surl.li/civykg (дата звернення: 11.04.2025)</w:t>
      </w:r>
    </w:p>
    <w:p w14:paraId="4E8D2A3E" w14:textId="77777777" w:rsidR="00C10374" w:rsidRPr="00511005" w:rsidRDefault="00C10374" w:rsidP="003F6A5D">
      <w:pPr>
        <w:widowControl w:val="0"/>
        <w:numPr>
          <w:ilvl w:val="0"/>
          <w:numId w:val="830"/>
        </w:numPr>
        <w:tabs>
          <w:tab w:val="left" w:pos="7088"/>
        </w:tabs>
        <w:autoSpaceDE w:val="0"/>
        <w:autoSpaceDN w:val="0"/>
        <w:adjustRightInd w:val="0"/>
        <w:spacing w:line="264" w:lineRule="auto"/>
        <w:ind w:left="0"/>
        <w:contextualSpacing/>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Про судоустрій і статус суддів: Закон України № 1402-VIII, від 02.06.2016 р. URL: https://zakon.rada.gov.ua/laws/show/1402-19#Text (дата звернення: 11.04.2025)</w:t>
      </w:r>
    </w:p>
    <w:p w14:paraId="189A5E7F" w14:textId="77777777" w:rsidR="00C10374" w:rsidRPr="00511005" w:rsidRDefault="00C10374" w:rsidP="003A292D">
      <w:pPr>
        <w:tabs>
          <w:tab w:val="left" w:pos="993"/>
          <w:tab w:val="left" w:pos="7088"/>
        </w:tabs>
        <w:spacing w:line="264" w:lineRule="auto"/>
        <w:ind w:firstLine="0"/>
        <w:rPr>
          <w:rFonts w:ascii="Arial" w:eastAsia="Calibri" w:hAnsi="Arial" w:cs="Arial"/>
          <w:szCs w:val="28"/>
          <w:lang w:val="uk-UA" w:bidi="uk-UA"/>
        </w:rPr>
      </w:pPr>
    </w:p>
    <w:p w14:paraId="7527FD09" w14:textId="46AD217D" w:rsidR="00C10374" w:rsidRPr="00511005" w:rsidRDefault="007B2628" w:rsidP="003A292D">
      <w:pPr>
        <w:spacing w:line="264" w:lineRule="auto"/>
        <w:ind w:firstLine="0"/>
        <w:rPr>
          <w:rFonts w:ascii="Arial" w:eastAsia="Calibri" w:hAnsi="Arial" w:cs="Arial"/>
          <w:i/>
          <w:szCs w:val="28"/>
          <w:lang w:val="uk-UA" w:eastAsia="uk-UA"/>
        </w:rPr>
      </w:pPr>
      <w:r w:rsidRPr="00511005">
        <w:rPr>
          <w:rFonts w:ascii="Arial" w:eastAsia="Calibri" w:hAnsi="Arial" w:cs="Arial"/>
          <w:b/>
          <w:bCs/>
          <w:i/>
          <w:szCs w:val="28"/>
          <w:lang w:val="uk-UA" w:eastAsia="uk-UA"/>
        </w:rPr>
        <w:t xml:space="preserve">Ключові слова: </w:t>
      </w:r>
      <w:r w:rsidR="00C10374" w:rsidRPr="00511005">
        <w:rPr>
          <w:rFonts w:ascii="Arial" w:eastAsia="Calibri" w:hAnsi="Arial" w:cs="Arial"/>
          <w:szCs w:val="28"/>
          <w:lang w:val="uk-UA" w:eastAsia="uk-UA"/>
        </w:rPr>
        <w:t>адвокатська таємниця, правова допомога, конфіденційність, правовий захист, юридична етика, гарантії захисту, непорушність таємниці, дотримання стандартів адвокатури.</w:t>
      </w:r>
    </w:p>
    <w:p w14:paraId="1A232660" w14:textId="59B265A3" w:rsidR="00C10374" w:rsidRPr="00511005" w:rsidRDefault="007B2628" w:rsidP="003A292D">
      <w:pPr>
        <w:tabs>
          <w:tab w:val="left" w:pos="993"/>
          <w:tab w:val="left" w:pos="7088"/>
        </w:tabs>
        <w:spacing w:line="264" w:lineRule="auto"/>
        <w:ind w:firstLine="0"/>
        <w:rPr>
          <w:rFonts w:ascii="Arial" w:eastAsia="Calibri" w:hAnsi="Arial" w:cs="Arial"/>
          <w:i/>
          <w:szCs w:val="28"/>
          <w:lang w:val="uk-UA" w:bidi="uk-UA"/>
        </w:rPr>
      </w:pPr>
      <w:r w:rsidRPr="00511005">
        <w:rPr>
          <w:rFonts w:ascii="Arial" w:eastAsia="Calibri" w:hAnsi="Arial" w:cs="Arial"/>
          <w:b/>
          <w:bCs/>
          <w:i/>
          <w:szCs w:val="28"/>
          <w:lang w:val="uk-UA"/>
        </w:rPr>
        <w:t xml:space="preserve">Key words: </w:t>
      </w:r>
      <w:r w:rsidR="00C10374" w:rsidRPr="00511005">
        <w:rPr>
          <w:rFonts w:ascii="Arial" w:eastAsia="Calibri" w:hAnsi="Arial" w:cs="Arial"/>
          <w:szCs w:val="28"/>
          <w:lang w:val="uk-UA"/>
        </w:rPr>
        <w:t>legal privilege, legal aid, confidentiality, legal protection, legal ethics, safeguards of protection, inviolability of secrecy, compliance with bar standards.</w:t>
      </w:r>
    </w:p>
    <w:p w14:paraId="5183FE20" w14:textId="77777777" w:rsidR="00C10374" w:rsidRPr="00511005" w:rsidRDefault="00C10374" w:rsidP="003A292D">
      <w:pPr>
        <w:tabs>
          <w:tab w:val="left" w:pos="993"/>
          <w:tab w:val="left" w:pos="7088"/>
        </w:tabs>
        <w:spacing w:line="264" w:lineRule="auto"/>
        <w:ind w:firstLine="0"/>
        <w:rPr>
          <w:rFonts w:ascii="Arial" w:eastAsia="Calibri" w:hAnsi="Arial" w:cs="Arial"/>
          <w:i/>
          <w:iCs/>
          <w:szCs w:val="28"/>
          <w:lang w:val="uk-UA" w:bidi="uk-UA"/>
        </w:rPr>
      </w:pPr>
    </w:p>
    <w:p w14:paraId="4FB8F5E1" w14:textId="2C65A858" w:rsidR="00C10374" w:rsidRPr="00511005" w:rsidRDefault="007B2628" w:rsidP="003A292D">
      <w:pPr>
        <w:tabs>
          <w:tab w:val="left" w:pos="993"/>
          <w:tab w:val="left" w:pos="7088"/>
        </w:tabs>
        <w:spacing w:line="264" w:lineRule="auto"/>
        <w:ind w:firstLine="0"/>
        <w:rPr>
          <w:rFonts w:ascii="Arial" w:eastAsia="Calibri" w:hAnsi="Arial" w:cs="Arial"/>
          <w:i/>
          <w:iCs/>
          <w:szCs w:val="28"/>
          <w:lang w:val="uk-UA" w:bidi="uk-UA"/>
        </w:rPr>
      </w:pPr>
      <w:r w:rsidRPr="00511005">
        <w:rPr>
          <w:rFonts w:ascii="Arial" w:eastAsia="Calibri" w:hAnsi="Arial" w:cs="Arial"/>
          <w:b/>
          <w:i/>
          <w:iCs/>
          <w:szCs w:val="28"/>
          <w:lang w:val="uk-UA" w:bidi="uk-UA"/>
        </w:rPr>
        <w:t xml:space="preserve">Науковий керівник: </w:t>
      </w:r>
      <w:r w:rsidR="00C10374" w:rsidRPr="00511005">
        <w:rPr>
          <w:rFonts w:ascii="Arial" w:eastAsia="Calibri" w:hAnsi="Arial" w:cs="Arial"/>
          <w:i/>
          <w:iCs/>
          <w:szCs w:val="28"/>
          <w:lang w:val="uk-UA" w:bidi="uk-UA"/>
        </w:rPr>
        <w:t xml:space="preserve">к.ю.н., доцент Кравченко М. О. </w:t>
      </w:r>
    </w:p>
    <w:p w14:paraId="05BD93EE" w14:textId="77777777" w:rsidR="00C10374" w:rsidRPr="00511005" w:rsidRDefault="00C10374" w:rsidP="003A292D">
      <w:pPr>
        <w:widowControl w:val="0"/>
        <w:spacing w:line="264" w:lineRule="auto"/>
        <w:ind w:firstLine="0"/>
        <w:rPr>
          <w:rFonts w:ascii="Arial" w:eastAsia="Calibri" w:hAnsi="Arial" w:cs="Arial"/>
          <w:szCs w:val="28"/>
          <w:lang w:val="uk-UA"/>
        </w:rPr>
      </w:pPr>
    </w:p>
    <w:p w14:paraId="54E0C71C" w14:textId="77777777" w:rsidR="00C10374" w:rsidRPr="00511005" w:rsidRDefault="00C10374" w:rsidP="003A292D">
      <w:pPr>
        <w:widowControl w:val="0"/>
        <w:spacing w:line="264" w:lineRule="auto"/>
        <w:ind w:firstLine="0"/>
        <w:rPr>
          <w:rFonts w:ascii="Arial" w:eastAsia="Calibri" w:hAnsi="Arial" w:cs="Arial"/>
          <w:szCs w:val="28"/>
          <w:lang w:val="uk-UA"/>
        </w:rPr>
      </w:pPr>
    </w:p>
    <w:p w14:paraId="6525A466" w14:textId="77777777" w:rsidR="00C10374" w:rsidRPr="00511005" w:rsidRDefault="00C10374" w:rsidP="003A292D">
      <w:pPr>
        <w:keepNext/>
        <w:widowControl w:val="0"/>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Щербина Марія Миколаївна</w:t>
      </w:r>
    </w:p>
    <w:p w14:paraId="7020B6D1" w14:textId="0053A585" w:rsidR="00C10374" w:rsidRPr="00511005" w:rsidRDefault="00BE3972" w:rsidP="003A292D">
      <w:pPr>
        <w:keepNext/>
        <w:widowControl w:val="0"/>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r w:rsidR="00C10374" w:rsidRPr="00511005">
        <w:rPr>
          <w:rFonts w:ascii="Arial" w:eastAsia="Calibri" w:hAnsi="Arial" w:cs="Arial"/>
          <w:szCs w:val="28"/>
          <w:lang w:val="uk-UA"/>
        </w:rPr>
        <w:br/>
      </w:r>
      <w:r w:rsidR="007B2628" w:rsidRPr="00511005">
        <w:rPr>
          <w:rFonts w:ascii="Arial" w:eastAsia="Calibri" w:hAnsi="Arial" w:cs="Arial"/>
          <w:szCs w:val="28"/>
          <w:lang w:val="uk-UA"/>
        </w:rPr>
        <w:t>Національного університету «Одеська юридична академія»</w:t>
      </w:r>
    </w:p>
    <w:p w14:paraId="321260FE" w14:textId="77777777" w:rsidR="00C10374" w:rsidRPr="00511005" w:rsidRDefault="00C10374" w:rsidP="003A292D">
      <w:pPr>
        <w:keepNext/>
        <w:widowControl w:val="0"/>
        <w:spacing w:line="264" w:lineRule="auto"/>
        <w:ind w:firstLine="0"/>
        <w:jc w:val="center"/>
        <w:rPr>
          <w:rFonts w:ascii="Arial" w:eastAsia="Calibri" w:hAnsi="Arial" w:cs="Arial"/>
          <w:b/>
          <w:szCs w:val="28"/>
          <w:lang w:val="uk-UA"/>
        </w:rPr>
      </w:pPr>
    </w:p>
    <w:p w14:paraId="061FCDDD" w14:textId="77777777" w:rsidR="00C10374" w:rsidRPr="00511005" w:rsidRDefault="00C10374" w:rsidP="003A292D">
      <w:pPr>
        <w:keepNext/>
        <w:widowControl w:val="0"/>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МІСЦЕ ПРОКУРАТУРИ В СИСТЕМІ ОРГАНІВ ДЕРЖАВНОЇ ВЛАДИ</w:t>
      </w:r>
    </w:p>
    <w:p w14:paraId="0D2945BE" w14:textId="77777777" w:rsidR="00C10374" w:rsidRPr="00511005" w:rsidRDefault="00C10374" w:rsidP="003A292D">
      <w:pPr>
        <w:spacing w:line="264" w:lineRule="auto"/>
        <w:ind w:firstLine="720"/>
        <w:rPr>
          <w:rFonts w:ascii="Arial" w:eastAsia="Calibri" w:hAnsi="Arial" w:cs="Arial"/>
          <w:szCs w:val="28"/>
          <w:lang w:val="uk-UA"/>
        </w:rPr>
      </w:pPr>
    </w:p>
    <w:p w14:paraId="0365552E" w14:textId="77777777" w:rsidR="00C10374" w:rsidRPr="00511005" w:rsidRDefault="00C10374" w:rsidP="003A292D">
      <w:pPr>
        <w:spacing w:line="264" w:lineRule="auto"/>
        <w:ind w:firstLine="720"/>
        <w:rPr>
          <w:rFonts w:ascii="Arial" w:eastAsia="Calibri" w:hAnsi="Arial" w:cs="Arial"/>
          <w:szCs w:val="28"/>
        </w:rPr>
      </w:pPr>
      <w:r w:rsidRPr="00511005">
        <w:rPr>
          <w:rFonts w:ascii="Arial" w:eastAsia="Calibri" w:hAnsi="Arial" w:cs="Arial"/>
          <w:szCs w:val="28"/>
          <w:lang w:val="uk-UA"/>
        </w:rPr>
        <w:t>В рамках судової реформи 2016 року все ще відбуваються вагомі зміни у сфері правосуддя та, відповідно, трансформації усього сектору юстиції і органу прокуратури. Важливим є сформувати стабільне та чітке місце прокуратури в системі органів державної влади України. Функції, призначення та повноваження прокуратури, як її структури змінювались, зазвичай звужуючи її потенціал впливу на суспільство. Досі тривають дискусії, яким чином прокуратура повинна існувати в системі органів влади, а питання звузити чи розширити обсяг повноважень, знайти баланс у впливі прокуратури на суспільство та підзвітність йому залишається відкритим.</w:t>
      </w:r>
    </w:p>
    <w:p w14:paraId="6181804E"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З моменту існування України як суверенної та незалежної держави, прокуратура зазнавала істотних змін під час свого існування. На початку створення мала функції нагляду за діяльністю усіх суб’єктів політичної влади, органом, що фіксував належність виконання обов’язків майже усіх держслужбовців України, додержанні прав та свобод людини й громадянина, основ демократичного устрою та захисту республіки [5, ст. 1, ст. 4.]. Після судової реформи 2016 року цей орган зазнав істотних обмежень у функціонуванні: до повноважень входять лише підтримання публічного обвинувачення та процесуальне керівництво за досудовим розслідуванням </w:t>
      </w:r>
      <w:r w:rsidRPr="00511005">
        <w:rPr>
          <w:rFonts w:ascii="Arial" w:eastAsia="Calibri" w:hAnsi="Arial" w:cs="Arial"/>
          <w:szCs w:val="28"/>
          <w:lang w:val="uk-UA"/>
        </w:rPr>
        <w:lastRenderedPageBreak/>
        <w:t>та нагляд за додержанням законів під час виконання рішень та інших заходів примусового характеру з обмеження особистої свободи індивідів [3].</w:t>
      </w:r>
    </w:p>
    <w:p w14:paraId="40240BD3"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Прокуратура України – це самостійний централізований орган державної влади, що діє в системі правоохоронних органів держави та забезпечує захист від неправомірних посягань на суспільний і державний лад, права й свободи людини, а також основи демократичного устрою засобами та методами, які передбачено законом.</w:t>
      </w:r>
    </w:p>
    <w:p w14:paraId="41E66F2D"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Прокуратура не підпорядковується виконавчій або судовій владі, оскільки її діяльність є елементом системи стримувань і противаг між гілками влади.</w:t>
      </w:r>
    </w:p>
    <w:p w14:paraId="4043DCCD"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Пріоритетним напрямом діяльності прокуратури є захист прав і свобод людини. Для цього прокуратура має обмежити неправомірну або таку, що межує з правопорушенням, дію певного кола державних органів і посадових осіб передбаченими засобами в законодавстві. </w:t>
      </w:r>
    </w:p>
    <w:p w14:paraId="067A7AF2"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Цей орган державної влади здійснює свою діяльність на основі наступних нормативно-правових актів: Конституція України (розділ </w:t>
      </w:r>
      <w:r w:rsidRPr="00511005">
        <w:rPr>
          <w:rFonts w:ascii="Arial" w:eastAsia="Calibri" w:hAnsi="Arial" w:cs="Arial"/>
          <w:szCs w:val="28"/>
          <w:lang w:val="en-US"/>
        </w:rPr>
        <w:t>VIII</w:t>
      </w:r>
      <w:r w:rsidRPr="00511005">
        <w:rPr>
          <w:rFonts w:ascii="Arial" w:eastAsia="Calibri" w:hAnsi="Arial" w:cs="Arial"/>
          <w:szCs w:val="28"/>
        </w:rPr>
        <w:t xml:space="preserve">. </w:t>
      </w:r>
      <w:r w:rsidRPr="00511005">
        <w:rPr>
          <w:rFonts w:ascii="Arial" w:eastAsia="Calibri" w:hAnsi="Arial" w:cs="Arial"/>
          <w:szCs w:val="28"/>
          <w:lang w:val="uk-UA"/>
        </w:rPr>
        <w:t>Правосуддя), Закон України «Про прокуратуру» від 14.10.2014, Кримінальний процесуальний кодекс; міжнародних договорів (наприклад, Європейська конвенція з прав людини); Законів України «Про державну службу», «Про Вищу раду правосуддя»; також внутрішніх наказів Генерального прокурора тощо.</w:t>
      </w:r>
    </w:p>
    <w:p w14:paraId="23CB3A8E"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При цьому органи прокуратури захищають у межах своєї компетенції та у випадках зазначених законодавством права й свободи громадян на засадах їх рівності перед законом, незалежно від національного чи соціального походження, мови, освіти, ставлення до релігії, політичних переконань, службового чи майнового стану та інших ознак. </w:t>
      </w:r>
    </w:p>
    <w:p w14:paraId="46922C9B"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Прокуратура, як самостійний орган влади, здійснює спільну діяльність із іншими органами: законодавчими, виконавчими та судовими. </w:t>
      </w:r>
    </w:p>
    <w:p w14:paraId="70C61A09" w14:textId="77777777" w:rsidR="00C10374" w:rsidRPr="00511005" w:rsidRDefault="00C10374" w:rsidP="003A292D">
      <w:pPr>
        <w:spacing w:line="264" w:lineRule="auto"/>
        <w:ind w:firstLine="720"/>
        <w:rPr>
          <w:rFonts w:ascii="Arial" w:eastAsia="Calibri" w:hAnsi="Arial" w:cs="Arial"/>
          <w:szCs w:val="28"/>
        </w:rPr>
      </w:pPr>
      <w:r w:rsidRPr="00511005">
        <w:rPr>
          <w:rFonts w:ascii="Arial" w:eastAsia="Calibri" w:hAnsi="Arial" w:cs="Arial"/>
          <w:szCs w:val="28"/>
          <w:lang w:val="uk-UA"/>
        </w:rPr>
        <w:t>Із законодавчими органами влади (ВРУ) прокуратура співпрацює на принципах підзвітності, відкритості та взаємної поінформованості, що проявляється в звітах Генерального прокурора, зняттям та призначенням на посаду Генерального прокурора, взаємодія з Комітетом ВРУ з питань правоохоронної діяльності, наданням висновків та правових позицій щодо певних законопроєктів, консультація та реакція щодо депутатських звернень на основі Конституції України (ст. 85, 131–1), Закону України «Про прокуратуру» (ст. 6, 16), Закону України «Про комітети Верховної Ради України» (ст. 25), Закону України «Про статус народного депутата України» (ст. 16)</w:t>
      </w:r>
      <w:r w:rsidRPr="00511005">
        <w:rPr>
          <w:rFonts w:ascii="Arial" w:eastAsia="Calibri" w:hAnsi="Arial" w:cs="Arial"/>
          <w:szCs w:val="28"/>
        </w:rPr>
        <w:t>[6].</w:t>
      </w:r>
    </w:p>
    <w:p w14:paraId="7AE1C267"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Із виконавчими органами влади прокуратура співпрацює найбільше, саме у сфері протидії злочинності та антикорупційним справам окремо через САП, шляхом процесуального керівництва над досудовим розслідуванням та наглядом за додержанням процедур та дій правоохоронних органів. </w:t>
      </w:r>
      <w:r w:rsidRPr="00511005">
        <w:rPr>
          <w:rFonts w:ascii="Arial" w:eastAsia="Calibri" w:hAnsi="Arial" w:cs="Arial"/>
          <w:szCs w:val="28"/>
          <w:lang w:val="uk-UA"/>
        </w:rPr>
        <w:lastRenderedPageBreak/>
        <w:t>Основними органами, з якими співпрацює прокуратура є Національна поліція, СБУ, БЕБ, НАБУ, ДБР. Під час координації дій правоохоронних органів між ними та прокуратурою виникають суперечки та конфлікти, що зумовлені відсутністю чіткого розмежування діяльності правоохоронних органів, дублюванням їх функцій між собою, політичними впливами від депутатів чи лобіювання інтересів крупного фінансового капіталу (олігархату) [4].</w:t>
      </w:r>
    </w:p>
    <w:p w14:paraId="41EBE26D"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Із органами судової влади прокуратура співпрацює зазвичай під час підтримання публічного обвинувачення у суді, здійснює контроль за виконанням судових рішень, а у разі, коли прокурор вважає рішення суду неправомірним чи некоректним має право подати апеляційну чи касаційну скаргу [9].</w:t>
      </w:r>
    </w:p>
    <w:p w14:paraId="115A56ED"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Відкритим залишається питання того, чи доцільно виокремлювати прокуратуру до самостійного державного органу в системі правоохоронних органів. Українські громадські діячі розділились на дві групи: прихильники того, щоб прокуратура залишилась самостійним органом: прихильники того, аби «вбудувати» її до системи судової влади.</w:t>
      </w:r>
    </w:p>
    <w:p w14:paraId="51C58814"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Аргументи першої групи суспільства виявляються в тому, що за статтею 131-1 Конституції є самостійною інституцією, що виходить з ідей конформізму та сліпому слідуванню вже написаних нормативно-правових актів, надаючи їм сакрального значення; прокуратура має унікальні функції відносно інших органів влади, які не дозволяють її віднести до певної гілки влади: нагляд та контроль за дотриманням законів під час досудового розслідування, підтримання публічного обвинувачення тощо; окрім цього у сфері міжнародного співробітництва прокуратура займається питанням екстрадиції, наданні правової допомоги та співпраці з іноземними прокуратурами та органами юстиції [8]. Також така система, де прокуратура відокремлена існує не лише в Україні, а також в Австрії, Німеччині тощо </w:t>
      </w:r>
      <w:r w:rsidRPr="00511005">
        <w:rPr>
          <w:rFonts w:ascii="Arial" w:eastAsia="Calibri" w:hAnsi="Arial" w:cs="Arial"/>
          <w:szCs w:val="28"/>
        </w:rPr>
        <w:t xml:space="preserve">[1, </w:t>
      </w:r>
      <w:r w:rsidRPr="00511005">
        <w:rPr>
          <w:rFonts w:ascii="Arial" w:eastAsia="Calibri" w:hAnsi="Arial" w:cs="Arial"/>
          <w:szCs w:val="28"/>
          <w:lang w:val="en-US"/>
        </w:rPr>
        <w:t>c</w:t>
      </w:r>
      <w:r w:rsidRPr="00511005">
        <w:rPr>
          <w:rFonts w:ascii="Arial" w:eastAsia="Calibri" w:hAnsi="Arial" w:cs="Arial"/>
          <w:szCs w:val="28"/>
        </w:rPr>
        <w:t>.320]</w:t>
      </w:r>
      <w:r w:rsidRPr="00511005">
        <w:rPr>
          <w:rFonts w:ascii="Arial" w:eastAsia="Calibri" w:hAnsi="Arial" w:cs="Arial"/>
          <w:szCs w:val="28"/>
          <w:lang w:val="uk-UA"/>
        </w:rPr>
        <w:t>.</w:t>
      </w:r>
    </w:p>
    <w:p w14:paraId="22025A22"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Друга група натомість заявляє, що існування прокуратури протирічить стандартній класичній тригілковій системі, запропонованій Ш.Л. Монтеск’є, а також затвердженої Конституцією України, яка щоправда протирічить сама собі у ст. 6 та 131-1 [7]. Ще існують думки, пов’язані з подальшою декомунізацією, як ідея, що прокуратура, саме як орган нагляду є тоталітарним спадком СРСР, якого на шляху до євроінтеграцію доцільно позбутись [2]. Ця група також висуває пропозиції щодо приєднання прокуратури до судової гілки влади, керуючись досвідом існування прокуратури автономно у складі судової чи виконавчої влади як у Франції, Польщі чи Італії.</w:t>
      </w:r>
    </w:p>
    <w:p w14:paraId="4F488F49" w14:textId="77777777" w:rsidR="00C10374" w:rsidRPr="00511005" w:rsidRDefault="00C10374"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Підсумовуючи викладений матеріал можна зробити висновки, що ситуація пов’язана з місцем прокуратури у системі державних органів є складною та невизначеною внаслідок колізій між нормативно-правовими </w:t>
      </w:r>
      <w:r w:rsidRPr="00511005">
        <w:rPr>
          <w:rFonts w:ascii="Arial" w:eastAsia="Calibri" w:hAnsi="Arial" w:cs="Arial"/>
          <w:szCs w:val="28"/>
          <w:lang w:val="uk-UA"/>
        </w:rPr>
        <w:lastRenderedPageBreak/>
        <w:t>актами, прийнятими ВРУ. Дослідники та фахівці не мають єдиною думки щодо цього питання, а у світі не існує правильної моделі організації прокуратури у системі державної влади. Наступна реформа у сфері правосуддя та державних органів цілком може змінити це питання, а громадянське суспільство й законодавець мають врешті-решт дійти консенсусу чи виробити певні моделі для ідеї реформування цього самостійного державного правоохоронного органу.</w:t>
      </w:r>
    </w:p>
    <w:p w14:paraId="2DADC18E" w14:textId="77777777" w:rsidR="00C10374" w:rsidRPr="00511005" w:rsidRDefault="00C10374" w:rsidP="003A292D">
      <w:pPr>
        <w:spacing w:line="264" w:lineRule="auto"/>
        <w:ind w:firstLine="0"/>
        <w:jc w:val="center"/>
        <w:rPr>
          <w:rFonts w:ascii="Arial" w:eastAsia="Calibri" w:hAnsi="Arial" w:cs="Arial"/>
          <w:b/>
          <w:iCs/>
          <w:szCs w:val="28"/>
          <w:lang w:val="uk-UA"/>
        </w:rPr>
      </w:pPr>
    </w:p>
    <w:p w14:paraId="7DE73CD9" w14:textId="433AB371" w:rsidR="00C10374" w:rsidRPr="00511005" w:rsidRDefault="007B2628" w:rsidP="007B2628">
      <w:pPr>
        <w:spacing w:line="264" w:lineRule="auto"/>
        <w:ind w:firstLine="0"/>
        <w:jc w:val="center"/>
        <w:rPr>
          <w:rFonts w:ascii="Arial" w:eastAsia="Calibri" w:hAnsi="Arial" w:cs="Arial"/>
          <w:b/>
          <w:iCs/>
          <w:szCs w:val="28"/>
          <w:lang w:val="uk-UA"/>
        </w:rPr>
      </w:pPr>
      <w:r w:rsidRPr="00511005">
        <w:rPr>
          <w:rFonts w:ascii="Arial" w:eastAsia="Calibri" w:hAnsi="Arial" w:cs="Arial"/>
          <w:b/>
          <w:iCs/>
          <w:szCs w:val="28"/>
          <w:lang w:val="uk-UA"/>
        </w:rPr>
        <w:t>Список використаних джерел</w:t>
      </w:r>
    </w:p>
    <w:p w14:paraId="2B164FFD" w14:textId="77777777" w:rsidR="00C10374" w:rsidRPr="00511005" w:rsidRDefault="00C10374" w:rsidP="003F6A5D">
      <w:pPr>
        <w:numPr>
          <w:ilvl w:val="0"/>
          <w:numId w:val="32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Бакаянова Н., Свида В. Прокуратура України: питання організації та діяльності. </w:t>
      </w:r>
      <w:r w:rsidRPr="00511005">
        <w:rPr>
          <w:rFonts w:ascii="Arial" w:eastAsia="Times New Roman" w:hAnsi="Arial" w:cs="Arial"/>
          <w:i/>
          <w:iCs/>
          <w:szCs w:val="28"/>
          <w:lang w:val="uk-UA" w:eastAsia="ru-RU"/>
        </w:rPr>
        <w:t>Право України</w:t>
      </w:r>
      <w:r w:rsidRPr="00511005">
        <w:rPr>
          <w:rFonts w:ascii="Arial" w:eastAsia="Times New Roman" w:hAnsi="Arial" w:cs="Arial"/>
          <w:szCs w:val="28"/>
          <w:lang w:val="uk-UA" w:eastAsia="ru-RU"/>
        </w:rPr>
        <w:t xml:space="preserve">. 2019. № 11. С. 316-333. URL: </w:t>
      </w:r>
      <w:hyperlink r:id="rId1276" w:tgtFrame="_new" w:history="1">
        <w:r w:rsidRPr="00511005">
          <w:rPr>
            <w:rFonts w:ascii="Arial" w:eastAsia="Times New Roman" w:hAnsi="Arial" w:cs="Arial"/>
            <w:szCs w:val="28"/>
            <w:lang w:val="uk-UA" w:eastAsia="ru-RU"/>
          </w:rPr>
          <w:t>http://jnas.nbuv.gov.ua/article/UJRN-0001071782</w:t>
        </w:r>
      </w:hyperlink>
    </w:p>
    <w:p w14:paraId="120759D4" w14:textId="77777777" w:rsidR="00C10374" w:rsidRPr="00511005" w:rsidRDefault="00C10374" w:rsidP="003F6A5D">
      <w:pPr>
        <w:numPr>
          <w:ilvl w:val="0"/>
          <w:numId w:val="32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Банчук О. 4 роки змін у прокуратурі України: два кроки вперед, один назад. Центр політико-правових реформ. URL: </w:t>
      </w:r>
      <w:hyperlink r:id="rId1277" w:tgtFrame="_new" w:history="1">
        <w:r w:rsidRPr="00511005">
          <w:rPr>
            <w:rFonts w:ascii="Arial" w:eastAsia="Times New Roman" w:hAnsi="Arial" w:cs="Arial"/>
            <w:szCs w:val="28"/>
            <w:lang w:val="uk-UA" w:eastAsia="ru-RU"/>
          </w:rPr>
          <w:t>https://pravo.org.ua/4-roky-zmin-u-prokuraturi-ukrayiny-dva-kroky-vpered-odyn-nazad</w:t>
        </w:r>
      </w:hyperlink>
    </w:p>
    <w:p w14:paraId="3F0DE758" w14:textId="77777777" w:rsidR="00C10374" w:rsidRPr="00511005" w:rsidRDefault="00C10374" w:rsidP="003F6A5D">
      <w:pPr>
        <w:numPr>
          <w:ilvl w:val="0"/>
          <w:numId w:val="32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Генеральна прокуратура України. Функції прокуратури. URL: </w:t>
      </w:r>
      <w:hyperlink r:id="rId1278" w:tgtFrame="_new" w:history="1">
        <w:r w:rsidRPr="00511005">
          <w:rPr>
            <w:rFonts w:ascii="Arial" w:eastAsia="Times New Roman" w:hAnsi="Arial" w:cs="Arial"/>
            <w:szCs w:val="28"/>
            <w:lang w:val="uk-UA" w:eastAsia="ru-RU"/>
          </w:rPr>
          <w:t>https://old.gp.gov.ua/ua/task_funct_gpu.html</w:t>
        </w:r>
      </w:hyperlink>
    </w:p>
    <w:p w14:paraId="1370DFD5" w14:textId="77777777" w:rsidR="00C10374" w:rsidRPr="00511005" w:rsidRDefault="00C10374" w:rsidP="003F6A5D">
      <w:pPr>
        <w:numPr>
          <w:ilvl w:val="0"/>
          <w:numId w:val="32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Груздєв С. Керівник групи слідчих у «справах Порошенка»: В ДБР дуже негативна атмосфера – всі бояться. </w:t>
      </w:r>
      <w:r w:rsidRPr="00511005">
        <w:rPr>
          <w:rFonts w:ascii="Arial" w:eastAsia="Times New Roman" w:hAnsi="Arial" w:cs="Arial"/>
          <w:szCs w:val="28"/>
          <w:lang w:val="pl-PL" w:eastAsia="ru-RU"/>
        </w:rPr>
        <w:t xml:space="preserve">URL: </w:t>
      </w:r>
      <w:hyperlink r:id="rId1279" w:tgtFrame="_new" w:history="1">
        <w:r w:rsidRPr="00511005">
          <w:rPr>
            <w:rFonts w:ascii="Arial" w:eastAsia="Times New Roman" w:hAnsi="Arial" w:cs="Arial"/>
            <w:szCs w:val="28"/>
            <w:lang w:val="uk-UA" w:eastAsia="ru-RU"/>
          </w:rPr>
          <w:t>https://glavcom.ua/country/politics/kerivnik-grupi-slidchih-u-spravah-poroshenka-oleg-koreckiy-v-dbr-atmosfera-duzhe-negativna-vsi-boyatsya-691877.html</w:t>
        </w:r>
      </w:hyperlink>
      <w:r w:rsidRPr="00511005">
        <w:rPr>
          <w:rFonts w:ascii="Arial" w:eastAsia="Times New Roman" w:hAnsi="Arial" w:cs="Arial"/>
          <w:szCs w:val="28"/>
          <w:lang w:val="uk-UA" w:eastAsia="ru-RU"/>
        </w:rPr>
        <w:t xml:space="preserve"> </w:t>
      </w:r>
    </w:p>
    <w:p w14:paraId="6C479F14" w14:textId="77777777" w:rsidR="00C10374" w:rsidRPr="00511005" w:rsidRDefault="00C10374" w:rsidP="003F6A5D">
      <w:pPr>
        <w:numPr>
          <w:ilvl w:val="0"/>
          <w:numId w:val="32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 прокуратуру: Закон України від 05.11.1991. URL: </w:t>
      </w:r>
      <w:hyperlink r:id="rId1280" w:anchor="Text" w:tgtFrame="_new" w:history="1">
        <w:r w:rsidRPr="00511005">
          <w:rPr>
            <w:rFonts w:ascii="Arial" w:eastAsia="Times New Roman" w:hAnsi="Arial" w:cs="Arial"/>
            <w:szCs w:val="28"/>
            <w:lang w:val="uk-UA" w:eastAsia="ru-RU"/>
          </w:rPr>
          <w:t>https://zakon.rada.gov.ua/laws/show/1789-12#Text</w:t>
        </w:r>
      </w:hyperlink>
    </w:p>
    <w:p w14:paraId="12AEC505" w14:textId="77777777" w:rsidR="00C10374" w:rsidRPr="00511005" w:rsidRDefault="00C10374" w:rsidP="003F6A5D">
      <w:pPr>
        <w:numPr>
          <w:ilvl w:val="0"/>
          <w:numId w:val="32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Звіт Генерального прокурора про діяльність органів прокуратури від 13.01.2021. URL: </w:t>
      </w:r>
      <w:hyperlink r:id="rId1281" w:tgtFrame="_new" w:history="1">
        <w:r w:rsidRPr="00511005">
          <w:rPr>
            <w:rFonts w:ascii="Arial" w:eastAsia="Times New Roman" w:hAnsi="Arial" w:cs="Arial"/>
            <w:szCs w:val="28"/>
            <w:lang w:val="uk-UA" w:eastAsia="ru-RU"/>
          </w:rPr>
          <w:t>https://www.rada.gov.ua/documents/reports_list/other_reports/218412.html</w:t>
        </w:r>
      </w:hyperlink>
    </w:p>
    <w:p w14:paraId="55C902F1" w14:textId="6B7E5C48" w:rsidR="00C10374" w:rsidRPr="00511005" w:rsidRDefault="00C10374" w:rsidP="003F6A5D">
      <w:pPr>
        <w:numPr>
          <w:ilvl w:val="0"/>
          <w:numId w:val="32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Лапкін А.В. Закон України «Про прокуратуру»: науково-практичний коментар. / А. В. Лапкін. Х.: Право, 2015. 680 с.</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URL: </w:t>
      </w:r>
      <w:hyperlink r:id="rId1282" w:tgtFrame="_new" w:history="1">
        <w:r w:rsidRPr="00511005">
          <w:rPr>
            <w:rFonts w:ascii="Arial" w:eastAsia="Times New Roman" w:hAnsi="Arial" w:cs="Arial"/>
            <w:szCs w:val="28"/>
            <w:lang w:val="uk-UA" w:eastAsia="ru-RU"/>
          </w:rPr>
          <w:t>https://pravo-izdat.com.ua/image/data/Files/101/1-26.pdf?srsltid=AfmBOooz0t92Z-cYxix5IyZLSS8gwRYfob6qAEpTc3wETmHSAblZ_idv</w:t>
        </w:r>
      </w:hyperlink>
    </w:p>
    <w:p w14:paraId="1B82C540" w14:textId="77777777" w:rsidR="00C10374" w:rsidRPr="00511005" w:rsidRDefault="00C10374" w:rsidP="003F6A5D">
      <w:pPr>
        <w:numPr>
          <w:ilvl w:val="0"/>
          <w:numId w:val="32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Міжнародне співробітництво Офісу Генерального прокурора. Ключові напрями та результати. Системна співпраця з Міжнародним кримінальним судомURL: </w:t>
      </w:r>
      <w:hyperlink r:id="rId1283" w:tgtFrame="_new" w:history="1">
        <w:r w:rsidRPr="00511005">
          <w:rPr>
            <w:rFonts w:ascii="Arial" w:eastAsia="Times New Roman" w:hAnsi="Arial" w:cs="Arial"/>
            <w:szCs w:val="28"/>
            <w:lang w:val="uk-UA" w:eastAsia="ru-RU"/>
          </w:rPr>
          <w:t>https://gp.gov.ua/ua/posts/miznarodne-spivrobitnictvo-ofisu-generalnogo-prokurora-klyucovi-napryami-ta-rezultati</w:t>
        </w:r>
      </w:hyperlink>
    </w:p>
    <w:p w14:paraId="02D5D8BC" w14:textId="77777777" w:rsidR="00C10374" w:rsidRPr="00511005" w:rsidRDefault="00C10374" w:rsidP="003F6A5D">
      <w:pPr>
        <w:numPr>
          <w:ilvl w:val="0"/>
          <w:numId w:val="328"/>
        </w:numPr>
        <w:spacing w:line="264" w:lineRule="auto"/>
        <w:ind w:left="0"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Ухвала Верховного Суду від 27.04.2023, справа № 916/1272/22. URL: </w:t>
      </w:r>
      <w:hyperlink r:id="rId1284" w:tgtFrame="_new" w:history="1">
        <w:r w:rsidRPr="00511005">
          <w:rPr>
            <w:rFonts w:ascii="Arial" w:eastAsia="Times New Roman" w:hAnsi="Arial" w:cs="Arial"/>
            <w:szCs w:val="28"/>
            <w:lang w:val="uk-UA" w:eastAsia="ru-RU"/>
          </w:rPr>
          <w:t>https://reyestr.court.gov.ua/Review/110962060</w:t>
        </w:r>
      </w:hyperlink>
    </w:p>
    <w:p w14:paraId="60E8456A" w14:textId="77777777" w:rsidR="00C10374" w:rsidRPr="00511005" w:rsidRDefault="00C10374" w:rsidP="003A292D">
      <w:pPr>
        <w:spacing w:line="264" w:lineRule="auto"/>
        <w:ind w:firstLine="567"/>
        <w:rPr>
          <w:rFonts w:ascii="Arial" w:eastAsia="Calibri" w:hAnsi="Arial" w:cs="Arial"/>
          <w:b/>
          <w:szCs w:val="28"/>
          <w:lang w:val="uk-UA"/>
        </w:rPr>
      </w:pPr>
    </w:p>
    <w:p w14:paraId="49BBD84A" w14:textId="15CB1DF9" w:rsidR="00C10374" w:rsidRPr="00511005" w:rsidRDefault="007B2628" w:rsidP="003A292D">
      <w:pPr>
        <w:spacing w:line="264" w:lineRule="auto"/>
        <w:ind w:firstLine="567"/>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bCs/>
          <w:szCs w:val="28"/>
          <w:lang w:val="uk-UA"/>
        </w:rPr>
        <w:t>прокуратура України, місце прокуратури в системі державних органів України, шляхи реформування прокуратури, судова реформа 2016 року</w:t>
      </w:r>
      <w:r w:rsidR="00C10374" w:rsidRPr="00511005">
        <w:rPr>
          <w:rFonts w:ascii="Arial" w:eastAsia="Calibri" w:hAnsi="Arial" w:cs="Arial"/>
          <w:b/>
          <w:szCs w:val="28"/>
          <w:lang w:val="uk-UA"/>
        </w:rPr>
        <w:t>.</w:t>
      </w:r>
    </w:p>
    <w:p w14:paraId="46656520" w14:textId="7C30897B" w:rsidR="00C10374" w:rsidRPr="00511005" w:rsidRDefault="007B2628" w:rsidP="003A292D">
      <w:pPr>
        <w:keepNext/>
        <w:spacing w:line="264" w:lineRule="auto"/>
        <w:ind w:firstLine="567"/>
        <w:rPr>
          <w:rFonts w:ascii="Arial" w:eastAsia="Calibri" w:hAnsi="Arial" w:cs="Arial"/>
          <w:bCs/>
          <w:szCs w:val="28"/>
          <w:lang w:val="en-US"/>
        </w:rPr>
      </w:pPr>
      <w:r w:rsidRPr="00511005">
        <w:rPr>
          <w:rFonts w:ascii="Arial" w:eastAsia="Calibri" w:hAnsi="Arial" w:cs="Arial"/>
          <w:b/>
          <w:i/>
          <w:szCs w:val="28"/>
          <w:lang w:val="en-US"/>
        </w:rPr>
        <w:lastRenderedPageBreak/>
        <w:t xml:space="preserve">Key words: </w:t>
      </w:r>
      <w:r w:rsidR="00C10374" w:rsidRPr="00511005">
        <w:rPr>
          <w:rFonts w:ascii="Arial" w:eastAsia="Calibri" w:hAnsi="Arial" w:cs="Arial"/>
          <w:bCs/>
          <w:szCs w:val="28"/>
          <w:lang w:val="en-US"/>
        </w:rPr>
        <w:t>prosecutor's office of Ukraine, place of the prosecutor's office in the system of state bodies of Ukraine, ways of reforming the prosecutor's office, judicial reform of 2016</w:t>
      </w:r>
    </w:p>
    <w:p w14:paraId="3AE55916" w14:textId="10EFCDF6" w:rsidR="00C10374" w:rsidRPr="00511005" w:rsidRDefault="007B2628" w:rsidP="003A292D">
      <w:pPr>
        <w:keepNext/>
        <w:spacing w:line="264" w:lineRule="auto"/>
        <w:ind w:firstLine="567"/>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C10374" w:rsidRPr="00511005">
        <w:rPr>
          <w:rFonts w:ascii="Arial" w:eastAsia="Calibri" w:hAnsi="Arial" w:cs="Arial"/>
          <w:bCs/>
          <w:i/>
          <w:iCs/>
          <w:szCs w:val="28"/>
          <w:lang w:val="uk-UA"/>
        </w:rPr>
        <w:t>старший викладач Нестерчук Л.П.</w:t>
      </w:r>
    </w:p>
    <w:p w14:paraId="0B978061" w14:textId="77777777" w:rsidR="00C10374" w:rsidRPr="00511005" w:rsidRDefault="00C10374" w:rsidP="003A292D">
      <w:pPr>
        <w:widowControl w:val="0"/>
        <w:spacing w:line="264" w:lineRule="auto"/>
        <w:ind w:firstLine="0"/>
        <w:rPr>
          <w:rFonts w:ascii="Arial" w:eastAsia="Calibri" w:hAnsi="Arial" w:cs="Arial"/>
          <w:szCs w:val="28"/>
          <w:lang w:val="uk-UA"/>
        </w:rPr>
      </w:pPr>
    </w:p>
    <w:p w14:paraId="4E24C57B" w14:textId="77777777" w:rsidR="00C10374" w:rsidRPr="00511005" w:rsidRDefault="00C10374" w:rsidP="003A292D">
      <w:pPr>
        <w:widowControl w:val="0"/>
        <w:spacing w:line="264" w:lineRule="auto"/>
        <w:ind w:firstLine="0"/>
        <w:rPr>
          <w:rFonts w:ascii="Arial" w:eastAsia="Calibri" w:hAnsi="Arial" w:cs="Arial"/>
          <w:szCs w:val="28"/>
          <w:lang w:val="uk-UA"/>
        </w:rPr>
      </w:pPr>
    </w:p>
    <w:p w14:paraId="00BE72A9" w14:textId="77777777" w:rsidR="00C10374" w:rsidRPr="00511005" w:rsidRDefault="00C10374" w:rsidP="003A292D">
      <w:pPr>
        <w:spacing w:line="264" w:lineRule="auto"/>
        <w:jc w:val="center"/>
        <w:rPr>
          <w:rFonts w:ascii="Arial" w:eastAsia="Calibri" w:hAnsi="Arial" w:cs="Arial"/>
          <w:b/>
          <w:bCs/>
          <w:i/>
          <w:szCs w:val="28"/>
        </w:rPr>
      </w:pPr>
      <w:r w:rsidRPr="00511005">
        <w:rPr>
          <w:rFonts w:ascii="Arial" w:eastAsia="Calibri" w:hAnsi="Arial" w:cs="Arial"/>
          <w:b/>
          <w:bCs/>
          <w:i/>
          <w:szCs w:val="28"/>
        </w:rPr>
        <w:t>Юзефович Олександра Олександрівна</w:t>
      </w:r>
    </w:p>
    <w:p w14:paraId="25415FCA" w14:textId="6D940E75" w:rsidR="00C10374" w:rsidRPr="00511005" w:rsidRDefault="00BE3972" w:rsidP="003A292D">
      <w:pPr>
        <w:spacing w:line="264" w:lineRule="auto"/>
        <w:jc w:val="center"/>
        <w:rPr>
          <w:rFonts w:ascii="Arial" w:eastAsia="Calibri" w:hAnsi="Arial" w:cs="Arial"/>
          <w:szCs w:val="28"/>
        </w:rPr>
      </w:pPr>
      <w:r w:rsidRPr="00511005">
        <w:rPr>
          <w:rFonts w:ascii="Arial" w:eastAsia="Calibri" w:hAnsi="Arial" w:cs="Arial"/>
          <w:szCs w:val="28"/>
        </w:rPr>
        <w:t xml:space="preserve">студентка 1-го курсу </w:t>
      </w:r>
      <w:r w:rsidR="001B7B25" w:rsidRPr="00511005">
        <w:rPr>
          <w:rFonts w:ascii="Arial" w:eastAsia="Calibri" w:hAnsi="Arial" w:cs="Arial"/>
          <w:szCs w:val="28"/>
        </w:rPr>
        <w:t>факультету судового та міжнародного права</w:t>
      </w:r>
    </w:p>
    <w:p w14:paraId="58048A2B" w14:textId="5B804E3F" w:rsidR="00C10374" w:rsidRPr="00511005" w:rsidRDefault="007B2628" w:rsidP="003A292D">
      <w:pPr>
        <w:spacing w:line="264" w:lineRule="auto"/>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41358B65" w14:textId="77777777" w:rsidR="00C10374" w:rsidRPr="00511005" w:rsidRDefault="00C10374" w:rsidP="003A292D">
      <w:pPr>
        <w:spacing w:line="264" w:lineRule="auto"/>
        <w:jc w:val="center"/>
        <w:rPr>
          <w:rFonts w:ascii="Arial" w:eastAsia="Calibri" w:hAnsi="Arial" w:cs="Arial"/>
          <w:szCs w:val="28"/>
        </w:rPr>
      </w:pPr>
    </w:p>
    <w:p w14:paraId="3E3175E9" w14:textId="77777777" w:rsidR="00C10374" w:rsidRPr="00511005" w:rsidRDefault="00C10374" w:rsidP="003A292D">
      <w:pPr>
        <w:spacing w:line="264" w:lineRule="auto"/>
        <w:jc w:val="center"/>
        <w:rPr>
          <w:rFonts w:ascii="Arial" w:eastAsia="Calibri" w:hAnsi="Arial" w:cs="Arial"/>
          <w:b/>
          <w:bCs/>
          <w:szCs w:val="28"/>
        </w:rPr>
      </w:pPr>
      <w:r w:rsidRPr="00511005">
        <w:rPr>
          <w:rFonts w:ascii="Arial" w:eastAsia="Calibri" w:hAnsi="Arial" w:cs="Arial"/>
          <w:b/>
          <w:bCs/>
          <w:szCs w:val="28"/>
        </w:rPr>
        <w:t>ПРАВОСУДДЯ ПІД ПРИЦІЛОМ ЗМІ ТА ГРОМАДСЬКОЇ ДУМКИ: МОЖЛИВІСТЬ ПРОЗОРОСТІ ТА ЗАГРОЗА НЕЗАЛЕЖНОСТІ</w:t>
      </w:r>
    </w:p>
    <w:p w14:paraId="0A854BC8" w14:textId="77777777" w:rsidR="00C10374" w:rsidRPr="00511005" w:rsidRDefault="00C10374" w:rsidP="003A292D">
      <w:pPr>
        <w:spacing w:line="264" w:lineRule="auto"/>
        <w:jc w:val="center"/>
        <w:rPr>
          <w:rFonts w:ascii="Arial" w:eastAsia="Calibri" w:hAnsi="Arial" w:cs="Arial"/>
          <w:b/>
          <w:bCs/>
          <w:szCs w:val="28"/>
        </w:rPr>
      </w:pPr>
    </w:p>
    <w:p w14:paraId="36B8ECDB" w14:textId="4C42572C"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ЗМІ, думки суспільства та правосуддя – три давно взаємопов’язані частини, які змінюються й досі. ЗМІ завжди мали і мають вплив на громадську думку, через те як вони подають інформацію, яку інформацію подають – правду або неправду, що вони судять і що звеличують, у людей формуються різні уявлення про всі</w:t>
      </w:r>
      <w:r w:rsidR="007B2628" w:rsidRPr="00511005">
        <w:rPr>
          <w:rFonts w:ascii="Arial" w:eastAsia="Calibri" w:hAnsi="Arial" w:cs="Arial"/>
          <w:szCs w:val="28"/>
        </w:rPr>
        <w:t xml:space="preserve"> </w:t>
      </w:r>
      <w:r w:rsidRPr="00511005">
        <w:rPr>
          <w:rFonts w:ascii="Arial" w:eastAsia="Calibri" w:hAnsi="Arial" w:cs="Arial"/>
          <w:szCs w:val="28"/>
        </w:rPr>
        <w:t xml:space="preserve">сфери життя, у тому числі й правосуддя в Україні. Також ЗМІ мають певний вплив і на судовий процес. </w:t>
      </w:r>
    </w:p>
    <w:p w14:paraId="6F63660C"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У свою чергу судді та їхня діяльність є елементом зацікавленості та досліджуваності журналістів, відповідно всі їхні дії завжди перед очима шукачів сенсацій. Це все загострилося з настанням епохи розвитку інформаційних технологій та повномасштабним вторгненням Росії в Україну. Зараз на кожному кроці будь-яка інформація, реклама чи історія швидко поширюється серед суспільства та набуває швидкого розголосу, і відповідно стрімкого обговорення. Рідко коли люди перевіряють інформацію перш ніж у неї повірити. Звісно, якщо це якийсь новий журналіст чи телеканал люди сумніваються, але всім нам властиво вірити у новини відомих каналів, журналістів та інших медіа представників, тому що вони популярні, а отже й подана ними інформація – це правда. Та все ж таки немає нічого ідеального і в кожному предметі нашого досліду є недосконалості.</w:t>
      </w:r>
    </w:p>
    <w:p w14:paraId="534EC80E" w14:textId="17DAE640"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Дану тему досліджували й раніше відомі всім вчені, наприклад М. Буроменський, О. Сердюк та І. Підкуркова,</w:t>
      </w:r>
      <w:r w:rsidR="007B2628" w:rsidRPr="00511005">
        <w:rPr>
          <w:rFonts w:ascii="Arial" w:eastAsia="Calibri" w:hAnsi="Arial" w:cs="Arial"/>
          <w:szCs w:val="28"/>
        </w:rPr>
        <w:t xml:space="preserve"> </w:t>
      </w:r>
      <w:r w:rsidRPr="00511005">
        <w:rPr>
          <w:rFonts w:ascii="Arial" w:eastAsia="Calibri" w:hAnsi="Arial" w:cs="Arial"/>
          <w:szCs w:val="28"/>
        </w:rPr>
        <w:t xml:space="preserve">які внесли великий вклад для даної теми, а саме посібник для суддів 2008 </w:t>
      </w:r>
      <w:proofErr w:type="gramStart"/>
      <w:r w:rsidRPr="00511005">
        <w:rPr>
          <w:rFonts w:ascii="Arial" w:eastAsia="Calibri" w:hAnsi="Arial" w:cs="Arial"/>
          <w:szCs w:val="28"/>
        </w:rPr>
        <w:t>року[</w:t>
      </w:r>
      <w:proofErr w:type="gramEnd"/>
      <w:r w:rsidRPr="00511005">
        <w:rPr>
          <w:rFonts w:ascii="Arial" w:eastAsia="Calibri" w:hAnsi="Arial" w:cs="Arial"/>
          <w:szCs w:val="28"/>
        </w:rPr>
        <w:t xml:space="preserve">1]. В даному виданні є всі аспекти відносин, про те як повинні діяти судді стосовно журналістів, та яких правил повинні дотримуватися представники медіа сфери. </w:t>
      </w:r>
    </w:p>
    <w:p w14:paraId="105D97EE"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Які ж саме проблеми зараз у відносинах судової влади з засобами масової інформації?</w:t>
      </w:r>
    </w:p>
    <w:p w14:paraId="719A4CF1" w14:textId="31910D41"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Дуже часто журналісти представляють світові інформацію про судові процедури і процеси, не маючи достатніх знань у даній сфері і це призводить до наступної проблеми – викривлення отриманої інформації. Не завжди це відбується випадково, журналісти це гонителі за сенсаціями, і деякі з них </w:t>
      </w:r>
      <w:r w:rsidRPr="00511005">
        <w:rPr>
          <w:rFonts w:ascii="Arial" w:eastAsia="Calibri" w:hAnsi="Arial" w:cs="Arial"/>
          <w:szCs w:val="28"/>
        </w:rPr>
        <w:lastRenderedPageBreak/>
        <w:t>ладні на все, щоб добитися свого, а саме викривляти факти та поширювати недостовірну інформацію. Звідси випливає третя проблема – недовіра суспільства до правосуддя. Так, недовіра народжується не тільки через ЗМІ, адже не всі новини це фейки, а й через дії ж самих представників влади. Вони, як і засоби масової інформації, розділюють суспільство на дві групи: ті, хто довіряють їм, та ті, хто не довіряють їм. Але є ж і справедливі судді, які страждають від</w:t>
      </w:r>
      <w:r w:rsidR="007B2628" w:rsidRPr="00511005">
        <w:rPr>
          <w:rFonts w:ascii="Arial" w:eastAsia="Calibri" w:hAnsi="Arial" w:cs="Arial"/>
          <w:szCs w:val="28"/>
        </w:rPr>
        <w:t xml:space="preserve"> </w:t>
      </w:r>
      <w:r w:rsidRPr="00511005">
        <w:rPr>
          <w:rFonts w:ascii="Arial" w:eastAsia="Calibri" w:hAnsi="Arial" w:cs="Arial"/>
          <w:szCs w:val="28"/>
        </w:rPr>
        <w:t>тиску інформації. Не всі кого очорняють є винними, так і не вся інформація є правдою. Ще однією важливою проблемою є військовий стан, у зв’язку з цим дуже багато створюється різних фейків і люди під станом ефекту вірять у те, що пишуть інші.</w:t>
      </w:r>
    </w:p>
    <w:p w14:paraId="47869E54"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Для чого нам ЗМІ? ЗМІ – невід’ємний та важливий інструмент для суспільства, який базується на верховенстві права, а також представник забезпечення прозорості та відкритості судової влади. Але ж суди повинні гарантувати неупередженість та справедливість судового процесу. Враховуючи вплив медіа на людей та обізнаність як і ЗМІ, так і суспільства, дотриматися даного принципу судам буде дещо важко. Проте, «якщо суддя почувається дуже впевнено як професіонал, якщо суворо дотримується процесуальних норм, то присутність журналістів у залі зазвичай створює для нього не більше «незручностей» ніж присутність учасників процесу» [1, с.25]. То чому у нашій країні дуже часто спостерігається, що судді чи інші «люди влади» бояться ЗМІ та негативно реагують? </w:t>
      </w:r>
    </w:p>
    <w:p w14:paraId="1274E232" w14:textId="7D4E10F2"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Розглянемо справу. Особа звернулася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xml:space="preserve"> першої інстанції з позовом до двох журналістів. Позивач просив визнати суд, що журналісти виставили про нього неправдиву інформацію, яку хоче, щоб спростували, а також що були порушені його немайнові права. Йдеться про відео, у якому дані журналісти висвітлили проблему розкрадання оборонного бюджету</w:t>
      </w:r>
      <w:r w:rsidR="007B2628" w:rsidRPr="00511005">
        <w:rPr>
          <w:rFonts w:ascii="Arial" w:eastAsia="Calibri" w:hAnsi="Arial" w:cs="Arial"/>
          <w:szCs w:val="28"/>
        </w:rPr>
        <w:t xml:space="preserve"> </w:t>
      </w:r>
      <w:r w:rsidRPr="00511005">
        <w:rPr>
          <w:rFonts w:ascii="Arial" w:eastAsia="Calibri" w:hAnsi="Arial" w:cs="Arial"/>
          <w:szCs w:val="28"/>
        </w:rPr>
        <w:t>і позивач є організатором схеми цього. Суд першої інстанції задовольнив потреби позивача, але справа дійшла до апеляційного суду, який також розглянув дану справу й визнав рішення суду першої інстанції хибним. Тоді позивач подав касаційну скаргу до Верховного Суду. Суд розглянув дане питання і погодився з рішенням апеляційної інстанції. Річ була у тому, що позивач та ще кілька людей, зазначених на даному відео справді були причетними до розкрадання оборонного бюджету [4].</w:t>
      </w:r>
    </w:p>
    <w:p w14:paraId="29165E4C" w14:textId="1959D4C3"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Дана справа дає змогу на законних доказах зробити висновок, що часом недовіра людей стається через дії ж самих представників влади, які чинять незаконні дії, а саме через корупцію. Україна</w:t>
      </w:r>
      <w:r w:rsidR="007B2628" w:rsidRPr="00511005">
        <w:rPr>
          <w:rFonts w:ascii="Arial" w:eastAsia="Calibri" w:hAnsi="Arial" w:cs="Arial"/>
          <w:szCs w:val="28"/>
        </w:rPr>
        <w:t xml:space="preserve"> </w:t>
      </w:r>
      <w:r w:rsidRPr="00511005">
        <w:rPr>
          <w:rFonts w:ascii="Arial" w:eastAsia="Calibri" w:hAnsi="Arial" w:cs="Arial"/>
          <w:szCs w:val="28"/>
        </w:rPr>
        <w:t xml:space="preserve">на 2024 рік посіла 106 місце з 180 можливих у питанні корупції. Дана проблема стосується не тільки «людей при владі» а і всіх інших, і ЗМІ також. Будь-хто може прийти заплатити журналісту солідну суму і той напише все чого душа бажає. Є випадки коли журналісти порушують закон для сенсацій, прикладом цього є справа у Львівському апеляційному суді. Позивач – хворий пацієнт лікарні. Причиною позову було, те що журналіст порушив його право на таємницю </w:t>
      </w:r>
      <w:r w:rsidRPr="00511005">
        <w:rPr>
          <w:rFonts w:ascii="Arial" w:eastAsia="Calibri" w:hAnsi="Arial" w:cs="Arial"/>
          <w:szCs w:val="28"/>
        </w:rPr>
        <w:lastRenderedPageBreak/>
        <w:t>про здоров’я, оприлюднивши статтю про його стан, як про стан «депутата районної ради». Сам журналіст на свій захист запевнив, що не порушував права позивача, так як спілкувався тільки з медсестрою,</w:t>
      </w:r>
      <w:r w:rsidR="007B2628" w:rsidRPr="00511005">
        <w:rPr>
          <w:rFonts w:ascii="Arial" w:eastAsia="Calibri" w:hAnsi="Arial" w:cs="Arial"/>
          <w:szCs w:val="28"/>
        </w:rPr>
        <w:t xml:space="preserve"> </w:t>
      </w:r>
      <w:r w:rsidRPr="00511005">
        <w:rPr>
          <w:rFonts w:ascii="Arial" w:eastAsia="Calibri" w:hAnsi="Arial" w:cs="Arial"/>
          <w:szCs w:val="28"/>
        </w:rPr>
        <w:t>яка не видала жодної інформації, тому відповідно він не мав доступу до лікарської таємниці. Частково суд визнав його винним та присудив виплатити моральну компенсацію позивачеві у розмірі 5000 грн та судові витрати [3]. Вивчивши цю справу</w:t>
      </w:r>
      <w:r w:rsidR="007B2628" w:rsidRPr="00511005">
        <w:rPr>
          <w:rFonts w:ascii="Arial" w:eastAsia="Calibri" w:hAnsi="Arial" w:cs="Arial"/>
          <w:szCs w:val="28"/>
        </w:rPr>
        <w:t xml:space="preserve"> </w:t>
      </w:r>
      <w:r w:rsidRPr="00511005">
        <w:rPr>
          <w:rFonts w:ascii="Arial" w:eastAsia="Calibri" w:hAnsi="Arial" w:cs="Arial"/>
          <w:szCs w:val="28"/>
        </w:rPr>
        <w:t xml:space="preserve">можна зробити висновок, що й журналісти порушують закон задля своєї цілі та роботи. </w:t>
      </w:r>
    </w:p>
    <w:p w14:paraId="5A2C640C"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Коли саме законом забороняється присутність ЗМІ та здійснення різного виду фіксацій під час розгляду справ у суді?</w:t>
      </w:r>
    </w:p>
    <w:p w14:paraId="74070369" w14:textId="183EBB6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За законом преса та публіка можуть не допускатися на весь чи частину судового розгляду з міркувань моралі, громадського порядку чи безпеки держави, безпеки сторін, або тоді коли цього вимагають інтереси приватного життя сторін (в тій мірі, в якій суд бачить необхідність). Також закон встановлює обмеження журналістам, наприклад: доки вину підозрюваного не ухвалено рішенням суду, доти журналісти повинні притримуватися приватності особи, з боку сторін – їхні особи можна вказати тільки після</w:t>
      </w:r>
      <w:r w:rsidR="007B2628" w:rsidRPr="00511005">
        <w:rPr>
          <w:rFonts w:ascii="Arial" w:eastAsia="Calibri" w:hAnsi="Arial" w:cs="Arial"/>
          <w:szCs w:val="28"/>
        </w:rPr>
        <w:t xml:space="preserve"> </w:t>
      </w:r>
      <w:r w:rsidRPr="00511005">
        <w:rPr>
          <w:rFonts w:ascii="Arial" w:eastAsia="Calibri" w:hAnsi="Arial" w:cs="Arial"/>
          <w:szCs w:val="28"/>
        </w:rPr>
        <w:t xml:space="preserve">їхньої згоди [2]. </w:t>
      </w:r>
    </w:p>
    <w:p w14:paraId="4C1AD84B" w14:textId="2BA44185"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Кожному цікаві деталі розслідування, деталі справи та слухань у суді. Цікаво чим все закінчиться, що скоїла людина. І всім важливо, щоб судді справді справедливо виносили вирок. Коли засідання закриті, ця цікавість зростає, а ще росте сумнів у питанні справедливості та неупередженості так як корупція у нас досить висока. Як тоді вирішити цю проблему? Потрібно підняти обізнаність самих людей щодо правових норм та судового процесу – це б зменшило тиск громадської думки на суддів. Також фігурує проблема корупції </w:t>
      </w:r>
      <w:proofErr w:type="gramStart"/>
      <w:r w:rsidRPr="00511005">
        <w:rPr>
          <w:rFonts w:ascii="Arial" w:eastAsia="Calibri" w:hAnsi="Arial" w:cs="Arial"/>
          <w:szCs w:val="28"/>
        </w:rPr>
        <w:t>у судах</w:t>
      </w:r>
      <w:proofErr w:type="gramEnd"/>
      <w:r w:rsidRPr="00511005">
        <w:rPr>
          <w:rFonts w:ascii="Arial" w:eastAsia="Calibri" w:hAnsi="Arial" w:cs="Arial"/>
          <w:szCs w:val="28"/>
        </w:rPr>
        <w:t xml:space="preserve"> і ЗМІ, щоб це вирішити потрібно</w:t>
      </w:r>
      <w:r w:rsidR="007B2628" w:rsidRPr="00511005">
        <w:rPr>
          <w:rFonts w:ascii="Arial" w:eastAsia="Calibri" w:hAnsi="Arial" w:cs="Arial"/>
          <w:szCs w:val="28"/>
        </w:rPr>
        <w:t xml:space="preserve"> </w:t>
      </w:r>
      <w:r w:rsidRPr="00511005">
        <w:rPr>
          <w:rFonts w:ascii="Arial" w:eastAsia="Calibri" w:hAnsi="Arial" w:cs="Arial"/>
          <w:szCs w:val="28"/>
        </w:rPr>
        <w:t xml:space="preserve">підвищити відповідальність за такі дії як представників суду так і представників ЗМІ. </w:t>
      </w:r>
    </w:p>
    <w:p w14:paraId="3CE8868B" w14:textId="70533FEF"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 xml:space="preserve">Однією з проблем, яку створюють ЗМІ є порушення презумпції невинуватості. Тобто, журналісти пишуть про процес розслідування і зазначають «особа винна у скоєнні кримінального злочину», а правильно «дану особу підозрюють у скоєнні кримінального правопорушення». Різниця відчувається. Люди які прочитають перший варіант почнуть зразу звинувачувати особу у скоєнні злочину, осуджувати та виносити свої гіпотези до того як правильно цю особу покарати та який повинен бути вирок. У випадку, коли ця людина буде покарана інакше (не так як народ присудив), суспільство буде тиснути на суд та оскаржувати його рішення. А у випадку, коли людина не винна і суд це визнає, а суспільство ні? Відбувається той самий тиск, але тепер ще й на просту невинну людину, </w:t>
      </w:r>
      <w:proofErr w:type="gramStart"/>
      <w:r w:rsidRPr="00511005">
        <w:rPr>
          <w:rFonts w:ascii="Arial" w:eastAsia="Calibri" w:hAnsi="Arial" w:cs="Arial"/>
          <w:szCs w:val="28"/>
        </w:rPr>
        <w:t>на яку</w:t>
      </w:r>
      <w:proofErr w:type="gramEnd"/>
      <w:r w:rsidRPr="00511005">
        <w:rPr>
          <w:rFonts w:ascii="Arial" w:eastAsia="Calibri" w:hAnsi="Arial" w:cs="Arial"/>
          <w:szCs w:val="28"/>
        </w:rPr>
        <w:t xml:space="preserve"> будуть клеїти клеймо злочинця.</w:t>
      </w:r>
      <w:r w:rsidR="007B2628" w:rsidRPr="00511005">
        <w:rPr>
          <w:rFonts w:ascii="Arial" w:eastAsia="Calibri" w:hAnsi="Arial" w:cs="Arial"/>
          <w:szCs w:val="28"/>
        </w:rPr>
        <w:t xml:space="preserve"> </w:t>
      </w:r>
      <w:r w:rsidRPr="00511005">
        <w:rPr>
          <w:rFonts w:ascii="Arial" w:eastAsia="Calibri" w:hAnsi="Arial" w:cs="Arial"/>
          <w:szCs w:val="28"/>
        </w:rPr>
        <w:t>У другому ж випадку написання</w:t>
      </w:r>
      <w:r w:rsidR="007B2628" w:rsidRPr="00511005">
        <w:rPr>
          <w:rFonts w:ascii="Arial" w:eastAsia="Calibri" w:hAnsi="Arial" w:cs="Arial"/>
          <w:szCs w:val="28"/>
        </w:rPr>
        <w:t xml:space="preserve"> </w:t>
      </w:r>
      <w:r w:rsidRPr="00511005">
        <w:rPr>
          <w:rFonts w:ascii="Arial" w:eastAsia="Calibri" w:hAnsi="Arial" w:cs="Arial"/>
          <w:szCs w:val="28"/>
        </w:rPr>
        <w:t xml:space="preserve">більша частина громадськості буде знати, що людину тільки звинувачують і ще нічого не доведено, відповідно тиск на суддів зменшиться і право невинуватості особи </w:t>
      </w:r>
      <w:r w:rsidRPr="00511005">
        <w:rPr>
          <w:rFonts w:ascii="Arial" w:eastAsia="Calibri" w:hAnsi="Arial" w:cs="Arial"/>
          <w:szCs w:val="28"/>
        </w:rPr>
        <w:lastRenderedPageBreak/>
        <w:t>не порушиться.</w:t>
      </w:r>
      <w:r w:rsidR="007B2628" w:rsidRPr="00511005">
        <w:rPr>
          <w:rFonts w:ascii="Arial" w:eastAsia="Calibri" w:hAnsi="Arial" w:cs="Arial"/>
          <w:szCs w:val="28"/>
        </w:rPr>
        <w:t xml:space="preserve"> </w:t>
      </w:r>
      <w:r w:rsidRPr="00511005">
        <w:rPr>
          <w:rFonts w:ascii="Arial" w:eastAsia="Calibri" w:hAnsi="Arial" w:cs="Arial"/>
          <w:szCs w:val="28"/>
        </w:rPr>
        <w:t>Як бачите те «як» пишуть журналісти грає дуже важливу роль [1].</w:t>
      </w:r>
    </w:p>
    <w:p w14:paraId="3F7E5F68"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rPr>
        <w:t>Отже, розглянувши дані проблеми, можна зробити висновок, що взаємовідносини правосуддя та засобів масової інформації потрібно удосконалювати. Зменшення та вирішення даних проблем потребує ретельного осмислення дій та кроків.</w:t>
      </w:r>
    </w:p>
    <w:p w14:paraId="6E1EFB9C" w14:textId="77777777" w:rsidR="00C10374" w:rsidRPr="00511005" w:rsidRDefault="00C10374" w:rsidP="003A292D">
      <w:pPr>
        <w:spacing w:line="264" w:lineRule="auto"/>
        <w:rPr>
          <w:rFonts w:ascii="Arial" w:eastAsia="Calibri" w:hAnsi="Arial" w:cs="Arial"/>
          <w:szCs w:val="28"/>
        </w:rPr>
      </w:pPr>
    </w:p>
    <w:p w14:paraId="35A77FEA" w14:textId="77777777" w:rsidR="00C10374" w:rsidRPr="00511005" w:rsidRDefault="00C10374" w:rsidP="003A292D">
      <w:pPr>
        <w:spacing w:line="264" w:lineRule="auto"/>
        <w:jc w:val="center"/>
        <w:rPr>
          <w:rFonts w:ascii="Arial" w:eastAsia="Calibri" w:hAnsi="Arial" w:cs="Arial"/>
          <w:b/>
          <w:szCs w:val="28"/>
        </w:rPr>
      </w:pPr>
      <w:r w:rsidRPr="00511005">
        <w:rPr>
          <w:rFonts w:ascii="Arial" w:eastAsia="Calibri" w:hAnsi="Arial" w:cs="Arial"/>
          <w:b/>
          <w:szCs w:val="28"/>
        </w:rPr>
        <w:t>Списки використаних джерел</w:t>
      </w:r>
    </w:p>
    <w:p w14:paraId="75E311BD" w14:textId="5F28AAE5" w:rsidR="00C10374" w:rsidRPr="00511005" w:rsidRDefault="00C10374" w:rsidP="003F6A5D">
      <w:pPr>
        <w:numPr>
          <w:ilvl w:val="0"/>
          <w:numId w:val="329"/>
        </w:numPr>
        <w:spacing w:line="264" w:lineRule="auto"/>
        <w:ind w:left="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Буроменський М., Сердюк О., Підкуркова І. Суди у відносинах з журналістами та ЗМІ: Посібник для суддів. — Київ, 2008р. Проект «Україна: верховенство права» М. А. Консалтинг, Ltd Інститут прикладних гуманітарних досліджень.</w:t>
      </w:r>
      <w:r w:rsidR="007B2628" w:rsidRPr="00511005">
        <w:rPr>
          <w:rFonts w:ascii="Arial" w:eastAsia="Times New Roman" w:hAnsi="Arial" w:cs="Arial"/>
          <w:szCs w:val="28"/>
          <w:lang w:val="uk-UA" w:eastAsia="ru-RU"/>
        </w:rPr>
        <w:t xml:space="preserve"> </w:t>
      </w:r>
      <w:r w:rsidRPr="00511005">
        <w:rPr>
          <w:rFonts w:ascii="Arial" w:eastAsia="Times New Roman" w:hAnsi="Arial" w:cs="Arial"/>
          <w:i/>
          <w:iCs/>
          <w:szCs w:val="28"/>
          <w:lang w:val="uk-UA" w:eastAsia="ru-RU"/>
        </w:rPr>
        <w:t xml:space="preserve">Юридичний інтернет ресурс. Судова влада України. </w:t>
      </w:r>
      <w:r w:rsidRPr="00511005">
        <w:rPr>
          <w:rFonts w:ascii="Arial" w:eastAsia="Times New Roman" w:hAnsi="Arial" w:cs="Arial"/>
          <w:iCs/>
          <w:szCs w:val="28"/>
          <w:lang w:val="en-US" w:eastAsia="ru-RU"/>
        </w:rPr>
        <w:t>URL</w:t>
      </w:r>
      <w:r w:rsidRPr="00511005">
        <w:rPr>
          <w:rFonts w:ascii="Arial" w:eastAsia="Times New Roman" w:hAnsi="Arial" w:cs="Arial"/>
          <w:iCs/>
          <w:szCs w:val="28"/>
          <w:lang w:val="uk-UA" w:eastAsia="ru-RU"/>
        </w:rPr>
        <w:t>:</w:t>
      </w:r>
      <w:hyperlink r:id="rId1285" w:history="1">
        <w:r w:rsidRPr="00511005">
          <w:rPr>
            <w:rFonts w:ascii="Arial" w:eastAsia="Times New Roman" w:hAnsi="Arial" w:cs="Arial"/>
            <w:szCs w:val="28"/>
            <w:lang w:val="uk-UA" w:eastAsia="ru-RU"/>
          </w:rPr>
          <w:t>https://court.gov.ua/userfiles/UROL_Courts_and_Media_Manual_for_Judges.pdf</w:t>
        </w:r>
      </w:hyperlink>
      <w:r w:rsidRPr="00511005">
        <w:rPr>
          <w:rFonts w:ascii="Arial" w:eastAsia="Times New Roman" w:hAnsi="Arial" w:cs="Arial"/>
          <w:szCs w:val="28"/>
          <w:lang w:val="uk-UA" w:eastAsia="ru-RU"/>
        </w:rPr>
        <w:t xml:space="preserve"> </w:t>
      </w:r>
    </w:p>
    <w:p w14:paraId="232C88C8" w14:textId="77777777" w:rsidR="00C10374" w:rsidRPr="00511005" w:rsidRDefault="00C10374" w:rsidP="003F6A5D">
      <w:pPr>
        <w:numPr>
          <w:ilvl w:val="0"/>
          <w:numId w:val="329"/>
        </w:numPr>
        <w:spacing w:line="264" w:lineRule="auto"/>
        <w:ind w:left="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Одеський апеляційний адміністративний суд «Демократичні стандарти взаємодії судів та ЗМІ» </w:t>
      </w:r>
      <w:r w:rsidRPr="00511005">
        <w:rPr>
          <w:rFonts w:ascii="Arial" w:eastAsia="Times New Roman" w:hAnsi="Arial" w:cs="Arial"/>
          <w:i/>
          <w:iCs/>
          <w:szCs w:val="28"/>
          <w:lang w:val="uk-UA" w:eastAsia="ru-RU"/>
        </w:rPr>
        <w:t xml:space="preserve">Юридичний інтернет ресурс. Судова влада України. </w:t>
      </w:r>
      <w:r w:rsidRPr="00511005">
        <w:rPr>
          <w:rFonts w:ascii="Arial" w:eastAsia="Times New Roman" w:hAnsi="Arial" w:cs="Arial"/>
          <w:szCs w:val="28"/>
          <w:lang w:val="uk-UA" w:eastAsia="ru-RU"/>
        </w:rPr>
        <w:t>Одеський апеляційний адміністративний суд</w:t>
      </w:r>
      <w:r w:rsidRPr="00511005">
        <w:rPr>
          <w:rFonts w:ascii="Arial" w:eastAsia="Times New Roman" w:hAnsi="Arial" w:cs="Arial"/>
          <w:szCs w:val="28"/>
          <w:lang w:val="uk-UA" w:eastAsia="ru-RU"/>
        </w:rPr>
        <w:br/>
      </w:r>
      <w:r w:rsidRPr="00511005">
        <w:rPr>
          <w:rFonts w:ascii="Arial" w:eastAsia="Times New Roman" w:hAnsi="Arial" w:cs="Arial"/>
          <w:iCs/>
          <w:szCs w:val="28"/>
          <w:lang w:val="en-US" w:eastAsia="ru-RU"/>
        </w:rPr>
        <w:t>URL</w:t>
      </w:r>
      <w:r w:rsidRPr="00511005">
        <w:rPr>
          <w:rFonts w:ascii="Arial" w:eastAsia="Times New Roman" w:hAnsi="Arial" w:cs="Arial"/>
          <w:iCs/>
          <w:szCs w:val="28"/>
          <w:lang w:val="uk-UA" w:eastAsia="ru-RU"/>
        </w:rPr>
        <w:t>:</w:t>
      </w:r>
      <w:hyperlink r:id="rId1286" w:history="1">
        <w:r w:rsidRPr="00511005">
          <w:rPr>
            <w:rFonts w:ascii="Arial" w:eastAsia="Times New Roman" w:hAnsi="Arial" w:cs="Arial"/>
            <w:szCs w:val="28"/>
            <w:lang w:val="uk-UA" w:eastAsia="ru-RU"/>
          </w:rPr>
          <w:t>https://apladm.od.court.gov.ua/sud9105/pres-centr/news/375130/</w:t>
        </w:r>
      </w:hyperlink>
      <w:r w:rsidRPr="00511005">
        <w:rPr>
          <w:rFonts w:ascii="Arial" w:eastAsia="Times New Roman" w:hAnsi="Arial" w:cs="Arial"/>
          <w:szCs w:val="28"/>
          <w:lang w:val="uk-UA" w:eastAsia="ru-RU"/>
        </w:rPr>
        <w:t xml:space="preserve"> </w:t>
      </w:r>
    </w:p>
    <w:p w14:paraId="793553E4" w14:textId="77777777" w:rsidR="007B2628" w:rsidRPr="00511005" w:rsidRDefault="00C10374" w:rsidP="003F6A5D">
      <w:pPr>
        <w:numPr>
          <w:ilvl w:val="0"/>
          <w:numId w:val="329"/>
        </w:numPr>
        <w:spacing w:line="264" w:lineRule="auto"/>
        <w:ind w:left="0"/>
        <w:contextualSpacing/>
        <w:rPr>
          <w:rFonts w:ascii="Arial" w:eastAsia="Times New Roman" w:hAnsi="Arial" w:cs="Arial"/>
          <w:szCs w:val="28"/>
          <w:lang w:val="uk-UA" w:eastAsia="ru-RU"/>
        </w:rPr>
      </w:pPr>
      <w:r w:rsidRPr="00511005">
        <w:rPr>
          <w:rFonts w:ascii="Arial" w:eastAsia="Times New Roman" w:hAnsi="Arial" w:cs="Arial"/>
          <w:bCs/>
          <w:szCs w:val="28"/>
          <w:lang w:val="uk-UA" w:eastAsia="ru-RU"/>
        </w:rPr>
        <w:t xml:space="preserve">Олександр Б. Розголошення журналістом лікарської таємниці стало підставою для звернення позивача до суду з позовом до нього про відшкодування моральної шкоди, що був задоволений (Апеляційний суд Львівської області, справа № 460/1849/15, 21.11.16). </w:t>
      </w:r>
      <w:r w:rsidRPr="00511005">
        <w:rPr>
          <w:rFonts w:ascii="Arial" w:eastAsia="Times New Roman" w:hAnsi="Arial" w:cs="Arial"/>
          <w:bCs/>
          <w:i/>
          <w:szCs w:val="28"/>
          <w:lang w:val="uk-UA" w:eastAsia="ru-RU"/>
        </w:rPr>
        <w:t xml:space="preserve">Юридичний інтернет ресурс. Протокол.. </w:t>
      </w:r>
      <w:r w:rsidRPr="00511005">
        <w:rPr>
          <w:rFonts w:ascii="Arial" w:eastAsia="Times New Roman" w:hAnsi="Arial" w:cs="Arial"/>
          <w:bCs/>
          <w:szCs w:val="28"/>
          <w:lang w:val="en-US" w:eastAsia="ru-RU"/>
        </w:rPr>
        <w:t>URL</w:t>
      </w:r>
      <w:r w:rsidRPr="00511005">
        <w:rPr>
          <w:rFonts w:ascii="Arial" w:eastAsia="Times New Roman" w:hAnsi="Arial" w:cs="Arial"/>
          <w:bCs/>
          <w:szCs w:val="28"/>
          <w:lang w:val="uk-UA" w:eastAsia="ru-RU"/>
        </w:rPr>
        <w:t>:</w:t>
      </w:r>
      <w:hyperlink r:id="rId1287" w:history="1">
        <w:r w:rsidRPr="00511005">
          <w:rPr>
            <w:rFonts w:ascii="Arial" w:eastAsia="Times New Roman" w:hAnsi="Arial" w:cs="Arial"/>
            <w:szCs w:val="28"/>
            <w:lang w:val="uk-UA" w:eastAsia="ru-RU"/>
          </w:rPr>
          <w:t>https://protocol.ua/ua/sud_rozgoloshennya_gurnalistom_likarskoi_taemnitsi_stalo_pidstavoyu_dlya_zvernennya_pozivacha_do_sudu_z_pozovom_do_nogo_pro_vidshkoduvannya_moralnoi_shkodi_shcho_buv_zadovoleniy_(apelyatsiyniy_sud_lvivskoi_oblasti_sprava_460_1849_15_21_11_16)/</w:t>
        </w:r>
      </w:hyperlink>
    </w:p>
    <w:p w14:paraId="47CF1320" w14:textId="3B3EF477" w:rsidR="00C10374" w:rsidRPr="00511005" w:rsidRDefault="00C10374" w:rsidP="003F6A5D">
      <w:pPr>
        <w:numPr>
          <w:ilvl w:val="0"/>
          <w:numId w:val="329"/>
        </w:numPr>
        <w:spacing w:line="264" w:lineRule="auto"/>
        <w:ind w:left="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Трофіменко І. В. Висвітлення журналістами інформації, щодо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можливого розкрадання в оборонній сфері, мало значний суспільний інтерес і є оціночними судженнями - тому не визнається недостовірною інформацією, що порушує особисті немайнові права (ВС КЦС справа № 758/2931/19 від 16.02.2022 р.). </w:t>
      </w:r>
      <w:r w:rsidRPr="00511005">
        <w:rPr>
          <w:rFonts w:ascii="Arial" w:eastAsia="Times New Roman" w:hAnsi="Arial" w:cs="Arial"/>
          <w:szCs w:val="28"/>
          <w:lang w:val="en-US" w:eastAsia="ru-RU"/>
        </w:rPr>
        <w:t>UR</w:t>
      </w:r>
      <w:r w:rsidRPr="00511005">
        <w:rPr>
          <w:rFonts w:ascii="Arial" w:eastAsia="Times New Roman" w:hAnsi="Arial" w:cs="Arial"/>
          <w:szCs w:val="28"/>
          <w:lang w:val="uk-UA" w:eastAsia="ru-RU"/>
        </w:rPr>
        <w:t xml:space="preserve"> </w:t>
      </w:r>
      <w:r w:rsidRPr="00511005">
        <w:rPr>
          <w:rFonts w:ascii="Arial" w:eastAsia="Times New Roman" w:hAnsi="Arial" w:cs="Arial"/>
          <w:i/>
          <w:szCs w:val="28"/>
          <w:lang w:val="uk-UA" w:eastAsia="ru-RU"/>
        </w:rPr>
        <w:t xml:space="preserve">Юридичний інтернет ресурс. Протокол. </w:t>
      </w:r>
      <w:r w:rsidRPr="00511005">
        <w:rPr>
          <w:rFonts w:ascii="Arial" w:eastAsia="Times New Roman" w:hAnsi="Arial" w:cs="Arial"/>
          <w:iCs/>
          <w:szCs w:val="28"/>
          <w:lang w:val="en-US" w:eastAsia="ru-RU"/>
        </w:rPr>
        <w:t>URL</w:t>
      </w:r>
      <w:r w:rsidRPr="00511005">
        <w:rPr>
          <w:rFonts w:ascii="Arial" w:eastAsia="Times New Roman" w:hAnsi="Arial" w:cs="Arial"/>
          <w:iCs/>
          <w:szCs w:val="28"/>
          <w:lang w:val="uk-UA" w:eastAsia="ru-RU"/>
        </w:rPr>
        <w:t>:</w:t>
      </w:r>
      <w:hyperlink r:id="rId1288" w:history="1">
        <w:r w:rsidRPr="00511005">
          <w:rPr>
            <w:rFonts w:ascii="Arial" w:eastAsia="Times New Roman" w:hAnsi="Arial" w:cs="Arial"/>
            <w:szCs w:val="28"/>
            <w:lang w:val="uk-UA" w:eastAsia="ru-RU"/>
          </w:rPr>
          <w:t>https://protocol.ua/ua/visvitlennya_gurnalistami_informatsii_shchodo_moglivogo_rozkradannya_v_oboronniy_sferi_malo_znachniy_suspilniy_interes_i_e_otsinochnimi_sudgennyami_tomu_ne_viznaetsya_nedostovirnoyu_informatsieyu_shcho_porushue_osobisti_nemaynovi_prava_(vs_ktss_sprava_758_2931_19_vid_16_02_2022_r_)/</w:t>
        </w:r>
      </w:hyperlink>
    </w:p>
    <w:p w14:paraId="6E1D7EF9" w14:textId="77777777" w:rsidR="00C10374" w:rsidRPr="00511005" w:rsidRDefault="00C10374" w:rsidP="003A292D">
      <w:pPr>
        <w:spacing w:line="264" w:lineRule="auto"/>
        <w:ind w:firstLine="0"/>
        <w:rPr>
          <w:rFonts w:ascii="Arial" w:eastAsia="Calibri" w:hAnsi="Arial" w:cs="Arial"/>
          <w:szCs w:val="28"/>
        </w:rPr>
      </w:pPr>
    </w:p>
    <w:p w14:paraId="7C9D1A2D" w14:textId="200ED7B3" w:rsidR="00C10374"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C10374" w:rsidRPr="00511005">
        <w:rPr>
          <w:rFonts w:ascii="Arial" w:eastAsia="Times New Roman" w:hAnsi="Arial" w:cs="Arial"/>
          <w:szCs w:val="28"/>
          <w:lang w:val="uk-UA" w:eastAsia="ru-RU"/>
        </w:rPr>
        <w:t>Журналіст, ЗМІ, корупція, відносини, презумпція невинуватості, судді, громадська думка, правосуддя, відповідальність, закон</w:t>
      </w:r>
    </w:p>
    <w:p w14:paraId="32023D24" w14:textId="4C13D1BA" w:rsidR="00C10374"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lastRenderedPageBreak/>
        <w:t xml:space="preserve">Key words: </w:t>
      </w:r>
      <w:r w:rsidR="00C10374" w:rsidRPr="00511005">
        <w:rPr>
          <w:rFonts w:ascii="Arial" w:eastAsia="Times New Roman" w:hAnsi="Arial" w:cs="Arial"/>
          <w:szCs w:val="28"/>
          <w:lang w:val="uk-UA" w:eastAsia="ru-RU"/>
        </w:rPr>
        <w:t>Journalist, media, corruption, relations, presumption of innocence, judges, public opinion, justice, responsibility, law.</w:t>
      </w:r>
    </w:p>
    <w:p w14:paraId="1AF04D3F" w14:textId="234BDCD4" w:rsidR="00C10374"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Науковий керівник: </w:t>
      </w:r>
      <w:r w:rsidR="00C10374" w:rsidRPr="00511005">
        <w:rPr>
          <w:rFonts w:ascii="Arial" w:eastAsia="Times New Roman" w:hAnsi="Arial" w:cs="Arial"/>
          <w:i/>
          <w:szCs w:val="28"/>
          <w:lang w:val="uk-UA" w:eastAsia="ru-RU"/>
        </w:rPr>
        <w:t>старший викладач Нестерчук Л. П.</w:t>
      </w:r>
    </w:p>
    <w:p w14:paraId="0FD02216" w14:textId="77777777" w:rsidR="00C10374" w:rsidRPr="00511005" w:rsidRDefault="00C10374" w:rsidP="003A292D">
      <w:pPr>
        <w:widowControl w:val="0"/>
        <w:spacing w:line="264" w:lineRule="auto"/>
        <w:ind w:firstLine="0"/>
        <w:rPr>
          <w:rFonts w:ascii="Arial" w:eastAsia="Calibri" w:hAnsi="Arial" w:cs="Arial"/>
          <w:szCs w:val="28"/>
          <w:lang w:val="uk-UA"/>
        </w:rPr>
      </w:pPr>
    </w:p>
    <w:p w14:paraId="3EB8624F" w14:textId="77777777" w:rsidR="00C10374" w:rsidRPr="00511005" w:rsidRDefault="00C10374" w:rsidP="003A292D">
      <w:pPr>
        <w:widowControl w:val="0"/>
        <w:spacing w:line="264" w:lineRule="auto"/>
        <w:ind w:firstLine="0"/>
        <w:rPr>
          <w:rFonts w:ascii="Arial" w:eastAsia="Calibri" w:hAnsi="Arial" w:cs="Arial"/>
          <w:szCs w:val="28"/>
          <w:lang w:val="uk-UA"/>
        </w:rPr>
      </w:pPr>
    </w:p>
    <w:p w14:paraId="3F892379" w14:textId="77777777" w:rsidR="00C10374" w:rsidRPr="00511005" w:rsidRDefault="00C10374" w:rsidP="003A292D">
      <w:pPr>
        <w:snapToGrid w:val="0"/>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i/>
          <w:iCs/>
          <w:szCs w:val="28"/>
          <w:lang w:eastAsia="ru-RU"/>
        </w:rPr>
        <w:t>Юраш Софія Вадимівна</w:t>
      </w:r>
    </w:p>
    <w:p w14:paraId="0B229F3E" w14:textId="44E51005" w:rsidR="00C10374" w:rsidRPr="00511005" w:rsidRDefault="00BE3972" w:rsidP="003A292D">
      <w:pPr>
        <w:snapToGrid w:val="0"/>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val="uk-UA" w:eastAsia="ru-RU"/>
        </w:rPr>
        <w:t xml:space="preserve">студентка 1-го курсу </w:t>
      </w:r>
      <w:r w:rsidR="001B7B25" w:rsidRPr="00511005">
        <w:rPr>
          <w:rFonts w:ascii="Arial" w:eastAsia="Times New Roman" w:hAnsi="Arial" w:cs="Arial"/>
          <w:szCs w:val="28"/>
          <w:lang w:val="uk-UA" w:eastAsia="ru-RU"/>
        </w:rPr>
        <w:t>факультету судового та міжнародного права</w:t>
      </w:r>
    </w:p>
    <w:p w14:paraId="4A43CF89" w14:textId="0839E716" w:rsidR="00C10374" w:rsidRPr="00511005" w:rsidRDefault="007B2628" w:rsidP="003A292D">
      <w:pPr>
        <w:snapToGrid w:val="0"/>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67D9596" w14:textId="77777777" w:rsidR="00C10374" w:rsidRPr="00511005" w:rsidRDefault="00C10374" w:rsidP="003A292D">
      <w:pPr>
        <w:snapToGrid w:val="0"/>
        <w:spacing w:line="264" w:lineRule="auto"/>
        <w:ind w:firstLine="0"/>
        <w:jc w:val="center"/>
        <w:rPr>
          <w:rFonts w:ascii="Arial" w:eastAsia="Times New Roman" w:hAnsi="Arial" w:cs="Arial"/>
          <w:i/>
          <w:iCs/>
          <w:szCs w:val="28"/>
          <w:lang w:eastAsia="ru-RU"/>
        </w:rPr>
      </w:pPr>
    </w:p>
    <w:p w14:paraId="707B9CE0" w14:textId="77777777" w:rsidR="007B2628" w:rsidRPr="00511005" w:rsidRDefault="00C10374" w:rsidP="003A292D">
      <w:pPr>
        <w:snapToGrid w:val="0"/>
        <w:spacing w:line="264" w:lineRule="auto"/>
        <w:ind w:firstLine="52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 xml:space="preserve">ЩОДО </w:t>
      </w:r>
      <w:r w:rsidRPr="00511005">
        <w:rPr>
          <w:rFonts w:ascii="Arial" w:eastAsia="Times New Roman" w:hAnsi="Arial" w:cs="Arial"/>
          <w:b/>
          <w:bCs/>
          <w:szCs w:val="28"/>
          <w:lang w:eastAsia="ru-RU"/>
        </w:rPr>
        <w:t xml:space="preserve">СТВОРЕННЯ </w:t>
      </w:r>
      <w:r w:rsidRPr="00511005">
        <w:rPr>
          <w:rFonts w:ascii="Arial" w:eastAsia="Times New Roman" w:hAnsi="Arial" w:cs="Arial"/>
          <w:b/>
          <w:bCs/>
          <w:szCs w:val="28"/>
          <w:lang w:val="uk-UA" w:eastAsia="ru-RU"/>
        </w:rPr>
        <w:t>АНТИКОРУПЦІЙНИХ</w:t>
      </w:r>
      <w:r w:rsidRPr="00511005">
        <w:rPr>
          <w:rFonts w:ascii="Arial" w:eastAsia="Times New Roman" w:hAnsi="Arial" w:cs="Arial"/>
          <w:b/>
          <w:bCs/>
          <w:szCs w:val="28"/>
          <w:lang w:eastAsia="ru-RU"/>
        </w:rPr>
        <w:t xml:space="preserve"> ОРГАНІВ </w:t>
      </w:r>
      <w:r w:rsidRPr="00511005">
        <w:rPr>
          <w:rFonts w:ascii="Arial" w:eastAsia="Times New Roman" w:hAnsi="Arial" w:cs="Arial"/>
          <w:b/>
          <w:bCs/>
          <w:szCs w:val="28"/>
          <w:lang w:val="uk-UA" w:eastAsia="ru-RU"/>
        </w:rPr>
        <w:t>ЯК НАПРЯМОК ПРОТИДІЇ</w:t>
      </w:r>
      <w:r w:rsidRPr="00511005">
        <w:rPr>
          <w:rFonts w:ascii="Arial" w:eastAsia="Times New Roman" w:hAnsi="Arial" w:cs="Arial"/>
          <w:b/>
          <w:bCs/>
          <w:szCs w:val="28"/>
          <w:lang w:eastAsia="ru-RU"/>
        </w:rPr>
        <w:t xml:space="preserve"> КОРУПЦ</w:t>
      </w:r>
      <w:r w:rsidRPr="00511005">
        <w:rPr>
          <w:rFonts w:ascii="Arial" w:eastAsia="Times New Roman" w:hAnsi="Arial" w:cs="Arial"/>
          <w:b/>
          <w:bCs/>
          <w:szCs w:val="28"/>
          <w:lang w:val="uk-UA" w:eastAsia="ru-RU"/>
        </w:rPr>
        <w:t>ІЇ</w:t>
      </w:r>
    </w:p>
    <w:p w14:paraId="4B1CC7F0" w14:textId="0DE049CB" w:rsidR="00C10374" w:rsidRPr="00511005" w:rsidRDefault="00C10374" w:rsidP="003A292D">
      <w:pPr>
        <w:snapToGrid w:val="0"/>
        <w:spacing w:line="264" w:lineRule="auto"/>
        <w:ind w:firstLine="520"/>
        <w:jc w:val="center"/>
        <w:rPr>
          <w:rFonts w:ascii="Arial" w:eastAsia="Times New Roman" w:hAnsi="Arial" w:cs="Arial"/>
          <w:szCs w:val="28"/>
          <w:lang w:eastAsia="ru-RU"/>
        </w:rPr>
      </w:pPr>
    </w:p>
    <w:p w14:paraId="2A2F1549" w14:textId="77777777" w:rsidR="00C10374" w:rsidRPr="00511005" w:rsidRDefault="00C10374" w:rsidP="003A292D">
      <w:pPr>
        <w:snapToGrid w:val="0"/>
        <w:spacing w:line="264" w:lineRule="auto"/>
        <w:ind w:firstLine="520"/>
        <w:rPr>
          <w:rFonts w:ascii="Arial" w:eastAsia="Times New Roman" w:hAnsi="Arial" w:cs="Arial"/>
          <w:szCs w:val="28"/>
          <w:lang w:eastAsia="ru-RU"/>
        </w:rPr>
      </w:pPr>
      <w:r w:rsidRPr="00511005">
        <w:rPr>
          <w:rFonts w:ascii="Arial" w:eastAsia="Times New Roman" w:hAnsi="Arial" w:cs="Arial"/>
          <w:szCs w:val="28"/>
          <w:lang w:eastAsia="ru-RU"/>
        </w:rPr>
        <w:t>Корупція як соціально-правове явище є серйозною загрозою для національної безпеки, демократичних цінностей та правопорядку. В Україні корупція протягом десятиліть була не просто негативним чинником, а системною проблемою, яка проникла у всі рівні державної влади. Саме тому формування ефективної антикорупційної політики стало одним із центральних завдань державного реформування після Революції Гідності. В рамках цієї політики особливу роль відіграє створення та інституалізація спеціальних органів, діяльність яких спрямована виключно на запобігання, виявлення, розслідування та судовий розгляд корупційних злочинів.</w:t>
      </w:r>
    </w:p>
    <w:p w14:paraId="6B5055DA" w14:textId="77777777" w:rsidR="00C10374" w:rsidRPr="00511005" w:rsidRDefault="00C10374" w:rsidP="003A292D">
      <w:pPr>
        <w:snapToGrid w:val="0"/>
        <w:spacing w:line="264" w:lineRule="auto"/>
        <w:ind w:firstLine="520"/>
        <w:rPr>
          <w:rFonts w:ascii="Arial" w:eastAsia="Times New Roman" w:hAnsi="Arial" w:cs="Arial"/>
          <w:szCs w:val="28"/>
          <w:lang w:eastAsia="ru-RU"/>
        </w:rPr>
      </w:pPr>
      <w:r w:rsidRPr="00511005">
        <w:rPr>
          <w:rFonts w:ascii="Arial" w:eastAsia="Times New Roman" w:hAnsi="Arial" w:cs="Arial"/>
          <w:szCs w:val="28"/>
          <w:lang w:eastAsia="ru-RU"/>
        </w:rPr>
        <w:t xml:space="preserve">На основі сучасного законодавства, міжнародних зобов’язань та рекомендацій (зокрема GRECO, ООН, ЄС), в Україні була створена унікальна для пострадянського простору </w:t>
      </w:r>
      <w:r w:rsidRPr="00511005">
        <w:rPr>
          <w:rFonts w:ascii="Arial" w:eastAsia="Times New Roman" w:hAnsi="Arial" w:cs="Arial"/>
          <w:szCs w:val="28"/>
          <w:lang w:val="uk-UA" w:eastAsia="ru-RU"/>
        </w:rPr>
        <w:t>система</w:t>
      </w:r>
      <w:r w:rsidRPr="00511005">
        <w:rPr>
          <w:rFonts w:ascii="Arial" w:eastAsia="Times New Roman" w:hAnsi="Arial" w:cs="Arial"/>
          <w:szCs w:val="28"/>
          <w:lang w:eastAsia="ru-RU"/>
        </w:rPr>
        <w:t xml:space="preserve"> спеціалізованих антикорупційних органів: Національне антикорупційне бюро України (НАБУ), Спеціалізована антикорупційна прокуратура (САП), Національне агентство з питань запобігання корупції (НАЗК) та Вищий антикорупційний суд (ВАКС). Їх діяльність визначає фактичний зміст сучасної державної антикорупційної політики.</w:t>
      </w:r>
    </w:p>
    <w:p w14:paraId="03FA7F37" w14:textId="77777777" w:rsidR="00C10374" w:rsidRPr="00511005" w:rsidRDefault="00C10374" w:rsidP="003A292D">
      <w:pPr>
        <w:snapToGrid w:val="0"/>
        <w:spacing w:line="264" w:lineRule="auto"/>
        <w:ind w:firstLine="520"/>
        <w:rPr>
          <w:rFonts w:ascii="Arial" w:eastAsia="Times New Roman" w:hAnsi="Arial" w:cs="Arial"/>
          <w:szCs w:val="28"/>
          <w:lang w:eastAsia="ru-RU"/>
        </w:rPr>
      </w:pPr>
      <w:r w:rsidRPr="00511005">
        <w:rPr>
          <w:rFonts w:ascii="Arial" w:eastAsia="Times New Roman" w:hAnsi="Arial" w:cs="Arial"/>
          <w:szCs w:val="28"/>
          <w:lang w:eastAsia="ru-RU"/>
        </w:rPr>
        <w:t xml:space="preserve">НАБУ створено у 2015 році як спеціалізований орган досудового розслідування, орієнтований на виявлення і документування фактів корупції серед вищих посадових осіб, зокрема міністрів, народних депутатів, суддів, високопосадовців державних підприємств. Особливістю НАБУ є незалежність його діяльності, що забезпечується як процедурою призначення директора через відкритий конкурс, так і підконтрольністю виключно закону. Діяльність НАБУ оцінюється як результативна: тисячі відкритих кримінальних проваджень, сотні направлених обвинувальних актів. Проте не всі справи завершуються вироками, що часто зумовлено зовнішнім тиском або процесуальними </w:t>
      </w:r>
      <w:proofErr w:type="gramStart"/>
      <w:r w:rsidRPr="00511005">
        <w:rPr>
          <w:rFonts w:ascii="Arial" w:eastAsia="Times New Roman" w:hAnsi="Arial" w:cs="Arial"/>
          <w:szCs w:val="28"/>
          <w:lang w:eastAsia="ru-RU"/>
        </w:rPr>
        <w:t>обмеженнями[</w:t>
      </w:r>
      <w:proofErr w:type="gramEnd"/>
      <w:r w:rsidRPr="00511005">
        <w:rPr>
          <w:rFonts w:ascii="Arial" w:eastAsia="Times New Roman" w:hAnsi="Arial" w:cs="Arial"/>
          <w:szCs w:val="28"/>
          <w:lang w:eastAsia="ru-RU"/>
        </w:rPr>
        <w:t>1].</w:t>
      </w:r>
    </w:p>
    <w:p w14:paraId="3BEF0D90" w14:textId="77777777" w:rsidR="00C10374" w:rsidRPr="00511005" w:rsidRDefault="00C10374" w:rsidP="003A292D">
      <w:pPr>
        <w:snapToGrid w:val="0"/>
        <w:spacing w:line="264" w:lineRule="auto"/>
        <w:ind w:firstLine="520"/>
        <w:rPr>
          <w:rFonts w:ascii="Arial" w:eastAsia="Times New Roman" w:hAnsi="Arial" w:cs="Arial"/>
          <w:szCs w:val="28"/>
          <w:lang w:eastAsia="ru-RU"/>
        </w:rPr>
      </w:pPr>
      <w:r w:rsidRPr="00511005">
        <w:rPr>
          <w:rFonts w:ascii="Arial" w:eastAsia="Times New Roman" w:hAnsi="Arial" w:cs="Arial"/>
          <w:szCs w:val="28"/>
          <w:lang w:eastAsia="ru-RU"/>
        </w:rPr>
        <w:t xml:space="preserve">У тісній взаємодії з НАБУ функціонує Спеціалізована антикорупційна прокуратура, що є юридичною особою публічного права. САП здійснює процесуальне керівництво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НАБУ, підтримує державне </w:t>
      </w:r>
      <w:r w:rsidRPr="00511005">
        <w:rPr>
          <w:rFonts w:ascii="Arial" w:eastAsia="Times New Roman" w:hAnsi="Arial" w:cs="Arial"/>
          <w:szCs w:val="28"/>
          <w:lang w:eastAsia="ru-RU"/>
        </w:rPr>
        <w:lastRenderedPageBreak/>
        <w:t>обвинувачення в суді, а також здійснює нагляд за дотриманням законності в діяльності слідчих. Формування САП відзначалось особливою публічністю і відкритістю, з участю міжнародних партнерів. Разом з тим, неодноразово фіксувалися спроби політичного втручання у кадрову політику САП, що є викликом для її незалежності [2].</w:t>
      </w:r>
    </w:p>
    <w:p w14:paraId="5CE82A13" w14:textId="77777777" w:rsidR="00C10374" w:rsidRPr="00511005" w:rsidRDefault="00C10374" w:rsidP="003A292D">
      <w:pPr>
        <w:snapToGrid w:val="0"/>
        <w:spacing w:line="264" w:lineRule="auto"/>
        <w:ind w:firstLine="520"/>
        <w:rPr>
          <w:rFonts w:ascii="Arial" w:eastAsia="Times New Roman" w:hAnsi="Arial" w:cs="Arial"/>
          <w:szCs w:val="28"/>
          <w:lang w:eastAsia="ru-RU"/>
        </w:rPr>
      </w:pPr>
      <w:r w:rsidRPr="00511005">
        <w:rPr>
          <w:rFonts w:ascii="Arial" w:eastAsia="Times New Roman" w:hAnsi="Arial" w:cs="Arial"/>
          <w:szCs w:val="28"/>
          <w:lang w:eastAsia="ru-RU"/>
        </w:rPr>
        <w:t>Третім елементом антикорупційної системи є НАЗК — орган із превентивною функцією, що зосереджується на запобіганні корупції, контролі за деклараціями посадовців, врегулюванні конфлікту інтересів та антикорупційному навчанні. НАЗК створило та адмініструє систему е-декларування, яка охоплює понад мільйон службових осіб і дозволяє громадськості та журналістам контролювати майновий стан посадовців. Поряд з тим, діяльність НАЗК неодноразово зазнавала критики щодо формалізму в перевірках, повільного реагування на виявлені порушення та обмеженого функціоналу санкційного впливу [2].</w:t>
      </w:r>
    </w:p>
    <w:p w14:paraId="51A2EFCC" w14:textId="77777777" w:rsidR="00C10374" w:rsidRPr="00511005" w:rsidRDefault="00C10374" w:rsidP="003A292D">
      <w:pPr>
        <w:snapToGrid w:val="0"/>
        <w:spacing w:line="264" w:lineRule="auto"/>
        <w:ind w:firstLine="520"/>
        <w:rPr>
          <w:rFonts w:ascii="Arial" w:eastAsia="Times New Roman" w:hAnsi="Arial" w:cs="Arial"/>
          <w:szCs w:val="28"/>
          <w:lang w:eastAsia="ru-RU"/>
        </w:rPr>
      </w:pPr>
      <w:r w:rsidRPr="00511005">
        <w:rPr>
          <w:rFonts w:ascii="Arial" w:eastAsia="Times New Roman" w:hAnsi="Arial" w:cs="Arial"/>
          <w:szCs w:val="28"/>
          <w:lang w:eastAsia="ru-RU"/>
        </w:rPr>
        <w:t>Ключовим етапом розвитку антикорупційної політики стало створення Вищого антикорупційного суду, який почав роботу у 2019 році. ВАКС є унікальним явищем для правової системи України — суд, який спеціалізується виключно на розгляді кримінальних справ, що стосуються високопосадової корупції. Судді ВАКС були обрані на конкурсній основі з активною участю міжнародних експертів, що значно підвищило довіру до нього. За час існування ВАКС розглянув сотні справ, виніс низку обвинувальних вироків, що підтверджує ефективність спеціалізації. Разом із тим, спостерігаються труднощі із завантаженістю суду, затягуванням слухань та оскарженням у Верховному Суді [1].</w:t>
      </w:r>
    </w:p>
    <w:p w14:paraId="72D6373A" w14:textId="77777777" w:rsidR="00C10374" w:rsidRPr="00511005" w:rsidRDefault="00C10374" w:rsidP="003A292D">
      <w:pPr>
        <w:snapToGrid w:val="0"/>
        <w:spacing w:line="264" w:lineRule="auto"/>
        <w:ind w:firstLine="520"/>
        <w:rPr>
          <w:rFonts w:ascii="Arial" w:eastAsia="Times New Roman" w:hAnsi="Arial" w:cs="Arial"/>
          <w:szCs w:val="28"/>
          <w:lang w:eastAsia="ru-RU"/>
        </w:rPr>
      </w:pPr>
      <w:r w:rsidRPr="00511005">
        <w:rPr>
          <w:rFonts w:ascii="Arial" w:eastAsia="Times New Roman" w:hAnsi="Arial" w:cs="Arial"/>
          <w:szCs w:val="28"/>
          <w:lang w:eastAsia="ru-RU"/>
        </w:rPr>
        <w:t>Усі чотири спеціалізовані органи формують єдину антикорупційну архітектуру, але при цьому залишаються юридично й організаційно незалежними один від одного. Такий підхід забезпечує стримування та противаги, проте також створює складності в координації. Зокрема, між НАБУ, САП і НАЗК не завжди існує належний обмін інформацією, що ускладнює реалізацію єдиної антикорупційної політики. Додатковим фактором є перманентний кадровий дефіцит, низька довіра суспільства до результатів боротьби з корупцією та тиск з боку політичних акторів на органи, які формально є незалежними [1].</w:t>
      </w:r>
    </w:p>
    <w:p w14:paraId="1F11AF46" w14:textId="77777777" w:rsidR="00C10374" w:rsidRPr="00511005" w:rsidRDefault="00C10374" w:rsidP="003A292D">
      <w:pPr>
        <w:snapToGrid w:val="0"/>
        <w:spacing w:line="264" w:lineRule="auto"/>
        <w:ind w:firstLine="520"/>
        <w:rPr>
          <w:rFonts w:ascii="Arial" w:eastAsia="Times New Roman" w:hAnsi="Arial" w:cs="Arial"/>
          <w:szCs w:val="28"/>
          <w:lang w:eastAsia="ru-RU"/>
        </w:rPr>
      </w:pPr>
      <w:r w:rsidRPr="00511005">
        <w:rPr>
          <w:rFonts w:ascii="Arial" w:eastAsia="Times New Roman" w:hAnsi="Arial" w:cs="Arial"/>
          <w:szCs w:val="28"/>
          <w:lang w:eastAsia="ru-RU"/>
        </w:rPr>
        <w:t xml:space="preserve">На думку дослідників, державна антикорупційна політика України потребує системного перегляду з метою посилення її спроможності. Йдеться про необхідність забезпечення повної незалежності керівників антикорупційних органів, удосконалення механізмів добору та переатестації працівників, підвищення рівня матеріального забезпечення, покращення аналітичного супроводу, цифровізації процесів перевірки декларацій та розслідування злочинів. Крім того, важливим напрямом має стати розширення повноважень НАЗК у частині притягнення до відповідальності </w:t>
      </w:r>
      <w:r w:rsidRPr="00511005">
        <w:rPr>
          <w:rFonts w:ascii="Arial" w:eastAsia="Times New Roman" w:hAnsi="Arial" w:cs="Arial"/>
          <w:szCs w:val="28"/>
          <w:lang w:eastAsia="ru-RU"/>
        </w:rPr>
        <w:lastRenderedPageBreak/>
        <w:t>за адміністративні правопорушення та встановлення дієвої системи моніторингу ефективності діяльності всіх інституцій</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[2-3].</w:t>
      </w:r>
    </w:p>
    <w:p w14:paraId="047DC602" w14:textId="77777777" w:rsidR="00C10374" w:rsidRPr="00511005" w:rsidRDefault="00C10374" w:rsidP="003A292D">
      <w:pPr>
        <w:snapToGrid w:val="0"/>
        <w:spacing w:line="264" w:lineRule="auto"/>
        <w:ind w:firstLine="520"/>
        <w:rPr>
          <w:rFonts w:ascii="Arial" w:eastAsia="Times New Roman" w:hAnsi="Arial" w:cs="Arial"/>
          <w:szCs w:val="28"/>
          <w:lang w:eastAsia="ru-RU"/>
        </w:rPr>
      </w:pPr>
      <w:r w:rsidRPr="00511005">
        <w:rPr>
          <w:rFonts w:ascii="Arial" w:eastAsia="Times New Roman" w:hAnsi="Arial" w:cs="Arial"/>
          <w:szCs w:val="28"/>
          <w:lang w:eastAsia="ru-RU"/>
        </w:rPr>
        <w:t xml:space="preserve">У контексті європейської інтеграції та війни з </w:t>
      </w:r>
      <w:r w:rsidRPr="00511005">
        <w:rPr>
          <w:rFonts w:ascii="Arial" w:eastAsia="Times New Roman" w:hAnsi="Arial" w:cs="Arial"/>
          <w:szCs w:val="28"/>
          <w:lang w:val="uk-UA" w:eastAsia="ru-RU"/>
        </w:rPr>
        <w:t>р</w:t>
      </w:r>
      <w:r w:rsidRPr="00511005">
        <w:rPr>
          <w:rFonts w:ascii="Arial" w:eastAsia="Times New Roman" w:hAnsi="Arial" w:cs="Arial"/>
          <w:szCs w:val="28"/>
          <w:lang w:eastAsia="ru-RU"/>
        </w:rPr>
        <w:t>осією антикорупційна політика України набула стратегічного виміру. Вона є однією з ключових умов надання допомоги від міжнародних партнерів та початку переговорів щодо членства в Європейському Союзі. Як зазначається у дослідженнях, збереження та інституційне укріплення спеціальних органів повинні бути пріоритетом не лише для виконавчої влади, а й для всіх гілок державної влади [3].</w:t>
      </w:r>
    </w:p>
    <w:p w14:paraId="5BB90957" w14:textId="77777777" w:rsidR="007B2628" w:rsidRPr="00511005" w:rsidRDefault="00C10374" w:rsidP="003A292D">
      <w:pPr>
        <w:snapToGrid w:val="0"/>
        <w:spacing w:line="264" w:lineRule="auto"/>
        <w:ind w:firstLine="520"/>
        <w:rPr>
          <w:rFonts w:ascii="Arial" w:eastAsia="Times New Roman" w:hAnsi="Arial" w:cs="Arial"/>
          <w:szCs w:val="28"/>
          <w:lang w:eastAsia="ru-RU"/>
        </w:rPr>
      </w:pPr>
      <w:r w:rsidRPr="00511005">
        <w:rPr>
          <w:rFonts w:ascii="Arial" w:eastAsia="Times New Roman" w:hAnsi="Arial" w:cs="Arial"/>
          <w:szCs w:val="28"/>
          <w:lang w:eastAsia="ru-RU"/>
        </w:rPr>
        <w:t>Підсумовуючи, можна констатувати, що створення системи спеціальних органів у сфері боротьби з корупцією стало найбільш амбітною та результативною реформою в антикорупційній політиці України за останні десятиліття. Вперше в історії країни функціонує замкнутий цикл: розслідування (НАБУ), обвинувачення (САП), судовий розгляд (ВАКС). Такий механізм створює реальні передумови для подолання корупції на високому рівні. Водночас, збереження результатів, уникнення політизації та подальше вдосконалення нормативної бази залишаються критично важливими умовами ефективної державної політики у цій сфері.</w:t>
      </w:r>
    </w:p>
    <w:p w14:paraId="78013AF7" w14:textId="513E3D0D" w:rsidR="00C10374" w:rsidRPr="00511005" w:rsidRDefault="00C10374" w:rsidP="003A292D">
      <w:pPr>
        <w:snapToGrid w:val="0"/>
        <w:spacing w:line="264" w:lineRule="auto"/>
        <w:ind w:firstLine="0"/>
        <w:jc w:val="center"/>
        <w:rPr>
          <w:rFonts w:ascii="Arial" w:eastAsia="Times New Roman" w:hAnsi="Arial" w:cs="Arial"/>
          <w:szCs w:val="28"/>
          <w:lang w:eastAsia="ru-RU"/>
        </w:rPr>
      </w:pPr>
    </w:p>
    <w:p w14:paraId="624014CF" w14:textId="0B1F6453" w:rsidR="00C10374" w:rsidRPr="00511005" w:rsidRDefault="007B2628" w:rsidP="007B2628">
      <w:pPr>
        <w:snapToGrid w:val="0"/>
        <w:spacing w:line="264" w:lineRule="auto"/>
        <w:ind w:firstLine="0"/>
        <w:jc w:val="center"/>
        <w:rPr>
          <w:rFonts w:ascii="Arial" w:eastAsia="Times New Roman" w:hAnsi="Arial" w:cs="Arial"/>
          <w:i/>
          <w:iCs/>
          <w:szCs w:val="28"/>
          <w:lang w:eastAsia="ru-RU"/>
        </w:rPr>
      </w:pPr>
      <w:r w:rsidRPr="00511005">
        <w:rPr>
          <w:rFonts w:ascii="Arial" w:eastAsia="Times New Roman" w:hAnsi="Arial" w:cs="Arial"/>
          <w:b/>
          <w:bCs/>
          <w:i/>
          <w:iCs/>
          <w:szCs w:val="28"/>
          <w:lang w:val="uk-UA" w:eastAsia="ru-RU"/>
        </w:rPr>
        <w:t>Список використаних джерел</w:t>
      </w:r>
    </w:p>
    <w:p w14:paraId="4F6B256F" w14:textId="77777777" w:rsidR="00C10374" w:rsidRPr="00511005" w:rsidRDefault="00C10374" w:rsidP="003A292D">
      <w:pPr>
        <w:snapToGrid w:val="0"/>
        <w:spacing w:line="264" w:lineRule="auto"/>
        <w:ind w:left="540" w:hanging="260"/>
        <w:rPr>
          <w:rFonts w:ascii="Arial" w:eastAsia="Times New Roman" w:hAnsi="Arial" w:cs="Arial"/>
          <w:szCs w:val="28"/>
          <w:lang w:eastAsia="ru-RU"/>
        </w:rPr>
      </w:pPr>
      <w:r w:rsidRPr="00511005">
        <w:rPr>
          <w:rFonts w:ascii="Arial" w:eastAsia="Times New Roman" w:hAnsi="Arial" w:cs="Arial"/>
          <w:szCs w:val="28"/>
          <w:lang w:eastAsia="ru-RU"/>
        </w:rPr>
        <w:t xml:space="preserve">1. Концепція щодо антикорупційних інструментівпротидії корупційним правопорушенням від 6 серпня 2024 року. URL: </w:t>
      </w:r>
      <w:hyperlink r:id="rId1289" w:history="1">
        <w:r w:rsidRPr="00511005">
          <w:rPr>
            <w:rFonts w:ascii="Arial" w:eastAsia="Times New Roman" w:hAnsi="Arial" w:cs="Arial"/>
            <w:szCs w:val="28"/>
            <w:lang w:eastAsia="ru-RU"/>
          </w:rPr>
          <w:t>https://research.rada.gov.ua/uploads/documents/33052.pdf</w:t>
        </w:r>
      </w:hyperlink>
    </w:p>
    <w:p w14:paraId="5C88042A" w14:textId="132F41F6" w:rsidR="00C10374" w:rsidRPr="00511005" w:rsidRDefault="00C10374" w:rsidP="003A292D">
      <w:pPr>
        <w:snapToGrid w:val="0"/>
        <w:spacing w:line="264" w:lineRule="auto"/>
        <w:ind w:left="540" w:hanging="260"/>
        <w:rPr>
          <w:rFonts w:ascii="Arial" w:eastAsia="Times New Roman" w:hAnsi="Arial" w:cs="Arial"/>
          <w:szCs w:val="28"/>
          <w:lang w:val="uk-UA" w:eastAsia="ru-RU"/>
        </w:rPr>
      </w:pPr>
      <w:r w:rsidRPr="00511005">
        <w:rPr>
          <w:rFonts w:ascii="Arial" w:eastAsia="Times New Roman" w:hAnsi="Arial" w:cs="Arial"/>
          <w:szCs w:val="28"/>
          <w:lang w:eastAsia="ru-RU"/>
        </w:rPr>
        <w:t>2. Башкатова</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В. Державна політика у сфері запобігання і протидії корупції в Україні</w:t>
      </w:r>
      <w:r w:rsidRPr="00511005">
        <w:rPr>
          <w:rFonts w:ascii="Arial" w:eastAsia="Times New Roman" w:hAnsi="Arial" w:cs="Arial"/>
          <w:i/>
          <w:iCs/>
          <w:szCs w:val="28"/>
          <w:lang w:eastAsia="ru-RU"/>
        </w:rPr>
        <w:t>. Юридичний вісник</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2020.</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 1. С. </w:t>
      </w:r>
      <w:r w:rsidRPr="00511005">
        <w:rPr>
          <w:rFonts w:ascii="Arial" w:eastAsia="Times New Roman" w:hAnsi="Arial" w:cs="Arial"/>
          <w:szCs w:val="28"/>
          <w:lang w:eastAsia="ru-RU"/>
        </w:rPr>
        <w:t xml:space="preserve">44-50. </w:t>
      </w:r>
    </w:p>
    <w:p w14:paraId="6914AE39" w14:textId="77777777" w:rsidR="00C10374" w:rsidRPr="00511005" w:rsidRDefault="00C10374" w:rsidP="003A292D">
      <w:pPr>
        <w:snapToGrid w:val="0"/>
        <w:spacing w:line="264" w:lineRule="auto"/>
        <w:ind w:left="540" w:hanging="260"/>
        <w:rPr>
          <w:rFonts w:ascii="Arial" w:eastAsia="Times New Roman" w:hAnsi="Arial" w:cs="Arial"/>
          <w:szCs w:val="28"/>
          <w:lang w:val="uk-UA" w:eastAsia="ru-RU"/>
        </w:rPr>
      </w:pPr>
      <w:r w:rsidRPr="00511005">
        <w:rPr>
          <w:rFonts w:ascii="Arial" w:eastAsia="Times New Roman" w:hAnsi="Arial" w:cs="Arial"/>
          <w:szCs w:val="28"/>
          <w:lang w:eastAsia="ru-RU"/>
        </w:rPr>
        <w:t xml:space="preserve">3. Бондаренко О. С., Тимошенко О. О. Протидіякорупції в умовах воєнного стану: аналіз проблем та можливостей. </w:t>
      </w:r>
      <w:r w:rsidRPr="00511005">
        <w:rPr>
          <w:rFonts w:ascii="Arial" w:eastAsia="Times New Roman" w:hAnsi="Arial" w:cs="Arial"/>
          <w:i/>
          <w:iCs/>
          <w:szCs w:val="28"/>
          <w:lang w:eastAsia="ru-RU"/>
        </w:rPr>
        <w:t xml:space="preserve">Право і безпека. </w:t>
      </w:r>
      <w:r w:rsidRPr="00511005">
        <w:rPr>
          <w:rFonts w:ascii="Arial" w:eastAsia="Times New Roman" w:hAnsi="Arial" w:cs="Arial"/>
          <w:szCs w:val="28"/>
          <w:lang w:eastAsia="ru-RU"/>
        </w:rPr>
        <w:t xml:space="preserve">2024. № 2 (93). С. 127–139. </w:t>
      </w:r>
    </w:p>
    <w:p w14:paraId="596CC148" w14:textId="77777777" w:rsidR="00C10374" w:rsidRPr="00511005" w:rsidRDefault="00C10374" w:rsidP="003A292D">
      <w:pPr>
        <w:snapToGrid w:val="0"/>
        <w:spacing w:line="264" w:lineRule="auto"/>
        <w:ind w:firstLine="0"/>
        <w:rPr>
          <w:rFonts w:ascii="Arial" w:eastAsia="Times New Roman" w:hAnsi="Arial" w:cs="Arial"/>
          <w:szCs w:val="28"/>
          <w:lang w:eastAsia="ru-RU"/>
        </w:rPr>
      </w:pPr>
    </w:p>
    <w:p w14:paraId="3C3FDBAC" w14:textId="6422B119" w:rsidR="00C10374" w:rsidRPr="00511005" w:rsidRDefault="007B2628" w:rsidP="003A292D">
      <w:pPr>
        <w:snapToGrid w:val="0"/>
        <w:spacing w:line="264" w:lineRule="auto"/>
        <w:ind w:firstLine="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C10374" w:rsidRPr="00511005">
        <w:rPr>
          <w:rFonts w:ascii="Arial" w:eastAsia="Times New Roman" w:hAnsi="Arial" w:cs="Arial"/>
          <w:szCs w:val="28"/>
          <w:lang w:eastAsia="ru-RU"/>
        </w:rPr>
        <w:t>корупція, антикорупційна політика, спеціалізовані органи, НАБУ, САП, НАЗК, ВАКС, Революція Гідності, міжнародні зобов’язання, європейська інтеграція.</w:t>
      </w:r>
    </w:p>
    <w:p w14:paraId="78DB1A44" w14:textId="2BBBB968" w:rsidR="00C10374" w:rsidRPr="00511005" w:rsidRDefault="007B2628" w:rsidP="003A292D">
      <w:pPr>
        <w:snapToGrid w:val="0"/>
        <w:spacing w:line="264" w:lineRule="auto"/>
        <w:ind w:firstLine="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C10374" w:rsidRPr="00511005">
        <w:rPr>
          <w:rFonts w:ascii="Arial" w:eastAsia="Times New Roman" w:hAnsi="Arial" w:cs="Arial"/>
          <w:szCs w:val="28"/>
          <w:lang w:val="en-US" w:eastAsia="ru-RU"/>
        </w:rPr>
        <w:t>corruption, anti-corruption policy, specialized bodies, NABU, SAP, NAPC, HACC, Revolution of Dignity, international obligations, European integration.</w:t>
      </w:r>
    </w:p>
    <w:p w14:paraId="088B992B" w14:textId="77777777" w:rsidR="00C10374" w:rsidRPr="00511005" w:rsidRDefault="00C10374" w:rsidP="003A292D">
      <w:pPr>
        <w:snapToGrid w:val="0"/>
        <w:spacing w:line="264" w:lineRule="auto"/>
        <w:ind w:firstLine="0"/>
        <w:rPr>
          <w:rFonts w:ascii="Arial" w:eastAsia="Times New Roman" w:hAnsi="Arial" w:cs="Arial"/>
          <w:szCs w:val="28"/>
          <w:lang w:val="en-US" w:eastAsia="ru-RU"/>
        </w:rPr>
      </w:pPr>
    </w:p>
    <w:p w14:paraId="6E7FC0D6" w14:textId="74A212F0" w:rsidR="00C10374" w:rsidRPr="00511005" w:rsidRDefault="007B2628" w:rsidP="003A292D">
      <w:pPr>
        <w:snapToGrid w:val="0"/>
        <w:spacing w:line="264" w:lineRule="auto"/>
        <w:ind w:firstLine="0"/>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00C10374" w:rsidRPr="00511005">
        <w:rPr>
          <w:rFonts w:ascii="Arial" w:eastAsia="Times New Roman" w:hAnsi="Arial" w:cs="Arial"/>
          <w:i/>
          <w:iCs/>
          <w:szCs w:val="28"/>
          <w:lang w:val="uk-UA" w:eastAsia="ru-RU"/>
        </w:rPr>
        <w:t xml:space="preserve">к.ю.н., </w:t>
      </w:r>
      <w:r w:rsidR="00C10374" w:rsidRPr="00511005">
        <w:rPr>
          <w:rFonts w:ascii="Arial" w:eastAsia="Times New Roman" w:hAnsi="Arial" w:cs="Arial"/>
          <w:i/>
          <w:iCs/>
          <w:szCs w:val="28"/>
          <w:lang w:eastAsia="ru-RU"/>
        </w:rPr>
        <w:t>доцент</w:t>
      </w:r>
      <w:r w:rsidRPr="00511005">
        <w:rPr>
          <w:rFonts w:ascii="Arial" w:eastAsia="Times New Roman" w:hAnsi="Arial" w:cs="Arial"/>
          <w:i/>
          <w:iCs/>
          <w:szCs w:val="28"/>
          <w:lang w:eastAsia="ru-RU"/>
        </w:rPr>
        <w:t xml:space="preserve"> </w:t>
      </w:r>
      <w:r w:rsidR="00C10374" w:rsidRPr="00511005">
        <w:rPr>
          <w:rFonts w:ascii="Arial" w:eastAsia="Times New Roman" w:hAnsi="Arial" w:cs="Arial"/>
          <w:i/>
          <w:iCs/>
          <w:szCs w:val="28"/>
          <w:lang w:eastAsia="ru-RU"/>
        </w:rPr>
        <w:t>Кравченко М.О.</w:t>
      </w:r>
    </w:p>
    <w:p w14:paraId="3615D71E" w14:textId="77777777" w:rsidR="00C10374" w:rsidRPr="00511005" w:rsidRDefault="00C10374" w:rsidP="003A292D">
      <w:pPr>
        <w:widowControl w:val="0"/>
        <w:spacing w:line="264" w:lineRule="auto"/>
        <w:ind w:firstLine="0"/>
        <w:rPr>
          <w:rFonts w:ascii="Arial" w:eastAsia="Calibri" w:hAnsi="Arial" w:cs="Arial"/>
          <w:szCs w:val="28"/>
          <w:lang w:val="uk-UA"/>
        </w:rPr>
      </w:pPr>
    </w:p>
    <w:p w14:paraId="7EEA59A9" w14:textId="77777777" w:rsidR="00C10374" w:rsidRPr="00511005" w:rsidRDefault="00C10374" w:rsidP="003A292D">
      <w:pPr>
        <w:widowControl w:val="0"/>
        <w:spacing w:line="264" w:lineRule="auto"/>
        <w:ind w:firstLine="0"/>
        <w:rPr>
          <w:rFonts w:ascii="Arial" w:eastAsia="Calibri" w:hAnsi="Arial" w:cs="Arial"/>
          <w:szCs w:val="28"/>
          <w:lang w:val="uk-UA"/>
        </w:rPr>
      </w:pPr>
    </w:p>
    <w:p w14:paraId="0CE684BA" w14:textId="77777777" w:rsidR="00C10374" w:rsidRPr="00511005" w:rsidRDefault="00C10374" w:rsidP="003A292D">
      <w:pPr>
        <w:spacing w:line="264" w:lineRule="auto"/>
        <w:jc w:val="center"/>
        <w:rPr>
          <w:rFonts w:ascii="Arial" w:eastAsia="Calibri" w:hAnsi="Arial" w:cs="Arial"/>
          <w:b/>
          <w:bCs/>
          <w:i/>
          <w:iCs/>
          <w:szCs w:val="28"/>
          <w:lang w:val="uk-UA"/>
        </w:rPr>
      </w:pPr>
      <w:r w:rsidRPr="00511005">
        <w:rPr>
          <w:rFonts w:ascii="Arial" w:eastAsia="Calibri" w:hAnsi="Arial" w:cs="Arial"/>
          <w:b/>
          <w:bCs/>
          <w:i/>
          <w:iCs/>
          <w:szCs w:val="28"/>
          <w:lang w:val="uk-UA"/>
        </w:rPr>
        <w:t>Яловчук Єлизавета Миколаївна</w:t>
      </w:r>
    </w:p>
    <w:p w14:paraId="027E7C1C" w14:textId="16795A99" w:rsidR="00C10374" w:rsidRPr="00511005" w:rsidRDefault="00BE3972" w:rsidP="003A292D">
      <w:pPr>
        <w:spacing w:line="264" w:lineRule="auto"/>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w:t>
      </w:r>
      <w:r w:rsidR="001B7B25" w:rsidRPr="00511005">
        <w:rPr>
          <w:rFonts w:ascii="Arial" w:eastAsia="Calibri" w:hAnsi="Arial" w:cs="Arial"/>
          <w:szCs w:val="28"/>
          <w:lang w:val="uk-UA"/>
        </w:rPr>
        <w:t>факультету судового та міжнародного права</w:t>
      </w:r>
    </w:p>
    <w:p w14:paraId="496BFBEA" w14:textId="5D9BD155" w:rsidR="00C10374" w:rsidRPr="00511005" w:rsidRDefault="007B2628" w:rsidP="003A292D">
      <w:pPr>
        <w:spacing w:line="264" w:lineRule="auto"/>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4EAC0D43" w14:textId="77777777" w:rsidR="00C10374" w:rsidRPr="00511005" w:rsidRDefault="00C10374" w:rsidP="003A292D">
      <w:pPr>
        <w:spacing w:line="264" w:lineRule="auto"/>
        <w:rPr>
          <w:rFonts w:ascii="Arial" w:eastAsia="Calibri" w:hAnsi="Arial" w:cs="Arial"/>
          <w:b/>
          <w:bCs/>
          <w:szCs w:val="28"/>
          <w:lang w:val="uk-UA"/>
        </w:rPr>
      </w:pPr>
    </w:p>
    <w:p w14:paraId="3985983C" w14:textId="77777777" w:rsidR="00C10374" w:rsidRPr="00511005" w:rsidRDefault="00C10374" w:rsidP="003A292D">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АДВОКАТУРА В ЦИВІЛЬНОМУ ПРОЦЕСІ</w:t>
      </w:r>
    </w:p>
    <w:p w14:paraId="552E07EB" w14:textId="77777777" w:rsidR="00C10374" w:rsidRPr="00511005" w:rsidRDefault="00C10374" w:rsidP="003A292D">
      <w:pPr>
        <w:spacing w:line="264" w:lineRule="auto"/>
        <w:jc w:val="center"/>
        <w:rPr>
          <w:rFonts w:ascii="Arial" w:eastAsia="Calibri" w:hAnsi="Arial" w:cs="Arial"/>
          <w:b/>
          <w:bCs/>
          <w:szCs w:val="28"/>
          <w:lang w:val="uk-UA"/>
        </w:rPr>
      </w:pPr>
    </w:p>
    <w:p w14:paraId="61F29F35" w14:textId="7A4FC14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Участь у судовому процесі як форма надання правничої допомоги, за загальним правилом, належить виключно до компетенції адвоката -</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професійного правника, який має відповідний статус. Винятки з цього правила допускаються лише в тих випадках, що прямо передбачені чинним законодавством. Особливе становище адвоката в цивільному судочинстві визначається не лише набором прав і обов’язків, закріплених у Цивільному процесуальному кодексі України, але й додатковими нормами, викладеними в Законі України «Про адвокатуру та адвокатську діяльність». До цього комплексу додаються також гарантії, що забезпечують незалежність адвоката, а також зобов’язання дотримуватись положень Правил адвокатської етики, які регламентують професійну поведінку [6]. </w:t>
      </w:r>
    </w:p>
    <w:p w14:paraId="33D2901E" w14:textId="5C537CC3"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Професійна діяльність адвоката врегульована як на національному, так і на міжнародному рівні. Українське законодавство - зокрема Конституція, спеціальний закон про адвокатуру, а також процесуальні кодекси -</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закладає фундамент для реалізації адвокатських повноважень. У той же час міжнародні документи, такі як Європейська конвенція з прав людини, Основні принципи ООН щодо ролі адвокатів, Рекомендація №21 (2000) Комітету Міністрів Ради Європи про забезпечення свободи адвокатської професії, а також нормативні акти Ради адвокатських і правових товариств Європи (CCBE), підсилюють правовий статус адвоката та підкреслюють його ключову роль у системі правосуддя [7].</w:t>
      </w:r>
    </w:p>
    <w:p w14:paraId="2FEF9CE6" w14:textId="5D72DC8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Суттєве значення для розуміння професійних прав адвоката має стаття 20 Закону України «Про адвокатуру та адвокатську діяльність». Вона є базовою у сфері правового регулювання діяльності адвоката, однак не обмежується вичерпним переліком прав [4]</w:t>
      </w:r>
      <w:r w:rsidRPr="00511005">
        <w:rPr>
          <w:rFonts w:ascii="Arial" w:eastAsia="Calibri" w:hAnsi="Arial" w:cs="Arial"/>
          <w:szCs w:val="28"/>
        </w:rPr>
        <w:t xml:space="preserve">. </w:t>
      </w:r>
      <w:r w:rsidRPr="00511005">
        <w:rPr>
          <w:rFonts w:ascii="Arial" w:eastAsia="Calibri" w:hAnsi="Arial" w:cs="Arial"/>
          <w:szCs w:val="28"/>
          <w:lang w:val="uk-UA"/>
        </w:rPr>
        <w:t>Замість цього у тексті закону використовуються відкриті формулювання наприклад, «зокрема» -</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що дозволяє адвокату посилатись не лише на прямо визначені норми, а й на інші законодавчі акти, які передбачають додаткові права в межах професійної діяльності.</w:t>
      </w:r>
    </w:p>
    <w:p w14:paraId="166300C5" w14:textId="77777777" w:rsidR="00C10374" w:rsidRPr="00511005" w:rsidRDefault="00C10374" w:rsidP="003A292D">
      <w:pPr>
        <w:spacing w:line="264" w:lineRule="auto"/>
        <w:rPr>
          <w:rFonts w:ascii="Arial" w:eastAsia="Calibri" w:hAnsi="Arial" w:cs="Arial"/>
          <w:szCs w:val="28"/>
        </w:rPr>
      </w:pPr>
      <w:r w:rsidRPr="00511005">
        <w:rPr>
          <w:rFonts w:ascii="Arial" w:eastAsia="Calibri" w:hAnsi="Arial" w:cs="Arial"/>
          <w:szCs w:val="28"/>
          <w:lang w:val="uk-UA"/>
        </w:rPr>
        <w:t xml:space="preserve">Згідно з положеннями частини п’ятої статті 39 та частини першої статті 44 Цивільного процесуального кодексу України, адвокат, який діє як представник особи у межах цивільного провадження, має право здійснювати від імені довірителя всі процесуальні дії, котрі ця особа мала б змогу вчинити самостійно [3]. Більше того, йому дозволяється передавати ведення справи в суді іншим уповноваженим особам, тобто фактично делегувати свої представницькі повноваження. У зв’язку з тим, що адвокат у такому випадку визнається повноправним учасником процесу, він автоматично набуває комплексу процесуальних прав та обов’язків, які визначені в статті 27 того ж кодексу. Іншими словами, його статус у судовому розгляді не обмежується </w:t>
      </w:r>
      <w:r w:rsidRPr="00511005">
        <w:rPr>
          <w:rFonts w:ascii="Arial" w:eastAsia="Calibri" w:hAnsi="Arial" w:cs="Arial"/>
          <w:szCs w:val="28"/>
          <w:lang w:val="uk-UA"/>
        </w:rPr>
        <w:lastRenderedPageBreak/>
        <w:t>лише представницькою функцією — він інтегрується у процес як суб’єкт, що має власну процесуальну автономію, чітко врегульовану нормами діючого законодавства</w:t>
      </w:r>
      <w:r w:rsidRPr="00511005">
        <w:rPr>
          <w:rFonts w:ascii="Arial" w:eastAsia="Calibri" w:hAnsi="Arial" w:cs="Arial"/>
          <w:szCs w:val="28"/>
        </w:rPr>
        <w:t xml:space="preserve"> [9].</w:t>
      </w:r>
    </w:p>
    <w:p w14:paraId="6F21378B"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Адвокат, як учасник цивільного процесу і носій професійного статусу, має розширений перелік спеціальних прав, що дозволяють йому ефективно виконувати свої функції у сфері правничої допомоги. Одним із ключових інструментів, яким може користуватися адвокат, є право надсилати адвокатські запити до органів державної влади, місцевого самоврядування, їхніх посадовців і службовців, а також до підприємств, установ, організацій, громадських об’єднань і навіть фізичних осіб — за умови надання ними згоди. Через ці запити адвокат має можливість офіційно отримувати документи, їхні копії та іншу інформацію, що може бути важливою для справи [8].</w:t>
      </w:r>
    </w:p>
    <w:p w14:paraId="685CAF41"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Крім того, закон надає адвокатові право збирати фактичні дані, які в подальшому можуть бути використані як докази в суді. Це охоплює можливість ініціювати запити про надання речей, документів або їхніх копій, ознайомлюватися з такими матеріалами, а також проводити опитування осіб — звісно, за їхньою згодою. Для фіксації відповідних процесуальних дій адвокат має право використовувати технічні засоби, наприклад, робити копії матеріалів справи, в якій він здійснює представництво чи надає інші види правової допомоги. Також він може записувати хід судових засідань відповідно до процедур, передбачених законом.</w:t>
      </w:r>
    </w:p>
    <w:p w14:paraId="46BC2FD9"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Ще одним важливим повноваженням є право засвідчувати копії документів у тих справах, які веде адвокат, якщо інший порядок не визначений чинним законодавством. У разі потреби адвокат має право залучати фахівців або експертів для підготовки письмових висновків з питань, що потребують спеціальних знань. Важливо й те, що цей перелік прав не є вичерпним: закон дозволяє адвокатові користуватися також іншими правами, передбаченими нормативно-правовими актами, що регулюють його професійну діяльність.</w:t>
      </w:r>
    </w:p>
    <w:p w14:paraId="3C846C80"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Згідно з пунктом 21 Основних положень ООН про роль адвокатів, державні органи зобов’язані забезпечити адвокатам своєчасний і повний доступ до матеріалів, документів та іншої інформації, що стосується справ, у яких вони надають правову допомогу. Такий доступ має бути наданий без зволікань, у максимально стислий термін, щоб адвокат мав можливість ефективно виконувати свої професійні обов’язки перед клієнтом [5]</w:t>
      </w:r>
      <w:r w:rsidRPr="00511005">
        <w:rPr>
          <w:rFonts w:ascii="Arial" w:eastAsia="Calibri" w:hAnsi="Arial" w:cs="Arial"/>
          <w:szCs w:val="28"/>
        </w:rPr>
        <w:t>.</w:t>
      </w:r>
      <w:r w:rsidRPr="00511005">
        <w:rPr>
          <w:rFonts w:ascii="Arial" w:eastAsia="Calibri" w:hAnsi="Arial" w:cs="Arial"/>
          <w:szCs w:val="28"/>
          <w:lang w:val="uk-UA"/>
        </w:rPr>
        <w:t xml:space="preserve"> Водночас важливо усвідомлювати, що навіть наявність правових гарантій не гарантує їх ефективної реалізації без належної ініціативності самого адвоката. Як підкреслює В. Загарія, адвокати повинні бути активнішими у захисті власного права на отримання необхідної інформації в процесі надання правової допомоги.</w:t>
      </w:r>
    </w:p>
    <w:p w14:paraId="3F434E14"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Важливою умовою виникнення цивільних правовідносин між адвокатом і клієнтом є укладення договору про надання правничої допомоги. Саме з моменту підписання цього договору сторони набувають юридичного статусу «клієнт» і «адвокат». У договорі конкретизується, що адвокат — незалежно від того, чи працює він індивідуально, чи є членом адвокатського об’єднання — зобов’язується діяти в інтересах клієнта: здійснювати його представництво, захист або іншу правову підтримку на умовах, обумовлених у тексті угоди. У свою чергу, клієнт повинен оплатити надані послуги, а також, за необхідності, компенсувати фактичні витрати, пов’язані з виконанням цього договору. Вважається, що підписання такого документа означає офіційне прийняття адвокатом доручення від клієнта.</w:t>
      </w:r>
    </w:p>
    <w:p w14:paraId="14173E78"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Проте трапляються ситуації, коли через недотримання формальних вимог суд відмовляє у розгляді справи. Один із таких прикладів міститься в матеріалах Дніпровського апеляційного суду у справі № 185/2794/19 (провадження № 22-ц/803/7828/19), де 26 липня 2019 року суддя ухвалив повернути апеляційну скаргу. Причиною стало те, що в договорі між клієнтом і адвокатом не було чітко зазначено повноваження останнього на підписання відповідної скарги. </w:t>
      </w:r>
    </w:p>
    <w:p w14:paraId="5AC435F8"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Суд, керуючись пунктом 1 частини п’ятої статті 357 ЦПК України, дійшов висновку, що скарга підписана особою, яка не мала на це належного права, а тому її не можна прийняти до розгляду</w:t>
      </w:r>
      <w:r w:rsidRPr="00511005">
        <w:rPr>
          <w:rFonts w:ascii="Arial" w:eastAsia="Calibri" w:hAnsi="Arial" w:cs="Arial"/>
          <w:szCs w:val="28"/>
        </w:rPr>
        <w:t xml:space="preserve"> </w:t>
      </w:r>
      <w:r w:rsidRPr="00511005">
        <w:rPr>
          <w:rFonts w:ascii="Arial" w:eastAsia="Calibri" w:hAnsi="Arial" w:cs="Arial"/>
          <w:szCs w:val="28"/>
          <w:lang w:val="uk-UA"/>
        </w:rPr>
        <w:t>[</w:t>
      </w:r>
      <w:r w:rsidRPr="00511005">
        <w:rPr>
          <w:rFonts w:ascii="Arial" w:eastAsia="Calibri" w:hAnsi="Arial" w:cs="Arial"/>
          <w:szCs w:val="28"/>
        </w:rPr>
        <w:t>3</w:t>
      </w:r>
      <w:r w:rsidRPr="00511005">
        <w:rPr>
          <w:rFonts w:ascii="Arial" w:eastAsia="Calibri" w:hAnsi="Arial" w:cs="Arial"/>
          <w:szCs w:val="28"/>
          <w:lang w:val="uk-UA"/>
        </w:rPr>
        <w:t>]. Згадане положення чітко визначає: апеляційна скарга підлягає поверненню, якщо вона не підписана або підписана особою без відповідних повноважень чи без зазначення її посадового статусу. Така ситуація демонструє, наскільки важливо точно і чітко формулювати умови представництва в адвокатському договорі, аби уникнути процесуальних ризиків.</w:t>
      </w:r>
    </w:p>
    <w:p w14:paraId="345743A9" w14:textId="77777777" w:rsidR="00C10374" w:rsidRPr="00511005" w:rsidRDefault="00C10374" w:rsidP="003A292D">
      <w:pPr>
        <w:spacing w:line="264" w:lineRule="auto"/>
        <w:rPr>
          <w:rFonts w:ascii="Arial" w:eastAsia="Calibri" w:hAnsi="Arial" w:cs="Arial"/>
          <w:szCs w:val="28"/>
          <w:lang w:val="uk-UA"/>
        </w:rPr>
      </w:pPr>
      <w:r w:rsidRPr="00511005">
        <w:rPr>
          <w:rFonts w:ascii="Arial" w:eastAsia="Calibri" w:hAnsi="Arial" w:cs="Arial"/>
          <w:szCs w:val="28"/>
          <w:lang w:val="uk-UA"/>
        </w:rPr>
        <w:t>Таким чином, адвокат у цивільному судочинстві виступає не лише як представник сторони, а як самостійний процесуальний суб’єкт із чітко визначеними законодавством повноваженнями. Його роль виходить за межі формального посередництва — він забезпечує ефективний захист прав і законних інтересів клієнта, дотримуючись високих етичних стандартів та принципів професійної відповідальності. Правове регулювання адвокатської діяльності, як національне, так і міжнародне, формує підґрунтя для гарантування належної правничої допомоги. Водночас, реальне здійснення наданих адвокатові прав потребує не лише юридичної визначеності, а й активної позиції самого адвоката, особливо в умовах судової практики, де кожна процесуальна деталь може мати критичне значення.</w:t>
      </w:r>
    </w:p>
    <w:p w14:paraId="12CB78B3" w14:textId="3492FA69" w:rsidR="00C10374" w:rsidRPr="00511005" w:rsidRDefault="007B2628" w:rsidP="007B2628">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6A7F8D2" w14:textId="77777777" w:rsidR="00C10374" w:rsidRPr="00511005" w:rsidRDefault="00C10374" w:rsidP="003F6A5D">
      <w:pPr>
        <w:numPr>
          <w:ilvl w:val="0"/>
          <w:numId w:val="330"/>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Конституція України: прийнята на п’ятій сесії Верховної Ради України 28 червня 1996 р (зі змінами). База даних «Законодавство України» / ВР України. </w:t>
      </w:r>
      <w:hyperlink r:id="rId1290" w:history="1">
        <w:r w:rsidRPr="00511005">
          <w:rPr>
            <w:rFonts w:ascii="Arial" w:eastAsia="Calibri" w:hAnsi="Arial" w:cs="Arial"/>
            <w:szCs w:val="28"/>
            <w:lang w:val="uk-UA"/>
          </w:rPr>
          <w:t>URL: http://zakon3.rada.gov.ua/laws/show/254к/96-вр</w:t>
        </w:r>
      </w:hyperlink>
    </w:p>
    <w:p w14:paraId="0501718D" w14:textId="77777777" w:rsidR="00C10374" w:rsidRPr="00511005" w:rsidRDefault="00C10374" w:rsidP="003F6A5D">
      <w:pPr>
        <w:numPr>
          <w:ilvl w:val="0"/>
          <w:numId w:val="330"/>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lastRenderedPageBreak/>
        <w:t xml:space="preserve">Цивільний кодекс України від 16 січня 2003 р. №435-IV. Відомості Верховної Ради України. 18.12.2016. </w:t>
      </w:r>
      <w:hyperlink r:id="rId1291" w:history="1">
        <w:r w:rsidRPr="00511005">
          <w:rPr>
            <w:rFonts w:ascii="Arial" w:eastAsia="Calibri" w:hAnsi="Arial" w:cs="Arial"/>
            <w:szCs w:val="28"/>
            <w:lang w:val="uk-UA"/>
          </w:rPr>
          <w:t>URL: https://zakon.rada.gov.ua/laws/show/435-15#Text</w:t>
        </w:r>
      </w:hyperlink>
      <w:r w:rsidRPr="00511005">
        <w:rPr>
          <w:rFonts w:ascii="Arial" w:eastAsia="Calibri" w:hAnsi="Arial" w:cs="Arial"/>
          <w:szCs w:val="28"/>
          <w:lang w:val="uk-UA"/>
        </w:rPr>
        <w:t xml:space="preserve"> </w:t>
      </w:r>
    </w:p>
    <w:p w14:paraId="236DD8DC" w14:textId="77777777" w:rsidR="00C10374" w:rsidRPr="00511005" w:rsidRDefault="00C10374" w:rsidP="003F6A5D">
      <w:pPr>
        <w:numPr>
          <w:ilvl w:val="0"/>
          <w:numId w:val="330"/>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Цивільний процесуальний кодекс України №1618-IV від 18.03.2004. Офіційний сайт Верховної Ради України. </w:t>
      </w:r>
      <w:hyperlink r:id="rId1292" w:history="1">
        <w:r w:rsidRPr="00511005">
          <w:rPr>
            <w:rFonts w:ascii="Arial" w:eastAsia="Calibri" w:hAnsi="Arial" w:cs="Arial"/>
            <w:szCs w:val="28"/>
            <w:lang w:val="uk-UA"/>
          </w:rPr>
          <w:t>URL: https://zakon.rada.gov.ua/laws/show/1618-15#Text</w:t>
        </w:r>
      </w:hyperlink>
      <w:r w:rsidRPr="00511005">
        <w:rPr>
          <w:rFonts w:ascii="Arial" w:eastAsia="Calibri" w:hAnsi="Arial" w:cs="Arial"/>
          <w:szCs w:val="28"/>
          <w:lang w:val="uk-UA"/>
        </w:rPr>
        <w:t xml:space="preserve"> </w:t>
      </w:r>
    </w:p>
    <w:p w14:paraId="482530F6" w14:textId="77777777" w:rsidR="00C10374" w:rsidRPr="00511005" w:rsidRDefault="00C10374" w:rsidP="003F6A5D">
      <w:pPr>
        <w:numPr>
          <w:ilvl w:val="0"/>
          <w:numId w:val="330"/>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Про адвокатуру та адвокатську діяльність : Закон України №5076 від 05.07.2012. Офіційний сайт Верховної Ради України. </w:t>
      </w:r>
      <w:hyperlink r:id="rId1293" w:history="1">
        <w:r w:rsidRPr="00511005">
          <w:rPr>
            <w:rFonts w:ascii="Arial" w:eastAsia="Calibri" w:hAnsi="Arial" w:cs="Arial"/>
            <w:szCs w:val="28"/>
            <w:lang w:val="uk-UA"/>
          </w:rPr>
          <w:t>URL: https://zakon.rada.gov.ua/laws/show/5076-17#Text</w:t>
        </w:r>
      </w:hyperlink>
      <w:r w:rsidRPr="00511005">
        <w:rPr>
          <w:rFonts w:ascii="Arial" w:eastAsia="Calibri" w:hAnsi="Arial" w:cs="Arial"/>
          <w:szCs w:val="28"/>
          <w:lang w:val="uk-UA"/>
        </w:rPr>
        <w:t xml:space="preserve"> </w:t>
      </w:r>
    </w:p>
    <w:p w14:paraId="55D41A51" w14:textId="2F248B82" w:rsidR="00C10374" w:rsidRPr="00511005" w:rsidRDefault="00C10374" w:rsidP="003F6A5D">
      <w:pPr>
        <w:numPr>
          <w:ilvl w:val="0"/>
          <w:numId w:val="330"/>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Основні положення про роль адвокатів</w:t>
      </w:r>
      <w:r w:rsidRPr="00511005">
        <w:rPr>
          <w:rFonts w:ascii="Arial" w:eastAsia="Calibri" w:hAnsi="Arial" w:cs="Arial"/>
          <w:szCs w:val="28"/>
        </w:rPr>
        <w:t xml:space="preserve">. </w:t>
      </w:r>
      <w:r w:rsidRPr="00511005">
        <w:rPr>
          <w:rFonts w:ascii="Arial" w:eastAsia="Calibri" w:hAnsi="Arial" w:cs="Arial"/>
          <w:szCs w:val="28"/>
          <w:lang w:val="uk-UA"/>
        </w:rPr>
        <w:t>ООН</w:t>
      </w:r>
      <w:r w:rsidRPr="00511005">
        <w:rPr>
          <w:rFonts w:ascii="Arial" w:eastAsia="Calibri" w:hAnsi="Arial" w:cs="Arial"/>
          <w:szCs w:val="28"/>
        </w:rPr>
        <w:t>,</w:t>
      </w:r>
      <w:r w:rsidRPr="00511005">
        <w:rPr>
          <w:rFonts w:ascii="Arial" w:eastAsia="Calibri" w:hAnsi="Arial" w:cs="Arial"/>
          <w:szCs w:val="28"/>
          <w:lang w:val="uk-UA"/>
        </w:rPr>
        <w:t xml:space="preserve"> Міжнародний документ від 01.08.1990</w:t>
      </w:r>
      <w:r w:rsidR="007B2628" w:rsidRPr="00511005">
        <w:rPr>
          <w:rFonts w:ascii="Arial" w:eastAsia="Calibri" w:hAnsi="Arial" w:cs="Arial"/>
          <w:szCs w:val="28"/>
        </w:rPr>
        <w:t xml:space="preserve"> </w:t>
      </w:r>
      <w:hyperlink r:id="rId1294" w:history="1">
        <w:r w:rsidRPr="00511005">
          <w:rPr>
            <w:rFonts w:ascii="Arial" w:eastAsia="Calibri" w:hAnsi="Arial" w:cs="Arial"/>
            <w:szCs w:val="28"/>
            <w:lang w:val="en-US"/>
          </w:rPr>
          <w:t>URL</w:t>
        </w:r>
        <w:r w:rsidRPr="00511005">
          <w:rPr>
            <w:rFonts w:ascii="Arial" w:eastAsia="Calibri" w:hAnsi="Arial" w:cs="Arial"/>
            <w:szCs w:val="28"/>
            <w:lang w:val="uk-UA"/>
          </w:rPr>
          <w:t xml:space="preserve">: </w:t>
        </w:r>
        <w:r w:rsidRPr="00511005">
          <w:rPr>
            <w:rFonts w:ascii="Arial" w:eastAsia="Calibri" w:hAnsi="Arial" w:cs="Arial"/>
            <w:szCs w:val="28"/>
            <w:lang w:val="en-US"/>
          </w:rPr>
          <w:t>https</w:t>
        </w:r>
        <w:r w:rsidRPr="00511005">
          <w:rPr>
            <w:rFonts w:ascii="Arial" w:eastAsia="Calibri" w:hAnsi="Arial" w:cs="Arial"/>
            <w:szCs w:val="28"/>
            <w:lang w:val="uk-UA"/>
          </w:rPr>
          <w:t>://</w:t>
        </w:r>
        <w:r w:rsidRPr="00511005">
          <w:rPr>
            <w:rFonts w:ascii="Arial" w:eastAsia="Calibri" w:hAnsi="Arial" w:cs="Arial"/>
            <w:szCs w:val="28"/>
            <w:lang w:val="en-US"/>
          </w:rPr>
          <w:t>zakon</w:t>
        </w:r>
        <w:r w:rsidRPr="00511005">
          <w:rPr>
            <w:rFonts w:ascii="Arial" w:eastAsia="Calibri" w:hAnsi="Arial" w:cs="Arial"/>
            <w:szCs w:val="28"/>
            <w:lang w:val="uk-UA"/>
          </w:rPr>
          <w:t>.</w:t>
        </w:r>
        <w:r w:rsidRPr="00511005">
          <w:rPr>
            <w:rFonts w:ascii="Arial" w:eastAsia="Calibri" w:hAnsi="Arial" w:cs="Arial"/>
            <w:szCs w:val="28"/>
            <w:lang w:val="en-US"/>
          </w:rPr>
          <w:t>rada</w:t>
        </w:r>
        <w:r w:rsidRPr="00511005">
          <w:rPr>
            <w:rFonts w:ascii="Arial" w:eastAsia="Calibri" w:hAnsi="Arial" w:cs="Arial"/>
            <w:szCs w:val="28"/>
            <w:lang w:val="uk-UA"/>
          </w:rPr>
          <w:t>.</w:t>
        </w:r>
        <w:r w:rsidRPr="00511005">
          <w:rPr>
            <w:rFonts w:ascii="Arial" w:eastAsia="Calibri" w:hAnsi="Arial" w:cs="Arial"/>
            <w:szCs w:val="28"/>
            <w:lang w:val="en-US"/>
          </w:rPr>
          <w:t>gov</w:t>
        </w:r>
        <w:r w:rsidRPr="00511005">
          <w:rPr>
            <w:rFonts w:ascii="Arial" w:eastAsia="Calibri" w:hAnsi="Arial" w:cs="Arial"/>
            <w:szCs w:val="28"/>
            <w:lang w:val="uk-UA"/>
          </w:rPr>
          <w:t>.</w:t>
        </w:r>
        <w:r w:rsidRPr="00511005">
          <w:rPr>
            <w:rFonts w:ascii="Arial" w:eastAsia="Calibri" w:hAnsi="Arial" w:cs="Arial"/>
            <w:szCs w:val="28"/>
            <w:lang w:val="en-US"/>
          </w:rPr>
          <w:t>ua</w:t>
        </w:r>
        <w:r w:rsidRPr="00511005">
          <w:rPr>
            <w:rFonts w:ascii="Arial" w:eastAsia="Calibri" w:hAnsi="Arial" w:cs="Arial"/>
            <w:szCs w:val="28"/>
            <w:lang w:val="uk-UA"/>
          </w:rPr>
          <w:t>/</w:t>
        </w:r>
        <w:r w:rsidRPr="00511005">
          <w:rPr>
            <w:rFonts w:ascii="Arial" w:eastAsia="Calibri" w:hAnsi="Arial" w:cs="Arial"/>
            <w:szCs w:val="28"/>
            <w:lang w:val="en-US"/>
          </w:rPr>
          <w:t>laws</w:t>
        </w:r>
        <w:r w:rsidRPr="00511005">
          <w:rPr>
            <w:rFonts w:ascii="Arial" w:eastAsia="Calibri" w:hAnsi="Arial" w:cs="Arial"/>
            <w:szCs w:val="28"/>
            <w:lang w:val="uk-UA"/>
          </w:rPr>
          <w:t>/</w:t>
        </w:r>
        <w:r w:rsidRPr="00511005">
          <w:rPr>
            <w:rFonts w:ascii="Arial" w:eastAsia="Calibri" w:hAnsi="Arial" w:cs="Arial"/>
            <w:szCs w:val="28"/>
            <w:lang w:val="en-US"/>
          </w:rPr>
          <w:t>show</w:t>
        </w:r>
        <w:r w:rsidRPr="00511005">
          <w:rPr>
            <w:rFonts w:ascii="Arial" w:eastAsia="Calibri" w:hAnsi="Arial" w:cs="Arial"/>
            <w:szCs w:val="28"/>
            <w:lang w:val="uk-UA"/>
          </w:rPr>
          <w:t>/995_835#</w:t>
        </w:r>
        <w:r w:rsidRPr="00511005">
          <w:rPr>
            <w:rFonts w:ascii="Arial" w:eastAsia="Calibri" w:hAnsi="Arial" w:cs="Arial"/>
            <w:szCs w:val="28"/>
            <w:lang w:val="en-US"/>
          </w:rPr>
          <w:t>Text</w:t>
        </w:r>
      </w:hyperlink>
      <w:r w:rsidRPr="00511005">
        <w:rPr>
          <w:rFonts w:ascii="Arial" w:eastAsia="Calibri" w:hAnsi="Arial" w:cs="Arial"/>
          <w:szCs w:val="28"/>
        </w:rPr>
        <w:t xml:space="preserve"> </w:t>
      </w:r>
    </w:p>
    <w:p w14:paraId="4502842B" w14:textId="728926B4" w:rsidR="00C10374" w:rsidRPr="00511005" w:rsidRDefault="00C10374" w:rsidP="003F6A5D">
      <w:pPr>
        <w:numPr>
          <w:ilvl w:val="0"/>
          <w:numId w:val="330"/>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Правила адвокатської етики, затверджені з’їздом адвокатів України. Від 09.06.2017</w:t>
      </w:r>
      <w:r w:rsidR="007B2628" w:rsidRPr="00511005">
        <w:rPr>
          <w:rFonts w:ascii="Arial" w:eastAsia="Calibri" w:hAnsi="Arial" w:cs="Arial"/>
          <w:szCs w:val="28"/>
          <w:lang w:val="uk-UA"/>
        </w:rPr>
        <w:t xml:space="preserve"> </w:t>
      </w:r>
      <w:hyperlink r:id="rId1295" w:history="1">
        <w:r w:rsidRPr="00511005">
          <w:rPr>
            <w:rFonts w:ascii="Arial" w:eastAsia="Calibri" w:hAnsi="Arial" w:cs="Arial"/>
            <w:szCs w:val="28"/>
            <w:lang w:val="uk-UA"/>
          </w:rPr>
          <w:t>URL: https://zakon.rada.gov.ua/rada/show/n0001891-17#Text</w:t>
        </w:r>
      </w:hyperlink>
      <w:r w:rsidRPr="00511005">
        <w:rPr>
          <w:rFonts w:ascii="Arial" w:eastAsia="Calibri" w:hAnsi="Arial" w:cs="Arial"/>
          <w:szCs w:val="28"/>
          <w:lang w:val="uk-UA"/>
        </w:rPr>
        <w:t xml:space="preserve"> </w:t>
      </w:r>
    </w:p>
    <w:p w14:paraId="0C95514C" w14:textId="77777777" w:rsidR="00C10374" w:rsidRPr="00511005" w:rsidRDefault="00C10374" w:rsidP="003F6A5D">
      <w:pPr>
        <w:numPr>
          <w:ilvl w:val="0"/>
          <w:numId w:val="330"/>
        </w:numPr>
        <w:spacing w:line="264" w:lineRule="auto"/>
        <w:ind w:left="0" w:firstLine="709"/>
        <w:rPr>
          <w:rFonts w:ascii="Arial" w:eastAsia="Calibri" w:hAnsi="Arial" w:cs="Arial"/>
          <w:szCs w:val="28"/>
          <w:lang w:val="uk-UA"/>
        </w:rPr>
      </w:pPr>
      <w:r w:rsidRPr="00511005">
        <w:rPr>
          <w:rFonts w:ascii="Arial" w:eastAsia="Calibri" w:hAnsi="Arial" w:cs="Arial"/>
          <w:szCs w:val="28"/>
          <w:lang w:val="uk-UA"/>
        </w:rPr>
        <w:t>Рекомендація від 25.10.2000 № R(2000)21, «Про свободу професійної діяльності адвокатів» – Рада Європи, ухвалено Комітетом Міністрів Ради Європи на 727 засіданні заступників міністрів 25 жовтня 2000 року.</w:t>
      </w:r>
    </w:p>
    <w:p w14:paraId="575C84C2" w14:textId="77777777" w:rsidR="00C10374" w:rsidRPr="00511005" w:rsidRDefault="005938AD" w:rsidP="003A292D">
      <w:pPr>
        <w:spacing w:line="264" w:lineRule="auto"/>
        <w:rPr>
          <w:rFonts w:ascii="Arial" w:eastAsia="Calibri" w:hAnsi="Arial" w:cs="Arial"/>
          <w:szCs w:val="28"/>
          <w:lang w:val="uk-UA"/>
        </w:rPr>
      </w:pPr>
      <w:hyperlink r:id="rId1296" w:history="1">
        <w:r w:rsidR="00C10374" w:rsidRPr="00511005">
          <w:rPr>
            <w:rFonts w:ascii="Arial" w:eastAsia="Calibri" w:hAnsi="Arial" w:cs="Arial"/>
            <w:szCs w:val="28"/>
            <w:lang w:val="uk-UA"/>
          </w:rPr>
          <w:t>URL: https://supreme.court.gov.ua/userfiles/R_2000_21_2000_10_25.pdf</w:t>
        </w:r>
      </w:hyperlink>
    </w:p>
    <w:p w14:paraId="135DF081" w14:textId="77777777" w:rsidR="00C10374" w:rsidRPr="00511005" w:rsidRDefault="00C10374" w:rsidP="003A292D">
      <w:pPr>
        <w:spacing w:line="264" w:lineRule="auto"/>
        <w:rPr>
          <w:rFonts w:ascii="Arial" w:eastAsia="Calibri" w:hAnsi="Arial" w:cs="Arial"/>
          <w:szCs w:val="28"/>
          <w:lang w:val="uk-UA"/>
        </w:rPr>
      </w:pPr>
    </w:p>
    <w:p w14:paraId="15E0392B" w14:textId="323B5A33" w:rsidR="00C10374"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0374" w:rsidRPr="00511005">
        <w:rPr>
          <w:rFonts w:ascii="Arial" w:eastAsia="Calibri" w:hAnsi="Arial" w:cs="Arial"/>
          <w:szCs w:val="28"/>
          <w:lang w:val="uk-UA"/>
        </w:rPr>
        <w:t>адвокатура, цивільний процес, правова допомога, представництво, судовий захист, змагальність, справедливе судочинство.</w:t>
      </w:r>
    </w:p>
    <w:p w14:paraId="55FDD1DB" w14:textId="1F909498" w:rsidR="00C10374"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Key words: </w:t>
      </w:r>
      <w:r w:rsidR="00C10374" w:rsidRPr="00511005">
        <w:rPr>
          <w:rFonts w:ascii="Arial" w:eastAsia="Calibri" w:hAnsi="Arial" w:cs="Arial"/>
          <w:szCs w:val="28"/>
          <w:lang w:val="uk-UA"/>
        </w:rPr>
        <w:t>advocacy, civil procedure, legal aid, representation, judicial protection, adversarial system, fair trial.</w:t>
      </w:r>
    </w:p>
    <w:p w14:paraId="056890FC" w14:textId="6581D475" w:rsidR="00C10374"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Науковий керівник: </w:t>
      </w:r>
      <w:r w:rsidR="00C10374" w:rsidRPr="00511005">
        <w:rPr>
          <w:rFonts w:ascii="Arial" w:eastAsia="Times New Roman" w:hAnsi="Arial" w:cs="Arial"/>
          <w:i/>
          <w:szCs w:val="28"/>
          <w:lang w:val="uk-UA" w:eastAsia="ru-RU"/>
        </w:rPr>
        <w:t>старший викладач Нестерчук Л. П.</w:t>
      </w:r>
    </w:p>
    <w:p w14:paraId="178EBF88" w14:textId="77777777" w:rsidR="00C10374" w:rsidRPr="00511005" w:rsidRDefault="00C10374" w:rsidP="003A292D">
      <w:pPr>
        <w:widowControl w:val="0"/>
        <w:spacing w:line="264" w:lineRule="auto"/>
        <w:ind w:firstLine="0"/>
        <w:rPr>
          <w:rFonts w:ascii="Arial" w:eastAsia="Calibri" w:hAnsi="Arial" w:cs="Arial"/>
          <w:szCs w:val="28"/>
          <w:lang w:val="uk-UA"/>
        </w:rPr>
      </w:pPr>
    </w:p>
    <w:p w14:paraId="147CD67F" w14:textId="77777777" w:rsidR="003F5D68" w:rsidRPr="00511005" w:rsidRDefault="003F5D68" w:rsidP="003A292D">
      <w:pPr>
        <w:keepNext/>
        <w:spacing w:line="264" w:lineRule="auto"/>
        <w:ind w:firstLine="0"/>
        <w:jc w:val="left"/>
        <w:rPr>
          <w:rFonts w:ascii="Arial" w:hAnsi="Arial" w:cs="Arial"/>
          <w:szCs w:val="28"/>
          <w:lang w:val="uk-UA"/>
        </w:rPr>
      </w:pPr>
    </w:p>
    <w:p w14:paraId="143D781E"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1535D04C" w14:textId="77777777" w:rsidR="003F5D68" w:rsidRPr="00511005" w:rsidRDefault="003F5D68" w:rsidP="003A292D">
      <w:pPr>
        <w:keepNext/>
        <w:suppressAutoHyphens/>
        <w:spacing w:line="264" w:lineRule="auto"/>
        <w:ind w:firstLine="0"/>
        <w:jc w:val="left"/>
        <w:rPr>
          <w:rFonts w:ascii="Arial" w:hAnsi="Arial" w:cs="Arial"/>
          <w:szCs w:val="28"/>
        </w:rPr>
      </w:pPr>
    </w:p>
    <w:p w14:paraId="4C84AC54" w14:textId="27E40F7B" w:rsidR="003F5D68" w:rsidRPr="00511005" w:rsidRDefault="003F5D68" w:rsidP="003A292D">
      <w:pPr>
        <w:pStyle w:val="aa"/>
        <w:spacing w:before="0" w:after="0" w:line="264" w:lineRule="auto"/>
        <w:rPr>
          <w:rFonts w:ascii="Arial" w:hAnsi="Arial" w:cs="Arial"/>
          <w:color w:val="auto"/>
          <w:sz w:val="28"/>
          <w:szCs w:val="28"/>
        </w:rPr>
      </w:pPr>
      <w:bookmarkStart w:id="167" w:name="_Toc208298997"/>
      <w:r w:rsidRPr="00511005">
        <w:rPr>
          <w:rFonts w:ascii="Arial" w:hAnsi="Arial" w:cs="Arial"/>
          <w:color w:val="auto"/>
          <w:sz w:val="28"/>
          <w:szCs w:val="28"/>
        </w:rPr>
        <w:t xml:space="preserve">СЕКЦІЯ </w:t>
      </w:r>
      <w:r w:rsidRPr="00511005">
        <w:rPr>
          <w:rFonts w:ascii="Arial" w:hAnsi="Arial" w:cs="Arial"/>
          <w:color w:val="auto"/>
          <w:sz w:val="28"/>
          <w:szCs w:val="28"/>
          <w:lang w:val="ru-RU"/>
        </w:rPr>
        <w:t>8. АКТУАЛЬНІ П</w:t>
      </w:r>
      <w:r w:rsidR="004F361F" w:rsidRPr="00511005">
        <w:rPr>
          <w:rFonts w:ascii="Arial" w:hAnsi="Arial" w:cs="Arial"/>
          <w:color w:val="auto"/>
          <w:sz w:val="28"/>
          <w:szCs w:val="28"/>
          <w:lang w:val="ru-RU"/>
        </w:rPr>
        <w:t>РОБЛЕМИ</w:t>
      </w:r>
      <w:r w:rsidRPr="00511005">
        <w:rPr>
          <w:rFonts w:ascii="Arial" w:hAnsi="Arial" w:cs="Arial"/>
          <w:color w:val="auto"/>
          <w:sz w:val="28"/>
          <w:szCs w:val="28"/>
        </w:rPr>
        <w:t xml:space="preserve"> </w:t>
      </w:r>
      <w:r w:rsidR="004F361F" w:rsidRPr="00511005">
        <w:rPr>
          <w:rFonts w:ascii="Arial" w:hAnsi="Arial" w:cs="Arial"/>
          <w:color w:val="auto"/>
          <w:sz w:val="28"/>
          <w:szCs w:val="28"/>
          <w:lang w:val="ru-RU"/>
        </w:rPr>
        <w:t>ЦИВІЛЬНОГО ТА СІМЕЙНОГО ПРАВА</w:t>
      </w:r>
      <w:bookmarkEnd w:id="167"/>
    </w:p>
    <w:p w14:paraId="18D3FF9D" w14:textId="77777777" w:rsidR="003F5D68" w:rsidRPr="00511005" w:rsidRDefault="003F5D68" w:rsidP="003A292D">
      <w:pPr>
        <w:keepNext/>
        <w:spacing w:line="264" w:lineRule="auto"/>
        <w:ind w:firstLine="0"/>
        <w:jc w:val="left"/>
        <w:rPr>
          <w:rFonts w:ascii="Arial" w:hAnsi="Arial" w:cs="Arial"/>
          <w:szCs w:val="28"/>
        </w:rPr>
      </w:pPr>
    </w:p>
    <w:p w14:paraId="07A8B58A" w14:textId="6F82D2FD" w:rsidR="0087239D" w:rsidRPr="00511005" w:rsidRDefault="0087239D" w:rsidP="003A292D">
      <w:pPr>
        <w:spacing w:line="264" w:lineRule="auto"/>
        <w:ind w:firstLine="0"/>
        <w:jc w:val="center"/>
        <w:rPr>
          <w:rFonts w:ascii="Arial" w:eastAsia="Calibri" w:hAnsi="Arial" w:cs="Arial"/>
          <w:iCs/>
          <w:szCs w:val="28"/>
          <w:lang w:val="uk-UA" w:eastAsia="ru-RU"/>
        </w:rPr>
      </w:pPr>
      <w:r w:rsidRPr="00511005">
        <w:rPr>
          <w:rFonts w:ascii="Arial" w:eastAsia="Calibri" w:hAnsi="Arial" w:cs="Arial"/>
          <w:b/>
          <w:i/>
          <w:szCs w:val="28"/>
          <w:lang w:val="uk-UA" w:eastAsia="ru-RU"/>
        </w:rPr>
        <w:t xml:space="preserve">Алі Максим Гайсович </w:t>
      </w:r>
      <w:r w:rsidRPr="00511005">
        <w:rPr>
          <w:rFonts w:ascii="Arial" w:eastAsia="Calibri" w:hAnsi="Arial" w:cs="Arial"/>
          <w:b/>
          <w:i/>
          <w:szCs w:val="28"/>
          <w:lang w:val="uk-UA" w:eastAsia="ru-RU"/>
        </w:rPr>
        <w:br/>
      </w:r>
      <w:r w:rsidR="00536AAB" w:rsidRPr="00511005">
        <w:rPr>
          <w:rFonts w:ascii="Arial" w:eastAsia="Calibri" w:hAnsi="Arial" w:cs="Arial"/>
          <w:iCs/>
          <w:szCs w:val="28"/>
          <w:lang w:val="uk-UA" w:eastAsia="ru-RU"/>
        </w:rPr>
        <w:t>студент 2-го курсу факультету адвокатури та антикорупційної діяльності</w:t>
      </w:r>
      <w:r w:rsidRPr="00511005">
        <w:rPr>
          <w:rFonts w:ascii="Arial" w:eastAsia="Calibri" w:hAnsi="Arial" w:cs="Arial"/>
          <w:iCs/>
          <w:szCs w:val="28"/>
          <w:lang w:val="uk-UA" w:eastAsia="ru-RU"/>
        </w:rPr>
        <w:t xml:space="preserve"> </w:t>
      </w:r>
    </w:p>
    <w:p w14:paraId="52113A1B" w14:textId="0C5F3CD8" w:rsidR="0087239D" w:rsidRDefault="007B2628" w:rsidP="003A292D">
      <w:pPr>
        <w:spacing w:line="264" w:lineRule="auto"/>
        <w:ind w:firstLine="0"/>
        <w:jc w:val="center"/>
        <w:rPr>
          <w:rFonts w:ascii="Arial" w:eastAsia="Calibri" w:hAnsi="Arial" w:cs="Arial"/>
          <w:iCs/>
          <w:szCs w:val="28"/>
          <w:lang w:val="uk-UA" w:eastAsia="ru-RU"/>
        </w:rPr>
      </w:pPr>
      <w:r w:rsidRPr="00511005">
        <w:rPr>
          <w:rFonts w:ascii="Arial" w:eastAsia="Calibri" w:hAnsi="Arial" w:cs="Arial"/>
          <w:iCs/>
          <w:szCs w:val="28"/>
          <w:lang w:val="uk-UA" w:eastAsia="ru-RU"/>
        </w:rPr>
        <w:t>Національного університету «Одеська юридична академія»</w:t>
      </w:r>
    </w:p>
    <w:p w14:paraId="3CADEE21" w14:textId="77777777" w:rsidR="00692959" w:rsidRPr="00511005" w:rsidRDefault="00692959" w:rsidP="003A292D">
      <w:pPr>
        <w:spacing w:line="264" w:lineRule="auto"/>
        <w:ind w:firstLine="0"/>
        <w:jc w:val="center"/>
        <w:rPr>
          <w:rFonts w:ascii="Arial" w:eastAsia="Times New Roman" w:hAnsi="Arial" w:cs="Arial"/>
          <w:b/>
          <w:iCs/>
          <w:szCs w:val="28"/>
          <w:lang w:val="uk-UA" w:eastAsia="ru-RU"/>
        </w:rPr>
      </w:pPr>
    </w:p>
    <w:p w14:paraId="5F8F6CAC" w14:textId="5BEDEFB1" w:rsidR="004F361F" w:rsidRPr="00511005" w:rsidRDefault="004F361F"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АКТУАЛЬНІ АСПЕКТИ ЗЛОВЖИВАННЯ ПРАВОМ В ЦИВІЛЬНИХ ПРАВОВІДНОСИНАХ</w:t>
      </w:r>
    </w:p>
    <w:p w14:paraId="1C48FBCC" w14:textId="77777777" w:rsidR="004F361F" w:rsidRPr="00511005" w:rsidRDefault="004F361F" w:rsidP="0087239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У сучасній практиці реалізації норм цивільного права дедалі більшої актуальності набуває питання зловживання суб’єктивними правами. Конституційно гарантована свобода особи у здійсненні своїх прав не є безмежною — її реалізація має відбуватись у межах добросовісності, розумності та з урахуванням прав і законних інтересів інших осіб. Водночас на практиці нерідко виникають ситуації, коли суб’єктивне право використовується не для досягнення правомірної мети, а з метою заподіяння шкоди іншій особі, затягування судового процесу, ухилення від виконання обов’язків або одержання невиправданих переваг, з корисливою метою для себе або для інших осіб. Така поведінка виходить за межі допустимого і суперечить ключовим принципам цивільного права — справедливості, рівності та добросовісності. Питання стосується правозастосовчої практики так і процесуальних аспектів. Це, у свою чергу, актуалізує потребу в глибшому теоретичному осмисленні меж дозволеної реалізації прав, а також у ґрунтовному аналізі судової практики, що демонструє складність встановлення фактів зловживання правом.</w:t>
      </w:r>
    </w:p>
    <w:p w14:paraId="36F07782" w14:textId="77777777" w:rsidR="004F361F" w:rsidRPr="00511005" w:rsidRDefault="004F361F" w:rsidP="0087239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Зловживання правом слід розглядати як специфічну форму неправомірної поведінки, за якої особа реалізує надане їй законом право не відповідно до його цільового призначення, а задля досягнення протиправного результату — завдання шкоди іншій особі, уникнення юридичних обов’язків або отримання недобросовісної переваги у правовідносинах. Незважаючи на зовнішню відповідність закону, така поведінка суперечить фундаментальним правовим принципам — добросовісності, справедливості та верховенству права, і по суті є викривленим використанням правових норм. [1]</w:t>
      </w:r>
    </w:p>
    <w:p w14:paraId="42258B1F" w14:textId="77777777" w:rsidR="004F361F" w:rsidRPr="00511005" w:rsidRDefault="004F361F" w:rsidP="0087239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 законодавчому рівні заборона зловживання правами чітко передбачена Цивільним кодексом України. Зокрема, стаття 13 ЦКУ зобов’язує осіб здійснювати свої цивільні права добросовісно, розумно та з урахуванням інтересів інших учасників правовідносин. Це правило відображає важливість етичної складової у реалізації прав. Стаття 15 цього ж кодексу дозволяє захист порушених прав у разі зловживання з боку іншої </w:t>
      </w:r>
      <w:r w:rsidRPr="00511005">
        <w:rPr>
          <w:rFonts w:ascii="Arial" w:eastAsia="Times New Roman" w:hAnsi="Arial" w:cs="Arial"/>
          <w:szCs w:val="28"/>
          <w:lang w:val="uk-UA" w:eastAsia="ru-RU"/>
        </w:rPr>
        <w:lastRenderedPageBreak/>
        <w:t>сторони, забезпечуючи можливість звернення до суду для відновлення справедливості. [2]</w:t>
      </w:r>
    </w:p>
    <w:p w14:paraId="3556F662" w14:textId="77777777" w:rsidR="004F361F" w:rsidRPr="00511005" w:rsidRDefault="004F361F" w:rsidP="0087239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У ширшому контексті Конституція України, а саме стаття 68, покладає на кожного обов’язок дотримуватись закону та не посягати на права й свободи інших, що включає й заборону недобросовісного використання правового статусу. [1]</w:t>
      </w:r>
    </w:p>
    <w:p w14:paraId="6436EA70" w14:textId="77777777" w:rsidR="004F361F" w:rsidRPr="00511005" w:rsidRDefault="004F361F" w:rsidP="0087239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У сфері цивільного права зловживання правом може набувати різноманітних форм, зокрема шляхом укладення удаваних або фіктивних правочинів, метою яких є уникнення виконання зобов’язань перед кредиторами. Данні правочини також можуть називатися фраудаторними. Спільність між ними полягає в тому, що на меті у суб’єкта – є уникнути певних негативних наслідків щодо себе, шляхом вчинення певних законних дій, які мають в собі наслідки що суперечать добросовісності. Зокрема, як приклад, боржник може, з формально законних підстав, передати майно своїм родичам за договором дарування, фактично намагаючись приховати це майно від примусового стягнення. Попри зовнішню відповідність таким діям нормам закону, вони порушують засади добросовісності й справедливості, які лежать в основі цивільного права.</w:t>
      </w:r>
    </w:p>
    <w:p w14:paraId="29CCA68D" w14:textId="77777777" w:rsidR="004F361F" w:rsidRPr="00511005" w:rsidRDefault="004F361F" w:rsidP="0087239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У процесі провадження у справі про банкрутство господарський суд, розглянувши заяву арбітражного керуючого або кредитора, подану відповідно до сьомої статті Кодексу України з процедур банкрутства, може визнати окремі правочини недійсними. Такі дії підлягають оскарженню, якщо вони були вчинені після відкриття провадження у справі про банкрутство або протягом трирічного періоду, які завдали шкоди інтересам боржника чи його кредиторів. Серед обставин, які можуть бути підставою для прийняття такого рішення судом, слід виділити:</w:t>
      </w:r>
    </w:p>
    <w:p w14:paraId="2B1E3D3A" w14:textId="77777777" w:rsidR="004F361F" w:rsidRPr="00511005" w:rsidRDefault="004F361F" w:rsidP="0087239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здійснення боржником передчасного виконання своїх майнових зобов’язань;</w:t>
      </w:r>
      <w:r w:rsidRPr="00511005">
        <w:rPr>
          <w:rFonts w:ascii="Arial" w:eastAsia="Times New Roman" w:hAnsi="Arial" w:cs="Arial"/>
          <w:szCs w:val="28"/>
          <w:lang w:val="uk-UA" w:eastAsia="ru-RU"/>
        </w:rPr>
        <w:br/>
        <w:t>— укладення нових зобов’язань до початку банкрутства, що спричинило його фінансову неспроможність або ускладнило погашення боргів перед іншими кредиторами;</w:t>
      </w:r>
      <w:r w:rsidRPr="00511005">
        <w:rPr>
          <w:rFonts w:ascii="Arial" w:eastAsia="Times New Roman" w:hAnsi="Arial" w:cs="Arial"/>
          <w:szCs w:val="28"/>
          <w:lang w:val="uk-UA" w:eastAsia="ru-RU"/>
        </w:rPr>
        <w:br/>
        <w:t>— здійснення правочинів з майном за ціною, що суттєво не відповідала ринковій вартості, внаслідок чого майнових активів стало недостатньо для задоволення вимог кредиторів;</w:t>
      </w:r>
      <w:r w:rsidRPr="00511005">
        <w:rPr>
          <w:rFonts w:ascii="Arial" w:eastAsia="Times New Roman" w:hAnsi="Arial" w:cs="Arial"/>
          <w:szCs w:val="28"/>
          <w:lang w:val="uk-UA" w:eastAsia="ru-RU"/>
        </w:rPr>
        <w:br/>
        <w:t>— задоволення вимог однієї особи або прийняття майна в момент, коли загальні борги боржника перевищували обсяг його активів;</w:t>
      </w:r>
      <w:r w:rsidRPr="00511005">
        <w:rPr>
          <w:rFonts w:ascii="Arial" w:eastAsia="Times New Roman" w:hAnsi="Arial" w:cs="Arial"/>
          <w:szCs w:val="28"/>
          <w:lang w:val="uk-UA" w:eastAsia="ru-RU"/>
        </w:rPr>
        <w:br/>
        <w:t>— надання забезпечення у вигляді застави для виконання грошових зобов’язань. [3]</w:t>
      </w:r>
    </w:p>
    <w:p w14:paraId="421F90EB" w14:textId="77777777" w:rsidR="004F361F" w:rsidRPr="00511005" w:rsidRDefault="004F361F" w:rsidP="0087239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На підставі вищевикладеного можна зробити логічний висновок, що нормативно-правове регулювання лише частково, у деяких сферах права, встановлює повне або частково повне регулювання, встановлення меж та відповідальності спрямованої на зловживання правами.</w:t>
      </w:r>
    </w:p>
    <w:p w14:paraId="50075FB6" w14:textId="77777777" w:rsidR="004F361F" w:rsidRPr="00511005" w:rsidRDefault="004F361F" w:rsidP="0087239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Щодо недійсності правочинів, Давидова І.В зазначає, недійсність є особливим юридичним наслідком, що настає у разі виявлення порушення вимог законодавства при вчиненні правочину. Вона означає, що такий правочин не має сили і не викликає передбачених ним правових наслідків. Інститут недійсності правочинів є елементом правового захисту, основною метою якого є усунення правопорушень або неправомірних дій, що суперечать встановленим нормам права. [4]</w:t>
      </w:r>
    </w:p>
    <w:p w14:paraId="45EFA8E0" w14:textId="77777777" w:rsidR="004F361F" w:rsidRPr="00511005" w:rsidRDefault="004F361F" w:rsidP="0087239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чинне законодавство прямо забороняє зловживання як у сфері матеріального, так і процесуального права. Однак слід зазначити, що норми права щодо зловживання мають загальний характер і не містять чітко визначених критеріїв такої поведінки, тому це оціночне поняття. Це залишає значний простір для судового тлумачення і призводить до нерівномірного застосування норм у практиці. Тому існує об'єктивна потреба в удосконаленні законодавства — через конкретизацію ознак зловживання, розширення інструментів впливу на недобросовісних учасників правовідносин і гармонізацію на рівні закону.</w:t>
      </w:r>
    </w:p>
    <w:p w14:paraId="162E7876" w14:textId="7F49C724" w:rsidR="004F361F" w:rsidRPr="00511005" w:rsidRDefault="007B2628" w:rsidP="007B2628">
      <w:pPr>
        <w:spacing w:line="264" w:lineRule="auto"/>
        <w:ind w:firstLine="567"/>
        <w:jc w:val="center"/>
        <w:rPr>
          <w:rFonts w:ascii="Arial" w:eastAsia="Times New Roman" w:hAnsi="Arial" w:cs="Arial"/>
          <w:b/>
          <w:szCs w:val="28"/>
          <w:lang w:val="uk-UA" w:eastAsia="ru-RU"/>
        </w:rPr>
      </w:pPr>
      <w:r w:rsidRPr="00511005">
        <w:rPr>
          <w:rFonts w:ascii="Arial" w:eastAsia="Times New Roman" w:hAnsi="Arial" w:cs="Arial"/>
          <w:b/>
          <w:i/>
          <w:iCs/>
          <w:szCs w:val="28"/>
          <w:lang w:val="uk-UA" w:eastAsia="ru-RU"/>
        </w:rPr>
        <w:t>Список використаних джерел</w:t>
      </w:r>
    </w:p>
    <w:p w14:paraId="0FD00D9A" w14:textId="77777777" w:rsidR="004F361F" w:rsidRPr="00511005" w:rsidRDefault="004F361F" w:rsidP="003F6A5D">
      <w:pPr>
        <w:numPr>
          <w:ilvl w:val="0"/>
          <w:numId w:val="331"/>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Конституція України від 28.06.1996 р. URL: </w:t>
      </w:r>
      <w:hyperlink r:id="rId1297">
        <w:r w:rsidRPr="00511005">
          <w:rPr>
            <w:rFonts w:ascii="Arial" w:eastAsia="Times New Roman" w:hAnsi="Arial" w:cs="Arial"/>
            <w:szCs w:val="28"/>
            <w:lang w:val="uk-UA" w:eastAsia="ru-RU"/>
          </w:rPr>
          <w:t>https://www.president.gov.ua/documents/constitution</w:t>
        </w:r>
      </w:hyperlink>
    </w:p>
    <w:p w14:paraId="3BA69268" w14:textId="77777777" w:rsidR="004F361F" w:rsidRPr="00511005" w:rsidRDefault="004F361F" w:rsidP="003F6A5D">
      <w:pPr>
        <w:numPr>
          <w:ilvl w:val="0"/>
          <w:numId w:val="331"/>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Цивільний кодекс України від 16.01.2003 р. URL: </w:t>
      </w:r>
      <w:hyperlink r:id="rId1298" w:anchor="Text">
        <w:r w:rsidRPr="00511005">
          <w:rPr>
            <w:rFonts w:ascii="Arial" w:eastAsia="Times New Roman" w:hAnsi="Arial" w:cs="Arial"/>
            <w:szCs w:val="28"/>
            <w:lang w:val="uk-UA" w:eastAsia="ru-RU"/>
          </w:rPr>
          <w:t>https://zakon.rada.gov.ua/laws/show/435-15#Text</w:t>
        </w:r>
      </w:hyperlink>
    </w:p>
    <w:p w14:paraId="004B61DF" w14:textId="77777777" w:rsidR="004F361F" w:rsidRPr="00511005" w:rsidRDefault="004F361F" w:rsidP="003F6A5D">
      <w:pPr>
        <w:numPr>
          <w:ilvl w:val="0"/>
          <w:numId w:val="331"/>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Кодекс України з процедур банкрутства від 18.10.2018 р. URL: </w:t>
      </w:r>
      <w:hyperlink r:id="rId1299" w:anchor="Text" w:history="1">
        <w:r w:rsidRPr="00511005">
          <w:rPr>
            <w:rFonts w:ascii="Arial" w:eastAsia="Times New Roman" w:hAnsi="Arial" w:cs="Arial"/>
            <w:szCs w:val="28"/>
            <w:lang w:val="uk-UA" w:eastAsia="ru-RU"/>
          </w:rPr>
          <w:t>https://zakon.rada.gov.ua/laws/show/2597-19/ed20250404#Text</w:t>
        </w:r>
      </w:hyperlink>
    </w:p>
    <w:p w14:paraId="66F6636E" w14:textId="77777777" w:rsidR="004F361F" w:rsidRPr="00511005" w:rsidRDefault="004F361F" w:rsidP="003F6A5D">
      <w:pPr>
        <w:numPr>
          <w:ilvl w:val="0"/>
          <w:numId w:val="331"/>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Недійсність правочинів як спосіб захисту цивільних прав: деякі проблемні питання // Часопис цивілістики. – Одеса: Національний університет «Одеська юридична академія», 2018 р. URL:</w:t>
      </w:r>
      <w:r w:rsidRPr="00511005">
        <w:rPr>
          <w:rFonts w:ascii="Arial" w:eastAsia="Calibri" w:hAnsi="Arial" w:cs="Arial"/>
          <w:szCs w:val="28"/>
          <w:lang w:val="uk-UA" w:eastAsia="ru-RU"/>
        </w:rPr>
        <w:t xml:space="preserve"> </w:t>
      </w:r>
      <w:hyperlink r:id="rId1300" w:history="1">
        <w:r w:rsidRPr="00511005">
          <w:rPr>
            <w:rFonts w:ascii="Arial" w:eastAsia="Times New Roman" w:hAnsi="Arial" w:cs="Arial"/>
            <w:szCs w:val="28"/>
            <w:lang w:val="uk-UA" w:eastAsia="ru-RU"/>
          </w:rPr>
          <w:t>https://scholar.google.com.ua/citations?view_op=view_citation&amp;hl=uk&amp;user=RWNkC6MAAAAJ&amp;citation_for_view=RWNkC6MAAAAJ:35N4QoGY0k4C</w:t>
        </w:r>
      </w:hyperlink>
    </w:p>
    <w:p w14:paraId="15514E61" w14:textId="77777777" w:rsidR="004F361F" w:rsidRPr="00511005" w:rsidRDefault="004F361F" w:rsidP="003A292D">
      <w:pPr>
        <w:pBdr>
          <w:top w:val="nil"/>
          <w:left w:val="nil"/>
          <w:bottom w:val="nil"/>
          <w:right w:val="nil"/>
          <w:between w:val="nil"/>
        </w:pBdr>
        <w:spacing w:line="264" w:lineRule="auto"/>
        <w:ind w:left="928" w:firstLine="0"/>
        <w:rPr>
          <w:rFonts w:ascii="Arial" w:eastAsia="Times New Roman" w:hAnsi="Arial" w:cs="Arial"/>
          <w:szCs w:val="28"/>
          <w:lang w:val="uk-UA" w:eastAsia="ru-RU"/>
        </w:rPr>
      </w:pPr>
    </w:p>
    <w:p w14:paraId="6B3891D0" w14:textId="635522F1" w:rsidR="004F361F" w:rsidRPr="00511005" w:rsidRDefault="007B2628" w:rsidP="003A292D">
      <w:pPr>
        <w:spacing w:line="264" w:lineRule="auto"/>
        <w:ind w:firstLine="567"/>
        <w:jc w:val="left"/>
        <w:rPr>
          <w:rFonts w:ascii="Arial" w:eastAsia="Calibri" w:hAnsi="Arial" w:cs="Arial"/>
          <w:b/>
          <w:bCs/>
          <w:szCs w:val="28"/>
          <w:lang w:val="uk-UA" w:eastAsia="ru-RU"/>
        </w:rPr>
      </w:pPr>
      <w:r w:rsidRPr="00511005">
        <w:rPr>
          <w:rFonts w:ascii="Arial" w:eastAsia="Calibri" w:hAnsi="Arial" w:cs="Arial"/>
          <w:b/>
          <w:bCs/>
          <w:i/>
          <w:szCs w:val="28"/>
          <w:lang w:val="uk-UA" w:eastAsia="ru-RU"/>
        </w:rPr>
        <w:t xml:space="preserve">Ключові слова: </w:t>
      </w:r>
      <w:r w:rsidR="004F361F" w:rsidRPr="00511005">
        <w:rPr>
          <w:rFonts w:ascii="Arial" w:eastAsia="Calibri" w:hAnsi="Arial" w:cs="Arial"/>
          <w:szCs w:val="28"/>
          <w:lang w:val="uk-UA" w:eastAsia="ru-RU"/>
        </w:rPr>
        <w:t>зловживання правом, цивільні правовідносини, цивільне право, суб’єктивне право, недійсний правочин, фраудаторні правочини, судова практика.</w:t>
      </w:r>
    </w:p>
    <w:p w14:paraId="743EC9B4" w14:textId="3013E020" w:rsidR="004F361F" w:rsidRPr="00511005" w:rsidRDefault="007B2628" w:rsidP="003A292D">
      <w:pPr>
        <w:spacing w:line="264" w:lineRule="auto"/>
        <w:ind w:firstLine="567"/>
        <w:jc w:val="left"/>
        <w:rPr>
          <w:rFonts w:ascii="Arial" w:eastAsia="Calibri" w:hAnsi="Arial" w:cs="Arial"/>
          <w:szCs w:val="28"/>
          <w:lang w:val="uk-UA" w:eastAsia="ru-RU"/>
        </w:rPr>
      </w:pPr>
      <w:r w:rsidRPr="00511005">
        <w:rPr>
          <w:rFonts w:ascii="Arial" w:eastAsia="Calibri" w:hAnsi="Arial" w:cs="Arial"/>
          <w:b/>
          <w:bCs/>
          <w:i/>
          <w:szCs w:val="28"/>
          <w:lang w:val="uk-UA" w:eastAsia="ru-RU"/>
        </w:rPr>
        <w:t xml:space="preserve">Key words: </w:t>
      </w:r>
      <w:r w:rsidR="004F361F" w:rsidRPr="00511005">
        <w:rPr>
          <w:rFonts w:ascii="Arial" w:eastAsia="Calibri" w:hAnsi="Arial" w:cs="Arial"/>
          <w:szCs w:val="28"/>
          <w:lang w:val="uk-UA" w:eastAsia="ru-RU"/>
        </w:rPr>
        <w:t>abuse of rights, good faith, civil law, subjective right, invalid transaction, fraudulent transactions, judicial practice.</w:t>
      </w:r>
    </w:p>
    <w:p w14:paraId="2D3E3BB5" w14:textId="33450B8F" w:rsidR="0087239D" w:rsidRPr="00511005" w:rsidRDefault="007B2628" w:rsidP="003A292D">
      <w:pPr>
        <w:spacing w:line="264" w:lineRule="auto"/>
        <w:ind w:firstLine="567"/>
        <w:jc w:val="left"/>
        <w:rPr>
          <w:rFonts w:ascii="Arial" w:eastAsia="Calibri" w:hAnsi="Arial" w:cs="Arial"/>
          <w:szCs w:val="28"/>
          <w:lang w:val="uk-UA" w:eastAsia="ru-RU"/>
        </w:rPr>
      </w:pPr>
      <w:r w:rsidRPr="00511005">
        <w:rPr>
          <w:rFonts w:ascii="Arial" w:eastAsia="Calibri" w:hAnsi="Arial" w:cs="Arial"/>
          <w:b/>
          <w:i/>
          <w:szCs w:val="28"/>
          <w:lang w:val="uk-UA" w:eastAsia="ru-RU"/>
        </w:rPr>
        <w:t xml:space="preserve">Науковий керівник: </w:t>
      </w:r>
      <w:r w:rsidR="0087239D" w:rsidRPr="00511005">
        <w:rPr>
          <w:rFonts w:ascii="Arial" w:eastAsia="Calibri" w:hAnsi="Arial" w:cs="Arial"/>
          <w:i/>
          <w:szCs w:val="28"/>
          <w:lang w:val="uk-UA" w:eastAsia="ru-RU"/>
        </w:rPr>
        <w:t>д.ю.н., проф., Сафончик О.І.</w:t>
      </w:r>
    </w:p>
    <w:p w14:paraId="7A2E0E8E" w14:textId="77777777" w:rsidR="004F361F" w:rsidRPr="00511005" w:rsidRDefault="004F361F" w:rsidP="003A292D">
      <w:pPr>
        <w:spacing w:line="264" w:lineRule="auto"/>
        <w:ind w:firstLine="567"/>
        <w:jc w:val="left"/>
        <w:rPr>
          <w:rFonts w:ascii="Arial" w:eastAsia="Times New Roman" w:hAnsi="Arial" w:cs="Arial"/>
          <w:szCs w:val="28"/>
          <w:lang w:val="uk-UA" w:eastAsia="ru-RU"/>
        </w:rPr>
      </w:pPr>
    </w:p>
    <w:p w14:paraId="53F15253" w14:textId="77777777" w:rsidR="004F361F" w:rsidRPr="00511005" w:rsidRDefault="004F361F" w:rsidP="003A292D">
      <w:pPr>
        <w:pBdr>
          <w:top w:val="nil"/>
          <w:left w:val="nil"/>
          <w:bottom w:val="nil"/>
          <w:right w:val="nil"/>
          <w:between w:val="nil"/>
        </w:pBdr>
        <w:spacing w:line="264" w:lineRule="auto"/>
        <w:ind w:left="928" w:firstLine="0"/>
        <w:rPr>
          <w:rFonts w:ascii="Arial" w:eastAsia="Times New Roman" w:hAnsi="Arial" w:cs="Arial"/>
          <w:szCs w:val="28"/>
          <w:lang w:val="uk-UA" w:eastAsia="ru-RU"/>
        </w:rPr>
      </w:pPr>
    </w:p>
    <w:p w14:paraId="6BF013FD" w14:textId="77777777" w:rsidR="004F361F" w:rsidRPr="00511005" w:rsidRDefault="004F361F" w:rsidP="003A292D">
      <w:pPr>
        <w:pBdr>
          <w:top w:val="nil"/>
          <w:left w:val="nil"/>
          <w:bottom w:val="nil"/>
          <w:right w:val="nil"/>
          <w:between w:val="nil"/>
        </w:pBdr>
        <w:spacing w:line="264" w:lineRule="auto"/>
        <w:ind w:left="928" w:firstLine="0"/>
        <w:rPr>
          <w:rFonts w:ascii="Arial" w:eastAsia="Times New Roman" w:hAnsi="Arial" w:cs="Arial"/>
          <w:szCs w:val="28"/>
          <w:lang w:val="uk-UA" w:eastAsia="ru-RU"/>
        </w:rPr>
      </w:pPr>
    </w:p>
    <w:p w14:paraId="1D8B76D8" w14:textId="77777777" w:rsidR="00692959" w:rsidRDefault="00692959">
      <w:pPr>
        <w:spacing w:after="200" w:line="276" w:lineRule="auto"/>
        <w:ind w:firstLine="0"/>
        <w:jc w:val="left"/>
        <w:rPr>
          <w:rFonts w:ascii="Arial" w:eastAsia="Times New Roman" w:hAnsi="Arial" w:cs="Arial"/>
          <w:b/>
          <w:i/>
          <w:szCs w:val="28"/>
          <w:lang w:val="uk-UA" w:eastAsia="ru-RU"/>
        </w:rPr>
      </w:pPr>
      <w:r>
        <w:rPr>
          <w:rFonts w:ascii="Arial" w:eastAsia="Times New Roman" w:hAnsi="Arial" w:cs="Arial"/>
          <w:b/>
          <w:i/>
          <w:szCs w:val="28"/>
          <w:lang w:val="uk-UA" w:eastAsia="ru-RU"/>
        </w:rPr>
        <w:br w:type="page"/>
      </w:r>
    </w:p>
    <w:p w14:paraId="743BC8F1" w14:textId="69D14D32" w:rsidR="004F361F" w:rsidRPr="00511005" w:rsidRDefault="004F361F" w:rsidP="00692959">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lastRenderedPageBreak/>
        <w:t>Климаш Владислав Миколайович</w:t>
      </w:r>
    </w:p>
    <w:p w14:paraId="3498C574" w14:textId="342AD244" w:rsidR="004F361F" w:rsidRPr="00692959" w:rsidRDefault="00692959" w:rsidP="00692959">
      <w:pPr>
        <w:spacing w:line="264" w:lineRule="auto"/>
        <w:ind w:firstLine="0"/>
        <w:jc w:val="center"/>
        <w:rPr>
          <w:rFonts w:ascii="Arial" w:eastAsia="Times New Roman" w:hAnsi="Arial" w:cs="Arial"/>
          <w:szCs w:val="28"/>
          <w:lang w:val="uk-UA" w:eastAsia="ru-RU"/>
        </w:rPr>
      </w:pPr>
      <w:r>
        <w:rPr>
          <w:rFonts w:ascii="Arial" w:eastAsia="Times New Roman" w:hAnsi="Arial" w:cs="Arial"/>
          <w:szCs w:val="28"/>
          <w:lang w:val="uk-UA" w:eastAsia="ru-RU"/>
        </w:rPr>
        <w:t>с</w:t>
      </w:r>
      <w:r w:rsidR="00536AAB" w:rsidRPr="00692959">
        <w:rPr>
          <w:rFonts w:ascii="Arial" w:eastAsia="Times New Roman" w:hAnsi="Arial" w:cs="Arial"/>
          <w:szCs w:val="28"/>
          <w:lang w:val="uk-UA" w:eastAsia="ru-RU"/>
        </w:rPr>
        <w:t xml:space="preserve">тудент 3-го курсу </w:t>
      </w:r>
      <w:r w:rsidR="001B7B25" w:rsidRPr="00692959">
        <w:rPr>
          <w:rFonts w:ascii="Arial" w:eastAsia="Times New Roman" w:hAnsi="Arial" w:cs="Arial"/>
          <w:szCs w:val="28"/>
          <w:lang w:val="uk-UA" w:eastAsia="ru-RU"/>
        </w:rPr>
        <w:t>факультету судового та міжнародного права</w:t>
      </w:r>
    </w:p>
    <w:p w14:paraId="63DBCF60" w14:textId="0A5B03BB" w:rsidR="004F361F" w:rsidRDefault="007B2628" w:rsidP="00692959">
      <w:pPr>
        <w:spacing w:line="264" w:lineRule="auto"/>
        <w:ind w:firstLine="0"/>
        <w:jc w:val="center"/>
        <w:rPr>
          <w:rFonts w:ascii="Arial" w:eastAsia="Times New Roman" w:hAnsi="Arial" w:cs="Arial"/>
          <w:szCs w:val="28"/>
          <w:lang w:val="uk-UA" w:eastAsia="ru-RU"/>
        </w:rPr>
      </w:pPr>
      <w:r w:rsidRPr="00692959">
        <w:rPr>
          <w:rFonts w:ascii="Arial" w:eastAsia="Times New Roman" w:hAnsi="Arial" w:cs="Arial"/>
          <w:szCs w:val="28"/>
          <w:lang w:val="uk-UA" w:eastAsia="ru-RU"/>
        </w:rPr>
        <w:t>Національного університету «Одеська юридична академія»</w:t>
      </w:r>
    </w:p>
    <w:p w14:paraId="60AAC671" w14:textId="77777777" w:rsidR="00692959" w:rsidRPr="00692959" w:rsidRDefault="00692959" w:rsidP="00692959">
      <w:pPr>
        <w:spacing w:line="264" w:lineRule="auto"/>
        <w:ind w:firstLine="0"/>
        <w:jc w:val="center"/>
        <w:rPr>
          <w:rFonts w:ascii="Arial" w:eastAsia="Times New Roman" w:hAnsi="Arial" w:cs="Arial"/>
          <w:szCs w:val="28"/>
          <w:lang w:val="uk-UA" w:eastAsia="ru-RU"/>
        </w:rPr>
      </w:pPr>
    </w:p>
    <w:p w14:paraId="02AF86B9" w14:textId="6E145E24" w:rsidR="004F361F" w:rsidRPr="00511005" w:rsidRDefault="004F361F" w:rsidP="00692959">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ДОГОВІРНІ ВІДНОСИНИ У СФЕРІ ФУТБОЛУ:</w:t>
      </w:r>
      <w:r w:rsidR="007B2628" w:rsidRPr="00511005">
        <w:rPr>
          <w:rFonts w:ascii="Arial" w:eastAsia="Times New Roman" w:hAnsi="Arial" w:cs="Arial"/>
          <w:b/>
          <w:szCs w:val="28"/>
          <w:lang w:val="uk-UA" w:eastAsia="ru-RU"/>
        </w:rPr>
        <w:t xml:space="preserve"> </w:t>
      </w:r>
      <w:r w:rsidRPr="00511005">
        <w:rPr>
          <w:rFonts w:ascii="Arial" w:eastAsia="Times New Roman" w:hAnsi="Arial" w:cs="Arial"/>
          <w:b/>
          <w:szCs w:val="28"/>
          <w:lang w:val="uk-UA" w:eastAsia="ru-RU"/>
        </w:rPr>
        <w:t>ЦИВІЛЬНО</w:t>
      </w:r>
      <w:r w:rsidRPr="00511005">
        <w:rPr>
          <w:rFonts w:ascii="Arial" w:eastAsia="Times New Roman" w:hAnsi="Arial" w:cs="Arial"/>
          <w:b/>
          <w:szCs w:val="28"/>
          <w:lang w:eastAsia="ru-RU"/>
        </w:rPr>
        <w:t>-</w:t>
      </w:r>
      <w:r w:rsidRPr="00511005">
        <w:rPr>
          <w:rFonts w:ascii="Arial" w:eastAsia="Times New Roman" w:hAnsi="Arial" w:cs="Arial"/>
          <w:b/>
          <w:szCs w:val="28"/>
          <w:lang w:val="uk-UA" w:eastAsia="ru-RU"/>
        </w:rPr>
        <w:t>ПРАВОВИЙ АНАЛІЗ</w:t>
      </w:r>
    </w:p>
    <w:p w14:paraId="22D00974" w14:textId="43FA488F" w:rsidR="004F361F" w:rsidRPr="00511005" w:rsidRDefault="004F361F" w:rsidP="00692959">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Успішне функціонування сучасного спортивного сектору є складним багатогранним процесом, де важливим елементом постає правова складова. Професійний футбол являє собою складну комплексну систему, де тісно взаємодіють як спортивні, так і економічні та правові аспекти. В умовах сьогодення професійний футбол є потужною спортивною індустрією зі своїми правовими, економічними, етичними механізмами. Одним з центральних питань, що регулюють дані механізми є договірні відносини,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які з плином часу дійшли до високого рівня розвитку, але все ж таки не є досить обгрунтованими та чітко визначеними в правовому полі.</w:t>
      </w:r>
    </w:p>
    <w:p w14:paraId="22075AFF" w14:textId="77777777" w:rsidR="004F361F" w:rsidRPr="00511005" w:rsidRDefault="004F361F" w:rsidP="00692959">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Виходячи з сучасної юридичної науки, договірні відносини у сфері футболу охоплюють досить широкий спектр правовідносин, основними з яких є трудові, трансферні, спонсорські та інші майнові зобов'язання. Цивільне право має провідне значення для регулювання таких угод, оскільки встановлює права й обов’язки сторін, порядок виконання зобов’язань і механізми вирішення спорів. Однак, регулювання договірних відносин у сфері футболу не обмежується лише цивільними нормами. Фундаментальним регулятором на міжнародній арені виступають нормативи FIFA та UEFA, а в українському футбольному просторі, крім вище згаданих, нормативні документи Української Асоціації Футболу.</w:t>
      </w:r>
    </w:p>
    <w:p w14:paraId="0F3AA76E" w14:textId="77777777" w:rsidR="004F361F" w:rsidRPr="00511005" w:rsidRDefault="004F361F" w:rsidP="00692959">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Для більш глибокого та досконального аналізу договірних відносин у футболі пропонується розглянути основні види договорів у сфері футболу та суб'єктний склад договірних відносин футбольного сектору. Так, до основних учасників правовідносин у футбольному просторі відносяться: професійні футболісти, футбольні клуби, агенти футболістів, тренери, футбольні асоціації або федерації, спонсори та рекламодавці. У більшості випадків головним суб'єктом договірних правовідносин у футболі виступає професійний футболіст, саме тому потрібно чітко визначити цей термін. Регламент УАФ зі статусу і трансферу футболістів виокремлює відповідний термін у ч. 3 ст. 4, а саме — професіоналом є футболіст, який уклав письмовий контракт з професіональним клубом та отримує за свою діяльність у футболі винагороду, що перевищує його фактичні витрати.[3]. Відповідно до положень Цивільного кодексу України, зазначені вище суб'єкти можуть укладати цивільно-правові договори, які регулюють їхні договірні взаємовідносини на основі принципів свободи договору, добросовісності та рівності сторін. </w:t>
      </w:r>
    </w:p>
    <w:p w14:paraId="5835E2AD" w14:textId="77777777" w:rsidR="004F361F" w:rsidRPr="00511005" w:rsidRDefault="004F361F" w:rsidP="00692959">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Ядром договірно-правової площини футбольного сектору є різноманітні договори, серед яких найрозповсюдженішим є контракт футболіста з клубом. Такий документ має змішану правову природу, адже поєднує в своєму змісті елементи як трудового, так і цивільно-правового договору. Даний вид договору виступає своєрідним гарантом футболіста, оскільки містить в собі певний перелік зобов'язань сторін. Також до його змісту входять наступні елементи: реквізити сторін, предмет договору у вигляді надання спортивних послуг футболістом у складі клубу, строк дії договору, розмір заробітної плати, права сторін, умови щодо преміювання за результати, умови щодо співпраці зі ЗМІ, дисциплінарні положення, підстави для розірвання договору тощо. Національне законодавство України в ст. 38 Закону України «Про фізичну культуру і спорт» закріплює таку норму:«Спортсмен набуває статусу спортсмена-професіонала з моменту укладення контракту з відповідними суб'єктами сфери фізичної культури і спорту про участь у змаганнях серед спортсменів-професіоналів».[1].</w:t>
      </w:r>
    </w:p>
    <w:p w14:paraId="2645FE23" w14:textId="0C64E419" w:rsidR="004F361F" w:rsidRPr="00511005" w:rsidRDefault="004F361F" w:rsidP="00692959">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Наступним видом договорів у сфері футболу є трансферний договір (контракт), який регулює переходи футболістів між клубами. По своїй</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правовій природі він є договором купівлі-продажу реєстраційних прав на реєстрацію гравця. Тобто об'єктом таких договорів виступає не сам гравець, а його реєстраційні права. На думку В.О. Бажанова трансферний контракт — це домовленість між спортивними клубами (організаціями), відповідно до якої одна сторона (спортивний клуб (організація), з якою спортсмен перебуває у трудових відносинах на момент укладення трансферного контракту) зобов’язується сприяти та забезпечити перехід спортсмена до іншої сторони, а інша сторона зобов’язується сплатити за це встановлену у контракті компенсаційну суму.[2]. Що стосується юридичної характеристики трансферного контракту, зазначимо, що він є двостороннім, консенсуальним, взаємним, оплатним та непоіменованим. Зміст такого договору становлять такі умови, щодо яких сторони досягли взаємної згоди. Істотними умовами є предмет трансферного контракту, розмір (сума) компенсації за перехід футболіста та/або розмір компенсації за підготовку та навчання футболіста, а також строк переходу гравця з одного футбольного клубу в інший новий клуб. Визначення предмета такого договору є важким процесом, оскільки в його предмет входять відносини, які регулюються не тільки цивильно-правовими нормами, але й інші відносини, зокрема спортивні, правовий характер яких складно охарактеризувати. Тому дотримуємось визначення В.О. Бажанова:«Предметом трансферних контрактів є правовідносини щодо сприяння та забезпечення переходу спортсмена з одного спортивного клубу (організації) до іншого спортивного клубу (організації)».[2]. Укладення трансферного контракту є процедурним процесом і складається з чотирьох стадій: 1. Переддоговірні переговори сторін; 2. Оферта; 3. Розгляд оферти; 4. Акцепт оферти. Також до елементів </w:t>
      </w:r>
      <w:r w:rsidRPr="00511005">
        <w:rPr>
          <w:rFonts w:ascii="Arial" w:eastAsia="Times New Roman" w:hAnsi="Arial" w:cs="Arial"/>
          <w:szCs w:val="28"/>
          <w:lang w:val="uk-UA" w:eastAsia="ru-RU"/>
        </w:rPr>
        <w:lastRenderedPageBreak/>
        <w:t>трансферного контракту можуть входити додаткові умови, серед яких часто зустрічаються положення щодо відступних, бонусів</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за виступи футболіста, процентів від майбутнього продажу гравця тощо.</w:t>
      </w:r>
    </w:p>
    <w:p w14:paraId="66333EC8" w14:textId="39E2476B" w:rsidR="004F361F" w:rsidRPr="00511005" w:rsidRDefault="004F361F" w:rsidP="00692959">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Ще одним важливим видом договорів у футбольному просторі є</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договір футболіста з агентом. Договір між футболістом і його агентом — це цивільно-правовий договір про надання посередницьких (представницьких) послуг, за яким агент зобов’язується за винагороду представляти інтереси футболіста у взаєминах з футбольними клубами, іншими гравцями, футбольними органами, а також сприяти укладенню трудових чи трансферних контрактів, надаючи консультації з правових, фінансових та інших питань, пов’язаних із професійною діяльністю футболіста. Зазначимо, що цей договір має консенсуальний характер і укладається у письмовій формі. Предмет договору футболіста з агентом можна визначити як сприяння гравцю в пошуку найбільш вигідного варіанта працевлаштування в футбольному клубі, а також забезпечення супроводу та організації всіх необхідних процедур, пов’язаних з укладенням трудового договору між спортсменом і клубом, за відповідну винагороду.[5]. Такий договір укладається згідно до норм національного законодавства, а також відповідно до положень Регламенту FIFA Football Agent Regulations (далі — FFAR), який встановлює обов’язкові умови щодо форми, змісту, правового статусу сторін і порядку надання послуг. До прикладу, FFAR</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визначає поняття футбольного агента, під яким розуміє фізичну особу, що має ліцензію FIFA на надання послуг футбольного агента. Відповідно до ч. 7 ст. 12 FFAR, мінімальними вимогами для визнання дійсної такої угоди є перебування в її змісті положень щодо визначення сторін, строку дії, розмір винагороди агента та опис його послуг, а також підписи сторін.[4]. У цілому діяльність спортивного агента спрямована на спрощення та налагодження взаємодії між суб’єктами ринку праці у сфері спорту.</w:t>
      </w:r>
    </w:p>
    <w:p w14:paraId="56FC7617" w14:textId="77777777" w:rsidR="004F361F" w:rsidRPr="00511005" w:rsidRDefault="004F361F" w:rsidP="00692959">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Значної ролі в спортивній сфері набувають спонсорські та рекламні договори. Сучасна футбольна індустрія має значну популярність та широку аудиторію. Саме цей фактор є ключовим у зростанні випадків укладання спонсорських та рекламних договорів у цій сфері. Футбольні клуби, гравці та федерації нерідко укладають угоди зі спонсорами, що за своєю суттю відповідають договорам про надання рекламних послуг. Спонсорські та рекламні договори у футболі є цивільно-правовими угодами, що укладаються між суб’єктами футбольної діяльності (клубами, федераціями, футболістами) та спонсорами — юридичними або фізичними особами, які надають фінансову чи іншу підтримку з метою популяризації власного бренду чи продукції. Предметом договору виступає зобов’язання однієї сторони (спонсора) надати певну вигоду (грошову суму, екіпірування, інвентар тощо), а іншої — забезпечити рекламування знаків для товарів і послуг спонсора, зокрема через розміщення логотипів на формі, стадіоні, у </w:t>
      </w:r>
      <w:r w:rsidRPr="00511005">
        <w:rPr>
          <w:rFonts w:ascii="Arial" w:eastAsia="Times New Roman" w:hAnsi="Arial" w:cs="Arial"/>
          <w:szCs w:val="28"/>
          <w:lang w:val="uk-UA" w:eastAsia="ru-RU"/>
        </w:rPr>
        <w:lastRenderedPageBreak/>
        <w:t>відеоматеріалах тощо. Такі договори є оплатними, строковими та взаємними, можуть передбачати ексклюзивність, порядок використання комерційних прав і відповідальність за порушення зобов’язань, у тому числі репутаційних ризиків.[5]. У футболі ці договори мають суттєве економічне значення та часто є джерелом фінансування як клубів, так і окремих гравців.</w:t>
      </w:r>
    </w:p>
    <w:p w14:paraId="2E4B3EBA" w14:textId="41E8EECF" w:rsidR="004F361F" w:rsidRDefault="004F361F" w:rsidP="00692959">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Проаналізувавши основні договори, присутні у футбольній сфері, доходимо до висновку, що такі договори мають ключову роль у сучасному спортивному секторі, але не є чітко визначеними та закріпленими в національному законодавстві. Можливим шляхом удосконалення сфери договірних відносин у сфері футболу є гармонізація національного законодавства України з міжнародними стандартами FIFA та UEFA. Зокрема, пропозиції щодо прийняття Закону України «Про професійний спорт», в якому буде визначений основний перелік договорів у сфері професійного спорту та закріплені фундаментальні умови та принципи регулювання відповідних угод. Також, варіантом вдосконалення та поліпшення стану спортивних договірних відносин є впровадження окремої глави або розділу «Договори у сфері спорту» в чинний Цивільний кодекс України.</w:t>
      </w:r>
      <w:r w:rsidR="007B2628" w:rsidRPr="00511005">
        <w:rPr>
          <w:rFonts w:ascii="Arial" w:eastAsia="Times New Roman" w:hAnsi="Arial" w:cs="Arial"/>
          <w:szCs w:val="28"/>
          <w:lang w:val="uk-UA" w:eastAsia="ru-RU"/>
        </w:rPr>
        <w:t xml:space="preserve"> </w:t>
      </w:r>
    </w:p>
    <w:p w14:paraId="201E5AA9" w14:textId="77777777" w:rsidR="00692959" w:rsidRPr="00511005" w:rsidRDefault="00692959" w:rsidP="00692959">
      <w:pPr>
        <w:spacing w:line="264" w:lineRule="auto"/>
        <w:ind w:firstLine="567"/>
        <w:rPr>
          <w:rFonts w:ascii="Arial" w:eastAsia="Times New Roman" w:hAnsi="Arial" w:cs="Arial"/>
          <w:szCs w:val="28"/>
          <w:lang w:val="uk-UA" w:eastAsia="ru-RU"/>
        </w:rPr>
      </w:pPr>
    </w:p>
    <w:p w14:paraId="17B22E67" w14:textId="0F76D67E" w:rsidR="004F361F" w:rsidRPr="00692959" w:rsidRDefault="007B2628" w:rsidP="007B2628">
      <w:pPr>
        <w:spacing w:line="264" w:lineRule="auto"/>
        <w:ind w:firstLine="0"/>
        <w:jc w:val="center"/>
        <w:rPr>
          <w:rFonts w:ascii="Arial" w:eastAsia="Times New Roman" w:hAnsi="Arial" w:cs="Arial"/>
          <w:b/>
          <w:szCs w:val="28"/>
          <w:lang w:val="uk-UA" w:eastAsia="ru-RU"/>
        </w:rPr>
      </w:pPr>
      <w:r w:rsidRPr="00692959">
        <w:rPr>
          <w:rFonts w:ascii="Arial" w:eastAsia="Times New Roman" w:hAnsi="Arial" w:cs="Arial"/>
          <w:b/>
          <w:szCs w:val="28"/>
          <w:lang w:val="uk-UA" w:eastAsia="ru-RU"/>
        </w:rPr>
        <w:t>Список використаних джерел</w:t>
      </w:r>
    </w:p>
    <w:p w14:paraId="29AAEE2D" w14:textId="77777777" w:rsidR="004F361F" w:rsidRPr="00511005" w:rsidRDefault="004F361F" w:rsidP="003A292D">
      <w:pPr>
        <w:pBdr>
          <w:top w:val="nil"/>
          <w:left w:val="nil"/>
          <w:bottom w:val="nil"/>
          <w:right w:val="nil"/>
          <w:between w:val="nil"/>
        </w:pBdr>
        <w:spacing w:line="264" w:lineRule="auto"/>
        <w:ind w:left="568"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 Про фізичну культуру і спорт : Закон України від 24.12.1993 № 3808-XII : станом на 6 жовт. 2024 р. URL: </w:t>
      </w:r>
      <w:hyperlink r:id="rId1301" w:anchor="Text">
        <w:r w:rsidRPr="00511005">
          <w:rPr>
            <w:rFonts w:ascii="Arial" w:eastAsia="Times New Roman" w:hAnsi="Arial" w:cs="Arial"/>
            <w:szCs w:val="28"/>
            <w:lang w:val="uk-UA" w:eastAsia="ru-RU"/>
          </w:rPr>
          <w:t>https://zakon.rada.gov.ua/laws/show/3808-12#Text</w:t>
        </w:r>
      </w:hyperlink>
      <w:r w:rsidRPr="00511005">
        <w:rPr>
          <w:rFonts w:ascii="Arial" w:eastAsia="Times New Roman" w:hAnsi="Arial" w:cs="Arial"/>
          <w:szCs w:val="28"/>
          <w:lang w:val="uk-UA" w:eastAsia="ru-RU"/>
        </w:rPr>
        <w:t>.</w:t>
      </w:r>
    </w:p>
    <w:p w14:paraId="1D7FF623" w14:textId="77777777" w:rsidR="004F361F" w:rsidRPr="00511005" w:rsidRDefault="004F361F" w:rsidP="003F6A5D">
      <w:pPr>
        <w:numPr>
          <w:ilvl w:val="0"/>
          <w:numId w:val="332"/>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Бажанов В. Поняття та особливості трансферних контрактів у цивільному праві України. Європейські перспективи. 2014. №7. С. 128–131.</w:t>
      </w:r>
    </w:p>
    <w:p w14:paraId="5112629F" w14:textId="77777777" w:rsidR="004F361F" w:rsidRPr="00511005" w:rsidRDefault="004F361F" w:rsidP="003F6A5D">
      <w:pPr>
        <w:numPr>
          <w:ilvl w:val="0"/>
          <w:numId w:val="332"/>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Регламент УАФ зі статусу та трансферу футболістів. Офіційний сайт Української асоціацїї футболу. URL: </w:t>
      </w:r>
      <w:hyperlink r:id="rId1302" w:tgtFrame="_blank" w:history="1">
        <w:r w:rsidRPr="00511005">
          <w:rPr>
            <w:rFonts w:ascii="Arial" w:eastAsia="Times New Roman" w:hAnsi="Arial" w:cs="Arial"/>
            <w:szCs w:val="28"/>
            <w:lang w:val="uk-UA" w:eastAsia="ru-RU"/>
          </w:rPr>
          <w:t>https://uaf.ua/files/2021%20УАФ%20Регламент%20зі%20статусу%20і%20трансферу%20футболіств.pdf</w:t>
        </w:r>
      </w:hyperlink>
      <w:r w:rsidRPr="00511005">
        <w:rPr>
          <w:rFonts w:ascii="Arial" w:eastAsia="Times New Roman" w:hAnsi="Arial" w:cs="Arial"/>
          <w:szCs w:val="28"/>
          <w:lang w:val="uk-UA" w:eastAsia="ru-RU"/>
        </w:rPr>
        <w:t> .</w:t>
      </w:r>
    </w:p>
    <w:p w14:paraId="495E59A9" w14:textId="35729161" w:rsidR="004F361F" w:rsidRPr="00511005" w:rsidRDefault="004F361F" w:rsidP="003F6A5D">
      <w:pPr>
        <w:numPr>
          <w:ilvl w:val="0"/>
          <w:numId w:val="332"/>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FIFA Football Agent Regulations. FIFA Digital Assets Hub.</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URL: </w:t>
      </w:r>
      <w:hyperlink r:id="rId1303" w:tgtFrame="_blank" w:history="1">
        <w:r w:rsidRPr="00511005">
          <w:rPr>
            <w:rFonts w:ascii="Arial" w:eastAsia="Times New Roman" w:hAnsi="Arial" w:cs="Arial"/>
            <w:szCs w:val="28"/>
            <w:lang w:val="uk-UA" w:eastAsia="ru-RU"/>
          </w:rPr>
          <w:t>https://digitalhub.fifa.com/m/1e7b741fa0fae779/original/FIFA-Football-Agent-Regulations.pdf</w:t>
        </w:r>
      </w:hyperlink>
      <w:r w:rsidRPr="00511005">
        <w:rPr>
          <w:rFonts w:ascii="Arial" w:eastAsia="Times New Roman" w:hAnsi="Arial" w:cs="Arial"/>
          <w:szCs w:val="28"/>
          <w:lang w:val="uk-UA" w:eastAsia="ru-RU"/>
        </w:rPr>
        <w:t> .</w:t>
      </w:r>
    </w:p>
    <w:p w14:paraId="43A27173" w14:textId="77777777" w:rsidR="004F361F" w:rsidRPr="00511005" w:rsidRDefault="004F361F" w:rsidP="003F6A5D">
      <w:pPr>
        <w:numPr>
          <w:ilvl w:val="0"/>
          <w:numId w:val="332"/>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GARO LAW OFFICE. Типи цивільно-правових договорів і спонсорство у професійному спорті. Безкоштовний сервіс для вирішення Юридичних питань №1 в Україні!.URL:</w:t>
      </w:r>
      <w:hyperlink r:id="rId1304">
        <w:r w:rsidRPr="00511005">
          <w:rPr>
            <w:rFonts w:ascii="Arial" w:eastAsia="Times New Roman" w:hAnsi="Arial" w:cs="Arial"/>
            <w:szCs w:val="28"/>
            <w:lang w:val="uk-UA" w:eastAsia="ru-RU"/>
          </w:rPr>
          <w:t>https://protocol.ua/ru/tipi_tsivilno_pravovih_dogovoriv_i_sponsorstvo_u_profesiynomu_sporti/</w:t>
        </w:r>
      </w:hyperlink>
      <w:r w:rsidRPr="00511005">
        <w:rPr>
          <w:rFonts w:ascii="Arial" w:eastAsia="Times New Roman" w:hAnsi="Arial" w:cs="Arial"/>
          <w:szCs w:val="28"/>
          <w:lang w:val="uk-UA" w:eastAsia="ru-RU"/>
        </w:rPr>
        <w:t xml:space="preserve"> .</w:t>
      </w:r>
    </w:p>
    <w:p w14:paraId="49E72670" w14:textId="77777777" w:rsidR="004F361F" w:rsidRPr="00511005" w:rsidRDefault="004F361F" w:rsidP="003A292D">
      <w:pPr>
        <w:pBdr>
          <w:top w:val="nil"/>
          <w:left w:val="nil"/>
          <w:bottom w:val="nil"/>
          <w:right w:val="nil"/>
          <w:between w:val="nil"/>
        </w:pBdr>
        <w:spacing w:line="264" w:lineRule="auto"/>
        <w:ind w:left="928" w:firstLine="0"/>
        <w:rPr>
          <w:rFonts w:ascii="Arial" w:eastAsia="Times New Roman" w:hAnsi="Arial" w:cs="Arial"/>
          <w:szCs w:val="28"/>
          <w:lang w:val="uk-UA" w:eastAsia="ru-RU"/>
        </w:rPr>
      </w:pPr>
    </w:p>
    <w:p w14:paraId="43BA727A" w14:textId="77CEABFF" w:rsidR="004F361F"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4F361F" w:rsidRPr="00511005">
        <w:rPr>
          <w:rFonts w:ascii="Arial" w:eastAsia="Times New Roman" w:hAnsi="Arial" w:cs="Arial"/>
          <w:szCs w:val="28"/>
          <w:lang w:val="uk-UA" w:eastAsia="ru-RU"/>
        </w:rPr>
        <w:t>футбол, договірні відносини, договір, футболіст, трансфер, агент, спонсорство.</w:t>
      </w:r>
    </w:p>
    <w:p w14:paraId="62C6795A" w14:textId="1A7C3DDB" w:rsidR="004F361F" w:rsidRPr="00511005" w:rsidRDefault="007B2628" w:rsidP="003A292D">
      <w:pPr>
        <w:spacing w:line="264" w:lineRule="auto"/>
        <w:ind w:firstLine="0"/>
        <w:rPr>
          <w:rFonts w:ascii="Arial" w:eastAsia="Times New Roman" w:hAnsi="Arial" w:cs="Arial"/>
          <w:szCs w:val="28"/>
          <w:lang w:val="en-US" w:eastAsia="ru-RU"/>
        </w:rPr>
      </w:pPr>
      <w:r w:rsidRPr="00511005">
        <w:rPr>
          <w:rFonts w:ascii="Arial" w:eastAsia="Times New Roman" w:hAnsi="Arial" w:cs="Arial"/>
          <w:b/>
          <w:i/>
          <w:szCs w:val="28"/>
          <w:lang w:val="en-US" w:eastAsia="ru-RU"/>
        </w:rPr>
        <w:lastRenderedPageBreak/>
        <w:t xml:space="preserve">Key words: </w:t>
      </w:r>
      <w:r w:rsidR="004F361F" w:rsidRPr="00511005">
        <w:rPr>
          <w:rFonts w:ascii="Arial" w:eastAsia="Times New Roman" w:hAnsi="Arial" w:cs="Arial"/>
          <w:szCs w:val="28"/>
          <w:lang w:val="en-US" w:eastAsia="ru-RU"/>
        </w:rPr>
        <w:t>football, contractual relations, contract, football player, transfer, agent, sponsorship.</w:t>
      </w:r>
    </w:p>
    <w:p w14:paraId="732A5306" w14:textId="4788C89B" w:rsidR="004F361F" w:rsidRPr="00511005" w:rsidRDefault="007B2628" w:rsidP="00692959">
      <w:pPr>
        <w:spacing w:line="264" w:lineRule="auto"/>
        <w:ind w:firstLine="0"/>
        <w:jc w:val="left"/>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4F361F" w:rsidRPr="00511005">
        <w:rPr>
          <w:rFonts w:ascii="Arial" w:eastAsia="Times New Roman" w:hAnsi="Arial" w:cs="Arial"/>
          <w:i/>
          <w:iCs/>
          <w:szCs w:val="28"/>
          <w:lang w:val="uk-UA" w:eastAsia="ru-RU"/>
        </w:rPr>
        <w:t>к.ю.н., доцент Павлова В.Г.</w:t>
      </w:r>
    </w:p>
    <w:p w14:paraId="39C00B82" w14:textId="77777777" w:rsidR="004F361F" w:rsidRPr="00511005" w:rsidRDefault="004F361F" w:rsidP="003A292D">
      <w:pPr>
        <w:spacing w:line="264" w:lineRule="auto"/>
        <w:ind w:firstLine="0"/>
        <w:rPr>
          <w:rFonts w:ascii="Arial" w:eastAsia="Times New Roman" w:hAnsi="Arial" w:cs="Arial"/>
          <w:szCs w:val="28"/>
          <w:lang w:eastAsia="ru-RU"/>
        </w:rPr>
      </w:pPr>
    </w:p>
    <w:p w14:paraId="17865DA9" w14:textId="77777777" w:rsidR="004F361F" w:rsidRPr="00511005" w:rsidRDefault="004F361F" w:rsidP="003A292D">
      <w:pPr>
        <w:spacing w:line="264" w:lineRule="auto"/>
        <w:ind w:firstLine="0"/>
        <w:rPr>
          <w:rFonts w:ascii="Arial" w:eastAsia="Times New Roman" w:hAnsi="Arial" w:cs="Arial"/>
          <w:szCs w:val="28"/>
          <w:lang w:eastAsia="ru-RU"/>
        </w:rPr>
      </w:pPr>
    </w:p>
    <w:p w14:paraId="18C3D14C" w14:textId="77777777" w:rsidR="004F361F" w:rsidRPr="00511005" w:rsidRDefault="004F361F" w:rsidP="003A292D">
      <w:pPr>
        <w:spacing w:line="264" w:lineRule="auto"/>
        <w:ind w:firstLine="0"/>
        <w:rPr>
          <w:rFonts w:ascii="Arial" w:eastAsia="Times New Roman" w:hAnsi="Arial" w:cs="Arial"/>
          <w:szCs w:val="28"/>
          <w:lang w:eastAsia="ru-RU"/>
        </w:rPr>
      </w:pPr>
    </w:p>
    <w:p w14:paraId="2B410D3A" w14:textId="77777777" w:rsidR="004F361F" w:rsidRPr="00511005" w:rsidRDefault="004F361F" w:rsidP="003A292D">
      <w:pPr>
        <w:spacing w:line="264" w:lineRule="auto"/>
        <w:ind w:firstLine="0"/>
        <w:jc w:val="center"/>
        <w:rPr>
          <w:rFonts w:ascii="Arial" w:eastAsia="Calibri" w:hAnsi="Arial" w:cs="Arial"/>
          <w:b/>
          <w:szCs w:val="28"/>
          <w:lang w:val="uk-UA" w:eastAsia="ru-RU"/>
        </w:rPr>
      </w:pPr>
      <w:r w:rsidRPr="00511005">
        <w:rPr>
          <w:rFonts w:ascii="Arial" w:eastAsia="Calibri" w:hAnsi="Arial" w:cs="Arial"/>
          <w:b/>
          <w:szCs w:val="28"/>
          <w:lang w:val="uk-UA" w:eastAsia="ru-RU"/>
        </w:rPr>
        <w:t>Костур Вадим Олегович</w:t>
      </w:r>
    </w:p>
    <w:p w14:paraId="79A541E2" w14:textId="6CA5A13E" w:rsidR="004F361F" w:rsidRPr="00692959" w:rsidRDefault="00692959" w:rsidP="003A292D">
      <w:pPr>
        <w:spacing w:line="264" w:lineRule="auto"/>
        <w:ind w:firstLine="0"/>
        <w:jc w:val="center"/>
        <w:rPr>
          <w:rFonts w:ascii="Arial" w:eastAsia="Calibri" w:hAnsi="Arial" w:cs="Arial"/>
          <w:iCs/>
          <w:szCs w:val="28"/>
          <w:lang w:val="uk-UA" w:eastAsia="ru-RU"/>
        </w:rPr>
      </w:pPr>
      <w:r>
        <w:rPr>
          <w:rFonts w:ascii="Arial" w:eastAsia="Calibri" w:hAnsi="Arial" w:cs="Arial"/>
          <w:iCs/>
          <w:szCs w:val="28"/>
          <w:lang w:val="uk-UA" w:eastAsia="ru-RU"/>
        </w:rPr>
        <w:t>с</w:t>
      </w:r>
      <w:r w:rsidR="00536AAB" w:rsidRPr="00692959">
        <w:rPr>
          <w:rFonts w:ascii="Arial" w:eastAsia="Calibri" w:hAnsi="Arial" w:cs="Arial"/>
          <w:iCs/>
          <w:szCs w:val="28"/>
          <w:lang w:val="uk-UA" w:eastAsia="ru-RU"/>
        </w:rPr>
        <w:t xml:space="preserve">тудент 2-го курсу </w:t>
      </w:r>
      <w:r w:rsidR="001B7B25" w:rsidRPr="00692959">
        <w:rPr>
          <w:rFonts w:ascii="Arial" w:eastAsia="Calibri" w:hAnsi="Arial" w:cs="Arial"/>
          <w:iCs/>
          <w:szCs w:val="28"/>
          <w:lang w:val="uk-UA" w:eastAsia="ru-RU"/>
        </w:rPr>
        <w:t>факультету судового та міжнародного права</w:t>
      </w:r>
    </w:p>
    <w:p w14:paraId="53DD76CF" w14:textId="6584B986" w:rsidR="004F361F" w:rsidRDefault="007B2628" w:rsidP="003A292D">
      <w:pPr>
        <w:spacing w:line="264" w:lineRule="auto"/>
        <w:ind w:firstLine="0"/>
        <w:jc w:val="center"/>
        <w:rPr>
          <w:rFonts w:ascii="Arial" w:eastAsia="Calibri" w:hAnsi="Arial" w:cs="Arial"/>
          <w:iCs/>
          <w:szCs w:val="28"/>
          <w:lang w:val="uk-UA" w:eastAsia="ru-RU"/>
        </w:rPr>
      </w:pPr>
      <w:r w:rsidRPr="00692959">
        <w:rPr>
          <w:rFonts w:ascii="Arial" w:eastAsia="Calibri" w:hAnsi="Arial" w:cs="Arial"/>
          <w:iCs/>
          <w:szCs w:val="28"/>
          <w:lang w:val="uk-UA" w:eastAsia="ru-RU"/>
        </w:rPr>
        <w:t>Національного університету «Одеська юридична академія»</w:t>
      </w:r>
    </w:p>
    <w:p w14:paraId="2FCE3401" w14:textId="77777777" w:rsidR="00692959" w:rsidRPr="00692959" w:rsidRDefault="00692959" w:rsidP="003A292D">
      <w:pPr>
        <w:spacing w:line="264" w:lineRule="auto"/>
        <w:ind w:firstLine="0"/>
        <w:jc w:val="center"/>
        <w:rPr>
          <w:rFonts w:ascii="Arial" w:eastAsia="Calibri" w:hAnsi="Arial" w:cs="Arial"/>
          <w:iCs/>
          <w:szCs w:val="28"/>
          <w:lang w:val="uk-UA" w:eastAsia="ru-RU"/>
        </w:rPr>
      </w:pPr>
    </w:p>
    <w:p w14:paraId="7223B8D7" w14:textId="77777777" w:rsidR="004F361F" w:rsidRPr="00511005" w:rsidRDefault="004F361F" w:rsidP="003A292D">
      <w:pPr>
        <w:spacing w:line="264" w:lineRule="auto"/>
        <w:ind w:firstLine="0"/>
        <w:jc w:val="center"/>
        <w:rPr>
          <w:rFonts w:ascii="Arial" w:eastAsia="Calibri" w:hAnsi="Arial" w:cs="Arial"/>
          <w:b/>
          <w:bCs/>
          <w:iCs/>
          <w:szCs w:val="28"/>
          <w:lang w:val="uk-UA" w:eastAsia="ru-RU"/>
        </w:rPr>
      </w:pPr>
      <w:r w:rsidRPr="00511005">
        <w:rPr>
          <w:rFonts w:ascii="Arial" w:eastAsia="Calibri" w:hAnsi="Arial" w:cs="Arial"/>
          <w:b/>
          <w:bCs/>
          <w:iCs/>
          <w:szCs w:val="28"/>
          <w:lang w:val="uk-UA" w:eastAsia="ru-RU"/>
        </w:rPr>
        <w:t>ПРОБЛЕМА ВИКОРИСТАННЯ ЦИВІЛЬНО-ПРАВОВИХ ЗОБОВ’ЯЗАНЬ В ПЕРІОД ВОЄННОГО СТАНУ В УКРАЇНІ</w:t>
      </w:r>
    </w:p>
    <w:p w14:paraId="5F77018C" w14:textId="1A6A9214" w:rsidR="004F361F" w:rsidRPr="00511005" w:rsidRDefault="004F361F" w:rsidP="003A292D">
      <w:pPr>
        <w:spacing w:line="264" w:lineRule="auto"/>
        <w:ind w:firstLine="567"/>
        <w:rPr>
          <w:rFonts w:ascii="Arial" w:eastAsia="Times New Roman" w:hAnsi="Arial" w:cs="Arial"/>
          <w:szCs w:val="28"/>
        </w:rPr>
      </w:pPr>
      <w:r w:rsidRPr="00511005">
        <w:rPr>
          <w:rFonts w:ascii="Arial" w:eastAsia="Times New Roman" w:hAnsi="Arial" w:cs="Arial"/>
          <w:szCs w:val="28"/>
        </w:rPr>
        <w:t>Введення в Україні правового режиму воєнного стану, спираючись на Указ Президента України «Про введення воєнного стану в Україні» від</w:t>
      </w:r>
      <w:r w:rsidR="007B2628" w:rsidRPr="00511005">
        <w:rPr>
          <w:rFonts w:ascii="Arial" w:eastAsia="Times New Roman" w:hAnsi="Arial" w:cs="Arial"/>
          <w:szCs w:val="28"/>
        </w:rPr>
        <w:t xml:space="preserve"> </w:t>
      </w:r>
      <w:r w:rsidRPr="00511005">
        <w:rPr>
          <w:rFonts w:ascii="Arial" w:eastAsia="Times New Roman" w:hAnsi="Arial" w:cs="Arial"/>
          <w:szCs w:val="28"/>
        </w:rPr>
        <w:t>24</w:t>
      </w:r>
      <w:r w:rsidR="007B2628" w:rsidRPr="00511005">
        <w:rPr>
          <w:rFonts w:ascii="Arial" w:eastAsia="Times New Roman" w:hAnsi="Arial" w:cs="Arial"/>
          <w:szCs w:val="28"/>
        </w:rPr>
        <w:t xml:space="preserve"> </w:t>
      </w:r>
      <w:r w:rsidRPr="00511005">
        <w:rPr>
          <w:rFonts w:ascii="Arial" w:eastAsia="Times New Roman" w:hAnsi="Arial" w:cs="Arial"/>
          <w:szCs w:val="28"/>
        </w:rPr>
        <w:t>лютого 2022 року No 64/2022 [2], торкнувся більшості сфер суспільних правовідносин. Це зумовило потребу в швидкому внесенні змін до певних актів національного законодавства, аби пристосувати його до нових реалій. Не стала винятком і сфера укладення цивільно-правових договорів, оскільки навіть після введення воєнного стану в Україні цивільно-правовий обіг не припинився, включаючи й операції з майном, що потребують нотаріального засвідчення. Військова агресія Російської Федерації, проти України, відчутно позначилася майже на всіх аспектах буття українців, зокрема, на спроможності дотримуватися зобов'язань, що випливають з цивільного права. Очевидно, що через це значна частина цивільно-правових договорів, укладених в Україні, не зможе бути виконана відповідно до встановлених вимог.</w:t>
      </w:r>
    </w:p>
    <w:p w14:paraId="738331FF" w14:textId="77777777" w:rsidR="004F361F" w:rsidRPr="00511005" w:rsidRDefault="004F361F" w:rsidP="003A292D">
      <w:pPr>
        <w:spacing w:line="264" w:lineRule="auto"/>
        <w:ind w:firstLine="567"/>
        <w:rPr>
          <w:rFonts w:ascii="Arial" w:eastAsia="Times New Roman" w:hAnsi="Arial" w:cs="Arial"/>
          <w:szCs w:val="28"/>
        </w:rPr>
      </w:pPr>
      <w:r w:rsidRPr="00511005">
        <w:rPr>
          <w:rFonts w:ascii="Arial" w:eastAsia="Times New Roman" w:hAnsi="Arial" w:cs="Arial"/>
          <w:szCs w:val="28"/>
        </w:rPr>
        <w:t xml:space="preserve">У зв’язку з чим, маємо розподіл договірної діяльності на два умовні блоки: угоди, що були укладені до того, </w:t>
      </w:r>
      <w:proofErr w:type="gramStart"/>
      <w:r w:rsidRPr="00511005">
        <w:rPr>
          <w:rFonts w:ascii="Arial" w:eastAsia="Times New Roman" w:hAnsi="Arial" w:cs="Arial"/>
          <w:szCs w:val="28"/>
        </w:rPr>
        <w:t>як</w:t>
      </w:r>
      <w:proofErr w:type="gramEnd"/>
      <w:r w:rsidRPr="00511005">
        <w:rPr>
          <w:rFonts w:ascii="Arial" w:eastAsia="Times New Roman" w:hAnsi="Arial" w:cs="Arial"/>
          <w:szCs w:val="28"/>
        </w:rPr>
        <w:t xml:space="preserve"> почав діяти воєнний стан, і ті, що укладені вже після введення цього правового режиму. Зважаючи на те, що такий стан справ є форс-мажорною обставиною, можна стверджувати, що положення, які стосуються дій, які необхідно вчинити за форс-мажорних обставин, і наслідків, що виникають у зв'язку з виконанням договірних зобов’язань із використанням форс-мажору, розповсюджуються на всіх учасників відповідної угоди. Зокрема, як відзначають окремі дослідники, в умовах війни в Україні почали діяти певні обмеження щодо реалізації права власності згідно з договором, об’єктом якого є нерухоме майно. Науковці виділяють такі обмеження: термін дії; територіальна прив’язка; нотаріус, що має повноваження посвідчувати відповідний договір; допустимий представник за договором. Щодо обґрунтування потреби впровадження таких обмежень, вчені вказують, що в умовах воєнного стану власник майна зобов’язаний дотримуватись норм законодавства для забезпечення балансу між «межами реалізації суб’єктивних цивільних прав» та </w:t>
      </w:r>
      <w:r w:rsidRPr="00511005">
        <w:rPr>
          <w:rFonts w:ascii="Arial" w:eastAsia="Times New Roman" w:hAnsi="Arial" w:cs="Arial"/>
          <w:szCs w:val="28"/>
        </w:rPr>
        <w:lastRenderedPageBreak/>
        <w:t>«обмеженнями здійснення суб’єктивних цивільних прав». У ситуаціях, коли форс-мажорні події спричиняють порушення контрактних обов'язків, критичним моментом є доказ неспроможності виконати зобов'язання з боку сторони, що їх порушила. Це випливає з положень статті 617 Цивільного кодексу України та статті 218 Господарського кодексу України. Однак простого існування форс-мажорних обставин недостатньо для підтвердження неможливості виконання контрактних зобов'язань. Судова практика демонструє, що сторона, яка посилається на форс-мажор, мусить обґрунтувати в суді не лише сам факт форс-мажорних обставин, але й надати свідчення, які демонструють, що саме ці обставини унеможливлюють виконання контрактних зобов'язань згідно з умовами конкретного контракту.</w:t>
      </w:r>
    </w:p>
    <w:p w14:paraId="0B21F12F" w14:textId="78C1E164" w:rsidR="004F361F" w:rsidRDefault="004F361F" w:rsidP="003A292D">
      <w:pPr>
        <w:spacing w:line="264" w:lineRule="auto"/>
        <w:ind w:firstLine="567"/>
        <w:rPr>
          <w:rFonts w:ascii="Arial" w:eastAsia="Times New Roman" w:hAnsi="Arial" w:cs="Arial"/>
          <w:szCs w:val="28"/>
        </w:rPr>
      </w:pPr>
      <w:r w:rsidRPr="00511005">
        <w:rPr>
          <w:rFonts w:ascii="Arial" w:eastAsia="Times New Roman" w:hAnsi="Arial" w:cs="Arial"/>
          <w:szCs w:val="28"/>
        </w:rPr>
        <w:t xml:space="preserve">Необхідно також враховувати, що відбулися певні змінив порядку засвідчення та реалізації заповітів, відкриття спадку та інших нюансах, пов'язаних зі спадкоємством. Наприклад, до об'єктів спадкування після набуття чинності Законом України від 23 лютого 2023 р. № 2923-IX, котрим внесено поправки, зокрема до норм ЦК України, належить право на «відшкодування збитків, завданих спадкодавцю у договірних відносинах, або право на компенсацію збитків, які належали спадкодавцю згідно з законом, а ще право на одержання компенсації, котру відповідно до закону міг би отримати спадкодавець за свого життя.»[6] Згідно з пунктом «6.2 Регламенту засвідчення Торгово-промисловою палатою України та регіональними торгово-промисловими палатами форс-мажорних обставин (обставин непереборної сили), засвідчення форс-мажору здійснюється на підставі заяви зацікавленої сторони по кожному окремому контракту.»[4] Отже, якщо за договорами позики позичальник автоматично звільняється від будь-яких санкцій у випадку прострочення, незалежно від впливу на нього військових дій, то за іншими договорами стороні необхідно буде обґрунтовувати факт невиконання зобов'язання саме через введення воєнного стану. Позитивним моментом виступає те, що законодавець закріпив пільговий період тривалістю 30 днів після припинення дії воєнного або надзвичайного стану. Впродовж цього строку боржник звільняється від відповідальності за несвоєчасне виконання грошового зобов'язання. Це створює умови для покращення його фінансового стану та відновлення здатності розраховуватися за боргами. Затвердження даних положень є важливим етапом, оскільки під час впровадження воєнного стану одним з перших, що потерпає, «є матеріальне становище особи, тому виконання грошових зобов’язань часом стає цілком неможливим як у зв’язку з фінансовою неспроможністю, так і з об'єктивних причин, пов'язаних з нестабільною роботою банківських чи інших фінансових установ, проблемами з Інтернетом, затримками у виплаті заробітної плати тощо.»[5] Таким чином, воєнний стан є безперечною обставиною непереборної сили, </w:t>
      </w:r>
      <w:r w:rsidRPr="00511005">
        <w:rPr>
          <w:rFonts w:ascii="Arial" w:eastAsia="Times New Roman" w:hAnsi="Arial" w:cs="Arial"/>
          <w:szCs w:val="28"/>
        </w:rPr>
        <w:lastRenderedPageBreak/>
        <w:t>яку особа не могла передбачити або передбачала, але не могла відвернути. «Основним наслідком впровадження воєнного стану в Україні для суб’єктів цивільних правовідносин є те, що на час його дії вони можуть призупинити виконання своїх зобов’язань у зв’язку з неможливістю їх виконання без застосування до них цивільно-правової відповідальності</w:t>
      </w:r>
      <w:proofErr w:type="gramStart"/>
      <w:r w:rsidRPr="00511005">
        <w:rPr>
          <w:rFonts w:ascii="Arial" w:eastAsia="Times New Roman" w:hAnsi="Arial" w:cs="Arial"/>
          <w:szCs w:val="28"/>
        </w:rPr>
        <w:t>.»[</w:t>
      </w:r>
      <w:proofErr w:type="gramEnd"/>
      <w:r w:rsidRPr="00511005">
        <w:rPr>
          <w:rFonts w:ascii="Arial" w:eastAsia="Times New Roman" w:hAnsi="Arial" w:cs="Arial"/>
          <w:szCs w:val="28"/>
        </w:rPr>
        <w:t>5] Окрім того, більшість термінів, передбачених ЦК України, продовжують свою чинність на період, протягом котрого тривав воєнний стан. Відповідно до законодавства, обставини непереборної сили, що виникають в період воєнного стану, вимагають документального засвідчення для звільнення від відповідальності за невиконання зобов'язань, при цьому судова практика акцентує потребу в індивідуальному розгляді кожного окремого випадку задля забезпечення виконання договорів в умовах воєнного стану.</w:t>
      </w:r>
    </w:p>
    <w:p w14:paraId="40F0A932" w14:textId="77777777" w:rsidR="003666FB" w:rsidRPr="00511005" w:rsidRDefault="003666FB" w:rsidP="003A292D">
      <w:pPr>
        <w:spacing w:line="264" w:lineRule="auto"/>
        <w:ind w:firstLine="567"/>
        <w:rPr>
          <w:rFonts w:ascii="Arial" w:eastAsia="Times New Roman" w:hAnsi="Arial" w:cs="Arial"/>
          <w:szCs w:val="28"/>
        </w:rPr>
      </w:pPr>
    </w:p>
    <w:p w14:paraId="302E6121" w14:textId="317D9E77" w:rsidR="004F361F" w:rsidRPr="003666FB" w:rsidRDefault="007B2628" w:rsidP="007B2628">
      <w:pPr>
        <w:spacing w:line="264" w:lineRule="auto"/>
        <w:ind w:firstLine="0"/>
        <w:jc w:val="center"/>
        <w:rPr>
          <w:rFonts w:ascii="Arial" w:eastAsia="Calibri" w:hAnsi="Arial" w:cs="Arial"/>
          <w:b/>
          <w:szCs w:val="28"/>
          <w:lang w:val="uk-UA" w:eastAsia="ru-RU"/>
        </w:rPr>
      </w:pPr>
      <w:r w:rsidRPr="003666FB">
        <w:rPr>
          <w:rFonts w:ascii="Arial" w:eastAsia="Calibri" w:hAnsi="Arial" w:cs="Arial"/>
          <w:b/>
          <w:szCs w:val="28"/>
          <w:lang w:val="uk-UA" w:eastAsia="ru-RU"/>
        </w:rPr>
        <w:t>Список використаних джерел</w:t>
      </w:r>
    </w:p>
    <w:p w14:paraId="7E510CA5" w14:textId="77777777" w:rsidR="004F361F" w:rsidRPr="00511005" w:rsidRDefault="004F361F" w:rsidP="003F6A5D">
      <w:pPr>
        <w:numPr>
          <w:ilvl w:val="0"/>
          <w:numId w:val="333"/>
        </w:numPr>
        <w:shd w:val="clear" w:color="auto" w:fill="FFFFFF"/>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Господарський кодекс України від 16 січня 2003 року No 436-IV. Відомості Верховної Ради України. 2003. No 18. Ст. 144. .URL: https://zakon.rada.gov.ua/laws/show/436-15#Text</w:t>
      </w:r>
    </w:p>
    <w:p w14:paraId="065F1818" w14:textId="4F9871FC" w:rsidR="004F361F" w:rsidRPr="00511005" w:rsidRDefault="004F361F" w:rsidP="003F6A5D">
      <w:pPr>
        <w:numPr>
          <w:ilvl w:val="0"/>
          <w:numId w:val="333"/>
        </w:numPr>
        <w:shd w:val="clear" w:color="auto" w:fill="FFFFFF"/>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введення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воєнного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стану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Україні</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Указ</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Президента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України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від</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24</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лютого 2022 року No 64/2022.URL:https://www.president.gov.ua/documents/642022-41397. </w:t>
      </w:r>
    </w:p>
    <w:p w14:paraId="092C17D4" w14:textId="77777777" w:rsidR="004F361F" w:rsidRPr="00511005" w:rsidRDefault="004F361F" w:rsidP="003F6A5D">
      <w:pPr>
        <w:numPr>
          <w:ilvl w:val="0"/>
          <w:numId w:val="333"/>
        </w:numPr>
        <w:shd w:val="clear" w:color="auto" w:fill="FFFFFF"/>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 торгово-промислові палати в Україні : Закон України від 2 грудня 1997 року No 671/97-ВР. Відомості Верховної Ради України. 1998. No 13. Ст. 52.</w:t>
      </w:r>
    </w:p>
    <w:p w14:paraId="7B9AE1F3" w14:textId="078688F0" w:rsidR="004F361F" w:rsidRPr="00511005" w:rsidRDefault="004F361F" w:rsidP="003F6A5D">
      <w:pPr>
        <w:numPr>
          <w:ilvl w:val="0"/>
          <w:numId w:val="333"/>
        </w:numPr>
        <w:shd w:val="clear" w:color="auto" w:fill="FFFFFF"/>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Регламент засвідчення Торгово-промисловою палатою України та регіональними торгово-промисловими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палатами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форс-мажорних</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обставин</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(обставин</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непереборної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сили), затверджений рішенням президії ТПП України від 15.07.2014 No 40(3). URL: https://zakon.rada.gov.ua/rada/show/v0040571-14#Text.</w:t>
      </w:r>
    </w:p>
    <w:p w14:paraId="7FDB217B" w14:textId="77777777" w:rsidR="004F361F" w:rsidRPr="00511005" w:rsidRDefault="004F361F" w:rsidP="003F6A5D">
      <w:pPr>
        <w:numPr>
          <w:ilvl w:val="0"/>
          <w:numId w:val="333"/>
        </w:numPr>
        <w:shd w:val="clear" w:color="auto" w:fill="FFFFFF"/>
        <w:spacing w:line="264" w:lineRule="auto"/>
        <w:ind w:left="0" w:firstLine="709"/>
        <w:contextualSpacing/>
        <w:jc w:val="left"/>
        <w:rPr>
          <w:rFonts w:ascii="Arial" w:eastAsia="Times New Roman" w:hAnsi="Arial" w:cs="Arial"/>
          <w:szCs w:val="28"/>
          <w:lang w:val="uk-UA" w:eastAsia="uk-UA"/>
        </w:rPr>
      </w:pPr>
      <w:r w:rsidRPr="00511005">
        <w:rPr>
          <w:rFonts w:ascii="Arial" w:eastAsia="Calibri" w:hAnsi="Arial" w:cs="Arial"/>
          <w:szCs w:val="28"/>
          <w:lang w:val="uk-UA" w:eastAsia="ru-RU"/>
        </w:rPr>
        <w:t>Ромась М. І. Порядок укладення цивільно-правових договорів за участі держави Україна в умовах воєнного стану. Науково-інформаційний вісник Івано-Франківського університету права імені Короля Данила Галицького: Журнал. Серія Право. 2023. Вип. 15(27), Т. 2. С. 187–193.</w:t>
      </w:r>
    </w:p>
    <w:p w14:paraId="14A075C8" w14:textId="77777777" w:rsidR="004F361F" w:rsidRPr="00511005" w:rsidRDefault="004F361F" w:rsidP="003F6A5D">
      <w:pPr>
        <w:numPr>
          <w:ilvl w:val="0"/>
          <w:numId w:val="333"/>
        </w:numPr>
        <w:shd w:val="clear" w:color="auto" w:fill="FFFFFF"/>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кодекс України від 16 січня 2003 року No 435-ІV. Відомості Верховної Ради України. 2003. No 40–44. Ст. 35. URL.https://zakon.rada.gov.ua/laws/show/435-15#Text</w:t>
      </w:r>
    </w:p>
    <w:p w14:paraId="6AD32423" w14:textId="77777777" w:rsidR="004F361F" w:rsidRPr="00511005" w:rsidRDefault="004F361F" w:rsidP="003A292D">
      <w:pPr>
        <w:spacing w:line="264" w:lineRule="auto"/>
        <w:ind w:firstLine="0"/>
        <w:rPr>
          <w:rFonts w:ascii="Arial" w:eastAsia="Times New Roman" w:hAnsi="Arial" w:cs="Arial"/>
          <w:szCs w:val="28"/>
          <w:lang w:val="en-US" w:eastAsia="ru-RU"/>
        </w:rPr>
      </w:pPr>
    </w:p>
    <w:p w14:paraId="4419BEC4" w14:textId="77777777" w:rsidR="003666FB" w:rsidRDefault="007B2628" w:rsidP="003666FB">
      <w:pPr>
        <w:tabs>
          <w:tab w:val="left" w:pos="993"/>
        </w:tabs>
        <w:spacing w:line="264" w:lineRule="auto"/>
        <w:ind w:firstLine="0"/>
        <w:rPr>
          <w:rFonts w:ascii="Arial" w:eastAsia="Calibri" w:hAnsi="Arial" w:cs="Arial"/>
          <w:szCs w:val="28"/>
          <w:lang w:val="en-US"/>
        </w:rPr>
      </w:pPr>
      <w:r w:rsidRPr="00511005">
        <w:rPr>
          <w:rFonts w:ascii="Arial" w:eastAsia="Calibri" w:hAnsi="Arial" w:cs="Arial"/>
          <w:b/>
          <w:bCs/>
          <w:i/>
          <w:szCs w:val="28"/>
        </w:rPr>
        <w:t>Ключові</w:t>
      </w:r>
      <w:r w:rsidRPr="00055389">
        <w:rPr>
          <w:rFonts w:ascii="Arial" w:eastAsia="Calibri" w:hAnsi="Arial" w:cs="Arial"/>
          <w:b/>
          <w:bCs/>
          <w:i/>
          <w:szCs w:val="28"/>
          <w:lang w:val="en-US"/>
        </w:rPr>
        <w:t xml:space="preserve"> </w:t>
      </w:r>
      <w:r w:rsidRPr="00511005">
        <w:rPr>
          <w:rFonts w:ascii="Arial" w:eastAsia="Calibri" w:hAnsi="Arial" w:cs="Arial"/>
          <w:b/>
          <w:bCs/>
          <w:i/>
          <w:szCs w:val="28"/>
        </w:rPr>
        <w:t>слова</w:t>
      </w:r>
      <w:r w:rsidRPr="00055389">
        <w:rPr>
          <w:rFonts w:ascii="Arial" w:eastAsia="Calibri" w:hAnsi="Arial" w:cs="Arial"/>
          <w:b/>
          <w:bCs/>
          <w:i/>
          <w:szCs w:val="28"/>
          <w:lang w:val="en-US"/>
        </w:rPr>
        <w:t xml:space="preserve">: </w:t>
      </w:r>
      <w:r w:rsidR="004F361F" w:rsidRPr="00511005">
        <w:rPr>
          <w:rFonts w:ascii="Arial" w:eastAsia="Calibri" w:hAnsi="Arial" w:cs="Arial"/>
          <w:szCs w:val="28"/>
        </w:rPr>
        <w:t>воєнний</w:t>
      </w:r>
      <w:r w:rsidR="004F361F" w:rsidRPr="00511005">
        <w:rPr>
          <w:rFonts w:ascii="Arial" w:eastAsia="Calibri" w:hAnsi="Arial" w:cs="Arial"/>
          <w:szCs w:val="28"/>
          <w:lang w:val="en-US"/>
        </w:rPr>
        <w:t xml:space="preserve"> </w:t>
      </w:r>
      <w:r w:rsidR="004F361F" w:rsidRPr="00511005">
        <w:rPr>
          <w:rFonts w:ascii="Arial" w:eastAsia="Calibri" w:hAnsi="Arial" w:cs="Arial"/>
          <w:szCs w:val="28"/>
        </w:rPr>
        <w:t>стан</w:t>
      </w:r>
      <w:r w:rsidR="004F361F" w:rsidRPr="00511005">
        <w:rPr>
          <w:rFonts w:ascii="Arial" w:eastAsia="Calibri" w:hAnsi="Arial" w:cs="Arial"/>
          <w:szCs w:val="28"/>
          <w:lang w:val="en-US"/>
        </w:rPr>
        <w:t xml:space="preserve">, </w:t>
      </w:r>
      <w:r w:rsidR="004F361F" w:rsidRPr="00511005">
        <w:rPr>
          <w:rFonts w:ascii="Arial" w:eastAsia="Calibri" w:hAnsi="Arial" w:cs="Arial"/>
          <w:szCs w:val="28"/>
        </w:rPr>
        <w:t>цивільне</w:t>
      </w:r>
      <w:r w:rsidR="004F361F" w:rsidRPr="00511005">
        <w:rPr>
          <w:rFonts w:ascii="Arial" w:eastAsia="Calibri" w:hAnsi="Arial" w:cs="Arial"/>
          <w:szCs w:val="28"/>
          <w:lang w:val="en-US"/>
        </w:rPr>
        <w:t xml:space="preserve"> </w:t>
      </w:r>
      <w:r w:rsidR="004F361F" w:rsidRPr="00511005">
        <w:rPr>
          <w:rFonts w:ascii="Arial" w:eastAsia="Calibri" w:hAnsi="Arial" w:cs="Arial"/>
          <w:szCs w:val="28"/>
        </w:rPr>
        <w:t>право</w:t>
      </w:r>
      <w:r w:rsidR="004F361F" w:rsidRPr="00511005">
        <w:rPr>
          <w:rFonts w:ascii="Arial" w:eastAsia="Calibri" w:hAnsi="Arial" w:cs="Arial"/>
          <w:szCs w:val="28"/>
          <w:lang w:val="en-US"/>
        </w:rPr>
        <w:t xml:space="preserve">, </w:t>
      </w:r>
      <w:r w:rsidR="004F361F" w:rsidRPr="00511005">
        <w:rPr>
          <w:rFonts w:ascii="Arial" w:eastAsia="Calibri" w:hAnsi="Arial" w:cs="Arial"/>
          <w:szCs w:val="28"/>
        </w:rPr>
        <w:t>цивільно</w:t>
      </w:r>
      <w:r w:rsidR="004F361F" w:rsidRPr="00511005">
        <w:rPr>
          <w:rFonts w:ascii="Arial" w:eastAsia="Calibri" w:hAnsi="Arial" w:cs="Arial"/>
          <w:szCs w:val="28"/>
          <w:lang w:val="en-US"/>
        </w:rPr>
        <w:t>-</w:t>
      </w:r>
      <w:r w:rsidR="004F361F" w:rsidRPr="00511005">
        <w:rPr>
          <w:rFonts w:ascii="Arial" w:eastAsia="Calibri" w:hAnsi="Arial" w:cs="Arial"/>
          <w:szCs w:val="28"/>
        </w:rPr>
        <w:t>правові</w:t>
      </w:r>
      <w:r w:rsidR="004F361F" w:rsidRPr="00511005">
        <w:rPr>
          <w:rFonts w:ascii="Arial" w:eastAsia="Calibri" w:hAnsi="Arial" w:cs="Arial"/>
          <w:szCs w:val="28"/>
          <w:lang w:val="en-US"/>
        </w:rPr>
        <w:t xml:space="preserve"> </w:t>
      </w:r>
      <w:r w:rsidR="004F361F" w:rsidRPr="00511005">
        <w:rPr>
          <w:rFonts w:ascii="Arial" w:eastAsia="Calibri" w:hAnsi="Arial" w:cs="Arial"/>
          <w:szCs w:val="28"/>
        </w:rPr>
        <w:t>зобов</w:t>
      </w:r>
      <w:r w:rsidR="004F361F" w:rsidRPr="00511005">
        <w:rPr>
          <w:rFonts w:ascii="Arial" w:eastAsia="Calibri" w:hAnsi="Arial" w:cs="Arial"/>
          <w:szCs w:val="28"/>
          <w:lang w:val="en-US"/>
        </w:rPr>
        <w:t>’</w:t>
      </w:r>
      <w:r w:rsidR="004F361F" w:rsidRPr="00511005">
        <w:rPr>
          <w:rFonts w:ascii="Arial" w:eastAsia="Calibri" w:hAnsi="Arial" w:cs="Arial"/>
          <w:szCs w:val="28"/>
        </w:rPr>
        <w:t>язання</w:t>
      </w:r>
      <w:r w:rsidR="004F361F" w:rsidRPr="00511005">
        <w:rPr>
          <w:rFonts w:ascii="Arial" w:eastAsia="Calibri" w:hAnsi="Arial" w:cs="Arial"/>
          <w:szCs w:val="28"/>
          <w:lang w:val="en-US"/>
        </w:rPr>
        <w:t xml:space="preserve">, </w:t>
      </w:r>
      <w:r w:rsidR="004F361F" w:rsidRPr="00511005">
        <w:rPr>
          <w:rFonts w:ascii="Arial" w:eastAsia="Calibri" w:hAnsi="Arial" w:cs="Arial"/>
          <w:szCs w:val="28"/>
        </w:rPr>
        <w:t>форс</w:t>
      </w:r>
      <w:r w:rsidR="004F361F" w:rsidRPr="00511005">
        <w:rPr>
          <w:rFonts w:ascii="Arial" w:eastAsia="Calibri" w:hAnsi="Arial" w:cs="Arial"/>
          <w:szCs w:val="28"/>
          <w:lang w:val="en-US"/>
        </w:rPr>
        <w:t>-</w:t>
      </w:r>
      <w:r w:rsidR="004F361F" w:rsidRPr="00511005">
        <w:rPr>
          <w:rFonts w:ascii="Arial" w:eastAsia="Calibri" w:hAnsi="Arial" w:cs="Arial"/>
          <w:szCs w:val="28"/>
        </w:rPr>
        <w:t>мажор</w:t>
      </w:r>
      <w:r w:rsidR="004F361F" w:rsidRPr="00511005">
        <w:rPr>
          <w:rFonts w:ascii="Arial" w:eastAsia="Calibri" w:hAnsi="Arial" w:cs="Arial"/>
          <w:szCs w:val="28"/>
          <w:lang w:val="en-US"/>
        </w:rPr>
        <w:t xml:space="preserve">, </w:t>
      </w:r>
      <w:r w:rsidR="004F361F" w:rsidRPr="00511005">
        <w:rPr>
          <w:rFonts w:ascii="Arial" w:eastAsia="Calibri" w:hAnsi="Arial" w:cs="Arial"/>
          <w:szCs w:val="28"/>
        </w:rPr>
        <w:t>договори</w:t>
      </w:r>
      <w:r w:rsidR="004F361F" w:rsidRPr="00511005">
        <w:rPr>
          <w:rFonts w:ascii="Arial" w:eastAsia="Calibri" w:hAnsi="Arial" w:cs="Arial"/>
          <w:szCs w:val="28"/>
          <w:lang w:val="en-US"/>
        </w:rPr>
        <w:t xml:space="preserve">, </w:t>
      </w:r>
      <w:r w:rsidR="004F361F" w:rsidRPr="00511005">
        <w:rPr>
          <w:rFonts w:ascii="Arial" w:eastAsia="Calibri" w:hAnsi="Arial" w:cs="Arial"/>
          <w:szCs w:val="28"/>
        </w:rPr>
        <w:t>відповідальність</w:t>
      </w:r>
      <w:r w:rsidR="004F361F" w:rsidRPr="00511005">
        <w:rPr>
          <w:rFonts w:ascii="Arial" w:eastAsia="Calibri" w:hAnsi="Arial" w:cs="Arial"/>
          <w:szCs w:val="28"/>
          <w:lang w:val="en-US"/>
        </w:rPr>
        <w:t xml:space="preserve">, </w:t>
      </w:r>
      <w:r w:rsidR="004F361F" w:rsidRPr="00511005">
        <w:rPr>
          <w:rFonts w:ascii="Arial" w:eastAsia="Calibri" w:hAnsi="Arial" w:cs="Arial"/>
          <w:szCs w:val="28"/>
        </w:rPr>
        <w:t>спадкування</w:t>
      </w:r>
      <w:r w:rsidR="004F361F" w:rsidRPr="00511005">
        <w:rPr>
          <w:rFonts w:ascii="Arial" w:eastAsia="Calibri" w:hAnsi="Arial" w:cs="Arial"/>
          <w:szCs w:val="28"/>
          <w:lang w:val="en-US"/>
        </w:rPr>
        <w:t xml:space="preserve">, </w:t>
      </w:r>
      <w:r w:rsidR="004F361F" w:rsidRPr="00511005">
        <w:rPr>
          <w:rFonts w:ascii="Arial" w:eastAsia="Calibri" w:hAnsi="Arial" w:cs="Arial"/>
          <w:szCs w:val="28"/>
        </w:rPr>
        <w:t>правове</w:t>
      </w:r>
      <w:r w:rsidR="004F361F" w:rsidRPr="00511005">
        <w:rPr>
          <w:rFonts w:ascii="Arial" w:eastAsia="Calibri" w:hAnsi="Arial" w:cs="Arial"/>
          <w:szCs w:val="28"/>
          <w:lang w:val="en-US"/>
        </w:rPr>
        <w:t xml:space="preserve"> </w:t>
      </w:r>
      <w:r w:rsidR="004F361F" w:rsidRPr="00511005">
        <w:rPr>
          <w:rFonts w:ascii="Arial" w:eastAsia="Calibri" w:hAnsi="Arial" w:cs="Arial"/>
          <w:szCs w:val="28"/>
        </w:rPr>
        <w:t>регулювання</w:t>
      </w:r>
      <w:r w:rsidR="004F361F" w:rsidRPr="00511005">
        <w:rPr>
          <w:rFonts w:ascii="Arial" w:eastAsia="Calibri" w:hAnsi="Arial" w:cs="Arial"/>
          <w:szCs w:val="28"/>
          <w:lang w:val="en-US"/>
        </w:rPr>
        <w:t>.</w:t>
      </w:r>
    </w:p>
    <w:p w14:paraId="411E528B" w14:textId="2AB83B26" w:rsidR="004F361F" w:rsidRPr="00511005" w:rsidRDefault="007B2628" w:rsidP="003666FB">
      <w:pPr>
        <w:tabs>
          <w:tab w:val="left" w:pos="993"/>
        </w:tabs>
        <w:spacing w:line="264" w:lineRule="auto"/>
        <w:ind w:firstLine="0"/>
        <w:rPr>
          <w:rFonts w:ascii="Arial" w:eastAsia="Calibri" w:hAnsi="Arial" w:cs="Arial"/>
          <w:szCs w:val="28"/>
          <w:lang w:val="en-US"/>
        </w:rPr>
      </w:pPr>
      <w:r w:rsidRPr="00511005">
        <w:rPr>
          <w:rFonts w:ascii="Arial" w:eastAsia="Calibri" w:hAnsi="Arial" w:cs="Arial"/>
          <w:b/>
          <w:bCs/>
          <w:i/>
          <w:szCs w:val="28"/>
          <w:lang w:val="en-US"/>
        </w:rPr>
        <w:t xml:space="preserve">Key words: </w:t>
      </w:r>
      <w:r w:rsidR="004F361F" w:rsidRPr="00511005">
        <w:rPr>
          <w:rFonts w:ascii="Arial" w:eastAsia="Calibri" w:hAnsi="Arial" w:cs="Arial"/>
          <w:szCs w:val="28"/>
          <w:lang w:val="en-US"/>
        </w:rPr>
        <w:t>martial law, civil law, civil obligations, force majeure, contracts, liability, inheritance, legal regulation.</w:t>
      </w:r>
    </w:p>
    <w:p w14:paraId="435173D7" w14:textId="69E91F50" w:rsidR="004F361F" w:rsidRPr="00511005" w:rsidRDefault="007B2628" w:rsidP="003666FB">
      <w:pPr>
        <w:spacing w:line="264" w:lineRule="auto"/>
        <w:ind w:firstLine="0"/>
        <w:jc w:val="left"/>
        <w:rPr>
          <w:rFonts w:ascii="Arial" w:eastAsia="Calibri" w:hAnsi="Arial" w:cs="Arial"/>
          <w:i/>
          <w:szCs w:val="28"/>
          <w:lang w:val="uk-UA" w:eastAsia="ru-RU"/>
        </w:rPr>
      </w:pPr>
      <w:r w:rsidRPr="00511005">
        <w:rPr>
          <w:rFonts w:ascii="Arial" w:eastAsia="Calibri" w:hAnsi="Arial" w:cs="Arial"/>
          <w:b/>
          <w:i/>
          <w:szCs w:val="28"/>
          <w:lang w:val="uk-UA" w:eastAsia="ru-RU"/>
        </w:rPr>
        <w:t xml:space="preserve">Науковий керівник: </w:t>
      </w:r>
      <w:r w:rsidR="004F361F" w:rsidRPr="00511005">
        <w:rPr>
          <w:rFonts w:ascii="Arial" w:eastAsia="Calibri" w:hAnsi="Arial" w:cs="Arial"/>
          <w:i/>
          <w:szCs w:val="28"/>
          <w:lang w:val="uk-UA" w:eastAsia="ru-RU"/>
        </w:rPr>
        <w:t>к.ю.н., доцент Завальнюк С.В.</w:t>
      </w:r>
    </w:p>
    <w:p w14:paraId="26D5D4AD" w14:textId="77777777" w:rsidR="004F361F" w:rsidRPr="00511005" w:rsidRDefault="004F361F" w:rsidP="003A292D">
      <w:pPr>
        <w:spacing w:line="264" w:lineRule="auto"/>
        <w:ind w:firstLine="0"/>
        <w:rPr>
          <w:rFonts w:ascii="Arial" w:eastAsia="Times New Roman" w:hAnsi="Arial" w:cs="Arial"/>
          <w:szCs w:val="28"/>
          <w:lang w:val="uk-UA" w:eastAsia="ru-RU"/>
        </w:rPr>
      </w:pPr>
    </w:p>
    <w:p w14:paraId="744CB4F4" w14:textId="77777777" w:rsidR="004F361F" w:rsidRPr="00511005" w:rsidRDefault="004F361F" w:rsidP="003A292D">
      <w:pPr>
        <w:spacing w:line="264" w:lineRule="auto"/>
        <w:ind w:firstLine="0"/>
        <w:rPr>
          <w:rFonts w:ascii="Arial" w:eastAsia="Times New Roman" w:hAnsi="Arial" w:cs="Arial"/>
          <w:szCs w:val="28"/>
          <w:lang w:val="uk-UA" w:eastAsia="ru-RU"/>
        </w:rPr>
      </w:pPr>
    </w:p>
    <w:p w14:paraId="3DC6F91D" w14:textId="77777777" w:rsidR="004F361F" w:rsidRPr="00511005" w:rsidRDefault="004F361F" w:rsidP="003A292D">
      <w:pPr>
        <w:spacing w:line="264" w:lineRule="auto"/>
        <w:ind w:firstLine="0"/>
        <w:jc w:val="center"/>
        <w:rPr>
          <w:rFonts w:ascii="Arial" w:eastAsia="Calibri" w:hAnsi="Arial" w:cs="Arial"/>
          <w:b/>
          <w:i/>
          <w:szCs w:val="28"/>
          <w:lang w:val="uk-UA" w:eastAsia="ru-RU"/>
        </w:rPr>
      </w:pPr>
      <w:r w:rsidRPr="00511005">
        <w:rPr>
          <w:rFonts w:ascii="Arial" w:eastAsia="Calibri" w:hAnsi="Arial" w:cs="Arial"/>
          <w:b/>
          <w:i/>
          <w:szCs w:val="28"/>
          <w:lang w:val="uk-UA" w:eastAsia="ru-RU"/>
        </w:rPr>
        <w:t>Лях Владислав Дмитрович</w:t>
      </w:r>
    </w:p>
    <w:p w14:paraId="154FACC6" w14:textId="3854545D" w:rsidR="004F361F" w:rsidRPr="003666FB" w:rsidRDefault="003666FB" w:rsidP="003A292D">
      <w:pPr>
        <w:spacing w:line="264" w:lineRule="auto"/>
        <w:ind w:firstLine="0"/>
        <w:jc w:val="center"/>
        <w:rPr>
          <w:rFonts w:ascii="Arial" w:eastAsia="Calibri" w:hAnsi="Arial" w:cs="Arial"/>
          <w:iCs/>
          <w:szCs w:val="28"/>
          <w:lang w:val="uk-UA" w:eastAsia="ru-RU"/>
        </w:rPr>
      </w:pPr>
      <w:r>
        <w:rPr>
          <w:rFonts w:ascii="Arial" w:eastAsia="Calibri" w:hAnsi="Arial" w:cs="Arial"/>
          <w:iCs/>
          <w:szCs w:val="28"/>
          <w:lang w:val="uk-UA" w:eastAsia="ru-RU"/>
        </w:rPr>
        <w:t>с</w:t>
      </w:r>
      <w:r w:rsidR="00536AAB" w:rsidRPr="003666FB">
        <w:rPr>
          <w:rFonts w:ascii="Arial" w:eastAsia="Calibri" w:hAnsi="Arial" w:cs="Arial"/>
          <w:iCs/>
          <w:szCs w:val="28"/>
          <w:lang w:val="uk-UA" w:eastAsia="ru-RU"/>
        </w:rPr>
        <w:t xml:space="preserve">тудент 3-го курсу </w:t>
      </w:r>
      <w:r w:rsidR="001B7B25" w:rsidRPr="003666FB">
        <w:rPr>
          <w:rFonts w:ascii="Arial" w:eastAsia="Calibri" w:hAnsi="Arial" w:cs="Arial"/>
          <w:iCs/>
          <w:szCs w:val="28"/>
          <w:lang w:val="uk-UA" w:eastAsia="ru-RU"/>
        </w:rPr>
        <w:t>факультету судового та міжнародного права</w:t>
      </w:r>
    </w:p>
    <w:p w14:paraId="2CA3D63D" w14:textId="163538F2" w:rsidR="004F361F" w:rsidRDefault="007B2628" w:rsidP="003A292D">
      <w:pPr>
        <w:spacing w:line="264" w:lineRule="auto"/>
        <w:ind w:firstLine="0"/>
        <w:jc w:val="center"/>
        <w:rPr>
          <w:rFonts w:ascii="Arial" w:eastAsia="Calibri" w:hAnsi="Arial" w:cs="Arial"/>
          <w:iCs/>
          <w:szCs w:val="28"/>
          <w:lang w:val="uk-UA" w:eastAsia="ru-RU"/>
        </w:rPr>
      </w:pPr>
      <w:r w:rsidRPr="003666FB">
        <w:rPr>
          <w:rFonts w:ascii="Arial" w:eastAsia="Calibri" w:hAnsi="Arial" w:cs="Arial"/>
          <w:iCs/>
          <w:szCs w:val="28"/>
          <w:lang w:val="uk-UA" w:eastAsia="ru-RU"/>
        </w:rPr>
        <w:t>Національного університету «Одеська юридична академія»</w:t>
      </w:r>
    </w:p>
    <w:p w14:paraId="12D6687E" w14:textId="77777777" w:rsidR="003666FB" w:rsidRPr="003666FB" w:rsidRDefault="003666FB" w:rsidP="003A292D">
      <w:pPr>
        <w:spacing w:line="264" w:lineRule="auto"/>
        <w:ind w:firstLine="0"/>
        <w:jc w:val="center"/>
        <w:rPr>
          <w:rFonts w:ascii="Arial" w:eastAsia="Calibri" w:hAnsi="Arial" w:cs="Arial"/>
          <w:iCs/>
          <w:szCs w:val="28"/>
          <w:lang w:val="uk-UA" w:eastAsia="ru-RU"/>
        </w:rPr>
      </w:pPr>
    </w:p>
    <w:p w14:paraId="245E9F61" w14:textId="77777777" w:rsidR="004F361F" w:rsidRPr="00511005" w:rsidRDefault="004F361F" w:rsidP="003A292D">
      <w:pPr>
        <w:tabs>
          <w:tab w:val="left" w:pos="7088"/>
        </w:tabs>
        <w:spacing w:line="264" w:lineRule="auto"/>
        <w:ind w:firstLine="0"/>
        <w:jc w:val="center"/>
        <w:rPr>
          <w:rFonts w:ascii="Arial" w:eastAsia="Calibri" w:hAnsi="Arial" w:cs="Arial"/>
          <w:b/>
          <w:szCs w:val="28"/>
          <w:lang w:val="uk-UA" w:eastAsia="ru-RU" w:bidi="uk-UA"/>
        </w:rPr>
      </w:pPr>
      <w:r w:rsidRPr="00511005">
        <w:rPr>
          <w:rFonts w:ascii="Arial" w:eastAsia="Calibri" w:hAnsi="Arial" w:cs="Arial"/>
          <w:b/>
          <w:szCs w:val="28"/>
          <w:lang w:val="uk-UA" w:eastAsia="ru-RU" w:bidi="uk-UA"/>
        </w:rPr>
        <w:t>УНІВЕРСАЛЬНЕ ПРАВОНАСТУПНИЦТВО ЯК РИМСЬКИЙ СПАДКОВИЙ ІНСТИТУТ У ЦИВІЛЬНОМУ ПРАВІ УКРАЇНИ</w:t>
      </w:r>
    </w:p>
    <w:p w14:paraId="5D150F13"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Універсальне правонаступництво як правовий феномен має глибоке історико-юридичне коріння, яке сягає епохи римського приватного права. Саме в рамках римської цивільної традиції було сформульовано та розвинено концепт спадкового правонаступництва, зокрема у формі universalis successio — універсального правонаступництва. Цей інститут, закладений в основі спадкових правовідносин, став зразком для формування інституту спадкування в багатьох континентальних правових системах, включаючи сучасне цивільне право України. У цьому контексті постає потреба у ґрунтовному дослідженні того, як універсальне правонаступництво було сформовано в римському праві, яким чином воно трансформувалося і втілилося в українському правопорядку, а також у виявленні як подібностей, так і принципових розбіжностей між цими правовими моделями.</w:t>
      </w:r>
    </w:p>
    <w:p w14:paraId="0BF026A5"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 xml:space="preserve">У римському праві спадкування розглядалося як продовження особи спадкодавця в юридичному вимірі. Такий підхід зумовив формулювання спадкового правонаступництва саме як універсального. Універсальне правонаступництво означало, що спадкоємець стає правонаступником не окремих прав чи обов’язків, а всієї юридичної особи спадкодавця як єдиного комплексу майнових прав та обов’язків. </w:t>
      </w:r>
    </w:p>
    <w:p w14:paraId="17073A25"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 xml:space="preserve">У момент акцепту спадщини спадкоємець ніби «зливався» з особистістю спадкодавця, продовжуючи його правовий статус у межах майнових відносин. Така модель породжувала важливу юридичну фікцію: спадкоємець мав вважатися тією ж особою, що й спадкодавець, з точки зору майнового статусу. Відповідно, на спадкоємця переходили не лише активи, а й пасиви — борги, зобов’язання, вимоги, і навіть ті обов’язки, які носили приватний характер, але не були суто особистими [1, </w:t>
      </w:r>
      <w:r w:rsidRPr="00511005">
        <w:rPr>
          <w:rFonts w:ascii="Arial" w:eastAsia="Calibri" w:hAnsi="Arial" w:cs="Arial"/>
          <w:szCs w:val="28"/>
          <w:lang w:val="en-US" w:eastAsia="ru-RU" w:bidi="uk-UA"/>
        </w:rPr>
        <w:t>c</w:t>
      </w:r>
      <w:r w:rsidRPr="00511005">
        <w:rPr>
          <w:rFonts w:ascii="Arial" w:eastAsia="Calibri" w:hAnsi="Arial" w:cs="Arial"/>
          <w:szCs w:val="28"/>
          <w:lang w:val="uk-UA" w:eastAsia="ru-RU" w:bidi="uk-UA"/>
        </w:rPr>
        <w:t>.43].</w:t>
      </w:r>
    </w:p>
    <w:p w14:paraId="0B4E6BBF"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 xml:space="preserve">У класичному римському праві спадкування поділялося на два головні типи: спадкування за законом (ab intestato) та спадкування за заповітом (ex testamento). Незалежно від форми спадкування, правонаступництво мало універсальний характер. Заповіт або порядок заклику до спадкування визначали лише черговість, але не впливали на характер правонаступництва. Важливо підкреслити, що римське право визнавало й можливість так званого кумулятивного спадкування кількома особами, </w:t>
      </w:r>
      <w:r w:rsidRPr="00511005">
        <w:rPr>
          <w:rFonts w:ascii="Arial" w:eastAsia="Calibri" w:hAnsi="Arial" w:cs="Arial"/>
          <w:szCs w:val="28"/>
          <w:lang w:val="uk-UA" w:eastAsia="ru-RU" w:bidi="uk-UA"/>
        </w:rPr>
        <w:lastRenderedPageBreak/>
        <w:t>кожна з яких ставала спадкоємцем у частці спадщини, і в межах своєї частки набувала універсального правонаступництва.</w:t>
      </w:r>
    </w:p>
    <w:p w14:paraId="5A882ABE"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Універсальне правонаступництво в римському праві мало чітко визначені процесуальні й матеріально-правові наслідки. Так, спадкоємець отримував право вчиняти юридичні дії від імені спадкодавця, зокрема продовжувати процеси, розпочаті спадкодавцем, або розпочинати нові з приводу зобов’язань, що виникли до смерті. Разом із тим спадкоємець міг прийняти спадщину або від неї відмовитися. Цей вибір здійснювався за допомогою акцепту — acceptatio hereditatis — юридичної дії, яка фіксувала волевиявлення особи стати спадкоємцем. Прийняття спадщини було необхідною умовою набуття статусу universalis successor. Натомість без акцепту ніяке правонаступництво не виникало, навіть за наявності заповіту. Тим самим акцент робився на принципі автономії волі, що став одним із засадничих у римській спадковій доктрині.</w:t>
      </w:r>
    </w:p>
    <w:p w14:paraId="34DCA93E"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 xml:space="preserve">У порівнянні з римською спадковою традицією, сучасне цивільне право України значною мірою запозичило концепцію універсального правонаступництва, однак адаптувало її до потреб сучасного правового обігу. Відповідно до положень Цивільного кодексу України, спадкування визнається універсальним правонаступництвом, у силу якого до спадкоємця переходять усі права й обов’язки спадкодавця, крім тих, що є невіддільно пов’язаними з особою останнього або припиняються з його смертю. Такий підхід формально зберігає римську ідею повноти правонаступництва, водночас із урахуванням обмежень, продиктованих принципом персональності деяких прав [2, </w:t>
      </w:r>
      <w:r w:rsidRPr="00511005">
        <w:rPr>
          <w:rFonts w:ascii="Arial" w:eastAsia="Calibri" w:hAnsi="Arial" w:cs="Arial"/>
          <w:szCs w:val="28"/>
          <w:lang w:val="en-US" w:eastAsia="ru-RU" w:bidi="uk-UA"/>
        </w:rPr>
        <w:t>c</w:t>
      </w:r>
      <w:r w:rsidRPr="00511005">
        <w:rPr>
          <w:rFonts w:ascii="Arial" w:eastAsia="Calibri" w:hAnsi="Arial" w:cs="Arial"/>
          <w:szCs w:val="28"/>
          <w:lang w:val="uk-UA" w:eastAsia="ru-RU" w:bidi="uk-UA"/>
        </w:rPr>
        <w:t>.40].</w:t>
      </w:r>
    </w:p>
    <w:p w14:paraId="105590C9"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Українське законодавство визнає як спадкування за законом, так і спадкування за заповітом. При цьому в обох випадках механізм переходу прав є універсальним. Спадкоємець, незалежно від підстав набуття спадщини, входить у весь комплекс прав і обов’язків, що належали спадкодавцеві, в межах його частки у спадщині. Таким чином, аналогічно до римського права, кожен із спадкоємців за загальним правилом стає універсальним правонаступником у межах своєї спадкової частки. Проте на відміну від римської моделі, в якій правонаступництво могло відбутися лише після активного прийняття спадщини, українське законодавство визнає й так звану фактичну акцептацію спадщини, тобто вчинення дій, що свідчать про волю особи прийняти спадщину.</w:t>
      </w:r>
    </w:p>
    <w:p w14:paraId="3DA019A7"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 xml:space="preserve">Окрему увагу заслуговує інститут відповідальності спадкоємця за боргами спадкодавця, який є важливим елементом концепції універсального правонаступництва. У римському праві діяла норма про необмежену відповідальність спадкоємця: приймаючи спадщину, спадкоємець відповідав за всі зобов’язання спадкодавця своїм особистим майном. Лише пізніше була введена можливість beneficium inventarii — бенефіція інвентаризації, яка дозволяла обмежити відповідальність розміром </w:t>
      </w:r>
      <w:r w:rsidRPr="00511005">
        <w:rPr>
          <w:rFonts w:ascii="Arial" w:eastAsia="Calibri" w:hAnsi="Arial" w:cs="Arial"/>
          <w:szCs w:val="28"/>
          <w:lang w:val="uk-UA" w:eastAsia="ru-RU" w:bidi="uk-UA"/>
        </w:rPr>
        <w:lastRenderedPageBreak/>
        <w:t>одержаного майна. У сучасному українському праві відповідальність спадкоємця за боргами спадкодавця прямо обмежена розміром вартості спадкового майна. Таким чином, закріплено презумпцію обмеженої відповідальності, що відповідає потребам правової безпеки та соціального захисту спадкоємця.</w:t>
      </w:r>
    </w:p>
    <w:p w14:paraId="42050312"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Порівнюючи процесуальні аспекти спадкового правонаступництва, слід зазначити, що римське право мало значно простішу систему прийняття спадщини, однак не менш жорстку внаслідок суворого підходу до строків акцепту. Пропущення строків означало втрату права спадкування. У сучасному українському праві передбачено шестимісячний строк на прийняття спадщини, причому суд може поновити цей строк у разі поважних причин. У цьому виявляється тенденція до гуманізації правового регулювання, яка відрізняє сучасну модель від класичного римського підходу, орієнтованого на формалізм.</w:t>
      </w:r>
    </w:p>
    <w:p w14:paraId="5553967D"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 xml:space="preserve">Юридична природа універсального правонаступництва в римському праві опиралася на ідею спадкоємця як alter ego спадкодавця. У цій моделі не існувало чіткого розмежування між особою спадкодавця і спадкоємця в межах правонаступництва. У сучасному праві України спадкоємець розглядається як новий суб’єкт, що набуває комплекс прав і обов’язків, але без повного ототожнення з правовою особистістю спадкодавця. Це обумовлено розвитком доктрини правосуб’єктності, згідно з якою кожна фізична особа є самостійним носієм цивільних прав і обов’язків, незалежно від спадкових зв’язків [3, </w:t>
      </w:r>
      <w:r w:rsidRPr="00511005">
        <w:rPr>
          <w:rFonts w:ascii="Arial" w:eastAsia="Calibri" w:hAnsi="Arial" w:cs="Arial"/>
          <w:szCs w:val="28"/>
          <w:lang w:val="en-US" w:eastAsia="ru-RU" w:bidi="uk-UA"/>
        </w:rPr>
        <w:t>c</w:t>
      </w:r>
      <w:r w:rsidRPr="00511005">
        <w:rPr>
          <w:rFonts w:ascii="Arial" w:eastAsia="Calibri" w:hAnsi="Arial" w:cs="Arial"/>
          <w:szCs w:val="28"/>
          <w:lang w:val="uk-UA" w:eastAsia="ru-RU" w:bidi="uk-UA"/>
        </w:rPr>
        <w:t>.142].</w:t>
      </w:r>
    </w:p>
    <w:p w14:paraId="02C12829"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Важливо також наголосити, що в римському праві спадкування мало не лише юридичний, а й сакральний зміст, оскільки спадкоємець часто набував також обов’язків щодо культу предків, управління домашнім вогнищем (penates), виконання релігійних ритуалів. У сучасному українському праві такого сакрального або морального аспекту спадкування не передбачено, що свідчить про секуляризацію інституту спадкування і зосередження на майново-правовому компоненті.</w:t>
      </w:r>
    </w:p>
    <w:p w14:paraId="472E4BD7" w14:textId="77777777" w:rsidR="004F361F" w:rsidRPr="00511005"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Ще однією суттєвою відмінністю є статус юридичних осіб у спадковому праві. У римському праві інститут спадкування був доступний лише для фізичних осіб, і поняття юридичної особи не охоплювалося спадковими правовідносинами. У сучасному цивільному праві України можливе встановлення спадкоємця-юридичної особи, якщо це передбачено заповітом. Водночас універсальне правонаступництво у випадку реорганізації юридичних осіб також трактується як спадковоподібна трансмісія прав і обов’язків, що є розвитком римської ідеї в інституційно нових умовах.</w:t>
      </w:r>
    </w:p>
    <w:p w14:paraId="5620519F" w14:textId="467375AD" w:rsidR="004F361F" w:rsidRDefault="004F361F" w:rsidP="003A292D">
      <w:pPr>
        <w:tabs>
          <w:tab w:val="left" w:pos="7088"/>
        </w:tabs>
        <w:spacing w:line="264" w:lineRule="auto"/>
        <w:rPr>
          <w:rFonts w:ascii="Arial" w:eastAsia="Calibri" w:hAnsi="Arial" w:cs="Arial"/>
          <w:szCs w:val="28"/>
          <w:lang w:val="uk-UA" w:eastAsia="ru-RU" w:bidi="uk-UA"/>
        </w:rPr>
      </w:pPr>
      <w:r w:rsidRPr="00511005">
        <w:rPr>
          <w:rFonts w:ascii="Arial" w:eastAsia="Calibri" w:hAnsi="Arial" w:cs="Arial"/>
          <w:szCs w:val="28"/>
          <w:lang w:val="uk-UA" w:eastAsia="ru-RU" w:bidi="uk-UA"/>
        </w:rPr>
        <w:t xml:space="preserve">Узагальнюючи викладене, можна зробити висновок, що універсальне правонаступництво як спадковий інститут римського права стало теоретичною та конструктивною основою для формування сучасної </w:t>
      </w:r>
      <w:r w:rsidRPr="00511005">
        <w:rPr>
          <w:rFonts w:ascii="Arial" w:eastAsia="Calibri" w:hAnsi="Arial" w:cs="Arial"/>
          <w:szCs w:val="28"/>
          <w:lang w:val="uk-UA" w:eastAsia="ru-RU" w:bidi="uk-UA"/>
        </w:rPr>
        <w:lastRenderedPageBreak/>
        <w:t>спадкової моделі в цивільному праві України. Основні засади цього правового явища — цілісність переходу майнових прав та обов’язків, акцепт спадщини як умова набуття статусу спадкоємця, а також правова спадковість між особами — зберегли актуальність і дотепер. Водночас українське законодавство істотно трансформувало римську концепцію, адаптуючи її до вимог правової визначеності, соціального балансу й принципу справедливості.</w:t>
      </w:r>
      <w:r w:rsidR="007B2628" w:rsidRPr="00511005">
        <w:rPr>
          <w:rFonts w:ascii="Arial" w:eastAsia="Calibri" w:hAnsi="Arial" w:cs="Arial"/>
          <w:szCs w:val="28"/>
          <w:lang w:val="uk-UA" w:eastAsia="ru-RU" w:bidi="uk-UA"/>
        </w:rPr>
        <w:t xml:space="preserve"> </w:t>
      </w:r>
    </w:p>
    <w:p w14:paraId="567647C3" w14:textId="77777777" w:rsidR="003666FB" w:rsidRPr="00511005" w:rsidRDefault="003666FB" w:rsidP="003A292D">
      <w:pPr>
        <w:tabs>
          <w:tab w:val="left" w:pos="7088"/>
        </w:tabs>
        <w:spacing w:line="264" w:lineRule="auto"/>
        <w:rPr>
          <w:rFonts w:ascii="Arial" w:eastAsia="Calibri" w:hAnsi="Arial" w:cs="Arial"/>
          <w:b/>
          <w:szCs w:val="28"/>
          <w:lang w:val="uk-UA" w:eastAsia="ru-RU" w:bidi="uk-UA"/>
        </w:rPr>
      </w:pPr>
    </w:p>
    <w:p w14:paraId="30E81B6D" w14:textId="7B822738" w:rsidR="004F361F" w:rsidRPr="003666FB" w:rsidRDefault="007B2628" w:rsidP="007B2628">
      <w:pPr>
        <w:tabs>
          <w:tab w:val="left" w:pos="7088"/>
        </w:tabs>
        <w:spacing w:line="264" w:lineRule="auto"/>
        <w:jc w:val="center"/>
        <w:rPr>
          <w:rFonts w:ascii="Arial" w:eastAsia="Calibri" w:hAnsi="Arial" w:cs="Arial"/>
          <w:b/>
          <w:szCs w:val="28"/>
          <w:lang w:val="uk-UA" w:eastAsia="ru-RU" w:bidi="uk-UA"/>
        </w:rPr>
      </w:pPr>
      <w:r w:rsidRPr="003666FB">
        <w:rPr>
          <w:rFonts w:ascii="Arial" w:eastAsia="Calibri" w:hAnsi="Arial" w:cs="Arial"/>
          <w:b/>
          <w:szCs w:val="28"/>
          <w:lang w:val="uk-UA" w:eastAsia="ru-RU" w:bidi="uk-UA"/>
        </w:rPr>
        <w:t>Список використаних джерел</w:t>
      </w:r>
    </w:p>
    <w:p w14:paraId="5370F632" w14:textId="77777777" w:rsidR="004F361F" w:rsidRPr="00511005" w:rsidRDefault="004F361F" w:rsidP="003F6A5D">
      <w:pPr>
        <w:numPr>
          <w:ilvl w:val="0"/>
          <w:numId w:val="334"/>
        </w:numPr>
        <w:tabs>
          <w:tab w:val="left" w:pos="993"/>
        </w:tabs>
        <w:spacing w:line="264" w:lineRule="auto"/>
        <w:ind w:left="0" w:firstLine="709"/>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 xml:space="preserve">Кухарєв О. Є. Догматична конструкція універсального правонаступництва у сфері спадкового права. Вісник Харківського національного університету внутрішніх справ. 2020. № 3 (90). С. 40-49. </w:t>
      </w:r>
    </w:p>
    <w:p w14:paraId="2FA1AE96" w14:textId="0B69F6EB" w:rsidR="004F361F" w:rsidRPr="00511005" w:rsidRDefault="004F361F" w:rsidP="003F6A5D">
      <w:pPr>
        <w:numPr>
          <w:ilvl w:val="0"/>
          <w:numId w:val="334"/>
        </w:numPr>
        <w:tabs>
          <w:tab w:val="left" w:pos="993"/>
        </w:tabs>
        <w:spacing w:line="264" w:lineRule="auto"/>
        <w:ind w:left="0" w:firstLine="709"/>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Кіцила О. В. Категорія правонаступництва в цивільному праві України. Інноваційні дослідження та перспективи розвитку науки і техніки у ХХІ столітті. Рівне : ВПНЗ "МЕГУ", 2023.</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Ч 2.</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 xml:space="preserve">С. 39-42. </w:t>
      </w:r>
      <w:r w:rsidRPr="00511005">
        <w:rPr>
          <w:rFonts w:ascii="Arial" w:eastAsia="Calibri" w:hAnsi="Arial" w:cs="Arial"/>
          <w:szCs w:val="28"/>
          <w:lang w:val="en-US" w:eastAsia="ru-RU"/>
        </w:rPr>
        <w:t>URL</w:t>
      </w:r>
      <w:r w:rsidRPr="00511005">
        <w:rPr>
          <w:rFonts w:ascii="Arial" w:eastAsia="Calibri" w:hAnsi="Arial" w:cs="Arial"/>
          <w:szCs w:val="28"/>
          <w:lang w:val="uk-UA" w:eastAsia="ru-RU"/>
        </w:rPr>
        <w:t xml:space="preserve">: </w:t>
      </w:r>
      <w:hyperlink r:id="rId1305" w:history="1">
        <w:r w:rsidRPr="00511005">
          <w:rPr>
            <w:rFonts w:ascii="Arial" w:eastAsia="Calibri" w:hAnsi="Arial" w:cs="Arial"/>
            <w:szCs w:val="28"/>
            <w:lang w:val="uk-UA" w:eastAsia="ru-RU"/>
          </w:rPr>
          <w:t>https://dspace.megu.edu.ua:8443/jspui/handle/123456789/4431</w:t>
        </w:r>
      </w:hyperlink>
      <w:r w:rsidRPr="00511005">
        <w:rPr>
          <w:rFonts w:ascii="Arial" w:eastAsia="Calibri" w:hAnsi="Arial" w:cs="Arial"/>
          <w:szCs w:val="28"/>
          <w:lang w:val="uk-UA" w:eastAsia="ru-RU"/>
        </w:rPr>
        <w:t xml:space="preserve"> </w:t>
      </w:r>
    </w:p>
    <w:p w14:paraId="68B382D6" w14:textId="77777777" w:rsidR="004F361F" w:rsidRPr="00511005" w:rsidRDefault="004F361F" w:rsidP="003F6A5D">
      <w:pPr>
        <w:numPr>
          <w:ilvl w:val="0"/>
          <w:numId w:val="334"/>
        </w:numPr>
        <w:tabs>
          <w:tab w:val="left" w:pos="993"/>
        </w:tabs>
        <w:spacing w:line="264" w:lineRule="auto"/>
        <w:ind w:left="0" w:firstLine="709"/>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Круглик В.В. Поняття та юридична природа процесуального правонаступництва. </w:t>
      </w:r>
      <w:r w:rsidRPr="00511005">
        <w:rPr>
          <w:rFonts w:ascii="Arial" w:eastAsia="Calibri" w:hAnsi="Arial" w:cs="Arial"/>
          <w:i/>
          <w:iCs/>
          <w:szCs w:val="28"/>
          <w:lang w:val="uk-UA" w:eastAsia="ru-RU"/>
        </w:rPr>
        <w:t>Нове українське право</w:t>
      </w:r>
      <w:r w:rsidRPr="00511005">
        <w:rPr>
          <w:rFonts w:ascii="Arial" w:eastAsia="Calibri" w:hAnsi="Arial" w:cs="Arial"/>
          <w:szCs w:val="28"/>
          <w:lang w:val="uk-UA" w:eastAsia="ru-RU"/>
        </w:rPr>
        <w:t xml:space="preserve"> 1 (2024): 139-144. </w:t>
      </w:r>
      <w:r w:rsidRPr="00511005">
        <w:rPr>
          <w:rFonts w:ascii="Arial" w:eastAsia="Calibri" w:hAnsi="Arial" w:cs="Arial"/>
          <w:szCs w:val="28"/>
          <w:lang w:val="en-US" w:eastAsia="ru-RU"/>
        </w:rPr>
        <w:t>URL</w:t>
      </w:r>
      <w:r w:rsidRPr="00511005">
        <w:rPr>
          <w:rFonts w:ascii="Arial" w:eastAsia="Calibri" w:hAnsi="Arial" w:cs="Arial"/>
          <w:szCs w:val="28"/>
          <w:lang w:val="uk-UA" w:eastAsia="ru-RU"/>
        </w:rPr>
        <w:t xml:space="preserve">: </w:t>
      </w:r>
      <w:hyperlink r:id="rId1306" w:history="1">
        <w:r w:rsidRPr="00511005">
          <w:rPr>
            <w:rFonts w:ascii="Arial" w:eastAsia="Calibri" w:hAnsi="Arial" w:cs="Arial"/>
            <w:szCs w:val="28"/>
            <w:lang w:val="en-US" w:eastAsia="ru-RU"/>
          </w:rPr>
          <w:t>http</w:t>
        </w:r>
        <w:r w:rsidRPr="00511005">
          <w:rPr>
            <w:rFonts w:ascii="Arial" w:eastAsia="Calibri" w:hAnsi="Arial" w:cs="Arial"/>
            <w:szCs w:val="28"/>
            <w:lang w:val="uk-UA" w:eastAsia="ru-RU"/>
          </w:rPr>
          <w:t>://</w:t>
        </w:r>
        <w:r w:rsidRPr="00511005">
          <w:rPr>
            <w:rFonts w:ascii="Arial" w:eastAsia="Calibri" w:hAnsi="Arial" w:cs="Arial"/>
            <w:szCs w:val="28"/>
            <w:lang w:val="en-US" w:eastAsia="ru-RU"/>
          </w:rPr>
          <w:t>newukrainianlaw</w:t>
        </w:r>
        <w:r w:rsidRPr="00511005">
          <w:rPr>
            <w:rFonts w:ascii="Arial" w:eastAsia="Calibri" w:hAnsi="Arial" w:cs="Arial"/>
            <w:szCs w:val="28"/>
            <w:lang w:val="uk-UA" w:eastAsia="ru-RU"/>
          </w:rPr>
          <w:t>.</w:t>
        </w:r>
        <w:r w:rsidRPr="00511005">
          <w:rPr>
            <w:rFonts w:ascii="Arial" w:eastAsia="Calibri" w:hAnsi="Arial" w:cs="Arial"/>
            <w:szCs w:val="28"/>
            <w:lang w:val="en-US" w:eastAsia="ru-RU"/>
          </w:rPr>
          <w:t>in</w:t>
        </w:r>
        <w:r w:rsidRPr="00511005">
          <w:rPr>
            <w:rFonts w:ascii="Arial" w:eastAsia="Calibri" w:hAnsi="Arial" w:cs="Arial"/>
            <w:szCs w:val="28"/>
            <w:lang w:val="uk-UA" w:eastAsia="ru-RU"/>
          </w:rPr>
          <w:t>.</w:t>
        </w:r>
        <w:r w:rsidRPr="00511005">
          <w:rPr>
            <w:rFonts w:ascii="Arial" w:eastAsia="Calibri" w:hAnsi="Arial" w:cs="Arial"/>
            <w:szCs w:val="28"/>
            <w:lang w:val="en-US" w:eastAsia="ru-RU"/>
          </w:rPr>
          <w:t>ua</w:t>
        </w:r>
        <w:r w:rsidRPr="00511005">
          <w:rPr>
            <w:rFonts w:ascii="Arial" w:eastAsia="Calibri" w:hAnsi="Arial" w:cs="Arial"/>
            <w:szCs w:val="28"/>
            <w:lang w:val="uk-UA" w:eastAsia="ru-RU"/>
          </w:rPr>
          <w:t>/</w:t>
        </w:r>
        <w:r w:rsidRPr="00511005">
          <w:rPr>
            <w:rFonts w:ascii="Arial" w:eastAsia="Calibri" w:hAnsi="Arial" w:cs="Arial"/>
            <w:szCs w:val="28"/>
            <w:lang w:val="en-US" w:eastAsia="ru-RU"/>
          </w:rPr>
          <w:t>index</w:t>
        </w:r>
        <w:r w:rsidRPr="00511005">
          <w:rPr>
            <w:rFonts w:ascii="Arial" w:eastAsia="Calibri" w:hAnsi="Arial" w:cs="Arial"/>
            <w:szCs w:val="28"/>
            <w:lang w:val="uk-UA" w:eastAsia="ru-RU"/>
          </w:rPr>
          <w:t>.</w:t>
        </w:r>
        <w:r w:rsidRPr="00511005">
          <w:rPr>
            <w:rFonts w:ascii="Arial" w:eastAsia="Calibri" w:hAnsi="Arial" w:cs="Arial"/>
            <w:szCs w:val="28"/>
            <w:lang w:val="en-US" w:eastAsia="ru-RU"/>
          </w:rPr>
          <w:t>php</w:t>
        </w:r>
        <w:r w:rsidRPr="00511005">
          <w:rPr>
            <w:rFonts w:ascii="Arial" w:eastAsia="Calibri" w:hAnsi="Arial" w:cs="Arial"/>
            <w:szCs w:val="28"/>
            <w:lang w:val="uk-UA" w:eastAsia="ru-RU"/>
          </w:rPr>
          <w:t>/</w:t>
        </w:r>
        <w:r w:rsidRPr="00511005">
          <w:rPr>
            <w:rFonts w:ascii="Arial" w:eastAsia="Calibri" w:hAnsi="Arial" w:cs="Arial"/>
            <w:szCs w:val="28"/>
            <w:lang w:val="en-US" w:eastAsia="ru-RU"/>
          </w:rPr>
          <w:t>journal</w:t>
        </w:r>
        <w:r w:rsidRPr="00511005">
          <w:rPr>
            <w:rFonts w:ascii="Arial" w:eastAsia="Calibri" w:hAnsi="Arial" w:cs="Arial"/>
            <w:szCs w:val="28"/>
            <w:lang w:val="uk-UA" w:eastAsia="ru-RU"/>
          </w:rPr>
          <w:t>/</w:t>
        </w:r>
        <w:r w:rsidRPr="00511005">
          <w:rPr>
            <w:rFonts w:ascii="Arial" w:eastAsia="Calibri" w:hAnsi="Arial" w:cs="Arial"/>
            <w:szCs w:val="28"/>
            <w:lang w:val="en-US" w:eastAsia="ru-RU"/>
          </w:rPr>
          <w:t>article</w:t>
        </w:r>
        <w:r w:rsidRPr="00511005">
          <w:rPr>
            <w:rFonts w:ascii="Arial" w:eastAsia="Calibri" w:hAnsi="Arial" w:cs="Arial"/>
            <w:szCs w:val="28"/>
            <w:lang w:val="uk-UA" w:eastAsia="ru-RU"/>
          </w:rPr>
          <w:t>/</w:t>
        </w:r>
        <w:r w:rsidRPr="00511005">
          <w:rPr>
            <w:rFonts w:ascii="Arial" w:eastAsia="Calibri" w:hAnsi="Arial" w:cs="Arial"/>
            <w:szCs w:val="28"/>
            <w:lang w:val="en-US" w:eastAsia="ru-RU"/>
          </w:rPr>
          <w:t>download</w:t>
        </w:r>
        <w:r w:rsidRPr="00511005">
          <w:rPr>
            <w:rFonts w:ascii="Arial" w:eastAsia="Calibri" w:hAnsi="Arial" w:cs="Arial"/>
            <w:szCs w:val="28"/>
            <w:lang w:val="uk-UA" w:eastAsia="ru-RU"/>
          </w:rPr>
          <w:t>/572/520</w:t>
        </w:r>
      </w:hyperlink>
      <w:r w:rsidRPr="00511005">
        <w:rPr>
          <w:rFonts w:ascii="Arial" w:eastAsia="Calibri" w:hAnsi="Arial" w:cs="Arial"/>
          <w:szCs w:val="28"/>
          <w:lang w:val="uk-UA" w:eastAsia="ru-RU"/>
        </w:rPr>
        <w:t xml:space="preserve"> </w:t>
      </w:r>
    </w:p>
    <w:p w14:paraId="49AF3D7C" w14:textId="77777777" w:rsidR="004F361F" w:rsidRPr="00511005" w:rsidRDefault="004F361F" w:rsidP="003A292D">
      <w:pPr>
        <w:spacing w:line="264" w:lineRule="auto"/>
        <w:contextualSpacing/>
        <w:jc w:val="left"/>
        <w:rPr>
          <w:rFonts w:ascii="Arial" w:eastAsia="Calibri" w:hAnsi="Arial" w:cs="Arial"/>
          <w:b/>
          <w:szCs w:val="28"/>
          <w:lang w:val="uk-UA" w:eastAsia="uk-UA"/>
        </w:rPr>
      </w:pPr>
    </w:p>
    <w:p w14:paraId="62D68D8B" w14:textId="4EE3799F" w:rsidR="004F361F" w:rsidRPr="00511005" w:rsidRDefault="007B2628" w:rsidP="003A292D">
      <w:pPr>
        <w:tabs>
          <w:tab w:val="left" w:pos="7088"/>
        </w:tabs>
        <w:spacing w:line="264" w:lineRule="auto"/>
        <w:rPr>
          <w:rFonts w:ascii="Arial" w:eastAsia="Calibri" w:hAnsi="Arial" w:cs="Arial"/>
          <w:szCs w:val="28"/>
          <w:lang w:val="uk-UA" w:eastAsia="ru-RU"/>
        </w:rPr>
      </w:pPr>
      <w:r w:rsidRPr="00511005">
        <w:rPr>
          <w:rFonts w:ascii="Arial" w:eastAsia="Calibri" w:hAnsi="Arial" w:cs="Arial"/>
          <w:b/>
          <w:i/>
          <w:szCs w:val="28"/>
          <w:lang w:val="uk-UA" w:eastAsia="ru-RU"/>
        </w:rPr>
        <w:t xml:space="preserve">Ключові слова: </w:t>
      </w:r>
      <w:r w:rsidR="004F361F" w:rsidRPr="00511005">
        <w:rPr>
          <w:rFonts w:ascii="Arial" w:eastAsia="Calibri" w:hAnsi="Arial" w:cs="Arial"/>
          <w:szCs w:val="28"/>
          <w:lang w:val="uk-UA" w:eastAsia="ru-RU"/>
        </w:rPr>
        <w:t xml:space="preserve">універсальне правонаступництво, спадкове право, римське право, спадщина, цивільне право України, спадкоємець, акцепт спадщини. </w:t>
      </w:r>
    </w:p>
    <w:p w14:paraId="5C0102FB" w14:textId="537E562F" w:rsidR="004F361F" w:rsidRPr="00511005" w:rsidRDefault="007B2628" w:rsidP="003A292D">
      <w:pPr>
        <w:tabs>
          <w:tab w:val="left" w:pos="7088"/>
        </w:tabs>
        <w:spacing w:line="264" w:lineRule="auto"/>
        <w:rPr>
          <w:rFonts w:ascii="Arial" w:eastAsia="Calibri" w:hAnsi="Arial" w:cs="Arial"/>
          <w:szCs w:val="28"/>
          <w:lang w:val="en-US" w:eastAsia="ru-RU"/>
        </w:rPr>
      </w:pPr>
      <w:r w:rsidRPr="00511005">
        <w:rPr>
          <w:rFonts w:ascii="Arial" w:eastAsia="Calibri" w:hAnsi="Arial" w:cs="Arial"/>
          <w:b/>
          <w:i/>
          <w:szCs w:val="28"/>
          <w:lang w:val="en-US" w:eastAsia="ru-RU"/>
        </w:rPr>
        <w:t xml:space="preserve">Key words: </w:t>
      </w:r>
      <w:r w:rsidR="004F361F" w:rsidRPr="00511005">
        <w:rPr>
          <w:rFonts w:ascii="Arial" w:eastAsia="Calibri" w:hAnsi="Arial" w:cs="Arial"/>
          <w:szCs w:val="28"/>
          <w:lang w:val="en-US" w:eastAsia="ru-RU"/>
        </w:rPr>
        <w:t>universal succession, inheritance law, Roman law, inheritance, civil law of Ukraine, heir, acceptance of inheritance</w:t>
      </w:r>
    </w:p>
    <w:p w14:paraId="2DDC5032" w14:textId="0CF5EA44" w:rsidR="004F361F" w:rsidRPr="00511005" w:rsidRDefault="007B2628" w:rsidP="003666FB">
      <w:pPr>
        <w:spacing w:line="264" w:lineRule="auto"/>
        <w:ind w:firstLine="708"/>
        <w:jc w:val="left"/>
        <w:rPr>
          <w:rFonts w:ascii="Arial" w:eastAsia="Calibri" w:hAnsi="Arial" w:cs="Arial"/>
          <w:i/>
          <w:szCs w:val="28"/>
          <w:lang w:val="uk-UA" w:eastAsia="ru-RU"/>
        </w:rPr>
      </w:pPr>
      <w:r w:rsidRPr="00511005">
        <w:rPr>
          <w:rFonts w:ascii="Arial" w:eastAsia="Calibri" w:hAnsi="Arial" w:cs="Arial"/>
          <w:b/>
          <w:i/>
          <w:szCs w:val="28"/>
          <w:lang w:val="uk-UA" w:eastAsia="ru-RU"/>
        </w:rPr>
        <w:t xml:space="preserve">Науковий керівник: </w:t>
      </w:r>
      <w:r w:rsidR="004F361F" w:rsidRPr="00511005">
        <w:rPr>
          <w:rFonts w:ascii="Arial" w:eastAsia="Calibri" w:hAnsi="Arial" w:cs="Arial"/>
          <w:i/>
          <w:szCs w:val="28"/>
          <w:lang w:val="uk-UA" w:eastAsia="ru-RU"/>
        </w:rPr>
        <w:t>к.ю.н., доцент Павлова В.Г.</w:t>
      </w:r>
    </w:p>
    <w:p w14:paraId="77FD4F0D" w14:textId="77777777" w:rsidR="004F361F" w:rsidRPr="00511005" w:rsidRDefault="004F361F" w:rsidP="003A292D">
      <w:pPr>
        <w:spacing w:line="264" w:lineRule="auto"/>
        <w:ind w:firstLine="0"/>
        <w:rPr>
          <w:rFonts w:ascii="Arial" w:eastAsia="Calibri" w:hAnsi="Arial" w:cs="Arial"/>
          <w:szCs w:val="28"/>
          <w:lang w:val="uk-UA" w:eastAsia="ru-RU" w:bidi="uk-UA"/>
        </w:rPr>
      </w:pPr>
    </w:p>
    <w:p w14:paraId="4BCE8B1A" w14:textId="77777777" w:rsidR="004F361F" w:rsidRPr="00511005" w:rsidRDefault="004F361F" w:rsidP="003A292D">
      <w:pPr>
        <w:spacing w:line="264" w:lineRule="auto"/>
        <w:ind w:firstLine="0"/>
        <w:rPr>
          <w:rFonts w:ascii="Arial" w:eastAsia="Calibri" w:hAnsi="Arial" w:cs="Arial"/>
          <w:szCs w:val="28"/>
          <w:lang w:eastAsia="ru-RU" w:bidi="uk-UA"/>
        </w:rPr>
      </w:pPr>
    </w:p>
    <w:p w14:paraId="4DBB3524" w14:textId="77777777" w:rsidR="004F361F" w:rsidRPr="003666FB" w:rsidRDefault="004F361F" w:rsidP="003A292D">
      <w:pPr>
        <w:spacing w:line="264" w:lineRule="auto"/>
        <w:ind w:firstLine="0"/>
        <w:jc w:val="center"/>
        <w:rPr>
          <w:rFonts w:ascii="Arial" w:eastAsia="Calibri" w:hAnsi="Arial" w:cs="Arial"/>
          <w:b/>
          <w:i/>
          <w:iCs/>
          <w:szCs w:val="28"/>
          <w:lang w:val="uk-UA" w:eastAsia="ru-RU"/>
        </w:rPr>
      </w:pPr>
      <w:r w:rsidRPr="003666FB">
        <w:rPr>
          <w:rFonts w:ascii="Arial" w:eastAsia="Calibri" w:hAnsi="Arial" w:cs="Arial"/>
          <w:b/>
          <w:i/>
          <w:iCs/>
          <w:szCs w:val="28"/>
          <w:lang w:val="uk-UA" w:eastAsia="ru-RU"/>
        </w:rPr>
        <w:t>Мінковський Даніїл Іванович</w:t>
      </w:r>
    </w:p>
    <w:p w14:paraId="21F297F9" w14:textId="225D7CC2" w:rsidR="004F361F" w:rsidRPr="003666FB" w:rsidRDefault="003666FB" w:rsidP="003A292D">
      <w:pPr>
        <w:spacing w:line="264" w:lineRule="auto"/>
        <w:ind w:firstLine="0"/>
        <w:jc w:val="center"/>
        <w:rPr>
          <w:rFonts w:ascii="Arial" w:eastAsia="Calibri" w:hAnsi="Arial" w:cs="Arial"/>
          <w:iCs/>
          <w:szCs w:val="28"/>
          <w:lang w:val="uk-UA" w:eastAsia="ru-RU"/>
        </w:rPr>
      </w:pPr>
      <w:r>
        <w:rPr>
          <w:rFonts w:ascii="Arial" w:eastAsia="Calibri" w:hAnsi="Arial" w:cs="Arial"/>
          <w:iCs/>
          <w:szCs w:val="28"/>
          <w:lang w:val="uk-UA" w:eastAsia="ru-RU"/>
        </w:rPr>
        <w:t>с</w:t>
      </w:r>
      <w:r w:rsidR="00536AAB" w:rsidRPr="003666FB">
        <w:rPr>
          <w:rFonts w:ascii="Arial" w:eastAsia="Calibri" w:hAnsi="Arial" w:cs="Arial"/>
          <w:iCs/>
          <w:szCs w:val="28"/>
          <w:lang w:val="uk-UA" w:eastAsia="ru-RU"/>
        </w:rPr>
        <w:t xml:space="preserve">тудент 2-го курсу </w:t>
      </w:r>
      <w:r w:rsidR="001B7B25" w:rsidRPr="003666FB">
        <w:rPr>
          <w:rFonts w:ascii="Arial" w:eastAsia="Calibri" w:hAnsi="Arial" w:cs="Arial"/>
          <w:iCs/>
          <w:szCs w:val="28"/>
          <w:lang w:val="uk-UA" w:eastAsia="ru-RU"/>
        </w:rPr>
        <w:t>факультету судового та міжнародного права</w:t>
      </w:r>
    </w:p>
    <w:p w14:paraId="72BCE287" w14:textId="12ABDC7C" w:rsidR="004F361F" w:rsidRDefault="007B2628" w:rsidP="003A292D">
      <w:pPr>
        <w:spacing w:line="264" w:lineRule="auto"/>
        <w:ind w:firstLine="0"/>
        <w:jc w:val="center"/>
        <w:rPr>
          <w:rFonts w:ascii="Arial" w:eastAsia="Calibri" w:hAnsi="Arial" w:cs="Arial"/>
          <w:iCs/>
          <w:szCs w:val="28"/>
          <w:lang w:val="uk-UA" w:eastAsia="ru-RU"/>
        </w:rPr>
      </w:pPr>
      <w:r w:rsidRPr="003666FB">
        <w:rPr>
          <w:rFonts w:ascii="Arial" w:eastAsia="Calibri" w:hAnsi="Arial" w:cs="Arial"/>
          <w:iCs/>
          <w:szCs w:val="28"/>
          <w:lang w:val="uk-UA" w:eastAsia="ru-RU"/>
        </w:rPr>
        <w:t>Національного університету «Одеська юридична академія»</w:t>
      </w:r>
    </w:p>
    <w:p w14:paraId="66362FF3" w14:textId="77777777" w:rsidR="003666FB" w:rsidRPr="003666FB" w:rsidRDefault="003666FB" w:rsidP="003A292D">
      <w:pPr>
        <w:spacing w:line="264" w:lineRule="auto"/>
        <w:ind w:firstLine="0"/>
        <w:jc w:val="center"/>
        <w:rPr>
          <w:rFonts w:ascii="Arial" w:eastAsia="Calibri" w:hAnsi="Arial" w:cs="Arial"/>
          <w:iCs/>
          <w:szCs w:val="28"/>
          <w:lang w:val="uk-UA" w:eastAsia="ru-RU"/>
        </w:rPr>
      </w:pPr>
    </w:p>
    <w:p w14:paraId="534B424A" w14:textId="77777777" w:rsidR="004F361F" w:rsidRPr="00511005" w:rsidRDefault="004F361F" w:rsidP="003A292D">
      <w:pPr>
        <w:spacing w:line="264" w:lineRule="auto"/>
        <w:ind w:firstLine="0"/>
        <w:jc w:val="center"/>
        <w:rPr>
          <w:rFonts w:ascii="Arial" w:eastAsia="Calibri" w:hAnsi="Arial" w:cs="Arial"/>
          <w:b/>
          <w:bCs/>
          <w:iCs/>
          <w:szCs w:val="28"/>
          <w:lang w:val="uk-UA" w:eastAsia="ru-RU"/>
        </w:rPr>
      </w:pPr>
      <w:r w:rsidRPr="00511005">
        <w:rPr>
          <w:rFonts w:ascii="Arial" w:eastAsia="Calibri" w:hAnsi="Arial" w:cs="Arial"/>
          <w:b/>
          <w:bCs/>
          <w:iCs/>
          <w:szCs w:val="28"/>
          <w:lang w:val="uk-UA" w:eastAsia="ru-RU"/>
        </w:rPr>
        <w:t>СУЧАСНІ ПРОБЛЕМИ ПРАВОВОГО РЕГУЛЮВАННЯ КРИПТОВАЛЮТИ В УКРАЇНІ</w:t>
      </w:r>
    </w:p>
    <w:p w14:paraId="335A17BE" w14:textId="77777777" w:rsidR="004F361F" w:rsidRPr="00511005" w:rsidRDefault="004F361F"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 xml:space="preserve">У сучасному світі, де інформаційні технології невпинно прогресують, цифрові активи стають значущою складовою особистого та корпоративного майна. До цифрових активів належать криптовалюти, онлайн-рахунки, акаунти в соціальних мережах, хмарні сховища даних та інші електронні ресурси. Ці активи, що існують у цифровій формі, здатні мати значну фінансову та соціальну вартість, проте їх юридичне врегулювання залишається недостатньо розвиненим. Так склалося з обігом криптографічної валюти в нашій країні: криптовалюта, безумовно, існує в </w:t>
      </w:r>
      <w:r w:rsidRPr="00511005">
        <w:rPr>
          <w:rFonts w:ascii="Arial" w:eastAsia="Calibri" w:hAnsi="Arial" w:cs="Arial"/>
          <w:szCs w:val="28"/>
          <w:lang w:val="uk-UA" w:eastAsia="ru-RU"/>
        </w:rPr>
        <w:lastRenderedPageBreak/>
        <w:t>реальності, однак ані чіткого визначення, ані законодавчого регулювання її використання поки що немає.</w:t>
      </w:r>
    </w:p>
    <w:p w14:paraId="224DAE50" w14:textId="6ECB6AB6" w:rsidR="004F361F" w:rsidRPr="00511005" w:rsidRDefault="004F361F"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 xml:space="preserve">Існують численні шляхи визначення терміну «криптовалюта». Частина дослідників схиляється до трактування криптовалюти як різновиду віртуальних грошей, сучасної форми валюти, тоді як інші бачать у ній виключно цифровий актив, відкидаючи будь-який зв'язок з грошовим обігом. Згідно з поглядами </w:t>
      </w:r>
      <w:r w:rsidRPr="00511005">
        <w:rPr>
          <w:rFonts w:ascii="Arial" w:eastAsia="Times New Roman" w:hAnsi="Arial" w:cs="Arial"/>
          <w:szCs w:val="28"/>
          <w:lang w:val="uk-UA" w:eastAsia="uk-UA"/>
        </w:rPr>
        <w:t>Дорош</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О</w:t>
      </w:r>
      <w:r w:rsidRPr="00511005">
        <w:rPr>
          <w:rFonts w:ascii="Arial" w:eastAsia="Calibri" w:hAnsi="Arial" w:cs="Arial"/>
          <w:szCs w:val="28"/>
          <w:lang w:val="uk-UA" w:eastAsia="ru-RU"/>
        </w:rPr>
        <w:t>, «криптовалюта – це цифровий актив, що використовується для транзакцій, з використанням криптографічних методів для гарантування захищеності операцій, а також для управління емісією нових одиниць та верифікації переказів.»[3, с. 172]Таким чином, криптовалюту аналізують в контексті цифрових грошей, основу яких складають технологічні криптографічні інструменти. Відтак, валюта постає як програмний код, представлений в електронній формі, без фізичного втілення.</w:t>
      </w:r>
    </w:p>
    <w:p w14:paraId="1925082F" w14:textId="77777777" w:rsidR="004F361F" w:rsidRPr="00511005" w:rsidRDefault="004F361F"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В українському законодавстві правовий статус криптовалют визначається як майно, а не як платіжний засіб.[4, с. 39] Очевидно, що використання криптовалюти як звичайного об'єкта цивільних прав є простішим варіантом, адже питання правового регулювання об'єктів цивільних прав вже закріплені в Цивільному кодексі України, існують значна судова практика та розуміння специфіки визначення і застосування об'єктів цивільних прав; в той же час, концепція застосування криптовалюти як засобу платежу потребує великої законодавчої роботи, передусім розуміння механізмів введення криптовалюти як платіжного засобу, особливостей розрахунків з використанням криптовалюти та необхідності перегляду спеціального законодавства щодо платіжних систем. Актуальність регулювання обліку, оподаткування і контролю операцій з криптовалютою на нинішньому етапі розвитку грошової системи, як в Україні, так і у світі залишається актуальним. Недосконалість державної системи контролю обумовлений в незавершеністі правового регулювання статусу криптобірж та криптовалют в Україні. Визнання сучасних грошових одиниць платіжними засобами та їх легалізація сприятиме більшій впорядкованості та контрольованості цього процесу.</w:t>
      </w:r>
      <w:r w:rsidRPr="00511005">
        <w:rPr>
          <w:rFonts w:ascii="Arial" w:eastAsia="Calibri" w:hAnsi="Arial" w:cs="Arial"/>
          <w:szCs w:val="28"/>
          <w:lang w:eastAsia="ru-RU"/>
        </w:rPr>
        <w:t>[4, с. 40]</w:t>
      </w:r>
    </w:p>
    <w:p w14:paraId="3CB7B3BD" w14:textId="77777777" w:rsidR="004F361F" w:rsidRPr="00511005" w:rsidRDefault="004F361F"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 xml:space="preserve">Наразі статус криптовалюти в Україні офіційно не визначено жодним нормативно-правовим актом. «Національний банк України, у своєму листі № 29-208/72889 від 10.11.2014 року, висловив позицію, що віртуальна валюта Bitcoin є грошовим сурогатом, позбавленим реальної вартості та не може використовуватися фізичними й юридичними особами на території України для здійснення платежів, що суперечить вимогам українського законодавства.»[2, с. 36] З огляду на це, майнінг криптовалют в Україні розцінюється як фіктивне підприємництво та незаконна діяльність з віртуальною валютою. У постанові Господарського суду Закарпатської області від 26.08.2020 р. у справі № 907/106/20 було розглянуто позов </w:t>
      </w:r>
      <w:r w:rsidRPr="00511005">
        <w:rPr>
          <w:rFonts w:ascii="Arial" w:eastAsia="Calibri" w:hAnsi="Arial" w:cs="Arial"/>
          <w:szCs w:val="28"/>
          <w:lang w:val="uk-UA" w:eastAsia="ru-RU"/>
        </w:rPr>
        <w:lastRenderedPageBreak/>
        <w:t>енергетичної фірми до фізичної особи-підприємця про стягнення ціни неврахованої електроенергії. Суд вирішив, що відповідач незаконно здійснював підключення до електромереж для цілей майнінгу криптовалюти, без відповідного оформлення договору на постачання електроенергії згідно з нормами чинного законодавства. Зважаючи на позицію НБУ, Державна фіскальна служба також наголошує на неможливості застосування криптовалюти як платіжного засобу, адже вона є грошовим сурогатом. У вироку № 123007334 від 14.11.2024 року у справі № 991/3227/24 суд вперше в Україні визнав криптовалюту, зокрема біткоїн, як нефізичний актив, котрий може бути об'єктом неправомірної вигоди. Суд розглядав справу, у котрій службовець державного органу отримав 0,39 BTC (еквівалентно 10 036,88 доларів США на час транзакції) як незаконну винагороду. Криптовалюта була передана через апаратний гаманець Ledger Nano S Plus. Очевидно, що динамічний розвиток криптовалютних відносин вимагає законодавчого врегулювання. На сьогодні в Україні спостерігається правовий вакуум. Згідно з чинним законодавством, криптовалюта не може використовуватись для взаєморозрахунків, тому Bitcoin, як платіжний засіб, є нелегітимним.</w:t>
      </w:r>
    </w:p>
    <w:p w14:paraId="6E772A21" w14:textId="77777777" w:rsidR="004F361F" w:rsidRPr="00511005" w:rsidRDefault="004F361F"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У законодавстві Європейського Союзу, правове регулювання криптовалютних операцій розглядається в контексті імплементації політики протидії легалізації (відмиванню) коштів, здобутих злочинним шляхом, а також фінансуванню тероризму. З цією метою, Європейський парламент та Рада Європейського Союзу 20 травня 2015 року, керуючись потребою узгодження законодавчих актів ЄС із міжнародними стандартами, що стосуються протидії відмиванню грошей, фінансуванню тероризму та розповсюдженню зброї масового знищення, встановленими FATF у лютому 2012 року, ухвалили Директиву (ЄС) 2015/849 "Про запобігання використанню фінансової системи для відмивання грошей та фінансування тероризму", а також затвердили Регламент (ЄС) 2015/847 "Про інформацію, що супроводжує грошові перекази".[1] У 2016 році Європейська комісія виступила з ініціативою запровадження додаткового регулювання для криптовалютних бірж та компаній, що забезпечують користувачам криптовалютні гаманці. Зокрема, планувалося ввести обов'язкову реєстрацію або ліцензування для криптовалютних бірж, котрі здійснюють обмін криптовалюти на фіатні кошти, а також для компаній, що надають послуги криптовалютних гаманців.</w:t>
      </w:r>
    </w:p>
    <w:p w14:paraId="6C983756" w14:textId="7787D5D8" w:rsidR="004F361F" w:rsidRDefault="004F361F"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Отже,</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підсумовуючи</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усе</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сказане,</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можна</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зробити висновок,</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що</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криптовалюти виглядають</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привабливим</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варіантом</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для</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інвестування.</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Значна</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частина економічних</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операцій</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вже</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відбувається</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з</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використанням</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цифрових</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коштів,</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і</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їхня</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частка постійно</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збільшується.</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Поки</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що</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у</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світі</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відсутнє</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єдине</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розуміння</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майбутньої стратегії</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криптовалют:</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їхньої</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легалізації,</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законності</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застосування</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та</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розвитку в</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цілому.</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Попри</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це,</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більшість</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користувачів</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продовжують</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виявляти</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інтерес</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до</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придбання та</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lastRenderedPageBreak/>
        <w:t>використання</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криптовалют. Щодо перспектив подальшого росту крипторинку в Україні, то це реальна перспектива, незважаючи на позицію Нацбанку та Державної фіскальної служби, які не визнають криптовалюти платіжним засобом, вважаючи її грошовим замінником. Разом з тим, враховуючи підвищений інтерес українців до цифрових грошей, цілком логічно, що формування та законодавче врегулювання ринку криптовалют стає необхідністю, зумовленою сучасним станом речей.</w:t>
      </w:r>
    </w:p>
    <w:p w14:paraId="3123C897" w14:textId="77777777" w:rsidR="003666FB" w:rsidRPr="00511005" w:rsidRDefault="003666FB" w:rsidP="003A292D">
      <w:pPr>
        <w:spacing w:line="264" w:lineRule="auto"/>
        <w:rPr>
          <w:rFonts w:ascii="Arial" w:eastAsia="Calibri" w:hAnsi="Arial" w:cs="Arial"/>
          <w:szCs w:val="28"/>
          <w:lang w:val="uk-UA" w:eastAsia="ru-RU"/>
        </w:rPr>
      </w:pPr>
    </w:p>
    <w:p w14:paraId="268FC81E" w14:textId="491C4FC6" w:rsidR="004F361F" w:rsidRPr="003666FB" w:rsidRDefault="007B2628" w:rsidP="007B2628">
      <w:pPr>
        <w:spacing w:line="264" w:lineRule="auto"/>
        <w:ind w:firstLine="708"/>
        <w:jc w:val="center"/>
        <w:rPr>
          <w:rFonts w:ascii="Arial" w:eastAsia="Calibri" w:hAnsi="Arial" w:cs="Arial"/>
          <w:b/>
          <w:szCs w:val="28"/>
          <w:lang w:val="uk-UA" w:eastAsia="ru-RU"/>
        </w:rPr>
      </w:pPr>
      <w:r w:rsidRPr="003666FB">
        <w:rPr>
          <w:rFonts w:ascii="Arial" w:eastAsia="Calibri" w:hAnsi="Arial" w:cs="Arial"/>
          <w:b/>
          <w:szCs w:val="28"/>
          <w:lang w:val="uk-UA" w:eastAsia="ru-RU"/>
        </w:rPr>
        <w:t>Список використаних джерел</w:t>
      </w:r>
    </w:p>
    <w:p w14:paraId="74FCF3B2" w14:textId="77777777" w:rsidR="004F361F" w:rsidRPr="00511005" w:rsidRDefault="004F361F" w:rsidP="003F6A5D">
      <w:pPr>
        <w:numPr>
          <w:ilvl w:val="0"/>
          <w:numId w:val="335"/>
        </w:numPr>
        <w:spacing w:line="264" w:lineRule="auto"/>
        <w:ind w:left="0" w:firstLine="709"/>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Директива європейського парламенту і ради (єс) 2015/849 від 20 травня 2015 року про запобігання використанню фінансової системи для цілей відмивання грошей або фінансування тероризму, про внесення змін до регламенту європейського парламенту і ради (єс) № 648/2012 та про скасування директиви європейського парламенту і ради 2005/60/єс та директиви комісії 2006/70/єс : Директива від 20.05.2015 № 2015/849.</w:t>
      </w:r>
      <w:r w:rsidRPr="00511005">
        <w:rPr>
          <w:rFonts w:ascii="Arial" w:eastAsia="Calibri" w:hAnsi="Arial" w:cs="Arial"/>
          <w:szCs w:val="28"/>
          <w:lang w:val="en-US" w:eastAsia="ru-RU"/>
        </w:rPr>
        <w:t>URL</w:t>
      </w:r>
      <w:r w:rsidRPr="00511005">
        <w:rPr>
          <w:rFonts w:ascii="Arial" w:eastAsia="Calibri" w:hAnsi="Arial" w:cs="Arial"/>
          <w:szCs w:val="28"/>
          <w:lang w:val="uk-UA" w:eastAsia="ru-RU"/>
        </w:rPr>
        <w:t xml:space="preserve">: https://zakon.rada.gov.ua/laws/show/984_037-15#Text </w:t>
      </w:r>
    </w:p>
    <w:p w14:paraId="271DFAD6" w14:textId="77777777" w:rsidR="004F361F" w:rsidRPr="00511005" w:rsidRDefault="004F361F" w:rsidP="003F6A5D">
      <w:pPr>
        <w:numPr>
          <w:ilvl w:val="0"/>
          <w:numId w:val="335"/>
        </w:numPr>
        <w:shd w:val="clear" w:color="auto" w:fill="FFFFFF"/>
        <w:spacing w:line="264" w:lineRule="auto"/>
        <w:ind w:left="0" w:firstLine="709"/>
        <w:contextualSpacing/>
        <w:jc w:val="left"/>
        <w:rPr>
          <w:rFonts w:ascii="Arial" w:eastAsia="Times New Roman" w:hAnsi="Arial" w:cs="Arial"/>
          <w:szCs w:val="28"/>
          <w:lang w:val="uk-UA" w:eastAsia="uk-UA"/>
        </w:rPr>
      </w:pPr>
      <w:r w:rsidRPr="00511005">
        <w:rPr>
          <w:rFonts w:ascii="Arial" w:eastAsia="Calibri" w:hAnsi="Arial" w:cs="Arial"/>
          <w:szCs w:val="28"/>
          <w:lang w:val="uk-UA" w:eastAsia="ru-RU"/>
        </w:rPr>
        <w:t>. Дашутін І. Правова природа криптовалюти: українські реалії. Громадська думка про правотворення. 2022. № 10. С. 27–35. URL : https://nbuviap.gov.ua/images/informaciyni_vidanya/grom_dumka/2022/Gromadska_dumka_2022_10.pdf</w:t>
      </w:r>
    </w:p>
    <w:p w14:paraId="442CB14B" w14:textId="3CED4EC4" w:rsidR="004F361F" w:rsidRPr="00511005" w:rsidRDefault="004F361F" w:rsidP="003F6A5D">
      <w:pPr>
        <w:numPr>
          <w:ilvl w:val="0"/>
          <w:numId w:val="335"/>
        </w:numPr>
        <w:shd w:val="clear" w:color="auto" w:fill="FFFFFF"/>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Казначєєва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Дорош</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Криптовалюта: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проблеми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правового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регулювання. Вісник Кримінологічної асоціації України : зб. наук. праць. No 2 (23). 2020. С. 171 - 176.</w:t>
      </w:r>
      <w:r w:rsidRPr="00511005">
        <w:rPr>
          <w:rFonts w:ascii="Arial" w:eastAsia="Times New Roman" w:hAnsi="Arial" w:cs="Arial"/>
          <w:szCs w:val="28"/>
          <w:lang w:val="pl-PL" w:eastAsia="uk-UA"/>
        </w:rPr>
        <w:t xml:space="preserve"> URL:</w:t>
      </w:r>
      <w:r w:rsidRPr="00511005">
        <w:rPr>
          <w:rFonts w:ascii="Arial" w:eastAsia="Calibri" w:hAnsi="Arial" w:cs="Arial"/>
          <w:szCs w:val="28"/>
          <w:lang w:val="uk-UA" w:eastAsia="ru-RU"/>
        </w:rPr>
        <w:t xml:space="preserve"> </w:t>
      </w:r>
      <w:r w:rsidRPr="00511005">
        <w:rPr>
          <w:rFonts w:ascii="Arial" w:eastAsia="Times New Roman" w:hAnsi="Arial" w:cs="Arial"/>
          <w:szCs w:val="28"/>
          <w:lang w:val="pl-PL" w:eastAsia="uk-UA"/>
        </w:rPr>
        <w:t>https://dspace.univd.edu.ua/server/api/core/bitstreams/4166358a-80a4-4cde-bfdc-f1f4d5a29a58/content</w:t>
      </w:r>
    </w:p>
    <w:p w14:paraId="019A6404" w14:textId="79BD7F6A" w:rsidR="004F361F" w:rsidRPr="00511005" w:rsidRDefault="004F361F" w:rsidP="003F6A5D">
      <w:pPr>
        <w:numPr>
          <w:ilvl w:val="0"/>
          <w:numId w:val="335"/>
        </w:numPr>
        <w:spacing w:line="264" w:lineRule="auto"/>
        <w:ind w:left="0" w:firstLine="709"/>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Скрипник В. Місце криптовалюти в системі об'єктів цивільних прав. Цивільне право і процес. 2018. № 8. С. 39 – 41.</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en-US" w:eastAsia="ru-RU"/>
        </w:rPr>
        <w:t>URL</w:t>
      </w:r>
      <w:r w:rsidRPr="00511005">
        <w:rPr>
          <w:rFonts w:ascii="Arial" w:eastAsia="Calibri" w:hAnsi="Arial" w:cs="Arial"/>
          <w:szCs w:val="28"/>
          <w:lang w:eastAsia="ru-RU"/>
        </w:rPr>
        <w:t>:</w:t>
      </w:r>
      <w:r w:rsidRPr="00511005">
        <w:rPr>
          <w:rFonts w:ascii="Arial" w:eastAsia="Calibri" w:hAnsi="Arial" w:cs="Arial"/>
          <w:szCs w:val="28"/>
          <w:lang w:val="uk-UA" w:eastAsia="ru-RU"/>
        </w:rPr>
        <w:t xml:space="preserve"> </w:t>
      </w:r>
      <w:hyperlink r:id="rId1307" w:history="1">
        <w:r w:rsidRPr="00511005">
          <w:rPr>
            <w:rFonts w:ascii="Arial" w:eastAsia="Calibri" w:hAnsi="Arial" w:cs="Arial"/>
            <w:szCs w:val="28"/>
            <w:lang w:val="en-US" w:eastAsia="ru-RU"/>
          </w:rPr>
          <w:t>http</w:t>
        </w:r>
        <w:r w:rsidRPr="00511005">
          <w:rPr>
            <w:rFonts w:ascii="Arial" w:eastAsia="Calibri" w:hAnsi="Arial" w:cs="Arial"/>
            <w:szCs w:val="28"/>
            <w:lang w:val="uk-UA" w:eastAsia="ru-RU"/>
          </w:rPr>
          <w:t>://</w:t>
        </w:r>
        <w:r w:rsidRPr="00511005">
          <w:rPr>
            <w:rFonts w:ascii="Arial" w:eastAsia="Calibri" w:hAnsi="Arial" w:cs="Arial"/>
            <w:szCs w:val="28"/>
            <w:lang w:val="en-US" w:eastAsia="ru-RU"/>
          </w:rPr>
          <w:t>www</w:t>
        </w:r>
        <w:r w:rsidRPr="00511005">
          <w:rPr>
            <w:rFonts w:ascii="Arial" w:eastAsia="Calibri" w:hAnsi="Arial" w:cs="Arial"/>
            <w:szCs w:val="28"/>
            <w:lang w:val="uk-UA" w:eastAsia="ru-RU"/>
          </w:rPr>
          <w:t>.</w:t>
        </w:r>
        <w:r w:rsidRPr="00511005">
          <w:rPr>
            <w:rFonts w:ascii="Arial" w:eastAsia="Calibri" w:hAnsi="Arial" w:cs="Arial"/>
            <w:szCs w:val="28"/>
            <w:lang w:val="en-US" w:eastAsia="ru-RU"/>
          </w:rPr>
          <w:t>pgp</w:t>
        </w:r>
        <w:r w:rsidRPr="00511005">
          <w:rPr>
            <w:rFonts w:ascii="Arial" w:eastAsia="Calibri" w:hAnsi="Arial" w:cs="Arial"/>
            <w:szCs w:val="28"/>
            <w:lang w:val="uk-UA" w:eastAsia="ru-RU"/>
          </w:rPr>
          <w:t>-</w:t>
        </w:r>
        <w:r w:rsidRPr="00511005">
          <w:rPr>
            <w:rFonts w:ascii="Arial" w:eastAsia="Calibri" w:hAnsi="Arial" w:cs="Arial"/>
            <w:szCs w:val="28"/>
            <w:lang w:val="en-US" w:eastAsia="ru-RU"/>
          </w:rPr>
          <w:t>journal</w:t>
        </w:r>
        <w:r w:rsidRPr="00511005">
          <w:rPr>
            <w:rFonts w:ascii="Arial" w:eastAsia="Calibri" w:hAnsi="Arial" w:cs="Arial"/>
            <w:szCs w:val="28"/>
            <w:lang w:val="uk-UA" w:eastAsia="ru-RU"/>
          </w:rPr>
          <w:t>.</w:t>
        </w:r>
        <w:r w:rsidRPr="00511005">
          <w:rPr>
            <w:rFonts w:ascii="Arial" w:eastAsia="Calibri" w:hAnsi="Arial" w:cs="Arial"/>
            <w:szCs w:val="28"/>
            <w:lang w:val="en-US" w:eastAsia="ru-RU"/>
          </w:rPr>
          <w:t>kiev</w:t>
        </w:r>
        <w:r w:rsidRPr="00511005">
          <w:rPr>
            <w:rFonts w:ascii="Arial" w:eastAsia="Calibri" w:hAnsi="Arial" w:cs="Arial"/>
            <w:szCs w:val="28"/>
            <w:lang w:val="uk-UA" w:eastAsia="ru-RU"/>
          </w:rPr>
          <w:t>.</w:t>
        </w:r>
        <w:r w:rsidRPr="00511005">
          <w:rPr>
            <w:rFonts w:ascii="Arial" w:eastAsia="Calibri" w:hAnsi="Arial" w:cs="Arial"/>
            <w:szCs w:val="28"/>
            <w:lang w:val="en-US" w:eastAsia="ru-RU"/>
          </w:rPr>
          <w:t>ua</w:t>
        </w:r>
        <w:r w:rsidRPr="00511005">
          <w:rPr>
            <w:rFonts w:ascii="Arial" w:eastAsia="Calibri" w:hAnsi="Arial" w:cs="Arial"/>
            <w:szCs w:val="28"/>
            <w:lang w:val="uk-UA" w:eastAsia="ru-RU"/>
          </w:rPr>
          <w:t>/</w:t>
        </w:r>
        <w:r w:rsidRPr="00511005">
          <w:rPr>
            <w:rFonts w:ascii="Arial" w:eastAsia="Calibri" w:hAnsi="Arial" w:cs="Arial"/>
            <w:szCs w:val="28"/>
            <w:lang w:val="en-US" w:eastAsia="ru-RU"/>
          </w:rPr>
          <w:t>archive</w:t>
        </w:r>
        <w:r w:rsidRPr="00511005">
          <w:rPr>
            <w:rFonts w:ascii="Arial" w:eastAsia="Calibri" w:hAnsi="Arial" w:cs="Arial"/>
            <w:szCs w:val="28"/>
            <w:lang w:val="uk-UA" w:eastAsia="ru-RU"/>
          </w:rPr>
          <w:t>/2018/8/9.</w:t>
        </w:r>
        <w:r w:rsidRPr="00511005">
          <w:rPr>
            <w:rFonts w:ascii="Arial" w:eastAsia="Calibri" w:hAnsi="Arial" w:cs="Arial"/>
            <w:szCs w:val="28"/>
            <w:lang w:val="en-US" w:eastAsia="ru-RU"/>
          </w:rPr>
          <w:t>pdf</w:t>
        </w:r>
      </w:hyperlink>
    </w:p>
    <w:p w14:paraId="1AFB91CC" w14:textId="45A8627A" w:rsidR="004F361F" w:rsidRPr="00511005" w:rsidRDefault="007B2628" w:rsidP="003A292D">
      <w:pPr>
        <w:spacing w:line="264" w:lineRule="auto"/>
        <w:ind w:left="720" w:firstLine="0"/>
        <w:contextualSpacing/>
        <w:rPr>
          <w:rFonts w:ascii="Arial" w:eastAsia="Calibri" w:hAnsi="Arial" w:cs="Arial"/>
          <w:szCs w:val="28"/>
          <w:lang w:val="uk-UA" w:eastAsia="ru-RU"/>
        </w:rPr>
      </w:pPr>
      <w:r w:rsidRPr="00511005">
        <w:rPr>
          <w:rFonts w:ascii="Arial" w:eastAsia="Calibri" w:hAnsi="Arial" w:cs="Arial"/>
          <w:b/>
          <w:i/>
          <w:szCs w:val="28"/>
          <w:lang w:val="uk-UA" w:eastAsia="ru-RU"/>
        </w:rPr>
        <w:t xml:space="preserve">Ключові слова: </w:t>
      </w:r>
      <w:r w:rsidR="004F361F" w:rsidRPr="00511005">
        <w:rPr>
          <w:rFonts w:ascii="Arial" w:eastAsia="Calibri" w:hAnsi="Arial" w:cs="Arial"/>
          <w:szCs w:val="28"/>
          <w:lang w:val="uk-UA" w:eastAsia="ru-RU"/>
        </w:rPr>
        <w:t>криптовалюта, цифрові активи, правове регулювання, цивільне право, Bitcoin, майнінг, платіжний засіб, грошовий сурогат.</w:t>
      </w:r>
      <w:r w:rsidR="004F361F" w:rsidRPr="00511005">
        <w:rPr>
          <w:rFonts w:ascii="Arial" w:eastAsia="Calibri" w:hAnsi="Arial" w:cs="Arial"/>
          <w:szCs w:val="28"/>
          <w:lang w:val="uk-UA" w:eastAsia="ru-RU"/>
        </w:rPr>
        <w:br/>
      </w:r>
      <w:r w:rsidRPr="00511005">
        <w:rPr>
          <w:rFonts w:ascii="Arial" w:eastAsia="Calibri" w:hAnsi="Arial" w:cs="Arial"/>
          <w:b/>
          <w:i/>
          <w:szCs w:val="28"/>
          <w:lang w:val="uk-UA" w:eastAsia="ru-RU"/>
        </w:rPr>
        <w:t xml:space="preserve">Key words: </w:t>
      </w:r>
      <w:r w:rsidR="004F361F" w:rsidRPr="00511005">
        <w:rPr>
          <w:rFonts w:ascii="Arial" w:eastAsia="Calibri" w:hAnsi="Arial" w:cs="Arial"/>
          <w:szCs w:val="28"/>
          <w:lang w:val="uk-UA" w:eastAsia="ru-RU"/>
        </w:rPr>
        <w:t>cryptocurrency, digital assets, legal regulation, civil law, Bitcoin, mining, means of payment, monetary surrogate.</w:t>
      </w:r>
    </w:p>
    <w:p w14:paraId="4014F642" w14:textId="7B00FBD8" w:rsidR="004F361F" w:rsidRPr="00511005" w:rsidRDefault="00C76181" w:rsidP="003666FB">
      <w:pPr>
        <w:spacing w:line="264" w:lineRule="auto"/>
        <w:ind w:firstLine="708"/>
        <w:rPr>
          <w:rFonts w:ascii="Arial" w:eastAsia="Calibri" w:hAnsi="Arial" w:cs="Arial"/>
          <w:i/>
          <w:szCs w:val="28"/>
          <w:lang w:val="uk-UA" w:eastAsia="ru-RU"/>
        </w:rPr>
      </w:pPr>
      <w:r w:rsidRPr="00511005">
        <w:rPr>
          <w:rFonts w:ascii="Arial" w:eastAsia="Calibri" w:hAnsi="Arial" w:cs="Arial"/>
          <w:b/>
          <w:i/>
          <w:szCs w:val="28"/>
          <w:lang w:val="uk-UA"/>
        </w:rPr>
        <w:t xml:space="preserve">Науковий керівник: </w:t>
      </w:r>
      <w:r w:rsidR="004F361F" w:rsidRPr="00511005">
        <w:rPr>
          <w:rFonts w:ascii="Arial" w:eastAsia="Calibri" w:hAnsi="Arial" w:cs="Arial"/>
          <w:i/>
          <w:szCs w:val="28"/>
          <w:lang w:val="uk-UA" w:eastAsia="ru-RU"/>
        </w:rPr>
        <w:t>к.ю.н., доцент Завальнюк С.В.</w:t>
      </w:r>
    </w:p>
    <w:p w14:paraId="7F381B53" w14:textId="77777777" w:rsidR="004F361F" w:rsidRPr="00511005" w:rsidRDefault="004F361F" w:rsidP="003A292D">
      <w:pPr>
        <w:spacing w:line="264" w:lineRule="auto"/>
        <w:ind w:left="720" w:firstLine="0"/>
        <w:contextualSpacing/>
        <w:jc w:val="right"/>
        <w:rPr>
          <w:rFonts w:ascii="Arial" w:eastAsia="Calibri" w:hAnsi="Arial" w:cs="Arial"/>
          <w:szCs w:val="28"/>
          <w:lang w:val="uk-UA" w:eastAsia="ru-RU"/>
        </w:rPr>
      </w:pPr>
    </w:p>
    <w:p w14:paraId="267D437A" w14:textId="77777777" w:rsidR="004F361F" w:rsidRPr="00511005" w:rsidRDefault="004F361F" w:rsidP="003A292D">
      <w:pPr>
        <w:spacing w:line="264" w:lineRule="auto"/>
        <w:ind w:left="720" w:firstLine="0"/>
        <w:contextualSpacing/>
        <w:rPr>
          <w:rFonts w:ascii="Arial" w:eastAsia="Calibri" w:hAnsi="Arial" w:cs="Arial"/>
          <w:szCs w:val="28"/>
          <w:lang w:val="uk-UA" w:eastAsia="ru-RU"/>
        </w:rPr>
      </w:pPr>
    </w:p>
    <w:p w14:paraId="2E9270C5" w14:textId="77777777" w:rsidR="004F361F" w:rsidRPr="00511005" w:rsidRDefault="004F361F" w:rsidP="003A292D">
      <w:pPr>
        <w:spacing w:line="264" w:lineRule="auto"/>
        <w:ind w:firstLine="0"/>
        <w:jc w:val="center"/>
        <w:rPr>
          <w:rFonts w:ascii="Arial" w:eastAsia="Calibri" w:hAnsi="Arial" w:cs="Arial"/>
          <w:b/>
          <w:i/>
          <w:iCs/>
          <w:szCs w:val="28"/>
          <w:lang w:val="uk-UA" w:eastAsia="ru-RU"/>
        </w:rPr>
      </w:pPr>
      <w:r w:rsidRPr="00511005">
        <w:rPr>
          <w:rFonts w:ascii="Arial" w:eastAsia="Calibri" w:hAnsi="Arial" w:cs="Arial"/>
          <w:b/>
          <w:i/>
          <w:iCs/>
          <w:szCs w:val="28"/>
          <w:lang w:val="uk-UA" w:eastAsia="ru-RU"/>
        </w:rPr>
        <w:t>Сидловський Сергій Віталійович</w:t>
      </w:r>
    </w:p>
    <w:p w14:paraId="6F7CFFA6" w14:textId="77777777" w:rsidR="003666FB" w:rsidRDefault="00536AAB" w:rsidP="003A292D">
      <w:pPr>
        <w:spacing w:line="264" w:lineRule="auto"/>
        <w:ind w:firstLine="0"/>
        <w:jc w:val="center"/>
        <w:rPr>
          <w:rFonts w:ascii="Arial" w:eastAsia="Calibri" w:hAnsi="Arial" w:cs="Arial"/>
          <w:iCs/>
          <w:szCs w:val="28"/>
          <w:lang w:val="uk-UA" w:eastAsia="ru-RU"/>
        </w:rPr>
      </w:pPr>
      <w:r w:rsidRPr="003666FB">
        <w:rPr>
          <w:rFonts w:ascii="Arial" w:eastAsia="Calibri" w:hAnsi="Arial" w:cs="Arial"/>
          <w:iCs/>
          <w:szCs w:val="28"/>
          <w:lang w:val="uk-UA" w:eastAsia="ru-RU"/>
        </w:rPr>
        <w:t>студент 2-го курсу факультету адвокатури та антикорупційної діяльності</w:t>
      </w:r>
      <w:r w:rsidR="004F361F" w:rsidRPr="003666FB">
        <w:rPr>
          <w:rFonts w:ascii="Arial" w:eastAsia="Calibri" w:hAnsi="Arial" w:cs="Arial"/>
          <w:iCs/>
          <w:szCs w:val="28"/>
          <w:lang w:val="uk-UA" w:eastAsia="ru-RU"/>
        </w:rPr>
        <w:t xml:space="preserve"> </w:t>
      </w:r>
    </w:p>
    <w:p w14:paraId="42FCFA0D" w14:textId="44D30BEB" w:rsidR="004F361F" w:rsidRPr="003666FB" w:rsidRDefault="007B2628" w:rsidP="003A292D">
      <w:pPr>
        <w:spacing w:line="264" w:lineRule="auto"/>
        <w:ind w:firstLine="0"/>
        <w:jc w:val="center"/>
        <w:rPr>
          <w:rFonts w:ascii="Arial" w:eastAsia="Calibri" w:hAnsi="Arial" w:cs="Arial"/>
          <w:iCs/>
          <w:szCs w:val="28"/>
          <w:lang w:val="uk-UA" w:eastAsia="ru-RU"/>
        </w:rPr>
      </w:pPr>
      <w:r w:rsidRPr="003666FB">
        <w:rPr>
          <w:rFonts w:ascii="Arial" w:eastAsia="Calibri" w:hAnsi="Arial" w:cs="Arial"/>
          <w:iCs/>
          <w:szCs w:val="28"/>
          <w:lang w:val="uk-UA" w:eastAsia="ru-RU"/>
        </w:rPr>
        <w:t>Національного університету «Одеська юридична академія»</w:t>
      </w:r>
    </w:p>
    <w:p w14:paraId="7E119F4F" w14:textId="77777777" w:rsidR="004F361F" w:rsidRPr="00511005" w:rsidRDefault="004F361F" w:rsidP="003A292D">
      <w:pPr>
        <w:spacing w:line="264" w:lineRule="auto"/>
        <w:ind w:firstLine="0"/>
        <w:jc w:val="center"/>
        <w:rPr>
          <w:rFonts w:ascii="Arial" w:eastAsia="Calibri" w:hAnsi="Arial" w:cs="Arial"/>
          <w:b/>
          <w:bCs/>
          <w:szCs w:val="28"/>
          <w:lang w:val="uk-UA" w:eastAsia="ru-RU"/>
        </w:rPr>
      </w:pPr>
      <w:r w:rsidRPr="00511005">
        <w:rPr>
          <w:rFonts w:ascii="Arial" w:eastAsia="Calibri" w:hAnsi="Arial" w:cs="Arial"/>
          <w:b/>
          <w:bCs/>
          <w:szCs w:val="28"/>
          <w:lang w:val="uk-UA" w:eastAsia="ru-RU"/>
        </w:rPr>
        <w:t>ОСОБЛИВОСТІ СПАДКУВАННЯ В УМОВАХ ВОЄННОГО СТАНУ</w:t>
      </w:r>
    </w:p>
    <w:p w14:paraId="05198AB2" w14:textId="77777777" w:rsidR="004F361F" w:rsidRPr="00511005" w:rsidRDefault="004F361F" w:rsidP="003A292D">
      <w:pPr>
        <w:spacing w:line="264" w:lineRule="auto"/>
        <w:ind w:firstLine="567"/>
        <w:rPr>
          <w:rFonts w:ascii="Arial" w:eastAsia="Calibri" w:hAnsi="Arial" w:cs="Arial"/>
          <w:szCs w:val="28"/>
          <w:lang w:val="uk-UA" w:eastAsia="ru-RU"/>
        </w:rPr>
      </w:pPr>
      <w:r w:rsidRPr="00511005">
        <w:rPr>
          <w:rFonts w:ascii="Arial" w:eastAsia="Calibri" w:hAnsi="Arial" w:cs="Arial"/>
          <w:szCs w:val="28"/>
          <w:lang w:val="uk-UA" w:eastAsia="ru-RU"/>
        </w:rPr>
        <w:t xml:space="preserve">Уведення в Україні воєнного стану відповідно до Указу Президента від 24 лютого 2022 року № 64/2022 [1] стало правовою відповіддю на збройну </w:t>
      </w:r>
      <w:r w:rsidRPr="00511005">
        <w:rPr>
          <w:rFonts w:ascii="Arial" w:eastAsia="Calibri" w:hAnsi="Arial" w:cs="Arial"/>
          <w:szCs w:val="28"/>
          <w:lang w:val="uk-UA" w:eastAsia="ru-RU"/>
        </w:rPr>
        <w:lastRenderedPageBreak/>
        <w:t>агресію Російської Федерації, яка спричинила не лише безпрецедентну гуманітарну кризу, а й необхідність оперативного перегляду механізмів реалізації багатьох прав громадян. Однією з таких сфер стало спадкове право — комплекс відносин, що регулюється нормами Книги шостої Цивільного кодексу України (ЦК) [2] і забезпечує безперервність правового статусу особи після її смерті. У зв’язку з масштабною деструкцією територіальної цілісності, вимушеним переміщенням мільйонів осіб, знищенням документів, відсутністю доступу до державних реєстрів, виникла потреба у запровадженні тимчасових процедур, покликаних зберегти спадкові права громадян в умовах воєнного стану.</w:t>
      </w:r>
    </w:p>
    <w:p w14:paraId="3FEA7ED8" w14:textId="77777777" w:rsidR="004F361F" w:rsidRPr="00511005" w:rsidRDefault="004F361F" w:rsidP="003A292D">
      <w:pPr>
        <w:spacing w:line="264" w:lineRule="auto"/>
        <w:ind w:firstLine="567"/>
        <w:rPr>
          <w:rFonts w:ascii="Arial" w:eastAsia="Calibri" w:hAnsi="Arial" w:cs="Arial"/>
          <w:szCs w:val="28"/>
          <w:lang w:val="uk-UA" w:eastAsia="ru-RU"/>
        </w:rPr>
      </w:pPr>
      <w:r w:rsidRPr="00511005">
        <w:rPr>
          <w:rFonts w:ascii="Arial" w:eastAsia="Calibri" w:hAnsi="Arial" w:cs="Arial"/>
          <w:szCs w:val="28"/>
          <w:lang w:val="uk-UA" w:eastAsia="ru-RU"/>
        </w:rPr>
        <w:t>Ці нові підходи не закріплені безпосередньо в законодавстві, а впроваджуються на рівні підзаконних нормативно-правових актів — передусім у постанові Кабінету Міністрів України від 28.02.2022 № 164 [3], а також у наказі Міністерства юстиції України від 11.03.2022 № 1118/5 [4], яким змінено Порядок вчинення нотаріальних дій, затверджений наказом Мін’юсту від 22.02.2012 № 296/5 [5]. Ці акти створили правовий інструментарій для адаптації нотаріальних процедур до надзвичайних обставин.</w:t>
      </w:r>
    </w:p>
    <w:p w14:paraId="2210F671" w14:textId="77777777" w:rsidR="004F361F" w:rsidRPr="00511005" w:rsidRDefault="004F361F" w:rsidP="003A292D">
      <w:pPr>
        <w:spacing w:line="264" w:lineRule="auto"/>
        <w:ind w:firstLine="567"/>
        <w:rPr>
          <w:rFonts w:ascii="Arial" w:eastAsia="Calibri" w:hAnsi="Arial" w:cs="Arial"/>
          <w:szCs w:val="28"/>
          <w:lang w:val="uk-UA" w:eastAsia="ru-RU"/>
        </w:rPr>
      </w:pPr>
      <w:r w:rsidRPr="00511005">
        <w:rPr>
          <w:rFonts w:ascii="Arial" w:eastAsia="Calibri" w:hAnsi="Arial" w:cs="Arial"/>
          <w:szCs w:val="28"/>
          <w:lang w:val="uk-UA" w:eastAsia="ru-RU"/>
        </w:rPr>
        <w:t>У звичайному правовому режимі, відповідно до ст. 1221 ЦК України [2], спадкова справа відкривається за останнім місцем проживання спадкодавця. Проте, з огляду на внутрішнє переміщення громадян, окупацію населених пунктів і блокування роботи державних установ, зазначений порядок було змінено. Згідно з оновленими положеннями Порядку [5], спадкову справу може відкрити будь-який нотаріус незалежно від територіального принципу. Якщо реєстр недоступний, нотаріус має право відкрити справу без перевірки, за умови здійснення такої перевірки впродовж п’яти робочих днів після відновлення доступу.</w:t>
      </w:r>
    </w:p>
    <w:p w14:paraId="7FCB1BF2" w14:textId="77777777" w:rsidR="004F361F" w:rsidRPr="00511005" w:rsidRDefault="004F361F" w:rsidP="003A292D">
      <w:pPr>
        <w:spacing w:line="264" w:lineRule="auto"/>
        <w:ind w:firstLine="567"/>
        <w:rPr>
          <w:rFonts w:ascii="Arial" w:eastAsia="Calibri" w:hAnsi="Arial" w:cs="Arial"/>
          <w:szCs w:val="28"/>
          <w:lang w:val="uk-UA" w:eastAsia="ru-RU"/>
        </w:rPr>
      </w:pPr>
      <w:r w:rsidRPr="00511005">
        <w:rPr>
          <w:rFonts w:ascii="Arial" w:eastAsia="Calibri" w:hAnsi="Arial" w:cs="Arial"/>
          <w:szCs w:val="28"/>
          <w:lang w:val="uk-UA" w:eastAsia="ru-RU"/>
        </w:rPr>
        <w:t>У ряді регіонів, які є тимчасово окупованими, доступ до Спадкового реєстру залишається технічно обмеженим. Таким чином, нотаріуси в цих регіонах працюють за спеціально адаптованими процедурами або взагалі не можуть здійснювати спадкові дії.</w:t>
      </w:r>
    </w:p>
    <w:p w14:paraId="2DFC1D62" w14:textId="77777777" w:rsidR="004F361F" w:rsidRPr="00511005" w:rsidRDefault="004F361F" w:rsidP="003A292D">
      <w:pPr>
        <w:spacing w:line="264" w:lineRule="auto"/>
        <w:ind w:firstLine="567"/>
        <w:rPr>
          <w:rFonts w:ascii="Arial" w:eastAsia="Calibri" w:hAnsi="Arial" w:cs="Arial"/>
          <w:szCs w:val="28"/>
          <w:lang w:val="uk-UA" w:eastAsia="ru-RU"/>
        </w:rPr>
      </w:pPr>
      <w:r w:rsidRPr="00511005">
        <w:rPr>
          <w:rFonts w:ascii="Arial" w:eastAsia="Calibri" w:hAnsi="Arial" w:cs="Arial"/>
          <w:szCs w:val="28"/>
          <w:lang w:val="uk-UA" w:eastAsia="ru-RU"/>
        </w:rPr>
        <w:t>Відповідно до ст. 1270 ЦК [2], спадкоємець має шість місяців із моменту відкриття спадщини для її прийняття. Цей строк є імперативним і не підлягає поновленню, навіть через поважні причини. Проте в умовах війни Кабінет Міністрів України постановою № 164 [3] тимчасово зупинив перебіг цього строку на період дії воєнного стану, але не більш як на чотири місяці. Водночас, зважаючи на те, що ця зміна не відображена у ЦК, виникає ймовірність правової колізії: суди можуть орієнтуватися на закон, а не на підзаконний акт, що створює ризики втрати спадкових прав у майбутньому. Це означає, що спадкоємцям слід не зволікати з прийняттям спадщини, навіть за наявності відстрочки.</w:t>
      </w:r>
    </w:p>
    <w:p w14:paraId="3C0005DA" w14:textId="77777777" w:rsidR="004F361F" w:rsidRPr="00511005" w:rsidRDefault="004F361F" w:rsidP="003A292D">
      <w:pPr>
        <w:spacing w:line="264" w:lineRule="auto"/>
        <w:ind w:firstLine="567"/>
        <w:rPr>
          <w:rFonts w:ascii="Arial" w:eastAsia="Calibri" w:hAnsi="Arial" w:cs="Arial"/>
          <w:szCs w:val="28"/>
          <w:lang w:val="uk-UA" w:eastAsia="ru-RU"/>
        </w:rPr>
      </w:pPr>
      <w:r w:rsidRPr="00511005">
        <w:rPr>
          <w:rFonts w:ascii="Arial" w:eastAsia="Calibri" w:hAnsi="Arial" w:cs="Arial"/>
          <w:szCs w:val="28"/>
          <w:lang w:val="uk-UA" w:eastAsia="ru-RU"/>
        </w:rPr>
        <w:lastRenderedPageBreak/>
        <w:t>Щодо спадкових справ, відкритих до введення воєнного стану, обмеження щодо видачі свідоцтв не застосовуються. За ст. 66 Закону України «Про нотаріат» [6], нотаріус оформлює такі документи за місцем відкриття спадщини. Однак, відповідно до Інформаційного листа Нотаріальної палати України від 21.03.2022 [7], усі справи, що були відкриті з порушенням територіальної компетенції під час воєнного стану, після його завершення мають бути передані відповідному нотаріусу.</w:t>
      </w:r>
    </w:p>
    <w:p w14:paraId="67ED6072" w14:textId="77777777" w:rsidR="004F361F" w:rsidRPr="00511005" w:rsidRDefault="004F361F" w:rsidP="003A292D">
      <w:pPr>
        <w:spacing w:line="264" w:lineRule="auto"/>
        <w:ind w:firstLine="567"/>
        <w:rPr>
          <w:rFonts w:ascii="Arial" w:eastAsia="Calibri" w:hAnsi="Arial" w:cs="Arial"/>
          <w:szCs w:val="28"/>
          <w:lang w:val="uk-UA" w:eastAsia="ru-RU"/>
        </w:rPr>
      </w:pPr>
      <w:r w:rsidRPr="00511005">
        <w:rPr>
          <w:rFonts w:ascii="Arial" w:eastAsia="Calibri" w:hAnsi="Arial" w:cs="Arial"/>
          <w:szCs w:val="28"/>
          <w:lang w:val="uk-UA" w:eastAsia="ru-RU"/>
        </w:rPr>
        <w:t>На тимчасово окупованих територіях та в районах активних бойових дій громадяни не мають змоги здійснити нотаріальне оформлення спадщини, зокрема через відсутність доступу до реєстрів і евакуацію нотаріусів. Законодавство наразі не передбачає механізмів передачі або відновлення спадкових справ у таких випадках, що створює прогалину в правовому регулюванні.</w:t>
      </w:r>
    </w:p>
    <w:p w14:paraId="1899F6F8" w14:textId="77777777" w:rsidR="004F361F" w:rsidRPr="00511005" w:rsidRDefault="004F361F" w:rsidP="003A292D">
      <w:pPr>
        <w:spacing w:line="264" w:lineRule="auto"/>
        <w:ind w:firstLine="567"/>
        <w:rPr>
          <w:rFonts w:ascii="Arial" w:eastAsia="Calibri" w:hAnsi="Arial" w:cs="Arial"/>
          <w:szCs w:val="28"/>
          <w:lang w:val="uk-UA" w:eastAsia="ru-RU"/>
        </w:rPr>
      </w:pPr>
      <w:r w:rsidRPr="00511005">
        <w:rPr>
          <w:rFonts w:ascii="Arial" w:eastAsia="Calibri" w:hAnsi="Arial" w:cs="Arial"/>
          <w:szCs w:val="28"/>
          <w:lang w:val="uk-UA" w:eastAsia="ru-RU"/>
        </w:rPr>
        <w:t>У період воєнного стану дозволено посвідчення заповітів без попередньої перевірки в реєстрі, якщо ця перевірка буде здійснена протягом п’яти днів після відновлення доступу. Згідно з п. 4 постанови КМУ № 164 [3], командири військових частин, поліції, а також працівники спецслужб уповноважені посвідчувати заповіти підлеглих осіб з обов’язковим подальшим переданням документів до Міністерства юстиції. Якщо громадянин перебуває в полоні, заповіт може бути посвідчений начальником табору — на підставі постанови КМУ від 15.06.1994 № 419 [8]. Також у закладах охорони здоров’я посвідчення заповітів здійснюють уповноважені медичні працівники відповідно до ст. 40 Закону України «Про нотаріат» [6].</w:t>
      </w:r>
    </w:p>
    <w:p w14:paraId="65A43DBE" w14:textId="77777777" w:rsidR="004F361F" w:rsidRPr="00511005" w:rsidRDefault="004F361F" w:rsidP="003A292D">
      <w:pPr>
        <w:spacing w:line="264" w:lineRule="auto"/>
        <w:ind w:firstLine="567"/>
        <w:rPr>
          <w:rFonts w:ascii="Arial" w:eastAsia="Calibri" w:hAnsi="Arial" w:cs="Arial"/>
          <w:szCs w:val="28"/>
          <w:lang w:val="uk-UA" w:eastAsia="ru-RU"/>
        </w:rPr>
      </w:pPr>
      <w:r w:rsidRPr="00511005">
        <w:rPr>
          <w:rFonts w:ascii="Arial" w:eastAsia="Calibri" w:hAnsi="Arial" w:cs="Arial"/>
          <w:szCs w:val="28"/>
          <w:lang w:val="uk-UA" w:eastAsia="ru-RU"/>
        </w:rPr>
        <w:t>Щодо спадкових договорів, то їх посвідчення можливе лише за участі нотаріусів, включених до спеціального переліку, затвердженого Міністерством юстиції на основі оновленої редакції постанови КМУ № 164 від 28.04.2022 [3].</w:t>
      </w:r>
    </w:p>
    <w:p w14:paraId="68E17DF5" w14:textId="77777777" w:rsidR="004F361F" w:rsidRPr="00511005" w:rsidRDefault="004F361F" w:rsidP="003A292D">
      <w:pPr>
        <w:spacing w:line="264" w:lineRule="auto"/>
        <w:ind w:firstLine="567"/>
        <w:rPr>
          <w:rFonts w:ascii="Arial" w:eastAsia="Calibri" w:hAnsi="Arial" w:cs="Arial"/>
          <w:szCs w:val="28"/>
          <w:lang w:val="uk-UA" w:eastAsia="ru-RU"/>
        </w:rPr>
      </w:pPr>
      <w:r w:rsidRPr="00511005">
        <w:rPr>
          <w:rFonts w:ascii="Arial" w:eastAsia="Calibri" w:hAnsi="Arial" w:cs="Arial"/>
          <w:b/>
          <w:bCs/>
          <w:szCs w:val="28"/>
          <w:lang w:val="uk-UA" w:eastAsia="ru-RU"/>
        </w:rPr>
        <w:t>Висновок:</w:t>
      </w:r>
      <w:r w:rsidRPr="00511005">
        <w:rPr>
          <w:rFonts w:ascii="Arial" w:eastAsia="Calibri" w:hAnsi="Arial" w:cs="Arial"/>
          <w:szCs w:val="28"/>
          <w:lang w:val="uk-UA" w:eastAsia="ru-RU"/>
        </w:rPr>
        <w:t xml:space="preserve"> Отже, воєнний стан в Україні призвів до суттєвого переосмислення механізмів реалізації спадкових прав. Запроваджені тимчасові нормативно-правові інструменти дозволили частково зберегти функціонування інституту спадкування навіть за умов обмеженого доступу до реєстрів та зміни місця перебування громадян. Проте відсутність системних змін на рівні Цивільного кодексу України [2] створює ситуацію правової невизначеності, яка може ускладнити судовий захист спадкових прав у майбутньому. </w:t>
      </w:r>
    </w:p>
    <w:p w14:paraId="2DAA1B56" w14:textId="08B3C60F" w:rsidR="004F361F" w:rsidRPr="00511005" w:rsidRDefault="007B2628" w:rsidP="007B2628">
      <w:pPr>
        <w:spacing w:line="264" w:lineRule="auto"/>
        <w:ind w:firstLine="567"/>
        <w:jc w:val="center"/>
        <w:rPr>
          <w:rFonts w:ascii="Arial" w:eastAsia="Calibri" w:hAnsi="Arial" w:cs="Arial"/>
          <w:b/>
          <w:bCs/>
          <w:i/>
          <w:iCs/>
          <w:szCs w:val="28"/>
          <w:lang w:val="uk-UA" w:eastAsia="ru-RU"/>
        </w:rPr>
      </w:pPr>
      <w:r w:rsidRPr="00511005">
        <w:rPr>
          <w:rFonts w:ascii="Arial" w:eastAsia="Calibri" w:hAnsi="Arial" w:cs="Arial"/>
          <w:b/>
          <w:bCs/>
          <w:i/>
          <w:iCs/>
          <w:szCs w:val="28"/>
          <w:lang w:val="uk-UA" w:eastAsia="ru-RU"/>
        </w:rPr>
        <w:t>Список використаних джерел</w:t>
      </w:r>
    </w:p>
    <w:p w14:paraId="71E78B54" w14:textId="77777777" w:rsidR="004F361F" w:rsidRPr="00511005" w:rsidRDefault="004F361F" w:rsidP="003F6A5D">
      <w:pPr>
        <w:numPr>
          <w:ilvl w:val="0"/>
          <w:numId w:val="336"/>
        </w:numPr>
        <w:spacing w:line="264" w:lineRule="auto"/>
        <w:ind w:left="0" w:firstLine="851"/>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 xml:space="preserve">Про введення воєнного стану в Україні: Указ Президента України від 24 лютого 2022 р. № 64/2022. Дата оновлення: 19.04.2025. URL: </w:t>
      </w:r>
      <w:hyperlink r:id="rId1308" w:anchor="Text" w:history="1">
        <w:r w:rsidRPr="00511005">
          <w:rPr>
            <w:rFonts w:ascii="Arial" w:eastAsia="Calibri" w:hAnsi="Arial" w:cs="Arial"/>
            <w:szCs w:val="28"/>
            <w:lang w:val="uk-UA" w:eastAsia="ru-RU"/>
          </w:rPr>
          <w:t>https://zakon.rada.gov.ua/laws/show/64/2022#Text</w:t>
        </w:r>
      </w:hyperlink>
      <w:r w:rsidRPr="00511005">
        <w:rPr>
          <w:rFonts w:ascii="Arial" w:eastAsia="Calibri" w:hAnsi="Arial" w:cs="Arial"/>
          <w:szCs w:val="28"/>
          <w:lang w:val="uk-UA" w:eastAsia="ru-RU"/>
        </w:rPr>
        <w:t xml:space="preserve"> (.</w:t>
      </w:r>
    </w:p>
    <w:p w14:paraId="5AD91498" w14:textId="77777777" w:rsidR="004F361F" w:rsidRPr="00511005" w:rsidRDefault="004F361F" w:rsidP="003F6A5D">
      <w:pPr>
        <w:numPr>
          <w:ilvl w:val="0"/>
          <w:numId w:val="336"/>
        </w:numPr>
        <w:spacing w:line="264" w:lineRule="auto"/>
        <w:ind w:left="0" w:firstLine="851"/>
        <w:contextualSpacing/>
        <w:jc w:val="left"/>
        <w:rPr>
          <w:rFonts w:ascii="Arial" w:eastAsia="Calibri" w:hAnsi="Arial" w:cs="Arial"/>
          <w:szCs w:val="28"/>
          <w:lang w:val="uk-UA" w:eastAsia="ru-RU"/>
        </w:rPr>
      </w:pPr>
      <w:r w:rsidRPr="00511005">
        <w:rPr>
          <w:rFonts w:ascii="Arial" w:eastAsia="Calibri" w:hAnsi="Arial" w:cs="Arial"/>
          <w:szCs w:val="28"/>
          <w:lang w:val="uk-UA" w:eastAsia="ru-RU"/>
        </w:rPr>
        <w:lastRenderedPageBreak/>
        <w:t xml:space="preserve">Цивільний кодекс України: Закон України від 16.01.2003 № 435-IV. Дата оновлення: 09.04.2025. URL: </w:t>
      </w:r>
      <w:hyperlink r:id="rId1309" w:history="1">
        <w:r w:rsidRPr="00511005">
          <w:rPr>
            <w:rFonts w:ascii="Arial" w:eastAsia="Calibri" w:hAnsi="Arial" w:cs="Arial"/>
            <w:szCs w:val="28"/>
            <w:lang w:val="uk-UA" w:eastAsia="ru-RU"/>
          </w:rPr>
          <w:t>https://zakon.rada.gov.ua/laws/show/435-15</w:t>
        </w:r>
      </w:hyperlink>
      <w:r w:rsidRPr="00511005">
        <w:rPr>
          <w:rFonts w:ascii="Arial" w:eastAsia="Calibri" w:hAnsi="Arial" w:cs="Arial"/>
          <w:szCs w:val="28"/>
          <w:lang w:val="uk-UA" w:eastAsia="ru-RU"/>
        </w:rPr>
        <w:t xml:space="preserve"> .</w:t>
      </w:r>
    </w:p>
    <w:p w14:paraId="54F7E774" w14:textId="77777777" w:rsidR="004F361F" w:rsidRPr="00511005" w:rsidRDefault="004F361F" w:rsidP="003F6A5D">
      <w:pPr>
        <w:numPr>
          <w:ilvl w:val="0"/>
          <w:numId w:val="336"/>
        </w:numPr>
        <w:spacing w:line="264" w:lineRule="auto"/>
        <w:ind w:left="0" w:firstLine="851"/>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 xml:space="preserve">Деякі питання нотаріату в умовах воєнного стану: Постанова Кабінету Міністрів України від 28 лютого 2022 р. № 164. Дата оновлення: 12.02.2025. URL: </w:t>
      </w:r>
      <w:hyperlink r:id="rId1310" w:anchor="Text" w:history="1">
        <w:r w:rsidRPr="00511005">
          <w:rPr>
            <w:rFonts w:ascii="Arial" w:eastAsia="Calibri" w:hAnsi="Arial" w:cs="Arial"/>
            <w:szCs w:val="28"/>
            <w:lang w:val="uk-UA" w:eastAsia="ru-RU"/>
          </w:rPr>
          <w:t>https://zakon.rada.gov.ua/laws/show/164-2022-%D0%BF#Text</w:t>
        </w:r>
      </w:hyperlink>
      <w:r w:rsidRPr="00511005">
        <w:rPr>
          <w:rFonts w:ascii="Arial" w:eastAsia="Calibri" w:hAnsi="Arial" w:cs="Arial"/>
          <w:szCs w:val="28"/>
          <w:lang w:val="uk-UA" w:eastAsia="ru-RU"/>
        </w:rPr>
        <w:t xml:space="preserve"> .</w:t>
      </w:r>
    </w:p>
    <w:p w14:paraId="45773DFC" w14:textId="77777777" w:rsidR="004F361F" w:rsidRPr="00511005" w:rsidRDefault="004F361F" w:rsidP="003F6A5D">
      <w:pPr>
        <w:numPr>
          <w:ilvl w:val="0"/>
          <w:numId w:val="336"/>
        </w:numPr>
        <w:spacing w:line="264" w:lineRule="auto"/>
        <w:ind w:left="0" w:firstLine="851"/>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 xml:space="preserve">Про затвердження Змін до деяких нормативно-правових актів у сфері нотаріату: Наказ Міністерства юстиції України від 11 березня 2022 р. № 1118/5. URL: </w:t>
      </w:r>
      <w:hyperlink r:id="rId1311" w:anchor="Text" w:history="1">
        <w:r w:rsidRPr="00511005">
          <w:rPr>
            <w:rFonts w:ascii="Arial" w:eastAsia="Calibri" w:hAnsi="Arial" w:cs="Arial"/>
            <w:szCs w:val="28"/>
            <w:lang w:val="uk-UA" w:eastAsia="ru-RU"/>
          </w:rPr>
          <w:t>https://zakon.rada.gov.ua/laws/show/z0325-22#Text</w:t>
        </w:r>
      </w:hyperlink>
      <w:r w:rsidRPr="00511005">
        <w:rPr>
          <w:rFonts w:ascii="Arial" w:eastAsia="Calibri" w:hAnsi="Arial" w:cs="Arial"/>
          <w:szCs w:val="28"/>
          <w:lang w:val="uk-UA" w:eastAsia="ru-RU"/>
        </w:rPr>
        <w:t xml:space="preserve"> .</w:t>
      </w:r>
    </w:p>
    <w:p w14:paraId="0A91B528" w14:textId="77777777" w:rsidR="004F361F" w:rsidRPr="00511005" w:rsidRDefault="004F361F" w:rsidP="003F6A5D">
      <w:pPr>
        <w:numPr>
          <w:ilvl w:val="0"/>
          <w:numId w:val="336"/>
        </w:numPr>
        <w:spacing w:line="264" w:lineRule="auto"/>
        <w:ind w:left="0" w:firstLine="851"/>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 xml:space="preserve">Про затвердження Порядку вчинення нотаріальних дій нотаріусами України: Наказ Міністерства юстиції України від 22 лютого 2012 р. № 296/5. Дата оновлення: 09.04.2025. URL: </w:t>
      </w:r>
      <w:hyperlink r:id="rId1312" w:anchor="Text" w:history="1">
        <w:r w:rsidRPr="00511005">
          <w:rPr>
            <w:rFonts w:ascii="Arial" w:eastAsia="Calibri" w:hAnsi="Arial" w:cs="Arial"/>
            <w:szCs w:val="28"/>
            <w:lang w:val="uk-UA" w:eastAsia="ru-RU"/>
          </w:rPr>
          <w:t>https://zakon.rada.gov.ua/laws/show/z0282-12#Text</w:t>
        </w:r>
      </w:hyperlink>
      <w:r w:rsidRPr="00511005">
        <w:rPr>
          <w:rFonts w:ascii="Arial" w:eastAsia="Calibri" w:hAnsi="Arial" w:cs="Arial"/>
          <w:szCs w:val="28"/>
          <w:lang w:val="uk-UA" w:eastAsia="ru-RU"/>
        </w:rPr>
        <w:t xml:space="preserve"> .</w:t>
      </w:r>
    </w:p>
    <w:p w14:paraId="12DF7362" w14:textId="77777777" w:rsidR="004F361F" w:rsidRPr="00511005" w:rsidRDefault="004F361F" w:rsidP="003F6A5D">
      <w:pPr>
        <w:numPr>
          <w:ilvl w:val="0"/>
          <w:numId w:val="336"/>
        </w:numPr>
        <w:spacing w:line="264" w:lineRule="auto"/>
        <w:ind w:left="0" w:firstLine="851"/>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 xml:space="preserve">Про нотаріат: Закон України від 02 вересня 1993 р. № 3425-XII. Дата оновлення: 10.01.2025. URL: </w:t>
      </w:r>
      <w:hyperlink r:id="rId1313" w:anchor="Text" w:history="1">
        <w:r w:rsidRPr="00511005">
          <w:rPr>
            <w:rFonts w:ascii="Arial" w:eastAsia="Calibri" w:hAnsi="Arial" w:cs="Arial"/>
            <w:szCs w:val="28"/>
            <w:lang w:val="uk-UA" w:eastAsia="ru-RU"/>
          </w:rPr>
          <w:t>https://zakon.rada.gov.ua/laws/show/3425-12#Text</w:t>
        </w:r>
      </w:hyperlink>
      <w:r w:rsidRPr="00511005">
        <w:rPr>
          <w:rFonts w:ascii="Arial" w:eastAsia="Calibri" w:hAnsi="Arial" w:cs="Arial"/>
          <w:szCs w:val="28"/>
          <w:lang w:val="uk-UA" w:eastAsia="ru-RU"/>
        </w:rPr>
        <w:t xml:space="preserve"> .</w:t>
      </w:r>
    </w:p>
    <w:p w14:paraId="215A44C1" w14:textId="77777777" w:rsidR="004F361F" w:rsidRPr="00511005" w:rsidRDefault="004F361F" w:rsidP="003F6A5D">
      <w:pPr>
        <w:numPr>
          <w:ilvl w:val="0"/>
          <w:numId w:val="336"/>
        </w:numPr>
        <w:spacing w:line="264" w:lineRule="auto"/>
        <w:ind w:left="0" w:firstLine="851"/>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 xml:space="preserve">Щодо окремих питань внесення змін до деяких нормативно-правових актів у сфері нотаріату: Інформаційний лист Нотаріальної палати від 21.03.2022 р. URL: </w:t>
      </w:r>
      <w:hyperlink r:id="rId1314" w:history="1">
        <w:r w:rsidRPr="00511005">
          <w:rPr>
            <w:rFonts w:ascii="Arial" w:eastAsia="Calibri" w:hAnsi="Arial" w:cs="Arial"/>
            <w:szCs w:val="28"/>
            <w:lang w:val="uk-UA" w:eastAsia="ru-RU"/>
          </w:rPr>
          <w:t>https://ips.ligazakon.net/document/view/mus36825?utm_source=jurliga.ligazakon.net&amp;utm_medium=news&amp;utm_content=jl03</w:t>
        </w:r>
      </w:hyperlink>
      <w:r w:rsidRPr="00511005">
        <w:rPr>
          <w:rFonts w:ascii="Arial" w:eastAsia="Calibri" w:hAnsi="Arial" w:cs="Arial"/>
          <w:szCs w:val="28"/>
          <w:lang w:val="uk-UA" w:eastAsia="ru-RU"/>
        </w:rPr>
        <w:t xml:space="preserve"> . </w:t>
      </w:r>
    </w:p>
    <w:p w14:paraId="2665DE13" w14:textId="77777777" w:rsidR="007B2628" w:rsidRPr="00511005" w:rsidRDefault="004F361F" w:rsidP="003F6A5D">
      <w:pPr>
        <w:numPr>
          <w:ilvl w:val="0"/>
          <w:numId w:val="336"/>
        </w:numPr>
        <w:spacing w:line="264" w:lineRule="auto"/>
        <w:ind w:left="0" w:firstLine="851"/>
        <w:contextualSpacing/>
        <w:jc w:val="left"/>
        <w:rPr>
          <w:rFonts w:ascii="Arial" w:eastAsia="Calibri" w:hAnsi="Arial" w:cs="Arial"/>
          <w:szCs w:val="28"/>
          <w:lang w:val="uk-UA" w:eastAsia="ru-RU"/>
        </w:rPr>
      </w:pPr>
      <w:r w:rsidRPr="00511005">
        <w:rPr>
          <w:rFonts w:ascii="Arial" w:eastAsia="Calibri" w:hAnsi="Arial" w:cs="Arial"/>
          <w:szCs w:val="28"/>
          <w:lang w:val="uk-UA" w:eastAsia="ru-RU"/>
        </w:rPr>
        <w:t xml:space="preserve">Про порядок посвідчення заповітів і довіреностей, що прирівнюються до нотаріально посвідчених: Постанова Кабінету Міністрів України від 15.06.1994 р. № 419. Дата оновлення: 29.10.2022. URL: </w:t>
      </w:r>
      <w:hyperlink r:id="rId1315" w:anchor="Text" w:history="1">
        <w:r w:rsidRPr="00511005">
          <w:rPr>
            <w:rFonts w:ascii="Arial" w:eastAsia="Calibri" w:hAnsi="Arial" w:cs="Arial"/>
            <w:szCs w:val="28"/>
            <w:lang w:val="uk-UA" w:eastAsia="ru-RU"/>
          </w:rPr>
          <w:t>https://zakon.rada.gov.ua/laws/show/419-94-%D0%BF#Text</w:t>
        </w:r>
      </w:hyperlink>
      <w:r w:rsidRPr="00511005">
        <w:rPr>
          <w:rFonts w:ascii="Arial" w:eastAsia="Calibri" w:hAnsi="Arial" w:cs="Arial"/>
          <w:szCs w:val="28"/>
          <w:lang w:val="uk-UA" w:eastAsia="ru-RU"/>
        </w:rPr>
        <w:t xml:space="preserve"> .</w:t>
      </w:r>
    </w:p>
    <w:p w14:paraId="3CFFD2AD" w14:textId="7014D9CE" w:rsidR="007B2628" w:rsidRPr="00511005" w:rsidRDefault="007B2628" w:rsidP="003A292D">
      <w:pPr>
        <w:spacing w:line="264" w:lineRule="auto"/>
        <w:ind w:firstLine="0"/>
        <w:jc w:val="left"/>
        <w:rPr>
          <w:rFonts w:ascii="Arial" w:eastAsia="Calibri" w:hAnsi="Arial" w:cs="Arial"/>
          <w:szCs w:val="28"/>
          <w:lang w:val="uk-UA" w:eastAsia="ru-RU"/>
        </w:rPr>
      </w:pPr>
      <w:r w:rsidRPr="00511005">
        <w:rPr>
          <w:rFonts w:ascii="Arial" w:eastAsia="Calibri" w:hAnsi="Arial" w:cs="Arial"/>
          <w:b/>
          <w:bCs/>
          <w:i/>
          <w:szCs w:val="28"/>
          <w:lang w:val="uk-UA" w:eastAsia="ru-RU"/>
        </w:rPr>
        <w:t xml:space="preserve">Ключові слова: </w:t>
      </w:r>
      <w:r w:rsidR="004F361F" w:rsidRPr="00511005">
        <w:rPr>
          <w:rFonts w:ascii="Arial" w:eastAsia="Calibri" w:hAnsi="Arial" w:cs="Arial"/>
          <w:szCs w:val="28"/>
          <w:lang w:val="uk-UA" w:eastAsia="ru-RU"/>
        </w:rPr>
        <w:t xml:space="preserve">спадкове право, цивільне право, воєнний стан, нотаріальні процедури, спадкова справа, територіальна окупація, переміщення громадян, правова невизначеність. </w:t>
      </w:r>
    </w:p>
    <w:p w14:paraId="226B362E" w14:textId="33A146B5" w:rsidR="004F361F" w:rsidRPr="00511005" w:rsidRDefault="007B2628" w:rsidP="003A292D">
      <w:pPr>
        <w:spacing w:line="264" w:lineRule="auto"/>
        <w:ind w:firstLine="0"/>
        <w:jc w:val="left"/>
        <w:rPr>
          <w:rFonts w:ascii="Arial" w:eastAsia="Calibri" w:hAnsi="Arial" w:cs="Arial"/>
          <w:szCs w:val="28"/>
          <w:lang w:val="uk-UA" w:eastAsia="ru-RU"/>
        </w:rPr>
      </w:pPr>
      <w:r w:rsidRPr="00511005">
        <w:rPr>
          <w:rFonts w:ascii="Arial" w:eastAsia="Calibri" w:hAnsi="Arial" w:cs="Arial"/>
          <w:b/>
          <w:bCs/>
          <w:i/>
          <w:szCs w:val="28"/>
          <w:lang w:val="uk-UA" w:eastAsia="ru-RU"/>
        </w:rPr>
        <w:t xml:space="preserve">Key words: </w:t>
      </w:r>
      <w:r w:rsidR="004F361F" w:rsidRPr="00511005">
        <w:rPr>
          <w:rFonts w:ascii="Arial" w:eastAsia="Calibri" w:hAnsi="Arial" w:cs="Arial"/>
          <w:szCs w:val="28"/>
          <w:lang w:val="uk-UA" w:eastAsia="ru-RU"/>
        </w:rPr>
        <w:t>inheritance law, civil law, martial law, notarial procedures, inheritance case, territorial occupation, displacement of citizens, legal uncertainty.</w:t>
      </w:r>
    </w:p>
    <w:p w14:paraId="060A3464" w14:textId="486B426D" w:rsidR="004F361F" w:rsidRPr="00511005" w:rsidRDefault="007B2628" w:rsidP="003666FB">
      <w:pPr>
        <w:spacing w:line="264" w:lineRule="auto"/>
        <w:ind w:firstLine="0"/>
        <w:rPr>
          <w:rFonts w:ascii="Arial" w:eastAsia="Calibri" w:hAnsi="Arial" w:cs="Arial"/>
          <w:i/>
          <w:szCs w:val="28"/>
          <w:lang w:val="uk-UA" w:eastAsia="ru-RU"/>
        </w:rPr>
      </w:pPr>
      <w:r w:rsidRPr="00511005">
        <w:rPr>
          <w:rFonts w:ascii="Arial" w:eastAsia="Calibri" w:hAnsi="Arial" w:cs="Arial"/>
          <w:b/>
          <w:i/>
          <w:iCs/>
          <w:szCs w:val="28"/>
          <w:lang w:val="uk-UA" w:eastAsia="ru-RU"/>
        </w:rPr>
        <w:t xml:space="preserve">Науковий керівник: </w:t>
      </w:r>
      <w:r w:rsidR="004F361F" w:rsidRPr="00511005">
        <w:rPr>
          <w:rFonts w:ascii="Arial" w:eastAsia="Calibri" w:hAnsi="Arial" w:cs="Arial"/>
          <w:i/>
          <w:iCs/>
          <w:szCs w:val="28"/>
          <w:lang w:val="uk-UA" w:eastAsia="ru-RU"/>
        </w:rPr>
        <w:t>д.ю.н., проф</w:t>
      </w:r>
      <w:r w:rsidR="003666FB">
        <w:rPr>
          <w:rFonts w:ascii="Arial" w:eastAsia="Calibri" w:hAnsi="Arial" w:cs="Arial"/>
          <w:i/>
          <w:iCs/>
          <w:szCs w:val="28"/>
          <w:lang w:val="uk-UA" w:eastAsia="ru-RU"/>
        </w:rPr>
        <w:t>есор</w:t>
      </w:r>
      <w:r w:rsidR="004F361F" w:rsidRPr="00511005">
        <w:rPr>
          <w:rFonts w:ascii="Arial" w:eastAsia="Calibri" w:hAnsi="Arial" w:cs="Arial"/>
          <w:i/>
          <w:iCs/>
          <w:szCs w:val="28"/>
          <w:lang w:val="uk-UA" w:eastAsia="ru-RU"/>
        </w:rPr>
        <w:t xml:space="preserve"> Сафончик О.І.</w:t>
      </w:r>
    </w:p>
    <w:p w14:paraId="5088A436" w14:textId="77777777" w:rsidR="004F361F" w:rsidRPr="00511005" w:rsidRDefault="004F361F" w:rsidP="003A292D">
      <w:pPr>
        <w:spacing w:line="264" w:lineRule="auto"/>
        <w:ind w:left="720" w:firstLine="0"/>
        <w:contextualSpacing/>
        <w:rPr>
          <w:rFonts w:ascii="Arial" w:eastAsia="Calibri" w:hAnsi="Arial" w:cs="Arial"/>
          <w:szCs w:val="28"/>
          <w:lang w:val="uk-UA" w:eastAsia="ru-RU"/>
        </w:rPr>
      </w:pPr>
    </w:p>
    <w:p w14:paraId="4595757D"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11C917D3" w14:textId="77777777" w:rsidR="003F5D68" w:rsidRPr="00511005" w:rsidRDefault="003F5D68" w:rsidP="003A292D">
      <w:pPr>
        <w:keepNext/>
        <w:suppressAutoHyphens/>
        <w:spacing w:line="264" w:lineRule="auto"/>
        <w:ind w:firstLine="0"/>
        <w:jc w:val="left"/>
        <w:rPr>
          <w:rFonts w:ascii="Arial" w:hAnsi="Arial" w:cs="Arial"/>
          <w:szCs w:val="28"/>
        </w:rPr>
      </w:pPr>
    </w:p>
    <w:p w14:paraId="6AA3C434" w14:textId="6635C4CE" w:rsidR="003F5D68" w:rsidRPr="00511005" w:rsidRDefault="003F5D68" w:rsidP="003A292D">
      <w:pPr>
        <w:pStyle w:val="aa"/>
        <w:spacing w:before="0" w:after="0" w:line="264" w:lineRule="auto"/>
        <w:rPr>
          <w:rFonts w:ascii="Arial" w:hAnsi="Arial" w:cs="Arial"/>
          <w:color w:val="auto"/>
          <w:sz w:val="28"/>
          <w:szCs w:val="28"/>
        </w:rPr>
      </w:pPr>
      <w:bookmarkStart w:id="168" w:name="_Toc208298998"/>
      <w:r w:rsidRPr="00511005">
        <w:rPr>
          <w:rFonts w:ascii="Arial" w:hAnsi="Arial" w:cs="Arial"/>
          <w:color w:val="auto"/>
          <w:sz w:val="28"/>
          <w:szCs w:val="28"/>
        </w:rPr>
        <w:t xml:space="preserve">СЕКЦІЯ </w:t>
      </w:r>
      <w:r w:rsidRPr="00511005">
        <w:rPr>
          <w:rFonts w:ascii="Arial" w:hAnsi="Arial" w:cs="Arial"/>
          <w:color w:val="auto"/>
          <w:sz w:val="28"/>
          <w:szCs w:val="28"/>
          <w:lang w:val="ru-RU"/>
        </w:rPr>
        <w:t>9. ПРОБЛЕМНІ ПИТАННЯ ПРАВА ІНТЕЛЕКТУАЛЬНОЇ ВЛАСНОСТІ ТА ПАТЕНТНОЇ ЮСТИЦІЇ</w:t>
      </w:r>
      <w:bookmarkEnd w:id="168"/>
      <w:r w:rsidRPr="00511005">
        <w:rPr>
          <w:rFonts w:ascii="Arial" w:hAnsi="Arial" w:cs="Arial"/>
          <w:color w:val="auto"/>
          <w:sz w:val="28"/>
          <w:szCs w:val="28"/>
        </w:rPr>
        <w:t xml:space="preserve"> </w:t>
      </w:r>
    </w:p>
    <w:p w14:paraId="27AAF4D4" w14:textId="4253ACE9" w:rsidR="003F5D68" w:rsidRPr="00511005" w:rsidRDefault="003F5D68" w:rsidP="003A292D">
      <w:pPr>
        <w:keepNext/>
        <w:spacing w:line="264" w:lineRule="auto"/>
        <w:ind w:firstLine="0"/>
        <w:jc w:val="left"/>
        <w:rPr>
          <w:rFonts w:ascii="Arial" w:hAnsi="Arial" w:cs="Arial"/>
          <w:szCs w:val="28"/>
        </w:rPr>
      </w:pPr>
    </w:p>
    <w:p w14:paraId="3D7C8689" w14:textId="77777777" w:rsidR="005F048D" w:rsidRPr="00511005" w:rsidRDefault="005F048D" w:rsidP="003A292D">
      <w:pPr>
        <w:spacing w:line="264" w:lineRule="auto"/>
        <w:ind w:firstLine="0"/>
        <w:jc w:val="center"/>
        <w:rPr>
          <w:rFonts w:ascii="Arial" w:eastAsia="Calibri" w:hAnsi="Arial" w:cs="Arial"/>
          <w:szCs w:val="28"/>
          <w:lang w:val="uk-UA" w:eastAsia="uk-UA"/>
        </w:rPr>
      </w:pPr>
      <w:r w:rsidRPr="00511005">
        <w:rPr>
          <w:rFonts w:ascii="Arial" w:eastAsia="Calibri" w:hAnsi="Arial" w:cs="Arial"/>
          <w:b/>
          <w:i/>
          <w:szCs w:val="28"/>
          <w:lang w:val="uk-UA" w:eastAsia="uk-UA"/>
        </w:rPr>
        <w:t>Арабова Катерина Юріївна</w:t>
      </w:r>
    </w:p>
    <w:p w14:paraId="6D41F921" w14:textId="08AC6B33" w:rsidR="005F048D" w:rsidRPr="00511005" w:rsidRDefault="00536AAB" w:rsidP="003A292D">
      <w:pPr>
        <w:spacing w:line="264" w:lineRule="auto"/>
        <w:ind w:firstLine="0"/>
        <w:jc w:val="center"/>
        <w:rPr>
          <w:rFonts w:ascii="Arial" w:eastAsia="Calibri" w:hAnsi="Arial" w:cs="Arial"/>
          <w:iCs/>
          <w:szCs w:val="28"/>
          <w:lang w:val="uk-UA" w:eastAsia="uk-UA"/>
        </w:rPr>
      </w:pPr>
      <w:r w:rsidRPr="00511005">
        <w:rPr>
          <w:rFonts w:ascii="Arial" w:eastAsia="Calibri" w:hAnsi="Arial" w:cs="Arial"/>
          <w:iCs/>
          <w:szCs w:val="28"/>
          <w:lang w:val="uk-UA" w:eastAsia="uk-UA"/>
        </w:rPr>
        <w:t xml:space="preserve">студентка 4-го курсу </w:t>
      </w:r>
      <w:r w:rsidR="007B2628" w:rsidRPr="00511005">
        <w:rPr>
          <w:rFonts w:ascii="Arial" w:eastAsia="Calibri" w:hAnsi="Arial" w:cs="Arial"/>
          <w:iCs/>
          <w:szCs w:val="28"/>
          <w:lang w:val="uk-UA" w:eastAsia="uk-UA"/>
        </w:rPr>
        <w:t>факультету цивільної та господарської юстиції</w:t>
      </w:r>
      <w:r w:rsidR="005F048D" w:rsidRPr="00511005">
        <w:rPr>
          <w:rFonts w:ascii="Arial" w:eastAsia="Calibri" w:hAnsi="Arial" w:cs="Arial"/>
          <w:iCs/>
          <w:szCs w:val="28"/>
          <w:lang w:val="uk-UA" w:eastAsia="uk-UA"/>
        </w:rPr>
        <w:t xml:space="preserve"> </w:t>
      </w:r>
      <w:r w:rsidR="007B2628" w:rsidRPr="00511005">
        <w:rPr>
          <w:rFonts w:ascii="Arial" w:eastAsia="Calibri" w:hAnsi="Arial" w:cs="Arial"/>
          <w:iCs/>
          <w:szCs w:val="28"/>
          <w:lang w:val="uk-UA" w:eastAsia="uk-UA"/>
        </w:rPr>
        <w:t>Національного університету «Одеська юридична академія»</w:t>
      </w:r>
    </w:p>
    <w:p w14:paraId="16FF4C25" w14:textId="77777777" w:rsidR="005F048D" w:rsidRPr="00511005" w:rsidRDefault="005F048D" w:rsidP="003A292D">
      <w:pPr>
        <w:spacing w:line="264" w:lineRule="auto"/>
        <w:ind w:firstLine="0"/>
        <w:jc w:val="center"/>
        <w:rPr>
          <w:rFonts w:ascii="Arial" w:eastAsia="Calibri" w:hAnsi="Arial" w:cs="Arial"/>
          <w:iCs/>
          <w:szCs w:val="28"/>
          <w:lang w:val="uk-UA" w:eastAsia="uk-UA"/>
        </w:rPr>
      </w:pPr>
    </w:p>
    <w:p w14:paraId="5B18E34F" w14:textId="77777777" w:rsidR="005F048D" w:rsidRPr="00511005" w:rsidRDefault="005F048D" w:rsidP="003A292D">
      <w:pPr>
        <w:spacing w:line="264" w:lineRule="auto"/>
        <w:ind w:firstLine="0"/>
        <w:jc w:val="center"/>
        <w:rPr>
          <w:rFonts w:ascii="Arial" w:eastAsia="Calibri" w:hAnsi="Arial" w:cs="Arial"/>
          <w:szCs w:val="28"/>
          <w:lang w:val="uk-UA" w:eastAsia="uk-UA"/>
        </w:rPr>
      </w:pPr>
      <w:r w:rsidRPr="00511005">
        <w:rPr>
          <w:rFonts w:ascii="Arial" w:eastAsia="Calibri" w:hAnsi="Arial" w:cs="Arial"/>
          <w:b/>
          <w:caps/>
          <w:szCs w:val="28"/>
          <w:lang w:val="uk-UA" w:eastAsia="uk-UA"/>
        </w:rPr>
        <w:t>Плагіат vs натхнення: де межа в праві інтелектуальної власності?</w:t>
      </w:r>
    </w:p>
    <w:p w14:paraId="64D52C8E"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Times New Roman" w:hAnsi="Arial" w:cs="Arial"/>
          <w:b/>
          <w:bCs/>
          <w:szCs w:val="28"/>
          <w:lang w:val="uk-UA" w:eastAsia="ru-RU"/>
        </w:rPr>
        <w:t xml:space="preserve">Вступ. </w:t>
      </w:r>
      <w:r w:rsidRPr="00511005">
        <w:rPr>
          <w:rFonts w:ascii="Arial" w:eastAsia="Times New Roman" w:hAnsi="Arial" w:cs="Arial"/>
          <w:szCs w:val="28"/>
          <w:lang w:val="uk-UA" w:eastAsia="ru-RU"/>
        </w:rPr>
        <w:t xml:space="preserve">В Україні право інтелектуальної власності перебуває під охороною закону, охоплюючи різноманітні форми творчої та інноваційної діяльності. Ці права відіграють вирішальну роль у стимулюванні творчості, інновацій та економічного розвитку. Конституція України гарантує кожному право на результати своєї інтелектуальної та творчої діяльності. Наголошення на правовому захисті свідчить про суспільну цінність, яка надається інтелектуальному творенню, та про необхідність запобігання несанкціонованому використанню. Реєстрація об’єктів права інтелектуальної власності забезпечує сильніший юридичний захист у судовому порядку. Реєстрація є формальним визнанням і посилює здатність захищатися від порушень, включно з плагіатом. </w:t>
      </w:r>
    </w:p>
    <w:p w14:paraId="611B4223"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Times New Roman" w:hAnsi="Arial" w:cs="Arial"/>
          <w:szCs w:val="28"/>
          <w:lang w:val="uk-UA" w:eastAsia="ru-RU"/>
        </w:rPr>
        <w:t xml:space="preserve">В умовах швидкого поширення інформації захист інтелектуальної власності, особливо авторського права, набуває все більшої актуальності. Межа між законним натхненням та незаконним плагіатом часто є розмитою та підлягає тлумаченню. Останні судові справи та академічні дискусії підкреслюють постійні труднощі у визначенні цієї межі. Динамічний характер творчої роботи та легкість доступу до існуючих творів онлайн роблять це розмежування постійним предметом суперечок та юридичної перевірки. </w:t>
      </w:r>
    </w:p>
    <w:p w14:paraId="6DC530E6"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Times New Roman" w:hAnsi="Arial" w:cs="Arial"/>
          <w:szCs w:val="28"/>
          <w:lang w:val="uk-UA" w:eastAsia="ru-RU"/>
        </w:rPr>
        <w:t>Метою цього звіту є надання поглибленого аналізу юридичного визначення плагіату в Україні, розмежування його з поняттям натхнення та дослідження правових наслідків. Структура звіту охоплюватиме юридичне визначення плагіату, природу натхнення, критерії розмежування між ними, відповідну судову практику, експертну оцінку та юридичну відповідальність.</w:t>
      </w:r>
    </w:p>
    <w:p w14:paraId="40F1CEE2" w14:textId="2B81066A" w:rsidR="005F048D" w:rsidRPr="00511005" w:rsidRDefault="005F048D" w:rsidP="003A292D">
      <w:pPr>
        <w:spacing w:line="264" w:lineRule="auto"/>
        <w:rPr>
          <w:rFonts w:ascii="Arial" w:eastAsia="Calibri" w:hAnsi="Arial" w:cs="Arial"/>
          <w:szCs w:val="28"/>
          <w:lang w:val="uk-UA" w:eastAsia="uk-UA"/>
        </w:rPr>
      </w:pPr>
      <w:r w:rsidRPr="00511005">
        <w:rPr>
          <w:rFonts w:ascii="Arial" w:eastAsia="Times New Roman" w:hAnsi="Arial" w:cs="Arial"/>
          <w:b/>
          <w:bCs/>
          <w:szCs w:val="28"/>
          <w:lang w:val="uk-UA" w:eastAsia="ru-RU"/>
        </w:rPr>
        <w:t>Плагіат: юридичне визначення та ключові ознаки в Україні</w:t>
      </w:r>
      <w:r w:rsidRPr="00511005">
        <w:rPr>
          <w:rFonts w:ascii="Arial" w:eastAsia="Calibri" w:hAnsi="Arial" w:cs="Arial"/>
          <w:szCs w:val="28"/>
          <w:lang w:val="uk-UA" w:eastAsia="uk-UA"/>
        </w:rPr>
        <w:t xml:space="preserve">. </w:t>
      </w:r>
      <w:r w:rsidRPr="00511005">
        <w:rPr>
          <w:rFonts w:ascii="Arial" w:eastAsia="Times New Roman" w:hAnsi="Arial" w:cs="Arial"/>
          <w:szCs w:val="28"/>
          <w:lang w:val="uk-UA" w:eastAsia="ru-RU"/>
        </w:rPr>
        <w:t>Стаття 50 Закону України «Про авторське право і суміжні права» визначає плагіат як оприлюднення (опублікування) повністю або частково чужого твору під іменем особи, яка не є автором цього твору. Це визначення наголошує на привласненні авторства. Юридичне визначення є досить конкретним, зосереджуючись на акті представлення чужої роботи як своєї власної, що становить основу для юридичних дій.</w:t>
      </w:r>
      <w:r w:rsidR="007B2628" w:rsidRPr="00511005">
        <w:rPr>
          <w:rFonts w:ascii="Arial" w:eastAsia="Times New Roman" w:hAnsi="Arial" w:cs="Arial"/>
          <w:szCs w:val="28"/>
          <w:lang w:val="uk-UA" w:eastAsia="ru-RU"/>
        </w:rPr>
        <w:t xml:space="preserve"> </w:t>
      </w:r>
    </w:p>
    <w:p w14:paraId="179A7A2A" w14:textId="77777777" w:rsidR="005F048D" w:rsidRPr="00511005" w:rsidRDefault="005F048D"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Плагіат включає копіювання чужої роботи та її оприлюднення під своїм іменем, подання суміші власних та запозичених аргументів без належного </w:t>
      </w:r>
      <w:r w:rsidRPr="00511005">
        <w:rPr>
          <w:rFonts w:ascii="Arial" w:eastAsia="Times New Roman" w:hAnsi="Arial" w:cs="Arial"/>
          <w:szCs w:val="28"/>
          <w:lang w:val="uk-UA" w:eastAsia="ru-RU"/>
        </w:rPr>
        <w:lastRenderedPageBreak/>
        <w:t>цитування джерел, а також перефразування без належного зазначення авторства. Він також охоплює привласнення чужих ідей, сюжетів, образів чи стилю. Самоплагіат виникає, коли особа повторно публікує власну раніше опубліковану роботу без зазначення попередньої публікації або використовує значні частини своєї дисертації в новій статті без цитування. Юридична концепція виходить за межі дослівного копіювання та включає різні форми несанкціонованого використання та спотворення авторства, включаючи власні попередні роботи, що тепер прямо регулюється.</w:t>
      </w:r>
    </w:p>
    <w:p w14:paraId="1C4D4A5E"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Times New Roman" w:hAnsi="Arial" w:cs="Arial"/>
          <w:szCs w:val="28"/>
          <w:lang w:val="uk-UA" w:eastAsia="ru-RU"/>
        </w:rPr>
        <w:t xml:space="preserve">Для юридичного визнання плагіату твір, що містить плагіат, має бути оприлюднений або доведений до загального відома в будь-який спосіб. Акт доведення плагіату до відома інших є вирішальним елементом для юридичної дії, оскільки саме тоді порушення стає відчутним і потенційно шкідливим. </w:t>
      </w:r>
    </w:p>
    <w:p w14:paraId="5C2AB8F6"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Times New Roman" w:hAnsi="Arial" w:cs="Arial"/>
          <w:b/>
          <w:bCs/>
          <w:szCs w:val="28"/>
          <w:lang w:val="uk-UA" w:eastAsia="ru-RU"/>
        </w:rPr>
        <w:t>Натхнення як рушійна сила творчості</w:t>
      </w:r>
      <w:r w:rsidRPr="00511005">
        <w:rPr>
          <w:rFonts w:ascii="Arial" w:eastAsia="Calibri" w:hAnsi="Arial" w:cs="Arial"/>
          <w:szCs w:val="28"/>
          <w:lang w:val="uk-UA" w:eastAsia="uk-UA"/>
        </w:rPr>
        <w:t xml:space="preserve">. </w:t>
      </w:r>
      <w:r w:rsidRPr="00511005">
        <w:rPr>
          <w:rFonts w:ascii="Arial" w:eastAsia="Times New Roman" w:hAnsi="Arial" w:cs="Arial"/>
          <w:szCs w:val="28"/>
          <w:lang w:val="uk-UA" w:eastAsia="ru-RU"/>
        </w:rPr>
        <w:t xml:space="preserve">Натхнення є тією загадковою силою, яка приводить у рух творчі процеси та дарує нові ідеї. Це психологічний стан особливого емоційного піднесення, внутрішнього осяяння та одухотвореної пристрасті, що призводить до сплеску духовної та фізичної енергії. Натхнення передбачає повне зосередження уваги на предметі творчості та відсторонення від усього іншого. Його можна розглядати як найвищий кульмінаційний творчий стан, де поєднуються пізнавальна та емоційна сфери. У філософському плані натхнення в мистецтві пов’язане з розумінням та вираженням сутності світу. Натхнення характеризується піднесеним розумовим та емоційним станом, що сприяє генеруванню нових ідей та творчих рішень. Це контрастує з навмисним актом копіювання при плагіаті. </w:t>
      </w:r>
    </w:p>
    <w:p w14:paraId="6E0693C6"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Times New Roman" w:hAnsi="Arial" w:cs="Arial"/>
          <w:szCs w:val="28"/>
          <w:lang w:val="uk-UA" w:eastAsia="ru-RU"/>
        </w:rPr>
        <w:t xml:space="preserve">Джерела натхнення є численними та різноманітними, включаючи любов, книги, вулицю, твори мистецтва та навіть їжу. Воно може виникати зі спостереження за природою, взаємодії з людьми, вивчення архітектури або переживання повсякденного життя. Творчі вправи, такі як «метод випадковості» або «візуальний мозковий штурм», також можуть викликати натхнення. Музеї можуть слугувати джерелами натхнення, демонструючи культурну спадщину. Натхнення часто викликається зовнішніми подразниками та внутрішніми розумовими процесами, що призводить до різноманітних творчих результатів. Це підкреслює органічну та часто непередбачувану природу натхнення. </w:t>
      </w:r>
    </w:p>
    <w:p w14:paraId="0D600E0A" w14:textId="77777777" w:rsidR="005F048D" w:rsidRPr="00511005" w:rsidRDefault="005F048D"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Натхнення передбачає засвоєння впливів та їх перетворення на щось нове та оригінальне, тоді як плагіат є прямим привласненням чужої роботи. Хоча натхнення може включати використання існуючих ідей, воно вимагає додавання унікального та оригінального стилю чи перспективи. Ключова відмінність полягає в оригінальності та трансформаційному характері роботи, створеної завдяки натхненню, на відміну від відсутності оригінальності в плагіаті.</w:t>
      </w:r>
    </w:p>
    <w:p w14:paraId="390759E5"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Times New Roman" w:hAnsi="Arial" w:cs="Arial"/>
          <w:b/>
          <w:bCs/>
          <w:szCs w:val="28"/>
          <w:lang w:val="uk-UA" w:eastAsia="ru-RU"/>
        </w:rPr>
        <w:lastRenderedPageBreak/>
        <w:t>Де проходить межа: критерії розмежування плагіату та натхнення в праві інтелектуальної власності України?</w:t>
      </w:r>
      <w:r w:rsidRPr="00511005">
        <w:rPr>
          <w:rFonts w:ascii="Arial" w:eastAsia="Calibri" w:hAnsi="Arial" w:cs="Arial"/>
          <w:szCs w:val="28"/>
          <w:lang w:val="uk-UA" w:eastAsia="uk-UA"/>
        </w:rPr>
        <w:t xml:space="preserve"> </w:t>
      </w:r>
      <w:r w:rsidRPr="00511005">
        <w:rPr>
          <w:rFonts w:ascii="Arial" w:eastAsia="Times New Roman" w:hAnsi="Arial" w:cs="Arial"/>
          <w:szCs w:val="28"/>
          <w:lang w:val="uk-UA" w:eastAsia="ru-RU"/>
        </w:rPr>
        <w:t>Для визначення наявності плагіату використовуються такі ключові критерії:</w:t>
      </w:r>
    </w:p>
    <w:p w14:paraId="6A106BDF" w14:textId="1A3440C5" w:rsidR="005F048D" w:rsidRPr="00511005" w:rsidRDefault="005F048D" w:rsidP="003F6A5D">
      <w:pPr>
        <w:numPr>
          <w:ilvl w:val="0"/>
          <w:numId w:val="342"/>
        </w:numPr>
        <w:suppressAutoHyphens/>
        <w:spacing w:line="264" w:lineRule="auto"/>
        <w:ind w:left="0" w:firstLine="709"/>
        <w:jc w:val="left"/>
        <w:rPr>
          <w:rFonts w:ascii="Arial" w:eastAsia="Calibri" w:hAnsi="Arial" w:cs="Arial"/>
          <w:szCs w:val="28"/>
          <w:lang w:val="uk-UA" w:eastAsia="uk-UA"/>
        </w:rPr>
      </w:pPr>
      <w:r w:rsidRPr="00511005">
        <w:rPr>
          <w:rFonts w:ascii="Arial" w:eastAsia="Times New Roman" w:hAnsi="Arial" w:cs="Arial"/>
          <w:b/>
          <w:bCs/>
          <w:szCs w:val="28"/>
          <w:lang w:val="uk-UA" w:eastAsia="ru-RU"/>
        </w:rPr>
        <w:t>Обсяг та істотність запозичення:</w:t>
      </w:r>
      <w:r w:rsidRPr="00511005">
        <w:rPr>
          <w:rFonts w:ascii="Arial" w:eastAsia="Times New Roman" w:hAnsi="Arial" w:cs="Arial"/>
          <w:szCs w:val="28"/>
          <w:lang w:val="uk-UA" w:eastAsia="ru-RU"/>
        </w:rPr>
        <w:t xml:space="preserve"> Запозичення значної частини чужої роботи може свідчити про плагіат. Навіть зміна кількох слів у чужому тексті не робить його вашим власним, якщо основна ідея та структура залишаються незмінними. Кількість запозиченого матеріалу є важливим фактором, але більш значущим є якісна істотність запозиченої частини для оригінальної роботи.</w:t>
      </w:r>
      <w:r w:rsidR="007B2628" w:rsidRPr="00511005">
        <w:rPr>
          <w:rFonts w:ascii="Arial" w:eastAsia="Times New Roman" w:hAnsi="Arial" w:cs="Arial"/>
          <w:szCs w:val="28"/>
          <w:lang w:val="uk-UA" w:eastAsia="ru-RU"/>
        </w:rPr>
        <w:t xml:space="preserve"> </w:t>
      </w:r>
    </w:p>
    <w:p w14:paraId="1307475F" w14:textId="238633A7" w:rsidR="005F048D" w:rsidRPr="00511005" w:rsidRDefault="005F048D" w:rsidP="003F6A5D">
      <w:pPr>
        <w:numPr>
          <w:ilvl w:val="0"/>
          <w:numId w:val="342"/>
        </w:numPr>
        <w:suppressAutoHyphens/>
        <w:spacing w:line="264" w:lineRule="auto"/>
        <w:ind w:left="0" w:firstLine="709"/>
        <w:jc w:val="left"/>
        <w:rPr>
          <w:rFonts w:ascii="Arial" w:eastAsia="Calibri" w:hAnsi="Arial" w:cs="Arial"/>
          <w:szCs w:val="28"/>
          <w:lang w:val="uk-UA" w:eastAsia="uk-UA"/>
        </w:rPr>
      </w:pPr>
      <w:r w:rsidRPr="00511005">
        <w:rPr>
          <w:rFonts w:ascii="Arial" w:eastAsia="Times New Roman" w:hAnsi="Arial" w:cs="Arial"/>
          <w:b/>
          <w:bCs/>
          <w:szCs w:val="28"/>
          <w:lang w:val="uk-UA" w:eastAsia="ru-RU"/>
        </w:rPr>
        <w:t>Ступінь оригінальності нового твору:</w:t>
      </w:r>
      <w:r w:rsidRPr="00511005">
        <w:rPr>
          <w:rFonts w:ascii="Arial" w:eastAsia="Times New Roman" w:hAnsi="Arial" w:cs="Arial"/>
          <w:szCs w:val="28"/>
          <w:lang w:val="uk-UA" w:eastAsia="ru-RU"/>
        </w:rPr>
        <w:t xml:space="preserve"> Твір, створений завдяки натхненню, повинен мати оригінальні елементи, які відрізняють його від попередніх творів. Якщо нова робота є переважно компіляцією чужих матеріалів без значних нових елементів, її можуть вважати плагіатом. Наявність оригінальних внесків та творчого підходу в новій роботі є ключовим показником натхнення, а не плагіату.</w:t>
      </w:r>
      <w:r w:rsidR="007B2628" w:rsidRPr="00511005">
        <w:rPr>
          <w:rFonts w:ascii="Arial" w:eastAsia="Times New Roman" w:hAnsi="Arial" w:cs="Arial"/>
          <w:szCs w:val="28"/>
          <w:lang w:val="uk-UA" w:eastAsia="ru-RU"/>
        </w:rPr>
        <w:t xml:space="preserve"> </w:t>
      </w:r>
    </w:p>
    <w:p w14:paraId="1949B692" w14:textId="1AF145DE" w:rsidR="005F048D" w:rsidRPr="00511005" w:rsidRDefault="005F048D" w:rsidP="003F6A5D">
      <w:pPr>
        <w:numPr>
          <w:ilvl w:val="0"/>
          <w:numId w:val="342"/>
        </w:numPr>
        <w:suppressAutoHyphens/>
        <w:spacing w:line="264" w:lineRule="auto"/>
        <w:ind w:left="0" w:firstLine="709"/>
        <w:jc w:val="left"/>
        <w:rPr>
          <w:rFonts w:ascii="Arial" w:eastAsia="Calibri" w:hAnsi="Arial" w:cs="Arial"/>
          <w:szCs w:val="28"/>
          <w:lang w:val="uk-UA" w:eastAsia="uk-UA"/>
        </w:rPr>
      </w:pPr>
      <w:r w:rsidRPr="00511005">
        <w:rPr>
          <w:rFonts w:ascii="Arial" w:eastAsia="Times New Roman" w:hAnsi="Arial" w:cs="Arial"/>
          <w:b/>
          <w:bCs/>
          <w:szCs w:val="28"/>
          <w:lang w:val="uk-UA" w:eastAsia="ru-RU"/>
        </w:rPr>
        <w:t>Наявність належного цитування та посилань на джерела:</w:t>
      </w:r>
      <w:r w:rsidRPr="00511005">
        <w:rPr>
          <w:rFonts w:ascii="Arial" w:eastAsia="Times New Roman" w:hAnsi="Arial" w:cs="Arial"/>
          <w:szCs w:val="28"/>
          <w:lang w:val="uk-UA" w:eastAsia="ru-RU"/>
        </w:rPr>
        <w:t xml:space="preserve"> Використання чужої роботи без посилання на автора є плагіатом. Правильне цитування, включаючи прямі цитати в лапках та непрямі цитати із зазначенням автора та джерела, є важливим для уникнення плагіату. Цитування в розумному обсязі з обов’язковим зазначенням автора та джерела не вважається плагіатом і є одним із способів використання натхнення. Навіть використання оригінальних ідей без згадування автора вважається плагіатом. Належне зазначення авторства є фундаментальною вимогою. Відсутність цитування рішуче свідчить про плагіат, тоді як його наявність вказує на спробу визнати джерела та потенційно законно їх використовувати.</w:t>
      </w:r>
      <w:r w:rsidR="007B2628" w:rsidRPr="00511005">
        <w:rPr>
          <w:rFonts w:ascii="Arial" w:eastAsia="Times New Roman" w:hAnsi="Arial" w:cs="Arial"/>
          <w:szCs w:val="28"/>
          <w:lang w:val="uk-UA" w:eastAsia="ru-RU"/>
        </w:rPr>
        <w:t xml:space="preserve"> </w:t>
      </w:r>
    </w:p>
    <w:p w14:paraId="3BEDB536" w14:textId="77777777" w:rsidR="005F048D" w:rsidRPr="00511005" w:rsidRDefault="005F048D" w:rsidP="003F6A5D">
      <w:pPr>
        <w:numPr>
          <w:ilvl w:val="0"/>
          <w:numId w:val="342"/>
        </w:numPr>
        <w:suppressAutoHyphens/>
        <w:spacing w:line="264" w:lineRule="auto"/>
        <w:ind w:left="0" w:firstLine="709"/>
        <w:jc w:val="left"/>
        <w:rPr>
          <w:rFonts w:ascii="Arial" w:eastAsia="Calibri" w:hAnsi="Arial" w:cs="Arial"/>
          <w:szCs w:val="28"/>
          <w:lang w:val="uk-UA" w:eastAsia="uk-UA"/>
        </w:rPr>
      </w:pPr>
      <w:r w:rsidRPr="00511005">
        <w:rPr>
          <w:rFonts w:ascii="Arial" w:eastAsia="Times New Roman" w:hAnsi="Arial" w:cs="Arial"/>
          <w:b/>
          <w:bCs/>
          <w:szCs w:val="28"/>
          <w:lang w:val="uk-UA" w:eastAsia="ru-RU"/>
        </w:rPr>
        <w:t>Трансформативний характер використання чужого матеріалу:</w:t>
      </w:r>
      <w:r w:rsidRPr="00511005">
        <w:rPr>
          <w:rFonts w:ascii="Arial" w:eastAsia="Times New Roman" w:hAnsi="Arial" w:cs="Arial"/>
          <w:szCs w:val="28"/>
          <w:lang w:val="uk-UA" w:eastAsia="ru-RU"/>
        </w:rPr>
        <w:t xml:space="preserve"> Принципи добросовісного використання, аналогічні тим, що існують в інших країнах, дозволяють використовувати твори, захищені авторським правом, без згоди автора для таких цілей, як пародія, критика чи освіта, за умови, що використання є трансформативним. Справа «Воргол проти Голдсміт» підкреслює, що трансформативне використання повинно мати іншу мету або характер, ніж оригінал. Якщо запозичений матеріал використовується таким чином, що створює новий зміст, вираження або мету, це скоріше свідчить про натхнення або добросовісне використання, а не про простий плагіат. </w:t>
      </w:r>
    </w:p>
    <w:p w14:paraId="294DBEF9" w14:textId="77777777" w:rsidR="005F048D" w:rsidRPr="00511005" w:rsidRDefault="005F048D"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Термін «добросовісне використання» прямо не закріплений в українському законодавстві, проте Закон України «Про авторське право і суміжні права» містить положення, які враховують його принципи. Закон дозволяє використовувати цитати або короткі уривки з опублікованих творів в освіті, наукових дослідженнях, новинах, коментарях, пародіях, карикатурах та інших подібних ситуаціях безоплатно та без згоди автора. Хоча це прямо </w:t>
      </w:r>
      <w:r w:rsidRPr="00511005">
        <w:rPr>
          <w:rFonts w:ascii="Arial" w:eastAsia="Times New Roman" w:hAnsi="Arial" w:cs="Arial"/>
          <w:szCs w:val="28"/>
          <w:lang w:val="uk-UA" w:eastAsia="ru-RU"/>
        </w:rPr>
        <w:lastRenderedPageBreak/>
        <w:t>не називається «добросовісним використанням», українське авторське право включає обмеження, які дозволяють певне використання матеріалів, захищених авторським правом, без дозволу, відображаючи основні принципи балансування між захистом авторських прав та суспільним інтересом у доступі до інформації та творчого вираження.</w:t>
      </w:r>
    </w:p>
    <w:p w14:paraId="26A40E95" w14:textId="77777777" w:rsidR="005F048D" w:rsidRPr="00511005" w:rsidRDefault="005F048D" w:rsidP="003A292D">
      <w:pPr>
        <w:spacing w:line="264" w:lineRule="auto"/>
        <w:rPr>
          <w:rFonts w:ascii="Arial" w:eastAsia="Calibri" w:hAnsi="Arial" w:cs="Arial"/>
          <w:szCs w:val="28"/>
          <w:lang w:val="uk-UA" w:eastAsia="uk-UA"/>
        </w:rPr>
      </w:pPr>
    </w:p>
    <w:p w14:paraId="7ED01F79" w14:textId="77777777" w:rsidR="005F048D" w:rsidRPr="00511005" w:rsidRDefault="005F048D" w:rsidP="003A292D">
      <w:pPr>
        <w:spacing w:line="264" w:lineRule="auto"/>
        <w:ind w:firstLine="0"/>
        <w:jc w:val="center"/>
        <w:rPr>
          <w:rFonts w:ascii="Arial" w:eastAsia="Calibri" w:hAnsi="Arial" w:cs="Arial"/>
          <w:szCs w:val="28"/>
          <w:lang w:val="uk-UA" w:eastAsia="uk-UA"/>
        </w:rPr>
      </w:pPr>
      <w:r w:rsidRPr="00511005">
        <w:rPr>
          <w:rFonts w:ascii="Arial" w:eastAsia="Times New Roman" w:hAnsi="Arial" w:cs="Arial"/>
          <w:b/>
          <w:bCs/>
          <w:szCs w:val="28"/>
          <w:lang w:val="uk-UA" w:eastAsia="ru-RU"/>
        </w:rPr>
        <w:t>Таблиця 1: Критерії розмежування плагіату та натхнення</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963"/>
        <w:gridCol w:w="3704"/>
        <w:gridCol w:w="4251"/>
      </w:tblGrid>
      <w:tr w:rsidR="00511005" w:rsidRPr="00511005" w14:paraId="01014983" w14:textId="77777777" w:rsidTr="00E6228F">
        <w:tc>
          <w:tcPr>
            <w:tcW w:w="1963" w:type="dxa"/>
            <w:vAlign w:val="center"/>
          </w:tcPr>
          <w:p w14:paraId="115471C0"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b/>
                <w:bCs/>
                <w:szCs w:val="28"/>
                <w:lang w:val="uk-UA" w:eastAsia="ru-RU"/>
              </w:rPr>
              <w:t>Критерій</w:t>
            </w:r>
          </w:p>
        </w:tc>
        <w:tc>
          <w:tcPr>
            <w:tcW w:w="3704" w:type="dxa"/>
            <w:vAlign w:val="center"/>
          </w:tcPr>
          <w:p w14:paraId="6F9C91E9"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b/>
                <w:bCs/>
                <w:szCs w:val="28"/>
                <w:lang w:val="uk-UA" w:eastAsia="ru-RU"/>
              </w:rPr>
              <w:t>Ознаки плагіату</w:t>
            </w:r>
          </w:p>
        </w:tc>
        <w:tc>
          <w:tcPr>
            <w:tcW w:w="4251" w:type="dxa"/>
            <w:vAlign w:val="center"/>
          </w:tcPr>
          <w:p w14:paraId="64969C91"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b/>
                <w:bCs/>
                <w:szCs w:val="28"/>
                <w:lang w:val="uk-UA" w:eastAsia="ru-RU"/>
              </w:rPr>
              <w:t>Ознаки натхнення</w:t>
            </w:r>
          </w:p>
        </w:tc>
      </w:tr>
      <w:tr w:rsidR="00511005" w:rsidRPr="00511005" w14:paraId="42ED46EE" w14:textId="77777777" w:rsidTr="00E6228F">
        <w:tc>
          <w:tcPr>
            <w:tcW w:w="1963" w:type="dxa"/>
            <w:vAlign w:val="center"/>
          </w:tcPr>
          <w:p w14:paraId="296DCA1C"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Обсяг запозичення</w:t>
            </w:r>
          </w:p>
        </w:tc>
        <w:tc>
          <w:tcPr>
            <w:tcW w:w="3704" w:type="dxa"/>
            <w:vAlign w:val="center"/>
          </w:tcPr>
          <w:p w14:paraId="73EF4B64"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Значна частина скопійована дослівно або майже дослівно без зазначення авторства</w:t>
            </w:r>
          </w:p>
        </w:tc>
        <w:tc>
          <w:tcPr>
            <w:tcW w:w="4251" w:type="dxa"/>
            <w:vAlign w:val="center"/>
          </w:tcPr>
          <w:p w14:paraId="3E2C4203"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Мінімальне запозичення, яке не впливає на оригінальність</w:t>
            </w:r>
          </w:p>
        </w:tc>
      </w:tr>
      <w:tr w:rsidR="00511005" w:rsidRPr="00511005" w14:paraId="6054F900" w14:textId="77777777" w:rsidTr="00E6228F">
        <w:tc>
          <w:tcPr>
            <w:tcW w:w="1963" w:type="dxa"/>
            <w:vAlign w:val="center"/>
          </w:tcPr>
          <w:p w14:paraId="23C6EA23"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Оригінальність</w:t>
            </w:r>
          </w:p>
        </w:tc>
        <w:tc>
          <w:tcPr>
            <w:tcW w:w="3704" w:type="dxa"/>
            <w:vAlign w:val="center"/>
          </w:tcPr>
          <w:p w14:paraId="2110F3BE"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Нова робота є переважно компіляцією з незначними або відсутніми новими елементами</w:t>
            </w:r>
          </w:p>
        </w:tc>
        <w:tc>
          <w:tcPr>
            <w:tcW w:w="4251" w:type="dxa"/>
            <w:vAlign w:val="center"/>
          </w:tcPr>
          <w:p w14:paraId="22638E40"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Нова робота включає запозичені елементи, але додає значний оригінальний зміст, стиль або перспективу</w:t>
            </w:r>
          </w:p>
        </w:tc>
      </w:tr>
      <w:tr w:rsidR="00511005" w:rsidRPr="00511005" w14:paraId="33DB301B" w14:textId="77777777" w:rsidTr="00E6228F">
        <w:tc>
          <w:tcPr>
            <w:tcW w:w="1963" w:type="dxa"/>
            <w:vAlign w:val="center"/>
          </w:tcPr>
          <w:p w14:paraId="36E16757"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Цитування</w:t>
            </w:r>
          </w:p>
        </w:tc>
        <w:tc>
          <w:tcPr>
            <w:tcW w:w="3704" w:type="dxa"/>
            <w:vAlign w:val="center"/>
          </w:tcPr>
          <w:p w14:paraId="0046557E"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Відсутність цитування або неповне/неправильне цитування</w:t>
            </w:r>
          </w:p>
        </w:tc>
        <w:tc>
          <w:tcPr>
            <w:tcW w:w="4251" w:type="dxa"/>
            <w:vAlign w:val="center"/>
          </w:tcPr>
          <w:p w14:paraId="254A70EE"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Правильне та повне цитування всього запозиченого матеріалу</w:t>
            </w:r>
          </w:p>
        </w:tc>
      </w:tr>
      <w:tr w:rsidR="005F048D" w:rsidRPr="00511005" w14:paraId="1684E6B4" w14:textId="77777777" w:rsidTr="00E6228F">
        <w:tc>
          <w:tcPr>
            <w:tcW w:w="1963" w:type="dxa"/>
            <w:vAlign w:val="center"/>
          </w:tcPr>
          <w:p w14:paraId="7AD15545"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Трансформація</w:t>
            </w:r>
          </w:p>
        </w:tc>
        <w:tc>
          <w:tcPr>
            <w:tcW w:w="3704" w:type="dxa"/>
            <w:vAlign w:val="center"/>
          </w:tcPr>
          <w:p w14:paraId="4BC1339F"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Використання запозиченого матеріалу з тією ж метою та характером, що й оригінал</w:t>
            </w:r>
          </w:p>
        </w:tc>
        <w:tc>
          <w:tcPr>
            <w:tcW w:w="4251" w:type="dxa"/>
            <w:vAlign w:val="center"/>
          </w:tcPr>
          <w:p w14:paraId="4DE648D5" w14:textId="77777777" w:rsidR="005F048D" w:rsidRPr="00511005" w:rsidRDefault="005F048D" w:rsidP="003A292D">
            <w:pPr>
              <w:spacing w:line="264" w:lineRule="auto"/>
              <w:ind w:left="125" w:right="111" w:firstLine="0"/>
              <w:jc w:val="left"/>
              <w:rPr>
                <w:rFonts w:ascii="Arial" w:eastAsia="Calibri" w:hAnsi="Arial" w:cs="Arial"/>
                <w:szCs w:val="28"/>
                <w:lang w:val="uk-UA" w:eastAsia="uk-UA"/>
              </w:rPr>
            </w:pPr>
            <w:r w:rsidRPr="00511005">
              <w:rPr>
                <w:rFonts w:ascii="Arial" w:eastAsia="Times New Roman" w:hAnsi="Arial" w:cs="Arial"/>
                <w:szCs w:val="28"/>
                <w:lang w:val="uk-UA" w:eastAsia="ru-RU"/>
              </w:rPr>
              <w:t>Використання запозиченого матеріалу в новому контексті з іншою метою або значенням (трансформативне використання)</w:t>
            </w:r>
          </w:p>
        </w:tc>
      </w:tr>
    </w:tbl>
    <w:p w14:paraId="03933A45" w14:textId="77777777" w:rsidR="005F048D" w:rsidRPr="00511005" w:rsidRDefault="005F048D" w:rsidP="003A292D">
      <w:pPr>
        <w:spacing w:line="264" w:lineRule="auto"/>
        <w:rPr>
          <w:rFonts w:ascii="Arial" w:eastAsia="Times New Roman" w:hAnsi="Arial" w:cs="Arial"/>
          <w:b/>
          <w:bCs/>
          <w:szCs w:val="28"/>
          <w:lang w:val="uk-UA"/>
        </w:rPr>
      </w:pPr>
    </w:p>
    <w:p w14:paraId="422F295B" w14:textId="77777777" w:rsidR="005F048D" w:rsidRPr="00511005" w:rsidRDefault="005F048D" w:rsidP="003A292D">
      <w:pPr>
        <w:spacing w:line="264" w:lineRule="auto"/>
        <w:rPr>
          <w:rFonts w:ascii="Arial" w:eastAsia="Times New Roman" w:hAnsi="Arial" w:cs="Arial"/>
          <w:szCs w:val="28"/>
          <w:lang w:val="uk-UA"/>
        </w:rPr>
      </w:pPr>
      <w:r w:rsidRPr="00511005">
        <w:rPr>
          <w:rFonts w:ascii="Arial" w:eastAsia="Times New Roman" w:hAnsi="Arial" w:cs="Arial"/>
          <w:b/>
          <w:bCs/>
          <w:szCs w:val="28"/>
          <w:lang w:val="uk-UA"/>
        </w:rPr>
        <w:t>Судова практика України у справах про плагіат та натхнення</w:t>
      </w:r>
      <w:r w:rsidRPr="00511005">
        <w:rPr>
          <w:rFonts w:ascii="Arial" w:eastAsia="Times New Roman" w:hAnsi="Arial" w:cs="Arial"/>
          <w:szCs w:val="28"/>
          <w:lang w:val="uk-UA"/>
        </w:rPr>
        <w:t xml:space="preserve">. Верховний Суд розглядав справи, пов’язані з плагіатом, наголошуючи, що використання уривків з наукових праць в освітніх цілях без зазначення автора та джерела є плагіатом. Верховний Суд дозволив Національному агентству із забезпечення якості вищої освіти (НАЗЯВО) перевірити дисертацію ректора Вінницького медичного університету на плагіат, підкресливши важливість академічної доброчесності. Справа «Нового каналу» проти ТРК «Студія 1+1» стосувалася несанкціонованої переробки та використання сценарію проекту «Ревізор», що демонструє порушення авторських прав, яке виходить за межі простого плагіату. Українські суди активно розглядають справи про плагіат у різних сферах, підсилюючи юридичні наслідки несанкціонованого використання та важливість належного зазначення авторства. </w:t>
      </w:r>
    </w:p>
    <w:p w14:paraId="26525C0E" w14:textId="135EBAFC" w:rsidR="005F048D" w:rsidRPr="00511005" w:rsidRDefault="005F048D"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Суди враховують обсяг та характер запозичення, оригінальність нової роботи та наявність цитувань при розмежуванні плагіату та натхнення. Рішення Верховного Суду у справі № 308/7570/18-ц визначає такі критерії, </w:t>
      </w:r>
      <w:r w:rsidRPr="00511005">
        <w:rPr>
          <w:rFonts w:ascii="Arial" w:eastAsia="Times New Roman" w:hAnsi="Arial" w:cs="Arial"/>
          <w:szCs w:val="28"/>
          <w:lang w:val="uk-UA"/>
        </w:rPr>
        <w:lastRenderedPageBreak/>
        <w:t>як обсяг та якість запозичення, наявність посилань на джерела та оригінальність новоствореної роботи. Використання цитат у розумному обсязі з обов’язковим зазначенням автора та джерела не вважається плагіатом. Суди використовують багатогранний підхід, досліджуючи як кількісні, так і якісні аспекти ймовірного порушення, з особливим акцентом на належному зазначенні авторства та оригінальності.</w:t>
      </w:r>
      <w:r w:rsidR="007B2628" w:rsidRPr="00511005">
        <w:rPr>
          <w:rFonts w:ascii="Arial" w:eastAsia="Times New Roman" w:hAnsi="Arial" w:cs="Arial"/>
          <w:szCs w:val="28"/>
          <w:lang w:val="uk-UA"/>
        </w:rPr>
        <w:t xml:space="preserve"> </w:t>
      </w:r>
    </w:p>
    <w:p w14:paraId="40A25050" w14:textId="66A7A6DD" w:rsidR="005F048D" w:rsidRPr="00511005" w:rsidRDefault="005F048D"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Судова експертиза у сфері інтелектуальної власності є вирішальною у спорах, пов’язаних із порушенням авторських прав та плагіатом. Експерти аналізують схожість між оригінальною роботою та ймовірно плагіатованим контентом, виділяючи характерні ознаки оригінального джерела. Хоча експерти можуть виявити схожість, остаточне рішення щодо плагіату приймає суд. Експертні висновки надають судам цінний технічний аналіз, але юридичне тлумачення та рішення залишаються в межах юрисдикції суду.</w:t>
      </w:r>
      <w:r w:rsidR="007B2628" w:rsidRPr="00511005">
        <w:rPr>
          <w:rFonts w:ascii="Arial" w:eastAsia="Times New Roman" w:hAnsi="Arial" w:cs="Arial"/>
          <w:szCs w:val="28"/>
          <w:lang w:val="uk-UA"/>
        </w:rPr>
        <w:t xml:space="preserve"> </w:t>
      </w:r>
    </w:p>
    <w:p w14:paraId="2DEFF4FD" w14:textId="0AF15B31" w:rsidR="005F048D" w:rsidRPr="00511005" w:rsidRDefault="005F048D" w:rsidP="003A292D">
      <w:pPr>
        <w:spacing w:line="264" w:lineRule="auto"/>
        <w:rPr>
          <w:rFonts w:ascii="Arial" w:eastAsia="Times New Roman" w:hAnsi="Arial" w:cs="Arial"/>
          <w:szCs w:val="28"/>
          <w:lang w:val="uk-UA"/>
        </w:rPr>
      </w:pPr>
      <w:r w:rsidRPr="00511005">
        <w:rPr>
          <w:rFonts w:ascii="Arial" w:eastAsia="Times New Roman" w:hAnsi="Arial" w:cs="Arial"/>
          <w:b/>
          <w:bCs/>
          <w:szCs w:val="28"/>
          <w:lang w:val="uk-UA"/>
        </w:rPr>
        <w:t>Експертна оцінка та методи виявлення плагіату</w:t>
      </w:r>
      <w:r w:rsidRPr="00511005">
        <w:rPr>
          <w:rFonts w:ascii="Arial" w:eastAsia="Times New Roman" w:hAnsi="Arial" w:cs="Arial"/>
          <w:szCs w:val="28"/>
          <w:lang w:val="uk-UA"/>
        </w:rPr>
        <w:t>. Підставою для проведення судової експертизи може бути рішення суду, рішення органу досудового розслідування або договір з експертом чи експертною установою. Експертне дослідження включає попереднє дослідження, окреме дослідження робіт, порівняльне дослідження, оцінку результатів та формулювання висновків. Експерти можуть складати порівняльні таблиці, що виділяють текстові запозичення, та аналізувати природу та джерела схожостей і відмінностей. Експертна оцінка відбувається за структурованою процедурою, що включає детальний аналіз та порівняння досліджуваних робіт для виявлення потенційних випадків плагіату.</w:t>
      </w:r>
      <w:r w:rsidR="007B2628" w:rsidRPr="00511005">
        <w:rPr>
          <w:rFonts w:ascii="Arial" w:eastAsia="Times New Roman" w:hAnsi="Arial" w:cs="Arial"/>
          <w:szCs w:val="28"/>
          <w:lang w:val="uk-UA"/>
        </w:rPr>
        <w:t xml:space="preserve"> </w:t>
      </w:r>
    </w:p>
    <w:p w14:paraId="69966546" w14:textId="17D925A8" w:rsidR="005F048D" w:rsidRPr="00511005" w:rsidRDefault="005F048D"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Судові експерти вивчають збіги у тексті оригіналу та сумнівного контенту, виділяючи ознаки, характерні для першоджерела. Для виявлення ознак плагіату в літературних, художніх та наукових творах використовуються програмне забезпечення та спеціалізовані програми. Технології відіграють дедалі важливішу роль у виявленні потенційного плагіату, хоча аналіз експертів-людей залишається вирішальним для нюансованої оцінки.</w:t>
      </w:r>
      <w:r w:rsidR="007B2628" w:rsidRPr="00511005">
        <w:rPr>
          <w:rFonts w:ascii="Arial" w:eastAsia="Times New Roman" w:hAnsi="Arial" w:cs="Arial"/>
          <w:szCs w:val="28"/>
          <w:lang w:val="uk-UA"/>
        </w:rPr>
        <w:t xml:space="preserve"> </w:t>
      </w:r>
    </w:p>
    <w:p w14:paraId="49B826B0" w14:textId="77777777" w:rsidR="005F048D" w:rsidRPr="00511005" w:rsidRDefault="005F048D"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Судова експертиза у сфері інтелектуальної власності проводиться державними спеціалізованими установами судових експертиз або приватними судовими експертами, зареєстрованими в Україні. Експерти з літературних та художніх творів кваліфікуються за експертною спеціальністю 13.1.1. Існує визнана професійна сфера судових експертів, які спеціалізуються на інтелектуальній власності, що свідчить про важливість спеціальних знань у цих юридичних питаннях.</w:t>
      </w:r>
    </w:p>
    <w:p w14:paraId="38B11C3C" w14:textId="77777777" w:rsidR="005F048D" w:rsidRPr="00511005" w:rsidRDefault="005F048D" w:rsidP="003A292D">
      <w:pPr>
        <w:spacing w:line="264" w:lineRule="auto"/>
        <w:rPr>
          <w:rFonts w:ascii="Arial" w:eastAsia="Times New Roman" w:hAnsi="Arial" w:cs="Arial"/>
          <w:szCs w:val="28"/>
          <w:lang w:val="uk-UA"/>
        </w:rPr>
      </w:pPr>
      <w:r w:rsidRPr="00511005">
        <w:rPr>
          <w:rFonts w:ascii="Arial" w:eastAsia="Times New Roman" w:hAnsi="Arial" w:cs="Arial"/>
          <w:b/>
          <w:bCs/>
          <w:szCs w:val="28"/>
          <w:lang w:val="uk-UA"/>
        </w:rPr>
        <w:t>Висновки та рекомендації</w:t>
      </w:r>
      <w:r w:rsidRPr="00511005">
        <w:rPr>
          <w:rFonts w:ascii="Arial" w:eastAsia="Times New Roman" w:hAnsi="Arial" w:cs="Arial"/>
          <w:szCs w:val="28"/>
          <w:lang w:val="uk-UA"/>
        </w:rPr>
        <w:t xml:space="preserve">. Підсумовуючи, плагіат в українському праві інтелектуальної власності визначається як оприлюднення чужого твору під своїм іменем, згідно зі статтею 50 Закону України «Про авторське право і суміжні права». Ключовими критеріями для розмежування плагіату </w:t>
      </w:r>
      <w:r w:rsidRPr="00511005">
        <w:rPr>
          <w:rFonts w:ascii="Arial" w:eastAsia="Times New Roman" w:hAnsi="Arial" w:cs="Arial"/>
          <w:szCs w:val="28"/>
          <w:lang w:val="uk-UA"/>
        </w:rPr>
        <w:lastRenderedPageBreak/>
        <w:t>та натхнення є обсяг та істотність запозичення, ступінь оригінальності нової роботи, наявність належного цитування та трансформативний характер використання чужого матеріалу. Судова практика України демонструє активне розглядання справ про плагіат у різних сферах, а суди при встановленні факту плагіату керуються комплексом критеріїв, враховуючи висновки судової експертизи. За порушення прав інтелектуальної власності у формі плагіату передбачена цивільна, адміністративна та кримінальна відповідальність.</w:t>
      </w:r>
    </w:p>
    <w:p w14:paraId="7D94EBA8" w14:textId="77777777" w:rsidR="005F048D" w:rsidRPr="00511005" w:rsidRDefault="005F048D"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Для запобігання плагіату та правомірного використання натхнення авторам, науковцям, освітянам та іншим суб'єктам авторського права рекомендується: завжди належним чином цитувати всі джерела, чітко розмежовувати власні ідеї та внески від ідей інших, розуміти принципи добросовісного використання та обмеження авторських прав в Україні, прагнути до створення оригінальних та трансформативних робіт, використовувати інструменти для виявлення плагіату, дотримуватися етичних кодексів та політик щодо плагіату, документувати творчий процес та у разі сумнівів звертатися за юридичною консультацією.</w:t>
      </w:r>
    </w:p>
    <w:p w14:paraId="55217F45" w14:textId="77777777" w:rsidR="005F048D" w:rsidRPr="00511005" w:rsidRDefault="005F048D" w:rsidP="003A292D">
      <w:pPr>
        <w:spacing w:line="264" w:lineRule="auto"/>
        <w:rPr>
          <w:rFonts w:ascii="Arial" w:eastAsia="Times New Roman" w:hAnsi="Arial" w:cs="Arial"/>
          <w:szCs w:val="28"/>
          <w:lang w:val="uk-UA"/>
        </w:rPr>
      </w:pPr>
    </w:p>
    <w:p w14:paraId="011C61FF" w14:textId="71F27DD7" w:rsidR="005F048D" w:rsidRPr="00511005" w:rsidRDefault="007B2628" w:rsidP="007B2628">
      <w:pPr>
        <w:spacing w:line="264" w:lineRule="auto"/>
        <w:ind w:firstLine="0"/>
        <w:jc w:val="center"/>
        <w:rPr>
          <w:rFonts w:ascii="Arial" w:eastAsia="Calibri" w:hAnsi="Arial" w:cs="Arial"/>
          <w:b/>
          <w:bCs/>
          <w:szCs w:val="28"/>
          <w:lang w:val="uk-UA" w:eastAsia="uk-UA"/>
        </w:rPr>
      </w:pPr>
      <w:r w:rsidRPr="00511005">
        <w:rPr>
          <w:rFonts w:ascii="Arial" w:eastAsia="Calibri" w:hAnsi="Arial" w:cs="Arial"/>
          <w:b/>
          <w:bCs/>
          <w:szCs w:val="28"/>
          <w:lang w:val="uk-UA" w:eastAsia="uk-UA"/>
        </w:rPr>
        <w:t>Список використаних джерел</w:t>
      </w:r>
    </w:p>
    <w:p w14:paraId="38E824A4"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1. Цивільний кодекс України: Закон України від 16 січня 2003 р. № 435-IV // Відомості Верховної Ради України. – 2003. – № 40–44. – Ст. 356.</w:t>
      </w:r>
    </w:p>
    <w:p w14:paraId="3CD2797A"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2. Закон України «Про авторське право і суміжні права» від 23 грудня 1993 р. № 3792-XII // Відомості Верховної Ради України. – 1994. – № 13. – Ст. 64.</w:t>
      </w:r>
    </w:p>
    <w:p w14:paraId="718B10B6"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3. Журавльов Д.В. Інтелектуальна власність: навч. посіб. – Київ: Центр учбової літератури, 2020. – 312 с.</w:t>
      </w:r>
    </w:p>
    <w:p w14:paraId="7F0D1CAF"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4. Семиноженко В.П. Право інтелектуальної власності: підручник. – Київ: Юрінком Інтер, 2021. – 352 с.</w:t>
      </w:r>
    </w:p>
    <w:p w14:paraId="35126E78"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5. Мазур Н.І. Авторське право і натхнення: правові аспекти // Питання інтелектуальної власності. – 2021. – № 1. – С. 42–48.</w:t>
      </w:r>
    </w:p>
    <w:p w14:paraId="1F24C60A"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6. Біла Т.О. Інтелектуальна власність у цифрову епоху: виклики для авторського права // Інформаційне право України. – 2022. – № 2. – С. 12–19.</w:t>
      </w:r>
    </w:p>
    <w:p w14:paraId="60CE3C4E"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7. Кузнєцова Н.С. Плагіат як юридична та етична проблема // Юридичний вісник України. – 2020. – № 3(155). – С. 25–30.</w:t>
      </w:r>
    </w:p>
    <w:p w14:paraId="62EC71E6"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8. Носик В.В. Авторське право: навч. посіб. – Київ: Знання, 2020. – 240 с.</w:t>
      </w:r>
    </w:p>
    <w:p w14:paraId="23DA5E2C"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9. Савицька О.М. Межа між запозиченням та плагіатом в авторському праві // Право і суспільство. – 2021. – № 4. – С. 158–163.</w:t>
      </w:r>
    </w:p>
    <w:p w14:paraId="0B5B7AC1"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10. Іванова І.Г. Правові аспекти захисту від плагіату в науковій діяльності // Наукові записки. Серія: Право. – 2020. – № 1(45). – С. 98–103.</w:t>
      </w:r>
    </w:p>
    <w:p w14:paraId="4F80FD81" w14:textId="77777777" w:rsidR="005F048D" w:rsidRPr="00511005" w:rsidRDefault="005F048D" w:rsidP="003A292D">
      <w:pPr>
        <w:keepNext/>
        <w:spacing w:line="264" w:lineRule="auto"/>
        <w:rPr>
          <w:rFonts w:ascii="Arial" w:eastAsia="Calibri" w:hAnsi="Arial" w:cs="Arial"/>
          <w:b/>
          <w:szCs w:val="28"/>
          <w:lang w:eastAsia="uk-UA"/>
        </w:rPr>
      </w:pPr>
    </w:p>
    <w:p w14:paraId="228A0AF7" w14:textId="44D7818E" w:rsidR="005F048D" w:rsidRPr="00511005" w:rsidRDefault="007B2628" w:rsidP="003A292D">
      <w:pPr>
        <w:keepNext/>
        <w:spacing w:line="264" w:lineRule="auto"/>
        <w:rPr>
          <w:rFonts w:ascii="Arial" w:eastAsia="Calibri" w:hAnsi="Arial" w:cs="Arial"/>
          <w:szCs w:val="28"/>
          <w:lang w:val="uk-UA" w:eastAsia="uk-UA"/>
        </w:rPr>
      </w:pPr>
      <w:r w:rsidRPr="00511005">
        <w:rPr>
          <w:rFonts w:ascii="Arial" w:eastAsia="Calibri" w:hAnsi="Arial" w:cs="Arial"/>
          <w:b/>
          <w:i/>
          <w:szCs w:val="28"/>
          <w:lang w:val="uk-UA" w:eastAsia="uk-UA"/>
        </w:rPr>
        <w:t xml:space="preserve">Ключові слова: </w:t>
      </w:r>
      <w:r w:rsidR="005F048D" w:rsidRPr="00511005">
        <w:rPr>
          <w:rFonts w:ascii="Arial" w:eastAsia="Calibri" w:hAnsi="Arial" w:cs="Arial"/>
          <w:szCs w:val="28"/>
          <w:lang w:val="uk-UA" w:eastAsia="uk-UA"/>
        </w:rPr>
        <w:t>право інтелектуальної власності, авторське право, плагіат, натхнення.</w:t>
      </w:r>
    </w:p>
    <w:p w14:paraId="24D37C0D" w14:textId="389FE9EA" w:rsidR="005F048D" w:rsidRPr="00511005" w:rsidRDefault="007B2628" w:rsidP="003A292D">
      <w:pPr>
        <w:keepNext/>
        <w:spacing w:line="264" w:lineRule="auto"/>
        <w:rPr>
          <w:rFonts w:ascii="Arial" w:eastAsia="Calibri" w:hAnsi="Arial" w:cs="Arial"/>
          <w:bCs/>
          <w:szCs w:val="28"/>
          <w:lang w:val="en-US" w:eastAsia="uk-UA"/>
        </w:rPr>
      </w:pPr>
      <w:r w:rsidRPr="00511005">
        <w:rPr>
          <w:rFonts w:ascii="Arial" w:eastAsia="Calibri" w:hAnsi="Arial" w:cs="Arial"/>
          <w:b/>
          <w:i/>
          <w:szCs w:val="28"/>
          <w:lang w:val="en-US" w:eastAsia="uk-UA"/>
        </w:rPr>
        <w:t xml:space="preserve">Key words: </w:t>
      </w:r>
      <w:r w:rsidR="005F048D" w:rsidRPr="00511005">
        <w:rPr>
          <w:rFonts w:ascii="Arial" w:eastAsia="Calibri" w:hAnsi="Arial" w:cs="Arial"/>
          <w:szCs w:val="28"/>
          <w:lang w:val="uk-UA" w:eastAsia="uk-UA"/>
        </w:rPr>
        <w:t>intellectual property law, copyright, plagiarism, inspiration</w:t>
      </w:r>
      <w:r w:rsidR="005F048D" w:rsidRPr="00511005">
        <w:rPr>
          <w:rFonts w:ascii="Arial" w:eastAsia="Calibri" w:hAnsi="Arial" w:cs="Arial"/>
          <w:bCs/>
          <w:szCs w:val="28"/>
          <w:lang w:val="en-US" w:eastAsia="uk-UA"/>
        </w:rPr>
        <w:t>.</w:t>
      </w:r>
    </w:p>
    <w:p w14:paraId="604ABBCA" w14:textId="13385B9E" w:rsidR="005F048D" w:rsidRPr="00511005" w:rsidRDefault="007B2628" w:rsidP="003A292D">
      <w:pPr>
        <w:spacing w:line="264" w:lineRule="auto"/>
        <w:rPr>
          <w:rFonts w:ascii="Arial" w:eastAsia="Calibri" w:hAnsi="Arial" w:cs="Arial"/>
          <w:b/>
          <w:bCs/>
          <w:i/>
          <w:iCs/>
          <w:szCs w:val="28"/>
          <w:lang w:val="uk-UA" w:eastAsia="uk-UA"/>
        </w:rPr>
      </w:pPr>
      <w:r w:rsidRPr="00511005">
        <w:rPr>
          <w:rFonts w:ascii="Arial" w:eastAsia="Calibri" w:hAnsi="Arial" w:cs="Arial"/>
          <w:b/>
          <w:i/>
          <w:iCs/>
          <w:szCs w:val="28"/>
          <w:lang w:val="uk-UA" w:eastAsia="uk-UA"/>
        </w:rPr>
        <w:t xml:space="preserve">Науковий керівник: </w:t>
      </w:r>
      <w:r w:rsidR="005F048D" w:rsidRPr="00511005">
        <w:rPr>
          <w:rFonts w:ascii="Arial" w:eastAsia="Calibri" w:hAnsi="Arial" w:cs="Arial"/>
          <w:i/>
          <w:iCs/>
          <w:szCs w:val="28"/>
          <w:lang w:val="uk-UA" w:eastAsia="uk-UA"/>
        </w:rPr>
        <w:t xml:space="preserve">к.ю.н., </w:t>
      </w:r>
      <w:r w:rsidR="005F048D" w:rsidRPr="00511005">
        <w:rPr>
          <w:rFonts w:ascii="Arial" w:eastAsia="Times New Roman" w:hAnsi="Arial" w:cs="Arial"/>
          <w:i/>
          <w:szCs w:val="28"/>
          <w:lang w:val="uk-UA" w:eastAsia="uk-UA"/>
        </w:rPr>
        <w:t xml:space="preserve">доцент кафедри </w:t>
      </w:r>
      <w:r w:rsidR="005F048D" w:rsidRPr="00511005">
        <w:rPr>
          <w:rFonts w:ascii="Arial" w:eastAsia="Calibri" w:hAnsi="Arial" w:cs="Arial"/>
          <w:i/>
          <w:iCs/>
          <w:szCs w:val="28"/>
          <w:lang w:val="uk-UA" w:eastAsia="uk-UA"/>
        </w:rPr>
        <w:t>Мазуренко С.В.</w:t>
      </w:r>
    </w:p>
    <w:p w14:paraId="2E130FA6" w14:textId="77777777" w:rsidR="005F048D" w:rsidRPr="00511005" w:rsidRDefault="005F048D" w:rsidP="003A292D">
      <w:pPr>
        <w:spacing w:line="264" w:lineRule="auto"/>
        <w:ind w:firstLine="0"/>
        <w:rPr>
          <w:rFonts w:ascii="Arial" w:eastAsia="Times New Roman" w:hAnsi="Arial" w:cs="Arial"/>
          <w:b/>
          <w:i/>
          <w:szCs w:val="28"/>
          <w:lang w:val="uk-UA" w:eastAsia="uk-UA"/>
        </w:rPr>
      </w:pPr>
    </w:p>
    <w:p w14:paraId="2C4C0FEC" w14:textId="77777777" w:rsidR="005F048D" w:rsidRPr="00511005" w:rsidRDefault="005F048D" w:rsidP="003A292D">
      <w:pPr>
        <w:spacing w:line="264" w:lineRule="auto"/>
        <w:ind w:firstLine="0"/>
        <w:jc w:val="center"/>
        <w:rPr>
          <w:rFonts w:ascii="Arial" w:eastAsia="Calibri" w:hAnsi="Arial" w:cs="Arial"/>
          <w:b/>
          <w:bCs/>
          <w:i/>
          <w:iCs/>
          <w:szCs w:val="28"/>
          <w:lang w:val="uk-UA" w:eastAsia="uk-UA"/>
        </w:rPr>
      </w:pPr>
      <w:r w:rsidRPr="00511005">
        <w:rPr>
          <w:rFonts w:ascii="Arial" w:eastAsia="Calibri" w:hAnsi="Arial" w:cs="Arial"/>
          <w:b/>
          <w:bCs/>
          <w:i/>
          <w:iCs/>
          <w:szCs w:val="28"/>
          <w:lang w:val="uk-UA" w:eastAsia="uk-UA"/>
        </w:rPr>
        <w:t>Дуб Вікторія Михайлівна</w:t>
      </w:r>
    </w:p>
    <w:p w14:paraId="7D0BA88C" w14:textId="17D3BC8B" w:rsidR="005F048D" w:rsidRPr="00511005" w:rsidRDefault="00536AAB" w:rsidP="003A292D">
      <w:pPr>
        <w:spacing w:line="264" w:lineRule="auto"/>
        <w:ind w:firstLine="0"/>
        <w:jc w:val="center"/>
        <w:rPr>
          <w:rFonts w:ascii="Arial" w:eastAsia="Calibri" w:hAnsi="Arial" w:cs="Arial"/>
          <w:szCs w:val="28"/>
          <w:lang w:val="uk-UA" w:eastAsia="uk-UA"/>
        </w:rPr>
      </w:pPr>
      <w:r w:rsidRPr="00511005">
        <w:rPr>
          <w:rFonts w:ascii="Arial" w:eastAsia="Calibri" w:hAnsi="Arial" w:cs="Arial"/>
          <w:szCs w:val="28"/>
          <w:lang w:val="uk-UA" w:eastAsia="uk-UA"/>
        </w:rPr>
        <w:t xml:space="preserve">студентка 3-го курсу </w:t>
      </w:r>
      <w:r w:rsidR="007B2628" w:rsidRPr="00511005">
        <w:rPr>
          <w:rFonts w:ascii="Arial" w:eastAsia="Calibri" w:hAnsi="Arial" w:cs="Arial"/>
          <w:szCs w:val="28"/>
          <w:lang w:val="uk-UA" w:eastAsia="uk-UA"/>
        </w:rPr>
        <w:t>факультету цивільної та господарської юстиції</w:t>
      </w:r>
    </w:p>
    <w:p w14:paraId="434DFE91" w14:textId="074E606C" w:rsidR="005F048D" w:rsidRPr="00511005" w:rsidRDefault="007B2628" w:rsidP="003A292D">
      <w:pPr>
        <w:spacing w:line="264" w:lineRule="auto"/>
        <w:ind w:firstLine="0"/>
        <w:jc w:val="center"/>
        <w:rPr>
          <w:rFonts w:ascii="Arial" w:eastAsia="Calibri" w:hAnsi="Arial" w:cs="Arial"/>
          <w:szCs w:val="28"/>
          <w:lang w:val="uk-UA" w:eastAsia="uk-UA"/>
        </w:rPr>
      </w:pPr>
      <w:r w:rsidRPr="00511005">
        <w:rPr>
          <w:rFonts w:ascii="Arial" w:eastAsia="Calibri" w:hAnsi="Arial" w:cs="Arial"/>
          <w:szCs w:val="28"/>
          <w:lang w:val="uk-UA" w:eastAsia="uk-UA"/>
        </w:rPr>
        <w:t>Національного університету «Одеська юридична академія»</w:t>
      </w:r>
    </w:p>
    <w:p w14:paraId="222BD652" w14:textId="77777777" w:rsidR="005F048D" w:rsidRPr="00511005" w:rsidRDefault="005F048D" w:rsidP="003A292D">
      <w:pPr>
        <w:spacing w:line="264" w:lineRule="auto"/>
        <w:ind w:firstLine="0"/>
        <w:jc w:val="center"/>
        <w:rPr>
          <w:rFonts w:ascii="Arial" w:eastAsia="Calibri" w:hAnsi="Arial" w:cs="Arial"/>
          <w:szCs w:val="28"/>
          <w:lang w:val="uk-UA" w:eastAsia="uk-UA"/>
        </w:rPr>
      </w:pPr>
    </w:p>
    <w:p w14:paraId="06C9D2DF" w14:textId="77777777" w:rsidR="005F048D" w:rsidRPr="00511005" w:rsidRDefault="005F048D" w:rsidP="003A292D">
      <w:pPr>
        <w:spacing w:line="264" w:lineRule="auto"/>
        <w:ind w:firstLine="0"/>
        <w:jc w:val="center"/>
        <w:rPr>
          <w:rFonts w:ascii="Arial" w:eastAsia="Calibri" w:hAnsi="Arial" w:cs="Arial"/>
          <w:b/>
          <w:bCs/>
          <w:szCs w:val="28"/>
          <w:lang w:val="uk-UA" w:eastAsia="uk-UA"/>
        </w:rPr>
      </w:pPr>
      <w:r w:rsidRPr="00511005">
        <w:rPr>
          <w:rFonts w:ascii="Arial" w:eastAsia="Calibri" w:hAnsi="Arial" w:cs="Arial"/>
          <w:b/>
          <w:bCs/>
          <w:szCs w:val="28"/>
          <w:lang w:val="uk-UA" w:eastAsia="uk-UA"/>
        </w:rPr>
        <w:t>ПОНЯТТЯ ТА ОЗНАКИ МЕЖ ДИСКРЕЦІЙНИХ ПОВНОВАЖЕНЬ СУДУ</w:t>
      </w:r>
    </w:p>
    <w:p w14:paraId="07AB68A4" w14:textId="77777777" w:rsidR="005F048D" w:rsidRPr="00511005" w:rsidRDefault="005F048D"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Проблематика меж суддівського розсуду полягає в необхідності забезпечення балансу між свободою правозастосовчої діяльності судді та гарантіями від зловживання цією свободою. В умовах сьогодення важливим викликом є чітке окреслення меж судового розсуду, які б, з одного боку, гарантували судді можливість застосування правових норм з урахуванням обставин кожної конкретної справи, а з іншого – унеможливлювали свавільне чи упереджене тлумачення і застосування закону. Невизначеність або надмірна широта меж розсуду здатна створити ризики для принципу правової визначеності, рівності сторін та передбачуваності судових рішень. Основна складність полягає в тому, що суддівський розсуд не має чітко окреслених меж, що робить їх визначення залежним як від законодавства, від обставин конкретної справи та суб’єктивних чинників.</w:t>
      </w:r>
    </w:p>
    <w:p w14:paraId="55DA14D3"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У різних галузевих актах процесуального законодавства акцентується на тому, що можливість суду у виборі певної моделі поведінки під час реалізації дискреційних повноважень не є абсолютно вільною за власним суб’єктивним сприйняттям свободою розсуду. Такий розсуд, безумовно, повинен мати певні межі застосування [1, с. 82].</w:t>
      </w:r>
    </w:p>
    <w:p w14:paraId="2A5DB3CD" w14:textId="77777777" w:rsidR="005F048D" w:rsidRPr="00511005" w:rsidRDefault="005F048D" w:rsidP="003A292D">
      <w:pPr>
        <w:shd w:val="clear" w:color="auto" w:fill="FFFFFF"/>
        <w:spacing w:line="264" w:lineRule="auto"/>
        <w:rPr>
          <w:rFonts w:ascii="Arial" w:eastAsia="Times New Roman" w:hAnsi="Arial" w:cs="Arial"/>
          <w:szCs w:val="28"/>
          <w:lang w:val="uk-UA" w:eastAsia="ru-RU"/>
        </w:rPr>
      </w:pPr>
      <w:r w:rsidRPr="00511005">
        <w:rPr>
          <w:rFonts w:ascii="Arial" w:eastAsia="Calibri" w:hAnsi="Arial" w:cs="Arial"/>
          <w:szCs w:val="28"/>
          <w:lang w:val="uk-UA" w:eastAsia="uk-UA"/>
        </w:rPr>
        <w:t>О</w:t>
      </w:r>
      <w:r w:rsidRPr="00511005">
        <w:rPr>
          <w:rFonts w:ascii="Arial" w:eastAsia="Times New Roman" w:hAnsi="Arial" w:cs="Arial"/>
          <w:szCs w:val="28"/>
          <w:lang w:val="uk-UA" w:eastAsia="ru-RU"/>
        </w:rPr>
        <w:t xml:space="preserve">сновне призначення меж </w:t>
      </w:r>
      <w:r w:rsidRPr="00511005">
        <w:rPr>
          <w:rFonts w:ascii="Arial" w:eastAsia="Times New Roman" w:hAnsi="Arial" w:cs="Arial"/>
          <w:bCs/>
          <w:szCs w:val="28"/>
          <w:lang w:val="uk-UA" w:eastAsia="ru-RU"/>
        </w:rPr>
        <w:t>дискреційних</w:t>
      </w:r>
      <w:r w:rsidRPr="00511005">
        <w:rPr>
          <w:rFonts w:ascii="Arial" w:eastAsia="Times New Roman" w:hAnsi="Arial" w:cs="Arial"/>
          <w:szCs w:val="28"/>
          <w:lang w:val="uk-UA" w:eastAsia="ru-RU"/>
        </w:rPr>
        <w:t xml:space="preserve"> </w:t>
      </w:r>
      <w:r w:rsidRPr="00511005">
        <w:rPr>
          <w:rFonts w:ascii="Arial" w:eastAsia="Times New Roman" w:hAnsi="Arial" w:cs="Arial"/>
          <w:bCs/>
          <w:szCs w:val="28"/>
          <w:lang w:val="uk-UA" w:eastAsia="ru-RU"/>
        </w:rPr>
        <w:t>повноважень</w:t>
      </w:r>
      <w:r w:rsidRPr="00511005">
        <w:rPr>
          <w:rFonts w:ascii="Arial" w:eastAsia="Times New Roman" w:hAnsi="Arial" w:cs="Arial"/>
          <w:szCs w:val="28"/>
          <w:lang w:val="uk-UA" w:eastAsia="ru-RU"/>
        </w:rPr>
        <w:t xml:space="preserve"> полягає в унеможливленні, недопущенні невиправданої свободи застосування посадовцем </w:t>
      </w:r>
      <w:r w:rsidRPr="00511005">
        <w:rPr>
          <w:rFonts w:ascii="Arial" w:eastAsia="Times New Roman" w:hAnsi="Arial" w:cs="Arial"/>
          <w:bCs/>
          <w:szCs w:val="28"/>
          <w:lang w:val="uk-UA" w:eastAsia="ru-RU"/>
        </w:rPr>
        <w:t>повноважень</w:t>
      </w:r>
      <w:r w:rsidRPr="00511005">
        <w:rPr>
          <w:rFonts w:ascii="Arial" w:eastAsia="Times New Roman" w:hAnsi="Arial" w:cs="Arial"/>
          <w:szCs w:val="28"/>
          <w:lang w:val="uk-UA" w:eastAsia="ru-RU"/>
        </w:rPr>
        <w:t xml:space="preserve"> при вирішенні ряду правових питань, тобто недопущення правоохоронного свавілля. Межі виконують стримувальну роль, встановлюють певні рамки для свободи </w:t>
      </w:r>
      <w:r w:rsidRPr="00511005">
        <w:rPr>
          <w:rFonts w:ascii="Arial" w:eastAsia="Times New Roman" w:hAnsi="Arial" w:cs="Arial"/>
          <w:bCs/>
          <w:szCs w:val="28"/>
          <w:lang w:val="uk-UA" w:eastAsia="ru-RU"/>
        </w:rPr>
        <w:t>дискреційних повноважень [2, с. 112].</w:t>
      </w:r>
    </w:p>
    <w:p w14:paraId="67C78E72"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Куфтирєв П.В. розкриває поняття меж суддівського розсуду, як визначені системою права рамкові умови правомірності обрання найбільш оптимального варіанту вирішення правового питання відповідно до нормативно визначених принципів, засад і цілей права та конкретних обставин справи [3, с. 14].</w:t>
      </w:r>
    </w:p>
    <w:p w14:paraId="6DB0967C"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Жильцов О.В. визначає, що під засобами обмеженням дискреційних повноважень варто розуміти прямо передбачені або не заборонені законом правові та процесуальні рамки, що дають змогу суб’єкту правозастосування </w:t>
      </w:r>
      <w:r w:rsidRPr="00511005">
        <w:rPr>
          <w:rFonts w:ascii="Arial" w:eastAsia="Calibri" w:hAnsi="Arial" w:cs="Arial"/>
          <w:szCs w:val="28"/>
          <w:lang w:val="uk-UA" w:eastAsia="uk-UA"/>
        </w:rPr>
        <w:lastRenderedPageBreak/>
        <w:t>обирати з декількох варіантів саме той, відповідно до якого рішення у справі буде відповідати вимогам законності, справедливості й розумності [4, с. 14].</w:t>
      </w:r>
    </w:p>
    <w:p w14:paraId="2A8A028B" w14:textId="6AB3CD16"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Виходячи з наукових підходів щодо визначення дискреції та її меж вбачається можливим виділити декілька ключових положень, серед яких такі.</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Дискреція – це законодавчо встановлена можливість обирати один з варіантів для прийняття рішення з поміж допустимо можливих. Межі дискреційних повноважень - чинники, які визначають допустимість прийняття того чи іншого рішення із можливих варіантів з урахуванням законодавчих приписів та обставин конкретної справи.</w:t>
      </w:r>
    </w:p>
    <w:p w14:paraId="0B904CC4"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Анісімов О.В. у своєму дослідженні визначає ознаки дискреційної межі, а саме:</w:t>
      </w:r>
    </w:p>
    <w:p w14:paraId="39DDAC82"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b/>
          <w:bCs/>
          <w:szCs w:val="28"/>
          <w:lang w:val="uk-UA" w:eastAsia="uk-UA"/>
        </w:rPr>
        <w:t xml:space="preserve">- </w:t>
      </w:r>
      <w:r w:rsidRPr="00511005">
        <w:rPr>
          <w:rFonts w:ascii="Arial" w:eastAsia="Calibri" w:hAnsi="Arial" w:cs="Arial"/>
          <w:szCs w:val="28"/>
          <w:lang w:val="uk-UA" w:eastAsia="uk-UA"/>
        </w:rPr>
        <w:t>визначеність (формальна визначеність дискреційної межі, забезпечує передбачуваність діяльності суб’єкта правозастосування при реалізації ним своїх дискреційних повноважень, що породжує довіру);</w:t>
      </w:r>
    </w:p>
    <w:p w14:paraId="082FBEA3"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зрозумілість (розуміння алгоритму діяльності правозастосувача при реалізації дискреційних повноважень, свідчить про його передбачуваність, що безпосередньо впливає на довіру до нього);</w:t>
      </w:r>
    </w:p>
    <w:p w14:paraId="2AB12AAA"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легітимність (легітимними мають бути не тільки рішення правозастосувача, легітимними мають бути і інструменти, які використовуються останнім під час здійснення процедурно-процесуальної діяльності);</w:t>
      </w:r>
    </w:p>
    <w:p w14:paraId="69BE7F1E"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практичність (дискреційна межа є юридичним інструментом практичного характеру, оскільки вона безпосередньо пов’язана з діяльністю суб’єкта правозастосування при реалізації ним своїх дискреційних повноважень) [5, с. 196-197].</w:t>
      </w:r>
    </w:p>
    <w:p w14:paraId="4C1F870D"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На думку Куфтирєва П.В. ознаки меж суддівського розсуду: </w:t>
      </w:r>
    </w:p>
    <w:p w14:paraId="708CDFCD" w14:textId="77777777" w:rsidR="005F048D" w:rsidRPr="00511005" w:rsidRDefault="005F048D" w:rsidP="003F6A5D">
      <w:pPr>
        <w:numPr>
          <w:ilvl w:val="0"/>
          <w:numId w:val="340"/>
        </w:numPr>
        <w:spacing w:line="264" w:lineRule="auto"/>
        <w:ind w:firstLine="709"/>
        <w:jc w:val="left"/>
        <w:rPr>
          <w:rFonts w:ascii="Arial" w:eastAsia="Calibri" w:hAnsi="Arial" w:cs="Arial"/>
          <w:szCs w:val="28"/>
          <w:lang w:val="uk-UA" w:eastAsia="uk-UA"/>
        </w:rPr>
      </w:pPr>
      <w:r w:rsidRPr="00511005">
        <w:rPr>
          <w:rFonts w:ascii="Arial" w:eastAsia="Calibri" w:hAnsi="Arial" w:cs="Arial"/>
          <w:szCs w:val="28"/>
          <w:lang w:val="uk-UA" w:eastAsia="uk-UA"/>
        </w:rPr>
        <w:t>об’єктивна визначеність меж суддівського;</w:t>
      </w:r>
    </w:p>
    <w:p w14:paraId="6772B2C2" w14:textId="77777777" w:rsidR="005F048D" w:rsidRPr="00511005" w:rsidRDefault="005F048D" w:rsidP="003F6A5D">
      <w:pPr>
        <w:numPr>
          <w:ilvl w:val="0"/>
          <w:numId w:val="340"/>
        </w:numPr>
        <w:spacing w:line="264" w:lineRule="auto"/>
        <w:ind w:firstLine="709"/>
        <w:jc w:val="left"/>
        <w:rPr>
          <w:rFonts w:ascii="Arial" w:eastAsia="Calibri" w:hAnsi="Arial" w:cs="Arial"/>
          <w:szCs w:val="28"/>
          <w:lang w:val="uk-UA" w:eastAsia="uk-UA"/>
        </w:rPr>
      </w:pPr>
      <w:r w:rsidRPr="00511005">
        <w:rPr>
          <w:rFonts w:ascii="Arial" w:eastAsia="Calibri" w:hAnsi="Arial" w:cs="Arial"/>
          <w:szCs w:val="28"/>
          <w:lang w:val="uk-UA" w:eastAsia="uk-UA"/>
        </w:rPr>
        <w:t>комплексний характер походження меж судового розсуду передбачає наявність об’єктивної та суб’єктивної складової;</w:t>
      </w:r>
    </w:p>
    <w:p w14:paraId="36409CE9" w14:textId="77777777" w:rsidR="005F048D" w:rsidRPr="00511005" w:rsidRDefault="005F048D" w:rsidP="003F6A5D">
      <w:pPr>
        <w:numPr>
          <w:ilvl w:val="0"/>
          <w:numId w:val="340"/>
        </w:numPr>
        <w:spacing w:line="264" w:lineRule="auto"/>
        <w:ind w:firstLine="709"/>
        <w:jc w:val="left"/>
        <w:rPr>
          <w:rFonts w:ascii="Arial" w:eastAsia="Calibri" w:hAnsi="Arial" w:cs="Arial"/>
          <w:szCs w:val="28"/>
          <w:lang w:val="uk-UA" w:eastAsia="uk-UA"/>
        </w:rPr>
      </w:pPr>
      <w:r w:rsidRPr="00511005">
        <w:rPr>
          <w:rFonts w:ascii="Arial" w:eastAsia="Calibri" w:hAnsi="Arial" w:cs="Arial"/>
          <w:szCs w:val="28"/>
          <w:lang w:val="uk-UA" w:eastAsia="uk-UA"/>
        </w:rPr>
        <w:t>поліфункціональність меж судового розсуду;</w:t>
      </w:r>
    </w:p>
    <w:p w14:paraId="67D067B7" w14:textId="77777777" w:rsidR="005F048D" w:rsidRPr="00511005" w:rsidRDefault="005F048D" w:rsidP="003F6A5D">
      <w:pPr>
        <w:numPr>
          <w:ilvl w:val="0"/>
          <w:numId w:val="340"/>
        </w:numPr>
        <w:spacing w:line="264" w:lineRule="auto"/>
        <w:ind w:firstLine="709"/>
        <w:jc w:val="left"/>
        <w:rPr>
          <w:rFonts w:ascii="Arial" w:eastAsia="Calibri" w:hAnsi="Arial" w:cs="Arial"/>
          <w:szCs w:val="28"/>
          <w:lang w:val="uk-UA" w:eastAsia="uk-UA"/>
        </w:rPr>
      </w:pPr>
      <w:r w:rsidRPr="00511005">
        <w:rPr>
          <w:rFonts w:ascii="Arial" w:eastAsia="Calibri" w:hAnsi="Arial" w:cs="Arial"/>
          <w:szCs w:val="28"/>
          <w:lang w:val="uk-UA" w:eastAsia="uk-UA"/>
        </w:rPr>
        <w:t>рамковий характер меж судового розсуду;</w:t>
      </w:r>
    </w:p>
    <w:p w14:paraId="4127C5DA" w14:textId="77777777" w:rsidR="005F048D" w:rsidRPr="00511005" w:rsidRDefault="005F048D" w:rsidP="003F6A5D">
      <w:pPr>
        <w:numPr>
          <w:ilvl w:val="0"/>
          <w:numId w:val="340"/>
        </w:numPr>
        <w:spacing w:line="264" w:lineRule="auto"/>
        <w:ind w:firstLine="709"/>
        <w:jc w:val="left"/>
        <w:rPr>
          <w:rFonts w:ascii="Arial" w:eastAsia="Calibri" w:hAnsi="Arial" w:cs="Arial"/>
          <w:szCs w:val="28"/>
          <w:lang w:val="uk-UA" w:eastAsia="uk-UA"/>
        </w:rPr>
      </w:pPr>
      <w:r w:rsidRPr="00511005">
        <w:rPr>
          <w:rFonts w:ascii="Arial" w:eastAsia="Calibri" w:hAnsi="Arial" w:cs="Arial"/>
          <w:szCs w:val="28"/>
          <w:lang w:val="uk-UA" w:eastAsia="uk-UA"/>
        </w:rPr>
        <w:t>відносність меж суддівського розсуду</w:t>
      </w:r>
      <w:r w:rsidRPr="00511005">
        <w:rPr>
          <w:rFonts w:ascii="Arial" w:eastAsia="Calibri" w:hAnsi="Arial" w:cs="Arial"/>
          <w:b/>
          <w:bCs/>
          <w:szCs w:val="28"/>
          <w:lang w:val="uk-UA" w:eastAsia="uk-UA"/>
        </w:rPr>
        <w:t xml:space="preserve"> </w:t>
      </w:r>
      <w:r w:rsidRPr="00511005">
        <w:rPr>
          <w:rFonts w:ascii="Arial" w:eastAsia="Calibri" w:hAnsi="Arial" w:cs="Arial"/>
          <w:szCs w:val="28"/>
          <w:lang w:val="uk-UA" w:eastAsia="uk-UA"/>
        </w:rPr>
        <w:t xml:space="preserve">[3, с. 14-15]. </w:t>
      </w:r>
    </w:p>
    <w:p w14:paraId="2DDE0507"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Білостоцький О.В. зазначив загальні правила визначення меж дискреційних повноважень судді, а саме:</w:t>
      </w:r>
    </w:p>
    <w:p w14:paraId="3973A64D"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суддя переслідує лише ту мету, задля якої його наділено такими повноваженнями;</w:t>
      </w:r>
    </w:p>
    <w:p w14:paraId="24BF99C3"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суддя забезпечує належну рівновагу між несприятливими наслідками, які його рішення може мати, та переслідуваною при цьому метою;</w:t>
      </w:r>
    </w:p>
    <w:p w14:paraId="657A93BF"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суддя приймає своє рішення в межах прийнятного строку, зважаючи на особливості справи;</w:t>
      </w:r>
    </w:p>
    <w:p w14:paraId="2A82F249"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lastRenderedPageBreak/>
        <w:t>- суддя забезпечує застосування загальних приписів з одночасним врахуванням конкретних обставин кожної справи [6, с. 208].</w:t>
      </w:r>
    </w:p>
    <w:p w14:paraId="7C95A392" w14:textId="77777777" w:rsidR="005F048D" w:rsidRPr="00511005" w:rsidRDefault="005F048D" w:rsidP="003A292D">
      <w:pPr>
        <w:pBdr>
          <w:top w:val="nil"/>
          <w:left w:val="nil"/>
          <w:bottom w:val="nil"/>
          <w:right w:val="nil"/>
          <w:between w:val="nil"/>
          <w:bar w:val="nil"/>
        </w:pBdr>
        <w:spacing w:line="264" w:lineRule="auto"/>
        <w:rPr>
          <w:rFonts w:ascii="Arial" w:eastAsia="Arial Unicode MS" w:hAnsi="Arial" w:cs="Arial"/>
          <w:szCs w:val="28"/>
          <w:bdr w:val="nil"/>
          <w:lang w:val="uk-UA"/>
        </w:rPr>
      </w:pPr>
      <w:r w:rsidRPr="00511005">
        <w:rPr>
          <w:rFonts w:ascii="Arial" w:eastAsia="Arial Unicode MS" w:hAnsi="Arial" w:cs="Arial"/>
          <w:szCs w:val="28"/>
          <w:bdr w:val="nil"/>
          <w:lang w:val="uk-UA"/>
        </w:rPr>
        <w:t>Отже, суддя використовуючи дискреційні повноваження при прийняті рішень, має бути обмежений нормативно закріпленою межею. Межа дискреційних повноважень суду - це правовий механізм, який не допускає прояву свавільності та зловживанню суддею дискреційними повноваженнями. Межі дискреційних повноважень – це засоби правового стримування, норми, принципи і процедури, які обумовлюють можливості свободи вибору рішення суб’єктом владних повноважень серед варіантів, які є правомірними, доцільними та справедливими в конкретних умовах та справах.</w:t>
      </w:r>
    </w:p>
    <w:p w14:paraId="13B11C11" w14:textId="77777777" w:rsidR="005F048D" w:rsidRPr="00511005" w:rsidRDefault="005F048D" w:rsidP="003A292D">
      <w:pPr>
        <w:pBdr>
          <w:top w:val="nil"/>
          <w:left w:val="nil"/>
          <w:bottom w:val="nil"/>
          <w:right w:val="nil"/>
          <w:between w:val="nil"/>
          <w:bar w:val="nil"/>
        </w:pBdr>
        <w:spacing w:line="264" w:lineRule="auto"/>
        <w:rPr>
          <w:rFonts w:ascii="Arial" w:eastAsia="Times New Roman" w:hAnsi="Arial" w:cs="Arial"/>
          <w:szCs w:val="28"/>
          <w:bdr w:val="nil"/>
          <w:lang w:val="uk-UA"/>
        </w:rPr>
      </w:pPr>
    </w:p>
    <w:p w14:paraId="0C8E6DC1" w14:textId="722F9DAF" w:rsidR="005F048D" w:rsidRPr="00511005" w:rsidRDefault="007B2628" w:rsidP="007B2628">
      <w:pPr>
        <w:spacing w:line="264" w:lineRule="auto"/>
        <w:ind w:firstLine="0"/>
        <w:jc w:val="center"/>
        <w:rPr>
          <w:rFonts w:ascii="Arial" w:eastAsia="Calibri" w:hAnsi="Arial" w:cs="Arial"/>
          <w:b/>
          <w:bCs/>
          <w:szCs w:val="28"/>
          <w:lang w:val="uk-UA" w:eastAsia="uk-UA"/>
        </w:rPr>
      </w:pPr>
      <w:r w:rsidRPr="00511005">
        <w:rPr>
          <w:rFonts w:ascii="Arial" w:eastAsia="Calibri" w:hAnsi="Arial" w:cs="Arial"/>
          <w:b/>
          <w:bCs/>
          <w:szCs w:val="28"/>
          <w:lang w:val="uk-UA" w:eastAsia="uk-UA"/>
        </w:rPr>
        <w:t>Список використаних джерел</w:t>
      </w:r>
    </w:p>
    <w:p w14:paraId="4F1533B8" w14:textId="77777777" w:rsidR="005F048D" w:rsidRPr="00511005" w:rsidRDefault="005F048D" w:rsidP="003F6A5D">
      <w:pPr>
        <w:numPr>
          <w:ilvl w:val="0"/>
          <w:numId w:val="341"/>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 xml:space="preserve">Гуйван П.Д. Детермінація дискреційних повноважень владних органів. </w:t>
      </w:r>
      <w:r w:rsidRPr="00511005">
        <w:rPr>
          <w:rFonts w:ascii="Arial" w:eastAsia="Calibri" w:hAnsi="Arial" w:cs="Arial"/>
          <w:i/>
          <w:iCs/>
          <w:szCs w:val="28"/>
          <w:lang w:val="uk-UA" w:eastAsia="uk-UA"/>
        </w:rPr>
        <w:t xml:space="preserve">Правова позиція, </w:t>
      </w:r>
      <w:r w:rsidRPr="00511005">
        <w:rPr>
          <w:rFonts w:ascii="Arial" w:eastAsia="Calibri" w:hAnsi="Arial" w:cs="Arial"/>
          <w:szCs w:val="28"/>
          <w:lang w:val="uk-UA" w:eastAsia="uk-UA"/>
        </w:rPr>
        <w:t xml:space="preserve">№1 (22), 2019. 81-88 с. </w:t>
      </w:r>
    </w:p>
    <w:p w14:paraId="7B6DF2EE" w14:textId="77777777" w:rsidR="005F048D" w:rsidRPr="00511005" w:rsidRDefault="005F048D" w:rsidP="003F6A5D">
      <w:pPr>
        <w:numPr>
          <w:ilvl w:val="0"/>
          <w:numId w:val="341"/>
        </w:numPr>
        <w:pBdr>
          <w:top w:val="nil"/>
          <w:left w:val="nil"/>
          <w:bottom w:val="nil"/>
          <w:right w:val="nil"/>
          <w:between w:val="nil"/>
          <w:bar w:val="nil"/>
        </w:pBdr>
        <w:spacing w:line="264" w:lineRule="auto"/>
        <w:ind w:left="0" w:firstLine="709"/>
        <w:jc w:val="left"/>
        <w:rPr>
          <w:rFonts w:ascii="Arial" w:eastAsia="Arial Unicode MS" w:hAnsi="Arial" w:cs="Arial"/>
          <w:szCs w:val="28"/>
          <w:bdr w:val="nil"/>
          <w:lang w:val="uk-UA" w:eastAsia="ru-RU"/>
        </w:rPr>
      </w:pPr>
      <w:r w:rsidRPr="00511005">
        <w:rPr>
          <w:rFonts w:ascii="Arial" w:eastAsia="Arial Unicode MS" w:hAnsi="Arial" w:cs="Arial"/>
          <w:szCs w:val="28"/>
          <w:bdr w:val="nil"/>
          <w:lang w:val="uk-UA" w:eastAsia="ru-RU"/>
        </w:rPr>
        <w:t xml:space="preserve">Бойчук М.І. Сутність меж і обмежень дискреційних повноважень органів внутрішніх справ в контексті принципу верховенства права. </w:t>
      </w:r>
      <w:r w:rsidRPr="00511005">
        <w:rPr>
          <w:rFonts w:ascii="Arial" w:eastAsia="Arial Unicode MS" w:hAnsi="Arial" w:cs="Arial"/>
          <w:i/>
          <w:szCs w:val="28"/>
          <w:bdr w:val="nil"/>
          <w:lang w:val="uk-UA" w:eastAsia="ru-RU"/>
        </w:rPr>
        <w:t xml:space="preserve">Форум права. </w:t>
      </w:r>
      <w:r w:rsidRPr="00511005">
        <w:rPr>
          <w:rFonts w:ascii="Arial" w:eastAsia="Arial Unicode MS" w:hAnsi="Arial" w:cs="Arial"/>
          <w:szCs w:val="28"/>
          <w:bdr w:val="nil"/>
          <w:lang w:val="uk-UA" w:eastAsia="ru-RU"/>
        </w:rPr>
        <w:t>2012. URL: http//www.nbuv.gov.ua/e-journals/FP/2012-1/12bmipvp.pdf. 112-121 с.</w:t>
      </w:r>
    </w:p>
    <w:p w14:paraId="440D938A" w14:textId="77777777" w:rsidR="005F048D" w:rsidRPr="00511005" w:rsidRDefault="005F048D" w:rsidP="003F6A5D">
      <w:pPr>
        <w:numPr>
          <w:ilvl w:val="0"/>
          <w:numId w:val="341"/>
        </w:numPr>
        <w:pBdr>
          <w:top w:val="nil"/>
          <w:left w:val="nil"/>
          <w:bottom w:val="nil"/>
          <w:right w:val="nil"/>
          <w:between w:val="nil"/>
          <w:bar w:val="nil"/>
        </w:pBdr>
        <w:spacing w:line="264" w:lineRule="auto"/>
        <w:ind w:left="0" w:firstLine="709"/>
        <w:jc w:val="left"/>
        <w:rPr>
          <w:rFonts w:ascii="Arial" w:eastAsia="Arial Unicode MS" w:hAnsi="Arial" w:cs="Arial"/>
          <w:szCs w:val="28"/>
          <w:bdr w:val="nil"/>
          <w:lang w:val="uk-UA" w:eastAsia="ru-RU"/>
        </w:rPr>
      </w:pPr>
      <w:r w:rsidRPr="00511005">
        <w:rPr>
          <w:rFonts w:ascii="Arial" w:eastAsia="Arial Unicode MS" w:hAnsi="Arial" w:cs="Arial"/>
          <w:szCs w:val="28"/>
          <w:bdr w:val="nil"/>
          <w:lang w:val="uk-UA" w:eastAsia="ru-RU"/>
        </w:rPr>
        <w:t>Куфтирєв П.В. Суддівський розсуд у теорії права: автореф. дис. …канд. юрид. наук: 12.00.01. Київ, 2009. 23 с.</w:t>
      </w:r>
    </w:p>
    <w:p w14:paraId="57E1F15E" w14:textId="77777777" w:rsidR="005F048D" w:rsidRPr="00511005" w:rsidRDefault="005F048D" w:rsidP="003F6A5D">
      <w:pPr>
        <w:numPr>
          <w:ilvl w:val="0"/>
          <w:numId w:val="341"/>
        </w:numPr>
        <w:pBdr>
          <w:top w:val="nil"/>
          <w:left w:val="nil"/>
          <w:bottom w:val="nil"/>
          <w:right w:val="nil"/>
          <w:between w:val="nil"/>
          <w:bar w:val="nil"/>
        </w:pBdr>
        <w:spacing w:line="264" w:lineRule="auto"/>
        <w:ind w:left="0" w:firstLine="709"/>
        <w:jc w:val="left"/>
        <w:rPr>
          <w:rFonts w:ascii="Arial" w:eastAsia="Arial Unicode MS" w:hAnsi="Arial" w:cs="Arial"/>
          <w:szCs w:val="28"/>
          <w:bdr w:val="nil"/>
          <w:lang w:val="uk-UA" w:eastAsia="ru-RU"/>
        </w:rPr>
      </w:pPr>
      <w:r w:rsidRPr="00511005">
        <w:rPr>
          <w:rFonts w:ascii="Arial" w:eastAsia="Arial Unicode MS" w:hAnsi="Arial" w:cs="Arial"/>
          <w:szCs w:val="28"/>
          <w:bdr w:val="nil"/>
          <w:lang w:val="uk-UA" w:eastAsia="ru-RU"/>
        </w:rPr>
        <w:t xml:space="preserve">Жильцов О.В. Правові засоби обмеження дискреційних повноважень суду. </w:t>
      </w:r>
      <w:r w:rsidRPr="00511005">
        <w:rPr>
          <w:rFonts w:ascii="Arial" w:eastAsia="Arial Unicode MS" w:hAnsi="Arial" w:cs="Arial"/>
          <w:i/>
          <w:iCs/>
          <w:szCs w:val="28"/>
          <w:bdr w:val="nil"/>
          <w:lang w:val="uk-UA" w:eastAsia="ru-RU"/>
        </w:rPr>
        <w:t>Юридичний бюлетень</w:t>
      </w:r>
      <w:r w:rsidRPr="00511005">
        <w:rPr>
          <w:rFonts w:ascii="Arial" w:eastAsia="Arial Unicode MS" w:hAnsi="Arial" w:cs="Arial"/>
          <w:szCs w:val="28"/>
          <w:bdr w:val="nil"/>
          <w:lang w:val="uk-UA" w:eastAsia="ru-RU"/>
        </w:rPr>
        <w:t>. Вип. 13. 2020. 9-16 с.</w:t>
      </w:r>
    </w:p>
    <w:p w14:paraId="11F593FE" w14:textId="77777777" w:rsidR="005F048D" w:rsidRPr="00511005" w:rsidRDefault="005F048D" w:rsidP="003F6A5D">
      <w:pPr>
        <w:numPr>
          <w:ilvl w:val="0"/>
          <w:numId w:val="341"/>
        </w:numPr>
        <w:pBdr>
          <w:top w:val="nil"/>
          <w:left w:val="nil"/>
          <w:bottom w:val="nil"/>
          <w:right w:val="nil"/>
          <w:between w:val="nil"/>
          <w:bar w:val="nil"/>
        </w:pBdr>
        <w:spacing w:line="264" w:lineRule="auto"/>
        <w:ind w:left="0" w:firstLine="709"/>
        <w:jc w:val="left"/>
        <w:rPr>
          <w:rFonts w:ascii="Arial" w:eastAsia="Arial Unicode MS" w:hAnsi="Arial" w:cs="Arial"/>
          <w:szCs w:val="28"/>
          <w:bdr w:val="nil"/>
          <w:lang w:val="uk-UA" w:eastAsia="ru-RU"/>
        </w:rPr>
      </w:pPr>
      <w:r w:rsidRPr="00511005">
        <w:rPr>
          <w:rFonts w:ascii="Arial" w:eastAsia="Arial Unicode MS" w:hAnsi="Arial" w:cs="Arial"/>
          <w:szCs w:val="28"/>
          <w:bdr w:val="nil"/>
          <w:shd w:val="clear" w:color="auto" w:fill="FFFFFF"/>
          <w:lang w:val="uk-UA" w:eastAsia="ru-RU"/>
        </w:rPr>
        <w:t>Анісімов О.В. Конституційні засади судової дискреції як гарантії самоостійності та ефективності судової влади: дис. …доктора філософії 081 Право Ужгород, 2021. 231 с.</w:t>
      </w:r>
    </w:p>
    <w:p w14:paraId="153B3FE2" w14:textId="77777777" w:rsidR="005F048D" w:rsidRPr="00511005" w:rsidRDefault="005F048D" w:rsidP="003F6A5D">
      <w:pPr>
        <w:numPr>
          <w:ilvl w:val="0"/>
          <w:numId w:val="341"/>
        </w:numPr>
        <w:pBdr>
          <w:top w:val="nil"/>
          <w:left w:val="nil"/>
          <w:bottom w:val="nil"/>
          <w:right w:val="nil"/>
          <w:between w:val="nil"/>
          <w:bar w:val="nil"/>
        </w:pBdr>
        <w:spacing w:line="264" w:lineRule="auto"/>
        <w:ind w:left="0" w:firstLine="709"/>
        <w:jc w:val="left"/>
        <w:rPr>
          <w:rFonts w:ascii="Arial" w:eastAsia="Arial Unicode MS" w:hAnsi="Arial" w:cs="Arial"/>
          <w:szCs w:val="28"/>
          <w:bdr w:val="nil"/>
          <w:lang w:val="uk-UA" w:eastAsia="ru-RU"/>
        </w:rPr>
      </w:pPr>
      <w:r w:rsidRPr="00511005">
        <w:rPr>
          <w:rFonts w:ascii="Arial" w:eastAsia="Arial Unicode MS" w:hAnsi="Arial" w:cs="Arial"/>
          <w:szCs w:val="28"/>
          <w:bdr w:val="nil"/>
          <w:shd w:val="clear" w:color="auto" w:fill="FFFFFF"/>
          <w:lang w:val="uk-UA" w:eastAsia="ru-RU"/>
        </w:rPr>
        <w:t>Білостоцький О.В. Дискреційні повноваження судді: проблеми теорії та практики: дис. …доктора філософії 081 Право. Одеса, 2023. 238 с.</w:t>
      </w:r>
    </w:p>
    <w:p w14:paraId="1D0E74F4" w14:textId="77777777" w:rsidR="005F048D" w:rsidRPr="00511005" w:rsidRDefault="005F048D" w:rsidP="003A292D">
      <w:pPr>
        <w:spacing w:line="264" w:lineRule="auto"/>
        <w:rPr>
          <w:rFonts w:ascii="Arial" w:eastAsia="Calibri" w:hAnsi="Arial" w:cs="Arial"/>
          <w:b/>
          <w:bCs/>
          <w:szCs w:val="28"/>
          <w:lang w:val="uk-UA" w:eastAsia="uk-UA"/>
        </w:rPr>
      </w:pPr>
    </w:p>
    <w:p w14:paraId="4EA982CA" w14:textId="6DC36E4D" w:rsidR="005F048D" w:rsidRPr="00511005" w:rsidRDefault="007B2628" w:rsidP="003A292D">
      <w:pPr>
        <w:spacing w:line="264" w:lineRule="auto"/>
        <w:rPr>
          <w:rFonts w:ascii="Arial" w:eastAsia="Calibri" w:hAnsi="Arial" w:cs="Arial"/>
          <w:szCs w:val="28"/>
          <w:lang w:val="uk-UA" w:eastAsia="uk-UA"/>
        </w:rPr>
      </w:pPr>
      <w:r w:rsidRPr="00511005">
        <w:rPr>
          <w:rFonts w:ascii="Arial" w:eastAsia="Calibri" w:hAnsi="Arial" w:cs="Arial"/>
          <w:b/>
          <w:bCs/>
          <w:i/>
          <w:szCs w:val="28"/>
          <w:lang w:val="uk-UA" w:eastAsia="uk-UA"/>
        </w:rPr>
        <w:t xml:space="preserve">Ключові слова: </w:t>
      </w:r>
      <w:r w:rsidR="005F048D" w:rsidRPr="00511005">
        <w:rPr>
          <w:rFonts w:ascii="Arial" w:eastAsia="Calibri" w:hAnsi="Arial" w:cs="Arial"/>
          <w:bCs/>
          <w:szCs w:val="28"/>
          <w:lang w:val="uk-UA" w:eastAsia="uk-UA"/>
        </w:rPr>
        <w:t xml:space="preserve">дискреція, </w:t>
      </w:r>
      <w:r w:rsidR="005F048D" w:rsidRPr="00511005">
        <w:rPr>
          <w:rFonts w:ascii="Arial" w:eastAsia="Calibri" w:hAnsi="Arial" w:cs="Arial"/>
          <w:szCs w:val="28"/>
          <w:lang w:val="uk-UA" w:eastAsia="uk-UA"/>
        </w:rPr>
        <w:t xml:space="preserve">дискреційні повноваження, </w:t>
      </w:r>
      <w:r w:rsidR="005F048D" w:rsidRPr="00511005">
        <w:rPr>
          <w:rFonts w:ascii="Arial" w:eastAsia="Calibri" w:hAnsi="Arial" w:cs="Arial"/>
          <w:bCs/>
          <w:szCs w:val="28"/>
          <w:lang w:val="uk-UA" w:eastAsia="uk-UA"/>
        </w:rPr>
        <w:t>межі, суд,</w:t>
      </w:r>
      <w:r w:rsidR="005F048D" w:rsidRPr="00511005">
        <w:rPr>
          <w:rFonts w:ascii="Arial" w:eastAsia="Calibri" w:hAnsi="Arial" w:cs="Arial"/>
          <w:b/>
          <w:bCs/>
          <w:szCs w:val="28"/>
          <w:lang w:val="uk-UA" w:eastAsia="uk-UA"/>
        </w:rPr>
        <w:t xml:space="preserve"> </w:t>
      </w:r>
      <w:r w:rsidR="005F048D" w:rsidRPr="00511005">
        <w:rPr>
          <w:rFonts w:ascii="Arial" w:eastAsia="Calibri" w:hAnsi="Arial" w:cs="Arial"/>
          <w:szCs w:val="28"/>
          <w:lang w:val="uk-UA" w:eastAsia="uk-UA"/>
        </w:rPr>
        <w:t>межі дискреційних повноважень суду</w:t>
      </w:r>
    </w:p>
    <w:p w14:paraId="580B6A87" w14:textId="716BE5F4" w:rsidR="005F048D" w:rsidRPr="00511005" w:rsidRDefault="007B2628" w:rsidP="003A292D">
      <w:pPr>
        <w:spacing w:line="264" w:lineRule="auto"/>
        <w:rPr>
          <w:rFonts w:ascii="Arial" w:eastAsia="Calibri" w:hAnsi="Arial" w:cs="Arial"/>
          <w:b/>
          <w:bCs/>
          <w:szCs w:val="28"/>
          <w:lang w:val="uk-UA" w:eastAsia="uk-UA"/>
        </w:rPr>
      </w:pPr>
      <w:r w:rsidRPr="00511005">
        <w:rPr>
          <w:rFonts w:ascii="Arial" w:eastAsia="Calibri" w:hAnsi="Arial" w:cs="Arial"/>
          <w:b/>
          <w:bCs/>
          <w:i/>
          <w:szCs w:val="28"/>
          <w:lang w:val="uk-UA" w:eastAsia="uk-UA"/>
        </w:rPr>
        <w:t xml:space="preserve">Key words: </w:t>
      </w:r>
      <w:r w:rsidR="005F048D" w:rsidRPr="00511005">
        <w:rPr>
          <w:rFonts w:ascii="Arial" w:eastAsia="Calibri" w:hAnsi="Arial" w:cs="Arial"/>
          <w:bCs/>
          <w:szCs w:val="28"/>
          <w:lang w:val="uk-UA" w:eastAsia="uk-UA"/>
        </w:rPr>
        <w:t xml:space="preserve">discretion, discretionary powers, limits, </w:t>
      </w:r>
      <w:r w:rsidR="005F048D" w:rsidRPr="00511005">
        <w:rPr>
          <w:rFonts w:ascii="Arial" w:eastAsia="Calibri" w:hAnsi="Arial" w:cs="Arial"/>
          <w:szCs w:val="28"/>
          <w:lang w:val="uk-UA" w:eastAsia="uk-UA"/>
        </w:rPr>
        <w:t>court, limits of the court's discretionary powers.</w:t>
      </w:r>
    </w:p>
    <w:p w14:paraId="4902B381" w14:textId="741F8706" w:rsidR="005F048D" w:rsidRPr="00511005" w:rsidRDefault="007B2628" w:rsidP="003A292D">
      <w:pPr>
        <w:pBdr>
          <w:top w:val="nil"/>
          <w:left w:val="nil"/>
          <w:bottom w:val="nil"/>
          <w:right w:val="nil"/>
          <w:between w:val="nil"/>
        </w:pBd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д.ю.н., професор Ульянова Г.О.</w:t>
      </w:r>
    </w:p>
    <w:p w14:paraId="07AD3C60" w14:textId="77777777" w:rsidR="005F048D" w:rsidRPr="00511005" w:rsidRDefault="005F048D" w:rsidP="003A292D">
      <w:pPr>
        <w:spacing w:line="264" w:lineRule="auto"/>
        <w:ind w:left="142"/>
        <w:rPr>
          <w:rFonts w:ascii="Arial" w:eastAsia="Times New Roman" w:hAnsi="Arial" w:cs="Arial"/>
          <w:bCs/>
          <w:i/>
          <w:szCs w:val="28"/>
          <w:lang w:eastAsia="uk-UA"/>
        </w:rPr>
      </w:pPr>
    </w:p>
    <w:p w14:paraId="1BF1E08E" w14:textId="77777777" w:rsidR="005F048D" w:rsidRPr="00511005" w:rsidRDefault="005F048D" w:rsidP="003A292D">
      <w:pPr>
        <w:spacing w:line="264" w:lineRule="auto"/>
        <w:ind w:firstLine="0"/>
        <w:jc w:val="center"/>
        <w:rPr>
          <w:rFonts w:ascii="Arial" w:eastAsia="Calibri" w:hAnsi="Arial" w:cs="Arial"/>
          <w:b/>
          <w:i/>
          <w:szCs w:val="28"/>
          <w:lang w:val="uk-UA" w:eastAsia="uk-UA"/>
        </w:rPr>
      </w:pPr>
      <w:r w:rsidRPr="00511005">
        <w:rPr>
          <w:rFonts w:ascii="Arial" w:eastAsia="Calibri" w:hAnsi="Arial" w:cs="Arial"/>
          <w:b/>
          <w:i/>
          <w:szCs w:val="28"/>
          <w:lang w:val="uk-UA" w:eastAsia="uk-UA"/>
        </w:rPr>
        <w:t>Загнітко Анна Валентинівна</w:t>
      </w:r>
    </w:p>
    <w:p w14:paraId="29406B79" w14:textId="673323C6" w:rsidR="005F048D" w:rsidRPr="00511005" w:rsidRDefault="00536AAB" w:rsidP="003A292D">
      <w:pPr>
        <w:spacing w:line="264" w:lineRule="auto"/>
        <w:ind w:firstLine="0"/>
        <w:jc w:val="center"/>
        <w:rPr>
          <w:rFonts w:ascii="Arial" w:eastAsia="Calibri" w:hAnsi="Arial" w:cs="Arial"/>
          <w:iCs/>
          <w:szCs w:val="28"/>
          <w:lang w:val="uk-UA" w:eastAsia="uk-UA"/>
        </w:rPr>
      </w:pPr>
      <w:r w:rsidRPr="00511005">
        <w:rPr>
          <w:rFonts w:ascii="Arial" w:eastAsia="Calibri" w:hAnsi="Arial" w:cs="Arial"/>
          <w:iCs/>
          <w:szCs w:val="28"/>
          <w:lang w:val="uk-UA" w:eastAsia="uk-UA"/>
        </w:rPr>
        <w:t xml:space="preserve">студентка 4-го курсу </w:t>
      </w:r>
      <w:r w:rsidR="007B2628" w:rsidRPr="00511005">
        <w:rPr>
          <w:rFonts w:ascii="Arial" w:eastAsia="Calibri" w:hAnsi="Arial" w:cs="Arial"/>
          <w:iCs/>
          <w:szCs w:val="28"/>
          <w:lang w:val="uk-UA" w:eastAsia="uk-UA"/>
        </w:rPr>
        <w:t>факультету цивільної та господарської юстиції</w:t>
      </w:r>
    </w:p>
    <w:p w14:paraId="2767CA2A" w14:textId="77A71145" w:rsidR="005F048D" w:rsidRPr="00511005" w:rsidRDefault="007B2628" w:rsidP="003A292D">
      <w:pPr>
        <w:spacing w:line="264" w:lineRule="auto"/>
        <w:ind w:firstLine="0"/>
        <w:jc w:val="center"/>
        <w:rPr>
          <w:rFonts w:ascii="Arial" w:eastAsia="Calibri" w:hAnsi="Arial" w:cs="Arial"/>
          <w:iCs/>
          <w:szCs w:val="28"/>
          <w:lang w:val="uk-UA" w:eastAsia="uk-UA"/>
        </w:rPr>
      </w:pPr>
      <w:r w:rsidRPr="00511005">
        <w:rPr>
          <w:rFonts w:ascii="Arial" w:eastAsia="Calibri" w:hAnsi="Arial" w:cs="Arial"/>
          <w:iCs/>
          <w:szCs w:val="28"/>
          <w:lang w:val="uk-UA" w:eastAsia="uk-UA"/>
        </w:rPr>
        <w:t>Національного університету «Одеська юридична академія»</w:t>
      </w:r>
    </w:p>
    <w:p w14:paraId="53C3727E" w14:textId="77777777" w:rsidR="005F048D" w:rsidRPr="00511005" w:rsidRDefault="005F048D" w:rsidP="003A292D">
      <w:pPr>
        <w:spacing w:line="264" w:lineRule="auto"/>
        <w:ind w:firstLine="0"/>
        <w:jc w:val="center"/>
        <w:rPr>
          <w:rFonts w:ascii="Arial" w:eastAsia="Calibri" w:hAnsi="Arial" w:cs="Arial"/>
          <w:b/>
          <w:szCs w:val="28"/>
          <w:lang w:val="uk-UA" w:eastAsia="uk-UA"/>
        </w:rPr>
      </w:pPr>
    </w:p>
    <w:p w14:paraId="0C0C1F52" w14:textId="77777777" w:rsidR="005F048D" w:rsidRPr="00511005" w:rsidRDefault="005F048D" w:rsidP="003A292D">
      <w:pPr>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ПРАКТИКА ЄСПЛ У СПРАВАХ ЩОДО АВТОРСЬКОГО ПРАВА (НА ПРИКЛАДІ СПРАВИ «КОРОТЮК ПРОТИ УКРАЇНИ»)</w:t>
      </w:r>
    </w:p>
    <w:p w14:paraId="481A5492"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У сучасних умовах цифровізації, питання ефективного захисту авторських прав набуває особливої актуальності. Усе більше випадків порушення прав інтелектуальної власності відбувається в мережі Інтернет, що створює нові виклики для державних органів у виконанні їхніх позитивних зобов’язань [4]. У цьому контексті, особливого значення набуває рішення Європейського суду з прав людини у справі, що розглядалася за заявою авторки книги, яка стала жертвою незаконного розміщення її твору в мережі Інтернет.</w:t>
      </w:r>
    </w:p>
    <w:p w14:paraId="352B3F54" w14:textId="77777777" w:rsidR="005F048D" w:rsidRPr="00511005" w:rsidRDefault="005F048D" w:rsidP="003A292D">
      <w:pPr>
        <w:spacing w:line="264" w:lineRule="auto"/>
        <w:ind w:firstLine="708"/>
        <w:rPr>
          <w:rFonts w:ascii="Arial" w:eastAsia="Calibri" w:hAnsi="Arial" w:cs="Arial"/>
          <w:szCs w:val="28"/>
          <w:shd w:val="clear" w:color="auto" w:fill="FFFFFF"/>
          <w:lang w:val="uk-UA" w:eastAsia="uk-UA"/>
        </w:rPr>
      </w:pPr>
      <w:r w:rsidRPr="00511005">
        <w:rPr>
          <w:rFonts w:ascii="Arial" w:eastAsia="Times New Roman" w:hAnsi="Arial" w:cs="Arial"/>
          <w:szCs w:val="28"/>
          <w:lang w:val="uk-UA" w:eastAsia="uk-UA"/>
        </w:rPr>
        <w:t>Справа «Коротюк проти України» була досліджена і розглянута за Заявою №</w:t>
      </w:r>
      <w:r w:rsidRPr="00511005">
        <w:rPr>
          <w:rFonts w:ascii="Arial" w:eastAsia="Calibri" w:hAnsi="Arial" w:cs="Arial"/>
          <w:bCs/>
          <w:szCs w:val="28"/>
          <w:shd w:val="clear" w:color="auto" w:fill="FFFFFF"/>
          <w:lang w:val="uk-UA" w:eastAsia="uk-UA"/>
        </w:rPr>
        <w:t>74663/17,</w:t>
      </w:r>
      <w:r w:rsidRPr="00511005">
        <w:rPr>
          <w:rFonts w:ascii="Arial" w:eastAsia="Calibri" w:hAnsi="Arial" w:cs="Arial"/>
          <w:b/>
          <w:bCs/>
          <w:szCs w:val="28"/>
          <w:shd w:val="clear" w:color="auto" w:fill="FFFFFF"/>
          <w:lang w:val="uk-UA" w:eastAsia="uk-UA"/>
        </w:rPr>
        <w:t xml:space="preserve"> </w:t>
      </w:r>
      <w:r w:rsidRPr="00511005">
        <w:rPr>
          <w:rFonts w:ascii="Arial" w:eastAsia="Calibri" w:hAnsi="Arial" w:cs="Arial"/>
          <w:szCs w:val="28"/>
          <w:shd w:val="clear" w:color="auto" w:fill="FFFFFF"/>
          <w:lang w:val="uk-UA" w:eastAsia="uk-UA"/>
        </w:rPr>
        <w:t xml:space="preserve">яку 10 жовтня 2017 року подала до Європейського суду з прав людини проти України пані Оксана Вікторівна Коротюк. Рішення по справі було винесене 06 грудня 2022 року та набуло статусу остаточного 19 січня 2023 року </w:t>
      </w:r>
      <w:r w:rsidRPr="00511005">
        <w:rPr>
          <w:rFonts w:ascii="Arial" w:eastAsia="Times New Roman" w:hAnsi="Arial" w:cs="Arial"/>
          <w:szCs w:val="28"/>
          <w:lang w:val="uk-UA" w:eastAsia="uk-UA"/>
        </w:rPr>
        <w:t>[3].</w:t>
      </w:r>
    </w:p>
    <w:p w14:paraId="57294EA2"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Обставини справи полягають у тому, що в лютому 2013 року книгу, автором якої є заявниця, було розміщено без її згоди для платного завантаження на вебсайті. Пані Коротюк </w:t>
      </w:r>
      <w:r w:rsidRPr="00511005">
        <w:rPr>
          <w:rFonts w:ascii="Arial" w:eastAsia="Calibri" w:hAnsi="Arial" w:cs="Arial"/>
          <w:szCs w:val="28"/>
          <w:lang w:val="uk-UA" w:eastAsia="uk-UA"/>
        </w:rPr>
        <w:t>звернулася до правоохоронних органів із заявою про умисне порушення авторських прав. Вона надала детальну інформацію щодо особи, яка ймовірніше за все скоїла правопорушення, в результаті чого було відкрито кримінальне провадження.</w:t>
      </w:r>
    </w:p>
    <w:p w14:paraId="66BA83E0"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Попри неодноразові клопотання заявниці про проведення конкретних слідчих дій, правоохоронні органи систематично не здійснювали належних розслідувальних заходів. Кримінальне провадження багаторазово закривалося з підстав відсутності складу злочину без своєчасного повідомлення заявниці про відповідні рішення та надання їй копій постанов. </w:t>
      </w:r>
    </w:p>
    <w:p w14:paraId="1C621F37"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У лютому 2018 року заявниця подала скаргу до компанії «Google», що призвело до видалення незаконного контенту з результатів пошуку. У травні 2021 року прокуратура повідомила про триваюче розслідування та надання додаткових вказівок слідчим. Однак, фактичних даних про проведення ефективних слідчих дій немає. Заявниця звернулася до Європейського суду з прав людини, вказуючи у своїй скарзі на порушення статей 6 та 13 Конвенції, а також статті 1 Першого протоколу до Конвенції [1]. Вона вказала, що держава не забезпечила ефективного розслідування порушення її авторських прав та не виконала свій позитивний обов'язок щодо захисту права власності. В результаті розгляду справи в ЄСПЛ, Суд встановив, що держава порушила позитивні зобов'язання щодо захисту права власності заявниці відповідно до статті 1 Першого протоколу до Конвенції про захист прав людини і основоположних свобод й присудив заявниці 750 євро як компенсацію моральної шкоди та284 євро на відшкодування судових та інших витрат.</w:t>
      </w:r>
    </w:p>
    <w:p w14:paraId="7B54379A" w14:textId="507CE6FD"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Calibri" w:hAnsi="Arial" w:cs="Arial"/>
          <w:szCs w:val="28"/>
          <w:shd w:val="clear" w:color="auto" w:fill="FFFFFF"/>
          <w:lang w:val="uk-UA" w:eastAsia="uk-UA"/>
        </w:rPr>
        <w:t>Керуючись статтею 2 Закону України «Про виконання рішень</w:t>
      </w:r>
      <w:r w:rsidR="007B2628" w:rsidRPr="00511005">
        <w:rPr>
          <w:rFonts w:ascii="Arial" w:eastAsia="Calibri" w:hAnsi="Arial" w:cs="Arial"/>
          <w:szCs w:val="28"/>
          <w:shd w:val="clear" w:color="auto" w:fill="FFFFFF"/>
          <w:lang w:val="uk-UA" w:eastAsia="uk-UA"/>
        </w:rPr>
        <w:t xml:space="preserve"> </w:t>
      </w:r>
      <w:r w:rsidRPr="00511005">
        <w:rPr>
          <w:rFonts w:ascii="Arial" w:eastAsia="Calibri" w:hAnsi="Arial" w:cs="Arial"/>
          <w:szCs w:val="28"/>
          <w:shd w:val="clear" w:color="auto" w:fill="FFFFFF"/>
          <w:lang w:val="uk-UA" w:eastAsia="uk-UA"/>
        </w:rPr>
        <w:t>та застосування практики Європейського суду з прав людини»,</w:t>
      </w:r>
      <w:r w:rsidRPr="00511005">
        <w:rPr>
          <w:rFonts w:ascii="Arial" w:eastAsia="Times New Roman" w:hAnsi="Arial" w:cs="Arial"/>
          <w:szCs w:val="28"/>
          <w:lang w:val="uk-UA" w:eastAsia="uk-UA"/>
        </w:rPr>
        <w:t xml:space="preserve"> вищезгадане рішення є знаковим як для розвитку практики ЄСПЛ щодо захисту майнових </w:t>
      </w:r>
      <w:r w:rsidRPr="00511005">
        <w:rPr>
          <w:rFonts w:ascii="Arial" w:eastAsia="Times New Roman" w:hAnsi="Arial" w:cs="Arial"/>
          <w:szCs w:val="28"/>
          <w:lang w:val="uk-UA" w:eastAsia="uk-UA"/>
        </w:rPr>
        <w:lastRenderedPageBreak/>
        <w:t>прав, так і для розуміння стандартів, яких повинні дотримуватися державні органи при розслідуванні порушень авторських прав [2]. Суд підкреслив, що навіть у справах цивільно-правового характеру, коли є ознаки кримінального правопорушення, держава зобов'язана забезпечити оперативне, ретельне та ефективне розслідування.</w:t>
      </w:r>
    </w:p>
    <w:p w14:paraId="68E5F8BE"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Особливої уваги заслуговує акцент ЄСПЛ на тому, що держава несе відповідальність за тривале та безпідставне зволікання зі слідчими діями, і що така бездіяльність може становити грубе порушення прав особи на захист її майнових інтересів. У своїй оцінці Суд звернув увагу на недоліки розслідування: не проведення базових слідчих дій, ігнорування клопотань заявниці, відсутність прозорого обґрунтування закриття кримінального провадження, що в сукупності призвело до фактичного позбавлення особи можливості захистити свої права.</w:t>
      </w:r>
    </w:p>
    <w:p w14:paraId="59847D25"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вищезазначене рішення має значення не тільки для національних органів влади, адвокатів та юристів, які займаються справами у сфері інтелектуальної власності, але і є зразковим для розуміння підходу ЄСПЛ до оцінки ефективності державного розслідування. Суд фактично підтвердив, що права інтелектуальної власності захищаються на рівні майнових прав і потребують від держави активних дій, а не формального виконання процедур.</w:t>
      </w:r>
    </w:p>
    <w:p w14:paraId="4AC1D267"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Відтак, аналіз цього рішення є важливим для глибшого розуміння того, як стандарти ефективного розслідування впливають на захист прав інтелектуальної власності у цифрову епоху, а також для усвідомлення меж позитивних обов'язків держави щодо забезпечення прав особи відповідно до Конвенції.</w:t>
      </w:r>
    </w:p>
    <w:p w14:paraId="08B18AB8" w14:textId="77777777" w:rsidR="005F048D" w:rsidRPr="00511005" w:rsidRDefault="005F048D" w:rsidP="003A292D">
      <w:pPr>
        <w:spacing w:line="264" w:lineRule="auto"/>
        <w:ind w:firstLine="0"/>
        <w:rPr>
          <w:rFonts w:ascii="Arial" w:eastAsia="Times New Roman" w:hAnsi="Arial" w:cs="Arial"/>
          <w:szCs w:val="28"/>
          <w:lang w:val="uk-UA" w:eastAsia="uk-UA"/>
        </w:rPr>
      </w:pPr>
    </w:p>
    <w:p w14:paraId="1E236B65" w14:textId="3A993025" w:rsidR="005F048D"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4FDBBE28" w14:textId="74AB22E4" w:rsidR="005F048D" w:rsidRPr="00511005" w:rsidRDefault="005F048D" w:rsidP="003F6A5D">
      <w:pPr>
        <w:numPr>
          <w:ilvl w:val="0"/>
          <w:numId w:val="191"/>
        </w:numPr>
        <w:spacing w:line="264" w:lineRule="auto"/>
        <w:ind w:left="0" w:firstLine="709"/>
        <w:contextualSpacing/>
        <w:jc w:val="left"/>
        <w:rPr>
          <w:rFonts w:ascii="Arial" w:eastAsia="Times New Roman" w:hAnsi="Arial" w:cs="Arial"/>
          <w:szCs w:val="28"/>
          <w:lang w:val="uk-UA" w:eastAsia="uk-UA"/>
        </w:rPr>
      </w:pPr>
      <w:r w:rsidRPr="00511005">
        <w:rPr>
          <w:rFonts w:ascii="Arial" w:eastAsia="Calibri" w:hAnsi="Arial" w:cs="Arial"/>
          <w:szCs w:val="28"/>
          <w:lang w:val="uk-UA" w:eastAsia="uk-UA"/>
        </w:rPr>
        <w:t xml:space="preserve">Європейська конвенція з прав людини (Конвенція про захист прав людини і основних свобод (з протоколами) від 04.11.1950 </w:t>
      </w:r>
      <w:r w:rsidRPr="00511005">
        <w:rPr>
          <w:rFonts w:ascii="Arial" w:eastAsia="Times New Roman" w:hAnsi="Arial" w:cs="Arial"/>
          <w:szCs w:val="28"/>
          <w:lang w:val="en-US" w:eastAsia="uk-UA"/>
        </w:rPr>
        <w:t>URL</w:t>
      </w:r>
      <w:r w:rsidRPr="00511005">
        <w:rPr>
          <w:rFonts w:ascii="Arial" w:eastAsia="Times New Roman" w:hAnsi="Arial" w:cs="Arial"/>
          <w:szCs w:val="28"/>
          <w:lang w:eastAsia="uk-UA"/>
        </w:rPr>
        <w:t>:</w:t>
      </w:r>
      <w:r w:rsidR="007B2628" w:rsidRPr="00511005">
        <w:rPr>
          <w:rFonts w:ascii="Arial" w:eastAsia="Times New Roman" w:hAnsi="Arial" w:cs="Arial"/>
          <w:szCs w:val="28"/>
          <w:lang w:eastAsia="uk-UA"/>
        </w:rPr>
        <w:t xml:space="preserve"> </w:t>
      </w:r>
      <w:hyperlink r:id="rId1316" w:anchor="Text" w:history="1">
        <w:r w:rsidRPr="00511005">
          <w:rPr>
            <w:rFonts w:ascii="Arial" w:eastAsia="Times New Roman" w:hAnsi="Arial" w:cs="Arial"/>
            <w:szCs w:val="28"/>
            <w:lang w:val="en-US" w:eastAsia="uk-UA"/>
          </w:rPr>
          <w:t>https</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zakon</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rada</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gov</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ua</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laws</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show</w:t>
        </w:r>
        <w:r w:rsidRPr="00511005">
          <w:rPr>
            <w:rFonts w:ascii="Arial" w:eastAsia="Times New Roman" w:hAnsi="Arial" w:cs="Arial"/>
            <w:szCs w:val="28"/>
            <w:lang w:eastAsia="uk-UA"/>
          </w:rPr>
          <w:t>/995_004#</w:t>
        </w:r>
        <w:r w:rsidRPr="00511005">
          <w:rPr>
            <w:rFonts w:ascii="Arial" w:eastAsia="Times New Roman" w:hAnsi="Arial" w:cs="Arial"/>
            <w:szCs w:val="28"/>
            <w:lang w:val="en-US" w:eastAsia="uk-UA"/>
          </w:rPr>
          <w:t>Text</w:t>
        </w:r>
      </w:hyperlink>
      <w:r w:rsidR="007B2628" w:rsidRPr="00511005">
        <w:rPr>
          <w:rFonts w:ascii="Arial" w:eastAsia="Times New Roman" w:hAnsi="Arial" w:cs="Arial"/>
          <w:szCs w:val="28"/>
          <w:lang w:val="uk-UA" w:eastAsia="uk-UA"/>
        </w:rPr>
        <w:t xml:space="preserve"> </w:t>
      </w:r>
    </w:p>
    <w:p w14:paraId="3EAA0D6C" w14:textId="6441B531" w:rsidR="0087239D" w:rsidRPr="00511005" w:rsidRDefault="0087239D" w:rsidP="003F6A5D">
      <w:pPr>
        <w:numPr>
          <w:ilvl w:val="0"/>
          <w:numId w:val="191"/>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kern w:val="36"/>
          <w:szCs w:val="28"/>
          <w:lang w:val="uk-UA" w:eastAsia="uk-UA"/>
        </w:rPr>
        <w:t xml:space="preserve">Закон України «Про виконання рішень та застосування практики Європейського суду з прав людини» || від 23.02.2006р. - № 3477-IV (редакція 02.12.2012р.) </w:t>
      </w:r>
      <w:r w:rsidRPr="00511005">
        <w:rPr>
          <w:rFonts w:ascii="Arial" w:eastAsia="Times New Roman" w:hAnsi="Arial" w:cs="Arial"/>
          <w:szCs w:val="28"/>
          <w:lang w:val="en-US" w:eastAsia="uk-UA"/>
        </w:rPr>
        <w:t>URL:</w:t>
      </w:r>
      <w:r w:rsidRPr="00511005">
        <w:rPr>
          <w:rFonts w:ascii="Arial" w:eastAsia="Times New Roman" w:hAnsi="Arial" w:cs="Arial"/>
          <w:szCs w:val="28"/>
          <w:lang w:val="uk-UA" w:eastAsia="uk-UA"/>
        </w:rPr>
        <w:t xml:space="preserve"> </w:t>
      </w:r>
      <w:hyperlink r:id="rId1317" w:anchor="o19" w:history="1">
        <w:r w:rsidRPr="00511005">
          <w:rPr>
            <w:rFonts w:ascii="Arial" w:eastAsia="Times New Roman" w:hAnsi="Arial" w:cs="Arial"/>
            <w:szCs w:val="28"/>
            <w:lang w:val="uk-UA" w:eastAsia="uk-UA"/>
          </w:rPr>
          <w:t>https://zakon.rada.gov.ua/laws/show/3477-15/conv#o19</w:t>
        </w:r>
      </w:hyperlink>
    </w:p>
    <w:p w14:paraId="712D2D83" w14:textId="3A3C843E" w:rsidR="005F048D" w:rsidRPr="00511005" w:rsidRDefault="005F048D" w:rsidP="003F6A5D">
      <w:pPr>
        <w:numPr>
          <w:ilvl w:val="0"/>
          <w:numId w:val="191"/>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Справа «Коротюк проти України» (Заява №</w:t>
      </w:r>
      <w:r w:rsidRPr="00511005">
        <w:rPr>
          <w:rFonts w:ascii="Arial" w:eastAsia="Calibri" w:hAnsi="Arial" w:cs="Arial"/>
          <w:bCs/>
          <w:szCs w:val="28"/>
          <w:shd w:val="clear" w:color="auto" w:fill="FFFFFF"/>
          <w:lang w:val="uk-UA" w:eastAsia="uk-UA"/>
        </w:rPr>
        <w:t xml:space="preserve">74663/17) від 19.01.2023 </w:t>
      </w:r>
      <w:r w:rsidRPr="00511005">
        <w:rPr>
          <w:rFonts w:ascii="Arial" w:eastAsia="Times New Roman" w:hAnsi="Arial" w:cs="Arial"/>
          <w:szCs w:val="28"/>
          <w:lang w:val="en-US" w:eastAsia="uk-UA"/>
        </w:rPr>
        <w:t>URL</w:t>
      </w:r>
      <w:r w:rsidRPr="00511005">
        <w:rPr>
          <w:rFonts w:ascii="Arial" w:eastAsia="Times New Roman" w:hAnsi="Arial" w:cs="Arial"/>
          <w:szCs w:val="28"/>
          <w:lang w:eastAsia="uk-UA"/>
        </w:rPr>
        <w:t>:</w:t>
      </w:r>
      <w:r w:rsidRPr="00511005">
        <w:rPr>
          <w:rFonts w:ascii="Arial" w:eastAsia="Calibri" w:hAnsi="Arial" w:cs="Arial"/>
          <w:szCs w:val="28"/>
          <w:lang w:val="uk-UA" w:eastAsia="uk-UA"/>
        </w:rPr>
        <w:t xml:space="preserve"> </w:t>
      </w:r>
      <w:hyperlink r:id="rId1318" w:anchor="Text" w:history="1">
        <w:r w:rsidRPr="00511005">
          <w:rPr>
            <w:rFonts w:ascii="Arial" w:eastAsia="Times New Roman" w:hAnsi="Arial" w:cs="Arial"/>
            <w:szCs w:val="28"/>
            <w:lang w:eastAsia="uk-UA"/>
          </w:rPr>
          <w:t>https://zakon.rada.gov.ua/laws/show/974_i51#Text</w:t>
        </w:r>
      </w:hyperlink>
      <w:r w:rsidRPr="00511005">
        <w:rPr>
          <w:rFonts w:ascii="Arial" w:eastAsia="Times New Roman" w:hAnsi="Arial" w:cs="Arial"/>
          <w:szCs w:val="28"/>
          <w:lang w:eastAsia="uk-UA"/>
        </w:rPr>
        <w:t xml:space="preserve"> </w:t>
      </w:r>
    </w:p>
    <w:p w14:paraId="6D37F5C5" w14:textId="77777777" w:rsidR="005F048D" w:rsidRPr="00511005" w:rsidRDefault="005F048D" w:rsidP="003F6A5D">
      <w:pPr>
        <w:numPr>
          <w:ilvl w:val="0"/>
          <w:numId w:val="191"/>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Кочина, О. С. (2022). Порушення авторських прав у мережі Інтернет: правові проблеми та шляхи їх подолання. Журнал «Юридичний вісник України», 12 грудня 2022. </w:t>
      </w:r>
      <w:r w:rsidRPr="00511005">
        <w:rPr>
          <w:rFonts w:ascii="Arial" w:eastAsia="Times New Roman" w:hAnsi="Arial" w:cs="Arial"/>
          <w:szCs w:val="28"/>
          <w:lang w:val="en-US" w:eastAsia="uk-UA"/>
        </w:rPr>
        <w:t>URL</w:t>
      </w:r>
      <w:r w:rsidRPr="00511005">
        <w:rPr>
          <w:rFonts w:ascii="Arial" w:eastAsia="Times New Roman" w:hAnsi="Arial" w:cs="Arial"/>
          <w:szCs w:val="28"/>
          <w:lang w:eastAsia="uk-UA"/>
        </w:rPr>
        <w:t xml:space="preserve">: </w:t>
      </w:r>
      <w:hyperlink r:id="rId1319" w:history="1">
        <w:r w:rsidRPr="00511005">
          <w:rPr>
            <w:rFonts w:ascii="Arial" w:eastAsia="Times New Roman" w:hAnsi="Arial" w:cs="Arial"/>
            <w:szCs w:val="28"/>
            <w:lang w:val="en-US" w:eastAsia="uk-UA"/>
          </w:rPr>
          <w:t>http</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newukrainianlaw</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in</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ua</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index</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php</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journal</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article</w:t>
        </w:r>
        <w:r w:rsidRPr="00511005">
          <w:rPr>
            <w:rFonts w:ascii="Arial" w:eastAsia="Times New Roman" w:hAnsi="Arial" w:cs="Arial"/>
            <w:szCs w:val="28"/>
            <w:lang w:eastAsia="uk-UA"/>
          </w:rPr>
          <w:t>/</w:t>
        </w:r>
        <w:r w:rsidRPr="00511005">
          <w:rPr>
            <w:rFonts w:ascii="Arial" w:eastAsia="Times New Roman" w:hAnsi="Arial" w:cs="Arial"/>
            <w:szCs w:val="28"/>
            <w:lang w:val="en-US" w:eastAsia="uk-UA"/>
          </w:rPr>
          <w:t>view</w:t>
        </w:r>
        <w:r w:rsidRPr="00511005">
          <w:rPr>
            <w:rFonts w:ascii="Arial" w:eastAsia="Times New Roman" w:hAnsi="Arial" w:cs="Arial"/>
            <w:szCs w:val="28"/>
            <w:lang w:eastAsia="uk-UA"/>
          </w:rPr>
          <w:t>/319</w:t>
        </w:r>
      </w:hyperlink>
      <w:r w:rsidRPr="00511005">
        <w:rPr>
          <w:rFonts w:ascii="Arial" w:eastAsia="Times New Roman" w:hAnsi="Arial" w:cs="Arial"/>
          <w:szCs w:val="28"/>
          <w:lang w:eastAsia="uk-UA"/>
        </w:rPr>
        <w:t xml:space="preserve"> </w:t>
      </w:r>
    </w:p>
    <w:p w14:paraId="16DC7816" w14:textId="77777777" w:rsidR="005F048D" w:rsidRPr="00511005" w:rsidRDefault="005F048D" w:rsidP="003A292D">
      <w:pPr>
        <w:spacing w:line="264" w:lineRule="auto"/>
        <w:ind w:left="360" w:firstLine="0"/>
        <w:rPr>
          <w:rFonts w:ascii="Arial" w:eastAsia="Times New Roman" w:hAnsi="Arial" w:cs="Arial"/>
          <w:szCs w:val="28"/>
          <w:lang w:val="uk-UA" w:eastAsia="uk-UA"/>
        </w:rPr>
      </w:pPr>
    </w:p>
    <w:p w14:paraId="22F79EAA" w14:textId="1F40DA2F" w:rsidR="005F048D" w:rsidRPr="00511005" w:rsidRDefault="007B2628" w:rsidP="003A292D">
      <w:pPr>
        <w:keepNext/>
        <w:spacing w:line="264" w:lineRule="auto"/>
        <w:ind w:firstLine="567"/>
        <w:rPr>
          <w:rFonts w:ascii="Arial" w:eastAsia="Calibri" w:hAnsi="Arial" w:cs="Arial"/>
          <w:szCs w:val="28"/>
          <w:lang w:val="uk-UA" w:eastAsia="uk-UA"/>
        </w:rPr>
      </w:pPr>
      <w:r w:rsidRPr="00511005">
        <w:rPr>
          <w:rFonts w:ascii="Arial" w:eastAsia="Calibri" w:hAnsi="Arial" w:cs="Arial"/>
          <w:b/>
          <w:i/>
          <w:szCs w:val="28"/>
          <w:lang w:val="uk-UA" w:eastAsia="uk-UA"/>
        </w:rPr>
        <w:lastRenderedPageBreak/>
        <w:t xml:space="preserve">Ключові слова: </w:t>
      </w:r>
      <w:r w:rsidR="005F048D" w:rsidRPr="00511005">
        <w:rPr>
          <w:rFonts w:ascii="Arial" w:eastAsia="Calibri" w:hAnsi="Arial" w:cs="Arial"/>
          <w:szCs w:val="28"/>
          <w:lang w:val="uk-UA" w:eastAsia="uk-UA"/>
        </w:rPr>
        <w:t>авторські права, інтелектуальна власність, Європейський суд з прав людини, ефективне розслідування, цифрове середовище, позитивні зобов’язання.</w:t>
      </w:r>
    </w:p>
    <w:p w14:paraId="108E9BDB" w14:textId="6628A64D" w:rsidR="005F048D" w:rsidRPr="00511005" w:rsidRDefault="007B2628" w:rsidP="003A292D">
      <w:pPr>
        <w:keepNext/>
        <w:spacing w:line="264" w:lineRule="auto"/>
        <w:ind w:firstLine="567"/>
        <w:rPr>
          <w:rFonts w:ascii="Arial" w:eastAsia="Calibri" w:hAnsi="Arial" w:cs="Arial"/>
          <w:bCs/>
          <w:szCs w:val="28"/>
          <w:lang w:val="en-US" w:eastAsia="uk-UA"/>
        </w:rPr>
      </w:pPr>
      <w:r w:rsidRPr="00511005">
        <w:rPr>
          <w:rFonts w:ascii="Arial" w:eastAsia="Calibri" w:hAnsi="Arial" w:cs="Arial"/>
          <w:b/>
          <w:i/>
          <w:szCs w:val="28"/>
          <w:lang w:val="en-US" w:eastAsia="uk-UA"/>
        </w:rPr>
        <w:t xml:space="preserve">Key words: </w:t>
      </w:r>
      <w:r w:rsidR="005F048D" w:rsidRPr="00511005">
        <w:rPr>
          <w:rFonts w:ascii="Arial" w:eastAsia="Calibri" w:hAnsi="Arial" w:cs="Arial"/>
          <w:szCs w:val="28"/>
          <w:lang w:val="uk-UA" w:eastAsia="uk-UA"/>
        </w:rPr>
        <w:t>copyright, intellectual property, European Court of Human Rights, effective investigation, digital environment, positive obligations</w:t>
      </w:r>
      <w:r w:rsidR="005F048D" w:rsidRPr="00511005">
        <w:rPr>
          <w:rFonts w:ascii="Arial" w:eastAsia="Calibri" w:hAnsi="Arial" w:cs="Arial"/>
          <w:bCs/>
          <w:szCs w:val="28"/>
          <w:lang w:val="en-US" w:eastAsia="uk-UA"/>
        </w:rPr>
        <w:t>.</w:t>
      </w:r>
    </w:p>
    <w:p w14:paraId="49FDC799" w14:textId="788BEE15" w:rsidR="005F048D" w:rsidRPr="00511005" w:rsidRDefault="007B2628" w:rsidP="003A292D">
      <w:pPr>
        <w:spacing w:line="264" w:lineRule="auto"/>
        <w:ind w:firstLine="720"/>
        <w:rPr>
          <w:rFonts w:ascii="Arial" w:eastAsia="Calibri" w:hAnsi="Arial" w:cs="Arial"/>
          <w:b/>
          <w:bCs/>
          <w:i/>
          <w:iCs/>
          <w:szCs w:val="28"/>
          <w:lang w:val="uk-UA" w:eastAsia="uk-UA"/>
        </w:rPr>
      </w:pPr>
      <w:r w:rsidRPr="00511005">
        <w:rPr>
          <w:rFonts w:ascii="Arial" w:eastAsia="Calibri" w:hAnsi="Arial" w:cs="Arial"/>
          <w:b/>
          <w:i/>
          <w:iCs/>
          <w:szCs w:val="28"/>
          <w:lang w:val="uk-UA" w:eastAsia="uk-UA"/>
        </w:rPr>
        <w:t xml:space="preserve">Науковий керівник: </w:t>
      </w:r>
      <w:r w:rsidR="005F048D" w:rsidRPr="00511005">
        <w:rPr>
          <w:rFonts w:ascii="Arial" w:eastAsia="Calibri" w:hAnsi="Arial" w:cs="Arial"/>
          <w:i/>
          <w:iCs/>
          <w:szCs w:val="28"/>
          <w:lang w:val="uk-UA" w:eastAsia="uk-UA"/>
        </w:rPr>
        <w:t xml:space="preserve">к.ю.н., </w:t>
      </w:r>
      <w:r w:rsidR="005F048D" w:rsidRPr="00511005">
        <w:rPr>
          <w:rFonts w:ascii="Arial" w:eastAsia="Times New Roman" w:hAnsi="Arial" w:cs="Arial"/>
          <w:i/>
          <w:szCs w:val="28"/>
          <w:lang w:val="uk-UA" w:eastAsia="uk-UA"/>
        </w:rPr>
        <w:t xml:space="preserve">доцент </w:t>
      </w:r>
      <w:r w:rsidR="005F048D" w:rsidRPr="00511005">
        <w:rPr>
          <w:rFonts w:ascii="Arial" w:eastAsia="Calibri" w:hAnsi="Arial" w:cs="Arial"/>
          <w:i/>
          <w:iCs/>
          <w:szCs w:val="28"/>
          <w:lang w:val="uk-UA" w:eastAsia="uk-UA"/>
        </w:rPr>
        <w:t>Мазуренко С.В.</w:t>
      </w:r>
    </w:p>
    <w:p w14:paraId="27DF0469" w14:textId="77777777" w:rsidR="005F048D" w:rsidRPr="00511005" w:rsidRDefault="005F048D" w:rsidP="003A292D">
      <w:pPr>
        <w:keepNext/>
        <w:spacing w:line="264" w:lineRule="auto"/>
        <w:ind w:firstLine="567"/>
        <w:rPr>
          <w:rFonts w:ascii="Arial" w:eastAsia="Calibri" w:hAnsi="Arial" w:cs="Arial"/>
          <w:bCs/>
          <w:szCs w:val="28"/>
          <w:lang w:val="uk-UA" w:eastAsia="uk-UA"/>
        </w:rPr>
      </w:pPr>
    </w:p>
    <w:p w14:paraId="31B90317" w14:textId="77777777" w:rsidR="005F048D" w:rsidRPr="00511005" w:rsidRDefault="005F048D" w:rsidP="003A292D">
      <w:pPr>
        <w:spacing w:line="264" w:lineRule="auto"/>
        <w:ind w:firstLine="0"/>
        <w:jc w:val="center"/>
        <w:rPr>
          <w:rFonts w:ascii="Arial" w:eastAsia="Calibri" w:hAnsi="Arial" w:cs="Arial"/>
          <w:b/>
          <w:i/>
          <w:szCs w:val="28"/>
          <w:lang w:val="uk-UA" w:eastAsia="uk-UA"/>
        </w:rPr>
      </w:pPr>
      <w:r w:rsidRPr="00511005">
        <w:rPr>
          <w:rFonts w:ascii="Arial" w:eastAsia="Calibri" w:hAnsi="Arial" w:cs="Arial"/>
          <w:b/>
          <w:i/>
          <w:szCs w:val="28"/>
          <w:lang w:val="uk-UA" w:eastAsia="uk-UA"/>
        </w:rPr>
        <w:t>Коноваленко Анастасія Юріївна</w:t>
      </w:r>
    </w:p>
    <w:p w14:paraId="21B8661E" w14:textId="30240E8C" w:rsidR="005F048D" w:rsidRPr="00511005" w:rsidRDefault="00536AAB" w:rsidP="003A292D">
      <w:pPr>
        <w:spacing w:line="264" w:lineRule="auto"/>
        <w:ind w:firstLine="0"/>
        <w:jc w:val="center"/>
        <w:rPr>
          <w:rFonts w:ascii="Arial" w:eastAsia="Calibri" w:hAnsi="Arial" w:cs="Arial"/>
          <w:szCs w:val="28"/>
          <w:lang w:val="uk-UA" w:eastAsia="uk-UA"/>
        </w:rPr>
      </w:pPr>
      <w:r w:rsidRPr="00511005">
        <w:rPr>
          <w:rFonts w:ascii="Arial" w:eastAsia="Calibri" w:hAnsi="Arial" w:cs="Arial"/>
          <w:szCs w:val="28"/>
          <w:lang w:val="uk-UA" w:eastAsia="uk-UA"/>
        </w:rPr>
        <w:t xml:space="preserve">студентка 4-го курсу </w:t>
      </w:r>
      <w:r w:rsidR="007B2628" w:rsidRPr="00511005">
        <w:rPr>
          <w:rFonts w:ascii="Arial" w:eastAsia="Calibri" w:hAnsi="Arial" w:cs="Arial"/>
          <w:szCs w:val="28"/>
          <w:lang w:val="uk-UA" w:eastAsia="uk-UA"/>
        </w:rPr>
        <w:t>факультету цивільної та господарської юстиції</w:t>
      </w:r>
      <w:r w:rsidR="005F048D" w:rsidRPr="00511005">
        <w:rPr>
          <w:rFonts w:ascii="Arial" w:eastAsia="Calibri" w:hAnsi="Arial" w:cs="Arial"/>
          <w:szCs w:val="28"/>
          <w:lang w:val="uk-UA" w:eastAsia="uk-UA"/>
        </w:rPr>
        <w:br/>
      </w:r>
      <w:r w:rsidR="007B2628" w:rsidRPr="00511005">
        <w:rPr>
          <w:rFonts w:ascii="Arial" w:eastAsia="Calibri" w:hAnsi="Arial" w:cs="Arial"/>
          <w:szCs w:val="28"/>
          <w:lang w:val="uk-UA" w:eastAsia="uk-UA"/>
        </w:rPr>
        <w:t>Національного університету «Одеська юридична академія»</w:t>
      </w:r>
    </w:p>
    <w:p w14:paraId="3A3261CB" w14:textId="77777777" w:rsidR="005F048D" w:rsidRPr="00511005" w:rsidRDefault="005F048D" w:rsidP="003A292D">
      <w:pPr>
        <w:spacing w:line="264" w:lineRule="auto"/>
        <w:ind w:firstLine="0"/>
        <w:jc w:val="center"/>
        <w:rPr>
          <w:rFonts w:ascii="Arial" w:eastAsia="Calibri" w:hAnsi="Arial" w:cs="Arial"/>
          <w:b/>
          <w:caps/>
          <w:szCs w:val="28"/>
          <w:lang w:val="uk-UA" w:eastAsia="uk-UA"/>
        </w:rPr>
      </w:pPr>
    </w:p>
    <w:p w14:paraId="39DE7ADE" w14:textId="77777777" w:rsidR="005F048D" w:rsidRPr="00511005" w:rsidRDefault="005F048D" w:rsidP="003A292D">
      <w:pPr>
        <w:spacing w:line="264" w:lineRule="auto"/>
        <w:ind w:firstLine="0"/>
        <w:jc w:val="center"/>
        <w:rPr>
          <w:rFonts w:ascii="Arial" w:eastAsia="Calibri" w:hAnsi="Arial" w:cs="Arial"/>
          <w:b/>
          <w:caps/>
          <w:szCs w:val="28"/>
          <w:lang w:val="uk-UA" w:eastAsia="uk-UA"/>
        </w:rPr>
      </w:pPr>
    </w:p>
    <w:p w14:paraId="271C737D" w14:textId="77777777" w:rsidR="005F048D" w:rsidRPr="00511005" w:rsidRDefault="005F048D" w:rsidP="003A292D">
      <w:pPr>
        <w:spacing w:line="264" w:lineRule="auto"/>
        <w:ind w:firstLine="0"/>
        <w:jc w:val="center"/>
        <w:rPr>
          <w:rFonts w:ascii="Arial" w:eastAsia="Calibri" w:hAnsi="Arial" w:cs="Arial"/>
          <w:b/>
          <w:bCs/>
          <w:caps/>
          <w:szCs w:val="28"/>
          <w:lang w:val="uk-UA" w:eastAsia="uk-UA"/>
        </w:rPr>
      </w:pPr>
      <w:r w:rsidRPr="00511005">
        <w:rPr>
          <w:rFonts w:ascii="Arial" w:eastAsia="Calibri" w:hAnsi="Arial" w:cs="Arial"/>
          <w:b/>
          <w:bCs/>
          <w:caps/>
          <w:szCs w:val="28"/>
          <w:lang w:val="uk-UA" w:eastAsia="uk-UA"/>
        </w:rPr>
        <w:t>Правовий СТАТУС графіті як об’єкта авторського права</w:t>
      </w:r>
    </w:p>
    <w:p w14:paraId="098737EA"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Перш за все, слід зазначити, що графіті є унікальним явищем, що балансує між художнім самовираженням і порушенням закону. З одного боку, це твори мистецтва, що вражають уяву; з іншого – незаконне пошкодження майна, яке багато хто розцінює як вандалізм. Відповідно до </w:t>
      </w:r>
      <w:bookmarkStart w:id="169" w:name="_Hlk197287356"/>
      <w:r w:rsidRPr="00511005">
        <w:rPr>
          <w:rFonts w:ascii="Arial" w:eastAsia="Calibri" w:hAnsi="Arial" w:cs="Arial"/>
          <w:szCs w:val="28"/>
          <w:lang w:val="uk-UA" w:eastAsia="uk-UA"/>
        </w:rPr>
        <w:t>Закону України «Про авторське право і суміжні права»</w:t>
      </w:r>
      <w:bookmarkEnd w:id="169"/>
      <w:r w:rsidRPr="00511005">
        <w:rPr>
          <w:rFonts w:ascii="Arial" w:eastAsia="Calibri" w:hAnsi="Arial" w:cs="Arial"/>
          <w:szCs w:val="28"/>
          <w:lang w:val="uk-UA" w:eastAsia="uk-UA"/>
        </w:rPr>
        <w:t>, об’єктами авторського права є твори у сфері науки, літератури і мистецтва [1]. Зокрема, охороняються твори образотворчого мистецтва – тобто будь-які оригінальні художні роботи, створені в результаті творчої діяльності. Таким чином, графіті може підпадати під охорону як твір образотворчого мистецтва, якщо воно є результатом творчості і виражене у певній формі. Українське законодавство не вимагає спеціальної реєстрації: авторське право виникає автоматично з моменту створення твору і фіксації його на матеріальному носії [2]. Усі автори наділяються особистими немайновими правами (право авторства, ім’я, право на недоторканність твору тощо) та майновими правами (право відтворення, публічного показу, поширення і т.д.) на свій твір. Важливо, що право інтелектуальної власності на твір відокремлене від права власності на матеріальний об’єкт, в якому цей твір втілено – наприклад, художник може володіти авторським правом на розпис стіни, навіть якщо не є власником самої стіни.</w:t>
      </w:r>
    </w:p>
    <w:p w14:paraId="2378B3A6"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У спорах щодо графіті часто стикаються дві позиції:</w:t>
      </w:r>
    </w:p>
    <w:p w14:paraId="68909E26"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Позиція художника: графіті – повноцінний об’єкт авторського права, незалежно від законності створення. Автор володіє виключними правами на використання зображення і може забороняти його відтворення чи публічний показ без згоди.</w:t>
      </w:r>
    </w:p>
    <w:p w14:paraId="0F101683"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Позиція користувачів (власників, компаній): незаконно нанесене графіті не повинно отримувати правової охорони, адже це вандалізм, а зображення знаходиться у відкритому публічному просторі. Деякі стверджують, що такі твори – «нічийні» або ж їх можна вільно фотографувати і використовувати, посилаючись на принципи свободи </w:t>
      </w:r>
      <w:r w:rsidRPr="00511005">
        <w:rPr>
          <w:rFonts w:ascii="Arial" w:eastAsia="Calibri" w:hAnsi="Arial" w:cs="Arial"/>
          <w:szCs w:val="28"/>
          <w:lang w:val="uk-UA" w:eastAsia="uk-UA"/>
        </w:rPr>
        <w:lastRenderedPageBreak/>
        <w:t>панорами чи відсутність легітимного правовласника. Приміром, у згаданій справі H&amp;M проти Revok міська влада Нью-Йорка прямо вказала, що відповідний настінний малюнок є несанкціонованим і «псує власність», натякаючи, що жодних дозволів питати не потрібно [3].</w:t>
      </w:r>
    </w:p>
    <w:p w14:paraId="773C58FB"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На сьогодні закон та практика схиляються на бік першого підходу: графіті визнається авторсько-правовим твором, але з деякими застереженнями щодо захисту. У кожному конкретному випадку нелегальний статус твору може впливати на доступні правові засоби та готовність автора відстоювати свої права.</w:t>
      </w:r>
    </w:p>
    <w:p w14:paraId="612E9AA1"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Цивільне законодавство та Закон </w:t>
      </w:r>
      <w:bookmarkStart w:id="170" w:name="_Hlk198910177"/>
      <w:r w:rsidRPr="00511005">
        <w:rPr>
          <w:rFonts w:ascii="Arial" w:eastAsia="Calibri" w:hAnsi="Arial" w:cs="Arial"/>
          <w:szCs w:val="28"/>
          <w:lang w:val="uk-UA" w:eastAsia="uk-UA"/>
        </w:rPr>
        <w:t>України «Про авторське право і суміжні права»</w:t>
      </w:r>
      <w:bookmarkEnd w:id="170"/>
      <w:r w:rsidRPr="00511005">
        <w:rPr>
          <w:rFonts w:ascii="Arial" w:eastAsia="Calibri" w:hAnsi="Arial" w:cs="Arial"/>
          <w:szCs w:val="28"/>
          <w:lang w:val="uk-UA" w:eastAsia="uk-UA"/>
        </w:rPr>
        <w:t xml:space="preserve"> містять норми, спрямовані на захист творів образотворчого мистецтва від знищення. Зокрема, вищезгаданий закон встановлює, що власникові матеріального об’єкта, в якому втілено оригінал твору образотворчого мистецтва, не дозволяється руйнувати цей об’єкт без попереднього пропонування авторові твору викупити його за ціну матеріалів, витрачених на створення. Тобто власник будівлі не має права знищити оригінальний настінний живопис (графіті), не запропонувавши автору врятувати його роботу. Це дуже прогресивна норма, покликана зберегти мистецькі твори: художнику дається шанс викупити полотно, стіну чи інший носій за символічну вартість фарби. На практиці, реалізація такої норми може бути складною (адже викупити цілу стіну будинку проблематично), але сам принцип підкреслює важливість пошани до твору навіть перед правом власника. Окрім того, автор має моральне право на недоторканність твору (ст.439 ЦК України) – він може вимагати, щоб твір не спотворювали і не нищили без його згоди, якщо це може шкодити честі чи репутації автора. Закон не говорить про «право автора на збереження твору», але встановлює наведений механізм пропозиції викупу як компроміс.</w:t>
      </w:r>
    </w:p>
    <w:p w14:paraId="53EEFFA8" w14:textId="4AC5845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Важливо зазначити те, що правовий статус графіті є досить дискусійним питанням, адже містить певну межу, якщо графіті не порушує права іншого власника,</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також якщо воно виконане з дозволом або на замовлення то воно може бути об’єктом авторського права, але якщо це буде розглядатися як графіті, що порушує права іншого власника то воно тягне за собою адміністративне правопорушення, адже це руйнування власності іншої особи.</w:t>
      </w:r>
    </w:p>
    <w:p w14:paraId="12D2C2D3"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Міжнародна практика більше сходиться на тому, що графіті відноситься до об’єктів авторського права, не дивлячись на те, що воно не має законодавчого закріплення.</w:t>
      </w:r>
    </w:p>
    <w:p w14:paraId="3A88D69E"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Кейс Бенксі є чудовим прикладом, що ілюструє складність правового статусу графіті як об'єкта авторського права. Хоча з точки зору креативності та оригінальності графіті безумовно є творами мистецтва, їхня природа (створення на чужій власності) створює глибокі юридичні колізії. Це змушує </w:t>
      </w:r>
      <w:r w:rsidRPr="00511005">
        <w:rPr>
          <w:rFonts w:ascii="Arial" w:eastAsia="Calibri" w:hAnsi="Arial" w:cs="Arial"/>
          <w:szCs w:val="28"/>
          <w:lang w:val="uk-UA" w:eastAsia="uk-UA"/>
        </w:rPr>
        <w:lastRenderedPageBreak/>
        <w:t>шукати баланс між захистом прав художника та правами власника майна, а також пристосовувати традиційні норми авторського права до реалій сучасного вуличного мистецтва.</w:t>
      </w:r>
    </w:p>
    <w:p w14:paraId="2E9E4D8E"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Врешті-решт, питання правового статусу графіті – це не лише про авторське право, а й про межі мистецтва, право власності, публічний простір та соціальну відповідальність.</w:t>
      </w:r>
    </w:p>
    <w:p w14:paraId="0A12187B"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Якщо робити висновки, то графіті в Україні може вважатися об’єктом авторського права, попри те, що воно не закріплене в законодавстві. Звісно, якщо воно відповідає загальним критеріям творчості, та не порушує права інших власників.</w:t>
      </w:r>
    </w:p>
    <w:p w14:paraId="7341DCA1"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Тобто, у сфері графіті авторське право співіснує з нормами цивільного, адміністративного й кримінального законодавства, а питання правового статусу таких творів потребує балансу між правами митця та правами власника об’єкта, та подальшого врегулювання.</w:t>
      </w:r>
    </w:p>
    <w:p w14:paraId="40BA044D" w14:textId="77777777" w:rsidR="005F048D" w:rsidRPr="00511005" w:rsidRDefault="005F048D" w:rsidP="003A292D">
      <w:pPr>
        <w:spacing w:line="264" w:lineRule="auto"/>
        <w:rPr>
          <w:rFonts w:ascii="Arial" w:eastAsia="Calibri" w:hAnsi="Arial" w:cs="Arial"/>
          <w:szCs w:val="28"/>
          <w:lang w:val="uk-UA" w:eastAsia="uk-UA"/>
        </w:rPr>
      </w:pPr>
    </w:p>
    <w:p w14:paraId="3B43C288" w14:textId="17AE8EFE" w:rsidR="005F048D" w:rsidRPr="00511005" w:rsidRDefault="007B2628" w:rsidP="007B2628">
      <w:pPr>
        <w:spacing w:line="264" w:lineRule="auto"/>
        <w:ind w:firstLine="0"/>
        <w:jc w:val="center"/>
        <w:rPr>
          <w:rFonts w:ascii="Arial" w:eastAsia="Calibri" w:hAnsi="Arial" w:cs="Arial"/>
          <w:b/>
          <w:szCs w:val="28"/>
          <w:lang w:val="uk-UA" w:eastAsia="uk-UA"/>
        </w:rPr>
      </w:pPr>
      <w:r w:rsidRPr="00511005">
        <w:rPr>
          <w:rFonts w:ascii="Arial" w:eastAsia="Calibri" w:hAnsi="Arial" w:cs="Arial"/>
          <w:b/>
          <w:szCs w:val="28"/>
          <w:lang w:val="uk-UA" w:eastAsia="uk-UA"/>
        </w:rPr>
        <w:t>Список використаних джерел</w:t>
      </w:r>
    </w:p>
    <w:p w14:paraId="318ABCF7" w14:textId="77777777" w:rsidR="005F048D" w:rsidRPr="00511005" w:rsidRDefault="005F048D" w:rsidP="003A292D">
      <w:pPr>
        <w:spacing w:line="264" w:lineRule="auto"/>
        <w:rPr>
          <w:rFonts w:ascii="Arial" w:eastAsia="Aptos" w:hAnsi="Arial" w:cs="Arial"/>
          <w:szCs w:val="28"/>
          <w:lang w:val="uk-UA"/>
        </w:rPr>
      </w:pPr>
      <w:r w:rsidRPr="00511005">
        <w:rPr>
          <w:rFonts w:ascii="Arial" w:eastAsia="Aptos" w:hAnsi="Arial" w:cs="Arial"/>
          <w:szCs w:val="28"/>
          <w:lang w:val="uk-UA"/>
        </w:rPr>
        <w:t xml:space="preserve">1. Закону України «Про авторське право і суміжні права»: від 15.11.2024 № 57-ВР. URL: </w:t>
      </w:r>
      <w:hyperlink r:id="rId1320" w:anchor="n163" w:history="1">
        <w:r w:rsidRPr="00511005">
          <w:rPr>
            <w:rFonts w:ascii="Arial" w:eastAsia="Aptos" w:hAnsi="Arial" w:cs="Arial"/>
            <w:szCs w:val="28"/>
            <w:lang w:val="uk-UA"/>
          </w:rPr>
          <w:t>https://zakon.rada.gov.ua/laws/show/2811-20/conv#n163</w:t>
        </w:r>
      </w:hyperlink>
      <w:r w:rsidRPr="00511005">
        <w:rPr>
          <w:rFonts w:ascii="Arial" w:eastAsia="Aptos" w:hAnsi="Arial" w:cs="Arial"/>
          <w:szCs w:val="28"/>
          <w:lang w:val="uk-UA"/>
        </w:rPr>
        <w:t xml:space="preserve"> </w:t>
      </w:r>
    </w:p>
    <w:p w14:paraId="3280163D" w14:textId="77777777" w:rsidR="005F048D" w:rsidRPr="00511005" w:rsidRDefault="005F048D" w:rsidP="003A292D">
      <w:pPr>
        <w:spacing w:line="264" w:lineRule="auto"/>
        <w:rPr>
          <w:rFonts w:ascii="Arial" w:eastAsia="Aptos" w:hAnsi="Arial" w:cs="Arial"/>
          <w:szCs w:val="28"/>
          <w:lang w:val="uk-UA"/>
        </w:rPr>
      </w:pPr>
      <w:r w:rsidRPr="00511005">
        <w:rPr>
          <w:rFonts w:ascii="Arial" w:eastAsia="Aptos" w:hAnsi="Arial" w:cs="Arial"/>
          <w:szCs w:val="28"/>
          <w:lang w:val="uk-UA"/>
        </w:rPr>
        <w:t xml:space="preserve">2. Бернська конвенція про охорону літературних і художніх творів (1886, Паризький акт 1971). URL: </w:t>
      </w:r>
      <w:hyperlink r:id="rId1321" w:history="1">
        <w:r w:rsidRPr="00511005">
          <w:rPr>
            <w:rFonts w:ascii="Arial" w:eastAsia="Aptos" w:hAnsi="Arial" w:cs="Arial"/>
            <w:szCs w:val="28"/>
            <w:lang w:val="uk-UA"/>
          </w:rPr>
          <w:t>https://surl.lu/dhdiuw</w:t>
        </w:r>
      </w:hyperlink>
      <w:r w:rsidRPr="00511005">
        <w:rPr>
          <w:rFonts w:ascii="Arial" w:eastAsia="Aptos" w:hAnsi="Arial" w:cs="Arial"/>
          <w:szCs w:val="28"/>
          <w:lang w:val="uk-UA"/>
        </w:rPr>
        <w:t xml:space="preserve"> </w:t>
      </w:r>
    </w:p>
    <w:p w14:paraId="76E1F913" w14:textId="77777777" w:rsidR="005F048D" w:rsidRPr="00511005" w:rsidRDefault="005F048D" w:rsidP="003A292D">
      <w:pPr>
        <w:spacing w:line="264" w:lineRule="auto"/>
        <w:rPr>
          <w:rFonts w:ascii="Arial" w:eastAsia="Aptos" w:hAnsi="Arial" w:cs="Arial"/>
          <w:szCs w:val="28"/>
          <w:lang w:val="uk-UA"/>
        </w:rPr>
      </w:pPr>
      <w:r w:rsidRPr="00511005">
        <w:rPr>
          <w:rFonts w:ascii="Arial" w:eastAsia="Aptos" w:hAnsi="Arial" w:cs="Arial"/>
          <w:szCs w:val="28"/>
          <w:lang w:val="uk-UA"/>
        </w:rPr>
        <w:t xml:space="preserve">3. Справа H&amp;M vs. Revok (Jason Williams), 2018, США. URL: </w:t>
      </w:r>
      <w:hyperlink r:id="rId1322" w:history="1">
        <w:r w:rsidRPr="00511005">
          <w:rPr>
            <w:rFonts w:ascii="Arial" w:eastAsia="Aptos" w:hAnsi="Arial" w:cs="Arial"/>
            <w:szCs w:val="28"/>
            <w:lang w:val="uk-UA"/>
          </w:rPr>
          <w:t>https://surl.li/ilxlaw</w:t>
        </w:r>
      </w:hyperlink>
      <w:r w:rsidRPr="00511005">
        <w:rPr>
          <w:rFonts w:ascii="Arial" w:eastAsia="Aptos" w:hAnsi="Arial" w:cs="Arial"/>
          <w:szCs w:val="28"/>
          <w:lang w:val="uk-UA"/>
        </w:rPr>
        <w:t xml:space="preserve"> </w:t>
      </w:r>
    </w:p>
    <w:p w14:paraId="561D42B7" w14:textId="77777777" w:rsidR="005F048D" w:rsidRPr="00511005" w:rsidRDefault="005F048D" w:rsidP="003A292D">
      <w:pPr>
        <w:spacing w:line="264" w:lineRule="auto"/>
        <w:ind w:left="709" w:firstLine="0"/>
        <w:rPr>
          <w:rFonts w:ascii="Arial" w:eastAsia="Aptos" w:hAnsi="Arial" w:cs="Arial"/>
          <w:szCs w:val="28"/>
          <w:lang w:val="uk-UA"/>
        </w:rPr>
      </w:pPr>
    </w:p>
    <w:p w14:paraId="3B954737" w14:textId="7389BE6C" w:rsidR="005F048D" w:rsidRPr="00511005" w:rsidRDefault="007B2628" w:rsidP="003A292D">
      <w:pPr>
        <w:spacing w:line="264" w:lineRule="auto"/>
        <w:rPr>
          <w:rFonts w:ascii="Arial" w:eastAsia="Aptos" w:hAnsi="Arial" w:cs="Arial"/>
          <w:szCs w:val="28"/>
          <w:lang w:val="uk-UA"/>
        </w:rPr>
      </w:pPr>
      <w:r w:rsidRPr="00511005">
        <w:rPr>
          <w:rFonts w:ascii="Arial" w:eastAsia="Aptos" w:hAnsi="Arial" w:cs="Arial"/>
          <w:b/>
          <w:bCs/>
          <w:i/>
          <w:szCs w:val="28"/>
          <w:lang w:val="uk-UA"/>
        </w:rPr>
        <w:t xml:space="preserve">Ключові слова: </w:t>
      </w:r>
      <w:r w:rsidR="005F048D" w:rsidRPr="00511005">
        <w:rPr>
          <w:rFonts w:ascii="Arial" w:eastAsia="Aptos" w:hAnsi="Arial" w:cs="Arial"/>
          <w:szCs w:val="28"/>
          <w:lang w:val="uk-UA"/>
        </w:rPr>
        <w:t>графіті, результат творчої діяльності, авторське право, автор, права власника об’єкта, відповідальність, твір, авторський об’єкт.</w:t>
      </w:r>
    </w:p>
    <w:p w14:paraId="68D9CF90" w14:textId="2A006760" w:rsidR="005F048D" w:rsidRPr="00511005" w:rsidRDefault="007B2628" w:rsidP="003A292D">
      <w:pPr>
        <w:spacing w:line="264" w:lineRule="auto"/>
        <w:rPr>
          <w:rFonts w:ascii="Arial" w:eastAsia="Aptos" w:hAnsi="Arial" w:cs="Arial"/>
          <w:szCs w:val="28"/>
          <w:lang w:val="uk-UA"/>
        </w:rPr>
      </w:pPr>
      <w:r w:rsidRPr="00511005">
        <w:rPr>
          <w:rFonts w:ascii="Arial" w:eastAsia="Aptos" w:hAnsi="Arial" w:cs="Arial"/>
          <w:b/>
          <w:bCs/>
          <w:i/>
          <w:szCs w:val="28"/>
          <w:lang w:val="uk-UA"/>
        </w:rPr>
        <w:t xml:space="preserve">Key words: </w:t>
      </w:r>
      <w:r w:rsidR="005F048D" w:rsidRPr="00511005">
        <w:rPr>
          <w:rFonts w:ascii="Arial" w:eastAsia="Aptos" w:hAnsi="Arial" w:cs="Arial"/>
          <w:szCs w:val="28"/>
          <w:lang w:val="uk-UA"/>
        </w:rPr>
        <w:t>graffiti, result of creative activity, copyright, author, rights of the owner of the object, responsibility, work, author's object.</w:t>
      </w:r>
    </w:p>
    <w:p w14:paraId="06FCA534" w14:textId="2B39940A" w:rsidR="005F048D" w:rsidRPr="00511005" w:rsidRDefault="007B2628" w:rsidP="003A292D">
      <w:pPr>
        <w:spacing w:line="264" w:lineRule="auto"/>
        <w:rPr>
          <w:rFonts w:ascii="Arial" w:eastAsia="Calibri" w:hAnsi="Arial" w:cs="Arial"/>
          <w:b/>
          <w:bCs/>
          <w:i/>
          <w:iCs/>
          <w:szCs w:val="28"/>
          <w:lang w:val="uk-UA" w:eastAsia="uk-UA"/>
        </w:rPr>
      </w:pPr>
      <w:r w:rsidRPr="00511005">
        <w:rPr>
          <w:rFonts w:ascii="Arial" w:eastAsia="Calibri" w:hAnsi="Arial" w:cs="Arial"/>
          <w:b/>
          <w:i/>
          <w:iCs/>
          <w:szCs w:val="28"/>
          <w:lang w:val="uk-UA" w:eastAsia="uk-UA"/>
        </w:rPr>
        <w:t xml:space="preserve">Науковий керівник: </w:t>
      </w:r>
      <w:r w:rsidR="005F048D" w:rsidRPr="00511005">
        <w:rPr>
          <w:rFonts w:ascii="Arial" w:eastAsia="Calibri" w:hAnsi="Arial" w:cs="Arial"/>
          <w:i/>
          <w:iCs/>
          <w:szCs w:val="28"/>
          <w:lang w:val="uk-UA" w:eastAsia="uk-UA"/>
        </w:rPr>
        <w:t xml:space="preserve">к.ю.н., </w:t>
      </w:r>
      <w:r w:rsidR="005F048D" w:rsidRPr="00511005">
        <w:rPr>
          <w:rFonts w:ascii="Arial" w:eastAsia="Times New Roman" w:hAnsi="Arial" w:cs="Arial"/>
          <w:i/>
          <w:szCs w:val="28"/>
          <w:lang w:val="uk-UA" w:eastAsia="uk-UA"/>
        </w:rPr>
        <w:t xml:space="preserve">доцент </w:t>
      </w:r>
      <w:r w:rsidR="005F048D" w:rsidRPr="00511005">
        <w:rPr>
          <w:rFonts w:ascii="Arial" w:eastAsia="Calibri" w:hAnsi="Arial" w:cs="Arial"/>
          <w:i/>
          <w:iCs/>
          <w:szCs w:val="28"/>
          <w:lang w:val="uk-UA" w:eastAsia="uk-UA"/>
        </w:rPr>
        <w:t>Мазуренко С.В.</w:t>
      </w:r>
    </w:p>
    <w:p w14:paraId="255A5FDC" w14:textId="77777777" w:rsidR="005F048D" w:rsidRPr="00511005" w:rsidRDefault="005F048D" w:rsidP="003A292D">
      <w:pPr>
        <w:spacing w:line="264" w:lineRule="auto"/>
        <w:ind w:left="709" w:firstLine="0"/>
        <w:rPr>
          <w:rFonts w:ascii="Arial" w:eastAsia="Aptos" w:hAnsi="Arial" w:cs="Arial"/>
          <w:bCs/>
          <w:szCs w:val="28"/>
          <w:lang w:val="uk-UA"/>
        </w:rPr>
      </w:pPr>
    </w:p>
    <w:p w14:paraId="171C3598"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Кротова Емілія Олександрівна</w:t>
      </w:r>
    </w:p>
    <w:p w14:paraId="3040C450" w14:textId="2019977A" w:rsidR="005F048D" w:rsidRPr="00511005" w:rsidRDefault="00BE3972"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1-го курсу </w:t>
      </w:r>
      <w:r w:rsidR="001B7B25" w:rsidRPr="00511005">
        <w:rPr>
          <w:rFonts w:ascii="Arial" w:eastAsia="Times New Roman" w:hAnsi="Arial" w:cs="Arial"/>
          <w:szCs w:val="28"/>
          <w:lang w:val="uk-UA" w:eastAsia="uk-UA"/>
        </w:rPr>
        <w:t>факультету судового та міжнародного права</w:t>
      </w:r>
    </w:p>
    <w:p w14:paraId="3FB7FE77" w14:textId="4FD25503"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10A9E710" w14:textId="77777777" w:rsidR="005F048D" w:rsidRPr="00511005" w:rsidRDefault="005F048D" w:rsidP="003A292D">
      <w:pPr>
        <w:spacing w:line="264" w:lineRule="auto"/>
        <w:ind w:firstLine="0"/>
        <w:jc w:val="left"/>
        <w:rPr>
          <w:rFonts w:ascii="Arial" w:eastAsia="Calibri" w:hAnsi="Arial" w:cs="Arial"/>
          <w:szCs w:val="28"/>
          <w:lang w:val="uk-UA" w:eastAsia="uk-UA"/>
        </w:rPr>
      </w:pPr>
    </w:p>
    <w:p w14:paraId="6111FD65"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АКАДЕМІЧНА ДОБРОЧЕСНІСТЬ В УМОВАХ ЦИФРОВІЗАЦІЇ ОСВІТИ</w:t>
      </w:r>
    </w:p>
    <w:p w14:paraId="0A32E875" w14:textId="77777777" w:rsidR="005F048D" w:rsidRPr="00511005" w:rsidRDefault="005F048D" w:rsidP="003A292D">
      <w:pPr>
        <w:spacing w:line="264" w:lineRule="auto"/>
        <w:ind w:firstLine="720"/>
        <w:rPr>
          <w:rFonts w:ascii="Arial" w:eastAsia="Times New Roman" w:hAnsi="Arial" w:cs="Arial"/>
          <w:b/>
          <w:szCs w:val="28"/>
          <w:lang w:val="uk-UA" w:eastAsia="uk-UA"/>
        </w:rPr>
      </w:pPr>
      <w:bookmarkStart w:id="171" w:name="_heading=h.k8iuwuiu4z2q" w:colFirst="0" w:colLast="0"/>
      <w:bookmarkEnd w:id="171"/>
      <w:r w:rsidRPr="00511005">
        <w:rPr>
          <w:rFonts w:ascii="Arial" w:eastAsia="Times New Roman" w:hAnsi="Arial" w:cs="Arial"/>
          <w:szCs w:val="28"/>
          <w:lang w:val="uk-UA" w:eastAsia="uk-UA"/>
        </w:rPr>
        <w:t xml:space="preserve">У сучасних умовах стрімкої цифровізації освіти питання академічної доброчесності набуває особливої актуальності. Впровадження новітніх технологій істотно змінює взаємодію між усіма учасниками освітнього процесу. З одного боку, цифрові інструменти розширюють доступ до знань, сприяють гнучкості та індивідуалізації навчання. З іншого – створюють нові ризики для порушення етичних норм: зростає кількість випадків плагіату, </w:t>
      </w:r>
      <w:r w:rsidRPr="00511005">
        <w:rPr>
          <w:rFonts w:ascii="Arial" w:eastAsia="Times New Roman" w:hAnsi="Arial" w:cs="Arial"/>
          <w:szCs w:val="28"/>
          <w:lang w:val="uk-UA" w:eastAsia="uk-UA"/>
        </w:rPr>
        <w:lastRenderedPageBreak/>
        <w:t>некоректного цитування, підміни авторства. У цьому контексті академічна доброчесність виступає необхідною умовою збереження довіри до результатів освітньої та наукової діяльності, формування критичного мислення, відповідального ставлення до інтелектуальної праці, а також інтеграції української освіти у світовий науковий простір.</w:t>
      </w:r>
    </w:p>
    <w:p w14:paraId="5E0C7F0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Академічна доброчесність у сучасному освітньому просторі, особливо в умовах активної цифровізації, виступає не просто сукупністю формальних вимог чи обмежень, а системою глибоко вкорінених етичних засад, на яких ґрунтується якісна освіта й наукова діяльність. Йдеться про дотримання певних моральних і правових орієнтирів, які мають бути спільними як для студентів, так і для викладачів. Її дотримання передбачає, зокрема, коректне цитування використаних джерел, повагу до авторського права, а також правдиву й прозору подачу результатів власних досліджень, що прямо передбачено законодавством у сфері освіти. У своїх міркуваннях С. Омельчук підкреслює, що академічна доброчесність – це не лише формальний стандарт, а скоріше етична норма, яка проявляється в щоденній науковій і навчальній практиці. Вона охоплює всіх учасників освітнього процесу та забезпечує довіру до знань, що продукуються в освітньому середовищі, та до самого освітнього процесу як такого [1, с. 46].</w:t>
      </w:r>
    </w:p>
    <w:p w14:paraId="20724E65" w14:textId="77777777" w:rsidR="005F048D" w:rsidRPr="00511005" w:rsidRDefault="005F048D" w:rsidP="003A292D">
      <w:pPr>
        <w:shd w:val="clear" w:color="auto" w:fill="FFFFFF"/>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Цифрове середовище, попри всі свої переваги, створює нові виклики: відкритий доступ до інформації суттєво спростив процес копіювання матеріалів, що, у свою чергу, підвищує ризик академічної нечесності. У таких умовах саме академічна доброчесність виконує роль своєрідного етичного фільтра, який допомагає зберегти об’єктивність і наукову незалежність. Вона передбачає, серед іншого, правдиве представлення інформації та результатів дослідження, виключення будь-яких форм плагіату, дотримання чинних норм авторського права, а також збереження об’єктивності та наукової неупередженості навіть під зовнішнім тиском або впливом. Важливо не лише уникати присвоєння чужих ідей без відповідних посилань, а й належним чином визнавати авторство там, де це необхідно. Лише за таких умов академічна доброчесність стає не декларативною цінністю, а реальною практикою, яка гарантує якість освіти, формує довіру до результатів наукових пошуків і створює підґрунтя для сталого розвитку інтелектуального середовища [2, с. 6-7].</w:t>
      </w:r>
    </w:p>
    <w:p w14:paraId="5C362F2A" w14:textId="77777777" w:rsidR="005F048D" w:rsidRPr="00511005" w:rsidRDefault="005F048D" w:rsidP="003A292D">
      <w:pPr>
        <w:shd w:val="clear" w:color="auto" w:fill="FFFFFF"/>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Цифрова трансформація освіти, особливо через активне впровадження штучного інтелекту, суттєво змінює динаміку освітнього процесу. Ці інструменти розширюють доступ до знань, дозволяють застосовувати гнучкі методи викладання та персоналізованого навчання, проте одночасно загострюють питання дотримання академічної доброчесності. Зростає ризик поширення академічних порушень — зокрема, плагіату, а також несанкціонованого використання інтелектуальних </w:t>
      </w:r>
      <w:r w:rsidRPr="00511005">
        <w:rPr>
          <w:rFonts w:ascii="Arial" w:eastAsia="Times New Roman" w:hAnsi="Arial" w:cs="Arial"/>
          <w:szCs w:val="28"/>
          <w:lang w:val="uk-UA" w:eastAsia="uk-UA"/>
        </w:rPr>
        <w:lastRenderedPageBreak/>
        <w:t>розробок інших осіб без належного цитування, що вже сьогодні є помітною проблемою в умовах цифровізації [3, с. 240].</w:t>
      </w:r>
    </w:p>
    <w:p w14:paraId="25BC3A1F"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Сучасна доба, позначена діджиталізацією, актуалізує необхідність глибшого осмислення ролі штучного інтелекту в освіті. Доцільним у межах академічного дискурсу є розмежування базових понять, пов’язаних із ШІ, таких як «штучний інтелект», «нейромережа», «чат-бот» та «системи штучного інтелекту». Під штучним інтелектом мається на увазі комплекс інформаційних технологій, який забезпечує виконання складних завдань завдяки поєднанню алгоритмів, методів дослідження та здатності до самонавчання, моделювання рішень і накопичення власної бази знань. Нейромережа, у цьому контексті, виступає як математична модель, покликана імітувати структуру й функціонування людського мозку. Чат-бот, своєю чергою, є програмним інструментом, що здійснює діалог із користувачем у текстовій або голосовій формі – зокрема в освітньому середовищі це може бути частиною автоматизованої підтримки. Під системами ШІ розуміють як окремі програмні продукти, так і апаратно-програмні комплекси, які можуть імітувати мислення, аналізувати інформацію, навчатися та приймати рішення без прямого втручання людини. Штучний інтелект у сфері освіти відкриває нові горизонти: від автоматизованого підбору навчального контенту відповідно до запитів та рівня підготовки студентів, до створення гнучких систем управління навчальними процесами, адаптації матеріалів під специфіку освітнього закладу й конкретної дисципліни. Йдеться також про сприяння індивідуалізації навчання, підтримку міжпредметних зв’язків і розширення можливостей для наукових досліджень. Використання ШІ дозволяє інтегрувати різноманітні джерела знань, створювати інноваційні освітні моделі та вдосконалювати якість дистанційного навчання. У контексті наукової діяльності такі технології забезпечують точніше формування метаданих, полегшують пошук за синонімічними запитами, сприяють адаптації академічного стилю до більш доступного науково-популярного формату, що, своєю чергою, сприяє ширшій популяризації наукових ідей. Ба більше, ШІ надає інструменти для міждисциплінарних та міжнародних досліджень, поглиблюючи інтеграцію академічного знання у глобальний науковий простір [4, с. 28]</w:t>
      </w:r>
    </w:p>
    <w:p w14:paraId="410E8543" w14:textId="77777777" w:rsidR="005F048D" w:rsidRPr="00511005" w:rsidRDefault="005F048D" w:rsidP="003A292D">
      <w:pPr>
        <w:shd w:val="clear" w:color="auto" w:fill="FFFFFF"/>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Активне впровадження штучного інтелекту в освітній і науковий простір не лише відкриває нові перспективи для підвищення якості навчального процесу та ефективності досліджень, а й загострює потребу в дотриманні чітких етичних стандартів. Виклики, що виникають унаслідок цього технологічного зрушення, вимагають системного підходу до регулювання – зокрема, створення прозорих і зрозумілих політик щодо етичного застосування цифрових інструментів, упровадження освітніх програм із </w:t>
      </w:r>
      <w:r w:rsidRPr="00511005">
        <w:rPr>
          <w:rFonts w:ascii="Arial" w:eastAsia="Times New Roman" w:hAnsi="Arial" w:cs="Arial"/>
          <w:szCs w:val="28"/>
          <w:lang w:val="uk-UA" w:eastAsia="uk-UA"/>
        </w:rPr>
        <w:lastRenderedPageBreak/>
        <w:t xml:space="preserve">цифрової етики, а також розробки дієвих механізмів моніторингу та виявлення порушень принципів академічної доброчесності [5]. </w:t>
      </w:r>
    </w:p>
    <w:p w14:paraId="651B388C" w14:textId="77777777" w:rsidR="005F048D" w:rsidRPr="00511005" w:rsidRDefault="005F048D" w:rsidP="003A292D">
      <w:pPr>
        <w:shd w:val="clear" w:color="auto" w:fill="FFFFFF"/>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Отже, академічна доброчесність у цифрову епоху перетворюється з формальної вимоги на ключовий елемент етичної культури освіти й науки. Вона забезпечує стабільність освітнього процесу, зберігає довіру до результатів наукової діяльності та сприяє формуванню відповідального ставлення до інтелектуальної праці. Активна цифровізація, попри свої численні переваги, водночас породжує ризики для порушення академічних принципів, що вимагає від освітньої спільноти впровадження прозорих етичних стандартів, адаптації освітніх програм і застосування новітніх технологій контролю за дотриманням норм.</w:t>
      </w:r>
    </w:p>
    <w:p w14:paraId="60555190" w14:textId="77777777" w:rsidR="005F048D" w:rsidRPr="00511005" w:rsidRDefault="005F048D" w:rsidP="003A292D">
      <w:pPr>
        <w:shd w:val="clear" w:color="auto" w:fill="FFFFFF"/>
        <w:spacing w:line="264" w:lineRule="auto"/>
        <w:ind w:firstLine="720"/>
        <w:rPr>
          <w:rFonts w:ascii="Arial" w:eastAsia="Times New Roman" w:hAnsi="Arial" w:cs="Arial"/>
          <w:szCs w:val="28"/>
          <w:lang w:val="uk-UA" w:eastAsia="uk-UA"/>
        </w:rPr>
      </w:pPr>
    </w:p>
    <w:p w14:paraId="4426E112" w14:textId="71472BB3" w:rsidR="005F048D" w:rsidRPr="00511005" w:rsidRDefault="007B2628" w:rsidP="007B2628">
      <w:pPr>
        <w:shd w:val="clear" w:color="auto" w:fill="FFFFFF"/>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Список використаних джерел</w:t>
      </w:r>
    </w:p>
    <w:p w14:paraId="22954EA0" w14:textId="77777777" w:rsidR="005F048D" w:rsidRPr="00511005" w:rsidRDefault="005F048D" w:rsidP="003F6A5D">
      <w:pPr>
        <w:numPr>
          <w:ilvl w:val="0"/>
          <w:numId w:val="337"/>
        </w:numPr>
        <w:shd w:val="clear" w:color="auto" w:fill="FFFFFF"/>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Рускуліс Л. Академічна доброчесність : навч-метод. посіб. / Л. Рускуліс. - Миколаїв : Іліон, 2022. - 86 с.</w:t>
      </w:r>
      <w:r w:rsidRPr="00511005">
        <w:rPr>
          <w:rFonts w:ascii="Arial" w:eastAsia="Times New Roman" w:hAnsi="Arial" w:cs="Arial"/>
          <w:b/>
          <w:szCs w:val="28"/>
          <w:lang w:val="uk-UA" w:eastAsia="uk-UA"/>
        </w:rPr>
        <w:t xml:space="preserve"> </w:t>
      </w:r>
    </w:p>
    <w:p w14:paraId="54F616DB" w14:textId="77777777" w:rsidR="005F048D" w:rsidRPr="00511005" w:rsidRDefault="005F048D" w:rsidP="003F6A5D">
      <w:pPr>
        <w:numPr>
          <w:ilvl w:val="0"/>
          <w:numId w:val="337"/>
        </w:numPr>
        <w:pBdr>
          <w:top w:val="nil"/>
          <w:left w:val="nil"/>
          <w:bottom w:val="nil"/>
          <w:right w:val="nil"/>
          <w:between w:val="nil"/>
        </w:pBd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Алєксеєва С. Методологія наукових досліджень та академічна доброчесність: виклики в умовах цифровізації. </w:t>
      </w:r>
      <w:r w:rsidRPr="00511005">
        <w:rPr>
          <w:rFonts w:ascii="Arial" w:eastAsia="Times New Roman" w:hAnsi="Arial" w:cs="Arial"/>
          <w:i/>
          <w:szCs w:val="28"/>
          <w:lang w:val="uk-UA" w:eastAsia="uk-UA"/>
        </w:rPr>
        <w:t>Витоки педагогічної майстерності</w:t>
      </w:r>
      <w:r w:rsidRPr="00511005">
        <w:rPr>
          <w:rFonts w:ascii="Arial" w:eastAsia="Times New Roman" w:hAnsi="Arial" w:cs="Arial"/>
          <w:szCs w:val="28"/>
          <w:lang w:val="uk-UA" w:eastAsia="uk-UA"/>
        </w:rPr>
        <w:t>. 2024. Вип. 34. С. 5–8.</w:t>
      </w:r>
    </w:p>
    <w:p w14:paraId="7FD7BB60" w14:textId="77777777" w:rsidR="005F048D" w:rsidRPr="00511005" w:rsidRDefault="005F048D" w:rsidP="003F6A5D">
      <w:pPr>
        <w:numPr>
          <w:ilvl w:val="0"/>
          <w:numId w:val="337"/>
        </w:numPr>
        <w:pBdr>
          <w:top w:val="nil"/>
          <w:left w:val="nil"/>
          <w:bottom w:val="nil"/>
          <w:right w:val="nil"/>
          <w:between w:val="nil"/>
        </w:pBd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Казначеєва Д. В., Казначеєв В. М. Академічна доброчесність як фактор забезпечення якості вищої освіти в системі МВС України. </w:t>
      </w:r>
      <w:r w:rsidRPr="00511005">
        <w:rPr>
          <w:rFonts w:ascii="Arial" w:eastAsia="Times New Roman" w:hAnsi="Arial" w:cs="Arial"/>
          <w:i/>
          <w:szCs w:val="28"/>
          <w:lang w:val="uk-UA" w:eastAsia="uk-UA"/>
        </w:rPr>
        <w:t>Підготовка поліцейських в умовах реформування системи МВС України. Харків</w:t>
      </w:r>
      <w:r w:rsidRPr="00511005">
        <w:rPr>
          <w:rFonts w:ascii="Arial" w:eastAsia="Times New Roman" w:hAnsi="Arial" w:cs="Arial"/>
          <w:szCs w:val="28"/>
          <w:lang w:val="uk-UA" w:eastAsia="uk-UA"/>
        </w:rPr>
        <w:t>, 2020. С. 239–241.</w:t>
      </w:r>
    </w:p>
    <w:p w14:paraId="123C60B1" w14:textId="77777777" w:rsidR="005F048D" w:rsidRPr="00511005" w:rsidRDefault="005F048D" w:rsidP="003F6A5D">
      <w:pPr>
        <w:numPr>
          <w:ilvl w:val="0"/>
          <w:numId w:val="337"/>
        </w:numPr>
        <w:pBdr>
          <w:top w:val="nil"/>
          <w:left w:val="nil"/>
          <w:bottom w:val="nil"/>
          <w:right w:val="nil"/>
          <w:between w:val="nil"/>
        </w:pBd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Толочко С. В., Бордюг Н. С., Міронець Л. П. Академічна доброчесність та штучний інтелект в освітній і науковій діяльності. </w:t>
      </w:r>
      <w:r w:rsidRPr="00511005">
        <w:rPr>
          <w:rFonts w:ascii="Arial" w:eastAsia="Times New Roman" w:hAnsi="Arial" w:cs="Arial"/>
          <w:i/>
          <w:szCs w:val="28"/>
          <w:lang w:val="uk-UA" w:eastAsia="uk-UA"/>
        </w:rPr>
        <w:t>Інноваційна педагогіка</w:t>
      </w:r>
      <w:r w:rsidRPr="00511005">
        <w:rPr>
          <w:rFonts w:ascii="Arial" w:eastAsia="Times New Roman" w:hAnsi="Arial" w:cs="Arial"/>
          <w:szCs w:val="28"/>
          <w:lang w:val="uk-UA" w:eastAsia="uk-UA"/>
        </w:rPr>
        <w:t>. 2023. Вип. 62, т. 2. С. 25–32.</w:t>
      </w:r>
    </w:p>
    <w:p w14:paraId="315621DF" w14:textId="77777777" w:rsidR="005F048D" w:rsidRPr="00511005" w:rsidRDefault="005F048D" w:rsidP="003F6A5D">
      <w:pPr>
        <w:numPr>
          <w:ilvl w:val="0"/>
          <w:numId w:val="337"/>
        </w:numPr>
        <w:pBdr>
          <w:top w:val="nil"/>
          <w:left w:val="nil"/>
          <w:bottom w:val="nil"/>
          <w:right w:val="nil"/>
          <w:between w:val="nil"/>
        </w:pBd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Воронкова А. А., Маркевич С. Л., Мельник Л. Ю. Аналіз проблематики академічної доброчесності в Україні. </w:t>
      </w:r>
      <w:r w:rsidRPr="00511005">
        <w:rPr>
          <w:rFonts w:ascii="Arial" w:eastAsia="Times New Roman" w:hAnsi="Arial" w:cs="Arial"/>
          <w:i/>
          <w:szCs w:val="28"/>
          <w:lang w:val="uk-UA" w:eastAsia="uk-UA"/>
        </w:rPr>
        <w:t>Педагогічна академія: наукові записки</w:t>
      </w:r>
      <w:r w:rsidRPr="00511005">
        <w:rPr>
          <w:rFonts w:ascii="Arial" w:eastAsia="Times New Roman" w:hAnsi="Arial" w:cs="Arial"/>
          <w:szCs w:val="28"/>
          <w:lang w:val="uk-UA" w:eastAsia="uk-UA"/>
        </w:rPr>
        <w:t xml:space="preserve">. 2024. Вип. 13. DOI: </w:t>
      </w:r>
      <w:hyperlink r:id="rId1323">
        <w:r w:rsidRPr="00511005">
          <w:rPr>
            <w:rFonts w:ascii="Arial" w:eastAsia="Times New Roman" w:hAnsi="Arial" w:cs="Arial"/>
            <w:szCs w:val="28"/>
            <w:lang w:val="uk-UA" w:eastAsia="uk-UA"/>
          </w:rPr>
          <w:t>https://doi.org/10.5281/zenodo.14561050</w:t>
        </w:r>
      </w:hyperlink>
      <w:r w:rsidRPr="00511005">
        <w:rPr>
          <w:rFonts w:ascii="Arial" w:eastAsia="Calibri" w:hAnsi="Arial" w:cs="Arial"/>
          <w:szCs w:val="28"/>
          <w:lang w:val="uk-UA" w:eastAsia="uk-UA"/>
        </w:rPr>
        <w:t>.</w:t>
      </w:r>
    </w:p>
    <w:p w14:paraId="505E2AFF" w14:textId="77777777" w:rsidR="005F048D" w:rsidRPr="00511005" w:rsidRDefault="005F048D" w:rsidP="003A292D">
      <w:pPr>
        <w:pBdr>
          <w:top w:val="nil"/>
          <w:left w:val="nil"/>
          <w:bottom w:val="nil"/>
          <w:right w:val="nil"/>
          <w:between w:val="nil"/>
        </w:pBdr>
        <w:spacing w:line="264" w:lineRule="auto"/>
        <w:ind w:left="357" w:firstLine="0"/>
        <w:rPr>
          <w:rFonts w:ascii="Arial" w:eastAsia="Times New Roman" w:hAnsi="Arial" w:cs="Arial"/>
          <w:b/>
          <w:szCs w:val="28"/>
          <w:lang w:val="uk-UA" w:eastAsia="uk-UA"/>
        </w:rPr>
      </w:pPr>
    </w:p>
    <w:p w14:paraId="47A46150" w14:textId="725D6F9B" w:rsidR="005F048D" w:rsidRPr="00511005" w:rsidRDefault="007B2628" w:rsidP="003A292D">
      <w:pPr>
        <w:pBdr>
          <w:top w:val="nil"/>
          <w:left w:val="nil"/>
          <w:bottom w:val="nil"/>
          <w:right w:val="nil"/>
          <w:between w:val="nil"/>
        </w:pBd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академічна доброчесність, цифровізація освіти, штучний інтелект, етичні стандарти, плагіат, освітній процес, наукова діяльність.</w:t>
      </w:r>
    </w:p>
    <w:p w14:paraId="08360A64" w14:textId="1B292D7F" w:rsidR="005F048D" w:rsidRPr="00511005" w:rsidRDefault="007B2628" w:rsidP="003A292D">
      <w:pPr>
        <w:pBdr>
          <w:top w:val="nil"/>
          <w:left w:val="nil"/>
          <w:bottom w:val="nil"/>
          <w:right w:val="nil"/>
          <w:between w:val="nil"/>
        </w:pBd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academic integrity, digitalization of education, artificial intelligence, ethical standards, plagiarism, educational process, scientific activity.</w:t>
      </w:r>
    </w:p>
    <w:p w14:paraId="1C394704" w14:textId="5AF11993" w:rsidR="005F048D" w:rsidRPr="00511005" w:rsidRDefault="007B2628" w:rsidP="003A292D">
      <w:pPr>
        <w:pBdr>
          <w:top w:val="nil"/>
          <w:left w:val="nil"/>
          <w:bottom w:val="nil"/>
          <w:right w:val="nil"/>
          <w:between w:val="nil"/>
        </w:pBd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Бааджи Н.П.</w:t>
      </w:r>
    </w:p>
    <w:p w14:paraId="5C663021" w14:textId="77777777" w:rsidR="005F048D" w:rsidRPr="00511005" w:rsidRDefault="005F048D" w:rsidP="003A292D">
      <w:pPr>
        <w:pBdr>
          <w:top w:val="nil"/>
          <w:left w:val="nil"/>
          <w:bottom w:val="nil"/>
          <w:right w:val="nil"/>
          <w:between w:val="nil"/>
        </w:pBdr>
        <w:spacing w:line="264" w:lineRule="auto"/>
        <w:rPr>
          <w:rFonts w:ascii="Arial" w:eastAsia="Times New Roman" w:hAnsi="Arial" w:cs="Arial"/>
          <w:i/>
          <w:szCs w:val="28"/>
          <w:lang w:val="uk-UA" w:eastAsia="uk-UA"/>
        </w:rPr>
      </w:pPr>
    </w:p>
    <w:p w14:paraId="57514D5C" w14:textId="77777777" w:rsidR="005F048D" w:rsidRPr="00511005" w:rsidRDefault="005F048D" w:rsidP="003A292D">
      <w:pPr>
        <w:spacing w:line="264" w:lineRule="auto"/>
        <w:ind w:firstLine="0"/>
        <w:jc w:val="center"/>
        <w:rPr>
          <w:rFonts w:ascii="Arial" w:eastAsia="Calibri" w:hAnsi="Arial" w:cs="Arial"/>
          <w:b/>
          <w:i/>
          <w:szCs w:val="28"/>
          <w:lang w:val="uk-UA" w:eastAsia="uk-UA"/>
        </w:rPr>
      </w:pPr>
      <w:r w:rsidRPr="00511005">
        <w:rPr>
          <w:rFonts w:ascii="Arial" w:eastAsia="Calibri" w:hAnsi="Arial" w:cs="Arial"/>
          <w:b/>
          <w:i/>
          <w:szCs w:val="28"/>
          <w:lang w:val="uk-UA" w:eastAsia="uk-UA"/>
        </w:rPr>
        <w:t>Куліченко Аліна Василівна</w:t>
      </w:r>
    </w:p>
    <w:p w14:paraId="6511A76C" w14:textId="576973E4" w:rsidR="005F048D" w:rsidRPr="00511005" w:rsidRDefault="00536AAB" w:rsidP="003A292D">
      <w:pPr>
        <w:spacing w:line="264" w:lineRule="auto"/>
        <w:ind w:firstLine="0"/>
        <w:jc w:val="center"/>
        <w:rPr>
          <w:rFonts w:ascii="Arial" w:eastAsia="Calibri" w:hAnsi="Arial" w:cs="Arial"/>
          <w:iCs/>
          <w:szCs w:val="28"/>
          <w:lang w:val="uk-UA" w:eastAsia="uk-UA"/>
        </w:rPr>
      </w:pPr>
      <w:r w:rsidRPr="00511005">
        <w:rPr>
          <w:rFonts w:ascii="Arial" w:eastAsia="Calibri" w:hAnsi="Arial" w:cs="Arial"/>
          <w:iCs/>
          <w:szCs w:val="28"/>
          <w:lang w:val="uk-UA" w:eastAsia="uk-UA"/>
        </w:rPr>
        <w:t xml:space="preserve">студентка 4-го курсу </w:t>
      </w:r>
      <w:r w:rsidR="007B2628" w:rsidRPr="00511005">
        <w:rPr>
          <w:rFonts w:ascii="Arial" w:eastAsia="Calibri" w:hAnsi="Arial" w:cs="Arial"/>
          <w:iCs/>
          <w:szCs w:val="28"/>
          <w:lang w:val="uk-UA" w:eastAsia="uk-UA"/>
        </w:rPr>
        <w:t>факультету цивільної та господарської юстиції</w:t>
      </w:r>
    </w:p>
    <w:p w14:paraId="7150D4BD" w14:textId="4A6EDB66" w:rsidR="005F048D" w:rsidRPr="00511005" w:rsidRDefault="007B2628" w:rsidP="003A292D">
      <w:pPr>
        <w:spacing w:line="264" w:lineRule="auto"/>
        <w:ind w:firstLine="0"/>
        <w:jc w:val="center"/>
        <w:rPr>
          <w:rFonts w:ascii="Arial" w:eastAsia="Calibri" w:hAnsi="Arial" w:cs="Arial"/>
          <w:iCs/>
          <w:szCs w:val="28"/>
          <w:lang w:val="uk-UA" w:eastAsia="uk-UA"/>
        </w:rPr>
      </w:pPr>
      <w:r w:rsidRPr="00511005">
        <w:rPr>
          <w:rFonts w:ascii="Arial" w:eastAsia="Calibri" w:hAnsi="Arial" w:cs="Arial"/>
          <w:iCs/>
          <w:szCs w:val="28"/>
          <w:lang w:val="uk-UA" w:eastAsia="uk-UA"/>
        </w:rPr>
        <w:t>Національного університету «Одеська юридична академія»</w:t>
      </w:r>
    </w:p>
    <w:p w14:paraId="299E2C16" w14:textId="77777777" w:rsidR="007B2628" w:rsidRPr="00511005" w:rsidRDefault="007B2628" w:rsidP="003A292D">
      <w:pPr>
        <w:spacing w:line="264" w:lineRule="auto"/>
        <w:ind w:firstLine="0"/>
        <w:jc w:val="center"/>
        <w:rPr>
          <w:rFonts w:ascii="Arial" w:eastAsia="Calibri" w:hAnsi="Arial" w:cs="Arial"/>
          <w:i/>
          <w:szCs w:val="28"/>
          <w:lang w:val="uk-UA" w:eastAsia="uk-UA"/>
        </w:rPr>
      </w:pPr>
    </w:p>
    <w:p w14:paraId="6C3D4F45" w14:textId="3D420A9E" w:rsidR="005F048D" w:rsidRPr="00511005" w:rsidRDefault="005F048D" w:rsidP="003A292D">
      <w:pPr>
        <w:spacing w:line="264" w:lineRule="auto"/>
        <w:ind w:firstLine="0"/>
        <w:jc w:val="center"/>
        <w:rPr>
          <w:rFonts w:ascii="Arial" w:eastAsia="Calibri" w:hAnsi="Arial" w:cs="Arial"/>
          <w:b/>
          <w:szCs w:val="28"/>
          <w:lang w:val="uk-UA" w:eastAsia="uk-UA"/>
        </w:rPr>
      </w:pPr>
      <w:r w:rsidRPr="00511005">
        <w:rPr>
          <w:rFonts w:ascii="Arial" w:eastAsia="Calibri" w:hAnsi="Arial" w:cs="Arial"/>
          <w:b/>
          <w:caps/>
          <w:szCs w:val="28"/>
          <w:lang w:val="uk-UA" w:eastAsia="uk-UA"/>
        </w:rPr>
        <w:lastRenderedPageBreak/>
        <w:t>Правове регулювання використання штучного інтелекту як Об’єкта права інтелектуальної власності</w:t>
      </w:r>
    </w:p>
    <w:p w14:paraId="0716F01F" w14:textId="258523B9"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Впровадження У сучасному світі</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технології штучного інтелекту (ШІ) швидко</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розвиваються і впроваджуються в різні сфери людської діяльності, особливої актуальності набуває питання правового регулювання об'єктів інтелектуальної власності, створених за допомогою систем ШІ. Правове регулювання використання ШІ як об'єкта інтелектуальної власності характеризується фрагментарністю та відсутністю єдиного підходу. Більшість юрисдикцій намагаються застосувати існуючі норми авторського права, патентного права та комерційної таємниці до технологій ШІ, що часто призводить до правових колізій.</w:t>
      </w:r>
    </w:p>
    <w:p w14:paraId="16069807"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Правове регулювання використання штучного інтелекту як об’єкта інтелектуальної власності супроводжується низкою складних питань та невизначеностей. По-перше, стрімкий розвиток технологій значно випереджає темпи оновлення законодавства, що створює правові прогалини. По-друге, транскордонне використання систем ШІ потребує узгодження національних правових підходів і формування міжнародної нормативної бази. Також виникає потреба у пошуку балансу між охороною прав розробників та забезпеченням відкритого доступу до інновацій в інтересах суспільства. Окрім цього, постає завдання переосмислення традиційних понять інтелектуальної власності з урахуванням нових технологічних умов. [4]</w:t>
      </w:r>
    </w:p>
    <w:p w14:paraId="1B6BAE9E" w14:textId="77777777" w:rsidR="007B2628"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Аналізуючи проблематику правового регулювання результатів діяльності ШІ, необхідно звернути увагу на основні підходи, що формуються в різних правових системах світу. Провідні країни активно розробляють і впроваджують нормативні акти, спрямовані на вирішення цього питання. Зокрема, Європейський Союз прийняв у 2024 році AI Act, який комплексно регулює використання технологій штучного інтелекту. Великобританія базує своє регулювання на положеннях Закону про авторське право, дизайн і патенти 1988 року, адаптуючи їх до нових технологічних реалій. Сполучені Штати Америки дотримуються підходу, за яким авторське право не визнає твори, створені виключно машиною, без творчого внеску людини. Також існують спори щодо патентного права, пов'язані з винаходами штучного інтелекту, викликають питання щодо ролі штучного інтелекту як винахідників та права винаходів, створених штучним інтелектом, на патентний захист. Зі зростанням розвитку штучного інтелекту він стає все більш здатним автономно генерувати винаходи, які можуть претендувати на патентний захист. Однак, чинна патентна система була розроблена в першу чергу для захисту винаходів, створених людьми-винахідниками, що залишає правовий статус винаходів, створених штучним інтелектом, неясним. Всесвітня організація інтелектуальної власності активно працює над розробкою керівних принципів та політики для вирішення проблем, що виникають у </w:t>
      </w:r>
      <w:r w:rsidRPr="00511005">
        <w:rPr>
          <w:rFonts w:ascii="Arial" w:eastAsia="Calibri" w:hAnsi="Arial" w:cs="Arial"/>
          <w:szCs w:val="28"/>
          <w:lang w:val="uk-UA" w:eastAsia="uk-UA"/>
        </w:rPr>
        <w:lastRenderedPageBreak/>
        <w:t>зв'язку з винаходами, створеними за допомогою штучного інтелекту, у контексті патентного права. У майбутньому може знадобитися адаптувати чинне патентне законодавство для врахування винаходів, створених за допомогою штучного інтелекту, забезпечуючи належний рівень захисту цих винаходів, одночасно сприяючи інноваціям у сфері штучного інтелекту. [3]</w:t>
      </w:r>
    </w:p>
    <w:p w14:paraId="370B7C85" w14:textId="77777777" w:rsidR="007B2628"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На тлі цих міжнародних тенденцій особливий інтерес представляє стан правового регулювання об'єктів інтелектуальної власності, створених штучним інтелектом, в Україні. Наразі українське законодавство не містить спеціальних норм, які б безпосередньо регулювали правовий статус таких об'єктів. Замість цього застосовується підхід адаптації існуючих правових норм до нових технологічних реалій. Основним нормативно-правовим актом, що може бути застосований до об'єктів, створених за допомогою ШІ в Україні, є Закон України "Про авторське право та суміжні права". Аналіз його положень дозволяє зробити висновок про фактичне прирівнювання штучного інтелекту до комп'ютерної програми. Відповідно до цього закону, комп'ютерна програма визначається як інструмент і літературний твір, що створюється для виконання певних завдань за допомогою комп'ютера чи іншого електронного пристрою.</w:t>
      </w:r>
    </w:p>
    <w:p w14:paraId="0FB878A9" w14:textId="0D169980"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Проте, потрібно зазначити, що навіть якщо деякі країни визнають надання авторських прав на роботи штучного інтелекту, питання про те, хто отримує ці авторські права, залишається незрозумілим і важким для розуміння. Це пояснюється тим, що чинний стан права вимагає юридичної особи правовласника, чого бракує штучному інтелекту, якщо його творцю не надано це від його імені. Однак, існує лазівка, яка стосується того, що відбувається, якщо система штучного інтелекту була придбана, чи будуть авторські права надані творцю чи покупцю. Ця відповідь на користь творця в таких країнах, як Англія та Нова Зеландія, де авторське право на твори, створені ШІ, надається програмісту через юридичну фікцію. Юридичне забезпечення цього надається у формі розширення визначення авторського права, щоб включити твори, створені комп'ютером (ті, що не мають автора-людини).</w:t>
      </w:r>
    </w:p>
    <w:p w14:paraId="32F99B46" w14:textId="59A4BB0F"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Особливу увагу слід звернути на статтю 33 Закону України "Про авторське право і суміжні права", яка передбачає право особливого роду (sui generis) на неоригінальний об'єкт, генерований комп'ютерною програмою. Згідно з цим положенням, об'єкт, що створюється в результаті функціонування комп'ютерної програми без безпосередньої участі людини, не підлягає авторсько-правовій охороні в класичному розумінні, оскільки відсутній творчий внесок фізичної особи. [1] Натомість для такого об'єкта передбачено спеціальний правовий режим. В українському законодавстві</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 xml:space="preserve">також існує Розпорядження Кабінету Міністрів України від 2 грудня 2020 р., яке визначає штучний інтелект як "організовану сукупність інформаційних технологій, із застосуванням якої можливо виконувати складні комплексні </w:t>
      </w:r>
      <w:r w:rsidRPr="00511005">
        <w:rPr>
          <w:rFonts w:ascii="Arial" w:eastAsia="Calibri" w:hAnsi="Arial" w:cs="Arial"/>
          <w:szCs w:val="28"/>
          <w:lang w:val="uk-UA" w:eastAsia="uk-UA"/>
        </w:rPr>
        <w:lastRenderedPageBreak/>
        <w:t>завдання шляхом використання системи наукових методів досліджень і алгоритмів обробки інформації, отриманої або самостійно створеної під час роботи, а також створювати та використовувати власні бази знань, моделі прийняття рішень, алгоритми роботи з інформацією та визначати способи досягнення поставлених завдань". [2] Таке визначення створює певне підґрунтя для подальшого розвитку спеціального законодавства у сфері регулювання ШІ.</w:t>
      </w:r>
    </w:p>
    <w:p w14:paraId="2CC6A8E5"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Отже, ефективне правове регулювання штучного інтелекту в Україні можливе лише за умови комплексного, системного та міждисциплінарного підходу. Це означає необхідність об’єднання зусиль державних інституцій, бізнес-середовища, юридичної спільноти, фахівців у сфері інформаційних технологій та науковців. Така співпраця повинна бути спрямована на створення правової моделі, яка відповідатиме як викликам сучасних технологій, так і основоположним правам людини. Вона має враховувати не лише технічні особливості ШІ, але й етичні стандарти, ризики, питання відповідальності та правової визначеності. У результаті цього процесу Україна зможе сформувати гнучке, збалансоване та перспективне законодавство, яке стимулюватиме інновації, забезпечуватиме міжнародну інтеграцію у сфері цифрових технологій і водночас гарантуватиме високий рівень правового захисту для суспільства в умовах розвитку штучного інтелекту.</w:t>
      </w:r>
    </w:p>
    <w:p w14:paraId="5C4A1236" w14:textId="77777777" w:rsidR="005F048D" w:rsidRPr="00511005" w:rsidRDefault="005F048D" w:rsidP="003A292D">
      <w:pPr>
        <w:spacing w:line="264" w:lineRule="auto"/>
        <w:rPr>
          <w:rFonts w:ascii="Arial" w:eastAsia="Calibri" w:hAnsi="Arial" w:cs="Arial"/>
          <w:szCs w:val="28"/>
          <w:lang w:val="uk-UA" w:eastAsia="uk-UA"/>
        </w:rPr>
      </w:pPr>
    </w:p>
    <w:p w14:paraId="20A9843A" w14:textId="71683FCC" w:rsidR="005F048D" w:rsidRPr="00511005" w:rsidRDefault="007B2628" w:rsidP="007B2628">
      <w:pPr>
        <w:spacing w:line="264" w:lineRule="auto"/>
        <w:ind w:firstLine="0"/>
        <w:jc w:val="center"/>
        <w:rPr>
          <w:rFonts w:ascii="Arial" w:eastAsia="Calibri" w:hAnsi="Arial" w:cs="Arial"/>
          <w:b/>
          <w:szCs w:val="28"/>
          <w:lang w:val="uk-UA" w:eastAsia="uk-UA"/>
        </w:rPr>
      </w:pPr>
      <w:r w:rsidRPr="00511005">
        <w:rPr>
          <w:rFonts w:ascii="Arial" w:eastAsia="Calibri" w:hAnsi="Arial" w:cs="Arial"/>
          <w:b/>
          <w:szCs w:val="28"/>
          <w:lang w:val="uk-UA" w:eastAsia="uk-UA"/>
        </w:rPr>
        <w:t>Список використаних джерел</w:t>
      </w:r>
    </w:p>
    <w:p w14:paraId="22425A0C"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1. Про авторське право і суміжні права : Закон України від 01.12.2022 № 2811-IX : станом на 15 листоп. 2024 р. URL: </w:t>
      </w:r>
      <w:hyperlink r:id="rId1324" w:anchor="Text" w:tgtFrame="_blank" w:history="1">
        <w:r w:rsidRPr="00511005">
          <w:rPr>
            <w:rFonts w:ascii="Arial" w:eastAsia="Calibri" w:hAnsi="Arial" w:cs="Arial"/>
            <w:szCs w:val="28"/>
            <w:lang w:val="uk-UA" w:eastAsia="uk-UA"/>
          </w:rPr>
          <w:t>https://zakon.rada.gov.ua/laws/show/2811-20#Text</w:t>
        </w:r>
      </w:hyperlink>
      <w:r w:rsidRPr="00511005">
        <w:rPr>
          <w:rFonts w:ascii="Arial" w:eastAsia="Calibri" w:hAnsi="Arial" w:cs="Arial"/>
          <w:szCs w:val="28"/>
          <w:lang w:val="uk-UA" w:eastAsia="uk-UA"/>
        </w:rPr>
        <w:t> </w:t>
      </w:r>
    </w:p>
    <w:p w14:paraId="668541F1"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2. Про схвалення Концепції розвитку штучного інтелекту в Україні : Розпорядж. Каб. Міністрів України від 02.12.2020 № 1556-р : станом на 29 груд. 2021 р. URL: </w:t>
      </w:r>
      <w:hyperlink r:id="rId1325" w:anchor="Text" w:tgtFrame="_blank" w:history="1">
        <w:r w:rsidRPr="00511005">
          <w:rPr>
            <w:rFonts w:ascii="Arial" w:eastAsia="Calibri" w:hAnsi="Arial" w:cs="Arial"/>
            <w:szCs w:val="28"/>
            <w:lang w:val="uk-UA" w:eastAsia="uk-UA"/>
          </w:rPr>
          <w:t>https://zakon.rada.gov.ua/laws/show/1556-2020-р#Text</w:t>
        </w:r>
      </w:hyperlink>
      <w:r w:rsidRPr="00511005">
        <w:rPr>
          <w:rFonts w:ascii="Arial" w:eastAsia="Calibri" w:hAnsi="Arial" w:cs="Arial"/>
          <w:szCs w:val="28"/>
          <w:lang w:val="uk-UA" w:eastAsia="uk-UA"/>
        </w:rPr>
        <w:t> </w:t>
      </w:r>
    </w:p>
    <w:p w14:paraId="213FB49C"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3. Беспалько, С. В. Правове регулювання діяльності зі створення і використання штучного інтелекту: український і зарубіжний досвід [Електронний ресурс] / С. В. Беспалько // Юридичний науковий електронний журнал. – 2024. – №5. – С. 239–242. – Режим доступу: http://www.lsej.org.ua/5_2024/44.pdf. –</w:t>
      </w:r>
    </w:p>
    <w:p w14:paraId="24009A64"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4. Штучний інтелект: правове регулювання в Україні та ЄС – Barbashyn Law Firm. </w:t>
      </w:r>
      <w:r w:rsidRPr="00511005">
        <w:rPr>
          <w:rFonts w:ascii="Arial" w:eastAsia="Calibri" w:hAnsi="Arial" w:cs="Arial"/>
          <w:i/>
          <w:iCs/>
          <w:szCs w:val="28"/>
          <w:lang w:val="uk-UA" w:eastAsia="uk-UA"/>
        </w:rPr>
        <w:t>Barbashyn Law Firm</w:t>
      </w:r>
      <w:r w:rsidRPr="00511005">
        <w:rPr>
          <w:rFonts w:ascii="Arial" w:eastAsia="Calibri" w:hAnsi="Arial" w:cs="Arial"/>
          <w:szCs w:val="28"/>
          <w:lang w:val="uk-UA" w:eastAsia="uk-UA"/>
        </w:rPr>
        <w:t>. URL: </w:t>
      </w:r>
      <w:hyperlink r:id="rId1326" w:tgtFrame="_blank" w:history="1">
        <w:r w:rsidRPr="00511005">
          <w:rPr>
            <w:rFonts w:ascii="Arial" w:eastAsia="Calibri" w:hAnsi="Arial" w:cs="Arial"/>
            <w:szCs w:val="28"/>
            <w:lang w:val="uk-UA" w:eastAsia="uk-UA"/>
          </w:rPr>
          <w:t>https://barbashyn.law/statti/shtuchnyj-intelekt-pravove-regulyuvannya-v-ukrayini-ta-yes/</w:t>
        </w:r>
      </w:hyperlink>
      <w:r w:rsidRPr="00511005">
        <w:rPr>
          <w:rFonts w:ascii="Arial" w:eastAsia="Calibri" w:hAnsi="Arial" w:cs="Arial"/>
          <w:szCs w:val="28"/>
          <w:lang w:val="uk-UA" w:eastAsia="uk-UA"/>
        </w:rPr>
        <w:t>.</w:t>
      </w:r>
    </w:p>
    <w:p w14:paraId="462FC060" w14:textId="77777777" w:rsidR="005F048D" w:rsidRPr="00511005" w:rsidRDefault="005F048D" w:rsidP="003A292D">
      <w:pPr>
        <w:spacing w:line="264" w:lineRule="auto"/>
        <w:rPr>
          <w:rFonts w:ascii="Arial" w:eastAsia="Calibri" w:hAnsi="Arial" w:cs="Arial"/>
          <w:b/>
          <w:szCs w:val="28"/>
          <w:lang w:val="uk-UA" w:eastAsia="uk-UA"/>
        </w:rPr>
      </w:pPr>
    </w:p>
    <w:p w14:paraId="30F3F8BE" w14:textId="6ECA5132" w:rsidR="005F048D" w:rsidRPr="00511005" w:rsidRDefault="007B2628" w:rsidP="003A292D">
      <w:pPr>
        <w:spacing w:line="264" w:lineRule="auto"/>
        <w:rPr>
          <w:rFonts w:ascii="Arial" w:eastAsia="Calibri" w:hAnsi="Arial" w:cs="Arial"/>
          <w:szCs w:val="28"/>
          <w:lang w:val="uk-UA" w:eastAsia="uk-UA"/>
        </w:rPr>
      </w:pPr>
      <w:r w:rsidRPr="00511005">
        <w:rPr>
          <w:rFonts w:ascii="Arial" w:eastAsia="Calibri" w:hAnsi="Arial" w:cs="Arial"/>
          <w:b/>
          <w:i/>
          <w:szCs w:val="28"/>
          <w:lang w:val="uk-UA" w:eastAsia="uk-UA"/>
        </w:rPr>
        <w:t xml:space="preserve">Ключові слова: </w:t>
      </w:r>
      <w:r w:rsidR="005F048D" w:rsidRPr="00511005">
        <w:rPr>
          <w:rFonts w:ascii="Arial" w:eastAsia="Calibri" w:hAnsi="Arial" w:cs="Arial"/>
          <w:szCs w:val="28"/>
          <w:lang w:val="uk-UA" w:eastAsia="uk-UA"/>
        </w:rPr>
        <w:t>штучний інтелект, інтелектуальна власність, авторське право, правове регулювання, цифрові технології.</w:t>
      </w:r>
    </w:p>
    <w:p w14:paraId="1A9A7102" w14:textId="78FD5111"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Calibri" w:hAnsi="Arial" w:cs="Arial"/>
          <w:b/>
          <w:i/>
          <w:szCs w:val="28"/>
          <w:lang w:val="uk-UA" w:eastAsia="uk-UA"/>
        </w:rPr>
        <w:t xml:space="preserve">Key words: </w:t>
      </w:r>
      <w:r w:rsidR="005F048D" w:rsidRPr="00511005">
        <w:rPr>
          <w:rFonts w:ascii="Arial" w:eastAsia="Times New Roman" w:hAnsi="Arial" w:cs="Arial"/>
          <w:szCs w:val="28"/>
          <w:lang w:val="uk-UA" w:eastAsia="uk-UA"/>
        </w:rPr>
        <w:t>artificial intelligence, intellectual property, copyright, legal regulation, digital technologies.</w:t>
      </w:r>
    </w:p>
    <w:p w14:paraId="31EE275A" w14:textId="6E6F035A" w:rsidR="005F048D" w:rsidRPr="00511005" w:rsidRDefault="007B2628" w:rsidP="003A292D">
      <w:pPr>
        <w:spacing w:line="264" w:lineRule="auto"/>
        <w:ind w:firstLine="720"/>
        <w:rPr>
          <w:rFonts w:ascii="Arial" w:eastAsia="Calibri" w:hAnsi="Arial" w:cs="Arial"/>
          <w:b/>
          <w:bCs/>
          <w:i/>
          <w:iCs/>
          <w:szCs w:val="28"/>
          <w:lang w:val="uk-UA" w:eastAsia="uk-UA"/>
        </w:rPr>
      </w:pPr>
      <w:r w:rsidRPr="00511005">
        <w:rPr>
          <w:rFonts w:ascii="Arial" w:eastAsia="Calibri" w:hAnsi="Arial" w:cs="Arial"/>
          <w:b/>
          <w:i/>
          <w:iCs/>
          <w:szCs w:val="28"/>
          <w:lang w:val="uk-UA" w:eastAsia="uk-UA"/>
        </w:rPr>
        <w:lastRenderedPageBreak/>
        <w:t xml:space="preserve">Науковий керівник: </w:t>
      </w:r>
      <w:r w:rsidR="005F048D" w:rsidRPr="00511005">
        <w:rPr>
          <w:rFonts w:ascii="Arial" w:eastAsia="Calibri" w:hAnsi="Arial" w:cs="Arial"/>
          <w:i/>
          <w:iCs/>
          <w:szCs w:val="28"/>
          <w:lang w:val="uk-UA" w:eastAsia="uk-UA"/>
        </w:rPr>
        <w:t xml:space="preserve">к.ю.н., </w:t>
      </w:r>
      <w:r w:rsidR="005F048D" w:rsidRPr="00511005">
        <w:rPr>
          <w:rFonts w:ascii="Arial" w:eastAsia="Times New Roman" w:hAnsi="Arial" w:cs="Arial"/>
          <w:i/>
          <w:szCs w:val="28"/>
          <w:lang w:val="uk-UA" w:eastAsia="uk-UA"/>
        </w:rPr>
        <w:t xml:space="preserve">доцент </w:t>
      </w:r>
      <w:r w:rsidR="005F048D" w:rsidRPr="00511005">
        <w:rPr>
          <w:rFonts w:ascii="Arial" w:eastAsia="Calibri" w:hAnsi="Arial" w:cs="Arial"/>
          <w:i/>
          <w:iCs/>
          <w:szCs w:val="28"/>
          <w:lang w:val="uk-UA" w:eastAsia="uk-UA"/>
        </w:rPr>
        <w:t>Мазуренко С.В.</w:t>
      </w:r>
    </w:p>
    <w:p w14:paraId="1868886E" w14:textId="77777777" w:rsidR="005F048D" w:rsidRPr="00511005" w:rsidRDefault="005F048D" w:rsidP="003A292D">
      <w:pPr>
        <w:pBdr>
          <w:top w:val="nil"/>
          <w:left w:val="nil"/>
          <w:bottom w:val="nil"/>
          <w:right w:val="nil"/>
          <w:between w:val="nil"/>
        </w:pBdr>
        <w:spacing w:line="264" w:lineRule="auto"/>
        <w:rPr>
          <w:rFonts w:ascii="Arial" w:eastAsia="Times New Roman" w:hAnsi="Arial" w:cs="Arial"/>
          <w:i/>
          <w:szCs w:val="28"/>
          <w:lang w:val="uk-UA" w:eastAsia="uk-UA"/>
        </w:rPr>
      </w:pPr>
    </w:p>
    <w:p w14:paraId="7D46AA8A" w14:textId="77777777" w:rsidR="005F048D" w:rsidRPr="00511005" w:rsidRDefault="005F048D" w:rsidP="003A292D">
      <w:pPr>
        <w:spacing w:line="264" w:lineRule="auto"/>
        <w:ind w:firstLine="0"/>
        <w:jc w:val="center"/>
        <w:rPr>
          <w:rFonts w:ascii="Arial" w:eastAsia="Calibri" w:hAnsi="Arial" w:cs="Arial"/>
          <w:b/>
          <w:bCs/>
          <w:i/>
          <w:iCs/>
          <w:szCs w:val="28"/>
          <w:lang w:val="uk-UA" w:eastAsia="uk-UA"/>
        </w:rPr>
      </w:pPr>
      <w:r w:rsidRPr="00511005">
        <w:rPr>
          <w:rFonts w:ascii="Arial" w:eastAsia="Calibri" w:hAnsi="Arial" w:cs="Arial"/>
          <w:b/>
          <w:bCs/>
          <w:i/>
          <w:iCs/>
          <w:szCs w:val="28"/>
          <w:lang w:val="uk-UA" w:eastAsia="uk-UA"/>
        </w:rPr>
        <w:t>Левшина Єлизавета</w:t>
      </w:r>
    </w:p>
    <w:p w14:paraId="1B097462" w14:textId="3E34B46A" w:rsidR="005F048D" w:rsidRPr="00511005" w:rsidRDefault="00536AAB" w:rsidP="003A292D">
      <w:pPr>
        <w:spacing w:line="264" w:lineRule="auto"/>
        <w:ind w:firstLine="0"/>
        <w:jc w:val="center"/>
        <w:rPr>
          <w:rFonts w:ascii="Arial" w:eastAsia="Calibri" w:hAnsi="Arial" w:cs="Arial"/>
          <w:szCs w:val="28"/>
          <w:lang w:val="uk-UA" w:eastAsia="uk-UA"/>
        </w:rPr>
      </w:pPr>
      <w:r w:rsidRPr="00511005">
        <w:rPr>
          <w:rFonts w:ascii="Arial" w:eastAsia="Calibri" w:hAnsi="Arial" w:cs="Arial"/>
          <w:szCs w:val="28"/>
          <w:lang w:val="uk-UA" w:eastAsia="uk-UA"/>
        </w:rPr>
        <w:t xml:space="preserve">студентка 4-го курсу </w:t>
      </w:r>
      <w:r w:rsidR="007B2628" w:rsidRPr="00511005">
        <w:rPr>
          <w:rFonts w:ascii="Arial" w:eastAsia="Calibri" w:hAnsi="Arial" w:cs="Arial"/>
          <w:szCs w:val="28"/>
          <w:lang w:val="uk-UA" w:eastAsia="uk-UA"/>
        </w:rPr>
        <w:t>факультету цивільної та господарської юстиції</w:t>
      </w:r>
      <w:r w:rsidR="005F048D" w:rsidRPr="00511005">
        <w:rPr>
          <w:rFonts w:ascii="Arial" w:eastAsia="Calibri" w:hAnsi="Arial" w:cs="Arial"/>
          <w:szCs w:val="28"/>
          <w:lang w:val="uk-UA" w:eastAsia="uk-UA"/>
        </w:rPr>
        <w:t xml:space="preserve"> </w:t>
      </w:r>
    </w:p>
    <w:p w14:paraId="54C29E01" w14:textId="4CF06999" w:rsidR="005F048D" w:rsidRPr="00511005" w:rsidRDefault="007B2628" w:rsidP="003A292D">
      <w:pPr>
        <w:spacing w:line="264" w:lineRule="auto"/>
        <w:ind w:firstLine="0"/>
        <w:jc w:val="center"/>
        <w:rPr>
          <w:rFonts w:ascii="Arial" w:eastAsia="Calibri" w:hAnsi="Arial" w:cs="Arial"/>
          <w:szCs w:val="28"/>
          <w:lang w:val="uk-UA" w:eastAsia="uk-UA"/>
        </w:rPr>
      </w:pPr>
      <w:r w:rsidRPr="00511005">
        <w:rPr>
          <w:rFonts w:ascii="Arial" w:eastAsia="Calibri" w:hAnsi="Arial" w:cs="Arial"/>
          <w:szCs w:val="28"/>
          <w:lang w:val="uk-UA" w:eastAsia="uk-UA"/>
        </w:rPr>
        <w:t>Національного університету «Одеська юридична академія»</w:t>
      </w:r>
    </w:p>
    <w:p w14:paraId="4934745D" w14:textId="77777777" w:rsidR="005F048D" w:rsidRPr="00511005" w:rsidRDefault="005F048D" w:rsidP="003A292D">
      <w:pPr>
        <w:spacing w:line="264" w:lineRule="auto"/>
        <w:ind w:firstLine="0"/>
        <w:jc w:val="center"/>
        <w:rPr>
          <w:rFonts w:ascii="Arial" w:eastAsia="Calibri" w:hAnsi="Arial" w:cs="Arial"/>
          <w:b/>
          <w:bCs/>
          <w:szCs w:val="28"/>
          <w:lang w:val="uk-UA" w:eastAsia="uk-UA"/>
        </w:rPr>
      </w:pPr>
    </w:p>
    <w:p w14:paraId="7C60F21E" w14:textId="77777777" w:rsidR="005F048D" w:rsidRPr="00511005" w:rsidRDefault="005F048D" w:rsidP="003A292D">
      <w:pPr>
        <w:spacing w:line="264" w:lineRule="auto"/>
        <w:ind w:firstLine="0"/>
        <w:jc w:val="center"/>
        <w:rPr>
          <w:rFonts w:ascii="Arial" w:eastAsia="Calibri" w:hAnsi="Arial" w:cs="Arial"/>
          <w:b/>
          <w:bCs/>
          <w:szCs w:val="28"/>
          <w:lang w:val="uk-UA" w:eastAsia="uk-UA"/>
        </w:rPr>
      </w:pPr>
      <w:r w:rsidRPr="00511005">
        <w:rPr>
          <w:rFonts w:ascii="Arial" w:eastAsia="Calibri" w:hAnsi="Arial" w:cs="Arial"/>
          <w:b/>
          <w:bCs/>
          <w:szCs w:val="28"/>
          <w:lang w:val="uk-UA" w:eastAsia="uk-UA"/>
        </w:rPr>
        <w:t>АВТОРСЬКЕ ПРАВО В ЖУРНАЛІСТИЦІ: МЕЖІ ДОЗВОЛЕНОГО ПРИ ВИКОРИСТАННІ ЧУЖИХ МАТЕРІАЛІВ</w:t>
      </w:r>
    </w:p>
    <w:p w14:paraId="2E355D0A"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Авторське право як частина медіаправа регулює ці тонкі аспекти взаємодії між творчістю, публічністю та правом власності на інформацію. Його головною метою є забезпечення балансу між правами автора на свій твір та правом суспільства на доступ до інформації. Журналісти, як посередники між джерелами інформації та громадськістю, часто змушені діяти в умовах цього делікатного балансу, де кожна неточність або нехтування юридичними нормами може мати серйозні наслідки — як репутаційні, так і правові.</w:t>
      </w:r>
    </w:p>
    <w:p w14:paraId="503F111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У цьому контексті особливо важливо розуміти різницю між цитуванням, плагіатом, трансформацією твору, правом на пародію або рецензію, а також принципами добросовісного використання. Законодавство України, як і міжнародні нормативно-правові акти, визначає чіткі правила, що стосуються авторських прав у журналістиці, проте в реальній практиці часто виникають спірні ситуації, які потребують глибшого аналізу.</w:t>
      </w:r>
    </w:p>
    <w:p w14:paraId="1E7F6BA3"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Основним документом, що регулює авторське право, є Закон України «Про авторське право і суміжні права». Цей закон визначає, які об'єкти охороняються авторським правом, зокрема тексти, фотографії, відео, аудіоматеріали, комп’ютерні програми, журналістські матеріали тощо. Автору надаються як майнові, так і немайнові права, які гарантують можливість контролю над використанням створеного ним твору. Закон також передбачає окремі випадки вільного використання творів без дозволу автора, зокрема у формах цитування чи ілюстрації для навчальних та наукових цілей, а також для інформаційних потреб, однак такі винятки чітко обмежуються умовами: обсягом цитати, її метою, обов’язковим зазначенням імені автора та джерела запозичення. Зокрема, стаття 21 цього закону прямо дозволяє цитування в межах, виправданих метою, проте лише за дотримання всіх необхідних умов, які забезпечують повагу до прав автора.</w:t>
      </w:r>
    </w:p>
    <w:p w14:paraId="1950FC3F"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Паралельно з цим, питання доступу до інформації та її поширення регулюється Законом України «Про інформацію», який закріплює право кожного громадянина на отримання і поширення інформації, а також принципи відкритості та об'єктивності. Водночас цей закон чітко зазначає, що реалізація права на інформацію не повинна порушувати авторських прав. Таким чином, закон встановлює баланс між суспільним правом на інформацію і правом автора на захист результатів своєї творчої діяльності.</w:t>
      </w:r>
    </w:p>
    <w:p w14:paraId="52E9C0EC"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lastRenderedPageBreak/>
        <w:t>Цивільний кодекс України також містить спеціальні положення щодо права інтелектуальної власності, зокрема у главі 36, де йдеться про права авторів, порядок укладання ліцензійних договорів, способи захисту у випадку порушення, а також відповідальність порушників. Ці положення дають змогу авторам звертатися до суду з вимогами про припинення незаконного використання їхніх творів, стягнення компенсації, публічне визнання авторства, а в разі наявності суттєвої шкоди — притягнення до кримінальної відповідальності.</w:t>
      </w:r>
    </w:p>
    <w:p w14:paraId="6C9AF4E0"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Кримінальний кодекс України передбачає відповідальність за умисне порушення авторського права, якщо такі дії завдали значної матеріальної шкоди. Стаття 176 прямо вказує, що незаконне відтворення, розповсюдження чи інше використання об’єктів авторського права, вчинене з метою отримання прибутку або заподіяння шкоди, карається штрафом, обмеженням волі або навіть позбавленням волі залежно від обставин справи.</w:t>
      </w:r>
    </w:p>
    <w:p w14:paraId="0FB118BC"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Україна також є учасницею міжнародних угод у сфері авторського права, таких як Бернська конвенція про охорону літературних і художніх творів, Всесвітня конвенція про авторське право, Угода про торговельні аспекти прав інтелектуальної власності (ТРІПС), а також Договір Всесвітньої організації інтелектуальної власності про авторське право. Ці міжнародні документи мають вищу юридичну силу в разі колізії з національним законодавством і забезпечують захист авторських прав не лише на території України, а й за її межами.</w:t>
      </w:r>
    </w:p>
    <w:p w14:paraId="180E9261"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Таким чином, українське законодавство створює досить чітку й комплексну правову базу для регулювання авторських прав у журналістській діяльності. Утім, на практиці журналісти часто стикаються з викликами, пов’язаними з недостатнім розумінням меж допустимого використання чужих творів, відсутністю ліцензійних договорів або ігноруванням необхідності зазначення авторства. Саме тому правова обізнаність журналіста у сфері медіаправа й авторського права є запорукою не лише законної, а й етичної професійної діяльності.</w:t>
      </w:r>
    </w:p>
    <w:p w14:paraId="021261EB"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У світовій практиці прикладів порушень авторських прав у журналістиці ще більше. Один з найвідоміших — справа між британським виданням Daily Mail і агентством Associated Press, коли газета незаконно опублікувала серію фотографій, зроблених фотографом AP у зоні військових дій. В результаті суд зобов’язав Daily Mail виплатити значну компенсацію. Інший приклад — у США журналістський сайт BuzzFeed був притягнутий до відповідальності за незаконне використання фотографій з Instagram без погодження з авторами.</w:t>
      </w:r>
    </w:p>
    <w:p w14:paraId="16431D36"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 xml:space="preserve">У медіаіндустрії плагіат, копіювання без згоди, або неправильне посилання на джерело можуть не лише завдати шкоди репутації ЗМІ, але й стати підставою для судових позовів, штрафів або кримінальної </w:t>
      </w:r>
      <w:r w:rsidRPr="00511005">
        <w:rPr>
          <w:rFonts w:ascii="Arial" w:eastAsia="Calibri" w:hAnsi="Arial" w:cs="Arial"/>
          <w:szCs w:val="28"/>
          <w:lang w:val="uk-UA" w:eastAsia="uk-UA"/>
        </w:rPr>
        <w:lastRenderedPageBreak/>
        <w:t>відповідальності. У цифрову епоху, коли копіювання стало надзвичайно простим, а поширення миттєвим, журналісти мають не лише створювати якісний контент, а й дотримуватися високих стандартів правової культури. Авторське право — це не лише закон, це також повага до праці колег, до творчості, до інформаційної етики.</w:t>
      </w:r>
    </w:p>
    <w:p w14:paraId="27C453DF"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У журналістиці часто використовуються фото- та відеоматеріали. Особливо уважно треба ставитись до використання фотографій, знайдених у відкритому доступі — наприклад, у соцмережах чи Google Images. Те, що зображення є в інтернеті, не означає, що ним можна вільно користуватися. Навпаки, навіть аматорські фотографії, опубліковані в Instagram, Twitter або Facebook, охороняються авторським правом. Для їх використання слід отримати письмовий дозвіл від автора або переконатися, що зображення має відкриту ліцензію, наприклад Creative Commons, із зазначенням дозволених умов використання.</w:t>
      </w:r>
    </w:p>
    <w:p w14:paraId="31D265C8"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Аналогічні правила діють і щодо відео: фрагменти з YouTube чи TikTok не можна без дозволу вставляти у журналістські сюжети або репортажі, якщо це не підпадає під винятки — наприклад, якщо використання фрагменту є новинною необхідністю або має інформативну мету й не шкодить інтересам автора.</w:t>
      </w:r>
    </w:p>
    <w:p w14:paraId="6F978657"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Для уникнення порушень журналісти повинні користуватися легальними джерелами — офіційними пресрелізами, базами відкритих даних, ліцензованими банками фотографій (наприклад, Unsplash або Pexels), а також перевіряти правовий статус кожного матеріалу перед його використанням. Деякі редакції створюють спеціальні пам’ятки або внутрішні інструкції, в яких детально описано, як поводитися з авторським контентом.</w:t>
      </w:r>
    </w:p>
    <w:p w14:paraId="2309ABE5" w14:textId="77777777" w:rsidR="005F048D" w:rsidRPr="00511005" w:rsidRDefault="005F048D" w:rsidP="003A292D">
      <w:pPr>
        <w:spacing w:line="264" w:lineRule="auto"/>
        <w:ind w:firstLine="720"/>
        <w:rPr>
          <w:rFonts w:ascii="Arial" w:eastAsia="Calibri" w:hAnsi="Arial" w:cs="Arial"/>
          <w:szCs w:val="28"/>
          <w:lang w:val="uk-UA" w:eastAsia="uk-UA"/>
        </w:rPr>
      </w:pPr>
    </w:p>
    <w:p w14:paraId="4514466F" w14:textId="72A4FF03" w:rsidR="005F048D" w:rsidRPr="00511005" w:rsidRDefault="007B2628" w:rsidP="007B2628">
      <w:pPr>
        <w:spacing w:line="264" w:lineRule="auto"/>
        <w:ind w:firstLine="0"/>
        <w:jc w:val="center"/>
        <w:rPr>
          <w:rFonts w:ascii="Arial" w:eastAsia="Calibri" w:hAnsi="Arial" w:cs="Arial"/>
          <w:b/>
          <w:bCs/>
          <w:szCs w:val="28"/>
          <w:lang w:val="uk-UA" w:eastAsia="uk-UA"/>
        </w:rPr>
      </w:pPr>
      <w:r w:rsidRPr="00511005">
        <w:rPr>
          <w:rFonts w:ascii="Arial" w:eastAsia="Calibri" w:hAnsi="Arial" w:cs="Arial"/>
          <w:b/>
          <w:bCs/>
          <w:szCs w:val="28"/>
          <w:lang w:val="uk-UA" w:eastAsia="uk-UA"/>
        </w:rPr>
        <w:t>Список використаних джерел</w:t>
      </w:r>
    </w:p>
    <w:p w14:paraId="35DEECC9"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1. Цивільний кодекс України: Закон України від 16 січня 2003 р. № 435-IV. Відомості Верховної Ради України. 2003. № 40–44. Ст. 356. URL: https://zakon.rada.gov.ua/laws/show/435-15#Text</w:t>
      </w:r>
    </w:p>
    <w:p w14:paraId="442EBA67"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2. Кримінальний кодекс України: Закон України від 5 квітня 2001 р. № 2341-III. Відомості Верховної Ради України. 2001. № 25–26. Ст. 131. URL: https://zakon.rada.gov.ua/laws/show/2341-14#Text</w:t>
      </w:r>
    </w:p>
    <w:p w14:paraId="4FB1E406" w14:textId="35397354"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3. Закон України «Про авторське право і суміжні права» від 23.12.1993 № 3792-XII (в редакції 2022 р.).</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URL: https://zakon.rada.gov.ua/laws/show/3792-12#Text</w:t>
      </w:r>
    </w:p>
    <w:p w14:paraId="76859584"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4. Закон України «Про інформацію» від 02.10.1992 № 2657-XII. URL: https://zakon.rada.gov.ua/laws/show/2657-12#Text</w:t>
      </w:r>
    </w:p>
    <w:p w14:paraId="7DC5D2E6" w14:textId="395102DF"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6. Бернська конвенція про охорону літературних і художніх творів (у редакції 1971 р.).</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URL: https://zakon.rada.gov.ua/laws/show/995_051#Text</w:t>
      </w:r>
    </w:p>
    <w:p w14:paraId="2938BBC4" w14:textId="77777777" w:rsidR="005F048D" w:rsidRPr="00511005" w:rsidRDefault="005F048D" w:rsidP="003A292D">
      <w:pPr>
        <w:spacing w:line="264" w:lineRule="auto"/>
        <w:ind w:firstLine="720"/>
        <w:rPr>
          <w:rFonts w:ascii="Arial" w:eastAsia="Calibri" w:hAnsi="Arial" w:cs="Arial"/>
          <w:szCs w:val="28"/>
          <w:lang w:val="uk-UA" w:eastAsia="uk-UA"/>
        </w:rPr>
      </w:pPr>
      <w:r w:rsidRPr="00511005">
        <w:rPr>
          <w:rFonts w:ascii="Arial" w:eastAsia="Calibri" w:hAnsi="Arial" w:cs="Arial"/>
          <w:szCs w:val="28"/>
          <w:lang w:val="uk-UA" w:eastAsia="uk-UA"/>
        </w:rPr>
        <w:t>8. Коваль О. О. Авторське право в мас-медіа: основи, проблеми, відповідальність. Київ: Центр учбової літератури, 2021. 196 с.</w:t>
      </w:r>
    </w:p>
    <w:p w14:paraId="00880B93" w14:textId="77777777" w:rsidR="005F048D" w:rsidRPr="00511005" w:rsidRDefault="005F048D" w:rsidP="003A292D">
      <w:pPr>
        <w:spacing w:line="264" w:lineRule="auto"/>
        <w:ind w:firstLine="720"/>
        <w:rPr>
          <w:rFonts w:ascii="Arial" w:eastAsia="Calibri" w:hAnsi="Arial" w:cs="Arial"/>
          <w:b/>
          <w:bCs/>
          <w:i/>
          <w:iCs/>
          <w:szCs w:val="28"/>
          <w:lang w:val="uk-UA" w:eastAsia="uk-UA"/>
        </w:rPr>
      </w:pPr>
    </w:p>
    <w:p w14:paraId="7E30B0CF" w14:textId="42079396" w:rsidR="005F048D" w:rsidRPr="00511005" w:rsidRDefault="007B2628" w:rsidP="003A292D">
      <w:pPr>
        <w:spacing w:line="264" w:lineRule="auto"/>
        <w:ind w:firstLine="720"/>
        <w:rPr>
          <w:rFonts w:ascii="Arial" w:eastAsia="Calibri" w:hAnsi="Arial" w:cs="Arial"/>
          <w:i/>
          <w:iCs/>
          <w:szCs w:val="28"/>
          <w:lang w:val="uk-UA" w:eastAsia="uk-UA"/>
        </w:rPr>
      </w:pPr>
      <w:r w:rsidRPr="00511005">
        <w:rPr>
          <w:rFonts w:ascii="Arial" w:eastAsia="Calibri" w:hAnsi="Arial" w:cs="Arial"/>
          <w:b/>
          <w:bCs/>
          <w:i/>
          <w:iCs/>
          <w:szCs w:val="28"/>
          <w:lang w:val="uk-UA" w:eastAsia="uk-UA"/>
        </w:rPr>
        <w:t xml:space="preserve">Ключові слова: </w:t>
      </w:r>
      <w:r w:rsidR="005F048D" w:rsidRPr="00511005">
        <w:rPr>
          <w:rFonts w:ascii="Arial" w:eastAsia="Calibri" w:hAnsi="Arial" w:cs="Arial"/>
          <w:i/>
          <w:iCs/>
          <w:szCs w:val="28"/>
          <w:lang w:val="uk-UA" w:eastAsia="uk-UA"/>
        </w:rPr>
        <w:t>авторське право, журналістика, право інтелектуальної власності, плагіат;</w:t>
      </w:r>
    </w:p>
    <w:p w14:paraId="2CFBEE10" w14:textId="6161AEA7" w:rsidR="005F048D" w:rsidRPr="00511005" w:rsidRDefault="007B2628" w:rsidP="003A292D">
      <w:pPr>
        <w:spacing w:line="264" w:lineRule="auto"/>
        <w:ind w:firstLine="720"/>
        <w:rPr>
          <w:rFonts w:ascii="Arial" w:eastAsia="Calibri" w:hAnsi="Arial" w:cs="Arial"/>
          <w:i/>
          <w:iCs/>
          <w:szCs w:val="28"/>
          <w:lang w:val="uk-UA" w:eastAsia="uk-UA"/>
        </w:rPr>
      </w:pPr>
      <w:r w:rsidRPr="00511005">
        <w:rPr>
          <w:rFonts w:ascii="Arial" w:eastAsia="Calibri" w:hAnsi="Arial" w:cs="Arial"/>
          <w:b/>
          <w:bCs/>
          <w:i/>
          <w:iCs/>
          <w:szCs w:val="28"/>
          <w:lang w:val="uk-UA" w:eastAsia="uk-UA"/>
        </w:rPr>
        <w:t xml:space="preserve">Key words: </w:t>
      </w:r>
      <w:r w:rsidR="005F048D" w:rsidRPr="00511005">
        <w:rPr>
          <w:rFonts w:ascii="Arial" w:eastAsia="Calibri" w:hAnsi="Arial" w:cs="Arial"/>
          <w:i/>
          <w:iCs/>
          <w:szCs w:val="28"/>
          <w:lang w:val="uk-UA" w:eastAsia="uk-UA"/>
        </w:rPr>
        <w:t>copyright, journalism, intellectual property law, plagiarism.</w:t>
      </w:r>
    </w:p>
    <w:p w14:paraId="57E89A60" w14:textId="33E08390" w:rsidR="005F048D" w:rsidRPr="00511005" w:rsidRDefault="007B2628" w:rsidP="003A292D">
      <w:pPr>
        <w:spacing w:line="264" w:lineRule="auto"/>
        <w:ind w:firstLine="720"/>
        <w:rPr>
          <w:rFonts w:ascii="Arial" w:eastAsia="Calibri" w:hAnsi="Arial" w:cs="Arial"/>
          <w:b/>
          <w:bCs/>
          <w:i/>
          <w:iCs/>
          <w:szCs w:val="28"/>
          <w:lang w:val="uk-UA" w:eastAsia="uk-UA"/>
        </w:rPr>
      </w:pPr>
      <w:r w:rsidRPr="00511005">
        <w:rPr>
          <w:rFonts w:ascii="Arial" w:eastAsia="Calibri" w:hAnsi="Arial" w:cs="Arial"/>
          <w:b/>
          <w:i/>
          <w:iCs/>
          <w:szCs w:val="28"/>
          <w:lang w:val="uk-UA" w:eastAsia="uk-UA"/>
        </w:rPr>
        <w:t xml:space="preserve">Науковий керівник: </w:t>
      </w:r>
      <w:r w:rsidR="005F048D" w:rsidRPr="00511005">
        <w:rPr>
          <w:rFonts w:ascii="Arial" w:eastAsia="Calibri" w:hAnsi="Arial" w:cs="Arial"/>
          <w:i/>
          <w:iCs/>
          <w:szCs w:val="28"/>
          <w:lang w:val="uk-UA" w:eastAsia="uk-UA"/>
        </w:rPr>
        <w:t xml:space="preserve">к.ю.н., </w:t>
      </w:r>
      <w:r w:rsidR="005F048D" w:rsidRPr="00511005">
        <w:rPr>
          <w:rFonts w:ascii="Arial" w:eastAsia="Times New Roman" w:hAnsi="Arial" w:cs="Arial"/>
          <w:i/>
          <w:szCs w:val="28"/>
          <w:lang w:val="uk-UA" w:eastAsia="uk-UA"/>
        </w:rPr>
        <w:t xml:space="preserve">доцент </w:t>
      </w:r>
      <w:r w:rsidR="005F048D" w:rsidRPr="00511005">
        <w:rPr>
          <w:rFonts w:ascii="Arial" w:eastAsia="Calibri" w:hAnsi="Arial" w:cs="Arial"/>
          <w:i/>
          <w:iCs/>
          <w:szCs w:val="28"/>
          <w:lang w:val="uk-UA" w:eastAsia="uk-UA"/>
        </w:rPr>
        <w:t>Мазуренко С.В.</w:t>
      </w:r>
    </w:p>
    <w:p w14:paraId="1177486B" w14:textId="77777777" w:rsidR="005F048D" w:rsidRPr="00511005" w:rsidRDefault="005F048D" w:rsidP="003A292D">
      <w:pPr>
        <w:pBdr>
          <w:top w:val="nil"/>
          <w:left w:val="nil"/>
          <w:bottom w:val="nil"/>
          <w:right w:val="nil"/>
          <w:between w:val="nil"/>
        </w:pBdr>
        <w:spacing w:line="264" w:lineRule="auto"/>
        <w:rPr>
          <w:rFonts w:ascii="Arial" w:eastAsia="Times New Roman" w:hAnsi="Arial" w:cs="Arial"/>
          <w:i/>
          <w:szCs w:val="28"/>
          <w:lang w:val="uk-UA" w:eastAsia="uk-UA"/>
        </w:rPr>
      </w:pPr>
    </w:p>
    <w:p w14:paraId="2821E7CC" w14:textId="77777777" w:rsidR="005F048D" w:rsidRPr="00511005" w:rsidRDefault="005F048D" w:rsidP="003A292D">
      <w:pPr>
        <w:spacing w:line="264" w:lineRule="auto"/>
        <w:ind w:firstLine="0"/>
        <w:jc w:val="center"/>
        <w:rPr>
          <w:rFonts w:ascii="Arial" w:eastAsia="Calibri" w:hAnsi="Arial" w:cs="Arial"/>
          <w:b/>
          <w:i/>
          <w:noProof/>
          <w:szCs w:val="28"/>
          <w:lang w:val="uk-UA" w:eastAsia="uk-UA"/>
        </w:rPr>
      </w:pPr>
      <w:r w:rsidRPr="00511005">
        <w:rPr>
          <w:rFonts w:ascii="Arial" w:eastAsia="Calibri" w:hAnsi="Arial" w:cs="Arial"/>
          <w:b/>
          <w:i/>
          <w:noProof/>
          <w:szCs w:val="28"/>
          <w:lang w:val="uk-UA" w:eastAsia="uk-UA"/>
        </w:rPr>
        <w:t>Лошовська Анастасія Едуардівна</w:t>
      </w:r>
    </w:p>
    <w:p w14:paraId="37C6360E" w14:textId="44B20843" w:rsidR="005F048D" w:rsidRPr="00511005" w:rsidRDefault="00536AAB" w:rsidP="003A292D">
      <w:pPr>
        <w:spacing w:line="264" w:lineRule="auto"/>
        <w:ind w:firstLine="0"/>
        <w:jc w:val="center"/>
        <w:rPr>
          <w:rFonts w:ascii="Arial" w:eastAsia="Calibri" w:hAnsi="Arial" w:cs="Arial"/>
          <w:noProof/>
          <w:szCs w:val="28"/>
          <w:lang w:val="uk-UA" w:eastAsia="uk-UA"/>
        </w:rPr>
      </w:pPr>
      <w:r w:rsidRPr="00511005">
        <w:rPr>
          <w:rFonts w:ascii="Arial" w:eastAsia="Calibri" w:hAnsi="Arial" w:cs="Arial"/>
          <w:noProof/>
          <w:szCs w:val="28"/>
          <w:lang w:val="uk-UA" w:eastAsia="uk-UA"/>
        </w:rPr>
        <w:t xml:space="preserve">студентка 4-го курсу </w:t>
      </w:r>
      <w:r w:rsidR="007B2628" w:rsidRPr="00511005">
        <w:rPr>
          <w:rFonts w:ascii="Arial" w:eastAsia="Calibri" w:hAnsi="Arial" w:cs="Arial"/>
          <w:noProof/>
          <w:szCs w:val="28"/>
          <w:lang w:val="uk-UA" w:eastAsia="uk-UA"/>
        </w:rPr>
        <w:t>факультету цивільної та господарської юстиції</w:t>
      </w:r>
      <w:r w:rsidR="005F048D" w:rsidRPr="00511005">
        <w:rPr>
          <w:rFonts w:ascii="Arial" w:eastAsia="Calibri" w:hAnsi="Arial" w:cs="Arial"/>
          <w:noProof/>
          <w:szCs w:val="28"/>
          <w:lang w:val="uk-UA" w:eastAsia="uk-UA"/>
        </w:rPr>
        <w:br/>
      </w:r>
      <w:r w:rsidR="007B2628" w:rsidRPr="00511005">
        <w:rPr>
          <w:rFonts w:ascii="Arial" w:eastAsia="Calibri" w:hAnsi="Arial" w:cs="Arial"/>
          <w:noProof/>
          <w:szCs w:val="28"/>
          <w:lang w:val="uk-UA" w:eastAsia="uk-UA"/>
        </w:rPr>
        <w:t>Національного університету «Одеська юридична академія»</w:t>
      </w:r>
    </w:p>
    <w:p w14:paraId="4A1492B9" w14:textId="77777777" w:rsidR="005F048D" w:rsidRPr="00511005" w:rsidRDefault="005F048D" w:rsidP="003A292D">
      <w:pPr>
        <w:spacing w:line="264" w:lineRule="auto"/>
        <w:ind w:firstLine="0"/>
        <w:jc w:val="center"/>
        <w:rPr>
          <w:rFonts w:ascii="Arial" w:eastAsia="Calibri" w:hAnsi="Arial" w:cs="Arial"/>
          <w:noProof/>
          <w:szCs w:val="28"/>
          <w:lang w:val="uk-UA" w:eastAsia="uk-UA"/>
        </w:rPr>
      </w:pPr>
    </w:p>
    <w:p w14:paraId="124DA2AB" w14:textId="77777777" w:rsidR="005F048D" w:rsidRPr="00511005" w:rsidRDefault="005F048D" w:rsidP="003A292D">
      <w:pPr>
        <w:spacing w:line="264" w:lineRule="auto"/>
        <w:ind w:firstLine="0"/>
        <w:jc w:val="center"/>
        <w:rPr>
          <w:rFonts w:ascii="Arial" w:eastAsia="Calibri" w:hAnsi="Arial" w:cs="Arial"/>
          <w:noProof/>
          <w:szCs w:val="28"/>
          <w:lang w:val="uk-UA" w:eastAsia="uk-UA"/>
        </w:rPr>
      </w:pPr>
      <w:r w:rsidRPr="00511005">
        <w:rPr>
          <w:rFonts w:ascii="Arial" w:eastAsia="Calibri" w:hAnsi="Arial" w:cs="Arial"/>
          <w:b/>
          <w:noProof/>
          <w:szCs w:val="28"/>
          <w:lang w:val="uk-UA" w:eastAsia="uk-UA"/>
        </w:rPr>
        <w:t xml:space="preserve">ДОМЕЙНИНГ ЯК ПОРУШЕННЯ ПРАВ ІНТЕЛЕКТУАЛЬНОЇ ВЛАСНОСТІ </w:t>
      </w:r>
    </w:p>
    <w:p w14:paraId="47663D55" w14:textId="77777777" w:rsidR="005F048D" w:rsidRPr="00511005" w:rsidRDefault="005F048D" w:rsidP="003A292D">
      <w:pPr>
        <w:spacing w:line="264" w:lineRule="auto"/>
        <w:ind w:firstLine="720"/>
        <w:rPr>
          <w:rFonts w:ascii="Arial" w:eastAsia="Calibri" w:hAnsi="Arial" w:cs="Arial"/>
          <w:noProof/>
          <w:szCs w:val="28"/>
          <w:lang w:val="uk-UA" w:eastAsia="uk-UA"/>
        </w:rPr>
      </w:pPr>
      <w:r w:rsidRPr="00511005">
        <w:rPr>
          <w:rFonts w:ascii="Arial" w:eastAsia="Calibri" w:hAnsi="Arial" w:cs="Arial"/>
          <w:noProof/>
          <w:szCs w:val="28"/>
          <w:lang w:val="uk-UA" w:eastAsia="uk-UA"/>
        </w:rPr>
        <w:t>Взагалі, домейнинг став популярним з розвитком інтернету, але недобросовісна реєстрація доменів з метою перепродажу чи "перехоплення" відомих назв називається кіберсквотингом. Кіберсквотери реєструють домени, що містять охоронювані торгові марки чи фірмові назви без дозволу правовласників. Це порушує права інтелектуальної власності та є неправомірним використанням об'єктів цих прав.</w:t>
      </w:r>
    </w:p>
    <w:p w14:paraId="384BBD19" w14:textId="77777777" w:rsidR="005F048D" w:rsidRPr="00511005" w:rsidRDefault="005F048D" w:rsidP="003A292D">
      <w:pPr>
        <w:spacing w:line="264" w:lineRule="auto"/>
        <w:ind w:firstLine="720"/>
        <w:rPr>
          <w:rFonts w:ascii="Arial" w:eastAsia="Calibri" w:hAnsi="Arial" w:cs="Arial"/>
          <w:noProof/>
          <w:szCs w:val="28"/>
          <w:lang w:eastAsia="uk-UA"/>
        </w:rPr>
      </w:pPr>
      <w:r w:rsidRPr="00511005">
        <w:rPr>
          <w:rFonts w:ascii="Arial" w:eastAsia="Calibri" w:hAnsi="Arial" w:cs="Arial"/>
          <w:noProof/>
          <w:szCs w:val="28"/>
          <w:lang w:val="uk-UA" w:eastAsia="uk-UA"/>
        </w:rPr>
        <w:t>Актуальність проблеми домейнингу як порушення прав ІВ підтверджується численними спорами між відомими компаніями та кіберсквотерами. В Україні відомі випадки, коли зловмисники реєстрували домени на кшталт Google.ua чи Forbes.ua та навіть отримували на відповідні назви формальну реєстрацію торговельної марки з метою утримання домену. Це змушувало правовласників відстоювати свої права в судовому порядку або викуповувати такі домени. Так, головного “кіберсквотера” Олега Богатова свого часу судили за захоплення домену Google.ua та використання знаку «Forbes» у доменному імені.</w:t>
      </w:r>
    </w:p>
    <w:p w14:paraId="4CA22C0B" w14:textId="77777777" w:rsidR="005F048D" w:rsidRPr="00511005" w:rsidRDefault="005F048D" w:rsidP="003A292D">
      <w:pPr>
        <w:spacing w:line="264" w:lineRule="auto"/>
        <w:ind w:firstLine="720"/>
        <w:rPr>
          <w:rFonts w:ascii="Arial" w:eastAsia="Calibri" w:hAnsi="Arial" w:cs="Arial"/>
          <w:noProof/>
          <w:szCs w:val="28"/>
          <w:lang w:eastAsia="uk-UA"/>
        </w:rPr>
      </w:pPr>
      <w:r w:rsidRPr="00511005">
        <w:rPr>
          <w:rFonts w:ascii="Arial" w:eastAsia="Calibri" w:hAnsi="Arial" w:cs="Arial"/>
          <w:noProof/>
          <w:szCs w:val="28"/>
          <w:lang w:eastAsia="uk-UA"/>
        </w:rPr>
        <w:t>Ось основні дії, які можуть бути визнані порушенням прав на доменне ім'я:</w:t>
      </w:r>
    </w:p>
    <w:p w14:paraId="0480722C" w14:textId="77777777" w:rsidR="005F048D" w:rsidRPr="00511005" w:rsidRDefault="005F048D" w:rsidP="003A292D">
      <w:pPr>
        <w:spacing w:line="264" w:lineRule="auto"/>
        <w:ind w:firstLine="720"/>
        <w:rPr>
          <w:rFonts w:ascii="Arial" w:eastAsia="Calibri" w:hAnsi="Arial" w:cs="Arial"/>
          <w:noProof/>
          <w:szCs w:val="28"/>
          <w:lang w:eastAsia="uk-UA"/>
        </w:rPr>
      </w:pPr>
      <w:r w:rsidRPr="00511005">
        <w:rPr>
          <w:rFonts w:ascii="Arial" w:eastAsia="Calibri" w:hAnsi="Arial" w:cs="Arial"/>
          <w:noProof/>
          <w:szCs w:val="28"/>
          <w:lang w:eastAsia="uk-UA"/>
        </w:rPr>
        <w:t>1. Кіберсквотинг (Cybersquatting): Це найпоширеніший вид порушення. Він полягає у реєстрації, використанні або пропонуванні до продажу доменного імені з недобросовісним наміром отримати прибуток або інші переваги від паразитування на відомості чи репутації чужої торговельної марки.</w:t>
      </w:r>
    </w:p>
    <w:p w14:paraId="4EA8C319" w14:textId="2587CA1D" w:rsidR="005F048D" w:rsidRPr="00511005" w:rsidRDefault="005F048D" w:rsidP="003A292D">
      <w:pPr>
        <w:spacing w:line="264" w:lineRule="auto"/>
        <w:ind w:firstLine="720"/>
        <w:rPr>
          <w:rFonts w:ascii="Arial" w:eastAsia="Calibri" w:hAnsi="Arial" w:cs="Arial"/>
          <w:noProof/>
          <w:szCs w:val="28"/>
          <w:lang w:eastAsia="uk-UA"/>
        </w:rPr>
      </w:pPr>
      <w:r w:rsidRPr="00511005">
        <w:rPr>
          <w:rFonts w:ascii="Arial" w:eastAsia="Calibri" w:hAnsi="Arial" w:cs="Arial"/>
          <w:noProof/>
          <w:szCs w:val="28"/>
          <w:lang w:eastAsia="uk-UA"/>
        </w:rPr>
        <w:t>2.</w:t>
      </w:r>
      <w:r w:rsidR="007B2628" w:rsidRPr="00511005">
        <w:rPr>
          <w:rFonts w:ascii="Arial" w:eastAsia="Calibri" w:hAnsi="Arial" w:cs="Arial"/>
          <w:noProof/>
          <w:szCs w:val="28"/>
          <w:lang w:eastAsia="uk-UA"/>
        </w:rPr>
        <w:t xml:space="preserve"> </w:t>
      </w:r>
      <w:r w:rsidRPr="00511005">
        <w:rPr>
          <w:rFonts w:ascii="Arial" w:eastAsia="Calibri" w:hAnsi="Arial" w:cs="Arial"/>
          <w:noProof/>
          <w:szCs w:val="28"/>
          <w:lang w:eastAsia="uk-UA"/>
        </w:rPr>
        <w:t>Тайпсквотинг (Typosquatting): Це різновид кіберсквотингу, коли реєструються доменні імена, які дуже схожі на відомі торговельні марки, але містять невеликі помилки, одруківки або відрізняються лише однією літерою/символом. Мета – отримати користувачів, які помилилися при введенні адреси.</w:t>
      </w:r>
    </w:p>
    <w:p w14:paraId="3B516A01" w14:textId="77777777" w:rsidR="005F048D" w:rsidRPr="00511005" w:rsidRDefault="005F048D" w:rsidP="003A292D">
      <w:pPr>
        <w:spacing w:line="264" w:lineRule="auto"/>
        <w:ind w:firstLine="720"/>
        <w:rPr>
          <w:rFonts w:ascii="Arial" w:eastAsia="Calibri" w:hAnsi="Arial" w:cs="Arial"/>
          <w:noProof/>
          <w:szCs w:val="28"/>
          <w:lang w:val="uk-UA" w:eastAsia="uk-UA"/>
        </w:rPr>
      </w:pPr>
      <w:r w:rsidRPr="00511005">
        <w:rPr>
          <w:rFonts w:ascii="Arial" w:eastAsia="Calibri" w:hAnsi="Arial" w:cs="Arial"/>
          <w:noProof/>
          <w:szCs w:val="28"/>
          <w:lang w:val="uk-UA" w:eastAsia="uk-UA"/>
        </w:rPr>
        <w:t>Щодо то</w:t>
      </w:r>
      <w:r w:rsidRPr="00511005">
        <w:rPr>
          <w:rFonts w:ascii="Arial" w:eastAsia="Calibri" w:hAnsi="Arial" w:cs="Arial"/>
          <w:noProof/>
          <w:szCs w:val="28"/>
          <w:lang w:eastAsia="uk-UA"/>
        </w:rPr>
        <w:t>ргівельної марки</w:t>
      </w:r>
      <w:r w:rsidRPr="00511005">
        <w:rPr>
          <w:rFonts w:ascii="Arial" w:eastAsia="Calibri" w:hAnsi="Arial" w:cs="Arial"/>
          <w:noProof/>
          <w:szCs w:val="28"/>
          <w:lang w:val="uk-UA" w:eastAsia="uk-UA"/>
        </w:rPr>
        <w:t>, то в</w:t>
      </w:r>
      <w:r w:rsidRPr="00511005">
        <w:rPr>
          <w:rFonts w:ascii="Arial" w:eastAsia="Calibri" w:hAnsi="Arial" w:cs="Arial"/>
          <w:noProof/>
          <w:szCs w:val="28"/>
          <w:lang w:eastAsia="uk-UA"/>
        </w:rPr>
        <w:t>она</w:t>
      </w:r>
      <w:r w:rsidRPr="00511005">
        <w:rPr>
          <w:rFonts w:ascii="Arial" w:eastAsia="Calibri" w:hAnsi="Arial" w:cs="Arial"/>
          <w:noProof/>
          <w:szCs w:val="28"/>
          <w:lang w:val="uk-UA" w:eastAsia="uk-UA"/>
        </w:rPr>
        <w:t xml:space="preserve"> є об'єктом інтелектуальної власності, </w:t>
      </w:r>
      <w:r w:rsidRPr="00511005">
        <w:rPr>
          <w:rFonts w:ascii="Arial" w:eastAsia="Calibri" w:hAnsi="Arial" w:cs="Arial"/>
          <w:noProof/>
          <w:szCs w:val="28"/>
          <w:lang w:eastAsia="uk-UA"/>
        </w:rPr>
        <w:t>яка</w:t>
      </w:r>
      <w:r w:rsidRPr="00511005">
        <w:rPr>
          <w:rFonts w:ascii="Arial" w:eastAsia="Calibri" w:hAnsi="Arial" w:cs="Arial"/>
          <w:noProof/>
          <w:szCs w:val="28"/>
          <w:lang w:val="uk-UA" w:eastAsia="uk-UA"/>
        </w:rPr>
        <w:t xml:space="preserve"> охороняється державою через реєстрацію або визнання знака добре відомим. Власник зареєстровано</w:t>
      </w:r>
      <w:r w:rsidRPr="00511005">
        <w:rPr>
          <w:rFonts w:ascii="Arial" w:eastAsia="Calibri" w:hAnsi="Arial" w:cs="Arial"/>
          <w:noProof/>
          <w:szCs w:val="28"/>
          <w:lang w:eastAsia="uk-UA"/>
        </w:rPr>
        <w:t>ї торгівельної</w:t>
      </w:r>
      <w:r w:rsidRPr="00511005">
        <w:rPr>
          <w:rFonts w:ascii="Arial" w:eastAsia="Calibri" w:hAnsi="Arial" w:cs="Arial"/>
          <w:noProof/>
          <w:szCs w:val="28"/>
          <w:lang w:val="uk-UA" w:eastAsia="uk-UA"/>
        </w:rPr>
        <w:t xml:space="preserve"> </w:t>
      </w:r>
      <w:r w:rsidRPr="00511005">
        <w:rPr>
          <w:rFonts w:ascii="Arial" w:eastAsia="Calibri" w:hAnsi="Arial" w:cs="Arial"/>
          <w:noProof/>
          <w:szCs w:val="28"/>
          <w:lang w:eastAsia="uk-UA"/>
        </w:rPr>
        <w:t>марки</w:t>
      </w:r>
      <w:r w:rsidRPr="00511005">
        <w:rPr>
          <w:rFonts w:ascii="Arial" w:eastAsia="Calibri" w:hAnsi="Arial" w:cs="Arial"/>
          <w:noProof/>
          <w:szCs w:val="28"/>
          <w:lang w:val="uk-UA" w:eastAsia="uk-UA"/>
        </w:rPr>
        <w:t xml:space="preserve"> має виключне право на </w:t>
      </w:r>
      <w:r w:rsidRPr="00511005">
        <w:rPr>
          <w:rFonts w:ascii="Arial" w:eastAsia="Calibri" w:hAnsi="Arial" w:cs="Arial"/>
          <w:noProof/>
          <w:szCs w:val="28"/>
          <w:lang w:eastAsia="uk-UA"/>
        </w:rPr>
        <w:t>її</w:t>
      </w:r>
      <w:r w:rsidRPr="00511005">
        <w:rPr>
          <w:rFonts w:ascii="Arial" w:eastAsia="Calibri" w:hAnsi="Arial" w:cs="Arial"/>
          <w:noProof/>
          <w:szCs w:val="28"/>
          <w:lang w:val="uk-UA" w:eastAsia="uk-UA"/>
        </w:rPr>
        <w:t xml:space="preserve"> використання без згоди. Використання </w:t>
      </w:r>
      <w:r w:rsidRPr="00511005">
        <w:rPr>
          <w:rFonts w:ascii="Arial" w:eastAsia="Calibri" w:hAnsi="Arial" w:cs="Arial"/>
          <w:noProof/>
          <w:szCs w:val="28"/>
          <w:lang w:eastAsia="uk-UA"/>
        </w:rPr>
        <w:t>марки</w:t>
      </w:r>
      <w:r w:rsidRPr="00511005">
        <w:rPr>
          <w:rFonts w:ascii="Arial" w:eastAsia="Calibri" w:hAnsi="Arial" w:cs="Arial"/>
          <w:noProof/>
          <w:szCs w:val="28"/>
          <w:lang w:val="uk-UA" w:eastAsia="uk-UA"/>
        </w:rPr>
        <w:t xml:space="preserve"> в </w:t>
      </w:r>
      <w:r w:rsidRPr="00511005">
        <w:rPr>
          <w:rFonts w:ascii="Arial" w:eastAsia="Calibri" w:hAnsi="Arial" w:cs="Arial"/>
          <w:noProof/>
          <w:szCs w:val="28"/>
          <w:lang w:val="uk-UA" w:eastAsia="uk-UA"/>
        </w:rPr>
        <w:lastRenderedPageBreak/>
        <w:t>доменному імені прирівнюється до порушення прав на торговельну марку, якщо домен повторює або імітує захищений знак. За порушення прав на торговельну марку власник може вимагати припинення використання домену та відшкодування збитків. Також, використання схожого позначення, що може спричинити змішування в сприйнятті споживачів, може бути оскаржене в суді.</w:t>
      </w:r>
    </w:p>
    <w:p w14:paraId="3D5C6CA0" w14:textId="65D1BA3E" w:rsidR="005F048D" w:rsidRPr="00511005" w:rsidRDefault="005F048D" w:rsidP="003A292D">
      <w:pPr>
        <w:spacing w:line="264" w:lineRule="auto"/>
        <w:ind w:firstLine="720"/>
        <w:rPr>
          <w:rFonts w:ascii="Arial" w:eastAsia="Calibri" w:hAnsi="Arial" w:cs="Arial"/>
          <w:noProof/>
          <w:szCs w:val="28"/>
          <w:lang w:eastAsia="uk-UA"/>
        </w:rPr>
      </w:pPr>
      <w:r w:rsidRPr="00511005">
        <w:rPr>
          <w:rFonts w:ascii="Arial" w:eastAsia="Calibri" w:hAnsi="Arial" w:cs="Arial"/>
          <w:noProof/>
          <w:szCs w:val="28"/>
          <w:lang w:val="uk-UA" w:eastAsia="uk-UA"/>
        </w:rPr>
        <w:t>Відповідно до ст. 489 ЦК України, комерційне (фірмове) найменування суб’єкта господарювання охороняється без обов’язкової реєстрації [1].</w:t>
      </w:r>
      <w:r w:rsidR="007B2628" w:rsidRPr="00511005">
        <w:rPr>
          <w:rFonts w:ascii="Arial" w:eastAsia="Calibri" w:hAnsi="Arial" w:cs="Arial"/>
          <w:noProof/>
          <w:szCs w:val="28"/>
          <w:lang w:val="uk-UA" w:eastAsia="uk-UA"/>
        </w:rPr>
        <w:t xml:space="preserve"> </w:t>
      </w:r>
      <w:r w:rsidRPr="00511005">
        <w:rPr>
          <w:rFonts w:ascii="Arial" w:eastAsia="Calibri" w:hAnsi="Arial" w:cs="Arial"/>
          <w:noProof/>
          <w:szCs w:val="28"/>
          <w:lang w:val="uk-UA" w:eastAsia="uk-UA"/>
        </w:rPr>
        <w:t>Це означає, що назва підприємства захищена від неправомірного використання іншими особами, якщо вона стала відомою в господарському обороті. Наприклад, якщо домен nike.ua зареєструвала стороння особа, не пов’язана з компанією Nike, це може порушувати права компанії на її фірмове найменування NIKE. В такому випадку власник відомого найменування вправі вимагати передачі йому відповідного домену та припинення його використання іншою особою. Особливо це актуально, коли найменування співпадає з незареєстрованим як ТМ – домен може вводити споживачів в оману щодо того, кому належить сайт, і тим самим недобросовісно використовувати ділову репутацію компанії.</w:t>
      </w:r>
    </w:p>
    <w:p w14:paraId="1DBFFBD0" w14:textId="77777777" w:rsidR="005F048D" w:rsidRPr="00511005" w:rsidRDefault="005F048D" w:rsidP="003A292D">
      <w:pPr>
        <w:spacing w:line="264" w:lineRule="auto"/>
        <w:ind w:firstLine="720"/>
        <w:rPr>
          <w:rFonts w:ascii="Arial" w:eastAsia="Calibri" w:hAnsi="Arial" w:cs="Arial"/>
          <w:noProof/>
          <w:szCs w:val="28"/>
          <w:lang w:eastAsia="uk-UA"/>
        </w:rPr>
      </w:pPr>
      <w:r w:rsidRPr="00511005">
        <w:rPr>
          <w:rFonts w:ascii="Arial" w:eastAsia="Calibri" w:hAnsi="Arial" w:cs="Arial"/>
          <w:noProof/>
          <w:szCs w:val="28"/>
          <w:lang w:eastAsia="uk-UA"/>
        </w:rPr>
        <w:t xml:space="preserve">Щодо конфлікту доменного імені та торговельної марки (кіберсквотингу), то це найпоширеніша категорія доменних спорів. Суди часто розглядають справи, де доменне ім'я повністю або частково відтворює зареєстровану торговельну марку іншої особи. </w:t>
      </w:r>
    </w:p>
    <w:p w14:paraId="692C0B30" w14:textId="77777777" w:rsidR="005F048D" w:rsidRPr="00511005" w:rsidRDefault="005F048D" w:rsidP="003A292D">
      <w:pPr>
        <w:spacing w:line="264" w:lineRule="auto"/>
        <w:ind w:firstLine="720"/>
        <w:rPr>
          <w:rFonts w:ascii="Arial" w:eastAsia="Calibri" w:hAnsi="Arial" w:cs="Arial"/>
          <w:noProof/>
          <w:szCs w:val="28"/>
          <w:lang w:eastAsia="uk-UA"/>
        </w:rPr>
      </w:pPr>
      <w:r w:rsidRPr="00511005">
        <w:rPr>
          <w:rFonts w:ascii="Arial" w:eastAsia="Calibri" w:hAnsi="Arial" w:cs="Arial"/>
          <w:noProof/>
          <w:szCs w:val="28"/>
          <w:lang w:eastAsia="uk-UA"/>
        </w:rPr>
        <w:t>Прикладом є справа Google Inc. проти ТОВ «ГОУ ОГЛЕ» за домен google.ua. Суть справи: Американська корпорація Google Inc. звернулася до суду з вимогою припинити використання найменування "Google" у доменному імені google.ua українською компанією ТОВ «ГОУ ОГЛЕ».</w:t>
      </w:r>
    </w:p>
    <w:p w14:paraId="59B62C38" w14:textId="77777777" w:rsidR="005F048D" w:rsidRPr="00511005" w:rsidRDefault="005F048D" w:rsidP="003A292D">
      <w:pPr>
        <w:spacing w:line="264" w:lineRule="auto"/>
        <w:ind w:firstLine="720"/>
        <w:rPr>
          <w:rFonts w:ascii="Arial" w:eastAsia="Calibri" w:hAnsi="Arial" w:cs="Arial"/>
          <w:noProof/>
          <w:szCs w:val="28"/>
          <w:lang w:eastAsia="uk-UA"/>
        </w:rPr>
      </w:pPr>
      <w:r w:rsidRPr="00511005">
        <w:rPr>
          <w:rFonts w:ascii="Arial" w:eastAsia="Calibri" w:hAnsi="Arial" w:cs="Arial"/>
          <w:noProof/>
          <w:szCs w:val="28"/>
          <w:lang w:eastAsia="uk-UA"/>
        </w:rPr>
        <w:t>Рішення: Судові тяжби тривали понад 5 років і дійшли до Вищого господарського суду України (ВГСУ). ВГСУ ухвалив постанову, якою зобов'язав ТОВ «ГОУ ОГЛЕ» припинити використання найменування Google. Згодом домен був переделегований корпорації Google Inc.</w:t>
      </w:r>
    </w:p>
    <w:p w14:paraId="3CCB3CE1" w14:textId="77777777" w:rsidR="005F048D" w:rsidRPr="00511005" w:rsidRDefault="005F048D" w:rsidP="003A292D">
      <w:pPr>
        <w:spacing w:line="264" w:lineRule="auto"/>
        <w:ind w:firstLine="720"/>
        <w:rPr>
          <w:rFonts w:ascii="Arial" w:eastAsia="Calibri" w:hAnsi="Arial" w:cs="Arial"/>
          <w:noProof/>
          <w:szCs w:val="28"/>
          <w:lang w:eastAsia="uk-UA"/>
        </w:rPr>
      </w:pPr>
      <w:r w:rsidRPr="00511005">
        <w:rPr>
          <w:rFonts w:ascii="Arial" w:eastAsia="Calibri" w:hAnsi="Arial" w:cs="Arial"/>
          <w:noProof/>
          <w:szCs w:val="28"/>
          <w:lang w:eastAsia="uk-UA"/>
        </w:rPr>
        <w:t>Отже, ця справа є одним з найгучніших прецедентів в Україні, що підтвердив пріоритет прав на торговельну марку над недобросовісною реєстрацією доменного імені.</w:t>
      </w:r>
    </w:p>
    <w:p w14:paraId="5BEB6A17" w14:textId="77777777" w:rsidR="005F048D" w:rsidRPr="00511005" w:rsidRDefault="005F048D" w:rsidP="003A292D">
      <w:pPr>
        <w:spacing w:line="264" w:lineRule="auto"/>
        <w:ind w:firstLine="720"/>
        <w:rPr>
          <w:rFonts w:ascii="Arial" w:eastAsia="Calibri" w:hAnsi="Arial" w:cs="Arial"/>
          <w:noProof/>
          <w:szCs w:val="28"/>
          <w:lang w:val="uk-UA" w:eastAsia="uk-UA"/>
        </w:rPr>
      </w:pPr>
      <w:r w:rsidRPr="00511005">
        <w:rPr>
          <w:rFonts w:ascii="Arial" w:eastAsia="Calibri" w:hAnsi="Arial" w:cs="Arial"/>
          <w:noProof/>
          <w:szCs w:val="28"/>
          <w:lang w:val="uk-UA" w:eastAsia="uk-UA"/>
        </w:rPr>
        <w:t xml:space="preserve">Відповідно до географічних зазначень, то Закон України «Про правову охорону географічних зазначень» захищає географічні зазначення від неправомірного використання, зокрема в доменних іменах </w:t>
      </w:r>
      <w:r w:rsidRPr="00511005">
        <w:rPr>
          <w:rFonts w:ascii="Arial" w:eastAsia="Calibri" w:hAnsi="Arial" w:cs="Arial"/>
          <w:noProof/>
          <w:szCs w:val="28"/>
          <w:lang w:eastAsia="uk-UA"/>
        </w:rPr>
        <w:t xml:space="preserve">[2]. </w:t>
      </w:r>
      <w:r w:rsidRPr="00511005">
        <w:rPr>
          <w:rFonts w:ascii="Arial" w:eastAsia="Calibri" w:hAnsi="Arial" w:cs="Arial"/>
          <w:noProof/>
          <w:szCs w:val="28"/>
          <w:lang w:val="uk-UA" w:eastAsia="uk-UA"/>
        </w:rPr>
        <w:t>Реєстрація домену з географічним зазначенням без права на це, наприклад, champagne.ua для вина, не виробленого в Шампані, порушує права на зазначення походження товарів. Правовласник може вимагати припинення використання такого домену, оскільки це може вводити споживачів в оману щодо дійсного походження товарів.</w:t>
      </w:r>
    </w:p>
    <w:p w14:paraId="7151D2D6" w14:textId="77777777" w:rsidR="005F048D" w:rsidRPr="00511005" w:rsidRDefault="005F048D" w:rsidP="003A292D">
      <w:pPr>
        <w:spacing w:line="264" w:lineRule="auto"/>
        <w:ind w:firstLine="720"/>
        <w:rPr>
          <w:rFonts w:ascii="Arial" w:eastAsia="Calibri" w:hAnsi="Arial" w:cs="Arial"/>
          <w:noProof/>
          <w:szCs w:val="28"/>
          <w:lang w:val="uk-UA" w:eastAsia="uk-UA"/>
        </w:rPr>
      </w:pPr>
      <w:r w:rsidRPr="00511005">
        <w:rPr>
          <w:rFonts w:ascii="Arial" w:eastAsia="Calibri" w:hAnsi="Arial" w:cs="Arial"/>
          <w:noProof/>
          <w:szCs w:val="28"/>
          <w:lang w:val="uk-UA" w:eastAsia="uk-UA"/>
        </w:rPr>
        <w:lastRenderedPageBreak/>
        <w:t>Щодо авторського права, то</w:t>
      </w:r>
      <w:r w:rsidRPr="00511005">
        <w:rPr>
          <w:rFonts w:ascii="Arial" w:eastAsia="Calibri" w:hAnsi="Arial" w:cs="Arial"/>
          <w:b/>
          <w:bCs/>
          <w:noProof/>
          <w:szCs w:val="28"/>
          <w:lang w:val="uk-UA" w:eastAsia="uk-UA"/>
        </w:rPr>
        <w:t xml:space="preserve"> </w:t>
      </w:r>
      <w:r w:rsidRPr="00511005">
        <w:rPr>
          <w:rFonts w:ascii="Arial" w:eastAsia="Calibri" w:hAnsi="Arial" w:cs="Arial"/>
          <w:noProof/>
          <w:szCs w:val="28"/>
          <w:lang w:val="uk-UA" w:eastAsia="uk-UA"/>
        </w:rPr>
        <w:t>доменні імена зазвичай не охороняються авторським правом через їхню короткість та відсутність творчого характеру. Проте, якщо домен містить захищену авторським правом назву літературного твору чи персонажа, це може призвести до порушення прав через торговельну марку або недобросовісну конкуренцію. Вміст вебсайту на спірному домені може також порушувати авторські права, що може призвести до блокування домену для припинення порушень.</w:t>
      </w:r>
    </w:p>
    <w:p w14:paraId="6B125DD1" w14:textId="77777777" w:rsidR="005F048D" w:rsidRPr="00511005" w:rsidRDefault="005F048D" w:rsidP="003A292D">
      <w:pPr>
        <w:spacing w:line="264" w:lineRule="auto"/>
        <w:ind w:firstLine="720"/>
        <w:rPr>
          <w:rFonts w:ascii="Arial" w:eastAsia="Calibri" w:hAnsi="Arial" w:cs="Arial"/>
          <w:noProof/>
          <w:szCs w:val="28"/>
          <w:lang w:val="uk-UA" w:eastAsia="uk-UA"/>
        </w:rPr>
      </w:pPr>
      <w:r w:rsidRPr="00511005">
        <w:rPr>
          <w:rFonts w:ascii="Arial" w:eastAsia="Calibri" w:hAnsi="Arial" w:cs="Arial"/>
          <w:noProof/>
          <w:szCs w:val="28"/>
          <w:lang w:val="uk-UA" w:eastAsia="uk-UA"/>
        </w:rPr>
        <w:t xml:space="preserve">Також, щодо недобросовісної конкуренції </w:t>
      </w:r>
      <w:r w:rsidRPr="00511005">
        <w:rPr>
          <w:rFonts w:ascii="Arial" w:eastAsia="Calibri" w:hAnsi="Arial" w:cs="Arial"/>
          <w:b/>
          <w:bCs/>
          <w:noProof/>
          <w:szCs w:val="28"/>
          <w:lang w:val="uk-UA" w:eastAsia="uk-UA"/>
        </w:rPr>
        <w:t>–</w:t>
      </w:r>
      <w:r w:rsidRPr="00511005">
        <w:rPr>
          <w:rFonts w:ascii="Arial" w:eastAsia="Calibri" w:hAnsi="Arial" w:cs="Arial"/>
          <w:noProof/>
          <w:szCs w:val="28"/>
          <w:lang w:val="uk-UA" w:eastAsia="uk-UA"/>
        </w:rPr>
        <w:t xml:space="preserve"> реєстрація і використання доменного імені, що є тотожним або схожим до чужого позначення, з метою привласнення ділової репутації чи перешкоджання діяльності конкурента, може кваліфікуватися як акт недобросовісної конкуренції. Закон «Про захист від недобросовісної конкуренції» забороняє неправомірне використання імен, комерційних позначень, товарних знаків іншої особи у господарському обороті </w:t>
      </w:r>
      <w:r w:rsidRPr="00511005">
        <w:rPr>
          <w:rFonts w:ascii="Arial" w:eastAsia="Calibri" w:hAnsi="Arial" w:cs="Arial"/>
          <w:noProof/>
          <w:szCs w:val="28"/>
          <w:lang w:eastAsia="uk-UA"/>
        </w:rPr>
        <w:t>[3]</w:t>
      </w:r>
      <w:r w:rsidRPr="00511005">
        <w:rPr>
          <w:rFonts w:ascii="Arial" w:eastAsia="Calibri" w:hAnsi="Arial" w:cs="Arial"/>
          <w:noProof/>
          <w:szCs w:val="28"/>
          <w:lang w:val="uk-UA" w:eastAsia="uk-UA"/>
        </w:rPr>
        <w:t>.</w:t>
      </w:r>
    </w:p>
    <w:p w14:paraId="3AA6015A" w14:textId="77777777" w:rsidR="005F048D" w:rsidRPr="00511005" w:rsidRDefault="005F048D" w:rsidP="003A292D">
      <w:pPr>
        <w:spacing w:line="264" w:lineRule="auto"/>
        <w:ind w:firstLine="720"/>
        <w:rPr>
          <w:rFonts w:ascii="Arial" w:eastAsia="Calibri" w:hAnsi="Arial" w:cs="Arial"/>
          <w:noProof/>
          <w:szCs w:val="28"/>
          <w:lang w:val="uk-UA" w:eastAsia="uk-UA"/>
        </w:rPr>
      </w:pPr>
      <w:r w:rsidRPr="00511005">
        <w:rPr>
          <w:rFonts w:ascii="Arial" w:eastAsia="Calibri" w:hAnsi="Arial" w:cs="Arial"/>
          <w:noProof/>
          <w:szCs w:val="28"/>
          <w:lang w:val="uk-UA" w:eastAsia="uk-UA"/>
        </w:rPr>
        <w:t>Якщо компанія реєструє домен зі схожою назвою бренду конкурента та перенаправляє трафік на свій сайт, це може бути визнано незаконним через створення змішаності. В Україні такі спори інколи розглядаються через недобросовісну конкуренцію, хоча зазвичай використовуються норми про торговельні марки. Потерпілий може вимагати припинення використання спірного домену та відшкодування шкоди.</w:t>
      </w:r>
    </w:p>
    <w:p w14:paraId="0D8EBF3A" w14:textId="77777777" w:rsidR="005F048D" w:rsidRPr="00511005" w:rsidRDefault="005F048D" w:rsidP="003A292D">
      <w:pPr>
        <w:spacing w:line="264" w:lineRule="auto"/>
        <w:ind w:firstLine="720"/>
        <w:rPr>
          <w:rFonts w:ascii="Arial" w:eastAsia="Calibri" w:hAnsi="Arial" w:cs="Arial"/>
          <w:noProof/>
          <w:szCs w:val="28"/>
          <w:lang w:val="uk-UA" w:eastAsia="uk-UA"/>
        </w:rPr>
      </w:pPr>
      <w:r w:rsidRPr="00511005">
        <w:rPr>
          <w:rFonts w:ascii="Arial" w:eastAsia="Calibri" w:hAnsi="Arial" w:cs="Arial"/>
          <w:noProof/>
          <w:szCs w:val="28"/>
          <w:lang w:val="uk-UA" w:eastAsia="uk-UA"/>
        </w:rPr>
        <w:t>Якщо говорити про регулювання доменів, то в Україні введено спеціальні правила для реєстрації доменів .UA, що вимагають наявності зареєстрованої торговельної марки для реєстрації домену другого рівня, що допомагає запобігти кіберсквотингу. Однак ці правила не повністю захищають від кіберсквотингу, оскільки іноді кіберсквотери реєструють торгові марки на своє ім’я, щоб отримати бажаний домен. Тому ефективний захист потребує не лише формальних правил, але й належного правозастосування.</w:t>
      </w:r>
    </w:p>
    <w:p w14:paraId="384ACC44" w14:textId="77777777" w:rsidR="005F048D" w:rsidRPr="00511005" w:rsidRDefault="005F048D" w:rsidP="003A292D">
      <w:pPr>
        <w:spacing w:line="264" w:lineRule="auto"/>
        <w:ind w:firstLine="720"/>
        <w:rPr>
          <w:rFonts w:ascii="Arial" w:eastAsia="Calibri" w:hAnsi="Arial" w:cs="Arial"/>
          <w:noProof/>
          <w:szCs w:val="28"/>
          <w:lang w:val="uk-UA" w:eastAsia="uk-UA"/>
        </w:rPr>
      </w:pPr>
      <w:r w:rsidRPr="00511005">
        <w:rPr>
          <w:rFonts w:ascii="Arial" w:eastAsia="Calibri" w:hAnsi="Arial" w:cs="Arial"/>
          <w:noProof/>
          <w:szCs w:val="28"/>
          <w:lang w:val="uk-UA" w:eastAsia="uk-UA"/>
        </w:rPr>
        <w:t xml:space="preserve">В Україні існують позасудові механізми вирішення доменних спорів, зокрема Політика вирішення доменних спорів для доменів .UA, яка аналогічна міжнародній UDRP. Ця політика дозволяє правовласникам ініціювати арбітражний розгляд щодо скасування або переделегування домену, зареєстрованого недобросовісно. Процедура вирішення спору через адміністративний механізм є швидшою за судовий процес, тому вона активно застосовується в Україні. Часто правовласники вибирають переговори та викуп домену у кіберсквотера замість судового процесу, оскільки це економить час та ресурси. Проте, у випадках з великою репутаційною чи фінансовою ставкою, компанії звертаються до суду, створюючи прецеденти для захисту інтелектуальної власності. Альтернативні процедури, зокрема арбітраж ВОІВ за процедурою UDRP, дозволяють швидко повернути домени без суду. Загалом, українська </w:t>
      </w:r>
      <w:r w:rsidRPr="00511005">
        <w:rPr>
          <w:rFonts w:ascii="Arial" w:eastAsia="Calibri" w:hAnsi="Arial" w:cs="Arial"/>
          <w:noProof/>
          <w:szCs w:val="28"/>
          <w:lang w:val="uk-UA" w:eastAsia="uk-UA"/>
        </w:rPr>
        <w:lastRenderedPageBreak/>
        <w:t>практика відповідає міжнародним стандартам, захищаючи права власників інтелектуальної власності на доменні імена.</w:t>
      </w:r>
    </w:p>
    <w:p w14:paraId="288B2F6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Calibri" w:hAnsi="Arial" w:cs="Arial"/>
          <w:noProof/>
          <w:szCs w:val="28"/>
          <w:lang w:val="uk-UA" w:eastAsia="uk-UA"/>
        </w:rPr>
        <w:t xml:space="preserve">Отже, домейнинг стає порушенням прав інтелектуальної власності тоді, коли відбувається реєстрація або використання доменного імені, що посягає на охоронювані законом об’єкти – торговельні марки, комерційні найменування, географічні зазначення тощо – без дозволу правовласника. Такий недобросовісний домейнинг (кіберсквотинг) порушує права власників на відповідні об’єкти ІВ, вводить споживачів в оману та підриває принципи чесної конкуренції. </w:t>
      </w:r>
      <w:r w:rsidRPr="00511005">
        <w:rPr>
          <w:rFonts w:ascii="Arial" w:eastAsia="Times New Roman" w:hAnsi="Arial" w:cs="Arial"/>
          <w:szCs w:val="28"/>
          <w:lang w:val="uk-UA" w:eastAsia="uk-UA"/>
        </w:rPr>
        <w:t>Українське законодавство передбачає захист від кіберсквотингу через суд та спеціальні процедури, зокрема UDRP. За недобросовісну конкуренцію, включно з кіберсквотингом, передбачені штрафи. Хоча існують правові механізми, вони не завжди ефективні, тому бізнесу варто діяти на випередження. Україна адаптує міжнародні стандарти у сфері захисту інтелектуальної власності. Судова практика формує запобіжник для порушників і сприяє цивілізованому розвитку доменного простору.</w:t>
      </w:r>
    </w:p>
    <w:p w14:paraId="7EA5A4E7" w14:textId="77777777" w:rsidR="005F048D" w:rsidRPr="00511005" w:rsidRDefault="005F048D" w:rsidP="003A292D">
      <w:pPr>
        <w:spacing w:line="264" w:lineRule="auto"/>
        <w:ind w:firstLine="720"/>
        <w:rPr>
          <w:rFonts w:ascii="Arial" w:eastAsia="Calibri" w:hAnsi="Arial" w:cs="Arial"/>
          <w:noProof/>
          <w:szCs w:val="28"/>
          <w:lang w:val="uk-UA" w:eastAsia="uk-UA"/>
        </w:rPr>
      </w:pPr>
    </w:p>
    <w:p w14:paraId="33B43E1C" w14:textId="02663260" w:rsidR="005F048D" w:rsidRPr="00511005" w:rsidRDefault="007B2628" w:rsidP="007B2628">
      <w:pPr>
        <w:spacing w:line="264" w:lineRule="auto"/>
        <w:ind w:firstLine="0"/>
        <w:jc w:val="center"/>
        <w:rPr>
          <w:rFonts w:ascii="Arial" w:eastAsia="Calibri" w:hAnsi="Arial" w:cs="Arial"/>
          <w:noProof/>
          <w:szCs w:val="28"/>
          <w:lang w:val="uk-UA" w:eastAsia="uk-UA"/>
        </w:rPr>
      </w:pPr>
      <w:r w:rsidRPr="00511005">
        <w:rPr>
          <w:rFonts w:ascii="Arial" w:eastAsia="Calibri" w:hAnsi="Arial" w:cs="Arial"/>
          <w:b/>
          <w:iCs/>
          <w:noProof/>
          <w:szCs w:val="28"/>
          <w:lang w:val="uk-UA" w:eastAsia="uk-UA"/>
        </w:rPr>
        <w:t>Список використаних джерел</w:t>
      </w:r>
    </w:p>
    <w:p w14:paraId="24BF8C51" w14:textId="77777777" w:rsidR="005F048D" w:rsidRPr="00511005" w:rsidRDefault="005F048D" w:rsidP="003A292D">
      <w:pPr>
        <w:spacing w:line="264" w:lineRule="auto"/>
        <w:ind w:firstLine="720"/>
        <w:rPr>
          <w:rFonts w:ascii="Arial" w:eastAsia="Calibri" w:hAnsi="Arial" w:cs="Arial"/>
          <w:bCs/>
          <w:noProof/>
          <w:szCs w:val="28"/>
          <w:lang w:val="uk-UA" w:eastAsia="uk-UA"/>
        </w:rPr>
      </w:pPr>
      <w:r w:rsidRPr="00511005">
        <w:rPr>
          <w:rFonts w:ascii="Arial" w:eastAsia="Calibri" w:hAnsi="Arial" w:cs="Arial"/>
          <w:noProof/>
          <w:szCs w:val="28"/>
          <w:lang w:val="uk-UA" w:eastAsia="uk-UA"/>
        </w:rPr>
        <w:t xml:space="preserve">1. Цивільний кодекс України: Закон України від 16.01.2003 № 435-IV (зі змінами і доповненнями). URL: </w:t>
      </w:r>
      <w:hyperlink r:id="rId1327" w:anchor="Text" w:history="1">
        <w:r w:rsidRPr="00511005">
          <w:rPr>
            <w:rFonts w:ascii="Arial" w:eastAsia="Calibri" w:hAnsi="Arial" w:cs="Arial"/>
            <w:noProof/>
            <w:szCs w:val="28"/>
            <w:lang w:val="uk-UA" w:eastAsia="uk-UA"/>
          </w:rPr>
          <w:t>https://zakon.rada.gov.ua/laws/show/435-15#Text</w:t>
        </w:r>
      </w:hyperlink>
      <w:r w:rsidRPr="00511005">
        <w:rPr>
          <w:rFonts w:ascii="Arial" w:eastAsia="Calibri" w:hAnsi="Arial" w:cs="Arial"/>
          <w:noProof/>
          <w:szCs w:val="28"/>
          <w:lang w:val="uk-UA" w:eastAsia="uk-UA"/>
        </w:rPr>
        <w:t>.</w:t>
      </w:r>
    </w:p>
    <w:p w14:paraId="6376D897" w14:textId="77777777" w:rsidR="005F048D" w:rsidRPr="00511005" w:rsidRDefault="005F048D" w:rsidP="003A292D">
      <w:pPr>
        <w:spacing w:line="264" w:lineRule="auto"/>
        <w:ind w:firstLine="720"/>
        <w:rPr>
          <w:rFonts w:ascii="Arial" w:eastAsia="Calibri" w:hAnsi="Arial" w:cs="Arial"/>
          <w:bCs/>
          <w:noProof/>
          <w:szCs w:val="28"/>
          <w:lang w:val="uk-UA" w:eastAsia="uk-UA"/>
        </w:rPr>
      </w:pPr>
      <w:r w:rsidRPr="00511005">
        <w:rPr>
          <w:rFonts w:ascii="Arial" w:eastAsia="Calibri" w:hAnsi="Arial" w:cs="Arial"/>
          <w:bCs/>
          <w:noProof/>
          <w:szCs w:val="28"/>
          <w:lang w:val="uk-UA" w:eastAsia="uk-UA"/>
        </w:rPr>
        <w:t>2.</w:t>
      </w:r>
      <w:bookmarkStart w:id="172" w:name="_Hlk195291772"/>
      <w:r w:rsidRPr="00511005">
        <w:rPr>
          <w:rFonts w:ascii="Arial" w:eastAsia="Calibri" w:hAnsi="Arial" w:cs="Arial"/>
          <w:bCs/>
          <w:noProof/>
          <w:szCs w:val="28"/>
          <w:lang w:val="uk-UA" w:eastAsia="uk-UA"/>
        </w:rPr>
        <w:t xml:space="preserve"> Закон України «Про правову охорону географічних зазначень»</w:t>
      </w:r>
      <w:bookmarkEnd w:id="172"/>
      <w:r w:rsidRPr="00511005">
        <w:rPr>
          <w:rFonts w:ascii="Arial" w:eastAsia="Calibri" w:hAnsi="Arial" w:cs="Arial"/>
          <w:bCs/>
          <w:noProof/>
          <w:szCs w:val="28"/>
          <w:lang w:val="uk-UA" w:eastAsia="uk-UA"/>
        </w:rPr>
        <w:t xml:space="preserve">: Закон від 16.06.1999 № 752-XIV (в чинній редакції). URL: </w:t>
      </w:r>
      <w:hyperlink r:id="rId1328" w:anchor="Text" w:history="1">
        <w:r w:rsidRPr="00511005">
          <w:rPr>
            <w:rFonts w:ascii="Arial" w:eastAsia="Calibri" w:hAnsi="Arial" w:cs="Arial"/>
            <w:bCs/>
            <w:noProof/>
            <w:szCs w:val="28"/>
            <w:lang w:val="uk-UA" w:eastAsia="uk-UA"/>
          </w:rPr>
          <w:t>https://zakon.rada.gov.ua/laws/show/752-14#Text</w:t>
        </w:r>
      </w:hyperlink>
      <w:r w:rsidRPr="00511005">
        <w:rPr>
          <w:rFonts w:ascii="Arial" w:eastAsia="Calibri" w:hAnsi="Arial" w:cs="Arial"/>
          <w:bCs/>
          <w:noProof/>
          <w:szCs w:val="28"/>
          <w:lang w:val="uk-UA" w:eastAsia="uk-UA"/>
        </w:rPr>
        <w:t>.</w:t>
      </w:r>
    </w:p>
    <w:p w14:paraId="615FF88A" w14:textId="77777777" w:rsidR="005F048D" w:rsidRPr="00511005" w:rsidRDefault="005F048D" w:rsidP="003A292D">
      <w:pPr>
        <w:spacing w:line="264" w:lineRule="auto"/>
        <w:ind w:firstLine="720"/>
        <w:rPr>
          <w:rFonts w:ascii="Arial" w:eastAsia="Calibri" w:hAnsi="Arial" w:cs="Arial"/>
          <w:bCs/>
          <w:noProof/>
          <w:szCs w:val="28"/>
          <w:lang w:val="uk-UA" w:eastAsia="uk-UA"/>
        </w:rPr>
      </w:pPr>
      <w:r w:rsidRPr="00511005">
        <w:rPr>
          <w:rFonts w:ascii="Arial" w:eastAsia="Calibri" w:hAnsi="Arial" w:cs="Arial"/>
          <w:bCs/>
          <w:noProof/>
          <w:szCs w:val="28"/>
          <w:lang w:val="uk-UA" w:eastAsia="uk-UA"/>
        </w:rPr>
        <w:t xml:space="preserve">3. Закон України «Про захист від недобросовісної конкуренції»: Закон від 07.06.1996 № 236/96-ВР. URL: </w:t>
      </w:r>
      <w:hyperlink r:id="rId1329" w:anchor="Text" w:history="1">
        <w:r w:rsidRPr="00511005">
          <w:rPr>
            <w:rFonts w:ascii="Arial" w:eastAsia="Calibri" w:hAnsi="Arial" w:cs="Arial"/>
            <w:bCs/>
            <w:noProof/>
            <w:szCs w:val="28"/>
            <w:lang w:val="uk-UA" w:eastAsia="uk-UA"/>
          </w:rPr>
          <w:t>https://zakon.rada.gov.ua/laws/show/236/96-%D0%B2%D1%80#Text</w:t>
        </w:r>
      </w:hyperlink>
      <w:r w:rsidRPr="00511005">
        <w:rPr>
          <w:rFonts w:ascii="Arial" w:eastAsia="Calibri" w:hAnsi="Arial" w:cs="Arial"/>
          <w:szCs w:val="28"/>
          <w:lang w:val="uk-UA" w:eastAsia="uk-UA"/>
        </w:rPr>
        <w:t>.</w:t>
      </w:r>
    </w:p>
    <w:p w14:paraId="39CE9E40" w14:textId="543F0243" w:rsidR="005F048D" w:rsidRPr="00511005" w:rsidRDefault="007B2628" w:rsidP="003A292D">
      <w:pPr>
        <w:spacing w:line="264" w:lineRule="auto"/>
        <w:ind w:firstLine="720"/>
        <w:rPr>
          <w:rFonts w:ascii="Arial" w:eastAsia="Calibri" w:hAnsi="Arial" w:cs="Arial"/>
          <w:noProof/>
          <w:szCs w:val="28"/>
          <w:lang w:val="uk-UA" w:eastAsia="uk-UA"/>
        </w:rPr>
      </w:pPr>
      <w:r w:rsidRPr="00511005">
        <w:rPr>
          <w:rFonts w:ascii="Arial" w:eastAsia="Calibri" w:hAnsi="Arial" w:cs="Arial"/>
          <w:b/>
          <w:i/>
          <w:noProof/>
          <w:szCs w:val="28"/>
          <w:lang w:val="uk-UA" w:eastAsia="uk-UA"/>
        </w:rPr>
        <w:t xml:space="preserve">Ключові слова: </w:t>
      </w:r>
      <w:r w:rsidR="005F048D" w:rsidRPr="00511005">
        <w:rPr>
          <w:rFonts w:ascii="Arial" w:eastAsia="Calibri" w:hAnsi="Arial" w:cs="Arial"/>
          <w:noProof/>
          <w:szCs w:val="28"/>
          <w:lang w:val="uk-UA" w:eastAsia="uk-UA"/>
        </w:rPr>
        <w:t>домейнинг, зловмисники, права, домен, товарний знак, власник, порушення прав, назва, використання, конкурент, компанія, процедура, права власників, кіберсквотинг.</w:t>
      </w:r>
    </w:p>
    <w:p w14:paraId="4699C81A" w14:textId="2D527CFE" w:rsidR="005F048D" w:rsidRPr="00511005" w:rsidRDefault="007B2628" w:rsidP="003A292D">
      <w:pPr>
        <w:spacing w:line="264" w:lineRule="auto"/>
        <w:ind w:firstLine="720"/>
        <w:rPr>
          <w:rFonts w:ascii="Arial" w:eastAsia="Calibri" w:hAnsi="Arial" w:cs="Arial"/>
          <w:bCs/>
          <w:noProof/>
          <w:szCs w:val="28"/>
          <w:lang w:val="uk-UA" w:eastAsia="uk-UA"/>
        </w:rPr>
      </w:pPr>
      <w:r w:rsidRPr="00511005">
        <w:rPr>
          <w:rFonts w:ascii="Arial" w:eastAsia="Calibri" w:hAnsi="Arial" w:cs="Arial"/>
          <w:b/>
          <w:i/>
          <w:noProof/>
          <w:szCs w:val="28"/>
          <w:lang w:val="uk-UA" w:eastAsia="uk-UA"/>
        </w:rPr>
        <w:t xml:space="preserve">Key words: </w:t>
      </w:r>
      <w:r w:rsidR="005F048D" w:rsidRPr="00511005">
        <w:rPr>
          <w:rFonts w:ascii="Arial" w:eastAsia="Calibri" w:hAnsi="Arial" w:cs="Arial"/>
          <w:bCs/>
          <w:noProof/>
          <w:szCs w:val="28"/>
          <w:lang w:val="uk-UA" w:eastAsia="uk-UA"/>
        </w:rPr>
        <w:t>domaining, attackers, rights, domain, trademark, owner, infringement of rights, name, use, competitor, company, procedure, owners' rights, cybersquatting.</w:t>
      </w:r>
    </w:p>
    <w:p w14:paraId="149E78E5" w14:textId="47240C7F" w:rsidR="005F048D" w:rsidRPr="00511005" w:rsidRDefault="007B2628" w:rsidP="003A292D">
      <w:pPr>
        <w:spacing w:line="264" w:lineRule="auto"/>
        <w:rPr>
          <w:rFonts w:ascii="Arial" w:eastAsia="Calibri" w:hAnsi="Arial" w:cs="Arial"/>
          <w:b/>
          <w:bCs/>
          <w:i/>
          <w:iCs/>
          <w:szCs w:val="28"/>
          <w:lang w:val="uk-UA" w:eastAsia="uk-UA"/>
        </w:rPr>
      </w:pPr>
      <w:r w:rsidRPr="00511005">
        <w:rPr>
          <w:rFonts w:ascii="Arial" w:eastAsia="Calibri" w:hAnsi="Arial" w:cs="Arial"/>
          <w:b/>
          <w:i/>
          <w:iCs/>
          <w:szCs w:val="28"/>
          <w:lang w:val="uk-UA" w:eastAsia="uk-UA"/>
        </w:rPr>
        <w:t xml:space="preserve">Науковий керівник: </w:t>
      </w:r>
      <w:r w:rsidR="005F048D" w:rsidRPr="00511005">
        <w:rPr>
          <w:rFonts w:ascii="Arial" w:eastAsia="Calibri" w:hAnsi="Arial" w:cs="Arial"/>
          <w:i/>
          <w:iCs/>
          <w:szCs w:val="28"/>
          <w:lang w:val="uk-UA" w:eastAsia="uk-UA"/>
        </w:rPr>
        <w:t xml:space="preserve">к.ю.н., </w:t>
      </w:r>
      <w:r w:rsidR="005F048D" w:rsidRPr="00511005">
        <w:rPr>
          <w:rFonts w:ascii="Arial" w:eastAsia="Times New Roman" w:hAnsi="Arial" w:cs="Arial"/>
          <w:i/>
          <w:szCs w:val="28"/>
          <w:lang w:val="uk-UA" w:eastAsia="uk-UA"/>
        </w:rPr>
        <w:t xml:space="preserve">доцент </w:t>
      </w:r>
      <w:r w:rsidR="005F048D" w:rsidRPr="00511005">
        <w:rPr>
          <w:rFonts w:ascii="Arial" w:eastAsia="Calibri" w:hAnsi="Arial" w:cs="Arial"/>
          <w:i/>
          <w:iCs/>
          <w:szCs w:val="28"/>
          <w:lang w:val="uk-UA" w:eastAsia="uk-UA"/>
        </w:rPr>
        <w:t>Мазуренко С.В.</w:t>
      </w:r>
    </w:p>
    <w:p w14:paraId="1E90AECD" w14:textId="77777777" w:rsidR="005F048D" w:rsidRPr="00511005" w:rsidRDefault="005F048D" w:rsidP="003A292D">
      <w:pPr>
        <w:pBdr>
          <w:top w:val="nil"/>
          <w:left w:val="nil"/>
          <w:bottom w:val="nil"/>
          <w:right w:val="nil"/>
          <w:between w:val="nil"/>
        </w:pBdr>
        <w:spacing w:line="264" w:lineRule="auto"/>
        <w:rPr>
          <w:rFonts w:ascii="Arial" w:eastAsia="Times New Roman" w:hAnsi="Arial" w:cs="Arial"/>
          <w:i/>
          <w:szCs w:val="28"/>
          <w:lang w:val="uk-UA" w:eastAsia="uk-UA"/>
        </w:rPr>
      </w:pPr>
    </w:p>
    <w:p w14:paraId="2F8EBE7F" w14:textId="77777777" w:rsidR="005F048D" w:rsidRPr="00511005" w:rsidRDefault="005F048D" w:rsidP="003A292D">
      <w:pPr>
        <w:spacing w:line="264" w:lineRule="auto"/>
        <w:ind w:firstLine="0"/>
        <w:jc w:val="center"/>
        <w:rPr>
          <w:rFonts w:ascii="Arial" w:eastAsia="Calibri" w:hAnsi="Arial" w:cs="Arial"/>
          <w:b/>
          <w:i/>
          <w:szCs w:val="28"/>
          <w:lang w:val="uk-UA" w:eastAsia="uk-UA"/>
        </w:rPr>
      </w:pPr>
      <w:r w:rsidRPr="00511005">
        <w:rPr>
          <w:rFonts w:ascii="Arial" w:eastAsia="Calibri" w:hAnsi="Arial" w:cs="Arial"/>
          <w:b/>
          <w:i/>
          <w:szCs w:val="28"/>
          <w:lang w:val="uk-UA" w:eastAsia="uk-UA"/>
        </w:rPr>
        <w:t>Парамоненко Владислава Олександрівна</w:t>
      </w:r>
    </w:p>
    <w:p w14:paraId="122EE7AE" w14:textId="3117C4EF" w:rsidR="005F048D" w:rsidRPr="00511005" w:rsidRDefault="00536AAB" w:rsidP="003A292D">
      <w:pPr>
        <w:spacing w:line="264" w:lineRule="auto"/>
        <w:ind w:firstLine="0"/>
        <w:jc w:val="center"/>
        <w:rPr>
          <w:rFonts w:ascii="Arial" w:eastAsia="Calibri" w:hAnsi="Arial" w:cs="Arial"/>
          <w:szCs w:val="28"/>
          <w:lang w:val="uk-UA" w:eastAsia="uk-UA"/>
        </w:rPr>
      </w:pPr>
      <w:r w:rsidRPr="00511005">
        <w:rPr>
          <w:rFonts w:ascii="Arial" w:eastAsia="Calibri" w:hAnsi="Arial" w:cs="Arial"/>
          <w:szCs w:val="28"/>
          <w:lang w:val="uk-UA" w:eastAsia="uk-UA"/>
        </w:rPr>
        <w:t xml:space="preserve">студентка 4-го курсу </w:t>
      </w:r>
      <w:r w:rsidR="005F048D" w:rsidRPr="00511005">
        <w:rPr>
          <w:rFonts w:ascii="Arial" w:eastAsia="Calibri" w:hAnsi="Arial" w:cs="Arial"/>
          <w:szCs w:val="28"/>
          <w:lang w:val="uk-UA" w:eastAsia="uk-UA"/>
        </w:rPr>
        <w:t>факультету цивільної та господарською юстиції</w:t>
      </w:r>
      <w:r w:rsidR="005F048D" w:rsidRPr="00511005">
        <w:rPr>
          <w:rFonts w:ascii="Arial" w:eastAsia="Calibri" w:hAnsi="Arial" w:cs="Arial"/>
          <w:szCs w:val="28"/>
          <w:lang w:val="uk-UA" w:eastAsia="uk-UA"/>
        </w:rPr>
        <w:br/>
      </w:r>
      <w:r w:rsidR="007B2628" w:rsidRPr="00511005">
        <w:rPr>
          <w:rFonts w:ascii="Arial" w:eastAsia="Calibri" w:hAnsi="Arial" w:cs="Arial"/>
          <w:szCs w:val="28"/>
          <w:lang w:val="uk-UA" w:eastAsia="uk-UA"/>
        </w:rPr>
        <w:t>Національного університету «Одеська юридична академія»</w:t>
      </w:r>
    </w:p>
    <w:p w14:paraId="2C7AB403" w14:textId="77777777" w:rsidR="005F048D" w:rsidRPr="00511005" w:rsidRDefault="005F048D" w:rsidP="003A292D">
      <w:pPr>
        <w:spacing w:line="264" w:lineRule="auto"/>
        <w:ind w:firstLine="0"/>
        <w:jc w:val="center"/>
        <w:rPr>
          <w:rFonts w:ascii="Arial" w:eastAsia="Calibri" w:hAnsi="Arial" w:cs="Arial"/>
          <w:szCs w:val="28"/>
          <w:lang w:val="uk-UA" w:eastAsia="uk-UA"/>
        </w:rPr>
      </w:pPr>
    </w:p>
    <w:p w14:paraId="7A589A99" w14:textId="77777777" w:rsidR="005F048D" w:rsidRPr="00511005" w:rsidRDefault="005F048D" w:rsidP="003A292D">
      <w:pPr>
        <w:spacing w:line="264" w:lineRule="auto"/>
        <w:ind w:firstLine="0"/>
        <w:jc w:val="center"/>
        <w:rPr>
          <w:rFonts w:ascii="Arial" w:eastAsia="Calibri" w:hAnsi="Arial" w:cs="Arial"/>
          <w:b/>
          <w:szCs w:val="28"/>
          <w:lang w:val="uk-UA" w:eastAsia="uk-UA"/>
        </w:rPr>
      </w:pPr>
      <w:r w:rsidRPr="00511005">
        <w:rPr>
          <w:rFonts w:ascii="Arial" w:eastAsia="Calibri" w:hAnsi="Arial" w:cs="Arial"/>
          <w:b/>
          <w:szCs w:val="28"/>
          <w:lang w:val="uk-UA" w:eastAsia="uk-UA"/>
        </w:rPr>
        <w:t xml:space="preserve">ПРАВОВА ОХОРОНА ВИНАХОДІВ У СФЕРІ ФАРМАЦІЇ </w:t>
      </w:r>
    </w:p>
    <w:p w14:paraId="342FD2AC"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 xml:space="preserve">У сучасному світі інновації у сфері фармації є надзвичайно важливими для збереження і покращення здоров’я населення. Розробка нових </w:t>
      </w:r>
      <w:r w:rsidRPr="00511005">
        <w:rPr>
          <w:rFonts w:ascii="Arial" w:eastAsia="Calibri" w:hAnsi="Arial" w:cs="Arial"/>
          <w:bCs/>
          <w:szCs w:val="28"/>
          <w:lang w:val="uk-UA" w:eastAsia="uk-UA"/>
        </w:rPr>
        <w:lastRenderedPageBreak/>
        <w:t>лікарських засобів, методів лікування та медичних технологій потребує значних інтелектуальних, фінансових і часових ресурсів. Саме тому питання правової охорони таких розробок набуває особливої актуальності. Право інтелектуальної власності, зокрема патентне право, є ключовим механізмом захисту фармацевтичних винаходів. Воно не лише гарантує винахіднику виключне право на використання свого об’єкта інтелектуальної власності, а й створює сприятливе середовище для інноваційної діяльності, стимулює конкуренцію та сприяє науково-технічному прогресу.</w:t>
      </w:r>
    </w:p>
    <w:p w14:paraId="29B1EA53"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Правова охорона винаходів у сфері фармації в Україні здійснюється на основі низки нормативно-правових актів, серед яких провідне місце посідає Закон України «Про охорону прав на винаходи і корисні моделі». Цей закон визначає правові, організаційні та економічні засади набуття, здійснення та захисту прав на винаходи. Згідно із законодавством, винаходом визнається технічне рішення у будь-якій сфері технології, яке є новим, має винахідницький рівень та є придатним до промислового застосування. Особливої ваги ці положення набувають у фармацевтичній галузі, де новизна лікарських засобів прямо пов’язана із медичною ефективністю та безпекою.</w:t>
      </w:r>
    </w:p>
    <w:p w14:paraId="297743D3" w14:textId="4CB0FA78"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Строки правової охорони винаходів та корисних моделей також відрізняються: строк чинності майнових прав інтелектуальної власності на винахід становить 20 років від дати подання заявки до НОІВ, а на корисну модель – 10 років.</w:t>
      </w:r>
      <w:r w:rsidR="007B2628" w:rsidRPr="00511005">
        <w:rPr>
          <w:rFonts w:ascii="Arial" w:eastAsia="Calibri" w:hAnsi="Arial" w:cs="Arial"/>
          <w:bCs/>
          <w:szCs w:val="28"/>
          <w:lang w:val="uk-UA" w:eastAsia="uk-UA"/>
        </w:rPr>
        <w:t xml:space="preserve"> </w:t>
      </w:r>
      <w:r w:rsidRPr="00511005">
        <w:rPr>
          <w:rFonts w:ascii="Arial" w:eastAsia="Calibri" w:hAnsi="Arial" w:cs="Arial"/>
          <w:bCs/>
          <w:szCs w:val="28"/>
          <w:lang w:val="uk-UA" w:eastAsia="uk-UA"/>
        </w:rPr>
        <w:t>Строк додаткової охорони дорівнює періоду між датою подання заявки до НОІВ та датою одержання володільцем патенту першого дозволу компетентного органу, зменшеному на п’ять років. Строк додаткової охорони не може перевищувати п’ять років. Отже, строки додаткової охорони лікарського засобу залежать від фактичної тривалості процедури реєстрації лікарського засобу в МОЗ України.</w:t>
      </w:r>
    </w:p>
    <w:p w14:paraId="5F71CF0A"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Це дозволяє винахіднику або компанії отримати комерційні вигоди від інвестицій у наукові розробки та клінічні випробування. У цьому контексті охорона фармацевтичних винаходів слугує стимулом для розвитку інновацій, водночас створюючи виклики у сфері доступності лікарських засобів для населення, особливо у країнах із середнім і низьким рівнем доходів.</w:t>
      </w:r>
    </w:p>
    <w:p w14:paraId="2C20A739"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Доповненням до спеціального законодавства є положення Цивільного кодексу України, зокрема Глави 35, яка регламентує загальні засади інтелектуальної власності на винаходи. Ці положення містять критерії охороноздатності, обсяг прав патентовласника та умови їх реалізації. Так, стаття 464 ЦКУ визначає, що патент дає право власнику дозволяти або забороняти використання об’єкта третім особам, що є суттю монопольного становища у межах правового поля. Цей принцип відіграє надзвичайно важливу роль у фармацевтиці, де ринок лікарських засобів є високо конкурентним, а продукти — соціально значущими.</w:t>
      </w:r>
    </w:p>
    <w:p w14:paraId="7BBC0175"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lastRenderedPageBreak/>
        <w:t>У сфері фармацевтики важливим є також Закон України «Про лікарські засоби», який регулює питання допуску лікарських засобів до ринку. У взаємозв’язку з патентним правом функціонує положення про захист даних реєстраційного досьє, що надає додатковий рівень правового захисту інноваційним медикаментам, навіть після завершення строку дії патенту. Це особливо актуально для запобігання передчасному виходу на ринок генеричних копій препаратів, що дозволяє зберегти конкурентну перевагу оригінального виробника.</w:t>
      </w:r>
    </w:p>
    <w:p w14:paraId="7690D7D7"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Крім того, важливу роль відіграє Закон України «Про охорону прав на знаки для товарів і послуг». Хоча його предмет регулювання — торговельні марки, у фармацевтичному контексті це законодавство має безпосереднє значення для охорони комерційних найменувань лікарських засобів, що також є частиною інтелектуальної власності. Наявність зареєстрованої торговельної марки забезпечує диференціацію товару на ринку та підвищує довіру споживачів.</w:t>
      </w:r>
    </w:p>
    <w:p w14:paraId="2DB55A81"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На рівні міжнародного права Україна дотримується положень Угоди ТРІПС, що закріплює базові стандарти охорони інтелектуальної власності для країн-членів Світової організації торгівлі. Одним із ключових принципів є необхідність забезпечення патентоспроможності фармацевтичних продуктів і способів їх виробництва. Це означає, що фармацевтичні винаходи повинні охоронятися так само, як і інші технічні рішення, без дискримінації за видом технології. Україна також є учасницею Паризької конвенції про охорону промислової власності та Договору про патентну кооперацію (PCT), що спрощує подання міжнародних патентних заявок.</w:t>
      </w:r>
    </w:p>
    <w:p w14:paraId="215DC308"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Загалом, правова охорона фармацевтичних винаходів в Україні функціонує у межах комплексного національного та міжнародного нормативного середовища, яке має забезпечити ефективний баланс між інтересами інноваторів та суспільною потребою в доступних лікарських засобах. Правова конструкція, хоч і є досить розвиненою, потребує подальшого вдосконалення в напрямку забезпечення більшої прозорості процедур, скорочення бюрократичних бар’єрів і підвищення рівня захисту пацієнтів.</w:t>
      </w:r>
    </w:p>
    <w:p w14:paraId="250FDE47"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Однією з головних проблем є відсутність чітких механізмів взаємодії між патентним законодавством та регуляторними процедурами реєстрації лікарських засобів. Це призводить до ситуацій, коли генеричні препарати можуть отримати реєстрацію та вийти на ринок до завершення строку дії патенту на оригінальний препарат, що порушує права патентовласника.</w:t>
      </w:r>
    </w:p>
    <w:p w14:paraId="6CCF117F"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Крім того, в українському законодавстві недостатньо врегульоване питання щодо захисту даних, поданих для реєстрації лікарських засобів. Відсутність чітких норм щодо ексклюзивності даних створює ризик їх використання третіми особами без згоди власника, що підриває інтереси інноваторів.</w:t>
      </w:r>
    </w:p>
    <w:p w14:paraId="5EDF2ED2"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lastRenderedPageBreak/>
        <w:t>Ще однією проблемою є складність та тривалість процедур патентування, що може призвести до затримок у наданні правової охорони винаходів. Це особливо критично для фармацевтичної галузі, де своєчасний захист інтелектуальної власності є ключовим фактором комерційного успіху.</w:t>
      </w:r>
    </w:p>
    <w:p w14:paraId="33140788"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Правова охорона винаходів у сфері фармації є критично важливою складовою забезпечення науково-технічного прогресу, розвитку охорони здоров’я та формування конкурентоспроможного фармацевтичного ринку. Враховуючи специфіку фармацевтичних розробок, зокрема тривалість клінічних досліджень, високу вартість інновацій та соціальну значущість кінцевого продукту — лікарських засобів, — ефективний правовий механізм захисту інтелектуальної власності стає запорукою інвестиційної привабливості галузі.</w:t>
      </w:r>
    </w:p>
    <w:p w14:paraId="2271ACB2"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Українське законодавство у цій сфері, попри наявність основних нормативних актів і міжнародних зобов’язань, усе ще перебуває на етапі формування повноцінної системи правового захисту. Недостатня гармонізація національних норм із європейськими стандартами, нечітке регулювання питань захисту клінічних та реєстраційних даних, а також складність процедур патентування негативно впливають на правову визначеність та стримують як внутрішні, так і зовнішні інноваційні ініціативи.</w:t>
      </w:r>
    </w:p>
    <w:p w14:paraId="7DFAFCA8" w14:textId="77777777" w:rsidR="005F048D" w:rsidRPr="00511005" w:rsidRDefault="005F048D" w:rsidP="003A292D">
      <w:pPr>
        <w:spacing w:line="264" w:lineRule="auto"/>
        <w:rPr>
          <w:rFonts w:ascii="Arial" w:eastAsia="Calibri" w:hAnsi="Arial" w:cs="Arial"/>
          <w:bCs/>
          <w:szCs w:val="28"/>
          <w:lang w:val="uk-UA" w:eastAsia="uk-UA"/>
        </w:rPr>
      </w:pPr>
      <w:r w:rsidRPr="00511005">
        <w:rPr>
          <w:rFonts w:ascii="Arial" w:eastAsia="Calibri" w:hAnsi="Arial" w:cs="Arial"/>
          <w:bCs/>
          <w:szCs w:val="28"/>
          <w:lang w:val="uk-UA" w:eastAsia="uk-UA"/>
        </w:rPr>
        <w:t>Таким чином, правова охорона фармацевтичних винаходів в Україні має не лише забезпечувати захист виключних прав на інтелектуальну власність, а й виступати ефективним інструментом державної політики в галузі охорони здоров’я, орієнтованої на поєднання стимулювання інновацій і забезпечення доступу населення до якісних, ефективних і безпечних лікарських засобів.</w:t>
      </w:r>
    </w:p>
    <w:p w14:paraId="20BBAAA0" w14:textId="77777777" w:rsidR="005F048D" w:rsidRPr="00511005" w:rsidRDefault="005F048D" w:rsidP="003A292D">
      <w:pPr>
        <w:spacing w:line="264" w:lineRule="auto"/>
        <w:jc w:val="center"/>
        <w:rPr>
          <w:rFonts w:ascii="Arial" w:eastAsia="Calibri" w:hAnsi="Arial" w:cs="Arial"/>
          <w:b/>
          <w:szCs w:val="28"/>
          <w:lang w:val="uk-UA" w:eastAsia="uk-UA"/>
        </w:rPr>
      </w:pPr>
    </w:p>
    <w:p w14:paraId="5A8D7DB0" w14:textId="1AF53E8A" w:rsidR="005F048D" w:rsidRPr="00511005" w:rsidRDefault="007B2628" w:rsidP="007B2628">
      <w:pPr>
        <w:spacing w:line="264" w:lineRule="auto"/>
        <w:jc w:val="center"/>
        <w:rPr>
          <w:rFonts w:ascii="Arial" w:eastAsia="Calibri" w:hAnsi="Arial" w:cs="Arial"/>
          <w:b/>
          <w:szCs w:val="28"/>
          <w:lang w:val="uk-UA" w:eastAsia="uk-UA"/>
        </w:rPr>
      </w:pPr>
      <w:r w:rsidRPr="00511005">
        <w:rPr>
          <w:rFonts w:ascii="Arial" w:eastAsia="Calibri" w:hAnsi="Arial" w:cs="Arial"/>
          <w:b/>
          <w:szCs w:val="28"/>
          <w:lang w:val="uk-UA" w:eastAsia="uk-UA"/>
        </w:rPr>
        <w:t>Список використаних джерел</w:t>
      </w:r>
    </w:p>
    <w:p w14:paraId="011BA04F" w14:textId="77777777" w:rsidR="005F048D" w:rsidRPr="00511005" w:rsidRDefault="005F048D" w:rsidP="003F6A5D">
      <w:pPr>
        <w:numPr>
          <w:ilvl w:val="0"/>
          <w:numId w:val="349"/>
        </w:numPr>
        <w:tabs>
          <w:tab w:val="clear" w:pos="720"/>
        </w:tabs>
        <w:spacing w:line="264" w:lineRule="auto"/>
        <w:ind w:left="0" w:firstLine="709"/>
        <w:jc w:val="left"/>
        <w:rPr>
          <w:rFonts w:ascii="Arial" w:eastAsia="Calibri" w:hAnsi="Arial" w:cs="Arial"/>
          <w:szCs w:val="28"/>
          <w:lang w:val="uk-UA" w:eastAsia="uk-UA"/>
        </w:rPr>
      </w:pPr>
      <w:r w:rsidRPr="00511005">
        <w:rPr>
          <w:rFonts w:ascii="Arial" w:eastAsia="Calibri" w:hAnsi="Arial" w:cs="Arial"/>
          <w:szCs w:val="28"/>
          <w:lang w:val="uk-UA" w:eastAsia="uk-UA"/>
        </w:rPr>
        <w:t xml:space="preserve">Закон України «Про охорону прав на винаходи і корисні моделі» </w:t>
      </w:r>
      <w:r w:rsidRPr="00511005">
        <w:rPr>
          <w:rFonts w:ascii="Arial" w:eastAsia="Calibri" w:hAnsi="Arial" w:cs="Arial"/>
          <w:szCs w:val="28"/>
          <w:lang w:val="en-US" w:eastAsia="uk-UA"/>
        </w:rPr>
        <w:t>URL</w:t>
      </w:r>
      <w:r w:rsidRPr="00511005">
        <w:rPr>
          <w:rFonts w:ascii="Arial" w:eastAsia="Calibri" w:hAnsi="Arial" w:cs="Arial"/>
          <w:szCs w:val="28"/>
          <w:lang w:val="uk-UA" w:eastAsia="uk-UA"/>
        </w:rPr>
        <w:t xml:space="preserve">: </w:t>
      </w:r>
      <w:hyperlink r:id="rId1330" w:history="1">
        <w:r w:rsidRPr="00511005">
          <w:rPr>
            <w:rFonts w:ascii="Arial" w:eastAsia="Calibri" w:hAnsi="Arial" w:cs="Arial"/>
            <w:szCs w:val="28"/>
            <w:lang w:val="uk-UA" w:eastAsia="uk-UA"/>
          </w:rPr>
          <w:t>https://zakon.rada.gov.ua/laws/show/3687-12</w:t>
        </w:r>
      </w:hyperlink>
      <w:r w:rsidRPr="00511005">
        <w:rPr>
          <w:rFonts w:ascii="Arial" w:eastAsia="Calibri" w:hAnsi="Arial" w:cs="Arial"/>
          <w:szCs w:val="28"/>
          <w:lang w:val="uk-UA" w:eastAsia="uk-UA"/>
        </w:rPr>
        <w:t>.</w:t>
      </w:r>
    </w:p>
    <w:p w14:paraId="1BE1A23C" w14:textId="77777777" w:rsidR="005F048D" w:rsidRPr="00511005" w:rsidRDefault="005F048D" w:rsidP="003F6A5D">
      <w:pPr>
        <w:numPr>
          <w:ilvl w:val="0"/>
          <w:numId w:val="349"/>
        </w:numPr>
        <w:tabs>
          <w:tab w:val="clear" w:pos="720"/>
        </w:tabs>
        <w:spacing w:line="264" w:lineRule="auto"/>
        <w:ind w:left="0" w:firstLine="709"/>
        <w:jc w:val="left"/>
        <w:rPr>
          <w:rFonts w:ascii="Arial" w:eastAsia="Calibri" w:hAnsi="Arial" w:cs="Arial"/>
          <w:szCs w:val="28"/>
          <w:lang w:val="uk-UA" w:eastAsia="uk-UA"/>
        </w:rPr>
      </w:pPr>
      <w:r w:rsidRPr="00511005">
        <w:rPr>
          <w:rFonts w:ascii="Arial" w:eastAsia="Calibri" w:hAnsi="Arial" w:cs="Arial"/>
          <w:szCs w:val="28"/>
          <w:lang w:val="uk-UA" w:eastAsia="uk-UA"/>
        </w:rPr>
        <w:t xml:space="preserve">Цивільний кодекс України. </w:t>
      </w:r>
      <w:r w:rsidRPr="00511005">
        <w:rPr>
          <w:rFonts w:ascii="Arial" w:eastAsia="Calibri" w:hAnsi="Arial" w:cs="Arial"/>
          <w:szCs w:val="28"/>
          <w:lang w:val="en-US" w:eastAsia="uk-UA"/>
        </w:rPr>
        <w:t>URL</w:t>
      </w:r>
      <w:r w:rsidRPr="00511005">
        <w:rPr>
          <w:rFonts w:ascii="Arial" w:eastAsia="Calibri" w:hAnsi="Arial" w:cs="Arial"/>
          <w:szCs w:val="28"/>
          <w:lang w:val="uk-UA" w:eastAsia="uk-UA"/>
        </w:rPr>
        <w:t xml:space="preserve">: </w:t>
      </w:r>
      <w:hyperlink r:id="rId1331" w:history="1">
        <w:r w:rsidRPr="00511005">
          <w:rPr>
            <w:rFonts w:ascii="Arial" w:eastAsia="Calibri" w:hAnsi="Arial" w:cs="Arial"/>
            <w:szCs w:val="28"/>
            <w:lang w:val="uk-UA" w:eastAsia="uk-UA"/>
          </w:rPr>
          <w:t>https://zakon.rada.gov.ua/laws/show/435-15</w:t>
        </w:r>
      </w:hyperlink>
      <w:r w:rsidRPr="00511005">
        <w:rPr>
          <w:rFonts w:ascii="Arial" w:eastAsia="Calibri" w:hAnsi="Arial" w:cs="Arial"/>
          <w:szCs w:val="28"/>
          <w:lang w:val="uk-UA" w:eastAsia="uk-UA"/>
        </w:rPr>
        <w:t>.</w:t>
      </w:r>
    </w:p>
    <w:p w14:paraId="3A199FBB" w14:textId="77777777" w:rsidR="005F048D" w:rsidRPr="00511005" w:rsidRDefault="005F048D" w:rsidP="003F6A5D">
      <w:pPr>
        <w:numPr>
          <w:ilvl w:val="0"/>
          <w:numId w:val="349"/>
        </w:numPr>
        <w:tabs>
          <w:tab w:val="clear" w:pos="720"/>
        </w:tabs>
        <w:spacing w:line="264" w:lineRule="auto"/>
        <w:ind w:left="0" w:firstLine="709"/>
        <w:jc w:val="left"/>
        <w:rPr>
          <w:rFonts w:ascii="Arial" w:eastAsia="Calibri" w:hAnsi="Arial" w:cs="Arial"/>
          <w:szCs w:val="28"/>
          <w:lang w:val="uk-UA" w:eastAsia="uk-UA"/>
        </w:rPr>
      </w:pPr>
      <w:r w:rsidRPr="00511005">
        <w:rPr>
          <w:rFonts w:ascii="Arial" w:eastAsia="Calibri" w:hAnsi="Arial" w:cs="Arial"/>
          <w:szCs w:val="28"/>
          <w:lang w:val="uk-UA" w:eastAsia="uk-UA"/>
        </w:rPr>
        <w:t>Закон України «Про лікарські засоби»</w:t>
      </w:r>
      <w:r w:rsidRPr="00511005">
        <w:rPr>
          <w:rFonts w:ascii="Arial" w:eastAsia="Calibri" w:hAnsi="Arial" w:cs="Arial"/>
          <w:szCs w:val="28"/>
          <w:lang w:eastAsia="uk-UA"/>
        </w:rPr>
        <w:t xml:space="preserve">. </w:t>
      </w:r>
      <w:r w:rsidRPr="00511005">
        <w:rPr>
          <w:rFonts w:ascii="Arial" w:eastAsia="Calibri" w:hAnsi="Arial" w:cs="Arial"/>
          <w:szCs w:val="28"/>
          <w:lang w:val="pl-PL" w:eastAsia="uk-UA"/>
        </w:rPr>
        <w:t>URL</w:t>
      </w:r>
      <w:r w:rsidRPr="00511005">
        <w:rPr>
          <w:rFonts w:ascii="Arial" w:eastAsia="Calibri" w:hAnsi="Arial" w:cs="Arial"/>
          <w:szCs w:val="28"/>
          <w:lang w:val="uk-UA" w:eastAsia="uk-UA"/>
        </w:rPr>
        <w:t xml:space="preserve">: </w:t>
      </w:r>
      <w:hyperlink r:id="rId1332" w:history="1">
        <w:r w:rsidRPr="00511005">
          <w:rPr>
            <w:rFonts w:ascii="Arial" w:eastAsia="Calibri" w:hAnsi="Arial" w:cs="Arial"/>
            <w:szCs w:val="28"/>
            <w:lang w:val="uk-UA" w:eastAsia="uk-UA"/>
          </w:rPr>
          <w:t>https://zakon.rada.gov.ua/laws/show/123/96-вр</w:t>
        </w:r>
      </w:hyperlink>
      <w:r w:rsidRPr="00511005">
        <w:rPr>
          <w:rFonts w:ascii="Arial" w:eastAsia="Calibri" w:hAnsi="Arial" w:cs="Arial"/>
          <w:szCs w:val="28"/>
          <w:lang w:val="uk-UA" w:eastAsia="uk-UA"/>
        </w:rPr>
        <w:t>.</w:t>
      </w:r>
    </w:p>
    <w:p w14:paraId="0411964D" w14:textId="77777777" w:rsidR="005F048D" w:rsidRPr="00511005" w:rsidRDefault="005F048D" w:rsidP="003F6A5D">
      <w:pPr>
        <w:numPr>
          <w:ilvl w:val="0"/>
          <w:numId w:val="349"/>
        </w:numPr>
        <w:tabs>
          <w:tab w:val="clear" w:pos="720"/>
        </w:tabs>
        <w:spacing w:line="264" w:lineRule="auto"/>
        <w:ind w:left="0" w:firstLine="709"/>
        <w:jc w:val="left"/>
        <w:rPr>
          <w:rFonts w:ascii="Arial" w:eastAsia="Calibri" w:hAnsi="Arial" w:cs="Arial"/>
          <w:szCs w:val="28"/>
          <w:lang w:val="uk-UA" w:eastAsia="uk-UA"/>
        </w:rPr>
      </w:pPr>
      <w:r w:rsidRPr="00511005">
        <w:rPr>
          <w:rFonts w:ascii="Arial" w:eastAsia="Calibri" w:hAnsi="Arial" w:cs="Arial"/>
          <w:szCs w:val="28"/>
          <w:lang w:val="uk-UA" w:eastAsia="uk-UA"/>
        </w:rPr>
        <w:t>Закон України «Про охорону прав на знаки для товарів і послуг»</w:t>
      </w:r>
      <w:r w:rsidRPr="00511005">
        <w:rPr>
          <w:rFonts w:ascii="Arial" w:eastAsia="Calibri" w:hAnsi="Arial" w:cs="Arial"/>
          <w:szCs w:val="28"/>
          <w:lang w:eastAsia="uk-UA"/>
        </w:rPr>
        <w:t xml:space="preserve">. </w:t>
      </w:r>
      <w:r w:rsidRPr="00511005">
        <w:rPr>
          <w:rFonts w:ascii="Arial" w:eastAsia="Calibri" w:hAnsi="Arial" w:cs="Arial"/>
          <w:szCs w:val="28"/>
          <w:lang w:val="pl-PL" w:eastAsia="uk-UA"/>
        </w:rPr>
        <w:t>URL</w:t>
      </w:r>
      <w:r w:rsidRPr="00511005">
        <w:rPr>
          <w:rFonts w:ascii="Arial" w:eastAsia="Calibri" w:hAnsi="Arial" w:cs="Arial"/>
          <w:szCs w:val="28"/>
          <w:lang w:val="uk-UA" w:eastAsia="uk-UA"/>
        </w:rPr>
        <w:t xml:space="preserve">: </w:t>
      </w:r>
      <w:hyperlink r:id="rId1333" w:history="1">
        <w:r w:rsidRPr="00511005">
          <w:rPr>
            <w:rFonts w:ascii="Arial" w:eastAsia="Calibri" w:hAnsi="Arial" w:cs="Arial"/>
            <w:szCs w:val="28"/>
            <w:lang w:val="uk-UA" w:eastAsia="uk-UA"/>
          </w:rPr>
          <w:t>https://zakon.rada.gov.ua/laws/show/3689-12</w:t>
        </w:r>
      </w:hyperlink>
      <w:r w:rsidRPr="00511005">
        <w:rPr>
          <w:rFonts w:ascii="Arial" w:eastAsia="Calibri" w:hAnsi="Arial" w:cs="Arial"/>
          <w:szCs w:val="28"/>
          <w:lang w:val="uk-UA" w:eastAsia="uk-UA"/>
        </w:rPr>
        <w:t>.</w:t>
      </w:r>
    </w:p>
    <w:p w14:paraId="31BFBD2C" w14:textId="77777777" w:rsidR="005F048D" w:rsidRPr="00511005" w:rsidRDefault="005F048D" w:rsidP="003F6A5D">
      <w:pPr>
        <w:numPr>
          <w:ilvl w:val="0"/>
          <w:numId w:val="349"/>
        </w:numPr>
        <w:tabs>
          <w:tab w:val="clear" w:pos="720"/>
        </w:tabs>
        <w:spacing w:line="264" w:lineRule="auto"/>
        <w:ind w:left="0" w:firstLine="709"/>
        <w:jc w:val="left"/>
        <w:rPr>
          <w:rFonts w:ascii="Arial" w:eastAsia="Calibri" w:hAnsi="Arial" w:cs="Arial"/>
          <w:szCs w:val="28"/>
          <w:lang w:val="uk-UA" w:eastAsia="uk-UA"/>
        </w:rPr>
      </w:pPr>
      <w:r w:rsidRPr="00511005">
        <w:rPr>
          <w:rFonts w:ascii="Arial" w:eastAsia="Calibri" w:hAnsi="Arial" w:cs="Arial"/>
          <w:szCs w:val="28"/>
          <w:lang w:val="uk-UA" w:eastAsia="uk-UA"/>
        </w:rPr>
        <w:t>Угода ТРІПС (Угода про торговельні аспекти прав інтелектуальної власності)</w:t>
      </w:r>
      <w:r w:rsidRPr="00511005">
        <w:rPr>
          <w:rFonts w:ascii="Arial" w:eastAsia="Calibri" w:hAnsi="Arial" w:cs="Arial"/>
          <w:szCs w:val="28"/>
          <w:lang w:eastAsia="uk-UA"/>
        </w:rPr>
        <w:t xml:space="preserve">. </w:t>
      </w:r>
      <w:r w:rsidRPr="00511005">
        <w:rPr>
          <w:rFonts w:ascii="Arial" w:eastAsia="Calibri" w:hAnsi="Arial" w:cs="Arial"/>
          <w:szCs w:val="28"/>
          <w:lang w:val="pl-PL" w:eastAsia="uk-UA"/>
        </w:rPr>
        <w:t>URL</w:t>
      </w:r>
      <w:r w:rsidRPr="00511005">
        <w:rPr>
          <w:rFonts w:ascii="Arial" w:eastAsia="Calibri" w:hAnsi="Arial" w:cs="Arial"/>
          <w:szCs w:val="28"/>
          <w:lang w:val="uk-UA" w:eastAsia="uk-UA"/>
        </w:rPr>
        <w:t xml:space="preserve">: </w:t>
      </w:r>
      <w:hyperlink r:id="rId1334" w:history="1">
        <w:r w:rsidRPr="00511005">
          <w:rPr>
            <w:rFonts w:ascii="Arial" w:eastAsia="Calibri" w:hAnsi="Arial" w:cs="Arial"/>
            <w:szCs w:val="28"/>
            <w:lang w:val="uk-UA" w:eastAsia="uk-UA"/>
          </w:rPr>
          <w:t>https://www.wto.org/english/docs_e/legal_e/27-trips_04_e.htm</w:t>
        </w:r>
      </w:hyperlink>
      <w:r w:rsidRPr="00511005">
        <w:rPr>
          <w:rFonts w:ascii="Arial" w:eastAsia="Calibri" w:hAnsi="Arial" w:cs="Arial"/>
          <w:szCs w:val="28"/>
          <w:lang w:val="uk-UA" w:eastAsia="uk-UA"/>
        </w:rPr>
        <w:t>.</w:t>
      </w:r>
    </w:p>
    <w:p w14:paraId="23C9197A" w14:textId="77777777" w:rsidR="005F048D" w:rsidRPr="00511005" w:rsidRDefault="005F048D" w:rsidP="003F6A5D">
      <w:pPr>
        <w:numPr>
          <w:ilvl w:val="0"/>
          <w:numId w:val="349"/>
        </w:numPr>
        <w:tabs>
          <w:tab w:val="clear" w:pos="720"/>
        </w:tabs>
        <w:spacing w:line="264" w:lineRule="auto"/>
        <w:ind w:left="0" w:firstLine="709"/>
        <w:jc w:val="left"/>
        <w:rPr>
          <w:rFonts w:ascii="Arial" w:eastAsia="Calibri" w:hAnsi="Arial" w:cs="Arial"/>
          <w:szCs w:val="28"/>
          <w:lang w:val="uk-UA" w:eastAsia="uk-UA"/>
        </w:rPr>
      </w:pPr>
      <w:r w:rsidRPr="00511005">
        <w:rPr>
          <w:rFonts w:ascii="Arial" w:eastAsia="Calibri" w:hAnsi="Arial" w:cs="Arial"/>
          <w:szCs w:val="28"/>
          <w:lang w:val="uk-UA" w:eastAsia="uk-UA"/>
        </w:rPr>
        <w:t>Паризька конвенція про охорону промислової власності</w:t>
      </w:r>
      <w:r w:rsidRPr="00511005">
        <w:rPr>
          <w:rFonts w:ascii="Arial" w:eastAsia="Calibri" w:hAnsi="Arial" w:cs="Arial"/>
          <w:szCs w:val="28"/>
          <w:lang w:eastAsia="uk-UA"/>
        </w:rPr>
        <w:t xml:space="preserve">. </w:t>
      </w:r>
      <w:r w:rsidRPr="00511005">
        <w:rPr>
          <w:rFonts w:ascii="Arial" w:eastAsia="Calibri" w:hAnsi="Arial" w:cs="Arial"/>
          <w:szCs w:val="28"/>
          <w:lang w:val="pl-PL" w:eastAsia="uk-UA"/>
        </w:rPr>
        <w:t>URL</w:t>
      </w:r>
      <w:r w:rsidRPr="00511005">
        <w:rPr>
          <w:rFonts w:ascii="Arial" w:eastAsia="Calibri" w:hAnsi="Arial" w:cs="Arial"/>
          <w:szCs w:val="28"/>
          <w:lang w:val="uk-UA" w:eastAsia="uk-UA"/>
        </w:rPr>
        <w:t xml:space="preserve">: </w:t>
      </w:r>
      <w:hyperlink r:id="rId1335" w:history="1">
        <w:r w:rsidRPr="00511005">
          <w:rPr>
            <w:rFonts w:ascii="Arial" w:eastAsia="Calibri" w:hAnsi="Arial" w:cs="Arial"/>
            <w:szCs w:val="28"/>
            <w:lang w:val="uk-UA" w:eastAsia="uk-UA"/>
          </w:rPr>
          <w:t>https://www.wipo.int/treaties/en/ip/paris/</w:t>
        </w:r>
      </w:hyperlink>
      <w:r w:rsidRPr="00511005">
        <w:rPr>
          <w:rFonts w:ascii="Arial" w:eastAsia="Calibri" w:hAnsi="Arial" w:cs="Arial"/>
          <w:szCs w:val="28"/>
          <w:lang w:val="uk-UA" w:eastAsia="uk-UA"/>
        </w:rPr>
        <w:t>.</w:t>
      </w:r>
    </w:p>
    <w:p w14:paraId="74E324A6" w14:textId="77777777" w:rsidR="005F048D" w:rsidRPr="00511005" w:rsidRDefault="005F048D" w:rsidP="003F6A5D">
      <w:pPr>
        <w:numPr>
          <w:ilvl w:val="0"/>
          <w:numId w:val="349"/>
        </w:numPr>
        <w:tabs>
          <w:tab w:val="clear" w:pos="720"/>
        </w:tabs>
        <w:spacing w:line="264" w:lineRule="auto"/>
        <w:ind w:left="0" w:firstLine="709"/>
        <w:jc w:val="left"/>
        <w:rPr>
          <w:rFonts w:ascii="Arial" w:eastAsia="Calibri" w:hAnsi="Arial" w:cs="Arial"/>
          <w:szCs w:val="28"/>
          <w:lang w:val="uk-UA" w:eastAsia="uk-UA"/>
        </w:rPr>
      </w:pPr>
      <w:r w:rsidRPr="00511005">
        <w:rPr>
          <w:rFonts w:ascii="Arial" w:eastAsia="Calibri" w:hAnsi="Arial" w:cs="Arial"/>
          <w:szCs w:val="28"/>
          <w:lang w:val="uk-UA" w:eastAsia="uk-UA"/>
        </w:rPr>
        <w:t>Договір про патентну кооперацію (PCT)</w:t>
      </w:r>
      <w:r w:rsidRPr="00511005">
        <w:rPr>
          <w:rFonts w:ascii="Arial" w:eastAsia="Calibri" w:hAnsi="Arial" w:cs="Arial"/>
          <w:szCs w:val="28"/>
          <w:lang w:eastAsia="uk-UA"/>
        </w:rPr>
        <w:t xml:space="preserve">. </w:t>
      </w:r>
      <w:r w:rsidRPr="00511005">
        <w:rPr>
          <w:rFonts w:ascii="Arial" w:eastAsia="Calibri" w:hAnsi="Arial" w:cs="Arial"/>
          <w:szCs w:val="28"/>
          <w:lang w:val="pl-PL" w:eastAsia="uk-UA"/>
        </w:rPr>
        <w:t>URL</w:t>
      </w:r>
      <w:r w:rsidRPr="00511005">
        <w:rPr>
          <w:rFonts w:ascii="Arial" w:eastAsia="Calibri" w:hAnsi="Arial" w:cs="Arial"/>
          <w:szCs w:val="28"/>
          <w:lang w:val="uk-UA" w:eastAsia="uk-UA"/>
        </w:rPr>
        <w:t xml:space="preserve">: </w:t>
      </w:r>
      <w:hyperlink r:id="rId1336" w:history="1">
        <w:r w:rsidRPr="00511005">
          <w:rPr>
            <w:rFonts w:ascii="Arial" w:eastAsia="Calibri" w:hAnsi="Arial" w:cs="Arial"/>
            <w:szCs w:val="28"/>
            <w:lang w:val="uk-UA" w:eastAsia="uk-UA"/>
          </w:rPr>
          <w:t>https://www.wipo.int/pct/en/</w:t>
        </w:r>
      </w:hyperlink>
      <w:r w:rsidRPr="00511005">
        <w:rPr>
          <w:rFonts w:ascii="Arial" w:eastAsia="Calibri" w:hAnsi="Arial" w:cs="Arial"/>
          <w:szCs w:val="28"/>
          <w:lang w:val="uk-UA" w:eastAsia="uk-UA"/>
        </w:rPr>
        <w:t>.</w:t>
      </w:r>
    </w:p>
    <w:p w14:paraId="4901F182" w14:textId="77777777" w:rsidR="005F048D" w:rsidRPr="00511005" w:rsidRDefault="005F048D" w:rsidP="003A292D">
      <w:pPr>
        <w:spacing w:line="264" w:lineRule="auto"/>
        <w:rPr>
          <w:rFonts w:ascii="Arial" w:eastAsia="Calibri" w:hAnsi="Arial" w:cs="Arial"/>
          <w:b/>
          <w:i/>
          <w:szCs w:val="28"/>
          <w:lang w:val="uk-UA" w:eastAsia="uk-UA"/>
        </w:rPr>
      </w:pPr>
    </w:p>
    <w:p w14:paraId="6A9AF625" w14:textId="0209670C" w:rsidR="005F048D" w:rsidRPr="00511005" w:rsidRDefault="007B2628" w:rsidP="003A292D">
      <w:pPr>
        <w:spacing w:line="264" w:lineRule="auto"/>
        <w:rPr>
          <w:rFonts w:ascii="Arial" w:eastAsia="Calibri" w:hAnsi="Arial" w:cs="Arial"/>
          <w:i/>
          <w:szCs w:val="28"/>
          <w:lang w:eastAsia="uk-UA"/>
        </w:rPr>
      </w:pPr>
      <w:r w:rsidRPr="00511005">
        <w:rPr>
          <w:rFonts w:ascii="Arial" w:eastAsia="Calibri" w:hAnsi="Arial" w:cs="Arial"/>
          <w:b/>
          <w:i/>
          <w:szCs w:val="28"/>
          <w:lang w:val="uk-UA" w:eastAsia="uk-UA"/>
        </w:rPr>
        <w:t xml:space="preserve">Ключові слова: </w:t>
      </w:r>
      <w:r w:rsidR="005F048D" w:rsidRPr="00511005">
        <w:rPr>
          <w:rFonts w:ascii="Arial" w:eastAsia="Calibri" w:hAnsi="Arial" w:cs="Arial"/>
          <w:i/>
          <w:szCs w:val="28"/>
          <w:lang w:val="uk-UA" w:eastAsia="uk-UA"/>
        </w:rPr>
        <w:t>правова охорона, винаходи, фармація, патент, інтелектуальна власність, законодавство</w:t>
      </w:r>
      <w:r w:rsidR="005F048D" w:rsidRPr="00511005">
        <w:rPr>
          <w:rFonts w:ascii="Arial" w:eastAsia="Calibri" w:hAnsi="Arial" w:cs="Arial"/>
          <w:i/>
          <w:szCs w:val="28"/>
          <w:lang w:eastAsia="uk-UA"/>
        </w:rPr>
        <w:t>.</w:t>
      </w:r>
    </w:p>
    <w:p w14:paraId="55E1D530" w14:textId="01942DFD" w:rsidR="005F048D" w:rsidRPr="00511005" w:rsidRDefault="007B2628" w:rsidP="003A292D">
      <w:pPr>
        <w:pBdr>
          <w:top w:val="nil"/>
          <w:left w:val="nil"/>
          <w:bottom w:val="nil"/>
          <w:right w:val="nil"/>
          <w:between w:val="nil"/>
        </w:pBdr>
        <w:spacing w:line="264" w:lineRule="auto"/>
        <w:rPr>
          <w:rFonts w:ascii="Arial" w:eastAsia="Calibri" w:hAnsi="Arial" w:cs="Arial"/>
          <w:i/>
          <w:szCs w:val="28"/>
          <w:lang w:val="uk-UA" w:eastAsia="uk-UA"/>
        </w:rPr>
      </w:pPr>
      <w:r w:rsidRPr="00511005">
        <w:rPr>
          <w:rFonts w:ascii="Arial" w:eastAsia="Calibri" w:hAnsi="Arial" w:cs="Arial"/>
          <w:b/>
          <w:i/>
          <w:szCs w:val="28"/>
          <w:lang w:val="uk-UA" w:eastAsia="uk-UA"/>
        </w:rPr>
        <w:t xml:space="preserve">Key words: </w:t>
      </w:r>
      <w:r w:rsidR="005F048D" w:rsidRPr="00511005">
        <w:rPr>
          <w:rFonts w:ascii="Arial" w:eastAsia="Calibri" w:hAnsi="Arial" w:cs="Arial"/>
          <w:i/>
          <w:szCs w:val="28"/>
          <w:lang w:val="en-US" w:eastAsia="uk-UA"/>
        </w:rPr>
        <w:t>legal protection, inventions, pharmacy, patent, intellectual property, legislation</w:t>
      </w:r>
      <w:r w:rsidR="005F048D" w:rsidRPr="00511005">
        <w:rPr>
          <w:rFonts w:ascii="Arial" w:eastAsia="Calibri" w:hAnsi="Arial" w:cs="Arial"/>
          <w:i/>
          <w:szCs w:val="28"/>
          <w:lang w:val="uk-UA" w:eastAsia="uk-UA"/>
        </w:rPr>
        <w:t>.</w:t>
      </w:r>
    </w:p>
    <w:p w14:paraId="53BC73EB" w14:textId="4D002E2A" w:rsidR="005F048D" w:rsidRPr="00511005" w:rsidRDefault="007B2628" w:rsidP="003A292D">
      <w:pPr>
        <w:spacing w:line="264" w:lineRule="auto"/>
        <w:rPr>
          <w:rFonts w:ascii="Arial" w:eastAsia="Calibri" w:hAnsi="Arial" w:cs="Arial"/>
          <w:b/>
          <w:bCs/>
          <w:i/>
          <w:iCs/>
          <w:szCs w:val="28"/>
          <w:lang w:val="uk-UA" w:eastAsia="uk-UA"/>
        </w:rPr>
      </w:pPr>
      <w:r w:rsidRPr="00511005">
        <w:rPr>
          <w:rFonts w:ascii="Arial" w:eastAsia="Calibri" w:hAnsi="Arial" w:cs="Arial"/>
          <w:b/>
          <w:i/>
          <w:iCs/>
          <w:szCs w:val="28"/>
          <w:lang w:val="uk-UA" w:eastAsia="uk-UA"/>
        </w:rPr>
        <w:t xml:space="preserve">Науковий керівник: </w:t>
      </w:r>
      <w:r w:rsidR="005F048D" w:rsidRPr="00511005">
        <w:rPr>
          <w:rFonts w:ascii="Arial" w:eastAsia="Calibri" w:hAnsi="Arial" w:cs="Arial"/>
          <w:i/>
          <w:iCs/>
          <w:szCs w:val="28"/>
          <w:lang w:val="uk-UA" w:eastAsia="uk-UA"/>
        </w:rPr>
        <w:t xml:space="preserve">к.ю.н., </w:t>
      </w:r>
      <w:r w:rsidR="005F048D" w:rsidRPr="00511005">
        <w:rPr>
          <w:rFonts w:ascii="Arial" w:eastAsia="Times New Roman" w:hAnsi="Arial" w:cs="Arial"/>
          <w:i/>
          <w:szCs w:val="28"/>
          <w:lang w:val="uk-UA" w:eastAsia="uk-UA"/>
        </w:rPr>
        <w:t xml:space="preserve">доцент </w:t>
      </w:r>
      <w:r w:rsidR="005F048D" w:rsidRPr="00511005">
        <w:rPr>
          <w:rFonts w:ascii="Arial" w:eastAsia="Calibri" w:hAnsi="Arial" w:cs="Arial"/>
          <w:i/>
          <w:iCs/>
          <w:szCs w:val="28"/>
          <w:lang w:val="uk-UA" w:eastAsia="uk-UA"/>
        </w:rPr>
        <w:t>Мазуренко С.В.</w:t>
      </w:r>
    </w:p>
    <w:p w14:paraId="7FB7E445" w14:textId="77777777" w:rsidR="005F048D" w:rsidRPr="00511005" w:rsidRDefault="005F048D" w:rsidP="003A292D">
      <w:pPr>
        <w:pBdr>
          <w:top w:val="nil"/>
          <w:left w:val="nil"/>
          <w:bottom w:val="nil"/>
          <w:right w:val="nil"/>
          <w:between w:val="nil"/>
        </w:pBdr>
        <w:spacing w:line="264" w:lineRule="auto"/>
        <w:rPr>
          <w:rFonts w:ascii="Arial" w:eastAsia="Times New Roman" w:hAnsi="Arial" w:cs="Arial"/>
          <w:i/>
          <w:szCs w:val="28"/>
          <w:lang w:val="uk-UA" w:eastAsia="uk-UA"/>
        </w:rPr>
      </w:pPr>
    </w:p>
    <w:p w14:paraId="4CBD2C78" w14:textId="77777777" w:rsidR="005F048D" w:rsidRPr="00511005" w:rsidRDefault="005F048D" w:rsidP="003A292D">
      <w:pPr>
        <w:spacing w:line="264" w:lineRule="auto"/>
        <w:ind w:firstLine="0"/>
        <w:jc w:val="center"/>
        <w:rPr>
          <w:rFonts w:ascii="Arial" w:eastAsia="Calibri" w:hAnsi="Arial" w:cs="Arial"/>
          <w:b/>
          <w:i/>
          <w:iCs/>
          <w:szCs w:val="28"/>
          <w:lang w:val="uk-UA" w:eastAsia="uk-UA"/>
        </w:rPr>
      </w:pPr>
      <w:r w:rsidRPr="00511005">
        <w:rPr>
          <w:rFonts w:ascii="Arial" w:eastAsia="Calibri" w:hAnsi="Arial" w:cs="Arial"/>
          <w:b/>
          <w:i/>
          <w:iCs/>
          <w:szCs w:val="28"/>
          <w:lang w:val="uk-UA" w:eastAsia="uk-UA"/>
        </w:rPr>
        <w:t>Побожна Діана</w:t>
      </w:r>
    </w:p>
    <w:p w14:paraId="105FC5BF" w14:textId="07647D55" w:rsidR="005F048D" w:rsidRPr="00511005" w:rsidRDefault="00536AAB" w:rsidP="003A292D">
      <w:pPr>
        <w:spacing w:line="264" w:lineRule="auto"/>
        <w:ind w:firstLine="0"/>
        <w:jc w:val="center"/>
        <w:rPr>
          <w:rFonts w:ascii="Arial" w:eastAsia="Calibri" w:hAnsi="Arial" w:cs="Arial"/>
          <w:iCs/>
          <w:szCs w:val="28"/>
          <w:lang w:val="uk-UA" w:eastAsia="uk-UA"/>
        </w:rPr>
      </w:pPr>
      <w:r w:rsidRPr="00511005">
        <w:rPr>
          <w:rFonts w:ascii="Arial" w:eastAsia="Calibri" w:hAnsi="Arial" w:cs="Arial"/>
          <w:iCs/>
          <w:szCs w:val="28"/>
          <w:lang w:val="uk-UA" w:eastAsia="uk-UA"/>
        </w:rPr>
        <w:t xml:space="preserve">студентка 4-го курсу </w:t>
      </w:r>
      <w:r w:rsidR="007B2628" w:rsidRPr="00511005">
        <w:rPr>
          <w:rFonts w:ascii="Arial" w:eastAsia="Calibri" w:hAnsi="Arial" w:cs="Arial"/>
          <w:iCs/>
          <w:szCs w:val="28"/>
          <w:lang w:val="uk-UA" w:eastAsia="uk-UA"/>
        </w:rPr>
        <w:t>факультету цивільної та господарської юстиції</w:t>
      </w:r>
      <w:r w:rsidR="005F048D" w:rsidRPr="00511005">
        <w:rPr>
          <w:rFonts w:ascii="Arial" w:eastAsia="Calibri" w:hAnsi="Arial" w:cs="Arial"/>
          <w:iCs/>
          <w:szCs w:val="28"/>
          <w:lang w:val="uk-UA" w:eastAsia="uk-UA"/>
        </w:rPr>
        <w:t xml:space="preserve"> </w:t>
      </w:r>
      <w:r w:rsidR="007B2628" w:rsidRPr="00511005">
        <w:rPr>
          <w:rFonts w:ascii="Arial" w:eastAsia="Calibri" w:hAnsi="Arial" w:cs="Arial"/>
          <w:iCs/>
          <w:szCs w:val="28"/>
          <w:lang w:val="uk-UA" w:eastAsia="uk-UA"/>
        </w:rPr>
        <w:t>Національного університету «Одеська юридична академія»</w:t>
      </w:r>
    </w:p>
    <w:p w14:paraId="4531F52C" w14:textId="77777777" w:rsidR="005F048D" w:rsidRPr="00511005" w:rsidRDefault="005F048D" w:rsidP="003A292D">
      <w:pPr>
        <w:spacing w:line="264" w:lineRule="auto"/>
        <w:ind w:firstLine="0"/>
        <w:jc w:val="center"/>
        <w:rPr>
          <w:rFonts w:ascii="Arial" w:eastAsia="Calibri" w:hAnsi="Arial" w:cs="Arial"/>
          <w:iCs/>
          <w:szCs w:val="28"/>
          <w:lang w:val="uk-UA" w:eastAsia="uk-UA"/>
        </w:rPr>
      </w:pPr>
    </w:p>
    <w:p w14:paraId="28976916" w14:textId="77777777" w:rsidR="005F048D" w:rsidRPr="00511005" w:rsidRDefault="005F048D" w:rsidP="003A292D">
      <w:pPr>
        <w:spacing w:line="264" w:lineRule="auto"/>
        <w:ind w:firstLine="0"/>
        <w:jc w:val="center"/>
        <w:rPr>
          <w:rFonts w:ascii="Arial" w:eastAsia="Calibri" w:hAnsi="Arial" w:cs="Arial"/>
          <w:b/>
          <w:szCs w:val="28"/>
          <w:lang w:val="uk-UA" w:eastAsia="uk-UA"/>
        </w:rPr>
      </w:pPr>
      <w:r w:rsidRPr="00511005">
        <w:rPr>
          <w:rFonts w:ascii="Arial" w:eastAsia="Calibri" w:hAnsi="Arial" w:cs="Arial"/>
          <w:b/>
          <w:szCs w:val="28"/>
          <w:lang w:val="uk-UA" w:eastAsia="uk-UA"/>
        </w:rPr>
        <w:t>ШТУЧНИЙ ІНТЕЛЕКТ ЯК СУБ’ЄКТ ЧИ ОБ'ЄКТ АВТОРСЬКОГО ПРАВА: СУЧАСНІ ВИКИКИ ТА ПЕРПЕКТИВИ</w:t>
      </w:r>
    </w:p>
    <w:p w14:paraId="53A72B23" w14:textId="77777777"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 xml:space="preserve">Досліджуючи питання визнання авторства за штучним інтелектом, проблеми охорони творів, створених ШІ та необхідність адаптації існуючого законодавства є надзвичайно актуальною темою. </w:t>
      </w:r>
    </w:p>
    <w:p w14:paraId="4F2EB5C1" w14:textId="6FFC0D68"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Стрімкий розвиток технологій штучного інтелекту (ШІ) стає каталізатором фундаментальних змін у багатьох сферах, зокрема у сфері творчості та інновацій. Здатність штучного інтелекту генерувати оригінальні результати інтелектуальної діяльності – від літературних та музичних творів до комп'ютерних програм та промислових зразків, кидає виклик традиційним уявленням про авторське право. Перш за все, ключовим та досить актуальним питанням, що постає перед юридичною спільнотою, є визначення правового статусу таких результатів: чи може штучний інтелект бути визнаний автором згідно із законодавством України, а отже, володіти авторськими правами на свої творіння? Чи</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ці результати слід кваліфікувати як об'єкти авторського права, створені за участю людини-розробника чи користувача ШІ? Актуальність цієї теми для України зумовлена не лише глобальними тенденціями розвитку ШІ, але й необхідністю адаптації національного законодавства про інтелектуальну власність для забезпечення правової визначеності, стимулювання інновацій та захисту прав усіх зацікавлених сторін в умовах цифрової трансформації.</w:t>
      </w:r>
    </w:p>
    <w:p w14:paraId="4DFF975C" w14:textId="6D196FEE"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Вивчаючи нормативно-правову базу України у сфері авторського права та суміжних прав, зокрема Закон України "Про авторське право і суміжні права" від 01.12.2022</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чітко пов'язує виникнення авторського права з творчою діяльністю фізичної особи [1]. У статті 1 цього Закону визначення автора роз'яснюється</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як "фізична особа, яка своєю творчою працею створила твір". Аналіз цієї законодавчої норми свідчить про те, що суб'єктом авторського права в Україні може бути виключно людина, яка вклала свою інтелектуальну працю у створення об'єкту інтелектуальної власності.</w:t>
      </w:r>
    </w:p>
    <w:p w14:paraId="615E93FD" w14:textId="77777777"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 xml:space="preserve">З цієї правової позиції, штучний інтелект, як неживий об'єкт, позбавлений свідомості, волі та творчого задуму в людському розумінні, не </w:t>
      </w:r>
      <w:r w:rsidRPr="00511005">
        <w:rPr>
          <w:rFonts w:ascii="Arial" w:eastAsia="Calibri" w:hAnsi="Arial" w:cs="Arial"/>
          <w:szCs w:val="28"/>
          <w:lang w:val="uk-UA" w:eastAsia="uk-UA"/>
        </w:rPr>
        <w:lastRenderedPageBreak/>
        <w:t>може бути визнаний автором відповідно до законодавства України. Твори, створені за допомогою ШІ, слід розглядати як результат використання інструменту, подібного до комп'ютерного законодавства або іншого технічного засобу</w:t>
      </w:r>
      <w:r w:rsidRPr="00511005">
        <w:rPr>
          <w:rFonts w:ascii="Arial" w:eastAsia="Calibri" w:hAnsi="Arial" w:cs="Arial"/>
          <w:szCs w:val="28"/>
          <w:lang w:eastAsia="uk-UA"/>
        </w:rPr>
        <w:t xml:space="preserve"> [5]</w:t>
      </w:r>
      <w:r w:rsidRPr="00511005">
        <w:rPr>
          <w:rFonts w:ascii="Arial" w:eastAsia="Calibri" w:hAnsi="Arial" w:cs="Arial"/>
          <w:szCs w:val="28"/>
          <w:lang w:val="uk-UA" w:eastAsia="uk-UA"/>
        </w:rPr>
        <w:t>.</w:t>
      </w:r>
    </w:p>
    <w:p w14:paraId="04603C83" w14:textId="77777777"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Однак, виникає важливе питання щодо визначення суб'єкта авторського права на такі твори. Відповідно до загальноприйнятих принципів авторського права, права на твір належать автору або його правонаступникам. У контексті застосування ШІ, авторство може бути потенційно пов'язане з:</w:t>
      </w:r>
    </w:p>
    <w:p w14:paraId="7AFE1AC5" w14:textId="7506DF92" w:rsidR="005F048D" w:rsidRPr="00511005" w:rsidRDefault="005F048D" w:rsidP="003F6A5D">
      <w:pPr>
        <w:numPr>
          <w:ilvl w:val="0"/>
          <w:numId w:val="346"/>
        </w:numPr>
        <w:spacing w:line="264" w:lineRule="auto"/>
        <w:ind w:left="0" w:firstLine="851"/>
        <w:contextualSpacing/>
        <w:jc w:val="left"/>
        <w:rPr>
          <w:rFonts w:ascii="Arial" w:eastAsia="Calibri" w:hAnsi="Arial" w:cs="Arial"/>
          <w:szCs w:val="28"/>
          <w:lang w:val="uk-UA" w:eastAsia="uk-UA"/>
        </w:rPr>
      </w:pPr>
      <w:r w:rsidRPr="00511005">
        <w:rPr>
          <w:rFonts w:ascii="Arial" w:eastAsia="Calibri" w:hAnsi="Arial" w:cs="Arial"/>
          <w:i/>
          <w:szCs w:val="28"/>
          <w:lang w:val="uk-UA" w:eastAsia="uk-UA"/>
        </w:rPr>
        <w:t>Розробником алгоритму ШІ:</w:t>
      </w:r>
      <w:r w:rsidRPr="00511005">
        <w:rPr>
          <w:rFonts w:ascii="Arial" w:eastAsia="Calibri" w:hAnsi="Arial" w:cs="Arial"/>
          <w:szCs w:val="28"/>
          <w:lang w:val="uk-UA" w:eastAsia="uk-UA"/>
        </w:rPr>
        <w:t xml:space="preserve"> Особою, яка створила та навчила систему ШІ. Однак, причинно-наслідковий зв'язок між розробкою алгоритму та конкретним результатом, згенерованим</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ШІ, може бути занадто опосередкованим, особливо у випадку складних систем машинного навчання</w:t>
      </w:r>
      <w:r w:rsidRPr="00511005">
        <w:rPr>
          <w:rFonts w:ascii="Arial" w:eastAsia="Calibri" w:hAnsi="Arial" w:cs="Arial"/>
          <w:szCs w:val="28"/>
          <w:lang w:eastAsia="uk-UA"/>
        </w:rPr>
        <w:t xml:space="preserve"> [4].</w:t>
      </w:r>
    </w:p>
    <w:p w14:paraId="0155E5B7" w14:textId="77777777" w:rsidR="005F048D" w:rsidRPr="00511005" w:rsidRDefault="005F048D" w:rsidP="003F6A5D">
      <w:pPr>
        <w:numPr>
          <w:ilvl w:val="0"/>
          <w:numId w:val="346"/>
        </w:numPr>
        <w:spacing w:line="264" w:lineRule="auto"/>
        <w:ind w:left="0" w:firstLine="851"/>
        <w:contextualSpacing/>
        <w:jc w:val="left"/>
        <w:rPr>
          <w:rFonts w:ascii="Arial" w:eastAsia="Calibri" w:hAnsi="Arial" w:cs="Arial"/>
          <w:szCs w:val="28"/>
          <w:lang w:val="uk-UA" w:eastAsia="uk-UA"/>
        </w:rPr>
      </w:pPr>
      <w:r w:rsidRPr="00511005">
        <w:rPr>
          <w:rFonts w:ascii="Arial" w:eastAsia="Calibri" w:hAnsi="Arial" w:cs="Arial"/>
          <w:i/>
          <w:szCs w:val="28"/>
          <w:lang w:val="uk-UA" w:eastAsia="uk-UA"/>
        </w:rPr>
        <w:t>Користувачем ШІ:</w:t>
      </w:r>
      <w:r w:rsidRPr="00511005">
        <w:rPr>
          <w:rFonts w:ascii="Arial" w:eastAsia="Calibri" w:hAnsi="Arial" w:cs="Arial"/>
          <w:szCs w:val="28"/>
          <w:lang w:val="uk-UA" w:eastAsia="uk-UA"/>
        </w:rPr>
        <w:t xml:space="preserve"> Особою, яка ініціювала процес створення твору, задала певні параметри або здійснила значний творчий внесок у його кінцевий результат шляхом редагування, обробки тощо.</w:t>
      </w:r>
    </w:p>
    <w:p w14:paraId="575A518E" w14:textId="77777777" w:rsidR="005F048D" w:rsidRPr="00511005" w:rsidRDefault="005F048D" w:rsidP="003F6A5D">
      <w:pPr>
        <w:numPr>
          <w:ilvl w:val="0"/>
          <w:numId w:val="346"/>
        </w:numPr>
        <w:spacing w:line="264" w:lineRule="auto"/>
        <w:ind w:left="0" w:firstLine="851"/>
        <w:contextualSpacing/>
        <w:jc w:val="left"/>
        <w:rPr>
          <w:rFonts w:ascii="Arial" w:eastAsia="Calibri" w:hAnsi="Arial" w:cs="Arial"/>
          <w:szCs w:val="28"/>
          <w:lang w:val="uk-UA" w:eastAsia="uk-UA"/>
        </w:rPr>
      </w:pPr>
      <w:r w:rsidRPr="00511005">
        <w:rPr>
          <w:rFonts w:ascii="Arial" w:eastAsia="Calibri" w:hAnsi="Arial" w:cs="Arial"/>
          <w:i/>
          <w:szCs w:val="28"/>
          <w:lang w:val="uk-UA" w:eastAsia="uk-UA"/>
        </w:rPr>
        <w:t xml:space="preserve">Власником ШІ: </w:t>
      </w:r>
      <w:r w:rsidRPr="00511005">
        <w:rPr>
          <w:rFonts w:ascii="Arial" w:eastAsia="Calibri" w:hAnsi="Arial" w:cs="Arial"/>
          <w:szCs w:val="28"/>
          <w:lang w:val="uk-UA" w:eastAsia="uk-UA"/>
        </w:rPr>
        <w:t>Юридичною або фізичною особою, яка володіє системою ШІ.</w:t>
      </w:r>
    </w:p>
    <w:p w14:paraId="3EF797A5" w14:textId="77777777"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Відповідно до частини 2 статті 15 Закону України "Про авторське право і суміжні права", якщо твір створено на замовлення, майнові права на нього можуть належати замовнику у повному обсязі відповідно до договору між автором і замовником. Крім того, згідно з ч. 3 ст. 15 цього Закону, якщо майнові права на твір переходять до замовника, в такому випадку автор має право на винагороду</w:t>
      </w:r>
      <w:r w:rsidRPr="00511005">
        <w:rPr>
          <w:rFonts w:ascii="Arial" w:eastAsia="Calibri" w:hAnsi="Arial" w:cs="Arial"/>
          <w:szCs w:val="28"/>
          <w:lang w:eastAsia="uk-UA"/>
        </w:rPr>
        <w:t xml:space="preserve"> [1]</w:t>
      </w:r>
      <w:r w:rsidRPr="00511005">
        <w:rPr>
          <w:rFonts w:ascii="Arial" w:eastAsia="Calibri" w:hAnsi="Arial" w:cs="Arial"/>
          <w:szCs w:val="28"/>
          <w:lang w:val="uk-UA" w:eastAsia="uk-UA"/>
        </w:rPr>
        <w:t xml:space="preserve">. У випадку використання ШІ, договори щодо створення творів можуть укладатися між розробником/власником ШІ та замовником. </w:t>
      </w:r>
    </w:p>
    <w:p w14:paraId="3B8158D4" w14:textId="77777777"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Слід звернути увагу на статтю 33 Закону України "Про авторське право і суміжні права", яка встановлює особливе право (sui generis) на неоригінальні об'єкти, створені комп'ютерною програмою без безпосередньої участі людини, якщо такі об'єкти відрізняються від існуючих аналогів. Суб'єктами цього права можуть бути власники майнових прав на відповідну комп'ютерну програму або її правомірні користувачі. Особисті немайнові права на такі об'єкти не виникають, а обсяг майнових прав визначається статтею 12 цього Закону</w:t>
      </w:r>
      <w:r w:rsidRPr="00511005">
        <w:rPr>
          <w:rFonts w:ascii="Arial" w:eastAsia="Calibri" w:hAnsi="Arial" w:cs="Arial"/>
          <w:szCs w:val="28"/>
          <w:lang w:eastAsia="uk-UA"/>
        </w:rPr>
        <w:t xml:space="preserve"> [1]</w:t>
      </w:r>
      <w:r w:rsidRPr="00511005">
        <w:rPr>
          <w:rFonts w:ascii="Arial" w:eastAsia="Calibri" w:hAnsi="Arial" w:cs="Arial"/>
          <w:szCs w:val="28"/>
          <w:lang w:val="uk-UA" w:eastAsia="uk-UA"/>
        </w:rPr>
        <w:t>. Право виникає з моменту генерування об'єкта та діє 25 років. Використання такого об'єкта можливе за договором з суб'єктом права, а відчуження - у встановленому законом порядку. Також передбачені випадки вільного використання та відповідальність за порушення цього особливого права. У разі використання в процесі генерування об'єктів авторського чи суміжних прав або інших неоригінальних об'єктів, необхідне дотримання прав відповідних суб'єктів.</w:t>
      </w:r>
    </w:p>
    <w:p w14:paraId="6C398638" w14:textId="7736329D"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lastRenderedPageBreak/>
        <w:t>Також слід враховувати положення статті 9 Закону України "Про авторське право і суміжні права", яка визначає, що авторське право на твір виникає внаслідок факту його створення і не потребує реєстрації, коли автором твору вважається фізична особа, чиє ім'я зазначене в оригіналі чи копії твору, іншими словами презумпція авторства [1].</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Це положення створює додаткові складнощі у визначенні моменту виникнення авторського права та його суб'єкта у випадку творів, створених ШІ.</w:t>
      </w:r>
    </w:p>
    <w:p w14:paraId="75DEFDF0" w14:textId="77777777"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На практиці, часто застосовується підхід, за яким авторські права на твори, створені за допомогою ШІ, належать особі, яка здійснила значний творчий внесок у процес їх створення або організації такого процесу. Проте, чіткі критерії визначення такого "значного творчого внеску" у випадку використання ШІ наразі відсутні в українському законодавстві, що призводить до правової невизначеності.</w:t>
      </w:r>
    </w:p>
    <w:p w14:paraId="06C0DA1A" w14:textId="77777777"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Деякі країни, як-от Велика Британія, передбачають спеціальні положення щодо творів, створених за допомогою комп'ютера, де автором вважається особа, яка здійснила необхідні дії для створення твору. Інші країни дотримуються традиційного підходу, вимагаючи наявності людської творчості для виникнення авторського права [2].</w:t>
      </w:r>
    </w:p>
    <w:p w14:paraId="2F7BB8F1" w14:textId="77777777"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В України, відсутність спеціального правового регулювання щодо творів, створених ШІ, може створювати ризики для інновацій та правової охорони таких творів. З одного боку, невизначеність щодо суб'єкта авторського права може стримувати інвестиції в розробку та використання ШІ для творчих цілей. З іншого боку, необґрунтоване надання авторських прав на твори, створені виключно ШІ, може призвести до розмивання сутності авторського права як права, що заохочує людську творчість</w:t>
      </w:r>
      <w:r w:rsidRPr="00511005">
        <w:rPr>
          <w:rFonts w:ascii="Arial" w:eastAsia="Calibri" w:hAnsi="Arial" w:cs="Arial"/>
          <w:szCs w:val="28"/>
          <w:lang w:eastAsia="uk-UA"/>
        </w:rPr>
        <w:t xml:space="preserve"> [3]</w:t>
      </w:r>
      <w:r w:rsidRPr="00511005">
        <w:rPr>
          <w:rFonts w:ascii="Arial" w:eastAsia="Calibri" w:hAnsi="Arial" w:cs="Arial"/>
          <w:szCs w:val="28"/>
          <w:lang w:val="uk-UA" w:eastAsia="uk-UA"/>
        </w:rPr>
        <w:t>.</w:t>
      </w:r>
    </w:p>
    <w:p w14:paraId="3872B072" w14:textId="77777777"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Аналіз чинного законодавства України у сфері авторського права свідчить про те, що на сьогоднішній день штучний інтелект не може бути визнаний автором твору. Суб'єктом авторського права може бути фізична особа, яка своєю творчою працею створила твір. Але розглядаючи це питання детальніше, ШІ є більше об’єктом, за допомогою якого, людина, як суб’єкт, задає ШІ завдання згенерувати певний твір. Людина, своєю творчою працею, за допомогою ШІ створює нові твори. Твори, створені за допомогою ШІ, слід розглядати як об'єкти, правовий статус яких потребує подальшого осмислення та законодавчого врегулювання.</w:t>
      </w:r>
    </w:p>
    <w:p w14:paraId="22E7D66A" w14:textId="77777777"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 xml:space="preserve">Враховуючи досить стрімкий розвиток технологій ШІ та їх зростаючий вплив на креативні індустрії, існує нагальна потреба в адаптації законодавства України про інтелектуальну власність до нових реалій. Отже, ШІ слід вважати об’єктом, за допомогою якого, людина створює твори. На мою думку, подальші дослідження та законодавчі ініціативи повинні бути спрямовані на розробку чітких критеріїв визначення ШІ як об’єкта, визначення прав та обов'язків розробників, користувачів та власників систем ШІ, а також на забезпечення балансу між стимулюванням інновацій та </w:t>
      </w:r>
      <w:r w:rsidRPr="00511005">
        <w:rPr>
          <w:rFonts w:ascii="Arial" w:eastAsia="Calibri" w:hAnsi="Arial" w:cs="Arial"/>
          <w:szCs w:val="28"/>
          <w:lang w:val="uk-UA" w:eastAsia="uk-UA"/>
        </w:rPr>
        <w:lastRenderedPageBreak/>
        <w:t>захистом прав інтелектуальної власності в цифрову епоху. Можливими напрямками для законодавчих змін можуть бути:</w:t>
      </w:r>
    </w:p>
    <w:p w14:paraId="3319618C" w14:textId="77777777" w:rsidR="005F048D" w:rsidRPr="00511005" w:rsidRDefault="005F048D" w:rsidP="003F6A5D">
      <w:pPr>
        <w:numPr>
          <w:ilvl w:val="0"/>
          <w:numId w:val="347"/>
        </w:numPr>
        <w:spacing w:line="264" w:lineRule="auto"/>
        <w:ind w:left="0" w:firstLine="851"/>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Внесення змін до Закону України "Про авторське право і суміжні права" з метою визначення правового статусу творів, створених за допомогою ШІ.</w:t>
      </w:r>
    </w:p>
    <w:p w14:paraId="6FC004CF" w14:textId="77777777" w:rsidR="005F048D" w:rsidRPr="00511005" w:rsidRDefault="005F048D" w:rsidP="003F6A5D">
      <w:pPr>
        <w:numPr>
          <w:ilvl w:val="0"/>
          <w:numId w:val="347"/>
        </w:numPr>
        <w:spacing w:line="264" w:lineRule="auto"/>
        <w:ind w:left="0" w:firstLine="851"/>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Розробка спеціальних положень або окремого закону, що регулюватиме питання інтелектуальної власності у сфері штучного інтелекту.</w:t>
      </w:r>
    </w:p>
    <w:p w14:paraId="348567F2" w14:textId="77777777" w:rsidR="005F048D" w:rsidRPr="00511005" w:rsidRDefault="005F048D" w:rsidP="003F6A5D">
      <w:pPr>
        <w:numPr>
          <w:ilvl w:val="0"/>
          <w:numId w:val="347"/>
        </w:numPr>
        <w:spacing w:line="264" w:lineRule="auto"/>
        <w:ind w:left="0" w:firstLine="851"/>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Врахування міжнародного досвіду та гармонізація національного законодавства з міжнародними стандартами у цій сфері.</w:t>
      </w:r>
    </w:p>
    <w:p w14:paraId="7CF1745F" w14:textId="77777777" w:rsidR="005F048D" w:rsidRPr="00511005" w:rsidRDefault="005F048D" w:rsidP="003A292D">
      <w:pPr>
        <w:spacing w:line="264" w:lineRule="auto"/>
        <w:ind w:firstLine="851"/>
        <w:rPr>
          <w:rFonts w:ascii="Arial" w:eastAsia="Calibri" w:hAnsi="Arial" w:cs="Arial"/>
          <w:szCs w:val="28"/>
          <w:lang w:val="uk-UA" w:eastAsia="uk-UA"/>
        </w:rPr>
      </w:pPr>
      <w:r w:rsidRPr="00511005">
        <w:rPr>
          <w:rFonts w:ascii="Arial" w:eastAsia="Calibri" w:hAnsi="Arial" w:cs="Arial"/>
          <w:szCs w:val="28"/>
          <w:lang w:val="uk-UA" w:eastAsia="uk-UA"/>
        </w:rPr>
        <w:t>Вирішення питання про правовий статус творів, створених штучним інтелектом, є досить важливим та ключовим для забезпечення правової визначеності, стимулювання інновацій та розвитку цифрової економіки в Україні.</w:t>
      </w:r>
    </w:p>
    <w:p w14:paraId="560A48F6" w14:textId="77777777" w:rsidR="005F048D" w:rsidRPr="00511005" w:rsidRDefault="005F048D" w:rsidP="003A292D">
      <w:pPr>
        <w:spacing w:line="264" w:lineRule="auto"/>
        <w:ind w:firstLine="851"/>
        <w:rPr>
          <w:rFonts w:ascii="Arial" w:eastAsia="Calibri" w:hAnsi="Arial" w:cs="Arial"/>
          <w:szCs w:val="28"/>
          <w:lang w:val="uk-UA" w:eastAsia="uk-UA"/>
        </w:rPr>
      </w:pPr>
    </w:p>
    <w:p w14:paraId="639DE74C" w14:textId="66151C4F" w:rsidR="005F048D" w:rsidRPr="00511005" w:rsidRDefault="007B2628" w:rsidP="007B2628">
      <w:pPr>
        <w:spacing w:line="264" w:lineRule="auto"/>
        <w:ind w:firstLine="0"/>
        <w:jc w:val="center"/>
        <w:rPr>
          <w:rFonts w:ascii="Arial" w:eastAsia="Calibri" w:hAnsi="Arial" w:cs="Arial"/>
          <w:b/>
          <w:bCs/>
          <w:iCs/>
          <w:szCs w:val="28"/>
          <w:lang w:val="uk-UA" w:eastAsia="uk-UA"/>
        </w:rPr>
      </w:pPr>
      <w:r w:rsidRPr="00511005">
        <w:rPr>
          <w:rFonts w:ascii="Arial" w:eastAsia="Calibri" w:hAnsi="Arial" w:cs="Arial"/>
          <w:b/>
          <w:bCs/>
          <w:iCs/>
          <w:szCs w:val="28"/>
          <w:lang w:val="uk-UA" w:eastAsia="uk-UA"/>
        </w:rPr>
        <w:t>Список використаних джерел</w:t>
      </w:r>
    </w:p>
    <w:p w14:paraId="3BBF37F6" w14:textId="4CD0EF02" w:rsidR="005F048D" w:rsidRPr="00511005" w:rsidRDefault="005F048D" w:rsidP="003F6A5D">
      <w:pPr>
        <w:numPr>
          <w:ilvl w:val="0"/>
          <w:numId w:val="34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Про авторське право і суміжні права: Закон України від 01.12.2022 № 2811-IX</w:t>
      </w:r>
      <w:r w:rsidR="007B2628" w:rsidRPr="00511005">
        <w:rPr>
          <w:rFonts w:ascii="Arial" w:eastAsia="Calibri" w:hAnsi="Arial" w:cs="Arial"/>
          <w:szCs w:val="28"/>
          <w:lang w:val="uk-UA" w:eastAsia="uk-UA"/>
        </w:rPr>
        <w:t xml:space="preserve"> </w:t>
      </w:r>
      <w:r w:rsidRPr="00511005">
        <w:rPr>
          <w:rFonts w:ascii="Arial" w:eastAsia="Calibri" w:hAnsi="Arial" w:cs="Arial"/>
          <w:szCs w:val="28"/>
          <w:lang w:val="uk-UA" w:eastAsia="uk-UA"/>
        </w:rPr>
        <w:t xml:space="preserve">( ст. 1, ст. 9, ст. 12, ст. 15, ст. 33). </w:t>
      </w:r>
    </w:p>
    <w:p w14:paraId="31D29AAE" w14:textId="77777777" w:rsidR="005F048D" w:rsidRPr="00511005" w:rsidRDefault="005F048D"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pl-PL" w:eastAsia="uk-UA"/>
        </w:rPr>
        <w:t>URL</w:t>
      </w:r>
      <w:r w:rsidRPr="00511005">
        <w:rPr>
          <w:rFonts w:ascii="Arial" w:eastAsia="Calibri" w:hAnsi="Arial" w:cs="Arial"/>
          <w:szCs w:val="28"/>
          <w:lang w:val="uk-UA" w:eastAsia="uk-UA"/>
        </w:rPr>
        <w:t xml:space="preserve">: https://zakon.rada.gov.ua/laws/show/2811-20#n6 </w:t>
      </w:r>
    </w:p>
    <w:p w14:paraId="7784D588" w14:textId="77777777" w:rsidR="005F048D" w:rsidRPr="00511005" w:rsidRDefault="005F048D" w:rsidP="003F6A5D">
      <w:pPr>
        <w:numPr>
          <w:ilvl w:val="0"/>
          <w:numId w:val="34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 xml:space="preserve">Авторське право і штучний інтелект: виклики та перспективи. </w:t>
      </w:r>
    </w:p>
    <w:p w14:paraId="3E00B7D2" w14:textId="4605EA96" w:rsidR="005F048D" w:rsidRPr="00511005" w:rsidRDefault="005F048D"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pl-PL" w:eastAsia="uk-UA"/>
        </w:rPr>
        <w:t>URL</w:t>
      </w:r>
      <w:r w:rsidRPr="00511005">
        <w:rPr>
          <w:rFonts w:ascii="Arial" w:eastAsia="Calibri" w:hAnsi="Arial" w:cs="Arial"/>
          <w:szCs w:val="28"/>
          <w:lang w:val="uk-UA" w:eastAsia="uk-UA"/>
        </w:rPr>
        <w:t>: https://polikarpov.legal/blogposts/avtorske-pravo-i-shtuchnij-intelekt-vikliki-ta-perspektivi/</w:t>
      </w:r>
      <w:r w:rsidR="007B2628" w:rsidRPr="00511005">
        <w:rPr>
          <w:rFonts w:ascii="Arial" w:eastAsia="Calibri" w:hAnsi="Arial" w:cs="Arial"/>
          <w:szCs w:val="28"/>
          <w:lang w:val="uk-UA" w:eastAsia="uk-UA"/>
        </w:rPr>
        <w:t xml:space="preserve"> </w:t>
      </w:r>
    </w:p>
    <w:p w14:paraId="3C98BF0B" w14:textId="77777777" w:rsidR="005F048D" w:rsidRPr="00511005" w:rsidRDefault="005F048D" w:rsidP="003F6A5D">
      <w:pPr>
        <w:numPr>
          <w:ilvl w:val="0"/>
          <w:numId w:val="34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Андрощук Г.О. (2023). Інтелектуальна власність і штучний інтелект: хто автор? Київ: Видавництво "Право". (с. 167)</w:t>
      </w:r>
    </w:p>
    <w:p w14:paraId="4AE5D4F9" w14:textId="77777777" w:rsidR="005F048D" w:rsidRPr="00511005" w:rsidRDefault="005F048D" w:rsidP="003F6A5D">
      <w:pPr>
        <w:numPr>
          <w:ilvl w:val="0"/>
          <w:numId w:val="34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 xml:space="preserve">Бугаєць, А. С. (2024). Право інтелектуальної власності на твори, створені штучним інтелектом: перспективи міжнародно-правового та національного регулювання. </w:t>
      </w:r>
      <w:r w:rsidRPr="00511005">
        <w:rPr>
          <w:rFonts w:ascii="Arial" w:eastAsia="Calibri" w:hAnsi="Arial" w:cs="Arial"/>
          <w:i/>
          <w:iCs/>
          <w:szCs w:val="28"/>
          <w:lang w:val="uk-UA" w:eastAsia="uk-UA"/>
        </w:rPr>
        <w:t xml:space="preserve">Науковий вісник Ужгородського Національного Університету. Серія ПРАВО, </w:t>
      </w:r>
      <w:r w:rsidRPr="00511005">
        <w:rPr>
          <w:rFonts w:ascii="Arial" w:eastAsia="Calibri" w:hAnsi="Arial" w:cs="Arial"/>
          <w:szCs w:val="28"/>
          <w:lang w:val="uk-UA" w:eastAsia="uk-UA"/>
        </w:rPr>
        <w:t>(с. 40)</w:t>
      </w:r>
    </w:p>
    <w:p w14:paraId="6E283556" w14:textId="77777777" w:rsidR="005F048D" w:rsidRPr="00511005" w:rsidRDefault="005F048D" w:rsidP="003F6A5D">
      <w:pPr>
        <w:numPr>
          <w:ilvl w:val="0"/>
          <w:numId w:val="34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 xml:space="preserve">Петрів О. (2023). Штучний інтелект та авторське право. </w:t>
      </w:r>
      <w:r w:rsidRPr="00511005">
        <w:rPr>
          <w:rFonts w:ascii="Arial" w:eastAsia="Calibri" w:hAnsi="Arial" w:cs="Arial"/>
          <w:i/>
          <w:szCs w:val="28"/>
          <w:lang w:val="uk-UA" w:eastAsia="uk-UA"/>
        </w:rPr>
        <w:t xml:space="preserve">Центр демократії та верховенства права </w:t>
      </w:r>
    </w:p>
    <w:p w14:paraId="17931F21" w14:textId="2446871F" w:rsidR="005F048D" w:rsidRPr="00511005" w:rsidRDefault="005F048D"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pl-PL" w:eastAsia="uk-UA"/>
        </w:rPr>
        <w:t>URL</w:t>
      </w:r>
      <w:r w:rsidRPr="00511005">
        <w:rPr>
          <w:rFonts w:ascii="Arial" w:eastAsia="Calibri" w:hAnsi="Arial" w:cs="Arial"/>
          <w:szCs w:val="28"/>
          <w:lang w:val="uk-UA" w:eastAsia="uk-UA"/>
        </w:rPr>
        <w:t>: https://cedem.org.ua/analytics/shtuchnyi-intelekt-avtorske-pravo/</w:t>
      </w:r>
      <w:r w:rsidR="007B2628" w:rsidRPr="00511005">
        <w:rPr>
          <w:rFonts w:ascii="Arial" w:eastAsia="Calibri" w:hAnsi="Arial" w:cs="Arial"/>
          <w:szCs w:val="28"/>
          <w:lang w:val="uk-UA" w:eastAsia="uk-UA"/>
        </w:rPr>
        <w:t xml:space="preserve"> </w:t>
      </w:r>
    </w:p>
    <w:p w14:paraId="021DE446" w14:textId="77777777" w:rsidR="005F048D" w:rsidRPr="00511005" w:rsidRDefault="005F048D" w:rsidP="003A292D">
      <w:pPr>
        <w:spacing w:line="264" w:lineRule="auto"/>
        <w:ind w:firstLine="720"/>
        <w:rPr>
          <w:rFonts w:ascii="Arial" w:eastAsia="Calibri" w:hAnsi="Arial" w:cs="Arial"/>
          <w:b/>
          <w:bCs/>
          <w:i/>
          <w:iCs/>
          <w:szCs w:val="28"/>
          <w:lang w:val="uk-UA" w:eastAsia="uk-UA"/>
        </w:rPr>
      </w:pPr>
    </w:p>
    <w:p w14:paraId="4FCAF625" w14:textId="7B3BF3F4" w:rsidR="005F048D" w:rsidRPr="00511005" w:rsidRDefault="007B2628" w:rsidP="003A292D">
      <w:pPr>
        <w:spacing w:line="264" w:lineRule="auto"/>
        <w:ind w:firstLine="720"/>
        <w:rPr>
          <w:rFonts w:ascii="Arial" w:eastAsia="Calibri" w:hAnsi="Arial" w:cs="Arial"/>
          <w:i/>
          <w:iCs/>
          <w:szCs w:val="28"/>
          <w:lang w:val="uk-UA" w:eastAsia="uk-UA"/>
        </w:rPr>
      </w:pPr>
      <w:r w:rsidRPr="00511005">
        <w:rPr>
          <w:rFonts w:ascii="Arial" w:eastAsia="Calibri" w:hAnsi="Arial" w:cs="Arial"/>
          <w:b/>
          <w:bCs/>
          <w:i/>
          <w:iCs/>
          <w:szCs w:val="28"/>
          <w:lang w:val="uk-UA" w:eastAsia="uk-UA"/>
        </w:rPr>
        <w:t xml:space="preserve">Ключові слова: </w:t>
      </w:r>
      <w:r w:rsidR="005F048D" w:rsidRPr="00511005">
        <w:rPr>
          <w:rFonts w:ascii="Arial" w:eastAsia="Calibri" w:hAnsi="Arial" w:cs="Arial"/>
          <w:i/>
          <w:iCs/>
          <w:szCs w:val="28"/>
          <w:lang w:val="uk-UA" w:eastAsia="uk-UA"/>
        </w:rPr>
        <w:t>штучний інтелект, авторське право.</w:t>
      </w:r>
    </w:p>
    <w:p w14:paraId="3851C36F" w14:textId="239358D0" w:rsidR="005F048D" w:rsidRPr="00511005" w:rsidRDefault="005F048D" w:rsidP="003A292D">
      <w:pPr>
        <w:spacing w:line="264" w:lineRule="auto"/>
        <w:ind w:firstLine="720"/>
        <w:rPr>
          <w:rFonts w:ascii="Arial" w:eastAsia="Calibri" w:hAnsi="Arial" w:cs="Arial"/>
          <w:i/>
          <w:iCs/>
          <w:szCs w:val="28"/>
          <w:lang w:val="uk-UA" w:eastAsia="uk-UA"/>
        </w:rPr>
      </w:pPr>
      <w:r w:rsidRPr="00511005">
        <w:rPr>
          <w:rFonts w:ascii="Arial" w:eastAsia="Calibri" w:hAnsi="Arial" w:cs="Arial"/>
          <w:b/>
          <w:bCs/>
          <w:i/>
          <w:iCs/>
          <w:szCs w:val="28"/>
          <w:lang w:val="uk-UA" w:eastAsia="uk-UA"/>
        </w:rPr>
        <w:t>Key</w:t>
      </w:r>
      <w:r w:rsidR="00070B72">
        <w:rPr>
          <w:rFonts w:ascii="Arial" w:eastAsia="Calibri" w:hAnsi="Arial" w:cs="Arial"/>
          <w:b/>
          <w:bCs/>
          <w:i/>
          <w:iCs/>
          <w:szCs w:val="28"/>
          <w:lang w:val="uk-UA" w:eastAsia="uk-UA"/>
        </w:rPr>
        <w:t xml:space="preserve"> </w:t>
      </w:r>
      <w:r w:rsidRPr="00511005">
        <w:rPr>
          <w:rFonts w:ascii="Arial" w:eastAsia="Calibri" w:hAnsi="Arial" w:cs="Arial"/>
          <w:b/>
          <w:bCs/>
          <w:i/>
          <w:iCs/>
          <w:szCs w:val="28"/>
          <w:lang w:val="uk-UA" w:eastAsia="uk-UA"/>
        </w:rPr>
        <w:t>words:</w:t>
      </w:r>
      <w:r w:rsidRPr="00511005">
        <w:rPr>
          <w:rFonts w:ascii="Arial" w:eastAsia="Calibri" w:hAnsi="Arial" w:cs="Arial"/>
          <w:szCs w:val="28"/>
          <w:lang w:val="uk-UA" w:eastAsia="uk-UA"/>
        </w:rPr>
        <w:t xml:space="preserve"> </w:t>
      </w:r>
      <w:r w:rsidRPr="00511005">
        <w:rPr>
          <w:rFonts w:ascii="Arial" w:eastAsia="Calibri" w:hAnsi="Arial" w:cs="Arial"/>
          <w:i/>
          <w:iCs/>
          <w:szCs w:val="28"/>
          <w:lang w:val="uk-UA" w:eastAsia="uk-UA"/>
        </w:rPr>
        <w:t>artificial intelligence, copyright.</w:t>
      </w:r>
    </w:p>
    <w:p w14:paraId="33C34993" w14:textId="1AF7ECC8" w:rsidR="005F048D" w:rsidRPr="00511005" w:rsidRDefault="007B2628" w:rsidP="003A292D">
      <w:pPr>
        <w:spacing w:line="264" w:lineRule="auto"/>
        <w:ind w:firstLine="720"/>
        <w:rPr>
          <w:rFonts w:ascii="Arial" w:eastAsia="Calibri" w:hAnsi="Arial" w:cs="Arial"/>
          <w:b/>
          <w:bCs/>
          <w:i/>
          <w:iCs/>
          <w:szCs w:val="28"/>
          <w:lang w:val="uk-UA" w:eastAsia="uk-UA"/>
        </w:rPr>
      </w:pPr>
      <w:r w:rsidRPr="00511005">
        <w:rPr>
          <w:rFonts w:ascii="Arial" w:eastAsia="Calibri" w:hAnsi="Arial" w:cs="Arial"/>
          <w:b/>
          <w:i/>
          <w:iCs/>
          <w:szCs w:val="28"/>
          <w:lang w:val="uk-UA" w:eastAsia="uk-UA"/>
        </w:rPr>
        <w:t xml:space="preserve">Науковий керівник: </w:t>
      </w:r>
      <w:r w:rsidR="005F048D" w:rsidRPr="00511005">
        <w:rPr>
          <w:rFonts w:ascii="Arial" w:eastAsia="Calibri" w:hAnsi="Arial" w:cs="Arial"/>
          <w:i/>
          <w:iCs/>
          <w:szCs w:val="28"/>
          <w:lang w:val="uk-UA" w:eastAsia="uk-UA"/>
        </w:rPr>
        <w:t xml:space="preserve">к.ю.н., </w:t>
      </w:r>
      <w:r w:rsidR="005F048D" w:rsidRPr="00511005">
        <w:rPr>
          <w:rFonts w:ascii="Arial" w:eastAsia="Times New Roman" w:hAnsi="Arial" w:cs="Arial"/>
          <w:i/>
          <w:szCs w:val="28"/>
          <w:lang w:val="uk-UA" w:eastAsia="uk-UA"/>
        </w:rPr>
        <w:t xml:space="preserve">доцент </w:t>
      </w:r>
      <w:r w:rsidR="005F048D" w:rsidRPr="00511005">
        <w:rPr>
          <w:rFonts w:ascii="Arial" w:eastAsia="Calibri" w:hAnsi="Arial" w:cs="Arial"/>
          <w:i/>
          <w:iCs/>
          <w:szCs w:val="28"/>
          <w:lang w:val="uk-UA" w:eastAsia="uk-UA"/>
        </w:rPr>
        <w:t>Мазуренко С.В.</w:t>
      </w:r>
    </w:p>
    <w:p w14:paraId="65EA547B" w14:textId="77777777" w:rsidR="005F048D" w:rsidRPr="00511005" w:rsidRDefault="005F048D" w:rsidP="003A292D">
      <w:pPr>
        <w:pBdr>
          <w:top w:val="nil"/>
          <w:left w:val="nil"/>
          <w:bottom w:val="nil"/>
          <w:right w:val="nil"/>
          <w:between w:val="nil"/>
        </w:pBdr>
        <w:spacing w:line="264" w:lineRule="auto"/>
        <w:rPr>
          <w:rFonts w:ascii="Arial" w:eastAsia="Times New Roman" w:hAnsi="Arial" w:cs="Arial"/>
          <w:i/>
          <w:szCs w:val="28"/>
          <w:lang w:val="uk-UA" w:eastAsia="uk-UA"/>
        </w:rPr>
      </w:pPr>
    </w:p>
    <w:p w14:paraId="69B7E8D8" w14:textId="77777777" w:rsidR="005F048D" w:rsidRPr="00511005" w:rsidRDefault="005F048D" w:rsidP="003A292D">
      <w:pPr>
        <w:spacing w:line="264" w:lineRule="auto"/>
        <w:ind w:firstLine="0"/>
        <w:jc w:val="center"/>
        <w:rPr>
          <w:rFonts w:ascii="Arial" w:eastAsia="Times New Roman" w:hAnsi="Arial" w:cs="Arial"/>
          <w:b/>
          <w:bCs/>
          <w:i/>
          <w:iCs/>
          <w:szCs w:val="28"/>
          <w:lang w:val="uk-UA" w:eastAsia="uk-UA"/>
        </w:rPr>
      </w:pPr>
      <w:r w:rsidRPr="00511005">
        <w:rPr>
          <w:rFonts w:ascii="Arial" w:eastAsia="Times New Roman" w:hAnsi="Arial" w:cs="Arial"/>
          <w:b/>
          <w:bCs/>
          <w:i/>
          <w:iCs/>
          <w:szCs w:val="28"/>
          <w:lang w:val="uk-UA" w:eastAsia="uk-UA"/>
        </w:rPr>
        <w:t>Циник Анастасія Іванівна</w:t>
      </w:r>
    </w:p>
    <w:p w14:paraId="4F6C9177" w14:textId="7A6F5201"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4-го курсу </w:t>
      </w:r>
      <w:r w:rsidR="007B2628" w:rsidRPr="00511005">
        <w:rPr>
          <w:rFonts w:ascii="Arial" w:eastAsia="Times New Roman" w:hAnsi="Arial" w:cs="Arial"/>
          <w:szCs w:val="28"/>
          <w:lang w:val="uk-UA" w:eastAsia="uk-UA"/>
        </w:rPr>
        <w:t>факультету цивільної та господарської юстиції</w:t>
      </w:r>
    </w:p>
    <w:p w14:paraId="13156AC2" w14:textId="31AA16C2"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37AD56DD"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p>
    <w:p w14:paraId="0FEA3394" w14:textId="77777777" w:rsidR="005F048D" w:rsidRPr="00511005" w:rsidRDefault="005F048D" w:rsidP="003A292D">
      <w:pPr>
        <w:spacing w:line="264" w:lineRule="auto"/>
        <w:ind w:firstLine="0"/>
        <w:jc w:val="center"/>
        <w:rPr>
          <w:rFonts w:ascii="Arial" w:eastAsia="Calibri" w:hAnsi="Arial" w:cs="Arial"/>
          <w:szCs w:val="28"/>
          <w:lang w:val="uk-UA" w:eastAsia="uk-UA"/>
        </w:rPr>
      </w:pPr>
      <w:r w:rsidRPr="00511005">
        <w:rPr>
          <w:rFonts w:ascii="Arial" w:eastAsia="Times New Roman" w:hAnsi="Arial" w:cs="Arial"/>
          <w:b/>
          <w:bCs/>
          <w:szCs w:val="28"/>
          <w:lang w:val="uk-UA" w:eastAsia="uk-UA"/>
        </w:rPr>
        <w:t>ЩОДО ПИТАННЯ АВТОРСЬКИХ ПРАВ НА ТВОРИ, СТВОРЕНІ ШІ</w:t>
      </w:r>
    </w:p>
    <w:p w14:paraId="26C97FB2"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В умовах воєнного стану питання використання технологій ШІ набуває особливої актуальності, оскільки вони можуть бути застосовані для створення контенту, пов'язаного з інформаційною безпекою (наприклад, для генерації фальшивих новин або маніпуляцій). Також є ризик, що використовувані технології можуть мати іноземні розробки, що підлягають контролю або обмеженням під час війни.</w:t>
      </w:r>
    </w:p>
    <w:p w14:paraId="1B349BB8" w14:textId="77777777" w:rsidR="005F048D" w:rsidRPr="00511005" w:rsidRDefault="005F048D" w:rsidP="003A292D">
      <w:pPr>
        <w:spacing w:line="264" w:lineRule="auto"/>
        <w:ind w:firstLine="708"/>
        <w:rPr>
          <w:rFonts w:ascii="Arial" w:eastAsia="Calibri" w:hAnsi="Arial" w:cs="Arial"/>
          <w:szCs w:val="28"/>
          <w:lang w:val="uk-UA" w:eastAsia="uk-UA"/>
        </w:rPr>
      </w:pPr>
      <w:r w:rsidRPr="00511005">
        <w:rPr>
          <w:rFonts w:ascii="Arial" w:eastAsia="Times New Roman" w:hAnsi="Arial" w:cs="Arial"/>
          <w:szCs w:val="28"/>
          <w:lang w:val="uk-UA" w:eastAsia="uk-UA"/>
        </w:rPr>
        <w:t>У наш час питання авторських прав на твори, створені штучним інтелектом (ШІ), стало особливо актуальним у сфері інтелектуальної власності. Адже ШІ вже може генерувати тексти, музику, зображення та навіть поезію, що породжує нові юридичні виклики. Чинне законодавство часто не встигає за такими технологічними змінами.</w:t>
      </w:r>
    </w:p>
    <w:p w14:paraId="4C46A355" w14:textId="77777777" w:rsidR="005F048D" w:rsidRPr="00511005" w:rsidRDefault="005F048D" w:rsidP="003A292D">
      <w:pPr>
        <w:spacing w:line="264" w:lineRule="auto"/>
        <w:ind w:firstLine="708"/>
        <w:rPr>
          <w:rFonts w:ascii="Arial" w:eastAsia="Calibri" w:hAnsi="Arial" w:cs="Arial"/>
          <w:szCs w:val="28"/>
          <w:lang w:val="uk-UA" w:eastAsia="uk-UA"/>
        </w:rPr>
      </w:pPr>
      <w:r w:rsidRPr="00511005">
        <w:rPr>
          <w:rFonts w:ascii="Arial" w:eastAsia="Times New Roman" w:hAnsi="Arial" w:cs="Arial"/>
          <w:szCs w:val="28"/>
          <w:lang w:val="uk-UA" w:eastAsia="uk-UA"/>
        </w:rPr>
        <w:t>Штучний інтелект - це набір наукових методів, які дають змогу аналізувати великі обсяги даних і створювати новий контент. ШІ базується на основі вже існуючих творів — картин, текстів, музики, і, спираючись на ці приклади, система створює нові продукти, які, хоч і натхнені наданими матеріалами, все ж є оригінальними [1, с. 300].</w:t>
      </w:r>
    </w:p>
    <w:p w14:paraId="4CF4C447"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Однак тут виникає проблема - твори, на які посилається ШІ, мають авторів і захищені авторським правом. Хоча ідеї та методи не підлягають авторському захисту, питання законності використання цих творів залишається спірним. Оскільки програма не копіює твори, а лише комбінує їхні елементи, порушення авторського права формально не виникає. Навчальні матеріали здебільшого беруться з відкритих джерел, що вважається добросовісним використанням.</w:t>
      </w:r>
    </w:p>
    <w:p w14:paraId="651AADCF"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Нещодавно в Україні розпочали роботу над удосконаленням правового регулювання в галузі штучного інтелекту. Зокрема, у 2020 році була розроблена Концепція розвитку штучного інтелекту в Україні, схвалена Розпорядженням Кабінету Міністрів України від 2 грудня 2020 року №1556-р. У цьому документі визначено терміни, мету та принципи розвитку ШІ в країні [2].</w:t>
      </w:r>
    </w:p>
    <w:p w14:paraId="4B8ACC1E" w14:textId="77777777" w:rsidR="005F048D" w:rsidRPr="00511005" w:rsidRDefault="005F048D" w:rsidP="003A292D">
      <w:pPr>
        <w:spacing w:line="264" w:lineRule="auto"/>
        <w:ind w:firstLine="708"/>
        <w:rPr>
          <w:rFonts w:ascii="Arial" w:eastAsia="Calibri" w:hAnsi="Arial" w:cs="Arial"/>
          <w:szCs w:val="28"/>
          <w:lang w:val="uk-UA" w:eastAsia="uk-UA"/>
        </w:rPr>
      </w:pPr>
      <w:r w:rsidRPr="00511005">
        <w:rPr>
          <w:rFonts w:ascii="Arial" w:eastAsia="Times New Roman" w:hAnsi="Arial" w:cs="Arial"/>
          <w:szCs w:val="28"/>
          <w:lang w:val="uk-UA" w:eastAsia="uk-UA"/>
        </w:rPr>
        <w:t>Окрім того, у 2023 році була ухвалена нова редакція Закону України «Про авторське право і суміжні права», яка регулює питання авторських прав на твори, створені за допомогою комп’ютерних програм, зокрема штучного інтелекту. Це нововведення є першим подібним кроком в Україні.</w:t>
      </w:r>
    </w:p>
    <w:p w14:paraId="26C586A6"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Відповідно до ст. 1 Закону України «Про авторське право і суміжні права», автором твору вважається фізична особа, яка створила цей твір завдяки своїй творчій діяльності. Водночас ст. 33 Закону уточнює, що результати роботи штучного інтелекту регулюються законом як неоригінальні об’єкти, створені комп’ютерними програмами, і на них поширюється особливий правовий захист (sui generis) [3].</w:t>
      </w:r>
    </w:p>
    <w:p w14:paraId="02CB496D"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Це право включає в себе набір норм, які відрізняються від загальних правових принципів. Воно поширюється на об'єкти, створені за допомогою </w:t>
      </w:r>
      <w:r w:rsidRPr="00511005">
        <w:rPr>
          <w:rFonts w:ascii="Arial" w:eastAsia="Times New Roman" w:hAnsi="Arial" w:cs="Arial"/>
          <w:szCs w:val="28"/>
          <w:lang w:val="uk-UA" w:eastAsia="uk-UA"/>
        </w:rPr>
        <w:lastRenderedPageBreak/>
        <w:t>комп'ютерних програм, що не містять творчого елементу і в процесі їх створення не бере участь людина.</w:t>
      </w:r>
    </w:p>
    <w:p w14:paraId="4BCC9A23" w14:textId="77777777" w:rsidR="005F048D" w:rsidRPr="00511005" w:rsidRDefault="005F048D" w:rsidP="003A292D">
      <w:pPr>
        <w:spacing w:line="264" w:lineRule="auto"/>
        <w:ind w:firstLine="708"/>
        <w:rPr>
          <w:rFonts w:ascii="Arial" w:eastAsia="Calibri" w:hAnsi="Arial" w:cs="Arial"/>
          <w:szCs w:val="28"/>
          <w:lang w:val="uk-UA" w:eastAsia="uk-UA"/>
        </w:rPr>
      </w:pPr>
      <w:r w:rsidRPr="00511005">
        <w:rPr>
          <w:rFonts w:ascii="Arial" w:eastAsia="Times New Roman" w:hAnsi="Arial" w:cs="Arial"/>
          <w:szCs w:val="28"/>
          <w:lang w:val="uk-UA" w:eastAsia="uk-UA"/>
        </w:rPr>
        <w:t>Суб'єктами цього права є особи, які володіють майновими правами або мають ліцензійні повноваження, зокрема автори програм штучного інтелекту, їхні спадкоємці або правомірні користувачі таких програм. Умови, що визначають належність прав до творів, створених штучним інтелектом, можуть бути зазначені в договорах.</w:t>
      </w:r>
    </w:p>
    <w:p w14:paraId="03420BC2"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Згідно з українським законодавством, штучний інтелект не може бути визнаний автором і не набуває авторських прав на створені ним об'єкти, оскільки для цього необхідна творча діяльність фізичної особи та оригінальність твору. Однак неоригінальні об'єкти, створені ШІ, можуть підлягати захисту прав особливого виду, а їхні власники можуть ліцензувати, передавати та захищати ці права.</w:t>
      </w:r>
    </w:p>
    <w:p w14:paraId="17C9D032" w14:textId="77777777" w:rsidR="005F048D" w:rsidRPr="00511005" w:rsidRDefault="005F048D" w:rsidP="003A292D">
      <w:pPr>
        <w:spacing w:line="264" w:lineRule="auto"/>
        <w:ind w:firstLine="708"/>
        <w:rPr>
          <w:rFonts w:ascii="Arial" w:eastAsia="Calibri" w:hAnsi="Arial" w:cs="Arial"/>
          <w:szCs w:val="28"/>
          <w:lang w:val="uk-UA" w:eastAsia="uk-UA"/>
        </w:rPr>
      </w:pPr>
      <w:r w:rsidRPr="00511005">
        <w:rPr>
          <w:rFonts w:ascii="Arial" w:eastAsia="Times New Roman" w:hAnsi="Arial" w:cs="Arial"/>
          <w:szCs w:val="28"/>
          <w:lang w:val="uk-UA" w:eastAsia="uk-UA"/>
        </w:rPr>
        <w:t>Аналогічні норми існують не лише в Україні, а й у багатьох інших країнах світу: ШІ не вважається автором творів, оскільки авторські права визначаються через такі критерії, як оригінальність, інтелектуальний і творчий внесок автора, а також його активну участь у створенні твору.</w:t>
      </w:r>
    </w:p>
    <w:p w14:paraId="3444C2EB"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ЄСПЛ неодноразово вказував, що авторське право поширюється лише на твори, створені в результаті оригінального інтелектуального внеску автора (рішення C-5/08 Infopaq International A/S проти Danske Dagbaldes Forening) [4].</w:t>
      </w:r>
    </w:p>
    <w:p w14:paraId="4CF6770E"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Це означає, що твори, створені за допомогою ШІ, можуть бути захищені авторським правом тільки у разі значного внеску людини під час їх створення. Визначити, що саме вважається суттєвим і творчим внеском, є складним і неоднозначним питанням. Тому, зазвичай, контент, створений ШІ, не охоплюється авторським правом.</w:t>
      </w:r>
    </w:p>
    <w:p w14:paraId="26422B14" w14:textId="77777777" w:rsidR="005F048D" w:rsidRPr="00511005" w:rsidRDefault="005F048D" w:rsidP="003A292D">
      <w:pPr>
        <w:spacing w:line="264" w:lineRule="auto"/>
        <w:ind w:firstLine="708"/>
        <w:rPr>
          <w:rFonts w:ascii="Arial" w:eastAsia="Calibri" w:hAnsi="Arial" w:cs="Arial"/>
          <w:szCs w:val="28"/>
          <w:lang w:val="uk-UA" w:eastAsia="uk-UA"/>
        </w:rPr>
      </w:pPr>
      <w:r w:rsidRPr="00511005">
        <w:rPr>
          <w:rFonts w:ascii="Arial" w:eastAsia="Times New Roman" w:hAnsi="Arial" w:cs="Arial"/>
          <w:szCs w:val="28"/>
          <w:lang w:val="uk-UA" w:eastAsia="uk-UA"/>
        </w:rPr>
        <w:t>При цьому європейське та українське законодавство активно працюють над удосконаленням регулювання ШІ. Європейський Союз приділяє велику увагу етичним аспектам штучного інтелекту та оновленню законодавства, щоб відповідати сучасним викликам і швидкому розвитку технологій. Однією з основних ініціатив є Artificial Intelligence Act — перший у світі нормативний акт, що визначає правові аспекти використання ШІ. Очікується, що в найближчому майбутньому з'являться нові європейські та національні закони, що допоможуть ефективно регулювати це питання [5].</w:t>
      </w:r>
    </w:p>
    <w:p w14:paraId="537B73AF"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питання щодо авторських прав на твори, створені штучним інтелектом, є важливим і складним аспектом сучасного правового регулювання. Технологічний розвиток ШІ викликає нові виклики для авторських прав, оскільки ШІ генерує контент, натхнений на існуючих творах, але без прямого порушення авторського права. Однак, оскільки ШІ не є фізичною особою і не може здійснювати творчий внесок, твори, створені ним, не підпадають під традиційний захист авторським правом.</w:t>
      </w:r>
    </w:p>
    <w:p w14:paraId="4211DD1C" w14:textId="77777777" w:rsidR="005F048D" w:rsidRPr="00511005" w:rsidRDefault="005F048D" w:rsidP="003A292D">
      <w:pPr>
        <w:spacing w:line="264" w:lineRule="auto"/>
        <w:ind w:firstLine="708"/>
        <w:rPr>
          <w:rFonts w:ascii="Arial" w:eastAsia="Calibri" w:hAnsi="Arial" w:cs="Arial"/>
          <w:szCs w:val="28"/>
          <w:lang w:val="uk-UA" w:eastAsia="uk-UA"/>
        </w:rPr>
      </w:pPr>
      <w:r w:rsidRPr="00511005">
        <w:rPr>
          <w:rFonts w:ascii="Arial" w:eastAsia="Times New Roman" w:hAnsi="Arial" w:cs="Arial"/>
          <w:szCs w:val="28"/>
          <w:lang w:val="uk-UA" w:eastAsia="uk-UA"/>
        </w:rPr>
        <w:lastRenderedPageBreak/>
        <w:t>В Україні та Європейському Союзі активно працюють над удосконаленням законодавства, щоб ефективно регулювати права на твори, створені за допомогою ШІ. Зокрема, в Україні введено спеціальний правовий захист для неоригінальних об'єктів, створених комп'ютерними програмами, що відкриває нові можливості для правовласників. Водночас, питання, що саме вважається творчим внеском людини в контекст ШІ, залишається відкритим і потребує подальшого обговорення та уточнення в законодавстві.</w:t>
      </w:r>
    </w:p>
    <w:p w14:paraId="425C6186" w14:textId="77777777" w:rsidR="005F048D" w:rsidRPr="00511005" w:rsidRDefault="005F048D" w:rsidP="003A292D">
      <w:pPr>
        <w:spacing w:line="264" w:lineRule="auto"/>
        <w:ind w:firstLine="708"/>
        <w:rPr>
          <w:rFonts w:ascii="Arial" w:eastAsia="Times New Roman" w:hAnsi="Arial" w:cs="Arial"/>
          <w:szCs w:val="28"/>
          <w:lang w:val="uk-UA" w:eastAsia="uk-UA"/>
        </w:rPr>
      </w:pPr>
    </w:p>
    <w:p w14:paraId="6D163029" w14:textId="3E362345" w:rsidR="005F048D" w:rsidRPr="00511005" w:rsidRDefault="007B2628" w:rsidP="007B2628">
      <w:pPr>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074296F9"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1. Бисага Ю., Бєлов Д., Заборовський В. Штучний інтелект та авторські і суміжні права. Науковий вісник ужгородського національного університету. м. Ужгород, 2023. С. 299–304.</w:t>
      </w:r>
    </w:p>
    <w:p w14:paraId="20A68E86"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2. Про схвалення Концепції розвитку штучного інтелекту в Україні : Розпорядж. Каб. Міністрів України від 02.12.2020 № 1556-р : станом на 29 груд. 2021 р. URL: https://zakon.rada.gov.ua/laws/show/1556-2020-р#Text .</w:t>
      </w:r>
    </w:p>
    <w:p w14:paraId="30B669C5"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3. Про авторське право і суміжні права : Закон України від 01.12.2022 № 2811-IX : станом на 15 листоп. 2024 р. URL: https://zakon.rada.gov.ua/laws/show/2811-20#Text .</w:t>
      </w:r>
    </w:p>
    <w:p w14:paraId="61048228"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Рішення ЄСПЛ у справі C-5/08 Infopaq International A/S проти Danske Dagbaldes Forening від 16 липня 2009 р. URL: </w:t>
      </w:r>
      <w:hyperlink r:id="rId1337">
        <w:r w:rsidRPr="00511005">
          <w:rPr>
            <w:rFonts w:ascii="Arial" w:eastAsia="Times New Roman" w:hAnsi="Arial" w:cs="Arial"/>
            <w:szCs w:val="28"/>
            <w:lang w:val="uk-UA" w:eastAsia="uk-UA"/>
          </w:rPr>
          <w:t>https://eur-lex.europa.eu/legal-content/EN/TXT/?uri=CELEX:62008CJ0005</w:t>
        </w:r>
      </w:hyperlink>
      <w:r w:rsidRPr="00511005">
        <w:rPr>
          <w:rFonts w:ascii="Arial" w:eastAsia="Times New Roman" w:hAnsi="Arial" w:cs="Arial"/>
          <w:szCs w:val="28"/>
          <w:lang w:val="uk-UA" w:eastAsia="uk-UA"/>
        </w:rPr>
        <w:t xml:space="preserve"> .</w:t>
      </w:r>
    </w:p>
    <w:p w14:paraId="05021F56"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5. Фоміна Н. Чи можуть твори, створені за допомогою ШІ, розраховувати на авторське право. Юридична газета. URL: </w:t>
      </w:r>
      <w:hyperlink r:id="rId1338">
        <w:r w:rsidRPr="00511005">
          <w:rPr>
            <w:rFonts w:ascii="Arial" w:eastAsia="Times New Roman" w:hAnsi="Arial" w:cs="Arial"/>
            <w:szCs w:val="28"/>
            <w:lang w:val="uk-UA" w:eastAsia="uk-UA"/>
          </w:rPr>
          <w:t>https://yur-gazeta.com/publications/practice/zahist-intelektualnoyi-vlasnosti-avtorske-pravo/chi-mozhut-tvori-stvoreni-za-dopomogoyu-shi-rozrahovuvati-na-avtorske-pravo.html</w:t>
        </w:r>
      </w:hyperlink>
      <w:r w:rsidRPr="00511005">
        <w:rPr>
          <w:rFonts w:ascii="Arial" w:eastAsia="Times New Roman" w:hAnsi="Arial" w:cs="Arial"/>
          <w:szCs w:val="28"/>
          <w:lang w:val="uk-UA" w:eastAsia="uk-UA"/>
        </w:rPr>
        <w:t xml:space="preserve"> .</w:t>
      </w:r>
    </w:p>
    <w:p w14:paraId="3D78E1D0" w14:textId="77777777" w:rsidR="005F048D" w:rsidRPr="00511005" w:rsidRDefault="005F048D" w:rsidP="003A292D">
      <w:pPr>
        <w:spacing w:line="264" w:lineRule="auto"/>
        <w:ind w:firstLine="708"/>
        <w:rPr>
          <w:rFonts w:ascii="Arial" w:eastAsia="Times New Roman" w:hAnsi="Arial" w:cs="Arial"/>
          <w:szCs w:val="28"/>
          <w:lang w:val="uk-UA" w:eastAsia="uk-UA"/>
        </w:rPr>
      </w:pPr>
    </w:p>
    <w:p w14:paraId="617BAB8C" w14:textId="2985C587" w:rsidR="005F048D" w:rsidRPr="00511005" w:rsidRDefault="007B262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5F048D" w:rsidRPr="00511005">
        <w:rPr>
          <w:rFonts w:ascii="Arial" w:eastAsia="Times New Roman" w:hAnsi="Arial" w:cs="Arial"/>
          <w:szCs w:val="28"/>
          <w:lang w:val="uk-UA" w:eastAsia="uk-UA"/>
        </w:rPr>
        <w:t>штучний інтелект, авторські права, інтелектуальна власність, автор, законодавство.</w:t>
      </w:r>
    </w:p>
    <w:p w14:paraId="60710288" w14:textId="080945D4" w:rsidR="005F048D" w:rsidRPr="00511005" w:rsidRDefault="007B262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Key words: </w:t>
      </w:r>
      <w:r w:rsidR="005F048D" w:rsidRPr="00511005">
        <w:rPr>
          <w:rFonts w:ascii="Arial" w:eastAsia="Times New Roman" w:hAnsi="Arial" w:cs="Arial"/>
          <w:szCs w:val="28"/>
          <w:lang w:val="uk-UA" w:eastAsia="uk-UA"/>
        </w:rPr>
        <w:t>artificial intelligence, copyright, intellectual property, author, legislation.</w:t>
      </w:r>
    </w:p>
    <w:p w14:paraId="6A7B1217" w14:textId="3443813C" w:rsidR="005F048D" w:rsidRPr="00511005" w:rsidRDefault="007B2628" w:rsidP="003A292D">
      <w:pPr>
        <w:spacing w:line="264" w:lineRule="auto"/>
        <w:ind w:firstLine="720"/>
        <w:rPr>
          <w:rFonts w:ascii="Arial" w:eastAsia="Calibri" w:hAnsi="Arial" w:cs="Arial"/>
          <w:b/>
          <w:bCs/>
          <w:i/>
          <w:iCs/>
          <w:szCs w:val="28"/>
          <w:lang w:val="uk-UA" w:eastAsia="uk-UA"/>
        </w:rPr>
      </w:pPr>
      <w:r w:rsidRPr="00511005">
        <w:rPr>
          <w:rFonts w:ascii="Arial" w:eastAsia="Calibri" w:hAnsi="Arial" w:cs="Arial"/>
          <w:b/>
          <w:i/>
          <w:iCs/>
          <w:szCs w:val="28"/>
          <w:lang w:val="uk-UA" w:eastAsia="uk-UA"/>
        </w:rPr>
        <w:t xml:space="preserve">Науковий керівник: </w:t>
      </w:r>
      <w:r w:rsidR="005F048D" w:rsidRPr="00511005">
        <w:rPr>
          <w:rFonts w:ascii="Arial" w:eastAsia="Calibri" w:hAnsi="Arial" w:cs="Arial"/>
          <w:i/>
          <w:iCs/>
          <w:szCs w:val="28"/>
          <w:lang w:val="uk-UA" w:eastAsia="uk-UA"/>
        </w:rPr>
        <w:t xml:space="preserve">к.ю.н., </w:t>
      </w:r>
      <w:r w:rsidR="005F048D" w:rsidRPr="00511005">
        <w:rPr>
          <w:rFonts w:ascii="Arial" w:eastAsia="Times New Roman" w:hAnsi="Arial" w:cs="Arial"/>
          <w:i/>
          <w:szCs w:val="28"/>
          <w:lang w:val="uk-UA" w:eastAsia="uk-UA"/>
        </w:rPr>
        <w:t xml:space="preserve">доцент </w:t>
      </w:r>
      <w:r w:rsidR="005F048D" w:rsidRPr="00511005">
        <w:rPr>
          <w:rFonts w:ascii="Arial" w:eastAsia="Calibri" w:hAnsi="Arial" w:cs="Arial"/>
          <w:i/>
          <w:iCs/>
          <w:szCs w:val="28"/>
          <w:lang w:val="uk-UA" w:eastAsia="uk-UA"/>
        </w:rPr>
        <w:t>Мазуренко С.В.</w:t>
      </w:r>
    </w:p>
    <w:p w14:paraId="0E71F1C5" w14:textId="77777777" w:rsidR="005F048D" w:rsidRPr="00511005" w:rsidRDefault="005F048D" w:rsidP="003A292D">
      <w:pPr>
        <w:pBdr>
          <w:top w:val="nil"/>
          <w:left w:val="nil"/>
          <w:bottom w:val="nil"/>
          <w:right w:val="nil"/>
          <w:between w:val="nil"/>
        </w:pBdr>
        <w:spacing w:line="264" w:lineRule="auto"/>
        <w:rPr>
          <w:rFonts w:ascii="Arial" w:eastAsia="Times New Roman" w:hAnsi="Arial" w:cs="Arial"/>
          <w:i/>
          <w:szCs w:val="28"/>
          <w:lang w:val="uk-UA" w:eastAsia="uk-UA"/>
        </w:rPr>
      </w:pPr>
    </w:p>
    <w:p w14:paraId="4454DE3E" w14:textId="77777777" w:rsidR="005F048D" w:rsidRPr="00511005" w:rsidRDefault="005F048D" w:rsidP="003A292D">
      <w:pPr>
        <w:spacing w:line="264" w:lineRule="auto"/>
        <w:ind w:firstLine="0"/>
        <w:jc w:val="center"/>
        <w:rPr>
          <w:rFonts w:ascii="Arial" w:eastAsia="Times New Roman" w:hAnsi="Arial" w:cs="Arial"/>
          <w:b/>
          <w:i/>
          <w:iCs/>
          <w:szCs w:val="28"/>
          <w:lang w:val="uk-UA" w:eastAsia="uk-UA"/>
        </w:rPr>
      </w:pPr>
      <w:r w:rsidRPr="00511005">
        <w:rPr>
          <w:rFonts w:ascii="Arial" w:eastAsia="Times New Roman" w:hAnsi="Arial" w:cs="Arial"/>
          <w:b/>
          <w:i/>
          <w:iCs/>
          <w:szCs w:val="28"/>
          <w:lang w:val="uk-UA" w:eastAsia="uk-UA"/>
        </w:rPr>
        <w:t>Ходак Олександра Сергіївна</w:t>
      </w:r>
    </w:p>
    <w:p w14:paraId="06DEDBE6" w14:textId="545492D6"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1-го курсу магістратури</w:t>
      </w:r>
      <w:r w:rsidR="00BE3972" w:rsidRPr="00511005">
        <w:rPr>
          <w:rFonts w:ascii="Arial" w:eastAsia="Times New Roman" w:hAnsi="Arial" w:cs="Arial"/>
          <w:szCs w:val="28"/>
          <w:lang w:val="uk-UA" w:eastAsia="uk-UA"/>
        </w:rPr>
        <w:t xml:space="preserve"> </w:t>
      </w:r>
      <w:r w:rsidR="001B7B25" w:rsidRPr="00511005">
        <w:rPr>
          <w:rFonts w:ascii="Arial" w:eastAsia="Times New Roman" w:hAnsi="Arial" w:cs="Arial"/>
          <w:szCs w:val="28"/>
          <w:lang w:val="uk-UA" w:eastAsia="uk-UA"/>
        </w:rPr>
        <w:t>факультету судового та міжнародного права</w:t>
      </w:r>
    </w:p>
    <w:p w14:paraId="2EA6C532" w14:textId="2AC39284"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4EE7E34F" w14:textId="77777777" w:rsidR="005F048D" w:rsidRPr="00511005" w:rsidRDefault="005F048D" w:rsidP="003A292D">
      <w:pPr>
        <w:spacing w:line="264" w:lineRule="auto"/>
        <w:ind w:firstLine="0"/>
        <w:jc w:val="center"/>
        <w:rPr>
          <w:rFonts w:ascii="Arial" w:eastAsia="Calibri" w:hAnsi="Arial" w:cs="Arial"/>
          <w:b/>
          <w:szCs w:val="28"/>
          <w:lang w:val="uk-UA" w:eastAsia="uk-UA"/>
        </w:rPr>
      </w:pPr>
    </w:p>
    <w:p w14:paraId="310826DD" w14:textId="77777777" w:rsidR="005F048D" w:rsidRPr="00511005" w:rsidRDefault="005F048D" w:rsidP="003A292D">
      <w:pPr>
        <w:spacing w:line="264" w:lineRule="auto"/>
        <w:ind w:firstLine="0"/>
        <w:jc w:val="center"/>
        <w:rPr>
          <w:rFonts w:ascii="Arial" w:eastAsia="Calibri" w:hAnsi="Arial" w:cs="Arial"/>
          <w:b/>
          <w:szCs w:val="28"/>
          <w:lang w:val="uk-UA" w:eastAsia="uk-UA"/>
        </w:rPr>
      </w:pPr>
      <w:r w:rsidRPr="00511005">
        <w:rPr>
          <w:rFonts w:ascii="Arial" w:eastAsia="Calibri" w:hAnsi="Arial" w:cs="Arial"/>
          <w:b/>
          <w:szCs w:val="28"/>
          <w:lang w:val="uk-UA" w:eastAsia="uk-UA"/>
        </w:rPr>
        <w:t>ЮРИСДИКЦІЯ У СПОРАХ ЩОДО ПОРУШЕННЯ ПРАВ ІНТЕЛЕКТУАЛЬНОЇ ВЛАСНОСТІ У ЦИФРОВОМУ СЕРЕДОВИЩІ</w:t>
      </w:r>
    </w:p>
    <w:p w14:paraId="20C7CBF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У цифровому середовищі порушення прав інтелектуальної власності часто мають транскордонний характер. Контент може розміщуватися на сервері в одній країні, власник прав інтелектуальної власності – проживати в іншій, а порушник діяти з третьої. Це ускладнює визначення територіальної юрисдикції суду, а також правопорядку, який має бути застосований.</w:t>
      </w:r>
    </w:p>
    <w:p w14:paraId="2BE8C136"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Порушення прав інтелектуальної власності в цифровому середовищі охоплюють широкий спектр незаконних дій, які здійснюються через Інтернет або інші цифрові платформи. До них належать інтернет-піратство, незаконне розповсюдження захищених авторським правом творів, незаконне використання торговельних марок у доменних іменах або на вебресурсах, плагіат, а також кіберсквотинг. Всі ці дії не тільки завдають шкоди правовласникам, а й ускладнюють ідентифікацію місця вчинення порушення, що є критично важливим для встановлення судової юрисдикції.</w:t>
      </w:r>
    </w:p>
    <w:p w14:paraId="1B48FF79"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Особливістю цифрових правопорушень є те, що вони часто мають транскордонний характер. Це ускладнює визначення компетентного суду, застосовного права та процедури виконання судових рішень. Крім того, цифрове середовище сприяє анонімності правопорушників — за допомогою VPN, проксі-серверів чи псевдонімів вони можуть уникати ідентифікації. Анонімність та легкість створення фейкових акаунтів чи сайтів є серйозним викликом для судової та правоохоронної систем. Ще одним аспектом, що ускладнює локалізацію цифрового порушення, є технічна можливість миттєвого копіювання, відтворення та розповсюдження об’єктів права інтелектуальної власності, які перебувають у цифровій формі. Такі об’єкти можуть бути одночасно доступні в різних країнах, що створює колізії юрисдикцій.</w:t>
      </w:r>
    </w:p>
    <w:p w14:paraId="5A7D8A0A"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Правова доктрина визнає, що класичні підходи до встановлення юрисдикції не завжди ефективні у випадках порушень прав інтелектуальної власності в цифровому середовищі. На практиці суди звертають увагу не тільки на місце розміщення порушеного контенту чи сервера, але і на те, де знаходиться цільова аудиторія порушення, де настали правові наслідки, а також чи була спрямованість дій на певну територію. Таким прикладом може слугувати справа L’Oréal v. eBay (CJEU, Case C-324/09), в якій Суд ЄС визнав відповідальність платформи за порушення прав на торговельну марку, якщо діяльність була спрямована на ринок держави-члена</w:t>
      </w:r>
      <w:r w:rsidRPr="00511005">
        <w:rPr>
          <w:rFonts w:ascii="Arial" w:eastAsia="Calibri" w:hAnsi="Arial" w:cs="Arial"/>
          <w:szCs w:val="28"/>
          <w:vertAlign w:val="superscript"/>
          <w:lang w:val="uk-UA" w:eastAsia="uk-UA"/>
        </w:rPr>
        <w:t xml:space="preserve"> </w:t>
      </w:r>
      <w:r w:rsidRPr="00511005">
        <w:rPr>
          <w:rFonts w:ascii="Arial" w:eastAsia="Calibri" w:hAnsi="Arial" w:cs="Arial"/>
          <w:szCs w:val="28"/>
          <w:lang w:val="uk-UA" w:eastAsia="uk-UA"/>
        </w:rPr>
        <w:t>[1].</w:t>
      </w:r>
    </w:p>
    <w:p w14:paraId="1D258D9B"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Серед міжнародних актів, що регламентують юрисдикцію у спорах щодо прав інтелектуальної власності, провідне місце займають Брюссельські регламенти Європейського Союзу (Регламент (ЄС) № 1215/2012) [2], які визначають чіткі правила щодо підсудності справ, включаючи права інтелектуальної власність. Вони встановлюють принцип, за яким позови мають розглядатися у судах держави-члена, де відповідач має місце проживання, або у разі спорів щодо порушення прав – там, де трапилося порушення або де може бути здійснено збитки. Ці норми значною </w:t>
      </w:r>
      <w:r w:rsidRPr="00511005">
        <w:rPr>
          <w:rFonts w:ascii="Arial" w:eastAsia="Calibri" w:hAnsi="Arial" w:cs="Arial"/>
          <w:szCs w:val="28"/>
          <w:lang w:val="uk-UA" w:eastAsia="uk-UA"/>
        </w:rPr>
        <w:lastRenderedPageBreak/>
        <w:t xml:space="preserve">мірою уніфікують процесуальні підходи у межах ЄС, що дозволяє більш ефективно розглядати транскордонні спори про ІВ в цифровому середовищі. </w:t>
      </w:r>
    </w:p>
    <w:p w14:paraId="44B64355"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Гаазькі конвенції 2005 та 2019 років є важливими міжнародними інструментами, що спрямовані на уніфікацію правил щодо визначення юрисдикції та визнання судових рішень у цивільних та комерційних справах, що включають спори щодо прав інтелектуальної власності. Гаазька конвенція 2005 року, зокрема, визначає загальні правила для вибору суду у міжнародних договорах, що є важливим для регулювання електронної комерції та онлайн-угод з об’єктами прав інтелектуальної власності</w:t>
      </w:r>
      <w:r w:rsidRPr="00511005">
        <w:rPr>
          <w:rFonts w:ascii="Arial" w:eastAsia="Calibri" w:hAnsi="Arial" w:cs="Arial"/>
          <w:szCs w:val="28"/>
          <w:vertAlign w:val="superscript"/>
          <w:lang w:val="uk-UA" w:eastAsia="uk-UA"/>
        </w:rPr>
        <w:t xml:space="preserve"> </w:t>
      </w:r>
      <w:r w:rsidRPr="00511005">
        <w:rPr>
          <w:rFonts w:ascii="Arial" w:eastAsia="Calibri" w:hAnsi="Arial" w:cs="Arial"/>
          <w:szCs w:val="28"/>
          <w:lang w:val="uk-UA" w:eastAsia="uk-UA"/>
        </w:rPr>
        <w:t>[3]. У 2019 році була ухвалена додаткова конвенція, що розширює ці правила, враховуючи особливості цифрової економіки, зокрема щодо електронного способу укладання угод та їх виконання [4].</w:t>
      </w:r>
    </w:p>
    <w:p w14:paraId="1F41ED6C"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Позиція Всесвітньої організації інтелектуальної власності (WIPO) щодо доменних спорів є однією з найбільш розвинених у міжнародній практиці, що особливо актуально для цифрового середовища, де доменні імена набувають значення комерційних ідентифікаторів та об’єктів права інтелектуальної власності. WIPO впровадила процедуру врегулювання доменних спорів, яка дозволяє розглядати спори, пов’язані із неправомірним використанням доменних імен, поза межами національних судів</w:t>
      </w:r>
      <w:r w:rsidRPr="00511005">
        <w:rPr>
          <w:rFonts w:ascii="Arial" w:eastAsia="Calibri" w:hAnsi="Arial" w:cs="Arial"/>
          <w:szCs w:val="28"/>
          <w:vertAlign w:val="superscript"/>
          <w:lang w:val="uk-UA" w:eastAsia="uk-UA"/>
        </w:rPr>
        <w:t xml:space="preserve"> </w:t>
      </w:r>
      <w:r w:rsidRPr="00511005">
        <w:rPr>
          <w:rFonts w:ascii="Arial" w:eastAsia="Calibri" w:hAnsi="Arial" w:cs="Arial"/>
          <w:szCs w:val="28"/>
          <w:lang w:val="uk-UA" w:eastAsia="uk-UA"/>
        </w:rPr>
        <w:t xml:space="preserve">[5]. Ця система передбачає швидке і ефективне вирішення конфліктів з урахуванням принципів добросовісності, унікальності та законності використання доменів, що суттєво підвищує ефективність захисту прав інтелектуальної власності у цифровому середовищі. </w:t>
      </w:r>
    </w:p>
    <w:p w14:paraId="3F3DFE09"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Таким чином, сучасне правове регулювання юрисдикції у спорах про інтелектуальну власність у цифровому середовищі базується на поєднанні національних підходів та міжнародних стандартів і механізмів, що дозволяють реагувати на швидко змінний характер цифрової економіки. Україна, інтегруючись у європейське і світове правове поле, поступово гармонізує своє законодавство з нормами ЄС, Гаазьких конвенцій та позиціями WIPO, що є необхідним кроком для забезпечення ефективного захисту інтелектуальної власності в умовах цифровізації та глобалізації.</w:t>
      </w:r>
    </w:p>
    <w:p w14:paraId="484762C8"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Судова практика щодо цифрової юрисдикції активно формується у світовій юриспруденції з огляду на стрімкий розвиток інформаційних технологій та глобалізацію Інтернет – простору. Європейський суд у справах, пов’язаних із цифровою юрисдикцією, сформував важливі підходи до визначення підсудності та застосування норм права у трансграничних інтернет-спорах. Зокрема, справа Pinckney проти KDG Mediatech AG стала знаковою при визначення місця порушення авторських прав у цифровому середовищі [6]. Суд ЄС ухвалив, що місцем порушення є держава, де відбувається фактичне доступ користувача до контенту, а не лише місце розташування сервера чи провайдера послуг. Це рішення зміцнює позиції </w:t>
      </w:r>
      <w:r w:rsidRPr="00511005">
        <w:rPr>
          <w:rFonts w:ascii="Arial" w:eastAsia="Calibri" w:hAnsi="Arial" w:cs="Arial"/>
          <w:szCs w:val="28"/>
          <w:lang w:val="uk-UA" w:eastAsia="uk-UA"/>
        </w:rPr>
        <w:lastRenderedPageBreak/>
        <w:t>правовласників, розширюючи юрисдикцію судів тих країн, де порушення дійсно впливає на користувачів.</w:t>
      </w:r>
    </w:p>
    <w:p w14:paraId="75A55F61"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Перспективи подолання проблем, пов’язаних із визначенням компетентного суду у спорах про цифрові порушення прав інтелектуальної власності, полягають у комплексному удосконаленні як на національному, так і на міжнародному рівнях. В умовах глобалізації цифрового простору виникає гостра потреба у формуванні спільних правил, які б враховували транснаціональний характер цифрових порушень та забезпечували взаємне визнання і виконання судових рішень. Важливим інструментом у цьому напрямі є впровадження онлайн-платформ для альтернативного вирішення спорів, таких як WIPO Digital Arbitration, що дають змогу сторонам ефективно і швидко розглядати спори без територіальних обмежень [7]. Ці платформи сприяють зменшенню навантаження на традиційні судові інститути та підвищують доступність правосуддя у цифровій сфері. В науковій літературі вже зазначають про переваги використання онлайн сервісів для альтернативного врегулювання спорів у сфері інтелектуальної власності, серед яких: швидкість, економія коштів та часу, зручність при обміну даними та можливість управляти комунікаційним процесом. Крім того, як зазначає Л.І. Галупова, використання онлайн процедур врегулювання спорів передбачає наявність спеціалізованої платформи, яка забезпечує можливість електронного подання скарги, інформування іншої сторони, визначення компетентного посередника, управління справою та проведення процедури врегулювання онлайн, переклад необхідної інформації та функціонування системи зворотного зв’язку для оцінки ефективності платформи [8].</w:t>
      </w:r>
    </w:p>
    <w:p w14:paraId="64490C70"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Отже, як висновок можна зазначити, що тільки комплексна реалізація зазначених заходів сприятиме створенню ефективної системи правового захисту прав інтелектуальної власності в цифрових відносинах, що відповідає викликам сучасності та забезпечує баланс інтересів усіх учасників цифрового простору. Для України, яка перебуває на шляху цифровізації правової системи, ця тема має особливе значення. Врахування сучасних викликів і активна інтеграція світових практик у сфері захисту прав інтелектуальної власності в цифровому середовищі сприятимуть підвищенню рівня захисту прав, розвитку інновацій та зміцненню правової держави в умовах стрімкого технологічного прогресу.</w:t>
      </w:r>
    </w:p>
    <w:p w14:paraId="616F1CCC" w14:textId="77777777" w:rsidR="005F048D" w:rsidRPr="00511005" w:rsidRDefault="005F048D" w:rsidP="003A292D">
      <w:pPr>
        <w:spacing w:line="264" w:lineRule="auto"/>
        <w:ind w:firstLine="0"/>
        <w:rPr>
          <w:rFonts w:ascii="Arial" w:eastAsia="Calibri" w:hAnsi="Arial" w:cs="Arial"/>
          <w:szCs w:val="28"/>
          <w:lang w:val="uk-UA" w:eastAsia="uk-UA"/>
        </w:rPr>
      </w:pPr>
    </w:p>
    <w:p w14:paraId="7EB09E77" w14:textId="507F07AD" w:rsidR="005F048D" w:rsidRPr="00511005" w:rsidRDefault="007B2628" w:rsidP="007B2628">
      <w:pPr>
        <w:spacing w:line="264" w:lineRule="auto"/>
        <w:ind w:firstLine="0"/>
        <w:jc w:val="center"/>
        <w:rPr>
          <w:rFonts w:ascii="Arial" w:eastAsia="Calibri" w:hAnsi="Arial" w:cs="Arial"/>
          <w:b/>
          <w:szCs w:val="28"/>
          <w:lang w:val="uk-UA" w:eastAsia="uk-UA"/>
        </w:rPr>
      </w:pPr>
      <w:r w:rsidRPr="00511005">
        <w:rPr>
          <w:rFonts w:ascii="Arial" w:eastAsia="Calibri" w:hAnsi="Arial" w:cs="Arial"/>
          <w:b/>
          <w:szCs w:val="28"/>
          <w:lang w:val="uk-UA" w:eastAsia="uk-UA"/>
        </w:rPr>
        <w:t>Список використаних джерел</w:t>
      </w:r>
    </w:p>
    <w:p w14:paraId="58BC2BB2" w14:textId="77777777" w:rsidR="005F048D" w:rsidRPr="00511005" w:rsidRDefault="005F048D" w:rsidP="003F6A5D">
      <w:pPr>
        <w:numPr>
          <w:ilvl w:val="0"/>
          <w:numId w:val="33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Суд Європейського Союзу. Справа L’Oréal SA проти eBay International AG, C-324/09. Рішення від 12 липня 2011 р. URL: https://curia.europa.eu/juris/liste.jsf?num=C-324%2F09</w:t>
      </w:r>
    </w:p>
    <w:p w14:paraId="45E53E3B" w14:textId="77777777" w:rsidR="005F048D" w:rsidRPr="00511005" w:rsidRDefault="005F048D" w:rsidP="003F6A5D">
      <w:pPr>
        <w:numPr>
          <w:ilvl w:val="0"/>
          <w:numId w:val="33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 xml:space="preserve">Council Regulation (EC) No 1347/2000 of 29 May 2000 on jurisdiction and the recognition and enforcement of judgments in matrimonial </w:t>
      </w:r>
      <w:r w:rsidRPr="00511005">
        <w:rPr>
          <w:rFonts w:ascii="Arial" w:eastAsia="Calibri" w:hAnsi="Arial" w:cs="Arial"/>
          <w:szCs w:val="28"/>
          <w:lang w:val="uk-UA" w:eastAsia="uk-UA"/>
        </w:rPr>
        <w:lastRenderedPageBreak/>
        <w:t>matters and in matters of parental responsibility for children of both spouses. URL: https://eur-lex.europa.eu/legal-content/EN/TXT/?uri=celex:32000R1347</w:t>
      </w:r>
    </w:p>
    <w:p w14:paraId="06912CDD" w14:textId="77777777" w:rsidR="005F048D" w:rsidRPr="00511005" w:rsidRDefault="005F048D" w:rsidP="003F6A5D">
      <w:pPr>
        <w:numPr>
          <w:ilvl w:val="0"/>
          <w:numId w:val="33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 xml:space="preserve">Convention on Choice of Court Agreements (Concluded 30 June 2005). URL: https://www.hcch.net/en/instruments/conventions/full-text/?cid=98 </w:t>
      </w:r>
    </w:p>
    <w:p w14:paraId="0A72BC15" w14:textId="77777777" w:rsidR="005F048D" w:rsidRPr="00511005" w:rsidRDefault="005F048D" w:rsidP="003F6A5D">
      <w:pPr>
        <w:numPr>
          <w:ilvl w:val="0"/>
          <w:numId w:val="33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Convention on the Recognition and Enforcement of Foreign Judgments in Civil or Commercial Matters (Concluded 2 July 2019). URL: https://www.hcch.net/en/instruments/conventions/full-text/?cid=137</w:t>
      </w:r>
    </w:p>
    <w:p w14:paraId="6EA62208" w14:textId="77777777" w:rsidR="005F048D" w:rsidRPr="00511005" w:rsidRDefault="005F048D" w:rsidP="003F6A5D">
      <w:pPr>
        <w:numPr>
          <w:ilvl w:val="0"/>
          <w:numId w:val="33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WIPO Guide to the Uniform Domain Name Dispute Resolution Policy (UDRP). URL: https://www.wipo.int/amc/en/domains/guide/</w:t>
      </w:r>
    </w:p>
    <w:p w14:paraId="767473C8" w14:textId="77777777" w:rsidR="005F048D" w:rsidRPr="00511005" w:rsidRDefault="005F048D" w:rsidP="003F6A5D">
      <w:pPr>
        <w:numPr>
          <w:ilvl w:val="0"/>
          <w:numId w:val="33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Judgment of the Court (Fourth Chamber) of 3 October 2013, Pinckney v Mediatech, Case C-170/12 // EUR-Lex. URL: https://eur-lex.europa.eu/legal-content/EN/TXT/?uri=CELEX:62012CJ0170</w:t>
      </w:r>
    </w:p>
    <w:p w14:paraId="6C8AA8A1" w14:textId="77777777" w:rsidR="005F048D" w:rsidRPr="00511005" w:rsidRDefault="005F048D" w:rsidP="003F6A5D">
      <w:pPr>
        <w:numPr>
          <w:ilvl w:val="0"/>
          <w:numId w:val="338"/>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Mediation and Arbitration for IP and Technology Disputes. URL: https://www.wipo.int/en/web/business/mediation-arbitration</w:t>
      </w:r>
    </w:p>
    <w:p w14:paraId="1E7414C3" w14:textId="77777777" w:rsidR="005F048D" w:rsidRPr="00511005" w:rsidRDefault="005F048D" w:rsidP="003F6A5D">
      <w:pPr>
        <w:numPr>
          <w:ilvl w:val="0"/>
          <w:numId w:val="338"/>
        </w:numPr>
        <w:spacing w:line="264" w:lineRule="auto"/>
        <w:ind w:left="0" w:firstLine="709"/>
        <w:contextualSpacing/>
        <w:jc w:val="left"/>
        <w:rPr>
          <w:rFonts w:ascii="Arial" w:eastAsia="Calibri" w:hAnsi="Arial" w:cs="Arial"/>
          <w:szCs w:val="28"/>
          <w:lang w:val="uk-UA" w:eastAsia="uk-UA"/>
        </w:rPr>
      </w:pPr>
      <w:r w:rsidRPr="00511005">
        <w:rPr>
          <w:rFonts w:ascii="Arial" w:eastAsia="Times New Roman" w:hAnsi="Arial" w:cs="Arial"/>
          <w:szCs w:val="28"/>
          <w:shd w:val="clear" w:color="auto" w:fill="FFFFFF"/>
          <w:lang w:val="uk-UA" w:eastAsia="uk-UA"/>
        </w:rPr>
        <w:t>Галупова Л.І. Альтернативні способи врегулювання конфліктів у сфері права інтелектуальної власності: дис. ... канд. юрид. наук: 12.00.03 / Галупова Лариса Ігорівна. Одеса, 2021. 207 с.</w:t>
      </w:r>
    </w:p>
    <w:p w14:paraId="664D4272" w14:textId="77777777" w:rsidR="005F048D" w:rsidRPr="00511005" w:rsidRDefault="005F048D" w:rsidP="003A292D">
      <w:pPr>
        <w:spacing w:line="264" w:lineRule="auto"/>
        <w:rPr>
          <w:rFonts w:ascii="Arial" w:eastAsia="Calibri" w:hAnsi="Arial" w:cs="Arial"/>
          <w:szCs w:val="28"/>
          <w:lang w:val="uk-UA" w:eastAsia="uk-UA"/>
        </w:rPr>
      </w:pPr>
    </w:p>
    <w:p w14:paraId="3CFB05CD" w14:textId="337065A2" w:rsidR="005F048D" w:rsidRPr="00511005" w:rsidRDefault="007B2628" w:rsidP="003A292D">
      <w:pPr>
        <w:pBdr>
          <w:top w:val="nil"/>
          <w:left w:val="nil"/>
          <w:bottom w:val="nil"/>
          <w:right w:val="nil"/>
          <w:between w:val="nil"/>
        </w:pBdr>
        <w:spacing w:line="264" w:lineRule="auto"/>
        <w:rPr>
          <w:rFonts w:ascii="Arial" w:eastAsia="Times New Roman" w:hAnsi="Arial" w:cs="Arial"/>
          <w:szCs w:val="28"/>
          <w:lang w:val="uk-UA" w:eastAsia="uk-UA"/>
        </w:rPr>
      </w:pPr>
      <w:bookmarkStart w:id="173" w:name="_Hlk198901018"/>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право інтелектуальної власності, порушення прав інтелектуальної власності, цифрове середовище, спір.</w:t>
      </w:r>
    </w:p>
    <w:p w14:paraId="051A6304" w14:textId="33F0F3BC" w:rsidR="005F048D" w:rsidRPr="00511005" w:rsidRDefault="007B2628" w:rsidP="003A292D">
      <w:pPr>
        <w:pBdr>
          <w:top w:val="nil"/>
          <w:left w:val="nil"/>
          <w:bottom w:val="nil"/>
          <w:right w:val="nil"/>
          <w:between w:val="nil"/>
        </w:pBd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intellectual property law, infringement of intellectual property rights, digital environment, dispute.</w:t>
      </w:r>
    </w:p>
    <w:bookmarkEnd w:id="173"/>
    <w:p w14:paraId="60554640" w14:textId="1E3789AC" w:rsidR="005F048D" w:rsidRPr="00511005" w:rsidRDefault="007B2628" w:rsidP="003A292D">
      <w:pPr>
        <w:spacing w:line="264" w:lineRule="auto"/>
        <w:rPr>
          <w:rFonts w:ascii="Arial" w:eastAsia="Calibri" w:hAnsi="Arial" w:cs="Arial"/>
          <w:szCs w:val="28"/>
          <w:lang w:val="uk-UA" w:eastAsia="uk-UA"/>
        </w:rPr>
      </w:pPr>
      <w:r w:rsidRPr="00511005">
        <w:rPr>
          <w:rFonts w:ascii="Arial" w:eastAsia="Times New Roman" w:hAnsi="Arial" w:cs="Arial"/>
          <w:b/>
          <w:i/>
          <w:szCs w:val="28"/>
          <w:lang w:val="uk-UA" w:eastAsia="uk-UA"/>
        </w:rPr>
        <w:t xml:space="preserve">Науковий керівник: </w:t>
      </w:r>
      <w:r w:rsidR="00383DE9" w:rsidRPr="00511005">
        <w:rPr>
          <w:rFonts w:ascii="Arial" w:eastAsia="Times New Roman" w:hAnsi="Arial" w:cs="Arial"/>
          <w:i/>
          <w:szCs w:val="28"/>
          <w:lang w:val="uk-UA" w:eastAsia="uk-UA"/>
        </w:rPr>
        <w:t xml:space="preserve">к.ю.н., </w:t>
      </w:r>
      <w:bookmarkStart w:id="174" w:name="_Hlk198900781"/>
      <w:r w:rsidR="005F048D" w:rsidRPr="00511005">
        <w:rPr>
          <w:rFonts w:ascii="Arial" w:eastAsia="Times New Roman" w:hAnsi="Arial" w:cs="Arial"/>
          <w:i/>
          <w:szCs w:val="28"/>
          <w:lang w:val="uk-UA" w:eastAsia="uk-UA"/>
        </w:rPr>
        <w:t xml:space="preserve">доцент </w:t>
      </w:r>
      <w:bookmarkEnd w:id="174"/>
      <w:r w:rsidR="005F048D" w:rsidRPr="00511005">
        <w:rPr>
          <w:rFonts w:ascii="Arial" w:eastAsia="Times New Roman" w:hAnsi="Arial" w:cs="Arial"/>
          <w:i/>
          <w:szCs w:val="28"/>
          <w:lang w:val="uk-UA" w:eastAsia="uk-UA"/>
        </w:rPr>
        <w:t>Мартинюк І.В.</w:t>
      </w:r>
    </w:p>
    <w:p w14:paraId="4274EF20" w14:textId="77777777" w:rsidR="005F048D" w:rsidRPr="00511005" w:rsidRDefault="005F048D" w:rsidP="003A292D">
      <w:pPr>
        <w:pBdr>
          <w:top w:val="nil"/>
          <w:left w:val="nil"/>
          <w:bottom w:val="nil"/>
          <w:right w:val="nil"/>
          <w:between w:val="nil"/>
        </w:pBdr>
        <w:spacing w:line="264" w:lineRule="auto"/>
        <w:ind w:firstLine="0"/>
        <w:jc w:val="center"/>
        <w:rPr>
          <w:rFonts w:ascii="Arial" w:eastAsia="Times New Roman" w:hAnsi="Arial" w:cs="Arial"/>
          <w:szCs w:val="28"/>
          <w:lang w:val="uk-UA" w:eastAsia="uk-UA"/>
        </w:rPr>
      </w:pPr>
    </w:p>
    <w:p w14:paraId="1B066B5B" w14:textId="77777777" w:rsidR="005F048D" w:rsidRPr="00511005" w:rsidRDefault="005F048D" w:rsidP="003A292D">
      <w:pPr>
        <w:spacing w:line="264" w:lineRule="auto"/>
        <w:ind w:firstLine="0"/>
        <w:jc w:val="center"/>
        <w:rPr>
          <w:rFonts w:ascii="Arial" w:eastAsia="Times New Roman" w:hAnsi="Arial" w:cs="Arial"/>
          <w:b/>
          <w:bCs/>
          <w:i/>
          <w:iCs/>
          <w:szCs w:val="28"/>
          <w:lang w:val="uk-UA" w:eastAsia="uk-UA"/>
        </w:rPr>
      </w:pPr>
      <w:r w:rsidRPr="00511005">
        <w:rPr>
          <w:rFonts w:ascii="Arial" w:eastAsia="Times New Roman" w:hAnsi="Arial" w:cs="Arial"/>
          <w:b/>
          <w:bCs/>
          <w:i/>
          <w:iCs/>
          <w:szCs w:val="28"/>
          <w:lang w:val="uk-UA" w:eastAsia="uk-UA"/>
        </w:rPr>
        <w:t>Шумай Андрій Оленксандрович</w:t>
      </w:r>
    </w:p>
    <w:p w14:paraId="60513588" w14:textId="0241C2DC"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 4-го курсу </w:t>
      </w:r>
      <w:r w:rsidR="005F048D" w:rsidRPr="00511005">
        <w:rPr>
          <w:rFonts w:ascii="Arial" w:eastAsia="Times New Roman" w:hAnsi="Arial" w:cs="Arial"/>
          <w:szCs w:val="28"/>
          <w:lang w:val="uk-UA" w:eastAsia="uk-UA"/>
        </w:rPr>
        <w:t>факультету цивільної та господарської юстиції</w:t>
      </w:r>
    </w:p>
    <w:p w14:paraId="267F9A71" w14:textId="30E4AC32"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0854BA72" w14:textId="77777777" w:rsidR="005F048D" w:rsidRPr="00511005" w:rsidRDefault="005F048D" w:rsidP="003A292D">
      <w:pPr>
        <w:spacing w:line="264" w:lineRule="auto"/>
        <w:ind w:firstLine="0"/>
        <w:jc w:val="center"/>
        <w:rPr>
          <w:rFonts w:ascii="Arial" w:eastAsia="Times New Roman" w:hAnsi="Arial" w:cs="Arial"/>
          <w:b/>
          <w:bCs/>
          <w:szCs w:val="28"/>
          <w:lang w:val="uk-UA" w:eastAsia="uk-UA"/>
        </w:rPr>
      </w:pPr>
    </w:p>
    <w:p w14:paraId="35814F47" w14:textId="77777777" w:rsidR="005F048D" w:rsidRPr="00511005" w:rsidRDefault="005F048D" w:rsidP="003A292D">
      <w:pPr>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ПОРУШЕННЯ АВТОРСЬКИХ ПРАВ НА ПЛАТФОРМІ YOUTUBE: АЛГОРИТМИ, СТРАЙКИ ТА ПРАВОВИЙ МЕХАНІЗМ ОСКАРЖЕННЯ</w:t>
      </w:r>
    </w:p>
    <w:p w14:paraId="3CCB228C"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сучасному цифровому середовищі платформи для розміщення відеоконтенту, зокрема YouTube, стали не лише засобами самовираження та комунікації, але й повноцінним ринком інтелектуальної власності. Щодня мільйони користувачів публікують відео, що містять музику, зображення, фрагменти фільмів, ігор, телепередач, що нерідко тягне за собою порушення авторських прав. </w:t>
      </w:r>
    </w:p>
    <w:p w14:paraId="57F920D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YouTube застосовує автоматизовані системи виявлення порушень, зокрема Content ID та систему страйків (copyright strikes), які мають як переваги, так і суттєві недоліки. Алгоритми не завжди коректно розпізнають правомірне використання контенту, наприклад, у межах добросовісного використання (fair use), що призводить до видалення відео, блокування каналів та виникнення конфліктів між авторами та правовласниками. </w:t>
      </w:r>
    </w:p>
    <w:p w14:paraId="0B6D92A1"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Особливого значення набуває питання ефективності правового механізму оскарження таких дій: наскільки прозорою є процедура, чи враховуються права користувача, чи існує реальний захист від зловживань з боку великих корпорацій або недобросовісних заявників. У цій роботі буде розглянуто основні аспекти порушень авторських прав на YouTube, принципи роботи автоматизованих систем виявлення, а також проаналізовано правові способи захисту й оскарження неправомірних блокувань.</w:t>
      </w:r>
    </w:p>
    <w:p w14:paraId="059ED8A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Платформа YouTube впровадила низку технологічних та правових інструментів для боротьби з порушеннями авторських прав. Найважливішим із них є система Content ID — автоматизований алгоритм, що дозволяє виявляти захищений авторським правом контент у завантажених відео. Окрім цього,.</w:t>
      </w:r>
    </w:p>
    <w:p w14:paraId="39EA079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Система Content ID є інтелектуальним інструментом ідентифікації аудіо- та відеоконтенту, що дозволяє правовласникам здійснювати моніторинг використання їхніх творів без необхідності втручання в кожен окремий випадок. Правовласники передають YouTube еталонні файли (наприклад, музичні треки або відеофрагменти), які потім використовуються для автоматичного порівняння з усім новим контентом, що завантажується на платформу.</w:t>
      </w:r>
    </w:p>
    <w:p w14:paraId="6231D09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У разі виявлення збігів Content ID дозволяє правовласнику обрати одну з можливих реакцій:</w:t>
      </w:r>
    </w:p>
    <w:p w14:paraId="2C1B4B08" w14:textId="77777777" w:rsidR="005F048D" w:rsidRPr="00511005" w:rsidRDefault="005F048D" w:rsidP="003F6A5D">
      <w:pPr>
        <w:numPr>
          <w:ilvl w:val="0"/>
          <w:numId w:val="343"/>
        </w:numPr>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монетизація відео шляхом розміщення реклами;</w:t>
      </w:r>
    </w:p>
    <w:p w14:paraId="2E1A2B27" w14:textId="77777777" w:rsidR="005F048D" w:rsidRPr="00511005" w:rsidRDefault="005F048D" w:rsidP="003F6A5D">
      <w:pPr>
        <w:numPr>
          <w:ilvl w:val="0"/>
          <w:numId w:val="343"/>
        </w:numPr>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блокування відео в окремих регіонах або в усьому світі;</w:t>
      </w:r>
    </w:p>
    <w:p w14:paraId="3CF64851" w14:textId="77777777" w:rsidR="005F048D" w:rsidRPr="00511005" w:rsidRDefault="005F048D" w:rsidP="003F6A5D">
      <w:pPr>
        <w:numPr>
          <w:ilvl w:val="0"/>
          <w:numId w:val="343"/>
        </w:numPr>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отримання статистичних даних щодо переглядів без вжиття додаткових заходів.</w:t>
      </w:r>
    </w:p>
    <w:p w14:paraId="4F411A6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Також, YouTube застосовує механізм страйків за порушення авторських прав, які можуть призвести до блокування відео, обмеження функцій акаунта, а у випадку багаторазових порушень — до повного видалення каналу.</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uk-UA"/>
        </w:rPr>
        <w:t>На відміну від Content ID, механізм страйків передбачає вже юридичне звернення правовласника, що кваліфікується як офіційне повідомлення про порушення авторських прав відповідно до Закону США про захист авторських прав у цифрову епоху (DMCA). Страйки мають серйозні наслідки для користувача:</w:t>
      </w:r>
    </w:p>
    <w:p w14:paraId="0F9EA621" w14:textId="77777777" w:rsidR="005F048D" w:rsidRPr="00511005" w:rsidRDefault="005F048D" w:rsidP="003F6A5D">
      <w:pPr>
        <w:numPr>
          <w:ilvl w:val="0"/>
          <w:numId w:val="344"/>
        </w:numPr>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перший страйк супроводжується видаленням відео та тимчасовим обмеженням функцій акаунта;</w:t>
      </w:r>
    </w:p>
    <w:p w14:paraId="5458091E" w14:textId="77777777" w:rsidR="005F048D" w:rsidRPr="00511005" w:rsidRDefault="005F048D" w:rsidP="003F6A5D">
      <w:pPr>
        <w:numPr>
          <w:ilvl w:val="0"/>
          <w:numId w:val="344"/>
        </w:numPr>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другий страйк протягом 90 днів може призвести до посилених обмежень;</w:t>
      </w:r>
    </w:p>
    <w:p w14:paraId="5062A887" w14:textId="77777777" w:rsidR="005F048D" w:rsidRPr="00511005" w:rsidRDefault="005F048D" w:rsidP="003F6A5D">
      <w:pPr>
        <w:numPr>
          <w:ilvl w:val="0"/>
          <w:numId w:val="344"/>
        </w:numPr>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третій страйк протягом 90 днів тягне за собою незворотне видалення каналу.</w:t>
      </w:r>
    </w:p>
    <w:p w14:paraId="73E81AB5"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Застосування страйків часто критикується за можливі зловживання: трапляються випадки подання неправомірних скарг із метою цензури або конкурентного тиску.</w:t>
      </w:r>
    </w:p>
    <w:p w14:paraId="2A557F87"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Користувачі мають право на оспорення як автоматичних дій Content ID, так і вручення страйків. Механізм оскарження передбачає кілька етапів:</w:t>
      </w:r>
    </w:p>
    <w:p w14:paraId="2D0A1591" w14:textId="77777777" w:rsidR="005F048D" w:rsidRPr="00511005" w:rsidRDefault="005F048D" w:rsidP="003F6A5D">
      <w:pPr>
        <w:numPr>
          <w:ilvl w:val="0"/>
          <w:numId w:val="345"/>
        </w:numPr>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подання оскарження до системи YouTube (Dispute);</w:t>
      </w:r>
    </w:p>
    <w:p w14:paraId="76EA2600" w14:textId="77777777" w:rsidR="005F048D" w:rsidRPr="00511005" w:rsidRDefault="005F048D" w:rsidP="003F6A5D">
      <w:pPr>
        <w:numPr>
          <w:ilvl w:val="0"/>
          <w:numId w:val="345"/>
        </w:numPr>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у разі відхилення — апеляція (Appeal);</w:t>
      </w:r>
    </w:p>
    <w:p w14:paraId="0FC0D566" w14:textId="77777777" w:rsidR="005F048D" w:rsidRPr="00511005" w:rsidRDefault="005F048D" w:rsidP="003F6A5D">
      <w:pPr>
        <w:numPr>
          <w:ilvl w:val="0"/>
          <w:numId w:val="345"/>
        </w:numPr>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у разі страйку — контрсповіщення (Counter Notification), що активує юридичну процедуру: правовласник має 10 днів для подання позову, інакше відео буде відновлено.</w:t>
      </w:r>
    </w:p>
    <w:p w14:paraId="73C7663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Проте ефективність цієї процедури залишається дискусійною. Користувачі часто вказують на її непрозорість, автоматизовану обробку скарг і відсутність належного зворотного зв’язку. Це свідчить про необхідність вдосконалення платформи в напрямі дотримання балансу між захистом прав правовласників і забезпеченням свободи творчості та слова.</w:t>
      </w:r>
    </w:p>
    <w:p w14:paraId="43A96D14"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На міжнародному рівні захист авторських прав регулюється такими основоположними документами, як Бернська конвенція про охорону літературних і художніх творів, Угода про торговельні аспекти прав інтелектуальної власності (TRIPS) та Директиви ЄС у сфері цифрових прав. Вони встановлюють загальні принципи охорони авторських прав, включаючи право на контроль використання твору, справедливу винагороду, а також право на ефективний захист у разі порушення.</w:t>
      </w:r>
    </w:p>
    <w:p w14:paraId="55CA601F"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захист авторських прав на YouTube є складним поєднанням технологічних рішень, внутрішніх політик платформи та норм міжнародного права. Проблематика порушень та їх правового врегулювання вимагає глибокого аналізу не лише з точки зору законодавства, а й з урахуванням етичних, соціальних та технічних аспектів.</w:t>
      </w:r>
    </w:p>
    <w:p w14:paraId="4FD66685"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Аналіз функціонування системи захисту авторських прав на платформі YouTube свідчить про її високу ефективність і потенціал як універсального механізму боротьби з цифровим піратством. Поєднання автоматизованої системи ідентифікації контенту Content ID із правовими інструментами реагування, зокрема страйками та механізмами оскарження, створює збалансовану модель, яка одночасно захищає інтереси правовласників і не обмежує свободу користувачів. Така модель може стати основою для впровадження подібних систем і на інших платформах, де активно поширюється користувацький контент, зокрема TikTok, Instagram, Facebook, Vimeo, Telegram та інші.</w:t>
      </w:r>
    </w:p>
    <w:p w14:paraId="6F27CD5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Перевага цієї системи полягає не лише в її технічній ефективності, а й у здатності формувати нову правову культуру в цифровому середовищі, де повага до інтелектуальної власності стає нормою. Автоматизація процесів моніторингу, блокування та монетизації контенту дає змогу оперативно реагувати на порушення без необхідності втручання правовласника в </w:t>
      </w:r>
      <w:r w:rsidRPr="00511005">
        <w:rPr>
          <w:rFonts w:ascii="Arial" w:eastAsia="Times New Roman" w:hAnsi="Arial" w:cs="Arial"/>
          <w:szCs w:val="28"/>
          <w:lang w:val="uk-UA" w:eastAsia="uk-UA"/>
        </w:rPr>
        <w:lastRenderedPageBreak/>
        <w:t>кожному окремому випадку, водночас відкриваючи йому можливості для отримання справедливої винагороди за використання його творів. Таким чином, така система стає не лише захисним інструментом, а й рушієм розвитку легального ринку цифрового контенту.</w:t>
      </w:r>
    </w:p>
    <w:p w14:paraId="64FC5D7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У контексті України, яка перебуває на шляху цифрової трансформації та євроінтеграції, впровадження аналогічних рішень має особливу важливість. Незважаючи на поступові законодавчі зрушення, проблема порушення авторських прав у мережі залишається актуальною. Застосування механізмів, подібних до Content ID, могло б суттєво підвищити рівень захисту національного аудіовізуального продукту, а також інтегрувати українських авторів і правовласників у глобальну систему правового захисту. Враховуючи активний розвиток українського цифрового ринку, такі технології можуть стати основою для побудови цивілізованого й безпечного медіасередовища.</w:t>
      </w:r>
    </w:p>
    <w:p w14:paraId="409A6B2F" w14:textId="77777777" w:rsidR="005F048D" w:rsidRPr="00511005" w:rsidRDefault="005F048D" w:rsidP="003A292D">
      <w:pPr>
        <w:spacing w:line="264" w:lineRule="auto"/>
        <w:ind w:firstLine="720"/>
        <w:rPr>
          <w:rFonts w:ascii="Arial" w:eastAsia="Times New Roman" w:hAnsi="Arial" w:cs="Arial"/>
          <w:szCs w:val="28"/>
          <w:lang w:eastAsia="uk-UA"/>
        </w:rPr>
      </w:pPr>
      <w:r w:rsidRPr="00511005">
        <w:rPr>
          <w:rFonts w:ascii="Arial" w:eastAsia="Times New Roman" w:hAnsi="Arial" w:cs="Arial"/>
          <w:szCs w:val="28"/>
          <w:lang w:val="uk-UA" w:eastAsia="uk-UA"/>
        </w:rPr>
        <w:t>У підсумку, система захисту авторських прав, реалізована на YouTube, є вдалим прикладом того, як технічні рішення можуть ефективно взаємодіяти з правовими механізмами. Її поширення на інші цифрові платформи, а також адаптація в національних юрисдикціях, зокрема в Україні, становить важливий крок до забезпечення справедливого, відкритого та правового цифрового простору.</w:t>
      </w:r>
    </w:p>
    <w:p w14:paraId="7F0EB274" w14:textId="77777777" w:rsidR="005F048D" w:rsidRPr="00511005" w:rsidRDefault="005F048D" w:rsidP="003A292D">
      <w:pPr>
        <w:spacing w:line="264" w:lineRule="auto"/>
        <w:ind w:firstLine="720"/>
        <w:rPr>
          <w:rFonts w:ascii="Arial" w:eastAsia="Times New Roman" w:hAnsi="Arial" w:cs="Arial"/>
          <w:szCs w:val="28"/>
          <w:lang w:eastAsia="uk-UA"/>
        </w:rPr>
      </w:pPr>
    </w:p>
    <w:p w14:paraId="71E0F7CF" w14:textId="71D5B896" w:rsidR="005F048D" w:rsidRPr="00511005" w:rsidRDefault="007B2628" w:rsidP="007B2628">
      <w:pPr>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5E8FC126" w14:textId="77777777" w:rsidR="005F048D" w:rsidRPr="00511005" w:rsidRDefault="005F048D" w:rsidP="003F6A5D">
      <w:pPr>
        <w:numPr>
          <w:ilvl w:val="0"/>
          <w:numId w:val="831"/>
        </w:numPr>
        <w:spacing w:line="264" w:lineRule="auto"/>
        <w:ind w:left="0"/>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YouTube Help. How Content ID works</w:t>
      </w:r>
      <w:r w:rsidRPr="00511005">
        <w:rPr>
          <w:rFonts w:ascii="Arial" w:eastAsia="Times New Roman" w:hAnsi="Arial" w:cs="Arial"/>
          <w:szCs w:val="28"/>
          <w:lang w:val="en-US" w:eastAsia="uk-UA"/>
        </w:rPr>
        <w:t>.</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URL</w:t>
      </w:r>
      <w:r w:rsidRPr="00511005">
        <w:rPr>
          <w:rFonts w:ascii="Arial" w:eastAsia="Times New Roman" w:hAnsi="Arial" w:cs="Arial"/>
          <w:szCs w:val="28"/>
          <w:lang w:val="uk-UA" w:eastAsia="uk-UA"/>
        </w:rPr>
        <w:t>: https://support.google.com/youtube/answer/2797370 – Назва з екрана;</w:t>
      </w:r>
    </w:p>
    <w:p w14:paraId="4BF1BFDF" w14:textId="77777777" w:rsidR="005F048D" w:rsidRPr="00511005" w:rsidRDefault="005F048D" w:rsidP="003F6A5D">
      <w:pPr>
        <w:numPr>
          <w:ilvl w:val="0"/>
          <w:numId w:val="831"/>
        </w:numPr>
        <w:spacing w:line="264" w:lineRule="auto"/>
        <w:ind w:left="0"/>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Digital Millennium Copyright Act, 17 U.S.C. § 512</w:t>
      </w:r>
      <w:r w:rsidRPr="00511005">
        <w:rPr>
          <w:rFonts w:ascii="Arial" w:eastAsia="Times New Roman" w:hAnsi="Arial" w:cs="Arial"/>
          <w:szCs w:val="28"/>
          <w:lang w:val="en-US" w:eastAsia="uk-UA"/>
        </w:rPr>
        <w:t>.</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pl-PL" w:eastAsia="uk-UA"/>
        </w:rPr>
        <w:t>URL</w:t>
      </w:r>
      <w:r w:rsidRPr="00511005">
        <w:rPr>
          <w:rFonts w:ascii="Arial" w:eastAsia="Times New Roman" w:hAnsi="Arial" w:cs="Arial"/>
          <w:szCs w:val="28"/>
          <w:lang w:val="uk-UA" w:eastAsia="uk-UA"/>
        </w:rPr>
        <w:t xml:space="preserve">: </w:t>
      </w:r>
      <w:hyperlink r:id="rId1339" w:history="1">
        <w:r w:rsidRPr="00511005">
          <w:rPr>
            <w:rFonts w:ascii="Arial" w:eastAsia="Times New Roman" w:hAnsi="Arial" w:cs="Arial"/>
            <w:szCs w:val="28"/>
            <w:lang w:val="uk-UA" w:eastAsia="uk-UA"/>
          </w:rPr>
          <w:t>https://www.copyright.gov/dmca-directory/</w:t>
        </w:r>
      </w:hyperlink>
      <w:r w:rsidRPr="00511005">
        <w:rPr>
          <w:rFonts w:ascii="Arial" w:eastAsia="Times New Roman" w:hAnsi="Arial" w:cs="Arial"/>
          <w:szCs w:val="28"/>
          <w:lang w:val="pl-PL" w:eastAsia="uk-UA"/>
        </w:rPr>
        <w:t>.</w:t>
      </w:r>
    </w:p>
    <w:p w14:paraId="145AAB86" w14:textId="77777777" w:rsidR="005F048D" w:rsidRPr="00511005" w:rsidRDefault="005F048D" w:rsidP="003F6A5D">
      <w:pPr>
        <w:numPr>
          <w:ilvl w:val="0"/>
          <w:numId w:val="831"/>
        </w:numPr>
        <w:spacing w:line="264" w:lineRule="auto"/>
        <w:ind w:left="0"/>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Власова Н. В. Захист авторських прав у цифровому середовищі: зарубіжний досвід і перспективи для України // Інформація і право. – 2021. – №3(38). – С. 58–64;</w:t>
      </w:r>
    </w:p>
    <w:p w14:paraId="75730187" w14:textId="77777777" w:rsidR="005F048D" w:rsidRPr="00511005" w:rsidRDefault="005F048D" w:rsidP="003F6A5D">
      <w:pPr>
        <w:numPr>
          <w:ilvl w:val="0"/>
          <w:numId w:val="831"/>
        </w:numPr>
        <w:spacing w:line="264" w:lineRule="auto"/>
        <w:ind w:left="0"/>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European Commission. Copyright in the Digital Single Market</w:t>
      </w:r>
      <w:r w:rsidRPr="00511005">
        <w:rPr>
          <w:rFonts w:ascii="Arial" w:eastAsia="Times New Roman" w:hAnsi="Arial" w:cs="Arial"/>
          <w:szCs w:val="28"/>
          <w:lang w:val="en-US" w:eastAsia="uk-UA"/>
        </w:rPr>
        <w:t>.</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pl-PL" w:eastAsia="uk-UA"/>
        </w:rPr>
        <w:t>URL</w:t>
      </w:r>
      <w:r w:rsidRPr="00511005">
        <w:rPr>
          <w:rFonts w:ascii="Arial" w:eastAsia="Times New Roman" w:hAnsi="Arial" w:cs="Arial"/>
          <w:szCs w:val="28"/>
          <w:lang w:val="uk-UA" w:eastAsia="uk-UA"/>
        </w:rPr>
        <w:t>: https://ec.europa.eu/digital-single-market/en/modernisation-eu-copyright-rules.</w:t>
      </w:r>
    </w:p>
    <w:p w14:paraId="580E8DAE" w14:textId="77777777" w:rsidR="005F048D" w:rsidRPr="00511005" w:rsidRDefault="005F048D" w:rsidP="003A292D">
      <w:pPr>
        <w:spacing w:line="264" w:lineRule="auto"/>
        <w:rPr>
          <w:rFonts w:ascii="Arial" w:eastAsia="Times New Roman" w:hAnsi="Arial" w:cs="Arial"/>
          <w:b/>
          <w:bCs/>
          <w:szCs w:val="28"/>
          <w:lang w:val="pl-PL" w:eastAsia="uk-UA"/>
        </w:rPr>
      </w:pPr>
    </w:p>
    <w:p w14:paraId="415E2CF2" w14:textId="2E47C1A3" w:rsidR="005F048D" w:rsidRPr="00511005" w:rsidRDefault="007B2628" w:rsidP="003A292D">
      <w:pPr>
        <w:spacing w:line="264" w:lineRule="auto"/>
        <w:rPr>
          <w:rFonts w:ascii="Arial" w:eastAsia="Times New Roman" w:hAnsi="Arial" w:cs="Arial"/>
          <w:b/>
          <w:bCs/>
          <w:szCs w:val="28"/>
          <w:lang w:val="uk-UA" w:eastAsia="uk-UA"/>
        </w:rPr>
      </w:pPr>
      <w:r w:rsidRPr="00511005">
        <w:rPr>
          <w:rFonts w:ascii="Arial" w:eastAsia="Times New Roman" w:hAnsi="Arial" w:cs="Arial"/>
          <w:b/>
          <w:bCs/>
          <w:i/>
          <w:szCs w:val="28"/>
          <w:lang w:val="uk-UA" w:eastAsia="uk-UA"/>
        </w:rPr>
        <w:t xml:space="preserve">Ключові слова: </w:t>
      </w:r>
      <w:r w:rsidR="005F048D" w:rsidRPr="00511005">
        <w:rPr>
          <w:rFonts w:ascii="Arial" w:eastAsia="Times New Roman" w:hAnsi="Arial" w:cs="Arial"/>
          <w:szCs w:val="28"/>
          <w:lang w:val="uk-UA" w:eastAsia="uk-UA"/>
        </w:rPr>
        <w:t>авторське право, YouTube, Content ID, цифрове піратство, страйк</w:t>
      </w:r>
      <w:r w:rsidR="005F048D" w:rsidRPr="00511005">
        <w:rPr>
          <w:rFonts w:ascii="Arial" w:eastAsia="Times New Roman" w:hAnsi="Arial" w:cs="Arial"/>
          <w:b/>
          <w:bCs/>
          <w:szCs w:val="28"/>
          <w:lang w:val="uk-UA" w:eastAsia="uk-UA"/>
        </w:rPr>
        <w:t>;</w:t>
      </w:r>
    </w:p>
    <w:p w14:paraId="54EF067F" w14:textId="37A1AB84" w:rsidR="005F048D" w:rsidRPr="00511005" w:rsidRDefault="007B2628" w:rsidP="003A292D">
      <w:pPr>
        <w:spacing w:line="264" w:lineRule="auto"/>
        <w:rPr>
          <w:rFonts w:ascii="Arial" w:eastAsia="Times New Roman" w:hAnsi="Arial" w:cs="Arial"/>
          <w:b/>
          <w:bCs/>
          <w:szCs w:val="28"/>
          <w:lang w:val="en-US" w:eastAsia="uk-UA"/>
        </w:rPr>
      </w:pPr>
      <w:r w:rsidRPr="00511005">
        <w:rPr>
          <w:rFonts w:ascii="Arial" w:eastAsia="Times New Roman" w:hAnsi="Arial" w:cs="Arial"/>
          <w:b/>
          <w:bCs/>
          <w:i/>
          <w:szCs w:val="28"/>
          <w:lang w:val="uk-UA" w:eastAsia="uk-UA"/>
        </w:rPr>
        <w:t xml:space="preserve">Key words: </w:t>
      </w:r>
      <w:r w:rsidR="005F048D" w:rsidRPr="00511005">
        <w:rPr>
          <w:rFonts w:ascii="Arial" w:eastAsia="Times New Roman" w:hAnsi="Arial" w:cs="Arial"/>
          <w:szCs w:val="28"/>
          <w:lang w:val="uk-UA" w:eastAsia="uk-UA"/>
        </w:rPr>
        <w:t>copyright, YouTube, Content ID, digital piracy, strike</w:t>
      </w:r>
      <w:r w:rsidR="005F048D" w:rsidRPr="00511005">
        <w:rPr>
          <w:rFonts w:ascii="Arial" w:eastAsia="Times New Roman" w:hAnsi="Arial" w:cs="Arial"/>
          <w:b/>
          <w:bCs/>
          <w:szCs w:val="28"/>
          <w:lang w:val="uk-UA" w:eastAsia="uk-UA"/>
        </w:rPr>
        <w:t>.</w:t>
      </w:r>
    </w:p>
    <w:p w14:paraId="70D91405" w14:textId="53A958F6" w:rsidR="005F048D" w:rsidRPr="00511005" w:rsidRDefault="007B2628" w:rsidP="003A292D">
      <w:pPr>
        <w:spacing w:line="264" w:lineRule="auto"/>
        <w:ind w:firstLine="720"/>
        <w:rPr>
          <w:rFonts w:ascii="Arial" w:eastAsia="Calibri" w:hAnsi="Arial" w:cs="Arial"/>
          <w:b/>
          <w:bCs/>
          <w:i/>
          <w:iCs/>
          <w:szCs w:val="28"/>
          <w:lang w:val="uk-UA" w:eastAsia="uk-UA"/>
        </w:rPr>
      </w:pPr>
      <w:r w:rsidRPr="00511005">
        <w:rPr>
          <w:rFonts w:ascii="Arial" w:eastAsia="Calibri" w:hAnsi="Arial" w:cs="Arial"/>
          <w:b/>
          <w:i/>
          <w:iCs/>
          <w:szCs w:val="28"/>
          <w:lang w:val="uk-UA" w:eastAsia="uk-UA"/>
        </w:rPr>
        <w:t xml:space="preserve">Науковий керівник: </w:t>
      </w:r>
      <w:r w:rsidR="005F048D" w:rsidRPr="00511005">
        <w:rPr>
          <w:rFonts w:ascii="Arial" w:eastAsia="Calibri" w:hAnsi="Arial" w:cs="Arial"/>
          <w:i/>
          <w:iCs/>
          <w:szCs w:val="28"/>
          <w:lang w:val="uk-UA" w:eastAsia="uk-UA"/>
        </w:rPr>
        <w:t xml:space="preserve">к.ю.н., </w:t>
      </w:r>
      <w:r w:rsidR="005F048D" w:rsidRPr="00511005">
        <w:rPr>
          <w:rFonts w:ascii="Arial" w:eastAsia="Times New Roman" w:hAnsi="Arial" w:cs="Arial"/>
          <w:i/>
          <w:szCs w:val="28"/>
          <w:lang w:val="uk-UA" w:eastAsia="uk-UA"/>
        </w:rPr>
        <w:t xml:space="preserve">доцент </w:t>
      </w:r>
      <w:r w:rsidR="005F048D" w:rsidRPr="00511005">
        <w:rPr>
          <w:rFonts w:ascii="Arial" w:eastAsia="Calibri" w:hAnsi="Arial" w:cs="Arial"/>
          <w:i/>
          <w:iCs/>
          <w:szCs w:val="28"/>
          <w:lang w:val="uk-UA" w:eastAsia="uk-UA"/>
        </w:rPr>
        <w:t>Мазуренко С.В.</w:t>
      </w:r>
    </w:p>
    <w:p w14:paraId="52E1F482" w14:textId="77777777" w:rsidR="005F048D" w:rsidRPr="00511005" w:rsidRDefault="005F048D" w:rsidP="003A292D">
      <w:pPr>
        <w:pBdr>
          <w:top w:val="nil"/>
          <w:left w:val="nil"/>
          <w:bottom w:val="nil"/>
          <w:right w:val="nil"/>
          <w:between w:val="nil"/>
        </w:pBdr>
        <w:spacing w:line="264" w:lineRule="auto"/>
        <w:rPr>
          <w:rFonts w:ascii="Arial" w:eastAsia="Times New Roman" w:hAnsi="Arial" w:cs="Arial"/>
          <w:szCs w:val="28"/>
          <w:lang w:val="uk-UA" w:eastAsia="uk-UA"/>
        </w:rPr>
      </w:pPr>
    </w:p>
    <w:p w14:paraId="416E0042" w14:textId="77777777" w:rsidR="005F048D" w:rsidRPr="00511005" w:rsidRDefault="005F048D" w:rsidP="003A292D">
      <w:pPr>
        <w:spacing w:line="264" w:lineRule="auto"/>
        <w:ind w:firstLine="0"/>
        <w:jc w:val="center"/>
        <w:rPr>
          <w:rFonts w:ascii="Arial" w:eastAsia="Times New Roman" w:hAnsi="Arial" w:cs="Arial"/>
          <w:b/>
          <w:i/>
          <w:iCs/>
          <w:szCs w:val="28"/>
          <w:lang w:val="uk-UA" w:eastAsia="uk-UA"/>
        </w:rPr>
      </w:pPr>
      <w:r w:rsidRPr="00511005">
        <w:rPr>
          <w:rFonts w:ascii="Arial" w:eastAsia="Times New Roman" w:hAnsi="Arial" w:cs="Arial"/>
          <w:b/>
          <w:i/>
          <w:iCs/>
          <w:szCs w:val="28"/>
          <w:lang w:val="uk-UA" w:eastAsia="uk-UA"/>
        </w:rPr>
        <w:t>Явдик Діана Олександрівна</w:t>
      </w:r>
    </w:p>
    <w:p w14:paraId="340CC66F" w14:textId="2E3A8910" w:rsidR="005F048D" w:rsidRPr="00511005" w:rsidRDefault="00536AAB" w:rsidP="003A292D">
      <w:pPr>
        <w:spacing w:line="264" w:lineRule="auto"/>
        <w:ind w:firstLine="0"/>
        <w:jc w:val="center"/>
        <w:rPr>
          <w:rFonts w:ascii="Arial" w:eastAsia="Times New Roman" w:hAnsi="Arial" w:cs="Arial"/>
          <w:iCs/>
          <w:szCs w:val="28"/>
          <w:lang w:val="uk-UA" w:eastAsia="uk-UA"/>
        </w:rPr>
      </w:pPr>
      <w:r w:rsidRPr="00511005">
        <w:rPr>
          <w:rFonts w:ascii="Arial" w:eastAsia="Times New Roman" w:hAnsi="Arial" w:cs="Arial"/>
          <w:iCs/>
          <w:szCs w:val="28"/>
          <w:lang w:val="uk-UA" w:eastAsia="uk-UA"/>
        </w:rPr>
        <w:t>студентка 3-го курсу факультету адвокатури та антикорупційної діяльності</w:t>
      </w:r>
    </w:p>
    <w:p w14:paraId="69255DB9" w14:textId="0191F5D5" w:rsidR="005F048D" w:rsidRPr="00511005" w:rsidRDefault="007B2628" w:rsidP="003A292D">
      <w:pPr>
        <w:spacing w:line="264" w:lineRule="auto"/>
        <w:ind w:firstLine="0"/>
        <w:jc w:val="center"/>
        <w:rPr>
          <w:rFonts w:ascii="Arial" w:eastAsia="Times New Roman" w:hAnsi="Arial" w:cs="Arial"/>
          <w:iCs/>
          <w:szCs w:val="28"/>
          <w:lang w:val="uk-UA" w:eastAsia="uk-UA"/>
        </w:rPr>
      </w:pPr>
      <w:r w:rsidRPr="00511005">
        <w:rPr>
          <w:rFonts w:ascii="Arial" w:eastAsia="Times New Roman" w:hAnsi="Arial" w:cs="Arial"/>
          <w:iCs/>
          <w:szCs w:val="28"/>
          <w:lang w:val="uk-UA" w:eastAsia="uk-UA"/>
        </w:rPr>
        <w:t>Національного університету «Одеська юридична академія»</w:t>
      </w:r>
    </w:p>
    <w:p w14:paraId="59897466"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p>
    <w:p w14:paraId="09434001"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lastRenderedPageBreak/>
        <w:t xml:space="preserve">ПРАВОВА ОХОРОНА ОСОБИСТОГО БРЕНДУ У СОЦІАЛЬНИХ МЕРЕЖАХ </w:t>
      </w:r>
    </w:p>
    <w:p w14:paraId="73FB1CC2"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У сучасному цифровому світі особисті бренди (personal brands) стали важливим інструментом самопрезентації, просування послуг, формування довіри та отримання прибутку. Особливо це актуально для блогерів, політиків, публічних осіб, правників, психологів, лікарів тощо. Проте законодавство не завжди встигає за динамікою таких правовідносин, і виникають численні прогалини, що впливають на ефективність захисту особистих брендів у соцмережах. На сьогоднішній день, одним з ефективних механізмів, що здатні забезпечити правову охорону особистого бренду в соціальних мережах може бути реєстрація елементів бренду як торговельної марки.</w:t>
      </w:r>
    </w:p>
    <w:p w14:paraId="038B39BD"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Цифровізація створила умови, за яких кожна особа потенційно є публічною, а її дії у віртуальному середовищі – слід у цифровому просторі (digital footprint) – формують певне уявлення про неї. Так, особистий бренд виконує функції індивідуалізації, диференціації та комунікації, що дозволяє особі не лише презентувати себе як фахівця чи лідера думок, а й забезпечити отримання прибутку шляхом комерціалізації нематеріальних активів, зокрема – імені, образу, стилю, унікального контенту тощо.</w:t>
      </w:r>
    </w:p>
    <w:p w14:paraId="0F32B37F"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Особистий бренд як правова категорія тісно повʼязаний із таким правовими інститутами, як: немайнові права фізичної особи (право на ім’я, на повагу до гідності, на зображення); права інтелектуальної власності (торговельні марки, авторське право, комерційне найменування).</w:t>
      </w:r>
    </w:p>
    <w:p w14:paraId="271CCC94"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У правовій площині цифровізація поставила нові виклики перед механізмами охорони та захисту особистого бренду: використання особистості в deepfake-технологіях без згоди; копіювання візуальних/мовних елементів бренду; шахрайські акаунти, які імітують брендову присутність; неправомірне використання бренду в рекламі або упакуванні товару.</w:t>
      </w:r>
    </w:p>
    <w:p w14:paraId="16E12182"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Таким чином, значення особистого бренду в умовах цифровізації виходить далеко за межі особистої самореалізації, набуваючи стратегічного характеру як для самих осіб, так і для бізнесу, держави, правової системи. Це вимагає системного переосмислення підходів до засобів охорони та захисту особистого бренду.</w:t>
      </w:r>
    </w:p>
    <w:p w14:paraId="55CF469A"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Поняття «особистий бренд» у сучасній науці і практиці набуло широкого розповсюдження як складне соціокультурне і правове явище, що поєднує психологічні, маркетингові та правові елементи. Особистий бренд можна розглядати як сукупність унікальних асоціацій та характеристик, які формуються у свідомості цільової аудиторії стосовно конкретної особи [1]. З позиції права особистий бренд фактично виступає як конгломерат охоронюваних елементів, що ідентифікують особу в професійному та публічному просторі. Ці елементи можуть включати ім’я, псевдонім, образ, стиль комунікації, а також символи, які можуть бути зареєстровані як об’єкти </w:t>
      </w:r>
      <w:r w:rsidRPr="00511005">
        <w:rPr>
          <w:rFonts w:ascii="Arial" w:eastAsia="Calibri" w:hAnsi="Arial" w:cs="Arial"/>
          <w:szCs w:val="28"/>
          <w:lang w:val="uk-UA" w:eastAsia="uk-UA"/>
        </w:rPr>
        <w:lastRenderedPageBreak/>
        <w:t xml:space="preserve">інтелектуальної власності, зокрема торговельні марки. Проте варто зауважити, що в правовому полі особистий бренд як цілісний інститут не має чіткого закріплення у законодавстві, а його охорона здійснюється через комплекс норм, що регулюють права на ім’я, авторське право, захист ділової репутації та права інтелектуальної власності [2, c.91]. </w:t>
      </w:r>
    </w:p>
    <w:p w14:paraId="0BD45BA3"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Розмежування понять іміджу, ділової репутації та торговельної марки є важливим для розуміння правового статусу особистого бренду та ефективного правового захисту. Імідж у науковій літературі визначається як суб’єктивне сприйняття особи або організації, що формується в уявленні аудиторії на основі візуальних, вербальних та поведінкових характеристик [3]. Він є швидкоплинним, ситуативним і не має власного правового захисту як окремий об’єкт. На відміну від іміджу, ділова репутація має більш стійкий і об’єктивний характер, оскільки формується на основі фактичної діяльності, історії взаємодії з контрагентами і суспільства. Вона захищається від неправомірних посягань, зокрема в контексті недобросовісної конкуренції, що підтверджується законодавчими нормами, наприклад, статтею 15 Закону України «Про захист від недобросовісної конкуренції». Торговельна марка, у свою чергу, є чітко визначеним правовим інститутом, що представляє собою охоронюваний законом знак, призначений для ідентифікації товарів і послуг, відмінних від інших на ринку [4]. </w:t>
      </w:r>
    </w:p>
    <w:p w14:paraId="6CCC3FF3"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Отже, у контексті цифровізації і активного використання соціальних мереж особистий бренд набуває все більшого значення як нематеріальний актив, який може бути предметом правової охорони через його складові. Для забезпечення ефективного захисту необхідно враховувати різні аспекти бренду: від іміджевих і репутаційних характеристик до формалізованих елементів, таких як торговельна марка. Вивчення особистого бренду як правової категорії передбачає комплексний підхід, який враховує специфіку кожного елементу, що його формує, та їх правове регулювання в сучасних умовах цифрового середовища. Особистий бренд у правовому вимірі складається з різних елементів, кожен із яких може бути потенційним об’єктом прав інтелектуальної власності. До таких елементів належать ім’я, псевдонім або нікнейм, що функціонують як основні ідентифікатори особи в цифровому та офлайн середовищах. Вони є не лише елементами самовираження, але й цінними активами, що можуть підлягати охороні відповідно до ЦК України, Законів України «Про авторське право та суміжні права» та «Про охорону прав на знаки для товарів і послуг». Візуальні компоненти особистого бренду – логотипи, аватари, кольорові гами – виконують функцію візуальної ідентифікації та формують впізнаваність у споживачів і цільової аудиторії. Такі елементи можуть бути охоронені як торговельні марки, а також як об’єкти авторського права (у випадку коли це твори мистецтва), що надає власнику ширший спектр засобів захисту. Унікальні хештеги, слогани та вислови, що набули популярності та </w:t>
      </w:r>
      <w:r w:rsidRPr="00511005">
        <w:rPr>
          <w:rFonts w:ascii="Arial" w:eastAsia="Calibri" w:hAnsi="Arial" w:cs="Arial"/>
          <w:szCs w:val="28"/>
          <w:lang w:val="uk-UA" w:eastAsia="uk-UA"/>
        </w:rPr>
        <w:lastRenderedPageBreak/>
        <w:t>асоціюються з конкретною особою, також можуть бути розглянуті як об’єкти інтелектуальної власності.</w:t>
      </w:r>
    </w:p>
    <w:p w14:paraId="72BE2EE8"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Особистий бренд, зареєстрований як торговельна марка, отримує чіткий правовий статус згідно з вимогами Закону України «Про охорону прав на знаки для товарів і послуг». Реєстрація торговельної марки вимагає, зокрема, наявності оригінальності торговельної марки, його здатності ідентифікувати товари чи послуги. Водночас відсутність реєстрації суттєво ускладнює захист прав власника бренду, залишаючи його вразливим до недобросовісного використання та піратства.</w:t>
      </w:r>
    </w:p>
    <w:p w14:paraId="051A6E33"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Серед ключових проблем, що виникають у правовому полі захисту особистих брендів, є доказування добросовісного використання бренду, що має вирішальне значення при судовому розгляді спорів. Конфлікти з правами інших осіб, зокрема випадки, коли схожі знаки чи ідентичні нікнейми використовуються конкурентами або третіми особами, викликають складнощі у визначенні меж прав і захисті інтересів власника бренду. Використання бренду іншими користувачами у формі накруток, створення фейкових акаунтів або клонів підриває цілісність і репутацію бренду, що потребує застосування заходів цифрової безпеки і правового реагування. Окрему увагу заслуговують спори щодо доменних імен, ніків і сторінок у соціальних мережах, які є важливими каналами комунікації та поширення особистого бренду [5].</w:t>
      </w:r>
    </w:p>
    <w:p w14:paraId="62024E00"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Отже, як висновок можна зазначити, що аналіз окреслених проблем свідчить про необхідність удосконалення механізмів правової охорони особистих брендів у цифровому середовищі. Добросовісне використання бренду має бути підкріплене належною доказовою базою, що вимагає від суб’єктів брендінгу зберігати документи, що підтверджують комерційне чи репутаційне використання позначення. У випадках виникнення конфліктів з іншими особами щодо схожих позначень або нікнеймів постає потреба у більш чіткому визначенні критеріїв схожості та добросовісності у національному законодавстві.</w:t>
      </w:r>
    </w:p>
    <w:p w14:paraId="0D774E0A"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Проблеми фейкових акаунтів, клонів і маніпуляцій з цифровою присутністю особистості вказують на необхідність оперативної співпраці між правовими інструментами та цифровими платформами, що надають послуги хостингу контенту. Особливої уваги потребує унормування процедур вирішення спорів, пов’язаних із доменними іменами та цифровими ідентифікаторами (нікнеймами), оскільки вони часто виконують функцію ідентифікатора бренду в середовищі соціальних медіа.</w:t>
      </w:r>
    </w:p>
    <w:p w14:paraId="34F988A9"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У комплексі зазначені виклики вимагають розробки ефективної системи правового реагування, що включає інструменти превентивного захисту (реєстрація торговельної марки, моніторинг використання бренду), процедурного регулювання спорів, а також правової просвіти власників особистих брендів щодо ризиків цифрового середовища.</w:t>
      </w:r>
    </w:p>
    <w:p w14:paraId="63FC899E" w14:textId="77777777" w:rsidR="005F048D" w:rsidRPr="00511005" w:rsidRDefault="005F048D" w:rsidP="003A292D">
      <w:pPr>
        <w:spacing w:line="264" w:lineRule="auto"/>
        <w:ind w:firstLine="567"/>
        <w:rPr>
          <w:rFonts w:ascii="Arial" w:eastAsia="Calibri" w:hAnsi="Arial" w:cs="Arial"/>
          <w:szCs w:val="28"/>
          <w:lang w:val="uk-UA" w:eastAsia="uk-UA"/>
        </w:rPr>
      </w:pPr>
    </w:p>
    <w:p w14:paraId="6A386483" w14:textId="29626FBA" w:rsidR="005F048D" w:rsidRPr="00511005" w:rsidRDefault="007B2628" w:rsidP="007B2628">
      <w:pPr>
        <w:spacing w:line="264" w:lineRule="auto"/>
        <w:ind w:firstLine="0"/>
        <w:jc w:val="center"/>
        <w:rPr>
          <w:rFonts w:ascii="Arial" w:eastAsia="Calibri" w:hAnsi="Arial" w:cs="Arial"/>
          <w:b/>
          <w:szCs w:val="28"/>
          <w:lang w:val="uk-UA" w:eastAsia="uk-UA"/>
        </w:rPr>
      </w:pPr>
      <w:r w:rsidRPr="00511005">
        <w:rPr>
          <w:rFonts w:ascii="Arial" w:eastAsia="Calibri" w:hAnsi="Arial" w:cs="Arial"/>
          <w:b/>
          <w:szCs w:val="28"/>
          <w:lang w:val="uk-UA" w:eastAsia="uk-UA"/>
        </w:rPr>
        <w:t>Список використаних джерел</w:t>
      </w:r>
    </w:p>
    <w:p w14:paraId="1074E7EF" w14:textId="77777777" w:rsidR="005F048D" w:rsidRPr="00511005" w:rsidRDefault="005F048D" w:rsidP="003F6A5D">
      <w:pPr>
        <w:numPr>
          <w:ilvl w:val="0"/>
          <w:numId w:val="339"/>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Що таке особистий бренд, як його створити та просунути. URL: https://sendpulse.ua/blog/personal-branding</w:t>
      </w:r>
    </w:p>
    <w:p w14:paraId="6FF27657" w14:textId="77777777" w:rsidR="005F048D" w:rsidRPr="00511005" w:rsidRDefault="005F048D" w:rsidP="003F6A5D">
      <w:pPr>
        <w:numPr>
          <w:ilvl w:val="0"/>
          <w:numId w:val="339"/>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 xml:space="preserve">Галупова Л.І._ Мартинюк І.В. Захист іміджевих прав спортсменів. The 9th International scientific and practical conference “Theoretical and practical aspects of the development of science and education”(March 05–08, 2024) Prague, Czech Republic. International Science Group. 2024. 349 p. С. 91-94 URL: https://isg-konf.com/wp-content/uploads/2024/03/THEORETICAL-AND-PRACTICAL-ASPECTS-OF-THE-DEVELOPMENT-OF-SCIENCE-AND-EDUCATION.pdf </w:t>
      </w:r>
    </w:p>
    <w:p w14:paraId="43B2E27D" w14:textId="77777777" w:rsidR="005F048D" w:rsidRPr="00511005" w:rsidRDefault="005F048D" w:rsidP="003F6A5D">
      <w:pPr>
        <w:numPr>
          <w:ilvl w:val="0"/>
          <w:numId w:val="339"/>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Барна Н. В. Іміджелогія: Навч. посіб. для дистанційного навчання / За наук. ред. В. М. Бебика.— К.: Університет «Україна», 2008.— 217 с.</w:t>
      </w:r>
    </w:p>
    <w:p w14:paraId="40A7AB0E" w14:textId="77777777" w:rsidR="005F048D" w:rsidRPr="00511005" w:rsidRDefault="005F048D" w:rsidP="003F6A5D">
      <w:pPr>
        <w:numPr>
          <w:ilvl w:val="0"/>
          <w:numId w:val="339"/>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Про охорону прав на знаки для товарів і послуг: Закон України від 15 грудня 1993 року № 3689-XII Відомості Верховної Ради України (ВВР), 1994, № 7, ст. 36. URL: https://zakon.rada.gov.ua/laws/show/3689-12#Text</w:t>
      </w:r>
    </w:p>
    <w:p w14:paraId="7B5A0329" w14:textId="77777777" w:rsidR="005F048D" w:rsidRPr="00511005" w:rsidRDefault="005F048D" w:rsidP="003F6A5D">
      <w:pPr>
        <w:numPr>
          <w:ilvl w:val="0"/>
          <w:numId w:val="339"/>
        </w:numPr>
        <w:spacing w:line="264" w:lineRule="auto"/>
        <w:ind w:left="0" w:firstLine="709"/>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Тенденції розгляду судових спорів про захист прав на торговельну марку. URL: https://golaw.ua/ua/insights/publication/trend-litigation-litigation-pr</w:t>
      </w:r>
    </w:p>
    <w:p w14:paraId="47383C3F" w14:textId="77777777" w:rsidR="005F048D" w:rsidRPr="00511005" w:rsidRDefault="005F048D" w:rsidP="003A292D">
      <w:pPr>
        <w:spacing w:line="264" w:lineRule="auto"/>
        <w:rPr>
          <w:rFonts w:ascii="Arial" w:eastAsia="Calibri" w:hAnsi="Arial" w:cs="Arial"/>
          <w:szCs w:val="28"/>
          <w:lang w:val="uk-UA" w:eastAsia="uk-UA"/>
        </w:rPr>
      </w:pPr>
    </w:p>
    <w:p w14:paraId="536C1C92" w14:textId="4C3F9E0E" w:rsidR="005F048D" w:rsidRPr="00511005" w:rsidRDefault="007B2628" w:rsidP="003A292D">
      <w:pPr>
        <w:pBdr>
          <w:top w:val="nil"/>
          <w:left w:val="nil"/>
          <w:bottom w:val="nil"/>
          <w:right w:val="nil"/>
          <w:between w:val="nil"/>
        </w:pBd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особистий бренд, правова охорона особистого бренду, імідж, соціальні мережі.</w:t>
      </w:r>
    </w:p>
    <w:p w14:paraId="7590E527" w14:textId="1F011377" w:rsidR="005F048D" w:rsidRPr="00511005" w:rsidRDefault="007B2628" w:rsidP="003A292D">
      <w:pPr>
        <w:pBdr>
          <w:top w:val="nil"/>
          <w:left w:val="nil"/>
          <w:bottom w:val="nil"/>
          <w:right w:val="nil"/>
          <w:between w:val="nil"/>
        </w:pBd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personal brand, legal protection of personal brand, image, social networks.</w:t>
      </w:r>
    </w:p>
    <w:p w14:paraId="52B3FA62" w14:textId="22C6A82A" w:rsidR="005F048D"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383DE9" w:rsidRPr="00511005">
        <w:rPr>
          <w:rFonts w:ascii="Arial" w:eastAsia="Times New Roman" w:hAnsi="Arial" w:cs="Arial"/>
          <w:i/>
          <w:szCs w:val="28"/>
          <w:lang w:val="uk-UA" w:eastAsia="uk-UA"/>
        </w:rPr>
        <w:t xml:space="preserve">к.ю.н., </w:t>
      </w:r>
      <w:r w:rsidR="005F048D" w:rsidRPr="00511005">
        <w:rPr>
          <w:rFonts w:ascii="Arial" w:eastAsia="Times New Roman" w:hAnsi="Arial" w:cs="Arial"/>
          <w:i/>
          <w:szCs w:val="28"/>
          <w:lang w:val="uk-UA" w:eastAsia="uk-UA"/>
        </w:rPr>
        <w:t>доцент кафедри Галупова Л.І.</w:t>
      </w:r>
    </w:p>
    <w:p w14:paraId="5D996D1F" w14:textId="77777777" w:rsidR="005F048D" w:rsidRPr="00511005" w:rsidRDefault="005F048D" w:rsidP="003A292D">
      <w:pPr>
        <w:spacing w:line="264" w:lineRule="auto"/>
        <w:rPr>
          <w:rFonts w:ascii="Arial" w:eastAsia="Times New Roman" w:hAnsi="Arial" w:cs="Arial"/>
          <w:i/>
          <w:szCs w:val="28"/>
          <w:lang w:val="uk-UA" w:eastAsia="uk-UA"/>
        </w:rPr>
      </w:pPr>
    </w:p>
    <w:p w14:paraId="61FC3133" w14:textId="77777777" w:rsidR="005F048D" w:rsidRPr="00511005" w:rsidRDefault="005F048D" w:rsidP="003A292D">
      <w:pPr>
        <w:spacing w:line="264" w:lineRule="auto"/>
        <w:ind w:firstLine="0"/>
        <w:jc w:val="center"/>
        <w:rPr>
          <w:rFonts w:ascii="Arial" w:eastAsia="Calibri" w:hAnsi="Arial" w:cs="Arial"/>
          <w:b/>
          <w:i/>
          <w:iCs/>
          <w:szCs w:val="28"/>
          <w:lang w:val="uk-UA" w:eastAsia="uk-UA"/>
        </w:rPr>
      </w:pPr>
      <w:r w:rsidRPr="00511005">
        <w:rPr>
          <w:rFonts w:ascii="Arial" w:eastAsia="Calibri" w:hAnsi="Arial" w:cs="Arial"/>
          <w:b/>
          <w:i/>
          <w:iCs/>
          <w:szCs w:val="28"/>
          <w:lang w:val="uk-UA" w:eastAsia="uk-UA"/>
        </w:rPr>
        <w:t xml:space="preserve">Матвєєва Тетяна Віталіївна, Якимцов Владислав Русланович </w:t>
      </w:r>
    </w:p>
    <w:p w14:paraId="22F863CC" w14:textId="615A315A" w:rsidR="005F048D" w:rsidRPr="00511005" w:rsidRDefault="005F048D" w:rsidP="003A292D">
      <w:pPr>
        <w:spacing w:line="264" w:lineRule="auto"/>
        <w:ind w:firstLine="0"/>
        <w:jc w:val="center"/>
        <w:rPr>
          <w:rFonts w:ascii="Arial" w:eastAsia="Calibri" w:hAnsi="Arial" w:cs="Arial"/>
          <w:szCs w:val="28"/>
          <w:lang w:val="uk-UA" w:eastAsia="uk-UA"/>
        </w:rPr>
      </w:pPr>
      <w:r w:rsidRPr="00511005">
        <w:rPr>
          <w:rFonts w:ascii="Arial" w:eastAsia="Calibri" w:hAnsi="Arial" w:cs="Arial"/>
          <w:szCs w:val="28"/>
          <w:lang w:val="uk-UA" w:eastAsia="uk-UA"/>
        </w:rPr>
        <w:t xml:space="preserve">студенти 4-го курсу факультету цивільної та господарської юстиції </w:t>
      </w:r>
      <w:r w:rsidR="007B2628" w:rsidRPr="00511005">
        <w:rPr>
          <w:rFonts w:ascii="Arial" w:eastAsia="Calibri" w:hAnsi="Arial" w:cs="Arial"/>
          <w:szCs w:val="28"/>
          <w:lang w:val="uk-UA" w:eastAsia="uk-UA"/>
        </w:rPr>
        <w:t>Національного університету «Одеська юридична академія»</w:t>
      </w:r>
    </w:p>
    <w:p w14:paraId="2E193CA9" w14:textId="77777777" w:rsidR="005F048D" w:rsidRPr="00511005" w:rsidRDefault="005F048D" w:rsidP="003A292D">
      <w:pPr>
        <w:spacing w:line="264" w:lineRule="auto"/>
        <w:ind w:firstLine="0"/>
        <w:jc w:val="left"/>
        <w:rPr>
          <w:rFonts w:ascii="Arial" w:eastAsia="Calibri" w:hAnsi="Arial" w:cs="Arial"/>
          <w:szCs w:val="28"/>
          <w:lang w:val="uk-UA" w:eastAsia="uk-UA"/>
        </w:rPr>
      </w:pPr>
    </w:p>
    <w:p w14:paraId="1938F80A" w14:textId="77777777" w:rsidR="005F048D" w:rsidRPr="00511005" w:rsidRDefault="005F048D" w:rsidP="003A292D">
      <w:pPr>
        <w:spacing w:line="264" w:lineRule="auto"/>
        <w:ind w:firstLine="0"/>
        <w:jc w:val="center"/>
        <w:rPr>
          <w:rFonts w:ascii="Arial" w:eastAsia="Calibri" w:hAnsi="Arial" w:cs="Arial"/>
          <w:b/>
          <w:bCs/>
          <w:szCs w:val="28"/>
          <w:lang w:val="uk-UA" w:eastAsia="uk-UA"/>
        </w:rPr>
      </w:pPr>
      <w:r w:rsidRPr="00511005">
        <w:rPr>
          <w:rFonts w:ascii="Arial" w:eastAsia="Calibri" w:hAnsi="Arial" w:cs="Arial"/>
          <w:b/>
          <w:bCs/>
          <w:szCs w:val="28"/>
          <w:lang w:val="uk-UA" w:eastAsia="uk-UA"/>
        </w:rPr>
        <w:t>ПРОБЛЕМИ РЕФОРМУВАННЯ ЗАКОНОДАВСТВА УКРАЇНИ ПРО ІНТЕЛЕКТУАЛЬНУ ВЛАСНІСТЬ</w:t>
      </w:r>
    </w:p>
    <w:p w14:paraId="3990468A"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Загальний огляд законодавства у сфері інтелектуальної власності України:</w:t>
      </w:r>
    </w:p>
    <w:p w14:paraId="6EEEEABB" w14:textId="77777777" w:rsidR="005F048D" w:rsidRPr="00511005" w:rsidRDefault="005F048D" w:rsidP="003A292D">
      <w:pPr>
        <w:spacing w:line="264" w:lineRule="auto"/>
        <w:rPr>
          <w:rFonts w:ascii="Arial" w:eastAsia="Calibri" w:hAnsi="Arial" w:cs="Arial"/>
          <w:szCs w:val="28"/>
          <w:lang w:eastAsia="uk-UA"/>
        </w:rPr>
      </w:pPr>
      <w:r w:rsidRPr="00511005">
        <w:rPr>
          <w:rFonts w:ascii="Arial" w:eastAsia="Calibri" w:hAnsi="Arial" w:cs="Arial"/>
          <w:szCs w:val="28"/>
          <w:lang w:val="uk-UA" w:eastAsia="uk-UA"/>
        </w:rPr>
        <w:t xml:space="preserve">Законодавство України про інтелектуальну власність (ІВ) становить комплекс норм різних рівнів, що регулюють охорону та захист прав на результати творчої діяльності. Основу складають положення Конституції України, норми Цивільного кодексу (книга четверта), а також Кримінального і Митного кодексів, які встановлюють відповідальність за порушення прав ІВ та митний контроль відповідних товарів </w:t>
      </w:r>
      <w:r w:rsidRPr="00511005">
        <w:rPr>
          <w:rFonts w:ascii="Arial" w:eastAsia="Calibri" w:hAnsi="Arial" w:cs="Arial"/>
          <w:szCs w:val="28"/>
          <w:lang w:eastAsia="uk-UA"/>
        </w:rPr>
        <w:t>[1].</w:t>
      </w:r>
    </w:p>
    <w:p w14:paraId="5EAFF687"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lastRenderedPageBreak/>
        <w:t xml:space="preserve">Крім того, діє низка спеціальних законів, серед яких закони про авторське право і суміжні права, про охорону прав на винаходи і корисні моделі, знаки для товарів і послуг (торговельні марки), промислові зразки, географічні зазначення, топографії інтегральних мікросхем, компонування напівпровідників тощо. </w:t>
      </w:r>
    </w:p>
    <w:p w14:paraId="1F9176C8"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Основні проблеми захисту прав інтелектуальної власності в Україні:</w:t>
      </w:r>
    </w:p>
    <w:p w14:paraId="2A86930D"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Українська система захисту прав ІВ стикається з низкою хронічних проблем, що знижують ефективність охорони інтелектуальних прав. Недоліки законодавства та прогалини у регулюванні. У національних правових нормах довгий час залишалися неузгодженості та неясності щодо регулювання відносин у сфері ІВ [2].</w:t>
      </w:r>
    </w:p>
    <w:p w14:paraId="07C41CA3"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Це призводило до відсутності належного захисту приватних прав на результати творчої діяльності та, як наслідок, допускало високий рівень правопорушень. Піратство та контрафакція. Незважаючи на існуючі закони, в Україні історично склався високий рівень порушень авторських і суміжних прав, патентних прав та прав на торговельні марки. </w:t>
      </w:r>
    </w:p>
    <w:p w14:paraId="098B5490"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Зокрема, масове неліцензійне використання програмного забезпечення, медіаконтенту, підробка брендованих товарів стали системною проблемою. За оцінками експертів, на початку 2000-х показники піратства сягали 80–95% ринку, а Україну регулярно включали до списків держав-«піратів» світу. У 2002 році США навіть запровадили торговельні санкції проти України за нездатність забезпечити належний рівень захисту ІВ, що коштувало економіці близько 75 млн доларів. Хоча відтоді ситуація дещо поліпшилася, рівень піратства і контрафакту залишається високим, особливо у цифровому середовищі (нелегальні онлайн-ресурси, файлообмін тощо), завдаючи шкоди як іноземним правовласникам, так і вітчизняним творчим індустріям [3].</w:t>
      </w:r>
    </w:p>
    <w:p w14:paraId="4137C665"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Слабке правозастосування і невисокий пріоритет захисту ІВ:</w:t>
      </w:r>
    </w:p>
    <w:p w14:paraId="13C2DF5E"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Наявні правові механізми часто не забезпечують дієвого покарання порушників та відшкодування збитків правовласникам. Відсутність невідворотності покарання за порушення ІВ та недостатні ресурси на правоохоронне переслідування таких злочинів підривають превентивний ефект законів. Як наслідок, загальний рівень захисту ІВ в Україні оцінюється як низький: за даними міжнародних експертів Україна посідала лише 114-те місце у світі за рівнем охорони прав інтелектуальної власності [3].</w:t>
      </w:r>
    </w:p>
    <w:p w14:paraId="35FFE859" w14:textId="77777777" w:rsidR="005F048D" w:rsidRPr="00511005" w:rsidRDefault="005F048D" w:rsidP="003A292D">
      <w:pPr>
        <w:spacing w:line="264" w:lineRule="auto"/>
        <w:rPr>
          <w:rFonts w:ascii="Arial" w:eastAsia="Calibri" w:hAnsi="Arial" w:cs="Arial"/>
          <w:szCs w:val="28"/>
          <w:lang w:eastAsia="uk-UA"/>
        </w:rPr>
      </w:pPr>
      <w:r w:rsidRPr="00511005">
        <w:rPr>
          <w:rFonts w:ascii="Arial" w:eastAsia="Calibri" w:hAnsi="Arial" w:cs="Arial"/>
          <w:szCs w:val="28"/>
          <w:lang w:val="uk-UA" w:eastAsia="uk-UA"/>
        </w:rPr>
        <w:t xml:space="preserve">Відчувається брак кваліфікованих фахівців, особливо юристів та суддів, які спеціалізуються на ІВ і зацікавлені у розвитку цієї сфери. Низький рівень обізнаності суспільства щодо значення захисту ІВ також зменшує попит на ефективне правозастосування </w:t>
      </w:r>
      <w:r w:rsidRPr="00511005">
        <w:rPr>
          <w:rFonts w:ascii="Arial" w:eastAsia="Calibri" w:hAnsi="Arial" w:cs="Arial"/>
          <w:szCs w:val="28"/>
          <w:lang w:eastAsia="uk-UA"/>
        </w:rPr>
        <w:t>[4].</w:t>
      </w:r>
    </w:p>
    <w:p w14:paraId="358177F2"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Виклики адаптації українського законодавства до європейських та міжнародних стандартів:</w:t>
      </w:r>
    </w:p>
    <w:p w14:paraId="42E3620B" w14:textId="77777777" w:rsidR="005F048D" w:rsidRPr="00511005" w:rsidRDefault="005F048D" w:rsidP="003A292D">
      <w:pPr>
        <w:spacing w:line="264" w:lineRule="auto"/>
        <w:rPr>
          <w:rFonts w:ascii="Arial" w:eastAsia="Calibri" w:hAnsi="Arial" w:cs="Arial"/>
          <w:szCs w:val="28"/>
          <w:lang w:eastAsia="uk-UA"/>
        </w:rPr>
      </w:pPr>
      <w:r w:rsidRPr="00511005">
        <w:rPr>
          <w:rFonts w:ascii="Arial" w:eastAsia="Calibri" w:hAnsi="Arial" w:cs="Arial"/>
          <w:szCs w:val="28"/>
          <w:lang w:val="uk-UA" w:eastAsia="uk-UA"/>
        </w:rPr>
        <w:lastRenderedPageBreak/>
        <w:t xml:space="preserve">Одним із ключових напрямів реформування є приведення українського законодавства у відповідність до угод і стандартів ЄС та інших міжнародних зобов’язань. Стратегічна мета полягає у тому, щоб імплементувати положення Угоди ТРІПС, двосторонніх домовленостей та Глави 9 Угоди про асоціацію з ЄС (розділ щодо прав ІВ) у національне право, забезпечивши рівень охорони прав інтелектуальної власності не нижчий, ніж у країнах ЄС. За останні роки досягнуто помітного прогресу в нормативному наближенні: за офіційними звітами, Україна виконала 98% зобов’язань у сфері ІВ за Угодою про асоціацію, що є найвищим показником серед усіх 24 секторів співпраці. Це стало можливим завдяки ухваленню низки нових законів та змін (наприклад, нового Закону про авторське право 2023 р., законів щодо охорони географічних зазначень, посилення відповідальності за порушення тощо) </w:t>
      </w:r>
      <w:r w:rsidRPr="00511005">
        <w:rPr>
          <w:rFonts w:ascii="Arial" w:eastAsia="Calibri" w:hAnsi="Arial" w:cs="Arial"/>
          <w:szCs w:val="28"/>
          <w:lang w:eastAsia="uk-UA"/>
        </w:rPr>
        <w:t>[4].</w:t>
      </w:r>
    </w:p>
    <w:p w14:paraId="283525C0"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Водночас процес адаптації ще не завершений і стикається з викликами. Європейська Комісія у своєму звіті 2024 року відзначила, що прогрес України у сфері ІВ поки обмежений і країні слід продовжити роботу над узгодженням законів із вимогами acquis ЄС. Зокрема, потребують подальших змін такі аспекти: приведення строків охорони авторського права і суміжних прав до європейських (нині триває доопрацювання щодо збільшення строку охорони деяких об’єктів), удосконалення механізмів розподілу винагороди між виконавцями і виробниками фонограм, уточнення прав організацій мовлення тощо. </w:t>
      </w:r>
    </w:p>
    <w:p w14:paraId="19F603DB"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Функціонування нових інституцій:</w:t>
      </w:r>
    </w:p>
    <w:p w14:paraId="0DFE9884"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Національний орган інтелектуальної власності та ІР-суд. В межах реформи державно-правової охорони ІВ, започаткованої Концепцією 2016 року, відбулися значні інституційні зміни. Центральним елементом стала реорганізація системи державного управління сферою ІВ. </w:t>
      </w:r>
    </w:p>
    <w:p w14:paraId="7B2DBD04"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Недоліки та прогалини судової практики у сфері інтелектуальної власності:</w:t>
      </w:r>
    </w:p>
    <w:p w14:paraId="24B94415"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Відсутність діючого спеціалізованого суду з ІВ породжує низку проблем у судовій практиці захисту інтелектуальних прав. Наразі спори щодо ІВ розглядаються судами загальної юрисдикції (цивільними або господарськими), судді яких не завжди мають достатню спеціалізацію та досвід у цій складній сфері. Це призводить до неоднаковості рішень у подібних справах і правової невизначеності для учасників відносин. </w:t>
      </w:r>
    </w:p>
    <w:p w14:paraId="0B8C2513" w14:textId="77777777" w:rsidR="007B2628"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Брак фахових знань у суддів щодо нюансів патентного права, авторських прав, технологічних аспектів об’єктів ІВ часто ускладнює розгляд: суди змушені призначати дорогі судові експертизи, витрачати більше часу на дослідження доказів. В Україні переважна більшість судових справ у сфері ІВ стосується торговельних марок (знаків для товарів і послуг). При цьому нові категорії спорів – наприклад, щодо комп’ютерних програм, баз даних, доменних імен, винаходів у сфері біотехнологій – можуть </w:t>
      </w:r>
      <w:r w:rsidRPr="00511005">
        <w:rPr>
          <w:rFonts w:ascii="Arial" w:eastAsia="Calibri" w:hAnsi="Arial" w:cs="Arial"/>
          <w:szCs w:val="28"/>
          <w:lang w:val="uk-UA" w:eastAsia="uk-UA"/>
        </w:rPr>
        <w:lastRenderedPageBreak/>
        <w:t>поставати перед суддями, не знайомими з практикою інших держав чи прецедентами.</w:t>
      </w:r>
    </w:p>
    <w:p w14:paraId="24178672" w14:textId="4EB4DCEC"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Відсутність спеціального суду також означає відсутність вузькопрофільної апеляції: справи ІВ розпорошені по різних судах, і тільки Верховний Суд забезпечує умовну уніфікацію, розглядаючи найрезонансніші спори [4].</w:t>
      </w:r>
    </w:p>
    <w:p w14:paraId="358D90AB"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Вплив цифрових технологій на сферу ІВ та необхідність оновлення законодавства:</w:t>
      </w:r>
    </w:p>
    <w:p w14:paraId="12F3AE04"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Стрімкий розвиток цифрових технологій кардинально змінив середовище, в якому створюються і розповсюджуються об’єкти інтелектуальної власності. Інтернет, комп’ютерні програми, цифрові платформи та штучний інтелект відкрили нові можливості для творчості, але водночас поставили перед правовою системою нові виклики. З’явилися якісно нові об’єкти ІВ (наприклад, цифрові бази даних, програмні застосунки, відеоігри, контент соціальних мереж), для яких традиційні підходи охорони потребували адаптації.</w:t>
      </w:r>
    </w:p>
    <w:p w14:paraId="29678447"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Ризик порушення прав в цифровому середовищі зріс багаторазово, адже копіювання і розповсюдження творів або винаходів онлайн відбувається миттєво і глобально [5].</w:t>
      </w:r>
    </w:p>
    <w:p w14:paraId="034A73CF"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Враховуючи проаналізовані проблеми та виклики, можна окреслити такі пріоритетні кроки для подальшого реформування законодавства України про інтелектуальну власність і посилення інституцій:</w:t>
      </w:r>
    </w:p>
    <w:p w14:paraId="5A4981C6" w14:textId="77777777" w:rsidR="005F048D" w:rsidRPr="00511005" w:rsidRDefault="005F048D" w:rsidP="003A292D">
      <w:pPr>
        <w:spacing w:line="264" w:lineRule="auto"/>
        <w:rPr>
          <w:rFonts w:ascii="Arial" w:eastAsia="Calibri" w:hAnsi="Arial" w:cs="Arial"/>
          <w:szCs w:val="28"/>
          <w:lang w:eastAsia="uk-UA"/>
        </w:rPr>
      </w:pPr>
      <w:r w:rsidRPr="00511005">
        <w:rPr>
          <w:rFonts w:ascii="Arial" w:eastAsia="Calibri" w:hAnsi="Arial" w:cs="Arial"/>
          <w:szCs w:val="28"/>
          <w:lang w:val="uk-UA" w:eastAsia="uk-UA"/>
        </w:rPr>
        <w:t xml:space="preserve">1. Завершити гармонізацію законодавства з правом ЄС та міжнародними стандартами. Необхідно ухвалити й імплементувати решту актів, що наблизять українські норми до acquis ЄС у сфері ІВ. Зокрема, слід модернізувати патентне законодавство (уточнити критерії патентоздатності, процедури оскарження патентів тощо) та законодавство про торговельні марки відповідно до регламентів і директив ЄС. Також варто прийняти закон про охорону комерційної таємниці, імплементувавши Директиву (ЄС) 2016/943. Повна гармонізація включає й приєднання до новітніх міжнародних договорів WIPO, що Україна ще не ратифікувала (наприклад, Договору ВОІВ про авторське право в інтернеті 2012 р. тощо) </w:t>
      </w:r>
      <w:r w:rsidRPr="00511005">
        <w:rPr>
          <w:rFonts w:ascii="Arial" w:eastAsia="Calibri" w:hAnsi="Arial" w:cs="Arial"/>
          <w:szCs w:val="28"/>
          <w:lang w:eastAsia="uk-UA"/>
        </w:rPr>
        <w:t>[6].</w:t>
      </w:r>
    </w:p>
    <w:p w14:paraId="51045DE6"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2. Посилити захист прав ІВ та протидію порушенням (правоохоронний блок). Важливо підвищити ефективність правозастосування: забезпечити невідворотність відповідальності за піратство і виготовлення підробок. Для цього варто вдосконалити процедури взаємодії між правоохоронними органами, митницею та правовласниками при виявленні та припиненні порушень. Необхідно також посилити санкції за злочини проти ІВ, щоб вони мали достатній стримувальний ефект (нині покарання часто умовні або малі штрафи) [7].</w:t>
      </w:r>
    </w:p>
    <w:p w14:paraId="2F9330A6"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 xml:space="preserve">3. Удосконалити інституційну спроможність НОІВ та системи охорони ІВ. Необхідно забезпечити новостворений Національний орган ІВ усіма </w:t>
      </w:r>
      <w:r w:rsidRPr="00511005">
        <w:rPr>
          <w:rFonts w:ascii="Arial" w:eastAsia="Calibri" w:hAnsi="Arial" w:cs="Arial"/>
          <w:szCs w:val="28"/>
          <w:lang w:val="uk-UA" w:eastAsia="uk-UA"/>
        </w:rPr>
        <w:lastRenderedPageBreak/>
        <w:t>ресурсами для ефективної роботи: сучасною матеріально-технічною базою, достатнім фінансуванням, кваліфікованими кадрами (експертами, патентними повіреними). Варто продовжити цифровізацію послуг НОІВ (електронна подача заявок, електронний реєстр, онлайн-перевірка статусу тощо) для зручності заявників. Важливо запровадити прозорі показники оцінки діяльності НОІВ (час розгляду заявки, якість експертизи, рівень задоволеності клієнтів) та підзвітність органу перед суспільством і бізнесом.</w:t>
      </w:r>
    </w:p>
    <w:p w14:paraId="3CBE1FF4"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4. Також доцільно законодавчо врегулювати статус НОІВ як неприбуткової установи та запобігти конфлікту інтересів у його роботі [7].</w:t>
      </w:r>
    </w:p>
    <w:p w14:paraId="64DCB0B3"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Усунення законодавчих недоліків та експертний перегляд новацій. При подальшому реформуванні важливо аналізувати вплив вже прийнятих нововведень на практику. Не всі законодавчі зміни однаково корисні – деякі потребують коригування з огляду на досвід їх застосування. Рекомендується створити постійну експертну раду з питань ІВ при Мінекономіки чи парламентському комітеті, до якої б увійшли науковці, практикуючі юристи, представники бізнесу та громадськості. Така рада могла б проводити аудит законодавства, виявляти прогалини або суперечності та напрацьовувати пропозиції щодо їх усунення. Особливо це стосується сфер, що швидко змінюються (ІТ, медіа, біотехнології) – тут необхідно враховувати думку фахівців перед прийняттям норм, це виходить за межі суто законодавчих змін, успішність реформ неможлива без людського капіталу [9].</w:t>
      </w:r>
    </w:p>
    <w:p w14:paraId="0173B3CC" w14:textId="77777777" w:rsidR="005F048D" w:rsidRPr="00511005" w:rsidRDefault="005F048D" w:rsidP="003A292D">
      <w:pPr>
        <w:spacing w:line="264" w:lineRule="auto"/>
        <w:rPr>
          <w:rFonts w:ascii="Arial" w:eastAsia="Calibri" w:hAnsi="Arial" w:cs="Arial"/>
          <w:szCs w:val="28"/>
          <w:lang w:eastAsia="uk-UA"/>
        </w:rPr>
      </w:pPr>
      <w:r w:rsidRPr="00511005">
        <w:rPr>
          <w:rFonts w:ascii="Arial" w:eastAsia="Calibri" w:hAnsi="Arial" w:cs="Arial"/>
          <w:szCs w:val="28"/>
          <w:lang w:val="uk-UA" w:eastAsia="uk-UA"/>
        </w:rPr>
        <w:t xml:space="preserve">Рекомендується посилити освітні програми з ІВ у вишах і системі підвищення кваліфікації, щоб збільшити кількість компетентних патентознавців, юристів з ІВ, судових експертів. У підсумку, реформування законодавства України про інтелектуальну власність – багатоаспектний процес, що поєднує оновлення норм, розбудову інституцій та зміну підходів до правозастосування. Лише комплексне виконання згаданих рекомендацій дозволить створити в Україні сучасну ефективну систему охорони ІВ, здатну захистити права винахідників і творців, стимулювати інновації та інтегрувати країну у світовий та європейський правовий простір. Це, своєю чергою, сприятиме розвитку національної економіки, залученню інвестицій і утвердженню України як держави, де належним чином шануються і захищаються інтелектуальні надбання </w:t>
      </w:r>
      <w:r w:rsidRPr="00511005">
        <w:rPr>
          <w:rFonts w:ascii="Arial" w:eastAsia="Calibri" w:hAnsi="Arial" w:cs="Arial"/>
          <w:szCs w:val="28"/>
          <w:lang w:eastAsia="uk-UA"/>
        </w:rPr>
        <w:t>[10].</w:t>
      </w:r>
    </w:p>
    <w:p w14:paraId="4EC55ABF" w14:textId="77777777" w:rsidR="005F048D" w:rsidRPr="00511005" w:rsidRDefault="005F048D" w:rsidP="003A292D">
      <w:pPr>
        <w:spacing w:line="264" w:lineRule="auto"/>
        <w:rPr>
          <w:rFonts w:ascii="Arial" w:eastAsia="Calibri" w:hAnsi="Arial" w:cs="Arial"/>
          <w:szCs w:val="28"/>
          <w:lang w:eastAsia="uk-UA"/>
        </w:rPr>
      </w:pPr>
    </w:p>
    <w:p w14:paraId="04372FBA" w14:textId="7E9A1553" w:rsidR="005F048D" w:rsidRPr="00511005" w:rsidRDefault="007B2628" w:rsidP="007B2628">
      <w:pPr>
        <w:spacing w:line="264" w:lineRule="auto"/>
        <w:ind w:firstLine="0"/>
        <w:jc w:val="center"/>
        <w:rPr>
          <w:rFonts w:ascii="Arial" w:eastAsia="Calibri" w:hAnsi="Arial" w:cs="Arial"/>
          <w:b/>
          <w:bCs/>
          <w:szCs w:val="28"/>
          <w:lang w:val="uk-UA" w:eastAsia="uk-UA"/>
        </w:rPr>
      </w:pPr>
      <w:r w:rsidRPr="00511005">
        <w:rPr>
          <w:rFonts w:ascii="Arial" w:eastAsia="Calibri" w:hAnsi="Arial" w:cs="Arial"/>
          <w:b/>
          <w:bCs/>
          <w:szCs w:val="28"/>
          <w:lang w:val="uk-UA" w:eastAsia="uk-UA"/>
        </w:rPr>
        <w:t>Список використаних джерел</w:t>
      </w:r>
    </w:p>
    <w:p w14:paraId="542EA572"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1. Назаренко С.М. та ін. Сучасні проблеми захисту прав інтелектуальної власності в Україні. – Науковий вісник НТУ «ХПІ», 2019.</w:t>
      </w:r>
    </w:p>
    <w:p w14:paraId="1C8DED11"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2. Розпорядження КМУ №402-р від 1.06.2016 «Про схвалення Концепції реформування державної системи правової охорони інтелектуальної власності в Україні».</w:t>
      </w:r>
    </w:p>
    <w:p w14:paraId="0BCC792D"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lastRenderedPageBreak/>
        <w:t>3. Закон України №703-IX від 16.06.2020 «Про внесення змін щодо створення національного органу інтелектуальної власності».</w:t>
      </w:r>
    </w:p>
    <w:p w14:paraId="3E515836"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4. Вальчук О.І. Система інтелектуальної власності України: сучасний стан та перспективи розвитку. – Правничий часопис Донецького нац. ун-ту, 2022.</w:t>
      </w:r>
    </w:p>
    <w:p w14:paraId="51B1F78B"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5. ЄС–Україна. Звіт Єврокомісії про виконання умов для членства, 2024. – Розділ 7: Інтелектуальна власність</w:t>
      </w:r>
    </w:p>
    <w:p w14:paraId="337266DD"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6. Ukraine reforms copyright regulation system in line with EU standards. – Ukrainian Law Firms, 09.02.2023.</w:t>
      </w:r>
    </w:p>
    <w:p w14:paraId="46E0FE2F"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7. Інтелектуальна власність: сфера – лідер виконання зобов’язань України за Угодою про асоціацію з ЄС. – НОІВ (UANIPIO) News, 14.04.2025.</w:t>
      </w:r>
    </w:p>
    <w:p w14:paraId="40841901"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8. Проблематика захисту інтелектуальної власності в Україні. – Освіта.ua, аналітичний матеріал.</w:t>
      </w:r>
    </w:p>
    <w:p w14:paraId="26C02397"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9. Сопільняк В. Реформа інтелектуальної власності в Україні: на нескінченній фінішній прямій. – Асоціація правників України, 22.10.2020.</w:t>
      </w:r>
    </w:p>
    <w:p w14:paraId="342224BC" w14:textId="77777777" w:rsidR="005F048D" w:rsidRPr="00511005" w:rsidRDefault="005F048D" w:rsidP="003A292D">
      <w:pPr>
        <w:spacing w:line="264" w:lineRule="auto"/>
        <w:rPr>
          <w:rFonts w:ascii="Arial" w:eastAsia="Calibri" w:hAnsi="Arial" w:cs="Arial"/>
          <w:szCs w:val="28"/>
          <w:lang w:val="uk-UA" w:eastAsia="uk-UA"/>
        </w:rPr>
      </w:pPr>
      <w:r w:rsidRPr="00511005">
        <w:rPr>
          <w:rFonts w:ascii="Arial" w:eastAsia="Calibri" w:hAnsi="Arial" w:cs="Arial"/>
          <w:szCs w:val="28"/>
          <w:lang w:val="uk-UA" w:eastAsia="uk-UA"/>
        </w:rPr>
        <w:t>10. Постанова ВП Верховного Суду від 17.04.2024 (справа №905/2799/19) – огляд проблем судової практики у сфері ІВ.</w:t>
      </w:r>
    </w:p>
    <w:p w14:paraId="1CE801B6" w14:textId="77777777" w:rsidR="005F048D" w:rsidRPr="00511005" w:rsidRDefault="005F048D" w:rsidP="003A292D">
      <w:pPr>
        <w:spacing w:line="264" w:lineRule="auto"/>
        <w:rPr>
          <w:rFonts w:ascii="Arial" w:eastAsia="Calibri" w:hAnsi="Arial" w:cs="Arial"/>
          <w:b/>
          <w:i/>
          <w:szCs w:val="28"/>
          <w:lang w:val="uk-UA" w:eastAsia="uk-UA"/>
        </w:rPr>
      </w:pPr>
    </w:p>
    <w:p w14:paraId="0B966C8D" w14:textId="5F0C4ECD" w:rsidR="005F048D" w:rsidRPr="00511005" w:rsidRDefault="007B2628" w:rsidP="003A292D">
      <w:pPr>
        <w:spacing w:line="264" w:lineRule="auto"/>
        <w:rPr>
          <w:rFonts w:ascii="Arial" w:eastAsia="Calibri" w:hAnsi="Arial" w:cs="Arial"/>
          <w:i/>
          <w:szCs w:val="28"/>
          <w:lang w:val="uk-UA" w:eastAsia="uk-UA"/>
        </w:rPr>
      </w:pPr>
      <w:r w:rsidRPr="00511005">
        <w:rPr>
          <w:rFonts w:ascii="Arial" w:eastAsia="Calibri" w:hAnsi="Arial" w:cs="Arial"/>
          <w:b/>
          <w:i/>
          <w:szCs w:val="28"/>
          <w:lang w:val="uk-UA" w:eastAsia="uk-UA"/>
        </w:rPr>
        <w:t xml:space="preserve">Ключові слова: </w:t>
      </w:r>
      <w:r w:rsidR="005F048D" w:rsidRPr="00511005">
        <w:rPr>
          <w:rFonts w:ascii="Arial" w:eastAsia="Calibri" w:hAnsi="Arial" w:cs="Arial"/>
          <w:i/>
          <w:szCs w:val="28"/>
          <w:lang w:val="uk-UA" w:eastAsia="uk-UA"/>
        </w:rPr>
        <w:t>інтелектуальна власність, реформування, законодавство, охорона та захист прав інтелектуальної власності.</w:t>
      </w:r>
    </w:p>
    <w:p w14:paraId="24CF1100" w14:textId="69BCE8AD" w:rsidR="005F048D" w:rsidRPr="00511005" w:rsidRDefault="007B2628" w:rsidP="003A292D">
      <w:pPr>
        <w:spacing w:line="264" w:lineRule="auto"/>
        <w:rPr>
          <w:rFonts w:ascii="Arial" w:eastAsia="Calibri" w:hAnsi="Arial" w:cs="Arial"/>
          <w:i/>
          <w:szCs w:val="28"/>
          <w:lang w:val="en-US" w:eastAsia="uk-UA"/>
        </w:rPr>
      </w:pPr>
      <w:r w:rsidRPr="00511005">
        <w:rPr>
          <w:rFonts w:ascii="Arial" w:eastAsia="Calibri" w:hAnsi="Arial" w:cs="Arial"/>
          <w:b/>
          <w:i/>
          <w:szCs w:val="28"/>
          <w:lang w:val="uk-UA" w:eastAsia="uk-UA"/>
        </w:rPr>
        <w:t xml:space="preserve">Key words: </w:t>
      </w:r>
      <w:r w:rsidR="005F048D" w:rsidRPr="00511005">
        <w:rPr>
          <w:rFonts w:ascii="Arial" w:eastAsia="Calibri" w:hAnsi="Arial" w:cs="Arial"/>
          <w:i/>
          <w:szCs w:val="28"/>
          <w:lang w:val="en-US" w:eastAsia="uk-UA"/>
        </w:rPr>
        <w:t>intellectual property, reform, legislation, protection and defense of intellectual property rights.</w:t>
      </w:r>
    </w:p>
    <w:p w14:paraId="36CBF42F" w14:textId="3A2E2215" w:rsidR="005F048D" w:rsidRPr="00511005" w:rsidRDefault="007B2628" w:rsidP="003A292D">
      <w:pPr>
        <w:spacing w:line="264" w:lineRule="auto"/>
        <w:ind w:firstLine="720"/>
        <w:rPr>
          <w:rFonts w:ascii="Arial" w:eastAsia="Calibri" w:hAnsi="Arial" w:cs="Arial"/>
          <w:b/>
          <w:bCs/>
          <w:i/>
          <w:iCs/>
          <w:szCs w:val="28"/>
          <w:lang w:val="uk-UA" w:eastAsia="uk-UA"/>
        </w:rPr>
      </w:pPr>
      <w:r w:rsidRPr="00511005">
        <w:rPr>
          <w:rFonts w:ascii="Arial" w:eastAsia="Calibri" w:hAnsi="Arial" w:cs="Arial"/>
          <w:b/>
          <w:i/>
          <w:iCs/>
          <w:szCs w:val="28"/>
          <w:lang w:val="uk-UA" w:eastAsia="uk-UA"/>
        </w:rPr>
        <w:t xml:space="preserve">Науковий керівник: </w:t>
      </w:r>
      <w:r w:rsidR="005F048D" w:rsidRPr="00511005">
        <w:rPr>
          <w:rFonts w:ascii="Arial" w:eastAsia="Calibri" w:hAnsi="Arial" w:cs="Arial"/>
          <w:i/>
          <w:iCs/>
          <w:szCs w:val="28"/>
          <w:lang w:val="uk-UA" w:eastAsia="uk-UA"/>
        </w:rPr>
        <w:t xml:space="preserve">к.ю.н., </w:t>
      </w:r>
      <w:r w:rsidR="005F048D" w:rsidRPr="00511005">
        <w:rPr>
          <w:rFonts w:ascii="Arial" w:eastAsia="Times New Roman" w:hAnsi="Arial" w:cs="Arial"/>
          <w:i/>
          <w:szCs w:val="28"/>
          <w:lang w:val="uk-UA" w:eastAsia="uk-UA"/>
        </w:rPr>
        <w:t xml:space="preserve">доцент </w:t>
      </w:r>
      <w:r w:rsidR="005F048D" w:rsidRPr="00511005">
        <w:rPr>
          <w:rFonts w:ascii="Arial" w:eastAsia="Calibri" w:hAnsi="Arial" w:cs="Arial"/>
          <w:i/>
          <w:iCs/>
          <w:szCs w:val="28"/>
          <w:lang w:val="uk-UA" w:eastAsia="uk-UA"/>
        </w:rPr>
        <w:t>Мазуренко С.В.</w:t>
      </w:r>
    </w:p>
    <w:p w14:paraId="1F1D2E0E" w14:textId="77777777" w:rsidR="005F048D" w:rsidRPr="00511005" w:rsidRDefault="005F048D" w:rsidP="003A292D">
      <w:pPr>
        <w:keepNext/>
        <w:spacing w:line="264" w:lineRule="auto"/>
        <w:ind w:firstLine="0"/>
        <w:jc w:val="left"/>
        <w:rPr>
          <w:rFonts w:ascii="Arial" w:hAnsi="Arial" w:cs="Arial"/>
          <w:szCs w:val="28"/>
          <w:lang w:val="uk-UA"/>
        </w:rPr>
      </w:pPr>
    </w:p>
    <w:p w14:paraId="50C00B4A" w14:textId="77777777" w:rsidR="003F5D68" w:rsidRPr="00055389" w:rsidRDefault="003F5D68" w:rsidP="003A292D">
      <w:pPr>
        <w:keepNext/>
        <w:spacing w:line="264" w:lineRule="auto"/>
        <w:ind w:firstLine="0"/>
        <w:jc w:val="left"/>
        <w:rPr>
          <w:rFonts w:ascii="Arial" w:eastAsia="NSimSun" w:hAnsi="Arial" w:cs="Arial"/>
          <w:kern w:val="2"/>
          <w:szCs w:val="28"/>
          <w:lang w:eastAsia="zh-CN" w:bidi="hi-IN"/>
        </w:rPr>
      </w:pPr>
      <w:r w:rsidRPr="00055389">
        <w:rPr>
          <w:rFonts w:ascii="Arial" w:hAnsi="Arial" w:cs="Arial"/>
          <w:szCs w:val="28"/>
        </w:rPr>
        <w:br w:type="page"/>
      </w:r>
    </w:p>
    <w:p w14:paraId="727DF7BD" w14:textId="77777777" w:rsidR="003F5D68" w:rsidRPr="00055389" w:rsidRDefault="003F5D68" w:rsidP="003A292D">
      <w:pPr>
        <w:keepNext/>
        <w:suppressAutoHyphens/>
        <w:spacing w:line="264" w:lineRule="auto"/>
        <w:ind w:firstLine="0"/>
        <w:jc w:val="left"/>
        <w:rPr>
          <w:rFonts w:ascii="Arial" w:hAnsi="Arial" w:cs="Arial"/>
          <w:szCs w:val="28"/>
        </w:rPr>
      </w:pPr>
    </w:p>
    <w:p w14:paraId="6595FB81" w14:textId="25218B8D" w:rsidR="003F5D68" w:rsidRPr="00511005" w:rsidRDefault="003F5D68" w:rsidP="003A292D">
      <w:pPr>
        <w:pStyle w:val="aa"/>
        <w:spacing w:before="0" w:after="0" w:line="264" w:lineRule="auto"/>
        <w:rPr>
          <w:rFonts w:ascii="Arial" w:hAnsi="Arial" w:cs="Arial"/>
          <w:color w:val="auto"/>
          <w:sz w:val="28"/>
          <w:szCs w:val="28"/>
        </w:rPr>
      </w:pPr>
      <w:bookmarkStart w:id="175" w:name="_Toc208298999"/>
      <w:r w:rsidRPr="00511005">
        <w:rPr>
          <w:rFonts w:ascii="Arial" w:hAnsi="Arial" w:cs="Arial"/>
          <w:color w:val="auto"/>
          <w:sz w:val="28"/>
          <w:szCs w:val="28"/>
        </w:rPr>
        <w:t xml:space="preserve">СЕКЦІЯ </w:t>
      </w:r>
      <w:r w:rsidRPr="00511005">
        <w:rPr>
          <w:rFonts w:ascii="Arial" w:hAnsi="Arial" w:cs="Arial"/>
          <w:color w:val="auto"/>
          <w:sz w:val="28"/>
          <w:szCs w:val="28"/>
          <w:lang w:val="ru-RU"/>
        </w:rPr>
        <w:t>10. ПРОБЛЕМНІ ПИТАННЯ ЦИВІЛЬН</w:t>
      </w:r>
      <w:r w:rsidR="008670BE" w:rsidRPr="00511005">
        <w:rPr>
          <w:rFonts w:ascii="Arial" w:hAnsi="Arial" w:cs="Arial"/>
          <w:color w:val="auto"/>
          <w:sz w:val="28"/>
          <w:szCs w:val="28"/>
          <w:lang w:val="ru-RU"/>
        </w:rPr>
        <w:t>ОГО, НОТАРІАЛЬНОГО ТА ВИКОНАВЧОГО ПРОЦЕСУ</w:t>
      </w:r>
      <w:bookmarkEnd w:id="175"/>
      <w:r w:rsidRPr="00511005">
        <w:rPr>
          <w:rFonts w:ascii="Arial" w:hAnsi="Arial" w:cs="Arial"/>
          <w:color w:val="auto"/>
          <w:sz w:val="28"/>
          <w:szCs w:val="28"/>
        </w:rPr>
        <w:t xml:space="preserve"> </w:t>
      </w:r>
    </w:p>
    <w:p w14:paraId="45DE68CB" w14:textId="77777777" w:rsidR="003F5D68" w:rsidRPr="00511005" w:rsidRDefault="003F5D68" w:rsidP="003A292D">
      <w:pPr>
        <w:keepNext/>
        <w:spacing w:line="264" w:lineRule="auto"/>
        <w:ind w:firstLine="0"/>
        <w:jc w:val="left"/>
        <w:rPr>
          <w:rFonts w:ascii="Arial" w:hAnsi="Arial" w:cs="Arial"/>
          <w:szCs w:val="28"/>
        </w:rPr>
      </w:pPr>
    </w:p>
    <w:p w14:paraId="4A932877" w14:textId="77777777" w:rsidR="00711913" w:rsidRPr="00511005" w:rsidRDefault="00711913" w:rsidP="003A292D">
      <w:pPr>
        <w:keepNext/>
        <w:spacing w:line="264" w:lineRule="auto"/>
        <w:ind w:firstLine="0"/>
        <w:jc w:val="left"/>
        <w:rPr>
          <w:rFonts w:ascii="Arial" w:eastAsia="Calibri" w:hAnsi="Arial" w:cs="Arial"/>
          <w:szCs w:val="28"/>
        </w:rPr>
      </w:pPr>
    </w:p>
    <w:p w14:paraId="4D4A7463" w14:textId="653B9A4F"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i/>
          <w:szCs w:val="28"/>
          <w:lang w:val="uk-UA" w:eastAsia="uk-UA"/>
        </w:rPr>
        <w:t>Александрова Наталія Сергіївна</w:t>
      </w:r>
      <w:r w:rsidRPr="00511005">
        <w:rPr>
          <w:rFonts w:ascii="Arial" w:eastAsia="Times New Roman" w:hAnsi="Arial" w:cs="Arial"/>
          <w:b/>
          <w:szCs w:val="28"/>
          <w:lang w:val="uk-UA" w:eastAsia="uk-UA"/>
        </w:rPr>
        <w:br/>
      </w:r>
      <w:r w:rsidR="00536AAB" w:rsidRPr="00511005">
        <w:rPr>
          <w:rFonts w:ascii="Arial" w:eastAsia="Times New Roman" w:hAnsi="Arial" w:cs="Arial"/>
          <w:i/>
          <w:szCs w:val="28"/>
          <w:lang w:val="uk-UA" w:eastAsia="uk-UA"/>
        </w:rPr>
        <w:t>студентка 1-го курсу магістратури</w:t>
      </w:r>
      <w:r w:rsidRPr="00511005">
        <w:rPr>
          <w:rFonts w:ascii="Arial" w:eastAsia="Times New Roman" w:hAnsi="Arial" w:cs="Arial"/>
          <w:b/>
          <w:szCs w:val="28"/>
          <w:lang w:val="uk-UA" w:eastAsia="uk-UA"/>
        </w:rPr>
        <w:br/>
      </w:r>
      <w:r w:rsidRPr="00511005">
        <w:rPr>
          <w:rFonts w:ascii="Arial" w:eastAsia="Times New Roman" w:hAnsi="Arial" w:cs="Arial"/>
          <w:i/>
          <w:szCs w:val="28"/>
          <w:lang w:val="uk-UA" w:eastAsia="uk-UA"/>
        </w:rPr>
        <w:t>факультету цивільної та господарської юстиції</w:t>
      </w:r>
      <w:r w:rsidRPr="00511005">
        <w:rPr>
          <w:rFonts w:ascii="Arial" w:eastAsia="Times New Roman" w:hAnsi="Arial" w:cs="Arial"/>
          <w:b/>
          <w:szCs w:val="28"/>
          <w:lang w:val="uk-UA" w:eastAsia="uk-UA"/>
        </w:rPr>
        <w:br/>
      </w:r>
      <w:r w:rsidR="007B2628" w:rsidRPr="00511005">
        <w:rPr>
          <w:rFonts w:ascii="Arial" w:eastAsia="Times New Roman" w:hAnsi="Arial" w:cs="Arial"/>
          <w:i/>
          <w:szCs w:val="28"/>
          <w:lang w:val="uk-UA" w:eastAsia="uk-UA"/>
        </w:rPr>
        <w:t>Національного університету «Одеська юридична академія»</w:t>
      </w:r>
    </w:p>
    <w:p w14:paraId="3C5FDB8F"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4476DA29"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ЦИВІЛЬНИЙ ПРОЦЕС У СВІТЛІ ЗМІН: ВПЛИВ СУДОВО-ПРАВОВОЇ ТА КОНСТИТУЦІЙНОЇ РЕФОРМ</w:t>
      </w:r>
    </w:p>
    <w:p w14:paraId="1E9C2F3D"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68CCF08E"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Сучасний етап розвитку української правової системи характеризується глибокими трансформаціями у сфері судочинства, зокрема внаслідок судово-правової та конституційної реформ.</w:t>
      </w:r>
    </w:p>
    <w:p w14:paraId="193556AC"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Важливим етапом у реформуванні національного процесуального законодавства стало ухвалення Закону України від 3 жовтня 2017 року № 2147-VIII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Відповідно до пункту 1 Прикінцевих положень розділу VI цього Закону, а також згідно з постановою Пленуму Верховного Суду України від 30 листопада 2017 року № 2, оновлена редакція Цивільного процесуального кодексу України, яка набула чинності 15 грудня 2017 року [5]. </w:t>
      </w:r>
    </w:p>
    <w:p w14:paraId="2E4ACB38"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(далі – ЦПК України) у новій редакції став результатом як глибокого переосмислення існуючих процесуальних механізмів, так і впровадження інноваційних правових інструментів, які вже довели свою ефективність у провідних європейських правових системах. Імплементація цих змін відбулася в контексті судово-правової та конституційної реформи, а саме реалізацією:</w:t>
      </w:r>
    </w:p>
    <w:p w14:paraId="0662E8CE"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Стратегії реформування судоустрою, судочинства та суміжних правових інститутів на 2015-2020 роки, затвердженої Указом Президента України від 20.05.2015 № 276/2015 [5];</w:t>
      </w:r>
    </w:p>
    <w:p w14:paraId="1B89E8ED"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змін до Конституції України згідно із Законом від 02.06.2016 № 1401-VIII «Про внесення змін до Конституції України (щодо правосуддя)» [6];</w:t>
      </w:r>
    </w:p>
    <w:p w14:paraId="14B98785"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Закону України від 02.06.2016 № 1402-VІІІ «Про судоустрій і статус суддів» [7].</w:t>
      </w:r>
    </w:p>
    <w:p w14:paraId="2C90AE5E"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Робота над новою редакцією ЦПК України є прикладом успішної міжгалузевої співпраці, в якій взяли участь не лише науковці, а й практики – судді, адвокати, експерти в галузі цивільного процесу. Такий підхід дозволив створити збалансований процесуальний інструментарій, орієнтований на </w:t>
      </w:r>
      <w:r w:rsidRPr="00511005">
        <w:rPr>
          <w:rFonts w:ascii="Arial" w:eastAsia="Times New Roman" w:hAnsi="Arial" w:cs="Arial"/>
          <w:szCs w:val="28"/>
          <w:lang w:val="uk-UA" w:eastAsia="uk-UA"/>
        </w:rPr>
        <w:lastRenderedPageBreak/>
        <w:t>реальні виклики судової практики та потреби учасників цивільного судочинства.</w:t>
      </w:r>
    </w:p>
    <w:p w14:paraId="457E16B4"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Як зазначає Голубєва Неллі Юріївна, у своїй науковій праці </w:t>
      </w:r>
      <w:r w:rsidRPr="00511005">
        <w:rPr>
          <w:rFonts w:ascii="Arial" w:eastAsia="Times New Roman" w:hAnsi="Arial" w:cs="Arial"/>
          <w:i/>
          <w:szCs w:val="28"/>
          <w:lang w:val="uk-UA" w:eastAsia="uk-UA"/>
        </w:rPr>
        <w:t>«</w:t>
      </w:r>
      <w:r w:rsidRPr="00511005">
        <w:rPr>
          <w:rFonts w:ascii="Arial" w:eastAsia="Times New Roman" w:hAnsi="Arial" w:cs="Arial"/>
          <w:szCs w:val="28"/>
          <w:lang w:val="uk-UA" w:eastAsia="uk-UA"/>
        </w:rPr>
        <w:t>Вплив реформи судоустрою на цивільне судочинство</w:t>
      </w:r>
      <w:r w:rsidRPr="00511005">
        <w:rPr>
          <w:rFonts w:ascii="Arial" w:eastAsia="Times New Roman" w:hAnsi="Arial" w:cs="Arial"/>
          <w:i/>
          <w:szCs w:val="28"/>
          <w:lang w:val="uk-UA" w:eastAsia="uk-UA"/>
        </w:rPr>
        <w:t xml:space="preserve">», </w:t>
      </w:r>
      <w:r w:rsidRPr="00511005">
        <w:rPr>
          <w:rFonts w:ascii="Arial" w:eastAsia="Times New Roman" w:hAnsi="Arial" w:cs="Arial"/>
          <w:szCs w:val="28"/>
          <w:lang w:val="uk-UA" w:eastAsia="uk-UA"/>
        </w:rPr>
        <w:t xml:space="preserve">Конституційна реформа 2016 року у сфері правосуддя (Закон України «Про внесення змін до Конституції України (щодо правосуддя)») внесла багато новел у основні положення про здійснення правосуддя. За словами Н.Ю. Голубєвої: «Деякі з них були довгоочікуваними, деякі, хоч і обговорювались серед фахівців, але не знайшли одностайного схвалення, наприклад, щодо «адвокатської монополії». З точки зору цивільного процесу особливий інтерес викликають питання ліквідації Вищого спеціалізованого суду України, перехід від чотирьох до трьох ступенів судового розгляду, зміна функцій прокуратури, адвокатури тощо» [2]. </w:t>
      </w:r>
    </w:p>
    <w:p w14:paraId="1139C6F8"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Що стосується суперечливого питання «адвокатської монополії», запровадження якої відбулося у 2016 році на підставі Закону України «Про внесення змін до Конституції України», то можна заначити, що з одного боку, вона має на меті забезпечити високий рівень захисту та ефективність судочинства, але з іншого – існують суттєві проблеми. По-перше, це обмежує право вибору представника, звужуючи його до адвокатів, що може порушувати принципи Конституції України. По-друге, це створює додаткові витрати для юридичних осіб, особливо для органів влади, що фінансуються з бюджету. Також, монополія може збільшити вартість судового захисту, що знизить його доступність. Крім того, існують ризики концентрації влади в адвокатській сфері, що загрожує незалежності адвокатів [9].</w:t>
      </w:r>
    </w:p>
    <w:p w14:paraId="7092C7D2"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Одним з важливих завдань реформи було зменшення тривалості перебування справ у судах та уникнення затримок для осіб, які проходять через судові інстанції. Для досягнення цієї мети було здійснено перехід від чотирьохступеневої до трьохступеневої системи судочинства.</w:t>
      </w:r>
    </w:p>
    <w:p w14:paraId="4A08B82D"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Варто зазначити також впровадження принципу верховенства права, який є відносно новим для національної юридичної практики. Закріпивши принцип верховенства права, Конституція України визначила перехід від ідеології «домінування держави» над людиною до концепції «служіння держави» інтересам людини. Тобто впровадження цього принципу в судочинство України надає можливість судді при розгляді справи застосовувати не тільки норми закону, але й інтерпретаційні правила, що випливають з цього принципу. Суддя має дотримуватися лише закону, а в його відсутність керуватися загальними принципами права.</w:t>
      </w:r>
    </w:p>
    <w:p w14:paraId="4B8E7DF9"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Одним із суттєвих елементів принципу верховенства права е принцип юридичної визначеності. Цей принцип гарантує остаточність рішень («що вирішено – вирішено і не має переглядатися до безмежності»). Принцип юридичної визначеності, зокрема, вимагає, щоб судове рішення, що набрало законної сили, переглядалося лише у виняткових випадках [1].</w:t>
      </w:r>
    </w:p>
    <w:p w14:paraId="34839B50" w14:textId="77777777" w:rsidR="005F048D" w:rsidRPr="00511005" w:rsidRDefault="005F048D"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Варто зазначити, що конституційна реформа в Україні була спрямована на вдосконалення правосуддя та покращення механізмів забезпечення прав і свобод громадян. Реформа передбачала внесення змін до Конституції України та створення низки нових інституцій. Основною метою реформи було забезпечення незалежності судової влади, підвищення рівня довіри та публічної підзвітності судової влади.</w:t>
      </w:r>
    </w:p>
    <w:p w14:paraId="37EA2E72"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Аналіз нової редакції ЦПК України показав, що в кодексі міститься близько 100 новел та змін порівняно з кодексом 2004 року. Ці зміни підвищили ефективність цивільного судочинства та адаптували його до міжнародних стандартів справедливого правосуддя. В результаті цього відбулися значні зміни в законодавчому регулюванні класичних процедур цивільного судочинства та введення нових інститутів цивільного процесуального права. В основу таких змін покладена ідея фундаменталізації прав людини та забезпечення доступності правосуддя як міжнародного стандарту справедливого судочинства [4].</w:t>
      </w:r>
    </w:p>
    <w:p w14:paraId="2E0491D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процесі реформування ЦПК України було закладено низку важливих законодавчих новел, які стали ключовими для формування сучасного вигляду цивільного судочинства та його відповідності європейським стандартам. Одним із першочергових змін стало оновлення переліку основоположних засад цивільного процесуального права. Серед них особливе значення надано принципу верховенства права, який визначено як фундаментальний орієнтир для діяльності суду та учасників процесу. Такий підхід сприяє зміцненню правової визначеності та формує підґрунтя для забезпечення справедливості у кожній конкретній справі.</w:t>
      </w:r>
    </w:p>
    <w:p w14:paraId="005C01C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Також було здійснено зміни в інституті судової юрисдикції. Однією з найсуттєвіших новел стало запровадження уніфікованого підходу до класифікації видів юрисдикції у всіх процесуальних кодексах України. Такий підхід ґрунтується на застосуванні єдиних та чітких критеріїв розмежування юрисдикції, що дозволяє забезпечити узгодженість судової практики та уникнути дублювання компетенцій між різними судами.</w:t>
      </w:r>
    </w:p>
    <w:p w14:paraId="64BD283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Окрім цього, вперше на нормативному рівні впроваджено ефективний механізм вирішення конфліктів юрисдикції — ситуацій, коли існує сумнів або суперечність щодо того, який саме суд має розглядати ту чи іншу справу. Такий механізм дозволяє своєчасно визначати компетентний орган правосуддя, що сприяє оперативному та якісному розгляду справ.</w:t>
      </w:r>
    </w:p>
    <w:p w14:paraId="47BD195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Удосконалено також підходи до розгляду так званих похідних вимог – вимог, що пов’язані з основним предметом спору. Законодавець передбачив можливість їх об’єднаного розгляду в межах однієї справи за умови їх належності до відповідної юрисдикції. Це забезпечує процесуальну економію та підвищує ефективність судового захисту.</w:t>
      </w:r>
    </w:p>
    <w:p w14:paraId="3C828995"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Особливу увагу законодавець приділив проблемі зловживання процесуальними правами. У новій редакції кодексу визначено чіткі </w:t>
      </w:r>
      <w:r w:rsidRPr="00511005">
        <w:rPr>
          <w:rFonts w:ascii="Arial" w:eastAsia="Times New Roman" w:hAnsi="Arial" w:cs="Arial"/>
          <w:szCs w:val="28"/>
          <w:lang w:val="uk-UA" w:eastAsia="uk-UA"/>
        </w:rPr>
        <w:lastRenderedPageBreak/>
        <w:t>обмеження, які прямо забороняють будь-які дії учасників судового процесу, які мають на меті затягування розгляду справи, створення штучних перешкод або інше недобросовісне використання процесуальних інструментів. З метою ефективного реагування на подібні прояви, у цивільне судочинство було повернуто інститут процесуального штрафу.</w:t>
      </w:r>
    </w:p>
    <w:p w14:paraId="76E4E49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Ще одним важливим кроком стало подовження строків для вчинення окремих процесуальних дій. Такий підхід має на меті не лише забезпечення можливості сторін належно підготуватися до захисту своїх прав та інтересів, а й сприяти реалізації права на розгляд справи у розумні строки, як того вимагає стаття 6 Конвенції про захист прав людини і основоположних свобод.</w:t>
      </w:r>
    </w:p>
    <w:p w14:paraId="4621FE9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Не менш значущим є уточнення завдань цивільного судочинства. У новій редакції ЦПК України відповідальність за досягнення цілей судочинства покладено не лише на суд, але й на усіх учасників процесу. Така концепція підсилює принципи змагальності та диспозитивності, а також формує новий підхід до ролі сторін у судовому процесі як активних суб’єктів, які сприяють встановленню істини та ефективному розгляду справи.</w:t>
      </w:r>
    </w:p>
    <w:p w14:paraId="2130FEB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результаті реформування ЦПК України значно змінилася структура цивільного судочинства, що проявляється в структурно-функціональних перетвореннях та модифікації окремих процесуальних проваджень і процедур, а саме: диверсифікація позовного провадження на спрощений та загальний порядок; спрощення наказного провадження, яке вперше стало альтернативною спрощеному провадженню; введення інституту малозначних справ; посилення значення підготовчого провадження [4].</w:t>
      </w:r>
    </w:p>
    <w:p w14:paraId="6FA95340"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Однією з важливих інновацій в рамках реформування цивільного судочинства є впровадження електронного судочинства, що відображає загальну тенденцію до цифровізації правової системи. Це нововведення включає в себе використання сучасних інформаційних технологій для спрощення та прискорення судових процесів, що забезпечує більш зручний доступ до правосуддя для громадян та зменшує навантаження на суди.</w:t>
      </w:r>
    </w:p>
    <w:p w14:paraId="4DEBC01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Одним із ключових аспектів реформи є запровадження процедури врегулювання спору за участю судді, що передбачає участь судді в процесі мирного врегулювання спорів між сторонами до початку основного судового розгляду. Це дозволяє знизити навантаження на суди та сприяє досягненню домовленості між сторонами без необхідності судового процесу.</w:t>
      </w:r>
    </w:p>
    <w:p w14:paraId="6835770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Також суттєво модернізовано апеляційне та касаційне провадження, зокрема введено фільтри касаційного оскарження, що дозволяють зменшити кількість безпідставних касаційних скарг та забезпечити більш ефективний та швидкий процес розгляду справ на вищих судових інстанціях. Це є важливим кроком для оптимізації судової системи та забезпечення справедливості і своєчасності судових рішень. В інституті апеляційного перегляду справи, суттєвих змін зазнали повноваження. Як зазначає, І.М. </w:t>
      </w:r>
      <w:r w:rsidRPr="00511005">
        <w:rPr>
          <w:rFonts w:ascii="Arial" w:eastAsia="Times New Roman" w:hAnsi="Arial" w:cs="Arial"/>
          <w:szCs w:val="28"/>
          <w:lang w:val="uk-UA" w:eastAsia="uk-UA"/>
        </w:rPr>
        <w:lastRenderedPageBreak/>
        <w:t>Іліопол, оновлення повноважень суду апеляційної інстанції має своєю метою посилити позицію апеляційного суду в конкретних повноваженнях з метою запобігання зловживанню процесуальними правами відповідно до принципу правової визначеності та остаточності судового рішення [3, с. 45].</w:t>
      </w:r>
    </w:p>
    <w:p w14:paraId="6624B36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Також відбулись зміни в інституті доказування, що мають значний вплив на цивільне судочинство. Однією з основних новел стало розширення переліку засобів доказування за рахунок виокремлення електронних доказів. Це нововведення дозволяє використовувати в судовому процесі електронні документи, цифрові файли, відео- та аудіозаписи, що значно спрощує подачу доказів та підвищує їх доступність (ст. 76 ЦПК). Зміни також торкнулися вимог до доказів, де крім традиційних критеріїв належності та допустимості було закріплено такі нові вимоги, як достовірність та достатність доказів (ст. 78-79 ЦПК) [8]. Це дозволяє суду більш детально оцінювати якість і повноту доказів, що подаються, і приймати рішення, які спираються на фактичні дані. Відбулась більш жорстка регламентація правил подання доказів та введення складових процедури обміну змагальними паперами. Також частково було впроваджено елементи процесуального естопелю (ч. 2 ст. 82 ЦПК), що означає заборону для учасників процесу змінювати свої позиції або дії, якщо вони суперечать їхній попередній поведінці в процесі. Це сприяє стабільності та передбачуваності судового процесу, забезпечуючи більшу прозорість і зменшуючи можливість зловживання процесуальними правами. Усі ці зміни спрямовані на підвищення ефективності, чіткості та прозорості процесу доказування, що є важливою складовою у забезпеченні справедливого судового розгляду.</w:t>
      </w:r>
    </w:p>
    <w:p w14:paraId="2903E238"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Отже, вплив судово-правової та конституційної реформ на цивільний процес слід розцінювати як позитивний і стратегічно важливий крок у напрямі розвитку правової системи України. Під впливом цих реформ було запроваджено низку змін, які спрямовані на вдосконалення судової системи, покращення доступу до правосуддя, підвищення ефективності та справедливості судового розгляду. Зміни стосуються як основних принципів цивільного процесуального права, так і впровадження нових інститутів та процедур.</w:t>
      </w:r>
    </w:p>
    <w:p w14:paraId="150A49B9" w14:textId="77777777" w:rsidR="005F048D" w:rsidRPr="00511005" w:rsidRDefault="005F048D" w:rsidP="003A292D">
      <w:pPr>
        <w:spacing w:line="264" w:lineRule="auto"/>
        <w:rPr>
          <w:rFonts w:ascii="Arial" w:eastAsia="Times New Roman" w:hAnsi="Arial" w:cs="Arial"/>
          <w:szCs w:val="28"/>
          <w:lang w:val="uk-UA" w:eastAsia="uk-UA"/>
        </w:rPr>
      </w:pPr>
    </w:p>
    <w:p w14:paraId="46BB0DB5" w14:textId="0ADB9F9C" w:rsidR="005F048D" w:rsidRPr="00511005" w:rsidRDefault="007B2628" w:rsidP="007B2628">
      <w:pPr>
        <w:spacing w:line="264" w:lineRule="auto"/>
        <w:ind w:left="720"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1109A7E2" w14:textId="408E20E4" w:rsidR="005F048D" w:rsidRPr="00511005" w:rsidRDefault="005F048D" w:rsidP="003F6A5D">
      <w:pPr>
        <w:numPr>
          <w:ilvl w:val="0"/>
          <w:numId w:val="385"/>
        </w:numPr>
        <w:tabs>
          <w:tab w:val="left" w:pos="851"/>
          <w:tab w:val="left" w:pos="1276"/>
        </w:tabs>
        <w:spacing w:line="264" w:lineRule="auto"/>
        <w:ind w:left="142"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Актуальні питання цивільного судочинства у світлі судової реформи в Україні: монографія / (С.В. Ківалов, Н.Ю. Голубєва, І.В. Андронов та ін.) за заг. ред. Голубєвої Н.Ю., НУ ОЮА. – Одеса: Юридична література, 2017. URL: </w:t>
      </w:r>
      <w:hyperlink r:id="rId1340">
        <w:r w:rsidRPr="00511005">
          <w:rPr>
            <w:rFonts w:ascii="Arial" w:eastAsia="Times New Roman" w:hAnsi="Arial" w:cs="Arial"/>
            <w:szCs w:val="28"/>
            <w:lang w:val="uk-UA" w:eastAsia="uk-UA"/>
          </w:rPr>
          <w:t>https://dspace.onua.edu.ua/server/api/core/bitstreams/c0c24be5-7bb0-4605-8fad-44fc2449b983/content</w:t>
        </w:r>
      </w:hyperlink>
      <w:r w:rsidR="007B2628" w:rsidRPr="00511005">
        <w:rPr>
          <w:rFonts w:ascii="Arial" w:eastAsia="Times New Roman" w:hAnsi="Arial" w:cs="Arial"/>
          <w:szCs w:val="28"/>
          <w:lang w:val="uk-UA" w:eastAsia="uk-UA"/>
        </w:rPr>
        <w:t xml:space="preserve"> </w:t>
      </w:r>
    </w:p>
    <w:p w14:paraId="3A7A3563" w14:textId="77777777" w:rsidR="005F048D" w:rsidRPr="00511005" w:rsidRDefault="005F048D" w:rsidP="003F6A5D">
      <w:pPr>
        <w:numPr>
          <w:ilvl w:val="0"/>
          <w:numId w:val="385"/>
        </w:numPr>
        <w:tabs>
          <w:tab w:val="left" w:pos="851"/>
          <w:tab w:val="left" w:pos="1276"/>
        </w:tabs>
        <w:spacing w:line="264" w:lineRule="auto"/>
        <w:ind w:left="142"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Голубєва Н.Ю. Вплив реформи судоустрою на цивільне судочинство. URL: </w:t>
      </w:r>
      <w:hyperlink r:id="rId1341">
        <w:r w:rsidRPr="00511005">
          <w:rPr>
            <w:rFonts w:ascii="Arial" w:eastAsia="Times New Roman" w:hAnsi="Arial" w:cs="Arial"/>
            <w:szCs w:val="28"/>
            <w:lang w:val="uk-UA" w:eastAsia="uk-UA"/>
          </w:rPr>
          <w:t>https://dspace.onua.edu.ua/server/api/core/bitstreams/9c0cf426-91c6-4f43-b49b-8edd3b8fa14e/content</w:t>
        </w:r>
      </w:hyperlink>
      <w:r w:rsidRPr="00511005">
        <w:rPr>
          <w:rFonts w:ascii="Arial" w:eastAsia="Times New Roman" w:hAnsi="Arial" w:cs="Arial"/>
          <w:szCs w:val="28"/>
          <w:lang w:val="uk-UA" w:eastAsia="uk-UA"/>
        </w:rPr>
        <w:t xml:space="preserve"> </w:t>
      </w:r>
    </w:p>
    <w:p w14:paraId="7D5ED7D9" w14:textId="77777777" w:rsidR="005F048D" w:rsidRPr="00511005" w:rsidRDefault="005F048D" w:rsidP="003F6A5D">
      <w:pPr>
        <w:numPr>
          <w:ilvl w:val="0"/>
          <w:numId w:val="385"/>
        </w:numPr>
        <w:tabs>
          <w:tab w:val="left" w:pos="851"/>
          <w:tab w:val="left" w:pos="1276"/>
        </w:tabs>
        <w:spacing w:line="264" w:lineRule="auto"/>
        <w:ind w:left="142"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Іліопол І.М.</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 xml:space="preserve">Реформування цивільного процесуального законодавства та його вплив на розвиток правовідносин в апеляційному провадженні / Актуальні проблеми вітчизняної юриспруденції. № 1. Видавничий дім «Гельветика», 2021. С.с. 42-46. DOI </w:t>
      </w:r>
      <w:hyperlink r:id="rId1342">
        <w:r w:rsidRPr="00511005">
          <w:rPr>
            <w:rFonts w:ascii="Arial" w:eastAsia="Times New Roman" w:hAnsi="Arial" w:cs="Arial"/>
            <w:szCs w:val="28"/>
            <w:lang w:val="uk-UA" w:eastAsia="uk-UA"/>
          </w:rPr>
          <w:t>https://doi.org/10.15421/392109</w:t>
        </w:r>
      </w:hyperlink>
    </w:p>
    <w:p w14:paraId="3A8BAB93" w14:textId="77777777" w:rsidR="005F048D" w:rsidRPr="00511005" w:rsidRDefault="005F048D" w:rsidP="003F6A5D">
      <w:pPr>
        <w:numPr>
          <w:ilvl w:val="0"/>
          <w:numId w:val="385"/>
        </w:numPr>
        <w:tabs>
          <w:tab w:val="left" w:pos="851"/>
          <w:tab w:val="left" w:pos="1276"/>
        </w:tabs>
        <w:spacing w:line="264" w:lineRule="auto"/>
        <w:ind w:left="142"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Новелізація цивільного процесу: вплив на судову практику. Лекція. Загальноукраїнський семінар. Національна школа суддів України. Київ, 2020. URL: </w:t>
      </w:r>
      <w:hyperlink r:id="rId1343">
        <w:r w:rsidRPr="00511005">
          <w:rPr>
            <w:rFonts w:ascii="Arial" w:eastAsia="Times New Roman" w:hAnsi="Arial" w:cs="Arial"/>
            <w:szCs w:val="28"/>
            <w:lang w:val="uk-UA" w:eastAsia="uk-UA"/>
          </w:rPr>
          <w:t>https://supreme.court.gov.ua/userfiles/media/new_folder_for_uploads/supreme/Prezent_Luspenik_Novelizacia.pdf</w:t>
        </w:r>
      </w:hyperlink>
      <w:r w:rsidRPr="00511005">
        <w:rPr>
          <w:rFonts w:ascii="Arial" w:eastAsia="Times New Roman" w:hAnsi="Arial" w:cs="Arial"/>
          <w:szCs w:val="28"/>
          <w:lang w:val="uk-UA" w:eastAsia="uk-UA"/>
        </w:rPr>
        <w:t xml:space="preserve"> </w:t>
      </w:r>
    </w:p>
    <w:p w14:paraId="1B41F71A" w14:textId="77777777" w:rsidR="005F048D" w:rsidRPr="00511005" w:rsidRDefault="005F048D" w:rsidP="003F6A5D">
      <w:pPr>
        <w:numPr>
          <w:ilvl w:val="0"/>
          <w:numId w:val="385"/>
        </w:numPr>
        <w:tabs>
          <w:tab w:val="left" w:pos="851"/>
          <w:tab w:val="left" w:pos="1276"/>
        </w:tabs>
        <w:spacing w:line="264" w:lineRule="auto"/>
        <w:ind w:left="142"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Закон України від18.10.2023 р. № 3200-IX. URL: -</w:t>
      </w:r>
      <w:hyperlink r:id="rId1344">
        <w:r w:rsidRPr="00511005">
          <w:rPr>
            <w:rFonts w:ascii="Arial" w:eastAsia="Times New Roman" w:hAnsi="Arial" w:cs="Arial"/>
            <w:szCs w:val="28"/>
            <w:lang w:val="uk-UA" w:eastAsia="uk-UA"/>
          </w:rPr>
          <w:t>19"https://zakon.rada.gov.ua/laws/show/2147-19#Text</w:t>
        </w:r>
      </w:hyperlink>
    </w:p>
    <w:p w14:paraId="4CB16BF9" w14:textId="4C4E7BC7" w:rsidR="005F048D" w:rsidRPr="00511005" w:rsidRDefault="005F048D" w:rsidP="003F6A5D">
      <w:pPr>
        <w:numPr>
          <w:ilvl w:val="0"/>
          <w:numId w:val="385"/>
        </w:numPr>
        <w:tabs>
          <w:tab w:val="left" w:pos="851"/>
          <w:tab w:val="left" w:pos="1276"/>
        </w:tabs>
        <w:spacing w:line="264" w:lineRule="auto"/>
        <w:ind w:left="142"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 внесення змін до Конституції України (щодо правосуддя): Закон України від 02.06.2016 р. №</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1401-VIII. URL: -</w:t>
      </w:r>
      <w:hyperlink r:id="rId1345">
        <w:r w:rsidRPr="00511005">
          <w:rPr>
            <w:rFonts w:ascii="Arial" w:eastAsia="Times New Roman" w:hAnsi="Arial" w:cs="Arial"/>
            <w:szCs w:val="28"/>
            <w:lang w:val="uk-UA" w:eastAsia="uk-UA"/>
          </w:rPr>
          <w:t>19"https://zakon.rada.gov.ua/laws/show/1401-19#Text</w:t>
        </w:r>
      </w:hyperlink>
    </w:p>
    <w:p w14:paraId="4D880CE4" w14:textId="77777777" w:rsidR="005F048D" w:rsidRPr="00511005" w:rsidRDefault="005F048D" w:rsidP="003F6A5D">
      <w:pPr>
        <w:numPr>
          <w:ilvl w:val="0"/>
          <w:numId w:val="385"/>
        </w:numPr>
        <w:tabs>
          <w:tab w:val="left" w:pos="851"/>
          <w:tab w:val="left" w:pos="1276"/>
        </w:tabs>
        <w:spacing w:line="264" w:lineRule="auto"/>
        <w:ind w:left="142"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 судоустрій і статус суддів: Закон України від 26.03.2025 р. № 4264-IX. URL: -</w:t>
      </w:r>
      <w:hyperlink r:id="rId1346">
        <w:r w:rsidRPr="00511005">
          <w:rPr>
            <w:rFonts w:ascii="Arial" w:eastAsia="Times New Roman" w:hAnsi="Arial" w:cs="Arial"/>
            <w:szCs w:val="28"/>
            <w:lang w:val="uk-UA" w:eastAsia="uk-UA"/>
          </w:rPr>
          <w:t>19"https://zakon.rada.gov.ua/laws/show/1402-19#Text</w:t>
        </w:r>
      </w:hyperlink>
    </w:p>
    <w:p w14:paraId="77637412" w14:textId="77777777" w:rsidR="005F048D" w:rsidRPr="00511005" w:rsidRDefault="005F048D" w:rsidP="003F6A5D">
      <w:pPr>
        <w:numPr>
          <w:ilvl w:val="0"/>
          <w:numId w:val="385"/>
        </w:numPr>
        <w:tabs>
          <w:tab w:val="left" w:pos="851"/>
          <w:tab w:val="left" w:pos="1276"/>
        </w:tabs>
        <w:spacing w:line="264" w:lineRule="auto"/>
        <w:ind w:left="142"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Закон України від 09.04.2025 р. № 4283-IX, 4292-IX. URL:https://zakon.rada.gov.ua/laws/show/1618-15#Text</w:t>
      </w:r>
    </w:p>
    <w:p w14:paraId="3D68D04C" w14:textId="77777777" w:rsidR="005F048D" w:rsidRPr="00511005" w:rsidRDefault="005F048D" w:rsidP="003F6A5D">
      <w:pPr>
        <w:numPr>
          <w:ilvl w:val="0"/>
          <w:numId w:val="385"/>
        </w:numPr>
        <w:tabs>
          <w:tab w:val="left" w:pos="851"/>
          <w:tab w:val="left" w:pos="1276"/>
        </w:tabs>
        <w:spacing w:line="264" w:lineRule="auto"/>
        <w:ind w:left="142"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Хотинська-Нор О.З. Теоретико-правові та праксеологічні засади судової реформи в Україні. УДК 347.97/99. Київ – 2016. URL:https://scc.knu.ua/upload/iblock/69d/dis_Khotynska-Nor%20O.%20Z..pdf</w:t>
      </w:r>
    </w:p>
    <w:p w14:paraId="790BD3E4"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left="360" w:firstLine="0"/>
        <w:rPr>
          <w:rFonts w:ascii="Arial" w:eastAsia="Times New Roman" w:hAnsi="Arial" w:cs="Arial"/>
          <w:i/>
          <w:szCs w:val="28"/>
          <w:lang w:val="uk-UA" w:eastAsia="uk-UA"/>
        </w:rPr>
      </w:pPr>
    </w:p>
    <w:p w14:paraId="55CCBB53" w14:textId="5EB79E9B"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ab/>
      </w:r>
      <w:r w:rsidR="007B2628" w:rsidRPr="00511005">
        <w:rPr>
          <w:rFonts w:ascii="Arial" w:eastAsia="Times New Roman" w:hAnsi="Arial" w:cs="Arial"/>
          <w:b/>
          <w:i/>
          <w:szCs w:val="28"/>
          <w:lang w:val="uk-UA" w:eastAsia="uk-UA"/>
        </w:rPr>
        <w:t xml:space="preserve">Ключові слова: </w:t>
      </w:r>
      <w:r w:rsidRPr="00511005">
        <w:rPr>
          <w:rFonts w:ascii="Arial" w:eastAsia="Times New Roman" w:hAnsi="Arial" w:cs="Arial"/>
          <w:szCs w:val="28"/>
          <w:lang w:val="uk-UA" w:eastAsia="uk-UA"/>
        </w:rPr>
        <w:t>судово-правова реформа, конституційна реформа, зміни, Конституція, Закон, незалежність судової влади, адвокатська монополія, оновлена редакція, принцип верховенства права, принцип юридичної визначеності, процесуальний штраф, забезпечувальні заходи, зустрічне забезпечення, проарбітражність, юрисдикція, похідні вимоги, електронне судочинство, процесуальний естопель, касаційні фільтри, апеляційне провадження, врегулювання спору за участю судді, правосуддя.</w:t>
      </w:r>
    </w:p>
    <w:p w14:paraId="2A3B55C4" w14:textId="5234D9D4"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r>
      <w:r w:rsidR="007B2628" w:rsidRPr="00511005">
        <w:rPr>
          <w:rFonts w:ascii="Arial" w:eastAsia="Times New Roman" w:hAnsi="Arial" w:cs="Arial"/>
          <w:b/>
          <w:i/>
          <w:szCs w:val="28"/>
          <w:lang w:val="uk-UA" w:eastAsia="uk-UA"/>
        </w:rPr>
        <w:t xml:space="preserve">Key words: </w:t>
      </w:r>
      <w:r w:rsidRPr="00511005">
        <w:rPr>
          <w:rFonts w:ascii="Arial" w:eastAsia="Times New Roman" w:hAnsi="Arial" w:cs="Arial"/>
          <w:szCs w:val="28"/>
          <w:lang w:val="uk-UA" w:eastAsia="uk-UA"/>
        </w:rPr>
        <w:t>judicial and legal reform, constitutional reform, amendments, Constitution, Law, independence of the judiciary, lawyer's monopoly, updated version, rule of law, principle of legal certainty, procedural fine, interim measures, countervailing security, pro-arbitrability, jurisdiction, derivative claims, electronic proceedings, procedural estoppel, cassation filters, appellate proceedings, settlement of a dispute involving a judge, justice.</w:t>
      </w:r>
    </w:p>
    <w:p w14:paraId="41560849" w14:textId="5158256C"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rPr>
          <w:rFonts w:ascii="Arial" w:eastAsia="Times New Roman" w:hAnsi="Arial" w:cs="Arial"/>
          <w:i/>
          <w:szCs w:val="28"/>
          <w:lang w:val="uk-UA" w:eastAsia="uk-UA"/>
        </w:rPr>
      </w:pPr>
      <w:r w:rsidRPr="00511005">
        <w:rPr>
          <w:rFonts w:ascii="Arial" w:eastAsia="Times New Roman" w:hAnsi="Arial" w:cs="Arial"/>
          <w:szCs w:val="28"/>
          <w:lang w:val="uk-UA" w:eastAsia="uk-UA"/>
        </w:rPr>
        <w:lastRenderedPageBreak/>
        <w:tab/>
      </w:r>
      <w:r w:rsidR="007B2628" w:rsidRPr="00511005">
        <w:rPr>
          <w:rFonts w:ascii="Arial" w:eastAsia="Times New Roman" w:hAnsi="Arial" w:cs="Arial"/>
          <w:b/>
          <w:i/>
          <w:szCs w:val="28"/>
          <w:lang w:val="uk-UA" w:eastAsia="uk-UA"/>
        </w:rPr>
        <w:t xml:space="preserve">Науковий керівник: </w:t>
      </w:r>
      <w:r w:rsidR="00383DE9" w:rsidRPr="00511005">
        <w:rPr>
          <w:rFonts w:ascii="Arial" w:eastAsia="Times New Roman" w:hAnsi="Arial" w:cs="Arial"/>
          <w:i/>
          <w:szCs w:val="28"/>
          <w:lang w:val="uk-UA" w:eastAsia="uk-UA"/>
        </w:rPr>
        <w:t xml:space="preserve">к.ю.н., </w:t>
      </w:r>
      <w:r w:rsidRPr="00511005">
        <w:rPr>
          <w:rFonts w:ascii="Arial" w:eastAsia="Times New Roman" w:hAnsi="Arial" w:cs="Arial"/>
          <w:i/>
          <w:szCs w:val="28"/>
          <w:lang w:val="uk-UA" w:eastAsia="uk-UA"/>
        </w:rPr>
        <w:t>доцент Іліопол І.М.</w:t>
      </w:r>
    </w:p>
    <w:p w14:paraId="1C88A852"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41AE166C" w14:textId="77777777" w:rsidR="005F048D" w:rsidRPr="00511005" w:rsidRDefault="005F048D" w:rsidP="003A292D">
      <w:pPr>
        <w:spacing w:line="264" w:lineRule="auto"/>
        <w:ind w:firstLine="72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Антонюк Софія Любомирівна</w:t>
      </w:r>
    </w:p>
    <w:p w14:paraId="4E9F15C2" w14:textId="050CBC61" w:rsidR="005F048D" w:rsidRPr="00511005" w:rsidRDefault="00536AAB" w:rsidP="003A292D">
      <w:pPr>
        <w:spacing w:line="264" w:lineRule="auto"/>
        <w:ind w:firstLine="72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1-го курсу магістратури</w:t>
      </w:r>
      <w:r w:rsidR="005F048D" w:rsidRPr="00511005">
        <w:rPr>
          <w:rFonts w:ascii="Arial" w:eastAsia="Times New Roman" w:hAnsi="Arial" w:cs="Arial"/>
          <w:szCs w:val="28"/>
          <w:lang w:val="uk-UA" w:eastAsia="uk-UA"/>
        </w:rPr>
        <w:t xml:space="preserve"> </w:t>
      </w:r>
    </w:p>
    <w:p w14:paraId="48129C3A" w14:textId="77777777" w:rsidR="005F048D" w:rsidRPr="00511005" w:rsidRDefault="005F048D" w:rsidP="003A292D">
      <w:pPr>
        <w:spacing w:line="264" w:lineRule="auto"/>
        <w:ind w:firstLine="72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факультету цивільної та господарської юстиції </w:t>
      </w:r>
    </w:p>
    <w:p w14:paraId="0D00345D" w14:textId="0BC03BF9" w:rsidR="005F048D" w:rsidRPr="00511005" w:rsidRDefault="007B2628" w:rsidP="003A292D">
      <w:pPr>
        <w:spacing w:line="264" w:lineRule="auto"/>
        <w:ind w:firstLine="72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5BE59EB6" w14:textId="77777777" w:rsidR="005F048D" w:rsidRPr="00511005" w:rsidRDefault="005F048D" w:rsidP="003A292D">
      <w:pPr>
        <w:spacing w:line="264" w:lineRule="auto"/>
        <w:ind w:firstLine="720"/>
        <w:jc w:val="center"/>
        <w:rPr>
          <w:rFonts w:ascii="Arial" w:eastAsia="Times New Roman" w:hAnsi="Arial" w:cs="Arial"/>
          <w:szCs w:val="28"/>
          <w:lang w:val="uk-UA" w:eastAsia="uk-UA"/>
        </w:rPr>
      </w:pPr>
    </w:p>
    <w:p w14:paraId="13069E89" w14:textId="6D4047C4" w:rsidR="005F048D" w:rsidRPr="00511005" w:rsidRDefault="005F048D" w:rsidP="003A292D">
      <w:pPr>
        <w:spacing w:line="264" w:lineRule="auto"/>
        <w:ind w:firstLine="72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ПОЗОВНА ДАВНІСТЬ УКОНТЕКСТІ ПРАВОВИХ ВИКЛИКІВ</w:t>
      </w:r>
      <w:r w:rsidR="007B2628" w:rsidRPr="00511005">
        <w:rPr>
          <w:rFonts w:ascii="Arial" w:eastAsia="Times New Roman" w:hAnsi="Arial" w:cs="Arial"/>
          <w:b/>
          <w:szCs w:val="28"/>
          <w:lang w:val="uk-UA" w:eastAsia="uk-UA"/>
        </w:rPr>
        <w:t xml:space="preserve"> </w:t>
      </w:r>
      <w:r w:rsidRPr="00511005">
        <w:rPr>
          <w:rFonts w:ascii="Arial" w:eastAsia="Times New Roman" w:hAnsi="Arial" w:cs="Arial"/>
          <w:b/>
          <w:szCs w:val="28"/>
          <w:lang w:val="uk-UA" w:eastAsia="uk-UA"/>
        </w:rPr>
        <w:t>ВОЄННОГО СТАНУ</w:t>
      </w:r>
    </w:p>
    <w:p w14:paraId="7FFCAF41"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сучасному правовому полі України воєнний стан став серйозним викликом для реалізації та захисту суб'єктивних прав. Однією з ключових інституцій, яка зазнає впливу умов надзвичайного правового режиму, є позовна давність. Застосування строків давності в умовах війни вимагає осмислення як з теоретичної, так і з практичної точок зору, особливо в контексті обмеженого доступу до правосуддя та неможливості вчасного звернення до суду.</w:t>
      </w:r>
    </w:p>
    <w:p w14:paraId="1BDC4761"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Позовна давність традиційно розглядається як юридичний механізм, що встановлює межі у часі для реалізації права на захист. Вона виконує як функцію стимулювання належного захисту прав, так і функцію правової визначеності. У цивілістичній доктрині позовна давність аналізується як сукупність темпоральних та «діяльних» характеристик. Темпоральні аспекти — це визначений період у часі, протягом якого особа може реалізувати своє право через суд або інший компетентний орган. Натомість «діяльні» характеристики пов’язані з конкретними юридичними діями — поданням позову чи вчиненням інших правових кроків, які мають наслідком збереження або втрату права на захист. Такий підхід є обґрунтованим і відображає об'єктивно-суб'єктивну природу позовної давності [2, с. 1005].</w:t>
      </w:r>
    </w:p>
    <w:p w14:paraId="6CAB03F7"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Об’єктивний елемент полягає у встановленні чіткого строку, який не залежить від поведінки сторін, тоді як суб’єктивний акцентує увагу на можливості особи захищати своє право в умовах, коли вона дізналася або мала дізнатися про порушення. Саме цей суб’єктивний компонент набуває особливого значення в умовах воєнного стану, коли фізична або юридична особа через обставини непереборної сили — зокрема окупацію територій, руйнування інфраструктури, призов до армії чи евакуацію — не має змоги своєчасно звернутися до суду.</w:t>
      </w:r>
    </w:p>
    <w:p w14:paraId="77C40F9E"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Згідно з Цивільним кодексом України, позовна давність може бути зупинена або перервана у випадках, коли особа не могла реалізувати своє право через обставини непереборної сили, до яких відноситься і війна. Це дозволяє сторонам зберегти своє право на захист, навіть якщо строк позовної давності сплинув під час воєнного стану [1].</w:t>
      </w:r>
    </w:p>
    <w:p w14:paraId="3798080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 огляду на повномасштабне вторгнення Російської Федерації, законодавець удосконалив правове регулювання строків у період </w:t>
      </w:r>
      <w:r w:rsidRPr="00511005">
        <w:rPr>
          <w:rFonts w:ascii="Arial" w:eastAsia="Times New Roman" w:hAnsi="Arial" w:cs="Arial"/>
          <w:szCs w:val="28"/>
          <w:lang w:val="uk-UA" w:eastAsia="uk-UA"/>
        </w:rPr>
        <w:lastRenderedPageBreak/>
        <w:t xml:space="preserve">надзвичайного стану. Зокрема, 17 березня 2022 року набув чинності Закон України «Про внесення змін до Податкового кодексу України та інших законодавчих актів України щодо дії норм на період дії воєнного стану». Цим законом передбачалося продовження строків, визначених у ряді статей Цивільного кодексу України (257–259, 362, 559, 681, 728, 786, 1293), на весь період воєнного або надзвичайного стану. По суті, цей механізм не допускав формального завершення строків, попри фактичний перебіг часу, що запобігало втраті права на судовий захист унаслідок обмежень, спричинених війною. </w:t>
      </w:r>
    </w:p>
    <w:p w14:paraId="5E78B01C"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До липня 2023 року в Україні діяли два паралельні механізми продовження строків позовної давності: один запровадили під час карантину, а інший — у зв’язку з воєнним станом. Обидва режими сприяли продовженню строків, однак їх одночасне застосування породжувало правову невизначеність. Наприклад, під час війни строки, що стосувалися поруки (стаття 259 ЦК України), також підлягали продовженню, чого не передбачав карантинний механізм. Це засвідчило прорахунки в координації нормативного регулювання у надзвичайних умовах. </w:t>
      </w:r>
    </w:p>
    <w:p w14:paraId="57090B85"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Суттєва зміна сталася в січні 2024 року із набранням чинності нової редакції пункту 19 Прикінцевих і перехідних положень Цивільного кодексу України, внесеної Законом України від 8 листопада 2023 року № 3450-IX «Про внесення змін до Цивільного кодексу України щодо вдосконалення порядку відкриття та оформлення спадщини». Від 30 січня 2024 року строки позовної давності згідно із Цивільним кодексом не просто продовжуються, а офіційно зупиняються на весь період воєнного стану. Це нововведення значно покращує правові гарантії для осіб, які через війну були позбавлені можливості своєчасно звернутися за судовим захистом. Механізм зупинення, на відміну від продовження, означає повне призупинення відліку строку до завершення надзвичайного стану та його автоматичне поновлення після цього. Такий підхід забезпечує більш ефективний захист прав потерпілих у складних обставинах війни[3, с. 217-218].</w:t>
      </w:r>
    </w:p>
    <w:p w14:paraId="110BD5FF"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Прийнята в січні 2024 року модель повного зупинення строків позовної давності стала якісним зрушенням у правовому регулюванні національної системи цивільного судочинства. Вона враховує практичні виклики, з якими стикаються громадяни, зокрема вимушені переселенці, військовослужбовці, мешканці тимчасово окупованих територій та інші особи, які об’єктивно не мають змоги реалізувати своє право на звернення до суду. Фактичне призупинення строків гарантує, що суд не відмовить у прийнятті позову лише через формальне закінчення строку, що настав у період, коли особа була позбавлена можливості діяти.</w:t>
      </w:r>
    </w:p>
    <w:p w14:paraId="0E1D419A"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Ці зміни свідчать про поступову еволюцію українського законодавства від формального тлумачення правових норм до більш гнучкого, людиноцентричного підходу, орієнтованого на реальні життєві обставини. В </w:t>
      </w:r>
      <w:r w:rsidRPr="00511005">
        <w:rPr>
          <w:rFonts w:ascii="Arial" w:eastAsia="Times New Roman" w:hAnsi="Arial" w:cs="Arial"/>
          <w:szCs w:val="28"/>
          <w:lang w:val="uk-UA" w:eastAsia="uk-UA"/>
        </w:rPr>
        <w:lastRenderedPageBreak/>
        <w:t>умовах війни, коли доступ до судів ускладнений, а строки можуть стати пасткою для осіб, які намагаються захистити свої права, держава бере на себе зобов’язання забезпечити справедливий баланс між принципом правової визначеності та принципом доступності правосуддя. Механізм зупинення строків може бути розцінений як правовий інструмент, що відповідає стандартам прав людини і практиці Європейського суду з прав людини, де визначальним є не лише формальне дотримання строків, а й реалістична оцінка можливостей особи реалізувати своє право.</w:t>
      </w:r>
    </w:p>
    <w:p w14:paraId="136A59A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з урахуванням надзвичайних обставин воєнного часу, український законодавець вжив необхідних заходів для адаптації правового режиму позовної давності до нової реальності. Спочатку йшлося лише про продовження строків, що частково компенсувало обмеження прав доступу до суду. Проте лише повна зупинка строків — як передбачено з 2024 року — дійсно відповідає принципу ефективного захисту прав в умовах війни.</w:t>
      </w:r>
    </w:p>
    <w:p w14:paraId="71FD6787"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Запроваджений механізм зупинення є не лише техніко-юридичною зміною, а й індикатором глибших трансформацій у підходах до правозастосування в умовах кризи. Він покликаний мінімізувати негативні наслідки правової невизначеності, зміцнити довіру громадян до судової системи та забезпечити реальну, а не декларативну, реалізацію права на захист у будь-яких умовах, включно з воєнним станом.</w:t>
      </w:r>
    </w:p>
    <w:p w14:paraId="2179916B" w14:textId="1CD92B69" w:rsidR="005F048D" w:rsidRPr="00511005" w:rsidRDefault="007B2628" w:rsidP="007B2628">
      <w:pPr>
        <w:spacing w:line="264" w:lineRule="auto"/>
        <w:ind w:firstLine="72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4FCC749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1. Цивільний кодекс України від 16 січня 2003 р. Відомості Верховної Ради України. 2003. № 40. ст. 356. URL: -</w:t>
      </w:r>
      <w:hyperlink r:id="rId1347">
        <w:r w:rsidRPr="00511005">
          <w:rPr>
            <w:rFonts w:ascii="Arial" w:eastAsia="Times New Roman" w:hAnsi="Arial" w:cs="Arial"/>
            <w:szCs w:val="28"/>
            <w:lang w:val="uk-UA" w:eastAsia="uk-UA"/>
          </w:rPr>
          <w:t>https://zakon.rada.gov.ua/laws/show/435-15#Text</w:t>
        </w:r>
      </w:hyperlink>
      <w:r w:rsidRPr="00511005">
        <w:rPr>
          <w:rFonts w:ascii="Arial" w:eastAsia="Times New Roman" w:hAnsi="Arial" w:cs="Arial"/>
          <w:szCs w:val="28"/>
          <w:lang w:val="uk-UA" w:eastAsia="uk-UA"/>
        </w:rPr>
        <w:t xml:space="preserve">(дата звернення 02.05.2025 р.) </w:t>
      </w:r>
    </w:p>
    <w:p w14:paraId="71A1799A"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2. Калюта Д. О. Проблемні питання застосування позовної давності в цивільному праві // Global science: prospects and innovations: proceedings of the 5th International scientific and practical conference (Liverpool, United Kingdom, December 28–30, 2023). Liverpool: Cognum Publishing House, 2023. С. 1003-1013. URL:-</w:t>
      </w:r>
      <w:hyperlink r:id="rId1348">
        <w:r w:rsidRPr="00511005">
          <w:rPr>
            <w:rFonts w:ascii="Arial" w:eastAsia="Times New Roman" w:hAnsi="Arial" w:cs="Arial"/>
            <w:szCs w:val="28"/>
            <w:lang w:val="uk-UA" w:eastAsia="uk-UA"/>
          </w:rPr>
          <w:t>30</w:t>
        </w:r>
      </w:hyperlink>
      <w:r w:rsidRPr="00511005">
        <w:rPr>
          <w:rFonts w:ascii="Arial" w:eastAsia="Times New Roman" w:hAnsi="Arial" w:cs="Arial"/>
          <w:szCs w:val="28"/>
          <w:lang w:val="uk-UA" w:eastAsia="uk-UA"/>
        </w:rPr>
        <w:t>.</w:t>
      </w:r>
      <w:hyperlink r:id="rId1349">
        <w:r w:rsidRPr="00511005">
          <w:rPr>
            <w:rFonts w:ascii="Arial" w:eastAsia="Times New Roman" w:hAnsi="Arial" w:cs="Arial"/>
            <w:szCs w:val="28"/>
            <w:lang w:val="uk-UA" w:eastAsia="uk-UA"/>
          </w:rPr>
          <w:t>12</w:t>
        </w:r>
      </w:hyperlink>
      <w:r w:rsidRPr="00511005">
        <w:rPr>
          <w:rFonts w:ascii="Arial" w:eastAsia="Times New Roman" w:hAnsi="Arial" w:cs="Arial"/>
          <w:szCs w:val="28"/>
          <w:lang w:val="uk-UA" w:eastAsia="uk-UA"/>
        </w:rPr>
        <w:t>.</w:t>
      </w:r>
      <w:hyperlink r:id="rId1350">
        <w:r w:rsidRPr="00511005">
          <w:rPr>
            <w:rFonts w:ascii="Arial" w:eastAsia="Times New Roman" w:hAnsi="Arial" w:cs="Arial"/>
            <w:szCs w:val="28"/>
            <w:lang w:val="uk-UA" w:eastAsia="uk-UA"/>
          </w:rPr>
          <w:t>2023.pdf"http://www.tsatu.edu.ua/vmf/wp-content/uploads/sites/17/zbirka-tezglobal-science-prospects-and-innovations-28-30.12.2023.pdf#page=1003</w:t>
        </w:r>
      </w:hyperlink>
    </w:p>
    <w:p w14:paraId="5AC3045A" w14:textId="77777777" w:rsidR="005F048D" w:rsidRPr="00511005" w:rsidRDefault="005F048D" w:rsidP="003A292D">
      <w:pPr>
        <w:spacing w:line="264" w:lineRule="auto"/>
        <w:ind w:firstLine="720"/>
        <w:rPr>
          <w:rFonts w:ascii="Arial" w:eastAsia="Times New Roman" w:hAnsi="Arial" w:cs="Arial"/>
          <w:b/>
          <w:szCs w:val="28"/>
          <w:lang w:val="uk-UA" w:eastAsia="uk-UA"/>
        </w:rPr>
      </w:pPr>
      <w:r w:rsidRPr="00511005">
        <w:rPr>
          <w:rFonts w:ascii="Arial" w:eastAsia="Times New Roman" w:hAnsi="Arial" w:cs="Arial"/>
          <w:szCs w:val="28"/>
          <w:lang w:val="uk-UA" w:eastAsia="uk-UA"/>
        </w:rPr>
        <w:t xml:space="preserve">3. Кочина О. С., Кот В. В. Застосування позовної давності в умовах воєнного стану // Аналітично-порівняльне правознавство. 2024. № 2. Розд. 3. Цивільне право і цивільний процес; сімейне право; міжнародне приватне право. Опубл. 11.05.2024. URL: </w:t>
      </w:r>
      <w:hyperlink r:id="rId1351">
        <w:r w:rsidRPr="00511005">
          <w:rPr>
            <w:rFonts w:ascii="Arial" w:eastAsia="Times New Roman" w:hAnsi="Arial" w:cs="Arial"/>
            <w:szCs w:val="28"/>
            <w:lang w:val="uk-UA" w:eastAsia="uk-UA"/>
          </w:rPr>
          <w:t>http://journal-app.uzhnu.edu.ua/article/download/303198/295274</w:t>
        </w:r>
      </w:hyperlink>
    </w:p>
    <w:p w14:paraId="068AD0D5" w14:textId="24133D2A"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позовна давність, воєнний стан, Цивільний кодекс України, зупинення строків, доступ до правосуддя, надзвичайні обставини.</w:t>
      </w:r>
    </w:p>
    <w:p w14:paraId="167A3095" w14:textId="4F50CD47"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limitation period, martial law, Civil Code of Ukraine, suspension of terms, access to justice, extraordinary circumstances.</w:t>
      </w:r>
    </w:p>
    <w:p w14:paraId="68A67641" w14:textId="4F588982" w:rsidR="005F048D" w:rsidRPr="00511005" w:rsidRDefault="007B2628" w:rsidP="003A292D">
      <w:pPr>
        <w:spacing w:line="264" w:lineRule="auto"/>
        <w:ind w:firstLine="72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383DE9" w:rsidRPr="00511005">
        <w:rPr>
          <w:rFonts w:ascii="Arial" w:eastAsia="Times New Roman" w:hAnsi="Arial" w:cs="Arial"/>
          <w:i/>
          <w:szCs w:val="28"/>
          <w:lang w:val="uk-UA" w:eastAsia="uk-UA"/>
        </w:rPr>
        <w:t xml:space="preserve">к.ю.н., </w:t>
      </w:r>
      <w:r w:rsidR="005F048D" w:rsidRPr="00511005">
        <w:rPr>
          <w:rFonts w:ascii="Arial" w:eastAsia="Times New Roman" w:hAnsi="Arial" w:cs="Arial"/>
          <w:i/>
          <w:szCs w:val="28"/>
          <w:lang w:val="uk-UA" w:eastAsia="uk-UA"/>
        </w:rPr>
        <w:t>доцент Іліопол І. М.</w:t>
      </w:r>
    </w:p>
    <w:p w14:paraId="5513894F"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6987728A"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0C4205FB"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Артюшенко Максим Олександрович </w:t>
      </w:r>
    </w:p>
    <w:p w14:paraId="5BEC2C99" w14:textId="182A72FB"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 3-го курсу </w:t>
      </w:r>
    </w:p>
    <w:p w14:paraId="0E77CF30"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факультету цивільної та господарської юстиції </w:t>
      </w:r>
    </w:p>
    <w:p w14:paraId="2554239B" w14:textId="150B7853"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r w:rsidR="005F048D" w:rsidRPr="00511005">
        <w:rPr>
          <w:rFonts w:ascii="Arial" w:eastAsia="Times New Roman" w:hAnsi="Arial" w:cs="Arial"/>
          <w:szCs w:val="28"/>
          <w:lang w:val="uk-UA" w:eastAsia="uk-UA"/>
        </w:rPr>
        <w:t> </w:t>
      </w:r>
    </w:p>
    <w:p w14:paraId="27E6A982" w14:textId="77777777" w:rsidR="005F048D" w:rsidRPr="00511005" w:rsidRDefault="005F048D" w:rsidP="003A292D">
      <w:pPr>
        <w:spacing w:line="264" w:lineRule="auto"/>
        <w:rPr>
          <w:rFonts w:ascii="Arial" w:eastAsia="Times New Roman" w:hAnsi="Arial" w:cs="Arial"/>
          <w:szCs w:val="28"/>
          <w:lang w:val="uk-UA" w:eastAsia="uk-UA"/>
        </w:rPr>
      </w:pPr>
    </w:p>
    <w:p w14:paraId="57019C8B" w14:textId="77777777" w:rsidR="005F048D" w:rsidRPr="00511005" w:rsidRDefault="005F048D" w:rsidP="003A292D">
      <w:pPr>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МІЖНАРОДНИЙ ДОСВІД ОРГАНІЗАЦІЇ ВИКОНАВЧОГО ПРОВАДЖЕННЯ: УРОКИ ДЛЯ УКРАЇНИ</w:t>
      </w:r>
    </w:p>
    <w:p w14:paraId="73DF62CD" w14:textId="77777777" w:rsidR="005F048D" w:rsidRPr="00511005" w:rsidRDefault="005F048D" w:rsidP="003A292D">
      <w:pPr>
        <w:spacing w:line="264" w:lineRule="auto"/>
        <w:ind w:firstLine="567"/>
        <w:jc w:val="center"/>
        <w:rPr>
          <w:rFonts w:ascii="Arial" w:eastAsia="Times New Roman" w:hAnsi="Arial" w:cs="Arial"/>
          <w:szCs w:val="28"/>
          <w:lang w:val="uk-UA" w:eastAsia="uk-UA"/>
        </w:rPr>
      </w:pPr>
    </w:p>
    <w:p w14:paraId="5BDE384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сучасних умовах реформування правової системи України, зокрема системи примусового виконання судових рішень, особливого значення набуває дослідження міжнародного досвіду організації виконавчого провадження. Необхідність підвищення ефективності примусового виконання рішень судів та інших органів зумовлює звернення до кращих світових практик. Низький рівень виконання судових рішень в Україні, який за різними оцінками коливається в межах 30–40%, є однією з ключових проблем у сфері правосуддя. Саме тому актуальним є вивчення досвіду країн, які досягли значних результатів у цьому напрямі, з метою адаптації та імплементації ефективних моделей в українське законодавство та правозастосовну практику [2].</w:t>
      </w:r>
    </w:p>
    <w:p w14:paraId="7722B61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Мета дослідження Метою дослідження є аналіз міжнародного досвіду організації виконавчого провадження, виокремлення ефективних моделей, інструментів та принципів діяльності виконавчої служби, а також формування пропозицій щодо їх впровадження в Україні.</w:t>
      </w:r>
    </w:p>
    <w:p w14:paraId="09B17611" w14:textId="77777777" w:rsidR="005F048D" w:rsidRPr="00511005" w:rsidRDefault="005F048D" w:rsidP="003F6A5D">
      <w:pPr>
        <w:numPr>
          <w:ilvl w:val="0"/>
          <w:numId w:val="374"/>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Система виконавчого провадження у Франції У Франції діє модель судових виконавців (huissiers de justice), які є самозайнятими професіоналами, що діють на основі державної ліцензії. Вони мають право здійснювати примусове виконання рішень, вручення судових повісток, здійснювати опис майна, проводити публічні торги тощо. Французькі виконавці несуть професійну відповідальність та підлягають жорсткому контролю з боку держави і професійних об'єднань. Важливим елементом є фінансова мотивація: виконавці отримують винагороду залежно від обсягу виконаної роботи, що стимулює їх до ефективної діяльності.</w:t>
      </w:r>
    </w:p>
    <w:p w14:paraId="780B23A5" w14:textId="77777777" w:rsidR="005F048D" w:rsidRPr="00511005" w:rsidRDefault="005F048D" w:rsidP="003F6A5D">
      <w:pPr>
        <w:numPr>
          <w:ilvl w:val="0"/>
          <w:numId w:val="374"/>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Німецький підхід до виконавчого провадження У Німеччині виконавче провадження здійснюється через спеціальних державних виконавців (Gerichtsvollzieher), які працюють при судах. Їхня діяльність чітко регламентована і підконтрольна судовим органам. У Німеччині існує система електронного обміну даними між судовими виконавцями, банками, податковими службами, що дозволяє швидко отримувати інформацію про боржника. Важливим аспектом є високий рівень підготовки виконавців та постійне професійне навчання.</w:t>
      </w:r>
    </w:p>
    <w:p w14:paraId="5E6356FE" w14:textId="77777777" w:rsidR="005F048D" w:rsidRPr="00511005" w:rsidRDefault="005F048D" w:rsidP="003F6A5D">
      <w:pPr>
        <w:numPr>
          <w:ilvl w:val="0"/>
          <w:numId w:val="374"/>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Польський досвід реформування виконавчого провадження У Польщі з 1997 року функціонує система приватних судових виконавців (komornik), які діють на основі державного дозволу, але фінансуються за рахунок винагороди від виконаних проваджень. Польща ввела електронну базу даних щодо майна боржників, що значно прискорило процес виконання. Крім того, польські виконавці мають доступ до широкого кола реєстрів та обліків, що підвищує прозорість та ефективність їхньої роботи.</w:t>
      </w:r>
    </w:p>
    <w:p w14:paraId="240D3766" w14:textId="77777777" w:rsidR="005F048D" w:rsidRPr="00511005" w:rsidRDefault="005F048D" w:rsidP="003F6A5D">
      <w:pPr>
        <w:numPr>
          <w:ilvl w:val="0"/>
          <w:numId w:val="374"/>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Естонія: цифровізація виконавчого провадження Естонія, як лідер у сфері цифрового врядування, має повністю електронну систему виконавчого провадження. Всі процеси — від подачі заяви до реалізації майна — можуть здійснюватися онлайн. Естонські виконавці мають доступ до національної бази даних і можуть оперативно встановлювати місцезнаходження активів боржника. Це значно знижує адміністративне навантаження та підвищує ефективність виконання.</w:t>
      </w:r>
    </w:p>
    <w:p w14:paraId="2A1317D4" w14:textId="77777777" w:rsidR="005F048D" w:rsidRPr="00511005" w:rsidRDefault="005F048D" w:rsidP="003F6A5D">
      <w:pPr>
        <w:numPr>
          <w:ilvl w:val="0"/>
          <w:numId w:val="374"/>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США: федеративний підхід до виконання судових рішень У США немає єдиної системи виконавчого провадження, оскільки вона варіюється залежно від штату. Примусове виконання здійснюється судовими шерифами або уповноваженими агентами. Особливістю американської моделі є наявність широкого спектру інструментів примусу, включаючи накладення арешту на банківські рахунки, майно, заробітну плату боржника. Крім того, важливу роль відіграє кредитна історія, яка змушує боржника добровільно виконувати рішення.</w:t>
      </w:r>
    </w:p>
    <w:p w14:paraId="3985D657" w14:textId="77777777" w:rsidR="005F048D" w:rsidRPr="00511005" w:rsidRDefault="005F048D" w:rsidP="003F6A5D">
      <w:pPr>
        <w:numPr>
          <w:ilvl w:val="0"/>
          <w:numId w:val="374"/>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Велика Британія: реформування та створення служби судових приставів У Великій Британії реформування системи примусового виконання було спрямоване на підвищення професіоналізму виконавців, створення національної служби судових приставів (Her Majesty's Courts and Tribunals Service — Enforcement). Всі виконавці проходять обов’язкове навчання, акредитацію та контроль зі сторони держави. Особлива увага приділяється захисту прав боржників та етичним стандартам роботи виконавців [3,c.18].</w:t>
      </w:r>
    </w:p>
    <w:p w14:paraId="5E7C9588"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Аналіз ефективних практик На основі вивченого досвіду можна виокремити кілька ключових елементів ефективного виконавчого провадження:</w:t>
      </w:r>
    </w:p>
    <w:p w14:paraId="6C8158A5" w14:textId="77777777" w:rsidR="005F048D" w:rsidRPr="00511005" w:rsidRDefault="005F048D" w:rsidP="003F6A5D">
      <w:pPr>
        <w:numPr>
          <w:ilvl w:val="0"/>
          <w:numId w:val="369"/>
        </w:numPr>
        <w:spacing w:line="264" w:lineRule="auto"/>
        <w:ind w:left="1429"/>
        <w:jc w:val="left"/>
        <w:rPr>
          <w:rFonts w:ascii="Arial" w:eastAsia="Times New Roman" w:hAnsi="Arial" w:cs="Arial"/>
          <w:szCs w:val="28"/>
          <w:lang w:val="uk-UA" w:eastAsia="uk-UA"/>
        </w:rPr>
      </w:pPr>
      <w:r w:rsidRPr="00511005">
        <w:rPr>
          <w:rFonts w:ascii="Arial" w:eastAsia="Times New Roman" w:hAnsi="Arial" w:cs="Arial"/>
          <w:szCs w:val="28"/>
          <w:lang w:val="uk-UA" w:eastAsia="uk-UA"/>
        </w:rPr>
        <w:t>Наявність чіткої нормативної бази та її реальне застосування;</w:t>
      </w:r>
    </w:p>
    <w:p w14:paraId="3932B4C4" w14:textId="77777777" w:rsidR="005F048D" w:rsidRPr="00511005" w:rsidRDefault="005F048D" w:rsidP="003F6A5D">
      <w:pPr>
        <w:numPr>
          <w:ilvl w:val="0"/>
          <w:numId w:val="369"/>
        </w:numPr>
        <w:spacing w:line="264" w:lineRule="auto"/>
        <w:ind w:left="1429"/>
        <w:jc w:val="left"/>
        <w:rPr>
          <w:rFonts w:ascii="Arial" w:eastAsia="Times New Roman" w:hAnsi="Arial" w:cs="Arial"/>
          <w:szCs w:val="28"/>
          <w:lang w:val="uk-UA" w:eastAsia="uk-UA"/>
        </w:rPr>
      </w:pPr>
      <w:r w:rsidRPr="00511005">
        <w:rPr>
          <w:rFonts w:ascii="Arial" w:eastAsia="Times New Roman" w:hAnsi="Arial" w:cs="Arial"/>
          <w:szCs w:val="28"/>
          <w:lang w:val="uk-UA" w:eastAsia="uk-UA"/>
        </w:rPr>
        <w:t>Мотивація виконавців шляхом поєднання державного контролю і фінансової зацікавленості;</w:t>
      </w:r>
    </w:p>
    <w:p w14:paraId="694DA2BC" w14:textId="77777777" w:rsidR="005F048D" w:rsidRPr="00511005" w:rsidRDefault="005F048D" w:rsidP="003F6A5D">
      <w:pPr>
        <w:numPr>
          <w:ilvl w:val="0"/>
          <w:numId w:val="369"/>
        </w:numPr>
        <w:spacing w:line="264" w:lineRule="auto"/>
        <w:ind w:left="1429"/>
        <w:jc w:val="left"/>
        <w:rPr>
          <w:rFonts w:ascii="Arial" w:eastAsia="Times New Roman" w:hAnsi="Arial" w:cs="Arial"/>
          <w:szCs w:val="28"/>
          <w:lang w:val="uk-UA" w:eastAsia="uk-UA"/>
        </w:rPr>
      </w:pPr>
      <w:r w:rsidRPr="00511005">
        <w:rPr>
          <w:rFonts w:ascii="Arial" w:eastAsia="Times New Roman" w:hAnsi="Arial" w:cs="Arial"/>
          <w:szCs w:val="28"/>
          <w:lang w:val="uk-UA" w:eastAsia="uk-UA"/>
        </w:rPr>
        <w:t>Електронні реєстри, доступ до інформації про боржника;</w:t>
      </w:r>
    </w:p>
    <w:p w14:paraId="6268F6D6" w14:textId="77777777" w:rsidR="005F048D" w:rsidRPr="00511005" w:rsidRDefault="005F048D" w:rsidP="003F6A5D">
      <w:pPr>
        <w:numPr>
          <w:ilvl w:val="0"/>
          <w:numId w:val="369"/>
        </w:numPr>
        <w:spacing w:line="264" w:lineRule="auto"/>
        <w:ind w:left="142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Прозорість процедур та відкритість для громадськості;</w:t>
      </w:r>
    </w:p>
    <w:p w14:paraId="6FD26933" w14:textId="77777777" w:rsidR="005F048D" w:rsidRPr="00511005" w:rsidRDefault="005F048D" w:rsidP="003F6A5D">
      <w:pPr>
        <w:numPr>
          <w:ilvl w:val="0"/>
          <w:numId w:val="369"/>
        </w:numPr>
        <w:spacing w:line="264" w:lineRule="auto"/>
        <w:ind w:left="1429"/>
        <w:jc w:val="left"/>
        <w:rPr>
          <w:rFonts w:ascii="Arial" w:eastAsia="Times New Roman" w:hAnsi="Arial" w:cs="Arial"/>
          <w:szCs w:val="28"/>
          <w:lang w:val="uk-UA" w:eastAsia="uk-UA"/>
        </w:rPr>
      </w:pPr>
      <w:r w:rsidRPr="00511005">
        <w:rPr>
          <w:rFonts w:ascii="Arial" w:eastAsia="Times New Roman" w:hAnsi="Arial" w:cs="Arial"/>
          <w:szCs w:val="28"/>
          <w:lang w:val="uk-UA" w:eastAsia="uk-UA"/>
        </w:rPr>
        <w:t>Регулярне підвищення кваліфікації виконавців;</w:t>
      </w:r>
    </w:p>
    <w:p w14:paraId="761AB439" w14:textId="77777777" w:rsidR="005F048D" w:rsidRPr="00511005" w:rsidRDefault="005F048D" w:rsidP="003F6A5D">
      <w:pPr>
        <w:numPr>
          <w:ilvl w:val="0"/>
          <w:numId w:val="369"/>
        </w:numPr>
        <w:spacing w:line="264" w:lineRule="auto"/>
        <w:ind w:left="1429"/>
        <w:jc w:val="left"/>
        <w:rPr>
          <w:rFonts w:ascii="Arial" w:eastAsia="Times New Roman" w:hAnsi="Arial" w:cs="Arial"/>
          <w:szCs w:val="28"/>
          <w:lang w:val="uk-UA" w:eastAsia="uk-UA"/>
        </w:rPr>
      </w:pPr>
      <w:r w:rsidRPr="00511005">
        <w:rPr>
          <w:rFonts w:ascii="Arial" w:eastAsia="Times New Roman" w:hAnsi="Arial" w:cs="Arial"/>
          <w:szCs w:val="28"/>
          <w:lang w:val="uk-UA" w:eastAsia="uk-UA"/>
        </w:rPr>
        <w:t>Створення умов для добровільного виконання рішень [4,c.23].</w:t>
      </w:r>
    </w:p>
    <w:p w14:paraId="7980E1B8"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Уроки для України</w:t>
      </w:r>
    </w:p>
    <w:p w14:paraId="60604927" w14:textId="77777777" w:rsidR="005F048D" w:rsidRPr="00511005" w:rsidRDefault="005F048D" w:rsidP="003F6A5D">
      <w:pPr>
        <w:numPr>
          <w:ilvl w:val="0"/>
          <w:numId w:val="353"/>
        </w:numPr>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Запровадження цифрових технологій у виконавчому провадженні, включаючи автоматизований обмін інформацією між державними органами.</w:t>
      </w:r>
    </w:p>
    <w:p w14:paraId="68E33A00" w14:textId="77777777" w:rsidR="005F048D" w:rsidRPr="00511005" w:rsidRDefault="005F048D" w:rsidP="003F6A5D">
      <w:pPr>
        <w:numPr>
          <w:ilvl w:val="0"/>
          <w:numId w:val="353"/>
        </w:numPr>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Підвищення мотивації державних і приватних виконавців, включаючи диференційовану оплату праці залежно від обсягу виконаної роботи.</w:t>
      </w:r>
    </w:p>
    <w:p w14:paraId="70351439" w14:textId="77777777" w:rsidR="005F048D" w:rsidRPr="00511005" w:rsidRDefault="005F048D" w:rsidP="003F6A5D">
      <w:pPr>
        <w:numPr>
          <w:ilvl w:val="0"/>
          <w:numId w:val="353"/>
        </w:numPr>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Посилення контролю за діяльністю виконавців та впровадження етичного кодексу.</w:t>
      </w:r>
    </w:p>
    <w:p w14:paraId="3F55C312" w14:textId="77777777" w:rsidR="005F048D" w:rsidRPr="00511005" w:rsidRDefault="005F048D" w:rsidP="003F6A5D">
      <w:pPr>
        <w:numPr>
          <w:ilvl w:val="0"/>
          <w:numId w:val="353"/>
        </w:numPr>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Розширення доступу виконавців до державних реєстрів і банківських даних.</w:t>
      </w:r>
    </w:p>
    <w:p w14:paraId="582966D3" w14:textId="77777777" w:rsidR="005F048D" w:rsidRPr="00511005" w:rsidRDefault="005F048D" w:rsidP="003F6A5D">
      <w:pPr>
        <w:numPr>
          <w:ilvl w:val="0"/>
          <w:numId w:val="353"/>
        </w:numPr>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Запровадження системи електронного арешту майна та банківських рахунків.</w:t>
      </w:r>
    </w:p>
    <w:p w14:paraId="475A8BF6" w14:textId="77777777" w:rsidR="005F048D" w:rsidRPr="00511005" w:rsidRDefault="005F048D" w:rsidP="003F6A5D">
      <w:pPr>
        <w:numPr>
          <w:ilvl w:val="0"/>
          <w:numId w:val="353"/>
        </w:numPr>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Проведення інформаційних кампаній щодо ролі та функцій виконавчої служби, з метою підвищення довіри громадян [1].</w:t>
      </w:r>
    </w:p>
    <w:p w14:paraId="77B83800"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Міжнародний досвід свідчить про те, що ефективне виконавче провадження є невід’ємною складовою правової держави. Його успішне функціонування можливе лише за умов належного законодавчого регулювання, фінансової і технічної підтримки, наявності кваліфікованих кадрів та сучасних цифрових технологій. Україні необхідно комплексно підійти до реформування системи виконавчого провадження, впровадивши інституційні та технічні рішення, які вже довели свою ефективність у країнах Європи та Північної Америки. Вивчення та адаптація міжнародного досвіду можуть стати запорукою підвищення рівня виконання судових рішень, а отже — зміцнення довіри громадян до системи правосуддя загалом.</w:t>
      </w:r>
    </w:p>
    <w:p w14:paraId="71495DD2"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26A12B04" w14:textId="4167CB11" w:rsidR="005F048D" w:rsidRPr="00511005" w:rsidRDefault="007B2628" w:rsidP="007B2628">
      <w:pPr>
        <w:spacing w:line="264" w:lineRule="auto"/>
        <w:ind w:firstLine="72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0FFBF752" w14:textId="77777777" w:rsidR="005F048D" w:rsidRPr="00511005" w:rsidRDefault="005F048D" w:rsidP="003F6A5D">
      <w:pPr>
        <w:numPr>
          <w:ilvl w:val="0"/>
          <w:numId w:val="35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 виконавче провадження : Закон України від 02 червня 2016 р. № 1404-VIII / Верховна Рада України. URL: -</w:t>
      </w:r>
      <w:hyperlink r:id="rId1352">
        <w:r w:rsidRPr="00511005">
          <w:rPr>
            <w:rFonts w:ascii="Arial" w:eastAsia="Times New Roman" w:hAnsi="Arial" w:cs="Arial"/>
            <w:szCs w:val="28"/>
            <w:lang w:val="uk-UA" w:eastAsia="uk-UA"/>
          </w:rPr>
          <w:t>19"https://zakon.rada.gov.ua/laws/show/1404-19#Text</w:t>
        </w:r>
      </w:hyperlink>
      <w:r w:rsidRPr="00511005">
        <w:rPr>
          <w:rFonts w:ascii="Arial" w:eastAsia="Times New Roman" w:hAnsi="Arial" w:cs="Arial"/>
          <w:szCs w:val="28"/>
          <w:lang w:val="uk-UA" w:eastAsia="uk-UA"/>
        </w:rPr>
        <w:t>.</w:t>
      </w:r>
    </w:p>
    <w:p w14:paraId="504BC779" w14:textId="77777777" w:rsidR="005F048D" w:rsidRPr="00511005" w:rsidRDefault="005F048D" w:rsidP="003F6A5D">
      <w:pPr>
        <w:numPr>
          <w:ilvl w:val="0"/>
          <w:numId w:val="35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органи та осіб, які здійснюють примусове виконання судових рішень і рішень інших органів : Закон України від 02 червня 2016 р. № 1403-VIII / Верховна Рада України. URL: </w:t>
      </w:r>
      <w:hyperlink r:id="rId1353">
        <w:r w:rsidRPr="00511005">
          <w:rPr>
            <w:rFonts w:ascii="Arial" w:eastAsia="Times New Roman" w:hAnsi="Arial" w:cs="Arial"/>
            <w:szCs w:val="28"/>
            <w:lang w:val="uk-UA" w:eastAsia="uk-UA"/>
          </w:rPr>
          <w:t>https://zakon.rada</w:t>
        </w:r>
      </w:hyperlink>
      <w:r w:rsidRPr="00511005">
        <w:rPr>
          <w:rFonts w:ascii="Arial" w:eastAsia="Times New Roman" w:hAnsi="Arial" w:cs="Arial"/>
          <w:szCs w:val="28"/>
          <w:lang w:val="uk-UA" w:eastAsia="uk-UA"/>
        </w:rPr>
        <w:t xml:space="preserve">. gov.ua/laws/show/1403-19#Text. </w:t>
      </w:r>
    </w:p>
    <w:p w14:paraId="06306020" w14:textId="77777777" w:rsidR="005F048D" w:rsidRPr="00511005" w:rsidRDefault="005F048D" w:rsidP="003F6A5D">
      <w:pPr>
        <w:numPr>
          <w:ilvl w:val="0"/>
          <w:numId w:val="35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Сіверін Д.В. Зарубіжний досвід діяльності органів, що здійснюють повноваження, пов’язані із виконанням судових рішень, та його адаптації до вітчизняної правової системи. Європейські перспективи. 2014. № 3.С. 81–87</w:t>
      </w:r>
    </w:p>
    <w:p w14:paraId="08E46613" w14:textId="77777777" w:rsidR="005F048D" w:rsidRPr="00511005" w:rsidRDefault="005F048D" w:rsidP="003F6A5D">
      <w:pPr>
        <w:numPr>
          <w:ilvl w:val="0"/>
          <w:numId w:val="35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Макушев П.В. Міжнародний досвід правового регулювання діяльності працівників державних органів у виконавчому провадженні. Альманах міжнародного права. 2014. № 6. С. 33–40.</w:t>
      </w:r>
    </w:p>
    <w:p w14:paraId="3D2C8E17" w14:textId="77777777" w:rsidR="005F048D" w:rsidRPr="00511005" w:rsidRDefault="005F048D" w:rsidP="003A292D">
      <w:pPr>
        <w:spacing w:line="264" w:lineRule="auto"/>
        <w:ind w:left="851" w:firstLine="0"/>
        <w:rPr>
          <w:rFonts w:ascii="Arial" w:eastAsia="Times New Roman" w:hAnsi="Arial" w:cs="Arial"/>
          <w:szCs w:val="28"/>
          <w:lang w:val="uk-UA" w:eastAsia="uk-UA"/>
        </w:rPr>
      </w:pPr>
    </w:p>
    <w:p w14:paraId="7153E21E" w14:textId="51763476" w:rsidR="005F048D" w:rsidRPr="00511005" w:rsidRDefault="007B2628" w:rsidP="003A292D">
      <w:pPr>
        <w:spacing w:line="264" w:lineRule="auto"/>
        <w:ind w:left="237" w:firstLine="472"/>
        <w:rPr>
          <w:rFonts w:ascii="Arial" w:eastAsia="Times New Roman" w:hAnsi="Arial" w:cs="Arial"/>
          <w:szCs w:val="28"/>
          <w:lang w:val="uk-UA" w:eastAsia="uk-UA"/>
        </w:rPr>
      </w:pPr>
      <w:r w:rsidRPr="00511005">
        <w:rPr>
          <w:rFonts w:ascii="Arial" w:eastAsia="Times New Roman" w:hAnsi="Arial" w:cs="Arial"/>
          <w:b/>
          <w:i/>
          <w:szCs w:val="28"/>
          <w:lang w:val="uk-UA" w:eastAsia="uk-UA"/>
        </w:rPr>
        <w:lastRenderedPageBreak/>
        <w:t xml:space="preserve">Ключові слова: </w:t>
      </w:r>
      <w:r w:rsidR="005F048D" w:rsidRPr="00511005">
        <w:rPr>
          <w:rFonts w:ascii="Arial" w:eastAsia="Times New Roman" w:hAnsi="Arial" w:cs="Arial"/>
          <w:szCs w:val="28"/>
          <w:lang w:val="uk-UA" w:eastAsia="uk-UA"/>
        </w:rPr>
        <w:t>міжнародний досвід, судові рішення,професійна відповідальність, мотивація виконавців, реформи,самозайняті виконавці</w:t>
      </w:r>
    </w:p>
    <w:p w14:paraId="3A1689F7" w14:textId="4EA3E66E" w:rsidR="005F048D" w:rsidRPr="00511005" w:rsidRDefault="007B2628" w:rsidP="003A292D">
      <w:pPr>
        <w:spacing w:line="264" w:lineRule="auto"/>
        <w:ind w:left="473" w:firstLine="236"/>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international experience, court decisions , professional responsibility, enforcement officers’ motivation, reforms,self-employed bailiffs</w:t>
      </w:r>
    </w:p>
    <w:p w14:paraId="0DB7A652" w14:textId="77777777" w:rsidR="005F048D" w:rsidRPr="00511005" w:rsidRDefault="005F048D" w:rsidP="003A292D">
      <w:pPr>
        <w:spacing w:line="264" w:lineRule="auto"/>
        <w:ind w:left="473" w:firstLine="236"/>
        <w:rPr>
          <w:rFonts w:ascii="Arial" w:eastAsia="Times New Roman" w:hAnsi="Arial" w:cs="Arial"/>
          <w:szCs w:val="28"/>
          <w:lang w:val="uk-UA" w:eastAsia="uk-UA"/>
        </w:rPr>
      </w:pPr>
    </w:p>
    <w:p w14:paraId="5974463E" w14:textId="3276EC83" w:rsidR="005F048D" w:rsidRPr="00511005" w:rsidRDefault="007B2628" w:rsidP="003A292D">
      <w:pPr>
        <w:spacing w:line="264" w:lineRule="auto"/>
        <w:ind w:left="709"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д.ю.н., професор Притуляк В.М</w:t>
      </w:r>
    </w:p>
    <w:p w14:paraId="5CB7AA0A" w14:textId="77777777" w:rsidR="005F048D" w:rsidRPr="00511005" w:rsidRDefault="005F048D" w:rsidP="003A292D">
      <w:pPr>
        <w:spacing w:line="264" w:lineRule="auto"/>
        <w:ind w:left="709" w:firstLine="0"/>
        <w:rPr>
          <w:rFonts w:ascii="Arial" w:eastAsia="Times New Roman" w:hAnsi="Arial" w:cs="Arial"/>
          <w:i/>
          <w:szCs w:val="28"/>
          <w:lang w:val="uk-UA" w:eastAsia="uk-UA"/>
        </w:rPr>
      </w:pPr>
    </w:p>
    <w:p w14:paraId="0D032298"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4C52D658"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Белік Тетяна Олександрівна</w:t>
      </w:r>
    </w:p>
    <w:p w14:paraId="20F5BF7E" w14:textId="208A089D" w:rsidR="005F048D" w:rsidRPr="00511005" w:rsidRDefault="00536AAB" w:rsidP="003A292D">
      <w:pPr>
        <w:spacing w:line="264" w:lineRule="auto"/>
        <w:ind w:left="1140" w:right="839"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1-го курсу магістратури</w:t>
      </w:r>
      <w:r w:rsidR="005F048D" w:rsidRPr="00511005">
        <w:rPr>
          <w:rFonts w:ascii="Arial" w:eastAsia="Times New Roman" w:hAnsi="Arial" w:cs="Arial"/>
          <w:szCs w:val="28"/>
          <w:lang w:val="uk-UA" w:eastAsia="uk-UA"/>
        </w:rPr>
        <w:t xml:space="preserve"> </w:t>
      </w:r>
    </w:p>
    <w:p w14:paraId="0EC0103B" w14:textId="77777777" w:rsidR="005F048D" w:rsidRPr="00511005" w:rsidRDefault="005F048D" w:rsidP="003A292D">
      <w:pPr>
        <w:spacing w:line="264" w:lineRule="auto"/>
        <w:ind w:left="1140" w:right="839"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цивільної та господарської юстиції</w:t>
      </w:r>
    </w:p>
    <w:p w14:paraId="793B5789" w14:textId="356511E7" w:rsidR="005F048D" w:rsidRPr="00511005" w:rsidRDefault="007B2628" w:rsidP="003A292D">
      <w:pPr>
        <w:spacing w:line="264" w:lineRule="auto"/>
        <w:ind w:left="1140" w:right="839"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749A1422" w14:textId="77777777" w:rsidR="005F048D" w:rsidRPr="00511005" w:rsidRDefault="005F048D" w:rsidP="003A292D">
      <w:pPr>
        <w:spacing w:line="264" w:lineRule="auto"/>
        <w:ind w:left="1140" w:right="839" w:firstLine="0"/>
        <w:jc w:val="center"/>
        <w:rPr>
          <w:rFonts w:ascii="Arial" w:eastAsia="Times New Roman" w:hAnsi="Arial" w:cs="Arial"/>
          <w:szCs w:val="28"/>
          <w:lang w:val="uk-UA" w:eastAsia="uk-UA"/>
        </w:rPr>
      </w:pPr>
    </w:p>
    <w:p w14:paraId="560355CF"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ВИКОРИСТАННЯ МЕДІАЦІЇ В ЦИВІЛЬНОМУ ПРОЦЕСІ: ПОТЕНЦІАЛ ДЛЯ РОЗВАНТАЖЕННЯ СУДОВОЇ СИСТЕМИ</w:t>
      </w:r>
    </w:p>
    <w:p w14:paraId="58FFD0F9"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6900B41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 умовах перевантаження судової системи України актуальним є пошук альтернативних механізмів вирішення конфліктів. Одним із таких інструментів є медіація — добровільна, конфіденційна процедура за участю нейтрального посередника, яка ґрунтується на співпраці сторін для досягнення компромісу. Вона визнає конфлікт не лише як негативне явище, а як природний елемент соціального розвитку.</w:t>
      </w:r>
    </w:p>
    <w:p w14:paraId="5B09320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Будучи альтернативою судовій процедурі та іншим силовим методам розгляду, медіація має цілий ряд переваг, головною з яких є те, що вирішення спору досягається шляхом прийняття сторонами рішення на добровільний і рівноправній основі, що однаково влаштовує всі зацікавлені сторони так, щоб інтереси всіх учасників спору могли б бути задоволені. Посередництво може також виступати як своєрідний спосіб оптимізації виконання договору [4, с. 33].</w:t>
      </w:r>
    </w:p>
    <w:p w14:paraId="0AD099A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Медіація у сучасному вигляді почала активно розвиватися в другій половині XX століття, зокрема в англосаксонських країнах. В Україні перші спроби її застосування відбулися наприкінці 1990-х років за підтримки міжнародних партнерів. Уже у 1997 році в Одесі було вперше застосовано медіацію у цивільному процесі у співпраці з державними органами. Одним із найважливіших проєктів стала ініціатива, фінансована USAID у 1997–1999 роках, в рамках якої по всій території України було створено місцеві центри медіації, а також проведено навчання перших медіаторів [5].</w:t>
      </w:r>
    </w:p>
    <w:p w14:paraId="7FA23E4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Інститут медіації отримав офіційне правове визнання в Україні з прийняттям Закону України «Про медіацію» 16 листопада 2021 року. Згідно з п. 4 ч. 1 ст. 1 цього Закону, медіація — це позасудова, добровільна, конфіденційна, структурована процедура, в межах якої сторони за </w:t>
      </w:r>
      <w:r w:rsidRPr="00511005">
        <w:rPr>
          <w:rFonts w:ascii="Arial" w:eastAsia="Times New Roman" w:hAnsi="Arial" w:cs="Arial"/>
          <w:szCs w:val="28"/>
          <w:lang w:val="uk-UA" w:eastAsia="uk-UA"/>
        </w:rPr>
        <w:lastRenderedPageBreak/>
        <w:t>допомогою медіатора (медіаторів) намагаються запобігти або врегулювати конфлікт шляхом переговорів [2].</w:t>
      </w:r>
    </w:p>
    <w:p w14:paraId="0E3B271F"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Закон складається з чотирьох основних розділів: загальні положення; статус медіатора; проведення медіації; прикінцеві та перехідні положення. Перший розділ визначає терміни та принципи процедури: добровільність, нейтральність, самовизначення сторін, конфіденційність, рівність прав. У другому розділі прописано вимоги до медіатора: вища освіта, спеціалізоване навчання, відсутність судимості. Третій розділ окреслює порядок укладення договору про медіацію, зміст медіаційної угоди, а також застосування процедури під час судового чи третейського провадження. Останній розділ регламентує внесення змін до Цивільного процесуального кодексу України, зокрема до ч. 7 ст. 49, яка передбачає можливість примирення сторін шляхом медіації на будь-якій стадії цивільного процесу [1].</w:t>
      </w:r>
    </w:p>
    <w:p w14:paraId="0E588C2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Однак, попри загальне нормативне закріплення, діючий ЦПК України не містить чіткого алгоритму реалізації медіації. Згадки про неї є в ст. 49, 130, 201–205 ЦПК, однак без конкретної процедури або стандартів реалізації.</w:t>
      </w:r>
    </w:p>
    <w:p w14:paraId="7604ACD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Медіація має значні переваги в цивільному процесі, зокрема у вирішенні чутливих спорів: сімейних, спадкових, трудових. Вона дозволяє зберегти відносини між сторонами, зменшити емоційне навантаження та забезпечити ефективний діалог. Наприклад, при розлученні, визначенні порядку виховання дітей або поділі майна сторони часто прагнуть уникнути публічного розгляду справи у суді. Саме тому в таких справах медіація має практичну перевагу [3].</w:t>
      </w:r>
    </w:p>
    <w:p w14:paraId="2C67D90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На відміну від врегулювання спору за участю судді (статті 201–205 ЦПК), яке обмежене 30-денним терміном і можливе лише на підготовчій стадії справи, медіація може відбуватися на будь-якому етапі за згодою сторін, без прив’язки до судового календаря. Її результатом є добровільна угода, яку сторони схильні виконувати значно охочіше, ніж рішення суду, оскільки це рішення досягається самостійно [6].</w:t>
      </w:r>
    </w:p>
    <w:p w14:paraId="26FD8D14"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Серед переваг медіації варто відзначити гнучкість і неформальність процедури. Сторони можуть обрати медіатора, місце та час проведення сесій, що робить процес комфортнішим. Крім того, процес позбавлений корупційних ризиків, оскільки відсутня третя сторона, яка приймає рішення. Угода досягається шляхом співпраці, а не змагання [5].</w:t>
      </w:r>
    </w:p>
    <w:p w14:paraId="681A003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Незважаючи на очевидні переваги, розвиток інституту медіації в Україні стримується рядом чинників. Серед основних: недостатня правова регламентація в ЦПК, відсутність сталої судової практики, низький рівень обізнаності населення, необов’язковість досудової медіації, недовіра до примирення як способу вирішення конфліктів. Також актуальною є проблема </w:t>
      </w:r>
      <w:r w:rsidRPr="00511005">
        <w:rPr>
          <w:rFonts w:ascii="Arial" w:eastAsia="Times New Roman" w:hAnsi="Arial" w:cs="Arial"/>
          <w:szCs w:val="28"/>
          <w:lang w:val="uk-UA" w:eastAsia="uk-UA"/>
        </w:rPr>
        <w:lastRenderedPageBreak/>
        <w:t>відсутності інфраструктури у судах — приміщень, підготовлених медіаторів, а також фінансування таких процедур.</w:t>
      </w:r>
    </w:p>
    <w:p w14:paraId="48866664"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Інтеграція медіації у цивільне судочинство передбачає зміну правової культури, активну участь держави у просуванні цієї процедури та чітке врегулювання на рівні процесуального закону. Позитивний приклад можна взяти з європейських країн — таких як Австрія, де медіацію проводять виключно професійні медіатори, акредитовані державою, або Італія, де медіація є обов’язковою передумовою звернення до суду у певних категоріях справ.</w:t>
      </w:r>
    </w:p>
    <w:p w14:paraId="6712D734"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медіація є перспективним і сучасним інструментом для реформування цивільного процесу в Україні. Її розвиток сприятиме розвантаженню судів, скороченню витрат і підвищенню довіри до правосуддя. В умовах євроінтеграції наша держава має всі передумови для того, щоб посісти гідне місце серед країн, де альтернативне вирішення спорів є нормою правової культури.</w:t>
      </w:r>
    </w:p>
    <w:p w14:paraId="58D6CDAA" w14:textId="77777777" w:rsidR="005F048D" w:rsidRPr="00511005" w:rsidRDefault="005F048D" w:rsidP="003A292D">
      <w:pPr>
        <w:spacing w:line="264" w:lineRule="auto"/>
        <w:ind w:firstLine="720"/>
        <w:jc w:val="center"/>
        <w:rPr>
          <w:rFonts w:ascii="Arial" w:eastAsia="Times New Roman" w:hAnsi="Arial" w:cs="Arial"/>
          <w:b/>
          <w:szCs w:val="28"/>
          <w:lang w:val="uk-UA" w:eastAsia="uk-UA"/>
        </w:rPr>
      </w:pPr>
    </w:p>
    <w:p w14:paraId="439CE28D" w14:textId="2812E88B" w:rsidR="005F048D" w:rsidRPr="00511005" w:rsidRDefault="007B2628" w:rsidP="007B2628">
      <w:pPr>
        <w:spacing w:line="264" w:lineRule="auto"/>
        <w:ind w:left="1080"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74AC155C" w14:textId="77777777" w:rsidR="005F048D" w:rsidRPr="00511005" w:rsidRDefault="005F048D" w:rsidP="003F6A5D">
      <w:pPr>
        <w:numPr>
          <w:ilvl w:val="0"/>
          <w:numId w:val="373"/>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 Кодекс від 18.03.2004, № 1618-IV. URL: -</w:t>
      </w:r>
      <w:hyperlink r:id="rId1354">
        <w:r w:rsidRPr="00511005">
          <w:rPr>
            <w:rFonts w:ascii="Arial" w:eastAsia="Times New Roman" w:hAnsi="Arial" w:cs="Arial"/>
            <w:szCs w:val="28"/>
            <w:lang w:val="uk-UA" w:eastAsia="uk-UA"/>
          </w:rPr>
          <w:t>15"httpsHYPERLINK "https://zakon.rada.gov.ua/laws/show/1618-15"://HYPERLINK 618-</w:t>
        </w:r>
      </w:hyperlink>
      <w:r w:rsidRPr="00511005">
        <w:rPr>
          <w:rFonts w:ascii="Arial" w:eastAsia="Times New Roman" w:hAnsi="Arial" w:cs="Arial"/>
          <w:szCs w:val="28"/>
          <w:lang w:val="uk-UA" w:eastAsia="uk-UA"/>
        </w:rPr>
        <w:t xml:space="preserve">Про медіацію : Закон Україн ивід 16.11.2021, № 1875-IX. URL: </w:t>
      </w:r>
      <w:hyperlink r:id="rId1355" w:anchor="Text">
        <w:r w:rsidRPr="00511005">
          <w:rPr>
            <w:rFonts w:ascii="Arial" w:eastAsia="Times New Roman" w:hAnsi="Arial" w:cs="Arial"/>
            <w:szCs w:val="28"/>
            <w:lang w:val="uk-UA" w:eastAsia="uk-UA"/>
          </w:rPr>
          <w:t>https://zakon.rada.gov.ua/laws/show/1875-20#Text</w:t>
        </w:r>
      </w:hyperlink>
      <w:r w:rsidRPr="00511005">
        <w:rPr>
          <w:rFonts w:ascii="Arial" w:eastAsia="Times New Roman" w:hAnsi="Arial" w:cs="Arial"/>
          <w:szCs w:val="28"/>
          <w:lang w:val="uk-UA" w:eastAsia="uk-UA"/>
        </w:rPr>
        <w:t>.</w:t>
      </w:r>
    </w:p>
    <w:p w14:paraId="08BC57F9" w14:textId="7416DC39" w:rsidR="005F048D" w:rsidRPr="00511005" w:rsidRDefault="005F048D" w:rsidP="003F6A5D">
      <w:pPr>
        <w:numPr>
          <w:ilvl w:val="0"/>
          <w:numId w:val="373"/>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Бондаренко-Зелінська Н.Л.</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Впровадження медіації у судовий процес як складова наближення законодавства України до європейських стандартів. </w:t>
      </w:r>
      <w:r w:rsidRPr="00511005">
        <w:rPr>
          <w:rFonts w:ascii="Arial" w:eastAsia="Times New Roman" w:hAnsi="Arial" w:cs="Arial"/>
          <w:i/>
          <w:szCs w:val="28"/>
          <w:lang w:val="uk-UA" w:eastAsia="uk-UA"/>
        </w:rPr>
        <w:t>Приватне право і підприємництво</w:t>
      </w:r>
      <w:r w:rsidRPr="00511005">
        <w:rPr>
          <w:rFonts w:ascii="Arial" w:eastAsia="Times New Roman" w:hAnsi="Arial" w:cs="Arial"/>
          <w:szCs w:val="28"/>
          <w:lang w:val="uk-UA" w:eastAsia="uk-UA"/>
        </w:rPr>
        <w:t>. 2011. С. 181–185.</w:t>
      </w:r>
    </w:p>
    <w:p w14:paraId="3C878E26" w14:textId="77777777" w:rsidR="005F048D" w:rsidRPr="00511005" w:rsidRDefault="005F048D" w:rsidP="003F6A5D">
      <w:pPr>
        <w:numPr>
          <w:ilvl w:val="0"/>
          <w:numId w:val="373"/>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Іліопол І. М. Альтернативні форми захисту прав, свобод і законних інтересів / І. М. Іліопол // Альтернативні способи вирішення цивільних спорів : матеріали круглого столу (Одеса, 29 березня 2021 р.) / за заг. ред. д.ю.н., професора Н. Ю. Голубєвої ; НУ «Одеська юридична академія». Одеса : Фенікс, 2021. С. 29-34. URL: </w:t>
      </w:r>
      <w:hyperlink r:id="rId1356">
        <w:r w:rsidRPr="00511005">
          <w:rPr>
            <w:rFonts w:ascii="Arial" w:eastAsia="Times New Roman" w:hAnsi="Arial" w:cs="Arial"/>
            <w:szCs w:val="28"/>
            <w:lang w:val="uk-UA" w:eastAsia="uk-UA"/>
          </w:rPr>
          <w:t>https://dspace.onua.edu.ua/server/api/core/bitstreams/43ff3382-cfae-4227-bf0f-c6c20cc74bc0/content</w:t>
        </w:r>
      </w:hyperlink>
      <w:r w:rsidRPr="00511005">
        <w:rPr>
          <w:rFonts w:ascii="Arial" w:eastAsia="Times New Roman" w:hAnsi="Arial" w:cs="Arial"/>
          <w:szCs w:val="28"/>
          <w:lang w:val="uk-UA" w:eastAsia="uk-UA"/>
        </w:rPr>
        <w:t xml:space="preserve"> </w:t>
      </w:r>
    </w:p>
    <w:p w14:paraId="37652577" w14:textId="77777777" w:rsidR="005F048D" w:rsidRPr="00511005" w:rsidRDefault="005F048D" w:rsidP="003F6A5D">
      <w:pPr>
        <w:numPr>
          <w:ilvl w:val="0"/>
          <w:numId w:val="373"/>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Нурищенко Р. С. Розвиток альтернативного вирішення спорів за часів незалежності України. </w:t>
      </w:r>
      <w:r w:rsidRPr="00511005">
        <w:rPr>
          <w:rFonts w:ascii="Arial" w:eastAsia="Times New Roman" w:hAnsi="Arial" w:cs="Arial"/>
          <w:i/>
          <w:szCs w:val="28"/>
          <w:lang w:val="uk-UA" w:eastAsia="uk-UA"/>
        </w:rPr>
        <w:t>Київський часопис права</w:t>
      </w:r>
      <w:r w:rsidRPr="00511005">
        <w:rPr>
          <w:rFonts w:ascii="Arial" w:eastAsia="Times New Roman" w:hAnsi="Arial" w:cs="Arial"/>
          <w:szCs w:val="28"/>
          <w:lang w:val="uk-UA" w:eastAsia="uk-UA"/>
        </w:rPr>
        <w:t>. 2024. С. 17–21.</w:t>
      </w:r>
    </w:p>
    <w:p w14:paraId="3E5B2205" w14:textId="77777777" w:rsidR="005F048D" w:rsidRPr="00511005" w:rsidRDefault="005F048D" w:rsidP="003F6A5D">
      <w:pPr>
        <w:numPr>
          <w:ilvl w:val="0"/>
          <w:numId w:val="373"/>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Сулейманова Р. С. Врегулювання спору за участю судді та медіація: порівняльно-правова характеристика. </w:t>
      </w:r>
      <w:r w:rsidRPr="00511005">
        <w:rPr>
          <w:rFonts w:ascii="Arial" w:eastAsia="Times New Roman" w:hAnsi="Arial" w:cs="Arial"/>
          <w:i/>
          <w:szCs w:val="28"/>
          <w:lang w:val="uk-UA" w:eastAsia="uk-UA"/>
        </w:rPr>
        <w:t>Цивільне судочинство у світлі судової реформи в Україні: матеріали Всеукраїнської науково-практичної інтернет-конференції ім. Ю. С. Червоного / за загальною редакцією д.ю.н., професора Н. Ю. Голубєвої. Одеса: Фенікс.</w:t>
      </w:r>
      <w:r w:rsidRPr="00511005">
        <w:rPr>
          <w:rFonts w:ascii="Arial" w:eastAsia="Times New Roman" w:hAnsi="Arial" w:cs="Arial"/>
          <w:szCs w:val="28"/>
          <w:lang w:val="uk-UA" w:eastAsia="uk-UA"/>
        </w:rPr>
        <w:t>. 2019.</w:t>
      </w:r>
    </w:p>
    <w:p w14:paraId="4934E0D9" w14:textId="77777777" w:rsidR="005F048D" w:rsidRPr="00511005" w:rsidRDefault="005F048D" w:rsidP="003A292D">
      <w:pPr>
        <w:spacing w:line="264" w:lineRule="auto"/>
        <w:ind w:left="851" w:firstLine="0"/>
        <w:rPr>
          <w:rFonts w:ascii="Arial" w:eastAsia="Times New Roman" w:hAnsi="Arial" w:cs="Arial"/>
          <w:szCs w:val="28"/>
          <w:lang w:val="uk-UA" w:eastAsia="uk-UA"/>
        </w:rPr>
      </w:pPr>
    </w:p>
    <w:p w14:paraId="0CA2C62B" w14:textId="1B7DB41E" w:rsidR="005F048D" w:rsidRPr="00511005" w:rsidRDefault="005F048D" w:rsidP="003A292D">
      <w:pPr>
        <w:spacing w:line="264" w:lineRule="auto"/>
        <w:rPr>
          <w:rFonts w:ascii="Arial" w:eastAsia="Times New Roman" w:hAnsi="Arial" w:cs="Arial"/>
          <w:szCs w:val="28"/>
          <w:lang w:val="uk-UA" w:eastAsia="uk-UA"/>
        </w:rPr>
      </w:pPr>
      <w:r w:rsidRPr="00A52506">
        <w:rPr>
          <w:rFonts w:ascii="Arial" w:eastAsia="Times New Roman" w:hAnsi="Arial" w:cs="Arial"/>
          <w:b/>
          <w:i/>
          <w:iCs/>
          <w:szCs w:val="28"/>
          <w:lang w:val="uk-UA" w:eastAsia="uk-UA"/>
        </w:rPr>
        <w:lastRenderedPageBreak/>
        <w:t>Ключові слова:</w:t>
      </w:r>
      <w:r w:rsidR="00A52506">
        <w:rPr>
          <w:rFonts w:ascii="Arial" w:eastAsia="Times New Roman" w:hAnsi="Arial" w:cs="Arial"/>
          <w:b/>
          <w:i/>
          <w:iCs/>
          <w:szCs w:val="28"/>
          <w:lang w:val="uk-UA" w:eastAsia="uk-UA"/>
        </w:rPr>
        <w:t xml:space="preserve"> </w:t>
      </w:r>
      <w:r w:rsidRPr="00511005">
        <w:rPr>
          <w:rFonts w:ascii="Arial" w:eastAsia="Times New Roman" w:hAnsi="Arial" w:cs="Arial"/>
          <w:szCs w:val="28"/>
          <w:lang w:val="uk-UA" w:eastAsia="uk-UA"/>
        </w:rPr>
        <w:t>медіація, цивільний процес, альтернативне вирішення спорів, примирення сторін, судова система, приватно-правові відносини, розвантаження судової системи.</w:t>
      </w:r>
    </w:p>
    <w:p w14:paraId="5B991139" w14:textId="1050ECD2"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mediation</w:t>
      </w:r>
      <w:r w:rsidR="005F048D" w:rsidRPr="00511005">
        <w:rPr>
          <w:rFonts w:ascii="Arial" w:eastAsia="Times New Roman" w:hAnsi="Arial" w:cs="Arial"/>
          <w:b/>
          <w:szCs w:val="28"/>
          <w:lang w:val="uk-UA" w:eastAsia="uk-UA"/>
        </w:rPr>
        <w:t xml:space="preserve">, </w:t>
      </w:r>
      <w:r w:rsidR="005F048D" w:rsidRPr="00511005">
        <w:rPr>
          <w:rFonts w:ascii="Arial" w:eastAsia="Times New Roman" w:hAnsi="Arial" w:cs="Arial"/>
          <w:szCs w:val="28"/>
          <w:lang w:val="uk-UA" w:eastAsia="uk-UA"/>
        </w:rPr>
        <w:t>civil procedure</w:t>
      </w:r>
      <w:r w:rsidR="005F048D" w:rsidRPr="00511005">
        <w:rPr>
          <w:rFonts w:ascii="Arial" w:eastAsia="Times New Roman" w:hAnsi="Arial" w:cs="Arial"/>
          <w:b/>
          <w:szCs w:val="28"/>
          <w:lang w:val="uk-UA" w:eastAsia="uk-UA"/>
        </w:rPr>
        <w:t xml:space="preserve">, </w:t>
      </w:r>
      <w:r w:rsidR="005F048D" w:rsidRPr="00511005">
        <w:rPr>
          <w:rFonts w:ascii="Arial" w:eastAsia="Times New Roman" w:hAnsi="Arial" w:cs="Arial"/>
          <w:szCs w:val="28"/>
          <w:lang w:val="uk-UA" w:eastAsia="uk-UA"/>
        </w:rPr>
        <w:t>alternative dispute resolution</w:t>
      </w:r>
      <w:r w:rsidR="005F048D" w:rsidRPr="00511005">
        <w:rPr>
          <w:rFonts w:ascii="Arial" w:eastAsia="Times New Roman" w:hAnsi="Arial" w:cs="Arial"/>
          <w:b/>
          <w:szCs w:val="28"/>
          <w:lang w:val="uk-UA" w:eastAsia="uk-UA"/>
        </w:rPr>
        <w:t xml:space="preserve">, </w:t>
      </w:r>
      <w:r w:rsidR="005F048D" w:rsidRPr="00511005">
        <w:rPr>
          <w:rFonts w:ascii="Arial" w:eastAsia="Times New Roman" w:hAnsi="Arial" w:cs="Arial"/>
          <w:szCs w:val="28"/>
          <w:lang w:val="uk-UA" w:eastAsia="uk-UA"/>
        </w:rPr>
        <w:t>settlement of disputes</w:t>
      </w:r>
      <w:r w:rsidR="005F048D" w:rsidRPr="00511005">
        <w:rPr>
          <w:rFonts w:ascii="Arial" w:eastAsia="Times New Roman" w:hAnsi="Arial" w:cs="Arial"/>
          <w:b/>
          <w:szCs w:val="28"/>
          <w:lang w:val="uk-UA" w:eastAsia="uk-UA"/>
        </w:rPr>
        <w:t xml:space="preserve">, </w:t>
      </w:r>
      <w:r w:rsidR="005F048D" w:rsidRPr="00511005">
        <w:rPr>
          <w:rFonts w:ascii="Arial" w:eastAsia="Times New Roman" w:hAnsi="Arial" w:cs="Arial"/>
          <w:szCs w:val="28"/>
          <w:lang w:val="uk-UA" w:eastAsia="uk-UA"/>
        </w:rPr>
        <w:t>judicial system</w:t>
      </w:r>
      <w:r w:rsidR="005F048D" w:rsidRPr="00511005">
        <w:rPr>
          <w:rFonts w:ascii="Arial" w:eastAsia="Times New Roman" w:hAnsi="Arial" w:cs="Arial"/>
          <w:b/>
          <w:szCs w:val="28"/>
          <w:lang w:val="uk-UA" w:eastAsia="uk-UA"/>
        </w:rPr>
        <w:t xml:space="preserve">, </w:t>
      </w:r>
      <w:r w:rsidR="005F048D" w:rsidRPr="00511005">
        <w:rPr>
          <w:rFonts w:ascii="Arial" w:eastAsia="Times New Roman" w:hAnsi="Arial" w:cs="Arial"/>
          <w:szCs w:val="28"/>
          <w:lang w:val="uk-UA" w:eastAsia="uk-UA"/>
        </w:rPr>
        <w:t>private legal relations</w:t>
      </w:r>
      <w:r w:rsidR="005F048D" w:rsidRPr="00511005">
        <w:rPr>
          <w:rFonts w:ascii="Arial" w:eastAsia="Times New Roman" w:hAnsi="Arial" w:cs="Arial"/>
          <w:b/>
          <w:szCs w:val="28"/>
          <w:lang w:val="uk-UA" w:eastAsia="uk-UA"/>
        </w:rPr>
        <w:t xml:space="preserve">, </w:t>
      </w:r>
      <w:r w:rsidR="005F048D" w:rsidRPr="00511005">
        <w:rPr>
          <w:rFonts w:ascii="Arial" w:eastAsia="Times New Roman" w:hAnsi="Arial" w:cs="Arial"/>
          <w:szCs w:val="28"/>
          <w:lang w:val="uk-UA" w:eastAsia="uk-UA"/>
        </w:rPr>
        <w:t>relieving the judicial system.</w:t>
      </w:r>
    </w:p>
    <w:p w14:paraId="3BE4A93D" w14:textId="0E55275D" w:rsidR="005F048D" w:rsidRPr="00511005" w:rsidRDefault="005F048D" w:rsidP="003A292D">
      <w:pPr>
        <w:spacing w:line="264" w:lineRule="auto"/>
        <w:rPr>
          <w:rFonts w:ascii="Arial" w:eastAsia="Times New Roman" w:hAnsi="Arial" w:cs="Arial"/>
          <w:i/>
          <w:szCs w:val="28"/>
          <w:lang w:val="uk-UA" w:eastAsia="uk-UA"/>
        </w:rPr>
      </w:pPr>
      <w:r w:rsidRPr="00E747C8">
        <w:rPr>
          <w:rFonts w:ascii="Arial" w:eastAsia="Times New Roman" w:hAnsi="Arial" w:cs="Arial"/>
          <w:b/>
          <w:bCs/>
          <w:i/>
          <w:szCs w:val="28"/>
          <w:lang w:val="uk-UA" w:eastAsia="uk-UA"/>
        </w:rPr>
        <w:t>Науковий керівник</w:t>
      </w:r>
      <w:r w:rsidR="00E747C8" w:rsidRPr="00E747C8">
        <w:rPr>
          <w:rFonts w:ascii="Arial" w:eastAsia="Times New Roman" w:hAnsi="Arial" w:cs="Arial"/>
          <w:b/>
          <w:bCs/>
          <w:i/>
          <w:szCs w:val="28"/>
          <w:lang w:val="uk-UA" w:eastAsia="uk-UA"/>
        </w:rPr>
        <w:t>:</w:t>
      </w:r>
      <w:r w:rsidRPr="00511005">
        <w:rPr>
          <w:rFonts w:ascii="Arial" w:eastAsia="Times New Roman" w:hAnsi="Arial" w:cs="Arial"/>
          <w:i/>
          <w:szCs w:val="28"/>
          <w:lang w:val="uk-UA" w:eastAsia="uk-UA"/>
        </w:rPr>
        <w:t xml:space="preserve"> к.ю.н., доцент Іліопол І.М.</w:t>
      </w:r>
    </w:p>
    <w:p w14:paraId="4E3D4E05" w14:textId="77777777" w:rsidR="005F048D" w:rsidRPr="00511005" w:rsidRDefault="005F048D" w:rsidP="003A292D">
      <w:pPr>
        <w:spacing w:line="264" w:lineRule="auto"/>
        <w:ind w:left="709" w:firstLine="0"/>
        <w:rPr>
          <w:rFonts w:ascii="Arial" w:eastAsia="Times New Roman" w:hAnsi="Arial" w:cs="Arial"/>
          <w:i/>
          <w:szCs w:val="28"/>
          <w:lang w:val="uk-UA" w:eastAsia="uk-UA"/>
        </w:rPr>
      </w:pPr>
    </w:p>
    <w:p w14:paraId="561A767D" w14:textId="77777777" w:rsidR="005F048D" w:rsidRPr="00511005" w:rsidRDefault="005F048D" w:rsidP="003A292D">
      <w:pPr>
        <w:spacing w:line="264" w:lineRule="auto"/>
        <w:ind w:left="709" w:firstLine="0"/>
        <w:rPr>
          <w:rFonts w:ascii="Arial" w:eastAsia="Times New Roman" w:hAnsi="Arial" w:cs="Arial"/>
          <w:i/>
          <w:szCs w:val="28"/>
          <w:lang w:val="uk-UA" w:eastAsia="uk-UA"/>
        </w:rPr>
      </w:pPr>
    </w:p>
    <w:p w14:paraId="504071D3"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Берназ Вікторія Петрівна</w:t>
      </w:r>
    </w:p>
    <w:p w14:paraId="644D481A" w14:textId="4458EB52" w:rsidR="007B2628"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1-го курсу магістратури</w:t>
      </w:r>
    </w:p>
    <w:p w14:paraId="7B0B6E33" w14:textId="1A770D7E"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факультету цивільної та господарської юстиції </w:t>
      </w:r>
    </w:p>
    <w:p w14:paraId="008F8800" w14:textId="3C05A5AC"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1D612A04"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33958FE8"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ПОРІВНЯЛЬНА ХАРАКТЕРИСТИКА ІНСТИТУТУ СУДОВОГО ДОКАЗУВАННЯ У ЦИВІЛЬНОМУ ПРОЦЕСІ УКРАЇНИ ТА США</w:t>
      </w:r>
    </w:p>
    <w:p w14:paraId="25A61878" w14:textId="30E4CF1D"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Судове доказування є однією з ключових складових цивільного процесуального права, адже саме за його допомогою забезпечується реалізація засад змагальності, рівності сторін та об’єктивного встановлення істини у справі. Водночас національні правові системи по-різному підходять до побудови інституту доказування, зважаючи на особливості правової традиції, структуру судочинства та доктринальні підходи. Зокрема, порівняння української та американської моделей цивільного процесу дозволяє виявити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суттєві відмінності у процедурах збирання, подання та оцінки доказів, ролі суду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та сторін у цьому процесі, а також у принципах, що покладені в основу доказової діяльності.</w:t>
      </w:r>
    </w:p>
    <w:p w14:paraId="70058719"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Інститут судового доказування у цивільному процесуальному праві України та зарубіжжя досліджувала значна кількість науковців, серед яких Іліопол І.М., Голубєва Н.Ю., Андронов І.В., Волкова Н.В., Яніцька І.А., Кикоть А.В., Апалькова І.С., Руда Т.В. Кірєва Н.О. та інші. У світлі новітніх змін цивільне судочинство в Україні набуло більш вираженого змагального характеру: було переглянуто підходи до судового доказування та застосування доказових засобів. Водночас на практиці принцип змагальності ще не реалізовано в повній мірі. Це особливо помітно у сфері</w:t>
      </w:r>
    </w:p>
    <w:p w14:paraId="1F1CC7ED"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доказування, оскільки наразі відсутні повноцінні умови для активної процесуальної участі сторін. Крім того, недоліки чинного законодавства спричиняють помилки в судовому розгляді, що, у свою чергу, призводить до скасування рішень судами апеляційної чи касаційної інстанцій.</w:t>
      </w:r>
    </w:p>
    <w:p w14:paraId="2E2E984E"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Крім цього, положення Цивільного процесуального кодексу України (далі– ЦПК України), що стосуються регламентації процесу доказування, носять переважно загальний характер і не отримали належного тлумачення в судовій практиці. Разом із тим, ступінь розвиненості та ефективності </w:t>
      </w:r>
      <w:r w:rsidRPr="00511005">
        <w:rPr>
          <w:rFonts w:ascii="Arial" w:eastAsia="Times New Roman" w:hAnsi="Arial" w:cs="Arial"/>
          <w:szCs w:val="28"/>
          <w:lang w:val="uk-UA" w:eastAsia="uk-UA"/>
        </w:rPr>
        <w:lastRenderedPageBreak/>
        <w:t>правового регулювання доказування в межах цивільного судочинства є ключовим показником справедливості, демократичності правосуддя та його спроможності</w:t>
      </w:r>
    </w:p>
    <w:p w14:paraId="4C95AD92"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забезпечити реальний захист прав і свобод особи. У зв’язку з трансформацією судового процесу від розшукової моделі до змагальної, надзвичайно цінним для вдосконалення національної правової доктрини, нормотворчості й судової практики може стати досвід держав, у яких змагальний процес має багатовікову</w:t>
      </w:r>
    </w:p>
    <w:p w14:paraId="25308D96"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історію й добре структурований інститут доказування. Яскравим прикладом такої країни є Сполучені Штати Америки.</w:t>
      </w:r>
    </w:p>
    <w:p w14:paraId="52B47B46" w14:textId="3C8564F9"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Частиною 1 статті 81 ЦПК України передбачено, що кожна сторона повинна довести ті обставини, на які вона посилається як на підставу своїх вимог або заперечень, крім випадків, встановлених ЦПК України. Поняття доказування розглядається як складова цивільного процесуального права, а також як форма процесуальної діяльності. Цей інститут має міжгалузевий характер, оскільки функціонує в межах різних процесуальних галузей, водночас зберігаючи у кожній із них специфіку правового регулювання. Доказування є ключовим елементом цивільного судочинства. Судове доказування має подвійну природу, адже воно містить пізнавальну та процесуальну сторони, тобто процесуальні дії щодо доказування підпорядковуються нормам права та ґрунтуються на них. Хоча доказування становить собою їх нерозривну єдність, для повного та системного розуміння сутності доказування як форми пізнання в цивільному процесі доцільно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дослідити його дві сторони: пізнавальну (логічну) діяльність та процесуальну діяльність. [2, с. 235]</w:t>
      </w:r>
    </w:p>
    <w:p w14:paraId="70EA06B7"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Доказування охоплює кілька послідовних стадій. У правових системах України та США ці стадії мають подібний зміст: для належного вирішення справи докази потрібно зібрати, подати, дослідити й оцінити. У цих країнах доказування ґрунтується на схожих принципах: визначення тягаря доказування,перевірка належності, допустимості, достовірності та достатності доказів.</w:t>
      </w:r>
    </w:p>
    <w:p w14:paraId="5D1095F6"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Також спільними є основні види доказів – усні, письмові та речові. З іншого боку, кілька інститутів доказового права, що функціонують у США, не мають аналогів у українському судочинстві. Одним із таких механізмів є система виявлення доказів до початку судового процесу, завдяки якій кожна зі сторін вже на ранніх етапах знайома з позицією супротивної сторони. Це значно полегшує визначення того, які факти необхідно довести, також спрощує підготовку до судового засідання. Також цей підхід полегшує роботу судді, оскільки він має можливість більше зосередитись на регулюванні процесу, підтримці прав сторін і оцінці доказів. Водночас гарантія свободи сторін у наданні доказів, передбачена Конституцією України, на практиці іноді призводить до порушення принципів рівності учасників процесу та </w:t>
      </w:r>
      <w:r w:rsidRPr="00511005">
        <w:rPr>
          <w:rFonts w:ascii="Arial" w:eastAsia="Times New Roman" w:hAnsi="Arial" w:cs="Arial"/>
          <w:szCs w:val="28"/>
          <w:lang w:val="uk-UA" w:eastAsia="uk-UA"/>
        </w:rPr>
        <w:lastRenderedPageBreak/>
        <w:t>змагальності судового розгляду. Незважаючи на те, що відповідач має можливість ознайомитися з доводами позивача через текст позовної заяви, обов’язку подавати заперечення проти позову на нього не</w:t>
      </w:r>
    </w:p>
    <w:p w14:paraId="6055E564"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покладено. До того ж, українське законодавство не містить норм, які б змушували відповідача розкривати всі наявні у нього докази. Унаслідок цього виникають труднощі в забезпеченні права позивача на справедливий судовий розгляд, що може негативно вплинути на результати розгляду справи. Аналіз судової статистики Сполучених Штатів Америки свідчить, що переважна більшість цивільних справ не доходить до стадії повного судового розгляду, оскільки вони вирішуються ще на етапах підготовчих чи попередніх</w:t>
      </w:r>
    </w:p>
    <w:p w14:paraId="5A4E242A"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засідань. Водночас в Україні нещодавно запроваджено можливість</w:t>
      </w:r>
    </w:p>
    <w:p w14:paraId="02CE3C3F"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непроведення попереднього судового засідання. Такий підхід є обґрунтованим лише у межах окремого та наказного провадження, де рівень змагальності сторін законодавчо обмежений. Натомість у справах, що розглядаються за правилами позовного провадження, відмова від проведення попередніх засідань може негативно позначитися на перспективах мирного врегулювання спору до</w:t>
      </w:r>
    </w:p>
    <w:p w14:paraId="3CEA0053"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основного розгляду та звужувати обсяг процесуальних прав сторін у</w:t>
      </w:r>
    </w:p>
    <w:p w14:paraId="781B35E9"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змагальному процесі. Проведений порівняльний аналіз правового регулювання предмета доказування дав змогу виокремити категорії обставин, які не підлягають доведенню в обох правових системах. До таких обставин належать безспірні факти, преюдиційні обставини, а також факти, що визнаються судом загальновідомими. І матеріальне, і процесуальне законодавство України та</w:t>
      </w:r>
    </w:p>
    <w:p w14:paraId="46F0209C"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США містить положення щодо обставин, презюмованих як встановлені без можливості їх заперечення. Незважаючи на це, такі обставини помилково не були включені до переліку підстав звільнення від доказування у чинному Цивільному процесуальному кодексі України.</w:t>
      </w:r>
    </w:p>
    <w:p w14:paraId="051FC8FB"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У ЦПК України для позначення тягаря доказування використовується поняття «обов’язок доказування». Водночас сам тягар доказування не є класичним обов&amp;#39;язком у розумінні юридичної відповідальності за його невиконання. У межах судового процесу сторони наділені правом захищати свої інтереси, а рішення про надання доказів залишається на їхній розсуд.</w:t>
      </w:r>
    </w:p>
    <w:p w14:paraId="2F6E0386" w14:textId="77777777" w:rsidR="005F048D" w:rsidRPr="00511005" w:rsidRDefault="005F048D" w:rsidP="003A292D">
      <w:pPr>
        <w:tabs>
          <w:tab w:val="left" w:pos="8757"/>
          <w:tab w:val="left" w:pos="9230"/>
        </w:tabs>
        <w:spacing w:line="264" w:lineRule="auto"/>
        <w:ind w:right="-695" w:firstLine="851"/>
        <w:rPr>
          <w:rFonts w:ascii="Arial" w:eastAsia="Times New Roman" w:hAnsi="Arial" w:cs="Arial"/>
          <w:szCs w:val="28"/>
          <w:lang w:val="uk-UA" w:eastAsia="uk-UA"/>
        </w:rPr>
      </w:pPr>
      <w:r w:rsidRPr="00511005">
        <w:rPr>
          <w:rFonts w:ascii="Arial" w:eastAsia="Times New Roman" w:hAnsi="Arial" w:cs="Arial"/>
          <w:szCs w:val="28"/>
          <w:lang w:val="uk-UA" w:eastAsia="uk-UA"/>
        </w:rPr>
        <w:t>Відповідно, доказування слід розглядати насамперед як право сторони. Проте, якщо сторона прагне досягти позитивного для себе рішення, вона повинна надати належні докази, які переконають суд у правильності її позиції. Отже, право подання доказів тісно зпокладенням на сторону тягаря доказування.</w:t>
      </w:r>
    </w:p>
    <w:p w14:paraId="2A8A0A51"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Україні засоби доказування включають пояснення сторін, третіх осіб та їхніх представників, допитаних як свідків, показання свідків, письмові та речові докази, а також висновки експертів. У Сполучених Штатах засоби доказування поділяються на матеріальні (письмові та речові) і усні (показання сторін, свідків та експертів). У той же час, в Україні пояснення сторін і третіх </w:t>
      </w:r>
      <w:r w:rsidRPr="00511005">
        <w:rPr>
          <w:rFonts w:ascii="Arial" w:eastAsia="Times New Roman" w:hAnsi="Arial" w:cs="Arial"/>
          <w:szCs w:val="28"/>
          <w:lang w:val="uk-UA" w:eastAsia="uk-UA"/>
        </w:rPr>
        <w:lastRenderedPageBreak/>
        <w:t>осіб (зокрема їх представників) розглядаються як окремий засіб доказування, але лише за умови, що вони даються на їх згоду під час допиту як свідки. В американському цивільному процесі всі належні докази є допустимими, якщо інше не передбачено законом. Належний доказ може бути прийнятий до</w:t>
      </w:r>
    </w:p>
    <w:p w14:paraId="0CBA88B7" w14:textId="77777777" w:rsidR="005F048D" w:rsidRPr="00511005" w:rsidRDefault="005F048D" w:rsidP="003A292D">
      <w:pPr>
        <w:tabs>
          <w:tab w:val="left" w:pos="8283"/>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розгляду, якщо його дослідження в суді буде корисним для вирішення справи, а також за умови, що він отриманий законним шляхом.</w:t>
      </w:r>
    </w:p>
    <w:p w14:paraId="1AE24C2D" w14:textId="0619B68C" w:rsidR="005F048D" w:rsidRPr="00511005" w:rsidRDefault="005F048D" w:rsidP="00146592">
      <w:pPr>
        <w:tabs>
          <w:tab w:val="left" w:pos="8520"/>
        </w:tabs>
        <w:spacing w:line="264" w:lineRule="auto"/>
        <w:ind w:right="-222" w:firstLine="851"/>
        <w:rPr>
          <w:rFonts w:ascii="Arial" w:eastAsia="Times New Roman" w:hAnsi="Arial" w:cs="Arial"/>
          <w:szCs w:val="28"/>
          <w:lang w:val="uk-UA" w:eastAsia="uk-UA"/>
        </w:rPr>
      </w:pPr>
      <w:r w:rsidRPr="00511005">
        <w:rPr>
          <w:rFonts w:ascii="Arial" w:eastAsia="Times New Roman" w:hAnsi="Arial" w:cs="Arial"/>
          <w:szCs w:val="28"/>
          <w:lang w:val="uk-UA" w:eastAsia="uk-UA"/>
        </w:rPr>
        <w:t>Водночас ЦПК України не дає чіткої класифікації допустимих доказів, що створює певні труднощі в практиці. Закон лише зазначає, що суд не враховує докази, отримані з порушенням встановленого законом порядку, а також докази, що не є частиною визначених законом засобів доказування для підтвердження конкретних обставин. Однак у матеріальному праві існують норми, які не визначають засоби доказування, допустимі для підтвердження певної обставини, а лише вказують на ті, що не можна використовувати. Така неоднозначність часто призводить до того, що суди ухвалюють рішення,</w:t>
      </w:r>
      <w:r w:rsidR="00146592"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беручи до уваги недопустимі докази. Отже, порівняльний аналіз інституту судового доказування у цивільному процесі України та США свідчить про суттєві концептуальні відмінності між континентальною та англосаксонською правовими системами. Разом із тим, обидві системи визнають ключове значення доказування для забезпечення справедливого судового розгляду та реалізації права на судовий захист. Враховуючи тенденції гармонізації правових стандартів у сфері цивільного судочинства, доцільним є дослідження можливості запозичення окремих елементів американської моделі доказування. Таке порівняння сприяє не лише глибшому розумінню функціонування доказування в різних правових системах, але й формуванню ефективної, справедливої та доступної моделі цивільного процесу в Україні.</w:t>
      </w:r>
    </w:p>
    <w:p w14:paraId="76912AE4" w14:textId="77777777" w:rsidR="005F048D" w:rsidRPr="00511005" w:rsidRDefault="005F048D" w:rsidP="003A292D">
      <w:pPr>
        <w:tabs>
          <w:tab w:val="left" w:pos="8283"/>
        </w:tabs>
        <w:spacing w:line="264" w:lineRule="auto"/>
        <w:ind w:right="-222" w:firstLine="237"/>
        <w:jc w:val="left"/>
        <w:rPr>
          <w:rFonts w:ascii="Arial" w:eastAsia="Times New Roman" w:hAnsi="Arial" w:cs="Arial"/>
          <w:szCs w:val="28"/>
          <w:lang w:val="uk-UA" w:eastAsia="uk-UA"/>
        </w:rPr>
      </w:pPr>
    </w:p>
    <w:p w14:paraId="3A277725" w14:textId="76450136" w:rsidR="005F048D" w:rsidRPr="00511005" w:rsidRDefault="007B2628" w:rsidP="007B2628">
      <w:pPr>
        <w:tabs>
          <w:tab w:val="left" w:pos="8283"/>
        </w:tabs>
        <w:spacing w:line="264" w:lineRule="auto"/>
        <w:ind w:right="-222" w:firstLine="237"/>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1712AC46" w14:textId="77777777" w:rsidR="005F048D" w:rsidRPr="00511005" w:rsidRDefault="005F048D" w:rsidP="003A292D">
      <w:pPr>
        <w:spacing w:line="264" w:lineRule="auto"/>
        <w:jc w:val="left"/>
        <w:rPr>
          <w:rFonts w:ascii="Arial" w:eastAsia="Times New Roman" w:hAnsi="Arial" w:cs="Arial"/>
          <w:i/>
          <w:szCs w:val="28"/>
          <w:lang w:val="uk-UA" w:eastAsia="uk-UA"/>
        </w:rPr>
      </w:pPr>
    </w:p>
    <w:p w14:paraId="4267A72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1. Цивільний процесуальний кодекс України : Закон України від 18 берез. 2004 р. № 1618-IV // Відомості Верховної Ради України (ВВР). – 2004. – № 40–41, 42.</w:t>
      </w:r>
    </w:p>
    <w:p w14:paraId="1D83BBE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Іліопол І.М. Загальна характеристика складових елементів судового доказування за цивільним процесуальним законодавством України / Іліопол І.М. // Сучасні тенденції розвитку законодавства України в контексті проведення державних реформ : матеріали Міжнар. наук.-практ. конф. (м. Чернівці, 04 березня 2021 р.) / відп. ред. Т. А. Латковська. Чернівці, 2021. 332 с. С. 235-239. URL: </w:t>
      </w:r>
      <w:hyperlink r:id="rId1357">
        <w:r w:rsidRPr="00511005">
          <w:rPr>
            <w:rFonts w:ascii="Arial" w:eastAsia="Times New Roman" w:hAnsi="Arial" w:cs="Arial"/>
            <w:szCs w:val="28"/>
            <w:lang w:val="uk-UA" w:eastAsia="uk-UA"/>
          </w:rPr>
          <w:t>https://dspace.onua.edu.ua/server/api/core/bitstreams/d1dd9541-0f13-4230-b0eb</w:t>
        </w:r>
      </w:hyperlink>
      <w:r w:rsidRPr="00511005">
        <w:rPr>
          <w:rFonts w:ascii="Arial" w:eastAsia="Times New Roman" w:hAnsi="Arial" w:cs="Arial"/>
          <w:szCs w:val="28"/>
          <w:lang w:val="uk-UA" w:eastAsia="uk-UA"/>
        </w:rPr>
        <w:t>-</w:t>
      </w:r>
    </w:p>
    <w:p w14:paraId="61CCBD73"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16ae28829bcd/content</w:t>
      </w:r>
    </w:p>
    <w:p w14:paraId="068CBC8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3. Federal rules of civil procedure [Electronic resource]. – Access mode: </w:t>
      </w:r>
      <w:hyperlink r:id="rId1358">
        <w:r w:rsidRPr="00511005">
          <w:rPr>
            <w:rFonts w:ascii="Arial" w:eastAsia="Times New Roman" w:hAnsi="Arial" w:cs="Arial"/>
            <w:szCs w:val="28"/>
            <w:lang w:val="uk-UA" w:eastAsia="uk-UA"/>
          </w:rPr>
          <w:t>http://www.uscourts.gov/sites/default/files/rules-of-civil-procedure</w:t>
        </w:r>
      </w:hyperlink>
      <w:r w:rsidRPr="00511005">
        <w:rPr>
          <w:rFonts w:ascii="Arial" w:eastAsia="Times New Roman" w:hAnsi="Arial" w:cs="Arial"/>
          <w:szCs w:val="28"/>
          <w:lang w:val="uk-UA" w:eastAsia="uk-UA"/>
        </w:rPr>
        <w:t>. pdf (last access: 01.02.2018). – Title from the screen. (Сполучені Штати Америки)</w:t>
      </w:r>
    </w:p>
    <w:p w14:paraId="602908B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4. Руда Т. В. Поняття і зміст інституту доказування в цивільному процесуальному праві США та України: порівняльний аспект / Т. В. Руда // Вісник Київського національного університету імені Тараса Шевченка. Серія: Юридичні науки. – 2008. – Вип. 79.</w:t>
      </w:r>
    </w:p>
    <w:p w14:paraId="213F47FE"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5. Правові позиції Верховного Суду України та Вищого спеціалізованого суду України з розгляду цивільних і кримінальних справ щодо застосування законодавства у справах цивільної юрисдикції / упоряд.: Н. О. Гуторова, О. О. Житний, Т. В. Сараскіна. – Х. : Одіссей, 2013. – 512 с.</w:t>
      </w:r>
    </w:p>
    <w:p w14:paraId="13B99F03" w14:textId="77777777" w:rsidR="005F048D" w:rsidRPr="00511005" w:rsidRDefault="005F048D" w:rsidP="003A292D">
      <w:pPr>
        <w:spacing w:line="264" w:lineRule="auto"/>
        <w:jc w:val="left"/>
        <w:rPr>
          <w:rFonts w:ascii="Arial" w:eastAsia="Times New Roman" w:hAnsi="Arial" w:cs="Arial"/>
          <w:i/>
          <w:szCs w:val="28"/>
          <w:lang w:val="uk-UA" w:eastAsia="uk-UA"/>
        </w:rPr>
      </w:pPr>
    </w:p>
    <w:p w14:paraId="5315F15B" w14:textId="05CA1499"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судове доказування, змагальний процес,стандарт доказування,збирання доказів,судовий розсуд</w:t>
      </w:r>
    </w:p>
    <w:p w14:paraId="0BD923E7" w14:textId="2B2652D3" w:rsidR="005F048D" w:rsidRPr="00511005" w:rsidRDefault="007B2628" w:rsidP="003A292D">
      <w:pPr>
        <w:spacing w:line="264" w:lineRule="auto"/>
        <w:jc w:val="left"/>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 xml:space="preserve">judicial evidence , adversarial process,evidentiary standard,collection of evidence,judicial discretion </w:t>
      </w:r>
    </w:p>
    <w:p w14:paraId="2443015A" w14:textId="43D935E6" w:rsidR="005F048D" w:rsidRPr="00511005" w:rsidRDefault="007B2628" w:rsidP="003A292D">
      <w:pPr>
        <w:spacing w:line="264" w:lineRule="auto"/>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Іліопол І.М.</w:t>
      </w:r>
    </w:p>
    <w:p w14:paraId="3997A885" w14:textId="77777777" w:rsidR="005F048D" w:rsidRPr="00511005" w:rsidRDefault="005F048D" w:rsidP="003A292D">
      <w:pPr>
        <w:spacing w:line="264" w:lineRule="auto"/>
        <w:ind w:left="709" w:firstLine="0"/>
        <w:rPr>
          <w:rFonts w:ascii="Arial" w:eastAsia="Times New Roman" w:hAnsi="Arial" w:cs="Arial"/>
          <w:i/>
          <w:szCs w:val="28"/>
          <w:lang w:val="uk-UA" w:eastAsia="uk-UA"/>
        </w:rPr>
      </w:pPr>
    </w:p>
    <w:p w14:paraId="0A28D375" w14:textId="77777777" w:rsidR="005F048D" w:rsidRPr="00511005" w:rsidRDefault="005F048D" w:rsidP="003A292D">
      <w:pPr>
        <w:spacing w:line="264" w:lineRule="auto"/>
        <w:ind w:left="709" w:firstLine="0"/>
        <w:rPr>
          <w:rFonts w:ascii="Arial" w:eastAsia="Times New Roman" w:hAnsi="Arial" w:cs="Arial"/>
          <w:i/>
          <w:szCs w:val="28"/>
          <w:lang w:val="uk-UA" w:eastAsia="uk-UA"/>
        </w:rPr>
      </w:pPr>
    </w:p>
    <w:p w14:paraId="5B44DA83"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Білик Ірина Іванівна</w:t>
      </w:r>
    </w:p>
    <w:p w14:paraId="7B7FB777" w14:textId="54F2F333"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1-го курсу магістратури</w:t>
      </w:r>
      <w:r w:rsidR="005F048D" w:rsidRPr="00511005">
        <w:rPr>
          <w:rFonts w:ascii="Arial" w:eastAsia="Times New Roman" w:hAnsi="Arial" w:cs="Arial"/>
          <w:szCs w:val="28"/>
          <w:lang w:val="uk-UA" w:eastAsia="uk-UA"/>
        </w:rPr>
        <w:t xml:space="preserve"> </w:t>
      </w:r>
    </w:p>
    <w:p w14:paraId="6DAE554D" w14:textId="18FBC77B"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цивільної та господарської юстиції</w:t>
      </w:r>
      <w:r w:rsidRPr="00511005">
        <w:rPr>
          <w:rFonts w:ascii="Arial" w:eastAsia="Times New Roman" w:hAnsi="Arial" w:cs="Arial"/>
          <w:szCs w:val="28"/>
          <w:lang w:val="uk-UA" w:eastAsia="uk-UA"/>
        </w:rPr>
        <w:br/>
      </w:r>
      <w:r w:rsidR="007B2628" w:rsidRPr="00511005">
        <w:rPr>
          <w:rFonts w:ascii="Arial" w:eastAsia="Times New Roman" w:hAnsi="Arial" w:cs="Arial"/>
          <w:szCs w:val="28"/>
          <w:lang w:val="uk-UA" w:eastAsia="uk-UA"/>
        </w:rPr>
        <w:t>Національного університету «Одеська юридична академія»</w:t>
      </w:r>
    </w:p>
    <w:p w14:paraId="540B5B97"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p>
    <w:p w14:paraId="52C589FE"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ОСОБЛИВОСТІ ПРИЙНЯТТЯ СПАДЩИНИ В УМОВАХ ВОЄННОГО СТАНУ: ПРОЦЕСУАЛЬНІ АСПЕКТИ</w:t>
      </w:r>
    </w:p>
    <w:p w14:paraId="7F4BC2D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Сьогодні Україна переживає складні часи, що суттєво вплинуло на усі сфери життєдіяльності нашої країни. Відтак, із запровадженням воєнного стану нотаріальна діяльність також зазнала певних змін, наприклад, з метою захисту даних, Міністерством юстиції України було тимчасово зупинено роботу реєстрів, держателем яких є вказаний орган тощо [10, с. 770].</w:t>
      </w:r>
    </w:p>
    <w:p w14:paraId="187DBB32"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Збройна агресія, окупація значної частини території України, масове переміщення осіб як в межах нашої держави, так і поза її межами створила численні труднощі в реалізації права на спадкування, особливо в аспекті дотримання процесуальних строків, доступу до нотаріальних послуг тощо. </w:t>
      </w:r>
    </w:p>
    <w:p w14:paraId="2A833CF7"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поточних умовах процес прийняття спадщини ускладнюється не лише безпосередньо через війну, але й через викликану нею правову невизначеність, адже за наявних обставин законодавство достатньо стрімко змінюється. Саме тому, великого значення набуває судова практика, яка покликана формувати підходи до вирішення спадкових спорів, усувати невизначеності та компенсувати недоліки чинного правового регулювання питань спадкування. Одним з головних проблемних питань у сфері </w:t>
      </w:r>
      <w:r w:rsidRPr="00511005">
        <w:rPr>
          <w:rFonts w:ascii="Arial" w:eastAsia="Times New Roman" w:hAnsi="Arial" w:cs="Arial"/>
          <w:szCs w:val="28"/>
          <w:lang w:val="uk-UA" w:eastAsia="uk-UA"/>
        </w:rPr>
        <w:lastRenderedPageBreak/>
        <w:t xml:space="preserve">спадкових відносин із запровадженням воєнного станубула неоднозначність правового регулювання строків для прийняття спадщини. </w:t>
      </w:r>
    </w:p>
    <w:p w14:paraId="07C6945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Як відомо, у ст. 1270 ЦК України встановлено загальний строк – шість місяців з моменту відкриття спадщини [1]. Проте, 28 лютого 2022 року Кабінет Міністрів України виніс Постанову № 164 «Деякі питання нотаріату в умовах воєнного стану», у першій редакції якої не було передбачено жодних змін щодо строку для прийняття спадщини [2]. </w:t>
      </w:r>
    </w:p>
    <w:p w14:paraId="68369C4F"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редакції від 6 березня 2022 року, а саме у пункті 3, було встановлено, що на час дії воєнного стану перебіг строку для прийняття спадщини зупиняється, в редакції ж від 29 червня 2022 року це положення змінили наступним чином: «…перебіг строку для прийняття спадщини або відмови від її прийняття зупиняється на час дії воєнного стану, але не більше ніж на чотири місяці». </w:t>
      </w:r>
    </w:p>
    <w:p w14:paraId="12176B7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Пізніше, а саме 25 січня 2023 року КЦС ВС виніс постанову у справі № 676/47/21, у якій виснував, що пункт 3 згаданої постанови Кабміну суперечить ст. 1270, 1272 ЦК України, і, відповідно до ч. 4 ст. 4 ЦК України, у такому разіпідлягають застосовуванню відповідні положення ЦК України [3]. Також у Постанові КЦС ВС від 21 червня 2023 року у справі № 175/1404/19 суд зауважив, що законодавець ні в статті 1270 ЦК України, ні в інших положеннях Кодексу взагалі не передбачає можливості зупинення строку для прийняття спадщини або встановлення інших правил щодо його тривалості постановами Кабінету Міністрів України [4]. У поточній редакції вищезгаданої Постанови КМУ пункт 3 виключено, і наразі для прийняття спадщини діє строк, встановлений ЦК України.</w:t>
      </w:r>
    </w:p>
    <w:p w14:paraId="2781F212"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Ще одним актуальним в воєнний час питанням є визначення додаткових строків для прийняття спадщини, а також визнання причин пропуску строку поважними. Згідно з ч. 3 ст. 1272 ЦК України, за позовом спадкоємця, який пропустив строк для прийняття спадщини з поважної причини, суд може визначити йому додатковий строк, достатній для подання ним заяви про прийняття спадщини. Розглядаючи питання про поважність причин пропущення шестимісячного строку, передбаченого статтею 1270 ЦК України, суд повинен оцінювати обставини індивідуально в кожній справі. Якщо спадкоємець пропустив строк з поважних причин, він має право звернутися до суду з вимогою про надання додаткового строку для подання заяви про прийняття спадщини. Поважними причинами пропуску строку для прийняття спадщини визнаються такі, що пов`язані з об`єктивними, непереборними, істотними труднощами для спадкоємця на вчинення цих дій.</w:t>
      </w:r>
    </w:p>
    <w:p w14:paraId="3F306778"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Наприклад, Верховний Суд у Постанові від 20 березня 2024 року у справі № 545/1231/23 зазначив, що така обставина, як проживання спадкоємця в зоні яка не перебувала під окупацією, однак на території якої </w:t>
      </w:r>
      <w:r w:rsidRPr="00511005">
        <w:rPr>
          <w:rFonts w:ascii="Arial" w:eastAsia="Times New Roman" w:hAnsi="Arial" w:cs="Arial"/>
          <w:szCs w:val="28"/>
          <w:lang w:val="uk-UA" w:eastAsia="uk-UA"/>
        </w:rPr>
        <w:lastRenderedPageBreak/>
        <w:t>відбувались активні бойові дії є достатньою підставою визначення спадкоємцю додаткового строку для прийняття спадщини [5].</w:t>
      </w:r>
    </w:p>
    <w:p w14:paraId="3EFE32A5"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Також поважною для пропуску строку, на думку суду, є зазначена у Постанові КЦС ВС від 21 листопада 2021 року у справі № 418/3478/19 причина - особливий правовий режим на тимчасово окупованій території України та необхідність установлення факту смерті, отримання свідоцтва про смерть спадкодавця на підконтрольній території України [6]. </w:t>
      </w:r>
    </w:p>
    <w:p w14:paraId="38E9CBC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Щодо прийняття спадщини, яка знаходиться на тимчасово окупованій території України, поважною причиною пропуску строку може визнаватись і тимчасова відсутність законодавчого врегулювання питання реалізації права на спадкування. Так, КЦС ВС у своїй Постанові від 15 червня 2022 року у справі № 638/4895/15 вказав, що причини пропуску позивачем встановленого строку для прийняття спадщини є поважними, оскільки внаслідок тимчасової окупації АР Крим до часу законодавчого врегулювання питання права на спадкування він був об’єктивно позбавлений можливості реалізувати це право [7].</w:t>
      </w:r>
    </w:p>
    <w:p w14:paraId="7C3BFB2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Водночас, при встановленні факту прийняття спадщини на тимчасово окупованій території не визнається належним доказом звернення спадкоємця із заявою про прийняття спадщини до органів, що знаходяться на окупованій території України та, відповідно, не контролюються органами державної влади України. Окрім цього, у постанові КЦС ВС від 28 червня 2023 року у справі № 524/1413/22 йдеться також проте, що надані позивачкою документи, видані на тимчасово окупованій території АР Крим посадовими особами органів, створених відповідно до законодавства російської федерації є недопустимими доказами згідно з Законом України «Про забезпечення прав і свобод громадян та правовий режим на тимчасово окупованій території України»[8]. Як наслідок, КЦС ВС визнав обґрунтованим рішення суду першої інстанції про відмову у задоволенні позову про встановлення факту про прийняття спадщини, оскільки позивачкою факт прийняття спадщини доведений не був.</w:t>
      </w:r>
    </w:p>
    <w:p w14:paraId="241E9076"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цьому контексті доцільно також звернути увагу на ситуацію, коли спадщина включає нерухоме майно, розташоване на території України, а спадкодавець на момент смерті проживав за її межами. Як зазначено в постанові Об’єднаної палати Касаційного цивільного суду Верховного Суду від 13 березня 2023 року у справі № 398/1796/20, у такому випадку спадщина вважається прийнятою лише за умови подання спадкоємцем відповідної заяви до нотаріуса або іншого уповноваженого органу за місцем знаходження майна в Україні [9]. Якщо ж така заява не була подана в установлений строк, спадкоємець не вважається таким, що прийняв спадщину. При цьому дії, вчинені за межами України, не підтверджують факту прийняття спадщини щодо майна, що знаходиться в Україні, і не мають юридичного значення для набуття прав на нього.</w:t>
      </w:r>
    </w:p>
    <w:p w14:paraId="4398C66C"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Отже, воєнний стан суттєво впливає на реалізацію права на спадкування в Україні, зокрема у процесуальному аспекті. Обмежений доступ до нотаріальних послуг, переміщення населення та окупація частини територій призвели до ускладнень у дотриманні строків і інших процесуальних вимог. Попри спроби Кабінету Міністрів України адаптувати правове регулювання до умов воєнного часу, остаточне тлумачення і правозастосування належить судовій владі, яка, ґрунтуючись на принципах верховенства права, формує практику, що покликана забезпечити справедливий баланс між буквою закону і реальними умовами життя громадян. Зокрема, практика Верховного Суду відіграє ключову роль у визначенні підстав для подовження строку прийняття спадщини, встановлення поважності причин його пропуску та оцінки допустимості доказів, наданих у нестандартних обставинах.</w:t>
      </w:r>
    </w:p>
    <w:p w14:paraId="570108FB" w14:textId="1CFA12C4" w:rsidR="005F048D" w:rsidRPr="00511005" w:rsidRDefault="007B2628" w:rsidP="007B2628">
      <w:pPr>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5DC266A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1. Цивільний кодекс України від 16 січня 2003 року № 435-IV. URL: -</w:t>
      </w:r>
      <w:hyperlink r:id="rId1359">
        <w:r w:rsidRPr="00511005">
          <w:rPr>
            <w:rFonts w:ascii="Arial" w:eastAsia="Times New Roman" w:hAnsi="Arial" w:cs="Arial"/>
            <w:szCs w:val="28"/>
            <w:lang w:val="uk-UA" w:eastAsia="uk-UA"/>
          </w:rPr>
          <w:t>https://zakon.rada.gov.ua/laws/show/435-15#Text</w:t>
        </w:r>
      </w:hyperlink>
    </w:p>
    <w:p w14:paraId="05E96DA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2. Деякі питання нотаріату в умовах воєнного стану: постанова Кабінету Міністрів України від 28 лютого 2022 року № 164. URL:https://zakon.rada.gov.ua/laws/show/164-2022-%D0%BF#Text</w:t>
      </w:r>
    </w:p>
    <w:p w14:paraId="6720C76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3. Постанова КЦС ВС від 25 січня 2023 року у справі № 676/47/21 URL:https://reyestr.court.gov.ua/Review/108654283</w:t>
      </w:r>
    </w:p>
    <w:p w14:paraId="6F8FBB66"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4. Постанова КЦС ВС від 21 червня 2023 року у справі № 175/1404/19URL:https://reyestr.court.gov.ua/Review/111742590</w:t>
      </w:r>
    </w:p>
    <w:p w14:paraId="78151C3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5. Постанова КЦС ВС від 20 березня 2024 року у справі № 545/1231/23 URL:https://reyestr.court.gov.ua/Review/117823680</w:t>
      </w:r>
    </w:p>
    <w:p w14:paraId="5CE8FE17"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6. Постанова КЦС ВС від 21 листопада 2021 року у справі № 418/3478/19URL: </w:t>
      </w:r>
      <w:hyperlink r:id="rId1360">
        <w:r w:rsidRPr="00511005">
          <w:rPr>
            <w:rFonts w:ascii="Arial" w:eastAsia="Times New Roman" w:hAnsi="Arial" w:cs="Arial"/>
            <w:szCs w:val="28"/>
            <w:lang w:val="uk-UA" w:eastAsia="uk-UA"/>
          </w:rPr>
          <w:t>https://reyestr.court.gov.ua/Review/101519529</w:t>
        </w:r>
      </w:hyperlink>
    </w:p>
    <w:p w14:paraId="71689F87"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7. Постанова КЦС ВС від 15 червня 2022 року у справі № 638/4895/15 URL:https://reyestr.court.gov.ua/Review/104813596</w:t>
      </w:r>
    </w:p>
    <w:p w14:paraId="55BD02D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8. Постанова КЦС ВС від 28 червня 2023 року у справі № 524/1413/22 URL:https://reyestr.court.gov.ua/Review/111972525</w:t>
      </w:r>
    </w:p>
    <w:p w14:paraId="4F21E0A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9. Постанова ОП КЦС ВС від 13 березня 2023 року у справі № 398/1796/20 URL:https://reyestr.court.gov.ua/Review/109871518</w:t>
      </w:r>
    </w:p>
    <w:p w14:paraId="61B4EAAB" w14:textId="11443ED0"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10. Іліопол І.М. Деякі особливості вчинення нотаріальних дій щодо цінного майна в умовах воєнного стану / Європейський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w:t>
      </w:r>
      <w:r w:rsidR="007B2628" w:rsidRPr="00511005">
        <w:rPr>
          <w:rFonts w:ascii="Arial" w:eastAsia="Times New Roman" w:hAnsi="Arial" w:cs="Arial"/>
          <w:szCs w:val="28"/>
          <w:lang w:val="uk-UA" w:eastAsia="uk-UA"/>
        </w:rPr>
        <w:t>Національного університету «Одеська юридична академія»</w:t>
      </w:r>
      <w:r w:rsidRPr="00511005">
        <w:rPr>
          <w:rFonts w:ascii="Arial" w:eastAsia="Times New Roman" w:hAnsi="Arial" w:cs="Arial"/>
          <w:szCs w:val="28"/>
          <w:lang w:val="uk-UA" w:eastAsia="uk-UA"/>
        </w:rPr>
        <w:t xml:space="preserve"> та 175-річчя Одеської школи права) : матеріали Міжнар. наук.-практ. конф., 17 червня 2022 р. м. Одеса. С.с. 770-772. URL: </w:t>
      </w:r>
      <w:hyperlink r:id="rId1361">
        <w:r w:rsidRPr="00511005">
          <w:rPr>
            <w:rFonts w:ascii="Arial" w:eastAsia="Times New Roman" w:hAnsi="Arial" w:cs="Arial"/>
            <w:szCs w:val="28"/>
            <w:lang w:val="uk-UA" w:eastAsia="uk-UA"/>
          </w:rPr>
          <w:t>https://hdl.handle.net/11300/20289</w:t>
        </w:r>
      </w:hyperlink>
      <w:r w:rsidRPr="00511005">
        <w:rPr>
          <w:rFonts w:ascii="Arial" w:eastAsia="Times New Roman" w:hAnsi="Arial" w:cs="Arial"/>
          <w:szCs w:val="28"/>
          <w:lang w:val="uk-UA" w:eastAsia="uk-UA"/>
        </w:rPr>
        <w:t xml:space="preserve"> </w:t>
      </w:r>
    </w:p>
    <w:p w14:paraId="749B8732"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0D9E8AA5" w14:textId="01130E67" w:rsidR="005F048D" w:rsidRPr="00511005" w:rsidRDefault="005F048D" w:rsidP="003A292D">
      <w:pPr>
        <w:spacing w:line="264" w:lineRule="auto"/>
        <w:rPr>
          <w:rFonts w:ascii="Arial" w:eastAsia="Times New Roman" w:hAnsi="Arial" w:cs="Arial"/>
          <w:szCs w:val="28"/>
          <w:lang w:val="uk-UA" w:eastAsia="uk-UA"/>
        </w:rPr>
      </w:pPr>
      <w:r w:rsidRPr="00582D67">
        <w:rPr>
          <w:rFonts w:ascii="Arial" w:eastAsia="Times New Roman" w:hAnsi="Arial" w:cs="Arial"/>
          <w:b/>
          <w:i/>
          <w:iCs/>
          <w:szCs w:val="28"/>
          <w:lang w:val="uk-UA" w:eastAsia="uk-UA"/>
        </w:rPr>
        <w:lastRenderedPageBreak/>
        <w:t>Ключові слова:</w:t>
      </w:r>
      <w:r w:rsidR="00582D67">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воєнний стан, спадкування, строк для прийняття спадщини, поважні причини, судова практика, нотаріат, окуповані території, нерухоме майно, правова невизначеність, Верховний Суд.</w:t>
      </w:r>
    </w:p>
    <w:p w14:paraId="16398AA0" w14:textId="2A1713D3"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martial law, inheritance, inheritance period, valid reasons, case law, notary, occupied territories, realest ate, legal uncertainty, Supreme Court.</w:t>
      </w:r>
    </w:p>
    <w:p w14:paraId="3887D5D2" w14:textId="2B9C99C8" w:rsidR="005F048D"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ІліополІ. М.</w:t>
      </w:r>
    </w:p>
    <w:p w14:paraId="4E22ADE2"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237593B7"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70B09A6F"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Бойко Альона Сергіївна</w:t>
      </w:r>
    </w:p>
    <w:p w14:paraId="4221950D" w14:textId="5AE107E1"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1-го курсу магістратури</w:t>
      </w:r>
      <w:r w:rsidR="005F048D" w:rsidRPr="00511005">
        <w:rPr>
          <w:rFonts w:ascii="Arial" w:eastAsia="Times New Roman" w:hAnsi="Arial" w:cs="Arial"/>
          <w:szCs w:val="28"/>
          <w:lang w:val="uk-UA" w:eastAsia="uk-UA"/>
        </w:rPr>
        <w:t xml:space="preserve"> </w:t>
      </w:r>
    </w:p>
    <w:p w14:paraId="1D5FEFF6"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факультету цивільної та господарської юстиції </w:t>
      </w:r>
    </w:p>
    <w:p w14:paraId="04857ADA" w14:textId="324481D8"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0FC69F71"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p>
    <w:p w14:paraId="51DF65E7"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АКТУАЛЬНІ ПРОБЛЕМИ ДОКАЗУВАННЯ В ЦИВІЛЬНОМУ ПРОЦЕСІ УКРАЇНИ ПІСЛЯ СУДОВОЇ РЕФОРМИ </w:t>
      </w:r>
    </w:p>
    <w:p w14:paraId="02551D1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Доказування у цивільному процесі – це врегульована нормами права діяльність суду та учасників справи, спрямована на встановлення фактичних обставин справи шляхом подання, дослідження та оцінки доказів. Після судової реформи 2017 року, з ухваленням нової редакції Цивільного процесуального кодексу України (далі – ЦПК України), інститут доказування зазнав суттєвих змін, зокрема через запровадження принципів диспозитивності, змагальності та розумності строків розгляду справ.</w:t>
      </w:r>
    </w:p>
    <w:p w14:paraId="1649005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 одного боку, нова редакція ЦПК України деталізувала принципи, форми і процедури доказування, закріпила сучасні підходи до використання електронних доказів, розширила межі розподілу обов’язку доказування. З іншого боку, виникли нові проблеми, пов’язані із застосуванням цих норм у судовій практиці, а також суперечності між окремими положеннями ЦПК України та реаліями сучасного правосуддя.</w:t>
      </w:r>
    </w:p>
    <w:p w14:paraId="099E404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Серед найбільших проблем доказування в цивільному процесі у світлі судової реформи варто виділити нерівність сторін у доступі до доказів. Хоча стаття 12 ЦПК України закріплює принцип змагальності сторін, на практиці сторони не завжди мають рівні можливості для отримання доказів. Наприклад, одна зі сторін може володіти всією необхідною документацією, тоді як інша – ні. Стаття 84 ЦПК України передбачає можливість витребування доказів судом, але механізм їх надання іноді виявляється неефективним через формальний підхід судів та зловживання процесуальними правами [1].</w:t>
      </w:r>
    </w:p>
    <w:p w14:paraId="1713CEC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Інша сторона цієї проблеми - зловживання правом на подання доказів. Сторони часто зловживають процесуальними правами, подаючи докази із запізненням або у неповному обсязі. Хоча стаття 83 ЦПК України встановлює, що докази подаються разом із позовною заявою або відзивом, </w:t>
      </w:r>
      <w:r w:rsidRPr="00511005">
        <w:rPr>
          <w:rFonts w:ascii="Arial" w:eastAsia="Times New Roman" w:hAnsi="Arial" w:cs="Arial"/>
          <w:szCs w:val="28"/>
          <w:lang w:val="uk-UA" w:eastAsia="uk-UA"/>
        </w:rPr>
        <w:lastRenderedPageBreak/>
        <w:t>на практиці суди нерідко приймають докази із запізненням, що порушує принцип процесуальної економії.</w:t>
      </w:r>
    </w:p>
    <w:p w14:paraId="6DEFDDD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Окрім того, після проведення судової реформи питання суб’єктивізму у сфері допустимості доказів і до сьогодні залишається проблемним. У цивільному процесі допустимість визначається статтею 78 ЦПК України, згідно з якою доказ не приймається судом, якщо він одержаний з порушенням закону [1]. Попри це, на практиці ця норма часто піддається суб’єктивному тлумаченню, що створює нерівність і правову невизначеність. Особливо це стосується неформальних доказів, таких як аудіо записи розмов без згоди іншої сторони, відео з камер спостереження або скріншоти переписок у месенджерах. У різних судах однакові докази можуть визнаватися то допустимими, то недопустимими — залежно від поглядів конкретного судді, а не загальної практики. Це, з одного боку, порушує принцип правової визначеності, а з іншого — знижує передбачуваність судових рішень, що прямо суперечить практиці Європейського суду з прав людини.</w:t>
      </w:r>
    </w:p>
    <w:p w14:paraId="261D5FA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О.М. Горецький зазначає, що суди нерідко відмовляють у прийнятті скріншотів без нотаріального засвідчення або висновку ІТ-експерта. Водночас ЦПК України не містить чітких вимог щодо таких підтверджень[3, с. 96–98].</w:t>
      </w:r>
    </w:p>
    <w:p w14:paraId="4FEAB96B"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Це створює правову невизначеність і може порушити доступ до правосуддя в сучасних умовах цифрового обігу інформації.</w:t>
      </w:r>
    </w:p>
    <w:p w14:paraId="7AD82977"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Судова реформа впровадила до ЦПК України новий вид доказів — електронні докази Відповідно до статті 100 ЦПК До них належать:інформація в електронній (цифровій) формі, що містить дані про обставини, що мають значення для справи, зокрема, електронні документи (в тому числі текстові документи, графічні зображення, плани, фотографії, відео- та звукозаписи тощо), веб-сайти (сторінки), текстові, мультимедійні та голосові повідомлення, метадані, бази даних та інші дані в електронній формі [1]. Попри важливість цього виду доказів у сучасних умовах цифровізації, існує низка серйозних проблем, пов’язаних із їх практичним застосуванням.</w:t>
      </w:r>
    </w:p>
    <w:p w14:paraId="51BBB42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По-перше, - відсутність уніфікованих стандартів автентифікації. Суди часто не мають технічної можливості перевірити автентичність електронного доказу. Наприклад, повідомлення з месенджера може бути легко змонтоване або відредаговане, однак інструментів швидкої верифікації (як-от перевірки цифрових слідів) немає.</w:t>
      </w:r>
    </w:p>
    <w:p w14:paraId="28FA90F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По-друге, далеко не всі учасники процесу знають, що електронні докази потребують спеціального способу подання — зокрема, із зазначенням джерела, формату, часу створення тощо. Через це суди часто відмовляють у прийнятті таких доказів на формальних підставах, хоча за суттю вони можуть бути ключовими.</w:t>
      </w:r>
    </w:p>
    <w:p w14:paraId="2F970215"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Нерідко проблемою є доведення, хто саме є автором повідомлення чи електронного листа. Відсутність цифрового підпису або спеціальної ідентифікації (наприклад, через Mobile ID, Bank ID) викликає сумніви щодо належності доказу тій чи іншій особі.</w:t>
      </w:r>
    </w:p>
    <w:p w14:paraId="4F37B0A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Також, як зазначає І.М. Іліопол, для електронних засобів доказування є характерним неможливість безпосереднього сприйняття інформації, що обумовлює необхідність використання технічних та програмних засобів для одержання відомостей та їх специфічних реквізитів (метаданих) – інформації технічного характеру, яка закодована всередині файлів [2, с.238]. На основі цього виникає питання щодо достовірності:чи дійсно ця інформація не була змінена або сфальсифікована? Автентичність доводиться за допомогою метаданих (час створення, IP-адреса, GPS-координати, версія файлу тощо), але це породжує нові перешкоди: ці метадані можуть бути змінені, суду необхідно мати технічні знання або експерта для перевірки їх достовірності, а сторона, яка подає доказ, повинна обґрунтувати, що файл справді є тим, за що його видають (від кого він, коли створений, чи не модифікований).</w:t>
      </w:r>
    </w:p>
    <w:p w14:paraId="267FD187"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Електронні докази мають потенціал до значного підвищення ефективності судочинства, однак реалізація цього потенціалу потребує чітких процесуальних регламентів та спеціальної підготовки суддів. </w:t>
      </w:r>
    </w:p>
    <w:p w14:paraId="1095F4FF"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Варто зазначити, що особливі труднощі виникають у цивільних справах із іноземним елементом, коли необхідно витребувати докази, які знаходяться за межами України. Серед основних проблем виокремлюється тривалий строк виконання міжнародних доручень. Процедура передачі судового доручення часто займає кілька місяців, що не сумісно з принципом розумних строків судового розгляду відповідно до ст. 6 Конвенції про захист прав людини і основоположних свобод[4]. Це ускладнює або навіть унеможливлює належне доведення обставин у справі.</w:t>
      </w:r>
    </w:p>
    <w:p w14:paraId="63E4A304"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До того ж обмежене коло країн, з якими Україна має чинні міжнародні договори також суттєво ускладнює ситуацію. На практиці виконання запитів можливе лише з обмеженим переліком країн, з якими укладено двосторонні договори або які є учасниками багатосторонніх конвенцій, наприклад, Гаазької конвенції 1970 року. Якщо держава не є учасником такого договору, передача доказів базується на принципі взаємності, що є вкрай не прогнозованим механізмом.</w:t>
      </w:r>
    </w:p>
    <w:p w14:paraId="554EBC2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Ще однією істотною проблемою є відсутність електронного механізму обміну інформацією. Попри загальний тренд цифровізації, механізм електронного обміну доказами з іноземними судами не функціонує належним чином. Усе ще використовуються паперові носії, що ще більше затягує процес.</w:t>
      </w:r>
    </w:p>
    <w:p w14:paraId="4893F22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Проблематика доказування в цивільному процесі України після судової реформи 2017 року залишається надзвичайно актуальною, попри </w:t>
      </w:r>
      <w:r w:rsidRPr="00511005">
        <w:rPr>
          <w:rFonts w:ascii="Arial" w:eastAsia="Times New Roman" w:hAnsi="Arial" w:cs="Arial"/>
          <w:szCs w:val="28"/>
          <w:lang w:val="uk-UA" w:eastAsia="uk-UA"/>
        </w:rPr>
        <w:lastRenderedPageBreak/>
        <w:t>істотне оновлення процесуального законодавства. Введення змагального принципу, активної ролі суду на стадії доказування, нових правил допустимості та оцінки доказів, а також включення електронних доказів значно модернізували процес. Водночас, на практиці виникає ціла низка викликів, які свідчать про потребу подальшого удосконалення відповідних правових інститутів.</w:t>
      </w:r>
    </w:p>
    <w:p w14:paraId="6EBD12BC"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Науковці, справедливо наголошують на необхідності посилення інституційної спроможності судів, створення єдиних підходів до оцінки доказів, зменшення формалізму та модернізації процесуальних механізмів, зокрема щодо електронних доказів та міжнародної правової допомоги.</w:t>
      </w:r>
    </w:p>
    <w:p w14:paraId="6684B75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для забезпечення ефективного та справедливого розгляду справ, на мій погляд необхідно продовжити реформування цивільного процесу, а саме в напрямі уніфікації судової практики щодо доказування, підвищення цифрової грамотності суддів, нормативного врегулювання новітніх видів доказів та удосконалення механізмів міжнародної співпраці у сфері отримання доказів.</w:t>
      </w:r>
    </w:p>
    <w:p w14:paraId="0C79BCE7"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Тільки за умови поєднання процесуальної гнучкості, правової передбачуваності та технологічного оновлення цивільне судочинство зможе відповідати сучасним викликам та ефективно реалізовувати принцип верховенства права.</w:t>
      </w:r>
    </w:p>
    <w:p w14:paraId="3550A3EA" w14:textId="77777777" w:rsidR="005F048D" w:rsidRPr="00511005" w:rsidRDefault="005F048D" w:rsidP="003A292D">
      <w:pPr>
        <w:spacing w:line="264" w:lineRule="auto"/>
        <w:ind w:firstLine="720"/>
        <w:rPr>
          <w:rFonts w:ascii="Arial" w:eastAsia="Times New Roman" w:hAnsi="Arial" w:cs="Arial"/>
          <w:szCs w:val="28"/>
          <w:lang w:val="uk-UA" w:eastAsia="uk-UA"/>
        </w:rPr>
      </w:pPr>
    </w:p>
    <w:p w14:paraId="71AD121C" w14:textId="09A30403" w:rsidR="005F048D" w:rsidRPr="00511005" w:rsidRDefault="007B2628" w:rsidP="007B2628">
      <w:pPr>
        <w:spacing w:line="264" w:lineRule="auto"/>
        <w:ind w:left="90" w:firstLine="99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179CAEAA" w14:textId="77777777" w:rsidR="005F048D" w:rsidRPr="00511005" w:rsidRDefault="005F048D" w:rsidP="003F6A5D">
      <w:pPr>
        <w:numPr>
          <w:ilvl w:val="0"/>
          <w:numId w:val="381"/>
        </w:numPr>
        <w:tabs>
          <w:tab w:val="left" w:pos="990"/>
        </w:tabs>
        <w:spacing w:line="264" w:lineRule="auto"/>
        <w:ind w:left="0" w:firstLine="567"/>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 Закон України від 18 берез. 2004 р. № 1618-IV // Відомості Верховної Ради України. № 40–41.URL: -15"https://zakon.rada.gov.ua/laws/show/1618-15#Text</w:t>
      </w:r>
    </w:p>
    <w:p w14:paraId="70E57836" w14:textId="71D1548E" w:rsidR="005F048D" w:rsidRPr="00511005" w:rsidRDefault="005F048D" w:rsidP="003F6A5D">
      <w:pPr>
        <w:numPr>
          <w:ilvl w:val="0"/>
          <w:numId w:val="381"/>
        </w:numPr>
        <w:tabs>
          <w:tab w:val="left" w:pos="1134"/>
        </w:tabs>
        <w:spacing w:line="264" w:lineRule="auto"/>
        <w:ind w:left="0" w:firstLine="567"/>
        <w:jc w:val="left"/>
        <w:rPr>
          <w:rFonts w:ascii="Arial" w:eastAsia="Times New Roman" w:hAnsi="Arial" w:cs="Arial"/>
          <w:szCs w:val="28"/>
          <w:lang w:val="uk-UA" w:eastAsia="uk-UA"/>
        </w:rPr>
      </w:pPr>
      <w:r w:rsidRPr="00511005">
        <w:rPr>
          <w:rFonts w:ascii="Arial" w:eastAsia="Times New Roman" w:hAnsi="Arial" w:cs="Arial"/>
          <w:szCs w:val="28"/>
          <w:lang w:val="uk-UA" w:eastAsia="uk-UA"/>
        </w:rPr>
        <w:t>Іліопол І.М.</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Загальна характеристика складових елементів судового доказування за цивільним процесуальним законодавством України / Іліопол І.М. // Сучасні</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тенденції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розвитку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законодавства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України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контексті проведення державних</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реформ</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матеріали Міжнар. наук.-практ. конф. (м. Чернівці, 04</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березня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2021 р.) /</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відп.</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ред. Т. А. Латковська.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Чернівці, 2021. 332 с. – С. 235-239. URL: </w:t>
      </w:r>
      <w:hyperlink r:id="rId1362">
        <w:r w:rsidRPr="00511005">
          <w:rPr>
            <w:rFonts w:ascii="Arial" w:eastAsia="Times New Roman" w:hAnsi="Arial" w:cs="Arial"/>
            <w:szCs w:val="28"/>
            <w:lang w:val="uk-UA" w:eastAsia="uk-UA"/>
          </w:rPr>
          <w:t>https://hdl.handle.net/11300/18411</w:t>
        </w:r>
      </w:hyperlink>
      <w:r w:rsidRPr="00511005">
        <w:rPr>
          <w:rFonts w:ascii="Arial" w:eastAsia="Times New Roman" w:hAnsi="Arial" w:cs="Arial"/>
          <w:szCs w:val="28"/>
          <w:lang w:val="uk-UA" w:eastAsia="uk-UA"/>
        </w:rPr>
        <w:t xml:space="preserve"> </w:t>
      </w:r>
    </w:p>
    <w:p w14:paraId="2E41A242" w14:textId="77777777" w:rsidR="005F048D" w:rsidRPr="00511005" w:rsidRDefault="005F048D" w:rsidP="003F6A5D">
      <w:pPr>
        <w:numPr>
          <w:ilvl w:val="0"/>
          <w:numId w:val="381"/>
        </w:numPr>
        <w:tabs>
          <w:tab w:val="left" w:pos="1134"/>
        </w:tabs>
        <w:spacing w:line="264" w:lineRule="auto"/>
        <w:ind w:left="0" w:firstLine="567"/>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Горецький О.М. Електронні докази у цивільному процесі України: проблеми та перспективи // Правова держава. 2022.с. 174–184URL: </w:t>
      </w:r>
      <w:hyperlink r:id="rId1363">
        <w:r w:rsidRPr="00511005">
          <w:rPr>
            <w:rFonts w:ascii="Arial" w:eastAsia="Times New Roman" w:hAnsi="Arial" w:cs="Arial"/>
            <w:szCs w:val="28"/>
            <w:lang w:val="uk-UA" w:eastAsia="uk-UA"/>
          </w:rPr>
          <w:t>https://dspace.onua.edu.ua/server/api/core/bitstreams/d1dd9541-0f13-4230-b0eb-16ae28829bcd/content</w:t>
        </w:r>
      </w:hyperlink>
    </w:p>
    <w:p w14:paraId="26FA9485" w14:textId="77777777" w:rsidR="005F048D" w:rsidRPr="00511005" w:rsidRDefault="005F048D" w:rsidP="003F6A5D">
      <w:pPr>
        <w:numPr>
          <w:ilvl w:val="0"/>
          <w:numId w:val="381"/>
        </w:numPr>
        <w:tabs>
          <w:tab w:val="left" w:pos="1134"/>
        </w:tabs>
        <w:spacing w:line="264" w:lineRule="auto"/>
        <w:ind w:left="0" w:firstLine="567"/>
        <w:jc w:val="left"/>
        <w:rPr>
          <w:rFonts w:ascii="Arial" w:eastAsia="Times New Roman" w:hAnsi="Arial" w:cs="Arial"/>
          <w:szCs w:val="28"/>
          <w:lang w:val="uk-UA" w:eastAsia="uk-UA"/>
        </w:rPr>
      </w:pPr>
      <w:r w:rsidRPr="00511005">
        <w:rPr>
          <w:rFonts w:ascii="Arial" w:eastAsia="Times New Roman" w:hAnsi="Arial" w:cs="Arial"/>
          <w:szCs w:val="28"/>
          <w:lang w:val="uk-UA" w:eastAsia="uk-UA"/>
        </w:rPr>
        <w:t>Конвенція про захист прав людини і основоположних свобод : міжнародний документ від 04.11.1950 р. URL: _004"https://zakon.rada.gov.ua/laws/show/995_004#Text</w:t>
      </w:r>
    </w:p>
    <w:p w14:paraId="76208449" w14:textId="77777777" w:rsidR="005F048D" w:rsidRPr="00511005" w:rsidRDefault="005F048D" w:rsidP="003A292D">
      <w:pPr>
        <w:spacing w:line="264" w:lineRule="auto"/>
        <w:ind w:firstLine="720"/>
        <w:rPr>
          <w:rFonts w:ascii="Arial" w:eastAsia="Times New Roman" w:hAnsi="Arial" w:cs="Arial"/>
          <w:b/>
          <w:szCs w:val="28"/>
          <w:lang w:val="uk-UA" w:eastAsia="uk-UA"/>
        </w:rPr>
      </w:pPr>
    </w:p>
    <w:p w14:paraId="587FD9C8" w14:textId="6B6AEA10"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цивільний процес, доказування, принцип, докази, Україна, судова реформа, проблеми, сторони.</w:t>
      </w:r>
    </w:p>
    <w:p w14:paraId="3BD2B1D6" w14:textId="55CC26FD"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lastRenderedPageBreak/>
        <w:t xml:space="preserve">Key words: </w:t>
      </w:r>
      <w:r w:rsidR="005F048D" w:rsidRPr="00511005">
        <w:rPr>
          <w:rFonts w:ascii="Arial" w:eastAsia="Times New Roman" w:hAnsi="Arial" w:cs="Arial"/>
          <w:szCs w:val="28"/>
          <w:lang w:val="uk-UA" w:eastAsia="uk-UA"/>
        </w:rPr>
        <w:t>civil procedure, proof, principle, evidence, Ukraine, judicial reform, problems, parties.</w:t>
      </w:r>
    </w:p>
    <w:p w14:paraId="1CFD32F7" w14:textId="556A5454" w:rsidR="005F048D" w:rsidRPr="00511005" w:rsidRDefault="007B2628" w:rsidP="003A292D">
      <w:pPr>
        <w:spacing w:line="264" w:lineRule="auto"/>
        <w:ind w:firstLine="72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І.М. Іліопол</w:t>
      </w:r>
    </w:p>
    <w:p w14:paraId="3898E780"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5CF5F510"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 xml:space="preserve">Бойченко Юлія Владиславівна </w:t>
      </w:r>
    </w:p>
    <w:p w14:paraId="62C73F4D" w14:textId="19F19100"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1-го курсу магістратури</w:t>
      </w:r>
      <w:r w:rsidR="005F048D" w:rsidRPr="00511005">
        <w:rPr>
          <w:rFonts w:ascii="Arial" w:eastAsia="Times New Roman" w:hAnsi="Arial" w:cs="Arial"/>
          <w:szCs w:val="28"/>
          <w:lang w:val="uk-UA" w:eastAsia="uk-UA"/>
        </w:rPr>
        <w:t xml:space="preserve"> </w:t>
      </w:r>
    </w:p>
    <w:p w14:paraId="10D45AAC" w14:textId="397E8730" w:rsidR="005F048D" w:rsidRPr="00511005" w:rsidRDefault="001B7B25"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судового та міжнародного права</w:t>
      </w:r>
      <w:r w:rsidR="005F048D" w:rsidRPr="00511005">
        <w:rPr>
          <w:rFonts w:ascii="Arial" w:eastAsia="Times New Roman" w:hAnsi="Arial" w:cs="Arial"/>
          <w:szCs w:val="28"/>
          <w:lang w:val="uk-UA" w:eastAsia="uk-UA"/>
        </w:rPr>
        <w:t xml:space="preserve"> </w:t>
      </w:r>
    </w:p>
    <w:p w14:paraId="3DA728F7" w14:textId="7B01BEB1"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50DB5336"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ПРАВОВА ПОЗИЦІЯ ВЕРХОВНОГО СУДУ: ВІД РЕКОМЕНДАЦІЙ ДО ОБОВ’ЯЗКОВОСТІ </w:t>
      </w:r>
    </w:p>
    <w:p w14:paraId="0914236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Конституція України визначає Верховний Суд найвищим судом у системі судоустрою України [1]. Рішення ВС та його позиції формують судову практику, яка в свою чергу є обов’язковою для всіх судів. Обов’язковість таких рішень має закріплення в національному законодавстві, зокрема в Законі України «Про судоустрій і статус суддів» та процесуальних кодексах. Основною функцією рішень Верховного суду називають забезпечення і підтримання сталості судової практики. </w:t>
      </w:r>
    </w:p>
    <w:p w14:paraId="649EBF4B"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Для розуміння значення рішень Верховного Суду в цивільному процесі, варто проаналізувати їх функції та дослідити етапи розвитку їх юридичної сили. В ч. 1 ст. 36 Закону України «Про судоустрій і статус суддів» зазначається, що Верховний Суд є найвищим судом у системі судоустрою України. Він забезпечує сталість та єдність судової практики у порядку та спосіб, що визначені процесуальним законом [2]. </w:t>
      </w:r>
    </w:p>
    <w:p w14:paraId="391D85C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Судова практика є цілеспрямованою діяльністю суб’єктів судової системи України зі здійснення правосуддя і сформований на її основі результат у формі правових приписів (правових позицій), які надолужують, доповнюють або змінюють у зв’язку з дефективністю (прогальністю) норм, що регулюють суспільні відносини при розгляді конкретних категорій справ [3, с. 193]. Судова практика кожної інстанції має не однакове значення в аспекті здійснення правосуддя. Рішення Верховного Суду мають братися до уваги всіма судами України, саме вони містять основну думку щодо конкретних рішень в тій, чи іншій справі. Від проголошення незалежності України і до сьогодення сила рішень Верховного Суду в цивільному процесі пройшла певний еволюційний шлях. </w:t>
      </w:r>
    </w:p>
    <w:p w14:paraId="3CA1DB7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 кожними змінами в Цивільному процесуальному кодексі України поступово змінювалося відношення та ставлення до судової практики Верховного Суду. З плином часу значення судової практики цього суду поступово змінювалось – від рекомендаційного характеру до загальнообов’язкового. Варто виділити декілька етапів становлення юридичної сили правових позицій. Першим етапом сили правових позицій можна виділити практику, ще тоді Верховного Суду України, до моменту змін в кодексі від 06.10.2010 року. Остаточні рішення і висновки Верховного Суду </w:t>
      </w:r>
      <w:r w:rsidRPr="00511005">
        <w:rPr>
          <w:rFonts w:ascii="Arial" w:eastAsia="Times New Roman" w:hAnsi="Arial" w:cs="Arial"/>
          <w:szCs w:val="28"/>
          <w:lang w:val="uk-UA" w:eastAsia="uk-UA"/>
        </w:rPr>
        <w:lastRenderedPageBreak/>
        <w:t xml:space="preserve">України мали лише рекомендаційний характер. Сформована правова позиція щодо певного питання стосувалися лише тієї справи, щодо якої було винесене рішення касаційної інстанції. Проте, не дивлячись на це, вже на той час практика касаційної інстанції мала важливе значення у діяльності національних судів. Так, Л. Г. Матвеева зазначає, що постанови Пленуму Верховного Суду, які роз'ясняють питання судової практики, заповнюють істотні прогалини в законодавстві і є, по суті, джерелами права, основою для вирішення судами багатьох справ. [4, с. 104]. </w:t>
      </w:r>
    </w:p>
    <w:p w14:paraId="286E2D18"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Другим етапом є часовий проміжок після змін в кодексі від 06.10.2010 року до 15.12.2017 року. На даному етапі вперше було законодавчо запроваджено взяття до уваги рішень Верховного Суду України в обов’язковому порядку для всіх національних судів. Процесуальне законодавство зазнає змін, зокрема в статті 360-7 ЦПК України в редакції від 06.10. 2010 року зазначалось, що рішення Верховного Суду України, прийняте за наслідками розгляду заяви про перегляд судового рішення з мотивів неоднакового застосування судом (судами) касаційної інстанції одних і тих самих норм матеріального права у подібних правовідносинах, є обов'язковим для всіх суб'єктів владних повноважень, які застосовують у своїй діяльності нормативно-правовий акт, що містить зазначену норму права, та для всіх національних судів. Суди в обов’язковому порядку мають привести свою судову практику у відповідність із рішенням Верховного Суду України [5]. </w:t>
      </w:r>
    </w:p>
    <w:p w14:paraId="25C4ADA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Надалі ЦПК України в редакції від 20.10. 2011 року доповнює ст. 214 положенням, що при виборі і застосуванні правової норми до спірних правовідносин суд має враховувати висновки Верховного Суду України, які викладені у постановах, прийнятих за результатами розгляду заяв про перегляд судового рішення [6]. Проте, через деякий час в цю ж статтю додали що суд може за умов з одночасним наведенням відповідних мотивів, відступити від правової позиції, викладеної у висновках Верховного Суду України [7]. </w:t>
      </w:r>
    </w:p>
    <w:p w14:paraId="0547123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контексті цих подій А. О. Селіванов зазначав, що судова практика розвивається без належного спрямування, оскільки роз’яснення Верховного Суду України мають рекомендаційний характер, а тлумачення, які дає Пленум Верховного Суду України щодо вирішення певних категорій справ, зазвичай не є правилом для всіх судів і тому виникає проблема зниження якості судових рішень, появи умов для порушення принципу єдиної законності [8, с. 2]. </w:t>
      </w:r>
    </w:p>
    <w:p w14:paraId="1292E8C8"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Проаналізувавши даний етап, можна зробити висновки, що були спроби зробити рішення Верховного Суду України загальнообов’язковими для всіх інстанцій, проте вони виявились не дуже вдалими. Виникала проблема в неузгодженості як судової практики, так і в рішеннях судів всіх інстанцій в цілому. З оновленням процесуальних кодексі від 15.12.2017 року </w:t>
      </w:r>
      <w:r w:rsidRPr="00511005">
        <w:rPr>
          <w:rFonts w:ascii="Arial" w:eastAsia="Times New Roman" w:hAnsi="Arial" w:cs="Arial"/>
          <w:szCs w:val="28"/>
          <w:lang w:val="uk-UA" w:eastAsia="uk-UA"/>
        </w:rPr>
        <w:lastRenderedPageBreak/>
        <w:t xml:space="preserve">можна виділити третій етап становлення. В п. 7 ч. 1 Перехідних положень ЦПК України зазначається, що суд, який розглядає справу в касаційному порядку у складі колегії суддів або палати (об’єднаної палати), передає справу на розгляд Великої Палати Верховного Суду, якщо така колегія або палата (об’єднана палата) вирішить за необхідне відступити від правового висновку щодо застосування норми права у подібних правовідносинах, який був викладений в раніше ухваленому рішенні Верховного Суду України [9]. </w:t>
      </w:r>
    </w:p>
    <w:p w14:paraId="28F8EC7E"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 початком функціонування Верховного Суду судова практика Верховного Суду України не втрачає своєї юридичної сили, означене обумовлюється необхідністю підтримання сталості практики судів, поки Верховний Суд в умовах реальної необхідності не сформував власних правових позицій. В умовах сьогодення суди перших та апеляційних інстанцій мають брати до уваги рішення касаційної інстанції, спиратися на їх правові позиції при ухвалені рішення. В ч. 6 ст.13 Закону України «Про судоустрій і статус суддів» зазначається, що висновки щодо застосування норм права, які викладені у постановах Верховного Суду, беруться до уваги іншими судами при застосуванні таких норм права [2]. </w:t>
      </w:r>
    </w:p>
    <w:p w14:paraId="70955B3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На практиці ж навіть якщо суд першої інстанції ухвалює рішення, не взявши до уваги практику Верховного суду з певного питання, за загальною практикою апеляційна або касаційна інстанції скасовують таке рішення. В певній мірі можна говорити про те, що Верховний</w:t>
      </w:r>
    </w:p>
    <w:p w14:paraId="2CD924B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Суд диктує які саме рішення мають приймати суди інших інстанцій. Беручи до уваги той факт, що судова практика Верховного Суду фактично переймає риси джерела права, можна припустити, що Верховний Суд переймає на себе правотворчу функцію, що наразі суперечить законодавству. Судову правотворчість і суддівське право слід розуміти як процес, коли суд шляхом тлумачення змінює зміст правових норм або надає їм нового значення, не передбаченого законодавцем. Верховний Суд не лише забезпечує сталість практики, а й заповнює прогалини в законодавстві. </w:t>
      </w:r>
    </w:p>
    <w:p w14:paraId="21629BA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Практикуючі юристи орієнтуються на судову практику як на ефективний інструмент вирішення спорів, а суди нижчих інстанцій наслідують позиції Верховного Суду, щоб уникнути скасування рішень. Водночас виникає проблема непослідовності: правові позиції Верховного Суду змінюються навіть щодо тотожних питань. Зокрема, у Постанові ВП ВС від 18 грудня 2024 року у справі № 916/379/23 суд відійшов від власного правового висновку, викладеного у постанові від 1 березня 2023 у справі № 522/22473/15-ц, згідно з яким рішення загальних зборів товариства є одностороннім правочином товариства. Між цими рішеннями пройшло не так багато часу, проте Верховний Суд встиг змінити свою позицію [10]. Це свідчить про домінування правотворчої функції над стабілізаційною. Оскільки правотворчість суду не передбачена чинним законодавством, </w:t>
      </w:r>
      <w:r w:rsidRPr="00511005">
        <w:rPr>
          <w:rFonts w:ascii="Arial" w:eastAsia="Times New Roman" w:hAnsi="Arial" w:cs="Arial"/>
          <w:szCs w:val="28"/>
          <w:lang w:val="uk-UA" w:eastAsia="uk-UA"/>
        </w:rPr>
        <w:lastRenderedPageBreak/>
        <w:t>виникає питання щодо перевищення повноважень, яке потребує негайного нормативного врегулювання.</w:t>
      </w:r>
    </w:p>
    <w:p w14:paraId="787E5216" w14:textId="47D8F15C" w:rsidR="007B2628"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45C2B1EA" w14:textId="03D40988" w:rsidR="005F048D" w:rsidRPr="00511005" w:rsidRDefault="005F048D" w:rsidP="003F6A5D">
      <w:pPr>
        <w:numPr>
          <w:ilvl w:val="0"/>
          <w:numId w:val="37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Конституція України: Конституція, Закон від 28.06.1996 № 254к/96-ВР. Дата оновлення: 01.01.2020. URL: </w:t>
      </w:r>
      <w:hyperlink r:id="rId1364">
        <w:r w:rsidRPr="00511005">
          <w:rPr>
            <w:rFonts w:ascii="Arial" w:eastAsia="Times New Roman" w:hAnsi="Arial" w:cs="Arial"/>
            <w:szCs w:val="28"/>
            <w:lang w:val="uk-UA" w:eastAsia="uk-UA"/>
          </w:rPr>
          <w:t>http://zakon3.rada.gov.ua/laws/show/254%D0%BA/96-%D0%B2%D1%80</w:t>
        </w:r>
      </w:hyperlink>
      <w:r w:rsidRPr="00511005">
        <w:rPr>
          <w:rFonts w:ascii="Arial" w:eastAsia="Times New Roman" w:hAnsi="Arial" w:cs="Arial"/>
          <w:szCs w:val="28"/>
          <w:lang w:val="uk-UA" w:eastAsia="uk-UA"/>
        </w:rPr>
        <w:t xml:space="preserve"> </w:t>
      </w:r>
    </w:p>
    <w:p w14:paraId="59304003" w14:textId="77777777" w:rsidR="005F048D" w:rsidRPr="00511005" w:rsidRDefault="005F048D" w:rsidP="003F6A5D">
      <w:pPr>
        <w:numPr>
          <w:ilvl w:val="0"/>
          <w:numId w:val="37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судоустрій і статус суддів: Закон України від 02.06.2016 р. № 1402-VII. Дата оновлення: 25.04.2025 р. URL: </w:t>
      </w:r>
      <w:hyperlink r:id="rId1365" w:anchor="Text">
        <w:r w:rsidRPr="00511005">
          <w:rPr>
            <w:rFonts w:ascii="Arial" w:eastAsia="Times New Roman" w:hAnsi="Arial" w:cs="Arial"/>
            <w:szCs w:val="28"/>
            <w:lang w:val="uk-UA" w:eastAsia="uk-UA"/>
          </w:rPr>
          <w:t>https://zakon.rada.gov.ua/laws/show/1402-19#Text</w:t>
        </w:r>
      </w:hyperlink>
      <w:r w:rsidRPr="00511005">
        <w:rPr>
          <w:rFonts w:ascii="Arial" w:eastAsia="Times New Roman" w:hAnsi="Arial" w:cs="Arial"/>
          <w:szCs w:val="28"/>
          <w:lang w:val="uk-UA" w:eastAsia="uk-UA"/>
        </w:rPr>
        <w:t xml:space="preserve"> </w:t>
      </w:r>
    </w:p>
    <w:p w14:paraId="2B14A369" w14:textId="77777777" w:rsidR="005F048D" w:rsidRPr="00511005" w:rsidRDefault="005F048D" w:rsidP="003F6A5D">
      <w:pPr>
        <w:numPr>
          <w:ilvl w:val="0"/>
          <w:numId w:val="37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Васильєв С.В. Судова практика: поняття, значення і види. Вісник Харківського національного університету імені В.Н. Каразіна. Серія «Право». 2013. № 1082, вип. 16. С. 194. URL: </w:t>
      </w:r>
      <w:hyperlink r:id="rId1366">
        <w:r w:rsidRPr="00511005">
          <w:rPr>
            <w:rFonts w:ascii="Arial" w:eastAsia="Times New Roman" w:hAnsi="Arial" w:cs="Arial"/>
            <w:szCs w:val="28"/>
            <w:lang w:val="uk-UA" w:eastAsia="uk-UA"/>
          </w:rPr>
          <w:t>https://irbis-nbuv.gov.ua/cgi-bin/irbis_nbuv/cgiirbis_64.exe?I21DBN=LINK&amp;P21DBN=UJRN&amp;Z21ID=&amp;S21REF=10&amp;S21CNR=20&amp;S21STN=1&amp;S21FMT=ASP_meta&amp;C21COM=S&amp;2_S21P03=FILA=&amp;2_S21STR=VKhIPR_2013_1082_16_49</w:t>
        </w:r>
      </w:hyperlink>
      <w:r w:rsidRPr="00511005">
        <w:rPr>
          <w:rFonts w:ascii="Arial" w:eastAsia="Times New Roman" w:hAnsi="Arial" w:cs="Arial"/>
          <w:szCs w:val="28"/>
          <w:lang w:val="uk-UA" w:eastAsia="uk-UA"/>
        </w:rPr>
        <w:t xml:space="preserve"> </w:t>
      </w:r>
    </w:p>
    <w:p w14:paraId="51CDB156" w14:textId="77777777" w:rsidR="005F048D" w:rsidRPr="00511005" w:rsidRDefault="005F048D" w:rsidP="003F6A5D">
      <w:pPr>
        <w:numPr>
          <w:ilvl w:val="0"/>
          <w:numId w:val="37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Матвеева Л. Г. Акти тлумачення пленуму Верховного Суду України // Актуальні проблеми держави і права.- 2003 - # 21. URL: </w:t>
      </w:r>
      <w:hyperlink r:id="rId1367">
        <w:r w:rsidRPr="00511005">
          <w:rPr>
            <w:rFonts w:ascii="Arial" w:eastAsia="Times New Roman" w:hAnsi="Arial" w:cs="Arial"/>
            <w:szCs w:val="28"/>
            <w:lang w:val="uk-UA" w:eastAsia="uk-UA"/>
          </w:rPr>
          <w:t>http://apdp.onua.edu.ua/index.php/apdp/article/view/1273/1162</w:t>
        </w:r>
      </w:hyperlink>
      <w:r w:rsidRPr="00511005">
        <w:rPr>
          <w:rFonts w:ascii="Arial" w:eastAsia="Times New Roman" w:hAnsi="Arial" w:cs="Arial"/>
          <w:szCs w:val="28"/>
          <w:lang w:val="uk-UA" w:eastAsia="uk-UA"/>
        </w:rPr>
        <w:t xml:space="preserve"> </w:t>
      </w:r>
    </w:p>
    <w:p w14:paraId="5B1900F0" w14:textId="77777777" w:rsidR="005F048D" w:rsidRPr="00511005" w:rsidRDefault="005F048D" w:rsidP="003F6A5D">
      <w:pPr>
        <w:numPr>
          <w:ilvl w:val="0"/>
          <w:numId w:val="37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Закон України від 06.10.2010 №1618-IV.URL: </w:t>
      </w:r>
      <w:hyperlink r:id="rId1368" w:anchor="Text">
        <w:r w:rsidRPr="00511005">
          <w:rPr>
            <w:rFonts w:ascii="Arial" w:eastAsia="Times New Roman" w:hAnsi="Arial" w:cs="Arial"/>
            <w:szCs w:val="28"/>
            <w:lang w:val="uk-UA" w:eastAsia="uk-UA"/>
          </w:rPr>
          <w:t>https://zakon.rada.gov.ua/laws/show/1618-15/ed20101006#Text</w:t>
        </w:r>
      </w:hyperlink>
      <w:r w:rsidRPr="00511005">
        <w:rPr>
          <w:rFonts w:ascii="Arial" w:eastAsia="Times New Roman" w:hAnsi="Arial" w:cs="Arial"/>
          <w:szCs w:val="28"/>
          <w:lang w:val="uk-UA" w:eastAsia="uk-UA"/>
        </w:rPr>
        <w:t xml:space="preserve"> </w:t>
      </w:r>
    </w:p>
    <w:p w14:paraId="6945E914" w14:textId="77777777" w:rsidR="005F048D" w:rsidRPr="00511005" w:rsidRDefault="005F048D" w:rsidP="003F6A5D">
      <w:pPr>
        <w:numPr>
          <w:ilvl w:val="0"/>
          <w:numId w:val="37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Закон України від 19.10.2011 №1618-IV.URL:</w:t>
      </w:r>
      <w:hyperlink r:id="rId1369" w:anchor="Text">
        <w:r w:rsidRPr="00511005">
          <w:rPr>
            <w:rFonts w:ascii="Arial" w:eastAsia="Times New Roman" w:hAnsi="Arial" w:cs="Arial"/>
            <w:szCs w:val="28"/>
            <w:lang w:val="uk-UA" w:eastAsia="uk-UA"/>
          </w:rPr>
          <w:t>https://zakon.rada.gov.ua/laws/show/1618-15/ed20111019#Text</w:t>
        </w:r>
      </w:hyperlink>
      <w:r w:rsidRPr="00511005">
        <w:rPr>
          <w:rFonts w:ascii="Arial" w:eastAsia="Times New Roman" w:hAnsi="Arial" w:cs="Arial"/>
          <w:szCs w:val="28"/>
          <w:lang w:val="uk-UA" w:eastAsia="uk-UA"/>
        </w:rPr>
        <w:t xml:space="preserve"> </w:t>
      </w:r>
    </w:p>
    <w:p w14:paraId="3A0B81B4" w14:textId="77777777" w:rsidR="005F048D" w:rsidRPr="00511005" w:rsidRDefault="005F048D" w:rsidP="003F6A5D">
      <w:pPr>
        <w:numPr>
          <w:ilvl w:val="0"/>
          <w:numId w:val="37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Закон України від 15.12.2017 №1618-IV.URL: </w:t>
      </w:r>
      <w:hyperlink r:id="rId1370" w:anchor="Text">
        <w:r w:rsidRPr="00511005">
          <w:rPr>
            <w:rFonts w:ascii="Arial" w:eastAsia="Times New Roman" w:hAnsi="Arial" w:cs="Arial"/>
            <w:szCs w:val="28"/>
            <w:lang w:val="uk-UA" w:eastAsia="uk-UA"/>
          </w:rPr>
          <w:t>https://zakon.rada.gov.ua/laws/show/1618-15#Text</w:t>
        </w:r>
      </w:hyperlink>
      <w:r w:rsidRPr="00511005">
        <w:rPr>
          <w:rFonts w:ascii="Arial" w:eastAsia="Times New Roman" w:hAnsi="Arial" w:cs="Arial"/>
          <w:szCs w:val="28"/>
          <w:lang w:val="uk-UA" w:eastAsia="uk-UA"/>
        </w:rPr>
        <w:t xml:space="preserve"> </w:t>
      </w:r>
    </w:p>
    <w:p w14:paraId="667B9D45" w14:textId="77777777" w:rsidR="005F048D" w:rsidRPr="00511005" w:rsidRDefault="005F048D" w:rsidP="003F6A5D">
      <w:pPr>
        <w:numPr>
          <w:ilvl w:val="0"/>
          <w:numId w:val="37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Селіванов А. О. Право тлумачити закони та юридичні наслідки застосування офіційної інтерпретації // Вісник Верховного Суду України. – 2006. – № 7. – С. 2-6. </w:t>
      </w:r>
    </w:p>
    <w:p w14:paraId="2F4D59D4" w14:textId="77777777" w:rsidR="005F048D" w:rsidRPr="00511005" w:rsidRDefault="005F048D" w:rsidP="003F6A5D">
      <w:pPr>
        <w:numPr>
          <w:ilvl w:val="0"/>
          <w:numId w:val="37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Закон України від 18.03.2004. № 1618-IV. Дата оновлення: 09.04.2025. URL: </w:t>
      </w:r>
      <w:hyperlink r:id="rId1371">
        <w:r w:rsidRPr="00511005">
          <w:rPr>
            <w:rFonts w:ascii="Arial" w:eastAsia="Times New Roman" w:hAnsi="Arial" w:cs="Arial"/>
            <w:szCs w:val="28"/>
            <w:lang w:val="uk-UA" w:eastAsia="uk-UA"/>
          </w:rPr>
          <w:t>https://zakon.rada.gov.ua/laws/show/1618-15</w:t>
        </w:r>
      </w:hyperlink>
      <w:r w:rsidRPr="00511005">
        <w:rPr>
          <w:rFonts w:ascii="Arial" w:eastAsia="Times New Roman" w:hAnsi="Arial" w:cs="Arial"/>
          <w:szCs w:val="28"/>
          <w:lang w:val="uk-UA" w:eastAsia="uk-UA"/>
        </w:rPr>
        <w:t xml:space="preserve"> </w:t>
      </w:r>
    </w:p>
    <w:p w14:paraId="457BD3DC" w14:textId="77777777" w:rsidR="005F048D" w:rsidRPr="00511005" w:rsidRDefault="005F048D" w:rsidP="003F6A5D">
      <w:pPr>
        <w:numPr>
          <w:ilvl w:val="0"/>
          <w:numId w:val="37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Постанова Великої Палати Верховного Суду від 18.12.2024 у справі № 916/379/23. URL: </w:t>
      </w:r>
      <w:hyperlink r:id="rId1372">
        <w:r w:rsidRPr="00511005">
          <w:rPr>
            <w:rFonts w:ascii="Arial" w:eastAsia="Times New Roman" w:hAnsi="Arial" w:cs="Arial"/>
            <w:szCs w:val="28"/>
            <w:lang w:val="uk-UA" w:eastAsia="uk-UA"/>
          </w:rPr>
          <w:t>https://reyestr.court.gov.ua/Review/124809039</w:t>
        </w:r>
      </w:hyperlink>
    </w:p>
    <w:p w14:paraId="3A7B8174" w14:textId="1488B2B0" w:rsidR="005F048D" w:rsidRPr="00511005" w:rsidRDefault="007B2628" w:rsidP="003A292D">
      <w:pPr>
        <w:spacing w:line="264" w:lineRule="auto"/>
        <w:ind w:firstLine="0"/>
        <w:jc w:val="left"/>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 xml:space="preserve">Верховний Суд, судова практика, правові позиції, судова правотворчість, правова визначеність, єдність судової практики. </w:t>
      </w:r>
    </w:p>
    <w:p w14:paraId="2F221383" w14:textId="6AA9D09F" w:rsidR="005F048D" w:rsidRPr="00511005" w:rsidRDefault="007B2628" w:rsidP="003A292D">
      <w:pPr>
        <w:spacing w:line="264" w:lineRule="auto"/>
        <w:ind w:firstLine="0"/>
        <w:jc w:val="left"/>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 xml:space="preserve">Supreme Court, case law, legal positions, judicial lawmaking, legal certainty, unity of case law. </w:t>
      </w:r>
    </w:p>
    <w:p w14:paraId="4953504C" w14:textId="75C5E0BF" w:rsidR="005F048D" w:rsidRPr="00511005" w:rsidRDefault="007B2628" w:rsidP="003A292D">
      <w:pPr>
        <w:spacing w:line="264" w:lineRule="auto"/>
        <w:ind w:firstLine="0"/>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 ю. н., доцент Полюк Ю.І.</w:t>
      </w:r>
    </w:p>
    <w:p w14:paraId="1C3C46EF" w14:textId="77777777" w:rsidR="005F048D" w:rsidRPr="00511005" w:rsidRDefault="005F048D" w:rsidP="003A292D">
      <w:pPr>
        <w:spacing w:line="264" w:lineRule="auto"/>
        <w:ind w:firstLine="0"/>
        <w:jc w:val="left"/>
        <w:rPr>
          <w:rFonts w:ascii="Arial" w:eastAsia="Times New Roman" w:hAnsi="Arial" w:cs="Arial"/>
          <w:i/>
          <w:szCs w:val="28"/>
          <w:lang w:val="uk-UA" w:eastAsia="uk-UA"/>
        </w:rPr>
      </w:pPr>
    </w:p>
    <w:p w14:paraId="4F79F1B3"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i/>
          <w:szCs w:val="28"/>
          <w:lang w:val="uk-UA" w:eastAsia="uk-UA"/>
        </w:rPr>
        <w:t>Бугаєвська Єлизавета Євгенівна </w:t>
      </w:r>
    </w:p>
    <w:p w14:paraId="143A46AF" w14:textId="56FCBD5C"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3-го курсу </w:t>
      </w:r>
    </w:p>
    <w:p w14:paraId="1AB65535"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факультету цивільної та господарської юстиції </w:t>
      </w:r>
    </w:p>
    <w:p w14:paraId="5FEF9D7B" w14:textId="724F6D49"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r w:rsidR="005F048D" w:rsidRPr="00511005">
        <w:rPr>
          <w:rFonts w:ascii="Arial" w:eastAsia="Times New Roman" w:hAnsi="Arial" w:cs="Arial"/>
          <w:szCs w:val="28"/>
          <w:lang w:val="uk-UA" w:eastAsia="uk-UA"/>
        </w:rPr>
        <w:t> </w:t>
      </w:r>
    </w:p>
    <w:p w14:paraId="6667F4D7" w14:textId="77777777" w:rsidR="007B2628" w:rsidRPr="00511005" w:rsidRDefault="007B2628" w:rsidP="003A292D">
      <w:pPr>
        <w:spacing w:line="264" w:lineRule="auto"/>
        <w:ind w:firstLine="0"/>
        <w:jc w:val="left"/>
        <w:rPr>
          <w:rFonts w:ascii="Arial" w:eastAsia="Times New Roman" w:hAnsi="Arial" w:cs="Arial"/>
          <w:szCs w:val="28"/>
          <w:lang w:val="uk-UA" w:eastAsia="uk-UA"/>
        </w:rPr>
      </w:pPr>
    </w:p>
    <w:p w14:paraId="68F54087" w14:textId="2120123A"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ПРОЦЕСУАЛЬНА ФОРМА ЦИВІЛЬНОГО СУДОЧИНСТВА </w:t>
      </w:r>
    </w:p>
    <w:p w14:paraId="23B9696A"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В ПЕРІОД ДІЇ ВОЄННОГО СТАНУ</w:t>
      </w:r>
    </w:p>
    <w:p w14:paraId="1B0DD057" w14:textId="77777777" w:rsidR="005F048D" w:rsidRPr="00511005" w:rsidRDefault="005F048D" w:rsidP="003A292D">
      <w:pPr>
        <w:spacing w:line="264" w:lineRule="auto"/>
        <w:ind w:left="-90" w:firstLine="708"/>
        <w:rPr>
          <w:rFonts w:ascii="Arial" w:eastAsia="Times New Roman" w:hAnsi="Arial" w:cs="Arial"/>
          <w:szCs w:val="28"/>
          <w:lang w:val="uk-UA" w:eastAsia="uk-UA"/>
        </w:rPr>
      </w:pPr>
      <w:r w:rsidRPr="00511005">
        <w:rPr>
          <w:rFonts w:ascii="Arial" w:eastAsia="Times New Roman" w:hAnsi="Arial" w:cs="Arial"/>
          <w:szCs w:val="28"/>
          <w:lang w:val="uk-UA" w:eastAsia="uk-UA"/>
        </w:rPr>
        <w:t>Правоохоронна система будь-якої держави є основою для реалізації та захисту прав і свобод громадян, а ефективне судочинство – важливим елементом правової держави. Процесуальна форма - це зовнішнє вираження кожної цивільної справи, яка розглядається судом з застосуванням свого тільки йому притаманному змісту з застосуванням законодавства та внутрішнім судженням суду. Процесуальна форма - явище фактичного порядку, вона належить саме відповідній формі [5].</w:t>
      </w:r>
    </w:p>
    <w:p w14:paraId="7BFE625C" w14:textId="77777777"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В умовах динамічного розвитку суспільних відносин, особливо під впливом глобальних та внутрішньодержавних кризових явищ, постає необхідність у вдосконаленні процесуального законодавства.</w:t>
      </w:r>
    </w:p>
    <w:p w14:paraId="69104B92" w14:textId="1818856A"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Зважаючи на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безпрецедентні виклики, з якими зіткнулася Україна упродовж останніх років, зокрема введення воєнного стану в Україні, згідно з Указом Президента України Nº64/2022 "Про введення воєнного стану в Україні", воєнний стан було введено з 24 лютого 2022 року на 30 днів [3]. Пізніше було прийнято рішення про його продовження (наприклад, Указ Президента України Nº133/2022 від 14 березня 2022 року),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а також наслідки пандемії COVID-19, система правосуддя потребувала оновлення механізмів розгляду цивільних справ [4]. Водночас процес адаптації законодавства до європейських стандартів у межах курсу України на євроінтеграцію також став одним із пріоритетних напрямів правотворчої діяльності.</w:t>
      </w:r>
    </w:p>
    <w:p w14:paraId="5E1AF39C" w14:textId="77777777" w:rsidR="007B2628"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У зв’язку з цим у 2017 році було ухвалено нову редакцію Цивільного процесуального кодексу України, яка містить істотні зміни, спрямовані на оптимізацію судочинства, впровадження цифровізації процесів та посилення гарантій прав учасників судового провадження.</w:t>
      </w:r>
    </w:p>
    <w:p w14:paraId="1B5ADE57" w14:textId="3D28B7AB"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Серед основних змін, що відрізняють оновлений ЦПК України від його попередньої редакції, варто відзначити запровадження нових розділів, які регламентують порядок перегляду рішень третейських судів та міжнародних комерційних арбітражів, а також визначають процедури визнання та виконання рішень іноземних судів.</w:t>
      </w:r>
    </w:p>
    <w:p w14:paraId="0810706C" w14:textId="76A21AFF"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Стаття 10</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Закону України «Про правовий режим воєнного стану» встановлює, що навіть за умов військової агресії та надзвичайного стану судова влада повинна функціонувати безперебійно [2]. При цьому будь-які скорочення або прискорені форми судового розгляду в цивільному процесі забороняються. У зв’язку з цим, новим ЦПК передбачено адаптаційні механізми, які б дозволили ефективно реалізовувати правосуддя в надзвичайних умовах, зберігаючи при цьому баланс між оперативністю та якістю судочинства.</w:t>
      </w:r>
    </w:p>
    <w:p w14:paraId="706F0DFD" w14:textId="77777777" w:rsidR="007B2628"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Однією з вагомих новацій оновленого ЦПК є детальна регламентація порядку перегляду рішень третейських судів та міжнародних арбітражних інституцій. Вперше в історії українського цивільного процесуального законодавства чітко визначено механізм судового контролю за такими рішеннями [1].</w:t>
      </w:r>
    </w:p>
    <w:p w14:paraId="467979E6" w14:textId="4B00955E"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Зокрема, судами першої та апеляційної інстанцій надано повноваження щодо:</w:t>
      </w:r>
    </w:p>
    <w:p w14:paraId="3D46572E" w14:textId="4CDCED87" w:rsidR="005F048D" w:rsidRPr="00511005" w:rsidRDefault="005F048D" w:rsidP="003A292D">
      <w:pPr>
        <w:spacing w:line="264" w:lineRule="auto"/>
        <w:ind w:left="-90" w:firstLine="708"/>
        <w:rPr>
          <w:rFonts w:ascii="Arial" w:eastAsia="Times New Roman" w:hAnsi="Arial" w:cs="Arial"/>
          <w:szCs w:val="28"/>
          <w:lang w:val="uk-UA" w:eastAsia="uk-UA"/>
        </w:rPr>
      </w:pPr>
      <w:r w:rsidRPr="00511005">
        <w:rPr>
          <w:rFonts w:ascii="Arial" w:eastAsia="Times New Roman" w:hAnsi="Arial" w:cs="Arial"/>
          <w:szCs w:val="28"/>
          <w:lang w:val="uk-UA" w:eastAsia="uk-UA"/>
        </w:rPr>
        <w:t>•</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розгляду заяв про скасування, визнання та приведення у виконання рішень міжнародного арбітражу;</w:t>
      </w:r>
    </w:p>
    <w:p w14:paraId="4E8B4565" w14:textId="77777777" w:rsidR="005F048D" w:rsidRPr="00511005" w:rsidRDefault="005F048D" w:rsidP="003A292D">
      <w:pPr>
        <w:spacing w:line="264" w:lineRule="auto"/>
        <w:ind w:left="-90" w:firstLine="708"/>
        <w:rPr>
          <w:rFonts w:ascii="Arial" w:eastAsia="Times New Roman" w:hAnsi="Arial" w:cs="Arial"/>
          <w:szCs w:val="28"/>
          <w:lang w:val="uk-UA" w:eastAsia="uk-UA"/>
        </w:rPr>
      </w:pPr>
      <w:r w:rsidRPr="00511005">
        <w:rPr>
          <w:rFonts w:ascii="Arial" w:eastAsia="Times New Roman" w:hAnsi="Arial" w:cs="Arial"/>
          <w:szCs w:val="28"/>
          <w:lang w:val="uk-UA" w:eastAsia="uk-UA"/>
        </w:rPr>
        <w:t>• прийняття клопотань про вжиття заходів забезпечення позову, витребування доказів та допит свідків, що сприяє більш ефективному розгляду справ.</w:t>
      </w:r>
    </w:p>
    <w:p w14:paraId="7F56210A" w14:textId="77777777" w:rsidR="007B2628" w:rsidRPr="00511005" w:rsidRDefault="005F048D" w:rsidP="003A292D">
      <w:pPr>
        <w:spacing w:line="264" w:lineRule="auto"/>
        <w:ind w:firstLine="430"/>
        <w:rPr>
          <w:rFonts w:ascii="Arial" w:eastAsia="Times New Roman" w:hAnsi="Arial" w:cs="Arial"/>
          <w:szCs w:val="28"/>
          <w:lang w:val="uk-UA" w:eastAsia="uk-UA"/>
        </w:rPr>
      </w:pPr>
      <w:r w:rsidRPr="00511005">
        <w:rPr>
          <w:rFonts w:ascii="Arial" w:eastAsia="Times New Roman" w:hAnsi="Arial" w:cs="Arial"/>
          <w:szCs w:val="28"/>
          <w:lang w:val="uk-UA" w:eastAsia="uk-UA"/>
        </w:rPr>
        <w:t>Також ст. 457 ЦПК України визначає, що заява про оскарження рішення третейського суду чи міжнародного комерційного арбітражу підлягає розгляду одноособово суддею у строк не більше 30 днів з моменту її надходження до суду [1].</w:t>
      </w:r>
    </w:p>
    <w:p w14:paraId="1390B0FF" w14:textId="6F7890C1"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Суттєвим доповненням стала стаття 11 Цивільного процесуального кодексу України, яка закріпила принцип пропорційності, який орієнтує судову владу на забезпечення розумного балансу між приватними та публічними інтересами, а також врахування:</w:t>
      </w:r>
    </w:p>
    <w:p w14:paraId="30E2DCD0" w14:textId="77777777"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 складності справи;</w:t>
      </w:r>
    </w:p>
    <w:p w14:paraId="0A3DD78E" w14:textId="77777777"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 значущості її розгляду для сторін;</w:t>
      </w:r>
    </w:p>
    <w:p w14:paraId="01831AB6" w14:textId="77777777"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 ціни позову;</w:t>
      </w:r>
    </w:p>
    <w:p w14:paraId="1DA46D78" w14:textId="77777777"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 необхідності зменшення судових витрат та часу розгляду справи [1].</w:t>
      </w:r>
    </w:p>
    <w:p w14:paraId="44650537" w14:textId="77777777" w:rsidR="007B2628"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Такий підхід сприяє підвищенню ефективності цивільного судочинства та зменшенню ризику затягування процесів.</w:t>
      </w:r>
    </w:p>
    <w:p w14:paraId="02A4A1FD" w14:textId="263E7040"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ЦПК також передбачає вдосконалення механізму подачі процесуальних документів через Єдину судову інформаційно-комунікаційну систему. Відповідно до статті 14 ЦПК, усі позовні заяви, скарги та інші документи підлягають обов’язковій електронній реєстрації в день їх надходження до суду. Це сприяє прозорості судового процесу та мінімізує ризики втрати або маніпулювання документацією [1].</w:t>
      </w:r>
    </w:p>
    <w:p w14:paraId="1780A39C" w14:textId="77777777" w:rsidR="007B2628"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Інноваційним аспектом є розширення можливостей участі у судових засіданнях через відеоконференцію. Відповідно до статті 212 ЦПК, учасники справи мають право брати участь у судовому процесі дистанційно, якщо їх особиста присутність у залі судового засідання не є обов’язковою [1].</w:t>
      </w:r>
    </w:p>
    <w:p w14:paraId="3EC6644D" w14:textId="7285F122"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Окремої уваги заслуговують зміни, внесені до статті 317 ЦПК України. Відтепер копія судового рішення повинна бути видана учасникам справи негайно після його ухвалення або ж невідкладно направлена до відповідного органу державної реєстрації актів цивільного стану [1].</w:t>
      </w:r>
    </w:p>
    <w:p w14:paraId="5C02B28F" w14:textId="77777777" w:rsidR="005F048D" w:rsidRPr="00511005" w:rsidRDefault="005F048D" w:rsidP="003A292D">
      <w:pPr>
        <w:spacing w:line="264" w:lineRule="auto"/>
        <w:ind w:left="-90" w:firstLine="5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Отже, оновлення ЦПК України є важливим кроком у напрямку модернізації цивільного судочинства. Запроваджені зміни сприяють </w:t>
      </w:r>
      <w:r w:rsidRPr="00511005">
        <w:rPr>
          <w:rFonts w:ascii="Arial" w:eastAsia="Times New Roman" w:hAnsi="Arial" w:cs="Arial"/>
          <w:szCs w:val="28"/>
          <w:lang w:val="uk-UA" w:eastAsia="uk-UA"/>
        </w:rPr>
        <w:lastRenderedPageBreak/>
        <w:t>підвищенню ефективності розгляду справ, забезпечують інтеграцію європейських стандартів у національну правову систему, а також адаптують правосуддя до сучасних реалій, зокрема умов воєнного стану.</w:t>
      </w:r>
    </w:p>
    <w:p w14:paraId="6E8907D1" w14:textId="77777777" w:rsidR="005F048D" w:rsidRPr="00511005" w:rsidRDefault="005F048D" w:rsidP="003A292D">
      <w:pPr>
        <w:spacing w:line="264" w:lineRule="auto"/>
        <w:ind w:firstLine="0"/>
        <w:jc w:val="left"/>
        <w:rPr>
          <w:rFonts w:ascii="Arial" w:eastAsia="Times New Roman" w:hAnsi="Arial" w:cs="Arial"/>
          <w:b/>
          <w:szCs w:val="28"/>
          <w:lang w:val="uk-UA" w:eastAsia="uk-UA"/>
        </w:rPr>
      </w:pPr>
    </w:p>
    <w:p w14:paraId="19FDBE09" w14:textId="07AB692D" w:rsidR="005F048D" w:rsidRPr="00511005" w:rsidRDefault="00875A11" w:rsidP="007B2628">
      <w:pPr>
        <w:spacing w:line="264" w:lineRule="auto"/>
        <w:ind w:firstLine="0"/>
        <w:jc w:val="center"/>
        <w:rPr>
          <w:rFonts w:ascii="Arial" w:eastAsia="Times New Roman" w:hAnsi="Arial" w:cs="Arial"/>
          <w:szCs w:val="28"/>
          <w:lang w:val="uk-UA" w:eastAsia="uk-UA"/>
        </w:rPr>
      </w:pPr>
      <w:r>
        <w:rPr>
          <w:rFonts w:ascii="Arial" w:eastAsia="Times New Roman" w:hAnsi="Arial" w:cs="Arial"/>
          <w:b/>
          <w:szCs w:val="28"/>
          <w:lang w:val="uk-UA" w:eastAsia="uk-UA"/>
        </w:rPr>
        <w:t>Список використаних джерел</w:t>
      </w:r>
    </w:p>
    <w:p w14:paraId="36702255" w14:textId="77777777" w:rsidR="005F048D" w:rsidRPr="00511005" w:rsidRDefault="005F048D" w:rsidP="003F6A5D">
      <w:pPr>
        <w:numPr>
          <w:ilvl w:val="0"/>
          <w:numId w:val="350"/>
        </w:numPr>
        <w:tabs>
          <w:tab w:val="left" w:pos="720"/>
        </w:tabs>
        <w:spacing w:line="264" w:lineRule="auto"/>
        <w:ind w:left="-18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від 18 березня 2004 року // Відомості Верховної Ради (ВВР), 2004, URL: </w:t>
      </w:r>
      <w:hyperlink r:id="rId1373" w:anchor="Text">
        <w:r w:rsidRPr="00511005">
          <w:rPr>
            <w:rFonts w:ascii="Arial" w:eastAsia="Times New Roman" w:hAnsi="Arial" w:cs="Arial"/>
            <w:szCs w:val="28"/>
            <w:lang w:val="uk-UA" w:eastAsia="uk-UA"/>
          </w:rPr>
          <w:t>https://zakon.rada.gov.ua/laws/show/1618-15#Text</w:t>
        </w:r>
      </w:hyperlink>
    </w:p>
    <w:p w14:paraId="06E1E02A" w14:textId="77777777" w:rsidR="005F048D" w:rsidRPr="00511005" w:rsidRDefault="005F048D" w:rsidP="003F6A5D">
      <w:pPr>
        <w:numPr>
          <w:ilvl w:val="0"/>
          <w:numId w:val="350"/>
        </w:numPr>
        <w:tabs>
          <w:tab w:val="left" w:pos="720"/>
        </w:tabs>
        <w:spacing w:line="264" w:lineRule="auto"/>
        <w:ind w:left="-18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Закон України «Про правовий режим воєнного стану» від 08.02.2025 № 389-VIII. URL: </w:t>
      </w:r>
      <w:hyperlink r:id="rId1374">
        <w:r w:rsidRPr="00511005">
          <w:rPr>
            <w:rFonts w:ascii="Arial" w:eastAsia="Times New Roman" w:hAnsi="Arial" w:cs="Arial"/>
            <w:szCs w:val="28"/>
            <w:lang w:val="uk-UA" w:eastAsia="uk-UA"/>
          </w:rPr>
          <w:t>https://zakon.rada.gov.ua/go/389-19</w:t>
        </w:r>
      </w:hyperlink>
    </w:p>
    <w:p w14:paraId="22615119" w14:textId="77777777" w:rsidR="005F048D" w:rsidRPr="00511005" w:rsidRDefault="005F048D" w:rsidP="003F6A5D">
      <w:pPr>
        <w:numPr>
          <w:ilvl w:val="0"/>
          <w:numId w:val="350"/>
        </w:numPr>
        <w:tabs>
          <w:tab w:val="left" w:pos="720"/>
        </w:tabs>
        <w:spacing w:line="264" w:lineRule="auto"/>
        <w:ind w:left="-18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Указ Президента України від 24.02.2022 “Про введення воєнного стану в Україні” (№ 64/2022) // Указ затверджено Законом № 2102-IX від 24.02.2022. URL: </w:t>
      </w:r>
      <w:hyperlink r:id="rId1375" w:anchor="Text">
        <w:r w:rsidRPr="00511005">
          <w:rPr>
            <w:rFonts w:ascii="Arial" w:eastAsia="Times New Roman" w:hAnsi="Arial" w:cs="Arial"/>
            <w:szCs w:val="28"/>
            <w:lang w:val="uk-UA" w:eastAsia="uk-UA"/>
          </w:rPr>
          <w:t>https://zakon.rada.gov.ua/laws/show/64/2022#Text</w:t>
        </w:r>
      </w:hyperlink>
    </w:p>
    <w:p w14:paraId="0A70FB82" w14:textId="77777777" w:rsidR="005F048D" w:rsidRPr="00511005" w:rsidRDefault="005F048D" w:rsidP="003F6A5D">
      <w:pPr>
        <w:numPr>
          <w:ilvl w:val="0"/>
          <w:numId w:val="350"/>
        </w:numPr>
        <w:tabs>
          <w:tab w:val="left" w:pos="720"/>
        </w:tabs>
        <w:spacing w:line="264" w:lineRule="auto"/>
        <w:ind w:left="-18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Указ Президента України № 133/2022 від 14.03.2022 “Про продовження строку дії воєнного стану в Україні” // Указ затверджено Законом № 2119-IX від 15.03.2022. URL: </w:t>
      </w:r>
      <w:hyperlink r:id="rId1376">
        <w:r w:rsidRPr="00511005">
          <w:rPr>
            <w:rFonts w:ascii="Arial" w:eastAsia="Times New Roman" w:hAnsi="Arial" w:cs="Arial"/>
            <w:szCs w:val="28"/>
            <w:lang w:val="uk-UA" w:eastAsia="uk-UA"/>
          </w:rPr>
          <w:t>https://www.president.gov.ua/documents/1332022-41737</w:t>
        </w:r>
      </w:hyperlink>
    </w:p>
    <w:p w14:paraId="2B6D7262" w14:textId="77777777" w:rsidR="005F048D" w:rsidRPr="00511005" w:rsidRDefault="005F048D" w:rsidP="003F6A5D">
      <w:pPr>
        <w:numPr>
          <w:ilvl w:val="0"/>
          <w:numId w:val="350"/>
        </w:numPr>
        <w:tabs>
          <w:tab w:val="left" w:pos="720"/>
        </w:tabs>
        <w:spacing w:line="264" w:lineRule="auto"/>
        <w:ind w:left="-18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Правовые формы деятельности в общественном государстве. За ред. Професс. Горшенёва В.М. Х. :1985.82 c.</w:t>
      </w:r>
    </w:p>
    <w:p w14:paraId="20C9F05F" w14:textId="77777777" w:rsidR="005F048D" w:rsidRPr="00511005" w:rsidRDefault="005F048D" w:rsidP="003A292D">
      <w:pPr>
        <w:spacing w:line="264" w:lineRule="auto"/>
        <w:ind w:firstLine="0"/>
        <w:rPr>
          <w:rFonts w:ascii="Arial" w:eastAsia="Times New Roman" w:hAnsi="Arial" w:cs="Arial"/>
          <w:szCs w:val="28"/>
          <w:lang w:val="uk-UA" w:eastAsia="uk-UA"/>
        </w:rPr>
      </w:pPr>
    </w:p>
    <w:p w14:paraId="7E172D06" w14:textId="1C62EE41" w:rsidR="005F048D"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цивільний процес, цивільна процесуальна форма, воєнний стан, правосуддя, судове засідання, правова система.</w:t>
      </w:r>
    </w:p>
    <w:p w14:paraId="5A272814" w14:textId="383F80A7" w:rsidR="005F048D"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civil process, civil procedural form, martial law, justice, court session, legal system.</w:t>
      </w:r>
    </w:p>
    <w:p w14:paraId="2B396C7F" w14:textId="77777777" w:rsidR="005F048D" w:rsidRPr="00511005" w:rsidRDefault="005F048D" w:rsidP="003A292D">
      <w:pPr>
        <w:spacing w:line="264" w:lineRule="auto"/>
        <w:ind w:firstLine="0"/>
        <w:rPr>
          <w:rFonts w:ascii="Arial" w:eastAsia="Times New Roman" w:hAnsi="Arial" w:cs="Arial"/>
          <w:szCs w:val="28"/>
          <w:lang w:val="uk-UA" w:eastAsia="uk-UA"/>
        </w:rPr>
      </w:pPr>
    </w:p>
    <w:p w14:paraId="550406D2" w14:textId="5393ACE1" w:rsidR="005F048D"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д.ю.н. професор Волкова Н.В.</w:t>
      </w:r>
    </w:p>
    <w:p w14:paraId="16869975" w14:textId="77777777" w:rsidR="005F048D" w:rsidRPr="00511005" w:rsidRDefault="005F048D" w:rsidP="003A292D">
      <w:pPr>
        <w:spacing w:line="264" w:lineRule="auto"/>
        <w:rPr>
          <w:rFonts w:ascii="Arial" w:eastAsia="Times New Roman" w:hAnsi="Arial" w:cs="Arial"/>
          <w:i/>
          <w:szCs w:val="28"/>
          <w:lang w:val="uk-UA" w:eastAsia="uk-UA"/>
        </w:rPr>
      </w:pPr>
    </w:p>
    <w:p w14:paraId="44B9D7F3"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Віюк Валерія Юріївна </w:t>
      </w:r>
    </w:p>
    <w:p w14:paraId="289E52D4" w14:textId="5311486B"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3-го курсу </w:t>
      </w:r>
    </w:p>
    <w:p w14:paraId="5CDC68C7"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цивільної та господарської юстиції</w:t>
      </w:r>
    </w:p>
    <w:p w14:paraId="0EAC8B5D"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 Одеська юридична академія»</w:t>
      </w:r>
    </w:p>
    <w:p w14:paraId="0C6B25F0"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5BDE7E14" w14:textId="77777777" w:rsidR="007B2628"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СУД ПРИСЯЖНИХ У ЦИВІЛЬНОМУ ПРОЦЕСІ: ПРОБЛЕМИ ТА ПЕРСПЕКТИВИ </w:t>
      </w:r>
    </w:p>
    <w:p w14:paraId="32AE0A3D"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Тема суд присяжних у цивільному процесі: проблеми та перспективи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є актуальною Україні, як забезпечення більшої прозорості та справедливості судових рішень, а також підвищення рівня довіри громадян до судової системи. У зв’язку з цим постає питання можливості та доцільності впровадження суду присяжних у цивільному процесі, аналізу потенційних проблем і перспектив такого нововведення.</w:t>
      </w:r>
    </w:p>
    <w:p w14:paraId="70F75D81"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Інститут суду присяжних у цивільному судочинстві — це елемент демократичного правосуддя, який дозволяє громадянам бути </w:t>
      </w:r>
      <w:r w:rsidRPr="00511005">
        <w:rPr>
          <w:rFonts w:ascii="Arial" w:eastAsia="Times New Roman" w:hAnsi="Arial" w:cs="Arial"/>
          <w:szCs w:val="28"/>
          <w:lang w:val="uk-UA" w:eastAsia="uk-UA"/>
        </w:rPr>
        <w:lastRenderedPageBreak/>
        <w:t>безпосередніми учасниками процесу ухвалення судових рішень. Його застосування у цивільних справах, на відміну від кримінальних, є обмеженим, але потенційно надзвичайно важливим для забезпечення об'єктивності, публічності й підвищення довіри суспільства до судової системи. [3]</w:t>
      </w:r>
    </w:p>
    <w:p w14:paraId="72D81756"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Суд присяжних в Україні має глибоке історичне коріння, що сягає судової реформи 1864 року. Тоді присяжні, обрані з місцевих жителів, мали реальний вплив на судові рішення. У радянський період інститут присяжних був ліквідований і замінений на систему народних засідателів. Їх роль обмежувалася участю в судовому процесі разом із професійним суддею, без права самостійного ухвалення рішень, що фактично позбавило громадськість можливості впливати на правосуддя. [6]</w:t>
      </w:r>
    </w:p>
    <w:p w14:paraId="28D98D5E"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Після здобуття незалежності у 1991 році Україна зробила важливий крок до відновлення цього демократичного інституту, закріпивши на конституційному рівні право громадян брати участь у здійсненні правосуддя (статті 124–128 Конституції України). Проте на практиці суд присяжних був запроваджений лише у кримінальному процесі — після прийняття Кримінального процесуального кодексу України у 2012 році.</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Натомість у сфері цивільного судочинства інститут присяжних досі залишається практично не задіяним, що суперечить загальній тенденції до демократизації судової системи та потребує подальшого розвитку і законодавчого врегулювання. [1]</w:t>
      </w:r>
    </w:p>
    <w:p w14:paraId="53420768"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Суд присяжних – це форма здійснення судової влади, за якої громадяни безпосередньо беруть участь у процесі правосуддя. Як самостійний соціально-політичний інститут, він складається з колегії присяжних засідателів і професійного судді або суддів. Присяжні мають право ухвалювати ключові рішення без втручання професійних суддів, що захищає суспільство від можливих зловживань з боку держави. У цивільному процесі це дозволяє враховувати морально-етичні, соціальні й гуманітарні аспекти справ. Присяжні мають можливість оцінювати докази з точки зору життєвого досвіду, що в багатьох випадках забезпечує справедливішу оцінку ситуації. [3]</w:t>
      </w:r>
    </w:p>
    <w:p w14:paraId="027CE861"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Нормативно-правове регулювання суду присяжних в Україні є частковим. У Конституції закріплено право на участь у правосудді через присяжних, проте Цивільний процесуальний кодекс не містить норм щодо широкого залучення присяжних у цивільних справах. Закон «Про судоустрій і статус суддів» визначає присяжних як громадян, які беруть участь у розгляді справ за згодою, але лише в певних категоріях справ — наприклад, щодо обмеження дієздатності, усиновлення або госпіталізації до психіатричних закладів. Це свідчить про дуже вузьке застосування інституту в практиці.[2]</w:t>
      </w:r>
    </w:p>
    <w:p w14:paraId="42A84E25"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Міжнародний досвід засвідчує ефективність суду присяжних у багатьох правових системах. У Великобританії, США, Канаді присяжні ухвалюють вердикти окремо від суддів. У країнах континентальної Європи, таких як Франція, Німеччина, Бельгія, рішення ухвалюються спільно — присяжні входять до складу колегії разом із суддями. Модель суду присяжних дозволяє зробити судочинство більш відкритим, зменшити ризик корупції та зловживань, захистити права людини. Проте її ефективність залежить від рівня правової культури суспільства, доступності правових знань та якості процедури добору присяжних. [5]</w:t>
      </w:r>
    </w:p>
    <w:p w14:paraId="76FA9DBE"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Проблемами впровадження суду присяжних у цивільному судочинстві є відсутність чітких механізмів правозастосування, невизначене коло справ, недостатня правова підготовка присяжних, а також певна формальність участі громадян у судовому процесі. Крім того, інституційні бар’єри, зокрема надмірна роль судді в ухваленні рішень, знижують ефективність цього інституту. [4]</w:t>
      </w:r>
    </w:p>
    <w:p w14:paraId="33608D1D"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Серед перспектив удосконалення інституту суду присяжних можна виділити: розширення переліку справ, які можуть розглядатися за участю присяжних; зниження вікового цензу (нині — 30 років); впровадження освітніх програм для присяжних; забезпечення їх реальної рівності із суддями при винесенні рішень; створення прозорих процедур добору; підвищення громадської обізнаності. Також обговорюється можливість переходу від континентальної моделі (спільне рішення з суддею) до змішаної або навіть класичної англо-американської моделі, де присяжні мають більшу автономію. [3]</w:t>
      </w:r>
    </w:p>
    <w:p w14:paraId="575C6094" w14:textId="078278CA"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Підсумовуючи, можна сказати, що повноцінне впровадження інституту суду присяжних у цивільному процесі України є актуальним і необхідним кроком до зміцнення верховенства права, підвищення довіри до правосуддя та реального залучення громадян до здійснення правосуддя. Для цього потрібно комплексно переглянути законодавство, забезпечити належну підготовку та правову культуру учасників процесу, а також адаптувати найкращі міжнародні практики до українських реалій. Це дозволить реалізувати ідею народовладдя в судовій системі та забезпечити громадянам право на справедливий суд.[6]</w:t>
      </w:r>
    </w:p>
    <w:p w14:paraId="0DF1FE29" w14:textId="77777777" w:rsidR="005F048D" w:rsidRPr="00511005" w:rsidRDefault="005F048D" w:rsidP="003A292D">
      <w:pPr>
        <w:spacing w:line="264" w:lineRule="auto"/>
        <w:ind w:firstLine="0"/>
        <w:rPr>
          <w:rFonts w:ascii="Arial" w:eastAsia="Times New Roman" w:hAnsi="Arial" w:cs="Arial"/>
          <w:szCs w:val="28"/>
          <w:lang w:val="uk-UA" w:eastAsia="uk-UA"/>
        </w:rPr>
      </w:pPr>
    </w:p>
    <w:p w14:paraId="17B0300E" w14:textId="3EB23C17" w:rsidR="005F048D" w:rsidRPr="00511005" w:rsidRDefault="00875A11" w:rsidP="007B2628">
      <w:pPr>
        <w:spacing w:line="264" w:lineRule="auto"/>
        <w:ind w:firstLine="0"/>
        <w:jc w:val="center"/>
        <w:rPr>
          <w:rFonts w:ascii="Arial" w:eastAsia="Times New Roman" w:hAnsi="Arial" w:cs="Arial"/>
          <w:szCs w:val="28"/>
          <w:lang w:val="uk-UA" w:eastAsia="uk-UA"/>
        </w:rPr>
      </w:pPr>
      <w:r>
        <w:rPr>
          <w:rFonts w:ascii="Arial" w:eastAsia="Times New Roman" w:hAnsi="Arial" w:cs="Arial"/>
          <w:b/>
          <w:szCs w:val="28"/>
          <w:lang w:val="uk-UA" w:eastAsia="uk-UA"/>
        </w:rPr>
        <w:t>Список використаних джерел</w:t>
      </w:r>
      <w:r w:rsidR="005F048D" w:rsidRPr="00511005">
        <w:rPr>
          <w:rFonts w:ascii="Arial" w:eastAsia="Times New Roman" w:hAnsi="Arial" w:cs="Arial"/>
          <w:b/>
          <w:szCs w:val="28"/>
          <w:lang w:val="uk-UA" w:eastAsia="uk-UA"/>
        </w:rPr>
        <w:t xml:space="preserve"> </w:t>
      </w:r>
    </w:p>
    <w:p w14:paraId="5D3055A9" w14:textId="77777777" w:rsidR="005F048D" w:rsidRPr="00511005" w:rsidRDefault="005F048D" w:rsidP="003F6A5D">
      <w:pPr>
        <w:numPr>
          <w:ilvl w:val="0"/>
          <w:numId w:val="354"/>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Конституція України від 28.06.1996. Відомості Верховної Ради України. 1996. № 30. Ст. 141.</w:t>
      </w:r>
    </w:p>
    <w:p w14:paraId="225326AA" w14:textId="77777777" w:rsidR="005F048D" w:rsidRPr="00511005" w:rsidRDefault="005F048D" w:rsidP="003F6A5D">
      <w:pPr>
        <w:numPr>
          <w:ilvl w:val="0"/>
          <w:numId w:val="354"/>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Закон України «Про судоустрій і статус суддів» Відомості Верховної Ради (ВВР), 2016, № 31, ст.545</w:t>
      </w:r>
    </w:p>
    <w:p w14:paraId="6AFEFB4E" w14:textId="77777777" w:rsidR="005F048D" w:rsidRPr="00511005" w:rsidRDefault="005F048D" w:rsidP="003F6A5D">
      <w:pPr>
        <w:numPr>
          <w:ilvl w:val="0"/>
          <w:numId w:val="354"/>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 України : академічний курс : підручник для студ. юрид. спец. вищ. навч. закл. / за ред. С.Я. Фурси. Київ : Видавець Фурса С.Я. ; КНТ, 2009. 848</w:t>
      </w:r>
    </w:p>
    <w:p w14:paraId="52FBDE57" w14:textId="77777777" w:rsidR="005F048D" w:rsidRPr="00511005" w:rsidRDefault="005F048D" w:rsidP="003F6A5D">
      <w:pPr>
        <w:numPr>
          <w:ilvl w:val="0"/>
          <w:numId w:val="354"/>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Городовенко В.В. Перспективи впровадження суду присяжних України. Науковий вісник Дніпропетровського державного університету внутрішніх справ 2012. № 2. С. 349–360</w:t>
      </w:r>
    </w:p>
    <w:p w14:paraId="238D84F3" w14:textId="77777777" w:rsidR="005F048D" w:rsidRPr="00511005" w:rsidRDefault="005F048D" w:rsidP="003F6A5D">
      <w:pPr>
        <w:numPr>
          <w:ilvl w:val="0"/>
          <w:numId w:val="354"/>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Грубінков А.В. Проблеми і перспективи запровадження суду присяжних у системі судочинства України: зарубіжний досвід та вітчизняна практика // юридичний науковий електронний журнал - №1/2014 </w:t>
      </w:r>
    </w:p>
    <w:p w14:paraId="073233D9" w14:textId="77777777" w:rsidR="005F048D" w:rsidRPr="00511005" w:rsidRDefault="005F048D" w:rsidP="003F6A5D">
      <w:pPr>
        <w:numPr>
          <w:ilvl w:val="0"/>
          <w:numId w:val="354"/>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Моргун С.О. Суд присяжних в Україні: деякі проблеми діяльності // Право і суспільство - №1 частина 2 /2017</w:t>
      </w:r>
    </w:p>
    <w:p w14:paraId="4DFC0713" w14:textId="77777777" w:rsidR="007B2628" w:rsidRPr="00511005" w:rsidRDefault="007B2628" w:rsidP="003A292D">
      <w:pPr>
        <w:spacing w:line="264" w:lineRule="auto"/>
        <w:ind w:left="720" w:firstLine="0"/>
        <w:rPr>
          <w:rFonts w:ascii="Arial" w:eastAsia="Times New Roman" w:hAnsi="Arial" w:cs="Arial"/>
          <w:szCs w:val="28"/>
          <w:lang w:val="uk-UA" w:eastAsia="uk-UA"/>
        </w:rPr>
      </w:pPr>
    </w:p>
    <w:p w14:paraId="4A8905DB" w14:textId="2D5763E8" w:rsidR="007B2628" w:rsidRPr="00511005" w:rsidRDefault="007B2628" w:rsidP="003A292D">
      <w:pPr>
        <w:tabs>
          <w:tab w:val="left" w:pos="0"/>
        </w:tabs>
        <w:spacing w:line="264" w:lineRule="auto"/>
        <w:ind w:firstLine="851"/>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i/>
          <w:szCs w:val="28"/>
          <w:lang w:val="uk-UA" w:eastAsia="uk-UA"/>
        </w:rPr>
        <w:t xml:space="preserve">суд присяжних, цивільний процес, прозорість, справедливість, довіра до суду, демократичне правосуддя, громадяни, судові рішення, історія суду присяжних, правова підготовка, верховенство права, народовладдя. </w:t>
      </w:r>
    </w:p>
    <w:p w14:paraId="2E326602" w14:textId="1EF79582" w:rsidR="007B2628" w:rsidRPr="00511005" w:rsidRDefault="007B2628" w:rsidP="003A292D">
      <w:pPr>
        <w:tabs>
          <w:tab w:val="left" w:pos="0"/>
        </w:tabs>
        <w:spacing w:line="264" w:lineRule="auto"/>
        <w:ind w:firstLine="851"/>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i/>
          <w:szCs w:val="28"/>
          <w:lang w:val="uk-UA" w:eastAsia="uk-UA"/>
        </w:rPr>
        <w:t>jury trial, civil process, transparency, fairness, trust in the court, democratic justice, citizens, court decisions, history of jury trial, legal training, rule of law, democracy.</w:t>
      </w:r>
    </w:p>
    <w:p w14:paraId="1DD83D3C" w14:textId="606A36F1" w:rsidR="005F048D" w:rsidRPr="00511005" w:rsidRDefault="007B2628" w:rsidP="003A292D">
      <w:pPr>
        <w:spacing w:line="264" w:lineRule="auto"/>
        <w:ind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д.ю.н. професор Волкова Н.В.</w:t>
      </w:r>
    </w:p>
    <w:p w14:paraId="0BB1EAFC" w14:textId="77777777" w:rsidR="005F048D" w:rsidRPr="00511005" w:rsidRDefault="005F048D" w:rsidP="003A292D">
      <w:pPr>
        <w:spacing w:line="264" w:lineRule="auto"/>
        <w:rPr>
          <w:rFonts w:ascii="Arial" w:eastAsia="Times New Roman" w:hAnsi="Arial" w:cs="Arial"/>
          <w:i/>
          <w:szCs w:val="28"/>
          <w:lang w:val="uk-UA" w:eastAsia="uk-UA"/>
        </w:rPr>
      </w:pPr>
    </w:p>
    <w:p w14:paraId="43908443"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1A2ED975"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Галупа Адріана Олегівна</w:t>
      </w:r>
    </w:p>
    <w:p w14:paraId="12590C30" w14:textId="738C5B86"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3-го курсу </w:t>
      </w:r>
    </w:p>
    <w:p w14:paraId="7D354721"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цивільної та господарської юстиції</w:t>
      </w:r>
    </w:p>
    <w:p w14:paraId="7FF6B7F1" w14:textId="351FC919"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36FB9B9A" w14:textId="77777777" w:rsidR="005F048D" w:rsidRPr="00511005" w:rsidRDefault="005F048D" w:rsidP="003A292D">
      <w:pPr>
        <w:spacing w:line="264" w:lineRule="auto"/>
        <w:ind w:firstLine="0"/>
        <w:rPr>
          <w:rFonts w:ascii="Arial" w:eastAsia="Times New Roman" w:hAnsi="Arial" w:cs="Arial"/>
          <w:b/>
          <w:szCs w:val="28"/>
          <w:lang w:val="uk-UA" w:eastAsia="uk-UA"/>
        </w:rPr>
      </w:pPr>
    </w:p>
    <w:p w14:paraId="6D8D30F1"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ЦИВІЛЬНИЙ ПРОЦЕС У ВОЄННИЙ ЧАС: ЩО ПОТРІБНО ЗНАТИ ПРО ДОКАЗИ?</w:t>
      </w:r>
    </w:p>
    <w:p w14:paraId="5C9B9120"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У цивільному судочинстві докази та процес доказування є надзвичайно важливими, визначаючи правила подання юридично значущої інформації для вирішення спорів, і їх актуальність зберігається навіть в умовах воєнного стану, який вносить специфіку до усталеного порядку, зокрема, сприяючи активнішому використанню електронних доказів через обмеження традиційних способів комунікації; кінцевий результат розгляду цивільних справ прямо залежить від доведеності обставин наданими доказами, де переконливість та достовірність доказової бази є визначальними для справедливого судового рішення, що робить дослідження особливостей доказування під час воєнного стану критично важливим для захисту прав та інтересів учасників процесу.</w:t>
      </w:r>
    </w:p>
    <w:p w14:paraId="571B50F7"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Щодо поняття доказів, то цивільне процесуальне законодавство передбачає, що доказами виступають будь-які відомості, що дозволяють суду встановити існування чи відсутність фактів, які підтверджують аргументи та заперечення сторін, а також інших обставин, важливих для правильного вирішення справи.[1]</w:t>
      </w:r>
    </w:p>
    <w:p w14:paraId="4DFDF37D"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Цивільний процесуальний кодекс України встановлює певні критерії, яким повинні відповідати докази, а саме, вони мають бути: належними (стаття 77 ЦПК), допустимими (частина 1 статті 78 ЦПК), достовірними (стаття 79 ЦПК) та достатніми (стаття 80 ЦПК). [2]</w:t>
      </w:r>
    </w:p>
    <w:p w14:paraId="2272E17F"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Доказ є належним, якщо містить відомості, що стосуються важливих обставин конкретної справи, тобто є релевантним для встановлення фактів. </w:t>
      </w:r>
    </w:p>
    <w:p w14:paraId="2C418BDF"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Допустимим є доказ, отриманий з дотриманням усіх законних вимог та передбачених способів, порушення процедури його отримання унеможливлює його використання судом. </w:t>
      </w:r>
    </w:p>
    <w:p w14:paraId="699FAF78"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Достовірність доказу визначається правдивістю поданої інформації та відсутністю сумнівів у її відповідності дійсності, що підлягає перевірці судом. </w:t>
      </w:r>
    </w:p>
    <w:p w14:paraId="2E1B770C"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Достатність доказів проявляється у їхній сукупності, яка дозволяє суду зробити обґрунтований висновок щодо існування або відсутності ключових обставин справи, де важливим є не лише окремість доказів, а й їхній взаємозв'язок та повнота картини.</w:t>
      </w:r>
    </w:p>
    <w:p w14:paraId="6EB2C2C6"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Доказування в цивільному судочинстві є багатогранним процесом, що поєднує процесуальні дії учасників та суду з глибокою інтелектуальною діяльністю, заснованою на логіці та критичному мисленні, спрямованою на з'ясування фактичних обставин для справедливого вирішення спору та встановлення прав і обов'язків сторін. Цей комплексний процес включає ініціювання, подання, збір, фіксацію, всебічне дослідження, логічний аналіз та оцінку доказів щодо їх достовірності, належності та допустимості, кінцевою метою якого є формування у суду внутрішнього переконання для ухвалення законного рішення.</w:t>
      </w:r>
    </w:p>
    <w:p w14:paraId="5AE727B4"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У цивільному процесі основний тягар доведення покладається на сторони: позивач має підтвердити обставини, що лежать в основі його позову (факти виникнення, зміни чи припинення спірних правовідносин, а також порушення прав), а відповідач зобов'язаний надати докази на обґрунтування своїх заперечень.[2]</w:t>
      </w:r>
    </w:p>
    <w:p w14:paraId="70EB154E"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У цивільному процесі розрізняють основний предмет доказування, що охоплює обставини, необхідні для вирішення справи по суті, та локальний предмет доказування, який стосується окремих процесуальних питань, таких як обґрунтування застосування судом заходів забезпечення позову. [2]</w:t>
      </w:r>
    </w:p>
    <w:p w14:paraId="059D4747"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широкому сенсі предмет доказування включає комплекс обставин, важливих для судового рішення, а саме: юридичні факти, що обґрунтовують позовні вимоги та заперечення, процесуально-правові факти, а також факти для виховних і запобіжних заходів.[2] </w:t>
      </w:r>
    </w:p>
    <w:p w14:paraId="7DC41EAB"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Процес доказування в цивільному судочинстві спрямований на всебічне дослідження обставин, які мають подвійну природу: фактичні обставини (конкретні події) та юридичні обставини (правова кваліфікація фактів).</w:t>
      </w:r>
    </w:p>
    <w:p w14:paraId="67D988F2"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Судові докази класифікуються за джерелом отримання інформації на особисті та речові. Джерелом доказу є об'єкт або суб'єкт, де зафіксовані факти, що мають значення для цивільної справи. Цей "носій інформації" є першоджерелом відомостей, які стають доказами в суді.</w:t>
      </w:r>
    </w:p>
    <w:p w14:paraId="1F678B73"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Особисті докази походять від фізичних осіб, інформація відображається у їхній свідомості, які безпосередньо сприймали події або володіють знаннями про важливі факти. До них належать пояснення сторін, показання свідків, письмові пояснення третіх осіб.</w:t>
      </w:r>
    </w:p>
    <w:p w14:paraId="625D84F4"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Речові докази, на відміну від особистих, своїм джерелом мають матеріальні предмети, які несуть інформацію про юридично значущі обставини через свої зовнішні ознаки, властивості, сліди або стан. Це можуть бути документи, фото-, відеоматеріали, речовини, предмети правопорушень, пошкоджене майно. Окремо слід виділити висновок експерта, який має змішану природу: за формою це письмовий документ (речовий носій), але ключовим джерелом знань є експерт, який на основі спеціальних знань досліджує матеріальні об'єкти, поєднуючи особисті знання з аналізом досліджуваних об'єктів.</w:t>
      </w:r>
    </w:p>
    <w:p w14:paraId="38C27E1A"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З початком воєнного стану цивільний процес зазнав змін у питаннях доказів та доказування, хоча основні принципи залишилися незмінними; воєнний стан визнається об'єктивною причиною для поновлення пропущених процесуальних строків, включаючи строки подання доказів, і суди з розумінням ставляться до затримок, спричинених бойовими діями та евакуацією; водночас зростає значення електронних доказів, які офіційно отримали юридичний статус у цивільному процесі з 2017 року, до цього їх часто кваліфікували як письмові або речові докази. [3]</w:t>
      </w:r>
    </w:p>
    <w:p w14:paraId="186C6FC8"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Електронні докази мають значні переваги, оскільки їх нематеріальна форма забезпечує дистанційний та оперативний обмін інформацією між сторонами та судом. Їх універсальність дозволяє об'єднувати різні види цифрової інформації для цілісного розуміння подій, що робить їх незамінними під час воєнного стану, коли традиційне збирання доказів ускладнене, сприяючи таким чином доступу до правосуддя.</w:t>
      </w:r>
    </w:p>
    <w:p w14:paraId="13091850"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В Україні функціонує підсистема «Електронний суд», складова ЄСІТС, яка є ефективним інструментом для забезпечення правосуддя в умовах війни. Активне використання електронних доказів є необхідністю, оскільки сучасні виклики ускладнюють звичайний судовий процес. Електронна судова система забезпечує дистанційне надсилання документів, обмін інформацією та онлайн-відстеження справ, що не лише полегшує доказування, але й підвищує безпеку учасників процесу.[3]</w:t>
      </w:r>
    </w:p>
    <w:p w14:paraId="5EF66191"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Примітно, що Верховний Суд у своїй практиці підтвердив можливість використання електронних доказів, таких як скріншоти повідомлень та роздруківки з Viber, для встановлення обставин у справах. Зокрема, у постанові КЦС ВС від 13 липня 2020 року у справі № 753/10840/19 такі </w:t>
      </w:r>
      <w:r w:rsidRPr="00511005">
        <w:rPr>
          <w:rFonts w:ascii="Arial" w:eastAsia="Times New Roman" w:hAnsi="Arial" w:cs="Arial"/>
          <w:szCs w:val="28"/>
          <w:lang w:val="uk-UA" w:eastAsia="uk-UA"/>
        </w:rPr>
        <w:lastRenderedPageBreak/>
        <w:t>докази з погрозами чоловіка колишній дружині були прийняті судом у справі про обмежувальний припис.</w:t>
      </w:r>
    </w:p>
    <w:p w14:paraId="2D09F3D5"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Незважаючи на відсутність окремої статті щодо доказів у справах, пов'язаних з воєнними діями, суди застосовують загальні норми ЦПК України, враховуючи специфіку таких справ. Зокрема, у справах про встановлення фактів народження або смерті на окупованих територіях, суди можуть приймати наявні письмові докази, свідчення та пояснення заявників, навіть якщо вони не повністю відповідають стандартним вимогам, якщо це є єдиною можливою доказовою базою в конкретній ситуації. [1]</w:t>
      </w:r>
    </w:p>
    <w:p w14:paraId="71DC0B64"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З огляду на складні обставини воєнного стану в Україні, питання доказів та їхнього подання в цивільних справах стає особливо важливим. Війна вимагає від судової системи та учасників процесів гнучкості та адаптації до обмежень у фізичному доступі до судів та документів. У цьому контексті судова система дійсно зазнає певних змін у підходах до доказування.</w:t>
      </w:r>
    </w:p>
    <w:p w14:paraId="21ADF371" w14:textId="77777777" w:rsidR="005F048D" w:rsidRPr="00511005" w:rsidRDefault="005F048D" w:rsidP="003A292D">
      <w:pPr>
        <w:spacing w:line="264" w:lineRule="auto"/>
        <w:ind w:firstLine="0"/>
        <w:jc w:val="left"/>
        <w:rPr>
          <w:rFonts w:ascii="Arial" w:eastAsia="Times New Roman" w:hAnsi="Arial" w:cs="Arial"/>
          <w:b/>
          <w:szCs w:val="28"/>
          <w:lang w:val="uk-UA" w:eastAsia="uk-UA"/>
        </w:rPr>
      </w:pPr>
    </w:p>
    <w:p w14:paraId="2960F01F" w14:textId="07504EC2" w:rsidR="005F048D" w:rsidRPr="00511005" w:rsidRDefault="007B2628" w:rsidP="007B2628">
      <w:pPr>
        <w:spacing w:line="264" w:lineRule="auto"/>
        <w:ind w:firstLine="567"/>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06E8A657"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1.Цивільно-процесуальний кодекс України : Закон України від 18.03.2004 № 1618-IV : станом на 9 квіт. 2025 р. [Електронний ресурс]. URL: -</w:t>
      </w:r>
      <w:hyperlink r:id="rId1377">
        <w:r w:rsidRPr="00511005">
          <w:rPr>
            <w:rFonts w:ascii="Arial" w:eastAsia="Times New Roman" w:hAnsi="Arial" w:cs="Arial"/>
            <w:szCs w:val="28"/>
            <w:lang w:val="uk-UA" w:eastAsia="uk-UA"/>
          </w:rPr>
          <w:t>https://zakon.rada.gov.ua/laws/show/1618-15#Text</w:t>
        </w:r>
      </w:hyperlink>
    </w:p>
    <w:p w14:paraId="2641F94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2.Голубєва Н. Ю., Андронов І. В., Волкова Н. В., Яніцька І. А. Доказування та докази в цивільному судочинстві : навч.-метод. посіб. – 2-ге вид., перероб. та доп. [Електронне видання] / Нац. ун-т «Одес. юрид. академія». – Одеса : Фенікс, 2024. – 80 с. URL: </w:t>
      </w:r>
      <w:hyperlink r:id="rId1378">
        <w:r w:rsidRPr="00511005">
          <w:rPr>
            <w:rFonts w:ascii="Arial" w:eastAsia="Times New Roman" w:hAnsi="Arial" w:cs="Arial"/>
            <w:szCs w:val="28"/>
            <w:lang w:val="uk-UA" w:eastAsia="uk-UA"/>
          </w:rPr>
          <w:t>https://dspace.onua.edu.ua/server/api/core/bitstreams</w:t>
        </w:r>
      </w:hyperlink>
      <w:r w:rsidRPr="00511005">
        <w:rPr>
          <w:rFonts w:ascii="Arial" w:eastAsia="Times New Roman" w:hAnsi="Arial" w:cs="Arial"/>
          <w:szCs w:val="28"/>
          <w:lang w:val="uk-UA" w:eastAsia="uk-UA"/>
        </w:rPr>
        <w:t xml:space="preserve"> </w:t>
      </w:r>
    </w:p>
    <w:p w14:paraId="4C03D514"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3.Кичата Л., Шаповалова К. Докази та доказування в цивільному процесі в умовах дії правового режиму воєнного стану. </w:t>
      </w:r>
      <w:r w:rsidRPr="00511005">
        <w:rPr>
          <w:rFonts w:ascii="Arial" w:eastAsia="Times New Roman" w:hAnsi="Arial" w:cs="Arial"/>
          <w:i/>
          <w:szCs w:val="28"/>
          <w:lang w:val="uk-UA" w:eastAsia="uk-UA"/>
        </w:rPr>
        <w:t>UNIVERSUM</w:t>
      </w:r>
      <w:r w:rsidRPr="00511005">
        <w:rPr>
          <w:rFonts w:ascii="Arial" w:eastAsia="Times New Roman" w:hAnsi="Arial" w:cs="Arial"/>
          <w:szCs w:val="28"/>
          <w:lang w:val="uk-UA" w:eastAsia="uk-UA"/>
        </w:rPr>
        <w:t xml:space="preserve">. 2024. № 14. С. 207-211. URL: </w:t>
      </w:r>
      <w:hyperlink r:id="rId1379">
        <w:r w:rsidRPr="00511005">
          <w:rPr>
            <w:rFonts w:ascii="Arial" w:eastAsia="Times New Roman" w:hAnsi="Arial" w:cs="Arial"/>
            <w:szCs w:val="28"/>
            <w:lang w:val="uk-UA" w:eastAsia="uk-UA"/>
          </w:rPr>
          <w:t>https://archive.liga.science/index.php/universum/article/view/1378/1390</w:t>
        </w:r>
      </w:hyperlink>
      <w:r w:rsidRPr="00511005">
        <w:rPr>
          <w:rFonts w:ascii="Arial" w:eastAsia="Times New Roman" w:hAnsi="Arial" w:cs="Arial"/>
          <w:szCs w:val="28"/>
          <w:lang w:val="uk-UA" w:eastAsia="uk-UA"/>
        </w:rPr>
        <w:t xml:space="preserve"> </w:t>
      </w:r>
    </w:p>
    <w:p w14:paraId="4A124F62"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4.Сакара Н. Докази і доказування у цивільному процесі в умовах воєнного стану у практиці Верховного Суду [Електронний ресурс]. URL: </w:t>
      </w:r>
      <w:hyperlink r:id="rId1380">
        <w:r w:rsidRPr="00511005">
          <w:rPr>
            <w:rFonts w:ascii="Arial" w:eastAsia="Times New Roman" w:hAnsi="Arial" w:cs="Arial"/>
            <w:szCs w:val="28"/>
            <w:lang w:val="uk-UA" w:eastAsia="uk-UA"/>
          </w:rPr>
          <w:t>https://supreme.court.gov.ua/supreme/pres-centr/news/1348037/</w:t>
        </w:r>
      </w:hyperlink>
      <w:r w:rsidRPr="00511005">
        <w:rPr>
          <w:rFonts w:ascii="Arial" w:eastAsia="Times New Roman" w:hAnsi="Arial" w:cs="Arial"/>
          <w:szCs w:val="28"/>
          <w:lang w:val="uk-UA" w:eastAsia="uk-UA"/>
        </w:rPr>
        <w:t xml:space="preserve"> </w:t>
      </w:r>
    </w:p>
    <w:p w14:paraId="3B7C4AC1" w14:textId="77777777" w:rsidR="005F048D" w:rsidRPr="00511005" w:rsidRDefault="005F048D" w:rsidP="003A292D">
      <w:pPr>
        <w:spacing w:line="264" w:lineRule="auto"/>
        <w:ind w:firstLine="0"/>
        <w:rPr>
          <w:rFonts w:ascii="Arial" w:eastAsia="Times New Roman" w:hAnsi="Arial" w:cs="Arial"/>
          <w:szCs w:val="28"/>
          <w:lang w:val="uk-UA" w:eastAsia="uk-UA"/>
        </w:rPr>
      </w:pPr>
    </w:p>
    <w:p w14:paraId="2A4C9406" w14:textId="0615A87E" w:rsidR="005F048D" w:rsidRPr="00511005" w:rsidRDefault="007B2628" w:rsidP="003A292D">
      <w:pPr>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цивільне судочинство, докази, процес доказування, воєнний стан, електронні докази, особисті докази, речові докази</w:t>
      </w:r>
    </w:p>
    <w:p w14:paraId="56D76FB6" w14:textId="781D3F4D"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civil proceedings, evidence, process of proving, martial law, electronic evidence, personal evidence, real evidence.</w:t>
      </w:r>
    </w:p>
    <w:p w14:paraId="21E5888A" w14:textId="28C64402" w:rsidR="005F048D" w:rsidRPr="00511005" w:rsidRDefault="007B2628" w:rsidP="003A292D">
      <w:pPr>
        <w:spacing w:line="264" w:lineRule="auto"/>
        <w:ind w:firstLine="851"/>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д.ю.н., професор Волкова Н.В.</w:t>
      </w:r>
    </w:p>
    <w:p w14:paraId="7DB3CD6D"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75DCD0BF" w14:textId="77777777" w:rsidR="005F048D" w:rsidRPr="00511005" w:rsidRDefault="005F048D" w:rsidP="003A292D">
      <w:pPr>
        <w:spacing w:line="264" w:lineRule="auto"/>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Гончарова Анастасія В'ячеславівна</w:t>
      </w:r>
    </w:p>
    <w:p w14:paraId="33411CDC" w14:textId="02E54BE6" w:rsidR="005F048D" w:rsidRPr="00511005" w:rsidRDefault="005F048D"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w:t>
      </w:r>
      <w:r w:rsidR="00582D67">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1-го курсу магістратури</w:t>
      </w:r>
    </w:p>
    <w:p w14:paraId="63FCE5EF" w14:textId="77777777" w:rsidR="005F048D" w:rsidRPr="00511005" w:rsidRDefault="005F048D"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цивільної та господарської юстиції</w:t>
      </w:r>
    </w:p>
    <w:p w14:paraId="780DDCA2" w14:textId="0AC53C8C" w:rsidR="005F048D" w:rsidRPr="00511005" w:rsidRDefault="007B2628"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46D638C0" w14:textId="77777777" w:rsidR="005F048D" w:rsidRPr="00511005" w:rsidRDefault="005F048D" w:rsidP="003A292D">
      <w:pPr>
        <w:spacing w:line="264" w:lineRule="auto"/>
        <w:jc w:val="center"/>
        <w:rPr>
          <w:rFonts w:ascii="Arial" w:eastAsia="Times New Roman" w:hAnsi="Arial" w:cs="Arial"/>
          <w:szCs w:val="28"/>
          <w:lang w:val="uk-UA" w:eastAsia="uk-UA"/>
        </w:rPr>
      </w:pPr>
    </w:p>
    <w:p w14:paraId="234BE802"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ТЕОРЕТИКО-ПРАВОВИЙ АНАЛІЗ ПРАВА НА ПОЗОВ У ЦИВІЛЬНОМУ ПРОЦЕСІ УКРАЇНИ ТА ЙОГО ПРОБЛЕМАТИКА</w:t>
      </w:r>
    </w:p>
    <w:p w14:paraId="3210486E"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Судовий захист є однією з найдавніших та найвідоміших форм захисту порушених прав. Він, як правило, виступає гарантією дотримання принципів законності та справедливості у вирішенні спорів. Стаття 129 Конституції України закріплює положення щодо якого правосуддя в Україні здійснюється виключно судами, і це дає підстави стверджувати, що судова форма захисту прав є основною та найрозповсюдженішою [1, с. 30].</w:t>
      </w:r>
    </w:p>
    <w:p w14:paraId="35B7642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Для початку судового розгляду цивільної справи необхідна особлива форма звернення до суду – позовна заява. Позовна заява – це процесуальний документ, за допомогою якого особа може ініціювати судовий розгляд справи, а також конкретизувати свої вимоги до відповідача. Теоретично з її подачею все легко і зрозуміло, однак на практиці часто виникають складнощі через те, що позивач не завжди враховує наявність такої важливої передумови як «право на позов».</w:t>
      </w:r>
    </w:p>
    <w:p w14:paraId="578ADF5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Актуальність цієї теми досі залишається на високому рівні, оскільки право на позов є доволі неоднозначним явищем, щодо якого вже тривалий час виникає багато наукових дискусій. Серед відомих українських правознавців, які цікавилися природою права на позов, можна виділити таких: Колядіну Н.Г., Петровського А.В., Погрібного С.О., Братель О.Г., Литовченко Л.Л., Рябченко Ю.Ю., Сухоноса В.В., Немеш П.Ф., Лук’янець Д.М., Гуйвана П.Д., Баранкову В.В., Гурвича М.А.та інших. Інтерес дослідження полягає у тому, що через недосконалість законодавства виникає багато суперечностей, внаслідок чого процедура подачі позовної заяви та її розгляду стає незрозумілою.</w:t>
      </w:r>
    </w:p>
    <w:p w14:paraId="05A8353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Розпочинаючи дослідження, хотілося б звернути увагу на те, що досі не існує навіть закріпленого законодавчого визначення поняття «права на позов». У статті 4 Цивільного процесуального кодексу України передбачене лише «право на звернення до суду за захистом», однак ототожнення цих понять є помилкою [2].</w:t>
      </w:r>
    </w:p>
    <w:p w14:paraId="210EB34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науці цивільного процесуального права, право на позов розглядається не лише як право особи на порушення судового розгляду (право на пред’явлення позову), а й як право на вирішення спору (задоволення позовних вимог). Виходячи з цього, право на позов є ширшим поняттям, оскільки містить у собі право на звернення до суду як складову права на судовий захист. </w:t>
      </w:r>
    </w:p>
    <w:p w14:paraId="4BFFC5D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Право на позов реалізується шляхом звернення особи до суду із позовною заявою, яка стає підставою для відкриття судового провадження. Серед цивілістів прийнято досліджувати позов з двох сторін: з матеріально-правової (вимога до відповідача) та процесуально-правової(вимога до </w:t>
      </w:r>
      <w:r w:rsidRPr="00511005">
        <w:rPr>
          <w:rFonts w:ascii="Arial" w:eastAsia="Times New Roman" w:hAnsi="Arial" w:cs="Arial"/>
          <w:szCs w:val="28"/>
          <w:lang w:val="uk-UA" w:eastAsia="uk-UA"/>
        </w:rPr>
        <w:lastRenderedPageBreak/>
        <w:t>суду), тому доречним буде за аналогією так дослідити й право на позов [3, С. 5].</w:t>
      </w:r>
    </w:p>
    <w:p w14:paraId="2E5695C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За своєю природою право на задоволення позову (як складова права на позов) тісно пов’язана з матеріально-правовим аспектом, тоді як право на пред’явлення позову – з процесуальним. Вони зазвичай взаємопов’язані між собою, однак можуть мати і самостійний характер [4, С. 25]. </w:t>
      </w:r>
    </w:p>
    <w:p w14:paraId="4ABD2C7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Досить часто виникають випадки, коли особа, маючи право на задоволення позову (її права дійсно були порушені), не має права на його пред’явлення (наприклад, якщо особа є недієздатною). Або ж навпаки, якщо позовну заяву суд прийняв, але під час її розгляду було встановлено, що позивач є неналежним в цій справі і не має права вимоги до відповідача, то в такому випадку ми можемо говорити не лише про відсутність матеріально-правової складової, але й відсутність в особи права на позов в цілому. </w:t>
      </w:r>
    </w:p>
    <w:p w14:paraId="565EBE85"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Право на позов у цивільному процесі є складним явищем, яке також має певні передумови: об’єктивні та суб’єктивні [5, С. 327].У науці об’єктивні передумови розглядаються як такі обставини, які не залежать від волі людини, однак з їхньою наявністю або відсутністю пов’язується процес подання позовних заяв. Вони ще поділяються на позитивні та негативні.</w:t>
      </w:r>
    </w:p>
    <w:p w14:paraId="0BBFDB7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До позитивних передумов можна віднести такі: передбачена законодавством можливість розгляду справи в порядку цивільного судочинства; підсудність справи суду, а до негативних – відсутність рішення суду, яке набрало законної сили саме за цими позовними вимогами; відсутність ухвали суду про відмову позивача від позову; відсутність ухвали суду про затвердження мирової угоди; відсутність відкритої справи по тотожному спору; відсутність застереження про передачу справи на розгляд до третейського суду або арбітражу.</w:t>
      </w:r>
    </w:p>
    <w:p w14:paraId="5A544F2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Щодо суб’єктивних передумов права на позов, то правники відносять до них такі обставини, які певним чином пов’язані з особою позивача, тобто це може бути наявність цивільної процесуальної дієздатності, правоздатності, процесуальної заінтересованості у справі тощо.</w:t>
      </w:r>
    </w:p>
    <w:p w14:paraId="6F6E92D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Якщо звернутися до проблематики права на позов, то, перш за все, хотілося б зазначити, що на рівні законодавства відсутнє належне регулювання цього явища, що значно ускладнює його розуміння. </w:t>
      </w:r>
    </w:p>
    <w:p w14:paraId="0003467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Іншою проблемою є те, що доволі часто позивачі можуть зловживати правом на позов, що призводить до перевантаження судової системи. У своїй ухвалі від 06 вересня 2018 року по справі №552/2378/17Верховний Суд трактує, що у випадках, коли особа своєю поведінкою перевищує межі здійснення суб'єктивних прав, то це є ніщо інше як зловживання особою своїми правами, а тому повинно розглядатися як особливий різновид цивільного процесуального правопорушення [6].</w:t>
      </w:r>
    </w:p>
    <w:p w14:paraId="18B3753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Також негативним аспектом виступає той факт, що за відсутності права на подання позову до суду з процесуальної сторони, особа не завжди </w:t>
      </w:r>
      <w:r w:rsidRPr="00511005">
        <w:rPr>
          <w:rFonts w:ascii="Arial" w:eastAsia="Times New Roman" w:hAnsi="Arial" w:cs="Arial"/>
          <w:szCs w:val="28"/>
          <w:lang w:val="uk-UA" w:eastAsia="uk-UA"/>
        </w:rPr>
        <w:lastRenderedPageBreak/>
        <w:t>може захистити свої порушені права, що суперечить принципу доступності правосуддя, тому необхідно знайти баланс між доступом та дотриманням правових гарантій сторін.</w:t>
      </w:r>
    </w:p>
    <w:p w14:paraId="37A3752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Враховуючи все вищезазначене, можна прийти до висновку, що право на позов у цивільному процесі є складним явищем. З матеріально-правової сторони право на позов розглядається як право на задоволення позову, а з процесуальної – як право на пред’явлення позову. Окрім цього, для подачі позовної заяви необхідна наявність важливих передумов (об’єктивних та суб’єктивних), без дотримання яких суд її не розглядатиме. Варто зазначити, що вони відіграють важливу роль, оскільки допомагають створити умови для законної участі позивача в процесі,не допускають можливості зловживання правами, а також створюють умови длявідбору справ, які не розглядаються у цивільному процесі. Таким чином, для реалізації ефективного судового захисту порушених прав особа повинна мати право на позов в сукупності із дотриманням його ключових передумов.</w:t>
      </w:r>
    </w:p>
    <w:p w14:paraId="14D12741" w14:textId="666A5ADF" w:rsidR="005F048D" w:rsidRPr="00511005" w:rsidRDefault="007B2628" w:rsidP="007B2628">
      <w:pPr>
        <w:spacing w:line="264" w:lineRule="auto"/>
        <w:ind w:firstLine="567"/>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36DBA382" w14:textId="77777777" w:rsidR="005F048D" w:rsidRPr="00511005" w:rsidRDefault="005F048D" w:rsidP="003F6A5D">
      <w:pPr>
        <w:numPr>
          <w:ilvl w:val="0"/>
          <w:numId w:val="376"/>
        </w:numPr>
        <w:tabs>
          <w:tab w:val="left" w:pos="851"/>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Іліопол І.М. Альтернативні форми захисту прав, свобод і законних інтересів /І.М.Іліопол// Альтернативні способи вирішення цивільних спорів: матеріали круглого столу (Одеса, 29 березня 2021 р.) [Електронне видання]/за заг. ред. д. ю. н., професора НЮ Голубєвої; НУ «Одеська юридична академія». Одеса: Фенікс, 2021. С. 29-34. URL:https://hdl.handle.net/11300/21782</w:t>
      </w:r>
    </w:p>
    <w:p w14:paraId="231C833A" w14:textId="77777777" w:rsidR="005F048D" w:rsidRPr="00511005" w:rsidRDefault="005F048D" w:rsidP="003F6A5D">
      <w:pPr>
        <w:numPr>
          <w:ilvl w:val="0"/>
          <w:numId w:val="376"/>
        </w:numPr>
        <w:tabs>
          <w:tab w:val="left" w:pos="851"/>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Закон України від 18.03.2004 № 1618-IV. URL:https://zakon.rada.gov.ua/laws/show/1618-15#n7423</w:t>
      </w:r>
    </w:p>
    <w:p w14:paraId="17E3091C" w14:textId="77777777" w:rsidR="005F048D" w:rsidRPr="00511005" w:rsidRDefault="005F048D" w:rsidP="003F6A5D">
      <w:pPr>
        <w:numPr>
          <w:ilvl w:val="0"/>
          <w:numId w:val="376"/>
        </w:numPr>
        <w:tabs>
          <w:tab w:val="left" w:pos="851"/>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Братель О.Г. Категорії «позов» і «позовна заява» як складові цивільних процесуальних юридичних фактів. </w:t>
      </w:r>
      <w:r w:rsidRPr="00511005">
        <w:rPr>
          <w:rFonts w:ascii="Arial" w:eastAsia="Times New Roman" w:hAnsi="Arial" w:cs="Arial"/>
          <w:i/>
          <w:szCs w:val="28"/>
          <w:lang w:val="uk-UA" w:eastAsia="uk-UA"/>
        </w:rPr>
        <w:t xml:space="preserve">Підприємництво, господарство і право: науково-практичний журнал. </w:t>
      </w:r>
      <w:r w:rsidRPr="00511005">
        <w:rPr>
          <w:rFonts w:ascii="Arial" w:eastAsia="Times New Roman" w:hAnsi="Arial" w:cs="Arial"/>
          <w:szCs w:val="28"/>
          <w:lang w:val="uk-UA" w:eastAsia="uk-UA"/>
        </w:rPr>
        <w:t>Вип. 2 від 2016 р. С.4-12.</w:t>
      </w:r>
    </w:p>
    <w:p w14:paraId="7BE1441F" w14:textId="77777777" w:rsidR="005F048D" w:rsidRPr="00511005" w:rsidRDefault="005F048D" w:rsidP="003F6A5D">
      <w:pPr>
        <w:numPr>
          <w:ilvl w:val="0"/>
          <w:numId w:val="376"/>
        </w:numPr>
        <w:tabs>
          <w:tab w:val="left" w:pos="851"/>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Гуйван П.Д. Процесуально-правові та матеріально-правові чинники права на позов. </w:t>
      </w:r>
      <w:r w:rsidRPr="00511005">
        <w:rPr>
          <w:rFonts w:ascii="Arial" w:eastAsia="Times New Roman" w:hAnsi="Arial" w:cs="Arial"/>
          <w:i/>
          <w:szCs w:val="28"/>
          <w:lang w:val="uk-UA" w:eastAsia="uk-UA"/>
        </w:rPr>
        <w:t>Правові новели: науково-юридичний журнал</w:t>
      </w:r>
      <w:r w:rsidRPr="00511005">
        <w:rPr>
          <w:rFonts w:ascii="Arial" w:eastAsia="Times New Roman" w:hAnsi="Arial" w:cs="Arial"/>
          <w:szCs w:val="28"/>
          <w:lang w:val="uk-UA" w:eastAsia="uk-UA"/>
        </w:rPr>
        <w:t>. Вип. 6 від 2018 р. С. 23-29.</w:t>
      </w:r>
    </w:p>
    <w:p w14:paraId="0BFF4802" w14:textId="77777777" w:rsidR="005F048D" w:rsidRPr="00511005" w:rsidRDefault="005F048D" w:rsidP="003F6A5D">
      <w:pPr>
        <w:numPr>
          <w:ilvl w:val="0"/>
          <w:numId w:val="376"/>
        </w:numPr>
        <w:tabs>
          <w:tab w:val="left" w:pos="851"/>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 України: підручник; за ред. Кучера В.О. Львів:ЛьвДУВС, 2016.768 с.</w:t>
      </w:r>
    </w:p>
    <w:p w14:paraId="5B7A3A2F" w14:textId="77777777" w:rsidR="005F048D" w:rsidRPr="00511005" w:rsidRDefault="005F048D" w:rsidP="003F6A5D">
      <w:pPr>
        <w:numPr>
          <w:ilvl w:val="0"/>
          <w:numId w:val="376"/>
        </w:numPr>
        <w:tabs>
          <w:tab w:val="left" w:pos="851"/>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Ухвала Верховного Суду у складі колегії суддів Першої судової палати Касаційного цивільного суду від 06 вересня 2018 року по справі № 552/2378/17, URL: </w:t>
      </w:r>
      <w:hyperlink r:id="rId1381">
        <w:r w:rsidRPr="00511005">
          <w:rPr>
            <w:rFonts w:ascii="Arial" w:eastAsia="Times New Roman" w:hAnsi="Arial" w:cs="Arial"/>
            <w:szCs w:val="28"/>
            <w:lang w:val="uk-UA" w:eastAsia="uk-UA"/>
          </w:rPr>
          <w:t>https://reyestr.court.gov.ua/Review/76350143</w:t>
        </w:r>
      </w:hyperlink>
      <w:r w:rsidRPr="00511005">
        <w:rPr>
          <w:rFonts w:ascii="Arial" w:eastAsia="Times New Roman" w:hAnsi="Arial" w:cs="Arial"/>
          <w:szCs w:val="28"/>
          <w:lang w:val="uk-UA" w:eastAsia="uk-UA"/>
        </w:rPr>
        <w:t>;</w:t>
      </w:r>
    </w:p>
    <w:p w14:paraId="7B170585" w14:textId="77777777" w:rsidR="005F048D" w:rsidRPr="00511005" w:rsidRDefault="005F048D" w:rsidP="003A292D">
      <w:pPr>
        <w:spacing w:line="264" w:lineRule="auto"/>
        <w:ind w:left="360" w:firstLine="567"/>
        <w:rPr>
          <w:rFonts w:ascii="Arial" w:eastAsia="Times New Roman" w:hAnsi="Arial" w:cs="Arial"/>
          <w:b/>
          <w:szCs w:val="28"/>
          <w:lang w:val="uk-UA" w:eastAsia="uk-UA"/>
        </w:rPr>
      </w:pPr>
    </w:p>
    <w:p w14:paraId="3D3BC776" w14:textId="319D780B" w:rsidR="005F048D" w:rsidRPr="00511005" w:rsidRDefault="005F048D" w:rsidP="003A292D">
      <w:pPr>
        <w:spacing w:line="264" w:lineRule="auto"/>
        <w:ind w:firstLine="851"/>
        <w:rPr>
          <w:rFonts w:ascii="Arial" w:eastAsia="Times New Roman" w:hAnsi="Arial" w:cs="Arial"/>
          <w:szCs w:val="28"/>
          <w:lang w:val="uk-UA" w:eastAsia="uk-UA"/>
        </w:rPr>
      </w:pPr>
      <w:r w:rsidRPr="00582D67">
        <w:rPr>
          <w:rFonts w:ascii="Arial" w:eastAsia="Times New Roman" w:hAnsi="Arial" w:cs="Arial"/>
          <w:b/>
          <w:i/>
          <w:iCs/>
          <w:szCs w:val="28"/>
          <w:lang w:val="uk-UA" w:eastAsia="uk-UA"/>
        </w:rPr>
        <w:t>Ключові слова:</w:t>
      </w:r>
      <w:r w:rsidR="00582D67">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позов, позовна заява, право на позов, суб’єктивні передумови, об’єктивні передумови, правоздатність, дієздатність.</w:t>
      </w:r>
    </w:p>
    <w:p w14:paraId="395FD55B" w14:textId="7FDBFE8A"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claim, statement of claim, right to claim, subjective prerequisites, objective prerequisites, legal capacity, capacity to act.</w:t>
      </w:r>
    </w:p>
    <w:p w14:paraId="2C88D595" w14:textId="019AE7CB" w:rsidR="005F048D" w:rsidRPr="00511005" w:rsidRDefault="007B2628" w:rsidP="003A292D">
      <w:pPr>
        <w:spacing w:line="264" w:lineRule="auto"/>
        <w:ind w:firstLine="851"/>
        <w:rPr>
          <w:rFonts w:ascii="Arial" w:eastAsia="Times New Roman" w:hAnsi="Arial" w:cs="Arial"/>
          <w:i/>
          <w:szCs w:val="28"/>
          <w:lang w:val="uk-UA" w:eastAsia="uk-UA"/>
        </w:rPr>
      </w:pPr>
      <w:r w:rsidRPr="00511005">
        <w:rPr>
          <w:rFonts w:ascii="Arial" w:eastAsia="Times New Roman" w:hAnsi="Arial" w:cs="Arial"/>
          <w:b/>
          <w:i/>
          <w:szCs w:val="28"/>
          <w:lang w:val="uk-UA" w:eastAsia="uk-UA"/>
        </w:rPr>
        <w:lastRenderedPageBreak/>
        <w:t xml:space="preserve">Науковий керівник: </w:t>
      </w:r>
      <w:r w:rsidR="005F048D" w:rsidRPr="00511005">
        <w:rPr>
          <w:rFonts w:ascii="Arial" w:eastAsia="Times New Roman" w:hAnsi="Arial" w:cs="Arial"/>
          <w:i/>
          <w:szCs w:val="28"/>
          <w:lang w:val="uk-UA" w:eastAsia="uk-UA"/>
        </w:rPr>
        <w:t>к.ю.н</w:t>
      </w:r>
      <w:r w:rsidRPr="00511005">
        <w:rPr>
          <w:rFonts w:ascii="Arial" w:eastAsia="Times New Roman" w:hAnsi="Arial" w:cs="Arial"/>
          <w:i/>
          <w:szCs w:val="28"/>
          <w:lang w:val="uk-UA" w:eastAsia="uk-UA"/>
        </w:rPr>
        <w:t xml:space="preserve"> </w:t>
      </w:r>
      <w:r w:rsidR="005F048D" w:rsidRPr="00511005">
        <w:rPr>
          <w:rFonts w:ascii="Arial" w:eastAsia="Times New Roman" w:hAnsi="Arial" w:cs="Arial"/>
          <w:i/>
          <w:szCs w:val="28"/>
          <w:lang w:val="uk-UA" w:eastAsia="uk-UA"/>
        </w:rPr>
        <w:t>доцент Іліопол І.М.</w:t>
      </w:r>
    </w:p>
    <w:p w14:paraId="18768096" w14:textId="77777777" w:rsidR="005F048D" w:rsidRPr="00511005" w:rsidRDefault="005F048D" w:rsidP="003A292D">
      <w:pPr>
        <w:spacing w:line="264" w:lineRule="auto"/>
        <w:ind w:firstLine="567"/>
        <w:rPr>
          <w:rFonts w:ascii="Arial" w:eastAsia="Times New Roman" w:hAnsi="Arial" w:cs="Arial"/>
          <w:i/>
          <w:szCs w:val="28"/>
          <w:lang w:val="uk-UA" w:eastAsia="uk-UA"/>
        </w:rPr>
      </w:pPr>
    </w:p>
    <w:p w14:paraId="152FAA99"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60B07A95"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6D5B9F83"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Джабраїлова Вікторія Володимирівна</w:t>
      </w:r>
    </w:p>
    <w:p w14:paraId="6F034851" w14:textId="77777777" w:rsidR="005F048D" w:rsidRPr="00582D67" w:rsidRDefault="005F048D" w:rsidP="003A292D">
      <w:pPr>
        <w:spacing w:line="264" w:lineRule="auto"/>
        <w:ind w:firstLine="0"/>
        <w:jc w:val="center"/>
        <w:rPr>
          <w:rFonts w:ascii="Arial" w:eastAsia="Times New Roman" w:hAnsi="Arial" w:cs="Arial"/>
          <w:iCs/>
          <w:szCs w:val="28"/>
          <w:lang w:val="uk-UA" w:eastAsia="uk-UA"/>
        </w:rPr>
      </w:pPr>
      <w:r w:rsidRPr="00582D67">
        <w:rPr>
          <w:rFonts w:ascii="Arial" w:eastAsia="Times New Roman" w:hAnsi="Arial" w:cs="Arial"/>
          <w:iCs/>
          <w:szCs w:val="28"/>
          <w:lang w:val="uk-UA" w:eastAsia="uk-UA"/>
        </w:rPr>
        <w:t xml:space="preserve">студентка 1-го кусу магістратури </w:t>
      </w:r>
    </w:p>
    <w:p w14:paraId="6BFA42A2" w14:textId="77777777" w:rsidR="005F048D" w:rsidRPr="00582D67" w:rsidRDefault="005F048D" w:rsidP="003A292D">
      <w:pPr>
        <w:spacing w:line="264" w:lineRule="auto"/>
        <w:ind w:firstLine="0"/>
        <w:jc w:val="center"/>
        <w:rPr>
          <w:rFonts w:ascii="Arial" w:eastAsia="Times New Roman" w:hAnsi="Arial" w:cs="Arial"/>
          <w:iCs/>
          <w:szCs w:val="28"/>
          <w:lang w:val="uk-UA" w:eastAsia="uk-UA"/>
        </w:rPr>
      </w:pPr>
      <w:r w:rsidRPr="00582D67">
        <w:rPr>
          <w:rFonts w:ascii="Arial" w:eastAsia="Times New Roman" w:hAnsi="Arial" w:cs="Arial"/>
          <w:iCs/>
          <w:szCs w:val="28"/>
          <w:lang w:val="uk-UA" w:eastAsia="uk-UA"/>
        </w:rPr>
        <w:t>факультету цивільної та господарської юстиції</w:t>
      </w:r>
    </w:p>
    <w:p w14:paraId="7ADB40C0" w14:textId="4EC4AAB8" w:rsidR="005F048D" w:rsidRPr="00582D67" w:rsidRDefault="007B2628" w:rsidP="003A292D">
      <w:pPr>
        <w:spacing w:line="264" w:lineRule="auto"/>
        <w:ind w:firstLine="0"/>
        <w:jc w:val="center"/>
        <w:rPr>
          <w:rFonts w:ascii="Arial" w:eastAsia="Times New Roman" w:hAnsi="Arial" w:cs="Arial"/>
          <w:iCs/>
          <w:szCs w:val="28"/>
          <w:lang w:val="uk-UA" w:eastAsia="uk-UA"/>
        </w:rPr>
      </w:pPr>
      <w:r w:rsidRPr="00582D67">
        <w:rPr>
          <w:rFonts w:ascii="Arial" w:eastAsia="Times New Roman" w:hAnsi="Arial" w:cs="Arial"/>
          <w:iCs/>
          <w:szCs w:val="28"/>
          <w:lang w:val="uk-UA" w:eastAsia="uk-UA"/>
        </w:rPr>
        <w:t>Національного університету «Одеська юридична академія»</w:t>
      </w:r>
    </w:p>
    <w:p w14:paraId="4850085A"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415D2F40"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МЕДІАЦІЯ ТА АЛЬТЕРНАТИВНЕ ВИРІШЕННЯ СПОРІВ У СИСТЕМІ ЦИВІЛЬНОГО СУДОЧИНСТВА: ІНСТРУМЕНТ РОЗВАНТАЖЕННЯ СУДІВ</w:t>
      </w:r>
    </w:p>
    <w:p w14:paraId="2EEA79D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В умовах воєнного стану в Україні питання ефективності функціонування судової системи набуває особливої актуальності. Збільшення навантаження на суди, обмеженість ресурсів, кадрові виклики та необхідність оперативного реагування на запити громадян зумовлюють потребу у пошуку дієвих механізмів розвантаження судової влади. Одним із таких механізмів є медіація та інші форми альтернативного вирішення спорів.</w:t>
      </w:r>
    </w:p>
    <w:p w14:paraId="745069BE"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Медіація, відповідно до Закону України «Про медіацію», є позасудова добровільна, конфіденційна, структурована процедура, під час якої сторони за допомогою медіатора (медіаторів) намагаються запобігти виникненню або врегулювати конфлікт (спір) шляхом переговорів.[2] В Україні цей інструмент альтернативного вирішення спорів є відносно новим і лише починає формувати власну практику та культуру застосування. Незважаючи на прийняття закону у 2021 році та внесення відповідних змін до процесуального законодавства, медіація поки що не набула широкої популярності. Більшість громадян досі схильні звертатися до суду, вважаючи його єдиним надійним способом захисту прав. Рівень обізнаності про переваги медіації, такі як економія часу, конфіденційність, гнучкість та збереження добрих взаємин між сторонами, залишається низьким як серед громадян, так і серед окремих представників юридичної професії.</w:t>
      </w:r>
    </w:p>
    <w:p w14:paraId="4BF592E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Для ефективного розвитку медіації необхідною є відповідна інфраструктура: наявність кваліфікованих медіаторів, якісні програми навчання, підтримка з боку держави, судів і юридичної спільноти. Наразі ці ресурси зосереджені переважно у великих містах, що обмежує доступ до медіації для мешканців інших регіонів. Відсутність єдиних стандартів і гарантій виконання медіаційної угоди також викликає сумніви щодо надійності цього способу вирішення спорів. Водночас міжнародний досвід країн із розвиненою правовою системою демонструє ефективність медіації, що дає підстави вважати її перспективним напрямом і для України — за умови належної інформаційної підтримки та державного стимулювання.</w:t>
      </w:r>
    </w:p>
    <w:p w14:paraId="2711DC4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Варто враховувати, що медіація не є універсальним засобом вирішення спорів. Вона не може бути застосована у справах щодо встановлення юридичних фактів, визнання або оспорювання батьківства чи материнства, усиновлення, обмеження або позбавлення дієздатності, у публічно-правових спорах, а також у випадках, де хоча б одна сторона заперечує проти її проведення або де конфлікт вимагає негайного судового втручання. Однак значна частина цивільних справ має конфліктний характер, де можливо досягти згоди шляхом взаємних поступок, без обов’язкового залучення суду. У таких випадках альтернативне вирішення спору, зокрема медіація, є доцільним та ефективним способом захисту прав.</w:t>
      </w:r>
    </w:p>
    <w:p w14:paraId="733C24EC"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Держава має активно сприяти популяризації неюрисдикційних способів вирішення спорів. Це можна реалізувати шляхом інформаційних кампаній, впровадження навчальних програм, підтримки професійної підготовки медіаторів, а також залучення судів до просування ідеї мирного врегулювання конфліктів. Широке впровадження альтернативних методів дозволить не лише зменшити навантаження на суди, а й підвищити рівень задоволеності громадян результатами вирішення спорів.</w:t>
      </w:r>
    </w:p>
    <w:p w14:paraId="6561541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Медіація має значний потенціал для розвантаження судової системи. Вирішення значної кількості побутових, сімейних, трудових або майнових спорів без звернення до суду, або на етапі досудового врегулювання, зменшує обсяг справ, що потрапляють до судової системи. Це дає змогу суддям більше зосередитись на складних та пріоритетних справах. </w:t>
      </w:r>
    </w:p>
    <w:p w14:paraId="61E4C967"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Будучи альтернативою судовій процедурі та іншим силовим методам розгляду, медіація має цілий ряд переваг, головною з яких є те, що вирішення спору досягається шляхом прийняття сторонами рішення на добровільний і рівноправній основі, що однаково влаштовує всі зацікавлені сторони так, щоб інтереси всіх учасників спору могли б бути задоволені. Посередництво може також виступати як своєрідний спосіб оптимізації виконання договору. [3, с. 33]</w:t>
      </w:r>
    </w:p>
    <w:p w14:paraId="210F71B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Медіація є більш гнучким процесом порівняно з судовим розглядом, який суворо регламентується процесуальним законодавством. Соціальний інститут медіації формує систему цінностей і етичних норм, сприяє зниженню рівня конфліктності, а також укріплює в суспільстві певні соціальні норми і моделі поведінки. Розвиток і поширення медіаційних технологій сприяють формуванню зразка мирного вирішення спорів, орієнтуючи людей на ефективне, добровільне та конфіденційне співробітництво. Медіатор, у свою чергу, має змогу регулювати процес вирішення конфлікту відповідно до побажань сторін або з огляду на особливості конкретного спору, використовуючи свої знання та досвід для вибору найбільш доцільного підходу.[4, с.182]</w:t>
      </w:r>
    </w:p>
    <w:p w14:paraId="6889AE7A" w14:textId="437D69A0"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Судді також відіграють ключову роль у впровадженні медіації. Відповідно до положень Цивільного процесуального кодексу, суддя має </w:t>
      </w:r>
      <w:r w:rsidRPr="00511005">
        <w:rPr>
          <w:rFonts w:ascii="Arial" w:eastAsia="Times New Roman" w:hAnsi="Arial" w:cs="Arial"/>
          <w:szCs w:val="28"/>
          <w:lang w:val="uk-UA" w:eastAsia="uk-UA"/>
        </w:rPr>
        <w:lastRenderedPageBreak/>
        <w:t>право запропонувати сторонам розгляд спору шляхом медіації, а також роз’яснити її переваги й допомогти з пошуком фахового медіатора. У разі досягнення згоди, суд може оголосити перерву 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розгляді справи, а після завершення процедури — затвердити мирову угоду, що має юридичну силу. Такий механізм забезпечує швидкість вирішення спору та вищий рівень добровільного виконання досягнутих домовленостей. Крім того, судді можуть застосовувати елементи медіативного підходу безпосередньо під час процесу: спонукати сторони до діалогу, пропонувати компромісні варіанти або демонструвати можливі наслідки судового рішення. Це особливо ефективно у справах, де важливо зберегти взаємини — наприклад, у сімейних чи ділових конфліктах.</w:t>
      </w:r>
    </w:p>
    <w:p w14:paraId="04F75EFB"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Отже, впровадження та розвиток медіації як альтернативного способу вирішення спорів має велике значення для сучасної судової системи України, особливо в умовах війни. Медіація сприяє розвантаженню судів, підвищує ефективність правосуддя, скорочує строки розгляду справ, зменшує державні витрати та сприяє формуванню культури діалогу у суспільстві. Для досягнення цього необхідно забезпечити інституційну підтримку, підвищення обізнаності громадян, створення належної інфраструктури та активну участь суддів у популяризації цього інструменту. Лише за таких умов медіація зможе зайняти гідне місце в системі захисту прав та допомогли розвантажити судочинство України.</w:t>
      </w:r>
    </w:p>
    <w:p w14:paraId="210382CD" w14:textId="77777777" w:rsidR="005F048D" w:rsidRPr="00511005" w:rsidRDefault="005F048D" w:rsidP="003A292D">
      <w:pPr>
        <w:spacing w:line="264" w:lineRule="auto"/>
        <w:ind w:firstLine="851"/>
        <w:rPr>
          <w:rFonts w:ascii="Arial" w:eastAsia="Times New Roman" w:hAnsi="Arial" w:cs="Arial"/>
          <w:szCs w:val="28"/>
          <w:lang w:val="uk-UA" w:eastAsia="uk-UA"/>
        </w:rPr>
      </w:pPr>
    </w:p>
    <w:p w14:paraId="1EBDAE1E" w14:textId="71639895" w:rsidR="005F048D" w:rsidRPr="00511005" w:rsidRDefault="007B2628" w:rsidP="007B2628">
      <w:pPr>
        <w:spacing w:line="264" w:lineRule="auto"/>
        <w:ind w:firstLine="851"/>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r w:rsidR="005F048D" w:rsidRPr="00511005">
        <w:rPr>
          <w:rFonts w:ascii="Arial" w:eastAsia="Times New Roman" w:hAnsi="Arial" w:cs="Arial"/>
          <w:b/>
          <w:szCs w:val="28"/>
          <w:lang w:val="uk-UA" w:eastAsia="uk-UA"/>
        </w:rPr>
        <w:t xml:space="preserve"> </w:t>
      </w:r>
    </w:p>
    <w:p w14:paraId="6DCD7EDA" w14:textId="77777777" w:rsidR="005F048D" w:rsidRPr="00511005" w:rsidRDefault="005F048D" w:rsidP="003F6A5D">
      <w:pPr>
        <w:numPr>
          <w:ilvl w:val="0"/>
          <w:numId w:val="36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 Закон України від 18 березня 2004 р. № 1618-IV. Верховна Рада України. URL: -</w:t>
      </w:r>
      <w:hyperlink r:id="rId1382">
        <w:r w:rsidRPr="00511005">
          <w:rPr>
            <w:rFonts w:ascii="Arial" w:eastAsia="Times New Roman" w:hAnsi="Arial" w:cs="Arial"/>
            <w:szCs w:val="28"/>
            <w:lang w:val="uk-UA" w:eastAsia="uk-UA"/>
          </w:rPr>
          <w:t>15"https://zakon.rada.gov.ua/laws/show/1618-15#Text</w:t>
        </w:r>
      </w:hyperlink>
    </w:p>
    <w:p w14:paraId="7F8855BF" w14:textId="77777777" w:rsidR="005F048D" w:rsidRPr="00511005" w:rsidRDefault="005F048D" w:rsidP="003F6A5D">
      <w:pPr>
        <w:numPr>
          <w:ilvl w:val="0"/>
          <w:numId w:val="36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 медіацію: Закон України від 16.11.2021 р. Відомості Верховної Ради України. 2022. № 7. Ст. 51. URL: -</w:t>
      </w:r>
      <w:hyperlink r:id="rId1383">
        <w:r w:rsidRPr="00511005">
          <w:rPr>
            <w:rFonts w:ascii="Arial" w:eastAsia="Times New Roman" w:hAnsi="Arial" w:cs="Arial"/>
            <w:szCs w:val="28"/>
            <w:lang w:val="uk-UA" w:eastAsia="uk-UA"/>
          </w:rPr>
          <w:t>20"https://zakon.rada.gov.ua/laws/show/1875-20#Text</w:t>
        </w:r>
      </w:hyperlink>
    </w:p>
    <w:p w14:paraId="2C4E7799" w14:textId="77777777" w:rsidR="005F048D" w:rsidRPr="00511005" w:rsidRDefault="005F048D" w:rsidP="003F6A5D">
      <w:pPr>
        <w:numPr>
          <w:ilvl w:val="0"/>
          <w:numId w:val="36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Директива 2008/52/ЕС Європейського Парламенту та Ради Європейського Союзу про деякі аспекти посередництва (медіації) в цивільних та комерційних справах.</w:t>
      </w:r>
    </w:p>
    <w:p w14:paraId="594F021F" w14:textId="57FB2342" w:rsidR="005F048D" w:rsidRPr="00511005" w:rsidRDefault="005F048D" w:rsidP="003F6A5D">
      <w:pPr>
        <w:numPr>
          <w:ilvl w:val="0"/>
          <w:numId w:val="36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Іліопол І.М.</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Альтернативні форми захисту прав, свобод і законних інтересів.</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Альтернативні способи вирішення цивільних спорів : матеріали круглого столу (Одеса, 29 березня 2021 р.) / за заг. ред. д.ю.н., професора Н. Ю. Голубєвої ; НУ «Одеська юридична академія». Одеса : Фенікс, 2021. С.с.29-33. URL: </w:t>
      </w:r>
      <w:hyperlink r:id="rId1384">
        <w:r w:rsidRPr="00511005">
          <w:rPr>
            <w:rFonts w:ascii="Arial" w:eastAsia="Times New Roman" w:hAnsi="Arial" w:cs="Arial"/>
            <w:szCs w:val="28"/>
            <w:lang w:val="uk-UA" w:eastAsia="uk-UA"/>
          </w:rPr>
          <w:t>https://hdl.handle.net/11300/14491</w:t>
        </w:r>
      </w:hyperlink>
      <w:r w:rsidRPr="00511005">
        <w:rPr>
          <w:rFonts w:ascii="Arial" w:eastAsia="Times New Roman" w:hAnsi="Arial" w:cs="Arial"/>
          <w:szCs w:val="28"/>
          <w:lang w:val="uk-UA" w:eastAsia="uk-UA"/>
        </w:rPr>
        <w:t xml:space="preserve"> </w:t>
      </w:r>
    </w:p>
    <w:p w14:paraId="47113B6C" w14:textId="77777777" w:rsidR="005F048D" w:rsidRPr="00511005" w:rsidRDefault="005F048D" w:rsidP="003F6A5D">
      <w:pPr>
        <w:numPr>
          <w:ilvl w:val="0"/>
          <w:numId w:val="36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Кусько Р., Дрозд Т. Окремі питання впровадження медіації в Україні Медіація як спосіб вирішення приватно – та публічно-правових спорів: матеріали Міжнар. наук.- практ. конф. – Дніпро: ДДУВС, 2022. – С. 180-182.</w:t>
      </w:r>
    </w:p>
    <w:p w14:paraId="7B21881B" w14:textId="77777777" w:rsidR="005F048D" w:rsidRPr="00511005" w:rsidRDefault="005F048D" w:rsidP="003A292D">
      <w:pPr>
        <w:spacing w:line="264" w:lineRule="auto"/>
        <w:ind w:firstLine="851"/>
        <w:rPr>
          <w:rFonts w:ascii="Arial" w:eastAsia="Times New Roman" w:hAnsi="Arial" w:cs="Arial"/>
          <w:b/>
          <w:szCs w:val="28"/>
          <w:lang w:val="uk-UA" w:eastAsia="uk-UA"/>
        </w:rPr>
      </w:pPr>
    </w:p>
    <w:p w14:paraId="506F66E6" w14:textId="40354340" w:rsidR="005F048D" w:rsidRPr="00511005" w:rsidRDefault="007B2628" w:rsidP="003A292D">
      <w:pPr>
        <w:spacing w:line="264" w:lineRule="auto"/>
        <w:ind w:firstLine="851"/>
        <w:rPr>
          <w:rFonts w:ascii="Arial" w:eastAsia="Times New Roman" w:hAnsi="Arial" w:cs="Arial"/>
          <w:b/>
          <w:szCs w:val="28"/>
          <w:lang w:val="uk-UA" w:eastAsia="uk-UA"/>
        </w:rPr>
      </w:pPr>
      <w:r w:rsidRPr="00511005">
        <w:rPr>
          <w:rFonts w:ascii="Arial" w:eastAsia="Times New Roman" w:hAnsi="Arial" w:cs="Arial"/>
          <w:b/>
          <w:i/>
          <w:szCs w:val="28"/>
          <w:lang w:val="uk-UA" w:eastAsia="uk-UA"/>
        </w:rPr>
        <w:lastRenderedPageBreak/>
        <w:t xml:space="preserve">Ключові слова: </w:t>
      </w:r>
      <w:r w:rsidR="005F048D" w:rsidRPr="00511005">
        <w:rPr>
          <w:rFonts w:ascii="Arial" w:eastAsia="Times New Roman" w:hAnsi="Arial" w:cs="Arial"/>
          <w:szCs w:val="28"/>
          <w:lang w:val="uk-UA" w:eastAsia="uk-UA"/>
        </w:rPr>
        <w:t>воєнний стан, судова система, медіація, альтернативне вирішення спорів, конфлікти, судове навантаження, підготовка медіаторів, добровільний процес, публічно-правові спори, мирові угоди.</w:t>
      </w:r>
    </w:p>
    <w:p w14:paraId="5CCB5F64" w14:textId="05334E79"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martial law, judicial system, mediation, alternative dispute resolution, conflicts, court workload, mediator training, voluntary process, public law disputes, settlement agreements.</w:t>
      </w:r>
    </w:p>
    <w:p w14:paraId="0117775E" w14:textId="5789E9A1" w:rsidR="005F048D" w:rsidRPr="00511005" w:rsidRDefault="007B2628" w:rsidP="003A292D">
      <w:pPr>
        <w:spacing w:line="264" w:lineRule="auto"/>
        <w:ind w:firstLine="851"/>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szCs w:val="28"/>
          <w:lang w:val="uk-UA" w:eastAsia="uk-UA"/>
        </w:rPr>
        <w:t>к</w:t>
      </w:r>
      <w:r w:rsidR="005F048D" w:rsidRPr="00511005">
        <w:rPr>
          <w:rFonts w:ascii="Arial" w:eastAsia="Times New Roman" w:hAnsi="Arial" w:cs="Arial"/>
          <w:i/>
          <w:szCs w:val="28"/>
          <w:lang w:val="uk-UA" w:eastAsia="uk-UA"/>
        </w:rPr>
        <w:t>. ю. н., доцент Іліопол І.М.</w:t>
      </w:r>
    </w:p>
    <w:p w14:paraId="64EC0092" w14:textId="77777777" w:rsidR="005F048D" w:rsidRPr="00511005" w:rsidRDefault="005F048D" w:rsidP="003A292D">
      <w:pPr>
        <w:spacing w:line="264" w:lineRule="auto"/>
        <w:ind w:firstLine="720"/>
        <w:jc w:val="center"/>
        <w:rPr>
          <w:rFonts w:ascii="Arial" w:eastAsia="Times New Roman" w:hAnsi="Arial" w:cs="Arial"/>
          <w:b/>
          <w:i/>
          <w:szCs w:val="28"/>
          <w:lang w:val="uk-UA" w:eastAsia="uk-UA"/>
        </w:rPr>
      </w:pPr>
    </w:p>
    <w:p w14:paraId="4CDEDEB1" w14:textId="77777777" w:rsidR="005F048D" w:rsidRPr="00511005" w:rsidRDefault="005F048D" w:rsidP="003A292D">
      <w:pPr>
        <w:spacing w:line="264" w:lineRule="auto"/>
        <w:ind w:firstLine="720"/>
        <w:jc w:val="center"/>
        <w:rPr>
          <w:rFonts w:ascii="Arial" w:eastAsia="Times New Roman" w:hAnsi="Arial" w:cs="Arial"/>
          <w:b/>
          <w:i/>
          <w:szCs w:val="28"/>
          <w:lang w:val="uk-UA" w:eastAsia="uk-UA"/>
        </w:rPr>
      </w:pPr>
    </w:p>
    <w:p w14:paraId="1D121D98" w14:textId="77777777" w:rsidR="005F048D" w:rsidRPr="00511005" w:rsidRDefault="005F048D" w:rsidP="003A292D">
      <w:pPr>
        <w:spacing w:line="264" w:lineRule="auto"/>
        <w:ind w:firstLine="72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 xml:space="preserve">Димура Катерина Володимирівна </w:t>
      </w:r>
    </w:p>
    <w:p w14:paraId="5B061C45" w14:textId="77777777" w:rsidR="005F048D" w:rsidRPr="00511005" w:rsidRDefault="005F048D" w:rsidP="003A292D">
      <w:pPr>
        <w:spacing w:line="264" w:lineRule="auto"/>
        <w:ind w:firstLine="72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1-го курсу </w:t>
      </w:r>
    </w:p>
    <w:p w14:paraId="14776AEC" w14:textId="77777777" w:rsidR="005F048D" w:rsidRPr="00511005" w:rsidRDefault="005F048D" w:rsidP="003A292D">
      <w:pPr>
        <w:spacing w:line="264" w:lineRule="auto"/>
        <w:ind w:firstLine="72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магістратури факультету цивільної та господарської юстиції </w:t>
      </w:r>
    </w:p>
    <w:p w14:paraId="444D89C5" w14:textId="5C111B7B" w:rsidR="005F048D" w:rsidRPr="00511005" w:rsidRDefault="007B2628" w:rsidP="003A292D">
      <w:pPr>
        <w:spacing w:line="264" w:lineRule="auto"/>
        <w:ind w:firstLine="72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6DAB2095" w14:textId="77777777" w:rsidR="005F048D" w:rsidRPr="00511005" w:rsidRDefault="005F048D" w:rsidP="003A292D">
      <w:pPr>
        <w:spacing w:line="264" w:lineRule="auto"/>
        <w:ind w:firstLine="720"/>
        <w:jc w:val="center"/>
        <w:rPr>
          <w:rFonts w:ascii="Arial" w:eastAsia="Times New Roman" w:hAnsi="Arial" w:cs="Arial"/>
          <w:szCs w:val="28"/>
          <w:lang w:val="uk-UA" w:eastAsia="uk-UA"/>
        </w:rPr>
      </w:pPr>
    </w:p>
    <w:p w14:paraId="590DE20C" w14:textId="77777777" w:rsidR="005F048D" w:rsidRPr="00511005" w:rsidRDefault="005F048D" w:rsidP="003A292D">
      <w:pPr>
        <w:spacing w:line="264" w:lineRule="auto"/>
        <w:ind w:firstLine="72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ІНСТИТУТ ЗАОЧНОГО РОЗГЛЯДУ У ЦИВІЛЬНОМУ ПРОЦЕСІ: ПОСИЛЕННЯ РОЛІ ПІД ЧАС ВІЙНИ ЧИ ЗАГРОЗА ПРАВАМ?</w:t>
      </w:r>
    </w:p>
    <w:p w14:paraId="04A5D22F" w14:textId="77777777" w:rsidR="005F048D" w:rsidRPr="00511005" w:rsidRDefault="005F048D" w:rsidP="003A292D">
      <w:pPr>
        <w:spacing w:line="264" w:lineRule="auto"/>
        <w:ind w:firstLine="720"/>
        <w:rPr>
          <w:rFonts w:ascii="Arial" w:eastAsia="Times New Roman" w:hAnsi="Arial" w:cs="Arial"/>
          <w:szCs w:val="28"/>
          <w:lang w:val="uk-UA" w:eastAsia="uk-UA"/>
        </w:rPr>
      </w:pPr>
    </w:p>
    <w:p w14:paraId="687D1729"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Із початком повномасштабної війни в Україні судова система зазнала значних змін і викликів. Одним з інструментів, який набув особливого значення у воєнний період, став інститут заочного розгляду цивільних справ. З одного боку, він забезпечує оперативність та безперервність судового процесу, з іншого — викликає дискусії щодо дотримання основоположних прав сторін, зокрема права на участь у судовому розгляді. Функціонування інституту заочного провадження в цивільному судочинстві України залишається неповноцінним, що нерідко спричиняє суттєві порушення прав і законних інтересів учасників процесу [4, с. 58].</w:t>
      </w:r>
    </w:p>
    <w:p w14:paraId="21EE61AE"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Щоб дослідити проблематику інституту заочного розгляду в цивільному процесі під час військового стану, розглянемо, для початку, поняття та основні ознаки заочного розгляду справ. </w:t>
      </w:r>
    </w:p>
    <w:p w14:paraId="5126054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 точки зору правової природи, заочне рішення може бути інтерпретоване в декількох аспектах. По-перше, це слід розглядати як спрощення стандартної процедури захисту прав, що проявляється через модифікацію процесуальної форми. У цьому контексті відбувається усунення складних, мало ефективних або надмірно формалізованих елементів (процесуальні дії, стадії, процедури, провадження), які не узгоджуються з принципом пропорційності. Натомість такі елементи замінюються більш оптимальними та сучасними формами організації цивільного процесу. По-друге, інститут заочного розгляду можна тлумачити як один із напрямів диверсифікації процесуальної форми. Це виявляється у впровадженні спеціальних процедур і порядків для розгляду окремих категорій справ, які характеризуються спрощенням і вилученням </w:t>
      </w:r>
      <w:r w:rsidRPr="00511005">
        <w:rPr>
          <w:rFonts w:ascii="Arial" w:eastAsia="Times New Roman" w:hAnsi="Arial" w:cs="Arial"/>
          <w:szCs w:val="28"/>
          <w:lang w:val="uk-UA" w:eastAsia="uk-UA"/>
        </w:rPr>
        <w:lastRenderedPageBreak/>
        <w:t xml:space="preserve">формальностей. Такі порядки не включають обов’язкових елементів процесуальної форми, притаманних загальному порядку судового розгляду [2, с. 212-213]. </w:t>
      </w:r>
    </w:p>
    <w:p w14:paraId="3AA4A5E5"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Заочний розгляд і ухвалення відповідного рішення закріплені у Главі 11 Розділу ІІІ Цивільного процесуального кодексу України. Згідно з цими положеннями, заочне рішення ухвалюється судом у разі неявки відповідача на судове засідання за умов, якщо його було належним чином повідомлено, він не повідомив суд про причини своєї неявки або навів незначущі підстави, а також за відсутності заперечень з боку позивача щодо прийняття такого рішення [1].</w:t>
      </w:r>
    </w:p>
    <w:p w14:paraId="597D11C4"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Водночас навіть за наявності законодавчо встановлених запобіжників, заочний розгляд завжди несе в собі ризик одностороннього вирішення спору. Його застосування вимагає особливо ретельного дотримання принципів змагальності та справедливості, а також гарантування ефективного права на судовий захист. Особливо це актуально у контексті воєнного часу, коли фізичний доступ до суду або комунікацій із ним є ускладненим або навіть неможливим. Поняття «належного повідомлення» у таких умовах потребує перегляду або, принаймні, гнучкішого підходу, який враховував би реальні обставини перебування особи.</w:t>
      </w:r>
    </w:p>
    <w:p w14:paraId="2E1F624C"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 огляду на це, інститут заочного розгляду не можна трактувати лише як інструмент зручності чи економії часу. Його правова сутність полягає у забезпеченні балансу між процесуальною ефективністю та дотриманням основоположних прав сторін, зокрема — права бути почутим. У зв’язку з цим особливу роль відіграють гарантії перегляду заочного рішення, які дозволяють стороні, яка не змогла взяти участь у розгляді, подати заяву про його скасування, довівши наявність поважних причин. Саме наявність таких процесуальних запобіжників може врівноважити застосування заочного розгляду, особливо в умовах війни.</w:t>
      </w:r>
    </w:p>
    <w:p w14:paraId="050ACC2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Попри формальну обґрунтованість і процесуальну доцільність заочного розгляду, в умовах війни його використання набуває подвійного характеру: з одного боку — це вимушене посилення процесуального інструментарію для забезпечення безперервності судочинства, з іншого — потенційне джерело звуження прав сторін.</w:t>
      </w:r>
    </w:p>
    <w:p w14:paraId="0A461BFB"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За своєю процесуально-правовою сутністю заочний розгляд справи не виступає окремим видом провадження, оскільки він не залежить від природи матеріально-правових відносин, характеру чи підстав вимог, що розглядаються судом [3, с. 95]. Його специфіка полягає не у предметі спору, а в умовах участі сторін у процесі, зокрема — у факті неявки відповідача за наявності належного повідомлення про розгляд справи.</w:t>
      </w:r>
    </w:p>
    <w:p w14:paraId="3EAC27AD"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цьому сенсі заочний розгляд виконує техніко-процесуальну функцію, яка забезпечує безперервність судового провадження в разі пасивної поведінки відповідача. Такий підхід дозволяє не зупиняти процес через </w:t>
      </w:r>
      <w:r w:rsidRPr="00511005">
        <w:rPr>
          <w:rFonts w:ascii="Arial" w:eastAsia="Times New Roman" w:hAnsi="Arial" w:cs="Arial"/>
          <w:szCs w:val="28"/>
          <w:lang w:val="uk-UA" w:eastAsia="uk-UA"/>
        </w:rPr>
        <w:lastRenderedPageBreak/>
        <w:t>формальний бік неявки, проте висуває додаткові вимоги до дотримання принципів змагальності, справедливості й права на захист. Інакше кажучи, заочне провадження є похідною формою розгляду справи в межах загального провадження, що активується за наявності визначених процесуальних умов, але при цьому не створює нової процесуальної моделі.</w:t>
      </w:r>
    </w:p>
    <w:p w14:paraId="6D7AFA3A"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Саме це положення набуває критичного значення під час війни, коли наявність "належного повідомлення" є юридичною, але не завжди фактичною реальністю. Особа може бути на окупованій території, на фронті або в евакуації, не маючи доступу до поштових повідомлень чи електронних сервісів. Відтак, ризик того, що заочне рішення буде ухвалене без реальної поінформованості відповідача, зростає.</w:t>
      </w:r>
    </w:p>
    <w:p w14:paraId="21DE6FDE"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 іншого боку, воєнний стан обумовлює необхідність швидкого реагування судової системи, особливо в категоріях спорів про житло, опіку, аліменти, компенсації — тих, що потребують невідкладного вирішення.</w:t>
      </w:r>
    </w:p>
    <w:p w14:paraId="6D76679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У таких випадках інструмент заочного розгляду дає змогу уникнути паралічу правосуддя, коли відповідач не виходить на зв’язок або свідомо ухиляється від участі в процесі, користуючись загальним хаосом.</w:t>
      </w:r>
    </w:p>
    <w:p w14:paraId="72712B2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Заочний розгляд під час війни — це баланс між ефективністю і справедливістю. Його посилення має бути контрольованим та супроводжуватись гарантіями поновлення процесу за ініціативи сторони, якщо вона доведе, що не мала змоги бути присутньою.</w:t>
      </w:r>
    </w:p>
    <w:p w14:paraId="7A915799" w14:textId="77777777" w:rsidR="005F048D" w:rsidRPr="00511005" w:rsidRDefault="005F048D" w:rsidP="003A292D">
      <w:pPr>
        <w:spacing w:line="264" w:lineRule="auto"/>
        <w:ind w:firstLine="720"/>
        <w:jc w:val="center"/>
        <w:rPr>
          <w:rFonts w:ascii="Arial" w:eastAsia="Times New Roman" w:hAnsi="Arial" w:cs="Arial"/>
          <w:b/>
          <w:szCs w:val="28"/>
          <w:lang w:val="uk-UA" w:eastAsia="uk-UA"/>
        </w:rPr>
      </w:pPr>
    </w:p>
    <w:p w14:paraId="34DA8018" w14:textId="2CC2DFC4" w:rsidR="005F048D" w:rsidRPr="00511005" w:rsidRDefault="007B2628" w:rsidP="007B2628">
      <w:pPr>
        <w:spacing w:line="264" w:lineRule="auto"/>
        <w:ind w:firstLine="72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3D70E7C5"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1. Цивільний процесуальний кодекс України : Кодекс України від 18.03.2004 № 1618-IV : станом на 9 квіт. 2025 р. URL: -</w:t>
      </w:r>
      <w:hyperlink r:id="rId1385">
        <w:r w:rsidRPr="00511005">
          <w:rPr>
            <w:rFonts w:ascii="Arial" w:eastAsia="Times New Roman" w:hAnsi="Arial" w:cs="Arial"/>
            <w:szCs w:val="28"/>
            <w:lang w:val="uk-UA" w:eastAsia="uk-UA"/>
          </w:rPr>
          <w:t>https://zakon.rada.gov.ua/laws/show/1618-15#Text</w:t>
        </w:r>
      </w:hyperlink>
      <w:r w:rsidRPr="00511005">
        <w:rPr>
          <w:rFonts w:ascii="Arial" w:eastAsia="Times New Roman" w:hAnsi="Arial" w:cs="Arial"/>
          <w:szCs w:val="28"/>
          <w:lang w:val="uk-UA" w:eastAsia="uk-UA"/>
        </w:rPr>
        <w:t xml:space="preserve"> (дата звернення: 05.05.2025).</w:t>
      </w:r>
    </w:p>
    <w:p w14:paraId="2F783C3F"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Андрієвська Л. О., Крупіцька А. В., Скляр Д. О. Заочний розгляд справи, його значення та місце в цивільному процесі // Правова позиція. 2019. № 4 (25). С. 211-217. URL: </w:t>
      </w:r>
      <w:hyperlink r:id="rId1386">
        <w:r w:rsidRPr="00511005">
          <w:rPr>
            <w:rFonts w:ascii="Arial" w:eastAsia="Times New Roman" w:hAnsi="Arial" w:cs="Arial"/>
            <w:szCs w:val="28"/>
            <w:lang w:val="uk-UA" w:eastAsia="uk-UA"/>
          </w:rPr>
          <w:t>https://legalposition.umsf.in.ua/archive/2019/4/31.pdf</w:t>
        </w:r>
      </w:hyperlink>
    </w:p>
    <w:p w14:paraId="32AC01E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 Даніленко Я. Р. Ознаки інституту заочного розгляду справи в цивільному процесі України // Вісник студентського наукового товариства Дон НУ імені Василя Стуса. 2021. Вип. 2 (13). С. 94–97. URL: </w:t>
      </w:r>
      <w:hyperlink r:id="rId1387">
        <w:r w:rsidRPr="00511005">
          <w:rPr>
            <w:rFonts w:ascii="Arial" w:eastAsia="Times New Roman" w:hAnsi="Arial" w:cs="Arial"/>
            <w:szCs w:val="28"/>
            <w:lang w:val="uk-UA" w:eastAsia="uk-UA"/>
          </w:rPr>
          <w:t>https://jvestnik-sss.donnu.edu.ua/article/view/11239</w:t>
        </w:r>
      </w:hyperlink>
    </w:p>
    <w:p w14:paraId="0BD19333" w14:textId="77777777" w:rsidR="005F048D" w:rsidRPr="00511005" w:rsidRDefault="005F048D" w:rsidP="003A292D">
      <w:pPr>
        <w:spacing w:line="264" w:lineRule="auto"/>
        <w:ind w:firstLine="720"/>
        <w:rPr>
          <w:rFonts w:ascii="Arial" w:eastAsia="Times New Roman" w:hAnsi="Arial" w:cs="Arial"/>
          <w:b/>
          <w:szCs w:val="28"/>
          <w:lang w:val="uk-UA" w:eastAsia="uk-UA"/>
        </w:rPr>
      </w:pPr>
      <w:r w:rsidRPr="00511005">
        <w:rPr>
          <w:rFonts w:ascii="Arial" w:eastAsia="Times New Roman" w:hAnsi="Arial" w:cs="Arial"/>
          <w:szCs w:val="28"/>
          <w:lang w:val="uk-UA" w:eastAsia="uk-UA"/>
        </w:rPr>
        <w:t xml:space="preserve">4. Солончук І. В., Полякова І. В. Інститут заочного судового розгляду цивільної справи: значення та недоліки // Актуальні проблеми вітчизняної юриспруденції. 2021. № 1. С. 56–59. URL: </w:t>
      </w:r>
      <w:hyperlink r:id="rId1388">
        <w:r w:rsidRPr="00511005">
          <w:rPr>
            <w:rFonts w:ascii="Arial" w:eastAsia="Times New Roman" w:hAnsi="Arial" w:cs="Arial"/>
            <w:szCs w:val="28"/>
            <w:lang w:val="uk-UA" w:eastAsia="uk-UA"/>
          </w:rPr>
          <w:t>https://ela.kpi.ua/server/api/core/bitstreams/682973ef-5cc2-4803-afc0-b5022ef29c45/content</w:t>
        </w:r>
      </w:hyperlink>
    </w:p>
    <w:p w14:paraId="0208B950" w14:textId="77777777" w:rsidR="005F048D" w:rsidRPr="00511005" w:rsidRDefault="005F048D" w:rsidP="003A292D">
      <w:pPr>
        <w:spacing w:line="264" w:lineRule="auto"/>
        <w:ind w:firstLine="0"/>
        <w:rPr>
          <w:rFonts w:ascii="Arial" w:eastAsia="Times New Roman" w:hAnsi="Arial" w:cs="Arial"/>
          <w:b/>
          <w:szCs w:val="28"/>
          <w:lang w:val="uk-UA" w:eastAsia="uk-UA"/>
        </w:rPr>
      </w:pPr>
    </w:p>
    <w:p w14:paraId="23B9E4DE" w14:textId="027952AF"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lastRenderedPageBreak/>
        <w:t xml:space="preserve">Ключові слова: </w:t>
      </w:r>
      <w:r w:rsidR="005F048D" w:rsidRPr="00511005">
        <w:rPr>
          <w:rFonts w:ascii="Arial" w:eastAsia="Times New Roman" w:hAnsi="Arial" w:cs="Arial"/>
          <w:szCs w:val="28"/>
          <w:lang w:val="uk-UA" w:eastAsia="uk-UA"/>
        </w:rPr>
        <w:t>заочний розгляд, цивільний процес, воєнний стан, право на захист, належне повідомлення.</w:t>
      </w:r>
    </w:p>
    <w:p w14:paraId="2D8DD1F9" w14:textId="4810E60E"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trial in absentia, civil procedure, martial law, right to defense, proper notification.</w:t>
      </w:r>
    </w:p>
    <w:p w14:paraId="34BD0637" w14:textId="218821B2" w:rsidR="005F048D" w:rsidRPr="00511005" w:rsidRDefault="007B2628" w:rsidP="003A292D">
      <w:pPr>
        <w:spacing w:line="264" w:lineRule="auto"/>
        <w:ind w:firstLine="72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383DE9" w:rsidRPr="00511005">
        <w:rPr>
          <w:rFonts w:ascii="Arial" w:eastAsia="Times New Roman" w:hAnsi="Arial" w:cs="Arial"/>
          <w:i/>
          <w:szCs w:val="28"/>
          <w:lang w:val="uk-UA" w:eastAsia="uk-UA"/>
        </w:rPr>
        <w:t xml:space="preserve">к.ю.н., </w:t>
      </w:r>
      <w:r w:rsidR="005F048D" w:rsidRPr="00511005">
        <w:rPr>
          <w:rFonts w:ascii="Arial" w:eastAsia="Times New Roman" w:hAnsi="Arial" w:cs="Arial"/>
          <w:i/>
          <w:szCs w:val="28"/>
          <w:lang w:val="uk-UA" w:eastAsia="uk-UA"/>
        </w:rPr>
        <w:t>доцент Іліопол І. М.</w:t>
      </w:r>
    </w:p>
    <w:p w14:paraId="52A42DC4" w14:textId="77777777" w:rsidR="005F048D" w:rsidRPr="00511005" w:rsidRDefault="005F048D" w:rsidP="003A292D">
      <w:pPr>
        <w:spacing w:line="264" w:lineRule="auto"/>
        <w:ind w:firstLine="0"/>
        <w:jc w:val="left"/>
        <w:rPr>
          <w:rFonts w:ascii="Arial" w:eastAsia="Times New Roman" w:hAnsi="Arial" w:cs="Arial"/>
          <w:b/>
          <w:szCs w:val="28"/>
          <w:lang w:val="uk-UA" w:eastAsia="uk-UA"/>
        </w:rPr>
      </w:pPr>
    </w:p>
    <w:p w14:paraId="76569CE4" w14:textId="77777777" w:rsidR="007B2628"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Доможирська Наталя Олегівна </w:t>
      </w:r>
    </w:p>
    <w:p w14:paraId="6BBEA1DA" w14:textId="5E802D4C"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Колесникова Ксенія Костянтинівна </w:t>
      </w:r>
    </w:p>
    <w:p w14:paraId="0B54179E" w14:textId="6E1152F5" w:rsidR="005F048D" w:rsidRPr="00511005" w:rsidRDefault="005F048D"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 xml:space="preserve">студентки </w:t>
      </w:r>
      <w:r w:rsidR="007B2628" w:rsidRPr="00511005">
        <w:rPr>
          <w:rFonts w:ascii="Arial" w:eastAsia="Times New Roman" w:hAnsi="Arial" w:cs="Arial"/>
          <w:i/>
          <w:szCs w:val="28"/>
          <w:lang w:val="uk-UA" w:eastAsia="uk-UA"/>
        </w:rPr>
        <w:t>3-го курсу</w:t>
      </w:r>
      <w:r w:rsidRPr="00511005">
        <w:rPr>
          <w:rFonts w:ascii="Arial" w:eastAsia="Times New Roman" w:hAnsi="Arial" w:cs="Arial"/>
          <w:i/>
          <w:szCs w:val="28"/>
          <w:lang w:val="uk-UA" w:eastAsia="uk-UA"/>
        </w:rPr>
        <w:t xml:space="preserve"> </w:t>
      </w:r>
    </w:p>
    <w:p w14:paraId="341ABFC6"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факультету цивільної та господарської юстиції</w:t>
      </w:r>
    </w:p>
    <w:p w14:paraId="013BCB53" w14:textId="2D1D583A" w:rsidR="005F048D" w:rsidRPr="00511005" w:rsidRDefault="007B2628"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Національного університету «Одеська юридична академія»</w:t>
      </w:r>
    </w:p>
    <w:p w14:paraId="6DF3F210"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p>
    <w:p w14:paraId="429A3185"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ВІДШКОДУВАННЯ МОРАЛЬНОЇ ШКОДИ В ЦИВІЛЬНОМУ ПРОЦЕСІ: КОЛИ ЦІНА БОЛЮ СТАЄ СПРАВЕДЛИВОЮ</w:t>
      </w:r>
    </w:p>
    <w:p w14:paraId="375826C4" w14:textId="77777777" w:rsidR="007B2628"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Відповідно до статті 3 Конституції України (далі – КУ), найвищими соціальними цінністями визнаються людина, її життя і здоров'я, честь і гідність, недоторканність та безпека[1]. У цьому контексті право на відшкодування моральної шкоди належить до числа основоположних конституційних гарантій.</w:t>
      </w:r>
    </w:p>
    <w:p w14:paraId="04D4A69A" w14:textId="73CDC053"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Відповідно до статей 55 і 56 Конституції України, кожній особі гарантується право на судовий захист та на відшкодування матеріальної і моральної шкоди, завданої незаконними рішеннями, діями чи бездіяльністю органів державної влади, місцевого самоврядування або їх посадових осіб. Окремі норми Конституції конкретизують підстави для компенсації: стаття 32 — за поширення недостовірної інформації; стаття 62 — у разі безпідставного засудження; стаття 152 — за шкоду, спричинену актами, визнаними неконституційними[1].</w:t>
      </w:r>
    </w:p>
    <w:p w14:paraId="6D081C5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Таке нормативне закріплення свідчить про існування інституту цивільно-правової відповідальності у формі відшкодування моральної шкоди як складової захисту прав і свобод особи. Механізми реалізації цих прав передбачені Цивільним кодексом України та процесуальним законодавством.</w:t>
      </w:r>
    </w:p>
    <w:p w14:paraId="6B33160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Попри наявність усталеної законодавчої бази, у цивільному процесі залишаються практичні труднощі у справах про відшкодування моральної шкоди. Зокрема, актуальною є проблема дисбалансу між тягарем доказування та свободою судового розсуду при визначенні розміру шкоди.</w:t>
      </w:r>
    </w:p>
    <w:p w14:paraId="21E028C4"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Наразі в чинному національному законодавстві відсутня єдина чітка дефініція моральної шкоди, що зумовлює необхідність звернення до позицій Верховного Суду, викладених у відповідних постановах пленуму. Отже, в постанові Пленуму Верховного Суду «Про судову практику в справах про відшкодування моральної (немайнової) шкоди» від 31.03.1995 року моральну шкоду розглянуто як втрати немайнового характеру внаслідок </w:t>
      </w:r>
      <w:r w:rsidRPr="00511005">
        <w:rPr>
          <w:rFonts w:ascii="Arial" w:eastAsia="Times New Roman" w:hAnsi="Arial" w:cs="Arial"/>
          <w:szCs w:val="28"/>
          <w:lang w:val="uk-UA" w:eastAsia="uk-UA"/>
        </w:rPr>
        <w:lastRenderedPageBreak/>
        <w:t xml:space="preserve">моральних чи фізичних страждань, або інших негативних явищ, заподіяних фізичній чи юридичній особі незаконними діями або бездіяльністю інших осіб [2]. </w:t>
      </w:r>
    </w:p>
    <w:p w14:paraId="2F88992E" w14:textId="6D541E28"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Частина 2 статті 23 Цивільного кодексу України (далі— ЦК) містить хоча і не вичерпний перелік, але практично застосовні категорії проявів моральної шкоди, серед яких: фізичний</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біль та страждання, яких фізична особа зазнала у зв'язку з каліцтвом або іншим ушкодженням здоров’я; душевні страждання, яких фізична особа зазнала у зв'язку із знищенням чи пошкодженням її майна; приниження честі та гідності фізичної особи, а також ділової репутації фізичної або юридичної особи. Відповідно до частини 3 цієї ж статті, моральна шкода відшкодовується грішми, майном або в інший спосіб [3].</w:t>
      </w:r>
    </w:p>
    <w:p w14:paraId="26695979"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Ознайомившись з судовою практикою судів першої інстанції в період з 2019 року по теперішній час, стає зрозуміло, що проявом «суб’єктивізму» в цивільному процесі при розгляді досліджуваної категорії справ, є визначення розмірів компенсації у грошовому еквіваленті, при визначенні якого суд має на меті врахувати такі елементи, як: факт протиправності діянь, спрямованих на порушення законних інтересів потерпілого; характер та обсяг страждань, що зазнала фізична чи юридична особа; причино-наслідковий зв'язок між шкодою та протиправною поведінкою; характер та тривалість майнових втрат; вина заподіювача шкоди, та з урахуванням інших обставин. Дані критерії визначені зокрема в згадуваній постанові Пленуму Верховного Суду від 31.03.1995 р.[2].</w:t>
      </w:r>
    </w:p>
    <w:p w14:paraId="329A2FAE" w14:textId="110CAAA3"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На даному етапі суд стикається з певними труднощами, які, по-перше, полягають 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відсутності вичерпних критеріїв, які б слугували орієнтиром передусім для суду, для найбільш справедливого обчислення завданої шкоди, так і для сторони позивача, при наданні доказів. По-друге, в неможливості існування уніфікованих критеріїв майнового виміру душевного болю, втрати спокою, а також порушення честі та гідності особи-позивача.</w:t>
      </w:r>
    </w:p>
    <w:p w14:paraId="6023ECF1"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Попри наявні труднощі, суд при розгляді справи повинен приділяти особливу увагу характеру й обсягу страждань потерпілого. Такі страждання проявляються у зміні психологічного стану, що може бути встановлено шляхом медичної експертизи через порівняльний аналіз стану особи до та після делікту. У цьому контексті неможливо застосувати єдину методологію, оскільки кожна психоемоційна реакція є індивідуальною.</w:t>
      </w:r>
    </w:p>
    <w:p w14:paraId="5D45C55F"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У справах про компенсацію моральної шкоди обов’язок доведення покладається на обидві сторони: позивач зобов’язаний довести факт завдання моральної шкоди внаслідок протиправної поведінки відповідача, тоді як відповідач повинен обґрунтувати відсутність протиправності та своєї вини, що становить істотну частину процесу доказування.</w:t>
      </w:r>
    </w:p>
    <w:p w14:paraId="58B1B5F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Позивачеві доводиться надавати достатню кількість доказів, щоб підтвердити як факт завдання моральної шкоди, так і наявність причинного </w:t>
      </w:r>
      <w:r w:rsidRPr="00511005">
        <w:rPr>
          <w:rFonts w:ascii="Arial" w:eastAsia="Times New Roman" w:hAnsi="Arial" w:cs="Arial"/>
          <w:szCs w:val="28"/>
          <w:lang w:val="uk-UA" w:eastAsia="uk-UA"/>
        </w:rPr>
        <w:lastRenderedPageBreak/>
        <w:t xml:space="preserve">звʼязку між діями (або бездіяльністю) відповідача і виникненням негативних наслідків для його психоемоційного стану. Це вимагає детального аналізу обставин справи, надання відповідних свідчень, психологічних висновків, медичних довідок, а також підтвердження того, що саме дії чи бездіяльність відповідача стали безпосередньою причиною завданої шкоди. </w:t>
      </w:r>
    </w:p>
    <w:p w14:paraId="349E802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 практиці спостерігається чітка тенденція до незадоволення позовних вимог позивачів у справах про компенсацію моральної шкоди через недостатність доказів, а також необґрунтованість пропонованої грошової суми, що повинна компенсувати моральну шкоду. Проблема полягає в складності підтвердження наявності моральної шкоди та причинного зв’язку між діями відповідача і наслідками для позивача. Відсутність об’єктивних критеріїв для оцінки моральної шкоди призводить до невідповідності ціни позову реальним втратам потерпілого. </w:t>
      </w:r>
    </w:p>
    <w:p w14:paraId="3FA70D3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Для формування практичних рекомендацій щодо вдосконалення захисту немайнових благ доцільно враховувати практику ЄСПЛ та правові підходи розвинених держав.</w:t>
      </w:r>
    </w:p>
    <w:p w14:paraId="06B2E7E7"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Абсолютно слушною є згадка в науковій роботі, присвяченій аналізу практики ЄСПЛ к.ю.н. Примака В.Д., рішення від 04.04.2006 р. у справі «Шевченко проти України», де Суд, з огляду на множинність схожих за правовим характером та особливістю вимог спорів, провівши аналіз присуджених компенсацій у справах аналогічних категорій, присудив заявникові компенсацію в розмірі 2000 євро. [4] </w:t>
      </w:r>
    </w:p>
    <w:p w14:paraId="1877322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Не менш зразковою є відповідність німецької практики принципу справедливості, відповідно до якого відшкодування моральної шкоди покликане для найбільш повного умовного поновлення стану позивача, виключаючи при цьому можливість надмірного збагачення. </w:t>
      </w:r>
    </w:p>
    <w:p w14:paraId="2FCAF215"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Зважаючи на проведений аналіз існуючих підходів до компенсації моральної шкоди, пропонуємо низку заходів, які можуть стати рекомендаційним базисом на шляху до подальшого розвитку законодавства та правозастосовної практики:</w:t>
      </w:r>
    </w:p>
    <w:p w14:paraId="17B5DE2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1. Законодавче закріплення орієнтовних мінімальних та максимальних меж компенсації в залежності від категорії порушених прав і тяжкості шкоди. Розробка та подальше законодавчому закріпленні типової формули розрахунку, яка враховувала б такі базові критерії, як ступінь вини відповідача, характер і тривалість страждань позивача, з урахуванням інших суттєвих елементів для справедливого та розумного визначення завданої шкоди. Встановлення такої системи сприятиме передбачуваності судових рішень, зменшенню випадків надмірного судового розсуду, забезпеченню гарантій захисту прав осіб та рівності перед законом.</w:t>
      </w:r>
    </w:p>
    <w:p w14:paraId="371865CB"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Обов’язковість медичної експертизи, яка має на меті об’єктивно оцінити наслідки порушення прав потерпілої особи, враховуючи як фізичні, так і психоемоційні травми, що забезпечить надійне підкріплення доказів </w:t>
      </w:r>
      <w:r w:rsidRPr="00511005">
        <w:rPr>
          <w:rFonts w:ascii="Arial" w:eastAsia="Times New Roman" w:hAnsi="Arial" w:cs="Arial"/>
          <w:szCs w:val="28"/>
          <w:lang w:val="uk-UA" w:eastAsia="uk-UA"/>
        </w:rPr>
        <w:lastRenderedPageBreak/>
        <w:t xml:space="preserve">позивача, підвищуючи точність доказової бази та сприяючи справедливому вирішенню спору. Це дозволить суду краще зрозуміти реальний вплив події на здоров’я особи та визначити справедливу компенсацію моральної шкоди. </w:t>
      </w:r>
    </w:p>
    <w:p w14:paraId="3E05FE9A"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3. Застосування принципу “rebuttable presumption” (спростовуваної презумпції), коли суд може припустити наявність моральної шкоди за наявності певних обставин, якщо сторона, яка несе тягар доказування, не змогла надати переконливих доказів на свою користь. При цьому сторона, яка заперечує наявність шкоди, повинна буде надати переконливі докази на спростування такої презумпції.</w:t>
      </w:r>
    </w:p>
    <w:p w14:paraId="07053C54"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На підставі викладеного можна дійти таких висновків, що проблема справедливого відшкодування моральної шкоди в цивільному процесі потребує подальшого нормативного та практичного врегулювання. Розвиток інституту компенсації моральної шкоди є не лише запорукою відновлення порушених прав окремої людини, а й кроком до формування в Україні правової культури, у центрі якої стоятиме людська гідність та ідея істинної справедливості.</w:t>
      </w:r>
    </w:p>
    <w:p w14:paraId="6EE828F2" w14:textId="1D971C30" w:rsidR="005F048D" w:rsidRPr="00511005" w:rsidRDefault="007B2628" w:rsidP="007B2628">
      <w:pPr>
        <w:spacing w:line="264" w:lineRule="auto"/>
        <w:ind w:firstLine="567"/>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5B77C23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Конституція України: Закон України від 28 червня 1996 р. № 254к/96-ВР / Верховна Рада України. Відомості Верховної Ради України. 1996. № 30. </w:t>
      </w:r>
    </w:p>
    <w:p w14:paraId="1C62FDB8"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Про судову практику в справах про відшкодування моральної шкоди: Постанова Пленуму Верховного Суду України від 31.03.1995 № 4. URL: </w:t>
      </w:r>
      <w:hyperlink r:id="rId1389">
        <w:r w:rsidRPr="00511005">
          <w:rPr>
            <w:rFonts w:ascii="Arial" w:eastAsia="Times New Roman" w:hAnsi="Arial" w:cs="Arial"/>
            <w:szCs w:val="28"/>
            <w:lang w:val="uk-UA" w:eastAsia="uk-UA"/>
          </w:rPr>
          <w:t>http://zakon.rada.gov.ua/laws/show/v0004700</w:t>
        </w:r>
      </w:hyperlink>
      <w:r w:rsidRPr="00511005">
        <w:rPr>
          <w:rFonts w:ascii="Arial" w:eastAsia="Times New Roman" w:hAnsi="Arial" w:cs="Arial"/>
          <w:szCs w:val="28"/>
          <w:lang w:val="uk-UA" w:eastAsia="uk-UA"/>
        </w:rPr>
        <w:t>- 95 (дата звернення: 28.04.2025).</w:t>
      </w:r>
    </w:p>
    <w:p w14:paraId="1CAC3CBC"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 Цивільний кодекс України від 16.01.2003 № 435-ІV. URL: </w:t>
      </w:r>
      <w:hyperlink r:id="rId1390">
        <w:r w:rsidRPr="00511005">
          <w:rPr>
            <w:rFonts w:ascii="Arial" w:eastAsia="Times New Roman" w:hAnsi="Arial" w:cs="Arial"/>
            <w:szCs w:val="28"/>
            <w:lang w:val="uk-UA" w:eastAsia="uk-UA"/>
          </w:rPr>
          <w:t>http://zakon.rada.gov.ua/laws/</w:t>
        </w:r>
      </w:hyperlink>
      <w:r w:rsidRPr="00511005">
        <w:rPr>
          <w:rFonts w:ascii="Arial" w:eastAsia="Times New Roman" w:hAnsi="Arial" w:cs="Arial"/>
          <w:szCs w:val="28"/>
          <w:lang w:val="uk-UA" w:eastAsia="uk-UA"/>
        </w:rPr>
        <w:t xml:space="preserve"> show/435-15#n5471 (дата звернення: 28.04.2025)</w:t>
      </w:r>
    </w:p>
    <w:p w14:paraId="16A2B75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4. Примак, В. Д. Відшкодування моральної шкоди у рішеннях Європейського суду з прав людини: орієнтири для вітчизняного законодавця і судової практики / В. Д. Примак // Науковий вісник Ужгородського національного університету : Серія: Право / гол. ред. Ю.М. Бисага. – Ужгород: Видавничий дім «Гельветика», 2013. – Вип. 23. Ч. 1. Т. 1. – С. 258–262. – Бібліогр.: с. 261–262 (14 назв).— Ст.260.</w:t>
      </w:r>
    </w:p>
    <w:p w14:paraId="7B5F48AF" w14:textId="6FCA83CB"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моральна шкода, відшкодування, компенсація, немайнова шкода, судовий розсуд, розрахунок, психологічне страждання, фізичне страждання.</w:t>
      </w:r>
    </w:p>
    <w:p w14:paraId="11744C80" w14:textId="4E1612DE"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moral damage, restitution, compensation, non-pecuniary damage, judicial discretion, settlement, psychological suffering, physical suffering.</w:t>
      </w:r>
    </w:p>
    <w:p w14:paraId="35A785C5" w14:textId="50226D18"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д.ю.н., професор Волкова Н.В.</w:t>
      </w:r>
    </w:p>
    <w:p w14:paraId="76C3A40A" w14:textId="77777777" w:rsidR="005F048D" w:rsidRPr="00511005" w:rsidRDefault="005F048D" w:rsidP="003A292D">
      <w:pPr>
        <w:spacing w:line="264" w:lineRule="auto"/>
        <w:ind w:firstLine="0"/>
        <w:rPr>
          <w:rFonts w:ascii="Arial" w:eastAsia="Times New Roman" w:hAnsi="Arial" w:cs="Arial"/>
          <w:szCs w:val="28"/>
          <w:lang w:val="uk-UA" w:eastAsia="uk-UA"/>
        </w:rPr>
      </w:pPr>
    </w:p>
    <w:p w14:paraId="4A790CCB"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Драганова Дарія Сергіївна</w:t>
      </w:r>
    </w:p>
    <w:p w14:paraId="20EC96A6" w14:textId="3A83F1C6" w:rsidR="005F048D" w:rsidRPr="00511005" w:rsidRDefault="00536AAB"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lastRenderedPageBreak/>
        <w:t>студентка 1-го курсу магістратури</w:t>
      </w:r>
    </w:p>
    <w:p w14:paraId="2F5C1C0C"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факультету цивільної та господарської юстиції</w:t>
      </w:r>
    </w:p>
    <w:p w14:paraId="7BACC59B" w14:textId="618401B2" w:rsidR="005F048D" w:rsidRPr="00511005" w:rsidRDefault="007B2628" w:rsidP="003A292D">
      <w:pPr>
        <w:spacing w:line="264" w:lineRule="auto"/>
        <w:ind w:firstLine="72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Національного університету «Одеська юридична академія»</w:t>
      </w:r>
    </w:p>
    <w:p w14:paraId="2E25D5ED" w14:textId="77777777" w:rsidR="005F048D" w:rsidRPr="00511005" w:rsidRDefault="005F048D" w:rsidP="003A292D">
      <w:pPr>
        <w:spacing w:line="264" w:lineRule="auto"/>
        <w:jc w:val="center"/>
        <w:rPr>
          <w:rFonts w:ascii="Arial" w:eastAsia="Times New Roman" w:hAnsi="Arial" w:cs="Arial"/>
          <w:b/>
          <w:szCs w:val="28"/>
          <w:lang w:val="uk-UA" w:eastAsia="uk-UA"/>
        </w:rPr>
      </w:pPr>
    </w:p>
    <w:p w14:paraId="7C8CC06F"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ПРАВА ЛЮДИНИ У ЦИВІЛЬНОМУ СУДОЧИНСТВІ ПІД ЧАС ВІЙНИ: ЧИ ЗБЕРІГАЄТЬСЯ БАЛАНС МІЖ БЕЗПЕКОЮ І ПРАВОСУДДЯМ?</w:t>
      </w:r>
    </w:p>
    <w:p w14:paraId="3EBF4C46"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умовах повномасштабної війни питання захисту прав людини постає особливо гостро. Громадяни, які перебувають у зоні бойових дій або втекли від них, продовжують потребувати правової захищеності. У таких умовах цивільне судочинство має подвійне завдання - забезпечити доступ до правосуддя та водночас врахувати потреби національної безпеки, яка набуває пріоритетного значення у кризових ситуаціях.</w:t>
      </w:r>
    </w:p>
    <w:p w14:paraId="4BDDED46"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Міжнародно-правові механізми захисту прав людини розраховані на час ведення воєнних дій, тобто в умовах офіційно оголошеного стану війни. В інших умовах питання захисту прав людини регламентується, як правило, національним законодавством.</w:t>
      </w:r>
    </w:p>
    <w:p w14:paraId="1BE47A16"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зв’язку зі збройною агресією російської федерації проти України, згідно з Указом Президента України № 64/2022 від 24 лютого 2022 року, на всій території нашої держави було впроваджено правовий режим воєнного стану. Цей режим передбачає можливість тимчасового обмеження окремих прав і свобод громадян з метою забезпечення національної безпеки [1].</w:t>
      </w:r>
    </w:p>
    <w:p w14:paraId="272C67CC"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Згідно зі статтею 64 Конституції України, під час воєнного чи надзвичайного стану можуть обмежуватись окремі права і свободи, однак не підлягають обмеженню права на життя, заборона катування, право на правову допомогу, презумпція невинуватості тощо. Хоча положення щодо права на справедливий судовий розгляд можуть тимчасово зазнавати певної трансформації, вони не можуть бути повністю скасовані [2].</w:t>
      </w:r>
    </w:p>
    <w:p w14:paraId="6D96D3B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Слід підкреслити, що згідно з положеннями Конституції України, здійснення правосуддя на території нашої держави належить виключно до компетенції судів. Іншими словами, ця діяльність є прерогативою судової влади та здійснюється в рамках суворо визначених процедур. Зокрема, порядок розгляду цивільних справ регламентується положеннями Цивільного процесуального кодексу України (далі – ЦПК). Відповідно до статті 2 ЦПК України, основна мета цивільного судочинства полягає у забезпеченні справедливого, неупередженого та своєчасного розгляду справ, що спрямований на ефективний захист прав, свобод та інтересів як окремих громадян, так і суспільства й держави загалом [3].</w:t>
      </w:r>
    </w:p>
    <w:p w14:paraId="4E455F82"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Доцільно також звернути увагу на норми Закону України «Про правовий режим воєнного стану», які визначають основні принципи функціонування судової влади в умовах дії цього особливого правового режиму. Зокрема, стаття 26 цього закону містить такі ключові положення:</w:t>
      </w:r>
    </w:p>
    <w:p w14:paraId="566DEF71" w14:textId="77777777" w:rsidR="005F048D" w:rsidRPr="00511005" w:rsidRDefault="005F048D" w:rsidP="003F6A5D">
      <w:pPr>
        <w:numPr>
          <w:ilvl w:val="0"/>
          <w:numId w:val="361"/>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Судова влада здійснюється виключно на підставі Конституції та чинного законодавства України;</w:t>
      </w:r>
    </w:p>
    <w:p w14:paraId="5287AD7F" w14:textId="77777777" w:rsidR="005F048D" w:rsidRPr="00511005" w:rsidRDefault="005F048D" w:rsidP="003F6A5D">
      <w:pPr>
        <w:numPr>
          <w:ilvl w:val="0"/>
          <w:numId w:val="361"/>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Повноваження судів не можуть бути обмежені навіть в умовах воєнного стану;</w:t>
      </w:r>
    </w:p>
    <w:p w14:paraId="3A17CD1C" w14:textId="77777777" w:rsidR="005F048D" w:rsidRPr="00511005" w:rsidRDefault="005F048D" w:rsidP="003F6A5D">
      <w:pPr>
        <w:numPr>
          <w:ilvl w:val="0"/>
          <w:numId w:val="361"/>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Підкреслюється, що реалізація правосуддя є винятковим правом судів, як це передбачено Основним Законом;</w:t>
      </w:r>
    </w:p>
    <w:p w14:paraId="3E247B32" w14:textId="77777777" w:rsidR="005F048D" w:rsidRPr="00511005" w:rsidRDefault="005F048D" w:rsidP="003F6A5D">
      <w:pPr>
        <w:numPr>
          <w:ilvl w:val="0"/>
          <w:numId w:val="361"/>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Встановлюється заборона на створення спеціальних чи надзвичайних судових інституцій;</w:t>
      </w:r>
    </w:p>
    <w:p w14:paraId="189706B5" w14:textId="77777777" w:rsidR="005F048D" w:rsidRPr="00511005" w:rsidRDefault="005F048D" w:rsidP="003F6A5D">
      <w:pPr>
        <w:numPr>
          <w:ilvl w:val="0"/>
          <w:numId w:val="361"/>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Заборонено вносити зміни у форми судочинства, зокрема шляхом прискорення або спрощення процедур;</w:t>
      </w:r>
    </w:p>
    <w:p w14:paraId="74E9038D" w14:textId="77777777" w:rsidR="005F048D" w:rsidRPr="00511005" w:rsidRDefault="005F048D" w:rsidP="003F6A5D">
      <w:pPr>
        <w:numPr>
          <w:ilvl w:val="0"/>
          <w:numId w:val="361"/>
        </w:numPr>
        <w:tabs>
          <w:tab w:val="left" w:pos="720"/>
        </w:tabs>
        <w:spacing w:line="264" w:lineRule="auto"/>
        <w:ind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Допускається можливість зміни територіальної підсудності у випадках, коли розгляд справи неможливий у суді за загальним правилом підсудності [4].</w:t>
      </w:r>
    </w:p>
    <w:p w14:paraId="2A3A221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зв’язку з введенням воєнного стану та триваючою збройною агресією постала необхідність оперативного пристосування вітчизняного законодавства до нових умов. Реагуючи на ці виклики, Верховний Суд спільно з Радою суддів України надали низку рекомендацій, які покликані забезпечити ефективність судового процесу в особливих обставинах. У цих рекомендаціях наголошується, що суди повинні проявляти гнучкість, зокрема відкладати слухання у випадках, коли участь сторін у процесі є неможливою через небезпеку для життя та здоров’я. Також передбачено можливість дистанційного подання заяв про перенесення засідань, що дозволяє зберігати безперервність судочинства. Особлива увага приділяється розгляду справ, які мають невідкладний характер, тоді як інші справи можуть слухатися лише за згодою всіх сторін. У рекомендаціях також ідеться про врахування воєнних реалій у формуванні судової практики та обмеження фізичного доступу до судів, що має здійснюватися відповідно до закону. Зазначено, що правовий режим воєнного стану є винятковою підставою для поновлення процесуальних строків, якщо дотримання встановлених термінів стало неможливим з об’єктивних причин [5].</w:t>
      </w:r>
    </w:p>
    <w:p w14:paraId="133AE5E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цьому контексті, слід погодитись із І.М. Іліопол, яка зазначає, що вагомим внеском у модернізацію правосуддя стало запровадження підсистеми «Електронний суд», оскільки цифровізвція цивільного судочинства забезпечує електронну комунікацію між учасниками судового процесу та судом і сприяє доступності правосуддя [6, с. 19].</w:t>
      </w:r>
    </w:p>
    <w:p w14:paraId="1D78A131" w14:textId="77777777" w:rsidR="007B2628"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Серед основних проблем функціонування цивільного судочинства під час війни варто відзначити обмежений доступ до судів у тимчасово окупованих або прифронтових територіях, зупинення роботи окремих судів, складність комунікації між сторонами та обмеження процесуального контролю.</w:t>
      </w:r>
    </w:p>
    <w:p w14:paraId="5AAD8B32" w14:textId="4BD3F55C"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Зміни в законодавстві, спрямовані на спрощення або пришвидшення розгляду справ, можуть призвести до зниження гарантій захисту прав. </w:t>
      </w:r>
      <w:r w:rsidRPr="00511005">
        <w:rPr>
          <w:rFonts w:ascii="Arial" w:eastAsia="Times New Roman" w:hAnsi="Arial" w:cs="Arial"/>
          <w:szCs w:val="28"/>
          <w:lang w:val="uk-UA" w:eastAsia="uk-UA"/>
        </w:rPr>
        <w:lastRenderedPageBreak/>
        <w:t>Наприклад, перенесення засідань в онлайн-формат в умовах нестабільного інтернет-зв’язку створює технічні бар’єри. Крім того, обмеження в строках оскарження, змінені правила вручення судових повісток і віддалене провадження можуть нести ризики порушення права на ефективний захист.</w:t>
      </w:r>
    </w:p>
    <w:p w14:paraId="4EC1D6E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Отже, цивільне судочинство в умовах війни - це перевірка на міцність для держави і її правової системи. Незважаючи на виклики, Україна повинна демонструвати відданість принципам прав людини, навіть у найскладніших обставинах. Баланс між безпекою та справедливістю не є статичним - він потребує постійного переосмислення, правової чутливості та етичної відповідальності. Лише за таких умов правосуддя зберігатиме свою легітимність і довіру громадян.</w:t>
      </w:r>
    </w:p>
    <w:p w14:paraId="7D5F3329" w14:textId="142E1736" w:rsidR="005F048D" w:rsidRPr="00511005" w:rsidRDefault="007B2628" w:rsidP="007B2628">
      <w:pPr>
        <w:spacing w:line="264" w:lineRule="auto"/>
        <w:ind w:firstLine="567"/>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483AAFC5" w14:textId="53143FAD"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1.</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Указ Президента України «Про введення воєнного стану в Україні» від 24 лютого 2022 року № 64/2022. /URL: https://zakon.rada.gov.ua/laws/show/64/2022#Text</w:t>
      </w:r>
    </w:p>
    <w:p w14:paraId="0E75E66C"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Конституція України від 28 червня 1996 р. Відомості Верховної Ради України.1996. № 30. Ст. 141. URL: </w:t>
      </w:r>
      <w:hyperlink r:id="rId1391">
        <w:r w:rsidRPr="00511005">
          <w:rPr>
            <w:rFonts w:ascii="Arial" w:eastAsia="Times New Roman" w:hAnsi="Arial" w:cs="Arial"/>
            <w:szCs w:val="28"/>
            <w:lang w:val="uk-UA" w:eastAsia="uk-UA"/>
          </w:rPr>
          <w:t>https://zakon.rada.gov.ua/laws/</w:t>
        </w:r>
      </w:hyperlink>
      <w:r w:rsidRPr="00511005">
        <w:rPr>
          <w:rFonts w:ascii="Arial" w:eastAsia="Times New Roman" w:hAnsi="Arial" w:cs="Arial"/>
          <w:szCs w:val="28"/>
          <w:lang w:val="uk-UA" w:eastAsia="uk-UA"/>
        </w:rPr>
        <w:t xml:space="preserve"> show/254к/96-вр#Text</w:t>
      </w:r>
    </w:p>
    <w:p w14:paraId="5C156625"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 Цивільний процесуальний кодекс України: Закон України від 18.03.2004 № 1618-ІV. Відомості Верховної Ради України. 2004. № 40-42. Ст.492. URL: </w:t>
      </w:r>
      <w:hyperlink r:id="rId1392">
        <w:r w:rsidRPr="00511005">
          <w:rPr>
            <w:rFonts w:ascii="Arial" w:eastAsia="Times New Roman" w:hAnsi="Arial" w:cs="Arial"/>
            <w:szCs w:val="28"/>
            <w:lang w:val="uk-UA" w:eastAsia="uk-UA"/>
          </w:rPr>
          <w:t>https://zakon.rada.gov.ua/laws/show/1618-15</w:t>
        </w:r>
      </w:hyperlink>
    </w:p>
    <w:p w14:paraId="3BFC7A0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Про правовий режим воєнного стану: Закон України від 12.05.2015 № 389-VIII. Відомості Верховної Ради України. 2015. № 28. Ст. 250. URL: </w:t>
      </w:r>
      <w:hyperlink r:id="rId1393">
        <w:r w:rsidRPr="00511005">
          <w:rPr>
            <w:rFonts w:ascii="Arial" w:eastAsia="Times New Roman" w:hAnsi="Arial" w:cs="Arial"/>
            <w:szCs w:val="28"/>
            <w:lang w:val="uk-UA" w:eastAsia="uk-UA"/>
          </w:rPr>
          <w:t>https://zakon.rada.gov.ua/laws/show/389-19</w:t>
        </w:r>
      </w:hyperlink>
    </w:p>
    <w:p w14:paraId="5FE2173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5. Рекомендації щодо роботи судів в умовах воєнного стану. Рада суддів України. URL: </w:t>
      </w:r>
      <w:hyperlink r:id="rId1394">
        <w:r w:rsidRPr="00511005">
          <w:rPr>
            <w:rFonts w:ascii="Arial" w:eastAsia="Times New Roman" w:hAnsi="Arial" w:cs="Arial"/>
            <w:szCs w:val="28"/>
            <w:lang w:val="uk-UA" w:eastAsia="uk-UA"/>
          </w:rPr>
          <w:t>http://rsu.gov</w:t>
        </w:r>
      </w:hyperlink>
      <w:r w:rsidRPr="00511005">
        <w:rPr>
          <w:rFonts w:ascii="Arial" w:eastAsia="Times New Roman" w:hAnsi="Arial" w:cs="Arial"/>
          <w:szCs w:val="28"/>
          <w:lang w:val="uk-UA" w:eastAsia="uk-UA"/>
        </w:rPr>
        <w:t xml:space="preserve">. ua/ua/news/usim-sudam-ukraini-rsuopublikuvalarekomendacii-sodo-rooti-sudiv-v-umovah-voennogostanu </w:t>
      </w:r>
    </w:p>
    <w:p w14:paraId="7FA07290" w14:textId="66B945BD"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6. Іліопол І.М.</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Онлайн-суди як перспектива цивільного судочинства.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Захист прав людини в порядку цивільного судочинства в цифрову еру : матер. Всеукр. наук. практич. інтернет-конф. ім. Ю. С. Червоного (м. Одеса, 20 груд. 2024 р.) / упоряд.: Н. Ю. Голубєва, І. В. Андронов, О. О. Полуніна [та ін.] ; за заг. ред. Н. Ю. Голубєвої ; НУ "ОЮА". Одеса : Юридична література, 2025. 68 с. URL: </w:t>
      </w:r>
      <w:hyperlink r:id="rId1395">
        <w:r w:rsidRPr="00511005">
          <w:rPr>
            <w:rFonts w:ascii="Arial" w:eastAsia="Times New Roman" w:hAnsi="Arial" w:cs="Arial"/>
            <w:szCs w:val="28"/>
            <w:lang w:val="uk-UA" w:eastAsia="uk-UA"/>
          </w:rPr>
          <w:t>https://doi.org/10.32837/11300.29344</w:t>
        </w:r>
      </w:hyperlink>
      <w:r w:rsidRPr="00511005">
        <w:rPr>
          <w:rFonts w:ascii="Arial" w:eastAsia="Times New Roman" w:hAnsi="Arial" w:cs="Arial"/>
          <w:szCs w:val="28"/>
          <w:lang w:val="uk-UA" w:eastAsia="uk-UA"/>
        </w:rPr>
        <w:t xml:space="preserve"> </w:t>
      </w:r>
    </w:p>
    <w:p w14:paraId="4957EE41" w14:textId="77777777" w:rsidR="005F048D" w:rsidRPr="00511005" w:rsidRDefault="005F048D" w:rsidP="003A292D">
      <w:pPr>
        <w:spacing w:line="264" w:lineRule="auto"/>
        <w:ind w:firstLine="567"/>
        <w:rPr>
          <w:rFonts w:ascii="Arial" w:eastAsia="Times New Roman" w:hAnsi="Arial" w:cs="Arial"/>
          <w:szCs w:val="28"/>
          <w:lang w:val="uk-UA" w:eastAsia="uk-UA"/>
        </w:rPr>
      </w:pPr>
    </w:p>
    <w:p w14:paraId="4D5C1BD7" w14:textId="028F39D2" w:rsidR="005F048D" w:rsidRPr="00511005" w:rsidRDefault="00EE666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szCs w:val="28"/>
          <w:lang w:val="uk-UA" w:eastAsia="uk-UA"/>
        </w:rPr>
        <w:t>Ключові слова:</w:t>
      </w:r>
      <w:r w:rsidR="005F048D" w:rsidRPr="00511005">
        <w:rPr>
          <w:rFonts w:ascii="Arial" w:eastAsia="Times New Roman" w:hAnsi="Arial" w:cs="Arial"/>
          <w:b/>
          <w:szCs w:val="28"/>
          <w:lang w:val="uk-UA" w:eastAsia="uk-UA"/>
        </w:rPr>
        <w:t xml:space="preserve"> </w:t>
      </w:r>
      <w:r w:rsidR="005F048D" w:rsidRPr="00511005">
        <w:rPr>
          <w:rFonts w:ascii="Arial" w:eastAsia="Times New Roman" w:hAnsi="Arial" w:cs="Arial"/>
          <w:szCs w:val="28"/>
          <w:lang w:val="uk-UA" w:eastAsia="uk-UA"/>
        </w:rPr>
        <w:t>права людини, воєнний стан, правосуддя, цивільне судочинство, законодавство, національна безпека, збройна агресія, судова влада, правовий режим, обмеження прав.</w:t>
      </w:r>
    </w:p>
    <w:p w14:paraId="61A4D3FB" w14:textId="5CDB6A9B" w:rsidR="005F048D" w:rsidRPr="00511005" w:rsidRDefault="007B2628" w:rsidP="003A292D">
      <w:pPr>
        <w:spacing w:line="264" w:lineRule="auto"/>
        <w:ind w:firstLine="720"/>
        <w:rPr>
          <w:rFonts w:ascii="Arial" w:eastAsia="Times New Roman" w:hAnsi="Arial" w:cs="Arial"/>
          <w:b/>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human rights, martial law, justice, civil proceedings, legislation, national security,</w:t>
      </w:r>
      <w:r w:rsidRPr="00511005">
        <w:rPr>
          <w:rFonts w:ascii="Arial" w:eastAsia="Times New Roman" w:hAnsi="Arial" w:cs="Arial"/>
          <w:szCs w:val="28"/>
          <w:lang w:val="uk-UA" w:eastAsia="uk-UA"/>
        </w:rPr>
        <w:t xml:space="preserve"> </w:t>
      </w:r>
      <w:r w:rsidR="005F048D" w:rsidRPr="00511005">
        <w:rPr>
          <w:rFonts w:ascii="Arial" w:eastAsia="Times New Roman" w:hAnsi="Arial" w:cs="Arial"/>
          <w:szCs w:val="28"/>
          <w:lang w:val="uk-UA" w:eastAsia="uk-UA"/>
        </w:rPr>
        <w:t>armed aggression, judicial power, legalregime, restriction frights.</w:t>
      </w:r>
    </w:p>
    <w:p w14:paraId="0B652BF6" w14:textId="089C893B" w:rsidR="005F048D" w:rsidRPr="00511005" w:rsidRDefault="007B2628" w:rsidP="003A292D">
      <w:pPr>
        <w:spacing w:line="264" w:lineRule="auto"/>
        <w:ind w:firstLine="720"/>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Іліопол І.М.</w:t>
      </w:r>
    </w:p>
    <w:p w14:paraId="435445CC"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13067D40"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i/>
          <w:szCs w:val="28"/>
          <w:lang w:val="uk-UA" w:eastAsia="uk-UA"/>
        </w:rPr>
        <w:lastRenderedPageBreak/>
        <w:t>Жилка Анастасія Миколаївна</w:t>
      </w:r>
      <w:r w:rsidRPr="00511005">
        <w:rPr>
          <w:rFonts w:ascii="Arial" w:eastAsia="Times New Roman" w:hAnsi="Arial" w:cs="Arial"/>
          <w:szCs w:val="28"/>
          <w:lang w:val="uk-UA" w:eastAsia="uk-UA"/>
        </w:rPr>
        <w:t xml:space="preserve"> </w:t>
      </w:r>
    </w:p>
    <w:p w14:paraId="3E8906F6" w14:textId="77777777" w:rsidR="007B2628" w:rsidRPr="00511005" w:rsidRDefault="005F048D"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szCs w:val="28"/>
          <w:lang w:val="uk-UA" w:eastAsia="uk-UA"/>
        </w:rPr>
        <w:t>с</w:t>
      </w:r>
      <w:r w:rsidRPr="00511005">
        <w:rPr>
          <w:rFonts w:ascii="Arial" w:eastAsia="Times New Roman" w:hAnsi="Arial" w:cs="Arial"/>
          <w:i/>
          <w:szCs w:val="28"/>
          <w:lang w:val="uk-UA" w:eastAsia="uk-UA"/>
        </w:rPr>
        <w:t>тудентка 1-го курсу</w:t>
      </w:r>
    </w:p>
    <w:p w14:paraId="4192B63B" w14:textId="33CD7EE7" w:rsidR="005F048D" w:rsidRPr="00511005" w:rsidRDefault="005F048D"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 xml:space="preserve">магістратури </w:t>
      </w:r>
      <w:r w:rsidR="001B7B25" w:rsidRPr="00511005">
        <w:rPr>
          <w:rFonts w:ascii="Arial" w:eastAsia="Times New Roman" w:hAnsi="Arial" w:cs="Arial"/>
          <w:i/>
          <w:szCs w:val="28"/>
          <w:lang w:val="uk-UA" w:eastAsia="uk-UA"/>
        </w:rPr>
        <w:t>факультету судового та міжнародного права</w:t>
      </w:r>
      <w:r w:rsidRPr="00511005">
        <w:rPr>
          <w:rFonts w:ascii="Arial" w:eastAsia="Times New Roman" w:hAnsi="Arial" w:cs="Arial"/>
          <w:i/>
          <w:szCs w:val="28"/>
          <w:lang w:val="uk-UA" w:eastAsia="uk-UA"/>
        </w:rPr>
        <w:t xml:space="preserve"> </w:t>
      </w:r>
    </w:p>
    <w:p w14:paraId="3465C53C" w14:textId="1D4B404F" w:rsidR="005F048D" w:rsidRPr="00511005" w:rsidRDefault="007B2628"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Національного університету «Одеська юридична академія»</w:t>
      </w:r>
    </w:p>
    <w:p w14:paraId="3F4C536E"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p>
    <w:p w14:paraId="6E298B7C"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ЕТИКА СПІЛКУВАННЯ СУДДІ ТА АДВОКАТА: ЗАБЕЗПЕЧЕННЯ РІВНОСТІ ТА НЕУПЕРЕДЖЕНОСТІ </w:t>
      </w:r>
    </w:p>
    <w:p w14:paraId="4AD8FCCC"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системі правосуддя етичні стандарти взаємодії між суддею та адвокатом мають надзвичайно важливе значення, оскільки саме від дотримання принципів рівності, неупередженості та поваги залежить довіра суспільства до судових рішень і, в ширшому сенсі, до самої судової влади. Спілкування між цими двома суб’єктами процесу має відбуватися в суворій відповідності до професійної етики, яка базується на законодавчих засадах, міжнародних стандартах та принципах справедливості. Незважаючи на те, що діяльність суду, як прокуратури, так і адвокатури, носить правозахисний характер, суддя повинен безсторонньо ставитися до представників таких органів [1, с. 11]. </w:t>
      </w:r>
    </w:p>
    <w:p w14:paraId="0166F58E"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Така неупередженість має проявлятися не лише в межах судового процесу, а й поза ним, зокрема у формі особистих та професійних контактів. Бангалорські принципи поведінки суддів, ухвалені у 2002 році, є одним із найавторитетніших міжнародних документів, що встановлює етичні стандарти для суддівської діяльності. Ці принципи наголошують на шести основоположних цінностях: незалежності, неупередженості, доброчесності, належності, рівності та компетентності з належною старанністю. Підкреслюють, що суддя, який розглядає справи у певному суді, повинен з обачністю підходити до особистих стосунків із адвокатами, що постійно здійснюють там свою практику. З метою запобігання конфлікту інтересів та недопущення появи навіть обґрунтованої підозри в упередженості, судді рекомендується уникати ситуацій, що можуть створити враження про наявність особистих симпатій або відданості стороні захисту. Зокрема, недопустимим є надання адвокатам місця проживання судді для ведення справ, проведення ділових зустрічей або прийому клієнтів [2]. </w:t>
      </w:r>
    </w:p>
    <w:p w14:paraId="65E6FB1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Бангалорські принципи формують основу для визначення належної поведінки судді в його професійній та суспільній ролі, вимагаючи від нього не лише бездоганного дотримання норм права, але й утвердження високого рівня моральності та етичності у всіх аспектах діяльності. Дотримання цих принципів має особливе значення для забезпечення суспільної довіри до судової влади, оскільки поведінка судді повинна не лише гарантувати фактичну неупередженість судочинства, а й створювати враження об'єктивності та справедливості. Етика взаємин судді та адвоката безпосередньо корелює з положеннями Бангалорських принципів, адже саме в процесі їхньої професійної взаємодії найяскравіше виявляється </w:t>
      </w:r>
      <w:r w:rsidRPr="00511005">
        <w:rPr>
          <w:rFonts w:ascii="Arial" w:eastAsia="Times New Roman" w:hAnsi="Arial" w:cs="Arial"/>
          <w:szCs w:val="28"/>
          <w:lang w:val="uk-UA" w:eastAsia="uk-UA"/>
        </w:rPr>
        <w:lastRenderedPageBreak/>
        <w:t xml:space="preserve">дотримання або порушення таких засад, як рівність і неупередженість. Суддя має забезпечувати рівне ставлення до всіх учасників судового процесу, уникаючи проявів упередженості або особистої прихильності до конкретного адвоката. Адвокат, у свою чергу, повинен з повагою ставитися до суду та сприяти реалізації справедливого судового розгляду. Взаємна етична відповідальність судді й адвоката гарантує не лише реалізацію права сторін на справедливий розгляд справи, а й укріплює авторитет правосуддя загалом. Таким чином, Бангалорські принципи становлять важливий морально-правовий орієнтир для професійної комунікації в судовому процесі. У Висновку № (2013) 16 «Про відносини між суддями та адвокатами», ухваленому Консультативною Радою Європейських суддів, підтримується ідея розвитку професійного діалогу між суддями та адвокатами, однак наголошується, що такий діалог не повинен ставити під загрозу дотримання високих етичних стандартів, встановлених для обох професій [3]. </w:t>
      </w:r>
    </w:p>
    <w:p w14:paraId="693B652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Висновок закликає до створення відкритого, але контрольованого професійного середовища, де зберігається баланс між взаємоповагою і незалежністю. Бордоська декларація «Судді та прокурори у демократичному суспільстві» [4], а також Будапештські керівні принципи [5], що стосуються етики прокурорів, закликають представників усіх юридичних професій до взаємного ознайомлення з етичними вимогами, притаманними кожній із ролей у правосудді. Ці документи наголошують на необхідності неухильного дотримання принципів незалежності, поваги до один одного, доброчесності та професійної гідності, а також поводитися з урахуванням високого статусу своїх посад у будь-якій ситуації — як у професійному, так і в особистому просторі. На національному рівні етичні засади діяльності судді та адвоката визначається Кодексом суддівської етики та Правилами адвокатської етики відповідно. Особливу увагу в контексті етики спілкування слід приділити питанню про допустимі форми комунікації між суддею та адвокатом поза межами відкритого судового засідання. Таке спілкування, якщо воно має місце, повинно відповідати принципу прозорості та рівного доступу обох сторін до судді. </w:t>
      </w:r>
    </w:p>
    <w:p w14:paraId="26A4F05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Будь-яка приватна комунікація, яка має на меті вплинути на суддю або створити уявлення про перевагу однієї зі сторін, є неприпустимою та порушує принцип рівності процесуальних прав. У практиці Європейського суду з прав людини неодноразово наголошувалося, що навіть об’єктивне враження про упередженість судді є підставою для сумнівів щодо справедливості всього судового розгляду. У справі Morice v. France Європейський суд з прав людини дійшов важливого висновку щодо свободи вираження поглядів адвоката та меж допустимої критики судової системи. Суд підтвердив важливість свободи вираження поглядів адвоката, особливо в контексті публічної критики правосуддя, одночасно наголосивши на </w:t>
      </w:r>
      <w:r w:rsidRPr="00511005">
        <w:rPr>
          <w:rFonts w:ascii="Arial" w:eastAsia="Times New Roman" w:hAnsi="Arial" w:cs="Arial"/>
          <w:szCs w:val="28"/>
          <w:lang w:val="uk-UA" w:eastAsia="uk-UA"/>
        </w:rPr>
        <w:lastRenderedPageBreak/>
        <w:t xml:space="preserve">необхідності дотримання етичних стандартів адвокатської поведінки, зокрема — стриманості та професіоналізму [6]. Забезпечення рівності та неупередженості у спілкуванні судді та адвоката набуває особливої ваги під час розгляду справ, що мають значний суспільний резонанс або пов’язані з конфліктом інтересів. Суддя зобов’язаний уникати не лише реальної упередженості, а й усього, що могло б викликати обґрунтовані сумніви у його неупередженості з боку стороннього спостерігача. При цьому адвокат повинен проявляти повагу до суду, утримуватися від спроб неформального впливу на суддю та діяти виключно в межах процесуальних механізмів захисту прав і законних інтересів свого клієнта. </w:t>
      </w:r>
    </w:p>
    <w:p w14:paraId="20A4617E"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Важливим аспектом етики є питання емоційної стриманості у спілкуванні. Як суддя, так і адвокат повинні підтримувати професійну дистанцію, уникати агресивної поведінки, демонстрації особистої антипатії або симпатії, що може бути сприйняте як прояв упередженості. Використання ввічливого, нейтрального тону, коректне формулювання питань та відповідей, уникнення некоректних зауважень або особистих образ — усе це є необхідними елементами етичної комунікації. Іншим важливим моментом є етичне ставлення до спілкування через засоби масової інформації. В умовах зростаючого впливу медіа на громадську думку адвокати нерідко вдаються до коментарів щодо справ, у яких вони беруть участь. Проте адвокат має пам’ятати, що публічні висловлювання можуть вплинути на неупередженість судового розгляду та поставити під сумнів незалежність судді. Зі свого боку, судді мають утримуватися від будь-яких публічних коментарів стосовно справ, що розглядаються, оскільки будь-який подібний коментар може бути сприйнятий як прояв упередженості або передчасної оцінки обставин справи. До найбільш типових етичних порушень, що трапляються у практиці судового процесу, можна віднести: приватні розмови судді та адвоката без участі іншої сторони; надання суддею порад адвокату щодо тактики ведення справи; прохання адвоката до судді про прийняття певного рішення поза межами процесуальної дискусії; образливе або принизливе поводження адвоката щодо судді чи навпаки; спроби впливу на суддю через інші канали комунікації, включно з медіа або третіми особами [7, с.30,31]. </w:t>
      </w:r>
    </w:p>
    <w:p w14:paraId="5D3CE13C"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Уникнення зазначених порушень є запорукою дотримання основоположних принципів правосуддя, таких як рівність сторін, змагальність процесу, незалежність та неупередженість суду. Водночас важливо усвідомлювати, що професійна етика не є лише сукупністю заборон і обмежень; вона також передбачає позитивний обов’язок суддів і адвокатів сприяти створенню атмосфери взаємної поваги та довіри у процесі. У підсумку можна стверджувати, що етика спілкування судді та адвоката є важливою складовою забезпечення рівності та неупередженості судового процесу. Дотримання етичних стандартів не тільки захищає права учасників </w:t>
      </w:r>
      <w:r w:rsidRPr="00511005">
        <w:rPr>
          <w:rFonts w:ascii="Arial" w:eastAsia="Times New Roman" w:hAnsi="Arial" w:cs="Arial"/>
          <w:szCs w:val="28"/>
          <w:lang w:val="uk-UA" w:eastAsia="uk-UA"/>
        </w:rPr>
        <w:lastRenderedPageBreak/>
        <w:t>судового розгляду, але й зміцнює авторитет правосуддя в очах суспільства. Подальший розвиток етичної культури в юридичній спільноті має базуватися на поєднанні нормативного регулювання, професійного самоконтролю та формування високих моральних орієнтирів у кожного юриста. Саме така комплексна стратегія здатна забезпечити реальне втілення в життя ідеалів справедливості, незалежності судової влади та захисту прав людини.</w:t>
      </w:r>
    </w:p>
    <w:p w14:paraId="03999910" w14:textId="77777777" w:rsidR="005F048D" w:rsidRPr="00511005" w:rsidRDefault="005F048D" w:rsidP="003A292D">
      <w:pPr>
        <w:spacing w:line="264" w:lineRule="auto"/>
        <w:ind w:firstLine="851"/>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Cписок використаних джерел</w:t>
      </w:r>
    </w:p>
    <w:p w14:paraId="36919B42" w14:textId="69E542F1" w:rsidR="005F048D" w:rsidRPr="00511005" w:rsidRDefault="005F048D" w:rsidP="003F6A5D">
      <w:pPr>
        <w:numPr>
          <w:ilvl w:val="0"/>
          <w:numId w:val="36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Європейські стандарти у сфері цивільного судочинства : навчально-методичний посібник для здобувачів вищої освіти ступеня доктора філософії в аспірантурі </w:t>
      </w:r>
      <w:r w:rsidR="007B2628" w:rsidRPr="00511005">
        <w:rPr>
          <w:rFonts w:ascii="Arial" w:eastAsia="Times New Roman" w:hAnsi="Arial" w:cs="Arial"/>
          <w:szCs w:val="28"/>
          <w:lang w:val="uk-UA" w:eastAsia="uk-UA"/>
        </w:rPr>
        <w:t>Національного університету «Одеська юридична академія»</w:t>
      </w:r>
      <w:r w:rsidRPr="00511005">
        <w:rPr>
          <w:rFonts w:ascii="Arial" w:eastAsia="Times New Roman" w:hAnsi="Arial" w:cs="Arial"/>
          <w:szCs w:val="28"/>
          <w:lang w:val="uk-UA" w:eastAsia="uk-UA"/>
        </w:rPr>
        <w:t xml:space="preserve"> спеціальність – 081 «Право» / Н. Ю. Голубєва, І. В. Андронов, І. О. Бут. Одеса, 2021. 65 с. URL: </w:t>
      </w:r>
      <w:hyperlink r:id="rId1396">
        <w:r w:rsidRPr="00511005">
          <w:rPr>
            <w:rFonts w:ascii="Arial" w:eastAsia="Times New Roman" w:hAnsi="Arial" w:cs="Arial"/>
            <w:szCs w:val="28"/>
            <w:lang w:val="uk-UA" w:eastAsia="uk-UA"/>
          </w:rPr>
          <w:t>https://dspace.onua.edu.ua/server/api/core/bitstreams/42226316-3769-4f44-8f93-1ad0321e49e9/content</w:t>
        </w:r>
      </w:hyperlink>
      <w:r w:rsidRPr="00511005">
        <w:rPr>
          <w:rFonts w:ascii="Arial" w:eastAsia="Times New Roman" w:hAnsi="Arial" w:cs="Arial"/>
          <w:szCs w:val="28"/>
          <w:lang w:val="uk-UA" w:eastAsia="uk-UA"/>
        </w:rPr>
        <w:t xml:space="preserve"> </w:t>
      </w:r>
    </w:p>
    <w:p w14:paraId="0AFDFF68" w14:textId="77777777" w:rsidR="005F048D" w:rsidRPr="00511005" w:rsidRDefault="005F048D" w:rsidP="003F6A5D">
      <w:pPr>
        <w:numPr>
          <w:ilvl w:val="0"/>
          <w:numId w:val="36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Бангалорські принципи поведінки суддів: Міжнародний документ від 19.05.2006 р. URL: </w:t>
      </w:r>
      <w:hyperlink r:id="rId1397" w:anchor="Text">
        <w:r w:rsidRPr="00511005">
          <w:rPr>
            <w:rFonts w:ascii="Arial" w:eastAsia="Times New Roman" w:hAnsi="Arial" w:cs="Arial"/>
            <w:szCs w:val="28"/>
            <w:lang w:val="uk-UA" w:eastAsia="uk-UA"/>
          </w:rPr>
          <w:t>https://zakon.rada.gov.ua/laws/show/995_j67#Text</w:t>
        </w:r>
      </w:hyperlink>
      <w:r w:rsidRPr="00511005">
        <w:rPr>
          <w:rFonts w:ascii="Arial" w:eastAsia="Times New Roman" w:hAnsi="Arial" w:cs="Arial"/>
          <w:szCs w:val="28"/>
          <w:lang w:val="uk-UA" w:eastAsia="uk-UA"/>
        </w:rPr>
        <w:t xml:space="preserve"> </w:t>
      </w:r>
    </w:p>
    <w:p w14:paraId="1C06E045" w14:textId="77777777" w:rsidR="007B2628" w:rsidRPr="00511005" w:rsidRDefault="005F048D" w:rsidP="003F6A5D">
      <w:pPr>
        <w:numPr>
          <w:ilvl w:val="0"/>
          <w:numId w:val="36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Висновок № (2013) 16 Консультативної Ради Європейських суддів «Про відносини між суддями та адвокатами: Міжнародний документ прийнятий 13 - 15 листопада 2013. URL: </w:t>
      </w:r>
      <w:hyperlink r:id="rId1398">
        <w:r w:rsidRPr="00511005">
          <w:rPr>
            <w:rFonts w:ascii="Arial" w:eastAsia="Times New Roman" w:hAnsi="Arial" w:cs="Arial"/>
            <w:szCs w:val="28"/>
            <w:lang w:val="uk-UA" w:eastAsia="uk-UA"/>
          </w:rPr>
          <w:t>https://court.gov.ua/userfiles/KRES%20Vusnovok.pdf</w:t>
        </w:r>
      </w:hyperlink>
      <w:r w:rsidRPr="00511005">
        <w:rPr>
          <w:rFonts w:ascii="Arial" w:eastAsia="Times New Roman" w:hAnsi="Arial" w:cs="Arial"/>
          <w:szCs w:val="28"/>
          <w:lang w:val="uk-UA" w:eastAsia="uk-UA"/>
        </w:rPr>
        <w:t xml:space="preserve"> Бордоська декларація «Судді та прокурори у демократичному суспільстві»:</w:t>
      </w:r>
    </w:p>
    <w:p w14:paraId="1075DF8C" w14:textId="29DCF099" w:rsidR="005F048D" w:rsidRPr="00511005" w:rsidRDefault="005F048D" w:rsidP="003F6A5D">
      <w:pPr>
        <w:numPr>
          <w:ilvl w:val="0"/>
          <w:numId w:val="36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Міжнародний документ від 08.012.2009 р. URL: </w:t>
      </w:r>
      <w:hyperlink r:id="rId1399" w:anchor="Text">
        <w:r w:rsidRPr="00511005">
          <w:rPr>
            <w:rFonts w:ascii="Arial" w:eastAsia="Times New Roman" w:hAnsi="Arial" w:cs="Arial"/>
            <w:szCs w:val="28"/>
            <w:lang w:val="uk-UA" w:eastAsia="uk-UA"/>
          </w:rPr>
          <w:t>https://zakon.rada.gov.ua/laws/show/995_j67#Text</w:t>
        </w:r>
      </w:hyperlink>
      <w:r w:rsidRPr="00511005">
        <w:rPr>
          <w:rFonts w:ascii="Arial" w:eastAsia="Times New Roman" w:hAnsi="Arial" w:cs="Arial"/>
          <w:szCs w:val="28"/>
          <w:lang w:val="uk-UA" w:eastAsia="uk-UA"/>
        </w:rPr>
        <w:t xml:space="preserve"> </w:t>
      </w:r>
    </w:p>
    <w:p w14:paraId="150DAF64" w14:textId="77777777" w:rsidR="005F048D" w:rsidRPr="00511005" w:rsidRDefault="005F048D" w:rsidP="003F6A5D">
      <w:pPr>
        <w:numPr>
          <w:ilvl w:val="0"/>
          <w:numId w:val="36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Європейські керівні принципи з етики та поведінки для прокурорів «Будапештські керівні принципи». URL: </w:t>
      </w:r>
      <w:hyperlink r:id="rId1400">
        <w:r w:rsidRPr="00511005">
          <w:rPr>
            <w:rFonts w:ascii="Arial" w:eastAsia="Times New Roman" w:hAnsi="Arial" w:cs="Arial"/>
            <w:szCs w:val="28"/>
            <w:lang w:val="uk-UA" w:eastAsia="uk-UA"/>
          </w:rPr>
          <w:t>https://library.nlu.edu.ua/POLN_TEXT/SENMK/pr_osn1.pdf</w:t>
        </w:r>
      </w:hyperlink>
      <w:r w:rsidRPr="00511005">
        <w:rPr>
          <w:rFonts w:ascii="Arial" w:eastAsia="Times New Roman" w:hAnsi="Arial" w:cs="Arial"/>
          <w:szCs w:val="28"/>
          <w:lang w:val="uk-UA" w:eastAsia="uk-UA"/>
        </w:rPr>
        <w:t xml:space="preserve"> Judgement in Case Morice v. France 23 April 2015: URL: </w:t>
      </w:r>
      <w:hyperlink r:id="rId1401" w:anchor="%7B%22itemid%22:%5B%22001-154265%22%5D%7D">
        <w:r w:rsidRPr="00511005">
          <w:rPr>
            <w:rFonts w:ascii="Arial" w:eastAsia="Times New Roman" w:hAnsi="Arial" w:cs="Arial"/>
            <w:szCs w:val="28"/>
            <w:lang w:val="uk-UA" w:eastAsia="uk-UA"/>
          </w:rPr>
          <w:t>https://hudoc.echr.coe.int/eng#{%22itemid%22:[%22001-154265%22]}</w:t>
        </w:r>
      </w:hyperlink>
      <w:r w:rsidRPr="00511005">
        <w:rPr>
          <w:rFonts w:ascii="Arial" w:eastAsia="Times New Roman" w:hAnsi="Arial" w:cs="Arial"/>
          <w:szCs w:val="28"/>
          <w:lang w:val="uk-UA" w:eastAsia="uk-UA"/>
        </w:rPr>
        <w:t xml:space="preserve"> </w:t>
      </w:r>
    </w:p>
    <w:p w14:paraId="490E4547" w14:textId="77777777" w:rsidR="005F048D" w:rsidRPr="00511005" w:rsidRDefault="005F048D" w:rsidP="003F6A5D">
      <w:pPr>
        <w:numPr>
          <w:ilvl w:val="0"/>
          <w:numId w:val="36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Дуліба Є. В., Теремецький В. І. Відносини між адвокатом і суддею: етична дилема. Journal «ScienceRise: Juridical Science». 2024. №. 3 (29). С. 28-33.</w:t>
      </w:r>
    </w:p>
    <w:p w14:paraId="4384863D" w14:textId="4F548E77" w:rsidR="005F048D" w:rsidRPr="00511005" w:rsidRDefault="007B2628" w:rsidP="003A292D">
      <w:pPr>
        <w:spacing w:line="264" w:lineRule="auto"/>
        <w:jc w:val="left"/>
        <w:rPr>
          <w:rFonts w:ascii="Arial" w:eastAsia="Arial"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етика спілкування, рівність сторін, неупередженість, суддя, адвокат, професійна етика юриста.</w:t>
      </w:r>
      <w:r w:rsidR="005F048D" w:rsidRPr="00511005">
        <w:rPr>
          <w:rFonts w:ascii="Arial" w:eastAsia="Arial" w:hAnsi="Arial" w:cs="Arial"/>
          <w:szCs w:val="28"/>
          <w:lang w:val="uk-UA" w:eastAsia="uk-UA"/>
        </w:rPr>
        <w:br/>
      </w:r>
      <w:r w:rsidRPr="00511005">
        <w:rPr>
          <w:rFonts w:ascii="Arial" w:eastAsia="Times New Roman" w:hAnsi="Arial" w:cs="Arial"/>
          <w:b/>
          <w:szCs w:val="28"/>
          <w:lang w:val="uk-UA" w:eastAsia="uk-UA"/>
        </w:rPr>
        <w:t xml:space="preserve"> </w:t>
      </w: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ethics of communication, equality of parties, impartiality, judge, lawyer, professional ethics of a lawyer.</w:t>
      </w:r>
    </w:p>
    <w:p w14:paraId="4E1EBD02" w14:textId="2E607CC5" w:rsidR="005F048D" w:rsidRPr="00511005" w:rsidRDefault="007B2628" w:rsidP="003A292D">
      <w:pPr>
        <w:spacing w:line="264" w:lineRule="auto"/>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 xml:space="preserve">к. ю. н, доцент Полюк Ю. І. </w:t>
      </w:r>
      <w:r w:rsidR="005F048D" w:rsidRPr="00511005">
        <w:rPr>
          <w:rFonts w:ascii="Arial" w:eastAsia="Arial" w:hAnsi="Arial" w:cs="Arial"/>
          <w:szCs w:val="28"/>
          <w:lang w:val="uk-UA" w:eastAsia="uk-UA"/>
        </w:rPr>
        <w:br/>
      </w:r>
    </w:p>
    <w:p w14:paraId="0C45D051" w14:textId="77777777" w:rsidR="005F048D" w:rsidRPr="00511005" w:rsidRDefault="005F048D"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Загребнюк Дар’я Михайлівна</w:t>
      </w:r>
      <w:r w:rsidRPr="00511005">
        <w:rPr>
          <w:rFonts w:ascii="Arial" w:eastAsia="Times New Roman" w:hAnsi="Arial" w:cs="Arial"/>
          <w:szCs w:val="28"/>
          <w:lang w:val="uk-UA" w:eastAsia="uk-UA"/>
        </w:rPr>
        <w:t xml:space="preserve"> </w:t>
      </w:r>
    </w:p>
    <w:p w14:paraId="6D557E0D"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 xml:space="preserve">студентка 1-го курсу </w:t>
      </w:r>
    </w:p>
    <w:p w14:paraId="168DBC75" w14:textId="6AE8F339" w:rsidR="007B2628" w:rsidRPr="00511005" w:rsidRDefault="001B7B25"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факультету судового та міжнародного права</w:t>
      </w:r>
    </w:p>
    <w:p w14:paraId="1F31B389" w14:textId="6A692006" w:rsidR="005F048D" w:rsidRPr="00511005" w:rsidRDefault="007B2628"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Національного університету «Одеська юридична академія»</w:t>
      </w:r>
    </w:p>
    <w:p w14:paraId="50C164A3"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lastRenderedPageBreak/>
        <w:t>ПРАВОВЕ РЕГУЛЮВАННЯ ГОНОРАРУ УСПІХУ: ПОШУК БАЛАНСУ МІЖ ІНТЕРЕСАМИ КЛІЄНТА, АДВОКАТА І СУДУ</w:t>
      </w:r>
      <w:r w:rsidRPr="00511005">
        <w:rPr>
          <w:rFonts w:ascii="Arial" w:eastAsia="Times New Roman" w:hAnsi="Arial" w:cs="Arial"/>
          <w:szCs w:val="28"/>
          <w:lang w:val="uk-UA" w:eastAsia="uk-UA"/>
        </w:rPr>
        <w:t xml:space="preserve"> </w:t>
      </w:r>
    </w:p>
    <w:p w14:paraId="263EA13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сучасних умовах розвитку правничої професії та формування ефективної системи доступу до правосуддя все більшої актуальності набуває питання про допустимість і правове регулювання «гонорару успіху» – частини адвокатської винагороди, яка залежить від досягнення позитивного для клієнта результату. На сьогодні в Україні відсутнє спеціальне законодавче визначення цього правового явища, що спричиняє певну невизначеність при регулюванні правовідносин. Однак в одному з рішень Верховний Суд фактично надав визначення, відповідно до якого «гонораром успіху» є додаткова винагорода адвоката, плата за досягнутий адвокатом результат, нарахування та сплата якого залежить від настання певної події. в теорії «гонорар успіху» визначають як договірну форму оплати юридичних послуг, яка здійснюється тільки у разі отримання адвокатом певного правового результату передбаченого договором про надання правової допомоги з клієнтом [1]. </w:t>
      </w:r>
    </w:p>
    <w:p w14:paraId="4BBAEF27"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Схоже визначення міститься в п. 3.3 Загального кодексу правил для адвокатів країн Європейського Співтовариства, зокрема така угода має назву «Pactum de quota litis» [2]. В законі України «Про адвокатуру та адвокатську діяльність» ст. 30 визначено лише поняття гонорару, який є формою винагороди адвоката за здійснення захисту, представництва та на дання інших видів правничої допомоги клієнту, що може бути обчисленим у фіксованому розмірі або погодинною оплатою [3] і не визначає «гонорар успіху» як Однак у форму адвокатської винагороди. У свою чергу, питання допустимості такої форми винагороди отримало офіційне роз’яснення з боку органів адвокатського самоврядування. Так, рішенням Ради адвокатів України від 12 квітня 2019 року №35 зазначено, що адвокат має право отримувати гонорар успіху за надану правничу допомогу [4]. </w:t>
      </w:r>
    </w:p>
    <w:p w14:paraId="5D758BE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Це рішення фактично закріплює можливість застосування гонорару успіху як легітимної форми оплати адвокатських послуг. Попри відсутність законодавчого регулювання даного питання, «гонорар успіху» активно застосовується в адвокатській практиці та дедалі частіше стає предметом судового розгляду, що змушує суди самостійно формувати підходи до його правової природи та визначати умови його допустимості як складової витрат сторони, на користь якої ухвалене рішення. Одним із перших судових рішень, в якому піднімалося питання гонорару успіху, була постанова Верховного Суду від 12 червня 2018 року, в якій була висловлена критична позиція щодо допустимості включення до договору про надання правничої допомоги положення про виплату додаткової винагороди адвокату виключно за досягнення позитивного результату у справі. Зокрема, суд наголосив на тому, що предметом договору є лише надання юридичних </w:t>
      </w:r>
      <w:r w:rsidRPr="00511005">
        <w:rPr>
          <w:rFonts w:ascii="Arial" w:eastAsia="Times New Roman" w:hAnsi="Arial" w:cs="Arial"/>
          <w:szCs w:val="28"/>
          <w:lang w:val="uk-UA" w:eastAsia="uk-UA"/>
        </w:rPr>
        <w:lastRenderedPageBreak/>
        <w:t xml:space="preserve">послуг, а досягнення певного результату – «позитивного рішення по справі» виходить за межі предмета такого договору [5]. </w:t>
      </w:r>
    </w:p>
    <w:p w14:paraId="0184E38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Дана позиція Верховного Суду викликала гостру дискусію, оскільки нею фактично заперечувалося право адвоката на гонорар успіху. Окрему думку у цій справі висловив один із суддів колегії, який не погодився із більшістю. Зокрема, він зазначив, що відповідно до п. 4 ст. 1 Закону України «Про адвокатуру та адвокатську діяльність», правова допомога має інтерес для клієнта не сама по собі, а переслідує певну мету і задовольняє потребу у захисті, відновленні і задоволенні його прав. Саме тому найбільш зрозумілим критерієм оцінки якості надання правничих послуг для клієнтів є наявність або відсутність бажаного судового рішення [6]. </w:t>
      </w:r>
    </w:p>
    <w:p w14:paraId="62188362"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Попри вказану критичну позицію, у подальшій практиці Верховного Суду можна простежити певні зрушення у підходах до питання допустимості гонорару успіху, зокрема у постанові від 12 травня 2020 року суд дійшов висновку про можливість існування «гонорару успіху» як форми оплати винагороди адвокату, визнав законність визначення між адвокатом та клієнтом у договорі про надання правової допомоги такого виду винагороди як «гонорар успіху», що відповідає принципу свободи договору та численній практиці Європейського суду з прав людини [7]. </w:t>
      </w:r>
    </w:p>
    <w:p w14:paraId="6175374B"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Окрему складність становить питання компенсації «гонорару успіху» за рахунок іншої сторони у процесі як частини судових витрат. ЦПК України одночасно визначає загальний порядок розподілу судових витрат між сторонами та закріплює вимоги, якими суд повинен керуватися при вирішенні питання про розподіл судових витрат, зокрема щодо зв’язку витрат з розглядом справи, обґрунтованості та пропорційності їх розміру та інші [8]. </w:t>
      </w:r>
    </w:p>
    <w:p w14:paraId="68D724B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Тому попри визнання допустимості цієї форми винагороди між адвокатом та клієнтом, на практиці постає проблема її відшкодування у разі задоволення позову судом. Щодо питання включення до судових витрат «гонорару успіху» ВС було наголошено на тому, що зобов’язання які склалися між адвокатом та клієнтом, не є для суду обов’язковими в контексті компенсації витрат за рахунок іншої сторони, і вирішуючи питання розподілу судових витрат, потрібно враховувати чи були вони фактично понесені, та оцінювати їх необхідність і розумність [7]. </w:t>
      </w:r>
    </w:p>
    <w:p w14:paraId="20A96777"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Схожу позицію висловлює Європейський суд з прав людини у справі «Ятрідіс проти Греції», у якому він сформулював основні положення стосовно зазначених угод. Зокрема, ЄСПЛ розглядав питання допустимості домовленостей між адвокатом та клієнтом щодо винагороди, яка залежить від результату справи. Зокрема, у цьому рішенні Суд визнав, що угоди, подібні до «гонорару успіху», можуть підтверджувати обов’язок заявника сплатити певну суму гонорару адвокатові, однак наголосив на тому, що вони не є обов’язковими для національного суду при оцінці судових витрат, </w:t>
      </w:r>
      <w:r w:rsidRPr="00511005">
        <w:rPr>
          <w:rFonts w:ascii="Arial" w:eastAsia="Times New Roman" w:hAnsi="Arial" w:cs="Arial"/>
          <w:szCs w:val="28"/>
          <w:lang w:val="uk-UA" w:eastAsia="uk-UA"/>
        </w:rPr>
        <w:lastRenderedPageBreak/>
        <w:t>оскільки суд має оцінювати не лише те, чи дійсно такі витрати були понесені, а також враховувати їх розумність [9]. В юридичній літературі щодо цього зазначено, що на сторону, що програла, такі витрати можуть частково покладатися виключних випадках, тільки коли основний гонорар мав занижений характер, тому частину гонорару успіху можна вважати обґрунтованою. Але за загальним правилом такий гонорар не може включатися у витрати, які розподіляються між сторонами, в силу вимог дотримання пропорційності та розумності судових витрат [10, с. 31, 32].</w:t>
      </w:r>
    </w:p>
    <w:p w14:paraId="1DF2FCE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Отже, питання допустимості та відшкодування «гонорару успіху» в українській правозастосовній практиці залишається складним і багатогранним. Попри відсутність його чіткого законодавчого регулювання, ця форма винагороди фактично визнається правомірною у договірних відносинах між адвокатом і клієнтом, що підтверджується судовою практикою. Відповідно видається виправденим внести зміни до Закону України «Про адвокатуру та адвокатську діяльність», доповнивши його нормою, яка прямо передбачає можливість встановлення гонорару успіху як однієї з форм адвокатської винагороди та уточнити положення ЦПК України, що стосуються розподілу судових витрат, шляхом доповнення переліку можливих витрат гонорар успіху як такого, що може компенсуватись у виключних випадках. У питаннях відшкодування гонорару успіху за рахунок іншої сторони, суди керуються оціночними критеріями, встановленими практикою ЄСПЛ: фактичність витрат, їх необхідність і розумність, а не лише фактом існування угоди з клієнтом. Виходячи з цього необхідним є вироблення єдиних стандартів оцінки обґрунтованості гонорару успіху та запровадження обмеження та запобіжники щодо розміру гонорару успіху для уникнення зловживань.</w:t>
      </w:r>
    </w:p>
    <w:p w14:paraId="0DDDC886" w14:textId="0E786914" w:rsidR="005F048D"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r w:rsidR="005F048D" w:rsidRPr="00511005">
        <w:rPr>
          <w:rFonts w:ascii="Arial" w:eastAsia="Times New Roman" w:hAnsi="Arial" w:cs="Arial"/>
          <w:b/>
          <w:szCs w:val="28"/>
          <w:lang w:val="uk-UA" w:eastAsia="uk-UA"/>
        </w:rPr>
        <w:t xml:space="preserve"> </w:t>
      </w:r>
    </w:p>
    <w:p w14:paraId="1062678B" w14:textId="77777777" w:rsidR="005F048D" w:rsidRPr="00511005" w:rsidRDefault="005F048D" w:rsidP="003F6A5D">
      <w:pPr>
        <w:numPr>
          <w:ilvl w:val="0"/>
          <w:numId w:val="37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Постанова Касаційного господарського суду у справі №903/781/21 від 28.07.2022 р. URL: </w:t>
      </w:r>
      <w:hyperlink r:id="rId1402">
        <w:r w:rsidRPr="00511005">
          <w:rPr>
            <w:rFonts w:ascii="Arial" w:eastAsia="Times New Roman" w:hAnsi="Arial" w:cs="Arial"/>
            <w:szCs w:val="28"/>
            <w:lang w:val="uk-UA" w:eastAsia="uk-UA"/>
          </w:rPr>
          <w:t>https://reyestr.court.gov.ua/Review/105493740</w:t>
        </w:r>
      </w:hyperlink>
      <w:r w:rsidRPr="00511005">
        <w:rPr>
          <w:rFonts w:ascii="Arial" w:eastAsia="Times New Roman" w:hAnsi="Arial" w:cs="Arial"/>
          <w:szCs w:val="28"/>
          <w:lang w:val="uk-UA" w:eastAsia="uk-UA"/>
        </w:rPr>
        <w:t xml:space="preserve"> </w:t>
      </w:r>
    </w:p>
    <w:p w14:paraId="2A2AEF14" w14:textId="77777777" w:rsidR="005F048D" w:rsidRPr="00511005" w:rsidRDefault="005F048D" w:rsidP="003F6A5D">
      <w:pPr>
        <w:numPr>
          <w:ilvl w:val="0"/>
          <w:numId w:val="37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Загальний кодекс правил для адвокатів країн Європейського Співтовариства: Документ № 994_343 від 01.10.1988 року. URL: </w:t>
      </w:r>
      <w:hyperlink r:id="rId1403" w:anchor="Text">
        <w:r w:rsidRPr="00511005">
          <w:rPr>
            <w:rFonts w:ascii="Arial" w:eastAsia="Times New Roman" w:hAnsi="Arial" w:cs="Arial"/>
            <w:szCs w:val="28"/>
            <w:lang w:val="uk-UA" w:eastAsia="uk-UA"/>
          </w:rPr>
          <w:t>https://zakon.rada.gov.ua/laws/show/994_343#Text</w:t>
        </w:r>
      </w:hyperlink>
      <w:r w:rsidRPr="00511005">
        <w:rPr>
          <w:rFonts w:ascii="Arial" w:eastAsia="Times New Roman" w:hAnsi="Arial" w:cs="Arial"/>
          <w:szCs w:val="28"/>
          <w:lang w:val="uk-UA" w:eastAsia="uk-UA"/>
        </w:rPr>
        <w:t xml:space="preserve"> </w:t>
      </w:r>
    </w:p>
    <w:p w14:paraId="4C2292DA" w14:textId="6A3B98C2" w:rsidR="005F048D" w:rsidRPr="00511005" w:rsidRDefault="005F048D" w:rsidP="003F6A5D">
      <w:pPr>
        <w:numPr>
          <w:ilvl w:val="0"/>
          <w:numId w:val="37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адвокатуру та адвокатську діяльність : Закон України від 05.07.2012. № 5076-VI. Дата оновлення: 15.11.2024. URL: </w:t>
      </w:r>
      <w:hyperlink r:id="rId1404" w:anchor="Text">
        <w:r w:rsidRPr="00511005">
          <w:rPr>
            <w:rFonts w:ascii="Arial" w:eastAsia="Times New Roman" w:hAnsi="Arial" w:cs="Arial"/>
            <w:szCs w:val="28"/>
            <w:lang w:val="uk-UA" w:eastAsia="uk-UA"/>
          </w:rPr>
          <w:t>https://zakon.rada.gov.ua/laws/show/5076-17#Text</w:t>
        </w:r>
      </w:hyperlink>
      <w:r w:rsidR="007B2628" w:rsidRPr="00511005">
        <w:rPr>
          <w:rFonts w:ascii="Arial" w:eastAsia="Times New Roman" w:hAnsi="Arial" w:cs="Arial"/>
          <w:szCs w:val="28"/>
          <w:lang w:val="uk-UA" w:eastAsia="uk-UA"/>
        </w:rPr>
        <w:t xml:space="preserve"> </w:t>
      </w:r>
    </w:p>
    <w:p w14:paraId="6568A510" w14:textId="77777777" w:rsidR="005F048D" w:rsidRPr="00511005" w:rsidRDefault="005F048D" w:rsidP="003F6A5D">
      <w:pPr>
        <w:numPr>
          <w:ilvl w:val="0"/>
          <w:numId w:val="37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розгляд звернення адвоката Дроздова О.М. щодо гонорару успіху адвоката за надану правничу (правову) допомогу: Рішення Ради адвокатів України № 35 від 12.04.2019. URL: 2019-04-12-r-shennya-rau-35_5cebe7b9e0020.pdf </w:t>
      </w:r>
    </w:p>
    <w:p w14:paraId="7A9137EB" w14:textId="77777777" w:rsidR="005F048D" w:rsidRPr="00511005" w:rsidRDefault="005F048D" w:rsidP="003F6A5D">
      <w:pPr>
        <w:numPr>
          <w:ilvl w:val="0"/>
          <w:numId w:val="37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Постанова Касаційного цивільного суду у справі №462/9002/14-ц від 12.06.2018 р. URL: </w:t>
      </w:r>
      <w:hyperlink r:id="rId1405">
        <w:r w:rsidRPr="00511005">
          <w:rPr>
            <w:rFonts w:ascii="Arial" w:eastAsia="Times New Roman" w:hAnsi="Arial" w:cs="Arial"/>
            <w:szCs w:val="28"/>
            <w:lang w:val="uk-UA" w:eastAsia="uk-UA"/>
          </w:rPr>
          <w:t>https://reyestr.court.gov.ua/Review/76022516</w:t>
        </w:r>
      </w:hyperlink>
      <w:r w:rsidRPr="00511005">
        <w:rPr>
          <w:rFonts w:ascii="Arial" w:eastAsia="Times New Roman" w:hAnsi="Arial" w:cs="Arial"/>
          <w:szCs w:val="28"/>
          <w:lang w:val="uk-UA" w:eastAsia="uk-UA"/>
        </w:rPr>
        <w:t xml:space="preserve"> </w:t>
      </w:r>
    </w:p>
    <w:p w14:paraId="301B1BCC" w14:textId="77777777" w:rsidR="005F048D" w:rsidRPr="00511005" w:rsidRDefault="005F048D" w:rsidP="003F6A5D">
      <w:pPr>
        <w:numPr>
          <w:ilvl w:val="0"/>
          <w:numId w:val="37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Окрема думка судді Касаційного цивільного суду Верховного суду Крата В. І. у справі №462/9002/14-ц від 12.08.2018р. URL: </w:t>
      </w:r>
      <w:hyperlink r:id="rId1406">
        <w:r w:rsidRPr="00511005">
          <w:rPr>
            <w:rFonts w:ascii="Arial" w:eastAsia="Times New Roman" w:hAnsi="Arial" w:cs="Arial"/>
            <w:szCs w:val="28"/>
            <w:lang w:val="uk-UA" w:eastAsia="uk-UA"/>
          </w:rPr>
          <w:t>https://reyestr.court.gov.ua/Review/74963389</w:t>
        </w:r>
      </w:hyperlink>
      <w:r w:rsidRPr="00511005">
        <w:rPr>
          <w:rFonts w:ascii="Arial" w:eastAsia="Times New Roman" w:hAnsi="Arial" w:cs="Arial"/>
          <w:szCs w:val="28"/>
          <w:lang w:val="uk-UA" w:eastAsia="uk-UA"/>
        </w:rPr>
        <w:t xml:space="preserve"> </w:t>
      </w:r>
    </w:p>
    <w:p w14:paraId="1B062A77" w14:textId="77777777" w:rsidR="005F048D" w:rsidRPr="00511005" w:rsidRDefault="005F048D" w:rsidP="003F6A5D">
      <w:pPr>
        <w:numPr>
          <w:ilvl w:val="0"/>
          <w:numId w:val="37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Постанова Великої Палати Верховного Суду від 12.05.2020 справа №904/4507/18 URL: </w:t>
      </w:r>
      <w:hyperlink r:id="rId1407">
        <w:r w:rsidRPr="00511005">
          <w:rPr>
            <w:rFonts w:ascii="Arial" w:eastAsia="Times New Roman" w:hAnsi="Arial" w:cs="Arial"/>
            <w:szCs w:val="28"/>
            <w:lang w:val="uk-UA" w:eastAsia="uk-UA"/>
          </w:rPr>
          <w:t>https://reyestr.court.gov.ua/Review/91572017</w:t>
        </w:r>
      </w:hyperlink>
      <w:r w:rsidRPr="00511005">
        <w:rPr>
          <w:rFonts w:ascii="Arial" w:eastAsia="Times New Roman" w:hAnsi="Arial" w:cs="Arial"/>
          <w:szCs w:val="28"/>
          <w:lang w:val="uk-UA" w:eastAsia="uk-UA"/>
        </w:rPr>
        <w:t xml:space="preserve"> </w:t>
      </w:r>
    </w:p>
    <w:p w14:paraId="5697EA66" w14:textId="77777777" w:rsidR="005F048D" w:rsidRPr="00511005" w:rsidRDefault="005F048D" w:rsidP="003F6A5D">
      <w:pPr>
        <w:numPr>
          <w:ilvl w:val="0"/>
          <w:numId w:val="37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Закон України від 18.03.2004. № 1618-IV. Дата оновлення: 09.04.2025. URL: </w:t>
      </w:r>
      <w:hyperlink r:id="rId1408">
        <w:r w:rsidRPr="00511005">
          <w:rPr>
            <w:rFonts w:ascii="Arial" w:eastAsia="Times New Roman" w:hAnsi="Arial" w:cs="Arial"/>
            <w:szCs w:val="28"/>
            <w:lang w:val="uk-UA" w:eastAsia="uk-UA"/>
          </w:rPr>
          <w:t>https://zakon.rada.gov.ua/laws/show/1618-15</w:t>
        </w:r>
      </w:hyperlink>
      <w:r w:rsidRPr="00511005">
        <w:rPr>
          <w:rFonts w:ascii="Arial" w:eastAsia="Times New Roman" w:hAnsi="Arial" w:cs="Arial"/>
          <w:szCs w:val="28"/>
          <w:lang w:val="uk-UA" w:eastAsia="uk-UA"/>
        </w:rPr>
        <w:t xml:space="preserve"> </w:t>
      </w:r>
    </w:p>
    <w:p w14:paraId="1D083CB9" w14:textId="77777777" w:rsidR="005F048D" w:rsidRPr="00511005" w:rsidRDefault="005F048D" w:rsidP="003F6A5D">
      <w:pPr>
        <w:numPr>
          <w:ilvl w:val="0"/>
          <w:numId w:val="37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Judgement in Case of Iatridis v. Greece 25 March 1999: The European Court of Human Rights. URL: </w:t>
      </w:r>
      <w:hyperlink r:id="rId1409" w:anchor="%7B%22itemid%22:%5B%22001-58227%22%5D%7D">
        <w:r w:rsidRPr="00511005">
          <w:rPr>
            <w:rFonts w:ascii="Arial" w:eastAsia="Times New Roman" w:hAnsi="Arial" w:cs="Arial"/>
            <w:szCs w:val="28"/>
            <w:lang w:val="uk-UA" w:eastAsia="uk-UA"/>
          </w:rPr>
          <w:t>https://hudoc.echr.coe.int/ukr#{%22itemid%22:[%22001-58227%22]}</w:t>
        </w:r>
      </w:hyperlink>
      <w:r w:rsidRPr="00511005">
        <w:rPr>
          <w:rFonts w:ascii="Arial" w:eastAsia="Times New Roman" w:hAnsi="Arial" w:cs="Arial"/>
          <w:szCs w:val="28"/>
          <w:lang w:val="uk-UA" w:eastAsia="uk-UA"/>
        </w:rPr>
        <w:t xml:space="preserve"> </w:t>
      </w:r>
    </w:p>
    <w:p w14:paraId="600E4DBC" w14:textId="77777777" w:rsidR="005F048D" w:rsidRPr="00511005" w:rsidRDefault="005F048D" w:rsidP="003F6A5D">
      <w:pPr>
        <w:numPr>
          <w:ilvl w:val="0"/>
          <w:numId w:val="371"/>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Голубєва Н. Ю., Бут І. О., Полуніна О. О., Полюк Ю. І., Цал-Цалко Ю. Ю. Сучасні проблеми цивільного та цивільно-процесуального права (в частині цивільно-процесуального права) : навч.-метод. посіб. [Електронне видання]. Одеса : Фенікс, 2023. 190 с. URL: </w:t>
      </w:r>
      <w:hyperlink r:id="rId1410">
        <w:r w:rsidRPr="00511005">
          <w:rPr>
            <w:rFonts w:ascii="Arial" w:eastAsia="Times New Roman" w:hAnsi="Arial" w:cs="Arial"/>
            <w:szCs w:val="28"/>
            <w:lang w:val="uk-UA" w:eastAsia="uk-UA"/>
          </w:rPr>
          <w:t>https://hdl.handle.net/11300/26554</w:t>
        </w:r>
      </w:hyperlink>
    </w:p>
    <w:p w14:paraId="1FC91EE8" w14:textId="268225AB" w:rsidR="005F048D" w:rsidRPr="00511005" w:rsidRDefault="007B2628" w:rsidP="003A292D">
      <w:pPr>
        <w:spacing w:line="264" w:lineRule="auto"/>
        <w:ind w:firstLine="720"/>
        <w:jc w:val="left"/>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 xml:space="preserve">винагорода адвоката, гонорар успіху, судові витрати, представництво, правнича допомога. </w:t>
      </w:r>
    </w:p>
    <w:p w14:paraId="01B37C8F" w14:textId="2C8AE827" w:rsidR="005F048D" w:rsidRPr="00511005" w:rsidRDefault="007B2628" w:rsidP="003A292D">
      <w:pPr>
        <w:spacing w:line="264" w:lineRule="auto"/>
        <w:ind w:firstLine="720"/>
        <w:jc w:val="left"/>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 xml:space="preserve">attorney's fees, success fee, legal costs, representation, legal aid. </w:t>
      </w:r>
    </w:p>
    <w:p w14:paraId="5DBE17FE" w14:textId="6819FDCD" w:rsidR="005F048D" w:rsidRPr="00511005" w:rsidRDefault="007B2628" w:rsidP="003A292D">
      <w:pPr>
        <w:spacing w:line="264" w:lineRule="auto"/>
        <w:ind w:firstLine="720"/>
        <w:jc w:val="left"/>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 ю. н, доцент Полюк Ю. І</w:t>
      </w:r>
      <w:r w:rsidR="005F048D" w:rsidRPr="00511005">
        <w:rPr>
          <w:rFonts w:ascii="Arial" w:eastAsia="Times New Roman" w:hAnsi="Arial" w:cs="Arial"/>
          <w:szCs w:val="28"/>
          <w:lang w:val="uk-UA" w:eastAsia="uk-UA"/>
        </w:rPr>
        <w:t>.</w:t>
      </w:r>
    </w:p>
    <w:p w14:paraId="60AB6542"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2A587ABB"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1F69250A"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1FBEA097"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Зелінченко Анастасія Олегівна</w:t>
      </w:r>
    </w:p>
    <w:p w14:paraId="6F237DEB" w14:textId="1BB2F0AE" w:rsidR="005F048D" w:rsidRPr="00511005" w:rsidRDefault="00536AAB"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 xml:space="preserve">студентка 3-го курсу </w:t>
      </w:r>
    </w:p>
    <w:p w14:paraId="3FA2A1FF"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факультету цивільної та господарської юстиції</w:t>
      </w:r>
    </w:p>
    <w:p w14:paraId="5D2D96C4" w14:textId="087BEF05" w:rsidR="005F048D" w:rsidRPr="00511005" w:rsidRDefault="007B2628"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Національного університету «Одеська юридична академія»</w:t>
      </w:r>
    </w:p>
    <w:p w14:paraId="38FDC2F5" w14:textId="77777777" w:rsidR="005F048D" w:rsidRPr="00511005" w:rsidRDefault="005F048D" w:rsidP="003A292D">
      <w:pPr>
        <w:spacing w:line="264" w:lineRule="auto"/>
        <w:ind w:firstLine="0"/>
        <w:rPr>
          <w:rFonts w:ascii="Arial" w:eastAsia="Times New Roman" w:hAnsi="Arial" w:cs="Arial"/>
          <w:b/>
          <w:szCs w:val="28"/>
          <w:lang w:val="uk-UA" w:eastAsia="uk-UA"/>
        </w:rPr>
      </w:pPr>
    </w:p>
    <w:p w14:paraId="7A2CFE1A"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РОЗГЛЯД СУДАМИ ЦИВІЛЬНИХ СПРАВ ПРО НАДАННЯ ОСОБІ ПСИХІАТРИЧНОЇ ДОПОМОГИ У ПРИМУСОВОМУ ПОРЯДКУ</w:t>
      </w:r>
    </w:p>
    <w:p w14:paraId="2B1D282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Питання надання особі психіатричної допомоги в примусовому порядку є вкрай актуальним в сучасних умовах, особливо з огляду на воєнний стан в Україні. Концепція розвитку охорони психічного здоров’я в Україні на період до 2030 року спрямована на створення цілісної, ефективної системи охорони психічного здоров’я, яка функціонує в єдиному міжвідомчому просторі та забезпечує покращення якості життя і дотримання прав і свобод людини, зокрема прав особи, якій повинна надаватися примусова психіатрична допомога [4].</w:t>
      </w:r>
    </w:p>
    <w:p w14:paraId="1899370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Необхідно окремо зосередити особливу увагу на принципах охорони прав психічно хворих осіб. Так, Резолюція Генеральної Асамблеї ООН «Принципи захисту психічно хворих осіб та поліпшення психіатричної </w:t>
      </w:r>
      <w:r w:rsidRPr="00511005">
        <w:rPr>
          <w:rFonts w:ascii="Arial" w:eastAsia="Times New Roman" w:hAnsi="Arial" w:cs="Arial"/>
          <w:szCs w:val="28"/>
          <w:lang w:val="uk-UA" w:eastAsia="uk-UA"/>
        </w:rPr>
        <w:lastRenderedPageBreak/>
        <w:t>допомоги» від 17.12.1991 № 46/119 у ст. 1 закріплює, що кожна особа має право на отримання якісної та доступної психіатричної допомоги, яка є невід’ємною складовою системи охорони здоров’я та соціального забезпечення. Відносини з особами, які страждають на психічні розлади або вважаються такими, повинні ґрунтуватися на принципах гуманності, поваги до їхніх прав і свобод, а також безумовного визнання невід’ємної гідності людської особистості [1].</w:t>
      </w:r>
    </w:p>
    <w:p w14:paraId="48E1EF5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Закон України «Про психіатричну допомогу» встановлює правові норми, що регламентують надання психіатричної допомоги в примусовому порядку, визначаючи принципи її надання, види такої допомоги, а також деякі особливості процедури її продовження та припинення.</w:t>
      </w:r>
    </w:p>
    <w:p w14:paraId="1EA80C5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Відповідно до ЗУ «Про психіатричну допомогу» виділяють такі види психіатричної допомоги: психіатричний огляд, амбулаторна психіатрична допомога, госпіталізація особи до закладу з надання психіатричної допомоги. Кожен із цих видів має свої особливості та підстави, щодо надання певного виду психіатричної допомоги в примусовому порядку. </w:t>
      </w:r>
    </w:p>
    <w:p w14:paraId="2FED30E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Так, ст. 11 ЗУ «Про психіатричну допомогу» передбачає, що проведення психіатричного огляду особи без її усвідомленої згоди або без згоди її законного представника допускається у випадках, коли наявна достовірна інформація, що дає підстави для обґрунтованого припущення про наявність у неї тяжкого психічного розладу [3].</w:t>
      </w:r>
    </w:p>
    <w:p w14:paraId="3978FD15"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 12 ЗУ «Про психіатричну допомогу» передбачає підстави щодо надання амбулаторної психіатричної допомоги в примусовому порядку. Отже, амбулаторна психіатрична допомога може бути надана без усвідомленої письмової згоди особи або її законного представника за умови, що встановлено наявність у неї тяжкого психічного розладу [3]. </w:t>
      </w:r>
    </w:p>
    <w:p w14:paraId="7191E432"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Що стосується примусової госпіталізації особи до психіатричного закладу, то підстави щодо надання такої медичної допомоги, вказані у ст. 14 ЗУ «Про психіатричну допомогу». Такими підставами є встановлення факту, що особа вчиняє або демонструє реальні наміри вчинити дії, які становлять безпосередню загрозу для самої особи чи оточуючих, а також нездатна самостійно забезпечувати свої базові життєві потреби на рівні, необхідному для підтримання життєдіяльності [3].</w:t>
      </w:r>
    </w:p>
    <w:p w14:paraId="04EC3CA4"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Розгляд судами цивільних справ про надання особі психіатричної допомоги у примусовому порядку регулюється Цивільним процесуальним кодексом України в порядку окремого провадження, встановлюючи підсудність, зміст заяви та строк її подання, а також порядок розгляду справи. </w:t>
      </w:r>
    </w:p>
    <w:p w14:paraId="75DF176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Відповідно до ст. 339 ЦПК України заяву щодо проведення психіатричного огляду та надання амбулаторної психіатричної допомоги в примусовому порядку та її продовження подає до суду лікар-психіатр за місцем проживання особи, а заяву щодо госпіталізації особи до закладу з </w:t>
      </w:r>
      <w:r w:rsidRPr="00511005">
        <w:rPr>
          <w:rFonts w:ascii="Arial" w:eastAsia="Times New Roman" w:hAnsi="Arial" w:cs="Arial"/>
          <w:szCs w:val="28"/>
          <w:lang w:val="uk-UA" w:eastAsia="uk-UA"/>
        </w:rPr>
        <w:lastRenderedPageBreak/>
        <w:t xml:space="preserve">надання психіатричної допомоги в примусовому порядку або продовження такої госпіталізації - представник закладу з надання психіатричної допомоги за місцезнаходження зазначеного закладу [2]. </w:t>
      </w:r>
    </w:p>
    <w:p w14:paraId="0A918A4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у ст. 340 визначає зміст заяв, які подаються у випадках, коли йдеться про психіатричний огляд, амбулаторне лікування чи госпіталізацію до закладу з надання психіатричної допомоги без згоди особи.</w:t>
      </w:r>
    </w:p>
    <w:p w14:paraId="0C71D687"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До заяв про примусовий огляд чи амбулаторну допомогу додається висновок лікаря-психіатра, який підтверджує наявність підстав для такої допомоги. Якщо йдеться про госпіталізацію або її продовження, обов’язковим є висновок комісії лікарів-психіатрів, а також супровідні документи, що підтверджують доцільність такого заходу. Не можна не погодитись із думкою Куцика К. В., який влучно зазначив, що у випадку, коли зазначена підстава, що особа створює реальну небезпеку для себе чи оточуючих, то слід надавати також інші докази, наприклад, такі як показання близьких осіб, родичів, оточуючих, з якими така особа проводить час. Додатково слід враховувати інформацію від правоохоронних органів, особливо якщо раніше надходили заяви або зафіксовані випадки звернення до поліції у зв’язку з протиправними діями цієї особи. Такі дані можуть слугувати важливими доказами при прийнятті рішення щодо необхідності надання особі психіатричної допомоги в примусовому порядку [5, с. 107].</w:t>
      </w:r>
    </w:p>
    <w:p w14:paraId="063FB6A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Крім того, закон передбачає право особи або її законного представника ініціювати припинення примусового лікування. У таких випадках у заяві слід зазначити обставини та надати докази, які підтверджують відсутність потреби у подальшій психіатричній допомозі.</w:t>
      </w:r>
    </w:p>
    <w:p w14:paraId="554E4A87"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Окремо регламентовано ситуації, коли особа була госпіталізована за рішенням лікаря-психіатра. Якщо таку госпіталізацію визнано обґрунтованою комісією лікарів-психіатрів, заклад, де перебуває пацієнт, зобов’язаний упродовж 24 годин звернутися до суду із заявою для розгляду питання про примусову госпіталізацію до закладу із надання психіатричної допомоги. </w:t>
      </w:r>
    </w:p>
    <w:p w14:paraId="378E098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ЦПК України чітко регламентує строки щодо розгляду заяви про надання особі психіатричної допомоги у примусовому порядку. Так, відповідно до ч. 1 ст. 341 ЦПК України у разі подання заяви про примусову госпіталізацію, суд повинен розглянути її протягом 24 годин із моменту надходження. Якщо йдеться про примусовий психіатричний огляд, строк розгляду становить три дні, а у випадках призначення або продовження амбулаторної допомоги чи продовження госпіталізації — десять днів [2].</w:t>
      </w:r>
    </w:p>
    <w:p w14:paraId="5F10CD92"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Крім того, розгляд таких категорій справ обовʼязково повинен відбуватися у присутності особи, стосовно якої вирішується питання про надання психіатричної допомоги у примусовому порядку, прокурора, лікаря-психіатра, представника закладу з надання психіатричної допомоги, який </w:t>
      </w:r>
      <w:r w:rsidRPr="00511005">
        <w:rPr>
          <w:rFonts w:ascii="Arial" w:eastAsia="Times New Roman" w:hAnsi="Arial" w:cs="Arial"/>
          <w:szCs w:val="28"/>
          <w:lang w:val="uk-UA" w:eastAsia="uk-UA"/>
        </w:rPr>
        <w:lastRenderedPageBreak/>
        <w:t xml:space="preserve">подав заяву, адвоката або законного представника особи, стосовно якої вирішується справа. Крім того, розгляд справи проводиться судом у складі одного судді та двох присяжних [2]. </w:t>
      </w:r>
    </w:p>
    <w:p w14:paraId="22AB3D1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Згідно зі ст. 342 ЦПК України, суд приймає рішення на підставі встановлених у ході розгляду обставин, яке може полягати як у задоволенні, так і в відмові в задоволенні відповідної заяви. Рішення суду підлягає негайному виконанню, навіть якщо воно оскаржується в апеляційному порядку.</w:t>
      </w:r>
    </w:p>
    <w:p w14:paraId="1E53A08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Якщо суд задовольняє заяву, подану лікарем-психіатром або представником психіатричного закладу, таке рішення надає правову підставу для реалізації заходів примусової психіатричної допомоги. Натомість відмова у задоволенні заяви про продовження госпіталізації або амбулаторного лікування, а також задоволення заяви особи, її адвоката чи законного представника про припинення такої допомоги, тягне за собою припинення надання примусової психіатричної допомоги.</w:t>
      </w:r>
    </w:p>
    <w:p w14:paraId="09414617"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Підсумовуючи, надання особі психіатричної допомоги в примусовому порядку повинно супроводжуватися за наявності юридичних та медичних підстав. Юридичними підставами слід вважати передбачені норми в законодавстві щодо надання примусової психіатричної допомоги. Що стосується медичних підстав, то у особи повинне бути діагностовано психічне захворювання кваліфікованим лікарем-психіатром. Крім того, зазначена психічна хвороба повинна бути такою, що може призвести до суттєвої шкоди хворій особі чи оточуючим. Таким чином, розгляд справ про надання особі примусової психіатричної допомоги в суді є важливим механізмом забезпечення балансу між захистом прав і свобод особи та необхідністю охорони здоров'я.</w:t>
      </w:r>
    </w:p>
    <w:p w14:paraId="282A8FF0" w14:textId="77777777" w:rsidR="005F048D" w:rsidRPr="00511005" w:rsidRDefault="005F048D" w:rsidP="003A292D">
      <w:pPr>
        <w:spacing w:line="264" w:lineRule="auto"/>
        <w:ind w:firstLine="851"/>
        <w:jc w:val="center"/>
        <w:rPr>
          <w:rFonts w:ascii="Arial" w:eastAsia="Times New Roman" w:hAnsi="Arial" w:cs="Arial"/>
          <w:b/>
          <w:szCs w:val="28"/>
          <w:lang w:val="uk-UA" w:eastAsia="uk-UA"/>
        </w:rPr>
      </w:pPr>
    </w:p>
    <w:p w14:paraId="03E0AAC8" w14:textId="5C754FE9" w:rsidR="005F048D" w:rsidRPr="00511005" w:rsidRDefault="007B2628" w:rsidP="007B2628">
      <w:pPr>
        <w:spacing w:line="264" w:lineRule="auto"/>
        <w:ind w:firstLine="851"/>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5D045DCC" w14:textId="77777777" w:rsidR="005F048D" w:rsidRPr="00511005" w:rsidRDefault="005F048D" w:rsidP="003F6A5D">
      <w:pPr>
        <w:numPr>
          <w:ilvl w:val="0"/>
          <w:numId w:val="35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Принципи захисту психічно хворих осіб та поліпшення психіатричної допомоги: резолюція Генеральної Асамблеї ООН від 17.12.1991. - Nº 46/119. URL: </w:t>
      </w:r>
      <w:hyperlink r:id="rId1411">
        <w:r w:rsidRPr="00511005">
          <w:rPr>
            <w:rFonts w:ascii="Arial" w:eastAsia="Times New Roman" w:hAnsi="Arial" w:cs="Arial"/>
            <w:szCs w:val="28"/>
            <w:lang w:val="uk-UA" w:eastAsia="uk-UA"/>
          </w:rPr>
          <w:t>https://surli.cc/dfebpv</w:t>
        </w:r>
      </w:hyperlink>
    </w:p>
    <w:p w14:paraId="0B8F3C38" w14:textId="77777777" w:rsidR="005F048D" w:rsidRPr="00511005" w:rsidRDefault="005F048D" w:rsidP="003F6A5D">
      <w:pPr>
        <w:numPr>
          <w:ilvl w:val="0"/>
          <w:numId w:val="35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(зі змінами та доповненнями) Nº 1618-IV від 18.03.2004 року // Відомості Верховної Ради України. - 2004. - Nº 40-41, 42. URL: </w:t>
      </w:r>
      <w:hyperlink r:id="rId1412">
        <w:r w:rsidRPr="00511005">
          <w:rPr>
            <w:rFonts w:ascii="Arial" w:eastAsia="Times New Roman" w:hAnsi="Arial" w:cs="Arial"/>
            <w:szCs w:val="28"/>
            <w:lang w:val="uk-UA" w:eastAsia="uk-UA"/>
          </w:rPr>
          <w:t>https://zakon.rada.gov.ua/go/1618-15</w:t>
        </w:r>
      </w:hyperlink>
    </w:p>
    <w:p w14:paraId="1105F368" w14:textId="77777777" w:rsidR="005F048D" w:rsidRPr="00511005" w:rsidRDefault="005F048D" w:rsidP="003F6A5D">
      <w:pPr>
        <w:numPr>
          <w:ilvl w:val="0"/>
          <w:numId w:val="35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 психіатричну допомогу: Закон України від 22 лютого 2000 року.- № 1489-III. // Відомості Верховної Ради України. - 2000. - № 19. - ст. 143. URL: -</w:t>
      </w:r>
      <w:hyperlink r:id="rId1413">
        <w:r w:rsidRPr="00511005">
          <w:rPr>
            <w:rFonts w:ascii="Arial" w:eastAsia="Times New Roman" w:hAnsi="Arial" w:cs="Arial"/>
            <w:szCs w:val="28"/>
            <w:lang w:val="uk-UA" w:eastAsia="uk-UA"/>
          </w:rPr>
          <w:t>14"https://zakon.rada.gov.ua/laws/show/1489-14#Text</w:t>
        </w:r>
      </w:hyperlink>
    </w:p>
    <w:p w14:paraId="2C57A610" w14:textId="77777777" w:rsidR="005F048D" w:rsidRPr="00511005" w:rsidRDefault="005F048D" w:rsidP="003F6A5D">
      <w:pPr>
        <w:numPr>
          <w:ilvl w:val="0"/>
          <w:numId w:val="35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 схвалення Концепції розвитку охорони психічного здоровʼя в Україні на період до 2030 року: Розпорядження Кабінету Міністрів України від 27.12.2017 року. - Nº 1018-p. URL: -</w:t>
      </w:r>
      <w:hyperlink r:id="rId1414">
        <w:r w:rsidRPr="00511005">
          <w:rPr>
            <w:rFonts w:ascii="Arial" w:eastAsia="Times New Roman" w:hAnsi="Arial" w:cs="Arial"/>
            <w:szCs w:val="28"/>
            <w:lang w:val="uk-UA" w:eastAsia="uk-UA"/>
          </w:rPr>
          <w:t>2017-%D</w:t>
        </w:r>
      </w:hyperlink>
      <w:r w:rsidRPr="00511005">
        <w:rPr>
          <w:rFonts w:ascii="Arial" w:eastAsia="Times New Roman" w:hAnsi="Arial" w:cs="Arial"/>
          <w:szCs w:val="28"/>
          <w:lang w:val="uk-UA" w:eastAsia="uk-UA"/>
        </w:rPr>
        <w:t>1</w:t>
      </w:r>
      <w:hyperlink r:id="rId1415">
        <w:r w:rsidRPr="00511005">
          <w:rPr>
            <w:rFonts w:ascii="Arial" w:eastAsia="Times New Roman" w:hAnsi="Arial" w:cs="Arial"/>
            <w:szCs w:val="28"/>
            <w:lang w:val="uk-UA" w:eastAsia="uk-UA"/>
          </w:rPr>
          <w:t>%80"https://zakon.rada.gov.ua/laws/show/1018-2017-%D1%80#Text</w:t>
        </w:r>
      </w:hyperlink>
    </w:p>
    <w:p w14:paraId="398A8004" w14:textId="77777777" w:rsidR="005F048D" w:rsidRPr="00511005" w:rsidRDefault="005F048D" w:rsidP="003F6A5D">
      <w:pPr>
        <w:numPr>
          <w:ilvl w:val="0"/>
          <w:numId w:val="35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Куцик К. В. Підстави надання особі психіатричної допомоги в примусовому порядку за цивільним процесуальним законодавством України. Право і суспільство. - 2023. - Nº 3. - С. 102-110 URL:/</w:t>
      </w:r>
      <w:hyperlink r:id="rId1416">
        <w:r w:rsidRPr="00511005">
          <w:rPr>
            <w:rFonts w:ascii="Arial" w:eastAsia="Times New Roman" w:hAnsi="Arial" w:cs="Arial"/>
            <w:szCs w:val="28"/>
            <w:lang w:val="uk-UA" w:eastAsia="uk-UA"/>
          </w:rPr>
          <w:t>28281" https://elar.navs.edu.ua/handle/123456789/28281</w:t>
        </w:r>
      </w:hyperlink>
    </w:p>
    <w:p w14:paraId="115DE8E1" w14:textId="77777777" w:rsidR="005F048D" w:rsidRPr="00511005" w:rsidRDefault="005F048D" w:rsidP="003A292D">
      <w:pPr>
        <w:spacing w:line="264" w:lineRule="auto"/>
        <w:ind w:firstLine="0"/>
        <w:rPr>
          <w:rFonts w:ascii="Arial" w:eastAsia="Times New Roman" w:hAnsi="Arial" w:cs="Arial"/>
          <w:szCs w:val="28"/>
          <w:lang w:val="uk-UA" w:eastAsia="uk-UA"/>
        </w:rPr>
      </w:pPr>
    </w:p>
    <w:p w14:paraId="5ABBC7E5" w14:textId="1917E2C2" w:rsidR="005F048D" w:rsidRPr="00511005" w:rsidRDefault="007B2628"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охорона здоровʼя, психіатрична допомога, психіатричний огляд, амбулаторна психіатрична допомога, госпіталізація, примусовий порядок.</w:t>
      </w:r>
    </w:p>
    <w:p w14:paraId="12ECCCDA" w14:textId="50AB294D" w:rsidR="007B2628" w:rsidRPr="00511005" w:rsidRDefault="007B2628"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health care, psychiatric care, psychiatric examination, outpatient psychiatric care, hospitalization, compulsory order.</w:t>
      </w:r>
    </w:p>
    <w:p w14:paraId="537707E1" w14:textId="26557DD9" w:rsidR="005F048D" w:rsidRPr="00511005" w:rsidRDefault="007B2628" w:rsidP="003A292D">
      <w:pPr>
        <w:spacing w:line="264" w:lineRule="auto"/>
        <w:ind w:firstLine="0"/>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д.ю.н., професор Волкова Н. В.</w:t>
      </w:r>
    </w:p>
    <w:p w14:paraId="18762BB7" w14:textId="77777777" w:rsidR="005F048D" w:rsidRPr="00511005" w:rsidRDefault="005F048D" w:rsidP="003A292D">
      <w:pPr>
        <w:spacing w:line="264" w:lineRule="auto"/>
        <w:ind w:firstLine="0"/>
        <w:jc w:val="left"/>
        <w:rPr>
          <w:rFonts w:ascii="Arial" w:eastAsia="Times New Roman" w:hAnsi="Arial" w:cs="Arial"/>
          <w:i/>
          <w:szCs w:val="28"/>
          <w:lang w:val="uk-UA" w:eastAsia="uk-UA"/>
        </w:rPr>
      </w:pPr>
    </w:p>
    <w:p w14:paraId="0877D151"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Капітоненко Ангеліна Сергіївна</w:t>
      </w:r>
    </w:p>
    <w:p w14:paraId="1C990211" w14:textId="7075DD0A" w:rsidR="007B2628" w:rsidRPr="00511005" w:rsidRDefault="00536AAB" w:rsidP="003A292D">
      <w:pPr>
        <w:spacing w:line="264" w:lineRule="auto"/>
        <w:ind w:left="-567" w:right="-284"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студентка 1-го курсу магістратури</w:t>
      </w:r>
    </w:p>
    <w:p w14:paraId="2F02B373" w14:textId="5E0626CE" w:rsidR="005F048D" w:rsidRPr="00511005" w:rsidRDefault="001B7B25" w:rsidP="003A292D">
      <w:pPr>
        <w:spacing w:line="264" w:lineRule="auto"/>
        <w:ind w:left="-567" w:right="-284"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факультету судового та міжнародного права</w:t>
      </w:r>
    </w:p>
    <w:p w14:paraId="15AB2037" w14:textId="66810BEB" w:rsidR="005F048D" w:rsidRPr="00511005" w:rsidRDefault="007B2628" w:rsidP="003A292D">
      <w:pPr>
        <w:spacing w:line="264" w:lineRule="auto"/>
        <w:ind w:left="-567" w:right="-284"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Національного університету «Одеська юридична академія»</w:t>
      </w:r>
    </w:p>
    <w:p w14:paraId="60FFA4DC" w14:textId="77777777" w:rsidR="005F048D" w:rsidRPr="00511005" w:rsidRDefault="005F048D" w:rsidP="003A292D">
      <w:pPr>
        <w:spacing w:line="264" w:lineRule="auto"/>
        <w:ind w:left="-567" w:right="-284" w:firstLine="0"/>
        <w:jc w:val="center"/>
        <w:rPr>
          <w:rFonts w:ascii="Arial" w:eastAsia="Times New Roman" w:hAnsi="Arial" w:cs="Arial"/>
          <w:b/>
          <w:szCs w:val="28"/>
          <w:lang w:val="uk-UA" w:eastAsia="uk-UA"/>
        </w:rPr>
      </w:pPr>
    </w:p>
    <w:p w14:paraId="4A6485AE" w14:textId="77777777" w:rsidR="005F048D" w:rsidRPr="00511005" w:rsidRDefault="005F048D" w:rsidP="003A292D">
      <w:pPr>
        <w:spacing w:line="264" w:lineRule="auto"/>
        <w:ind w:right="-284"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ПРАВО НА АПЕЛЯЦІЙНЕ І КАСАЦІЙНЕ ОСКАРЖЕННЯ В УМОВАХ РЕФОРМОВАНОГО СУДОЧИНСТВА: БАЛАНС МІЖ ДОСТУПОМ І ЕФЕКТИВНІСТЮ</w:t>
      </w:r>
    </w:p>
    <w:p w14:paraId="0D69446C" w14:textId="77777777" w:rsidR="005F048D" w:rsidRPr="00511005" w:rsidRDefault="005F048D" w:rsidP="003A292D">
      <w:pPr>
        <w:spacing w:line="264" w:lineRule="auto"/>
        <w:ind w:left="-567" w:right="-284" w:firstLine="0"/>
        <w:rPr>
          <w:rFonts w:ascii="Arial" w:eastAsia="Times New Roman" w:hAnsi="Arial" w:cs="Arial"/>
          <w:b/>
          <w:szCs w:val="28"/>
          <w:lang w:val="uk-UA" w:eastAsia="uk-UA"/>
        </w:rPr>
      </w:pPr>
    </w:p>
    <w:p w14:paraId="1A729F68"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Інститути апеляційного та касаційного оскарження є ключовими елементами судового захисту прав і свобод, сприяючи справедливості, законності та стабільності правовідносин. Апеляція забезпечує розгляд справи для перевірки рішень суду першої інстанції, а касація — контроль за правильним застосуванням норм права. Обидва інститути ґрунтуються на принципах законності, доступу до правосуддя, процесуальної економії та остаточності рішень, що визначають їхню природу та забезпечують ефективний судовий захист. Так, попри їхню важливість, апеляційне та касаційне провадження в Україні стикалось з низкою проблем, що знижують ефективність судового захисту. Серед проблем визначають, процедурні бар’єри, нечіткість меж між повноваженнями апеляційних і касаційних судів, перевантаженість судової системи. Кадровий дефіцит суддів в судах України першої та апеляційної інстанцій зумовлює значне збільшення навантаження суддів, що призводить до тривалого розгляду [1, c. 80]. Подібні виклики актуалізують потребу в подальшому вдосконаленні теоретичного правового регулювання та практичного функціонування інститутів апеляції та касації. </w:t>
      </w:r>
    </w:p>
    <w:p w14:paraId="3A5A06CA" w14:textId="4026AD25"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Проблематика апеляційного та касаційного оскарження судових рішень стала предметом фахових досліджень низки авторитетних учених, серед яких варто відзначити Ю. В. Білоусова, І. І. Ємельянову, В. В. Комарова, а також представників сучасної наукової генерації – О. В. Зайцева, І. В. Кравця. У цьому контексті доцільно звернутися до доробку дослідниці у сфері цивільного </w:t>
      </w:r>
      <w:r w:rsidRPr="00511005">
        <w:rPr>
          <w:rFonts w:ascii="Arial" w:eastAsia="Times New Roman" w:hAnsi="Arial" w:cs="Arial"/>
          <w:szCs w:val="28"/>
          <w:lang w:val="uk-UA" w:eastAsia="uk-UA"/>
        </w:rPr>
        <w:lastRenderedPageBreak/>
        <w:t>процесу – І. Іліопол, яка у своїй праці акцентує увагу на питаннях реалізації положень статті 362 Цивільного процесуального кодексу України щодо можливості закриття апеляційного провадження після його відкриття. Авторка аргументовано вказує на те, що з даної статті не є зрозумілим наслідки закриття провадження для апеляційної скарги: чи можна повторно подати апеляційну скаргу після усунення недоліків адже відповідно до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вказаної статті – наслідком є оскарження ухвали в касаційному порядку. Тобто, не усі підстави, зазначені у ст. 362 ЦПК України мають наслідком неможливість усунення недоліків та, як наслідок, перешкоджають подальшому втіленню права на апеляційне оскарження справи. Тому таке положення слід визнати не доопрацьованим з боку законодавця, що може спричинити складності та розбіжності в застосуванні такого інституту на практиці [2, c.140].</w:t>
      </w:r>
    </w:p>
    <w:p w14:paraId="2AC33B17"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Попри значний масив наукових напрацювань, присвячених проблематиці апеляційного та касаційного оскарження судових рішень в Україні, зазначене питання зберігає актуальність у межах сучасного юридичного дискурсу. Незважаючи на численні спроби систематизувати теоретичні підходи до інституту апеляції та касації в контексті цивільного судочинства, наукова думка продовжує балансувати між прагненням до концептуальної узгодженості та фактичною відсутністю навіть часткової інтерсуб’єктивної згоди серед дослідників.</w:t>
      </w:r>
    </w:p>
    <w:p w14:paraId="1EBEB4AE"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Нині наукова увага дедалі більше зміщується з усталених процедур на їх трансформацію під впливом реформ, що часто викликають проблеми у правозастосуванні. Особливої цінності набувають дослідження функціонування апеляційного та касаційного оскарження в умовах інституційних змін. Попри активне вивчення теми, фахова спільнота досі не дійшла концептуальної єдності. Тому актуальним завданням є комплексне осмислення фактів для формування цілісного підходу до вдосконалення судового контролю. </w:t>
      </w:r>
    </w:p>
    <w:p w14:paraId="15262A17"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2016 році в рамках реалізації комплексної судової реформи було внесено зміни до Конституції України в частині правосуддя (Закон України № 1401-VIII від 2 червня 2016 року), що мали на меті інституційну модернізацію судової влади. Стаття 125. Судоустрій в Україні будується за принципами територіальності та спеціалізації і визначається законом. Верховний Суд є найвищим судом у системі судоустрою України, а касаційні суди діють у його складі для забезпечення однакового застосування норм права. Організація судів загальної юрисдикції визначається законом з урахуванням принципів доступу до правосуддя та ефективності судового захисту [3]. Зміни передбачали реформу судової структури, посилення ролі Верховного Суду як єдиної касаційної інстанції та оновлення процедур добору суддів на засадах прозорості, доброчесності й професійності. </w:t>
      </w:r>
    </w:p>
    <w:p w14:paraId="742974A4"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Апеляція і касація в реформованому судочинстві забезпечують справедливість, коригуючи помилки та уніфікуючи судову практику. Втім, </w:t>
      </w:r>
      <w:r w:rsidRPr="00511005">
        <w:rPr>
          <w:rFonts w:ascii="Arial" w:eastAsia="Times New Roman" w:hAnsi="Arial" w:cs="Arial"/>
          <w:szCs w:val="28"/>
          <w:lang w:val="uk-UA" w:eastAsia="uk-UA"/>
        </w:rPr>
        <w:lastRenderedPageBreak/>
        <w:t>синергія цієї процедури значною мірою залежить від досягнення балансу між двома ключовими константами – доступом до правосуддя та ефективністю судового процесу. Тому буде актуальним провести аналіз чинного ЦПК України з метою визначення того, як ці дві константи реалізуються в юридичній конструкції апеляційного та касаційного провадження.</w:t>
      </w:r>
    </w:p>
    <w:p w14:paraId="756CB1EF"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Доступ громадян до апеляційного та касаційного оскарження є фундаментальним елементом цивільного судочинства України, спрямованим на забезпечення справедливості, виправлення судових помилок та підтримання процесуального балансу. Відповідно до статей 352 та 389 ЦПК України, сторони та інші учасники судового провадження наділені правом на оскарження рішень судів першої інстанції в апеляційній та касаційній інстанціях. Ця норма відповідає статті 6 Європейської конвенції з прав людини, гарантуючи право на справедливий судовий розгляд [4]. Тобто ЦПК України поєднує доступність правосуддя через широке коло суб’єктів оскарження з процесуальними обмеженнями, що знижують судове навантаження та запобігають формальним скаргам.</w:t>
      </w:r>
    </w:p>
    <w:p w14:paraId="65F30F7D"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Строк подання апеляційної та касаційної скарг, визначено статтями 354 та 390 ЦПК України. Апеляційна скарга на рішення суду подається протягом 30 днів, на ухвалу — протягом 15 днів, а касаційна скарга — протягом 30 днів із дня проголошення рішення [5]. Часові рамки сприяють процесуальній економії та запобігають затягуванню судового розгляду. Скорочені строки можуть створювати обмеження для суб’єктів процесу, особливо у складних справах або за відсутності доступу до правової допомоги. Механізм поновлення строків за наявності поважних причин частково пом’якшує ці обмеження, намагаючись урівноважити оперативність і доступність правосуддя.</w:t>
      </w:r>
    </w:p>
    <w:p w14:paraId="38A61D61"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Процедура відкриття провадження, регламентована статтями 357–359 та 394 ЦПК України, передбачає, що скарга, яка відповідає встановленим вимогам, стає підставою для відкриття провадження. У разі виявлення недоліків скарга повертається. Такий підхід оптимізує судові ресурси, уникаючи розгляду необґрунтованих звернень. </w:t>
      </w:r>
    </w:p>
    <w:p w14:paraId="57C1EC73"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Відповідно до статей 367, 389 та 392 ЦПК України, оскарження здійснюється в межах доводів скарги, а нові вимоги не допускаються. Нові докази можуть подаватися в апеляційному провадженні за поважних причин, але в касаційному вони заборонені [5]. Цей принцип концентрації процесуального матеріалу підтримує стабільність і завершеність провадження, однак ускладнює виправлення помилок для осіб, які через об’єктивні обставини не змогли надати докази раніше. </w:t>
      </w:r>
    </w:p>
    <w:p w14:paraId="4598EC4A"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Повноваження апеляційного та касаційного судів, визначені статтями 374 та 409 ЦПК, включають можливість залишити рішення без змін, скасувати його з ухваленням нового або повернути справу на новий розгляд [5]. Зазначені повноваження забезпечують гнучкість і реальну можливість захисту </w:t>
      </w:r>
      <w:r w:rsidRPr="00511005">
        <w:rPr>
          <w:rFonts w:ascii="Arial" w:eastAsia="Times New Roman" w:hAnsi="Arial" w:cs="Arial"/>
          <w:szCs w:val="28"/>
          <w:lang w:val="uk-UA" w:eastAsia="uk-UA"/>
        </w:rPr>
        <w:lastRenderedPageBreak/>
        <w:t xml:space="preserve">прав, виступаючи дієвим засобом правового захисту. Водночас обмеження на втручання у фактичні обставини, встановлені судами попередніх інстанцій, демонструють повагу до їхніх висновків, сприяючи стабільності судової системи. </w:t>
      </w:r>
    </w:p>
    <w:p w14:paraId="16ADBE08"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Стадія допуску касаційної скарги, регламентована статтею 394 ЦПК України, передбачає можливість відмови у відкритті провадження за відсутності правових підстав. Високий поріг допуску концентрує увагу касаційної інстанції на справах із потенціалом впливу на правозастосування, що сприяє функціональності судової системи. Проте це звужує можливості оскарження, особливо при формальному підході до оцінки підстав, створюючи ризик суб’єктивних або довільних відмов. Це підкреслює необхідність додаткових гарантій для забезпечення справедливого доступу до касаційного провадження.</w:t>
      </w:r>
    </w:p>
    <w:p w14:paraId="22600902" w14:textId="77777777" w:rsidR="005F048D" w:rsidRPr="00511005" w:rsidRDefault="005F048D" w:rsidP="003A292D">
      <w:pPr>
        <w:spacing w:line="264" w:lineRule="auto"/>
        <w:ind w:right="-284"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Аналіз положень Цивільного процесуального кодексу України свідчить про нестабільність законодавчого підходу до формування інституту апеляційного та касаційного оскарження: окремі норми демонструють відкритість і доступність правосуддя, тоді як інші – зосереджені на забезпеченні функціональності та процесуальної економії, що нерідко створює бар’єри для захисту прав. Норми ЦПК, зокрема статті 352, 389, гарантують право на оскарження рішень у вищих інстанціях, що відповідає європейським стандартам. Широке коло суб’єктів оскарження забезпечує доступність правосуддя, тоді як процесуальні обмеження (наприклад, фільтраційна стадія чи строки подання скарг) служать інтересам ефективності. Проте надмірне звуження можливостей касаційного розгляду, як у ст. 394 ЦПК України, може призводити до довільних або формальних відмов. Таке балансування важко назвати справжньою «аристотелівською золотою серединою» – радше це «якобінський маятник» із рухом від однієї крайності до іншої, що свідчить про необхідність доопрацювання конструкції судового контролю з урахуванням висвітлених проблем. </w:t>
      </w:r>
    </w:p>
    <w:p w14:paraId="59464BDF" w14:textId="77777777" w:rsidR="005F048D" w:rsidRPr="00511005" w:rsidRDefault="005F048D" w:rsidP="003A292D">
      <w:pPr>
        <w:spacing w:line="264" w:lineRule="auto"/>
        <w:ind w:right="-284" w:firstLine="851"/>
        <w:rPr>
          <w:rFonts w:ascii="Arial" w:eastAsia="Times New Roman" w:hAnsi="Arial" w:cs="Arial"/>
          <w:szCs w:val="28"/>
          <w:lang w:val="uk-UA" w:eastAsia="uk-UA"/>
        </w:rPr>
      </w:pPr>
    </w:p>
    <w:p w14:paraId="78D9820D" w14:textId="39BA224B" w:rsidR="005F048D" w:rsidRPr="00511005" w:rsidRDefault="007B2628" w:rsidP="007B2628">
      <w:pPr>
        <w:keepNext/>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4B5F16F8" w14:textId="77777777" w:rsidR="005F048D" w:rsidRPr="00511005" w:rsidRDefault="005F048D" w:rsidP="003F6A5D">
      <w:pPr>
        <w:numPr>
          <w:ilvl w:val="0"/>
          <w:numId w:val="368"/>
        </w:numPr>
        <w:tabs>
          <w:tab w:val="left" w:pos="851"/>
        </w:tabs>
        <w:spacing w:line="264" w:lineRule="auto"/>
        <w:ind w:left="-9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Помазанов А. В. Малозначність справ у цивільному процесі України. Право і суспільство. 2018. № 1(2). С. 80–86. URL: </w:t>
      </w:r>
      <w:hyperlink r:id="rId1417">
        <w:r w:rsidRPr="00511005">
          <w:rPr>
            <w:rFonts w:ascii="Arial" w:eastAsia="Times New Roman" w:hAnsi="Arial" w:cs="Arial"/>
            <w:szCs w:val="28"/>
            <w:lang w:val="uk-UA" w:eastAsia="uk-UA"/>
          </w:rPr>
          <w:t>http://nbuv.gov.ua/UJRN/Pis_2018_1(2)__16</w:t>
        </w:r>
      </w:hyperlink>
      <w:r w:rsidRPr="00511005">
        <w:rPr>
          <w:rFonts w:ascii="Arial" w:eastAsia="Times New Roman" w:hAnsi="Arial" w:cs="Arial"/>
          <w:szCs w:val="28"/>
          <w:lang w:val="uk-UA" w:eastAsia="uk-UA"/>
        </w:rPr>
        <w:t xml:space="preserve">. </w:t>
      </w:r>
    </w:p>
    <w:p w14:paraId="1A0117D1" w14:textId="2D05E8DF" w:rsidR="005F048D" w:rsidRPr="00511005" w:rsidRDefault="005F048D" w:rsidP="003F6A5D">
      <w:pPr>
        <w:numPr>
          <w:ilvl w:val="0"/>
          <w:numId w:val="368"/>
        </w:numPr>
        <w:tabs>
          <w:tab w:val="left" w:pos="851"/>
        </w:tabs>
        <w:spacing w:line="264" w:lineRule="auto"/>
        <w:ind w:left="-9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Іліопол І. М. Вдосконалення цивільного процесуального законодавства у сфері апеляційного провадження. Рекодифікація цивільного законодавства і система права України у контексті євроінтеграційних процесів: матеріали міжнар. наук.-практ. конф. (Одеса, 15–16 листопада 2019 р.). Одеса: Фенікс, 2019. С. 139–141.</w:t>
      </w:r>
      <w:r w:rsidR="007B2628" w:rsidRPr="00511005">
        <w:rPr>
          <w:rFonts w:ascii="Arial" w:eastAsia="Times New Roman" w:hAnsi="Arial" w:cs="Arial"/>
          <w:szCs w:val="28"/>
          <w:lang w:val="uk-UA" w:eastAsia="uk-UA"/>
        </w:rPr>
        <w:t xml:space="preserve"> </w:t>
      </w:r>
    </w:p>
    <w:p w14:paraId="36FB59BC" w14:textId="77777777" w:rsidR="005F048D" w:rsidRPr="00511005" w:rsidRDefault="005F048D" w:rsidP="003F6A5D">
      <w:pPr>
        <w:numPr>
          <w:ilvl w:val="0"/>
          <w:numId w:val="368"/>
        </w:numPr>
        <w:tabs>
          <w:tab w:val="left" w:pos="851"/>
        </w:tabs>
        <w:spacing w:line="264" w:lineRule="auto"/>
        <w:ind w:left="-9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внесення змін до Конституції України (щодо правосуддя): Закон України від 2 червня 2016 року № 1401-VIII. Відомості Верховної Ради </w:t>
      </w:r>
      <w:r w:rsidRPr="00511005">
        <w:rPr>
          <w:rFonts w:ascii="Arial" w:eastAsia="Times New Roman" w:hAnsi="Arial" w:cs="Arial"/>
          <w:szCs w:val="28"/>
          <w:lang w:val="uk-UA" w:eastAsia="uk-UA"/>
        </w:rPr>
        <w:lastRenderedPageBreak/>
        <w:t xml:space="preserve">України. 2016. № 28. Ст. 532. URL: -19"https://zakon.rada.gov.ua/laws/show/1401-19#Text. </w:t>
      </w:r>
    </w:p>
    <w:p w14:paraId="63AE4C99" w14:textId="77777777" w:rsidR="005F048D" w:rsidRPr="00511005" w:rsidRDefault="005F048D" w:rsidP="003F6A5D">
      <w:pPr>
        <w:numPr>
          <w:ilvl w:val="0"/>
          <w:numId w:val="368"/>
        </w:numPr>
        <w:tabs>
          <w:tab w:val="left" w:pos="851"/>
        </w:tabs>
        <w:spacing w:line="264" w:lineRule="auto"/>
        <w:ind w:left="-9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Конвенція про захист прав людини і основоположних свобод: Міжнародний документ від 4 листопада 1950 року (в редакції від 13 травня 2004 року). Офіційний вісник України. 2010. № 32. Ст. 1010. URL: _004"https://zakon.rada.gov.ua/laws/show/995_004#Text. </w:t>
      </w:r>
    </w:p>
    <w:p w14:paraId="30BD787A" w14:textId="77777777" w:rsidR="005F048D" w:rsidRPr="00511005" w:rsidRDefault="005F048D" w:rsidP="003F6A5D">
      <w:pPr>
        <w:numPr>
          <w:ilvl w:val="0"/>
          <w:numId w:val="368"/>
        </w:numPr>
        <w:tabs>
          <w:tab w:val="left" w:pos="851"/>
        </w:tabs>
        <w:spacing w:line="264" w:lineRule="auto"/>
        <w:ind w:left="-9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Закон України від 18 березня 2004 року № 1618-IV (в редакції від 15 жовтня 2024 року). Відомості Верховної Ради України. 2004. № 40–41, 42. Ст. 492. URL: -15"https://zakon.rada.gov.ua/laws/show/1618-15#Text. </w:t>
      </w:r>
    </w:p>
    <w:p w14:paraId="6FC3B390" w14:textId="244416A1" w:rsidR="005F048D" w:rsidRPr="00511005" w:rsidRDefault="007B2628"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апеляція, касація, ефективність судочинства, Цивільний процесуальний кодекс України, оскарження судових рішень.</w:t>
      </w:r>
    </w:p>
    <w:p w14:paraId="41CC93F3" w14:textId="5DD7D46C" w:rsidR="005F048D" w:rsidRPr="00511005" w:rsidRDefault="007B2628" w:rsidP="003A292D">
      <w:pPr>
        <w:keepNext/>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appeal, cassation, efficiency of judicial proceedings, Civil Procedure Code of Ukraine, appeal of court decisions.</w:t>
      </w:r>
    </w:p>
    <w:p w14:paraId="605495D6" w14:textId="2F8AE855" w:rsidR="005F048D" w:rsidRPr="00511005" w:rsidRDefault="007B2628" w:rsidP="003A292D">
      <w:pPr>
        <w:keepNext/>
        <w:spacing w:line="264" w:lineRule="auto"/>
        <w:ind w:firstLine="567"/>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Іліопол І. М.</w:t>
      </w:r>
    </w:p>
    <w:p w14:paraId="2805144D"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65E8947A" w14:textId="4A7D05CC"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b/>
          <w:i/>
          <w:szCs w:val="28"/>
          <w:lang w:val="uk-UA" w:eastAsia="uk-UA"/>
        </w:rPr>
        <w:t>Колесниченко Анна Андріївна</w:t>
      </w:r>
      <w:r w:rsidRPr="00511005">
        <w:rPr>
          <w:rFonts w:ascii="Arial" w:eastAsia="Arial" w:hAnsi="Arial" w:cs="Arial"/>
          <w:szCs w:val="28"/>
          <w:lang w:val="uk-UA" w:eastAsia="uk-UA"/>
        </w:rPr>
        <w:br/>
      </w:r>
      <w:r w:rsidR="00536AAB" w:rsidRPr="00511005">
        <w:rPr>
          <w:rFonts w:ascii="Arial" w:eastAsia="Times New Roman" w:hAnsi="Arial" w:cs="Arial"/>
          <w:i/>
          <w:szCs w:val="28"/>
          <w:lang w:val="uk-UA" w:eastAsia="uk-UA"/>
        </w:rPr>
        <w:t>студентка 1-го курсу магістратури</w:t>
      </w:r>
      <w:r w:rsidRPr="00511005">
        <w:rPr>
          <w:rFonts w:ascii="Arial" w:eastAsia="Arial" w:hAnsi="Arial" w:cs="Arial"/>
          <w:szCs w:val="28"/>
          <w:lang w:val="uk-UA" w:eastAsia="uk-UA"/>
        </w:rPr>
        <w:br/>
      </w:r>
      <w:r w:rsidRPr="00511005">
        <w:rPr>
          <w:rFonts w:ascii="Arial" w:eastAsia="Times New Roman" w:hAnsi="Arial" w:cs="Arial"/>
          <w:i/>
          <w:szCs w:val="28"/>
          <w:lang w:val="uk-UA" w:eastAsia="uk-UA"/>
        </w:rPr>
        <w:t>факультету цивільної та господарської юстиції</w:t>
      </w:r>
      <w:r w:rsidRPr="00511005">
        <w:rPr>
          <w:rFonts w:ascii="Arial" w:eastAsia="Arial" w:hAnsi="Arial" w:cs="Arial"/>
          <w:szCs w:val="28"/>
          <w:lang w:val="uk-UA" w:eastAsia="uk-UA"/>
        </w:rPr>
        <w:br/>
      </w:r>
      <w:r w:rsidR="007B2628" w:rsidRPr="00511005">
        <w:rPr>
          <w:rFonts w:ascii="Arial" w:eastAsia="Times New Roman" w:hAnsi="Arial" w:cs="Arial"/>
          <w:i/>
          <w:szCs w:val="28"/>
          <w:lang w:val="uk-UA" w:eastAsia="uk-UA"/>
        </w:rPr>
        <w:t>Національного університету «Одеська юридична академія»</w:t>
      </w:r>
    </w:p>
    <w:p w14:paraId="2695099A"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p>
    <w:p w14:paraId="3E9E2765"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ЗАБЕЗПЕЧЕННЯ ДОКАЗІВ У ЦИВІЛЬНОМУ ПРОЦЕСІ В УМОВАХ ВЄННОГО СТАНУ: ПРОБЛЕМИ ТА ШЛЯХИ ВИРІШЕННЯ</w:t>
      </w:r>
    </w:p>
    <w:p w14:paraId="545A2E5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Запровадження воєнного стану в Україні у зв’язку з повномасштабною збройною агресією Російської Федерації стало справжнім викликом для правової системи держави, зокрема — для сфери цивільного судочинства [2]. Забезпечення доступності правосуддя у цивільному процесі, підвищення якості судових процедур відкриває необхідність переосмислення вже таких усталених інститутів і норм, як судове доказування, система елементів судового доказування тощо. Зміни ж до ЦПК України, показали якісний зсув у практиці, поряд з чим актуалізувалися деякі теоретичні (доктринальні) проблеми дослідження цивільного процесу. [3, с. 235].</w:t>
      </w:r>
    </w:p>
    <w:p w14:paraId="22B0F250"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Одним із найбільш проблемних і водночас критично важливих аспектів функціонування судової влади у таких умовах є забезпечення доказів у цивільному процесі [4]. Цей елемент судового розгляду відіграє вирішальну роль у встановленні істини у справі та прийнятті справедливого рішення, однак в умовах збройного конфлікту реалізація цього інституту стикається з низкою об'єктивних труднощів [5].</w:t>
      </w:r>
    </w:p>
    <w:p w14:paraId="794CA2B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Насамперед варто зазначити, що через бойові дії, окупацію територій, знищення інфраструктури та вимушене переміщення населення сторони цивільних процесів часто втрачають можливість зібрати, зберегти або належним чином надати докази [4]. Особливо це стосується речових </w:t>
      </w:r>
      <w:r w:rsidRPr="00511005">
        <w:rPr>
          <w:rFonts w:ascii="Arial" w:eastAsia="Times New Roman" w:hAnsi="Arial" w:cs="Arial"/>
          <w:szCs w:val="28"/>
          <w:lang w:val="uk-UA" w:eastAsia="uk-UA"/>
        </w:rPr>
        <w:lastRenderedPageBreak/>
        <w:t>доказів, матеріалів з архівів, документів, які залишилися на захоплених територіях, або не можуть бути витребувані у звичайному порядку через небезпеку для життя учасників процесу. У результаті виникає ситуація, коли справедливий розгляд справи стає неможливим або вкрай утрудненим [5].</w:t>
      </w:r>
    </w:p>
    <w:p w14:paraId="0C0AC3B6"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Ще однією суттєвою проблемою є ускладнення комунікації між учасниками процесу та судом. Часто фізичне подання заяв, клопотань про забезпечення доказів, чи навіть отримання судових рішень затягується через обмежений доступ до інтернету, збої в роботі зв’язку, або руйнування адміністративних будівель [6]. В умовах нестабільного функціонування державних сервісів багато процесуальних дій втрачають свою ефективність і своєчасність, що суперечить принципу оперативності правосуддя [1].</w:t>
      </w:r>
    </w:p>
    <w:p w14:paraId="1402DB6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Окремо варто підкреслити, що чинне цивільне процесуальне законодавство України не в повній мірі адаптоване до потреб воєнного часу [1]. У ньому відсутні спеціальні положення, які б враховували об’єктивні обставини, пов’язані з бойовими діями, обмеженнями пересування громадян, або неможливістю доступу до доказової бази [2]. Така нормативна прогалина породжує невизначеність як для учасників процесу, так і для самих судів, що створює ризики неоднозначного застосування права і, як наслідок, порушення права на справедливий суд [5].</w:t>
      </w:r>
    </w:p>
    <w:p w14:paraId="4CA7164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зв’язку з цим виникає нагальна потреба у розробці та впровадженні дієвих рішень, які б дозволили ефективно забезпечувати докази навіть в умовах надзвичайної ситуації [4]. По-перше, доцільним є нормативне закріплення спеціальних процедур, які б дозволяли сторонам подавати заяви про забезпечення доказів у спрощеному чи прискореному порядку, включаючи можливість використання дистанційних засобів зв’язку [6]. Наприклад, запровадження мобільних додатків чи захищених онлайн-платформ для подачі документів могло б значно покращити доступ до правосуддя [5].</w:t>
      </w:r>
    </w:p>
    <w:p w14:paraId="410E1C7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По-друге, необхідно максимально розвивати і впроваджувати електронне судочинство. Перехід до цифрових форм подання та зберігання доказів, використання електронних копій документів, відеозаписів, цифрових архівів зберігання інформації є важливою умовою для забезпечення доказів у ситуації, коли фізичний доступ до оригіналів є неможливим або небезпечним [6]. Цифровізація процесу не лише сприятиме безпеці учасників процесу, а й дозволить суду мати доступ до необхідної доказової інформації незалежно від територіального розташування сторін [4].</w:t>
      </w:r>
    </w:p>
    <w:p w14:paraId="55672BC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По-третє, необхідно надати судам ширші повноваження щодо забезпечення доказів за власною ініціативою [5]. У випадках, коли існує очевидна загроза втрати або знищення доказів, суд повинен мати право оперативно вживати заходів щодо їх фіксації, навіть без наявності </w:t>
      </w:r>
      <w:r w:rsidRPr="00511005">
        <w:rPr>
          <w:rFonts w:ascii="Arial" w:eastAsia="Times New Roman" w:hAnsi="Arial" w:cs="Arial"/>
          <w:szCs w:val="28"/>
          <w:lang w:val="uk-UA" w:eastAsia="uk-UA"/>
        </w:rPr>
        <w:lastRenderedPageBreak/>
        <w:t>відповідного клопотання [4]. Це дозволить зберегти необхідну доказову базу, яка в іншому разі могла б бути втрачена безповоротно [6].</w:t>
      </w:r>
    </w:p>
    <w:p w14:paraId="7206E7E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Крім того, важливо посилити міжвідомчу співпрацю судів з іншими органами — нотаріусами, органами місцевого самоврядування, поліцією та архівними установами [5]. Таке співробітництво може бути корисним у питанні оперативного отримання або фіксації доказів, зокрема — у справах про пошкодження чи втрату майна внаслідок бойових дій [6].</w:t>
      </w:r>
    </w:p>
    <w:p w14:paraId="0DFC544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На законодавчому рівні необхідно внести зміни до Цивільного процесуального кодексу України, які б передбачали окремий порядок забезпечення доказів в умовах надзвичайного або воєнного стану [1]. Такий підхід дозволить уніфікувати судову практику, зменшити навантаження на суди і забезпечити більш ефективний захист прав громадян [4].</w:t>
      </w:r>
    </w:p>
    <w:p w14:paraId="2438FD7C"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Отже, забезпечення доказів у цивільному процесі в умовах воєнного стану є складним і багатогранним завданням, яке вимагає комплексного підходу [2]. У сучасних реаліях необхідно поєднувати гнучкість судової практики, інноваційні технологічні рішення та адекватне правове регулювання [5]. Лише за таких умов можна гарантувати реальний доступ до правосуддя та ефективний захист прав і законних інтересів громадян, які потерпають від наслідків війни [6].</w:t>
      </w:r>
    </w:p>
    <w:p w14:paraId="3961368B"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1F9A1FD2" w14:textId="21CF924C" w:rsidR="007B2628" w:rsidRPr="00511005" w:rsidRDefault="007B2628" w:rsidP="007B2628">
      <w:pPr>
        <w:spacing w:line="264" w:lineRule="auto"/>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Список використаних джерел</w:t>
      </w:r>
    </w:p>
    <w:p w14:paraId="437FDB3C" w14:textId="77777777" w:rsidR="007B2628" w:rsidRPr="00511005" w:rsidRDefault="005F048D" w:rsidP="003F6A5D">
      <w:pPr>
        <w:numPr>
          <w:ilvl w:val="0"/>
          <w:numId w:val="375"/>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Кодекс Українивід 18.03.2004 № 1618-IV.</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URL: </w:t>
      </w:r>
      <w:hyperlink r:id="rId1418" w:anchor="Text">
        <w:r w:rsidRPr="00511005">
          <w:rPr>
            <w:rFonts w:ascii="Arial" w:eastAsia="Times New Roman" w:hAnsi="Arial" w:cs="Arial"/>
            <w:szCs w:val="28"/>
            <w:lang w:val="uk-UA" w:eastAsia="uk-UA"/>
          </w:rPr>
          <w:t>https://zakon.rada.gov.ua/laws/show/1618-15#Text</w:t>
        </w:r>
      </w:hyperlink>
      <w:r w:rsidR="007B2628" w:rsidRPr="00511005">
        <w:rPr>
          <w:rFonts w:ascii="Arial" w:eastAsia="Times New Roman" w:hAnsi="Arial" w:cs="Arial"/>
          <w:szCs w:val="28"/>
          <w:lang w:val="uk-UA" w:eastAsia="uk-UA"/>
        </w:rPr>
        <w:t xml:space="preserve"> </w:t>
      </w:r>
    </w:p>
    <w:p w14:paraId="7AE7B7AD" w14:textId="77777777" w:rsidR="007B2628" w:rsidRPr="00511005" w:rsidRDefault="005F048D" w:rsidP="003F6A5D">
      <w:pPr>
        <w:numPr>
          <w:ilvl w:val="0"/>
          <w:numId w:val="375"/>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правовий режим воєнного стану: Закон України від 12.05.2015 № 389-VIII. URL: </w:t>
      </w:r>
      <w:hyperlink r:id="rId1419" w:anchor="Text">
        <w:r w:rsidRPr="00511005">
          <w:rPr>
            <w:rFonts w:ascii="Arial" w:eastAsia="Times New Roman" w:hAnsi="Arial" w:cs="Arial"/>
            <w:szCs w:val="28"/>
            <w:lang w:val="uk-UA" w:eastAsia="uk-UA"/>
          </w:rPr>
          <w:t>https://zakon.rada.gov.ua/laws/show/389-19#Text</w:t>
        </w:r>
      </w:hyperlink>
      <w:r w:rsidRPr="00511005">
        <w:rPr>
          <w:rFonts w:ascii="Arial" w:eastAsia="Times New Roman" w:hAnsi="Arial" w:cs="Arial"/>
          <w:szCs w:val="28"/>
          <w:lang w:val="uk-UA" w:eastAsia="uk-UA"/>
        </w:rPr>
        <w:t xml:space="preserve"> </w:t>
      </w:r>
    </w:p>
    <w:p w14:paraId="56CCF61C" w14:textId="77777777" w:rsidR="007B2628" w:rsidRPr="00511005" w:rsidRDefault="005F048D" w:rsidP="003F6A5D">
      <w:pPr>
        <w:numPr>
          <w:ilvl w:val="0"/>
          <w:numId w:val="375"/>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Іліопол І.М.</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Загальна характеристика складових елементів судового доказування за цивільним процесуальним законодавством України / Іліопол І.М. // Сучасні</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тенденції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розвитку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законодавства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України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контексті проведення державних</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реформ</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матеріали Міжнар. наук.-практ. конф. (м. Чернівці, 04</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березня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2021 р.) /</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відп.</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ред. Т. А. Латковська.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Чернівці, 2021. 332 с. С. 235-239. URL: </w:t>
      </w:r>
      <w:hyperlink r:id="rId1420">
        <w:r w:rsidRPr="00511005">
          <w:rPr>
            <w:rFonts w:ascii="Arial" w:eastAsia="Times New Roman" w:hAnsi="Arial" w:cs="Arial"/>
            <w:szCs w:val="28"/>
            <w:lang w:val="uk-UA" w:eastAsia="uk-UA"/>
          </w:rPr>
          <w:t>https://dspace.onua.edu.ua/server/api/core/bitstreams/d1dd9541-0f13-4230-b0eb-16ae28829bcd/content</w:t>
        </w:r>
      </w:hyperlink>
      <w:r w:rsidRPr="00511005">
        <w:rPr>
          <w:rFonts w:ascii="Arial" w:eastAsia="Times New Roman" w:hAnsi="Arial" w:cs="Arial"/>
          <w:szCs w:val="28"/>
          <w:lang w:val="uk-UA" w:eastAsia="uk-UA"/>
        </w:rPr>
        <w:t xml:space="preserve"> </w:t>
      </w:r>
    </w:p>
    <w:p w14:paraId="7EEFF473" w14:textId="77777777" w:rsidR="007B2628" w:rsidRPr="00511005" w:rsidRDefault="005F048D" w:rsidP="003F6A5D">
      <w:pPr>
        <w:numPr>
          <w:ilvl w:val="0"/>
          <w:numId w:val="375"/>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Сакара Н. Докази і доказування у цивільному процесі в умовах воєнного стану у практиці Верховного Суду.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URL:</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"https://supreme.court.gov.ua/userfiles/media/new_folder_for_uploads/supreme/2022_prezent/2022_11_18_Sakara_18_11_2022.pdf"pdf</w:t>
      </w:r>
    </w:p>
    <w:p w14:paraId="50A284AF" w14:textId="77777777" w:rsidR="007B2628" w:rsidRPr="00511005" w:rsidRDefault="005F048D" w:rsidP="003F6A5D">
      <w:pPr>
        <w:numPr>
          <w:ilvl w:val="0"/>
          <w:numId w:val="375"/>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Кичата Л., Шаповалова К. Докази та доказування в цивільному процесі в умовах дії правового режиму воєнного стану. Universum. 2024. №14. С. 207–211. URL: </w:t>
      </w:r>
      <w:hyperlink r:id="rId1421">
        <w:r w:rsidRPr="00511005">
          <w:rPr>
            <w:rFonts w:ascii="Arial" w:eastAsia="Times New Roman" w:hAnsi="Arial" w:cs="Arial"/>
            <w:szCs w:val="28"/>
            <w:lang w:val="uk-UA" w:eastAsia="uk-UA"/>
          </w:rPr>
          <w:t>https://archive.liga.science/index.php/universum/article/view/1378</w:t>
        </w:r>
      </w:hyperlink>
    </w:p>
    <w:p w14:paraId="6B4BD93E" w14:textId="5681E7B2" w:rsidR="005F048D" w:rsidRPr="00511005" w:rsidRDefault="005F048D" w:rsidP="003F6A5D">
      <w:pPr>
        <w:numPr>
          <w:ilvl w:val="0"/>
          <w:numId w:val="375"/>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Кондрат’єва Л.А. Електронні докази в цивільному судочинстві в період воєнного стану. Юридичний науковий електронний журнал. 2022. № 3. С. 90–93. URL: </w:t>
      </w:r>
      <w:hyperlink r:id="rId1422">
        <w:r w:rsidRPr="00511005">
          <w:rPr>
            <w:rFonts w:ascii="Arial" w:eastAsia="Times New Roman" w:hAnsi="Arial" w:cs="Arial"/>
            <w:szCs w:val="28"/>
            <w:lang w:val="uk-UA" w:eastAsia="uk-UA"/>
          </w:rPr>
          <w:t>http://lsej.org.ua/3_2022/18.pdf</w:t>
        </w:r>
      </w:hyperlink>
    </w:p>
    <w:p w14:paraId="57DA1E3A" w14:textId="77777777" w:rsidR="005F048D" w:rsidRPr="00511005" w:rsidRDefault="005F048D" w:rsidP="003A292D">
      <w:pPr>
        <w:spacing w:line="264" w:lineRule="auto"/>
        <w:ind w:left="709" w:firstLine="0"/>
        <w:rPr>
          <w:rFonts w:ascii="Arial" w:eastAsia="Times New Roman" w:hAnsi="Arial" w:cs="Arial"/>
          <w:szCs w:val="28"/>
          <w:lang w:val="uk-UA" w:eastAsia="uk-UA"/>
        </w:rPr>
      </w:pPr>
    </w:p>
    <w:p w14:paraId="65C676E7" w14:textId="17CB5491" w:rsidR="005F048D" w:rsidRPr="00511005" w:rsidRDefault="007B2628" w:rsidP="003A292D">
      <w:pPr>
        <w:keepNext/>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забезпечення доказів, доступ до правосуддя, допустимі докази, процесуальна гнучкість, законодавчі зміни</w:t>
      </w:r>
    </w:p>
    <w:p w14:paraId="0DD4CC2C" w14:textId="47DAA04D" w:rsidR="007B2628" w:rsidRPr="00511005" w:rsidRDefault="007B2628" w:rsidP="00146592">
      <w:pPr>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securing evidence, access to justice, admissible evidence,procedural flexibility, legislative amendments</w:t>
      </w:r>
      <w:r w:rsidR="00146592" w:rsidRPr="00511005">
        <w:rPr>
          <w:rFonts w:ascii="Arial" w:eastAsia="Times New Roman" w:hAnsi="Arial" w:cs="Arial"/>
          <w:szCs w:val="28"/>
          <w:lang w:val="uk-UA" w:eastAsia="uk-UA"/>
        </w:rPr>
        <w:t>.</w:t>
      </w:r>
    </w:p>
    <w:p w14:paraId="00D75013" w14:textId="2944841D" w:rsidR="005F048D" w:rsidRPr="00511005" w:rsidRDefault="00146592"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ab/>
      </w:r>
      <w:r w:rsidR="007B2628"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Іліопол І.М.</w:t>
      </w:r>
    </w:p>
    <w:p w14:paraId="5F27885F"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left"/>
        <w:rPr>
          <w:rFonts w:ascii="Arial" w:eastAsia="Times New Roman" w:hAnsi="Arial" w:cs="Arial"/>
          <w:i/>
          <w:szCs w:val="28"/>
          <w:lang w:val="uk-UA" w:eastAsia="uk-UA"/>
        </w:rPr>
      </w:pPr>
    </w:p>
    <w:p w14:paraId="0AA78972"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Короткевич Іван Андрійович</w:t>
      </w:r>
    </w:p>
    <w:p w14:paraId="58508CB1"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 xml:space="preserve">Студент 1- го курсу магістратури </w:t>
      </w:r>
    </w:p>
    <w:p w14:paraId="25323792"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 xml:space="preserve">факультету цивільної та господарської юстиції </w:t>
      </w:r>
    </w:p>
    <w:p w14:paraId="128AAAA4" w14:textId="1468CB4B" w:rsidR="005F048D" w:rsidRPr="00511005" w:rsidRDefault="007B2628"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Національного університету «Одеська юридична академія»</w:t>
      </w:r>
    </w:p>
    <w:p w14:paraId="6CC11DCE"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p>
    <w:p w14:paraId="47A16BEF"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ЕЛЕКТРОННИЙ СУД ЯК СПОСІБ СПРОЩЕННЯ ТА ПРИШВИДШЕННЯ СУДОВОЇ ПРОЦЕДУРИ</w:t>
      </w:r>
    </w:p>
    <w:p w14:paraId="16B692A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сучасних умовах діджиталізації суспільства впровадження електронного правосуддя стало важливою складовою судової реформи. Електронний суд – це система, яка дозволяє здійснювати судові процедури за допомогою інформаційно-телекомунікаційних технологій, мінімізуючи потребу в паперовому документообігу та особистій присутності учасників процесу. </w:t>
      </w:r>
    </w:p>
    <w:p w14:paraId="752500E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Україні створення електронного судочинства розглядається як один із шляхів підвищення ефективності правосуддя, спрощення процедур та прискорення розгляду цивільних справ. </w:t>
      </w:r>
    </w:p>
    <w:p w14:paraId="27A0C83B"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Перші кроки до електронного суду в Україні були пов’язані із загальною судовою реформою та запровадженням автоматизованих систем документообігу в судах. Важливою віхою став 2017 рік, коли в межах судової реформи було прийнято нові редакції процесуальних кодексів. Зокрема, 15 грудня 2017 року набрали чинності зміни до Цивільного процесуального кодексу (ЦПК) України, внесені Законом № 2147-VIII від 03.10.2017, які ввели поняття електронного судочинства​. [1]</w:t>
      </w:r>
    </w:p>
    <w:p w14:paraId="5E2E545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Цими змінами було закріплено можливість подання позовів та інших процесуальних документів в електронній формі, а також передбачено стимулюючі норми (наприклад, зниження судового збору на 20% при електронному поданні документів)​. [1] Таким чином, на законодавчому рівні була створена база для розвитку Єдиної судової інформаційно-комунікаційної системи (ЄСІТС), центральним елементом якої і є підсистема «Електронний суд».</w:t>
      </w:r>
    </w:p>
    <w:p w14:paraId="3265ECA3"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Як зазначає І.М. Іліопол, стратегія диджиталізації судочинства обиралась у зв’язку із суспільною необхідністю та розвитком державності. </w:t>
      </w:r>
      <w:r w:rsidRPr="00511005">
        <w:rPr>
          <w:rFonts w:ascii="Arial" w:eastAsia="Times New Roman" w:hAnsi="Arial" w:cs="Arial"/>
          <w:szCs w:val="28"/>
          <w:lang w:val="uk-UA" w:eastAsia="uk-UA"/>
        </w:rPr>
        <w:lastRenderedPageBreak/>
        <w:t>Ключовим аспектом цифрової трансформації судочинства стало оновлення процесуальних кодексів та прийняття змін до законодавства про запровадження функціонування такої системи, яка б розширила можливості комунікацій між судами та учасниками судового процесу, що в подальшому допомагало функціонувати судам під час карантину й запровадження воєнного стану [2, с.40].</w:t>
      </w:r>
    </w:p>
    <w:p w14:paraId="0B34060E"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Практичне впровадження електронного суду розпочалося дещо пізніше. Важливим етапом став 2020–2021 роки, коли, з одного боку, пандемія COVID-19 та пов’язані карантинні обмеження підсилили потребу в дистанційних формах правосуддя, а з іншого – були здійснені вирішальні кроки для офіційного запуску ЄСІТС. Парламент ухвалив Закон України № 1416-IX від 27.04.2021 «Про внесення змін до деяких законодавчих актів щодо забезпечення поетапного впровадження Єдиної судової інформаційно-телекомунікаційної системи», який набрав чинності 26 травня 2021 року​. Цим законом було законодавчо закріплено поступове введення ЄСІТС в експлуатацію по модулях. [3]</w:t>
      </w:r>
    </w:p>
    <w:p w14:paraId="65D8FC95"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У подальшому було зроблено офіційне оголошення про старт першої черги електронного суду. З 5 жовтня 2021 року офіційно розпочали роботу три ключові підсистеми ЄСІТС – «Електронний кабінет», «Електронний суд» та підсистема відеоконференцзв’язку​. Таким чином, на кінець 2021 року електронний суд перейшов з тестового режиму до стадії офіційної експлуатації.[4]</w:t>
      </w:r>
    </w:p>
    <w:p w14:paraId="505ED47E"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Подальший розвиток електронного суду відбувався вже в напрямку розширення кола користувачів та вдосконалення сервісів. З 18 жовтня 2023 року набув чинності Закон України № 3200-IX, який зобов’язує кожного учасника судового процесу зареєструвати свій електронний кабінет в ЄСІТС та використовувати його для обміну документами​. [6]</w:t>
      </w:r>
    </w:p>
    <w:p w14:paraId="610AC2FC"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 електронний суд як підсистема ЄСІТС надає учасникам судового процесу ряд інструментів, що значно спрощують і прискорюють судові процедури у цивільних справах. Основні можливості та сервіси електронного суду включають подання документів онлайн, електронний обмін процесуальними документами між сторонами і судом, отримання судових повідомлень в електронній формі, участь у судових засіданнях через відеозв’язок тощо. </w:t>
      </w:r>
    </w:p>
    <w:p w14:paraId="7A153E79" w14:textId="77777777" w:rsidR="007B2628"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Завдяки електронному суду позивачі, відповідачі та інші учасники можуть подавати позовні заяви, клопотання, апеляційні та касаційні скарги та інші процесуальні документи в цифровому форматі безпосередньо через веб-портал судової влади. Для цього використовується спеціальний Електронний кабінет користувача, де доступний інтерфейс для створення та відправлення документів. Документи можуть створюватися за допомогою вбудованих форм і шаблонів, підписуватися кваліфікованим електронним підписом (КЕП) і надсилатися до відповідного суду онлайн​.</w:t>
      </w:r>
    </w:p>
    <w:p w14:paraId="603F8539" w14:textId="37A96F0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Після надсилання документа система автоматично реєструє його у суді та надає можливість відстежувати подальший рух справи. У Електронному кабінеті відображається інформація про отримання судом документа, призначення справи судді, дату та час судових засідань, результати розгляду тощо в режимі реального часу​. Таким чином, усувається необхідність особисто приносити папери до канцелярії суду чи надсилати їх поштою, що економить час громадян та прискорює відкриття проваджень.</w:t>
      </w:r>
    </w:p>
    <w:p w14:paraId="7FE6BAF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Перехід до електронного судочинства докорінно змінив спосіб обміну інформацією між судом та учасниками процесу.[5] Раніше виклики в суд і копії рішень надсилалися рекомендованою поштою, що займало дні і тижні, а ризик затримок був високим. Нині ж судові повістки та повідомлення можуть надходити миттєво у електронний кабінет користувача, а дублюючі повідомлення – на електронну пошту чи навіть у месенджери. </w:t>
      </w:r>
    </w:p>
    <w:p w14:paraId="519E843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Електронний суд підвищив прозорість судового процесу.[5] Учасники справи через свої електронні кабінети мають доступ до матеріалів справи в електронній формі – сканованих копій поданих документів, ухвал суду, протоколів засідань тощо. Єдина судова інформаційно-телекомунікаційна система інтегрована з Єдиним державним реєстром судових рішень, тому всі рішення у справі автоматично доступні для перегляду невдовзі після ухвалення</w:t>
      </w:r>
    </w:p>
    <w:p w14:paraId="49433C1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Ще одним аспектом спрощення є можливість сплати судового збору та інших судових витрат безпосередньо під час електронного подання позову. Інтеграція електронного суду з платіжними системами дозволяє позивачу сплатити необхідний збір через інтернет-банкінг або інші електронні засоби, а підтвердження оплати автоматично приєднується до матеріалів позову​w. У разі ж попередньої оплати через банк, користувач може завантажити квитанцію у систему, і вона також буде перевірена автоматично​.</w:t>
      </w:r>
    </w:p>
    <w:p w14:paraId="336475AD"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контексті спрощення процедур варто відзначити можливість дистанційної участі у судових засіданнях. Підсистема відеоконференцзв’язку, що є складовою ЄСІТС, дозволяє проводити судові засідання у режимі онлайн, коли сторони, їх представники, а також суддя (за потреби) можуть перебувати поза межами залу суду і взаємодіяти через відеозв’язок​. </w:t>
      </w:r>
    </w:p>
    <w:p w14:paraId="3003405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Впровадження електронного суду, попри свої очевидні переваги, супроводжувалося і певними викликами, що відобразилися у судовій практиці перехідного періоду. Спочатку виникла неоднорідність підходів судів до електронних документів до повноцінного запуску системи. Наприклад, в кінці 2019 – на початку 2020 року експерти радили сторонам, які подають позови через систему «Електронний суд», одночасно дублювати їх у паперовій формі​, оскільки не всі суди були готові визнати електронне подання достатнім. </w:t>
      </w:r>
    </w:p>
    <w:p w14:paraId="07C84949"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Іншим проблемним аспектом перших років стало питання застосування зниженої ставки судового збору при електронному зверненні. Хоча законодавчо норма про коефіцієнт 0,8 для судового збору була прийнята ще у 2017 році, фактично вона мала запрацювати лише з початком функціонування ЄСІТС. В оголошенні ВРП про запуск підсистем у 2021 році окремо не йшлося про введення цієї норми, що спричинило неоднозначність​. Деякі заявники почали платити на 20% менше, подаючи позови онлайн, і стикнулися з тим, що суди не приймали такі позови через недоплату. [4]</w:t>
      </w:r>
    </w:p>
    <w:p w14:paraId="29B03CC7"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Запровадження електронного суду в Україні стало якісним кроком у розвитку цивільного процесуального права та судової системи в цілому.[4]Історія його розвитку свідчить про послідовність реформ: від законодавчого закріплення ідеї – до технічної реалізації і обов’язкового використання. Електронний суд довів свою ефективність як дієвий спосіб спростити судові процедури та пришвидшити розгляд справ. Завдяки йому зменшено паперову тяганину, автоматизовано рутинні процеси (реєстрація документів, надсилання повісток, контроль строків), що раніше займали значний час. Для учасників процесу електронне судочинство означає більшу зручність: можливість подати позов чи скаргу з дому, оперативно отримати інформацію про свою справу, не витрачати зайві кошти та час на дорогу до суду. Для судової системи в цілому це підвищення продуктивності роботи судів, прозорості і підконтрольності процесів, зниження навантаження на канцелярії та прискорення документообігу.</w:t>
      </w:r>
    </w:p>
    <w:p w14:paraId="69186E2A" w14:textId="77777777" w:rsidR="005F048D" w:rsidRPr="00511005" w:rsidRDefault="005F048D" w:rsidP="003A292D">
      <w:pPr>
        <w:spacing w:line="264" w:lineRule="auto"/>
        <w:ind w:firstLine="720"/>
        <w:rPr>
          <w:rFonts w:ascii="Arial" w:eastAsia="Times New Roman" w:hAnsi="Arial" w:cs="Arial"/>
          <w:szCs w:val="28"/>
          <w:lang w:val="uk-UA" w:eastAsia="uk-UA"/>
        </w:rPr>
      </w:pPr>
    </w:p>
    <w:p w14:paraId="60AE1588" w14:textId="40DE2511" w:rsidR="007B2628"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02449E95" w14:textId="77777777" w:rsidR="007B2628" w:rsidRPr="00511005" w:rsidRDefault="005F048D" w:rsidP="003F6A5D">
      <w:pPr>
        <w:numPr>
          <w:ilvl w:val="0"/>
          <w:numId w:val="358"/>
        </w:numPr>
        <w:tabs>
          <w:tab w:val="left" w:pos="1134"/>
        </w:tabs>
        <w:spacing w:line="264" w:lineRule="auto"/>
        <w:ind w:left="0" w:firstLine="864"/>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 Кодекс України; Закон від 18.03.2004 № 1618-IV // База даних «Законодавство України» / Верховна Рада України.URL: </w:t>
      </w:r>
      <w:hyperlink r:id="rId1423">
        <w:r w:rsidRPr="00511005">
          <w:rPr>
            <w:rFonts w:ascii="Arial" w:eastAsia="Times New Roman" w:hAnsi="Arial" w:cs="Arial"/>
            <w:szCs w:val="28"/>
            <w:lang w:val="uk-UA" w:eastAsia="uk-UA"/>
          </w:rPr>
          <w:t>https://zakon.rada.gov.ua/go/1618-15</w:t>
        </w:r>
      </w:hyperlink>
      <w:r w:rsidRPr="00511005">
        <w:rPr>
          <w:rFonts w:ascii="Arial" w:eastAsia="Times New Roman" w:hAnsi="Arial" w:cs="Arial"/>
          <w:szCs w:val="28"/>
          <w:lang w:val="uk-UA" w:eastAsia="uk-UA"/>
        </w:rPr>
        <w:t xml:space="preserve"> </w:t>
      </w:r>
    </w:p>
    <w:p w14:paraId="66E2794B" w14:textId="117CF80C" w:rsidR="005F048D" w:rsidRPr="00511005" w:rsidRDefault="005F048D" w:rsidP="003F6A5D">
      <w:pPr>
        <w:numPr>
          <w:ilvl w:val="0"/>
          <w:numId w:val="358"/>
        </w:numPr>
        <w:tabs>
          <w:tab w:val="left" w:pos="1134"/>
        </w:tabs>
        <w:spacing w:line="264" w:lineRule="auto"/>
        <w:ind w:left="0" w:firstLine="864"/>
        <w:jc w:val="left"/>
        <w:rPr>
          <w:rFonts w:ascii="Arial" w:eastAsia="Times New Roman" w:hAnsi="Arial" w:cs="Arial"/>
          <w:szCs w:val="28"/>
          <w:lang w:val="uk-UA" w:eastAsia="uk-UA"/>
        </w:rPr>
      </w:pPr>
      <w:r w:rsidRPr="00511005">
        <w:rPr>
          <w:rFonts w:ascii="Arial" w:eastAsia="Times New Roman" w:hAnsi="Arial" w:cs="Arial"/>
          <w:szCs w:val="28"/>
          <w:lang w:val="uk-UA" w:eastAsia="uk-UA"/>
        </w:rPr>
        <w:t>Іліопол І.М. «Електронний суд» як додаткова гарантія забезпечення захисту прав людини судом апеляційної інстанції у цивільному процесі України. Новели цивільного процесуального законодавства: цивільна юрисдикція, процесуальні строки : матеріали Всеукр. наук.-практ. конф. (Одеса, 8 квітня 2024 р.) / уклад : Н. Ю. Голубєва, І. М. Іліопол, О. В. Сатановська; за заг. ред. Н. Ю. Голубєвої ; Нац. ун-т «Одес. юрид. академія». Одеса : Фенікс, 2024. 139 с. С.с. 40-44.</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URL: </w:t>
      </w:r>
      <w:hyperlink r:id="rId1424">
        <w:r w:rsidRPr="00511005">
          <w:rPr>
            <w:rFonts w:ascii="Arial" w:eastAsia="Times New Roman" w:hAnsi="Arial" w:cs="Arial"/>
            <w:szCs w:val="28"/>
            <w:lang w:val="uk-UA" w:eastAsia="uk-UA"/>
          </w:rPr>
          <w:t>https://hdl.handle.net/11300/27821</w:t>
        </w:r>
      </w:hyperlink>
    </w:p>
    <w:p w14:paraId="7D33FC0E" w14:textId="77777777" w:rsidR="007B2628" w:rsidRPr="00511005" w:rsidRDefault="005F048D" w:rsidP="003F6A5D">
      <w:pPr>
        <w:numPr>
          <w:ilvl w:val="0"/>
          <w:numId w:val="358"/>
        </w:numPr>
        <w:spacing w:line="264" w:lineRule="auto"/>
        <w:ind w:left="0" w:firstLine="864"/>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Закон України «Про внесення змін до деяких законодавчих актів України щодо забезпечення поетапного впровадження Єдиної судової інформаційно-телекомунікаційної системи» від 27.04.2021 № 1416-IX.URL: -20"https://zakon.rada.gov.ua/laws/show/1416-20#Text</w:t>
      </w:r>
    </w:p>
    <w:p w14:paraId="4D3A41CB" w14:textId="1D8472C7" w:rsidR="005F048D" w:rsidRPr="00511005" w:rsidRDefault="005F048D" w:rsidP="003F6A5D">
      <w:pPr>
        <w:numPr>
          <w:ilvl w:val="0"/>
          <w:numId w:val="358"/>
        </w:numPr>
        <w:spacing w:line="264" w:lineRule="auto"/>
        <w:ind w:left="0" w:firstLine="864"/>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Скочиляс-Павлів О. В. (2024). Сучасний стан електронного судочинства в Україні. </w:t>
      </w:r>
      <w:r w:rsidRPr="00511005">
        <w:rPr>
          <w:rFonts w:ascii="Arial" w:eastAsia="Times New Roman" w:hAnsi="Arial" w:cs="Arial"/>
          <w:i/>
          <w:szCs w:val="28"/>
          <w:lang w:val="uk-UA" w:eastAsia="uk-UA"/>
        </w:rPr>
        <w:t>Київський часопис права</w:t>
      </w:r>
      <w:r w:rsidRPr="00511005">
        <w:rPr>
          <w:rFonts w:ascii="Arial" w:eastAsia="Times New Roman" w:hAnsi="Arial" w:cs="Arial"/>
          <w:szCs w:val="28"/>
          <w:lang w:val="uk-UA" w:eastAsia="uk-UA"/>
        </w:rPr>
        <w:t>, (1), 207–212.</w:t>
      </w:r>
      <w:r w:rsidRPr="00511005">
        <w:rPr>
          <w:rFonts w:ascii="Arial" w:eastAsia="Arial" w:hAnsi="Arial" w:cs="Arial"/>
          <w:szCs w:val="28"/>
          <w:lang w:val="uk-UA" w:eastAsia="uk-UA"/>
        </w:rPr>
        <w:br/>
      </w:r>
      <w:r w:rsidRPr="00511005">
        <w:rPr>
          <w:rFonts w:ascii="Arial" w:eastAsia="Times New Roman" w:hAnsi="Arial" w:cs="Arial"/>
          <w:szCs w:val="28"/>
          <w:lang w:val="uk-UA" w:eastAsia="uk-UA"/>
        </w:rPr>
        <w:t xml:space="preserve">URL: </w:t>
      </w:r>
      <w:hyperlink r:id="rId1425">
        <w:r w:rsidRPr="00511005">
          <w:rPr>
            <w:rFonts w:ascii="Arial" w:eastAsia="Times New Roman" w:hAnsi="Arial" w:cs="Arial"/>
            <w:szCs w:val="28"/>
            <w:lang w:val="uk-UA" w:eastAsia="uk-UA"/>
          </w:rPr>
          <w:t>https://kyivchasprava.kneu.in.ua/index.php/kyivchasprava/article/view/425</w:t>
        </w:r>
      </w:hyperlink>
    </w:p>
    <w:p w14:paraId="61298DFD" w14:textId="77777777" w:rsidR="007B2628" w:rsidRPr="00511005" w:rsidRDefault="005F048D" w:rsidP="003F6A5D">
      <w:pPr>
        <w:numPr>
          <w:ilvl w:val="0"/>
          <w:numId w:val="358"/>
        </w:numPr>
        <w:spacing w:line="264" w:lineRule="auto"/>
        <w:ind w:left="0" w:firstLine="864"/>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Соболь Є. Ю., Габелко В. О. (2023). Електронне судочинство як складова права на справедливий суд: міжнародний досвід та перспективи для України. </w:t>
      </w:r>
      <w:r w:rsidRPr="00511005">
        <w:rPr>
          <w:rFonts w:ascii="Arial" w:eastAsia="Times New Roman" w:hAnsi="Arial" w:cs="Arial"/>
          <w:i/>
          <w:szCs w:val="28"/>
          <w:lang w:val="uk-UA" w:eastAsia="uk-UA"/>
        </w:rPr>
        <w:t>Наукові записки. Серія: Право</w:t>
      </w:r>
      <w:r w:rsidRPr="00511005">
        <w:rPr>
          <w:rFonts w:ascii="Arial" w:eastAsia="Times New Roman" w:hAnsi="Arial" w:cs="Arial"/>
          <w:szCs w:val="28"/>
          <w:lang w:val="uk-UA" w:eastAsia="uk-UA"/>
        </w:rPr>
        <w:t>, (15), 265–270.</w:t>
      </w:r>
      <w:r w:rsidRPr="00511005">
        <w:rPr>
          <w:rFonts w:ascii="Arial" w:eastAsia="Arial" w:hAnsi="Arial" w:cs="Arial"/>
          <w:szCs w:val="28"/>
          <w:lang w:val="uk-UA" w:eastAsia="uk-UA"/>
        </w:rPr>
        <w:br/>
      </w:r>
      <w:r w:rsidRPr="00511005">
        <w:rPr>
          <w:rFonts w:ascii="Arial" w:eastAsia="Times New Roman" w:hAnsi="Arial" w:cs="Arial"/>
          <w:szCs w:val="28"/>
          <w:lang w:val="uk-UA" w:eastAsia="uk-UA"/>
        </w:rPr>
        <w:t xml:space="preserve">URL: </w:t>
      </w:r>
      <w:hyperlink r:id="rId1426">
        <w:r w:rsidRPr="00511005">
          <w:rPr>
            <w:rFonts w:ascii="Arial" w:eastAsia="Times New Roman" w:hAnsi="Arial" w:cs="Arial"/>
            <w:szCs w:val="28"/>
            <w:lang w:val="uk-UA" w:eastAsia="uk-UA"/>
          </w:rPr>
          <w:t>https://pravo.cusu.edu.ua/index.php/pravo/article/view/377</w:t>
        </w:r>
      </w:hyperlink>
    </w:p>
    <w:p w14:paraId="0D2BFFA1" w14:textId="4E59AC08" w:rsidR="005F048D" w:rsidRPr="00511005" w:rsidRDefault="005F048D" w:rsidP="003F6A5D">
      <w:pPr>
        <w:numPr>
          <w:ilvl w:val="0"/>
          <w:numId w:val="358"/>
        </w:numPr>
        <w:spacing w:line="264" w:lineRule="auto"/>
        <w:ind w:left="0" w:firstLine="864"/>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Закон України «Про внесення змін до деяких законодавчих актів України щодо обов'язкового використання Єдиної судової інформаційно-телекомунікаційної системи» від 20.06.2023 № 3200-IX.URL: -20"https://zakon.rada.gov.ua/laws/show/3200-20#Text</w:t>
      </w:r>
    </w:p>
    <w:p w14:paraId="6BFA7610" w14:textId="77777777" w:rsidR="005F048D" w:rsidRPr="00511005" w:rsidRDefault="005F048D" w:rsidP="003A292D">
      <w:pPr>
        <w:spacing w:line="264" w:lineRule="auto"/>
        <w:ind w:firstLine="720"/>
        <w:rPr>
          <w:rFonts w:ascii="Arial" w:eastAsia="Times New Roman" w:hAnsi="Arial" w:cs="Arial"/>
          <w:szCs w:val="28"/>
          <w:lang w:val="uk-UA" w:eastAsia="uk-UA"/>
        </w:rPr>
      </w:pPr>
    </w:p>
    <w:p w14:paraId="029034F5" w14:textId="0D68D320"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електронний суд,</w:t>
      </w:r>
      <w:r w:rsidRPr="00511005">
        <w:rPr>
          <w:rFonts w:ascii="Arial" w:eastAsia="Times New Roman" w:hAnsi="Arial" w:cs="Arial"/>
          <w:szCs w:val="28"/>
          <w:lang w:val="uk-UA" w:eastAsia="uk-UA"/>
        </w:rPr>
        <w:t xml:space="preserve"> </w:t>
      </w:r>
      <w:r w:rsidR="005F048D" w:rsidRPr="00511005">
        <w:rPr>
          <w:rFonts w:ascii="Arial" w:eastAsia="Times New Roman" w:hAnsi="Arial" w:cs="Arial"/>
          <w:szCs w:val="28"/>
          <w:lang w:val="uk-UA" w:eastAsia="uk-UA"/>
        </w:rPr>
        <w:t>цифровізація судочинства</w:t>
      </w:r>
      <w:r w:rsidRPr="00511005">
        <w:rPr>
          <w:rFonts w:ascii="Arial" w:eastAsia="Times New Roman" w:hAnsi="Arial" w:cs="Arial"/>
          <w:szCs w:val="28"/>
          <w:lang w:val="uk-UA" w:eastAsia="uk-UA"/>
        </w:rPr>
        <w:t xml:space="preserve"> </w:t>
      </w:r>
      <w:r w:rsidR="005F048D" w:rsidRPr="00511005">
        <w:rPr>
          <w:rFonts w:ascii="Arial" w:eastAsia="Times New Roman" w:hAnsi="Arial" w:cs="Arial"/>
          <w:szCs w:val="28"/>
          <w:lang w:val="uk-UA" w:eastAsia="uk-UA"/>
        </w:rPr>
        <w:t>електронний кабінет, спрощення судових процедур, електронний документообіг.</w:t>
      </w:r>
    </w:p>
    <w:p w14:paraId="714C5944" w14:textId="0692177C"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electronic court, digitalization of legal proceedings, electronic cabinet, simplification of judicial procedures, electronic document flow</w:t>
      </w:r>
    </w:p>
    <w:p w14:paraId="190983BD" w14:textId="31B9AAFC" w:rsidR="005F048D" w:rsidRPr="00511005" w:rsidRDefault="007B2628" w:rsidP="003A292D">
      <w:pPr>
        <w:spacing w:line="264" w:lineRule="auto"/>
        <w:ind w:firstLine="72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w:t>
      </w:r>
      <w:r w:rsidRPr="00511005">
        <w:rPr>
          <w:rFonts w:ascii="Arial" w:eastAsia="Times New Roman" w:hAnsi="Arial" w:cs="Arial"/>
          <w:i/>
          <w:szCs w:val="28"/>
          <w:lang w:val="uk-UA" w:eastAsia="uk-UA"/>
        </w:rPr>
        <w:t xml:space="preserve"> </w:t>
      </w:r>
      <w:r w:rsidR="005F048D" w:rsidRPr="00511005">
        <w:rPr>
          <w:rFonts w:ascii="Arial" w:eastAsia="Times New Roman" w:hAnsi="Arial" w:cs="Arial"/>
          <w:i/>
          <w:szCs w:val="28"/>
          <w:lang w:val="uk-UA" w:eastAsia="uk-UA"/>
        </w:rPr>
        <w:t>Іліопол І.М.</w:t>
      </w:r>
    </w:p>
    <w:p w14:paraId="1D0FA1C9"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7BBE515D"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3227E230" w14:textId="77777777" w:rsidR="007B2628" w:rsidRPr="00511005" w:rsidRDefault="007B2628" w:rsidP="003A292D">
      <w:pPr>
        <w:spacing w:line="264" w:lineRule="auto"/>
        <w:ind w:firstLine="0"/>
        <w:jc w:val="left"/>
        <w:rPr>
          <w:rFonts w:ascii="Arial" w:eastAsia="Times New Roman" w:hAnsi="Arial" w:cs="Arial"/>
          <w:szCs w:val="28"/>
          <w:lang w:val="uk-UA" w:eastAsia="uk-UA"/>
        </w:rPr>
      </w:pPr>
    </w:p>
    <w:p w14:paraId="0E9311EF" w14:textId="12391002" w:rsidR="005F048D" w:rsidRPr="00511005" w:rsidRDefault="005F048D" w:rsidP="003A292D">
      <w:pPr>
        <w:spacing w:line="264" w:lineRule="auto"/>
        <w:ind w:right="1134"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Король Андрій Сергійович</w:t>
      </w:r>
    </w:p>
    <w:p w14:paraId="3DF87778" w14:textId="6A67A51F"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студент 1-го курсу магістратури</w:t>
      </w:r>
    </w:p>
    <w:p w14:paraId="000C03C6"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7F979DA"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E8309CE"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341C1C8C"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РЕАЛІЗАЦІЯ ДІЇ ПРИНЦИПУ ПРОЦЕСУАЛЬНОЇ ЕКОНОМІЇ</w:t>
      </w:r>
    </w:p>
    <w:p w14:paraId="357FF25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В часи сучасних викликів, які неодмінно впливають на державу в цілому та на судову систему зокрема, важливо досягнути певного балансу між прийняттям справедливих і об’єктивних судових рішень та оперативністю прийняття таких рішень. Тому, важливу роль відіграють принципи цивільного судочинства, але в нашій науковій роботі ми звернемо увагу на принцип процесуальної економії.</w:t>
      </w:r>
    </w:p>
    <w:p w14:paraId="087FBD89" w14:textId="5FF2AE5D"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Слід зазначити, що принципи цивільного процесуального права – це основоположні ідеї, які закріплені в нормах цивільно-процесуального законодавства.</w:t>
      </w:r>
      <w:r w:rsidR="007B2628" w:rsidRPr="00511005">
        <w:rPr>
          <w:rFonts w:ascii="Arial" w:eastAsia="Times New Roman" w:hAnsi="Arial" w:cs="Arial"/>
          <w:szCs w:val="28"/>
          <w:lang w:val="uk-UA" w:eastAsia="uk-UA"/>
        </w:rPr>
        <w:t xml:space="preserve"> </w:t>
      </w:r>
    </w:p>
    <w:p w14:paraId="2796D56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Процесуальна економія - це ідея, спрямована на підвищення ефективності процесуальної форми шляхом її раціоналізації через пришвидшення, спрощення та здешевлення. [1, с. 8].</w:t>
      </w:r>
    </w:p>
    <w:p w14:paraId="6085F02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Безпосередньо принцип процесуальної економії не закріплено в чинному Цивільно-процесуальному кодексі України (далі – ЦПК), що і є негативним фактором. Звернувши увагу на частину 3, статті 2 ЦПК ми бачимо, що законодавець закріпив дванадцять основних засад цивільного судочинства, однак, як вже зазначали, що принцип нашого дослідження в цьому переліку відсутній. [2].</w:t>
      </w:r>
    </w:p>
    <w:p w14:paraId="0D5B5EFE" w14:textId="45FDD99B"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Проте, варто зауважити, що принцип процесуальної економії частково «випливає» із інших принципів ЦПК. Коханська М.Л. зазначала, що: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«Відповідно до чинного національного законодавства процесуальна економія відображається через вимоги своєчасності та доступності судочинства (простота процесуальних засобів, оптимальна вартість процесу, врахування інтересів бідних верств населення тощо), що за умови дотримання всіма суб’єктами процесу цивільної процесуальної форми, недопустимості зловживання правами, неупередженості суду у здійсненні судочинства та застосування дискреційних повноважень забезпечує ефективність судочинства».[3, с. 17]. </w:t>
      </w:r>
    </w:p>
    <w:p w14:paraId="0557E0B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Проаналізувавши цивільно-процесуальне законодавство України, ми дійшли висновку, що існує декілька реально діючих інститутів, через які реалізується принцип процесуальної економії.</w:t>
      </w:r>
    </w:p>
    <w:p w14:paraId="17536C13" w14:textId="17D51B08"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По-перше, це наявність примирних процедур. До них відноситься: мирова угода, врегулювання спору за участі судді, медіація. Коротко розглянемо ці процедури зі сторони ефективності даного принципу. Мирова угода, це однозначно економія часу, оскільки, якщо сторони домовилися про компроміс, то суд затверджує таку ухвалу і закриває провадження. Врегулювання спору за участі судді, також спряє процесуальній економії. Суддя разом із сторонами проводять спільні наради під час яких намагаються вирішити спір. Наявні позитивні фактори у вигляді швидкості вирішення спору, а також економії коштів. Наступне, медіація, вона значною мірою є швидшою процедурою аніж судовий розгляд. Оскільки під час медіаційної процедури суддя може не залучатися до такого процесу. Проте, сторони мають можливість подати медіаційну угоду до суду для затвердження як мирової угоди.</w:t>
      </w:r>
      <w:r w:rsidR="007B2628" w:rsidRPr="00511005">
        <w:rPr>
          <w:rFonts w:ascii="Arial" w:eastAsia="Times New Roman" w:hAnsi="Arial" w:cs="Arial"/>
          <w:szCs w:val="28"/>
          <w:lang w:val="uk-UA" w:eastAsia="uk-UA"/>
        </w:rPr>
        <w:t xml:space="preserve"> </w:t>
      </w:r>
    </w:p>
    <w:p w14:paraId="7665C7D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По-друге, звертаємо увагу на інститут електронного судочинства, подання в електронному вигляді процесуальних документів, використання засобів доказування в електронному вигляді, проведення судового засідання в режимі відеоконференції, переведення документообігу в електронну форму, доступ до матеріалів справи через електронний кабінет учасниками судового розгляду, надсилання електронних судових повісток і так далі, це все сприяє реалізації принципу процесуальної економії. Варто зазначити, що саме в цивільному судочинстві серед всіх інших галузей процесуального права найбільш розвинений інститут доказування в електронному вигляді.</w:t>
      </w:r>
    </w:p>
    <w:p w14:paraId="39B0E3D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По-третє, існує такий негативний фактор як штучне подвоєння судового процесу, тому засада процесуальної економії покликана запобігати цій проблемі. Під таким явище розуміється, вирішення одного спору у декількох судових справах в одній чи декількох судових юрисдикціях.</w:t>
      </w:r>
    </w:p>
    <w:p w14:paraId="522098E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своїй практиці Верховний Суд звертає увагу на цю проблематику, це стосується не тільки цивільного судочинства, а ще й інших видів </w:t>
      </w:r>
      <w:r w:rsidRPr="00511005">
        <w:rPr>
          <w:rFonts w:ascii="Arial" w:eastAsia="Times New Roman" w:hAnsi="Arial" w:cs="Arial"/>
          <w:szCs w:val="28"/>
          <w:lang w:val="uk-UA" w:eastAsia="uk-UA"/>
        </w:rPr>
        <w:lastRenderedPageBreak/>
        <w:t xml:space="preserve">судочинства. Оскільки дана проблематика є розповсюдженою. Наприклад, Велика Палата Верховного Суду у своєму рішенні від 26.01.2021 № 522/1528/15-ц також звертає увагу на важливість дотримання принципу процесуальної економії, відповідно до якого штучне подвоєння судового процесу є неприпустимим.[4]. В цій же постанові Верховний Суд посилається на інші рішення, які регулюють таку ж проблематику. Зокрема, це такі рішення: постанова Великої Палати Верховного Суду від 28 січня 2020 року у справі N 50/311-б, провадження N 12-143гс19[5], постанова Великої Палати Верховного Суду від 22 вересня 2020 року у справі N 910/3009/18, провадження N 12-204гс19[6]. </w:t>
      </w:r>
    </w:p>
    <w:p w14:paraId="47959BF2"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По-четверте, наявність різних видів проваджень в цивільному судочинстві. Застосування таких проваджень значною мірою скорочує строки розгляду, а також зменшує процесуальні витрати.</w:t>
      </w:r>
    </w:p>
    <w:p w14:paraId="518C7332" w14:textId="43CF9F98"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По-п’яте, не менш важлива активна участь судді під час судового процесу. Суддя повинен чітко керувати процесом, а також вимагати дотримання порядку. Цей фактор також сприяє на оперативний та ефективний розгляд справи.</w:t>
      </w:r>
      <w:r w:rsidR="007B2628" w:rsidRPr="00511005">
        <w:rPr>
          <w:rFonts w:ascii="Arial" w:eastAsia="Times New Roman" w:hAnsi="Arial" w:cs="Arial"/>
          <w:szCs w:val="28"/>
          <w:lang w:val="uk-UA" w:eastAsia="uk-UA"/>
        </w:rPr>
        <w:t xml:space="preserve"> </w:t>
      </w:r>
    </w:p>
    <w:p w14:paraId="142C2EAB"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Також звертаємо увагу на технологічний аспект, а саме оновлення та покращення матеріальної бази судової системи. Держава та судові органи намагаються удосконалювати технічні можливості суду. Такі дії також впливають на процесуальну економію, адже цифровізація та оптимізація будуть сприяти пришвидшенню судочинства, що в свою чергу зменшить навантаження на судову систему.</w:t>
      </w:r>
    </w:p>
    <w:p w14:paraId="7E070001" w14:textId="2E7F0E6E"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Все-таки, основне завдання принципу процесуальної економії, це пришвидшення розгляду справи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та зменшення судових витрат. Така теза випливає із ухвали Верховного Суду від 24 травня 2021 року у справі № 9901/20/21. [7].</w:t>
      </w:r>
    </w:p>
    <w:p w14:paraId="6D9814CE" w14:textId="1107E375"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Отже, підсумовуючи слід зазначити, що принцип процесуальної економії відіграє важливу роль під час здійснення правосуддя. Завдяки цій засаді усуваються перешкоди, які негативно впливають на судочинство. Особливу важливість даного принципу ми спостерігаємо сучасних умовах. Надалі важливість процесуальної економії тільки зросте, тому, вважаєм за доцільне, закріпити даний принцип на законодавчому рівні, адже тільки тоді він набуде більшої сили та буде в повній мірі легітимним. Однак, варто зауважити, що до вирішення даної проблеми, себто для покращення реалізації дії принципу процесуальної економії потрібно застосовувати комплексні рішення. Хоча, ми можемо спостерігати те, що законодавство сприяє розвитку даному принципу.</w:t>
      </w:r>
      <w:r w:rsidR="007B2628" w:rsidRPr="00511005">
        <w:rPr>
          <w:rFonts w:ascii="Arial" w:eastAsia="Times New Roman" w:hAnsi="Arial" w:cs="Arial"/>
          <w:szCs w:val="28"/>
          <w:lang w:val="uk-UA" w:eastAsia="uk-UA"/>
        </w:rPr>
        <w:t xml:space="preserve"> </w:t>
      </w:r>
    </w:p>
    <w:p w14:paraId="7E631925" w14:textId="77777777" w:rsidR="005F048D" w:rsidRPr="00511005" w:rsidRDefault="005F048D" w:rsidP="003A292D">
      <w:pPr>
        <w:spacing w:line="264" w:lineRule="auto"/>
        <w:ind w:firstLine="0"/>
        <w:jc w:val="left"/>
        <w:rPr>
          <w:rFonts w:ascii="Arial" w:eastAsia="Times New Roman" w:hAnsi="Arial" w:cs="Arial"/>
          <w:b/>
          <w:szCs w:val="28"/>
          <w:lang w:val="uk-UA" w:eastAsia="uk-UA"/>
        </w:rPr>
      </w:pPr>
    </w:p>
    <w:p w14:paraId="589CAF76" w14:textId="43CD62E4" w:rsidR="007B2628" w:rsidRPr="00511005" w:rsidRDefault="007B2628" w:rsidP="007B2628">
      <w:pPr>
        <w:spacing w:line="264" w:lineRule="auto"/>
        <w:ind w:firstLine="851"/>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3CB3B81B" w14:textId="3F1D0D86" w:rsidR="005F048D" w:rsidRPr="00511005" w:rsidRDefault="005F048D" w:rsidP="003A292D">
      <w:pPr>
        <w:tabs>
          <w:tab w:val="left" w:pos="2201"/>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1. Канюка І.М. Принцип процесуальної економії в кримінальному судочинстві України: автореф. дис. …канд. юрид. наук. Одеса, 2015. 20 с.</w:t>
      </w:r>
    </w:p>
    <w:p w14:paraId="55AAA9CA" w14:textId="162E7923"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2. Цивільний процесуальний кодекс України: Закон України від 18.03.2004 р.</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1618-ІV. Верховна Рада України.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URL: -</w:t>
      </w:r>
      <w:hyperlink r:id="rId1427">
        <w:r w:rsidRPr="00511005">
          <w:rPr>
            <w:rFonts w:ascii="Arial" w:eastAsia="Times New Roman" w:hAnsi="Arial" w:cs="Arial"/>
            <w:szCs w:val="28"/>
            <w:lang w:val="uk-UA" w:eastAsia="uk-UA"/>
          </w:rPr>
          <w:t>https://zakon.rada.gov.ua/laws/show/1618-15#Text</w:t>
        </w:r>
      </w:hyperlink>
      <w:r w:rsidRPr="00511005">
        <w:rPr>
          <w:rFonts w:ascii="Arial" w:eastAsia="Times New Roman" w:hAnsi="Arial" w:cs="Arial"/>
          <w:szCs w:val="28"/>
          <w:lang w:val="uk-UA" w:eastAsia="uk-UA"/>
        </w:rPr>
        <w:t xml:space="preserve"> (дата звернення: 25.05.2025) </w:t>
      </w:r>
    </w:p>
    <w:p w14:paraId="0F409D40" w14:textId="1FA402F1"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3. Коханська М. Принципи цивільного судочинства, які забезпечують своєчасність судового розгляду. Підприємництво господарство і право. 2018. № 9. С. 14–18. URL:</w:t>
      </w:r>
      <w:r w:rsidR="007B2628" w:rsidRPr="00511005">
        <w:rPr>
          <w:rFonts w:ascii="Arial" w:eastAsia="Times New Roman" w:hAnsi="Arial" w:cs="Arial"/>
          <w:szCs w:val="28"/>
          <w:lang w:val="uk-UA" w:eastAsia="uk-UA"/>
        </w:rPr>
        <w:t xml:space="preserve"> </w:t>
      </w:r>
      <w:hyperlink r:id="rId1428">
        <w:r w:rsidRPr="00511005">
          <w:rPr>
            <w:rFonts w:ascii="Arial" w:eastAsia="Times New Roman" w:hAnsi="Arial" w:cs="Arial"/>
            <w:szCs w:val="28"/>
            <w:lang w:val="uk-UA" w:eastAsia="uk-UA"/>
          </w:rPr>
          <w:t>https://dspace.univd.edu.ua/server/api/core/bitstreams/49ea9659-b430-43e0-ab68-a2ebcd033eca/content</w:t>
        </w:r>
      </w:hyperlink>
    </w:p>
    <w:p w14:paraId="3CDD652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Постанова ВП ВС від 26.01.2021 у справі № 522/1528/15-ц (провадження № 14-67цс20). URL: </w:t>
      </w:r>
      <w:hyperlink r:id="rId1429">
        <w:r w:rsidRPr="00511005">
          <w:rPr>
            <w:rFonts w:ascii="Arial" w:eastAsia="Times New Roman" w:hAnsi="Arial" w:cs="Arial"/>
            <w:szCs w:val="28"/>
            <w:lang w:val="uk-UA" w:eastAsia="uk-UA"/>
          </w:rPr>
          <w:t>https://verdictum.ligazakon.net/document/95509407?utm_source=jurliga.ligazakon.ua&amp;utm_medium=news&amp;utm_con</w:t>
        </w:r>
      </w:hyperlink>
      <w:r w:rsidRPr="00511005">
        <w:rPr>
          <w:rFonts w:ascii="Arial" w:eastAsia="Times New Roman" w:hAnsi="Arial" w:cs="Arial"/>
          <w:szCs w:val="28"/>
          <w:lang w:val="uk-UA" w:eastAsia="uk-UA"/>
        </w:rPr>
        <w:t>=</w:t>
      </w:r>
    </w:p>
    <w:p w14:paraId="147F9A1D" w14:textId="2AEC0538"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5. Постанова ВП ВС</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від 28 січня 2020 року у справі N 50/311-б (провадження № 12-143гс19). URL: </w:t>
      </w:r>
      <w:hyperlink r:id="rId1430">
        <w:r w:rsidRPr="00511005">
          <w:rPr>
            <w:rFonts w:ascii="Arial" w:eastAsia="Times New Roman" w:hAnsi="Arial" w:cs="Arial"/>
            <w:szCs w:val="28"/>
            <w:lang w:val="uk-UA" w:eastAsia="uk-UA"/>
          </w:rPr>
          <w:t>https://zakononline.com.ua/court-decisions/show/87857857</w:t>
        </w:r>
      </w:hyperlink>
    </w:p>
    <w:p w14:paraId="7E47FC6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6. Постанова ВП ВС від 22 вересня 2020 року у справі N 910/3009/18 (провадження № 12-204гс19). URL: </w:t>
      </w:r>
      <w:hyperlink r:id="rId1431">
        <w:r w:rsidRPr="00511005">
          <w:rPr>
            <w:rFonts w:ascii="Arial" w:eastAsia="Times New Roman" w:hAnsi="Arial" w:cs="Arial"/>
            <w:szCs w:val="28"/>
            <w:lang w:val="uk-UA" w:eastAsia="uk-UA"/>
          </w:rPr>
          <w:t>https://verdictum.ligazakon.net/document/91901363</w:t>
        </w:r>
      </w:hyperlink>
    </w:p>
    <w:p w14:paraId="2AAC2D7B" w14:textId="43FDF268"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7. Ухвала ВС від 24 травня 2021 року у справі № 9901/20/21 (провадження № П/9901/20/21).</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URL: </w:t>
      </w:r>
      <w:hyperlink r:id="rId1432">
        <w:r w:rsidRPr="00511005">
          <w:rPr>
            <w:rFonts w:ascii="Arial" w:eastAsia="Times New Roman" w:hAnsi="Arial" w:cs="Arial"/>
            <w:szCs w:val="28"/>
            <w:lang w:val="uk-UA" w:eastAsia="uk-UA"/>
          </w:rPr>
          <w:t>https://verdictum.ligazakon.net/document/97114087</w:t>
        </w:r>
      </w:hyperlink>
    </w:p>
    <w:p w14:paraId="2A59849A" w14:textId="17CA1A66" w:rsidR="005F048D" w:rsidRPr="00511005" w:rsidRDefault="005F048D" w:rsidP="003A292D">
      <w:pPr>
        <w:spacing w:line="264" w:lineRule="auto"/>
        <w:ind w:firstLine="720"/>
        <w:rPr>
          <w:rFonts w:ascii="Arial" w:eastAsia="Times New Roman" w:hAnsi="Arial" w:cs="Arial"/>
          <w:szCs w:val="28"/>
          <w:lang w:val="uk-UA" w:eastAsia="uk-UA"/>
        </w:rPr>
      </w:pPr>
      <w:r w:rsidRPr="00170723">
        <w:rPr>
          <w:rFonts w:ascii="Arial" w:eastAsia="Times New Roman" w:hAnsi="Arial" w:cs="Arial"/>
          <w:b/>
          <w:i/>
          <w:iCs/>
          <w:szCs w:val="28"/>
          <w:lang w:val="uk-UA" w:eastAsia="uk-UA"/>
        </w:rPr>
        <w:t>Ключові слова:</w:t>
      </w:r>
      <w:r w:rsidRPr="00511005">
        <w:rPr>
          <w:rFonts w:ascii="Arial" w:eastAsia="Times New Roman" w:hAnsi="Arial" w:cs="Arial"/>
          <w:szCs w:val="28"/>
          <w:lang w:val="uk-UA" w:eastAsia="uk-UA"/>
        </w:rPr>
        <w:t xml:space="preserve"> принцип,</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процесуальна економія, цивільне судочинство.</w:t>
      </w:r>
    </w:p>
    <w:p w14:paraId="4740D545" w14:textId="3F636730" w:rsidR="005F048D" w:rsidRPr="00511005" w:rsidRDefault="005F048D" w:rsidP="003A292D">
      <w:pPr>
        <w:spacing w:line="264" w:lineRule="auto"/>
        <w:ind w:firstLine="720"/>
        <w:rPr>
          <w:rFonts w:ascii="Arial" w:eastAsia="Times New Roman" w:hAnsi="Arial" w:cs="Arial"/>
          <w:szCs w:val="28"/>
          <w:lang w:val="uk-UA" w:eastAsia="uk-UA"/>
        </w:rPr>
      </w:pPr>
      <w:r w:rsidRPr="00170723">
        <w:rPr>
          <w:rFonts w:ascii="Arial" w:eastAsia="Times New Roman" w:hAnsi="Arial" w:cs="Arial"/>
          <w:b/>
          <w:i/>
          <w:iCs/>
          <w:szCs w:val="28"/>
          <w:lang w:val="uk-UA" w:eastAsia="uk-UA"/>
        </w:rPr>
        <w:t>Key words:</w:t>
      </w:r>
      <w:r w:rsidRPr="00170723">
        <w:rPr>
          <w:rFonts w:ascii="Arial" w:eastAsia="Times New Roman" w:hAnsi="Arial" w:cs="Arial"/>
          <w:i/>
          <w:iCs/>
          <w:szCs w:val="28"/>
          <w:lang w:val="uk-UA" w:eastAsia="uk-UA"/>
        </w:rPr>
        <w:t xml:space="preserve"> </w:t>
      </w:r>
      <w:r w:rsidRPr="00511005">
        <w:rPr>
          <w:rFonts w:ascii="Arial" w:eastAsia="Times New Roman" w:hAnsi="Arial" w:cs="Arial"/>
          <w:szCs w:val="28"/>
          <w:lang w:val="uk-UA" w:eastAsia="uk-UA"/>
        </w:rPr>
        <w:t>principle,</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procedural economy, civil proceedings.</w:t>
      </w:r>
    </w:p>
    <w:p w14:paraId="4EE41DB6" w14:textId="5E41F751" w:rsidR="007B2628" w:rsidRDefault="007B2628" w:rsidP="003A292D">
      <w:pPr>
        <w:spacing w:line="264" w:lineRule="auto"/>
        <w:ind w:firstLine="72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w:t>
      </w:r>
      <w:r w:rsidR="005F048D" w:rsidRPr="00511005">
        <w:rPr>
          <w:rFonts w:ascii="Arial" w:eastAsia="Times New Roman" w:hAnsi="Arial" w:cs="Arial"/>
          <w:szCs w:val="28"/>
          <w:lang w:val="uk-UA" w:eastAsia="uk-UA"/>
        </w:rPr>
        <w:t xml:space="preserve"> </w:t>
      </w:r>
      <w:r w:rsidR="005F048D" w:rsidRPr="00511005">
        <w:rPr>
          <w:rFonts w:ascii="Arial" w:eastAsia="Times New Roman" w:hAnsi="Arial" w:cs="Arial"/>
          <w:i/>
          <w:szCs w:val="28"/>
          <w:lang w:val="uk-UA" w:eastAsia="uk-UA"/>
        </w:rPr>
        <w:t>Яніцька І.А.</w:t>
      </w:r>
    </w:p>
    <w:p w14:paraId="23B9CBE6" w14:textId="29CFF87E" w:rsidR="007E6CF0" w:rsidRDefault="007E6CF0" w:rsidP="003A292D">
      <w:pPr>
        <w:spacing w:line="264" w:lineRule="auto"/>
        <w:ind w:firstLine="720"/>
        <w:rPr>
          <w:rFonts w:ascii="Arial" w:eastAsia="Times New Roman" w:hAnsi="Arial" w:cs="Arial"/>
          <w:i/>
          <w:szCs w:val="28"/>
          <w:lang w:val="uk-UA" w:eastAsia="uk-UA"/>
        </w:rPr>
      </w:pPr>
    </w:p>
    <w:p w14:paraId="2A7CCD9F" w14:textId="77777777" w:rsidR="007E6CF0" w:rsidRPr="00511005" w:rsidRDefault="007E6CF0" w:rsidP="003A292D">
      <w:pPr>
        <w:spacing w:line="264" w:lineRule="auto"/>
        <w:ind w:firstLine="720"/>
        <w:rPr>
          <w:rFonts w:ascii="Arial" w:eastAsia="Times New Roman" w:hAnsi="Arial" w:cs="Arial"/>
          <w:i/>
          <w:szCs w:val="28"/>
          <w:lang w:val="uk-UA" w:eastAsia="uk-UA"/>
        </w:rPr>
      </w:pPr>
    </w:p>
    <w:p w14:paraId="207F24F4" w14:textId="0E041D48" w:rsidR="005F048D" w:rsidRPr="007E6CF0" w:rsidRDefault="005F048D" w:rsidP="003A292D">
      <w:pPr>
        <w:spacing w:line="264" w:lineRule="auto"/>
        <w:ind w:firstLine="0"/>
        <w:jc w:val="center"/>
        <w:rPr>
          <w:rFonts w:ascii="Arial" w:eastAsia="Times New Roman" w:hAnsi="Arial" w:cs="Arial"/>
          <w:b/>
          <w:i/>
          <w:iCs/>
          <w:szCs w:val="28"/>
          <w:lang w:val="uk-UA" w:eastAsia="uk-UA"/>
        </w:rPr>
      </w:pPr>
      <w:r w:rsidRPr="007E6CF0">
        <w:rPr>
          <w:rFonts w:ascii="Arial" w:eastAsia="Times New Roman" w:hAnsi="Arial" w:cs="Arial"/>
          <w:b/>
          <w:i/>
          <w:iCs/>
          <w:szCs w:val="28"/>
          <w:lang w:val="uk-UA" w:eastAsia="uk-UA"/>
        </w:rPr>
        <w:t xml:space="preserve">Кривінок Вікторія Андріївна </w:t>
      </w:r>
    </w:p>
    <w:p w14:paraId="09D8042D" w14:textId="10E90A0E" w:rsidR="005F048D" w:rsidRPr="007E6CF0" w:rsidRDefault="00536AAB" w:rsidP="003A292D">
      <w:pPr>
        <w:spacing w:line="264" w:lineRule="auto"/>
        <w:ind w:firstLine="0"/>
        <w:jc w:val="center"/>
        <w:rPr>
          <w:rFonts w:ascii="Arial" w:eastAsia="Times New Roman" w:hAnsi="Arial" w:cs="Arial"/>
          <w:iCs/>
          <w:szCs w:val="28"/>
          <w:lang w:val="uk-UA" w:eastAsia="uk-UA"/>
        </w:rPr>
      </w:pPr>
      <w:r w:rsidRPr="007E6CF0">
        <w:rPr>
          <w:rFonts w:ascii="Arial" w:eastAsia="Times New Roman" w:hAnsi="Arial" w:cs="Arial"/>
          <w:iCs/>
          <w:szCs w:val="28"/>
          <w:lang w:val="uk-UA" w:eastAsia="uk-UA"/>
        </w:rPr>
        <w:t xml:space="preserve">студентка 3-го курсу </w:t>
      </w:r>
      <w:r w:rsidR="005F048D" w:rsidRPr="007E6CF0">
        <w:rPr>
          <w:rFonts w:ascii="Arial" w:eastAsia="Times New Roman" w:hAnsi="Arial" w:cs="Arial"/>
          <w:iCs/>
          <w:szCs w:val="28"/>
          <w:lang w:val="uk-UA" w:eastAsia="uk-UA"/>
        </w:rPr>
        <w:t>факультету цивільної та господарської юстиції</w:t>
      </w:r>
    </w:p>
    <w:p w14:paraId="3F24F2B6" w14:textId="573384E4" w:rsidR="005F048D" w:rsidRDefault="005F048D" w:rsidP="003A292D">
      <w:pPr>
        <w:spacing w:line="264" w:lineRule="auto"/>
        <w:ind w:right="-46" w:firstLine="0"/>
        <w:jc w:val="center"/>
        <w:rPr>
          <w:rFonts w:ascii="Arial" w:eastAsia="Times New Roman" w:hAnsi="Arial" w:cs="Arial"/>
          <w:iCs/>
          <w:szCs w:val="28"/>
          <w:lang w:val="uk-UA" w:eastAsia="uk-UA"/>
        </w:rPr>
      </w:pPr>
      <w:r w:rsidRPr="007E6CF0">
        <w:rPr>
          <w:rFonts w:ascii="Arial" w:eastAsia="Times New Roman" w:hAnsi="Arial" w:cs="Arial"/>
          <w:iCs/>
          <w:szCs w:val="28"/>
          <w:lang w:val="uk-UA" w:eastAsia="uk-UA"/>
        </w:rPr>
        <w:t>Націoнальнoгo університету «Oдеська юридична академія»</w:t>
      </w:r>
    </w:p>
    <w:p w14:paraId="6E7DF571" w14:textId="77777777" w:rsidR="007E6CF0" w:rsidRPr="007E6CF0" w:rsidRDefault="007E6CF0" w:rsidP="003A292D">
      <w:pPr>
        <w:spacing w:line="264" w:lineRule="auto"/>
        <w:ind w:right="-46" w:firstLine="0"/>
        <w:jc w:val="center"/>
        <w:rPr>
          <w:rFonts w:ascii="Arial" w:eastAsia="Times New Roman" w:hAnsi="Arial" w:cs="Arial"/>
          <w:iCs/>
          <w:szCs w:val="28"/>
          <w:lang w:val="uk-UA" w:eastAsia="uk-UA"/>
        </w:rPr>
      </w:pPr>
    </w:p>
    <w:p w14:paraId="07800B15"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ПІДГОТОВЧЕ ПРОВАДЖЕННЯ У ЦИВІЛЬНОМУ СУДОЧИНСВІ</w:t>
      </w:r>
    </w:p>
    <w:p w14:paraId="5635EBBC" w14:textId="713DEF5A"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Підготовче провадження є окремою стадією цивільного процесу, яка охоплює комплекс процесуальних дій, що виконуються судом та учасниками справи після відкриття провадження, і є обов’язковим етапом у розгляді справ за правилами загального позовного провадження, оскільки саме в цьому провадженні розглядаються найбільш складні цивільні справи, що потребують ретельної підготовки перед розглядом по суті.</w:t>
      </w:r>
    </w:p>
    <w:p w14:paraId="6DA17398"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 практиці підготовче провадження у цивільному судочинстві часто стикається з проблемами затягування строків, недостатньої активності сторін та недосконалості врегулювання спорів за участю судді. Також </w:t>
      </w:r>
      <w:r w:rsidRPr="00511005">
        <w:rPr>
          <w:rFonts w:ascii="Arial" w:eastAsia="Times New Roman" w:hAnsi="Arial" w:cs="Arial"/>
          <w:szCs w:val="28"/>
          <w:lang w:val="uk-UA" w:eastAsia="uk-UA"/>
        </w:rPr>
        <w:lastRenderedPageBreak/>
        <w:t>виникають труднощі з правильним визначенням учасників справи і збором доказів, що впливає на ефективність та справедливість судового розгляду</w:t>
      </w:r>
    </w:p>
    <w:p w14:paraId="65DC886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Мета підготовчого провадження полягає у з'ясуванні можливості врегулювання спору до судового розгляду або у забезпеченні належного, своєчасного і безперешкодного розгляду справи по суті. Належний і своєчасний розгляд справи по суті забезпечує ухвалення законного та обґрунтованого судового рішення з дотриманням встановлених процесуальних строків. Водночас безперешкодний розгляд означає усунення можливих перешкод, які могли б завадити правильному та своєчасному вирішенню справи. [3]</w:t>
      </w:r>
    </w:p>
    <w:p w14:paraId="586AA15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Завдання підготовчого провадження полягають у здійсненні судом і учасниками процесу відповідних процесуальних дій. Законодавче закріплення цих завдань слугує орієнтиром для суду та сторін у виборі необхідних підготовчих дій. У межах цього етапу суд має вирішити низку процедурних питань, які є важливими для належного та безперешкодного розгляду справи по суті. Зокрема, це стосується визначення складу учасників процесу, дослідження доказів, розгляду клопотань, заперечень та уточнення позицій сторін щодо суті спору.</w:t>
      </w:r>
    </w:p>
    <w:p w14:paraId="0DBBE44B"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Підготовче провадження відкривається ухвалою суду, у якій зазначаються: визначення складу учасників процесу; встановлення строків для подання доказів; вирішення питання щодо можливого врегулювання спору мирним шляхом; визначення порядку дослідження доказів; строки подання відповіді на відзив, заперечень та пояснень третіх осіб; вирішення питань щодо забезпечення доказів та позову; з’ясування можливості залучення до справи третіх осіб, заміни неналежного відповідача або залучення співвідповідача; інші питання, необхідні для належної організації судового розгляду. [4]</w:t>
      </w:r>
    </w:p>
    <w:p w14:paraId="7C31BD6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На цій стадії суд зобов’язаний вжити заходів для з’ясування позицій сторін та вирішення всіх процесуальних питань, які можуть вплинути на хід розгляду справи. Це включає вирішення питань щодо залучення третіх осіб, витребування доказів, призначення експертизи, розгляду клопотань учасників процесу.</w:t>
      </w:r>
    </w:p>
    <w:p w14:paraId="1B3B0B8E"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Ухвала про відкриття провадження надсилається учасникам справи. Разом із нею учасники отримують копію позовної заяви та додані документи. Відповідач має право подати суду відзив, докази, висновки експертів та заяви свідків, а також надіслати копії цих документів позивачу, іншим відповідачам і третім особам. Якщо відзив не подано без поважних причин, суд може вирішити спір на основі наявних матеріалів.</w:t>
      </w:r>
    </w:p>
    <w:p w14:paraId="43370DD8"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Треті особи, які не заявляють самостійних вимог, можуть подати письмові пояснення щодо позову чи відзиву, а учасники справи — надати відповідь на них до закінчення підготовчого провадження. Відповідач може </w:t>
      </w:r>
      <w:r w:rsidRPr="00511005">
        <w:rPr>
          <w:rFonts w:ascii="Arial" w:eastAsia="Times New Roman" w:hAnsi="Arial" w:cs="Arial"/>
          <w:szCs w:val="28"/>
          <w:lang w:val="uk-UA" w:eastAsia="uk-UA"/>
        </w:rPr>
        <w:lastRenderedPageBreak/>
        <w:t xml:space="preserve">подати зустрічний позов у строк для відзиву. Його розгляд об’єднується з первісним позовом, якщо між ними є взаємозв’язок. </w:t>
      </w:r>
    </w:p>
    <w:p w14:paraId="321AE758"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Строки проведення підготовчого провадження визначені статтею 189 ЦПК України. Відповідно до цієї норми підготовче провадження починається з відкриття провадження у справі та завершується закриттям підготовчого засідання. Його слід провести в межах 60 днів з моменту відкриття провадження, а в особливих випадках цей строк може бути продовжений на 30 днів за клопотанням сторін або з ініціативи суду. [2]</w:t>
      </w:r>
    </w:p>
    <w:p w14:paraId="4D29E692"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szCs w:val="28"/>
          <w:lang w:val="uk-UA" w:eastAsia="uk-UA"/>
        </w:rPr>
        <w:tab/>
      </w:r>
      <w:r w:rsidRPr="00511005">
        <w:rPr>
          <w:rFonts w:ascii="Arial" w:eastAsia="Times New Roman" w:hAnsi="Arial" w:cs="Arial"/>
          <w:szCs w:val="28"/>
          <w:lang w:val="uk-UA" w:eastAsia="uk-UA"/>
        </w:rPr>
        <w:t>Під час проведення підготовчого засідання суд здійснює низку організаційних дій: оголошує склад суду, а також зазначає прізвища, імена та по батькові секретаря судового засідання, перекладача та спеціаліста; перевіряє, чи існують підстави для відводу; з’ясовує, чи мають сторони намір укласти мирову угоду, передати справу на розгляд третейського суду або звернутися до суду для врегулювання спору за участю судді. Для досягнення мети, пов'язаної із здійсненням заходів для врегулювання спору до початку розгляду справи по суті, суд проводить зазначені підготовчі дії, які здійснюються виключно при розгляді справ позовного провадження. [2]</w:t>
      </w:r>
    </w:p>
    <w:p w14:paraId="15EC049C"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Суд має право відкласти підготовче засідання згідно з частиною 2 статті 198 ЦПК України або оголосити перерву відповідно до частини 5 статті 198 ЦПК України. Підготовче засідання може бути відкладено кілька разів, залежно від процесуальних дій, що є нововведенням ЦПК України. Якщо засідання відкладено або перервано, воно продовжується з тієї стадії, на якій було зупинено, що також є новим положенням ЦПК. [2]</w:t>
      </w:r>
    </w:p>
    <w:p w14:paraId="3EB0FF2D" w14:textId="0D266B38"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За підсумками підготовчого засідання суд може: ухвалити рішення про залишення позовної заяви без розгляду, про закриття провадження у справі або про завершення підготовчого провадження та призначення справи до розгляду по суті, якщо не вдалося примирити сторони, але всі необхідні підготовчі дії були виконані. Якщо відповідач визнає позов, суд ухвалює рішення на користь позивача, що завершує розгляд справи. Ухвалення рішення щодо відмови від позову, визнання позову чи укладення мирової угоди відбувається відповідно до порядку, встановленого ЦПК України. [4]</w:t>
      </w:r>
    </w:p>
    <w:p w14:paraId="273A351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На стадії підготовчого провадження учасники процесу здійснюють свої процесуальні права та виконують обов’язки, спрямовані на забезпечення швидкого, ефективного та справедливого розгляду справи. У цьому провадженні беруть участь позивач, відповідач та треті особи, які можуть заявляти або не заявляти самостійні вимоги щодо предмета спору.</w:t>
      </w:r>
    </w:p>
    <w:p w14:paraId="7F149C95"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Наслідками завершення підготовчого провадження є етап, що визначає подальший напрямок справи — перехід до розгляду по суті або припинення провадження. Підготовче провадження завершується, коли всі необхідні процесуальні дії виконані, і справу можна передати до судового розгляду або припинити в разі наявності законних підстав. Суд має право </w:t>
      </w:r>
      <w:r w:rsidRPr="00511005">
        <w:rPr>
          <w:rFonts w:ascii="Arial" w:eastAsia="Times New Roman" w:hAnsi="Arial" w:cs="Arial"/>
          <w:szCs w:val="28"/>
          <w:lang w:val="uk-UA" w:eastAsia="uk-UA"/>
        </w:rPr>
        <w:lastRenderedPageBreak/>
        <w:t>ухвалити рішення про закриття провадження, залишення позову без розгляду або про завершення справи вже на стадії підготовчого провадження, якщо сторони уклали мирову угоду, позивач відмовився від позову або відповідач визнав позовні вимоги.</w:t>
      </w:r>
    </w:p>
    <w:p w14:paraId="54C7F46B"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15F8831E" w14:textId="5CAF21F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Списoк викoристан</w:t>
      </w:r>
      <w:r w:rsidR="00365F78">
        <w:rPr>
          <w:rFonts w:ascii="Arial" w:eastAsia="Times New Roman" w:hAnsi="Arial" w:cs="Arial"/>
          <w:b/>
          <w:szCs w:val="28"/>
          <w:lang w:val="uk-UA" w:eastAsia="uk-UA"/>
        </w:rPr>
        <w:t>их джерел</w:t>
      </w:r>
    </w:p>
    <w:p w14:paraId="79CACBFE"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1.</w:t>
      </w:r>
      <w:r w:rsidRPr="00511005">
        <w:rPr>
          <w:rFonts w:ascii="Arial" w:eastAsia="Times New Roman" w:hAnsi="Arial" w:cs="Arial"/>
          <w:szCs w:val="28"/>
          <w:lang w:val="uk-UA" w:eastAsia="uk-UA"/>
        </w:rPr>
        <w:tab/>
        <w:t>Конституція України. Прийнята на п’ятій сесії Верховної Ради України 28 червня 1996 року // Відомості Верховної Ради України. – 1996. – № 30. – Ст. 141.</w:t>
      </w:r>
    </w:p>
    <w:p w14:paraId="7400D505"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2.</w:t>
      </w:r>
      <w:r w:rsidRPr="00511005">
        <w:rPr>
          <w:rFonts w:ascii="Arial" w:eastAsia="Times New Roman" w:hAnsi="Arial" w:cs="Arial"/>
          <w:szCs w:val="28"/>
          <w:lang w:val="uk-UA" w:eastAsia="uk-UA"/>
        </w:rPr>
        <w:tab/>
        <w:t>Цивільний процесуальний кодекс України: Закон України від 18.03.2004 року № 1618-IV // Відомості Верховної Ради України. – 2004. – № 40-41, 42. – Ст.492.</w:t>
      </w:r>
    </w:p>
    <w:p w14:paraId="5EF9037F"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3.</w:t>
      </w:r>
      <w:r w:rsidRPr="00511005">
        <w:rPr>
          <w:rFonts w:ascii="Arial" w:eastAsia="Times New Roman" w:hAnsi="Arial" w:cs="Arial"/>
          <w:szCs w:val="28"/>
          <w:lang w:val="uk-UA" w:eastAsia="uk-UA"/>
        </w:rPr>
        <w:tab/>
        <w:t xml:space="preserve">Цал-Цалко Ю.Ю. Сутність підготовчого провадження. Часопис цивілістики. 2019. Випуск 34, спецвипуск «Цивільний процес». С. 74-80. URL: </w:t>
      </w:r>
      <w:hyperlink r:id="rId1433">
        <w:r w:rsidRPr="00511005">
          <w:rPr>
            <w:rFonts w:ascii="Arial" w:eastAsia="Times New Roman" w:hAnsi="Arial" w:cs="Arial"/>
            <w:szCs w:val="28"/>
            <w:lang w:val="uk-UA" w:eastAsia="uk-UA"/>
          </w:rPr>
          <w:t>http://clj.nuoua.od.ua/archive/34/16.pdf</w:t>
        </w:r>
      </w:hyperlink>
      <w:r w:rsidRPr="00511005">
        <w:rPr>
          <w:rFonts w:ascii="Arial" w:eastAsia="Times New Roman" w:hAnsi="Arial" w:cs="Arial"/>
          <w:szCs w:val="28"/>
          <w:lang w:val="uk-UA" w:eastAsia="uk-UA"/>
        </w:rPr>
        <w:tab/>
      </w:r>
    </w:p>
    <w:p w14:paraId="12080185"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4.</w:t>
      </w:r>
      <w:r w:rsidRPr="00511005">
        <w:rPr>
          <w:rFonts w:ascii="Arial" w:eastAsia="Times New Roman" w:hAnsi="Arial" w:cs="Arial"/>
          <w:szCs w:val="28"/>
          <w:lang w:val="uk-UA" w:eastAsia="uk-UA"/>
        </w:rPr>
        <w:tab/>
        <w:t>Цивільне процесуальне право України : навчальний посібник / кол. авторів ; за ред. В. О. Кучера, А. О. Дутко. Львів : Львівський державний університет внутрішніх справ, 2023. 728 с.</w:t>
      </w:r>
    </w:p>
    <w:p w14:paraId="582F11BF" w14:textId="60469188" w:rsidR="005F048D" w:rsidRPr="00511005" w:rsidRDefault="007B2628" w:rsidP="003A292D">
      <w:pPr>
        <w:spacing w:line="264" w:lineRule="auto"/>
        <w:ind w:firstLine="708"/>
        <w:jc w:val="left"/>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підготовче провадження, підготовче засідання, загальне позовне провадження, процесуальні дії суду з підготовки справи до судового розгляду, цивільне судочинство.</w:t>
      </w:r>
    </w:p>
    <w:p w14:paraId="20C8C2B3" w14:textId="336DB4BC" w:rsidR="005F048D" w:rsidRPr="00511005" w:rsidRDefault="007B2628" w:rsidP="003A292D">
      <w:pPr>
        <w:spacing w:line="264" w:lineRule="auto"/>
        <w:ind w:firstLine="708"/>
        <w:jc w:val="left"/>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preparatory proceedings, preparatory meeting, general claim proceedings, procedural actions of the court to prepare the case for trial, civil proceedings.</w:t>
      </w:r>
    </w:p>
    <w:p w14:paraId="50E21F99" w14:textId="3E3F00B8" w:rsidR="005F048D" w:rsidRPr="00511005" w:rsidRDefault="007B2628" w:rsidP="003A292D">
      <w:pPr>
        <w:spacing w:line="264" w:lineRule="auto"/>
        <w:ind w:firstLine="708"/>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д.ю.н, професор Волкова Н.В.</w:t>
      </w:r>
    </w:p>
    <w:p w14:paraId="0DE310DE" w14:textId="77777777" w:rsidR="005F048D" w:rsidRPr="00511005" w:rsidRDefault="005F048D" w:rsidP="003A292D">
      <w:pPr>
        <w:spacing w:line="264" w:lineRule="auto"/>
        <w:ind w:firstLine="708"/>
        <w:jc w:val="left"/>
        <w:rPr>
          <w:rFonts w:ascii="Arial" w:eastAsia="Times New Roman" w:hAnsi="Arial" w:cs="Arial"/>
          <w:b/>
          <w:i/>
          <w:szCs w:val="28"/>
          <w:lang w:val="uk-UA" w:eastAsia="uk-UA"/>
        </w:rPr>
      </w:pPr>
    </w:p>
    <w:p w14:paraId="5B0AD7C8" w14:textId="77777777" w:rsidR="005F048D" w:rsidRPr="00511005" w:rsidRDefault="005F048D" w:rsidP="003A292D">
      <w:pPr>
        <w:spacing w:line="264" w:lineRule="auto"/>
        <w:ind w:firstLine="0"/>
        <w:jc w:val="center"/>
        <w:rPr>
          <w:rFonts w:ascii="Arial" w:eastAsia="Arial" w:hAnsi="Arial" w:cs="Arial"/>
          <w:b/>
          <w:i/>
          <w:szCs w:val="28"/>
          <w:lang w:val="uk-UA" w:eastAsia="uk-UA"/>
        </w:rPr>
      </w:pPr>
      <w:r w:rsidRPr="00511005">
        <w:rPr>
          <w:rFonts w:ascii="Arial" w:eastAsia="Arial" w:hAnsi="Arial" w:cs="Arial"/>
          <w:b/>
          <w:i/>
          <w:szCs w:val="28"/>
          <w:lang w:val="uk-UA" w:eastAsia="uk-UA"/>
        </w:rPr>
        <w:t>Клапоущак Дарʼя</w:t>
      </w:r>
    </w:p>
    <w:p w14:paraId="449C7DA4" w14:textId="35B678C3" w:rsidR="007B2628" w:rsidRPr="00511005" w:rsidRDefault="00536AAB" w:rsidP="003A292D">
      <w:pPr>
        <w:spacing w:line="264" w:lineRule="auto"/>
        <w:ind w:firstLine="0"/>
        <w:jc w:val="center"/>
        <w:rPr>
          <w:rFonts w:ascii="Arial" w:eastAsia="Arial" w:hAnsi="Arial" w:cs="Arial"/>
          <w:szCs w:val="28"/>
          <w:lang w:val="uk-UA" w:eastAsia="uk-UA"/>
        </w:rPr>
      </w:pPr>
      <w:r w:rsidRPr="00511005">
        <w:rPr>
          <w:rFonts w:ascii="Arial" w:eastAsia="Arial" w:hAnsi="Arial" w:cs="Arial"/>
          <w:szCs w:val="28"/>
          <w:lang w:val="uk-UA" w:eastAsia="uk-UA"/>
        </w:rPr>
        <w:t>студент 1-го курсу магістратури</w:t>
      </w:r>
    </w:p>
    <w:p w14:paraId="3E67C126" w14:textId="2E5A0B19" w:rsidR="005F048D" w:rsidRPr="00511005" w:rsidRDefault="001B7B25" w:rsidP="003A292D">
      <w:pPr>
        <w:spacing w:line="264" w:lineRule="auto"/>
        <w:ind w:firstLine="0"/>
        <w:jc w:val="center"/>
        <w:rPr>
          <w:rFonts w:ascii="Arial" w:eastAsia="Arial" w:hAnsi="Arial" w:cs="Arial"/>
          <w:szCs w:val="28"/>
          <w:lang w:val="uk-UA" w:eastAsia="uk-UA"/>
        </w:rPr>
      </w:pPr>
      <w:r w:rsidRPr="00511005">
        <w:rPr>
          <w:rFonts w:ascii="Arial" w:eastAsia="Arial" w:hAnsi="Arial" w:cs="Arial"/>
          <w:szCs w:val="28"/>
          <w:lang w:val="uk-UA" w:eastAsia="uk-UA"/>
        </w:rPr>
        <w:t>факультету судового та міжнародного права</w:t>
      </w:r>
    </w:p>
    <w:p w14:paraId="2D699E9B" w14:textId="46B68826" w:rsidR="005F048D" w:rsidRPr="00511005" w:rsidRDefault="007B2628" w:rsidP="003A292D">
      <w:pPr>
        <w:spacing w:line="264" w:lineRule="auto"/>
        <w:ind w:firstLine="0"/>
        <w:jc w:val="center"/>
        <w:rPr>
          <w:rFonts w:ascii="Arial" w:eastAsia="Arial" w:hAnsi="Arial" w:cs="Arial"/>
          <w:szCs w:val="28"/>
          <w:lang w:val="uk-UA" w:eastAsia="uk-UA"/>
        </w:rPr>
      </w:pPr>
      <w:r w:rsidRPr="00511005">
        <w:rPr>
          <w:rFonts w:ascii="Arial" w:eastAsia="Arial" w:hAnsi="Arial" w:cs="Arial"/>
          <w:szCs w:val="28"/>
          <w:lang w:val="uk-UA" w:eastAsia="uk-UA"/>
        </w:rPr>
        <w:t>Національного університету «Одеська юридична академія»</w:t>
      </w:r>
    </w:p>
    <w:p w14:paraId="47F664F1" w14:textId="77777777" w:rsidR="005F048D" w:rsidRPr="00511005" w:rsidRDefault="005F048D" w:rsidP="003A292D">
      <w:pPr>
        <w:spacing w:line="264" w:lineRule="auto"/>
        <w:ind w:firstLine="0"/>
        <w:jc w:val="center"/>
        <w:rPr>
          <w:rFonts w:ascii="Arial" w:eastAsia="Arial" w:hAnsi="Arial" w:cs="Arial"/>
          <w:b/>
          <w:szCs w:val="28"/>
          <w:lang w:val="uk-UA" w:eastAsia="uk-UA"/>
        </w:rPr>
      </w:pPr>
    </w:p>
    <w:p w14:paraId="528B5A13" w14:textId="77777777" w:rsidR="005F048D" w:rsidRPr="00511005" w:rsidRDefault="005F048D" w:rsidP="003A292D">
      <w:pPr>
        <w:spacing w:line="264" w:lineRule="auto"/>
        <w:ind w:firstLine="0"/>
        <w:jc w:val="center"/>
        <w:rPr>
          <w:rFonts w:ascii="Arial" w:eastAsia="Arial" w:hAnsi="Arial" w:cs="Arial"/>
          <w:b/>
          <w:szCs w:val="28"/>
          <w:lang w:val="uk-UA" w:eastAsia="uk-UA"/>
        </w:rPr>
      </w:pPr>
      <w:r w:rsidRPr="00511005">
        <w:rPr>
          <w:rFonts w:ascii="Arial" w:eastAsia="Arial" w:hAnsi="Arial" w:cs="Arial"/>
          <w:b/>
          <w:szCs w:val="28"/>
          <w:lang w:val="uk-UA" w:eastAsia="uk-UA"/>
        </w:rPr>
        <w:t>ЦИВІЛЬНО-ПРОЦЕСУАЛЬНЕ ВІДШКОДУВАННЯ ШКОДИ, ЗАПОДІЯНОЇ АГРЕСІЄЮ РФ: СУЧАСНІ ВИКЛИКИ</w:t>
      </w:r>
    </w:p>
    <w:p w14:paraId="470B73A7" w14:textId="77777777" w:rsidR="005F048D" w:rsidRPr="00511005" w:rsidRDefault="005F048D" w:rsidP="003A292D">
      <w:pPr>
        <w:spacing w:line="264" w:lineRule="auto"/>
        <w:ind w:firstLine="0"/>
        <w:jc w:val="center"/>
        <w:rPr>
          <w:rFonts w:ascii="Arial" w:eastAsia="Arial" w:hAnsi="Arial" w:cs="Arial"/>
          <w:b/>
          <w:szCs w:val="28"/>
          <w:lang w:val="uk-UA" w:eastAsia="uk-UA"/>
        </w:rPr>
      </w:pPr>
    </w:p>
    <w:p w14:paraId="1D60A4F6" w14:textId="77777777" w:rsidR="005F048D" w:rsidRPr="00511005" w:rsidRDefault="005F048D" w:rsidP="003A292D">
      <w:pPr>
        <w:spacing w:line="264" w:lineRule="auto"/>
        <w:ind w:firstLine="851"/>
        <w:rPr>
          <w:rFonts w:ascii="Arial" w:eastAsia="Arial" w:hAnsi="Arial" w:cs="Arial"/>
          <w:szCs w:val="28"/>
          <w:lang w:val="uk-UA" w:eastAsia="uk-UA"/>
        </w:rPr>
      </w:pPr>
      <w:r w:rsidRPr="00511005">
        <w:rPr>
          <w:rFonts w:ascii="Arial" w:eastAsia="Arial" w:hAnsi="Arial" w:cs="Arial"/>
          <w:szCs w:val="28"/>
          <w:lang w:val="uk-UA" w:eastAsia="uk-UA"/>
        </w:rPr>
        <w:t xml:space="preserve">Збройна агресія російської федерації проти України, яка триває з 2014 року та особливо загострилася після повномасштабного вторгнення 24 лютого 2022 року, спричинила безпрецедентні людські, матеріальні та моральні втрати. У цих умовах право на відшкодування шкоди, завданої внаслідок агресії російської федерації, набуває особливого значення як з точки зору захисту прав людини, так і забезпечення принципу справедливого судового розгляду, закріпленого в статті 2 Цивільного процесуального кодексу України. На рівні міжнародного права ефективний </w:t>
      </w:r>
      <w:r w:rsidRPr="00511005">
        <w:rPr>
          <w:rFonts w:ascii="Arial" w:eastAsia="Arial" w:hAnsi="Arial" w:cs="Arial"/>
          <w:szCs w:val="28"/>
          <w:lang w:val="uk-UA" w:eastAsia="uk-UA"/>
        </w:rPr>
        <w:lastRenderedPageBreak/>
        <w:t>механізм захисту прав, включаючи право на відшкодування шкоди, встановлено М</w:t>
      </w:r>
      <w:r w:rsidRPr="00511005">
        <w:rPr>
          <w:rFonts w:ascii="Arial" w:eastAsia="Arial" w:hAnsi="Arial" w:cs="Arial"/>
          <w:bCs/>
          <w:szCs w:val="28"/>
          <w:lang w:val="uk-UA" w:eastAsia="uk-UA"/>
        </w:rPr>
        <w:t>іжнародним пактом про громадянські та політичні права</w:t>
      </w:r>
      <w:r w:rsidRPr="00511005">
        <w:rPr>
          <w:rFonts w:ascii="Arial" w:eastAsia="Arial" w:hAnsi="Arial" w:cs="Arial"/>
          <w:szCs w:val="28"/>
          <w:lang w:val="uk-UA" w:eastAsia="uk-UA"/>
        </w:rPr>
        <w:t xml:space="preserve"> (1966) [6], який зобов'язує держави поважати права людини і забезпечувати ефективний механізм захисту.</w:t>
      </w:r>
    </w:p>
    <w:p w14:paraId="1FA53C4C" w14:textId="77777777" w:rsidR="005F048D" w:rsidRPr="00511005" w:rsidRDefault="005F048D" w:rsidP="003A292D">
      <w:pPr>
        <w:spacing w:line="264" w:lineRule="auto"/>
        <w:ind w:firstLine="851"/>
        <w:rPr>
          <w:rFonts w:ascii="Arial" w:eastAsia="Arial" w:hAnsi="Arial" w:cs="Arial"/>
          <w:szCs w:val="28"/>
          <w:lang w:val="uk-UA" w:eastAsia="uk-UA"/>
        </w:rPr>
      </w:pPr>
      <w:r w:rsidRPr="00511005">
        <w:rPr>
          <w:rFonts w:ascii="Arial" w:eastAsia="Arial" w:hAnsi="Arial" w:cs="Arial"/>
          <w:szCs w:val="28"/>
          <w:lang w:val="uk-UA" w:eastAsia="uk-UA"/>
        </w:rPr>
        <w:t xml:space="preserve">Додатково, міжнародне гуманітарне право, зокрема </w:t>
      </w:r>
      <w:r w:rsidRPr="00511005">
        <w:rPr>
          <w:rFonts w:ascii="Arial" w:eastAsia="Arial" w:hAnsi="Arial" w:cs="Arial"/>
          <w:bCs/>
          <w:szCs w:val="28"/>
          <w:lang w:val="uk-UA" w:eastAsia="uk-UA"/>
        </w:rPr>
        <w:t>Женевські конвенції 1949 року [3] та Допоміжні протоколи до них</w:t>
      </w:r>
      <w:r w:rsidRPr="00511005">
        <w:rPr>
          <w:rFonts w:ascii="Arial" w:eastAsia="Arial" w:hAnsi="Arial" w:cs="Arial"/>
          <w:szCs w:val="28"/>
          <w:lang w:val="uk-UA" w:eastAsia="uk-UA"/>
        </w:rPr>
        <w:t xml:space="preserve">, надає конкретні положення щодо відшкодування за шкоду, завдану під час збройних конфліктів, включаючи агресію. Це право також закріплено у </w:t>
      </w:r>
      <w:r w:rsidRPr="00511005">
        <w:rPr>
          <w:rFonts w:ascii="Arial" w:eastAsia="Arial" w:hAnsi="Arial" w:cs="Arial"/>
          <w:bCs/>
          <w:szCs w:val="28"/>
          <w:lang w:val="uk-UA" w:eastAsia="uk-UA"/>
        </w:rPr>
        <w:t>Римському статуті Міжнародного кримінального суду</w:t>
      </w:r>
      <w:r w:rsidRPr="00511005">
        <w:rPr>
          <w:rFonts w:ascii="Arial" w:eastAsia="Arial" w:hAnsi="Arial" w:cs="Arial"/>
          <w:szCs w:val="28"/>
          <w:lang w:val="uk-UA" w:eastAsia="uk-UA"/>
        </w:rPr>
        <w:t xml:space="preserve"> (1998) [8], який визнає можливість компенсації жертвам міжнародних злочинів, таких як агресія, військові злочини та злочини проти людяності.</w:t>
      </w:r>
    </w:p>
    <w:p w14:paraId="2106FBAA" w14:textId="77777777" w:rsidR="005F048D" w:rsidRPr="00511005" w:rsidRDefault="005F048D" w:rsidP="003A292D">
      <w:pPr>
        <w:spacing w:line="264" w:lineRule="auto"/>
        <w:ind w:firstLine="851"/>
        <w:rPr>
          <w:rFonts w:ascii="Arial" w:eastAsia="Arial" w:hAnsi="Arial" w:cs="Arial"/>
          <w:szCs w:val="28"/>
          <w:lang w:val="uk-UA" w:eastAsia="uk-UA"/>
        </w:rPr>
      </w:pPr>
      <w:r w:rsidRPr="00511005">
        <w:rPr>
          <w:rFonts w:ascii="Arial" w:eastAsia="Arial" w:hAnsi="Arial" w:cs="Arial"/>
          <w:szCs w:val="28"/>
          <w:lang w:val="uk-UA" w:eastAsia="uk-UA"/>
        </w:rPr>
        <w:t xml:space="preserve">На національному рівні базовими нормами є 55 стаття </w:t>
      </w:r>
      <w:r w:rsidRPr="00511005">
        <w:rPr>
          <w:rFonts w:ascii="Arial" w:eastAsia="Arial" w:hAnsi="Arial" w:cs="Arial"/>
          <w:bCs/>
          <w:szCs w:val="28"/>
          <w:lang w:val="uk-UA" w:eastAsia="uk-UA"/>
        </w:rPr>
        <w:t>Конституції України</w:t>
      </w:r>
      <w:r w:rsidRPr="00511005">
        <w:rPr>
          <w:rFonts w:ascii="Arial" w:eastAsia="Arial" w:hAnsi="Arial" w:cs="Arial"/>
          <w:szCs w:val="28"/>
          <w:lang w:val="uk-UA" w:eastAsia="uk-UA"/>
        </w:rPr>
        <w:t xml:space="preserve"> [5] та 2 стаття Цивільного процесуального кодексу України [10], що гарантують захист прав людини у справедливому судовому розгляді справ.</w:t>
      </w:r>
      <w:r w:rsidRPr="00511005">
        <w:rPr>
          <w:rFonts w:ascii="Arial" w:eastAsia="Arial" w:hAnsi="Arial" w:cs="Arial"/>
          <w:bCs/>
          <w:szCs w:val="28"/>
          <w:lang w:val="uk-UA" w:eastAsia="uk-UA"/>
        </w:rPr>
        <w:t xml:space="preserve"> </w:t>
      </w:r>
    </w:p>
    <w:p w14:paraId="23F16A3F" w14:textId="77777777" w:rsidR="005F048D" w:rsidRPr="00511005" w:rsidRDefault="005F048D" w:rsidP="003A292D">
      <w:pPr>
        <w:spacing w:line="264" w:lineRule="auto"/>
        <w:ind w:firstLine="851"/>
        <w:rPr>
          <w:rFonts w:ascii="Arial" w:eastAsia="Arial" w:hAnsi="Arial" w:cs="Arial"/>
          <w:szCs w:val="28"/>
          <w:lang w:val="uk-UA" w:eastAsia="uk-UA"/>
        </w:rPr>
      </w:pPr>
      <w:r w:rsidRPr="00511005">
        <w:rPr>
          <w:rFonts w:ascii="Arial" w:eastAsia="Arial" w:hAnsi="Arial" w:cs="Arial"/>
          <w:szCs w:val="28"/>
          <w:lang w:val="uk-UA" w:eastAsia="uk-UA"/>
        </w:rPr>
        <w:t xml:space="preserve">Водночас реалізація цього права в межах цивільного судочинства стикається з рядом серйозних викликів, серед яких: </w:t>
      </w:r>
    </w:p>
    <w:p w14:paraId="7F85C348" w14:textId="77777777" w:rsidR="005F048D" w:rsidRPr="00511005" w:rsidRDefault="005F048D" w:rsidP="003A292D">
      <w:pPr>
        <w:spacing w:line="264" w:lineRule="auto"/>
        <w:ind w:firstLine="851"/>
        <w:rPr>
          <w:rFonts w:ascii="Arial" w:eastAsia="Arial" w:hAnsi="Arial" w:cs="Arial"/>
          <w:szCs w:val="28"/>
          <w:lang w:val="uk-UA" w:eastAsia="uk-UA"/>
        </w:rPr>
      </w:pPr>
      <w:r w:rsidRPr="00511005">
        <w:rPr>
          <w:rFonts w:ascii="Arial" w:eastAsia="Arial" w:hAnsi="Arial" w:cs="Arial"/>
          <w:szCs w:val="28"/>
          <w:lang w:val="uk-UA" w:eastAsia="uk-UA"/>
        </w:rPr>
        <w:t xml:space="preserve">– </w:t>
      </w:r>
      <w:r w:rsidRPr="00511005">
        <w:rPr>
          <w:rFonts w:ascii="Arial" w:eastAsia="Arial" w:hAnsi="Arial" w:cs="Arial"/>
          <w:bCs/>
          <w:szCs w:val="28"/>
          <w:lang w:val="uk-UA" w:eastAsia="uk-UA"/>
        </w:rPr>
        <w:t>наявність державного імунітету рф</w:t>
      </w:r>
      <w:r w:rsidRPr="00511005">
        <w:rPr>
          <w:rFonts w:ascii="Arial" w:eastAsia="Arial" w:hAnsi="Arial" w:cs="Arial"/>
          <w:szCs w:val="28"/>
          <w:lang w:val="uk-UA" w:eastAsia="uk-UA"/>
        </w:rPr>
        <w:t xml:space="preserve"> — міжнародно-правовий принцип, який традиційно унеможливлює судове переслідування іноземних держав у національних судах інших держав;</w:t>
      </w:r>
    </w:p>
    <w:p w14:paraId="49A19D89" w14:textId="77777777" w:rsidR="005F048D" w:rsidRPr="00511005" w:rsidRDefault="005F048D" w:rsidP="003F6A5D">
      <w:pPr>
        <w:numPr>
          <w:ilvl w:val="0"/>
          <w:numId w:val="392"/>
        </w:numPr>
        <w:spacing w:line="264" w:lineRule="auto"/>
        <w:ind w:left="0" w:firstLine="851"/>
        <w:jc w:val="left"/>
        <w:rPr>
          <w:rFonts w:ascii="Arial" w:eastAsia="Arial" w:hAnsi="Arial" w:cs="Arial"/>
          <w:szCs w:val="28"/>
          <w:lang w:val="uk-UA" w:eastAsia="uk-UA"/>
        </w:rPr>
      </w:pPr>
      <w:r w:rsidRPr="00511005">
        <w:rPr>
          <w:rFonts w:ascii="Arial" w:eastAsia="Arial" w:hAnsi="Arial" w:cs="Arial"/>
          <w:bCs/>
          <w:szCs w:val="28"/>
          <w:lang w:val="uk-UA" w:eastAsia="uk-UA"/>
        </w:rPr>
        <w:t>відсутність майна рф на території України</w:t>
      </w:r>
      <w:r w:rsidRPr="00511005">
        <w:rPr>
          <w:rFonts w:ascii="Arial" w:eastAsia="Arial" w:hAnsi="Arial" w:cs="Arial"/>
          <w:szCs w:val="28"/>
          <w:lang w:val="uk-UA" w:eastAsia="uk-UA"/>
        </w:rPr>
        <w:t>, яке можна було б використати для забезпечення виконання судових рішень;</w:t>
      </w:r>
    </w:p>
    <w:p w14:paraId="58257EB0" w14:textId="77777777" w:rsidR="005F048D" w:rsidRPr="00511005" w:rsidRDefault="005F048D" w:rsidP="003F6A5D">
      <w:pPr>
        <w:numPr>
          <w:ilvl w:val="0"/>
          <w:numId w:val="392"/>
        </w:numPr>
        <w:spacing w:line="264" w:lineRule="auto"/>
        <w:ind w:left="0" w:firstLine="851"/>
        <w:jc w:val="left"/>
        <w:rPr>
          <w:rFonts w:ascii="Arial" w:eastAsia="Arial" w:hAnsi="Arial" w:cs="Arial"/>
          <w:szCs w:val="28"/>
          <w:lang w:val="uk-UA" w:eastAsia="uk-UA"/>
        </w:rPr>
      </w:pPr>
      <w:r w:rsidRPr="00511005">
        <w:rPr>
          <w:rFonts w:ascii="Arial" w:eastAsia="Arial" w:hAnsi="Arial" w:cs="Arial"/>
          <w:bCs/>
          <w:szCs w:val="28"/>
          <w:lang w:val="uk-UA" w:eastAsia="uk-UA"/>
        </w:rPr>
        <w:t>недосконалість процесуального законодавства</w:t>
      </w:r>
      <w:r w:rsidRPr="00511005">
        <w:rPr>
          <w:rFonts w:ascii="Arial" w:eastAsia="Arial" w:hAnsi="Arial" w:cs="Arial"/>
          <w:szCs w:val="28"/>
          <w:lang w:val="uk-UA" w:eastAsia="uk-UA"/>
        </w:rPr>
        <w:t xml:space="preserve"> — Цивільний процесуальний кодекс України не містить чітко виписаної процедури звернення з позовом проти іноземної держави у випадку агресії;</w:t>
      </w:r>
    </w:p>
    <w:p w14:paraId="317A11B0" w14:textId="77777777" w:rsidR="005F048D" w:rsidRPr="00511005" w:rsidRDefault="005F048D" w:rsidP="003F6A5D">
      <w:pPr>
        <w:numPr>
          <w:ilvl w:val="0"/>
          <w:numId w:val="392"/>
        </w:numPr>
        <w:spacing w:line="264" w:lineRule="auto"/>
        <w:ind w:left="0" w:firstLine="851"/>
        <w:jc w:val="left"/>
        <w:rPr>
          <w:rFonts w:ascii="Arial" w:eastAsia="Arial" w:hAnsi="Arial" w:cs="Arial"/>
          <w:szCs w:val="28"/>
          <w:lang w:val="uk-UA" w:eastAsia="uk-UA"/>
        </w:rPr>
      </w:pPr>
      <w:r w:rsidRPr="00511005">
        <w:rPr>
          <w:rFonts w:ascii="Arial" w:eastAsia="Arial" w:hAnsi="Arial" w:cs="Arial"/>
          <w:bCs/>
          <w:szCs w:val="28"/>
          <w:lang w:val="uk-UA" w:eastAsia="uk-UA"/>
        </w:rPr>
        <w:t>масовість постраждалих осіб</w:t>
      </w:r>
      <w:r w:rsidRPr="00511005">
        <w:rPr>
          <w:rFonts w:ascii="Arial" w:eastAsia="Arial" w:hAnsi="Arial" w:cs="Arial"/>
          <w:szCs w:val="28"/>
          <w:lang w:val="uk-UA" w:eastAsia="uk-UA"/>
        </w:rPr>
        <w:t xml:space="preserve"> (внутрішньо переміщені особи, родини загиблих, підприємства, чия інфраструктура знищена), що потребує вироблення ефективного механізму колективного захисту [11 с. 345-348].</w:t>
      </w:r>
    </w:p>
    <w:p w14:paraId="3305480F" w14:textId="77777777" w:rsidR="005F048D" w:rsidRPr="00511005" w:rsidRDefault="005F048D" w:rsidP="003A292D">
      <w:pPr>
        <w:spacing w:line="264" w:lineRule="auto"/>
        <w:ind w:firstLine="851"/>
        <w:rPr>
          <w:rFonts w:ascii="Arial" w:eastAsia="Arial" w:hAnsi="Arial" w:cs="Arial"/>
          <w:szCs w:val="28"/>
          <w:lang w:val="uk-UA" w:eastAsia="uk-UA"/>
        </w:rPr>
      </w:pPr>
      <w:r w:rsidRPr="00511005">
        <w:rPr>
          <w:rFonts w:ascii="Arial" w:eastAsia="Arial" w:hAnsi="Arial" w:cs="Arial"/>
          <w:szCs w:val="28"/>
          <w:lang w:val="uk-UA" w:eastAsia="uk-UA"/>
        </w:rPr>
        <w:t xml:space="preserve">Таким чином, постає потреба </w:t>
      </w:r>
      <w:r w:rsidRPr="00511005">
        <w:rPr>
          <w:rFonts w:ascii="Arial" w:eastAsia="Arial" w:hAnsi="Arial" w:cs="Arial"/>
          <w:bCs/>
          <w:szCs w:val="28"/>
          <w:lang w:val="uk-UA" w:eastAsia="uk-UA"/>
        </w:rPr>
        <w:t>переосмислення як цивільно-правових підходів до поняття шкоди, так і процесуальних механізмів її компенсації</w:t>
      </w:r>
      <w:r w:rsidRPr="00511005">
        <w:rPr>
          <w:rFonts w:ascii="Arial" w:eastAsia="Arial" w:hAnsi="Arial" w:cs="Arial"/>
          <w:szCs w:val="28"/>
          <w:lang w:val="uk-UA" w:eastAsia="uk-UA"/>
        </w:rPr>
        <w:t xml:space="preserve">. </w:t>
      </w:r>
    </w:p>
    <w:p w14:paraId="6CAA26FC" w14:textId="77777777" w:rsidR="005F048D" w:rsidRPr="00511005" w:rsidRDefault="005F048D" w:rsidP="003A292D">
      <w:pPr>
        <w:spacing w:line="264" w:lineRule="auto"/>
        <w:ind w:firstLine="851"/>
        <w:rPr>
          <w:rFonts w:ascii="Arial" w:eastAsia="Arial" w:hAnsi="Arial" w:cs="Arial"/>
          <w:szCs w:val="28"/>
          <w:lang w:val="uk-UA" w:eastAsia="uk-UA"/>
        </w:rPr>
      </w:pPr>
      <w:r w:rsidRPr="00511005">
        <w:rPr>
          <w:rFonts w:ascii="Arial" w:eastAsia="Arial" w:hAnsi="Arial" w:cs="Arial"/>
          <w:szCs w:val="28"/>
          <w:lang w:val="uk-UA" w:eastAsia="uk-UA"/>
        </w:rPr>
        <w:t xml:space="preserve">Принциповий прорив у підході до юрисдикційного імунітету був здійснений </w:t>
      </w:r>
      <w:r w:rsidRPr="00511005">
        <w:rPr>
          <w:rFonts w:ascii="Arial" w:eastAsia="Arial" w:hAnsi="Arial" w:cs="Arial"/>
          <w:bCs/>
          <w:szCs w:val="28"/>
          <w:lang w:val="uk-UA" w:eastAsia="uk-UA"/>
        </w:rPr>
        <w:t>Верховним Судом у справі № 308/9708/19</w:t>
      </w:r>
      <w:r w:rsidRPr="00511005">
        <w:rPr>
          <w:rFonts w:ascii="Arial" w:eastAsia="Arial" w:hAnsi="Arial" w:cs="Arial"/>
          <w:szCs w:val="28"/>
          <w:lang w:val="uk-UA" w:eastAsia="uk-UA"/>
        </w:rPr>
        <w:t xml:space="preserve"> (постанова КЦС ВС від 14.04.2022) [7]:</w:t>
      </w:r>
    </w:p>
    <w:p w14:paraId="56A692F2" w14:textId="77777777" w:rsidR="005F048D" w:rsidRPr="00511005" w:rsidRDefault="005F048D" w:rsidP="003F6A5D">
      <w:pPr>
        <w:numPr>
          <w:ilvl w:val="0"/>
          <w:numId w:val="393"/>
        </w:numPr>
        <w:spacing w:line="264" w:lineRule="auto"/>
        <w:ind w:left="0" w:firstLine="851"/>
        <w:jc w:val="left"/>
        <w:rPr>
          <w:rFonts w:ascii="Arial" w:eastAsia="Arial" w:hAnsi="Arial" w:cs="Arial"/>
          <w:szCs w:val="28"/>
          <w:lang w:val="uk-UA" w:eastAsia="uk-UA"/>
        </w:rPr>
      </w:pPr>
      <w:r w:rsidRPr="00511005">
        <w:rPr>
          <w:rFonts w:ascii="Arial" w:eastAsia="Arial" w:hAnsi="Arial" w:cs="Arial"/>
          <w:szCs w:val="28"/>
          <w:lang w:val="uk-UA" w:eastAsia="uk-UA"/>
        </w:rPr>
        <w:t xml:space="preserve">ВС відмовив у застосуванні юрисдикційного імунітету рф, визнавши її агресію </w:t>
      </w:r>
      <w:r w:rsidRPr="00511005">
        <w:rPr>
          <w:rFonts w:ascii="Arial" w:eastAsia="Arial" w:hAnsi="Arial" w:cs="Arial"/>
          <w:bCs/>
          <w:szCs w:val="28"/>
          <w:lang w:val="uk-UA" w:eastAsia="uk-UA"/>
        </w:rPr>
        <w:t>порушенням імперативних норм міжнародного права (jus cogens)</w:t>
      </w:r>
      <w:r w:rsidRPr="00511005">
        <w:rPr>
          <w:rFonts w:ascii="Arial" w:eastAsia="Arial" w:hAnsi="Arial" w:cs="Arial"/>
          <w:szCs w:val="28"/>
          <w:lang w:val="uk-UA" w:eastAsia="uk-UA"/>
        </w:rPr>
        <w:t>;</w:t>
      </w:r>
    </w:p>
    <w:p w14:paraId="4F60426D" w14:textId="77777777" w:rsidR="005F048D" w:rsidRPr="00511005" w:rsidRDefault="005F048D" w:rsidP="003F6A5D">
      <w:pPr>
        <w:numPr>
          <w:ilvl w:val="0"/>
          <w:numId w:val="393"/>
        </w:numPr>
        <w:spacing w:line="264" w:lineRule="auto"/>
        <w:ind w:left="0" w:firstLine="851"/>
        <w:jc w:val="left"/>
        <w:rPr>
          <w:rFonts w:ascii="Arial" w:eastAsia="Arial" w:hAnsi="Arial" w:cs="Arial"/>
          <w:szCs w:val="28"/>
          <w:lang w:val="uk-UA" w:eastAsia="uk-UA"/>
        </w:rPr>
      </w:pPr>
      <w:r w:rsidRPr="00511005">
        <w:rPr>
          <w:rFonts w:ascii="Arial" w:eastAsia="Arial" w:hAnsi="Arial" w:cs="Arial"/>
          <w:szCs w:val="28"/>
          <w:lang w:val="uk-UA" w:eastAsia="uk-UA"/>
        </w:rPr>
        <w:t>було наголошено, що імунітет не може слугувати прикриттям для масових порушень прав людини, вбивств, тортур та руйнування цивільної інфраструктури.</w:t>
      </w:r>
    </w:p>
    <w:p w14:paraId="3AE13ABF" w14:textId="77777777" w:rsidR="005F048D" w:rsidRPr="00511005" w:rsidRDefault="005F048D" w:rsidP="003A292D">
      <w:pPr>
        <w:spacing w:line="264" w:lineRule="auto"/>
        <w:ind w:firstLine="851"/>
        <w:rPr>
          <w:rFonts w:ascii="Arial" w:eastAsia="Arial" w:hAnsi="Arial" w:cs="Arial"/>
          <w:szCs w:val="28"/>
          <w:lang w:val="uk-UA" w:eastAsia="uk-UA"/>
        </w:rPr>
      </w:pPr>
      <w:r w:rsidRPr="00511005">
        <w:rPr>
          <w:rFonts w:ascii="Arial" w:eastAsia="Arial" w:hAnsi="Arial" w:cs="Arial"/>
          <w:szCs w:val="28"/>
          <w:lang w:val="uk-UA" w:eastAsia="uk-UA"/>
        </w:rPr>
        <w:t xml:space="preserve">Також Верховний Суд сформулював підхід, згідно з яким: </w:t>
      </w:r>
      <w:r w:rsidRPr="00511005">
        <w:rPr>
          <w:rFonts w:ascii="Arial" w:eastAsia="Arial" w:hAnsi="Arial" w:cs="Arial"/>
          <w:iCs/>
          <w:szCs w:val="28"/>
          <w:lang w:val="uk-UA" w:eastAsia="uk-UA"/>
        </w:rPr>
        <w:t>відмова від юрисдикційного імунітету виправдана, якщо дії держави-агресора суперечать основним нормам міжнародного права.</w:t>
      </w:r>
      <w:r w:rsidRPr="00511005">
        <w:rPr>
          <w:rFonts w:ascii="Arial" w:eastAsia="Arial" w:hAnsi="Arial" w:cs="Arial"/>
          <w:szCs w:val="28"/>
          <w:lang w:val="uk-UA" w:eastAsia="uk-UA"/>
        </w:rPr>
        <w:t xml:space="preserve"> Це </w:t>
      </w:r>
      <w:r w:rsidRPr="00511005">
        <w:rPr>
          <w:rFonts w:ascii="Arial" w:eastAsia="Arial" w:hAnsi="Arial" w:cs="Arial"/>
          <w:bCs/>
          <w:szCs w:val="28"/>
          <w:lang w:val="uk-UA" w:eastAsia="uk-UA"/>
        </w:rPr>
        <w:t>відкриває шлях для численних позовів громадян України проти рф</w:t>
      </w:r>
      <w:r w:rsidRPr="00511005">
        <w:rPr>
          <w:rFonts w:ascii="Arial" w:eastAsia="Arial" w:hAnsi="Arial" w:cs="Arial"/>
          <w:szCs w:val="28"/>
          <w:lang w:val="uk-UA" w:eastAsia="uk-UA"/>
        </w:rPr>
        <w:t xml:space="preserve"> у національних судах. Після </w:t>
      </w:r>
      <w:r w:rsidRPr="00511005">
        <w:rPr>
          <w:rFonts w:ascii="Arial" w:eastAsia="Arial" w:hAnsi="Arial" w:cs="Arial"/>
          <w:szCs w:val="28"/>
          <w:lang w:val="uk-UA" w:eastAsia="uk-UA"/>
        </w:rPr>
        <w:lastRenderedPageBreak/>
        <w:t xml:space="preserve">рішення ВС практика нижчих судів стала активно розвиватися: </w:t>
      </w:r>
      <w:r w:rsidRPr="00511005">
        <w:rPr>
          <w:rFonts w:ascii="Arial" w:eastAsia="Arial" w:hAnsi="Arial" w:cs="Arial"/>
          <w:bCs/>
          <w:szCs w:val="28"/>
          <w:lang w:val="uk-UA" w:eastAsia="uk-UA"/>
        </w:rPr>
        <w:t>справа № 752/19169/20 (Голосіївський райсуд м. Києва)</w:t>
      </w:r>
      <w:r w:rsidRPr="00511005">
        <w:rPr>
          <w:rFonts w:ascii="Arial" w:eastAsia="Arial" w:hAnsi="Arial" w:cs="Arial"/>
          <w:szCs w:val="28"/>
          <w:lang w:val="uk-UA" w:eastAsia="uk-UA"/>
        </w:rPr>
        <w:t xml:space="preserve"> позов родичів загиблого під час артилерійського обстрілу, в результаті визнано рф стороною, відповідальною за заподіяння моральної шкоди та стягнуто 2 млн грн моральної шкоди [9]; </w:t>
      </w:r>
      <w:r w:rsidRPr="00511005">
        <w:rPr>
          <w:rFonts w:ascii="Arial" w:eastAsia="Arial" w:hAnsi="Arial" w:cs="Arial"/>
          <w:bCs/>
          <w:szCs w:val="28"/>
          <w:lang w:val="uk-UA" w:eastAsia="uk-UA"/>
        </w:rPr>
        <w:t>справа № 761/22291/21 (Шевченківський суд м. Києва)</w:t>
      </w:r>
      <w:r w:rsidRPr="00511005">
        <w:rPr>
          <w:rFonts w:ascii="Arial" w:eastAsia="Arial" w:hAnsi="Arial" w:cs="Arial"/>
          <w:szCs w:val="28"/>
          <w:lang w:val="uk-UA" w:eastAsia="uk-UA"/>
        </w:rPr>
        <w:t xml:space="preserve"> позов особи, яка втратила житло в Ірпені, в результаті рішення про компенсацію шкоди в розмірі 1,5 млн грн [4 с.45-53].</w:t>
      </w:r>
    </w:p>
    <w:p w14:paraId="6D97817C" w14:textId="77777777" w:rsidR="005F048D" w:rsidRPr="00511005" w:rsidRDefault="005F048D" w:rsidP="003A292D">
      <w:pPr>
        <w:spacing w:line="264" w:lineRule="auto"/>
        <w:ind w:firstLine="851"/>
        <w:rPr>
          <w:rFonts w:ascii="Arial" w:eastAsia="Arial" w:hAnsi="Arial" w:cs="Arial"/>
          <w:bCs/>
          <w:szCs w:val="28"/>
          <w:lang w:val="uk-UA" w:eastAsia="uk-UA"/>
        </w:rPr>
      </w:pPr>
      <w:r w:rsidRPr="00511005">
        <w:rPr>
          <w:rFonts w:ascii="Arial" w:eastAsia="Arial" w:hAnsi="Arial" w:cs="Arial"/>
          <w:szCs w:val="28"/>
          <w:lang w:val="uk-UA" w:eastAsia="uk-UA"/>
        </w:rPr>
        <w:t xml:space="preserve">Рішення ухвалюються, однак на стадії </w:t>
      </w:r>
      <w:r w:rsidRPr="00511005">
        <w:rPr>
          <w:rFonts w:ascii="Arial" w:eastAsia="Arial" w:hAnsi="Arial" w:cs="Arial"/>
          <w:bCs/>
          <w:szCs w:val="28"/>
          <w:lang w:val="uk-UA" w:eastAsia="uk-UA"/>
        </w:rPr>
        <w:t>виконання виникає правовий вакуум</w:t>
      </w:r>
      <w:r w:rsidRPr="00511005">
        <w:rPr>
          <w:rFonts w:ascii="Arial" w:eastAsia="Arial" w:hAnsi="Arial" w:cs="Arial"/>
          <w:szCs w:val="28"/>
          <w:lang w:val="uk-UA" w:eastAsia="uk-UA"/>
        </w:rPr>
        <w:t xml:space="preserve">. Особливої ваги це набуває в контексті </w:t>
      </w:r>
      <w:r w:rsidRPr="00511005">
        <w:rPr>
          <w:rFonts w:ascii="Arial" w:eastAsia="Arial" w:hAnsi="Arial" w:cs="Arial"/>
          <w:bCs/>
          <w:szCs w:val="28"/>
          <w:lang w:val="uk-UA" w:eastAsia="uk-UA"/>
        </w:rPr>
        <w:t>Резолюції Генеральної асамблеї ООН № ES-11/5 від 14 листопада 2022 року [2]</w:t>
      </w:r>
      <w:r w:rsidRPr="00511005">
        <w:rPr>
          <w:rFonts w:ascii="Arial" w:eastAsia="Arial" w:hAnsi="Arial" w:cs="Arial"/>
          <w:szCs w:val="28"/>
          <w:lang w:val="uk-UA" w:eastAsia="uk-UA"/>
        </w:rPr>
        <w:t xml:space="preserve">, яка закликає створити </w:t>
      </w:r>
      <w:r w:rsidRPr="00511005">
        <w:rPr>
          <w:rFonts w:ascii="Arial" w:eastAsia="Arial" w:hAnsi="Arial" w:cs="Arial"/>
          <w:bCs/>
          <w:szCs w:val="28"/>
          <w:lang w:val="uk-UA" w:eastAsia="uk-UA"/>
        </w:rPr>
        <w:t>міжнародний механізм компенсації шкоди, завданої агресією рф</w:t>
      </w:r>
      <w:r w:rsidRPr="00511005">
        <w:rPr>
          <w:rFonts w:ascii="Arial" w:eastAsia="Arial" w:hAnsi="Arial" w:cs="Arial"/>
          <w:szCs w:val="28"/>
          <w:lang w:val="uk-UA" w:eastAsia="uk-UA"/>
        </w:rPr>
        <w:t xml:space="preserve">. Також українські суди дедалі частіше визнають рф стороною, яка має нести відповідальність за спричинені страждання, руйнування та втрати (рішення у цивільних справах про стягнення моральної та матеріальної шкоди). Проте постає ключове питання: </w:t>
      </w:r>
      <w:r w:rsidRPr="00511005">
        <w:rPr>
          <w:rFonts w:ascii="Arial" w:eastAsia="Arial" w:hAnsi="Arial" w:cs="Arial"/>
          <w:bCs/>
          <w:szCs w:val="28"/>
          <w:lang w:val="uk-UA" w:eastAsia="uk-UA"/>
        </w:rPr>
        <w:t>навіть коли рішення ухвалене, як забезпечити його реальне виконання?</w:t>
      </w:r>
    </w:p>
    <w:p w14:paraId="684F528D" w14:textId="77777777" w:rsidR="005F048D" w:rsidRPr="00511005" w:rsidRDefault="005F048D" w:rsidP="003A292D">
      <w:pPr>
        <w:spacing w:line="264" w:lineRule="auto"/>
        <w:ind w:firstLine="851"/>
        <w:rPr>
          <w:rFonts w:ascii="Arial" w:eastAsia="Arial" w:hAnsi="Arial" w:cs="Arial"/>
          <w:szCs w:val="28"/>
          <w:lang w:val="uk-UA" w:eastAsia="uk-UA"/>
        </w:rPr>
      </w:pPr>
      <w:r w:rsidRPr="00511005">
        <w:rPr>
          <w:rFonts w:ascii="Arial" w:eastAsia="Arial" w:hAnsi="Arial" w:cs="Arial"/>
          <w:szCs w:val="28"/>
          <w:lang w:val="uk-UA" w:eastAsia="uk-UA"/>
        </w:rPr>
        <w:t xml:space="preserve">Державна виконавча служба, як орган, що має реалізовувати примусове виконання рішень, </w:t>
      </w:r>
      <w:r w:rsidRPr="00511005">
        <w:rPr>
          <w:rFonts w:ascii="Arial" w:eastAsia="Arial" w:hAnsi="Arial" w:cs="Arial"/>
          <w:bCs/>
          <w:szCs w:val="28"/>
          <w:lang w:val="uk-UA" w:eastAsia="uk-UA"/>
        </w:rPr>
        <w:t>не володіє достатніми юридичними інструментами для стягнення коштів або реалізації майна рф</w:t>
      </w:r>
      <w:r w:rsidRPr="00511005">
        <w:rPr>
          <w:rFonts w:ascii="Arial" w:eastAsia="Arial" w:hAnsi="Arial" w:cs="Arial"/>
          <w:szCs w:val="28"/>
          <w:lang w:val="uk-UA" w:eastAsia="uk-UA"/>
        </w:rPr>
        <w:t xml:space="preserve">. </w:t>
      </w:r>
      <w:r w:rsidRPr="00511005">
        <w:rPr>
          <w:rFonts w:ascii="Arial" w:eastAsia="Arial" w:hAnsi="Arial" w:cs="Arial"/>
          <w:bCs/>
          <w:szCs w:val="28"/>
          <w:lang w:val="uk-UA" w:eastAsia="uk-UA"/>
        </w:rPr>
        <w:t>Можна виокремити ряд недоліків чинного ЦПК України, які пропонується удосконалити:</w:t>
      </w:r>
    </w:p>
    <w:p w14:paraId="461EE9A0" w14:textId="77777777" w:rsidR="005F048D" w:rsidRPr="00511005" w:rsidRDefault="005F048D" w:rsidP="003F6A5D">
      <w:pPr>
        <w:numPr>
          <w:ilvl w:val="0"/>
          <w:numId w:val="394"/>
        </w:numPr>
        <w:spacing w:line="264" w:lineRule="auto"/>
        <w:ind w:left="0" w:firstLine="851"/>
        <w:jc w:val="left"/>
        <w:rPr>
          <w:rFonts w:ascii="Arial" w:eastAsia="Arial" w:hAnsi="Arial" w:cs="Arial"/>
          <w:szCs w:val="28"/>
          <w:lang w:val="uk-UA" w:eastAsia="uk-UA"/>
        </w:rPr>
      </w:pPr>
      <w:r w:rsidRPr="00511005">
        <w:rPr>
          <w:rFonts w:ascii="Arial" w:eastAsia="Arial" w:hAnsi="Arial" w:cs="Arial"/>
          <w:szCs w:val="28"/>
          <w:lang w:val="uk-UA" w:eastAsia="uk-UA"/>
        </w:rPr>
        <w:t>відсутність глави або статті, яка регламентує провадження проти іноземної держави в контексті воєнної агресії;</w:t>
      </w:r>
    </w:p>
    <w:p w14:paraId="2AF58960" w14:textId="77777777" w:rsidR="005F048D" w:rsidRPr="00511005" w:rsidRDefault="005F048D" w:rsidP="003F6A5D">
      <w:pPr>
        <w:numPr>
          <w:ilvl w:val="0"/>
          <w:numId w:val="394"/>
        </w:numPr>
        <w:spacing w:line="264" w:lineRule="auto"/>
        <w:ind w:left="0" w:firstLine="851"/>
        <w:jc w:val="left"/>
        <w:rPr>
          <w:rFonts w:ascii="Arial" w:eastAsia="Arial" w:hAnsi="Arial" w:cs="Arial"/>
          <w:szCs w:val="28"/>
          <w:lang w:val="uk-UA" w:eastAsia="uk-UA"/>
        </w:rPr>
      </w:pPr>
      <w:r w:rsidRPr="00511005">
        <w:rPr>
          <w:rFonts w:ascii="Arial" w:eastAsia="Arial" w:hAnsi="Arial" w:cs="Arial"/>
          <w:szCs w:val="28"/>
          <w:lang w:val="uk-UA" w:eastAsia="uk-UA"/>
        </w:rPr>
        <w:t>не передбачено механізмів представництва інтересів потерпілих громадян у масових справах (аналог class action);</w:t>
      </w:r>
    </w:p>
    <w:p w14:paraId="28A3F115" w14:textId="77777777" w:rsidR="005F048D" w:rsidRPr="00511005" w:rsidRDefault="005F048D" w:rsidP="003F6A5D">
      <w:pPr>
        <w:numPr>
          <w:ilvl w:val="0"/>
          <w:numId w:val="394"/>
        </w:numPr>
        <w:spacing w:line="264" w:lineRule="auto"/>
        <w:ind w:left="0" w:firstLine="851"/>
        <w:jc w:val="left"/>
        <w:rPr>
          <w:rFonts w:ascii="Arial" w:eastAsia="Arial" w:hAnsi="Arial" w:cs="Arial"/>
          <w:szCs w:val="28"/>
          <w:lang w:val="uk-UA" w:eastAsia="uk-UA"/>
        </w:rPr>
      </w:pPr>
      <w:r w:rsidRPr="00511005">
        <w:rPr>
          <w:rFonts w:ascii="Arial" w:eastAsia="Arial" w:hAnsi="Arial" w:cs="Arial"/>
          <w:szCs w:val="28"/>
          <w:lang w:val="uk-UA" w:eastAsia="uk-UA"/>
        </w:rPr>
        <w:t>немає норм щодо спеціальних процедур доказування в умовах воєнного стану [11 с. 345-348].</w:t>
      </w:r>
    </w:p>
    <w:p w14:paraId="346477DD" w14:textId="77777777" w:rsidR="005F048D" w:rsidRPr="00511005" w:rsidRDefault="005F048D" w:rsidP="003A292D">
      <w:pPr>
        <w:spacing w:line="264" w:lineRule="auto"/>
        <w:ind w:firstLine="851"/>
        <w:rPr>
          <w:rFonts w:ascii="Arial" w:eastAsia="Arial" w:hAnsi="Arial" w:cs="Arial"/>
          <w:bCs/>
          <w:szCs w:val="28"/>
          <w:lang w:val="uk-UA" w:eastAsia="uk-UA"/>
        </w:rPr>
      </w:pPr>
      <w:r w:rsidRPr="00511005">
        <w:rPr>
          <w:rFonts w:ascii="Arial" w:eastAsia="Arial" w:hAnsi="Arial" w:cs="Arial"/>
          <w:bCs/>
          <w:szCs w:val="28"/>
          <w:lang w:val="uk-UA" w:eastAsia="uk-UA"/>
        </w:rPr>
        <w:t>Пропозиції змін можуть виглядати наступним чином:</w:t>
      </w:r>
    </w:p>
    <w:p w14:paraId="0D572CD5" w14:textId="77777777" w:rsidR="005F048D" w:rsidRPr="00511005" w:rsidRDefault="005F048D" w:rsidP="003F6A5D">
      <w:pPr>
        <w:numPr>
          <w:ilvl w:val="0"/>
          <w:numId w:val="395"/>
        </w:numPr>
        <w:spacing w:line="264" w:lineRule="auto"/>
        <w:ind w:left="0" w:firstLine="851"/>
        <w:jc w:val="left"/>
        <w:rPr>
          <w:rFonts w:ascii="Arial" w:eastAsia="Arial" w:hAnsi="Arial" w:cs="Arial"/>
          <w:szCs w:val="28"/>
          <w:lang w:val="uk-UA" w:eastAsia="uk-UA"/>
        </w:rPr>
      </w:pPr>
      <w:r w:rsidRPr="00511005">
        <w:rPr>
          <w:rFonts w:ascii="Arial" w:eastAsia="Arial" w:hAnsi="Arial" w:cs="Arial"/>
          <w:bCs/>
          <w:szCs w:val="28"/>
          <w:lang w:val="uk-UA" w:eastAsia="uk-UA"/>
        </w:rPr>
        <w:t>внести зміни до ЦПК України</w:t>
      </w:r>
      <w:r w:rsidRPr="00511005">
        <w:rPr>
          <w:rFonts w:ascii="Arial" w:eastAsia="Arial" w:hAnsi="Arial" w:cs="Arial"/>
          <w:szCs w:val="28"/>
          <w:lang w:val="uk-UA" w:eastAsia="uk-UA"/>
        </w:rPr>
        <w:t xml:space="preserve"> — запровадити самостійний вид провадження для розгляду справ з «військовим елементом» до якого віднести, в тому числі розгляд справ про відшкодування шкоди, завданої рф;</w:t>
      </w:r>
    </w:p>
    <w:p w14:paraId="645FAF29" w14:textId="77777777" w:rsidR="005F048D" w:rsidRPr="00511005" w:rsidRDefault="005F048D" w:rsidP="003F6A5D">
      <w:pPr>
        <w:numPr>
          <w:ilvl w:val="0"/>
          <w:numId w:val="395"/>
        </w:numPr>
        <w:spacing w:line="264" w:lineRule="auto"/>
        <w:ind w:left="0" w:firstLine="851"/>
        <w:jc w:val="left"/>
        <w:rPr>
          <w:rFonts w:ascii="Arial" w:eastAsia="Arial" w:hAnsi="Arial" w:cs="Arial"/>
          <w:szCs w:val="28"/>
          <w:lang w:val="uk-UA" w:eastAsia="uk-UA"/>
        </w:rPr>
      </w:pPr>
      <w:r w:rsidRPr="00511005">
        <w:rPr>
          <w:rFonts w:ascii="Arial" w:eastAsia="Arial" w:hAnsi="Arial" w:cs="Arial"/>
          <w:bCs/>
          <w:szCs w:val="28"/>
          <w:lang w:val="uk-UA" w:eastAsia="uk-UA"/>
        </w:rPr>
        <w:t>запровадити інститут автоматичної компенсації</w:t>
      </w:r>
      <w:r w:rsidRPr="00511005">
        <w:rPr>
          <w:rFonts w:ascii="Arial" w:eastAsia="Arial" w:hAnsi="Arial" w:cs="Arial"/>
          <w:szCs w:val="28"/>
          <w:lang w:val="uk-UA" w:eastAsia="uk-UA"/>
        </w:rPr>
        <w:t xml:space="preserve"> — за певними стандартами (наприклад, втрачений квадратний метр житла = Х грн);</w:t>
      </w:r>
    </w:p>
    <w:p w14:paraId="45CF922F" w14:textId="77777777" w:rsidR="005F048D" w:rsidRPr="00511005" w:rsidRDefault="005F048D" w:rsidP="003F6A5D">
      <w:pPr>
        <w:numPr>
          <w:ilvl w:val="0"/>
          <w:numId w:val="395"/>
        </w:numPr>
        <w:spacing w:line="264" w:lineRule="auto"/>
        <w:ind w:left="0" w:firstLine="851"/>
        <w:jc w:val="left"/>
        <w:rPr>
          <w:rFonts w:ascii="Arial" w:eastAsia="Arial" w:hAnsi="Arial" w:cs="Arial"/>
          <w:szCs w:val="28"/>
          <w:lang w:val="uk-UA" w:eastAsia="uk-UA"/>
        </w:rPr>
      </w:pPr>
      <w:r w:rsidRPr="00511005">
        <w:rPr>
          <w:rFonts w:ascii="Arial" w:eastAsia="Arial" w:hAnsi="Arial" w:cs="Arial"/>
          <w:bCs/>
          <w:szCs w:val="28"/>
          <w:lang w:val="uk-UA" w:eastAsia="uk-UA"/>
        </w:rPr>
        <w:t>визнати можливість заочного провадження</w:t>
      </w:r>
      <w:r w:rsidRPr="00511005">
        <w:rPr>
          <w:rFonts w:ascii="Arial" w:eastAsia="Arial" w:hAnsi="Arial" w:cs="Arial"/>
          <w:szCs w:val="28"/>
          <w:lang w:val="uk-UA" w:eastAsia="uk-UA"/>
        </w:rPr>
        <w:t xml:space="preserve"> у справах проти рф без участі відповідача [1 с.41-50].</w:t>
      </w:r>
    </w:p>
    <w:p w14:paraId="4727EA31" w14:textId="77777777" w:rsidR="005F048D" w:rsidRPr="00511005" w:rsidRDefault="005F048D" w:rsidP="003A292D">
      <w:pPr>
        <w:spacing w:line="264" w:lineRule="auto"/>
        <w:ind w:firstLine="851"/>
        <w:rPr>
          <w:rFonts w:ascii="Arial" w:eastAsia="Arial" w:hAnsi="Arial" w:cs="Arial"/>
          <w:szCs w:val="28"/>
          <w:lang w:val="uk-UA" w:eastAsia="uk-UA"/>
        </w:rPr>
      </w:pPr>
      <w:r w:rsidRPr="00511005">
        <w:rPr>
          <w:rFonts w:ascii="Arial" w:eastAsia="Arial" w:hAnsi="Arial" w:cs="Arial"/>
          <w:szCs w:val="28"/>
          <w:lang w:val="uk-UA" w:eastAsia="uk-UA"/>
        </w:rPr>
        <w:t xml:space="preserve">Сучасні реалії збройної агресії рф проти України поставили перед національною правовою системою надзвичайно складне завдання: забезпечити ефективний механізм відшкодування шкоди жертвам війни в межах цивільного судочинства, справедливий судовий розгляд справ. Попри позитивні зрушення в судовій практиці, зокрема позицію Верховного Суду щодо неприйнятності юрисдикційного імунітету у випадках грубого </w:t>
      </w:r>
      <w:r w:rsidRPr="00511005">
        <w:rPr>
          <w:rFonts w:ascii="Arial" w:eastAsia="Arial" w:hAnsi="Arial" w:cs="Arial"/>
          <w:szCs w:val="28"/>
          <w:lang w:val="uk-UA" w:eastAsia="uk-UA"/>
        </w:rPr>
        <w:lastRenderedPageBreak/>
        <w:t>порушення міжнародного права, чинне процесуальне законодавство залишається неадаптованим до умов воєнного часу. У зв’язку з цим вбачається необхідним нормативне закріплення окремої процесуальної процедури для розгляду позовів проти держави-агресора, створення компенсаційного механізму на рівні держави, а також активізація міжнародної співпраці для забезпечення реального виконання рішень на користь постраждалих. Такий підхід дозволить не лише гарантувати права постраждалих осіб, а й посилити довіру до правосуддя в умовах війни.</w:t>
      </w:r>
    </w:p>
    <w:p w14:paraId="615040D3" w14:textId="77777777" w:rsidR="005F048D" w:rsidRPr="00511005" w:rsidRDefault="005F048D" w:rsidP="003A292D">
      <w:pPr>
        <w:spacing w:line="264" w:lineRule="auto"/>
        <w:ind w:firstLine="0"/>
        <w:rPr>
          <w:rFonts w:ascii="Arial" w:eastAsia="Arial" w:hAnsi="Arial" w:cs="Arial"/>
          <w:szCs w:val="28"/>
          <w:lang w:val="uk-UA" w:eastAsia="uk-UA"/>
        </w:rPr>
      </w:pPr>
    </w:p>
    <w:p w14:paraId="5ED3D57D" w14:textId="732C63BF" w:rsidR="005F048D" w:rsidRPr="00511005" w:rsidRDefault="007B2628" w:rsidP="007B2628">
      <w:pPr>
        <w:spacing w:line="264" w:lineRule="auto"/>
        <w:jc w:val="center"/>
        <w:rPr>
          <w:rFonts w:ascii="Arial" w:eastAsia="Arial" w:hAnsi="Arial" w:cs="Arial"/>
          <w:b/>
          <w:szCs w:val="28"/>
          <w:lang w:val="uk-UA" w:eastAsia="uk-UA"/>
        </w:rPr>
      </w:pPr>
      <w:r w:rsidRPr="00511005">
        <w:rPr>
          <w:rFonts w:ascii="Arial" w:eastAsia="Arial" w:hAnsi="Arial" w:cs="Arial"/>
          <w:b/>
          <w:szCs w:val="28"/>
          <w:lang w:val="uk-UA" w:eastAsia="uk-UA"/>
        </w:rPr>
        <w:t>Список використаних джерел</w:t>
      </w:r>
    </w:p>
    <w:p w14:paraId="7FB1F965" w14:textId="77777777" w:rsidR="005F048D" w:rsidRPr="00511005" w:rsidRDefault="005F048D" w:rsidP="003A292D">
      <w:pPr>
        <w:spacing w:line="264" w:lineRule="auto"/>
        <w:jc w:val="center"/>
        <w:rPr>
          <w:rFonts w:ascii="Arial" w:eastAsia="Arial" w:hAnsi="Arial" w:cs="Arial"/>
          <w:b/>
          <w:szCs w:val="28"/>
          <w:lang w:val="uk-UA" w:eastAsia="uk-UA"/>
        </w:rPr>
      </w:pPr>
    </w:p>
    <w:p w14:paraId="69B9817D" w14:textId="77777777" w:rsidR="005F048D" w:rsidRPr="00511005" w:rsidRDefault="005F048D" w:rsidP="003F6A5D">
      <w:pPr>
        <w:numPr>
          <w:ilvl w:val="0"/>
          <w:numId w:val="396"/>
        </w:numPr>
        <w:spacing w:line="264" w:lineRule="auto"/>
        <w:ind w:left="0" w:firstLine="709"/>
        <w:contextualSpacing/>
        <w:jc w:val="left"/>
        <w:rPr>
          <w:rFonts w:ascii="Arial" w:eastAsia="Cambria" w:hAnsi="Arial" w:cs="Arial"/>
          <w:szCs w:val="28"/>
          <w:lang w:val="uk-UA"/>
        </w:rPr>
      </w:pPr>
      <w:r w:rsidRPr="00511005">
        <w:rPr>
          <w:rFonts w:ascii="Arial" w:eastAsia="Cambria" w:hAnsi="Arial" w:cs="Arial"/>
          <w:szCs w:val="28"/>
          <w:lang w:val="uk-UA"/>
        </w:rPr>
        <w:t>Буроменський М. В., Короткий Г. В. Імунітет держави у праві міжнародної відповідальності : Український часопис міжнародного права. – 2024. – № 1. – С. 41–50.</w:t>
      </w:r>
    </w:p>
    <w:p w14:paraId="0CA98489" w14:textId="77777777" w:rsidR="005F048D" w:rsidRPr="00511005" w:rsidRDefault="005F048D" w:rsidP="003F6A5D">
      <w:pPr>
        <w:numPr>
          <w:ilvl w:val="0"/>
          <w:numId w:val="396"/>
        </w:numPr>
        <w:spacing w:line="264" w:lineRule="auto"/>
        <w:ind w:left="0" w:firstLine="709"/>
        <w:contextualSpacing/>
        <w:jc w:val="left"/>
        <w:rPr>
          <w:rFonts w:ascii="Arial" w:eastAsia="Cambria" w:hAnsi="Arial" w:cs="Arial"/>
          <w:szCs w:val="28"/>
          <w:lang w:val="uk-UA"/>
        </w:rPr>
      </w:pPr>
      <w:r w:rsidRPr="00511005">
        <w:rPr>
          <w:rFonts w:ascii="Arial" w:eastAsia="Cambria" w:hAnsi="Arial" w:cs="Arial"/>
          <w:szCs w:val="28"/>
          <w:lang w:val="uk-UA"/>
        </w:rPr>
        <w:t>Генеральна Асамблея ООН. Резолюція № ES-11/5 «Стан з дотриманням Статуту ООН на тимчасово окупованих територіях України» від 14 листопада 2022 р. – URL: https://digitallibrary.un.org/record/3991520</w:t>
      </w:r>
    </w:p>
    <w:p w14:paraId="5E4E335D" w14:textId="77777777" w:rsidR="005F048D" w:rsidRPr="00511005" w:rsidRDefault="005F048D" w:rsidP="003F6A5D">
      <w:pPr>
        <w:numPr>
          <w:ilvl w:val="0"/>
          <w:numId w:val="396"/>
        </w:numPr>
        <w:spacing w:line="264" w:lineRule="auto"/>
        <w:ind w:left="0" w:firstLine="709"/>
        <w:contextualSpacing/>
        <w:jc w:val="left"/>
        <w:rPr>
          <w:rFonts w:ascii="Arial" w:eastAsia="Cambria" w:hAnsi="Arial" w:cs="Arial"/>
          <w:szCs w:val="28"/>
          <w:lang w:val="uk-UA"/>
        </w:rPr>
      </w:pPr>
      <w:r w:rsidRPr="00511005">
        <w:rPr>
          <w:rFonts w:ascii="Arial" w:eastAsia="Cambria" w:hAnsi="Arial" w:cs="Arial"/>
          <w:szCs w:val="28"/>
          <w:lang w:val="uk-UA"/>
        </w:rPr>
        <w:t>Женевські конвенції від 12 серпня 1949 року про захист жертв війни. – Женева: Міжнародний Комітет Червоного Хреста, 1949. – 159 с.</w:t>
      </w:r>
    </w:p>
    <w:p w14:paraId="79156E71" w14:textId="77777777" w:rsidR="005F048D" w:rsidRPr="00511005" w:rsidRDefault="005F048D" w:rsidP="003F6A5D">
      <w:pPr>
        <w:numPr>
          <w:ilvl w:val="0"/>
          <w:numId w:val="396"/>
        </w:numPr>
        <w:spacing w:line="264" w:lineRule="auto"/>
        <w:ind w:left="0" w:firstLine="709"/>
        <w:contextualSpacing/>
        <w:jc w:val="left"/>
        <w:rPr>
          <w:rFonts w:ascii="Arial" w:eastAsia="Cambria" w:hAnsi="Arial" w:cs="Arial"/>
          <w:szCs w:val="28"/>
          <w:lang w:val="uk-UA"/>
        </w:rPr>
      </w:pPr>
      <w:r w:rsidRPr="00511005">
        <w:rPr>
          <w:rFonts w:ascii="Arial" w:eastAsia="Cambria" w:hAnsi="Arial" w:cs="Arial"/>
          <w:szCs w:val="28"/>
          <w:lang w:val="uk-UA"/>
        </w:rPr>
        <w:t>Ковтун О. В. Відшкодування шкоди, завданої збройною агресією, у практиці національних судів України : Публічне право. – 2023. – № 1(49). – С. 45–53.</w:t>
      </w:r>
    </w:p>
    <w:p w14:paraId="463AE853" w14:textId="77777777" w:rsidR="005F048D" w:rsidRPr="00511005" w:rsidRDefault="005F048D" w:rsidP="003F6A5D">
      <w:pPr>
        <w:numPr>
          <w:ilvl w:val="0"/>
          <w:numId w:val="396"/>
        </w:numPr>
        <w:spacing w:line="264" w:lineRule="auto"/>
        <w:ind w:left="0" w:firstLine="709"/>
        <w:contextualSpacing/>
        <w:jc w:val="left"/>
        <w:rPr>
          <w:rFonts w:ascii="Arial" w:eastAsia="Cambria" w:hAnsi="Arial" w:cs="Arial"/>
          <w:szCs w:val="28"/>
          <w:lang w:val="uk-UA"/>
        </w:rPr>
      </w:pPr>
      <w:r w:rsidRPr="00511005">
        <w:rPr>
          <w:rFonts w:ascii="Arial" w:eastAsia="Cambria" w:hAnsi="Arial" w:cs="Arial"/>
          <w:szCs w:val="28"/>
          <w:lang w:val="uk-UA"/>
        </w:rPr>
        <w:t>Конституція України: Закон України від 28 черв. 1996 р. № 254к/96-ВР // Відомості Верховної Ради України. – 1996. – № 30. – Ст. 141.</w:t>
      </w:r>
    </w:p>
    <w:p w14:paraId="5CEF9AFB" w14:textId="77777777" w:rsidR="005F048D" w:rsidRPr="00511005" w:rsidRDefault="005F048D" w:rsidP="003F6A5D">
      <w:pPr>
        <w:numPr>
          <w:ilvl w:val="0"/>
          <w:numId w:val="396"/>
        </w:numPr>
        <w:spacing w:line="264" w:lineRule="auto"/>
        <w:ind w:left="0" w:firstLine="709"/>
        <w:contextualSpacing/>
        <w:jc w:val="left"/>
        <w:rPr>
          <w:rFonts w:ascii="Arial" w:eastAsia="Cambria" w:hAnsi="Arial" w:cs="Arial"/>
          <w:szCs w:val="28"/>
          <w:lang w:val="uk-UA"/>
        </w:rPr>
      </w:pPr>
      <w:r w:rsidRPr="00511005">
        <w:rPr>
          <w:rFonts w:ascii="Arial" w:eastAsia="Cambria" w:hAnsi="Arial" w:cs="Arial"/>
          <w:szCs w:val="28"/>
          <w:lang w:val="uk-UA"/>
        </w:rPr>
        <w:t>Міжнародний пакт про громадянські та політичні права від 16 грудня 1966 р. URL: https://zakon.rada.gov.ua/laws/show/995_043#Text</w:t>
      </w:r>
    </w:p>
    <w:p w14:paraId="6F197F6C" w14:textId="77777777" w:rsidR="005F048D" w:rsidRPr="00511005" w:rsidRDefault="005F048D" w:rsidP="003F6A5D">
      <w:pPr>
        <w:numPr>
          <w:ilvl w:val="0"/>
          <w:numId w:val="396"/>
        </w:numPr>
        <w:spacing w:line="264" w:lineRule="auto"/>
        <w:ind w:left="0" w:firstLine="709"/>
        <w:contextualSpacing/>
        <w:jc w:val="left"/>
        <w:rPr>
          <w:rFonts w:ascii="Arial" w:eastAsia="Cambria" w:hAnsi="Arial" w:cs="Arial"/>
          <w:szCs w:val="28"/>
          <w:lang w:val="uk-UA"/>
        </w:rPr>
      </w:pPr>
      <w:r w:rsidRPr="00511005">
        <w:rPr>
          <w:rFonts w:ascii="Arial" w:eastAsia="Cambria" w:hAnsi="Arial" w:cs="Arial"/>
          <w:szCs w:val="28"/>
          <w:lang w:val="uk-UA"/>
        </w:rPr>
        <w:t>Постанова Касаційного цивільного суду у складі Верховного Суду від 14.04.2022 у справі № 308/9708/19 URL: https://reyestr.court.gov.ua/Review/104377676. – Назва з екрана.</w:t>
      </w:r>
    </w:p>
    <w:p w14:paraId="403A562F" w14:textId="77777777" w:rsidR="005F048D" w:rsidRPr="00511005" w:rsidRDefault="005F048D" w:rsidP="003F6A5D">
      <w:pPr>
        <w:numPr>
          <w:ilvl w:val="0"/>
          <w:numId w:val="396"/>
        </w:numPr>
        <w:spacing w:line="264" w:lineRule="auto"/>
        <w:ind w:left="0" w:firstLine="709"/>
        <w:contextualSpacing/>
        <w:jc w:val="left"/>
        <w:rPr>
          <w:rFonts w:ascii="Arial" w:eastAsia="Cambria" w:hAnsi="Arial" w:cs="Arial"/>
          <w:szCs w:val="28"/>
          <w:lang w:val="uk-UA"/>
        </w:rPr>
      </w:pPr>
      <w:r w:rsidRPr="00511005">
        <w:rPr>
          <w:rFonts w:ascii="Arial" w:eastAsia="Cambria" w:hAnsi="Arial" w:cs="Arial"/>
          <w:szCs w:val="28"/>
          <w:lang w:val="uk-UA"/>
        </w:rPr>
        <w:t>Римський статут Міжнародного кримінального суду від 17 липня 1998 р. – Рим, 1998. – URL: https://www.icc-cpi.int/sites/default/files/RS-Eng.pdf</w:t>
      </w:r>
    </w:p>
    <w:p w14:paraId="19091DF8" w14:textId="77777777" w:rsidR="005F048D" w:rsidRPr="00511005" w:rsidRDefault="005F048D" w:rsidP="003F6A5D">
      <w:pPr>
        <w:numPr>
          <w:ilvl w:val="0"/>
          <w:numId w:val="396"/>
        </w:numPr>
        <w:spacing w:line="264" w:lineRule="auto"/>
        <w:ind w:left="0" w:firstLine="709"/>
        <w:contextualSpacing/>
        <w:jc w:val="left"/>
        <w:rPr>
          <w:rFonts w:ascii="Arial" w:eastAsia="Cambria" w:hAnsi="Arial" w:cs="Arial"/>
          <w:szCs w:val="28"/>
          <w:lang w:val="uk-UA"/>
        </w:rPr>
      </w:pPr>
      <w:r w:rsidRPr="00511005">
        <w:rPr>
          <w:rFonts w:ascii="Arial" w:eastAsia="Cambria" w:hAnsi="Arial" w:cs="Arial"/>
          <w:szCs w:val="28"/>
          <w:lang w:val="uk-UA"/>
        </w:rPr>
        <w:t>Справа № 752/19169/20 (Голосіївський районний суд м. Києва) // Єдиний державний реєстр судових рішень URL: https://reyestr.court.gov.ua – Назва з екрана.</w:t>
      </w:r>
    </w:p>
    <w:p w14:paraId="0DCF8538" w14:textId="77777777" w:rsidR="005F048D" w:rsidRPr="00511005" w:rsidRDefault="005F048D" w:rsidP="003F6A5D">
      <w:pPr>
        <w:numPr>
          <w:ilvl w:val="0"/>
          <w:numId w:val="396"/>
        </w:numPr>
        <w:spacing w:line="264" w:lineRule="auto"/>
        <w:ind w:left="0" w:firstLine="709"/>
        <w:contextualSpacing/>
        <w:jc w:val="left"/>
        <w:rPr>
          <w:rFonts w:ascii="Arial" w:eastAsia="Cambria" w:hAnsi="Arial" w:cs="Arial"/>
          <w:szCs w:val="28"/>
          <w:lang w:val="uk-UA"/>
        </w:rPr>
      </w:pPr>
      <w:r w:rsidRPr="00511005">
        <w:rPr>
          <w:rFonts w:ascii="Arial" w:eastAsia="Cambria" w:hAnsi="Arial" w:cs="Arial"/>
          <w:szCs w:val="28"/>
          <w:lang w:val="uk-UA"/>
        </w:rPr>
        <w:t>Цивільний процесуальний кодекс України: Закон України від 18 берез. 2004 р. № 1618-IV : Відомості Верховної Ради України. – 2004. – № 40–41, № 42, № 43. – Ст. 492.</w:t>
      </w:r>
    </w:p>
    <w:p w14:paraId="6D366BD0" w14:textId="23DAB680" w:rsidR="005F048D" w:rsidRPr="00511005" w:rsidRDefault="005F048D" w:rsidP="003F6A5D">
      <w:pPr>
        <w:numPr>
          <w:ilvl w:val="0"/>
          <w:numId w:val="396"/>
        </w:numPr>
        <w:spacing w:line="264" w:lineRule="auto"/>
        <w:ind w:left="0" w:firstLine="709"/>
        <w:contextualSpacing/>
        <w:jc w:val="left"/>
        <w:rPr>
          <w:rFonts w:ascii="Arial" w:eastAsia="Cambria" w:hAnsi="Arial" w:cs="Arial"/>
          <w:szCs w:val="28"/>
          <w:lang w:val="uk-UA"/>
        </w:rPr>
      </w:pPr>
      <w:r w:rsidRPr="00511005">
        <w:rPr>
          <w:rFonts w:ascii="Arial" w:eastAsia="Cambria" w:hAnsi="Arial" w:cs="Arial"/>
          <w:szCs w:val="28"/>
          <w:lang w:val="uk-UA"/>
        </w:rPr>
        <w:t>Штефан О. О. Цивільний процес : підручник. О. О. Штефан. – 4-те вид., переробл. і допов. – К. : Істина, 2024. –</w:t>
      </w:r>
      <w:r w:rsidR="007B2628" w:rsidRPr="00511005">
        <w:rPr>
          <w:rFonts w:ascii="Arial" w:eastAsia="Cambria" w:hAnsi="Arial" w:cs="Arial"/>
          <w:szCs w:val="28"/>
          <w:lang w:val="uk-UA"/>
        </w:rPr>
        <w:t xml:space="preserve"> </w:t>
      </w:r>
      <w:r w:rsidRPr="00511005">
        <w:rPr>
          <w:rFonts w:ascii="Arial" w:eastAsia="Cambria" w:hAnsi="Arial" w:cs="Arial"/>
          <w:szCs w:val="28"/>
          <w:lang w:val="uk-UA"/>
        </w:rPr>
        <w:t>С. 345-348.</w:t>
      </w:r>
    </w:p>
    <w:p w14:paraId="5BD30CC9" w14:textId="77777777" w:rsidR="005F048D" w:rsidRPr="00511005" w:rsidRDefault="005F048D" w:rsidP="003A292D">
      <w:pPr>
        <w:spacing w:line="264" w:lineRule="auto"/>
        <w:ind w:firstLine="0"/>
        <w:rPr>
          <w:rFonts w:ascii="Arial" w:eastAsia="Arial" w:hAnsi="Arial" w:cs="Arial"/>
          <w:b/>
          <w:bCs/>
          <w:szCs w:val="28"/>
          <w:lang w:val="uk-UA" w:eastAsia="uk-UA"/>
        </w:rPr>
      </w:pPr>
    </w:p>
    <w:p w14:paraId="4A9E6F88" w14:textId="461A36A4" w:rsidR="005F048D" w:rsidRPr="00511005" w:rsidRDefault="007B2628" w:rsidP="003A292D">
      <w:pPr>
        <w:spacing w:line="264" w:lineRule="auto"/>
        <w:rPr>
          <w:rFonts w:ascii="Arial" w:eastAsia="Arial" w:hAnsi="Arial" w:cs="Arial"/>
          <w:szCs w:val="28"/>
          <w:lang w:val="uk-UA" w:eastAsia="uk-UA"/>
        </w:rPr>
      </w:pPr>
      <w:r w:rsidRPr="00511005">
        <w:rPr>
          <w:rFonts w:ascii="Arial" w:eastAsia="Arial" w:hAnsi="Arial" w:cs="Arial"/>
          <w:b/>
          <w:bCs/>
          <w:i/>
          <w:szCs w:val="28"/>
          <w:lang w:val="uk-UA" w:eastAsia="uk-UA"/>
        </w:rPr>
        <w:lastRenderedPageBreak/>
        <w:t xml:space="preserve">Ключові слова: </w:t>
      </w:r>
      <w:r w:rsidR="005F048D" w:rsidRPr="00511005">
        <w:rPr>
          <w:rFonts w:ascii="Arial" w:eastAsia="Arial" w:hAnsi="Arial" w:cs="Arial"/>
          <w:bCs/>
          <w:szCs w:val="28"/>
          <w:lang w:val="uk-UA" w:eastAsia="uk-UA"/>
        </w:rPr>
        <w:t>цивільний процес</w:t>
      </w:r>
      <w:r w:rsidR="005F048D" w:rsidRPr="00511005">
        <w:rPr>
          <w:rFonts w:ascii="Arial" w:eastAsia="Arial" w:hAnsi="Arial" w:cs="Arial"/>
          <w:szCs w:val="28"/>
          <w:lang w:val="uk-UA" w:eastAsia="uk-UA"/>
        </w:rPr>
        <w:t xml:space="preserve">, </w:t>
      </w:r>
      <w:r w:rsidR="005F048D" w:rsidRPr="00511005">
        <w:rPr>
          <w:rFonts w:ascii="Arial" w:eastAsia="Arial" w:hAnsi="Arial" w:cs="Arial"/>
          <w:bCs/>
          <w:szCs w:val="28"/>
          <w:lang w:val="uk-UA" w:eastAsia="uk-UA"/>
        </w:rPr>
        <w:t>агресія росії</w:t>
      </w:r>
      <w:r w:rsidR="005F048D" w:rsidRPr="00511005">
        <w:rPr>
          <w:rFonts w:ascii="Arial" w:eastAsia="Arial" w:hAnsi="Arial" w:cs="Arial"/>
          <w:szCs w:val="28"/>
          <w:lang w:val="uk-UA" w:eastAsia="uk-UA"/>
        </w:rPr>
        <w:t xml:space="preserve">, </w:t>
      </w:r>
      <w:r w:rsidR="005F048D" w:rsidRPr="00511005">
        <w:rPr>
          <w:rFonts w:ascii="Arial" w:eastAsia="Arial" w:hAnsi="Arial" w:cs="Arial"/>
          <w:bCs/>
          <w:szCs w:val="28"/>
          <w:lang w:val="uk-UA" w:eastAsia="uk-UA"/>
        </w:rPr>
        <w:t>компенсація шкоди</w:t>
      </w:r>
      <w:r w:rsidR="005F048D" w:rsidRPr="00511005">
        <w:rPr>
          <w:rFonts w:ascii="Arial" w:eastAsia="Arial" w:hAnsi="Arial" w:cs="Arial"/>
          <w:szCs w:val="28"/>
          <w:lang w:val="uk-UA" w:eastAsia="uk-UA"/>
        </w:rPr>
        <w:t xml:space="preserve">, </w:t>
      </w:r>
      <w:r w:rsidR="005F048D" w:rsidRPr="00511005">
        <w:rPr>
          <w:rFonts w:ascii="Arial" w:eastAsia="Arial" w:hAnsi="Arial" w:cs="Arial"/>
          <w:bCs/>
          <w:szCs w:val="28"/>
          <w:lang w:val="uk-UA" w:eastAsia="uk-UA"/>
        </w:rPr>
        <w:t>юрисдикційний імунітет</w:t>
      </w:r>
      <w:r w:rsidR="005F048D" w:rsidRPr="00511005">
        <w:rPr>
          <w:rFonts w:ascii="Arial" w:eastAsia="Arial" w:hAnsi="Arial" w:cs="Arial"/>
          <w:szCs w:val="28"/>
          <w:lang w:val="uk-UA" w:eastAsia="uk-UA"/>
        </w:rPr>
        <w:t xml:space="preserve">, </w:t>
      </w:r>
      <w:r w:rsidR="005F048D" w:rsidRPr="00511005">
        <w:rPr>
          <w:rFonts w:ascii="Arial" w:eastAsia="Arial" w:hAnsi="Arial" w:cs="Arial"/>
          <w:bCs/>
          <w:szCs w:val="28"/>
          <w:lang w:val="uk-UA" w:eastAsia="uk-UA"/>
        </w:rPr>
        <w:t>відшкодування збитків</w:t>
      </w:r>
      <w:r w:rsidR="005F048D" w:rsidRPr="00511005">
        <w:rPr>
          <w:rFonts w:ascii="Arial" w:eastAsia="Arial" w:hAnsi="Arial" w:cs="Arial"/>
          <w:szCs w:val="28"/>
          <w:lang w:val="uk-UA" w:eastAsia="uk-UA"/>
        </w:rPr>
        <w:t>.</w:t>
      </w:r>
    </w:p>
    <w:p w14:paraId="3B299F8E" w14:textId="3A091C37" w:rsidR="005F048D" w:rsidRPr="00511005" w:rsidRDefault="007B2628" w:rsidP="003A292D">
      <w:pPr>
        <w:spacing w:line="264" w:lineRule="auto"/>
        <w:rPr>
          <w:rFonts w:ascii="Arial" w:eastAsia="Arial" w:hAnsi="Arial" w:cs="Arial"/>
          <w:bCs/>
          <w:szCs w:val="28"/>
          <w:lang w:val="uk-UA" w:eastAsia="uk-UA"/>
        </w:rPr>
      </w:pPr>
      <w:r w:rsidRPr="00511005">
        <w:rPr>
          <w:rFonts w:ascii="Arial" w:eastAsia="Arial" w:hAnsi="Arial" w:cs="Arial"/>
          <w:b/>
          <w:bCs/>
          <w:i/>
          <w:szCs w:val="28"/>
          <w:lang w:val="uk-UA" w:eastAsia="uk-UA"/>
        </w:rPr>
        <w:t xml:space="preserve">Key words: </w:t>
      </w:r>
      <w:r w:rsidR="005F048D" w:rsidRPr="00511005">
        <w:rPr>
          <w:rFonts w:ascii="Arial" w:eastAsia="Arial" w:hAnsi="Arial" w:cs="Arial"/>
          <w:bCs/>
          <w:szCs w:val="28"/>
          <w:lang w:val="uk-UA" w:eastAsia="uk-UA"/>
        </w:rPr>
        <w:t>civil process, russian aggression, compensation for damage, jurisdictional immunity, compensation for damages.</w:t>
      </w:r>
    </w:p>
    <w:p w14:paraId="46DADAAF" w14:textId="77777777" w:rsidR="005F048D" w:rsidRPr="00511005" w:rsidRDefault="005F048D" w:rsidP="003A292D">
      <w:pPr>
        <w:spacing w:line="264" w:lineRule="auto"/>
        <w:rPr>
          <w:rFonts w:ascii="Arial" w:eastAsia="Arial" w:hAnsi="Arial" w:cs="Arial"/>
          <w:szCs w:val="28"/>
          <w:lang w:val="uk-UA" w:eastAsia="uk-UA"/>
        </w:rPr>
      </w:pPr>
    </w:p>
    <w:p w14:paraId="55044C15" w14:textId="488AC9F3" w:rsidR="005F048D" w:rsidRPr="00511005" w:rsidRDefault="007B2628" w:rsidP="003A292D">
      <w:pPr>
        <w:spacing w:line="264" w:lineRule="auto"/>
        <w:ind w:firstLine="708"/>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383DE9" w:rsidRPr="00511005">
        <w:rPr>
          <w:rFonts w:ascii="Arial" w:eastAsia="Times New Roman" w:hAnsi="Arial" w:cs="Arial"/>
          <w:i/>
          <w:szCs w:val="28"/>
          <w:lang w:val="uk-UA" w:eastAsia="uk-UA"/>
        </w:rPr>
        <w:t xml:space="preserve">к.ю.н., </w:t>
      </w:r>
      <w:r w:rsidR="005F048D" w:rsidRPr="00511005">
        <w:rPr>
          <w:rFonts w:ascii="Arial" w:eastAsia="Times New Roman" w:hAnsi="Arial" w:cs="Arial"/>
          <w:i/>
          <w:szCs w:val="28"/>
          <w:lang w:val="uk-UA" w:eastAsia="uk-UA"/>
        </w:rPr>
        <w:t>доцент Стоянова Т.А.</w:t>
      </w:r>
    </w:p>
    <w:p w14:paraId="20E799AC" w14:textId="77777777" w:rsidR="005F048D" w:rsidRPr="00511005" w:rsidRDefault="005F048D" w:rsidP="003A292D">
      <w:pPr>
        <w:spacing w:line="264" w:lineRule="auto"/>
        <w:ind w:firstLine="0"/>
        <w:jc w:val="left"/>
        <w:rPr>
          <w:rFonts w:ascii="Arial" w:eastAsia="Times New Roman" w:hAnsi="Arial" w:cs="Arial"/>
          <w:i/>
          <w:szCs w:val="28"/>
          <w:lang w:val="uk-UA" w:eastAsia="uk-UA"/>
        </w:rPr>
      </w:pPr>
    </w:p>
    <w:p w14:paraId="6FFF1F5E"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Кривуля Єлизавета Олександрівна</w:t>
      </w:r>
    </w:p>
    <w:p w14:paraId="296348B8" w14:textId="7BD81FB5"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3-го курсу </w:t>
      </w:r>
    </w:p>
    <w:p w14:paraId="60E98027"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цивільної та господарської юстиції</w:t>
      </w:r>
    </w:p>
    <w:p w14:paraId="78E632AE" w14:textId="72790462"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3233273C"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6F750388"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СУДОВІ ДЕБАТИ</w:t>
      </w:r>
    </w:p>
    <w:p w14:paraId="77157755"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 xml:space="preserve">На сучасному етапі розвитку судового процесу та його практики, все менше уваги приділяється судовим дебатам. Досліджуючи кожну справу суд має бути незалежним та неупередженим щодо кожного учасника справи, тому всі справи слід розглядати не тільки на основі доказів але й з судовими дебатами. Саме судові дебати дають змогу суду «побачити» спір очами його учасників і оцінити реальні наслідки свого рішення для кожної із сторін. </w:t>
      </w:r>
    </w:p>
    <w:p w14:paraId="0D8FECB2"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У юридичній літературі Васильєв С. В., О.В. Гетманцев, Л.А. Кондратʼєва, Л.А. Остафійчук, А.Л. Паскар, І.Ю. Татулич зазначають, що «судові дебати– частина судового засідання, у якій підводять підсумки проведеного дослідження фактичних обставин справи, аналізують зібрані докази, висловлюють і обґрунтовують думки з приводу питань, що підлягають розгляду судом, і про те, як у цілому повинна бути вирішена справа»[1, с. 39; 2 с. 271]. Схожої точки зору притримуються Серкевич І.Р, Лісіцина Ю.О., - «судові дебати за своєю структурою є складною комунікативною взаємодією всіх учасників»[3, с. 336]. Проте є інша точка зору науковців, а саме - «судові дебати як самостійна частина судового розгляду включають у себе дії суду щодо організації судових виступів, керівництво ними й контроль за їхнім здійсненням» [7]. Не зважаючи на те, що це твердження не є популярним, але воно найбільш точно описує весь етап судових дебатів.</w:t>
      </w:r>
    </w:p>
    <w:p w14:paraId="65782308"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Досліджуючи історію розвитку судових дебатів, необхідно зазначити, що перші дебати у судовому процесі з’явилися ще в Стародавній Греції та Стародавньому Римі. З самого початку сторони могли самостійно захищати себе за допомогою промов в яких були заподіяні: ораторського мистецтва, риторики, аналогій та логіки. Проте, мало хто з тодішніх місцевих вмів вміло використовувати мистецтво мови на свою користь. Через це римляни звертались до своїх друзів та рідних, щоб ті представляли та захищали їхні інтереси. Таким чином з’явилися перші адвокати, які повинні були володіти ораторським мистецтвом [8, с. 47] .</w:t>
      </w:r>
    </w:p>
    <w:p w14:paraId="4CE4D6DA" w14:textId="1CF2EC96"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ab/>
        <w:t>За своєю природою судові дебати виражають в собі принципи закріплені в</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Конституції України, а саме: змагальності сторін, рівності усіх учасників судового процесу перед законом і судом [4]. Принцип змагальності сторін проявляється в можливості кожної сторони виступити з промовою в якій буде зазначена суб’єктивна оцінка доказів по справі, можливі пропозиції щодо рішення суду, прохання до суду (наприклад залишити рішення суду першої інстанції без змін) та репліки з боку кожної із сторін.</w:t>
      </w:r>
    </w:p>
    <w:p w14:paraId="02134716"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Стаття 242 Цивільного процесуального кодексу України передбачає черговість виступу сторін під час судових дебатів. Перше слово надається позивачу та його представнику, потім свою промову оголошує відповідач та його представник. Така черговість дає змогу відповідачу дізнатися більше про вимоги іншої сторони та вчасно відредагувати свою промову, що підвищує шанси на успішний захист своїх прав у суді. Дещо різниться черговість виступів, коли у спір вступають треті особи. Треті особи без самостійних вимог виступають у судових дебатах після особи, на стороні якої вони беруть участь. В свою чергу, треті особи, які заявили самостійні позовні вимоги щодо предмета спору, та їхній представник у судових дебатах виступають після сторін. З дозволу суду сторони також можуть обмінюватись репліками [5].</w:t>
      </w:r>
    </w:p>
    <w:p w14:paraId="389ABAF5"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Також необхідно зазначити, що в законодавстві не регламентується точний час за який сторони повинні проголосити свою промову, посилаючись на «розумний час» для оголошення промов. Така позиція законодавця опирається на індивідуальності кожної справи, проте через таку невизначеність судові дебати можуть бути стиснуті до мінімуму. На практиці деякі судові дебати проходять за пару хвилин.</w:t>
      </w:r>
      <w:r w:rsidRPr="00511005">
        <w:rPr>
          <w:rFonts w:ascii="Arial" w:eastAsia="Times New Roman" w:hAnsi="Arial" w:cs="Arial"/>
          <w:szCs w:val="28"/>
          <w:lang w:val="uk-UA" w:eastAsia="uk-UA"/>
        </w:rPr>
        <w:tab/>
      </w:r>
    </w:p>
    <w:p w14:paraId="23032A0A"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 xml:space="preserve">Ґрунтуючись на ч.7 ст. 242 Цивільного процесуального кодексу України необхідно зазначити, що судові дебати є комплексним терміном. Якщо дивитись з точки зору виступів сторін, то судові дебати складаються з промови (заключного слова) та репліки. Реплікою, за визначеннями Бачинської Н. О. та Дідушин В. В., є відповідь, заперечення одного учасника судових дебатів на заяву іншого, зроблені в судовій промові або репліці. [6, с. 213]. Для відповідача вона є засобом викладання думок з приводу положень і доводів позивача і навпаки, для позивача вона є способом заперечити доводи іншої сторони. Останню репліку завжди промовляє відповідач або його представник. </w:t>
      </w:r>
    </w:p>
    <w:p w14:paraId="4B7094BA"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 xml:space="preserve">З боку процедури - судові дебати складаються з виступів сторін спору та з діянь суду, який контролює здійснення судових дебатів. Також у судових дебатах виступають представники сторін. При виступі у наукових дебатах представники, як адвокати використовують свої знання з права, ораторського мистецтва, психології та риторики. Представники ретельно складають свої промови. Успішна промова має містити уміле обґрунтування справи, яке поєднано з логічною аргументацією, ґрунтується на достовірних </w:t>
      </w:r>
      <w:r w:rsidRPr="00511005">
        <w:rPr>
          <w:rFonts w:ascii="Arial" w:eastAsia="Times New Roman" w:hAnsi="Arial" w:cs="Arial"/>
          <w:szCs w:val="28"/>
          <w:lang w:val="uk-UA" w:eastAsia="uk-UA"/>
        </w:rPr>
        <w:lastRenderedPageBreak/>
        <w:t>фактах та має виражене емоційне забарвлення. Всі ці складові повинні вразити суд, переконати його у своїй версії подій, на підставі доказів, які були досліджені при розгляді справи.</w:t>
      </w:r>
    </w:p>
    <w:p w14:paraId="39068E45"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Наразі судові дебати можна відокремити, як певну частину судового засідання, але у більшості випадків суд не надає сторонам виступити зі своєю промовою на судових дебатах, зводячи її до відповідей сторін на питання «Яке ваше прохання до суду?». На нашу думку такі дії з боку суду є неправомірними, оскільки сторони не мають змоги надати пояснення обставинам справи, доказам тощо. З одного боку, таке рішення однозначно збільшило кількість вільного часу на перегляд інших справ, з іншого це суттєво погіршує можливість для оскарження вже наявних доказів. Виключення суб’єктивних чинників може обмежити кругозір суду, що в свою чергу здатне повпливати на прийняття судового рішення.</w:t>
      </w:r>
    </w:p>
    <w:p w14:paraId="4B8CB9B8" w14:textId="79C31E4B" w:rsidR="005F048D"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Отже, судові дебати – це частина розгляду справи по суті, яка складається з виступів сторін, судового контролю справи та є певною комунікацією сторін справи з судом. Функціональним значенням судових дебатів є реалізація принципу змагальності сторін, підсумування позицій сторін та остаточне формування судового рішення за допомогою впливу на суд. Цей етап розгляду справи по суті , забезпечує право на обґрунтований захист та створює умови для більш повного і справедливого розгляду справи. Історичний аспект судових дебатів та численні наукові праці підтверджують вагоме значення дебатів у судовому процесі. На даний момент спостерігається тенденція до нехтування судовими дебатами, їх формальне скорочення або об'єднання з ухваленням рішення, що суперечить як процесуальним нормам, так і загальним засадам правосуддя.</w:t>
      </w:r>
      <w:r w:rsidR="007B2628" w:rsidRPr="00511005">
        <w:rPr>
          <w:rFonts w:ascii="Arial" w:eastAsia="Times New Roman" w:hAnsi="Arial" w:cs="Arial"/>
          <w:szCs w:val="28"/>
          <w:lang w:val="uk-UA" w:eastAsia="uk-UA"/>
        </w:rPr>
        <w:t xml:space="preserve"> </w:t>
      </w:r>
    </w:p>
    <w:p w14:paraId="4D6E1570" w14:textId="77777777" w:rsidR="00365F78" w:rsidRPr="00511005" w:rsidRDefault="00365F78" w:rsidP="003A292D">
      <w:pPr>
        <w:spacing w:line="264" w:lineRule="auto"/>
        <w:ind w:firstLine="0"/>
        <w:rPr>
          <w:rFonts w:ascii="Arial" w:eastAsia="Times New Roman" w:hAnsi="Arial" w:cs="Arial"/>
          <w:szCs w:val="28"/>
          <w:lang w:val="uk-UA" w:eastAsia="uk-UA"/>
        </w:rPr>
      </w:pPr>
    </w:p>
    <w:p w14:paraId="70BD9AB6" w14:textId="60961C28"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Списoк </w:t>
      </w:r>
      <w:r w:rsidR="00365F78" w:rsidRPr="00511005">
        <w:rPr>
          <w:rFonts w:ascii="Arial" w:eastAsia="Times New Roman" w:hAnsi="Arial" w:cs="Arial"/>
          <w:b/>
          <w:szCs w:val="28"/>
          <w:lang w:val="uk-UA" w:eastAsia="uk-UA"/>
        </w:rPr>
        <w:t>викoристан</w:t>
      </w:r>
      <w:r w:rsidR="00365F78">
        <w:rPr>
          <w:rFonts w:ascii="Arial" w:eastAsia="Times New Roman" w:hAnsi="Arial" w:cs="Arial"/>
          <w:b/>
          <w:szCs w:val="28"/>
          <w:lang w:val="uk-UA" w:eastAsia="uk-UA"/>
        </w:rPr>
        <w:t>их джерел</w:t>
      </w:r>
    </w:p>
    <w:p w14:paraId="34E53446" w14:textId="77777777" w:rsidR="005F048D" w:rsidRPr="00511005" w:rsidRDefault="005F048D" w:rsidP="003F6A5D">
      <w:pPr>
        <w:numPr>
          <w:ilvl w:val="0"/>
          <w:numId w:val="38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Цивільне процесуальне право України (Особлива частина): підруч. / О.В. Гетманцев, Л.А. Кондрат'єва, Л.А. Остафійчук, А.Л. Паскар, І.Ю. Татулич; за ред. О.В. Гетманцева. Чернівці: Чернівец. нац. ун-т ім. Ю. Федьковича, 2022р. 240 с.</w:t>
      </w:r>
    </w:p>
    <w:p w14:paraId="58133A85" w14:textId="7B26D12E" w:rsidR="005F048D" w:rsidRPr="00511005" w:rsidRDefault="005F048D" w:rsidP="003F6A5D">
      <w:pPr>
        <w:numPr>
          <w:ilvl w:val="0"/>
          <w:numId w:val="38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 Підручник. / С. В. Васильєв – К.: Алерта, 2019 р. – 506 с. URL:https://fpk.in.ua/images/biblioteka/3bac_pravo/Vasylyev-S.V.-Tsyvilnyy-</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protses.-Pidruchnyk.-2019.pdf</w:t>
      </w:r>
    </w:p>
    <w:p w14:paraId="74B8D907" w14:textId="77777777" w:rsidR="005F048D" w:rsidRPr="00511005" w:rsidRDefault="005938AD" w:rsidP="003F6A5D">
      <w:pPr>
        <w:numPr>
          <w:ilvl w:val="0"/>
          <w:numId w:val="382"/>
        </w:numPr>
        <w:spacing w:line="264" w:lineRule="auto"/>
        <w:ind w:left="0" w:firstLine="851"/>
        <w:jc w:val="left"/>
        <w:rPr>
          <w:rFonts w:ascii="Arial" w:eastAsia="Times New Roman" w:hAnsi="Arial" w:cs="Arial"/>
          <w:szCs w:val="28"/>
          <w:lang w:val="uk-UA" w:eastAsia="uk-UA"/>
        </w:rPr>
      </w:pPr>
      <w:hyperlink r:id="rId1434">
        <w:r w:rsidR="005F048D" w:rsidRPr="00511005">
          <w:rPr>
            <w:rFonts w:ascii="Arial" w:eastAsia="Times New Roman" w:hAnsi="Arial" w:cs="Arial"/>
            <w:szCs w:val="28"/>
            <w:lang w:val="uk-UA" w:eastAsia="uk-UA"/>
          </w:rPr>
          <w:t xml:space="preserve"> </w:t>
        </w:r>
      </w:hyperlink>
      <w:r w:rsidR="005F048D" w:rsidRPr="00511005">
        <w:rPr>
          <w:rFonts w:ascii="Arial" w:eastAsia="Times New Roman" w:hAnsi="Arial" w:cs="Arial"/>
          <w:szCs w:val="28"/>
          <w:lang w:val="uk-UA" w:eastAsia="uk-UA"/>
        </w:rPr>
        <w:t xml:space="preserve">Цивільний процесуальний кодекс України : Кодекс України від 18.03.2004 р. № 1618-IV : станом на 21 квіт. 2025 р. URL: -15"https://zakon.rada.gov.ua/laws/show/1618-15#Text </w:t>
      </w:r>
    </w:p>
    <w:p w14:paraId="726AE424" w14:textId="77777777" w:rsidR="005F048D" w:rsidRPr="00511005" w:rsidRDefault="005F048D" w:rsidP="003F6A5D">
      <w:pPr>
        <w:numPr>
          <w:ilvl w:val="0"/>
          <w:numId w:val="38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Бачинська Н.О, Дідушин В.В. Судові дебати як етап судового розгляду в цивільному процесі. </w:t>
      </w:r>
      <w:r w:rsidRPr="00511005">
        <w:rPr>
          <w:rFonts w:ascii="Arial" w:eastAsia="Times New Roman" w:hAnsi="Arial" w:cs="Arial"/>
          <w:i/>
          <w:szCs w:val="28"/>
          <w:lang w:val="uk-UA" w:eastAsia="uk-UA"/>
        </w:rPr>
        <w:t>Період трансформаційних процесів в світовій науці: задачі та виклики</w:t>
      </w:r>
      <w:r w:rsidRPr="00511005">
        <w:rPr>
          <w:rFonts w:ascii="Arial" w:eastAsia="Times New Roman" w:hAnsi="Arial" w:cs="Arial"/>
          <w:szCs w:val="28"/>
          <w:lang w:val="uk-UA" w:eastAsia="uk-UA"/>
        </w:rPr>
        <w:t xml:space="preserve">. 2024 р. 211–213 с.URL:/13194/1/50-72-PB.pdf"https://sci.ldubgd.edu.ua/bitstream/123456789/13194/1/50-72-PB.pdf#page=211 </w:t>
      </w:r>
    </w:p>
    <w:p w14:paraId="09BF2A00" w14:textId="77777777" w:rsidR="005F048D" w:rsidRPr="00511005" w:rsidRDefault="005F048D" w:rsidP="003F6A5D">
      <w:pPr>
        <w:numPr>
          <w:ilvl w:val="0"/>
          <w:numId w:val="38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Дзюба І. Особливості судових дебатів у судовому процесі розгляду цивільної справи та їх специфіка. </w:t>
      </w:r>
      <w:r w:rsidRPr="00511005">
        <w:rPr>
          <w:rFonts w:ascii="Arial" w:eastAsia="Times New Roman" w:hAnsi="Arial" w:cs="Arial"/>
          <w:i/>
          <w:szCs w:val="28"/>
          <w:lang w:val="uk-UA" w:eastAsia="uk-UA"/>
        </w:rPr>
        <w:t>Науковий вісник Дніпропетровського державного університету внутрішніх справ</w:t>
      </w:r>
      <w:r w:rsidRPr="00511005">
        <w:rPr>
          <w:rFonts w:ascii="Arial" w:eastAsia="Times New Roman" w:hAnsi="Arial" w:cs="Arial"/>
          <w:szCs w:val="28"/>
          <w:lang w:val="uk-UA" w:eastAsia="uk-UA"/>
        </w:rPr>
        <w:t xml:space="preserve">. 2023 р. № 1. С. 171–178.URL: </w:t>
      </w:r>
      <w:hyperlink r:id="rId1435">
        <w:r w:rsidRPr="00511005">
          <w:rPr>
            <w:rFonts w:ascii="Arial" w:eastAsia="Times New Roman" w:hAnsi="Arial" w:cs="Arial"/>
            <w:szCs w:val="28"/>
            <w:lang w:val="uk-UA" w:eastAsia="uk-UA"/>
          </w:rPr>
          <w:t>https://visnik.dduvs.edu.ua/index.php/visnyk/article/view/726/633</w:t>
        </w:r>
      </w:hyperlink>
      <w:r w:rsidRPr="00511005">
        <w:rPr>
          <w:rFonts w:ascii="Arial" w:eastAsia="Times New Roman" w:hAnsi="Arial" w:cs="Arial"/>
          <w:szCs w:val="28"/>
          <w:lang w:val="uk-UA" w:eastAsia="uk-UA"/>
        </w:rPr>
        <w:t xml:space="preserve"> </w:t>
      </w:r>
    </w:p>
    <w:p w14:paraId="05BAEB4A" w14:textId="77777777" w:rsidR="005F048D" w:rsidRPr="00511005" w:rsidRDefault="005F048D" w:rsidP="003F6A5D">
      <w:pPr>
        <w:numPr>
          <w:ilvl w:val="0"/>
          <w:numId w:val="38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Романова А, Чорнобай О. Становлення юридичної аргументації у період античності та римського права. </w:t>
      </w:r>
      <w:r w:rsidRPr="00511005">
        <w:rPr>
          <w:rFonts w:ascii="Arial" w:eastAsia="Times New Roman" w:hAnsi="Arial" w:cs="Arial"/>
          <w:i/>
          <w:szCs w:val="28"/>
          <w:lang w:val="uk-UA" w:eastAsia="uk-UA"/>
        </w:rPr>
        <w:t>Вісник національного університету «Львівська політехніка« : юридичні науки</w:t>
      </w:r>
      <w:r w:rsidRPr="00511005">
        <w:rPr>
          <w:rFonts w:ascii="Arial" w:eastAsia="Times New Roman" w:hAnsi="Arial" w:cs="Arial"/>
          <w:szCs w:val="28"/>
          <w:lang w:val="uk-UA" w:eastAsia="uk-UA"/>
        </w:rPr>
        <w:t xml:space="preserve">. 2018 р. 45–50 с. URL:https://science.lpnu.ua/sites/default/files/journal-paper/2019/aug/17846/9.pdf </w:t>
      </w:r>
    </w:p>
    <w:p w14:paraId="6EE12C94" w14:textId="77777777" w:rsidR="005F048D" w:rsidRPr="00511005" w:rsidRDefault="005F048D" w:rsidP="003A292D">
      <w:pPr>
        <w:spacing w:line="264" w:lineRule="auto"/>
        <w:ind w:firstLine="851"/>
        <w:rPr>
          <w:rFonts w:ascii="Arial" w:eastAsia="Times New Roman" w:hAnsi="Arial" w:cs="Arial"/>
          <w:b/>
          <w:szCs w:val="28"/>
          <w:lang w:val="uk-UA" w:eastAsia="uk-UA"/>
        </w:rPr>
      </w:pPr>
    </w:p>
    <w:p w14:paraId="2D221A0A" w14:textId="36E53C0F" w:rsidR="007B2628"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szCs w:val="28"/>
          <w:lang w:val="uk-UA" w:eastAsia="uk-UA"/>
        </w:rPr>
        <w:tab/>
      </w:r>
      <w:r w:rsidR="007B2628" w:rsidRPr="00511005">
        <w:rPr>
          <w:rFonts w:ascii="Arial" w:eastAsia="Times New Roman" w:hAnsi="Arial" w:cs="Arial"/>
          <w:b/>
          <w:i/>
          <w:szCs w:val="28"/>
          <w:lang w:val="uk-UA" w:eastAsia="uk-UA"/>
        </w:rPr>
        <w:t xml:space="preserve">Ключові слова: </w:t>
      </w:r>
      <w:r w:rsidRPr="00511005">
        <w:rPr>
          <w:rFonts w:ascii="Arial" w:eastAsia="Times New Roman" w:hAnsi="Arial" w:cs="Arial"/>
          <w:szCs w:val="28"/>
          <w:lang w:val="uk-UA" w:eastAsia="uk-UA"/>
        </w:rPr>
        <w:t>судові дебати, промова, судове засідання, представник, цивільний процес.</w:t>
      </w:r>
    </w:p>
    <w:p w14:paraId="4D9EBB7B" w14:textId="4536905D" w:rsidR="005F048D"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court debate, speech, court hearing, representative, civil process.</w:t>
      </w:r>
    </w:p>
    <w:p w14:paraId="5D8B42FC" w14:textId="47DD4131" w:rsidR="005F048D" w:rsidRPr="00511005" w:rsidRDefault="005F048D" w:rsidP="003A292D">
      <w:pPr>
        <w:spacing w:line="264" w:lineRule="auto"/>
        <w:ind w:firstLine="0"/>
        <w:rPr>
          <w:rFonts w:ascii="Arial" w:eastAsia="Times New Roman" w:hAnsi="Arial" w:cs="Arial"/>
          <w:i/>
          <w:szCs w:val="28"/>
          <w:lang w:val="uk-UA" w:eastAsia="uk-UA"/>
        </w:rPr>
      </w:pPr>
      <w:r w:rsidRPr="00511005">
        <w:rPr>
          <w:rFonts w:ascii="Arial" w:eastAsia="Times New Roman" w:hAnsi="Arial" w:cs="Arial"/>
          <w:i/>
          <w:szCs w:val="28"/>
          <w:lang w:val="uk-UA" w:eastAsia="uk-UA"/>
        </w:rPr>
        <w:tab/>
      </w:r>
      <w:r w:rsidR="007B2628" w:rsidRPr="00511005">
        <w:rPr>
          <w:rFonts w:ascii="Arial" w:eastAsia="Times New Roman" w:hAnsi="Arial" w:cs="Arial"/>
          <w:b/>
          <w:i/>
          <w:szCs w:val="28"/>
          <w:lang w:val="uk-UA" w:eastAsia="uk-UA"/>
        </w:rPr>
        <w:t xml:space="preserve">Науковий керівник: </w:t>
      </w:r>
      <w:r w:rsidRPr="00511005">
        <w:rPr>
          <w:rFonts w:ascii="Arial" w:eastAsia="Times New Roman" w:hAnsi="Arial" w:cs="Arial"/>
          <w:i/>
          <w:szCs w:val="28"/>
          <w:lang w:val="uk-UA" w:eastAsia="uk-UA"/>
        </w:rPr>
        <w:t>д.ю.н, професор Волкова Н.В.</w:t>
      </w:r>
    </w:p>
    <w:p w14:paraId="4295AD91"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7153F03D" w14:textId="0B74B82C"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Лебедевич Анна Дмитрівна</w:t>
      </w:r>
      <w:r w:rsidR="00170723">
        <w:rPr>
          <w:rFonts w:ascii="Arial" w:eastAsia="Times New Roman" w:hAnsi="Arial" w:cs="Arial"/>
          <w:b/>
          <w:i/>
          <w:szCs w:val="28"/>
          <w:lang w:val="uk-UA" w:eastAsia="uk-UA"/>
        </w:rPr>
        <w:t xml:space="preserve">, </w:t>
      </w:r>
      <w:r w:rsidRPr="00511005">
        <w:rPr>
          <w:rFonts w:ascii="Arial" w:eastAsia="Times New Roman" w:hAnsi="Arial" w:cs="Arial"/>
          <w:b/>
          <w:i/>
          <w:szCs w:val="28"/>
          <w:lang w:val="uk-UA" w:eastAsia="uk-UA"/>
        </w:rPr>
        <w:t>Письменна Ксенія Ігорівна</w:t>
      </w:r>
    </w:p>
    <w:p w14:paraId="7250E58E" w14:textId="77777777" w:rsidR="00550C73" w:rsidRPr="00511005" w:rsidRDefault="005F048D"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iCs/>
          <w:szCs w:val="28"/>
          <w:lang w:val="uk-UA" w:eastAsia="uk-UA"/>
        </w:rPr>
        <w:t>студентки 1</w:t>
      </w:r>
      <w:r w:rsidR="00550C73" w:rsidRPr="00511005">
        <w:rPr>
          <w:rFonts w:ascii="Arial" w:eastAsia="Times New Roman" w:hAnsi="Arial" w:cs="Arial"/>
          <w:bCs/>
          <w:iCs/>
          <w:szCs w:val="28"/>
          <w:lang w:val="uk-UA" w:eastAsia="ru-RU"/>
        </w:rPr>
        <w:t>-го курсу магістратури</w:t>
      </w:r>
    </w:p>
    <w:p w14:paraId="24835E91"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F028422" w14:textId="5ECF9C64" w:rsidR="005F048D" w:rsidRPr="00511005" w:rsidRDefault="00550C73" w:rsidP="00550C73">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szCs w:val="28"/>
          <w:lang w:eastAsia="ru-RU"/>
        </w:rPr>
        <w:t>Національного університету «Одеська юридична академія»</w:t>
      </w:r>
    </w:p>
    <w:p w14:paraId="3E93D4F5" w14:textId="77777777" w:rsidR="005F048D" w:rsidRPr="00511005" w:rsidRDefault="005F048D" w:rsidP="003A292D">
      <w:pPr>
        <w:spacing w:line="264" w:lineRule="auto"/>
        <w:rPr>
          <w:rFonts w:ascii="Arial" w:eastAsia="Times New Roman" w:hAnsi="Arial" w:cs="Arial"/>
          <w:i/>
          <w:szCs w:val="28"/>
          <w:lang w:val="uk-UA" w:eastAsia="uk-UA"/>
        </w:rPr>
      </w:pPr>
    </w:p>
    <w:p w14:paraId="485D9538"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b/>
          <w:szCs w:val="28"/>
          <w:lang w:val="uk-UA" w:eastAsia="uk-UA"/>
        </w:rPr>
        <w:t>ПРОБЛЕМНІ АСПЕКТИ УСИНОВЛЕННЯ В ПЕРІОД ВОЄННОГО ЧАСУ</w:t>
      </w:r>
    </w:p>
    <w:p w14:paraId="4932537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Відповідно до ч. 1 ст. 207 Сімейного кодексу України (далі – СК України),</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 xml:space="preserve">усиновлення – це процес, коли усиновлювач приймає особу до своєї сім’ї на правах дочки чи сина, що відбувається на основі судового рішення, за винятком випадків, зазначених у статті 282 цього Кодексу [1]. «Основною концепцією інституту усиновлення є піклування про дітей, які втратили батьків або з інших причин залишились без батьківського піклування, що властиве сімейному колу» [2, с. 390]. Зокрема, процес усиновлення визнано найпріоритетнішою формою влаштування для дитини-сироти або дитини, яка залишилася без батьківського піклування, тому що воно: </w:t>
      </w:r>
    </w:p>
    <w:p w14:paraId="2AB9F3EC"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відповідає найкращим інтересам дитини, бо після усиновлення дитина більше не вважається сиротою або позбавленою батьківського піклування, а стає членом сім’ї на правах сина чи доньки осіб, які її усиновили, а відповідно, й отримує всі права та обов’язки відповідно до сімейного та цивільного законодавства;</w:t>
      </w:r>
    </w:p>
    <w:p w14:paraId="3ACF74D5"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відповідає інтересам родини, яка приймає дитину на виховання як рідну, а також отримує від держави фінансову підтримку при усиновленні, яка дорівнює допомозі, що надається при народженні дитини;</w:t>
      </w:r>
    </w:p>
    <w:p w14:paraId="43C1EFE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 відповідає інтересам держави, оскільки через процес усиновлення зменшується число дітей-сиріт, а відповідальність за виховання та утримання дитини покладається на усиновлювачів. </w:t>
      </w:r>
    </w:p>
    <w:p w14:paraId="021CAF82"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«Служба у справах дітей надає офіційну інформацію про дітей, які можуть бути усиновлені, і виконує важливу роль у процесі усиновлення. Держава визначила пріоритетом вжиття всіх необхідних заходів для забезпечення права дитини на виховання в сім’ї, зокрема, батьками або іншими родичами» [3, с. 26]. Варто зазначити, що в перші місяці повномасштабного вторгнення країни-агресора в Україну, у деяких регіонах, де тривали активні бойові дії, служби у справах дітей та суди не могли повною мірою виконувати свої обов’язки, що ускладнювало процес усиновлення. Це стосувалося збору необхідних документів, перевірки умов проживання, навчання для майбутніх батьків тощо. </w:t>
      </w:r>
    </w:p>
    <w:p w14:paraId="2185D21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Проте велика кількість необхідних документів фактично ускладнює процес усиновлення в умовах воєнного стану. У цей період часто виникають труднощі з пошуком або виготовленням документів, що ускладнює встановлення реальної ситуації щодо батьків та родичів дитини. Служба у справах дітей або інші відповідні органи не мають змоги повноцінно перевірити всі обставини, що стосуються батьків, визначити можливість усиновлення дитини та з’ясувати, чи є у неї інші родичі, які могли б піклуватися про неї [4, с. 428]. </w:t>
      </w:r>
    </w:p>
    <w:p w14:paraId="25DA6BBF"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Проте були й випадки, коли окремі етапи усиновлення проходили успішно, зокрема суди продовжували ухвалювати рішення про усиновлення як фінальний етап процедури. Для прикладу зазначимо рішення Савранського районного суд Одеської області від 18.04.2022 року по справі № 512/168/22, де суд ухвалив рішення про всиновлення дитини. При прийнятті рішення суд взяв до уваги те, що заявник займається вихованням дитини дружини від попереднього шлюбу, забезпечує її матеріально та ставиться до неї як до свого сина. У свою чергу, дитина сприймає його як батька. Біологічний батько, усиновленої дитини, не бере участі у вихованні та утриманні сина і не проявляє інтересу до його життя. Крім того, біологічний батько позбавлений батьківських прав відповідно до рішення суду. Тому суд вважає, що заявник виконав усі вимоги, передбачені законодавством для усиновлення. Він має необхідні якості особи, яка прагне усиновити дитину, і здатен забезпечити стабільні та гармонійні умови для її життя. Отже, існували всі підстави для повного задоволення заяви [5]. </w:t>
      </w:r>
    </w:p>
    <w:p w14:paraId="4764344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Під час воєнного стану в Україні були введені нові норми щодо документів, необхідних для усиновлення дітей, терміну їх дії, порядку знайомства дітей та інформації про це. Усі потенційні усиновлювачі, зареєстровані в службах у справах дітей за місцем їхнього проживання, отримують запрошення електронною поштою записатися на прийом для перегляду інформації про свою дитину, щойно дитина буде зареєстрована </w:t>
      </w:r>
      <w:r w:rsidRPr="00511005">
        <w:rPr>
          <w:rFonts w:ascii="Arial" w:eastAsia="Times New Roman" w:hAnsi="Arial" w:cs="Arial"/>
          <w:szCs w:val="28"/>
          <w:lang w:val="uk-UA" w:eastAsia="uk-UA"/>
        </w:rPr>
        <w:lastRenderedPageBreak/>
        <w:t>в місцевому реєстрі. Кандидати також отримують сповіщення на стаціонарний або мобільний телефон. Діти, які перебувають на обліку для усиновлення, можуть бути тимчасово влаштовані в сім’ю кандидата за умови подання до суду заяви про усиновлення. Якщо дитина перебуває за кордоном, стан її здоров’я може бути не встановлено, і як майбутній усиновитель, так і представник агентства можуть відправити дитину назад в Україну.</w:t>
      </w:r>
    </w:p>
    <w:p w14:paraId="6A35B8D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Згідно з законодавством, особа, яка не перебуває в шлюбі, має право усиновити дитину, але це правило стосується лише громадян України. Що стосується іноземців, то для усиновлення дитини в Україні вони повинні бути в шлюбі. «Міждержавне усиновлення в умовах воєнного стану є надзвичайно чутливою та актуальною проблемою, що вимагає обдуманого і збалансованого підходу з урахуванням інтересів дитини. У мирний час це питання було чітко регламентоване, що дозволяло зрозуміти алгоритм дій для усиновлення дітей з України іноземцями. Однак під час воєнного стану ця процедура була призупинена» [6, с. 94]. </w:t>
      </w:r>
    </w:p>
    <w:p w14:paraId="2A0018E5"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Важливо зазначити, що наразі і усиновлення дітей особами, які виїхали за кордон, не проводиться. Основною причиною цього є неможливість забезпечити дотримання процедури усиновлення та контроль за умовами проживання дитини. Наприклад, необхідно перевірити умови життя сім’ї, але за кордоном це зробити неможливо. Крім того, у працівників служб у справах дітей немає ресурсів для виїзду за кордон. Ще одним аргументом є те, що люди, які виїхали за кордон, самі перебувають у кризовій ситуації.</w:t>
      </w:r>
    </w:p>
    <w:p w14:paraId="60C7E367"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Варто зазначити й те, що під час воєнного стану дітям, які залишилися без батьківського піклування, потрібен не процес усиновлення, а належний тимчасовий догляд. Усиновлення не слід проводити, якщо існує можливість успішного розшуку батьків або інших родичів дитини, що дозволить возз’єднати сім’ю в найкращих інтересах дитини [4, с. 430]. </w:t>
      </w:r>
    </w:p>
    <w:p w14:paraId="6F6BDAE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Тому діти-сироти або діти, позбавлені батьківського піклування, можуть бути влаштовані під опіку чи піклування до прийомних сімей або дитячих будинків сімейного типу. Тимчасове влаштування дитини в сім’ю не є усиновленням і триває певний час. Після того, як термінова потреба мине, дитина повертається під опіку батьків, інших родичів або агентства, що займається дітьми [7, с. 46]. «Слід підкреслити недоцільність запровадження спрощеної процедури усиновлення дитини на час воєнного стану, а також наголосити на важливості посилення контролю за процесом усиновлення дітей в Україні» [8, с. 40]. Зокрема, усиновлення дитини через спрощену або пришвидшену процедуру, особливо в умовах воєнного стану, може серйозно зашкодити найвищим інтересам дітей. Тому в даний момент надзвичайно важливо ретельно перевіряти кандидатів на усиновлення та статус дитини, яку планують усиновити.</w:t>
      </w:r>
    </w:p>
    <w:p w14:paraId="17BAC79C" w14:textId="77777777" w:rsidR="005F048D" w:rsidRPr="00511005" w:rsidRDefault="005F048D" w:rsidP="003A292D">
      <w:pPr>
        <w:spacing w:line="264" w:lineRule="auto"/>
        <w:rPr>
          <w:rFonts w:ascii="Arial" w:eastAsia="Times New Roman" w:hAnsi="Arial" w:cs="Arial"/>
          <w:b/>
          <w:szCs w:val="28"/>
          <w:lang w:val="uk-UA" w:eastAsia="uk-UA"/>
        </w:rPr>
      </w:pPr>
      <w:r w:rsidRPr="00511005">
        <w:rPr>
          <w:rFonts w:ascii="Arial" w:eastAsia="Times New Roman" w:hAnsi="Arial" w:cs="Arial"/>
          <w:szCs w:val="28"/>
          <w:lang w:val="uk-UA" w:eastAsia="uk-UA"/>
        </w:rPr>
        <w:lastRenderedPageBreak/>
        <w:t>Отже, воєнний стан та активні бойові дії на території України внесли корективи в роботу органів, уповноважених на забезпечення процесу усиновлення. Попри наявні проблеми, які зумовленні обставинами сьогодення, у сфері усиновлення на законодавчому рівні було прийнято ряд нововведень, спрямованих на спрощення процесу формування особової справи кандидатів у усиновлювачі. Це, безумовно, наблизить їх до можливості подання заяви до суду про усиновлення.</w:t>
      </w:r>
    </w:p>
    <w:p w14:paraId="73887BEB" w14:textId="77777777" w:rsidR="005F048D" w:rsidRPr="00511005" w:rsidRDefault="005F048D" w:rsidP="003A292D">
      <w:pPr>
        <w:spacing w:line="264" w:lineRule="auto"/>
        <w:ind w:firstLine="0"/>
        <w:rPr>
          <w:rFonts w:ascii="Arial" w:eastAsia="Times New Roman" w:hAnsi="Arial" w:cs="Arial"/>
          <w:szCs w:val="28"/>
          <w:lang w:val="uk-UA" w:eastAsia="uk-UA"/>
        </w:rPr>
      </w:pPr>
    </w:p>
    <w:p w14:paraId="5606D4D0" w14:textId="32FE7C5F" w:rsidR="005F048D"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5F1F25DF" w14:textId="77777777" w:rsidR="005F048D" w:rsidRPr="00511005" w:rsidRDefault="005F048D" w:rsidP="003F6A5D">
      <w:pPr>
        <w:numPr>
          <w:ilvl w:val="0"/>
          <w:numId w:val="389"/>
        </w:numPr>
        <w:spacing w:line="264" w:lineRule="auto"/>
        <w:ind w:left="-36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Сімейний кодекс України: Закон України від 10.01.2002, № 2947-III. </w:t>
      </w:r>
      <w:r w:rsidRPr="00511005">
        <w:rPr>
          <w:rFonts w:ascii="Arial" w:eastAsia="Times New Roman" w:hAnsi="Arial" w:cs="Arial"/>
          <w:i/>
          <w:szCs w:val="28"/>
          <w:lang w:val="uk-UA" w:eastAsia="uk-UA"/>
        </w:rPr>
        <w:t>Відомості Верховної Ради України.</w:t>
      </w:r>
      <w:r w:rsidRPr="00511005">
        <w:rPr>
          <w:rFonts w:ascii="Arial" w:eastAsia="Times New Roman" w:hAnsi="Arial" w:cs="Arial"/>
          <w:szCs w:val="28"/>
          <w:lang w:val="uk-UA" w:eastAsia="uk-UA"/>
        </w:rPr>
        <w:t xml:space="preserve"> URL: </w:t>
      </w:r>
      <w:hyperlink r:id="rId1436" w:anchor="Text">
        <w:r w:rsidRPr="00511005">
          <w:rPr>
            <w:rFonts w:ascii="Arial" w:eastAsia="Times New Roman" w:hAnsi="Arial" w:cs="Arial"/>
            <w:szCs w:val="28"/>
            <w:lang w:val="uk-UA" w:eastAsia="uk-UA"/>
          </w:rPr>
          <w:t>https://zakon.rada.gov.ua/laws/show/2947-14#Text</w:t>
        </w:r>
      </w:hyperlink>
      <w:r w:rsidRPr="00511005">
        <w:rPr>
          <w:rFonts w:ascii="Arial" w:eastAsia="Times New Roman" w:hAnsi="Arial" w:cs="Arial"/>
          <w:szCs w:val="28"/>
          <w:lang w:val="uk-UA" w:eastAsia="uk-UA"/>
        </w:rPr>
        <w:t xml:space="preserve"> (дата звернення: 16.04.2025).</w:t>
      </w:r>
    </w:p>
    <w:p w14:paraId="48FCD4F2" w14:textId="77777777" w:rsidR="005F048D" w:rsidRPr="00511005" w:rsidRDefault="005F048D" w:rsidP="003F6A5D">
      <w:pPr>
        <w:numPr>
          <w:ilvl w:val="0"/>
          <w:numId w:val="389"/>
        </w:numPr>
        <w:spacing w:line="264" w:lineRule="auto"/>
        <w:ind w:left="-36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Яніцька І. А. Процесуальні особливості оформлення усиновлення громадянами України та іноземними громадянами. </w:t>
      </w:r>
      <w:r w:rsidRPr="00511005">
        <w:rPr>
          <w:rFonts w:ascii="Arial" w:eastAsia="Times New Roman" w:hAnsi="Arial" w:cs="Arial"/>
          <w:i/>
          <w:szCs w:val="28"/>
          <w:lang w:val="uk-UA" w:eastAsia="uk-UA"/>
        </w:rPr>
        <w:t xml:space="preserve">Актуальні проблеми держави і права. </w:t>
      </w:r>
      <w:r w:rsidRPr="00511005">
        <w:rPr>
          <w:rFonts w:ascii="Arial" w:eastAsia="Times New Roman" w:hAnsi="Arial" w:cs="Arial"/>
          <w:szCs w:val="28"/>
          <w:lang w:val="uk-UA" w:eastAsia="uk-UA"/>
        </w:rPr>
        <w:t>2012. №66. С. 389-394.</w:t>
      </w:r>
    </w:p>
    <w:p w14:paraId="26822833" w14:textId="77777777" w:rsidR="005F048D" w:rsidRPr="00511005" w:rsidRDefault="005F048D" w:rsidP="003F6A5D">
      <w:pPr>
        <w:numPr>
          <w:ilvl w:val="0"/>
          <w:numId w:val="389"/>
        </w:numPr>
        <w:spacing w:line="264" w:lineRule="auto"/>
        <w:ind w:left="-36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Белуга Ю. М. Основні аспекти пов’язані з усиновленням в умовах воєнного стану. Російсько-українська війна: право, безпека, світ: Матеріали VІ Міжнародної науково-практичної конференції (м. Тернопіль, Західноукраїнський національний університет, 29-30 квітня 2022 р.). Тернопіль: ЗУНУ, 2022. С. 25-28.</w:t>
      </w:r>
    </w:p>
    <w:p w14:paraId="6A4CEFA9" w14:textId="77777777" w:rsidR="005F048D" w:rsidRPr="00511005" w:rsidRDefault="005F048D" w:rsidP="003F6A5D">
      <w:pPr>
        <w:numPr>
          <w:ilvl w:val="0"/>
          <w:numId w:val="389"/>
        </w:numPr>
        <w:spacing w:line="264" w:lineRule="auto"/>
        <w:ind w:left="-36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Томляк Т. С. Найкращі інтереси дитини: усиновлення в умовах воєнного стану. </w:t>
      </w:r>
      <w:r w:rsidRPr="00511005">
        <w:rPr>
          <w:rFonts w:ascii="Arial" w:eastAsia="Times New Roman" w:hAnsi="Arial" w:cs="Arial"/>
          <w:i/>
          <w:szCs w:val="28"/>
          <w:lang w:val="uk-UA" w:eastAsia="uk-UA"/>
        </w:rPr>
        <w:t>Альманах права.</w:t>
      </w:r>
      <w:r w:rsidRPr="00511005">
        <w:rPr>
          <w:rFonts w:ascii="Arial" w:eastAsia="Times New Roman" w:hAnsi="Arial" w:cs="Arial"/>
          <w:szCs w:val="28"/>
          <w:lang w:val="uk-UA" w:eastAsia="uk-UA"/>
        </w:rPr>
        <w:t xml:space="preserve"> 2022. № 13. С. 425-433.</w:t>
      </w:r>
    </w:p>
    <w:p w14:paraId="24931D02" w14:textId="77777777" w:rsidR="005F048D" w:rsidRPr="00511005" w:rsidRDefault="005F048D" w:rsidP="003F6A5D">
      <w:pPr>
        <w:numPr>
          <w:ilvl w:val="0"/>
          <w:numId w:val="389"/>
        </w:numPr>
        <w:spacing w:line="264" w:lineRule="auto"/>
        <w:ind w:left="-36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Рішення Савранського районного суд Одеської області від 18.04.2022 року по справі № 512/168/22</w:t>
      </w:r>
      <w:r w:rsidRPr="00511005">
        <w:rPr>
          <w:rFonts w:ascii="Arial" w:eastAsia="Times New Roman" w:hAnsi="Arial" w:cs="Arial"/>
          <w:i/>
          <w:szCs w:val="28"/>
          <w:lang w:val="uk-UA" w:eastAsia="uk-UA"/>
        </w:rPr>
        <w:t xml:space="preserve">. Єдиний державний реєстр судових рішень. </w:t>
      </w:r>
      <w:r w:rsidRPr="00511005">
        <w:rPr>
          <w:rFonts w:ascii="Arial" w:eastAsia="Times New Roman" w:hAnsi="Arial" w:cs="Arial"/>
          <w:szCs w:val="28"/>
          <w:lang w:val="uk-UA" w:eastAsia="uk-UA"/>
        </w:rPr>
        <w:t xml:space="preserve">URL: </w:t>
      </w:r>
      <w:hyperlink r:id="rId1437">
        <w:r w:rsidRPr="00511005">
          <w:rPr>
            <w:rFonts w:ascii="Arial" w:eastAsia="Times New Roman" w:hAnsi="Arial" w:cs="Arial"/>
            <w:szCs w:val="28"/>
            <w:lang w:val="uk-UA" w:eastAsia="uk-UA"/>
          </w:rPr>
          <w:t>https://reyestr.court.gov.ua/Review/104009407</w:t>
        </w:r>
      </w:hyperlink>
      <w:r w:rsidRPr="00511005">
        <w:rPr>
          <w:rFonts w:ascii="Arial" w:eastAsia="Times New Roman" w:hAnsi="Arial" w:cs="Arial"/>
          <w:szCs w:val="28"/>
          <w:lang w:val="uk-UA" w:eastAsia="uk-UA"/>
        </w:rPr>
        <w:t xml:space="preserve"> (дата звернення: 16.04.2025).</w:t>
      </w:r>
    </w:p>
    <w:p w14:paraId="3ACC9DCF" w14:textId="77777777" w:rsidR="005F048D" w:rsidRPr="00511005" w:rsidRDefault="005F048D" w:rsidP="003F6A5D">
      <w:pPr>
        <w:numPr>
          <w:ilvl w:val="0"/>
          <w:numId w:val="389"/>
        </w:numPr>
        <w:spacing w:line="264" w:lineRule="auto"/>
        <w:ind w:left="-36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Машир Д. Я., Панченко В. Міждержавне усиновлення у міжнародному приватному праві. </w:t>
      </w:r>
      <w:r w:rsidRPr="00511005">
        <w:rPr>
          <w:rFonts w:ascii="Arial" w:eastAsia="Times New Roman" w:hAnsi="Arial" w:cs="Arial"/>
          <w:i/>
          <w:szCs w:val="28"/>
          <w:lang w:val="uk-UA" w:eastAsia="uk-UA"/>
        </w:rPr>
        <w:t>UNIVERSUM.</w:t>
      </w:r>
      <w:r w:rsidRPr="00511005">
        <w:rPr>
          <w:rFonts w:ascii="Arial" w:eastAsia="Times New Roman" w:hAnsi="Arial" w:cs="Arial"/>
          <w:szCs w:val="28"/>
          <w:lang w:val="uk-UA" w:eastAsia="uk-UA"/>
        </w:rPr>
        <w:t xml:space="preserve"> 2024. №9. С. 90-95.</w:t>
      </w:r>
    </w:p>
    <w:p w14:paraId="56CEDDFF" w14:textId="77777777" w:rsidR="005F048D" w:rsidRPr="00511005" w:rsidRDefault="005F048D" w:rsidP="003F6A5D">
      <w:pPr>
        <w:numPr>
          <w:ilvl w:val="0"/>
          <w:numId w:val="389"/>
        </w:numPr>
        <w:spacing w:line="264" w:lineRule="auto"/>
        <w:ind w:left="-36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Паньковець Ю. А. Право на усиновлення дитини в умовах воєнного стану. Актуальні проблеми протидії корупції в Україні : матеріали Всеукр. наук.-практ. конф. (26–27 трав. 2022 р., м. Рівне). Міжнар. економ.-гуманіт. ун-т ім. акад. Степана Дем’янчука. Рівне : Видавн. дім «Гельветика», 2022. С. 44-46.</w:t>
      </w:r>
    </w:p>
    <w:p w14:paraId="59276AA2" w14:textId="77777777" w:rsidR="005F048D" w:rsidRPr="00511005" w:rsidRDefault="005F048D" w:rsidP="003F6A5D">
      <w:pPr>
        <w:numPr>
          <w:ilvl w:val="0"/>
          <w:numId w:val="389"/>
        </w:numPr>
        <w:spacing w:line="264" w:lineRule="auto"/>
        <w:ind w:left="-36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Волкова Н., Яніцька І. Процесуальний порядок розгляду справ про усиновлення дитини громадянами України: окремі аспекти. </w:t>
      </w:r>
      <w:r w:rsidRPr="00511005">
        <w:rPr>
          <w:rFonts w:ascii="Arial" w:eastAsia="Times New Roman" w:hAnsi="Arial" w:cs="Arial"/>
          <w:i/>
          <w:szCs w:val="28"/>
          <w:lang w:val="uk-UA" w:eastAsia="uk-UA"/>
        </w:rPr>
        <w:t>Юридичний вісник.</w:t>
      </w:r>
      <w:r w:rsidRPr="00511005">
        <w:rPr>
          <w:rFonts w:ascii="Arial" w:eastAsia="Times New Roman" w:hAnsi="Arial" w:cs="Arial"/>
          <w:szCs w:val="28"/>
          <w:lang w:val="uk-UA" w:eastAsia="uk-UA"/>
        </w:rPr>
        <w:t xml:space="preserve"> 2024. №1. С. 40-48.</w:t>
      </w:r>
    </w:p>
    <w:p w14:paraId="5832B160" w14:textId="45B23AA9" w:rsidR="005F048D"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судове рішення , тимчасова опіка, надзвичайний стан , проблеми з документами, міждержавне усиновлення , призупинення усиновлення , найкращі інтереси дитини</w:t>
      </w:r>
    </w:p>
    <w:p w14:paraId="2BCB98A0" w14:textId="7C980F68" w:rsidR="005F048D"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 xml:space="preserve">court decision, temporary custody, state of emergency , documentation challenges, intercountry adoption . adoption moratorium , best interests of the child </w:t>
      </w:r>
    </w:p>
    <w:p w14:paraId="3CAB096B" w14:textId="58EFABE4" w:rsidR="005F048D" w:rsidRPr="00511005" w:rsidRDefault="003F50AD" w:rsidP="003A292D">
      <w:pPr>
        <w:spacing w:line="264" w:lineRule="auto"/>
        <w:ind w:firstLine="0"/>
        <w:rPr>
          <w:rFonts w:ascii="Arial" w:eastAsia="Times New Roman" w:hAnsi="Arial" w:cs="Arial"/>
          <w:i/>
          <w:szCs w:val="28"/>
          <w:lang w:val="uk-UA" w:eastAsia="uk-UA"/>
        </w:rPr>
      </w:pPr>
      <w:r w:rsidRPr="00511005">
        <w:rPr>
          <w:rFonts w:ascii="Arial" w:eastAsia="Calibri" w:hAnsi="Arial" w:cs="Arial"/>
          <w:b/>
          <w:i/>
          <w:szCs w:val="28"/>
          <w:lang w:val="uk-UA"/>
        </w:rPr>
        <w:lastRenderedPageBreak/>
        <w:t xml:space="preserve">Науковий керівник: </w:t>
      </w:r>
      <w:r w:rsidR="005F048D" w:rsidRPr="00511005">
        <w:rPr>
          <w:rFonts w:ascii="Arial" w:eastAsia="Times New Roman" w:hAnsi="Arial" w:cs="Arial"/>
          <w:i/>
          <w:szCs w:val="28"/>
          <w:lang w:val="uk-UA" w:eastAsia="uk-UA"/>
        </w:rPr>
        <w:t>к.ю.н</w:t>
      </w:r>
      <w:r>
        <w:rPr>
          <w:rFonts w:ascii="Arial" w:eastAsia="Times New Roman" w:hAnsi="Arial" w:cs="Arial"/>
          <w:i/>
          <w:szCs w:val="28"/>
          <w:lang w:val="uk-UA" w:eastAsia="uk-UA"/>
        </w:rPr>
        <w:t>.,</w:t>
      </w:r>
      <w:r w:rsidR="005F048D" w:rsidRPr="00511005">
        <w:rPr>
          <w:rFonts w:ascii="Arial" w:eastAsia="Times New Roman" w:hAnsi="Arial" w:cs="Arial"/>
          <w:i/>
          <w:szCs w:val="28"/>
          <w:lang w:val="uk-UA" w:eastAsia="uk-UA"/>
        </w:rPr>
        <w:t xml:space="preserve"> доцент Яніцька І. А.</w:t>
      </w:r>
    </w:p>
    <w:p w14:paraId="089518CE"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5AE53C86"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3ACCD9CE" w14:textId="73F1A12E"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Ліферова Владислава Владиславівна</w:t>
      </w:r>
      <w:r w:rsidR="00170723">
        <w:rPr>
          <w:rFonts w:ascii="Arial" w:eastAsia="Times New Roman" w:hAnsi="Arial" w:cs="Arial"/>
          <w:b/>
          <w:i/>
          <w:szCs w:val="28"/>
          <w:lang w:val="uk-UA" w:eastAsia="uk-UA"/>
        </w:rPr>
        <w:t xml:space="preserve">, </w:t>
      </w:r>
      <w:r w:rsidRPr="00511005">
        <w:rPr>
          <w:rFonts w:ascii="Arial" w:eastAsia="Times New Roman" w:hAnsi="Arial" w:cs="Arial"/>
          <w:b/>
          <w:i/>
          <w:szCs w:val="28"/>
          <w:lang w:val="uk-UA" w:eastAsia="uk-UA"/>
        </w:rPr>
        <w:t>Дмитренко Ольга Олексіївна</w:t>
      </w:r>
    </w:p>
    <w:p w14:paraId="358B2A78" w14:textId="77777777" w:rsidR="00550C73" w:rsidRPr="00511005" w:rsidRDefault="005F048D"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студентки </w:t>
      </w:r>
      <w:r w:rsidR="007B2628" w:rsidRPr="00511005">
        <w:rPr>
          <w:rFonts w:ascii="Arial" w:eastAsia="Times New Roman" w:hAnsi="Arial" w:cs="Arial"/>
          <w:szCs w:val="28"/>
          <w:lang w:val="uk-UA" w:eastAsia="uk-UA"/>
        </w:rPr>
        <w:t>1</w:t>
      </w:r>
      <w:r w:rsidR="00550C73" w:rsidRPr="00511005">
        <w:rPr>
          <w:rFonts w:ascii="Arial" w:eastAsia="Times New Roman" w:hAnsi="Arial" w:cs="Arial"/>
          <w:bCs/>
          <w:iCs/>
          <w:szCs w:val="28"/>
          <w:lang w:val="uk-UA" w:eastAsia="ru-RU"/>
        </w:rPr>
        <w:t>-го курсу магістратури</w:t>
      </w:r>
    </w:p>
    <w:p w14:paraId="36E90EAB"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F146A49" w14:textId="25E47E21" w:rsidR="005F048D" w:rsidRPr="00511005" w:rsidRDefault="00550C73" w:rsidP="00550C73">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eastAsia="ru-RU"/>
        </w:rPr>
        <w:t>Національного університету «Одеська юридична академія»</w:t>
      </w:r>
    </w:p>
    <w:p w14:paraId="3D3E2DA3"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p>
    <w:p w14:paraId="1569AC1F"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ПРАВОВА ПРИРОДА ІНСТИТУТУ ПРИСЯЖНИХ У ЦИВІЛЬНОМУ ПРОЦЕСІ УКРАЇНИ: ПРОБЛЕМИ ТА ПЕРСПЕКТИВИ РОЗВИТКУ</w:t>
      </w:r>
    </w:p>
    <w:p w14:paraId="11FCD5F0"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Одним з наріжних каменів судової системи, яка функціонує в будь-якій демократичній країні, є суд присяжних. Варто підкреслити, що одним з першочергових напрямів судової реформи є забезпечення розгляду справ саме судом присяжних. Питаннями прогалин та недоліків у роботі суду за участю присяжних активно переймаються практикуючі юристи судової гілки влади, а також широке коло вчених-процесуалістів, що зумовлює актуальність теми дослідження. </w:t>
      </w:r>
    </w:p>
    <w:p w14:paraId="2BA8264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Відповідно до ч. 1 ст. 63 ЗУ «Про судоустрій і статус суддів», присяжним визначається громадянин, котрий, у ситуаціях, окреслених процесуальним правом, та висловивши на це згоду, бере участь у розгляді справ у судовій колегії разом із суддею, або залучається до реалізації правосуддя [1]. Виникнення та діяльність цього типу суду в Україні зумовили потребу в дослідженні особливостей розгляду справ за участю присяжних. Ключова риса розгляду справи з присяжними засідателями полягає в розподілі повноважень між професійним суддею та присяжними засідателями. </w:t>
      </w:r>
    </w:p>
    <w:p w14:paraId="6CD0BC84" w14:textId="610BA368"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Варто зазначити, що українська правова система запозичила континентальну (європейську) модель суду присяжних. В Україні передбачено участь присяжних у визначених категоріях цивільних справ. Однак на законодавчому рівні відсутня комунікація між присяжними та державою. Теоретично, присяжні та професійні судді повинні спільно вирішувати всі питання судочинства, що викликає сумніви щодо незалежності та свободи присяжних від професійних суддів під час ухвалення рішень. Проте хорошої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практичної реалізації на сучасному етапі немає. </w:t>
      </w:r>
    </w:p>
    <w:p w14:paraId="1EDD0E8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 одного боку, інститут присяжних формується лише у державі, де виникли суспільні умови, коли народ покликаний до участі у відправленні правосуддя, а держава політично визріла для такого «демократичного» кроку, як впровадження інституту суду присяжних. Відмінність суду присяжних від інших владних структур полягає у відсутності фіксованого, постійного складу, а колегія присяжних формується одноразово, на основі складної процедури відбору, для розгляду конкретної справи» [2, с. 875]. </w:t>
      </w:r>
      <w:r w:rsidRPr="00511005">
        <w:rPr>
          <w:rFonts w:ascii="Arial" w:eastAsia="Times New Roman" w:hAnsi="Arial" w:cs="Arial"/>
          <w:szCs w:val="28"/>
          <w:lang w:val="uk-UA" w:eastAsia="uk-UA"/>
        </w:rPr>
        <w:lastRenderedPageBreak/>
        <w:t>Слід зауважити, що список присяжних затверджується на термін у три роки, а за потреби його оновлюють, замінюючи тих, хто вибув. Це робиться на підставі подання від територіального управління Державної судової адміністрації України. Після того, як список присяжних буде затверджено, його передають до відповідного окружного суду, зокрема, в електронному вигляді. Відомості, що містяться в цьому списку, не дозволяється використовувати з цілями, не пов’язаними з відбором присяжних.</w:t>
      </w:r>
    </w:p>
    <w:p w14:paraId="21837DE8"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Суд долучає присяжних до реалізації правосуддя у порядку черги терміном не довше ніж один місяць протягом року, за винятком обставин, коли продовження цього терміну випливає з необхідності довести до кінця розгляд справи, розпочатий за їхньою участю. Відбір осіб, котрі можуть брати участь у судочинстві як присяжні, здійснюється через Єдину судову інформаційно-телекомунікаційну систему. Суд надсилає присяжному письмове запрошення прибути на засідання не пізніше як за тиждень до його проведення. У повістці чітко прописуються права та обов'язки присяжного, перелік необхідних вимог до нього, а також умови, за яких він може бути звільнений від виконання покладених на нього функцій. Разом із викликом надсилається письмове сповіщення на адресу роботодавця особи, яку залучають до виконання обов’язків присяжного.</w:t>
      </w:r>
    </w:p>
    <w:p w14:paraId="4C81E27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Потрібно відзначити, що на даному етапі інститут присяжних, як належить, не працює під час судового розгляду: присяжні здебільшого нічим не відрізняються від звичайних слухачів і в усіх процесуальних аспектах залежать від головуючого судді. Інститут суду присяжних в Україні не має вичерпної регламентації та лишається поки що формальним, тому впроваджена система суду присяжних потребує доопрацювання [3, с. 318].</w:t>
      </w:r>
    </w:p>
    <w:p w14:paraId="2DDA612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Поширеним запереченням існування даного інституту в Україні є економічна дорожнеча, складність та низька ефективність суду присяжних. Не можна оминути увагою, що в умовах воєнного стану в Україні, коли в судах першої інстанції спостерігається критичний дефіцит суддів, терміни розгляду справ, де планується формування колегії присяжних, суттєво збільшаться. Питання термінів розгляду справ є надзвичайно актуальним та чутливим для всіх сторін судового процесу і сьогодні, проте без вирішення нагальних проблем у судовій системі, на систему очікує повний колапс. Разом з цією проблемою постає питання матеріально-фінансового забезпечення функціонування інституту присяжних. Враховуючи поточний стан фінансового забезпечення судів (відсутність коштів на виплати суддівської винагороди, зарплати працівникам апарату суду, оплату поштових послуг та інше), введення в дію інституту суду присяжних викликає обґрунтовані сумніви.</w:t>
      </w:r>
    </w:p>
    <w:p w14:paraId="2DCEC2A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Щодо позитиву від запровадження інституту присяжних, варто відзначити, що залучення народу до правосуддя збільшує рівень довіри суспільства до судової системи України. На наше переконання, в умовах </w:t>
      </w:r>
      <w:r w:rsidRPr="00511005">
        <w:rPr>
          <w:rFonts w:ascii="Arial" w:eastAsia="Times New Roman" w:hAnsi="Arial" w:cs="Arial"/>
          <w:szCs w:val="28"/>
          <w:lang w:val="uk-UA" w:eastAsia="uk-UA"/>
        </w:rPr>
        <w:lastRenderedPageBreak/>
        <w:t>сьогодення існує зростаючий інтерес до активного включення громадян у судочинство, що суттєво зменшує ймовірність помилок при одноособовому розгляді справи суддею. Це пом’якшує наслідки професійної деформації, яка може впливати на судові рішення.</w:t>
      </w:r>
    </w:p>
    <w:p w14:paraId="700F640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Ще одним важливим доводом на користь запровадження суду присяжних є те, що присяжні, на відміну від професійних суддів, не зазнають жодного адміністративного, політичного чи економічного тиску. Здійснюючи правосуддя, вони керуються виключно нормами законодавства та власним внутрішнім переконанням. «Варто нагадати про питання використання терміну «суд присяжних» в контексті Цивільного процесуального кодексу України. Вживання цього терміну здатне формувати у пересічних громадян невірне уявлення про українську реалізацію цього інституту, адже асоціюється він з класичною формою суду присяжних, де рішення ухвалюють 12 присяжних» [4, с. 96]. </w:t>
      </w:r>
    </w:p>
    <w:p w14:paraId="197E3492"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«Для дієвого розгляду та вирішення цивільних справ за участю присяжних в Україні потрібно кардинально змінити суспільну думку щодо цього інституту. Визначення в українському законодавстві конкретних вимог до особи, що претендує на роль присяжного, сприятиме повноцінній роботі цієї системи» [5, с. 247]. Таким чином, у процесі реформування судової системи важливими є не лише законодавчі вимоги до кандидатів у присяжні, а й створення системи, яка забезпечить сумлінне та бездоганне виконання цього обов’язку кожним українцем. При цьому необхідно враховувати як досвід залучення народних засідателів до правосуддя в Україні, так і практики інших країн, де до здійснення правосуддя залучаються представники громадськості. Для формування у суспільстві розуміння присяжних засідателів як невід’ємної частини культури, наразі вкрай важливим є поширення правових знань у різних освітніх закладах, а також розвиток юридичної науки. </w:t>
      </w:r>
    </w:p>
    <w:p w14:paraId="19B3839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Отже, у рамках триваючої судової реформи інститут суду присяжних виступає ефективним інструментом для відновлення довіри до судової влади в Україні. Для держави цей вид судочинства виступає як метод подолання упередженого підходу до цивільних спорів, маркер її демократичного розвитку, свідчення пріоритету прав, свобод та потреб особистості. Для соціуму – це чудовий інструмент громадського контролю за судовою системою, що сприяє зростанню довіри до неї та дозволяє реалізувати конституційне право на участь у державному управлінні.</w:t>
      </w:r>
    </w:p>
    <w:p w14:paraId="16CC9E7D" w14:textId="77777777" w:rsidR="005F048D" w:rsidRPr="00511005" w:rsidRDefault="005F048D" w:rsidP="003A292D">
      <w:pPr>
        <w:spacing w:line="264" w:lineRule="auto"/>
        <w:rPr>
          <w:rFonts w:ascii="Arial" w:eastAsia="Times New Roman" w:hAnsi="Arial" w:cs="Arial"/>
          <w:szCs w:val="28"/>
          <w:lang w:val="uk-UA" w:eastAsia="uk-UA"/>
        </w:rPr>
      </w:pPr>
    </w:p>
    <w:p w14:paraId="42E8D855" w14:textId="6523EFCF" w:rsidR="005F048D"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79C0142F" w14:textId="77777777" w:rsidR="005F048D" w:rsidRPr="00511005" w:rsidRDefault="005F048D" w:rsidP="003F6A5D">
      <w:pPr>
        <w:numPr>
          <w:ilvl w:val="0"/>
          <w:numId w:val="36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судоустрій і статус суддів: Закон України від 02.06.2016, № 1402-VIII. </w:t>
      </w:r>
      <w:r w:rsidRPr="00511005">
        <w:rPr>
          <w:rFonts w:ascii="Arial" w:eastAsia="Times New Roman" w:hAnsi="Arial" w:cs="Arial"/>
          <w:i/>
          <w:szCs w:val="28"/>
          <w:lang w:val="uk-UA" w:eastAsia="uk-UA"/>
        </w:rPr>
        <w:t>Відомості Верховної Ради України.</w:t>
      </w:r>
      <w:r w:rsidRPr="00511005">
        <w:rPr>
          <w:rFonts w:ascii="Arial" w:eastAsia="Times New Roman" w:hAnsi="Arial" w:cs="Arial"/>
          <w:szCs w:val="28"/>
          <w:lang w:val="uk-UA" w:eastAsia="uk-UA"/>
        </w:rPr>
        <w:t xml:space="preserve"> URL: -19"https://zakon.rada.gov.ua/laws/show/1402-19#Text (дата звернення: 14.04.2025).</w:t>
      </w:r>
    </w:p>
    <w:p w14:paraId="58D35113" w14:textId="77777777" w:rsidR="005F048D" w:rsidRPr="00511005" w:rsidRDefault="005F048D" w:rsidP="003F6A5D">
      <w:pPr>
        <w:numPr>
          <w:ilvl w:val="0"/>
          <w:numId w:val="36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Липовська Н. А. Особливості функціонування судів присяжних в системі публічного управління в Україні. </w:t>
      </w:r>
      <w:r w:rsidRPr="00511005">
        <w:rPr>
          <w:rFonts w:ascii="Arial" w:eastAsia="Times New Roman" w:hAnsi="Arial" w:cs="Arial"/>
          <w:i/>
          <w:szCs w:val="28"/>
          <w:lang w:val="uk-UA" w:eastAsia="uk-UA"/>
        </w:rPr>
        <w:t>Публічне управління та регіональний розвиток: наук. журн.</w:t>
      </w:r>
      <w:r w:rsidRPr="00511005">
        <w:rPr>
          <w:rFonts w:ascii="Arial" w:eastAsia="Times New Roman" w:hAnsi="Arial" w:cs="Arial"/>
          <w:szCs w:val="28"/>
          <w:lang w:val="uk-UA" w:eastAsia="uk-UA"/>
        </w:rPr>
        <w:t xml:space="preserve"> 2023. № 21. С. 868-886.</w:t>
      </w:r>
    </w:p>
    <w:p w14:paraId="3DDA2570" w14:textId="77777777" w:rsidR="005F048D" w:rsidRPr="00511005" w:rsidRDefault="005F048D" w:rsidP="003F6A5D">
      <w:pPr>
        <w:numPr>
          <w:ilvl w:val="0"/>
          <w:numId w:val="36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Подвірна О. В., Киричук Б. С. Теоретичні й практичні основи правового регулювання діяльності присяжних у цивільному судочинстві України та зарубіжних держав. </w:t>
      </w:r>
      <w:r w:rsidRPr="00511005">
        <w:rPr>
          <w:rFonts w:ascii="Arial" w:eastAsia="Times New Roman" w:hAnsi="Arial" w:cs="Arial"/>
          <w:i/>
          <w:szCs w:val="28"/>
          <w:lang w:val="uk-UA" w:eastAsia="uk-UA"/>
        </w:rPr>
        <w:t>Науковий вісник Ужгородського Національного Університету.</w:t>
      </w:r>
      <w:r w:rsidRPr="00511005">
        <w:rPr>
          <w:rFonts w:ascii="Arial" w:eastAsia="Times New Roman" w:hAnsi="Arial" w:cs="Arial"/>
          <w:szCs w:val="28"/>
          <w:lang w:val="uk-UA" w:eastAsia="uk-UA"/>
        </w:rPr>
        <w:t xml:space="preserve"> 2024. №85. С. 315-320.</w:t>
      </w:r>
    </w:p>
    <w:p w14:paraId="74DB03DD" w14:textId="1310F793" w:rsidR="005F048D" w:rsidRPr="00511005" w:rsidRDefault="005F048D" w:rsidP="003F6A5D">
      <w:pPr>
        <w:numPr>
          <w:ilvl w:val="0"/>
          <w:numId w:val="36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Дяченко С. В., Гордієнко Т. С. Розгляд цивільних справ за участю суду присяжних в Україні. </w:t>
      </w:r>
      <w:r w:rsidRPr="00511005">
        <w:rPr>
          <w:rFonts w:ascii="Arial" w:eastAsia="Times New Roman" w:hAnsi="Arial" w:cs="Arial"/>
          <w:i/>
          <w:szCs w:val="28"/>
          <w:lang w:val="uk-UA" w:eastAsia="uk-UA"/>
        </w:rPr>
        <w:t>Вісник Національного технічного університету України</w:t>
      </w:r>
      <w:r w:rsidR="007B2628" w:rsidRPr="00511005">
        <w:rPr>
          <w:rFonts w:ascii="Arial" w:eastAsia="Times New Roman" w:hAnsi="Arial" w:cs="Arial"/>
          <w:i/>
          <w:szCs w:val="28"/>
          <w:lang w:val="uk-UA" w:eastAsia="uk-UA"/>
        </w:rPr>
        <w:t xml:space="preserve"> </w:t>
      </w:r>
      <w:r w:rsidRPr="00511005">
        <w:rPr>
          <w:rFonts w:ascii="Arial" w:eastAsia="Times New Roman" w:hAnsi="Arial" w:cs="Arial"/>
          <w:i/>
          <w:szCs w:val="28"/>
          <w:lang w:val="uk-UA" w:eastAsia="uk-UA"/>
        </w:rPr>
        <w:t>«Київський політехнічний інститут». Політологія. Соціологія. Право.</w:t>
      </w:r>
      <w:r w:rsidRPr="00511005">
        <w:rPr>
          <w:rFonts w:ascii="Arial" w:eastAsia="Times New Roman" w:hAnsi="Arial" w:cs="Arial"/>
          <w:szCs w:val="28"/>
          <w:lang w:val="uk-UA" w:eastAsia="uk-UA"/>
        </w:rPr>
        <w:t xml:space="preserve"> 2021. №2(50). С. 93-98.</w:t>
      </w:r>
    </w:p>
    <w:p w14:paraId="11302EBF" w14:textId="77777777" w:rsidR="005F048D" w:rsidRPr="00511005" w:rsidRDefault="005F048D" w:rsidP="003F6A5D">
      <w:pPr>
        <w:numPr>
          <w:ilvl w:val="0"/>
          <w:numId w:val="36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Факас І. Б. Участь присяжних у здійсненні цивільного судочинства. Сучасні тенденції розвитку законодавства України в контексті проведення державних реформ: Матеріали Міжнар. наук.-практ. конф. (м. Чернівці, 04 березня 2021 р.). С. 243-248.</w:t>
      </w:r>
    </w:p>
    <w:p w14:paraId="007E19CD" w14:textId="77777777" w:rsidR="005F048D" w:rsidRPr="00511005" w:rsidRDefault="005F048D" w:rsidP="003A292D">
      <w:pPr>
        <w:spacing w:line="264" w:lineRule="auto"/>
        <w:ind w:firstLine="851"/>
        <w:rPr>
          <w:rFonts w:ascii="Arial" w:eastAsia="Times New Roman" w:hAnsi="Arial" w:cs="Arial"/>
          <w:szCs w:val="28"/>
          <w:lang w:val="uk-UA" w:eastAsia="uk-UA"/>
        </w:rPr>
      </w:pPr>
    </w:p>
    <w:p w14:paraId="00B07ABC" w14:textId="39325223" w:rsidR="005F048D"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i/>
          <w:szCs w:val="28"/>
          <w:lang w:val="uk-UA" w:eastAsia="uk-UA"/>
        </w:rPr>
        <w:t xml:space="preserve">інститут присяжних, судова реформа, цивільне судочинство, громадянське суспільство, організація судової влади. </w:t>
      </w:r>
    </w:p>
    <w:p w14:paraId="0D6126B0" w14:textId="42F2D6E0" w:rsidR="005F048D"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i/>
          <w:szCs w:val="28"/>
          <w:lang w:val="uk-UA" w:eastAsia="uk-UA"/>
        </w:rPr>
        <w:t xml:space="preserve">jury institute, judicial reform, civil proceedings, civil society, organisation of the judiciary. </w:t>
      </w:r>
    </w:p>
    <w:p w14:paraId="6315E93D" w14:textId="3819BCDC" w:rsidR="005F048D" w:rsidRPr="00511005" w:rsidRDefault="007B2628" w:rsidP="003A292D">
      <w:pPr>
        <w:spacing w:line="264" w:lineRule="auto"/>
        <w:ind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Яніцька І.А.</w:t>
      </w:r>
    </w:p>
    <w:p w14:paraId="5AA1BCA9"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09CF8C58"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7A47C37D"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Максимчук Дарина Андріївна</w:t>
      </w:r>
    </w:p>
    <w:p w14:paraId="2E23831B" w14:textId="2DEE8291" w:rsidR="005F048D" w:rsidRPr="00170723" w:rsidRDefault="00170723" w:rsidP="003A292D">
      <w:pPr>
        <w:spacing w:line="264" w:lineRule="auto"/>
        <w:ind w:firstLine="0"/>
        <w:jc w:val="center"/>
        <w:rPr>
          <w:rFonts w:ascii="Arial" w:eastAsia="Times New Roman" w:hAnsi="Arial" w:cs="Arial"/>
          <w:iCs/>
          <w:szCs w:val="28"/>
          <w:lang w:val="uk-UA" w:eastAsia="uk-UA"/>
        </w:rPr>
      </w:pPr>
      <w:r>
        <w:rPr>
          <w:rFonts w:ascii="Arial" w:eastAsia="Times New Roman" w:hAnsi="Arial" w:cs="Arial"/>
          <w:iCs/>
          <w:szCs w:val="28"/>
          <w:lang w:val="uk-UA" w:eastAsia="uk-UA"/>
        </w:rPr>
        <w:t>с</w:t>
      </w:r>
      <w:r w:rsidR="00536AAB" w:rsidRPr="00170723">
        <w:rPr>
          <w:rFonts w:ascii="Arial" w:eastAsia="Times New Roman" w:hAnsi="Arial" w:cs="Arial"/>
          <w:iCs/>
          <w:szCs w:val="28"/>
          <w:lang w:val="uk-UA" w:eastAsia="uk-UA"/>
        </w:rPr>
        <w:t>тудентка 1-го курсу магістратури</w:t>
      </w:r>
      <w:r w:rsidR="005F048D" w:rsidRPr="00170723">
        <w:rPr>
          <w:rFonts w:ascii="Arial" w:eastAsia="Times New Roman" w:hAnsi="Arial" w:cs="Arial"/>
          <w:iCs/>
          <w:szCs w:val="28"/>
          <w:lang w:val="uk-UA" w:eastAsia="uk-UA"/>
        </w:rPr>
        <w:t xml:space="preserve"> </w:t>
      </w:r>
    </w:p>
    <w:p w14:paraId="23695D7B" w14:textId="77777777" w:rsidR="005F048D" w:rsidRPr="00170723" w:rsidRDefault="005F048D" w:rsidP="003A292D">
      <w:pPr>
        <w:spacing w:line="264" w:lineRule="auto"/>
        <w:ind w:firstLine="0"/>
        <w:jc w:val="center"/>
        <w:rPr>
          <w:rFonts w:ascii="Arial" w:eastAsia="Times New Roman" w:hAnsi="Arial" w:cs="Arial"/>
          <w:iCs/>
          <w:szCs w:val="28"/>
          <w:lang w:val="uk-UA" w:eastAsia="uk-UA"/>
        </w:rPr>
      </w:pPr>
      <w:r w:rsidRPr="00170723">
        <w:rPr>
          <w:rFonts w:ascii="Arial" w:eastAsia="Times New Roman" w:hAnsi="Arial" w:cs="Arial"/>
          <w:iCs/>
          <w:szCs w:val="28"/>
          <w:lang w:val="uk-UA" w:eastAsia="uk-UA"/>
        </w:rPr>
        <w:t xml:space="preserve">факультету цивільної та господарської юстиції </w:t>
      </w:r>
    </w:p>
    <w:p w14:paraId="1C33F3C7" w14:textId="15F639DB" w:rsidR="005F048D" w:rsidRPr="00170723" w:rsidRDefault="007B2628" w:rsidP="003A292D">
      <w:pPr>
        <w:spacing w:line="264" w:lineRule="auto"/>
        <w:ind w:firstLine="0"/>
        <w:jc w:val="center"/>
        <w:rPr>
          <w:rFonts w:ascii="Arial" w:eastAsia="Times New Roman" w:hAnsi="Arial" w:cs="Arial"/>
          <w:iCs/>
          <w:szCs w:val="28"/>
          <w:lang w:val="uk-UA" w:eastAsia="uk-UA"/>
        </w:rPr>
      </w:pPr>
      <w:r w:rsidRPr="00170723">
        <w:rPr>
          <w:rFonts w:ascii="Arial" w:eastAsia="Times New Roman" w:hAnsi="Arial" w:cs="Arial"/>
          <w:iCs/>
          <w:szCs w:val="28"/>
          <w:lang w:val="uk-UA" w:eastAsia="uk-UA"/>
        </w:rPr>
        <w:t>Національного університету «Одеська юридична академія»</w:t>
      </w:r>
    </w:p>
    <w:p w14:paraId="101BE6B2"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p>
    <w:p w14:paraId="196E067F"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МЕДІАЦІЯ ТА ВРЕГУЛЮВАННЯ СПОРУ ЗА УЧАСТЮ СУДДІ, ЯК ЕЛЕМЕНТИ ЦИВІЛЬНОГО СУДОЧИНСТВА УКРАЇНИ</w:t>
      </w:r>
    </w:p>
    <w:p w14:paraId="2CFBE2B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Ще у 2017 році набрали чинності зміни до Цивільного процесуального кодексу України (далі по тексту – ЦПК України), що внесли суттєві реформи у цивільне судочинство України. Проте станом на2025 рік продовжується активна трансформація правової системи України, спрямована на підвищення ефективності та доступності правосуддя. У контексті євроінтеграційних прагнень нашої держави та викликів воєнного часу особливого значення набувають альтернативні способи вирішення спорів, зокрема медіація та врегулювання спору за участю судді. </w:t>
      </w:r>
    </w:p>
    <w:p w14:paraId="5635899B"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Саме новації останніх років, що стосуються альтернативних вирішень спорів, зокрема посилення ролі медіації та врегулювання спору за участю судді, свідчать про зміщення акцентів від суто змагального процесу, що передбачено принципами цивільного судочинства згідно зі ч. 3 ст. 2 ЦПК </w:t>
      </w:r>
      <w:r w:rsidRPr="00511005">
        <w:rPr>
          <w:rFonts w:ascii="Arial" w:eastAsia="Times New Roman" w:hAnsi="Arial" w:cs="Arial"/>
          <w:szCs w:val="28"/>
          <w:lang w:val="uk-UA" w:eastAsia="uk-UA"/>
        </w:rPr>
        <w:lastRenderedPageBreak/>
        <w:t>України, до більш партнерської моделі вирішення конфліктів. У цьому контексті важливо проаналізувати теоретичні засади та практичне значення зазначених методів у системі цивільного судочинства України.</w:t>
      </w:r>
    </w:p>
    <w:p w14:paraId="5EECD43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Відповідно до статті 1 Закону України «Про медіацію» медіація - це позасудова конфіденційна, добровільна та структурована процедура, протягом якої сторони за допомогою медіатора (медіаторів) намагаються запобігти виникненню або врегулювати конфлікт (спір) процедурою переговорів [2].</w:t>
      </w:r>
    </w:p>
    <w:p w14:paraId="3E95A10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Будучи альтернативою судовій процедурі й іншим силовим методам розгляду, медіація має цілий ряд переваг, головною з яких є те, що вирішення спору досягається шляхом прийняття сторонами рішення на рівноправній і добровільній основі, що однаково влаштовує всі зацікавлені сторони так, щоб інтереси всіх учасників спору могли б бути задоволені [3; с. 33].</w:t>
      </w:r>
    </w:p>
    <w:p w14:paraId="0D4ECCEE"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Підхід до вирішення конфліктів інтересів, який використовується при процедурі медіації є надзвичайно важливим у цивільному процесі, оскільки він дозволяє уникнути сторонам спору формальної судової процедури та сприяє збереженню міжособистісних відносин між сторонами.</w:t>
      </w:r>
    </w:p>
    <w:p w14:paraId="23187BF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Однією з переваг медіації є зосередження безпосередньо на джерелі та суті конфлікту, а не на формальних процедурах, які передбачає традиційний судовий розгляд. Завдяки цьому процедура медіації допомагає досягненню справедливого, гнучкого та стабільного вирішення спору, без довготривалого розгляду та затягування процесу.</w:t>
      </w:r>
    </w:p>
    <w:p w14:paraId="7D585A5D"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Крім того, варто зазначити, що практика використання медіації у цивільних справах у європейських країнах свідчить про її високу ефективність та значний потенціал для розвантаження судової системи. В Україні ж, незважаючи на відносну новизну цього інституту, він поступово набуває поширення, зокрема завдяки розвитку професійної підготовки медіаторів, інформаційно-просвітницьким кампаніям та підтримці з боку правничої спільноти.</w:t>
      </w:r>
    </w:p>
    <w:p w14:paraId="418FA55C"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Згідно з Постановою Верховного Суду від 11 листопада 2020 року у справі № 522/19690/18 (провадження № 61-15125св19), врегулювання спору за участю судді є судовою процедурою, передбаченою, зокрема, у межах цивільного процесу. Вона включає проведення суддею як спільних нарад за участю всіх сторін, так і закритих — з кожною стороною окремо, з метою досягнення мирного врегулювання</w:t>
      </w:r>
    </w:p>
    <w:p w14:paraId="3EC792C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Сторони можуть ініціювати врегулювання спору за участю судді виключно до початку розгляду справи по суті та за погодженням двох сторін. Проведення процедури врегулювання спору за участю судді є неможливим у випадку вступу до справи третьої особи, яка висуває самостійні вимоги стосовно предмета спору, згідно з ст. 201 ЦПК України [1].</w:t>
      </w:r>
    </w:p>
    <w:p w14:paraId="0956229A"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Дана процедура вирішення конфлікту є важливим елементом, оскільки дозволяє сторонам, що уже ініціювали судовий процес, досягти компромісу легшим шляхом.</w:t>
      </w:r>
    </w:p>
    <w:p w14:paraId="487A26AA"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Врегулювання спору за участю судді поєднує у собі елементи медіації з судовою процесуальною культурою розгляду справ.</w:t>
      </w:r>
    </w:p>
    <w:p w14:paraId="112A34DB"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Особливістю цієї процедури, на відміну від класичного судового розгляду, є гнучкий підхід: суддя може проводити як спільні, так і окремі наради з кожною зі сторін, що дозволяє виявити приховані інтереси, зменшити напругу в конфлікті та наблизити сторони до консенсусу. Така форма діалогу сприяє досягненню мирової угоди, яку в подальшому може бути затверджено судом, що фактично завершує процес.</w:t>
      </w:r>
    </w:p>
    <w:p w14:paraId="1B3A7B05"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Хоч за своєю суттю медіація та врегулювання спору за участю судді мають спільні риси, проте варто розуміти, що це дві виключно різні процедури, що мають свої особливості. По-перше, врегулювання спору за участю судді має свої часові ліміти передбачені законодавством України, а тривалість процедури не повинна перевищувати тридцяти днів від дня постановлення ухвали про її проведення[1]. Медіація ж у даному випадку є набагато гнучкішою та немає чітких часових меж. По-друге,роль медіатора — створити сприятливе середовище для того, щоб сторони могли самостійно знайти вирішення свого конфлікту. Водночас суддя, відповідно до положень ЦПК України, має повноваження ініціювати пропозицію щодо мирного розв'язання спору [4; ст. 49]. По-третє, успішне завершення вирішення спору, має різне правове оформлення. У разі успішного врегулювання спору за участю судді сторони можуть укласти мирову угоду, яка затверджується ухвалою суду та набирає законної сили. Натомість результат медіації — це медіаційна угода, яка має силу цивільного договору і не потребує обов’язкового затвердження судом, що може впливати на способи її виконання та захисту у разі порушення умов.</w:t>
      </w:r>
    </w:p>
    <w:p w14:paraId="2D8E30E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Підсумовуючи сказане вище, медіація та врегулювання спору за участю судді є важливими елементами цивільного судочинства України, оскільки саме такі альтернативні методи відображають загальноєвропейську тенденцію переходу до більш гнучких, партнерських моделей вирішення правових конфліктів. Незважаючи на схожість окремих ознак, ці процедури мають різне правове підґрунтя, функціональне призначення та процесуальні наслідки. Їх застосування сприяє не лише розвантаженню судової системи, а й формуванню культури правової комунікації, що ґрунтується на діалозі, компромісі та взаємоповазі. Подальший розвиток і популяризація цих механізмів є запорукою підвищення ефективності цивільного судочинства та зміцнення довіри громадян до системи правосуддя в Україні.</w:t>
      </w:r>
    </w:p>
    <w:p w14:paraId="42F6EFB3" w14:textId="77777777" w:rsidR="005F048D" w:rsidRPr="00511005" w:rsidRDefault="005F048D" w:rsidP="003A292D">
      <w:pPr>
        <w:spacing w:line="264" w:lineRule="auto"/>
        <w:ind w:firstLine="720"/>
        <w:rPr>
          <w:rFonts w:ascii="Arial" w:eastAsia="Times New Roman" w:hAnsi="Arial" w:cs="Arial"/>
          <w:szCs w:val="28"/>
          <w:lang w:val="uk-UA" w:eastAsia="uk-UA"/>
        </w:rPr>
      </w:pPr>
    </w:p>
    <w:p w14:paraId="16568171" w14:textId="4314A984" w:rsidR="005F048D"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0FB0969C" w14:textId="77777777" w:rsidR="005F048D" w:rsidRPr="00511005" w:rsidRDefault="005F048D" w:rsidP="003A292D">
      <w:pPr>
        <w:spacing w:line="264" w:lineRule="auto"/>
        <w:ind w:firstLine="864"/>
        <w:rPr>
          <w:rFonts w:ascii="Arial" w:eastAsia="Times New Roman" w:hAnsi="Arial" w:cs="Arial"/>
          <w:b/>
          <w:szCs w:val="28"/>
          <w:lang w:val="uk-UA" w:eastAsia="uk-UA"/>
        </w:rPr>
      </w:pPr>
      <w:r w:rsidRPr="00511005">
        <w:rPr>
          <w:rFonts w:ascii="Arial" w:eastAsia="Times New Roman" w:hAnsi="Arial" w:cs="Arial"/>
          <w:szCs w:val="28"/>
          <w:lang w:val="uk-UA" w:eastAsia="uk-UA"/>
        </w:rPr>
        <w:lastRenderedPageBreak/>
        <w:t xml:space="preserve">1. Цивільний процесуальний кодекс України // Відомості Верховної Ради України (ВВР). 2004. № 40-41, 42. ст. 492. URL: -https://zakon.rada.gov.ua/laws/show/1618-15#n9697 </w:t>
      </w:r>
    </w:p>
    <w:p w14:paraId="048E87E3" w14:textId="431B4BE9" w:rsidR="005F048D" w:rsidRPr="00511005" w:rsidRDefault="005F048D" w:rsidP="003A292D">
      <w:pPr>
        <w:spacing w:line="264" w:lineRule="auto"/>
        <w:ind w:firstLine="864"/>
        <w:rPr>
          <w:rFonts w:ascii="Arial" w:eastAsia="Times New Roman" w:hAnsi="Arial" w:cs="Arial"/>
          <w:szCs w:val="28"/>
          <w:lang w:val="uk-UA" w:eastAsia="uk-UA"/>
        </w:rPr>
      </w:pPr>
      <w:r w:rsidRPr="00511005">
        <w:rPr>
          <w:rFonts w:ascii="Arial" w:eastAsia="Times New Roman" w:hAnsi="Arial" w:cs="Arial"/>
          <w:szCs w:val="28"/>
          <w:lang w:val="uk-UA" w:eastAsia="uk-UA"/>
        </w:rPr>
        <w:t>2. Закон України «Про медіацію» // Відомості Верховної Ради України (ВВР).</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2022.</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7.</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ст. 51. URL: -https://zakon.rada.gov.ua/laws/show/1875-20#n160 </w:t>
      </w:r>
    </w:p>
    <w:p w14:paraId="6AFFBF31" w14:textId="77777777" w:rsidR="005F048D" w:rsidRPr="00511005" w:rsidRDefault="005F048D" w:rsidP="003A292D">
      <w:pPr>
        <w:spacing w:line="264" w:lineRule="auto"/>
        <w:ind w:firstLine="864"/>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 Іліопол І. М. Альтернативні форми захисту прав, свобод і законних інтересів / І. М. Іліопол // Альтернативні способи вирішення цивільних спорів : матеріали круглого столу (Одеса, 29 березня 2021 р.) / за заг. ред. д.ю.н., професора Н. Ю. Голубєвої ; НУ «Одеська юридична академія». Одеса : Фенікс, 2021. С. 29-34. URL: </w:t>
      </w:r>
      <w:hyperlink r:id="rId1438">
        <w:r w:rsidRPr="00511005">
          <w:rPr>
            <w:rFonts w:ascii="Arial" w:eastAsia="Times New Roman" w:hAnsi="Arial" w:cs="Arial"/>
            <w:szCs w:val="28"/>
            <w:lang w:val="uk-UA" w:eastAsia="uk-UA"/>
          </w:rPr>
          <w:t>https://dspace.onua.edu.ua/server/api/core/bitstreams/43ff3382-cfae-4227-bf0f-c6c20cc74bc0/content</w:t>
        </w:r>
      </w:hyperlink>
      <w:r w:rsidRPr="00511005">
        <w:rPr>
          <w:rFonts w:ascii="Arial" w:eastAsia="Times New Roman" w:hAnsi="Arial" w:cs="Arial"/>
          <w:szCs w:val="28"/>
          <w:lang w:val="uk-UA" w:eastAsia="uk-UA"/>
        </w:rPr>
        <w:t xml:space="preserve"> </w:t>
      </w:r>
    </w:p>
    <w:p w14:paraId="7056AFB0" w14:textId="77777777" w:rsidR="005F048D" w:rsidRPr="00511005" w:rsidRDefault="005F048D" w:rsidP="003A292D">
      <w:pPr>
        <w:spacing w:line="264" w:lineRule="auto"/>
        <w:ind w:firstLine="864"/>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Сулейманова С.Р. Врегулювання спору за участю судді та медіація: порівняльно–правова характеристика / С. Р. Сулейманова // Цивільне судочинство у світлі судової реформи в Україні : матеріали Всеукр. наук.-практ. інтернет-конф. ім. Ю. С. Червоного (Одеса, 13 груд. 2019 р.) / за заг. ред. д.ю.н., професора Н. Ю. Голубєвої. Одеса: Фенікс, 2019. С. 47-50. URL: </w:t>
      </w:r>
      <w:hyperlink r:id="rId1439">
        <w:r w:rsidRPr="00511005">
          <w:rPr>
            <w:rFonts w:ascii="Arial" w:eastAsia="Times New Roman" w:hAnsi="Arial" w:cs="Arial"/>
            <w:szCs w:val="28"/>
            <w:lang w:val="uk-UA" w:eastAsia="uk-UA"/>
          </w:rPr>
          <w:t>https://dspace.onua.edu.ua/server/api/core/bitstreams/1a426a87-aacc-44f5-99d6-fef7b9dd6164/content</w:t>
        </w:r>
      </w:hyperlink>
      <w:r w:rsidRPr="00511005">
        <w:rPr>
          <w:rFonts w:ascii="Arial" w:eastAsia="Times New Roman" w:hAnsi="Arial" w:cs="Arial"/>
          <w:szCs w:val="28"/>
          <w:lang w:val="uk-UA" w:eastAsia="uk-UA"/>
        </w:rPr>
        <w:t xml:space="preserve"> </w:t>
      </w:r>
    </w:p>
    <w:p w14:paraId="489EDA90" w14:textId="77777777" w:rsidR="005F048D" w:rsidRPr="00511005" w:rsidRDefault="005F048D" w:rsidP="003A292D">
      <w:pPr>
        <w:spacing w:line="264" w:lineRule="auto"/>
        <w:ind w:firstLine="0"/>
        <w:rPr>
          <w:rFonts w:ascii="Arial" w:eastAsia="Times New Roman" w:hAnsi="Arial" w:cs="Arial"/>
          <w:szCs w:val="28"/>
          <w:lang w:val="uk-UA" w:eastAsia="uk-UA"/>
        </w:rPr>
      </w:pPr>
    </w:p>
    <w:p w14:paraId="1133A83F" w14:textId="3213C4ED" w:rsidR="005F048D" w:rsidRPr="00511005" w:rsidRDefault="005F048D" w:rsidP="003A292D">
      <w:pPr>
        <w:spacing w:line="264" w:lineRule="auto"/>
        <w:ind w:firstLine="567"/>
        <w:rPr>
          <w:rFonts w:ascii="Arial" w:eastAsia="Times New Roman" w:hAnsi="Arial" w:cs="Arial"/>
          <w:szCs w:val="28"/>
          <w:lang w:val="uk-UA" w:eastAsia="uk-UA"/>
        </w:rPr>
      </w:pPr>
      <w:r w:rsidRPr="00170723">
        <w:rPr>
          <w:rFonts w:ascii="Arial" w:eastAsia="Times New Roman" w:hAnsi="Arial" w:cs="Arial"/>
          <w:b/>
          <w:i/>
          <w:iCs/>
          <w:szCs w:val="28"/>
          <w:lang w:val="uk-UA" w:eastAsia="uk-UA"/>
        </w:rPr>
        <w:t>Ключові слова:</w:t>
      </w:r>
      <w:r w:rsidR="00170723">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медіація, врегулювання спору за участю судді, цивільне судочинство, врегулювання спорів.</w:t>
      </w:r>
    </w:p>
    <w:p w14:paraId="05CA3BE0" w14:textId="7AE454CF" w:rsidR="005F048D" w:rsidRPr="00511005" w:rsidRDefault="007B2628" w:rsidP="003A292D">
      <w:pPr>
        <w:spacing w:line="264" w:lineRule="auto"/>
        <w:ind w:firstLine="567"/>
        <w:rPr>
          <w:rFonts w:ascii="Arial" w:eastAsia="Times New Roman" w:hAnsi="Arial" w:cs="Arial"/>
          <w:b/>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mediation, dispute resolution with the participation of a judge, civil proceedings, dispute settlement.</w:t>
      </w:r>
    </w:p>
    <w:p w14:paraId="3A67C2B0" w14:textId="4C203482" w:rsidR="005F048D" w:rsidRPr="00511005" w:rsidRDefault="007B2628" w:rsidP="003A292D">
      <w:pPr>
        <w:spacing w:line="264" w:lineRule="auto"/>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w:t>
      </w:r>
      <w:r w:rsidR="00170723">
        <w:rPr>
          <w:rFonts w:ascii="Arial" w:eastAsia="Times New Roman" w:hAnsi="Arial" w:cs="Arial"/>
          <w:i/>
          <w:szCs w:val="28"/>
          <w:lang w:val="uk-UA" w:eastAsia="uk-UA"/>
        </w:rPr>
        <w:t>.,</w:t>
      </w:r>
      <w:r w:rsidR="005F048D" w:rsidRPr="00511005">
        <w:rPr>
          <w:rFonts w:ascii="Arial" w:eastAsia="Times New Roman" w:hAnsi="Arial" w:cs="Arial"/>
          <w:i/>
          <w:szCs w:val="28"/>
          <w:lang w:val="uk-UA" w:eastAsia="uk-UA"/>
        </w:rPr>
        <w:t xml:space="preserve"> доцент Іліопол І.М.</w:t>
      </w:r>
    </w:p>
    <w:p w14:paraId="39A4AA43" w14:textId="77777777" w:rsidR="005F048D" w:rsidRPr="00511005" w:rsidRDefault="005F048D" w:rsidP="003A292D">
      <w:pPr>
        <w:spacing w:line="264" w:lineRule="auto"/>
        <w:jc w:val="left"/>
        <w:rPr>
          <w:rFonts w:ascii="Arial" w:eastAsia="Times New Roman" w:hAnsi="Arial" w:cs="Arial"/>
          <w:i/>
          <w:szCs w:val="28"/>
          <w:lang w:val="uk-UA" w:eastAsia="uk-UA"/>
        </w:rPr>
      </w:pPr>
    </w:p>
    <w:p w14:paraId="7D249B63"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006A1703"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Манів Надія Романівна</w:t>
      </w:r>
    </w:p>
    <w:p w14:paraId="01016CE4" w14:textId="54B0B2A7" w:rsidR="005F048D" w:rsidRPr="00170723" w:rsidRDefault="00536AAB" w:rsidP="003A292D">
      <w:pPr>
        <w:spacing w:line="264" w:lineRule="auto"/>
        <w:ind w:firstLine="0"/>
        <w:jc w:val="center"/>
        <w:rPr>
          <w:rFonts w:ascii="Arial" w:eastAsia="Times New Roman" w:hAnsi="Arial" w:cs="Arial"/>
          <w:iCs/>
          <w:szCs w:val="28"/>
          <w:lang w:val="uk-UA" w:eastAsia="uk-UA"/>
        </w:rPr>
      </w:pPr>
      <w:r w:rsidRPr="00170723">
        <w:rPr>
          <w:rFonts w:ascii="Arial" w:eastAsia="Times New Roman" w:hAnsi="Arial" w:cs="Arial"/>
          <w:iCs/>
          <w:szCs w:val="28"/>
          <w:lang w:val="uk-UA" w:eastAsia="uk-UA"/>
        </w:rPr>
        <w:t>студентка 1-го курсу магістратури</w:t>
      </w:r>
      <w:r w:rsidR="005F048D" w:rsidRPr="00170723">
        <w:rPr>
          <w:rFonts w:ascii="Arial" w:eastAsia="Times New Roman" w:hAnsi="Arial" w:cs="Arial"/>
          <w:iCs/>
          <w:szCs w:val="28"/>
          <w:lang w:val="uk-UA" w:eastAsia="uk-UA"/>
        </w:rPr>
        <w:t xml:space="preserve"> </w:t>
      </w:r>
    </w:p>
    <w:p w14:paraId="2EBB0D0B" w14:textId="797C7735" w:rsidR="005F048D" w:rsidRPr="00170723" w:rsidRDefault="001B7B25" w:rsidP="003A292D">
      <w:pPr>
        <w:spacing w:line="264" w:lineRule="auto"/>
        <w:ind w:firstLine="0"/>
        <w:jc w:val="center"/>
        <w:rPr>
          <w:rFonts w:ascii="Arial" w:eastAsia="Times New Roman" w:hAnsi="Arial" w:cs="Arial"/>
          <w:iCs/>
          <w:szCs w:val="28"/>
          <w:lang w:val="uk-UA" w:eastAsia="uk-UA"/>
        </w:rPr>
      </w:pPr>
      <w:r w:rsidRPr="00170723">
        <w:rPr>
          <w:rFonts w:ascii="Arial" w:eastAsia="Times New Roman" w:hAnsi="Arial" w:cs="Arial"/>
          <w:iCs/>
          <w:szCs w:val="28"/>
          <w:lang w:val="uk-UA" w:eastAsia="uk-UA"/>
        </w:rPr>
        <w:t>факультету судового та міжнародного права</w:t>
      </w:r>
      <w:r w:rsidR="005F048D" w:rsidRPr="00170723">
        <w:rPr>
          <w:rFonts w:ascii="Arial" w:eastAsia="Times New Roman" w:hAnsi="Arial" w:cs="Arial"/>
          <w:iCs/>
          <w:szCs w:val="28"/>
          <w:lang w:val="uk-UA" w:eastAsia="uk-UA"/>
        </w:rPr>
        <w:t xml:space="preserve"> </w:t>
      </w:r>
    </w:p>
    <w:p w14:paraId="2D4FB5F9" w14:textId="496CC090" w:rsidR="007B2628" w:rsidRPr="00170723" w:rsidRDefault="007B2628" w:rsidP="003A292D">
      <w:pPr>
        <w:spacing w:line="264" w:lineRule="auto"/>
        <w:ind w:firstLine="0"/>
        <w:jc w:val="center"/>
        <w:rPr>
          <w:rFonts w:ascii="Arial" w:eastAsia="Times New Roman" w:hAnsi="Arial" w:cs="Arial"/>
          <w:iCs/>
          <w:szCs w:val="28"/>
          <w:lang w:val="uk-UA" w:eastAsia="uk-UA"/>
        </w:rPr>
      </w:pPr>
      <w:r w:rsidRPr="00170723">
        <w:rPr>
          <w:rFonts w:ascii="Arial" w:eastAsia="Times New Roman" w:hAnsi="Arial" w:cs="Arial"/>
          <w:iCs/>
          <w:szCs w:val="28"/>
          <w:lang w:val="uk-UA" w:eastAsia="uk-UA"/>
        </w:rPr>
        <w:t>Національного університету «Одеська юридична академія»</w:t>
      </w:r>
    </w:p>
    <w:p w14:paraId="1263B89E" w14:textId="3D6380C4"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16AE4132"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ПРОЦЕСУАЛЬНИЙ ЕСТОПЕЛЬ ЯК ІНСТРУМЕНТ ЗАБЕЗПЕЧЕННЯ ПРОЦЕСУАЛЬНОЇ ДОБРОСОВІСНОСТІ В ЦИВІЛЬНОМУ СУДОЧИНСТВІ УКРАЇНИ</w:t>
      </w:r>
    </w:p>
    <w:p w14:paraId="3607CCB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Глобальні процеси, що відбуваються у світі, безпосередньо впливають і на Україну. Вони сприяють формуванню правових механізмів, визначенню напрямів розвитку правової системи держави та стимулюють еволюцію національного права.</w:t>
      </w:r>
    </w:p>
    <w:p w14:paraId="64447E9C"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Однією з ключових ознак змін національного законодавства є дедалі ширше застосування судами різних інстанцій принципу, відомого в </w:t>
      </w:r>
      <w:r w:rsidRPr="00511005">
        <w:rPr>
          <w:rFonts w:ascii="Arial" w:eastAsia="Times New Roman" w:hAnsi="Arial" w:cs="Arial"/>
          <w:szCs w:val="28"/>
          <w:lang w:val="uk-UA" w:eastAsia="uk-UA"/>
        </w:rPr>
        <w:lastRenderedPageBreak/>
        <w:t>континентальній правовій системі як заборона суперечливої поведінки. У той же час, у англійському прецедентному праві та міжнародній арбітражній практиці цей принцип більш відомий як правило естопель. Естопель — це юридичне поняття, що не дає можливість особі заперечувати або стверджувати протилежне тому, що вже було визнано істинним на підставі закону, рішень суду, актів державних органів чи її власних дій, заяв або вчинків, як прямих, так і таких, що випливають із контексту [1].</w:t>
      </w:r>
    </w:p>
    <w:p w14:paraId="32BA1E7C"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Принцип заборони суперечливої поведінки (естопель) заснований на принципі добросовісності, що закріплений як у матеріальному, так і в процесуальному праві. Відповідно естопель поділяють на матеріальний та процесуальний. Матеріальний естопель виявляється у суперечливій поведінці особи щодо її матеріальних прав (наприклад, коли особа спочатку виконує умови договору, а потім оспорює його дійсність) [2]. Зокрема, в окремій думці від 22.08.2018 р. у справі № 596/2472/16-ц наголошується, що доктрина venire contra factum proprium (заборони суперечливої поведінки) заснована на принципі добросовісності а ґрунтується на римській максимі non concedit venire contra factum proprium («ніхто не може діяти всупереч своїй попередній поведінці»). Очевидно, що наймодавець (орендодавець) свідомо скористався тим, що з різних причин не підписав договір оренди земельної ділянки власноруч. Водночас спроба оспорити цей договір суперечить його попередній поведінці, зокрема прийняттю орендної плати за користування земельною ділянкою, що свідчить про недобросовісність таких дій [3]. </w:t>
      </w:r>
    </w:p>
    <w:p w14:paraId="29303F88"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Процесуальний естопель передбачає заборону сторонам у судовому процесі вести себе непослідовно та неупереджено, порушувати правила процесуальної етики, використовувати тактику, спрямовану на унеможливлення правильного та ефективного проведення процесу (наприклад, повторення одних і тих самих запитань у свідків, які не дають нової інформації; вимагання додаткових доказів, які не є необхідними або не пов’язані з предметом справи). Сторона не може займати позицію, що суперечить тій, яку вона висловила у інших судових спорах, де суд уже встановив факти стосовно цієї особи (процесуальна преюдиція, згідно з якою вважається доведеною обставина, визначена судом у іншій справі), або змінювати свою позицію під час перегляду судового рішення в судах попередніх інстанцій [4, с. 40, 41].</w:t>
      </w:r>
    </w:p>
    <w:p w14:paraId="3B021EF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Як зазначено у постанові Великої Палати Верховного Суду у справі № 513/879/19 від 29 листопада 2023 року, основна мета застосування принципу добросовісності — запобігти ситуації, коли сторона отримує переваги або вигоду через свою непослідовну поведінку, завдаючи шкоди іншій стороні, яка добросовісно поклалася на створену юридичну ситуацію. Одним із механізмів захисту добросовісної сторони є принцип естопелю: </w:t>
      </w:r>
      <w:r w:rsidRPr="00511005">
        <w:rPr>
          <w:rFonts w:ascii="Arial" w:eastAsia="Times New Roman" w:hAnsi="Arial" w:cs="Arial"/>
          <w:szCs w:val="28"/>
          <w:lang w:val="uk-UA" w:eastAsia="uk-UA"/>
        </w:rPr>
        <w:lastRenderedPageBreak/>
        <w:t>особа втрачає право посилатися на факти на підтримку своїх вимог, якщо її попередня поведінка свідчила про протилежну позицію [5].</w:t>
      </w:r>
    </w:p>
    <w:p w14:paraId="5B6BE744"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Процесуальний естопель може проявлятися на всіх етапах судового процесу — від першої інстанції до касаційної. Найчастіше він виявляється, коли сторона оскаржує судове рішення вищою інстанцією, змінюючи свою правову позицію. У такому випадку суд вищої інстанції може відмовити в задоволенні апеляційної чи касаційної скарги, посилаючись на принцип естопеля [6].</w:t>
      </w:r>
    </w:p>
    <w:p w14:paraId="5593F23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У рішенні Центрального районного суду м. Миколаєва у справі № 490/209/16-ц від 15 березня 2023 року суд навів обов`язкові умови для застосування естопелю: (a) виникнення довіри в іншої сторони має стосуватися особи, якій протиставляється естопель; (b) виникнення обґрунтованої довіри у добросовісної сторони; (c) очевидна несправедливість підриву довіри (a) виникнення довіри в іншої сторони має стосуватися особи, якій протиставляється естопель. Так, підписавши додаткову угоду до кредитного договору як директор позичальника, відповідач усвідомлював внесені зміни та їхні наслідки. Цими діями він сформував у кредитора – добросовісної сторони – обґрунтовану довіру, що стала результатом попередньої поведінки позичальника. У Банку виникли цілком обґрунтовані очікування щодо подальшої послідовності дій відповідача, зокрема в його статусі поручителя. Відтак, Банк мав усі підстави довіряти діям контрагента та покладатися на них [7].</w:t>
      </w:r>
    </w:p>
    <w:p w14:paraId="27C12CDC"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Верховний Суд у постанові від 13 листопада 2018 року по справі № 910/19179/17 зазначив, що суди попередніх інстанцій неправильно застосували положення статті 241 ЦК України, не з’ясувавши, чи порушено права позивача у зв’язку з укладенням договору відступлення. Суд наголосив, що схвалення правочину стороною, навіть у разі перевищення повноважень, має значення і для третіх осіб. Особа, яка виявила волю зберегти дійсність правочину, не може згодом його оспорювати — це прояв принципу естопелю та добросовісності (ст. 509 ЦК України). Отже, рішення про задоволення первісного позову були передчасними [8].</w:t>
      </w:r>
    </w:p>
    <w:p w14:paraId="38E2C2D2"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 урахуванням вищенаведеного, вбачається, що естопель – складний, але ефективний інструмент для забезпечення належного та ефективного ведення судового процесу. Підвищує важливість процесу доказування та сприяє дотриманню безпеки і порядку серед учасників процесу, що в свою чергу забезпечує ефективне здійснення правосуддя. Суди різних інстанцій охоче застосовують принцип естопель при ухваленні рішень до прикладу відмовляючи у задоволенні непідтверджених клопотань, вживаючи заходи процесуального примусу чи відмовляючи у задоволенні позовних вимог. Водночас, посилання на естопель не є гарантією виграшу справи, оскільки він не має безумовного характеру. Його застосування може бути обмежене іншими правовими принципами та нормами, що </w:t>
      </w:r>
      <w:r w:rsidRPr="00511005">
        <w:rPr>
          <w:rFonts w:ascii="Arial" w:eastAsia="Times New Roman" w:hAnsi="Arial" w:cs="Arial"/>
          <w:szCs w:val="28"/>
          <w:lang w:val="uk-UA" w:eastAsia="uk-UA"/>
        </w:rPr>
        <w:lastRenderedPageBreak/>
        <w:t>забезпечують право на справедливий суд, право на захист та інші основоположні права.</w:t>
      </w:r>
    </w:p>
    <w:p w14:paraId="6E58D664" w14:textId="4ECA23DC" w:rsidR="005F048D" w:rsidRPr="00511005" w:rsidRDefault="007B2628" w:rsidP="007B2628">
      <w:pPr>
        <w:spacing w:line="264" w:lineRule="auto"/>
        <w:ind w:firstLine="851"/>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6125ADF1" w14:textId="77777777" w:rsidR="005F048D" w:rsidRPr="00511005" w:rsidRDefault="005F048D" w:rsidP="003F6A5D">
      <w:pPr>
        <w:numPr>
          <w:ilvl w:val="0"/>
          <w:numId w:val="383"/>
        </w:numPr>
        <w:spacing w:line="264" w:lineRule="auto"/>
        <w:ind w:left="-36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Естопель – обов’язковий до використання URL: </w:t>
      </w:r>
      <w:hyperlink r:id="rId1440">
        <w:r w:rsidRPr="00511005">
          <w:rPr>
            <w:rFonts w:ascii="Arial" w:eastAsia="Times New Roman" w:hAnsi="Arial" w:cs="Arial"/>
            <w:szCs w:val="28"/>
            <w:lang w:val="uk-UA" w:eastAsia="uk-UA"/>
          </w:rPr>
          <w:t>https://svaroglaw.com/uk/estopel/</w:t>
        </w:r>
      </w:hyperlink>
      <w:r w:rsidRPr="00511005">
        <w:rPr>
          <w:rFonts w:ascii="Arial" w:eastAsia="Times New Roman" w:hAnsi="Arial" w:cs="Arial"/>
          <w:szCs w:val="28"/>
          <w:lang w:val="uk-UA" w:eastAsia="uk-UA"/>
        </w:rPr>
        <w:t xml:space="preserve"> (дата звернення 10.03.2025 р.).</w:t>
      </w:r>
    </w:p>
    <w:p w14:paraId="7D8EDAE0" w14:textId="77777777" w:rsidR="005F048D" w:rsidRPr="00511005" w:rsidRDefault="005F048D" w:rsidP="003F6A5D">
      <w:pPr>
        <w:numPr>
          <w:ilvl w:val="0"/>
          <w:numId w:val="383"/>
        </w:numPr>
        <w:spacing w:line="264" w:lineRule="auto"/>
        <w:ind w:left="-36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Застосування принципу «естопель» в судовій практиці. URL: </w:t>
      </w:r>
      <w:hyperlink r:id="rId1441">
        <w:r w:rsidRPr="00511005">
          <w:rPr>
            <w:rFonts w:ascii="Arial" w:eastAsia="Times New Roman" w:hAnsi="Arial" w:cs="Arial"/>
            <w:szCs w:val="28"/>
            <w:lang w:val="uk-UA" w:eastAsia="uk-UA"/>
          </w:rPr>
          <w:t>https://law.chnu.edu.ua/zastosuvannia-pryntsypu-estopel-u-sudovii-praktytsi/</w:t>
        </w:r>
      </w:hyperlink>
      <w:r w:rsidRPr="00511005">
        <w:rPr>
          <w:rFonts w:ascii="Arial" w:eastAsia="Times New Roman" w:hAnsi="Arial" w:cs="Arial"/>
          <w:szCs w:val="28"/>
          <w:lang w:val="uk-UA" w:eastAsia="uk-UA"/>
        </w:rPr>
        <w:t xml:space="preserve"> (дата звернення 10.03.2025 р.).</w:t>
      </w:r>
    </w:p>
    <w:p w14:paraId="6C6FCBE4" w14:textId="77777777" w:rsidR="005F048D" w:rsidRPr="00511005" w:rsidRDefault="005F048D" w:rsidP="003F6A5D">
      <w:pPr>
        <w:numPr>
          <w:ilvl w:val="0"/>
          <w:numId w:val="383"/>
        </w:numPr>
        <w:spacing w:line="264" w:lineRule="auto"/>
        <w:ind w:left="-36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Окрема думка суддів Касаційного цивільного суду у складі Верховного Суду Журавель В. І., Крата В. І. у справі № 596/2472/16-ц від 22.08.2018 р. URL: </w:t>
      </w:r>
      <w:hyperlink r:id="rId1442">
        <w:r w:rsidRPr="00511005">
          <w:rPr>
            <w:rFonts w:ascii="Arial" w:eastAsia="Times New Roman" w:hAnsi="Arial" w:cs="Arial"/>
            <w:szCs w:val="28"/>
            <w:lang w:val="uk-UA" w:eastAsia="uk-UA"/>
          </w:rPr>
          <w:t>https://reyestr.court.gov.ua/Review/76103211</w:t>
        </w:r>
      </w:hyperlink>
      <w:r w:rsidRPr="00511005">
        <w:rPr>
          <w:rFonts w:ascii="Arial" w:eastAsia="Times New Roman" w:hAnsi="Arial" w:cs="Arial"/>
          <w:szCs w:val="28"/>
          <w:lang w:val="uk-UA" w:eastAsia="uk-UA"/>
        </w:rPr>
        <w:t xml:space="preserve"> (дата звернення 10.03.2025 р.).</w:t>
      </w:r>
    </w:p>
    <w:p w14:paraId="17EDE83C" w14:textId="77777777" w:rsidR="005F048D" w:rsidRPr="00511005" w:rsidRDefault="005F048D" w:rsidP="003F6A5D">
      <w:pPr>
        <w:numPr>
          <w:ilvl w:val="0"/>
          <w:numId w:val="383"/>
        </w:numPr>
        <w:spacing w:line="264" w:lineRule="auto"/>
        <w:ind w:left="-36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Голубєва Н. Ю., Бут І. О., Полуніна О. О., Полюк Ю. І., Цал-Цалко Ю. Ю. Сучасні проблеми цивільного та цивільно-процесуального права (в частині цивільно-процесуального права) : навч.-метод. посіб. [Електронне видання]. Одеса : Фенікс, 2023. 190 с. URL: </w:t>
      </w:r>
      <w:hyperlink r:id="rId1443">
        <w:r w:rsidRPr="00511005">
          <w:rPr>
            <w:rFonts w:ascii="Arial" w:eastAsia="Times New Roman" w:hAnsi="Arial" w:cs="Arial"/>
            <w:szCs w:val="28"/>
            <w:lang w:val="uk-UA" w:eastAsia="uk-UA"/>
          </w:rPr>
          <w:t>https://hdl.handle.net/11300/26554</w:t>
        </w:r>
      </w:hyperlink>
      <w:r w:rsidRPr="00511005">
        <w:rPr>
          <w:rFonts w:ascii="Arial" w:eastAsia="Times New Roman" w:hAnsi="Arial" w:cs="Arial"/>
          <w:szCs w:val="28"/>
          <w:lang w:val="uk-UA" w:eastAsia="uk-UA"/>
        </w:rPr>
        <w:t xml:space="preserve"> </w:t>
      </w:r>
    </w:p>
    <w:p w14:paraId="1CF309C2" w14:textId="77777777" w:rsidR="005F048D" w:rsidRPr="00511005" w:rsidRDefault="005F048D" w:rsidP="003F6A5D">
      <w:pPr>
        <w:numPr>
          <w:ilvl w:val="0"/>
          <w:numId w:val="383"/>
        </w:numPr>
        <w:spacing w:line="264" w:lineRule="auto"/>
        <w:ind w:left="-36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Постанова Великої Палати Верховного Суду у справі № 513/879/19 від 29.11.2023 року URL: </w:t>
      </w:r>
      <w:hyperlink r:id="rId1444">
        <w:r w:rsidRPr="00511005">
          <w:rPr>
            <w:rFonts w:ascii="Arial" w:eastAsia="Times New Roman" w:hAnsi="Arial" w:cs="Arial"/>
            <w:szCs w:val="28"/>
            <w:lang w:val="uk-UA" w:eastAsia="uk-UA"/>
          </w:rPr>
          <w:t>https://reyestr.court.gov.ua/Review/115546305</w:t>
        </w:r>
      </w:hyperlink>
      <w:r w:rsidRPr="00511005">
        <w:rPr>
          <w:rFonts w:ascii="Arial" w:eastAsia="Times New Roman" w:hAnsi="Arial" w:cs="Arial"/>
          <w:szCs w:val="28"/>
          <w:lang w:val="uk-UA" w:eastAsia="uk-UA"/>
        </w:rPr>
        <w:t xml:space="preserve"> (дата звернення 10.03.2025 р.).</w:t>
      </w:r>
    </w:p>
    <w:p w14:paraId="32CA27A7" w14:textId="77777777" w:rsidR="005F048D" w:rsidRPr="00511005" w:rsidRDefault="005F048D" w:rsidP="003F6A5D">
      <w:pPr>
        <w:numPr>
          <w:ilvl w:val="0"/>
          <w:numId w:val="383"/>
        </w:numPr>
        <w:spacing w:line="264" w:lineRule="auto"/>
        <w:ind w:left="-36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Естопель принцип заборони суперечливої поведінки URL: </w:t>
      </w:r>
      <w:hyperlink r:id="rId1445">
        <w:r w:rsidRPr="00511005">
          <w:rPr>
            <w:rFonts w:ascii="Arial" w:eastAsia="Times New Roman" w:hAnsi="Arial" w:cs="Arial"/>
            <w:szCs w:val="28"/>
            <w:lang w:val="uk-UA" w:eastAsia="uk-UA"/>
          </w:rPr>
          <w:t>https://sotskyi.com/естопель</w:t>
        </w:r>
      </w:hyperlink>
      <w:r w:rsidRPr="00511005">
        <w:rPr>
          <w:rFonts w:ascii="Arial" w:eastAsia="Times New Roman" w:hAnsi="Arial" w:cs="Arial"/>
          <w:szCs w:val="28"/>
          <w:lang w:val="uk-UA" w:eastAsia="uk-UA"/>
        </w:rPr>
        <w:t xml:space="preserve"> (дата звернення 31.03.2024 р.).</w:t>
      </w:r>
    </w:p>
    <w:p w14:paraId="105FF2C9" w14:textId="383284D0" w:rsidR="005F048D" w:rsidRPr="00511005" w:rsidRDefault="005F048D" w:rsidP="003F6A5D">
      <w:pPr>
        <w:numPr>
          <w:ilvl w:val="0"/>
          <w:numId w:val="383"/>
        </w:numPr>
        <w:spacing w:line="264" w:lineRule="auto"/>
        <w:ind w:left="-36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Рішення Центрального районного суду м. Миколаєва у справі № 490/209/16-ц від 15.03.2023 року URL:</w:t>
      </w:r>
      <w:r w:rsidR="007B2628" w:rsidRPr="00511005">
        <w:rPr>
          <w:rFonts w:ascii="Arial" w:eastAsia="Times New Roman" w:hAnsi="Arial" w:cs="Arial"/>
          <w:szCs w:val="28"/>
          <w:lang w:val="uk-UA" w:eastAsia="uk-UA"/>
        </w:rPr>
        <w:t xml:space="preserve"> </w:t>
      </w:r>
      <w:hyperlink r:id="rId1446">
        <w:r w:rsidRPr="00511005">
          <w:rPr>
            <w:rFonts w:ascii="Arial" w:eastAsia="Times New Roman" w:hAnsi="Arial" w:cs="Arial"/>
            <w:szCs w:val="28"/>
            <w:lang w:val="uk-UA" w:eastAsia="uk-UA"/>
          </w:rPr>
          <w:t>https://reyestr.court.gov.ua/Review/117801892</w:t>
        </w:r>
      </w:hyperlink>
      <w:r w:rsidRPr="00511005">
        <w:rPr>
          <w:rFonts w:ascii="Arial" w:eastAsia="Times New Roman" w:hAnsi="Arial" w:cs="Arial"/>
          <w:szCs w:val="28"/>
          <w:lang w:val="uk-UA" w:eastAsia="uk-UA"/>
        </w:rPr>
        <w:t xml:space="preserve"> (дата звернення 10.03.2025 р.).</w:t>
      </w:r>
    </w:p>
    <w:p w14:paraId="4BF1B693" w14:textId="77777777" w:rsidR="005F048D" w:rsidRPr="00511005" w:rsidRDefault="005F048D" w:rsidP="003F6A5D">
      <w:pPr>
        <w:numPr>
          <w:ilvl w:val="0"/>
          <w:numId w:val="383"/>
        </w:numPr>
        <w:spacing w:line="264" w:lineRule="auto"/>
        <w:ind w:left="-36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Постанова Касаційного господарського суду у справі № 910/19179/17 від 13.11.2018 року URL: </w:t>
      </w:r>
      <w:hyperlink r:id="rId1447">
        <w:r w:rsidRPr="00511005">
          <w:rPr>
            <w:rFonts w:ascii="Arial" w:eastAsia="Times New Roman" w:hAnsi="Arial" w:cs="Arial"/>
            <w:szCs w:val="28"/>
            <w:lang w:val="uk-UA" w:eastAsia="uk-UA"/>
          </w:rPr>
          <w:t>https://reyestr.court.gov.ua/Review/78022499</w:t>
        </w:r>
      </w:hyperlink>
      <w:r w:rsidRPr="00511005">
        <w:rPr>
          <w:rFonts w:ascii="Arial" w:eastAsia="Times New Roman" w:hAnsi="Arial" w:cs="Arial"/>
          <w:szCs w:val="28"/>
          <w:lang w:val="uk-UA" w:eastAsia="uk-UA"/>
        </w:rPr>
        <w:t xml:space="preserve"> (дата звернення 10.03.2025 р.).</w:t>
      </w:r>
    </w:p>
    <w:p w14:paraId="12F61007" w14:textId="77777777" w:rsidR="005F048D" w:rsidRPr="00511005" w:rsidRDefault="005F048D" w:rsidP="003A292D">
      <w:pPr>
        <w:spacing w:line="264" w:lineRule="auto"/>
        <w:ind w:left="720" w:firstLine="0"/>
        <w:rPr>
          <w:rFonts w:ascii="Arial" w:eastAsia="Times New Roman" w:hAnsi="Arial" w:cs="Arial"/>
          <w:szCs w:val="28"/>
          <w:lang w:val="uk-UA" w:eastAsia="uk-UA"/>
        </w:rPr>
      </w:pPr>
    </w:p>
    <w:p w14:paraId="04D1A23B" w14:textId="5E14AA76"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 xml:space="preserve">процесуальний естопель, добросовісність, цивільне судочинство, зловживання процесуальними правами, Верховний Суд, судова практика, принцип диспозитивності, судова правотворчість, </w:t>
      </w:r>
    </w:p>
    <w:p w14:paraId="61F7FFFE" w14:textId="5F3D0E84" w:rsidR="007B2628"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procedural estoppel, good faith, civil procedure, abuse of procedural rights, Supreme Court, case law, principle of dispositiveness, judicial lawmaking</w:t>
      </w:r>
    </w:p>
    <w:p w14:paraId="0F43D53C" w14:textId="29451DD9" w:rsidR="005F048D" w:rsidRPr="00511005" w:rsidRDefault="007B2628" w:rsidP="003A292D">
      <w:pPr>
        <w:spacing w:line="264" w:lineRule="auto"/>
        <w:ind w:firstLine="72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Полюк Ю. І.</w:t>
      </w:r>
    </w:p>
    <w:p w14:paraId="385814F9"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26295473"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Матвєйкін Михайло Денисович</w:t>
      </w:r>
    </w:p>
    <w:p w14:paraId="05A5C10C" w14:textId="2356829E"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iCs/>
          <w:szCs w:val="28"/>
          <w:lang w:val="uk-UA" w:eastAsia="uk-UA"/>
        </w:rPr>
        <w:t>студент 1-го курсу магістратури</w:t>
      </w:r>
    </w:p>
    <w:p w14:paraId="42EBAB26"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9F3AD20" w14:textId="661196B6" w:rsidR="005F048D" w:rsidRPr="00511005" w:rsidRDefault="00550C73" w:rsidP="00550C73">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szCs w:val="28"/>
          <w:lang w:eastAsia="ru-RU"/>
        </w:rPr>
        <w:t>Національного університету «Одеська юридична академія»</w:t>
      </w:r>
    </w:p>
    <w:p w14:paraId="1445B072"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508EB6CB"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lastRenderedPageBreak/>
        <w:t>АКТУАЛЬНІ ПИТАННЯ РОЗГЛЯДУ СПРАВ ПРО ВИДАЧУ ОБМЕЖУВАЛЬНОГО ПРИПИСУ</w:t>
      </w:r>
    </w:p>
    <w:p w14:paraId="0E075820"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 останні роки Україна активно працює над удосконаленням правових інструментів для боротьби з домашнім насильством, зокрема через ратифікацію Стамбульської конвенції та прийняття Закону «Про запобігання та протидію домашньому насильству». Це відзначено серйозними змінами у цивільному процесуальному праві, зокрема в розгляді справ про видачу обмежувального припису. Актуальність даного аналізу полягає в розкритті нюансів нових правових підходів та практики судів щодо використання цього інструменту як засобу надання ефективного захисту жертвам домашнього насильства. Зростаюча увага до цього питання підтверджує необхідність глибокого розуміння процедур та аспектів розгляду справ про видачу обмежувального припису в українському правовому просторі.</w:t>
      </w:r>
    </w:p>
    <w:p w14:paraId="4ACC76F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Важливо зазначити, що Цивільний процесуальний кодекс України (ЦПК) не визначає термін «обмежувальний припис», що вимагає звернення до інших нормативних актів. Зокрема, у Законі України «Про запобігання та протидію домашньому насильству» визначено, що обмежувальний припис – це захід тимчасового обмеження прав або накладання обов'язків на особу, винувату у домашньому насильстві, з метою забезпечення безпеки постраждалої особи у судовому порядку [1].</w:t>
      </w:r>
    </w:p>
    <w:p w14:paraId="20FC326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Обмежувальний припис, визначений як тимчасовий захід, виключається з розряду покарань і спрямований на захист та запобігання вчиненню насильства. Його основна мета - надавати тимчасовий захист потенційним жертвам до прийняття рішення щодо кваліфікації дій винної особи та проведення відповідних правових процедур, таких як адміністративне, цивільне або кримінальне провадження.</w:t>
      </w:r>
    </w:p>
    <w:p w14:paraId="06256E8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Стамбульська конвенція встановлює, що обмежувальні приписи повинні бути доступні незалежно від наявності інших правових проваджень. Це означає, що суд може виносити обмежувальний припис, навіть якщо вже ведуться цивільне, адміністративне чи кримінальне провадження щодо того самого випадку. До ратифікації Стамбульської конвенції існувала практика, коли наявність кримінального провадження не заважала потерпілій особі звертатися до суду із вимогою щодо видачі обмежувального припису. Більше того, розгляд цивільної справи не заважав проведенню кримінального провадження стосовно особи, яка вчинила насильство [2].</w:t>
      </w:r>
    </w:p>
    <w:p w14:paraId="650D3EB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Заслуговує на увагу думка М.В. Сіроткіної, яка підкреслює, що обмежувальні приписи є важливим механізмом захисту від домашнього насильства. Однак, доступ до цього механізму для постраждалих осіб може бути обмежений фінансовими витратами. Тому судові витрати, пов'язані з розглядом справи щодо видачі обмежувального припису, повинні бути здійснені за рахунок держави. Це забезпечить доступ до захисту для всіх постраждалих осіб, незалежно від їхнього фінансового становища. Крім </w:t>
      </w:r>
      <w:r w:rsidRPr="00511005">
        <w:rPr>
          <w:rFonts w:ascii="Arial" w:eastAsia="Times New Roman" w:hAnsi="Arial" w:cs="Arial"/>
          <w:szCs w:val="28"/>
          <w:lang w:val="uk-UA" w:eastAsia="uk-UA"/>
        </w:rPr>
        <w:lastRenderedPageBreak/>
        <w:t>того, законодавство України встановлює пріоритет безпеки постраждалої особи навіть перед її матеріальними правами щодо житла [3, с.115]. Це означає, що навіть якщо потерпіла особа проживає разом із кривдником, вона може отримати обмежувальний припис, який обмежить доступ кривдника до цього житла. Такий пріоритет виправданий, оскільки безпека постраждалої особи є найважливішою, а вона має право на захист від насильства, незалежно від місця проживання.</w:t>
      </w:r>
    </w:p>
    <w:p w14:paraId="482B5230"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Верховний Суд у своїх рішеннях акцентує увагу на законному характері тимчасового обмеження права власності кривдника з метою забезпечення безпеки постраждалої особи через введення судом обмежувального припису. Це законне втручання у права та свободи особи, яке дозволяє суду тимчасово обмежувати право кривдника на користування майном з метою захисту постраждалої особи від насильства. Приймаючи рішення щодо використання такого заходу, суд враховує серйозність домашнього насильства, ймовірність повторення кривдником насильства та вплив обмеження права власності на життя та здоров'я кривдника [4]. Аналіз судової практики свідчить, що суди переважно приділяють увагу заявам потерпілої особи та приймають рішення про видачу обмежувального припису відповідно до бажань потерпілої особи, як висловлено в її заяві щодо цього припису [5;6].</w:t>
      </w:r>
    </w:p>
    <w:p w14:paraId="40FCCA4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Крім того, у сфері цивільного законодавства надаються додаткові привілеї для ефективного захисту прав потерпілої сторони. Зокрема, Цивільний процесуальний кодекс України передбачає, що подання заяви про видачу обмежувального припису повинно здійснюватися до суду за фактичним місцезнаходженням (проживанням) потерпілої особи, або, у випадку її перебування в установі, що служить підтримкою для осіб, що пережили насильство, - за місцем розташування цієї установи [7].</w:t>
      </w:r>
    </w:p>
    <w:p w14:paraId="3CE8497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Варта уваги позиція Л. Андрієвської, яка підкреслює розширення кругу осіб, що мають право подавати заяви про видачу обмежувального припису, відповідно до положень статті 350–2 Цивільного процесуального кодексу України. Ця норма включає осіб, права яких захищаються, таких як неповнолітні та особи, що через свою недієздатність або обмежену дієздатність, не можуть самостійно звертатися до суду із відповідними заявами. У цьому контексті такі особи отримують статус учасників справи, причому особа, яка подала заяву, виступає як заявник. У свою чергу, кривдник у цьому процесі отримує статус відповідача, а всі інші сторони, залучені до даної справи, виступають як зацікавлені сторони [8, с.106].</w:t>
      </w:r>
    </w:p>
    <w:p w14:paraId="36579EB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Судовий розгляд справи про видачу обмежувального припису відрізняється своїми особливостями, які передбачені відповідними положеннями Цивільного процесуального кодексу України. Установлені відносно короткі строки розгляду таких справ, і суди можуть вести їх без </w:t>
      </w:r>
      <w:r w:rsidRPr="00511005">
        <w:rPr>
          <w:rFonts w:ascii="Arial" w:eastAsia="Times New Roman" w:hAnsi="Arial" w:cs="Arial"/>
          <w:szCs w:val="28"/>
          <w:lang w:val="uk-UA" w:eastAsia="uk-UA"/>
        </w:rPr>
        <w:lastRenderedPageBreak/>
        <w:t>участі заявника, якщо його участь може створити загрозу дискримінації чи насильства.</w:t>
      </w:r>
    </w:p>
    <w:p w14:paraId="5A6FD02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Актуальні питання розгляду справ про видачу обмежувального припису в Україні становлять важливий аспект судової практики та захисту прав потерпілих від домашнього насильства. Зокрема, аналіз показав, що існуюча правова база, зокрема після прийняття Стамбульської конвенції, має свої позитивні зрушення в напрямку поліпшення захисту.</w:t>
      </w:r>
    </w:p>
    <w:p w14:paraId="0E92536C"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Проте виявлені проблеми, такі як фінансові труднощі для потерпілих та нерівноправний доступ до процедури, вимагають уваги. Для вирішення цих питань можна запропонувати кілька конкретних кроків</w:t>
      </w:r>
    </w:p>
    <w:p w14:paraId="1E97207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Здійснити широкомасштабну інформаційну кампанію щодо прав і можливостей захисту від домашнього насильства, зокрема про процедуру видачі обмежувального припису. Це сприятиме підвищенню обізнаності громадян і забезпечить більший доступ до правового захисту.</w:t>
      </w:r>
    </w:p>
    <w:p w14:paraId="26C6357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Посилити співпрацю між державними органами та неурядовими організаціями, які працюють у сфері протидії домашньому насильству. Така співпраця дозволить ефективніше реагувати на потреби потерпілих і попереджати повторні випадки насильства.</w:t>
      </w:r>
    </w:p>
    <w:p w14:paraId="1CFE498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Здійснити наукове дослідження ефективності процедури видачі обмежувального припису. Це допоможе з'ясувати причини проблем і запропонувати конкретні зміни в законодавство та судову практику.</w:t>
      </w:r>
    </w:p>
    <w:p w14:paraId="6257D9C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Розглянути можливість фінансової підтримки для потерпілих у судових процесах про видачу обмежувального припису. Це допоможе забезпечити рівний доступ до правосуддя незалежно від матеріального стану потерпілих.</w:t>
      </w:r>
    </w:p>
    <w:p w14:paraId="5F4B3675"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Запропонувати системні зміни у законодавстві та судовій практиці для поліпшення процесу видачі обмежувальних приписів, зокрема шляхом скорочення термінів розгляду справ та забезпечення рівних умов для всіх учасників судового процесу.</w:t>
      </w:r>
    </w:p>
    <w:p w14:paraId="63750E0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Ці пропозиції спрямовані на створення більш ефективної та справедливої системи захисту від домашнього насильства в Україні, що відповідає вимогам сучасного суспільства та міжнародним стандартам прав людини.</w:t>
      </w:r>
    </w:p>
    <w:p w14:paraId="1CA909FA" w14:textId="77777777" w:rsidR="005F048D" w:rsidRPr="00511005" w:rsidRDefault="005F048D" w:rsidP="003A292D">
      <w:pPr>
        <w:spacing w:line="264" w:lineRule="auto"/>
        <w:rPr>
          <w:rFonts w:ascii="Arial" w:eastAsia="Times New Roman" w:hAnsi="Arial" w:cs="Arial"/>
          <w:szCs w:val="28"/>
          <w:lang w:val="uk-UA" w:eastAsia="uk-UA"/>
        </w:rPr>
      </w:pPr>
    </w:p>
    <w:p w14:paraId="1BF07BF6" w14:textId="7F0DBF3D" w:rsidR="005F048D" w:rsidRPr="00511005" w:rsidRDefault="007B2628" w:rsidP="007B2628">
      <w:pPr>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73D0526C" w14:textId="77777777" w:rsidR="005F048D" w:rsidRPr="00511005" w:rsidRDefault="005F048D" w:rsidP="003F6A5D">
      <w:pPr>
        <w:numPr>
          <w:ilvl w:val="0"/>
          <w:numId w:val="377"/>
        </w:numPr>
        <w:tabs>
          <w:tab w:val="left" w:pos="1134"/>
        </w:tabs>
        <w:spacing w:line="264" w:lineRule="auto"/>
        <w:ind w:left="-27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запобігання та протидію домашньому насильству: Закон України від 07.12.2017 № 2229-VIII. URL: </w:t>
      </w:r>
      <w:hyperlink r:id="rId1448" w:anchor="n6">
        <w:r w:rsidRPr="00511005">
          <w:rPr>
            <w:rFonts w:ascii="Arial" w:eastAsia="Times New Roman" w:hAnsi="Arial" w:cs="Arial"/>
            <w:szCs w:val="28"/>
            <w:lang w:val="uk-UA" w:eastAsia="uk-UA"/>
          </w:rPr>
          <w:t>https://zakon.rada.gov.ua/laws/show/2229-19#n6</w:t>
        </w:r>
      </w:hyperlink>
      <w:r w:rsidRPr="00511005">
        <w:rPr>
          <w:rFonts w:ascii="Arial" w:eastAsia="Times New Roman" w:hAnsi="Arial" w:cs="Arial"/>
          <w:szCs w:val="28"/>
          <w:lang w:val="uk-UA" w:eastAsia="uk-UA"/>
        </w:rPr>
        <w:t xml:space="preserve"> (дата звернення: 17.10.2023).</w:t>
      </w:r>
    </w:p>
    <w:p w14:paraId="19F6F312" w14:textId="740A9B2D" w:rsidR="005F048D" w:rsidRPr="00511005" w:rsidRDefault="005F048D" w:rsidP="003F6A5D">
      <w:pPr>
        <w:numPr>
          <w:ilvl w:val="0"/>
          <w:numId w:val="377"/>
        </w:numPr>
        <w:tabs>
          <w:tab w:val="left" w:pos="1134"/>
        </w:tabs>
        <w:spacing w:line="264" w:lineRule="auto"/>
        <w:ind w:left="-27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Постанова Верховного Суду від 23 червня 2022 р. у справі № 646/2950/20. URL: </w:t>
      </w:r>
      <w:hyperlink r:id="rId1449">
        <w:r w:rsidRPr="00511005">
          <w:rPr>
            <w:rFonts w:ascii="Arial" w:eastAsia="Times New Roman" w:hAnsi="Arial" w:cs="Arial"/>
            <w:szCs w:val="28"/>
            <w:lang w:val="uk-UA" w:eastAsia="uk-UA"/>
          </w:rPr>
          <w:t>https://reyestr.court.gov.ua/Review/105011877</w:t>
        </w:r>
      </w:hyperlink>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(дата звернення: 27.10.2023).</w:t>
      </w:r>
    </w:p>
    <w:p w14:paraId="31D7BA81" w14:textId="77777777" w:rsidR="005F048D" w:rsidRPr="00511005" w:rsidRDefault="005F048D" w:rsidP="003F6A5D">
      <w:pPr>
        <w:numPr>
          <w:ilvl w:val="0"/>
          <w:numId w:val="377"/>
        </w:numPr>
        <w:tabs>
          <w:tab w:val="left" w:pos="1134"/>
        </w:tabs>
        <w:spacing w:line="264" w:lineRule="auto"/>
        <w:ind w:left="-27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Сіроткіна М.В. Обмежувальний припис крізь призму положень Стамбульської Конвенції (судова практика Верховного суду). </w:t>
      </w:r>
      <w:r w:rsidRPr="00511005">
        <w:rPr>
          <w:rFonts w:ascii="Arial" w:eastAsia="Times New Roman" w:hAnsi="Arial" w:cs="Arial"/>
          <w:i/>
          <w:szCs w:val="28"/>
          <w:lang w:val="uk-UA" w:eastAsia="uk-UA"/>
        </w:rPr>
        <w:t xml:space="preserve">Україна – ЄС: </w:t>
      </w:r>
      <w:r w:rsidRPr="00511005">
        <w:rPr>
          <w:rFonts w:ascii="Arial" w:eastAsia="Times New Roman" w:hAnsi="Arial" w:cs="Arial"/>
          <w:i/>
          <w:szCs w:val="28"/>
          <w:lang w:val="uk-UA" w:eastAsia="uk-UA"/>
        </w:rPr>
        <w:lastRenderedPageBreak/>
        <w:t>питання гармонізації кримінального та кримінального процесуального законодавства</w:t>
      </w:r>
      <w:r w:rsidRPr="00511005">
        <w:rPr>
          <w:rFonts w:ascii="Arial" w:eastAsia="Times New Roman" w:hAnsi="Arial" w:cs="Arial"/>
          <w:szCs w:val="28"/>
          <w:lang w:val="uk-UA" w:eastAsia="uk-UA"/>
        </w:rPr>
        <w:t xml:space="preserve">: матеріали Круглого столу (22 червня 2023 року) / упор. І.В.Гловюк, Н.Р. Лащук. Львів: Львівський державний університет внутрішніх справ, 2023. С. 114-118. </w:t>
      </w:r>
    </w:p>
    <w:p w14:paraId="3C1AACD9" w14:textId="739B5609" w:rsidR="005F048D" w:rsidRPr="00511005" w:rsidRDefault="005F048D" w:rsidP="003F6A5D">
      <w:pPr>
        <w:numPr>
          <w:ilvl w:val="0"/>
          <w:numId w:val="377"/>
        </w:numPr>
        <w:tabs>
          <w:tab w:val="left" w:pos="1134"/>
        </w:tabs>
        <w:spacing w:line="264" w:lineRule="auto"/>
        <w:ind w:left="-27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Постанова Верховного Суду від 17 лютого 2021 р. у справі № 766/13927/20-ц. URL: </w:t>
      </w:r>
      <w:hyperlink r:id="rId1450">
        <w:r w:rsidRPr="00511005">
          <w:rPr>
            <w:rFonts w:ascii="Arial" w:eastAsia="Times New Roman" w:hAnsi="Arial" w:cs="Arial"/>
            <w:szCs w:val="28"/>
            <w:lang w:val="uk-UA" w:eastAsia="uk-UA"/>
          </w:rPr>
          <w:t>https://reyestr.court.gov.ua/Review/95066994</w:t>
        </w:r>
      </w:hyperlink>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(дата звернення: 17.10.2023).</w:t>
      </w:r>
    </w:p>
    <w:p w14:paraId="6665CD55" w14:textId="77777777" w:rsidR="005F048D" w:rsidRPr="00511005" w:rsidRDefault="005F048D" w:rsidP="003F6A5D">
      <w:pPr>
        <w:numPr>
          <w:ilvl w:val="0"/>
          <w:numId w:val="377"/>
        </w:numPr>
        <w:tabs>
          <w:tab w:val="left" w:pos="1134"/>
        </w:tabs>
        <w:spacing w:line="264" w:lineRule="auto"/>
        <w:ind w:left="-27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Рішення Вінницького міського суду Вінницької області від 07 травня 2019 року у справі №127/12230/19. URL: </w:t>
      </w:r>
      <w:hyperlink r:id="rId1451">
        <w:r w:rsidRPr="00511005">
          <w:rPr>
            <w:rFonts w:ascii="Arial" w:eastAsia="Times New Roman" w:hAnsi="Arial" w:cs="Arial"/>
            <w:szCs w:val="28"/>
            <w:lang w:val="uk-UA" w:eastAsia="uk-UA"/>
          </w:rPr>
          <w:t>http://reyestr.court.gov.ua/Review/81559774</w:t>
        </w:r>
      </w:hyperlink>
      <w:r w:rsidRPr="00511005">
        <w:rPr>
          <w:rFonts w:ascii="Arial" w:eastAsia="Times New Roman" w:hAnsi="Arial" w:cs="Arial"/>
          <w:szCs w:val="28"/>
          <w:lang w:val="uk-UA" w:eastAsia="uk-UA"/>
        </w:rPr>
        <w:t xml:space="preserve">. (дата звернення 17.10.2023). </w:t>
      </w:r>
    </w:p>
    <w:p w14:paraId="6A83212D" w14:textId="77777777" w:rsidR="005F048D" w:rsidRPr="00511005" w:rsidRDefault="005F048D" w:rsidP="003F6A5D">
      <w:pPr>
        <w:numPr>
          <w:ilvl w:val="0"/>
          <w:numId w:val="377"/>
        </w:numPr>
        <w:tabs>
          <w:tab w:val="left" w:pos="1134"/>
        </w:tabs>
        <w:spacing w:line="264" w:lineRule="auto"/>
        <w:ind w:left="-27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Рішення Верхньодніпровського районного суду Дніпропетровської області від 18.02.2019р. URL: </w:t>
      </w:r>
      <w:hyperlink r:id="rId1452">
        <w:r w:rsidRPr="00511005">
          <w:rPr>
            <w:rFonts w:ascii="Arial" w:eastAsia="Times New Roman" w:hAnsi="Arial" w:cs="Arial"/>
            <w:szCs w:val="28"/>
            <w:lang w:val="uk-UA" w:eastAsia="uk-UA"/>
          </w:rPr>
          <w:t>http://reyestr.court.gov.ua/Review/79962161</w:t>
        </w:r>
      </w:hyperlink>
      <w:r w:rsidRPr="00511005">
        <w:rPr>
          <w:rFonts w:ascii="Arial" w:eastAsia="Times New Roman" w:hAnsi="Arial" w:cs="Arial"/>
          <w:szCs w:val="28"/>
          <w:lang w:val="uk-UA" w:eastAsia="uk-UA"/>
        </w:rPr>
        <w:t>. (дата звернення 17.10.2023).</w:t>
      </w:r>
    </w:p>
    <w:p w14:paraId="439C9962" w14:textId="77777777" w:rsidR="005F048D" w:rsidRPr="00511005" w:rsidRDefault="005F048D" w:rsidP="003F6A5D">
      <w:pPr>
        <w:numPr>
          <w:ilvl w:val="0"/>
          <w:numId w:val="377"/>
        </w:numPr>
        <w:tabs>
          <w:tab w:val="left" w:pos="1134"/>
        </w:tabs>
        <w:spacing w:line="264" w:lineRule="auto"/>
        <w:ind w:left="-27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від 18.03.2004 № 1618-IV . URL: </w:t>
      </w:r>
      <w:hyperlink r:id="rId1453" w:anchor="n9744">
        <w:r w:rsidRPr="00511005">
          <w:rPr>
            <w:rFonts w:ascii="Arial" w:eastAsia="Times New Roman" w:hAnsi="Arial" w:cs="Arial"/>
            <w:szCs w:val="28"/>
            <w:lang w:val="uk-UA" w:eastAsia="uk-UA"/>
          </w:rPr>
          <w:t>https://zakon.rada.gov.ua/laws/show/1618-15#n9744</w:t>
        </w:r>
      </w:hyperlink>
      <w:r w:rsidRPr="00511005">
        <w:rPr>
          <w:rFonts w:ascii="Arial" w:eastAsia="Times New Roman" w:hAnsi="Arial" w:cs="Arial"/>
          <w:szCs w:val="28"/>
          <w:lang w:val="uk-UA" w:eastAsia="uk-UA"/>
        </w:rPr>
        <w:t xml:space="preserve"> (дата звернення: 17.10.2023).</w:t>
      </w:r>
    </w:p>
    <w:p w14:paraId="69B51CDD" w14:textId="77777777" w:rsidR="005F048D" w:rsidRPr="00511005" w:rsidRDefault="005F048D" w:rsidP="003F6A5D">
      <w:pPr>
        <w:numPr>
          <w:ilvl w:val="0"/>
          <w:numId w:val="377"/>
        </w:numPr>
        <w:tabs>
          <w:tab w:val="left" w:pos="1134"/>
        </w:tabs>
        <w:spacing w:line="264" w:lineRule="auto"/>
        <w:ind w:firstLine="720"/>
        <w:jc w:val="left"/>
        <w:rPr>
          <w:rFonts w:ascii="Arial" w:eastAsia="Times New Roman" w:hAnsi="Arial" w:cs="Arial"/>
          <w:b/>
          <w:i/>
          <w:szCs w:val="28"/>
          <w:lang w:val="uk-UA" w:eastAsia="uk-UA"/>
        </w:rPr>
      </w:pPr>
      <w:r w:rsidRPr="00511005">
        <w:rPr>
          <w:rFonts w:ascii="Arial" w:eastAsia="Times New Roman" w:hAnsi="Arial" w:cs="Arial"/>
          <w:szCs w:val="28"/>
          <w:lang w:val="uk-UA" w:eastAsia="uk-UA"/>
        </w:rPr>
        <w:t xml:space="preserve">Андрієвська Л. Обмежувальний припис як справа. окремого провадження у цивільному. процесі України. </w:t>
      </w:r>
      <w:r w:rsidRPr="00511005">
        <w:rPr>
          <w:rFonts w:ascii="Arial" w:eastAsia="Times New Roman" w:hAnsi="Arial" w:cs="Arial"/>
          <w:i/>
          <w:szCs w:val="28"/>
          <w:lang w:val="uk-UA" w:eastAsia="uk-UA"/>
        </w:rPr>
        <w:t>Krakowskie Studia Małopolskie</w:t>
      </w:r>
      <w:r w:rsidRPr="00511005">
        <w:rPr>
          <w:rFonts w:ascii="Arial" w:eastAsia="Times New Roman" w:hAnsi="Arial" w:cs="Arial"/>
          <w:szCs w:val="28"/>
          <w:lang w:val="uk-UA" w:eastAsia="uk-UA"/>
        </w:rPr>
        <w:t xml:space="preserve">. 2022. №2 (34). С.99-112. </w:t>
      </w:r>
    </w:p>
    <w:p w14:paraId="64214970" w14:textId="77777777" w:rsidR="005F048D" w:rsidRPr="00511005" w:rsidRDefault="005F048D" w:rsidP="003A292D">
      <w:pPr>
        <w:spacing w:line="264" w:lineRule="auto"/>
        <w:ind w:left="90"/>
        <w:rPr>
          <w:rFonts w:ascii="Arial" w:eastAsia="Times New Roman" w:hAnsi="Arial" w:cs="Arial"/>
          <w:szCs w:val="28"/>
          <w:lang w:val="uk-UA" w:eastAsia="uk-UA"/>
        </w:rPr>
      </w:pPr>
    </w:p>
    <w:p w14:paraId="6C0B30E4" w14:textId="7718E629" w:rsidR="005F048D" w:rsidRPr="00511005" w:rsidRDefault="007B2628" w:rsidP="003A292D">
      <w:pPr>
        <w:spacing w:line="264" w:lineRule="auto"/>
        <w:ind w:firstLine="27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обмежувальний припис, домашнє насильство, Стамбульська конвенція, захід, тимчасові обмеження, кривдник, фінансові витрати, судова практика, насильство, безпека.</w:t>
      </w:r>
    </w:p>
    <w:p w14:paraId="045F878E" w14:textId="3E2D85A6" w:rsidR="005F048D" w:rsidRPr="00511005" w:rsidRDefault="007B2628" w:rsidP="003A292D">
      <w:pPr>
        <w:spacing w:line="264" w:lineRule="auto"/>
        <w:ind w:firstLine="270"/>
        <w:rPr>
          <w:rFonts w:ascii="Arial" w:eastAsia="Times New Roman" w:hAnsi="Arial" w:cs="Arial"/>
          <w:b/>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restraining order, domestic violence, Istanbul Convention, measure, time limits, offender, financial costs, court practice, violence security.</w:t>
      </w:r>
    </w:p>
    <w:p w14:paraId="5FDFF547" w14:textId="302C4166" w:rsidR="005F048D" w:rsidRPr="00511005" w:rsidRDefault="007B2628" w:rsidP="003A292D">
      <w:pPr>
        <w:spacing w:line="264" w:lineRule="auto"/>
        <w:ind w:firstLine="27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383DE9" w:rsidRPr="00511005">
        <w:rPr>
          <w:rFonts w:ascii="Arial" w:eastAsia="Times New Roman" w:hAnsi="Arial" w:cs="Arial"/>
          <w:i/>
          <w:szCs w:val="28"/>
          <w:lang w:val="uk-UA" w:eastAsia="uk-UA"/>
        </w:rPr>
        <w:t xml:space="preserve">к.ю.н., </w:t>
      </w:r>
      <w:r w:rsidR="005F048D" w:rsidRPr="00511005">
        <w:rPr>
          <w:rFonts w:ascii="Arial" w:eastAsia="Times New Roman" w:hAnsi="Arial" w:cs="Arial"/>
          <w:i/>
          <w:szCs w:val="28"/>
          <w:lang w:val="uk-UA" w:eastAsia="uk-UA"/>
        </w:rPr>
        <w:t>доцент Яніцька І. А.</w:t>
      </w:r>
    </w:p>
    <w:p w14:paraId="2DD18274" w14:textId="77777777" w:rsidR="005F048D" w:rsidRPr="00511005" w:rsidRDefault="005F048D" w:rsidP="003A292D">
      <w:pPr>
        <w:spacing w:line="264" w:lineRule="auto"/>
        <w:rPr>
          <w:rFonts w:ascii="Arial" w:eastAsia="Times New Roman" w:hAnsi="Arial" w:cs="Arial"/>
          <w:i/>
          <w:szCs w:val="28"/>
          <w:lang w:val="uk-UA" w:eastAsia="uk-UA"/>
        </w:rPr>
      </w:pPr>
    </w:p>
    <w:p w14:paraId="598677ED"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16B3AC7F" w14:textId="77777777" w:rsidR="005F048D" w:rsidRPr="00511005" w:rsidRDefault="005F048D" w:rsidP="003A292D">
      <w:pPr>
        <w:spacing w:line="264" w:lineRule="auto"/>
        <w:jc w:val="center"/>
        <w:rPr>
          <w:rFonts w:ascii="Arial" w:eastAsia="Times New Roman" w:hAnsi="Arial" w:cs="Arial"/>
          <w:b/>
          <w:i/>
          <w:szCs w:val="28"/>
          <w:lang w:val="uk-UA" w:eastAsia="uk-UA"/>
        </w:rPr>
      </w:pPr>
    </w:p>
    <w:p w14:paraId="05ED3F1C" w14:textId="77777777" w:rsidR="005F048D" w:rsidRPr="00511005" w:rsidRDefault="005F048D" w:rsidP="003A292D">
      <w:pPr>
        <w:spacing w:line="264" w:lineRule="auto"/>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Мельник Марʼяна Ігорівна</w:t>
      </w:r>
    </w:p>
    <w:p w14:paraId="799AC6C5" w14:textId="77777777" w:rsidR="005F048D" w:rsidRPr="00511005" w:rsidRDefault="005F048D" w:rsidP="003A292D">
      <w:pPr>
        <w:spacing w:line="264" w:lineRule="auto"/>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 xml:space="preserve">Скороход Катерина Віталіївна </w:t>
      </w:r>
    </w:p>
    <w:p w14:paraId="4BCFB003" w14:textId="07E22F33"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студентки 1</w:t>
      </w:r>
      <w:r w:rsidRPr="00511005">
        <w:rPr>
          <w:rFonts w:ascii="Arial" w:eastAsia="Times New Roman" w:hAnsi="Arial" w:cs="Arial"/>
          <w:bCs/>
          <w:iCs/>
          <w:szCs w:val="28"/>
          <w:lang w:val="uk-UA" w:eastAsia="ru-RU"/>
        </w:rPr>
        <w:t>-го курсу магістратури</w:t>
      </w:r>
    </w:p>
    <w:p w14:paraId="79A05281"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955E1A4" w14:textId="3A418C05" w:rsidR="005F048D" w:rsidRPr="00511005" w:rsidRDefault="00550C73"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eastAsia="ru-RU"/>
        </w:rPr>
        <w:t>Національного університету «Одеська юридична академія»</w:t>
      </w:r>
      <w:r w:rsidRPr="00511005">
        <w:rPr>
          <w:rFonts w:ascii="Arial" w:eastAsia="Times New Roman" w:hAnsi="Arial" w:cs="Arial"/>
          <w:szCs w:val="28"/>
          <w:lang w:val="uk-UA" w:eastAsia="uk-UA"/>
        </w:rPr>
        <w:t xml:space="preserve"> </w:t>
      </w:r>
    </w:p>
    <w:p w14:paraId="6EBE49E2" w14:textId="77777777" w:rsidR="005F048D" w:rsidRPr="00511005" w:rsidRDefault="005F048D" w:rsidP="003A292D">
      <w:pPr>
        <w:spacing w:line="264" w:lineRule="auto"/>
        <w:jc w:val="center"/>
        <w:rPr>
          <w:rFonts w:ascii="Arial" w:eastAsia="Times New Roman" w:hAnsi="Arial" w:cs="Arial"/>
          <w:b/>
          <w:szCs w:val="28"/>
          <w:lang w:val="uk-UA" w:eastAsia="uk-UA"/>
        </w:rPr>
      </w:pPr>
    </w:p>
    <w:p w14:paraId="1525664E" w14:textId="77777777" w:rsidR="005F048D" w:rsidRPr="00511005" w:rsidRDefault="005F048D" w:rsidP="003A292D">
      <w:pPr>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УЧАСТЬ НЕПОВНОЛІТНІХ У ЦИВІЛЬНОМУ ПРОЦЕСІ</w:t>
      </w:r>
    </w:p>
    <w:p w14:paraId="56D273E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Участь неповнолітніх у цивільному процесі набуває дедалі більшої значущості в сучасному правовому просторі, адже вони володіють певним обсягом цивільних прав і обов’язків. Виникнення життєвих ситуацій, що потребують юридичного врегулювання — таких як визнання батьківства, встановлення місця проживання, спадкові спори, захист майнових прав чи </w:t>
      </w:r>
      <w:r w:rsidRPr="00511005">
        <w:rPr>
          <w:rFonts w:ascii="Arial" w:eastAsia="Times New Roman" w:hAnsi="Arial" w:cs="Arial"/>
          <w:szCs w:val="28"/>
          <w:lang w:val="uk-UA" w:eastAsia="uk-UA"/>
        </w:rPr>
        <w:lastRenderedPageBreak/>
        <w:t xml:space="preserve">права на освіту, — зумовлює їхню безпосередню або опосередковану участь у судових провадженнях. </w:t>
      </w:r>
    </w:p>
    <w:p w14:paraId="62B5869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потреба у вдосконаленні механізмів участі неповнолітніх у цивільному процесі постає не як формальність, а як необхідна умова реалізації їхніх прав, визнання їхньої правосуб’єктності та забезпечення справедливого судового розгляду.</w:t>
      </w:r>
    </w:p>
    <w:p w14:paraId="68FA0E1F" w14:textId="77777777" w:rsidR="005F048D" w:rsidRPr="00511005" w:rsidRDefault="005F048D" w:rsidP="003A292D">
      <w:pPr>
        <w:spacing w:line="264" w:lineRule="auto"/>
        <w:ind w:firstLine="1081"/>
        <w:rPr>
          <w:rFonts w:ascii="Arial" w:eastAsia="Times New Roman" w:hAnsi="Arial" w:cs="Arial"/>
          <w:szCs w:val="28"/>
          <w:lang w:val="uk-UA" w:eastAsia="uk-UA"/>
        </w:rPr>
      </w:pPr>
      <w:r w:rsidRPr="00511005">
        <w:rPr>
          <w:rFonts w:ascii="Arial" w:eastAsia="Times New Roman" w:hAnsi="Arial" w:cs="Arial"/>
          <w:szCs w:val="28"/>
          <w:lang w:val="uk-UA" w:eastAsia="uk-UA"/>
        </w:rPr>
        <w:t>Згідно із Загальною декларацією прав людини, кожна дитина має</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право на особливу турботу та захист. Необхідність правового захисту неповнолітніх зумовлена їхнім віком і рівнем розвитку, які не дозволяють їм повною мірою реалізовувати свої права та ефективно використовувати юридичні інструменти для їх захисту. Особа до досягнення повноліття, а іноді й після, знаходиться в стадії становлення, формування особистості, усвідомлення себе самостійним правомочним суб'єктом різноманітних правових відносин [1, с. 1].</w:t>
      </w:r>
    </w:p>
    <w:p w14:paraId="5BFCBA57"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Участь неповнолітніх у таких правовідносинах має бути забезпечена належною правовою основою, яка закріплена в Конституції України, міжнародних нормативних актах і галузевому законодавстві. Ця правова основа передбачає спеціальні механізми захисту прав дітей, що реалізуються через підтримку з боку сім’ї, суспільства та держави, а також створення умов, які сприяють повноцінній реалізації неповнолітніми своїх прав [1, с. 1].</w:t>
      </w:r>
    </w:p>
    <w:p w14:paraId="098577D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Однак, у сучасних правових реаліях неповнолітні особи вже не розглядаються виключно як об’єкти захисту — навпаки, законодавство і судова практика все більше визнають за ними здатність впливати на перебіг справи, висловлювати свою думку, а також брати участь у процесі як сторона чи свідок.</w:t>
      </w:r>
    </w:p>
    <w:p w14:paraId="605363F2"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Виходячи зі змісту статті 32 Цивільного кодексу України, неповнолітньою особою є фізична особа у віці від чотирнадцяти до вісімнадцяти років [2]. </w:t>
      </w:r>
    </w:p>
    <w:p w14:paraId="7A2E29E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закріплює положення щодо процесуальної правоздатності та дієздатності неповнолітніх. Водночас детальний аналіз цих норм, зокрема статті 47 ЦПК України, показує, що вони мають переважно відсильний характер: замість самостійного регулювання процесуальної дієздатності, закон пов’язує її обсяг із загальними положеннями про цивільну дієздатність, визначену в Цивільному кодексі України. Тобто процесуальні можливості неповнолітнього у суді напряму залежать від ступеня його цивільної дієздатності.</w:t>
      </w:r>
    </w:p>
    <w:p w14:paraId="58099D50"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відповідно до статті 46 ЦПК України, здатність мати цивільні процесуальні права та обов’язки сторони, третьої особи, заявника, заінтересованої особи (цивільна процесуальна правоздатність) мають усі фізичні особи [3], що свідчить про те, що неповнолітня особа не є винятком.</w:t>
      </w:r>
    </w:p>
    <w:p w14:paraId="03E4FA9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Відповідно до частини 2 статті 47 ЦПК України, неповнолітні особи можуть особисто реалізовувати свої процесуальні права та обов’язки у цивільних справах, якщо вони стосуються правовідносин, у яких ці особи беруть участь безпосередньо, за умови, що інше не передбачено законом. Водночас суд має право залучити до участі у справі законного представника такої особи для забезпечення належного захисту її інтересів [3]. </w:t>
      </w:r>
    </w:p>
    <w:p w14:paraId="026DC48E" w14:textId="2BFD45C8"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Проте цивільна процесуальна правоздатність неповнолітньої особи є обмеженою та не поширюється на всі види цивільних правовідносин. У випадках, де неповнолітній не має цивільної правової дієздатності — скажімо, у справах щодо недійсності правочинів, які він не мав права укладати — участь неповнолітнього як самостійної сторони у процесі є неможливою. Таким чином, як вже зазначалось раніше, законодавство забезпечує неповнолітнім процесуальну дієздатність лише у межах їхньої матеріальної правоздатності, що дозволяє забезпечити баланс між захистом їх прав</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та принципом правової визначеності.</w:t>
      </w:r>
    </w:p>
    <w:p w14:paraId="481A2552"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Як приклад реалізації цивільної процесуальної дієздатності неповнолітніми можна навести норму статті 18 Сімейного кодексу України, яка гарантує особам, що досягли чотирнадцятирічного віку, право самостійно звертатися до суду з метою захисту своїх прав та інтересів [4]. Дана стаття є особливо актуальною в ситуаціях, коли саме між неповнолітнім та його законними представниками виникає спір. Це створює правовий інструмент протидії порушенням і зловживанням з боку законних представників. Приклад судової практики підтверджує, що норми цивільного процесуального законодавства дають неповнолітній особі дієвий механізм захисту її прав у суді. Отже, неповнолітній визнається повноцінним суб’єктом цивільного процесу і наділений можливістю реалізовувати свої процесуальні права, закріплені законом [5, с. 28].</w:t>
      </w:r>
    </w:p>
    <w:p w14:paraId="2E169B4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Ще однією формою участі неповнолітніх у цивільному процесі є свідок. Відповідно, до ч. 1 ст. 69 ЦПК України, свідком може бути кожна особа, якій відомі будь-які обставини, що стосуються справи [3]. Таким чином, зміст даної статті, не місятить обмежень стосовно неповнолітніх.</w:t>
      </w:r>
    </w:p>
    <w:p w14:paraId="3450A1A7"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Однак, при цьому суд зобов’язаний перевірити, чи здатна неповнолітня особа усвідомлювати події, про які дає свідчення, та чи розуміє вона суть присяги (або роз’яснення про обов’язок говорити правду). Варто враховувати її вік і психологічний стан, оскільки це дасть зрозуміти, наскільки достовірними можуть бути викладені нею показання.</w:t>
      </w:r>
    </w:p>
    <w:p w14:paraId="145664D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 розсуд суду, допит неповнолітніх свідків може проводитись за присутністю батьків, усиновлювачів, опікунів, піклувальників, якщо вони не заінтересовані у справі, або представників органів опіки та піклування, а також служби у справах дітей [3]. Зазначене викладено у статті 232 ЦПК України. </w:t>
      </w:r>
    </w:p>
    <w:p w14:paraId="5167C93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Таким чином, неповнолітні особи посідають особливе місце серед суб’єктів цивільних процесуальних правовідносин. З одного боку, норми цивільного процесуального законодавства дозволяють їм здійснювати певні дії самостійно (особливо у справах, що безпосередньо стосуються їхніх прав та інтересів), а з іншого боку, суд зобов’язаний враховувати особливості їхніх прав та інтересів, що слугує підставою для прийняття обґрунтованих рішень про необхідність залучення чи заміни законного представника.</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Це вказує на гнучкість процесуального механізму, який враховує індивідуальні обставини кожної справи.</w:t>
      </w:r>
    </w:p>
    <w:p w14:paraId="159F7B3B" w14:textId="77777777" w:rsidR="005F048D" w:rsidRPr="00511005" w:rsidRDefault="005F048D" w:rsidP="003A292D">
      <w:pPr>
        <w:spacing w:line="264" w:lineRule="auto"/>
        <w:ind w:left="23"/>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Варто зазначити, що участь неповнолітніх у цивільному процесі поєднує юридичні, етичні та соціальні аспекти. Неповнолітня особа, як суб’єкт цивільних процесуальних правовідносин, потребує особливого підходу, що зумовлено її віковими, психологічними та правовими особливостями. </w:t>
      </w:r>
    </w:p>
    <w:p w14:paraId="22475303" w14:textId="77777777" w:rsidR="005F048D" w:rsidRPr="00511005" w:rsidRDefault="005F048D" w:rsidP="003A292D">
      <w:pPr>
        <w:spacing w:line="264" w:lineRule="auto"/>
        <w:ind w:left="23"/>
        <w:rPr>
          <w:rFonts w:ascii="Arial" w:eastAsia="Times New Roman" w:hAnsi="Arial" w:cs="Arial"/>
          <w:szCs w:val="28"/>
          <w:lang w:val="uk-UA" w:eastAsia="uk-UA"/>
        </w:rPr>
      </w:pPr>
      <w:r w:rsidRPr="00511005">
        <w:rPr>
          <w:rFonts w:ascii="Arial" w:eastAsia="Times New Roman" w:hAnsi="Arial" w:cs="Arial"/>
          <w:szCs w:val="28"/>
          <w:lang w:val="uk-UA" w:eastAsia="uk-UA"/>
        </w:rPr>
        <w:t>Зважаючи на викладене, необхідно й надалі вдосконалювати процесуальні механізми захисту неповнолітніх та забезпечувати формування судової практики, що максимально враховуватиме специфіку їх участі в цивільному процесі. Для ефективної реалізації права на судовий захист неповнолітній має виступати повноцінним учасником цивільного провадження, наділеним належними процесуальними правами й обов’язками відповідно до обсягу його цивільної дієздатності.</w:t>
      </w:r>
    </w:p>
    <w:p w14:paraId="254865FF" w14:textId="2431EDC6" w:rsidR="005F048D" w:rsidRPr="00511005" w:rsidRDefault="007B2628" w:rsidP="007B2628">
      <w:pPr>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657D9B2F" w14:textId="77777777" w:rsidR="005F048D" w:rsidRPr="00511005" w:rsidRDefault="005F048D" w:rsidP="003F6A5D">
      <w:pPr>
        <w:numPr>
          <w:ilvl w:val="0"/>
          <w:numId w:val="355"/>
        </w:numPr>
        <w:tabs>
          <w:tab w:val="left" w:pos="0"/>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Дербакова Ю. А. Цивільна правосуб’єктність неповнолітніх: автореф... канд. юрид. наук, спец.:</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12.00.03 цивільне право і цивільний процес; сімейне право; міжнародне приватне право. Одеса : Нац.</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ун-т «Одеська юридична академія», 2014.</w:t>
      </w:r>
    </w:p>
    <w:p w14:paraId="1EB75914" w14:textId="77777777" w:rsidR="005F048D" w:rsidRPr="00511005" w:rsidRDefault="005F048D" w:rsidP="003F6A5D">
      <w:pPr>
        <w:numPr>
          <w:ilvl w:val="0"/>
          <w:numId w:val="355"/>
        </w:numPr>
        <w:tabs>
          <w:tab w:val="left" w:pos="0"/>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кодекс України:</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Відомості Верховної Ради України (ВВР), 2003, №№ 40-44, ст.356.</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 xml:space="preserve">URL: </w:t>
      </w:r>
      <w:hyperlink r:id="rId1454" w:anchor="Text">
        <w:r w:rsidRPr="00511005">
          <w:rPr>
            <w:rFonts w:ascii="Arial" w:eastAsia="Times New Roman" w:hAnsi="Arial" w:cs="Arial"/>
            <w:szCs w:val="28"/>
            <w:lang w:val="uk-UA" w:eastAsia="uk-UA"/>
          </w:rPr>
          <w:t>https://zakon.rada.gov.ua/laws/show/435-15#Text</w:t>
        </w:r>
      </w:hyperlink>
      <w:r w:rsidRPr="00511005">
        <w:rPr>
          <w:rFonts w:ascii="Arial" w:eastAsia="Times New Roman" w:hAnsi="Arial" w:cs="Arial"/>
          <w:szCs w:val="28"/>
          <w:lang w:val="uk-UA" w:eastAsia="uk-UA"/>
        </w:rPr>
        <w:t xml:space="preserve"> (дата звернення: 03.05.2025).</w:t>
      </w:r>
    </w:p>
    <w:p w14:paraId="7AE12988" w14:textId="77777777" w:rsidR="005F048D" w:rsidRPr="00511005" w:rsidRDefault="005F048D" w:rsidP="003F6A5D">
      <w:pPr>
        <w:numPr>
          <w:ilvl w:val="0"/>
          <w:numId w:val="355"/>
        </w:numPr>
        <w:tabs>
          <w:tab w:val="left" w:pos="0"/>
          <w:tab w:val="left" w:pos="827"/>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Відомості Верховної Ради України (ВВР), 2004, № 40-41, 42, ст.492. URL: </w:t>
      </w:r>
      <w:hyperlink r:id="rId1455" w:anchor="Text">
        <w:r w:rsidRPr="00511005">
          <w:rPr>
            <w:rFonts w:ascii="Arial" w:eastAsia="Times New Roman" w:hAnsi="Arial" w:cs="Arial"/>
            <w:szCs w:val="28"/>
            <w:lang w:val="uk-UA" w:eastAsia="uk-UA"/>
          </w:rPr>
          <w:t>https://zakon.rada.gov.ua/laws/show/1618-15#Text</w:t>
        </w:r>
      </w:hyperlink>
      <w:r w:rsidRPr="00511005">
        <w:rPr>
          <w:rFonts w:ascii="Arial" w:eastAsia="Times New Roman" w:hAnsi="Arial" w:cs="Arial"/>
          <w:szCs w:val="28"/>
          <w:lang w:val="uk-UA" w:eastAsia="uk-UA"/>
        </w:rPr>
        <w:t xml:space="preserve"> (дата звернення: 03.05.2025).</w:t>
      </w:r>
    </w:p>
    <w:p w14:paraId="2B033B5F" w14:textId="77777777" w:rsidR="005F048D" w:rsidRPr="00511005" w:rsidRDefault="005F048D" w:rsidP="003F6A5D">
      <w:pPr>
        <w:numPr>
          <w:ilvl w:val="0"/>
          <w:numId w:val="355"/>
        </w:numPr>
        <w:tabs>
          <w:tab w:val="left" w:pos="0"/>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Сімейний кодекс України: Відомості Верховної Ради України (ВВР), 2002, № 21-22, ст.135. URL: </w:t>
      </w:r>
      <w:hyperlink r:id="rId1456" w:anchor="Text">
        <w:r w:rsidRPr="00511005">
          <w:rPr>
            <w:rFonts w:ascii="Arial" w:eastAsia="Times New Roman" w:hAnsi="Arial" w:cs="Arial"/>
            <w:szCs w:val="28"/>
            <w:lang w:val="uk-UA" w:eastAsia="uk-UA"/>
          </w:rPr>
          <w:t>https://zakon.rada.gov.ua/laws/show/2947-14#Text</w:t>
        </w:r>
      </w:hyperlink>
      <w:r w:rsidRPr="00511005">
        <w:rPr>
          <w:rFonts w:ascii="Arial" w:eastAsia="Times New Roman" w:hAnsi="Arial" w:cs="Arial"/>
          <w:szCs w:val="28"/>
          <w:lang w:val="uk-UA" w:eastAsia="uk-UA"/>
        </w:rPr>
        <w:t xml:space="preserve"> (дата звернення: 03.05.2025).</w:t>
      </w:r>
    </w:p>
    <w:p w14:paraId="360973D2" w14:textId="77777777" w:rsidR="005F048D" w:rsidRPr="00511005" w:rsidRDefault="005F048D" w:rsidP="003F6A5D">
      <w:pPr>
        <w:numPr>
          <w:ilvl w:val="0"/>
          <w:numId w:val="355"/>
        </w:numPr>
        <w:tabs>
          <w:tab w:val="left" w:pos="0"/>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Василик Ю. Участь малолітніх та неповнолітніх осіб як сторін у цивільному процесі: Віче. 2014. № 6.</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С. 26–29.</w:t>
      </w:r>
    </w:p>
    <w:p w14:paraId="23ACFDA2" w14:textId="435CC02E"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неповнолітні, цивільний процес, цивільна процесуальна дієздатність, цивільна процесуальна правоздатність, свідок.</w:t>
      </w:r>
    </w:p>
    <w:p w14:paraId="3E8AE820" w14:textId="37D30D50"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lastRenderedPageBreak/>
        <w:t xml:space="preserve">Key words: </w:t>
      </w:r>
      <w:r w:rsidR="005F048D" w:rsidRPr="00511005">
        <w:rPr>
          <w:rFonts w:ascii="Arial" w:eastAsia="Times New Roman" w:hAnsi="Arial" w:cs="Arial"/>
          <w:szCs w:val="28"/>
          <w:lang w:val="uk-UA" w:eastAsia="uk-UA"/>
        </w:rPr>
        <w:t>minors, civil process, civil procedural capacity, civil procedural legal capacity, witness.</w:t>
      </w:r>
    </w:p>
    <w:p w14:paraId="71F7D6E8" w14:textId="1AC2F8D2" w:rsidR="005F048D" w:rsidRPr="00511005" w:rsidRDefault="007B2628" w:rsidP="003A292D">
      <w:pPr>
        <w:spacing w:line="264" w:lineRule="auto"/>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383DE9" w:rsidRPr="00511005">
        <w:rPr>
          <w:rFonts w:ascii="Arial" w:eastAsia="Times New Roman" w:hAnsi="Arial" w:cs="Arial"/>
          <w:i/>
          <w:szCs w:val="28"/>
          <w:lang w:val="uk-UA" w:eastAsia="uk-UA"/>
        </w:rPr>
        <w:t xml:space="preserve">к.ю.н., </w:t>
      </w:r>
      <w:r w:rsidR="005F048D" w:rsidRPr="00511005">
        <w:rPr>
          <w:rFonts w:ascii="Arial" w:eastAsia="Times New Roman" w:hAnsi="Arial" w:cs="Arial"/>
          <w:i/>
          <w:szCs w:val="28"/>
          <w:lang w:val="uk-UA" w:eastAsia="uk-UA"/>
        </w:rPr>
        <w:t>доцент Яніцька І. А.</w:t>
      </w:r>
    </w:p>
    <w:p w14:paraId="4BFC86D4" w14:textId="77777777" w:rsidR="005F048D" w:rsidRPr="00511005" w:rsidRDefault="005F048D" w:rsidP="003A292D">
      <w:pPr>
        <w:spacing w:line="264" w:lineRule="auto"/>
        <w:jc w:val="left"/>
        <w:rPr>
          <w:rFonts w:ascii="Arial" w:eastAsia="Times New Roman" w:hAnsi="Arial" w:cs="Arial"/>
          <w:i/>
          <w:szCs w:val="28"/>
          <w:lang w:val="uk-UA" w:eastAsia="uk-UA"/>
        </w:rPr>
      </w:pPr>
    </w:p>
    <w:p w14:paraId="31CD594B" w14:textId="77777777" w:rsidR="005F048D" w:rsidRPr="00511005" w:rsidRDefault="005F048D" w:rsidP="003A292D">
      <w:pPr>
        <w:spacing w:line="264" w:lineRule="auto"/>
        <w:jc w:val="left"/>
        <w:rPr>
          <w:rFonts w:ascii="Arial" w:eastAsia="Times New Roman" w:hAnsi="Arial" w:cs="Arial"/>
          <w:i/>
          <w:szCs w:val="28"/>
          <w:lang w:val="uk-UA" w:eastAsia="uk-UA"/>
        </w:rPr>
      </w:pPr>
    </w:p>
    <w:p w14:paraId="2DE769C4"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21D13DAD" w14:textId="77777777" w:rsidR="005F048D" w:rsidRPr="00511005" w:rsidRDefault="005F048D" w:rsidP="003A292D">
      <w:pPr>
        <w:keepNext/>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Мерчанський Іван Русланович</w:t>
      </w:r>
    </w:p>
    <w:p w14:paraId="7337D589" w14:textId="7B17D7B0"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 1-го курсу магістратури</w:t>
      </w:r>
      <w:r w:rsidR="005F048D" w:rsidRPr="00511005">
        <w:rPr>
          <w:rFonts w:ascii="Arial" w:eastAsia="Times New Roman" w:hAnsi="Arial" w:cs="Arial"/>
          <w:szCs w:val="28"/>
          <w:lang w:val="uk-UA" w:eastAsia="uk-UA"/>
        </w:rPr>
        <w:t xml:space="preserve"> </w:t>
      </w:r>
    </w:p>
    <w:p w14:paraId="4007D1BF" w14:textId="0E7CF9F6"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цивільної та господарської юстиції</w:t>
      </w:r>
      <w:r w:rsidRPr="00511005">
        <w:rPr>
          <w:rFonts w:ascii="Arial" w:eastAsia="Times New Roman" w:hAnsi="Arial" w:cs="Arial"/>
          <w:szCs w:val="28"/>
          <w:lang w:val="uk-UA" w:eastAsia="uk-UA"/>
        </w:rPr>
        <w:br/>
      </w:r>
      <w:r w:rsidR="007B2628" w:rsidRPr="00511005">
        <w:rPr>
          <w:rFonts w:ascii="Arial" w:eastAsia="Times New Roman" w:hAnsi="Arial" w:cs="Arial"/>
          <w:szCs w:val="28"/>
          <w:lang w:val="uk-UA" w:eastAsia="uk-UA"/>
        </w:rPr>
        <w:t>Національного університету «Одеська юридична академія»</w:t>
      </w:r>
    </w:p>
    <w:p w14:paraId="0706524C"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188FF325" w14:textId="77777777" w:rsidR="005F048D" w:rsidRPr="00511005" w:rsidRDefault="005F048D" w:rsidP="003A292D">
      <w:pPr>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ЗАПРОВАДЖЕННЯ АСВС ЯК ОДИН ЗІ СКЛАДНИКІВ СУДОВОЇ РЕФОРМИ В УКРАЇНІ</w:t>
      </w:r>
    </w:p>
    <w:p w14:paraId="656F9B7F"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Запровадження альтернативних способів вирішення спорів є одним з найбільш важливих складників судової реформи, оскільки дозволяє подолати одразу декілька проблем з якими стикається вітчизняна юриспруденція протягом тривалої кількості років.</w:t>
      </w:r>
    </w:p>
    <w:p w14:paraId="05AD34C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По-перше, запровадження подібних способів дозволить державі підвищити рівень довіри у суспільства до судової системи. Оскільки в даному випадку, рішення, фактично, буде прийматися сторонами без участі або за мінімальною залученістю судді. Такий підхід дозволить сторонам доходити до рішення за принципом «виграш-виграш», що унеможливить виникнення будь-яких суперечок щодо законності та обґрунтованості судового рішення.</w:t>
      </w:r>
    </w:p>
    <w:p w14:paraId="60CF51E5"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По-друге, такий підхід дозволить розвантажити судову систему. Станом на 4 жовтня 2024 року в українських судах бракує 1258 суддів (що становить фактично третину від загальної кількості). Про це в інтерв’ю hromadske заявив голова Вищої кваліфікаційної комісії суддів України Андрій Пасічник [1]. Вочевидь, надмірна завантаженість судів не дозволяє суддям розглядати справи у розумні строки та спричиняє ймовірність помилок, спричинених надто великою кількістю справ у кожного окремого судді.</w:t>
      </w:r>
    </w:p>
    <w:p w14:paraId="0C85AB97"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Проте, не дивлячись на велику кількість переваг АСВС, вони не отримали значної популярності в українському суспільстві. Фактично, розвиток АСВС почався майже 30 років тому, але величезна частина суспільства не обізнана з самим поняттям АСВС або не має високого рівня довіри до них.</w:t>
      </w:r>
    </w:p>
    <w:p w14:paraId="7F147AD2"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Велика кількість вітчизняних вчених та практикуючих юристів в питанні неефективності АСВС зходяться на недостатності державного та законодавчого забезпечення таких способів. Підіймаються питання створення нових законів, що будуть регулювати окремо взяті позасудові </w:t>
      </w:r>
      <w:r w:rsidRPr="00511005">
        <w:rPr>
          <w:rFonts w:ascii="Arial" w:eastAsia="Times New Roman" w:hAnsi="Arial" w:cs="Arial"/>
          <w:szCs w:val="28"/>
          <w:lang w:val="uk-UA" w:eastAsia="uk-UA"/>
        </w:rPr>
        <w:lastRenderedPageBreak/>
        <w:t>способи вирішення спорів та питання змін та адаптації до сучасних реалій вже існуючих законів.</w:t>
      </w:r>
    </w:p>
    <w:p w14:paraId="4FB8C89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Але також слід виділити і небажання самого суспільства вирішувати свої правові конфлікти саме в позасудовому порядку. Українці традиційно розглядають процес вирішення спору як боротьбу або суперництво, результат яких обмежується двома варіантами: одна сторона завжди отримує бажаний результат, а друга – залишається у невигідному становищі [2, с. 31].</w:t>
      </w:r>
    </w:p>
    <w:p w14:paraId="7EF538D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Проте, в такому підході втрачається сама мета звернення до суду. А саме вирішення суперечки між сторонами. Саме суперечки, а не правового конфлікту, вирішення якого, як правило, рідко закінчується консенсусом. Частково, такий підхід пояснюється однією з рис нашого менталітету, а саме - намагання завдати своєму опоненту шкоди через судовий розгляд та використання суду виключно як інструменту для покарання. Парадоксально, що саме бажання покарати опонента сторона ставить вище за бажання виграти справу та отримати вигоду для себе.</w:t>
      </w:r>
    </w:p>
    <w:p w14:paraId="2091F848"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Вважаю, що одним з найбільш важливих елементів розвитку АСВС є ефективна державна політика щодо їхньої популяризації. Держава має активно сприяти підвищенню обізнаності населення у питаннях вирішення спорів у позасудовому порядку. Перш за все, це має бути змінено шляхом реформування освітньої системи: проведення тренінгів і семінарів у навчальних закладах, створення інформаційної компанії, тощо.</w:t>
      </w:r>
    </w:p>
    <w:p w14:paraId="1AEE9EE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Наступною проблемою у розвитку позасудових способів вирішення спорів є недостатня кількість способів забезпечення виконання мирової угоди. Доволі часто застосування, наприклад, медіації є просто способом зловживання своїм правом та захистом від судового провадження. Сторони можуть дійти згоди, але одна зі сторін наперед усвідомлює, що не збирається виконувати зобов’язання. Але в такому випадку, іншій стороні доведеться спочатку вирішувати спір за позасудовою процедурою, а потім звертатися до суду і примушувати відповідача дотриматися умов угоди.</w:t>
      </w:r>
    </w:p>
    <w:p w14:paraId="4F53A97D"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Для забезпечення виконання угод є ефективним застосування наступних засобів:</w:t>
      </w:r>
    </w:p>
    <w:p w14:paraId="5799ED83" w14:textId="77777777" w:rsidR="005F048D" w:rsidRPr="00511005" w:rsidRDefault="005F048D" w:rsidP="003F6A5D">
      <w:pPr>
        <w:numPr>
          <w:ilvl w:val="0"/>
          <w:numId w:val="359"/>
        </w:numPr>
        <w:spacing w:line="264" w:lineRule="auto"/>
        <w:ind w:left="1069" w:hanging="360"/>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Зазначення способів забезпечення виконання мирової угоди (застава, штрафні санкції, тощо);</w:t>
      </w:r>
    </w:p>
    <w:p w14:paraId="473990E8" w14:textId="77777777" w:rsidR="005F048D" w:rsidRPr="00511005" w:rsidRDefault="005F048D" w:rsidP="003F6A5D">
      <w:pPr>
        <w:numPr>
          <w:ilvl w:val="0"/>
          <w:numId w:val="359"/>
        </w:numPr>
        <w:spacing w:line="264" w:lineRule="auto"/>
        <w:ind w:left="1069" w:hanging="360"/>
        <w:jc w:val="left"/>
        <w:rPr>
          <w:rFonts w:ascii="Arial" w:eastAsia="Times New Roman" w:hAnsi="Arial" w:cs="Arial"/>
          <w:szCs w:val="28"/>
          <w:lang w:val="uk-UA" w:eastAsia="uk-UA"/>
        </w:rPr>
      </w:pPr>
      <w:r w:rsidRPr="00511005">
        <w:rPr>
          <w:rFonts w:ascii="Arial" w:eastAsia="Times New Roman" w:hAnsi="Arial" w:cs="Arial"/>
          <w:szCs w:val="28"/>
          <w:lang w:val="uk-UA" w:eastAsia="uk-UA"/>
        </w:rPr>
        <w:t>Нотаріального затвердження мирової угоди та можливість вчинення виконавчого напису на угоді, у разі її порушення;</w:t>
      </w:r>
    </w:p>
    <w:p w14:paraId="0678F7B7" w14:textId="77777777" w:rsidR="005F048D" w:rsidRPr="00511005" w:rsidRDefault="005F048D" w:rsidP="003F6A5D">
      <w:pPr>
        <w:numPr>
          <w:ilvl w:val="0"/>
          <w:numId w:val="359"/>
        </w:numPr>
        <w:spacing w:line="264" w:lineRule="auto"/>
        <w:ind w:left="1069" w:hanging="360"/>
        <w:jc w:val="left"/>
        <w:rPr>
          <w:rFonts w:ascii="Arial" w:eastAsia="Times New Roman" w:hAnsi="Arial" w:cs="Arial"/>
          <w:szCs w:val="28"/>
          <w:lang w:val="uk-UA" w:eastAsia="uk-UA"/>
        </w:rPr>
      </w:pPr>
      <w:r w:rsidRPr="00511005">
        <w:rPr>
          <w:rFonts w:ascii="Arial" w:eastAsia="Times New Roman" w:hAnsi="Arial" w:cs="Arial"/>
          <w:szCs w:val="28"/>
          <w:lang w:val="uk-UA" w:eastAsia="uk-UA"/>
        </w:rPr>
        <w:t>Спрощення судового розгляду в провадженнях з примусового виконання мирових угод;</w:t>
      </w:r>
    </w:p>
    <w:p w14:paraId="69C3DC6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Фактично, в останньому випадку, суд має бути позбавлений можливості переглядати результат мирової угоди ( за винятком форс-мажорних обставин) і для винесення рішення задля виконання мирової угоди має встановити лише сукупність наступних ознак:</w:t>
      </w:r>
    </w:p>
    <w:p w14:paraId="19EA5839" w14:textId="77777777" w:rsidR="005F048D" w:rsidRPr="00511005" w:rsidRDefault="005F048D" w:rsidP="003F6A5D">
      <w:pPr>
        <w:numPr>
          <w:ilvl w:val="0"/>
          <w:numId w:val="384"/>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Добровільність укладення угоди;</w:t>
      </w:r>
    </w:p>
    <w:p w14:paraId="4E473429" w14:textId="77777777" w:rsidR="005F048D" w:rsidRPr="00511005" w:rsidRDefault="005F048D" w:rsidP="003F6A5D">
      <w:pPr>
        <w:numPr>
          <w:ilvl w:val="0"/>
          <w:numId w:val="384"/>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Законність угоди;</w:t>
      </w:r>
    </w:p>
    <w:p w14:paraId="1CA8DE3E" w14:textId="77777777" w:rsidR="005F048D" w:rsidRPr="00511005" w:rsidRDefault="005F048D" w:rsidP="003F6A5D">
      <w:pPr>
        <w:numPr>
          <w:ilvl w:val="0"/>
          <w:numId w:val="384"/>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Необхідність застосування санкцій до сторони, що не виконала умов угоди (якщо, застосування таких санкцій передбачено самою угодою і виникнення підстав для застосування не пов’язано з обставинами, що незалежні від волі сторони угоди)</w:t>
      </w:r>
    </w:p>
    <w:p w14:paraId="15629FB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Таким чином, можна дійти до висновку, що впровадження альтернативних способів вирішення спорів є одним з рушійних факторів реформування судової системи. </w:t>
      </w:r>
    </w:p>
    <w:p w14:paraId="03968D0C"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той самий час, задля ефективної розбудови системи позасудових способів вирішення спорів важливим є привернення уваги суспільства до цієї проблеми і підвищення їхнього рівня обізнаності в питаннях досягнення мирової угоди. </w:t>
      </w:r>
    </w:p>
    <w:p w14:paraId="41ADBD1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Також важливим елементом вибудовування довіри у суспільства до позасудової системи є реформування засобів забезпечення виконання мирової угоди. Оскільки без цього елемента неможливо побудувати систему, що буде конкурентноспроможньою і зможе перебрати на себе частину функцій судової системи. </w:t>
      </w:r>
    </w:p>
    <w:p w14:paraId="413C940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Спрощення та прискорення процесуальних засобів захисту цивільних прав повинно відбуватися за допомогою, з одного боку спеціалізації та диференціації судового захисту в межах єдиної судової системи, вдосконалення та деталізації процесуального законодавства (наприклад запроваджене спрощене провадження), а з іншого, – запровадження розгалуженої системи альтернативних форм вирішення спорів. [3, с. 33].</w:t>
      </w:r>
    </w:p>
    <w:p w14:paraId="4C083EAA" w14:textId="77777777" w:rsidR="005F048D" w:rsidRPr="00511005" w:rsidRDefault="005F048D" w:rsidP="003A292D">
      <w:pPr>
        <w:spacing w:line="264" w:lineRule="auto"/>
        <w:rPr>
          <w:rFonts w:ascii="Arial" w:eastAsia="Times New Roman" w:hAnsi="Arial" w:cs="Arial"/>
          <w:szCs w:val="28"/>
          <w:lang w:val="uk-UA" w:eastAsia="uk-UA"/>
        </w:rPr>
      </w:pPr>
    </w:p>
    <w:p w14:paraId="7358E356" w14:textId="5F9B8A5F" w:rsidR="005F048D" w:rsidRPr="00511005" w:rsidRDefault="007B2628" w:rsidP="007B2628">
      <w:pPr>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34164371" w14:textId="77777777" w:rsidR="005F048D" w:rsidRPr="00511005" w:rsidRDefault="005F048D" w:rsidP="003F6A5D">
      <w:pPr>
        <w:numPr>
          <w:ilvl w:val="0"/>
          <w:numId w:val="37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українських судах бракує 1258 суддів — голова ВККС. веб-сайт. URL: </w:t>
      </w:r>
      <w:hyperlink r:id="rId1457">
        <w:r w:rsidRPr="00511005">
          <w:rPr>
            <w:rFonts w:ascii="Arial" w:eastAsia="Times New Roman" w:hAnsi="Arial" w:cs="Arial"/>
            <w:szCs w:val="28"/>
            <w:lang w:val="uk-UA" w:eastAsia="uk-UA"/>
          </w:rPr>
          <w:t>https://hromadske.ua/suspilstvo/232348-holova-vkks-pro-nedobir-suddiv-vony-led-vytrymuiut-navantazennia</w:t>
        </w:r>
      </w:hyperlink>
    </w:p>
    <w:p w14:paraId="552620CA" w14:textId="77777777" w:rsidR="005F048D" w:rsidRPr="00511005" w:rsidRDefault="005F048D" w:rsidP="003F6A5D">
      <w:pPr>
        <w:numPr>
          <w:ilvl w:val="0"/>
          <w:numId w:val="37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Альтернативні способи вирішення цивільних спорів за законодавством України : навчальний посібник / О. Б. Верба-Сидор Воробель та ін.; за ред. канд. юрид. наук, доц. О. Б. Верби-Сидор. Львів :Львівський державний університет внутрішніх справ, 2021. 416 с.</w:t>
      </w:r>
    </w:p>
    <w:p w14:paraId="32C4BDF3" w14:textId="5125A4AB" w:rsidR="005F048D" w:rsidRPr="00511005" w:rsidRDefault="005F048D" w:rsidP="003F6A5D">
      <w:pPr>
        <w:numPr>
          <w:ilvl w:val="0"/>
          <w:numId w:val="37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Іліопол І.М.</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Альтернативні форми захисту прав, свобод і законних інтересів</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Альтернативні способи вирішення цивільних спорів : матеріали круглого столу (Одеса, 29 березня 2021 р.) [Електронне видання] / за заг. ред. д.ю.н., професора Н. Ю. Голубєвої ; НУ «Одеська юридична академія». – Одеса : Фенікс, 2021. – С.с.29-33. – 0,3 д.а. URL: </w:t>
      </w:r>
      <w:hyperlink r:id="rId1458">
        <w:r w:rsidRPr="00511005">
          <w:rPr>
            <w:rFonts w:ascii="Arial" w:eastAsia="Times New Roman" w:hAnsi="Arial" w:cs="Arial"/>
            <w:szCs w:val="28"/>
            <w:lang w:val="uk-UA" w:eastAsia="uk-UA"/>
          </w:rPr>
          <w:t>https://hdl.handle.net/11300/14491</w:t>
        </w:r>
      </w:hyperlink>
      <w:r w:rsidRPr="00511005">
        <w:rPr>
          <w:rFonts w:ascii="Arial" w:eastAsia="Times New Roman" w:hAnsi="Arial" w:cs="Arial"/>
          <w:szCs w:val="28"/>
          <w:lang w:val="uk-UA" w:eastAsia="uk-UA"/>
        </w:rPr>
        <w:t xml:space="preserve"> </w:t>
      </w:r>
    </w:p>
    <w:p w14:paraId="40B7E194" w14:textId="7B45EDB6"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вирішення спорів, альтернативні способи вирішення спорів, медіація, суд, забезпечення виконання зобов’язань, законодавство, реформація.</w:t>
      </w:r>
    </w:p>
    <w:p w14:paraId="6955BD7C" w14:textId="1CEF18DD"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lastRenderedPageBreak/>
        <w:t xml:space="preserve">Key words: </w:t>
      </w:r>
      <w:r w:rsidR="005F048D" w:rsidRPr="00511005">
        <w:rPr>
          <w:rFonts w:ascii="Arial" w:eastAsia="Times New Roman" w:hAnsi="Arial" w:cs="Arial"/>
          <w:szCs w:val="28"/>
          <w:lang w:val="uk-UA" w:eastAsia="uk-UA"/>
        </w:rPr>
        <w:t>dispute resolution, alternative dispute resolution, mediation, court, enforcement, legislation, reform.</w:t>
      </w:r>
    </w:p>
    <w:p w14:paraId="19532C45" w14:textId="1F35E27C" w:rsidR="005F048D"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Іліопол І.М.</w:t>
      </w:r>
    </w:p>
    <w:p w14:paraId="26D60DF6"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7CE2675C" w14:textId="77777777" w:rsidR="005F048D" w:rsidRPr="00511005" w:rsidRDefault="005F048D" w:rsidP="003A292D">
      <w:pPr>
        <w:spacing w:line="264" w:lineRule="auto"/>
        <w:jc w:val="center"/>
        <w:rPr>
          <w:rFonts w:ascii="Arial" w:eastAsia="Times New Roman" w:hAnsi="Arial" w:cs="Arial"/>
          <w:b/>
          <w:i/>
          <w:szCs w:val="28"/>
          <w:lang w:val="uk-UA" w:eastAsia="uk-UA"/>
        </w:rPr>
      </w:pPr>
    </w:p>
    <w:p w14:paraId="14A44230" w14:textId="77777777" w:rsidR="005F048D" w:rsidRPr="00511005" w:rsidRDefault="005F048D" w:rsidP="003A292D">
      <w:pPr>
        <w:spacing w:line="264" w:lineRule="auto"/>
        <w:jc w:val="center"/>
        <w:rPr>
          <w:rFonts w:ascii="Arial" w:eastAsia="Times New Roman" w:hAnsi="Arial" w:cs="Arial"/>
          <w:b/>
          <w:i/>
          <w:szCs w:val="28"/>
          <w:lang w:val="uk-UA" w:eastAsia="uk-UA"/>
        </w:rPr>
      </w:pPr>
    </w:p>
    <w:p w14:paraId="7C8BF863" w14:textId="77777777" w:rsidR="005F048D" w:rsidRPr="00511005" w:rsidRDefault="005F048D" w:rsidP="003A292D">
      <w:pPr>
        <w:spacing w:line="264" w:lineRule="auto"/>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Никитенко Артем Віталійович</w:t>
      </w:r>
    </w:p>
    <w:p w14:paraId="20C4DCB6" w14:textId="76CB6000" w:rsidR="005F048D" w:rsidRPr="00511005" w:rsidRDefault="00536AAB"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 1-го курсу магістратури</w:t>
      </w:r>
    </w:p>
    <w:p w14:paraId="3B53F794" w14:textId="77777777" w:rsidR="005F048D" w:rsidRPr="00511005" w:rsidRDefault="005F048D"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цивільної та господарської юстиції</w:t>
      </w:r>
    </w:p>
    <w:p w14:paraId="1F4DAADB" w14:textId="4174CD4C" w:rsidR="005F048D" w:rsidRPr="00511005" w:rsidRDefault="007B2628"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01A04EFB" w14:textId="77777777" w:rsidR="005F048D" w:rsidRPr="00511005" w:rsidRDefault="005F048D" w:rsidP="003A292D">
      <w:pPr>
        <w:tabs>
          <w:tab w:val="left" w:pos="7088"/>
        </w:tabs>
        <w:spacing w:line="264" w:lineRule="auto"/>
        <w:ind w:firstLine="0"/>
        <w:jc w:val="center"/>
        <w:rPr>
          <w:rFonts w:ascii="Arial" w:eastAsia="Times New Roman" w:hAnsi="Arial" w:cs="Arial"/>
          <w:b/>
          <w:szCs w:val="28"/>
          <w:lang w:val="uk-UA" w:eastAsia="uk-UA"/>
        </w:rPr>
      </w:pPr>
    </w:p>
    <w:p w14:paraId="7E02A83B" w14:textId="77777777" w:rsidR="005F048D" w:rsidRPr="00511005" w:rsidRDefault="005F048D" w:rsidP="003A292D">
      <w:pPr>
        <w:tabs>
          <w:tab w:val="left" w:pos="7088"/>
        </w:tabs>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ВИКОРИСТАННЯ МЕДІАЦІЇ У ВИРІШЕННІ СІМЕЙНИХ СПОРІВ: ПОТЕНЦІАЛ І ОБМЕЖЕННЯ В ЦИВІЛЬНОМУ ПРОЦЕСІ</w:t>
      </w:r>
    </w:p>
    <w:p w14:paraId="46FCD05A"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сучасному цивільному процесі дедалі більшого значення набуває використання медіації як альтернативного способу вирішення сімейних спорів. Це зумовлено як необхідністю зниження конфліктності у чутливих правовідносинах, так і прагненням до забезпечення доступу до правосуддя через менш формалізовані, швидші й менш затратні процедури. Сімейні спори, за своєю природою, часто супроводжуються емоційною напругою, що робить традиційний судовий розгляд менш ефективним у досягненні реального примирення сторін. Саме тому медіація як спосіб конструктивного діалогу, що дозволяє знайти взаємоприйнятне рішення без судового рішення, має надзвичайний потенціал у сфері сімейного права.</w:t>
      </w:r>
    </w:p>
    <w:p w14:paraId="6BD1E7E1"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Правове регулювання медіації в Україні здійснюється, зокрема, Законом України «Про медіацію» від 16 листопада 2021 року, який закріплює загальні засади проведення медіації, визначає статус медіатора, а також встановлює вимоги до добровільності участі у процедурі. Згідно зі статтею 2 цього закону, медіація є добровільною позасудовою процедурою врегулювання конфлікту (спору), що здійснюється за згодою сторін за допомогою одного або кількох медіаторів з метою досягнення сторонами взаємоприйнятного рішення [1]. </w:t>
      </w:r>
    </w:p>
    <w:p w14:paraId="6EB9A51C"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Нормативною базою, що створює простір для застосування медіації в цивільному процесі, також є Цивільний процесуальний кодекс України, в якому передбачено можливість закриття провадження у справі в разі укладення сторонами мирової угоди або досягнення іншої домовленості за результатами медіації (стаття 207 ЦПК України). Хоча пряма згадка про медіацію з’явилася у законодавстві нещодавно, вже тривалий час судова практика орієнтується на заохочення до примирення сторін, що відповідає загальноєвропейським тенденціям у сфері цивільного процесу [2]. Будучи альтернативою судовій процедурі та іншим силовим методам розгляду, медіація має цілий ряд переваг, головною з яких є те, що вирішення спору досягається шляхом прийняття сторонами рішення на добровільний і </w:t>
      </w:r>
      <w:r w:rsidRPr="00511005">
        <w:rPr>
          <w:rFonts w:ascii="Arial" w:eastAsia="Times New Roman" w:hAnsi="Arial" w:cs="Arial"/>
          <w:szCs w:val="28"/>
          <w:lang w:val="uk-UA" w:eastAsia="uk-UA"/>
        </w:rPr>
        <w:lastRenderedPageBreak/>
        <w:t>рівноправній основі, що однаково влаштовує всі зацікавлені сторони так, щоб інтереси всіх учасників спору могли б бути задоволені [3, с. 33].</w:t>
      </w:r>
    </w:p>
    <w:p w14:paraId="63002578"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Однією з найсильніших сторін медіації в контексті сімейних спорів є її спрямованість на збереження майбутніх відносин між сторонами, особливо коли мова йде про спільних дітей. Судове рішення, як правило, фіксує правові наслідки вже існуючого конфлікту, тоді як медіація орієнтована на усунення причин конфлікту, його глибинних чинників. Наприклад, замість формального визначення участі батька у вихованні дитини, як це передбачено судовим рішенням, сторони в процесі медіації можуть розробити гнучкий графік побачень, обумовити способи комунікації, фінансової підтримки тощо. Це дозволяє уникнути почуття поразки, яке часто супроводжує сторону, що програла судову справу, і стимулює до співпраці.</w:t>
      </w:r>
    </w:p>
    <w:p w14:paraId="17AA6801"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Однак попри позитивні аспекти, медіація має низку обмежень, які слід враховувати в контексті її правозастосування. Найперше, вона не може бути застосована у спорах, де є ознаки насильства, зокрема домашнього, оскільки одна зі сторін може опинитися у становищі примусу або нерівності. Відповідно до статті 6 Закону України «Про медіацію», медіатор має право відмовити у проведенні медіації або припинити її, якщо існують обставини, що унеможливлюють неупереджене проведення процедури або ставлять під сумнів добровільність участі. Цей припис особливо актуальний у контексті сімейних справ, де часто наявний елемент психологічної залежності чи емоційного тиску.</w:t>
      </w:r>
    </w:p>
    <w:p w14:paraId="7F64A80E"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Другою серйозною проблемою є відсутність належної інституційної підтримки процедури медіації. Хоча Закон «Про медіацію» визначає вимоги до професійної підготовки медіаторів, система їхньої сертифікації, акредитації та контролю за якістю надання послуг залишається фрагментарною. Це створює ризики для учасників спору, які можуть бути втягнуті в неефективну чи навіть упереджену процедуру. Крім того, механізм виконання домовленостей, досягнутих у ході медіації, хоча й може бути формалізований у вигляді мирової угоди, не завжди передбачає ефективний контроль за їх дотриманням [4, c.283].</w:t>
      </w:r>
    </w:p>
    <w:p w14:paraId="53901C0B"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Також актуальною є проблема правової обізнаності громадян щодо можливостей та переваг медіації. В умовах високого рівня недовіри до альтернативних форм правозахисту, учасники часто вдаються до традиційного судочинства навіть у тих випадках, де медіація могла б бути ефективнішою. Відповідно, необхідна широка інформаційно-просвітницька кампанія, спрямована як на потенційних користувачів медіації, так і на адвокатів, суддів та інших учасників цивільного процесу.</w:t>
      </w:r>
    </w:p>
    <w:p w14:paraId="5A90AEAE"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Суттєвим викликом є також процесуальний статус медіації в цивільному процесі. З одного боку, вона позиціонується як позасудова форма врегулювання спорів, з іншого – її результати можуть мати юридичну </w:t>
      </w:r>
      <w:r w:rsidRPr="00511005">
        <w:rPr>
          <w:rFonts w:ascii="Arial" w:eastAsia="Times New Roman" w:hAnsi="Arial" w:cs="Arial"/>
          <w:szCs w:val="28"/>
          <w:lang w:val="uk-UA" w:eastAsia="uk-UA"/>
        </w:rPr>
        <w:lastRenderedPageBreak/>
        <w:t>силу лише після їх визнання судом або оформлення відповідною угодою. Це призводить до ситуації, коли сторони, досягнувши домовленості, все одно змушені звертатися до суду для її затвердження, що нівелює частину переваг медіації – зокрема, економію часу та коштів. У зв’язку з цим доцільно було б на законодавчому рівні передбачити спрощену процедуру реєстрації або засвідчення медіаційних угод, яка б гарантувала їх обов’язковість без необхідності судового втручання.</w:t>
      </w:r>
    </w:p>
    <w:p w14:paraId="7B8A3D7F"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Водночас у світлі європейської інтеграції України та зобов’язань, взятих у межах Угоди про асоціацію з ЄС, підтримка розвитку медіації є важливим елементом реформування судової системи. У багатьох країнах Європейського Союзу медіація є обов’язковим етапом перед судовим розглядом окремих категорій справ, зокрема сімейних. В Україні такі ініціативи лише формуються, однак перспективи запровадження обов’язкової медіації, принаймні у формі консультаційної сесії, виглядають цілком реалістичними [5, c.395].</w:t>
      </w:r>
    </w:p>
    <w:p w14:paraId="01662DBF"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Варто зазначити, що ефективне впровадження медіації у сфері сімейних правовідносин передбачає міждисциплінарну взаємодію – зокрема залучення психологів, соціальних працівників та інших фахівців, які здатні комплексно оцінювати ситуацію та сприяти гармонізації відносин між сторонами. Такий підхід вже апробований у практиці окремих центрів медіації в Україні, зокрема при органах місцевого самоврядування чи у громадських організаціях, і довів свою ефективність, особливо у справах, що стосуються визначення умов участі батьків у вихованні дитини після розлучення.</w:t>
      </w:r>
    </w:p>
    <w:p w14:paraId="47F5AE8F"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попри наявні виклики, медіація є перспективним інструментом врегулювання сімейних спорів, здатним не лише зменшити навантаження на судову систему, а й забезпечити більш гуманний підхід до вирішення складних міжособистісних конфліктів. Подальший розвиток цього інституту вимагає комплексного підходу – вдосконалення законодавства, розбудови інфраструктури, підвищення рівня довіри до процедури з боку громадян та формування професійної спільноти медіаторів, орієнтованої на якість і етичність у наданні послуг. Усе це разом дозволить створити правове середовище, у якому альтернативне вирішення спорів стане не винятком, а звичною та ефективною практикою в сімейному процесі.</w:t>
      </w:r>
    </w:p>
    <w:p w14:paraId="37368A4E" w14:textId="77777777" w:rsidR="005F048D" w:rsidRPr="00511005" w:rsidRDefault="005F048D" w:rsidP="003A292D">
      <w:pPr>
        <w:tabs>
          <w:tab w:val="left" w:pos="7088"/>
        </w:tabs>
        <w:spacing w:line="264" w:lineRule="auto"/>
        <w:jc w:val="center"/>
        <w:rPr>
          <w:rFonts w:ascii="Arial" w:eastAsia="Times New Roman" w:hAnsi="Arial" w:cs="Arial"/>
          <w:b/>
          <w:szCs w:val="28"/>
          <w:lang w:val="uk-UA" w:eastAsia="uk-UA"/>
        </w:rPr>
      </w:pPr>
    </w:p>
    <w:p w14:paraId="426495EC" w14:textId="57F6E6AE" w:rsidR="005F048D" w:rsidRPr="00511005" w:rsidRDefault="007B2628" w:rsidP="007B2628">
      <w:pPr>
        <w:tabs>
          <w:tab w:val="left" w:pos="7088"/>
        </w:tabs>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27D8526E" w14:textId="77777777" w:rsidR="005F048D" w:rsidRPr="00511005" w:rsidRDefault="005F048D" w:rsidP="003F6A5D">
      <w:pPr>
        <w:widowControl w:val="0"/>
        <w:numPr>
          <w:ilvl w:val="0"/>
          <w:numId w:val="391"/>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медіацію : Закон України від 16.11.2021 № 1875-IX URL: </w:t>
      </w:r>
      <w:hyperlink r:id="rId1459">
        <w:r w:rsidRPr="00511005">
          <w:rPr>
            <w:rFonts w:ascii="Arial" w:eastAsia="Times New Roman" w:hAnsi="Arial" w:cs="Arial"/>
            <w:szCs w:val="28"/>
            <w:lang w:val="uk-UA" w:eastAsia="uk-UA"/>
          </w:rPr>
          <w:t>https://zakon.rada.gov.ua/go/1875-IX</w:t>
        </w:r>
      </w:hyperlink>
      <w:r w:rsidRPr="00511005">
        <w:rPr>
          <w:rFonts w:ascii="Arial" w:eastAsia="Times New Roman" w:hAnsi="Arial" w:cs="Arial"/>
          <w:szCs w:val="28"/>
          <w:lang w:val="uk-UA" w:eastAsia="uk-UA"/>
        </w:rPr>
        <w:t xml:space="preserve"> (дата звернення: 18 квітня 2025 р.)</w:t>
      </w:r>
    </w:p>
    <w:p w14:paraId="30DF1BAE" w14:textId="77777777" w:rsidR="005F048D" w:rsidRPr="00511005" w:rsidRDefault="005F048D" w:rsidP="003F6A5D">
      <w:pPr>
        <w:widowControl w:val="0"/>
        <w:numPr>
          <w:ilvl w:val="0"/>
          <w:numId w:val="391"/>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від 18.03.2004 року № 1618-IV. URL: -</w:t>
      </w:r>
      <w:hyperlink r:id="rId1460">
        <w:r w:rsidRPr="00511005">
          <w:rPr>
            <w:rFonts w:ascii="Arial" w:eastAsia="Times New Roman" w:hAnsi="Arial" w:cs="Arial"/>
            <w:szCs w:val="28"/>
            <w:lang w:val="uk-UA" w:eastAsia="uk-UA"/>
          </w:rPr>
          <w:t xml:space="preserve">15"httpsHYPERLINK "https://zakon.rada.gov.ua/laws/show/1618- </w:t>
        </w:r>
      </w:hyperlink>
      <w:r w:rsidRPr="00511005">
        <w:rPr>
          <w:rFonts w:ascii="Arial" w:eastAsia="Times New Roman" w:hAnsi="Arial" w:cs="Arial"/>
          <w:szCs w:val="28"/>
          <w:lang w:val="uk-UA" w:eastAsia="uk-UA"/>
        </w:rPr>
        <w:t>(дата звернення: 18 квітня 2025 р.)​</w:t>
      </w:r>
    </w:p>
    <w:p w14:paraId="7A35B441" w14:textId="77777777" w:rsidR="005F048D" w:rsidRPr="00511005" w:rsidRDefault="005F048D" w:rsidP="003F6A5D">
      <w:pPr>
        <w:widowControl w:val="0"/>
        <w:numPr>
          <w:ilvl w:val="0"/>
          <w:numId w:val="391"/>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Іліопол І.М. Альтернативні форми захисту прав, свобод і законних інтересів /І.М. Іліопол// Альтернативні способи вирішення цивільних спорів: матеріали круглого столу (Одеса, 29 березня 2021 р.) [Електронне видання]/за заг. ред. д. ю. н., професора НЮ Голубєвої; НУ «Одеська юридична академія». Одеса: Фенікс, 2021. С. 29-34. URL: </w:t>
      </w:r>
      <w:hyperlink r:id="rId1461">
        <w:r w:rsidRPr="00511005">
          <w:rPr>
            <w:rFonts w:ascii="Arial" w:eastAsia="Times New Roman" w:hAnsi="Arial" w:cs="Arial"/>
            <w:szCs w:val="28"/>
            <w:lang w:val="uk-UA" w:eastAsia="uk-UA"/>
          </w:rPr>
          <w:t>https://hdl.handle.net/11300/21782</w:t>
        </w:r>
      </w:hyperlink>
      <w:r w:rsidRPr="00511005">
        <w:rPr>
          <w:rFonts w:ascii="Arial" w:eastAsia="Times New Roman" w:hAnsi="Arial" w:cs="Arial"/>
          <w:szCs w:val="28"/>
          <w:lang w:val="uk-UA" w:eastAsia="uk-UA"/>
        </w:rPr>
        <w:t xml:space="preserve"> </w:t>
      </w:r>
    </w:p>
    <w:p w14:paraId="79511DD7" w14:textId="77777777" w:rsidR="005F048D" w:rsidRPr="00511005" w:rsidRDefault="005F048D" w:rsidP="003F6A5D">
      <w:pPr>
        <w:widowControl w:val="0"/>
        <w:numPr>
          <w:ilvl w:val="0"/>
          <w:numId w:val="391"/>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Штепа Д. В. Медіація як ефективний спосіб врегулювання сімейних спорів в Україні під час війни. Актуальні питання у сучасній науці, 2023, № 4(10), с. 281–285.URL: </w:t>
      </w:r>
      <w:hyperlink r:id="rId1462">
        <w:r w:rsidRPr="00511005">
          <w:rPr>
            <w:rFonts w:ascii="Arial" w:eastAsia="Times New Roman" w:hAnsi="Arial" w:cs="Arial"/>
            <w:szCs w:val="28"/>
            <w:lang w:val="uk-UA" w:eastAsia="uk-UA"/>
          </w:rPr>
          <w:t>https://www.academia.edu/115500047/</w:t>
        </w:r>
      </w:hyperlink>
      <w:r w:rsidRPr="00511005">
        <w:rPr>
          <w:rFonts w:ascii="Arial" w:eastAsia="Times New Roman" w:hAnsi="Arial" w:cs="Arial"/>
          <w:szCs w:val="28"/>
          <w:lang w:val="uk-UA" w:eastAsia="uk-UA"/>
        </w:rPr>
        <w:t xml:space="preserve"> (дата звернення: 18 квітня 2025 р.)</w:t>
      </w:r>
    </w:p>
    <w:p w14:paraId="37F2C79A" w14:textId="77777777" w:rsidR="005F048D" w:rsidRPr="00511005" w:rsidRDefault="005F048D" w:rsidP="003F6A5D">
      <w:pPr>
        <w:widowControl w:val="0"/>
        <w:numPr>
          <w:ilvl w:val="0"/>
          <w:numId w:val="391"/>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Чорнописька В., Чорнописька Х. Сімейна медіація як модус вирішення спорів у сімейних правовідносинах. Вісник Національного університету "Львівська політехніка". Серія: Юридичні науки, 2024, Вип. 11, № 1(41), с. 391–399.URL: </w:t>
      </w:r>
      <w:hyperlink r:id="rId1463">
        <w:r w:rsidRPr="00511005">
          <w:rPr>
            <w:rFonts w:ascii="Arial" w:eastAsia="Times New Roman" w:hAnsi="Arial" w:cs="Arial"/>
            <w:szCs w:val="28"/>
            <w:lang w:val="uk-UA" w:eastAsia="uk-UA"/>
          </w:rPr>
          <w:t>https://surl.li/obkitn</w:t>
        </w:r>
      </w:hyperlink>
      <w:r w:rsidRPr="00511005">
        <w:rPr>
          <w:rFonts w:ascii="Arial" w:eastAsia="Times New Roman" w:hAnsi="Arial" w:cs="Arial"/>
          <w:szCs w:val="28"/>
          <w:lang w:val="uk-UA" w:eastAsia="uk-UA"/>
        </w:rPr>
        <w:t xml:space="preserve"> (дата звернення: 18 квітня 2025 р.)</w:t>
      </w:r>
    </w:p>
    <w:p w14:paraId="77E03A94" w14:textId="77777777" w:rsidR="005F048D" w:rsidRPr="00511005" w:rsidRDefault="005F048D" w:rsidP="003A292D">
      <w:pPr>
        <w:widowControl w:val="0"/>
        <w:tabs>
          <w:tab w:val="left" w:pos="993"/>
          <w:tab w:val="left" w:pos="7088"/>
        </w:tabs>
        <w:spacing w:line="264" w:lineRule="auto"/>
        <w:ind w:left="709" w:firstLine="0"/>
        <w:rPr>
          <w:rFonts w:ascii="Arial" w:eastAsia="Times New Roman" w:hAnsi="Arial" w:cs="Arial"/>
          <w:szCs w:val="28"/>
          <w:lang w:val="uk-UA" w:eastAsia="uk-UA"/>
        </w:rPr>
      </w:pPr>
    </w:p>
    <w:p w14:paraId="32B29B11" w14:textId="319F6BB6" w:rsidR="007B2628" w:rsidRPr="00511005" w:rsidRDefault="007B262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цивільний процес, альтернативне вирішення ,вемоційна напруга, медіатор</w:t>
      </w:r>
    </w:p>
    <w:p w14:paraId="205E7538" w14:textId="7CDF9039" w:rsidR="005F048D" w:rsidRPr="00511005" w:rsidRDefault="007B2628" w:rsidP="003A292D">
      <w:pPr>
        <w:spacing w:line="264" w:lineRule="auto"/>
        <w:ind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meditation, civil procedure, alternative dispute resolution ,emotional tension</w:t>
      </w:r>
    </w:p>
    <w:p w14:paraId="62C3A435" w14:textId="046468AE" w:rsidR="005F048D" w:rsidRPr="00511005" w:rsidRDefault="007B2628" w:rsidP="003A292D">
      <w:pPr>
        <w:spacing w:line="264" w:lineRule="auto"/>
        <w:ind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Іліопол І.М.</w:t>
      </w:r>
    </w:p>
    <w:p w14:paraId="067F6E4F" w14:textId="77777777" w:rsidR="005F048D" w:rsidRPr="00511005" w:rsidRDefault="005F048D" w:rsidP="003A292D">
      <w:pPr>
        <w:spacing w:line="264" w:lineRule="auto"/>
        <w:ind w:firstLine="0"/>
        <w:jc w:val="left"/>
        <w:rPr>
          <w:rFonts w:ascii="Arial" w:eastAsia="Times New Roman" w:hAnsi="Arial" w:cs="Arial"/>
          <w:b/>
          <w:i/>
          <w:szCs w:val="28"/>
          <w:lang w:val="uk-UA" w:eastAsia="uk-UA"/>
        </w:rPr>
      </w:pPr>
    </w:p>
    <w:p w14:paraId="61B77323"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Новак Юлія Іванівна</w:t>
      </w:r>
    </w:p>
    <w:p w14:paraId="55C8E685" w14:textId="56A1B666" w:rsidR="005F048D" w:rsidRPr="00511005" w:rsidRDefault="00536AAB" w:rsidP="003A292D">
      <w:pPr>
        <w:spacing w:line="264" w:lineRule="auto"/>
        <w:ind w:firstLine="0"/>
        <w:jc w:val="center"/>
        <w:rPr>
          <w:rFonts w:ascii="Arial" w:eastAsia="Times New Roman" w:hAnsi="Arial" w:cs="Arial"/>
          <w:iCs/>
          <w:szCs w:val="28"/>
          <w:lang w:val="uk-UA" w:eastAsia="uk-UA"/>
        </w:rPr>
      </w:pPr>
      <w:r w:rsidRPr="00511005">
        <w:rPr>
          <w:rFonts w:ascii="Arial" w:eastAsia="Times New Roman" w:hAnsi="Arial" w:cs="Arial"/>
          <w:iCs/>
          <w:szCs w:val="28"/>
          <w:lang w:val="uk-UA" w:eastAsia="uk-UA"/>
        </w:rPr>
        <w:t>студентка 1-го курсу магістратури</w:t>
      </w:r>
      <w:r w:rsidR="005F048D" w:rsidRPr="00511005">
        <w:rPr>
          <w:rFonts w:ascii="Arial" w:eastAsia="Times New Roman" w:hAnsi="Arial" w:cs="Arial"/>
          <w:iCs/>
          <w:szCs w:val="28"/>
          <w:lang w:val="uk-UA" w:eastAsia="uk-UA"/>
        </w:rPr>
        <w:t xml:space="preserve"> </w:t>
      </w:r>
    </w:p>
    <w:p w14:paraId="1740703C" w14:textId="1AE98F4A" w:rsidR="005F048D" w:rsidRPr="00511005" w:rsidRDefault="001B7B25" w:rsidP="003A292D">
      <w:pPr>
        <w:spacing w:line="264" w:lineRule="auto"/>
        <w:ind w:firstLine="0"/>
        <w:jc w:val="center"/>
        <w:rPr>
          <w:rFonts w:ascii="Arial" w:eastAsia="Times New Roman" w:hAnsi="Arial" w:cs="Arial"/>
          <w:iCs/>
          <w:szCs w:val="28"/>
          <w:lang w:val="uk-UA" w:eastAsia="uk-UA"/>
        </w:rPr>
      </w:pPr>
      <w:r w:rsidRPr="00511005">
        <w:rPr>
          <w:rFonts w:ascii="Arial" w:eastAsia="Times New Roman" w:hAnsi="Arial" w:cs="Arial"/>
          <w:iCs/>
          <w:szCs w:val="28"/>
          <w:lang w:val="uk-UA" w:eastAsia="uk-UA"/>
        </w:rPr>
        <w:t>факультету судового та міжнародного права</w:t>
      </w:r>
    </w:p>
    <w:p w14:paraId="062F8641" w14:textId="184CA0EF" w:rsidR="007B2628" w:rsidRPr="00511005" w:rsidRDefault="00C66506" w:rsidP="003A292D">
      <w:pPr>
        <w:spacing w:line="264" w:lineRule="auto"/>
        <w:ind w:firstLine="0"/>
        <w:jc w:val="center"/>
        <w:rPr>
          <w:rFonts w:ascii="Arial" w:eastAsia="Times New Roman" w:hAnsi="Arial" w:cs="Arial"/>
          <w:iCs/>
          <w:szCs w:val="28"/>
          <w:lang w:val="uk-UA" w:eastAsia="uk-UA"/>
        </w:rPr>
      </w:pPr>
      <w:r w:rsidRPr="00511005">
        <w:rPr>
          <w:rFonts w:ascii="Arial" w:eastAsia="Times New Roman" w:hAnsi="Arial" w:cs="Arial"/>
          <w:iCs/>
          <w:szCs w:val="28"/>
          <w:lang w:val="uk-UA" w:eastAsia="uk-UA"/>
        </w:rPr>
        <w:t>Національного університету «Одеська юридична академія»</w:t>
      </w:r>
    </w:p>
    <w:p w14:paraId="0E83AC3C" w14:textId="08F3A5E2" w:rsidR="005F048D" w:rsidRPr="00511005" w:rsidRDefault="005F048D" w:rsidP="003A292D">
      <w:pPr>
        <w:spacing w:line="264" w:lineRule="auto"/>
        <w:ind w:firstLine="0"/>
        <w:rPr>
          <w:rFonts w:ascii="Arial" w:eastAsia="Times New Roman" w:hAnsi="Arial" w:cs="Arial"/>
          <w:szCs w:val="28"/>
          <w:lang w:val="uk-UA" w:eastAsia="uk-UA"/>
        </w:rPr>
      </w:pPr>
    </w:p>
    <w:p w14:paraId="6C7330F1"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ВРЕГУЛЮВАННЯ СПОРУ ЗА УЧАСТІ СУДДІ: </w:t>
      </w:r>
    </w:p>
    <w:p w14:paraId="1A2981C4"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МІЖ МИРОВОЮ УГОДОЮ ТА ЗЛОВЖИВАННЯМ ПРОЦЕСУАЛЬНИМИ ПРАВАМИ</w:t>
      </w:r>
    </w:p>
    <w:p w14:paraId="45640B8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Після набуття чинності 15 грудня 2017 року новими процесуальними кодексами, зокрема в Цивільний процесуальний кодекс України (далі – ЦПК України) було запроваджено нову для нашої судової системи процедуру – врегулювання спору за участю судді.</w:t>
      </w:r>
    </w:p>
    <w:p w14:paraId="2A1C07C6" w14:textId="0B2243C6"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Врегулювання спору за участю судді є альтернативою звичайного судового способу врегулювання спору. У статистичних даних опублікованих Верховним</w:t>
      </w:r>
      <w:r w:rsidRPr="00511005">
        <w:rPr>
          <w:rFonts w:ascii="Arial" w:eastAsia="Times New Roman" w:hAnsi="Arial" w:cs="Arial"/>
          <w:i/>
          <w:szCs w:val="28"/>
          <w:lang w:val="uk-UA" w:eastAsia="uk-UA"/>
        </w:rPr>
        <w:t xml:space="preserve"> </w:t>
      </w:r>
      <w:r w:rsidRPr="00511005">
        <w:rPr>
          <w:rFonts w:ascii="Arial" w:eastAsia="Times New Roman" w:hAnsi="Arial" w:cs="Arial"/>
          <w:szCs w:val="28"/>
          <w:lang w:val="uk-UA" w:eastAsia="uk-UA"/>
        </w:rPr>
        <w:t>Судом в аналітичному огляді стану здійснення цивільного судочинства «упродовж 2024 року місцевими судами постановлено 41 ухвалу про проведення врегулювання спору за участю судді та 36 про його припинення (у 2023 році ці показники становили відповідно 53 та 46 ухвал), із яких у 6 досягнуто примирення між сторонами (у 2023 році – 17), а 27 передано на розгляд іншому судді (у 2023 році – 24)» [1].</w:t>
      </w:r>
      <w:r w:rsidR="007B2628" w:rsidRPr="00511005">
        <w:rPr>
          <w:rFonts w:ascii="Arial" w:eastAsia="Times New Roman" w:hAnsi="Arial" w:cs="Arial"/>
          <w:szCs w:val="28"/>
          <w:lang w:val="uk-UA" w:eastAsia="uk-UA"/>
        </w:rPr>
        <w:t xml:space="preserve"> </w:t>
      </w:r>
    </w:p>
    <w:p w14:paraId="106311D2" w14:textId="4C850818"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З аналізу норм ЦПК України вбачається, що процедура врегулювання спору за участю судді запроваджена як дієвий механізм, який забезпечує: 1) вирішення справи на ранній стадії; 2) ефективне використання ресурсів суду; 3) забезпечення в подальшому якісного судового розгляду справи; 4) зменшення судових витрат сторін; 5) задоволення інтересів обох сторін</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та збереження їх ділових стосунків тощо. </w:t>
      </w:r>
    </w:p>
    <w:p w14:paraId="43AF656E"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Водночас процедура врегулювання спору за участю судді, враховуючи особливості її проведення та правові наслідки, не повинна стати способом законного впливу на здійснення правосуддя.</w:t>
      </w:r>
    </w:p>
    <w:p w14:paraId="3AD2F305"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В такому ключі проблемним є питання дотримання балансу між забезпеченням дієвості і в цілому цінності самої процедури як альтернативного способу врегулювання спору та забезпеченням незалежного і неупередженого судочинства з додержанням всіх законодавчо визначених принципів. З цією метою необхідно з’ясувати виправданість можливих ризиків у випадку використання процедури врегулювання спору за участю судді та їх вплив на здійснення цивільного судочинства.</w:t>
      </w:r>
    </w:p>
    <w:p w14:paraId="49C1DA49" w14:textId="27DB29A9"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Згідно з положеннями ЦПК України процедура врегулювання спору за участю судді у цивільному процесі може бути ініційована виключно за згодою сторін і до початку розгляду справи по суті. ЦПК України передбачає чотири обставини, з яких процедура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врегулювання спору за участю судді підлягає припиненню: 1) у разі подання стороною заяви про припинення врегулювання спору за участю судді; 2) у разі закінчення строку врегулювання спору за участю судді; 3) за ініціативою судді у разі затягування врегулювання спору будь-якою зі сторін; 4) у разі укладення сторонами мирової угоди та звернення до суду із заявою про її затвердження або звернення позивача до суду із заявою про залишення позовної заяви без розгляду, або у разі відмови позивача від позову чи визнання позову відповідачем [2]. Процедури врегулювання спору за участю судді припиняється постановленням ухвали, яка оскарженню не підлягає. </w:t>
      </w:r>
    </w:p>
    <w:p w14:paraId="2CE009B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Ключовою законодавчою нормою, яка власне виступає однією з основних у цьому дослідженні є вказівка, що «у разі припинення врегулювання спору за участю судді з підстав, передбачених в п. 1-3 ч. 1 ст. 204 ЦПК України, справа передається на розгляд іншому судді, який буде визначений Єдиною судовою інформаційно-телекомунікаційною системою» [2]. Вказаною нормою встановлюється правило, за яким суддя, що залучався до врегулювання спору, не правомочний продовжувати розглядати цю справу по суті.</w:t>
      </w:r>
    </w:p>
    <w:p w14:paraId="29E0D01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Сторони мають можливість ініціювати процедуру врегулювання спору за участю судді, подавши до суду відповідне клопотання. Разом з тим, визначити дійсний намір сторін у випадку використання вказаної законодавчо закріпленої можливості – недосяжно. Тобто, ризик, полягає </w:t>
      </w:r>
      <w:r w:rsidRPr="00511005">
        <w:rPr>
          <w:rFonts w:ascii="Arial" w:eastAsia="Times New Roman" w:hAnsi="Arial" w:cs="Arial"/>
          <w:szCs w:val="28"/>
          <w:lang w:val="uk-UA" w:eastAsia="uk-UA"/>
        </w:rPr>
        <w:lastRenderedPageBreak/>
        <w:t xml:space="preserve">тому, що клопотання можуть подаватися сторонами не за їх справжнім цільовим призначенням (врегулювання спору), а з наміром замінити суддю у справі. Складена ситуація цілком може трактуватися як зловживання процесуальними правами. Проте зазначене застереження в ЦПК України не закріплене. </w:t>
      </w:r>
    </w:p>
    <w:p w14:paraId="309B3DA6" w14:textId="50CC870C"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Принцип неприпустимості зловживання процесуальними правами випливає зі статті 44 ЦПК України, якою на учасників судового процесу та їхніх представників покладено обов’язок добросовісного використання процесуальних прав. Категорія «добросовісність» означає сумлінне, чесне та уважне виконання обов’язків за належного здійснення наданих прав. Невиконання обов’язку добросовісно здійснювати свої права особами, які беруть участь у справі, повинно кваліфікуватися як зловживання ними. З метою з’ясування істинного змісту зазначеного принципу Н. Ю. Голубєвою були висловлені наступні міркування: «зловживання правом можна визначити як форму реалізації суб'єктивного права всупереч його призначенню, за допомогою якої один</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учасник судового процесу навмисно або недбало заподіює шкоду іншим учасникам процесу» [3]. З цього випливає, що у кожному випадку, коли сторони у справі вчиняють будь-які процесуальні дії не метою сприяння суду при розгляді і вирішенні справи, а з метою досягнення якихось сторонніх намірів (для введення судді в оману, для створення перешкод, для затягування справи) – вони виходять за межі дійсного змісту свого права, таким чином зловживають ним.</w:t>
      </w:r>
    </w:p>
    <w:p w14:paraId="4E98CD7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Розглядаючи вказаний принцип цивільного судочинства в контексті здійснення процедури врегулювання спору за участю судді, слід підкреслити, що зловживання процесуальними правами в даному випадку є особливою формою цивільного процесуального правопорушення, що проявляється в умисних несумлінних діях сторін цивільного процесу, спрямованих на перешкоджання розгляду справи [4, с. 80]. </w:t>
      </w:r>
    </w:p>
    <w:p w14:paraId="5710197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Для запобігання зловживанню процесуальними правами ч. 4 ст. 44 ЦПК України закріплено обов’язок суду вживати визначені законодавством заходи процесуального примусу. Зокрема, йдеться про попередження, видалення із залу судового засідання, тимчасове вилучення доказів для дослідження судом, привід, штраф. Вказані заходи є процесуальними діями, що вчиняються судом шляхом постановлення ухвали з метою спонукання відповідних осіб до виконання процесуальних обов’язків, припинення зловживання правами та запобігання створенню штучних перешкод при здійсненні судочинства [2]. </w:t>
      </w:r>
    </w:p>
    <w:p w14:paraId="1FAEAB8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 огляду на зазначене, заходи процесуального примусу здійснюються виключно під час здійснення цивільного судочинства. Водночас, процедура врегулювання спору за участю судді, як зазначалося вище, є позасудовим альтернативним способом врегулювання спору. Вказане зумовлює неможливість застосування заходів процесуального примусу як дієвого </w:t>
      </w:r>
      <w:r w:rsidRPr="00511005">
        <w:rPr>
          <w:rFonts w:ascii="Arial" w:eastAsia="Times New Roman" w:hAnsi="Arial" w:cs="Arial"/>
          <w:szCs w:val="28"/>
          <w:lang w:val="uk-UA" w:eastAsia="uk-UA"/>
        </w:rPr>
        <w:lastRenderedPageBreak/>
        <w:t>способу протидії можливим зловживанням процесуальними правами з боку сторін під час використання процедури врегулювання спору за участю судді.</w:t>
      </w:r>
    </w:p>
    <w:p w14:paraId="0AF708BA" w14:textId="46D5917B"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Крім того, відповідно до цивільного процесуального законодавства, процедура врегулювання спору є конфіденційною, що означає, що вся інформація, отримана суддею чи будь-якою зі сторін під час її здійснення, не підлягає розголошенню. З огляду на вказане,</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проблемним залишається питання доведення факту зловживання процесуальними правами у випадках врегулювання спору за участю судді. </w:t>
      </w:r>
    </w:p>
    <w:p w14:paraId="42168144"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Тим не менш, необхідно наголосити і на протилежному, зокрема, ЦПК України закріплює один інструмент для уникнення зловживань таким процесуальним правом. Передусім, передбачено обмеження, що дозволяє сторонам скористатися процедурою врегулювання спору за участю судді лише один раз. Тому, в разі, якщо сторони не досягли мирного врегулювання спору, повторне звернення до цієї процедури є недопустимим.</w:t>
      </w:r>
    </w:p>
    <w:p w14:paraId="7469E24B"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Ще одним дієвим інструментом для уникнення можливих зловживань використовуючи процедуру врегулювання спору за участю судді може стати призначення іншого судді не після проведення означеної процедури, а безпосередньо перед її проведенням і виключно на період її проведення. Таким чином, суддя, який відкрив провадження у справі уникає позапроцесуального, та свого роду, неформального спілкування зі сторонами цивільно-правового спору у формі спільних чи закритих нарад, а також можливої упередженості на користь позивача або відповідача як сторін спору.</w:t>
      </w:r>
    </w:p>
    <w:p w14:paraId="1D1B5A3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Таке процесуальне нововведення надасть можливість уникнути використання процедури врегулювання спору за участю судді із метою заміни судді у справі. При цьому відбір судді-посередника має так само визначатися Єдиною судовою інформаційно-телекомунікаційною системою.</w:t>
      </w:r>
    </w:p>
    <w:p w14:paraId="3D6103A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Доречно підкреслити, що реалізація запропонованих змін буде повністю корелюватися із схожими інститутами врегулювання спорів за участю судді в зарубіжних державах. Так, у Німеччині, Норвегії, Канаді та Сінгапурі судді-посередники не беруть участь у судових засіданнях, а залучаються тільки для проведення примирливої процедури. Завдяки цьому перераховані держави вирізняються високим показником вирішення спорів. </w:t>
      </w:r>
    </w:p>
    <w:p w14:paraId="306F9BB9"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Безумовно, процесуальне законодавство характеризується спрямованістю на вирішення спору через примирливі процедури, розширюючи можливості застосування існуючих (укладання мирової угоди, передача справи на розгляд третейського суду), запроваджуючи нові (позасудове врегулювання спору шляхом медіації, врегулювання спору за участю судді) і передбачаючи заохочення для їх застосування у вигляді повернення позивачу з державного бюджету 50 або 60 відсотків сплаченого судового збору за умови, що сторони примирилися до початку розгляду справи по суті (ч. 1 ст. 142 ЦПК України) [5, с. 635]. Підсумовуючи, слід </w:t>
      </w:r>
      <w:r w:rsidRPr="00511005">
        <w:rPr>
          <w:rFonts w:ascii="Arial" w:eastAsia="Times New Roman" w:hAnsi="Arial" w:cs="Arial"/>
          <w:szCs w:val="28"/>
          <w:lang w:val="uk-UA" w:eastAsia="uk-UA"/>
        </w:rPr>
        <w:lastRenderedPageBreak/>
        <w:t>зазначити, що процедура врегулювання спору за участю судді в цивільному процесі дійсно є ефективним механізмом, який дозволяє сторонам досягти взаєморозуміння, налагодити взаємодію задля прийняття найбільш взаємовигідного рішення. Однак виправданим врегулювання спору за участю судді буде виключно у випадку недопущення зловживань та виключно за умови застосування процедури тільки з наміром примирення сторін цивільного процесу.</w:t>
      </w:r>
    </w:p>
    <w:p w14:paraId="35D86059" w14:textId="683E1319" w:rsidR="005F048D" w:rsidRPr="00511005" w:rsidRDefault="005F048D" w:rsidP="003A292D">
      <w:pPr>
        <w:spacing w:line="264" w:lineRule="auto"/>
        <w:ind w:firstLine="851"/>
        <w:rPr>
          <w:rFonts w:ascii="Arial" w:eastAsia="Times New Roman" w:hAnsi="Arial" w:cs="Arial"/>
          <w:szCs w:val="28"/>
          <w:lang w:val="uk-UA" w:eastAsia="uk-UA"/>
        </w:rPr>
      </w:pPr>
    </w:p>
    <w:p w14:paraId="48F5193D" w14:textId="35E646E8" w:rsidR="005F048D" w:rsidRPr="00511005" w:rsidRDefault="007B2628" w:rsidP="007B2628">
      <w:pPr>
        <w:spacing w:line="264" w:lineRule="auto"/>
        <w:ind w:firstLine="851"/>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7DD60A01" w14:textId="77777777" w:rsidR="005F048D" w:rsidRPr="00511005" w:rsidRDefault="005F048D" w:rsidP="003A292D">
      <w:pPr>
        <w:spacing w:line="264" w:lineRule="auto"/>
        <w:ind w:firstLine="851"/>
        <w:rPr>
          <w:rFonts w:ascii="Arial" w:eastAsia="Times New Roman" w:hAnsi="Arial" w:cs="Arial"/>
          <w:b/>
          <w:szCs w:val="28"/>
          <w:lang w:val="uk-UA" w:eastAsia="uk-UA"/>
        </w:rPr>
      </w:pPr>
    </w:p>
    <w:p w14:paraId="174AC832" w14:textId="77777777" w:rsidR="005F048D" w:rsidRPr="00511005" w:rsidRDefault="005F048D" w:rsidP="003F6A5D">
      <w:pPr>
        <w:numPr>
          <w:ilvl w:val="0"/>
          <w:numId w:val="38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Аналітичний огляд стану здійснення цивільного судочинства у 2024 році. URL: https://court.gov.ua/storage/portal/supreme/ogliady/ztv4D67.pdf. </w:t>
      </w:r>
    </w:p>
    <w:p w14:paraId="2AEED525" w14:textId="77777777" w:rsidR="005F048D" w:rsidRPr="00511005" w:rsidRDefault="005F048D" w:rsidP="003F6A5D">
      <w:pPr>
        <w:numPr>
          <w:ilvl w:val="0"/>
          <w:numId w:val="38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Закон України від 18.03.2004. № 1618-IV. Дата оновлення: 09.04.2025. URL: https://zakon.rada.gov.ua/laws/show/1618-15. </w:t>
      </w:r>
    </w:p>
    <w:p w14:paraId="2773C203" w14:textId="77777777" w:rsidR="005F048D" w:rsidRPr="00511005" w:rsidRDefault="005F048D" w:rsidP="003F6A5D">
      <w:pPr>
        <w:numPr>
          <w:ilvl w:val="0"/>
          <w:numId w:val="38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Голубєва Н. Ю. Як подолати практику зловживання цивільними процесуальними правами?: Інформаційно-правова газета «Legal Weekly». URL: http://legalweekly.com.ua/index.php?id=16061&amp;show=news&amp;newsid=124282 </w:t>
      </w:r>
    </w:p>
    <w:p w14:paraId="1EE6B134" w14:textId="77777777" w:rsidR="005F048D" w:rsidRPr="00511005" w:rsidRDefault="005F048D" w:rsidP="003F6A5D">
      <w:pPr>
        <w:numPr>
          <w:ilvl w:val="0"/>
          <w:numId w:val="38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Прущак В. Є. Врегулювання спору за участю судді в цивільному судочинстві України: дис… д-ра філ. за спец. 081 – Право, Одеса, 2020. 192 с. URL: https://dspace.onua.edu.ua/items/a92d0670-8c95-471c-9386-ac5b9664adfa </w:t>
      </w:r>
    </w:p>
    <w:p w14:paraId="0BF0AE9C" w14:textId="77777777" w:rsidR="007B2628" w:rsidRPr="00511005" w:rsidRDefault="005F048D" w:rsidP="003F6A5D">
      <w:pPr>
        <w:numPr>
          <w:ilvl w:val="0"/>
          <w:numId w:val="38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Полюк Ю.І. Позасудові процедури захисту як спосіб оптимізації цивільного судочинства. Європейські орієнтири розвитку України: науково-практичний вимір в умовах воєнних викликів: матеріали Міжнар.наук.-практ. конф. (Одеса, 26 квітня 2024 р.) / за заг. ред. С. В. Ківалова. Одеса: Фенікс. 2024. C. 634-636. URL: https://dspace.onua.edu.ua/items/c77ed43d-fe00-43d4-958d-0f60923956cd</w:t>
      </w:r>
    </w:p>
    <w:p w14:paraId="1FB27F73" w14:textId="44B5C26D" w:rsidR="005F048D" w:rsidRPr="00511005" w:rsidRDefault="005F048D" w:rsidP="003A292D">
      <w:pPr>
        <w:spacing w:line="264" w:lineRule="auto"/>
        <w:ind w:firstLine="0"/>
        <w:rPr>
          <w:rFonts w:ascii="Arial" w:eastAsia="Times New Roman" w:hAnsi="Arial" w:cs="Arial"/>
          <w:szCs w:val="28"/>
          <w:lang w:val="uk-UA" w:eastAsia="uk-UA"/>
        </w:rPr>
      </w:pPr>
    </w:p>
    <w:p w14:paraId="1DD03373" w14:textId="6727959A"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цивільний процес, врегулювання спору за участі судді, мирова угода, зловживання процесуальними правами.</w:t>
      </w:r>
    </w:p>
    <w:p w14:paraId="57527FFE" w14:textId="2BCFFFFB"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civil process, settlement of a dispute with the participation of a judge, settlement agreement, abuse of procedural rights.</w:t>
      </w:r>
    </w:p>
    <w:p w14:paraId="13051C7A" w14:textId="661EFD85" w:rsidR="005F048D" w:rsidRPr="00511005" w:rsidRDefault="007B2628" w:rsidP="003A292D">
      <w:pPr>
        <w:spacing w:line="264" w:lineRule="auto"/>
        <w:ind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 ю. н, доцент Полюк Ю. І.</w:t>
      </w:r>
    </w:p>
    <w:p w14:paraId="462228B2"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27800D3B"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76885EBB"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Оглу Рані Володимирівна</w:t>
      </w:r>
    </w:p>
    <w:p w14:paraId="366BD045" w14:textId="550B5461" w:rsidR="007B2628"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1-го курсу магістратури</w:t>
      </w:r>
    </w:p>
    <w:p w14:paraId="6F43F8AC" w14:textId="3C2ADE89" w:rsidR="005F048D" w:rsidRPr="00511005" w:rsidRDefault="001B7B25"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судового та міжнародного права</w:t>
      </w:r>
    </w:p>
    <w:p w14:paraId="6354BF98" w14:textId="1F86A5C3" w:rsidR="007B2628"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4773AD2C" w14:textId="6121A8C7" w:rsidR="005F048D" w:rsidRPr="00511005" w:rsidRDefault="005F048D" w:rsidP="003A292D">
      <w:pPr>
        <w:spacing w:line="264" w:lineRule="auto"/>
        <w:ind w:firstLine="0"/>
        <w:rPr>
          <w:rFonts w:ascii="Arial" w:eastAsia="Times New Roman" w:hAnsi="Arial" w:cs="Arial"/>
          <w:szCs w:val="28"/>
          <w:lang w:val="uk-UA" w:eastAsia="uk-UA"/>
        </w:rPr>
      </w:pPr>
    </w:p>
    <w:p w14:paraId="3BC73FF6"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ПРОБЛЕМАТИКА ВИЗНАЧЕННЯ ПРОЦЕСУАЛЬНО-ПРАВОВОГО СТАТУСУ ПОМІЧНИКА СУДДІ</w:t>
      </w:r>
    </w:p>
    <w:p w14:paraId="65ED851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сучасному контексті реформування судової системи України, спрямованого на забезпечення ефективності, відкритості та прозорості правосуддя, особливої актуальності набуває питання належного нормативного регулювання діяльності всіх учасників судового процесу, зокрема й осіб, які виконують допоміжні функції в апараті суду. Серед них центральне місце посідає помічник судді — учасник, без якого сучасне здійснення правосуддя буде суттєво ускладненим, проте чий процесуально-правовий статус досі залишається нечітко визначеним у національному законодавстві. З огляду на його обсяг функціональних обов’язків, які часто мають не лише технічний, а й аналітичний або підготовчий характер, правова невизначеність щодо статусу помічника судді становить серйозну проблему як з точки зору забезпечення правової визначеності, так і в контексті гарантування незалежності судової влади.</w:t>
      </w:r>
    </w:p>
    <w:p w14:paraId="64171965"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Актуальність теми зумовлена необхідністю усунення прогалин у нормативному регулюванні та врегулюванні правового становища осіб, які безпосередньо залучені до підготовки та забезпечення процесу розгляду справи у суді і прийняття судових рішень. У практичному вимірі це питання стосується як якості судочинства, так і дотримання принципів змагальності, неупередженості та законності, оскільки недостатня врегульованість статусу помічника судді може спричинити виникнення сумнівів у правомірності його дій чи втручання у судовий процес.</w:t>
      </w:r>
    </w:p>
    <w:p w14:paraId="65361C5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У межах функціонування сучасної судової системи особливого значення набуває ефективне забезпечення діяльності суддів, що є необхідною умовою реалізації принципів відправлення правосуддя. У цьому контексті помічник судді відіграє важливою роль у процесі здійснення судочинства, адже забезпечує не лише технічну та організаційну підтримку, але й бере участь у підготовці проєктів процесуальних документів, аналітичній роботі, узагальненні судової практики тощо. Проте, незважаючи на важливість і масштабність функцій, що виконує помічник судді, його процесуально-правовий статус залишається недостатньо визначеним та викликає ряд дискусійних питань у правовій науці та практиці.</w:t>
      </w:r>
    </w:p>
    <w:p w14:paraId="67E94D74"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Насамперед слід зазначити, що вітчизняне законодавство не містить єдиного та вичерпного визначення процесуального статусу помічника судді. У чинних нормативно-правових актах містяться окремі згадки про завдання, які покладаються на помічника, однак немає чіткого окреслення його правового становища у процесуальній системі. Зокрема, Закон України «Про судоустрій і статус суддів» передбачає лише загальні засади організації діяльності судів, серед яких згадується і можливість залучення суддею помічника. Проте конкретні повноваження, межі відповідальності, а </w:t>
      </w:r>
      <w:r w:rsidRPr="00511005">
        <w:rPr>
          <w:rFonts w:ascii="Arial" w:eastAsia="Times New Roman" w:hAnsi="Arial" w:cs="Arial"/>
          <w:szCs w:val="28"/>
          <w:lang w:val="uk-UA" w:eastAsia="uk-UA"/>
        </w:rPr>
        <w:lastRenderedPageBreak/>
        <w:t>також характер участі у здійсненні правосуддя залишаються поза сферою нормативного регулювання або формуються лише на рівні внутрішніх судових розпоряджень [1].</w:t>
      </w:r>
    </w:p>
    <w:p w14:paraId="7C4D48E8"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Такий стан речей породжує значні труднощі, як у правозастосовній практиці, так і в науковій сфері, оскільки відсутність чітко встановлених меж діяльності помічника судді створює умови для правової невизначеності. У межах аналізу функціонального навантаження на помічника судді варто зауважити, що в багатьох випадках на нього покладаються обов’язки, що виходять за межі суто технічного характеру, набуваючи рис участі у підготовці судових рішень, складанні висновків, аналізі судової практики тощо. Це, у свою чергу, піднімає питання про межу допустимого делегування повноважень та про гарантії дотримання принципу незалежності судді, адже будь-яка участь помічника у здійсненні судочинства повинна бути чітко окреслена у межах законодавчих приписів.</w:t>
      </w:r>
    </w:p>
    <w:p w14:paraId="3BF2F075"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У науковій літературі спостерігається певна неоднозначність у підходах до визначення сутності процесуального статусу помічника судді: від розгляду його як допоміжного працівника суду, що виконує функції технічного характеру без самостійних процесуальних повноважень і до визначення, що характер виконуваних ним завдань вимагає закріплення окремого правового статусу, який би забезпечував баланс між допоміжною роллю та вимогами правової відповідальності, зокрема щодо конфіденційності інформації, яка потрапляє до помічника у процесі здійснення ним своїх обов’язків [2, с. 111].</w:t>
      </w:r>
    </w:p>
    <w:p w14:paraId="71FF7BD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Особливої актуальності ця проблема набуває в умовах цифровізації судової системи, коли значна частина підготовки справ здійснюється у електронній формі, що відкриває доступ помічнику судді до великого масиву важливої інформації. У зв’язку з цим виникає потреба у встановленні чітких стандартів професійної етики, обов’язків зі збереження службової таємниці, а також відповідальності за розголошення чи неналежне використання інформації, до якої помічник має доступ. Без належного нормативного врегулювання ці аспекти залишаються відкритими, що створює ризики як для ефективності судового процесу, так і для захисту прав учасників справи.</w:t>
      </w:r>
    </w:p>
    <w:p w14:paraId="713FB27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Однією з фундаментальних проблем є також відсутність єдиного підходу до питання, чи може помічник судді долучатися до обробки процесуальних документів, що мають юридичну силу. Відсутність відповідних положень у процесуальних кодексах призводить до того, що кожен суд фактично самостійно вирішує, які функції може виконувати помічник судді. Така децентралізованість правового регулювання створює нерівність у застосуванні права та підриває принцип правової визначеності, що є фундаментальним у правовій державі.</w:t>
      </w:r>
    </w:p>
    <w:p w14:paraId="33AD54EB"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 практиці це може призводити до конфліктних ситуацій, коли сторони процесу не розуміють меж повноважень помічника судді та </w:t>
      </w:r>
      <w:r w:rsidRPr="00511005">
        <w:rPr>
          <w:rFonts w:ascii="Arial" w:eastAsia="Times New Roman" w:hAnsi="Arial" w:cs="Arial"/>
          <w:szCs w:val="28"/>
          <w:lang w:val="uk-UA" w:eastAsia="uk-UA"/>
        </w:rPr>
        <w:lastRenderedPageBreak/>
        <w:t>ставлять під сумнів легітимність його дій. Наприклад, підготовка проектів судових рішень, яка іноді виконується помічником, з одного боку, допомагає оптимізувати роботу суду, а з іншого — потребує особливої правової регламентації, адже помічник не є суб’єктом процесуальної відповідальності за прийняте судове рішення. Цей аспект викликає особливу занепокоєність у контексті дотримання принципів справедливого судочинства, передбачених ст. 6 ЄКПЛ. У своєму рішенні Європейський суд з прав людини у справі Piersack v. Belgium наголосив, що не лише фактична упередженість, але й обґрунтовані сумніви у безсторонності суду можуть порушити ст. 6 ЄКПЛ. Це означає, що участь особи, яка може бути сприйнята як упереджена (навіть не суддя), може викликати порушення права на справедливий суд [3]. Подібного висновку дійшов суд у справі Moisejevs v. Latvia зауваживши, що участь сторонніх осіб у формуванні змісту рішення, які мають процесуальну або службову залежність, може порушити принцип безсторонності. Таким чином, активна участь помічника судді у підготовці проєктів судових рішень, без чіткого правового регулювання його меж і відповідальності, може створювати ризик порушення права на справедливий суд, гарантованого статтею 6 ЄКПЛ [4].</w:t>
      </w:r>
    </w:p>
    <w:p w14:paraId="1B9F9A4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Для вирішення означеної проблеми в, першу чергу, слід законодавчо визначити обсяг повноважень помічника судді, включаючи межі його участі у судовому процесі. Необхідно закріпити права, обов’язки та відповідальність цієї категорії працівників, що дозволить забезпечити належний баланс між оперативністю судового розгляду справ і дотриманням процесуальних гарантій. Важливо також створити єдині стандарти для всієї судової системи, аби уникнути різночитань та забезпечити прозорість судової діяльності.</w:t>
      </w:r>
    </w:p>
    <w:p w14:paraId="54EF817E"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Проблеми визначення процесуально-правового статусу помічника судді відносяться до складних питань права, що вимагають розгляду на рівні законодавства, судової практики та доктрини. Основні проблеми визначення статусу помічника судді полягають у наступному: 1) невизначеність законодавства. У більшості країн світу законодавство не містить конкретних визначень щодо статусу помічника судді. Це може призвести до неоднозначного розуміння правового статусу помічника судді та виникнення суперечностей щодо його повноважень та відповідальності. В Україні після ухвалення Закону України «Про державну службу» помічники суддів утратили статус державних службовців і перетворилися на персонал (працівників) патронатної служби, що з одного боку спростило добір помічників (адже не проводиться конкурсний відбір, як це передбачено для державної служби), а з іншого боку – патронатна служба помічника судді за своєю природою подібна до державної, а тому дискусійним є непоширення обмежень державної служби на помічників суддів; 2) обмеження повноважень. Законодавство може обмежувати повноваження помічника </w:t>
      </w:r>
      <w:r w:rsidRPr="00511005">
        <w:rPr>
          <w:rFonts w:ascii="Arial" w:eastAsia="Times New Roman" w:hAnsi="Arial" w:cs="Arial"/>
          <w:szCs w:val="28"/>
          <w:lang w:val="uk-UA" w:eastAsia="uk-UA"/>
        </w:rPr>
        <w:lastRenderedPageBreak/>
        <w:t xml:space="preserve">судді, що призводить до певних проблем щодо забезпечення його правового статусу, зокрема, його статусу у судовому процесі та відповідальності за свої дії. ЦПК України вказує функції помічника судді у цивільному судочинстві, однак не можна стверджувати, що вони є саме процесуальними, адже вчиняються помічником поза судовим процесом носять допоміжний характер. Саме тому включення помічника судді до кола суб’єктів цивільних процесуальних правовідносин у редакції ЦПК України 2017 року є дискусійним; 3) відповідальність за дії. Помічник судді може бути відповідальним за свої дії у судовому процесі, проте відповідність рівня відповідальності не завжди визначена у законодавстві. Оскільки працівники суддів перебувають на патронатній службі, всю відповідальність вони несуть виключно перед патроном суддею (звісно, якщо мова не йде про кримінальну відповідальність за порушення, пов’язані із діяльністю на посаді). 4) незалежність судді та помічника судді. Помічник судді повинен діяти у межах відповідальності судді, який його обрав на посаду, тому його незалежність може бути обмеженою, що призводить до виникнення проблем щодо його статусу у судовому процесі [5, c. 33-34]. </w:t>
      </w:r>
    </w:p>
    <w:p w14:paraId="0347B2D7"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Рішення ЄСПЛ у справі Tsulukidze and Rusulashvili v. Georgia яскраво ілюструє потенційні ризики для безсторонності суду, що виникають через тісні зв’язки помічника судді зі сторонами процесу. У цій справі родинний зв'язок помічниці з адвокатом протилежної сторони, у поєднанні з її значними повноваженнями, створив обґрунтовані сумніви в об’єктивності судді, що було визнано ЄСПЛ порушенням права на справедливий суд. Таким чином, наявність таких зв’язків є серйозною підставою для відводу помічника судді з метою гарантування неупередженості судового розгляду [6].</w:t>
      </w:r>
    </w:p>
    <w:p w14:paraId="70A4A371" w14:textId="14797561"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Однак окрім внутрішньої незалежності у відносинах патронатної служби помічник судді має зберігати незалежність і неупередженість в рамках цивільного процесу, однак законодавством не передбачено можливості відводу (самовідводу) помічника судді за жодних обставин, що доцільно було б виправити шляхом включення помічника судді до складу суб’єктів цивільних процесуальних правовідносин, до яких за наявністю підстав можна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заявити відвід (самовідвід) за ст. 38 ЦПК України. Вводячи чіткі підстави для відводу (самовідводу) помічника судді, зокрема враховуючи родинні, службові чи інші відносини, які можуть вплинути на його об’єктивність, ЦПК України буде приведено у відповідність до стандартів ЄСПЛ щодо забезпечення справедливого судового розгляду. Надання сторонам права заявляти відвід помічнику судді за наявності обґрунтованих сумнівів у його неупередженості є важливою процесуальною гарантією. Таким чином, запровадження інституту відводу (самовідводу) помічника судді є необхідним кроком для зміцнення довіри до судової системи та забезпечення права кожного на розгляд його справи безстороннім судом, як </w:t>
      </w:r>
      <w:r w:rsidRPr="00511005">
        <w:rPr>
          <w:rFonts w:ascii="Arial" w:eastAsia="Times New Roman" w:hAnsi="Arial" w:cs="Arial"/>
          <w:szCs w:val="28"/>
          <w:lang w:val="uk-UA" w:eastAsia="uk-UA"/>
        </w:rPr>
        <w:lastRenderedPageBreak/>
        <w:t>це передбачено Конвенцією про захист прав людини і основоположних свобод та практикою ЄСПЛ.</w:t>
      </w:r>
    </w:p>
    <w:p w14:paraId="771F0EE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Як зазначає Прохоров П. А.: «значним впливом на суддю щодо ухвалення судового рішення можна охарактеризувати дії помічника судді щодо підготовки матеріалів справи до судового розгляду чи проектів процесуальних рішень. На це звертає увагу і Консультативна рада європейських суддів у своєму Висновку № 22 (2019) про роль помічників суддів від 7 листопада 2019 р.: якщо помічники суддів готуватимуть письмову пропозицію, як слід вирішити справу, чи проекти текстів рішень у повному обсязі, є ризик того, що пропозиції помічника впливатимуть на хід думок судді («якірний ефект»). За таких обставин суддя може не усвідомлювати, що перше враження від справи може змінитися після детальнішої роботи над проектом рішення. Судді мають усвідомлювати ці ризики та забезпечувати свою відповідальність за винесене судове рішення, тому важливо, щоби кожен суддя у кожній справі, що ним розглядається, зміг встановити вірний баланс, за якого допомога помічника не заміняла собою функції судді щодо безпосереднього дослідження матеріалів справи» [7, с. 42].</w:t>
      </w:r>
    </w:p>
    <w:p w14:paraId="7D8A9CA2"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Окрім того, слід приділити увагу професійній підготовці помічників суддів, адже рівень правової грамотності та етичної культури безпосередньо впливає на якість роботи суду. Запровадження сертифікації, підвищення кваліфікації та етичного кодексу помічника судді сприятиме професіоналізації цієї посади та зміцненню довіри до судової влади.</w:t>
      </w:r>
    </w:p>
    <w:p w14:paraId="53C65ED7"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Отже, проблематика визначення процесуально-правового статусу помічника судді є комплексною і вимагає системного підходу. Вона охоплює питання нормативного регулювання, організаційної структури, професійної підготовки, етики, а також співвідношення між допоміжною функцією та участю у підготовці судових рішень. Тільки за умов чіткого законодавчого закріплення статусу помічника судді можливо досягти ефективності у реалізації судочинства.</w:t>
      </w:r>
    </w:p>
    <w:p w14:paraId="4CB0DFFC" w14:textId="45471A3D" w:rsidR="005F048D" w:rsidRPr="00511005" w:rsidRDefault="005F048D" w:rsidP="003A292D">
      <w:pPr>
        <w:spacing w:line="264" w:lineRule="auto"/>
        <w:ind w:firstLine="0"/>
        <w:rPr>
          <w:rFonts w:ascii="Arial" w:eastAsia="Times New Roman" w:hAnsi="Arial" w:cs="Arial"/>
          <w:szCs w:val="28"/>
          <w:lang w:val="uk-UA" w:eastAsia="uk-UA"/>
        </w:rPr>
      </w:pPr>
    </w:p>
    <w:p w14:paraId="388DADA6"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Cписок використаних джерел</w:t>
      </w:r>
    </w:p>
    <w:p w14:paraId="2E4B90BF" w14:textId="77777777" w:rsidR="005F048D" w:rsidRPr="00511005" w:rsidRDefault="005F048D" w:rsidP="003F6A5D">
      <w:pPr>
        <w:numPr>
          <w:ilvl w:val="0"/>
          <w:numId w:val="37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судоустрій і статус суддів: Закон України від 02.06.2016 р. № 1402-VIII. Дата оновлення: 25.04.2025. URL: </w:t>
      </w:r>
      <w:hyperlink r:id="rId1464" w:anchor="Text">
        <w:r w:rsidRPr="00511005">
          <w:rPr>
            <w:rFonts w:ascii="Arial" w:eastAsia="Times New Roman" w:hAnsi="Arial" w:cs="Arial"/>
            <w:szCs w:val="28"/>
            <w:lang w:val="uk-UA" w:eastAsia="uk-UA"/>
          </w:rPr>
          <w:t>https://zakon.rada.gov.ua/laws/show/1402-19#Text</w:t>
        </w:r>
      </w:hyperlink>
      <w:r w:rsidRPr="00511005">
        <w:rPr>
          <w:rFonts w:ascii="Arial" w:eastAsia="Times New Roman" w:hAnsi="Arial" w:cs="Arial"/>
          <w:szCs w:val="28"/>
          <w:lang w:val="uk-UA" w:eastAsia="uk-UA"/>
        </w:rPr>
        <w:t xml:space="preserve"> (дата звернення: 25.04.2025)</w:t>
      </w:r>
    </w:p>
    <w:p w14:paraId="23FCC841" w14:textId="77777777" w:rsidR="005F048D" w:rsidRPr="00511005" w:rsidRDefault="005F048D" w:rsidP="003F6A5D">
      <w:pPr>
        <w:numPr>
          <w:ilvl w:val="0"/>
          <w:numId w:val="37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Лісняк (Овсякова) М. Щодо визначення адміністративно-правового статусу помічника судді. Law. State. Technology. 2022. № 1. С. 106 – 111. URL: </w:t>
      </w:r>
      <w:hyperlink r:id="rId1465">
        <w:r w:rsidRPr="00511005">
          <w:rPr>
            <w:rFonts w:ascii="Arial" w:eastAsia="Times New Roman" w:hAnsi="Arial" w:cs="Arial"/>
            <w:szCs w:val="28"/>
            <w:lang w:val="uk-UA" w:eastAsia="uk-UA"/>
          </w:rPr>
          <w:t>https://journals.politehnica.dp.ua/index.php/lst/article/view/124</w:t>
        </w:r>
      </w:hyperlink>
      <w:r w:rsidRPr="00511005">
        <w:rPr>
          <w:rFonts w:ascii="Arial" w:eastAsia="Times New Roman" w:hAnsi="Arial" w:cs="Arial"/>
          <w:szCs w:val="28"/>
          <w:lang w:val="uk-UA" w:eastAsia="uk-UA"/>
        </w:rPr>
        <w:t xml:space="preserve"> (дата звернення: 20.04.2025)</w:t>
      </w:r>
    </w:p>
    <w:p w14:paraId="339B296D" w14:textId="77777777" w:rsidR="005F048D" w:rsidRPr="00511005" w:rsidRDefault="005F048D" w:rsidP="003F6A5D">
      <w:pPr>
        <w:numPr>
          <w:ilvl w:val="0"/>
          <w:numId w:val="37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Judgement in Case of Piersack v. Belgium 1 October 1982: The European Court of Human Rights. URL: </w:t>
      </w:r>
      <w:hyperlink r:id="rId1466" w:anchor="%7B%22itemid%22:%5B%22001-57557%22">
        <w:r w:rsidRPr="00511005">
          <w:rPr>
            <w:rFonts w:ascii="Arial" w:eastAsia="Times New Roman" w:hAnsi="Arial" w:cs="Arial"/>
            <w:szCs w:val="28"/>
            <w:lang w:val="uk-UA" w:eastAsia="uk-UA"/>
          </w:rPr>
          <w:t>https://hudoc.echr.coe.int/eng#{%22itemid%22:[%22001-57557%22</w:t>
        </w:r>
      </w:hyperlink>
      <w:r w:rsidRPr="00511005">
        <w:rPr>
          <w:rFonts w:ascii="Arial" w:eastAsia="Times New Roman" w:hAnsi="Arial" w:cs="Arial"/>
          <w:szCs w:val="28"/>
          <w:lang w:val="uk-UA" w:eastAsia="uk-UA"/>
        </w:rPr>
        <w:t xml:space="preserve">]} </w:t>
      </w:r>
    </w:p>
    <w:p w14:paraId="6290FCD5" w14:textId="77777777" w:rsidR="005F048D" w:rsidRPr="00511005" w:rsidRDefault="005F048D" w:rsidP="003F6A5D">
      <w:pPr>
        <w:numPr>
          <w:ilvl w:val="0"/>
          <w:numId w:val="37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Arret in Affaire Moisejevs c. Lettonie 15 Juin 2006: The European Court of Human Rights. URL: </w:t>
      </w:r>
      <w:hyperlink r:id="rId1467" w:anchor="%7B%22itemid%22:%5B%22001-75832%22">
        <w:r w:rsidRPr="00511005">
          <w:rPr>
            <w:rFonts w:ascii="Arial" w:eastAsia="Times New Roman" w:hAnsi="Arial" w:cs="Arial"/>
            <w:szCs w:val="28"/>
            <w:lang w:val="uk-UA" w:eastAsia="uk-UA"/>
          </w:rPr>
          <w:t>https://hudoc.echr.coe.int/eng#{%22itemid%22:[%22001-75832%22</w:t>
        </w:r>
      </w:hyperlink>
      <w:r w:rsidRPr="00511005">
        <w:rPr>
          <w:rFonts w:ascii="Arial" w:eastAsia="Times New Roman" w:hAnsi="Arial" w:cs="Arial"/>
          <w:szCs w:val="28"/>
          <w:lang w:val="uk-UA" w:eastAsia="uk-UA"/>
        </w:rPr>
        <w:t>]}</w:t>
      </w:r>
    </w:p>
    <w:p w14:paraId="6F406718" w14:textId="09064368" w:rsidR="005F048D" w:rsidRPr="00511005" w:rsidRDefault="005F048D" w:rsidP="003F6A5D">
      <w:pPr>
        <w:numPr>
          <w:ilvl w:val="0"/>
          <w:numId w:val="37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Голубєва Н. Ю., Бут І. О., Полуніна О. О., Полюк Ю. І., Цал-Цалко Ю. Ю. Сучасні проблеми цивільного та цивільно-процесуального права (в частині цивільно-процесуального права) : навч.-метод. посіб. [Електронне видання]. Одеса : Фенікс, 2023. 190 с. URL: </w:t>
      </w:r>
      <w:hyperlink r:id="rId1468">
        <w:r w:rsidRPr="00511005">
          <w:rPr>
            <w:rFonts w:ascii="Arial" w:eastAsia="Times New Roman" w:hAnsi="Arial" w:cs="Arial"/>
            <w:szCs w:val="28"/>
            <w:lang w:val="uk-UA" w:eastAsia="uk-UA"/>
          </w:rPr>
          <w:t>https://hdl.handle.net/11300/26554</w:t>
        </w:r>
      </w:hyperlink>
      <w:r w:rsidR="007B2628" w:rsidRPr="00511005">
        <w:rPr>
          <w:rFonts w:ascii="Arial" w:eastAsia="Times New Roman" w:hAnsi="Arial" w:cs="Arial"/>
          <w:szCs w:val="28"/>
          <w:lang w:val="uk-UA" w:eastAsia="uk-UA"/>
        </w:rPr>
        <w:t xml:space="preserve"> </w:t>
      </w:r>
    </w:p>
    <w:p w14:paraId="14BFFD41" w14:textId="58D9FE0E" w:rsidR="005F048D" w:rsidRPr="00511005" w:rsidRDefault="005F048D" w:rsidP="003F6A5D">
      <w:pPr>
        <w:numPr>
          <w:ilvl w:val="0"/>
          <w:numId w:val="37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Judgement in Case of</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Tsulukidze and Rusulashvili v. Georgia 29 August 2024: URL: </w:t>
      </w:r>
      <w:hyperlink r:id="rId1469" w:anchor="%7B%22itemid%22:%5B%22001-235473%22">
        <w:r w:rsidRPr="00511005">
          <w:rPr>
            <w:rFonts w:ascii="Arial" w:eastAsia="Times New Roman" w:hAnsi="Arial" w:cs="Arial"/>
            <w:szCs w:val="28"/>
            <w:lang w:val="uk-UA" w:eastAsia="uk-UA"/>
          </w:rPr>
          <w:t>https://hudoc.echr.coe.int/eng#{%22itemid%22:[%22001-235473%22</w:t>
        </w:r>
      </w:hyperlink>
      <w:r w:rsidRPr="00511005">
        <w:rPr>
          <w:rFonts w:ascii="Arial" w:eastAsia="Times New Roman" w:hAnsi="Arial" w:cs="Arial"/>
          <w:szCs w:val="28"/>
          <w:lang w:val="uk-UA" w:eastAsia="uk-UA"/>
        </w:rPr>
        <w:t>]}</w:t>
      </w:r>
    </w:p>
    <w:p w14:paraId="24637211" w14:textId="2E49CD30" w:rsidR="005F048D" w:rsidRPr="00511005" w:rsidRDefault="005F048D" w:rsidP="003F6A5D">
      <w:pPr>
        <w:numPr>
          <w:ilvl w:val="0"/>
          <w:numId w:val="378"/>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Прохоров П. А. Порядок ухвалення судових рішень у цивільному процесі України: дис… д-ра філ. за спец. 081 – Право Одеса, 2021. С. 221.</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URL: </w:t>
      </w:r>
      <w:hyperlink r:id="rId1470">
        <w:r w:rsidRPr="00511005">
          <w:rPr>
            <w:rFonts w:ascii="Arial" w:eastAsia="Times New Roman" w:hAnsi="Arial" w:cs="Arial"/>
            <w:szCs w:val="28"/>
            <w:lang w:val="uk-UA" w:eastAsia="uk-UA"/>
          </w:rPr>
          <w:t>https://dspace.onua.edu.ua/server/api/core/bitstreams/895cf8dc-7ed9-4428-8cbe-1747cc856ed8/content</w:t>
        </w:r>
      </w:hyperlink>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(дата звернення: 20.04.2025)</w:t>
      </w:r>
    </w:p>
    <w:p w14:paraId="161BCCA5" w14:textId="3055515B"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 xml:space="preserve">помічник судді, процесуально-правовий статус, правове регулювання діяльності помічника судді, судова система України. </w:t>
      </w:r>
    </w:p>
    <w:p w14:paraId="4386A0F2" w14:textId="2F5A5877"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assistant judge, procedural and legal status, legal regulation of the activities of assistant judges, judicial system of Ukraine.</w:t>
      </w:r>
    </w:p>
    <w:p w14:paraId="1ED936F0" w14:textId="2949F4DB" w:rsidR="005F048D" w:rsidRPr="00511005" w:rsidRDefault="007B2628" w:rsidP="003A292D">
      <w:pPr>
        <w:spacing w:line="264" w:lineRule="auto"/>
        <w:ind w:firstLine="851"/>
        <w:rPr>
          <w:rFonts w:ascii="Arial" w:eastAsia="Times New Roman" w:hAnsi="Arial" w:cs="Arial"/>
          <w:b/>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 ю. н, доцент Полюк Ю. І.</w:t>
      </w:r>
    </w:p>
    <w:p w14:paraId="0E1D528F" w14:textId="77777777" w:rsidR="005F048D" w:rsidRPr="00511005" w:rsidRDefault="005F048D" w:rsidP="003A292D">
      <w:pPr>
        <w:spacing w:line="264" w:lineRule="auto"/>
        <w:ind w:firstLine="0"/>
        <w:rPr>
          <w:rFonts w:ascii="Arial" w:eastAsia="Times New Roman" w:hAnsi="Arial" w:cs="Arial"/>
          <w:b/>
          <w:szCs w:val="28"/>
          <w:lang w:val="uk-UA" w:eastAsia="uk-UA"/>
        </w:rPr>
      </w:pPr>
    </w:p>
    <w:p w14:paraId="15F4E25D"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Перепелиця Володимир Володимирович</w:t>
      </w:r>
    </w:p>
    <w:p w14:paraId="0B03EFAC" w14:textId="672E2A4A"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 1-го курсу магістратури</w:t>
      </w:r>
    </w:p>
    <w:p w14:paraId="310E4060"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21B9209" w14:textId="44351A64" w:rsidR="005F048D"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4424A57" w14:textId="77777777" w:rsidR="00550C73" w:rsidRPr="00511005" w:rsidRDefault="00550C73" w:rsidP="00550C73">
      <w:pPr>
        <w:spacing w:line="264" w:lineRule="auto"/>
        <w:ind w:firstLine="0"/>
        <w:jc w:val="center"/>
        <w:rPr>
          <w:rFonts w:ascii="Arial" w:eastAsia="Times New Roman" w:hAnsi="Arial" w:cs="Arial"/>
          <w:b/>
          <w:szCs w:val="28"/>
          <w:lang w:val="uk-UA" w:eastAsia="uk-UA"/>
        </w:rPr>
      </w:pPr>
    </w:p>
    <w:p w14:paraId="06BE553D"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СУДОВА МЕДІАЦІЯ У ЦИВІЛЬНОМУ ПРОЦЕСІ УКРАЇНИ: </w:t>
      </w:r>
    </w:p>
    <w:p w14:paraId="4ED8C333"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СУЧАСНІ ТЕНДЕНЦІЇ </w:t>
      </w:r>
    </w:p>
    <w:p w14:paraId="6CC564A6" w14:textId="77777777" w:rsidR="005F048D" w:rsidRPr="00511005" w:rsidRDefault="005F048D" w:rsidP="003A292D">
      <w:pPr>
        <w:spacing w:line="264" w:lineRule="auto"/>
        <w:rPr>
          <w:rFonts w:ascii="Arial" w:eastAsia="Times New Roman" w:hAnsi="Arial" w:cs="Arial"/>
          <w:szCs w:val="28"/>
          <w:lang w:val="uk-UA" w:eastAsia="uk-UA"/>
        </w:rPr>
      </w:pPr>
    </w:p>
    <w:p w14:paraId="6BB32E6F"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умовах значного навантаження на суди та потреби прискорення розгляду цивільних справ в Україні увага звертається на альтернативні методи врегулювання спорів. За даними аналітиків, ситуація перед війною вже була критичною: ЄСПЛ неодноразово фіксував порушення права на судову процедуру через надмірну тривалість розгляду справ (наприклад, рішення </w:t>
      </w:r>
      <w:r w:rsidRPr="00511005">
        <w:rPr>
          <w:rFonts w:ascii="Arial" w:eastAsia="Times New Roman" w:hAnsi="Arial" w:cs="Arial"/>
          <w:i/>
          <w:szCs w:val="28"/>
          <w:lang w:val="uk-UA" w:eastAsia="uk-UA"/>
        </w:rPr>
        <w:t>Бурмич та інші проти України</w:t>
      </w:r>
      <w:r w:rsidRPr="00511005">
        <w:rPr>
          <w:rFonts w:ascii="Arial" w:eastAsia="Times New Roman" w:hAnsi="Arial" w:cs="Arial"/>
          <w:szCs w:val="28"/>
          <w:lang w:val="uk-UA" w:eastAsia="uk-UA"/>
        </w:rPr>
        <w:t xml:space="preserve"> з огляду на затримки виконання судових рішень) ​[1]. </w:t>
      </w:r>
    </w:p>
    <w:p w14:paraId="54095B86"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таких обставинах активне впровадження медіації може суттєво зменшити навантаження на судову систему та забезпечити альтернативні </w:t>
      </w:r>
      <w:r w:rsidRPr="00511005">
        <w:rPr>
          <w:rFonts w:ascii="Arial" w:eastAsia="Times New Roman" w:hAnsi="Arial" w:cs="Arial"/>
          <w:szCs w:val="28"/>
          <w:lang w:val="uk-UA" w:eastAsia="uk-UA"/>
        </w:rPr>
        <w:lastRenderedPageBreak/>
        <w:t xml:space="preserve">шляхи доступу до правосуддя. Прийняття Закону України «Про медіацію» у листопаді 2021 року надало цьому інституту нормативну базу [2]. </w:t>
      </w:r>
    </w:p>
    <w:p w14:paraId="0608FF9F"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Це створило передумови для інтеграції медіації в судовий процес, слугуючи засобом для досягнення примирення між сторонами.</w:t>
      </w:r>
    </w:p>
    <w:p w14:paraId="2243255F"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Основним нормативно правовим актом є Закон України «Про медіацію» від 16 листопада 2021 року, який регламентує медіацію як позасудову, добровільну та конфіденційну процедуру вирішення конфліктів. Ця процедура охоплює різні сфери, зокрема цивільні, сімейні, трудові, господарські та адміністративні спори [2]</w:t>
      </w:r>
    </w:p>
    <w:p w14:paraId="04FD603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Закон охоплює конфлікти на будь-якому етапі: як до подання позову до суду, так і в процесі розгляду справи, незалежно від її цивільного чи виконавчого характеру, а також під час здійснення виконання судового рішення. </w:t>
      </w:r>
    </w:p>
    <w:p w14:paraId="0761DCE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Визначено базові принципи: добровільність, конфіденційність, нейтральність та кваліфікація медіаторів (навчання не менше 90 годин)​ [2].</w:t>
      </w:r>
    </w:p>
    <w:p w14:paraId="5063599C"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Варто відзначити, що закон визначив широкий спектр сфер застосування, охоплюючи досудове розслідування та адміністративні провадження щодо проступків. Однак наголошується, що сторони мають право самостійно вибирати медіацію [2]</w:t>
      </w:r>
    </w:p>
    <w:p w14:paraId="0E71A68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Відповідно до Закону України «Про медіацію», внесено зміни до процесуальних кодексів, зокрема Цивільного процесуального кодексу. Тепер цивільний процесуальний кодекс прямо вказує, що сторони мають можливість досягти примирення, включаючи використання медіації, на будь-якому етапі судового розгляду [2]. </w:t>
      </w:r>
    </w:p>
    <w:p w14:paraId="390DDE8F"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 підготовчому засіданні суд з’ясовує у сторін можливість укладення мирової угоди або проведення медіації. За наявності відповідного наміру, суд зупиняє провадження за клопотанням сторін [1]. </w:t>
      </w:r>
    </w:p>
    <w:p w14:paraId="641FEE2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судові процеси можуть бути призупинені для проведення спільних переговорів за участю медіатора. Законодавчо передбачено також процесуальне стимулювання: якщо сторони досягають мирової угоди у результаті медіації (що може включати відмову позивача від позову або визнання позову відповідачем), суд компенсує позивачу 60% від сплаченого судового збору [1].</w:t>
      </w:r>
    </w:p>
    <w:p w14:paraId="38008F69"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Важливим є встановлення правових гарантій: законодавець вказав, що особа не може виступати представником у суді, якщо вона виконувала роль медіатора у цьому ж спорі. Крім того, медіатор отримує імунітет від допиту як свідка щодо інформації, отриманої під час медіації. </w:t>
      </w:r>
    </w:p>
    <w:p w14:paraId="088A73EF"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Ці норми спрямовані на збереження нейтральності процедури. Водночас в урядових коментарях зазначають, що суддя не може виконувати роль медіатора – натомість у судовій системі застосовується інша процедура врегулювання за участю судді, коли суддя лише полегшує діалог сторін, але не робить пропозицій щодо угоди​ [3].</w:t>
      </w:r>
    </w:p>
    <w:p w14:paraId="428E418F"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В Україні процес впровадження медіації в судову систему наразі знаходиться на етапі становлення. З 2022 року суди почали активно реалізовувати нові положення щодо цього. На підготовчих засіданнях судді регулярно роз’яснюють учасникам про можливість досудового врегулювання спорів, і якщо сторони погоджуються, провадження тимчасово призупиняється [1]. </w:t>
      </w:r>
    </w:p>
    <w:p w14:paraId="6675EB7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 даними спостерігачів, кількість таких заявок поступово зростає, особливо в справах із сімейних і майнових спорів, де сторони прагнуть зберегти ділові чи особисті відносини.</w:t>
      </w:r>
    </w:p>
    <w:p w14:paraId="54D6BF8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Прикладом практичного застосування є ситуація, коли суд призупиняє розгляд на строк, необхідний для проведення медіації, а після досягнення домовленості виносить ухвалу про визнання мирової угоди. У таких випадках позивач отримує відшкодування у формі повернення 60 % судового збору​. </w:t>
      </w:r>
    </w:p>
    <w:p w14:paraId="4D7F21B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Судова практика також фіксує відмови у поверненні збору, якщо угода не оформлена відповідно до вимог закону про медіацію.</w:t>
      </w:r>
    </w:p>
    <w:p w14:paraId="213E6598"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Медіація є особливо дієвою у певних категоріях конфліктних ситуацій. Фахівці відзначають, що суперечки у сімейній сфері, а також конфлікти, пов'язані з дітьми, часто супроводжуються емоційною напругою. У таких випадках медіація надає можливість уникнути зайвої травматизації. Особливо популярною стає онлайн-медіація, яка набуває актуальності у транскордонних сімейних спорах, зокрема в умовах війни [1]. </w:t>
      </w:r>
    </w:p>
    <w:p w14:paraId="71CC3D7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Також бізнес-спори прагнуть відновити вигідні ділові зв’язки через конструктивні домовленості​. Натомість кримінальні та адміністративні справи в цивільному процесі не охоплені нормами медіації в ЦПК, тому в них застосовується традиційна процедура примирення сторін (наприклад, між потерпілим і підозрюваним), що по суті відрізняється від цивільної медіації.</w:t>
      </w:r>
    </w:p>
    <w:p w14:paraId="435E5EB0"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Аналітичні огляди фіксують, що в Україні використання медіації все ще не масове через низьку обізнаність сторін і фахівців. Разом із тим у країнах ЄС поширеність медіації набагато вища: за опитуванням 2020–2021 рр. 75–85 % справ, у яких застосовували медіацію, завершилися згодою сторін. Це свідчить про високу ефективність процедури [1]</w:t>
      </w:r>
    </w:p>
    <w:p w14:paraId="16634DCC" w14:textId="325DA8B1"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публікаціях суддів та правників наводяться ситуації, коли медіація допомогла сторонам врегулювати спір ще до розгляду по суті. Наприклад, у типовому цивільному спорі щодо боргу сторонам вдалося зустрітися із затвердженим медіатором і підписати мирову угоду. Суд, враховуючи цю угоду, виніс ухвалу про закриття провадження і повернення позивачу 60 % судового збору​ [1].</w:t>
      </w:r>
      <w:r w:rsidR="007B2628" w:rsidRPr="00511005">
        <w:rPr>
          <w:rFonts w:ascii="Arial" w:eastAsia="Times New Roman" w:hAnsi="Arial" w:cs="Arial"/>
          <w:szCs w:val="28"/>
          <w:lang w:val="uk-UA" w:eastAsia="uk-UA"/>
        </w:rPr>
        <w:t xml:space="preserve"> </w:t>
      </w:r>
    </w:p>
    <w:p w14:paraId="7AAC4600"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іншому випадку в сімейній справі із розділу майна подружжя, обидві сторони пройшли медіацію в суді та досягли компромісу; суд визнав цю угоду підставою для припинення позову й відмовив у задоволенні позову в </w:t>
      </w:r>
      <w:r w:rsidRPr="00511005">
        <w:rPr>
          <w:rFonts w:ascii="Arial" w:eastAsia="Times New Roman" w:hAnsi="Arial" w:cs="Arial"/>
          <w:szCs w:val="28"/>
          <w:lang w:val="uk-UA" w:eastAsia="uk-UA"/>
        </w:rPr>
        <w:lastRenderedPageBreak/>
        <w:t>повному обсязі. Хоча конкретні мотивувальні рішення судів наразі не публікуються масово, наведені приклади ілюструють, що законодавчі новели успішно впроваджуються на практиці.</w:t>
      </w:r>
    </w:p>
    <w:p w14:paraId="3E06655C"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Попри позитивні зрушення, у практичній площині залишаються певні перешкоди. Експерти вказують на недостатню обізнаність про медіацію серед суддів, адвокатів та залучених сторін; це може призводити до того, що процедура не завжди повноцінно висвітлюється, а її переваги залишаються недостатньо зрозумілими [3]. </w:t>
      </w:r>
    </w:p>
    <w:p w14:paraId="166B61E7"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багатьох регіонах спостерігається дефіцит кваліфікованих медіаторів, оскільки значна частина фахівців зосереджена переважно у великих містах. Крім того, культура звернення до медіації недостатньо розвинена: часто у цивільних суперечках сторони схильні відразу ж подавати до суду, не розглядаючи варіанти альтернативного врегулювання конфлікту [3]. </w:t>
      </w:r>
    </w:p>
    <w:p w14:paraId="3097887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Для подальшого розвитку «судової» медіації планується кілька кроків. Зокрема, вважають за доцільне створити при судах спеціальні центри або кімнати медіації і вести реєстри місцевих медіаторів [3] </w:t>
      </w:r>
    </w:p>
    <w:p w14:paraId="405B7495"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Обговорюється можливість запровадження обов’язкової інформаційної сесії з медіатором (інколи – «інформативної зустрічі») для певних категорій справ, що може підвищити обізнаність сторін. Експерти навіть пропонують визначити окремі види цивільних спорів, де медіація є пріоритетним (а можливо, обов’язковим) способом вирішення конфлікту​ [3]</w:t>
      </w:r>
    </w:p>
    <w:p w14:paraId="0F943DD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Поточна робота зосереджена на уточненні процесуальних гарантій, зокрема стосовно порядку фіксації угод, укладених під час медіації, та забезпечення захисту конфіденційності.</w:t>
      </w:r>
    </w:p>
    <w:p w14:paraId="45142B8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Загалом, як відзначають дослідники, ухвалення Закону України «Про медіацію» стало визначальною подією, що надало інституту медіації чіткий правовий статус. Водночас деякі його положення викликають дискусії і потребують удосконалення; автори наголошують, що ці моменти «потребують подальшого вирішення» і можуть впливати на успіх процедури медіації​. Майбутні тенденції судової медіації в Україні пов’язані з практичним впровадженням цієї процедури, підвищенням рівня кваліфікації медіаторів і юристів, а також адаптацією законодавства відповідно до вимог інтеграції в європейське правове середовище.</w:t>
      </w:r>
    </w:p>
    <w:p w14:paraId="31D7BC0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Узагальнюючи, можна відзначити, що судова медіація в Україні знаходиться на етапі активного розвитку. Законодавча база вже створена, і суди отримали механізми для залучення сторін до процесу медіації. Це вселяє надію на зменшення навантаження на суди та швидше вирішення цивільних спорів. Проте, ефективність судової медіації буде залежати від активного поширення інформації про процедуру та мотивації сторін. Позитивною тенденцією слід вважати запровадження фінансових стимулів, </w:t>
      </w:r>
      <w:r w:rsidRPr="00511005">
        <w:rPr>
          <w:rFonts w:ascii="Arial" w:eastAsia="Times New Roman" w:hAnsi="Arial" w:cs="Arial"/>
          <w:szCs w:val="28"/>
          <w:lang w:val="uk-UA" w:eastAsia="uk-UA"/>
        </w:rPr>
        <w:lastRenderedPageBreak/>
        <w:t>як-от повернення судового збору у випадку укладення мирової угоди через медіацію.</w:t>
      </w:r>
    </w:p>
    <w:p w14:paraId="3C544EE6" w14:textId="77777777" w:rsidR="005F048D" w:rsidRPr="00511005" w:rsidRDefault="005F048D" w:rsidP="003A292D">
      <w:pPr>
        <w:spacing w:line="264" w:lineRule="auto"/>
        <w:jc w:val="center"/>
        <w:rPr>
          <w:rFonts w:ascii="Arial" w:eastAsia="Times New Roman" w:hAnsi="Arial" w:cs="Arial"/>
          <w:szCs w:val="28"/>
          <w:lang w:val="uk-UA" w:eastAsia="uk-UA"/>
        </w:rPr>
      </w:pPr>
    </w:p>
    <w:p w14:paraId="0963B3E9" w14:textId="1A80909C" w:rsidR="005F048D" w:rsidRPr="00511005" w:rsidRDefault="007B2628" w:rsidP="007B2628">
      <w:pPr>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50F9A9C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Медіація в Україні: на порозі нового етапу розвитку. Проєкт ЄС Право-Justice. URL: </w:t>
      </w:r>
      <w:hyperlink r:id="rId1471">
        <w:r w:rsidRPr="00511005">
          <w:rPr>
            <w:rFonts w:ascii="Arial" w:eastAsia="Times New Roman" w:hAnsi="Arial" w:cs="Arial"/>
            <w:szCs w:val="28"/>
            <w:lang w:val="uk-UA" w:eastAsia="uk-UA"/>
          </w:rPr>
          <w:t>https://www.pravojustice.eu/ua/post/mediaciya-v-ukrayini-na-porozi-novogo-etapu-rozvitku</w:t>
        </w:r>
      </w:hyperlink>
      <w:r w:rsidRPr="00511005">
        <w:rPr>
          <w:rFonts w:ascii="Arial" w:eastAsia="Times New Roman" w:hAnsi="Arial" w:cs="Arial"/>
          <w:szCs w:val="28"/>
          <w:lang w:val="uk-UA" w:eastAsia="uk-UA"/>
        </w:rPr>
        <w:t xml:space="preserve"> </w:t>
      </w:r>
    </w:p>
    <w:p w14:paraId="14F29FE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2. Закон України «Про медіацію» : від 16.11.2021 р. № 1875-IX. URL: -</w:t>
      </w:r>
      <w:hyperlink r:id="rId1472">
        <w:r w:rsidRPr="00511005">
          <w:rPr>
            <w:rFonts w:ascii="Arial" w:eastAsia="Times New Roman" w:hAnsi="Arial" w:cs="Arial"/>
            <w:szCs w:val="28"/>
            <w:lang w:val="uk-UA" w:eastAsia="uk-UA"/>
          </w:rPr>
          <w:t>https://zakon.rada.gov.ua/laws/show/1875-20#Text</w:t>
        </w:r>
      </w:hyperlink>
      <w:r w:rsidRPr="00511005">
        <w:rPr>
          <w:rFonts w:ascii="Arial" w:eastAsia="Times New Roman" w:hAnsi="Arial" w:cs="Arial"/>
          <w:szCs w:val="28"/>
          <w:lang w:val="uk-UA" w:eastAsia="uk-UA"/>
        </w:rPr>
        <w:t xml:space="preserve"> </w:t>
      </w:r>
    </w:p>
    <w:p w14:paraId="0855C3EA" w14:textId="77777777" w:rsidR="007B2628"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 Медіація як альтернативний спосіб врегулювання спорів. Врегулювання спору за участю судді: суддя Максим Ходаківський. ADVOKAT POST Інформаційне агентство URL: https://advokatpost.com/mediatsiia iak alternatyvnyj sposib vrehuliuvannia-sporiv-vrehuliuvannia-sporu-za-uchastiu-suddi-suddia-maksym-khodakivskyj/ </w:t>
      </w:r>
    </w:p>
    <w:p w14:paraId="4D1619C7" w14:textId="3CC71EDB" w:rsidR="005F048D"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Судова медіація; альтернативне вирішення спорів; Цивільний процесуальний кодекс; процесуальні стимули; доступ до правосуддя.</w:t>
      </w:r>
    </w:p>
    <w:p w14:paraId="63E7BEE2" w14:textId="0CD106CF"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Judicial mediation, alternative dispute resolution (ADR), Civil procedure code, procedural incentives, access to justice.</w:t>
      </w:r>
    </w:p>
    <w:p w14:paraId="4C92CAE7" w14:textId="4F41B0A5" w:rsidR="005F048D"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Яніцька І. А.</w:t>
      </w:r>
    </w:p>
    <w:p w14:paraId="367EE1DA" w14:textId="77777777" w:rsidR="005F048D" w:rsidRPr="00511005" w:rsidRDefault="005F048D" w:rsidP="003A292D">
      <w:pPr>
        <w:spacing w:line="264" w:lineRule="auto"/>
        <w:ind w:firstLine="720"/>
        <w:jc w:val="center"/>
        <w:rPr>
          <w:rFonts w:ascii="Arial" w:eastAsia="Times New Roman" w:hAnsi="Arial" w:cs="Arial"/>
          <w:b/>
          <w:i/>
          <w:szCs w:val="28"/>
          <w:lang w:val="uk-UA" w:eastAsia="uk-UA"/>
        </w:rPr>
      </w:pPr>
    </w:p>
    <w:p w14:paraId="3CAB2B2F" w14:textId="77777777" w:rsidR="005F048D" w:rsidRPr="00511005" w:rsidRDefault="005F048D" w:rsidP="003A292D">
      <w:pPr>
        <w:spacing w:line="264" w:lineRule="auto"/>
        <w:ind w:firstLine="720"/>
        <w:jc w:val="center"/>
        <w:rPr>
          <w:rFonts w:ascii="Arial" w:eastAsia="Times New Roman" w:hAnsi="Arial" w:cs="Arial"/>
          <w:b/>
          <w:i/>
          <w:szCs w:val="28"/>
          <w:lang w:val="uk-UA" w:eastAsia="uk-UA"/>
        </w:rPr>
      </w:pPr>
    </w:p>
    <w:p w14:paraId="0DA46C64" w14:textId="77777777" w:rsidR="005F048D" w:rsidRPr="00511005" w:rsidRDefault="005F048D" w:rsidP="003A292D">
      <w:pPr>
        <w:spacing w:line="264" w:lineRule="auto"/>
        <w:ind w:firstLine="72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Петровський Володимир Володимирович</w:t>
      </w:r>
    </w:p>
    <w:p w14:paraId="77DEE249" w14:textId="725F0AF9" w:rsidR="005F048D" w:rsidRPr="00511005" w:rsidRDefault="00536AAB"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студент 1-го курсу магістратури</w:t>
      </w:r>
      <w:r w:rsidR="005F048D" w:rsidRPr="00511005">
        <w:rPr>
          <w:rFonts w:ascii="Arial" w:eastAsia="Times New Roman" w:hAnsi="Arial" w:cs="Arial"/>
          <w:i/>
          <w:szCs w:val="28"/>
          <w:lang w:val="uk-UA" w:eastAsia="uk-UA"/>
        </w:rPr>
        <w:t xml:space="preserve"> </w:t>
      </w:r>
    </w:p>
    <w:p w14:paraId="3C9BFFEF"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 xml:space="preserve">факультету цивільної та господарської юстиції </w:t>
      </w:r>
    </w:p>
    <w:p w14:paraId="47B63F94" w14:textId="74A2D16D" w:rsidR="005F048D" w:rsidRPr="00511005" w:rsidRDefault="007B2628"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Національного університету «Одеська юридична академія»</w:t>
      </w:r>
    </w:p>
    <w:p w14:paraId="35B1DCBE"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p>
    <w:p w14:paraId="6E851732" w14:textId="77777777" w:rsidR="007B2628"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szCs w:val="28"/>
          <w:lang w:val="uk-UA" w:eastAsia="uk-UA"/>
        </w:rPr>
        <w:t>ПРОЦЕСУАЛЬНІ СТРОКИ У ВОЄННИЙ ЧАС: ВІДНОВЛЕННЯ ТА БАЛАНС ПРИНЦИПУ ПРАВОВОЇ ВИЗНАЧЕНОСТІ</w:t>
      </w:r>
    </w:p>
    <w:p w14:paraId="387CA9CD" w14:textId="5D49AD2A"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Як відомо, воєнний стан, запроваджений 24 лютого 2022 року, не призвів до автоматичного «заморожування» процесуальних строків у цивільному судочинстві. Цивільний процесуальний кодекс України та Закон України «Про правовий режим воєнного стану» взагалі не містять норми про загальне їх зупинення. Така законодавча прогалина породила лавину заяв про поновлення строків і поставила перед судами завдання поєднати принцип правової визначеності з реальними обмеженнями доступу до правосуддя під час бойових дій [1; 2].</w:t>
      </w:r>
    </w:p>
    <w:p w14:paraId="218AF31E"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ab/>
        <w:t xml:space="preserve">Стаття 127 ЦПК передбачає, що суд поновлює пропущений строк лише за наявності «поважних причин», оцінюючи їх у кожній конкретній ситуації [1]. Жодна норма закону про воєнний стан не трансформує цього підходу у презумпцію чи загальне правило. Відтак, будь-які військові </w:t>
      </w:r>
      <w:r w:rsidRPr="00511005">
        <w:rPr>
          <w:rFonts w:ascii="Arial" w:eastAsia="Times New Roman" w:hAnsi="Arial" w:cs="Arial"/>
          <w:szCs w:val="28"/>
          <w:lang w:val="uk-UA" w:eastAsia="uk-UA"/>
        </w:rPr>
        <w:lastRenderedPageBreak/>
        <w:t>обставини лишилися суто оціночним фактором, а принцип визначеності фактично підміняється суддівським розсудом.</w:t>
      </w:r>
    </w:p>
    <w:p w14:paraId="6A9D90F9"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ab/>
        <w:t>Звертаючись до практики Верховного суду з цих питань, постанова КЦС ВС № 1013/9925/2012 від 22 березня 2023 року конкретизує, що для поновлення строку у разі його пропуску, заявник повинен надати документи, що прямо доводять вплив війни на можливість діяти у конкретний період, тобто довести наявність конкретної перешкоди [3]. Сам факт наявності воєнного стану не є поважною причиною для пропуску строків.</w:t>
      </w:r>
    </w:p>
    <w:p w14:paraId="39CFA0CF"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ab/>
        <w:t>За офіційним оглядом практики КЦС за 2024 рік, в низці справ судами поважними були визнані наступні орієнтири: фізична неможливість (через бойові дії, окупацію, евакуацію), участь у бойових діях або мобілізація, блокування електронних сервісів [4].</w:t>
      </w:r>
    </w:p>
    <w:p w14:paraId="6D5904CE"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ab/>
        <w:t>Попри окреслені орієнтири, різні палати ВС застосовують їх неоднаково. У постанові від 14 лютого 2024 року у справі № 466/8799/22 суд погодився, що тимчасова окупація Херсонщини є ipsofacto поважною причиною пропуску апеляційного строку [5]. Натомість у справі № 554/7669/21 24 червня 2024 року колегія відхилила доводи позивача, мотивуючи, що «загальні посилання на воєнний стан без конкретизації перешкод не можуть визнаватися поважними» [6]. Відмінність підходів підриває передбачуваність процесу та створює ризик для однаковості судової практики.</w:t>
      </w:r>
    </w:p>
    <w:p w14:paraId="0B1A4A5A"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ab/>
        <w:t>Питання доведення причинного зв’язку між війною й пропуском строку залишається проблемою також через прямі фізичні перешкоди. Адвокати змушені збирати довідки військових адміністрацій, акти ДСНС про руйнування житла, виписки з лікарень. На практиці отримати такі документи важко: органи влади часто евакуйовані, архіви втрачено, у прифронтових районах паперовий та електронний документообіг фактично паралізований. Отже, сторонам доводиться шукати альтернативні докази (фото- та відеофіксація руйнувань, дані з публічних карт боїв, свідчення сусідів), які суди приймають неохоче, тому що ЦПК прямо не регулює їх статусу.</w:t>
      </w:r>
    </w:p>
    <w:p w14:paraId="0AA30763"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ab/>
        <w:t>Перешкоду також являє фізична доставка кореспонденції, а саме коли вона переривається. Укрпошта неодноразово повністю зупиняла роботу дирекцій у зонах окупації чи інтенсивних обстрілів. Наприклад у Херсонській області з 1 липня 2022 року, через що учасник справи об’єктивно не міг ані отримати, ані відправити процесуальний документ.</w:t>
      </w:r>
    </w:p>
    <w:p w14:paraId="2B5F0648"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ab/>
        <w:t xml:space="preserve">Відповідно до вищевикладеного, наразі у науково-практичній літературі існує декілька моделей, спрямованих на вирішення наявних проблем. Провідну позицію займають автори, які вважають, що воєнний стан не створює жодної автоматичної пільги: заявник повинен довести конкретну, документально підтверджену перешкоду, а суд – оцінити її у світлі загальних критеріїв «поважності». Ґрунтовне обґрунтування такої формалістичної моделі дають О. Кочина та В. Кот, аналізуючи практику КЦС </w:t>
      </w:r>
      <w:r w:rsidRPr="00511005">
        <w:rPr>
          <w:rFonts w:ascii="Arial" w:eastAsia="Times New Roman" w:hAnsi="Arial" w:cs="Arial"/>
          <w:szCs w:val="28"/>
          <w:lang w:val="uk-UA" w:eastAsia="uk-UA"/>
        </w:rPr>
        <w:lastRenderedPageBreak/>
        <w:t>за 2022-2023 роки і висновок Великої Палати у справі № 199/8478/21 — тільки індивідуальна перевірка обставин забезпечує баланс між доступом до суду та принципом правової визначеності [7].</w:t>
      </w:r>
    </w:p>
    <w:p w14:paraId="7780BD2A"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ab/>
        <w:t>Друга нині найпоширеніша школа пропонує встановити початкову презумпцію поважності для всіх учасників, які підтвердили, що перебували в територіальних громадах, віднесених до зон активних бойових дій чи окупації. Така презумпція знижує витрати на збирання доказів, але водночас залишає опоненту можливість подати свої докази й довести протилежне [8].</w:t>
      </w:r>
    </w:p>
    <w:p w14:paraId="20E5D943"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ab/>
        <w:t>Найрадикальніший підхід пропонує повністю «заморозити» перебіг усіх процесуальних строків на час дії правового режиму воєнного стану, наслідуючи хорватський та «covid-мораторій» 2020 року. Концепцію докладно розроблено у розділі 4 колективної монографії «Проблеми здійснення та захисту цивільних прав в умовах воєнного стану». Автори аргументують, що лише законодавче «стоп-час» повністю усуне ризик процесуальної непередбачуваності для громадян у прифронтових регіонах [9].</w:t>
      </w:r>
    </w:p>
    <w:p w14:paraId="2CCCB37C"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ab/>
        <w:t>Таким чином, воєнний стан поставив перед цивільним судочинством подвійний виклик: з одного боку — зберегти правову визначеність строків, з іншого — гарантувати реальний доступ до правосуддя в умовах бойових дій, евакуації та технічних збоїв. Аналіз сучасної практики Верховного Суду та трьох конкуруючих наукових моделей (формалістичної, презумпційної та «заморожувальної») показує, що оптимальним є гібридний підхід: нормативно закріпити презумпцію поважності для учасників із прифронтових територій, залишивши опонентам можливість спростувати її поданням контрдоказів, і підтримати це рішеннями сучасного світу технологій. Така взаємодія юридичних і цифрових інструментів дозволить мінімізувати доказові витрати, підвищити передбачуваність процесу та водночас запобігти зловживанням, забезпечивши справедливий баланс між ефективністю правосуддя й захистом прав людини у воєнний період.</w:t>
      </w:r>
    </w:p>
    <w:p w14:paraId="440E7536" w14:textId="77777777" w:rsidR="005F048D" w:rsidRPr="00511005" w:rsidRDefault="005F048D" w:rsidP="003A292D">
      <w:pPr>
        <w:spacing w:line="264" w:lineRule="auto"/>
        <w:ind w:firstLine="0"/>
        <w:jc w:val="left"/>
        <w:rPr>
          <w:rFonts w:ascii="Arial" w:eastAsia="Times New Roman" w:hAnsi="Arial" w:cs="Arial"/>
          <w:b/>
          <w:szCs w:val="28"/>
          <w:lang w:val="uk-UA" w:eastAsia="uk-UA"/>
        </w:rPr>
      </w:pPr>
    </w:p>
    <w:p w14:paraId="26F90F36" w14:textId="77777777" w:rsidR="005F048D" w:rsidRPr="00511005" w:rsidRDefault="005F048D" w:rsidP="003A292D">
      <w:pPr>
        <w:spacing w:line="264" w:lineRule="auto"/>
        <w:ind w:firstLine="0"/>
        <w:jc w:val="left"/>
        <w:rPr>
          <w:rFonts w:ascii="Arial" w:eastAsia="Times New Roman" w:hAnsi="Arial" w:cs="Arial"/>
          <w:b/>
          <w:szCs w:val="28"/>
          <w:lang w:val="uk-UA" w:eastAsia="uk-UA"/>
        </w:rPr>
      </w:pPr>
    </w:p>
    <w:p w14:paraId="3BC94FC7" w14:textId="7BB753DA" w:rsidR="005F048D"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350651DF" w14:textId="77777777" w:rsidR="005F048D" w:rsidRPr="00511005" w:rsidRDefault="005F048D" w:rsidP="003F6A5D">
      <w:pPr>
        <w:numPr>
          <w:ilvl w:val="0"/>
          <w:numId w:val="38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Кодекс законів України. Цивільний процесуальний кодекс України : Закон від 18 березня 2004 року № 1618-IV. URL: </w:t>
      </w:r>
      <w:hyperlink r:id="rId1473">
        <w:r w:rsidRPr="00511005">
          <w:rPr>
            <w:rFonts w:ascii="Arial" w:eastAsia="Times New Roman" w:hAnsi="Arial" w:cs="Arial"/>
            <w:szCs w:val="28"/>
            <w:lang w:val="uk-UA" w:eastAsia="uk-UA"/>
          </w:rPr>
          <w:t>https://zakon.rada.gov.ua/go/1618-15</w:t>
        </w:r>
      </w:hyperlink>
      <w:r w:rsidRPr="00511005">
        <w:rPr>
          <w:rFonts w:ascii="Arial" w:eastAsia="Times New Roman" w:hAnsi="Arial" w:cs="Arial"/>
          <w:szCs w:val="28"/>
          <w:lang w:val="uk-UA" w:eastAsia="uk-UA"/>
        </w:rPr>
        <w:t xml:space="preserve"> (дата звернення: 04.05.2025).</w:t>
      </w:r>
    </w:p>
    <w:p w14:paraId="4E7FA3EA" w14:textId="77777777" w:rsidR="005F048D" w:rsidRPr="00511005" w:rsidRDefault="005F048D" w:rsidP="003F6A5D">
      <w:pPr>
        <w:numPr>
          <w:ilvl w:val="0"/>
          <w:numId w:val="38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Закон України «Про правовий режим воєнного стану» від 12 травня 2015 року № 389-VIII. URL: </w:t>
      </w:r>
      <w:hyperlink r:id="rId1474">
        <w:r w:rsidRPr="00511005">
          <w:rPr>
            <w:rFonts w:ascii="Arial" w:eastAsia="Times New Roman" w:hAnsi="Arial" w:cs="Arial"/>
            <w:szCs w:val="28"/>
            <w:lang w:val="uk-UA" w:eastAsia="uk-UA"/>
          </w:rPr>
          <w:t>https://zakon.rada.gov.ua/go/389-19</w:t>
        </w:r>
      </w:hyperlink>
      <w:r w:rsidRPr="00511005">
        <w:rPr>
          <w:rFonts w:ascii="Arial" w:eastAsia="Times New Roman" w:hAnsi="Arial" w:cs="Arial"/>
          <w:szCs w:val="28"/>
          <w:lang w:val="uk-UA" w:eastAsia="uk-UA"/>
        </w:rPr>
        <w:t xml:space="preserve"> (дата звернення: 04.05.2025).</w:t>
      </w:r>
    </w:p>
    <w:p w14:paraId="11C021ED" w14:textId="77777777" w:rsidR="005F048D" w:rsidRPr="00511005" w:rsidRDefault="005F048D" w:rsidP="003F6A5D">
      <w:pPr>
        <w:numPr>
          <w:ilvl w:val="0"/>
          <w:numId w:val="38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КЦС ВС. Постанова від 22 березня 2023 року у справі № 1013/9925/2012. URL: </w:t>
      </w:r>
      <w:hyperlink r:id="rId1475">
        <w:r w:rsidRPr="00511005">
          <w:rPr>
            <w:rFonts w:ascii="Arial" w:eastAsia="Times New Roman" w:hAnsi="Arial" w:cs="Arial"/>
            <w:szCs w:val="28"/>
            <w:lang w:val="uk-UA" w:eastAsia="uk-UA"/>
          </w:rPr>
          <w:t>https://reyestr.court.gov.ua</w:t>
        </w:r>
      </w:hyperlink>
      <w:r w:rsidRPr="00511005">
        <w:rPr>
          <w:rFonts w:ascii="Arial" w:eastAsia="Times New Roman" w:hAnsi="Arial" w:cs="Arial"/>
          <w:szCs w:val="28"/>
          <w:lang w:val="uk-UA" w:eastAsia="uk-UA"/>
        </w:rPr>
        <w:t xml:space="preserve"> (дата звернення: 04.05.2025).</w:t>
      </w:r>
    </w:p>
    <w:p w14:paraId="12E23361" w14:textId="77777777" w:rsidR="005F048D" w:rsidRPr="00511005" w:rsidRDefault="005F048D" w:rsidP="003F6A5D">
      <w:pPr>
        <w:numPr>
          <w:ilvl w:val="0"/>
          <w:numId w:val="38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КЦС ВС. Огляд судової практики за 2024 рік. Київ, 2025. URL: </w:t>
      </w:r>
      <w:hyperlink r:id="rId1476">
        <w:r w:rsidRPr="00511005">
          <w:rPr>
            <w:rFonts w:ascii="Arial" w:eastAsia="Times New Roman" w:hAnsi="Arial" w:cs="Arial"/>
            <w:szCs w:val="28"/>
            <w:lang w:val="uk-UA" w:eastAsia="uk-UA"/>
          </w:rPr>
          <w:t>https://supreme.court.gov.ua/userfiles/media/new_folder_for_uploads/supreme/ogliady/Oglyad_KCS_06_2024.pdf(дата</w:t>
        </w:r>
      </w:hyperlink>
      <w:r w:rsidRPr="00511005">
        <w:rPr>
          <w:rFonts w:ascii="Arial" w:eastAsia="Times New Roman" w:hAnsi="Arial" w:cs="Arial"/>
          <w:szCs w:val="28"/>
          <w:lang w:val="uk-UA" w:eastAsia="uk-UA"/>
        </w:rPr>
        <w:t xml:space="preserve"> звернення: 04.05.2025).</w:t>
      </w:r>
    </w:p>
    <w:p w14:paraId="0AD9BF26" w14:textId="77777777" w:rsidR="005F048D" w:rsidRPr="00511005" w:rsidRDefault="005F048D" w:rsidP="003F6A5D">
      <w:pPr>
        <w:numPr>
          <w:ilvl w:val="0"/>
          <w:numId w:val="38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КЦС ВС. Постанова від 14 лютого 2024 року у справі № 466/8799/22.URL: </w:t>
      </w:r>
      <w:hyperlink r:id="rId1477">
        <w:r w:rsidRPr="00511005">
          <w:rPr>
            <w:rFonts w:ascii="Arial" w:eastAsia="Times New Roman" w:hAnsi="Arial" w:cs="Arial"/>
            <w:szCs w:val="28"/>
            <w:lang w:val="uk-UA" w:eastAsia="uk-UA"/>
          </w:rPr>
          <w:t>https://reyestr.court.gov.ua/Review/117207052(дата</w:t>
        </w:r>
      </w:hyperlink>
      <w:r w:rsidRPr="00511005">
        <w:rPr>
          <w:rFonts w:ascii="Arial" w:eastAsia="Times New Roman" w:hAnsi="Arial" w:cs="Arial"/>
          <w:szCs w:val="28"/>
          <w:lang w:val="uk-UA" w:eastAsia="uk-UA"/>
        </w:rPr>
        <w:t xml:space="preserve"> звернення: 04.05.2025).</w:t>
      </w:r>
    </w:p>
    <w:p w14:paraId="5E86BD0A" w14:textId="77777777" w:rsidR="005F048D" w:rsidRPr="00511005" w:rsidRDefault="005F048D" w:rsidP="003F6A5D">
      <w:pPr>
        <w:numPr>
          <w:ilvl w:val="0"/>
          <w:numId w:val="38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КЦС ВС. Постанова від 24 червня 2024 року у справі № 554/7669/21.URL: </w:t>
      </w:r>
      <w:hyperlink r:id="rId1478">
        <w:r w:rsidRPr="00511005">
          <w:rPr>
            <w:rFonts w:ascii="Arial" w:eastAsia="Times New Roman" w:hAnsi="Arial" w:cs="Arial"/>
            <w:szCs w:val="28"/>
            <w:lang w:val="uk-UA" w:eastAsia="uk-UA"/>
          </w:rPr>
          <w:t>https://reyestr.court.gov.ua/Review/120029704(дата</w:t>
        </w:r>
      </w:hyperlink>
      <w:r w:rsidRPr="00511005">
        <w:rPr>
          <w:rFonts w:ascii="Arial" w:eastAsia="Times New Roman" w:hAnsi="Arial" w:cs="Arial"/>
          <w:szCs w:val="28"/>
          <w:lang w:val="uk-UA" w:eastAsia="uk-UA"/>
        </w:rPr>
        <w:t xml:space="preserve"> звернення: 04.05.2025).</w:t>
      </w:r>
    </w:p>
    <w:p w14:paraId="720F1739" w14:textId="77777777" w:rsidR="005F048D" w:rsidRPr="00511005" w:rsidRDefault="005F048D" w:rsidP="003F6A5D">
      <w:pPr>
        <w:numPr>
          <w:ilvl w:val="0"/>
          <w:numId w:val="38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Кочина О. С., Кот В. В. Застосування позовної давності в умовах воєнного стану // Аналітично-порівняльне правознавство. 2024. № 2. 215–223 с.</w:t>
      </w:r>
    </w:p>
    <w:p w14:paraId="47FAE9CE" w14:textId="77777777" w:rsidR="005F048D" w:rsidRPr="00511005" w:rsidRDefault="005F048D" w:rsidP="003F6A5D">
      <w:pPr>
        <w:numPr>
          <w:ilvl w:val="0"/>
          <w:numId w:val="38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Особливості здійснення цивільного судочинства в умовах воєнного стану // Юридичний науковий електронний журнал. 2024. № 5. 147–149 с.</w:t>
      </w:r>
    </w:p>
    <w:p w14:paraId="7FE866AA" w14:textId="77777777" w:rsidR="005F048D" w:rsidRPr="00511005" w:rsidRDefault="005F048D" w:rsidP="003F6A5D">
      <w:pPr>
        <w:numPr>
          <w:ilvl w:val="0"/>
          <w:numId w:val="380"/>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Проблеми здійснення та захисту цивільних прав в умовах воєнного стану : монографія / за ред. І. Ізарова. Одеса : Фенікс, 2023. 97-128 с.</w:t>
      </w:r>
    </w:p>
    <w:p w14:paraId="11B77801" w14:textId="77777777" w:rsidR="005F048D" w:rsidRPr="00511005" w:rsidRDefault="005F048D" w:rsidP="003A292D">
      <w:pPr>
        <w:tabs>
          <w:tab w:val="left" w:pos="993"/>
        </w:tabs>
        <w:spacing w:line="264" w:lineRule="auto"/>
        <w:ind w:left="851" w:firstLine="0"/>
        <w:rPr>
          <w:rFonts w:ascii="Arial" w:eastAsia="Times New Roman" w:hAnsi="Arial" w:cs="Arial"/>
          <w:szCs w:val="28"/>
          <w:lang w:val="uk-UA" w:eastAsia="uk-UA"/>
        </w:rPr>
      </w:pPr>
    </w:p>
    <w:p w14:paraId="468375BC" w14:textId="59FFB0DA"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доказ перешкоди, формалістичний підхід, передбачуваність правозастосування , цифрові інструменти правосуддя</w:t>
      </w:r>
    </w:p>
    <w:p w14:paraId="3C48900E" w14:textId="52ECEC21" w:rsidR="005F048D" w:rsidRPr="00511005" w:rsidRDefault="007B2628" w:rsidP="003A292D">
      <w:pPr>
        <w:tabs>
          <w:tab w:val="left" w:pos="993"/>
        </w:tabs>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 xml:space="preserve">proof of impediment , formalistic approach , judicial predictability, digital justice tools </w:t>
      </w:r>
    </w:p>
    <w:p w14:paraId="46CB2BFF" w14:textId="151AE1D9" w:rsidR="005F048D" w:rsidRPr="00511005" w:rsidRDefault="007B2628"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 xml:space="preserve">кандидат юридичних наук, доцент Іліопол І.М. </w:t>
      </w:r>
    </w:p>
    <w:p w14:paraId="7B63B757"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p>
    <w:p w14:paraId="3B7D7F6A"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p>
    <w:p w14:paraId="588DD442"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p>
    <w:p w14:paraId="5414BE25"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p>
    <w:p w14:paraId="3ACF66EF"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Омельченко Анна Сергіївна</w:t>
      </w:r>
    </w:p>
    <w:p w14:paraId="41ACC254" w14:textId="535E7EC8"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1-го курсу магістратури</w:t>
      </w:r>
      <w:r w:rsidR="005F048D" w:rsidRPr="00511005">
        <w:rPr>
          <w:rFonts w:ascii="Arial" w:eastAsia="Times New Roman" w:hAnsi="Arial" w:cs="Arial"/>
          <w:szCs w:val="28"/>
          <w:lang w:val="uk-UA" w:eastAsia="uk-UA"/>
        </w:rPr>
        <w:t xml:space="preserve"> </w:t>
      </w:r>
    </w:p>
    <w:p w14:paraId="1BA7F2C0" w14:textId="6C98471D" w:rsidR="005F048D" w:rsidRPr="00511005" w:rsidRDefault="001B7B25"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судового та міжнародного права</w:t>
      </w:r>
    </w:p>
    <w:p w14:paraId="2BA414F4" w14:textId="03C8C480" w:rsidR="007B2628"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64641113" w14:textId="02D7CB6F" w:rsidR="005F048D" w:rsidRPr="00511005" w:rsidRDefault="005F048D" w:rsidP="003A292D">
      <w:pPr>
        <w:spacing w:line="264" w:lineRule="auto"/>
        <w:ind w:firstLine="0"/>
        <w:jc w:val="center"/>
        <w:rPr>
          <w:rFonts w:ascii="Arial" w:eastAsia="Times New Roman" w:hAnsi="Arial" w:cs="Arial"/>
          <w:szCs w:val="28"/>
          <w:lang w:val="uk-UA" w:eastAsia="uk-UA"/>
        </w:rPr>
      </w:pPr>
    </w:p>
    <w:p w14:paraId="6DEFFE16"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ПРОБЛЕМНІ ПИТАННЯ УЧАСТІ ПРОКУРОРА В ЦИВІЛЬНОМУ ПРОЦЕСІ УКРАЇНИ</w:t>
      </w:r>
    </w:p>
    <w:p w14:paraId="2AF37952"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Конституційно-правова реформа 2016 року стала переломним етапом у розвитку правової системи України, істотно змінивши функцію прокуратури, зокрема в контексті її участі у цивільному процесі. Одним із ключових результатів реформи стало звуження повноважень прокуратури щодо права звертатися до суду в інтересах інших осіб, зокрема позбавлення їх правомочності щодо звернення до суду на захист інтересів фізичних осіб у цивільному процесі. Відтепер її участь обмежується виключно </w:t>
      </w:r>
      <w:r w:rsidRPr="00511005">
        <w:rPr>
          <w:rFonts w:ascii="Arial" w:eastAsia="Times New Roman" w:hAnsi="Arial" w:cs="Arial"/>
          <w:szCs w:val="28"/>
          <w:lang w:val="uk-UA" w:eastAsia="uk-UA"/>
        </w:rPr>
        <w:lastRenderedPageBreak/>
        <w:t>представництвом інтересів держави – лише у виключних випадках і в порядку, що визначені законом [1].</w:t>
      </w:r>
    </w:p>
    <w:p w14:paraId="598204D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Попри закріплені на конституційному рівні обмеження, низка нормативно-правових актів зберігає положення, що суперечать цим змінам. Зокрема, статті 23 та 24 Закону України «Про прокуратуру» все ще допускають участь прокурора у цивільному процесі задля захисту прав фізичних осіб. На вказаній проблемі акцентувала увагу Ю. І. Полюк, надавши конкретні пропозиції щодо зміни законодавства [2, с. 88, 89]. Однак законодавча неузгодженість зберігається й досі і проявляється як в нормах матеріального права, так і процесуального. Ярош І. С. зазначає, що така ситуація зумовлює колізію в законодавстві [3, с. 88]. Наявність взаємовиключних норм суперечить принципу правової визначеності, що є фундаментальною складовою принципу верховенства права. Невдалим є й вживання за законодавчому рівні конструкції «представництво інтересів» держави прокурором в суді. З аналізу норм ст. 56, 57 ЦПК України [4] вбачається, що законодавець відмовився від використання цієї конструкції замінивши її на «прокурор звертається до суду в інтересах держави». Такий підхід обґрунтовується необхідністю підтримання теоретичних засад цивільного процесуального права та уникнення змішування сутності процесуально-правового статусу представника та прокурора, що недопустимо оскільки прокурор лише виконує окремі функції щодо представництва і як суб’єкт цивільних процесуальних правовідносин входить до складу учасників справи, тоді як представники виокремлюються власною групою «представники».</w:t>
      </w:r>
    </w:p>
    <w:p w14:paraId="6C00CC4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Особливої актуальності набуває проблема відсутності єдиного підходу судової практики щодо оцінки підстав для участі прокурора у цивільному процесі. Зокрема, суди часто по-різному трактують такі критерії, як «виключність випадку» чи «ефективність захисту» інтересів держави відповідними органами. Це призводить до непослідовного правозастосування і формує судову практику, що залежить більше від розсуду суду, аніж від чітко визначених нормативних положень. Унаслідок цього прокурори змушені діяти в умовах нормативної невизначеності, що, з одного боку, знижує ефективність захисту публічного інтересу, а з іншого — підвищує ризики визнання їхніх дій незаконними. Вирішення цієї проблеми потребує законодавчого уточнення змісту і меж застосування понять «виключний випадок» та «неналежне здійснення захисту», з обов’язковим урахуванням практики Верховного Суду та позицій Конституційного Суду України.</w:t>
      </w:r>
    </w:p>
    <w:p w14:paraId="75AA8D25"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Однією з підстав, що належать до категорії «виключних випадків», є невиконання або неналежне виконання своїх функцій органом, на який покладено обов’язок захисту інтересів держави. Поняття «нездійснення захисту» охоплює пасивну позицію відповідного суб’єкта, який, попри </w:t>
      </w:r>
      <w:r w:rsidRPr="00511005">
        <w:rPr>
          <w:rFonts w:ascii="Arial" w:eastAsia="Times New Roman" w:hAnsi="Arial" w:cs="Arial"/>
          <w:szCs w:val="28"/>
          <w:lang w:val="uk-UA" w:eastAsia="uk-UA"/>
        </w:rPr>
        <w:lastRenderedPageBreak/>
        <w:t>наявність інформації про порушення інтересів держави та наявні юридичні важелі для реагування, з невідомих або необґрунтованих причин не звертається до суду. У цьому випадку прокурор може втрутитися, реалізуючи свою субсидіарну функцію – забезпечення дієвого захисту публічного інтересу.</w:t>
      </w:r>
    </w:p>
    <w:p w14:paraId="2AF5C94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У свою чергу, «неналежне здійснення захисту» означає, що дії органу влади хоча й спрямовані на захист інтересів держави, але порушують норми закону або не відповідають критеріям ефективності. Визначення того, чи є захист неналежним, здійснюється з урахуванням передбачених законом процедур — починаючи з встановлення фактів порушення публічного інтересу і завершуючи вибором відповідного способу захисту. Загалом обов’язок захисту інтересів держави покладається на органи державної влади або місцевого самоврядування, які мають відповідні повноваження. Прокурор може замінити їх у цьому лише в разі бездіяльності або неналежного виконання обов’язків. У подібних випадках прокурор зобов’язаний надати аргументацію причин свого втручання, а суд — перевірити обґрунтованість такої позиції та наявність умов, що унеможливлюють ефективний захист публічного інтересу з боку основного суб’єкта.</w:t>
      </w:r>
    </w:p>
    <w:p w14:paraId="3237F7AC"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У цьому контексті вартим уваги є науковий підхід, згідно з яким факти неналежного здійснення захисту інтересів держави органами влади не можуть самі по собі становити підставу для реалізації прокурором функції представництва в суді. Такий підхід аргументується тим, що контроль за діяльністю органів публічної адміністрації, включаючи належне виконання ними представницьких функцій, має здійснюватися органами вищого рівня. Прокуратура ж не повинна підміняти контрольні або наглядові функції органів вищого рівня. У продовження цієї думки в літературі обґрунтовано висловлюється теза, що вживання формулювання «неналежним чином здійснюють» як підстави для прокурорського представництва є оціночним і фактично надає прокурору контрольні повноваження, що суперечить його субсидіарній ролі. З огляду на це, пропонується вилучити зазначену підставу з нормативного регулювання як таку, що створює правову невизначеність у реалізації повноважень прокуратури [5, с. 80].</w:t>
      </w:r>
    </w:p>
    <w:p w14:paraId="28254885"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Іншим «виключним випадком», коли прокурор може здійснювати представництво інтересів держави, є відсутність визначеного законом органу, уповноваженого на захист інтересів держави у конкретній сфері. Така ситуація виникає, коли законодавство не передбачає чітко визначеного суб’єкта, уповноваженого діяти від імені держави для захисту відповідного публічного інтересу. У цьому разі втручання прокурора є не лише правомірним, а й необхідним для забезпечення справедливості та дотримання принципу верховенства права. Прокурор реалізує представницькі повноваження з метою недопущення порушення або </w:t>
      </w:r>
      <w:r w:rsidRPr="00511005">
        <w:rPr>
          <w:rFonts w:ascii="Arial" w:eastAsia="Times New Roman" w:hAnsi="Arial" w:cs="Arial"/>
          <w:szCs w:val="28"/>
          <w:lang w:val="uk-UA" w:eastAsia="uk-UA"/>
        </w:rPr>
        <w:lastRenderedPageBreak/>
        <w:t>усунення вже наявного порушення публічного інтересу, виступаючи фактично єдиним суб’єктом, спроможним ініціювати відповідний судовий процес. У цьому випадку прокурор має процесуальний статус позивача. Виступаючи як позивач, прокурор повинен довести у позовній заяві факт відсутності компетентного органу, а також обґрунтувати наявність порушення інтересів держави.</w:t>
      </w:r>
    </w:p>
    <w:p w14:paraId="395BD14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Чинне процесуальне законодавство не передбачає чітко визначених правових механізмів притягнення прокурора до відповідальності у випадках подання ним завідомо безпідставного позову або ініціювання участі у цивільній справі за відсутності належних підстав. Така неврегульованість створює ризики зловживання процесуальними правами, в окремих випадках може бути використана в політичних чи корпоративних інтересах, а також потенційно підриває суспільну довіру до прокуратури як інституту, покликаного захищати інтереси держави.</w:t>
      </w:r>
    </w:p>
    <w:p w14:paraId="1278B57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Слушною є також пропозиція Н. О. Сидоренко внести зміни до Цивільного процесуального кодексу України з метою запровадження механізму відводу прокурора. Така ініціатива зумовлена тим, що прокурор у цивільному процесі може бути зацікавленою особою, що здатна діяти упереджено або необ’єктивно [6, с. 108].</w:t>
      </w:r>
    </w:p>
    <w:p w14:paraId="3BD73954"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судова реформа 2016 року значно обмежила роль прокуратури в цивільному процесі, що, однак, не знайшло належного відображення в ряді законодавчих актів. Наявність суперечливих норм ускладнює правозастосування, створює правову невизначеність і ставить під сумнів ефективність захисту інтересів держави. Особливої уваги потребує практика застосування так званих «виключних випадків» представництва інтересів держави прокурором, адже відсутність чітких критеріїв щодо встановлення фактів «нездійснення» або «неналежного здійснення» захисту органами публічної влади відкриває простір для зловживань або довільного тлумачення. У зв’язку з цим, доцільним є удосконалення законодавства у напрямі усунення внутрішніх суперечностей, чіткого визначення підстав прокурорського представництва в цивільному процесі та встановлення гарантій від зловживань, зокрема шляхом передбачення можливості відводу прокурора. Такий підхід забезпечить вищий рівень правової визначеності та зміцнить інституційну довіру до прокуратури.</w:t>
      </w:r>
    </w:p>
    <w:p w14:paraId="4ABF18D7" w14:textId="2A2FA619" w:rsidR="005F048D" w:rsidRPr="00511005" w:rsidRDefault="007B2628" w:rsidP="007B2628">
      <w:pPr>
        <w:spacing w:line="264" w:lineRule="auto"/>
        <w:ind w:firstLine="851"/>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2028DB55" w14:textId="77777777" w:rsidR="005F048D" w:rsidRPr="00511005" w:rsidRDefault="005F048D" w:rsidP="003F6A5D">
      <w:pPr>
        <w:numPr>
          <w:ilvl w:val="0"/>
          <w:numId w:val="387"/>
        </w:numPr>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Конституція України: Конституція, Закон від 28.06.1996 № 254к/96-ВР. Дата оновлення: 01.01.2020. URL: </w:t>
      </w:r>
      <w:hyperlink r:id="rId1479">
        <w:r w:rsidRPr="00511005">
          <w:rPr>
            <w:rFonts w:ascii="Arial" w:eastAsia="Times New Roman" w:hAnsi="Arial" w:cs="Arial"/>
            <w:szCs w:val="28"/>
            <w:lang w:val="uk-UA" w:eastAsia="uk-UA"/>
          </w:rPr>
          <w:t>http://zakon3.rada.gov.ua/laws/show/254%D0%BA/96-%D0%B2%D1%80</w:t>
        </w:r>
      </w:hyperlink>
      <w:r w:rsidRPr="00511005">
        <w:rPr>
          <w:rFonts w:ascii="Arial" w:eastAsia="Times New Roman" w:hAnsi="Arial" w:cs="Arial"/>
          <w:szCs w:val="28"/>
          <w:lang w:val="uk-UA" w:eastAsia="uk-UA"/>
        </w:rPr>
        <w:t xml:space="preserve"> </w:t>
      </w:r>
    </w:p>
    <w:p w14:paraId="5A72FC95" w14:textId="77777777" w:rsidR="005F048D" w:rsidRPr="00511005" w:rsidRDefault="005F048D" w:rsidP="003F6A5D">
      <w:pPr>
        <w:numPr>
          <w:ilvl w:val="0"/>
          <w:numId w:val="387"/>
        </w:numPr>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Полюк Ю.І. Право на звернення до суду за захистом порушених, невизнаних або оспорюваних прав за цивільним процесуальним законодавством України: дис. ... канд. юрид. наук: 12.00.03. Одеса, 2019. </w:t>
      </w:r>
      <w:r w:rsidRPr="00511005">
        <w:rPr>
          <w:rFonts w:ascii="Arial" w:eastAsia="Times New Roman" w:hAnsi="Arial" w:cs="Arial"/>
          <w:szCs w:val="28"/>
          <w:lang w:val="uk-UA" w:eastAsia="uk-UA"/>
        </w:rPr>
        <w:lastRenderedPageBreak/>
        <w:t xml:space="preserve">239 с. URL: </w:t>
      </w:r>
      <w:hyperlink r:id="rId1480">
        <w:r w:rsidRPr="00511005">
          <w:rPr>
            <w:rFonts w:ascii="Arial" w:eastAsia="Times New Roman" w:hAnsi="Arial" w:cs="Arial"/>
            <w:szCs w:val="28"/>
            <w:lang w:val="uk-UA" w:eastAsia="uk-UA"/>
          </w:rPr>
          <w:t>https://dspace.onua.edu.ua/server/api/core/bitstreams/ab32aaaa-ecf5-47dd-9a9a-1b2d4a977a0e/content</w:t>
        </w:r>
      </w:hyperlink>
      <w:r w:rsidRPr="00511005">
        <w:rPr>
          <w:rFonts w:ascii="Arial" w:eastAsia="Times New Roman" w:hAnsi="Arial" w:cs="Arial"/>
          <w:szCs w:val="28"/>
          <w:lang w:val="uk-UA" w:eastAsia="uk-UA"/>
        </w:rPr>
        <w:t xml:space="preserve"> </w:t>
      </w:r>
    </w:p>
    <w:p w14:paraId="0850BC85" w14:textId="77777777" w:rsidR="005F048D" w:rsidRPr="00511005" w:rsidRDefault="005F048D" w:rsidP="003F6A5D">
      <w:pPr>
        <w:numPr>
          <w:ilvl w:val="0"/>
          <w:numId w:val="387"/>
        </w:numPr>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Ярош І. С. Колізії щодо участі прокурора в цивільному процесі. Наукові записки НаУКМА. Юридичні науки. 2021. Т. 7. С. 87–95. </w:t>
      </w:r>
    </w:p>
    <w:p w14:paraId="1C5CEC5F" w14:textId="77777777" w:rsidR="005F048D" w:rsidRPr="00511005" w:rsidRDefault="005F048D" w:rsidP="003F6A5D">
      <w:pPr>
        <w:numPr>
          <w:ilvl w:val="0"/>
          <w:numId w:val="387"/>
        </w:numPr>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Закон України від 18.03.2004 р. № 1618-IV. URL: </w:t>
      </w:r>
      <w:hyperlink r:id="rId1481" w:anchor="Text">
        <w:r w:rsidRPr="00511005">
          <w:rPr>
            <w:rFonts w:ascii="Arial" w:eastAsia="Times New Roman" w:hAnsi="Arial" w:cs="Arial"/>
            <w:szCs w:val="28"/>
            <w:lang w:val="uk-UA" w:eastAsia="uk-UA"/>
          </w:rPr>
          <w:t>https://zakon.rada.gov.ua/laws/show/1618-15#Text</w:t>
        </w:r>
      </w:hyperlink>
      <w:r w:rsidRPr="00511005">
        <w:rPr>
          <w:rFonts w:ascii="Arial" w:eastAsia="Times New Roman" w:hAnsi="Arial" w:cs="Arial"/>
          <w:szCs w:val="28"/>
          <w:lang w:val="uk-UA" w:eastAsia="uk-UA"/>
        </w:rPr>
        <w:t xml:space="preserve"> (дата звернення: 29.04.2025).</w:t>
      </w:r>
    </w:p>
    <w:p w14:paraId="33E4B8E0" w14:textId="77777777" w:rsidR="005F048D" w:rsidRPr="00511005" w:rsidRDefault="005F048D" w:rsidP="003F6A5D">
      <w:pPr>
        <w:numPr>
          <w:ilvl w:val="0"/>
          <w:numId w:val="387"/>
        </w:numPr>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Гузе К. Неналежне здійснення суб’єктом владних повноважень захисту інтересів держави як підстава реалізації прокурором функціі представництва в суді: теоретико-прикладний аспект. Юридичний науковий електронний журнал. 2020. № 4. С. 78–81.</w:t>
      </w:r>
    </w:p>
    <w:p w14:paraId="1F84259E" w14:textId="77777777" w:rsidR="007B2628" w:rsidRPr="00511005" w:rsidRDefault="005F048D" w:rsidP="003F6A5D">
      <w:pPr>
        <w:numPr>
          <w:ilvl w:val="0"/>
          <w:numId w:val="387"/>
        </w:numPr>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Сидоренко Н. О. Проблеми правового регулювання участі прокурора у цивільному процесі. Науковий вісник Ужгородського національного університету. Серія: Право. 2022. Вип. 73(1). С. 104–111. </w:t>
      </w:r>
    </w:p>
    <w:p w14:paraId="416B84B6" w14:textId="50C48DE3" w:rsidR="005F048D" w:rsidRPr="00511005" w:rsidRDefault="005F048D" w:rsidP="003A292D">
      <w:pPr>
        <w:spacing w:line="264" w:lineRule="auto"/>
        <w:ind w:firstLine="851"/>
        <w:rPr>
          <w:rFonts w:ascii="Arial" w:eastAsia="Times New Roman" w:hAnsi="Arial" w:cs="Arial"/>
          <w:szCs w:val="28"/>
          <w:lang w:val="uk-UA" w:eastAsia="uk-UA"/>
        </w:rPr>
      </w:pPr>
    </w:p>
    <w:p w14:paraId="54CF226B" w14:textId="7BE1221C"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цивільний процес, прокуратура, представництво інтересів держави, виключні випадки, правова невизначеність.</w:t>
      </w:r>
    </w:p>
    <w:p w14:paraId="296836B8" w14:textId="32DAD597"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civil procedure, prosecutor's office,</w:t>
      </w:r>
      <w:r w:rsidRPr="00511005">
        <w:rPr>
          <w:rFonts w:ascii="Arial" w:eastAsia="Times New Roman" w:hAnsi="Arial" w:cs="Arial"/>
          <w:szCs w:val="28"/>
          <w:lang w:val="uk-UA" w:eastAsia="uk-UA"/>
        </w:rPr>
        <w:t xml:space="preserve"> </w:t>
      </w:r>
      <w:r w:rsidR="005F048D" w:rsidRPr="00511005">
        <w:rPr>
          <w:rFonts w:ascii="Arial" w:eastAsia="Times New Roman" w:hAnsi="Arial" w:cs="Arial"/>
          <w:szCs w:val="28"/>
          <w:lang w:val="uk-UA" w:eastAsia="uk-UA"/>
        </w:rPr>
        <w:t>representation of state interests,</w:t>
      </w:r>
      <w:r w:rsidRPr="00511005">
        <w:rPr>
          <w:rFonts w:ascii="Arial" w:eastAsia="Times New Roman" w:hAnsi="Arial" w:cs="Arial"/>
          <w:szCs w:val="28"/>
          <w:lang w:val="uk-UA" w:eastAsia="uk-UA"/>
        </w:rPr>
        <w:t xml:space="preserve"> </w:t>
      </w:r>
      <w:r w:rsidR="005F048D" w:rsidRPr="00511005">
        <w:rPr>
          <w:rFonts w:ascii="Arial" w:eastAsia="Times New Roman" w:hAnsi="Arial" w:cs="Arial"/>
          <w:szCs w:val="28"/>
          <w:lang w:val="uk-UA" w:eastAsia="uk-UA"/>
        </w:rPr>
        <w:t>exceptional cases,</w:t>
      </w:r>
      <w:r w:rsidRPr="00511005">
        <w:rPr>
          <w:rFonts w:ascii="Arial" w:eastAsia="Times New Roman" w:hAnsi="Arial" w:cs="Arial"/>
          <w:szCs w:val="28"/>
          <w:lang w:val="uk-UA" w:eastAsia="uk-UA"/>
        </w:rPr>
        <w:t xml:space="preserve"> </w:t>
      </w:r>
      <w:r w:rsidR="005F048D" w:rsidRPr="00511005">
        <w:rPr>
          <w:rFonts w:ascii="Arial" w:eastAsia="Times New Roman" w:hAnsi="Arial" w:cs="Arial"/>
          <w:szCs w:val="28"/>
          <w:lang w:val="uk-UA" w:eastAsia="uk-UA"/>
        </w:rPr>
        <w:t>legal uncertainty.</w:t>
      </w:r>
    </w:p>
    <w:p w14:paraId="1E07EE23" w14:textId="7C74CDB1"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Полюк Ю.І.</w:t>
      </w:r>
    </w:p>
    <w:p w14:paraId="31477E85"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1ECD8AF0" w14:textId="77777777" w:rsidR="005F048D" w:rsidRPr="00511005" w:rsidRDefault="005F048D" w:rsidP="003A292D">
      <w:pPr>
        <w:keepNext/>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Путята Віталій Олегович</w:t>
      </w:r>
    </w:p>
    <w:p w14:paraId="4E57CBC3" w14:textId="626202B9"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 1-го курсу магістратури</w:t>
      </w:r>
      <w:r w:rsidR="005F048D" w:rsidRPr="00511005">
        <w:rPr>
          <w:rFonts w:ascii="Arial" w:eastAsia="Times New Roman" w:hAnsi="Arial" w:cs="Arial"/>
          <w:szCs w:val="28"/>
          <w:lang w:val="uk-UA" w:eastAsia="uk-UA"/>
        </w:rPr>
        <w:t xml:space="preserve"> </w:t>
      </w:r>
    </w:p>
    <w:p w14:paraId="1930E8FC" w14:textId="1F1582E6"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цивільної та господарської юстиції</w:t>
      </w:r>
      <w:r w:rsidRPr="00511005">
        <w:rPr>
          <w:rFonts w:ascii="Arial" w:eastAsia="Times New Roman" w:hAnsi="Arial" w:cs="Arial"/>
          <w:szCs w:val="28"/>
          <w:lang w:val="uk-UA" w:eastAsia="uk-UA"/>
        </w:rPr>
        <w:br/>
      </w:r>
      <w:r w:rsidR="007B2628" w:rsidRPr="00511005">
        <w:rPr>
          <w:rFonts w:ascii="Arial" w:eastAsia="Times New Roman" w:hAnsi="Arial" w:cs="Arial"/>
          <w:szCs w:val="28"/>
          <w:lang w:val="uk-UA" w:eastAsia="uk-UA"/>
        </w:rPr>
        <w:t>Національного університету «Одеська юридична академія»</w:t>
      </w:r>
    </w:p>
    <w:p w14:paraId="0466C9AB"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p>
    <w:p w14:paraId="7653487C" w14:textId="77777777" w:rsidR="005F048D" w:rsidRPr="00511005" w:rsidRDefault="005F048D" w:rsidP="003A292D">
      <w:pPr>
        <w:tabs>
          <w:tab w:val="left" w:pos="0"/>
        </w:tabs>
        <w:spacing w:line="264" w:lineRule="auto"/>
        <w:ind w:firstLine="284"/>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ПРОБЛЕМА ОБРАННЯ ПОЗИВАЧЕМ ЕФЕКТИВНОГО СПОСОБУ ЗАХИСТУ. ПРОЦЕСУАЛЬНІ НАСЛІДКИ ОБРАННЯ НЕЕФЕКТИВНОГО СПОСОБУ ЗАХИСТУ</w:t>
      </w:r>
    </w:p>
    <w:p w14:paraId="7410B30E"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p>
    <w:p w14:paraId="3FB22396"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Право на судовий захист, закріплене статтею 55 Конституції України, є дієвим лише тоді, коли воно не тільки формально закріплює можливість судового захисту, а забезпечує ефективне поновлення порушених прав. Центральною проблемою на шляху до цього є вибір позивачем належного та ефективного способу захисту. Адже помилка може призвести до відмови у задоволенні позову, навіть за доведеності факту порушення права, що нівелює зусилля сторін та затягує процес [1].</w:t>
      </w:r>
    </w:p>
    <w:p w14:paraId="300C02F1"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Актуальність дослідження визначається необхідністю забезпечення єдності та передбачуваності судової практики, підвищення довіри до суду та ефективності правосуддя, особливо в умовах зростання кількості спорів у воєнний та післявоєнний періоди. </w:t>
      </w:r>
    </w:p>
    <w:p w14:paraId="57D99C09"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Метою дослідженняє аналіз критеріїв ефективного способу захисту, типових помилок при його обранні та процесуальних наслідків на основі законодавства і практики Верховного Суду (ВС).</w:t>
      </w:r>
    </w:p>
    <w:p w14:paraId="5243DFDB"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Спосіб захисту (ст. 16 ЦК України) – це передбачений законом чи договором засіб, спрямований на припинення порушення чи відновлення права [2]. Стаття 5 ЦПК України наголошує на необхідності застосування судом саме ефективного способу [3]. Судова практика розрізняє належний (передбачений нормою для конкретного порушення) та ефективний (здатний реально відновити право та бути виконаним) спосіб захисту [4, 5].</w:t>
      </w:r>
    </w:p>
    <w:p w14:paraId="10EFC58E"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Водночас роль суду обмежена принципом диспозитивності: суд оцінює обраний позивачем спосіб, алене може самостійно його змінити чи обрати інший, навіть якщо вважає його більш доцільним. Це покладає основну відповідальність на позивача. Аналіз ґрунтується на нормах ЦК, ЦПК України, правових висновках ВС та працях науковців, що досліджували цю проблематику [4, 5, 6].</w:t>
      </w:r>
    </w:p>
    <w:p w14:paraId="597A88C3"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Вибір ефективного способу захисту вимагає від позивача врахування низки критеріїв, визначених законодавством та судовою практикою. Ключовим є відповідність обраного способу суті порушеного права та характеру правовідносин. Не менш важливим є те, щоб спосіб був передбачений законом або договором (ст. 16 ЦК, ст. 5 ЦПК), хоча застосування "іншого способу" можливе за умови його обґрунтованої ефективность.</w:t>
      </w:r>
    </w:p>
    <w:p w14:paraId="4CDD992D"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Критерій ефективності охоплює здатність способу захисту реально відновити порушене право та можливість примусового виконання судового рішення. Спосіб, що лише констатує порушення без реального поновлення права, або рішення за яким неможливо виконати, не може вважатися ефективним [4, 5].</w:t>
      </w:r>
    </w:p>
    <w:p w14:paraId="6C4A223F"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Аналіз практики Верховного Суду свідчить про типові помилки при обранні способу захисту, що призводять до відмови в позові. Часто це неправильна кваліфікація правовідносин, як-от подання позову про визнання права власності замість віндикаційного; вимога визнати недійсним нікчемний правочин; оскарження лише похідних актів без оскарження первинного юридичного факту; спроби кредитора визнати недійсними договори боржника з третіми особами (крім фраудаторних).</w:t>
      </w:r>
    </w:p>
    <w:p w14:paraId="7310AEFD"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Найсуттєвішим процесуальним наслідком обрання неналежного чи неефективного способу захисту є відмова суду у задоволенні позову саме з цієї підстави [4]. Суд при вирішенні справи по суті (ст. 263-264 ЦПК) оцінює обраний позивачем спосіб і, встановивши його невідповідність, відмовляє в позові. Важливо, що це не є підставою для відмови у відкритті провадження чи залишення позову без розгляду (ст. 186, 257 ЦПК), адже це питання суті спору. Роль суду у виправленні помилки позивача обмежена принципом </w:t>
      </w:r>
      <w:r w:rsidRPr="00511005">
        <w:rPr>
          <w:rFonts w:ascii="Arial" w:eastAsia="Times New Roman" w:hAnsi="Arial" w:cs="Arial"/>
          <w:szCs w:val="28"/>
          <w:lang w:val="uk-UA" w:eastAsia="uk-UA"/>
        </w:rPr>
        <w:lastRenderedPageBreak/>
        <w:t>диспозитивності, а сам підхід обґрунтовується також міркуваннями процесуальної економії [3].</w:t>
      </w:r>
    </w:p>
    <w:p w14:paraId="62161386"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Отже, вибір належного та ефективного способу захисту є фундаментальною передумовою для реалізації права на судовий захист та дієвого поновлення порушених прав. Неправильний вибір способу несе значні ризики для позивача, оскільки усталена практика Верховного Суду розглядає обрання неналежного або неефективного способу як самостійну підставу для відмови у задоволенні позову.</w:t>
      </w:r>
    </w:p>
    <w:p w14:paraId="03F7E003"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Такий підхід покладає значну відповідальність на позивача та його представника за ретельний аналіз обставин справи, норм матеріального права та актуальної судової практики ще до звернення до суду. Обмежена можливість суду коригувати обраний спосіб захисту через дію принципу диспозитивності лише підсилює важливість правильної юридичної кваліфікації спору та формулювання позовних вимог стороною.</w:t>
      </w:r>
    </w:p>
    <w:p w14:paraId="57598EE2" w14:textId="77777777" w:rsidR="005F048D" w:rsidRPr="00511005" w:rsidRDefault="005F048D" w:rsidP="003A292D">
      <w:pPr>
        <w:tabs>
          <w:tab w:val="left" w:pos="0"/>
        </w:tabs>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Необхідність забезпечення ефективності правосуддя вимагає від учасників процесу відповідального ставлення до обрання способів захисту. Подальшого вивчення потребують питання практичного застосування судами норми ч. 2 ст. 5 ЦПК щодо можливості визначення іншого ефективного способу, а також специфіка захисту прав у складних умовах, зокрема, під час дії воєнного стану.</w:t>
      </w:r>
    </w:p>
    <w:p w14:paraId="21CB4BFF" w14:textId="77777777" w:rsidR="005F048D" w:rsidRPr="00511005" w:rsidRDefault="005F048D" w:rsidP="003A292D">
      <w:pPr>
        <w:tabs>
          <w:tab w:val="left" w:pos="0"/>
        </w:tabs>
        <w:spacing w:line="264" w:lineRule="auto"/>
        <w:ind w:firstLine="284"/>
        <w:jc w:val="left"/>
        <w:rPr>
          <w:rFonts w:ascii="Arial" w:eastAsia="Times New Roman" w:hAnsi="Arial" w:cs="Arial"/>
          <w:szCs w:val="28"/>
          <w:lang w:val="uk-UA" w:eastAsia="uk-UA"/>
        </w:rPr>
      </w:pPr>
    </w:p>
    <w:p w14:paraId="0F2F2B97" w14:textId="09664F75" w:rsidR="005F048D" w:rsidRPr="00511005" w:rsidRDefault="007B2628" w:rsidP="007B2628">
      <w:pPr>
        <w:tabs>
          <w:tab w:val="left" w:pos="0"/>
        </w:tabs>
        <w:spacing w:line="264" w:lineRule="auto"/>
        <w:ind w:firstLine="284"/>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1FA7EAF1" w14:textId="77777777" w:rsidR="005F048D" w:rsidRPr="00511005" w:rsidRDefault="005F048D" w:rsidP="003F6A5D">
      <w:pPr>
        <w:numPr>
          <w:ilvl w:val="0"/>
          <w:numId w:val="365"/>
        </w:numPr>
        <w:tabs>
          <w:tab w:val="left" w:pos="426"/>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Конституція України: Закон України від 28.06.1996 № 254к/96-ВР. Відомості Верховної Ради України. 1996. № 30. Ст. 141.</w:t>
      </w:r>
    </w:p>
    <w:p w14:paraId="07ECE40A" w14:textId="77777777" w:rsidR="005F048D" w:rsidRPr="00511005" w:rsidRDefault="005F048D" w:rsidP="003F6A5D">
      <w:pPr>
        <w:numPr>
          <w:ilvl w:val="0"/>
          <w:numId w:val="365"/>
        </w:numPr>
        <w:tabs>
          <w:tab w:val="left" w:pos="426"/>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кодекс України: Закон України від 16.01.2003 № 435-IV. Відомості Верховної Ради України. 2003. № 40-44. Ст. 356.</w:t>
      </w:r>
    </w:p>
    <w:p w14:paraId="25F507DC" w14:textId="77777777" w:rsidR="005F048D" w:rsidRPr="00511005" w:rsidRDefault="005F048D" w:rsidP="003F6A5D">
      <w:pPr>
        <w:numPr>
          <w:ilvl w:val="0"/>
          <w:numId w:val="365"/>
        </w:numPr>
        <w:tabs>
          <w:tab w:val="left" w:pos="426"/>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Закон України від 18.03.2004 № 1618-IV. Відомості Верховної Ради України. 2004. № 40-42. Ст. 492.</w:t>
      </w:r>
    </w:p>
    <w:p w14:paraId="443B4D8D" w14:textId="77777777" w:rsidR="005F048D" w:rsidRPr="00511005" w:rsidRDefault="005F048D" w:rsidP="003F6A5D">
      <w:pPr>
        <w:numPr>
          <w:ilvl w:val="0"/>
          <w:numId w:val="365"/>
        </w:numPr>
        <w:tabs>
          <w:tab w:val="left" w:pos="426"/>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Постанова Великої Палати Верховного Суду від 05.06.2018 у справі № 338/180/17 (провадження № 14-144цс18). Єдиний державний реєстр судових рішень. URL: </w:t>
      </w:r>
      <w:hyperlink r:id="rId1482">
        <w:r w:rsidRPr="00511005">
          <w:rPr>
            <w:rFonts w:ascii="Arial" w:eastAsia="Times New Roman" w:hAnsi="Arial" w:cs="Arial"/>
            <w:szCs w:val="28"/>
            <w:lang w:val="uk-UA" w:eastAsia="uk-UA"/>
          </w:rPr>
          <w:t>https://reyestr.court.gov.ua/Review/74622906</w:t>
        </w:r>
      </w:hyperlink>
      <w:r w:rsidRPr="00511005">
        <w:rPr>
          <w:rFonts w:ascii="Arial" w:eastAsia="Times New Roman" w:hAnsi="Arial" w:cs="Arial"/>
          <w:szCs w:val="28"/>
          <w:lang w:val="uk-UA" w:eastAsia="uk-UA"/>
        </w:rPr>
        <w:t xml:space="preserve"> (дата звернення: 14.04.2025). </w:t>
      </w:r>
    </w:p>
    <w:p w14:paraId="321AF0C4" w14:textId="77777777" w:rsidR="005F048D" w:rsidRPr="00511005" w:rsidRDefault="005F048D" w:rsidP="003F6A5D">
      <w:pPr>
        <w:numPr>
          <w:ilvl w:val="0"/>
          <w:numId w:val="365"/>
        </w:numPr>
        <w:tabs>
          <w:tab w:val="left" w:pos="426"/>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Постанова Великої Палати Верховного Суду від 06.04.2021 у справі № 910/10011/19 (провадження № 12-84гс20). Єдиний державний реєстр судових рішень. URL: </w:t>
      </w:r>
      <w:hyperlink r:id="rId1483">
        <w:r w:rsidRPr="00511005">
          <w:rPr>
            <w:rFonts w:ascii="Arial" w:eastAsia="Times New Roman" w:hAnsi="Arial" w:cs="Arial"/>
            <w:szCs w:val="28"/>
            <w:lang w:val="uk-UA" w:eastAsia="uk-UA"/>
          </w:rPr>
          <w:t>https://reyestr.court.gov.ua/Review/96410260</w:t>
        </w:r>
      </w:hyperlink>
      <w:r w:rsidRPr="00511005">
        <w:rPr>
          <w:rFonts w:ascii="Arial" w:eastAsia="Times New Roman" w:hAnsi="Arial" w:cs="Arial"/>
          <w:szCs w:val="28"/>
          <w:lang w:val="uk-UA" w:eastAsia="uk-UA"/>
        </w:rPr>
        <w:t xml:space="preserve"> (дата звернення: 14.04.2025).</w:t>
      </w:r>
    </w:p>
    <w:p w14:paraId="4E93612D" w14:textId="77777777" w:rsidR="005F048D" w:rsidRPr="00511005" w:rsidRDefault="005F048D" w:rsidP="003F6A5D">
      <w:pPr>
        <w:numPr>
          <w:ilvl w:val="0"/>
          <w:numId w:val="365"/>
        </w:numPr>
        <w:tabs>
          <w:tab w:val="left" w:pos="426"/>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Колісник О.В. Проблеми визначення ефективних способів захисту цивільних прав. Юридичний науковий електронний журнал. 2023. № 10. С. 200–203. URL: </w:t>
      </w:r>
      <w:hyperlink r:id="rId1484">
        <w:r w:rsidRPr="00511005">
          <w:rPr>
            <w:rFonts w:ascii="Arial" w:eastAsia="Times New Roman" w:hAnsi="Arial" w:cs="Arial"/>
            <w:szCs w:val="28"/>
            <w:lang w:val="uk-UA" w:eastAsia="uk-UA"/>
          </w:rPr>
          <w:t>http://www.lsej.org.ua/10_2023/46.pdf</w:t>
        </w:r>
      </w:hyperlink>
      <w:r w:rsidRPr="00511005">
        <w:rPr>
          <w:rFonts w:ascii="Arial" w:eastAsia="Times New Roman" w:hAnsi="Arial" w:cs="Arial"/>
          <w:szCs w:val="28"/>
          <w:lang w:val="uk-UA" w:eastAsia="uk-UA"/>
        </w:rPr>
        <w:t xml:space="preserve"> (дата звернення: 14.04.2025). </w:t>
      </w:r>
    </w:p>
    <w:p w14:paraId="0703CA40" w14:textId="54A15C43" w:rsidR="005F048D" w:rsidRPr="00511005" w:rsidRDefault="007B2628" w:rsidP="003A292D">
      <w:pPr>
        <w:tabs>
          <w:tab w:val="left" w:pos="0"/>
        </w:tabs>
        <w:spacing w:line="264" w:lineRule="auto"/>
        <w:ind w:firstLine="284"/>
        <w:rPr>
          <w:rFonts w:ascii="Arial" w:eastAsia="Times New Roman" w:hAnsi="Arial" w:cs="Arial"/>
          <w:szCs w:val="28"/>
          <w:lang w:val="uk-UA" w:eastAsia="uk-UA"/>
        </w:rPr>
      </w:pPr>
      <w:r w:rsidRPr="00511005">
        <w:rPr>
          <w:rFonts w:ascii="Arial" w:eastAsia="Times New Roman" w:hAnsi="Arial" w:cs="Arial"/>
          <w:b/>
          <w:i/>
          <w:szCs w:val="28"/>
          <w:lang w:val="uk-UA" w:eastAsia="uk-UA"/>
        </w:rPr>
        <w:lastRenderedPageBreak/>
        <w:t xml:space="preserve">Ключові слова: </w:t>
      </w:r>
      <w:r w:rsidR="005F048D" w:rsidRPr="00511005">
        <w:rPr>
          <w:rFonts w:ascii="Arial" w:eastAsia="Times New Roman" w:hAnsi="Arial" w:cs="Arial"/>
          <w:szCs w:val="28"/>
          <w:lang w:val="uk-UA" w:eastAsia="uk-UA"/>
        </w:rPr>
        <w:t>спосіб захисту, ефективність судового захисту, належний спосіб захисту, цивільне право, цивільний процес, Верховний Суд, відмова у позові, принцип диспозитивності.</w:t>
      </w:r>
    </w:p>
    <w:p w14:paraId="3772B6FE" w14:textId="70BEDC0A" w:rsidR="005F048D" w:rsidRPr="00511005" w:rsidRDefault="007B2628" w:rsidP="003A292D">
      <w:pPr>
        <w:tabs>
          <w:tab w:val="left" w:pos="0"/>
        </w:tabs>
        <w:spacing w:line="264" w:lineRule="auto"/>
        <w:ind w:firstLine="284"/>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method of protection, effectiveness of judicial protection, proper method of protection, civil law, civil procedure, Supreme Court, dismissal of a claim, principle of party disposition.</w:t>
      </w:r>
    </w:p>
    <w:p w14:paraId="46E2FB86" w14:textId="3C6DC99C" w:rsidR="005F048D" w:rsidRPr="00511005" w:rsidRDefault="007B2628" w:rsidP="003A292D">
      <w:pPr>
        <w:spacing w:line="264" w:lineRule="auto"/>
        <w:ind w:firstLine="284"/>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Іліопол І.М.</w:t>
      </w:r>
    </w:p>
    <w:p w14:paraId="0CD827F0" w14:textId="77777777" w:rsidR="005F048D" w:rsidRPr="00511005" w:rsidRDefault="005F048D" w:rsidP="003A292D">
      <w:pPr>
        <w:keepNext/>
        <w:spacing w:line="264" w:lineRule="auto"/>
        <w:ind w:firstLine="0"/>
        <w:jc w:val="left"/>
        <w:rPr>
          <w:rFonts w:ascii="Arial" w:eastAsia="Times New Roman" w:hAnsi="Arial" w:cs="Arial"/>
          <w:b/>
          <w:i/>
          <w:szCs w:val="28"/>
          <w:lang w:val="uk-UA" w:eastAsia="uk-UA"/>
        </w:rPr>
      </w:pPr>
    </w:p>
    <w:p w14:paraId="5B80D703" w14:textId="77777777" w:rsidR="005F048D" w:rsidRPr="00511005" w:rsidRDefault="005F048D" w:rsidP="003A292D">
      <w:pPr>
        <w:keepNext/>
        <w:spacing w:line="264" w:lineRule="auto"/>
        <w:ind w:firstLine="0"/>
        <w:jc w:val="left"/>
        <w:rPr>
          <w:rFonts w:ascii="Arial" w:eastAsia="Times New Roman" w:hAnsi="Arial" w:cs="Arial"/>
          <w:b/>
          <w:i/>
          <w:szCs w:val="28"/>
          <w:lang w:val="uk-UA" w:eastAsia="uk-UA"/>
        </w:rPr>
      </w:pPr>
    </w:p>
    <w:p w14:paraId="78C56A19" w14:textId="77777777" w:rsidR="005F048D" w:rsidRPr="00511005" w:rsidRDefault="005F048D" w:rsidP="003A292D">
      <w:pPr>
        <w:keepNext/>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Римська Дар’я Михайлівна</w:t>
      </w:r>
    </w:p>
    <w:p w14:paraId="48844362" w14:textId="77777777" w:rsidR="005F048D" w:rsidRPr="00511005" w:rsidRDefault="005F048D" w:rsidP="003A292D">
      <w:pPr>
        <w:keepNext/>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1-го курсу </w:t>
      </w:r>
    </w:p>
    <w:p w14:paraId="1519DBA6" w14:textId="455DF3D3" w:rsidR="005F048D" w:rsidRPr="00511005" w:rsidRDefault="005F048D" w:rsidP="003A292D">
      <w:pPr>
        <w:keepNext/>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факультету цивільної та господарської юстиції</w:t>
      </w:r>
      <w:r w:rsidRPr="00511005">
        <w:rPr>
          <w:rFonts w:ascii="Arial" w:eastAsia="Times New Roman" w:hAnsi="Arial" w:cs="Arial"/>
          <w:szCs w:val="28"/>
          <w:lang w:val="uk-UA" w:eastAsia="uk-UA"/>
        </w:rPr>
        <w:br/>
      </w:r>
      <w:r w:rsidR="007B2628" w:rsidRPr="00511005">
        <w:rPr>
          <w:rFonts w:ascii="Arial" w:eastAsia="Times New Roman" w:hAnsi="Arial" w:cs="Arial"/>
          <w:szCs w:val="28"/>
          <w:lang w:val="uk-UA" w:eastAsia="uk-UA"/>
        </w:rPr>
        <w:t>Національного університету «Одеська юридична академія»</w:t>
      </w:r>
    </w:p>
    <w:p w14:paraId="1C0C2901" w14:textId="77777777" w:rsidR="005F048D" w:rsidRPr="00511005" w:rsidRDefault="005F048D" w:rsidP="003A292D">
      <w:pPr>
        <w:keepNext/>
        <w:spacing w:line="264" w:lineRule="auto"/>
        <w:ind w:firstLine="0"/>
        <w:jc w:val="center"/>
        <w:rPr>
          <w:rFonts w:ascii="Arial" w:eastAsia="Times New Roman" w:hAnsi="Arial" w:cs="Arial"/>
          <w:b/>
          <w:szCs w:val="28"/>
          <w:lang w:val="uk-UA" w:eastAsia="uk-UA"/>
        </w:rPr>
      </w:pPr>
    </w:p>
    <w:p w14:paraId="198DB999" w14:textId="77777777" w:rsidR="005F048D" w:rsidRPr="00511005" w:rsidRDefault="005F048D" w:rsidP="003A292D">
      <w:pPr>
        <w:keepNext/>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ВІДНОВЛЕННЯ ВТРАЧЕНИХ СУДОВИХ ПРОВАДЖЕНЬ У ЦИВІЛЬНИХ СПРАВАХ: ПРОБЛЕМИ ПРАКТИКИ ВОЄННОГО ЧАСУ</w:t>
      </w:r>
    </w:p>
    <w:p w14:paraId="6D15D8D4" w14:textId="77777777" w:rsidR="005F048D" w:rsidRPr="00511005" w:rsidRDefault="005F048D"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Згідно з усталеною практикою Європейського суду з прав людини, виконання судового рішення становить органічну частину процесу судочинства. Процес судочинства не може бути порушеним, зокрема у випадках, коли рішення суду неможливо виконати через втрату матеріалів самого провадження У таких обставинах одним із ключових механізмів захисту прав учасників судового процесу є відновлення втраченого судового провадження.</w:t>
      </w:r>
    </w:p>
    <w:p w14:paraId="7A2C2A55" w14:textId="77777777" w:rsidR="005F048D" w:rsidRPr="00511005" w:rsidRDefault="005F048D"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Окупація значної частини території України з 24 лютого 2022 року призвела до істотних перешкод у пересуванні населення, транспортному сполученні та поштовому зв’язку. Це, своєю чергою, стало причиною втрати судових справ, зокрема цивільних, внаслідок захоплення територій, руйнування та пошкодження будівель судових установ. Проте чинне цивільне процесуальне законодавство не містить дієвого механізму відновлення втрачених таким чином матеріалів. У зв'язку з цим актуалізується потреба вдосконалити процедуру відновлення втраченого судового провадження, оскільки наявне правове регулювання, передбачене статтями 488 і 490 Цивільного процесуального кодексу України (далі - ЦПКУ) [1], є обмеженим.</w:t>
      </w:r>
    </w:p>
    <w:p w14:paraId="0B60FFAF" w14:textId="77777777" w:rsidR="005F048D" w:rsidRPr="00511005" w:rsidRDefault="005F048D"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Розділ Х ЦПКУ визначає нормативну процедуру відновлення втраченого судового провадження. Водночас її застосування до випадків втрати справ під час збройної агресії Російської Федерації викликає суттєві сумніви. Так, стаття 488 ЦПКУ дозволяє відновлення тільки тих проваджень, які були завершені ухваленням рішення або закриттям справи. Отже, чинна </w:t>
      </w:r>
      <w:r w:rsidRPr="00511005">
        <w:rPr>
          <w:rFonts w:ascii="Arial" w:eastAsia="Times New Roman" w:hAnsi="Arial" w:cs="Arial"/>
          <w:szCs w:val="28"/>
          <w:lang w:val="uk-UA" w:eastAsia="uk-UA"/>
        </w:rPr>
        <w:lastRenderedPageBreak/>
        <w:t>норма не охоплює ситуації втрати справи на стадії її розгляду по суті або в інших випадках, не передбачених законодавством.</w:t>
      </w:r>
    </w:p>
    <w:p w14:paraId="233D9958" w14:textId="77777777" w:rsidR="005F048D" w:rsidRPr="00511005" w:rsidRDefault="005F048D"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Додаткову проблему становить питання підсудності заяв про відновлення втраченого провадження. Згідно з статтею 490 ЦПКУ, заява подається до суду, який розглядав справу в першій інстанції. Проте в умовах воєнного стану, коли територіальна підсудність може бути змінена відповідно до частини 7 статті 147 Закону України "Про судоустрій і статус суддів" [2], виникає необхідність законодавчого уточнення правил підсудності. Варто звернути увагу, рішення про зміну підсудності ухвалює Вища рада правосуддя за поданням Голови Верховного Суду, а у випадку неможливості — Голова Верховного Суду своїм розпорядженням. Таке рішення є підставою для передачі всіх справ, що перебували у провадженні суду, який втратив можливість здійснювати правосуддя.</w:t>
      </w:r>
    </w:p>
    <w:p w14:paraId="0D30845D" w14:textId="77777777" w:rsidR="005F048D" w:rsidRPr="00511005" w:rsidRDefault="005F048D"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У контексті вдосконалення процедури доцільно також скасувати підставу для відмови у відкритті провадження про відновлення втраченого судового провадження, передбачену пунктом 1 частини 4 статті 492 ЦПКУ. Йдеться про випадки втрати матеріалів справи до завершення її розгляду і винесення рішення, що на сьогодні унеможливлює їхнє відновлення.</w:t>
      </w:r>
    </w:p>
    <w:p w14:paraId="19528A87" w14:textId="77777777" w:rsidR="005F048D" w:rsidRPr="00511005" w:rsidRDefault="005F048D"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Розгляд цивільних справ в умовах окупації невіддільно пов'язаний із необхідністю гнучкого підходу до використання доказів. Це питання було висвітлене в науковій публікації Гусарова К.В. щодо визнання фактів народження або смерті на тимчасово окупованих територіях за окремою процедурою [5]. Складність полягає в тому, що документи, видані органами або особами на окупованих територіях, за загальним правилом не мають юридичної сили відповідно до статті 9 Закону України "Про забезпечення прав і свобод громадян та правовий режим на тимчасово окупованій території України" [3]. Попри це, у виняткових випадках суди визнають допустимими окремі документи (наприклад, медичні свідоцтва про народження або смерть), якщо вони підтверджуються іншими належними доказами у справі [6]. Це дозволяє забезпечити реалізацію основних прав громадян, зокрема права на реєстрацію народження або смерті. </w:t>
      </w:r>
    </w:p>
    <w:p w14:paraId="0E990D00" w14:textId="77777777" w:rsidR="005F048D" w:rsidRPr="00511005" w:rsidRDefault="005F048D"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Разом із тим, згідно з частиною 3 статті 2 Закону України "Про особливості державної політики із забезпечення державного суверенітету України на тимчасово окупованих територіях у Донецькій та Луганській областях" [4], діяльність збройних формувань та окупаційної адміністрації визнається незаконною, а будь-які документи, видані в результаті такої діяльності, не створюють правових наслідків. Виняток становлять лише документи, що підтверджують факти народження або смерті на тимчасово окупованих територіях і використовуються для цілей державної реєстрації. </w:t>
      </w:r>
      <w:r w:rsidRPr="00511005">
        <w:rPr>
          <w:rFonts w:ascii="Arial" w:eastAsia="Times New Roman" w:hAnsi="Arial" w:cs="Arial"/>
          <w:szCs w:val="28"/>
          <w:lang w:val="uk-UA" w:eastAsia="uk-UA"/>
        </w:rPr>
        <w:lastRenderedPageBreak/>
        <w:t>Отже, питання доказування в умовах війни потребує особливого підходу та нормативного врегулювання для належного захисту прав громадян.</w:t>
      </w:r>
    </w:p>
    <w:p w14:paraId="20947612" w14:textId="77777777" w:rsidR="005F048D" w:rsidRPr="00511005" w:rsidRDefault="005F048D"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У разі втрати матеріалів незавершеного судового провадження особа має звертатися до суду з новим позовом. При цьому на нову позовну заяву не поширюється дія пункту 3 частини першої статті 186 ЦПКУ щодо відмови у відкритті провадження у справі через наявність у провадженні суду справи між тими самими сторонами, з того самого предмету і з тих самих підстав, оскільки втрачене судове провадження вже фактично вибуло з процесуального обігу і не перебуває у провадженні суду. У новій позовній заяві доцільно посилатися на факт втрати судового провадження із зазначенням номера справи відповідно до відомостей, що містяться в Єдиному державному реєстрі судових рішень [7].</w:t>
      </w:r>
    </w:p>
    <w:p w14:paraId="7A82456F" w14:textId="77777777" w:rsidR="005F048D" w:rsidRPr="00511005" w:rsidRDefault="005F048D"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оскільки інститут відновлення втраченого судового провадження спрямований не на вирішення питань суб’єктивних матеріальних прав і обов’язків, а виключно на відновлення порушених процесуальних прав, які постраждали внаслідок втрати матеріалів справи, законодавець логічно виключив можливість відновлення судових проваджень, втрачених до ухвалення судового рішення по суті спору. Така регламентація зумовлена тим, що особа не позбавлена процесуальної можливості захисту свого права чи інтересу шляхом звернення до суду з новим позовом.</w:t>
      </w:r>
    </w:p>
    <w:p w14:paraId="72AEBCAA" w14:textId="77777777" w:rsidR="005F048D" w:rsidRPr="00511005" w:rsidRDefault="005F048D"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Отже, системне нормативне врегулювання питання втрати судових проваджень є об’єктивно необхідним для забезпечення належної ефективності цивільного процесу, сприятиме утвердженню принципів доступності та справедливості судочинства. В умовах масштабних руйнувань внаслідок збройної агресії та втрати значної кількості судових матеріалів юридичній спільноті доведеться зіткнутися з масштабною необхідністю відновлення втрачених проваджень. Проте завдяки існуванню Єдиного державного реєстру судових рішень та інших офіційних реєстрів така діяльність є цілком можливою, хоча і надзвичайно складною.</w:t>
      </w:r>
    </w:p>
    <w:p w14:paraId="3488C403" w14:textId="77777777" w:rsidR="005F048D" w:rsidRPr="00511005" w:rsidRDefault="005F048D" w:rsidP="003A292D">
      <w:pPr>
        <w:keepNext/>
        <w:spacing w:line="264" w:lineRule="auto"/>
        <w:ind w:firstLine="851"/>
        <w:rPr>
          <w:rFonts w:ascii="Arial" w:eastAsia="Times New Roman" w:hAnsi="Arial" w:cs="Arial"/>
          <w:szCs w:val="28"/>
          <w:lang w:val="uk-UA" w:eastAsia="uk-UA"/>
        </w:rPr>
      </w:pPr>
    </w:p>
    <w:p w14:paraId="7DD48379" w14:textId="4FCFEB3D" w:rsidR="005F048D" w:rsidRPr="00511005" w:rsidRDefault="007B2628" w:rsidP="007B2628">
      <w:pPr>
        <w:keepNext/>
        <w:spacing w:line="264" w:lineRule="auto"/>
        <w:ind w:firstLine="851"/>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5CC4B7BC" w14:textId="77777777" w:rsidR="005F048D" w:rsidRPr="00511005" w:rsidRDefault="005F048D" w:rsidP="003F6A5D">
      <w:pPr>
        <w:numPr>
          <w:ilvl w:val="0"/>
          <w:numId w:val="35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Цивільний процесуальний кодекс України від 18.03.2004 № 1618-IV URL:-</w:t>
      </w:r>
      <w:hyperlink r:id="rId1485">
        <w:r w:rsidRPr="00511005">
          <w:rPr>
            <w:rFonts w:ascii="Arial" w:eastAsia="Times New Roman" w:hAnsi="Arial" w:cs="Arial"/>
            <w:szCs w:val="28"/>
            <w:lang w:val="uk-UA" w:eastAsia="uk-UA"/>
          </w:rPr>
          <w:t>15"https://zakon.rada.gov.ua/laws/show/1618-15#Text</w:t>
        </w:r>
      </w:hyperlink>
      <w:r w:rsidRPr="00511005">
        <w:rPr>
          <w:rFonts w:ascii="Arial" w:eastAsia="Times New Roman" w:hAnsi="Arial" w:cs="Arial"/>
          <w:szCs w:val="28"/>
          <w:lang w:val="uk-UA" w:eastAsia="uk-UA"/>
        </w:rPr>
        <w:t xml:space="preserve"> (дата звернення 27.04.2025)</w:t>
      </w:r>
    </w:p>
    <w:p w14:paraId="01C98E07" w14:textId="77777777" w:rsidR="005F048D" w:rsidRPr="00511005" w:rsidRDefault="005F048D" w:rsidP="003F6A5D">
      <w:pPr>
        <w:numPr>
          <w:ilvl w:val="0"/>
          <w:numId w:val="35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Закон України «Про судоустрій і статус суддів» від 02.06.2016 № 1402-VIII URL:-</w:t>
      </w:r>
      <w:hyperlink r:id="rId1486">
        <w:r w:rsidRPr="00511005">
          <w:rPr>
            <w:rFonts w:ascii="Arial" w:eastAsia="Times New Roman" w:hAnsi="Arial" w:cs="Arial"/>
            <w:szCs w:val="28"/>
            <w:lang w:val="uk-UA" w:eastAsia="uk-UA"/>
          </w:rPr>
          <w:t>19"https://zakon.rada.gov.ua/laws/show/1402-19#Text</w:t>
        </w:r>
      </w:hyperlink>
      <w:r w:rsidRPr="00511005">
        <w:rPr>
          <w:rFonts w:ascii="Arial" w:eastAsia="Times New Roman" w:hAnsi="Arial" w:cs="Arial"/>
          <w:szCs w:val="28"/>
          <w:lang w:val="uk-UA" w:eastAsia="uk-UA"/>
        </w:rPr>
        <w:t xml:space="preserve"> (дата звернення 27.04.2025)</w:t>
      </w:r>
    </w:p>
    <w:p w14:paraId="2C5A5725" w14:textId="77777777" w:rsidR="005F048D" w:rsidRPr="00511005" w:rsidRDefault="005F048D" w:rsidP="003F6A5D">
      <w:pPr>
        <w:numPr>
          <w:ilvl w:val="0"/>
          <w:numId w:val="35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Закон України «Про забезпечення прав і свобод громадян та правовий режим на тимчасово окупованій території України» від 15.04.2014 № 1207-VII URL:-</w:t>
      </w:r>
      <w:hyperlink r:id="rId1487">
        <w:r w:rsidRPr="00511005">
          <w:rPr>
            <w:rFonts w:ascii="Arial" w:eastAsia="Times New Roman" w:hAnsi="Arial" w:cs="Arial"/>
            <w:szCs w:val="28"/>
            <w:lang w:val="uk-UA" w:eastAsia="uk-UA"/>
          </w:rPr>
          <w:t>18"https://zakon.rada.gov.ua/laws/show/1207-18#Text</w:t>
        </w:r>
      </w:hyperlink>
      <w:r w:rsidRPr="00511005">
        <w:rPr>
          <w:rFonts w:ascii="Arial" w:eastAsia="Times New Roman" w:hAnsi="Arial" w:cs="Arial"/>
          <w:szCs w:val="28"/>
          <w:lang w:val="uk-UA" w:eastAsia="uk-UA"/>
        </w:rPr>
        <w:t xml:space="preserve"> (дата звернення 27.04.2025)</w:t>
      </w:r>
    </w:p>
    <w:p w14:paraId="20CDED8E" w14:textId="77777777" w:rsidR="005F048D" w:rsidRPr="00511005" w:rsidRDefault="005F048D" w:rsidP="003F6A5D">
      <w:pPr>
        <w:numPr>
          <w:ilvl w:val="0"/>
          <w:numId w:val="35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Закон України «Про особливості державної політики із забезпечення державного суверенітету України на тимчасово окупованих територіях у Донецькій та Луганській областях» від 18.01.2018 № 2268-VIII URL: -</w:t>
      </w:r>
      <w:hyperlink r:id="rId1488">
        <w:r w:rsidRPr="00511005">
          <w:rPr>
            <w:rFonts w:ascii="Arial" w:eastAsia="Times New Roman" w:hAnsi="Arial" w:cs="Arial"/>
            <w:szCs w:val="28"/>
            <w:lang w:val="uk-UA" w:eastAsia="uk-UA"/>
          </w:rPr>
          <w:t>19"https://zakon.rada.gov.ua/laws/show/2268-19#Text</w:t>
        </w:r>
      </w:hyperlink>
      <w:r w:rsidRPr="00511005">
        <w:rPr>
          <w:rFonts w:ascii="Arial" w:eastAsia="Times New Roman" w:hAnsi="Arial" w:cs="Arial"/>
          <w:szCs w:val="28"/>
          <w:lang w:val="uk-UA" w:eastAsia="uk-UA"/>
        </w:rPr>
        <w:t xml:space="preserve"> (дата звернення 27.04.2025)</w:t>
      </w:r>
    </w:p>
    <w:p w14:paraId="171F132A" w14:textId="56FD8EA9" w:rsidR="005F048D" w:rsidRPr="00511005" w:rsidRDefault="005F048D" w:rsidP="003F6A5D">
      <w:pPr>
        <w:numPr>
          <w:ilvl w:val="0"/>
          <w:numId w:val="35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Гусаров К.В., Попов О.І. Визнання факту смерті абонародження на тимчасово окупованій території за правилами окремого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провадження. JournaloftheNationalAcademyofLegalSciencesofUkraine, Vol. 27, No. 4, 2020, Р. 161-171.</w:t>
      </w:r>
    </w:p>
    <w:p w14:paraId="1E2EFD0A" w14:textId="77777777" w:rsidR="005F048D" w:rsidRPr="00511005" w:rsidRDefault="005F048D" w:rsidP="003F6A5D">
      <w:pPr>
        <w:numPr>
          <w:ilvl w:val="0"/>
          <w:numId w:val="35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Гусаров К.В. Доцільність змін цивільного процесуального законодавства під час воєнного стану та вдосконалення захисту прав суддів //TheRussian-Ukrainianwar (2014–2022): historical, political, cultural-educational, religious, economic, andlegalaspects :Scientificmonograph. Riga, Latvia : “BaltijaPublishing”, 2022. 1421 p. (С. 1138-1142), 0,53 друк. арк. 2024 рік DOI.</w:t>
      </w:r>
      <w:hyperlink r:id="rId1489">
        <w:r w:rsidRPr="00511005">
          <w:rPr>
            <w:rFonts w:ascii="Arial" w:eastAsia="Times New Roman" w:hAnsi="Arial" w:cs="Arial"/>
            <w:szCs w:val="28"/>
            <w:lang w:val="uk-UA" w:eastAsia="uk-UA"/>
          </w:rPr>
          <w:t>30525</w:t>
        </w:r>
      </w:hyperlink>
      <w:r w:rsidRPr="00511005">
        <w:rPr>
          <w:rFonts w:ascii="Arial" w:eastAsia="Times New Roman" w:hAnsi="Arial" w:cs="Arial"/>
          <w:szCs w:val="28"/>
          <w:lang w:val="uk-UA" w:eastAsia="uk-UA"/>
        </w:rPr>
        <w:t>/</w:t>
      </w:r>
      <w:hyperlink r:id="rId1490">
        <w:r w:rsidRPr="00511005">
          <w:rPr>
            <w:rFonts w:ascii="Arial" w:eastAsia="Times New Roman" w:hAnsi="Arial" w:cs="Arial"/>
            <w:szCs w:val="28"/>
            <w:lang w:val="uk-UA" w:eastAsia="uk-UA"/>
          </w:rPr>
          <w:t>978</w:t>
        </w:r>
      </w:hyperlink>
      <w:r w:rsidRPr="00511005">
        <w:rPr>
          <w:rFonts w:ascii="Arial" w:eastAsia="Times New Roman" w:hAnsi="Arial" w:cs="Arial"/>
          <w:szCs w:val="28"/>
          <w:lang w:val="uk-UA" w:eastAsia="uk-UA"/>
        </w:rPr>
        <w:t>-</w:t>
      </w:r>
      <w:hyperlink r:id="rId1491">
        <w:r w:rsidRPr="00511005">
          <w:rPr>
            <w:rFonts w:ascii="Arial" w:eastAsia="Times New Roman" w:hAnsi="Arial" w:cs="Arial"/>
            <w:szCs w:val="28"/>
            <w:lang w:val="uk-UA" w:eastAsia="uk-UA"/>
          </w:rPr>
          <w:t>9934</w:t>
        </w:r>
      </w:hyperlink>
      <w:r w:rsidRPr="00511005">
        <w:rPr>
          <w:rFonts w:ascii="Arial" w:eastAsia="Times New Roman" w:hAnsi="Arial" w:cs="Arial"/>
          <w:szCs w:val="28"/>
          <w:lang w:val="uk-UA" w:eastAsia="uk-UA"/>
        </w:rPr>
        <w:t>-</w:t>
      </w:r>
      <w:hyperlink r:id="rId1492">
        <w:r w:rsidRPr="00511005">
          <w:rPr>
            <w:rFonts w:ascii="Arial" w:eastAsia="Times New Roman" w:hAnsi="Arial" w:cs="Arial"/>
            <w:szCs w:val="28"/>
            <w:lang w:val="uk-UA" w:eastAsia="uk-UA"/>
          </w:rPr>
          <w:t>26</w:t>
        </w:r>
      </w:hyperlink>
      <w:r w:rsidRPr="00511005">
        <w:rPr>
          <w:rFonts w:ascii="Arial" w:eastAsia="Times New Roman" w:hAnsi="Arial" w:cs="Arial"/>
          <w:szCs w:val="28"/>
          <w:lang w:val="uk-UA" w:eastAsia="uk-UA"/>
        </w:rPr>
        <w:t>-</w:t>
      </w:r>
      <w:hyperlink r:id="rId1493">
        <w:r w:rsidRPr="00511005">
          <w:rPr>
            <w:rFonts w:ascii="Arial" w:eastAsia="Times New Roman" w:hAnsi="Arial" w:cs="Arial"/>
            <w:szCs w:val="28"/>
            <w:lang w:val="uk-UA" w:eastAsia="uk-UA"/>
          </w:rPr>
          <w:t>223</w:t>
        </w:r>
      </w:hyperlink>
      <w:r w:rsidRPr="00511005">
        <w:rPr>
          <w:rFonts w:ascii="Arial" w:eastAsia="Times New Roman" w:hAnsi="Arial" w:cs="Arial"/>
          <w:szCs w:val="28"/>
          <w:lang w:val="uk-UA" w:eastAsia="uk-UA"/>
        </w:rPr>
        <w:t>-</w:t>
      </w:r>
      <w:hyperlink r:id="rId1494">
        <w:r w:rsidRPr="00511005">
          <w:rPr>
            <w:rFonts w:ascii="Arial" w:eastAsia="Times New Roman" w:hAnsi="Arial" w:cs="Arial"/>
            <w:szCs w:val="28"/>
            <w:lang w:val="uk-UA" w:eastAsia="uk-UA"/>
          </w:rPr>
          <w:t>4</w:t>
        </w:r>
      </w:hyperlink>
      <w:r w:rsidRPr="00511005">
        <w:rPr>
          <w:rFonts w:ascii="Arial" w:eastAsia="Times New Roman" w:hAnsi="Arial" w:cs="Arial"/>
          <w:szCs w:val="28"/>
          <w:lang w:val="uk-UA" w:eastAsia="uk-UA"/>
        </w:rPr>
        <w:t>-</w:t>
      </w:r>
      <w:hyperlink r:id="rId1495">
        <w:r w:rsidRPr="00511005">
          <w:rPr>
            <w:rFonts w:ascii="Arial" w:eastAsia="Times New Roman" w:hAnsi="Arial" w:cs="Arial"/>
            <w:szCs w:val="28"/>
            <w:lang w:val="uk-UA" w:eastAsia="uk-UA"/>
          </w:rPr>
          <w:t>141"httpsHYPERLINK "https://doi.org/10.30525/978-9934-26-223-4-141"://doi.org/10.30525/978-9934-26-223-4-141</w:t>
        </w:r>
      </w:hyperlink>
      <w:r w:rsidRPr="00511005">
        <w:rPr>
          <w:rFonts w:ascii="Arial" w:eastAsia="Times New Roman" w:hAnsi="Arial" w:cs="Arial"/>
          <w:szCs w:val="28"/>
          <w:lang w:val="uk-UA" w:eastAsia="uk-UA"/>
        </w:rPr>
        <w:t xml:space="preserve"> (дата звернення 27.04.2025)</w:t>
      </w:r>
    </w:p>
    <w:p w14:paraId="0BAE26C0" w14:textId="1791B82C" w:rsidR="005F048D" w:rsidRPr="00511005" w:rsidRDefault="005F048D" w:rsidP="003F6A5D">
      <w:pPr>
        <w:numPr>
          <w:ilvl w:val="0"/>
          <w:numId w:val="352"/>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Резворович К. Р., Щербіна Д. В. Цивільне судочинство в умовах воєнного стану. «Молодий вчений». 2023 р. № 2 (114). С. 86–89.</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DOI: </w:t>
      </w:r>
      <w:hyperlink r:id="rId1496">
        <w:r w:rsidRPr="00511005">
          <w:rPr>
            <w:rFonts w:ascii="Arial" w:eastAsia="Times New Roman" w:hAnsi="Arial" w:cs="Arial"/>
            <w:szCs w:val="28"/>
            <w:lang w:val="uk-UA" w:eastAsia="uk-UA"/>
          </w:rPr>
          <w:t>https://doi.org/10.32839/2304-5809/2023-2-114-17(дата</w:t>
        </w:r>
      </w:hyperlink>
      <w:r w:rsidRPr="00511005">
        <w:rPr>
          <w:rFonts w:ascii="Arial" w:eastAsia="Times New Roman" w:hAnsi="Arial" w:cs="Arial"/>
          <w:szCs w:val="28"/>
          <w:lang w:val="uk-UA" w:eastAsia="uk-UA"/>
        </w:rPr>
        <w:t xml:space="preserve"> звернення 27.04.2025)</w:t>
      </w:r>
    </w:p>
    <w:p w14:paraId="3C3C0755" w14:textId="0EEB311F" w:rsidR="005F048D" w:rsidRPr="00511005" w:rsidRDefault="007B2628"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відновлення судового провадження, заява про відновлення провадження, воєнний стан, цивільне судочинство, доступ до правосуддя, тимчасова окупація та судочинство</w:t>
      </w:r>
    </w:p>
    <w:p w14:paraId="65F224F0" w14:textId="1F8757E3" w:rsidR="005F048D" w:rsidRPr="00511005" w:rsidRDefault="007B2628" w:rsidP="003A292D">
      <w:pPr>
        <w:keepNext/>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restoration of court proceedings, application for restoration of proceedings, martial law, civil procedure, access to justice, temporary occupation and judiciary</w:t>
      </w:r>
    </w:p>
    <w:p w14:paraId="157FFBF5" w14:textId="4F776B02" w:rsidR="005F048D" w:rsidRPr="00511005" w:rsidRDefault="007B2628" w:rsidP="003A292D">
      <w:pPr>
        <w:keepNext/>
        <w:spacing w:line="264" w:lineRule="auto"/>
        <w:ind w:firstLine="851"/>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Іліопол І. М.</w:t>
      </w:r>
    </w:p>
    <w:p w14:paraId="69F1A7A4" w14:textId="77777777" w:rsidR="005F048D" w:rsidRPr="00511005" w:rsidRDefault="005F048D" w:rsidP="003A292D">
      <w:pPr>
        <w:spacing w:line="264" w:lineRule="auto"/>
        <w:ind w:firstLine="851"/>
        <w:rPr>
          <w:rFonts w:ascii="Arial" w:eastAsia="Times New Roman" w:hAnsi="Arial" w:cs="Arial"/>
          <w:i/>
          <w:szCs w:val="28"/>
          <w:lang w:val="uk-UA" w:eastAsia="uk-UA"/>
        </w:rPr>
      </w:pPr>
    </w:p>
    <w:p w14:paraId="76B91CE9"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36970AC9"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Ромаш Євгенія Сергіївна</w:t>
      </w:r>
    </w:p>
    <w:p w14:paraId="5B858979" w14:textId="59934718" w:rsidR="005F048D" w:rsidRPr="00511005" w:rsidRDefault="00536AAB" w:rsidP="003A292D">
      <w:pPr>
        <w:tabs>
          <w:tab w:val="left" w:pos="994"/>
        </w:tabs>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3-го курсу </w:t>
      </w:r>
      <w:r w:rsidR="007B2628" w:rsidRPr="00511005">
        <w:rPr>
          <w:rFonts w:ascii="Arial" w:eastAsia="Times New Roman" w:hAnsi="Arial" w:cs="Arial"/>
          <w:szCs w:val="28"/>
          <w:lang w:val="uk-UA" w:eastAsia="uk-UA"/>
        </w:rPr>
        <w:t>факультету цивільної та господарської юстиції</w:t>
      </w:r>
    </w:p>
    <w:p w14:paraId="2CF7D999" w14:textId="5BD4F960"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Національного університету </w:t>
      </w:r>
      <w:r w:rsidR="007E6CF0">
        <w:rPr>
          <w:rFonts w:ascii="Arial" w:eastAsia="Times New Roman" w:hAnsi="Arial" w:cs="Arial"/>
          <w:szCs w:val="28"/>
          <w:lang w:val="uk-UA" w:eastAsia="uk-UA"/>
        </w:rPr>
        <w:t>«</w:t>
      </w:r>
      <w:r w:rsidRPr="00511005">
        <w:rPr>
          <w:rFonts w:ascii="Arial" w:eastAsia="Times New Roman" w:hAnsi="Arial" w:cs="Arial"/>
          <w:szCs w:val="28"/>
          <w:lang w:val="uk-UA" w:eastAsia="uk-UA"/>
        </w:rPr>
        <w:t>Одеська юридична академія</w:t>
      </w:r>
      <w:r w:rsidR="007E6CF0">
        <w:rPr>
          <w:rFonts w:ascii="Arial" w:eastAsia="Times New Roman" w:hAnsi="Arial" w:cs="Arial"/>
          <w:szCs w:val="28"/>
          <w:lang w:val="uk-UA" w:eastAsia="uk-UA"/>
        </w:rPr>
        <w:t>»</w:t>
      </w:r>
    </w:p>
    <w:p w14:paraId="3B6398FA"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p>
    <w:p w14:paraId="4FAFEB91" w14:textId="77777777" w:rsidR="007E6CF0" w:rsidRDefault="005F048D" w:rsidP="007E6CF0">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ВІДМІННОСТІ ПРАВОВОГО СТАТУСУ СТОРІН ТА ТРЕТІХ ОСІБ</w:t>
      </w:r>
      <w:r w:rsidR="007B2628" w:rsidRPr="00511005">
        <w:rPr>
          <w:rFonts w:ascii="Arial" w:eastAsia="Times New Roman" w:hAnsi="Arial" w:cs="Arial"/>
          <w:b/>
          <w:szCs w:val="28"/>
          <w:lang w:val="uk-UA" w:eastAsia="uk-UA"/>
        </w:rPr>
        <w:t xml:space="preserve"> </w:t>
      </w:r>
      <w:r w:rsidRPr="00511005">
        <w:rPr>
          <w:rFonts w:ascii="Arial" w:eastAsia="Times New Roman" w:hAnsi="Arial" w:cs="Arial"/>
          <w:b/>
          <w:szCs w:val="28"/>
          <w:lang w:val="uk-UA" w:eastAsia="uk-UA"/>
        </w:rPr>
        <w:t>У ЦИВІЛЬНОМУ ПРОЦЕСІ</w:t>
      </w:r>
    </w:p>
    <w:p w14:paraId="76F072DA" w14:textId="5EDF6547" w:rsidR="005F048D" w:rsidRPr="00511005" w:rsidRDefault="005F048D" w:rsidP="007E6CF0">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Цивільне судочинство виступає одним із ключових механізмів реалізації права на судовий захист. В умовах сучасного реформування правової системи України важливим залишається чітке розмежування правового статусу основних учасників процесу, зокрема сторін та третіх осіб. Визначення їхніх прав, обов’язків і ролі у справі впливає не лише на динаміку судового розгляду, а й на його законність, обґрунтованість і справедливість. </w:t>
      </w:r>
      <w:r w:rsidRPr="00511005">
        <w:rPr>
          <w:rFonts w:ascii="Arial" w:eastAsia="Times New Roman" w:hAnsi="Arial" w:cs="Arial"/>
          <w:szCs w:val="28"/>
          <w:lang w:val="uk-UA" w:eastAsia="uk-UA"/>
        </w:rPr>
        <w:lastRenderedPageBreak/>
        <w:t>Ці аспекти набувають особливої актуальності у зв’язку зі зростанням кількості судових справ, підвищенням уваги до дотримання процесуальних гарантій та інтеграцією європейських стандартів правосуддя в українське законодавство. Саме чітке розмежування процесуальних прав та обов’язків сприяє ефективному здійсненню правосуддя, запобігає зловживанню процесуальними інструментами та забезпечує баланс інтересів усіх учасників спору. Дослідження цієї теми має велике значення для глибшого розуміння механізмів правового захисту в межах цивільного процесуального права.</w:t>
      </w:r>
    </w:p>
    <w:p w14:paraId="017312B4"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Відповідно до положень Цивільного процесуального кодексу України, основними учасниками цивільного процесу є позивач і відповідач — сторони спору, а також треті особи, які вступають у процес з метою захисту своїх прав чи інтересів. Сторони є ініціаторами та активними суб’єктами процесу, тоді як треті особи — потенційно заінтересованими у результатах розгляду, які можуть зазнати впливу від ухваленого рішення [2].</w:t>
      </w:r>
    </w:p>
    <w:p w14:paraId="497A703C"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Юридична заінтересованість є ключовим критерієм, що дозволяє віднести особу до тієї чи іншої категорії учасників процесу. Якщо особа має безпосередню заінтересованість у результатах справи, що впливають на її права та обов’язки, — вона визнається стороною. Якщо ж заінтересованість є опосередкованою — особа може вступити у справу як третя особа.</w:t>
      </w:r>
    </w:p>
    <w:p w14:paraId="6332A3C4" w14:textId="2BA3E44F" w:rsidR="005F048D" w:rsidRPr="00511005" w:rsidRDefault="005F048D" w:rsidP="003A292D">
      <w:pPr>
        <w:spacing w:line="264" w:lineRule="auto"/>
        <w:ind w:firstLine="851"/>
        <w:rPr>
          <w:rFonts w:ascii="Arial" w:eastAsia="Times New Roman" w:hAnsi="Arial" w:cs="Arial"/>
          <w:b/>
          <w:szCs w:val="28"/>
          <w:lang w:val="uk-UA" w:eastAsia="uk-UA"/>
        </w:rPr>
      </w:pPr>
      <w:r w:rsidRPr="00511005">
        <w:rPr>
          <w:rFonts w:ascii="Arial" w:eastAsia="Times New Roman" w:hAnsi="Arial" w:cs="Arial"/>
          <w:szCs w:val="28"/>
          <w:lang w:val="uk-UA" w:eastAsia="uk-UA"/>
        </w:rPr>
        <w:t>Сторони у цивільному процесі: статус, повноваження, особливості</w:t>
      </w:r>
    </w:p>
    <w:p w14:paraId="28C184A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Позивач — це особа, права та інтереси якої ймовірно порушені і яка ініціює розгляд справи з метою захисту своїх порушених чи оспорюваних прав. Відповідач</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 це особа, до якої позивачем пред’явлено позов, і яка захищається від пред’явлених вимог. Обидві сторони мають рівні процесуальні права, що гарантують принцип змагальності.</w:t>
      </w:r>
    </w:p>
    <w:p w14:paraId="230AA41B"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Процесуальні права сторін включають: подання доказів, участь у судових засіданнях, подання клопотань, апеляційних і касаційних скарг, зміна предмета та підстав позову, укладення мирової угоди, а також процесуальні обов’язки — добросовісно реалізовувати свої права, не зловживати ними, сприяти встановленню істини [3].</w:t>
      </w:r>
    </w:p>
    <w:p w14:paraId="534C66DB"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Особливу увагу також слід звернути на можливість правонаступництва. У разі смерті сторони або реорганізації юридичної особи, суд залучає правонаступника, який вступає в справу зі збереженням процесуального статусу попередника.</w:t>
      </w:r>
    </w:p>
    <w:p w14:paraId="29882B94" w14:textId="793076D9"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Треті особи вступають у справу для захисту особистого юридичного інтересу, що може бути порушений у зв’язку з прийняттям рішення суду. Вони поділяються на два види:</w:t>
      </w:r>
    </w:p>
    <w:p w14:paraId="67FC8F2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1. Треті особи із самостійними вимогами щодо предмета спору- такі особи мають право подати окремий позов, набуваючи всіх прав позивача. Вони можуть самостійно доводити свої вимоги, оскаржувати рішення, а також брати активну участь у судовому розгляді.</w:t>
      </w:r>
    </w:p>
    <w:p w14:paraId="2AAFCC1B"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2. Треті особи без самостійних вимог </w:t>
      </w:r>
      <w:r w:rsidRPr="00511005">
        <w:rPr>
          <w:rFonts w:ascii="Arial" w:eastAsia="Times New Roman" w:hAnsi="Arial" w:cs="Arial"/>
          <w:b/>
          <w:szCs w:val="28"/>
          <w:lang w:val="uk-UA" w:eastAsia="uk-UA"/>
        </w:rPr>
        <w:t>-</w:t>
      </w:r>
      <w:r w:rsidRPr="00511005">
        <w:rPr>
          <w:rFonts w:ascii="Arial" w:eastAsia="Times New Roman" w:hAnsi="Arial" w:cs="Arial"/>
          <w:szCs w:val="28"/>
          <w:lang w:val="uk-UA" w:eastAsia="uk-UA"/>
        </w:rPr>
        <w:t xml:space="preserve"> їх участь обумовлена тим, що рішення суду може зачепити їхні права чи обов’язки. Вони виступають на стороні позивача або відповідача, мають обмежений процесуальний вплив і не можуть змінювати хід справи так активно, як сторони [6].</w:t>
      </w:r>
    </w:p>
    <w:p w14:paraId="02C153CD" w14:textId="3512BB7F"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Основні відмінності полягають у:</w:t>
      </w:r>
    </w:p>
    <w:p w14:paraId="4DB8852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1.Характері заінтересованості: сторони мають безпосередній інтерес, вони реалізують свої права через подання позову, захист від позову, укладення мирової угоди; треті особи - мають опосередкований інтерес, в залежності від того чи заявляють вони самостійні вимоги щодо предмета спору;</w:t>
      </w:r>
    </w:p>
    <w:p w14:paraId="3AD95DC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2</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Обсязі прав і обов’язків: сторони формують хід судового розгляду, тоді як треті особи лише впливають на нього в межах дозволеного;</w:t>
      </w:r>
    </w:p>
    <w:p w14:paraId="3FEE4FCA" w14:textId="77777777" w:rsidR="005F048D" w:rsidRPr="00511005" w:rsidRDefault="005F048D" w:rsidP="003F6A5D">
      <w:pPr>
        <w:numPr>
          <w:ilvl w:val="0"/>
          <w:numId w:val="367"/>
        </w:numPr>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Праві на ініціювання процесу: таке право належить лише позивачу, оскільки за його ініціативою та позовною заявою починається процес;</w:t>
      </w:r>
    </w:p>
    <w:p w14:paraId="3477C556" w14:textId="77777777" w:rsidR="005F048D" w:rsidRPr="00511005" w:rsidRDefault="005F048D" w:rsidP="003F6A5D">
      <w:pPr>
        <w:numPr>
          <w:ilvl w:val="0"/>
          <w:numId w:val="367"/>
        </w:numPr>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Можливості укладення мирової угоди: треті особи без самостійних вимог такого права не мають;</w:t>
      </w:r>
    </w:p>
    <w:p w14:paraId="71DA3C9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3.Питання правонаступництва: характерне лише для сторін і третіх осіб із самостійними вимогами [4].</w:t>
      </w:r>
    </w:p>
    <w:p w14:paraId="5C548B6F" w14:textId="4DDFF69B"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4. В правовій системі існують також проблемні аспекти, тому важливо зазначити необхідні шляхи вдосконалення цього питання. Судова практика свідчить про складнощі у правильному процесуальному оформленні участі третіх осіб. Часто суди помилково трактують їх статус, що призводить до порушення прав і подальшого скасування рішень. Особливо це стосується випадків, коли треті особи із самостійними вимогами подають позов несвоєчасно або без дотримання встановленої процедури.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Для удосконалення важливим є розмежування критеріїв та підстави, за яких особа може бути визнана третьою особою з/без самостійних вимог, що допоможе уникнути зловживань і штучного затягування процесу.</w:t>
      </w:r>
    </w:p>
    <w:p w14:paraId="3275FBE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Актуальними є також питання можливості подання зустрічного позову до третіх осіб, застосування принципу правонаступництва, прав на апеляційне та касаційне оскарження [5].</w:t>
      </w:r>
    </w:p>
    <w:p w14:paraId="734E0AA2" w14:textId="77777777" w:rsidR="005F048D" w:rsidRPr="00511005" w:rsidRDefault="005F048D" w:rsidP="003A292D">
      <w:pPr>
        <w:spacing w:line="264" w:lineRule="auto"/>
        <w:ind w:firstLine="851"/>
        <w:rPr>
          <w:rFonts w:ascii="Arial" w:eastAsia="Times New Roman" w:hAnsi="Arial" w:cs="Arial"/>
          <w:b/>
          <w:szCs w:val="28"/>
          <w:lang w:val="uk-UA" w:eastAsia="uk-UA"/>
        </w:rPr>
      </w:pPr>
      <w:r w:rsidRPr="00511005">
        <w:rPr>
          <w:rFonts w:ascii="Arial" w:eastAsia="Times New Roman" w:hAnsi="Arial" w:cs="Arial"/>
          <w:szCs w:val="28"/>
          <w:lang w:val="uk-UA" w:eastAsia="uk-UA"/>
        </w:rPr>
        <w:t>Порівнюючи правовий статус сторін і третіх осіб з іншими країнами, можна зазначити наступне: аналіз правових систем інших країн (США, Великої Британії, Франції, Німеччини) засвідчує подібність підходів до визначення правового статусу третіх осіб. Усі ці системи передбачають:можливість самостійного втручання (intervention); право на участь третіх осіб-бенефіціарів;чітке регулювання підстав і строків вступу у процес.</w:t>
      </w:r>
      <w:r w:rsidRPr="00511005">
        <w:rPr>
          <w:rFonts w:ascii="Arial" w:eastAsia="Arial" w:hAnsi="Arial" w:cs="Arial"/>
          <w:szCs w:val="28"/>
          <w:lang w:val="uk-UA" w:eastAsia="uk-UA"/>
        </w:rPr>
        <w:br/>
      </w:r>
      <w:r w:rsidRPr="00511005">
        <w:rPr>
          <w:rFonts w:ascii="Arial" w:eastAsia="Times New Roman" w:hAnsi="Arial" w:cs="Arial"/>
          <w:szCs w:val="28"/>
          <w:lang w:val="uk-UA" w:eastAsia="uk-UA"/>
        </w:rPr>
        <w:t>Особливу увагу приділяють процесуальним гарантіям та уникненню конфліктів інтересів, що дозволяє забезпечити ефективний та справедливий судовий розгляд.</w:t>
      </w:r>
    </w:p>
    <w:p w14:paraId="13FAE5C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З урахуванням вищезазначеного можна зробити висновок, що розмежування статусу сторін і третіх осіб у цивільному процесі має вирішальне значення для забезпечення справедливого судочинства. Визначення правового статусу кожного учасника процесу впливає на обсяг їхніх повноважень, можливості впливу на розгляд справи та реалізацію принципів змагальності і рівності. Сторони виступають основними суб’єктами процесуального спору, а треті особи - як додаткові учасники, інтереси яких можуть бути порушені рішенням суду, їх процесуальний статус залежить від наявності чи відсутності самостійних вимог щодо предмета спору. Ці відмінності дозволяють регулювати участь осіб, які не є основними сторонами, але чиї права потенційно можуть бути порушені або певним чином змінені відповідним рішенням суду</w:t>
      </w:r>
      <w:r w:rsidRPr="00511005">
        <w:rPr>
          <w:rFonts w:ascii="Arial" w:eastAsia="Times New Roman" w:hAnsi="Arial" w:cs="Arial"/>
          <w:szCs w:val="28"/>
          <w:lang w:val="uk-UA" w:eastAsia="uk-UA"/>
        </w:rPr>
        <w:br/>
        <w:t>Удосконалення законодавчого регулювання, формування сталої судової практики та врахування міжнародного досвіду є запорукою якісного захисту прав громадян і юридичних осіб у цивільному процесі.</w:t>
      </w:r>
    </w:p>
    <w:p w14:paraId="73CD5044" w14:textId="77777777" w:rsidR="007B2628" w:rsidRPr="00511005" w:rsidRDefault="007B2628" w:rsidP="003A292D">
      <w:pPr>
        <w:spacing w:line="264" w:lineRule="auto"/>
        <w:ind w:firstLine="851"/>
        <w:rPr>
          <w:rFonts w:ascii="Arial" w:eastAsia="Times New Roman" w:hAnsi="Arial" w:cs="Arial"/>
          <w:szCs w:val="28"/>
          <w:lang w:val="uk-UA" w:eastAsia="uk-UA"/>
        </w:rPr>
      </w:pPr>
    </w:p>
    <w:p w14:paraId="773F8B8B" w14:textId="389766E0" w:rsidR="005F048D" w:rsidRPr="00511005" w:rsidRDefault="007B2628" w:rsidP="007B2628">
      <w:pPr>
        <w:spacing w:line="264" w:lineRule="auto"/>
        <w:ind w:firstLine="851"/>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5BD959D7"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1. Конституція України від 28 червня 1996 року. URL: 0021</w:t>
      </w:r>
      <w:hyperlink r:id="rId1497">
        <w:r w:rsidRPr="00511005">
          <w:rPr>
            <w:rFonts w:ascii="Arial" w:eastAsia="Times New Roman" w:hAnsi="Arial" w:cs="Arial"/>
            <w:szCs w:val="28"/>
            <w:lang w:val="uk-UA" w:eastAsia="uk-UA"/>
          </w:rPr>
          <w:t>https://zakon.rada.gov.ua/laws/show/254к/96-вр/conv#n4204</w:t>
        </w:r>
      </w:hyperlink>
    </w:p>
    <w:p w14:paraId="3C58812C"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2. Цивільний процесуальний кодекс України: Закон України від 18.03.2004 № 1618-IV [Електронний ресурс]. – Режим доступу: -</w:t>
      </w:r>
      <w:hyperlink r:id="rId1498">
        <w:r w:rsidRPr="00511005">
          <w:rPr>
            <w:rFonts w:ascii="Arial" w:eastAsia="Times New Roman" w:hAnsi="Arial" w:cs="Arial"/>
            <w:szCs w:val="28"/>
            <w:lang w:val="uk-UA" w:eastAsia="uk-UA"/>
          </w:rPr>
          <w:t>https://zakon.rada.gov.ua/laws/show/1618-15</w:t>
        </w:r>
      </w:hyperlink>
    </w:p>
    <w:p w14:paraId="2A60365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3. Васильєв С.В.«Цивільний процес» / Підручник.</w:t>
      </w:r>
    </w:p>
    <w:p w14:paraId="4810D09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4.Погребняк С. П. Правовий статус сторін у цивільному судочинстві України // Вісник Національного юридичного університету імені Ярослава Мудрого. – 2021. – № 2(49). – С. 112–117.</w:t>
      </w:r>
    </w:p>
    <w:p w14:paraId="481FF54B"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5. Штефан М. Й. Цивільний процес: підручник. – К.: Ін Юре, 2020. – 640 с</w:t>
      </w:r>
    </w:p>
    <w:p w14:paraId="0D122B6C"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6 .Маляренко І. А. Треті особи у цивільному процесі: правова природа та особливості участі // Юридичний журнал. – 2022. – № 3. – С. 37–41.</w:t>
      </w:r>
    </w:p>
    <w:p w14:paraId="145BD1E5" w14:textId="77777777" w:rsidR="007B2628" w:rsidRPr="00511005" w:rsidRDefault="007B2628" w:rsidP="003A292D">
      <w:pPr>
        <w:spacing w:line="264" w:lineRule="auto"/>
        <w:ind w:firstLine="851"/>
        <w:rPr>
          <w:rFonts w:ascii="Arial" w:eastAsia="Times New Roman" w:hAnsi="Arial" w:cs="Arial"/>
          <w:szCs w:val="28"/>
          <w:lang w:val="uk-UA" w:eastAsia="uk-UA"/>
        </w:rPr>
      </w:pPr>
    </w:p>
    <w:p w14:paraId="28AD3083" w14:textId="6BCFBBAB" w:rsidR="007B2628"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цивільний процес, сторони, треті особи, процесуальний статус, права та обов’язки, самостійні вимоги, правосуддя, правовий захист.</w:t>
      </w:r>
    </w:p>
    <w:p w14:paraId="62E4A029" w14:textId="01B7835F" w:rsidR="007B2628"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civil procedure, parties, third parties, procedural status, rights and obligations, independent claims, justice, legal protection.</w:t>
      </w:r>
    </w:p>
    <w:p w14:paraId="5FA3E002" w14:textId="4A0112CD"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д.ю.н., професор Волкова Н.В.</w:t>
      </w:r>
    </w:p>
    <w:p w14:paraId="2CD5970D" w14:textId="77777777" w:rsidR="005F048D" w:rsidRPr="00511005" w:rsidRDefault="005F048D" w:rsidP="003A292D">
      <w:pPr>
        <w:spacing w:line="264" w:lineRule="auto"/>
        <w:rPr>
          <w:rFonts w:ascii="Arial" w:eastAsia="Times New Roman" w:hAnsi="Arial" w:cs="Arial"/>
          <w:szCs w:val="28"/>
          <w:lang w:val="uk-UA" w:eastAsia="uk-UA"/>
        </w:rPr>
      </w:pPr>
    </w:p>
    <w:p w14:paraId="19109DE6"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2D8641AB"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Сергієнко Юлія Антонівна</w:t>
      </w:r>
    </w:p>
    <w:p w14:paraId="1292110B" w14:textId="697D0F79"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3-го курсу </w:t>
      </w:r>
      <w:r w:rsidR="007B2628" w:rsidRPr="00511005">
        <w:rPr>
          <w:rFonts w:ascii="Arial" w:eastAsia="Times New Roman" w:hAnsi="Arial" w:cs="Arial"/>
          <w:szCs w:val="28"/>
          <w:lang w:val="uk-UA" w:eastAsia="uk-UA"/>
        </w:rPr>
        <w:t>факультету цивільної та господарської юстиції</w:t>
      </w:r>
    </w:p>
    <w:p w14:paraId="08A49742" w14:textId="33FA39AE"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2D4B84A9" w14:textId="77777777" w:rsidR="005F048D" w:rsidRPr="00511005" w:rsidRDefault="005F048D" w:rsidP="003A292D">
      <w:pPr>
        <w:keepNext/>
        <w:spacing w:line="264" w:lineRule="auto"/>
        <w:ind w:firstLine="0"/>
        <w:jc w:val="center"/>
        <w:rPr>
          <w:rFonts w:ascii="Arial" w:eastAsia="Times New Roman" w:hAnsi="Arial" w:cs="Arial"/>
          <w:i/>
          <w:szCs w:val="28"/>
          <w:lang w:val="uk-UA" w:eastAsia="uk-UA"/>
        </w:rPr>
      </w:pPr>
    </w:p>
    <w:p w14:paraId="452D1E63" w14:textId="77777777" w:rsidR="005F048D" w:rsidRPr="00511005" w:rsidRDefault="005F048D" w:rsidP="003A292D">
      <w:pPr>
        <w:keepNext/>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 xml:space="preserve">ЕЛЕКТРОННІ ТА ПИСЬМОВІ ДОКАЗИ В ЦИВІЛЬНОМУ ПРОЦЕСІ: ПОРІВНЯЛЬНА ХАРАКТЕРИСТИКА </w:t>
      </w:r>
    </w:p>
    <w:p w14:paraId="6EF39161"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 розвитком цифрових технологій у цивільному процесі поряд із традиційними письмовими доказами дедалі більшого значення та поширення набувають електронні докази. Вони відкривають нові можливості для встановлення обставин справи, однак поряд із цим створюють додаткові виклики, пов’язані з їх автентифікацією, допустимістю та процесуальним оформленням. Оскільки цифровізація судочинства є невідворотним процесом, важливо чітко визначити особливості подання і використання електронних доказів, порівнюючи їх з письмовими. </w:t>
      </w:r>
    </w:p>
    <w:p w14:paraId="111D3924"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Нормативне закріплення визначення поняття доказів міститься у ч. 1 ст. 76 Цивільного процесуального кодексу України, відповідно до якої доказами визнаються будь-які відомості, на підставі яких суд встановлює наявність або відсутність обставин (фактів), що обґрунтовують вимоги і заперечення учасників справи, та інших обставин, які мають значення для вирішення справи.</w:t>
      </w:r>
    </w:p>
    <w:p w14:paraId="2925DA25"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У цивільному процесі докази обов’язково повинні відповідати таким вимогам: належність (ст. 77 ЦПК) - докази мають стосуватись предмета доказування — тобто обставин, які підтверджують вимоги чи заперечення сторін, або мають значення для вирішення справи; допустимість (ст. 78 ЦПК) – докази повинні бути отримані законним шляхом, у передбаченій процесуальній формі, від належного суб’єкта; достовірність (ст. 79 ЦПК) – цьому критерію відповідають докази, що не викликають сумнівів та дозволяють встановити реальні обставини справи; достатність (ст. 80 ЦПК) - достатніми є ті докази, які в сукупності дозволяють зробити обґрунтований висновок щодо існування або відсутності обставин, що підлягають доказуванню у справі. [3, с. 15]</w:t>
      </w:r>
    </w:p>
    <w:p w14:paraId="2C2E7C8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Відповідно до ч. 2 ст. 76 ЦПК України законодавець до доказів відносить: письмові, речові та електронні докази, висновки експертів і показання свідків.</w:t>
      </w:r>
    </w:p>
    <w:p w14:paraId="0E6C450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Письмовими доказами є документи (крім електронних документів), які містять дані про обставини, що мають значення для правильного вирішення спору (ч. 1 ст. 95 ЦПК України). Із законодавчо закріплених положень вбачається, що письмовими доказами є документи та їх різновиди: довідки, свідоцтва, акти, листування службового або особистого характеру або витяги з них. Вони характеризуються тим, що відомості про обставини справи представлені символами, які можуть бути інтерпретовані (буквами, цифрами, графічними символами тощо); інформація зафіксована у будь-якій письмовій формі, за винятком електронної (цифрової). [3, с. 23] </w:t>
      </w:r>
    </w:p>
    <w:p w14:paraId="6A9FD17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Письмові докази подаються сторонами або витребовуються судом у вигляді оригіналів чи завірених копій; електронні копії можливі, але не є </w:t>
      </w:r>
      <w:r w:rsidRPr="00511005">
        <w:rPr>
          <w:rFonts w:ascii="Arial" w:eastAsia="Times New Roman" w:hAnsi="Arial" w:cs="Arial"/>
          <w:szCs w:val="28"/>
          <w:lang w:val="uk-UA" w:eastAsia="uk-UA"/>
        </w:rPr>
        <w:lastRenderedPageBreak/>
        <w:t>електронними доказами. Якщо для вирішення спору має значення лише частина документа, подається засвідчений витяг з нього. Вони оголошуються в судовому засіданні для ознайомлення учасників справи. Огляд доказів за місцезнаходженням осіб оформлюється протоколом з фотознімками чи відео. Якщо документ викликає сумніви, його можуть виключити, і справа буде розглядатися на основі інших доказів. Підробленість доказу часто виявляється через експертизу. [2, с. 273]</w:t>
      </w:r>
    </w:p>
    <w:p w14:paraId="1032979F" w14:textId="4ADB51E6"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Електронними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доказами,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відповідно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визначення,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закріпленого</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у </w:t>
      </w:r>
    </w:p>
    <w:p w14:paraId="7FEF71BE"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ч. 1 ст. 100 ЦПК України, є «інформація в електронній (цифровій) формі, що містить дані про обставини, що мають значення для справи, зокрема, електронні документи (в тому числі текстові документи, графічні зображення, плани, фотографії, відео- та звукозаписи тощо), веб-сайти (сторінки), текстові, мультимедійні та голосові повідомлення, метадані, бази даних та інші дані в електронній формі». Ці докази характеризуються такими основними ознаками: по-перше, вони не мають матеріального вираження - існують у цифровому форматі; по-друге, для їх дослідження та використання судом необхідні спеціальні технічні засоби; по-третє, вони можуть піддаватися змінам та копіюванню, після чого їх важко відрізнити від оригіналу, що ускладнює доведення автентичності таких доказів. [3, с. 26]</w:t>
      </w:r>
    </w:p>
    <w:p w14:paraId="1FEB951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Електронні докази можуть подаватися в оригіналі або в електронній копії, засвідченій електронним підписом. Учасники справи мають право подавати електронні докази в паперових копіях, посвідчених згідно з законом. </w:t>
      </w:r>
    </w:p>
    <w:p w14:paraId="2BC25736" w14:textId="77777777" w:rsidR="005F048D" w:rsidRPr="00511005" w:rsidRDefault="005F048D"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Якщо оригінал не подано або є сумніви щодо відповідності копії оригіналу, доказ не береться до уваги (ст. 100 ЦПК України). Електронні докази досліджуються судом і надаються для ознайомлення учасникам справи, а також експертам та свідкам. Електронні письмові документи досліджуються, як і письмові докази (ст. 237 ЦПК України). Під час відтворення звукозапису або демонстрації відео в суді фіксуються особливості оголошуваних матеріалів і час демонстрації, після чого заслуховуються пояснення учасників справи. [3, с. 27]</w:t>
      </w:r>
    </w:p>
    <w:p w14:paraId="599888A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Обидва види доказів мають спільні риси, що визначають їх як повноцінні та взаємозамінні елементи доказової бази у цивільному процесі: вони фіксують обставини справи, можливе подання їх засвідчених копій, можуть подаватись учасниками справи або витребовуватись судом; підлягають оголошенню, дослідженню, коментуванню в судовому засіданні; можуть бути піддані сумніву в достовірності та перевірці (за допомогою експертизи, додаткових доказів)</w:t>
      </w:r>
      <w:r w:rsidRPr="00511005">
        <w:rPr>
          <w:rFonts w:ascii="Arial" w:eastAsia="Times New Roman" w:hAnsi="Arial" w:cs="Arial"/>
          <w:b/>
          <w:szCs w:val="28"/>
          <w:lang w:val="uk-UA" w:eastAsia="uk-UA"/>
        </w:rPr>
        <w:t>.</w:t>
      </w:r>
    </w:p>
    <w:p w14:paraId="4BBE9CC5"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Між тим, письмові та електронні докази мають суттєві відмінності, які вимагають різного підходу до їх оцінки та застосування в процесі. Для зручності, порівняльний аналіз цих двох видів доказів можна проводити за такими критеріями:</w:t>
      </w:r>
    </w:p>
    <w:p w14:paraId="6A911D5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1) форма вираження. Письмовий доказ закріплюється на матеріальному носії з нанесеними письмовими знаками (папір, дерево тощо), електронний – відомості в цифровій формі зберігаються на електронних носіях (жорсткі диски, сервери, флеш-накопичувачі, хмарні сховища тощо);</w:t>
      </w:r>
    </w:p>
    <w:p w14:paraId="5C1E678B"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2) зберігання та подання. Письмові докази подаються в оригіналі або в належним чином засвідченій копії та зберігаються в матеріалах справи у паперовій формі, тоді ж як електронні докази можуть зберігатися на електронних носіях або в електронних системах та подаються до суду в електронному вигляді (в роздрукованій формі, якщо це скріншоти чи текстові повідомлення); [4, c. 7]</w:t>
      </w:r>
    </w:p>
    <w:p w14:paraId="15772567"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3) спосіб відтворення. Відтворення письмових доказів відбувається шляхом візуального ознайомлення з оригіналом або копією. Відтворення електронних, у свою чергу, потребує спеціальних технічних засобів (комп'ютерів, програмного забезпечення) та може включати візуалізацію, прослуховування, тощо;</w:t>
      </w:r>
    </w:p>
    <w:p w14:paraId="16E2951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4) процес дослідження судом. Дослідження змісту електронного та письмового доказу здійснюється за єдиними правилами (ст. 235 ЦПК), але якщо електронним доказом є звукозаписи чи відеозаписи приватного характеру, їх відтворення можливе лише за згодою осіб, визначених Цивільним кодексом України (ст. 236, 238 ЦПК); [2, с. 286]</w:t>
      </w:r>
    </w:p>
    <w:p w14:paraId="0D7E87CC"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5)</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автентичність та достовірність. Автентичність письмових доказів підтверджується підписами, печатками чи нотаріальним засвідченням. Ризик підробки існує, але методи її виявлення є відносно усталеними. Для підтвердження достовірності, цілісності та джерела походження електронного доказу може призначатися комп'ютерно-технічна експертиза, оскільки легше піддаються підробці.</w:t>
      </w:r>
    </w:p>
    <w:p w14:paraId="4A2C5AED"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Письмові докази є традиційними, мають усталену процедуру дослідження, часто мають високу юридичну силу (офіційні документи). Вони рідше викликають сумніви у достовірності, ознайомлення з ними не потребує додаткових технічних засобів. Завдяки їх формі вираження, оригінали цих доказів можуть довго зберігатися у архівах. Цілком очікувано, вони мають і певні недоліки: існує високий ризик фізичної втрати або пошкодження (внаслідок пожежі, вологи, часу); можливість підробки підписів або штампів.</w:t>
      </w:r>
    </w:p>
    <w:p w14:paraId="22A90A5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У свою чергу, перевагами електронних доказів є оперативність отримання та передачі, великі обсяги інформації, зручність зберігання та пошуку, можливість фіксації мультимедійних даних, можливість дистанційного розгляду, містять ширший обсяг інформації (включаючи мультимедіа). А найголовніше – вони є особливо актуальними в епоху цифровізації, коли певні відомості можуть стати доказом тільки в електронному форматі.</w:t>
      </w:r>
    </w:p>
    <w:p w14:paraId="49FDA58F"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Їх електронний спосіб існування є одночасно і недоліком – існують ризики втрати через технічні збої, підробки та маніпулювання, залежність від працездатності технічних пристроїв, складність встановлення автентичності і достовірності, а також необхідність спеціальних знань та обладнання для дослідження.</w:t>
      </w:r>
    </w:p>
    <w:p w14:paraId="22C53A84" w14:textId="77777777" w:rsidR="005F048D" w:rsidRPr="00511005" w:rsidRDefault="005F048D" w:rsidP="003A292D">
      <w:pPr>
        <w:keepNext/>
        <w:spacing w:line="264" w:lineRule="auto"/>
        <w:ind w:firstLine="0"/>
        <w:jc w:val="left"/>
        <w:rPr>
          <w:rFonts w:ascii="Arial" w:eastAsia="Times New Roman" w:hAnsi="Arial" w:cs="Arial"/>
          <w:szCs w:val="28"/>
          <w:lang w:val="uk-UA" w:eastAsia="uk-UA"/>
        </w:rPr>
      </w:pPr>
    </w:p>
    <w:p w14:paraId="03628C16" w14:textId="2F2077B9" w:rsidR="005F048D" w:rsidRPr="00511005" w:rsidRDefault="007B2628" w:rsidP="007B2628">
      <w:pPr>
        <w:keepNext/>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76A4C8F5"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1. Цивільний процесуальний кодекс України : Кодекс України від 18.03.2004 р. № 1618-IV: станом на 9 квіт. 2025 р. URL: -</w:t>
      </w:r>
      <w:hyperlink r:id="rId1499">
        <w:r w:rsidRPr="00511005">
          <w:rPr>
            <w:rFonts w:ascii="Arial" w:eastAsia="Times New Roman" w:hAnsi="Arial" w:cs="Arial"/>
            <w:szCs w:val="28"/>
            <w:lang w:val="uk-UA" w:eastAsia="uk-UA"/>
          </w:rPr>
          <w:t>https://zakon.rada.gov.ua/laws/show/1618-15#Text</w:t>
        </w:r>
      </w:hyperlink>
    </w:p>
    <w:p w14:paraId="2ABE5C36"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2. Цивільне процесуальне право України : навчальний посібник / кол. авторів; за ред. В. О. Кучера, А. О. Дутко. Львів : Львівський державний університет внутрішніх справ, 2023. 728 с</w:t>
      </w:r>
    </w:p>
    <w:p w14:paraId="63E44B2C"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3. Доказування та докази в цивільному судочинстві : навч.-метод. посіб. – 2-ге вид., перероб. та доп. [Електронне видання] / Н. Ю. Голубєва, І. В. Андронов, Н. В. Волкова, І. А. Яніцька ; Нац. ун-т «Одес. юрид. академія». – Одеса : Фенікс, 2024. – 80 с.</w:t>
      </w:r>
    </w:p>
    <w:p w14:paraId="4824C2BB"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w:t>
      </w:r>
      <w:r w:rsidRPr="00511005">
        <w:rPr>
          <w:rFonts w:ascii="Arial" w:eastAsia="Times New Roman" w:hAnsi="Arial" w:cs="Arial"/>
          <w:szCs w:val="28"/>
          <w:shd w:val="clear" w:color="auto" w:fill="F9F9F9"/>
          <w:lang w:val="uk-UA" w:eastAsia="uk-UA"/>
        </w:rPr>
        <w:t xml:space="preserve">Штефан А. С. Докази і засоби доказування у цивільному процесі / А. С. Штефан // Теорія і практика інтелектуальної власності. - 2017. - № 6. - С. 5-12. - Режим доступу: </w:t>
      </w:r>
      <w:hyperlink r:id="rId1500">
        <w:r w:rsidRPr="00511005">
          <w:rPr>
            <w:rFonts w:ascii="Arial" w:eastAsia="Times New Roman" w:hAnsi="Arial" w:cs="Arial"/>
            <w:szCs w:val="28"/>
            <w:shd w:val="clear" w:color="auto" w:fill="F9F9F9"/>
            <w:lang w:val="uk-UA" w:eastAsia="uk-UA"/>
          </w:rPr>
          <w:t>http://nbuv.gov.ua/UJRN/Tpiv_2017_6_2</w:t>
        </w:r>
      </w:hyperlink>
      <w:r w:rsidRPr="00511005">
        <w:rPr>
          <w:rFonts w:ascii="Arial" w:eastAsia="Times New Roman" w:hAnsi="Arial" w:cs="Arial"/>
          <w:szCs w:val="28"/>
          <w:shd w:val="clear" w:color="auto" w:fill="F9F9F9"/>
          <w:lang w:val="uk-UA" w:eastAsia="uk-UA"/>
        </w:rPr>
        <w:t>.</w:t>
      </w:r>
    </w:p>
    <w:p w14:paraId="454F616A" w14:textId="37C0264D" w:rsidR="005F048D"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докази, електронні докази, письмові докази, достовірність, належність, оригінал, копія, дослідження, технічні засоби.</w:t>
      </w:r>
    </w:p>
    <w:p w14:paraId="1159056A" w14:textId="044E1495" w:rsidR="005F048D" w:rsidRPr="00511005" w:rsidRDefault="007B2628" w:rsidP="003A292D">
      <w:pPr>
        <w:keepNext/>
        <w:spacing w:line="264" w:lineRule="auto"/>
        <w:ind w:firstLine="567"/>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evidence, electronic evidence, documentary evidence, authenticity, relevance, original, copy, analysis, technical tools.</w:t>
      </w:r>
    </w:p>
    <w:p w14:paraId="1F31682F" w14:textId="42B1B224" w:rsidR="005F048D" w:rsidRPr="00511005" w:rsidRDefault="007B2628" w:rsidP="003A292D">
      <w:pPr>
        <w:keepNext/>
        <w:spacing w:line="264" w:lineRule="auto"/>
        <w:ind w:firstLine="567"/>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д.ю.н., професор Волкова Н. В.</w:t>
      </w:r>
    </w:p>
    <w:p w14:paraId="4576A126" w14:textId="77777777" w:rsidR="005F048D" w:rsidRPr="00511005" w:rsidRDefault="005F048D" w:rsidP="003A292D">
      <w:pPr>
        <w:keepNext/>
        <w:spacing w:line="264" w:lineRule="auto"/>
        <w:ind w:firstLine="567"/>
        <w:rPr>
          <w:rFonts w:ascii="Arial" w:eastAsia="Times New Roman" w:hAnsi="Arial" w:cs="Arial"/>
          <w:i/>
          <w:szCs w:val="28"/>
          <w:lang w:val="uk-UA" w:eastAsia="uk-UA"/>
        </w:rPr>
      </w:pPr>
    </w:p>
    <w:p w14:paraId="731112FB" w14:textId="77777777" w:rsidR="005F048D" w:rsidRPr="00511005" w:rsidRDefault="005F048D" w:rsidP="003A292D">
      <w:pPr>
        <w:keepNext/>
        <w:spacing w:line="264" w:lineRule="auto"/>
        <w:ind w:firstLine="567"/>
        <w:rPr>
          <w:rFonts w:ascii="Arial" w:eastAsia="Times New Roman" w:hAnsi="Arial" w:cs="Arial"/>
          <w:i/>
          <w:szCs w:val="28"/>
          <w:lang w:val="uk-UA" w:eastAsia="uk-UA"/>
        </w:rPr>
      </w:pPr>
    </w:p>
    <w:p w14:paraId="711221C3"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Собко Ростислав Олексійович</w:t>
      </w:r>
    </w:p>
    <w:p w14:paraId="5FA63C56" w14:textId="1BF97E42" w:rsidR="005F048D" w:rsidRPr="00511005" w:rsidRDefault="00536AAB"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студент 1-го курсу магістратури</w:t>
      </w:r>
    </w:p>
    <w:p w14:paraId="07658AE2" w14:textId="77777777" w:rsidR="005F048D" w:rsidRPr="00511005" w:rsidRDefault="005F048D"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факультету цивільної та господарської юстиції</w:t>
      </w:r>
    </w:p>
    <w:p w14:paraId="5D8DB932" w14:textId="500C93FE" w:rsidR="005F048D" w:rsidRPr="00511005" w:rsidRDefault="007B2628" w:rsidP="003A292D">
      <w:pPr>
        <w:spacing w:line="264" w:lineRule="auto"/>
        <w:ind w:firstLine="72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Національного університету «Одеська юридична академія»</w:t>
      </w:r>
    </w:p>
    <w:p w14:paraId="21069CBE" w14:textId="77777777" w:rsidR="005F048D" w:rsidRPr="00511005" w:rsidRDefault="005F048D" w:rsidP="003A292D">
      <w:pPr>
        <w:spacing w:line="264" w:lineRule="auto"/>
        <w:ind w:firstLine="720"/>
        <w:jc w:val="center"/>
        <w:rPr>
          <w:rFonts w:ascii="Arial" w:eastAsia="Times New Roman" w:hAnsi="Arial" w:cs="Arial"/>
          <w:b/>
          <w:szCs w:val="28"/>
          <w:lang w:val="uk-UA" w:eastAsia="uk-UA"/>
        </w:rPr>
      </w:pPr>
    </w:p>
    <w:p w14:paraId="15B7D5E1" w14:textId="77777777" w:rsidR="005F048D" w:rsidRPr="00511005" w:rsidRDefault="005F048D" w:rsidP="003A292D">
      <w:pPr>
        <w:spacing w:line="264" w:lineRule="auto"/>
        <w:ind w:firstLine="72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ЦИФРОВІЗАЦІЯ ЦИВІЛЬНОГО СУДОЧИНСТВА: ПЕРЕВАГИ ТА НЕДОЛІКИ</w:t>
      </w:r>
    </w:p>
    <w:p w14:paraId="4894DCB3" w14:textId="77777777" w:rsidR="005F048D" w:rsidRPr="00511005" w:rsidRDefault="005F048D" w:rsidP="003A292D">
      <w:pPr>
        <w:spacing w:line="264" w:lineRule="auto"/>
        <w:ind w:firstLine="720"/>
        <w:rPr>
          <w:rFonts w:ascii="Arial" w:eastAsia="Times New Roman" w:hAnsi="Arial" w:cs="Arial"/>
          <w:szCs w:val="28"/>
          <w:lang w:val="uk-UA" w:eastAsia="uk-UA"/>
        </w:rPr>
      </w:pPr>
    </w:p>
    <w:p w14:paraId="11E38F34"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У зарубіжній практиці правозастосування рівень цифровізації процесуальної форми коливається від використання інформаційно-комунікаційних технологій виключно для спрощення та пришвидшення розгляду справ до залучення штучного інтелекту як інструменту вирішення спору по суті. У цьому контексті в юридичній науці розмежовують поняття «електронне забезпечення правосуддя» та «електронне правосуддя».</w:t>
      </w:r>
    </w:p>
    <w:p w14:paraId="61F97F00" w14:textId="2362E292"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Вагомим внеском у модернізацію правосуддя стало запровадження підсистеми «Електронний суд», оскільки цифровізвція цивільного судочинства забезпечує електронну комунікацію між учасниками судового процесу та судом і сприяє доступності правосуддя. В той же час, невпинний розвиток технологій штучного інтелекту, спричиняє необхідність адаптації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національного законодавства до використання таких інноваційних підходів. Відтак, діджиталізація правосуддя, використання штучного інтелекту в судочинстві, онлайн-суди, а також онлайн вирішення спорів, зокрема за допомогою альтернативних засобів, є найбільш актуальними темами для юристів сьогодні [6, c.19-20].</w:t>
      </w:r>
    </w:p>
    <w:p w14:paraId="3B8A1D49"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Електронне забезпечення правосуддя передбачає використання інформаційно-комунікаційних технологій як допоміжного інструменту та фактично ототожнюється з інформатизацією судової діяльності. Йдеться не про повну зміну традиційної моделі правосуддя, а про її доповнення сучасними цифровими засобами — такими як подання процесуальних документів і доказів в електронному вигляді, електронне повідомлення учасників процесу, участь у судовому засіданні через відеоконференцію без фізичної присутності в залі суду. Застосування таких засобів можливе виключно за добровільною згодою сторін.</w:t>
      </w:r>
    </w:p>
    <w:p w14:paraId="3C923DC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Цифрове (електронне) правосуддя, на відміну від суто технічного використання інформаційних технологій для спрощення або прискорення судового процесу, передбачає глибоку трансформацію самого змісту здійснення правосуддя. Зокрема, йдеться про зміну ролі суб’єктів, відповідальних за оцінку доказів і прийняття рішень, шляхом часткової передачі цих функцій цифровим технологіям. Оскільки судовий процес є системою норм, процедур і правил, за наявності достатнього обсягу даних можна передбачити наслідки дій учасників провадження. Це створює умови для технологічного спрощення доступу до правосуддя та його вдосконалення, включаючи досудові стадії. У межах такої моделі ухвалення юридично значущих рішень може покладатися на штучний інтелект — наприклад, для автоматичного аналізу поданих до суду документів і доказів, визначення їх прийнятності або винесення остаточних судових рішень.</w:t>
      </w:r>
    </w:p>
    <w:p w14:paraId="5158E757"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Цифровізація цивільного судочинства відбувається переважно під впливом позаправових чинників і не є наслідком недоліків або проблем у функціонуванні судової системи. Показовою є думка про те, що цифрова трансформація судового процесу є логічним продовженням цифровізації цивільного обороту. Зокрема, істотна еволюція форм укладення правочинів, включаючи активне використання електронних контрактів, призвела до появи нових інформаційних носіїв у судовому процесі, які не вписуються у звичні для судочинства форми доказів. Як наслідок, у процесуальній науці та законодавстві виникла обґрунтована потреба визнати електронні докази окремим, самостійним видом доказів [5, c.111].</w:t>
      </w:r>
    </w:p>
    <w:p w14:paraId="5AAFCB99"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Рушієм цифровізації різних сфер суспільного життя є трансформація системи соціальної комунікації — від традиційного особистого (офлайн) спілкування до дистанційного (онлайн) формату. Судочинствомає адаптуватися до цих змін, щоб відповідати сучасним комунікаційним стандартам, інакше державні суди ризикують втратити конкурентоспроможність порівняно з альтернативними способами вирішення спорів (АВС), які вже активно застосовують сучасні цифрові інструменти. Яскравим прикладом такої адаптації стало ухвалення Сеульського протоколу про відеоконференцзв’язок у міжнародному арбітражі 2018 року. У зв’язку з цим держава має своєчасно реагувати на технологічні інновації та впроваджувати їх у практику державного судочинства, щоб забезпечити його актуальність і ефективність у нових умовах.</w:t>
      </w:r>
    </w:p>
    <w:p w14:paraId="25228201"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В Україні діє Єдина судова інформаційно-телекомунікаційна система (ЄСІТС), яка являє собою комплекс інформаційних і телекомунікаційних підсистем (модулів), призначених для автоматизації визначених законом процесів у діяльності судів, органів та установ судової системи. ЄСІТС забезпечує електронний документообіг, автоматичний розподіл справ, обмін процесуальними документами між судом і учасниками провадження, фіксацію судових засідань, участь у засіданнях через відеозв’язок, формування звітності, надання інформаційної підтримки суддям, а також автоматизацію процедур, що відповідають за фінансове, майнове, організаційне, кадрове та інформаційне забезпечення користувачів системи.До основних складових ЄСІТС належать взаємопов’язані підсистеми: загальна, електронного діловодства, контакт-центр, управління фінансово-господарськими процесами та інформаційної безпеки. Кожна з них включає окремі функціональні модулі. Впровадження ЄСІТС у судову практику відбувається поступово, поетапно. Наразі в системі офіційно працюють три підсистеми (модулі): «Електронний кабінет», «Електронний суд» та модуль відеоконференцзв’язку [4].</w:t>
      </w:r>
    </w:p>
    <w:p w14:paraId="37E2168A"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Законодавчі ініціативи, що наразі розробляються, орієнтовані на розширення застосування сучасних технологій у вітчизняному судочинстві, зокрема шляхом удосконалення взаємодії між учасниками процесу через використання інформаційно-комунікаційних засобів. Основні напрями включають: можливість подання звернень до суду в електронній формі через особистий кабінет учасника судового процесу; дистанційне отримання судових повісток та інших сповіщень у цьому ж кабінеті; доступ до судових рішень та їх електронних копій; а також запровадження участі в судових засіданнях у форматі вебконференцій, що дозволяє брати участь у засіданнях у режимі реального часу без особистої присутності в суді шляхом автентифікації особи за допомогою біометричних даних.</w:t>
      </w:r>
    </w:p>
    <w:p w14:paraId="77876C1E"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Серед безперечних переваг впровадження інформаційно-комунікаційних технологій у судочинство варто відзначити підвищення його інклюзивності, відкритості та зручності для учасників процесу. ІКТ сприяють реалізації принципу процесуальної економії — зменшують тривалість розгляду справ та витрати, пов’язані з особистою присутністю в суді. Також запроваджуються нові механізми надання правової допомоги, зокрема через публічне інформування населення про судову практику шляхом оприлюднення судових рішень. Крім того,сприяють добросовісній поведінці сторін під час збирання доказів і гарантують додаткову процесуальну безпеку, наприклад, завдяки обов’язковій відеофіксації судових засідань.</w:t>
      </w:r>
    </w:p>
    <w:p w14:paraId="214BBFC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Набуває актуальності думка, що в умовах розвинених дистанційних технологій вимога особистої присутності в суді може розцінюватися як бар’єр для реалізації права на доступ до правосуддя. Такий підхід ґрунтується на розумінні доступності правосуддя не лише як можливості ініціювати судовий розгляд, а й як гарантії його ефективного та своєчасного здійснення. Водночас впровадження інформаційно-комунікаційних технологій відкриває нові перспективи для розвитку судочинства, проте водночас породжує низку викликів, які потребують осмислення та належного правового врегулювання. У процесі цифровізації юристи й судді стикаються з рядом практичних труднощів, серед яких: проблеми підтримання належного порядку під час онлайн-засідань; складнощі з ідентифікацією осіб і перевіркою їхніх повноважень; технічні недоліки організації дистанційних засідань; обмеження щодо дотримання окремих процесуальних принципів; труднощі в дослідженні певних доказів у цифровому форматі; а також ризики, пов’язані з кібербезпекою.</w:t>
      </w:r>
    </w:p>
    <w:p w14:paraId="7207DE2C"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Цифровізація створює значні виклики для держав у фінансовому аспекті, оскільки потребує суттєвого збільшення витрат на технічне забезпечення функціонування судів та розробку спеціалізованих цифрових сервісів.Разом з тим, впровадження цифрових технологій у судочинство ускладнює традиційну цивільну процесуальну форму. Поява нових форматів судових засідань — таких як відеоконференції чи веб-засідання — вимагає законодавчого визначення чітких критеріїв для вибору відповідної процесуальної форми в кожній конкретній справі. Особливо актуальною в цьому контексті є проблема надійної ідентифікації учасників процесу при дистанційній участі.</w:t>
      </w:r>
    </w:p>
    <w:p w14:paraId="32E32B61"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наукових колах цифровізація судочинства викликає жваві дискусії, насамперед через побоювання не просто модернізації, а глибокої трансформації самого судового процесу. Йдеться про потенційне переосмислення його фундаментальних принципів, зміну усталених судових ритуалів і навіть можливе скасування окремих інститутів процесуального права. У цьому світлі цифрова трансформація сприймається неоднозначно, адже чинні процесуальні правила й принципи </w:t>
      </w:r>
      <w:r w:rsidRPr="00511005">
        <w:rPr>
          <w:rFonts w:ascii="Arial" w:eastAsia="Times New Roman" w:hAnsi="Arial" w:cs="Arial"/>
          <w:szCs w:val="28"/>
          <w:lang w:val="uk-UA" w:eastAsia="uk-UA"/>
        </w:rPr>
        <w:lastRenderedPageBreak/>
        <w:t>є відображенням історично сформованих уявлень про справедливе та цивілізоване правосуддя [1, с. 316].</w:t>
      </w:r>
    </w:p>
    <w:p w14:paraId="5004099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Питання доцільності використання штучного інтелекту у сфері судочинства є одним із найгостріших у процесі цифрової трансформації правосуддя. Його застосування пов’язується з можливістю використання спеціально розроблених алгоритмів для підготовки та ухвалення процесуальних рішень. Такі алгоритми можуть допомагати судді визначити правову природу спору, застосовні норми права, а також релевантні фактичні обставини. У зарубіжній науковій літературі це явище позначається терміном </w:t>
      </w:r>
      <w:r w:rsidRPr="00511005">
        <w:rPr>
          <w:rFonts w:ascii="Arial" w:eastAsia="Times New Roman" w:hAnsi="Arial" w:cs="Arial"/>
          <w:i/>
          <w:szCs w:val="28"/>
          <w:lang w:val="uk-UA" w:eastAsia="uk-UA"/>
        </w:rPr>
        <w:t>predictive justice</w:t>
      </w:r>
      <w:r w:rsidRPr="00511005">
        <w:rPr>
          <w:rFonts w:ascii="Arial" w:eastAsia="Times New Roman" w:hAnsi="Arial" w:cs="Arial"/>
          <w:szCs w:val="28"/>
          <w:lang w:val="uk-UA" w:eastAsia="uk-UA"/>
        </w:rPr>
        <w:t xml:space="preserve"> — «прогностичне правосуддя». Воно ґрунтується на статистичному моделюванні даних попередніх судових рішень з метою прогнозування найімовірнішого результату за аналогічних обставин.Разом з тим, впровадження штучного інтелекту в судову практику супроводжується серйозними застереженнями. У фаховій юридичній дискусії активно обговорюються ризики алгоритмічної упередженості та непрозорості процесу ухвалення рішень штучним інтелектом. Зрозуміло, що сам алгоритм не може ухвалювати суб’єктивні рішення, проте якість його висновків безпосередньо залежить від способу його проєктування та якості вхідних даних. Особливо складними є самонавчальні моделі, які формують рішення на основі багаторівневої обробки інформації, створюючи власні правила логіки, що часто залишаються незрозумілими навіть розробникам. Це явище отримало назву «ефект чорної скриньки» (black box effect) [3, с. 144].</w:t>
      </w:r>
    </w:p>
    <w:p w14:paraId="45EFFE01"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Формування належного правового підґрунтя для впровадження штучного інтелекту в судову діяльність, а також чітке визначення меж автоматизованої обробки даних із збереженням контролю з боку судді, є необхідною передумовою для гарантування дотримання прав людини в умовах делегування частини функцій правосуддя цифровим системам. Зокрема, законодавство має передбачати можливість відмови у виконанні рішень, прийнятих із використанням штучного інтелекту, у разі виявлення технічних збоїв, стороннього втручання або інших порушень.Це передбачає, що ще на етапі розробки програмного забезпечення мають бути закладені гарантії дотримання основоположних прав і свобод, які захищаються як національним, так і міжнародним правом — зокрема, Конституцією України, Конвенцією про захист прав людини і основоположних свобод, а також іншими міжнародними угодами й актами національного законодавства.</w:t>
      </w:r>
    </w:p>
    <w:p w14:paraId="22F04FA5" w14:textId="77777777" w:rsidR="005F048D" w:rsidRPr="00511005" w:rsidRDefault="005F048D" w:rsidP="003A292D">
      <w:pPr>
        <w:spacing w:line="264" w:lineRule="auto"/>
        <w:ind w:firstLine="0"/>
        <w:jc w:val="left"/>
        <w:rPr>
          <w:rFonts w:ascii="Arial" w:eastAsia="Times New Roman" w:hAnsi="Arial" w:cs="Arial"/>
          <w:b/>
          <w:szCs w:val="28"/>
          <w:lang w:val="uk-UA" w:eastAsia="uk-UA"/>
        </w:rPr>
      </w:pPr>
    </w:p>
    <w:p w14:paraId="782C3A44" w14:textId="3BA0E5F4" w:rsidR="005F048D"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13987622" w14:textId="77777777" w:rsidR="007B2628" w:rsidRPr="00511005" w:rsidRDefault="005F048D" w:rsidP="003F6A5D">
      <w:pPr>
        <w:numPr>
          <w:ilvl w:val="0"/>
          <w:numId w:val="379"/>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Бєлов Д.М., Бєлова М.В. Штучний інтелект в судочинстві та судових рішеннях, потенціал та ризики. </w:t>
      </w:r>
      <w:r w:rsidRPr="00511005">
        <w:rPr>
          <w:rFonts w:ascii="Arial" w:eastAsia="Times New Roman" w:hAnsi="Arial" w:cs="Arial"/>
          <w:i/>
          <w:szCs w:val="28"/>
          <w:lang w:val="uk-UA" w:eastAsia="uk-UA"/>
        </w:rPr>
        <w:t>Науковий вісник Ужгородського національного університету. Серія: Право</w:t>
      </w:r>
      <w:r w:rsidRPr="00511005">
        <w:rPr>
          <w:rFonts w:ascii="Arial" w:eastAsia="Times New Roman" w:hAnsi="Arial" w:cs="Arial"/>
          <w:szCs w:val="28"/>
          <w:lang w:val="uk-UA" w:eastAsia="uk-UA"/>
        </w:rPr>
        <w:t>. 2023. № 78. С. 315-320</w:t>
      </w:r>
    </w:p>
    <w:p w14:paraId="2822B43E" w14:textId="77E126BF" w:rsidR="005F048D" w:rsidRPr="00511005" w:rsidRDefault="005F048D" w:rsidP="003F6A5D">
      <w:pPr>
        <w:numPr>
          <w:ilvl w:val="0"/>
          <w:numId w:val="379"/>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Стратегію розвитку системи правосуддя та конституційного судочинства на 2021-2023 роки: Указ Президента України від11.06.2023 р. </w:t>
      </w:r>
      <w:r w:rsidRPr="00511005">
        <w:rPr>
          <w:rFonts w:ascii="Arial" w:eastAsia="Times New Roman" w:hAnsi="Arial" w:cs="Arial"/>
          <w:szCs w:val="28"/>
          <w:lang w:val="uk-UA" w:eastAsia="uk-UA"/>
        </w:rPr>
        <w:lastRenderedPageBreak/>
        <w:t>№ № 231/2021. URL:/</w:t>
      </w:r>
      <w:hyperlink r:id="rId1501">
        <w:r w:rsidRPr="00511005">
          <w:rPr>
            <w:rFonts w:ascii="Arial" w:eastAsia="Times New Roman" w:hAnsi="Arial" w:cs="Arial"/>
            <w:szCs w:val="28"/>
            <w:lang w:val="uk-UA" w:eastAsia="uk-UA"/>
          </w:rPr>
          <w:t>2021"https://zakon.rada.gov.ua/laws/show/231/2021#Text</w:t>
        </w:r>
      </w:hyperlink>
    </w:p>
    <w:p w14:paraId="56696B84" w14:textId="77777777" w:rsidR="005F048D" w:rsidRPr="00511005" w:rsidRDefault="005F048D" w:rsidP="003F6A5D">
      <w:pPr>
        <w:numPr>
          <w:ilvl w:val="0"/>
          <w:numId w:val="379"/>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Шишка Н.В. Штучний інтелект в українському правосудді: правові передумови запровадження. </w:t>
      </w:r>
      <w:r w:rsidRPr="00511005">
        <w:rPr>
          <w:rFonts w:ascii="Arial" w:eastAsia="Times New Roman" w:hAnsi="Arial" w:cs="Arial"/>
          <w:i/>
          <w:szCs w:val="28"/>
          <w:lang w:val="uk-UA" w:eastAsia="uk-UA"/>
        </w:rPr>
        <w:t>Юридичний науковий журнал</w:t>
      </w:r>
      <w:r w:rsidRPr="00511005">
        <w:rPr>
          <w:rFonts w:ascii="Arial" w:eastAsia="Times New Roman" w:hAnsi="Arial" w:cs="Arial"/>
          <w:szCs w:val="28"/>
          <w:lang w:val="uk-UA" w:eastAsia="uk-UA"/>
        </w:rPr>
        <w:t>.2021. № 3. С. 143-145.</w:t>
      </w:r>
    </w:p>
    <w:p w14:paraId="254E7B40" w14:textId="77777777" w:rsidR="005F048D" w:rsidRPr="00511005" w:rsidRDefault="005F048D" w:rsidP="003F6A5D">
      <w:pPr>
        <w:numPr>
          <w:ilvl w:val="0"/>
          <w:numId w:val="379"/>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 затвердження Положення про порядок функціонування окремих підсистем Єдиної судової інформаційно-телекомунікаційноїсистеми: Рішення Вищої Ради Правосуддя від 17.08.2021 р. №1845/0/15-21. URL: -</w:t>
      </w:r>
      <w:hyperlink r:id="rId1502">
        <w:r w:rsidRPr="00511005">
          <w:rPr>
            <w:rFonts w:ascii="Arial" w:eastAsia="Times New Roman" w:hAnsi="Arial" w:cs="Arial"/>
            <w:szCs w:val="28"/>
            <w:lang w:val="uk-UA" w:eastAsia="uk-UA"/>
          </w:rPr>
          <w:t>21"https://zakon.rada.gov.ua/rada/show/v1845910-21#Text</w:t>
        </w:r>
      </w:hyperlink>
    </w:p>
    <w:p w14:paraId="4EDB06FD" w14:textId="77777777" w:rsidR="005F048D" w:rsidRPr="00511005" w:rsidRDefault="005F048D" w:rsidP="003F6A5D">
      <w:pPr>
        <w:numPr>
          <w:ilvl w:val="0"/>
          <w:numId w:val="379"/>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Жушман М.В. Особливості електронних доказів як засобу доказування в цивільному судочинстві. </w:t>
      </w:r>
      <w:r w:rsidRPr="00511005">
        <w:rPr>
          <w:rFonts w:ascii="Arial" w:eastAsia="Times New Roman" w:hAnsi="Arial" w:cs="Arial"/>
          <w:i/>
          <w:szCs w:val="28"/>
          <w:lang w:val="uk-UA" w:eastAsia="uk-UA"/>
        </w:rPr>
        <w:t>Юридичний науковий електронний журнал</w:t>
      </w:r>
      <w:r w:rsidRPr="00511005">
        <w:rPr>
          <w:rFonts w:ascii="Arial" w:eastAsia="Times New Roman" w:hAnsi="Arial" w:cs="Arial"/>
          <w:szCs w:val="28"/>
          <w:lang w:val="uk-UA" w:eastAsia="uk-UA"/>
        </w:rPr>
        <w:t>. 2023. № 7. С. 110-114.</w:t>
      </w:r>
    </w:p>
    <w:p w14:paraId="43A7EF5A" w14:textId="016D80E3" w:rsidR="005F048D" w:rsidRPr="00511005" w:rsidRDefault="005F048D" w:rsidP="003F6A5D">
      <w:pPr>
        <w:numPr>
          <w:ilvl w:val="0"/>
          <w:numId w:val="379"/>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Іліопол І.М.</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Онлайн-суди як перспектива цивільного судочинства.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Захист прав людини в порядку цивільного судочинства в цифрову еру : матер. Всеукр. наук. практич. інтернет-конф. ім. Ю. С. Червоного (м. Одеса, 20 груд. 2024 р.) / упоряд.: Н. Ю. Голубєва, І. В. Андронов, О. О. Полуніна [та ін.] ; за заг. ред. Н. Ю. Голубєвої ; НУ "ОЮА". Одеса : Юридична література, 2025. 68 с. С.с. 19-23. URL: </w:t>
      </w:r>
      <w:hyperlink r:id="rId1503">
        <w:r w:rsidRPr="00511005">
          <w:rPr>
            <w:rFonts w:ascii="Arial" w:eastAsia="Times New Roman" w:hAnsi="Arial" w:cs="Arial"/>
            <w:szCs w:val="28"/>
            <w:lang w:val="uk-UA" w:eastAsia="uk-UA"/>
          </w:rPr>
          <w:t>https://doi.org/10.32837/11300.29344</w:t>
        </w:r>
      </w:hyperlink>
      <w:r w:rsidRPr="00511005">
        <w:rPr>
          <w:rFonts w:ascii="Arial" w:eastAsia="Times New Roman" w:hAnsi="Arial" w:cs="Arial"/>
          <w:szCs w:val="28"/>
          <w:lang w:val="uk-UA" w:eastAsia="uk-UA"/>
        </w:rPr>
        <w:t xml:space="preserve"> </w:t>
      </w:r>
      <w:hyperlink r:id="rId1504">
        <w:r w:rsidRPr="00511005">
          <w:rPr>
            <w:rFonts w:ascii="Arial" w:eastAsia="Times New Roman" w:hAnsi="Arial" w:cs="Arial"/>
            <w:szCs w:val="28"/>
            <w:lang w:val="uk-UA" w:eastAsia="uk-UA"/>
          </w:rPr>
          <w:t>https://dspace.onua.edu.ua/server/api/core/bitstreams/c892a2aa-d55e-4677-9149-14e834aadc4f/content</w:t>
        </w:r>
      </w:hyperlink>
      <w:r w:rsidRPr="00511005">
        <w:rPr>
          <w:rFonts w:ascii="Arial" w:eastAsia="Times New Roman" w:hAnsi="Arial" w:cs="Arial"/>
          <w:szCs w:val="28"/>
          <w:lang w:val="uk-UA" w:eastAsia="uk-UA"/>
        </w:rPr>
        <w:t xml:space="preserve"> </w:t>
      </w:r>
    </w:p>
    <w:p w14:paraId="1C962890" w14:textId="77777777" w:rsidR="005F048D" w:rsidRPr="00511005" w:rsidRDefault="005F048D" w:rsidP="003A292D">
      <w:pPr>
        <w:spacing w:line="264" w:lineRule="auto"/>
        <w:ind w:firstLine="360"/>
        <w:rPr>
          <w:rFonts w:ascii="Arial" w:eastAsia="Times New Roman" w:hAnsi="Arial" w:cs="Arial"/>
          <w:szCs w:val="28"/>
          <w:lang w:val="uk-UA" w:eastAsia="uk-UA"/>
        </w:rPr>
      </w:pPr>
    </w:p>
    <w:p w14:paraId="479EE01F" w14:textId="77777777" w:rsidR="005F048D" w:rsidRPr="00511005" w:rsidRDefault="005F048D" w:rsidP="003A292D">
      <w:pPr>
        <w:spacing w:line="264" w:lineRule="auto"/>
        <w:ind w:firstLine="360"/>
        <w:rPr>
          <w:rFonts w:ascii="Arial" w:eastAsia="Times New Roman" w:hAnsi="Arial" w:cs="Arial"/>
          <w:szCs w:val="28"/>
          <w:lang w:val="uk-UA" w:eastAsia="uk-UA"/>
        </w:rPr>
      </w:pPr>
    </w:p>
    <w:p w14:paraId="3508EDDD" w14:textId="0ED39CA9"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правосуддя, цифрові технології, E-Суд, інформатизація, суд, реформи, право, судова система, електронне правосуддя.</w:t>
      </w:r>
    </w:p>
    <w:p w14:paraId="329A00A4" w14:textId="1A5B5D9B"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justice, digital technologies, E-Court, informatization, court, reforms, law, judicial system, electronic justice.</w:t>
      </w:r>
    </w:p>
    <w:p w14:paraId="591766BF" w14:textId="046E9477" w:rsidR="005F048D"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 ю н., доцент Іліопол І.М.</w:t>
      </w:r>
    </w:p>
    <w:p w14:paraId="71CD9F0D" w14:textId="77777777" w:rsidR="005F048D" w:rsidRPr="00511005" w:rsidRDefault="005F048D" w:rsidP="003A292D">
      <w:pPr>
        <w:keepNext/>
        <w:spacing w:line="264" w:lineRule="auto"/>
        <w:ind w:firstLine="567"/>
        <w:rPr>
          <w:rFonts w:ascii="Arial" w:eastAsia="Times New Roman" w:hAnsi="Arial" w:cs="Arial"/>
          <w:i/>
          <w:szCs w:val="28"/>
          <w:lang w:val="uk-UA" w:eastAsia="uk-UA"/>
        </w:rPr>
      </w:pPr>
    </w:p>
    <w:p w14:paraId="785BA49D" w14:textId="77777777" w:rsidR="005F048D" w:rsidRPr="00511005" w:rsidRDefault="005F048D" w:rsidP="003A292D">
      <w:pPr>
        <w:spacing w:line="264" w:lineRule="auto"/>
        <w:ind w:firstLine="0"/>
        <w:jc w:val="left"/>
        <w:rPr>
          <w:rFonts w:ascii="Arial" w:eastAsia="Times New Roman" w:hAnsi="Arial" w:cs="Arial"/>
          <w:b/>
          <w:szCs w:val="28"/>
          <w:lang w:val="uk-UA" w:eastAsia="uk-UA"/>
        </w:rPr>
      </w:pPr>
    </w:p>
    <w:p w14:paraId="6EC714A4"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Сомок Даніїл Миколайович</w:t>
      </w:r>
    </w:p>
    <w:p w14:paraId="666FD049" w14:textId="7C6CA5D8" w:rsidR="005F048D" w:rsidRPr="00511005" w:rsidRDefault="00536AAB" w:rsidP="003A292D">
      <w:pPr>
        <w:tabs>
          <w:tab w:val="left" w:pos="7088"/>
        </w:tabs>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 1-го курсу магістратури</w:t>
      </w:r>
      <w:r w:rsidR="005F048D" w:rsidRPr="00511005">
        <w:rPr>
          <w:rFonts w:ascii="Arial" w:eastAsia="Times New Roman" w:hAnsi="Arial" w:cs="Arial"/>
          <w:szCs w:val="28"/>
          <w:lang w:val="uk-UA" w:eastAsia="uk-UA"/>
        </w:rPr>
        <w:t xml:space="preserve"> </w:t>
      </w:r>
    </w:p>
    <w:p w14:paraId="6A967255" w14:textId="77777777" w:rsidR="005F048D" w:rsidRPr="00511005" w:rsidRDefault="005F048D" w:rsidP="003A292D">
      <w:pPr>
        <w:tabs>
          <w:tab w:val="left" w:pos="7088"/>
        </w:tabs>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факультету цивільної та господарської юстиції </w:t>
      </w:r>
    </w:p>
    <w:p w14:paraId="28AD23B6" w14:textId="5A483BFE" w:rsidR="005F048D" w:rsidRPr="00511005" w:rsidRDefault="007B2628" w:rsidP="003A292D">
      <w:pPr>
        <w:tabs>
          <w:tab w:val="left" w:pos="7088"/>
        </w:tabs>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153FC820" w14:textId="77777777" w:rsidR="005F048D" w:rsidRPr="00511005" w:rsidRDefault="005F048D" w:rsidP="003A292D">
      <w:pPr>
        <w:tabs>
          <w:tab w:val="left" w:pos="7088"/>
        </w:tabs>
        <w:spacing w:line="264" w:lineRule="auto"/>
        <w:ind w:firstLine="0"/>
        <w:jc w:val="center"/>
        <w:rPr>
          <w:rFonts w:ascii="Arial" w:eastAsia="Times New Roman" w:hAnsi="Arial" w:cs="Arial"/>
          <w:b/>
          <w:szCs w:val="28"/>
          <w:lang w:val="uk-UA" w:eastAsia="uk-UA"/>
        </w:rPr>
      </w:pPr>
    </w:p>
    <w:p w14:paraId="4AED2048" w14:textId="77777777" w:rsidR="005F048D" w:rsidRPr="00511005" w:rsidRDefault="005F048D" w:rsidP="003A292D">
      <w:pPr>
        <w:tabs>
          <w:tab w:val="left" w:pos="7088"/>
        </w:tabs>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ПЕРСПЕКТИВИ ЗАЛУЧЕННЯ AMICUS CURIAE (З ЛАТ. «ДРУГ СУДУ») У ЦИВІЛЬНОМУ СУДОЧИНСТВІ</w:t>
      </w:r>
    </w:p>
    <w:p w14:paraId="05FC4DE4"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Залучення amicus curiae (з латинської мови – «друг суду») є важливим інститутом у правовій системі, що забезпечує судову практику додатковими поглядами на правові питання, які виникають у ході розгляду справи. У </w:t>
      </w:r>
      <w:r w:rsidRPr="00511005">
        <w:rPr>
          <w:rFonts w:ascii="Arial" w:eastAsia="Times New Roman" w:hAnsi="Arial" w:cs="Arial"/>
          <w:szCs w:val="28"/>
          <w:lang w:val="uk-UA" w:eastAsia="uk-UA"/>
        </w:rPr>
        <w:lastRenderedPageBreak/>
        <w:t>більшості правових систем amicus curiae надає суду свою думку або пропозиції, не є стороною в справі, але має за мету сприяти правильному та обґрунтованому вирішенню юридичних спірних питань. Дослідження можливості та перспектив залучення amicus curiae в цивільному судочинстві є важливим завданням для вдосконалення правосуддя в Україні, зокрема для розвитку судової практики, підвищення її прозорості та забезпечення дотримання прав людини.</w:t>
      </w:r>
    </w:p>
    <w:p w14:paraId="3B44CE3D"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Традиційно, у цивільному процесі участь у справі можуть брати лише сторони, які мають юридичний інтерес. Проте з огляду на значення окремих питань, що виникають у ході судового розгляду, особливо тих, що стосуються захисту прав і свобод широкого кола осіб, існує потреба в залученні додаткових точок зору. Це може бути важливим для розв'язання складних юридичних ситуацій, де традиційні сторони спору не мають достатнього досвіду або знань у певній галузі. Залучення amicus curiae дозволяє суду отримати глибший аналіз правових та фактичних аспектів справи [1].</w:t>
      </w:r>
    </w:p>
    <w:p w14:paraId="59A8CCA8"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Законодавство України, на жаль, не передбачає надання можливості для залучення amicus curiae в цивільному судочинстві. Водночас аналіз досвіду інших правових систем дозволяє побачити позитивні аспекти цього інституту та його можливе застосування в Україні. В Україні, на відміну від систем загального права, де участь amicus curiae є широко розповсюдженою практикою, інститут "друга суду" фактично не використовується в цивільному процесі. Цей інститут надає можливість представникам громадських організацій, професійних асоціацій чи навіть державних органів, які не є сторонами в процесі, але мають певний інтерес у справі, висловлювати свою думку щодо правових питань, що виникають у конкретній справі.</w:t>
      </w:r>
    </w:p>
    <w:p w14:paraId="3BC02259"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Одним із основних аспектів використання amicus curiae є забезпечення суду додатковими професійними і правовими аргументами, які можуть допомогти у вирішенні складних юридичних питань. Наприклад, у справах, що стосуються прав споживачів, інтереси яких часто є недостатньо представленими через відсутність ресурсів або юридичних можливостей, amicus curiae може надати суду важливу інформацію щодо розуміння ринку, практик, стандартів і нормативних вимог. Це дозволяє суду ухвалювати більш справедливі та обґрунтовані рішення, з огляду на реальний контекст справи.</w:t>
      </w:r>
    </w:p>
    <w:p w14:paraId="54F27796"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Важливою функцією amicus curiae є не лише надання додаткових аргументів, але й участь у створенні прецедентної практики, яка в подальшому впливає на правозастосування. У системах загального права участь «друга суду» є важливою для формування судових прецедентів, які мають вирішальне значення для розвитку юридичної практики. В Україні, незважаючи на те, що система права є континентальною, також можна </w:t>
      </w:r>
      <w:r w:rsidRPr="00511005">
        <w:rPr>
          <w:rFonts w:ascii="Arial" w:eastAsia="Times New Roman" w:hAnsi="Arial" w:cs="Arial"/>
          <w:szCs w:val="28"/>
          <w:lang w:val="uk-UA" w:eastAsia="uk-UA"/>
        </w:rPr>
        <w:lastRenderedPageBreak/>
        <w:t>знайти корисні аспекти від запровадження такого інституту. Досвід багатьох європейських країн, зокрема Великобританії та Сполучених Штатів Америки, демонструє ефективність amicus curiae як інструменту для покращення правосуддя та створення більш збалансованої правової практики [2].</w:t>
      </w:r>
    </w:p>
    <w:p w14:paraId="74E2ABBA"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Залучення amicus curiae може стати особливо актуальним у тих сферах цивільного права, де йдеться про захист прав людини, прав на інтелектуальну власність, питання екології або інших важливих громадських інтересів. У таких справах зазвичай є широкий спектр різних позицій, і суд, навіть маючи достатньо аргументів від сторін, може потребувати зовнішнього погляду для комплексного аналізу ситуації. Окрім того, amicus curiae може допомогти в таких питаннях, як тлумачення закону, його застосування в нових умовах або випадках, що не передбачені детально у нормативних актах. Залучення amicus curiae може бути також корисним для вдосконалення судової практики у тих сферах, де відсутня усталена практика чи потрібні нові підходи.</w:t>
      </w:r>
    </w:p>
    <w:p w14:paraId="36E2F08A"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Невід'ємною частиною ефективного залучення amicus curiae є чітке визначення критеріїв та порядку участі такої особи в судовому процесі. У багатьох країнах для amicus curiae встановлені чіткі правила, які визначають, хто має право виступати в ролі «друга суду», в якій формі подається інформація і яким чином вона повинна бути оцінена судом [3]. В Україні для запровадження такого інституту необхідно внести відповідні зміни до процесуальних кодексів і встановити механізми взаємодії суду з третіми особами, які бажають висловити свою думку. Такі зміни дозволили б забезпечити баланс між правами сторін і інтересами громадськості, що є важливим елементом для розвитку правової системи.</w:t>
      </w:r>
    </w:p>
    <w:p w14:paraId="3B329C40"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Судова практика України наразі не передбачає надання можливості для участі amicus curiae в цивільному процесі. Проте окремі випадки, коли суди допускають висловлювання експертних думок або поглядів сторонніх осіб, можуть бути основою для подальшої розробки цього інституту. Принципова важливість залучення amicus curiae полягає в тому, що це дає суддям додаткові знання, які вони можуть використовувати для більш обґрунтованих рішень. Оскільки участь таких осіб не призводить до спрощення процесу чи необґрунтованої затримки судового розгляду, це може стати важливим інструментом для досягнення більш справедливих і компетентних рішень у складних справах.</w:t>
      </w:r>
    </w:p>
    <w:p w14:paraId="1FA10CFB" w14:textId="77777777" w:rsidR="005F048D" w:rsidRPr="00511005" w:rsidRDefault="005F048D" w:rsidP="003A292D">
      <w:pPr>
        <w:tabs>
          <w:tab w:val="left" w:pos="7088"/>
        </w:tabs>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Таким чином, запровадження інституту amicus curiae в цивільному судочинстві України дозволить покращити процес розгляду справ, зокрема у складних правових питаннях, підвищить рівень правової визначеності та гарантуватиме більш широкий доступ до правосуддя. Створення механізмів для залучення таких осіб як «друга суду» має стати важливим кроком для розвитку українського правосуддя. Впровадження цієї практики потребує детальної розробки та визначення чітких правил, щоб забезпечити </w:t>
      </w:r>
      <w:r w:rsidRPr="00511005">
        <w:rPr>
          <w:rFonts w:ascii="Arial" w:eastAsia="Times New Roman" w:hAnsi="Arial" w:cs="Arial"/>
          <w:szCs w:val="28"/>
          <w:lang w:val="uk-UA" w:eastAsia="uk-UA"/>
        </w:rPr>
        <w:lastRenderedPageBreak/>
        <w:t>ефективність і справедливість такого інституту в рамках національного судочинства.</w:t>
      </w:r>
    </w:p>
    <w:p w14:paraId="007BC8D6" w14:textId="77777777" w:rsidR="005F048D" w:rsidRPr="00511005" w:rsidRDefault="005F048D" w:rsidP="003A292D">
      <w:pPr>
        <w:widowControl w:val="0"/>
        <w:spacing w:line="264" w:lineRule="auto"/>
        <w:ind w:firstLine="0"/>
        <w:jc w:val="center"/>
        <w:rPr>
          <w:rFonts w:ascii="Arial" w:eastAsia="Times New Roman" w:hAnsi="Arial" w:cs="Arial"/>
          <w:b/>
          <w:szCs w:val="28"/>
          <w:lang w:val="uk-UA" w:eastAsia="uk-UA"/>
        </w:rPr>
      </w:pPr>
    </w:p>
    <w:p w14:paraId="27D47071" w14:textId="440EB391" w:rsidR="005F048D" w:rsidRPr="00511005" w:rsidRDefault="007B2628" w:rsidP="007B2628">
      <w:pPr>
        <w:widowControl w:val="0"/>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1BEA6975" w14:textId="77777777" w:rsidR="005F048D" w:rsidRPr="00511005" w:rsidRDefault="005F048D" w:rsidP="003F6A5D">
      <w:pPr>
        <w:numPr>
          <w:ilvl w:val="0"/>
          <w:numId w:val="364"/>
        </w:numPr>
        <w:tabs>
          <w:tab w:val="left" w:pos="709"/>
          <w:tab w:val="left" w:pos="993"/>
        </w:tabs>
        <w:spacing w:line="264" w:lineRule="auto"/>
        <w:ind w:left="0" w:firstLine="851"/>
        <w:jc w:val="left"/>
        <w:rPr>
          <w:rFonts w:ascii="Arial" w:eastAsia="Times New Roman" w:hAnsi="Arial" w:cs="Arial"/>
          <w:b/>
          <w:szCs w:val="28"/>
          <w:lang w:val="uk-UA" w:eastAsia="uk-UA"/>
        </w:rPr>
      </w:pPr>
      <w:r w:rsidRPr="00511005">
        <w:rPr>
          <w:rFonts w:ascii="Arial" w:eastAsia="Times New Roman" w:hAnsi="Arial" w:cs="Arial"/>
          <w:szCs w:val="28"/>
          <w:lang w:val="uk-UA" w:eastAsia="uk-UA"/>
        </w:rPr>
        <w:t>Васильєв Сергій. Експертний висновок у галузі права: новація національного судочинства. </w:t>
      </w:r>
      <w:r w:rsidRPr="00511005">
        <w:rPr>
          <w:rFonts w:ascii="Arial" w:eastAsia="Times New Roman" w:hAnsi="Arial" w:cs="Arial"/>
          <w:i/>
          <w:szCs w:val="28"/>
          <w:lang w:val="uk-UA" w:eastAsia="uk-UA"/>
        </w:rPr>
        <w:t>Law of Ukraine/Pravo Ukraini</w:t>
      </w:r>
      <w:r w:rsidRPr="00511005">
        <w:rPr>
          <w:rFonts w:ascii="Arial" w:eastAsia="Times New Roman" w:hAnsi="Arial" w:cs="Arial"/>
          <w:szCs w:val="28"/>
          <w:lang w:val="uk-UA" w:eastAsia="uk-UA"/>
        </w:rPr>
        <w:t xml:space="preserve"> 11 (2018). URL: </w:t>
      </w:r>
      <w:hyperlink r:id="rId1505">
        <w:r w:rsidRPr="00511005">
          <w:rPr>
            <w:rFonts w:ascii="Arial" w:eastAsia="Times New Roman" w:hAnsi="Arial" w:cs="Arial"/>
            <w:szCs w:val="28"/>
            <w:lang w:val="uk-UA" w:eastAsia="uk-UA"/>
          </w:rPr>
          <w:t>http://jnas.nbuv.gov.ua/j-pdf/prukr_2018_11_14.pdf</w:t>
        </w:r>
      </w:hyperlink>
      <w:r w:rsidRPr="00511005">
        <w:rPr>
          <w:rFonts w:ascii="Arial" w:eastAsia="Times New Roman" w:hAnsi="Arial" w:cs="Arial"/>
          <w:szCs w:val="28"/>
          <w:lang w:val="uk-UA" w:eastAsia="uk-UA"/>
        </w:rPr>
        <w:t>.</w:t>
      </w:r>
    </w:p>
    <w:p w14:paraId="0ADC7AA5" w14:textId="77777777" w:rsidR="005F048D" w:rsidRPr="00511005" w:rsidRDefault="005F048D" w:rsidP="003F6A5D">
      <w:pPr>
        <w:numPr>
          <w:ilvl w:val="0"/>
          <w:numId w:val="364"/>
        </w:numPr>
        <w:tabs>
          <w:tab w:val="left" w:pos="709"/>
          <w:tab w:val="left" w:pos="993"/>
        </w:tabs>
        <w:spacing w:line="264" w:lineRule="auto"/>
        <w:ind w:left="0" w:firstLine="851"/>
        <w:jc w:val="left"/>
        <w:rPr>
          <w:rFonts w:ascii="Arial" w:eastAsia="Times New Roman" w:hAnsi="Arial" w:cs="Arial"/>
          <w:b/>
          <w:szCs w:val="28"/>
          <w:lang w:val="uk-UA" w:eastAsia="uk-UA"/>
        </w:rPr>
      </w:pPr>
      <w:r w:rsidRPr="00511005">
        <w:rPr>
          <w:rFonts w:ascii="Arial" w:eastAsia="Times New Roman" w:hAnsi="Arial" w:cs="Arial"/>
          <w:szCs w:val="28"/>
          <w:lang w:val="uk-UA" w:eastAsia="uk-UA"/>
        </w:rPr>
        <w:t xml:space="preserve">Філіпська Н. О., Орлов В. С. «Amicus curiae» у судовій практиці. </w:t>
      </w:r>
      <w:r w:rsidRPr="00511005">
        <w:rPr>
          <w:rFonts w:ascii="Arial" w:eastAsia="Times New Roman" w:hAnsi="Arial" w:cs="Arial"/>
          <w:i/>
          <w:szCs w:val="28"/>
          <w:lang w:val="uk-UA" w:eastAsia="uk-UA"/>
        </w:rPr>
        <w:t>Правова наука і державотворення в Україні в контексті правової інтеграції: матеріали ХІІІ Міжнародної науково-практичної конференції</w:t>
      </w:r>
      <w:r w:rsidRPr="00511005">
        <w:rPr>
          <w:rFonts w:ascii="Arial" w:eastAsia="Times New Roman" w:hAnsi="Arial" w:cs="Arial"/>
          <w:szCs w:val="28"/>
          <w:lang w:val="uk-UA" w:eastAsia="uk-UA"/>
        </w:rPr>
        <w:t xml:space="preserve"> (м. Суми, 21–22 травня 2021 р.). Суми: Видавничий дім «Ельдорадо», 2021. С. 25–27.</w:t>
      </w:r>
      <w:r w:rsidRPr="00511005">
        <w:rPr>
          <w:rFonts w:ascii="Arial" w:eastAsia="Arial" w:hAnsi="Arial" w:cs="Arial"/>
          <w:szCs w:val="28"/>
          <w:lang w:val="uk-UA" w:eastAsia="uk-UA"/>
        </w:rPr>
        <w:br/>
      </w:r>
      <w:r w:rsidRPr="00511005">
        <w:rPr>
          <w:rFonts w:ascii="Arial" w:eastAsia="Times New Roman" w:hAnsi="Arial" w:cs="Arial"/>
          <w:szCs w:val="28"/>
          <w:lang w:val="uk-UA" w:eastAsia="uk-UA"/>
        </w:rPr>
        <w:t xml:space="preserve">URL: </w:t>
      </w:r>
      <w:hyperlink r:id="rId1506">
        <w:r w:rsidRPr="00511005">
          <w:rPr>
            <w:rFonts w:ascii="Arial" w:eastAsia="Times New Roman" w:hAnsi="Arial" w:cs="Arial"/>
            <w:szCs w:val="28"/>
            <w:lang w:val="uk-UA" w:eastAsia="uk-UA"/>
          </w:rPr>
          <w:t>http://dspace.univd.edu.ua/xmlui/handle/123456789/16667</w:t>
        </w:r>
      </w:hyperlink>
      <w:r w:rsidRPr="00511005">
        <w:rPr>
          <w:rFonts w:ascii="Arial" w:eastAsia="Times New Roman" w:hAnsi="Arial" w:cs="Arial"/>
          <w:szCs w:val="28"/>
          <w:lang w:val="uk-UA" w:eastAsia="uk-UA"/>
        </w:rPr>
        <w:t>.</w:t>
      </w:r>
    </w:p>
    <w:p w14:paraId="4759D290" w14:textId="77777777" w:rsidR="005F048D" w:rsidRPr="00511005" w:rsidRDefault="005F048D" w:rsidP="003F6A5D">
      <w:pPr>
        <w:numPr>
          <w:ilvl w:val="0"/>
          <w:numId w:val="364"/>
        </w:numPr>
        <w:tabs>
          <w:tab w:val="left" w:pos="709"/>
          <w:tab w:val="left" w:pos="993"/>
        </w:tabs>
        <w:spacing w:line="264" w:lineRule="auto"/>
        <w:ind w:left="0" w:firstLine="851"/>
        <w:jc w:val="left"/>
        <w:rPr>
          <w:rFonts w:ascii="Arial" w:eastAsia="Times New Roman" w:hAnsi="Arial" w:cs="Arial"/>
          <w:b/>
          <w:szCs w:val="28"/>
          <w:lang w:val="uk-UA" w:eastAsia="uk-UA"/>
        </w:rPr>
      </w:pPr>
      <w:r w:rsidRPr="00511005">
        <w:rPr>
          <w:rFonts w:ascii="Arial" w:eastAsia="Times New Roman" w:hAnsi="Arial" w:cs="Arial"/>
          <w:szCs w:val="28"/>
          <w:lang w:val="uk-UA" w:eastAsia="uk-UA"/>
        </w:rPr>
        <w:t>Александру ТЕНАСЕ, Георгій ПАПУАШВІЛІ. Концепція AMICUS CURIAE у сучасному правосудді https://www.osce.org/files/f/documents/3/c/523443.pdf.</w:t>
      </w:r>
    </w:p>
    <w:p w14:paraId="5BEFAC80" w14:textId="77777777" w:rsidR="005F048D" w:rsidRPr="00511005" w:rsidRDefault="005F048D" w:rsidP="003A292D">
      <w:pPr>
        <w:widowControl w:val="0"/>
        <w:spacing w:line="264" w:lineRule="auto"/>
        <w:rPr>
          <w:rFonts w:ascii="Arial" w:eastAsia="Times New Roman" w:hAnsi="Arial" w:cs="Arial"/>
          <w:b/>
          <w:szCs w:val="28"/>
          <w:lang w:val="uk-UA" w:eastAsia="uk-UA"/>
        </w:rPr>
      </w:pPr>
    </w:p>
    <w:p w14:paraId="14B985EA" w14:textId="5D8799F4" w:rsidR="005F048D" w:rsidRPr="00511005" w:rsidRDefault="007B2628" w:rsidP="003A292D">
      <w:pPr>
        <w:widowControl w:val="0"/>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amicus curiae, цивільне судочинство, третя особа, судовий процес, правова допомога, римське право, юридична консультація, правова система, процесуальні гарантії, правосуддя.</w:t>
      </w:r>
    </w:p>
    <w:p w14:paraId="2C532C90" w14:textId="242AF530" w:rsidR="005F048D" w:rsidRPr="00511005" w:rsidRDefault="007B2628" w:rsidP="003A292D">
      <w:pPr>
        <w:widowControl w:val="0"/>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amicus curiae, civil procedure, third party, judicial process, legal assistance, Roman law, legal consultation, legal system, procedural guarantees, justice.</w:t>
      </w:r>
    </w:p>
    <w:p w14:paraId="0DE15FE4" w14:textId="08F29D01" w:rsidR="005F048D" w:rsidRPr="00511005" w:rsidRDefault="007B2628" w:rsidP="003A292D">
      <w:pPr>
        <w:tabs>
          <w:tab w:val="left" w:pos="7088"/>
        </w:tabs>
        <w:spacing w:line="264" w:lineRule="auto"/>
        <w:jc w:val="left"/>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szCs w:val="28"/>
          <w:lang w:val="uk-UA" w:eastAsia="uk-UA"/>
        </w:rPr>
        <w:t>к.ю.н., доцент Іліопол І. М.</w:t>
      </w:r>
    </w:p>
    <w:p w14:paraId="1A285D8F" w14:textId="77777777" w:rsidR="005F048D" w:rsidRPr="00511005" w:rsidRDefault="005F048D" w:rsidP="003A292D">
      <w:pPr>
        <w:spacing w:line="264" w:lineRule="auto"/>
        <w:ind w:firstLine="0"/>
        <w:jc w:val="left"/>
        <w:rPr>
          <w:rFonts w:ascii="Arial" w:eastAsia="Times New Roman" w:hAnsi="Arial" w:cs="Arial"/>
          <w:szCs w:val="28"/>
          <w:lang w:val="uk-UA" w:eastAsia="uk-UA"/>
        </w:rPr>
      </w:pPr>
    </w:p>
    <w:p w14:paraId="199A057A" w14:textId="77777777" w:rsidR="005F048D" w:rsidRPr="00511005" w:rsidRDefault="005F048D" w:rsidP="003A292D">
      <w:pPr>
        <w:spacing w:line="264" w:lineRule="auto"/>
        <w:ind w:firstLine="0"/>
        <w:jc w:val="left"/>
        <w:rPr>
          <w:rFonts w:ascii="Arial" w:eastAsia="Times New Roman" w:hAnsi="Arial" w:cs="Arial"/>
          <w:b/>
          <w:i/>
          <w:szCs w:val="28"/>
          <w:lang w:val="uk-UA" w:eastAsia="uk-UA"/>
        </w:rPr>
      </w:pPr>
    </w:p>
    <w:p w14:paraId="44D0DA95"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Старинець Анна Олександрівна</w:t>
      </w:r>
    </w:p>
    <w:p w14:paraId="1B5E67FD" w14:textId="11167A88"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1-го курсу магістратури</w:t>
      </w:r>
      <w:r w:rsidR="005F048D" w:rsidRPr="00511005">
        <w:rPr>
          <w:rFonts w:ascii="Arial" w:eastAsia="Times New Roman" w:hAnsi="Arial" w:cs="Arial"/>
          <w:szCs w:val="28"/>
          <w:lang w:val="uk-UA" w:eastAsia="uk-UA"/>
        </w:rPr>
        <w:t xml:space="preserve"> </w:t>
      </w:r>
    </w:p>
    <w:p w14:paraId="0FC810EE" w14:textId="0437C5DF"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факультету </w:t>
      </w:r>
      <w:r w:rsidR="007E6CF0">
        <w:rPr>
          <w:rFonts w:ascii="Arial" w:eastAsia="Times New Roman" w:hAnsi="Arial" w:cs="Arial"/>
          <w:szCs w:val="28"/>
          <w:lang w:val="uk-UA" w:eastAsia="uk-UA"/>
        </w:rPr>
        <w:t>ц</w:t>
      </w:r>
      <w:r w:rsidRPr="00511005">
        <w:rPr>
          <w:rFonts w:ascii="Arial" w:eastAsia="Times New Roman" w:hAnsi="Arial" w:cs="Arial"/>
          <w:szCs w:val="28"/>
          <w:lang w:val="uk-UA" w:eastAsia="uk-UA"/>
        </w:rPr>
        <w:t>ивільн</w:t>
      </w:r>
      <w:r w:rsidR="007E6CF0">
        <w:rPr>
          <w:rFonts w:ascii="Arial" w:eastAsia="Times New Roman" w:hAnsi="Arial" w:cs="Arial"/>
          <w:szCs w:val="28"/>
          <w:lang w:val="uk-UA" w:eastAsia="uk-UA"/>
        </w:rPr>
        <w:t>ої</w:t>
      </w:r>
      <w:r w:rsidRPr="00511005">
        <w:rPr>
          <w:rFonts w:ascii="Arial" w:eastAsia="Times New Roman" w:hAnsi="Arial" w:cs="Arial"/>
          <w:szCs w:val="28"/>
          <w:lang w:val="uk-UA" w:eastAsia="uk-UA"/>
        </w:rPr>
        <w:t xml:space="preserve"> та господарськ</w:t>
      </w:r>
      <w:r w:rsidR="007E6CF0">
        <w:rPr>
          <w:rFonts w:ascii="Arial" w:eastAsia="Times New Roman" w:hAnsi="Arial" w:cs="Arial"/>
          <w:szCs w:val="28"/>
          <w:lang w:val="uk-UA" w:eastAsia="uk-UA"/>
        </w:rPr>
        <w:t>ої</w:t>
      </w:r>
      <w:r w:rsidRPr="00511005">
        <w:rPr>
          <w:rFonts w:ascii="Arial" w:eastAsia="Times New Roman" w:hAnsi="Arial" w:cs="Arial"/>
          <w:szCs w:val="28"/>
          <w:lang w:val="uk-UA" w:eastAsia="uk-UA"/>
        </w:rPr>
        <w:t xml:space="preserve"> юстиці</w:t>
      </w:r>
      <w:r w:rsidR="007E6CF0">
        <w:rPr>
          <w:rFonts w:ascii="Arial" w:eastAsia="Times New Roman" w:hAnsi="Arial" w:cs="Arial"/>
          <w:szCs w:val="28"/>
          <w:lang w:val="uk-UA" w:eastAsia="uk-UA"/>
        </w:rPr>
        <w:t>ї</w:t>
      </w:r>
      <w:r w:rsidRPr="00511005">
        <w:rPr>
          <w:rFonts w:ascii="Arial" w:eastAsia="Times New Roman" w:hAnsi="Arial" w:cs="Arial"/>
          <w:szCs w:val="28"/>
          <w:lang w:val="uk-UA" w:eastAsia="uk-UA"/>
        </w:rPr>
        <w:t xml:space="preserve"> </w:t>
      </w:r>
    </w:p>
    <w:p w14:paraId="093E40E6" w14:textId="465AE1AA"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13721AD7" w14:textId="77777777" w:rsidR="007B2628" w:rsidRPr="00511005" w:rsidRDefault="007B2628" w:rsidP="003A292D">
      <w:pPr>
        <w:spacing w:line="264" w:lineRule="auto"/>
        <w:ind w:firstLine="0"/>
        <w:jc w:val="center"/>
        <w:rPr>
          <w:rFonts w:ascii="Arial" w:eastAsia="Times New Roman" w:hAnsi="Arial" w:cs="Arial"/>
          <w:szCs w:val="28"/>
          <w:lang w:val="uk-UA" w:eastAsia="uk-UA"/>
        </w:rPr>
      </w:pPr>
    </w:p>
    <w:p w14:paraId="713774A5" w14:textId="5AF8BCDC" w:rsidR="005F048D" w:rsidRPr="00511005" w:rsidRDefault="005F048D" w:rsidP="003A292D">
      <w:pPr>
        <w:spacing w:line="264" w:lineRule="auto"/>
        <w:ind w:left="340"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ЦИФРОВІЗАЦІЯ ЦИВІЛЬНОГО СУДОЧИНСТВА: ВИКЛИКИ ТА ПЕРСПЕКТИВИ В КОНТЕКСТІ СУДОВОЇ РЕФОРМИ</w:t>
      </w:r>
    </w:p>
    <w:p w14:paraId="7782E49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Цифрова трансформація — ключовий тренд сучасного світу, який охоплює всі сфери життя, включно з правосуддям. В Україні процес цифровізації судової системи, особливо цивільного судочинства, набирає обертів у рамках судової реформи. Основна мета — зробити правосуддя більш доступним, ефективним та прозорим для громадян.[4, cт.1]</w:t>
      </w:r>
    </w:p>
    <w:p w14:paraId="73883810" w14:textId="5F517B4B"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Вагомим внеском у модернізацію правосуддя стало запровадження підсистеми «Електронний суд», оскільки цифровізвція цивільного судочинства забезпечує електронну комунікацію між учасниками судового процесу та судом і сприяє доступності правосуддя. В той же час, невпинний </w:t>
      </w:r>
      <w:r w:rsidRPr="00511005">
        <w:rPr>
          <w:rFonts w:ascii="Arial" w:eastAsia="Times New Roman" w:hAnsi="Arial" w:cs="Arial"/>
          <w:szCs w:val="28"/>
          <w:lang w:val="uk-UA" w:eastAsia="uk-UA"/>
        </w:rPr>
        <w:lastRenderedPageBreak/>
        <w:t>розвиток технологій штучного інтелекту, спричиняє необхідність адаптації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національного законодавства до використання таких інноваційних підходів. [5, c. 19]</w:t>
      </w:r>
    </w:p>
    <w:p w14:paraId="4BDBBB78"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Одним із ключових досягнень у сфері цифровізації цивільного судочинства в Україні є впровадження Єдиної судової інформаційно-телекомунікаційної системи (ЄСІТС). Це комплекс електронних сервісів, що забезпечують автоматизацію багатьох процесів у судовій системі. Система включає такі підсистеми, як «Електронний суд», «Автоматизований розподіл справ», «Електронний архів» та інші.</w:t>
      </w:r>
    </w:p>
    <w:p w14:paraId="47B3B59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szCs w:val="28"/>
          <w:lang w:val="uk-UA" w:eastAsia="uk-UA"/>
        </w:rPr>
        <w:t>Електронний суд (e-Sud)</w:t>
      </w:r>
      <w:r w:rsidRPr="00511005">
        <w:rPr>
          <w:rFonts w:ascii="Arial" w:eastAsia="Times New Roman" w:hAnsi="Arial" w:cs="Arial"/>
          <w:szCs w:val="28"/>
          <w:lang w:val="uk-UA" w:eastAsia="uk-UA"/>
        </w:rPr>
        <w:t xml:space="preserve"> дозволяє здійснювати онлайн подачу процесуальних документів, отримувати рішення суду в електронній формі, отримувати повідомлення про хід справ через електронну пошту або СМС, а також брати участь у судових засіданнях за допомогою відеоконференцій.[3]</w:t>
      </w:r>
    </w:p>
    <w:p w14:paraId="544A819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Серед основних переваг підсистеми «Електронний суд» варто виділити:</w:t>
      </w:r>
    </w:p>
    <w:p w14:paraId="495AD4A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 </w:t>
      </w:r>
      <w:r w:rsidRPr="00511005">
        <w:rPr>
          <w:rFonts w:ascii="Arial" w:eastAsia="Times New Roman" w:hAnsi="Arial" w:cs="Arial"/>
          <w:b/>
          <w:szCs w:val="28"/>
          <w:lang w:val="uk-UA" w:eastAsia="uk-UA"/>
        </w:rPr>
        <w:t>Подання документів онлайн.</w:t>
      </w:r>
      <w:r w:rsidRPr="00511005">
        <w:rPr>
          <w:rFonts w:ascii="Arial" w:eastAsia="Times New Roman" w:hAnsi="Arial" w:cs="Arial"/>
          <w:szCs w:val="28"/>
          <w:lang w:val="uk-UA" w:eastAsia="uk-UA"/>
        </w:rPr>
        <w:t xml:space="preserve"> Учасники судового процесу можуть створювати та подавати позови, клопотання та інші документи в електронному форматі за допомогою вбудованого редактора, підписуючи їх кваліфікованим електронним підписом. До документів можна додавати файли (зображення, відео), які також підписуються. Рух і стан розгляду документів відслідковується в електронному кабінеті.</w:t>
      </w:r>
    </w:p>
    <w:p w14:paraId="3C9DC19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 </w:t>
      </w:r>
      <w:r w:rsidRPr="00511005">
        <w:rPr>
          <w:rFonts w:ascii="Arial" w:eastAsia="Times New Roman" w:hAnsi="Arial" w:cs="Arial"/>
          <w:b/>
          <w:szCs w:val="28"/>
          <w:lang w:val="uk-UA" w:eastAsia="uk-UA"/>
        </w:rPr>
        <w:t>Електронна довіреність.</w:t>
      </w:r>
      <w:r w:rsidRPr="00511005">
        <w:rPr>
          <w:rFonts w:ascii="Arial" w:eastAsia="Times New Roman" w:hAnsi="Arial" w:cs="Arial"/>
          <w:szCs w:val="28"/>
          <w:lang w:val="uk-UA" w:eastAsia="uk-UA"/>
        </w:rPr>
        <w:t xml:space="preserve"> Користувачі можуть уповноважити інших осіб діяти від їхнього імені, надавши електронну довіреність. Інформація про документи надходить і довірителю, і повіреному.</w:t>
      </w:r>
    </w:p>
    <w:p w14:paraId="0B19C34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 </w:t>
      </w:r>
      <w:r w:rsidRPr="00511005">
        <w:rPr>
          <w:rFonts w:ascii="Arial" w:eastAsia="Times New Roman" w:hAnsi="Arial" w:cs="Arial"/>
          <w:b/>
          <w:szCs w:val="28"/>
          <w:lang w:val="uk-UA" w:eastAsia="uk-UA"/>
        </w:rPr>
        <w:t>Оплата онлайн.</w:t>
      </w:r>
      <w:r w:rsidRPr="00511005">
        <w:rPr>
          <w:rFonts w:ascii="Arial" w:eastAsia="Times New Roman" w:hAnsi="Arial" w:cs="Arial"/>
          <w:szCs w:val="28"/>
          <w:lang w:val="uk-UA" w:eastAsia="uk-UA"/>
        </w:rPr>
        <w:t xml:space="preserve"> Судовий збір та інші платежі можна сплатити безпосередньо під час формування документа або додати підтвердження самостійного платежу. Дані автоматично інтегруються в документ.</w:t>
      </w:r>
    </w:p>
    <w:p w14:paraId="7664944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szCs w:val="28"/>
          <w:lang w:val="uk-UA" w:eastAsia="uk-UA"/>
        </w:rPr>
        <w:t>Автоматизований розподіл справ</w:t>
      </w:r>
      <w:r w:rsidRPr="00511005">
        <w:rPr>
          <w:rFonts w:ascii="Arial" w:eastAsia="Times New Roman" w:hAnsi="Arial" w:cs="Arial"/>
          <w:szCs w:val="28"/>
          <w:lang w:val="uk-UA" w:eastAsia="uk-UA"/>
        </w:rPr>
        <w:t xml:space="preserve"> — це механізм, який забезпечує розподіл справ між суддями автоматично за допомогою спеціального алгоритму, що знижує ризик будь-яких маніпуляцій та підвищує об’єктивність процесу.</w:t>
      </w:r>
    </w:p>
    <w:p w14:paraId="0B99C882"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szCs w:val="28"/>
          <w:lang w:val="uk-UA" w:eastAsia="uk-UA"/>
        </w:rPr>
        <w:t>Електронний архів</w:t>
      </w:r>
      <w:r w:rsidRPr="00511005">
        <w:rPr>
          <w:rFonts w:ascii="Arial" w:eastAsia="Times New Roman" w:hAnsi="Arial" w:cs="Arial"/>
          <w:szCs w:val="28"/>
          <w:lang w:val="uk-UA" w:eastAsia="uk-UA"/>
        </w:rPr>
        <w:t xml:space="preserve"> Єдиної судової інформаційно-телекомунікаційної системи (ЄСІТС) забезпечує централізоване зберігання всіх процесуальних документів, рішень та матеріалів судових справ у цифровому форматі. Це дозволяє:</w:t>
      </w:r>
    </w:p>
    <w:p w14:paraId="25ADCCD0" w14:textId="77777777" w:rsidR="005F048D" w:rsidRPr="00511005" w:rsidRDefault="005F048D" w:rsidP="003F6A5D">
      <w:pPr>
        <w:numPr>
          <w:ilvl w:val="0"/>
          <w:numId w:val="357"/>
        </w:numPr>
        <w:tabs>
          <w:tab w:val="left" w:pos="720"/>
        </w:tabs>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швидко знаходити потрібні документи;</w:t>
      </w:r>
    </w:p>
    <w:p w14:paraId="17971A23" w14:textId="77777777" w:rsidR="005F048D" w:rsidRPr="00511005" w:rsidRDefault="005F048D" w:rsidP="003F6A5D">
      <w:pPr>
        <w:numPr>
          <w:ilvl w:val="0"/>
          <w:numId w:val="357"/>
        </w:numPr>
        <w:tabs>
          <w:tab w:val="left" w:pos="720"/>
        </w:tabs>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зберігати їх в актуальному та захищеному вигляді;</w:t>
      </w:r>
    </w:p>
    <w:p w14:paraId="1AD26AA3" w14:textId="77777777" w:rsidR="005F048D" w:rsidRPr="00511005" w:rsidRDefault="005F048D" w:rsidP="003F6A5D">
      <w:pPr>
        <w:numPr>
          <w:ilvl w:val="0"/>
          <w:numId w:val="357"/>
        </w:numPr>
        <w:tabs>
          <w:tab w:val="left" w:pos="720"/>
        </w:tabs>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забезпечити доступ до архіву як суддям і працівникам суду, так і сторонам процесу — через електронний кабінет;</w:t>
      </w:r>
    </w:p>
    <w:p w14:paraId="1551B25B" w14:textId="77777777" w:rsidR="005F048D" w:rsidRPr="00511005" w:rsidRDefault="005F048D" w:rsidP="003F6A5D">
      <w:pPr>
        <w:numPr>
          <w:ilvl w:val="0"/>
          <w:numId w:val="357"/>
        </w:numPr>
        <w:tabs>
          <w:tab w:val="left" w:pos="720"/>
        </w:tabs>
        <w:spacing w:line="264" w:lineRule="auto"/>
        <w:ind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гарантувати довготривале збереження та унеможливити втрату чи пошкодження матеріалів.</w:t>
      </w:r>
    </w:p>
    <w:p w14:paraId="7A33F6F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Завдяки електронному архіву значно підвищується ефективність документообігу в судах та зменшується залежність від паперових носіїв.</w:t>
      </w:r>
    </w:p>
    <w:p w14:paraId="369569FF"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Незважаючи на досягнення, процес цифровізації стикається з рядом викликів. Одним із них є </w:t>
      </w:r>
      <w:r w:rsidRPr="00511005">
        <w:rPr>
          <w:rFonts w:ascii="Arial" w:eastAsia="Times New Roman" w:hAnsi="Arial" w:cs="Arial"/>
          <w:b/>
          <w:szCs w:val="28"/>
          <w:lang w:val="uk-UA" w:eastAsia="uk-UA"/>
        </w:rPr>
        <w:t>технічні бар’єри</w:t>
      </w:r>
      <w:r w:rsidRPr="00511005">
        <w:rPr>
          <w:rFonts w:ascii="Arial" w:eastAsia="Times New Roman" w:hAnsi="Arial" w:cs="Arial"/>
          <w:szCs w:val="28"/>
          <w:lang w:val="uk-UA" w:eastAsia="uk-UA"/>
        </w:rPr>
        <w:t xml:space="preserve"> — багато судів досі не мають належного технічного забезпечення, включаючи сучасні комп’ютери, камери та мережеве обладнання. Особливо проблематичним є нерівномірний доступ до інтернету в сільській місцевості, що ускладнює участь сторін у дистанційних засіданнях.</w:t>
      </w:r>
    </w:p>
    <w:p w14:paraId="1D102B9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szCs w:val="28"/>
          <w:lang w:val="uk-UA" w:eastAsia="uk-UA"/>
        </w:rPr>
        <w:t>Людський фактор</w:t>
      </w:r>
      <w:r w:rsidRPr="00511005">
        <w:rPr>
          <w:rFonts w:ascii="Arial" w:eastAsia="Times New Roman" w:hAnsi="Arial" w:cs="Arial"/>
          <w:szCs w:val="28"/>
          <w:lang w:val="uk-UA" w:eastAsia="uk-UA"/>
        </w:rPr>
        <w:t xml:space="preserve"> також відіграє важливу роль. Низький рівень цифрової грамотності серед деяких учасників судового процесу, зокрема людей похилого віку, ускладнює повноцінне використання цифрових інструментів. Крім того, серед частини суддівського та адвокатського корпусу досі спостерігається опір до змін.</w:t>
      </w:r>
    </w:p>
    <w:p w14:paraId="1064EC11"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szCs w:val="28"/>
          <w:lang w:val="uk-UA" w:eastAsia="uk-UA"/>
        </w:rPr>
        <w:t>Правові обмеження</w:t>
      </w:r>
      <w:r w:rsidRPr="00511005">
        <w:rPr>
          <w:rFonts w:ascii="Arial" w:eastAsia="Times New Roman" w:hAnsi="Arial" w:cs="Arial"/>
          <w:szCs w:val="28"/>
          <w:lang w:val="uk-UA" w:eastAsia="uk-UA"/>
        </w:rPr>
        <w:t xml:space="preserve"> стосуються недостатнього регулювання електронних доказів, процедур відеозасідань та використання цифрових підписів. Також існують суперечності між чинними процесуальними нормами та можливостями електронних платформ.</w:t>
      </w:r>
    </w:p>
    <w:p w14:paraId="0AC10219"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Ще одним критичним викликом є </w:t>
      </w:r>
      <w:r w:rsidRPr="00511005">
        <w:rPr>
          <w:rFonts w:ascii="Arial" w:eastAsia="Times New Roman" w:hAnsi="Arial" w:cs="Arial"/>
          <w:b/>
          <w:szCs w:val="28"/>
          <w:lang w:val="uk-UA" w:eastAsia="uk-UA"/>
        </w:rPr>
        <w:t>забезпечення кібербезпеки</w:t>
      </w:r>
      <w:r w:rsidRPr="00511005">
        <w:rPr>
          <w:rFonts w:ascii="Arial" w:eastAsia="Times New Roman" w:hAnsi="Arial" w:cs="Arial"/>
          <w:szCs w:val="28"/>
          <w:lang w:val="uk-UA" w:eastAsia="uk-UA"/>
        </w:rPr>
        <w:t xml:space="preserve"> — зокрема, загроза витоку конфіденційної інформації та недостатній рівень захисту електронних баз даних судової системи.</w:t>
      </w:r>
    </w:p>
    <w:p w14:paraId="297A3C38"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Щоб подолати зазначені виклики та забезпечити подальший розвиток електронного судочинства, необхідно реалізувати низку заходів.</w:t>
      </w:r>
    </w:p>
    <w:p w14:paraId="51650097"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szCs w:val="28"/>
          <w:lang w:val="uk-UA" w:eastAsia="uk-UA"/>
        </w:rPr>
        <w:t>Законодавче удосконалення</w:t>
      </w:r>
      <w:r w:rsidRPr="00511005">
        <w:rPr>
          <w:rFonts w:ascii="Arial" w:eastAsia="Times New Roman" w:hAnsi="Arial" w:cs="Arial"/>
          <w:szCs w:val="28"/>
          <w:lang w:val="uk-UA" w:eastAsia="uk-UA"/>
        </w:rPr>
        <w:t xml:space="preserve"> передбачає гармонізацію цивільного процесуального законодавства з цифровими інструментами, а також регламентацію процедур електронного судочинства, включаючи визначення термінів та обов’язкових форм.</w:t>
      </w:r>
    </w:p>
    <w:p w14:paraId="2AD48F4D"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Інфраструктурні зміни потребують </w:t>
      </w:r>
      <w:r w:rsidRPr="00511005">
        <w:rPr>
          <w:rFonts w:ascii="Arial" w:eastAsia="Times New Roman" w:hAnsi="Arial" w:cs="Arial"/>
          <w:b/>
          <w:szCs w:val="28"/>
          <w:lang w:val="uk-UA" w:eastAsia="uk-UA"/>
        </w:rPr>
        <w:t>інвестицій у сучасне обладнання для судів</w:t>
      </w:r>
      <w:r w:rsidRPr="00511005">
        <w:rPr>
          <w:rFonts w:ascii="Arial" w:eastAsia="Times New Roman" w:hAnsi="Arial" w:cs="Arial"/>
          <w:szCs w:val="28"/>
          <w:lang w:val="uk-UA" w:eastAsia="uk-UA"/>
        </w:rPr>
        <w:t xml:space="preserve"> та розширення доступу до швидкісного інтернету в регіонах.</w:t>
      </w:r>
    </w:p>
    <w:p w14:paraId="378A4CC6"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Також важливою є </w:t>
      </w:r>
      <w:r w:rsidRPr="00511005">
        <w:rPr>
          <w:rFonts w:ascii="Arial" w:eastAsia="Times New Roman" w:hAnsi="Arial" w:cs="Arial"/>
          <w:b/>
          <w:szCs w:val="28"/>
          <w:lang w:val="uk-UA" w:eastAsia="uk-UA"/>
        </w:rPr>
        <w:t>інтеграція з іншими державними системами</w:t>
      </w:r>
      <w:r w:rsidRPr="00511005">
        <w:rPr>
          <w:rFonts w:ascii="Arial" w:eastAsia="Times New Roman" w:hAnsi="Arial" w:cs="Arial"/>
          <w:szCs w:val="28"/>
          <w:lang w:val="uk-UA" w:eastAsia="uk-UA"/>
        </w:rPr>
        <w:t>, що передбачає створення єдиних каналів обміну даними з державними реєстрами (ЄДР, ДРРП, РАЦС тощо) та використання цифрових сервісів, зокрема додатку «Дія», для електронної ідентифікації осіб у судовому процесі.</w:t>
      </w:r>
    </w:p>
    <w:p w14:paraId="4FB00C90"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Цифровізація цивільного судочинства — невід’ємна частина судової реформи, що має потенціал зробити судову систему більш відкритою, швидкою та справедливою. Успіх цього процесу залежить від комплексного підходу: технічного, правового, освітнього та організаційного. Подолання поточних викликів відкриває шлях до сучасного електронного правосуддя європейського зразка.</w:t>
      </w:r>
    </w:p>
    <w:p w14:paraId="2FDED8D7" w14:textId="6FBBA43A" w:rsidR="005F048D" w:rsidRPr="00511005" w:rsidRDefault="007B2628" w:rsidP="007B2628">
      <w:pPr>
        <w:spacing w:line="264" w:lineRule="auto"/>
        <w:ind w:firstLine="851"/>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1331727F" w14:textId="77777777" w:rsidR="005F048D" w:rsidRPr="00511005" w:rsidRDefault="005F048D" w:rsidP="003F6A5D">
      <w:pPr>
        <w:numPr>
          <w:ilvl w:val="0"/>
          <w:numId w:val="38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Wu T., Chen M. The Building of Smart Court – Value and Design. Social Sciences. 2019. No. 5. P. 106–107.</w:t>
      </w:r>
    </w:p>
    <w:p w14:paraId="6B022310" w14:textId="77777777" w:rsidR="005F048D" w:rsidRPr="00511005" w:rsidRDefault="005F048D" w:rsidP="003F6A5D">
      <w:pPr>
        <w:numPr>
          <w:ilvl w:val="0"/>
          <w:numId w:val="38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Каламайко А. Ю. Цифровізація правосуддя та доступ до правосуддя під час COVID. Юридичний бюлетень. 2020. Вип. 14. С. 98–108.</w:t>
      </w:r>
    </w:p>
    <w:p w14:paraId="4C080E1B" w14:textId="77777777" w:rsidR="005F048D" w:rsidRPr="00511005" w:rsidRDefault="005F048D" w:rsidP="003F6A5D">
      <w:pPr>
        <w:numPr>
          <w:ilvl w:val="0"/>
          <w:numId w:val="38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Положення про порядок функціонування окремих підсистем (модулів) Єдиної судової інформаційно-телекомунікаційної системиURL:https://hcj.gov.ua/sites/default/files/field/file/polozhennya_yesits_7.03.2024.pdf</w:t>
      </w:r>
    </w:p>
    <w:p w14:paraId="6C11EDDC" w14:textId="77777777" w:rsidR="005F048D" w:rsidRPr="00511005" w:rsidRDefault="005F048D" w:rsidP="003F6A5D">
      <w:pPr>
        <w:numPr>
          <w:ilvl w:val="0"/>
          <w:numId w:val="38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Проект Плану відновлення України. Матеріали робочої групи «Юстиція». URL: https://www.kmu.gov.ua/storage/app/sites/1/recoveryrada/ua/justice.pdf .</w:t>
      </w:r>
    </w:p>
    <w:p w14:paraId="06DEF8C7" w14:textId="4CB20CC1" w:rsidR="005F048D" w:rsidRPr="00511005" w:rsidRDefault="005F048D" w:rsidP="003F6A5D">
      <w:pPr>
        <w:numPr>
          <w:ilvl w:val="0"/>
          <w:numId w:val="38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Іліопол І.М.</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Онлайн-суди як перспектива цивільного судочинства.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Захист прав людини в порядку цивільного судочинства в цифрову еру : матер. Всеукр. наук. практич. інтернет-конф. ім. Ю. С. Червоного (м. Одеса, 20 груд. 2024 р.) / упоряд.: Н. Ю. Голубєва, І. В. Андронов, О. О. Полуніна [та ін.] ; за заг. ред. Н. Ю. Голубєвої ; НУ "ОЮА". Одеса : Юридична література, 2025. 68 с. С.с. 19-23. URL: </w:t>
      </w:r>
      <w:hyperlink r:id="rId1507">
        <w:r w:rsidRPr="00511005">
          <w:rPr>
            <w:rFonts w:ascii="Arial" w:eastAsia="Times New Roman" w:hAnsi="Arial" w:cs="Arial"/>
            <w:szCs w:val="28"/>
            <w:lang w:val="uk-UA" w:eastAsia="uk-UA"/>
          </w:rPr>
          <w:t>https://dspace.onua.edu.ua/server/api/core/bitstreams/c892a2aa-d55e-4677-9149-14e834aadc4f/content</w:t>
        </w:r>
      </w:hyperlink>
      <w:r w:rsidRPr="00511005">
        <w:rPr>
          <w:rFonts w:ascii="Arial" w:eastAsia="Times New Roman" w:hAnsi="Arial" w:cs="Arial"/>
          <w:szCs w:val="28"/>
          <w:lang w:val="uk-UA" w:eastAsia="uk-UA"/>
        </w:rPr>
        <w:t xml:space="preserve"> </w:t>
      </w:r>
    </w:p>
    <w:p w14:paraId="32FA947B" w14:textId="77777777" w:rsidR="005F048D" w:rsidRPr="00511005" w:rsidRDefault="005F048D" w:rsidP="003F6A5D">
      <w:pPr>
        <w:numPr>
          <w:ilvl w:val="0"/>
          <w:numId w:val="38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Чалабієва М. Р. «Суд у смартфоні» як штучний інтелект у правосудді: реалії та перспективи. Юридичний науковий електронний журнал. 2021. № 10.</w:t>
      </w:r>
    </w:p>
    <w:p w14:paraId="521EF046" w14:textId="77777777" w:rsidR="005F048D" w:rsidRPr="00511005" w:rsidRDefault="005F048D" w:rsidP="003F6A5D">
      <w:pPr>
        <w:numPr>
          <w:ilvl w:val="0"/>
          <w:numId w:val="386"/>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Які проблеми може вирішити штучний інтелект в Україні. Юридична Газета. 2021. 24 трав. URL: https://yur-gazeta.com/dumka-eksperta/yaki-problemi-mozhe-virishiti-shtuchniy-intelekt-v-ukrayini.html (дата звернення: 15.01.2023).</w:t>
      </w:r>
    </w:p>
    <w:p w14:paraId="07F4931C" w14:textId="043243BF"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правосуддя, цифрові технології, E-Суд, інформатизація, суд, реформи, право, судова система, електронне правосуддя.</w:t>
      </w:r>
    </w:p>
    <w:p w14:paraId="4CBC5F4E" w14:textId="576BB06E"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justice, digital technologies, E-Court, informatization, court, reforms, law, judicial system, electronic justice.</w:t>
      </w:r>
    </w:p>
    <w:p w14:paraId="71A10DC6" w14:textId="2070ECE4" w:rsidR="005F048D"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 ю н., доцент Іліопол І.М.</w:t>
      </w:r>
    </w:p>
    <w:p w14:paraId="4A9A47FC" w14:textId="77777777" w:rsidR="005F048D" w:rsidRPr="00511005" w:rsidRDefault="005F048D" w:rsidP="003A292D">
      <w:pPr>
        <w:tabs>
          <w:tab w:val="left" w:pos="7088"/>
        </w:tabs>
        <w:spacing w:line="264" w:lineRule="auto"/>
        <w:jc w:val="left"/>
        <w:rPr>
          <w:rFonts w:ascii="Arial" w:eastAsia="Times New Roman" w:hAnsi="Arial" w:cs="Arial"/>
          <w:szCs w:val="28"/>
          <w:lang w:val="uk-UA" w:eastAsia="uk-UA"/>
        </w:rPr>
      </w:pPr>
    </w:p>
    <w:p w14:paraId="1BC86D7C" w14:textId="77777777" w:rsidR="005F048D" w:rsidRPr="00511005" w:rsidRDefault="005F048D" w:rsidP="007E6CF0">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Тарасова Вероніка Олександрівна</w:t>
      </w:r>
    </w:p>
    <w:p w14:paraId="36D0BA2C" w14:textId="6AAEB1CF" w:rsidR="005F048D" w:rsidRPr="007E6CF0" w:rsidRDefault="00536AAB" w:rsidP="007E6CF0">
      <w:pPr>
        <w:spacing w:line="264" w:lineRule="auto"/>
        <w:ind w:firstLine="0"/>
        <w:jc w:val="center"/>
        <w:rPr>
          <w:rFonts w:ascii="Arial" w:eastAsia="Times New Roman" w:hAnsi="Arial" w:cs="Arial"/>
          <w:iCs/>
          <w:szCs w:val="28"/>
          <w:lang w:val="uk-UA" w:eastAsia="uk-UA"/>
        </w:rPr>
      </w:pPr>
      <w:r w:rsidRPr="007E6CF0">
        <w:rPr>
          <w:rFonts w:ascii="Arial" w:eastAsia="Times New Roman" w:hAnsi="Arial" w:cs="Arial"/>
          <w:iCs/>
          <w:szCs w:val="28"/>
          <w:lang w:val="uk-UA" w:eastAsia="uk-UA"/>
        </w:rPr>
        <w:t xml:space="preserve">студентка 3-го курсу </w:t>
      </w:r>
      <w:r w:rsidR="005F048D" w:rsidRPr="007E6CF0">
        <w:rPr>
          <w:rFonts w:ascii="Arial" w:eastAsia="Times New Roman" w:hAnsi="Arial" w:cs="Arial"/>
          <w:iCs/>
          <w:szCs w:val="28"/>
          <w:lang w:val="uk-UA" w:eastAsia="uk-UA"/>
        </w:rPr>
        <w:t>факультету адвокатури та антикорупційної діяльності</w:t>
      </w:r>
    </w:p>
    <w:p w14:paraId="0082EB67" w14:textId="5D04AD50" w:rsidR="005F048D" w:rsidRPr="007E6CF0" w:rsidRDefault="007B2628" w:rsidP="007E6CF0">
      <w:pPr>
        <w:spacing w:line="264" w:lineRule="auto"/>
        <w:ind w:firstLine="0"/>
        <w:jc w:val="center"/>
        <w:rPr>
          <w:rFonts w:ascii="Arial" w:eastAsia="Times New Roman" w:hAnsi="Arial" w:cs="Arial"/>
          <w:iCs/>
          <w:szCs w:val="28"/>
          <w:lang w:val="uk-UA" w:eastAsia="uk-UA"/>
        </w:rPr>
      </w:pPr>
      <w:r w:rsidRPr="007E6CF0">
        <w:rPr>
          <w:rFonts w:ascii="Arial" w:eastAsia="Times New Roman" w:hAnsi="Arial" w:cs="Arial"/>
          <w:iCs/>
          <w:szCs w:val="28"/>
          <w:lang w:val="uk-UA" w:eastAsia="uk-UA"/>
        </w:rPr>
        <w:t>Національного університету «Одеська юридична академія»</w:t>
      </w:r>
    </w:p>
    <w:p w14:paraId="398D717C" w14:textId="77777777" w:rsidR="005F048D" w:rsidRPr="00511005" w:rsidRDefault="005F048D" w:rsidP="007E6CF0">
      <w:pPr>
        <w:spacing w:line="264" w:lineRule="auto"/>
        <w:ind w:firstLine="0"/>
        <w:jc w:val="center"/>
        <w:rPr>
          <w:rFonts w:ascii="Arial" w:eastAsia="Times New Roman" w:hAnsi="Arial" w:cs="Arial"/>
          <w:i/>
          <w:szCs w:val="28"/>
          <w:lang w:val="uk-UA" w:eastAsia="uk-UA"/>
        </w:rPr>
      </w:pPr>
    </w:p>
    <w:p w14:paraId="02477C31" w14:textId="77777777" w:rsidR="005F048D" w:rsidRPr="00511005" w:rsidRDefault="005F048D" w:rsidP="007E6CF0">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ПРОБЛЕМИ ЗАХИСТУ ПРАВ ВНУТРІШНЬО ПЕРЕМІЩЕНИХ ОСІБ У ЦИВІЛЬНОМУ СУДОЧИНСТВІ</w:t>
      </w:r>
    </w:p>
    <w:p w14:paraId="7E99DCE1"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Сучасні реалії, пов’язані з повномасштабною війною в Україні, спричинили масштабне переміщення населення всередині країни. У цих </w:t>
      </w:r>
      <w:r w:rsidRPr="00511005">
        <w:rPr>
          <w:rFonts w:ascii="Arial" w:eastAsia="Times New Roman" w:hAnsi="Arial" w:cs="Arial"/>
          <w:szCs w:val="28"/>
          <w:lang w:val="uk-UA" w:eastAsia="uk-UA"/>
        </w:rPr>
        <w:lastRenderedPageBreak/>
        <w:t>умовах проблема захисту прав внутрішньо переміщених осіб (ВПО) набуває особливої актуальності, зокрема в контексті реалізації їхнього права на доступ до правосуддя. З правової точки зору, ВПО перебувають у вразливому становищі: вони можуть бути позбавлені звичного життєвого середовища та повноцінного доступу до державних і судових інституцій. Це створює серйозні виклики для системи цивільного судочинства, яка повинна адаптуватися до нових обставин і гарантувати всім громадянам рівні можливості для захисту своїх прав і свобод.</w:t>
      </w:r>
    </w:p>
    <w:p w14:paraId="6FBBA01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Внутрішньо переміщеною особою є громадянин України, іноземець або особа без громадянства, яка перебуває на території України на законних підставах та має право на постійне проживання в Україні, яку змусили залишити або покинути своє місце проживання у результаті або з метою уникнення негативних наслідків збройного конфлікту, тимчасової окупації, повсюдних проявів насильства, порушень прав людини та надзвичайних ситуацій природного чи техногенного характеру [2]. Дане визначення міститься у ст. 1 Закону України «Про забезпечення прав і свобод внутрішньо переміщених осіб».</w:t>
      </w:r>
    </w:p>
    <w:p w14:paraId="0BFA30F6"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 2014 року у зв’язку з воєнною агресією Росії проти України і дотепер в умовах повномасштабного вторгнення внутрішньо переміщені особи (ВПО) в Україні продовжують стикатися з численними правовими, соціальними та процедурними викликами, серед яких одним із найгостріших є обмежений доступ до правосуддя. Це твердження не є абстрактним — воно має цілком реальні підстави, які відображаються як у практиці судочинства, так і в численних зверненнях громадян до органів державної влади та правозахисних організацій.</w:t>
      </w:r>
    </w:p>
    <w:p w14:paraId="1834F84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Станом на жовтень 2024 року в Україні зареєстровано приблизно 3 555 000 внутрішньо переміщених осіб (ВПО), згідно з останнім звітом Міжнародної організації з міграції (МОМ). Більшість із них перебувають у статусі ВПО вже понад три роки, що свідчить про тривалу нестабільність у їхньому життєвому та правовому становищі [6, с. 2].</w:t>
      </w:r>
    </w:p>
    <w:p w14:paraId="43267EE2"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Згідно зі ст. 3 Конституції України, найвищою соціальною цінністю визнаються людина, її життя, здоров’я, честь, гідність, недоторканність та безпека. Права і свободи людини, а також гарантії їх реалізації визначають пріоритети державної діяльності [1]. Держава несе відповідальність перед громадянами за реалізацію цих прав, а забезпечення і захист прав і свобод людини становить її основний обов’язок. У контексті захисту прав внутрішньо переміщених осіб (ВПО) ці принципи набувають особливої актуальності. Адже забезпечення доступу ВПО до правосуддя є невід’ємним елементом реалізації їх конституційних прав, що вимагає від держави адаптувати процесуальні механізми та посилити гарантії їх соціальної безпеки в умовах змін життєвого середовища.</w:t>
      </w:r>
    </w:p>
    <w:p w14:paraId="36DE86EF"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Проблематика забезпечення та поновлення права власності внутрішньо переміщених осіб (ВПО) на сьогодні залишається вкрай гострою й неврегульованою на належному законодавчому рівні. В Україні досі відсутній окремий нормативно-правовий акт, який би комплексно регламентував механізми захисту майнових прав осіб, змушених залишити своє житло у зв’язку з воєнними діями, окупацією або іншими надзвичайними обставинами. Значна частина майна ВПО залишається на територіях, де тривають активні бойові дії або зберігається тимчасова окупація, що унеможливлює його безпечне використання власниками [5, c. 168].</w:t>
      </w:r>
    </w:p>
    <w:p w14:paraId="11EB48B5"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ситуації, коли майно ВПО було пошкоджене або знищене, найбільш доступним інструментом правового захисту виступає позов про відшкодування матеріальних збитків. Однак ефективність цього шляху залишається низькою, оскільки встановлення особи чи суб’єкта, що заподіяв шкоду, є надзвичайно ускладненим або навіть неможливим в умовах збройного конфлікту, відсутності контролю над територією та руйнування інфраструктури документування. Це значною мірою ставить під сумнів реальність відновлення порушених майнових прав ВПО через національний механізм судового захисту [4, c. 4].</w:t>
      </w:r>
    </w:p>
    <w:p w14:paraId="0A50FEF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Багато справ, які потребують вирішення — від спорів щодо житла до відшкодування майнових збитків — залишаються на паузі саме через прогалини у чинному цивільному процесуальному законодавстві, яке не пристосоване до умов збройного конфлікту та масового переміщення населення. Саме тому проблема доступу до правосуддя для ВПО має розглядатися як один із ключових викликів національної правової політики [3, c. 1].</w:t>
      </w:r>
    </w:p>
    <w:p w14:paraId="605291A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Типовою проблемою для осіб за статусом ВПО є те, що після переміщення людина часто змінює місце проживання без можливості його офіційної реєстрації, що створює складнощі при визначенні підсудності у цивільних справах. У результаті цього звернення до суду за загальними правилами територіальної підсудності стає малоефективним або взагалі неможливим.</w:t>
      </w:r>
    </w:p>
    <w:p w14:paraId="5AAA0BB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Особливо це ускладнюється у випадках, коли відповідач залишається на тимчасово окупованій території або в зоні активних бойових дій. У таких обставинах здійснення належних процесуальних дій — вручення повістки, виклик свідків, подання документів — стає практично неможливим.</w:t>
      </w:r>
    </w:p>
    <w:p w14:paraId="4890E5E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Для вирішення даної проблеми ми пропонуємо внести зміни до Цивільного процесуального кодексу України щодо можливості вручення судових документів через Єдиний державний реєстр судових рішень або офіційний сайт суду, якщо особа перебуває на ТОТ. Також доцільно дозволити розгляд справ in absentia (без участі відповідача), якщо заявник доведе, що інші способи повідомлення неможливі.</w:t>
      </w:r>
    </w:p>
    <w:p w14:paraId="79D03750"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Іншою критичною проблемою є відсутність у ВПО документів, які підтверджують право власності, укладення договорів, родинні або цивільно-правові відносини. Багато людей були змушені евакуюватися терміново, залишивши документи в зруйнованих будинках або знищених архівах.</w:t>
      </w:r>
    </w:p>
    <w:p w14:paraId="43E6EFF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Вважаємо, що в даних випадках є доцільним передбачити на рівні процесуального законодавства можливість використання цифрових копій документів (з електронного архіву, хмарних сервісів тощо) як первинного доказу в разі, якщо оригінал неможливо отримати через форс-мажор. Крім того, необхідно спростити процедуру встановлення юридичних фактів (втрати майна, проживання, родинного зв’язку) через окремі заяви у порядку окремого провадження без потреби повного пакету підтверджень.</w:t>
      </w:r>
    </w:p>
    <w:p w14:paraId="0D9008BC"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Серйозну складність викликає підтвердження права на нерухомість, розташовану на тимчасово окупованих територіях. Через втрату технічної документації, відсутність доступу до Державного реєстру речових прав, а також неможливість викликати свідків, особа фактично позбавлена можливості захистити своє майнове право. </w:t>
      </w:r>
    </w:p>
    <w:p w14:paraId="69ABC466"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На нашу думку необхідно розробити спеціальний порядок відновлення записів актів цивільного стану, виданих органами на окупованих територіях, через запити до архівів або за допомогою електронної заяви в ДРАЦС. Також доцільно запровадити державну ініціативу з оцифрування довоєнних реєстрів та архівів, доступну через портал "Дія" або онлайн-кабінет ВПО.</w:t>
      </w:r>
    </w:p>
    <w:p w14:paraId="7D9A6E6B"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Підводячи підсумки, проблематика захисту прав внутрішньо переміщених осіб у цивільному процесі є однією з найактуальніших у сучасних умовах. Війна поставила мільйони громадян у вразливе становище, де юридичні процедури часто виявляються недоступними або неефективними. Незважаючи на наявність базових гарантій у законодавстві, реальний доступ до правосуддя для ВПО ускладнюється низкою факторів: від неможливості визначити підсудність до втрати доказів і документів.</w:t>
      </w:r>
    </w:p>
    <w:p w14:paraId="288AF842"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цих умовах особливого значення набуває потреба в адаптації цивільного процесуального законодавства до викликів збройного конфлікту. Розробка гнучких механізмів доказування, запровадження альтернативної підсудності, цифровізація процесу та підтримка з боку держави — це не просто реформи, а кроки до забезпечення соціальної справедливості. Держава повинна гарантувати, що жоден громадянин не залишиться без можливості захистити свої права лише через обставини, на які він не може вплинути.</w:t>
      </w:r>
    </w:p>
    <w:p w14:paraId="7662B957" w14:textId="77777777" w:rsidR="005F048D" w:rsidRPr="00511005" w:rsidRDefault="005F048D" w:rsidP="003A292D">
      <w:pPr>
        <w:spacing w:line="264" w:lineRule="auto"/>
        <w:rPr>
          <w:rFonts w:ascii="Arial" w:eastAsia="Times New Roman" w:hAnsi="Arial" w:cs="Arial"/>
          <w:szCs w:val="28"/>
          <w:lang w:val="uk-UA" w:eastAsia="uk-UA"/>
        </w:rPr>
      </w:pPr>
    </w:p>
    <w:p w14:paraId="446D35BE" w14:textId="44D52313" w:rsidR="005F048D" w:rsidRPr="00511005" w:rsidRDefault="007B2628" w:rsidP="007B2628">
      <w:pPr>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2CB38CAC" w14:textId="6BEEF602"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Конституція України: Прийнята на п’ятій сесії Верховної Ради України 28 червня 1996 р. </w:t>
      </w:r>
      <w:r w:rsidRPr="00511005">
        <w:rPr>
          <w:rFonts w:ascii="Arial" w:eastAsia="Times New Roman" w:hAnsi="Arial" w:cs="Arial"/>
          <w:i/>
          <w:szCs w:val="28"/>
          <w:lang w:val="uk-UA" w:eastAsia="uk-UA"/>
        </w:rPr>
        <w:t>Відомості Верховної Ради України</w:t>
      </w:r>
      <w:r w:rsidRPr="00511005">
        <w:rPr>
          <w:rFonts w:ascii="Arial" w:eastAsia="Times New Roman" w:hAnsi="Arial" w:cs="Arial"/>
          <w:szCs w:val="28"/>
          <w:lang w:val="uk-UA" w:eastAsia="uk-UA"/>
        </w:rPr>
        <w:t>.</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1996.</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 30. </w:t>
      </w:r>
    </w:p>
    <w:p w14:paraId="7F28635E" w14:textId="1BB2A7D6"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2. Про забезпечення прав і свобод внутрішньо переміщених осіб : Закон України від 20.10.2014 № 1706-VII : станом на 4 квіт. 2025 р. URL: -</w:t>
      </w:r>
      <w:hyperlink r:id="rId1508">
        <w:r w:rsidRPr="00511005">
          <w:rPr>
            <w:rFonts w:ascii="Arial" w:eastAsia="Times New Roman" w:hAnsi="Arial" w:cs="Arial"/>
            <w:szCs w:val="28"/>
            <w:lang w:val="uk-UA" w:eastAsia="uk-UA"/>
          </w:rPr>
          <w:t>https://zakon.rada.gov.ua/laws/show/1706-18#Text</w:t>
        </w:r>
      </w:hyperlink>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(дата звернення: 21.04.2025).</w:t>
      </w:r>
    </w:p>
    <w:p w14:paraId="4B7918E4"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3. Моісеєнко Д. Доступ до правосуддя впо : проблемне питання : Матеріали VІІІ Міжнародної науково-практичної конференції (ДДУВС, 15.03.2024). Частина І. 2024. URL: https://er.dduvs.edu.ua/bitstream/123456789/13779/1/63.pdf (дата звернення: 21.04.2025).</w:t>
      </w:r>
    </w:p>
    <w:p w14:paraId="7FBCB386"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Ніколенко Л. Забезпечення реалізації та захисту прав внутрішньо переміщених осіб // </w:t>
      </w:r>
      <w:r w:rsidRPr="00511005">
        <w:rPr>
          <w:rFonts w:ascii="Arial" w:eastAsia="Times New Roman" w:hAnsi="Arial" w:cs="Arial"/>
          <w:i/>
          <w:szCs w:val="28"/>
          <w:lang w:val="uk-UA" w:eastAsia="uk-UA"/>
        </w:rPr>
        <w:t>Юридичний вісник Донбасу</w:t>
      </w:r>
      <w:r w:rsidRPr="00511005">
        <w:rPr>
          <w:rFonts w:ascii="Arial" w:eastAsia="Times New Roman" w:hAnsi="Arial" w:cs="Arial"/>
          <w:szCs w:val="28"/>
          <w:lang w:val="uk-UA" w:eastAsia="uk-UA"/>
        </w:rPr>
        <w:t xml:space="preserve">. – 2020. – Т. 72, № 3. – С. 47–54. – URL: </w:t>
      </w:r>
      <w:hyperlink r:id="rId1509">
        <w:r w:rsidRPr="00511005">
          <w:rPr>
            <w:rFonts w:ascii="Arial" w:eastAsia="Times New Roman" w:hAnsi="Arial" w:cs="Arial"/>
            <w:szCs w:val="28"/>
            <w:lang w:val="uk-UA" w:eastAsia="uk-UA"/>
          </w:rPr>
          <w:t>https://doi.org/10.32366/2523-4269-2020-72-3-47-54</w:t>
        </w:r>
      </w:hyperlink>
      <w:r w:rsidRPr="00511005">
        <w:rPr>
          <w:rFonts w:ascii="Arial" w:eastAsia="Times New Roman" w:hAnsi="Arial" w:cs="Arial"/>
          <w:szCs w:val="28"/>
          <w:lang w:val="uk-UA" w:eastAsia="uk-UA"/>
        </w:rPr>
        <w:t xml:space="preserve"> (дата звернення: 21.04.2025).</w:t>
      </w:r>
    </w:p>
    <w:p w14:paraId="05400D93"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5. Рогач О. Я., Паніна Ю. С. Актуальні проблеми захисту майнових прав внутрішньо переміщеними особами. Здійснення та захист прав внутрішньо переміщених осіб/ матеріали ІІ Міжнародної науково-практичної конференції (20 квітня 2018 р., м. Ужгород) за заг. ред. О. Я. Рогача, Я. В. Лазура, М. В. Менджул. Ужгород, 2018. 168 с.</w:t>
      </w:r>
    </w:p>
    <w:p w14:paraId="0555777B" w14:textId="5D69030A"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6. International Organization for Migration (IOM), Dec 04 2024. DTM Україна — Звіт про внутрішнє переміщення населення в Україні — Опитування загального населення — Раунд 18 (Жовтень 2024 року). IOM, Ukraine. URL: </w:t>
      </w:r>
      <w:hyperlink r:id="rId1510">
        <w:r w:rsidRPr="00511005">
          <w:rPr>
            <w:rFonts w:ascii="Arial" w:eastAsia="Times New Roman" w:hAnsi="Arial" w:cs="Arial"/>
            <w:szCs w:val="28"/>
            <w:lang w:val="uk-UA" w:eastAsia="uk-UA"/>
          </w:rPr>
          <w:t>https://dtm.iom.int/reports/ukraina-zvit-pro-vnutrishne-peremischennya-naselennya-v-ukraini-opituvannya-zagalnogo-0</w:t>
        </w:r>
      </w:hyperlink>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(дата звернення: 21.04.2025).</w:t>
      </w:r>
    </w:p>
    <w:p w14:paraId="3AD54A34" w14:textId="77777777" w:rsidR="005F048D" w:rsidRPr="00511005" w:rsidRDefault="005F048D" w:rsidP="003A292D">
      <w:pPr>
        <w:spacing w:line="264" w:lineRule="auto"/>
        <w:rPr>
          <w:rFonts w:ascii="Arial" w:eastAsia="Times New Roman" w:hAnsi="Arial" w:cs="Arial"/>
          <w:szCs w:val="28"/>
          <w:lang w:val="uk-UA" w:eastAsia="uk-UA"/>
        </w:rPr>
      </w:pPr>
    </w:p>
    <w:p w14:paraId="238C804A" w14:textId="01136066"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внутрішньо переміщені особи, доступ до правосуддя, цивільне судочинство, право власності, майнові спори, окуповані території, юридичні гарантії, правова допомога</w:t>
      </w:r>
    </w:p>
    <w:p w14:paraId="602250BA" w14:textId="431424F9" w:rsidR="005F048D"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internally displaced persons, access to justice, civil proceedings, property rights, property disputes, occupied territories, legal guarantees, legal assistance</w:t>
      </w:r>
    </w:p>
    <w:p w14:paraId="1F7FD21A" w14:textId="5AD315B0" w:rsidR="005F048D"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Яніцька І.А.</w:t>
      </w:r>
    </w:p>
    <w:p w14:paraId="05AC03D2" w14:textId="77777777" w:rsidR="005F048D" w:rsidRPr="00511005" w:rsidRDefault="005F048D" w:rsidP="003A292D">
      <w:pPr>
        <w:spacing w:line="264" w:lineRule="auto"/>
        <w:rPr>
          <w:rFonts w:ascii="Arial" w:eastAsia="Times New Roman" w:hAnsi="Arial" w:cs="Arial"/>
          <w:i/>
          <w:szCs w:val="28"/>
          <w:lang w:val="uk-UA" w:eastAsia="uk-UA"/>
        </w:rPr>
      </w:pPr>
    </w:p>
    <w:p w14:paraId="331B30A2" w14:textId="77777777" w:rsidR="005F048D" w:rsidRPr="00511005" w:rsidRDefault="005F048D" w:rsidP="003A292D">
      <w:pPr>
        <w:spacing w:line="264" w:lineRule="auto"/>
        <w:rPr>
          <w:rFonts w:ascii="Arial" w:eastAsia="Times New Roman" w:hAnsi="Arial" w:cs="Arial"/>
          <w:i/>
          <w:szCs w:val="28"/>
          <w:lang w:val="uk-UA" w:eastAsia="uk-UA"/>
        </w:rPr>
      </w:pPr>
    </w:p>
    <w:p w14:paraId="35258A2C"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i/>
          <w:szCs w:val="28"/>
          <w:lang w:val="uk-UA" w:eastAsia="uk-UA"/>
        </w:rPr>
        <w:t>Царелунга А.К</w:t>
      </w:r>
      <w:r w:rsidRPr="00511005">
        <w:rPr>
          <w:rFonts w:ascii="Arial" w:eastAsia="Times New Roman" w:hAnsi="Arial" w:cs="Arial"/>
          <w:szCs w:val="28"/>
          <w:lang w:val="uk-UA" w:eastAsia="uk-UA"/>
        </w:rPr>
        <w:t>.</w:t>
      </w:r>
    </w:p>
    <w:p w14:paraId="7C329338" w14:textId="41C7608C"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2-го курсу </w:t>
      </w:r>
      <w:r w:rsidR="007B2628" w:rsidRPr="00511005">
        <w:rPr>
          <w:rFonts w:ascii="Arial" w:eastAsia="Times New Roman" w:hAnsi="Arial" w:cs="Arial"/>
          <w:szCs w:val="28"/>
          <w:lang w:val="uk-UA" w:eastAsia="uk-UA"/>
        </w:rPr>
        <w:t>факультету цивільної та господарської юстиції</w:t>
      </w:r>
      <w:r w:rsidR="005F048D" w:rsidRPr="00511005">
        <w:rPr>
          <w:rFonts w:ascii="Arial" w:eastAsia="Times New Roman" w:hAnsi="Arial" w:cs="Arial"/>
          <w:szCs w:val="28"/>
          <w:lang w:val="uk-UA" w:eastAsia="uk-UA"/>
        </w:rPr>
        <w:t xml:space="preserve"> </w:t>
      </w:r>
    </w:p>
    <w:p w14:paraId="3B46D85C" w14:textId="3488C9A2"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27E71591" w14:textId="77777777" w:rsidR="005F048D" w:rsidRPr="00511005" w:rsidRDefault="005F048D" w:rsidP="003A292D">
      <w:pPr>
        <w:spacing w:line="264" w:lineRule="auto"/>
        <w:ind w:firstLine="567"/>
        <w:jc w:val="center"/>
        <w:rPr>
          <w:rFonts w:ascii="Arial" w:eastAsia="Times New Roman" w:hAnsi="Arial" w:cs="Arial"/>
          <w:szCs w:val="28"/>
          <w:lang w:val="uk-UA" w:eastAsia="uk-UA"/>
        </w:rPr>
      </w:pPr>
    </w:p>
    <w:p w14:paraId="673334D7" w14:textId="4E4860FC" w:rsidR="005F048D" w:rsidRPr="00511005" w:rsidRDefault="005F048D" w:rsidP="007E6CF0">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ЗАБЕЗПЕЧЕННЯ ДОКАЗІВ У ПОРЯДКУ НОТАРІАЛЬНОГО ПРОВАДЖЕННЯ ДЛЯ ВЕДЕННЯ СПРАВ В ІНШИХ ДЕРЖАВАХ</w:t>
      </w:r>
    </w:p>
    <w:p w14:paraId="327EFBCA" w14:textId="77777777" w:rsidR="005F048D" w:rsidRPr="00511005" w:rsidRDefault="005F048D" w:rsidP="003A292D">
      <w:pPr>
        <w:spacing w:line="264" w:lineRule="auto"/>
        <w:ind w:firstLine="567"/>
        <w:jc w:val="center"/>
        <w:rPr>
          <w:rFonts w:ascii="Arial" w:eastAsia="Times New Roman" w:hAnsi="Arial" w:cs="Arial"/>
          <w:szCs w:val="28"/>
          <w:lang w:val="uk-UA" w:eastAsia="uk-UA"/>
        </w:rPr>
      </w:pPr>
    </w:p>
    <w:p w14:paraId="4C8E4C7F"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Участь фізичних та юридичних осіб у судових процесах за кордоном вимагає ретельної підготовки доказової бази, яка відповідатиме вимогам як національного, так і міжнародного законодавства. Оскільки суди в іноземних </w:t>
      </w:r>
      <w:r w:rsidRPr="00511005">
        <w:rPr>
          <w:rFonts w:ascii="Arial" w:eastAsia="Times New Roman" w:hAnsi="Arial" w:cs="Arial"/>
          <w:szCs w:val="28"/>
          <w:lang w:val="uk-UA" w:eastAsia="uk-UA"/>
        </w:rPr>
        <w:lastRenderedPageBreak/>
        <w:t>юрисдикціях можуть не визнавати документи, видані українськими органами без належного засвідчення, ключову роль у забезпеченні доказів відіграє нотаріальне провадження. Нотаріус, як особа, уповноважена державою на посвідчення юридичних фактів, забезпечує документам юридичну силу та автентичність. Однак для їх використання в інших державах необхідно пройти процедуру легалізації або апостилювання, що підтвердить їхню чинність за межами України. Нотаріальне забезпечення доказів – це процес засвідчення певних юридичних фактів, документів або свідчень, які можуть бути використані в судовому процесі. Основною метою такого провадження є створення офіційного, юридично значущого доказу, що має презумпцію достовірності та визнається судом.</w:t>
      </w:r>
    </w:p>
    <w:p w14:paraId="0A19955B" w14:textId="4B05FBB2"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Для того щоб нотаріальні документи мали юридичну силу в іншій державі, вони повинні пройти певні процедури підтвердження справжності. Основними механізмами є: апостилювання, консульська легалізація, засвідчення перекладів. Апостиль – це спеціальний штамп, що підтверджує автентичність підпису нотаріуса, його статусу та дійсність відбитка печатки. Даний механізм передбачений Гаазькою конвенцією від 5 жовтня 1961 року</w:t>
      </w:r>
      <w:r w:rsidRPr="00511005">
        <w:rPr>
          <w:rFonts w:ascii="Arial" w:eastAsia="Times New Roman" w:hAnsi="Arial" w:cs="Arial"/>
          <w:b/>
          <w:szCs w:val="28"/>
          <w:lang w:val="uk-UA" w:eastAsia="uk-UA"/>
        </w:rPr>
        <w:t>,</w:t>
      </w:r>
      <w:r w:rsidRPr="00511005">
        <w:rPr>
          <w:rFonts w:ascii="Arial" w:eastAsia="Times New Roman" w:hAnsi="Arial" w:cs="Arial"/>
          <w:szCs w:val="28"/>
          <w:lang w:val="uk-UA" w:eastAsia="uk-UA"/>
        </w:rPr>
        <w:t xml:space="preserve"> яку Україна ратифікувала в 2002 році. В Україні апостиль ставиться: Міністерством юстиції, Міністерством закордонних справ або Міністерством освіти і науки (для освітніх документів). Документи з апостилем можуть бути безпосередньо подані до суду іноземної держави без додаткової легалізації [1]. Якщо держава, де ведеться судовий процес, не є учасницею Гаазької конвенції, то застосовується консульська легалізація. Вона передбачена Віденською конвенцією про консульські зносини від 24 квітня 1963 року [2].</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Ця процедура складніша, адже передбачає: засвідчення документа в Міністерстві юстиції України, засвідчення в Міністерстві закордонних справ України, легалізацію в консульстві країни, де документ має бути використаний. Консульська легалізація є обов’язковою, наприклад, для Китаю, ОАЕ, Єгипту та деяких інших держав. Більшість іноземних судів вимагає подання документів офіційною мовою своєї країни. В Україні нотаріальне засвідчення перекладів здійснюється відповідно до статті 79 Закону України "Про нотаріат", де передбачено, що нотаріус засвідчує справжність підпису перекладача [3].</w:t>
      </w:r>
      <w:r w:rsidR="007B2628" w:rsidRPr="00511005">
        <w:rPr>
          <w:rFonts w:ascii="Arial" w:eastAsia="Times New Roman" w:hAnsi="Arial" w:cs="Arial"/>
          <w:szCs w:val="28"/>
          <w:lang w:val="uk-UA" w:eastAsia="uk-UA"/>
        </w:rPr>
        <w:t xml:space="preserve"> </w:t>
      </w:r>
    </w:p>
    <w:p w14:paraId="12838925"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Слід також зауважити, що протягом останніх років, попри усі виклики, Україна стрімко розвивається у цьому напрямку: створені електронні сервіси обслуговування громадян, обрано курс на надання якісної освіти в ІТ-сфері, запроваджено облік трудової діяльності в електронній формі, ефективно працюють Єдині та державні електронні реєстри, функціонує «Електронний суд», масово використовується електронний підпис, і це далеко не все [4, с. 33]. </w:t>
      </w:r>
    </w:p>
    <w:p w14:paraId="5B31160C"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Нотаріальне забезпечення доказів відіграє ключову роль у веденні міжнародних судових процесів у таких категоріях справ:міжнародні </w:t>
      </w:r>
      <w:r w:rsidRPr="00511005">
        <w:rPr>
          <w:rFonts w:ascii="Arial" w:eastAsia="Times New Roman" w:hAnsi="Arial" w:cs="Arial"/>
          <w:szCs w:val="28"/>
          <w:lang w:val="uk-UA" w:eastAsia="uk-UA"/>
        </w:rPr>
        <w:lastRenderedPageBreak/>
        <w:t>комерційні спори, сімейні справи, спадкові справи та кримінальні справи. Юридичні особи, які ведуть бізнес на міжнародному рівні, часто стикаються з судовими процесами за кордоном. Нотаріальне засвідчення таких документів, як: контракти, акти прийому-передачі товарів, фінансові звіти, електронна переписка, дозволяє їм бути використаними як докази в іноземних судах або арбітражах. У справах щодо розлучень, опіки над дітьми, встановлення батьківства або стягнення аліментів документи, які підтверджують місце проживання, рівень доходів, нотаріальні заяви про згоду на виїзд дитини за кордон є важливими доказами. Спадкоємці, які мають майно або права на спадщину в іншій державі, повинні подати нотаріально завірені заповіти, свідоцтва про право на спадщину та інші документи. Без належного нотаріального засвідчення вони можуть бути визнані недійсними в іноземних судах. У деяких випадках нотаріальні документи можуть бути використані в кримінальному провадженні – наприклад: свідчення, нотаріально завірені протоколи огляду доказів або фінансові документи, які доводять певні правопорушення.</w:t>
      </w:r>
    </w:p>
    <w:p w14:paraId="0527C0C0" w14:textId="77777777" w:rsidR="005F048D" w:rsidRPr="00511005" w:rsidRDefault="005F048D"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Нотаріальне забезпечення доказів є невід'ємним елементом міжнародного судочинства, оскільки дозволяє сторонам легітимно підтверджувати свої права та доводити обставини справи в іноземних юрисдикціях. Для того щоб документи мали юридичну силу за кордоном, вони повинні бути оформлені з урахуванням міжнародних вимог, пройти процедури апостилювання або консульської легалізації, а також мати засвідчені переклади. З огляду на складність процедур, особам, які планують використовувати нотаріальні докази за кордоном, доцільно звертатися до кваліфікованих нотаріусів і юристів, які володіють міжнародною практикою та знають вимоги конкретної країни. Таким чином, нотаріальне провадження є ефективним механізмом забезпечення доказової бази, що гарантує законність та визнання документів у міжнародному правовому просторі.</w:t>
      </w:r>
    </w:p>
    <w:p w14:paraId="611A38ED" w14:textId="77777777" w:rsidR="005F048D" w:rsidRPr="00511005" w:rsidRDefault="005F048D" w:rsidP="003A292D">
      <w:pPr>
        <w:spacing w:line="264" w:lineRule="auto"/>
        <w:ind w:firstLine="567"/>
        <w:rPr>
          <w:rFonts w:ascii="Arial" w:eastAsia="Times New Roman" w:hAnsi="Arial" w:cs="Arial"/>
          <w:szCs w:val="28"/>
          <w:lang w:val="uk-UA" w:eastAsia="uk-UA"/>
        </w:rPr>
      </w:pPr>
    </w:p>
    <w:p w14:paraId="4606B842" w14:textId="52287035" w:rsidR="005F048D" w:rsidRPr="00511005" w:rsidRDefault="005F048D" w:rsidP="003A292D">
      <w:pPr>
        <w:spacing w:line="264" w:lineRule="auto"/>
        <w:ind w:firstLine="567"/>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Список </w:t>
      </w:r>
      <w:r w:rsidR="00875A11">
        <w:rPr>
          <w:rFonts w:ascii="Arial" w:eastAsia="Times New Roman" w:hAnsi="Arial" w:cs="Arial"/>
          <w:b/>
          <w:szCs w:val="28"/>
          <w:lang w:val="uk-UA" w:eastAsia="uk-UA"/>
        </w:rPr>
        <w:t>використаних джерел</w:t>
      </w:r>
    </w:p>
    <w:p w14:paraId="0AD7A5DB" w14:textId="77777777" w:rsidR="005F048D" w:rsidRPr="00511005" w:rsidRDefault="005F048D" w:rsidP="003F6A5D">
      <w:pPr>
        <w:numPr>
          <w:ilvl w:val="0"/>
          <w:numId w:val="363"/>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Конвенція, що скасовує вимогу легалізації іноземних офіційних документів від 1 січня 2002 року. </w:t>
      </w:r>
      <w:r w:rsidRPr="00511005">
        <w:rPr>
          <w:rFonts w:ascii="Arial" w:eastAsia="Times New Roman" w:hAnsi="Arial" w:cs="Arial"/>
          <w:i/>
          <w:szCs w:val="28"/>
          <w:lang w:val="uk-UA" w:eastAsia="uk-UA"/>
        </w:rPr>
        <w:t>Відомості Верховної Ради України</w:t>
      </w:r>
      <w:r w:rsidRPr="00511005">
        <w:rPr>
          <w:rFonts w:ascii="Arial" w:eastAsia="Times New Roman" w:hAnsi="Arial" w:cs="Arial"/>
          <w:szCs w:val="28"/>
          <w:lang w:val="uk-UA" w:eastAsia="uk-UA"/>
        </w:rPr>
        <w:t>. 2002. № 23. Ст. 153</w:t>
      </w:r>
    </w:p>
    <w:p w14:paraId="0E0268ED" w14:textId="77777777" w:rsidR="005F048D" w:rsidRPr="00511005" w:rsidRDefault="005F048D" w:rsidP="003F6A5D">
      <w:pPr>
        <w:numPr>
          <w:ilvl w:val="0"/>
          <w:numId w:val="363"/>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Віденська Конвекція про консульські зносини від 24 квітня 1963 року. </w:t>
      </w:r>
    </w:p>
    <w:p w14:paraId="0D7FFF94" w14:textId="77777777" w:rsidR="005F048D" w:rsidRPr="00511005" w:rsidRDefault="005F048D" w:rsidP="003F6A5D">
      <w:pPr>
        <w:numPr>
          <w:ilvl w:val="0"/>
          <w:numId w:val="363"/>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нотаріат:Закон України від 2 вересня 1993 року. </w:t>
      </w:r>
      <w:r w:rsidRPr="00511005">
        <w:rPr>
          <w:rFonts w:ascii="Arial" w:eastAsia="Times New Roman" w:hAnsi="Arial" w:cs="Arial"/>
          <w:i/>
          <w:szCs w:val="28"/>
          <w:lang w:val="uk-UA" w:eastAsia="uk-UA"/>
        </w:rPr>
        <w:t>Відомості Верховної Ради України</w:t>
      </w:r>
      <w:r w:rsidRPr="00511005">
        <w:rPr>
          <w:rFonts w:ascii="Arial" w:eastAsia="Times New Roman" w:hAnsi="Arial" w:cs="Arial"/>
          <w:szCs w:val="28"/>
          <w:lang w:val="uk-UA" w:eastAsia="uk-UA"/>
        </w:rPr>
        <w:t>. 1993. № 39. Ст. 383</w:t>
      </w:r>
    </w:p>
    <w:p w14:paraId="027C7C14" w14:textId="77777777" w:rsidR="005F048D" w:rsidRPr="00511005" w:rsidRDefault="005F048D" w:rsidP="003F6A5D">
      <w:pPr>
        <w:numPr>
          <w:ilvl w:val="0"/>
          <w:numId w:val="363"/>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Іліопол І.М.</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 xml:space="preserve">Оптимізація перевірки деяких нотаріальних документів у застосунку «ДІЯ» за допомогою QR-сканера. Захист прав людини в порядку цивільного судочинства в цифрову еру : матеріали Всеукр. наук.-практ. інтернет-конф. ім. Ю. С. Червоного (Одеса, 28 груд. </w:t>
      </w:r>
      <w:r w:rsidRPr="00511005">
        <w:rPr>
          <w:rFonts w:ascii="Arial" w:eastAsia="Times New Roman" w:hAnsi="Arial" w:cs="Arial"/>
          <w:szCs w:val="28"/>
          <w:lang w:val="uk-UA" w:eastAsia="uk-UA"/>
        </w:rPr>
        <w:lastRenderedPageBreak/>
        <w:t>2023 р.) [Електронне видання] / за заг. ред. Н. Ю. Голубєвої ; Нац. ун-т «Одес. юрид. академія». – Одеса : Фенікс, 2023.110 с. – С.с. 33-35. URL:</w:t>
      </w:r>
      <w:r w:rsidRPr="00511005">
        <w:rPr>
          <w:rFonts w:ascii="Arial" w:eastAsia="Times New Roman" w:hAnsi="Arial" w:cs="Arial"/>
          <w:b/>
          <w:szCs w:val="28"/>
          <w:lang w:val="uk-UA" w:eastAsia="uk-UA"/>
        </w:rPr>
        <w:t xml:space="preserve"> </w:t>
      </w:r>
      <w:hyperlink r:id="rId1511">
        <w:r w:rsidRPr="00511005">
          <w:rPr>
            <w:rFonts w:ascii="Arial" w:eastAsia="Times New Roman" w:hAnsi="Arial" w:cs="Arial"/>
            <w:szCs w:val="28"/>
            <w:lang w:val="uk-UA" w:eastAsia="uk-UA"/>
          </w:rPr>
          <w:t>https://dspace.onua.edu.ua/server/api/core/bitstreams/8f022ffb-f71e-469b-a421-dd0b2efcdbf1/content</w:t>
        </w:r>
      </w:hyperlink>
    </w:p>
    <w:p w14:paraId="7CB0BE4A" w14:textId="77777777" w:rsidR="005F048D" w:rsidRPr="00511005" w:rsidRDefault="005F048D" w:rsidP="003F6A5D">
      <w:pPr>
        <w:numPr>
          <w:ilvl w:val="0"/>
          <w:numId w:val="363"/>
        </w:numPr>
        <w:tabs>
          <w:tab w:val="left" w:pos="993"/>
        </w:tabs>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Цивільний процесуальний кодекс України. </w:t>
      </w:r>
      <w:r w:rsidRPr="00511005">
        <w:rPr>
          <w:rFonts w:ascii="Arial" w:eastAsia="Times New Roman" w:hAnsi="Arial" w:cs="Arial"/>
          <w:i/>
          <w:szCs w:val="28"/>
          <w:lang w:val="uk-UA" w:eastAsia="uk-UA"/>
        </w:rPr>
        <w:t>Відомості Верховної Ради України</w:t>
      </w:r>
      <w:r w:rsidRPr="00511005">
        <w:rPr>
          <w:rFonts w:ascii="Arial" w:eastAsia="Times New Roman" w:hAnsi="Arial" w:cs="Arial"/>
          <w:szCs w:val="28"/>
          <w:lang w:val="uk-UA" w:eastAsia="uk-UA"/>
        </w:rPr>
        <w:t>. 2004. №40-41, 42.Ст.492</w:t>
      </w:r>
    </w:p>
    <w:p w14:paraId="2381117A" w14:textId="61430528" w:rsidR="005F048D"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докази, документи, нотаріальне провадження, легалізація, апостилювання, факти, свідчення, консульська легалізація, засвідчення перекладів.</w:t>
      </w:r>
    </w:p>
    <w:p w14:paraId="298831CA" w14:textId="54D1F131" w:rsidR="005F048D"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evidence, documents, notarial proceedings, legalization, apostillation, facts, testimony, consular legalization, certification of translations.</w:t>
      </w:r>
    </w:p>
    <w:p w14:paraId="68EADC43" w14:textId="1E531C7D" w:rsidR="005F048D" w:rsidRPr="00511005" w:rsidRDefault="007B2628" w:rsidP="003A292D">
      <w:pPr>
        <w:spacing w:line="264" w:lineRule="auto"/>
        <w:ind w:firstLine="0"/>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Іліопол І.М.</w:t>
      </w:r>
    </w:p>
    <w:p w14:paraId="1510D3EE" w14:textId="77777777" w:rsidR="005F048D" w:rsidRPr="00511005" w:rsidRDefault="005F048D" w:rsidP="003A292D">
      <w:pPr>
        <w:tabs>
          <w:tab w:val="left" w:pos="7088"/>
        </w:tabs>
        <w:spacing w:line="264" w:lineRule="auto"/>
        <w:jc w:val="left"/>
        <w:rPr>
          <w:rFonts w:ascii="Arial" w:eastAsia="Times New Roman" w:hAnsi="Arial" w:cs="Arial"/>
          <w:szCs w:val="28"/>
          <w:lang w:val="uk-UA" w:eastAsia="uk-UA"/>
        </w:rPr>
      </w:pPr>
    </w:p>
    <w:p w14:paraId="419EFFEB"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p>
    <w:p w14:paraId="0BCCA587"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 xml:space="preserve">Халаїм Діана </w:t>
      </w:r>
    </w:p>
    <w:p w14:paraId="44F6E6A3" w14:textId="7231B5C2" w:rsidR="005F048D"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2-го курсу </w:t>
      </w:r>
      <w:r w:rsidR="007B2628" w:rsidRPr="00511005">
        <w:rPr>
          <w:rFonts w:ascii="Arial" w:eastAsia="Times New Roman" w:hAnsi="Arial" w:cs="Arial"/>
          <w:szCs w:val="28"/>
          <w:lang w:val="uk-UA" w:eastAsia="uk-UA"/>
        </w:rPr>
        <w:t>факультету цивільної та господарської юстиції</w:t>
      </w:r>
      <w:r w:rsidR="005F048D" w:rsidRPr="00511005">
        <w:rPr>
          <w:rFonts w:ascii="Arial" w:eastAsia="Times New Roman" w:hAnsi="Arial" w:cs="Arial"/>
          <w:szCs w:val="28"/>
          <w:lang w:val="uk-UA" w:eastAsia="uk-UA"/>
        </w:rPr>
        <w:t xml:space="preserve"> </w:t>
      </w:r>
    </w:p>
    <w:p w14:paraId="4EFAD6B4" w14:textId="28E79A3F" w:rsidR="005F048D"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080B88EB" w14:textId="77777777" w:rsidR="005F048D" w:rsidRPr="00511005" w:rsidRDefault="005F048D" w:rsidP="003A292D">
      <w:pPr>
        <w:spacing w:line="264" w:lineRule="auto"/>
        <w:ind w:firstLine="0"/>
        <w:jc w:val="center"/>
        <w:rPr>
          <w:rFonts w:ascii="Arial" w:eastAsia="Times New Roman" w:hAnsi="Arial" w:cs="Arial"/>
          <w:szCs w:val="28"/>
          <w:lang w:val="uk-UA" w:eastAsia="uk-UA"/>
        </w:rPr>
      </w:pPr>
    </w:p>
    <w:p w14:paraId="3D904476"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ДЕРЖАВНІ РЕЄСТРИ У НОТАРІАЛЬНІЙ ДІЯЛЬНОСТІ: ПРОБЛЕМИ ДОСТУПУ ТА ФУНКЦІОНУВАННЯ В УМОВАХ ВОЄННОГО СТАНУ</w:t>
      </w:r>
    </w:p>
    <w:p w14:paraId="629F3955"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11676340"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Державні реєстри відіграють ключову роль у нотаріальній діяльності, забезпечуючи правову визначеність та доступ до офіційної інформації про майно, юридичні особи, спадкові права та інші важливі правочини. Нотаріуси використовують ці реєстри для перевірки правового режиму об'єктів та суб'єктів правовідносин, що є необхідною умовою для здійснення законних правочинів. Однак в умовах воєнного стану в Україні функціонування державних реєстрів стикається з низкою викликів, зокрема обмеженням доступу, ризиками кібератак, а також необхідністю захисту персональних даних громадян.</w:t>
      </w:r>
    </w:p>
    <w:p w14:paraId="46573AE8"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Обмеження доступу до реєстрів запроваджуються з метою забезпечення національної безпеки, запобігання шахрайству та незаконному заволодінню майном. Водночас це створює труднощі для нотаріусів у виконанні їхніх професійних обов’язків, ускладнюючи процес перевірки інформації та посвідчення правочинів. Додаткові проблеми виникають через технічні збої та необхідність оперативного оновлення реєстрів відповідно до змін у законодавстві та поточної ситуації в країні.</w:t>
      </w:r>
    </w:p>
    <w:p w14:paraId="1B7BBA03"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Однією з ключових проблем, що виникла внаслідок війни, є необхідність забезпечення безпеки даних у державних реєстрах, що призвело до тимчасового їх зупинення. Це суттєво ускладнило нотаріальну діяльність, оскільки доступ до реєстрів є критично важливим для перевірки прав власності, реєстрації договорів та інших правочинів. Як зазначає </w:t>
      </w:r>
      <w:r w:rsidRPr="00511005">
        <w:rPr>
          <w:rFonts w:ascii="Arial" w:eastAsia="Times New Roman" w:hAnsi="Arial" w:cs="Arial"/>
          <w:szCs w:val="28"/>
          <w:lang w:val="uk-UA" w:eastAsia="uk-UA"/>
        </w:rPr>
        <w:lastRenderedPageBreak/>
        <w:t>науковець Іліопол І.М.: «Сьогодні Україна переживає складні часи, що суттєво вплинуло на усі сфери життєдіяльності нашої країни. Відтак, із запровадженням воєнного стану нотаріальна діяльність також зазнала певних змін, зокрема, з метою захисту даних, Міністерством юстиції України було тимчасово зупинено роботу реєстрів, держателем яких є вказаний орган». Попри це, вже у квітні 2022 року було ухвалено рішення про часткове відновлення функціонування деяких реєстрів, що дозволило здійснювати окремі нотаріальні дії [1, с. 770]. Однак проблема залишається актуальною, адже кібератаки на державні системи тривають, що вимагає впровадження надійних механізмів кібербезпеки та альтернативних рішень для забезпечення стабільної роботи реєстрів у воєнний та післявоєнний період.</w:t>
      </w:r>
    </w:p>
    <w:p w14:paraId="749BD5DC"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Кібератаки, що активізувалися наприкінці 2024 року, спричинили тимчасове блокування роботи ключових державних реєстрів, унеможлививши їх використання нотаріусами. Це, своєю чергою, призвело до зупинення реєстрації правочинів, ускладнення перевірки правового статусу майна та осіб, а також створило загрозу втрати або витоку персональних даних. Через ці проблеми було заблоковано операції з нерухомістю та бізнесом, оскільки їхнє нотаріальне посвідчення передбачає перевірку відомостей у Державному реєстрі речових прав на нерухоме майно та Єдиному державному реєстрі юридичних осіб, фізичних осіб-підприємців та громадських формувань[2, с.4].</w:t>
      </w:r>
    </w:p>
    <w:p w14:paraId="196851C9"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Крім кібератак, проблеми з доступом до реєстрів спричинені також фізичним руйнуванням серверних центрів, знищенням нотаріальних архівів на захоплених територіях та відключенням електроенергії. Це ускладнює можливість громадян та бізнесу своєчасно оформлювати спадщину, укладати договори та проводити інші юридично значущі дії. У відповідь на ці виклики Міністерство юстиції України запровадило альтернативні механізми проведення нотаріальних дій, які передбачають можливість посвідчення заповітів, довіреностей та заведення спадкових справ без внесення даних до реєстрів. Після їхнього відновлення нотаріуси мають зобов’язання внести відповідну інформацію протягом п’яти робочих днів, що зазначено з прийняв Постанові Кабінету Міністрів України від 28 лютого 2022 року № 164 «Деякі питання нотаріату в умовах воєнного стану [3].</w:t>
      </w:r>
    </w:p>
    <w:p w14:paraId="52163F0C"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Для вирішення цих проблем необхідно посилити кіберзахист державних реєстрів, створюючи резервні сервери з географічним розподілом даних, що зменшить ризик їхнього одночасного ураження. Також варто розглянути можливість запровадження децентралізованих технологій, які дозволять зберігати критично важливу інформацію в захищених незалежних системах. Одним із ключових напрямів є вдосконалення правового регулювання у сфері нотаріату, щоб законодавство передбачало детальні механізми роботи в умовах надзвичайних ситуацій [4].</w:t>
      </w:r>
    </w:p>
    <w:p w14:paraId="3A7D7D96"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Розв’язання проблем, пов’язаних із функціонуванням державних реєстрів у період війни, вимагає комплексного підходу, що охоплює як технічні, так і правові аспекти. Насамперед необхідно суттєво підвищити рівень кібербезпеки державних інформаційних систем, що передбачає створення резервних серверів у безпечних регіонах або навіть за кордоном, використання сучасних технологій шифрування даних та впровадження багаторівневих механізмів автентифікації користувачів. Запровадження системи децентралізованого зберігання даних також зменшить ризик їхньої втрати або компрометації у разі атак на централізовані сервери.</w:t>
      </w:r>
    </w:p>
    <w:p w14:paraId="7B47AF3E"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Одним із ключових напрямів удосконалення є створення альтернативних механізмів доступу до реєстрів, які забезпечать можливість нотаріусам виконувати критично важливі дії навіть у разі перебоїв у роботі основних інформаційних систем. Це можуть бути тимчасові дублюючі бази даних із обмеженим функціоналом або автономні електронні архіви, що оновлюються автоматично після відновлення доступу до центральних реєстрів. Важливо також забезпечити стабільну комунікацію між державними органами та нотаріусами, зокрема шляхом використання спеціалізованих захищених каналів зв’язку[5, с. 225].</w:t>
      </w:r>
    </w:p>
    <w:p w14:paraId="081ACFDE"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Значну увагу слід приділити правовому аспекту цієї проблеми. На законодавчому рівні необхідно розробити чіткі норми щодо функціонування реєстрів у кризових ситуаціях, включаючи положення про альтернативні механізми реєстрації договорів, спрощення процедур верифікації інформації та встановлення спеціальних регламентів для внесення даних до реєстрів після їх відновлення. Запровадження цих змін дозволить нотаріальній системі працювати навіть в умовах воєнного стану, мінімізуючи ризики для громадян і бізнесу.</w:t>
      </w:r>
    </w:p>
    <w:p w14:paraId="07A53252" w14:textId="77777777" w:rsidR="005F048D" w:rsidRPr="00511005" w:rsidRDefault="005F048D"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забезпечення стабільного функціонування державних реєстрів у період війни є надзвичайно важливим завданням, від якого залежить збереження правової визначеності, захист прав власності та економічна стабільність країни. Вирішення цієї проблеми можливе завдяки поєднанню технологічних рішень, таких як посилення кібербезпеки та впровадження резервних механізмів, із правовими змінами, що нададуть нотаріусам необхідні інструменти для роботи в умовах обмеженого доступу до реєстрів. Ефективна реалізація цих заходів дозволить не лише мінімізувати негативні наслідки поточних кризових ситуацій, але й створить стійку основу для розвитку цифрової правової інфраструктури України у майбутньому.</w:t>
      </w:r>
    </w:p>
    <w:p w14:paraId="67882FE1" w14:textId="77777777" w:rsidR="005F048D" w:rsidRPr="00511005" w:rsidRDefault="005F048D" w:rsidP="003A292D">
      <w:pPr>
        <w:spacing w:line="264" w:lineRule="auto"/>
        <w:ind w:firstLine="720"/>
        <w:jc w:val="center"/>
        <w:rPr>
          <w:rFonts w:ascii="Arial" w:eastAsia="Times New Roman" w:hAnsi="Arial" w:cs="Arial"/>
          <w:b/>
          <w:szCs w:val="28"/>
          <w:lang w:val="uk-UA" w:eastAsia="uk-UA"/>
        </w:rPr>
      </w:pPr>
    </w:p>
    <w:p w14:paraId="6EA1BE80" w14:textId="490DBD76" w:rsidR="005F048D" w:rsidRPr="00511005" w:rsidRDefault="007B2628" w:rsidP="007B2628">
      <w:pPr>
        <w:spacing w:line="264" w:lineRule="auto"/>
        <w:ind w:firstLine="72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4E1626B1" w14:textId="77777777" w:rsidR="005F048D" w:rsidRPr="00511005" w:rsidRDefault="005F048D" w:rsidP="003F6A5D">
      <w:pPr>
        <w:numPr>
          <w:ilvl w:val="0"/>
          <w:numId w:val="390"/>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Іліопол І. М. Деякі особливості вчинення нотаріальних дій щодо цінного майна в умовах воєнного стану /Європейський вибір України, розвиток науки та національна безпека в реаліях масштабної військової </w:t>
      </w:r>
      <w:r w:rsidRPr="00511005">
        <w:rPr>
          <w:rFonts w:ascii="Arial" w:eastAsia="Times New Roman" w:hAnsi="Arial" w:cs="Arial"/>
          <w:szCs w:val="28"/>
          <w:lang w:val="uk-UA" w:eastAsia="uk-UA"/>
        </w:rPr>
        <w:lastRenderedPageBreak/>
        <w:t xml:space="preserve">агресії та глобальних викликів ХХІ століття»: у 2 т.: матеріали Міжнар. наук.-практ. конф. (м. Одеса, 17 червня 2022 р.). Одеса : Видавничий дім «Гельветика», 2022. Т. 2. С. 770-773. URL: </w:t>
      </w:r>
      <w:hyperlink r:id="rId1512">
        <w:r w:rsidRPr="00511005">
          <w:rPr>
            <w:rFonts w:ascii="Arial" w:eastAsia="Times New Roman" w:hAnsi="Arial" w:cs="Arial"/>
            <w:szCs w:val="28"/>
            <w:lang w:val="uk-UA" w:eastAsia="uk-UA"/>
          </w:rPr>
          <w:t>https://dspace.onua.edu.ua/server/api/core/bitstreams/adf466d6-6c5c-4656-a155-daa1c012c638/content</w:t>
        </w:r>
      </w:hyperlink>
      <w:r w:rsidRPr="00511005">
        <w:rPr>
          <w:rFonts w:ascii="Arial" w:eastAsia="Times New Roman" w:hAnsi="Arial" w:cs="Arial"/>
          <w:szCs w:val="28"/>
          <w:lang w:val="uk-UA" w:eastAsia="uk-UA"/>
        </w:rPr>
        <w:t xml:space="preserve"> </w:t>
      </w:r>
    </w:p>
    <w:p w14:paraId="42D7273F" w14:textId="77777777" w:rsidR="005F048D" w:rsidRPr="00511005" w:rsidRDefault="005F048D" w:rsidP="003F6A5D">
      <w:pPr>
        <w:numPr>
          <w:ilvl w:val="0"/>
          <w:numId w:val="390"/>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Міністерство юстиції України. Корисний чекліст: альтернативні механізми для забезпечення нотаріальних дій. URL: </w:t>
      </w:r>
      <w:hyperlink r:id="rId1513">
        <w:r w:rsidRPr="00511005">
          <w:rPr>
            <w:rFonts w:ascii="Arial" w:eastAsia="Times New Roman" w:hAnsi="Arial" w:cs="Arial"/>
            <w:szCs w:val="28"/>
            <w:lang w:val="uk-UA" w:eastAsia="uk-UA"/>
          </w:rPr>
          <w:t>https://just-dnipro.gov.ua/?view=viewnewsHYPERLINK "https://just-dnipro.gov.ua/?view=viewnews&amp;page_id=5510"&amp;HYPERLINK "https://just-dnipro.gov.ua/?view=viewnews&amp;page_id=5510"page_id=5510</w:t>
        </w:r>
      </w:hyperlink>
      <w:r w:rsidRPr="00511005">
        <w:rPr>
          <w:rFonts w:ascii="Arial" w:eastAsia="Times New Roman" w:hAnsi="Arial" w:cs="Arial"/>
          <w:szCs w:val="28"/>
          <w:lang w:val="uk-UA" w:eastAsia="uk-UA"/>
        </w:rPr>
        <w:t>;</w:t>
      </w:r>
    </w:p>
    <w:p w14:paraId="530978A6" w14:textId="77777777" w:rsidR="005F048D" w:rsidRPr="00511005" w:rsidRDefault="005F048D" w:rsidP="003F6A5D">
      <w:pPr>
        <w:numPr>
          <w:ilvl w:val="0"/>
          <w:numId w:val="390"/>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Кабінет Міністрів України. Деякі питання нотаріату в умовах воєнного стану: Постанова від 28.02.2022 № 164 [Електронний ресурс]. – Режим доступу: </w:t>
      </w:r>
      <w:hyperlink r:id="rId1514">
        <w:r w:rsidRPr="00511005">
          <w:rPr>
            <w:rFonts w:ascii="Arial" w:eastAsia="Times New Roman" w:hAnsi="Arial" w:cs="Arial"/>
            <w:szCs w:val="28"/>
            <w:lang w:val="uk-UA" w:eastAsia="uk-UA"/>
          </w:rPr>
          <w:t>https://zakon.rada.gov.ua/go/164-2022-%D0%BF</w:t>
        </w:r>
      </w:hyperlink>
      <w:r w:rsidRPr="00511005">
        <w:rPr>
          <w:rFonts w:ascii="Arial" w:eastAsia="Times New Roman" w:hAnsi="Arial" w:cs="Arial"/>
          <w:szCs w:val="28"/>
          <w:lang w:val="uk-UA" w:eastAsia="uk-UA"/>
        </w:rPr>
        <w:t>;</w:t>
      </w:r>
    </w:p>
    <w:p w14:paraId="2D664D33" w14:textId="77777777" w:rsidR="005F048D" w:rsidRPr="00511005" w:rsidRDefault="005F048D" w:rsidP="003F6A5D">
      <w:pPr>
        <w:numPr>
          <w:ilvl w:val="0"/>
          <w:numId w:val="390"/>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Деякі питання державної реєстрації та функціонування єдиних та державних реєстрів, держателем яких є Міністерство юстиції, в умовах воєнного стану: Постанова Кабінету Міністрів України від 06.03.2022№ 209. URL: </w:t>
      </w:r>
      <w:hyperlink r:id="rId1515" w:anchor="Text">
        <w:r w:rsidRPr="00511005">
          <w:rPr>
            <w:rFonts w:ascii="Arial" w:eastAsia="Times New Roman" w:hAnsi="Arial" w:cs="Arial"/>
            <w:szCs w:val="28"/>
            <w:lang w:val="uk-UA" w:eastAsia="uk-UA"/>
          </w:rPr>
          <w:t>https://zakon.rada.gov.ua/laws/show/209-2022-%D0%BF#Text</w:t>
        </w:r>
      </w:hyperlink>
      <w:r w:rsidRPr="00511005">
        <w:rPr>
          <w:rFonts w:ascii="Arial" w:eastAsia="Times New Roman" w:hAnsi="Arial" w:cs="Arial"/>
          <w:szCs w:val="28"/>
          <w:lang w:val="uk-UA" w:eastAsia="uk-UA"/>
        </w:rPr>
        <w:t>;</w:t>
      </w:r>
    </w:p>
    <w:p w14:paraId="48AC6FA6" w14:textId="77777777" w:rsidR="005F048D" w:rsidRPr="00511005" w:rsidRDefault="005F048D" w:rsidP="003F6A5D">
      <w:pPr>
        <w:numPr>
          <w:ilvl w:val="0"/>
          <w:numId w:val="390"/>
        </w:numPr>
        <w:spacing w:line="264" w:lineRule="auto"/>
        <w:ind w:left="0" w:firstLine="851"/>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Роман Д. (2022. Травень 13). Особливості діяльності нотаріусів в умовах воєнного стану. Науковий простір: актуальні питання, досягнення та інновації: матеріали III Міжнародної наукової конференції,м. Хмельницький. Міжнародний центр наукових досліджень, Вінниця: Європейська наукова платформа, 224–226. </w:t>
      </w:r>
    </w:p>
    <w:p w14:paraId="1A441025" w14:textId="5241DCF0" w:rsidR="005F048D" w:rsidRPr="00511005" w:rsidRDefault="007B2628"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державні реєстри, нотаріальна діяльність, кібербезпека.</w:t>
      </w:r>
    </w:p>
    <w:p w14:paraId="402C10F1" w14:textId="4E78212F" w:rsidR="005F048D" w:rsidRPr="00511005" w:rsidRDefault="007B2628" w:rsidP="003A292D">
      <w:pPr>
        <w:spacing w:line="264" w:lineRule="auto"/>
        <w:ind w:firstLine="851"/>
        <w:rPr>
          <w:rFonts w:ascii="Arial" w:eastAsia="Times New Roman" w:hAnsi="Arial" w:cs="Arial"/>
          <w:b/>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state registers, notarialactivity, cyber security.</w:t>
      </w:r>
    </w:p>
    <w:p w14:paraId="7592BB8C" w14:textId="339D914E" w:rsidR="005F048D" w:rsidRPr="00511005" w:rsidRDefault="007B2628" w:rsidP="003A292D">
      <w:pPr>
        <w:spacing w:line="264" w:lineRule="auto"/>
        <w:ind w:firstLine="851"/>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Іліопол І.М.</w:t>
      </w:r>
    </w:p>
    <w:p w14:paraId="1931ED70"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129D670A" w14:textId="77777777" w:rsidR="005F048D" w:rsidRPr="00511005" w:rsidRDefault="005F048D" w:rsidP="003A292D">
      <w:pPr>
        <w:spacing w:line="264" w:lineRule="auto"/>
        <w:ind w:firstLine="0"/>
        <w:rPr>
          <w:rFonts w:ascii="Arial" w:eastAsia="Times New Roman" w:hAnsi="Arial" w:cs="Arial"/>
          <w:i/>
          <w:szCs w:val="28"/>
          <w:lang w:val="uk-UA" w:eastAsia="uk-UA"/>
        </w:rPr>
      </w:pPr>
    </w:p>
    <w:p w14:paraId="3B86B15E" w14:textId="77777777" w:rsidR="005F048D" w:rsidRPr="00511005" w:rsidRDefault="005F048D" w:rsidP="003A292D">
      <w:pPr>
        <w:tabs>
          <w:tab w:val="left" w:pos="7088"/>
        </w:tabs>
        <w:spacing w:line="264" w:lineRule="auto"/>
        <w:ind w:firstLine="0"/>
        <w:jc w:val="center"/>
        <w:rPr>
          <w:rFonts w:ascii="Arial" w:eastAsia="Arial" w:hAnsi="Arial" w:cs="Arial"/>
          <w:b/>
          <w:i/>
          <w:szCs w:val="28"/>
          <w:lang w:val="uk-UA" w:eastAsia="uk-UA"/>
        </w:rPr>
      </w:pPr>
      <w:r w:rsidRPr="00511005">
        <w:rPr>
          <w:rFonts w:ascii="Arial" w:eastAsia="Arial" w:hAnsi="Arial" w:cs="Arial"/>
          <w:b/>
          <w:i/>
          <w:szCs w:val="28"/>
          <w:lang w:val="uk-UA" w:eastAsia="uk-UA"/>
        </w:rPr>
        <w:t xml:space="preserve">Шкляренко Катерина Сергіївна </w:t>
      </w:r>
    </w:p>
    <w:p w14:paraId="394F289C" w14:textId="3945D89A" w:rsidR="005F048D" w:rsidRPr="00511005" w:rsidRDefault="00536AAB" w:rsidP="003A292D">
      <w:pPr>
        <w:tabs>
          <w:tab w:val="left" w:pos="7088"/>
        </w:tabs>
        <w:spacing w:line="264" w:lineRule="auto"/>
        <w:ind w:firstLine="0"/>
        <w:jc w:val="center"/>
        <w:rPr>
          <w:rFonts w:ascii="Arial" w:eastAsia="Arial" w:hAnsi="Arial" w:cs="Arial"/>
          <w:szCs w:val="28"/>
          <w:lang w:val="uk-UA" w:eastAsia="uk-UA"/>
        </w:rPr>
      </w:pPr>
      <w:r w:rsidRPr="00511005">
        <w:rPr>
          <w:rFonts w:ascii="Arial" w:eastAsia="Arial" w:hAnsi="Arial" w:cs="Arial"/>
          <w:szCs w:val="28"/>
          <w:lang w:val="uk-UA" w:eastAsia="uk-UA"/>
        </w:rPr>
        <w:t xml:space="preserve">студентка 3-го курсу </w:t>
      </w:r>
    </w:p>
    <w:p w14:paraId="2CD5AAC3" w14:textId="77777777" w:rsidR="005F048D" w:rsidRPr="00511005" w:rsidRDefault="005F048D" w:rsidP="003A292D">
      <w:pPr>
        <w:tabs>
          <w:tab w:val="left" w:pos="7088"/>
        </w:tabs>
        <w:spacing w:line="264" w:lineRule="auto"/>
        <w:ind w:firstLine="0"/>
        <w:jc w:val="center"/>
        <w:rPr>
          <w:rFonts w:ascii="Arial" w:eastAsia="Arial" w:hAnsi="Arial" w:cs="Arial"/>
          <w:szCs w:val="28"/>
          <w:lang w:val="uk-UA" w:eastAsia="uk-UA"/>
        </w:rPr>
      </w:pPr>
      <w:r w:rsidRPr="00511005">
        <w:rPr>
          <w:rFonts w:ascii="Arial" w:eastAsia="Arial" w:hAnsi="Arial" w:cs="Arial"/>
          <w:szCs w:val="28"/>
          <w:lang w:val="uk-UA" w:eastAsia="uk-UA"/>
        </w:rPr>
        <w:t xml:space="preserve">факультету цивільної та господарської юстиції </w:t>
      </w:r>
    </w:p>
    <w:p w14:paraId="1C04B643" w14:textId="414EC2AD" w:rsidR="005F048D" w:rsidRPr="00511005" w:rsidRDefault="007B2628" w:rsidP="003A292D">
      <w:pPr>
        <w:tabs>
          <w:tab w:val="left" w:pos="7088"/>
        </w:tabs>
        <w:spacing w:line="264" w:lineRule="auto"/>
        <w:ind w:firstLine="0"/>
        <w:jc w:val="center"/>
        <w:rPr>
          <w:rFonts w:ascii="Arial" w:eastAsia="Arial" w:hAnsi="Arial" w:cs="Arial"/>
          <w:szCs w:val="28"/>
          <w:lang w:val="uk-UA" w:eastAsia="uk-UA"/>
        </w:rPr>
      </w:pPr>
      <w:r w:rsidRPr="00511005">
        <w:rPr>
          <w:rFonts w:ascii="Arial" w:eastAsia="Arial" w:hAnsi="Arial" w:cs="Arial"/>
          <w:szCs w:val="28"/>
          <w:lang w:val="uk-UA" w:eastAsia="uk-UA"/>
        </w:rPr>
        <w:t>Національного університету «Одеська юридична академія»</w:t>
      </w:r>
    </w:p>
    <w:p w14:paraId="7BD0DD63" w14:textId="77777777" w:rsidR="005F048D" w:rsidRPr="00511005" w:rsidRDefault="005F048D" w:rsidP="003A292D">
      <w:pPr>
        <w:tabs>
          <w:tab w:val="left" w:pos="7088"/>
        </w:tabs>
        <w:spacing w:line="264" w:lineRule="auto"/>
        <w:ind w:firstLine="0"/>
        <w:jc w:val="center"/>
        <w:rPr>
          <w:rFonts w:ascii="Arial" w:eastAsia="Arial" w:hAnsi="Arial" w:cs="Arial"/>
          <w:b/>
          <w:szCs w:val="28"/>
          <w:lang w:val="uk-UA" w:eastAsia="uk-UA"/>
        </w:rPr>
      </w:pPr>
    </w:p>
    <w:p w14:paraId="16CA0FE2" w14:textId="77777777" w:rsidR="005F048D" w:rsidRPr="00511005" w:rsidRDefault="005F048D" w:rsidP="003A292D">
      <w:pPr>
        <w:tabs>
          <w:tab w:val="left" w:pos="7088"/>
        </w:tabs>
        <w:spacing w:line="264" w:lineRule="auto"/>
        <w:ind w:firstLine="0"/>
        <w:jc w:val="center"/>
        <w:rPr>
          <w:rFonts w:ascii="Arial" w:eastAsia="Arial" w:hAnsi="Arial" w:cs="Arial"/>
          <w:b/>
          <w:szCs w:val="28"/>
          <w:lang w:val="uk-UA" w:eastAsia="uk-UA"/>
        </w:rPr>
      </w:pPr>
      <w:r w:rsidRPr="00511005">
        <w:rPr>
          <w:rFonts w:ascii="Arial" w:eastAsia="Arial" w:hAnsi="Arial" w:cs="Arial"/>
          <w:b/>
          <w:szCs w:val="28"/>
          <w:lang w:val="uk-UA" w:eastAsia="uk-UA"/>
        </w:rPr>
        <w:t>ЕЛЕКТРОННІ ВИКОНАВЧІ ДОКУМЕНТИ ПО ВИКОНАВЧОМУ ПРОВАДЖЕННЮ</w:t>
      </w:r>
    </w:p>
    <w:p w14:paraId="60D020C0" w14:textId="77777777" w:rsidR="005F048D"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 xml:space="preserve">Електронні виконавчі документи є однією з найбільш інноваційних складових сучасної системи виконавчого провадження в Україні. В умовах розвитку цифрових технологій та їх впливу на усі сфери суспільного життя, система правосуддя також не залишилась осторонь цих змін. Впровадження електронних виконавчих документів сприяє значній оптимізації процесу виконання судових рішень, підвищенню ефективності правосуддя та забезпеченню швидкого доступу до правових інструментів. Це є важливою </w:t>
      </w:r>
      <w:r w:rsidRPr="00511005">
        <w:rPr>
          <w:rFonts w:ascii="Arial" w:eastAsia="Arial" w:hAnsi="Arial" w:cs="Arial"/>
          <w:szCs w:val="28"/>
          <w:lang w:val="uk-UA" w:eastAsia="uk-UA"/>
        </w:rPr>
        <w:lastRenderedPageBreak/>
        <w:t>складовою стратегії цифровізації правосуддя в Україні, яка стала можливою завдяки тісній співпраці між Міністерством юстиції України, Державною судовою адміністрацією, а також іншими державними установами, що займаються інформаційними технологіями.</w:t>
      </w:r>
    </w:p>
    <w:p w14:paraId="2B8542D0" w14:textId="77777777" w:rsidR="005F048D"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Виконавче провадження є ключовим етапом у реалізації судових рішень. Це одна з найбільш важливих складових механізму правосуддя, адже тільки через ефективне виконання рішень судів забезпечується реальне правосуддя для громадян. Проте традиційні методи виконання судових рішень часто пов’язані з низкою труднощів, зокрема з паперовою тяганиною, необхідністю пересилати документи поштою, а також значними часовими витратами на процес взаємодії між судами, виконавчими службами та сторонами процесу. Ці фактори створюють значні перешкоди на шляху до своєчасного виконання рішень суду.</w:t>
      </w:r>
    </w:p>
    <w:p w14:paraId="3260EFF8" w14:textId="77777777" w:rsidR="005F048D"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У зв’язку з цим, система електронних виконавчих документів була запроваджена з метою оптимізації цих процесів. Відповідно до Закону України "Про виконавче провадження", в якому прописані всі основні етапи та вимоги до процесу виконання судових рішень, електронні виконавчі документи стали одним із основних інструментів, які спрощують цю процедуру. Цей підхід має низку переваг, серед яких найважливіші: зменшення часу на передачу документів, зниження адміністративних витрат та значне зменшення ймовірності помилок, що можуть бути допущені під час вручення документів [1].</w:t>
      </w:r>
    </w:p>
    <w:p w14:paraId="4BE2BEBB" w14:textId="77777777" w:rsidR="005F048D"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Електронні виконавчі документи реалізуються в рамках автоматизованої системи виконавчого провадження, яка тісно інтегрована з іншими елементами судової системи, такими як Єдина судова інформаційно-телекомунікаційна система (ЄСІТС). Завдяки цьому можна забезпечити миттєву передачу виконавчих документів між судом, виконавцем і сторонами процесу. Важливою складовою цієї системи є використання цифрових підписів та інших засобів забезпечення безпеки, що дозволяють підтвердити дійсність документів і запобігти можливим спробам їх підробки.</w:t>
      </w:r>
    </w:p>
    <w:p w14:paraId="54BBEA44" w14:textId="77777777" w:rsidR="005F048D"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Однією з найбільш значущих змін, що відбулися з впровадженням електронних виконавчих документів, є зміна підходу до інформування учасників виконавчого провадження. Тепер виконавчі документи можуть бути автоматично направлені до електронних кабінетів як стягувачів, так і боржників. Це дозволяє учасникам процесу отримувати документи в найкоротші терміни без необхідності очікування на фізичне доставлення документів через пошту. З огляду на специфіку сучасного суспільства, це має велику значущість, оскільки дозволяє уникнути затримок і забезпечує належне виконання рішень суду вчасно [4].</w:t>
      </w:r>
    </w:p>
    <w:p w14:paraId="481726D8" w14:textId="77777777" w:rsidR="005F048D"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 xml:space="preserve">Таке нововведення є особливо актуальним у контексті воєнного стану, який триває на території України внаслідок агресії з боку Російської </w:t>
      </w:r>
      <w:r w:rsidRPr="00511005">
        <w:rPr>
          <w:rFonts w:ascii="Arial" w:eastAsia="Arial" w:hAnsi="Arial" w:cs="Arial"/>
          <w:szCs w:val="28"/>
          <w:lang w:val="uk-UA" w:eastAsia="uk-UA"/>
        </w:rPr>
        <w:lastRenderedPageBreak/>
        <w:t>Федерації. У часи воєнних дій доступ до правосуддя та швидке виконання судових рішень набуває ще більшої важливості. У цих умовах ефективність електронних виконавчих документів дозволяє забезпечити мінімальні затримки в процесі виконання рішень суду, навіть коли фізична доставка документів через пошту або через виконавців може бути ускладнена чи неможлива. Таким чином, електронний документообіг в умовах воєнного стану стає особливо необхідним інструментом для підтримки правопорядку та виконання судових рішень.</w:t>
      </w:r>
    </w:p>
    <w:p w14:paraId="3B39F4C6" w14:textId="77777777" w:rsidR="005F048D"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Ще однією важливою функцією, яку забезпечують електронні виконавчі документи, є можливість онлайн-оплати заборгованостей. У разі, якщо стягувачем є державна установа, боржник може одразу після отримання електронного виконавчого документа здійснити оплату через онлайн-сервіси. Це дозволяє значно прискорити процес виконання судових рішень, оскільки усувається необхідність для боржника особисто відвідувати банки або інші установи для здійснення платежу. Крім того, зручність такого механізму полягає в тому, що інформація про здійснені платежі автоматично оновлюється в системі, що дозволяє виконавцям миттєво перевіряти статус виконання рішення [2].</w:t>
      </w:r>
    </w:p>
    <w:p w14:paraId="397034A2" w14:textId="77777777" w:rsidR="005F048D"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Виконання судових рішень у електронному форматі також відкриває нові можливості для стягувачів. Вони можуть подати документи для виконання через електронний кабінет без необхідності витрачати час і ресурси на фізичну подачу документів до виконавців. Це дозволяє зекономити час та знизити адміністративні витрати, оскільки всі необхідні документи можна подати та отримати в електронному вигляді, що значно спрощує всю процедуру.</w:t>
      </w:r>
    </w:p>
    <w:p w14:paraId="20A0097D" w14:textId="77777777" w:rsidR="005F048D"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Завдяки цим нововведенням, правова система України набула ще більшої гнучкості і прозорості. Процес виконання судових рішень став більш зручним та ефективним, що позитивно впливає на рівень правової впевненості громадян. Усі учасники процесу, будь то боржник, стягувач чи виконавець, мають рівний доступ до електронних сервісів і можуть своєчасно отримувати або подавати документи, виконуючи свої процесуальні обов'язки.</w:t>
      </w:r>
    </w:p>
    <w:p w14:paraId="3698C3B2" w14:textId="77777777" w:rsidR="005F048D"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Також важливим є той факт, що нововведення дозволяють уникнути помилок, які можуть виникати під час фізичного обміну документами. Оскільки всі документи в електронній формі містять цифрові підписи та інші засоби захисту, вони стають юридично дійсними без необхідності додаткових підтверджень або перевірок. Це забезпечує більшу юридичну визначеність у процесі виконання рішень суду [3, c.471].</w:t>
      </w:r>
    </w:p>
    <w:p w14:paraId="1D9861DA" w14:textId="77777777" w:rsidR="005F048D"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 xml:space="preserve">До того ж, інтеграція електронних виконавчих документів в систему виконавчого провадження дозволяє створити єдиний реєстр, в якому відображаються всі виконувані документи. Це дає змогу всім учасникам </w:t>
      </w:r>
      <w:r w:rsidRPr="00511005">
        <w:rPr>
          <w:rFonts w:ascii="Arial" w:eastAsia="Arial" w:hAnsi="Arial" w:cs="Arial"/>
          <w:szCs w:val="28"/>
          <w:lang w:val="uk-UA" w:eastAsia="uk-UA"/>
        </w:rPr>
        <w:lastRenderedPageBreak/>
        <w:t>процесу в будь-який момент перевірити статус виконання рішення, що забезпечує повну прозорість та відкритість виконавчого процесу.</w:t>
      </w:r>
    </w:p>
    <w:p w14:paraId="1129C03F" w14:textId="77777777" w:rsidR="007B2628" w:rsidRPr="00511005" w:rsidRDefault="005F048D" w:rsidP="003A292D">
      <w:pPr>
        <w:tabs>
          <w:tab w:val="left" w:pos="7088"/>
        </w:tabs>
        <w:spacing w:line="264" w:lineRule="auto"/>
        <w:rPr>
          <w:rFonts w:ascii="Arial" w:eastAsia="Arial" w:hAnsi="Arial" w:cs="Arial"/>
          <w:szCs w:val="28"/>
          <w:lang w:val="uk-UA" w:eastAsia="uk-UA"/>
        </w:rPr>
      </w:pPr>
      <w:r w:rsidRPr="00511005">
        <w:rPr>
          <w:rFonts w:ascii="Arial" w:eastAsia="Arial" w:hAnsi="Arial" w:cs="Arial"/>
          <w:szCs w:val="28"/>
          <w:lang w:val="uk-UA" w:eastAsia="uk-UA"/>
        </w:rPr>
        <w:t>Отже, впровадження електронних виконавчих документів є важливим кроком до модернізації системи виконання судових рішень в Україні. Цей процес дозволяє значно покращити ефективність і доступність правосуддя, забезпечити своєчасне виконання судових рішень, а також знизити адміністративні витрати. У майбутньому можна очікувати подальшого розвитку електронних систем у правовій сфері, що дозволить зробити процес виконання рішень ще більш ефективним і зручним для громадян та органів влади.</w:t>
      </w:r>
    </w:p>
    <w:p w14:paraId="53B131D1" w14:textId="1B7C788F" w:rsidR="005F048D" w:rsidRPr="00511005" w:rsidRDefault="005F048D" w:rsidP="003A292D">
      <w:pPr>
        <w:tabs>
          <w:tab w:val="left" w:pos="7088"/>
        </w:tabs>
        <w:spacing w:line="264" w:lineRule="auto"/>
        <w:ind w:firstLine="0"/>
        <w:jc w:val="center"/>
        <w:rPr>
          <w:rFonts w:ascii="Arial" w:eastAsia="Arial" w:hAnsi="Arial" w:cs="Arial"/>
          <w:b/>
          <w:szCs w:val="28"/>
          <w:lang w:val="uk-UA" w:eastAsia="uk-UA"/>
        </w:rPr>
      </w:pPr>
    </w:p>
    <w:p w14:paraId="4FD102F4" w14:textId="7FD8E8E6" w:rsidR="005F048D" w:rsidRPr="00511005" w:rsidRDefault="007B2628" w:rsidP="007B2628">
      <w:pPr>
        <w:tabs>
          <w:tab w:val="left" w:pos="7088"/>
        </w:tabs>
        <w:spacing w:line="264" w:lineRule="auto"/>
        <w:ind w:firstLine="0"/>
        <w:jc w:val="center"/>
        <w:rPr>
          <w:rFonts w:ascii="Arial" w:eastAsia="Arial" w:hAnsi="Arial" w:cs="Arial"/>
          <w:b/>
          <w:szCs w:val="28"/>
          <w:lang w:val="uk-UA" w:eastAsia="uk-UA"/>
        </w:rPr>
      </w:pPr>
      <w:r w:rsidRPr="00511005">
        <w:rPr>
          <w:rFonts w:ascii="Arial" w:eastAsia="Arial" w:hAnsi="Arial" w:cs="Arial"/>
          <w:b/>
          <w:szCs w:val="28"/>
          <w:lang w:val="uk-UA" w:eastAsia="uk-UA"/>
        </w:rPr>
        <w:t>Список використаних джерел</w:t>
      </w:r>
    </w:p>
    <w:p w14:paraId="206B374A" w14:textId="3506BF1B" w:rsidR="005F048D" w:rsidRPr="00511005" w:rsidRDefault="005F048D" w:rsidP="003F6A5D">
      <w:pPr>
        <w:widowControl w:val="0"/>
        <w:numPr>
          <w:ilvl w:val="0"/>
          <w:numId w:val="397"/>
        </w:numPr>
        <w:pBdr>
          <w:top w:val="nil"/>
          <w:left w:val="nil"/>
          <w:bottom w:val="nil"/>
          <w:right w:val="nil"/>
          <w:between w:val="nil"/>
        </w:pBdr>
        <w:tabs>
          <w:tab w:val="left" w:pos="993"/>
          <w:tab w:val="left" w:pos="7088"/>
        </w:tabs>
        <w:spacing w:line="264" w:lineRule="auto"/>
        <w:ind w:left="0" w:firstLine="709"/>
        <w:jc w:val="left"/>
        <w:rPr>
          <w:rFonts w:ascii="Arial" w:eastAsia="Arial" w:hAnsi="Arial" w:cs="Arial"/>
          <w:szCs w:val="28"/>
          <w:lang w:val="uk-UA" w:eastAsia="uk-UA"/>
        </w:rPr>
      </w:pPr>
      <w:bookmarkStart w:id="176" w:name="_tmq5w4vi2ly" w:colFirst="0" w:colLast="0"/>
      <w:bookmarkEnd w:id="176"/>
      <w:r w:rsidRPr="00511005">
        <w:rPr>
          <w:rFonts w:ascii="Arial" w:eastAsia="Times New Roman" w:hAnsi="Arial" w:cs="Arial"/>
          <w:szCs w:val="28"/>
          <w:lang w:val="uk-UA" w:eastAsia="uk-UA"/>
        </w:rPr>
        <w:t>Закон України «Про виконавче провадження» № 1404-VIII від 02.06.2016 року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URL: https://zakon.rada.gov.ua/laws/show/1404-19#Text(дата звернення: 18 квітня 2025 р.)​</w:t>
      </w:r>
    </w:p>
    <w:p w14:paraId="4C34D3E5" w14:textId="77777777" w:rsidR="005F048D" w:rsidRPr="00511005" w:rsidRDefault="005F048D" w:rsidP="003F6A5D">
      <w:pPr>
        <w:widowControl w:val="0"/>
        <w:numPr>
          <w:ilvl w:val="0"/>
          <w:numId w:val="397"/>
        </w:numPr>
        <w:pBdr>
          <w:top w:val="nil"/>
          <w:left w:val="nil"/>
          <w:bottom w:val="nil"/>
          <w:right w:val="nil"/>
          <w:between w:val="nil"/>
        </w:pBdr>
        <w:tabs>
          <w:tab w:val="left" w:pos="993"/>
          <w:tab w:val="left" w:pos="7088"/>
        </w:tabs>
        <w:spacing w:line="264" w:lineRule="auto"/>
        <w:ind w:left="0" w:firstLine="709"/>
        <w:jc w:val="left"/>
        <w:rPr>
          <w:rFonts w:ascii="Arial" w:eastAsia="Arial" w:hAnsi="Arial" w:cs="Arial"/>
          <w:szCs w:val="28"/>
          <w:lang w:val="uk-UA" w:eastAsia="uk-UA"/>
        </w:rPr>
      </w:pPr>
      <w:r w:rsidRPr="00511005">
        <w:rPr>
          <w:rFonts w:ascii="Arial" w:eastAsia="Times New Roman" w:hAnsi="Arial" w:cs="Arial"/>
          <w:szCs w:val="28"/>
          <w:lang w:val="uk-UA" w:eastAsia="uk-UA"/>
        </w:rPr>
        <w:t>Кожевнікова А. «Новітні електронні технології у виконавчому процесі». Журнал №2 (46) / 2022, KELM. URL: https://kelmczasopisma.com/public/ua/jornal/72 (дата звернення: 18 квітня 2025 р.)​</w:t>
      </w:r>
    </w:p>
    <w:p w14:paraId="21B1D302" w14:textId="0E319587" w:rsidR="005F048D" w:rsidRPr="00511005" w:rsidRDefault="005F048D" w:rsidP="003F6A5D">
      <w:pPr>
        <w:widowControl w:val="0"/>
        <w:numPr>
          <w:ilvl w:val="0"/>
          <w:numId w:val="397"/>
        </w:numPr>
        <w:pBdr>
          <w:top w:val="nil"/>
          <w:left w:val="nil"/>
          <w:bottom w:val="nil"/>
          <w:right w:val="nil"/>
          <w:between w:val="nil"/>
        </w:pBdr>
        <w:tabs>
          <w:tab w:val="left" w:pos="993"/>
          <w:tab w:val="left" w:pos="7088"/>
        </w:tabs>
        <w:spacing w:line="264" w:lineRule="auto"/>
        <w:ind w:left="0" w:firstLine="709"/>
        <w:jc w:val="left"/>
        <w:rPr>
          <w:rFonts w:ascii="Arial" w:eastAsia="Arial" w:hAnsi="Arial" w:cs="Arial"/>
          <w:szCs w:val="28"/>
          <w:lang w:val="uk-UA" w:eastAsia="uk-UA"/>
        </w:rPr>
      </w:pPr>
      <w:r w:rsidRPr="00511005">
        <w:rPr>
          <w:rFonts w:ascii="Arial" w:eastAsia="Times New Roman" w:hAnsi="Arial" w:cs="Arial"/>
          <w:szCs w:val="28"/>
          <w:lang w:val="uk-UA" w:eastAsia="uk-UA"/>
        </w:rPr>
        <w:t>Щербина К.А. Юридичні факти у виконавчому провадженні: деякі аспекти. Сучасні тенденції розвитку приватно-правових відносин в умовах євроінтеграційних процесів: матеріали Всеукр. наук-практ. конф. (м. Дніпро, 23 листоп. 2022 р).</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Дніпро: ДДУВС, 2022. С. 469-472</w:t>
      </w:r>
    </w:p>
    <w:p w14:paraId="3DF8ACE6" w14:textId="77777777" w:rsidR="005F048D" w:rsidRPr="00511005" w:rsidRDefault="005F048D" w:rsidP="003F6A5D">
      <w:pPr>
        <w:widowControl w:val="0"/>
        <w:numPr>
          <w:ilvl w:val="0"/>
          <w:numId w:val="397"/>
        </w:numPr>
        <w:pBdr>
          <w:top w:val="nil"/>
          <w:left w:val="nil"/>
          <w:bottom w:val="nil"/>
          <w:right w:val="nil"/>
          <w:between w:val="nil"/>
        </w:pBdr>
        <w:tabs>
          <w:tab w:val="left" w:pos="993"/>
          <w:tab w:val="left" w:pos="7088"/>
        </w:tabs>
        <w:spacing w:line="264" w:lineRule="auto"/>
        <w:ind w:left="0" w:firstLine="709"/>
        <w:jc w:val="left"/>
        <w:rPr>
          <w:rFonts w:ascii="Arial" w:eastAsia="Arial" w:hAnsi="Arial" w:cs="Arial"/>
          <w:szCs w:val="28"/>
          <w:lang w:val="uk-UA" w:eastAsia="uk-UA"/>
        </w:rPr>
      </w:pPr>
      <w:r w:rsidRPr="00511005">
        <w:rPr>
          <w:rFonts w:ascii="Arial" w:eastAsia="Times New Roman" w:hAnsi="Arial" w:cs="Arial"/>
          <w:szCs w:val="28"/>
          <w:lang w:val="uk-UA" w:eastAsia="uk-UA"/>
        </w:rPr>
        <w:t xml:space="preserve">Виконавчі документи в Е-суді. Судова влада України. </w:t>
      </w:r>
      <w:hyperlink r:id="rId1516">
        <w:r w:rsidRPr="00511005">
          <w:rPr>
            <w:rFonts w:ascii="Arial" w:eastAsia="Times New Roman" w:hAnsi="Arial" w:cs="Arial"/>
            <w:szCs w:val="28"/>
            <w:lang w:val="uk-UA" w:eastAsia="uk-UA"/>
          </w:rPr>
          <w:t>Сьомий апеляційний адміністративний суд</w:t>
        </w:r>
      </w:hyperlink>
      <w:r w:rsidRPr="00511005">
        <w:rPr>
          <w:rFonts w:ascii="Arial" w:eastAsia="Times New Roman" w:hAnsi="Arial" w:cs="Arial"/>
          <w:szCs w:val="28"/>
          <w:lang w:val="uk-UA" w:eastAsia="uk-UA"/>
        </w:rPr>
        <w:t xml:space="preserve"> URL: </w:t>
      </w:r>
      <w:hyperlink r:id="rId1517">
        <w:r w:rsidRPr="00511005">
          <w:rPr>
            <w:rFonts w:ascii="Arial" w:eastAsia="Times New Roman" w:hAnsi="Arial" w:cs="Arial"/>
            <w:szCs w:val="28"/>
            <w:lang w:val="uk-UA" w:eastAsia="uk-UA"/>
          </w:rPr>
          <w:t>https://court.gov.ua/archive/1657928/</w:t>
        </w:r>
      </w:hyperlink>
      <w:r w:rsidRPr="00511005">
        <w:rPr>
          <w:rFonts w:ascii="Arial" w:eastAsia="Times New Roman" w:hAnsi="Arial" w:cs="Arial"/>
          <w:szCs w:val="28"/>
          <w:lang w:val="uk-UA" w:eastAsia="uk-UA"/>
        </w:rPr>
        <w:t xml:space="preserve"> (дата звернення: 18 квітня 2025 р.)​.</w:t>
      </w:r>
    </w:p>
    <w:p w14:paraId="080DBDBD" w14:textId="16E2A556" w:rsidR="005F048D" w:rsidRPr="00511005" w:rsidRDefault="007B2628" w:rsidP="003A292D">
      <w:pPr>
        <w:tabs>
          <w:tab w:val="left" w:pos="993"/>
          <w:tab w:val="left" w:pos="7088"/>
        </w:tabs>
        <w:spacing w:line="264" w:lineRule="auto"/>
        <w:ind w:firstLine="851"/>
        <w:rPr>
          <w:rFonts w:ascii="Arial" w:eastAsia="Arial" w:hAnsi="Arial" w:cs="Arial"/>
          <w:bCs/>
          <w:szCs w:val="28"/>
          <w:lang w:eastAsia="uk-UA"/>
        </w:rPr>
      </w:pPr>
      <w:r w:rsidRPr="00511005">
        <w:rPr>
          <w:rFonts w:ascii="Arial" w:eastAsia="Arial" w:hAnsi="Arial" w:cs="Arial"/>
          <w:b/>
          <w:bCs/>
          <w:i/>
          <w:szCs w:val="28"/>
          <w:lang w:eastAsia="uk-UA"/>
        </w:rPr>
        <w:t xml:space="preserve">Ключові слова: </w:t>
      </w:r>
      <w:r w:rsidR="005F048D" w:rsidRPr="00511005">
        <w:rPr>
          <w:rFonts w:ascii="Arial" w:eastAsia="Arial" w:hAnsi="Arial" w:cs="Arial"/>
          <w:bCs/>
          <w:szCs w:val="28"/>
          <w:lang w:eastAsia="uk-UA"/>
        </w:rPr>
        <w:t>електронний, документ, закон, приватний, євроінтеграція.</w:t>
      </w:r>
    </w:p>
    <w:p w14:paraId="1234A865" w14:textId="548B562A" w:rsidR="005F048D" w:rsidRPr="00511005" w:rsidRDefault="007B2628" w:rsidP="003A292D">
      <w:pPr>
        <w:tabs>
          <w:tab w:val="left" w:pos="993"/>
          <w:tab w:val="left" w:pos="7088"/>
        </w:tabs>
        <w:spacing w:line="264" w:lineRule="auto"/>
        <w:ind w:firstLine="851"/>
        <w:rPr>
          <w:rFonts w:ascii="Arial" w:eastAsia="Arial" w:hAnsi="Arial" w:cs="Arial"/>
          <w:bCs/>
          <w:szCs w:val="28"/>
          <w:lang w:val="uk-UA" w:eastAsia="uk-UA"/>
        </w:rPr>
      </w:pPr>
      <w:r w:rsidRPr="00511005">
        <w:rPr>
          <w:rFonts w:ascii="Arial" w:eastAsia="Arial" w:hAnsi="Arial" w:cs="Arial"/>
          <w:b/>
          <w:bCs/>
          <w:i/>
          <w:szCs w:val="28"/>
          <w:lang w:val="uk-UA" w:eastAsia="uk-UA"/>
        </w:rPr>
        <w:t xml:space="preserve">Key words: </w:t>
      </w:r>
      <w:r w:rsidR="005F048D" w:rsidRPr="00511005">
        <w:rPr>
          <w:rFonts w:ascii="Arial" w:eastAsia="Arial" w:hAnsi="Arial" w:cs="Arial"/>
          <w:bCs/>
          <w:szCs w:val="28"/>
          <w:lang w:val="uk-UA" w:eastAsia="uk-UA"/>
        </w:rPr>
        <w:t>electronic, document, law, private, European integration.</w:t>
      </w:r>
    </w:p>
    <w:p w14:paraId="092CEF08" w14:textId="1E0D2FC0" w:rsidR="005F048D" w:rsidRPr="00511005" w:rsidRDefault="007B2628" w:rsidP="003A292D">
      <w:pPr>
        <w:spacing w:line="264" w:lineRule="auto"/>
        <w:ind w:firstLine="851"/>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 xml:space="preserve">к.ю.н доцент </w:t>
      </w:r>
      <w:r w:rsidR="005F048D" w:rsidRPr="00511005">
        <w:rPr>
          <w:rFonts w:ascii="Arial" w:eastAsia="Arial" w:hAnsi="Arial" w:cs="Arial"/>
          <w:i/>
          <w:szCs w:val="28"/>
          <w:lang w:val="uk-UA" w:eastAsia="uk-UA"/>
        </w:rPr>
        <w:t>Притуляк В.М.</w:t>
      </w:r>
    </w:p>
    <w:p w14:paraId="1BDAAC32" w14:textId="77777777" w:rsidR="005F048D" w:rsidRPr="00511005" w:rsidRDefault="005F048D" w:rsidP="003A292D">
      <w:pPr>
        <w:spacing w:line="264" w:lineRule="auto"/>
        <w:ind w:firstLine="0"/>
        <w:jc w:val="left"/>
        <w:rPr>
          <w:rFonts w:ascii="Arial" w:eastAsia="Arial" w:hAnsi="Arial" w:cs="Arial"/>
          <w:b/>
          <w:szCs w:val="28"/>
          <w:lang w:val="uk-UA" w:eastAsia="uk-UA"/>
        </w:rPr>
      </w:pPr>
    </w:p>
    <w:p w14:paraId="2F0CCD09" w14:textId="77777777" w:rsidR="005F048D" w:rsidRPr="00511005" w:rsidRDefault="005F048D" w:rsidP="003A292D">
      <w:pPr>
        <w:tabs>
          <w:tab w:val="left" w:pos="7088"/>
        </w:tabs>
        <w:spacing w:line="264" w:lineRule="auto"/>
        <w:ind w:firstLine="0"/>
        <w:jc w:val="left"/>
        <w:rPr>
          <w:rFonts w:ascii="Arial" w:eastAsia="Times New Roman" w:hAnsi="Arial" w:cs="Arial"/>
          <w:szCs w:val="28"/>
          <w:lang w:val="uk-UA" w:eastAsia="uk-UA"/>
        </w:rPr>
      </w:pPr>
    </w:p>
    <w:p w14:paraId="1922A811" w14:textId="77777777" w:rsidR="005F048D" w:rsidRPr="00511005" w:rsidRDefault="005F048D"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Янковська Марія – Антуанетта Віталіївна</w:t>
      </w:r>
    </w:p>
    <w:p w14:paraId="619646D3" w14:textId="7A2DDEC9" w:rsidR="005F048D" w:rsidRPr="00511005" w:rsidRDefault="00536AAB"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 xml:space="preserve">студентка 3-го курсу </w:t>
      </w:r>
      <w:r w:rsidR="005F048D" w:rsidRPr="00511005">
        <w:rPr>
          <w:rFonts w:ascii="Arial" w:eastAsia="Times New Roman" w:hAnsi="Arial" w:cs="Arial"/>
          <w:i/>
          <w:szCs w:val="28"/>
          <w:lang w:val="uk-UA" w:eastAsia="uk-UA"/>
        </w:rPr>
        <w:t xml:space="preserve">факультету </w:t>
      </w:r>
    </w:p>
    <w:p w14:paraId="5D2804C3" w14:textId="77777777" w:rsidR="005F048D" w:rsidRPr="00511005" w:rsidRDefault="005F048D"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адвокатури та антикорупційної діяльності</w:t>
      </w:r>
    </w:p>
    <w:p w14:paraId="634B8D32" w14:textId="60D192B7" w:rsidR="005F048D" w:rsidRPr="00511005" w:rsidRDefault="007B2628" w:rsidP="003A292D">
      <w:pPr>
        <w:spacing w:line="264" w:lineRule="auto"/>
        <w:ind w:firstLine="0"/>
        <w:jc w:val="center"/>
        <w:rPr>
          <w:rFonts w:ascii="Arial" w:eastAsia="Times New Roman" w:hAnsi="Arial" w:cs="Arial"/>
          <w:i/>
          <w:szCs w:val="28"/>
          <w:lang w:val="uk-UA" w:eastAsia="uk-UA"/>
        </w:rPr>
      </w:pPr>
      <w:r w:rsidRPr="00511005">
        <w:rPr>
          <w:rFonts w:ascii="Arial" w:eastAsia="Times New Roman" w:hAnsi="Arial" w:cs="Arial"/>
          <w:i/>
          <w:szCs w:val="28"/>
          <w:lang w:val="uk-UA" w:eastAsia="uk-UA"/>
        </w:rPr>
        <w:t>Національного університету «Одеська юридична академія»</w:t>
      </w:r>
    </w:p>
    <w:p w14:paraId="6474A7A1"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p>
    <w:p w14:paraId="6A4FBDFA" w14:textId="77777777" w:rsidR="005F048D" w:rsidRPr="00511005" w:rsidRDefault="005F048D"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МЕДІАЦІЯ ЯК АЛЬТЕРНАТИВА СУДОВОМУ РОЗГЛЯДУ В ЦИВІЛЬНОМУ ПРОЦЕСІ</w:t>
      </w:r>
    </w:p>
    <w:p w14:paraId="10380EA4" w14:textId="43999BA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реаліях динамічного розвитку суспільства, коли конфліктні ситуації між учасниками правовідносин стають дедалі складнішими та частішими, бачимо: традиційні механізми вирішення спорів потребують допомоги та </w:t>
      </w:r>
      <w:r w:rsidRPr="00511005">
        <w:rPr>
          <w:rFonts w:ascii="Arial" w:eastAsia="Times New Roman" w:hAnsi="Arial" w:cs="Arial"/>
          <w:szCs w:val="28"/>
          <w:lang w:val="uk-UA" w:eastAsia="uk-UA"/>
        </w:rPr>
        <w:lastRenderedPageBreak/>
        <w:t>оновлення. Перевантаження судової системи, обмеженість ресурсів і тривалі строки розгляду справ — всі ці фактори спонукають до пошуку нових, більш гнучких підходів до вирішення спорів. Одним із</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ефективних інструментів, що набуває популярності, є медіація.</w:t>
      </w:r>
    </w:p>
    <w:p w14:paraId="519675DB"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Медіація – особливий вид правових послуг, що полягає у позасудовій чи судовій процедурі врегулювання спору. Процедура здійснюється шляхом проведення переговорів між сторонами конфлікту за участі медіаторів [5].</w:t>
      </w:r>
    </w:p>
    <w:p w14:paraId="143428F4"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Наразі, все більше країн беруть медіацію за основу, задаючи новий тренд у сфері правосуддя. При чому, деякі з держав, розглядають такий спосіб вирішення спорів не як альтернативу, а як повноцінний незалежний інструмент врегулювання конфліктів. Безумовно, найбільш вдалим прикладом цього є Велика Британія, уряд якої, вже активно працює над тим, щоб зробити медіацію обов’язковою у певних категоріях цивільних справ. За результатами прогнозування, це дозволить збільшити кількість вирішених справ до 92 000 на рік, при цьому вивільнивши 5000 днів судових слухань. Цифри говорять самі за себе, враховуючи те, що згідно з аналізом 7200 справ, у 69% випадків, вони були вирішені або частково вирішені саме завдяки медіації, абсолютно без судового втручання. [6] На наше глибоке переконання, такий підхід до врегулювання спорів, справді є перспективним напрямом для цивільного судочинства. Важливо, справа йде не лише про ефективність та більш сприятливі умови для вирішення конфліктів, а й передусім, про зменшення навантаження на судову систему держави, зокрема суди, що розглядають справи, віднесені до цивільної юрисдикції, масштаб яких, завжди сягає величезної кількості справ.</w:t>
      </w:r>
    </w:p>
    <w:p w14:paraId="3013DCAD" w14:textId="383D739D"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Щодо закріплення медіації у національному законодавстві, то посилаючись на статтю 3 Закону України «Про медіацію» від 16 листопада 2021 року, можемо визначити, що медіація відноситься до альтернативних засобів вирішення спорів та може застосовуватись у певні періоди: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може бути проведена до звернення до суду, третейського суду, міжнародного комерційного арбітражу або під час досудового розслідування, судового, третейського, арбітражного провадження, або під час виконання рішення суду, третейського суду чи міжнародного комерційного арбітражу [1]. Також, згідно з частиною сьомою статті 49 Цивільного процесуального кодексу України, сторони можуть примиритися, у тому числі шляхом медіації, на будь-якій стадії судового процесу [2]. </w:t>
      </w:r>
    </w:p>
    <w:p w14:paraId="0505AFFE"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Необхідно зазначити, що медіація знайшла відображення і в Директиві 2008/52/ЄС Європейського Парламенту та Ради щодо деяких аспектів медіації в цивільних та комерційних справах від 21.05.2008 року. У п. 6 вище зазначеного Акта чітко визначено, що медіація здатна забезпечити швидке розв’язання із найменшими витратами спорів у цивільних і комерційних справах через процеси, що спеціально пристосовані до потреб сторін. Існують навіть думки про те, що компроміси, </w:t>
      </w:r>
      <w:r w:rsidRPr="00511005">
        <w:rPr>
          <w:rFonts w:ascii="Arial" w:eastAsia="Times New Roman" w:hAnsi="Arial" w:cs="Arial"/>
          <w:szCs w:val="28"/>
          <w:lang w:val="uk-UA" w:eastAsia="uk-UA"/>
        </w:rPr>
        <w:lastRenderedPageBreak/>
        <w:t>досягнуті в результаті медіації, не просто будуть добровільно дотримуватись, а й даватимуть змогу сторонам зберегти дружні стосунки [3].</w:t>
      </w:r>
    </w:p>
    <w:p w14:paraId="463D6044"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У юридичних дослідженнях переважають дві концепції щодо запровадження медіації в національні системи. Перша – це концепція судової медіації, відповідно до якої остання повинна стати складовим елементом процесуальної процедури. Прихильники другої концепції стверджують, що медіація повинна бути незалежним способом вирішення правових спорів, який буде функціонувати паралельно із судовою системою та навіть випереджати її. У багатьох європейських країнах практикується на законодавчому рівні зобов’язання сторін спору брати участь в процедурі медіації до того, як справу буде доведено до судового слухання. Таким чином, навантаження на суди зменшується, а кількість вирішених спорів — зростає [4].</w:t>
      </w:r>
    </w:p>
    <w:p w14:paraId="49D74082" w14:textId="77777777" w:rsidR="007B2628"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Проте, виникає справедливе запитання: зважаючи на блискучі результати застосування представленого способу вирішення конфліктів, чому він досі не набув широкого використання в Україні? Імплементація світових стандартів у національне законодавство, це по суті, навіть не початок. Передусім, варто працювати зі сприйняттям такої новації громадянами. Проводити просвітницькі заходи, доводити, що медіація — це не чергова нагода збагатитись за рахунок населення, а бажання вирішити, скажімо, справу про розлучення, з найменшим емоційним напруженням для сторін, у найкоротші строки та з найменшими витратами фінансів; створювати різноманітні проекти для підвищення кваліфікації спеціалістів аби показати юристам, зокрема, що медіатори — освічені люди, які мають відповідну освіту та знаються на своїй справі; підвищувати правову культуру та вдосконалювати правосвідомість громадян. </w:t>
      </w:r>
    </w:p>
    <w:p w14:paraId="7337F1BC" w14:textId="09C0F081"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На сьогодні, Україна проводить різноманітні заходи, спрямовані на популяризацію та розвиток медіації, що охоплюють різні соціальні та правові сфери. Починаючи з проектів для школярів, метою яких є формування навичок мирного врегулювання конфліктів, розуміння суті непорозумінь, закінчуючи масштабними міжнародними форумами. Однією з важливих подій став VIII Міжнародний форум «Медіація і право» у 2024 році, який відзначив 30-річчя медіації в Україні. Форум підкреслив значний внесок медіації в розвиток правової системи та вирішення спорів, привертаючи увагу до важливості альтернативних способів розв'язання конфліктів. Участь у форумі міжнародних партнерів, таких як Європейський Союз та Агентство США з міжнародного розвитку (USAID), продемонструвала важливість медіації як у національній практиці, так і на міжнародній арені. Це є підтвердженням того, що Україна активно розвиває механізми медіації на всіх рівнях, зокрема, у судовій системі, та інтегрує міжнародний досвід у національну правову практику [8].</w:t>
      </w:r>
    </w:p>
    <w:p w14:paraId="4441B71A"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На превеликий жаль, в Україні ще не створено єдиний державний реєстр медіаторів, проте навчальні заклади, метою яких, є підготовка медіаторів, регулярно поновлюють власні реєстри, де публікують своїх випускників. До прикладу, на сайті Київської школи професійної медіації і перемовин є великий перелік медіаторів, які пройшли базову підготовку обсягом 90 годин, включаючи 50 годин практичного навчання, при чому більшість з них, спеціалізуються на вирішенні саме цивільних спорів [7].</w:t>
      </w:r>
    </w:p>
    <w:p w14:paraId="281A3963" w14:textId="77777777" w:rsidR="005F048D" w:rsidRPr="00511005" w:rsidRDefault="005F048D" w:rsidP="003A292D">
      <w:pPr>
        <w:spacing w:line="264" w:lineRule="auto"/>
        <w:ind w:firstLine="851"/>
        <w:rPr>
          <w:rFonts w:ascii="Arial" w:eastAsia="Times New Roman" w:hAnsi="Arial" w:cs="Arial"/>
          <w:szCs w:val="28"/>
          <w:lang w:val="uk-UA" w:eastAsia="uk-UA"/>
        </w:rPr>
      </w:pPr>
      <w:r w:rsidRPr="00511005">
        <w:rPr>
          <w:rFonts w:ascii="Arial" w:eastAsia="Times New Roman" w:hAnsi="Arial" w:cs="Arial"/>
          <w:szCs w:val="28"/>
          <w:lang w:val="uk-UA" w:eastAsia="uk-UA"/>
        </w:rPr>
        <w:t>З усього сказаного, можемо сказати, що медіацію можна розглядати не просто як засіб врегулювання спорів, а як повноцінний специфічний підхід до побудови діалогу й досягнення згоди між сторонами. Такий спосіб врегулювання конфліктів — є не лише новітнім інструментом, якому необхідна законодавча підтримка, а й ціле вчення, що потребує глибокого осмислення та грамотного впровадження в культурну обізнаність громадян. Медіацію сміливо можна вважати новим кроком до розвитку альтернативних методів вирішення спорів, зменшення навантаження на судову систему та створення більш ефективного правового середовища, де конфлікти можуть бути вирішені швидко, мирно та без зайвих витрат.</w:t>
      </w:r>
    </w:p>
    <w:p w14:paraId="111855BF" w14:textId="21DF3BB7" w:rsidR="005F048D" w:rsidRPr="00511005" w:rsidRDefault="007B2628" w:rsidP="007B2628">
      <w:pPr>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6D9E3E80"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1. Про медіацію: Закон України від 16.11.2021 № 1875-ІХ. URL: -</w:t>
      </w:r>
      <w:hyperlink r:id="rId1518">
        <w:r w:rsidRPr="00511005">
          <w:rPr>
            <w:rFonts w:ascii="Arial" w:eastAsia="Times New Roman" w:hAnsi="Arial" w:cs="Arial"/>
            <w:szCs w:val="28"/>
            <w:lang w:val="uk-UA" w:eastAsia="uk-UA"/>
          </w:rPr>
          <w:t xml:space="preserve">20"httpsHYPERLINK "https://zakon.rada.gov.ua/laws/show/1875-"https://zakon.rada.gov.ua/laws/show/1875-20"govHYPERLINK </w:t>
        </w:r>
      </w:hyperlink>
      <w:r w:rsidRPr="00511005">
        <w:rPr>
          <w:rFonts w:ascii="Arial" w:eastAsia="Times New Roman" w:hAnsi="Arial" w:cs="Arial"/>
          <w:szCs w:val="28"/>
          <w:lang w:val="uk-UA" w:eastAsia="uk-UA"/>
        </w:rPr>
        <w:t>дата звернення (07.04.2025).</w:t>
      </w:r>
    </w:p>
    <w:p w14:paraId="6AD0A497" w14:textId="3AD78CAC"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2. Цивільний процесуальний кодекс України: Кодекс України від 18.03.2004 № 1618-ІV: станом на 1 квіт. 2025р.</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URL: -</w:t>
      </w:r>
      <w:hyperlink r:id="rId1519">
        <w:r w:rsidRPr="00511005">
          <w:rPr>
            <w:rFonts w:ascii="Arial" w:eastAsia="Times New Roman" w:hAnsi="Arial" w:cs="Arial"/>
            <w:szCs w:val="28"/>
            <w:lang w:val="uk-UA" w:eastAsia="uk-UA"/>
          </w:rPr>
          <w:t>https://zakon.rada.gov.ua/laws/show/1618-15#Text</w:t>
        </w:r>
      </w:hyperlink>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(дата звернення: 07.04.2025)</w:t>
      </w:r>
    </w:p>
    <w:p w14:paraId="61472ADE"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3. Калмикова Л. Медіація: модний тренд чи нагальна потреба: Вісник НААУ. 2023. № 12 (97) С. 32-39</w:t>
      </w:r>
    </w:p>
    <w:p w14:paraId="024463CA"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4. Косяченко К. Проблемні аспекти впровадження та проведення медіації в Україні. Юридичний науковий електронний журнал. 2022. № 3. С. 94-96</w:t>
      </w:r>
    </w:p>
    <w:p w14:paraId="14B4E765"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5. Озерський І. В. "Актуальні проблеми медіації в юрисдикційному процесі України: навчальний посібник." – Миколаїв: Вид-во ЧНУ ім. Петра Могили, 2020. 248 с.</w:t>
      </w:r>
    </w:p>
    <w:p w14:paraId="7B1DCB35"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6. Медіація у світі: інновації та нові розробки – Юридична Газета. </w:t>
      </w:r>
      <w:r w:rsidRPr="00511005">
        <w:rPr>
          <w:rFonts w:ascii="Arial" w:eastAsia="Times New Roman" w:hAnsi="Arial" w:cs="Arial"/>
          <w:i/>
          <w:szCs w:val="28"/>
          <w:lang w:val="uk-UA" w:eastAsia="uk-UA"/>
        </w:rPr>
        <w:t>Юридична газета — онлайн версія.</w:t>
      </w:r>
      <w:r w:rsidRPr="00511005">
        <w:rPr>
          <w:rFonts w:ascii="Arial" w:eastAsia="Times New Roman" w:hAnsi="Arial" w:cs="Arial"/>
          <w:szCs w:val="28"/>
          <w:lang w:val="uk-UA" w:eastAsia="uk-UA"/>
        </w:rPr>
        <w:t xml:space="preserve"> URL: </w:t>
      </w:r>
      <w:hyperlink r:id="rId1520">
        <w:r w:rsidRPr="00511005">
          <w:rPr>
            <w:rFonts w:ascii="Arial" w:eastAsia="Times New Roman" w:hAnsi="Arial" w:cs="Arial"/>
            <w:szCs w:val="28"/>
            <w:lang w:val="uk-UA" w:eastAsia="uk-UA"/>
          </w:rPr>
          <w:t>https://yur-gazeta.com/dumka-eksperta/mediaciya-u-sviti-innovaciyi-ta-novi-rozrobki.html</w:t>
        </w:r>
      </w:hyperlink>
      <w:r w:rsidRPr="00511005">
        <w:rPr>
          <w:rFonts w:ascii="Arial" w:eastAsia="Times New Roman" w:hAnsi="Arial" w:cs="Arial"/>
          <w:szCs w:val="28"/>
          <w:lang w:val="uk-UA" w:eastAsia="uk-UA"/>
        </w:rPr>
        <w:t xml:space="preserve"> (дата звернення: 14.04.2025).</w:t>
      </w:r>
    </w:p>
    <w:p w14:paraId="4109A5F7"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7. Реєстр медіаторів (випускників)/Київська школа професійної медіації і перемовин. URL: </w:t>
      </w:r>
      <w:hyperlink r:id="rId1521">
        <w:r w:rsidRPr="00511005">
          <w:rPr>
            <w:rFonts w:ascii="Arial" w:eastAsia="Times New Roman" w:hAnsi="Arial" w:cs="Arial"/>
            <w:szCs w:val="28"/>
            <w:lang w:val="uk-UA" w:eastAsia="uk-UA"/>
          </w:rPr>
          <w:t xml:space="preserve">httpsHYPERLINK "https://schoolmediationkyiv.in.ua/reyestr-mediatoriv"://HYPERLINK "https://schoolmediationkyiv.in.ua/reyestr- </w:t>
        </w:r>
      </w:hyperlink>
      <w:r w:rsidRPr="00511005">
        <w:rPr>
          <w:rFonts w:ascii="Arial" w:eastAsia="Times New Roman" w:hAnsi="Arial" w:cs="Arial"/>
          <w:szCs w:val="28"/>
          <w:lang w:val="uk-UA" w:eastAsia="uk-UA"/>
        </w:rPr>
        <w:t>(Дата звернення 14.04.2025).</w:t>
      </w:r>
    </w:p>
    <w:p w14:paraId="2A30DC5C" w14:textId="77777777" w:rsidR="005F048D" w:rsidRPr="00511005" w:rsidRDefault="005F048D"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8. VIII Міжнародний форум «Медіація і право» 2024 УАМ. Українська Академія Медіації. URL: </w:t>
      </w:r>
      <w:hyperlink r:id="rId1522">
        <w:r w:rsidRPr="00511005">
          <w:rPr>
            <w:rFonts w:ascii="Arial" w:eastAsia="Times New Roman" w:hAnsi="Arial" w:cs="Arial"/>
            <w:szCs w:val="28"/>
            <w:lang w:val="uk-UA" w:eastAsia="uk-UA"/>
          </w:rPr>
          <w:t xml:space="preserve">httpsHYPERLINK "https://mediation.ua/forum/2024"://HYPERLINK </w:t>
        </w:r>
      </w:hyperlink>
      <w:r w:rsidRPr="00511005">
        <w:rPr>
          <w:rFonts w:ascii="Arial" w:eastAsia="Times New Roman" w:hAnsi="Arial" w:cs="Arial"/>
          <w:szCs w:val="28"/>
          <w:lang w:val="uk-UA" w:eastAsia="uk-UA"/>
        </w:rPr>
        <w:t xml:space="preserve"> (дата звернення: 07.04.2025).</w:t>
      </w:r>
    </w:p>
    <w:p w14:paraId="2F8270EB" w14:textId="77777777" w:rsidR="005F048D" w:rsidRPr="00511005" w:rsidRDefault="005F048D" w:rsidP="003A292D">
      <w:pPr>
        <w:spacing w:line="264" w:lineRule="auto"/>
        <w:ind w:firstLine="708"/>
        <w:rPr>
          <w:rFonts w:ascii="Arial" w:eastAsia="Times New Roman" w:hAnsi="Arial" w:cs="Arial"/>
          <w:b/>
          <w:szCs w:val="28"/>
          <w:lang w:val="uk-UA" w:eastAsia="uk-UA"/>
        </w:rPr>
      </w:pPr>
    </w:p>
    <w:p w14:paraId="3A32A364" w14:textId="259679DD" w:rsidR="005F048D" w:rsidRPr="00511005" w:rsidRDefault="007B262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5F048D" w:rsidRPr="00511005">
        <w:rPr>
          <w:rFonts w:ascii="Arial" w:eastAsia="Times New Roman" w:hAnsi="Arial" w:cs="Arial"/>
          <w:szCs w:val="28"/>
          <w:lang w:val="uk-UA" w:eastAsia="uk-UA"/>
        </w:rPr>
        <w:t>медіація, судова система, медіатори, правосвідомість, альтернативне вирішення спорів, імплементація міжнародних стандартів.</w:t>
      </w:r>
    </w:p>
    <w:p w14:paraId="43B2F9C3" w14:textId="5B0542E6" w:rsidR="005F048D" w:rsidRPr="00511005" w:rsidRDefault="007B262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5F048D" w:rsidRPr="00511005">
        <w:rPr>
          <w:rFonts w:ascii="Arial" w:eastAsia="Times New Roman" w:hAnsi="Arial" w:cs="Arial"/>
          <w:szCs w:val="28"/>
          <w:lang w:val="uk-UA" w:eastAsia="uk-UA"/>
        </w:rPr>
        <w:t xml:space="preserve">meditation, judicial system, legal awareness, alternative dispute resolution, implementation of international standards. </w:t>
      </w:r>
    </w:p>
    <w:p w14:paraId="44247DCA" w14:textId="09037DE6" w:rsidR="005F048D" w:rsidRPr="00511005" w:rsidRDefault="007B2628" w:rsidP="003A292D">
      <w:pPr>
        <w:spacing w:line="264" w:lineRule="auto"/>
        <w:ind w:firstLine="708"/>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5F048D" w:rsidRPr="00511005">
        <w:rPr>
          <w:rFonts w:ascii="Arial" w:eastAsia="Times New Roman" w:hAnsi="Arial" w:cs="Arial"/>
          <w:i/>
          <w:szCs w:val="28"/>
          <w:lang w:val="uk-UA" w:eastAsia="uk-UA"/>
        </w:rPr>
        <w:t>к.ю.н., доцент Яніцька І.А.</w:t>
      </w:r>
    </w:p>
    <w:p w14:paraId="46FA80F4" w14:textId="77777777" w:rsidR="005F048D" w:rsidRPr="00511005" w:rsidRDefault="005F048D" w:rsidP="003A292D">
      <w:pPr>
        <w:tabs>
          <w:tab w:val="left" w:pos="7088"/>
        </w:tabs>
        <w:spacing w:line="264" w:lineRule="auto"/>
        <w:jc w:val="left"/>
        <w:rPr>
          <w:rFonts w:ascii="Arial" w:eastAsia="Times New Roman" w:hAnsi="Arial" w:cs="Arial"/>
          <w:szCs w:val="28"/>
          <w:lang w:val="uk-UA" w:eastAsia="uk-UA"/>
        </w:rPr>
      </w:pPr>
      <w:bookmarkStart w:id="177" w:name="_33rpd0n7zbq7" w:colFirst="0" w:colLast="0"/>
      <w:bookmarkEnd w:id="177"/>
    </w:p>
    <w:p w14:paraId="00340E22" w14:textId="77777777" w:rsidR="003F5D68" w:rsidRPr="00511005" w:rsidRDefault="003F5D68" w:rsidP="003A292D">
      <w:pPr>
        <w:keepNext/>
        <w:spacing w:line="264" w:lineRule="auto"/>
        <w:ind w:firstLine="0"/>
        <w:jc w:val="left"/>
        <w:rPr>
          <w:rFonts w:ascii="Arial" w:eastAsia="NSimSun" w:hAnsi="Arial" w:cs="Arial"/>
          <w:kern w:val="2"/>
          <w:szCs w:val="28"/>
          <w:lang w:val="uk-UA" w:eastAsia="zh-CN" w:bidi="hi-IN"/>
        </w:rPr>
      </w:pPr>
      <w:r w:rsidRPr="00511005">
        <w:rPr>
          <w:rFonts w:ascii="Arial" w:hAnsi="Arial" w:cs="Arial"/>
          <w:szCs w:val="28"/>
          <w:lang w:val="uk-UA"/>
        </w:rPr>
        <w:br w:type="page"/>
      </w:r>
    </w:p>
    <w:p w14:paraId="680ECBA3" w14:textId="77777777" w:rsidR="003F5D68" w:rsidRPr="00511005" w:rsidRDefault="003F5D68" w:rsidP="003A292D">
      <w:pPr>
        <w:keepNext/>
        <w:suppressAutoHyphens/>
        <w:spacing w:line="264" w:lineRule="auto"/>
        <w:ind w:firstLine="0"/>
        <w:jc w:val="left"/>
        <w:rPr>
          <w:rFonts w:ascii="Arial" w:hAnsi="Arial" w:cs="Arial"/>
          <w:szCs w:val="28"/>
          <w:lang w:val="uk-UA"/>
        </w:rPr>
      </w:pPr>
    </w:p>
    <w:p w14:paraId="1AA71DFD" w14:textId="37BD6F8B" w:rsidR="003F5D68" w:rsidRPr="00511005" w:rsidRDefault="003F5D68" w:rsidP="003A292D">
      <w:pPr>
        <w:pStyle w:val="aa"/>
        <w:spacing w:before="0" w:after="0" w:line="264" w:lineRule="auto"/>
        <w:rPr>
          <w:rFonts w:ascii="Arial" w:hAnsi="Arial" w:cs="Arial"/>
          <w:color w:val="auto"/>
          <w:sz w:val="28"/>
          <w:szCs w:val="28"/>
        </w:rPr>
      </w:pPr>
      <w:bookmarkStart w:id="178" w:name="_Toc208299000"/>
      <w:r w:rsidRPr="00511005">
        <w:rPr>
          <w:rFonts w:ascii="Arial" w:hAnsi="Arial" w:cs="Arial"/>
          <w:color w:val="auto"/>
          <w:sz w:val="28"/>
          <w:szCs w:val="28"/>
        </w:rPr>
        <w:t xml:space="preserve">СЕКЦІЯ </w:t>
      </w:r>
      <w:r w:rsidRPr="00511005">
        <w:rPr>
          <w:rFonts w:ascii="Arial" w:hAnsi="Arial" w:cs="Arial"/>
          <w:color w:val="auto"/>
          <w:sz w:val="28"/>
          <w:szCs w:val="28"/>
          <w:lang w:val="ru-RU"/>
        </w:rPr>
        <w:t>11. ГОСПОДАРСЬКЕ ТА ГОСПОДАРСЬКЕ ПРОЦЕСУАЛЬНЕ ПРАВО</w:t>
      </w:r>
      <w:bookmarkEnd w:id="178"/>
    </w:p>
    <w:p w14:paraId="183631DA" w14:textId="63255C91" w:rsidR="003F5D68" w:rsidRPr="00511005" w:rsidRDefault="003F5D68" w:rsidP="003A292D">
      <w:pPr>
        <w:keepNext/>
        <w:spacing w:line="264" w:lineRule="auto"/>
        <w:ind w:firstLine="0"/>
        <w:jc w:val="left"/>
        <w:rPr>
          <w:rFonts w:ascii="Arial" w:hAnsi="Arial" w:cs="Arial"/>
          <w:szCs w:val="28"/>
        </w:rPr>
      </w:pPr>
    </w:p>
    <w:p w14:paraId="5590A614" w14:textId="733A42BF" w:rsidR="003476F8" w:rsidRPr="00511005" w:rsidRDefault="003476F8" w:rsidP="003A292D">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Шиманська Аліна Володимирівна,</w:t>
      </w:r>
      <w:r w:rsidR="00146592" w:rsidRPr="00511005">
        <w:rPr>
          <w:rFonts w:ascii="Arial" w:eastAsia="Times New Roman" w:hAnsi="Arial" w:cs="Arial"/>
          <w:b/>
          <w:bCs/>
          <w:i/>
          <w:iCs/>
          <w:szCs w:val="28"/>
          <w:lang w:val="uk-UA"/>
        </w:rPr>
        <w:t xml:space="preserve"> </w:t>
      </w:r>
      <w:r w:rsidRPr="00511005">
        <w:rPr>
          <w:rFonts w:ascii="Arial" w:eastAsia="Times New Roman" w:hAnsi="Arial" w:cs="Arial"/>
          <w:b/>
          <w:bCs/>
          <w:i/>
          <w:iCs/>
          <w:szCs w:val="28"/>
          <w:lang w:val="uk-UA"/>
        </w:rPr>
        <w:t>Агбун Таїсія Ігорівна</w:t>
      </w:r>
    </w:p>
    <w:p w14:paraId="29402801" w14:textId="77777777" w:rsidR="003476F8" w:rsidRPr="00511005" w:rsidRDefault="003476F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студентки 4-го курсу факультету цивільної та господарської юстиції </w:t>
      </w:r>
    </w:p>
    <w:p w14:paraId="1D4B86EE" w14:textId="2142CB22" w:rsidR="003476F8"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758426C2" w14:textId="77777777" w:rsidR="003476F8" w:rsidRPr="00511005" w:rsidRDefault="003476F8" w:rsidP="003A292D">
      <w:pPr>
        <w:spacing w:line="264" w:lineRule="auto"/>
        <w:ind w:firstLine="0"/>
        <w:jc w:val="center"/>
        <w:rPr>
          <w:rFonts w:ascii="Arial" w:eastAsia="Times New Roman" w:hAnsi="Arial" w:cs="Arial"/>
          <w:szCs w:val="28"/>
          <w:lang w:val="uk-UA"/>
        </w:rPr>
      </w:pPr>
    </w:p>
    <w:p w14:paraId="69CFD98F" w14:textId="77777777" w:rsidR="003476F8" w:rsidRPr="00511005" w:rsidRDefault="003476F8"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ЗЛОВЖИВАННЯ ПРОЦЕСУАЛЬНИМИ ПРАВАМИ В ГОСПОДАРСЬКОМУ ПРОЦЕСІ: ТЕОРІЯ ТА ПРАКТИКА</w:t>
      </w:r>
    </w:p>
    <w:p w14:paraId="65DA312B"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Господарське судочинство покликане забезпечити ефективний захист прав та законних інтересів учасників господарських правовідносин. Водночас, процесуальні права, які надаються сторонам для реалізації їхнього захисту, нерідко використовуються не за призначенням. Зловживання процесуальними правами стало однією з актуальних проблем сучасної судової практики, оскільки воно здатне суттєво ускладнити або навіть паралізувати нормальний хід судового розгляду, та суперечить принципам змагальності, добросовісності та справедливості. Як свідчить аналіз судової практики, суди все частіше звертають увагу на недопустимість навмисного затягування процесу, використання права на подання позовів чи скарг не з метою захисту прав, а як інструмент тиску або перешкоджання розгляду справи.</w:t>
      </w:r>
    </w:p>
    <w:p w14:paraId="7E9D1FE0"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такому контексті важливим стає завдання – розмежувати належне користування процесуальними правами від зловживання ними, а також окреслити наслідки таких дій для сторін та суду. Теоретичне осмислення цього явища та аналіз судової практики сприятимуть формуванню єдиного підходу до вирішення подібних ситуацій у господарському процесі.</w:t>
      </w:r>
    </w:p>
    <w:p w14:paraId="6CDCCBBC"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Стаття 43 ГПК України чітко регламентує питання зловживання процесуальними правами, а також передбачає невичерпаний перелік формзловживання, серед яких можна виділити подання завідомо безпідставних позовів, апеляційних або касаційних скарг, а також подання скарг з численними процесуальними порушеннями, які унеможливлюють їх належний розгляд. Часто зустрічаються випадки неодноразового подання однакових клопотань без нових обставин, пропуску строків без поважних причин при поданні зустрічних позовів, свідомого затягування процесу через неявку в судові засідання або подання великої кількості заяв, спрямованих на перешкоджання нормальному судовому розгляду [1].</w:t>
      </w:r>
    </w:p>
    <w:p w14:paraId="6D80D2C5"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Наслідками такої поведінки є штучне затягування строків розгляду справ, перевантаження судової системи, підрив ефективності правосуддя, а також зростання недовіри до судової гілки влади. Усе це створює ситуацію, в якій суд втрачає контроль над процесом, а сторони, які діють добросовісно, опиняються в нерівних умовах.</w:t>
      </w:r>
    </w:p>
    <w:p w14:paraId="0222C9EE"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 xml:space="preserve">ГПК України містить низку норм, які прямо забороняють зловживання процесуальними правами та передбачають відповідальність за такі дії. Стаття 43 надає суду право залишити без розгляду документи, подані з порушенням принципу добросовісності, а також повернути їх заявникові. Найбільш дієвим механізмом є положення статті 135 ГПК України, яка передбачає накладення штрафу у разі виявлення фактів зловживання правами. Суд має право оштрафувати учасника процесу на суму від одного до десяти розмірів прожиткового мінімуму для працездатних осіб, а у випадку повторного чи неодноразового зловживання процесуальними правами, спрямованим на навмисне затягування процесу або перешкоджання правосуддю - від п’яти до п’ятдесяти розмірів. </w:t>
      </w:r>
    </w:p>
    <w:p w14:paraId="0BA95467"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Подолання цієї проблеми вимагає комплексного підходу. Так, окрім того, що судді мають активно застосовувати наявні у них інструменти для припинення зловживань, зокрема процесуальні штрафи, залишення заяв без розгляду, а також чітко мотивувати свої рішення з урахуванням добросовісності сторін, також необхідним є формування сталої судової практики, в якій будуть визначені чіткі критерії для виявлення зловживань. На законодавчому рівні доцільно деталізувати можливі форми такої поведінки та передбачити більш гнучкі санкції. Водночас, правова просвіта та роз’яснювальна робота серед учасників процесу сприятимуть підвищенню правової культури та зниженню кількості зловживань у судових спорах.</w:t>
      </w:r>
    </w:p>
    <w:p w14:paraId="7A17BBF3"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ПостановоюВерховного Суду у складі колегії суддів Касаційного господарського суду у справі №903/380/18суд надав правову оцінку співвідношенню права особи на справедливий судовий розгляд та принципу правової визначеності (resjudicata). У межах цієї справи було встановлено, що подання зустрічного позову зі значним пропуском установленого процесуального строку, без належного обґрунтування причин затримки, а також подання апеляційних скарг, які були завідомо безпідставними та містили численні процесуальні недоліки, свідчать про недобросовісну поведінку сторони. Суд касаційної інстанції обґрунтовано визнав такі дії зловживанням процесуальними правами, оскільки вони мали очевидну мету — безпідставно затягнути розгляд справи та перешкодити її швидкому вирішенню. Такий підхід суду підтверджує важливість дотримання меж процесуальної добросовісності та неприпустимість використання судових механізмів у спосіб, що суперечить суті та меті господарського судочинства [2].</w:t>
      </w:r>
    </w:p>
    <w:p w14:paraId="7B924383"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Касаційний господарський суд у складі Верховного Суд у своїй практиці (зокрема, у постановах у справах № 910/11396/20, № 912/650/20, № 910/12090/19) також визначив основні ознаки (критерії) зловживання: 1) очевидна безпідставність дій (наприклад, подання скарги або клопотання, яке не відповідає предмету спору або нормам права); 2) систематичність </w:t>
      </w:r>
      <w:r w:rsidRPr="00511005">
        <w:rPr>
          <w:rFonts w:ascii="Arial" w:eastAsia="Times New Roman" w:hAnsi="Arial" w:cs="Arial"/>
          <w:szCs w:val="28"/>
          <w:lang w:val="uk-UA"/>
        </w:rPr>
        <w:lastRenderedPageBreak/>
        <w:t>процесуальних порушень (подача багаторазових однакових клопотань, скарг, заяв); 3) процесуальна мета — затягування розгляду справи, а не захист прав; 4) відсутність об’єктивного обґрунтування дій (пропуск строків без причин, порушення формальних вимог тощо); 5) формальне використання процесуальних прав із недобросовісною метою. Видається, що послідовне застосування цих критеріїв для кваліфікації дій учасника процесу, як зловживань, має значно пожвавити процес застосування до них відповідних санкцій та запобігти надмірним порушенням засад і завдань судочинства.</w:t>
      </w:r>
    </w:p>
    <w:p w14:paraId="3534FF63"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зв’язку з цим, доцільним є впровадження низки законодавчих змін. Насамперед, варто деталізувати у ГПК України форми зловживання процесуальними правами, що дозволить судам оперативніше і впевненіше реагувати на такі випадки. Також доцільно підвищити ефективність санкцій, передбачених статтею 135, шляхом розширення діапазону штрафів і запровадження додаткових наслідків — наприклад, обмеження в подальшому доступі до повторного подання однотипних скарг чи заяв без належних підстав. Окремо слід розглянути можливість закріплення принципу добросовісності не лише як загального, а як конкретно діючого процесуального обов’язку, порушення якого тягне юридичну відповідальність [3]. Комплекс таких змін сприятиме формуванню справедливого, швидкого та ефективного господарського судочинства, де кожна сторона матиме рівний доступ до правосуддя, але не зможе використовувати процесуальні права як засіб для зловживання чи блокування судового розгляду.</w:t>
      </w:r>
    </w:p>
    <w:p w14:paraId="4D364A1D" w14:textId="77777777" w:rsidR="003476F8" w:rsidRPr="00511005" w:rsidRDefault="003476F8" w:rsidP="003A292D">
      <w:pPr>
        <w:spacing w:line="264" w:lineRule="auto"/>
        <w:ind w:firstLine="0"/>
        <w:jc w:val="center"/>
        <w:rPr>
          <w:rFonts w:ascii="Arial" w:eastAsia="Times New Roman" w:hAnsi="Arial" w:cs="Arial"/>
          <w:b/>
          <w:bCs/>
          <w:szCs w:val="28"/>
          <w:lang w:val="uk-UA"/>
        </w:rPr>
      </w:pPr>
    </w:p>
    <w:p w14:paraId="36C60983" w14:textId="5997BA26" w:rsidR="003476F8"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6667AB4C" w14:textId="77777777" w:rsidR="003476F8" w:rsidRPr="00511005" w:rsidRDefault="003476F8" w:rsidP="003F6A5D">
      <w:pPr>
        <w:numPr>
          <w:ilvl w:val="0"/>
          <w:numId w:val="398"/>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 xml:space="preserve">Господарський процесуальний кодекс України : Закон України від 03.10.2017 № 1798-VIII. URL : </w:t>
      </w:r>
      <w:hyperlink r:id="rId1523" w:anchor="Text" w:history="1">
        <w:r w:rsidRPr="00511005">
          <w:rPr>
            <w:rFonts w:ascii="Arial" w:eastAsia="Times New Roman" w:hAnsi="Arial" w:cs="Arial"/>
            <w:szCs w:val="28"/>
            <w:lang w:val="uk-UA"/>
          </w:rPr>
          <w:t>https://zakon.rada.gov.ua/laws/show/1798-19#Text</w:t>
        </w:r>
      </w:hyperlink>
    </w:p>
    <w:p w14:paraId="3223721B" w14:textId="77777777" w:rsidR="003476F8" w:rsidRPr="00511005" w:rsidRDefault="003476F8" w:rsidP="003F6A5D">
      <w:pPr>
        <w:numPr>
          <w:ilvl w:val="0"/>
          <w:numId w:val="398"/>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 xml:space="preserve">Постанова Верховного Суду у справі №903/380/18 від 03.07.2019. ЄДРСР. URL: </w:t>
      </w:r>
      <w:hyperlink r:id="rId1524" w:history="1">
        <w:r w:rsidRPr="00511005">
          <w:rPr>
            <w:rFonts w:ascii="Arial" w:eastAsia="Times New Roman" w:hAnsi="Arial" w:cs="Arial"/>
            <w:szCs w:val="28"/>
            <w:lang w:val="uk-UA"/>
          </w:rPr>
          <w:t>https://reyestr.court.gov.ua/Review/81434959</w:t>
        </w:r>
      </w:hyperlink>
    </w:p>
    <w:p w14:paraId="14DD3414" w14:textId="7BED9FAB" w:rsidR="003476F8" w:rsidRPr="00511005" w:rsidRDefault="003476F8" w:rsidP="003F6A5D">
      <w:pPr>
        <w:numPr>
          <w:ilvl w:val="0"/>
          <w:numId w:val="398"/>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Пилипенко П.П. Зловживання процесуальними правами у господарському судочинстві: теоретичні та практичні аспекти. Підприємництво, господарство і право. 2021. № 4.</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С. 84–88.</w:t>
      </w:r>
    </w:p>
    <w:p w14:paraId="05239493" w14:textId="77777777" w:rsidR="003476F8" w:rsidRPr="00511005" w:rsidRDefault="003476F8" w:rsidP="003A292D">
      <w:pPr>
        <w:spacing w:line="264" w:lineRule="auto"/>
        <w:ind w:firstLine="0"/>
        <w:rPr>
          <w:rFonts w:ascii="Arial" w:eastAsia="Times New Roman" w:hAnsi="Arial" w:cs="Arial"/>
          <w:szCs w:val="28"/>
          <w:lang w:val="uk-UA"/>
        </w:rPr>
      </w:pPr>
    </w:p>
    <w:p w14:paraId="41076C72" w14:textId="303E3822" w:rsidR="003476F8" w:rsidRPr="00511005" w:rsidRDefault="003476F8" w:rsidP="003A292D">
      <w:pPr>
        <w:spacing w:line="264" w:lineRule="auto"/>
        <w:ind w:firstLine="0"/>
        <w:rPr>
          <w:rFonts w:ascii="Arial" w:eastAsia="Times New Roman" w:hAnsi="Arial" w:cs="Arial"/>
          <w:szCs w:val="28"/>
          <w:lang w:val="uk-UA"/>
        </w:rPr>
      </w:pPr>
      <w:r w:rsidRPr="00170723">
        <w:rPr>
          <w:rFonts w:ascii="Arial" w:eastAsia="Times New Roman" w:hAnsi="Arial" w:cs="Arial"/>
          <w:b/>
          <w:bCs/>
          <w:i/>
          <w:iCs/>
          <w:szCs w:val="28"/>
          <w:lang w:val="uk-UA"/>
        </w:rPr>
        <w:t>Ключові слова:</w:t>
      </w:r>
      <w:r w:rsidR="00170723">
        <w:rPr>
          <w:rFonts w:ascii="Arial" w:eastAsia="Times New Roman" w:hAnsi="Arial" w:cs="Arial"/>
          <w:b/>
          <w:bCs/>
          <w:szCs w:val="28"/>
          <w:lang w:val="uk-UA"/>
        </w:rPr>
        <w:t xml:space="preserve"> </w:t>
      </w:r>
      <w:r w:rsidRPr="00511005">
        <w:rPr>
          <w:rFonts w:ascii="Arial" w:eastAsia="Times New Roman" w:hAnsi="Arial" w:cs="Arial"/>
          <w:szCs w:val="28"/>
          <w:lang w:val="uk-UA"/>
        </w:rPr>
        <w:t>зловживання процесуальними правами, господарське судочинство, принцип добросовісності.</w:t>
      </w:r>
    </w:p>
    <w:p w14:paraId="54D82F39" w14:textId="3552E621" w:rsidR="003476F8"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3476F8" w:rsidRPr="00511005">
        <w:rPr>
          <w:rFonts w:ascii="Arial" w:eastAsia="Times New Roman" w:hAnsi="Arial" w:cs="Arial"/>
          <w:szCs w:val="28"/>
          <w:lang w:val="uk-UA"/>
        </w:rPr>
        <w:t>abuse of procedural rights, commercial litigation, principle of good faith.</w:t>
      </w:r>
    </w:p>
    <w:p w14:paraId="0498876F" w14:textId="63E3DC3C" w:rsidR="003476F8" w:rsidRPr="00511005" w:rsidRDefault="007B2628" w:rsidP="003A292D">
      <w:pPr>
        <w:spacing w:line="264" w:lineRule="auto"/>
        <w:ind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3476F8" w:rsidRPr="00511005">
        <w:rPr>
          <w:rFonts w:ascii="Arial" w:eastAsia="Times New Roman" w:hAnsi="Arial" w:cs="Arial"/>
          <w:i/>
          <w:iCs/>
          <w:szCs w:val="28"/>
          <w:lang w:val="uk-UA"/>
        </w:rPr>
        <w:t>к.ю.н., доцент Будурова Г. М.</w:t>
      </w:r>
    </w:p>
    <w:p w14:paraId="6A906C1D" w14:textId="77777777"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i/>
          <w:iCs/>
          <w:szCs w:val="28"/>
          <w:lang w:val="uk-UA"/>
        </w:rPr>
        <w:br w:type="column"/>
      </w:r>
      <w:r w:rsidRPr="00511005">
        <w:rPr>
          <w:rFonts w:ascii="Arial" w:eastAsia="Times New Roman" w:hAnsi="Arial" w:cs="Arial"/>
          <w:b/>
          <w:i/>
          <w:szCs w:val="28"/>
          <w:lang w:val="uk-UA" w:eastAsia="ru-RU"/>
        </w:rPr>
        <w:lastRenderedPageBreak/>
        <w:t>Гаджиєв Амір Матіногли</w:t>
      </w:r>
    </w:p>
    <w:p w14:paraId="4190769E" w14:textId="50699D51" w:rsidR="003476F8"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 4-го курсу </w:t>
      </w:r>
      <w:r w:rsidR="003476F8" w:rsidRPr="00511005">
        <w:rPr>
          <w:rFonts w:ascii="Arial" w:eastAsia="Times New Roman" w:hAnsi="Arial" w:cs="Arial"/>
          <w:szCs w:val="28"/>
          <w:lang w:val="uk-UA" w:eastAsia="ru-RU"/>
        </w:rPr>
        <w:t>факультету цивільної та господарської юстиції</w:t>
      </w:r>
    </w:p>
    <w:p w14:paraId="5E235C52" w14:textId="3943057C" w:rsidR="003476F8" w:rsidRPr="00511005" w:rsidRDefault="00C66506"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D99963A" w14:textId="77777777" w:rsidR="003476F8" w:rsidRPr="00511005" w:rsidRDefault="003476F8" w:rsidP="003A292D">
      <w:pPr>
        <w:spacing w:line="264" w:lineRule="auto"/>
        <w:ind w:firstLine="0"/>
        <w:jc w:val="center"/>
        <w:rPr>
          <w:rFonts w:ascii="Arial" w:eastAsia="Times New Roman" w:hAnsi="Arial" w:cs="Arial"/>
          <w:i/>
          <w:szCs w:val="28"/>
          <w:lang w:val="uk-UA" w:eastAsia="ru-RU"/>
        </w:rPr>
      </w:pPr>
    </w:p>
    <w:p w14:paraId="5824D9C7" w14:textId="71AF3798" w:rsidR="003476F8" w:rsidRPr="00511005" w:rsidRDefault="003476F8"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РЕОРГАНІЗАЦІЯ ЮРИДИЧНОЇ ОСОБИ ЯК ПІДСТАВА</w:t>
      </w:r>
      <w:r w:rsidR="00CD458A">
        <w:rPr>
          <w:rFonts w:ascii="Arial" w:eastAsia="Times New Roman" w:hAnsi="Arial" w:cs="Arial"/>
          <w:b/>
          <w:szCs w:val="28"/>
          <w:lang w:val="uk-UA" w:eastAsia="ru-RU"/>
        </w:rPr>
        <w:t xml:space="preserve"> </w:t>
      </w:r>
      <w:r w:rsidRPr="00511005">
        <w:rPr>
          <w:rFonts w:ascii="Arial" w:eastAsia="Times New Roman" w:hAnsi="Arial" w:cs="Arial"/>
          <w:b/>
          <w:szCs w:val="28"/>
          <w:lang w:val="uk-UA" w:eastAsia="ru-RU"/>
        </w:rPr>
        <w:t>ПРОЦЕСУАЛЬНОГО ПРАВОНАСТУПНИЦТВА В ГОСПОДАРСЬКОМУ ПРОЦЕСІ</w:t>
      </w:r>
    </w:p>
    <w:p w14:paraId="18C395A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сучасній державі із її багатогранною правовою системою та всебічним розвитком різних категорій правовідносин, де як фізичні, так і юридичні особи активно відстоюють свої права у судах, дедалі частіше мають місце ситуації реорганізації юридичних осіб під час судового провадження. Це природно-зумовлює необхідність ухвалення відповідних рішень, зокрема, щодо заміни кредитора або боржника у зобов’язанні та процесуального правонаступництва.</w:t>
      </w:r>
    </w:p>
    <w:p w14:paraId="22516397"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Реорганізація юридичних осіб не є новелою для вітчизняного законодавства, проте її поширена практика обумовлює необхідність дослідження матеріальних та процесуальних засад її проведення.</w:t>
      </w:r>
    </w:p>
    <w:p w14:paraId="2766609D"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Реорганізація юридичної особи є комплексним правовим процесом, що передбачає припинення або зміну її організаційно-правової форми з передачею прав та обов’язків до іншої юридичної особи (правонаступника). Відповідно до статей 104–109 Цивільного кодексу України, реорганізація може здійснюватися у формах злиття, приєднання, поділу, виділу або перетворення [1]. Кожна форма має специфічні правові наслідки, зокрема перехід майнових і процесуальних прав та обов’язківдо іншої особи, що є підставою для процесуального правонаступництва в господарському процесі. Наприклад, при злитті проходить процес об’єднання двох або більше юридичних осіб у нову юридичну особу, в той час як процес приєднання має на увазі поглинання однієї юридичної особи іншою. Також слід зазначити відмінність поділу від виділу, що означає створення кількох юридичних осіб на базі однієї та утворення нової юридичної особи з частини майна та обов’язків існуючої відповідно [2]. При зміні організаційно-правової форми юридичної особи відповідно має місце процес перетворення. Важливим кроком при здійсненні всіх цих форм реорганізації є внесення змін до Єдиного державного реєстру (ЄДР) в порядку, визначеному в Законі України «Про державну реєстрацію юридичних осіб, фізичних осіб – підприємців та громадських формувань» [3].</w:t>
      </w:r>
    </w:p>
    <w:p w14:paraId="1D9528D3"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Під поняттям «процесуального правонаступництва» розуміють заміну сторони у судовому процесі (позивача, відповідача, третьої особи) іншою особою (правонаступником) у зв’язку з переходом прав та обов’язків, що є предметом спору. У господарському процесі це питання регулюється статтею 52 Господарського процесуального кодексу України, яка допускає правонаступництво на будь-якій стадії провадження за умови </w:t>
      </w:r>
      <w:r w:rsidRPr="00511005">
        <w:rPr>
          <w:rFonts w:ascii="Arial" w:eastAsia="Times New Roman" w:hAnsi="Arial" w:cs="Arial"/>
          <w:szCs w:val="28"/>
          <w:lang w:val="uk-UA" w:eastAsia="ru-RU"/>
        </w:rPr>
        <w:lastRenderedPageBreak/>
        <w:t>документального підтвердження переходу прав[4]. Потрібно враховувати йосновні умови, закладені в поняття процесуального правонаступництва, серед яких наявність правового зв’язку між попередником і правонаступником, перехід прав та обов’язків, що є предметом судового розгляду, наявність документів, які підтверджують реорганізацію (передавальний акт, розподільчий баланс, виписка з ЄДР тощо).</w:t>
      </w:r>
    </w:p>
    <w:p w14:paraId="7E4BEC8F" w14:textId="0FC24551"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доктрині доволі влучно охарактеризовано правонаступництво при реорганізації юридичних осіб як перехід прав та обов’язків на підприємство, в повному обсязі або частково, що утворює єдиний майновий комплекс на підставі розподільчого балансу або передавального акту [6, с. 16]. Сам термін «єдиний майновий комплекс» вказаний у Законі України «Про приватизацію державного і комунального майна», згідно із ч.1 ст. 28 якого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особи, що придбали державні або комунальні підприємства як єдині майнові комплекси, є правонаступниками їх майнових прав (крім права постійного користування земельною ділянкою) і обов`язків відповідно до умов договору між продавцем і покупцем та законодавства України [6]. На цю норму посилався Південно-західний апеляційний господарський судв постанові від 26.11.2024 р. у справі № 916/3735/24, визнаючи приватне підприємство правонаступником державного внаслідок приєднання [7]. У якості ще одного прикладу приєднання можна навести справу № 913/379/21, де суд виснував, що у разі реорганізації у формі приєднання не має значення, чи зазначено в передавальному акті конкретне майно, права або обов’язки, що передаються. Оскільки внаслідок приєднання правонаступником виступає лише одна особа, розподіл прав і обов’язків між кількома суб’єктами при такому способі реорганізації є неможливим[8]. Датою набуття правонаступництва юридичною особою щодо тієї, що припиняється шляхом приєднання, вважається дата видання відповідного наказу про приєднання. </w:t>
      </w:r>
    </w:p>
    <w:p w14:paraId="41BF15D9"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Важливим є відзначення підходу судів до вирішення спорів не суто законодавчими шляхами, а наведенням практичних та теоретичних пояснень. Так, у справі № 906/657/20 суд вказав на існуванні двох основних видів правонаступництва: «універсального та часткового (сингулярного). У випадку універсального правонаступництва до правонаступника — фізичної чи юридичної особи — переходять не лише права первісного кредитора, але й усі його обов’язки. Такий вид правонаступництва виникає, зокрема, під час … реорганізації юридичної особи шляхом перетворення, злиття чи приєднання. Натомість при частковому (сингулярному) правонаступництві до нового суб’єкта переходять лише окремі, визначені права та обов’язки» [9]. Відповідно до правових висновків, викладених у пунктах 37- 39 та 43 постанови Великої Палати Верховного Суду від 16.06.2020 у справі № 910/5953/17, у разі реорганізації у юридичної особи формі злиття має місце універсальне правонаступництво. Це означає, що всі майнові права та обов’язки юридичної особи, як єдина сукупність, переходять до її </w:t>
      </w:r>
      <w:r w:rsidRPr="00511005">
        <w:rPr>
          <w:rFonts w:ascii="Arial" w:eastAsia="Times New Roman" w:hAnsi="Arial" w:cs="Arial"/>
          <w:szCs w:val="28"/>
          <w:lang w:val="uk-UA" w:eastAsia="ru-RU"/>
        </w:rPr>
        <w:lastRenderedPageBreak/>
        <w:t>правонаступника або правонаступників. При цьому передаються всі конкретні права та обов’язки, що належали реорганізованій особі на момент правонаступництва, незалежно від того, чи були вони виявлені на той час [10].</w:t>
      </w:r>
    </w:p>
    <w:p w14:paraId="5AB5EEE3"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Отже, у господарському процесі, де сторонами виступають суб’єкти господарювання, реорганізація є однією з найпоширеніших причин правонаступництва. Перехід прав може стосуватися як матеріальних, так і процесуальних прав. Процедурний порядок заміни сторони у господарському процесі включає низку дій, виконуваних у відповідному порядку для прямого визначення факту відповідності чинному законодавству. Тобто, на суд тут покладається роль, в першу чергу, перевірити факт реорганізації та її відповідності вимогам законодавства, і, проаналізувавши документи, встановити можливість правонаступника зайняти місце попередника у тотожному процесуальному статусі. Судова практика підкреслює важливість чіткого документального оформлення (передавальний акт, розподільчий баланс) та відповідності процедури вимогам законодавства. Проблеми, пов’язані з некоректним розподілом прав та обов’язків, можуть ускладнити процес, що вимагає активної ролі суду в забезпеченні законності під час розгляду справи.</w:t>
      </w:r>
    </w:p>
    <w:p w14:paraId="109A5821" w14:textId="77777777" w:rsidR="003476F8" w:rsidRPr="00511005" w:rsidRDefault="003476F8" w:rsidP="003A292D">
      <w:pPr>
        <w:tabs>
          <w:tab w:val="left" w:pos="4305"/>
        </w:tabs>
        <w:spacing w:line="264" w:lineRule="auto"/>
        <w:ind w:firstLine="0"/>
        <w:jc w:val="center"/>
        <w:rPr>
          <w:rFonts w:ascii="Arial" w:eastAsia="Times New Roman" w:hAnsi="Arial" w:cs="Arial"/>
          <w:szCs w:val="28"/>
          <w:lang w:val="uk-UA" w:eastAsia="ru-RU"/>
        </w:rPr>
      </w:pPr>
    </w:p>
    <w:p w14:paraId="0C339F6A" w14:textId="5547657B" w:rsidR="003476F8" w:rsidRPr="00511005" w:rsidRDefault="007B2628" w:rsidP="007B2628">
      <w:pPr>
        <w:tabs>
          <w:tab w:val="left" w:pos="4305"/>
        </w:tabs>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33776C8A" w14:textId="77777777" w:rsidR="003476F8" w:rsidRPr="00511005" w:rsidRDefault="003476F8" w:rsidP="003A292D">
      <w:pPr>
        <w:tabs>
          <w:tab w:val="left" w:pos="1134"/>
        </w:tabs>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 Цивільний кодекс України: Закон України від 16.01.2003 р. № 435-IV.URL : </w:t>
      </w:r>
      <w:hyperlink r:id="rId1525" w:anchor="Text" w:history="1">
        <w:r w:rsidRPr="00511005">
          <w:rPr>
            <w:rFonts w:ascii="Arial" w:eastAsia="Times New Roman" w:hAnsi="Arial" w:cs="Arial"/>
            <w:szCs w:val="28"/>
            <w:lang w:val="uk-UA" w:eastAsia="ru-RU"/>
          </w:rPr>
          <w:t>https://zakon.rada.gov.ua/laws/show/435-15#Text</w:t>
        </w:r>
      </w:hyperlink>
    </w:p>
    <w:p w14:paraId="078BCB78" w14:textId="77777777" w:rsidR="003476F8" w:rsidRPr="00511005" w:rsidRDefault="003476F8" w:rsidP="003A292D">
      <w:pPr>
        <w:tabs>
          <w:tab w:val="left" w:pos="1134"/>
          <w:tab w:val="right" w:pos="9689"/>
        </w:tabs>
        <w:spacing w:line="264" w:lineRule="auto"/>
        <w:ind w:firstLine="0"/>
        <w:rPr>
          <w:rFonts w:ascii="Arial" w:eastAsia="Times New Roman" w:hAnsi="Arial" w:cs="Arial"/>
          <w:bCs/>
          <w:szCs w:val="28"/>
          <w:lang w:val="uk-UA" w:eastAsia="ru-RU"/>
        </w:rPr>
      </w:pPr>
      <w:r w:rsidRPr="00511005">
        <w:rPr>
          <w:rFonts w:ascii="Arial" w:eastAsia="Times New Roman" w:hAnsi="Arial" w:cs="Arial"/>
          <w:szCs w:val="28"/>
          <w:lang w:val="uk-UA" w:eastAsia="ru-RU"/>
        </w:rPr>
        <w:t xml:space="preserve">2. </w:t>
      </w:r>
      <w:r w:rsidRPr="00511005">
        <w:rPr>
          <w:rFonts w:ascii="Arial" w:eastAsia="Times New Roman" w:hAnsi="Arial" w:cs="Arial"/>
          <w:bCs/>
          <w:szCs w:val="28"/>
          <w:lang w:val="uk-UA" w:eastAsia="ru-RU"/>
        </w:rPr>
        <w:t xml:space="preserve">Про товариства з обмеженою та додатковою відповідальністю: </w:t>
      </w:r>
      <w:r w:rsidRPr="00511005">
        <w:rPr>
          <w:rFonts w:ascii="Arial" w:eastAsia="Times New Roman" w:hAnsi="Arial" w:cs="Arial"/>
          <w:szCs w:val="28"/>
          <w:lang w:val="uk-UA" w:eastAsia="ru-RU"/>
        </w:rPr>
        <w:t xml:space="preserve">Закон України </w:t>
      </w:r>
      <w:r w:rsidRPr="00511005">
        <w:rPr>
          <w:rFonts w:ascii="Arial" w:eastAsia="Times New Roman" w:hAnsi="Arial" w:cs="Arial"/>
          <w:bCs/>
          <w:szCs w:val="28"/>
          <w:lang w:val="uk-UA" w:eastAsia="ru-RU"/>
        </w:rPr>
        <w:t xml:space="preserve">від 06.02.2018 р. №2275-VIII.URL : </w:t>
      </w:r>
      <w:hyperlink r:id="rId1526" w:history="1">
        <w:r w:rsidRPr="00511005">
          <w:rPr>
            <w:rFonts w:ascii="Arial" w:eastAsia="Times New Roman" w:hAnsi="Arial" w:cs="Arial"/>
            <w:bCs/>
            <w:szCs w:val="28"/>
            <w:lang w:val="uk-UA" w:eastAsia="ru-RU"/>
          </w:rPr>
          <w:t>https://zakon.rada.gov.ua/laws/show/2275-19</w:t>
        </w:r>
      </w:hyperlink>
    </w:p>
    <w:p w14:paraId="19096C33" w14:textId="77777777" w:rsidR="003476F8" w:rsidRPr="00511005" w:rsidRDefault="003476F8" w:rsidP="003A292D">
      <w:pPr>
        <w:tabs>
          <w:tab w:val="left" w:pos="1134"/>
          <w:tab w:val="right" w:pos="9689"/>
        </w:tabs>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3. Про державну реєстрацію юридичних осіб, фізичних осіб – підприємців та громадських формувань: Закон України від 15.05.2003 № 755-IV. ВВР України, 2003, № 31-32, ст. 263.</w:t>
      </w:r>
      <w:r w:rsidRPr="00511005">
        <w:rPr>
          <w:rFonts w:ascii="Arial" w:eastAsia="Times New Roman" w:hAnsi="Arial" w:cs="Arial"/>
          <w:bCs/>
          <w:szCs w:val="28"/>
          <w:lang w:val="uk-UA" w:eastAsia="ru-RU"/>
        </w:rPr>
        <w:tab/>
      </w:r>
    </w:p>
    <w:p w14:paraId="19889D72" w14:textId="77777777" w:rsidR="003476F8" w:rsidRPr="00511005" w:rsidRDefault="003476F8" w:rsidP="003A292D">
      <w:pPr>
        <w:tabs>
          <w:tab w:val="left" w:pos="1134"/>
        </w:tabs>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4.</w:t>
      </w:r>
      <w:r w:rsidRPr="00511005">
        <w:rPr>
          <w:rFonts w:ascii="Arial" w:eastAsia="Times New Roman" w:hAnsi="Arial" w:cs="Arial"/>
          <w:szCs w:val="28"/>
          <w:lang w:val="uk-UA" w:eastAsia="ru-RU"/>
        </w:rPr>
        <w:tab/>
        <w:t xml:space="preserve">Господарський процесуальний кодекс України: Закон України від 06.11.1991 № 1798-XII.URL : </w:t>
      </w:r>
      <w:hyperlink r:id="rId1527" w:anchor="Text" w:history="1">
        <w:r w:rsidRPr="00511005">
          <w:rPr>
            <w:rFonts w:ascii="Arial" w:eastAsia="Times New Roman" w:hAnsi="Arial" w:cs="Arial"/>
            <w:szCs w:val="28"/>
            <w:lang w:val="uk-UA" w:eastAsia="ru-RU"/>
          </w:rPr>
          <w:t>https://zakon.rada.gov.ua/laws/show/1798-12#Text</w:t>
        </w:r>
      </w:hyperlink>
    </w:p>
    <w:p w14:paraId="290CEBBE" w14:textId="77777777" w:rsidR="003476F8" w:rsidRPr="00511005" w:rsidRDefault="003476F8" w:rsidP="003A292D">
      <w:pPr>
        <w:tabs>
          <w:tab w:val="left" w:pos="1134"/>
        </w:tabs>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5.</w:t>
      </w:r>
      <w:r w:rsidRPr="00511005">
        <w:rPr>
          <w:rFonts w:ascii="Arial" w:eastAsia="Times New Roman" w:hAnsi="Arial" w:cs="Arial"/>
          <w:szCs w:val="28"/>
          <w:lang w:val="uk-UA" w:eastAsia="ru-RU"/>
        </w:rPr>
        <w:tab/>
        <w:t xml:space="preserve">Кот О. О. Перехід прав кредитора до третіх осіб в цивільному праві України : автореф. дис…. канд. юрид. наук : 12.00.03 / О. О. Кот ; Київський національний університет ім. Т. Шевченка. К., 2001. 20 с. </w:t>
      </w:r>
    </w:p>
    <w:p w14:paraId="6FBC9CE1" w14:textId="77777777" w:rsidR="003476F8" w:rsidRPr="00511005" w:rsidRDefault="003476F8" w:rsidP="003A292D">
      <w:pPr>
        <w:tabs>
          <w:tab w:val="left" w:pos="1134"/>
        </w:tabs>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6.</w:t>
      </w:r>
      <w:r w:rsidRPr="00511005">
        <w:rPr>
          <w:rFonts w:ascii="Arial" w:eastAsia="Times New Roman" w:hAnsi="Arial" w:cs="Arial"/>
          <w:szCs w:val="28"/>
          <w:lang w:val="uk-UA" w:eastAsia="ru-RU"/>
        </w:rPr>
        <w:tab/>
        <w:t xml:space="preserve">Про приватизацію державного і комунального майна: Закон Українивід 18.01.2018 № 2269-VIII.URL : </w:t>
      </w:r>
      <w:hyperlink r:id="rId1528" w:anchor="Text" w:history="1">
        <w:r w:rsidRPr="00511005">
          <w:rPr>
            <w:rFonts w:ascii="Arial" w:eastAsia="Times New Roman" w:hAnsi="Arial" w:cs="Arial"/>
            <w:szCs w:val="28"/>
            <w:lang w:val="uk-UA" w:eastAsia="ru-RU"/>
          </w:rPr>
          <w:t>https://zakon.rada.gov.ua/laws/show/2269-19#Text</w:t>
        </w:r>
      </w:hyperlink>
    </w:p>
    <w:p w14:paraId="31DB612B" w14:textId="77777777" w:rsidR="003476F8" w:rsidRPr="00511005" w:rsidRDefault="003476F8" w:rsidP="003A292D">
      <w:pPr>
        <w:tabs>
          <w:tab w:val="left" w:pos="993"/>
        </w:tabs>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7.Постанова Південно-західного апеляційного господарського суду у справі № 916/3735/24 від 26.11.2024 року.URL: https://reyestr.court.gov.ua/Review/1234229458.</w:t>
      </w:r>
      <w:r w:rsidRPr="00511005">
        <w:rPr>
          <w:rFonts w:ascii="Arial" w:eastAsia="Times New Roman" w:hAnsi="Arial" w:cs="Arial"/>
          <w:szCs w:val="28"/>
          <w:lang w:val="uk-UA" w:eastAsia="ru-RU"/>
        </w:rPr>
        <w:tab/>
      </w:r>
    </w:p>
    <w:p w14:paraId="482B8B28" w14:textId="6D385AA5" w:rsidR="003476F8" w:rsidRPr="00511005" w:rsidRDefault="003476F8" w:rsidP="003A292D">
      <w:pPr>
        <w:tabs>
          <w:tab w:val="left" w:pos="993"/>
        </w:tabs>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8. Ухвала Господарського суду Луганської області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по справі № 913/379/21 від 16.06.2023.URL : </w:t>
      </w:r>
      <w:hyperlink r:id="rId1529" w:history="1">
        <w:r w:rsidRPr="00511005">
          <w:rPr>
            <w:rFonts w:ascii="Arial" w:eastAsia="Times New Roman" w:hAnsi="Arial" w:cs="Arial"/>
            <w:szCs w:val="28"/>
            <w:lang w:val="uk-UA" w:eastAsia="ru-RU"/>
          </w:rPr>
          <w:t>https://reyestr.court.gov.ua/Review/111707597</w:t>
        </w:r>
      </w:hyperlink>
    </w:p>
    <w:p w14:paraId="498663E2" w14:textId="77777777" w:rsidR="003476F8" w:rsidRPr="00511005" w:rsidRDefault="003476F8" w:rsidP="003A292D">
      <w:pPr>
        <w:tabs>
          <w:tab w:val="left" w:pos="1134"/>
        </w:tabs>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9.</w:t>
      </w:r>
      <w:r w:rsidRPr="00511005">
        <w:rPr>
          <w:rFonts w:ascii="Arial" w:eastAsia="Times New Roman" w:hAnsi="Arial" w:cs="Arial"/>
          <w:szCs w:val="28"/>
          <w:lang w:val="uk-UA" w:eastAsia="ru-RU"/>
        </w:rPr>
        <w:tab/>
        <w:t xml:space="preserve">Постанова Північно-західного апеляційного господарського суду у справі № 906/657/20 від 06.09.2021.URL : </w:t>
      </w:r>
      <w:hyperlink r:id="rId1530" w:history="1">
        <w:r w:rsidRPr="00511005">
          <w:rPr>
            <w:rFonts w:ascii="Arial" w:eastAsia="Times New Roman" w:hAnsi="Arial" w:cs="Arial"/>
            <w:szCs w:val="28"/>
            <w:lang w:val="uk-UA" w:eastAsia="ru-RU"/>
          </w:rPr>
          <w:t>https://reyestr.court.gov.ua/Review/9944588310</w:t>
        </w:r>
      </w:hyperlink>
      <w:r w:rsidRPr="00511005">
        <w:rPr>
          <w:rFonts w:ascii="Arial" w:eastAsia="Times New Roman" w:hAnsi="Arial" w:cs="Arial"/>
          <w:szCs w:val="28"/>
          <w:lang w:val="uk-UA" w:eastAsia="ru-RU"/>
        </w:rPr>
        <w:t>.</w:t>
      </w:r>
    </w:p>
    <w:p w14:paraId="43B2B396" w14:textId="0FF19D33" w:rsidR="003476F8" w:rsidRPr="00511005" w:rsidRDefault="003476F8" w:rsidP="003A292D">
      <w:pPr>
        <w:tabs>
          <w:tab w:val="left" w:pos="1134"/>
        </w:tabs>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10. </w:t>
      </w:r>
      <w:r w:rsidRPr="00511005">
        <w:rPr>
          <w:rFonts w:ascii="Arial" w:eastAsia="Times New Roman" w:hAnsi="Arial" w:cs="Arial"/>
          <w:szCs w:val="28"/>
          <w:lang w:val="uk-UA" w:eastAsia="ru-RU"/>
        </w:rPr>
        <w:tab/>
        <w:t>Постанова Великої Палати Верховного Суду у справі № 910/5953/1 від 16.06.2020.URL</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:https://reyestr.court.gov.ua/Review/90111849</w:t>
      </w:r>
    </w:p>
    <w:p w14:paraId="39A05D35" w14:textId="77777777" w:rsidR="003476F8" w:rsidRPr="00511005" w:rsidRDefault="003476F8" w:rsidP="003A292D">
      <w:pPr>
        <w:tabs>
          <w:tab w:val="left" w:pos="1134"/>
        </w:tabs>
        <w:spacing w:line="264" w:lineRule="auto"/>
        <w:ind w:firstLine="0"/>
        <w:rPr>
          <w:rFonts w:ascii="Arial" w:eastAsia="Times New Roman" w:hAnsi="Arial" w:cs="Arial"/>
          <w:szCs w:val="28"/>
          <w:lang w:val="uk-UA" w:eastAsia="ru-RU"/>
        </w:rPr>
      </w:pPr>
    </w:p>
    <w:p w14:paraId="58247A51" w14:textId="2CA791F9"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val="uk-UA" w:eastAsia="ru-RU"/>
        </w:rPr>
        <w:t>реорганізація, правонаступництво, підприємство, суд, юридична особа.</w:t>
      </w:r>
    </w:p>
    <w:p w14:paraId="0A755AE2" w14:textId="4100334F"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szCs w:val="28"/>
          <w:lang w:val="uk-UA" w:eastAsia="ru-RU"/>
        </w:rPr>
        <w:t>reorganization, succession, enterprise, court, legalperson.</w:t>
      </w:r>
    </w:p>
    <w:p w14:paraId="532C4154" w14:textId="06907330" w:rsidR="003476F8" w:rsidRPr="00511005" w:rsidRDefault="007B2628" w:rsidP="003A292D">
      <w:pPr>
        <w:spacing w:line="264" w:lineRule="auto"/>
        <w:ind w:firstLine="0"/>
        <w:rPr>
          <w:rFonts w:ascii="Arial" w:eastAsia="Times New Roman" w:hAnsi="Arial" w:cs="Arial"/>
          <w:bCs/>
          <w:i/>
          <w:szCs w:val="28"/>
          <w:lang w:val="uk-UA" w:eastAsia="ru-RU"/>
        </w:rPr>
      </w:pPr>
      <w:r w:rsidRPr="00511005">
        <w:rPr>
          <w:rFonts w:ascii="Arial" w:eastAsia="Times New Roman" w:hAnsi="Arial" w:cs="Arial"/>
          <w:b/>
          <w:i/>
          <w:szCs w:val="28"/>
          <w:lang w:val="uk-UA" w:eastAsia="ru-RU"/>
        </w:rPr>
        <w:t xml:space="preserve">Науковий керівник: </w:t>
      </w:r>
      <w:r w:rsidR="00383DE9" w:rsidRPr="00511005">
        <w:rPr>
          <w:rFonts w:ascii="Arial" w:eastAsia="Times New Roman" w:hAnsi="Arial" w:cs="Arial"/>
          <w:bCs/>
          <w:i/>
          <w:szCs w:val="28"/>
          <w:lang w:val="uk-UA" w:eastAsia="ru-RU"/>
        </w:rPr>
        <w:t xml:space="preserve">к.ю.н., </w:t>
      </w:r>
      <w:r w:rsidR="003476F8" w:rsidRPr="00511005">
        <w:rPr>
          <w:rFonts w:ascii="Arial" w:eastAsia="Times New Roman" w:hAnsi="Arial" w:cs="Arial"/>
          <w:bCs/>
          <w:i/>
          <w:szCs w:val="28"/>
          <w:lang w:val="uk-UA" w:eastAsia="ru-RU"/>
        </w:rPr>
        <w:t>доцент Будурова Г. М.</w:t>
      </w:r>
    </w:p>
    <w:p w14:paraId="27FC25A4" w14:textId="77777777" w:rsidR="00CD458A" w:rsidRDefault="00CD458A" w:rsidP="003A292D">
      <w:pPr>
        <w:spacing w:line="264" w:lineRule="auto"/>
        <w:ind w:firstLine="0"/>
        <w:jc w:val="center"/>
        <w:rPr>
          <w:rFonts w:ascii="Arial" w:eastAsia="Times New Roman" w:hAnsi="Arial" w:cs="Arial"/>
          <w:b/>
          <w:bCs/>
          <w:i/>
          <w:iCs/>
          <w:szCs w:val="28"/>
          <w:lang w:val="uk-UA" w:eastAsia="ru-RU"/>
        </w:rPr>
      </w:pPr>
    </w:p>
    <w:p w14:paraId="281A3B00" w14:textId="77777777" w:rsidR="00CD458A" w:rsidRDefault="00CD458A" w:rsidP="003A292D">
      <w:pPr>
        <w:spacing w:line="264" w:lineRule="auto"/>
        <w:ind w:firstLine="0"/>
        <w:jc w:val="center"/>
        <w:rPr>
          <w:rFonts w:ascii="Arial" w:eastAsia="Times New Roman" w:hAnsi="Arial" w:cs="Arial"/>
          <w:b/>
          <w:bCs/>
          <w:i/>
          <w:iCs/>
          <w:szCs w:val="28"/>
          <w:lang w:val="uk-UA" w:eastAsia="ru-RU"/>
        </w:rPr>
      </w:pPr>
    </w:p>
    <w:p w14:paraId="63D31A51" w14:textId="0F3CBC8E" w:rsidR="003476F8" w:rsidRPr="00511005" w:rsidRDefault="003476F8" w:rsidP="003A292D">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Галупа Адріана Олегівна</w:t>
      </w:r>
    </w:p>
    <w:p w14:paraId="34A5775C" w14:textId="4E2BC2E7" w:rsidR="003476F8"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3-го курсу </w:t>
      </w:r>
      <w:r w:rsidR="007B2628" w:rsidRPr="00511005">
        <w:rPr>
          <w:rFonts w:ascii="Arial" w:eastAsia="Times New Roman" w:hAnsi="Arial" w:cs="Arial"/>
          <w:szCs w:val="28"/>
          <w:lang w:val="uk-UA" w:eastAsia="ru-RU"/>
        </w:rPr>
        <w:t>факультету цивільної та господарської юстиції</w:t>
      </w:r>
    </w:p>
    <w:p w14:paraId="4AE0C768" w14:textId="77D92FE4" w:rsidR="003476F8"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2C4EC975" w14:textId="77777777" w:rsidR="003476F8" w:rsidRPr="00511005" w:rsidRDefault="003476F8" w:rsidP="003A292D">
      <w:pPr>
        <w:spacing w:line="264" w:lineRule="auto"/>
        <w:ind w:firstLine="0"/>
        <w:jc w:val="left"/>
        <w:rPr>
          <w:rFonts w:ascii="Arial" w:eastAsia="Times New Roman" w:hAnsi="Arial" w:cs="Arial"/>
          <w:szCs w:val="28"/>
          <w:lang w:val="uk-UA" w:eastAsia="ru-RU"/>
        </w:rPr>
      </w:pPr>
    </w:p>
    <w:p w14:paraId="65935DD3" w14:textId="77777777" w:rsidR="003476F8" w:rsidRPr="00511005" w:rsidRDefault="003476F8"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ПЕРЕДУМОВИ ТА АСПЕКТИ НЕПЛАТОСПРОМОЖНОСТІ</w:t>
      </w:r>
    </w:p>
    <w:p w14:paraId="61835D10" w14:textId="77777777" w:rsidR="003476F8" w:rsidRPr="00511005" w:rsidRDefault="003476F8" w:rsidP="003A292D">
      <w:pPr>
        <w:spacing w:line="264" w:lineRule="auto"/>
        <w:ind w:firstLine="0"/>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Ініціювання провадження у справах про банкрутство в господарському суді є юридично регламентованим процесом, що залежить від наявності відповідного права у заявника та дотримання встановленого порядку подання заяви. У науковій літературі усталено поділ передумов на загальні та спеціальні, що дозволяє комплексно оцінити підстави для початку процедури банкрутства.</w:t>
      </w:r>
    </w:p>
    <w:p w14:paraId="079620DB" w14:textId="77777777" w:rsidR="003476F8" w:rsidRPr="00511005" w:rsidRDefault="003476F8" w:rsidP="003A292D">
      <w:pPr>
        <w:spacing w:line="264" w:lineRule="auto"/>
        <w:ind w:firstLine="0"/>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До загальних передумов належать:</w:t>
      </w:r>
    </w:p>
    <w:p w14:paraId="25773692" w14:textId="77777777" w:rsidR="003476F8" w:rsidRPr="00511005" w:rsidRDefault="003476F8" w:rsidP="003F6A5D">
      <w:pPr>
        <w:numPr>
          <w:ilvl w:val="0"/>
          <w:numId w:val="399"/>
        </w:numPr>
        <w:spacing w:line="264" w:lineRule="auto"/>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Підвідомчість господарським судам, що визначає їхню компетенцію у розгляді справ щодо банкрутства юридичних осіб та фізичних осіб-підприємців, враховуючи специфіку господарської діяльності.</w:t>
      </w:r>
    </w:p>
    <w:p w14:paraId="69753DAD" w14:textId="77777777" w:rsidR="003476F8" w:rsidRPr="00511005" w:rsidRDefault="003476F8" w:rsidP="003F6A5D">
      <w:pPr>
        <w:numPr>
          <w:ilvl w:val="0"/>
          <w:numId w:val="399"/>
        </w:numPr>
        <w:spacing w:line="264" w:lineRule="auto"/>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Процесуальна правоздатність та дієздатність як заявника, так і боржника, що є необхідною умовою для їхньої участі в судовому процесі.</w:t>
      </w:r>
    </w:p>
    <w:p w14:paraId="51CC105B" w14:textId="77777777" w:rsidR="003476F8" w:rsidRPr="00511005" w:rsidRDefault="003476F8" w:rsidP="003F6A5D">
      <w:pPr>
        <w:numPr>
          <w:ilvl w:val="0"/>
          <w:numId w:val="399"/>
        </w:numPr>
        <w:spacing w:line="264" w:lineRule="auto"/>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Відсутність відкритого провадження у справі про банкрутство стосовно боржника на момент звернення до суду, що забезпечує принцип одноразовості процедури.</w:t>
      </w:r>
    </w:p>
    <w:p w14:paraId="1C9C4C3A" w14:textId="77777777" w:rsidR="003476F8" w:rsidRPr="00511005" w:rsidRDefault="003476F8" w:rsidP="003A292D">
      <w:pPr>
        <w:spacing w:line="264" w:lineRule="auto"/>
        <w:ind w:firstLine="0"/>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Спеціальні передумови включають:</w:t>
      </w:r>
    </w:p>
    <w:p w14:paraId="33250664" w14:textId="77777777" w:rsidR="003476F8" w:rsidRPr="00511005" w:rsidRDefault="003476F8" w:rsidP="003F6A5D">
      <w:pPr>
        <w:numPr>
          <w:ilvl w:val="0"/>
          <w:numId w:val="400"/>
        </w:numPr>
        <w:spacing w:line="264" w:lineRule="auto"/>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Належність заявника до суб’єктів, які мають право ініціювати процедуру банкрутства згідно з Кодексом України з процедур банкрутства (КУзПБ), а саме боржника або кредитора за наявності встановлених законодавством критеріїв щодо грошових вимог.</w:t>
      </w:r>
    </w:p>
    <w:p w14:paraId="2E730272" w14:textId="77777777" w:rsidR="003476F8" w:rsidRPr="00511005" w:rsidRDefault="003476F8" w:rsidP="003F6A5D">
      <w:pPr>
        <w:numPr>
          <w:ilvl w:val="0"/>
          <w:numId w:val="400"/>
        </w:numPr>
        <w:spacing w:line="264" w:lineRule="auto"/>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Віднесення боржника до кола суб’єктів, щодо яких застосовуються норми КУзПБ, оскільки існують винятки для окремих категорій </w:t>
      </w:r>
      <w:r w:rsidRPr="00511005">
        <w:rPr>
          <w:rFonts w:ascii="Arial" w:eastAsia="Times New Roman" w:hAnsi="Arial" w:cs="Arial"/>
          <w:szCs w:val="28"/>
          <w:lang w:val="uk-UA" w:eastAsia="ru-RU"/>
        </w:rPr>
        <w:lastRenderedPageBreak/>
        <w:t>(наприклад, державні підприємства, банки), регульованих спеціальним законодавством.</w:t>
      </w:r>
    </w:p>
    <w:p w14:paraId="0D319A45" w14:textId="77777777" w:rsidR="003476F8" w:rsidRPr="00511005" w:rsidRDefault="003476F8" w:rsidP="003F6A5D">
      <w:pPr>
        <w:numPr>
          <w:ilvl w:val="0"/>
          <w:numId w:val="400"/>
        </w:numPr>
        <w:spacing w:line="264" w:lineRule="auto"/>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Наявність матеріально-правових підстав, головною з яких є стан неплатоспроможності боржника або обґрунтована загроза його настання.</w:t>
      </w:r>
    </w:p>
    <w:p w14:paraId="42F80E27" w14:textId="77777777" w:rsidR="003476F8" w:rsidRPr="00511005" w:rsidRDefault="003476F8" w:rsidP="003A292D">
      <w:pPr>
        <w:spacing w:line="264" w:lineRule="auto"/>
        <w:ind w:firstLine="0"/>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У науковій літературі існують різні підходи до визначення сутності неплатоспроможності, так, наприклад, С. Жуков визначає «неплатоспроможність як факт перевищення суми прострочених грошових вимог кредиторів над реальною вартістю всіх активів боржника» [1].</w:t>
      </w:r>
    </w:p>
    <w:p w14:paraId="4143B3C7" w14:textId="77777777" w:rsidR="003476F8" w:rsidRPr="00511005" w:rsidRDefault="003476F8" w:rsidP="003A292D">
      <w:pPr>
        <w:spacing w:line="264" w:lineRule="auto"/>
        <w:ind w:firstLine="0"/>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Тоді, як Л. Іванова трактує її як «нездатність боржника повністю виконати грошові зобов’язання через перевищення загальної суми зобов’язань над ліквідними активами на певний момент часу, припускаючи можливість врегулювання в рамках досудових процедур або санації»[2].</w:t>
      </w:r>
    </w:p>
    <w:p w14:paraId="5D54A951" w14:textId="77777777" w:rsidR="003476F8" w:rsidRPr="00511005" w:rsidRDefault="003476F8" w:rsidP="003A292D">
      <w:pPr>
        <w:spacing w:line="264" w:lineRule="auto"/>
        <w:ind w:firstLine="0"/>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Також, ключовою матеріально-правовою підставою для звернення до суду є наявність невиконаних грошових зобов’язань боржника перед кредиторами у встановлений строк. До грошових зобов’язань належать платежі за господарсько-правовими та цивільно-правовими договорами, а також обов’язкові платежі (податки, збори, страхові внески). </w:t>
      </w:r>
    </w:p>
    <w:p w14:paraId="13F061F8" w14:textId="77777777" w:rsidR="003476F8" w:rsidRPr="00511005" w:rsidRDefault="003476F8" w:rsidP="003A292D">
      <w:pPr>
        <w:spacing w:line="264" w:lineRule="auto"/>
        <w:ind w:firstLine="0"/>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Щодо матеріальної підстави, то це також «є неможливість виконання боржником зобов’язань за договорами зберігання, оренди, підряду тощо, виражених у грошовому еквіваленті. Розмір грошових зобов’язань визначається на дату подання заяви до суду, якщо інше не передбачено КУзПБ» [3].</w:t>
      </w:r>
    </w:p>
    <w:p w14:paraId="07EB1CE5" w14:textId="77777777" w:rsidR="003476F8" w:rsidRPr="00511005" w:rsidRDefault="003476F8" w:rsidP="003A292D">
      <w:pPr>
        <w:spacing w:line="264" w:lineRule="auto"/>
        <w:ind w:firstLine="0"/>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Законодавством встановлено перелік сум, які не враховуються до загального обсягу грошових зобов’язань, зокрема штрафи, неустойки, пені, зобов’язання з відшкодування шкоди життю та здоров’ю, виплати авторської винагороди та зобов’язання перед засновниками боржника, що виникають з їхньої участі.</w:t>
      </w:r>
    </w:p>
    <w:p w14:paraId="61C040B3" w14:textId="77777777" w:rsidR="003476F8" w:rsidRPr="00511005" w:rsidRDefault="003476F8" w:rsidP="003A292D">
      <w:pPr>
        <w:spacing w:line="264" w:lineRule="auto"/>
        <w:ind w:firstLine="0"/>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Частина 3 статті 8 КУзПБ передбачає можливість відкриття провадження у разі загрози неплатоспроможності, але виключно за ініціативою боржника. Суд не має права відмовити у відкритті провадження з цієї підстави через складність повної перевірки фінансового стану на етапі загрози. Це створює певні ризики ініціювання банкрутства платоспроможними суб’єктами та зумовлює необхідність економічних експертиз для виявлення зловживань.</w:t>
      </w:r>
    </w:p>
    <w:p w14:paraId="277F061E" w14:textId="77777777" w:rsidR="003476F8" w:rsidRPr="00511005" w:rsidRDefault="003476F8" w:rsidP="003A292D">
      <w:pPr>
        <w:spacing w:line="264" w:lineRule="auto"/>
        <w:ind w:firstLine="0"/>
        <w:jc w:val="lowKashida"/>
        <w:rPr>
          <w:rFonts w:ascii="Arial" w:eastAsia="Times New Roman" w:hAnsi="Arial" w:cs="Arial"/>
          <w:b/>
          <w:szCs w:val="28"/>
          <w:lang w:val="uk-UA" w:eastAsia="ru-RU"/>
        </w:rPr>
      </w:pPr>
      <w:r w:rsidRPr="00511005">
        <w:rPr>
          <w:rFonts w:ascii="Arial" w:eastAsia="Times New Roman" w:hAnsi="Arial" w:cs="Arial"/>
          <w:szCs w:val="28"/>
          <w:lang w:val="uk-UA" w:eastAsia="ru-RU"/>
        </w:rPr>
        <w:t xml:space="preserve">В умовах воєнного стану, згідно із Законом від 13.07.2023, суд може відмовити у відкритті провадження за заявою кредитора, якщо боржник є учасником державних оборонних контрактів або якщо невиконання зобов’язань стало наслідком збройної агресії РФ, зокрема через розташування майна на окупованих територіях. Суд при вирішенні питання враховує реальність господарських відносин, причини виникнення заборгованості та місцезнаходження активів боржника. </w:t>
      </w:r>
      <w:r w:rsidRPr="00511005">
        <w:rPr>
          <w:rFonts w:ascii="Arial" w:eastAsia="Times New Roman" w:hAnsi="Arial" w:cs="Arial"/>
          <w:bCs/>
          <w:szCs w:val="28"/>
          <w:lang w:val="uk-UA" w:eastAsia="ru-RU"/>
        </w:rPr>
        <w:t xml:space="preserve">Прикладом є справа щодо ДП «Херсонський облавтодор», де суд відмовив у відкритті </w:t>
      </w:r>
      <w:r w:rsidRPr="00511005">
        <w:rPr>
          <w:rFonts w:ascii="Arial" w:eastAsia="Times New Roman" w:hAnsi="Arial" w:cs="Arial"/>
          <w:bCs/>
          <w:szCs w:val="28"/>
          <w:lang w:val="uk-UA" w:eastAsia="ru-RU"/>
        </w:rPr>
        <w:lastRenderedPageBreak/>
        <w:t>провадження, враховуючи окупацію території та знаходження майна в зоні бойових дій[4].</w:t>
      </w:r>
    </w:p>
    <w:p w14:paraId="4F1A86BD" w14:textId="77777777" w:rsidR="003476F8" w:rsidRPr="00511005" w:rsidRDefault="003476F8" w:rsidP="003A292D">
      <w:pPr>
        <w:spacing w:line="264" w:lineRule="auto"/>
        <w:ind w:firstLine="0"/>
        <w:jc w:val="lowKashida"/>
        <w:rPr>
          <w:rFonts w:ascii="Arial" w:eastAsia="Times New Roman" w:hAnsi="Arial" w:cs="Arial"/>
          <w:szCs w:val="28"/>
          <w:lang w:val="uk-UA" w:eastAsia="ru-RU"/>
        </w:rPr>
      </w:pPr>
      <w:r w:rsidRPr="00511005">
        <w:rPr>
          <w:rFonts w:ascii="Arial" w:eastAsia="Times New Roman" w:hAnsi="Arial" w:cs="Arial"/>
          <w:szCs w:val="28"/>
          <w:lang w:val="uk-UA" w:eastAsia="ru-RU"/>
        </w:rPr>
        <w:t>Підсумовуючи, основною матеріально-правовою підставою для банкрутства є фінансова неплатоспроможність боржника, що виявляється у його нездатності своєчасно та в повному обсязі виконати грошові зобов’язання через перевищення їхнього обсягу над ліквідними активами. В умовах воєнного стану додатковою умовою, що свідчить про неплатоспроможність, є знаходження майна боржника на тимчасово окупованих територіях, що унеможливлює задоволення вимог кредиторів. Інститут банкрутства є складним правовим механізмом, спрямованим на забезпечення балансу інтересів боржника та кредиторів у ситуаціях фінансової кризи.</w:t>
      </w:r>
    </w:p>
    <w:p w14:paraId="47AFD255" w14:textId="77777777" w:rsidR="003476F8" w:rsidRPr="00511005" w:rsidRDefault="003476F8" w:rsidP="003A292D">
      <w:pPr>
        <w:spacing w:line="264" w:lineRule="auto"/>
        <w:ind w:firstLine="0"/>
        <w:jc w:val="center"/>
        <w:rPr>
          <w:rFonts w:ascii="Arial" w:eastAsia="Times New Roman" w:hAnsi="Arial" w:cs="Arial"/>
          <w:b/>
          <w:bCs/>
          <w:szCs w:val="28"/>
          <w:lang w:val="uk-UA" w:eastAsia="ru-RU"/>
        </w:rPr>
      </w:pPr>
    </w:p>
    <w:p w14:paraId="3F24E045" w14:textId="22375F8C" w:rsidR="003476F8"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04BC854C"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1.</w:t>
      </w:r>
      <w:r w:rsidRPr="00511005">
        <w:rPr>
          <w:rFonts w:ascii="Arial" w:eastAsia="Times New Roman" w:hAnsi="Arial" w:cs="Arial"/>
          <w:bCs/>
          <w:szCs w:val="28"/>
          <w:lang w:val="uk-UA" w:eastAsia="ru-RU"/>
        </w:rPr>
        <w:t xml:space="preserve">Жуков С.В. Актуальні проблеми процедур банкрутства в Україні та міжнародний досвід врегулювання неплатоспроможності. 2019. № 2. URL: </w:t>
      </w:r>
      <w:hyperlink r:id="rId1531" w:history="1">
        <w:r w:rsidRPr="00511005">
          <w:rPr>
            <w:rFonts w:ascii="Arial" w:eastAsia="Times New Roman" w:hAnsi="Arial" w:cs="Arial"/>
            <w:bCs/>
            <w:szCs w:val="28"/>
            <w:lang w:val="uk-UA" w:eastAsia="ru-RU"/>
          </w:rPr>
          <w:t>https://ekmair.ukma.edu.ua/server/api/core/bitstreams/2900b525-dfb2-</w:t>
        </w:r>
      </w:hyperlink>
    </w:p>
    <w:p w14:paraId="4F5259FF" w14:textId="77777777" w:rsidR="003476F8" w:rsidRPr="00511005" w:rsidRDefault="003476F8" w:rsidP="003A292D">
      <w:pPr>
        <w:widowControl w:val="0"/>
        <w:suppressAutoHyphens/>
        <w:spacing w:line="264" w:lineRule="auto"/>
        <w:ind w:firstLine="0"/>
        <w:rPr>
          <w:rFonts w:ascii="Arial" w:eastAsia="Times New Roman" w:hAnsi="Arial" w:cs="Arial"/>
          <w:kern w:val="1"/>
          <w:szCs w:val="28"/>
          <w:lang w:val="uk-UA" w:eastAsia="ru-RU" w:bidi="fa-IR"/>
        </w:rPr>
      </w:pPr>
      <w:r w:rsidRPr="00511005">
        <w:rPr>
          <w:rFonts w:ascii="Arial" w:eastAsia="Times New Roman" w:hAnsi="Arial" w:cs="Arial"/>
          <w:kern w:val="1"/>
          <w:szCs w:val="28"/>
          <w:lang w:val="uk-UA" w:eastAsia="ru-RU" w:bidi="fa-IR"/>
        </w:rPr>
        <w:t xml:space="preserve">2.Іванова Л.Б. Категорії неспроможності та неплатоспроможності у системі аналітичних процедур антикризового управління боржника. URL: </w:t>
      </w:r>
      <w:hyperlink r:id="rId1532" w:history="1">
        <w:r w:rsidRPr="00511005">
          <w:rPr>
            <w:rFonts w:ascii="Arial" w:eastAsia="Times New Roman" w:hAnsi="Arial" w:cs="Arial"/>
            <w:kern w:val="1"/>
            <w:szCs w:val="28"/>
            <w:lang w:val="uk-UA" w:eastAsia="ru-RU" w:bidi="fa-IR"/>
          </w:rPr>
          <w:t>https://ir.stu.cn.ua/jspui/bitstream/123456789/16781</w:t>
        </w:r>
      </w:hyperlink>
    </w:p>
    <w:p w14:paraId="25537DFB" w14:textId="77777777" w:rsidR="003476F8" w:rsidRPr="00511005" w:rsidRDefault="003476F8" w:rsidP="003A292D">
      <w:pPr>
        <w:widowControl w:val="0"/>
        <w:suppressAutoHyphens/>
        <w:spacing w:line="264" w:lineRule="auto"/>
        <w:ind w:firstLine="0"/>
        <w:rPr>
          <w:rFonts w:ascii="Arial" w:eastAsia="Times New Roman" w:hAnsi="Arial" w:cs="Arial"/>
          <w:kern w:val="1"/>
          <w:szCs w:val="28"/>
          <w:lang w:val="uk-UA" w:eastAsia="ru-RU" w:bidi="fa-IR"/>
        </w:rPr>
      </w:pPr>
      <w:r w:rsidRPr="00511005">
        <w:rPr>
          <w:rFonts w:ascii="Arial" w:eastAsia="Times New Roman" w:hAnsi="Arial" w:cs="Arial"/>
          <w:kern w:val="1"/>
          <w:szCs w:val="28"/>
          <w:lang w:val="uk-UA" w:eastAsia="ru-RU" w:bidi="fa-IR"/>
        </w:rPr>
        <w:t>3.Хомко Л.В., Яновицька А.В. Правове регулювання банкрутства: навчальний посібник. Львів: Львівський державний університет внутрішніх справ, 2022. 280 с.</w:t>
      </w:r>
    </w:p>
    <w:p w14:paraId="0F14C0B5" w14:textId="77777777" w:rsidR="003476F8" w:rsidRPr="00511005" w:rsidRDefault="003476F8" w:rsidP="003A292D">
      <w:pPr>
        <w:widowControl w:val="0"/>
        <w:suppressAutoHyphens/>
        <w:spacing w:line="264" w:lineRule="auto"/>
        <w:ind w:firstLine="0"/>
        <w:rPr>
          <w:rFonts w:ascii="Arial" w:eastAsia="Times New Roman" w:hAnsi="Arial" w:cs="Arial"/>
          <w:kern w:val="1"/>
          <w:szCs w:val="28"/>
          <w:lang w:val="uk-UA" w:eastAsia="ru-RU" w:bidi="fa-IR"/>
        </w:rPr>
      </w:pPr>
      <w:r w:rsidRPr="00511005">
        <w:rPr>
          <w:rFonts w:ascii="Arial" w:eastAsia="Times New Roman" w:hAnsi="Arial" w:cs="Arial"/>
          <w:kern w:val="1"/>
          <w:szCs w:val="28"/>
          <w:lang w:val="uk-UA" w:eastAsia="ru-RU" w:bidi="fa-IR"/>
        </w:rPr>
        <w:t>4.</w:t>
      </w:r>
      <w:r w:rsidRPr="00511005">
        <w:rPr>
          <w:rFonts w:ascii="Arial" w:eastAsia="Times New Roman" w:hAnsi="Arial" w:cs="Arial"/>
          <w:szCs w:val="28"/>
          <w:lang w:val="uk-UA" w:eastAsia="ru-RU"/>
        </w:rPr>
        <w:t xml:space="preserve">Ухвала Господарського суду Одеської області по справі № 916/4958/24 від 15 січня 2025 року. URL: </w:t>
      </w:r>
      <w:hyperlink r:id="rId1533" w:tgtFrame="_blank" w:history="1">
        <w:r w:rsidRPr="00511005">
          <w:rPr>
            <w:rFonts w:ascii="Arial" w:eastAsia="Times New Roman" w:hAnsi="Arial" w:cs="Arial"/>
            <w:szCs w:val="28"/>
            <w:bdr w:val="none" w:sz="0" w:space="0" w:color="auto" w:frame="1"/>
            <w:lang w:val="uk-UA" w:eastAsia="ru-RU"/>
          </w:rPr>
          <w:t>https://reyestr.court.gov.ua/Review/124558953#</w:t>
        </w:r>
      </w:hyperlink>
    </w:p>
    <w:p w14:paraId="2A318DE9" w14:textId="77777777" w:rsidR="003476F8" w:rsidRPr="00511005" w:rsidRDefault="003476F8" w:rsidP="003A292D">
      <w:pPr>
        <w:spacing w:line="264" w:lineRule="auto"/>
        <w:ind w:firstLine="0"/>
        <w:jc w:val="lowKashida"/>
        <w:rPr>
          <w:rFonts w:ascii="Arial" w:eastAsia="Times New Roman" w:hAnsi="Arial" w:cs="Arial"/>
          <w:szCs w:val="28"/>
          <w:lang w:val="uk-UA" w:eastAsia="ru-RU"/>
        </w:rPr>
      </w:pPr>
    </w:p>
    <w:p w14:paraId="4A1DF94A" w14:textId="6308D1D5" w:rsidR="003476F8" w:rsidRPr="00511005" w:rsidRDefault="007B2628" w:rsidP="003A292D">
      <w:pPr>
        <w:spacing w:line="264" w:lineRule="auto"/>
        <w:ind w:firstLine="0"/>
        <w:jc w:val="lowKashida"/>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bCs/>
          <w:szCs w:val="28"/>
          <w:lang w:val="uk-UA" w:eastAsia="ru-RU"/>
        </w:rPr>
        <w:t>банкрутство, господарський суд, провадження у справі, передумови відкриття, матеріально-правові аспекти, неплатоспроможність, заявник, боржник, кредитор, грошові зобов'язання.</w:t>
      </w:r>
    </w:p>
    <w:p w14:paraId="7AF156F5" w14:textId="1AE4D412" w:rsidR="003476F8" w:rsidRPr="00511005" w:rsidRDefault="007B2628" w:rsidP="003A292D">
      <w:pPr>
        <w:spacing w:line="264" w:lineRule="auto"/>
        <w:ind w:firstLine="0"/>
        <w:jc w:val="lowKashida"/>
        <w:rPr>
          <w:rFonts w:ascii="Arial" w:eastAsia="Times New Roman" w:hAnsi="Arial" w:cs="Arial"/>
          <w:bCs/>
          <w:noProof/>
          <w:szCs w:val="28"/>
          <w:lang w:val="uk-UA" w:eastAsia="ru-RU"/>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bCs/>
          <w:noProof/>
          <w:szCs w:val="28"/>
          <w:lang w:val="uk-UA" w:eastAsia="ru-RU"/>
        </w:rPr>
        <w:t>bankruptcy, commercial court, proceedings in the case, prerequisites for opening, substantive legal aspects, insolvency, applicant, debtor, creditor, monetary obligations.</w:t>
      </w:r>
    </w:p>
    <w:p w14:paraId="17A1F55C" w14:textId="1E4026B6" w:rsidR="003476F8" w:rsidRPr="00511005" w:rsidRDefault="007B2628" w:rsidP="003A292D">
      <w:pPr>
        <w:spacing w:line="264" w:lineRule="auto"/>
        <w:ind w:firstLine="0"/>
        <w:jc w:val="lowKashida"/>
        <w:rPr>
          <w:rFonts w:ascii="Arial" w:eastAsia="Times New Roman" w:hAnsi="Arial" w:cs="Arial"/>
          <w:i/>
          <w:iCs/>
          <w:noProof/>
          <w:szCs w:val="28"/>
          <w:lang w:val="uk-UA" w:eastAsia="ru-RU"/>
        </w:rPr>
      </w:pPr>
      <w:r w:rsidRPr="00511005">
        <w:rPr>
          <w:rFonts w:ascii="Arial" w:eastAsia="Times New Roman" w:hAnsi="Arial" w:cs="Arial"/>
          <w:b/>
          <w:bCs/>
          <w:i/>
          <w:iCs/>
          <w:noProof/>
          <w:szCs w:val="28"/>
          <w:lang w:val="uk-UA" w:eastAsia="ru-RU"/>
        </w:rPr>
        <w:t xml:space="preserve">Науковий керівник: </w:t>
      </w:r>
      <w:r w:rsidR="003476F8" w:rsidRPr="00511005">
        <w:rPr>
          <w:rFonts w:ascii="Arial" w:eastAsia="Times New Roman" w:hAnsi="Arial" w:cs="Arial"/>
          <w:i/>
          <w:iCs/>
          <w:noProof/>
          <w:szCs w:val="28"/>
          <w:lang w:val="uk-UA" w:eastAsia="ru-RU"/>
        </w:rPr>
        <w:t>к.ю.н., доцент Добровольська В.В.</w:t>
      </w:r>
    </w:p>
    <w:p w14:paraId="6566AE44" w14:textId="77777777" w:rsidR="00CD458A" w:rsidRDefault="00CD458A" w:rsidP="003A292D">
      <w:pPr>
        <w:spacing w:line="264" w:lineRule="auto"/>
        <w:ind w:firstLine="0"/>
        <w:jc w:val="center"/>
        <w:rPr>
          <w:rFonts w:ascii="Arial" w:eastAsia="Times New Roman" w:hAnsi="Arial" w:cs="Arial"/>
          <w:b/>
          <w:bCs/>
          <w:i/>
          <w:szCs w:val="28"/>
          <w:lang w:val="uk-UA" w:eastAsia="ru-RU"/>
        </w:rPr>
      </w:pPr>
    </w:p>
    <w:p w14:paraId="1E6F6AE2" w14:textId="77777777" w:rsidR="00CD458A" w:rsidRDefault="00CD458A" w:rsidP="003A292D">
      <w:pPr>
        <w:spacing w:line="264" w:lineRule="auto"/>
        <w:ind w:firstLine="0"/>
        <w:jc w:val="center"/>
        <w:rPr>
          <w:rFonts w:ascii="Arial" w:eastAsia="Times New Roman" w:hAnsi="Arial" w:cs="Arial"/>
          <w:b/>
          <w:bCs/>
          <w:i/>
          <w:szCs w:val="28"/>
          <w:lang w:val="uk-UA" w:eastAsia="ru-RU"/>
        </w:rPr>
      </w:pPr>
    </w:p>
    <w:p w14:paraId="3B4E83BE" w14:textId="2F38505A"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bCs/>
          <w:i/>
          <w:szCs w:val="28"/>
          <w:lang w:val="uk-UA" w:eastAsia="ru-RU"/>
        </w:rPr>
        <w:t>Горобець Олег Юрійович, Хомиженко Євгеній Сергійович</w:t>
      </w:r>
    </w:p>
    <w:p w14:paraId="4E20E823"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студенти 4-го курсу факультету цивільної та господарської юстиції</w:t>
      </w:r>
    </w:p>
    <w:p w14:paraId="5F7677EE" w14:textId="7BF9DF9A" w:rsidR="003476F8"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5EE3D0E8"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p>
    <w:p w14:paraId="64D24040" w14:textId="77777777" w:rsidR="003476F8" w:rsidRPr="00511005" w:rsidRDefault="003476F8"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 xml:space="preserve">НЕЕФЕКТИВНИЙ СПОСІБ ЗАХИСТУ ПРАВА: МЕЖІ АКТИВНОЇ УЧАСТІ СУДУ ТА ІНТЕРЕСИ ПОЗИВАЧА </w:t>
      </w:r>
    </w:p>
    <w:p w14:paraId="70F7CDA2"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Під час підготовки позовних вимог вибір способу захисту є ключовою для досягнення бажаного результату. Проте на практиці трапляються випадки </w:t>
      </w:r>
      <w:r w:rsidRPr="00511005">
        <w:rPr>
          <w:rFonts w:ascii="Arial" w:eastAsia="Times New Roman" w:hAnsi="Arial" w:cs="Arial"/>
          <w:szCs w:val="28"/>
          <w:lang w:val="uk-UA" w:eastAsia="ru-RU"/>
        </w:rPr>
        <w:lastRenderedPageBreak/>
        <w:t>коли вибраний спосіб захисту є неефективний, що істотно погіршують становище сторони у справі і призводить до того що мета правосуддя не буде досягнена.</w:t>
      </w:r>
    </w:p>
    <w:p w14:paraId="6D98BFC0"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Дослідження практики Верховного Суду за період 2018–2025 років свідчить, що більшість його постанов, а також рішень судів нижчих інстанцій про відмову в задоволенні позовів на підставі «неефективного способу захисту» обґрунтовуються, зокрема, тим, що «…суб’єкт порушеного права може скористатися не будь-яким, а цілком конкретним способом захисту свого права» [1], що «…право чи інтерес мають бути захищені судом у належний спосіб, який є ефективним» [2], що «…оцінюючи належність обраного позивачем способу захисту…, судам слід виходити із його ефективності…» [3]. </w:t>
      </w:r>
    </w:p>
    <w:p w14:paraId="18012B5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результаті Верховний Суд та суди нижчих інстанцій у своїй практиці активно застосовують підхід, відповідно до якого обрання позивачем неефективного способу захисту порушеного права розглядається як самостійна підстава для відмови у задоволенні позову. При цьому суди вважають, що у разі невідповідності заявленої вимоги критеріям ефективного захисту права чи інтересу, така вимога не підлягає задоволенню. Впровадження зазначеного підходу викликало жваві дискусії серед практикуючих юристів, адвокатів та науковців. Єдиної позиції щодо цього питання немає навіть серед суддів Верховного Суду, що підтверджується наявністю окремих думок суддів Великої Палати у відповідних судових рішеннях [4]. Також це підтверджується ухвалами про передачу справ на розгляд Великої Палати Верховного Суду з метою можливого відступу від раніше сформульованих нею висновків (підходів) щодо відмови у позові на підставі неефективності обраного позивачем способу захисту порушеного права [5].</w:t>
      </w:r>
    </w:p>
    <w:p w14:paraId="7FE8E63F"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Практика Верховного Суду у сфері способів захисту ґрунтується на двох взаємопов’язаних принципах: 1) обраний спосіб захисту має бути як належним, так і ефективним[6]; 2) повинно забезпечуватися дотримання принципу процесуальної економії. Судовий захист має бути повним, а також відповідати вимогам процесуальної економії, що полягає у виключенні потреби в подальшому зверненні до суду для використання додаткових засобів захисту [7].</w:t>
      </w:r>
    </w:p>
    <w:p w14:paraId="24D5F4D3"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Велика Палата Верховного Суду наголосила, що ефективний спосіб захисту повинен у кінцевому підсумку або забезпечити поновлення порушеного права, або, у разі неможливості такого поновлення, гарантувати особі можливість отримання відповідного відшкодування. Таким чином, ефективний судовий захист має бути повним і забезпечувати реалізацію мети здійснення правосуддя та принципу процесуальної економії [8].</w:t>
      </w:r>
    </w:p>
    <w:p w14:paraId="3F1E18E5"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Суддя Верховного Суду у складі Касаційного господарського суду Олена Кібенко висвітлила значення належного та ефективного способу захисту </w:t>
      </w:r>
      <w:r w:rsidRPr="00511005">
        <w:rPr>
          <w:rFonts w:ascii="Arial" w:eastAsia="Times New Roman" w:hAnsi="Arial" w:cs="Arial"/>
          <w:szCs w:val="28"/>
          <w:lang w:val="uk-UA" w:eastAsia="ru-RU"/>
        </w:rPr>
        <w:lastRenderedPageBreak/>
        <w:t>корпоративних прав у контексті досягнення завдань господарського судочинства. У своїй доповіді вона акцентувала на розмежуванні понять "належний спосіб захисту" та "ефективний спосіб захисту". Належний спосіб захисту слід розуміти як такий, що прямо передбачений законом або договором [9]. Аналізуючи судову практику розгляду корпоративних спорів, Олена Кібенко окреслила випадки, у яких спосіб захисту зазвичай визнається неефективним: коли його застосування не призводить до остаточного вирішення спору та породжує необхідність у поданні нових позовів; коли він не забезпечує відновлення порушеного права позивача або призводить до порушення прав третіх осіб.</w:t>
      </w:r>
    </w:p>
    <w:p w14:paraId="00ADE5A8"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наукових працях категорія «ефективності» розглядається як необхідна умова визнання обраного способу захисту належним, причому їй надається статус важливої, а подекуди й обов’язкової характеристики. Зокрема, за переконанням О. О. Кота, вибір способу захисту порушеного права повинен відповідати принципу верховенства права та спрямовуватися на досягнення ефективного захисту сторони у судовому процесі. Застосування судом того чи іншого способу захисту має забезпечувати реальне відновлення прав позивача. Відповідно, кінцевою метою ефективного способу захисту є або поновлення порушеного права, або, у разі неможливості такого поновлення, гарантування позивачу права на отримання належного відшкодування [10, с. 211–212].</w:t>
      </w:r>
    </w:p>
    <w:p w14:paraId="2A50170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Звертаючись до конвенційних провідників нової норми ст. 5 ГПК України, слід зазначити, що Європейський суд з прав людини (ЄСПЛ) закріплює право кожного на ефективний спосіб захисту у національних органах щодо конвенційних прав і свобод. ЄСПЛ у своїй практиці неодноразово наголошував, що національний спосіб захисту для того, щоб вважатися ефективним, має відповідати низці критеріїв: бути незалежним від дискреційних дій державних органів, бути безпосередньо доступним для осіб, яких він стосується [11], бути ефективним як у законі, так і на практиці, зокрема таким, застосування якого не ускладнюється бездіяльністю або діями державних органів [12], а також бути спроможним запобігти порушенню прав або забезпечити належне відшкодування у разі його вчинення [13].</w:t>
      </w:r>
    </w:p>
    <w:p w14:paraId="5D91305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Аналізуючи наведену судову практику, можна зробити висновок, що ЄСПЛ встановлює кілька процесуальних вимог до ефективності національного способу захисту: він має бути доступним та достатнім не лише теоретично, а й на практиці, з урахуванням конкретних обставин кожної справи. Водночас важливо підкреслити, що ефективність такого способу захисту не означає гарантії успішного результату для заявника. У контексті права на ефективний спосіб судового захисту у приватному праві України така особливість проявляється в тому, що обов'язок держави обмежується створенням ефективного механізму захисту, а не забезпеченням </w:t>
      </w:r>
      <w:r w:rsidRPr="00511005">
        <w:rPr>
          <w:rFonts w:ascii="Arial" w:eastAsia="Times New Roman" w:hAnsi="Arial" w:cs="Arial"/>
          <w:szCs w:val="28"/>
          <w:lang w:val="uk-UA" w:eastAsia="ru-RU"/>
        </w:rPr>
        <w:lastRenderedPageBreak/>
        <w:t>позитивного для заявника рішення. Таким чином, ЄСПЛ залишає за національними судами значну свободу розсуду при вирішенні питання щодо застосування ефективних способів захисту.</w:t>
      </w:r>
    </w:p>
    <w:p w14:paraId="25F7ED5B"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szCs w:val="28"/>
          <w:lang w:val="uk-UA" w:eastAsia="ru-RU"/>
        </w:rPr>
        <w:t>Висновки</w:t>
      </w:r>
      <w:r w:rsidRPr="00511005">
        <w:rPr>
          <w:rFonts w:ascii="Arial" w:eastAsia="Times New Roman" w:hAnsi="Arial" w:cs="Arial"/>
          <w:szCs w:val="28"/>
          <w:lang w:val="uk-UA" w:eastAsia="ru-RU"/>
        </w:rPr>
        <w:t>. Практика Верховного Суду, що базується на принципах належності й ефективності способу захисту та принципі процесуальної економії, водночас не забезпечує достатньої правової визначеності, оскільки різні колегії та окремі судді Великої Палати демонструють неоднакові підходи до тлумачення цих принципів. З одного боку, ефективність захисту передбачає відновлення порушеного права або, за неможливості такого відновлення, гарантоване відшкодування; з іншого — відмова через обраний спосіб нерідко призводить до повторних звернень до суду та перевищує межі процесуальної економії.</w:t>
      </w:r>
    </w:p>
    <w:p w14:paraId="33598E55"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 огляду на вказані проблеми доцільним є законодавче уточнення положень статті 5 Господарського процесуального кодексу України. Зокрема, слід передбачити, що у разі неналежного або неефективного вибору способу захисту, виходячи із завдань і принципів судочинства, положень Конвенції про захист прав людини і основоположних свобод, а також практики ЄСПЛ, суд повинен у самому рішенні вказати та застосувати найбільш відповідний метод відновлення порушеного права, а не відмовляти в позові. </w:t>
      </w:r>
    </w:p>
    <w:p w14:paraId="0DB6174B"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1DA84581" w14:textId="1AE826D1" w:rsidR="003476F8"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5B7F349D" w14:textId="77777777" w:rsidR="003476F8" w:rsidRPr="00511005" w:rsidRDefault="003476F8" w:rsidP="003F6A5D">
      <w:pPr>
        <w:numPr>
          <w:ilvl w:val="0"/>
          <w:numId w:val="401"/>
        </w:numPr>
        <w:shd w:val="clear" w:color="auto" w:fill="FFFFFF"/>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Постанова Великої Палати Верховного Суду від 01.10.2019 у справі № 910/3907/18. URL: https://reyestr.court.gov.ua/Review/84788862 (дата звернення: 29.04.2025).</w:t>
      </w:r>
    </w:p>
    <w:p w14:paraId="3A124134" w14:textId="77777777" w:rsidR="003476F8" w:rsidRPr="00511005" w:rsidRDefault="003476F8" w:rsidP="003F6A5D">
      <w:pPr>
        <w:numPr>
          <w:ilvl w:val="0"/>
          <w:numId w:val="401"/>
        </w:numPr>
        <w:shd w:val="clear" w:color="auto" w:fill="FFFFFF"/>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Постанова Великої Палати Верховного Суду від 05.06.2018 у справі № 338/180/17. URL: https://reyestr.court.gov.ua/Review/74963905 (дата звернення: 29.04.2025).</w:t>
      </w:r>
    </w:p>
    <w:p w14:paraId="695C3D62" w14:textId="77777777" w:rsidR="003476F8" w:rsidRPr="00511005" w:rsidRDefault="003476F8" w:rsidP="003F6A5D">
      <w:pPr>
        <w:numPr>
          <w:ilvl w:val="0"/>
          <w:numId w:val="401"/>
        </w:numPr>
        <w:shd w:val="clear" w:color="auto" w:fill="FFFFFF"/>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Постанова Верховного Суду від 14.05.2019 у справі № 910/11511/18. URL: https://reyestr.court.gov.ua/Review/81940535 (дата звернення: 29.04.2025).</w:t>
      </w:r>
    </w:p>
    <w:p w14:paraId="12ABBC1C" w14:textId="77777777" w:rsidR="003476F8" w:rsidRPr="00511005" w:rsidRDefault="003476F8" w:rsidP="003F6A5D">
      <w:pPr>
        <w:numPr>
          <w:ilvl w:val="0"/>
          <w:numId w:val="401"/>
        </w:numPr>
        <w:shd w:val="clear" w:color="auto" w:fill="FFFFFF"/>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Окрема думка суддів Ситнік О. М., Британчука В. В., Гриціва М. І., Прокопенка О. Б. на постанову Великої Палати Верховного Суду від 16.02.2021 у справі № 910/2861/18. URL: https://reyestr.court.gov.ua/Review/95509434 (дата звернення: 28.04.2025).</w:t>
      </w:r>
    </w:p>
    <w:p w14:paraId="615C3A0A" w14:textId="77777777" w:rsidR="003476F8" w:rsidRPr="00511005" w:rsidRDefault="003476F8" w:rsidP="003F6A5D">
      <w:pPr>
        <w:numPr>
          <w:ilvl w:val="0"/>
          <w:numId w:val="401"/>
        </w:numPr>
        <w:shd w:val="clear" w:color="auto" w:fill="FFFFFF"/>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Ухвала Верховного Суду від 19.04.2023 у справі № 592/11227/20. URL: https://reyestr.court.gov.ua/Review/112065397 (дата звернення: 28.04.2025)</w:t>
      </w:r>
    </w:p>
    <w:p w14:paraId="2A2B707E" w14:textId="77777777" w:rsidR="003476F8" w:rsidRPr="00511005" w:rsidRDefault="003476F8" w:rsidP="003F6A5D">
      <w:pPr>
        <w:numPr>
          <w:ilvl w:val="0"/>
          <w:numId w:val="401"/>
        </w:numPr>
        <w:shd w:val="clear" w:color="auto" w:fill="FFFFFF"/>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Постанова Великої Палати Верховного Суду від 22.09.2020 у справі № 910/3009/18. URL: https://reyestr.court.gov.ua/Review/91901363 (дата звернення: 29.04.2025).</w:t>
      </w:r>
    </w:p>
    <w:p w14:paraId="5F8769F6" w14:textId="77777777" w:rsidR="003476F8" w:rsidRPr="00511005" w:rsidRDefault="003476F8" w:rsidP="003F6A5D">
      <w:pPr>
        <w:numPr>
          <w:ilvl w:val="0"/>
          <w:numId w:val="401"/>
        </w:numPr>
        <w:shd w:val="clear" w:color="auto" w:fill="FFFFFF"/>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Постанова Великої Палати Верховного Суду від 19.01.2021 у справі № 916/1415/19. URL: https://reyestr.court.gov.ua/Review/94803669 (дата звернення: 29.04.2025).</w:t>
      </w:r>
    </w:p>
    <w:p w14:paraId="68F8FA8D" w14:textId="77777777" w:rsidR="003476F8" w:rsidRPr="00511005" w:rsidRDefault="003476F8" w:rsidP="003F6A5D">
      <w:pPr>
        <w:numPr>
          <w:ilvl w:val="0"/>
          <w:numId w:val="401"/>
        </w:numPr>
        <w:shd w:val="clear" w:color="auto" w:fill="FFFFFF"/>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Постанова Великої Палати Верховного Суду від 25.01.2022 у справі № 143/591/20. URL: https://reyestr.court.gov.ua/Review/104415080 (дата звернення: 29.04.2025).</w:t>
      </w:r>
    </w:p>
    <w:p w14:paraId="32B0DA8D" w14:textId="77777777" w:rsidR="003476F8" w:rsidRPr="00511005" w:rsidRDefault="003476F8" w:rsidP="003F6A5D">
      <w:pPr>
        <w:numPr>
          <w:ilvl w:val="0"/>
          <w:numId w:val="401"/>
        </w:numPr>
        <w:shd w:val="clear" w:color="auto" w:fill="FFFFFF"/>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Судді Верховного Суду обговорили питання щодо способів захисту порушеного права в господарському судочинстві. Судова Влада України. URL: https://supreme.court.gov.ua/supreme/pres-centr/news/1489416/ (дата звернення: 29.04.2025).</w:t>
      </w:r>
    </w:p>
    <w:p w14:paraId="45BD1935" w14:textId="77777777" w:rsidR="003476F8" w:rsidRPr="00511005" w:rsidRDefault="003476F8" w:rsidP="003F6A5D">
      <w:pPr>
        <w:numPr>
          <w:ilvl w:val="0"/>
          <w:numId w:val="401"/>
        </w:numPr>
        <w:shd w:val="clear" w:color="auto" w:fill="FFFFFF"/>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Кот О. О. Здійснення та захист суб’єктивних цивільних прав: проблеми теорії та судової практики: монографія. Київ: Алерта, 2017. 494 с.</w:t>
      </w:r>
    </w:p>
    <w:p w14:paraId="027CD2C3" w14:textId="77777777" w:rsidR="003476F8" w:rsidRPr="00511005" w:rsidRDefault="003476F8" w:rsidP="003F6A5D">
      <w:pPr>
        <w:numPr>
          <w:ilvl w:val="0"/>
          <w:numId w:val="401"/>
        </w:numPr>
        <w:shd w:val="clear" w:color="auto" w:fill="FFFFFF"/>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Рішення ЄСПЛ від 6 вересня 2005 р. у справі «Гурепка проти України» (Gurepka v. Ukraine), заява № 61406/00. URL: https://surl.li/djhblp.</w:t>
      </w:r>
    </w:p>
    <w:p w14:paraId="09AE216A" w14:textId="77777777" w:rsidR="003476F8" w:rsidRPr="00511005" w:rsidRDefault="003476F8" w:rsidP="003F6A5D">
      <w:pPr>
        <w:numPr>
          <w:ilvl w:val="0"/>
          <w:numId w:val="401"/>
        </w:numPr>
        <w:shd w:val="clear" w:color="auto" w:fill="FFFFFF"/>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Рішення ЄСПЛ від 18 грудня 1996 р. у справі «Аксой проти Туреччини» </w:t>
      </w:r>
      <w:r w:rsidRPr="00511005">
        <w:rPr>
          <w:rFonts w:ascii="Arial" w:eastAsia="Times New Roman" w:hAnsi="Arial" w:cs="Arial"/>
          <w:bCs/>
          <w:szCs w:val="28"/>
          <w:lang w:val="uk-UA" w:eastAsia="ru-RU"/>
        </w:rPr>
        <w:t>(Aksoy v. Turkey)</w:t>
      </w:r>
      <w:r w:rsidRPr="00511005">
        <w:rPr>
          <w:rFonts w:ascii="Arial" w:eastAsia="Times New Roman" w:hAnsi="Arial" w:cs="Arial"/>
          <w:szCs w:val="28"/>
          <w:lang w:val="uk-UA" w:eastAsia="ru-RU"/>
        </w:rPr>
        <w:t>, заява № 21987/93. URL: https://surl.li/tyzxtt.</w:t>
      </w:r>
    </w:p>
    <w:p w14:paraId="7844972E" w14:textId="77777777" w:rsidR="003476F8" w:rsidRPr="00511005" w:rsidRDefault="003476F8" w:rsidP="003F6A5D">
      <w:pPr>
        <w:numPr>
          <w:ilvl w:val="0"/>
          <w:numId w:val="401"/>
        </w:numPr>
        <w:shd w:val="clear" w:color="auto" w:fill="FFFFFF"/>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Рішення ЄСПЛ від 16 травня 2013 р. у справі «Гарнага проти України» (CaseofGarnaga v. Ukraine), заява № 20390/07. URL:https://zakon.rada.gov.ua/go/974_960.</w:t>
      </w:r>
    </w:p>
    <w:p w14:paraId="7A68AEF8"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1D0D46F9" w14:textId="3B13A669" w:rsidR="003476F8" w:rsidRPr="00511005" w:rsidRDefault="003476F8" w:rsidP="003A292D">
      <w:pPr>
        <w:spacing w:line="264" w:lineRule="auto"/>
        <w:ind w:firstLine="0"/>
        <w:rPr>
          <w:rFonts w:ascii="Arial" w:eastAsia="Times New Roman" w:hAnsi="Arial" w:cs="Arial"/>
          <w:szCs w:val="28"/>
          <w:lang w:val="uk-UA" w:eastAsia="ru-RU"/>
        </w:rPr>
      </w:pPr>
      <w:r w:rsidRPr="00CD458A">
        <w:rPr>
          <w:rFonts w:ascii="Arial" w:eastAsia="Times New Roman" w:hAnsi="Arial" w:cs="Arial"/>
          <w:b/>
          <w:i/>
          <w:iCs/>
          <w:szCs w:val="28"/>
          <w:lang w:val="uk-UA" w:eastAsia="ru-RU"/>
        </w:rPr>
        <w:t>Ключові слова</w:t>
      </w:r>
      <w:r w:rsidRPr="00CD458A">
        <w:rPr>
          <w:rFonts w:ascii="Arial" w:eastAsia="Times New Roman" w:hAnsi="Arial" w:cs="Arial"/>
          <w:i/>
          <w:iCs/>
          <w:szCs w:val="28"/>
          <w:lang w:val="uk-UA" w:eastAsia="ru-RU"/>
        </w:rPr>
        <w:t>:</w:t>
      </w:r>
      <w:r w:rsidR="00CD458A">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вибір способу захисту, неефективний спосіб захисту, належний спосіб захисту, ефективність захисту, процесуальна економія.</w:t>
      </w:r>
    </w:p>
    <w:p w14:paraId="21688112" w14:textId="72EC6DA4"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szCs w:val="28"/>
          <w:lang w:val="uk-UA" w:eastAsia="ru-RU"/>
        </w:rPr>
        <w:t>choice of remedy, ineffective remedy, proper remedy, effectiveness of the remedy, procedural economy.</w:t>
      </w:r>
    </w:p>
    <w:p w14:paraId="412C555F" w14:textId="3998EEF3" w:rsidR="003476F8" w:rsidRPr="00511005" w:rsidRDefault="003476F8" w:rsidP="003A292D">
      <w:pPr>
        <w:spacing w:line="264" w:lineRule="auto"/>
        <w:ind w:firstLine="0"/>
        <w:jc w:val="left"/>
        <w:rPr>
          <w:rFonts w:ascii="Arial" w:eastAsia="Times New Roman" w:hAnsi="Arial" w:cs="Arial"/>
          <w:szCs w:val="28"/>
          <w:lang w:val="uk-UA" w:eastAsia="ru-RU"/>
        </w:rPr>
      </w:pPr>
      <w:r w:rsidRPr="00CD458A">
        <w:rPr>
          <w:rFonts w:ascii="Arial" w:eastAsia="Times New Roman" w:hAnsi="Arial" w:cs="Arial"/>
          <w:b/>
          <w:bCs/>
          <w:i/>
          <w:szCs w:val="28"/>
          <w:lang w:val="uk-UA" w:eastAsia="ru-RU"/>
        </w:rPr>
        <w:t>Науковий керівник</w:t>
      </w:r>
      <w:r w:rsidR="00CD458A">
        <w:rPr>
          <w:rFonts w:ascii="Arial" w:eastAsia="Times New Roman" w:hAnsi="Arial" w:cs="Arial"/>
          <w:i/>
          <w:szCs w:val="28"/>
          <w:lang w:val="uk-UA" w:eastAsia="ru-RU"/>
        </w:rPr>
        <w:t>:</w:t>
      </w:r>
      <w:r w:rsidRPr="00511005">
        <w:rPr>
          <w:rFonts w:ascii="Arial" w:eastAsia="Times New Roman" w:hAnsi="Arial" w:cs="Arial"/>
          <w:i/>
          <w:szCs w:val="28"/>
          <w:lang w:val="uk-UA" w:eastAsia="ru-RU"/>
        </w:rPr>
        <w:t xml:space="preserve"> к.ю.н.,</w:t>
      </w:r>
      <w:r w:rsidR="007B2628" w:rsidRPr="00511005">
        <w:rPr>
          <w:rFonts w:ascii="Arial" w:eastAsia="Times New Roman" w:hAnsi="Arial" w:cs="Arial"/>
          <w:i/>
          <w:szCs w:val="28"/>
          <w:lang w:val="uk-UA" w:eastAsia="ru-RU"/>
        </w:rPr>
        <w:t xml:space="preserve"> </w:t>
      </w:r>
      <w:r w:rsidRPr="00511005">
        <w:rPr>
          <w:rFonts w:ascii="Arial" w:eastAsia="Times New Roman" w:hAnsi="Arial" w:cs="Arial"/>
          <w:i/>
          <w:szCs w:val="28"/>
          <w:lang w:val="uk-UA" w:eastAsia="ru-RU"/>
        </w:rPr>
        <w:t>доцент Квасніцька О. О.</w:t>
      </w:r>
    </w:p>
    <w:p w14:paraId="5CD40270"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4C6E763A" w14:textId="77777777" w:rsidR="003476F8" w:rsidRPr="00511005" w:rsidRDefault="003476F8" w:rsidP="003A292D">
      <w:pPr>
        <w:spacing w:line="264" w:lineRule="auto"/>
        <w:ind w:firstLine="0"/>
        <w:jc w:val="lowKashida"/>
        <w:rPr>
          <w:rFonts w:ascii="Arial" w:eastAsia="Times New Roman" w:hAnsi="Arial" w:cs="Arial"/>
          <w:bCs/>
          <w:i/>
          <w:iCs/>
          <w:noProof/>
          <w:szCs w:val="28"/>
          <w:lang w:val="uk-UA" w:eastAsia="ru-RU"/>
        </w:rPr>
      </w:pPr>
    </w:p>
    <w:p w14:paraId="44BA6C5B" w14:textId="33641FF1"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Горовий Владислав Сергійович</w:t>
      </w:r>
    </w:p>
    <w:p w14:paraId="3EDBBE5E" w14:textId="2532420A" w:rsidR="003476F8" w:rsidRPr="00511005" w:rsidRDefault="00CD458A" w:rsidP="003A292D">
      <w:pPr>
        <w:spacing w:line="264" w:lineRule="auto"/>
        <w:ind w:firstLine="0"/>
        <w:jc w:val="center"/>
        <w:rPr>
          <w:rFonts w:ascii="Arial" w:eastAsia="Times New Roman" w:hAnsi="Arial" w:cs="Arial"/>
          <w:szCs w:val="28"/>
          <w:lang w:val="uk-UA" w:eastAsia="ru-RU"/>
        </w:rPr>
      </w:pPr>
      <w:r>
        <w:rPr>
          <w:rFonts w:ascii="Arial" w:eastAsia="Times New Roman" w:hAnsi="Arial" w:cs="Arial"/>
          <w:szCs w:val="28"/>
          <w:lang w:val="uk-UA" w:eastAsia="ru-RU"/>
        </w:rPr>
        <w:t>с</w:t>
      </w:r>
      <w:r w:rsidR="003476F8" w:rsidRPr="00511005">
        <w:rPr>
          <w:rFonts w:ascii="Arial" w:eastAsia="Times New Roman" w:hAnsi="Arial" w:cs="Arial"/>
          <w:szCs w:val="28"/>
          <w:lang w:val="uk-UA" w:eastAsia="ru-RU"/>
        </w:rPr>
        <w:t xml:space="preserve">тудент 3-го курсу </w:t>
      </w:r>
      <w:r w:rsidR="00536AAB" w:rsidRPr="00511005">
        <w:rPr>
          <w:rFonts w:ascii="Arial" w:eastAsia="Times New Roman" w:hAnsi="Arial" w:cs="Arial"/>
          <w:szCs w:val="28"/>
          <w:lang w:val="uk-UA" w:eastAsia="ru-RU"/>
        </w:rPr>
        <w:t>факультету адвокатури та антикорупційної діяльності</w:t>
      </w:r>
    </w:p>
    <w:p w14:paraId="0F22F7CA" w14:textId="01835ACE" w:rsidR="003476F8"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4B88B97A"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p>
    <w:p w14:paraId="574066E5" w14:textId="77777777" w:rsidR="003476F8" w:rsidRPr="00511005" w:rsidRDefault="003476F8"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ПРОБЛЕМИ МОНОПОЛІЗАЦІЇ ТА ЗАХИСТУ КОНКУРЕНЦІЇ В УКРАЇНІ: СУЧАСНИЙ СТАН ТА ПЕРСПЕКТИВИ</w:t>
      </w:r>
    </w:p>
    <w:p w14:paraId="5CB83668"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реаліях глобалізації ринку актуальним залишається питання захисту конкуренції та недопущення монополізації окремими суб’єктами. Монополія перешкоджає розвитку малого та середнього бізнесу, створює штучний дефіцит або профіцит товарів і послуг, маніпулює цінами, що в кінцевому результаті може спричинити загрозу соціального й економічного колапсу суспільства і держави в цілому.</w:t>
      </w:r>
    </w:p>
    <w:p w14:paraId="220C1E1B"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Відповідно до Енциклопедії сучасної України монополія – це виключне право на виробництво, торгівлю, промисли, що належить одній особі, певній групі осіб або державі [1]. </w:t>
      </w:r>
    </w:p>
    <w:p w14:paraId="45EBC1FB"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До системи антимонопольного законодавства належать: Конституція України (стаття 42); Закон України (далі – ЗУ) «Про захист прав споживачів»; «Про Антимонопольний комітет України»; «Про захист від недобросовісної конкуренції»; «Про природні монополії»; «Про захист економічної конкуренції», а також Укази Президента України, акти Кабінету Міністрів України, Антимонопольного комітету України та ін. підзаконні нормативно-правові акти.</w:t>
      </w:r>
    </w:p>
    <w:p w14:paraId="007DA1A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 одного боку, в Україні спостерігається розвиток антимонопольного законодавства, зокрема через внесення змін, передбачених законопроєктом № 5431 «Про внесення змін до деяких законодавчих актів України щодо вдосконалення діяльності Антимонопольного комітету України» [2].</w:t>
      </w:r>
    </w:p>
    <w:p w14:paraId="6EAFA450"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Однак аналіз інформаційного простору дозволяє побачити низку проблем. Так, із 2015 року тривали дискусії щодо визнання компанії ДТЕК монополістом. За повідомленнями з пресконференції Антимонопольного комітету України (далі – АМКУ), за дорученням Національної комісії, що здійснює державне регулювання у сферах енергетики та комунальних послуг, було відкрито відповідну справу [3]. Лише у 2019 році ухвалено рішення, що компанія ДТЕК не є монополістом через відсутність головної ознаки — можливості самостійно встановлювати умови продажу товару та його ціну. Проте питання конкуренції між ДТЕК і «Енергоатомом» залишилося відкритим [4].</w:t>
      </w:r>
    </w:p>
    <w:p w14:paraId="633F7BAF"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Додаткову загрозу для розвитку української економіки становлять транснаціональні корпорації (далі - ТНК), які дедалі більше поширюють свій вплив і створюють ризики для національної економіки. Окрім цього, в Україні залишається високий рівень монополізації внутрішніх ринків. Монопольні структури у багатьох секторах економіки не дозволяють малому та середньому бізнесу розвиватися та конкурувати ані на внутрішньому, ані на міжнародних ринках. Як зазначає О. Бакалинська, без належного регуляторного впливу антимонопольного законодавства забезпечити існування і розвиток добросовісної конкуренції неможливо [5, c. 20].</w:t>
      </w:r>
    </w:p>
    <w:p w14:paraId="1578E03D"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Проблеми монополізації посилюються також несприятливою податковою політикою. Так, за даними на січень 2025 року, в Україні було зареєстровано 21 400 нових фізичних осіб-підприємців, тоді як припинили діяльність рекордні 59 400 ФОПів [6], що негативно впливає на динаміку економічного розвитку [6].</w:t>
      </w:r>
    </w:p>
    <w:p w14:paraId="593F3AB5"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Проаналізувавши вищевикладене, можна дійти наступних висновків. По-перше, антимонопольне законодавство України перебуває у незадовільному стані. По-друге, АМКУ не виконує свою пряму функцію належним чином, що негативно впливає на соціально-економічне життя </w:t>
      </w:r>
      <w:r w:rsidRPr="00511005">
        <w:rPr>
          <w:rFonts w:ascii="Arial" w:eastAsia="Times New Roman" w:hAnsi="Arial" w:cs="Arial"/>
          <w:szCs w:val="28"/>
          <w:lang w:val="uk-UA" w:eastAsia="ru-RU"/>
        </w:rPr>
        <w:lastRenderedPageBreak/>
        <w:t>країни. Крім того, реформи у сфері антимонопольного регулювання проводяться без комплексного підходу, що спричиняє колізії у нормативно-правовому полі та створює перешкоди для розвитку добросовісної конкуренції. Водночас монополія в Україні продовжує існувати у різних секторах економіки, що гальмує розвиток нових бізнесів і призводить до погіршення якості послуг.</w:t>
      </w:r>
    </w:p>
    <w:p w14:paraId="69BC1495"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Вважаємо, що для ефективного виконання функцій антимонопольного законодавства необхідне повне перезавантаження відповідного інституту, із урахуванням реального стану справ (defacto), а не лише формальних приписів (dejure). Важливим аспектом успішної антимонопольної політики є також боротьба з корупцією, адже саме корупційні чинники часто впливають на ухвалення рішень у сфері монополій. Лише за умови суворого дотримання змісту правових норм можливо забезпечити ефективне функціонування держави.</w:t>
      </w:r>
    </w:p>
    <w:p w14:paraId="6F6E885E"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7E728218" w14:textId="60938EF1" w:rsidR="003476F8"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09F5CDFB" w14:textId="77777777" w:rsidR="003476F8" w:rsidRPr="00511005" w:rsidRDefault="003476F8" w:rsidP="003F6A5D">
      <w:pPr>
        <w:numPr>
          <w:ilvl w:val="0"/>
          <w:numId w:val="402"/>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Луць В. В. Монополія. </w:t>
      </w:r>
      <w:r w:rsidRPr="00511005">
        <w:rPr>
          <w:rFonts w:ascii="Arial" w:eastAsia="Calibri" w:hAnsi="Arial" w:cs="Arial"/>
          <w:i/>
          <w:iCs/>
          <w:szCs w:val="28"/>
          <w:lang w:val="uk-UA"/>
        </w:rPr>
        <w:t>Енциклопедія Сучасної України, Том 21</w:t>
      </w:r>
      <w:r w:rsidRPr="00511005">
        <w:rPr>
          <w:rFonts w:ascii="Arial" w:eastAsia="Calibri" w:hAnsi="Arial" w:cs="Arial"/>
          <w:szCs w:val="28"/>
          <w:lang w:val="uk-UA"/>
        </w:rPr>
        <w:t>. URL: </w:t>
      </w:r>
      <w:hyperlink r:id="rId1534" w:tgtFrame="_blank" w:history="1">
        <w:r w:rsidRPr="00511005">
          <w:rPr>
            <w:rFonts w:ascii="Arial" w:eastAsia="Calibri" w:hAnsi="Arial" w:cs="Arial"/>
            <w:szCs w:val="28"/>
            <w:lang w:val="uk-UA"/>
          </w:rPr>
          <w:t>https://esu.com.ua/article-69189</w:t>
        </w:r>
      </w:hyperlink>
      <w:r w:rsidRPr="00511005">
        <w:rPr>
          <w:rFonts w:ascii="Arial" w:eastAsia="Calibri" w:hAnsi="Arial" w:cs="Arial"/>
          <w:szCs w:val="28"/>
          <w:lang w:val="uk-UA"/>
        </w:rPr>
        <w:t> (дата звернення: 26.04.2025).</w:t>
      </w:r>
    </w:p>
    <w:p w14:paraId="35EBC205" w14:textId="77777777" w:rsidR="003476F8" w:rsidRPr="00511005" w:rsidRDefault="003476F8" w:rsidP="003F6A5D">
      <w:pPr>
        <w:numPr>
          <w:ilvl w:val="0"/>
          <w:numId w:val="402"/>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Антимонопольна реформа в дії: переваги та недоліки законопроєкту № 5431 - Юридична Газета. </w:t>
      </w:r>
      <w:r w:rsidRPr="00511005">
        <w:rPr>
          <w:rFonts w:ascii="Arial" w:eastAsia="Calibri" w:hAnsi="Arial" w:cs="Arial"/>
          <w:i/>
          <w:iCs/>
          <w:szCs w:val="28"/>
          <w:lang w:val="uk-UA"/>
        </w:rPr>
        <w:t>Юридична газета – онлайн версія</w:t>
      </w:r>
      <w:r w:rsidRPr="00511005">
        <w:rPr>
          <w:rFonts w:ascii="Arial" w:eastAsia="Calibri" w:hAnsi="Arial" w:cs="Arial"/>
          <w:szCs w:val="28"/>
          <w:lang w:val="uk-UA"/>
        </w:rPr>
        <w:t>. URL: </w:t>
      </w:r>
      <w:hyperlink r:id="rId1535" w:tgtFrame="_blank" w:history="1">
        <w:r w:rsidRPr="00511005">
          <w:rPr>
            <w:rFonts w:ascii="Arial" w:eastAsia="Calibri" w:hAnsi="Arial" w:cs="Arial"/>
            <w:szCs w:val="28"/>
            <w:lang w:val="uk-UA"/>
          </w:rPr>
          <w:t>https://yur-gazeta.com/dumka-eksperta/antimonopolna-reforma-v-diyi-perevagi-ta-nedoliki-zakonoproektu--5431.html</w:t>
        </w:r>
      </w:hyperlink>
      <w:r w:rsidRPr="00511005">
        <w:rPr>
          <w:rFonts w:ascii="Arial" w:eastAsia="Calibri" w:hAnsi="Arial" w:cs="Arial"/>
          <w:szCs w:val="28"/>
          <w:lang w:val="uk-UA"/>
        </w:rPr>
        <w:t> (дата звернення: 26.04.2025).</w:t>
      </w:r>
    </w:p>
    <w:p w14:paraId="307EF742" w14:textId="77777777" w:rsidR="003476F8" w:rsidRPr="00511005" w:rsidRDefault="003476F8" w:rsidP="003F6A5D">
      <w:pPr>
        <w:numPr>
          <w:ilvl w:val="0"/>
          <w:numId w:val="402"/>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Interfax-Ukraine. АМКУ розпочав розслідування щодо монопольного становища енергетичного холдингу «ДТЕК» на ринку електроенергії.URL: </w:t>
      </w:r>
      <w:hyperlink r:id="rId1536" w:history="1">
        <w:r w:rsidRPr="00511005">
          <w:rPr>
            <w:rFonts w:ascii="Arial" w:eastAsia="Calibri" w:hAnsi="Arial" w:cs="Arial"/>
            <w:szCs w:val="28"/>
            <w:lang w:val="uk-UA"/>
          </w:rPr>
          <w:t>https://interfax.com.ua/news/economic/291039-amp.html</w:t>
        </w:r>
      </w:hyperlink>
      <w:r w:rsidRPr="00511005">
        <w:rPr>
          <w:rFonts w:ascii="Arial" w:eastAsia="Calibri" w:hAnsi="Arial" w:cs="Arial"/>
          <w:szCs w:val="28"/>
          <w:lang w:val="uk-UA"/>
        </w:rPr>
        <w:t> (дата звернення: 26.04.2025).</w:t>
      </w:r>
    </w:p>
    <w:p w14:paraId="11E076B9" w14:textId="77777777" w:rsidR="003476F8" w:rsidRPr="00511005" w:rsidRDefault="003476F8" w:rsidP="003F6A5D">
      <w:pPr>
        <w:numPr>
          <w:ilvl w:val="0"/>
          <w:numId w:val="402"/>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ДТЕК не є монополістом на ринку – голова АМКУ. </w:t>
      </w:r>
      <w:r w:rsidRPr="00511005">
        <w:rPr>
          <w:rFonts w:ascii="Arial" w:eastAsia="Calibri" w:hAnsi="Arial" w:cs="Arial"/>
          <w:i/>
          <w:iCs/>
          <w:szCs w:val="28"/>
          <w:lang w:val="uk-UA"/>
        </w:rPr>
        <w:t>УНІАН</w:t>
      </w:r>
      <w:r w:rsidRPr="00511005">
        <w:rPr>
          <w:rFonts w:ascii="Arial" w:eastAsia="Calibri" w:hAnsi="Arial" w:cs="Arial"/>
          <w:szCs w:val="28"/>
          <w:lang w:val="uk-UA"/>
        </w:rPr>
        <w:t>. URL: </w:t>
      </w:r>
      <w:hyperlink r:id="rId1537" w:tgtFrame="_blank" w:history="1">
        <w:r w:rsidRPr="00511005">
          <w:rPr>
            <w:rFonts w:ascii="Arial" w:eastAsia="Calibri" w:hAnsi="Arial" w:cs="Arial"/>
            <w:szCs w:val="28"/>
            <w:lang w:val="uk-UA"/>
          </w:rPr>
          <w:t>https://www.unian.net/economics/energetics/10606890-dtek-ne-yavlyaetsya-monopolistom-na-rynke-glava-antimonopolnogo-komiteta.html</w:t>
        </w:r>
      </w:hyperlink>
      <w:r w:rsidRPr="00511005">
        <w:rPr>
          <w:rFonts w:ascii="Arial" w:eastAsia="Calibri" w:hAnsi="Arial" w:cs="Arial"/>
          <w:szCs w:val="28"/>
          <w:lang w:val="uk-UA"/>
        </w:rPr>
        <w:t> (дата звернення: 26.04.2025).</w:t>
      </w:r>
    </w:p>
    <w:p w14:paraId="6B373F37" w14:textId="77777777" w:rsidR="003476F8" w:rsidRPr="00511005" w:rsidRDefault="003476F8" w:rsidP="003F6A5D">
      <w:pPr>
        <w:numPr>
          <w:ilvl w:val="0"/>
          <w:numId w:val="402"/>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Чергова доповідь Генерального Секретаря про місію Організації Об’єднаних Націй з надання допомоги Руанді від 08.08.1995 р. S/1995/678 / United Nations digital library. URL: https:// digitallibrary.un.org/record/199424/files/S_1995_ 678-RU.pdf (дата звернення: 26.04.2025).</w:t>
      </w:r>
    </w:p>
    <w:p w14:paraId="41812108" w14:textId="77777777" w:rsidR="003476F8" w:rsidRPr="00511005" w:rsidRDefault="003476F8" w:rsidP="003F6A5D">
      <w:pPr>
        <w:numPr>
          <w:ilvl w:val="0"/>
          <w:numId w:val="402"/>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Пикало О. В Україні у січні закрилося втричі більше ФОПів, ніж відкрилося – You Control.Market – Forbes.ua. </w:t>
      </w:r>
      <w:r w:rsidRPr="00511005">
        <w:rPr>
          <w:rFonts w:ascii="Arial" w:eastAsia="Calibri" w:hAnsi="Arial" w:cs="Arial"/>
          <w:i/>
          <w:iCs/>
          <w:szCs w:val="28"/>
          <w:lang w:val="uk-UA"/>
        </w:rPr>
        <w:t>Forbes.ua | Бізнес, мільярдери, новини, фінанси, інвестиції, компанії</w:t>
      </w:r>
      <w:r w:rsidRPr="00511005">
        <w:rPr>
          <w:rFonts w:ascii="Arial" w:eastAsia="Calibri" w:hAnsi="Arial" w:cs="Arial"/>
          <w:szCs w:val="28"/>
          <w:lang w:val="uk-UA"/>
        </w:rPr>
        <w:t xml:space="preserve">. </w:t>
      </w:r>
    </w:p>
    <w:p w14:paraId="11DD1A15" w14:textId="77777777" w:rsidR="003476F8" w:rsidRPr="00511005" w:rsidRDefault="003476F8" w:rsidP="003A292D">
      <w:pPr>
        <w:spacing w:line="264" w:lineRule="auto"/>
        <w:ind w:firstLine="0"/>
        <w:contextualSpacing/>
        <w:rPr>
          <w:rFonts w:ascii="Arial" w:eastAsia="Calibri" w:hAnsi="Arial" w:cs="Arial"/>
          <w:szCs w:val="28"/>
          <w:lang w:val="uk-UA"/>
        </w:rPr>
      </w:pPr>
    </w:p>
    <w:p w14:paraId="6A3E59DD" w14:textId="54680DA7"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val="uk-UA" w:eastAsia="ru-RU"/>
        </w:rPr>
        <w:t xml:space="preserve">глобалізація, конкуренція, монополія, антимонопольне законодавство, корупція, маніпуляція цінами, регуляторна політика </w:t>
      </w:r>
    </w:p>
    <w:p w14:paraId="750A6300" w14:textId="23652CF2"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lastRenderedPageBreak/>
        <w:t xml:space="preserve">Key words: </w:t>
      </w:r>
      <w:r w:rsidR="003476F8" w:rsidRPr="00511005">
        <w:rPr>
          <w:rFonts w:ascii="Arial" w:eastAsia="Times New Roman" w:hAnsi="Arial" w:cs="Arial"/>
          <w:szCs w:val="28"/>
          <w:lang w:val="uk-UA" w:eastAsia="ru-RU"/>
        </w:rPr>
        <w:t>globalization, competition, monopoly, antitrust law, corruption, price manipulation, regulatory policy</w:t>
      </w:r>
    </w:p>
    <w:p w14:paraId="2A84F089" w14:textId="5DB787A4" w:rsidR="003476F8" w:rsidRPr="00511005" w:rsidRDefault="007B2628" w:rsidP="003A292D">
      <w:pPr>
        <w:spacing w:line="264" w:lineRule="auto"/>
        <w:ind w:firstLine="0"/>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3476F8" w:rsidRPr="00511005">
        <w:rPr>
          <w:rFonts w:ascii="Arial" w:eastAsia="Times New Roman" w:hAnsi="Arial" w:cs="Arial"/>
          <w:i/>
          <w:szCs w:val="28"/>
          <w:lang w:val="uk-UA" w:eastAsia="ru-RU"/>
        </w:rPr>
        <w:t>к.ю.н., доцент Згама А.О.</w:t>
      </w:r>
    </w:p>
    <w:p w14:paraId="490C8339" w14:textId="68CCB781" w:rsidR="003476F8" w:rsidRDefault="003476F8" w:rsidP="003A292D">
      <w:pPr>
        <w:spacing w:line="264" w:lineRule="auto"/>
        <w:ind w:firstLine="0"/>
        <w:rPr>
          <w:rFonts w:ascii="Arial" w:eastAsia="Times New Roman" w:hAnsi="Arial" w:cs="Arial"/>
          <w:szCs w:val="28"/>
          <w:lang w:val="uk-UA" w:eastAsia="ru-RU"/>
        </w:rPr>
      </w:pPr>
    </w:p>
    <w:p w14:paraId="10A8C488" w14:textId="77777777" w:rsidR="00CD458A" w:rsidRPr="00511005" w:rsidRDefault="00CD458A" w:rsidP="003A292D">
      <w:pPr>
        <w:spacing w:line="264" w:lineRule="auto"/>
        <w:ind w:firstLine="0"/>
        <w:rPr>
          <w:rFonts w:ascii="Arial" w:eastAsia="Times New Roman" w:hAnsi="Arial" w:cs="Arial"/>
          <w:szCs w:val="28"/>
          <w:lang w:val="uk-UA" w:eastAsia="ru-RU"/>
        </w:rPr>
      </w:pPr>
    </w:p>
    <w:p w14:paraId="0012F82E" w14:textId="20E769A6"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 xml:space="preserve">Довгонос Іванна Юріївна </w:t>
      </w:r>
    </w:p>
    <w:p w14:paraId="72C7A159" w14:textId="60B58579" w:rsidR="003476F8"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4-го курсу </w:t>
      </w:r>
      <w:r w:rsidR="007B2628" w:rsidRPr="00511005">
        <w:rPr>
          <w:rFonts w:ascii="Arial" w:eastAsia="Times New Roman" w:hAnsi="Arial" w:cs="Arial"/>
          <w:szCs w:val="28"/>
          <w:lang w:val="uk-UA" w:eastAsia="ru-RU"/>
        </w:rPr>
        <w:t>факультету цивільної та господарської юстиції</w:t>
      </w:r>
      <w:r w:rsidR="003476F8" w:rsidRPr="00511005">
        <w:rPr>
          <w:rFonts w:ascii="Arial" w:eastAsia="Times New Roman" w:hAnsi="Arial" w:cs="Arial"/>
          <w:szCs w:val="28"/>
          <w:lang w:val="uk-UA" w:eastAsia="ru-RU"/>
        </w:rPr>
        <w:t xml:space="preserve"> </w:t>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6F85CCB7"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p>
    <w:p w14:paraId="7B0B79FE" w14:textId="77777777" w:rsidR="003476F8" w:rsidRPr="00511005" w:rsidRDefault="003476F8"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СУДОВИЙ АКТИВІЗМ: ПРОГРЕСИВНИЙ ПІДХІД ЧИ ЗАГРОЗА ПРАВОВІЙ ВИЗНАЧЕНОСТІ</w:t>
      </w:r>
    </w:p>
    <w:p w14:paraId="02540CAC"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Одним з найбільших викликів, з яким стикаються судді щодня, полягає у відсутності чітких відповідей у законодавстві на питання, що виникають у судових зверненнях. Зокрема, у випадках, коли порушення прав можуть бути вчинені державними органами, від суддів вимагається не просто ухвалення рішення про задоволення чи відхилення позову, а набагато глибше розуміння та підхід. Тому доцільно проаналізувати таке явище, як «судовий активізм» та виділити його особливості.</w:t>
      </w:r>
    </w:p>
    <w:p w14:paraId="6D76DEA6"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Саме явище розпочало свій шлях значно раніше, ніж було інтерпретовано його суть у 1947 році. Втім, попри тривале знайомство з ним як у наукових колах, так і у практичних площинах, усталеного визначення досі не вироблено, так само, як і немає єдиної позиції щодо нього. Хоча частина експертів вважає судовий активізм невіддільною частиною роботи судів, інші критикують їх за перебирання функцій законодавчої та виконавчої гілок влади. Межа втручання у правове врегулювання конкретних суспільних відносин з метою захисту порушених прав часто буває майже непомітною, і необхідно мати високий рівень правничої підготовки, щоб відшукати рівновагу між потребою у судовій стриманості або, навпаки, у судовому активізмі.</w:t>
      </w:r>
    </w:p>
    <w:p w14:paraId="0448810B"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Попри те, що судова активність виникла у державах загального права, де суди традиційно наділені більшими компетенціями, аніж у країнах континентального права через практику прецедентів, явище судового активізму давно вже існує й активно розвивається і в державах континентальної системи права, зокрема в Україні.Окрім цього, внесенням змін до Конституції України від 02 червня 2016 року наша держава остаточно відмовилась від позитивістського бачення судового рішення та розпочала фінальний перехід до утвердження верховенства права через вимоги, що висуваються до судового рішення: в новій редакції ст. 129 наголошує, що суддя, здійснюючи правосуддя, є незалежним і підпорядковується лише верховенству права [1]. </w:t>
      </w:r>
    </w:p>
    <w:p w14:paraId="6C8B3B6A" w14:textId="77777777" w:rsidR="003476F8" w:rsidRPr="00511005" w:rsidRDefault="003476F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szCs w:val="28"/>
          <w:lang w:val="uk-UA" w:eastAsia="ru-RU"/>
        </w:rPr>
        <w:t xml:space="preserve">Найбільша увага питанню окреслення суддівського активізму зосереджена в сфері конституційного права. Відповідна діяльність суддів, спрямована на </w:t>
      </w:r>
      <w:r w:rsidRPr="00511005">
        <w:rPr>
          <w:rFonts w:ascii="Arial" w:eastAsia="Times New Roman" w:hAnsi="Arial" w:cs="Arial"/>
          <w:szCs w:val="28"/>
          <w:lang w:val="uk-UA" w:eastAsia="ru-RU"/>
        </w:rPr>
        <w:lastRenderedPageBreak/>
        <w:t xml:space="preserve">тлумачення конституційних норм, перебуває під пильним наглядом політиків, та в разі значного відходу від буквального сенсу конституційної норми судді потрапляють під гостру критику за надмірно активну діяльність [2, с. 66]. Зокрема, варто відзначити окрему думку судді КСУ Лемака В.В. стосовно </w:t>
      </w:r>
      <w:r w:rsidRPr="00511005">
        <w:rPr>
          <w:rFonts w:ascii="Arial" w:eastAsia="Times New Roman" w:hAnsi="Arial" w:cs="Arial"/>
          <w:bCs/>
          <w:szCs w:val="28"/>
          <w:lang w:val="uk-UA" w:eastAsia="ru-RU"/>
        </w:rPr>
        <w:t xml:space="preserve">ухвали про закриття конституційного провадження у справі щодо відповідності Конституції України (конституційності) положень підпункту 17 пункту 10 постанови Кабінету Міністрів України «Про встановлення карантину та запровадження посилених протиепідемічних заходів на території із значним поширенням гострої респіраторної хвороби COVID-19, спричиненої коронавірусомSARS-CoV-2» від 22 липня 2020 року № 641 зі змінами, де він вказує, що « «судовий активізм» як явище здатне скеровувати Суд до помилкових висновків, якщо не підкріплене вагомими обґрунтуваннями та не торкається сфери захисту прав людини» [3]. На підтримку цього явища суддя зазначає, що в жодному разі положення законодавчого акта не повинно ускладнювати реалізацію Конституційним Судом його конституційних функцій. У разі ймовірності такого сценарію, відповідна норма повинна бути об’єктом конституційної перевірки. Допустити протилежне буде рівнозначно визнанню залежності реалізації конституційних повноважень Суду, зокрема, визначення їх меж, від волі законодавчої влади [3]. Протилежної думки дотримується А. Ватаманюк: «Судовий активізм окреслює складну, змінну, проте обов’язкову лінію розмежування між політичною діяльністю та сферою права. Перетинаючи цю межу, втручаючись у сферу, що їй не властива, суддя, судовий орган або ж судова гілка влади загалом ризикують, розширюючи свої повноваження, віддаляючись від власних принципів та потрапляючи під вплив небезпечних факторів, таких як: особисті переконання, симпатії, особисті інтереси або ж політичні стратегії» [4, с. 92]. </w:t>
      </w:r>
    </w:p>
    <w:p w14:paraId="34734918" w14:textId="77777777" w:rsidR="003476F8" w:rsidRPr="00511005" w:rsidRDefault="003476F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Таким чином, не завжди судовий активізм є обгрунтованим, оскільки таке повноваження судді може виявитися лише інструментом для маніпуляцій з метою ухвалення рішень, вигідних для самого судді чи конкретної групи людей. Відтак, необхідно досліджувати в кожній конкретній ситуації необхідність встановлення нових правил через ухвалення судового рішення або ж анулювання нормативно-правових актів, виданих іншими гілками влади. Така потреба може бути виправдана суспільним інтересом, відсутністю правового регулювання, застарілістю чи низькою ефективністю наявних нормативних норм, проте в жодному разі – не зловживанням наданим судді правом.</w:t>
      </w:r>
    </w:p>
    <w:p w14:paraId="45C7F3A9" w14:textId="77777777" w:rsidR="003476F8" w:rsidRPr="00511005" w:rsidRDefault="003476F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Досить суперечливим щодо явища судового активізму є постанова Великої Палати Верховного Суду від 2 липня 2019 року у справі №916/3006/17, де суд дійшов висновку, що загальний термін для звернення до нотаріуса із заявою про вчинення виконавчого напису складає три роки, незалежно від суб’єктного складу учасників правовідносин. У ситуації, коли для потреби, </w:t>
      </w:r>
      <w:r w:rsidRPr="00511005">
        <w:rPr>
          <w:rFonts w:ascii="Arial" w:eastAsia="Times New Roman" w:hAnsi="Arial" w:cs="Arial"/>
          <w:bCs/>
          <w:szCs w:val="28"/>
          <w:lang w:val="uk-UA" w:eastAsia="ru-RU"/>
        </w:rPr>
        <w:lastRenderedPageBreak/>
        <w:t xml:space="preserve">що лежить в основі виконавчого напису, законодавство визначає інший термін позовної давності, виконавчий напис оформлюється у межах цього терміну [5]. Тобто, Верховний суд фактично змінив умови ст. 88 ЗУ «Про нотаріат», де для юридичних осіб нотаріус може вчинити виконавчий напис тільки якщо не минуло одного року з дня виконання зобов’язання. Варто вказати, що дане рішення виявило різні погляди правників з даного питання та загалом щодо судового активізму. </w:t>
      </w:r>
    </w:p>
    <w:p w14:paraId="22DB8159" w14:textId="77777777" w:rsidR="003476F8" w:rsidRPr="00511005" w:rsidRDefault="003476F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Зокрема, дана постанова була оскаржена до ЄСПЛ у справі «Ukrkava, TOV v. Ukraine». На думку ЄСПЛ, опорюване свіже трактування радше скидалося на зміну законодавства, ніж на залагодження розбіжностей у судовій практиці. ЄСПЛ наголошує, що суд у цій ситуації переступив межі судової компетенції – не просто привів підходи до спільного знаменника, а фактично замінив законодавчий орган, трансформувавши суть чинної норми. ЄСПЛ підкреслює, що суд може переглянути тлумачення, але лише за наявності переконливих аргументів, таких як негативні наслідки попередньої практики. У даному випадку таких аргументів не було представлено[6].</w:t>
      </w:r>
    </w:p>
    <w:p w14:paraId="59FDFCD6" w14:textId="77777777" w:rsidR="003476F8" w:rsidRPr="00511005" w:rsidRDefault="003476F8" w:rsidP="003A292D">
      <w:pPr>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Варто зазначити, що рішення ЄСПЛ у цій справі має велике значення для майбутнього української судової системи. Передусім, воно є сигналом про необхідність дотримання засад юридичної визначеності. По-друге, підкреслюється обмеженість суддівського активізму, з наголосом на тому, що зміни в трактуванні законів повинні бути передбачуваними та обґрунтованими.Це рішення – важливий урок для вітчизняних судів. Воно демонструє, що намагання уніфікувати правозастосування не може суперечити фундаментальним принципам права, особливо в ситуаціях, коли мова йде про однозначно сформульовані законодавчі норми. Незалежність судової гілки влади – це не просто абстрактне поняття, а важливий аспект для гарантування демократії. Тому вважаємо, що явище судового активізму має потенціал прогресивного інструменту тільки за умов відсутності зловживань та застосування лише в сферах, де існує спірне законодавство, в іншому випадку він може становити загрозу правовій стабільності. </w:t>
      </w:r>
    </w:p>
    <w:p w14:paraId="7FD97ED8" w14:textId="77777777" w:rsidR="003476F8" w:rsidRPr="00511005" w:rsidRDefault="003476F8" w:rsidP="003A292D">
      <w:pPr>
        <w:spacing w:line="264" w:lineRule="auto"/>
        <w:ind w:firstLine="0"/>
        <w:rPr>
          <w:rFonts w:ascii="Arial" w:eastAsia="Times New Roman" w:hAnsi="Arial" w:cs="Arial"/>
          <w:bCs/>
          <w:szCs w:val="28"/>
          <w:lang w:val="uk-UA" w:eastAsia="ru-RU"/>
        </w:rPr>
      </w:pPr>
    </w:p>
    <w:p w14:paraId="55E43441" w14:textId="7A2B39DD" w:rsidR="003476F8"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2EB59155" w14:textId="77777777" w:rsidR="003476F8" w:rsidRPr="00511005" w:rsidRDefault="003476F8" w:rsidP="003A292D">
      <w:pPr>
        <w:spacing w:line="264" w:lineRule="auto"/>
        <w:ind w:firstLine="0"/>
        <w:jc w:val="center"/>
        <w:rPr>
          <w:rFonts w:ascii="Arial" w:eastAsia="Times New Roman" w:hAnsi="Arial" w:cs="Arial"/>
          <w:b/>
          <w:bCs/>
          <w:szCs w:val="28"/>
          <w:lang w:val="uk-UA" w:eastAsia="ru-RU"/>
        </w:rPr>
      </w:pPr>
    </w:p>
    <w:p w14:paraId="06953D0E" w14:textId="77777777" w:rsidR="003476F8" w:rsidRPr="00511005" w:rsidRDefault="003476F8" w:rsidP="003F6A5D">
      <w:pPr>
        <w:numPr>
          <w:ilvl w:val="0"/>
          <w:numId w:val="403"/>
        </w:numPr>
        <w:spacing w:line="264" w:lineRule="auto"/>
        <w:ind w:left="0" w:firstLine="357"/>
        <w:contextualSpacing/>
        <w:jc w:val="left"/>
        <w:rPr>
          <w:rFonts w:ascii="Arial" w:eastAsia="Calibri" w:hAnsi="Arial" w:cs="Arial"/>
          <w:szCs w:val="28"/>
          <w:lang w:val="uk-UA"/>
        </w:rPr>
      </w:pPr>
      <w:r w:rsidRPr="00511005">
        <w:rPr>
          <w:rFonts w:ascii="Arial" w:eastAsia="Calibri" w:hAnsi="Arial" w:cs="Arial"/>
          <w:szCs w:val="28"/>
          <w:lang w:val="uk-UA"/>
        </w:rPr>
        <w:t xml:space="preserve">Конституція України: Закон України від 28.06.1996, №254к/96-ВР. </w:t>
      </w:r>
      <w:r w:rsidRPr="00511005">
        <w:rPr>
          <w:rFonts w:ascii="Arial" w:eastAsia="Calibri" w:hAnsi="Arial" w:cs="Arial"/>
          <w:i/>
          <w:szCs w:val="28"/>
          <w:lang w:val="uk-UA"/>
        </w:rPr>
        <w:t>Відомості Верховної Ради України.</w:t>
      </w:r>
      <w:r w:rsidRPr="00511005">
        <w:rPr>
          <w:rFonts w:ascii="Arial" w:eastAsia="Calibri" w:hAnsi="Arial" w:cs="Arial"/>
          <w:szCs w:val="28"/>
          <w:lang w:val="uk-UA"/>
        </w:rPr>
        <w:t xml:space="preserve"> URL: </w:t>
      </w:r>
      <w:hyperlink r:id="rId1538" w:anchor="Text" w:history="1">
        <w:r w:rsidRPr="00511005">
          <w:rPr>
            <w:rFonts w:ascii="Arial" w:eastAsia="Calibri" w:hAnsi="Arial" w:cs="Arial"/>
            <w:szCs w:val="28"/>
            <w:lang w:val="uk-UA"/>
          </w:rPr>
          <w:t>https://zakon.rada.gov.ua/laws/show/254%D0%BA/96-%D0%B2%D1%80#Text</w:t>
        </w:r>
      </w:hyperlink>
      <w:r w:rsidRPr="00511005">
        <w:rPr>
          <w:rFonts w:ascii="Arial" w:eastAsia="Calibri" w:hAnsi="Arial" w:cs="Arial"/>
          <w:szCs w:val="28"/>
          <w:lang w:val="uk-UA"/>
        </w:rPr>
        <w:t xml:space="preserve"> (дата звернення: 22.04.2025).</w:t>
      </w:r>
    </w:p>
    <w:p w14:paraId="2653E707" w14:textId="77777777" w:rsidR="003476F8" w:rsidRPr="00511005" w:rsidRDefault="003476F8" w:rsidP="003F6A5D">
      <w:pPr>
        <w:numPr>
          <w:ilvl w:val="0"/>
          <w:numId w:val="403"/>
        </w:numPr>
        <w:spacing w:line="264" w:lineRule="auto"/>
        <w:ind w:left="0" w:firstLine="357"/>
        <w:contextualSpacing/>
        <w:jc w:val="left"/>
        <w:rPr>
          <w:rFonts w:ascii="Arial" w:eastAsia="Calibri" w:hAnsi="Arial" w:cs="Arial"/>
          <w:szCs w:val="28"/>
          <w:lang w:val="uk-UA"/>
        </w:rPr>
      </w:pPr>
      <w:r w:rsidRPr="00511005">
        <w:rPr>
          <w:rFonts w:ascii="Arial" w:eastAsia="Calibri" w:hAnsi="Arial" w:cs="Arial"/>
          <w:szCs w:val="28"/>
          <w:lang w:val="uk-UA"/>
        </w:rPr>
        <w:t>Летнянчин Л. І. Судовий активізм та судова правотворчість в сучасних правових реаліях України. Конституційна та адміністративна процедура: міжнародний досвід та національна практика. Матеріали Міжнар. наук.-практ. конф. (2 травня 2023р., Чернівці). Чернівці: 2023. С. 62-68.</w:t>
      </w:r>
    </w:p>
    <w:p w14:paraId="7BD2C012" w14:textId="77777777" w:rsidR="003476F8" w:rsidRPr="00511005" w:rsidRDefault="003476F8" w:rsidP="003F6A5D">
      <w:pPr>
        <w:numPr>
          <w:ilvl w:val="0"/>
          <w:numId w:val="403"/>
        </w:numPr>
        <w:spacing w:line="264" w:lineRule="auto"/>
        <w:ind w:left="0" w:firstLine="357"/>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Окрема думка судді Конституційного Суду України Лемака В.В. щодоухвали про закриття конституційного провадження у справі за конституційним поданням 48 народних депутатів України щодо відповідності Конституції України (конституційності) положень підпункту 17 пункту 10 постанови Кабінету Міністрів України «Про встановлення карантину та запровадження посилених протиепідемічних заходів на території із значним поширенням гострої респіраторної хвороби COVID-19, спричиненої коронавірусом SARS-CoV-2» від 22 липня 2020 року № 641 зі змінами: Думка від 25.05.2021, № nb02d710-21. URL: </w:t>
      </w:r>
      <w:hyperlink r:id="rId1539" w:anchor="Text" w:history="1">
        <w:r w:rsidRPr="00511005">
          <w:rPr>
            <w:rFonts w:ascii="Arial" w:eastAsia="Calibri" w:hAnsi="Arial" w:cs="Arial"/>
            <w:szCs w:val="28"/>
            <w:lang w:val="uk-UA"/>
          </w:rPr>
          <w:t>https://zakon.rada.gov.ua/laws/show/nb02d710-21#Text</w:t>
        </w:r>
      </w:hyperlink>
      <w:r w:rsidRPr="00511005">
        <w:rPr>
          <w:rFonts w:ascii="Arial" w:eastAsia="Calibri" w:hAnsi="Arial" w:cs="Arial"/>
          <w:szCs w:val="28"/>
          <w:lang w:val="uk-UA"/>
        </w:rPr>
        <w:t xml:space="preserve"> (дата звернення: 22.04.2025).</w:t>
      </w:r>
    </w:p>
    <w:p w14:paraId="5F1F6C25" w14:textId="6C50545C" w:rsidR="003476F8" w:rsidRPr="00511005" w:rsidRDefault="003476F8" w:rsidP="003F6A5D">
      <w:pPr>
        <w:numPr>
          <w:ilvl w:val="0"/>
          <w:numId w:val="403"/>
        </w:numPr>
        <w:spacing w:line="264" w:lineRule="auto"/>
        <w:ind w:left="0" w:firstLine="357"/>
        <w:contextualSpacing/>
        <w:jc w:val="left"/>
        <w:rPr>
          <w:rFonts w:ascii="Arial" w:eastAsia="Calibri" w:hAnsi="Arial" w:cs="Arial"/>
          <w:szCs w:val="28"/>
          <w:lang w:val="uk-UA"/>
        </w:rPr>
      </w:pPr>
      <w:r w:rsidRPr="00511005">
        <w:rPr>
          <w:rFonts w:ascii="Arial" w:eastAsia="Calibri" w:hAnsi="Arial" w:cs="Arial"/>
          <w:szCs w:val="28"/>
          <w:lang w:val="uk-UA"/>
        </w:rPr>
        <w:t xml:space="preserve">Ватаманюк А. Конституційний діалог та судовий активізм. </w:t>
      </w:r>
      <w:r w:rsidRPr="00511005">
        <w:rPr>
          <w:rFonts w:ascii="Arial" w:eastAsia="Calibri" w:hAnsi="Arial" w:cs="Arial"/>
          <w:i/>
          <w:szCs w:val="28"/>
          <w:lang w:val="uk-UA"/>
        </w:rPr>
        <w:t>Науковий вісник Ужгородського університету: серія: Право</w:t>
      </w:r>
      <w:r w:rsidRPr="00511005">
        <w:rPr>
          <w:rFonts w:ascii="Arial" w:eastAsia="Calibri" w:hAnsi="Arial" w:cs="Arial"/>
          <w:szCs w:val="28"/>
          <w:lang w:val="uk-UA"/>
        </w:rPr>
        <w:t>. Ужгород, 2023. Т. 1. Вип. 78.</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 90-93.</w:t>
      </w:r>
    </w:p>
    <w:p w14:paraId="5384C026" w14:textId="77777777" w:rsidR="003476F8" w:rsidRPr="00511005" w:rsidRDefault="003476F8" w:rsidP="003F6A5D">
      <w:pPr>
        <w:numPr>
          <w:ilvl w:val="0"/>
          <w:numId w:val="403"/>
        </w:numPr>
        <w:spacing w:line="264" w:lineRule="auto"/>
        <w:ind w:left="0" w:firstLine="357"/>
        <w:contextualSpacing/>
        <w:jc w:val="left"/>
        <w:rPr>
          <w:rFonts w:ascii="Arial" w:eastAsia="Calibri" w:hAnsi="Arial" w:cs="Arial"/>
          <w:szCs w:val="28"/>
          <w:lang w:val="uk-UA"/>
        </w:rPr>
      </w:pPr>
      <w:r w:rsidRPr="00511005">
        <w:rPr>
          <w:rFonts w:ascii="Arial" w:eastAsia="Calibri" w:hAnsi="Arial" w:cs="Arial"/>
          <w:bCs/>
          <w:szCs w:val="28"/>
          <w:lang w:val="uk-UA"/>
        </w:rPr>
        <w:t xml:space="preserve">Постанова Великої Палати Верховного Суду від 2 липня 2019 року у справі №916/3006/17. </w:t>
      </w:r>
      <w:r w:rsidRPr="00511005">
        <w:rPr>
          <w:rFonts w:ascii="Arial" w:eastAsia="Calibri" w:hAnsi="Arial" w:cs="Arial"/>
          <w:bCs/>
          <w:i/>
          <w:szCs w:val="28"/>
          <w:lang w:val="uk-UA"/>
        </w:rPr>
        <w:t>Єдиний державний реєстр судових рішень.</w:t>
      </w:r>
      <w:r w:rsidRPr="00511005">
        <w:rPr>
          <w:rFonts w:ascii="Arial" w:eastAsia="Calibri" w:hAnsi="Arial" w:cs="Arial"/>
          <w:bCs/>
          <w:szCs w:val="28"/>
          <w:lang w:val="uk-UA"/>
        </w:rPr>
        <w:t xml:space="preserve">URL: </w:t>
      </w:r>
      <w:hyperlink r:id="rId1540" w:history="1">
        <w:r w:rsidRPr="00511005">
          <w:rPr>
            <w:rFonts w:ascii="Arial" w:eastAsia="Calibri" w:hAnsi="Arial" w:cs="Arial"/>
            <w:bCs/>
            <w:szCs w:val="28"/>
            <w:lang w:val="uk-UA"/>
          </w:rPr>
          <w:t>https://reyestr.court.gov.ua/Review/83589983?fbclid=IwY2xjawJ0ax1leHRuA2FlbQIxMQABHkjb5chRgLUHcqP5yMQ8clagyPfDjXmU3phjMiLamPVH2QcgnKTwUAHmTH2V_aem_7HE9kyjkSo4eLWVDUmt7Pg&amp;sfnsn=mo</w:t>
        </w:r>
      </w:hyperlink>
      <w:r w:rsidRPr="00511005">
        <w:rPr>
          <w:rFonts w:ascii="Arial" w:eastAsia="Calibri" w:hAnsi="Arial" w:cs="Arial"/>
          <w:szCs w:val="28"/>
          <w:lang w:val="uk-UA"/>
        </w:rPr>
        <w:t>(дата звернення: 22.04.2025).</w:t>
      </w:r>
    </w:p>
    <w:p w14:paraId="26CC638C" w14:textId="77777777" w:rsidR="003476F8" w:rsidRPr="00511005" w:rsidRDefault="003476F8" w:rsidP="003F6A5D">
      <w:pPr>
        <w:numPr>
          <w:ilvl w:val="0"/>
          <w:numId w:val="403"/>
        </w:numPr>
        <w:spacing w:line="264" w:lineRule="auto"/>
        <w:ind w:left="0" w:firstLine="357"/>
        <w:contextualSpacing/>
        <w:jc w:val="left"/>
        <w:rPr>
          <w:rFonts w:ascii="Arial" w:eastAsia="Calibri" w:hAnsi="Arial" w:cs="Arial"/>
          <w:szCs w:val="28"/>
          <w:lang w:val="uk-UA"/>
        </w:rPr>
      </w:pPr>
      <w:r w:rsidRPr="00511005">
        <w:rPr>
          <w:rFonts w:ascii="Arial" w:eastAsia="Calibri" w:hAnsi="Arial" w:cs="Arial"/>
          <w:szCs w:val="28"/>
          <w:lang w:val="uk-UA"/>
        </w:rPr>
        <w:t xml:space="preserve">Ukrkava, TOV v. Ukraine: Рішення ЄСПЛ від 06.02.2025 року. URL: </w:t>
      </w:r>
      <w:hyperlink r:id="rId1541" w:anchor="{%22itemid%22:[%22001-241576%22]}" w:history="1">
        <w:r w:rsidRPr="00511005">
          <w:rPr>
            <w:rFonts w:ascii="Arial" w:eastAsia="Calibri" w:hAnsi="Arial" w:cs="Arial"/>
            <w:szCs w:val="28"/>
            <w:lang w:val="uk-UA"/>
          </w:rPr>
          <w:t>https://hudoc.echr.coe.int/eng?fbclid=IwY2xjawJ0bFFleHRuA2FlbQIxMQABHnsN6PRslimwbO6M4ChXZWotD4okg-L_Ck_Rs2lhAcQBap-a7nT7QFtz-Qay_aem_HSX7CTmObJbGXU5F_Qetsg&amp;sfnsn=mo#{%22itemid%22:[%22001-241576%22]}</w:t>
        </w:r>
      </w:hyperlink>
      <w:r w:rsidRPr="00511005">
        <w:rPr>
          <w:rFonts w:ascii="Arial" w:eastAsia="Calibri" w:hAnsi="Arial" w:cs="Arial"/>
          <w:szCs w:val="28"/>
          <w:lang w:val="uk-UA"/>
        </w:rPr>
        <w:t xml:space="preserve"> (дата звернення: 22.04.2025).</w:t>
      </w:r>
    </w:p>
    <w:p w14:paraId="0A13C15D"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32EDB58C" w14:textId="5FE6F37C"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val="uk-UA" w:eastAsia="ru-RU"/>
        </w:rPr>
        <w:t xml:space="preserve">судовий активізм, правова визначеність, судова реформа, суддівська етика, тлумачення законів, судовий прецедент. </w:t>
      </w:r>
    </w:p>
    <w:p w14:paraId="645A8E81" w14:textId="59E0111B"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szCs w:val="28"/>
          <w:lang w:val="uk-UA" w:eastAsia="ru-RU"/>
        </w:rPr>
        <w:t>judicial activism, legal certainty, judicial reform, judicial ethics, interpretation of laws, judicial precedent.</w:t>
      </w:r>
    </w:p>
    <w:p w14:paraId="0119D21E" w14:textId="5BEA986E" w:rsidR="003476F8" w:rsidRPr="00511005" w:rsidRDefault="007B2628" w:rsidP="003A292D">
      <w:pPr>
        <w:spacing w:line="264" w:lineRule="auto"/>
        <w:ind w:firstLine="0"/>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3476F8" w:rsidRPr="00511005">
        <w:rPr>
          <w:rFonts w:ascii="Arial" w:eastAsia="Times New Roman" w:hAnsi="Arial" w:cs="Arial"/>
          <w:i/>
          <w:szCs w:val="28"/>
          <w:lang w:val="uk-UA" w:eastAsia="ru-RU"/>
        </w:rPr>
        <w:t>доц</w:t>
      </w:r>
      <w:r w:rsidR="00B81D8E">
        <w:rPr>
          <w:rFonts w:ascii="Arial" w:eastAsia="Times New Roman" w:hAnsi="Arial" w:cs="Arial"/>
          <w:i/>
          <w:szCs w:val="28"/>
          <w:lang w:val="uk-UA" w:eastAsia="ru-RU"/>
        </w:rPr>
        <w:t>ент</w:t>
      </w:r>
      <w:r w:rsidR="003476F8" w:rsidRPr="00511005">
        <w:rPr>
          <w:rFonts w:ascii="Arial" w:eastAsia="Times New Roman" w:hAnsi="Arial" w:cs="Arial"/>
          <w:i/>
          <w:szCs w:val="28"/>
          <w:lang w:val="uk-UA" w:eastAsia="ru-RU"/>
        </w:rPr>
        <w:t>,</w:t>
      </w:r>
      <w:r w:rsidR="00B81D8E">
        <w:rPr>
          <w:rFonts w:ascii="Arial" w:eastAsia="Times New Roman" w:hAnsi="Arial" w:cs="Arial"/>
          <w:i/>
          <w:szCs w:val="28"/>
          <w:lang w:val="uk-UA" w:eastAsia="ru-RU"/>
        </w:rPr>
        <w:t xml:space="preserve"> </w:t>
      </w:r>
      <w:r w:rsidR="003476F8" w:rsidRPr="00511005">
        <w:rPr>
          <w:rFonts w:ascii="Arial" w:eastAsia="Times New Roman" w:hAnsi="Arial" w:cs="Arial"/>
          <w:i/>
          <w:szCs w:val="28"/>
          <w:lang w:val="uk-UA" w:eastAsia="ru-RU"/>
        </w:rPr>
        <w:t>к.ю.н.,Будурова Г.М.</w:t>
      </w:r>
    </w:p>
    <w:p w14:paraId="52CA3285" w14:textId="77777777" w:rsidR="00B81D8E" w:rsidRDefault="00B81D8E" w:rsidP="003A292D">
      <w:pPr>
        <w:spacing w:line="264" w:lineRule="auto"/>
        <w:ind w:firstLine="0"/>
        <w:jc w:val="center"/>
        <w:rPr>
          <w:rFonts w:ascii="Arial" w:eastAsia="Times New Roman" w:hAnsi="Arial" w:cs="Arial"/>
          <w:b/>
          <w:i/>
          <w:szCs w:val="28"/>
          <w:lang w:val="uk-UA" w:eastAsia="ru-RU"/>
        </w:rPr>
      </w:pPr>
    </w:p>
    <w:p w14:paraId="6845A67D" w14:textId="77777777" w:rsidR="00B81D8E" w:rsidRDefault="00B81D8E" w:rsidP="003A292D">
      <w:pPr>
        <w:spacing w:line="264" w:lineRule="auto"/>
        <w:ind w:firstLine="0"/>
        <w:jc w:val="center"/>
        <w:rPr>
          <w:rFonts w:ascii="Arial" w:eastAsia="Times New Roman" w:hAnsi="Arial" w:cs="Arial"/>
          <w:b/>
          <w:i/>
          <w:szCs w:val="28"/>
          <w:lang w:val="uk-UA" w:eastAsia="ru-RU"/>
        </w:rPr>
      </w:pPr>
    </w:p>
    <w:p w14:paraId="569E87E9" w14:textId="3200EB0A"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Донець Катерина Олексіївна</w:t>
      </w:r>
    </w:p>
    <w:p w14:paraId="5C12D2E0" w14:textId="5310EAAB" w:rsidR="003476F8"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3-го курсу </w:t>
      </w:r>
      <w:r w:rsidR="003476F8" w:rsidRPr="00511005">
        <w:rPr>
          <w:rFonts w:ascii="Arial" w:eastAsia="Times New Roman" w:hAnsi="Arial" w:cs="Arial"/>
          <w:szCs w:val="28"/>
          <w:lang w:val="uk-UA" w:eastAsia="ru-RU"/>
        </w:rPr>
        <w:t>факультету адвокатури та антикорупційної діяльності</w:t>
      </w:r>
    </w:p>
    <w:p w14:paraId="5930B4EA" w14:textId="62374AC8" w:rsidR="003476F8"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3C99512C" w14:textId="77777777" w:rsidR="003476F8" w:rsidRPr="00511005" w:rsidRDefault="003476F8" w:rsidP="003A292D">
      <w:pPr>
        <w:spacing w:line="264" w:lineRule="auto"/>
        <w:ind w:firstLine="0"/>
        <w:jc w:val="center"/>
        <w:rPr>
          <w:rFonts w:ascii="Arial" w:eastAsia="Times New Roman" w:hAnsi="Arial" w:cs="Arial"/>
          <w:i/>
          <w:szCs w:val="28"/>
          <w:lang w:val="uk-UA" w:eastAsia="ru-RU"/>
        </w:rPr>
      </w:pPr>
    </w:p>
    <w:p w14:paraId="60CBC87E" w14:textId="77777777" w:rsidR="003476F8" w:rsidRPr="00511005" w:rsidRDefault="003476F8"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ОСОБЛИВОСТІ УКЛАДЕННЯ ТА ВИКОНАННЯ ДОГОВОРУ ПОСТАВКИ В УМОВАХ ФОРС-МАЖОРУ</w:t>
      </w:r>
    </w:p>
    <w:p w14:paraId="04D77CD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сучасних умовах господарювання, особливо в періоди воєнного стану, пандемій, глобальних криз та непередбачуваних змін у правовому середовищі, питання забезпечення належного виконання договірних </w:t>
      </w:r>
      <w:r w:rsidRPr="00511005">
        <w:rPr>
          <w:rFonts w:ascii="Arial" w:eastAsia="Times New Roman" w:hAnsi="Arial" w:cs="Arial"/>
          <w:szCs w:val="28"/>
          <w:lang w:val="uk-UA" w:eastAsia="ru-RU"/>
        </w:rPr>
        <w:lastRenderedPageBreak/>
        <w:t>зобов’язань набуває особливої актуальності. Одним із найбільш вразливих видів договорів у таких обставинах є договір поставки - ключовий інструмент товарообігу між суб’єктами господарювання.</w:t>
      </w:r>
    </w:p>
    <w:p w14:paraId="59DE041F"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Закон України “Про торгово-промислові палати в Україні” закріплює визначення форс-мажорних обставин – ними є “…надзвичайні та невідворотні обставини, що об’єктивно унеможливлюють виконання зобов’язань, передбачених умовами договору (контракту, угоди тощо), обов’язків згідно із законодавчими та іншими нормативними актами, а саме: загроза війни, збройний конфлікт або серйозна погроза такого конфлікту, включаючи але не обмежуючись ворожими атаками, блокадами…” [1].</w:t>
      </w:r>
    </w:p>
    <w:p w14:paraId="3551114C"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Поняття договору поставки закріплено у ч. 1 ст. 712 ЦК України, згідно з якою - це договір, відповідно до якого продавець (постачальник), який здійснює підприємницьку діяльність, зобов’язується передати у встановлений строк (строки) товар у власність покупця для використання його у підприємницькій діяльності або в інших цілях, не пов’язаних з особистим, сімейним, домашнім або іншим подібним використанням, а покупець зобов’язується прийняти товар і сплатити за нього певну грошову суму [2].</w:t>
      </w:r>
    </w:p>
    <w:p w14:paraId="02116A01"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Введення воєнного стану внаслідок повномасштабного вторгнення російської федерації в Україну вносить значні корективи в порядок укладення та виконання договорів поставки [3, с. 41]. Найбільш актуальною є проблема ведення бойових дій у місцях розташування виробничих об’єктів або складів, знищення підприємств чи врожаю внаслідок обстрілів, проходження маршрутів постачання через окуповані території або зони активних бойових дій, блокування портової інфраструктури, а також наявність загроз життю працівників. Також, для реалізації договору поставки є викликом фінансова нестабільність, ризики банкрутства, спричинені війною тощо.</w:t>
      </w:r>
    </w:p>
    <w:p w14:paraId="711C5039"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За наявності належних доказів, окремі з наведених обставин можуть бути кваліфіковані як форс-мажор, що, у свою чергу, дає можливість стороні договору уникнути відповідальності за невиконання зобов’язань за договором поставки внаслідок дії непередбачуваних і непереборних чинників.</w:t>
      </w:r>
    </w:p>
    <w:p w14:paraId="663E8CD3" w14:textId="7045020B"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Аналіз судової практики дає можливість зробити висновок, що дія воєнного стану на території України не свідчить про неможливість ведення підприємницької діяльності для більшості учасників господарських правовідносин, які є відповідачами у спорах про сплату штрафних санкцій або стягнення збитків за невиконання умов договору,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а самі форс-мажорні обставини не несуть обов'язку автоматичного звільнення від відповідальності. Сторона, яка посилається на форс-мажорні обставини як причину невиконання договірних зобов'язань, має довести, що саме ними було спричинено неможливість виконання умов договору. Тобто, “провести певний причинно-наслідковий зв'язок, такий як: зупинення роботи </w:t>
      </w:r>
      <w:r w:rsidRPr="00511005">
        <w:rPr>
          <w:rFonts w:ascii="Arial" w:eastAsia="Times New Roman" w:hAnsi="Arial" w:cs="Arial"/>
          <w:szCs w:val="28"/>
          <w:lang w:val="uk-UA" w:eastAsia="ru-RU"/>
        </w:rPr>
        <w:lastRenderedPageBreak/>
        <w:t>підприємства у зв’язку із мобілізацією працівників або залучення майнового комплексу підприємства для проведення воєнних заходів, чи неможливість здійснення своєчасної поставки товару внаслідок руйнування транспортної інфраструктури тощо. Проте, якщо суб’єкти господарювання продовжують функціонувати в звичайному режимі в регіонах України, де є можливість безпечного транспортування товару, посилання на форс-мажор є без підставним” [4, с. 27].</w:t>
      </w:r>
    </w:p>
    <w:p w14:paraId="08AD5DA3" w14:textId="6D80671D"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 метою спрощення процедури засвідчення форс-мажорних</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обставин</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28</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лютого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2022</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р. Торгово-промисловою</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палатою</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України було опубліковано офіційний лист, у якому зазначено, що “військова агресія Російської Федерації проти України є форс-мажорною обставиною, та на який можливо послання сторони договору, для якої виконання договірних зобов’язань</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стало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об’єктивно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неможливим внаслідок</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воєнних</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дій</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на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території</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України” [5].</w:t>
      </w:r>
    </w:p>
    <w:p w14:paraId="7DEDE7A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Таким чином, в умовах сучасної реальності, позначеної війною, нестабільністю економіки та зростанням юридичних ризиків, особливості укладення та виконання договору поставки потребують посиленої уваги з боку учасників господарських правовідносин. </w:t>
      </w:r>
    </w:p>
    <w:p w14:paraId="2ADD6077"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Форс-мажорні обставини, хоча й можуть бути підставою для звільнення від відповідальності, не мають автоматичної сили - їх наявність і вплив на виконання зобов’язань мають бути обґрунтовані та підтверджені належними доказами. Водночас законодавство та законодавча практика створюють правові інструменти для захисту добросовісних сторін у разі об’єктивної неможливості виконання договору. Це вимагає від суб’єктів господарювання не лише уважного формулювання умов договорів, а й готовності до оперативного реагування на обставини, які можуть ускладнити або унеможливити їх виконання.</w:t>
      </w:r>
    </w:p>
    <w:p w14:paraId="09CA8AE1"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644C1A43" w14:textId="2C767578" w:rsidR="007B2628"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0A860222" w14:textId="61D2852E" w:rsidR="003476F8" w:rsidRPr="00511005" w:rsidRDefault="003476F8" w:rsidP="003F6A5D">
      <w:pPr>
        <w:numPr>
          <w:ilvl w:val="0"/>
          <w:numId w:val="404"/>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 торгово-промислові палати в Україні : Закон України від 2 грудня 1997 р. № 671/97-ВР // Відомості Верховної Ради України. URL: </w:t>
      </w:r>
      <w:hyperlink r:id="rId1542">
        <w:r w:rsidRPr="00511005">
          <w:rPr>
            <w:rFonts w:ascii="Arial" w:eastAsia="Times New Roman" w:hAnsi="Arial" w:cs="Arial"/>
            <w:szCs w:val="28"/>
            <w:lang w:val="uk-UA" w:eastAsia="ru-RU"/>
          </w:rPr>
          <w:t>https://zakon.rada.gov.ua/laws/show/671/97-вр</w:t>
        </w:r>
      </w:hyperlink>
    </w:p>
    <w:p w14:paraId="520C8B99" w14:textId="77777777" w:rsidR="003476F8" w:rsidRPr="00511005" w:rsidRDefault="003476F8" w:rsidP="003F6A5D">
      <w:pPr>
        <w:numPr>
          <w:ilvl w:val="0"/>
          <w:numId w:val="404"/>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Цивільний кодекс України: Закон України від 16 січня 2003 р. № 435-IV // Відомості Верховної Ради України. URL: </w:t>
      </w:r>
      <w:hyperlink r:id="rId1543">
        <w:r w:rsidRPr="00511005">
          <w:rPr>
            <w:rFonts w:ascii="Arial" w:eastAsia="Times New Roman" w:hAnsi="Arial" w:cs="Arial"/>
            <w:szCs w:val="28"/>
            <w:lang w:val="uk-UA" w:eastAsia="ru-RU"/>
          </w:rPr>
          <w:t>https://zakon.rada.gov.ua/laws/show/435-15</w:t>
        </w:r>
      </w:hyperlink>
    </w:p>
    <w:p w14:paraId="46543DBB" w14:textId="77777777" w:rsidR="003476F8" w:rsidRPr="00511005" w:rsidRDefault="003476F8" w:rsidP="003F6A5D">
      <w:pPr>
        <w:numPr>
          <w:ilvl w:val="0"/>
          <w:numId w:val="404"/>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Лега О.В., Яловега Л.В., Прийдак Т.Б. Договірна політика та податкові ризики в умовах невизначеності // Цифрова економіка та економічна безпека. 2022. Вип. 3 (03). С. 41–46.</w:t>
      </w:r>
    </w:p>
    <w:p w14:paraId="28D0FDE9" w14:textId="77777777" w:rsidR="003476F8" w:rsidRPr="00511005" w:rsidRDefault="003476F8" w:rsidP="003F6A5D">
      <w:pPr>
        <w:numPr>
          <w:ilvl w:val="0"/>
          <w:numId w:val="404"/>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Мілаш В.С. Форс-мажор як підстава звільнення від господарсько-договірної відповідальності // Актуальні проблеми права: теорія і практика. 2023. № 1 (45). С. 21–29.</w:t>
      </w:r>
    </w:p>
    <w:p w14:paraId="74A9985A" w14:textId="77777777" w:rsidR="003476F8" w:rsidRPr="00511005" w:rsidRDefault="003476F8" w:rsidP="003F6A5D">
      <w:pPr>
        <w:numPr>
          <w:ilvl w:val="0"/>
          <w:numId w:val="404"/>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Офіційний лист ТПП України щодо підтвердження форс-мажорних обставин. Торгово-промислова палата України. URL: https://ucci.org.ua</w:t>
      </w:r>
    </w:p>
    <w:p w14:paraId="2946A431"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1615AA12" w14:textId="3E192F90" w:rsidR="003476F8" w:rsidRPr="00511005" w:rsidRDefault="007B2628" w:rsidP="003A292D">
      <w:pPr>
        <w:pBdr>
          <w:top w:val="nil"/>
          <w:left w:val="nil"/>
          <w:bottom w:val="nil"/>
          <w:right w:val="nil"/>
          <w:between w:val="nil"/>
        </w:pBdr>
        <w:spacing w:line="264" w:lineRule="auto"/>
        <w:ind w:firstLine="0"/>
        <w:rPr>
          <w:rFonts w:ascii="Arial" w:eastAsia="Times New Roman" w:hAnsi="Arial" w:cs="Arial"/>
          <w:szCs w:val="28"/>
          <w:lang w:val="uk-UA" w:eastAsia="ru-RU"/>
        </w:rPr>
      </w:pPr>
      <w:bookmarkStart w:id="179" w:name="_heading=h.h71yd4b8vs3r" w:colFirst="0" w:colLast="0"/>
      <w:bookmarkEnd w:id="179"/>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val="uk-UA" w:eastAsia="ru-RU"/>
        </w:rPr>
        <w:t>господарська діяльність, договір поставки, форс-мажор, воєнний стан, збройний конфлікт, відповідальність, зобов’язання, укладення договору, логістика, підприємницька діяльність.</w:t>
      </w:r>
    </w:p>
    <w:p w14:paraId="582A25D7" w14:textId="118948D9" w:rsidR="003476F8" w:rsidRPr="00511005" w:rsidRDefault="007B2628" w:rsidP="003A292D">
      <w:pPr>
        <w:pBdr>
          <w:top w:val="nil"/>
          <w:left w:val="nil"/>
          <w:bottom w:val="nil"/>
          <w:right w:val="nil"/>
          <w:between w:val="nil"/>
        </w:pBd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szCs w:val="28"/>
          <w:lang w:val="uk-UA" w:eastAsia="ru-RU"/>
        </w:rPr>
        <w:t>economic activity, supply contract, force majeure, martial law, armed conflict, responsibility, obligation, conclusionof a contract, logistics, entrepreneurial activity.</w:t>
      </w:r>
    </w:p>
    <w:p w14:paraId="63FA96E0" w14:textId="3787C870" w:rsidR="003476F8" w:rsidRPr="00511005" w:rsidRDefault="007B2628" w:rsidP="003A292D">
      <w:pPr>
        <w:spacing w:line="264" w:lineRule="auto"/>
        <w:ind w:firstLine="0"/>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3476F8" w:rsidRPr="00511005">
        <w:rPr>
          <w:rFonts w:ascii="Arial" w:eastAsia="Times New Roman" w:hAnsi="Arial" w:cs="Arial"/>
          <w:i/>
          <w:szCs w:val="28"/>
          <w:lang w:val="uk-UA" w:eastAsia="ru-RU"/>
        </w:rPr>
        <w:t>к.ю.н., доцент Згама А. О.</w:t>
      </w:r>
    </w:p>
    <w:p w14:paraId="1F7AED30" w14:textId="77777777" w:rsidR="003476F8" w:rsidRPr="00511005" w:rsidRDefault="003476F8" w:rsidP="003A292D">
      <w:pPr>
        <w:spacing w:line="264" w:lineRule="auto"/>
        <w:ind w:firstLine="0"/>
        <w:jc w:val="left"/>
        <w:rPr>
          <w:rFonts w:ascii="Arial" w:eastAsia="Times New Roman" w:hAnsi="Arial" w:cs="Arial"/>
          <w:b/>
          <w:szCs w:val="28"/>
          <w:lang w:val="uk-UA" w:eastAsia="ru-RU"/>
        </w:rPr>
      </w:pPr>
    </w:p>
    <w:p w14:paraId="49EA0DCC" w14:textId="77777777" w:rsidR="003476F8" w:rsidRPr="00511005" w:rsidRDefault="003476F8" w:rsidP="003A292D">
      <w:pPr>
        <w:spacing w:line="264" w:lineRule="auto"/>
        <w:ind w:firstLine="0"/>
        <w:jc w:val="left"/>
        <w:rPr>
          <w:rFonts w:ascii="Arial" w:eastAsia="Times New Roman" w:hAnsi="Arial" w:cs="Arial"/>
          <w:b/>
          <w:szCs w:val="28"/>
          <w:lang w:val="uk-UA" w:eastAsia="ru-RU"/>
        </w:rPr>
      </w:pPr>
    </w:p>
    <w:p w14:paraId="74E85C6B" w14:textId="4B07731E" w:rsidR="003476F8" w:rsidRPr="00511005" w:rsidRDefault="003476F8"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Загнітко Анна Валентинівна</w:t>
      </w:r>
    </w:p>
    <w:p w14:paraId="112E6C29" w14:textId="3B4EAFED" w:rsidR="003476F8" w:rsidRPr="00511005" w:rsidRDefault="00B81D8E" w:rsidP="003A292D">
      <w:pPr>
        <w:spacing w:line="264" w:lineRule="auto"/>
        <w:ind w:firstLine="0"/>
        <w:jc w:val="center"/>
        <w:rPr>
          <w:rFonts w:ascii="Arial" w:eastAsia="Calibri" w:hAnsi="Arial" w:cs="Arial"/>
          <w:szCs w:val="28"/>
          <w:lang w:val="uk-UA"/>
        </w:rPr>
      </w:pPr>
      <w:r>
        <w:rPr>
          <w:rFonts w:ascii="Arial" w:eastAsia="Calibri" w:hAnsi="Arial" w:cs="Arial"/>
          <w:szCs w:val="28"/>
          <w:lang w:val="uk-UA"/>
        </w:rPr>
        <w:t>с</w:t>
      </w:r>
      <w:r w:rsidR="00536AAB" w:rsidRPr="00511005">
        <w:rPr>
          <w:rFonts w:ascii="Arial" w:eastAsia="Calibri" w:hAnsi="Arial" w:cs="Arial"/>
          <w:szCs w:val="28"/>
          <w:lang w:val="uk-UA"/>
        </w:rPr>
        <w:t xml:space="preserve">тудентка 4-го курсу </w:t>
      </w:r>
      <w:r w:rsidR="007B2628" w:rsidRPr="00511005">
        <w:rPr>
          <w:rFonts w:ascii="Arial" w:eastAsia="Calibri" w:hAnsi="Arial" w:cs="Arial"/>
          <w:szCs w:val="28"/>
          <w:lang w:val="uk-UA"/>
        </w:rPr>
        <w:t>факультету цивільної та господарської юстиції</w:t>
      </w:r>
    </w:p>
    <w:p w14:paraId="3CF81AF7" w14:textId="7F20C18A" w:rsidR="003476F8"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152F46CE" w14:textId="77777777" w:rsidR="003476F8" w:rsidRPr="00511005" w:rsidRDefault="003476F8" w:rsidP="003A292D">
      <w:pPr>
        <w:spacing w:line="264" w:lineRule="auto"/>
        <w:ind w:firstLine="0"/>
        <w:rPr>
          <w:rFonts w:ascii="Arial" w:eastAsia="Calibri" w:hAnsi="Arial" w:cs="Arial"/>
          <w:b/>
          <w:szCs w:val="28"/>
          <w:lang w:val="uk-UA"/>
        </w:rPr>
      </w:pPr>
    </w:p>
    <w:p w14:paraId="51BC14D7"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ФІДУЦІАРНІ ОБОВ’ЯЗКИ КЕРІВНИКА ТОВАРИСТВА: СУЧАСНІ ПІДХОДИ ТА СУДОВА ПРАКТИКА</w:t>
      </w:r>
    </w:p>
    <w:p w14:paraId="37786B4D" w14:textId="77777777" w:rsidR="003476F8" w:rsidRPr="00511005" w:rsidRDefault="003476F8" w:rsidP="00B81D8E">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сучасних умовах розвитку корпоративного управління, питання ефективного функціонування керівних органів юридичних осіб, зокрема товариств, набуває особливого значення. З-поміж різноманітних механізмів забезпечення належного управління підприємствами, важливу роль відіграє інститут </w:t>
      </w:r>
      <w:r w:rsidRPr="00511005">
        <w:rPr>
          <w:rFonts w:ascii="Arial" w:eastAsia="Times New Roman" w:hAnsi="Arial" w:cs="Arial"/>
          <w:bCs/>
          <w:szCs w:val="28"/>
          <w:lang w:val="uk-UA" w:eastAsia="uk-UA"/>
        </w:rPr>
        <w:t>фідуціарних обов’язків</w:t>
      </w:r>
      <w:r w:rsidRPr="00511005">
        <w:rPr>
          <w:rFonts w:ascii="Arial" w:eastAsia="Times New Roman" w:hAnsi="Arial" w:cs="Arial"/>
          <w:szCs w:val="28"/>
          <w:lang w:val="uk-UA" w:eastAsia="uk-UA"/>
        </w:rPr>
        <w:t>.</w:t>
      </w:r>
    </w:p>
    <w:p w14:paraId="21B931BB" w14:textId="77777777" w:rsidR="003476F8" w:rsidRPr="00511005" w:rsidRDefault="003476F8" w:rsidP="00B81D8E">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Найбільш зрозуміле визначення поняття фідуціарного зобов’язання випливає з частини 3 статті 92 Цивільного кодексу України, згідно з якою, особа або орган, які відповідно до статуту чи закону представляють інтереси юридичної особи або є членами її колегіального виконавчого органу, мають обов’язки перед цією юридичною особою. Вони повинні діяти у межах своїх повноважень сумлінно, розумно та виключно в інтересах юридичної особи у такий спосіб, який, на їхнє щире переконання, сприяє досягненню цілей діяльності юридичної особи, зокрема уникаючи конфлікту інтересів. Такі самі обов’язки мають і члени наглядової ради або ради директорів, які повинні діяти в інтересах юридичної особи та її власників (акціонерів або учасників).[1]</w:t>
      </w:r>
    </w:p>
    <w:p w14:paraId="58B594B8" w14:textId="77777777" w:rsidR="003476F8" w:rsidRPr="00511005" w:rsidRDefault="003476F8" w:rsidP="00B81D8E">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Концепція фідуціарних обов’язків має глибоке історичне коріння в правових системах країн загального права, де вона сформувалася як доктрина прецедентного права. З часом, її положення стали широко використовуватись у законодавствах країн континентальної правової системи, у тому числі в Україні. [5]</w:t>
      </w:r>
    </w:p>
    <w:p w14:paraId="4917431D" w14:textId="77777777" w:rsidR="003476F8" w:rsidRPr="00511005" w:rsidRDefault="003476F8" w:rsidP="00B81D8E">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Основними компонентами фідуціарних обов’язків у міжнародній практиці є </w:t>
      </w:r>
      <w:r w:rsidRPr="00511005">
        <w:rPr>
          <w:rFonts w:ascii="Arial" w:eastAsia="Times New Roman" w:hAnsi="Arial" w:cs="Arial"/>
          <w:bCs/>
          <w:szCs w:val="28"/>
          <w:lang w:val="uk-UA" w:eastAsia="uk-UA"/>
        </w:rPr>
        <w:t xml:space="preserve">обов’язок дбайливого ставлення (dutyofcare) </w:t>
      </w:r>
      <w:r w:rsidRPr="00511005">
        <w:rPr>
          <w:rFonts w:ascii="Arial" w:eastAsia="Times New Roman" w:hAnsi="Arial" w:cs="Arial"/>
          <w:szCs w:val="28"/>
          <w:lang w:val="uk-UA" w:eastAsia="uk-UA"/>
        </w:rPr>
        <w:t xml:space="preserve">та </w:t>
      </w:r>
      <w:r w:rsidRPr="00511005">
        <w:rPr>
          <w:rFonts w:ascii="Arial" w:eastAsia="Times New Roman" w:hAnsi="Arial" w:cs="Arial"/>
          <w:bCs/>
          <w:szCs w:val="28"/>
          <w:lang w:val="uk-UA" w:eastAsia="uk-UA"/>
        </w:rPr>
        <w:t xml:space="preserve">обов’язок </w:t>
      </w:r>
      <w:r w:rsidRPr="00511005">
        <w:rPr>
          <w:rFonts w:ascii="Arial" w:eastAsia="Times New Roman" w:hAnsi="Arial" w:cs="Arial"/>
          <w:bCs/>
          <w:szCs w:val="28"/>
          <w:lang w:val="uk-UA" w:eastAsia="uk-UA"/>
        </w:rPr>
        <w:lastRenderedPageBreak/>
        <w:t>лояльності (dutyofloyalty)</w:t>
      </w:r>
      <w:r w:rsidRPr="00511005">
        <w:rPr>
          <w:rFonts w:ascii="Arial" w:eastAsia="Times New Roman" w:hAnsi="Arial" w:cs="Arial"/>
          <w:b/>
          <w:szCs w:val="28"/>
          <w:lang w:val="uk-UA" w:eastAsia="uk-UA"/>
        </w:rPr>
        <w:t>.</w:t>
      </w:r>
      <w:r w:rsidRPr="00511005">
        <w:rPr>
          <w:rFonts w:ascii="Arial" w:eastAsia="Times New Roman" w:hAnsi="Arial" w:cs="Arial"/>
          <w:szCs w:val="28"/>
          <w:lang w:val="uk-UA" w:eastAsia="uk-UA"/>
        </w:rPr>
        <w:t xml:space="preserve"> Вони зобов’язують керівників компаній ухвалювати управлінські рішення на основі належної компетентності, ретельного аналізу та з урахуванням виключно інтересів товариства. Значення фідуціарних обов’язків полягає в тому, що вони виконують </w:t>
      </w:r>
      <w:r w:rsidRPr="00511005">
        <w:rPr>
          <w:rFonts w:ascii="Arial" w:eastAsia="Times New Roman" w:hAnsi="Arial" w:cs="Arial"/>
          <w:bCs/>
          <w:szCs w:val="28"/>
          <w:lang w:val="uk-UA" w:eastAsia="uk-UA"/>
        </w:rPr>
        <w:t>запобіжну та контролюючу функції</w:t>
      </w:r>
      <w:r w:rsidRPr="00511005">
        <w:rPr>
          <w:rFonts w:ascii="Arial" w:eastAsia="Times New Roman" w:hAnsi="Arial" w:cs="Arial"/>
          <w:szCs w:val="28"/>
          <w:lang w:val="uk-UA" w:eastAsia="uk-UA"/>
        </w:rPr>
        <w:t>, створюючи правову рамку для оцінки дій директора (чи іншої посадової особи) в разі виникнення збитків або конфлікту інтересів. [4]</w:t>
      </w:r>
    </w:p>
    <w:p w14:paraId="1C769B6F" w14:textId="77777777" w:rsidR="003476F8" w:rsidRPr="00511005" w:rsidRDefault="003476F8" w:rsidP="00B81D8E">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Невиконання фідуціарних обов’язків керівниками та іншими посадовими особами юридичної особи може мати низку юридичних та фактичних наслідків. Насамперед, така особа може бути притягнута до </w:t>
      </w:r>
      <w:r w:rsidRPr="00511005">
        <w:rPr>
          <w:rFonts w:ascii="Arial" w:eastAsia="Times New Roman" w:hAnsi="Arial" w:cs="Arial"/>
          <w:bCs/>
          <w:szCs w:val="28"/>
          <w:lang w:val="uk-UA" w:eastAsia="uk-UA"/>
        </w:rPr>
        <w:t>юридичноївідповідальності</w:t>
      </w:r>
      <w:r w:rsidRPr="00511005">
        <w:rPr>
          <w:rFonts w:ascii="Arial" w:eastAsia="Times New Roman" w:hAnsi="Arial" w:cs="Arial"/>
          <w:szCs w:val="28"/>
          <w:lang w:val="uk-UA" w:eastAsia="uk-UA"/>
        </w:rPr>
        <w:t xml:space="preserve">, що включає обов’язок </w:t>
      </w:r>
      <w:r w:rsidRPr="00511005">
        <w:rPr>
          <w:rFonts w:ascii="Arial" w:eastAsia="Times New Roman" w:hAnsi="Arial" w:cs="Arial"/>
          <w:bCs/>
          <w:szCs w:val="28"/>
          <w:lang w:val="uk-UA" w:eastAsia="uk-UA"/>
        </w:rPr>
        <w:t>відшкодувати збитки</w:t>
      </w:r>
      <w:r w:rsidRPr="00511005">
        <w:rPr>
          <w:rFonts w:ascii="Arial" w:eastAsia="Times New Roman" w:hAnsi="Arial" w:cs="Arial"/>
          <w:b/>
          <w:szCs w:val="28"/>
          <w:lang w:val="uk-UA" w:eastAsia="uk-UA"/>
        </w:rPr>
        <w:t>,</w:t>
      </w:r>
      <w:r w:rsidRPr="00511005">
        <w:rPr>
          <w:rFonts w:ascii="Arial" w:eastAsia="Times New Roman" w:hAnsi="Arial" w:cs="Arial"/>
          <w:szCs w:val="28"/>
          <w:lang w:val="uk-UA" w:eastAsia="uk-UA"/>
        </w:rPr>
        <w:t xml:space="preserve"> завдані компанії внаслідок недобросовісних, необачних або упереджених дій. Угоди, укладені з порушенням фідуціарних обов’язків, зокрема в умовах конфлікту інтересів або з перевищенням повноважень, можуть бути </w:t>
      </w:r>
      <w:r w:rsidRPr="00511005">
        <w:rPr>
          <w:rFonts w:ascii="Arial" w:eastAsia="Times New Roman" w:hAnsi="Arial" w:cs="Arial"/>
          <w:bCs/>
          <w:szCs w:val="28"/>
          <w:lang w:val="uk-UA" w:eastAsia="uk-UA"/>
        </w:rPr>
        <w:t>визнані недійсними</w:t>
      </w:r>
      <w:r w:rsidRPr="00511005">
        <w:rPr>
          <w:rFonts w:ascii="Arial" w:eastAsia="Times New Roman" w:hAnsi="Arial" w:cs="Arial"/>
          <w:szCs w:val="28"/>
          <w:lang w:val="uk-UA" w:eastAsia="uk-UA"/>
        </w:rPr>
        <w:t xml:space="preserve"> у судовому порядку. У деяких випадках порушення таких обов’язків може стати підставою для </w:t>
      </w:r>
      <w:r w:rsidRPr="00511005">
        <w:rPr>
          <w:rFonts w:ascii="Arial" w:eastAsia="Times New Roman" w:hAnsi="Arial" w:cs="Arial"/>
          <w:bCs/>
          <w:szCs w:val="28"/>
          <w:lang w:val="uk-UA" w:eastAsia="uk-UA"/>
        </w:rPr>
        <w:t>відсторонення особи від посади</w:t>
      </w:r>
      <w:r w:rsidRPr="00511005">
        <w:rPr>
          <w:rFonts w:ascii="Arial" w:eastAsia="Times New Roman" w:hAnsi="Arial" w:cs="Arial"/>
          <w:szCs w:val="28"/>
          <w:lang w:val="uk-UA" w:eastAsia="uk-UA"/>
        </w:rPr>
        <w:t xml:space="preserve"> або </w:t>
      </w:r>
      <w:r w:rsidRPr="00511005">
        <w:rPr>
          <w:rFonts w:ascii="Arial" w:eastAsia="Times New Roman" w:hAnsi="Arial" w:cs="Arial"/>
          <w:bCs/>
          <w:szCs w:val="28"/>
          <w:lang w:val="uk-UA" w:eastAsia="uk-UA"/>
        </w:rPr>
        <w:t>дострокового припинення її повноважень</w:t>
      </w:r>
      <w:r w:rsidRPr="00511005">
        <w:rPr>
          <w:rFonts w:ascii="Arial" w:eastAsia="Times New Roman" w:hAnsi="Arial" w:cs="Arial"/>
          <w:b/>
          <w:szCs w:val="28"/>
          <w:lang w:val="uk-UA" w:eastAsia="uk-UA"/>
        </w:rPr>
        <w:t>.</w:t>
      </w:r>
      <w:r w:rsidRPr="00511005">
        <w:rPr>
          <w:rFonts w:ascii="Arial" w:eastAsia="Times New Roman" w:hAnsi="Arial" w:cs="Arial"/>
          <w:szCs w:val="28"/>
          <w:lang w:val="uk-UA" w:eastAsia="uk-UA"/>
        </w:rPr>
        <w:t xml:space="preserve"> Крім того, суд може ухвалити рішення про </w:t>
      </w:r>
      <w:r w:rsidRPr="00511005">
        <w:rPr>
          <w:rFonts w:ascii="Arial" w:eastAsia="Times New Roman" w:hAnsi="Arial" w:cs="Arial"/>
          <w:bCs/>
          <w:szCs w:val="28"/>
          <w:lang w:val="uk-UA" w:eastAsia="uk-UA"/>
        </w:rPr>
        <w:t>заборону обіймати керівні посади</w:t>
      </w:r>
      <w:r w:rsidRPr="00511005">
        <w:rPr>
          <w:rFonts w:ascii="Arial" w:eastAsia="Times New Roman" w:hAnsi="Arial" w:cs="Arial"/>
          <w:szCs w:val="28"/>
          <w:lang w:val="uk-UA" w:eastAsia="uk-UA"/>
        </w:rPr>
        <w:t xml:space="preserve"> в юридичних особах протягом певного строку, особливо якщо порушення мали тяжкі наслідки або були системними. [3]</w:t>
      </w:r>
    </w:p>
    <w:p w14:paraId="0D35BA62" w14:textId="77777777" w:rsidR="003476F8" w:rsidRPr="00511005" w:rsidRDefault="003476F8" w:rsidP="00B81D8E">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Для прикладу, розглянемо Постанову Верховного Суду</w:t>
      </w:r>
      <w:r w:rsidRPr="00511005">
        <w:rPr>
          <w:rFonts w:ascii="Arial" w:eastAsia="Times New Roman" w:hAnsi="Arial" w:cs="Arial"/>
          <w:bCs/>
          <w:szCs w:val="28"/>
          <w:lang w:val="uk-UA" w:eastAsia="uk-UA"/>
        </w:rPr>
        <w:t xml:space="preserve"> у складі палати для розгляду справ щодо корпоративних спорів‚ корпоративних прав та цінних паперів Касаційного господарського суду </w:t>
      </w:r>
      <w:r w:rsidRPr="00511005">
        <w:rPr>
          <w:rFonts w:ascii="Arial" w:eastAsia="Times New Roman" w:hAnsi="Arial" w:cs="Arial"/>
          <w:szCs w:val="28"/>
          <w:lang w:val="uk-UA" w:eastAsia="uk-UA"/>
        </w:rPr>
        <w:t>від</w:t>
      </w:r>
      <w:r w:rsidRPr="00511005">
        <w:rPr>
          <w:rFonts w:ascii="Arial" w:eastAsia="Times New Roman" w:hAnsi="Arial" w:cs="Arial"/>
          <w:bCs/>
          <w:szCs w:val="28"/>
          <w:lang w:val="uk-UA" w:eastAsia="uk-UA"/>
        </w:rPr>
        <w:t xml:space="preserve"> 05 лютого 2024 року по справі №</w:t>
      </w:r>
      <w:r w:rsidRPr="00511005">
        <w:rPr>
          <w:rFonts w:ascii="Arial" w:eastAsia="Times New Roman" w:hAnsi="Arial" w:cs="Arial"/>
          <w:szCs w:val="28"/>
          <w:lang w:val="uk-UA" w:eastAsia="uk-UA"/>
        </w:rPr>
        <w:t xml:space="preserve"> 10/4149/21.[2]</w:t>
      </w:r>
    </w:p>
    <w:p w14:paraId="613BF8E6" w14:textId="505C819A" w:rsidR="003476F8" w:rsidRPr="00511005" w:rsidRDefault="003476F8" w:rsidP="00B81D8E">
      <w:pPr>
        <w:spacing w:line="264" w:lineRule="auto"/>
        <w:rPr>
          <w:rFonts w:ascii="Arial" w:eastAsia="Calibri" w:hAnsi="Arial" w:cs="Arial"/>
          <w:szCs w:val="28"/>
          <w:lang w:val="uk-UA"/>
        </w:rPr>
      </w:pPr>
      <w:r w:rsidRPr="00511005">
        <w:rPr>
          <w:rFonts w:ascii="Arial" w:eastAsia="Calibri" w:hAnsi="Arial" w:cs="Arial"/>
          <w:szCs w:val="28"/>
          <w:lang w:val="uk-UA"/>
        </w:rPr>
        <w:t>Позивач по справі,Фонд гарантування вкладів фізичних осіб заявляв вимоги до членів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керівних колегіальних органів Акціонерного товариства "Артем-Банк" про стягнення шкоди у розмірі 15 938 891,02 грн внаслідок</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порушення фідуціарних обов'язків. Основним пунктом позову була ситуація, яка виникла внаслідок рішення посадових осіб банку про придбання пакету неліквідних цінних паперів ТОВ «Торгімпорт». Ці операції були визнані такими, що не відповідають інтересам банку та призвели до значних фінансових втрат, зокрема, до неплатоспроможності банку. У зв'язку з цим, позивач вимагав стягнення шкоди з відповідачів, стверджуючи, що їхні дії були недобросовісними та порушували їхні обов'язки перед банком.</w:t>
      </w:r>
    </w:p>
    <w:p w14:paraId="54C86B57" w14:textId="77777777" w:rsidR="003476F8" w:rsidRPr="00511005" w:rsidRDefault="003476F8" w:rsidP="00B81D8E">
      <w:pPr>
        <w:spacing w:line="264" w:lineRule="auto"/>
        <w:rPr>
          <w:rFonts w:ascii="Arial" w:eastAsia="Calibri" w:hAnsi="Arial" w:cs="Arial"/>
          <w:szCs w:val="28"/>
          <w:lang w:val="uk-UA"/>
        </w:rPr>
      </w:pPr>
      <w:r w:rsidRPr="00511005">
        <w:rPr>
          <w:rFonts w:ascii="Arial" w:eastAsia="Calibri" w:hAnsi="Arial" w:cs="Arial"/>
          <w:szCs w:val="28"/>
          <w:lang w:val="uk-UA"/>
        </w:rPr>
        <w:t>Згідно з нормами чинного законодавства, для того, щоб довести порушення фідуціарних обов'язків, необхідно надати конкретні докази недобросовісних дій відповідачів. Важливими були не лише факти ухвалення рішення щодо придбання проблемних цінних паперів, а й можливість відповідачів довести, що їхні дії були спрямовані на захист інтересів банку. Тому, суд вимагав від відповідачів спростувати твердження позивача про шкоду, завдану банку, а також довести, що їхні рішення були виправданими з точки зору бізнес-стратегії банку.</w:t>
      </w:r>
    </w:p>
    <w:p w14:paraId="27CAD601" w14:textId="6E305F1B" w:rsidR="003476F8" w:rsidRPr="00511005" w:rsidRDefault="003476F8" w:rsidP="00B81D8E">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Судова практика показує, що наявність причинно-наслідкового зв'язку між діями посадових осіб банку і фінансовими збитками є ключовим елементом для визначення їхньої відповідальності. В даному випадку суд вказав, що незважаючи на можливе втручання інших осіб, зокрема Фонду гарантування вкладів, який проводив процедуру виведення банку з ринку,</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не повинно впливати на оцінку дій відповідачів, які самі несуть відповідальність за порушення фідуціарних обов'язків.</w:t>
      </w:r>
    </w:p>
    <w:p w14:paraId="2B809F55" w14:textId="56A29FF5" w:rsidR="003476F8" w:rsidRPr="00511005" w:rsidRDefault="003476F8" w:rsidP="00B81D8E">
      <w:pPr>
        <w:spacing w:line="264" w:lineRule="auto"/>
        <w:rPr>
          <w:rFonts w:ascii="Arial" w:eastAsia="Calibri" w:hAnsi="Arial" w:cs="Arial"/>
          <w:szCs w:val="28"/>
          <w:lang w:val="uk-UA"/>
        </w:rPr>
      </w:pPr>
      <w:r w:rsidRPr="00511005">
        <w:rPr>
          <w:rFonts w:ascii="Arial" w:eastAsia="Calibri" w:hAnsi="Arial" w:cs="Arial"/>
          <w:szCs w:val="28"/>
          <w:lang w:val="uk-UA"/>
        </w:rPr>
        <w:t>Господарський суд міста Києва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рішенням від 09.08.2022 у справі №910/4149/21 у задоволенні позову Фонду до членів керівних колегіальних органів Акціонерного товариства "Артем-Банк"</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про стягнення шкоди у розмірі 15 938 891,02 грн відмовив повністю. Однак, Північний апеляційний господарський суд постановою від 12.04.2023 вищезазначене рішення скасував та прийняв нове рішення, яким позовні вимоги задовольнив повністю. Стягнув солідарно з Відповідачів заподіяну АТ "Артем-Банк" та його кредиторам шкоду в розмірі 15 938 891,02 грн на користь Фонду.Суд, прийнявши рішення, вказав, що протиправні дії Фондугарантування вкладів фізичних осіб, навіть якщо вони мали місце, не можуть бути підставою для звільнення відповідачів від відповідальності за їхні власні порушення фідуціарних обов'язків. Суд наголосив, що відповідальність за порушення фідуціарних обов'язків не залежить від дій інших органів або осіб, якщо ці дії не безпосередньо пов'язані з порушенням обов'язків відповідачами.</w:t>
      </w:r>
    </w:p>
    <w:p w14:paraId="006D57D9" w14:textId="77777777" w:rsidR="003476F8" w:rsidRPr="00511005" w:rsidRDefault="003476F8" w:rsidP="00B81D8E">
      <w:pPr>
        <w:spacing w:line="264" w:lineRule="auto"/>
        <w:rPr>
          <w:rFonts w:ascii="Arial" w:eastAsia="Calibri" w:hAnsi="Arial" w:cs="Arial"/>
          <w:szCs w:val="28"/>
          <w:lang w:val="uk-UA"/>
        </w:rPr>
      </w:pPr>
      <w:r w:rsidRPr="00511005">
        <w:rPr>
          <w:rFonts w:ascii="Arial" w:eastAsia="Calibri" w:hAnsi="Arial" w:cs="Arial"/>
          <w:szCs w:val="28"/>
          <w:lang w:val="uk-UA"/>
        </w:rPr>
        <w:t>У результаті розгляду справи в касаційному порядку, Верховний Суд підтвердив, що підставою для відмови в задоволенні позовних вимог є доведення відповідачами обставин, які б свідчили про їхню добросовісність та відповідність їх діяльності інтересам банку. Однак, в даному випадку, відповідачі не змогли надати достатньо доказів, щоб спростувати твердження позивача щодо їхніх недобросовісних дій.</w:t>
      </w:r>
    </w:p>
    <w:p w14:paraId="7DCFDCBF" w14:textId="77777777" w:rsidR="003476F8" w:rsidRPr="00511005" w:rsidRDefault="003476F8" w:rsidP="00B81D8E">
      <w:pPr>
        <w:spacing w:line="264" w:lineRule="auto"/>
        <w:rPr>
          <w:rFonts w:ascii="Arial" w:eastAsia="Calibri" w:hAnsi="Arial" w:cs="Arial"/>
          <w:szCs w:val="28"/>
          <w:lang w:val="uk-UA"/>
        </w:rPr>
      </w:pPr>
      <w:r w:rsidRPr="00511005">
        <w:rPr>
          <w:rFonts w:ascii="Arial" w:eastAsia="Calibri" w:hAnsi="Arial" w:cs="Arial"/>
          <w:szCs w:val="28"/>
          <w:lang w:val="uk-UA"/>
        </w:rPr>
        <w:t>Зі змісту частини 2статті 1166 Цивільного кодексу України вбачається, що цивільне законодавство в деліктних зобов`язаннях передбачає презумпцію вини заподіювача шкоди, яка полягає в тому, що наявність вини заподіювача шкоди не підлягає доведенню позивачем, а саме відповідач повинен довести, що в його діях відсутня вина у заподіянні збитків. Суд також зазначив, що питання порушення чи виконання обов'язків Фонду гарантування вкладів не повинні впливати на оцінку дій відповідачів щодо їхньої відповідальності за порушення фідуціарних обов’язків.</w:t>
      </w:r>
    </w:p>
    <w:p w14:paraId="2A547F14" w14:textId="77777777" w:rsidR="003476F8" w:rsidRPr="00511005" w:rsidRDefault="003476F8" w:rsidP="00B81D8E">
      <w:pPr>
        <w:spacing w:line="264" w:lineRule="auto"/>
        <w:rPr>
          <w:rFonts w:ascii="Arial" w:eastAsia="Calibri" w:hAnsi="Arial" w:cs="Arial"/>
          <w:szCs w:val="28"/>
          <w:lang w:val="uk-UA"/>
        </w:rPr>
      </w:pPr>
      <w:r w:rsidRPr="00511005">
        <w:rPr>
          <w:rFonts w:ascii="Arial" w:eastAsia="Calibri" w:hAnsi="Arial" w:cs="Arial"/>
          <w:szCs w:val="28"/>
          <w:lang w:val="uk-UA"/>
        </w:rPr>
        <w:t xml:space="preserve">Аналіз цієї справи свідчить про важливість чіткої регламентації фідуціарних обов'язків посадових осіб банку та необхідність дотримання вимог щодо запобігання ризиковій діяльності. Дії керівників банку, які порушують ці обов'язки, повинні піддаватися суворій оцінці судом, і вони несуть відповідальність за шкоду, завдану внаслідок таких порушень. Крім того, справа наголошує на важливості виведення чітких меж </w:t>
      </w:r>
      <w:r w:rsidRPr="00511005">
        <w:rPr>
          <w:rFonts w:ascii="Arial" w:eastAsia="Calibri" w:hAnsi="Arial" w:cs="Arial"/>
          <w:szCs w:val="28"/>
          <w:lang w:val="uk-UA"/>
        </w:rPr>
        <w:lastRenderedPageBreak/>
        <w:t>відповідальності за діяльність третіх осіб, таких як Фонд гарантування вкладів, та їхнього впливу на результати фінансової діяльності банку.</w:t>
      </w:r>
    </w:p>
    <w:p w14:paraId="069BF2AB" w14:textId="77777777" w:rsidR="003476F8" w:rsidRPr="00511005" w:rsidRDefault="003476F8" w:rsidP="00B81D8E">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фідуціарні обов’язки виступають ключовим елементом правового регулювання поведінки керівників у корпоративному середовищі. Їх порушення може мати не лише фінансові наслідки для товариства, але й викликати питання щодо довіри до інституту корпоративного управління в цілому. Саме тому, дослідження фідуціарних обов’язків керівника товариства, включаючи сучасні підходи до їх реалізації та практику українських судів, є надзвичайно актуальним як з теоретичної, так і з практичної точки зору.</w:t>
      </w:r>
    </w:p>
    <w:p w14:paraId="27B939C7" w14:textId="77777777" w:rsidR="003476F8" w:rsidRPr="00511005" w:rsidRDefault="003476F8" w:rsidP="003A292D">
      <w:pPr>
        <w:spacing w:line="264" w:lineRule="auto"/>
        <w:ind w:firstLine="0"/>
        <w:rPr>
          <w:rFonts w:ascii="Arial" w:eastAsia="Times New Roman" w:hAnsi="Arial" w:cs="Arial"/>
          <w:szCs w:val="28"/>
          <w:lang w:val="uk-UA" w:eastAsia="uk-UA"/>
        </w:rPr>
      </w:pPr>
    </w:p>
    <w:p w14:paraId="07EA4EDA" w14:textId="311554B7" w:rsidR="003476F8"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42DFC694" w14:textId="1088D5A6" w:rsidR="003476F8" w:rsidRPr="00511005" w:rsidRDefault="003476F8" w:rsidP="003F6A5D">
      <w:pPr>
        <w:numPr>
          <w:ilvl w:val="0"/>
          <w:numId w:val="832"/>
        </w:numPr>
        <w:spacing w:line="264" w:lineRule="auto"/>
        <w:contextualSpacing/>
        <w:jc w:val="left"/>
        <w:rPr>
          <w:rFonts w:ascii="Arial" w:eastAsia="Times New Roman" w:hAnsi="Arial" w:cs="Arial"/>
          <w:szCs w:val="28"/>
          <w:lang w:val="uk-UA" w:eastAsia="uk-UA"/>
        </w:rPr>
      </w:pPr>
      <w:r w:rsidRPr="00511005">
        <w:rPr>
          <w:rFonts w:ascii="Arial" w:eastAsia="Calibri" w:hAnsi="Arial" w:cs="Arial"/>
          <w:szCs w:val="28"/>
          <w:lang w:val="uk-UA"/>
        </w:rPr>
        <w:t xml:space="preserve">Цивільний кодекс України : Закон України від 16 січня 2003 р. № 435-IV. Відомості Верховної Ради України. 2003. № 40–44. Ст. 356 </w:t>
      </w:r>
      <w:r w:rsidRPr="00511005">
        <w:rPr>
          <w:rFonts w:ascii="Arial" w:eastAsia="Times New Roman" w:hAnsi="Arial" w:cs="Arial"/>
          <w:szCs w:val="28"/>
          <w:lang w:val="uk-UA" w:eastAsia="uk-UA"/>
        </w:rPr>
        <w:t>URL:</w:t>
      </w:r>
      <w:r w:rsidR="007B2628" w:rsidRPr="00511005">
        <w:rPr>
          <w:rFonts w:ascii="Arial" w:eastAsia="Times New Roman" w:hAnsi="Arial" w:cs="Arial"/>
          <w:szCs w:val="28"/>
          <w:lang w:val="uk-UA" w:eastAsia="uk-UA"/>
        </w:rPr>
        <w:t xml:space="preserve"> </w:t>
      </w:r>
      <w:hyperlink r:id="rId1544" w:anchor="n502" w:history="1">
        <w:r w:rsidRPr="00511005">
          <w:rPr>
            <w:rFonts w:ascii="Arial" w:eastAsia="Calibri" w:hAnsi="Arial" w:cs="Arial"/>
            <w:szCs w:val="28"/>
            <w:lang w:val="uk-UA"/>
          </w:rPr>
          <w:t>https://zakon.rada.gov.ua/laws/show/435-15/conv#n502</w:t>
        </w:r>
      </w:hyperlink>
    </w:p>
    <w:p w14:paraId="3A7CDB43" w14:textId="5E64C515" w:rsidR="0087239D" w:rsidRPr="00511005" w:rsidRDefault="0087239D" w:rsidP="003F6A5D">
      <w:pPr>
        <w:numPr>
          <w:ilvl w:val="0"/>
          <w:numId w:val="832"/>
        </w:numPr>
        <w:spacing w:line="264" w:lineRule="auto"/>
        <w:contextualSpacing/>
        <w:jc w:val="left"/>
        <w:rPr>
          <w:rFonts w:ascii="Arial" w:eastAsia="Times New Roman" w:hAnsi="Arial" w:cs="Arial"/>
          <w:szCs w:val="28"/>
          <w:lang w:val="uk-UA" w:eastAsia="uk-UA"/>
        </w:rPr>
      </w:pPr>
      <w:r w:rsidRPr="00511005">
        <w:rPr>
          <w:rFonts w:ascii="Arial" w:eastAsia="Calibri" w:hAnsi="Arial" w:cs="Arial"/>
          <w:szCs w:val="28"/>
          <w:lang w:val="uk-UA"/>
        </w:rPr>
        <w:t>Постанова Верховного Суду</w:t>
      </w:r>
      <w:r w:rsidRPr="00511005">
        <w:rPr>
          <w:rFonts w:ascii="Arial" w:eastAsia="Calibri" w:hAnsi="Arial" w:cs="Arial"/>
          <w:bCs/>
          <w:szCs w:val="28"/>
          <w:lang w:val="uk-UA"/>
        </w:rPr>
        <w:t xml:space="preserve"> у складі палати для розгляду справ щодо корпоративних спорів‚ корпоративних прав та цінних паперів Касаційного господарського суду </w:t>
      </w:r>
      <w:r w:rsidRPr="00511005">
        <w:rPr>
          <w:rFonts w:ascii="Arial" w:eastAsia="Calibri" w:hAnsi="Arial" w:cs="Arial"/>
          <w:szCs w:val="28"/>
          <w:lang w:val="uk-UA"/>
        </w:rPr>
        <w:t>від.</w:t>
      </w:r>
      <w:r w:rsidRPr="00511005">
        <w:rPr>
          <w:rFonts w:ascii="Arial" w:eastAsia="Calibri" w:hAnsi="Arial" w:cs="Arial"/>
          <w:bCs/>
          <w:szCs w:val="28"/>
          <w:lang w:val="uk-UA"/>
        </w:rPr>
        <w:t xml:space="preserve"> 05 лютого 2024 року по справі №</w:t>
      </w:r>
      <w:r w:rsidRPr="00511005">
        <w:rPr>
          <w:rFonts w:ascii="Arial" w:eastAsia="Calibri" w:hAnsi="Arial" w:cs="Arial"/>
          <w:szCs w:val="28"/>
          <w:lang w:val="uk-UA"/>
        </w:rPr>
        <w:t xml:space="preserve"> 10/4149/21 </w:t>
      </w:r>
      <w:r w:rsidRPr="00511005">
        <w:rPr>
          <w:rFonts w:ascii="Arial" w:eastAsia="Times New Roman" w:hAnsi="Arial" w:cs="Arial"/>
          <w:szCs w:val="28"/>
          <w:lang w:val="uk-UA" w:eastAsia="uk-UA"/>
        </w:rPr>
        <w:t>URL:</w:t>
      </w:r>
      <w:hyperlink r:id="rId1545" w:history="1">
        <w:r w:rsidRPr="00511005">
          <w:rPr>
            <w:rFonts w:ascii="Arial" w:eastAsia="Calibri" w:hAnsi="Arial" w:cs="Arial"/>
            <w:szCs w:val="28"/>
            <w:lang w:val="uk-UA"/>
          </w:rPr>
          <w:t>https://reyestr.court.gov.ua/Review/117040301</w:t>
        </w:r>
      </w:hyperlink>
    </w:p>
    <w:p w14:paraId="1BED3FCB" w14:textId="47D110C3" w:rsidR="003476F8" w:rsidRPr="00511005" w:rsidRDefault="003476F8" w:rsidP="003F6A5D">
      <w:pPr>
        <w:numPr>
          <w:ilvl w:val="0"/>
          <w:numId w:val="832"/>
        </w:numPr>
        <w:spacing w:line="264" w:lineRule="auto"/>
        <w:contextualSpacing/>
        <w:jc w:val="left"/>
        <w:rPr>
          <w:rFonts w:ascii="Arial" w:eastAsia="Times New Roman" w:hAnsi="Arial" w:cs="Arial"/>
          <w:szCs w:val="28"/>
          <w:lang w:val="uk-UA" w:eastAsia="uk-UA"/>
        </w:rPr>
      </w:pPr>
      <w:r w:rsidRPr="00511005">
        <w:rPr>
          <w:rFonts w:ascii="Arial" w:eastAsia="Calibri" w:hAnsi="Arial" w:cs="Arial"/>
          <w:szCs w:val="28"/>
          <w:shd w:val="clear" w:color="auto" w:fill="FFFFFF"/>
          <w:lang w:val="uk-UA"/>
        </w:rPr>
        <w:t>Коструба, А. (2020) «Юридична відповідальність посадових осіб корпорації в сфері корпоративного управління: сучасні тенденції. </w:t>
      </w:r>
      <w:r w:rsidRPr="00511005">
        <w:rPr>
          <w:rFonts w:ascii="Arial" w:eastAsia="Calibri" w:hAnsi="Arial" w:cs="Arial"/>
          <w:i/>
          <w:iCs/>
          <w:szCs w:val="28"/>
          <w:shd w:val="clear" w:color="auto" w:fill="FFFFFF"/>
          <w:lang w:val="uk-UA"/>
        </w:rPr>
        <w:t>Часопис Київського університету права</w:t>
      </w:r>
      <w:r w:rsidRPr="00511005">
        <w:rPr>
          <w:rFonts w:ascii="Arial" w:eastAsia="Calibri" w:hAnsi="Arial" w:cs="Arial"/>
          <w:szCs w:val="28"/>
          <w:shd w:val="clear" w:color="auto" w:fill="FFFFFF"/>
          <w:lang w:val="uk-UA"/>
        </w:rPr>
        <w:t>, </w:t>
      </w:r>
      <w:r w:rsidRPr="00511005">
        <w:rPr>
          <w:rFonts w:ascii="Arial" w:eastAsia="Calibri" w:hAnsi="Arial" w:cs="Arial"/>
          <w:i/>
          <w:iCs/>
          <w:szCs w:val="28"/>
          <w:shd w:val="clear" w:color="auto" w:fill="FFFFFF"/>
          <w:lang w:val="uk-UA"/>
        </w:rPr>
        <w:t>1</w:t>
      </w:r>
      <w:r w:rsidRPr="00511005">
        <w:rPr>
          <w:rFonts w:ascii="Arial" w:eastAsia="Calibri" w:hAnsi="Arial" w:cs="Arial"/>
          <w:szCs w:val="28"/>
          <w:shd w:val="clear" w:color="auto" w:fill="FFFFFF"/>
          <w:lang w:val="uk-UA"/>
        </w:rPr>
        <w:t xml:space="preserve">(3), 136-141. </w:t>
      </w:r>
      <w:r w:rsidRPr="00511005">
        <w:rPr>
          <w:rFonts w:ascii="Arial" w:eastAsia="Times New Roman" w:hAnsi="Arial" w:cs="Arial"/>
          <w:szCs w:val="28"/>
          <w:lang w:val="uk-UA" w:eastAsia="uk-UA"/>
        </w:rPr>
        <w:t>URL:</w:t>
      </w:r>
      <w:hyperlink r:id="rId1546" w:history="1">
        <w:r w:rsidRPr="00511005">
          <w:rPr>
            <w:rFonts w:ascii="Arial" w:eastAsia="Calibri" w:hAnsi="Arial" w:cs="Arial"/>
            <w:szCs w:val="28"/>
            <w:lang w:val="uk-UA"/>
          </w:rPr>
          <w:t>https://chasprava.com.ua/index.php/journal/article/view/487</w:t>
        </w:r>
      </w:hyperlink>
    </w:p>
    <w:p w14:paraId="77B5036B" w14:textId="77777777" w:rsidR="003476F8" w:rsidRPr="00511005" w:rsidRDefault="003476F8" w:rsidP="003F6A5D">
      <w:pPr>
        <w:numPr>
          <w:ilvl w:val="0"/>
          <w:numId w:val="832"/>
        </w:numPr>
        <w:spacing w:line="264" w:lineRule="auto"/>
        <w:contextualSpacing/>
        <w:jc w:val="left"/>
        <w:rPr>
          <w:rFonts w:ascii="Arial" w:eastAsia="Times New Roman" w:hAnsi="Arial" w:cs="Arial"/>
          <w:szCs w:val="28"/>
          <w:lang w:val="uk-UA" w:eastAsia="uk-UA"/>
        </w:rPr>
      </w:pPr>
      <w:r w:rsidRPr="00511005">
        <w:rPr>
          <w:rFonts w:ascii="Arial" w:eastAsia="Calibri" w:hAnsi="Arial" w:cs="Arial"/>
          <w:szCs w:val="28"/>
          <w:lang w:val="uk-UA"/>
        </w:rPr>
        <w:t xml:space="preserve">1. Халімон З. С. Зміст і правове регулювання фідуціарних обов’язків директора. </w:t>
      </w:r>
      <w:r w:rsidRPr="00511005">
        <w:rPr>
          <w:rFonts w:ascii="Arial" w:eastAsia="Calibri" w:hAnsi="Arial" w:cs="Arial"/>
          <w:i/>
          <w:iCs/>
          <w:szCs w:val="28"/>
          <w:lang w:val="uk-UA"/>
        </w:rPr>
        <w:t>SayenkoKharenko</w:t>
      </w:r>
      <w:r w:rsidRPr="00511005">
        <w:rPr>
          <w:rFonts w:ascii="Arial" w:eastAsia="Calibri" w:hAnsi="Arial" w:cs="Arial"/>
          <w:szCs w:val="28"/>
          <w:lang w:val="uk-UA"/>
        </w:rPr>
        <w:t>. 2020.</w:t>
      </w:r>
      <w:r w:rsidRPr="00511005">
        <w:rPr>
          <w:rFonts w:ascii="Arial" w:eastAsia="Times New Roman" w:hAnsi="Arial" w:cs="Arial"/>
          <w:szCs w:val="28"/>
          <w:lang w:val="uk-UA" w:eastAsia="uk-UA"/>
        </w:rPr>
        <w:t xml:space="preserve">URL: </w:t>
      </w:r>
      <w:hyperlink r:id="rId1547" w:history="1">
        <w:r w:rsidRPr="00511005">
          <w:rPr>
            <w:rFonts w:ascii="Arial" w:eastAsia="Calibri" w:hAnsi="Arial" w:cs="Arial"/>
            <w:szCs w:val="28"/>
            <w:lang w:val="uk-UA"/>
          </w:rPr>
          <w:t>https://sk.ua/uk/fidutsiarni-obovyazki-directora/</w:t>
        </w:r>
      </w:hyperlink>
    </w:p>
    <w:p w14:paraId="7651144F" w14:textId="77777777" w:rsidR="003476F8" w:rsidRPr="00511005" w:rsidRDefault="003476F8" w:rsidP="003F6A5D">
      <w:pPr>
        <w:numPr>
          <w:ilvl w:val="0"/>
          <w:numId w:val="832"/>
        </w:numPr>
        <w:spacing w:line="264" w:lineRule="auto"/>
        <w:contextualSpacing/>
        <w:jc w:val="left"/>
        <w:rPr>
          <w:rFonts w:ascii="Arial" w:eastAsia="Times New Roman" w:hAnsi="Arial" w:cs="Arial"/>
          <w:szCs w:val="28"/>
          <w:lang w:val="uk-UA" w:eastAsia="uk-UA"/>
        </w:rPr>
      </w:pPr>
      <w:r w:rsidRPr="00511005">
        <w:rPr>
          <w:rFonts w:ascii="Arial" w:eastAsia="Calibri" w:hAnsi="Arial" w:cs="Arial"/>
          <w:szCs w:val="28"/>
          <w:shd w:val="clear" w:color="auto" w:fill="FAF9FE"/>
          <w:lang w:val="uk-UA"/>
        </w:rPr>
        <w:t xml:space="preserve">Ходирєва А. Правове регулювання фідуціарних відносин у країнах загального та континентального права: проблеми теорії і практики : дис. … канд. / Вячеславівна. Одеса, 2023. 229 с. </w:t>
      </w:r>
      <w:r w:rsidRPr="00511005">
        <w:rPr>
          <w:rFonts w:ascii="Arial" w:eastAsia="Times New Roman" w:hAnsi="Arial" w:cs="Arial"/>
          <w:szCs w:val="28"/>
          <w:lang w:val="uk-UA" w:eastAsia="uk-UA"/>
        </w:rPr>
        <w:t>URL</w:t>
      </w:r>
      <w:r w:rsidRPr="00511005">
        <w:rPr>
          <w:rFonts w:ascii="Arial" w:eastAsia="Calibri" w:hAnsi="Arial" w:cs="Arial"/>
          <w:szCs w:val="28"/>
          <w:lang w:val="uk-UA"/>
        </w:rPr>
        <w:t xml:space="preserve">: </w:t>
      </w:r>
      <w:hyperlink r:id="rId1548" w:history="1">
        <w:r w:rsidRPr="00511005">
          <w:rPr>
            <w:rFonts w:ascii="Arial" w:eastAsia="Calibri" w:hAnsi="Arial" w:cs="Arial"/>
            <w:szCs w:val="28"/>
            <w:lang w:val="uk-UA"/>
          </w:rPr>
          <w:t>https://dspace.onua.edu.ua/items/007028d4-9061-46e5-9d6b-6a75ec7a7dff</w:t>
        </w:r>
      </w:hyperlink>
    </w:p>
    <w:p w14:paraId="1F84FF08" w14:textId="7E0DFF14" w:rsidR="003476F8"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Calibri" w:hAnsi="Arial" w:cs="Arial"/>
          <w:b/>
          <w:i/>
          <w:szCs w:val="28"/>
          <w:lang w:val="uk-UA"/>
        </w:rPr>
        <w:t xml:space="preserve">Ключові слова: </w:t>
      </w:r>
      <w:r w:rsidR="003476F8" w:rsidRPr="00511005">
        <w:rPr>
          <w:rFonts w:ascii="Arial" w:eastAsia="Times New Roman" w:hAnsi="Arial" w:cs="Arial"/>
          <w:szCs w:val="28"/>
          <w:lang w:val="uk-UA" w:eastAsia="uk-UA"/>
        </w:rPr>
        <w:t>фідуціарні обов’язки, корпоративне управління, юридична особа, керівні органи, відповідальність, конфлікт інтересів, добросовісність.</w:t>
      </w:r>
    </w:p>
    <w:p w14:paraId="4C3891C6" w14:textId="07268F9E" w:rsidR="003476F8"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Calibri" w:hAnsi="Arial" w:cs="Arial"/>
          <w:b/>
          <w:i/>
          <w:szCs w:val="28"/>
          <w:lang w:val="uk-UA"/>
        </w:rPr>
        <w:t xml:space="preserve">Key words: </w:t>
      </w:r>
      <w:r w:rsidR="003476F8" w:rsidRPr="00511005">
        <w:rPr>
          <w:rFonts w:ascii="Arial" w:eastAsia="Times New Roman" w:hAnsi="Arial" w:cs="Arial"/>
          <w:szCs w:val="28"/>
          <w:lang w:val="uk-UA" w:eastAsia="uk-UA"/>
        </w:rPr>
        <w:t>fiduciary duties, corporate governance legalentity, management bodies, liability, conflict of interest, good faith</w:t>
      </w:r>
    </w:p>
    <w:p w14:paraId="313D37CA" w14:textId="69DEDE1A" w:rsidR="003476F8" w:rsidRPr="00511005" w:rsidRDefault="007B2628" w:rsidP="003A292D">
      <w:pPr>
        <w:keepNext/>
        <w:spacing w:line="264" w:lineRule="auto"/>
        <w:ind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3476F8" w:rsidRPr="00511005">
        <w:rPr>
          <w:rFonts w:ascii="Arial" w:eastAsia="Calibri" w:hAnsi="Arial" w:cs="Arial"/>
          <w:bCs/>
          <w:i/>
          <w:iCs/>
          <w:szCs w:val="28"/>
          <w:lang w:val="uk-UA"/>
        </w:rPr>
        <w:t>к.ю.н. доцент Квасніцька О.О.</w:t>
      </w:r>
    </w:p>
    <w:p w14:paraId="14921894" w14:textId="77777777" w:rsidR="003476F8" w:rsidRPr="00511005" w:rsidRDefault="003476F8" w:rsidP="003A292D">
      <w:pPr>
        <w:keepNext/>
        <w:spacing w:line="264" w:lineRule="auto"/>
        <w:ind w:firstLine="0"/>
        <w:rPr>
          <w:rFonts w:ascii="Arial" w:eastAsia="Calibri" w:hAnsi="Arial" w:cs="Arial"/>
          <w:bCs/>
          <w:szCs w:val="28"/>
          <w:lang w:val="uk-UA"/>
        </w:rPr>
      </w:pPr>
    </w:p>
    <w:p w14:paraId="43C59139" w14:textId="77777777" w:rsidR="003476F8" w:rsidRPr="00511005" w:rsidRDefault="003476F8" w:rsidP="003A292D">
      <w:pPr>
        <w:spacing w:line="264" w:lineRule="auto"/>
        <w:ind w:firstLine="0"/>
        <w:rPr>
          <w:rFonts w:ascii="Arial" w:eastAsia="Calibri" w:hAnsi="Arial" w:cs="Arial"/>
          <w:szCs w:val="28"/>
          <w:lang w:val="uk-UA"/>
        </w:rPr>
      </w:pPr>
    </w:p>
    <w:p w14:paraId="0D611F09" w14:textId="77777777"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i/>
          <w:szCs w:val="28"/>
          <w:lang w:val="uk-UA" w:eastAsia="ru-RU"/>
        </w:rPr>
        <w:br w:type="column"/>
      </w:r>
      <w:r w:rsidRPr="00511005">
        <w:rPr>
          <w:rFonts w:ascii="Arial" w:eastAsia="Times New Roman" w:hAnsi="Arial" w:cs="Arial"/>
          <w:b/>
          <w:i/>
          <w:szCs w:val="28"/>
          <w:lang w:val="uk-UA" w:eastAsia="ru-RU"/>
        </w:rPr>
        <w:lastRenderedPageBreak/>
        <w:t>Зброцька Яна Анатоліївна</w:t>
      </w:r>
    </w:p>
    <w:p w14:paraId="61F06240" w14:textId="705BFAC5" w:rsidR="003476F8" w:rsidRPr="00511005" w:rsidRDefault="00536AAB" w:rsidP="003A292D">
      <w:pPr>
        <w:widowControl w:val="0"/>
        <w:autoSpaceDE w:val="0"/>
        <w:autoSpaceDN w:val="0"/>
        <w:adjustRightInd w:val="0"/>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3-го курсу факультету адвокатури та антикорупційної діяльності</w:t>
      </w:r>
    </w:p>
    <w:p w14:paraId="5DF6241D" w14:textId="77777777" w:rsidR="003476F8" w:rsidRPr="00511005" w:rsidRDefault="003476F8" w:rsidP="003A292D">
      <w:pPr>
        <w:widowControl w:val="0"/>
        <w:tabs>
          <w:tab w:val="left" w:pos="7088"/>
        </w:tabs>
        <w:autoSpaceDE w:val="0"/>
        <w:autoSpaceDN w:val="0"/>
        <w:adjustRightInd w:val="0"/>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Націoнальнoгo університету «Oдеська юридична академія»</w:t>
      </w:r>
    </w:p>
    <w:p w14:paraId="46D457D5" w14:textId="77777777" w:rsidR="003476F8" w:rsidRPr="00511005" w:rsidRDefault="003476F8"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shd w:val="clear" w:color="auto" w:fill="FFFFFF"/>
          <w:lang w:val="uk-UA" w:eastAsia="ru-RU"/>
        </w:rPr>
      </w:pPr>
    </w:p>
    <w:p w14:paraId="5B3A646A" w14:textId="77777777" w:rsidR="003476F8" w:rsidRPr="00511005" w:rsidRDefault="003476F8"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shd w:val="clear" w:color="auto" w:fill="FFFFFF"/>
          <w:lang w:val="uk-UA" w:eastAsia="ru-RU"/>
        </w:rPr>
      </w:pPr>
      <w:r w:rsidRPr="00511005">
        <w:rPr>
          <w:rFonts w:ascii="Arial" w:eastAsia="Times New Roman" w:hAnsi="Arial" w:cs="Arial"/>
          <w:b/>
          <w:szCs w:val="28"/>
          <w:lang w:val="uk-UA" w:eastAsia="ru-RU"/>
        </w:rPr>
        <w:t>СКАСУВАННЯ ГОСПОДАРСЬКОГО КОДЕКСУ УКРАЇНИ: ПРАВОВІ НАСЛІДКИ ТА НАПРЯМИ ПОДАЛЬШОЇ КОДИФІКАЦІЇ</w:t>
      </w:r>
    </w:p>
    <w:p w14:paraId="6A2B0EC5"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Українське законодавство перебуває в постійному процесі трансформації, що зумовлено не лише внутрішніми соціально-економічними змінами, а й необхідністю адаптації до міжнародних стандартів, насамперед європейських. У сучасних умовах особливої актуальності набуває оновлення нормативної бази, що регулює економічні та власне господарські відносини, оскільки саме ця сфера відіграє ключову роль у розвитку національної економіки, залученні інвестицій та формуванні конкурентоспроможного бізнес-середовища. Вплив євроінтеграційних процесів, вимоги ефективного функціонування ринкової економіки, а також нові виклики, спричинені повномасштабною агресією Російської Федерації, поставили перед Україною завдання перегляду базових засад правового регулювання господарської діяльності.</w:t>
      </w:r>
    </w:p>
    <w:p w14:paraId="10E29AB9"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цьому контексті виникла необхідність глибокого аналізу чинної нормативно-правової системи, зокрема тих її елементів, які втратили актуальність або вступають у суперечність із загальними тенденціями розвитку приватного права. Одним із таких елементів став Господарський кодекс України, що довгий час виконував роль основного акту в сфері господарських відносин. Його правовий статус, роль і функції, які він виконував у системі економіко-правового регулювання, стали предметом активного обговорення серед правників, економістів та законотворців [1, c.309].</w:t>
      </w:r>
    </w:p>
    <w:p w14:paraId="6056680C"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Передумови та причини перегляду цього акта є багатогранними й охоплюють як суто юридичні, так і політичні, економічні та стратегічні чинники, що вплинули на ухвалення рішення про зміну підходів до правового регулювання господарської діяльності в Україні.</w:t>
      </w:r>
    </w:p>
    <w:p w14:paraId="6DE28114"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контексті скасування Господарського кодексу України ключове значення має новий Закон України </w:t>
      </w:r>
      <w:r w:rsidRPr="00511005">
        <w:rPr>
          <w:rFonts w:ascii="Arial" w:eastAsia="Times New Roman" w:hAnsi="Arial" w:cs="Arial"/>
          <w:bCs/>
          <w:szCs w:val="28"/>
          <w:lang w:val="uk-UA" w:eastAsia="ru-RU"/>
        </w:rPr>
        <w:t>«Про особливості регулювання діяльності юридичних осіб окремих організаційно-правових форм у перехідний період та об'єднань юридичних осіб»</w:t>
      </w:r>
      <w:r w:rsidRPr="00511005">
        <w:rPr>
          <w:rFonts w:ascii="Arial" w:eastAsia="Times New Roman" w:hAnsi="Arial" w:cs="Arial"/>
          <w:szCs w:val="28"/>
          <w:lang w:val="uk-UA" w:eastAsia="ru-RU"/>
        </w:rPr>
        <w:t>, який фактично виконує роль нормативного мосту між старою та оновленою системою правового регулювання [2]. Цей закон було прийнято з метою забезпечення безперервності правозастосування та уникнення правового вакууму, що міг виникнути внаслідок одномоментного скасування Господарського кодексу.</w:t>
      </w:r>
    </w:p>
    <w:p w14:paraId="257ECB9C"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Документ регламентує особливості функціонування окремих організаційно-правових форм юридичних осіб у перехідний період, зокрема державних, комунальних та казенних підприємств, а також визначає правила взаємодії </w:t>
      </w:r>
      <w:r w:rsidRPr="00511005">
        <w:rPr>
          <w:rFonts w:ascii="Arial" w:eastAsia="Times New Roman" w:hAnsi="Arial" w:cs="Arial"/>
          <w:szCs w:val="28"/>
          <w:lang w:val="uk-UA" w:eastAsia="ru-RU"/>
        </w:rPr>
        <w:lastRenderedPageBreak/>
        <w:t>для об'єднань юридичних осіб, таких як концерни, корпорації чи асоціації. Оскільки низка правових інститутів, що раніше існували на підставі Господарського кодексу, ще не повністю адаптовані до Цивільного кодексу та інших спеціальних законів, зазначений закон дозволяє поступовий перехід до нових правових умов.</w:t>
      </w:r>
    </w:p>
    <w:p w14:paraId="0C55F684"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Реформування господарського законодавства, зокрема скасування Господарського кодексу України та ухвалення нового Закону України «</w:t>
      </w:r>
      <w:r w:rsidRPr="00511005">
        <w:rPr>
          <w:rFonts w:ascii="Arial" w:eastAsia="Times New Roman" w:hAnsi="Arial" w:cs="Arial"/>
          <w:bCs/>
          <w:szCs w:val="28"/>
          <w:lang w:val="uk-UA" w:eastAsia="ru-RU"/>
        </w:rPr>
        <w:t>Про особливості регулювання діяльності юридичних осіб окремих організаційно-правових форм у перехідний період та об'єднань юридичних осіб</w:t>
      </w:r>
      <w:r w:rsidRPr="00511005">
        <w:rPr>
          <w:rFonts w:ascii="Arial" w:eastAsia="Times New Roman" w:hAnsi="Arial" w:cs="Arial"/>
          <w:szCs w:val="28"/>
          <w:lang w:val="uk-UA" w:eastAsia="ru-RU"/>
        </w:rPr>
        <w:t>» безперечно є кроком до спрощення нормативної бази, усунення правових колізій та гармонізації із європейськими стандартами. Однак навіть після завершення перехідного періоду залишатиметься низка важливих питань, які не будуть повністю врегульовані ані Цивільним кодексом, ані новим спеціальним законом. Зокрема, це стосується правового статусу унітарних підприємств, процедур банкрутства в окремих формах господарювання, специфіки державного та муніципального сектора, а також регулювання об’єднань юридичних осіб.</w:t>
      </w:r>
    </w:p>
    <w:p w14:paraId="58DEED6F"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Наявні інструменти законодавчого регулювання, хоча й спрямовані на модернізацію, все ще не враховують у повному обсязі потреб сучасної економіки, що динамічно розвивається в умовах глобалізації, воєнних викликів та євроінтеграції. Для досягнення реального ефекту від реформи необхідна подальша модернізація правового поля, яка б не обмежувалась суто формальним перенесенням норм, а спиралася на системний аналіз функціонування господарських відносин, інституційний розвиток та запровадження ефективних механізмів правозастосування [3, c.386].</w:t>
      </w:r>
    </w:p>
    <w:p w14:paraId="7B47A019"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Лише за умови системного перегляду та розвитку законодавства з урахуванням актуальних економічних процесів можливе формування сталого господарського правопорядку, здатного забезпечити передбачуваність, стабільність і довіру до правової системи як з боку бізнесу, так і суспільства загалом.</w:t>
      </w:r>
    </w:p>
    <w:p w14:paraId="05D5EB0D"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світлі реформування господарського законодавства постає питання не лише про адаптацію чинних нормативних актів, а й про необхідність створення цілісного, системного правового механізму, що враховував би специфіку господарських правовідносин та їх місце у структурі приватного права [4, c.169]. </w:t>
      </w:r>
    </w:p>
    <w:p w14:paraId="7AA710E2"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 огляду на це доцільною видається розробка нового кодифікованого нормативно-правового акта, який би поєднував у собі основні положення Цивільного та Господарського кодексів, усуваючи суперечності між ними та формуючи єдину логічну структуру регулювання приватноправових відносин.</w:t>
      </w:r>
    </w:p>
    <w:p w14:paraId="763FB305"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Такий інтегрований кодекс міг би стати універсальним інструментом для правового регулювання підприємницької, комерційної, а також частини </w:t>
      </w:r>
      <w:r w:rsidRPr="00511005">
        <w:rPr>
          <w:rFonts w:ascii="Arial" w:eastAsia="Times New Roman" w:hAnsi="Arial" w:cs="Arial"/>
          <w:szCs w:val="28"/>
          <w:lang w:val="uk-UA" w:eastAsia="ru-RU"/>
        </w:rPr>
        <w:lastRenderedPageBreak/>
        <w:t>публічно-приватної взаємодії, що нині розпорошена між різними нормативними актами. Об’єднання правових підходів дозволило б уникнути правової невизначеності, зміцнити єдність правозастосування, а також адаптувати правову систему України до сучасних європейських моделей, де господарське право, як правило, є складовою цивільного кодексу.</w:t>
      </w:r>
    </w:p>
    <w:p w14:paraId="04C3D004"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Водночас необхідно зважати на те, що створення такого нормативного акту супроводжуватиметься складнощами. Зокрема, у разі недостатньо продуманого переходу може виникнути правовий вакуум у деяких сферах — особливо тих, де господарські норми мали спеціальний характер (наприклад, у правовому регулюванні державних підприємств, майнової відповідальності у сфері публічного господарювання, корпоративного управління тощо). Тому процес об’єднання має бути не лише технічно грамотно реалізованим, а й стратегічно вивіреним — із залученням фахової спільноти, науковців, представників бізнесу та держави [5, c.152].</w:t>
      </w:r>
    </w:p>
    <w:p w14:paraId="670FCD0B"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Отже, створення єдиного узгодженого кодифікованого акту, що охоплював би положення як цивільного, так і господарського права, виглядає логічним кроком у напрямку побудови стабільного господарського правопорядку. Водночас такий крок потребує глибокого наукового обґрунтування, поетапного впровадження та чіткої політико-правової волі для уникнення правової фрагментації й забезпечення належного рівня правової визначеності у сфері господарських правовідносин.</w:t>
      </w:r>
    </w:p>
    <w:p w14:paraId="643A038C"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реформування Господарського кодексу має як позитивні, так і негативні наслідки. Позитивні аспекти включають спрощення правової системи, зниження регуляторного навантаження та гармонізацію національного законодавства з європейськими стандартами, що створює умови для розвитку бізнесу і залучення інвестицій. Однак негативними аспектами є можливі юридичні труднощі в перехідний період, правова невизначеність щодо деяких спеціалізованих питань та необхідність подальшого вдосконалення законодавства для повної інтеграції господарських норм.</w:t>
      </w:r>
    </w:p>
    <w:p w14:paraId="20A708EC" w14:textId="77777777" w:rsidR="003476F8" w:rsidRPr="00511005" w:rsidRDefault="003476F8" w:rsidP="003A292D">
      <w:pPr>
        <w:widowControl w:val="0"/>
        <w:tabs>
          <w:tab w:val="left" w:pos="7088"/>
        </w:tabs>
        <w:autoSpaceDE w:val="0"/>
        <w:autoSpaceDN w:val="0"/>
        <w:adjustRightInd w:val="0"/>
        <w:spacing w:line="264" w:lineRule="auto"/>
        <w:ind w:firstLine="0"/>
        <w:rPr>
          <w:rFonts w:ascii="Arial" w:eastAsia="Times New Roman" w:hAnsi="Arial" w:cs="Arial"/>
          <w:b/>
          <w:szCs w:val="28"/>
          <w:lang w:val="uk-UA" w:eastAsia="ru-RU" w:bidi="uk-UA"/>
        </w:rPr>
      </w:pPr>
    </w:p>
    <w:p w14:paraId="430E1143" w14:textId="63890F82" w:rsidR="003476F8" w:rsidRPr="00511005" w:rsidRDefault="007B2628" w:rsidP="007B2628">
      <w:pPr>
        <w:widowControl w:val="0"/>
        <w:tabs>
          <w:tab w:val="left" w:pos="7088"/>
        </w:tabs>
        <w:autoSpaceDE w:val="0"/>
        <w:autoSpaceDN w:val="0"/>
        <w:adjustRightInd w:val="0"/>
        <w:spacing w:line="264" w:lineRule="auto"/>
        <w:ind w:firstLine="0"/>
        <w:jc w:val="center"/>
        <w:rPr>
          <w:rFonts w:ascii="Arial" w:eastAsia="Times New Roman" w:hAnsi="Arial" w:cs="Arial"/>
          <w:b/>
          <w:szCs w:val="28"/>
          <w:lang w:val="uk-UA" w:eastAsia="ru-RU" w:bidi="uk-UA"/>
        </w:rPr>
      </w:pPr>
      <w:r w:rsidRPr="00511005">
        <w:rPr>
          <w:rFonts w:ascii="Arial" w:eastAsia="Times New Roman" w:hAnsi="Arial" w:cs="Arial"/>
          <w:b/>
          <w:szCs w:val="28"/>
          <w:lang w:val="uk-UA" w:eastAsia="ru-RU" w:bidi="uk-UA"/>
        </w:rPr>
        <w:t>Список використаних джерел</w:t>
      </w:r>
    </w:p>
    <w:p w14:paraId="0DB914C7" w14:textId="77777777" w:rsidR="003476F8" w:rsidRPr="00511005" w:rsidRDefault="003476F8" w:rsidP="003F6A5D">
      <w:pPr>
        <w:widowControl w:val="0"/>
        <w:numPr>
          <w:ilvl w:val="0"/>
          <w:numId w:val="405"/>
        </w:numPr>
        <w:autoSpaceDE w:val="0"/>
        <w:autoSpaceDN w:val="0"/>
        <w:adjustRightInd w:val="0"/>
        <w:spacing w:line="264" w:lineRule="auto"/>
        <w:ind w:left="0" w:hanging="426"/>
        <w:contextualSpacing/>
        <w:jc w:val="left"/>
        <w:rPr>
          <w:rFonts w:ascii="Arial" w:eastAsia="Times New Roman" w:hAnsi="Arial" w:cs="Arial"/>
          <w:szCs w:val="28"/>
          <w:lang w:val="uk-UA" w:eastAsia="ru-RU"/>
        </w:rPr>
      </w:pPr>
      <w:r w:rsidRPr="00511005">
        <w:rPr>
          <w:rFonts w:ascii="Arial" w:eastAsia="Times New Roman" w:hAnsi="Arial" w:cs="Arial"/>
          <w:bCs/>
          <w:szCs w:val="28"/>
          <w:lang w:val="uk-UA" w:eastAsia="ru-RU" w:bidi="uk-UA"/>
        </w:rPr>
        <w:t>Сєрєбряк С.В. Реформування господарського законодавства в умовах воєнного стану. </w:t>
      </w:r>
      <w:r w:rsidRPr="00511005">
        <w:rPr>
          <w:rFonts w:ascii="Arial" w:eastAsia="Times New Roman" w:hAnsi="Arial" w:cs="Arial"/>
          <w:bCs/>
          <w:i/>
          <w:iCs/>
          <w:szCs w:val="28"/>
          <w:lang w:val="uk-UA" w:eastAsia="ru-RU" w:bidi="uk-UA"/>
        </w:rPr>
        <w:t xml:space="preserve">Актуальніпроблеми права: теорія і практика. </w:t>
      </w:r>
      <w:r w:rsidRPr="00511005">
        <w:rPr>
          <w:rFonts w:ascii="Arial" w:eastAsia="Times New Roman" w:hAnsi="Arial" w:cs="Arial"/>
          <w:bCs/>
          <w:iCs/>
          <w:szCs w:val="28"/>
          <w:lang w:val="uk-UA" w:eastAsia="ru-RU" w:bidi="uk-UA"/>
        </w:rPr>
        <w:t>2024. №</w:t>
      </w:r>
      <w:r w:rsidRPr="00511005">
        <w:rPr>
          <w:rFonts w:ascii="Arial" w:eastAsia="Times New Roman" w:hAnsi="Arial" w:cs="Arial"/>
          <w:bCs/>
          <w:szCs w:val="28"/>
          <w:lang w:val="uk-UA" w:eastAsia="ru-RU" w:bidi="uk-UA"/>
        </w:rPr>
        <w:t> 47 С. 305-321.</w:t>
      </w:r>
      <w:r w:rsidRPr="00511005">
        <w:rPr>
          <w:rFonts w:ascii="Arial" w:eastAsia="Times New Roman" w:hAnsi="Arial" w:cs="Arial"/>
          <w:szCs w:val="28"/>
          <w:lang w:val="uk-UA" w:eastAsia="ru-RU"/>
        </w:rPr>
        <w:t xml:space="preserve">URL: </w:t>
      </w:r>
      <w:hyperlink r:id="rId1549" w:history="1">
        <w:r w:rsidRPr="00511005">
          <w:rPr>
            <w:rFonts w:ascii="Arial" w:eastAsia="Times New Roman" w:hAnsi="Arial" w:cs="Arial"/>
            <w:bCs/>
            <w:szCs w:val="28"/>
            <w:lang w:val="uk-UA" w:eastAsia="ru-RU" w:bidi="uk-UA"/>
          </w:rPr>
          <w:t>https://journals.snu.edu.ua/index.php/app/article/download/832/795</w:t>
        </w:r>
      </w:hyperlink>
      <w:r w:rsidRPr="00511005">
        <w:rPr>
          <w:rFonts w:ascii="Arial" w:eastAsia="Times New Roman" w:hAnsi="Arial" w:cs="Arial"/>
          <w:bCs/>
          <w:szCs w:val="28"/>
          <w:lang w:val="uk-UA" w:eastAsia="ru-RU" w:bidi="uk-UA"/>
        </w:rPr>
        <w:t xml:space="preserve"> (дата звернення: 30.04.2025 р.)</w:t>
      </w:r>
    </w:p>
    <w:p w14:paraId="105EDD2E" w14:textId="7847C355" w:rsidR="003476F8" w:rsidRPr="00511005" w:rsidRDefault="003476F8" w:rsidP="003F6A5D">
      <w:pPr>
        <w:widowControl w:val="0"/>
        <w:numPr>
          <w:ilvl w:val="0"/>
          <w:numId w:val="405"/>
        </w:numPr>
        <w:autoSpaceDE w:val="0"/>
        <w:autoSpaceDN w:val="0"/>
        <w:adjustRightInd w:val="0"/>
        <w:spacing w:line="264" w:lineRule="auto"/>
        <w:ind w:left="0" w:hanging="426"/>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Про особливості регулювання діяльності юридичних осіб окремих організаційно-правових форм у перехідний період та об'єднань юридичних осіб : Закон України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№4196-IX від 09.01.2025 р. URL: https://zakon.rada.gov.ua/laws/show/4196-20#Text</w:t>
      </w:r>
      <w:r w:rsidRPr="00511005">
        <w:rPr>
          <w:rFonts w:ascii="Arial" w:eastAsia="Times New Roman" w:hAnsi="Arial" w:cs="Arial"/>
          <w:bCs/>
          <w:szCs w:val="28"/>
          <w:lang w:val="uk-UA" w:eastAsia="ru-RU" w:bidi="uk-UA"/>
        </w:rPr>
        <w:t>(дата звернення: 30.04.2025 р.)</w:t>
      </w:r>
    </w:p>
    <w:p w14:paraId="2257DABF" w14:textId="2CF7C4B0" w:rsidR="003476F8" w:rsidRPr="00511005" w:rsidRDefault="003476F8" w:rsidP="003F6A5D">
      <w:pPr>
        <w:widowControl w:val="0"/>
        <w:numPr>
          <w:ilvl w:val="0"/>
          <w:numId w:val="405"/>
        </w:numPr>
        <w:autoSpaceDE w:val="0"/>
        <w:autoSpaceDN w:val="0"/>
        <w:adjustRightInd w:val="0"/>
        <w:spacing w:line="264" w:lineRule="auto"/>
        <w:ind w:left="0" w:hanging="426"/>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Сегал Є.А. Причини та наслідки скасування Господарського кодексу в Україні. </w:t>
      </w:r>
      <w:r w:rsidRPr="00511005">
        <w:rPr>
          <w:rFonts w:ascii="Arial" w:eastAsia="Times New Roman" w:hAnsi="Arial" w:cs="Arial"/>
          <w:i/>
          <w:iCs/>
          <w:szCs w:val="28"/>
          <w:lang w:val="uk-UA" w:eastAsia="ru-RU"/>
        </w:rPr>
        <w:t xml:space="preserve">Науковий вісник Ужгородського національного університету. </w:t>
      </w:r>
      <w:r w:rsidRPr="00511005">
        <w:rPr>
          <w:rFonts w:ascii="Arial" w:eastAsia="Times New Roman" w:hAnsi="Arial" w:cs="Arial"/>
          <w:iCs/>
          <w:szCs w:val="28"/>
          <w:lang w:val="uk-UA" w:eastAsia="ru-RU"/>
        </w:rPr>
        <w:t>Серія: Право</w:t>
      </w:r>
      <w:r w:rsidRPr="00511005">
        <w:rPr>
          <w:rFonts w:ascii="Arial" w:eastAsia="Times New Roman" w:hAnsi="Arial" w:cs="Arial"/>
          <w:szCs w:val="28"/>
          <w:lang w:val="uk-UA" w:eastAsia="ru-RU"/>
        </w:rPr>
        <w:t>. 2024 № 1 (83). С. 385-390. URL:</w:t>
      </w:r>
      <w:r w:rsidR="007B2628" w:rsidRPr="00511005">
        <w:rPr>
          <w:rFonts w:ascii="Arial" w:eastAsia="Times New Roman" w:hAnsi="Arial" w:cs="Arial"/>
          <w:szCs w:val="28"/>
          <w:lang w:val="uk-UA" w:eastAsia="ru-RU"/>
        </w:rPr>
        <w:t xml:space="preserve"> </w:t>
      </w:r>
      <w:hyperlink r:id="rId1550" w:history="1">
        <w:r w:rsidRPr="00511005">
          <w:rPr>
            <w:rFonts w:ascii="Arial" w:eastAsia="Times New Roman" w:hAnsi="Arial" w:cs="Arial"/>
            <w:szCs w:val="28"/>
            <w:lang w:val="uk-UA" w:eastAsia="ru-RU"/>
          </w:rPr>
          <w:t>https://visnyk-juris-uzhnu.com/wp-content/uploads/2024/07/59.pdf</w:t>
        </w:r>
      </w:hyperlink>
      <w:r w:rsidRPr="00511005">
        <w:rPr>
          <w:rFonts w:ascii="Arial" w:eastAsia="Times New Roman" w:hAnsi="Arial" w:cs="Arial"/>
          <w:bCs/>
          <w:szCs w:val="28"/>
          <w:lang w:val="uk-UA" w:eastAsia="ru-RU" w:bidi="uk-UA"/>
        </w:rPr>
        <w:t>(дата звернення: 30.04.2025 р.)</w:t>
      </w:r>
    </w:p>
    <w:p w14:paraId="1F6F8B3C" w14:textId="3DEDCEC1" w:rsidR="003476F8" w:rsidRPr="00511005" w:rsidRDefault="003476F8" w:rsidP="003F6A5D">
      <w:pPr>
        <w:widowControl w:val="0"/>
        <w:numPr>
          <w:ilvl w:val="0"/>
          <w:numId w:val="405"/>
        </w:numPr>
        <w:autoSpaceDE w:val="0"/>
        <w:autoSpaceDN w:val="0"/>
        <w:adjustRightInd w:val="0"/>
        <w:spacing w:line="264" w:lineRule="auto"/>
        <w:ind w:left="0" w:hanging="426"/>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Юлдашев О.Х. Курс на інноваційний розвиток як головна ідея модернізації господарського законодавства України на етапі її відновлення. </w:t>
      </w:r>
      <w:r w:rsidRPr="00511005">
        <w:rPr>
          <w:rFonts w:ascii="Arial" w:eastAsia="Times New Roman" w:hAnsi="Arial" w:cs="Arial"/>
          <w:i/>
          <w:iCs/>
          <w:szCs w:val="28"/>
          <w:lang w:val="uk-UA" w:eastAsia="ru-RU"/>
        </w:rPr>
        <w:t xml:space="preserve">DICTUMFACTUM. </w:t>
      </w:r>
      <w:r w:rsidRPr="00511005">
        <w:rPr>
          <w:rFonts w:ascii="Arial" w:eastAsia="Times New Roman" w:hAnsi="Arial" w:cs="Arial"/>
          <w:iCs/>
          <w:szCs w:val="28"/>
          <w:lang w:val="uk-UA" w:eastAsia="ru-RU"/>
        </w:rPr>
        <w:t>2024. №</w:t>
      </w:r>
      <w:r w:rsidR="007B2628" w:rsidRPr="00511005">
        <w:rPr>
          <w:rFonts w:ascii="Arial" w:eastAsia="Times New Roman" w:hAnsi="Arial" w:cs="Arial"/>
          <w:iCs/>
          <w:szCs w:val="28"/>
          <w:lang w:val="uk-UA" w:eastAsia="ru-RU"/>
        </w:rPr>
        <w:t xml:space="preserve"> </w:t>
      </w:r>
      <w:r w:rsidRPr="00511005">
        <w:rPr>
          <w:rFonts w:ascii="Arial" w:eastAsia="Times New Roman" w:hAnsi="Arial" w:cs="Arial"/>
          <w:szCs w:val="28"/>
          <w:lang w:val="uk-UA" w:eastAsia="ru-RU"/>
        </w:rPr>
        <w:t>2 (16). С. 164-175. URL:</w:t>
      </w:r>
      <w:r w:rsidR="007B2628" w:rsidRPr="00511005">
        <w:rPr>
          <w:rFonts w:ascii="Arial" w:eastAsia="Times New Roman" w:hAnsi="Arial" w:cs="Arial"/>
          <w:szCs w:val="28"/>
          <w:lang w:val="uk-UA" w:eastAsia="ru-RU"/>
        </w:rPr>
        <w:t xml:space="preserve"> </w:t>
      </w:r>
      <w:hyperlink r:id="rId1551" w:history="1">
        <w:r w:rsidRPr="00511005">
          <w:rPr>
            <w:rFonts w:ascii="Arial" w:eastAsia="Times New Roman" w:hAnsi="Arial" w:cs="Arial"/>
            <w:szCs w:val="28"/>
            <w:lang w:val="uk-UA" w:eastAsia="ru-RU"/>
          </w:rPr>
          <w:t>https://df.duit.in.ua/index.php/dictum/article/download/353/316</w:t>
        </w:r>
      </w:hyperlink>
      <w:r w:rsidRPr="00511005">
        <w:rPr>
          <w:rFonts w:ascii="Arial" w:eastAsia="Times New Roman" w:hAnsi="Arial" w:cs="Arial"/>
          <w:bCs/>
          <w:szCs w:val="28"/>
          <w:lang w:val="uk-UA" w:eastAsia="ru-RU" w:bidi="uk-UA"/>
        </w:rPr>
        <w:t>(датазвернення: 30.04.2025 р.)</w:t>
      </w:r>
    </w:p>
    <w:p w14:paraId="153D38F8" w14:textId="50B247A0" w:rsidR="003476F8" w:rsidRPr="00511005" w:rsidRDefault="003476F8" w:rsidP="003F6A5D">
      <w:pPr>
        <w:widowControl w:val="0"/>
        <w:numPr>
          <w:ilvl w:val="0"/>
          <w:numId w:val="405"/>
        </w:numPr>
        <w:autoSpaceDE w:val="0"/>
        <w:autoSpaceDN w:val="0"/>
        <w:adjustRightInd w:val="0"/>
        <w:spacing w:line="264" w:lineRule="auto"/>
        <w:ind w:left="0" w:hanging="426"/>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Юлдашев С.О. Господарський кодекс: бути йому чи не бути? Ч. 1.</w:t>
      </w:r>
      <w:r w:rsidR="00B81D8E">
        <w:rPr>
          <w:rFonts w:ascii="Arial" w:eastAsia="Times New Roman" w:hAnsi="Arial" w:cs="Arial"/>
          <w:szCs w:val="28"/>
          <w:lang w:val="uk-UA" w:eastAsia="ru-RU"/>
        </w:rPr>
        <w:t xml:space="preserve"> </w:t>
      </w:r>
      <w:r w:rsidRPr="00511005">
        <w:rPr>
          <w:rFonts w:ascii="Arial" w:eastAsia="Times New Roman" w:hAnsi="Arial" w:cs="Arial"/>
          <w:i/>
          <w:iCs/>
          <w:szCs w:val="28"/>
          <w:lang w:val="uk-UA" w:eastAsia="ru-RU"/>
        </w:rPr>
        <w:t>Юридичний вісник.</w:t>
      </w:r>
      <w:r w:rsidR="00B81D8E">
        <w:rPr>
          <w:rFonts w:ascii="Arial" w:eastAsia="Times New Roman" w:hAnsi="Arial" w:cs="Arial"/>
          <w:i/>
          <w:iCs/>
          <w:szCs w:val="28"/>
          <w:lang w:val="uk-UA" w:eastAsia="ru-RU"/>
        </w:rPr>
        <w:t xml:space="preserve"> </w:t>
      </w:r>
      <w:r w:rsidRPr="00511005">
        <w:rPr>
          <w:rFonts w:ascii="Arial" w:eastAsia="Times New Roman" w:hAnsi="Arial" w:cs="Arial"/>
          <w:iCs/>
          <w:szCs w:val="28"/>
          <w:lang w:val="uk-UA" w:eastAsia="ru-RU"/>
        </w:rPr>
        <w:t>2016.№</w:t>
      </w:r>
      <w:r w:rsidRPr="00511005">
        <w:rPr>
          <w:rFonts w:ascii="Arial" w:eastAsia="Times New Roman" w:hAnsi="Arial" w:cs="Arial"/>
          <w:szCs w:val="28"/>
          <w:lang w:val="uk-UA" w:eastAsia="ru-RU"/>
        </w:rPr>
        <w:t> 4 (41). С. 147-153.URL:</w:t>
      </w:r>
      <w:r w:rsidR="007B2628" w:rsidRPr="00511005">
        <w:rPr>
          <w:rFonts w:ascii="Arial" w:eastAsia="Times New Roman" w:hAnsi="Arial" w:cs="Arial"/>
          <w:szCs w:val="28"/>
          <w:lang w:val="uk-UA" w:eastAsia="ru-RU"/>
        </w:rPr>
        <w:t xml:space="preserve"> </w:t>
      </w:r>
      <w:hyperlink r:id="rId1552" w:history="1">
        <w:r w:rsidRPr="00511005">
          <w:rPr>
            <w:rFonts w:ascii="Arial" w:eastAsia="Times New Roman" w:hAnsi="Arial" w:cs="Arial"/>
            <w:szCs w:val="28"/>
            <w:lang w:val="uk-UA" w:eastAsia="ru-RU"/>
          </w:rPr>
          <w:t>https://jrnl.nau.edu.ua/index.php/UV/article/download/11146/14817</w:t>
        </w:r>
      </w:hyperlink>
      <w:r w:rsidRPr="00511005">
        <w:rPr>
          <w:rFonts w:ascii="Arial" w:eastAsia="Times New Roman" w:hAnsi="Arial" w:cs="Arial"/>
          <w:bCs/>
          <w:szCs w:val="28"/>
          <w:lang w:val="uk-UA" w:eastAsia="ru-RU" w:bidi="uk-UA"/>
        </w:rPr>
        <w:t>(дата звернення: 30.04.2025 р.)</w:t>
      </w:r>
    </w:p>
    <w:p w14:paraId="68BF3019" w14:textId="77777777" w:rsidR="003476F8" w:rsidRPr="00511005" w:rsidRDefault="003476F8"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b/>
          <w:szCs w:val="28"/>
          <w:lang w:val="uk-UA" w:eastAsia="ru-RU"/>
        </w:rPr>
      </w:pPr>
    </w:p>
    <w:p w14:paraId="09A51D28" w14:textId="0CA1A4DC" w:rsidR="003476F8" w:rsidRPr="00511005" w:rsidRDefault="003476F8"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szCs w:val="28"/>
          <w:lang w:val="uk-UA" w:eastAsia="ru-RU"/>
        </w:rPr>
      </w:pPr>
      <w:r w:rsidRPr="00170723">
        <w:rPr>
          <w:rFonts w:ascii="Arial" w:eastAsia="Times New Roman" w:hAnsi="Arial" w:cs="Arial"/>
          <w:b/>
          <w:i/>
          <w:iCs/>
          <w:szCs w:val="28"/>
          <w:lang w:val="uk-UA" w:eastAsia="ru-RU"/>
        </w:rPr>
        <w:t>Ключові слова:</w:t>
      </w:r>
      <w:r w:rsidR="00170723">
        <w:rPr>
          <w:rFonts w:ascii="Arial" w:eastAsia="Times New Roman" w:hAnsi="Arial" w:cs="Arial"/>
          <w:b/>
          <w:szCs w:val="28"/>
          <w:lang w:val="uk-UA" w:eastAsia="ru-RU"/>
        </w:rPr>
        <w:t xml:space="preserve"> </w:t>
      </w:r>
      <w:r w:rsidRPr="00511005">
        <w:rPr>
          <w:rFonts w:ascii="Arial" w:eastAsia="Times New Roman" w:hAnsi="Arial" w:cs="Arial"/>
          <w:szCs w:val="28"/>
          <w:lang w:val="uk-UA" w:eastAsia="ru-RU"/>
        </w:rPr>
        <w:t>юридичні особи, перехідний період, господарське законодавство, організаційно-правові форми, правове регулювання</w:t>
      </w:r>
    </w:p>
    <w:p w14:paraId="1E5C347E" w14:textId="238449CA" w:rsidR="003476F8" w:rsidRPr="00511005" w:rsidRDefault="007B2628"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szCs w:val="28"/>
          <w:lang w:val="uk-UA" w:eastAsia="ru-RU"/>
        </w:rPr>
        <w:t>legal entities, transitional period, commercial legislation, organization aland legal forms, legal regulation</w:t>
      </w:r>
    </w:p>
    <w:p w14:paraId="525678A6" w14:textId="3CDBBFFB" w:rsidR="003476F8" w:rsidRPr="00511005" w:rsidRDefault="007B2628"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3476F8" w:rsidRPr="00511005">
        <w:rPr>
          <w:rFonts w:ascii="Arial" w:eastAsia="Times New Roman" w:hAnsi="Arial" w:cs="Arial"/>
          <w:i/>
          <w:szCs w:val="28"/>
          <w:lang w:val="uk-UA" w:eastAsia="ru-RU"/>
        </w:rPr>
        <w:t>к.ю.н., доцент Згама А.О.</w:t>
      </w:r>
    </w:p>
    <w:p w14:paraId="6493A105" w14:textId="77777777" w:rsidR="00B81D8E" w:rsidRDefault="00B81D8E" w:rsidP="003A292D">
      <w:pPr>
        <w:spacing w:line="264" w:lineRule="auto"/>
        <w:ind w:firstLine="0"/>
        <w:jc w:val="center"/>
        <w:rPr>
          <w:rFonts w:ascii="Arial" w:eastAsia="Times New Roman" w:hAnsi="Arial" w:cs="Arial"/>
          <w:i/>
          <w:szCs w:val="28"/>
          <w:lang w:val="uk-UA" w:eastAsia="ru-RU"/>
        </w:rPr>
      </w:pPr>
    </w:p>
    <w:p w14:paraId="090037CB" w14:textId="77777777" w:rsidR="00B81D8E" w:rsidRDefault="00B81D8E" w:rsidP="003A292D">
      <w:pPr>
        <w:spacing w:line="264" w:lineRule="auto"/>
        <w:ind w:firstLine="0"/>
        <w:jc w:val="center"/>
        <w:rPr>
          <w:rFonts w:ascii="Arial" w:eastAsia="Times New Roman" w:hAnsi="Arial" w:cs="Arial"/>
          <w:i/>
          <w:szCs w:val="28"/>
          <w:lang w:val="uk-UA" w:eastAsia="ru-RU"/>
        </w:rPr>
      </w:pPr>
    </w:p>
    <w:p w14:paraId="5A5F5EF5" w14:textId="686916A0"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Іскра Єлизавета Сергіївна, Балик Анна Вікторівна</w:t>
      </w:r>
    </w:p>
    <w:p w14:paraId="17CAB100" w14:textId="73F6F8A4" w:rsidR="003476F8" w:rsidRPr="00511005" w:rsidRDefault="003476F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студентки 4-го курсу факультету цивільної та господарської юстиції</w:t>
      </w:r>
      <w:r w:rsidRPr="00511005">
        <w:rPr>
          <w:rFonts w:ascii="Arial" w:eastAsia="Times New Roman" w:hAnsi="Arial" w:cs="Arial"/>
          <w:szCs w:val="28"/>
          <w:lang w:val="uk-UA" w:eastAsia="ru-RU"/>
        </w:rPr>
        <w:br/>
        <w:t xml:space="preserve"> </w:t>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55F5183A"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p>
    <w:p w14:paraId="36AF50FF" w14:textId="77777777" w:rsidR="003476F8" w:rsidRPr="00511005" w:rsidRDefault="003476F8"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 xml:space="preserve">ПРЕВЕНТИВНА РЕСТРУКТУРИЗАЦІЯ </w:t>
      </w:r>
      <w:r w:rsidRPr="00511005">
        <w:rPr>
          <w:rFonts w:ascii="Arial" w:eastAsia="Times New Roman" w:hAnsi="Arial" w:cs="Arial"/>
          <w:b/>
          <w:caps/>
          <w:szCs w:val="28"/>
          <w:lang w:val="uk-UA" w:eastAsia="ru-RU"/>
        </w:rPr>
        <w:t>В умовах</w:t>
      </w:r>
      <w:r w:rsidRPr="00511005">
        <w:rPr>
          <w:rFonts w:ascii="Arial" w:eastAsia="Times New Roman" w:hAnsi="Arial" w:cs="Arial"/>
          <w:b/>
          <w:szCs w:val="28"/>
          <w:lang w:val="uk-UA" w:eastAsia="ru-RU"/>
        </w:rPr>
        <w:t xml:space="preserve"> ОНОВЛЕНОГО ЗАКОНОДАВСТВА</w:t>
      </w:r>
      <w:r w:rsidRPr="00511005">
        <w:rPr>
          <w:rFonts w:ascii="Arial" w:eastAsia="Times New Roman" w:hAnsi="Arial" w:cs="Arial"/>
          <w:b/>
          <w:caps/>
          <w:szCs w:val="28"/>
          <w:lang w:val="uk-UA" w:eastAsia="ru-RU"/>
        </w:rPr>
        <w:t>про неплатоспроможність</w:t>
      </w:r>
    </w:p>
    <w:p w14:paraId="7EC31E00"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 умовах нестабільної економічної ситуації та зростаючої кількості підприємств, що опиняються на межі неплатоспроможності, особливої актуальності набувають механізми запобігання банкрутству. Одним із ключових інструментів у цьому контексті є превентивна реструктуризація – комплекс заходів, спрямованих на фінансове оздоровлення боржника на ранній стадії кризових явищ, до офіційного відкриття провадження у справі про банкрутство.</w:t>
      </w:r>
    </w:p>
    <w:p w14:paraId="1E62DE43"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 січня 2025 року набрав чинності ЗУ «Про внесення змін до Кодексу України з процедур банкрутства та деяких інших законодавчих актів України щодо імплементації Директиви Європейського парламенту та Ради Європейського Союзу 2019/1023 та запровадження процедур превентивної реструктуризації», ним було впроваджено таку процедуру, як превентивна реструктуризація. Також було визначено зміст, умови, особливості процедури превентивної реструктуризації, механізми впливу тощо[1]. </w:t>
      </w:r>
    </w:p>
    <w:p w14:paraId="51F57858"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Цей механізм є надзвичайно важливим, адже надає можливість боржникам відновити платоспроможність без ініціювання судових процедур банкрутства. </w:t>
      </w:r>
    </w:p>
    <w:p w14:paraId="5116B729"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ЗУ, зазначеним раніше, встановлюються суб’єкти, які можуть скористатися даною процедурою: юридичні особи та фізичні особи – підприємці, однак зазначається, що дана процедура не поширюється на банки, казенні підприємства, державні установи та некомерційні державні підприємства. </w:t>
      </w:r>
    </w:p>
    <w:p w14:paraId="6F7D8F03" w14:textId="57BE2B6C"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Що саме може бути предметом реструктуризації</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встановлюється ч.5 ст.33-1 цього Закону: “грошові вимоги до боржника за зобов’язаннями, строк виконання яких настав, а також грошові вимоги до боржника за зобов’язаннями, строк виконання яких настане протягом процедури превентивної реструктуризації та внаслідок невиконання яких боржник може стати неплатоспроможним”[1]. </w:t>
      </w:r>
    </w:p>
    <w:p w14:paraId="3EE44E3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Що стосується видів, то розрізняють три основні форми реструктуризації: досудову, судову та гібридну. Досудові та гібридні підходи часто об'єднуються під загальною назвою "превентивна реструктуризація", оскільки їх головна мета – запобігти банкрутству проблемних підприємств. Досудова реструктуризація здійснюється без участі суду та може включати зміну графіків платежів, зменшення відсотків або списання частини боргу. Гібридні процедури комбінують переваги неформальних домовленостей (гнучкість переговорів, контроль боржника) з перевагами офіційного банкрутного процесу (мораторій, обов'язковість плану для всіх кредиторів).</w:t>
      </w:r>
    </w:p>
    <w:p w14:paraId="579A6695"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 рамках цієї процедури боржник у співпраці з усіма кредиторами розробляє план превентивної реструктуризації. На відміну від процедури досудової санації, що передбачає попередній розгляд плану загальними зборами кредиторів, у даному випадку документ направляється безпосередньо на розгляд господарського суду.</w:t>
      </w:r>
    </w:p>
    <w:p w14:paraId="595E3599"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План превентивної реструктуризації являє собою документ, самостійно підготовлений суб'єктом господарювання, що об'єктивно відображає всіх кредиторів, суму їхніх боргів, порядок і терміни погашення. Власник бізнесу ухвалює рішення про початок процедури превентивної реструктуризації. </w:t>
      </w:r>
    </w:p>
    <w:p w14:paraId="0E3B15C3"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Законодавством регламентовано максимальний строк для затвердження плану превентивної реструктуризації, що становить шість місяців з можливістю його пролонгації на додаткові шість місяців, але із загальним обмеженням у дванадцять місяців. </w:t>
      </w:r>
    </w:p>
    <w:p w14:paraId="0BBE91E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Етапи процедури превентивної реструктуризації включають: </w:t>
      </w:r>
    </w:p>
    <w:p w14:paraId="28EF8636"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1) початок процедури;</w:t>
      </w:r>
    </w:p>
    <w:p w14:paraId="07FC89C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2)розгляд господарським судом питання про затвердження плану превентивної реструктуризації;</w:t>
      </w:r>
    </w:p>
    <w:p w14:paraId="7E3F628C"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3) реалізація плану превентивної реструктуризації;</w:t>
      </w:r>
    </w:p>
    <w:p w14:paraId="60B49655"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4) завершення процедури превентивної реструктуризації.[2]</w:t>
      </w:r>
    </w:p>
    <w:p w14:paraId="0AF8364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Особливості цієї процедури:</w:t>
      </w:r>
    </w:p>
    <w:p w14:paraId="6F476E93"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-кредитори не мають права ініціювати банкрутство боржника;</w:t>
      </w:r>
    </w:p>
    <w:p w14:paraId="2269F85D"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-на період дії процедури превентивної реструктуризації зупиняється нарахування штрафних санкцій, пені, інших фінансових стягнень, а також процентів за борговими зобов'язаннями боржника перед кредиторами, які беруть участь у процедурі;</w:t>
      </w:r>
    </w:p>
    <w:p w14:paraId="5669BE1B"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-боржник звільняється від відповідальності за порушення грошових зобов'язань перед залученими кредиторами на час дії процедури;</w:t>
      </w:r>
    </w:p>
    <w:p w14:paraId="31AF0619"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До заходів, що можуть бути включені до плану, належать:</w:t>
      </w:r>
    </w:p>
    <w:p w14:paraId="2289C35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-заходи з реструктуризації зобов'язань та зміна профілю діяльності боржника;</w:t>
      </w:r>
    </w:p>
    <w:p w14:paraId="1A17239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-можливість отримати відстрочку, розстрочку платежів або часткове чи повне списання боргу;</w:t>
      </w:r>
    </w:p>
    <w:p w14:paraId="04BE1D6C"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-отримання додаткових джерел фінансування;</w:t>
      </w:r>
    </w:p>
    <w:p w14:paraId="0C7B747B"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-реалізація частини активів боржника;</w:t>
      </w:r>
    </w:p>
    <w:p w14:paraId="773047A8"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-відчуження цілісного майнового комплексу.; здійснення операцій з обміну активів;</w:t>
      </w:r>
    </w:p>
    <w:p w14:paraId="1239E1FC"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-збільшення розміру статутного капіталу через залучення додаткових інвестицій та інші інструменти для відновлення платоспроможності.</w:t>
      </w:r>
    </w:p>
    <w:p w14:paraId="519F2E07"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Слід звернути увагу на те, що в рамках плану превентивної реструктуризації боржник може залучати позики або інші кредити, необхідні для фінансування реструктуризаційних заходів (так зване нове фінансування).</w:t>
      </w:r>
    </w:p>
    <w:p w14:paraId="62B5A632"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Для схвалення плану необхідно отримати згоду:</w:t>
      </w:r>
    </w:p>
    <w:p w14:paraId="6DB5BC5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більш ніж 50% незабезпечених кредиторів (кредиторів без заставного забезпечення);</w:t>
      </w:r>
    </w:p>
    <w:p w14:paraId="7006DF7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-⅔ забезпечених кредиторів, тобто тих, чиї борги гарантовані заставним майном боржника, наприклад, нерухомістю (іпотекою) або транспортними засобами (заставою рухомого майна).</w:t>
      </w:r>
    </w:p>
    <w:p w14:paraId="52B8E413"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Дослідження процесуальних аспектів превентивної реструктуризації є важливим для розуміння її ефективності, потенційних переваг та можливих проблемних питань у практичному застосуванні.</w:t>
      </w:r>
    </w:p>
    <w:p w14:paraId="1A129E1F"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Запроваджуючи процедуру превентивної реструктуризації, Україна може стимулювати створення більш стійкого та адаптивного бізнес-середовища. Цей інструмент надає українським компаніям можливість ефективніше переживати економічні коливання з меншими негативними наслідками.</w:t>
      </w:r>
    </w:p>
    <w:p w14:paraId="5748D058"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1F6DABF1" w14:textId="77777777" w:rsidR="003476F8" w:rsidRPr="00511005" w:rsidRDefault="003476F8" w:rsidP="003A292D">
      <w:pPr>
        <w:spacing w:line="264" w:lineRule="auto"/>
        <w:ind w:firstLine="0"/>
        <w:rPr>
          <w:rFonts w:ascii="Arial" w:eastAsia="Arial" w:hAnsi="Arial" w:cs="Arial"/>
          <w:szCs w:val="28"/>
          <w:lang w:val="uk-UA" w:eastAsia="ru-RU"/>
        </w:rPr>
      </w:pPr>
    </w:p>
    <w:p w14:paraId="4D6A0C93" w14:textId="4D5500BB" w:rsidR="003476F8"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78713CF0" w14:textId="77777777" w:rsidR="003476F8" w:rsidRPr="00511005" w:rsidRDefault="005938AD" w:rsidP="003F6A5D">
      <w:pPr>
        <w:numPr>
          <w:ilvl w:val="0"/>
          <w:numId w:val="406"/>
        </w:numPr>
        <w:spacing w:line="264" w:lineRule="auto"/>
        <w:jc w:val="left"/>
        <w:rPr>
          <w:rFonts w:ascii="Arial" w:eastAsia="Arial" w:hAnsi="Arial" w:cs="Arial"/>
          <w:szCs w:val="28"/>
          <w:lang w:val="uk-UA" w:eastAsia="ru-RU"/>
        </w:rPr>
      </w:pPr>
      <w:hyperlink r:id="rId1553"/>
      <w:r w:rsidR="003476F8" w:rsidRPr="00511005">
        <w:rPr>
          <w:rFonts w:ascii="Arial" w:eastAsia="Times New Roman" w:hAnsi="Arial" w:cs="Arial"/>
          <w:szCs w:val="28"/>
          <w:lang w:val="uk-UA" w:eastAsia="ru-RU"/>
        </w:rPr>
        <w:t>Про внесення змін до Кодексу України з процедур банкрутства та деяких інших законодавчих актів України щодо імплементації Директиви Європейського парламенту та Ради Європейського Союзу 2019/1023 та запровадження процедур превентивної реструктуризації</w:t>
      </w:r>
      <w:hyperlink r:id="rId1554">
        <w:r w:rsidR="003476F8" w:rsidRPr="00511005">
          <w:rPr>
            <w:rFonts w:ascii="Arial" w:eastAsia="Times New Roman" w:hAnsi="Arial" w:cs="Arial"/>
            <w:szCs w:val="28"/>
            <w:lang w:val="uk-UA" w:eastAsia="ru-RU"/>
          </w:rPr>
          <w:t xml:space="preserve"> </w:t>
        </w:r>
        <w:r w:rsidR="003476F8" w:rsidRPr="00511005">
          <w:rPr>
            <w:rFonts w:ascii="Arial" w:eastAsia="Times New Roman" w:hAnsi="Arial" w:cs="Arial"/>
            <w:szCs w:val="28"/>
            <w:lang w:val="uk-UA" w:eastAsia="ru-RU"/>
          </w:rPr>
          <w:lastRenderedPageBreak/>
          <w:t xml:space="preserve">: Закон України від </w:t>
        </w:r>
      </w:hyperlink>
      <w:r w:rsidR="003476F8" w:rsidRPr="00511005">
        <w:rPr>
          <w:rFonts w:ascii="Arial" w:eastAsia="Times New Roman" w:hAnsi="Arial" w:cs="Arial"/>
          <w:szCs w:val="28"/>
          <w:lang w:val="uk-UA" w:eastAsia="ru-RU"/>
        </w:rPr>
        <w:t xml:space="preserve">11.12.2024 № 3985-IX. URL: </w:t>
      </w:r>
      <w:hyperlink r:id="rId1555" w:anchor="n107">
        <w:r w:rsidR="003476F8" w:rsidRPr="00511005">
          <w:rPr>
            <w:rFonts w:ascii="Arial" w:eastAsia="Times New Roman" w:hAnsi="Arial" w:cs="Arial"/>
            <w:szCs w:val="28"/>
            <w:lang w:val="uk-UA" w:eastAsia="ru-RU"/>
          </w:rPr>
          <w:t>https://zakon.rada.gov.ua/laws/show/3985-20#n107</w:t>
        </w:r>
      </w:hyperlink>
    </w:p>
    <w:p w14:paraId="2B3BC5B7" w14:textId="77777777" w:rsidR="003476F8" w:rsidRPr="00511005" w:rsidRDefault="003476F8" w:rsidP="003F6A5D">
      <w:pPr>
        <w:numPr>
          <w:ilvl w:val="0"/>
          <w:numId w:val="406"/>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Максим Боярчуков. Превентивна реструктуризація в теорії та практиці. Частина 1. </w:t>
      </w:r>
      <w:r w:rsidRPr="00511005">
        <w:rPr>
          <w:rFonts w:ascii="Arial" w:eastAsia="Times New Roman" w:hAnsi="Arial" w:cs="Arial"/>
          <w:i/>
          <w:szCs w:val="28"/>
          <w:lang w:val="uk-UA" w:eastAsia="ru-RU"/>
        </w:rPr>
        <w:t>Юридична газета online</w:t>
      </w:r>
      <w:r w:rsidRPr="00511005">
        <w:rPr>
          <w:rFonts w:ascii="Arial" w:eastAsia="Times New Roman" w:hAnsi="Arial" w:cs="Arial"/>
          <w:szCs w:val="28"/>
          <w:lang w:val="uk-UA" w:eastAsia="ru-RU"/>
        </w:rPr>
        <w:t xml:space="preserve">. 16.12.2024 р. URL: </w:t>
      </w:r>
      <w:hyperlink r:id="rId1556">
        <w:r w:rsidRPr="00511005">
          <w:rPr>
            <w:rFonts w:ascii="Arial" w:eastAsia="Times New Roman" w:hAnsi="Arial" w:cs="Arial"/>
            <w:szCs w:val="28"/>
            <w:lang w:val="uk-UA" w:eastAsia="ru-RU"/>
          </w:rPr>
          <w:t>https://yur-gazeta.com/dumka-eksperta/preventivna-restrukturizaciya-v-teoriyi-ta-praktici-chastina-1.html</w:t>
        </w:r>
      </w:hyperlink>
      <w:r w:rsidRPr="00511005">
        <w:rPr>
          <w:rFonts w:ascii="Arial" w:eastAsia="Times New Roman" w:hAnsi="Arial" w:cs="Arial"/>
          <w:szCs w:val="28"/>
          <w:lang w:val="uk-UA" w:eastAsia="ru-RU"/>
        </w:rPr>
        <w:t>.</w:t>
      </w:r>
    </w:p>
    <w:p w14:paraId="2F1CC124" w14:textId="5C68059A"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val="uk-UA" w:eastAsia="ru-RU"/>
        </w:rPr>
        <w:t>превентивна реструктуризація, банкрутство, кредитори, план реструктуризації.</w:t>
      </w:r>
    </w:p>
    <w:p w14:paraId="7D2A5CBD" w14:textId="1E5CA081" w:rsidR="003476F8" w:rsidRPr="00511005" w:rsidRDefault="007B2628" w:rsidP="003A292D">
      <w:pPr>
        <w:spacing w:line="264" w:lineRule="auto"/>
        <w:ind w:firstLine="0"/>
        <w:rPr>
          <w:rFonts w:ascii="Arial" w:eastAsia="Times New Roman" w:hAnsi="Arial" w:cs="Arial"/>
          <w:szCs w:val="28"/>
          <w:shd w:val="clear" w:color="auto" w:fill="F8F9FA"/>
          <w:lang w:val="uk-UA" w:eastAsia="ru-RU"/>
        </w:rPr>
      </w:pPr>
      <w:r w:rsidRPr="00511005">
        <w:rPr>
          <w:rFonts w:ascii="Arial" w:eastAsia="Times New Roman" w:hAnsi="Arial" w:cs="Arial"/>
          <w:b/>
          <w:i/>
          <w:szCs w:val="28"/>
          <w:shd w:val="clear" w:color="auto" w:fill="F8F9FA"/>
          <w:lang w:val="uk-UA" w:eastAsia="ru-RU"/>
        </w:rPr>
        <w:t xml:space="preserve">Key words: </w:t>
      </w:r>
      <w:r w:rsidR="003476F8" w:rsidRPr="00511005">
        <w:rPr>
          <w:rFonts w:ascii="Arial" w:eastAsia="Times New Roman" w:hAnsi="Arial" w:cs="Arial"/>
          <w:szCs w:val="28"/>
          <w:shd w:val="clear" w:color="auto" w:fill="F8F9FA"/>
          <w:lang w:val="uk-UA" w:eastAsia="ru-RU"/>
        </w:rPr>
        <w:t>preventive restructuring, bankruptcy, creditors, restructuring plan.</w:t>
      </w:r>
    </w:p>
    <w:p w14:paraId="5D34B69E" w14:textId="2295D497" w:rsidR="003476F8" w:rsidRPr="00511005" w:rsidRDefault="007B2628" w:rsidP="003A292D">
      <w:pPr>
        <w:spacing w:line="264" w:lineRule="auto"/>
        <w:ind w:firstLine="0"/>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3476F8" w:rsidRPr="00511005">
        <w:rPr>
          <w:rFonts w:ascii="Arial" w:eastAsia="Times New Roman" w:hAnsi="Arial" w:cs="Arial"/>
          <w:i/>
          <w:szCs w:val="28"/>
          <w:lang w:val="uk-UA" w:eastAsia="ru-RU"/>
        </w:rPr>
        <w:t>д.ю.н., доцент Квасніцька О.О</w:t>
      </w:r>
      <w:r w:rsidR="00B81D8E">
        <w:rPr>
          <w:rFonts w:ascii="Arial" w:eastAsia="Times New Roman" w:hAnsi="Arial" w:cs="Arial"/>
          <w:i/>
          <w:szCs w:val="28"/>
          <w:lang w:val="uk-UA" w:eastAsia="ru-RU"/>
        </w:rPr>
        <w:t>.</w:t>
      </w:r>
    </w:p>
    <w:p w14:paraId="27633CFC" w14:textId="77777777" w:rsidR="00B81D8E" w:rsidRDefault="00B81D8E" w:rsidP="003A292D">
      <w:pPr>
        <w:spacing w:line="264" w:lineRule="auto"/>
        <w:ind w:firstLine="0"/>
        <w:rPr>
          <w:rFonts w:ascii="Arial" w:eastAsia="Times New Roman" w:hAnsi="Arial" w:cs="Arial"/>
          <w:i/>
          <w:szCs w:val="28"/>
          <w:lang w:val="uk-UA" w:eastAsia="ru-RU"/>
        </w:rPr>
      </w:pPr>
    </w:p>
    <w:p w14:paraId="6E7C8C43" w14:textId="77777777" w:rsidR="00B81D8E" w:rsidRDefault="00B81D8E" w:rsidP="003A292D">
      <w:pPr>
        <w:spacing w:line="264" w:lineRule="auto"/>
        <w:ind w:firstLine="0"/>
        <w:rPr>
          <w:rFonts w:ascii="Arial" w:eastAsia="Times New Roman" w:hAnsi="Arial" w:cs="Arial"/>
          <w:i/>
          <w:szCs w:val="28"/>
          <w:lang w:val="uk-UA" w:eastAsia="ru-RU"/>
        </w:rPr>
      </w:pPr>
    </w:p>
    <w:p w14:paraId="0CF49182" w14:textId="5ECFF8FC" w:rsidR="003476F8" w:rsidRPr="00511005" w:rsidRDefault="003476F8" w:rsidP="003A292D">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Козинчук Анна Ярославівна,</w:t>
      </w:r>
      <w:r w:rsidR="00146592" w:rsidRPr="00511005">
        <w:rPr>
          <w:rFonts w:ascii="Arial" w:eastAsia="Times New Roman" w:hAnsi="Arial" w:cs="Arial"/>
          <w:b/>
          <w:bCs/>
          <w:i/>
          <w:iCs/>
          <w:szCs w:val="28"/>
          <w:lang w:val="uk-UA"/>
        </w:rPr>
        <w:t xml:space="preserve"> </w:t>
      </w:r>
      <w:r w:rsidRPr="00511005">
        <w:rPr>
          <w:rFonts w:ascii="Arial" w:eastAsia="Times New Roman" w:hAnsi="Arial" w:cs="Arial"/>
          <w:b/>
          <w:bCs/>
          <w:i/>
          <w:iCs/>
          <w:szCs w:val="28"/>
          <w:lang w:val="uk-UA"/>
        </w:rPr>
        <w:t>Круцяк Катерина Ігорівна</w:t>
      </w:r>
    </w:p>
    <w:p w14:paraId="1D7ED1BD" w14:textId="77777777" w:rsidR="003476F8" w:rsidRPr="00511005" w:rsidRDefault="003476F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студентки 4-го курсу факультету цивільної та господарської юстиції </w:t>
      </w:r>
    </w:p>
    <w:p w14:paraId="25410B44" w14:textId="75DA8705" w:rsidR="003476F8"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4B59EDBE" w14:textId="77777777" w:rsidR="003476F8" w:rsidRPr="00511005" w:rsidRDefault="003476F8" w:rsidP="003A292D">
      <w:pPr>
        <w:spacing w:line="264" w:lineRule="auto"/>
        <w:ind w:firstLine="0"/>
        <w:jc w:val="center"/>
        <w:rPr>
          <w:rFonts w:ascii="Arial" w:eastAsia="Times New Roman" w:hAnsi="Arial" w:cs="Arial"/>
          <w:szCs w:val="28"/>
          <w:lang w:val="uk-UA"/>
        </w:rPr>
      </w:pPr>
    </w:p>
    <w:p w14:paraId="54027B26" w14:textId="77777777" w:rsidR="003476F8" w:rsidRPr="00511005" w:rsidRDefault="003476F8"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 xml:space="preserve">ДОЦІЛЬНІСТЬ СКАСУВАННЯ ІНСТИТУТУ НАРАДЧОЇ КІМНАТИ У ГОСПОДАРСЬКОМУ ПРОЦЕСІ </w:t>
      </w:r>
    </w:p>
    <w:p w14:paraId="7E3B3492"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Господарське судочинство, як важлива складова національної правової системи, потребує постійного вдосконалення відповідно до принципів змагальності, гласності та оперативності розгляду справ. Одним із традиційних елементів здійснення правосуддя є інститут нарадчої кімнати — особливий процесуальний інструмент, який забезпечує таємницю ухвалення судового рішення суддею чи колегією суддів. Проте останнім часом у правничій спільноті дедалі частіше порушувались питання доцільності збереження цього інституту в господарському процесі з огляду на сучасні виклики, цифровізацію судочинства, а також потребу у відкритості та прозорості прийняття рішень.</w:t>
      </w:r>
    </w:p>
    <w:p w14:paraId="405CC817"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Скасування нарадчої кімнати може розглядатися як крок до підвищення довіри до суду та спрощення процедур ухвалення судових рішень. Водночас, таке рішення викликає низку питань щодо забезпечення незалежності судді, захисту від стороннього впливу та збереження об’єктивності при винесенні рішення. У цьому контексті особливої актуальності набуває дослідження доцільності скасування інституту нарадчої кімнати саме в господарському процесі, враховуючи його специфіку як арбітражної форми вирішення спорів між суб'єктами господарювання.</w:t>
      </w:r>
    </w:p>
    <w:p w14:paraId="4274E85B"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8 січня 2024 року Президент України підписав Закон №4173-IX, який остаточно скасовує інститут нарадчої кімнати в цивільному, господарському та адміністративному судочинстві. Закон набирає чинності через 30 днів з дня офіційного оприлюднення, однак визначено, що всі справи, провадження по яких відкрито до цього моменту, розглядатимуться вже за </w:t>
      </w:r>
      <w:r w:rsidRPr="00511005">
        <w:rPr>
          <w:rFonts w:ascii="Arial" w:eastAsia="Times New Roman" w:hAnsi="Arial" w:cs="Arial"/>
          <w:szCs w:val="28"/>
          <w:lang w:val="uk-UA"/>
        </w:rPr>
        <w:lastRenderedPageBreak/>
        <w:t>новими правилами[1]. Скасування інституту нарадчої кімнати торкнулося положень ГПК України, ЦПК України та КАС України: з цих актів вилучено згадки про нарадчу кімнату, а також замінено формулювання «таємниця нарадчої кімнати» на «таємниця ухвалення судового рішення». Тобто, йдеться не про повну відкритість процесу ухвалення рішень, а про зміну його просторової форми: обговорення та прийняття судового рішення має відбуватися у межах приміщення суду, але не обов’язково в окремій кімнаті. Цікаво, що закон не уточнює, де саме має відбуватися цей процес — в залі судового засідання чи в іншому службовому приміщенні, що викликає певну невизначеність у реалізації нововведення на практиці[2].</w:t>
      </w:r>
    </w:p>
    <w:p w14:paraId="1A02C846"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Реакція юридичної спільноти на це нововведення є неоднозначною. Зокрема, суддя Вищого антикорупційного суду І. Строгийзауважив, що рішення суду«… набирає головуючий суддя. Він радиться з бічними суддями, але вони в цей час могли б брати участь в інших справах. Режим нарадчої кімнати такого не передбачав. Але чи передбачає таке інститут ухвалення рішення? Народні депутати пояснюють, що так, але прямого визначення, що тепер суддя може розглядати решту своїх справ паралельно зі стадією прийняття рішення в одній з них — немає» [3]. </w:t>
      </w:r>
    </w:p>
    <w:p w14:paraId="77C9D767"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 одного боку, реформа демонструє прагнення до відкритості, зменшення простору для маніпуляцій і формалізму. Вона потенційно сприятиме зменшенню затягування процесів, пришвидшенню розгляду справ, а також кращому сприйняттю судових рішень з боку громадськості. Окрім того, такий підхід логічно вписується в загальний тренд діджиталізації судочинства, де традиційні процедурні елементи поступаються місцем ефективності та прозорості. З іншого боку, існує реальна загроза зниження якості судових рішень через відсутність часу на зважене обговорення або колегіальну дискусію, особливо в складних, прецедентних справах. Також не можна ігнорувати фактор психологічного тиску, який суддя може відчувати, перебуваючи у залі суду разом зі сторонами — навіть без прямого впливу, просто внаслідок присутності публіки або представників ЗМІ. Це може поставити під сумнів внутрішню незалежність судді, яка є однією з основ справедливого правосуддя.</w:t>
      </w:r>
    </w:p>
    <w:p w14:paraId="1559908B"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Як видається, уникнути негативних наслідків реформи можливо лише за умови чіткого врегулювання механізму ухвалення судових рішень. Закон повинен деталізувати просторові й процедурні аспекти нового порядку: де саме і як має відбуватися обговорення, чи допускається присутність сторонніх осіб, яким чином забезпечується конфіденційність у колегіальному складі тощо. Також доцільно передбачити внутрішні інструкції на рівні судової адміністрації та провести тренінги для суддів, які дозволять адаптуватися до нових умов без втрати якості судового процесу. У цьому контексті законодавчий експеримент із скасуванням нарадчої кімнати може стати або кроком до якісного оновлення системи, або джерелом нових </w:t>
      </w:r>
      <w:r w:rsidRPr="00511005">
        <w:rPr>
          <w:rFonts w:ascii="Arial" w:eastAsia="Times New Roman" w:hAnsi="Arial" w:cs="Arial"/>
          <w:szCs w:val="28"/>
          <w:lang w:val="uk-UA"/>
        </w:rPr>
        <w:lastRenderedPageBreak/>
        <w:t>процесуальних проблем — залежно від того, наскільки виважено і фахово він буде реалізований на практиці.</w:t>
      </w:r>
    </w:p>
    <w:p w14:paraId="280ADD5E"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Отже, хоча відмова від класичної форми нарадчої кімнати може символізувати перехід до більш відкритого правосуддя, правозастосовна практика зіткнулася з викликами нечіткого нормативного регулювання — зокрема, відсутністю конкретного визначення місця ухвалення судового рішення, що створює потенційну правову невизначеність. В умовах реформування важливо не лише змінювати форму, але й забезпечити ефективну реалізацію нових процедур через чітке законодавче закріплення, роз’яснення для суддів та адвокатів, а також належну технічну та інституційну підтримку.Таким чином, реформа інституту ухвалення рішень повинна супроводжуватись глибоким аналізом її наслідків у правозастосовній практиці та, за потреби, подальшими корективами. Тільки в такому разі вона сприятиме не лише прозорості, але й якості та справедливості судочинства.</w:t>
      </w:r>
    </w:p>
    <w:p w14:paraId="43DB33D1" w14:textId="77777777" w:rsidR="003476F8" w:rsidRPr="00511005" w:rsidRDefault="003476F8" w:rsidP="003A292D">
      <w:pPr>
        <w:tabs>
          <w:tab w:val="left" w:pos="4485"/>
        </w:tabs>
        <w:spacing w:line="264" w:lineRule="auto"/>
        <w:ind w:firstLine="0"/>
        <w:jc w:val="center"/>
        <w:rPr>
          <w:rFonts w:ascii="Arial" w:eastAsia="Times New Roman" w:hAnsi="Arial" w:cs="Arial"/>
          <w:b/>
          <w:bCs/>
          <w:szCs w:val="28"/>
          <w:lang w:val="uk-UA"/>
        </w:rPr>
      </w:pPr>
    </w:p>
    <w:p w14:paraId="4B5FBC81" w14:textId="03C35621" w:rsidR="003476F8" w:rsidRPr="00511005" w:rsidRDefault="007B2628" w:rsidP="007B2628">
      <w:pPr>
        <w:tabs>
          <w:tab w:val="left" w:pos="4485"/>
        </w:tabs>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32CF8A10" w14:textId="77777777" w:rsidR="003476F8" w:rsidRPr="00511005" w:rsidRDefault="003476F8" w:rsidP="003F6A5D">
      <w:pPr>
        <w:numPr>
          <w:ilvl w:val="0"/>
          <w:numId w:val="407"/>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Про внесення змін до Закону України «Про судоустрій і статус суддів» та деяких інших законодавчих актів України щодо вдосконалення ухвалення та проголошення судових рішень : Закон України №4173-IX від 19.12.2024р. URL :https://zakon.rada.gov.ua/laws/show/4173-20#Text.</w:t>
      </w:r>
    </w:p>
    <w:p w14:paraId="5EF0628D" w14:textId="77777777" w:rsidR="003476F8" w:rsidRPr="00511005" w:rsidRDefault="003476F8" w:rsidP="003F6A5D">
      <w:pPr>
        <w:numPr>
          <w:ilvl w:val="0"/>
          <w:numId w:val="407"/>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Хотинська-Нор О., Потапенко А., Свояк Д. Основні новели Закону №4173-ІХ: коментарі членів авторського колективу законодавчих пропозицій. Судово-юридична газета. 27 січня 2025 р. URL: https://sud.ua/uk/news/blog/321569-osnovnye-novelly-zakona-no4173-ix-po-usovershenstvovaniyu-prinyatiya-i-provozglasheniya-sudebnykh-resheniy-kommentarii-chlenov-avtorskogo-kollektiva-zakonodatelnykh-predlozheniy</w:t>
      </w:r>
    </w:p>
    <w:p w14:paraId="470193CA" w14:textId="77777777" w:rsidR="003476F8" w:rsidRPr="00511005" w:rsidRDefault="003476F8" w:rsidP="003F6A5D">
      <w:pPr>
        <w:numPr>
          <w:ilvl w:val="0"/>
          <w:numId w:val="407"/>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Коломієць Д. Вища рада правосуддя. В судах ліквідували нарадчі кімнати: як це вплине на розгляд справ. URL: </w:t>
      </w:r>
      <w:hyperlink r:id="rId1557" w:history="1">
        <w:r w:rsidRPr="00511005">
          <w:rPr>
            <w:rFonts w:ascii="Arial" w:eastAsia="Times New Roman" w:hAnsi="Arial" w:cs="Arial"/>
            <w:szCs w:val="28"/>
            <w:lang w:val="uk-UA"/>
          </w:rPr>
          <w:t>https://hcj.gov.ua/massmedia/v-sudah-likviduvaly-naradchi-kimnaty-yak-ce-vplyne-na-rozglyad-sprav</w:t>
        </w:r>
      </w:hyperlink>
    </w:p>
    <w:p w14:paraId="228F7AAF" w14:textId="77777777" w:rsidR="003476F8" w:rsidRPr="00511005" w:rsidRDefault="003476F8" w:rsidP="003A292D">
      <w:pPr>
        <w:spacing w:line="264" w:lineRule="auto"/>
        <w:ind w:firstLine="0"/>
        <w:contextualSpacing/>
        <w:rPr>
          <w:rFonts w:ascii="Arial" w:eastAsia="Times New Roman" w:hAnsi="Arial" w:cs="Arial"/>
          <w:szCs w:val="28"/>
          <w:lang w:val="uk-UA"/>
        </w:rPr>
      </w:pPr>
    </w:p>
    <w:p w14:paraId="75625E4B" w14:textId="5FAF9336" w:rsidR="003476F8" w:rsidRPr="00511005" w:rsidRDefault="003476F8" w:rsidP="003A292D">
      <w:pPr>
        <w:spacing w:line="264" w:lineRule="auto"/>
        <w:ind w:firstLine="0"/>
        <w:rPr>
          <w:rFonts w:ascii="Arial" w:eastAsia="Times New Roman" w:hAnsi="Arial" w:cs="Arial"/>
          <w:szCs w:val="28"/>
          <w:lang w:val="uk-UA"/>
        </w:rPr>
      </w:pPr>
      <w:r w:rsidRPr="009C3A24">
        <w:rPr>
          <w:rFonts w:ascii="Arial" w:eastAsia="Times New Roman" w:hAnsi="Arial" w:cs="Arial"/>
          <w:b/>
          <w:bCs/>
          <w:i/>
          <w:iCs/>
          <w:szCs w:val="28"/>
          <w:lang w:val="uk-UA"/>
        </w:rPr>
        <w:t>Ключові слова:</w:t>
      </w:r>
      <w:r w:rsidR="009C3A24">
        <w:rPr>
          <w:rFonts w:ascii="Arial" w:eastAsia="Times New Roman" w:hAnsi="Arial" w:cs="Arial"/>
          <w:szCs w:val="28"/>
          <w:lang w:val="uk-UA"/>
        </w:rPr>
        <w:t xml:space="preserve"> </w:t>
      </w:r>
      <w:r w:rsidRPr="00511005">
        <w:rPr>
          <w:rFonts w:ascii="Arial" w:eastAsia="Times New Roman" w:hAnsi="Arial" w:cs="Arial"/>
          <w:szCs w:val="28"/>
          <w:lang w:val="uk-UA"/>
        </w:rPr>
        <w:t>скасування нарадчої кімнати, господарське процесуальне право, судова реформа, ухвалення судових рішень.</w:t>
      </w:r>
    </w:p>
    <w:p w14:paraId="59C85177" w14:textId="62CE7F61" w:rsidR="003476F8"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3476F8" w:rsidRPr="00511005">
        <w:rPr>
          <w:rFonts w:ascii="Arial" w:eastAsia="Times New Roman" w:hAnsi="Arial" w:cs="Arial"/>
          <w:szCs w:val="28"/>
          <w:lang w:val="uk-UA"/>
        </w:rPr>
        <w:t>abolition of the deliberation room, commercial procedural law, judicialre form, decision-makingprocess.</w:t>
      </w:r>
    </w:p>
    <w:p w14:paraId="74EA238F" w14:textId="673390BE" w:rsidR="003476F8" w:rsidRPr="00511005" w:rsidRDefault="007B2628" w:rsidP="003A292D">
      <w:pPr>
        <w:spacing w:line="264" w:lineRule="auto"/>
        <w:ind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3476F8" w:rsidRPr="00511005">
        <w:rPr>
          <w:rFonts w:ascii="Arial" w:eastAsia="Times New Roman" w:hAnsi="Arial" w:cs="Arial"/>
          <w:i/>
          <w:iCs/>
          <w:szCs w:val="28"/>
          <w:lang w:val="uk-UA"/>
        </w:rPr>
        <w:t>к.ю.н., доцент Будурова Г</w:t>
      </w:r>
      <w:r w:rsidR="00B81D8E">
        <w:rPr>
          <w:rFonts w:ascii="Arial" w:eastAsia="Times New Roman" w:hAnsi="Arial" w:cs="Arial"/>
          <w:i/>
          <w:iCs/>
          <w:szCs w:val="28"/>
          <w:lang w:val="uk-UA"/>
        </w:rPr>
        <w:t>.</w:t>
      </w:r>
      <w:r w:rsidR="003476F8" w:rsidRPr="00511005">
        <w:rPr>
          <w:rFonts w:ascii="Arial" w:eastAsia="Times New Roman" w:hAnsi="Arial" w:cs="Arial"/>
          <w:i/>
          <w:iCs/>
          <w:szCs w:val="28"/>
          <w:lang w:val="uk-UA"/>
        </w:rPr>
        <w:t xml:space="preserve"> М.</w:t>
      </w:r>
    </w:p>
    <w:p w14:paraId="55632347" w14:textId="77777777" w:rsidR="003476F8" w:rsidRPr="00511005" w:rsidRDefault="003476F8" w:rsidP="003A292D">
      <w:pPr>
        <w:spacing w:line="264" w:lineRule="auto"/>
        <w:ind w:firstLine="0"/>
        <w:jc w:val="center"/>
        <w:rPr>
          <w:rFonts w:ascii="Arial" w:eastAsia="Calibri" w:hAnsi="Arial" w:cs="Arial"/>
          <w:b/>
          <w:i/>
          <w:szCs w:val="28"/>
          <w:lang w:val="uk-UA"/>
        </w:rPr>
      </w:pPr>
      <w:r w:rsidRPr="00511005">
        <w:rPr>
          <w:rFonts w:ascii="Arial" w:eastAsia="Times New Roman" w:hAnsi="Arial" w:cs="Arial"/>
          <w:i/>
          <w:szCs w:val="28"/>
          <w:lang w:val="uk-UA" w:eastAsia="ru-RU"/>
        </w:rPr>
        <w:br w:type="column"/>
      </w:r>
      <w:r w:rsidRPr="00511005">
        <w:rPr>
          <w:rFonts w:ascii="Arial" w:eastAsia="Calibri" w:hAnsi="Arial" w:cs="Arial"/>
          <w:b/>
          <w:i/>
          <w:szCs w:val="28"/>
          <w:lang w:val="uk-UA"/>
        </w:rPr>
        <w:lastRenderedPageBreak/>
        <w:t>Котелкіна Валерія Миколаївна</w:t>
      </w:r>
    </w:p>
    <w:p w14:paraId="574D3E39" w14:textId="25341DEF" w:rsidR="003476F8" w:rsidRPr="00511005" w:rsidRDefault="00B81D8E" w:rsidP="003A292D">
      <w:pPr>
        <w:spacing w:line="264" w:lineRule="auto"/>
        <w:ind w:firstLine="0"/>
        <w:jc w:val="center"/>
        <w:rPr>
          <w:rFonts w:ascii="Arial" w:eastAsia="Calibri" w:hAnsi="Arial" w:cs="Arial"/>
          <w:szCs w:val="28"/>
          <w:lang w:val="uk-UA"/>
        </w:rPr>
      </w:pPr>
      <w:r>
        <w:rPr>
          <w:rFonts w:ascii="Arial" w:eastAsia="Calibri" w:hAnsi="Arial" w:cs="Arial"/>
          <w:szCs w:val="28"/>
          <w:lang w:val="uk-UA"/>
        </w:rPr>
        <w:t>с</w:t>
      </w:r>
      <w:r w:rsidR="00536AAB" w:rsidRPr="00511005">
        <w:rPr>
          <w:rFonts w:ascii="Arial" w:eastAsia="Calibri" w:hAnsi="Arial" w:cs="Arial"/>
          <w:szCs w:val="28"/>
          <w:lang w:val="uk-UA"/>
        </w:rPr>
        <w:t>тудентка 3-го курсу факультету адвокатури та антикорупційної діяльності</w:t>
      </w:r>
    </w:p>
    <w:p w14:paraId="4958EBF8" w14:textId="0CD49E4B" w:rsidR="003476F8"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73616C12" w14:textId="77777777" w:rsidR="003476F8" w:rsidRPr="00511005" w:rsidRDefault="003476F8" w:rsidP="003A292D">
      <w:pPr>
        <w:spacing w:line="264" w:lineRule="auto"/>
        <w:ind w:firstLine="0"/>
        <w:jc w:val="left"/>
        <w:rPr>
          <w:rFonts w:ascii="Arial" w:eastAsia="Calibri" w:hAnsi="Arial" w:cs="Arial"/>
          <w:szCs w:val="28"/>
          <w:lang w:val="uk-UA"/>
        </w:rPr>
      </w:pPr>
    </w:p>
    <w:p w14:paraId="7B7BECB7"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ДОГОВІР ФАКТОРИНГУ В ГОСПОДАРСЬКОМУ ПРАВІ: ПРАВОВЕ РЕГУЛЮВАННЯ ТА СУДОВА ПРАКТИКА</w:t>
      </w:r>
    </w:p>
    <w:p w14:paraId="5C352430"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Питання місця договору факторингу в системі договірного права України залишається дискусійним серед правників. Інститут факторингу розвивається одночасно в двох важливих галузях права: господарському та цивільному. В обох цих сферах факторинг є механізмом фінансування, що ґрунтується на відступленні права грошової вимоги. Дискусії щодо природи договору факторингу в цих двох правових галузях вказують на важливість чіткого визначення його правової природи та необхідність комплексного підходу до його регулювання, адже це має значний вплив на практику використання факторингу в економіці загалом.</w:t>
      </w:r>
    </w:p>
    <w:p w14:paraId="7DBA1B1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Calibri" w:hAnsi="Arial" w:cs="Arial"/>
          <w:szCs w:val="28"/>
          <w:lang w:val="uk-UA"/>
        </w:rPr>
        <w:t xml:space="preserve">У цивільному праві за цим договором фактор передає чи бере на себе обов’язок щодо передачі грошових коштів клієнтові в розпорядження, за певну плату. А клієнт, в свою чергу, бере зобов’язання відступити чи відступає своє право грошової вимоги відносно боржника - факторові [1]. </w:t>
      </w:r>
      <w:r w:rsidRPr="00511005">
        <w:rPr>
          <w:rFonts w:ascii="Arial" w:eastAsia="Times New Roman" w:hAnsi="Arial" w:cs="Arial"/>
          <w:szCs w:val="28"/>
          <w:lang w:val="uk-UA" w:eastAsia="ru-RU"/>
        </w:rPr>
        <w:t>В рамках господарського права роль договору факторингу дещо інша: це операція, яка в основному виконується через банки, котрі надають фінансові послуги своїм клієнтам за плату, що включає відступлення права грошової вимоги щодо боржника третьої особи</w:t>
      </w:r>
      <w:r w:rsidRPr="00511005">
        <w:rPr>
          <w:rFonts w:ascii="Arial" w:eastAsia="Calibri" w:hAnsi="Arial" w:cs="Arial"/>
          <w:szCs w:val="28"/>
          <w:lang w:val="uk-UA"/>
        </w:rPr>
        <w:t xml:space="preserve"> [2]. </w:t>
      </w:r>
      <w:r w:rsidRPr="00511005">
        <w:rPr>
          <w:rFonts w:ascii="Arial" w:eastAsia="Times New Roman" w:hAnsi="Arial" w:cs="Arial"/>
          <w:szCs w:val="28"/>
          <w:lang w:val="uk-UA" w:eastAsia="ru-RU"/>
        </w:rPr>
        <w:t>Тому факторинг у господарському праві часто виступає як частина кредитних і банківських операцій.</w:t>
      </w:r>
    </w:p>
    <w:p w14:paraId="67ADBFB4"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Вчені наголошують на тому, що в господарському законодавстві та Законі України «Про банки і банківську діяльність» факторинг виступає видом фінансової господарської діяльності, що виявляє кредитування фактором клієнта, а в цивільному – він розкривається в якості цивільного правового інституту.</w:t>
      </w:r>
    </w:p>
    <w:p w14:paraId="0FA05CE5"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Слід зазначити, що Закон України «Про банки та банківську діяльність» відносить факторинг до кредитних операцій, Господарський кодекс України(далі також – ГК України) визначає його в якості банківської операції, а в Законі України «Про фінансові послуги та державне регулювання ринків фінансових послуг» він виокремлюється як вид фінансових послуг [2; 3; 4]. Безумовно, банки мають повноваження з приводу реалізації фінансових послуг, виходячи з цього, і з послуг щодо факторингу, при цьому виключне право в регулюванні діяльності банків властиве ГК України [5, c. 740]. </w:t>
      </w:r>
    </w:p>
    <w:p w14:paraId="16188460"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Крім того, правове підґрунтя виконання операцій з факторингу закладено у Конвенції УНІДРУА про міжнародний факторинг, відповідно до якої договір факторингу – це такий договір, який укладений між постачальником та фактором, та в ньому: 1) постачальник може відступати або відступає фактору право грошової вимоги, що виникає з договорів про купівлю-продаж </w:t>
      </w:r>
      <w:r w:rsidRPr="00511005">
        <w:rPr>
          <w:rFonts w:ascii="Arial" w:eastAsia="Calibri" w:hAnsi="Arial" w:cs="Arial"/>
          <w:szCs w:val="28"/>
          <w:lang w:val="uk-UA"/>
        </w:rPr>
        <w:lastRenderedPageBreak/>
        <w:t>товарів, що укладені між постачальником та боржниками – його покупцями, окрім договорів купівлі-продажу товарів, які були придбані, передусім, для їхнього домашнього, сімейного або особистого користування;2) фактор повинен реалізовувати функції фінансування постачальника, здійснення захисту від несплати боржників, пред'явлення щодо сплати грошових вимог, проведення обліку стосовно дебіторської заборгованості;3) боржники мають бути сповіщені щодо відступлення права грошової вимоги [6].</w:t>
      </w:r>
    </w:p>
    <w:p w14:paraId="459B1FC8"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Також в Загальних правил міжнародного факторингу (GRIF), факторинг тлумачиться як договір, згідно з яким у постачальника є можливість відступити або він відступить дебіторську заборгованість фактору, не дивлячись на те, чи є мета фінансування, задля забезпечення щонайменше однієї з таких функцій: збирання та обліку дебіторської заборгованості;захисту від безнадійних боргів [7].</w:t>
      </w:r>
    </w:p>
    <w:p w14:paraId="6B1F0B61"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Слід звернути увагу на те, що правові відносини, які стосуються факторингу, найбільш конкретно і точно збігаються з предметом регулювання саме ГК України. Цьому також є підтвердження в судовій практиці - питома вага спорів, що відносяться до факторингу, розглядаються в формі господарського судочинства. Поширеними є ситуації, коли загальний суд відмовляє у розгляді позову в формі цивільного судочинства, обґрунтовуючи таке рішення тим, що ця категорія справ повинна розглядатися господарським судом. </w:t>
      </w:r>
    </w:p>
    <w:p w14:paraId="21046C45"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Раніше, на практиці діяльність з факторингу зводилась до цесії - відступлення права вимоги[5, c. 739]. З приводу цього, слід звернути увагу на постанову, в якій ВП ВС визначила такі ознаки, які стосуються договору факторингу: 1) предмет договору – це надання відповідної послуги з фінансів за окрему плату; 2) зобов`язання є тільки грошовим, коли клієнтом здійснюється відступлення права вимоги; 3) цей договір обов’язково повинен визначати як повернення фінансування фактору, так і оплату клієнтом фінансової послуги, яка надана фактором; 4) форма договору - письмова та повинна мати в своєму складі умови, які виокремлені Законом України «Про фінансові послуги та державне регулювання ринків фінансових послуг»; 5) ціль договору - надання фактором і отримання послуги з фінансів клієнтом. </w:t>
      </w:r>
    </w:p>
    <w:p w14:paraId="41BA596D"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Вирішуючи у цій справі проблему з приводу розмежування правочину щодо відступлення права вимоги та договору факторингу, ВП ВС дійшла відповідного висновку: у разі, якщо предмет та мета договору, що уклали, виступає в якості відступлення права вимоги, а решта важливих умов договору властива договорам відступлення щодо права вимоги і факторингу, то в разі, коли немає доказів, які надають підтвердження та закріплення стосовно здійснення новим кредитором послуги з фінансів колишньому кредитору, суд не може визнати такий договір відступлення права вимоги - договором факторингу[8]. </w:t>
      </w:r>
    </w:p>
    <w:p w14:paraId="25057394"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 xml:space="preserve">Доцільно порівняти договір факторингу з договором купівлі-продажу права вимоги. За результатами розгляду справи, ВП ВС підтримала висновки судів попередніх інстанцій відносно того, що, оскільки спірний договір щодо відступлення права вимоги – це договір купівлі-продажу права вимоги, то, в такому випадку, він не має можливості водночас бути будь-яким іншим договором, у тому числі договором факторингу [9]. Судами у цій справі зазначено, що, відповідно до умов договору, відносно якого ведеться спір, новому кредитору відступає первісний кредитор, а новий кредитор приймає право стосовно вимоги, яке властиве та належить первісному кредитору, і бере на себе обов’язок щодо сплати первісному кредитору грошової суми[1]. Умова цього договору спрямовувалась на тому, що первісний кредитор відступає новому кредитору, а новий кредитор приймає право щодо вимоги, крім того,сповіщення боржника згідно з вимогою відносно її відступлення підтверджує виконання та реалізацію договору зі сторони продавця права вимоги водночас з укладенням такого договору способом вчинення цесії [10]. </w:t>
      </w:r>
    </w:p>
    <w:p w14:paraId="5D2FCB75"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Ймовірна відмінність між вартістю, яка стосується права вимоги та ціною щодо його продажу може бути викликана ліквідністю такого майнового права та вона не являє собою наявність послуги з фінансів, яка надається новим кредитором - попередньому [8]. Через це купівля права вимоги за іншою вартістю, ніж сума грошових коштів чи ціна майна, яку боржник відповідно до вимоги повинен передати саме кредитору, не підтверджує факт щодо укладення договору факторингу сторонами. А необхідні особливості такого факторингу являють собою надання власне фінансування фактором клієнту та повернення фінансування клієнтом фактору, враховуючи сплату клієнтом такої послуги з фінансів [9]. Коли мова йде про купівлю-продаж права вимоги, то такі особливості, насамперед, відсутні [11; 9].</w:t>
      </w:r>
    </w:p>
    <w:p w14:paraId="0D9D276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Calibri" w:hAnsi="Arial" w:cs="Arial"/>
          <w:szCs w:val="28"/>
          <w:lang w:val="uk-UA"/>
        </w:rPr>
        <w:t>Отже, на підставі вищенаведеного, слід зазначити, що завдяки переважній кількості досліджень, які наразі проведені, факторинг розкривається в якості особливого виду господарської діяльності, що реалізується суб’єктом із спеціальною правосуб’єктністю. Однак у</w:t>
      </w:r>
      <w:r w:rsidRPr="00511005">
        <w:rPr>
          <w:rFonts w:ascii="Arial" w:eastAsia="Times New Roman" w:hAnsi="Arial" w:cs="Arial"/>
          <w:szCs w:val="28"/>
          <w:lang w:val="uk-UA" w:eastAsia="ru-RU"/>
        </w:rPr>
        <w:t xml:space="preserve"> зв’язку з перспективою втрати чинності ГК України, постає необхідність оновлення правового регулювання факторингу. Очевидним є запит на комплексну кодифікацію норм, які визначають правову природу факторингу, його ознаки та особливості укладення і виконання договору. З огляду на європейські тенденції, перспективним виглядає закріплення факторингу як окремого виду фінансової послуги, чітко розмежованого від цесії і кредитних договорів.</w:t>
      </w:r>
      <w:r w:rsidRPr="00511005">
        <w:rPr>
          <w:rFonts w:ascii="Arial" w:eastAsia="Calibri" w:hAnsi="Arial" w:cs="Arial"/>
          <w:szCs w:val="28"/>
          <w:lang w:val="uk-UA"/>
        </w:rPr>
        <w:t xml:space="preserve"> Регулювання має зосереджуватися на фінансовій суті операції, а також враховувати особливості надання факторингових послуг спеціалізованими суб’єктами фінансового ринку. Такий підхід сприятиме формуванню єдиної, узгодженої правозастосовної практики та розвитку ринку фінансових послуг в Україні.</w:t>
      </w:r>
    </w:p>
    <w:p w14:paraId="60FDD42A" w14:textId="77777777" w:rsidR="003476F8" w:rsidRPr="00511005" w:rsidRDefault="003476F8" w:rsidP="003A292D">
      <w:pPr>
        <w:spacing w:line="264" w:lineRule="auto"/>
        <w:ind w:firstLine="0"/>
        <w:jc w:val="center"/>
        <w:rPr>
          <w:rFonts w:ascii="Arial" w:eastAsia="Calibri" w:hAnsi="Arial" w:cs="Arial"/>
          <w:b/>
          <w:szCs w:val="28"/>
          <w:lang w:val="uk-UA"/>
        </w:rPr>
      </w:pPr>
    </w:p>
    <w:p w14:paraId="04C1341D" w14:textId="6588AAE4" w:rsidR="003476F8"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02F902BF"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1. Цивільний кодекс України: Кодекс України; Закон, Кодекс від 16.01.2003 № 435-IV.</w:t>
      </w:r>
    </w:p>
    <w:p w14:paraId="25EB146F"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2. Господарський кодекс України: Кодекс України; Закон, Кодекс від 16.01.2003 № 436-IV</w:t>
      </w:r>
    </w:p>
    <w:p w14:paraId="467B9EE6"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3. Про банки і банківську діяльність: Закон України від 07.12.2000 № 2121-III.</w:t>
      </w:r>
    </w:p>
    <w:p w14:paraId="0F8BAD5B"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4. Про фінансові послуги та фінансові компанії: Закон України від 14.12.2021 № 1953-IX. </w:t>
      </w:r>
    </w:p>
    <w:p w14:paraId="7C8640B1"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5. Згама А. О. Про факторинг як господарсько-правовий договір. Правове життя сучасної України : матеріали Міжнар. наук. конф. проф.-викл. та аспірант. Півд. регіон. центр НАПрНУкраїни. Одеса :Фенікс, 2013. Т. 2. С. 739-741.</w:t>
      </w:r>
    </w:p>
    <w:p w14:paraId="456CAED3"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6. Конвенція УНІДРУА про міжнародний факторинг про міжнародний факторинг (Оттава, 28 травня 1988 року): УНІДРУА; Конвенція, Міжнародний документ від 28.05.1988. URL: </w:t>
      </w:r>
      <w:hyperlink r:id="rId1558" w:anchor="Text" w:history="1">
        <w:r w:rsidRPr="00511005">
          <w:rPr>
            <w:rFonts w:ascii="Arial" w:eastAsia="Calibri" w:hAnsi="Arial" w:cs="Arial"/>
            <w:szCs w:val="28"/>
            <w:lang w:val="uk-UA"/>
          </w:rPr>
          <w:t>https://zakon.rada.gov.ua/laws/show/995_210#Text</w:t>
        </w:r>
      </w:hyperlink>
    </w:p>
    <w:p w14:paraId="757BBD79"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7. General Rules for International Factoring. URL: </w:t>
      </w:r>
      <w:hyperlink r:id="rId1559" w:history="1">
        <w:r w:rsidRPr="00511005">
          <w:rPr>
            <w:rFonts w:ascii="Arial" w:eastAsia="Calibri" w:hAnsi="Arial" w:cs="Arial"/>
            <w:szCs w:val="28"/>
            <w:lang w:val="uk-UA"/>
          </w:rPr>
          <w:t>https://www.tebfaktoring.com.tr/sites/1/upload/files/9_FCI_GRIF-35.pdf</w:t>
        </w:r>
      </w:hyperlink>
    </w:p>
    <w:p w14:paraId="2720CF95"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8. Постанова Великої Палати Верховного Суду від 16 березня 2021 року у справі № 906/1174/18 (провадження № 12-1гс21). URL: </w:t>
      </w:r>
      <w:hyperlink r:id="rId1560" w:history="1">
        <w:r w:rsidRPr="00511005">
          <w:rPr>
            <w:rFonts w:ascii="Arial" w:eastAsia="Calibri" w:hAnsi="Arial" w:cs="Arial"/>
            <w:szCs w:val="28"/>
            <w:lang w:val="uk-UA"/>
          </w:rPr>
          <w:t>http://iplex.com.ua/doc.php?regnum=96342866&amp;red=1000033ed5a3e2c11aa870962e5507c72faaf6&amp;d=5</w:t>
        </w:r>
      </w:hyperlink>
    </w:p>
    <w:p w14:paraId="30C84E16"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9. Постанова Великої Палати Верховного Суду від 07 вересня 2022 року у справі № 910/16579/20 (провадження № 12-60гс21). URL: </w:t>
      </w:r>
      <w:hyperlink r:id="rId1561" w:history="1">
        <w:r w:rsidRPr="00511005">
          <w:rPr>
            <w:rFonts w:ascii="Arial" w:eastAsia="Calibri" w:hAnsi="Arial" w:cs="Arial"/>
            <w:szCs w:val="28"/>
            <w:lang w:val="uk-UA"/>
          </w:rPr>
          <w:t>https://verdictum.ligazakon.net/document/107140913</w:t>
        </w:r>
      </w:hyperlink>
    </w:p>
    <w:p w14:paraId="0F687C5C"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10. Постанова Великої Палати Верховного Суду від 08 червня 2021 року у справі № 346/1305/19(провадження № 14-181цс20). URL: </w:t>
      </w:r>
      <w:hyperlink r:id="rId1562" w:history="1">
        <w:r w:rsidRPr="00511005">
          <w:rPr>
            <w:rFonts w:ascii="Arial" w:eastAsia="Calibri" w:hAnsi="Arial" w:cs="Arial"/>
            <w:szCs w:val="28"/>
            <w:lang w:val="uk-UA"/>
          </w:rPr>
          <w:t>https://verdictum.ligazakon.net/document/98524306</w:t>
        </w:r>
      </w:hyperlink>
    </w:p>
    <w:p w14:paraId="36778B25"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11. Інформаційна довідка про практику Верховного Суду у справах щодо відступлення права вимоги, факторингу, розмежування факторингу і відступлення права вимоги (цесії). 17 с. URL: </w:t>
      </w:r>
      <w:hyperlink r:id="rId1563" w:history="1">
        <w:r w:rsidRPr="00511005">
          <w:rPr>
            <w:rFonts w:ascii="Arial" w:eastAsia="Calibri" w:hAnsi="Arial" w:cs="Arial"/>
            <w:szCs w:val="28"/>
            <w:lang w:val="uk-UA"/>
          </w:rPr>
          <w:t>https://supreme.court.gov.ua/userfiles/media/new_folder_for_uploads/supreme/nauk_visn/Info_dovidka_prakt_VS_cesia_fakt.pdf</w:t>
        </w:r>
      </w:hyperlink>
    </w:p>
    <w:p w14:paraId="2321ED59" w14:textId="62892242"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3476F8" w:rsidRPr="00511005">
        <w:rPr>
          <w:rFonts w:ascii="Arial" w:eastAsia="Calibri" w:hAnsi="Arial" w:cs="Arial"/>
          <w:szCs w:val="28"/>
          <w:lang w:val="uk-UA"/>
        </w:rPr>
        <w:t>факторинг, господарське зобов’язання, фінансування, цесія.</w:t>
      </w:r>
    </w:p>
    <w:p w14:paraId="679B402D" w14:textId="5F4423D3" w:rsidR="003476F8" w:rsidRPr="00511005" w:rsidRDefault="003476F8" w:rsidP="003A292D">
      <w:pPr>
        <w:spacing w:line="264" w:lineRule="auto"/>
        <w:ind w:firstLine="0"/>
        <w:rPr>
          <w:rFonts w:ascii="Arial" w:eastAsia="Calibri" w:hAnsi="Arial" w:cs="Arial"/>
          <w:b/>
          <w:bCs/>
          <w:szCs w:val="28"/>
          <w:lang w:val="uk-UA"/>
        </w:rPr>
      </w:pPr>
      <w:r w:rsidRPr="00070B72">
        <w:rPr>
          <w:rFonts w:ascii="Arial" w:eastAsia="Calibri" w:hAnsi="Arial" w:cs="Arial"/>
          <w:b/>
          <w:bCs/>
          <w:i/>
          <w:iCs/>
          <w:szCs w:val="28"/>
          <w:lang w:val="uk-UA"/>
        </w:rPr>
        <w:t>Key</w:t>
      </w:r>
      <w:r w:rsidR="00070B72" w:rsidRPr="00070B72">
        <w:rPr>
          <w:rFonts w:ascii="Arial" w:eastAsia="Calibri" w:hAnsi="Arial" w:cs="Arial"/>
          <w:b/>
          <w:bCs/>
          <w:i/>
          <w:iCs/>
          <w:szCs w:val="28"/>
          <w:lang w:val="uk-UA"/>
        </w:rPr>
        <w:t xml:space="preserve"> </w:t>
      </w:r>
      <w:r w:rsidRPr="00070B72">
        <w:rPr>
          <w:rFonts w:ascii="Arial" w:eastAsia="Calibri" w:hAnsi="Arial" w:cs="Arial"/>
          <w:b/>
          <w:bCs/>
          <w:i/>
          <w:iCs/>
          <w:szCs w:val="28"/>
          <w:lang w:val="uk-UA"/>
        </w:rPr>
        <w:t>words:</w:t>
      </w:r>
      <w:r w:rsidR="00070B72">
        <w:rPr>
          <w:rFonts w:ascii="Arial" w:eastAsia="Calibri" w:hAnsi="Arial" w:cs="Arial"/>
          <w:b/>
          <w:bCs/>
          <w:szCs w:val="28"/>
          <w:lang w:val="uk-UA"/>
        </w:rPr>
        <w:t xml:space="preserve"> </w:t>
      </w:r>
      <w:r w:rsidRPr="00511005">
        <w:rPr>
          <w:rFonts w:ascii="Arial" w:eastAsia="Calibri" w:hAnsi="Arial" w:cs="Arial"/>
          <w:bCs/>
          <w:szCs w:val="28"/>
          <w:lang w:val="uk-UA"/>
        </w:rPr>
        <w:t>factoring, economic obligation, financing, assignment.</w:t>
      </w:r>
    </w:p>
    <w:p w14:paraId="49F9FE2D" w14:textId="6BD6EAD5" w:rsidR="003476F8" w:rsidRPr="00511005" w:rsidRDefault="007B2628" w:rsidP="003A292D">
      <w:pPr>
        <w:spacing w:line="264" w:lineRule="auto"/>
        <w:ind w:firstLine="0"/>
        <w:jc w:val="left"/>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3476F8" w:rsidRPr="00511005">
        <w:rPr>
          <w:rFonts w:ascii="Arial" w:eastAsia="Calibri" w:hAnsi="Arial" w:cs="Arial"/>
          <w:i/>
          <w:szCs w:val="28"/>
          <w:lang w:val="uk-UA"/>
        </w:rPr>
        <w:t>к.ю.н., доцент Згама А. О.</w:t>
      </w:r>
    </w:p>
    <w:p w14:paraId="1698D98B" w14:textId="77777777" w:rsidR="003476F8" w:rsidRPr="00511005" w:rsidRDefault="003476F8" w:rsidP="003A292D">
      <w:pPr>
        <w:spacing w:line="264" w:lineRule="auto"/>
        <w:ind w:firstLine="0"/>
        <w:jc w:val="left"/>
        <w:rPr>
          <w:rFonts w:ascii="Arial" w:eastAsia="Calibri" w:hAnsi="Arial" w:cs="Arial"/>
          <w:i/>
          <w:szCs w:val="28"/>
          <w:lang w:val="uk-UA"/>
        </w:rPr>
      </w:pPr>
    </w:p>
    <w:p w14:paraId="00DE7122" w14:textId="77777777"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br w:type="column"/>
      </w:r>
      <w:r w:rsidRPr="00511005">
        <w:rPr>
          <w:rFonts w:ascii="Arial" w:eastAsia="Times New Roman" w:hAnsi="Arial" w:cs="Arial"/>
          <w:b/>
          <w:i/>
          <w:szCs w:val="28"/>
          <w:lang w:val="uk-UA" w:eastAsia="ru-RU"/>
        </w:rPr>
        <w:lastRenderedPageBreak/>
        <w:t>Куліченко Аліна Василівна</w:t>
      </w:r>
    </w:p>
    <w:p w14:paraId="70A6CB56" w14:textId="01A134C7" w:rsidR="003476F8" w:rsidRPr="00511005" w:rsidRDefault="00B81D8E" w:rsidP="003A292D">
      <w:pPr>
        <w:spacing w:line="264" w:lineRule="auto"/>
        <w:ind w:firstLine="0"/>
        <w:jc w:val="center"/>
        <w:rPr>
          <w:rFonts w:ascii="Arial" w:eastAsia="Times New Roman" w:hAnsi="Arial" w:cs="Arial"/>
          <w:szCs w:val="28"/>
          <w:lang w:val="uk-UA" w:eastAsia="ru-RU"/>
        </w:rPr>
      </w:pPr>
      <w:r>
        <w:rPr>
          <w:rFonts w:ascii="Arial" w:eastAsia="Times New Roman" w:hAnsi="Arial" w:cs="Arial"/>
          <w:szCs w:val="28"/>
          <w:lang w:val="uk-UA" w:eastAsia="ru-RU"/>
        </w:rPr>
        <w:t>с</w:t>
      </w:r>
      <w:r w:rsidR="00536AAB" w:rsidRPr="00511005">
        <w:rPr>
          <w:rFonts w:ascii="Arial" w:eastAsia="Times New Roman" w:hAnsi="Arial" w:cs="Arial"/>
          <w:szCs w:val="28"/>
          <w:lang w:val="uk-UA" w:eastAsia="ru-RU"/>
        </w:rPr>
        <w:t xml:space="preserve">тудентка 4-го курсу </w:t>
      </w:r>
      <w:r w:rsidR="007B2628" w:rsidRPr="00511005">
        <w:rPr>
          <w:rFonts w:ascii="Arial" w:eastAsia="Times New Roman" w:hAnsi="Arial" w:cs="Arial"/>
          <w:szCs w:val="28"/>
          <w:lang w:val="uk-UA" w:eastAsia="ru-RU"/>
        </w:rPr>
        <w:t>факультету цивільної та господарської юстиції</w:t>
      </w:r>
      <w:r w:rsidR="003476F8" w:rsidRPr="00511005">
        <w:rPr>
          <w:rFonts w:ascii="Arial" w:eastAsia="Times New Roman" w:hAnsi="Arial" w:cs="Arial"/>
          <w:szCs w:val="28"/>
          <w:lang w:val="uk-UA" w:eastAsia="ru-RU"/>
        </w:rPr>
        <w:t xml:space="preserve"> </w:t>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49D3A5F8"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p>
    <w:p w14:paraId="5792E68C" w14:textId="60DD55E7" w:rsidR="003476F8" w:rsidRPr="00511005" w:rsidRDefault="003476F8" w:rsidP="003A292D">
      <w:pPr>
        <w:spacing w:line="264" w:lineRule="auto"/>
        <w:ind w:firstLine="0"/>
        <w:jc w:val="center"/>
        <w:rPr>
          <w:rFonts w:ascii="Arial" w:eastAsia="Times New Roman" w:hAnsi="Arial" w:cs="Arial"/>
          <w:b/>
          <w:caps/>
          <w:szCs w:val="28"/>
          <w:lang w:val="uk-UA" w:eastAsia="ru-RU"/>
        </w:rPr>
      </w:pPr>
      <w:r w:rsidRPr="00511005">
        <w:rPr>
          <w:rFonts w:ascii="Arial" w:eastAsia="Times New Roman" w:hAnsi="Arial" w:cs="Arial"/>
          <w:b/>
          <w:caps/>
          <w:szCs w:val="28"/>
          <w:lang w:val="uk-UA" w:eastAsia="ru-RU"/>
        </w:rPr>
        <w:t>відкритт</w:t>
      </w:r>
      <w:r w:rsidR="00B81D8E">
        <w:rPr>
          <w:rFonts w:ascii="Arial" w:eastAsia="Times New Roman" w:hAnsi="Arial" w:cs="Arial"/>
          <w:b/>
          <w:caps/>
          <w:szCs w:val="28"/>
          <w:lang w:val="uk-UA" w:eastAsia="ru-RU"/>
        </w:rPr>
        <w:t>Я</w:t>
      </w:r>
      <w:r w:rsidRPr="00511005">
        <w:rPr>
          <w:rFonts w:ascii="Arial" w:eastAsia="Times New Roman" w:hAnsi="Arial" w:cs="Arial"/>
          <w:b/>
          <w:caps/>
          <w:szCs w:val="28"/>
          <w:lang w:val="uk-UA" w:eastAsia="ru-RU"/>
        </w:rPr>
        <w:t xml:space="preserve"> провадження у справі про банкрутство: підстави та особливості </w:t>
      </w:r>
    </w:p>
    <w:p w14:paraId="319001F2" w14:textId="77777777" w:rsidR="007B262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Питання правового регулювання банкрутства посідає важливе місце в системі господарського процесу та є одним із ключових механізмів забезпечення економічної стабільності держави. В умовах ринкової економіки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виникають ситуації, коли суб'єкти господарювання стають неспроможними виконувати свої фінансові зобов'язання, що зумовлює необхідність застосування спеціальних правових процедур для врегулювання відносин між боржником та кредиторами.</w:t>
      </w:r>
    </w:p>
    <w:p w14:paraId="4B8CE485" w14:textId="56987366"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Господарський процес передбачає різні форми розгляду справ у судах залежно від характеру правовідносин, що виникають.</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Однак основними є позовне провадження та провадження справ про банкрутство. Позовне провадження виступає універсальним механізмом захисту законних прав та інтересів суб'єктів господарських відносин. Воно базується на принципі змагальності та регламентується ГПК України, особливістю</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якого є</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існування спору між учасниками.</w:t>
      </w:r>
    </w:p>
    <w:p w14:paraId="77279555" w14:textId="49C85453"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Справи про банкрутство регулюються КУзПБ як спеціалізованим нормативним актом і характеризуються складною багатокомпонентною природою. Судові процедури можуть відрізнятися в залежності від боржника: фізичної чи юридичної особи. Його основна мета полягає не в вирішенні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спору як такого, а у відновленні фінансової спроможності боржника або проведенні ліквідаційних процедур для забезпечення вимог кредиторів</w:t>
      </w:r>
    </w:p>
    <w:p w14:paraId="4498E7F9" w14:textId="0C459C84"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позовному провадженні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беруть участь дві сторони — позивач і відповідач, а також можуть бути треті особи. У справах про банкрутство учасниками - боржник та кредитор. Відкриття провадження у справі про банкрутство є початковим та важливим етапом, від якого залежить можливість реалізації прав усіх учасників цього процесу. Потрібно звернути увагу на підстави відкриття провадження.</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У </w:t>
      </w:r>
      <w:r w:rsidRPr="00511005">
        <w:rPr>
          <w:rFonts w:ascii="Arial" w:eastAsia="Times New Roman" w:hAnsi="Arial" w:cs="Arial"/>
          <w:bCs/>
          <w:szCs w:val="28"/>
          <w:lang w:val="uk-UA" w:eastAsia="ru-RU"/>
        </w:rPr>
        <w:t>позовному провадженні</w:t>
      </w:r>
      <w:r w:rsidRPr="00511005">
        <w:rPr>
          <w:rFonts w:ascii="Arial" w:eastAsia="Times New Roman" w:hAnsi="Arial" w:cs="Arial"/>
          <w:szCs w:val="28"/>
          <w:lang w:val="uk-UA" w:eastAsia="ru-RU"/>
        </w:rPr>
        <w:t xml:space="preserve"> та у </w:t>
      </w:r>
      <w:r w:rsidRPr="00511005">
        <w:rPr>
          <w:rFonts w:ascii="Arial" w:eastAsia="Times New Roman" w:hAnsi="Arial" w:cs="Arial"/>
          <w:bCs/>
          <w:szCs w:val="28"/>
          <w:lang w:val="uk-UA" w:eastAsia="ru-RU"/>
        </w:rPr>
        <w:t>справах про банкрутство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для цього є різні правові підстави, порядок та умови.</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Відповідно до статті 175 ГПК України, позовна заява повинна відповідати встановленим вимогам щодо форми і змісту та містити всі обов'язкові реквізити та мають бути додані всі потрібні документи.</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Після надходження позову суд проводить перевірку щодо підвідомчості справи, дотримання правил підсудності, а також відповідності заяви вимогам щодо її форми та змісту. У разі відповідності заяви всім вимогам, суддя у 5 -ти денний строк відкриває провадження.</w:t>
      </w:r>
    </w:p>
    <w:p w14:paraId="39080C4E" w14:textId="0503EF18"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Порівнюючи з провадженням справ про банкрутство, право на подання заяви про відкриття провадження у справі про банкрутство мають боржник або кредитор ( 34 КУзПБ), а в разі банкрутства фізичної особи – виключно сам боржник-фізична особа шляхом подання заяви до господарського суду про відкриття провадження у справі про неплатоспроможність (115 КУзПБ).</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При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цьому, підстави для відкриття провадження у справі визначені статтею 38 КУзПБ є загальними, однак для фізичної особи регламентовані спеціальні підстави, а саме: поряд з наявними ознаками загрози неплатоспроможності провадження може бути відкрито, коли боржник припинив погашення кредитів чи здійснення інших планових платежів у розмірі більше 50 відсотків місячних платежів за кожним з кредитних та інших зобов’язань упродовж двох місяців або </w:t>
      </w:r>
      <w:bookmarkStart w:id="180" w:name="n1480"/>
      <w:bookmarkEnd w:id="180"/>
      <w:r w:rsidRPr="00511005">
        <w:rPr>
          <w:rFonts w:ascii="Arial" w:eastAsia="Times New Roman" w:hAnsi="Arial" w:cs="Arial"/>
          <w:szCs w:val="28"/>
          <w:lang w:val="uk-UA" w:eastAsia="ru-RU"/>
        </w:rPr>
        <w:t>якщо у боржника відсутнє майно, на яке може бути звернено стягнення, а здійснені виконавцем відповідно до </w:t>
      </w:r>
      <w:hyperlink r:id="rId1564" w:tgtFrame="_blank" w:history="1">
        <w:r w:rsidRPr="00511005">
          <w:rPr>
            <w:rFonts w:ascii="Arial" w:eastAsia="Times New Roman" w:hAnsi="Arial" w:cs="Arial"/>
            <w:szCs w:val="28"/>
            <w:lang w:val="uk-UA" w:eastAsia="ru-RU"/>
          </w:rPr>
          <w:t>Закону України</w:t>
        </w:r>
      </w:hyperlink>
      <w:r w:rsidRPr="00511005">
        <w:rPr>
          <w:rFonts w:ascii="Arial" w:eastAsia="Times New Roman" w:hAnsi="Arial" w:cs="Arial"/>
          <w:szCs w:val="28"/>
          <w:lang w:val="uk-UA" w:eastAsia="ru-RU"/>
        </w:rPr>
        <w:t> "Про виконавче провадження" заходи щодо розшуку такого майна виявилися безрезультатними</w:t>
      </w:r>
      <w:bookmarkStart w:id="181" w:name="n2309"/>
      <w:bookmarkEnd w:id="181"/>
      <w:r w:rsidRPr="00511005">
        <w:rPr>
          <w:rFonts w:ascii="Arial" w:eastAsia="Times New Roman" w:hAnsi="Arial" w:cs="Arial"/>
          <w:szCs w:val="28"/>
          <w:lang w:val="uk-UA" w:eastAsia="ru-RU"/>
        </w:rPr>
        <w:t xml:space="preserve"> [2].</w:t>
      </w:r>
    </w:p>
    <w:p w14:paraId="04CCE5C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До загальних належить, зокрема, доведення боржником або кредитором факту неплатоспроможності, тобто нездатності боржника задовольнити вимоги кредиторів. Заява повинна відповідати вимогам, встановленим статтею 39 КУзПБ.В ній обов’язково зазначаються дані про боржника, опис грошових вимог, докази їх обґрунтованості, а також додаються документи, що підтверджують неплатоспроможність боржника. У разі невідповідності вимогам суд має право відмовити у відкритті провадження, відповідно до загальних підстав передбачених ст. 175 ГПК України[1] та спеціальних, які передбачені ст. 37 КУзПБ. Однак, слід зазначити, що відкриття провадження в справах про банкрутство характеризується іншими строками, у порівняння з позовним.</w:t>
      </w:r>
    </w:p>
    <w:p w14:paraId="4398BEAB"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Господарський суд у п'ятиденний термін після отримання заяви може відмовити у її прийнятті у таких випадках: якщо законодавство не допускає проведення процедури банкрутства щодо даного боржника; коли щодо боржника вже застосовано процедуру превентивної реструктуризації з відповідними захисними заходами; коли суд уже затвердив план превентивної реструктуризації, а заява надійшла від залученого кредитора без доказів невиконання плану боржником; або якщо юридична особа-боржник уже припинила своє існування згідно із законом. У разі відмови суд виносить ухвалу, яку надсилає заявнику разом з поверненням усіх поданих документів. </w:t>
      </w:r>
    </w:p>
    <w:p w14:paraId="55D76DC0" w14:textId="77777777" w:rsidR="003476F8" w:rsidRPr="00511005" w:rsidRDefault="003476F8" w:rsidP="003A292D">
      <w:pPr>
        <w:spacing w:line="264" w:lineRule="auto"/>
        <w:ind w:firstLine="0"/>
        <w:rPr>
          <w:rFonts w:ascii="Arial" w:eastAsia="Times New Roman" w:hAnsi="Arial" w:cs="Arial"/>
          <w:i/>
          <w:iCs/>
          <w:szCs w:val="28"/>
          <w:lang w:val="uk-UA" w:eastAsia="ru-RU"/>
        </w:rPr>
      </w:pPr>
      <w:r w:rsidRPr="00511005">
        <w:rPr>
          <w:rFonts w:ascii="Arial" w:eastAsia="Times New Roman" w:hAnsi="Arial" w:cs="Arial"/>
          <w:szCs w:val="28"/>
          <w:lang w:val="uk-UA" w:eastAsia="ru-RU"/>
        </w:rPr>
        <w:t xml:space="preserve">Отже, ми спостерігаємо іншу етапність провадження, тобто відкриття провадження або відмова у відкриття провадження у справах про банкрутство відбувається після прийняття заяви про відкриття провадження за результатами підготовчого завсідна, що відбувається не пізніше 14 днів з дня постановлення ухвали про прийняття заяви про відкриття провадження у справі, а за наявності поважних причин (здійснення сплати грошових </w:t>
      </w:r>
      <w:r w:rsidRPr="00511005">
        <w:rPr>
          <w:rFonts w:ascii="Arial" w:eastAsia="Times New Roman" w:hAnsi="Arial" w:cs="Arial"/>
          <w:szCs w:val="28"/>
          <w:lang w:val="uk-UA" w:eastAsia="ru-RU"/>
        </w:rPr>
        <w:lastRenderedPageBreak/>
        <w:t>зобов’язань кредиторам тощо) - не пізніше 20 днів[3]. Таким чином, в підготовчому засідання господарський суд перевіряє обґрунтованість вимог заявника, а також з’ясовує наявність підстав для відкриття провадження у справі про банкрутство та відмовляє у відкриття з врахуванням ч. 6 ст. 39, а саме якщо:</w:t>
      </w:r>
      <w:bookmarkStart w:id="182" w:name="n551"/>
      <w:bookmarkEnd w:id="182"/>
      <w:r w:rsidRPr="00511005">
        <w:rPr>
          <w:rFonts w:ascii="Arial" w:eastAsia="Times New Roman" w:hAnsi="Arial" w:cs="Arial"/>
          <w:szCs w:val="28"/>
          <w:lang w:val="uk-UA" w:eastAsia="ru-RU"/>
        </w:rPr>
        <w:t xml:space="preserve"> вимоги кредитора свідчать про наявність спору про право, який підлягає вирішенню у порядку позовного провадження;</w:t>
      </w:r>
      <w:bookmarkStart w:id="183" w:name="n552"/>
      <w:bookmarkEnd w:id="183"/>
      <w:r w:rsidRPr="00511005">
        <w:rPr>
          <w:rFonts w:ascii="Arial" w:eastAsia="Times New Roman" w:hAnsi="Arial" w:cs="Arial"/>
          <w:szCs w:val="28"/>
          <w:lang w:val="uk-UA" w:eastAsia="ru-RU"/>
        </w:rPr>
        <w:t>вимоги кредитора (кредиторів) задоволені боржником у повному обсязі до підготовчого засідання суду;</w:t>
      </w:r>
      <w:bookmarkStart w:id="184" w:name="n3057"/>
      <w:bookmarkEnd w:id="184"/>
      <w:r w:rsidRPr="00511005">
        <w:rPr>
          <w:rFonts w:ascii="Arial" w:eastAsia="Times New Roman" w:hAnsi="Arial" w:cs="Arial"/>
          <w:szCs w:val="28"/>
          <w:lang w:val="uk-UA" w:eastAsia="ru-RU"/>
        </w:rPr>
        <w:t xml:space="preserve"> заяву подано про порушення справи про банкрутство оптового постачальника електричної енергії. Та відмінністю від позовного провадження є наслідки такої відмови: не перешкоджає повторному зверненню до господарського суду із заявою про відкриття провадження у справі про банкрутство за наявності підстав.</w:t>
      </w:r>
    </w:p>
    <w:p w14:paraId="449A5177"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Відмову у відкритті провадження у справі про банкрутство може бути зумовлено наявністю спору про право між заявником і боржником. Це підтверджено постановою Верховного Суду від 3 вересня 2020 року у справі №910/16413/19. Якщо вимоги кредитора вказують на спір, який має вирішуватися у позовному провадженні, суд відмовляє у відкритті провадження.</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Відсутність спору про право означає, що між сторонами немає розбіжностей щодо основних елементів зобов’язання: сторін, суті, підстав виникнення, суми та строків виконання. Суд перевіряє відзив боржника, пояснення його представника чи інформацію з ЄДРСР, щоб з’ясувати, чи є інші позови щодо цих питань. Верховний Суд зазначає, що під час підготовчого засідання суд не може вирішити спір про право, оскільки для цього потрібна процедура позовного провадження, яка має свої правила, включаючи можливість подання зустрічного позову та інші процесуальні особливості. [4]</w:t>
      </w:r>
    </w:p>
    <w:p w14:paraId="6F341F97" w14:textId="71EE5131"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Cs/>
          <w:szCs w:val="28"/>
          <w:lang w:val="uk-UA" w:eastAsia="ru-RU"/>
        </w:rPr>
        <w:t>Постановою у справі №905/2030/19</w:t>
      </w:r>
      <w:r w:rsidRPr="00511005">
        <w:rPr>
          <w:rFonts w:ascii="Arial" w:eastAsia="Times New Roman" w:hAnsi="Arial" w:cs="Arial"/>
          <w:szCs w:val="28"/>
          <w:lang w:val="uk-UA" w:eastAsia="ru-RU"/>
        </w:rPr>
        <w:t>суд встановив, що відповідно до положень КзПБ, якщо провадження у справі відкривається за заявою кредитора, то господарський суд перевіряє можливість боржника виконати майнові зобов’язання, строки яких вже настави. Боржник має надати докази спроможності виконати свої зобов’язання і погасити заборгованість.</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При цьому, на ініціюючого кредитора</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не покладається обов’язок доводити, що боржник не має змоги виконати свої зобов’язання. Він належить самому боржнику, що підтверджується можливістю останнього надати відповідні документи щодо своєї платоспроможності.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Суд наголосив, що покладення на кредитора обов’язку доводити обставини, які мають значення для виконання боржником зобов’язань, суперечить засадам змагальності сторін, відповідно до яких кожна сторона несе відповідальність за надання доказів на підтвердження своїх вимог чи заперечень. [4]</w:t>
      </w:r>
    </w:p>
    <w:p w14:paraId="3DACCA22" w14:textId="47245A75"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Отже, питання відкриття провадження у справі про банкрутство є критично важливим у господарському процесі, оскільки саме на цьому етапі визначається можливість реалізації прав усіх учасників процедури. На </w:t>
      </w:r>
      <w:r w:rsidRPr="00511005">
        <w:rPr>
          <w:rFonts w:ascii="Arial" w:eastAsia="Times New Roman" w:hAnsi="Arial" w:cs="Arial"/>
          <w:szCs w:val="28"/>
          <w:lang w:val="uk-UA" w:eastAsia="ru-RU"/>
        </w:rPr>
        <w:lastRenderedPageBreak/>
        <w:t>відміну від позовного провадження, де суд відкриває провадження після формальної перевірки відповідності заяви встановленим вимогам, у справах про банкрутство ця процедура має складніший і більш специфічний характер. Відкриття провадження відбувається не пізніше 14 днів після</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проведення підготовчого засідання. У ньому господарський суд з'ясовує обґрунтованість вимог заявника, перевіряє наявність підстав для відкриття провадження (ознаки неплатоспроможності, відсутність спору про право тощо) або приймає рішення про відмову. Тобто, йдеться про дворівневу перевірку, що включає окремо аналіз</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заяви про відкриття провадження в 5-денний термін та підстав для відкриття провадження, що відбувається в 14-денний термін. Специфіка полягає і у відмінному процесуальному порядку, розширеному колі підстав для відкриття або відмови у відкритті провадження, а також у різних умовах залежно від того, чи є боржник юридичною, чи фізичною особою. </w:t>
      </w:r>
    </w:p>
    <w:p w14:paraId="28D351F2"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4DFB715A" w14:textId="6AC79299" w:rsidR="003476F8"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42386BA0" w14:textId="77777777" w:rsidR="003476F8" w:rsidRPr="00511005" w:rsidRDefault="003476F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1.Господарський процесуальний кодекс України : Кодекс України від 6 лист. 1991 р. № 1798-XII // Відомості Верховної Ради України. – 1992. – № 6. – Ст. 56.. – Режим доступу: https://zakon.rada.gov.ua/laws/show/1798-12</w:t>
      </w:r>
    </w:p>
    <w:p w14:paraId="0985C27A" w14:textId="77777777" w:rsidR="003476F8" w:rsidRPr="00511005" w:rsidRDefault="003476F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Кодекс України з процедур банкрутства : Закон України від 18 жовт. 2018 р. № 2597-VIII // Відомості Верховної Ради України. – 2019. – № 20. – Ст. 79.. – Режим доступу: </w:t>
      </w:r>
      <w:hyperlink r:id="rId1565" w:history="1">
        <w:r w:rsidRPr="00511005">
          <w:rPr>
            <w:rFonts w:ascii="Arial" w:eastAsia="Times New Roman" w:hAnsi="Arial" w:cs="Arial"/>
            <w:szCs w:val="28"/>
            <w:lang w:val="uk-UA" w:eastAsia="uk-UA"/>
          </w:rPr>
          <w:t>https://zakon.rada.gov.ua/laws/show/2597-19</w:t>
        </w:r>
      </w:hyperlink>
    </w:p>
    <w:p w14:paraId="6B8284A1" w14:textId="77777777" w:rsidR="003476F8" w:rsidRPr="00511005" w:rsidRDefault="003476F8" w:rsidP="003A292D">
      <w:pPr>
        <w:spacing w:line="264" w:lineRule="auto"/>
        <w:ind w:firstLine="0"/>
        <w:rPr>
          <w:rFonts w:ascii="Arial" w:eastAsia="Times New Roman" w:hAnsi="Arial" w:cs="Arial"/>
          <w:szCs w:val="28"/>
          <w:shd w:val="clear" w:color="auto" w:fill="FFFFFF"/>
          <w:lang w:val="uk-UA" w:eastAsia="uk-UA"/>
        </w:rPr>
      </w:pPr>
      <w:r w:rsidRPr="00B81D8E">
        <w:rPr>
          <w:rFonts w:ascii="Arial" w:eastAsia="Times New Roman" w:hAnsi="Arial" w:cs="Arial"/>
          <w:szCs w:val="28"/>
          <w:lang w:val="uk-UA" w:eastAsia="uk-UA"/>
        </w:rPr>
        <w:t>3.</w:t>
      </w:r>
      <w:r w:rsidRPr="00B81D8E">
        <w:rPr>
          <w:rFonts w:ascii="Arial" w:eastAsia="Times New Roman" w:hAnsi="Arial" w:cs="Arial"/>
          <w:szCs w:val="28"/>
          <w:bdr w:val="none" w:sz="0" w:space="0" w:color="auto" w:frame="1"/>
          <w:lang w:val="uk-UA" w:eastAsia="uk-UA"/>
        </w:rPr>
        <w:t>Господарське процесуальне право:</w:t>
      </w:r>
      <w:r w:rsidRPr="00B81D8E">
        <w:rPr>
          <w:rFonts w:ascii="Arial" w:eastAsia="Times New Roman" w:hAnsi="Arial" w:cs="Arial"/>
          <w:szCs w:val="28"/>
          <w:shd w:val="clear" w:color="auto" w:fill="FFFFFF"/>
          <w:lang w:val="uk-UA" w:eastAsia="uk-UA"/>
        </w:rPr>
        <w:t> методичні вказівки для самостійної</w:t>
      </w:r>
      <w:r w:rsidRPr="00511005">
        <w:rPr>
          <w:rFonts w:ascii="Arial" w:eastAsia="Times New Roman" w:hAnsi="Arial" w:cs="Arial"/>
          <w:szCs w:val="28"/>
          <w:shd w:val="clear" w:color="auto" w:fill="FFFFFF"/>
          <w:lang w:val="uk-UA" w:eastAsia="uk-UA"/>
        </w:rPr>
        <w:t xml:space="preserve"> роботи здобувачів вищої освіти усіх форм навчання в галузі знань 08 «Право», спеціальність – 081 «Право» / О.О. Квасніцька. [Електронне видання]. – Одеса: НУ «ОЮА», 2021. – 179 с.</w:t>
      </w:r>
    </w:p>
    <w:p w14:paraId="09270B2E" w14:textId="77777777" w:rsidR="003476F8" w:rsidRPr="00511005" w:rsidRDefault="003476F8" w:rsidP="003A292D">
      <w:pPr>
        <w:spacing w:line="264" w:lineRule="auto"/>
        <w:ind w:firstLine="0"/>
        <w:rPr>
          <w:rFonts w:ascii="Arial" w:eastAsia="Times New Roman" w:hAnsi="Arial" w:cs="Arial"/>
          <w:szCs w:val="28"/>
          <w:shd w:val="clear" w:color="auto" w:fill="FFFFFF"/>
          <w:lang w:val="uk-UA" w:eastAsia="uk-UA"/>
        </w:rPr>
      </w:pPr>
      <w:r w:rsidRPr="00511005">
        <w:rPr>
          <w:rFonts w:ascii="Arial" w:eastAsia="Times New Roman" w:hAnsi="Arial" w:cs="Arial"/>
          <w:szCs w:val="28"/>
          <w:shd w:val="clear" w:color="auto" w:fill="FFFFFF"/>
          <w:lang w:val="uk-UA" w:eastAsia="uk-UA"/>
        </w:rPr>
        <w:t>4. Судова справа № 904/8442/21 // Opendatabot : – Режим доступу: https://opendatabot.ua/court/123633510-481911a3cc6d25c443de471df8f3adbc5</w:t>
      </w:r>
    </w:p>
    <w:p w14:paraId="39E48C66" w14:textId="77777777" w:rsidR="003476F8" w:rsidRPr="00511005" w:rsidRDefault="003476F8" w:rsidP="003A292D">
      <w:pPr>
        <w:spacing w:line="264" w:lineRule="auto"/>
        <w:ind w:firstLine="0"/>
        <w:jc w:val="left"/>
        <w:rPr>
          <w:rFonts w:ascii="Arial" w:eastAsia="Times New Roman" w:hAnsi="Arial" w:cs="Arial"/>
          <w:szCs w:val="28"/>
          <w:shd w:val="clear" w:color="auto" w:fill="FFFFFF"/>
          <w:lang w:val="uk-UA" w:eastAsia="uk-UA"/>
        </w:rPr>
      </w:pPr>
    </w:p>
    <w:p w14:paraId="0FEAF0BC" w14:textId="4C597D90" w:rsidR="003476F8" w:rsidRPr="00511005" w:rsidRDefault="007B2628" w:rsidP="003A292D">
      <w:pPr>
        <w:spacing w:line="264" w:lineRule="auto"/>
        <w:ind w:firstLine="0"/>
        <w:jc w:val="left"/>
        <w:rPr>
          <w:rFonts w:ascii="Arial" w:eastAsia="Times New Roman" w:hAnsi="Arial" w:cs="Arial"/>
          <w:b/>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val="uk-UA" w:eastAsia="ru-RU"/>
        </w:rPr>
        <w:t>банкрутство, господарський процес, відкриття провадження, неплатоспроможність, позовне провадження.</w:t>
      </w:r>
    </w:p>
    <w:p w14:paraId="4322214E" w14:textId="541351BF" w:rsidR="003476F8" w:rsidRPr="00511005" w:rsidRDefault="007B2628" w:rsidP="003A292D">
      <w:pPr>
        <w:spacing w:line="264" w:lineRule="auto"/>
        <w:ind w:firstLine="0"/>
        <w:jc w:val="left"/>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szCs w:val="28"/>
          <w:lang w:val="uk-UA" w:eastAsia="uk-UA"/>
        </w:rPr>
        <w:t>bankruptcy, economic</w:t>
      </w:r>
      <w:r w:rsidR="003476F8" w:rsidRPr="00511005">
        <w:rPr>
          <w:rFonts w:ascii="Arial" w:eastAsia="Times New Roman" w:hAnsi="Arial" w:cs="Arial"/>
          <w:szCs w:val="28"/>
          <w:lang w:val="en-US" w:eastAsia="uk-UA"/>
        </w:rPr>
        <w:t xml:space="preserve"> </w:t>
      </w:r>
      <w:r w:rsidR="003476F8" w:rsidRPr="00511005">
        <w:rPr>
          <w:rFonts w:ascii="Arial" w:eastAsia="Times New Roman" w:hAnsi="Arial" w:cs="Arial"/>
          <w:szCs w:val="28"/>
          <w:lang w:val="uk-UA" w:eastAsia="uk-UA"/>
        </w:rPr>
        <w:t>process, opening</w:t>
      </w:r>
      <w:r w:rsidR="003476F8" w:rsidRPr="00511005">
        <w:rPr>
          <w:rFonts w:ascii="Arial" w:eastAsia="Times New Roman" w:hAnsi="Arial" w:cs="Arial"/>
          <w:szCs w:val="28"/>
          <w:lang w:val="en-US" w:eastAsia="uk-UA"/>
        </w:rPr>
        <w:t xml:space="preserve"> </w:t>
      </w:r>
      <w:r w:rsidR="003476F8" w:rsidRPr="00511005">
        <w:rPr>
          <w:rFonts w:ascii="Arial" w:eastAsia="Times New Roman" w:hAnsi="Arial" w:cs="Arial"/>
          <w:szCs w:val="28"/>
          <w:lang w:val="uk-UA" w:eastAsia="uk-UA"/>
        </w:rPr>
        <w:t>of</w:t>
      </w:r>
      <w:r w:rsidR="003476F8" w:rsidRPr="00511005">
        <w:rPr>
          <w:rFonts w:ascii="Arial" w:eastAsia="Times New Roman" w:hAnsi="Arial" w:cs="Arial"/>
          <w:szCs w:val="28"/>
          <w:lang w:val="en-US" w:eastAsia="uk-UA"/>
        </w:rPr>
        <w:t xml:space="preserve"> </w:t>
      </w:r>
      <w:r w:rsidR="003476F8" w:rsidRPr="00511005">
        <w:rPr>
          <w:rFonts w:ascii="Arial" w:eastAsia="Times New Roman" w:hAnsi="Arial" w:cs="Arial"/>
          <w:szCs w:val="28"/>
          <w:lang w:val="uk-UA" w:eastAsia="uk-UA"/>
        </w:rPr>
        <w:t>proceedings, insolvency, law</w:t>
      </w:r>
      <w:r w:rsidR="003476F8" w:rsidRPr="00511005">
        <w:rPr>
          <w:rFonts w:ascii="Arial" w:eastAsia="Times New Roman" w:hAnsi="Arial" w:cs="Arial"/>
          <w:szCs w:val="28"/>
          <w:lang w:val="en-US" w:eastAsia="uk-UA"/>
        </w:rPr>
        <w:t xml:space="preserve"> </w:t>
      </w:r>
      <w:r w:rsidR="003476F8" w:rsidRPr="00511005">
        <w:rPr>
          <w:rFonts w:ascii="Arial" w:eastAsia="Times New Roman" w:hAnsi="Arial" w:cs="Arial"/>
          <w:szCs w:val="28"/>
          <w:lang w:val="uk-UA" w:eastAsia="uk-UA"/>
        </w:rPr>
        <w:t>suit.</w:t>
      </w:r>
    </w:p>
    <w:p w14:paraId="0F649258" w14:textId="0E8644F5" w:rsidR="003476F8" w:rsidRPr="00511005" w:rsidRDefault="007B2628" w:rsidP="003A292D">
      <w:pPr>
        <w:spacing w:line="264" w:lineRule="auto"/>
        <w:ind w:firstLine="0"/>
        <w:jc w:val="left"/>
        <w:rPr>
          <w:rFonts w:ascii="Arial" w:eastAsia="Times New Roman" w:hAnsi="Arial" w:cs="Arial"/>
          <w:bCs/>
          <w:i/>
          <w:szCs w:val="28"/>
          <w:lang w:val="uk-UA" w:eastAsia="ru-RU"/>
        </w:rPr>
      </w:pPr>
      <w:r w:rsidRPr="00511005">
        <w:rPr>
          <w:rFonts w:ascii="Arial" w:eastAsia="Times New Roman" w:hAnsi="Arial" w:cs="Arial"/>
          <w:b/>
          <w:bCs/>
          <w:i/>
          <w:szCs w:val="28"/>
          <w:lang w:val="uk-UA" w:eastAsia="ru-RU"/>
        </w:rPr>
        <w:t xml:space="preserve">Науковий керівник: </w:t>
      </w:r>
      <w:r w:rsidR="003476F8" w:rsidRPr="00511005">
        <w:rPr>
          <w:rFonts w:ascii="Arial" w:eastAsia="Times New Roman" w:hAnsi="Arial" w:cs="Arial"/>
          <w:bCs/>
          <w:i/>
          <w:szCs w:val="28"/>
          <w:lang w:val="uk-UA" w:eastAsia="ru-RU"/>
        </w:rPr>
        <w:t>к.ю.н., доцент Квасніцька О.О.</w:t>
      </w:r>
    </w:p>
    <w:p w14:paraId="204EE7C1" w14:textId="77777777" w:rsidR="003476F8" w:rsidRPr="00511005" w:rsidRDefault="003476F8" w:rsidP="003A292D">
      <w:pPr>
        <w:spacing w:line="264" w:lineRule="auto"/>
        <w:ind w:firstLine="0"/>
        <w:jc w:val="left"/>
        <w:rPr>
          <w:rFonts w:ascii="Arial" w:eastAsia="Calibri" w:hAnsi="Arial" w:cs="Arial"/>
          <w:i/>
          <w:szCs w:val="28"/>
          <w:lang w:val="uk-UA"/>
        </w:rPr>
      </w:pPr>
    </w:p>
    <w:p w14:paraId="0E1D89EB" w14:textId="77777777" w:rsidR="003476F8" w:rsidRPr="00511005" w:rsidRDefault="003476F8" w:rsidP="003A292D">
      <w:pPr>
        <w:spacing w:line="264" w:lineRule="auto"/>
        <w:ind w:firstLine="0"/>
        <w:jc w:val="center"/>
        <w:rPr>
          <w:rFonts w:ascii="Arial" w:eastAsia="Calibri" w:hAnsi="Arial" w:cs="Arial"/>
          <w:b/>
          <w:i/>
          <w:szCs w:val="28"/>
          <w:lang w:val="uk-UA"/>
        </w:rPr>
      </w:pPr>
      <w:r w:rsidRPr="00511005">
        <w:rPr>
          <w:rFonts w:ascii="Arial" w:eastAsia="Calibri" w:hAnsi="Arial" w:cs="Arial"/>
          <w:i/>
          <w:szCs w:val="28"/>
          <w:lang w:val="uk-UA"/>
        </w:rPr>
        <w:br w:type="column"/>
      </w:r>
      <w:r w:rsidRPr="00511005">
        <w:rPr>
          <w:rFonts w:ascii="Arial" w:eastAsia="Calibri" w:hAnsi="Arial" w:cs="Arial"/>
          <w:b/>
          <w:i/>
          <w:szCs w:val="28"/>
          <w:lang w:val="uk-UA"/>
        </w:rPr>
        <w:lastRenderedPageBreak/>
        <w:t>Кучеренко Яна Андріївна</w:t>
      </w:r>
    </w:p>
    <w:p w14:paraId="67BECA7E" w14:textId="77777777" w:rsidR="00B81D8E"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3-го курсу факультету адвокатури та антикорупційної діяльності</w:t>
      </w:r>
      <w:r w:rsidR="003476F8" w:rsidRPr="00511005">
        <w:rPr>
          <w:rFonts w:ascii="Arial" w:eastAsia="Calibri" w:hAnsi="Arial" w:cs="Arial"/>
          <w:szCs w:val="28"/>
          <w:lang w:val="uk-UA"/>
        </w:rPr>
        <w:t xml:space="preserve"> </w:t>
      </w:r>
    </w:p>
    <w:p w14:paraId="1E40B5B2" w14:textId="263559B2" w:rsidR="003476F8"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3871F6B" w14:textId="77777777" w:rsidR="003476F8" w:rsidRPr="00511005" w:rsidRDefault="003476F8" w:rsidP="003A292D">
      <w:pPr>
        <w:spacing w:line="264" w:lineRule="auto"/>
        <w:ind w:firstLine="0"/>
        <w:jc w:val="center"/>
        <w:rPr>
          <w:rFonts w:ascii="Arial" w:eastAsia="Calibri" w:hAnsi="Arial" w:cs="Arial"/>
          <w:szCs w:val="28"/>
          <w:lang w:val="uk-UA"/>
        </w:rPr>
      </w:pPr>
    </w:p>
    <w:p w14:paraId="61CD16B9"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РЕКОДИФІКАЦІЯ РЕЧОВИХ ПРАВ В УКРАЇНІ: УЗУФРУКТ ЯК АЛЬТЕРНАТИВА ПРАВУ ГОСПОДАРСЬКОГО ВІДАННЯ ТА ОПЕРАТИВНОГО УПРАВЛІННЯ?</w:t>
      </w:r>
    </w:p>
    <w:p w14:paraId="13EDA2A8"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Поняття узуфрукта відомо ще з часів Кодифікації Юстиніана, яке тоді визначалося як особистий сервітут з правом користування майном та правом вилучати з нього плоди, дохід зі збереженням цілісності даного об’єкта та забезпечення його охоронюваності [1]. Ще у Давньому Римі узуфрукт був правом на певне майно, яке могло приносити прибуток або доходи чи плоди, їхньому узуфруктуарію. Головною особливістю інституту узуфрукта є саме те, що право володіння тут не надається, а існує лише право користування рухомим чи нерухомим майном. Право ж володіння виникає на прибуток, який користувач здобуває внаслідок користування даною річчю.</w:t>
      </w:r>
    </w:p>
    <w:p w14:paraId="1E85CCA4"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Даний інститут користування чужою річчю широко застосовується у багатьох країнах, у тому числі й європейських. Україна вже почала процеси впровадження даного права у правову систему. Зокрема, поштовхом до цього стали програми реформування Цивільного Кодексу України. У даному процесі науковці обґрунтовують актуальність запровадження інституту узуфрукта тим, що пропоноване право дасть змогу суб’єктам користування чужим рухомим та нерухомим майном ефективніше використовувати належні майнові можливості у підприємницькій та непідприємницькій діяльності [2].</w:t>
      </w:r>
    </w:p>
    <w:p w14:paraId="0E087F9B"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Зазначене право переважним чином застосовується у цивільному праві, але з подіями, які відбулись, а саме скасування Господарського кодексу України (далі ГКУ) та застосування замість нього закону України «</w:t>
      </w:r>
      <w:r w:rsidRPr="00511005">
        <w:rPr>
          <w:rFonts w:ascii="Arial" w:eastAsia="Calibri" w:hAnsi="Arial" w:cs="Arial"/>
          <w:szCs w:val="28"/>
          <w:shd w:val="clear" w:color="auto" w:fill="FFFFFF"/>
          <w:lang w:val="uk-UA"/>
        </w:rPr>
        <w:t>Про особливості регулювання діяльності юридичних осіб окремих організаційно-правових форм у перехідний період та об’єднань юридичних осіб» №4196-ІХ</w:t>
      </w:r>
      <w:r w:rsidRPr="00511005">
        <w:rPr>
          <w:rFonts w:ascii="Arial" w:eastAsia="Calibri" w:hAnsi="Arial" w:cs="Arial"/>
          <w:szCs w:val="28"/>
          <w:lang w:val="uk-UA"/>
        </w:rPr>
        <w:t xml:space="preserve">, передбачає, що з початком введення в дію даного закону ГКУ втрачає чинність. У цьому законі передбачається поняття узуфрукта, яке заміняє собою право господарського відання та оперативного управління. </w:t>
      </w:r>
    </w:p>
    <w:p w14:paraId="7714107B"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змісті ГКУ не зустрічається поняття та застосування інституту узуфрукта, натомість у новоствореному законі перехідного типу </w:t>
      </w:r>
      <w:r w:rsidRPr="00511005">
        <w:rPr>
          <w:rFonts w:ascii="Arial" w:eastAsia="Calibri" w:hAnsi="Arial" w:cs="Arial"/>
          <w:szCs w:val="28"/>
          <w:shd w:val="clear" w:color="auto" w:fill="FFFFFF"/>
          <w:lang w:val="uk-UA"/>
        </w:rPr>
        <w:t>№4196-ІХ,узуфрукту наділено досить багато уваги. У перехідних та прикінцевих положеннях зазначено статтю60</w:t>
      </w:r>
      <w:r w:rsidRPr="00511005">
        <w:rPr>
          <w:rFonts w:ascii="Arial" w:eastAsia="Calibri" w:hAnsi="Arial" w:cs="Arial"/>
          <w:szCs w:val="28"/>
          <w:shd w:val="clear" w:color="auto" w:fill="FFFFFF"/>
          <w:vertAlign w:val="superscript"/>
          <w:lang w:val="uk-UA"/>
        </w:rPr>
        <w:t>1</w:t>
      </w:r>
      <w:r w:rsidRPr="00511005">
        <w:rPr>
          <w:rFonts w:ascii="Arial" w:eastAsia="Calibri" w:hAnsi="Arial" w:cs="Arial"/>
          <w:szCs w:val="28"/>
          <w:shd w:val="clear" w:color="auto" w:fill="FFFFFF"/>
          <w:lang w:val="uk-UA"/>
        </w:rPr>
        <w:t xml:space="preserve">, де </w:t>
      </w:r>
      <w:r w:rsidRPr="00511005">
        <w:rPr>
          <w:rFonts w:ascii="Arial" w:eastAsia="Calibri" w:hAnsi="Arial" w:cs="Arial"/>
          <w:szCs w:val="28"/>
          <w:lang w:val="uk-UA"/>
        </w:rPr>
        <w:t xml:space="preserve">закріплено особливості користування комунальним майном. Тут повністю і всебічно окреслюється поняття узуфрукта та як він застосовується саме у господарській діяльності. Відповідно до цієї статті, узуфрукт – це право особистого безоплатного володіння і користування комунальним майном та є речовим правом для узуфруктаріїв. У ГКУ </w:t>
      </w:r>
      <w:r w:rsidRPr="00511005">
        <w:rPr>
          <w:rFonts w:ascii="Arial" w:eastAsia="Calibri" w:hAnsi="Arial" w:cs="Arial"/>
          <w:szCs w:val="28"/>
          <w:lang w:val="uk-UA"/>
        </w:rPr>
        <w:lastRenderedPageBreak/>
        <w:t>закріплено, що управління господарською діяльністю у комунальному секторі здійснюється на праві господарського відання або праві оперативного управління. Таким чином, законодавець скасував не тільки ГКУ, а ще й два цих поняття, об’єднавши їх у поняття узуфрукта [3]. І це може призвести до цілої низки неврегульованих питань, оскільки, незважаючи на те, що рекодифікація і оновлення законодавства потрібні, також необхідно враховувати правову історію держави, менталітет суспільства. Замінюючи два права одним поняттям слід забезпечити належний правовий механізм, відповідно до якого і повинно реалізовуватись дане право. Узуфрукт можливо і полегшить законодавче закріплення поняття речового права на державне і комунальне майно, але потрібно досягти балансу, який буде включати всі юридичні категорії застосування права господарського відання та оперативного управління [4].</w:t>
      </w:r>
    </w:p>
    <w:p w14:paraId="57C94135" w14:textId="51475325"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Поняття права господарського відання є правовою спадщиною колишнім країнам СРСР і є невідомим поняттям для інших країн світу. Воно походить теоретично від права оперативного управління, яке було запроваджено у середині минулого століття, закріплене у Цивільному кодексі УРСР 1963 року, яке зазнало поділу на два види – поняття права повного господарського відання та права оперативного управління. Новий Цивільний кодекс України не зазначає поняття права господарського відання. Відмова полягала в тому, що інші країни не оперували даним поняттям, а Україна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зобов’язувалась на той час виконати вимогу ч.1 ст.51 Угоди про партнерство та співробітництво між Європейськими співтовариствами і Україною, тобто привести законодавство до рівня європейських країн, а отже відмовитись від оперування поняттям «право господарського відання» та «оперативне управління». Але незважаючи на це, виникли проблеми з тим, що новий Цивільний кодекс України, в тому числі розділ не містить відповіді на питання про колізії, які виникають внаслідок того, що існує велика кількість державних підприємств, яким майно належить на праві господарського відання згідно їхніх статутів. Також не має змін і до законів України, які містять у собі поняття “право господарського відання”. Що ж до Господарського кодексу України, то він визначає право господарського відання як речове право. Таким чином, виникає досить багато прогалин у межах правового регулювання підприємницької діяльності, які виникнуть при застосуванні узуфрукта. Якщо законодавець вже і вирішив відійти від «радянського впливу» скасовуючи дані права, то потрібно чітко окреслити як та яким чином буде передаватись майно на праві узуфрукта, як будуть функціонувати далі підприємства, які і до цього часу користуються правами господарського відання та оперативного управління, актуальність застосування, яких у нашій країні до сих пір не зникла.</w:t>
      </w:r>
    </w:p>
    <w:p w14:paraId="5ED77847"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Право господарського відання вужче поняття, а тому не є однаковим з правом власності, а є обмеженим речовим правом, найбільш часто </w:t>
      </w:r>
      <w:r w:rsidRPr="00511005">
        <w:rPr>
          <w:rFonts w:ascii="Arial" w:eastAsia="Calibri" w:hAnsi="Arial" w:cs="Arial"/>
          <w:szCs w:val="28"/>
          <w:lang w:val="uk-UA"/>
        </w:rPr>
        <w:lastRenderedPageBreak/>
        <w:t xml:space="preserve">згадується, що право державного підприємства на розпорядження майном у випадках, встановлених законом, обмежене згодою держави. Це обмеження є ознакою, яка і відрізняє ці два поняття. </w:t>
      </w:r>
    </w:p>
    <w:p w14:paraId="0B2E1676"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Право власності держави на майно державного підприємства не є правом власності, а є сукупністю прав цього учасника та повноважень органу юридичної особи - державного підприємства. Та здійснюючи такі повноваження і діючи як орган юридичної особи, держава здійснює право власності державного підприємства на належне йому майно [5].</w:t>
      </w:r>
    </w:p>
    <w:p w14:paraId="0220581B" w14:textId="313EBBA1"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Враховуючи це, вдосконалюючи нормативно-правову базу України, законодавець намагається застосувати інститут узуфрукта, який замінить право господарського відання та право оперативного управління та буде передбачати речове право безоплатного володіння й користування майном, а також отримання плодів, продукції і доходів від даного майна та не передбачатиме розпорядження цим майном, яке застосовується на праві власності. Узуфруктуаріями зможуть бути органи державної влади, місцевого самоврядування, некомерційні юридичні особи, які належать державі, а також інші підприємства 50% вкладів в які, належать державі чи територіальній громаді. Майно державних підприємств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або комунальних, які будуть перетворюватись на товариства з обмеженою відповідальністю, акціонерні товариства чи некомерційні товариства, передаватимуть таким чином, що </w:t>
      </w:r>
      <w:r w:rsidRPr="00511005">
        <w:rPr>
          <w:rFonts w:ascii="Arial" w:eastAsia="Times New Roman" w:hAnsi="Arial" w:cs="Arial"/>
          <w:szCs w:val="28"/>
          <w:lang w:val="uk-UA" w:eastAsia="ru-RU"/>
        </w:rPr>
        <w:t>майно</w:t>
      </w:r>
      <w:r w:rsidRPr="00511005">
        <w:rPr>
          <w:rFonts w:ascii="Arial" w:eastAsia="Calibri" w:hAnsi="Arial" w:cs="Arial"/>
          <w:szCs w:val="28"/>
          <w:lang w:val="uk-UA"/>
        </w:rPr>
        <w:t xml:space="preserve"> державних</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або комунальних підприємств</w:t>
      </w:r>
      <w:r w:rsidRPr="00511005">
        <w:rPr>
          <w:rFonts w:ascii="Arial" w:eastAsia="Times New Roman" w:hAnsi="Arial" w:cs="Arial"/>
          <w:szCs w:val="28"/>
          <w:lang w:val="uk-UA" w:eastAsia="ru-RU"/>
        </w:rPr>
        <w:t>, яке належало на праві господарського відання, перейде до складу стат</w:t>
      </w:r>
      <w:r w:rsidRPr="00511005">
        <w:rPr>
          <w:rFonts w:ascii="Arial" w:eastAsia="Calibri" w:hAnsi="Arial" w:cs="Arial"/>
          <w:szCs w:val="28"/>
          <w:lang w:val="uk-UA"/>
        </w:rPr>
        <w:t xml:space="preserve">утного капіталу правонаступника, а </w:t>
      </w:r>
      <w:r w:rsidRPr="00511005">
        <w:rPr>
          <w:rFonts w:ascii="Arial" w:eastAsia="Times New Roman" w:hAnsi="Arial" w:cs="Arial"/>
          <w:szCs w:val="28"/>
          <w:lang w:val="uk-UA" w:eastAsia="ru-RU"/>
        </w:rPr>
        <w:t>майно, яке не підляга</w:t>
      </w:r>
      <w:r w:rsidRPr="00511005">
        <w:rPr>
          <w:rFonts w:ascii="Arial" w:eastAsia="Calibri" w:hAnsi="Arial" w:cs="Arial"/>
          <w:szCs w:val="28"/>
          <w:lang w:val="uk-UA"/>
        </w:rPr>
        <w:t>є приватизації , яке</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їм належало </w:t>
      </w:r>
      <w:r w:rsidRPr="00511005">
        <w:rPr>
          <w:rFonts w:ascii="Arial" w:eastAsia="Times New Roman" w:hAnsi="Arial" w:cs="Arial"/>
          <w:szCs w:val="28"/>
          <w:lang w:val="uk-UA" w:eastAsia="ru-RU"/>
        </w:rPr>
        <w:t xml:space="preserve">на праві господарського відання, </w:t>
      </w:r>
      <w:r w:rsidRPr="00511005">
        <w:rPr>
          <w:rFonts w:ascii="Arial" w:eastAsia="Calibri" w:hAnsi="Arial" w:cs="Arial"/>
          <w:szCs w:val="28"/>
          <w:lang w:val="uk-UA"/>
        </w:rPr>
        <w:t>а також майно, що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належало </w:t>
      </w:r>
      <w:r w:rsidRPr="00511005">
        <w:rPr>
          <w:rFonts w:ascii="Arial" w:eastAsia="Times New Roman" w:hAnsi="Arial" w:cs="Arial"/>
          <w:szCs w:val="28"/>
          <w:lang w:val="uk-UA" w:eastAsia="ru-RU"/>
        </w:rPr>
        <w:t>на праві оперативного управління, буде передаватись правонаступнику на праві узуфрукта.</w:t>
      </w:r>
    </w:p>
    <w:p w14:paraId="2DE0AFDE"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Можна зробити висновок, що введення інституту узуфрукта не просто є зміною назв певних понять, воно замінює два права та стає одним головним спектром впливу, таким чином обмежуючи, насамперед коло осіб, яким може передаватись комунальне та державне майно[6]. Дані зміни є перспективними та такими, які удосконалюють конкретніше поняття саме користування, а не володіння чужим майном, але потрібно враховувати не тільки актуальність даного права у інших країнах та «радянське» минуле права господарського відання та оперативного управління, а також специфіку правової системи нашої держави та застосування цих прав упродовж багатьох років, які є досить укоріненими та сталими, які наразі забезпечують точне і злагоджене функціонування даного права. Тому право узуфрукта має заповнити певні прогалини у законодавстві, внести ясність і конкретику регулювання механізму застосування його замість права господарського відання та оперативного управління, таким чином не знищуючи їх повністю, а впровадження їх у один інститут, де буде чітко пояснюватись конкретика даних прав, а не повноцінне їх усунення.</w:t>
      </w:r>
    </w:p>
    <w:p w14:paraId="1FC7AA00" w14:textId="77777777" w:rsidR="003476F8" w:rsidRPr="00511005" w:rsidRDefault="003476F8" w:rsidP="003A292D">
      <w:pPr>
        <w:spacing w:line="264" w:lineRule="auto"/>
        <w:ind w:firstLine="0"/>
        <w:rPr>
          <w:rFonts w:ascii="Arial" w:eastAsia="Calibri" w:hAnsi="Arial" w:cs="Arial"/>
          <w:szCs w:val="28"/>
          <w:lang w:val="uk-UA"/>
        </w:rPr>
      </w:pPr>
    </w:p>
    <w:p w14:paraId="49D17E04" w14:textId="680FA9B2" w:rsidR="003476F8"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04DC4C41" w14:textId="77777777" w:rsidR="003476F8" w:rsidRPr="00511005" w:rsidRDefault="003476F8" w:rsidP="003F6A5D">
      <w:pPr>
        <w:numPr>
          <w:ilvl w:val="0"/>
          <w:numId w:val="40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Європеїзація та рекодифікаціяузуфруктуURL: </w:t>
      </w:r>
      <w:hyperlink r:id="rId1566" w:tgtFrame="_new" w:history="1">
        <w:r w:rsidRPr="00511005">
          <w:rPr>
            <w:rFonts w:ascii="Arial" w:eastAsia="Calibri" w:hAnsi="Arial" w:cs="Arial"/>
            <w:szCs w:val="28"/>
            <w:lang w:val="uk-UA"/>
          </w:rPr>
          <w:t>http://visnyk.law.knu.ua/en/baza-nomeriv/852-yevropeyizatsiya-ta-rekodyfikatsiya-uzufrukt</w:t>
        </w:r>
      </w:hyperlink>
      <w:r w:rsidRPr="00511005">
        <w:rPr>
          <w:rFonts w:ascii="Arial" w:eastAsia="Calibri" w:hAnsi="Arial" w:cs="Arial"/>
          <w:szCs w:val="28"/>
          <w:lang w:val="uk-UA"/>
        </w:rPr>
        <w:t xml:space="preserve"> (дата звернення: 12.04.2025).</w:t>
      </w:r>
    </w:p>
    <w:p w14:paraId="12660334" w14:textId="72F9F870" w:rsidR="003476F8" w:rsidRPr="00511005" w:rsidRDefault="003476F8" w:rsidP="003F6A5D">
      <w:pPr>
        <w:numPr>
          <w:ilvl w:val="0"/>
          <w:numId w:val="40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Паньківський В. Впровадження інституту узуфрукта в Україні. </w:t>
      </w:r>
      <w:r w:rsidRPr="00511005">
        <w:rPr>
          <w:rFonts w:ascii="Arial" w:eastAsia="Calibri" w:hAnsi="Arial" w:cs="Arial"/>
          <w:i/>
          <w:szCs w:val="28"/>
          <w:lang w:val="uk-UA"/>
        </w:rPr>
        <w:t>Актуальні проблеми правознавства</w:t>
      </w:r>
      <w:r w:rsidRPr="00511005">
        <w:rPr>
          <w:rFonts w:ascii="Arial" w:eastAsia="Calibri" w:hAnsi="Arial" w:cs="Arial"/>
          <w:szCs w:val="28"/>
          <w:lang w:val="uk-UA"/>
        </w:rPr>
        <w:t>. 2024.</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1. С. 207–212. URL: </w:t>
      </w:r>
      <w:hyperlink r:id="rId1567" w:tgtFrame="_new" w:history="1">
        <w:r w:rsidRPr="00511005">
          <w:rPr>
            <w:rFonts w:ascii="Arial" w:eastAsia="Calibri" w:hAnsi="Arial" w:cs="Arial"/>
            <w:szCs w:val="28"/>
            <w:lang w:val="uk-UA"/>
          </w:rPr>
          <w:t>https://appj.wunu.edu.ua/index.php/appj/article/view/1836</w:t>
        </w:r>
      </w:hyperlink>
      <w:r w:rsidRPr="00511005">
        <w:rPr>
          <w:rFonts w:ascii="Arial" w:eastAsia="Calibri" w:hAnsi="Arial" w:cs="Arial"/>
          <w:szCs w:val="28"/>
          <w:lang w:val="uk-UA"/>
        </w:rPr>
        <w:t xml:space="preserve"> (дата звернення: 12.04.2025).</w:t>
      </w:r>
    </w:p>
    <w:p w14:paraId="6E958E19" w14:textId="77777777" w:rsidR="003476F8" w:rsidRPr="00511005" w:rsidRDefault="003476F8" w:rsidP="003F6A5D">
      <w:pPr>
        <w:numPr>
          <w:ilvl w:val="0"/>
          <w:numId w:val="40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Стефанчук Р. Стала відома фінальна редакція закону про скасування Господарського кодексу. </w:t>
      </w:r>
      <w:r w:rsidRPr="00511005">
        <w:rPr>
          <w:rFonts w:ascii="Arial" w:eastAsia="Calibri" w:hAnsi="Arial" w:cs="Arial"/>
          <w:i/>
          <w:szCs w:val="28"/>
          <w:lang w:val="uk-UA"/>
        </w:rPr>
        <w:t>Судово-юридична газета.</w:t>
      </w:r>
      <w:r w:rsidRPr="00511005">
        <w:rPr>
          <w:rFonts w:ascii="Arial" w:eastAsia="Calibri" w:hAnsi="Arial" w:cs="Arial"/>
          <w:szCs w:val="28"/>
          <w:lang w:val="uk-UA"/>
        </w:rPr>
        <w:t>URL: </w:t>
      </w:r>
      <w:hyperlink r:id="rId1568" w:tgtFrame="_new" w:history="1">
        <w:r w:rsidRPr="00511005">
          <w:rPr>
            <w:rFonts w:ascii="Arial" w:eastAsia="Calibri" w:hAnsi="Arial" w:cs="Arial"/>
            <w:szCs w:val="28"/>
            <w:lang w:val="uk-UA"/>
          </w:rPr>
          <w:t>https://sud.ua/uk/news/publication/322466-stala-izvestna-finalnaya-redaktsiya-zakona-ob-otmene-khozyaystvennogo-kodeksa-ruslan-stefanchuk-podpisal-zakon</w:t>
        </w:r>
      </w:hyperlink>
      <w:r w:rsidRPr="00511005">
        <w:rPr>
          <w:rFonts w:ascii="Arial" w:eastAsia="Calibri" w:hAnsi="Arial" w:cs="Arial"/>
          <w:szCs w:val="28"/>
          <w:lang w:val="uk-UA"/>
        </w:rPr>
        <w:t xml:space="preserve"> (дата звернення: 12.04.2025).</w:t>
      </w:r>
    </w:p>
    <w:p w14:paraId="7A79355D" w14:textId="77777777" w:rsidR="003476F8" w:rsidRPr="00511005" w:rsidRDefault="003476F8" w:rsidP="003F6A5D">
      <w:pPr>
        <w:numPr>
          <w:ilvl w:val="0"/>
          <w:numId w:val="40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Щербина В. Скасувати не можна залишити: де поставити кому? </w:t>
      </w:r>
      <w:r w:rsidRPr="00511005">
        <w:rPr>
          <w:rFonts w:ascii="Arial" w:eastAsia="Calibri" w:hAnsi="Arial" w:cs="Arial"/>
          <w:i/>
          <w:szCs w:val="28"/>
          <w:lang w:val="uk-UA"/>
        </w:rPr>
        <w:t>Судово-юридична газета</w:t>
      </w:r>
      <w:r w:rsidRPr="00511005">
        <w:rPr>
          <w:rFonts w:ascii="Arial" w:eastAsia="Calibri" w:hAnsi="Arial" w:cs="Arial"/>
          <w:szCs w:val="28"/>
          <w:lang w:val="uk-UA"/>
        </w:rPr>
        <w:t>. URL: </w:t>
      </w:r>
      <w:hyperlink r:id="rId1569" w:anchor="google_vignette" w:tgtFrame="_new" w:history="1">
        <w:r w:rsidRPr="00511005">
          <w:rPr>
            <w:rFonts w:ascii="Arial" w:eastAsia="Calibri" w:hAnsi="Arial" w:cs="Arial"/>
            <w:szCs w:val="28"/>
            <w:lang w:val="uk-UA"/>
          </w:rPr>
          <w:t>https://sud.ua/uk/news/blog/313831-otmenit-nelzya-ostavit-gde-postavit-zapyatuyu#google_vignette</w:t>
        </w:r>
      </w:hyperlink>
      <w:r w:rsidRPr="00511005">
        <w:rPr>
          <w:rFonts w:ascii="Arial" w:eastAsia="Calibri" w:hAnsi="Arial" w:cs="Arial"/>
          <w:szCs w:val="28"/>
          <w:lang w:val="uk-UA"/>
        </w:rPr>
        <w:t xml:space="preserve"> (дата звернення: 12.04.2025).</w:t>
      </w:r>
    </w:p>
    <w:p w14:paraId="17011A5D" w14:textId="77777777" w:rsidR="003476F8" w:rsidRPr="00511005" w:rsidRDefault="003476F8" w:rsidP="003F6A5D">
      <w:pPr>
        <w:numPr>
          <w:ilvl w:val="0"/>
          <w:numId w:val="40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Попов Ю. Ю. Місце права господарського відання в системі речових прав– 2005. URL: </w:t>
      </w:r>
      <w:hyperlink r:id="rId1570" w:tgtFrame="_new" w:history="1">
        <w:r w:rsidRPr="00511005">
          <w:rPr>
            <w:rFonts w:ascii="Arial" w:eastAsia="Calibri" w:hAnsi="Arial" w:cs="Arial"/>
            <w:szCs w:val="28"/>
            <w:lang w:val="uk-UA"/>
          </w:rPr>
          <w:t>https://popov-yuyu.narod.ru/Popov-Misce-prava-gospodarskogo-vidannya.pdf</w:t>
        </w:r>
      </w:hyperlink>
      <w:r w:rsidRPr="00511005">
        <w:rPr>
          <w:rFonts w:ascii="Arial" w:eastAsia="Calibri" w:hAnsi="Arial" w:cs="Arial"/>
          <w:szCs w:val="28"/>
          <w:lang w:val="uk-UA"/>
        </w:rPr>
        <w:t xml:space="preserve"> (дата звернення: 12.04.2025).</w:t>
      </w:r>
    </w:p>
    <w:p w14:paraId="205D12B7" w14:textId="77777777" w:rsidR="003476F8" w:rsidRPr="00511005" w:rsidRDefault="003476F8" w:rsidP="003F6A5D">
      <w:pPr>
        <w:numPr>
          <w:ilvl w:val="0"/>
          <w:numId w:val="40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Скасування Господарського кодексу. </w:t>
      </w:r>
      <w:r w:rsidRPr="00511005">
        <w:rPr>
          <w:rFonts w:ascii="Arial" w:eastAsia="Calibri" w:hAnsi="Arial" w:cs="Arial"/>
          <w:i/>
          <w:szCs w:val="28"/>
          <w:lang w:val="uk-UA"/>
        </w:rPr>
        <w:t>Deloitte. TaxandLegalAlert.</w:t>
      </w:r>
      <w:r w:rsidRPr="00511005">
        <w:rPr>
          <w:rFonts w:ascii="Arial" w:eastAsia="Calibri" w:hAnsi="Arial" w:cs="Arial"/>
          <w:szCs w:val="28"/>
          <w:lang w:val="uk-UA"/>
        </w:rPr>
        <w:t>20.01.2025. URL: </w:t>
      </w:r>
      <w:hyperlink r:id="rId1571" w:tgtFrame="_new" w:history="1">
        <w:r w:rsidRPr="00511005">
          <w:rPr>
            <w:rFonts w:ascii="Arial" w:eastAsia="Calibri" w:hAnsi="Arial" w:cs="Arial"/>
            <w:szCs w:val="28"/>
            <w:lang w:val="uk-UA"/>
          </w:rPr>
          <w:t>https://www.deloitte.com/ua/uk/services/tax/perspectives/tax-and-legal-alert-2025-01-20.html</w:t>
        </w:r>
      </w:hyperlink>
      <w:r w:rsidRPr="00511005">
        <w:rPr>
          <w:rFonts w:ascii="Arial" w:eastAsia="Calibri" w:hAnsi="Arial" w:cs="Arial"/>
          <w:szCs w:val="28"/>
          <w:lang w:val="uk-UA"/>
        </w:rPr>
        <w:t xml:space="preserve"> (дата звернення: 12.04.2025).</w:t>
      </w:r>
    </w:p>
    <w:p w14:paraId="2DA3C169" w14:textId="5A327C4E"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3476F8" w:rsidRPr="00511005">
        <w:rPr>
          <w:rFonts w:ascii="Arial" w:eastAsia="Calibri" w:hAnsi="Arial" w:cs="Arial"/>
          <w:szCs w:val="28"/>
          <w:lang w:val="uk-UA"/>
        </w:rPr>
        <w:t>речові права, узуфрукт, право господарського відання, право оперативного управління.</w:t>
      </w:r>
    </w:p>
    <w:p w14:paraId="7E3FA531" w14:textId="1D6B32E5" w:rsidR="003476F8" w:rsidRPr="00511005" w:rsidRDefault="007B2628" w:rsidP="003A292D">
      <w:pPr>
        <w:spacing w:line="264" w:lineRule="auto"/>
        <w:ind w:firstLine="0"/>
        <w:jc w:val="left"/>
        <w:rPr>
          <w:rFonts w:ascii="Arial" w:eastAsia="Calibri" w:hAnsi="Arial" w:cs="Arial"/>
          <w:szCs w:val="28"/>
          <w:lang w:val="uk-UA"/>
        </w:rPr>
      </w:pPr>
      <w:r w:rsidRPr="00511005">
        <w:rPr>
          <w:rFonts w:ascii="Arial" w:eastAsia="Calibri" w:hAnsi="Arial" w:cs="Arial"/>
          <w:b/>
          <w:i/>
          <w:szCs w:val="28"/>
          <w:lang w:val="uk-UA"/>
        </w:rPr>
        <w:t xml:space="preserve">Key words: </w:t>
      </w:r>
      <w:r w:rsidR="003476F8" w:rsidRPr="00511005">
        <w:rPr>
          <w:rFonts w:ascii="Arial" w:eastAsia="Calibri" w:hAnsi="Arial" w:cs="Arial"/>
          <w:szCs w:val="28"/>
          <w:lang w:val="uk-UA"/>
        </w:rPr>
        <w:t>property rights, usufruct, right of economic management, right of operational management.</w:t>
      </w:r>
    </w:p>
    <w:p w14:paraId="6AB15703" w14:textId="1393DBB2" w:rsidR="003476F8"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3476F8" w:rsidRPr="00511005">
        <w:rPr>
          <w:rFonts w:ascii="Arial" w:eastAsia="Calibri" w:hAnsi="Arial" w:cs="Arial"/>
          <w:i/>
          <w:szCs w:val="28"/>
          <w:lang w:val="uk-UA"/>
        </w:rPr>
        <w:t>к.ю.н.,доцент Згама А.О.</w:t>
      </w:r>
    </w:p>
    <w:p w14:paraId="126DFBC7" w14:textId="77777777" w:rsidR="00B81D8E" w:rsidRDefault="00B81D8E" w:rsidP="003A292D">
      <w:pPr>
        <w:spacing w:line="264" w:lineRule="auto"/>
        <w:ind w:firstLine="0"/>
        <w:jc w:val="center"/>
        <w:rPr>
          <w:rFonts w:ascii="Arial" w:eastAsia="Times New Roman" w:hAnsi="Arial" w:cs="Arial"/>
          <w:b/>
          <w:bCs/>
          <w:i/>
          <w:iCs/>
          <w:szCs w:val="28"/>
          <w:lang w:val="uk-UA" w:eastAsia="ru-RU"/>
        </w:rPr>
      </w:pPr>
      <w:r>
        <w:rPr>
          <w:rFonts w:ascii="Arial" w:eastAsia="Times New Roman" w:hAnsi="Arial" w:cs="Arial"/>
          <w:b/>
          <w:bCs/>
          <w:i/>
          <w:iCs/>
          <w:szCs w:val="28"/>
          <w:lang w:val="uk-UA" w:eastAsia="ru-RU"/>
        </w:rPr>
        <w:t>\</w:t>
      </w:r>
    </w:p>
    <w:p w14:paraId="3B67FFB1" w14:textId="77777777" w:rsidR="00B81D8E" w:rsidRDefault="00B81D8E" w:rsidP="003A292D">
      <w:pPr>
        <w:spacing w:line="264" w:lineRule="auto"/>
        <w:ind w:firstLine="0"/>
        <w:jc w:val="center"/>
        <w:rPr>
          <w:rFonts w:ascii="Arial" w:eastAsia="Times New Roman" w:hAnsi="Arial" w:cs="Arial"/>
          <w:b/>
          <w:bCs/>
          <w:i/>
          <w:iCs/>
          <w:szCs w:val="28"/>
          <w:lang w:val="uk-UA" w:eastAsia="ru-RU"/>
        </w:rPr>
      </w:pPr>
    </w:p>
    <w:p w14:paraId="30640501" w14:textId="1FC90743" w:rsidR="003476F8" w:rsidRPr="00511005" w:rsidRDefault="00B81D8E" w:rsidP="003A292D">
      <w:pPr>
        <w:spacing w:line="264" w:lineRule="auto"/>
        <w:ind w:firstLine="0"/>
        <w:jc w:val="center"/>
        <w:rPr>
          <w:rFonts w:ascii="Arial" w:eastAsia="Times New Roman" w:hAnsi="Arial" w:cs="Arial"/>
          <w:b/>
          <w:bCs/>
          <w:i/>
          <w:iCs/>
          <w:szCs w:val="28"/>
          <w:lang w:val="uk-UA" w:eastAsia="ru-RU"/>
        </w:rPr>
      </w:pPr>
      <w:r>
        <w:rPr>
          <w:rFonts w:ascii="Arial" w:eastAsia="Times New Roman" w:hAnsi="Arial" w:cs="Arial"/>
          <w:b/>
          <w:bCs/>
          <w:i/>
          <w:iCs/>
          <w:szCs w:val="28"/>
          <w:lang w:val="uk-UA" w:eastAsia="ru-RU"/>
        </w:rPr>
        <w:t>Л</w:t>
      </w:r>
      <w:r w:rsidR="003476F8" w:rsidRPr="00511005">
        <w:rPr>
          <w:rFonts w:ascii="Arial" w:eastAsia="Times New Roman" w:hAnsi="Arial" w:cs="Arial"/>
          <w:b/>
          <w:bCs/>
          <w:i/>
          <w:iCs/>
          <w:szCs w:val="28"/>
          <w:lang w:val="uk-UA" w:eastAsia="ru-RU"/>
        </w:rPr>
        <w:t>евшина Єлизавета</w:t>
      </w:r>
    </w:p>
    <w:p w14:paraId="0820B4F5" w14:textId="06691FD7" w:rsidR="003476F8"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4-го курсу </w:t>
      </w:r>
      <w:r w:rsidR="007B2628" w:rsidRPr="00511005">
        <w:rPr>
          <w:rFonts w:ascii="Arial" w:eastAsia="Times New Roman" w:hAnsi="Arial" w:cs="Arial"/>
          <w:szCs w:val="28"/>
          <w:lang w:val="uk-UA" w:eastAsia="ru-RU"/>
        </w:rPr>
        <w:t>факультету цивільної та господарської юстиції</w:t>
      </w:r>
    </w:p>
    <w:p w14:paraId="69CADA51" w14:textId="04B84E25" w:rsidR="003476F8"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262641ED"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p>
    <w:p w14:paraId="24BBD52D" w14:textId="77777777" w:rsidR="003476F8" w:rsidRPr="00511005" w:rsidRDefault="003476F8"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ПРОБЛЕМИ ЗАСТОСУВАННЯ МЕДІАЦІЇ В ГОСПОДАРСЬКОМУ СУДОЧИНСТВІ УКРАЇНИ</w:t>
      </w:r>
    </w:p>
    <w:p w14:paraId="54EDDC0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Реформування судової системи України, спрямоване на забезпечення ефективного, оперативного та справедливого розгляду справ, обумовило </w:t>
      </w:r>
      <w:r w:rsidRPr="00511005">
        <w:rPr>
          <w:rFonts w:ascii="Arial" w:eastAsia="Times New Roman" w:hAnsi="Arial" w:cs="Arial"/>
          <w:szCs w:val="28"/>
          <w:lang w:val="uk-UA" w:eastAsia="ru-RU"/>
        </w:rPr>
        <w:lastRenderedPageBreak/>
        <w:t>пошук альтернативних форм вирішення господарських спорів. Одним із таких форм є медіація — процедура, що дозволяє сторонам досягти взаємовигідного врегулювання конфлікту за допомогою нейтрального посередника. Запровадження інституту медіації у господарське судочинство відображає загальносвітову тенденцію до зменшення навантаження на суди та підвищення рівня довіри до правосуддя.</w:t>
      </w:r>
    </w:p>
    <w:p w14:paraId="441F4A6B"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Попри наявність нормативної бази та задекларовану підтримку інституту альтернативного вирішення спорів, застосування медіації в господарських судах України стикається з рядом суттєвих проблем. До них належать як недосконалість законодавчого регулювання, так і низький рівень обізнаності учасників процесу про переваги медіації, а також відсутність сталих процедурних механізмів інтеграції медіації у господарський процес.</w:t>
      </w:r>
    </w:p>
    <w:p w14:paraId="7F76BC17"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Інститут медіації в Україні отримав нормативне закріплення з ухваленням Закону України "Про медіацію" від 16 листопада 2021 року № 1875-IX, який набрав чинності 15 грудня 2021 року. Цей закон уперше комплексно врегулював правові засади проведення медіації як добровільної, конфіденційної процедури врегулювання спору за участю нейтральної третьої особи — медіатора. Закон визначає основні поняття, принципи проведення медіації, вимоги до медіаторів та особливості укладення медіаційної угоди[1].</w:t>
      </w:r>
    </w:p>
    <w:p w14:paraId="091ABAAA" w14:textId="373828C0"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сфері господарського судочинства медіація також регулюється положеннями Господарського процесуального кодексу України. Зокрема, стаття 46 ГПК України передбачає, що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сторони можуть примиритися, у тому числі шляхом медіації, на будь-якій стадії судового процесу. Зі змісту статті 46 ГПК України вбачається, що у межах підготовчого засідання суд господарської юрисдикції з'ясовує, чи мають сторони намір укласти мирову угоду, скористатися альтернативними форм вирішення спору — такими як позасудове врегулювання шляхом медіації, передача справи на розгляд третейського суду або міжнародного комерційного арбітражу, а також можливість звернення до суду з клопотанням про врегулювання спору за участю судді. Таким чином, чинне господарське процесуальне законодавство передбачає інституціоналізацію медіації як однієї з форм альтернативного вирішення спорів. Це свідчить про прагнення до гуманізації процесуальних відносин, зменшення навантаження на судову систему та стимулювання діалогу між сторонами задля досягнення взаємовигідного рішення [2].</w:t>
      </w:r>
    </w:p>
    <w:p w14:paraId="6177CC6B"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Процедура медіації може бути застосована на різних етапах судового провадження. Вона може здійснюватися до звернення до суду за ініціативою сторін з метою запобігання судовому спору. Після відкриття провадження, на стадії підготовчого провадження, суд зобов'язаний роз'яснити сторонам можливість мирного врегулювання спору, включно з медіацією. Під час судового розгляду сторони також мають право звернутися до медіації за </w:t>
      </w:r>
      <w:r w:rsidRPr="00511005">
        <w:rPr>
          <w:rFonts w:ascii="Arial" w:eastAsia="Times New Roman" w:hAnsi="Arial" w:cs="Arial"/>
          <w:szCs w:val="28"/>
          <w:lang w:val="uk-UA" w:eastAsia="ru-RU"/>
        </w:rPr>
        <w:lastRenderedPageBreak/>
        <w:t>власною ініціативою або за сприянням суду. Крім того, можливість укладання мирової угоди за результатами медіації передбачена навіть на стадії апеляційного та касаційного перегляду справ.</w:t>
      </w:r>
    </w:p>
    <w:p w14:paraId="4BEA1BB5"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Згідно із Законом України "Про медіацію", медіація визначається як позасудова добровільна процедура врегулювання конфлікту (спору) за допомогою медіатора шляхом переговорів між сторонами. Медіатором є нейтральна третя особа, яка сприяє сторонам у пошуку взаємоприйнятного рішення, проте не має права ухвалювати рішення за сторони або нав'язувати їм свою думку.</w:t>
      </w:r>
    </w:p>
    <w:p w14:paraId="6F35CBBD"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наявна нормативна база створює передумови для широкого застосування медіації в господарському судочинстві. Водночас реальне впровадження механізмів альтернативного врегулювання спорів на практиці залишається обмеженим, що зумовлює необхідність виявлення причин такої ситуації та пошуку ефективних шляхів удосконалення правозастосовної практики.</w:t>
      </w:r>
    </w:p>
    <w:p w14:paraId="7DD5FB75"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Попри закріплення інституту медіації у законодавстві України та його визнання як перспективного форм альтернативного вирішення спорів, на практиці застосування медіації у господарському судочинстві залишається обмеженим. Однією з головних проблем є недостатній рівень правосвідомості учасників господарських правовідносин щодо переваг медіації. Багато суб'єктів господарювання традиційно орієнтовані на судовий розгляд спорів як єдиний спосіб захисту своїх прав, що зумовлює високе навантаження на судову систему та збільшує тривалість розгляду справ.</w:t>
      </w:r>
    </w:p>
    <w:p w14:paraId="151CA3A1"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Хоча на етапі підготовчого засідання в господарському процесі суд з'ясовує, зокрема, чи бажають сторони передати спір на вирішення шляхом медіації, це не означає, що сама медіація є інтегрованою формою в межах судового провадження. Врегулювання спору за участю судді, передбачене Господарським процесуальним кодексом України, є окремою процедурою, яка здійснюється в межах судового процесу та має факультативний характер. Її не можна повністю ототожнювати з медіацією як альтернативним позасудовим способом вирішення спорів, який базується на принципах добровільності, нейтральності та конфіденційності й здійснюється поза межами судової інституції.</w:t>
      </w:r>
    </w:p>
    <w:p w14:paraId="06BE0F2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Проблематика полягає саме у нечіткості меж між цими механізмами. З одного боку, законодавець формально зазначає про можливість медіації, однак інституційне закріплення її у процесуальному праві — обмежене. Відсутній чіткий механізм інтеграції результатів медіації до процесу, обмежене процедурне регулювання її ініціювання в контексті господарського судочинства. Це створює підґрунтя для термінологічної та правозастосовної невизначеності.</w:t>
      </w:r>
    </w:p>
    <w:p w14:paraId="44587029"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Таким чином, актуальною залишається потреба у чіткому розмежуванні інституту судового врегулювання спору та альтернативної медіації, а також у виробленні системного підходу до впровадження медіації як повноцінного процесуального інструмента в господарському правосудді.</w:t>
      </w:r>
    </w:p>
    <w:p w14:paraId="0FD3ADB0"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Крім того, відсутність усталених процедур щодо інтеграції медіації в господарський процес, недостатній рівень підготовки медіаторів, обмежена кількість кваліфікованих фахівців та недосконалість механізму виконання медіаційних угод створюють істотні бар'єри для ефективного використання цього інституту. Нерідко сторони остерігаються використання медіації через недовіру до процедури та сумніви щодо її результативності, особливо у справах зі значними економічними ризиками.</w:t>
      </w:r>
    </w:p>
    <w:p w14:paraId="46BAF5C7"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Разом з тим, переваги медіації у господарському судочинстві є безперечними. Як зазначає Любомира Мелех, "перевагами медіації є: простота, економія часу, зниження вартості вирішення спору, можливість впливати на його результат, конфіденційність процедури, можливість збереження або відновлення ділових взаємин з партнерами, впливу на результат вирішення, запобігання виникненню подібних конфліктів у майбутньому" [3]. Важливою характеристикою медіації є її здатність зберігати господарські зв’язки між сторонами, тоді як судовий розгляд часто призводить до виникнення ворожнечі та руйнування подальших ділових стосунків.</w:t>
      </w:r>
    </w:p>
    <w:p w14:paraId="0D73C00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Медіація дає можливість сторонам самостійно контролювати процес і результат врегулювання спору, що забезпечує більший ступінь задоволення інтересів обох сторін. Використання творчих підходів під час медіації дозволяє знайти нестандартні, гнучкі рішення, які були б неможливими у межах судового розгляду. Окрім того, поширення медіації сприятиме розвантаженню судової системи, економії бюджетних ресурсів та гармонізації національного законодавства зі світовими стандартами альтернативного вирішення спорів.</w:t>
      </w:r>
    </w:p>
    <w:p w14:paraId="2C9A226F"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вирішення проблем, що стримують розвиток медіації в господарському процесі, є необхідною умовою для підвищення ефективності захисту прав суб'єктів господарювання та модернізації судової системи України відповідно до міжнародних тенденцій.</w:t>
      </w:r>
    </w:p>
    <w:p w14:paraId="3027D30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Для вирішення проблеми нечіткого розмежування між процедурою врегулювання спору за участю судді та інститутом медіації в господарському процесі доцільним є запровадження кількох комплексних змін як на законодавчому, так і на інституційному рівнях.</w:t>
      </w:r>
    </w:p>
    <w:p w14:paraId="02D7205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По-перше, слід здійснити гармонізацію положень Господарського процесуального кодексу України із Законом України «Про медіацію» (2021). Це передбачає запровадження чіткого процесуального механізму залучення медіації на різних етапах господарського процесу з урахуванням її позасудового характеру. Зокрема, доцільно передбачити окрему норму, яка </w:t>
      </w:r>
      <w:r w:rsidRPr="00511005">
        <w:rPr>
          <w:rFonts w:ascii="Arial" w:eastAsia="Times New Roman" w:hAnsi="Arial" w:cs="Arial"/>
          <w:szCs w:val="28"/>
          <w:lang w:val="uk-UA" w:eastAsia="ru-RU"/>
        </w:rPr>
        <w:lastRenderedPageBreak/>
        <w:t>б закріплювала можливість призупинення провадження для проведення медіації з подальшим врахуванням її результатів судом.</w:t>
      </w:r>
    </w:p>
    <w:p w14:paraId="12015672"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По-друге, необхідним є створення окремої процесуальної процедури, що відрізнялася б від врегулювання спору за участю судді, де були б чітко прописані критерії ініціювання, строки, статус медіатора, можливість затвердження медіаційної угоди судом, а також правові наслідки такої угоди.</w:t>
      </w:r>
    </w:p>
    <w:p w14:paraId="585E11E8"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По-третє, варто впровадити інформаційно-консультативну функцію суду щодо переваг медіації на ранніх стадіях процесу. Суддя повинен мати змогу не лише з'ясовувати намір сторін щодо альтернативного врегулювання, а й надавати загальну інформацію про порядок, правові наслідки та доступ до реєстру медіаторів.</w:t>
      </w:r>
    </w:p>
    <w:p w14:paraId="2BE1CE7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Загалом, формування ефективної моделі взаємодії між судовим процесом і медіацією вимагає не лише нормативного вдосконалення, а й зміни правосвідомості учасників господарського процесу на користь конструктивного діалогу і компромісу.</w:t>
      </w:r>
    </w:p>
    <w:p w14:paraId="10BB901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Отже, інститут медіації в господарському судочинстві України є важливим елементом розвитку альтернативних форм врегулювання спорів, що відповідає сучасним європейським та світовим тенденціям. Наявне законодавче регулювання створює правові передумови для застосування медіації на різних стадіях судового розгляду, однак практична реалізація її потенціалу залишається недостатньою. Основними чинниками, що перешкоджають ефективному впровадженню медіації, є низький рівень правової культури, нестача кваліфікованих медіаторів, недовіра з боку суб'єктів господарювання та відсутність сталої практики застосування медіаційних процедур у господарському процесі.</w:t>
      </w:r>
    </w:p>
    <w:p w14:paraId="0694884C"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Водночас переваги медіації, серед яких простота процедури, економія часу і коштів, збереження ділових відносин, конфіденційність та можливість творчого підходу до вирішення спору, свідчать про її значний потенціал для підвищення ефективності захисту прав та законних інтересів учасників господарських правовідносин. Поширення медіації сприятиме розвантаженню судової системи, зменшенню соціальної напруги та гармонізації національного законодавства із міжнародними стандартами.</w:t>
      </w:r>
    </w:p>
    <w:p w14:paraId="0B3D8455"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подальший розвиток медіації у сфері господарського судочинства вимагає комплексних заходів, зокрема вдосконалення законодавства, підвищення рівня обізнаності учасників господарських відносин про можливості альтернативного врегулювання спорів, підготовки кваліфікованих медіаторів і створення умов для популяризації мирних форм вирішення конфліктів.</w:t>
      </w:r>
    </w:p>
    <w:p w14:paraId="520A779C"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769B877E" w14:textId="340887A9" w:rsidR="003476F8"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47A9D539" w14:textId="77777777" w:rsidR="003476F8" w:rsidRPr="00511005" w:rsidRDefault="003476F8" w:rsidP="003F6A5D">
      <w:pPr>
        <w:numPr>
          <w:ilvl w:val="0"/>
          <w:numId w:val="40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Про медіацію : Закон України від 16.11.2021 р. № 1875-IX // Голос України. – 2021. – № 231.</w:t>
      </w:r>
    </w:p>
    <w:p w14:paraId="5965CDA3" w14:textId="77777777" w:rsidR="003476F8" w:rsidRPr="00511005" w:rsidRDefault="003476F8" w:rsidP="003F6A5D">
      <w:pPr>
        <w:numPr>
          <w:ilvl w:val="0"/>
          <w:numId w:val="40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lastRenderedPageBreak/>
        <w:t>Господарський процесуальний кодекс України : Закон України від 06.11.1991 р. № 1798-XII // Відомості Верховної Ради України. – 1992. – № 6. – Ст. 56.</w:t>
      </w:r>
    </w:p>
    <w:p w14:paraId="318ECF91" w14:textId="77777777" w:rsidR="003476F8" w:rsidRPr="00511005" w:rsidRDefault="003476F8" w:rsidP="003F6A5D">
      <w:pPr>
        <w:numPr>
          <w:ilvl w:val="0"/>
          <w:numId w:val="40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Мелех Л. Окремі питання медіації у господарському судочинстві // Вісник Національного університету «Львівська політехніка». Серія : Юридичні науки. – 2020. – Т. 7, № 2. – С. 209–215. – DOI: </w:t>
      </w:r>
      <w:hyperlink r:id="rId1572" w:history="1">
        <w:r w:rsidRPr="00511005">
          <w:rPr>
            <w:rFonts w:ascii="Arial" w:eastAsia="Calibri" w:hAnsi="Arial" w:cs="Arial"/>
            <w:szCs w:val="28"/>
            <w:lang w:val="uk-UA"/>
          </w:rPr>
          <w:t>http://doi.org/10.23939/law2020.26.209</w:t>
        </w:r>
      </w:hyperlink>
      <w:r w:rsidRPr="00511005">
        <w:rPr>
          <w:rFonts w:ascii="Arial" w:eastAsia="Calibri" w:hAnsi="Arial" w:cs="Arial"/>
          <w:szCs w:val="28"/>
          <w:lang w:val="uk-UA"/>
        </w:rPr>
        <w:t>.</w:t>
      </w:r>
    </w:p>
    <w:p w14:paraId="4EBDAFFD" w14:textId="77777777" w:rsidR="003476F8" w:rsidRPr="00511005" w:rsidRDefault="003476F8" w:rsidP="003A292D">
      <w:pPr>
        <w:spacing w:line="264" w:lineRule="auto"/>
        <w:ind w:firstLine="0"/>
        <w:contextualSpacing/>
        <w:rPr>
          <w:rFonts w:ascii="Arial" w:eastAsia="Calibri" w:hAnsi="Arial" w:cs="Arial"/>
          <w:szCs w:val="28"/>
          <w:lang w:val="uk-UA"/>
        </w:rPr>
      </w:pPr>
    </w:p>
    <w:p w14:paraId="5E154D3B" w14:textId="321394BF"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3476F8" w:rsidRPr="00511005">
        <w:rPr>
          <w:rFonts w:ascii="Arial" w:eastAsia="Times New Roman" w:hAnsi="Arial" w:cs="Arial"/>
          <w:szCs w:val="28"/>
          <w:lang w:val="uk-UA" w:eastAsia="ru-RU"/>
        </w:rPr>
        <w:t>господарське судочинство, медіація, альтернативне вирішення спорів;</w:t>
      </w:r>
    </w:p>
    <w:p w14:paraId="7240C5D8" w14:textId="72D888A0"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3476F8" w:rsidRPr="00511005">
        <w:rPr>
          <w:rFonts w:ascii="Arial" w:eastAsia="Times New Roman" w:hAnsi="Arial" w:cs="Arial"/>
          <w:szCs w:val="28"/>
          <w:lang w:val="uk-UA" w:eastAsia="ru-RU"/>
        </w:rPr>
        <w:t>commercial litigation, mediation, alternative dispute resolution.</w:t>
      </w:r>
    </w:p>
    <w:p w14:paraId="39F2E183" w14:textId="33585915" w:rsidR="003476F8" w:rsidRPr="00511005" w:rsidRDefault="007B2628" w:rsidP="003A292D">
      <w:pPr>
        <w:tabs>
          <w:tab w:val="left" w:pos="6930"/>
        </w:tabs>
        <w:spacing w:line="264" w:lineRule="auto"/>
        <w:ind w:firstLine="0"/>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3476F8" w:rsidRPr="00511005">
        <w:rPr>
          <w:rFonts w:ascii="Arial" w:eastAsia="Times New Roman" w:hAnsi="Arial" w:cs="Arial"/>
          <w:i/>
          <w:iCs/>
          <w:szCs w:val="28"/>
          <w:lang w:val="uk-UA" w:eastAsia="ru-RU"/>
        </w:rPr>
        <w:t>к.ю.н., доцент Квасніцька О</w:t>
      </w:r>
      <w:r w:rsidR="00B81D8E">
        <w:rPr>
          <w:rFonts w:ascii="Arial" w:eastAsia="Times New Roman" w:hAnsi="Arial" w:cs="Arial"/>
          <w:i/>
          <w:iCs/>
          <w:szCs w:val="28"/>
          <w:lang w:val="uk-UA" w:eastAsia="ru-RU"/>
        </w:rPr>
        <w:t>.</w:t>
      </w:r>
      <w:r w:rsidR="003476F8" w:rsidRPr="00511005">
        <w:rPr>
          <w:rFonts w:ascii="Arial" w:eastAsia="Times New Roman" w:hAnsi="Arial" w:cs="Arial"/>
          <w:i/>
          <w:iCs/>
          <w:szCs w:val="28"/>
          <w:lang w:val="uk-UA" w:eastAsia="ru-RU"/>
        </w:rPr>
        <w:t xml:space="preserve"> О.</w:t>
      </w:r>
      <w:r w:rsidR="003476F8" w:rsidRPr="00511005">
        <w:rPr>
          <w:rFonts w:ascii="Arial" w:eastAsia="Times New Roman" w:hAnsi="Arial" w:cs="Arial"/>
          <w:i/>
          <w:iCs/>
          <w:szCs w:val="28"/>
          <w:lang w:val="uk-UA" w:eastAsia="ru-RU"/>
        </w:rPr>
        <w:tab/>
      </w:r>
    </w:p>
    <w:p w14:paraId="3F882087" w14:textId="77777777" w:rsidR="00B81D8E" w:rsidRDefault="00B81D8E" w:rsidP="003A292D">
      <w:pPr>
        <w:spacing w:line="264" w:lineRule="auto"/>
        <w:ind w:firstLine="0"/>
        <w:jc w:val="center"/>
        <w:rPr>
          <w:rFonts w:ascii="Arial" w:eastAsia="Times New Roman" w:hAnsi="Arial" w:cs="Arial"/>
          <w:szCs w:val="28"/>
          <w:lang w:val="uk-UA" w:eastAsia="ru-RU"/>
        </w:rPr>
      </w:pPr>
    </w:p>
    <w:p w14:paraId="6D30471F" w14:textId="77777777" w:rsidR="00B81D8E" w:rsidRDefault="00B81D8E" w:rsidP="003A292D">
      <w:pPr>
        <w:spacing w:line="264" w:lineRule="auto"/>
        <w:ind w:firstLine="0"/>
        <w:jc w:val="center"/>
        <w:rPr>
          <w:rFonts w:ascii="Arial" w:eastAsia="Calibri" w:hAnsi="Arial" w:cs="Arial"/>
          <w:b/>
          <w:bCs/>
          <w:i/>
          <w:szCs w:val="28"/>
          <w:lang w:val="uk-UA"/>
        </w:rPr>
      </w:pPr>
    </w:p>
    <w:p w14:paraId="35C223C0" w14:textId="1EBDAA05" w:rsidR="003476F8" w:rsidRPr="00511005" w:rsidRDefault="003476F8" w:rsidP="003A292D">
      <w:pPr>
        <w:spacing w:line="264" w:lineRule="auto"/>
        <w:ind w:firstLine="0"/>
        <w:jc w:val="center"/>
        <w:rPr>
          <w:rFonts w:ascii="Arial" w:eastAsia="Calibri" w:hAnsi="Arial" w:cs="Arial"/>
          <w:b/>
          <w:bCs/>
          <w:i/>
          <w:szCs w:val="28"/>
          <w:lang w:val="uk-UA"/>
        </w:rPr>
      </w:pPr>
      <w:r w:rsidRPr="00511005">
        <w:rPr>
          <w:rFonts w:ascii="Arial" w:eastAsia="Calibri" w:hAnsi="Arial" w:cs="Arial"/>
          <w:b/>
          <w:bCs/>
          <w:i/>
          <w:szCs w:val="28"/>
          <w:lang w:val="uk-UA"/>
        </w:rPr>
        <w:t>Лейфура Вікторія Олександрівна</w:t>
      </w:r>
    </w:p>
    <w:p w14:paraId="4B23E76B" w14:textId="677235BC" w:rsidR="003476F8" w:rsidRPr="00511005" w:rsidRDefault="003476F8" w:rsidP="003A292D">
      <w:pPr>
        <w:spacing w:line="264" w:lineRule="auto"/>
        <w:ind w:firstLine="0"/>
        <w:jc w:val="center"/>
        <w:rPr>
          <w:rFonts w:ascii="Arial" w:eastAsia="Calibri" w:hAnsi="Arial" w:cs="Arial"/>
          <w:bCs/>
          <w:szCs w:val="28"/>
          <w:lang w:val="uk-UA"/>
        </w:rPr>
      </w:pPr>
      <w:r w:rsidRPr="00511005">
        <w:rPr>
          <w:rFonts w:ascii="Arial" w:eastAsia="Calibri" w:hAnsi="Arial" w:cs="Arial"/>
          <w:bCs/>
          <w:szCs w:val="28"/>
          <w:lang w:val="uk-UA"/>
        </w:rPr>
        <w:t>студентка 4-го курсу</w:t>
      </w:r>
      <w:r w:rsidR="00B81D8E">
        <w:rPr>
          <w:rFonts w:ascii="Arial" w:eastAsia="Calibri" w:hAnsi="Arial" w:cs="Arial"/>
          <w:bCs/>
          <w:szCs w:val="28"/>
          <w:lang w:val="uk-UA"/>
        </w:rPr>
        <w:t xml:space="preserve"> </w:t>
      </w:r>
      <w:r w:rsidRPr="00511005">
        <w:rPr>
          <w:rFonts w:ascii="Arial" w:eastAsia="Calibri" w:hAnsi="Arial" w:cs="Arial"/>
          <w:bCs/>
          <w:szCs w:val="28"/>
          <w:lang w:val="uk-UA"/>
        </w:rPr>
        <w:t>факультету цивільної та господарської юстиції</w:t>
      </w:r>
    </w:p>
    <w:p w14:paraId="3B71CDDC" w14:textId="1D869619" w:rsidR="003476F8" w:rsidRPr="00511005" w:rsidRDefault="007B2628" w:rsidP="003A292D">
      <w:pPr>
        <w:spacing w:line="264" w:lineRule="auto"/>
        <w:ind w:firstLine="0"/>
        <w:jc w:val="center"/>
        <w:rPr>
          <w:rFonts w:ascii="Arial" w:eastAsia="Calibri" w:hAnsi="Arial" w:cs="Arial"/>
          <w:bCs/>
          <w:szCs w:val="28"/>
          <w:lang w:val="uk-UA"/>
        </w:rPr>
      </w:pPr>
      <w:r w:rsidRPr="00511005">
        <w:rPr>
          <w:rFonts w:ascii="Arial" w:eastAsia="Calibri" w:hAnsi="Arial" w:cs="Arial"/>
          <w:bCs/>
          <w:szCs w:val="28"/>
          <w:lang w:val="uk-UA"/>
        </w:rPr>
        <w:t>Національного університету «Одеська юридична академія»</w:t>
      </w:r>
    </w:p>
    <w:p w14:paraId="17F35088" w14:textId="77777777" w:rsidR="003476F8" w:rsidRPr="00511005" w:rsidRDefault="003476F8" w:rsidP="003A292D">
      <w:pPr>
        <w:spacing w:line="264" w:lineRule="auto"/>
        <w:ind w:firstLine="0"/>
        <w:jc w:val="center"/>
        <w:rPr>
          <w:rFonts w:ascii="Arial" w:eastAsia="Calibri" w:hAnsi="Arial" w:cs="Arial"/>
          <w:b/>
          <w:szCs w:val="28"/>
          <w:lang w:val="uk-UA"/>
        </w:rPr>
      </w:pPr>
    </w:p>
    <w:p w14:paraId="6C65428D"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ПРОБЛЕМИ ВИКОНАННЯ СУДОВИХ ДОРУЧЕНЬ ІНОЗЕМНИХ СУДІВ У ГОСПОДАРСЬКОМУ ПРОЦЕСІ УКРАЇНИ</w:t>
      </w:r>
    </w:p>
    <w:p w14:paraId="2103292C"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 умовах посилення глобалізаційних процесів, розвитку міжнародної торгівлі та інвестиційної діяльності кількість господарських спорів з іноземним елементом невпинно зростає, що актуалізує питання ефективного міжнародного правового співробітництва. Важливою складовою такого співробітництва є інститут виконання судових доручень іноземних судів, порядок якого в Україні регламентується Розділом IX «Провадження у справах за участю іноземних осіб» Господарського процесуального кодексу України, а також відповідними міжнародними договорами, як-от Гаазька конвенція про отримання за кордоном доказів у цивільних або комерційних справах 1970 р. та двосторонні угоди про правову допомогу. Ефективне функціонування інститут виконання судових доручень іноземних судів є критично важливим для забезпечення реального доступу до правосуддя як для іноземних суб'єктів господарювання на території України, так і для українських компаній за кордоном.</w:t>
      </w:r>
    </w:p>
    <w:p w14:paraId="114F540E"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Попри наявність формальної нормативної бази, практика застосування цих положень у господарському процесі виявляє низку системних проблем, які суттєво знижують ефективність правового співробітництва, призводять до затягування строків розгляду справ та ускладнюють належний захист прав учасників процесу, що зумовлює нагальну потребу в науковому аналізі цих проблем та пошуку шляхів їх вирішення.</w:t>
      </w:r>
    </w:p>
    <w:p w14:paraId="2B58531C"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Аналіз практики застосування виявляє проблеми як нормативного, так і організаційно-процедурного характеру. По-перше, спостерігається </w:t>
      </w:r>
      <w:r w:rsidRPr="00511005">
        <w:rPr>
          <w:rFonts w:ascii="Arial" w:eastAsia="Calibri" w:hAnsi="Arial" w:cs="Arial"/>
          <w:szCs w:val="28"/>
          <w:lang w:val="uk-UA"/>
        </w:rPr>
        <w:lastRenderedPageBreak/>
        <w:t xml:space="preserve">недостатня деталізація самої процедури виконання доручення в ГПКУ, що породжує неоднозначне тлумачення норм судами. До прикладу, іноземний суд просить допитати свідка в Україні у господарській справі за допомогою відеоконференцзв'язку. ГПКУ передбачає можливість відеоконференції, але детально не регламентує специфіку її організації саме для виконання </w:t>
      </w:r>
      <w:r w:rsidRPr="00511005">
        <w:rPr>
          <w:rFonts w:ascii="Arial" w:eastAsia="Calibri" w:hAnsi="Arial" w:cs="Arial"/>
          <w:iCs/>
          <w:szCs w:val="28"/>
          <w:lang w:val="uk-UA"/>
        </w:rPr>
        <w:t>міжнародного</w:t>
      </w:r>
      <w:r w:rsidRPr="00511005">
        <w:rPr>
          <w:rFonts w:ascii="Arial" w:eastAsia="Calibri" w:hAnsi="Arial" w:cs="Arial"/>
          <w:szCs w:val="28"/>
          <w:lang w:val="uk-UA"/>
        </w:rPr>
        <w:t>доручення (наприклад, хто несе витрати на спеціалізоване обладнання, якщо воно потрібне; як узгоджувати технічні протоколи зв'язку з іноземним судом; чи потрібна присутність представника іноземного суду віртуально або фізично). Один господарський суд може витлумачити норми так, що всі організаційні питання лягають на сторону, яка зацікавлена у допиті, і вимагати від неї детального плану дій, що затягує процес. Інший суд може взяти більше ініціативи на себе, але зіткнутися з браком ресурсів чи чітких інструкцій, що також призведе до затримки або відмови через "неможливість виконання" у запропонований спосіб. Також існують потенційні колізії між національним законодавством та міжнародними договорами щодо строків, порядку передачі документів та обсягу допустимих процесуальних дій. Додаткові складнощі виникають через відсутність ратифікованих договорів про правову допомогу з окремими країнами, що ускладнює виконання доручень на основі принципу взаємності.</w:t>
      </w:r>
    </w:p>
    <w:p w14:paraId="76793196"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Значні процедурні та організаційні труднощі суттєво впливають на ефективність процесу. Часто відбувається затягування строків як на етапі передачі доручення через дипломатичні канали чи Міністерство юстиції, так і на етапі безпосереднього виконання господарським судом. ГПКУ чітко не встановлює граничні строки для окремих етапів </w:t>
      </w:r>
      <w:r w:rsidRPr="00511005">
        <w:rPr>
          <w:rFonts w:ascii="Arial" w:eastAsia="Calibri" w:hAnsi="Arial" w:cs="Arial"/>
          <w:iCs/>
          <w:szCs w:val="28"/>
          <w:lang w:val="uk-UA"/>
        </w:rPr>
        <w:t>всередині</w:t>
      </w:r>
      <w:r w:rsidRPr="00511005">
        <w:rPr>
          <w:rFonts w:ascii="Arial" w:eastAsia="Calibri" w:hAnsi="Arial" w:cs="Arial"/>
          <w:szCs w:val="28"/>
          <w:lang w:val="uk-UA"/>
        </w:rPr>
        <w:t xml:space="preserve"> процедури виконання доручення (наприклад, скільки часу є у судді на розгляд доручення після його отримання з Мін'юсту, скільки часу на призначення засідання для допиту свідка тощо). Це може призводити до того, що в одному суді доручення виконується відносно швидко, а в іншому "зависає" на місяці без чітких процесуальних порушень з боку суду, але зі значною шкодою для термінів розгляду справи за кордоном. Мовні бар'єри вимагають забезпечення кваліфікованого перекладу доручення, супровідних документів та отриманих доказів, при цьому питання оплати послуг перекладача нерідко залишається невирішеним. Нерідко іноземні суди не дотримуються формальних вимог до змісту та форми доручення, встановлених договорами чи ГПКУ, що включає відсутність необхідних реквізитів, нечіткість формулювань чи проблеми з належним засвідченням (легалізацією/апостилем). Також можуть виникати труднощі у визначенні компетентного українського суду для виконання конкретного доручення.</w:t>
      </w:r>
    </w:p>
    <w:p w14:paraId="22702E39"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Окремою проблемою є застосування застереження про публічний порядок, передбаченого статтею 370 ГПКУ, як підстави для відмови у виконанні доручення. Оціночний характер поняття "публічний порядок" створює ризики його суб'єктивного тлумачення та застосування судами за відсутності </w:t>
      </w:r>
      <w:r w:rsidRPr="00511005">
        <w:rPr>
          <w:rFonts w:ascii="Arial" w:eastAsia="Calibri" w:hAnsi="Arial" w:cs="Arial"/>
          <w:szCs w:val="28"/>
          <w:lang w:val="uk-UA"/>
        </w:rPr>
        <w:lastRenderedPageBreak/>
        <w:t>чітких критеріїв та узагальненої судової практики. Нарешті, ефективність виконання доручень обмежується недостатньою обізнаністю суддів та працівників апарату зі специфікою міжнародного співробітництва та загалом обмеженими ресурсами судової системи.</w:t>
      </w:r>
    </w:p>
    <w:p w14:paraId="44A9F562"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Для подолання цих викликів пропонується комплексний підхід. Необхідне удосконалення законодавства шляхом внесення змін до ГПКУ для деталізації процедури та строків виконання доручень, а також розробка відповідних методичних рекомендацій для суддів. Для цього необхідно провести аналіз прогалин чинного ГПКУ (Розділ IX) та практики його застосування, вивчити міжнародний досвід та модельні норми (наприклад, Гаазьких конвенцій), та розробити конкретні законопроектні пропозиції щодо чітких строків для кожного етапу (отримання доручення Мін'юстом, передача до суду, розгляд судом, виконання, відправка результатів), деталізації процедур виконання специфічних дій (допит свідка по відеозв'язку, витребування специфічних доказів у компаній), уточнення порядку розподілу витрат (переклад, експертизи).</w:t>
      </w:r>
    </w:p>
    <w:p w14:paraId="47377EAD"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Важливо активізувати роботу щодо укладання та ратифікації міжнародних договорів про правову допомогу. Для цього провести інвентаризацію існуючих договорів про правову допомогу, визначити пріоритетні країни (за обсягом торгівлі, кількістю спорів), з якими договори відсутні або застарілі, ініціювати або продовжити переговорний процес з цими країнами, прискорити внутрішньодержавні процедури погодження та підготовки до ратифікації вже підписаних договорів, аналізувати доцільність приєднання до нових багатосторонніх конвенцій у цій сфері.</w:t>
      </w:r>
    </w:p>
    <w:p w14:paraId="37039707"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 організаційному плані слід налагодити ефективнішу комунікацію між залученими державними органами, розглянути можливість запровадження електронного документообігу для передачі доручень та створити/визначити перелік сертифікованих судових перекладачів. Слід налагодити ефективнішу комунікацію та взаємодію між Міністерством юстиції, МЗС, Державною судовою адміністрацією та безпосередньо судами. Цього можна досягти через розробку спільних регламентів взаємодії, визначення чітких контактних осіб та відповідальності, а також потенційне створення спільних електронних систем для відстеження руху доручень. Важливим кроком є запровадження електронного документообігу для передачі та обробки міжнародних доручень, що потребує зусиль Мін'юсту, ДСА та Міністерства цифрової трансформації для розробки чи адаптації безпечних ІТ-рішень (як система "Електронний суд"), внесення відповідних змін до законодавства та забезпечення сумісності з міжнародними системами. Крім того, для забезпечення якості перекладів доцільно створити під егідою Мін'юсту публічний реєстр сертифікованих судових перекладачів з чіткими критеріями кваліфікації та процедурою сертифікації. </w:t>
      </w:r>
    </w:p>
    <w:p w14:paraId="1FC5BBC4"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Верховний Суд (зокрема, Касаційний господарський суд) має систематично аналізувати практику нижчих судів щодо застосування відповідних норм ГПКУ та міжнародних договорів, виявляти розбіжності та проблемні аспекти та видавати офіційні узагальнення чи огляди практики для орієнтування суддів. Це має доповнюватися цілеспрямованим навчанням: Національна школа суддів України повинна розробити та впровадити спеціалізовані навчальні модулі з питань міжнародного правового співробітництва для суддів та працівників апарату господарських судів, використовуючи різні формати – від курсів підвищення кваліфікації до семінарів та тренінгів із залученням експертів.</w:t>
      </w:r>
    </w:p>
    <w:p w14:paraId="7FC107F8"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Реалізація запропонованих заходів сприятиме гармонізації національного процесуального законодавства з міжнародними стандартами та суттєвому покращенню практики його застосування у сфері виконання судових доручень іноземних судів.</w:t>
      </w:r>
    </w:p>
    <w:p w14:paraId="2B5BB705" w14:textId="77777777" w:rsidR="003476F8" w:rsidRPr="00511005" w:rsidRDefault="003476F8" w:rsidP="003A292D">
      <w:pPr>
        <w:spacing w:line="264" w:lineRule="auto"/>
        <w:ind w:firstLine="0"/>
        <w:rPr>
          <w:rFonts w:ascii="Arial" w:eastAsia="Calibri" w:hAnsi="Arial" w:cs="Arial"/>
          <w:szCs w:val="28"/>
          <w:lang w:val="uk-UA"/>
        </w:rPr>
      </w:pPr>
    </w:p>
    <w:p w14:paraId="78891374" w14:textId="02FEFBF6" w:rsidR="003476F8" w:rsidRPr="00511005" w:rsidRDefault="007B2628" w:rsidP="007B2628">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Список використаних джерел</w:t>
      </w:r>
    </w:p>
    <w:p w14:paraId="3DBC44C6" w14:textId="77777777" w:rsidR="003476F8" w:rsidRPr="00511005" w:rsidRDefault="003476F8" w:rsidP="003F6A5D">
      <w:pPr>
        <w:numPr>
          <w:ilvl w:val="0"/>
          <w:numId w:val="410"/>
        </w:numPr>
        <w:spacing w:line="264" w:lineRule="auto"/>
        <w:jc w:val="left"/>
        <w:rPr>
          <w:rFonts w:ascii="Arial" w:eastAsia="Calibri" w:hAnsi="Arial" w:cs="Arial"/>
          <w:szCs w:val="28"/>
          <w:lang w:val="uk-UA"/>
        </w:rPr>
      </w:pPr>
      <w:r w:rsidRPr="00511005">
        <w:rPr>
          <w:rFonts w:ascii="Arial" w:eastAsia="Calibri" w:hAnsi="Arial" w:cs="Arial"/>
          <w:i/>
          <w:iCs/>
          <w:szCs w:val="28"/>
          <w:lang w:val="uk-UA"/>
        </w:rPr>
        <w:t>Господарський процесуальний кодекс України</w:t>
      </w:r>
      <w:r w:rsidRPr="00511005">
        <w:rPr>
          <w:rFonts w:ascii="Arial" w:eastAsia="Calibri" w:hAnsi="Arial" w:cs="Arial"/>
          <w:szCs w:val="28"/>
          <w:lang w:val="uk-UA"/>
        </w:rPr>
        <w:t xml:space="preserve"> : Кодекс України від 06.11.1991 № 1798-XII (у редакції Закону № 1798-VIII від 03.10.2017). URL: </w:t>
      </w:r>
      <w:hyperlink r:id="rId1573" w:tgtFrame="_blank" w:history="1">
        <w:r w:rsidRPr="00511005">
          <w:rPr>
            <w:rFonts w:ascii="Arial" w:eastAsia="Calibri" w:hAnsi="Arial" w:cs="Arial"/>
            <w:szCs w:val="28"/>
            <w:lang w:val="uk-UA"/>
          </w:rPr>
          <w:t>https://zakon.rada.gov.ua/laws/show/1798-12</w:t>
        </w:r>
      </w:hyperlink>
    </w:p>
    <w:p w14:paraId="7AA72EAD" w14:textId="77777777" w:rsidR="003476F8" w:rsidRPr="00511005" w:rsidRDefault="003476F8" w:rsidP="003F6A5D">
      <w:pPr>
        <w:numPr>
          <w:ilvl w:val="0"/>
          <w:numId w:val="410"/>
        </w:numPr>
        <w:spacing w:line="264" w:lineRule="auto"/>
        <w:jc w:val="left"/>
        <w:rPr>
          <w:rFonts w:ascii="Arial" w:eastAsia="Calibri" w:hAnsi="Arial" w:cs="Arial"/>
          <w:szCs w:val="28"/>
          <w:lang w:val="uk-UA"/>
        </w:rPr>
      </w:pPr>
      <w:r w:rsidRPr="00511005">
        <w:rPr>
          <w:rFonts w:ascii="Arial" w:eastAsia="Calibri" w:hAnsi="Arial" w:cs="Arial"/>
          <w:i/>
          <w:iCs/>
          <w:szCs w:val="28"/>
          <w:lang w:val="uk-UA"/>
        </w:rPr>
        <w:t>Про міжнародне приватне право</w:t>
      </w:r>
      <w:r w:rsidRPr="00511005">
        <w:rPr>
          <w:rFonts w:ascii="Arial" w:eastAsia="Calibri" w:hAnsi="Arial" w:cs="Arial"/>
          <w:szCs w:val="28"/>
          <w:lang w:val="uk-UA"/>
        </w:rPr>
        <w:t xml:space="preserve"> : Закон України від 23.06.2005 № 2709-IV. URL: </w:t>
      </w:r>
      <w:hyperlink r:id="rId1574" w:tgtFrame="_blank" w:history="1">
        <w:r w:rsidRPr="00511005">
          <w:rPr>
            <w:rFonts w:ascii="Arial" w:eastAsia="Calibri" w:hAnsi="Arial" w:cs="Arial"/>
            <w:szCs w:val="28"/>
            <w:lang w:val="uk-UA"/>
          </w:rPr>
          <w:t>https://zakon.rada.gov.ua/laws/show/2709-15</w:t>
        </w:r>
      </w:hyperlink>
    </w:p>
    <w:p w14:paraId="7AB69F60" w14:textId="77777777" w:rsidR="003476F8" w:rsidRPr="00511005" w:rsidRDefault="003476F8" w:rsidP="003F6A5D">
      <w:pPr>
        <w:numPr>
          <w:ilvl w:val="0"/>
          <w:numId w:val="410"/>
        </w:numPr>
        <w:spacing w:line="264" w:lineRule="auto"/>
        <w:jc w:val="left"/>
        <w:rPr>
          <w:rFonts w:ascii="Arial" w:eastAsia="Calibri" w:hAnsi="Arial" w:cs="Arial"/>
          <w:szCs w:val="28"/>
          <w:lang w:val="uk-UA"/>
        </w:rPr>
      </w:pPr>
      <w:r w:rsidRPr="00511005">
        <w:rPr>
          <w:rFonts w:ascii="Arial" w:eastAsia="Calibri" w:hAnsi="Arial" w:cs="Arial"/>
          <w:iCs/>
          <w:szCs w:val="28"/>
          <w:lang w:val="uk-UA"/>
        </w:rPr>
        <w:t>Про затвердження Інструкції про порядок виконання міжнародних договорів з питань надання правової допомоги в цивільних справах щодо вручення документів, отримання доказів та визнання і виконання судових рішень</w:t>
      </w:r>
      <w:r w:rsidRPr="00511005">
        <w:rPr>
          <w:rFonts w:ascii="Arial" w:eastAsia="Calibri" w:hAnsi="Arial" w:cs="Arial"/>
          <w:szCs w:val="28"/>
          <w:vertAlign w:val="superscript"/>
          <w:lang w:val="uk-UA"/>
        </w:rPr>
        <w:t xml:space="preserve"> 1 </w:t>
      </w:r>
      <w:r w:rsidRPr="00511005">
        <w:rPr>
          <w:rFonts w:ascii="Arial" w:eastAsia="Calibri" w:hAnsi="Arial" w:cs="Arial"/>
          <w:szCs w:val="28"/>
          <w:lang w:val="uk-UA"/>
        </w:rPr>
        <w:t xml:space="preserve">: наказ Міністерства юстиції України, Державної судової адміністрації України від 27.06.2008 № 1092/5/54 (зі змінами). URL: </w:t>
      </w:r>
      <w:hyperlink r:id="rId1575" w:tgtFrame="_blank" w:history="1">
        <w:r w:rsidRPr="00511005">
          <w:rPr>
            <w:rFonts w:ascii="Arial" w:eastAsia="Calibri" w:hAnsi="Arial" w:cs="Arial"/>
            <w:szCs w:val="28"/>
            <w:lang w:val="uk-UA"/>
          </w:rPr>
          <w:t>https://zakon.rada.gov.ua/laws/show/z0573-08</w:t>
        </w:r>
      </w:hyperlink>
    </w:p>
    <w:p w14:paraId="4B0D21E2" w14:textId="77777777" w:rsidR="003476F8" w:rsidRPr="00511005" w:rsidRDefault="003476F8" w:rsidP="003F6A5D">
      <w:pPr>
        <w:numPr>
          <w:ilvl w:val="0"/>
          <w:numId w:val="410"/>
        </w:numPr>
        <w:spacing w:line="264" w:lineRule="auto"/>
        <w:jc w:val="left"/>
        <w:rPr>
          <w:rFonts w:ascii="Arial" w:eastAsia="Calibri" w:hAnsi="Arial" w:cs="Arial"/>
          <w:szCs w:val="28"/>
          <w:lang w:val="uk-UA"/>
        </w:rPr>
      </w:pPr>
      <w:r w:rsidRPr="00511005">
        <w:rPr>
          <w:rFonts w:ascii="Arial" w:eastAsia="Calibri" w:hAnsi="Arial" w:cs="Arial"/>
          <w:i/>
          <w:iCs/>
          <w:szCs w:val="28"/>
          <w:lang w:val="uk-UA"/>
        </w:rPr>
        <w:t>Конвенція про вручення за кордоном судових та позасудових документів у цивільних або комерційних справах</w:t>
      </w:r>
      <w:r w:rsidRPr="00511005">
        <w:rPr>
          <w:rFonts w:ascii="Arial" w:eastAsia="Calibri" w:hAnsi="Arial" w:cs="Arial"/>
          <w:szCs w:val="28"/>
          <w:lang w:val="uk-UA"/>
        </w:rPr>
        <w:t xml:space="preserve"> від 15.11.1965. URL: </w:t>
      </w:r>
      <w:hyperlink r:id="rId1576" w:tgtFrame="_blank" w:history="1">
        <w:r w:rsidRPr="00511005">
          <w:rPr>
            <w:rFonts w:ascii="Arial" w:eastAsia="Calibri" w:hAnsi="Arial" w:cs="Arial"/>
            <w:szCs w:val="28"/>
            <w:lang w:val="uk-UA"/>
          </w:rPr>
          <w:t>https://zakon.rada.gov.ua/laws/show/995_016</w:t>
        </w:r>
      </w:hyperlink>
      <w:r w:rsidRPr="00511005">
        <w:rPr>
          <w:rFonts w:ascii="Arial" w:eastAsia="Calibri" w:hAnsi="Arial" w:cs="Arial"/>
          <w:szCs w:val="28"/>
          <w:lang w:val="uk-UA"/>
        </w:rPr>
        <w:t xml:space="preserve"> (дата звернення: 17.04.2025).</w:t>
      </w:r>
    </w:p>
    <w:p w14:paraId="51D9A641" w14:textId="77777777" w:rsidR="003476F8" w:rsidRPr="00511005" w:rsidRDefault="003476F8" w:rsidP="003F6A5D">
      <w:pPr>
        <w:numPr>
          <w:ilvl w:val="0"/>
          <w:numId w:val="410"/>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Курандо К. В. Теоретичні та практичні проблеми інституту судових доручень за чинним Господарським процесуальним кодексом України. </w:t>
      </w:r>
      <w:r w:rsidRPr="00511005">
        <w:rPr>
          <w:rFonts w:ascii="Arial" w:eastAsia="Calibri" w:hAnsi="Arial" w:cs="Arial"/>
          <w:i/>
          <w:iCs/>
          <w:szCs w:val="28"/>
          <w:lang w:val="uk-UA"/>
        </w:rPr>
        <w:t>Актуальні проблеми держави і права</w:t>
      </w:r>
      <w:r w:rsidRPr="00511005">
        <w:rPr>
          <w:rFonts w:ascii="Arial" w:eastAsia="Calibri" w:hAnsi="Arial" w:cs="Arial"/>
          <w:szCs w:val="28"/>
          <w:lang w:val="uk-UA"/>
        </w:rPr>
        <w:t xml:space="preserve">. 2020. Вип. 39. URL: </w:t>
      </w:r>
      <w:hyperlink r:id="rId1577" w:tgtFrame="_blank" w:history="1">
        <w:r w:rsidRPr="00511005">
          <w:rPr>
            <w:rFonts w:ascii="Arial" w:eastAsia="Calibri" w:hAnsi="Arial" w:cs="Arial"/>
            <w:szCs w:val="28"/>
            <w:lang w:val="uk-UA"/>
          </w:rPr>
          <w:t>http://pd.onu.edu.ua/article/view/212976</w:t>
        </w:r>
      </w:hyperlink>
      <w:r w:rsidRPr="00511005">
        <w:rPr>
          <w:rFonts w:ascii="Arial" w:eastAsia="Calibri" w:hAnsi="Arial" w:cs="Arial"/>
          <w:szCs w:val="28"/>
          <w:lang w:val="uk-UA"/>
        </w:rPr>
        <w:t xml:space="preserve"> (дата звернення: 17.04.2025).</w:t>
      </w:r>
    </w:p>
    <w:p w14:paraId="25CBEC93" w14:textId="77777777" w:rsidR="003476F8" w:rsidRPr="00511005" w:rsidRDefault="003476F8" w:rsidP="003F6A5D">
      <w:pPr>
        <w:numPr>
          <w:ilvl w:val="0"/>
          <w:numId w:val="410"/>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Садчиков Д. В. Судове доручення як інститут цивільного процесуального права України. </w:t>
      </w:r>
      <w:r w:rsidRPr="00511005">
        <w:rPr>
          <w:rFonts w:ascii="Arial" w:eastAsia="Calibri" w:hAnsi="Arial" w:cs="Arial"/>
          <w:i/>
          <w:iCs/>
          <w:szCs w:val="28"/>
          <w:lang w:val="uk-UA"/>
        </w:rPr>
        <w:t>Часопис Київського університету права</w:t>
      </w:r>
      <w:r w:rsidRPr="00511005">
        <w:rPr>
          <w:rFonts w:ascii="Arial" w:eastAsia="Calibri" w:hAnsi="Arial" w:cs="Arial"/>
          <w:szCs w:val="28"/>
          <w:lang w:val="uk-UA"/>
        </w:rPr>
        <w:t xml:space="preserve">. 2018. № 1. URL: </w:t>
      </w:r>
      <w:hyperlink r:id="rId1578" w:tgtFrame="_blank" w:history="1">
        <w:r w:rsidRPr="00511005">
          <w:rPr>
            <w:rFonts w:ascii="Arial" w:eastAsia="Calibri" w:hAnsi="Arial" w:cs="Arial"/>
            <w:szCs w:val="28"/>
            <w:lang w:val="uk-UA"/>
          </w:rPr>
          <w:t>http://www.jurnaluljuridic.in.ua/archive/2018/1/part_2/21.pdf</w:t>
        </w:r>
      </w:hyperlink>
      <w:r w:rsidRPr="00511005">
        <w:rPr>
          <w:rFonts w:ascii="Arial" w:eastAsia="Calibri" w:hAnsi="Arial" w:cs="Arial"/>
          <w:szCs w:val="28"/>
          <w:lang w:val="uk-UA"/>
        </w:rPr>
        <w:t xml:space="preserve"> (дата звернення: 17.04.2025).</w:t>
      </w:r>
    </w:p>
    <w:p w14:paraId="1B3F7887" w14:textId="77777777" w:rsidR="003476F8" w:rsidRPr="00511005" w:rsidRDefault="003476F8" w:rsidP="003A292D">
      <w:pPr>
        <w:spacing w:line="264" w:lineRule="auto"/>
        <w:ind w:firstLine="0"/>
        <w:rPr>
          <w:rFonts w:ascii="Arial" w:eastAsia="Calibri" w:hAnsi="Arial" w:cs="Arial"/>
          <w:szCs w:val="28"/>
          <w:lang w:val="uk-UA"/>
        </w:rPr>
      </w:pPr>
    </w:p>
    <w:p w14:paraId="6CFFA490" w14:textId="504D07EF"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lastRenderedPageBreak/>
        <w:t xml:space="preserve">Ключові слова: </w:t>
      </w:r>
      <w:r w:rsidR="003476F8" w:rsidRPr="00511005">
        <w:rPr>
          <w:rFonts w:ascii="Arial" w:eastAsia="Calibri" w:hAnsi="Arial" w:cs="Arial"/>
          <w:szCs w:val="28"/>
          <w:lang w:val="uk-UA"/>
        </w:rPr>
        <w:t xml:space="preserve">судове доручення, іноземний суд, господарський процес, міжнародна правова допомога, виконання судових доручень, проблеми виконання, ГПК України, міжнародний договір, судова практика. </w:t>
      </w:r>
    </w:p>
    <w:p w14:paraId="26591A21" w14:textId="724BE213"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3476F8" w:rsidRPr="00511005">
        <w:rPr>
          <w:rFonts w:ascii="Arial" w:eastAsia="Calibri" w:hAnsi="Arial" w:cs="Arial"/>
          <w:szCs w:val="28"/>
          <w:lang w:val="uk-UA"/>
        </w:rPr>
        <w:t>letter rogatory, foreign court, commercial proceedings, international legal assistance, execution of judicial requests, problems of execution, Commercial Procedure Code of Ukraine, international treaty, judicial practice.</w:t>
      </w:r>
    </w:p>
    <w:p w14:paraId="434C3A88" w14:textId="1B5B6151" w:rsidR="003476F8"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3476F8" w:rsidRPr="00511005">
        <w:rPr>
          <w:rFonts w:ascii="Arial" w:eastAsia="Calibri" w:hAnsi="Arial" w:cs="Arial"/>
          <w:i/>
          <w:szCs w:val="28"/>
          <w:lang w:val="uk-UA"/>
        </w:rPr>
        <w:t>к.ю.н., доцент Квасніцька О.О.</w:t>
      </w:r>
    </w:p>
    <w:p w14:paraId="5E6E4560" w14:textId="77777777" w:rsidR="003476F8" w:rsidRPr="00511005" w:rsidRDefault="003476F8" w:rsidP="003A292D">
      <w:pPr>
        <w:spacing w:line="264" w:lineRule="auto"/>
        <w:ind w:firstLine="0"/>
        <w:rPr>
          <w:rFonts w:ascii="Arial" w:eastAsia="Calibri" w:hAnsi="Arial" w:cs="Arial"/>
          <w:szCs w:val="28"/>
          <w:lang w:val="uk-UA"/>
        </w:rPr>
      </w:pPr>
    </w:p>
    <w:p w14:paraId="5B72FD0F" w14:textId="77777777" w:rsidR="00B81D8E" w:rsidRDefault="00B81D8E" w:rsidP="003A292D">
      <w:pPr>
        <w:spacing w:line="264" w:lineRule="auto"/>
        <w:ind w:firstLine="0"/>
        <w:jc w:val="center"/>
        <w:rPr>
          <w:rFonts w:ascii="Arial" w:eastAsia="Calibri" w:hAnsi="Arial" w:cs="Arial"/>
          <w:b/>
          <w:i/>
          <w:szCs w:val="28"/>
          <w:lang w:val="uk-UA"/>
        </w:rPr>
      </w:pPr>
    </w:p>
    <w:p w14:paraId="47686923" w14:textId="2A8C179F" w:rsidR="003476F8" w:rsidRPr="00511005" w:rsidRDefault="003476F8"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Лихенко Євгеній Олегович</w:t>
      </w:r>
    </w:p>
    <w:p w14:paraId="0B9647D3" w14:textId="1349C576" w:rsidR="003476F8"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 3-го курсу факультету адвокатури та антикорупційної діяльності</w:t>
      </w:r>
      <w:r w:rsidR="003476F8" w:rsidRPr="00511005">
        <w:rPr>
          <w:rFonts w:ascii="Arial" w:eastAsia="Calibri" w:hAnsi="Arial" w:cs="Arial"/>
          <w:szCs w:val="28"/>
          <w:lang w:val="uk-UA"/>
        </w:rPr>
        <w:t xml:space="preserve"> </w:t>
      </w:r>
      <w:r w:rsidR="007B2628" w:rsidRPr="00511005">
        <w:rPr>
          <w:rFonts w:ascii="Arial" w:eastAsia="Calibri" w:hAnsi="Arial" w:cs="Arial"/>
          <w:szCs w:val="28"/>
          <w:lang w:val="uk-UA"/>
        </w:rPr>
        <w:t>Національного університету «Одеська юридична академія»</w:t>
      </w:r>
    </w:p>
    <w:p w14:paraId="1F4E108B" w14:textId="77777777" w:rsidR="003476F8" w:rsidRPr="00511005" w:rsidRDefault="003476F8" w:rsidP="003A292D">
      <w:pPr>
        <w:spacing w:line="264" w:lineRule="auto"/>
        <w:ind w:firstLine="0"/>
        <w:jc w:val="center"/>
        <w:rPr>
          <w:rFonts w:ascii="Arial" w:eastAsia="Calibri" w:hAnsi="Arial" w:cs="Arial"/>
          <w:szCs w:val="28"/>
          <w:lang w:val="uk-UA"/>
        </w:rPr>
      </w:pPr>
    </w:p>
    <w:p w14:paraId="10DD6264"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ГОСПОДАРСЬКО-ПРАВОВИЙ СТАТУС КРИПТОВАЛЮТ ТА ТОКЕНІВ В УКРАЇНІ</w:t>
      </w:r>
    </w:p>
    <w:p w14:paraId="18144B28"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Сучасний світ перебуває в постійному розвитку, що зумовлює інтеграцію інформаційних технологій у повсякденне життя як держав, так і окремих індивідів. Однією з таких технологічних інновацій стали криптовалюти. Попри численні переваги криптовалют(такі як надійність, стабільність та можливість безпечного зберігання активів) на сьогодні вони становлять серйозну загрозу для економічного, політичного та соціального життя держави. Криптовалюти створюють умови для відмивання коштів, зростання корупційних ризиків та тінізації економіки.</w:t>
      </w:r>
    </w:p>
    <w:p w14:paraId="5D93F32E"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Наразі Україна є тією державою, де використання криптовалюти не заборонено, але і законодавчо її статус не визначено. Наразі в системі законодавства України є Закон України (далі - ЗУ) № 2074-ІХ «Про віртуальні активи», однак чинності він набере лише після внесення відповідних змін до Податкового кодексу України. За пунктом 1 частини 1 статті 1 вищевказаного закону віртуальний актив - нематеріальне благо, що є об’єктом цивільних прав, має вартість та виражене сукупністю даних в електронній формі. Існування та оборотоздатність віртуального активу забезпечується системою забезпечення обороту віртуальних активів. Віртуальний актив може посвідчувати майнові права, зокрема права вимоги на інші об’єкти цивільних прав [1].</w:t>
      </w:r>
    </w:p>
    <w:p w14:paraId="0FE507A7"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Якщо розглядати криптовалюти з точки зору господарського права, то об’єктом господарських правовідносин є майно у формі речей та нематеріальних активів. Так як криптовалюта не є предметом матеріального світу, вони не підпадають під категорію речей [2, c. 101].</w:t>
      </w:r>
    </w:p>
    <w:p w14:paraId="60634046"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За ст. 139 Господарського кодексу України (далі - ГКУ) майно – це сукупність речей та інших цінностей (включаючи нематеріальні активи), які мають вартісне значення, виробляються чи використовуються у діяльності суб’єктів </w:t>
      </w:r>
      <w:r w:rsidRPr="00511005">
        <w:rPr>
          <w:rFonts w:ascii="Arial" w:eastAsia="Calibri" w:hAnsi="Arial" w:cs="Arial"/>
          <w:szCs w:val="28"/>
          <w:lang w:val="uk-UA"/>
        </w:rPr>
        <w:lastRenderedPageBreak/>
        <w:t>господарювання та відображаються в їх балансі або вираховуються в інших передбачених законом формах обліку майна цих суб’єктів[3].</w:t>
      </w:r>
    </w:p>
    <w:p w14:paraId="5AA59685"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Ураховуючи положення статті 139 ГКУ, фахівці стали посилатися на стандарти бухгалтерського обліку 8 «Нематеріальні активи», за яким немонетарні активи – це усі активи, крім грошових коштів, їх еквівалентів та дебіторської заборгованості у фіксованій (або визначеній сумі грошей, та розглядати криптовалюту як нематеріальні активи [4, с. 16].</w:t>
      </w:r>
    </w:p>
    <w:p w14:paraId="1D8C4509"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 оцінками експертів майнінгкриптовалют в Україні дорівнює близько 100 сільйонів доларів США, а обсяг ICO/ITO компаній з українським походженням чи розміщенням команд розробників у 2017–2018 рр. – приблизно 100 млн доларів США [5].</w:t>
      </w:r>
    </w:p>
    <w:p w14:paraId="29412025"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Важливо врахувати, що використання криптовалюти для відмивання коштів є проблемою для економіки. На думку Могил Л.С. заборона криптовалюти не має сенсу, це не виключає публічно-правові заходи, що охороняють економіку від злочинної діяльності. Тому варто звернути увагу на наявність спеціальних обмежень та спеціалізованих органів, що виконуватимуть функції контролю за операціями з криптовалютами[6, c. 157].</w:t>
      </w:r>
    </w:p>
    <w:p w14:paraId="427AF5EC"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Враховуючи викладене, доходимо висновку, що у майбутньому статус та обіг криптовалют буде унормовано на законодавчому рівні. На це вказують як загальні тенденції розвитку господарсько-правових відносин, так і прийняті закони, законопроекти та судова практика.</w:t>
      </w:r>
    </w:p>
    <w:p w14:paraId="02392758"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 одного боку, використання криптовалют при здійсненні розрахунків має низку переваг: спрощення та безпечність операцій, зменшення обсягу супровідної документації, відсутність посередників у вигляді банків, нижчі комісійні витрати та можливість швидких переказів коштів.</w:t>
      </w:r>
    </w:p>
    <w:p w14:paraId="65A70ED1"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 іншого боку, мінімізація документального супроводу операцій створює ризики для фінансової безпеки: підвищується можливість махінацій і відмивання коштів, ускладнюється відстеження транзакцій. Без надання доступу до криптогаманця отримати інформацію про проведення операції практично неможливо. Як наслідок, дані про осіб, суми та цільові призначення платежів залишаються недоступними, що створює значні перешкоди для здійснення фінансового моніторингу господарської діяльності фізичних і юридичних осіб.</w:t>
      </w:r>
    </w:p>
    <w:p w14:paraId="54F05C71"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 сучасному етапі розвитку українського законодавства використання криптовалют у сфері господарської діяльності є неоднозначним. Наявність істотних ризиків, пов’язаних із обігом криптовалют, зумовлює такі загрози, як поширення корупції, виникнення нових схем легалізації (відмивання) доходів, а також ускладнення контролю за фінансовими потоками підприємств та діяльністю їх посадових осіб.Крім того, обіг криптовалют вимагатиме внесення комплексних змін не лише до господарського законодавства, а й до податкового, фінансового, цивільного, кримінального </w:t>
      </w:r>
      <w:r w:rsidRPr="00511005">
        <w:rPr>
          <w:rFonts w:ascii="Arial" w:eastAsia="Times New Roman" w:hAnsi="Arial" w:cs="Arial"/>
          <w:szCs w:val="28"/>
          <w:lang w:val="uk-UA" w:eastAsia="ru-RU"/>
        </w:rPr>
        <w:lastRenderedPageBreak/>
        <w:t>та інших галузей права, що створить додаткове навантаження на правову систему.</w:t>
      </w:r>
    </w:p>
    <w:p w14:paraId="241736D7"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Вважаємо, що на цьому етапі Україні як державі, що розвивається, доцільніше зосередити зусилля на підтримці та розвитку національної валюти — гривні, що сприятиме стабільності економіки, забезпечить повноцінне здійснення податкових надходжень, розвиток державних інституцій і підвищення довіри громадян до влади. А тому використання національної валюти у господарських правовідносинах наразі є більш доцільним шляхом для забезпечення фінансової стабільності та економічного розвитку країни, а також для мінімізації ризиків, які супроводжують обіг криптовалют.А поки </w:t>
      </w:r>
      <w:r w:rsidRPr="00511005">
        <w:rPr>
          <w:rFonts w:ascii="Arial" w:eastAsia="Calibri" w:hAnsi="Arial" w:cs="Arial"/>
          <w:szCs w:val="28"/>
          <w:lang w:val="uk-UA"/>
        </w:rPr>
        <w:t>господарсько-правовий статус криптовалют і токенів в Україні залишається динамічною і дискусійною категорією, яка вимагає системного підходу до нормативного регулювання та узгодження із загальними засадами правопорядку і фінансової безпеки.</w:t>
      </w:r>
    </w:p>
    <w:p w14:paraId="299F9D24" w14:textId="77777777" w:rsidR="003476F8" w:rsidRPr="00511005" w:rsidRDefault="003476F8" w:rsidP="003A292D">
      <w:pPr>
        <w:spacing w:line="264" w:lineRule="auto"/>
        <w:ind w:firstLine="0"/>
        <w:rPr>
          <w:rFonts w:ascii="Arial" w:eastAsia="Calibri" w:hAnsi="Arial" w:cs="Arial"/>
          <w:szCs w:val="28"/>
          <w:lang w:val="uk-UA"/>
        </w:rPr>
      </w:pPr>
    </w:p>
    <w:p w14:paraId="6B5C290B" w14:textId="388616D2" w:rsidR="003476F8" w:rsidRPr="00511005" w:rsidRDefault="007B2628" w:rsidP="007B2628">
      <w:pPr>
        <w:spacing w:line="264" w:lineRule="auto"/>
        <w:ind w:firstLine="0"/>
        <w:jc w:val="center"/>
        <w:rPr>
          <w:rFonts w:ascii="Arial" w:eastAsia="Calibri" w:hAnsi="Arial" w:cs="Arial"/>
          <w:szCs w:val="28"/>
          <w:lang w:val="uk-UA"/>
        </w:rPr>
      </w:pPr>
      <w:r w:rsidRPr="00511005">
        <w:rPr>
          <w:rFonts w:ascii="Arial" w:eastAsia="Calibri" w:hAnsi="Arial" w:cs="Arial"/>
          <w:b/>
          <w:szCs w:val="28"/>
          <w:lang w:val="uk-UA"/>
        </w:rPr>
        <w:t>Список використаних джерел</w:t>
      </w:r>
    </w:p>
    <w:p w14:paraId="499F8953" w14:textId="77777777" w:rsidR="003476F8" w:rsidRPr="00511005" w:rsidRDefault="003476F8" w:rsidP="003F6A5D">
      <w:pPr>
        <w:numPr>
          <w:ilvl w:val="0"/>
          <w:numId w:val="411"/>
        </w:numPr>
        <w:spacing w:line="264" w:lineRule="auto"/>
        <w:ind w:left="0" w:firstLine="567"/>
        <w:contextualSpacing/>
        <w:jc w:val="left"/>
        <w:rPr>
          <w:rFonts w:ascii="Arial" w:eastAsia="Calibri" w:hAnsi="Arial" w:cs="Arial"/>
          <w:szCs w:val="28"/>
          <w:lang w:val="uk-UA"/>
        </w:rPr>
      </w:pPr>
      <w:r w:rsidRPr="00511005">
        <w:rPr>
          <w:rFonts w:ascii="Arial" w:eastAsia="Calibri" w:hAnsi="Arial" w:cs="Arial"/>
          <w:szCs w:val="28"/>
          <w:lang w:val="uk-UA"/>
        </w:rPr>
        <w:t>Про віртуальні активи : Закон України від 17.02.2022 № 2074-IX : URL: </w:t>
      </w:r>
      <w:hyperlink r:id="rId1579" w:anchor="Text" w:tgtFrame="_blank" w:history="1">
        <w:r w:rsidRPr="00511005">
          <w:rPr>
            <w:rFonts w:ascii="Arial" w:eastAsia="Calibri" w:hAnsi="Arial" w:cs="Arial"/>
            <w:szCs w:val="28"/>
            <w:lang w:val="uk-UA"/>
          </w:rPr>
          <w:t>https://zakon.rada.gov.ua/laws/show/2074-20#Text</w:t>
        </w:r>
      </w:hyperlink>
      <w:r w:rsidRPr="00511005">
        <w:rPr>
          <w:rFonts w:ascii="Arial" w:eastAsia="Calibri" w:hAnsi="Arial" w:cs="Arial"/>
          <w:szCs w:val="28"/>
          <w:lang w:val="uk-UA"/>
        </w:rPr>
        <w:t> (дата звернення: 25.04.2025).</w:t>
      </w:r>
    </w:p>
    <w:p w14:paraId="08641896" w14:textId="77777777" w:rsidR="003476F8" w:rsidRPr="00511005" w:rsidRDefault="003476F8" w:rsidP="003F6A5D">
      <w:pPr>
        <w:numPr>
          <w:ilvl w:val="0"/>
          <w:numId w:val="411"/>
        </w:numPr>
        <w:spacing w:line="264" w:lineRule="auto"/>
        <w:ind w:left="0" w:firstLine="567"/>
        <w:contextualSpacing/>
        <w:jc w:val="left"/>
        <w:rPr>
          <w:rFonts w:ascii="Arial" w:eastAsia="Calibri" w:hAnsi="Arial" w:cs="Arial"/>
          <w:szCs w:val="28"/>
          <w:lang w:val="uk-UA"/>
        </w:rPr>
      </w:pPr>
      <w:r w:rsidRPr="00511005">
        <w:rPr>
          <w:rFonts w:ascii="Arial" w:eastAsia="Calibri" w:hAnsi="Arial" w:cs="Arial"/>
          <w:szCs w:val="28"/>
          <w:lang w:val="uk-UA"/>
        </w:rPr>
        <w:t>Polishchuk N. The economic and legal regimeis cryingout. </w:t>
      </w:r>
      <w:r w:rsidRPr="00511005">
        <w:rPr>
          <w:rFonts w:ascii="Arial" w:eastAsia="Calibri" w:hAnsi="Arial" w:cs="Arial"/>
          <w:i/>
          <w:iCs/>
          <w:szCs w:val="28"/>
          <w:lang w:val="uk-UA"/>
        </w:rPr>
        <w:t>Entrepreneurship, EconomyandLaw</w:t>
      </w:r>
      <w:r w:rsidRPr="00511005">
        <w:rPr>
          <w:rFonts w:ascii="Arial" w:eastAsia="Calibri" w:hAnsi="Arial" w:cs="Arial"/>
          <w:szCs w:val="28"/>
          <w:lang w:val="uk-UA"/>
        </w:rPr>
        <w:t>. 2019. Vol. 6. P. 100–102. URL: </w:t>
      </w:r>
      <w:hyperlink r:id="rId1580" w:tgtFrame="_blank" w:history="1">
        <w:r w:rsidRPr="00511005">
          <w:rPr>
            <w:rFonts w:ascii="Arial" w:eastAsia="Calibri" w:hAnsi="Arial" w:cs="Arial"/>
            <w:szCs w:val="28"/>
            <w:lang w:val="uk-UA"/>
          </w:rPr>
          <w:t>https://doi.org/10.32849/2663-5313/2019.6.17</w:t>
        </w:r>
      </w:hyperlink>
      <w:r w:rsidRPr="00511005">
        <w:rPr>
          <w:rFonts w:ascii="Arial" w:eastAsia="Calibri" w:hAnsi="Arial" w:cs="Arial"/>
          <w:szCs w:val="28"/>
          <w:lang w:val="uk-UA"/>
        </w:rPr>
        <w:t> (date ofaccess: 25.04.2025).</w:t>
      </w:r>
    </w:p>
    <w:p w14:paraId="030FE765" w14:textId="77777777" w:rsidR="003476F8" w:rsidRPr="00511005" w:rsidRDefault="003476F8" w:rsidP="003F6A5D">
      <w:pPr>
        <w:numPr>
          <w:ilvl w:val="0"/>
          <w:numId w:val="411"/>
        </w:numPr>
        <w:spacing w:line="264" w:lineRule="auto"/>
        <w:ind w:left="0" w:firstLine="567"/>
        <w:contextualSpacing/>
        <w:jc w:val="left"/>
        <w:rPr>
          <w:rFonts w:ascii="Arial" w:eastAsia="Calibri" w:hAnsi="Arial" w:cs="Arial"/>
          <w:szCs w:val="28"/>
          <w:lang w:val="uk-UA"/>
        </w:rPr>
      </w:pPr>
      <w:r w:rsidRPr="00511005">
        <w:rPr>
          <w:rFonts w:ascii="Arial" w:eastAsia="Calibri" w:hAnsi="Arial" w:cs="Arial"/>
          <w:szCs w:val="28"/>
          <w:lang w:val="uk-UA"/>
        </w:rPr>
        <w:t>Господарський кодекс України : Кодекс України від 16.01.2003 № 436-IV. URL: </w:t>
      </w:r>
      <w:hyperlink r:id="rId1581" w:anchor="Text" w:tgtFrame="_blank" w:history="1">
        <w:r w:rsidRPr="00511005">
          <w:rPr>
            <w:rFonts w:ascii="Arial" w:eastAsia="Calibri" w:hAnsi="Arial" w:cs="Arial"/>
            <w:szCs w:val="28"/>
            <w:lang w:val="uk-UA"/>
          </w:rPr>
          <w:t>https://zakon.rada.gov.ua/laws/show/436-15#Text</w:t>
        </w:r>
      </w:hyperlink>
      <w:r w:rsidRPr="00511005">
        <w:rPr>
          <w:rFonts w:ascii="Arial" w:eastAsia="Calibri" w:hAnsi="Arial" w:cs="Arial"/>
          <w:szCs w:val="28"/>
          <w:lang w:val="uk-UA"/>
        </w:rPr>
        <w:t> (дата звернення: 25.04.2025).</w:t>
      </w:r>
    </w:p>
    <w:p w14:paraId="142CCA50" w14:textId="77777777" w:rsidR="003476F8" w:rsidRPr="00511005" w:rsidRDefault="003476F8" w:rsidP="003F6A5D">
      <w:pPr>
        <w:numPr>
          <w:ilvl w:val="0"/>
          <w:numId w:val="411"/>
        </w:numPr>
        <w:spacing w:line="264" w:lineRule="auto"/>
        <w:ind w:left="0" w:firstLine="567"/>
        <w:contextualSpacing/>
        <w:jc w:val="left"/>
        <w:rPr>
          <w:rFonts w:ascii="Arial" w:eastAsia="Calibri" w:hAnsi="Arial" w:cs="Arial"/>
          <w:szCs w:val="28"/>
          <w:lang w:val="uk-UA"/>
        </w:rPr>
      </w:pPr>
      <w:r w:rsidRPr="00511005">
        <w:rPr>
          <w:rFonts w:ascii="Arial" w:eastAsia="Calibri" w:hAnsi="Arial" w:cs="Arial"/>
          <w:szCs w:val="28"/>
          <w:lang w:val="uk-UA"/>
        </w:rPr>
        <w:t>Зелена книга регулювання ринку криптовалют: Офіс ефективного регулювання. Травень 2018. URL: https:// cdn.regulation.gov.ua/fe/5b/20/42/regulation.gov.ua_Зелена-Книга.-Ринок-Криптовалют.pdf (дата звернення: 25.04.2025).</w:t>
      </w:r>
    </w:p>
    <w:p w14:paraId="155A1085" w14:textId="77777777" w:rsidR="003476F8" w:rsidRPr="00511005" w:rsidRDefault="003476F8" w:rsidP="003F6A5D">
      <w:pPr>
        <w:numPr>
          <w:ilvl w:val="0"/>
          <w:numId w:val="411"/>
        </w:numPr>
        <w:spacing w:line="264" w:lineRule="auto"/>
        <w:ind w:left="0" w:firstLine="567"/>
        <w:contextualSpacing/>
        <w:jc w:val="left"/>
        <w:rPr>
          <w:rFonts w:ascii="Arial" w:eastAsia="Calibri" w:hAnsi="Arial" w:cs="Arial"/>
          <w:szCs w:val="28"/>
          <w:lang w:val="uk-UA"/>
        </w:rPr>
      </w:pPr>
      <w:r w:rsidRPr="00511005">
        <w:rPr>
          <w:rFonts w:ascii="Arial" w:eastAsia="Calibri" w:hAnsi="Arial" w:cs="Arial"/>
          <w:szCs w:val="28"/>
          <w:lang w:val="uk-UA"/>
        </w:rPr>
        <w:t>Оприлюднено концепцію державної політики у сфері віртуальних активів. BRDO (Офіс ефективного регулювання) : вебсайт. URL: https://brdo.com.ua/news/uhvalenokontseptsiyu-derzhavnoyi-polityky-u-sferi-virtualnyh-aktyviv/ (дата звернення: 25.04.2025).</w:t>
      </w:r>
    </w:p>
    <w:p w14:paraId="3B38844D" w14:textId="77777777" w:rsidR="003476F8" w:rsidRPr="00511005" w:rsidRDefault="003476F8" w:rsidP="003F6A5D">
      <w:pPr>
        <w:numPr>
          <w:ilvl w:val="0"/>
          <w:numId w:val="411"/>
        </w:numPr>
        <w:spacing w:line="264" w:lineRule="auto"/>
        <w:ind w:left="0" w:firstLine="567"/>
        <w:contextualSpacing/>
        <w:jc w:val="left"/>
        <w:rPr>
          <w:rFonts w:ascii="Arial" w:eastAsia="Calibri" w:hAnsi="Arial" w:cs="Arial"/>
          <w:szCs w:val="28"/>
          <w:lang w:val="uk-UA"/>
        </w:rPr>
      </w:pPr>
      <w:r w:rsidRPr="00511005">
        <w:rPr>
          <w:rFonts w:ascii="Arial" w:eastAsia="Calibri" w:hAnsi="Arial" w:cs="Arial"/>
          <w:szCs w:val="28"/>
          <w:lang w:val="uk-UA"/>
        </w:rPr>
        <w:t>Могил Л. С. Правове забезпечення використання криптовалюти в господарському обігу : дис. … д-ра філософії в галузі права : 081. Одеса, 2022. 223 с.</w:t>
      </w:r>
      <w:hyperlink r:id="rId1582" w:history="1">
        <w:r w:rsidRPr="00511005">
          <w:rPr>
            <w:rFonts w:ascii="Arial" w:eastAsia="Calibri" w:hAnsi="Arial" w:cs="Arial"/>
            <w:szCs w:val="28"/>
            <w:lang w:val="uk-UA"/>
          </w:rPr>
          <w:t>URL:https://dspace.onua.edu.ua/server/api/core/bitstreams/91440555-9db4-4371-9611-f64f91fc85b9/content</w:t>
        </w:r>
      </w:hyperlink>
    </w:p>
    <w:p w14:paraId="02384A7B" w14:textId="77777777" w:rsidR="003476F8" w:rsidRPr="00511005" w:rsidRDefault="003476F8" w:rsidP="003A292D">
      <w:pPr>
        <w:spacing w:line="264" w:lineRule="auto"/>
        <w:ind w:firstLine="0"/>
        <w:contextualSpacing/>
        <w:rPr>
          <w:rFonts w:ascii="Arial" w:eastAsia="Calibri" w:hAnsi="Arial" w:cs="Arial"/>
          <w:szCs w:val="28"/>
          <w:lang w:val="uk-UA"/>
        </w:rPr>
      </w:pPr>
    </w:p>
    <w:p w14:paraId="448DEF41" w14:textId="5B0B7187"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3476F8" w:rsidRPr="00511005">
        <w:rPr>
          <w:rFonts w:ascii="Arial" w:eastAsia="Calibri" w:hAnsi="Arial" w:cs="Arial"/>
          <w:szCs w:val="28"/>
          <w:lang w:val="uk-UA"/>
        </w:rPr>
        <w:t xml:space="preserve">господарське право, криптовалюта, токени, віртуальні активи, нематеріальні активи, економічна безпека, </w:t>
      </w:r>
    </w:p>
    <w:p w14:paraId="14206EA7" w14:textId="2926FF33"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lastRenderedPageBreak/>
        <w:t xml:space="preserve">Key words: </w:t>
      </w:r>
      <w:r w:rsidR="003476F8" w:rsidRPr="00511005">
        <w:rPr>
          <w:rFonts w:ascii="Arial" w:eastAsia="Calibri" w:hAnsi="Arial" w:cs="Arial"/>
          <w:szCs w:val="28"/>
          <w:lang w:val="uk-UA"/>
        </w:rPr>
        <w:t xml:space="preserve">commercial law, cryptocurrency, tokens, virtual assets, intangibleassets, economic security, </w:t>
      </w:r>
    </w:p>
    <w:p w14:paraId="3B41C593" w14:textId="74102E2E" w:rsidR="003476F8" w:rsidRPr="00511005" w:rsidRDefault="007B2628" w:rsidP="003A292D">
      <w:pPr>
        <w:spacing w:line="264" w:lineRule="auto"/>
        <w:ind w:firstLine="0"/>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3476F8" w:rsidRPr="00511005">
        <w:rPr>
          <w:rFonts w:ascii="Arial" w:eastAsia="Times New Roman" w:hAnsi="Arial" w:cs="Arial"/>
          <w:i/>
          <w:szCs w:val="28"/>
          <w:lang w:val="uk-UA"/>
        </w:rPr>
        <w:t>к.ю.н., доцент Згама А.О.</w:t>
      </w:r>
    </w:p>
    <w:p w14:paraId="270A4CA1" w14:textId="77777777" w:rsidR="00B81D8E" w:rsidRDefault="00B81D8E" w:rsidP="003A292D">
      <w:pPr>
        <w:spacing w:line="264" w:lineRule="auto"/>
        <w:ind w:firstLine="0"/>
        <w:jc w:val="center"/>
        <w:rPr>
          <w:rFonts w:ascii="Arial" w:eastAsia="Times New Roman" w:hAnsi="Arial" w:cs="Arial"/>
          <w:i/>
          <w:szCs w:val="28"/>
          <w:lang w:val="uk-UA"/>
        </w:rPr>
      </w:pPr>
    </w:p>
    <w:p w14:paraId="6532BB99" w14:textId="77777777" w:rsidR="00B81D8E" w:rsidRDefault="00B81D8E" w:rsidP="003A292D">
      <w:pPr>
        <w:spacing w:line="264" w:lineRule="auto"/>
        <w:ind w:firstLine="0"/>
        <w:jc w:val="center"/>
        <w:rPr>
          <w:rFonts w:ascii="Arial" w:eastAsia="Times New Roman" w:hAnsi="Arial" w:cs="Arial"/>
          <w:i/>
          <w:szCs w:val="28"/>
          <w:lang w:val="uk-UA"/>
        </w:rPr>
      </w:pPr>
    </w:p>
    <w:p w14:paraId="69D32E50" w14:textId="6D2CDFFE" w:rsidR="003476F8" w:rsidRPr="00511005" w:rsidRDefault="003476F8"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Лукашова Яна Валентинівна</w:t>
      </w:r>
      <w:r w:rsidRPr="00511005">
        <w:rPr>
          <w:rFonts w:ascii="Arial" w:eastAsia="Times New Roman" w:hAnsi="Arial" w:cs="Arial"/>
          <w:b/>
          <w:i/>
          <w:szCs w:val="28"/>
          <w:lang w:val="uk-UA"/>
        </w:rPr>
        <w:br/>
      </w:r>
      <w:r w:rsidR="00536AAB" w:rsidRPr="00511005">
        <w:rPr>
          <w:rFonts w:ascii="Arial" w:eastAsia="Times New Roman" w:hAnsi="Arial" w:cs="Arial"/>
          <w:iCs/>
          <w:szCs w:val="28"/>
          <w:lang w:val="uk-UA"/>
        </w:rPr>
        <w:t xml:space="preserve">студентка 4-го курсу </w:t>
      </w:r>
      <w:r w:rsidR="007B2628" w:rsidRPr="00511005">
        <w:rPr>
          <w:rFonts w:ascii="Arial" w:eastAsia="Times New Roman" w:hAnsi="Arial" w:cs="Arial"/>
          <w:iCs/>
          <w:szCs w:val="28"/>
          <w:lang w:val="uk-UA"/>
        </w:rPr>
        <w:t>факультету цивільної та господарської юстиції</w:t>
      </w:r>
      <w:r w:rsidRPr="00511005">
        <w:rPr>
          <w:rFonts w:ascii="Arial" w:eastAsia="Times New Roman" w:hAnsi="Arial" w:cs="Arial"/>
          <w:iCs/>
          <w:szCs w:val="28"/>
          <w:lang w:val="uk-UA"/>
        </w:rPr>
        <w:t xml:space="preserve"> </w:t>
      </w:r>
      <w:r w:rsidR="007B2628" w:rsidRPr="00511005">
        <w:rPr>
          <w:rFonts w:ascii="Arial" w:eastAsia="Times New Roman" w:hAnsi="Arial" w:cs="Arial"/>
          <w:iCs/>
          <w:szCs w:val="28"/>
          <w:lang w:val="uk-UA"/>
        </w:rPr>
        <w:t>Національного університету «Одеська юридична академія»</w:t>
      </w:r>
      <w:r w:rsidRPr="00511005">
        <w:rPr>
          <w:rFonts w:ascii="Arial" w:eastAsia="Times New Roman" w:hAnsi="Arial" w:cs="Arial"/>
          <w:b/>
          <w:i/>
          <w:szCs w:val="28"/>
          <w:lang w:val="uk-UA"/>
        </w:rPr>
        <w:br/>
      </w:r>
    </w:p>
    <w:p w14:paraId="65A49B70" w14:textId="77777777" w:rsidR="003476F8" w:rsidRPr="00511005" w:rsidRDefault="003476F8" w:rsidP="003A292D">
      <w:pPr>
        <w:spacing w:line="264" w:lineRule="auto"/>
        <w:ind w:firstLine="0"/>
        <w:jc w:val="center"/>
        <w:rPr>
          <w:rFonts w:ascii="Arial" w:eastAsia="Times New Roman" w:hAnsi="Arial" w:cs="Arial"/>
          <w:b/>
          <w:smallCaps/>
          <w:szCs w:val="28"/>
          <w:lang w:val="uk-UA"/>
        </w:rPr>
      </w:pPr>
      <w:r w:rsidRPr="00511005">
        <w:rPr>
          <w:rFonts w:ascii="Arial" w:eastAsia="Times New Roman" w:hAnsi="Arial" w:cs="Arial"/>
          <w:b/>
          <w:smallCaps/>
          <w:szCs w:val="28"/>
          <w:lang w:val="uk-UA"/>
        </w:rPr>
        <w:t xml:space="preserve">МЕХАНІЗМИ ЗАБЕЗПЕЧЕННЯ ПРАВ КРЕДИТОРІВ </w:t>
      </w:r>
    </w:p>
    <w:p w14:paraId="76EBF27F" w14:textId="77777777" w:rsidR="003476F8" w:rsidRPr="00511005" w:rsidRDefault="003476F8" w:rsidP="003A292D">
      <w:pPr>
        <w:spacing w:line="264" w:lineRule="auto"/>
        <w:ind w:firstLine="0"/>
        <w:jc w:val="center"/>
        <w:rPr>
          <w:rFonts w:ascii="Arial" w:eastAsia="Times New Roman" w:hAnsi="Arial" w:cs="Arial"/>
          <w:b/>
          <w:smallCaps/>
          <w:szCs w:val="28"/>
          <w:lang w:val="uk-UA"/>
        </w:rPr>
      </w:pPr>
      <w:r w:rsidRPr="00511005">
        <w:rPr>
          <w:rFonts w:ascii="Arial" w:eastAsia="Times New Roman" w:hAnsi="Arial" w:cs="Arial"/>
          <w:b/>
          <w:smallCaps/>
          <w:szCs w:val="28"/>
          <w:lang w:val="uk-UA"/>
        </w:rPr>
        <w:t xml:space="preserve">У СПРАВАХ ПРО БАНКРУТСТВО </w:t>
      </w:r>
    </w:p>
    <w:p w14:paraId="54C2F808" w14:textId="4F649E90"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Банкрутство, як механізм, який дозволяє кредиторам здійснити примусове погашення їх вимог боржником, відновити платоспроможність суб’єкта господарювання чи припинити його діяльність у випадку стійкої фінансової кризи, є важливою частиною будь-якої національної правової та економічної системи. Наразі воно залишається актуальним і для підприємців, які внаслідок збройної агресії з боку Російської Федерації не мають можливості продовжувати свою господарську діяльність, у т.ч., через</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втрату всієї або значної частини активів.</w:t>
      </w:r>
    </w:p>
    <w:p w14:paraId="56B23B86"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Втрата платоспроможності одного з суб’єктів господарювання змушує інших суб’єктів, які мають статус кредиторів, звертатися до суду з вимогою про визнання боржника банкрутом. Сам боржник також може виступати ініціатором судового провадження, адже іноді це єдиний шлях до відновлення його платоспроможності.</w:t>
      </w:r>
    </w:p>
    <w:p w14:paraId="0EA25DBF"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Забезпечення прав кредиторів – важлива складова у справах про банкрутство, так як задоволення їх вимог є основним завданням такого провадження, і тому законодавець передбачив низку спеціальних правових інструментів, спрямованих на своєчасне та повне виконання боржником своїх зобов’язань.</w:t>
      </w:r>
    </w:p>
    <w:p w14:paraId="05F3289B"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Процедура банкрутства починається зі стадії розпорядження майном, за підсумками якої суд приймає рішення: відновлювати платоспроможність боржника шляхом санації чи переходити до ліквідації, якщо попереднє відновлення вже неможливе. На цьому етапі суд призначає розпорядника майном боржника, виявляє кредиторів та осіб, готових взяти участь у санації. Розпорядник майна забезпечує права кредиторів шляхом розгляду їх заяв із грошовими вимогами та ведення реєстру таких вимог. Він аналізує фінансово-господарську діяльність боржника й виявляє ознаки фіктивного банкрутства чи доведення до банкрутства, і у разі чого повідомляє правоохоронні органи про таку діяльність. Окрім цього, інтереси кредиторів забезпечуються скликанням зборів і комітету, які також організовує і проводить розпорядник. Їх проведення надає можливість кредиторам </w:t>
      </w:r>
      <w:r w:rsidRPr="00511005">
        <w:rPr>
          <w:rFonts w:ascii="Arial" w:eastAsia="Times New Roman" w:hAnsi="Arial" w:cs="Arial"/>
          <w:szCs w:val="28"/>
          <w:lang w:val="uk-UA"/>
        </w:rPr>
        <w:lastRenderedPageBreak/>
        <w:t>самостійно реалізовувати свої процесуальні права та публічно відстоювати власні інтереси [1].</w:t>
      </w:r>
    </w:p>
    <w:p w14:paraId="5C6968F8"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Комітет кредиторів забезпечує поточне управління процесом, визначає арбітражного керуючого та скликає збори, захищаючи інтереси всіх кредиторів у період між засіданнями. Вони мають право звертатися до суду з вимогою про визнання правочинів боржника недійсними, вносити пропозиції щодо продовження або скорочення строку процедур розпорядження майном чи санації боржника й надавати згоду на продаж майна боржника у процедурі санації та ліквідації. Збори кредиторів, у свою чергу, контролюють діяльність комітету, визначаючи його кількісний склад та учасників, вирішують питання про дострокове припинення повноважень комітету або окремих учасників. Зокрема,ухвалюють і більш ключові рішення, такі як погодження плану санації або змін до нього, а також звертаються до суду з клопотанням про проведення наступної процедури у справі[2, с. 38]. Разом вони формують єдину систему управління та контролю, яка гарантує прозорість, колегіальність і ефективність розгляду в процедурах банкрутства.</w:t>
      </w:r>
    </w:p>
    <w:p w14:paraId="52ECE7CE"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Одним із перших кроків після відкриття провадження судом у справах про банкрутство є запровадження мораторію на задоволення вимог кредиторів. Він вводиться одночасно з відкриттям провадження у справі й забезпечує збереження активів боржника до закриття провадження для рівномірного й справедливого задоволення всіх кредиторських вимог[3].</w:t>
      </w:r>
    </w:p>
    <w:p w14:paraId="6585B163"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Іншим способом захисту прав кредиторів є визнання судом недійсними правочинів або спростування майнових дій, вчинених боржником після відкриття провадження у справі або протягом трьох років до цього, які також порушили права боржника чи його кредиторів. У такому випадку особа, яка отримала майно від боржника за правочином, який пізніше було визнано недійсним, зобов’язана повернути це майно, а якщо це зробити неможливо – відшкодувати його вартість [2, с. 95].</w:t>
      </w:r>
    </w:p>
    <w:p w14:paraId="54F2FDDA"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Окрім цього, суд за власною ініціативою або за клопотанням учасників провадження може вживати заходів для забезпечення вимог кредиторів шляхом наступних дій: накладення заборони вчиняти правочини, розпоряджатися майном, цінними паперами без згоди розпорядника або суду, а також зобов’язання передати таке майно, цінні папери та інші цінності на зберігання третім особам. Ці тимчасові заходи діють до їх скасування тим самим судом або вищою інстанцією в разі визнання їх необґрунтованими. Ухвала про вжиття заходів забезпечення вимог кредиторів є виконавчим документом та підлягає примусовому виконанню[4].</w:t>
      </w:r>
    </w:p>
    <w:p w14:paraId="09017AB3" w14:textId="12AE8365"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Важливу роль для таких справ відіграє й інститут правонаступництва, оскільки саме він гарантує своєчасне та безперебійне залучення нових кредиторів до провадження й збереження вже застосованих заходів забезпечення. Процедура банкрутства</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 досить тривалий процес, і якби </w:t>
      </w:r>
      <w:r w:rsidRPr="00511005">
        <w:rPr>
          <w:rFonts w:ascii="Arial" w:eastAsia="Times New Roman" w:hAnsi="Arial" w:cs="Arial"/>
          <w:szCs w:val="28"/>
          <w:lang w:val="uk-UA"/>
        </w:rPr>
        <w:lastRenderedPageBreak/>
        <w:t>правонаступництво не було її частиною, то кожна заміна кредитора або передача права вимоги вимагала б повторного оформлення всіх процесуальних дій, що призводило б до затягування строків і значного ускладнення захисту прав кредиторів.</w:t>
      </w:r>
    </w:p>
    <w:p w14:paraId="18CCEB17"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Кодекс України з процедур банкрутства встановлює порядок проведення як санації, так і ліквідації, прагнучи в обох випадках максимально захистити права кредиторів і забезпечити їхні вимоги. Для кредитора процедура санації може забезпечити повернення більшої частини заборгованості, ніж у разі проведення процедури банкрутства. Досудова санація вирізняється гнучкістю в розробці й погодженні плану без жорстких строків на його створення та виконання, оперативністю процедури, мінімальним судовим втручанням, зниженими витратами на її проведення й можливістю оптимізації податкового навантаження. Єдиним недоліком є те, що кредитори, які беруть участь у плані санації, не можуть ініціювати справу про банкрутство боржника, доки він сумлінно виконує встановлені зобов’язання.</w:t>
      </w:r>
    </w:p>
    <w:p w14:paraId="08637E77"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На стадії ліквідації підприємство припиняє свою господарську діяльність, усі співробітники звільняються, а управління його активами та процесом переходить виключно до арбітражного керуючого. Верховний Суд активно відстоює прокредиторську практику, задовольняючи більшість клопотань арбітражних керуючих про притягнення керівників та власників боржника до відповідальності. У результаті, якщо їхні дії спричинили банкрутство, борги </w:t>
      </w:r>
      <w:bookmarkStart w:id="185" w:name="_Hlk197428291"/>
      <w:r w:rsidRPr="00511005">
        <w:rPr>
          <w:rFonts w:ascii="Arial" w:eastAsia="Times New Roman" w:hAnsi="Arial" w:cs="Arial"/>
          <w:szCs w:val="28"/>
          <w:lang w:val="uk-UA"/>
        </w:rPr>
        <w:t>підприємства можуть бути перекладені саме на них. Переваги ліквідації включають повний контроль над управлінням і виробничим процесом боржника, можливість повернути відчужені активи для їх подальшої реалізації, а також притягнення керівників і власників до солідарної чи субсидіарної відповідальності. Серед недоліків — тривалість процедури, яка інколи перевищує 12 місяців[3].</w:t>
      </w:r>
    </w:p>
    <w:p w14:paraId="6BF75C0B"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Підсумовуючи, можна сказати, що заходи забезпечення прав кредиторів у процедурі банкрутства спрямовані не лише на збереження майнових активів боржника, запобігання їх виведенню або знищенню, а також на рівномірне і справедливе задоволення вимог усіх кредиторів, що є основним завданням такої процедури. Ці механізми формують системний підхід до управління процедурою банкрутства, гарантують її законність і рівність усіх кредиторів.</w:t>
      </w:r>
    </w:p>
    <w:p w14:paraId="0B92F069" w14:textId="77777777" w:rsidR="003476F8" w:rsidRPr="00511005" w:rsidRDefault="003476F8" w:rsidP="003A292D">
      <w:pPr>
        <w:spacing w:line="264" w:lineRule="auto"/>
        <w:ind w:firstLine="0"/>
        <w:rPr>
          <w:rFonts w:ascii="Arial" w:eastAsia="Times New Roman" w:hAnsi="Arial" w:cs="Arial"/>
          <w:szCs w:val="28"/>
          <w:lang w:val="uk-UA"/>
        </w:rPr>
      </w:pPr>
    </w:p>
    <w:bookmarkEnd w:id="185"/>
    <w:p w14:paraId="1F1D9A87" w14:textId="58387382" w:rsidR="003476F8" w:rsidRPr="00511005" w:rsidRDefault="007B2628" w:rsidP="007B2628">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4DBDF13A" w14:textId="77777777" w:rsidR="003476F8" w:rsidRPr="00511005" w:rsidRDefault="003476F8" w:rsidP="003F6A5D">
      <w:pPr>
        <w:numPr>
          <w:ilvl w:val="0"/>
          <w:numId w:val="412"/>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Кодекс України з процедур банкрутства: Закон України від 18 жовтня 2018 року № 2597-VIII. URL: </w:t>
      </w:r>
      <w:hyperlink r:id="rId1583" w:anchor="Text" w:history="1">
        <w:r w:rsidRPr="00511005">
          <w:rPr>
            <w:rFonts w:ascii="Arial" w:eastAsia="Times New Roman" w:hAnsi="Arial" w:cs="Arial"/>
            <w:szCs w:val="28"/>
            <w:lang w:val="uk-UA"/>
          </w:rPr>
          <w:t>https://zakon.rada.gov.ua/laws/show/2597-19#Text</w:t>
        </w:r>
      </w:hyperlink>
    </w:p>
    <w:p w14:paraId="0ADC2327" w14:textId="77777777" w:rsidR="003476F8" w:rsidRPr="00511005" w:rsidRDefault="003476F8" w:rsidP="003F6A5D">
      <w:pPr>
        <w:numPr>
          <w:ilvl w:val="0"/>
          <w:numId w:val="412"/>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Застосування норм Кодексу України з процедур банкрутства. Збірканаукових статей / За загальною редакцією д.ю.н., судді Верховного Суду С. В. Жукова. К.: Алерта, 2019. 216 с.</w:t>
      </w:r>
    </w:p>
    <w:p w14:paraId="3A3D43EB" w14:textId="77777777" w:rsidR="003476F8" w:rsidRPr="00511005" w:rsidRDefault="003476F8" w:rsidP="003F6A5D">
      <w:pPr>
        <w:numPr>
          <w:ilvl w:val="0"/>
          <w:numId w:val="412"/>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lastRenderedPageBreak/>
        <w:t xml:space="preserve">Бережна К.В. Механізми захисту прав кредиторів у процесі банкрутства підприємств в Україні: адміністративно-правовий підхід. Науковий вісник ХДУ Серія Юридичні науки № 4 (2024). С. 23-28.URL : </w:t>
      </w:r>
      <w:hyperlink r:id="rId1584" w:history="1">
        <w:r w:rsidRPr="00511005">
          <w:rPr>
            <w:rFonts w:ascii="Arial" w:eastAsia="Times New Roman" w:hAnsi="Arial" w:cs="Arial"/>
            <w:szCs w:val="28"/>
            <w:lang w:val="uk-UA"/>
          </w:rPr>
          <w:t>https://lj.journal.kspu.edu/index.php/lj/article/view/438/398</w:t>
        </w:r>
      </w:hyperlink>
    </w:p>
    <w:p w14:paraId="5B63636A" w14:textId="77777777" w:rsidR="003476F8" w:rsidRPr="00511005" w:rsidRDefault="003476F8" w:rsidP="003F6A5D">
      <w:pPr>
        <w:numPr>
          <w:ilvl w:val="0"/>
          <w:numId w:val="412"/>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Постанова КГС ВС від 13 лютого 2020 року у справі № 50/790-43/173 щодо умов та підстав вжиття заходів забезпечення вимог кредиторів у справі про банкрутство. URL : </w:t>
      </w:r>
      <w:hyperlink r:id="rId1585" w:history="1">
        <w:r w:rsidRPr="00511005">
          <w:rPr>
            <w:rFonts w:ascii="Arial" w:eastAsia="Times New Roman" w:hAnsi="Arial" w:cs="Arial"/>
            <w:szCs w:val="28"/>
            <w:lang w:val="uk-UA"/>
          </w:rPr>
          <w:t>https://reyestr.court.gov.ua/Review/87838961</w:t>
        </w:r>
      </w:hyperlink>
    </w:p>
    <w:p w14:paraId="0EE9B992" w14:textId="77777777" w:rsidR="003476F8" w:rsidRPr="00511005" w:rsidRDefault="003476F8" w:rsidP="003A292D">
      <w:pPr>
        <w:spacing w:line="264" w:lineRule="auto"/>
        <w:ind w:firstLine="0"/>
        <w:rPr>
          <w:rFonts w:ascii="Arial" w:eastAsia="Times New Roman" w:hAnsi="Arial" w:cs="Arial"/>
          <w:b/>
          <w:bCs/>
          <w:szCs w:val="28"/>
          <w:lang w:val="uk-UA"/>
        </w:rPr>
      </w:pPr>
    </w:p>
    <w:p w14:paraId="3780C445" w14:textId="673B0EB1" w:rsidR="003476F8" w:rsidRPr="00511005" w:rsidRDefault="003476F8" w:rsidP="003A292D">
      <w:pPr>
        <w:spacing w:line="264" w:lineRule="auto"/>
        <w:ind w:firstLine="0"/>
        <w:rPr>
          <w:rFonts w:ascii="Arial" w:eastAsia="Times New Roman" w:hAnsi="Arial" w:cs="Arial"/>
          <w:szCs w:val="28"/>
          <w:lang w:val="uk-UA"/>
        </w:rPr>
      </w:pPr>
      <w:r w:rsidRPr="009C3A24">
        <w:rPr>
          <w:rFonts w:ascii="Arial" w:eastAsia="Times New Roman" w:hAnsi="Arial" w:cs="Arial"/>
          <w:b/>
          <w:bCs/>
          <w:i/>
          <w:iCs/>
          <w:szCs w:val="28"/>
          <w:lang w:val="uk-UA"/>
        </w:rPr>
        <w:t>Ключові слова:</w:t>
      </w:r>
      <w:r w:rsidR="009C3A24">
        <w:rPr>
          <w:rFonts w:ascii="Arial" w:eastAsia="Times New Roman" w:hAnsi="Arial" w:cs="Arial"/>
          <w:b/>
          <w:bCs/>
          <w:szCs w:val="28"/>
          <w:lang w:val="uk-UA"/>
        </w:rPr>
        <w:t xml:space="preserve"> </w:t>
      </w:r>
      <w:r w:rsidRPr="00511005">
        <w:rPr>
          <w:rFonts w:ascii="Arial" w:eastAsia="Times New Roman" w:hAnsi="Arial" w:cs="Arial"/>
          <w:szCs w:val="28"/>
          <w:lang w:val="uk-UA"/>
        </w:rPr>
        <w:t>механізми забезпечення, права кредиторів, процедура банкрутства, мораторій, розпорядник майна, арбітражний керуючий, комітет кредиторів, збори кредиторів, ліквідація.</w:t>
      </w:r>
    </w:p>
    <w:p w14:paraId="61F667AD" w14:textId="6B8BA4B8" w:rsidR="003476F8" w:rsidRPr="00511005" w:rsidRDefault="003476F8" w:rsidP="003A292D">
      <w:pPr>
        <w:spacing w:line="264" w:lineRule="auto"/>
        <w:ind w:firstLine="0"/>
        <w:rPr>
          <w:rFonts w:ascii="Arial" w:eastAsia="Times New Roman" w:hAnsi="Arial" w:cs="Arial"/>
          <w:szCs w:val="28"/>
          <w:lang w:val="uk-UA"/>
        </w:rPr>
      </w:pPr>
      <w:r w:rsidRPr="009C3A24">
        <w:rPr>
          <w:rFonts w:ascii="Arial" w:eastAsia="Times New Roman" w:hAnsi="Arial" w:cs="Arial"/>
          <w:b/>
          <w:bCs/>
          <w:i/>
          <w:iCs/>
          <w:szCs w:val="28"/>
          <w:lang w:val="uk-UA"/>
        </w:rPr>
        <w:t>Key words:</w:t>
      </w:r>
      <w:r w:rsidR="009C3A24">
        <w:rPr>
          <w:rFonts w:ascii="Arial" w:eastAsia="Times New Roman" w:hAnsi="Arial" w:cs="Arial"/>
          <w:b/>
          <w:bCs/>
          <w:szCs w:val="28"/>
          <w:lang w:val="uk-UA"/>
        </w:rPr>
        <w:t xml:space="preserve"> </w:t>
      </w:r>
      <w:r w:rsidRPr="00511005">
        <w:rPr>
          <w:rFonts w:ascii="Arial" w:eastAsia="Times New Roman" w:hAnsi="Arial" w:cs="Arial"/>
          <w:szCs w:val="28"/>
          <w:lang w:val="uk-UA"/>
        </w:rPr>
        <w:t>enforcement mechanisms, creditors’ rights, bankruptcy proceedings, moratorium, bankruptcy trustee, insolvency practitioner, creditors’ committee, creditors’ meeting, liquidation.</w:t>
      </w:r>
    </w:p>
    <w:p w14:paraId="44F4452B" w14:textId="49F47471" w:rsidR="003476F8" w:rsidRPr="00511005" w:rsidRDefault="007B2628" w:rsidP="003A292D">
      <w:pPr>
        <w:spacing w:line="264" w:lineRule="auto"/>
        <w:ind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3476F8" w:rsidRPr="00511005">
        <w:rPr>
          <w:rFonts w:ascii="Arial" w:eastAsia="Times New Roman" w:hAnsi="Arial" w:cs="Arial"/>
          <w:i/>
          <w:iCs/>
          <w:szCs w:val="28"/>
          <w:lang w:val="uk-UA"/>
        </w:rPr>
        <w:t>к.ю.н., доцент Будурова Г. М.</w:t>
      </w:r>
    </w:p>
    <w:p w14:paraId="299961E2" w14:textId="77777777" w:rsidR="00B81D8E" w:rsidRDefault="00B81D8E" w:rsidP="003A292D">
      <w:pPr>
        <w:spacing w:line="264" w:lineRule="auto"/>
        <w:ind w:firstLine="0"/>
        <w:jc w:val="center"/>
        <w:rPr>
          <w:rFonts w:ascii="Arial" w:eastAsia="Calibri" w:hAnsi="Arial" w:cs="Arial"/>
          <w:i/>
          <w:szCs w:val="28"/>
          <w:lang w:val="uk-UA"/>
        </w:rPr>
      </w:pPr>
    </w:p>
    <w:p w14:paraId="2C49F6A9" w14:textId="77777777" w:rsidR="00B81D8E" w:rsidRDefault="00B81D8E" w:rsidP="003A292D">
      <w:pPr>
        <w:spacing w:line="264" w:lineRule="auto"/>
        <w:ind w:firstLine="0"/>
        <w:jc w:val="center"/>
        <w:rPr>
          <w:rFonts w:ascii="Arial" w:eastAsia="Calibri" w:hAnsi="Arial" w:cs="Arial"/>
          <w:i/>
          <w:szCs w:val="28"/>
          <w:lang w:val="uk-UA"/>
        </w:rPr>
      </w:pPr>
    </w:p>
    <w:p w14:paraId="6A0E5CFB" w14:textId="2C88750E" w:rsidR="003476F8" w:rsidRPr="00511005" w:rsidRDefault="003476F8" w:rsidP="003A292D">
      <w:pPr>
        <w:spacing w:line="264" w:lineRule="auto"/>
        <w:ind w:firstLine="0"/>
        <w:jc w:val="center"/>
        <w:rPr>
          <w:rFonts w:ascii="Arial" w:eastAsia="Aptos" w:hAnsi="Arial" w:cs="Arial"/>
          <w:b/>
          <w:bCs/>
          <w:i/>
          <w:iCs/>
          <w:noProof/>
          <w:kern w:val="2"/>
          <w:szCs w:val="28"/>
          <w:lang w:val="uk-UA"/>
        </w:rPr>
      </w:pPr>
      <w:r w:rsidRPr="00511005">
        <w:rPr>
          <w:rFonts w:ascii="Arial" w:eastAsia="Aptos" w:hAnsi="Arial" w:cs="Arial"/>
          <w:b/>
          <w:bCs/>
          <w:i/>
          <w:iCs/>
          <w:noProof/>
          <w:kern w:val="2"/>
          <w:szCs w:val="28"/>
          <w:lang w:val="uk-UA"/>
        </w:rPr>
        <w:t>Малих Маргарита Максимівна</w:t>
      </w:r>
    </w:p>
    <w:p w14:paraId="44120BA2" w14:textId="282EBB59" w:rsidR="003476F8" w:rsidRPr="00511005" w:rsidRDefault="00B81D8E" w:rsidP="003A292D">
      <w:pPr>
        <w:spacing w:line="264" w:lineRule="auto"/>
        <w:ind w:firstLine="0"/>
        <w:jc w:val="center"/>
        <w:rPr>
          <w:rFonts w:ascii="Arial" w:eastAsia="Aptos" w:hAnsi="Arial" w:cs="Arial"/>
          <w:noProof/>
          <w:kern w:val="2"/>
          <w:szCs w:val="28"/>
          <w:lang w:val="uk-UA"/>
        </w:rPr>
      </w:pPr>
      <w:r>
        <w:rPr>
          <w:rFonts w:ascii="Arial" w:eastAsia="Aptos" w:hAnsi="Arial" w:cs="Arial"/>
          <w:noProof/>
          <w:kern w:val="2"/>
          <w:szCs w:val="28"/>
          <w:lang w:val="uk-UA"/>
        </w:rPr>
        <w:t>с</w:t>
      </w:r>
      <w:r w:rsidR="00536AAB" w:rsidRPr="00511005">
        <w:rPr>
          <w:rFonts w:ascii="Arial" w:eastAsia="Aptos" w:hAnsi="Arial" w:cs="Arial"/>
          <w:noProof/>
          <w:kern w:val="2"/>
          <w:szCs w:val="28"/>
          <w:lang w:val="uk-UA"/>
        </w:rPr>
        <w:t>тудентка 3-го курсу факультету адвокатури та антикорупційної діяльності</w:t>
      </w:r>
    </w:p>
    <w:p w14:paraId="035528C3" w14:textId="5DC9A110" w:rsidR="003476F8" w:rsidRPr="00511005" w:rsidRDefault="007B2628" w:rsidP="003A292D">
      <w:pPr>
        <w:spacing w:line="264" w:lineRule="auto"/>
        <w:ind w:firstLine="0"/>
        <w:jc w:val="center"/>
        <w:rPr>
          <w:rFonts w:ascii="Arial" w:eastAsia="Aptos" w:hAnsi="Arial" w:cs="Arial"/>
          <w:noProof/>
          <w:kern w:val="2"/>
          <w:szCs w:val="28"/>
          <w:lang w:val="uk-UA"/>
        </w:rPr>
      </w:pPr>
      <w:r w:rsidRPr="00511005">
        <w:rPr>
          <w:rFonts w:ascii="Arial" w:eastAsia="Aptos" w:hAnsi="Arial" w:cs="Arial"/>
          <w:noProof/>
          <w:kern w:val="2"/>
          <w:szCs w:val="28"/>
          <w:lang w:val="uk-UA"/>
        </w:rPr>
        <w:t>Національного університету «Одеська юридична академія»</w:t>
      </w:r>
    </w:p>
    <w:p w14:paraId="75096B52" w14:textId="77777777" w:rsidR="003476F8" w:rsidRPr="00511005" w:rsidRDefault="003476F8" w:rsidP="003A292D">
      <w:pPr>
        <w:spacing w:line="264" w:lineRule="auto"/>
        <w:ind w:firstLine="0"/>
        <w:jc w:val="center"/>
        <w:rPr>
          <w:rFonts w:ascii="Arial" w:eastAsia="Aptos" w:hAnsi="Arial" w:cs="Arial"/>
          <w:noProof/>
          <w:kern w:val="2"/>
          <w:szCs w:val="28"/>
          <w:lang w:val="uk-UA"/>
        </w:rPr>
      </w:pPr>
    </w:p>
    <w:p w14:paraId="0567289F" w14:textId="77777777" w:rsidR="003476F8" w:rsidRPr="00511005" w:rsidRDefault="003476F8" w:rsidP="003A292D">
      <w:pPr>
        <w:spacing w:line="264" w:lineRule="auto"/>
        <w:ind w:firstLine="0"/>
        <w:jc w:val="center"/>
        <w:rPr>
          <w:rFonts w:ascii="Arial" w:eastAsia="Aptos" w:hAnsi="Arial" w:cs="Arial"/>
          <w:b/>
          <w:kern w:val="2"/>
          <w:szCs w:val="28"/>
          <w:lang w:val="uk-UA"/>
        </w:rPr>
      </w:pPr>
      <w:r w:rsidRPr="00511005">
        <w:rPr>
          <w:rFonts w:ascii="Arial" w:eastAsia="Aptos" w:hAnsi="Arial" w:cs="Arial"/>
          <w:b/>
          <w:kern w:val="2"/>
          <w:szCs w:val="28"/>
          <w:lang w:val="uk-UA"/>
        </w:rPr>
        <w:t>АНТИМОНОПОЛЬНИЙ КОМІТЕТ УКРАЇНИ В СИСТЕМІ ЗАБЕЗПЕЧЕННЯ ЕКОНОМІЧНОЇ КОНКУРЕНЦІЇ ТА ПУБЛІЧНИХ ЗАКУПІВЕЛЬ</w:t>
      </w:r>
    </w:p>
    <w:p w14:paraId="618E21AB"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b/>
          <w:bCs/>
          <w:noProof/>
          <w:kern w:val="2"/>
          <w:szCs w:val="28"/>
          <w:lang w:val="uk-UA"/>
        </w:rPr>
        <w:tab/>
      </w:r>
      <w:r w:rsidRPr="00511005">
        <w:rPr>
          <w:rFonts w:ascii="Arial" w:eastAsia="Aptos" w:hAnsi="Arial" w:cs="Arial"/>
          <w:noProof/>
          <w:kern w:val="2"/>
          <w:szCs w:val="28"/>
          <w:lang w:val="uk-UA"/>
        </w:rPr>
        <w:t>У сучасних умовах розвитку ринкових відносин надзвичайно важливо забезпечити справедливу конкуренцію між суб’єктами господарювання. Для цього в Україні діє Антимонопольний комітет України (далі - АМКУ) - центральний орган виконавчої влади зі спеціальним статусом, який реалізує державну політику у сфері захисту економічної конкуренції. Однак, окрім своїх контролюючих функцій, Антимонопольний комітет України також може виступати суб’єктом господарських правовідносин, що породжує необхідність аналізу його правового становища як суб’єкта господарських відносин.</w:t>
      </w:r>
    </w:p>
    <w:p w14:paraId="24AE8905"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Законодавець дає чітке визначення поняттю «Антимонопольний комітет України» у Законі України «Про Антимонопольний комітет України»- він є державним органом із спеціальним статусом, метою діяльності якого є забезпечення державного захисту конкуренції у підприємницькій діяльності та у сфері державних закупівель[1].</w:t>
      </w:r>
    </w:p>
    <w:p w14:paraId="56CB4DDF"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Одним із ключових завдань комітету є забезпечення збалансованого поєднання публічно-правових і приватноправових інтересів у процесі співпраці з суб’єктами господарювання, що сприяє підтриманню господарсько-правового порядку.</w:t>
      </w:r>
    </w:p>
    <w:p w14:paraId="507741AC"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lastRenderedPageBreak/>
        <w:t>Доосновних напрямів роботи АМКУу сфері господарських відносин можна віднести такі функції:</w:t>
      </w:r>
    </w:p>
    <w:p w14:paraId="0A1F3F46" w14:textId="77777777" w:rsidR="003476F8" w:rsidRPr="00511005" w:rsidRDefault="003476F8" w:rsidP="003F6A5D">
      <w:pPr>
        <w:numPr>
          <w:ilvl w:val="0"/>
          <w:numId w:val="413"/>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 xml:space="preserve">виявлення та припинення зловживань монопольним (домінуючим) становищем суб’єктами господарювання; контролю за концентрацією, узгодженими діями суб’єктів господарювання; </w:t>
      </w:r>
    </w:p>
    <w:p w14:paraId="6BCB2776" w14:textId="77777777" w:rsidR="003476F8" w:rsidRPr="00511005" w:rsidRDefault="003476F8" w:rsidP="003F6A5D">
      <w:pPr>
        <w:numPr>
          <w:ilvl w:val="0"/>
          <w:numId w:val="413"/>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 xml:space="preserve">виявлення та припинення недобросовісної конкуренції суб’єктами господарювання; </w:t>
      </w:r>
    </w:p>
    <w:p w14:paraId="6BB5BB32" w14:textId="77777777" w:rsidR="003476F8" w:rsidRPr="00511005" w:rsidRDefault="003476F8" w:rsidP="003F6A5D">
      <w:pPr>
        <w:numPr>
          <w:ilvl w:val="0"/>
          <w:numId w:val="413"/>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 xml:space="preserve">моніторингу державної допомоги суб’єктам господарювання; </w:t>
      </w:r>
    </w:p>
    <w:p w14:paraId="35DB6B92" w14:textId="77777777" w:rsidR="003476F8" w:rsidRPr="00511005" w:rsidRDefault="003476F8" w:rsidP="003F6A5D">
      <w:pPr>
        <w:numPr>
          <w:ilvl w:val="0"/>
          <w:numId w:val="413"/>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захисту прав та законних інтересів осіб, пов’язаних з участю у процедурах публічних закупівель[2, с. 173].</w:t>
      </w:r>
    </w:p>
    <w:p w14:paraId="3DBA8400"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Насамперед необхідно відмітити повноваження АМКУ щодо контролю порушень у сфері недобросовісної конкуренції.</w:t>
      </w:r>
    </w:p>
    <w:p w14:paraId="3766C42D"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Відповідно до Угоди про Асоціацію Україна зобов’язалася узгодити національне законодавство зі стандартами Європейського Союзу. Проте для вирішення спірних питань недостатньо лише ухвалення нових або внесення змін до чинних нормативно-правових актів—необхідне також ефективне вдосконалення механізмів роботи Антимонопольного комітету[3].</w:t>
      </w:r>
    </w:p>
    <w:p w14:paraId="7C80B375"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Одним із таких «механізмів»стало Розпорядження Антимонопольного комітету України «Про затвердження Порядку визначення розміру штрафу, що накладається за порушення законодавства про захист економічної конкуренції»,який був прийнятий відносно недавно, а саме 14 лютого 2023 року.</w:t>
      </w:r>
    </w:p>
    <w:p w14:paraId="707189C9"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Одним із наступних напрямів діяльності АМКУ є моніторинг державної допомоги суб’єктам господарювання та контроль за її належним використанням. Відповідно до Закону України «Про державну допомогу суб’єктам господарювання»Антимонопольний комітет виконує функції уповноваженого органу, відповідального за оцінку допустимості державної допомоги з точки зору її впливу на конкуренцію[4].</w:t>
      </w:r>
    </w:p>
    <w:p w14:paraId="4EBFCEA4"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Відповідно до статті 107-1 Договору про функціонування Європейського Союзу, АМКУ визначив критерії державної допомоги, які мають виконуватися одночасно:</w:t>
      </w:r>
    </w:p>
    <w:p w14:paraId="2F6755B3" w14:textId="77777777" w:rsidR="003476F8" w:rsidRPr="00511005" w:rsidRDefault="003476F8" w:rsidP="003F6A5D">
      <w:pPr>
        <w:numPr>
          <w:ilvl w:val="0"/>
          <w:numId w:val="413"/>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підтримка спрямовується на суб’єкта господарювання;</w:t>
      </w:r>
    </w:p>
    <w:p w14:paraId="2A4F91FD" w14:textId="77777777" w:rsidR="003476F8" w:rsidRPr="00511005" w:rsidRDefault="003476F8" w:rsidP="003F6A5D">
      <w:pPr>
        <w:numPr>
          <w:ilvl w:val="0"/>
          <w:numId w:val="413"/>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фінансування державної допомоги- чи то програми, чи індивідуальної-здійснюється за рахунок державних або місцевих ресурсів;</w:t>
      </w:r>
    </w:p>
    <w:p w14:paraId="49A06835" w14:textId="77777777" w:rsidR="003476F8" w:rsidRPr="00511005" w:rsidRDefault="003476F8" w:rsidP="003F6A5D">
      <w:pPr>
        <w:numPr>
          <w:ilvl w:val="0"/>
          <w:numId w:val="413"/>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суб’єктам господарювання надаються переваги для виробництва певних товарів або ведення окремих видів господарської діяльності;</w:t>
      </w:r>
    </w:p>
    <w:p w14:paraId="29CA962B" w14:textId="77777777" w:rsidR="003476F8" w:rsidRPr="00511005" w:rsidRDefault="003476F8" w:rsidP="003F6A5D">
      <w:pPr>
        <w:numPr>
          <w:ilvl w:val="0"/>
          <w:numId w:val="413"/>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застосування програми державної допомоги або її індивідуальної форми має вибірковий характер[5].</w:t>
      </w:r>
    </w:p>
    <w:p w14:paraId="5BEFAC16"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 xml:space="preserve">Також АМКУ, розглядаючи повідомлення про нову державну допомогу або здійснюючи моніторинг чинної допомоги, ухвалює рішення щодо її </w:t>
      </w:r>
      <w:r w:rsidRPr="00511005">
        <w:rPr>
          <w:rFonts w:ascii="Arial" w:eastAsia="Aptos" w:hAnsi="Arial" w:cs="Arial"/>
          <w:noProof/>
          <w:kern w:val="2"/>
          <w:szCs w:val="28"/>
          <w:lang w:val="uk-UA"/>
        </w:rPr>
        <w:lastRenderedPageBreak/>
        <w:t>відповідності принципам конкуренції-визнаючи її допустимою або недопустимою.</w:t>
      </w:r>
    </w:p>
    <w:p w14:paraId="14A9B83D" w14:textId="5598B1D1"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Також,</w:t>
      </w:r>
      <w:r w:rsidR="007B2628" w:rsidRPr="00511005">
        <w:rPr>
          <w:rFonts w:ascii="Arial" w:eastAsia="Aptos" w:hAnsi="Arial" w:cs="Arial"/>
          <w:noProof/>
          <w:kern w:val="2"/>
          <w:szCs w:val="28"/>
          <w:lang w:val="uk-UA"/>
        </w:rPr>
        <w:t xml:space="preserve"> </w:t>
      </w:r>
      <w:r w:rsidRPr="00511005">
        <w:rPr>
          <w:rFonts w:ascii="Arial" w:eastAsia="Aptos" w:hAnsi="Arial" w:cs="Arial"/>
          <w:noProof/>
          <w:kern w:val="2"/>
          <w:szCs w:val="28"/>
          <w:lang w:val="uk-UA"/>
        </w:rPr>
        <w:t>погоджуюсь з думкою О.В. Безуха про те, що встановлення недопустимості державної допомоги для конкуренції не означає недопустимості державної допомоги для господарської діяльності. Важливо, щоб процес надання такої підтримки не призводив до викривлення економічної конкуренції. Наприклад, фінансова допомога збитковому підприємству з державного бюджету сама по собі не є порушенням конкурентних умов і не може автоматично розглядатися як загроза для конкуренції[6, с. 152-153].</w:t>
      </w:r>
    </w:p>
    <w:p w14:paraId="4E0DB362"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Одним із порівняно нових напрямів діяльності АМКУможна назвати виконання функцій органу оскарження у сфері публічних закупівель. Відповідно до статті 153 Угоди про Асоціацію було здійснено адаптацію законодавства щодо державних закупівель до стандартів Європейського Союзу. На основі пункту 14 статті 1 Закону України «Про публічні закупівлі» АМКУ визначений органом оскарження, який, забезпечуючи неупереджений та ефективний захист прав і законних інтересів учасників закупівель, створює постійно діючу адміністративну колегію (колегії) для розгляду скарг про порушення законодавства у цій сфері[7].</w:t>
      </w:r>
    </w:p>
    <w:p w14:paraId="7EA78B6B"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 xml:space="preserve">Процедури оскарження зазнали суттєвих змін, зокрема, тепер скарги подаються виключно в електронному форматі для розгляду адміністративною колегією. Вся інформація щодо діяльності цієї структури розміщується на офіційному веб-сайті АМКУ, що гарантує прозорість, доступність та оперативність процесу. Важливим аспектом є чітко визначені строки розгляду звернень: колегія Комітету зобов’язана протягом трьох робочих днів ухвалити рішення про прийняття скарги або її відхилення. Відповідно до статті 18 Закону України «Про публічні закупівлі» суб’єкт оскарження подає скаргу через електронну систему закупівель. Після реєстрації вона автоматично вноситься до реєстру, отримує реєстраційну картку та публікується на вебпорталі АМКУ. </w:t>
      </w:r>
    </w:p>
    <w:p w14:paraId="7C9C7962"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У Звіті Антимонопольного комітету України за 2024 рік зазначені найбільш поширені порушення замовників та учасників процедур закупівель, такі як:</w:t>
      </w:r>
    </w:p>
    <w:p w14:paraId="19E9AC00" w14:textId="77777777" w:rsidR="003476F8" w:rsidRPr="00511005" w:rsidRDefault="003476F8" w:rsidP="003F6A5D">
      <w:pPr>
        <w:numPr>
          <w:ilvl w:val="0"/>
          <w:numId w:val="413"/>
        </w:numPr>
        <w:spacing w:line="264" w:lineRule="auto"/>
        <w:ind w:left="0" w:firstLine="708"/>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неправомірне відхилення тендерних пропозицій учасників без права надання можливості таким учасникам усунути виявлені невідповідності в документах, визначених пунктом 43 Особливостей здійснення публічних закупівель товарів, робіт і послуг для замовників, передбачених Законом України «Про публічні закупівлі», на період дії правового режиму воєнного стану в Україні та протягом 90 днів з дня його припинення або скасування;</w:t>
      </w:r>
    </w:p>
    <w:p w14:paraId="3478382B" w14:textId="77777777" w:rsidR="003476F8" w:rsidRPr="00511005" w:rsidRDefault="003476F8" w:rsidP="003F6A5D">
      <w:pPr>
        <w:numPr>
          <w:ilvl w:val="0"/>
          <w:numId w:val="413"/>
        </w:numPr>
        <w:spacing w:line="264" w:lineRule="auto"/>
        <w:ind w:left="0" w:firstLine="708"/>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встановлення в тендерній документації технічних вимог до товару, яким відповідає продукція одного виробника абододаткових (надмірних) вимог, які не узгоджуються з предметом закупівлі;</w:t>
      </w:r>
    </w:p>
    <w:p w14:paraId="030F9DFF" w14:textId="77777777" w:rsidR="003476F8" w:rsidRPr="00511005" w:rsidRDefault="003476F8" w:rsidP="003F6A5D">
      <w:pPr>
        <w:numPr>
          <w:ilvl w:val="0"/>
          <w:numId w:val="413"/>
        </w:numPr>
        <w:spacing w:line="264" w:lineRule="auto"/>
        <w:ind w:left="0" w:firstLine="708"/>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lastRenderedPageBreak/>
        <w:t>неправомірне відхилення пропозицій учасників через ненадання ними зразків продукції або ж на підставі допущення формальних помилок;</w:t>
      </w:r>
    </w:p>
    <w:p w14:paraId="092CE0FC" w14:textId="77777777" w:rsidR="003476F8" w:rsidRPr="00511005" w:rsidRDefault="003476F8" w:rsidP="003F6A5D">
      <w:pPr>
        <w:numPr>
          <w:ilvl w:val="0"/>
          <w:numId w:val="413"/>
        </w:numPr>
        <w:spacing w:line="264" w:lineRule="auto"/>
        <w:ind w:left="0" w:firstLine="708"/>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віднесення до формальних (несуттєвих) помилок порушень/невідповідностей тощо, які не підпадають під таке визначення;</w:t>
      </w:r>
    </w:p>
    <w:p w14:paraId="19BFD082" w14:textId="77777777" w:rsidR="003476F8" w:rsidRPr="00511005" w:rsidRDefault="003476F8" w:rsidP="003F6A5D">
      <w:pPr>
        <w:numPr>
          <w:ilvl w:val="0"/>
          <w:numId w:val="413"/>
        </w:numPr>
        <w:spacing w:line="264" w:lineRule="auto"/>
        <w:ind w:left="0" w:firstLine="708"/>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неправомірне відхилення учасника з підстави надання (на думку замовника) неналежного обґрунтування аномально низької ціни;</w:t>
      </w:r>
    </w:p>
    <w:p w14:paraId="6EAED518" w14:textId="77777777" w:rsidR="003476F8" w:rsidRPr="00511005" w:rsidRDefault="003476F8" w:rsidP="003F6A5D">
      <w:pPr>
        <w:numPr>
          <w:ilvl w:val="0"/>
          <w:numId w:val="413"/>
        </w:numPr>
        <w:spacing w:line="264" w:lineRule="auto"/>
        <w:ind w:left="0" w:firstLine="708"/>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невиконання рішень органу оскарження[8].</w:t>
      </w:r>
    </w:p>
    <w:p w14:paraId="4431EE6B" w14:textId="77777777" w:rsidR="003476F8" w:rsidRPr="00511005" w:rsidRDefault="003476F8" w:rsidP="003A292D">
      <w:pPr>
        <w:spacing w:line="264" w:lineRule="auto"/>
        <w:ind w:firstLine="0"/>
        <w:rPr>
          <w:rFonts w:ascii="Arial" w:eastAsia="Aptos" w:hAnsi="Arial" w:cs="Arial"/>
          <w:noProof/>
          <w:kern w:val="2"/>
          <w:szCs w:val="28"/>
          <w:lang w:val="uk-UA"/>
        </w:rPr>
      </w:pPr>
      <w:r w:rsidRPr="00511005">
        <w:rPr>
          <w:rFonts w:ascii="Arial" w:eastAsia="Aptos" w:hAnsi="Arial" w:cs="Arial"/>
          <w:noProof/>
          <w:kern w:val="2"/>
          <w:szCs w:val="28"/>
          <w:lang w:val="uk-UA"/>
        </w:rPr>
        <w:t>Як висновок, слід зазначити, що Антимонопольний комітет України відіграє важливу роль у сфері господарських відносин, а саме: забезпеченні чесної конкуренції, контролюючи монополізацію, недобросовісну конкуренцію та державну допомогу. Він поєднує контрольні функції з участю в господарських правовідносинах, а також забезпечує захист прав учасників публічних закупівель. Важливим напрямом на даний момент є гармонізація законодавства зі стандартами ЄС та вдосконалення механізмів регулювання, що посприяє прозорості економічного середовища.</w:t>
      </w:r>
    </w:p>
    <w:p w14:paraId="4A94684B" w14:textId="77777777" w:rsidR="003476F8" w:rsidRPr="00511005" w:rsidRDefault="003476F8" w:rsidP="003A292D">
      <w:pPr>
        <w:spacing w:line="264" w:lineRule="auto"/>
        <w:ind w:firstLine="0"/>
        <w:rPr>
          <w:rFonts w:ascii="Arial" w:eastAsia="Aptos" w:hAnsi="Arial" w:cs="Arial"/>
          <w:noProof/>
          <w:kern w:val="2"/>
          <w:szCs w:val="28"/>
          <w:lang w:val="uk-UA"/>
        </w:rPr>
      </w:pPr>
    </w:p>
    <w:p w14:paraId="3A71F4E4" w14:textId="037FA901" w:rsidR="003476F8" w:rsidRPr="00511005" w:rsidRDefault="007B2628" w:rsidP="007B2628">
      <w:pPr>
        <w:spacing w:line="264" w:lineRule="auto"/>
        <w:ind w:firstLine="0"/>
        <w:jc w:val="center"/>
        <w:rPr>
          <w:rFonts w:ascii="Arial" w:eastAsia="Aptos" w:hAnsi="Arial" w:cs="Arial"/>
          <w:b/>
          <w:bCs/>
          <w:noProof/>
          <w:kern w:val="2"/>
          <w:szCs w:val="28"/>
          <w:lang w:val="uk-UA"/>
        </w:rPr>
      </w:pPr>
      <w:r w:rsidRPr="00511005">
        <w:rPr>
          <w:rFonts w:ascii="Arial" w:eastAsia="Aptos" w:hAnsi="Arial" w:cs="Arial"/>
          <w:b/>
          <w:bCs/>
          <w:noProof/>
          <w:kern w:val="2"/>
          <w:szCs w:val="28"/>
          <w:lang w:val="uk-UA"/>
        </w:rPr>
        <w:t>Список використаних джерел</w:t>
      </w:r>
      <w:r w:rsidR="003476F8" w:rsidRPr="00511005">
        <w:rPr>
          <w:rFonts w:ascii="Arial" w:eastAsia="Aptos" w:hAnsi="Arial" w:cs="Arial"/>
          <w:b/>
          <w:bCs/>
          <w:noProof/>
          <w:kern w:val="2"/>
          <w:szCs w:val="28"/>
          <w:lang w:val="uk-UA"/>
        </w:rPr>
        <w:t xml:space="preserve"> </w:t>
      </w:r>
    </w:p>
    <w:p w14:paraId="40CC9B08" w14:textId="77777777" w:rsidR="003476F8" w:rsidRPr="00511005" w:rsidRDefault="003476F8" w:rsidP="003F6A5D">
      <w:pPr>
        <w:numPr>
          <w:ilvl w:val="0"/>
          <w:numId w:val="414"/>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 xml:space="preserve">Про Антимонопольний комітет : Закон України № 3659-XII від 26 листопада 1993 р. - URL: </w:t>
      </w:r>
      <w:hyperlink r:id="rId1586" w:anchor="Text" w:history="1">
        <w:r w:rsidRPr="00511005">
          <w:rPr>
            <w:rFonts w:ascii="Arial" w:eastAsia="Aptos" w:hAnsi="Arial" w:cs="Arial"/>
            <w:noProof/>
            <w:kern w:val="2"/>
            <w:szCs w:val="28"/>
            <w:lang w:val="uk-UA"/>
          </w:rPr>
          <w:t>https://zakon.rada.gov.ua/laws/show/3659-12#Text</w:t>
        </w:r>
      </w:hyperlink>
      <w:r w:rsidRPr="00511005">
        <w:rPr>
          <w:rFonts w:ascii="Arial" w:eastAsia="Aptos" w:hAnsi="Arial" w:cs="Arial"/>
          <w:noProof/>
          <w:kern w:val="2"/>
          <w:szCs w:val="28"/>
          <w:lang w:val="uk-UA"/>
        </w:rPr>
        <w:t>.</w:t>
      </w:r>
    </w:p>
    <w:p w14:paraId="04645156" w14:textId="77777777" w:rsidR="003476F8" w:rsidRPr="00511005" w:rsidRDefault="003476F8" w:rsidP="003F6A5D">
      <w:pPr>
        <w:numPr>
          <w:ilvl w:val="0"/>
          <w:numId w:val="414"/>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 xml:space="preserve">Хомко Л.В. Повноваження антимонопольного комітету України у сфері господарських відносин: окремі аспекти. </w:t>
      </w:r>
      <w:r w:rsidRPr="00511005">
        <w:rPr>
          <w:rFonts w:ascii="Arial" w:eastAsia="Aptos" w:hAnsi="Arial" w:cs="Arial"/>
          <w:i/>
          <w:noProof/>
          <w:kern w:val="2"/>
          <w:szCs w:val="28"/>
          <w:lang w:val="uk-UA"/>
        </w:rPr>
        <w:t>Порівняльно-аналітичне право.</w:t>
      </w:r>
      <w:r w:rsidRPr="00511005">
        <w:rPr>
          <w:rFonts w:ascii="Arial" w:eastAsia="Aptos" w:hAnsi="Arial" w:cs="Arial"/>
          <w:noProof/>
          <w:kern w:val="2"/>
          <w:szCs w:val="28"/>
          <w:lang w:val="uk-UA"/>
        </w:rPr>
        <w:t xml:space="preserve">2019. №6. С. 172-175. URL: </w:t>
      </w:r>
      <w:hyperlink r:id="rId1587" w:history="1">
        <w:r w:rsidRPr="00511005">
          <w:rPr>
            <w:rFonts w:ascii="Arial" w:eastAsia="Aptos" w:hAnsi="Arial" w:cs="Arial"/>
            <w:noProof/>
            <w:kern w:val="2"/>
            <w:szCs w:val="28"/>
            <w:lang w:val="uk-UA"/>
          </w:rPr>
          <w:t>https://dspace.lvduvs.edu.ua/handle/1234567890/3471</w:t>
        </w:r>
      </w:hyperlink>
      <w:r w:rsidRPr="00511005">
        <w:rPr>
          <w:rFonts w:ascii="Arial" w:eastAsia="Aptos" w:hAnsi="Arial" w:cs="Arial"/>
          <w:noProof/>
          <w:kern w:val="2"/>
          <w:szCs w:val="28"/>
          <w:lang w:val="uk-UA"/>
        </w:rPr>
        <w:t xml:space="preserve">. </w:t>
      </w:r>
    </w:p>
    <w:p w14:paraId="1790F20A" w14:textId="77777777" w:rsidR="003476F8" w:rsidRPr="00511005" w:rsidRDefault="003476F8" w:rsidP="003F6A5D">
      <w:pPr>
        <w:numPr>
          <w:ilvl w:val="0"/>
          <w:numId w:val="414"/>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 URL: </w:t>
      </w:r>
      <w:hyperlink r:id="rId1588" w:anchor="Text" w:history="1">
        <w:r w:rsidRPr="00511005">
          <w:rPr>
            <w:rFonts w:ascii="Arial" w:eastAsia="Aptos" w:hAnsi="Arial" w:cs="Arial"/>
            <w:noProof/>
            <w:kern w:val="2"/>
            <w:szCs w:val="28"/>
            <w:lang w:val="uk-UA"/>
          </w:rPr>
          <w:t>https://zakon.rada.gov.ua/laws/show/984_011#Text</w:t>
        </w:r>
      </w:hyperlink>
      <w:r w:rsidRPr="00511005">
        <w:rPr>
          <w:rFonts w:ascii="Arial" w:eastAsia="Aptos" w:hAnsi="Arial" w:cs="Arial"/>
          <w:noProof/>
          <w:kern w:val="2"/>
          <w:szCs w:val="28"/>
          <w:lang w:val="uk-UA"/>
        </w:rPr>
        <w:t xml:space="preserve">. </w:t>
      </w:r>
    </w:p>
    <w:p w14:paraId="2EA21A0A" w14:textId="77777777" w:rsidR="003476F8" w:rsidRPr="00511005" w:rsidRDefault="003476F8" w:rsidP="003F6A5D">
      <w:pPr>
        <w:numPr>
          <w:ilvl w:val="0"/>
          <w:numId w:val="414"/>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 xml:space="preserve">Про державну допомогу суб’єктам господарювання : Закон України № 1555-ІІ від 01 липня 2014 р. - URL : </w:t>
      </w:r>
      <w:hyperlink r:id="rId1589" w:anchor="Text" w:history="1">
        <w:r w:rsidRPr="00511005">
          <w:rPr>
            <w:rFonts w:ascii="Arial" w:eastAsia="Aptos" w:hAnsi="Arial" w:cs="Arial"/>
            <w:noProof/>
            <w:kern w:val="2"/>
            <w:szCs w:val="28"/>
            <w:lang w:val="uk-UA"/>
          </w:rPr>
          <w:t>https://zakon.rada.gov.ua/laws/show/1555-18#Text</w:t>
        </w:r>
      </w:hyperlink>
      <w:r w:rsidRPr="00511005">
        <w:rPr>
          <w:rFonts w:ascii="Arial" w:eastAsia="Aptos" w:hAnsi="Arial" w:cs="Arial"/>
          <w:noProof/>
          <w:kern w:val="2"/>
          <w:szCs w:val="28"/>
          <w:lang w:val="uk-UA"/>
        </w:rPr>
        <w:t>.</w:t>
      </w:r>
    </w:p>
    <w:p w14:paraId="1BCDB226" w14:textId="77777777" w:rsidR="003476F8" w:rsidRPr="00511005" w:rsidRDefault="003476F8" w:rsidP="003F6A5D">
      <w:pPr>
        <w:numPr>
          <w:ilvl w:val="0"/>
          <w:numId w:val="414"/>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 xml:space="preserve">Договір про функціонування Європейського Союзу : Документ № 994-b06 від 25 березня 1957 р. -URL: </w:t>
      </w:r>
      <w:hyperlink r:id="rId1590" w:anchor="Text" w:history="1">
        <w:r w:rsidRPr="00511005">
          <w:rPr>
            <w:rFonts w:ascii="Arial" w:eastAsia="Aptos" w:hAnsi="Arial" w:cs="Arial"/>
            <w:noProof/>
            <w:kern w:val="2"/>
            <w:szCs w:val="28"/>
            <w:lang w:val="uk-UA"/>
          </w:rPr>
          <w:t>https://zakon.rada.gov.ua/laws/show/994_b06#Text</w:t>
        </w:r>
      </w:hyperlink>
      <w:r w:rsidRPr="00511005">
        <w:rPr>
          <w:rFonts w:ascii="Arial" w:eastAsia="Aptos" w:hAnsi="Arial" w:cs="Arial"/>
          <w:noProof/>
          <w:kern w:val="2"/>
          <w:szCs w:val="28"/>
          <w:lang w:val="uk-UA"/>
        </w:rPr>
        <w:t xml:space="preserve">. </w:t>
      </w:r>
    </w:p>
    <w:p w14:paraId="3D381E57" w14:textId="77777777" w:rsidR="003476F8" w:rsidRPr="00511005" w:rsidRDefault="003476F8" w:rsidP="003F6A5D">
      <w:pPr>
        <w:numPr>
          <w:ilvl w:val="0"/>
          <w:numId w:val="414"/>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 xml:space="preserve">Безух О.В. Державна допомога і економічна конкуренція: проблеми взаємодії. </w:t>
      </w:r>
      <w:r w:rsidRPr="00511005">
        <w:rPr>
          <w:rFonts w:ascii="Arial" w:eastAsia="Aptos" w:hAnsi="Arial" w:cs="Arial"/>
          <w:i/>
          <w:noProof/>
          <w:kern w:val="2"/>
          <w:szCs w:val="28"/>
          <w:lang w:val="uk-UA"/>
        </w:rPr>
        <w:t xml:space="preserve">Приватне право і підприємництво. </w:t>
      </w:r>
      <w:r w:rsidRPr="00511005">
        <w:rPr>
          <w:rFonts w:ascii="Arial" w:eastAsia="Aptos" w:hAnsi="Arial" w:cs="Arial"/>
          <w:noProof/>
          <w:kern w:val="2"/>
          <w:szCs w:val="28"/>
          <w:lang w:val="uk-UA"/>
        </w:rPr>
        <w:t xml:space="preserve">2019. Вип. 19. С. 151-156. URL: </w:t>
      </w:r>
      <w:hyperlink r:id="rId1591" w:history="1">
        <w:r w:rsidRPr="00511005">
          <w:rPr>
            <w:rFonts w:ascii="Arial" w:eastAsia="Aptos" w:hAnsi="Arial" w:cs="Arial"/>
            <w:noProof/>
            <w:kern w:val="2"/>
            <w:szCs w:val="28"/>
            <w:lang w:val="uk-UA"/>
          </w:rPr>
          <w:t>http://nbuv.gov.ua/UJRN/Ppip_2019_19_34</w:t>
        </w:r>
      </w:hyperlink>
      <w:r w:rsidRPr="00511005">
        <w:rPr>
          <w:rFonts w:ascii="Arial" w:eastAsia="Aptos" w:hAnsi="Arial" w:cs="Arial"/>
          <w:noProof/>
          <w:kern w:val="2"/>
          <w:szCs w:val="28"/>
          <w:lang w:val="uk-UA"/>
        </w:rPr>
        <w:t xml:space="preserve">. </w:t>
      </w:r>
    </w:p>
    <w:p w14:paraId="2CF0D4D6" w14:textId="77777777" w:rsidR="003476F8" w:rsidRPr="00511005" w:rsidRDefault="003476F8" w:rsidP="003F6A5D">
      <w:pPr>
        <w:numPr>
          <w:ilvl w:val="0"/>
          <w:numId w:val="414"/>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 xml:space="preserve">Про публічні закупівлі : Закон України № 922-VIII від 25 грудня 2015 р. - URL: </w:t>
      </w:r>
      <w:hyperlink r:id="rId1592" w:anchor="Text" w:history="1">
        <w:r w:rsidRPr="00511005">
          <w:rPr>
            <w:rFonts w:ascii="Arial" w:eastAsia="Aptos" w:hAnsi="Arial" w:cs="Arial"/>
            <w:noProof/>
            <w:kern w:val="2"/>
            <w:szCs w:val="28"/>
            <w:lang w:val="uk-UA"/>
          </w:rPr>
          <w:t>https://zakon.rada.gov.ua/laws/show/922-19#Text</w:t>
        </w:r>
      </w:hyperlink>
      <w:r w:rsidRPr="00511005">
        <w:rPr>
          <w:rFonts w:ascii="Arial" w:eastAsia="Aptos" w:hAnsi="Arial" w:cs="Arial"/>
          <w:noProof/>
          <w:kern w:val="2"/>
          <w:szCs w:val="28"/>
          <w:lang w:val="uk-UA"/>
        </w:rPr>
        <w:t>.</w:t>
      </w:r>
    </w:p>
    <w:p w14:paraId="2E21D86E" w14:textId="77777777" w:rsidR="003476F8" w:rsidRPr="00511005" w:rsidRDefault="003476F8" w:rsidP="003F6A5D">
      <w:pPr>
        <w:numPr>
          <w:ilvl w:val="0"/>
          <w:numId w:val="414"/>
        </w:numPr>
        <w:spacing w:line="264" w:lineRule="auto"/>
        <w:contextualSpacing/>
        <w:jc w:val="left"/>
        <w:rPr>
          <w:rFonts w:ascii="Arial" w:eastAsia="Aptos" w:hAnsi="Arial" w:cs="Arial"/>
          <w:noProof/>
          <w:kern w:val="2"/>
          <w:szCs w:val="28"/>
          <w:lang w:val="uk-UA"/>
        </w:rPr>
      </w:pPr>
      <w:r w:rsidRPr="00511005">
        <w:rPr>
          <w:rFonts w:ascii="Arial" w:eastAsia="Aptos" w:hAnsi="Arial" w:cs="Arial"/>
          <w:noProof/>
          <w:kern w:val="2"/>
          <w:szCs w:val="28"/>
          <w:lang w:val="uk-UA"/>
        </w:rPr>
        <w:t xml:space="preserve">Антимонопольний комітет України : Річний Звіт за 2024 рік. - URL: </w:t>
      </w:r>
      <w:hyperlink r:id="rId1593" w:history="1">
        <w:r w:rsidRPr="00511005">
          <w:rPr>
            <w:rFonts w:ascii="Arial" w:eastAsia="Aptos" w:hAnsi="Arial" w:cs="Arial"/>
            <w:noProof/>
            <w:kern w:val="2"/>
            <w:szCs w:val="28"/>
            <w:lang w:val="uk-UA"/>
          </w:rPr>
          <w:t>https://amcu.gov.ua/pro-nas/zvitnist/richni-zviti/zvit-2024</w:t>
        </w:r>
      </w:hyperlink>
      <w:r w:rsidRPr="00511005">
        <w:rPr>
          <w:rFonts w:ascii="Arial" w:eastAsia="Aptos" w:hAnsi="Arial" w:cs="Arial"/>
          <w:noProof/>
          <w:kern w:val="2"/>
          <w:szCs w:val="28"/>
          <w:lang w:val="uk-UA"/>
        </w:rPr>
        <w:t>.</w:t>
      </w:r>
    </w:p>
    <w:p w14:paraId="6378C0C3" w14:textId="77777777" w:rsidR="003476F8" w:rsidRPr="00511005" w:rsidRDefault="003476F8" w:rsidP="003A292D">
      <w:pPr>
        <w:spacing w:line="264" w:lineRule="auto"/>
        <w:ind w:firstLine="0"/>
        <w:rPr>
          <w:rFonts w:ascii="Arial" w:eastAsia="Aptos" w:hAnsi="Arial" w:cs="Arial"/>
          <w:noProof/>
          <w:kern w:val="2"/>
          <w:szCs w:val="28"/>
          <w:lang w:val="uk-UA"/>
        </w:rPr>
      </w:pPr>
    </w:p>
    <w:p w14:paraId="2A87D9A6" w14:textId="20484219" w:rsidR="003476F8" w:rsidRPr="00511005" w:rsidRDefault="007B2628" w:rsidP="003A292D">
      <w:pPr>
        <w:spacing w:line="264" w:lineRule="auto"/>
        <w:ind w:firstLine="0"/>
        <w:rPr>
          <w:rFonts w:ascii="Arial" w:eastAsia="Aptos" w:hAnsi="Arial" w:cs="Arial"/>
          <w:noProof/>
          <w:kern w:val="2"/>
          <w:szCs w:val="28"/>
          <w:lang w:val="uk-UA"/>
        </w:rPr>
      </w:pPr>
      <w:r w:rsidRPr="00511005">
        <w:rPr>
          <w:rFonts w:ascii="Arial" w:eastAsia="Aptos" w:hAnsi="Arial" w:cs="Arial"/>
          <w:b/>
          <w:bCs/>
          <w:i/>
          <w:noProof/>
          <w:kern w:val="2"/>
          <w:szCs w:val="28"/>
          <w:lang w:val="uk-UA"/>
        </w:rPr>
        <w:lastRenderedPageBreak/>
        <w:t xml:space="preserve">Ключові слова: </w:t>
      </w:r>
      <w:r w:rsidR="003476F8" w:rsidRPr="00511005">
        <w:rPr>
          <w:rFonts w:ascii="Arial" w:eastAsia="Aptos" w:hAnsi="Arial" w:cs="Arial"/>
          <w:noProof/>
          <w:kern w:val="2"/>
          <w:szCs w:val="28"/>
          <w:lang w:val="uk-UA"/>
        </w:rPr>
        <w:t>Антимонопольний комітет України, господарські відносини, конкуренція, державна допомога, публічні закупівлі</w:t>
      </w:r>
    </w:p>
    <w:p w14:paraId="38B582DB" w14:textId="76A2C993" w:rsidR="003476F8" w:rsidRPr="00511005" w:rsidRDefault="002611B5" w:rsidP="003A292D">
      <w:pPr>
        <w:spacing w:line="264" w:lineRule="auto"/>
        <w:ind w:firstLine="0"/>
        <w:rPr>
          <w:rFonts w:ascii="Arial" w:eastAsia="Aptos" w:hAnsi="Arial" w:cs="Arial"/>
          <w:kern w:val="2"/>
          <w:szCs w:val="28"/>
          <w:lang w:val="uk-UA"/>
        </w:rPr>
      </w:pPr>
      <w:r w:rsidRPr="00511005">
        <w:rPr>
          <w:rFonts w:ascii="Arial" w:eastAsia="Segoe UI" w:hAnsi="Arial" w:cs="Arial"/>
          <w:b/>
          <w:bCs/>
          <w:i/>
          <w:szCs w:val="28"/>
          <w:shd w:val="clear" w:color="auto" w:fill="FFFFFF"/>
          <w:lang w:val="en-US" w:eastAsia="ru-RU"/>
        </w:rPr>
        <w:t xml:space="preserve">Key words: </w:t>
      </w:r>
      <w:r w:rsidR="003476F8" w:rsidRPr="00511005">
        <w:rPr>
          <w:rFonts w:ascii="Arial" w:eastAsia="Aptos" w:hAnsi="Arial" w:cs="Arial"/>
          <w:kern w:val="2"/>
          <w:szCs w:val="28"/>
          <w:lang w:val="uk-UA"/>
        </w:rPr>
        <w:t>Antimonopoly Committee of Ukraine, economic relations, competition, state aid, public procurement</w:t>
      </w:r>
    </w:p>
    <w:p w14:paraId="2669E553" w14:textId="776ED68F" w:rsidR="003476F8" w:rsidRPr="00511005" w:rsidRDefault="003476F8" w:rsidP="003A292D">
      <w:pPr>
        <w:spacing w:line="264" w:lineRule="auto"/>
        <w:ind w:firstLine="0"/>
        <w:rPr>
          <w:rFonts w:ascii="Arial" w:eastAsia="Aptos" w:hAnsi="Arial" w:cs="Arial"/>
          <w:i/>
          <w:iCs/>
          <w:noProof/>
          <w:kern w:val="2"/>
          <w:szCs w:val="28"/>
          <w:lang w:val="uk-UA"/>
        </w:rPr>
      </w:pPr>
      <w:r w:rsidRPr="00511005">
        <w:rPr>
          <w:rFonts w:ascii="Arial" w:eastAsia="Aptos" w:hAnsi="Arial" w:cs="Arial"/>
          <w:b/>
          <w:bCs/>
          <w:noProof/>
          <w:kern w:val="2"/>
          <w:szCs w:val="28"/>
          <w:lang w:val="uk-UA"/>
        </w:rPr>
        <w:tab/>
      </w:r>
      <w:r w:rsidR="007B2628" w:rsidRPr="00511005">
        <w:rPr>
          <w:rFonts w:ascii="Arial" w:eastAsia="Aptos" w:hAnsi="Arial" w:cs="Arial"/>
          <w:b/>
          <w:i/>
          <w:iCs/>
          <w:noProof/>
          <w:kern w:val="2"/>
          <w:szCs w:val="28"/>
          <w:lang w:val="uk-UA"/>
        </w:rPr>
        <w:t xml:space="preserve">Науковий керівник: </w:t>
      </w:r>
      <w:r w:rsidRPr="00511005">
        <w:rPr>
          <w:rFonts w:ascii="Arial" w:eastAsia="Aptos" w:hAnsi="Arial" w:cs="Arial"/>
          <w:i/>
          <w:iCs/>
          <w:noProof/>
          <w:kern w:val="2"/>
          <w:szCs w:val="28"/>
          <w:lang w:val="uk-UA"/>
        </w:rPr>
        <w:t>к.ю.н., доцент Згама А. О.</w:t>
      </w:r>
    </w:p>
    <w:p w14:paraId="675A1975" w14:textId="77777777" w:rsidR="00B81D8E" w:rsidRDefault="00B81D8E" w:rsidP="003A292D">
      <w:pPr>
        <w:keepNext/>
        <w:spacing w:line="264" w:lineRule="auto"/>
        <w:ind w:firstLine="0"/>
        <w:jc w:val="center"/>
        <w:rPr>
          <w:rFonts w:ascii="Arial" w:eastAsia="Calibri" w:hAnsi="Arial" w:cs="Arial"/>
          <w:i/>
          <w:szCs w:val="28"/>
          <w:lang w:val="uk-UA"/>
        </w:rPr>
      </w:pPr>
    </w:p>
    <w:p w14:paraId="4C773363" w14:textId="77777777" w:rsidR="00B81D8E" w:rsidRDefault="00B81D8E" w:rsidP="003A292D">
      <w:pPr>
        <w:keepNext/>
        <w:spacing w:line="264" w:lineRule="auto"/>
        <w:ind w:firstLine="0"/>
        <w:jc w:val="center"/>
        <w:rPr>
          <w:rFonts w:ascii="Arial" w:eastAsia="Calibri" w:hAnsi="Arial" w:cs="Arial"/>
          <w:i/>
          <w:szCs w:val="28"/>
          <w:lang w:val="uk-UA"/>
        </w:rPr>
      </w:pPr>
    </w:p>
    <w:p w14:paraId="478F6BDB" w14:textId="13FB2C18" w:rsidR="003476F8" w:rsidRPr="00511005" w:rsidRDefault="003476F8"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noProof/>
          <w:szCs w:val="28"/>
          <w:lang w:val="uk-UA" w:eastAsia="ru-RU"/>
        </w:rPr>
        <w:t xml:space="preserve">Опаленик </w:t>
      </w:r>
      <w:r w:rsidRPr="00511005">
        <w:rPr>
          <w:rFonts w:ascii="Arial" w:eastAsia="Times New Roman" w:hAnsi="Arial" w:cs="Arial"/>
          <w:b/>
          <w:i/>
          <w:szCs w:val="28"/>
          <w:lang w:val="uk-UA" w:eastAsia="ru-RU"/>
        </w:rPr>
        <w:t>Лілія Ігорівна</w:t>
      </w:r>
    </w:p>
    <w:p w14:paraId="64298E11" w14:textId="55FE8469" w:rsidR="003476F8"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3-го курсу факультету адвокатури та антикорупційної діяльності</w:t>
      </w:r>
      <w:r w:rsidR="003476F8"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293C1664" w14:textId="77777777" w:rsidR="003476F8" w:rsidRPr="00511005" w:rsidRDefault="003476F8" w:rsidP="003A292D">
      <w:pPr>
        <w:keepNext/>
        <w:spacing w:line="264" w:lineRule="auto"/>
        <w:ind w:firstLine="0"/>
        <w:jc w:val="center"/>
        <w:rPr>
          <w:rFonts w:ascii="Arial" w:eastAsia="Times New Roman" w:hAnsi="Arial" w:cs="Arial"/>
          <w:i/>
          <w:szCs w:val="28"/>
          <w:lang w:val="uk-UA" w:eastAsia="ru-RU"/>
        </w:rPr>
      </w:pPr>
    </w:p>
    <w:p w14:paraId="0133C99B" w14:textId="77777777" w:rsidR="003476F8" w:rsidRPr="00511005" w:rsidRDefault="003476F8" w:rsidP="003A292D">
      <w:pPr>
        <w:keepNext/>
        <w:widowControl w:val="0"/>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ДОГОВІР ТРАНСПОРТНОГО ЕКСПЕДИРУВАННЯ ЯК ІНСТРУМЕНТ УХИЛЕННЯ ВІД МОБІЛІЗАЦІЇ: ВИКЛИКИ СФЕРИ ГОСПОДАРЮВАННЯ У ВОЄННИЙ ЧАС</w:t>
      </w:r>
    </w:p>
    <w:p w14:paraId="3AC9F987"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ab/>
        <w:t xml:space="preserve">Воєнний стан в Україні зумовив гостру проблему у прозорості та контрольованості логістичних перевезень. На практиці фіксуються численні випадки, коли суб’єкти транспортного експедирування використовують укладені договори як інструмент для перетину державного кордону без наміру виконати взяті на себе зобов’язання. </w:t>
      </w:r>
    </w:p>
    <w:p w14:paraId="71768F0D"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Це не лише створює логістичний колапс і завдає збитків українським контрагентам, але й сприяє ухиленню від мобілізації. Прикордонна служба та військкомати наразі не мають дієвих інструментів для перевірки добросовісності намірів перевізника чи реальності виконання договору. Водночас сам договір транспортного експедирування виступає формально достатньою підставою для перетину кордону відповідно до чинних постанов Кабінету Міністрів України. Така ситуація вимагає переосмислення ролі господарського договору в умовах війни, перегляду нормативного регулювання та запровадження ефективних запобіжників.</w:t>
      </w:r>
    </w:p>
    <w:p w14:paraId="6C5AD750"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Основу правового регулювання у сфері транспортного експедирування становить Закон України «Про транспортно-експедиторську діяльність»[1], а також норми глави 32 Господарського кодексу України[2]. В умовах воєнного стану особливого значення набувають також обмеження, передбачені Постановою Кабінету Міністрів України № 57 від 27.01.1995 (у редакції, чинній під час воєнного стану), якою врегульовано порядок виїзду за кордон для водіїв вантажного транспорту[3].</w:t>
      </w:r>
    </w:p>
    <w:p w14:paraId="7402FFFC"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Договори транспортного експедирування укладаються у письмовій формі й не підлягають обов’язковій реєстрації або погодженню з органами, які здійснюють контроль. Це уможливлює укладення фіктивних договорів — без реального вантажу чи маршруту. Такі договори не перевіряються ані прикордонниками, ані іншими органами, а після виїзду ніяких зобов’язань щодо звітування про виконання договору закон не встановлює.</w:t>
      </w:r>
    </w:p>
    <w:p w14:paraId="3223645A"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ab/>
        <w:t xml:space="preserve">У разі, якщо перевізник самовільно залишає вантаж за кордоном і не </w:t>
      </w:r>
      <w:r w:rsidRPr="00511005">
        <w:rPr>
          <w:rFonts w:ascii="Arial" w:eastAsia="Times New Roman" w:hAnsi="Arial" w:cs="Arial"/>
          <w:bCs/>
          <w:szCs w:val="28"/>
          <w:lang w:val="uk-UA" w:eastAsia="ru-RU"/>
        </w:rPr>
        <w:lastRenderedPageBreak/>
        <w:t>виконує умови договору, саме на транспортного експедитора покладається обов’язок забезпечити подальше виконання зобов’язань перед замовником. Відповідно до ч. 2 ст. 9 Закону України «Про транспортно-експедиторську діяльність», експедитор зобов’язаний вживати всіх необхідних заходів для збереження вантажу та його доставки до кінцевого пункту.</w:t>
      </w:r>
    </w:p>
    <w:p w14:paraId="12CDA9A3"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На практиці це означає, що експедитор повинен у найкоротші строки знайти нового перевізника — найчастіше це особи, які не підлягають мобілізації (наприклад, чоловіки віком понад 60 років або водії, які мають документи про непридатність до військової служби).</w:t>
      </w:r>
    </w:p>
    <w:p w14:paraId="76F19CFE"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Згідно з умовами типових договорів транспортного експедирування, у разі запізнення доставки вантажу передбачено штрафні санкції. Найпоширенішою є неустойка у розмірі </w:t>
      </w:r>
      <w:r w:rsidRPr="00511005">
        <w:rPr>
          <w:rFonts w:ascii="Arial" w:eastAsia="Times New Roman" w:hAnsi="Arial" w:cs="Arial"/>
          <w:szCs w:val="28"/>
          <w:lang w:val="uk-UA" w:eastAsia="ru-RU"/>
        </w:rPr>
        <w:t>0,1–0,5% від вартості перевезення за кожен день прострочення,</w:t>
      </w:r>
      <w:r w:rsidRPr="00511005">
        <w:rPr>
          <w:rFonts w:ascii="Arial" w:eastAsia="Times New Roman" w:hAnsi="Arial" w:cs="Arial"/>
          <w:bCs/>
          <w:szCs w:val="28"/>
          <w:lang w:val="uk-UA" w:eastAsia="ru-RU"/>
        </w:rPr>
        <w:t xml:space="preserve"> але ці умови можуть бути жорсткішими залежно від договору. Крім того, замовник має право вимагати </w:t>
      </w:r>
      <w:r w:rsidRPr="00511005">
        <w:rPr>
          <w:rFonts w:ascii="Arial" w:eastAsia="Times New Roman" w:hAnsi="Arial" w:cs="Arial"/>
          <w:szCs w:val="28"/>
          <w:lang w:val="uk-UA" w:eastAsia="ru-RU"/>
        </w:rPr>
        <w:t>відшкодування збитків,</w:t>
      </w:r>
      <w:r w:rsidRPr="00511005">
        <w:rPr>
          <w:rFonts w:ascii="Arial" w:eastAsia="Times New Roman" w:hAnsi="Arial" w:cs="Arial"/>
          <w:bCs/>
          <w:szCs w:val="28"/>
          <w:lang w:val="uk-UA" w:eastAsia="ru-RU"/>
        </w:rPr>
        <w:t xml:space="preserve"> зокрема витрат на зберігання вантажу на митному складі або втрату контракту з кінцевим покупцем. Таким чином, втеча перевізника не звільняє експедитора від відповідальності — навпаки, вона активує механізм підвищених витрат і ризику судових спорів.</w:t>
      </w:r>
    </w:p>
    <w:p w14:paraId="2E20A0C1"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Аналізуючи норми законодавства, виявлено низку суттєвих прогалин у чинному правовому полі. Зокрема:</w:t>
      </w:r>
    </w:p>
    <w:p w14:paraId="34C3D5EB"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 відсутній механізм перевірки реальності договору до моменту виїзду водія;</w:t>
      </w:r>
      <w:r w:rsidRPr="00511005">
        <w:rPr>
          <w:rFonts w:ascii="Arial" w:eastAsia="Times New Roman" w:hAnsi="Arial" w:cs="Arial"/>
          <w:bCs/>
          <w:szCs w:val="28"/>
          <w:lang w:val="uk-UA" w:eastAsia="ru-RU"/>
        </w:rPr>
        <w:br/>
        <w:t>– відсутня міжвідомча координація (ТЦК, ДПСУ, митниці,Мін інфраструктури);</w:t>
      </w:r>
      <w:r w:rsidRPr="00511005">
        <w:rPr>
          <w:rFonts w:ascii="Arial" w:eastAsia="Times New Roman" w:hAnsi="Arial" w:cs="Arial"/>
          <w:bCs/>
          <w:szCs w:val="28"/>
          <w:lang w:val="uk-UA" w:eastAsia="ru-RU"/>
        </w:rPr>
        <w:br/>
        <w:t>– не передбачено відповідальності за фіктивне укладення договору саме з метою ухилення від мобілізації.</w:t>
      </w:r>
    </w:p>
    <w:p w14:paraId="57F26EFD"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Ці чинники у сукупності створюють сприятливе середовище для масових зловживань, які залишаються поза контролем правоохоронних та мобілізаційних органів, тому для запобігання використанню договорів транспортного експедирування з метою уникнення мобілізації пропонується впровадити низку законодавчих і організаційних змін. </w:t>
      </w:r>
    </w:p>
    <w:p w14:paraId="0A98B8DB"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По-перше, запровадити єдиний електронний реєстр договорів перевезення та експедирування, доступного для ДПСУ, ТЦК, митниці та Мін інфраструктури. Включення інформації до такого реєстру має бути обов’язковою умовою для отримання дозволу на перетин державного кордону водієм.</w:t>
      </w:r>
    </w:p>
    <w:p w14:paraId="1FF84DFA"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По-друге, здійснювати верифікацію договорів через електронну систему «Шлях» або її аналоги, з обов’язковим підтвердженням замовника перевезення щодо реальності маршруту, вантажу та виконання зобов’язань.</w:t>
      </w:r>
    </w:p>
    <w:p w14:paraId="13D42DF0"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По-третє, запровадити </w:t>
      </w:r>
      <w:r w:rsidRPr="00511005">
        <w:rPr>
          <w:rFonts w:ascii="Arial" w:eastAsia="Times New Roman" w:hAnsi="Arial" w:cs="Arial"/>
          <w:szCs w:val="28"/>
          <w:lang w:val="uk-UA" w:eastAsia="ru-RU"/>
        </w:rPr>
        <w:t xml:space="preserve">тимчасову заборону на повторний виїзд </w:t>
      </w:r>
      <w:r w:rsidRPr="00511005">
        <w:rPr>
          <w:rFonts w:ascii="Arial" w:eastAsia="Times New Roman" w:hAnsi="Arial" w:cs="Arial"/>
          <w:bCs/>
          <w:szCs w:val="28"/>
          <w:lang w:val="uk-UA" w:eastAsia="ru-RU"/>
        </w:rPr>
        <w:t>для водіїв, які не підтвердили факт доставки вантажу.</w:t>
      </w:r>
    </w:p>
    <w:p w14:paraId="4DF319EB"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Наявність фіктивних договорів експедирування як способу уникнення мобілізації — реальна загроза як обороноздатності України, так і </w:t>
      </w:r>
      <w:r w:rsidRPr="00511005">
        <w:rPr>
          <w:rFonts w:ascii="Arial" w:eastAsia="Times New Roman" w:hAnsi="Arial" w:cs="Arial"/>
          <w:bCs/>
          <w:szCs w:val="28"/>
          <w:lang w:val="uk-UA" w:eastAsia="ru-RU"/>
        </w:rPr>
        <w:lastRenderedPageBreak/>
        <w:t>господарському правопорядку. Потрібні законодавчі зміни мають бути спрямовані на посилення прозорості господарських правочинів і захист інтересів держави в умовах воєнного стану.</w:t>
      </w:r>
    </w:p>
    <w:p w14:paraId="02361C06" w14:textId="77777777" w:rsidR="003476F8" w:rsidRPr="00511005" w:rsidRDefault="003476F8" w:rsidP="003A292D">
      <w:pPr>
        <w:keepNext/>
        <w:widowControl w:val="0"/>
        <w:spacing w:line="264" w:lineRule="auto"/>
        <w:ind w:firstLine="0"/>
        <w:rPr>
          <w:rFonts w:ascii="Arial" w:eastAsia="Times New Roman" w:hAnsi="Arial" w:cs="Arial"/>
          <w:bCs/>
          <w:szCs w:val="28"/>
          <w:lang w:val="uk-UA" w:eastAsia="ru-RU"/>
        </w:rPr>
      </w:pPr>
    </w:p>
    <w:p w14:paraId="70DDC8E0" w14:textId="6B59A36F" w:rsidR="003476F8" w:rsidRPr="00511005" w:rsidRDefault="007B2628" w:rsidP="007B2628">
      <w:pPr>
        <w:keepNext/>
        <w:widowControl w:val="0"/>
        <w:spacing w:line="264" w:lineRule="auto"/>
        <w:ind w:firstLine="0"/>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07702A26" w14:textId="77777777" w:rsidR="003476F8" w:rsidRPr="00511005" w:rsidRDefault="003476F8" w:rsidP="003F6A5D">
      <w:pPr>
        <w:numPr>
          <w:ilvl w:val="0"/>
          <w:numId w:val="415"/>
        </w:numPr>
        <w:spacing w:line="264" w:lineRule="auto"/>
        <w:contextualSpacing/>
        <w:jc w:val="left"/>
        <w:rPr>
          <w:rFonts w:ascii="Arial" w:eastAsia="Times New Roman" w:hAnsi="Arial" w:cs="Arial"/>
          <w:b/>
          <w:szCs w:val="28"/>
          <w:lang w:val="uk-UA" w:eastAsia="ru-RU"/>
        </w:rPr>
      </w:pPr>
      <w:r w:rsidRPr="00511005">
        <w:rPr>
          <w:rFonts w:ascii="Arial" w:eastAsia="Calibri" w:hAnsi="Arial" w:cs="Arial"/>
          <w:noProof/>
          <w:szCs w:val="28"/>
          <w:lang w:val="uk-UA"/>
        </w:rPr>
        <w:t>Про транспортно-експедиторську діяльність : Закон України від 01.07.2004 № 1955-IV : станом на 1 січня 2022 р. URL: </w:t>
      </w:r>
      <w:hyperlink r:id="rId1594" w:anchor="Text" w:tgtFrame="_blank" w:history="1">
        <w:r w:rsidRPr="00511005">
          <w:rPr>
            <w:rFonts w:ascii="Arial" w:eastAsia="Calibri" w:hAnsi="Arial" w:cs="Arial"/>
            <w:noProof/>
            <w:szCs w:val="28"/>
            <w:lang w:val="uk-UA"/>
          </w:rPr>
          <w:t>https://zakon.rada.gov.ua/laws/show/1955-15#Text</w:t>
        </w:r>
      </w:hyperlink>
      <w:r w:rsidRPr="00511005">
        <w:rPr>
          <w:rFonts w:ascii="Arial" w:eastAsia="Calibri" w:hAnsi="Arial" w:cs="Arial"/>
          <w:noProof/>
          <w:szCs w:val="28"/>
          <w:lang w:val="uk-UA"/>
        </w:rPr>
        <w:t> </w:t>
      </w:r>
    </w:p>
    <w:p w14:paraId="750DA614" w14:textId="77777777" w:rsidR="003476F8" w:rsidRPr="00511005" w:rsidRDefault="003476F8" w:rsidP="003F6A5D">
      <w:pPr>
        <w:numPr>
          <w:ilvl w:val="0"/>
          <w:numId w:val="415"/>
        </w:numPr>
        <w:spacing w:line="264" w:lineRule="auto"/>
        <w:contextualSpacing/>
        <w:jc w:val="left"/>
        <w:rPr>
          <w:rFonts w:ascii="Arial" w:eastAsia="Times New Roman" w:hAnsi="Arial" w:cs="Arial"/>
          <w:b/>
          <w:szCs w:val="28"/>
          <w:lang w:val="uk-UA" w:eastAsia="ru-RU"/>
        </w:rPr>
      </w:pPr>
      <w:r w:rsidRPr="00511005">
        <w:rPr>
          <w:rFonts w:ascii="Arial" w:eastAsia="Calibri" w:hAnsi="Arial" w:cs="Arial"/>
          <w:noProof/>
          <w:szCs w:val="28"/>
          <w:lang w:val="uk-UA"/>
        </w:rPr>
        <w:t>Господарський кодекс України : Кодекс України від 16.01.2003 № 436-IV : станом на 28 лютого 2025 р. URL: </w:t>
      </w:r>
      <w:hyperlink r:id="rId1595" w:anchor="Text" w:tgtFrame="_blank" w:history="1">
        <w:r w:rsidRPr="00511005">
          <w:rPr>
            <w:rFonts w:ascii="Arial" w:eastAsia="Calibri" w:hAnsi="Arial" w:cs="Arial"/>
            <w:noProof/>
            <w:szCs w:val="28"/>
            <w:lang w:val="uk-UA"/>
          </w:rPr>
          <w:t>https://zakon.rada.gov.ua/laws/show/436-15#Text</w:t>
        </w:r>
      </w:hyperlink>
      <w:r w:rsidRPr="00511005">
        <w:rPr>
          <w:rFonts w:ascii="Arial" w:eastAsia="Calibri" w:hAnsi="Arial" w:cs="Arial"/>
          <w:noProof/>
          <w:szCs w:val="28"/>
          <w:lang w:val="uk-UA"/>
        </w:rPr>
        <w:t> </w:t>
      </w:r>
    </w:p>
    <w:p w14:paraId="27A948E6" w14:textId="77777777" w:rsidR="003476F8" w:rsidRPr="00511005" w:rsidRDefault="003476F8" w:rsidP="003F6A5D">
      <w:pPr>
        <w:numPr>
          <w:ilvl w:val="0"/>
          <w:numId w:val="415"/>
        </w:numPr>
        <w:spacing w:line="264" w:lineRule="auto"/>
        <w:contextualSpacing/>
        <w:jc w:val="left"/>
        <w:rPr>
          <w:rFonts w:ascii="Arial" w:eastAsia="Times New Roman" w:hAnsi="Arial" w:cs="Arial"/>
          <w:b/>
          <w:szCs w:val="28"/>
          <w:lang w:val="uk-UA" w:eastAsia="ru-RU"/>
        </w:rPr>
      </w:pPr>
      <w:r w:rsidRPr="00511005">
        <w:rPr>
          <w:rFonts w:ascii="Arial" w:eastAsia="Calibri" w:hAnsi="Arial" w:cs="Arial"/>
          <w:noProof/>
          <w:szCs w:val="28"/>
          <w:lang w:val="uk-UA"/>
        </w:rPr>
        <w:t>Про затвердження Правил перетинання державного кордону громадянами України : Постанова Кабінету Міністрів України від 27.01.1995 № 57 : станом на 13 березня 2025 р. URL: </w:t>
      </w:r>
      <w:hyperlink r:id="rId1596" w:anchor="Text" w:tgtFrame="_blank" w:history="1">
        <w:r w:rsidRPr="00511005">
          <w:rPr>
            <w:rFonts w:ascii="Arial" w:eastAsia="Calibri" w:hAnsi="Arial" w:cs="Arial"/>
            <w:noProof/>
            <w:szCs w:val="28"/>
            <w:lang w:val="uk-UA"/>
          </w:rPr>
          <w:t>https://zakon.rada.gov.ua/laws/show/57-95-п#Text</w:t>
        </w:r>
      </w:hyperlink>
      <w:r w:rsidRPr="00511005">
        <w:rPr>
          <w:rFonts w:ascii="Arial" w:eastAsia="Calibri" w:hAnsi="Arial" w:cs="Arial"/>
          <w:noProof/>
          <w:szCs w:val="28"/>
          <w:lang w:val="uk-UA"/>
        </w:rPr>
        <w:t> </w:t>
      </w:r>
    </w:p>
    <w:p w14:paraId="245E6E4E" w14:textId="77777777" w:rsidR="003476F8" w:rsidRPr="00511005" w:rsidRDefault="003476F8" w:rsidP="003A292D">
      <w:pPr>
        <w:keepNext/>
        <w:spacing w:line="264" w:lineRule="auto"/>
        <w:ind w:firstLine="0"/>
        <w:rPr>
          <w:rFonts w:ascii="Arial" w:eastAsia="Times New Roman" w:hAnsi="Arial" w:cs="Arial"/>
          <w:b/>
          <w:szCs w:val="28"/>
          <w:lang w:val="uk-UA" w:eastAsia="ru-RU"/>
        </w:rPr>
      </w:pPr>
    </w:p>
    <w:p w14:paraId="55BA7C81" w14:textId="5396D7ED" w:rsidR="003476F8" w:rsidRPr="00511005" w:rsidRDefault="007B2628" w:rsidP="003A292D">
      <w:pPr>
        <w:keepNext/>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bCs/>
          <w:szCs w:val="28"/>
          <w:lang w:val="uk-UA" w:eastAsia="ru-RU"/>
        </w:rPr>
        <w:t>договір транспортного експедирування, логістичні перевезення, експедитор, замовник, ухилення від мобілізації.</w:t>
      </w:r>
    </w:p>
    <w:p w14:paraId="6E47365B" w14:textId="731CBF13" w:rsidR="003476F8" w:rsidRPr="00511005" w:rsidRDefault="002611B5" w:rsidP="003A292D">
      <w:pPr>
        <w:keepNext/>
        <w:spacing w:line="264" w:lineRule="auto"/>
        <w:ind w:firstLine="0"/>
        <w:rPr>
          <w:rFonts w:ascii="Arial" w:eastAsia="Times New Roman" w:hAnsi="Arial" w:cs="Arial"/>
          <w:bCs/>
          <w:szCs w:val="28"/>
          <w:lang w:val="uk-UA" w:eastAsia="ru-RU"/>
        </w:rPr>
      </w:pPr>
      <w:r w:rsidRPr="00511005">
        <w:rPr>
          <w:rFonts w:ascii="Arial" w:eastAsia="Segoe UI" w:hAnsi="Arial" w:cs="Arial"/>
          <w:b/>
          <w:bCs/>
          <w:i/>
          <w:szCs w:val="28"/>
          <w:shd w:val="clear" w:color="auto" w:fill="FFFFFF"/>
          <w:lang w:val="en-US" w:eastAsia="ru-RU"/>
        </w:rPr>
        <w:t xml:space="preserve">Key words: </w:t>
      </w:r>
      <w:r w:rsidR="003476F8" w:rsidRPr="00511005">
        <w:rPr>
          <w:rFonts w:ascii="Arial" w:eastAsia="Times New Roman" w:hAnsi="Arial" w:cs="Arial"/>
          <w:bCs/>
          <w:szCs w:val="28"/>
          <w:lang w:val="uk-UA" w:eastAsia="ru-RU"/>
        </w:rPr>
        <w:t>freight forwarding agreement, logistics transportation, freight forwarder, customer, evasion from mobilisation.</w:t>
      </w:r>
    </w:p>
    <w:p w14:paraId="3CFD2490" w14:textId="5357AF18" w:rsidR="003476F8" w:rsidRPr="00511005" w:rsidRDefault="007B2628" w:rsidP="003A292D">
      <w:pPr>
        <w:keepNext/>
        <w:spacing w:line="264" w:lineRule="auto"/>
        <w:ind w:firstLine="0"/>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3476F8" w:rsidRPr="00511005">
        <w:rPr>
          <w:rFonts w:ascii="Arial" w:eastAsia="Times New Roman" w:hAnsi="Arial" w:cs="Arial"/>
          <w:bCs/>
          <w:i/>
          <w:iCs/>
          <w:szCs w:val="28"/>
          <w:lang w:val="uk-UA" w:eastAsia="ru-RU"/>
        </w:rPr>
        <w:t>к.ю.н., доцент Згама А.О.</w:t>
      </w:r>
    </w:p>
    <w:p w14:paraId="56708A8B" w14:textId="77777777" w:rsidR="003476F8" w:rsidRPr="00511005" w:rsidRDefault="003476F8" w:rsidP="003A292D">
      <w:pPr>
        <w:spacing w:line="264" w:lineRule="auto"/>
        <w:ind w:firstLine="0"/>
        <w:contextualSpacing/>
        <w:rPr>
          <w:rFonts w:ascii="Arial" w:eastAsia="Times New Roman" w:hAnsi="Arial" w:cs="Arial"/>
          <w:b/>
          <w:szCs w:val="28"/>
          <w:lang w:val="uk-UA" w:eastAsia="ru-RU"/>
        </w:rPr>
      </w:pPr>
    </w:p>
    <w:p w14:paraId="367FD55B" w14:textId="25D74101" w:rsidR="003476F8" w:rsidRPr="00511005" w:rsidRDefault="003476F8" w:rsidP="003A292D">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Павлішина Юлія Вікторівна</w:t>
      </w:r>
    </w:p>
    <w:p w14:paraId="6128DC3F" w14:textId="4A4BE81B" w:rsidR="003476F8"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4-го курсу </w:t>
      </w:r>
      <w:r w:rsidR="007B2628" w:rsidRPr="00511005">
        <w:rPr>
          <w:rFonts w:ascii="Arial" w:eastAsia="Times New Roman" w:hAnsi="Arial" w:cs="Arial"/>
          <w:szCs w:val="28"/>
          <w:lang w:val="uk-UA" w:eastAsia="ru-RU"/>
        </w:rPr>
        <w:t>факультету цивільної та господарської юстиції</w:t>
      </w:r>
    </w:p>
    <w:p w14:paraId="77965512" w14:textId="2F615E1C" w:rsidR="003476F8"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5D4A7ADD"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0D585CB6" w14:textId="77777777" w:rsidR="003476F8" w:rsidRPr="00511005" w:rsidRDefault="003476F8"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УЧАСТЬ ЕКСПЕРТА З ПИТАНЬ ПРАВА У ГОСПОДАРСЬКОМУ ПРОЦЕСІ</w:t>
      </w:r>
    </w:p>
    <w:p w14:paraId="11E95F3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Однією із процесуальних можливостей, передбачених Господарським процесуальним кодексом України (далі – ГПК України), є використання експертних знань у галузі права. Експерт з питань права – це важливий учасник судового процесу, завданням якого є надання підсумкового висновку на основі аналітичного опрацювання матеріалів із застосуванням спеціальних знань у галузі права. Тобто, коли суду потрібно тлумачити закон кваліфікованим фахівцем, залучають експерта з питань права. </w:t>
      </w:r>
    </w:p>
    <w:p w14:paraId="40F6F4E2"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Відповідно до ст. 70 ГПК України експертом з питань права можуть залучатися особи, які мають науковий ступінь та є визнаними фахівцями у галузі права. Допуск до участі в справі та долучення висновку до матеріалів справи ухвалюється судом [1]. Ці положення актуалізують проблему визначення понять «визнаний фахівець» та «науковий ступінь»[5]. </w:t>
      </w:r>
    </w:p>
    <w:p w14:paraId="5D1D6082" w14:textId="08CE55DE"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Поняття «визнаний фахівець» є дискусійним, тому на практиці можуть виникати певні труднощі у його тлумаченні та розумінні. Безумовно,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визнавати досягнення у галузі права можуть власне науковці, які самі </w:t>
      </w:r>
      <w:r w:rsidRPr="00511005">
        <w:rPr>
          <w:rFonts w:ascii="Arial" w:eastAsia="Times New Roman" w:hAnsi="Arial" w:cs="Arial"/>
          <w:szCs w:val="28"/>
          <w:lang w:val="uk-UA" w:eastAsia="ru-RU"/>
        </w:rPr>
        <w:lastRenderedPageBreak/>
        <w:t>займаються науковою діяльністю у цій сфері. Доречним слід визнати використання індексів цитування, які можуть зазначатися у резюме (наприклад, дуже популярним, є індекс Гірша, суть якого полягає в тому, що чим більше науковця цитують, тим вищими є його показники). Така практика наразі застосовується у європейському та американському науковому середовищі і може вважатись найбільш об’єктивною оцінкою поняття «визнаний».</w:t>
      </w:r>
    </w:p>
    <w:p w14:paraId="4B0C5655"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Не менш важливою вимогою для експерта є наявність наукового ступеню: у галузі права до таких науковців належать кандидати юридичних наук/доктори філософії та доктори наук. Проте не всі, хто має науковий ступінь, є науковцями. На нашу думку, йдеться саме про науковця, який є експертом з певної галузі або інституту права, який необхідно дослідити, та який займається науковою діяльністю [5]. Слід підкреслити, що суддя також є експертом з питань права, але маються на увазі ситуації, коли потрібні більш глибокі теоретичні знання, які не завжди можуть бути доступні особі, яка займається правозастосовчою діяльністю. До того ж ст. 108 ГПК України визначає виключний перелік питань, з яких можна залучити експерта з питань права, тому, зважаючи на обмежене застосування, зазначений інститут не несе загрози суддівській незалежності, неупередженості та не вступає у конкуренцію з його кваліфікацією.</w:t>
      </w:r>
    </w:p>
    <w:p w14:paraId="3358E56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Учасники справи мають право подати висновок експерта у двох випадках (ст. 108 ГПК України). Перший - коли суду необхідно застосувати аналогію закону та аналогію права[1]. Це актуально у випадках, коли суд має визначити певну норму, що регулює подібні правовідносини, у випадку юридичних прогалин, які не врегульовані законом та договором (аналогія закону), а також у випадку врегулювання спору, застосовуючи загальні засади законодавства (аналогія права). Також експерт у галузі права може залучатися і щодо інших питань, наприклад щодо застосування процесуальної аналогії, хоча деякі науковці зазначають по її недопустимість. </w:t>
      </w:r>
    </w:p>
    <w:p w14:paraId="74666BAC"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Другий з випадків стосується встановлення змісту норм іноземного права згідно з їх офіційним або загальноприйнятим тлумаченням, практикою застосування, доктриною у відповідній іноземній державі[1], що є досить поширеним через можливості обрання сторонами застосовного права у своїх контрактах у сфері ЗЕД. У свою чергу,Закон України «Про міжнародне приватне право» закріплює кілька шляхів встановлення змісту іноземного права, зокрема звернення до компетентних органів або установ за кордоном, але через часовий критерій, залучення експерта є більш пріоритетним у даному випадку, тим більш, що можливим є залучення іноземного експерта з питань права. Враховуючи наведене, суд відхиляє висновок експерта у галузі права як доказ, якщо він не відповідає вимогам, встановленим статтями 108–109 ГПК України, з огляду на те, що він не стосується питань застосування аналогії права (закону) або змісту норм </w:t>
      </w:r>
      <w:r w:rsidRPr="00511005">
        <w:rPr>
          <w:rFonts w:ascii="Arial" w:eastAsia="Times New Roman" w:hAnsi="Arial" w:cs="Arial"/>
          <w:szCs w:val="28"/>
          <w:lang w:val="uk-UA" w:eastAsia="ru-RU"/>
        </w:rPr>
        <w:lastRenderedPageBreak/>
        <w:t>іноземного права (див. наприклад, рішення Господарського суду м. Києва у справі № 910/9938/17 від 16.04.2018 року).</w:t>
      </w:r>
    </w:p>
    <w:p w14:paraId="183DA6F7" w14:textId="6C10FDA6"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Крім того, такий висновок не є доказовою базою, він має лише консультативний характер і суд, відповідно, може не брати до уваги відомості, зазначені у ньому [3]. Попри імперативні норми щодо допоміжного характеру висновку експерта з питань права, непоодинокими є випадки обґрунтування ним задоволення позовних вимог. Так, апеляційний господарський суд 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справі №910/18649/19неправомірно поклався на науково-практичний висновок Торгово-промислової палати України, як на доказ, не врахувавши консультативний статус такого висновку. Опрацювавши всі надані матеріали, КГС ВС у постанові від 16.03.2021 р. відзначив, що судді мають право користуватися висновком з питань права, як джерелом інформації, але мають самостійно оцінити і зробити висновки щодо певних питань, наведених у такому висновку. У цьому контексті важливо звернути увагу на відсутність закріплених вимог до форми, змісту та кількості складових висновку експерта з питань права, що призводить до використання на практиці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видозмінених форм судових експертиз, які порушують структуру, текстову логіку такого висновку.</w:t>
      </w:r>
    </w:p>
    <w:p w14:paraId="103B006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Певні проблеми є й у процедурі залучення експерта з питань права, тому що у кодексі не зафіксовано, якими обставинами повинен керуватися суд, приймаючи рішення щодо допуску до участі у справі такого експерта. Також не зазначено, хто саме повинен подати клопотання, або можливо сам суд за своєї ініціативи може залучити таку особу. Ухвали про залучення або незалучення експерта з питань права не можуть бути оскаржені, тому що це є правом суду. Також важливим є дослідження питання щодо можливості заявлення відводу експертові з питань права. Ст. 37 ГПК України серед переліку осіб, яким можна заявляти відвід, не зазначає експерта з питань права. Але це питання має важливе значення, тому що відвід такого учасника процесу є гарантією здійснення процесуальних функцій неупереджено [4].</w:t>
      </w:r>
    </w:p>
    <w:p w14:paraId="428B9C3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Отже, запровадження у господарському процесі інституту експерта з питань права ніяк не змінює предмету судової експертизи та не розширює кола доказів у справі. Його основне призначення – це створення додаткового інструменту для сторін, який може бути використаний для сприяння суду у визначенні законодавчих норм чи принципів, які застосовуються за аналогією, а також при встановленні змісту норм іноземного права.</w:t>
      </w:r>
    </w:p>
    <w:p w14:paraId="00F44B7D"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p>
    <w:p w14:paraId="3700B0A9" w14:textId="6ABACF0D" w:rsidR="003476F8"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30860A5B" w14:textId="77777777" w:rsidR="003476F8" w:rsidRPr="00511005" w:rsidRDefault="003476F8" w:rsidP="003F6A5D">
      <w:pPr>
        <w:numPr>
          <w:ilvl w:val="0"/>
          <w:numId w:val="416"/>
        </w:numPr>
        <w:tabs>
          <w:tab w:val="left" w:pos="851"/>
        </w:tabs>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Господарсько-процесуальний кодекс України: Закон України від 06.11.1991 № 1798-ХІI. URL: </w:t>
      </w:r>
      <w:hyperlink r:id="rId1597" w:anchor="Text" w:history="1">
        <w:r w:rsidRPr="00511005">
          <w:rPr>
            <w:rFonts w:ascii="Arial" w:eastAsia="Calibri" w:hAnsi="Arial" w:cs="Arial"/>
            <w:szCs w:val="28"/>
            <w:lang w:val="uk-UA"/>
          </w:rPr>
          <w:t>https://zakon.rada.gov.ua/laws/show/1798-12#Text</w:t>
        </w:r>
      </w:hyperlink>
      <w:r w:rsidRPr="00511005">
        <w:rPr>
          <w:rFonts w:ascii="Arial" w:eastAsia="Calibri" w:hAnsi="Arial" w:cs="Arial"/>
          <w:szCs w:val="28"/>
          <w:lang w:val="uk-UA"/>
        </w:rPr>
        <w:t>.</w:t>
      </w:r>
    </w:p>
    <w:p w14:paraId="21480486" w14:textId="77777777" w:rsidR="003476F8" w:rsidRPr="00511005" w:rsidRDefault="003476F8" w:rsidP="003F6A5D">
      <w:pPr>
        <w:numPr>
          <w:ilvl w:val="0"/>
          <w:numId w:val="416"/>
        </w:numPr>
        <w:tabs>
          <w:tab w:val="left" w:pos="851"/>
        </w:tabs>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Про міжнародне приватне право:Закон України від 23.06.2005№2709-ІV. URL: </w:t>
      </w:r>
      <w:hyperlink r:id="rId1598" w:anchor="Text" w:history="1">
        <w:r w:rsidRPr="00511005">
          <w:rPr>
            <w:rFonts w:ascii="Arial" w:eastAsia="Calibri" w:hAnsi="Arial" w:cs="Arial"/>
            <w:szCs w:val="28"/>
            <w:lang w:val="uk-UA"/>
          </w:rPr>
          <w:t>https://zakon.rada.gov.ua/laws/show/2709-15#Text</w:t>
        </w:r>
      </w:hyperlink>
      <w:r w:rsidRPr="00511005">
        <w:rPr>
          <w:rFonts w:ascii="Arial" w:eastAsia="Calibri" w:hAnsi="Arial" w:cs="Arial"/>
          <w:szCs w:val="28"/>
          <w:lang w:val="uk-UA"/>
        </w:rPr>
        <w:t>.</w:t>
      </w:r>
    </w:p>
    <w:p w14:paraId="62E25CBF" w14:textId="77777777" w:rsidR="003476F8" w:rsidRPr="00511005" w:rsidRDefault="003476F8" w:rsidP="003F6A5D">
      <w:pPr>
        <w:numPr>
          <w:ilvl w:val="0"/>
          <w:numId w:val="416"/>
        </w:numPr>
        <w:tabs>
          <w:tab w:val="left" w:pos="851"/>
        </w:tabs>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Бортман О. Експерт у галузі права: суддя на фрілансі? Юрист і Закон, 2017. URL:</w:t>
      </w:r>
      <w:hyperlink r:id="rId1599" w:history="1">
        <w:r w:rsidRPr="00511005">
          <w:rPr>
            <w:rFonts w:ascii="Arial" w:eastAsia="Calibri" w:hAnsi="Arial" w:cs="Arial"/>
            <w:szCs w:val="28"/>
            <w:lang w:val="uk-UA"/>
          </w:rPr>
          <w:t>https://vkp.ua/publication/ekspert_u_galuzi_prava_suddya_na_frilansi</w:t>
        </w:r>
      </w:hyperlink>
      <w:r w:rsidRPr="00511005">
        <w:rPr>
          <w:rFonts w:ascii="Arial" w:eastAsia="Calibri" w:hAnsi="Arial" w:cs="Arial"/>
          <w:szCs w:val="28"/>
          <w:lang w:val="uk-UA"/>
        </w:rPr>
        <w:t>.</w:t>
      </w:r>
    </w:p>
    <w:p w14:paraId="210D03F3" w14:textId="77777777" w:rsidR="003476F8" w:rsidRPr="00511005" w:rsidRDefault="003476F8" w:rsidP="003F6A5D">
      <w:pPr>
        <w:numPr>
          <w:ilvl w:val="0"/>
          <w:numId w:val="416"/>
        </w:numPr>
        <w:tabs>
          <w:tab w:val="left" w:pos="851"/>
        </w:tabs>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Бутирська І. А. Правовий статус експерта з питань права у господарському процесі. Науковий вісник Ужгородського національного університету. 2018. URL: </w:t>
      </w:r>
      <w:hyperlink r:id="rId1600" w:history="1">
        <w:r w:rsidRPr="00511005">
          <w:rPr>
            <w:rFonts w:ascii="Arial" w:eastAsia="Calibri" w:hAnsi="Arial" w:cs="Arial"/>
            <w:szCs w:val="28"/>
            <w:lang w:val="uk-UA"/>
          </w:rPr>
          <w:t>https://archer.chnu.edu.ua/xmlui/bitstream/handle/123456789/490/7%20Butyrska_Legal_expert.pdf?sequence=1&amp;isAllowed=y</w:t>
        </w:r>
      </w:hyperlink>
      <w:r w:rsidRPr="00511005">
        <w:rPr>
          <w:rFonts w:ascii="Arial" w:eastAsia="Calibri" w:hAnsi="Arial" w:cs="Arial"/>
          <w:szCs w:val="28"/>
          <w:lang w:val="uk-UA"/>
        </w:rPr>
        <w:t>.</w:t>
      </w:r>
    </w:p>
    <w:p w14:paraId="0B5D3EB9" w14:textId="77777777" w:rsidR="003476F8" w:rsidRPr="00511005" w:rsidRDefault="003476F8" w:rsidP="003F6A5D">
      <w:pPr>
        <w:numPr>
          <w:ilvl w:val="0"/>
          <w:numId w:val="416"/>
        </w:numPr>
        <w:tabs>
          <w:tab w:val="left" w:pos="851"/>
        </w:tabs>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Татулич І.Ю. Правовий статус експерта з питань права у цивільному судочинстві. Електронне наукове видання «Аналітично-порівняльне правознавство». 2022. URL: </w:t>
      </w:r>
      <w:hyperlink r:id="rId1601" w:history="1">
        <w:r w:rsidRPr="00511005">
          <w:rPr>
            <w:rFonts w:ascii="Arial" w:eastAsia="Calibri" w:hAnsi="Arial" w:cs="Arial"/>
            <w:szCs w:val="28"/>
            <w:lang w:val="uk-UA"/>
          </w:rPr>
          <w:t>https://app-journal.in.ua/wp-content/uploads/2022/05/14.pdf</w:t>
        </w:r>
      </w:hyperlink>
      <w:r w:rsidRPr="00511005">
        <w:rPr>
          <w:rFonts w:ascii="Arial" w:eastAsia="Calibri" w:hAnsi="Arial" w:cs="Arial"/>
          <w:szCs w:val="28"/>
          <w:lang w:val="uk-UA"/>
        </w:rPr>
        <w:t xml:space="preserve"> .</w:t>
      </w:r>
    </w:p>
    <w:p w14:paraId="133BF096" w14:textId="77777777" w:rsidR="003476F8" w:rsidRPr="00511005" w:rsidRDefault="003476F8" w:rsidP="003A292D">
      <w:pPr>
        <w:tabs>
          <w:tab w:val="left" w:pos="851"/>
        </w:tabs>
        <w:spacing w:line="264" w:lineRule="auto"/>
        <w:ind w:firstLine="0"/>
        <w:contextualSpacing/>
        <w:rPr>
          <w:rFonts w:ascii="Arial" w:eastAsia="Calibri" w:hAnsi="Arial" w:cs="Arial"/>
          <w:szCs w:val="28"/>
          <w:lang w:val="uk-UA"/>
        </w:rPr>
      </w:pPr>
    </w:p>
    <w:p w14:paraId="7D8978DD" w14:textId="12AE8A5C"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val="uk-UA" w:eastAsia="ru-RU"/>
        </w:rPr>
        <w:t>висновок експерта у галузі права, експерт з питань права, господарський процес, аналогія права, аналогія закону.</w:t>
      </w:r>
    </w:p>
    <w:p w14:paraId="1DEEB657" w14:textId="5319F33F"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szCs w:val="28"/>
          <w:lang w:val="uk-UA" w:eastAsia="ru-RU"/>
        </w:rPr>
        <w:t>оpinion of a legal expert, legal expert, economic process, analogy of law, analogy of legislation.</w:t>
      </w:r>
    </w:p>
    <w:p w14:paraId="69D5EB6A" w14:textId="01953794" w:rsidR="003476F8" w:rsidRPr="00511005" w:rsidRDefault="007B2628" w:rsidP="003A292D">
      <w:pPr>
        <w:spacing w:line="264" w:lineRule="auto"/>
        <w:ind w:firstLine="0"/>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3476F8" w:rsidRPr="00511005">
        <w:rPr>
          <w:rFonts w:ascii="Arial" w:eastAsia="Times New Roman" w:hAnsi="Arial" w:cs="Arial"/>
          <w:i/>
          <w:szCs w:val="28"/>
          <w:lang w:val="uk-UA" w:eastAsia="ru-RU"/>
        </w:rPr>
        <w:t>к.ю.н., доцент Будурова Г</w:t>
      </w:r>
      <w:r w:rsidR="00B81D8E">
        <w:rPr>
          <w:rFonts w:ascii="Arial" w:eastAsia="Times New Roman" w:hAnsi="Arial" w:cs="Arial"/>
          <w:i/>
          <w:szCs w:val="28"/>
          <w:lang w:val="uk-UA" w:eastAsia="ru-RU"/>
        </w:rPr>
        <w:t>.</w:t>
      </w:r>
      <w:r w:rsidR="003476F8" w:rsidRPr="00511005">
        <w:rPr>
          <w:rFonts w:ascii="Arial" w:eastAsia="Times New Roman" w:hAnsi="Arial" w:cs="Arial"/>
          <w:i/>
          <w:szCs w:val="28"/>
          <w:lang w:val="uk-UA" w:eastAsia="ru-RU"/>
        </w:rPr>
        <w:t xml:space="preserve"> М.</w:t>
      </w:r>
    </w:p>
    <w:p w14:paraId="4EB52A1B"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5A80A11D" w14:textId="77777777" w:rsidR="00B81D8E" w:rsidRDefault="00B81D8E" w:rsidP="003A292D">
      <w:pPr>
        <w:spacing w:line="264" w:lineRule="auto"/>
        <w:ind w:firstLine="0"/>
        <w:jc w:val="center"/>
        <w:rPr>
          <w:rFonts w:ascii="Arial" w:eastAsia="Times New Roman" w:hAnsi="Arial" w:cs="Arial"/>
          <w:b/>
          <w:bCs/>
          <w:i/>
          <w:iCs/>
          <w:szCs w:val="28"/>
          <w:lang w:val="uk-UA"/>
        </w:rPr>
      </w:pPr>
    </w:p>
    <w:p w14:paraId="57CE3736" w14:textId="15864137" w:rsidR="003476F8" w:rsidRPr="00511005" w:rsidRDefault="003476F8" w:rsidP="003A292D">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Петренко Олександра Олександрівна,</w:t>
      </w:r>
      <w:r w:rsidR="00146592" w:rsidRPr="00511005">
        <w:rPr>
          <w:rFonts w:ascii="Arial" w:eastAsia="Times New Roman" w:hAnsi="Arial" w:cs="Arial"/>
          <w:b/>
          <w:bCs/>
          <w:i/>
          <w:iCs/>
          <w:szCs w:val="28"/>
          <w:lang w:val="uk-UA"/>
        </w:rPr>
        <w:t xml:space="preserve"> </w:t>
      </w:r>
      <w:r w:rsidRPr="00511005">
        <w:rPr>
          <w:rFonts w:ascii="Arial" w:eastAsia="Times New Roman" w:hAnsi="Arial" w:cs="Arial"/>
          <w:b/>
          <w:bCs/>
          <w:i/>
          <w:iCs/>
          <w:szCs w:val="28"/>
          <w:lang w:val="uk-UA"/>
        </w:rPr>
        <w:t>Колмацуй Милана Русланівна</w:t>
      </w:r>
    </w:p>
    <w:p w14:paraId="1D290449" w14:textId="77777777" w:rsidR="003476F8" w:rsidRPr="00511005" w:rsidRDefault="003476F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студентки 4-го курсу факультету цивільної та господарської юстиції </w:t>
      </w:r>
    </w:p>
    <w:p w14:paraId="49962D0D" w14:textId="2C029B40" w:rsidR="003476F8"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214B1EF8" w14:textId="77777777" w:rsidR="003476F8" w:rsidRPr="00511005" w:rsidRDefault="003476F8" w:rsidP="003A292D">
      <w:pPr>
        <w:spacing w:line="264" w:lineRule="auto"/>
        <w:ind w:firstLine="0"/>
        <w:jc w:val="center"/>
        <w:rPr>
          <w:rFonts w:ascii="Arial" w:eastAsia="Times New Roman" w:hAnsi="Arial" w:cs="Arial"/>
          <w:szCs w:val="28"/>
          <w:lang w:val="uk-UA"/>
        </w:rPr>
      </w:pPr>
    </w:p>
    <w:p w14:paraId="59EFE25D" w14:textId="77777777" w:rsidR="003476F8" w:rsidRPr="00511005" w:rsidRDefault="003476F8"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ВИКОРИСТАННЯ ЕЛЕКТРОННОГО СУДУ У ГОСПОДАРСЬКОМУ ПРОЦЕСІ</w:t>
      </w:r>
    </w:p>
    <w:p w14:paraId="62CBF48E"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сучасних умовах цифровізації суспільного життя дедалі більшого значення набуває впровадження інформаційно-комунікаційних технологій у діяльність органів державної влади і судів зокрема. Одним із ключових напрямів такої трансформації стало запровадження електронного суду, що відкриває нові можливості для ефективного, прозорого та оперативного розгляду справ. У господарському процесі, який характеризується значною кількістю документів та учасників, використання електронного суду має особливе значення, адже сприяє оптимізації судового провадження, зменшенню витрат часу і ресурсів, а також підвищенню рівня доступу до правосуддя. У цьому контексті важливо дослідити основні переваги, виклики та перспективи впровадження електронного судочинства в господарських спорах.</w:t>
      </w:r>
    </w:p>
    <w:p w14:paraId="4571E592"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Поняття електронного суду та правові засади його функціонування визначено в Господарському процесуальному кодексі України [1], Законі України «Про судоустрій і статус суддів» [2]. Крім того, детальний порядок використання електронного суду регламентується Положенням про порядок функціонування окремих підсистем Єдиної судової інформаційно-телекомунікаційної системи [3]. Досить нещодавно впроваджено важливі зміни щодо електронного кабінету в межах функціонування Єдиної судової інформаційно-телекомунікаційної системи (ЄСІТС). Зокрема, згідно із Законом України № 3200-IX, з жовтня 2023 року реєстрація та використання електронного кабінету стали обов’язковими для всіх учасників судового процесу — юридичних осіб, адвокатів, представників органів державної влади та місцевого самоврядування. Це означає, що подання документів, отримання повідомлень суду, ознайомлення з матеріалами справи тощо мають здійснюватися переважно через електронний кабінет. Така реформа спрямована на цифровізацію судочинства, підвищення прозорості та ефективності судового процесу [4].</w:t>
      </w:r>
    </w:p>
    <w:p w14:paraId="3D80E0CA"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Відповідно до статті 6 ГПК України, учасники судового процесу можуть подавати процесуальні документи, докази та інші матеріали в електронній формі, а також отримувати судові рішення через електронний суд. Це забезпечується через функціонування ЄСІТС, складовою якої є підсистема «Електронний суд».Частинами сьомою та восьмою вказаної норми встановлено, що якщо цим Кодексом передбачено обов`язок учасника справи надсилати копії документів іншим учасникам справи, такі документи можуть направлятися вказаним особам з використанням Єдиної судової інформаційно-телекомунікаційної системи в електронній формі, крім випадків, коли інший учасник не має офіційної електронної адреси [1]. Тобто, усі ці документи можуть надсилатися до суду без необхідності фізичної присутності або поштової відправки, що значно економить час учасників справи [5]. Офіційно електронний суд був запущений у тестовому режимі 1 грудня 2018 року, але повноцінне впровадження його окремих функцій відбувалося поступово. Станом на 2020 рік було розширено можливості для подання документів, участі в засіданнях дистанційно, отримання повідомлень тощо [6].</w:t>
      </w:r>
    </w:p>
    <w:p w14:paraId="143C7B8E"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Ще однією суттєвою перевагою є можливість автоматичного надсилання судових документів сторонам, зареєстрованим у системі. Учасники справи отримують електронні копії рішень, ухвал, викликів та повідомлень у реальному часі, що прискорює обмін інформацією та сприяє дотриманню процесуальних строків. При цьому такі документи визнаються офіційно доставленими, що надає їм юридичну силу.</w:t>
      </w:r>
    </w:p>
    <w:p w14:paraId="6F5CA5B7"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Крім того, електронний суд забезпечує постійний доступ до матеріалів справи онлайн. Сторони можуть переглядати документи, стежити за </w:t>
      </w:r>
      <w:r w:rsidRPr="00511005">
        <w:rPr>
          <w:rFonts w:ascii="Arial" w:eastAsia="Times New Roman" w:hAnsi="Arial" w:cs="Arial"/>
          <w:szCs w:val="28"/>
          <w:lang w:val="uk-UA"/>
        </w:rPr>
        <w:lastRenderedPageBreak/>
        <w:t>процесуальним станом справи та бачити дії інших учасників, що забезпечує відкритість та прозорість господарського судочинства [7].</w:t>
      </w:r>
    </w:p>
    <w:p w14:paraId="504E40FC"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Загалом, електронний суд дозволяє значно скоротити витрати як часу, так і коштів, покращити доступ до правосуддя та підвищити ефективність функціонування господарських судів. Його використання відповідає сучасним вимогам цифровізації та є важливим кроком на шляху до модернізації судової системи України.</w:t>
      </w:r>
    </w:p>
    <w:p w14:paraId="651FE5C7"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Попри очевидні переваги впровадження електронного суду, його функціонування не позбавлене проблем, які істотно впливають на ефективність господарського судочинства. Однією з найбільш актуальних є нестабільна робота серверів ЄСІТС, що час від часу стає причиною технічних збоїв у подачі або отриманні документів. У випадках, коли система недоступна або функціонує з перебоями, сторони не мають можливості подати процесуальні документи вчасно, що може призводити до пропущення строків, відкладення розгляду справ або навіть втрати важливих правових позицій.</w:t>
      </w:r>
    </w:p>
    <w:p w14:paraId="13BEE228"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Крім того, кібер атаки на судову інфраструктуру вже неодноразово мали місце в Україні. Такі інциденти можуть повністю паралізувати роботу системи, обмежуючи доступ як суддів, так і учасників справ до матеріалів провадження. Це створює ризики для безпеки інформації та підриває довіру до електронного судочинства в цілому. Уразливість до зовнішніх втручань також ставить під сумнів сталість процесуального захисту, зокрема у випадках, коли учасники вчасно не отримують інформації або не можуть належним чином реалізувати своє право на захист.</w:t>
      </w:r>
    </w:p>
    <w:p w14:paraId="1CF6CA5C"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Ще однією проблемою є відсутність чітких механізмів дій у разі технічного збою. ГПК України не дає однозначні відповіді щодо процесуальних наслідків несправності ЄСІТС. Це створює правову невизначеність і може використовуватись окремими сторонами для затягування процесу або оскарження рішень.</w:t>
      </w:r>
    </w:p>
    <w:p w14:paraId="42BDFD3E"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 метою підвищення надійності та ефективності електронного суду в господарському процесі необхідно вжити низку заходів на законодавчому, технічному та організаційному рівнях. Насамперед, варто удосконалити технічну інфраструктуру ЄСІТС, зокрема забезпечити резервування серверів, стабільне функціонування платформи, а також посилити кіберзахист для запобігання зовнішнім атакам і витоку конфіденційної інформації.</w:t>
      </w:r>
    </w:p>
    <w:p w14:paraId="0DA91ADA"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 рівні нормативного регулювання доцільно розробити чіткий алгоритм дій для учасників процесу у разі технічних збоїв системи. Це може включати можливість автоматичного продовження строків подачі документів або використання альтернативних каналів комунікації, зокрема надсилання документів електронною поштою з кваліфікованим електронним підписом у разі недоступності ЄСІТС.</w:t>
      </w:r>
    </w:p>
    <w:p w14:paraId="2B77E32E"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Крім того, для забезпечення гнучкості судового процесу можна впровадити гібридну модель, за якої учасники зможуть обирати між електронною та паперовою формою участі, в залежності від технічних можливостей та обставин конкретної справи. Важливо також забезпечити технічну підтримку користувачів, розширити інформаційно-роз’яснювальну роботу щодо користування електронним судом, особливо для малого та середнього бізнесу. У випадку повної або тривалої недоступності електронної системи, тимчасовим рішенням може стати використання надійних хмарних сервісів з відповідним рівнем захисту, які дозволять подавати документи в електронному вигляді навіть без доступу до ЄСІТС.</w:t>
      </w:r>
    </w:p>
    <w:p w14:paraId="31532837"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Підсумовуючи усе вищевикладене, можна зазначити, що електронний суд є важливим кроком на шляху до цифрової трансформації правосуддя в Україні. Його потенціал полягає в прискоренні розгляду справ, зниженні адміністративних витрат та покращенні доступу до суду. Однак для того, щоб система повною мірою відповідала сучасним викликам, вона має бути стабільною, безпечною та зручною у користуванні. Удосконалення електронного судочинства є необхідною умовою для забезпечення справедливого, оперативного й ефективного господарського процесу.</w:t>
      </w:r>
    </w:p>
    <w:p w14:paraId="5E3A8AEA" w14:textId="77777777" w:rsidR="003476F8" w:rsidRPr="00511005" w:rsidRDefault="003476F8" w:rsidP="003A292D">
      <w:pPr>
        <w:spacing w:line="264" w:lineRule="auto"/>
        <w:ind w:firstLine="0"/>
        <w:jc w:val="center"/>
        <w:rPr>
          <w:rFonts w:ascii="Arial" w:eastAsia="Times New Roman" w:hAnsi="Arial" w:cs="Arial"/>
          <w:b/>
          <w:bCs/>
          <w:szCs w:val="28"/>
          <w:lang w:val="uk-UA"/>
        </w:rPr>
      </w:pPr>
    </w:p>
    <w:p w14:paraId="06F0110C" w14:textId="4EB3B629" w:rsidR="003476F8"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42CAAB43" w14:textId="77777777" w:rsidR="003476F8" w:rsidRPr="00511005" w:rsidRDefault="003476F8" w:rsidP="003F6A5D">
      <w:pPr>
        <w:numPr>
          <w:ilvl w:val="0"/>
          <w:numId w:val="417"/>
        </w:numPr>
        <w:tabs>
          <w:tab w:val="left" w:pos="993"/>
        </w:tabs>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Господарський процесуальний кодекс України: Закон України від 06.11.1991 № 1798-XII. URL : https://zakon.rada.gov.ua/laws/show/1798-12.</w:t>
      </w:r>
    </w:p>
    <w:p w14:paraId="74190221" w14:textId="77777777" w:rsidR="003476F8" w:rsidRPr="00511005" w:rsidRDefault="003476F8" w:rsidP="003F6A5D">
      <w:pPr>
        <w:numPr>
          <w:ilvl w:val="0"/>
          <w:numId w:val="417"/>
        </w:numPr>
        <w:tabs>
          <w:tab w:val="left" w:pos="993"/>
        </w:tabs>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 xml:space="preserve">Про судоустрій і статус суддів : Закон України від 02.06.2016 № 1402-VIII. URL : </w:t>
      </w:r>
      <w:hyperlink r:id="rId1602" w:history="1">
        <w:r w:rsidRPr="00511005">
          <w:rPr>
            <w:rFonts w:ascii="Arial" w:eastAsia="Times New Roman" w:hAnsi="Arial" w:cs="Arial"/>
            <w:szCs w:val="28"/>
            <w:lang w:val="uk-UA"/>
          </w:rPr>
          <w:t>https://zakon.rada.gov.ua/laws/show/1402-19</w:t>
        </w:r>
      </w:hyperlink>
      <w:r w:rsidRPr="00511005">
        <w:rPr>
          <w:rFonts w:ascii="Arial" w:eastAsia="Times New Roman" w:hAnsi="Arial" w:cs="Arial"/>
          <w:szCs w:val="28"/>
          <w:lang w:val="uk-UA"/>
        </w:rPr>
        <w:t>.</w:t>
      </w:r>
    </w:p>
    <w:p w14:paraId="7E738F31" w14:textId="77777777" w:rsidR="003476F8" w:rsidRPr="00511005" w:rsidRDefault="003476F8" w:rsidP="003F6A5D">
      <w:pPr>
        <w:numPr>
          <w:ilvl w:val="0"/>
          <w:numId w:val="417"/>
        </w:numPr>
        <w:tabs>
          <w:tab w:val="left" w:pos="993"/>
        </w:tabs>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Про затвердження Положення про порядок функціонування окремих підсистем Єдиної судової інформаційно-телекомунікаційної системи : Рішення Вищої ради правосуддявід 17.08.2021 № 1845/0/15-21. URL : https://zakon.rada.gov.ua/rada/show/v1845910-21#Text</w:t>
      </w:r>
    </w:p>
    <w:p w14:paraId="32493786" w14:textId="77777777" w:rsidR="003476F8" w:rsidRPr="00511005" w:rsidRDefault="003476F8" w:rsidP="003F6A5D">
      <w:pPr>
        <w:numPr>
          <w:ilvl w:val="0"/>
          <w:numId w:val="417"/>
        </w:numPr>
        <w:tabs>
          <w:tab w:val="left" w:pos="993"/>
        </w:tabs>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Про внесення змін до деяких законодавчих актів України щодо обов’язкової реєстрації та використання електронних кабінетів в ЄСІТС : Закон України від 29.06.2023 № 3200-IX. URL: https://zakon.rada.gov.ua/laws/show/3200-20.</w:t>
      </w:r>
    </w:p>
    <w:p w14:paraId="3DE3D8BC" w14:textId="77777777" w:rsidR="003476F8" w:rsidRPr="00511005" w:rsidRDefault="003476F8" w:rsidP="003F6A5D">
      <w:pPr>
        <w:numPr>
          <w:ilvl w:val="0"/>
          <w:numId w:val="417"/>
        </w:numPr>
        <w:tabs>
          <w:tab w:val="left" w:pos="993"/>
        </w:tabs>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Ковальчук І. В. Електронне судочинство в Україні: проблеми та перспективи. Юридичний вісник. 2023. № 3. URL : https://www.lawjournal.ua/article/2023/3/kovalchuk-electronic-justice-ukraine.</w:t>
      </w:r>
    </w:p>
    <w:p w14:paraId="68FE81F4" w14:textId="77777777" w:rsidR="003476F8" w:rsidRPr="00511005" w:rsidRDefault="003476F8" w:rsidP="003F6A5D">
      <w:pPr>
        <w:numPr>
          <w:ilvl w:val="0"/>
          <w:numId w:val="417"/>
        </w:numPr>
        <w:tabs>
          <w:tab w:val="left" w:pos="993"/>
        </w:tabs>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 xml:space="preserve">Про внесення змін до Положення про порядок функціонування окремих підсистем (модулів) ЄСІТС : Рішення Вищої ради правосуддя від 12.10.2023 № 977/0/15-23. URL : </w:t>
      </w:r>
      <w:hyperlink r:id="rId1603" w:history="1">
        <w:r w:rsidRPr="00511005">
          <w:rPr>
            <w:rFonts w:ascii="Arial" w:eastAsia="Times New Roman" w:hAnsi="Arial" w:cs="Arial"/>
            <w:szCs w:val="28"/>
            <w:lang w:val="uk-UA"/>
          </w:rPr>
          <w:t>https://zakon.rada.gov.ua/rada/show/v0977910-23</w:t>
        </w:r>
      </w:hyperlink>
      <w:r w:rsidRPr="00511005">
        <w:rPr>
          <w:rFonts w:ascii="Arial" w:eastAsia="Times New Roman" w:hAnsi="Arial" w:cs="Arial"/>
          <w:szCs w:val="28"/>
          <w:lang w:val="uk-UA"/>
        </w:rPr>
        <w:t>.</w:t>
      </w:r>
    </w:p>
    <w:p w14:paraId="06CC6FCB" w14:textId="3B03976D" w:rsidR="003476F8" w:rsidRPr="00511005" w:rsidRDefault="003476F8" w:rsidP="003F6A5D">
      <w:pPr>
        <w:numPr>
          <w:ilvl w:val="0"/>
          <w:numId w:val="417"/>
        </w:numPr>
        <w:tabs>
          <w:tab w:val="left" w:pos="993"/>
        </w:tabs>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Дяченко С. В., Савенок К. О. Проблеми електронного доказування у господарському процесі: аналіз судової практики. Право України. 2022. № 46. С. 79-86. URL :</w:t>
      </w:r>
      <w:r w:rsidR="007B2628" w:rsidRPr="00511005">
        <w:rPr>
          <w:rFonts w:ascii="Arial" w:eastAsia="Times New Roman" w:hAnsi="Arial" w:cs="Arial"/>
          <w:szCs w:val="28"/>
          <w:lang w:val="uk-UA"/>
        </w:rPr>
        <w:t xml:space="preserve"> </w:t>
      </w:r>
      <w:hyperlink r:id="rId1604" w:history="1">
        <w:r w:rsidRPr="00511005">
          <w:rPr>
            <w:rFonts w:ascii="Arial" w:eastAsia="Times New Roman" w:hAnsi="Arial" w:cs="Arial"/>
            <w:szCs w:val="28"/>
            <w:lang w:val="uk-UA"/>
          </w:rPr>
          <w:t>http://pd.onu.edu.ua/article/view/257812/256544</w:t>
        </w:r>
      </w:hyperlink>
    </w:p>
    <w:p w14:paraId="6BE985C7" w14:textId="77777777" w:rsidR="003476F8" w:rsidRPr="00511005" w:rsidRDefault="003476F8" w:rsidP="003A292D">
      <w:pPr>
        <w:tabs>
          <w:tab w:val="left" w:pos="993"/>
        </w:tabs>
        <w:spacing w:line="264" w:lineRule="auto"/>
        <w:ind w:firstLine="0"/>
        <w:rPr>
          <w:rFonts w:ascii="Arial" w:eastAsia="Times New Roman" w:hAnsi="Arial" w:cs="Arial"/>
          <w:szCs w:val="28"/>
          <w:lang w:val="uk-UA"/>
        </w:rPr>
      </w:pPr>
    </w:p>
    <w:p w14:paraId="78BE049F" w14:textId="69BBFAA6" w:rsidR="003476F8" w:rsidRPr="00511005" w:rsidRDefault="003476F8" w:rsidP="003A292D">
      <w:pPr>
        <w:spacing w:line="264" w:lineRule="auto"/>
        <w:ind w:firstLine="0"/>
        <w:rPr>
          <w:rFonts w:ascii="Arial" w:eastAsia="Times New Roman" w:hAnsi="Arial" w:cs="Arial"/>
          <w:szCs w:val="28"/>
          <w:lang w:val="uk-UA"/>
        </w:rPr>
      </w:pPr>
      <w:r w:rsidRPr="009C3A24">
        <w:rPr>
          <w:rFonts w:ascii="Arial" w:eastAsia="Times New Roman" w:hAnsi="Arial" w:cs="Arial"/>
          <w:b/>
          <w:bCs/>
          <w:i/>
          <w:iCs/>
          <w:szCs w:val="28"/>
          <w:lang w:val="uk-UA"/>
        </w:rPr>
        <w:t>Ключові слова:</w:t>
      </w:r>
      <w:r w:rsidR="009C3A24">
        <w:rPr>
          <w:rFonts w:ascii="Arial" w:eastAsia="Times New Roman" w:hAnsi="Arial" w:cs="Arial"/>
          <w:b/>
          <w:bCs/>
          <w:szCs w:val="28"/>
          <w:lang w:val="uk-UA"/>
        </w:rPr>
        <w:t xml:space="preserve"> </w:t>
      </w:r>
      <w:r w:rsidRPr="00511005">
        <w:rPr>
          <w:rFonts w:ascii="Arial" w:eastAsia="Times New Roman" w:hAnsi="Arial" w:cs="Arial"/>
          <w:szCs w:val="28"/>
          <w:lang w:val="uk-UA"/>
        </w:rPr>
        <w:t>електронний суд, господарський процес, цифровізація правосуддя, подання документів онлайн, кібербезпека.</w:t>
      </w:r>
    </w:p>
    <w:p w14:paraId="2CC4462B" w14:textId="7931D9A4" w:rsidR="003476F8"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3476F8" w:rsidRPr="00511005">
        <w:rPr>
          <w:rFonts w:ascii="Arial" w:eastAsia="Times New Roman" w:hAnsi="Arial" w:cs="Arial"/>
          <w:szCs w:val="28"/>
          <w:lang w:val="uk-UA"/>
        </w:rPr>
        <w:t>electronic court, commercial procedure, justice digitalization, online document submission, cyber security.</w:t>
      </w:r>
    </w:p>
    <w:p w14:paraId="00C4A396" w14:textId="0F65AD8C" w:rsidR="003476F8" w:rsidRPr="00511005" w:rsidRDefault="007B2628" w:rsidP="003A292D">
      <w:pPr>
        <w:spacing w:line="264" w:lineRule="auto"/>
        <w:ind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383DE9" w:rsidRPr="00511005">
        <w:rPr>
          <w:rFonts w:ascii="Arial" w:eastAsia="Times New Roman" w:hAnsi="Arial" w:cs="Arial"/>
          <w:i/>
          <w:iCs/>
          <w:szCs w:val="28"/>
          <w:lang w:val="uk-UA"/>
        </w:rPr>
        <w:t xml:space="preserve">к.ю.н., </w:t>
      </w:r>
      <w:r w:rsidR="003476F8" w:rsidRPr="00511005">
        <w:rPr>
          <w:rFonts w:ascii="Arial" w:eastAsia="Times New Roman" w:hAnsi="Arial" w:cs="Arial"/>
          <w:i/>
          <w:iCs/>
          <w:szCs w:val="28"/>
          <w:lang w:val="uk-UA"/>
        </w:rPr>
        <w:t>доцент</w:t>
      </w:r>
      <w:r w:rsidRPr="00511005">
        <w:rPr>
          <w:rFonts w:ascii="Arial" w:eastAsia="Times New Roman" w:hAnsi="Arial" w:cs="Arial"/>
          <w:i/>
          <w:iCs/>
          <w:szCs w:val="28"/>
          <w:lang w:val="uk-UA"/>
        </w:rPr>
        <w:t xml:space="preserve"> </w:t>
      </w:r>
      <w:r w:rsidR="003476F8" w:rsidRPr="00511005">
        <w:rPr>
          <w:rFonts w:ascii="Arial" w:eastAsia="Times New Roman" w:hAnsi="Arial" w:cs="Arial"/>
          <w:i/>
          <w:iCs/>
          <w:szCs w:val="28"/>
          <w:lang w:val="uk-UA"/>
        </w:rPr>
        <w:t xml:space="preserve">Будурова </w:t>
      </w:r>
      <w:r w:rsidR="005E26E0">
        <w:rPr>
          <w:rFonts w:ascii="Arial" w:eastAsia="Times New Roman" w:hAnsi="Arial" w:cs="Arial"/>
          <w:i/>
          <w:iCs/>
          <w:szCs w:val="28"/>
          <w:lang w:val="uk-UA"/>
        </w:rPr>
        <w:t>Г. М.</w:t>
      </w:r>
    </w:p>
    <w:p w14:paraId="22B8C684" w14:textId="77777777" w:rsidR="00B81D8E" w:rsidRDefault="00B81D8E" w:rsidP="003A292D">
      <w:pPr>
        <w:spacing w:line="264" w:lineRule="auto"/>
        <w:ind w:firstLine="0"/>
        <w:jc w:val="left"/>
        <w:rPr>
          <w:rFonts w:ascii="Arial" w:eastAsia="Times New Roman" w:hAnsi="Arial" w:cs="Arial"/>
          <w:szCs w:val="28"/>
          <w:lang w:val="uk-UA" w:eastAsia="ru-RU"/>
        </w:rPr>
      </w:pPr>
    </w:p>
    <w:p w14:paraId="302B2A19" w14:textId="77777777" w:rsidR="00B81D8E" w:rsidRDefault="00B81D8E" w:rsidP="003A292D">
      <w:pPr>
        <w:spacing w:line="264" w:lineRule="auto"/>
        <w:ind w:firstLine="0"/>
        <w:jc w:val="left"/>
        <w:rPr>
          <w:rFonts w:ascii="Arial" w:eastAsia="Times New Roman" w:hAnsi="Arial" w:cs="Arial"/>
          <w:szCs w:val="28"/>
          <w:lang w:val="uk-UA" w:eastAsia="ru-RU"/>
        </w:rPr>
      </w:pPr>
    </w:p>
    <w:p w14:paraId="11EF8074" w14:textId="77777777" w:rsidR="003476F8" w:rsidRPr="00511005" w:rsidRDefault="003476F8" w:rsidP="003A292D">
      <w:pPr>
        <w:spacing w:line="264" w:lineRule="auto"/>
        <w:ind w:firstLine="0"/>
        <w:jc w:val="center"/>
        <w:rPr>
          <w:rFonts w:ascii="Arial" w:eastAsia="Calibri" w:hAnsi="Arial" w:cs="Arial"/>
          <w:b/>
          <w:i/>
          <w:iCs/>
          <w:szCs w:val="28"/>
          <w:lang w:val="uk-UA"/>
        </w:rPr>
      </w:pPr>
      <w:r w:rsidRPr="00511005">
        <w:rPr>
          <w:rFonts w:ascii="Arial" w:eastAsia="Calibri" w:hAnsi="Arial" w:cs="Arial"/>
          <w:b/>
          <w:i/>
          <w:iCs/>
          <w:szCs w:val="28"/>
          <w:lang w:val="uk-UA"/>
        </w:rPr>
        <w:t>Полюхович Ангеліна Василівна</w:t>
      </w:r>
    </w:p>
    <w:p w14:paraId="2C1F9B33" w14:textId="351FAEAB" w:rsidR="003476F8" w:rsidRPr="00511005" w:rsidRDefault="00B81D8E" w:rsidP="003A292D">
      <w:pPr>
        <w:spacing w:line="264" w:lineRule="auto"/>
        <w:ind w:firstLine="0"/>
        <w:jc w:val="center"/>
        <w:rPr>
          <w:rFonts w:ascii="Arial" w:eastAsia="Calibri" w:hAnsi="Arial" w:cs="Arial"/>
          <w:szCs w:val="28"/>
          <w:lang w:val="uk-UA"/>
        </w:rPr>
      </w:pPr>
      <w:r>
        <w:rPr>
          <w:rFonts w:ascii="Arial" w:eastAsia="Calibri" w:hAnsi="Arial" w:cs="Arial"/>
          <w:szCs w:val="28"/>
          <w:lang w:val="uk-UA"/>
        </w:rPr>
        <w:t>с</w:t>
      </w:r>
      <w:r w:rsidR="00536AAB" w:rsidRPr="00511005">
        <w:rPr>
          <w:rFonts w:ascii="Arial" w:eastAsia="Calibri" w:hAnsi="Arial" w:cs="Arial"/>
          <w:szCs w:val="28"/>
          <w:lang w:val="uk-UA"/>
        </w:rPr>
        <w:t xml:space="preserve">тудентка 4-го курсу </w:t>
      </w:r>
      <w:r w:rsidR="007B2628" w:rsidRPr="00511005">
        <w:rPr>
          <w:rFonts w:ascii="Arial" w:eastAsia="Calibri" w:hAnsi="Arial" w:cs="Arial"/>
          <w:szCs w:val="28"/>
          <w:lang w:val="uk-UA"/>
        </w:rPr>
        <w:t>факультету цивільної та господарської юстиції</w:t>
      </w:r>
      <w:r w:rsidR="003476F8" w:rsidRPr="00511005">
        <w:rPr>
          <w:rFonts w:ascii="Arial" w:eastAsia="Calibri" w:hAnsi="Arial" w:cs="Arial"/>
          <w:szCs w:val="28"/>
          <w:lang w:val="uk-UA"/>
        </w:rPr>
        <w:t xml:space="preserve"> </w:t>
      </w:r>
      <w:r w:rsidR="007B2628" w:rsidRPr="00511005">
        <w:rPr>
          <w:rFonts w:ascii="Arial" w:eastAsia="Calibri" w:hAnsi="Arial" w:cs="Arial"/>
          <w:szCs w:val="28"/>
          <w:lang w:val="uk-UA"/>
        </w:rPr>
        <w:t>Національного університету «Одеська юридична академія»</w:t>
      </w:r>
      <w:r w:rsidR="003476F8" w:rsidRPr="00511005">
        <w:rPr>
          <w:rFonts w:ascii="Arial" w:eastAsia="Calibri" w:hAnsi="Arial" w:cs="Arial"/>
          <w:szCs w:val="28"/>
          <w:lang w:val="uk-UA"/>
        </w:rPr>
        <w:t xml:space="preserve"> </w:t>
      </w:r>
    </w:p>
    <w:p w14:paraId="5391C66F" w14:textId="77777777" w:rsidR="003476F8" w:rsidRPr="00511005" w:rsidRDefault="003476F8" w:rsidP="003A292D">
      <w:pPr>
        <w:spacing w:line="264" w:lineRule="auto"/>
        <w:ind w:firstLine="0"/>
        <w:jc w:val="center"/>
        <w:rPr>
          <w:rFonts w:ascii="Arial" w:eastAsia="Calibri" w:hAnsi="Arial" w:cs="Arial"/>
          <w:szCs w:val="28"/>
          <w:lang w:val="uk-UA"/>
        </w:rPr>
      </w:pPr>
    </w:p>
    <w:p w14:paraId="1A767CC9"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ПРАВОВА ПРИРОДА ТА ЗМІСТ АРБІТРАЖНИХ УГОД ЯК ОСНОВИ КОМПЕТЕНЦІЇ МКАС ПРИ ТПП УКРАЇНИ</w:t>
      </w:r>
    </w:p>
    <w:p w14:paraId="4E9DEEC1"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Український бізнес дедалі активніше долучається до регіональних та міжнародних тенденцій глобальної економіки, однією з яких є звернення до комерційних арбітражів для розгляду господарських спорів. За загальним правилом, сторони конфлікту мають можливість ініціювати арбітражне провадження виключно за взаємною згодою, сформульованій в арбітражній угоді. З’ясування правової природи та змісту арбітражної угоди дозволяє глибше розуміти її роль як ключового елемента інституту міжнародного комерційного арбітражу.</w:t>
      </w:r>
    </w:p>
    <w:p w14:paraId="1BDD43BF" w14:textId="08B12123"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Дану тематику розглядали та вивчали багато вітчизняних вчених, зокрема: С. Кравцов, В. Нагнибіда, К. Цирфа, О. Бабалунга та інші. При цьому не втрачає актуальності дослідження питання значення та змісту арбітражної угоди як основи для розгляду спорів в комерційних арбітражах і, серед інших, у Міжнародному комерційному</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арбітражному суді при Торгово-промисловій палаті України. </w:t>
      </w:r>
    </w:p>
    <w:p w14:paraId="127CC3DE" w14:textId="46B6DF5B"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МКАС при ТПП України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це постійно діюча арбітражна інституція, розташована у Києві. Діяльність МКАС регулюється Законом України «Про міжнародний комерційний арбітраж» [1]. Сама процедура арбітражного розгляду, а також усі інші процесуальні аспекти визначені у Регламенті МКАС при ТПП України, враховуючи відповідні положення [2]. Варто зазначити, що саме законодавче оформлення функціонування міжнародного комерційного арбітражу в Україні демонструє обраний європейський напрямок зовнішньої політики держави. Це випливає не тільки з внутрішнього законодавства, а й з міжнародних нормативно-правових актів, ратифікованих Україною [3, с. 166]. До ключових переваг арбітражу належать: швидке та спрощене вирішення спору, оскільки арбітраж не обтяжений формальностями на всіх етапах процесу; надання сторонам можливості вибору арбітра, що гарантує компетентний розгляд справи;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lastRenderedPageBreak/>
        <w:t xml:space="preserve">конфіденційність розгляду, яка сприяє зменшенню репутаційних ризиків і збереженню комерційної таємниці. </w:t>
      </w:r>
    </w:p>
    <w:p w14:paraId="5772C814"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Спір підлягає передачі до МКАС при ТПП України лише за наявності письмової арбітражної угоди, укладеної сторонами. Згідно з ч. 1 ст. 7 Закону України «Про міжнародний комерційний арбітраж», арбітражна угода визначається як домовленість сторін щодо передачі на розгляд арбітражу всіх чи конкретних спорів, що виникли або здатні виникнути між ними внаслідок будь-яких конкретних правових відносин, незважаючи на їхню договірну природу [1]. При цьому доцільно зазначити, що МКАС має право розглядати спори, якщо один з учасників арбітражної угоди є іноземною компанією або ж українською компанією, щонайменше 10% статутного капіталу якої представлено іноземними інвестиціями.</w:t>
      </w:r>
    </w:p>
    <w:p w14:paraId="69729C74"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Існують два типи арбітражних угод за способом оформлення – арбітражне застереження та окрема арбітражна угода. Арбітражне застереження, тобто домовленість про вирішення майбутніх спірних питань в арбітражі, що вказується в основному договорі, є однією з його умов, узгодженою сторонами на етапі складання тексту договору та його підписання. Така угода є перспективною, націленою на майбутні події. Окрема арбітражна угода - це домовленість сторін про передачу в арбітраж спорів, які вже виникли, з конкретних правових взаємовідносин. Цей вид, на відміну від арбітражного застереження, має характер зворотної дії, оскільки стосується минулого - спору, який вже виник і не був залагоджений перемовинами між сторонами.</w:t>
      </w:r>
    </w:p>
    <w:p w14:paraId="6CE8EB46"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Арбітражна угода демонструє складну правову природу та не є звичайним договором. Об’єкт арбітражної угоди належить до процесуальної, а не матеріальної сфери. Предмет арбітражної угоди полягає у домовленості сторін про виключення певних правових спорів, які вже виникли або можуть виникнути між учасниками арбітражної угоди, з компетенції державних судів та передання цих спорів до комерційного арбітражу. Арбітражне застереження, відповідно до принципу відокремлення, є самостійною правовою конструкцією, а тому для нього визначаються окремі ключові умови. При цьому «принцип автономії арбітражної угоди встановлює: навіть якщо основний договір визнають недійсним, арбітражна угода залишається чинною. Подібно до цього, недійсність арбітражного застереження не впливає на дійсність самого контракту» [4, с. 607]. У арбітражній угоді сторони мають можливість обумовити право, яке регулюватиме спір. У разі відсутності такої вказівки, арбітражний суд застосовує відповідне право, керуючись колізійними нормами [5, с. 148-149].</w:t>
      </w:r>
    </w:p>
    <w:p w14:paraId="3E96D42A"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Таким чином, аби уникнути подальших суперечок стосовно визначення підвідомчості, доцільно передбачити в арбітражній угоді конкретне застереження. Це застереження має відповідати тому арбітражу, до якого сторони мають намір звернутися в майбутньому, якщо виникне така </w:t>
      </w:r>
      <w:r w:rsidRPr="00511005">
        <w:rPr>
          <w:rFonts w:ascii="Arial" w:eastAsia="Calibri" w:hAnsi="Arial" w:cs="Arial"/>
          <w:szCs w:val="28"/>
          <w:lang w:val="uk-UA"/>
        </w:rPr>
        <w:lastRenderedPageBreak/>
        <w:t>потреба. Немає сумніву, що основне призначення арбітражної угоди полягає в наданні міжнародному комерційному арбітражу права вирішувати приватний спір з іноземним елементом. Разом з цим, вона унеможливлює розгляд цього спору у відповідному державному суді.</w:t>
      </w:r>
    </w:p>
    <w:p w14:paraId="3B56334A"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даному контексті слід зазначити, що визначення правопорядку, на підставі якого укладено арбітражну угоду, здатне впливати як на забезпечення прав сторони, чиї права були порушені, так і на передбачуваність зовнішньоекономічної діяльності, що має велике значення. Додатковою особливістю є те, що арбітражна угода, відповідно до якої міжнародний комерційний арбітраж уповноважений розглядати справу по суті, виключає спори, що виникли з питань тлумачення та виконання договору, з компетенції національних судів загальної та спеціальної юрисдикції, а отже, й з-під контролю національного складу суддів, які можуть впливати на розгляд спору на користь певного суб’єкта, що значно збільшує ймовірність об’єктивного вирішення спору на користь потерпілої сторони [6, с. 6]. Через це зміст арбітражної угоди має включати умови, що стосуються різних питань вирішення спорів комерційним арбітражем. Чітке юридичне викладення умов арбітражної угоди дає можливість встановити наявність згоди сторін на розгляд спору у Міжнародному комерційному арбітражі при ТПП України, запобігти оскарженню компетенції арбітражу та вже згодом уникнути складнощів при виконанні арбітражного рішення.</w:t>
      </w:r>
    </w:p>
    <w:p w14:paraId="74FA642A" w14:textId="49D91E76"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Отже, арбітражна угода – це взаємна згода сторін про передачу вже наявної або такої, що може виникнути у майбутньому, суперечки до міжнародного комерційного арбітражу. Характерною рисою арбітражної угоди,як основи компетенції МКАС при ТПП України, є її незалежність від основного договору, до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якого вона може бути включена. Автономність арбітражної угоди – це правовий принцип, за яким арбітражне застереження розглядається як окрема незалежна угода, що допомагає визначати компетентність МКАС при ТПП України для розгляду спорів. </w:t>
      </w:r>
    </w:p>
    <w:p w14:paraId="44E187A2" w14:textId="77777777" w:rsidR="003476F8" w:rsidRPr="00511005" w:rsidRDefault="003476F8" w:rsidP="003A292D">
      <w:pPr>
        <w:spacing w:line="264" w:lineRule="auto"/>
        <w:ind w:firstLine="0"/>
        <w:rPr>
          <w:rFonts w:ascii="Arial" w:eastAsia="Calibri" w:hAnsi="Arial" w:cs="Arial"/>
          <w:szCs w:val="28"/>
          <w:lang w:val="uk-UA"/>
        </w:rPr>
      </w:pPr>
    </w:p>
    <w:p w14:paraId="1B1D2CBE" w14:textId="03EAD91B" w:rsidR="003476F8"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494A3529" w14:textId="77777777" w:rsidR="003476F8" w:rsidRPr="00511005" w:rsidRDefault="003476F8" w:rsidP="003F6A5D">
      <w:pPr>
        <w:numPr>
          <w:ilvl w:val="0"/>
          <w:numId w:val="41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Про міжнародний комерційний арбітраж: Закон України від 24.02.1994, №4002-XII. </w:t>
      </w:r>
      <w:r w:rsidRPr="00511005">
        <w:rPr>
          <w:rFonts w:ascii="Arial" w:eastAsia="Calibri" w:hAnsi="Arial" w:cs="Arial"/>
          <w:i/>
          <w:szCs w:val="28"/>
          <w:lang w:val="uk-UA"/>
        </w:rPr>
        <w:t>Відомості Верховної Ради України.</w:t>
      </w:r>
      <w:r w:rsidRPr="00511005">
        <w:rPr>
          <w:rFonts w:ascii="Arial" w:eastAsia="Calibri" w:hAnsi="Arial" w:cs="Arial"/>
          <w:szCs w:val="28"/>
          <w:lang w:val="uk-UA"/>
        </w:rPr>
        <w:t xml:space="preserve"> URL: </w:t>
      </w:r>
      <w:hyperlink r:id="rId1605" w:anchor="Text" w:history="1">
        <w:r w:rsidRPr="00511005">
          <w:rPr>
            <w:rFonts w:ascii="Arial" w:eastAsia="Calibri" w:hAnsi="Arial" w:cs="Arial"/>
            <w:szCs w:val="28"/>
            <w:lang w:val="uk-UA"/>
          </w:rPr>
          <w:t>https://zakon.rada.gov.ua/laws/show/4002-12#Text</w:t>
        </w:r>
      </w:hyperlink>
      <w:r w:rsidRPr="00511005">
        <w:rPr>
          <w:rFonts w:ascii="Arial" w:eastAsia="Calibri" w:hAnsi="Arial" w:cs="Arial"/>
          <w:szCs w:val="28"/>
          <w:lang w:val="uk-UA"/>
        </w:rPr>
        <w:t xml:space="preserve"> (дата звернення: 24.04.2025).</w:t>
      </w:r>
    </w:p>
    <w:p w14:paraId="3EE65251" w14:textId="77777777" w:rsidR="003476F8" w:rsidRPr="00511005" w:rsidRDefault="003476F8" w:rsidP="003F6A5D">
      <w:pPr>
        <w:numPr>
          <w:ilvl w:val="0"/>
          <w:numId w:val="41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Регламент Міжнародного комерційного арбітражного суду при Торгово-промисловій палаті України: Регламент від 27.07.2017, №v0025571-17. URL: </w:t>
      </w:r>
      <w:hyperlink r:id="rId1606" w:anchor="Text" w:history="1">
        <w:r w:rsidRPr="00511005">
          <w:rPr>
            <w:rFonts w:ascii="Arial" w:eastAsia="Calibri" w:hAnsi="Arial" w:cs="Arial"/>
            <w:szCs w:val="28"/>
            <w:lang w:val="uk-UA"/>
          </w:rPr>
          <w:t>https://zakon.rada.gov.ua/rada/show/v0025571-17#Text</w:t>
        </w:r>
      </w:hyperlink>
      <w:r w:rsidRPr="00511005">
        <w:rPr>
          <w:rFonts w:ascii="Arial" w:eastAsia="Calibri" w:hAnsi="Arial" w:cs="Arial"/>
          <w:szCs w:val="28"/>
          <w:lang w:val="uk-UA"/>
        </w:rPr>
        <w:t xml:space="preserve"> (дата звернення: 24.04.2025).</w:t>
      </w:r>
    </w:p>
    <w:p w14:paraId="24F0C0E6" w14:textId="77777777" w:rsidR="003476F8" w:rsidRPr="00511005" w:rsidRDefault="003476F8" w:rsidP="003F6A5D">
      <w:pPr>
        <w:numPr>
          <w:ilvl w:val="0"/>
          <w:numId w:val="41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Кравцов С. О. Місце арбітражу: проблемні питання теорії та практики. </w:t>
      </w:r>
      <w:r w:rsidRPr="00511005">
        <w:rPr>
          <w:rFonts w:ascii="Arial" w:eastAsia="Calibri" w:hAnsi="Arial" w:cs="Arial"/>
          <w:i/>
          <w:szCs w:val="28"/>
          <w:lang w:val="uk-UA"/>
        </w:rPr>
        <w:t>Електронне наукове видання «Аналітично-порівняльне правознавство».</w:t>
      </w:r>
      <w:r w:rsidRPr="00511005">
        <w:rPr>
          <w:rFonts w:ascii="Arial" w:eastAsia="Calibri" w:hAnsi="Arial" w:cs="Arial"/>
          <w:szCs w:val="28"/>
          <w:lang w:val="uk-UA"/>
        </w:rPr>
        <w:t xml:space="preserve"> 2023. №27. С. 157-170. </w:t>
      </w:r>
    </w:p>
    <w:p w14:paraId="4324F85E" w14:textId="77777777" w:rsidR="003476F8" w:rsidRPr="00511005" w:rsidRDefault="003476F8" w:rsidP="003F6A5D">
      <w:pPr>
        <w:numPr>
          <w:ilvl w:val="0"/>
          <w:numId w:val="41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lastRenderedPageBreak/>
        <w:t>Бабалунга О. М. Принцип «компетенція компетенції» в теорії та практиці міжнародного комерційного арбітражу. Приватне право в умовах війни: матеріали всеукр. наук. конф. (Одеса, 15 листоп. 2022 р.). НУ «Одеська юридична академія. Одеса, 2022. С. 606-609.</w:t>
      </w:r>
    </w:p>
    <w:p w14:paraId="7C590C8E" w14:textId="77777777" w:rsidR="003476F8" w:rsidRPr="00511005" w:rsidRDefault="003476F8" w:rsidP="003F6A5D">
      <w:pPr>
        <w:numPr>
          <w:ilvl w:val="0"/>
          <w:numId w:val="41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Нагнибіда В. І. Механізм правозастосування при вирішенні спорів у міжнародному комерційному арбітражі: </w:t>
      </w:r>
      <w:r w:rsidRPr="00511005">
        <w:rPr>
          <w:rFonts w:ascii="Arial" w:eastAsia="Calibri" w:hAnsi="Arial" w:cs="Arial"/>
          <w:i/>
          <w:szCs w:val="28"/>
          <w:lang w:val="uk-UA"/>
        </w:rPr>
        <w:t>монографія</w:t>
      </w:r>
      <w:r w:rsidRPr="00511005">
        <w:rPr>
          <w:rFonts w:ascii="Arial" w:eastAsia="Calibri" w:hAnsi="Arial" w:cs="Arial"/>
          <w:szCs w:val="28"/>
          <w:lang w:val="uk-UA"/>
        </w:rPr>
        <w:t>. К., 2020. 492 с.</w:t>
      </w:r>
    </w:p>
    <w:p w14:paraId="7F439EB1" w14:textId="77777777" w:rsidR="003476F8" w:rsidRPr="00511005" w:rsidRDefault="003476F8" w:rsidP="003F6A5D">
      <w:pPr>
        <w:numPr>
          <w:ilvl w:val="0"/>
          <w:numId w:val="41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Цирфа К. А. Правова природа арбітражної угоди як інституту міжнародного комерційного арбітражу. </w:t>
      </w:r>
      <w:r w:rsidRPr="00511005">
        <w:rPr>
          <w:rFonts w:ascii="Arial" w:eastAsia="Calibri" w:hAnsi="Arial" w:cs="Arial"/>
          <w:i/>
          <w:szCs w:val="28"/>
          <w:lang w:val="uk-UA"/>
        </w:rPr>
        <w:t>Науковий вісник Херсонського державного університету. Серія «Юридичні науки».</w:t>
      </w:r>
      <w:r w:rsidRPr="00511005">
        <w:rPr>
          <w:rFonts w:ascii="Arial" w:eastAsia="Calibri" w:hAnsi="Arial" w:cs="Arial"/>
          <w:szCs w:val="28"/>
          <w:lang w:val="uk-UA"/>
        </w:rPr>
        <w:t xml:space="preserve"> 2023. №6. С. 5-8.</w:t>
      </w:r>
    </w:p>
    <w:p w14:paraId="602BD6EC" w14:textId="77777777" w:rsidR="003476F8" w:rsidRPr="00511005" w:rsidRDefault="003476F8" w:rsidP="003A292D">
      <w:pPr>
        <w:spacing w:line="264" w:lineRule="auto"/>
        <w:ind w:firstLine="0"/>
        <w:contextualSpacing/>
        <w:rPr>
          <w:rFonts w:ascii="Arial" w:eastAsia="Calibri" w:hAnsi="Arial" w:cs="Arial"/>
          <w:szCs w:val="28"/>
          <w:lang w:val="uk-UA"/>
        </w:rPr>
      </w:pPr>
    </w:p>
    <w:p w14:paraId="0CE107DC" w14:textId="7674610C" w:rsidR="003476F8" w:rsidRPr="00511005" w:rsidRDefault="003476F8" w:rsidP="003A292D">
      <w:pPr>
        <w:spacing w:line="264" w:lineRule="auto"/>
        <w:ind w:firstLine="0"/>
        <w:rPr>
          <w:rFonts w:ascii="Arial" w:eastAsia="Calibri" w:hAnsi="Arial" w:cs="Arial"/>
          <w:i/>
          <w:szCs w:val="28"/>
          <w:lang w:val="uk-UA"/>
        </w:rPr>
      </w:pPr>
      <w:r w:rsidRPr="009C3A24">
        <w:rPr>
          <w:rFonts w:ascii="Arial" w:eastAsia="Calibri" w:hAnsi="Arial" w:cs="Arial"/>
          <w:b/>
          <w:i/>
          <w:iCs/>
          <w:szCs w:val="28"/>
          <w:lang w:val="uk-UA"/>
        </w:rPr>
        <w:t>Ключові слова:</w:t>
      </w:r>
      <w:r w:rsidR="009C3A24">
        <w:rPr>
          <w:rFonts w:ascii="Arial" w:eastAsia="Calibri" w:hAnsi="Arial" w:cs="Arial"/>
          <w:b/>
          <w:szCs w:val="28"/>
          <w:lang w:val="uk-UA"/>
        </w:rPr>
        <w:t xml:space="preserve"> </w:t>
      </w:r>
      <w:r w:rsidRPr="00511005">
        <w:rPr>
          <w:rFonts w:ascii="Arial" w:eastAsia="Calibri" w:hAnsi="Arial" w:cs="Arial"/>
          <w:szCs w:val="28"/>
          <w:lang w:val="uk-UA"/>
        </w:rPr>
        <w:t>Міжнародний комерційний арбітраж, процес, колізійні норми, вибір права, арбітражна угода, арбітражне рішення.</w:t>
      </w:r>
    </w:p>
    <w:p w14:paraId="2FF73A85" w14:textId="558550AA" w:rsidR="003476F8" w:rsidRPr="00511005" w:rsidRDefault="003476F8" w:rsidP="003A292D">
      <w:pPr>
        <w:spacing w:line="264" w:lineRule="auto"/>
        <w:ind w:firstLine="0"/>
        <w:rPr>
          <w:rFonts w:ascii="Arial" w:eastAsia="Calibri" w:hAnsi="Arial" w:cs="Arial"/>
          <w:szCs w:val="28"/>
          <w:lang w:val="uk-UA"/>
        </w:rPr>
      </w:pPr>
      <w:r w:rsidRPr="009C3A24">
        <w:rPr>
          <w:rFonts w:ascii="Arial" w:eastAsia="Calibri" w:hAnsi="Arial" w:cs="Arial"/>
          <w:b/>
          <w:i/>
          <w:iCs/>
          <w:szCs w:val="28"/>
          <w:lang w:val="uk-UA"/>
        </w:rPr>
        <w:t>Key</w:t>
      </w:r>
      <w:r w:rsidR="009C3A24" w:rsidRPr="009C3A24">
        <w:rPr>
          <w:rFonts w:ascii="Arial" w:eastAsia="Calibri" w:hAnsi="Arial" w:cs="Arial"/>
          <w:b/>
          <w:i/>
          <w:iCs/>
          <w:szCs w:val="28"/>
          <w:lang w:val="uk-UA"/>
        </w:rPr>
        <w:t xml:space="preserve"> </w:t>
      </w:r>
      <w:r w:rsidRPr="009C3A24">
        <w:rPr>
          <w:rFonts w:ascii="Arial" w:eastAsia="Calibri" w:hAnsi="Arial" w:cs="Arial"/>
          <w:b/>
          <w:i/>
          <w:iCs/>
          <w:szCs w:val="28"/>
          <w:lang w:val="uk-UA"/>
        </w:rPr>
        <w:t>words:</w:t>
      </w:r>
      <w:r w:rsidR="009C3A24">
        <w:rPr>
          <w:rFonts w:ascii="Arial" w:eastAsia="Calibri" w:hAnsi="Arial" w:cs="Arial"/>
          <w:b/>
          <w:szCs w:val="28"/>
          <w:lang w:val="uk-UA"/>
        </w:rPr>
        <w:t xml:space="preserve"> </w:t>
      </w:r>
      <w:r w:rsidRPr="00511005">
        <w:rPr>
          <w:rFonts w:ascii="Arial" w:eastAsia="Calibri" w:hAnsi="Arial" w:cs="Arial"/>
          <w:szCs w:val="28"/>
          <w:lang w:val="uk-UA"/>
        </w:rPr>
        <w:t>International commercial arbitration, process, conflict of laws rules, choice of law, arbitration agreement, arbitration award.</w:t>
      </w:r>
    </w:p>
    <w:p w14:paraId="3A8CD19D" w14:textId="100EE9E2" w:rsidR="003476F8" w:rsidRPr="00511005" w:rsidRDefault="00C76181"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3476F8" w:rsidRPr="00511005">
        <w:rPr>
          <w:rFonts w:ascii="Arial" w:eastAsia="Calibri" w:hAnsi="Arial" w:cs="Arial"/>
          <w:i/>
          <w:szCs w:val="28"/>
          <w:lang w:val="uk-UA"/>
        </w:rPr>
        <w:t>доц</w:t>
      </w:r>
      <w:r w:rsidR="00B81D8E">
        <w:rPr>
          <w:rFonts w:ascii="Arial" w:eastAsia="Calibri" w:hAnsi="Arial" w:cs="Arial"/>
          <w:i/>
          <w:szCs w:val="28"/>
          <w:lang w:val="uk-UA"/>
        </w:rPr>
        <w:t>ент</w:t>
      </w:r>
      <w:r w:rsidR="003476F8" w:rsidRPr="00511005">
        <w:rPr>
          <w:rFonts w:ascii="Arial" w:eastAsia="Calibri" w:hAnsi="Arial" w:cs="Arial"/>
          <w:i/>
          <w:szCs w:val="28"/>
          <w:lang w:val="uk-UA"/>
        </w:rPr>
        <w:t>, к.ю.н. Будурова Г.М.</w:t>
      </w:r>
    </w:p>
    <w:p w14:paraId="1A7436A9" w14:textId="77777777" w:rsidR="00B81D8E" w:rsidRDefault="00B81D8E" w:rsidP="003A292D">
      <w:pPr>
        <w:spacing w:line="264" w:lineRule="auto"/>
        <w:ind w:firstLine="0"/>
        <w:jc w:val="center"/>
        <w:rPr>
          <w:rFonts w:ascii="Arial" w:eastAsia="Calibri" w:hAnsi="Arial" w:cs="Arial"/>
          <w:i/>
          <w:szCs w:val="28"/>
          <w:lang w:val="uk-UA"/>
        </w:rPr>
      </w:pPr>
    </w:p>
    <w:p w14:paraId="7B126D3F" w14:textId="77777777" w:rsidR="00B81D8E" w:rsidRDefault="00B81D8E" w:rsidP="003A292D">
      <w:pPr>
        <w:spacing w:line="264" w:lineRule="auto"/>
        <w:ind w:firstLine="0"/>
        <w:jc w:val="center"/>
        <w:rPr>
          <w:rFonts w:ascii="Arial" w:eastAsia="Calibri" w:hAnsi="Arial" w:cs="Arial"/>
          <w:i/>
          <w:szCs w:val="28"/>
          <w:lang w:val="uk-UA"/>
        </w:rPr>
      </w:pPr>
    </w:p>
    <w:p w14:paraId="475250F2" w14:textId="0CF5F902" w:rsidR="003476F8" w:rsidRPr="00511005" w:rsidRDefault="003476F8"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Приєзжева Ольга Олександрівна</w:t>
      </w:r>
    </w:p>
    <w:p w14:paraId="3C590744" w14:textId="3627282F" w:rsidR="003476F8" w:rsidRPr="00511005" w:rsidRDefault="003476F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4-го курсу</w:t>
      </w:r>
      <w:r w:rsidR="00B81D8E">
        <w:rPr>
          <w:rFonts w:ascii="Arial" w:eastAsia="Calibri" w:hAnsi="Arial" w:cs="Arial"/>
          <w:szCs w:val="28"/>
          <w:lang w:val="uk-UA"/>
        </w:rPr>
        <w:t xml:space="preserve"> </w:t>
      </w:r>
      <w:r w:rsidRPr="00511005">
        <w:rPr>
          <w:rFonts w:ascii="Arial" w:eastAsia="Calibri" w:hAnsi="Arial" w:cs="Arial"/>
          <w:szCs w:val="28"/>
          <w:lang w:val="uk-UA"/>
        </w:rPr>
        <w:t>факультету цивільної та господарської юстиції</w:t>
      </w:r>
    </w:p>
    <w:p w14:paraId="3E78994A" w14:textId="27788DF8" w:rsidR="003476F8"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39D80B4" w14:textId="77777777" w:rsidR="003476F8" w:rsidRPr="00511005" w:rsidRDefault="003476F8" w:rsidP="003A292D">
      <w:pPr>
        <w:spacing w:line="264" w:lineRule="auto"/>
        <w:ind w:firstLine="0"/>
        <w:jc w:val="center"/>
        <w:rPr>
          <w:rFonts w:ascii="Arial" w:eastAsia="Calibri" w:hAnsi="Arial" w:cs="Arial"/>
          <w:b/>
          <w:bCs/>
          <w:szCs w:val="28"/>
          <w:lang w:val="uk-UA"/>
        </w:rPr>
      </w:pPr>
    </w:p>
    <w:p w14:paraId="3C5F448B" w14:textId="77777777" w:rsidR="003476F8" w:rsidRPr="00511005" w:rsidRDefault="003476F8"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НАСЛІДКИ НЕВИКОНАННЯ МИРОВОЇ УГОДИ В ГОСПОДАРСЬКОМУ ПРОЦЕСІ</w:t>
      </w:r>
    </w:p>
    <w:p w14:paraId="2DD56974"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господарському процесі мирова угода є важливим інститутом, спрямованим на врегулювання спору між сторонами без необхідності повного судового розгляду справи по суті. Хоча Господарський процесуальний кодекс України безпосередньо не містить нормативного визначення мирової угоди, її суть розкривається через мету та сферу застосування, як зазначено у статті 192. Мирова угода являє собою письмову домовленість сторін щодо предмета судового спору, що укладається сторонами з метою врегулювання спору на підставі взаємних поступок і стосується виключно їхніх прав та обов'язків. [1] </w:t>
      </w:r>
    </w:p>
    <w:p w14:paraId="6F3B62A0"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Перед тим як затвердити мирову угоду, господарський суд проводить ретельну перевірку її умов. Суд зобов'язаний переконатися, що умови мирової угоди не суперечать закону, не порушують прав чи охоронюваних законом інтересів інших осіб, та є виконуваними. У випадку, якщо суд виявляє невідповідність мирової угоди зазначеним вимогам, він постановляє ухвалу про відмову у її затвердженні та продовжує судовий розгляд справи. Якщо ж умови мирової угоди відповідають вимогам законодавства, суд постановляє ухвалу про її затвердження. Після затвердження господарським судом, мирова угода набуває значної юридичної сили та стає обов'язковою для виконання сторонами. Ухвала </w:t>
      </w:r>
      <w:r w:rsidRPr="00511005">
        <w:rPr>
          <w:rFonts w:ascii="Arial" w:eastAsia="Calibri" w:hAnsi="Arial" w:cs="Arial"/>
          <w:szCs w:val="28"/>
          <w:lang w:val="uk-UA"/>
        </w:rPr>
        <w:lastRenderedPageBreak/>
        <w:t xml:space="preserve">суду про затвердження мирової угоди має силу судового рішення, отже у разі невиконання умов мирової угоди однією зі сторін, інша сторона має право використовувати механізми примусового виконання, передбачені законодавством для виконання судових рішень. Основний наслідок полягає в тому, що ухвала суду про затвердження мирової угоди може бути подана для її примусового виконання в порядку, встановленому законодавством для виконання судових рішень. У цьому випадку ухвала суду набуває сили документа, на підставі якого інша сторона може ініціювати процедуру примусового стягнення. Механізми примусового виконання мирової угоди аналогічні тим, що застосовуються до всіх судових рішень господарських судів. Крім того, сторона, яка постраждала від невиконання мирової угоди, може мати право на стягнення збитків, завданих таким невиконанням. </w:t>
      </w:r>
    </w:p>
    <w:p w14:paraId="54438C02"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Отже, звернення до органів державної виконавчої служби є одним з механізмів примусового виконання затвердженої господарським судом мирової угоди. Кандидат юридичних наук І.П. Іванов у статті "Особливості виконання мирових угод у господарському судочинстві" підкреслює: "Звернення до органів державної виконавчої служби є легітимним та ефективним способом забезпечення примусового виконання мирової угоди, затвердженої господарським судом. Діяльність державного виконавця спрямована на реальне виконання зобов'язань, визначених у рішенні господарського суду - наказі, шляхом застосування передбачених законом заходів примусу." [2] Сторона, на користь якої укладено мирову угоду, у випадку її невиконання іншою стороною, має право подати до державної виконавчої служби ухвалу суду про затвердження мирової угоди для примусового виконання. На підставі ухвали господарського суду про затвердження мирової угоди стягувач подає її разом із заявою про примусове виконання до відповідного органу ДВС за місцем проживання (перебування) боржника - фізичної особи, за місцезнаходженням боржника - юридичної особи або за місцезнаходженням майна боржника. Державний виконавець протягом трьох робочих днів з дня надходження ухвали суду виносить постанову про відкриття виконавчого провадження, про що повідомляються сторони. Після відкриття виконавчого провадження державний виконавець вживає заходів, передбачених статтею 10 Закону України "Про виконавче провадження" [3], зокрема:</w:t>
      </w:r>
    </w:p>
    <w:p w14:paraId="3E5F1A8B" w14:textId="77777777" w:rsidR="003476F8" w:rsidRPr="00511005" w:rsidRDefault="003476F8" w:rsidP="003F6A5D">
      <w:pPr>
        <w:numPr>
          <w:ilvl w:val="0"/>
          <w:numId w:val="420"/>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накладає арешт на майно боржника (державний виконавець виносить постанову про арешт майна боржника, складає акт опису майна, в якому зазначає його перелік, характеристики та орієнтовну вартість. За потреби, державний виконавець може обмежити право користування майном, опечатати його або вилучити у боржника та передати на зберігання іншій особі, про що виноситься відповідна постанова або зазначається обмеження у постанові про арешт. Арешт на нерухоме майно накладається шляхом внесення відомостей про </w:t>
      </w:r>
      <w:r w:rsidRPr="00511005">
        <w:rPr>
          <w:rFonts w:ascii="Arial" w:eastAsia="Calibri" w:hAnsi="Arial" w:cs="Arial"/>
          <w:szCs w:val="28"/>
          <w:lang w:val="uk-UA"/>
        </w:rPr>
        <w:lastRenderedPageBreak/>
        <w:t>обтяження до відповідних державних реєстрів – державний виконавець направляє до органу реєстрації прав на нерухоме майно постанову про арешт, на підставі якої вноситься запис про обтяження);</w:t>
      </w:r>
    </w:p>
    <w:p w14:paraId="618A1CF6" w14:textId="0DE3BBB5" w:rsidR="003476F8" w:rsidRPr="00511005" w:rsidRDefault="003476F8" w:rsidP="003F6A5D">
      <w:pPr>
        <w:numPr>
          <w:ilvl w:val="0"/>
          <w:numId w:val="420"/>
        </w:numPr>
        <w:spacing w:line="264" w:lineRule="auto"/>
        <w:jc w:val="left"/>
        <w:rPr>
          <w:rFonts w:ascii="Arial" w:eastAsia="Calibri" w:hAnsi="Arial" w:cs="Arial"/>
          <w:szCs w:val="28"/>
          <w:lang w:val="uk-UA"/>
        </w:rPr>
      </w:pPr>
      <w:r w:rsidRPr="00511005">
        <w:rPr>
          <w:rFonts w:ascii="Arial" w:eastAsia="Calibri" w:hAnsi="Arial" w:cs="Arial"/>
          <w:szCs w:val="28"/>
          <w:lang w:val="uk-UA"/>
        </w:rPr>
        <w:t>звертає стягнення на кошти (накладається шляхом направлення до банківської установи постанови державного виконавця про арешт коштів. Банк, отримавши таку постанову, блокує відповідну суму коштів на рахунку боржника) та інше майно боржника; ·</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звертається до суду з поданням про встановлення тимчасового обмеження у праві виїзду боржника за межі України;</w:t>
      </w:r>
    </w:p>
    <w:p w14:paraId="0A85FABD" w14:textId="26D71E60" w:rsidR="003476F8" w:rsidRPr="00511005" w:rsidRDefault="003476F8" w:rsidP="003F6A5D">
      <w:pPr>
        <w:numPr>
          <w:ilvl w:val="0"/>
          <w:numId w:val="420"/>
        </w:numPr>
        <w:spacing w:line="264" w:lineRule="auto"/>
        <w:jc w:val="left"/>
        <w:rPr>
          <w:rFonts w:ascii="Arial" w:eastAsia="Calibri" w:hAnsi="Arial" w:cs="Arial"/>
          <w:szCs w:val="28"/>
          <w:lang w:val="uk-UA"/>
        </w:rPr>
      </w:pPr>
      <w:r w:rsidRPr="00511005">
        <w:rPr>
          <w:rFonts w:ascii="Arial" w:eastAsia="Calibri" w:hAnsi="Arial" w:cs="Arial"/>
          <w:szCs w:val="28"/>
          <w:lang w:val="uk-UA"/>
        </w:rPr>
        <w:t>вживає інших заходів, передбачених законодавством (наприклад, звернення стягнення на доходи боржника).</w:t>
      </w:r>
      <w:r w:rsidR="007B2628" w:rsidRPr="00511005">
        <w:rPr>
          <w:rFonts w:ascii="Arial" w:eastAsia="Calibri" w:hAnsi="Arial" w:cs="Arial"/>
          <w:szCs w:val="28"/>
          <w:lang w:val="uk-UA"/>
        </w:rPr>
        <w:t xml:space="preserve"> </w:t>
      </w:r>
    </w:p>
    <w:p w14:paraId="50F0D151"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Судова практика господарських судів України також підтверджує, що ухвали про затвердження мирових угод підлягають примусовому виконанню у разі їх невиконання. Так, у постанові Касаційного господарського суду у складі Верховного Суду від 09.08.2023 у справі № 914/1789/19 було підтримано рішення судів нижчих інстанцій, які визнали неправомірною відмову державного виконавця у відкритті виконавчого провадження на підставі ухвали про затвердження мирової угоди, оскільки ця ухвала містила всі необхідні реквізити для її примусового виконання. [4] Також існує можливість укладення мирової угоди на стадії вже відкритого виконавчого провадження. У такому випадку, досягнута домовленість також підлягає затвердженню господарським судом, який видав наказ. </w:t>
      </w:r>
    </w:p>
    <w:p w14:paraId="419AF428"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Інший механізм полягає у стягненні збитків, завданих невиконанням затвердженої господарським судом мирової угоди. У випадку невиконання однією зі сторін умов мирової угоди, затвердженої господарським судом, інша сторона, яка зазнала збитків внаслідок такого невиконання, має право вимагати їх відшкодування. Сторона, яка постраждала, повинна довести факт невиконання іншою стороною умов мирової угоди. Це може бути підтверджено відповідними документами, листуванням, актами, а саме документально підтвердженими витратами, втраченим доходом, вартістю пошкодженого майна тощо. Доказами можуть слугувати договори, рахунки-фактури, акти виконаних робіт, експертні висновки та інші релевантні документи. Постраждала сторона може спочатку звернутися до сторони, яка порушила мирову угоду, з письмовою вимогою про добровільне відшкодування завданих збитків. Якщо вимога про добровільне відшкодування збитків залишається без задоволення, постраждала сторона має право звернутися до господарського суду з позовною заявою про стягнення збитків, завданих невиконанням мирової угоди. Суд розглядає подані докази, встановлює факт невиконання мирової угоди, наявність та розмір завданих збитків, а також причинно-наслідковий зв'язок між невиконанням та завданими збитками. У разі задоволення позову, суд </w:t>
      </w:r>
      <w:r w:rsidRPr="00511005">
        <w:rPr>
          <w:rFonts w:ascii="Arial" w:eastAsia="Calibri" w:hAnsi="Arial" w:cs="Arial"/>
          <w:szCs w:val="28"/>
          <w:lang w:val="uk-UA"/>
        </w:rPr>
        <w:lastRenderedPageBreak/>
        <w:t xml:space="preserve">ухвалює рішення про стягнення з винної сторони на користь постраждалої сторони суми завданих збитків. Якщо боржник добровільно не виконує рішення суду про стягнення збитків, постраждала сторона може звернутися до органів державної виконавчої служби для примусового виконання цього рішення. </w:t>
      </w:r>
    </w:p>
    <w:p w14:paraId="7095734D"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Наслідки невиконання затвердженої судом мирової угоди та невиконання судового рішення, прийнятого за результатами розгляду справи по суті, є багато в чому схожими, однак існують і певні відмінності. Існує кілька критеріїв для порівняння наслідків невиконання мирової угоди та судового рішення, прийнятого по суті. Щодо механізму примусового виконання, у випадку невиконання мирової угоди до державної виконавчої служби подається ухвала про її затвердження, тоді як при невиконанні судового рішення подається наказ господарського суду. Юридичною основою для виконання мирової угоди є ухвала господарського суду про її затвердження, а для судового рішення – саме судове рішення, що набрало законної сили, на підставі якого видається наказ господарського суду. Можливість подальшого оскарження по суті у випадку невиконання мирової угоди, як правило, виключається, а для судового рішення залежить від стадії та підстав для оскарження. Підставою виникнення зобов'язання у мировій угоді є добровільна домовленість сторін, затверджена судом, а в судовому рішенні – рішення суду, прийняте на основі встановлених фактів та застосування норм права. Нарешті, можливість внесення змін через нове судове рішення є обмеженою для мирової угоди, тоді як для судового рішення, прийнятого по суті, як правило, не допускається в межах того ж провадження. Прикладом останнього може слугувати судова практика. У постанові Касаційного господарського суду від 15.01.2024 у справі № 908/1276/21 було скасовано постанову апеляційного господарського суду, яким фактично було змінено умови раніше затвердженої мирової угоди. Суд касаційної інстанції наголосив на тому, що виконання мирової угоди здійснюється в порядку і строки, передбачені цією угодою, а ухвала про її затвердження є документом, який у разі невиконання може бути подано для примусового виконання. [5]</w:t>
      </w:r>
    </w:p>
    <w:p w14:paraId="307549D5" w14:textId="77777777" w:rsidR="003476F8" w:rsidRPr="00511005" w:rsidRDefault="003476F8" w:rsidP="003A292D">
      <w:pPr>
        <w:spacing w:line="264" w:lineRule="auto"/>
        <w:ind w:firstLine="0"/>
        <w:rPr>
          <w:rFonts w:ascii="Arial" w:eastAsia="Calibri" w:hAnsi="Arial" w:cs="Arial"/>
          <w:szCs w:val="28"/>
          <w:lang w:val="uk-UA"/>
        </w:rPr>
      </w:pPr>
    </w:p>
    <w:p w14:paraId="1E9E49C5" w14:textId="4694038C" w:rsidR="003476F8" w:rsidRPr="00511005" w:rsidRDefault="007B2628" w:rsidP="007B2628">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Список використаних джерел</w:t>
      </w:r>
    </w:p>
    <w:p w14:paraId="3980D8CB" w14:textId="77777777" w:rsidR="003476F8" w:rsidRPr="00511005" w:rsidRDefault="003476F8" w:rsidP="003F6A5D">
      <w:pPr>
        <w:numPr>
          <w:ilvl w:val="0"/>
          <w:numId w:val="419"/>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Господарський процесуальний кодекс України [Електронний ресурс] : Закон України від 06.11.1991 № 1798-XII. – URL: </w:t>
      </w:r>
      <w:hyperlink r:id="rId1607" w:tgtFrame="_blank" w:history="1">
        <w:r w:rsidRPr="00511005">
          <w:rPr>
            <w:rFonts w:ascii="Arial" w:eastAsia="Calibri" w:hAnsi="Arial" w:cs="Arial"/>
            <w:szCs w:val="28"/>
            <w:lang w:val="uk-UA"/>
          </w:rPr>
          <w:t>https://zakon.rada.gov.ua/laws/show/1798-12</w:t>
        </w:r>
      </w:hyperlink>
      <w:r w:rsidRPr="00511005">
        <w:rPr>
          <w:rFonts w:ascii="Arial" w:eastAsia="Calibri" w:hAnsi="Arial" w:cs="Arial"/>
          <w:szCs w:val="28"/>
          <w:lang w:val="uk-UA"/>
        </w:rPr>
        <w:t xml:space="preserve"> (дата звернення: 16.04.2025).</w:t>
      </w:r>
    </w:p>
    <w:p w14:paraId="1F09AF80" w14:textId="77777777" w:rsidR="003476F8" w:rsidRPr="00511005" w:rsidRDefault="003476F8" w:rsidP="003F6A5D">
      <w:pPr>
        <w:numPr>
          <w:ilvl w:val="0"/>
          <w:numId w:val="419"/>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Іванов І. П. Особливості виконання мирових угод у господарському судочинстві. </w:t>
      </w:r>
      <w:r w:rsidRPr="00511005">
        <w:rPr>
          <w:rFonts w:ascii="Arial" w:eastAsia="Calibri" w:hAnsi="Arial" w:cs="Arial"/>
          <w:i/>
          <w:iCs/>
          <w:szCs w:val="28"/>
          <w:lang w:val="uk-UA"/>
        </w:rPr>
        <w:t>Вісник господарського судочинства</w:t>
      </w:r>
      <w:r w:rsidRPr="00511005">
        <w:rPr>
          <w:rFonts w:ascii="Arial" w:eastAsia="Calibri" w:hAnsi="Arial" w:cs="Arial"/>
          <w:szCs w:val="28"/>
          <w:lang w:val="uk-UA"/>
        </w:rPr>
        <w:t>. 2020. № 3. С. 75–82.</w:t>
      </w:r>
    </w:p>
    <w:p w14:paraId="519E8D7A" w14:textId="77777777" w:rsidR="003476F8" w:rsidRPr="00511005" w:rsidRDefault="003476F8" w:rsidP="003F6A5D">
      <w:pPr>
        <w:numPr>
          <w:ilvl w:val="0"/>
          <w:numId w:val="419"/>
        </w:numPr>
        <w:spacing w:line="264" w:lineRule="auto"/>
        <w:jc w:val="left"/>
        <w:rPr>
          <w:rFonts w:ascii="Arial" w:eastAsia="Calibri" w:hAnsi="Arial" w:cs="Arial"/>
          <w:szCs w:val="28"/>
          <w:lang w:val="uk-UA"/>
        </w:rPr>
      </w:pPr>
      <w:r w:rsidRPr="00511005">
        <w:rPr>
          <w:rFonts w:ascii="Arial" w:eastAsia="Calibri" w:hAnsi="Arial" w:cs="Arial"/>
          <w:szCs w:val="28"/>
          <w:lang w:val="uk-UA"/>
        </w:rPr>
        <w:lastRenderedPageBreak/>
        <w:t xml:space="preserve">Про виконавче провадження [Електронний ресурс] : Закон України від 02.06.2016 № 1404-VIII. – URL: </w:t>
      </w:r>
      <w:hyperlink r:id="rId1608" w:tgtFrame="_blank" w:history="1">
        <w:r w:rsidRPr="00511005">
          <w:rPr>
            <w:rFonts w:ascii="Arial" w:eastAsia="Calibri" w:hAnsi="Arial" w:cs="Arial"/>
            <w:szCs w:val="28"/>
            <w:lang w:val="uk-UA"/>
          </w:rPr>
          <w:t>https://zakon.rada.gov.ua/laws/show/1404-19</w:t>
        </w:r>
      </w:hyperlink>
      <w:r w:rsidRPr="00511005">
        <w:rPr>
          <w:rFonts w:ascii="Arial" w:eastAsia="Calibri" w:hAnsi="Arial" w:cs="Arial"/>
          <w:szCs w:val="28"/>
          <w:lang w:val="uk-UA"/>
        </w:rPr>
        <w:t xml:space="preserve"> (дата звернення: 16.04.2025).</w:t>
      </w:r>
    </w:p>
    <w:p w14:paraId="4AA66234" w14:textId="77777777" w:rsidR="003476F8" w:rsidRPr="00511005" w:rsidRDefault="003476F8" w:rsidP="003F6A5D">
      <w:pPr>
        <w:numPr>
          <w:ilvl w:val="0"/>
          <w:numId w:val="419"/>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Постанова Касаційного господарського суду у складі Верховного Суду від 15 січня 2024 року у справі № 908/1276/21 [Електронний ресурс]. – URL: </w:t>
      </w:r>
      <w:hyperlink r:id="rId1609" w:tgtFrame="_blank" w:history="1">
        <w:r w:rsidRPr="00511005">
          <w:rPr>
            <w:rFonts w:ascii="Arial" w:eastAsia="Calibri" w:hAnsi="Arial" w:cs="Arial"/>
            <w:szCs w:val="28"/>
            <w:lang w:val="uk-UA"/>
          </w:rPr>
          <w:t>https://zib.com.ua/ua/159550.html</w:t>
        </w:r>
      </w:hyperlink>
      <w:r w:rsidRPr="00511005">
        <w:rPr>
          <w:rFonts w:ascii="Arial" w:eastAsia="Calibri" w:hAnsi="Arial" w:cs="Arial"/>
          <w:szCs w:val="28"/>
          <w:lang w:val="uk-UA"/>
        </w:rPr>
        <w:t xml:space="preserve"> (дата звернення: 16.04.2025).</w:t>
      </w:r>
    </w:p>
    <w:p w14:paraId="6C123968" w14:textId="77777777" w:rsidR="003476F8" w:rsidRPr="00511005" w:rsidRDefault="003476F8" w:rsidP="003F6A5D">
      <w:pPr>
        <w:numPr>
          <w:ilvl w:val="0"/>
          <w:numId w:val="419"/>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Постанова Касаційного господарського суду у складі Верховного Суду від 9 серпня 2023 року у справі № 914/1789/19 [Електронний ресурс]. – URL: </w:t>
      </w:r>
      <w:hyperlink r:id="rId1610" w:tgtFrame="_blank" w:history="1">
        <w:r w:rsidRPr="00511005">
          <w:rPr>
            <w:rFonts w:ascii="Arial" w:eastAsia="Calibri" w:hAnsi="Arial" w:cs="Arial"/>
            <w:szCs w:val="28"/>
            <w:lang w:val="uk-UA"/>
          </w:rPr>
          <w:t>https://protocol.ua/ua/postanova_kgs_vp_vid_09_08_2023_roku_u_spravi_914_1789_19/</w:t>
        </w:r>
      </w:hyperlink>
      <w:r w:rsidRPr="00511005">
        <w:rPr>
          <w:rFonts w:ascii="Arial" w:eastAsia="Calibri" w:hAnsi="Arial" w:cs="Arial"/>
          <w:szCs w:val="28"/>
          <w:lang w:val="uk-UA"/>
        </w:rPr>
        <w:t xml:space="preserve"> (дата звернення: 16.04.2025).</w:t>
      </w:r>
    </w:p>
    <w:p w14:paraId="123146CA" w14:textId="77777777" w:rsidR="003476F8" w:rsidRPr="00511005" w:rsidRDefault="003476F8" w:rsidP="003A292D">
      <w:pPr>
        <w:spacing w:line="264" w:lineRule="auto"/>
        <w:ind w:firstLine="0"/>
        <w:rPr>
          <w:rFonts w:ascii="Arial" w:eastAsia="Calibri" w:hAnsi="Arial" w:cs="Arial"/>
          <w:szCs w:val="28"/>
          <w:lang w:val="uk-UA"/>
        </w:rPr>
      </w:pPr>
    </w:p>
    <w:p w14:paraId="07757E8A" w14:textId="60D79B91"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3476F8" w:rsidRPr="00511005">
        <w:rPr>
          <w:rFonts w:ascii="Arial" w:eastAsia="Calibri" w:hAnsi="Arial" w:cs="Arial"/>
          <w:szCs w:val="28"/>
          <w:lang w:val="uk-UA"/>
        </w:rPr>
        <w:t>мирова угода, господарський процес, примусове виконання, судове рішення, виконавче провадження, судова практика.</w:t>
      </w:r>
    </w:p>
    <w:p w14:paraId="41842EBA" w14:textId="659D0D9D"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3476F8" w:rsidRPr="00511005">
        <w:rPr>
          <w:rFonts w:ascii="Arial" w:eastAsia="Calibri" w:hAnsi="Arial" w:cs="Arial"/>
          <w:szCs w:val="28"/>
          <w:lang w:val="uk-UA"/>
        </w:rPr>
        <w:t>settlement agreement, commercial proceedings, compulsory execution, courtdecision, enforcement proceedings, judicial practice.</w:t>
      </w:r>
    </w:p>
    <w:p w14:paraId="07017110" w14:textId="77777777" w:rsidR="003476F8" w:rsidRPr="00511005" w:rsidRDefault="003476F8" w:rsidP="003A292D">
      <w:pPr>
        <w:spacing w:line="264" w:lineRule="auto"/>
        <w:ind w:firstLine="0"/>
        <w:rPr>
          <w:rFonts w:ascii="Arial" w:eastAsia="Calibri" w:hAnsi="Arial" w:cs="Arial"/>
          <w:szCs w:val="28"/>
          <w:lang w:val="uk-UA"/>
        </w:rPr>
      </w:pPr>
    </w:p>
    <w:p w14:paraId="5D5B1DF8" w14:textId="4505ECFC" w:rsidR="003476F8"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3476F8" w:rsidRPr="00511005">
        <w:rPr>
          <w:rFonts w:ascii="Arial" w:eastAsia="Calibri" w:hAnsi="Arial" w:cs="Arial"/>
          <w:i/>
          <w:szCs w:val="28"/>
          <w:lang w:val="uk-UA"/>
        </w:rPr>
        <w:t>к.ю.н., доцент Квасніцька О.О.</w:t>
      </w:r>
    </w:p>
    <w:p w14:paraId="287D0D39" w14:textId="77777777" w:rsidR="00B81D8E" w:rsidRDefault="00B81D8E" w:rsidP="003A292D">
      <w:pPr>
        <w:spacing w:line="264" w:lineRule="auto"/>
        <w:ind w:firstLine="0"/>
        <w:jc w:val="center"/>
        <w:rPr>
          <w:rFonts w:ascii="Arial" w:eastAsia="Calibri" w:hAnsi="Arial" w:cs="Arial"/>
          <w:szCs w:val="28"/>
          <w:lang w:val="uk-UA"/>
        </w:rPr>
      </w:pPr>
    </w:p>
    <w:p w14:paraId="6A8523B3" w14:textId="77777777" w:rsidR="00B81D8E" w:rsidRDefault="00B81D8E" w:rsidP="003A292D">
      <w:pPr>
        <w:spacing w:line="264" w:lineRule="auto"/>
        <w:ind w:firstLine="0"/>
        <w:jc w:val="center"/>
        <w:rPr>
          <w:rFonts w:ascii="Arial" w:eastAsia="Calibri" w:hAnsi="Arial" w:cs="Arial"/>
          <w:szCs w:val="28"/>
          <w:lang w:val="uk-UA"/>
        </w:rPr>
      </w:pPr>
    </w:p>
    <w:p w14:paraId="0B99A4EA" w14:textId="10B770D5"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Приймак Марія Ігорівна</w:t>
      </w:r>
    </w:p>
    <w:p w14:paraId="2058551D" w14:textId="1C35AC20" w:rsidR="003476F8"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3-го курсу факультету адвокатури та антикорупційної діяльності</w:t>
      </w:r>
    </w:p>
    <w:p w14:paraId="77C60489" w14:textId="77777777" w:rsidR="003476F8" w:rsidRPr="00511005" w:rsidRDefault="003476F8" w:rsidP="003A292D">
      <w:pPr>
        <w:spacing w:line="264" w:lineRule="auto"/>
        <w:ind w:right="-20"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Націoнальнoгo університету «Oдеська юридична академія»</w:t>
      </w:r>
    </w:p>
    <w:p w14:paraId="02A8F528" w14:textId="77777777" w:rsidR="003476F8" w:rsidRPr="00511005" w:rsidRDefault="003476F8" w:rsidP="003A292D">
      <w:pPr>
        <w:spacing w:line="264" w:lineRule="auto"/>
        <w:ind w:right="-20" w:firstLine="0"/>
        <w:jc w:val="center"/>
        <w:rPr>
          <w:rFonts w:ascii="Arial" w:eastAsia="Times New Roman" w:hAnsi="Arial" w:cs="Arial"/>
          <w:szCs w:val="28"/>
          <w:lang w:val="uk-UA" w:eastAsia="ru-RU"/>
        </w:rPr>
      </w:pPr>
    </w:p>
    <w:p w14:paraId="26D1BCE6" w14:textId="687056F2" w:rsidR="003476F8" w:rsidRPr="00511005" w:rsidRDefault="003476F8"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ДЕРЖАВНА ПІДТРИМКА СУБ’ЄКТІВ ГОСПОДАРЮВАННЯ В УМОВАХ ВОЄННОГО СТАНУ: ПРОБЛЕМНІ АСПЕКТИ</w:t>
      </w:r>
    </w:p>
    <w:p w14:paraId="5748945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Сучасні реалії функціонування української економіки перебувають під серйозним тиском з боку воєнних викликів, спричинених повномасштабним вторгненням російської федерації. Суб’єкти господарювання, як ключові елементи економічної системи, відіграють надзвичайно важливу роль не лише в забезпеченні економічної стабільності, а й в утриманні обороноздатності держави через сплату податків, створення робочих місць і збереження критичної інфраструктури. В умовах війни їх діяльність опинилася під серйозною загрозою, що вимагає системної, ефективної та комплексної державної підтримки. Проте саме в цьому напрямі виникає ціла низка проблем, які потребують нагального вирішення.</w:t>
      </w:r>
    </w:p>
    <w:p w14:paraId="166F440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Воєнні дії спричинили суттєве зниження ділової активності в країні, особливо у прифронтових та тимчасово окупованих територіях. Основними викликами, з якими зіткнулися українські підприємці, стали руйнування виробничих потужностей, розрив логістичних ланцюгів, втрата постачальників та споживачів, зростання витрат на виробництво, коливання </w:t>
      </w:r>
      <w:r w:rsidRPr="00511005">
        <w:rPr>
          <w:rFonts w:ascii="Arial" w:eastAsia="Times New Roman" w:hAnsi="Arial" w:cs="Arial"/>
          <w:szCs w:val="28"/>
          <w:lang w:val="uk-UA" w:eastAsia="ru-RU"/>
        </w:rPr>
        <w:lastRenderedPageBreak/>
        <w:t>валютного курсу, зростання інфляції, переміщення трудових ресурсів та загальна економічна нестабільність. Значна кількість підприємств зазнала повної або часткової зупинки виробництва, особливо у сферах промисловості, транспорту, торгівлі та послуг. Це, своєю чергою, призвело до зниження надходжень до державного бюджету, що створює замкнене коло: держава потребує коштів для ведення війни, але бізнес, який є джерелом цих коштів, сам потребує допомоги [1; 2, с.101].</w:t>
      </w:r>
    </w:p>
    <w:p w14:paraId="45911DB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відповідь на виклики часу, держава здійснила низку кроків у напрямку підтримки суб’єктів господарювання. Зокрема, в Україні діє Закон «Про розвиток та державну підтримку малого і середнього підприємництва»[3], який передбачає не лише фінансову, а й консультаційну, інформаційну та інноваційну підтримку. Також вагомим кроком стало прийняття у 2014 році Закону «Про державну допомогу суб’єктам господарювання»[4], який конкретизує форми такої допомоги – субсидії, гранти, пільгове оподаткування, списання боргів, надання товарів і послуг за неринковими цінами тощо. У рамках цих законодавчих актів було запроваджено ряд важливих програм, зокрема «Доступні кредити 5-7-9%», програма грантів для створення бізнесу, а також механізми релокації підприємств із зон бойових дій у безпечні регіони. Окремо слід відзначити ініціативу «Доступний факторинг», спрямовану на поліпшення ліквідності малих та середніх підприємств.</w:t>
      </w:r>
    </w:p>
    <w:p w14:paraId="6B2D4A78"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Однак попри наявність нормативно-правових актів, механізми підтримки далеко не завжди є ефективними в практичній площині. Найбільші проблеми полягають у складній процедурі доступу до допомоги, надмірній бюрократії, відсутності прозорості в наданні грантів, нерівномірності розподілу ресурсів між регіонами, недостатній інформованості підприємців про можливості, які їм доступні. Часто малі підприємства не мають достатніх ресурсів або кадрового потенціалу, щоб скористатися державними програмами. Крім того, наявна правова база не встигає адаптуватися до динамічних умов війни, зокрема щодо швидкої релокації виробництва, захисту інвестицій, забезпечення трудових прав працівників у критичних умовах.</w:t>
      </w:r>
    </w:p>
    <w:p w14:paraId="438ED3C1"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Ще одним проблемним аспектом є відсутність сталої стратегії підтримки суб’єктів господарювання в умовах затяжної війни. Уряду не вистачає довгострокових програм, які б не лише допомагали бізнесу вижити, але й стимулювали його відновлення та розвиток. Відсутність фіскальної стабільності, залежність від зовнішнього фінансування та донорської допомоги, а також недостатній рівень цифровізації державних послуг також суттєво обмежують можливості для ефективної підтримки підприємництва.</w:t>
      </w:r>
    </w:p>
    <w:p w14:paraId="595E7E2F" w14:textId="77777777" w:rsidR="003476F8" w:rsidRPr="00511005" w:rsidRDefault="003476F8" w:rsidP="003A292D">
      <w:pPr>
        <w:spacing w:line="264" w:lineRule="auto"/>
        <w:ind w:firstLine="0"/>
        <w:rPr>
          <w:rFonts w:ascii="Arial" w:eastAsia="Times New Roman" w:hAnsi="Arial" w:cs="Arial"/>
          <w:szCs w:val="28"/>
          <w:lang w:val="uk-UA" w:eastAsia="ru-RU"/>
        </w:rPr>
      </w:pPr>
      <w:bookmarkStart w:id="186" w:name="_heading=h.tjcwuihbcs59" w:colFirst="0" w:colLast="0"/>
      <w:bookmarkEnd w:id="186"/>
      <w:r w:rsidRPr="00511005">
        <w:rPr>
          <w:rFonts w:ascii="Arial" w:eastAsia="Times New Roman" w:hAnsi="Arial" w:cs="Arial"/>
          <w:szCs w:val="28"/>
          <w:lang w:val="uk-UA" w:eastAsia="ru-RU"/>
        </w:rPr>
        <w:t xml:space="preserve">Варто також враховувати, що в умовах війни держава обмежена у фінансових ресурсах, а тому підтримка суб’єктів господарювання має бути стратегічно виваженою та адресною. Пріоритет має надаватися тим галузям, які прямо або опосередковано сприяють обороноздатності </w:t>
      </w:r>
      <w:r w:rsidRPr="00511005">
        <w:rPr>
          <w:rFonts w:ascii="Arial" w:eastAsia="Times New Roman" w:hAnsi="Arial" w:cs="Arial"/>
          <w:szCs w:val="28"/>
          <w:lang w:val="uk-UA" w:eastAsia="ru-RU"/>
        </w:rPr>
        <w:lastRenderedPageBreak/>
        <w:t>держави, забезпечують базові потреби населення, підтримують експортний потенціал та технологічну незалежність. Це означає необхідність глибшого аналізу секторальних ризиків, прогнозування потреб, формування нових кластерів підтримки, а також інтеграції бізнесу до програм післявоєнного відновлення [4; 5; 6].</w:t>
      </w:r>
    </w:p>
    <w:p w14:paraId="191BC092"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Очевидним є те, що підтримка бізнесу не може обмежуватися лише фінансовими інструментами. Потрібна цілісна екосистема сприяння підприємництву, яка включає стабільне законодавче поле, податкові стимули, розвиток цифрової інфраструктури, навчання та перепідготовку кадрів, створення бізнес-інкубаторів, розвиток венчурного інвестування та залучення міжнародних партнерів. Український бізнес має отримати не лише ресурси для виживання, а й перспективи для розвитку.</w:t>
      </w:r>
    </w:p>
    <w:p w14:paraId="58B75F4E" w14:textId="77777777" w:rsidR="003476F8" w:rsidRPr="00511005" w:rsidRDefault="003476F8" w:rsidP="003A292D">
      <w:pPr>
        <w:spacing w:line="264" w:lineRule="auto"/>
        <w:ind w:firstLine="0"/>
        <w:rPr>
          <w:rFonts w:ascii="Arial" w:eastAsia="Times New Roman" w:hAnsi="Arial" w:cs="Arial"/>
          <w:b/>
          <w:szCs w:val="28"/>
          <w:lang w:val="uk-UA" w:eastAsia="ru-RU"/>
        </w:rPr>
      </w:pPr>
      <w:r w:rsidRPr="00511005">
        <w:rPr>
          <w:rFonts w:ascii="Arial" w:eastAsia="Times New Roman" w:hAnsi="Arial" w:cs="Arial"/>
          <w:b/>
          <w:bCs/>
          <w:szCs w:val="28"/>
          <w:lang w:val="uk-UA" w:eastAsia="ru-RU"/>
        </w:rPr>
        <w:t>Таким чином, державна підтримка бізнесу в умовах воєнного стану є надзвичайно важливою складовою економічної політики, однак її ефективність потребує суттєвого вдосконалення.</w:t>
      </w:r>
      <w:r w:rsidRPr="00511005">
        <w:rPr>
          <w:rFonts w:ascii="Arial" w:eastAsia="Times New Roman" w:hAnsi="Arial" w:cs="Arial"/>
          <w:szCs w:val="28"/>
          <w:lang w:val="uk-UA" w:eastAsia="ru-RU"/>
        </w:rPr>
        <w:t xml:space="preserve"> Необхідними є чіткі механізми реалізації, прозорі процедури, адаптивне законодавство та наявність стратегічного бачення. Лише за умови справжнього партнерства між державою і бізнесом можна забезпечити економічну стійкість країни, збереження робочих місць та закласти підвалини для успішної післявоєнної відбудови.</w:t>
      </w:r>
    </w:p>
    <w:p w14:paraId="0DD00B01" w14:textId="77777777" w:rsidR="003476F8" w:rsidRPr="00511005" w:rsidRDefault="003476F8" w:rsidP="003A292D">
      <w:pPr>
        <w:spacing w:line="264" w:lineRule="auto"/>
        <w:ind w:firstLine="0"/>
        <w:jc w:val="center"/>
        <w:rPr>
          <w:rFonts w:ascii="Arial" w:eastAsia="Times New Roman" w:hAnsi="Arial" w:cs="Arial"/>
          <w:b/>
          <w:szCs w:val="28"/>
          <w:lang w:val="uk-UA" w:eastAsia="ru-RU"/>
        </w:rPr>
      </w:pPr>
    </w:p>
    <w:p w14:paraId="0142ECC6" w14:textId="6B7C0AFF" w:rsidR="003476F8"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3DFA8F9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 Дикань В., Фролова Н. Напрями та інструменти державної підтримки розвитку малого та середнього бізнесу в Україні у воєнний час. </w:t>
      </w:r>
      <w:r w:rsidRPr="00511005">
        <w:rPr>
          <w:rFonts w:ascii="Arial" w:eastAsia="Times New Roman" w:hAnsi="Arial" w:cs="Arial"/>
          <w:i/>
          <w:szCs w:val="28"/>
          <w:lang w:val="uk-UA" w:eastAsia="ru-RU"/>
        </w:rPr>
        <w:t xml:space="preserve">Економіка та суспільство. </w:t>
      </w:r>
      <w:r w:rsidRPr="00511005">
        <w:rPr>
          <w:rFonts w:ascii="Arial" w:eastAsia="Times New Roman" w:hAnsi="Arial" w:cs="Arial"/>
          <w:szCs w:val="28"/>
          <w:lang w:val="uk-UA" w:eastAsia="ru-RU"/>
        </w:rPr>
        <w:t xml:space="preserve">2022. № 38. URL: </w:t>
      </w:r>
      <w:hyperlink r:id="rId1611">
        <w:r w:rsidRPr="00511005">
          <w:rPr>
            <w:rFonts w:ascii="Arial" w:eastAsia="Times New Roman" w:hAnsi="Arial" w:cs="Arial"/>
            <w:szCs w:val="28"/>
            <w:lang w:val="uk-UA" w:eastAsia="ru-RU"/>
          </w:rPr>
          <w:t>https://doi.org/10.32782/2524-0072/2022-38-56</w:t>
        </w:r>
      </w:hyperlink>
    </w:p>
    <w:p w14:paraId="5063D159"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2. Костенко Ю. О. Податкове стимулювання суб'єктів малого підприємництва в умовах воєнного стану. </w:t>
      </w:r>
      <w:r w:rsidRPr="00511005">
        <w:rPr>
          <w:rFonts w:ascii="Arial" w:eastAsia="Times New Roman" w:hAnsi="Arial" w:cs="Arial"/>
          <w:i/>
          <w:szCs w:val="28"/>
          <w:lang w:val="uk-UA" w:eastAsia="ru-RU"/>
        </w:rPr>
        <w:t>Прикарпатський юридичний вісник</w:t>
      </w:r>
      <w:r w:rsidRPr="00511005">
        <w:rPr>
          <w:rFonts w:ascii="Arial" w:eastAsia="Times New Roman" w:hAnsi="Arial" w:cs="Arial"/>
          <w:szCs w:val="28"/>
          <w:lang w:val="uk-UA" w:eastAsia="ru-RU"/>
        </w:rPr>
        <w:t xml:space="preserve">. 2022. Випуск 6 (46). С. 101–105. </w:t>
      </w:r>
    </w:p>
    <w:p w14:paraId="20632B56"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 Про розвиток та державну підтримку малого і середнього підприємництва в Україні: Закон України від 22 березня 2012 року № 4618-VI. URL: https://zakon.rada.gov.ua/laws/show/4618-17#Text. </w:t>
      </w:r>
    </w:p>
    <w:p w14:paraId="17823A37"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4. Про державну допомогу суб'єктам господарювання: Закон України від 1 липня 2014 року № 1555-VII. URL: https://zakon.rada.gov. ua/laws/show/1555- 18#Text. </w:t>
      </w:r>
    </w:p>
    <w:p w14:paraId="7A001DC1"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5. Про затвердження плану невідкладних заходів з переміщення у разі потреби виробничих потужностей суб’єктів господарювання з територій, де ведуться бойові дії та/або є загроза бойових дій, на безпечну територію: розпорядження Кабінет міністрів України від 25 березня 2022 р. № 246-р. URL: https://zakon.rada.gov.ua/laws/show/246-2022-%D1%80#Text. </w:t>
      </w:r>
    </w:p>
    <w:p w14:paraId="718263C8"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6. Деякі питання надання грантів бізнесу: постанова Кабінету Міністрів України від 21 червня 2022 р. № 738. URL: https://zakon.rada. gov.ua/laws/show/738-2022-%D0%BF#Text </w:t>
      </w:r>
    </w:p>
    <w:p w14:paraId="323AD470" w14:textId="77777777" w:rsidR="003476F8" w:rsidRPr="00511005" w:rsidRDefault="003476F8" w:rsidP="003A292D">
      <w:pPr>
        <w:spacing w:line="264" w:lineRule="auto"/>
        <w:ind w:firstLine="0"/>
        <w:rPr>
          <w:rFonts w:ascii="Arial" w:eastAsia="Times New Roman" w:hAnsi="Arial" w:cs="Arial"/>
          <w:b/>
          <w:szCs w:val="28"/>
          <w:lang w:val="uk-UA" w:eastAsia="ru-RU"/>
        </w:rPr>
      </w:pPr>
    </w:p>
    <w:p w14:paraId="15F48C01" w14:textId="263911E7" w:rsidR="003476F8" w:rsidRPr="00511005" w:rsidRDefault="003476F8" w:rsidP="003A292D">
      <w:pPr>
        <w:spacing w:line="264" w:lineRule="auto"/>
        <w:ind w:firstLine="0"/>
        <w:rPr>
          <w:rFonts w:ascii="Arial" w:eastAsia="Times New Roman" w:hAnsi="Arial" w:cs="Arial"/>
          <w:b/>
          <w:szCs w:val="28"/>
          <w:lang w:val="uk-UA" w:eastAsia="ru-RU"/>
        </w:rPr>
      </w:pPr>
      <w:r w:rsidRPr="009C3A24">
        <w:rPr>
          <w:rFonts w:ascii="Arial" w:eastAsia="Times New Roman" w:hAnsi="Arial" w:cs="Arial"/>
          <w:b/>
          <w:i/>
          <w:iCs/>
          <w:szCs w:val="28"/>
          <w:lang w:val="uk-UA" w:eastAsia="ru-RU"/>
        </w:rPr>
        <w:t>Ключові слова:</w:t>
      </w:r>
      <w:r w:rsidR="009C3A24">
        <w:rPr>
          <w:rFonts w:ascii="Arial" w:eastAsia="Times New Roman" w:hAnsi="Arial" w:cs="Arial"/>
          <w:b/>
          <w:szCs w:val="28"/>
          <w:lang w:val="uk-UA" w:eastAsia="ru-RU"/>
        </w:rPr>
        <w:t xml:space="preserve"> </w:t>
      </w:r>
      <w:r w:rsidRPr="00511005">
        <w:rPr>
          <w:rFonts w:ascii="Arial" w:eastAsia="Times New Roman" w:hAnsi="Arial" w:cs="Arial"/>
          <w:szCs w:val="28"/>
          <w:lang w:val="uk-UA" w:eastAsia="ru-RU"/>
        </w:rPr>
        <w:t>державна підтримка,суб’єкти господарювання, воєнний стан</w:t>
      </w:r>
      <w:r w:rsidRPr="00511005">
        <w:rPr>
          <w:rFonts w:ascii="Arial" w:eastAsia="Times New Roman" w:hAnsi="Arial" w:cs="Arial"/>
          <w:b/>
          <w:szCs w:val="28"/>
          <w:lang w:val="uk-UA" w:eastAsia="ru-RU"/>
        </w:rPr>
        <w:t xml:space="preserve">, </w:t>
      </w:r>
      <w:r w:rsidRPr="00511005">
        <w:rPr>
          <w:rFonts w:ascii="Arial" w:eastAsia="Times New Roman" w:hAnsi="Arial" w:cs="Arial"/>
          <w:szCs w:val="28"/>
          <w:lang w:val="uk-UA" w:eastAsia="ru-RU"/>
        </w:rPr>
        <w:t>фінансова допомога</w:t>
      </w:r>
      <w:r w:rsidRPr="00511005">
        <w:rPr>
          <w:rFonts w:ascii="Arial" w:eastAsia="Times New Roman" w:hAnsi="Arial" w:cs="Arial"/>
          <w:b/>
          <w:szCs w:val="28"/>
          <w:lang w:val="uk-UA" w:eastAsia="ru-RU"/>
        </w:rPr>
        <w:t xml:space="preserve">, </w:t>
      </w:r>
      <w:r w:rsidRPr="00511005">
        <w:rPr>
          <w:rFonts w:ascii="Arial" w:eastAsia="Times New Roman" w:hAnsi="Arial" w:cs="Arial"/>
          <w:szCs w:val="28"/>
          <w:lang w:val="uk-UA" w:eastAsia="ru-RU"/>
        </w:rPr>
        <w:t>малий і середній бізнес, державні програми</w:t>
      </w:r>
      <w:r w:rsidRPr="00511005">
        <w:rPr>
          <w:rFonts w:ascii="Arial" w:eastAsia="Times New Roman" w:hAnsi="Arial" w:cs="Arial"/>
          <w:b/>
          <w:szCs w:val="28"/>
          <w:lang w:val="uk-UA" w:eastAsia="ru-RU"/>
        </w:rPr>
        <w:t>.</w:t>
      </w:r>
    </w:p>
    <w:p w14:paraId="61ABC87F" w14:textId="5530FAF5"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szCs w:val="28"/>
          <w:lang w:val="uk-UA" w:eastAsia="ru-RU"/>
        </w:rPr>
        <w:t>state support, business entities, martial law, financial assistance, small and medium-sized enterprises, government programs.</w:t>
      </w:r>
    </w:p>
    <w:p w14:paraId="16378A94" w14:textId="26F97942"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noProof/>
          <w:szCs w:val="28"/>
          <w:lang w:val="uk-UA" w:eastAsia="ru-RU"/>
        </w:rPr>
        <w:t xml:space="preserve">Науковий керівник: </w:t>
      </w:r>
      <w:r w:rsidR="003476F8" w:rsidRPr="00511005">
        <w:rPr>
          <w:rFonts w:ascii="Arial" w:eastAsia="Times New Roman" w:hAnsi="Arial" w:cs="Arial"/>
          <w:bCs/>
          <w:i/>
          <w:iCs/>
          <w:szCs w:val="28"/>
          <w:lang w:val="uk-UA" w:eastAsia="ru-RU"/>
        </w:rPr>
        <w:t>к.ю.н., доцент Згама А.О.</w:t>
      </w:r>
    </w:p>
    <w:p w14:paraId="6253D203" w14:textId="77777777" w:rsidR="00B81D8E" w:rsidRDefault="00B81D8E" w:rsidP="003A292D">
      <w:pPr>
        <w:spacing w:line="264" w:lineRule="auto"/>
        <w:ind w:firstLine="0"/>
        <w:jc w:val="center"/>
        <w:rPr>
          <w:rFonts w:ascii="Arial" w:eastAsia="Times New Roman" w:hAnsi="Arial" w:cs="Arial"/>
          <w:b/>
          <w:szCs w:val="28"/>
          <w:lang w:val="uk-UA" w:eastAsia="ru-RU"/>
        </w:rPr>
      </w:pPr>
    </w:p>
    <w:p w14:paraId="3079A858" w14:textId="77777777" w:rsidR="00B81D8E" w:rsidRDefault="00B81D8E" w:rsidP="003A292D">
      <w:pPr>
        <w:spacing w:line="264" w:lineRule="auto"/>
        <w:ind w:firstLine="0"/>
        <w:jc w:val="center"/>
        <w:rPr>
          <w:rFonts w:ascii="Arial" w:eastAsia="Times New Roman" w:hAnsi="Arial" w:cs="Arial"/>
          <w:b/>
          <w:szCs w:val="28"/>
          <w:lang w:val="uk-UA" w:eastAsia="ru-RU"/>
        </w:rPr>
      </w:pPr>
    </w:p>
    <w:p w14:paraId="6BCC0C75" w14:textId="463C03A5" w:rsidR="003476F8" w:rsidRPr="00511005" w:rsidRDefault="003476F8" w:rsidP="003A292D">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Руднік Діана Святославівна</w:t>
      </w:r>
    </w:p>
    <w:p w14:paraId="0E06C34B" w14:textId="278D854D" w:rsidR="003476F8"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4-го курсу </w:t>
      </w:r>
      <w:r w:rsidR="007B2628" w:rsidRPr="00511005">
        <w:rPr>
          <w:rFonts w:ascii="Arial" w:eastAsia="Times New Roman" w:hAnsi="Arial" w:cs="Arial"/>
          <w:szCs w:val="28"/>
          <w:lang w:val="uk-UA"/>
        </w:rPr>
        <w:t>факультету цивільної та господарської юстиції</w:t>
      </w:r>
      <w:r w:rsidR="003476F8" w:rsidRPr="00511005">
        <w:rPr>
          <w:rFonts w:ascii="Arial" w:eastAsia="Times New Roman" w:hAnsi="Arial" w:cs="Arial"/>
          <w:szCs w:val="28"/>
          <w:lang w:val="uk-UA"/>
        </w:rPr>
        <w:t xml:space="preserve"> </w:t>
      </w:r>
    </w:p>
    <w:p w14:paraId="347EBF2E" w14:textId="1606D71B" w:rsidR="003476F8"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7D79249E" w14:textId="77777777" w:rsidR="003476F8" w:rsidRPr="00511005" w:rsidRDefault="003476F8" w:rsidP="003A292D">
      <w:pPr>
        <w:spacing w:line="264" w:lineRule="auto"/>
        <w:ind w:firstLine="0"/>
        <w:jc w:val="center"/>
        <w:rPr>
          <w:rFonts w:ascii="Arial" w:eastAsia="Times New Roman" w:hAnsi="Arial" w:cs="Arial"/>
          <w:szCs w:val="28"/>
          <w:lang w:val="uk-UA"/>
        </w:rPr>
      </w:pPr>
    </w:p>
    <w:p w14:paraId="2B7ECA98" w14:textId="77777777" w:rsidR="003476F8" w:rsidRPr="00511005" w:rsidRDefault="003476F8"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ОСОБЛИВОСТІ ДОКАЗУВАННЯ В ГОСПОДАРСЬКИХ СПОРАХ ЩОДО СТЯГНЕННЯ ЗАБОРГОВАНОСТІ ЗА ДОГОВОРОМ ПОСТАВКИ</w:t>
      </w:r>
    </w:p>
    <w:p w14:paraId="3A2EF32C"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сучасних умовах розвитку ринкових відносин договір поставки є однією з найпоширеніших форм регулювання комерційних зв’язківміж суб’єктами господарювання. Проте порушення договірних зобов'язань, зокрема прострочення або невиконання оплати за поставлений товар нерідко стає підставою для виникнення господарських спорів. Одним із ключових аспектів у процесі вирішення таких спорів є належне доказування обставин, на яких ґрунтуються вимоги сторін.</w:t>
      </w:r>
    </w:p>
    <w:p w14:paraId="3633C38A"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Особливості доказування в спорах щодо стягнення заборгованості за договором поставки зумовлені як специфікою господарських відносин, так і вимогами процесуального законодавства. Успішне доведення факту поставки товару, обсягу заборгованості, а також належного виконання іншою стороною своїх зобов'язань потребує правильного оформлення первинних документів та вмілого застосування норм права. Дослідження особливостей доказування у таких справах є важливим для підвищення ефективності захисту прав та законних інтересів суб'єктів господарювання в судовому порядку.</w:t>
      </w:r>
    </w:p>
    <w:p w14:paraId="7AE155D4"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Договір поставки, як різновид договору купівлі-продажу, регулюється положеннями Цивільного кодексу України (далі – ЦК України) та Господарського кодексу України (далі – ГК України). Основні вимоги щодо укладення та виконання договору поставки визначені статтями 712–716 ЦК України [1] та статтями 265–271 ГК України [2]. Згідно з цими нормами, постачальник зобов’язується передати товари у встановлені строки, відповідної якості та в обумовленій кількості, а покупець має своєчасно оплатити прийнятий товар. У разі порушення зобов’язань за договором постає необхідність у судовому захисті порушених прав, що, у свою чергу, </w:t>
      </w:r>
      <w:r w:rsidRPr="00511005">
        <w:rPr>
          <w:rFonts w:ascii="Arial" w:eastAsia="Times New Roman" w:hAnsi="Arial" w:cs="Arial"/>
          <w:szCs w:val="28"/>
          <w:lang w:val="uk-UA"/>
        </w:rPr>
        <w:lastRenderedPageBreak/>
        <w:t>вимагає від сторін доведення відповідних обставин у господарському процесі.</w:t>
      </w:r>
    </w:p>
    <w:p w14:paraId="31A697E8"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Згідно зі статтею 13 Господарського процесуального кодексу України (далі – ГПК України), кожна сторона повинна довести ті обставини, на які вона посилається як на підставу своїх вимог або заперечень. Положення статті 74 ГПК України визначають перелік допустимих доказів: письмові, електронні, речові докази, висновки експертів, показання свідків[3]. </w:t>
      </w:r>
    </w:p>
    <w:p w14:paraId="5F1E7CB7"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Однією з поширених проблем є недостатня доказова база: позивачі нерідко подають до суду лише договір та рахунки-фактури без належного підтвердження факту реальної передачі товару – товарних накладних або актів приймання-передачі. Це ускладнює доведення виникнення обов'язку з оплати. Другою важливою проблемою є неналежне оформлення первинних документів: відсутність підписів, печаток, розбіжності у реквізитах чи датах можуть стати підставою для визнання документів недопустимими доказами у справі.</w:t>
      </w:r>
    </w:p>
    <w:p w14:paraId="2FA365BA"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справі № 916/1074/23, розглянутій Господарським судом Одеської області, предметом спору були взаємні вимоги між ПП «Лоджікфокс» (постачальник) та ТОВ «Еверест Лімітед» (покупець) щодо виконання договору поставки комп’ютерних корпусів. ПП «Лоджікфокс» звернулося з позовом про стягнення заборгованості за договором поставки № LO-000000000060 від 20.08.2020 року. У відповідь ТОВ «Еверест Лімітед» подало зустрічний позов про повернення передоплати, посилаючись на те, що товар не був поставлений за усною домовленістю, укладеною в листопаді 2021 року. Суд встановив, що між сторонами існував письмовий договір поставки, підписаний обома сторонами та скріплений печатками. Крім того, ТОВ «Еверест Лімітед» здійснило оплату за рахунком № 754 від 09.11.2021 року, в якому було зазначено посилання на цей договір. Суд дійшов висновку, що дії сторін свідчать про наявність письмового договору, а не усної домовленості. Таким чином, суд визнав, що між сторонами існував письмовий договір поставки, і відхилив доводи ТОВ «Еверест Лімітед» про укладення усної домовленості. Це рішення підкреслює важливість належного документального оформлення господарських правовідносин та обережного ставлення до усних домовленостей між суб’єктами господарювання [4].</w:t>
      </w:r>
    </w:p>
    <w:p w14:paraId="2A8263F8"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Часто виникають суперечки щодо якості або кількості поставленого товару, особливо за відсутності належно оформленої претензійної переписки між сторонами. Якщо відповідач заперечує факт належної поставки або заявляє про недоліки товару, відсутність відповідних доказів на користь позивача ускладнює доведення правомірності заявлених вимог. Також певні труднощі виникають при встановленні строків виконання договірних зобов’язань, що має значення для визначення наявності прострочення з боку боржника.Окремої уваги в господарських спорах потребує питання </w:t>
      </w:r>
      <w:r w:rsidRPr="00511005">
        <w:rPr>
          <w:rFonts w:ascii="Arial" w:eastAsia="Times New Roman" w:hAnsi="Arial" w:cs="Arial"/>
          <w:szCs w:val="28"/>
          <w:lang w:val="uk-UA"/>
        </w:rPr>
        <w:lastRenderedPageBreak/>
        <w:t>допустимості електронних доказів, що регулюється статтями 96–97 ГПК України. Використання сканованих копій документів, електронних листів та рахунків-фактур вимагає належного підтвердження їх достовірності та відповідності оригіналам. Тому правильне оформлення договірних відносин, своєчасне збирання доказів та знання процесуальних норм мають вирішальне значення для успішного захисту прав сторін у господарських спорах щодо стягнення заборгованості за договором поставки.</w:t>
      </w:r>
    </w:p>
    <w:p w14:paraId="6741DAF0"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межах досліджуваної теми щодо особливостей доказування у господарських спорах щодо стягнення заборгованості за договором поставки показовим є приклад судової справи № 924/75/23. У цій справі ПАТ звернулося до ТОВ із позовом про розірвання договору поставки, тоді як ТОВ подало зустрічний позов про зобов'язання поставити товар та стягнення штрафної неустойки через неналежне виконання умов договору [5].Рішенням господарського суду, залишеним без змін постановою апеляційного господарського суду та ухвалою Касаційного господарського суду ВС, у позові ПАТ відмовлено, а зустрічний позов ТОВ задоволено частково. Суди встановили, що ПАТ порушило зобов'язання щодо строку поставки товару, передбаченого п. 3.1 договору, що стало підставою для стягнення штрафної неустойки відповідно до умов договору та положень статей 549 ЦК України і 230 ГК України.Аналіз цієї справи свідчить, що належне оформлення первинних документів і своєчасне подання доказів виконання зобов'язань має ключове значення для результату розгляду. Зокрема, ПАТ не надало суду доказів фактичної передачі товару в передбачений договором строк і не змогло довести наявність форс-мажорних обставин, оскільки не повідомило контрагента та не надало відповідного сертифікату ТПП. Це підкреслюєнеобхідність завчасного документального фіксування всіх фактів виконання договору поставки або неможливості виконання зобов'язань.</w:t>
      </w:r>
    </w:p>
    <w:p w14:paraId="64790BB7"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Таким чином, господарські спори щодо стягнення заборгованості за договором поставки характеризуються підвищеними вимогами до доказування факту належного виконання або невиконання зобов'язань сторонами. У таких спорах особливу роль відіграють письмові докази — договори, акти приймання-передачі товару, накладні, рахунки-фактури, акти звірки розрахунків, претензії та відповіді на них. Належність і допустимість доказів є визначальними критеріями для встановлення фактичних обставин справи.Важливим є також дотримання сторонами договірних процедур повідомлення про порушення зобов'язань або виникнення обставин непереборної сили. Судова практика свідчить, що ненадання необхідних доказів або їх неналежне оформлення призводить до відмови у задоволенні вимог. Отже, правильне формування доказової бази, завчасне документальне фіксування усіх юридично значущих подій і чітке дотримання </w:t>
      </w:r>
      <w:r w:rsidRPr="00511005">
        <w:rPr>
          <w:rFonts w:ascii="Arial" w:eastAsia="Times New Roman" w:hAnsi="Arial" w:cs="Arial"/>
          <w:szCs w:val="28"/>
          <w:lang w:val="uk-UA"/>
        </w:rPr>
        <w:lastRenderedPageBreak/>
        <w:t>умов договору поставки є ключовими чинниками для успішного захисту прав і законних інтересів сторін у господарському суді.</w:t>
      </w:r>
    </w:p>
    <w:p w14:paraId="12C36637" w14:textId="77777777" w:rsidR="003476F8" w:rsidRPr="00511005" w:rsidRDefault="003476F8" w:rsidP="003A292D">
      <w:pPr>
        <w:spacing w:line="264" w:lineRule="auto"/>
        <w:ind w:firstLine="0"/>
        <w:rPr>
          <w:rFonts w:ascii="Arial" w:eastAsia="Times New Roman" w:hAnsi="Arial" w:cs="Arial"/>
          <w:b/>
          <w:bCs/>
          <w:szCs w:val="28"/>
          <w:lang w:val="uk-UA"/>
        </w:rPr>
      </w:pPr>
    </w:p>
    <w:p w14:paraId="6D3513AF" w14:textId="018684D4" w:rsidR="003476F8"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28411A42" w14:textId="2DF3BB55" w:rsidR="003476F8" w:rsidRPr="00511005" w:rsidRDefault="003476F8" w:rsidP="003F6A5D">
      <w:pPr>
        <w:numPr>
          <w:ilvl w:val="0"/>
          <w:numId w:val="421"/>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Цивільний кодекс України від 16 січня 2003 року № 435-IV. Відомості Верховної Ради України.</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2003. № 40–44. Ст. 356.</w:t>
      </w:r>
    </w:p>
    <w:p w14:paraId="64992F37" w14:textId="77777777" w:rsidR="003476F8" w:rsidRPr="00511005" w:rsidRDefault="003476F8" w:rsidP="003F6A5D">
      <w:pPr>
        <w:numPr>
          <w:ilvl w:val="0"/>
          <w:numId w:val="421"/>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Господарський кодекс України від 16 січня 2003 року № 436-IV. Відомості Верховної Ради України. 2003. № 18–22. Ст. 144.</w:t>
      </w:r>
    </w:p>
    <w:p w14:paraId="63B537A1" w14:textId="77777777" w:rsidR="003476F8" w:rsidRPr="00511005" w:rsidRDefault="003476F8" w:rsidP="003F6A5D">
      <w:pPr>
        <w:numPr>
          <w:ilvl w:val="0"/>
          <w:numId w:val="421"/>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Господарський процесуальний кодекс України від 6 листопада 1991 року № 1798-XII. Відомості Верховної Ради України. 1992. № 6. Ст. 56.</w:t>
      </w:r>
    </w:p>
    <w:p w14:paraId="3A2415D9" w14:textId="77777777" w:rsidR="003476F8" w:rsidRPr="00511005" w:rsidRDefault="003476F8" w:rsidP="003F6A5D">
      <w:pPr>
        <w:numPr>
          <w:ilvl w:val="0"/>
          <w:numId w:val="421"/>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Постанова Касаційного господарського суду у складі Верховного Суду від 11.07.2023 року 916/1074/23. URL: </w:t>
      </w:r>
      <w:hyperlink r:id="rId1612" w:history="1">
        <w:r w:rsidRPr="00511005">
          <w:rPr>
            <w:rFonts w:ascii="Arial" w:eastAsia="Times New Roman" w:hAnsi="Arial" w:cs="Arial"/>
            <w:szCs w:val="28"/>
            <w:lang w:val="uk-UA"/>
          </w:rPr>
          <w:t>https://reyestr.court.gov.ua/Review/112271022</w:t>
        </w:r>
      </w:hyperlink>
    </w:p>
    <w:p w14:paraId="1566F110" w14:textId="77777777" w:rsidR="003476F8" w:rsidRPr="00511005" w:rsidRDefault="003476F8" w:rsidP="003F6A5D">
      <w:pPr>
        <w:numPr>
          <w:ilvl w:val="0"/>
          <w:numId w:val="421"/>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Постанова Касаційного господарського суду у складі Верховного Суду від 14.09.2023 у справі № 924/75/23. URL: https://reyestr.court.gov.ua/Review/113526878 </w:t>
      </w:r>
    </w:p>
    <w:p w14:paraId="293AB460" w14:textId="77777777" w:rsidR="003476F8" w:rsidRPr="00511005" w:rsidRDefault="003476F8" w:rsidP="003A292D">
      <w:pPr>
        <w:spacing w:line="264" w:lineRule="auto"/>
        <w:ind w:firstLine="0"/>
        <w:rPr>
          <w:rFonts w:ascii="Arial" w:eastAsia="Times New Roman" w:hAnsi="Arial" w:cs="Arial"/>
          <w:b/>
          <w:bCs/>
          <w:szCs w:val="28"/>
          <w:lang w:val="uk-UA"/>
        </w:rPr>
      </w:pPr>
    </w:p>
    <w:p w14:paraId="4C269E3E" w14:textId="782BA4E9" w:rsidR="003476F8"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3476F8" w:rsidRPr="00511005">
        <w:rPr>
          <w:rFonts w:ascii="Arial" w:eastAsia="Times New Roman" w:hAnsi="Arial" w:cs="Arial"/>
          <w:szCs w:val="28"/>
          <w:lang w:val="uk-UA"/>
        </w:rPr>
        <w:t>господарський спір, договір поставки, стягнення заборгованості, доказування, неустойка.</w:t>
      </w:r>
    </w:p>
    <w:p w14:paraId="0091826D" w14:textId="6C4F4AB6" w:rsidR="003476F8"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3476F8" w:rsidRPr="00511005">
        <w:rPr>
          <w:rFonts w:ascii="Arial" w:eastAsia="Times New Roman" w:hAnsi="Arial" w:cs="Arial"/>
          <w:szCs w:val="28"/>
          <w:lang w:val="uk-UA"/>
        </w:rPr>
        <w:t>commercial dispute, supply contract, debt recovery, proving, penalty.</w:t>
      </w:r>
    </w:p>
    <w:p w14:paraId="6945312A" w14:textId="0B1E76C5" w:rsidR="003476F8" w:rsidRPr="00511005" w:rsidRDefault="007B2628" w:rsidP="003A292D">
      <w:pPr>
        <w:spacing w:line="264" w:lineRule="auto"/>
        <w:ind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3476F8" w:rsidRPr="00511005">
        <w:rPr>
          <w:rFonts w:ascii="Arial" w:eastAsia="Times New Roman" w:hAnsi="Arial" w:cs="Arial"/>
          <w:i/>
          <w:iCs/>
          <w:szCs w:val="28"/>
          <w:lang w:val="uk-UA"/>
        </w:rPr>
        <w:t>к.ю.н., доцент Будурова Г</w:t>
      </w:r>
      <w:r w:rsidR="00B81D8E">
        <w:rPr>
          <w:rFonts w:ascii="Arial" w:eastAsia="Times New Roman" w:hAnsi="Arial" w:cs="Arial"/>
          <w:i/>
          <w:iCs/>
          <w:szCs w:val="28"/>
          <w:lang w:val="uk-UA"/>
        </w:rPr>
        <w:t>.</w:t>
      </w:r>
      <w:r w:rsidR="003476F8" w:rsidRPr="00511005">
        <w:rPr>
          <w:rFonts w:ascii="Arial" w:eastAsia="Times New Roman" w:hAnsi="Arial" w:cs="Arial"/>
          <w:i/>
          <w:iCs/>
          <w:szCs w:val="28"/>
          <w:lang w:val="uk-UA"/>
        </w:rPr>
        <w:t xml:space="preserve"> М.</w:t>
      </w:r>
    </w:p>
    <w:p w14:paraId="1E7C007D" w14:textId="77777777" w:rsidR="003476F8" w:rsidRPr="00511005" w:rsidRDefault="003476F8" w:rsidP="003A292D">
      <w:pPr>
        <w:spacing w:line="264" w:lineRule="auto"/>
        <w:ind w:firstLine="0"/>
        <w:rPr>
          <w:rFonts w:ascii="Arial" w:eastAsia="Times New Roman" w:hAnsi="Arial" w:cs="Arial"/>
          <w:i/>
          <w:iCs/>
          <w:szCs w:val="28"/>
          <w:lang w:val="uk-UA"/>
        </w:rPr>
      </w:pPr>
      <w:r w:rsidRPr="00511005">
        <w:rPr>
          <w:rFonts w:ascii="Arial" w:eastAsia="Times New Roman" w:hAnsi="Arial" w:cs="Arial"/>
          <w:i/>
          <w:iCs/>
          <w:szCs w:val="28"/>
          <w:lang w:val="uk-UA"/>
        </w:rPr>
        <w:br/>
      </w:r>
    </w:p>
    <w:p w14:paraId="162B6D64" w14:textId="0764BC51" w:rsidR="003476F8" w:rsidRPr="00511005" w:rsidRDefault="003476F8" w:rsidP="003A292D">
      <w:pPr>
        <w:keepNext/>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Савранська Юлія Олександрівна</w:t>
      </w:r>
    </w:p>
    <w:p w14:paraId="1B104EBA" w14:textId="2500F3A0" w:rsidR="003476F8"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3-го курсу факультету адвокатури та антикорупційної діяльності</w:t>
      </w:r>
      <w:r w:rsidR="003476F8" w:rsidRPr="00511005">
        <w:rPr>
          <w:rFonts w:ascii="Arial" w:eastAsia="Calibri" w:hAnsi="Arial" w:cs="Arial"/>
          <w:szCs w:val="28"/>
          <w:lang w:val="uk-UA"/>
        </w:rPr>
        <w:br/>
      </w:r>
      <w:r w:rsidR="007B2628" w:rsidRPr="00511005">
        <w:rPr>
          <w:rFonts w:ascii="Arial" w:eastAsia="Calibri" w:hAnsi="Arial" w:cs="Arial"/>
          <w:szCs w:val="28"/>
          <w:lang w:val="uk-UA"/>
        </w:rPr>
        <w:t>Національного університету «Одеська юридична академія»</w:t>
      </w:r>
    </w:p>
    <w:p w14:paraId="5BA8EE4A" w14:textId="77777777" w:rsidR="003476F8" w:rsidRPr="00511005" w:rsidRDefault="003476F8" w:rsidP="003A292D">
      <w:pPr>
        <w:spacing w:line="264" w:lineRule="auto"/>
        <w:ind w:firstLine="0"/>
        <w:rPr>
          <w:rFonts w:ascii="Arial" w:eastAsia="Calibri" w:hAnsi="Arial" w:cs="Arial"/>
          <w:szCs w:val="28"/>
          <w:lang w:val="uk-UA"/>
        </w:rPr>
      </w:pPr>
    </w:p>
    <w:p w14:paraId="7ACA79FA" w14:textId="77777777" w:rsidR="003476F8" w:rsidRPr="00511005" w:rsidRDefault="003476F8" w:rsidP="003A292D">
      <w:pPr>
        <w:keepNext/>
        <w:widowControl w:val="0"/>
        <w:spacing w:line="264" w:lineRule="auto"/>
        <w:ind w:firstLine="0"/>
        <w:jc w:val="center"/>
        <w:rPr>
          <w:rFonts w:ascii="Arial" w:eastAsia="Calibri" w:hAnsi="Arial" w:cs="Arial"/>
          <w:szCs w:val="28"/>
          <w:lang w:val="uk-UA"/>
        </w:rPr>
      </w:pPr>
      <w:r w:rsidRPr="00511005">
        <w:rPr>
          <w:rFonts w:ascii="Arial" w:eastAsia="Calibri" w:hAnsi="Arial" w:cs="Arial"/>
          <w:b/>
          <w:szCs w:val="28"/>
          <w:lang w:val="uk-UA"/>
        </w:rPr>
        <w:t>ДЕРЖАВНА ПІДТРИМКА БІЗНЕСУ В УМОВАХ ВОЄННОЇ АГРЕСІЇ</w:t>
      </w:r>
    </w:p>
    <w:p w14:paraId="44B657A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 початком повномасштабної військової агресії проти України відбулися суттєві зміни в системі державного управління, зокрема у сфері підтримки економіки. Війна стала викликом не лише для безпеки країни, а й для її економічної стійкості, змусивши державу переглянути пріоритети та запровадити нові інструменти підтримки бізнесу. Основна мета - збереження робочих місць, адаптація підприємств до умов війни, відновлення критичної інфраструктури та стимулювання внутрішнього виробництва.</w:t>
      </w:r>
    </w:p>
    <w:p w14:paraId="224D171B"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Державна підтримка бізнесу - це цілеспрямоване регулювання, що передбачає використання інструментів прямої та опосередкованої допомоги, включаючи фінансову, матеріальну та організаційну підтримку [1, </w:t>
      </w:r>
      <w:r w:rsidRPr="00511005">
        <w:rPr>
          <w:rFonts w:ascii="Arial" w:eastAsia="Times New Roman" w:hAnsi="Arial" w:cs="Arial"/>
          <w:szCs w:val="28"/>
          <w:shd w:val="clear" w:color="auto" w:fill="FFFFFF"/>
          <w:lang w:val="uk-UA" w:eastAsia="ru-RU"/>
        </w:rPr>
        <w:t>с. 4].</w:t>
      </w:r>
      <w:r w:rsidRPr="00511005">
        <w:rPr>
          <w:rFonts w:ascii="Arial" w:eastAsia="Times New Roman" w:hAnsi="Arial" w:cs="Arial"/>
          <w:szCs w:val="28"/>
          <w:lang w:val="uk-UA" w:eastAsia="ru-RU"/>
        </w:rPr>
        <w:t xml:space="preserve">У мирний час ця підтримка є складовою економічної політики, </w:t>
      </w:r>
      <w:r w:rsidRPr="00511005">
        <w:rPr>
          <w:rFonts w:ascii="Arial" w:eastAsia="Times New Roman" w:hAnsi="Arial" w:cs="Arial"/>
          <w:szCs w:val="28"/>
          <w:lang w:val="uk-UA" w:eastAsia="ru-RU"/>
        </w:rPr>
        <w:lastRenderedPageBreak/>
        <w:t>спрямованої на створення сприятливого бізнес-клімату. Зокрема, підприємцям можуть надаватися земельні ділянки, об’єкти державної власності, матеріально-технічні ресурси, інформаційна підтримка, допомога у підготовці кадрів. Особлива увага приділяється розвитку малого підприємництва, для якого створюються пільгові умови.</w:t>
      </w:r>
    </w:p>
    <w:p w14:paraId="027C2933"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 умовах воєнної агресії, коли національна економіка зазнає значного тиску, питання державної підтримки підприємництва набуває ще більшої актуальності. З боку органів влади здійснюються додаткові заходи з дерегуляції, податкового стимулювання, релокації виробництв, грантової та фінансової підтримки, для того щоб зберегти робочі місця, підтримати економічну стійкість та забезпечити післявоєнне відновлення країни.</w:t>
      </w:r>
    </w:p>
    <w:p w14:paraId="70453A7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Calibri" w:hAnsi="Arial" w:cs="Arial"/>
          <w:szCs w:val="28"/>
          <w:lang w:val="uk-UA"/>
        </w:rPr>
        <w:t xml:space="preserve">Попри складні виклики, спричинені повномасштабною агресією, український бізнес демонструє вражаючу стійкість і прагнення до розвитку. Завдяки державній підтримці підприємці не лише зберігають ділову активність, а й відкривають нові бізнеси, сприяючи відновленню економіки. Згідно з дослідженням Центру розвитку інновацій та Офісу з розвитку підприємництва та експорту, вже за два місяці після початку війни кількість нових реєстрацій сягнула майже 50% довоєнного рівня. Темпи відновлення підприємницької активності перевищили показники періоду пандемії COVID-19, що свідчить про високу адаптивність бізнесу до нових умов. </w:t>
      </w:r>
      <w:r w:rsidRPr="00511005">
        <w:rPr>
          <w:rFonts w:ascii="Arial" w:eastAsia="Times New Roman" w:hAnsi="Arial" w:cs="Arial"/>
          <w:szCs w:val="28"/>
          <w:lang w:val="uk-UA" w:eastAsia="ru-RU"/>
        </w:rPr>
        <w:t>Водночас, наслідки війни мали і вкрай негативний вплив на економічну активність підприємств в Україні, що, своєю чергою, призвело до безпрецедентного скорочення рівня валового внутрішнього продукту на 29,1%. Таке падіння спричинило серйозні труднощі у всіх сферах та галузях господарської діяльності [2, c. 94].</w:t>
      </w:r>
    </w:p>
    <w:p w14:paraId="2AE06570"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Із початком повномасштабної агресії російської федерації проти України було запроваджено низку заходів для фінансової підтримки малого та середнього бізнесу. Зокрема, запроваджено податкові пільги, спрощено формування податкового кредиту, а також розширено коло учасників і напрямів державних програм «Доступні кредити 5-7-9 %» і «Доступний фінансовий лізинг 5-7-9 %» [3, </w:t>
      </w:r>
      <w:r w:rsidRPr="00511005">
        <w:rPr>
          <w:rFonts w:ascii="Arial" w:eastAsia="Calibri" w:hAnsi="Arial" w:cs="Arial"/>
          <w:szCs w:val="28"/>
          <w:shd w:val="clear" w:color="auto" w:fill="FFFFFF"/>
          <w:lang w:val="uk-UA"/>
        </w:rPr>
        <w:t>c.</w:t>
      </w:r>
      <w:r w:rsidRPr="00511005">
        <w:rPr>
          <w:rFonts w:ascii="Arial" w:eastAsia="Calibri" w:hAnsi="Arial" w:cs="Arial"/>
          <w:szCs w:val="28"/>
          <w:lang w:val="uk-UA"/>
        </w:rPr>
        <w:t>25]. У межах цих програм бізнес отримав можливість залучати кредити до 60 млн грн під 0% річних на період дії воєнного стану та ще місяць після його завершення. За рік війни укладено 17 359 кредитних договорів на суму 72,24 млрд грн [4, c. 6].</w:t>
      </w:r>
    </w:p>
    <w:p w14:paraId="7DA03673"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відповідь на виклики воєнного часу держава активізувала заходи щодо підтримки представників бізнесу. Зокрема, у межах проєкту«єРобота» було започатковано програму «Власна справа». У рамках цієї ініціативи було надано 10 000 мікрогрантів. Процедура отримання мікрогрантів є максимально спрощеною, що робить участь у програмі доступною для широкого кола заявників. Основною вимогою до отримувачів мікрогрантів є створення нових робочих місць, що дозволяє не лише підтримати розвиток малого підприємництва, а й сприяє розв'язанню проблеми </w:t>
      </w:r>
      <w:r w:rsidRPr="00511005">
        <w:rPr>
          <w:rFonts w:ascii="Arial" w:eastAsia="Calibri" w:hAnsi="Arial" w:cs="Arial"/>
          <w:szCs w:val="28"/>
          <w:lang w:val="uk-UA"/>
        </w:rPr>
        <w:lastRenderedPageBreak/>
        <w:t xml:space="preserve">працевлаштування населення. Завдяки цій програмі держава не лише допомагає бізнесу вижити та адаптуватися в умовах війни, але й забезпечує повернення інвестованих коштів у вигляді сплати податків і зборів до державного бюджету [5, c. 3]. Крім того, уряд розробив і впроваджує програми надання тимчасової допомоги та підтримки бізнесу в умовах воєнного стану. </w:t>
      </w:r>
    </w:p>
    <w:p w14:paraId="0655E5E6"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Calibri" w:hAnsi="Arial" w:cs="Arial"/>
          <w:szCs w:val="28"/>
          <w:lang w:val="uk-UA"/>
        </w:rPr>
        <w:t xml:space="preserve">Ефективні механізми підтримки українського малого та середнього підприємництва можуть бути задіяні також у співробітницві з державами Європейського Союзу. До таких належить інструмент підтримки збереження зайнятості – фонд SURE, що передбачає реалізацію програм підтримки зайнятості в кризових умовах, зокрема через надання роботодавцям субсидій для часткової компенсації заробітної плати працівників. </w:t>
      </w:r>
      <w:r w:rsidRPr="00511005">
        <w:rPr>
          <w:rFonts w:ascii="Arial" w:eastAsia="Times New Roman" w:hAnsi="Arial" w:cs="Arial"/>
          <w:szCs w:val="28"/>
          <w:lang w:val="uk-UA" w:eastAsia="ru-RU"/>
        </w:rPr>
        <w:t xml:space="preserve">Також було впроваджено податкові зміни, які направлені на збільшення кола суб’єктів господарювання, що мають право на застосування пільгових умов спрощеної системи оподаткування, зниження податкових ставок, зокрема введення єдиного податку на оборот у розмірі 2% для переважної більшості суб’єктів господарювання, за винятком певних видів діяльності. Крім того, було </w:t>
      </w:r>
      <w:r w:rsidRPr="00511005">
        <w:rPr>
          <w:rFonts w:ascii="Arial" w:eastAsia="Calibri" w:hAnsi="Arial" w:cs="Arial"/>
          <w:szCs w:val="28"/>
          <w:lang w:val="uk-UA"/>
        </w:rPr>
        <w:t xml:space="preserve">запроваджено звільнення від сплати єдиного податку для фізичних осіб-підприємців, які перебувають на першій та другій групах спрощеної системи оподаткування, а також для юридичних осіб – платників єдиного податку цих самих груп. </w:t>
      </w:r>
      <w:r w:rsidRPr="00511005">
        <w:rPr>
          <w:rFonts w:ascii="Arial" w:eastAsia="Times New Roman" w:hAnsi="Arial" w:cs="Arial"/>
          <w:szCs w:val="28"/>
          <w:lang w:val="uk-UA" w:eastAsia="ru-RU"/>
        </w:rPr>
        <w:t>Розширено пільги для підприємств, що надають благодійну допомогу, а також звільнено підприємців-платників єдиного податку від сплати ЄСВ у разі втрати доходу.</w:t>
      </w:r>
    </w:p>
    <w:p w14:paraId="28614F72"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Крім того, відзначається лібералізація бізнес-середовища та сприяння розвитку підприємництва, зокрема через тимчасову відміну 600 ліцензій для бізнесу, податкових перевірок та штрафних санкцій за відсутність фіскального чека (за винятком підакцизних товарів). Також спрощено митне регулювання та введено митні пільги, зокрема звільнення від оподаткування ввізним митом товарів, що ввозяться в Україну в режимі імпорту, а також звільнення від ПДВ операцій з ввезення товарів на митну територію для платників єдиного податку 1-ї, 2-ї та 3-ї груп, які сплачують податок за ставкою 2% [4, c. 3].</w:t>
      </w:r>
    </w:p>
    <w:p w14:paraId="3831864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Водночас для забезпечення успішного функціонування бізнесу необхідною є скоординована державна політика підтримки. </w:t>
      </w:r>
      <w:r w:rsidRPr="00511005">
        <w:rPr>
          <w:rFonts w:ascii="Arial" w:eastAsia="Calibri" w:hAnsi="Arial" w:cs="Arial"/>
          <w:szCs w:val="28"/>
          <w:lang w:val="uk-UA"/>
        </w:rPr>
        <w:t>Дієва економічна політика повинна бути орієнтована на формування сприятливих умов для розвитку підприємницької діяльності шляхом реалізації програм фінансової підтримки бізнесу</w:t>
      </w:r>
      <w:r w:rsidRPr="00511005">
        <w:rPr>
          <w:rFonts w:ascii="Arial" w:eastAsia="Times New Roman" w:hAnsi="Arial" w:cs="Arial"/>
          <w:szCs w:val="28"/>
          <w:lang w:val="uk-UA" w:eastAsia="ru-RU"/>
        </w:rPr>
        <w:t xml:space="preserve">, розвитку системи підприємницької освіти, спрощення податкового регулювання, а також активного залучення малих та середніх підприємств до участі у системі державних закупівель. Варто підкреслити, що для повноцінного відновлення бізнес-активності необхідно не лише розширювати доступ до фінансових ресурсів, але й забезпечувати стабільність правового середовища, розвивати інфраструктуру для </w:t>
      </w:r>
      <w:r w:rsidRPr="00511005">
        <w:rPr>
          <w:rFonts w:ascii="Arial" w:eastAsia="Times New Roman" w:hAnsi="Arial" w:cs="Arial"/>
          <w:szCs w:val="28"/>
          <w:lang w:val="uk-UA" w:eastAsia="ru-RU"/>
        </w:rPr>
        <w:lastRenderedPageBreak/>
        <w:t>підтримки підприємництва, стимулювати інновації та цифровізацію бізнес-процесів, а також активно інтегрувати українські підприємства у міжнародні ринки. Лише комплексний і системний підхід дозволить ефективно відновити економіку та забезпечити сталий розвиток бізнесу в Україні.</w:t>
      </w:r>
    </w:p>
    <w:p w14:paraId="5EFA3986"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Отже, в умовах воєнного стану підтримка бізнесу стала одним із ключових напрямів державної політики, оскільки саме підприємництво забезпечує функціонування економіки, наповнення бюджету та створення робочих місць. Україна змогла швидко адаптувати наявні інструменти допомоги та запровадити нові, що свідчить про гнучкість і оперативність уряду. Результатом стало не лише збереження ділової активності, а й помітне відновлення підприємницьких ініціатив. Водночас очевидним є те, що короткострокові заходи підтримки мають доповнюватися довгостроковими стратегічними рішеннями. Майбутній розвиток українського підприємництва потребує системної державної політики, яка б включала правову стабільність, розбудову інфраструктури, підтримку інновацій та залучення інвестицій. Особливо важливо забезпечити доступ до міжнародних ринків, цифровізацію бізнес-процесів та підприємницьку освіту, що у сукупності сприятиме сталому економічному зростанню й післявоєнному відновленню країни.</w:t>
      </w:r>
    </w:p>
    <w:p w14:paraId="407DA5B1"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2F4A533D" w14:textId="12BB88DB" w:rsidR="003476F8" w:rsidRPr="00511005" w:rsidRDefault="007B2628" w:rsidP="007B2628">
      <w:pPr>
        <w:keepNext/>
        <w:widowControl w:val="0"/>
        <w:spacing w:line="264" w:lineRule="auto"/>
        <w:ind w:firstLine="0"/>
        <w:jc w:val="center"/>
        <w:rPr>
          <w:rFonts w:ascii="Arial" w:eastAsia="Calibri" w:hAnsi="Arial" w:cs="Arial"/>
          <w:b/>
          <w:iCs/>
          <w:szCs w:val="28"/>
          <w:lang w:val="uk-UA"/>
        </w:rPr>
      </w:pPr>
      <w:r w:rsidRPr="00511005">
        <w:rPr>
          <w:rFonts w:ascii="Arial" w:eastAsia="Calibri" w:hAnsi="Arial" w:cs="Arial"/>
          <w:b/>
          <w:iCs/>
          <w:szCs w:val="28"/>
          <w:lang w:val="uk-UA"/>
        </w:rPr>
        <w:t>Список використаних джерел</w:t>
      </w:r>
    </w:p>
    <w:p w14:paraId="51682021" w14:textId="4595AA06" w:rsidR="003476F8" w:rsidRPr="00511005" w:rsidRDefault="003476F8" w:rsidP="003F6A5D">
      <w:pPr>
        <w:numPr>
          <w:ilvl w:val="0"/>
          <w:numId w:val="42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Мельник Т. Ю. Державна підтримка та стимулювання розвитку бізнесу в Україні під час дії воєнного стану. </w:t>
      </w:r>
      <w:r w:rsidRPr="00511005">
        <w:rPr>
          <w:rFonts w:ascii="Arial" w:eastAsia="Calibri" w:hAnsi="Arial" w:cs="Arial"/>
          <w:i/>
          <w:szCs w:val="28"/>
          <w:lang w:val="uk-UA"/>
        </w:rPr>
        <w:t>Економіка, управління та адміністрування.</w:t>
      </w:r>
      <w:r w:rsidRPr="00511005">
        <w:rPr>
          <w:rFonts w:ascii="Arial" w:eastAsia="Calibri" w:hAnsi="Arial" w:cs="Arial"/>
          <w:szCs w:val="28"/>
          <w:lang w:val="uk-UA"/>
        </w:rPr>
        <w:t xml:space="preserve">2022. № </w:t>
      </w:r>
      <w:r w:rsidRPr="00511005">
        <w:rPr>
          <w:rFonts w:ascii="Arial" w:eastAsia="Calibri" w:hAnsi="Arial" w:cs="Arial"/>
          <w:szCs w:val="28"/>
          <w:shd w:val="clear" w:color="auto" w:fill="FFFFFF"/>
          <w:lang w:val="uk-UA"/>
        </w:rPr>
        <w:t>2(100).</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lang w:val="uk-UA"/>
        </w:rPr>
        <w:t xml:space="preserve">С. 3–11. URL : </w:t>
      </w:r>
      <w:hyperlink r:id="rId1613" w:history="1">
        <w:r w:rsidRPr="00511005">
          <w:rPr>
            <w:rFonts w:ascii="Arial" w:eastAsia="Calibri" w:hAnsi="Arial" w:cs="Arial"/>
            <w:szCs w:val="28"/>
            <w:lang w:val="uk-UA"/>
          </w:rPr>
          <w:t>https://ema.ztu.edu.ua/article/view/261787</w:t>
        </w:r>
      </w:hyperlink>
    </w:p>
    <w:p w14:paraId="22A56B15" w14:textId="6E4665DE" w:rsidR="003476F8" w:rsidRPr="00511005" w:rsidRDefault="003476F8" w:rsidP="003F6A5D">
      <w:pPr>
        <w:numPr>
          <w:ilvl w:val="0"/>
          <w:numId w:val="422"/>
        </w:numPr>
        <w:spacing w:line="264" w:lineRule="auto"/>
        <w:contextualSpacing/>
        <w:jc w:val="left"/>
        <w:rPr>
          <w:rFonts w:ascii="Arial" w:eastAsia="Calibri" w:hAnsi="Arial" w:cs="Arial"/>
          <w:szCs w:val="28"/>
          <w:lang w:val="uk-UA"/>
        </w:rPr>
      </w:pPr>
      <w:r w:rsidRPr="00511005">
        <w:rPr>
          <w:rFonts w:ascii="Arial" w:eastAsia="Times New Roman" w:hAnsi="Arial" w:cs="Arial"/>
          <w:szCs w:val="28"/>
          <w:lang w:val="uk-UA" w:eastAsia="ru-RU"/>
        </w:rPr>
        <w:t>Клочковська В.О., Клочковський О.В., Трегубов О.С.</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Макроекономічні аспекти відновлення функціонування малого та середнього бізнесу в контексті повоєнної відбудови національної економіки України. </w:t>
      </w:r>
      <w:r w:rsidRPr="00511005">
        <w:rPr>
          <w:rFonts w:ascii="Arial" w:eastAsia="Times New Roman" w:hAnsi="Arial" w:cs="Arial"/>
          <w:i/>
          <w:szCs w:val="28"/>
          <w:lang w:val="uk-UA" w:eastAsia="ru-RU"/>
        </w:rPr>
        <w:t>Економіка і організація управління.</w:t>
      </w:r>
      <w:r w:rsidRPr="00511005">
        <w:rPr>
          <w:rFonts w:ascii="Arial" w:eastAsia="Times New Roman" w:hAnsi="Arial" w:cs="Arial"/>
          <w:szCs w:val="28"/>
          <w:lang w:val="uk-UA" w:eastAsia="ru-RU"/>
        </w:rPr>
        <w:t xml:space="preserve"> 2023. № 1 (49). С. 89-98.</w:t>
      </w:r>
    </w:p>
    <w:p w14:paraId="3F09B6FB" w14:textId="415AC469" w:rsidR="003476F8" w:rsidRPr="00511005" w:rsidRDefault="003476F8" w:rsidP="003F6A5D">
      <w:pPr>
        <w:numPr>
          <w:ilvl w:val="0"/>
          <w:numId w:val="422"/>
        </w:numPr>
        <w:spacing w:line="264" w:lineRule="auto"/>
        <w:contextualSpacing/>
        <w:jc w:val="left"/>
        <w:rPr>
          <w:rFonts w:ascii="Arial" w:eastAsia="Calibri" w:hAnsi="Arial" w:cs="Arial"/>
          <w:szCs w:val="28"/>
          <w:lang w:val="uk-UA"/>
        </w:rPr>
      </w:pPr>
      <w:r w:rsidRPr="00511005">
        <w:rPr>
          <w:rFonts w:ascii="Arial" w:eastAsia="Calibri" w:hAnsi="Arial" w:cs="Arial"/>
          <w:szCs w:val="28"/>
          <w:shd w:val="clear" w:color="auto" w:fill="FFFFFF"/>
          <w:lang w:val="uk-UA"/>
        </w:rPr>
        <w:t xml:space="preserve">Глушко А.Д. Дерегуляція бізнес-середовища в Україні в умовах воєнного стану. </w:t>
      </w:r>
      <w:r w:rsidRPr="00511005">
        <w:rPr>
          <w:rFonts w:ascii="Arial" w:eastAsia="Calibri" w:hAnsi="Arial" w:cs="Arial"/>
          <w:i/>
          <w:szCs w:val="28"/>
          <w:shd w:val="clear" w:color="auto" w:fill="FFFFFF"/>
          <w:lang w:val="uk-UA"/>
        </w:rPr>
        <w:t>Економічна безпека: держава, регіон, підприємство</w:t>
      </w:r>
      <w:r w:rsidRPr="00511005">
        <w:rPr>
          <w:rFonts w:ascii="Arial" w:eastAsia="Calibri" w:hAnsi="Arial" w:cs="Arial"/>
          <w:szCs w:val="28"/>
          <w:shd w:val="clear" w:color="auto" w:fill="FFFFFF"/>
          <w:lang w:val="uk-UA"/>
        </w:rPr>
        <w:t xml:space="preserve">: </w:t>
      </w:r>
      <w:r w:rsidRPr="00511005">
        <w:rPr>
          <w:rFonts w:ascii="Arial" w:eastAsia="Calibri" w:hAnsi="Arial" w:cs="Arial"/>
          <w:szCs w:val="28"/>
          <w:lang w:val="uk-UA"/>
        </w:rPr>
        <w:t>збірник матеріалів Міжнародної науково-практичної Інтернет-конференції</w:t>
      </w:r>
      <w:r w:rsidRPr="00511005">
        <w:rPr>
          <w:rFonts w:ascii="Arial" w:eastAsia="Calibri" w:hAnsi="Arial" w:cs="Arial"/>
          <w:szCs w:val="28"/>
          <w:shd w:val="clear" w:color="auto" w:fill="FFFFFF"/>
          <w:lang w:val="uk-UA"/>
        </w:rPr>
        <w:t>.</w:t>
      </w:r>
      <w:r w:rsidR="007B2628"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lang w:val="uk-UA"/>
        </w:rPr>
        <w:t xml:space="preserve">Полтава, 2022. С. 24-26. </w:t>
      </w:r>
      <w:r w:rsidRPr="00511005">
        <w:rPr>
          <w:rFonts w:ascii="Arial" w:eastAsia="Calibri" w:hAnsi="Arial" w:cs="Arial"/>
          <w:szCs w:val="28"/>
          <w:lang w:val="uk-UA"/>
        </w:rPr>
        <w:t xml:space="preserve">URL: </w:t>
      </w:r>
      <w:hyperlink r:id="rId1614" w:history="1">
        <w:r w:rsidRPr="00511005">
          <w:rPr>
            <w:rFonts w:ascii="Arial" w:eastAsia="Calibri" w:hAnsi="Arial" w:cs="Arial"/>
            <w:szCs w:val="28"/>
            <w:lang w:val="uk-UA"/>
          </w:rPr>
          <w:t>https://reposit.nupp.edu.ua/bitstream/PoltNTU/11497/1/%D0%93%D0%BB%D1%83%D1%88%D0%BA%D0%BE.pdf</w:t>
        </w:r>
      </w:hyperlink>
    </w:p>
    <w:p w14:paraId="72BD976B" w14:textId="77777777" w:rsidR="003476F8" w:rsidRPr="00511005" w:rsidRDefault="003476F8" w:rsidP="003F6A5D">
      <w:pPr>
        <w:numPr>
          <w:ilvl w:val="0"/>
          <w:numId w:val="422"/>
        </w:numPr>
        <w:spacing w:line="264" w:lineRule="auto"/>
        <w:contextualSpacing/>
        <w:jc w:val="left"/>
        <w:rPr>
          <w:rFonts w:ascii="Arial" w:eastAsia="Times New Roman" w:hAnsi="Arial" w:cs="Arial"/>
          <w:szCs w:val="28"/>
          <w:lang w:val="uk-UA" w:eastAsia="ru-RU"/>
        </w:rPr>
      </w:pPr>
      <w:r w:rsidRPr="00511005">
        <w:rPr>
          <w:rFonts w:ascii="Arial" w:eastAsia="Calibri" w:hAnsi="Arial" w:cs="Arial"/>
          <w:szCs w:val="28"/>
          <w:lang w:val="uk-UA"/>
        </w:rPr>
        <w:t>Дикань, В., Фролова Н. Напрями та інструменти державної підтримки розвитку малого та середнього бізнесу в Україні у воєнний час.</w:t>
      </w:r>
      <w:r w:rsidRPr="00511005">
        <w:rPr>
          <w:rFonts w:ascii="Arial" w:eastAsia="Calibri" w:hAnsi="Arial" w:cs="Arial"/>
          <w:i/>
          <w:iCs/>
          <w:szCs w:val="28"/>
          <w:lang w:val="uk-UA"/>
        </w:rPr>
        <w:t>Економіка та суспільство</w:t>
      </w:r>
      <w:r w:rsidRPr="00511005">
        <w:rPr>
          <w:rFonts w:ascii="Arial" w:eastAsia="Calibri" w:hAnsi="Arial" w:cs="Arial"/>
          <w:szCs w:val="28"/>
          <w:lang w:val="uk-UA"/>
        </w:rPr>
        <w:t xml:space="preserve">. 2022. № 38. С. 1-6. URL : </w:t>
      </w:r>
      <w:hyperlink r:id="rId1615" w:history="1">
        <w:r w:rsidRPr="00511005">
          <w:rPr>
            <w:rFonts w:ascii="Arial" w:eastAsia="Calibri" w:hAnsi="Arial" w:cs="Arial"/>
            <w:szCs w:val="28"/>
            <w:lang w:val="uk-UA"/>
          </w:rPr>
          <w:t>https://doi.org/10.32782/2524-0072/2022-38-56</w:t>
        </w:r>
      </w:hyperlink>
    </w:p>
    <w:p w14:paraId="6E66D4B6" w14:textId="77777777" w:rsidR="003476F8" w:rsidRPr="00511005" w:rsidRDefault="003476F8" w:rsidP="003F6A5D">
      <w:pPr>
        <w:numPr>
          <w:ilvl w:val="0"/>
          <w:numId w:val="422"/>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Стефанюк О.Д., Галунець Н.І., Сідненко М.В. Пріоритети розвитку бізнесу у воєнний час. </w:t>
      </w:r>
      <w:r w:rsidRPr="00511005">
        <w:rPr>
          <w:rFonts w:ascii="Arial" w:eastAsia="Times New Roman" w:hAnsi="Arial" w:cs="Arial"/>
          <w:i/>
          <w:szCs w:val="28"/>
          <w:lang w:val="uk-UA" w:eastAsia="ru-RU"/>
        </w:rPr>
        <w:t>Економіка та суспільство</w:t>
      </w:r>
      <w:r w:rsidRPr="00511005">
        <w:rPr>
          <w:rFonts w:ascii="Arial" w:eastAsia="Times New Roman" w:hAnsi="Arial" w:cs="Arial"/>
          <w:szCs w:val="28"/>
          <w:lang w:val="uk-UA" w:eastAsia="ru-RU"/>
        </w:rPr>
        <w:t>. 2023</w:t>
      </w:r>
      <w:r w:rsidRPr="00511005">
        <w:rPr>
          <w:rFonts w:ascii="Arial" w:eastAsia="Times New Roman" w:hAnsi="Arial" w:cs="Arial"/>
          <w:szCs w:val="28"/>
          <w:shd w:val="clear" w:color="auto" w:fill="FFFFFF"/>
          <w:lang w:val="uk-UA" w:eastAsia="ru-RU"/>
        </w:rPr>
        <w:t xml:space="preserve">. № 49. С. </w:t>
      </w:r>
      <w:r w:rsidRPr="00511005">
        <w:rPr>
          <w:rFonts w:ascii="Arial" w:eastAsia="Times New Roman" w:hAnsi="Arial" w:cs="Arial"/>
          <w:szCs w:val="28"/>
          <w:shd w:val="clear" w:color="auto" w:fill="FFFFFF"/>
          <w:lang w:val="uk-UA" w:eastAsia="ru-RU"/>
        </w:rPr>
        <w:lastRenderedPageBreak/>
        <w:t xml:space="preserve">1-5. </w:t>
      </w:r>
      <w:r w:rsidRPr="00511005">
        <w:rPr>
          <w:rFonts w:ascii="Arial" w:eastAsia="Times New Roman" w:hAnsi="Arial" w:cs="Arial"/>
          <w:szCs w:val="28"/>
          <w:lang w:val="uk-UA" w:eastAsia="ru-RU"/>
        </w:rPr>
        <w:t>URL:</w:t>
      </w:r>
      <w:hyperlink r:id="rId1616" w:history="1">
        <w:r w:rsidRPr="00511005">
          <w:rPr>
            <w:rFonts w:ascii="Arial" w:eastAsia="Times New Roman" w:hAnsi="Arial" w:cs="Arial"/>
            <w:szCs w:val="28"/>
            <w:lang w:val="uk-UA" w:eastAsia="ru-RU"/>
          </w:rPr>
          <w:t>file:///C:/Users/Admin/Downloads/2361%D0%A2%D0%B5%D0%BA%D1%81%D1%82%20%D1%81%D1%82%D0%B0%D1%82%D1%82%D1%96-2276-1-10-20230511.pdf</w:t>
        </w:r>
      </w:hyperlink>
    </w:p>
    <w:p w14:paraId="79FB393C"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35CF9B06" w14:textId="04D1B1CB" w:rsidR="003476F8"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3476F8" w:rsidRPr="00511005">
        <w:rPr>
          <w:rFonts w:ascii="Arial" w:eastAsia="Calibri" w:hAnsi="Arial" w:cs="Arial"/>
          <w:szCs w:val="28"/>
          <w:lang w:val="uk-UA"/>
        </w:rPr>
        <w:t xml:space="preserve">державна підтримка, бізнес, воєнний стан, війна, пільги, програми, кредити, законодавство, економіка, підприємництво. </w:t>
      </w:r>
    </w:p>
    <w:p w14:paraId="787B0221" w14:textId="4F506CB9" w:rsidR="003476F8"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szCs w:val="28"/>
          <w:lang w:val="uk-UA" w:eastAsia="ru-RU"/>
        </w:rPr>
        <w:t>state support, business, martial law, war, benefits, programs, loans, legislation, economy, entrepreneurship.</w:t>
      </w:r>
    </w:p>
    <w:p w14:paraId="220D9ABC" w14:textId="20CA00DB" w:rsidR="003476F8" w:rsidRPr="00511005" w:rsidRDefault="007B2628" w:rsidP="003A292D">
      <w:pPr>
        <w:keepNext/>
        <w:spacing w:line="264" w:lineRule="auto"/>
        <w:ind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3476F8" w:rsidRPr="00511005">
        <w:rPr>
          <w:rFonts w:ascii="Arial" w:eastAsia="Calibri" w:hAnsi="Arial" w:cs="Arial"/>
          <w:bCs/>
          <w:i/>
          <w:iCs/>
          <w:szCs w:val="28"/>
          <w:lang w:val="uk-UA"/>
        </w:rPr>
        <w:t>к.ю.н., доцент Згама А.О..</w:t>
      </w:r>
    </w:p>
    <w:p w14:paraId="7EF5E3C0" w14:textId="77777777" w:rsidR="003476F8" w:rsidRPr="00511005" w:rsidRDefault="003476F8" w:rsidP="003A292D">
      <w:pPr>
        <w:spacing w:line="264" w:lineRule="auto"/>
        <w:ind w:firstLine="0"/>
        <w:contextualSpacing/>
        <w:rPr>
          <w:rFonts w:ascii="Arial" w:eastAsia="Calibri" w:hAnsi="Arial" w:cs="Arial"/>
          <w:szCs w:val="28"/>
          <w:lang w:val="uk-UA"/>
        </w:rPr>
      </w:pPr>
    </w:p>
    <w:p w14:paraId="3A2F4B90" w14:textId="77777777" w:rsidR="003476F8" w:rsidRPr="00511005" w:rsidRDefault="003476F8" w:rsidP="003A292D">
      <w:pPr>
        <w:spacing w:line="264" w:lineRule="auto"/>
        <w:ind w:firstLine="0"/>
        <w:contextualSpacing/>
        <w:rPr>
          <w:rFonts w:ascii="Arial" w:eastAsia="Calibri" w:hAnsi="Arial" w:cs="Arial"/>
          <w:szCs w:val="28"/>
          <w:lang w:val="uk-UA"/>
        </w:rPr>
      </w:pPr>
    </w:p>
    <w:p w14:paraId="229FF4E0" w14:textId="2ABF0EE0" w:rsidR="003476F8" w:rsidRPr="00511005" w:rsidRDefault="003476F8" w:rsidP="003A292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64" w:lineRule="auto"/>
        <w:ind w:firstLine="0"/>
        <w:jc w:val="center"/>
        <w:rPr>
          <w:rFonts w:ascii="Arial" w:eastAsia="Times New Roman" w:hAnsi="Arial" w:cs="Arial"/>
          <w:b/>
          <w:bCs/>
          <w:i/>
          <w:szCs w:val="28"/>
          <w:bdr w:val="nil"/>
          <w:lang w:val="uk-UA" w:eastAsia="ru-RU"/>
        </w:rPr>
      </w:pPr>
      <w:r w:rsidRPr="00511005">
        <w:rPr>
          <w:rFonts w:ascii="Arial" w:eastAsia="Arial Unicode MS" w:hAnsi="Arial" w:cs="Arial"/>
          <w:b/>
          <w:bCs/>
          <w:i/>
          <w:szCs w:val="28"/>
          <w:bdr w:val="nil"/>
          <w:lang w:val="uk-UA" w:eastAsia="ru-RU"/>
        </w:rPr>
        <w:t>Слободянюк Софія Андріївна</w:t>
      </w:r>
    </w:p>
    <w:p w14:paraId="6D81F7AF" w14:textId="7AE5401A"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64" w:lineRule="auto"/>
        <w:ind w:firstLine="0"/>
        <w:jc w:val="center"/>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 xml:space="preserve">студентки 3-го курсу </w:t>
      </w:r>
      <w:r w:rsidR="00536AAB" w:rsidRPr="00511005">
        <w:rPr>
          <w:rFonts w:ascii="Arial" w:eastAsia="Arial Unicode MS" w:hAnsi="Arial" w:cs="Arial"/>
          <w:szCs w:val="28"/>
          <w:bdr w:val="nil"/>
          <w:lang w:val="uk-UA" w:eastAsia="ru-RU"/>
        </w:rPr>
        <w:t>факультету адвокатури та антикорупційної діяльності</w:t>
      </w:r>
      <w:r w:rsidRPr="00511005">
        <w:rPr>
          <w:rFonts w:ascii="Arial" w:eastAsia="Arial Unicode MS" w:hAnsi="Arial" w:cs="Arial"/>
          <w:szCs w:val="28"/>
          <w:bdr w:val="nil"/>
          <w:lang w:val="uk-UA" w:eastAsia="ru-RU"/>
        </w:rPr>
        <w:t xml:space="preserve"> </w:t>
      </w:r>
    </w:p>
    <w:p w14:paraId="2E07EB43" w14:textId="61E6D1A4" w:rsidR="003476F8" w:rsidRPr="00511005" w:rsidRDefault="007B262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64" w:lineRule="auto"/>
        <w:ind w:firstLine="0"/>
        <w:jc w:val="center"/>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Національного університету «Одеська юридична академія»</w:t>
      </w:r>
    </w:p>
    <w:p w14:paraId="00D93865" w14:textId="77777777"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64" w:lineRule="auto"/>
        <w:ind w:firstLine="0"/>
        <w:jc w:val="center"/>
        <w:rPr>
          <w:rFonts w:ascii="Arial" w:eastAsia="Times New Roman" w:hAnsi="Arial" w:cs="Arial"/>
          <w:szCs w:val="28"/>
          <w:bdr w:val="nil"/>
          <w:lang w:val="uk-UA" w:eastAsia="ru-RU"/>
        </w:rPr>
      </w:pPr>
    </w:p>
    <w:p w14:paraId="28552002" w14:textId="77777777"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ind w:firstLine="0"/>
        <w:jc w:val="center"/>
        <w:rPr>
          <w:rFonts w:ascii="Arial" w:eastAsia="Arial Unicode MS" w:hAnsi="Arial" w:cs="Arial"/>
          <w:b/>
          <w:szCs w:val="28"/>
          <w:bdr w:val="nil"/>
          <w:lang w:val="uk-UA" w:eastAsia="ru-RU"/>
        </w:rPr>
      </w:pPr>
      <w:r w:rsidRPr="00511005">
        <w:rPr>
          <w:rFonts w:ascii="Arial" w:eastAsia="Arial Unicode MS" w:hAnsi="Arial" w:cs="Arial"/>
          <w:b/>
          <w:szCs w:val="28"/>
          <w:bdr w:val="nil"/>
          <w:lang w:val="uk-UA" w:eastAsia="ru-RU"/>
        </w:rPr>
        <w:t>ІНСТИТУТ НЕПЛАТОСПРОМОЖНОСТІ (БАНКРУТСТВА) В УКРАЇНІ: ПРАВОВІ ЗАСАДИ, ЕКОНОМІЧНЕ ЗНАЧЕННЯ ТА ШЛЯХИ ТРАНСФОРМАЦІЇ</w:t>
      </w:r>
    </w:p>
    <w:p w14:paraId="64B9B1BC" w14:textId="77777777" w:rsidR="003476F8" w:rsidRPr="00511005" w:rsidRDefault="003476F8" w:rsidP="003A292D">
      <w:pPr>
        <w:pBdr>
          <w:top w:val="nil"/>
          <w:left w:val="nil"/>
          <w:bottom w:val="nil"/>
          <w:right w:val="nil"/>
          <w:between w:val="nil"/>
          <w:bar w:val="nil"/>
        </w:pBdr>
        <w:spacing w:line="264" w:lineRule="auto"/>
        <w:ind w:firstLine="0"/>
        <w:rPr>
          <w:rFonts w:ascii="Arial" w:eastAsia="Times New Roman" w:hAnsi="Arial" w:cs="Arial"/>
          <w:szCs w:val="28"/>
          <w:bdr w:val="nil"/>
          <w:lang w:val="uk-UA" w:eastAsia="ru-RU"/>
        </w:rPr>
      </w:pPr>
      <w:r w:rsidRPr="00511005">
        <w:rPr>
          <w:rFonts w:ascii="Arial" w:eastAsia="Arial Unicode MS" w:hAnsi="Arial" w:cs="Arial"/>
          <w:bCs/>
          <w:szCs w:val="28"/>
          <w:bdr w:val="nil"/>
          <w:lang w:val="uk-UA" w:eastAsia="ru-RU"/>
        </w:rPr>
        <w:t>У</w:t>
      </w:r>
      <w:r w:rsidRPr="00511005">
        <w:rPr>
          <w:rFonts w:ascii="Arial" w:eastAsia="Arial Unicode MS" w:hAnsi="Arial" w:cs="Arial"/>
          <w:szCs w:val="28"/>
          <w:bdr w:val="nil"/>
          <w:lang w:val="uk-UA" w:eastAsia="ru-RU"/>
        </w:rPr>
        <w:t xml:space="preserve"> сучасному ринковому середовищі, яке формується в Україні, банкрутство стало не лише правовим поняттям, а й реалією економічного життя. Неплатоспроможність підприємства, яка часто закінчується визнанням його банкрутом, є крайньою формою фінансової кризи та свідченням неспроможності суб’єкта господарювання ефективно функціонувати в умовах конкуренції. Цей процес є болісним як для самого боржника, так і для його кредиторів, працівників, партнерів та держави загалом. Наразі банкрутство в Україні вже перестає бути виключно негативним явищем, адже з розвитком правових механізмів та інститутів, які його регулюють, з’являється можливість використання процедури банкрутства як інструмента відновлення фінансової стабільності, санації та реорганізації підприємств.</w:t>
      </w:r>
    </w:p>
    <w:p w14:paraId="42E469CD" w14:textId="77777777" w:rsidR="003476F8" w:rsidRPr="00511005" w:rsidRDefault="003476F8" w:rsidP="003A292D">
      <w:pPr>
        <w:pBdr>
          <w:top w:val="nil"/>
          <w:left w:val="nil"/>
          <w:bottom w:val="nil"/>
          <w:right w:val="nil"/>
          <w:between w:val="nil"/>
          <w:bar w:val="nil"/>
        </w:pBdr>
        <w:spacing w:line="264" w:lineRule="auto"/>
        <w:ind w:firstLine="0"/>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 xml:space="preserve">Поняття банкрутства в українському праві чітко пов’язане з категорією неплатоспроможності. Неплатоспроможність означає об’єктивну нездатність юридичної або фізичної особи-підприємця погасити у встановлений строк свої грошові зобов’язання перед кредиторами. Згідно з чинним законодавством, саме факт неплатоспроможності може стати підставою для відкриття справи про банкрутство. Стаття 1 Кодексу України з процедур банкрутства визначає банкрутство як </w:t>
      </w:r>
      <w:r w:rsidRPr="00511005">
        <w:rPr>
          <w:rFonts w:ascii="Arial" w:eastAsia="Arial Unicode MS" w:hAnsi="Arial" w:cs="Arial"/>
          <w:szCs w:val="28"/>
          <w:bdr w:val="nil"/>
          <w:shd w:val="clear" w:color="auto" w:fill="FFFFFF"/>
          <w:lang w:val="uk-UA" w:eastAsia="ru-RU"/>
        </w:rPr>
        <w:t xml:space="preserve">визнану господарським судом нездатність боржника, крім страховика або кредитної спілки, відновити свою платоспроможність за допомогою процедури санації та реструктуризації і погасити встановлені у порядку, визначеному цим Кодексом, грошові вимоги кредиторів інакше, ніж через застосування </w:t>
      </w:r>
      <w:r w:rsidRPr="00511005">
        <w:rPr>
          <w:rFonts w:ascii="Arial" w:eastAsia="Arial Unicode MS" w:hAnsi="Arial" w:cs="Arial"/>
          <w:szCs w:val="28"/>
          <w:bdr w:val="nil"/>
          <w:shd w:val="clear" w:color="auto" w:fill="FFFFFF"/>
          <w:lang w:val="uk-UA" w:eastAsia="ru-RU"/>
        </w:rPr>
        <w:lastRenderedPageBreak/>
        <w:t>ліквідаційної процедури або процедури погашення боргів боржника, а також віднесення страховика або кредитної спілки відповідно до рішення Національного банку України до категорії неплатоспроможних відповідно до </w:t>
      </w:r>
      <w:hyperlink r:id="rId1617" w:tgtFrame="_blank" w:history="1">
        <w:r w:rsidRPr="00511005">
          <w:rPr>
            <w:rFonts w:ascii="Arial" w:eastAsia="Arial Unicode MS" w:hAnsi="Arial" w:cs="Arial"/>
            <w:szCs w:val="28"/>
            <w:bdr w:val="nil"/>
            <w:lang w:val="uk-UA" w:eastAsia="ru-RU"/>
          </w:rPr>
          <w:t>Закону України</w:t>
        </w:r>
      </w:hyperlink>
      <w:r w:rsidRPr="00511005">
        <w:rPr>
          <w:rFonts w:ascii="Arial" w:eastAsia="Arial Unicode MS" w:hAnsi="Arial" w:cs="Arial"/>
          <w:szCs w:val="28"/>
          <w:bdr w:val="nil"/>
          <w:shd w:val="clear" w:color="auto" w:fill="FFFFFF"/>
          <w:lang w:val="uk-UA" w:eastAsia="ru-RU"/>
        </w:rPr>
        <w:t> «Про страхування» або Закону України «Про кредитні спілки»</w:t>
      </w:r>
      <w:r w:rsidRPr="00511005">
        <w:rPr>
          <w:rFonts w:ascii="Arial" w:eastAsia="Arial Unicode MS" w:hAnsi="Arial" w:cs="Arial"/>
          <w:szCs w:val="28"/>
          <w:bdr w:val="nil"/>
          <w:lang w:val="uk-UA" w:eastAsia="ru-RU"/>
        </w:rPr>
        <w:t>[1]. Отже, правове тлумачення банкрутства чітко відокремлює його від звичайної тимчасової фінансової кризи та вимагає наявності юридично підтвердженої стійкої неплатоспроможності.</w:t>
      </w:r>
    </w:p>
    <w:p w14:paraId="4FBBC03A" w14:textId="77777777" w:rsidR="003476F8" w:rsidRPr="00511005" w:rsidRDefault="003476F8" w:rsidP="003A292D">
      <w:pPr>
        <w:pBdr>
          <w:top w:val="nil"/>
          <w:left w:val="nil"/>
          <w:bottom w:val="nil"/>
          <w:right w:val="nil"/>
          <w:between w:val="nil"/>
          <w:bar w:val="nil"/>
        </w:pBdr>
        <w:spacing w:line="264" w:lineRule="auto"/>
        <w:ind w:firstLine="0"/>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 xml:space="preserve">Інститут банкрутства в Україні врегульований не лише спеціальним Кодексом, а й Господарським кодексом (глава 23), де передбачена ціла глава, присвячена визнанню суб’єкта підприємництва банкрутом [2]. Це свідчить про значущість правового регулювання цього явища. Слід зазначити, що інститут банкрутства має комплексний характер і охоплює норми матеріального та процесуального права, включаючи положення господарського, фінансового, трудового та адміністративного права. У науковому середовищі точаться суперечки щодо галузевої приналежності цього інституту: одні фахівці вважають його частиною господарського права, інші – підгалуззю, ще інші – комплексним правовим інститутом. Проте очевидно одне: банкрутство є важливою ланкою правового забезпечення економічної безпеки та стабільності обігу в державі [3, c.7]. </w:t>
      </w:r>
    </w:p>
    <w:p w14:paraId="70CA5A58" w14:textId="77777777" w:rsidR="003476F8" w:rsidRPr="00511005" w:rsidRDefault="003476F8" w:rsidP="003A292D">
      <w:pPr>
        <w:pBdr>
          <w:top w:val="nil"/>
          <w:left w:val="nil"/>
          <w:bottom w:val="nil"/>
          <w:right w:val="nil"/>
          <w:between w:val="nil"/>
          <w:bar w:val="nil"/>
        </w:pBdr>
        <w:spacing w:line="264" w:lineRule="auto"/>
        <w:ind w:firstLine="0"/>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Відкриття провадження у справі про банкрутство здійснюється господарським судом за заявою боржника або кредитора, залежно від характеру справи. Кодекс з процедур банкрутства передбачає навіть можливість звернення боржника при наявності загрози неплатоспроможності, що є превентивним заходом. Для особливих суб’єктів, таких як страховики чи кредитні спілки, процес має специфіку та потребує участі Національного банку України [1]. Така процедура демонструє високий рівень правового захисту як інтересів кредиторів, так і боржників.</w:t>
      </w:r>
    </w:p>
    <w:p w14:paraId="1DF8C3AD" w14:textId="77777777" w:rsidR="003476F8" w:rsidRPr="00511005" w:rsidRDefault="003476F8" w:rsidP="003A292D">
      <w:pPr>
        <w:pBdr>
          <w:top w:val="nil"/>
          <w:left w:val="nil"/>
          <w:bottom w:val="nil"/>
          <w:right w:val="nil"/>
          <w:between w:val="nil"/>
          <w:bar w:val="nil"/>
        </w:pBdr>
        <w:spacing w:line="264" w:lineRule="auto"/>
        <w:ind w:firstLine="0"/>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Підставами для порушення провадження у справі про банкрутство є встановлена судом стійка неплатоспроможність, наявність документально підтверджених вимог кредиторів, а також неспроможність боржника виконати зобов’язання за рішенням суду. У цьому процесі критичним є питання достовірності фінансової звітності. Якщо на певних етапах буде виявлено, що боржник подав недостовірні дані про фінансово-майновий стан, це може свідчити про приховування банкрутства або умисне доведення до нього. Такі дії кваліфікуються як економічні злочини та тягнуть за собою кримінальну відповідальність. Приховування банкрутства - це, зокрема, подання фальсифікованої інформації з метою введення в оману суду чи кредиторів, а умисне банкрутство - це дії, спрямовані на створення умов неплатоспроможності з корисливою метою.</w:t>
      </w:r>
    </w:p>
    <w:p w14:paraId="6B77984A" w14:textId="77777777" w:rsidR="003476F8" w:rsidRPr="00511005" w:rsidRDefault="003476F8" w:rsidP="003A292D">
      <w:pPr>
        <w:pBdr>
          <w:top w:val="nil"/>
          <w:left w:val="nil"/>
          <w:bottom w:val="nil"/>
          <w:right w:val="nil"/>
          <w:between w:val="nil"/>
          <w:bar w:val="nil"/>
        </w:pBdr>
        <w:spacing w:line="264" w:lineRule="auto"/>
        <w:ind w:firstLine="0"/>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 xml:space="preserve">Варто відзначити, що наслідки відкриття провадження у справі про банкрутство є комплексними та багатовекторними. З одного боку, </w:t>
      </w:r>
      <w:r w:rsidRPr="00511005">
        <w:rPr>
          <w:rFonts w:ascii="Arial" w:eastAsia="Arial Unicode MS" w:hAnsi="Arial" w:cs="Arial"/>
          <w:szCs w:val="28"/>
          <w:bdr w:val="nil"/>
          <w:lang w:val="uk-UA" w:eastAsia="ru-RU"/>
        </w:rPr>
        <w:lastRenderedPageBreak/>
        <w:t>запускається механізм захисту інтересів кредиторів, які можуть розраховувати на часткове або повне задоволення своїх вимог. З іншого боку, це означає тимчасову втрату контролю боржника над управлінням підприємством, заміну його адміністрації арбітражним керуючим, а також припинення або обмеження окремих господарських операцій. У разі доведення провини керівників підприємства у спричиненні банкрутства, вони можуть бути притягнуті до цивільної, адміністративної або кримінальної відповідальності. Для самої ж юридичної особи наслідки найчастіше є фатальними – її припиняють шляхом ліквідації.</w:t>
      </w:r>
    </w:p>
    <w:p w14:paraId="661A43EB" w14:textId="77777777" w:rsidR="003476F8" w:rsidRPr="00511005" w:rsidRDefault="003476F8" w:rsidP="003A292D">
      <w:pPr>
        <w:pBdr>
          <w:top w:val="nil"/>
          <w:left w:val="nil"/>
          <w:bottom w:val="nil"/>
          <w:right w:val="nil"/>
          <w:between w:val="nil"/>
          <w:bar w:val="nil"/>
        </w:pBdr>
        <w:spacing w:line="264" w:lineRule="auto"/>
        <w:ind w:firstLine="0"/>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Таким чином, інститут банкрутства є не лише юридичним, а й соціально-економічним інструментом, що виконує функцію очищення економіки від нежиттєздатних суб’єктів. У сучасному світі банкрутство сприймається не як катастрофа, а як спосіб рестарту для підприємства або шлях до справедливого розподілу ризиків і збитків між учасниками господарських правовідносин. Українське законодавство в цій сфері поступово адаптується до міжнародних стандартів, зокрема американських чи європейських моделей, де процес банкрутства більше орієнтований на оздоровлення боржника, ніж на його ліквідацію. Успішне функціонування цього інституту можливе лише за умов суворого дотримання принципів прозорості, відповідальності та справедливості у відносинах між боржниками та кредиторами. У цьому контексті дуже важливою залишається роль суду, професійної спільноти та державного контролю, які разом мають забезпечити неупереджене, об’єктивне та ефективне провадження у справах про банкрутство.</w:t>
      </w:r>
    </w:p>
    <w:p w14:paraId="18AC8416" w14:textId="77777777" w:rsidR="003476F8" w:rsidRPr="00511005" w:rsidRDefault="003476F8" w:rsidP="003A292D">
      <w:pPr>
        <w:pBdr>
          <w:top w:val="nil"/>
          <w:left w:val="nil"/>
          <w:bottom w:val="nil"/>
          <w:right w:val="nil"/>
          <w:between w:val="nil"/>
          <w:bar w:val="nil"/>
        </w:pBdr>
        <w:spacing w:line="264" w:lineRule="auto"/>
        <w:ind w:firstLine="0"/>
        <w:rPr>
          <w:rFonts w:ascii="Arial" w:eastAsia="Arial Unicode MS" w:hAnsi="Arial" w:cs="Arial"/>
          <w:szCs w:val="28"/>
          <w:bdr w:val="nil"/>
          <w:lang w:val="uk-UA" w:eastAsia="ru-RU"/>
        </w:rPr>
      </w:pPr>
    </w:p>
    <w:p w14:paraId="2D54012E" w14:textId="5BE3008D" w:rsidR="003476F8" w:rsidRPr="00511005" w:rsidRDefault="007B2628" w:rsidP="007B2628">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64" w:lineRule="auto"/>
        <w:ind w:firstLine="0"/>
        <w:jc w:val="center"/>
        <w:rPr>
          <w:rFonts w:ascii="Arial" w:eastAsia="Times New Roman" w:hAnsi="Arial" w:cs="Arial"/>
          <w:b/>
          <w:bCs/>
          <w:szCs w:val="28"/>
          <w:bdr w:val="nil"/>
          <w:lang w:val="uk-UA" w:eastAsia="ru-RU"/>
        </w:rPr>
      </w:pPr>
      <w:r w:rsidRPr="00511005">
        <w:rPr>
          <w:rFonts w:ascii="Arial" w:eastAsia="Arial Unicode MS" w:hAnsi="Arial" w:cs="Arial"/>
          <w:b/>
          <w:bCs/>
          <w:szCs w:val="28"/>
          <w:bdr w:val="nil"/>
          <w:lang w:val="uk-UA" w:eastAsia="ru-RU"/>
        </w:rPr>
        <w:t>Список використаних джерел</w:t>
      </w:r>
    </w:p>
    <w:p w14:paraId="0ABE1C9A" w14:textId="77777777"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ind w:firstLine="0"/>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1. Кодекс України з процедур банкрутства: Закон України від 18 жовтня 2018 року № 2597-VIII. Відомості Верховної Ради України (ВВР). 2019. № 19. Ст. 74</w:t>
      </w:r>
    </w:p>
    <w:p w14:paraId="3A5C0016" w14:textId="77777777"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ind w:firstLine="0"/>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2. Господарський кодекс України : Закон Украйни від 16 січня 2003 р. № 436. Відомості Верховної Ради України(ВВР). 2003. № 18, № 19–20, № 21–22. Ст. 144.</w:t>
      </w:r>
    </w:p>
    <w:p w14:paraId="767C120C" w14:textId="77777777"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ind w:firstLine="0"/>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3. Бутирська І. А. Учасники провадження у справі про банкрутство: автореф. дис. на здобуття наук. ступеня канд. юрид. наук: 12.00.04 / Інститут економіко-правових досліджень НАН України. Київ, 2017. 21 с.</w:t>
      </w:r>
    </w:p>
    <w:p w14:paraId="10CD5032" w14:textId="77777777"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64" w:lineRule="auto"/>
        <w:ind w:firstLine="0"/>
        <w:jc w:val="left"/>
        <w:rPr>
          <w:rFonts w:ascii="Arial" w:eastAsia="Times New Roman" w:hAnsi="Arial" w:cs="Arial"/>
          <w:szCs w:val="28"/>
          <w:bdr w:val="nil"/>
          <w:lang w:val="uk-UA" w:eastAsia="ru-RU"/>
        </w:rPr>
      </w:pPr>
    </w:p>
    <w:p w14:paraId="2F8A4F21" w14:textId="460AC51F"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64" w:lineRule="auto"/>
        <w:ind w:firstLine="0"/>
        <w:rPr>
          <w:rFonts w:ascii="Arial" w:eastAsia="Times New Roman" w:hAnsi="Arial" w:cs="Arial"/>
          <w:szCs w:val="28"/>
          <w:bdr w:val="nil"/>
          <w:lang w:val="uk-UA" w:eastAsia="ru-RU"/>
        </w:rPr>
      </w:pPr>
      <w:r w:rsidRPr="009C3A24">
        <w:rPr>
          <w:rFonts w:ascii="Arial" w:eastAsia="Arial Unicode MS" w:hAnsi="Arial" w:cs="Arial"/>
          <w:b/>
          <w:i/>
          <w:iCs/>
          <w:szCs w:val="28"/>
          <w:bdr w:val="nil"/>
          <w:lang w:val="uk-UA" w:eastAsia="ru-RU"/>
        </w:rPr>
        <w:t>Ключові слова:</w:t>
      </w:r>
      <w:r w:rsidR="009C3A24">
        <w:rPr>
          <w:rFonts w:ascii="Arial" w:eastAsia="Arial Unicode MS" w:hAnsi="Arial" w:cs="Arial"/>
          <w:b/>
          <w:szCs w:val="28"/>
          <w:bdr w:val="nil"/>
          <w:lang w:val="uk-UA" w:eastAsia="ru-RU"/>
        </w:rPr>
        <w:t xml:space="preserve"> </w:t>
      </w:r>
      <w:r w:rsidRPr="00511005">
        <w:rPr>
          <w:rFonts w:ascii="Arial" w:eastAsia="Arial Unicode MS" w:hAnsi="Arial" w:cs="Arial"/>
          <w:szCs w:val="28"/>
          <w:bdr w:val="nil"/>
          <w:lang w:val="uk-UA" w:eastAsia="ru-RU"/>
        </w:rPr>
        <w:t xml:space="preserve">банкрутство, неплатоспроможність, фінансова криза, субʼєкт господарювання, ліквідація, економічна безпека, </w:t>
      </w:r>
    </w:p>
    <w:p w14:paraId="680A6AF8" w14:textId="3C580B17" w:rsidR="003476F8" w:rsidRPr="00511005" w:rsidRDefault="007B262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ind w:firstLine="0"/>
        <w:rPr>
          <w:rFonts w:ascii="Arial" w:eastAsia="Times New Roman" w:hAnsi="Arial" w:cs="Arial"/>
          <w:szCs w:val="28"/>
          <w:bdr w:val="nil"/>
          <w:lang w:val="uk-UA" w:eastAsia="ru-RU"/>
        </w:rPr>
      </w:pPr>
      <w:r w:rsidRPr="00511005">
        <w:rPr>
          <w:rFonts w:ascii="Arial" w:eastAsia="Arial Unicode MS" w:hAnsi="Arial" w:cs="Arial"/>
          <w:b/>
          <w:i/>
          <w:szCs w:val="28"/>
          <w:bdr w:val="nil"/>
          <w:lang w:val="uk-UA" w:eastAsia="ru-RU"/>
        </w:rPr>
        <w:t xml:space="preserve">Key words: </w:t>
      </w:r>
      <w:r w:rsidR="003476F8" w:rsidRPr="00511005">
        <w:rPr>
          <w:rFonts w:ascii="Arial" w:eastAsia="Arial Unicode MS" w:hAnsi="Arial" w:cs="Arial"/>
          <w:szCs w:val="28"/>
          <w:bdr w:val="nil"/>
          <w:lang w:val="uk-UA" w:eastAsia="ru-RU"/>
        </w:rPr>
        <w:t>bankruptcy, insolvency, financial crisis, busines sentity, liquidation, economic security.</w:t>
      </w:r>
    </w:p>
    <w:p w14:paraId="72B69EF5" w14:textId="6E1AAD6D" w:rsidR="003476F8" w:rsidRPr="00511005" w:rsidRDefault="007B262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line="264" w:lineRule="auto"/>
        <w:ind w:firstLine="0"/>
        <w:jc w:val="left"/>
        <w:rPr>
          <w:rFonts w:ascii="Arial" w:eastAsia="Times New Roman" w:hAnsi="Arial" w:cs="Arial"/>
          <w:i/>
          <w:iCs/>
          <w:szCs w:val="28"/>
          <w:bdr w:val="nil"/>
          <w:lang w:val="uk-UA" w:eastAsia="ru-RU"/>
        </w:rPr>
      </w:pPr>
      <w:r w:rsidRPr="00511005">
        <w:rPr>
          <w:rFonts w:ascii="Arial" w:eastAsia="Arial Unicode MS" w:hAnsi="Arial" w:cs="Arial"/>
          <w:b/>
          <w:i/>
          <w:iCs/>
          <w:szCs w:val="28"/>
          <w:bdr w:val="nil"/>
          <w:lang w:val="uk-UA" w:eastAsia="ru-RU"/>
        </w:rPr>
        <w:t xml:space="preserve">Науковий керівник: </w:t>
      </w:r>
      <w:r w:rsidR="003476F8" w:rsidRPr="00511005">
        <w:rPr>
          <w:rFonts w:ascii="Arial" w:eastAsia="Arial Unicode MS" w:hAnsi="Arial" w:cs="Arial"/>
          <w:i/>
          <w:iCs/>
          <w:szCs w:val="28"/>
          <w:bdr w:val="nil"/>
          <w:lang w:val="uk-UA" w:eastAsia="ru-RU"/>
        </w:rPr>
        <w:t>к.ю.н.</w:t>
      </w:r>
      <w:r w:rsidR="00B81D8E">
        <w:rPr>
          <w:rFonts w:ascii="Arial" w:eastAsia="Arial Unicode MS" w:hAnsi="Arial" w:cs="Arial"/>
          <w:i/>
          <w:iCs/>
          <w:szCs w:val="28"/>
          <w:bdr w:val="nil"/>
          <w:lang w:val="uk-UA" w:eastAsia="ru-RU"/>
        </w:rPr>
        <w:t xml:space="preserve"> </w:t>
      </w:r>
      <w:r w:rsidR="003476F8" w:rsidRPr="00511005">
        <w:rPr>
          <w:rFonts w:ascii="Arial" w:eastAsia="Arial Unicode MS" w:hAnsi="Arial" w:cs="Arial"/>
          <w:i/>
          <w:iCs/>
          <w:szCs w:val="28"/>
          <w:bdr w:val="nil"/>
          <w:lang w:val="uk-UA" w:eastAsia="ru-RU"/>
        </w:rPr>
        <w:t>Згама А.О.</w:t>
      </w:r>
    </w:p>
    <w:p w14:paraId="62FD084D" w14:textId="77777777"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Arial Unicode MS" w:hAnsi="Arial" w:cs="Arial"/>
          <w:szCs w:val="28"/>
          <w:bdr w:val="nil"/>
          <w:lang w:val="uk-UA" w:eastAsia="ru-RU"/>
        </w:rPr>
        <w:br w:type="column"/>
      </w:r>
      <w:r w:rsidRPr="00511005">
        <w:rPr>
          <w:rFonts w:ascii="Arial" w:eastAsia="Times New Roman" w:hAnsi="Arial" w:cs="Arial"/>
          <w:b/>
          <w:i/>
          <w:szCs w:val="28"/>
          <w:lang w:val="uk-UA" w:eastAsia="ru-RU"/>
        </w:rPr>
        <w:lastRenderedPageBreak/>
        <w:t>Смирнова Соф`я Олександрівна</w:t>
      </w:r>
    </w:p>
    <w:p w14:paraId="20345003" w14:textId="5E5CD160" w:rsidR="003476F8" w:rsidRPr="00511005" w:rsidRDefault="00B81D8E" w:rsidP="003A292D">
      <w:pPr>
        <w:spacing w:line="264" w:lineRule="auto"/>
        <w:ind w:firstLine="0"/>
        <w:jc w:val="center"/>
        <w:rPr>
          <w:rFonts w:ascii="Arial" w:eastAsia="Times New Roman" w:hAnsi="Arial" w:cs="Arial"/>
          <w:szCs w:val="28"/>
          <w:lang w:val="uk-UA" w:eastAsia="ru-RU"/>
        </w:rPr>
      </w:pPr>
      <w:r>
        <w:rPr>
          <w:rFonts w:ascii="Arial" w:eastAsia="Times New Roman" w:hAnsi="Arial" w:cs="Arial"/>
          <w:szCs w:val="28"/>
          <w:lang w:val="uk-UA" w:eastAsia="ru-RU"/>
        </w:rPr>
        <w:t>с</w:t>
      </w:r>
      <w:r w:rsidR="003476F8" w:rsidRPr="00511005">
        <w:rPr>
          <w:rFonts w:ascii="Arial" w:eastAsia="Times New Roman" w:hAnsi="Arial" w:cs="Arial"/>
          <w:szCs w:val="28"/>
          <w:lang w:val="uk-UA" w:eastAsia="ru-RU"/>
        </w:rPr>
        <w:t>тудентк</w:t>
      </w:r>
      <w:r>
        <w:rPr>
          <w:rFonts w:ascii="Arial" w:eastAsia="Times New Roman" w:hAnsi="Arial" w:cs="Arial"/>
          <w:szCs w:val="28"/>
          <w:lang w:val="uk-UA" w:eastAsia="ru-RU"/>
        </w:rPr>
        <w:t>а</w:t>
      </w:r>
      <w:r w:rsidR="003476F8" w:rsidRPr="00511005">
        <w:rPr>
          <w:rFonts w:ascii="Arial" w:eastAsia="Times New Roman" w:hAnsi="Arial" w:cs="Arial"/>
          <w:szCs w:val="28"/>
          <w:lang w:val="uk-UA" w:eastAsia="ru-RU"/>
        </w:rPr>
        <w:t xml:space="preserve"> </w:t>
      </w:r>
      <w:r w:rsidR="007B2628" w:rsidRPr="00511005">
        <w:rPr>
          <w:rFonts w:ascii="Arial" w:eastAsia="Times New Roman" w:hAnsi="Arial" w:cs="Arial"/>
          <w:szCs w:val="28"/>
          <w:lang w:val="uk-UA" w:eastAsia="ru-RU"/>
        </w:rPr>
        <w:t>3-го курсу</w:t>
      </w:r>
      <w:r w:rsidR="003476F8" w:rsidRPr="00511005">
        <w:rPr>
          <w:rFonts w:ascii="Arial" w:eastAsia="Times New Roman" w:hAnsi="Arial" w:cs="Arial"/>
          <w:szCs w:val="28"/>
          <w:lang w:val="uk-UA" w:eastAsia="ru-RU"/>
        </w:rPr>
        <w:t xml:space="preserve"> </w:t>
      </w:r>
      <w:r w:rsidR="00536AAB" w:rsidRPr="00511005">
        <w:rPr>
          <w:rFonts w:ascii="Arial" w:eastAsia="Times New Roman" w:hAnsi="Arial" w:cs="Arial"/>
          <w:szCs w:val="28"/>
          <w:lang w:val="uk-UA" w:eastAsia="ru-RU"/>
        </w:rPr>
        <w:t>факультету адвокатури та антикорупційної діяльності</w:t>
      </w:r>
    </w:p>
    <w:p w14:paraId="11EE34FF" w14:textId="404FD428" w:rsidR="003476F8"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7A73CD0F"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p>
    <w:p w14:paraId="478EC204" w14:textId="77777777" w:rsidR="003476F8" w:rsidRPr="00511005" w:rsidRDefault="003476F8"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НАПРЯМИ ДЕРЖАВНОГО РЕГУЛЮВАННЯ ПІДПРИЄМНИЦТВА: ЗАРУБІЖНИЙ ДОСВІД ТА ПЕРСПЕКТИВИ ДЛЯ УКРАЇНИ</w:t>
      </w:r>
    </w:p>
    <w:p w14:paraId="4AB6002C" w14:textId="617D9849"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Питання напряму державного регулювання є дуже важливим і складним питанням, особливо сьогодні під час воєнного стану в Україні та економічної нестабільності,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коли необхідно підтримувати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й врегульовувати з боку держави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економічний баланс країни задля її підтримки й міцного становища на ринку. Саме тому важливо, щоб усі заходи регулювання були спрямовані не на створення нових труднощів, а навпаки - на спрощення та розвиток.</w:t>
      </w:r>
    </w:p>
    <w:p w14:paraId="40A70994" w14:textId="77777777" w:rsidR="007B262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Підприємництво - одна з ключових форм господарської діяльності, що забезпечує динаміку економіки країни, зайнятість населення та розвиток ринкових відносин. Через підприємництво створюються нові робочі місця, розвивається інноваційна діяльність, а також формується конкурентне середовище. У зв’язку з цим важливою є роль держави у регулюванні підприємницької діяльності. Але важливо, щоб це втручання не обмежувало свободу підприємств, а створювало умови для їхнього розвитку [1].</w:t>
      </w:r>
    </w:p>
    <w:p w14:paraId="5E217835" w14:textId="7CA77E59"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Державне регулювання підприємництва - це комплекс заходів, спрямованих на створення сприятливих умов для ведення бізнесу, захист прав підприємців та споживачів, а також забезпечення національних інтересів.Основним напрямом регулювання є правове забезпечення діяльності підприємців. Воно полягає у створенні законів, які визначають правила ведення бізнесу, порядок його реєстрації, ліцензування, а також права та обов’язки підприємців [2]. Наприклад, законодавство встановлює, які види діяльності підлягають обов’язковому ліцензуванню, які документи потрібні для початку бізнесу, які є вимоги до умов праці. Також держава через свої органи здійснює контроль за дотриманням законодавства у підприємницькій сфері.</w:t>
      </w:r>
    </w:p>
    <w:p w14:paraId="450D692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Основний закон, а саме конституційний фундамент ст. 13, 14, 43, 44, п. 8 ст.92 Конституції України, гарантують свободу підприємництва, захист власності, а також рівність форм господарювання [3].</w:t>
      </w:r>
    </w:p>
    <w:p w14:paraId="2E8836EB" w14:textId="4BB0D61F"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Метою державного впливу на підприємництво є формування ефективного, конкурентного, соціально орієнтованого ринку. Основними завданнями є:</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забезпечення рівних умов для всіх суб’єктів господарювання; підтримка малого та середнього бізнесу;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розвиток інноваційної діяльності; подолання адміністративних бар’єрів та зменшення регуляторного тиску;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захист прав споживачів і навколишнього середовища. </w:t>
      </w:r>
    </w:p>
    <w:p w14:paraId="3AAF93DD"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Не менш важливим є економічне регулювання, суть якого полягає в тому, що держава може через податкову політику, кредити, пільги та фінансову підтримку впливати на розвиток підприємництва. Наприклад, існують </w:t>
      </w:r>
      <w:r w:rsidRPr="00511005">
        <w:rPr>
          <w:rFonts w:ascii="Arial" w:eastAsia="Times New Roman" w:hAnsi="Arial" w:cs="Arial"/>
          <w:szCs w:val="28"/>
          <w:lang w:val="uk-UA" w:eastAsia="ru-RU"/>
        </w:rPr>
        <w:lastRenderedPageBreak/>
        <w:t>програми підтримки малого та середнього бізнесу, пільгові умови кредитування для новостворених підприємств, або навіть гранти на реалізацію стартапів. Податкові пільги також можуть заохочувати підприємців інвестувати в певні галузі, наприклад в ІТ або сільське господарство.</w:t>
      </w:r>
    </w:p>
    <w:p w14:paraId="7CC84B7D"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Також важливо згадати про адміністративне регулювання. Це всі ті дії, які пов’язані з видачею дозволів, сертифікатів, проведенням перевірок, контролем за дотриманням стандартів. На жаль, саме адміністративна сфера часто асоціюється з корупцією, зловживаннями та бюрократією. У зв’язку з цим останні роки в Україні активно впроваджуються реформи, спрямовані на дерегуляцію — тобто зменшення кількості дозвільних процедур і переведення всіх процесів в онлайн. Яскравим прикладом є портал «Дія», через який підприємці можуть зареєструвати бізнес або отримати необхідні документи без походів у держустанови.</w:t>
      </w:r>
    </w:p>
    <w:p w14:paraId="2B05022F"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Крім цього, є соціальний напрям регулювання. Його суть полягає в тому, що підприємництво має не лише приносити прибуток, але й відповідати соціальним стандартам. Зазначене включає дотримання прав працівників, безпечні умови праці, соціальні гарантії. Наприклад, роботодавці повинні укладати офіційні трудові договори, сплачувати внески до пенсійного фонду, не допускати дискримінації на робочому місці тощо.</w:t>
      </w:r>
    </w:p>
    <w:p w14:paraId="7A317DA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Ще одним напрямом є діяльність державних органів, які забезпечують регуляторну політику. Наприклад, Міністерство економіки України формує загальну політику щодо підприємництва, Антимонопольний комітет України слідкує за відсутністю зловживань на ринку, а Державна регуляторна служба України контролює, щоб нові нормативні акти не створювали зайвих перепон для бізнесу. Також важливу роль відіграє податкова служба, яка повинна бути не лише наглядовим органом, а й партнером для підприємців.</w:t>
      </w:r>
    </w:p>
    <w:p w14:paraId="57AE0219"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Прикладом ефективного державного регулювання підприємництва є міжнародний досвід, зокрема Німеччини, яка вирізняється високим рівнем підтримки малого та середнього бізнесу. Одним із ключових інструментів є діяльність державних банків розвитку, що надають довгострокові кредити під низькі відсоткові ставки. Важливою складовою підтримки також є розвинена система консультаційної допомоги підприємствам на місцевому рівні. Для України доцільно запозичити німецький досвід шляхом впровадження фінансових інструментів підтримки малого та середнього бізнесу. Зокрема, створення або трансформація існуючих інституцій у банки розвитку, що спеціалізуватимуться на доступному довгостроковому кредитуванні малого бізнесу та підприємств, які зазнали збитків внаслідок війни, може стати важливим елементом відновлення національної економіки.</w:t>
      </w:r>
    </w:p>
    <w:p w14:paraId="49936D4C"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Важливий приклад демонструють також Сполучені Штати Америки, де створено єдину національну мережу центрів підтримки підприємництва. </w:t>
      </w:r>
      <w:r w:rsidRPr="00511005">
        <w:rPr>
          <w:rFonts w:ascii="Arial" w:eastAsia="Times New Roman" w:hAnsi="Arial" w:cs="Arial"/>
          <w:szCs w:val="28"/>
          <w:lang w:val="uk-UA" w:eastAsia="ru-RU"/>
        </w:rPr>
        <w:lastRenderedPageBreak/>
        <w:t>Аналогічну систему доцільно запровадити і в Україні. Такі центри могли б надавати безкоштовні юридичні консультації з широкого кола питань — юридичних, фінансових, управлінських — а також допомагати у підготовці бізнес-планів, пошуку інвесторів і забезпечувати доступ до освітніх програм та курсів, спрямованих на розвиток підприємницьких навичок і зміцнення бізнесу.</w:t>
      </w:r>
    </w:p>
    <w:p w14:paraId="37D4CBE2"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Окремої уваги заслуговує досвід Франції щодо розширення механізмів публічно-приватного партнерства. Тут держава розглядається не лише як регулятор, а і як повноцінний партнер бізнесу [4, с.27-28]. Впровадження подібного підходу в Україні сприятиме зміцненню взаємодії між державним сектором і приватними підприємствами, що, у свою чергу, може стимулювати розвиток нових проєктів, інновацій та підвищення конкурентоспроможності економіки.</w:t>
      </w:r>
    </w:p>
    <w:p w14:paraId="799E7DAE" w14:textId="77777777" w:rsidR="003476F8" w:rsidRPr="00511005" w:rsidRDefault="003476F8" w:rsidP="003A292D">
      <w:pPr>
        <w:spacing w:line="264" w:lineRule="auto"/>
        <w:ind w:firstLine="0"/>
        <w:rPr>
          <w:rFonts w:ascii="Arial" w:eastAsia="Times New Roman" w:hAnsi="Arial" w:cs="Arial"/>
          <w:szCs w:val="28"/>
          <w:lang w:val="uk-UA" w:eastAsia="ru-RU"/>
        </w:rPr>
      </w:pPr>
      <w:bookmarkStart w:id="187" w:name="_heading=h.6wgjvm5llrw" w:colFirst="0" w:colLast="0"/>
      <w:bookmarkEnd w:id="187"/>
      <w:r w:rsidRPr="00511005">
        <w:rPr>
          <w:rFonts w:ascii="Arial" w:eastAsia="Times New Roman" w:hAnsi="Arial" w:cs="Arial"/>
          <w:szCs w:val="28"/>
          <w:lang w:val="uk-UA" w:eastAsia="ru-RU"/>
        </w:rPr>
        <w:t>Таким чином, державне регулювання підприємництва є складним, але водночас необхідним і багатогранним процесом. Якщо таке регулювання здійснюється грамотно і виважено, воно дозволяє створити сприятливі умови для розвитку бізнесу, залучення інвестицій та загального економічного зростання. Використовуючи досвід міжнародних партнерів, можна виявити існуючі прогалини у національній політиці та знайти шляхи їх подолання, що сприятиме перетворенню України на стабільну, розвинену державу із міцними внутрішніми та міжнародними зв’язками.</w:t>
      </w:r>
    </w:p>
    <w:p w14:paraId="50488195"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08A01743" w14:textId="3DADC8F1" w:rsidR="003476F8"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00A9088F" w14:textId="77777777" w:rsidR="003476F8" w:rsidRPr="00511005" w:rsidRDefault="003476F8" w:rsidP="003F6A5D">
      <w:pPr>
        <w:numPr>
          <w:ilvl w:val="0"/>
          <w:numId w:val="423"/>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Коваленко О.В. Підприємництво та його організаційно-правові засади : 2.4. Державне регулювання підприємництва в Україні : навч. посіб. ДЗ "ЛНУ ім. Тараса Шевченка, 2013. 400 с. URL: https://e-pidruchniki.com/content/530_24_derjavne_regyluvannya_pidpriemnictva_v_ykraini.html (дата звернення: 21.04.2025).</w:t>
      </w:r>
    </w:p>
    <w:p w14:paraId="6FBA17A9" w14:textId="77777777" w:rsidR="003476F8" w:rsidRPr="00511005" w:rsidRDefault="003476F8" w:rsidP="003F6A5D">
      <w:pPr>
        <w:numPr>
          <w:ilvl w:val="0"/>
          <w:numId w:val="423"/>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Державне регулювання підприємницької діяльності / Л. М. Шаблиста // Енциклопедія Сучасної України [Електронний ресурс] / редкол. : І. М. Дзюба, А. І. Жуковський, М. Г. Железняк [та ін.] ; НАН України, НТШ. Київ: Інститут енциклопедичних досліджень НАН України, 2007, оновл. 2023. URL: </w:t>
      </w:r>
      <w:hyperlink r:id="rId1618">
        <w:r w:rsidRPr="00511005">
          <w:rPr>
            <w:rFonts w:ascii="Arial" w:eastAsia="Times New Roman" w:hAnsi="Arial" w:cs="Arial"/>
            <w:szCs w:val="28"/>
            <w:lang w:val="uk-UA" w:eastAsia="ru-RU"/>
          </w:rPr>
          <w:t>https://esu.com.ua/article-26155</w:t>
        </w:r>
      </w:hyperlink>
      <w:r w:rsidRPr="00511005">
        <w:rPr>
          <w:rFonts w:ascii="Arial" w:eastAsia="Times New Roman" w:hAnsi="Arial" w:cs="Arial"/>
          <w:szCs w:val="28"/>
          <w:lang w:val="uk-UA" w:eastAsia="ru-RU"/>
        </w:rPr>
        <w:t>.</w:t>
      </w:r>
    </w:p>
    <w:p w14:paraId="74C132D7" w14:textId="77777777" w:rsidR="007B2628" w:rsidRPr="00511005" w:rsidRDefault="003476F8" w:rsidP="003F6A5D">
      <w:pPr>
        <w:numPr>
          <w:ilvl w:val="0"/>
          <w:numId w:val="423"/>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Конституція України : від 28.06.1996 № 254к/96-ВР. URL: https://zakon.rada.gov.ua/laws/show/254к/96-вр#Text (дата звернення: 21.04.2025). </w:t>
      </w:r>
    </w:p>
    <w:p w14:paraId="69710F38" w14:textId="6327464F" w:rsidR="003476F8" w:rsidRPr="00511005" w:rsidRDefault="003476F8" w:rsidP="003F6A5D">
      <w:pPr>
        <w:numPr>
          <w:ilvl w:val="0"/>
          <w:numId w:val="423"/>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Біла І.С., Салатюк Н.М. Світовий досвід державного регулювання підприємництва. </w:t>
      </w:r>
      <w:r w:rsidRPr="00511005">
        <w:rPr>
          <w:rFonts w:ascii="Arial" w:eastAsia="Times New Roman" w:hAnsi="Arial" w:cs="Arial"/>
          <w:i/>
          <w:szCs w:val="28"/>
          <w:lang w:val="uk-UA" w:eastAsia="ru-RU"/>
        </w:rPr>
        <w:t>Світова економіка та міжнародні відносини</w:t>
      </w:r>
      <w:r w:rsidRPr="00511005">
        <w:rPr>
          <w:rFonts w:ascii="Arial" w:eastAsia="Times New Roman" w:hAnsi="Arial" w:cs="Arial"/>
          <w:szCs w:val="28"/>
          <w:lang w:val="uk-UA" w:eastAsia="ru-RU"/>
        </w:rPr>
        <w:t>. 2014. № 1. С. 26-30. URL: </w:t>
      </w:r>
      <w:hyperlink r:id="rId1619">
        <w:r w:rsidRPr="00511005">
          <w:rPr>
            <w:rFonts w:ascii="Arial" w:eastAsia="Times New Roman" w:hAnsi="Arial" w:cs="Arial"/>
            <w:szCs w:val="28"/>
            <w:lang w:val="uk-UA" w:eastAsia="ru-RU"/>
          </w:rPr>
          <w:t>https://www.problecon.com/export_pdf/problems-of-economy-2014-1_0-pages-26_30.pdf</w:t>
        </w:r>
      </w:hyperlink>
      <w:r w:rsidRPr="00511005">
        <w:rPr>
          <w:rFonts w:ascii="Arial" w:eastAsia="Times New Roman" w:hAnsi="Arial" w:cs="Arial"/>
          <w:szCs w:val="28"/>
          <w:lang w:val="uk-UA" w:eastAsia="ru-RU"/>
        </w:rPr>
        <w:t> (дата звернення: 24.04.2025).</w:t>
      </w:r>
    </w:p>
    <w:p w14:paraId="3161C557" w14:textId="77777777" w:rsidR="003476F8" w:rsidRPr="00511005" w:rsidRDefault="003476F8" w:rsidP="003A292D">
      <w:pPr>
        <w:pBdr>
          <w:top w:val="nil"/>
          <w:left w:val="nil"/>
          <w:bottom w:val="nil"/>
          <w:right w:val="nil"/>
          <w:between w:val="nil"/>
        </w:pBdr>
        <w:spacing w:line="264" w:lineRule="auto"/>
        <w:ind w:firstLine="0"/>
        <w:rPr>
          <w:rFonts w:ascii="Arial" w:eastAsia="Times New Roman" w:hAnsi="Arial" w:cs="Arial"/>
          <w:szCs w:val="28"/>
          <w:lang w:val="uk-UA" w:eastAsia="ru-RU"/>
        </w:rPr>
      </w:pPr>
    </w:p>
    <w:p w14:paraId="0EDC66F6" w14:textId="40318010" w:rsidR="003476F8" w:rsidRPr="00511005" w:rsidRDefault="003476F8" w:rsidP="003A292D">
      <w:pPr>
        <w:spacing w:line="264" w:lineRule="auto"/>
        <w:ind w:firstLine="0"/>
        <w:rPr>
          <w:rFonts w:ascii="Arial" w:eastAsia="Times New Roman" w:hAnsi="Arial" w:cs="Arial"/>
          <w:szCs w:val="28"/>
          <w:lang w:val="uk-UA" w:eastAsia="ru-RU"/>
        </w:rPr>
      </w:pPr>
      <w:r w:rsidRPr="009C3A24">
        <w:rPr>
          <w:rFonts w:ascii="Arial" w:eastAsia="Times New Roman" w:hAnsi="Arial" w:cs="Arial"/>
          <w:b/>
          <w:i/>
          <w:iCs/>
          <w:szCs w:val="28"/>
          <w:lang w:val="uk-UA" w:eastAsia="ru-RU"/>
        </w:rPr>
        <w:lastRenderedPageBreak/>
        <w:t>Ключові слова:</w:t>
      </w:r>
      <w:r w:rsidR="009C3A24">
        <w:rPr>
          <w:rFonts w:ascii="Arial" w:eastAsia="Times New Roman" w:hAnsi="Arial" w:cs="Arial"/>
          <w:b/>
          <w:szCs w:val="28"/>
          <w:lang w:val="uk-UA" w:eastAsia="ru-RU"/>
        </w:rPr>
        <w:t xml:space="preserve"> </w:t>
      </w:r>
      <w:r w:rsidRPr="00511005">
        <w:rPr>
          <w:rFonts w:ascii="Arial" w:eastAsia="Times New Roman" w:hAnsi="Arial" w:cs="Arial"/>
          <w:szCs w:val="28"/>
          <w:lang w:val="uk-UA" w:eastAsia="ru-RU"/>
        </w:rPr>
        <w:t>державне регулювання, підприємництво, бізнес, державна підтримка</w:t>
      </w:r>
    </w:p>
    <w:p w14:paraId="3866A25E" w14:textId="7367993C" w:rsidR="003476F8"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szCs w:val="28"/>
          <w:lang w:val="uk-UA" w:eastAsia="ru-RU"/>
        </w:rPr>
        <w:t>state regulation, entrepreneur ship, business, state support</w:t>
      </w:r>
    </w:p>
    <w:p w14:paraId="546FB010" w14:textId="34C9526F" w:rsidR="003476F8" w:rsidRPr="00511005" w:rsidRDefault="007B2628" w:rsidP="003A292D">
      <w:pPr>
        <w:spacing w:line="264" w:lineRule="auto"/>
        <w:ind w:firstLine="0"/>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3476F8" w:rsidRPr="00511005">
        <w:rPr>
          <w:rFonts w:ascii="Arial" w:eastAsia="Times New Roman" w:hAnsi="Arial" w:cs="Arial"/>
          <w:i/>
          <w:szCs w:val="28"/>
          <w:lang w:val="uk-UA" w:eastAsia="ru-RU"/>
        </w:rPr>
        <w:t>к.ю.н., доцент Згама А.О.</w:t>
      </w:r>
    </w:p>
    <w:p w14:paraId="0A8F89C0" w14:textId="77777777" w:rsidR="00B81D8E" w:rsidRDefault="00B81D8E" w:rsidP="003A292D">
      <w:pPr>
        <w:spacing w:line="264" w:lineRule="auto"/>
        <w:ind w:firstLine="0"/>
        <w:jc w:val="center"/>
        <w:rPr>
          <w:rFonts w:ascii="Arial" w:eastAsia="Calibri" w:hAnsi="Arial" w:cs="Arial"/>
          <w:szCs w:val="28"/>
        </w:rPr>
      </w:pPr>
    </w:p>
    <w:p w14:paraId="1DA309D6" w14:textId="77777777" w:rsidR="00B81D8E" w:rsidRDefault="00B81D8E" w:rsidP="003A292D">
      <w:pPr>
        <w:spacing w:line="264" w:lineRule="auto"/>
        <w:ind w:firstLine="0"/>
        <w:jc w:val="center"/>
        <w:rPr>
          <w:rFonts w:ascii="Arial" w:eastAsia="Calibri" w:hAnsi="Arial" w:cs="Arial"/>
          <w:szCs w:val="28"/>
        </w:rPr>
      </w:pPr>
    </w:p>
    <w:p w14:paraId="5BC22D54" w14:textId="12BD1649" w:rsidR="003476F8" w:rsidRPr="00511005" w:rsidRDefault="003476F8"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Стоянова Яна Романівна</w:t>
      </w:r>
    </w:p>
    <w:p w14:paraId="4351CF59" w14:textId="7DB32E7D" w:rsidR="003476F8" w:rsidRPr="00511005" w:rsidRDefault="005E26E0" w:rsidP="003A292D">
      <w:pPr>
        <w:spacing w:line="264" w:lineRule="auto"/>
        <w:ind w:firstLine="0"/>
        <w:jc w:val="center"/>
        <w:rPr>
          <w:rFonts w:ascii="Arial" w:eastAsia="Calibri" w:hAnsi="Arial" w:cs="Arial"/>
          <w:szCs w:val="28"/>
          <w:lang w:val="uk-UA"/>
        </w:rPr>
      </w:pPr>
      <w:r>
        <w:rPr>
          <w:rFonts w:ascii="Arial" w:eastAsia="Calibri" w:hAnsi="Arial" w:cs="Arial"/>
          <w:szCs w:val="28"/>
          <w:lang w:val="uk-UA"/>
        </w:rPr>
        <w:t>с</w:t>
      </w:r>
      <w:r w:rsidR="00536AAB" w:rsidRPr="00511005">
        <w:rPr>
          <w:rFonts w:ascii="Arial" w:eastAsia="Calibri" w:hAnsi="Arial" w:cs="Arial"/>
          <w:szCs w:val="28"/>
          <w:lang w:val="uk-UA"/>
        </w:rPr>
        <w:t xml:space="preserve">тудентка 4-го курсу </w:t>
      </w:r>
      <w:r w:rsidR="007B2628" w:rsidRPr="00511005">
        <w:rPr>
          <w:rFonts w:ascii="Arial" w:eastAsia="Calibri" w:hAnsi="Arial" w:cs="Arial"/>
          <w:szCs w:val="28"/>
          <w:lang w:val="uk-UA"/>
        </w:rPr>
        <w:t>факультету цивільної та господарської юстиції</w:t>
      </w:r>
    </w:p>
    <w:p w14:paraId="348C6F63" w14:textId="581AEFD6" w:rsidR="003476F8"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0A99EB94" w14:textId="77777777" w:rsidR="003476F8" w:rsidRPr="00511005" w:rsidRDefault="003476F8" w:rsidP="003A292D">
      <w:pPr>
        <w:spacing w:line="264" w:lineRule="auto"/>
        <w:ind w:firstLine="0"/>
        <w:jc w:val="center"/>
        <w:rPr>
          <w:rFonts w:ascii="Arial" w:eastAsia="Calibri" w:hAnsi="Arial" w:cs="Arial"/>
          <w:i/>
          <w:szCs w:val="28"/>
          <w:lang w:val="uk-UA"/>
        </w:rPr>
      </w:pPr>
    </w:p>
    <w:p w14:paraId="4DEF5299" w14:textId="2EDCA2F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РОЛЬ</w:t>
      </w:r>
      <w:r w:rsidR="007B2628" w:rsidRPr="00511005">
        <w:rPr>
          <w:rFonts w:ascii="Arial" w:eastAsia="Calibri" w:hAnsi="Arial" w:cs="Arial"/>
          <w:b/>
          <w:szCs w:val="28"/>
          <w:lang w:val="uk-UA"/>
        </w:rPr>
        <w:t xml:space="preserve"> </w:t>
      </w:r>
      <w:r w:rsidRPr="00511005">
        <w:rPr>
          <w:rFonts w:ascii="Arial" w:eastAsia="Calibri" w:hAnsi="Arial" w:cs="Arial"/>
          <w:b/>
          <w:szCs w:val="28"/>
          <w:lang w:val="uk-UA"/>
        </w:rPr>
        <w:t>ТА ПРОБЛЕМАТИКА ІНСТИТУТУ ПОКАЗАНЬ СВІДКА В ГОСПОДАРСЬКОМУ ПРОЦЕСІ</w:t>
      </w:r>
    </w:p>
    <w:p w14:paraId="71409C82" w14:textId="6C28D8A5"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Показання свідка є невід'ємною складовою будь-якого судового процесу. У господарському судочинстві цей засіб доказування є специфічним і відносно новим, що зумовлено наближенням національної системи правосуддя до європейської. Цей інститут бере початок з оновленням Господарського процесуального кодексу України (ГПК України)в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редакції від 15.12.2017 року. Така вагома зміна вказує на послідовну трансформацію судочинства в бік розширення доказової бази та визначає свідчення як цінний елемент, особливо в умовах дефіциту інших доказових підтверджень. </w:t>
      </w:r>
    </w:p>
    <w:p w14:paraId="56C11AC4" w14:textId="77777777" w:rsidR="003476F8" w:rsidRPr="00511005" w:rsidRDefault="003476F8" w:rsidP="003A292D">
      <w:pPr>
        <w:spacing w:line="264" w:lineRule="auto"/>
        <w:ind w:firstLine="0"/>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 xml:space="preserve">Показання свідка - це повідомлення про відомі йому обставини, які мають значення для справи. </w:t>
      </w:r>
      <w:r w:rsidRPr="00511005">
        <w:rPr>
          <w:rFonts w:ascii="Arial" w:eastAsia="Calibri" w:hAnsi="Arial" w:cs="Arial"/>
          <w:szCs w:val="28"/>
          <w:lang w:val="uk-UA"/>
        </w:rPr>
        <w:t>Відповідно до ч. 1 ст. 66 ГПК України</w:t>
      </w:r>
      <w:r w:rsidRPr="00511005">
        <w:rPr>
          <w:rFonts w:ascii="Arial" w:eastAsia="Calibri" w:hAnsi="Arial" w:cs="Arial"/>
          <w:szCs w:val="28"/>
          <w:shd w:val="clear" w:color="auto" w:fill="FFFFFF"/>
          <w:lang w:val="uk-UA"/>
        </w:rPr>
        <w:t xml:space="preserve"> свідком може бути будь-яка дієздатна фізична особа, якій відомі будь-які обставини, що стосуються справи[1]. </w:t>
      </w:r>
    </w:p>
    <w:p w14:paraId="492CAEA3" w14:textId="4AECDE35" w:rsidR="003476F8" w:rsidRPr="00511005" w:rsidRDefault="003476F8" w:rsidP="003A292D">
      <w:pPr>
        <w:spacing w:line="264" w:lineRule="auto"/>
        <w:ind w:firstLine="0"/>
        <w:rPr>
          <w:rFonts w:ascii="Arial" w:eastAsia="Calibri" w:hAnsi="Arial" w:cs="Arial"/>
          <w:szCs w:val="28"/>
          <w:shd w:val="clear" w:color="auto" w:fill="FFFFFF"/>
          <w:lang w:val="uk-UA"/>
        </w:rPr>
      </w:pPr>
      <w:r w:rsidRPr="00511005">
        <w:rPr>
          <w:rFonts w:ascii="Arial" w:eastAsia="Calibri" w:hAnsi="Arial" w:cs="Arial"/>
          <w:szCs w:val="28"/>
          <w:lang w:val="uk-UA"/>
        </w:rPr>
        <w:t>Передумовою для виклику свідка для допиту є суперечливість обставин, викладених свідком у заяві, іншим доказам,</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або у разі наявності у суду сумнівів щодо їх змісту, достовірності чи повноти [2]. Таким чином, законодавець не вбачає потреби у присутності свідка під час засідання, якщо його показання підтверджують інші докази. З одного боку, це може порушувати принцип змагальності сторін, оскільки інша сторона судового процесу буде позбавлена права на допит свідка, але в той же час це зменшує навантаження на суд і пришвидшує процес розгляду справи. Проблемним аспектом також є те, що </w:t>
      </w:r>
      <w:r w:rsidRPr="00511005">
        <w:rPr>
          <w:rFonts w:ascii="Arial" w:eastAsia="Calibri" w:hAnsi="Arial" w:cs="Arial"/>
          <w:szCs w:val="28"/>
          <w:shd w:val="clear" w:color="auto" w:fill="FFFFFF"/>
          <w:lang w:val="uk-UA"/>
        </w:rPr>
        <w:t xml:space="preserve">на практиці цей інститут є досить складним, оскільки нерідко свідком є посадова особа суб’єкта господарювання, що може викликати сумніви у неупередженості та правдивості свідчень. </w:t>
      </w:r>
    </w:p>
    <w:p w14:paraId="52349076" w14:textId="77777777" w:rsidR="003476F8" w:rsidRPr="00511005" w:rsidRDefault="003476F8" w:rsidP="003A292D">
      <w:pPr>
        <w:spacing w:line="264" w:lineRule="auto"/>
        <w:ind w:firstLine="0"/>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 xml:space="preserve">Згідно з ГПК України, не є доказом показання свідка, який не може назвати джерела своєї обізнаності щодо певної обставини, або які ґрунтуються на повідомленнях інших осіб [1]. Тобто бажання особи вказувати на обставини, свідком яких вона безпосередньо не була, є неможливим, оскільки буде порушувати критерії оцінки доказів, що закріплені в ст.ст 76-79 ГПК України. </w:t>
      </w:r>
    </w:p>
    <w:p w14:paraId="4596D243" w14:textId="48722F7C"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Верховний Суд у постанові від 14.07.2021 р. у справі №921/260/19 зробив висновок, що учасники справи, інші особи, зацікавлені у певному результаті розгляду справи, можуть надавати показання свідка і можуть бути допитані судом в якості свідків, який оцінює ці докази у сукупності з іншими відповідно до свого внутрішнього переконання [3]. Виходячи з положень ГПК учасники справи мають право поставити питання іншим учасникам справи в першій заяві по суті або в додатках до неї. Проте, кількість запитань не може перевищувати десяти та кожне з них має</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стосуватися виключно обставин, що мають значення для суті спору. Сторона, якій поставлено питання, зобов’язана надати вичерпну відповідь з приводу кожного з них окремо. Якщо така відповідь потребує пред’явлення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додаткових доказів, то вони подаються разом із заявою свідка. </w:t>
      </w:r>
    </w:p>
    <w:p w14:paraId="460D348C" w14:textId="5E7E7C30"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Розгляд справи в порядку спрощеного позовного провадження має певні</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особливості, які також охоплюють інститут показань свідка. По-перше, законодавець наголошує, що свідки при розгляді справи не викликаються. По друге, у випадку, якщо свідчення особи, що викладені у заяві, суперечать іншим доказам в справі або викликають у суду сумнів щодо їх правдивості та достовірності не беруться судом до уваги. Такий підхід видається обґрунтованим з огляду на специфіку провадження, оперативність розгляду та небажання обтяжувати його зайвими формальними процедурами допиту.</w:t>
      </w:r>
    </w:p>
    <w:p w14:paraId="03A5C165" w14:textId="04C82ED8"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Варто відзначити, що Регламентом Міжнародного комерційного арбітражного суду при Торгово-промисловій палаті України також передбачаються особливості участі свідка при арбітражному розгляді справи [4]. Так, залучення свідка відбувається за клопотанням відповідної сторони або за ініціативою суду. Свідком може бути будь - яка особа, якій відомі будь-які обставини, що стосуються суті спору (у той час, як ГПК України вказує на винятки, коли свідком не може бути недієздатна фізична особа, священнослужитель, особа, що за законом зобов’язана зберігати таємницю, що була довірена їм у зв’язку з наданням професійної правничої допомоги, судді, присяжні та інші особи, які не можуть бути допитані як свідки згідно з законом). Особи, що мають дипломатичний імунітет можуть бути допитані як свідки лише з власної згоди.</w:t>
      </w:r>
      <w:r w:rsidR="007B2628" w:rsidRPr="00511005">
        <w:rPr>
          <w:rFonts w:ascii="Arial" w:eastAsia="Calibri" w:hAnsi="Arial" w:cs="Arial"/>
          <w:szCs w:val="28"/>
          <w:lang w:val="uk-UA"/>
        </w:rPr>
        <w:t xml:space="preserve"> </w:t>
      </w:r>
    </w:p>
    <w:p w14:paraId="08F8EDB3"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Регламентом не обмежується форма викладу свідчень: дозволяється як письмова, так і усна форма, що визначається складом Арбітражного суду, а ГПК України зобов’язує викладати показання свідка письмово. Положення кодексу визначають порядок допиту свідка, навідміну від регламенту МКАС при ТПП, що більш гнучко врегульовує процедурні правила, дозволяючи визначати порядок допиту свідка складу Арбітражного суду з урахуванням думки сторін.</w:t>
      </w:r>
    </w:p>
    <w:p w14:paraId="50C3B3BC"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Отже, роль показань свідка у господарському процесі є новою та недосконалою, проте є важливою. Враховуючи специфіку господарських спорів, що зосереджена на письмових та речових доказах, показання свідків </w:t>
      </w:r>
      <w:r w:rsidRPr="00511005">
        <w:rPr>
          <w:rFonts w:ascii="Arial" w:eastAsia="Calibri" w:hAnsi="Arial" w:cs="Arial"/>
          <w:szCs w:val="28"/>
          <w:lang w:val="uk-UA"/>
        </w:rPr>
        <w:lastRenderedPageBreak/>
        <w:t xml:space="preserve">мають більш допоміжний характер. Проте завдяки цьому інституту розширюється доказова база, що сприяє більш повному з’ясуванню обставин у справі. </w:t>
      </w:r>
    </w:p>
    <w:p w14:paraId="7ED3069D" w14:textId="77777777" w:rsidR="003476F8" w:rsidRPr="00511005" w:rsidRDefault="003476F8" w:rsidP="003A292D">
      <w:pPr>
        <w:spacing w:line="264" w:lineRule="auto"/>
        <w:ind w:firstLine="0"/>
        <w:rPr>
          <w:rFonts w:ascii="Arial" w:eastAsia="Calibri" w:hAnsi="Arial" w:cs="Arial"/>
          <w:szCs w:val="28"/>
          <w:lang w:val="uk-UA"/>
        </w:rPr>
      </w:pPr>
    </w:p>
    <w:p w14:paraId="00B1B4A4" w14:textId="32D4AF10" w:rsidR="003476F8"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r w:rsidR="003476F8" w:rsidRPr="00511005">
        <w:rPr>
          <w:rFonts w:ascii="Arial" w:eastAsia="Calibri" w:hAnsi="Arial" w:cs="Arial"/>
          <w:b/>
          <w:szCs w:val="28"/>
          <w:lang w:val="uk-UA"/>
        </w:rPr>
        <w:t xml:space="preserve"> </w:t>
      </w:r>
    </w:p>
    <w:p w14:paraId="3C6BB7F1" w14:textId="088E9CB6"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1.Господарський процесуальний кодекс України: Закон України № </w:t>
      </w:r>
      <w:r w:rsidRPr="00511005">
        <w:rPr>
          <w:rFonts w:ascii="Arial" w:eastAsia="Calibri" w:hAnsi="Arial" w:cs="Arial"/>
          <w:szCs w:val="28"/>
          <w:shd w:val="clear" w:color="auto" w:fill="F7F7F7"/>
          <w:lang w:val="uk-UA"/>
        </w:rPr>
        <w:t>1798-XII від 06.11.1991 р.</w:t>
      </w:r>
      <w:r w:rsidRPr="00511005">
        <w:rPr>
          <w:rFonts w:ascii="Arial" w:eastAsia="Calibri" w:hAnsi="Arial" w:cs="Arial"/>
          <w:bCs/>
          <w:szCs w:val="28"/>
          <w:shd w:val="clear" w:color="auto" w:fill="FFFFFF"/>
          <w:lang w:val="uk-UA"/>
        </w:rPr>
        <w:t>ВВР України, 1992.</w:t>
      </w:r>
      <w:r w:rsidR="007B2628" w:rsidRPr="00511005">
        <w:rPr>
          <w:rFonts w:ascii="Arial" w:eastAsia="Calibri" w:hAnsi="Arial" w:cs="Arial"/>
          <w:bCs/>
          <w:szCs w:val="28"/>
          <w:shd w:val="clear" w:color="auto" w:fill="FFFFFF"/>
          <w:lang w:val="uk-UA"/>
        </w:rPr>
        <w:t xml:space="preserve"> </w:t>
      </w:r>
      <w:r w:rsidRPr="00511005">
        <w:rPr>
          <w:rFonts w:ascii="Arial" w:eastAsia="Calibri" w:hAnsi="Arial" w:cs="Arial"/>
          <w:bCs/>
          <w:szCs w:val="28"/>
          <w:shd w:val="clear" w:color="auto" w:fill="FFFFFF"/>
          <w:lang w:val="uk-UA"/>
        </w:rPr>
        <w:t>№ 6. URL:</w:t>
      </w:r>
      <w:hyperlink r:id="rId1620" w:anchor="Text" w:history="1">
        <w:r w:rsidRPr="00511005">
          <w:rPr>
            <w:rFonts w:ascii="Arial" w:eastAsia="Calibri" w:hAnsi="Arial" w:cs="Arial"/>
            <w:szCs w:val="28"/>
            <w:lang w:val="uk-UA"/>
          </w:rPr>
          <w:t>https://zakon.rada.gov.ua/laws/show/1798-12/ed20250409#Text</w:t>
        </w:r>
      </w:hyperlink>
    </w:p>
    <w:p w14:paraId="0B7C7385"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shd w:val="clear" w:color="auto" w:fill="FFFFFF"/>
          <w:lang w:val="uk-UA"/>
        </w:rPr>
        <w:t xml:space="preserve">2.Постанова Верховного Суду від 23.01.2020 р., справа № 918/36/19 </w:t>
      </w:r>
      <w:r w:rsidRPr="00511005">
        <w:rPr>
          <w:rFonts w:ascii="Arial" w:eastAsia="Calibri" w:hAnsi="Arial" w:cs="Arial"/>
          <w:bCs/>
          <w:szCs w:val="28"/>
          <w:shd w:val="clear" w:color="auto" w:fill="FFFFFF"/>
          <w:lang w:val="uk-UA"/>
        </w:rPr>
        <w:t>URL:</w:t>
      </w:r>
      <w:hyperlink r:id="rId1621" w:history="1">
        <w:r w:rsidRPr="00511005">
          <w:rPr>
            <w:rFonts w:ascii="Arial" w:eastAsia="Calibri" w:hAnsi="Arial" w:cs="Arial"/>
            <w:szCs w:val="28"/>
            <w:lang w:val="uk-UA"/>
          </w:rPr>
          <w:t>https://reyestr.court.gov.ua/Review/87204462</w:t>
        </w:r>
      </w:hyperlink>
    </w:p>
    <w:p w14:paraId="40686186"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3.Постанова Верховного Суду від 14.07.2021 р., справа №921/260/19</w:t>
      </w:r>
      <w:r w:rsidRPr="00511005">
        <w:rPr>
          <w:rFonts w:ascii="Arial" w:eastAsia="Calibri" w:hAnsi="Arial" w:cs="Arial"/>
          <w:bCs/>
          <w:szCs w:val="28"/>
          <w:shd w:val="clear" w:color="auto" w:fill="FFFFFF"/>
          <w:lang w:val="uk-UA"/>
        </w:rPr>
        <w:t>URL:</w:t>
      </w:r>
      <w:hyperlink r:id="rId1622" w:history="1">
        <w:r w:rsidRPr="00511005">
          <w:rPr>
            <w:rFonts w:ascii="Arial" w:eastAsia="Calibri" w:hAnsi="Arial" w:cs="Arial"/>
            <w:szCs w:val="28"/>
            <w:lang w:val="uk-UA"/>
          </w:rPr>
          <w:t xml:space="preserve"> https://reyestr.court.gov.ua/Review/98523698</w:t>
        </w:r>
      </w:hyperlink>
    </w:p>
    <w:p w14:paraId="7F7231F6" w14:textId="42A79F3D"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4. Регламент Міжнародного комерційного арбітражного суду при Торгово-промисловій палаті України №</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v0025571-17 від 12.07.2024 р. Рішення Президії ТПП України від 27 липня 2017 року № 25(6), зі змінами внесеними Рішеннями Президії ТПП України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від 17 вересня 2020 року № 2(2), від 01 липня 2022 року № 9(3.2), від 22 грудня 2022 року № 11(3). </w:t>
      </w:r>
      <w:r w:rsidRPr="00511005">
        <w:rPr>
          <w:rFonts w:ascii="Arial" w:eastAsia="Calibri" w:hAnsi="Arial" w:cs="Arial"/>
          <w:bCs/>
          <w:szCs w:val="28"/>
          <w:shd w:val="clear" w:color="auto" w:fill="FFFFFF"/>
          <w:lang w:val="uk-UA"/>
        </w:rPr>
        <w:t>URL:</w:t>
      </w:r>
      <w:hyperlink r:id="rId1623" w:anchor="n4" w:history="1">
        <w:r w:rsidRPr="00511005">
          <w:rPr>
            <w:rFonts w:ascii="Arial" w:eastAsia="Calibri" w:hAnsi="Arial" w:cs="Arial"/>
            <w:szCs w:val="28"/>
            <w:lang w:val="uk-UA"/>
          </w:rPr>
          <w:t xml:space="preserve"> https://zakon.rada.gov.ua/rada/show/v0025571-17#n4</w:t>
        </w:r>
      </w:hyperlink>
    </w:p>
    <w:p w14:paraId="5AF393DD" w14:textId="77777777" w:rsidR="003476F8" w:rsidRPr="00511005" w:rsidRDefault="003476F8" w:rsidP="003A292D">
      <w:pPr>
        <w:spacing w:line="264" w:lineRule="auto"/>
        <w:ind w:firstLine="0"/>
        <w:rPr>
          <w:rFonts w:ascii="Arial" w:eastAsia="Calibri" w:hAnsi="Arial" w:cs="Arial"/>
          <w:szCs w:val="28"/>
          <w:lang w:val="uk-UA"/>
        </w:rPr>
      </w:pPr>
    </w:p>
    <w:p w14:paraId="4D7C7BE5" w14:textId="0671467B"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3476F8" w:rsidRPr="00511005">
        <w:rPr>
          <w:rFonts w:ascii="Arial" w:eastAsia="Calibri" w:hAnsi="Arial" w:cs="Arial"/>
          <w:szCs w:val="28"/>
          <w:lang w:val="uk-UA"/>
        </w:rPr>
        <w:t>показання свідка, допит свідка , письмова заява свідка.</w:t>
      </w:r>
    </w:p>
    <w:p w14:paraId="3BA9EEA3" w14:textId="3881B0E7" w:rsidR="003476F8" w:rsidRPr="00511005" w:rsidRDefault="007B2628" w:rsidP="003A292D">
      <w:pPr>
        <w:spacing w:line="264" w:lineRule="auto"/>
        <w:ind w:firstLine="0"/>
        <w:rPr>
          <w:rFonts w:ascii="Arial" w:eastAsia="Calibri" w:hAnsi="Arial" w:cs="Arial"/>
          <w:b/>
          <w:szCs w:val="28"/>
          <w:lang w:val="uk-UA"/>
        </w:rPr>
      </w:pPr>
      <w:r w:rsidRPr="00511005">
        <w:rPr>
          <w:rFonts w:ascii="Arial" w:eastAsia="Calibri" w:hAnsi="Arial" w:cs="Arial"/>
          <w:b/>
          <w:i/>
          <w:szCs w:val="28"/>
          <w:lang w:val="uk-UA"/>
        </w:rPr>
        <w:t xml:space="preserve">Key words: </w:t>
      </w:r>
      <w:r w:rsidR="003476F8" w:rsidRPr="00511005">
        <w:rPr>
          <w:rFonts w:ascii="Arial" w:eastAsia="Calibri" w:hAnsi="Arial" w:cs="Arial"/>
          <w:szCs w:val="28"/>
          <w:lang w:val="uk-UA"/>
        </w:rPr>
        <w:t>witness testimony, witness interrogation, witness written statement.</w:t>
      </w:r>
    </w:p>
    <w:p w14:paraId="0134B305" w14:textId="42D9074D" w:rsidR="003476F8" w:rsidRPr="00511005" w:rsidRDefault="003476F8" w:rsidP="003A292D">
      <w:pPr>
        <w:spacing w:line="264" w:lineRule="auto"/>
        <w:ind w:firstLine="0"/>
        <w:rPr>
          <w:rFonts w:ascii="Arial" w:eastAsia="Calibri" w:hAnsi="Arial" w:cs="Arial"/>
          <w:i/>
          <w:szCs w:val="28"/>
          <w:lang w:val="uk-UA"/>
        </w:rPr>
      </w:pPr>
      <w:r w:rsidRPr="005E26E0">
        <w:rPr>
          <w:rFonts w:ascii="Arial" w:eastAsia="Calibri" w:hAnsi="Arial" w:cs="Arial"/>
          <w:b/>
          <w:bCs/>
          <w:i/>
          <w:szCs w:val="28"/>
          <w:lang w:val="uk-UA"/>
        </w:rPr>
        <w:t>Науковий керівник</w:t>
      </w:r>
      <w:r w:rsidR="005E26E0" w:rsidRPr="005E26E0">
        <w:rPr>
          <w:rFonts w:ascii="Arial" w:eastAsia="Calibri" w:hAnsi="Arial" w:cs="Arial"/>
          <w:b/>
          <w:bCs/>
          <w:i/>
          <w:szCs w:val="28"/>
          <w:lang w:val="uk-UA"/>
        </w:rPr>
        <w:t>:</w:t>
      </w:r>
      <w:r w:rsidRPr="00511005">
        <w:rPr>
          <w:rFonts w:ascii="Arial" w:eastAsia="Calibri" w:hAnsi="Arial" w:cs="Arial"/>
          <w:i/>
          <w:szCs w:val="28"/>
          <w:lang w:val="uk-UA"/>
        </w:rPr>
        <w:t xml:space="preserve"> к.ю.н., доц. Будурова </w:t>
      </w:r>
      <w:r w:rsidR="005E26E0">
        <w:rPr>
          <w:rFonts w:ascii="Arial" w:eastAsia="Calibri" w:hAnsi="Arial" w:cs="Arial"/>
          <w:i/>
          <w:szCs w:val="28"/>
          <w:lang w:val="uk-UA"/>
        </w:rPr>
        <w:t>Г. М.</w:t>
      </w:r>
    </w:p>
    <w:p w14:paraId="32139044" w14:textId="77777777" w:rsidR="005E26E0" w:rsidRDefault="005E26E0" w:rsidP="003A292D">
      <w:pPr>
        <w:spacing w:line="264" w:lineRule="auto"/>
        <w:ind w:firstLine="0"/>
        <w:jc w:val="center"/>
        <w:rPr>
          <w:rFonts w:ascii="Arial" w:eastAsia="Calibri" w:hAnsi="Arial" w:cs="Arial"/>
          <w:i/>
          <w:szCs w:val="28"/>
          <w:lang w:val="uk-UA"/>
        </w:rPr>
      </w:pPr>
    </w:p>
    <w:p w14:paraId="7DEB318E" w14:textId="77777777" w:rsidR="005E26E0" w:rsidRDefault="005E26E0" w:rsidP="003A292D">
      <w:pPr>
        <w:spacing w:line="264" w:lineRule="auto"/>
        <w:ind w:firstLine="0"/>
        <w:jc w:val="center"/>
        <w:rPr>
          <w:rFonts w:ascii="Arial" w:eastAsia="Times New Roman" w:hAnsi="Arial" w:cs="Arial"/>
          <w:b/>
          <w:i/>
          <w:szCs w:val="28"/>
          <w:lang w:val="uk-UA" w:eastAsia="ru-RU"/>
        </w:rPr>
      </w:pPr>
    </w:p>
    <w:p w14:paraId="5DC46516" w14:textId="1099F8D1"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Тарасова Вероніка Олександрівна</w:t>
      </w:r>
    </w:p>
    <w:p w14:paraId="507FED2B" w14:textId="01D56D08" w:rsidR="003476F8"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3-го курсу </w:t>
      </w:r>
      <w:r w:rsidR="003476F8" w:rsidRPr="00511005">
        <w:rPr>
          <w:rFonts w:ascii="Arial" w:eastAsia="Times New Roman" w:hAnsi="Arial" w:cs="Arial"/>
          <w:szCs w:val="28"/>
          <w:lang w:val="uk-UA" w:eastAsia="ru-RU"/>
        </w:rPr>
        <w:t>факультету</w:t>
      </w:r>
      <w:r w:rsidR="005E26E0">
        <w:rPr>
          <w:rFonts w:ascii="Arial" w:eastAsia="Times New Roman" w:hAnsi="Arial" w:cs="Arial"/>
          <w:szCs w:val="28"/>
          <w:lang w:val="uk-UA" w:eastAsia="ru-RU"/>
        </w:rPr>
        <w:t xml:space="preserve"> </w:t>
      </w:r>
      <w:r w:rsidR="003476F8" w:rsidRPr="00511005">
        <w:rPr>
          <w:rFonts w:ascii="Arial" w:eastAsia="Times New Roman" w:hAnsi="Arial" w:cs="Arial"/>
          <w:szCs w:val="28"/>
          <w:lang w:val="uk-UA" w:eastAsia="ru-RU"/>
        </w:rPr>
        <w:t>адвокатури та антикорупційної діяльності</w:t>
      </w:r>
    </w:p>
    <w:p w14:paraId="56BA59E5" w14:textId="0833D1AE" w:rsidR="003476F8"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461786C6" w14:textId="77777777" w:rsidR="003476F8" w:rsidRPr="00511005" w:rsidRDefault="003476F8" w:rsidP="003A292D">
      <w:pPr>
        <w:spacing w:line="264" w:lineRule="auto"/>
        <w:ind w:firstLine="0"/>
        <w:jc w:val="center"/>
        <w:rPr>
          <w:rFonts w:ascii="Arial" w:eastAsia="Calibri" w:hAnsi="Arial" w:cs="Arial"/>
          <w:szCs w:val="28"/>
          <w:lang w:val="uk-UA"/>
        </w:rPr>
      </w:pPr>
    </w:p>
    <w:p w14:paraId="0F9A38F1"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МЕХАНІЗМИ СУБСИДІАРНОЇ ВІДПОВІДАЛЬНОСТІ У ПРОЦЕДУРІ БАНКРУТСТВА: ТЕОРІЯ І ПРАКТИКА</w:t>
      </w:r>
    </w:p>
    <w:p w14:paraId="2A873551"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Одним із важливих інструментів забезпечення балансу інтересів боржника та кредиторів, а також запобігання зловживанням з боку управлінців і власників підприємств, виступає інститут субсидіарної відповідальності. Його правова природа, умови застосування та межі реалізації є предметом активного обговорення як у доктрині господарського права, так і в судовій практиці.</w:t>
      </w:r>
    </w:p>
    <w:p w14:paraId="20152E02"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bCs/>
          <w:szCs w:val="28"/>
          <w:lang w:val="uk-UA"/>
        </w:rPr>
        <w:t>Перед тим як перейти до аналізу особливостей субсидіарної відповідальності у процедурі банкрутства, доцільно з’ясувати зміст самого поняття.</w:t>
      </w:r>
      <w:r w:rsidRPr="00511005">
        <w:rPr>
          <w:rFonts w:ascii="Arial" w:eastAsia="Calibri" w:hAnsi="Arial" w:cs="Arial"/>
          <w:szCs w:val="28"/>
          <w:lang w:val="uk-UA"/>
        </w:rPr>
        <w:t xml:space="preserve"> Як слушно зазначає Павло Пригуза, «субсидіарна відповідальність у контексті банкрутства — це вид майнової відповідальності, який застосовується до осіб, що через свої дії або бездіяльність спричинили або істотно вплинули на настання неплатоспроможності (банкрутства) </w:t>
      </w:r>
      <w:r w:rsidRPr="00511005">
        <w:rPr>
          <w:rFonts w:ascii="Arial" w:eastAsia="Calibri" w:hAnsi="Arial" w:cs="Arial"/>
          <w:szCs w:val="28"/>
          <w:lang w:val="uk-UA"/>
        </w:rPr>
        <w:lastRenderedPageBreak/>
        <w:t>юридичної особи, і несуть відповідальність перед кредиторами у разі неможливості погашення зобов'язань самим боржником» [1, с. 86]. Наведене визначення підкреслює ключові риси субсидіарної відповідальності в межах інституту банкрутства: наявність причинного зв’язку між поведінкою певних осіб та фактом неплатоспроможності, а також допоміжний (вторинний) характер відповідальності, що активується лише у разі браку майна у боржника.</w:t>
      </w:r>
    </w:p>
    <w:p w14:paraId="6792C470"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bCs/>
          <w:szCs w:val="28"/>
          <w:lang w:val="uk-UA"/>
        </w:rPr>
        <w:t>Слід погодитися з таким підходом до визначення субсидіарної відповідальності, оскільки він об’єктивно відображає її юридичну природу та функціональне призначення у сфері банкрутства.</w:t>
      </w:r>
      <w:r w:rsidRPr="00511005">
        <w:rPr>
          <w:rFonts w:ascii="Arial" w:eastAsia="Calibri" w:hAnsi="Arial" w:cs="Arial"/>
          <w:szCs w:val="28"/>
          <w:lang w:val="uk-UA"/>
        </w:rPr>
        <w:t xml:space="preserve"> Зокрема, акцент на винній поведінці осіб, яка спричинила неплатоспроможність боржника, цілком узгоджується з сучасною правозастосовною практикою. Така відповідальність не має автоматичного характеру, а покладається лише за умови встановлення факту протиправних дій або зловживань з боку керівника, учасників чи інших контролюючих осіб підприємства.</w:t>
      </w:r>
    </w:p>
    <w:p w14:paraId="0486E1FF"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Крім того, визначення відображає майновий характер цієї відповідальності - вона виникає лише за умови, якщо активів боржника недостатньо для погашення зобов’язань. Такий підхід повністю узгоджується з положеннями Кодексу України з процедур банкрутства та сприяє ефективному захисту прав кредиторів, не порушуючи принципу обмеженої відповідальності юридичної особи.</w:t>
      </w:r>
    </w:p>
    <w:p w14:paraId="459896EE"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 Україні положення про субсидіарну відповідальність за доведення юридичної особи до банкрутства містилося в частині 5 статті 41 Закону України «Про відновлення платоспроможності боржника або визнання його банкрутом» до втрати чинності даного закону [2]. Проте на практиці ця норма фактично не застосовувалася через поширене переконання, що притягнення до такої відповідальності можливе лише після доведення вини відповідних осіб у кримінальному процесі та ухвалення обвинувального вироку. Ситуація докорінно змінилася після постанови Верховного Суду від 30 січня 2018 року у справі № 923/862/15, у якій зазначено, що субсидіарна відповідальність може бути застосована до осіб, рішення або бездіяльність яких призвели до повної втрати активів боржника — як грошових коштів, так і майна. При цьому наявність обвинувального вироку не є обов’язковою умовою [3]. </w:t>
      </w:r>
    </w:p>
    <w:p w14:paraId="09E2F125"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Таким чином, дана постанова започаткувала нову практику, в межах якої субсидіарна відповідальність почала розглядатися не як похідна від кримінальної відповідальності, а як </w:t>
      </w:r>
      <w:r w:rsidRPr="00511005">
        <w:rPr>
          <w:rFonts w:ascii="Arial" w:eastAsia="Calibri" w:hAnsi="Arial" w:cs="Arial"/>
          <w:bCs/>
          <w:szCs w:val="28"/>
          <w:lang w:val="uk-UA"/>
        </w:rPr>
        <w:t>самостійний інститут господарського права</w:t>
      </w:r>
      <w:r w:rsidRPr="00511005">
        <w:rPr>
          <w:rFonts w:ascii="Arial" w:eastAsia="Calibri" w:hAnsi="Arial" w:cs="Arial"/>
          <w:szCs w:val="28"/>
          <w:lang w:val="uk-UA"/>
        </w:rPr>
        <w:t xml:space="preserve">, спрямований на захист прав кредиторів та відновлення економічної справедливості в умовах банкрутства. Це рішення стало поворотним пунктом для розвитку судової практики, оскільки з того моменту суди почали активніше виносити ухвали про покладення субсидіарної відповідальності на директорів, учасників, бенефіціарів та інших контролюючих осіб </w:t>
      </w:r>
      <w:r w:rsidRPr="00511005">
        <w:rPr>
          <w:rFonts w:ascii="Arial" w:eastAsia="Calibri" w:hAnsi="Arial" w:cs="Arial"/>
          <w:szCs w:val="28"/>
          <w:lang w:val="uk-UA"/>
        </w:rPr>
        <w:lastRenderedPageBreak/>
        <w:t>боржника. У такий спосіб відбулося реальне наповнення зазначеної норми змістом і розширення інструментарію правового реагування на зловживання у сфері корпоративного управління. Сьогодні ми можемо знайти відображення даної постанови в частині 2 статті 61 Кодексу України з процедур банкрутства[4], але практична реалізація цього інституту в Україні стикається з рядом суттєвих проблем і нормативних прогалин, що обмежує його ефективність і породжує неоднозначність у судовій практиці.</w:t>
      </w:r>
    </w:p>
    <w:p w14:paraId="6249D342"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Насамперед, одним із ключових викликів є недостатнє нормативне врегулювання інституту субсидіарної відповідальності. Зокрема, чинне законодавство не надає чіткої дефініції поняття «особа, яка контролює боржника», що створює підґрунтя для неоднозначного тлумачення цього критерію судами. Внаслідок цього у судовій практиці спостерігається значна варіативність у підходах до кваліфікації поведінки потенційних відповідачів.</w:t>
      </w:r>
    </w:p>
    <w:p w14:paraId="453A7B5E"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Відповідно до постанови КГС ВС від 22.04.2021 у справі № 915/1624/16, до субсидіарної відповідальності можуть бути притягнуті дві групи осіб. Перша — це особи з формалізованими повноваженнями впливу: учасники, акціонери, засновники, а також ті, хто за статутом чи договором приймають рішення від імені боржника або формують його волю. Друга група — це особи без офіційного статусу, які фактично контролюють діяльність підприємства, зокрема тіньові керівники, радники або бенефіціари[5]. Прийняття даної постанови дозволяє забезпечити ширше охоплення відповідальних осіб у випадках недобросовісного управління та штучного доведення підприємств до банкрутства. Це не лише сприяє захисту прав боржників, а й підвищує прозорість господарської діяльності та правову визначеність суб'єктів господарювання.</w:t>
      </w:r>
    </w:p>
    <w:p w14:paraId="6F9BB0AB"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Другою серйозною проблемою є практика обчислення винагороди арбітражного керуючого, яка напряму залежить від вартості фактично отриманих грошових коштів у справі. Така модель мотивації може створювати потенційний конфлікт інтересів, коли арбітражний керуючий, зацікавлений у максимальному збільшенні обсягу конкурсної маси, ініціює позови про субсидіарну відповідальність без належної доказової бази. Це породжує ризики зловживань, додаткового навантаження на судову систему та порушення прав осіб, яких притягують до відповідальності.</w:t>
      </w:r>
    </w:p>
    <w:p w14:paraId="42D58310"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Маємо переконання, що вирішенням даної проблеми є визначення чітких дій або бездіяльності суб’єктів господарських правовідносин, за які можна висунути позовні вимоги про субсидіарну відповідальність у справі. Аналізуючи всю ту ж постанову КГС ВС від 22.04.2021 у справі № 915/1624/16 можна визначити приблизний перелік таких дій чи бездіяльності. Зокрема: придбання суб’єктом майна або створення боргів без реальної можливості їх погасити; виведення активів, що призвело до втрати платоспроможності; намір захистити інтереси третіх осіб на шкоду боржнику, що спричинило банкрутство [5]. Для ефективного функціонування </w:t>
      </w:r>
      <w:r w:rsidRPr="00511005">
        <w:rPr>
          <w:rFonts w:ascii="Arial" w:eastAsia="Calibri" w:hAnsi="Arial" w:cs="Arial"/>
          <w:szCs w:val="28"/>
          <w:lang w:val="uk-UA"/>
        </w:rPr>
        <w:lastRenderedPageBreak/>
        <w:t>інституту субсидіарної відповідальності необхідне законодавче закріплення вичерпного переліку дій чи бездіяльності, що свідчать про доведення до банкрутства, з метою недопущення притягнення невинних осіб і запобігання зловживанням з боку арбітражних керуючих.</w:t>
      </w:r>
    </w:p>
    <w:p w14:paraId="1411C8D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Cs/>
          <w:szCs w:val="28"/>
          <w:lang w:val="uk-UA" w:eastAsia="ru-RU"/>
        </w:rPr>
        <w:t xml:space="preserve">Ще одним проблемним аспектом застосування субсидіарної відповідальності у процедурі банкрутства є невизначеність моменту виникнення права ліквідатора на подання відповідної заяви. </w:t>
      </w:r>
      <w:r w:rsidRPr="00511005">
        <w:rPr>
          <w:rFonts w:ascii="Arial" w:eastAsia="Times New Roman" w:hAnsi="Arial" w:cs="Arial"/>
          <w:szCs w:val="28"/>
          <w:lang w:val="uk-UA" w:eastAsia="ru-RU"/>
        </w:rPr>
        <w:t xml:space="preserve">Зазначене питання набуло практичного вирішення у постанові Касаційного господарського суду Верховного Суду від 19.06.2024 у справі № 906/1155/20, де зазначено, що право ліквідатора звертатися з такою заявою виникає </w:t>
      </w:r>
      <w:r w:rsidRPr="00511005">
        <w:rPr>
          <w:rFonts w:ascii="Arial" w:eastAsia="Times New Roman" w:hAnsi="Arial" w:cs="Arial"/>
          <w:bCs/>
          <w:szCs w:val="28"/>
          <w:lang w:val="uk-UA" w:eastAsia="ru-RU"/>
        </w:rPr>
        <w:t>лише після реалізації всіх активів боржника та завершення розрахунків із кредиторами</w:t>
      </w:r>
      <w:r w:rsidRPr="00511005">
        <w:rPr>
          <w:rFonts w:ascii="Arial" w:eastAsia="Times New Roman" w:hAnsi="Arial" w:cs="Arial"/>
          <w:szCs w:val="28"/>
          <w:lang w:val="uk-UA" w:eastAsia="ru-RU"/>
        </w:rPr>
        <w:t xml:space="preserve"> [6]. Саме на цьому етапі з’являється об’єктивна можливість достовірно встановити як </w:t>
      </w:r>
      <w:r w:rsidRPr="00511005">
        <w:rPr>
          <w:rFonts w:ascii="Arial" w:eastAsia="Times New Roman" w:hAnsi="Arial" w:cs="Arial"/>
          <w:bCs/>
          <w:szCs w:val="28"/>
          <w:lang w:val="uk-UA" w:eastAsia="ru-RU"/>
        </w:rPr>
        <w:t>розмір потенційної відповідальності</w:t>
      </w:r>
      <w:r w:rsidRPr="00511005">
        <w:rPr>
          <w:rFonts w:ascii="Arial" w:eastAsia="Times New Roman" w:hAnsi="Arial" w:cs="Arial"/>
          <w:szCs w:val="28"/>
          <w:lang w:val="uk-UA" w:eastAsia="ru-RU"/>
        </w:rPr>
        <w:t xml:space="preserve">, так і </w:t>
      </w:r>
      <w:r w:rsidRPr="00511005">
        <w:rPr>
          <w:rFonts w:ascii="Arial" w:eastAsia="Times New Roman" w:hAnsi="Arial" w:cs="Arial"/>
          <w:bCs/>
          <w:szCs w:val="28"/>
          <w:lang w:val="uk-UA" w:eastAsia="ru-RU"/>
        </w:rPr>
        <w:t>факт недостатності майна</w:t>
      </w:r>
      <w:r w:rsidRPr="00511005">
        <w:rPr>
          <w:rFonts w:ascii="Arial" w:eastAsia="Times New Roman" w:hAnsi="Arial" w:cs="Arial"/>
          <w:szCs w:val="28"/>
          <w:lang w:val="uk-UA" w:eastAsia="ru-RU"/>
        </w:rPr>
        <w:t xml:space="preserve"> для погашення заборгованості.</w:t>
      </w:r>
    </w:p>
    <w:p w14:paraId="0953AE2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 метою удосконалення цієї процедури, вважаю доцільним </w:t>
      </w:r>
      <w:r w:rsidRPr="00511005">
        <w:rPr>
          <w:rFonts w:ascii="Arial" w:eastAsia="Times New Roman" w:hAnsi="Arial" w:cs="Arial"/>
          <w:bCs/>
          <w:szCs w:val="28"/>
          <w:lang w:val="uk-UA" w:eastAsia="ru-RU"/>
        </w:rPr>
        <w:t>законодавчо визначити момент завершення розрахунків як початок реалізації права ліквідатора на звернення із заявою про притягнення до субсидіарної відповідальності</w:t>
      </w:r>
      <w:r w:rsidRPr="00511005">
        <w:rPr>
          <w:rFonts w:ascii="Arial" w:eastAsia="Times New Roman" w:hAnsi="Arial" w:cs="Arial"/>
          <w:szCs w:val="28"/>
          <w:lang w:val="uk-UA" w:eastAsia="ru-RU"/>
        </w:rPr>
        <w:t xml:space="preserve">. Окрім того, доцільним було б передбачити </w:t>
      </w:r>
      <w:r w:rsidRPr="00511005">
        <w:rPr>
          <w:rFonts w:ascii="Arial" w:eastAsia="Times New Roman" w:hAnsi="Arial" w:cs="Arial"/>
          <w:bCs/>
          <w:szCs w:val="28"/>
          <w:lang w:val="uk-UA" w:eastAsia="ru-RU"/>
        </w:rPr>
        <w:t>обов’язкову фіксацію цього етапу судовим актом</w:t>
      </w:r>
      <w:r w:rsidRPr="00511005">
        <w:rPr>
          <w:rFonts w:ascii="Arial" w:eastAsia="Times New Roman" w:hAnsi="Arial" w:cs="Arial"/>
          <w:szCs w:val="28"/>
          <w:lang w:val="uk-UA" w:eastAsia="ru-RU"/>
        </w:rPr>
        <w:t>, що забезпечить вищий рівень правової визначеності та сприятиме ефективному захисту прав кредиторів.</w:t>
      </w:r>
    </w:p>
    <w:p w14:paraId="6A4C451C"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Останньою, але не менш важливою, проблемою про яку хотілося б сказати є ненадання керівниками або засновниками боржника фінансової чи бухгалтерської документації, що унеможливлює арбітражному керуючому встановити факти виведення активів чи фіктивних операцій і тим самим ускладнює доведення субсидіарної відповідальності та знижує захист прав кредиторів. Ця проблема досі є майже невирішеною, єдиною допомогою у цьому важкому питанні стала постанова КГС ВС від 17.07.2019 у справі № 903/636/17[7]. Фактично постанова легітимізує розширене тлумачення обов’язків ліквідатора, надаючи йому підстави для збору доказів та ініціювання притягнення третіх осіб до відповідальності. Це дозволяє більш повно захистити інтереси кредитора і боржника та посилює превентивну функцію інституту банкрутства.</w:t>
      </w:r>
    </w:p>
    <w:p w14:paraId="0B043F8E" w14:textId="6AB785F3"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Підводячи підсумки, можна стверджувати, що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ефективне функціонування інституту субсидіарної відповідальності в Україні вимагає вдосконалення нормативної бази, уніфікації судової практики та зміцнення гарантій процесуальної справедливості. Лише за умов належного правового регулювання та дієвих інструментів доведення порушень цей механізм зможе забезпечити захист прав боржників і запобігати зловживанням у корпоративному управлінні.</w:t>
      </w:r>
    </w:p>
    <w:p w14:paraId="3D06F225" w14:textId="77777777" w:rsidR="003476F8" w:rsidRPr="00511005" w:rsidRDefault="003476F8" w:rsidP="003A292D">
      <w:pPr>
        <w:spacing w:line="264" w:lineRule="auto"/>
        <w:ind w:firstLine="0"/>
        <w:rPr>
          <w:rFonts w:ascii="Arial" w:eastAsia="Calibri" w:hAnsi="Arial" w:cs="Arial"/>
          <w:szCs w:val="28"/>
          <w:lang w:val="uk-UA"/>
        </w:rPr>
      </w:pPr>
    </w:p>
    <w:p w14:paraId="4E843AD3" w14:textId="2EA52B99" w:rsidR="003476F8"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41D19222"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1.Пригуза П. Субсидіарна відповідальність за доведення до банкрутства: становлення інституту права. Застосування норм Кодексу України з процедур банкрутства. Збірка наукових статей / За загальною редакцією д.ю.н., судді Верховного Суду С. В. Жукова. К.: Алерта, 2019. 186 с.</w:t>
      </w:r>
    </w:p>
    <w:p w14:paraId="1FE00842"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2. Про відновлення платоспроможності боржника або визнання його банкрутом : Закон України від 14.05.1992 № 2343-XII : URL: </w:t>
      </w:r>
      <w:hyperlink r:id="rId1624" w:anchor="Text" w:history="1">
        <w:r w:rsidRPr="00511005">
          <w:rPr>
            <w:rFonts w:ascii="Arial" w:eastAsia="Calibri" w:hAnsi="Arial" w:cs="Arial"/>
            <w:szCs w:val="28"/>
            <w:lang w:val="uk-UA"/>
          </w:rPr>
          <w:t>https://zakon.rada.gov.ua/laws/show/2343-12#Text</w:t>
        </w:r>
      </w:hyperlink>
    </w:p>
    <w:p w14:paraId="70A980A6"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3.Постанова Верховного Суду від 30. січ. 2018 № 923/862/15. URL: </w:t>
      </w:r>
      <w:hyperlink r:id="rId1625" w:history="1">
        <w:r w:rsidRPr="00511005">
          <w:rPr>
            <w:rFonts w:ascii="Arial" w:eastAsia="Calibri" w:hAnsi="Arial" w:cs="Arial"/>
            <w:szCs w:val="28"/>
            <w:lang w:val="uk-UA"/>
          </w:rPr>
          <w:t>https://verdictum.ligazakon.net/document/72008724</w:t>
        </w:r>
      </w:hyperlink>
    </w:p>
    <w:p w14:paraId="31B954BF"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4. Кодекс України з процедур банкрутства : Кодекс України від 18.10.2018 № 2597-VIII. URL: </w:t>
      </w:r>
      <w:hyperlink r:id="rId1626" w:anchor="Text" w:history="1">
        <w:r w:rsidRPr="00511005">
          <w:rPr>
            <w:rFonts w:ascii="Arial" w:eastAsia="Calibri" w:hAnsi="Arial" w:cs="Arial"/>
            <w:szCs w:val="28"/>
            <w:lang w:val="uk-UA"/>
          </w:rPr>
          <w:t>https://zakon.rada.gov.ua/laws/show/2597-19#Text</w:t>
        </w:r>
      </w:hyperlink>
    </w:p>
    <w:p w14:paraId="2DF4E15B" w14:textId="50349C1A"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5. Постанова Верховного Суду від 22. квіт.2021 № 915/1624/16. URL: </w:t>
      </w:r>
      <w:hyperlink r:id="rId1627" w:history="1">
        <w:r w:rsidRPr="00511005">
          <w:rPr>
            <w:rFonts w:ascii="Arial" w:eastAsia="Calibri" w:hAnsi="Arial" w:cs="Arial"/>
            <w:szCs w:val="28"/>
            <w:lang w:val="uk-UA"/>
          </w:rPr>
          <w:t>https://reyestr.court.gov.ua/Review/97451198</w:t>
        </w:r>
      </w:hyperlink>
      <w:r w:rsidR="007B2628" w:rsidRPr="00511005">
        <w:rPr>
          <w:rFonts w:ascii="Arial" w:eastAsia="Calibri" w:hAnsi="Arial" w:cs="Arial"/>
          <w:szCs w:val="28"/>
          <w:lang w:val="uk-UA"/>
        </w:rPr>
        <w:t xml:space="preserve"> </w:t>
      </w:r>
      <w:r w:rsidRPr="00511005">
        <w:rPr>
          <w:rFonts w:ascii="Arial" w:eastAsia="Calibri" w:hAnsi="Arial" w:cs="Arial"/>
          <w:szCs w:val="28"/>
          <w:lang w:val="uk-UA"/>
        </w:rPr>
        <w:t>(дата звернення: 06.05.2025).</w:t>
      </w:r>
    </w:p>
    <w:p w14:paraId="26761BDA"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6. Постанова Верховного Суду від 19. черв. 2024 № 906/1155/20 (906/1113/21). URL: </w:t>
      </w:r>
      <w:hyperlink r:id="rId1628" w:history="1">
        <w:r w:rsidRPr="00511005">
          <w:rPr>
            <w:rFonts w:ascii="Arial" w:eastAsia="Calibri" w:hAnsi="Arial" w:cs="Arial"/>
            <w:szCs w:val="28"/>
            <w:lang w:val="uk-UA"/>
          </w:rPr>
          <w:t>https://verdictum.ligazakon.net/document/120341855</w:t>
        </w:r>
      </w:hyperlink>
    </w:p>
    <w:p w14:paraId="1C175217"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7. Постанова Верховного Суду від 17. лип.2019 у справі № 903/636/17. URL: </w:t>
      </w:r>
      <w:hyperlink r:id="rId1629" w:history="1">
        <w:r w:rsidRPr="00511005">
          <w:rPr>
            <w:rFonts w:ascii="Arial" w:eastAsia="Calibri" w:hAnsi="Arial" w:cs="Arial"/>
            <w:szCs w:val="28"/>
            <w:lang w:val="uk-UA"/>
          </w:rPr>
          <w:t>https://reyestr.court.gov.ua/Review/83258765</w:t>
        </w:r>
      </w:hyperlink>
      <w:r w:rsidRPr="00511005">
        <w:rPr>
          <w:rFonts w:ascii="Arial" w:eastAsia="Calibri" w:hAnsi="Arial" w:cs="Arial"/>
          <w:szCs w:val="28"/>
          <w:lang w:val="uk-UA"/>
        </w:rPr>
        <w:t>.</w:t>
      </w:r>
    </w:p>
    <w:p w14:paraId="45B4F24E" w14:textId="77777777" w:rsidR="003476F8" w:rsidRPr="00511005" w:rsidRDefault="003476F8" w:rsidP="003A292D">
      <w:pPr>
        <w:spacing w:line="264" w:lineRule="auto"/>
        <w:ind w:firstLine="0"/>
        <w:rPr>
          <w:rFonts w:ascii="Arial" w:eastAsia="Calibri" w:hAnsi="Arial" w:cs="Arial"/>
          <w:b/>
          <w:szCs w:val="28"/>
          <w:lang w:val="uk-UA"/>
        </w:rPr>
      </w:pPr>
    </w:p>
    <w:p w14:paraId="49C06BC8" w14:textId="7C519A7B" w:rsidR="003476F8" w:rsidRPr="00511005" w:rsidRDefault="007B2628" w:rsidP="003A292D">
      <w:pPr>
        <w:spacing w:line="264" w:lineRule="auto"/>
        <w:ind w:firstLine="0"/>
        <w:rPr>
          <w:rFonts w:ascii="Arial" w:eastAsia="Calibri" w:hAnsi="Arial" w:cs="Arial"/>
          <w:noProof/>
          <w:szCs w:val="28"/>
          <w:lang w:val="uk-UA"/>
        </w:rPr>
      </w:pPr>
      <w:r w:rsidRPr="00511005">
        <w:rPr>
          <w:rFonts w:ascii="Arial" w:eastAsia="Calibri" w:hAnsi="Arial" w:cs="Arial"/>
          <w:b/>
          <w:i/>
          <w:noProof/>
          <w:szCs w:val="28"/>
          <w:lang w:val="uk-UA"/>
        </w:rPr>
        <w:t xml:space="preserve">Ключові слова: </w:t>
      </w:r>
      <w:r w:rsidR="003476F8" w:rsidRPr="00511005">
        <w:rPr>
          <w:rFonts w:ascii="Arial" w:eastAsia="Calibri" w:hAnsi="Arial" w:cs="Arial"/>
          <w:noProof/>
          <w:szCs w:val="28"/>
          <w:lang w:val="uk-UA"/>
        </w:rPr>
        <w:t>субсидіарна відповідальність, банкрутство, контролююча особа, банкрут, ліквідатор, Верховний Суд</w:t>
      </w:r>
    </w:p>
    <w:p w14:paraId="75F3C280" w14:textId="7325F709" w:rsidR="003476F8" w:rsidRPr="00511005" w:rsidRDefault="007B2628" w:rsidP="003A292D">
      <w:pPr>
        <w:spacing w:line="264" w:lineRule="auto"/>
        <w:ind w:firstLine="0"/>
        <w:rPr>
          <w:rFonts w:ascii="Arial" w:eastAsia="Calibri" w:hAnsi="Arial" w:cs="Arial"/>
          <w:noProof/>
          <w:szCs w:val="28"/>
          <w:lang w:val="uk-UA"/>
        </w:rPr>
      </w:pPr>
      <w:r w:rsidRPr="00511005">
        <w:rPr>
          <w:rFonts w:ascii="Arial" w:eastAsia="Calibri" w:hAnsi="Arial" w:cs="Arial"/>
          <w:b/>
          <w:i/>
          <w:noProof/>
          <w:szCs w:val="28"/>
          <w:lang w:val="uk-UA"/>
        </w:rPr>
        <w:t xml:space="preserve">Key words: </w:t>
      </w:r>
      <w:r w:rsidR="003476F8" w:rsidRPr="00511005">
        <w:rPr>
          <w:rFonts w:ascii="Arial" w:eastAsia="Calibri" w:hAnsi="Arial" w:cs="Arial"/>
          <w:noProof/>
          <w:szCs w:val="28"/>
          <w:lang w:val="uk-UA"/>
        </w:rPr>
        <w:t>subsidiary liability, bankruptcy, controlling person, bankrupt, liquidator, Supreme Court</w:t>
      </w:r>
    </w:p>
    <w:p w14:paraId="2379A974" w14:textId="17CC5F6C" w:rsidR="003476F8" w:rsidRPr="00511005" w:rsidRDefault="007B2628" w:rsidP="003A292D">
      <w:pPr>
        <w:spacing w:line="264" w:lineRule="auto"/>
        <w:ind w:firstLine="0"/>
        <w:rPr>
          <w:rFonts w:ascii="Arial" w:eastAsia="Calibri" w:hAnsi="Arial" w:cs="Arial"/>
          <w:noProof/>
          <w:szCs w:val="28"/>
          <w:lang w:val="uk-UA"/>
        </w:rPr>
      </w:pPr>
      <w:r w:rsidRPr="00511005">
        <w:rPr>
          <w:rFonts w:ascii="Arial" w:eastAsia="Calibri" w:hAnsi="Arial" w:cs="Arial"/>
          <w:b/>
          <w:i/>
          <w:noProof/>
          <w:szCs w:val="28"/>
          <w:lang w:val="uk-UA"/>
        </w:rPr>
        <w:t xml:space="preserve">Науковий керівник: </w:t>
      </w:r>
      <w:r w:rsidR="003476F8" w:rsidRPr="00511005">
        <w:rPr>
          <w:rFonts w:ascii="Arial" w:eastAsia="Times New Roman" w:hAnsi="Arial" w:cs="Arial"/>
          <w:bCs/>
          <w:i/>
          <w:iCs/>
          <w:szCs w:val="28"/>
          <w:lang w:val="uk-UA" w:eastAsia="ru-RU"/>
        </w:rPr>
        <w:t>к.ю.н., доцент Згама А.О.</w:t>
      </w:r>
    </w:p>
    <w:p w14:paraId="0D6691D9" w14:textId="77777777" w:rsidR="003476F8" w:rsidRPr="00511005" w:rsidRDefault="003476F8" w:rsidP="003A292D">
      <w:pPr>
        <w:spacing w:line="264" w:lineRule="auto"/>
        <w:ind w:firstLine="0"/>
        <w:rPr>
          <w:rFonts w:ascii="Arial" w:eastAsia="Calibri" w:hAnsi="Arial" w:cs="Arial"/>
          <w:i/>
          <w:szCs w:val="28"/>
          <w:lang w:val="uk-UA"/>
        </w:rPr>
      </w:pPr>
    </w:p>
    <w:p w14:paraId="359E6F4D" w14:textId="77777777" w:rsidR="005E26E0" w:rsidRDefault="005E26E0" w:rsidP="003A292D">
      <w:pPr>
        <w:spacing w:line="264" w:lineRule="auto"/>
        <w:ind w:firstLine="0"/>
        <w:jc w:val="center"/>
        <w:rPr>
          <w:rFonts w:ascii="Arial" w:eastAsia="Times New Roman" w:hAnsi="Arial" w:cs="Arial"/>
          <w:b/>
          <w:i/>
          <w:szCs w:val="28"/>
          <w:lang w:val="uk-UA"/>
        </w:rPr>
      </w:pPr>
    </w:p>
    <w:p w14:paraId="32F5E8FB" w14:textId="53606F66" w:rsidR="003476F8" w:rsidRPr="00511005" w:rsidRDefault="003476F8"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Тишко Ілонна Павлівна</w:t>
      </w:r>
    </w:p>
    <w:p w14:paraId="6787ED19" w14:textId="6084C5C3"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649FC8EC"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0EBF4B4"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8808647" w14:textId="77777777" w:rsidR="003476F8" w:rsidRPr="00511005" w:rsidRDefault="003476F8" w:rsidP="003A292D">
      <w:pPr>
        <w:spacing w:line="264" w:lineRule="auto"/>
        <w:ind w:firstLine="0"/>
        <w:jc w:val="center"/>
        <w:rPr>
          <w:rFonts w:ascii="Arial" w:eastAsia="Times New Roman" w:hAnsi="Arial" w:cs="Arial"/>
          <w:szCs w:val="28"/>
          <w:lang w:val="uk-UA"/>
        </w:rPr>
      </w:pPr>
    </w:p>
    <w:p w14:paraId="65AC118E"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РИЗИКИ ВЕДЕННЯ БІЗНЕСУ В УМОВАХ ВОЄННОГО СТАНУ ТА ШЛЯХИ ЇХ ПОДОЛАННЯ</w:t>
      </w:r>
    </w:p>
    <w:p w14:paraId="152A6488"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Унаслідок повномасштабної агресії Росії проти України, яка почалась у лютому 2022 року, економіка країни зазнала значного удару. Прогнози МВФ вказують на можливе падіння ВВП на 10–35%, а Світовий банк оцінює спад аж до 45,1% за підсумками 2022 року. За даними НБУ, через бойові дії Україна втрачає майже половину потенційного обсягу виробництва, не враховуючи фізичні руйнування. Прямі збитки бізнесу, державного сектору та громадян оцінено в 13 млрд доларів, непрямі – в понад 33 млрд доларів. За дослідженням Advanter Group, до середини березня 2022 року понад 86% малих та середніх підприємств припинили роботу, а лише 2% змогли </w:t>
      </w:r>
      <w:r w:rsidRPr="00511005">
        <w:rPr>
          <w:rFonts w:ascii="Arial" w:eastAsia="Times New Roman" w:hAnsi="Arial" w:cs="Arial"/>
          <w:szCs w:val="28"/>
          <w:lang w:val="uk-UA"/>
        </w:rPr>
        <w:lastRenderedPageBreak/>
        <w:t>зберегти довоєнний рівень діяльності. Згодом спостерігалося поступове відновлення бізнесу: частина підприємств відновила діяльність або збільшила обсяги робіт.[2]</w:t>
      </w:r>
    </w:p>
    <w:p w14:paraId="165F771F"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Такі процеси стали результатом адаптації до умов війни. Для відновлення економіки важливо розуміти основні ризики, з якими стикається бізнес, і знаходити шляхи їх мінімізації.</w:t>
      </w:r>
    </w:p>
    <w:p w14:paraId="67699F33"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Серед </w:t>
      </w:r>
      <w:r w:rsidRPr="00511005">
        <w:rPr>
          <w:rFonts w:ascii="Arial" w:eastAsia="Times New Roman" w:hAnsi="Arial" w:cs="Arial"/>
          <w:bCs/>
          <w:szCs w:val="28"/>
          <w:lang w:val="uk-UA"/>
        </w:rPr>
        <w:t>переваг ведення бізнесу</w:t>
      </w:r>
      <w:r w:rsidRPr="00511005">
        <w:rPr>
          <w:rFonts w:ascii="Arial" w:eastAsia="Times New Roman" w:hAnsi="Arial" w:cs="Arial"/>
          <w:szCs w:val="28"/>
          <w:lang w:val="uk-UA"/>
        </w:rPr>
        <w:t xml:space="preserve"> в умовах воєнного стану — підтримка держави, відновлення попиту, зменшення конкуренції, податкові пільги та можливість розвитку з невеликими інвестиціями.</w:t>
      </w:r>
    </w:p>
    <w:p w14:paraId="5A0D578B"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bCs/>
          <w:szCs w:val="28"/>
          <w:lang w:val="uk-UA"/>
        </w:rPr>
        <w:t>Серед недоліків</w:t>
      </w:r>
      <w:r w:rsidRPr="00511005">
        <w:rPr>
          <w:rFonts w:ascii="Arial" w:eastAsia="Times New Roman" w:hAnsi="Arial" w:cs="Arial"/>
          <w:szCs w:val="28"/>
          <w:lang w:val="uk-UA"/>
        </w:rPr>
        <w:t xml:space="preserve"> — нестабільність економіки, проблеми з енергопостачанням, труднощі з імпортом і неможливість планувати надовго. [1]</w:t>
      </w:r>
    </w:p>
    <w:p w14:paraId="4CE45E8A"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Важливо, що великі компанії мають більше ресурсів для виживання, тоді як малий і середній бізнес потребують особливої підтримки та продуманого управління ризиками.</w:t>
      </w:r>
    </w:p>
    <w:p w14:paraId="700BB550"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Одним із важливих ризиків для бізнесу в умовах війни є втрата керівника або його можливості ефективно виконувати обов'язки. Часто підприємці концентруються на захисті команди чи майна, ігноруючи це питання. Якщо керівник не може керувати особисто, потрібно завчасно продумати варіанти заміни або релокацію бізнесу у безпечні регіони. Так, за даними Міністерства економіки, найпопулярнішою для переміщення підприємств стала Львівська область. ЄБРР разом із партнерами запустив програму підтримки релокації малого та середнього бізнесу, виділивши близько 2,4 млн євро на допомогу компаніям для покриття витрат на транспортування, оренду та відновлення діяльності.[3]</w:t>
      </w:r>
    </w:p>
    <w:p w14:paraId="0C37AE75"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Кадрові ризики теж актуальні: частина працівників не виходить на роботу через страх чи евакуацію. Кодекс законів про працю дозволяє надати відпустку, змінити режим роботи або розірвати контракт. Варіантом виходу може бути також організація дистанційної роботи, яка вже добре регулюється українським законодавством.</w:t>
      </w:r>
    </w:p>
    <w:p w14:paraId="4F2C83AA"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Одним із серйозних кадрових ризиків у період воєнного стану є мобілізація працівників. Підприємства, особливо у критичних галузях, повинні забезпечити збереження мінімально необхідної кількості персоналу для продовження роботи. З цією метою необхідно заздалегідь підготувати документи для процедури бронювання співробітників. Якщо на початку повномасштабної війни цей процес був простішим, то наразі до нього додали нові вимоги.</w:t>
      </w:r>
    </w:p>
    <w:p w14:paraId="79C3DD55"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Податкові ризики в умовах війни також зазнали значних змін. Спочатку держава запровадила низку податкових пільг: можливість перейти на спрощену систему оподаткування зі ставкою 2% для ФОПів, скасування податкових перевірок, добровільність сплати єдиного податку та ЄСВ, а також звільнення від деяких місцевих податків у зонах бойових дій. Однак </w:t>
      </w:r>
      <w:r w:rsidRPr="00511005">
        <w:rPr>
          <w:rFonts w:ascii="Arial" w:eastAsia="Times New Roman" w:hAnsi="Arial" w:cs="Arial"/>
          <w:szCs w:val="28"/>
          <w:lang w:val="uk-UA"/>
        </w:rPr>
        <w:lastRenderedPageBreak/>
        <w:t>більшість цих полегшень уже скасовано. Постійні зміни у податковому законодавстві без належного супроводу та роз’яснень призвели до численних помилок в обліку, особливо в компаніях, де бухгалтерія залишилась без належного керування через виїзд працівників за кордон. Скасування мораторію на податкові перевірки означає, що зараз органи контролю активно перевіряють підприємства, виявляючи порушення, які можуть призвести до штрафів і судових процесів. У багатьох випадках підприємствам доводиться відстоювати свої права виключно в судовому порядку. Окрім того, зберігається проблема несвоєчасної реєстрації податкових накладних, що не тільки створює ризики штрафних санкцій, але й ускладнює взаєморозрахунки з контрагентами. Тому при укладенні нових договорів важливо передбачати можливі затримки в документообігу. [4]</w:t>
      </w:r>
    </w:p>
    <w:p w14:paraId="6A0EF824"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Ризик втрати контролю над активами також набув особливої актуальності. У мирний час недбале ставлення до оформлення прав власності чи первинних документів рідко ставало критичним, проте тепер це може призвести до неможливості відшкодування збитків. Документування втрат майна, знищеного чи захопленого через бойові дії, є обов’язковим для отримання компенсацій. Тому важливо мати всі первинні документи, права власності та за можливості перевести документообіг в електронний формат, що забезпечить безпечне зберігання даних незалежно від фізичних обставин.</w:t>
      </w:r>
    </w:p>
    <w:p w14:paraId="5B527D6E"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 умовах війни суттєво зросли ризики, пов'язані з ненадійністю контрагентів. Надійні до війни партнери можуть виявитися нездатними виконувати зобов'язання через економічні труднощі або втрату активів. Щоб мінімізувати ризики, рекомендується переглядати раніше укладені договори, додавати до них спеціальні умови про ведення діяльності в період війни, перевіряти актуальність інформації про партнерів через відкриті реєстри та обирати безпечні умови розрахунків (зменшення обсягу післяплат).</w:t>
      </w:r>
    </w:p>
    <w:p w14:paraId="06A2C493"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Крім того, важливо бути готовими до того, що бізнес може втратити рентабельність або навіть припинити діяльність. Судові процедури щодо заборгованостей спрощені: тепер рішення можуть прийматися без участі боржника, що загрожує арештом рахунків без попередження. У разі необхідності ліквідації або зупинення діяльності слід завчасно консультуватися з юристами та бухгалтерами, щоб обрати найменш ризикований варіант закриття підприємства.</w:t>
      </w:r>
    </w:p>
    <w:p w14:paraId="2D5BE630"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Із жовтня 2022 року в Україні через постійні обстріли об’єктів критичної інфраструктури почались аварійні та стабілізаційні відключення електроенергії. Це суттєво вплинуло на можливості підприємств здійснювати господарську діяльність. На час відключень велика частина бізнесів змушена була повністю зупиняти роботу. Особливо складною ситуація стала для виробників харчових продуктів, де існують жорсткі </w:t>
      </w:r>
      <w:r w:rsidRPr="00511005">
        <w:rPr>
          <w:rFonts w:ascii="Arial" w:eastAsia="Times New Roman" w:hAnsi="Arial" w:cs="Arial"/>
          <w:szCs w:val="28"/>
          <w:lang w:val="uk-UA"/>
        </w:rPr>
        <w:lastRenderedPageBreak/>
        <w:t>вимоги до умов виробництва та зберігання товарів — дотримання температурного режиму, вологості, вентиляції, опалення тощо. Таким чином сформувався окремий ризик для підприємств — ризик тривалої відсутності енергопостачання. Одним зі способів мінімізації цього ризику стало придбання генераторів. Проте для потреб середніх і великих виробництв потрібні пристрої великої потужності, що є досить дорогим рішенням і доступне не всім компаніям. У відповідь на цю проблему держава ухвалила рішення звільнити від податку на додану вартість операції з постачання генераторів, незалежно від цілей їх використання. Для фізичних осіб була також започаткована програма компенсації витрат на купівлю генераторів, але для юридичних осіб подібна підтримка не була передбачена.</w:t>
      </w:r>
    </w:p>
    <w:p w14:paraId="399A8E6A"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Ведення бізнесу в умовах воєнного стану потребує від підприємців надзвичайної гнучкості, стійкості та готовності до швидкої адаптації. Сучасні виклики вимагають переосмислення підходів до управління ризиками, активного впровадження антикризових стратегій та пошуку нових можливостей для розвитку.</w:t>
      </w:r>
      <w:r w:rsidRPr="00511005">
        <w:rPr>
          <w:rFonts w:ascii="Arial" w:eastAsia="Calibri" w:hAnsi="Arial" w:cs="Arial"/>
          <w:szCs w:val="28"/>
          <w:lang w:val="uk-UA"/>
        </w:rPr>
        <w:br/>
        <w:t>Державна підтримка, міжнародна допомога, розбудова надійних логістичних ланцюгів, цифровізація бізнес-процесів та посилення безпеки є ключовими факторами мінімізації негативного впливу війни на підприємницьку діяльність.</w:t>
      </w:r>
      <w:r w:rsidRPr="00511005">
        <w:rPr>
          <w:rFonts w:ascii="Arial" w:eastAsia="Calibri" w:hAnsi="Arial" w:cs="Arial"/>
          <w:szCs w:val="28"/>
          <w:lang w:val="uk-UA"/>
        </w:rPr>
        <w:br/>
        <w:t>Успішне подолання кризових явищ сьогодні — запорука майбутнього економічного відродження України.</w:t>
      </w:r>
    </w:p>
    <w:p w14:paraId="79563D37" w14:textId="77777777" w:rsidR="003476F8" w:rsidRPr="00511005" w:rsidRDefault="003476F8" w:rsidP="003A292D">
      <w:pPr>
        <w:spacing w:line="264" w:lineRule="auto"/>
        <w:ind w:firstLine="0"/>
        <w:rPr>
          <w:rFonts w:ascii="Arial" w:eastAsia="Calibri" w:hAnsi="Arial" w:cs="Arial"/>
          <w:szCs w:val="28"/>
          <w:lang w:val="uk-UA"/>
        </w:rPr>
      </w:pPr>
    </w:p>
    <w:p w14:paraId="7C775678" w14:textId="67CCE02D" w:rsidR="003476F8" w:rsidRPr="00511005" w:rsidRDefault="007B2628" w:rsidP="007B2628">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093D4497" w14:textId="77777777" w:rsidR="003476F8" w:rsidRPr="00511005" w:rsidRDefault="003476F8" w:rsidP="003F6A5D">
      <w:pPr>
        <w:numPr>
          <w:ilvl w:val="0"/>
          <w:numId w:val="83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Бізнес під час війни. Львівська торгово-промислова палата. 2022.URL: </w:t>
      </w:r>
      <w:hyperlink r:id="rId1630" w:history="1">
        <w:r w:rsidRPr="00511005">
          <w:rPr>
            <w:rFonts w:ascii="Arial" w:eastAsia="Calibri" w:hAnsi="Arial" w:cs="Arial"/>
            <w:szCs w:val="28"/>
            <w:lang w:val="uk-UA"/>
          </w:rPr>
          <w:t>https://lcci.com.ua/biznes-pid-chas-vijny/</w:t>
        </w:r>
      </w:hyperlink>
      <w:r w:rsidRPr="00511005">
        <w:rPr>
          <w:rFonts w:ascii="Arial" w:eastAsia="Calibri" w:hAnsi="Arial" w:cs="Arial"/>
          <w:szCs w:val="28"/>
          <w:lang w:val="uk-UA"/>
        </w:rPr>
        <w:t>(дата звернення: 27.04.2025).</w:t>
      </w:r>
    </w:p>
    <w:p w14:paraId="0E7D063D" w14:textId="77777777" w:rsidR="003476F8" w:rsidRPr="00511005" w:rsidRDefault="003476F8" w:rsidP="003F6A5D">
      <w:pPr>
        <w:numPr>
          <w:ilvl w:val="0"/>
          <w:numId w:val="83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Економіка регіонів України в умовах війни: ризики та напрямки забезпечення стійкості: науково-аналітичне видання. ДУ « Інститут регіональних досліджень імені М.І. Долішнього НАН України». ред. І.З. Сторонянська. Львів, 2022. С.16. URL: </w:t>
      </w:r>
      <w:hyperlink r:id="rId1631" w:history="1">
        <w:r w:rsidRPr="00511005">
          <w:rPr>
            <w:rFonts w:ascii="Arial" w:eastAsia="Calibri" w:hAnsi="Arial" w:cs="Arial"/>
            <w:szCs w:val="28"/>
            <w:lang w:val="uk-UA"/>
          </w:rPr>
          <w:t>chrome-extension://efaidnbmnnnibpcajpcglclefindmkaj/https://ird.gov.ua/irdp/p20220033.pdf</w:t>
        </w:r>
      </w:hyperlink>
      <w:r w:rsidRPr="00511005">
        <w:rPr>
          <w:rFonts w:ascii="Arial" w:eastAsia="Calibri" w:hAnsi="Arial" w:cs="Arial"/>
          <w:szCs w:val="28"/>
          <w:lang w:val="uk-UA"/>
        </w:rPr>
        <w:t xml:space="preserve">(дата звернення: 27.04.2025). </w:t>
      </w:r>
    </w:p>
    <w:p w14:paraId="6D64FA2B" w14:textId="77777777" w:rsidR="003476F8" w:rsidRPr="00511005" w:rsidRDefault="003476F8" w:rsidP="003F6A5D">
      <w:pPr>
        <w:numPr>
          <w:ilvl w:val="0"/>
          <w:numId w:val="83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ЄБРР надає гранти на релокацію бізнесу. Андрушівська міська рада. 2022.URL: </w:t>
      </w:r>
      <w:hyperlink r:id="rId1632" w:history="1">
        <w:r w:rsidRPr="00511005">
          <w:rPr>
            <w:rFonts w:ascii="Arial" w:eastAsia="Calibri" w:hAnsi="Arial" w:cs="Arial"/>
            <w:szCs w:val="28"/>
            <w:lang w:val="uk-UA"/>
          </w:rPr>
          <w:t>https://andrushivka.info/2023/01/26/</w:t>
        </w:r>
      </w:hyperlink>
      <w:r w:rsidRPr="00511005">
        <w:rPr>
          <w:rFonts w:ascii="Arial" w:eastAsia="Calibri" w:hAnsi="Arial" w:cs="Arial"/>
          <w:szCs w:val="28"/>
          <w:lang w:val="uk-UA"/>
        </w:rPr>
        <w:t>(дата звернення: 27.04.2025).</w:t>
      </w:r>
    </w:p>
    <w:p w14:paraId="55DE43AC" w14:textId="77777777" w:rsidR="003476F8" w:rsidRPr="00511005" w:rsidRDefault="003476F8" w:rsidP="003F6A5D">
      <w:pPr>
        <w:numPr>
          <w:ilvl w:val="0"/>
          <w:numId w:val="83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Кирильчук М. Податкові послаблення під час воєнного стану: що передбачає прийнятий Закон. Ліга Закон. 2022. URL: </w:t>
      </w:r>
      <w:hyperlink r:id="rId1633" w:history="1">
        <w:r w:rsidRPr="00511005">
          <w:rPr>
            <w:rFonts w:ascii="Arial" w:eastAsia="Calibri" w:hAnsi="Arial" w:cs="Arial"/>
            <w:szCs w:val="28"/>
            <w:lang w:val="uk-UA"/>
          </w:rPr>
          <w:t>https://buh.ligazakon.net/news/209993_podatkov-poslablennya-na-chas-vonnogo-stanu-shcho-peredbacha-priynyatiy-zakon</w:t>
        </w:r>
      </w:hyperlink>
      <w:r w:rsidRPr="00511005">
        <w:rPr>
          <w:rFonts w:ascii="Arial" w:eastAsia="Calibri" w:hAnsi="Arial" w:cs="Arial"/>
          <w:szCs w:val="28"/>
          <w:lang w:val="uk-UA"/>
        </w:rPr>
        <w:t>(дата звернення: 27.04.2025).</w:t>
      </w:r>
    </w:p>
    <w:p w14:paraId="4AD707A8" w14:textId="77777777" w:rsidR="003476F8" w:rsidRPr="00511005" w:rsidRDefault="003476F8" w:rsidP="003A292D">
      <w:pPr>
        <w:spacing w:line="264" w:lineRule="auto"/>
        <w:ind w:firstLine="0"/>
        <w:rPr>
          <w:rFonts w:ascii="Arial" w:eastAsia="Times New Roman" w:hAnsi="Arial" w:cs="Arial"/>
          <w:b/>
          <w:szCs w:val="28"/>
          <w:lang w:val="uk-UA"/>
        </w:rPr>
      </w:pPr>
    </w:p>
    <w:p w14:paraId="364DA0A2" w14:textId="5DFFD540" w:rsidR="003476F8"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3476F8" w:rsidRPr="00511005">
        <w:rPr>
          <w:rFonts w:ascii="Arial" w:eastAsia="Times New Roman" w:hAnsi="Arial" w:cs="Arial"/>
          <w:szCs w:val="28"/>
          <w:lang w:val="uk-UA"/>
        </w:rPr>
        <w:t>ризики, ведення бізнесу, воєнний стан, шляхи подолання.</w:t>
      </w:r>
    </w:p>
    <w:p w14:paraId="5B183034" w14:textId="4711B605" w:rsidR="003476F8" w:rsidRPr="00511005" w:rsidRDefault="007B2628" w:rsidP="003A292D">
      <w:pPr>
        <w:spacing w:line="264" w:lineRule="auto"/>
        <w:ind w:firstLine="0"/>
        <w:rPr>
          <w:rFonts w:ascii="Arial" w:eastAsia="Times New Roman" w:hAnsi="Arial" w:cs="Arial"/>
          <w:i/>
          <w:szCs w:val="28"/>
          <w:lang w:val="uk-UA"/>
        </w:rPr>
      </w:pPr>
      <w:r w:rsidRPr="00511005">
        <w:rPr>
          <w:rFonts w:ascii="Arial" w:eastAsia="Times New Roman" w:hAnsi="Arial" w:cs="Arial"/>
          <w:b/>
          <w:i/>
          <w:szCs w:val="28"/>
          <w:lang w:val="uk-UA"/>
        </w:rPr>
        <w:lastRenderedPageBreak/>
        <w:t xml:space="preserve">Key words: </w:t>
      </w:r>
      <w:r w:rsidR="003476F8" w:rsidRPr="00511005">
        <w:rPr>
          <w:rFonts w:ascii="Arial" w:eastAsia="Times New Roman" w:hAnsi="Arial" w:cs="Arial"/>
          <w:szCs w:val="28"/>
          <w:lang w:val="uk-UA"/>
        </w:rPr>
        <w:t>risks, doing business, martial law, ways to overcome.</w:t>
      </w:r>
    </w:p>
    <w:p w14:paraId="49FE346D" w14:textId="617C017C" w:rsidR="003476F8" w:rsidRPr="00511005" w:rsidRDefault="00C76181" w:rsidP="003A292D">
      <w:pPr>
        <w:spacing w:line="264" w:lineRule="auto"/>
        <w:ind w:firstLine="0"/>
        <w:rPr>
          <w:rFonts w:ascii="Arial" w:eastAsia="Times New Roman" w:hAnsi="Arial" w:cs="Arial"/>
          <w:b/>
          <w:i/>
          <w:szCs w:val="28"/>
          <w:lang w:val="uk-UA"/>
        </w:rPr>
      </w:pPr>
      <w:r w:rsidRPr="00511005">
        <w:rPr>
          <w:rFonts w:ascii="Arial" w:eastAsia="Calibri" w:hAnsi="Arial" w:cs="Arial"/>
          <w:b/>
          <w:i/>
          <w:szCs w:val="28"/>
          <w:lang w:val="uk-UA"/>
        </w:rPr>
        <w:t xml:space="preserve">Науковий керівник: </w:t>
      </w:r>
      <w:r w:rsidR="003476F8" w:rsidRPr="00511005">
        <w:rPr>
          <w:rFonts w:ascii="Arial" w:eastAsia="Calibri" w:hAnsi="Arial" w:cs="Arial"/>
          <w:i/>
          <w:iCs/>
          <w:szCs w:val="28"/>
          <w:lang w:val="uk-UA"/>
        </w:rPr>
        <w:t>к.ю.н., доцент Гофман О</w:t>
      </w:r>
      <w:r w:rsidR="005E26E0">
        <w:rPr>
          <w:rFonts w:ascii="Arial" w:eastAsia="Calibri" w:hAnsi="Arial" w:cs="Arial"/>
          <w:i/>
          <w:iCs/>
          <w:szCs w:val="28"/>
          <w:lang w:val="uk-UA"/>
        </w:rPr>
        <w:t>.</w:t>
      </w:r>
      <w:r w:rsidR="003476F8" w:rsidRPr="00511005">
        <w:rPr>
          <w:rFonts w:ascii="Arial" w:eastAsia="Calibri" w:hAnsi="Arial" w:cs="Arial"/>
          <w:i/>
          <w:iCs/>
          <w:szCs w:val="28"/>
          <w:lang w:val="uk-UA"/>
        </w:rPr>
        <w:t xml:space="preserve"> Р</w:t>
      </w:r>
      <w:r w:rsidR="005E26E0">
        <w:rPr>
          <w:rFonts w:ascii="Arial" w:eastAsia="Calibri" w:hAnsi="Arial" w:cs="Arial"/>
          <w:i/>
          <w:iCs/>
          <w:szCs w:val="28"/>
          <w:lang w:val="uk-UA"/>
        </w:rPr>
        <w:t>.</w:t>
      </w:r>
    </w:p>
    <w:p w14:paraId="382E04E7" w14:textId="73E3DF3A" w:rsidR="003476F8" w:rsidRDefault="003476F8" w:rsidP="003A292D">
      <w:pPr>
        <w:spacing w:line="264" w:lineRule="auto"/>
        <w:ind w:firstLine="0"/>
        <w:rPr>
          <w:rFonts w:ascii="Arial" w:eastAsia="Calibri" w:hAnsi="Arial" w:cs="Arial"/>
          <w:b/>
          <w:szCs w:val="28"/>
          <w:lang w:val="uk-UA"/>
        </w:rPr>
      </w:pPr>
    </w:p>
    <w:p w14:paraId="07F7A930" w14:textId="43224651" w:rsidR="005E26E0" w:rsidRDefault="005E26E0" w:rsidP="003A292D">
      <w:pPr>
        <w:spacing w:line="264" w:lineRule="auto"/>
        <w:ind w:firstLine="0"/>
        <w:rPr>
          <w:rFonts w:ascii="Arial" w:eastAsia="Calibri" w:hAnsi="Arial" w:cs="Arial"/>
          <w:b/>
          <w:szCs w:val="28"/>
          <w:lang w:val="uk-UA"/>
        </w:rPr>
      </w:pPr>
    </w:p>
    <w:p w14:paraId="587EDA73" w14:textId="66B47CD9" w:rsidR="003476F8" w:rsidRPr="00511005" w:rsidRDefault="003476F8"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Храмченкова Марія Вадимівна</w:t>
      </w:r>
    </w:p>
    <w:p w14:paraId="158F4107" w14:textId="4CC83879" w:rsidR="003476F8"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3-го курсу факультету адвокатури та антикорупційної діяльності</w:t>
      </w:r>
    </w:p>
    <w:p w14:paraId="33BE5574" w14:textId="3FBB9C0C" w:rsidR="003476F8"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7EEB7FD7" w14:textId="77777777" w:rsidR="003476F8" w:rsidRPr="00511005" w:rsidRDefault="003476F8" w:rsidP="003A292D">
      <w:pPr>
        <w:spacing w:line="264" w:lineRule="auto"/>
        <w:ind w:firstLine="0"/>
        <w:jc w:val="left"/>
        <w:rPr>
          <w:rFonts w:ascii="Arial" w:eastAsia="Calibri" w:hAnsi="Arial" w:cs="Arial"/>
          <w:b/>
          <w:i/>
          <w:szCs w:val="28"/>
          <w:lang w:val="uk-UA"/>
        </w:rPr>
      </w:pPr>
    </w:p>
    <w:p w14:paraId="2B945038"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ПРАВОВІ МЕХАНІЗМИ ЗАЛУЧЕННЯ ІНОЗЕМИХ ІНВЕСТИЦІЙ В УКРАЇНУ: СУЧАСНІ ВИКЛИКИ ТА ПЕРСПЕКТИВИ ВДОСКОНАЛЕННЯ ЗАКОНОДАВСТВА</w:t>
      </w:r>
    </w:p>
    <w:p w14:paraId="73D64A95"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Від початку здобуття Україною незалежності відбувається формування та поступовий розвиток правового підґрунтя для здійснення інвестиційної діяльності. На сьогоднішній день сформовано розгалужену систему нормативно-правових актів, спрямованих на регулювання відносин у сфері інвестицій та закріплення правил їх здійснення. Однак, в умовах сучасних викликів, наявна система правових механізмів залучення іноземних інвестицій потребує суттєвого вдосконалення для забезпечення конкурентоспроможності України на міжнародному інвестиційному ринку.</w:t>
      </w:r>
    </w:p>
    <w:p w14:paraId="7EF838F3"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Актуальність дослідження зумовлена необхідністю пошуку шляхів покращення інвестиційного клімату України через удосконалення правових механізмів залучення іноземних інвестицій, особливо в контексті європейської інтеграції та викликів, пов'язаних із воєнним станом [1]. Варто зазначити, що фундамент правового регулювання іноземних інвестицій в Україні закладено ще на початку 1990-х років. Зокрема, у 1991 році було прийнято два основоположні закони у сфері інвестиційної діяльності. Першим став Закон України «Про захист іноземних інвестицій на Україні», розроблений з метою забезпечення захисту інвестицій, прибутків та законних інтересів іноземних інвесторів на території України [2]. Другим важливим нормативно-правовим актом став Закон України «Про інвестиційну діяльність», спрямований на забезпечення рівного захисту прав, інтересів і майна суб'єктів інвестиційної діяльності незалежно від форм власності та стимулювання міжнародного економічного співробітництва й інтеграції [3].</w:t>
      </w:r>
    </w:p>
    <w:p w14:paraId="13ADC82D"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Особливої уваги заслуговує той факт, що іноземна інвестиційна діяльність на території України регулюється не лише нормами національного законодавства, але й положеннями міжнародно-правових актів, учасницею яких є Україна. До таких можна віднести багатосторонні міжнародні угоди, конвенції та міжурядові домовленості, прикладом є Конвенція про порядок вирішення інвестиційних спорів між державами та іноземними особами від 18 травня 1965 року, ратифікована Україною у 2000 році [1].</w:t>
      </w:r>
    </w:p>
    <w:p w14:paraId="0CE5309B"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Нормативно-правові акти, які було прийнято задля регулювання інвестиційної діяльності, містять в собі механізми та способи, використовуючи які інвестори можуть захищати свої права та законні інтереси. Зокрема Законом України «Про режим іноземного інвестування» передбачено систему гарантій для залучення та захисту іноземних інвестицій в українську економіку. По-перше, це заборона націоналізації іноземних інвестицій. Проте у випадках надзвичайних обставин через суспільну необхідність на підставі нормативно-правових актів уповноважених органів влади до таких інвестицій може бути застосована реквізиція, яка може бути оскаржена в подальшому. По-друге, це компенсація та відшкодування збитків, завданих внаслідок дій, бездіяльності або неналежного виконання державними органами України чи посадовими особами передбачених законодавством обов'язків щодо іноземного інвестора. По-третє, це гарантії у разі припинення інвестиційної діяльності, зокрема право іноземного інвестора на повернення інвестицій та доходів від них не пізніше шести місяців після припинення діяльності. По-четверте, це гарантії безперешкодного вивезення прибутків, доходів та інших коштів, одержаних внаслідок здійснення іноземних інвестицій [4].</w:t>
      </w:r>
    </w:p>
    <w:p w14:paraId="4F865E02"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Незважаючи на наявність розгалуженої нормативно-правової бази, практичний досвід залучення іноземних інвестицій свідчить про існування значних перешкод. Аналіз інвестиційної практики висвітлює ключову проблему: недовіру іноземних інвесторів до українського ринку через його сприйняття як "несталого". Навіть наявність унікальних продуктів з підтвердженою ефективністю, отриманими сертифікатами та патентами не переконує потенційних інвесторів вкладати кошти в бізнес, орієнтований виключно на український ринок. Основною вимогою іноземних інвестиційних фондів часто є вихід на європейський ринок та підтвердження життєздатності бізнес-моделі через продажі в країнах ЄС. Це свідчить про недостатню дієвість наявних правових механізмів гарантування безпеки інвестицій в умовах триваючого воєнного стану та загальної нестабільності.</w:t>
      </w:r>
    </w:p>
    <w:p w14:paraId="70D1594D"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Водночас, позитивним сигналом є активізація міжнародної економічної співпраці, зокрема з європейськими країнами. На міжнародних економічних заходах, як-от конференція «OntheRoadto URC 2025», значна кількість європейських компаній виявляють зацікавленість в інвестуванні в різні галузі української економіки. Проголошені ініціативи, зокрема «Альянс стійкості МСБ», передбачають відкриття значного фінансування для українського бізнесу, що свідчить про готовність до налагодження міжнародного та державно-приватного партнерства. Особливо важливим вбачається залучення до міжнародної співпраці не лише великого бізнесу та транснаціональних корпорацій, але й представників малого та середнього бізнесу з різних галузей та регіонів України.</w:t>
      </w:r>
    </w:p>
    <w:p w14:paraId="2A5BD25D"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Аналіз нормативно-правової бази та практичного досвіду дозволяє виокремити кілька ключових напрямів удосконалення законодавства для покращення інвестиційного клімату. Насамперед, це розробка спеціальних правових механізмів для залучення інвестицій в умовах воєнного стану. Наявне законодавство не враховує специфічних ризиків інвестування в економіку країни, що перебуває у стані війни. Необхідно розробити додаткові гарантії та механізми страхування інвестиційних ризиків, пов'язаних із воєнними діями. Зокрема, доцільно запровадити державні гарантії компенсації збитків, завданих внаслідок воєнних дій, пільгові умови страхування інвестицій у пріоритетні галузі економіки, спеціальні механізми вирішення інвестиційних спорів в умовах воєнного стану.</w:t>
      </w:r>
    </w:p>
    <w:p w14:paraId="1FA20923"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Удосконалення механізмів державно-приватного партнерства є наступним важливим напрямом. З огляду на успішний досвід залучення іноземних інвесторів через механізми державно-приватного партнерства (ДПП), доцільним є вдосконалення законодавства у цій сфері. Необхідно спростити процедури ініціювання та реалізації проєктів ДПП, запровадити галузеві програми ДПП з чіткими механізмами державної підтримки, розширити форми державної підтримки проєктів ДПП, зокрема через надання державних гарантій та податкових пільг [5].</w:t>
      </w:r>
    </w:p>
    <w:p w14:paraId="264544E8"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Стимулювання інвестицій у високотехнологічні галузі та інновації є третім ключовим напрямом. Практичний досвід демонструє перспективність залучення інвестицій у високотехнологічні сектори, зокрема у сферу медичних технологій. Для стимулювання таких інвестицій доцільно запровадити спеціальний правовий режим для інноваційних проєктів, що передбачатиме податкові пільги та спрощені адміністративні процедури, удосконалити механізми захисту інтелектуальної власності відповідно до європейських стандартів, створити спеціалізовані державні програми підтримки комерціалізації наукових розробок.</w:t>
      </w:r>
    </w:p>
    <w:p w14:paraId="4A712CCE"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Гармонізація законодавства з правом Європейського Союзу є четвертим напрямом удосконалення. З огляду на перспективи європейської інтеграції України та необхідність виходу українських компаній на ринки ЄС, необхідно прискорити процес адаптації законодавства у сфері інвестицій до acquiscommunautaire, запровадити єдині стандарти сертифікації продукції, що сприятиме спрощенню виходу українських компаній на європейські ринки, удосконалити механізми захисту прав іноземних інвесторів відповідно до кращих європейських практик.</w:t>
      </w:r>
    </w:p>
    <w:p w14:paraId="72D0C156"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П'ятим напрямом удосконалення законодавства є створення спеціальних економічних зон відновлення. Для стимулювання інвестицій у відновлення економіки України доцільно створити спеціальні економічні зони з особливим правовим режимом. Зокрема, запровадити пільгові податкові умови для інвесторів, що здійснюють діяльність у сфері відновлення </w:t>
      </w:r>
      <w:r w:rsidRPr="00511005">
        <w:rPr>
          <w:rFonts w:ascii="Arial" w:eastAsia="Calibri" w:hAnsi="Arial" w:cs="Arial"/>
          <w:szCs w:val="28"/>
          <w:lang w:val="uk-UA"/>
        </w:rPr>
        <w:lastRenderedPageBreak/>
        <w:t>інфраструктури, спростити дозвільні процедури та адміністративні формальності, надати додаткові державні гарантії безпеки інвестицій.</w:t>
      </w:r>
    </w:p>
    <w:p w14:paraId="4D95ECAA"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Отже, аналіз нормативно-правової бази та практичного досвіду залучення іноземних інвестицій в Україну свідчить про наявність системних проблем, що перешкоджають формуванню сприятливого інвестиційного клімату. Незважаючи на існування розгалуженої системи правових механізмів захисту іноземних інвестицій, на практиці інвестори стикаються з недовірою до українського ринку та вимагають додаткових гарантій. Основними напрямами вдосконалення законодавства у сфері залучення іноземних інвестицій мають стати: розробка спеціальних механізмів захисту інвестицій в умовах воєнного стану, удосконалення механізмів державно-приватного партнерства, стимулювання інвестицій у високотехнологічні галузі, гармонізація законодавства з правом ЄС та створення спеціальних економічних зон відновлення. Реалізація запропонованих заходів сприятиме підвищенню довіри іноземних інвесторів до українського ринку, спрощенню виходу українських компаній на європейські ринки та, як наслідок, збільшенню обсягів іноземних інвестицій в економіку України.</w:t>
      </w:r>
    </w:p>
    <w:p w14:paraId="0BA5094E" w14:textId="77777777" w:rsidR="003476F8" w:rsidRPr="00511005" w:rsidRDefault="003476F8" w:rsidP="003A292D">
      <w:pPr>
        <w:spacing w:line="264" w:lineRule="auto"/>
        <w:ind w:firstLine="0"/>
        <w:rPr>
          <w:rFonts w:ascii="Arial" w:eastAsia="Calibri" w:hAnsi="Arial" w:cs="Arial"/>
          <w:szCs w:val="28"/>
          <w:lang w:val="uk-UA"/>
        </w:rPr>
      </w:pPr>
    </w:p>
    <w:p w14:paraId="5562BD1E" w14:textId="40423E75" w:rsidR="003476F8"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47FE0230"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1. Михайлів В. П. Інвестиційне законодавство: стан, проблеми, перспективи. Міністерство юстиції. URL: </w:t>
      </w:r>
      <w:hyperlink r:id="rId1634" w:history="1">
        <w:r w:rsidRPr="00511005">
          <w:rPr>
            <w:rFonts w:ascii="Arial" w:eastAsia="Calibri" w:hAnsi="Arial" w:cs="Arial"/>
            <w:szCs w:val="28"/>
            <w:lang w:val="uk-UA"/>
          </w:rPr>
          <w:t>https://minjust.gov.ua/m/str_40069</w:t>
        </w:r>
      </w:hyperlink>
    </w:p>
    <w:p w14:paraId="76A6C08E"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2.Про захист іноземних інвестицій на Україні :Закон України від 10 вересня 1991 р. № 1540а-XII. </w:t>
      </w:r>
      <w:r w:rsidRPr="00511005">
        <w:rPr>
          <w:rFonts w:ascii="Arial" w:eastAsia="Calibri" w:hAnsi="Arial" w:cs="Arial"/>
          <w:i/>
          <w:szCs w:val="28"/>
          <w:lang w:val="uk-UA"/>
        </w:rPr>
        <w:t>Відомості Верховної Ради України</w:t>
      </w:r>
      <w:r w:rsidRPr="00511005">
        <w:rPr>
          <w:rFonts w:ascii="Arial" w:eastAsia="Calibri" w:hAnsi="Arial" w:cs="Arial"/>
          <w:szCs w:val="28"/>
          <w:lang w:val="uk-UA"/>
        </w:rPr>
        <w:t xml:space="preserve">. 1991. № 46. Ст. 616. </w:t>
      </w:r>
    </w:p>
    <w:p w14:paraId="7635EE9C"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3. Про інвестиційну діяльність :Закон Українивід18 вересня 1991 р. № 1560-XII. </w:t>
      </w:r>
      <w:r w:rsidRPr="00511005">
        <w:rPr>
          <w:rFonts w:ascii="Arial" w:eastAsia="Calibri" w:hAnsi="Arial" w:cs="Arial"/>
          <w:i/>
          <w:szCs w:val="28"/>
          <w:lang w:val="uk-UA"/>
        </w:rPr>
        <w:t>Відомості Верховної Ради України.</w:t>
      </w:r>
      <w:r w:rsidRPr="00511005">
        <w:rPr>
          <w:rFonts w:ascii="Arial" w:eastAsia="Calibri" w:hAnsi="Arial" w:cs="Arial"/>
          <w:szCs w:val="28"/>
          <w:lang w:val="uk-UA"/>
        </w:rPr>
        <w:t xml:space="preserve"> 1991. № 47. Ст. 646.</w:t>
      </w:r>
    </w:p>
    <w:p w14:paraId="0E0FCD96" w14:textId="21E796D9"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4.</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Махненко Д. Як в Україні захищають іноземні інвестиції. Юридична газета. 2021. № 15 (745) URL: </w:t>
      </w:r>
      <w:hyperlink r:id="rId1635" w:history="1">
        <w:r w:rsidRPr="00511005">
          <w:rPr>
            <w:rFonts w:ascii="Arial" w:eastAsia="Calibri" w:hAnsi="Arial" w:cs="Arial"/>
            <w:szCs w:val="28"/>
            <w:lang w:val="uk-UA"/>
          </w:rPr>
          <w:t>https://yurgazeta.com/dumka-eksperta/yak-v-ukrayini-zahishchayut-inozemni-investiciyi.html</w:t>
        </w:r>
      </w:hyperlink>
    </w:p>
    <w:p w14:paraId="0F4EB129"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5.Грибан О. О. Масовий притік прямих іноземних інвестицій в Україну є неминучим. Міністерство економіки України. URL: </w:t>
      </w:r>
      <w:hyperlink r:id="rId1636" w:history="1">
        <w:r w:rsidRPr="00511005">
          <w:rPr>
            <w:rFonts w:ascii="Arial" w:eastAsia="Calibri" w:hAnsi="Arial" w:cs="Arial"/>
            <w:szCs w:val="28"/>
            <w:lang w:val="uk-UA"/>
          </w:rPr>
          <w:t>https://www.me.gov.ua/News/Detail?lang=uk-UA&amp;id=ee334b91-aa14-4f6b-bee7-d6cf7248e1cc&amp;title=MasoviiPritikPriamikhInozemnikhInvestitsiiVUkrainuNeminuchim-OleksandrGribanNaUkrainianInfrastructureForumULondon</w:t>
        </w:r>
      </w:hyperlink>
    </w:p>
    <w:p w14:paraId="58EF382D" w14:textId="77777777" w:rsidR="003476F8" w:rsidRPr="00511005" w:rsidRDefault="003476F8" w:rsidP="003A292D">
      <w:pPr>
        <w:spacing w:line="264" w:lineRule="auto"/>
        <w:ind w:firstLine="0"/>
        <w:rPr>
          <w:rFonts w:ascii="Arial" w:eastAsia="Calibri" w:hAnsi="Arial" w:cs="Arial"/>
          <w:szCs w:val="28"/>
          <w:lang w:val="uk-UA"/>
        </w:rPr>
      </w:pPr>
    </w:p>
    <w:p w14:paraId="6C4AFEB8" w14:textId="5FD4B142"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3476F8" w:rsidRPr="00511005">
        <w:rPr>
          <w:rFonts w:ascii="Arial" w:eastAsia="Calibri" w:hAnsi="Arial" w:cs="Arial"/>
          <w:szCs w:val="28"/>
          <w:lang w:val="uk-UA"/>
        </w:rPr>
        <w:t>іноземні інвестиції, правові механізми, інвестиційне законодавство України, державно-приватне партнерство, гарантії захисту інвестицій.</w:t>
      </w:r>
    </w:p>
    <w:p w14:paraId="141ADA06" w14:textId="1F688A51"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3476F8" w:rsidRPr="00511005">
        <w:rPr>
          <w:rFonts w:ascii="Arial" w:eastAsia="Calibri" w:hAnsi="Arial" w:cs="Arial"/>
          <w:szCs w:val="28"/>
          <w:lang w:val="uk-UA"/>
        </w:rPr>
        <w:t>foreign investments, legal mechanisms, investment legislation of Ukraine, public-privatepartnership, investment protection guarantees.</w:t>
      </w:r>
    </w:p>
    <w:p w14:paraId="652AD159" w14:textId="33414C78" w:rsidR="003476F8" w:rsidRPr="00511005" w:rsidRDefault="007B2628" w:rsidP="003A292D">
      <w:pPr>
        <w:spacing w:line="264" w:lineRule="auto"/>
        <w:ind w:firstLine="0"/>
        <w:jc w:val="left"/>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3476F8" w:rsidRPr="00511005">
        <w:rPr>
          <w:rFonts w:ascii="Arial" w:eastAsia="Calibri" w:hAnsi="Arial" w:cs="Arial"/>
          <w:i/>
          <w:szCs w:val="28"/>
          <w:lang w:val="uk-UA"/>
        </w:rPr>
        <w:t>к.ю.н., доцент Згама А.О.</w:t>
      </w:r>
    </w:p>
    <w:p w14:paraId="36AE33E0" w14:textId="77777777" w:rsidR="003476F8" w:rsidRPr="00511005" w:rsidRDefault="003476F8" w:rsidP="003A292D">
      <w:pPr>
        <w:spacing w:line="264" w:lineRule="auto"/>
        <w:ind w:firstLine="0"/>
        <w:rPr>
          <w:rFonts w:ascii="Arial" w:eastAsia="Calibri" w:hAnsi="Arial" w:cs="Arial"/>
          <w:b/>
          <w:szCs w:val="28"/>
          <w:lang w:val="uk-UA"/>
        </w:rPr>
      </w:pPr>
    </w:p>
    <w:p w14:paraId="5408EB78" w14:textId="77777777" w:rsidR="003476F8" w:rsidRPr="00511005" w:rsidRDefault="003476F8" w:rsidP="003A292D">
      <w:pPr>
        <w:spacing w:line="264" w:lineRule="auto"/>
        <w:ind w:firstLine="0"/>
        <w:jc w:val="center"/>
        <w:rPr>
          <w:rFonts w:ascii="Arial" w:eastAsia="Times New Roman" w:hAnsi="Arial" w:cs="Arial"/>
          <w:b/>
          <w:bCs/>
          <w:i/>
          <w:iCs/>
          <w:szCs w:val="28"/>
          <w:lang w:val="uk-UA"/>
        </w:rPr>
      </w:pPr>
      <w:r w:rsidRPr="00511005">
        <w:rPr>
          <w:rFonts w:ascii="Arial" w:eastAsia="Calibri" w:hAnsi="Arial" w:cs="Arial"/>
          <w:szCs w:val="28"/>
          <w:lang w:val="uk-UA"/>
        </w:rPr>
        <w:br w:type="column"/>
      </w:r>
      <w:r w:rsidRPr="00511005">
        <w:rPr>
          <w:rFonts w:ascii="Arial" w:eastAsia="Times New Roman" w:hAnsi="Arial" w:cs="Arial"/>
          <w:b/>
          <w:bCs/>
          <w:i/>
          <w:iCs/>
          <w:szCs w:val="28"/>
          <w:lang w:val="uk-UA"/>
        </w:rPr>
        <w:lastRenderedPageBreak/>
        <w:t xml:space="preserve">Циник Анастасія Іванівна </w:t>
      </w:r>
    </w:p>
    <w:p w14:paraId="753E454A" w14:textId="02A8466B" w:rsidR="003476F8"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4-го курсу </w:t>
      </w:r>
      <w:r w:rsidR="007B2628" w:rsidRPr="00511005">
        <w:rPr>
          <w:rFonts w:ascii="Arial" w:eastAsia="Times New Roman" w:hAnsi="Arial" w:cs="Arial"/>
          <w:szCs w:val="28"/>
          <w:lang w:val="uk-UA"/>
        </w:rPr>
        <w:t>факультету цивільної та господарської юстиції</w:t>
      </w:r>
      <w:r w:rsidR="003476F8" w:rsidRPr="00511005">
        <w:rPr>
          <w:rFonts w:ascii="Arial" w:eastAsia="Times New Roman" w:hAnsi="Arial" w:cs="Arial"/>
          <w:szCs w:val="28"/>
          <w:lang w:val="uk-UA"/>
        </w:rPr>
        <w:t xml:space="preserve"> </w:t>
      </w:r>
    </w:p>
    <w:p w14:paraId="70F51AE5" w14:textId="0CC93D19" w:rsidR="003476F8"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0615BC81" w14:textId="77777777" w:rsidR="003476F8" w:rsidRPr="00511005" w:rsidRDefault="003476F8" w:rsidP="003A292D">
      <w:pPr>
        <w:spacing w:line="264" w:lineRule="auto"/>
        <w:ind w:firstLine="0"/>
        <w:jc w:val="center"/>
        <w:rPr>
          <w:rFonts w:ascii="Arial" w:eastAsia="Times New Roman" w:hAnsi="Arial" w:cs="Arial"/>
          <w:szCs w:val="28"/>
          <w:lang w:val="uk-UA"/>
        </w:rPr>
      </w:pPr>
    </w:p>
    <w:p w14:paraId="0AED5757" w14:textId="77777777" w:rsidR="003476F8" w:rsidRPr="00511005" w:rsidRDefault="003476F8"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ОКРЕМІ ПИТАННЯ ГОСПОДАРСЬКОГО ПРОЦЕСУ У СПРАВАХ ПРО БАНКРУТСТВО</w:t>
      </w:r>
    </w:p>
    <w:p w14:paraId="4E3C5A1B"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Сучасні реалії, обумовлені триваючим збройним конфліктом на території України, часто призводять до ситуацій, коли боржники виявляються неспроможними виконати свої фінансові зобов’язання. Причини такої неспроможності здебільшого мають прямий або опосередкований зв’язок з воєнним станом. Крім того, значна кількість компаній залишилася на тимчасово окупованих територіях, що унеможливлює доступ їхніх власників до майна й документів. У таких обставинах звернення до суду в позовному порядку часто виявляється неефективним методом відновлення порушених прав кредиторів.</w:t>
      </w:r>
    </w:p>
    <w:p w14:paraId="7C598BCE"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зв’язку з цим процедура банкрутства стала вагомим та дієвим інструментом захисту інтересів кредиторів.</w:t>
      </w:r>
    </w:p>
    <w:p w14:paraId="1255616A"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Відповідно до ст. 1 Кодексу України з процедур банкрутства, банкрутством вважається встановлена господарським судом неспроможність боржника (за винятком страховиків та кредитних спілок) відновити платоспроможність шляхом санації чи реструктуризації та задовольнити вимоги кредиторів, визначені у порядку, передбаченому цим Кодексом, інакше, ніж шляхом проведення ліквідаційної процедури або процедури погашення боргів. Щодо страховиків і кредитних спілок, банкрутство також охоплює їх віднесення до категорії неплатоспроможних відповідно до рішень Національного банку України згідно із законами «Про страхування» та «Про кредитні спілки» [1].</w:t>
      </w:r>
    </w:p>
    <w:p w14:paraId="7086D17B"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Хоча у 2022 році суди відкрили на 42% менше справ про неплатоспроможність порівняно з 2021 роком, кількість осіб, які не в змозі погасити свої боргові зобов’язання, продовжує зростати. Наразі спостерігається активізація подання заяв у справах про банкрутство як тими кредиторами, які не мали змоги звернутися до суду раніше, так і новими заявниками. У зв’язку з цим прогнозується подальше зростання кількості таких справ [2].</w:t>
      </w:r>
    </w:p>
    <w:p w14:paraId="7F1F61CD"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 огляду на актуальність цього питання, доцільно детальніше розглянути окремі практичні особливості застосування процедури банкрутства під час воєнного стану.</w:t>
      </w:r>
    </w:p>
    <w:p w14:paraId="71F7FB11"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Особи, які звертаються за правовою допомогою, часто цікавляться можливістю подання заяви до суду після закінчення встановленого процесуального строку. Важливо зазначити, що введення воєнного стану не зупинило перебіг строків у господарському судочинстві. Проте Верховний Суд України ще на початку повномасштабного вторгнення визнав наявність </w:t>
      </w:r>
      <w:r w:rsidRPr="00511005">
        <w:rPr>
          <w:rFonts w:ascii="Arial" w:eastAsia="Times New Roman" w:hAnsi="Arial" w:cs="Arial"/>
          <w:szCs w:val="28"/>
          <w:lang w:val="uk-UA"/>
        </w:rPr>
        <w:lastRenderedPageBreak/>
        <w:t>воєнного стану як поважну причину для поновлення процесуальних строків [3].</w:t>
      </w:r>
    </w:p>
    <w:p w14:paraId="5167B648"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Водночас наявність самого лише воєнного стану не гарантує автоматичного поновлення строку. Потрібно довести, що саме дії воєнного характеру об’єктивно унеможливили своєчасне подання документів чи вчинення процесуальних дій. Суд кожен випадок розглядає індивідуально з урахуванням доводів і доказів, поданих у клопотанні.</w:t>
      </w:r>
    </w:p>
    <w:p w14:paraId="12C8D2C8"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Ймовірність позитивного вирішення питання щодо відновлення строків є високою за наявності документальних підтверджень об'єктивних труднощів - наприклад, витягів з реєстрів про місцезнаходження підприємства в зоні бойових дій або на тимчасово окупованій території, що обмежило доступ до документації [2].</w:t>
      </w:r>
    </w:p>
    <w:p w14:paraId="3D4B0857"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Ще 3 березня 2022 року Кабінет Міністрів України ухвалив постанову «Про забезпечення захисту національних інтересів за майбутніми позовами держави Україна у зв’язку з військовою агресією Російської Федерації», яка передбачає обмеження щодо реалізації фінансових та майнових вимог на користь Російської Федерації або осіб, пов’язаних з нею. Вказана постанова забороняє виконання зобов’язань на користь таких суб’єктів, включаючи вимоги в межах справ про банкрутство [4].</w:t>
      </w:r>
    </w:p>
    <w:p w14:paraId="028BC89A"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Серед осіб, яких стосується заборона, зазначено громадян рф, юридичних осіб, зареєстрованих у рф, а також тих, чий кінцевий бенефіціарний власник — громадянин рфабо держава-агресор.</w:t>
      </w:r>
    </w:p>
    <w:p w14:paraId="479B6B00"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Правочини, укладені з порушенням мораторію, визнаються нікчемними. Практика показує, що українські суди вже активно застосовують цю постанову. Так, у справі № 925/1248/21 Верховний Суд відмовив російському товариству у визнанні його грошових вимог [5]. У справі № 910/8991/21 апеляційна інстанція відмовила у відкритті провадження з банкрутства українського підприємства, ініційованого юридичною особою, що має зв’язки з російською федерацією [6].</w:t>
      </w:r>
    </w:p>
    <w:p w14:paraId="3064BB8A"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Судді враховують мораторій як на етапі відкриття провадження, так і під час розгляду справи за ініціативою сторін. Таким чином, російські компанії позбавлені можливості бути кредиторами в справах про банкрутство в Україні.</w:t>
      </w:r>
    </w:p>
    <w:p w14:paraId="237B7420"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Кредитори, подаючи заяви про банкрутство, зазвичай включають до вимог не лише основну заборгованість, а й штрафні санкції, зокрема пеню. Відповідно до Цивільного кодексу України, така пеня може нараховуватись не більше одного року з дати прострочення виконання зобов’язання. Водночас під час дії карантину, запровадженого через COVID-19, це обмеження було змінено - нарахування пені дозволялося на весь період дії карантину. Оскільки карантин тривав до 30 червня 2023 року, кредитори мали право включати пеню за увесь цей період у свої вимоги [2].</w:t>
      </w:r>
    </w:p>
    <w:p w14:paraId="5222C50B"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Апеляційні суди підтвердили легітимність такого підходу. Наприклад, Центральний апеляційний господарський суд у справі № 904/3258/22дійшов висновку, що карантинні обмеження подовжили строк нарахування пені. Аналогічну позицію висловили й інші суди, включаючи Північний та Західний апеляційні господарські суди [7].</w:t>
      </w:r>
    </w:p>
    <w:p w14:paraId="1AEE1389"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Проте остаточне слово залишається за Верховним Судом, який поки що не сформулював єдиної позиції з цього приводу.</w:t>
      </w:r>
    </w:p>
    <w:p w14:paraId="3A702EC2"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 огляду на воєнний стан, суди більш гнучко підходять до оцінки можливостей сторін щодо подачі доказів. Особливо це стосується випадків, коли документи знаходяться в зоні бойових дій або втрачені внаслідок збройної агресії.</w:t>
      </w:r>
    </w:p>
    <w:p w14:paraId="7CBEA6F5"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Судова практика свідчить про підтримку суддів у витребуванні доказів від інших органів, якщо сторона самостійно не може їх надати. Крім того, допускається подання перекладів іноземних документів вже після подачі основної заяви [2].</w:t>
      </w:r>
    </w:p>
    <w:p w14:paraId="39180715"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Таким чином, у господарському процесі на сьогодні простежуються конкретні практичні реалізації, що стосуються інституту доказування, особливостей застосування процесуальних строків, механізмів захисту прав кредиторів, а також обмежень щодо захисту інтересів кредиторів, пов’язаних із збройною агресією рф. </w:t>
      </w:r>
    </w:p>
    <w:p w14:paraId="69D470B1"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Безумовно, окремі положення Господарського процесуального кодексу України потребують додаткового врегулювання з урахуванням реалій воєнного стану.Зокрема, доцільно законодавчо визначити порядок поновлення процесуальних строків, передбачивши чіткий перелік підстав, що можуть бути визнані поважними, а також допустимих доказів, які підтверджують наявність об'єктивних перешкод для своєчасного вчинення процесуальних дій.Також необхідно врегулювати питання доступу до доказів з тимчасово окупованих територій, уніфікувати підходи до розгляду справ із суб’єктами, пов’язаними з державою-агресором, а також визначити порядок подання перекладів та інших документів в умовах обмеженого доступу.</w:t>
      </w:r>
    </w:p>
    <w:p w14:paraId="15F41BC2"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Запровадження таких змін сприятиме забезпеченню правової визначеності, ефективному захисту прав як кредиторів, так і боржників, а також належному функціонуванню судочинства в умовах збройного конфлікту.</w:t>
      </w:r>
    </w:p>
    <w:p w14:paraId="50D992B4" w14:textId="77777777" w:rsidR="003476F8" w:rsidRPr="00511005" w:rsidRDefault="003476F8" w:rsidP="003A292D">
      <w:pPr>
        <w:spacing w:line="264" w:lineRule="auto"/>
        <w:ind w:firstLine="0"/>
        <w:rPr>
          <w:rFonts w:ascii="Arial" w:eastAsia="Times New Roman" w:hAnsi="Arial" w:cs="Arial"/>
          <w:szCs w:val="28"/>
          <w:lang w:val="uk-UA"/>
        </w:rPr>
      </w:pPr>
    </w:p>
    <w:p w14:paraId="45DDEA31" w14:textId="133683A3" w:rsidR="003476F8"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6D6E3BBB"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1. Кодекс України з процедур банкрутства : Кодекс України від 18.10.2018 № 2597-VIII : станом на 4 квіт. 2025 р. URL: https://zakon.rada.gov.ua/laws/show/2597-19#Text .</w:t>
      </w:r>
    </w:p>
    <w:p w14:paraId="38F65E49"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2. Матвійчук Н., Клян А. Банкрутство під час війни: практичні аспекти процедури. Юридична фірма. URL: </w:t>
      </w:r>
      <w:r w:rsidRPr="00511005">
        <w:rPr>
          <w:rFonts w:ascii="Arial" w:eastAsia="Times New Roman" w:hAnsi="Arial" w:cs="Arial"/>
          <w:szCs w:val="28"/>
          <w:lang w:val="uk-UA"/>
        </w:rPr>
        <w:lastRenderedPageBreak/>
        <w:t>https://golaw.ua/ua/insights/publication/bankrutstvo-pid-chas-vijni-praktichni-aspekti-proczeduri/.</w:t>
      </w:r>
    </w:p>
    <w:p w14:paraId="5E8BD8FB"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3. Ухвала Верховного Суду у складі колегії суддів Касаційного господарського суду: від 26.04.2023 у справі № 908/2417/21. URL: https://reyestr.court.gov.ua/Review/110485205.</w:t>
      </w:r>
    </w:p>
    <w:p w14:paraId="360FF372"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4. Про забезпечення захисту національних інтересів за майбутніми позовами держави Україна у зв'язку з військовою агресією Російської Федерації : Постанова Каб. Міністрів України від 03.03.2022 № 187 : станом на 27 берез. 2024 р. URL: https://zakon.rada.gov.ua/laws/show/187-2022-п#Text .</w:t>
      </w:r>
    </w:p>
    <w:p w14:paraId="1CFB2339"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5. Постанова Верховного Суду у складі колегії суддів Касаційного господарського суду від 30.05.2023 у справі № 925/1248/21. URL: https://reyestr.court.gov.ua/Review/111709194.</w:t>
      </w:r>
    </w:p>
    <w:p w14:paraId="69830E22"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6. Постанова Північного апеляційного господарського суду від 01.03.2023 у справі № 910/8991/21. URL: https://reyestr.court.gov.ua/Review/109741501.</w:t>
      </w:r>
    </w:p>
    <w:p w14:paraId="63C212AE"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7. Постанова Центрального апеляційного господарського суду від 13.03.2023 у справі № 904/3258/22. URL: </w:t>
      </w:r>
      <w:hyperlink r:id="rId1637">
        <w:r w:rsidRPr="00511005">
          <w:rPr>
            <w:rFonts w:ascii="Arial" w:eastAsia="Times New Roman" w:hAnsi="Arial" w:cs="Arial"/>
            <w:szCs w:val="28"/>
            <w:lang w:val="uk-UA"/>
          </w:rPr>
          <w:t>https://reyestr.court.gov.ua/Review/109488712</w:t>
        </w:r>
      </w:hyperlink>
      <w:r w:rsidRPr="00511005">
        <w:rPr>
          <w:rFonts w:ascii="Arial" w:eastAsia="Times New Roman" w:hAnsi="Arial" w:cs="Arial"/>
          <w:szCs w:val="28"/>
          <w:lang w:val="uk-UA"/>
        </w:rPr>
        <w:t>.</w:t>
      </w:r>
    </w:p>
    <w:p w14:paraId="27537F5E" w14:textId="77777777" w:rsidR="003476F8" w:rsidRPr="00511005" w:rsidRDefault="003476F8" w:rsidP="003A292D">
      <w:pPr>
        <w:spacing w:line="264" w:lineRule="auto"/>
        <w:ind w:firstLine="0"/>
        <w:rPr>
          <w:rFonts w:ascii="Arial" w:eastAsia="Times New Roman" w:hAnsi="Arial" w:cs="Arial"/>
          <w:szCs w:val="28"/>
          <w:lang w:val="uk-UA"/>
        </w:rPr>
      </w:pPr>
    </w:p>
    <w:p w14:paraId="494A110A" w14:textId="4623AC55"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szCs w:val="28"/>
          <w:lang w:val="uk-UA"/>
        </w:rPr>
        <w:t>Ключові слова:</w:t>
      </w:r>
      <w:r w:rsidR="005E26E0">
        <w:rPr>
          <w:rFonts w:ascii="Arial" w:eastAsia="Times New Roman" w:hAnsi="Arial" w:cs="Arial"/>
          <w:b/>
          <w:bCs/>
          <w:szCs w:val="28"/>
          <w:lang w:val="uk-UA"/>
        </w:rPr>
        <w:t xml:space="preserve"> </w:t>
      </w:r>
      <w:r w:rsidRPr="00511005">
        <w:rPr>
          <w:rFonts w:ascii="Arial" w:eastAsia="Times New Roman" w:hAnsi="Arial" w:cs="Arial"/>
          <w:szCs w:val="28"/>
          <w:lang w:val="uk-UA"/>
        </w:rPr>
        <w:t>воєнний стан, військові дії, банкрутство, неспроможністьборжника, судова практика, кредитори, докази, Верховний Суд.</w:t>
      </w:r>
    </w:p>
    <w:p w14:paraId="397C88F2" w14:textId="618A386D" w:rsidR="003476F8" w:rsidRPr="00511005" w:rsidRDefault="002611B5" w:rsidP="003A292D">
      <w:pPr>
        <w:spacing w:line="264" w:lineRule="auto"/>
        <w:ind w:firstLine="0"/>
        <w:rPr>
          <w:rFonts w:ascii="Arial" w:eastAsia="Times New Roman" w:hAnsi="Arial" w:cs="Arial"/>
          <w:i/>
          <w:iCs/>
          <w:szCs w:val="28"/>
          <w:lang w:val="uk-UA"/>
        </w:rPr>
      </w:pPr>
      <w:r w:rsidRPr="00511005">
        <w:rPr>
          <w:rFonts w:ascii="Arial" w:eastAsia="Segoe UI" w:hAnsi="Arial" w:cs="Arial"/>
          <w:b/>
          <w:bCs/>
          <w:i/>
          <w:szCs w:val="28"/>
          <w:shd w:val="clear" w:color="auto" w:fill="FFFFFF"/>
          <w:lang w:val="en-US" w:eastAsia="ru-RU"/>
        </w:rPr>
        <w:t xml:space="preserve">Key words: </w:t>
      </w:r>
      <w:r w:rsidR="003476F8" w:rsidRPr="00511005">
        <w:rPr>
          <w:rFonts w:ascii="Arial" w:eastAsia="Times New Roman" w:hAnsi="Arial" w:cs="Arial"/>
          <w:szCs w:val="28"/>
          <w:lang w:val="uk-UA"/>
        </w:rPr>
        <w:t>martial law, military action, bankruptcy, debtor's insolvency, case law, creditors, evidence, Supreme Court.</w:t>
      </w:r>
    </w:p>
    <w:p w14:paraId="799E7D5C" w14:textId="61970335" w:rsidR="003476F8" w:rsidRPr="00511005" w:rsidRDefault="003476F8" w:rsidP="003A292D">
      <w:pPr>
        <w:spacing w:line="264" w:lineRule="auto"/>
        <w:ind w:firstLine="0"/>
        <w:rPr>
          <w:rFonts w:ascii="Arial" w:eastAsia="Times New Roman" w:hAnsi="Arial" w:cs="Arial"/>
          <w:i/>
          <w:iCs/>
          <w:szCs w:val="28"/>
          <w:lang w:val="uk-UA"/>
        </w:rPr>
      </w:pPr>
      <w:r w:rsidRPr="005E26E0">
        <w:rPr>
          <w:rFonts w:ascii="Arial" w:eastAsia="Times New Roman" w:hAnsi="Arial" w:cs="Arial"/>
          <w:b/>
          <w:bCs/>
          <w:i/>
          <w:iCs/>
          <w:szCs w:val="28"/>
          <w:lang w:val="uk-UA"/>
        </w:rPr>
        <w:t>Науковий керівник:</w:t>
      </w:r>
      <w:r w:rsidR="005E26E0">
        <w:rPr>
          <w:rFonts w:ascii="Arial" w:eastAsia="Times New Roman" w:hAnsi="Arial" w:cs="Arial"/>
          <w:i/>
          <w:iCs/>
          <w:szCs w:val="28"/>
          <w:lang w:val="uk-UA"/>
        </w:rPr>
        <w:t xml:space="preserve"> </w:t>
      </w:r>
      <w:r w:rsidRPr="00511005">
        <w:rPr>
          <w:rFonts w:ascii="Arial" w:eastAsia="Times New Roman" w:hAnsi="Arial" w:cs="Arial"/>
          <w:i/>
          <w:iCs/>
          <w:szCs w:val="28"/>
          <w:lang w:val="uk-UA"/>
        </w:rPr>
        <w:t>к.ю.н., доцент Квасніцька О.О.</w:t>
      </w:r>
    </w:p>
    <w:p w14:paraId="629C77F9" w14:textId="77777777" w:rsidR="005E26E0" w:rsidRDefault="005E26E0" w:rsidP="003A292D">
      <w:pPr>
        <w:spacing w:line="264" w:lineRule="auto"/>
        <w:ind w:firstLine="0"/>
        <w:jc w:val="center"/>
        <w:rPr>
          <w:rFonts w:ascii="Arial" w:eastAsia="Times New Roman" w:hAnsi="Arial" w:cs="Arial"/>
          <w:i/>
          <w:iCs/>
          <w:szCs w:val="28"/>
          <w:lang w:val="uk-UA"/>
        </w:rPr>
      </w:pPr>
    </w:p>
    <w:p w14:paraId="2C2A3947" w14:textId="77777777" w:rsidR="005E26E0" w:rsidRDefault="005E26E0" w:rsidP="003A292D">
      <w:pPr>
        <w:spacing w:line="264" w:lineRule="auto"/>
        <w:ind w:firstLine="0"/>
        <w:jc w:val="center"/>
        <w:rPr>
          <w:rFonts w:ascii="Arial" w:eastAsia="Times New Roman" w:hAnsi="Arial" w:cs="Arial"/>
          <w:i/>
          <w:iCs/>
          <w:szCs w:val="28"/>
          <w:lang w:val="uk-UA"/>
        </w:rPr>
      </w:pPr>
    </w:p>
    <w:p w14:paraId="503C1D45" w14:textId="6AE4237F" w:rsidR="003476F8" w:rsidRPr="00511005" w:rsidRDefault="003476F8" w:rsidP="003A292D">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Чабан Максим Юрійович</w:t>
      </w:r>
    </w:p>
    <w:p w14:paraId="2D3BBACE" w14:textId="68B08350" w:rsidR="003476F8"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 4-го курсу </w:t>
      </w:r>
      <w:r w:rsidR="003476F8" w:rsidRPr="00511005">
        <w:rPr>
          <w:rFonts w:ascii="Arial" w:eastAsia="Times New Roman" w:hAnsi="Arial" w:cs="Arial"/>
          <w:szCs w:val="28"/>
          <w:lang w:val="uk-UA"/>
        </w:rPr>
        <w:t xml:space="preserve">факультету цивільної та господарської юстиції </w:t>
      </w:r>
    </w:p>
    <w:p w14:paraId="677A4966" w14:textId="026D3377" w:rsidR="003476F8"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595EC2B8" w14:textId="77777777" w:rsidR="003476F8" w:rsidRPr="00511005" w:rsidRDefault="003476F8" w:rsidP="003A292D">
      <w:pPr>
        <w:spacing w:line="264" w:lineRule="auto"/>
        <w:ind w:firstLine="0"/>
        <w:jc w:val="center"/>
        <w:rPr>
          <w:rFonts w:ascii="Arial" w:eastAsia="Times New Roman" w:hAnsi="Arial" w:cs="Arial"/>
          <w:szCs w:val="28"/>
          <w:lang w:val="uk-UA"/>
        </w:rPr>
      </w:pPr>
    </w:p>
    <w:p w14:paraId="2360DF91" w14:textId="77777777" w:rsidR="003476F8" w:rsidRPr="00511005" w:rsidRDefault="003476F8" w:rsidP="005E26E0">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ОСОБЛИВОСТІ ПРОВАДЖЕННЯ У СПРАВАХ ПРО БАНКРУТСТВО, ПОВ'ЯЗАНИХ З ІНОЗЕМНОЮ ПРОЦЕДУРОЮ</w:t>
      </w:r>
    </w:p>
    <w:p w14:paraId="566D8588"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У сучасних умовах глобалізації економіки питання взаємодії національних правових систем із міжнародними процедурами набуває особливого значення. Однією з актуальних проблем є правове регулювання банкрутства, що має транскордонний характер. Провадження у справах про банкрутство, пов’язаних з іноземною процедурою, вирізняється своєю складністю, адже потребує врахування не лише норм національного законодавства, але й міжнародних правових стандартів. У таких справах постає необхідність у координації між юрисдикціями, визнанні та виконанні іноземних судових рішень, а також забезпеченні прав усіх учасників </w:t>
      </w:r>
      <w:r w:rsidRPr="00511005">
        <w:rPr>
          <w:rFonts w:ascii="Arial" w:eastAsia="Times New Roman" w:hAnsi="Arial" w:cs="Arial"/>
          <w:szCs w:val="28"/>
          <w:lang w:val="uk-UA"/>
        </w:rPr>
        <w:lastRenderedPageBreak/>
        <w:t>провадження — як вітчизняних, так і іноземних кредиторів. Саме ці обставини зумовлюють потребу у ґрунтовному аналізі правової природи, процедурних особливостей та викликів, що супроводжують провадження у справах про банкрутство із міжнародним елементом.</w:t>
      </w:r>
    </w:p>
    <w:p w14:paraId="42A893AA"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Правове регулювання провадження у справах про банкрутство, пов’язаних із іноземною процедурою, в Україні здійснюється на основі комплексного поєднання національних і міжнародних джерел права. Базовим актом у цій сфері є Кодекс України з процедур банкрутства, який у розділі VIIIпередбачає можливість визнання та виконання іноземної процедури банкрутства. Це свідчить про спробу національного законодавця адаптувати правову систему України до потреб міжнародного співробітництва у сфері неплатоспроможності [1].</w:t>
      </w:r>
    </w:p>
    <w:p w14:paraId="5835B1C1"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межах чинного КУзПБ передбачено, що іноземна процедура банкрутства може бути визнана на території України на підставі рішення господарського суду. Однак, незважаючи на наявність відповідних положень, практика застосування цих норм є доволі обмеженою. Це зумовлено як недосконалістю процесуальних механізмів, так і відсутністю чіткого законодавчого регулювання взаємодії національних судів з іноземними органами та арбітражними керуючими. Відсутність імперативних норм щодо пріоритету міжнародних процедур або їх автоматичного визнання ускладнює інтеграцію національної системи у глобальний правовий простір.</w:t>
      </w:r>
    </w:p>
    <w:p w14:paraId="1EF12084"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Цивільний процесуальний кодекс України відіграє допоміжну роль, зокрема в частині визнання та виконання іноземних судових рішень. Проте ці положення не є спеціалізованими для справ про неплатоспроможність, що потребує їх адаптації з урахуванням специфіки банкрутства як комплексного інституту [2]. Так само, Закон України «Про міжнародне приватне право» лише частково вирішує питання юрисдикції та колізійного регулювання, залишаючи простір для неоднозначного тлумачення [3].</w:t>
      </w:r>
    </w:p>
    <w:p w14:paraId="237934E8"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 особливу увагу заслуговує Модельний закон ЮНСІТРАЛ про транскордонну неплатоспроможність, який, хоча й не імплементований в українське законодавство, становить важливе джерело рекомендацій для гармонізації правового поля. Його положення спрямовані на забезпечення ефективної координації між національними і міжнародними процедурами, взаємне визнання, а також захист прав усіх учасників процесу. Однак без чіткого відображення цих принципів у внутрішньому праві їх застосування залишається декларативним [4].</w:t>
      </w:r>
    </w:p>
    <w:p w14:paraId="7BEF70A9" w14:textId="35AD6C40"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Однією з ключових проблем є відсутність усталеної судової практики щодо визнання іноземних процедур банкрутства. Це зумовлено як недосконалістю процесуальних механізмів, так і відсутністю чіткого законодавчого регулювання взаємодії національних судів з іноземними органами та арбітражними керуючими. Наприклад, у справі № 910/5107/20, яка стала однією з небагатьох розглянутих у цьому контексті, Верховний Суд</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скасував </w:t>
      </w:r>
      <w:r w:rsidRPr="00511005">
        <w:rPr>
          <w:rFonts w:ascii="Arial" w:eastAsia="Times New Roman" w:hAnsi="Arial" w:cs="Arial"/>
          <w:szCs w:val="28"/>
          <w:lang w:val="uk-UA"/>
        </w:rPr>
        <w:lastRenderedPageBreak/>
        <w:t>постанову апеляційного суду, який відмовив у визнанні іноземної процедури банкрутства через відсутність відповідного міжнародного договору. Верховний Суд зазначив, що чинний між Україною та Чеською Республікою Договір про взаємну правову допомогу від 28 травня 2001 року передбачає взаємну правову допомогу у справах, які виникають із комерційних правовідносин, до яких належать і справи про банкрутство. Таким чином, принцип взаємності в цій справі було дотримано [5].</w:t>
      </w:r>
    </w:p>
    <w:p w14:paraId="2BC1EF11"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Ще однією проблемою є відсутність чітких критеріїв для визначення статусу іноземної процедури банкрутства відповідно до положень КУзПБ. Згідно зі статтею 104 КУзПБ, в ухвалі господарського суду про визнання іноземної процедури банкрутства має бути зазначено статус цієї процедури. Проте, на практиці, суди не завжди встановлюють стадію, на якій перебуває іноземна процедура банкрутства, що ускладнює її визнання та виконання в Україні. Крім того, стаття 103 КУзПБ передбачає підстави для відмови у визнанні іноземної процедури банкрутства, зокрема, якщо виконання рішення іноземного суду суперечить публічному порядку, суверенітету та основним принципам законодавства України. Проте, відсутність чіткого визначення цих понять ускладнює їх застосування на практиці.</w:t>
      </w:r>
    </w:p>
    <w:p w14:paraId="49FD39C4"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Станом на сьогодні українське законодавство у сфері транскордонного банкрутства залишається недостатньо адаптованим до міжнародних стандартів, зокрема Типового закону ЮНСІТРАЛ. Визначальним є жорсткий підхід до принципу взаємності, що унеможливлює співпрацю з багатьма юрисдикціями, які не мають відповідних договорів з Україною. Як свідчать справи SPB hf. та CGM Czech A.S., навіть наявність правової допомоги не гарантує визнання іноземного провадження. Водночас ЄС демонструє більш гнучкий і практичний підхід, заснований на автоматизованому визнанні процедур. Це свідчить про необхідність для України або переглянути чинне законодавство, або сформувати стабільну судову практику, що враховує реалії глобалізованої економіки [6].</w:t>
      </w:r>
    </w:p>
    <w:p w14:paraId="129DDED6"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Таким чином, актуальність удосконалення нормативного регулювання у сфері банкрутства з іноземним елементом зумовлена необхідністю правової визначеності, стабільності та прогнозованості для всіх учасників процедури. Системна імплементація міжнародних стандартів та вдосконалення процесуальних механізмів є ключовими передумовами для ефективного функціонування транскордонних процедур неплатоспроможності в Україні.</w:t>
      </w:r>
    </w:p>
    <w:p w14:paraId="4D7A67EC"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На нашу думку, щоб забезпечити ефективність регулювання у цій сфері, необхідно здійснити комплекс заходів. По-перше, важливо імплементувати положення Модельного закону ЮНСІТРАЛ до національного законодавства, закріпивши чіткі критерії визнання та правові наслідки іноземної процедури банкрутства. По-друге, доцільно внести зміни до ЦПК України, розширивши його застосування на особливості розгляду справ про транскордонну неплатоспроможність. По-третє, необхідна спеціалізація суддівського </w:t>
      </w:r>
      <w:r w:rsidRPr="00511005">
        <w:rPr>
          <w:rFonts w:ascii="Arial" w:eastAsia="Times New Roman" w:hAnsi="Arial" w:cs="Arial"/>
          <w:szCs w:val="28"/>
          <w:lang w:val="uk-UA"/>
        </w:rPr>
        <w:lastRenderedPageBreak/>
        <w:t>корпусу у сфері міжнародного банкрутства, а також створення методичних рекомендацій та навчальних програм.</w:t>
      </w:r>
    </w:p>
    <w:p w14:paraId="6BF19AB4" w14:textId="77777777" w:rsidR="003476F8" w:rsidRPr="00511005" w:rsidRDefault="003476F8"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Також актуальною є розробка двосторонніх або багатосторонніх угод про взаємне визнання та виконання процедур банкрутства, які дозволять встановити сталі механізми міждержавної співпраці. Зрештою, лише за умови системного удосконалення правової бази та розвитку єдиної судової практики Україна зможе забезпечити ефективну взаємодію з міжнародною системою регулювання неплатоспроможності, що сприятиме зростанню інвестиційної привабливості та довіри з боку іноземних партнерів.</w:t>
      </w:r>
    </w:p>
    <w:p w14:paraId="2EC8E0A8" w14:textId="77777777" w:rsidR="003476F8" w:rsidRPr="00511005" w:rsidRDefault="003476F8" w:rsidP="003A292D">
      <w:pPr>
        <w:spacing w:line="264" w:lineRule="auto"/>
        <w:ind w:firstLine="0"/>
        <w:jc w:val="center"/>
        <w:rPr>
          <w:rFonts w:ascii="Arial" w:eastAsia="Times New Roman" w:hAnsi="Arial" w:cs="Arial"/>
          <w:b/>
          <w:bCs/>
          <w:szCs w:val="28"/>
          <w:lang w:val="uk-UA"/>
        </w:rPr>
      </w:pPr>
    </w:p>
    <w:p w14:paraId="6B5F4AD8" w14:textId="0F3D8C91" w:rsidR="003476F8"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41C73B0D" w14:textId="77777777" w:rsidR="003476F8" w:rsidRPr="00511005" w:rsidRDefault="003476F8" w:rsidP="003F6A5D">
      <w:pPr>
        <w:numPr>
          <w:ilvl w:val="0"/>
          <w:numId w:val="424"/>
        </w:numPr>
        <w:tabs>
          <w:tab w:val="left" w:pos="993"/>
        </w:tabs>
        <w:spacing w:line="264" w:lineRule="auto"/>
        <w:ind w:left="0" w:firstLine="567"/>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Кодекс України з процедур банкрутства : Закон України від 18 жовт. 2018 р. № 2597-VIII. ВВР України. 2019. № 20. Ст. 79. </w:t>
      </w:r>
    </w:p>
    <w:p w14:paraId="133141DC" w14:textId="77777777" w:rsidR="003476F8" w:rsidRPr="00511005" w:rsidRDefault="003476F8" w:rsidP="003F6A5D">
      <w:pPr>
        <w:numPr>
          <w:ilvl w:val="0"/>
          <w:numId w:val="424"/>
        </w:numPr>
        <w:tabs>
          <w:tab w:val="left" w:pos="993"/>
        </w:tabs>
        <w:spacing w:line="264" w:lineRule="auto"/>
        <w:ind w:left="0" w:firstLine="567"/>
        <w:contextualSpacing/>
        <w:jc w:val="left"/>
        <w:rPr>
          <w:rFonts w:ascii="Arial" w:eastAsia="Times New Roman" w:hAnsi="Arial" w:cs="Arial"/>
          <w:szCs w:val="28"/>
          <w:lang w:val="uk-UA"/>
        </w:rPr>
      </w:pPr>
      <w:r w:rsidRPr="00511005">
        <w:rPr>
          <w:rFonts w:ascii="Arial" w:eastAsia="Times New Roman" w:hAnsi="Arial" w:cs="Arial"/>
          <w:szCs w:val="28"/>
          <w:lang w:val="uk-UA"/>
        </w:rPr>
        <w:t>Цивільний процесуальний кодекс України : Закон України від 18 берез. 2004 р. № 1618-IV. ВВР України. 2004. № 40–41, 42. Ст. 492.</w:t>
      </w:r>
    </w:p>
    <w:p w14:paraId="63B84A1E" w14:textId="77777777" w:rsidR="003476F8" w:rsidRPr="00511005" w:rsidRDefault="003476F8" w:rsidP="003F6A5D">
      <w:pPr>
        <w:numPr>
          <w:ilvl w:val="0"/>
          <w:numId w:val="424"/>
        </w:numPr>
        <w:tabs>
          <w:tab w:val="left" w:pos="993"/>
        </w:tabs>
        <w:spacing w:line="264" w:lineRule="auto"/>
        <w:ind w:left="0" w:firstLine="567"/>
        <w:contextualSpacing/>
        <w:jc w:val="left"/>
        <w:rPr>
          <w:rFonts w:ascii="Arial" w:eastAsia="Times New Roman" w:hAnsi="Arial" w:cs="Arial"/>
          <w:szCs w:val="28"/>
          <w:lang w:val="uk-UA"/>
        </w:rPr>
      </w:pPr>
      <w:r w:rsidRPr="00511005">
        <w:rPr>
          <w:rFonts w:ascii="Arial" w:eastAsia="Times New Roman" w:hAnsi="Arial" w:cs="Arial"/>
          <w:szCs w:val="28"/>
          <w:lang w:val="uk-UA"/>
        </w:rPr>
        <w:t>Про міжнародне приватне право : Закон України від 23 черв. 2005 р. № 2709-IV. ВВР України. 2005. № 32. Ст. 422.</w:t>
      </w:r>
    </w:p>
    <w:p w14:paraId="30005FC1" w14:textId="77777777" w:rsidR="003476F8" w:rsidRPr="00511005" w:rsidRDefault="003476F8" w:rsidP="003F6A5D">
      <w:pPr>
        <w:numPr>
          <w:ilvl w:val="0"/>
          <w:numId w:val="424"/>
        </w:numPr>
        <w:tabs>
          <w:tab w:val="left" w:pos="993"/>
        </w:tabs>
        <w:spacing w:line="264" w:lineRule="auto"/>
        <w:ind w:left="0" w:firstLine="567"/>
        <w:contextualSpacing/>
        <w:jc w:val="left"/>
        <w:rPr>
          <w:rFonts w:ascii="Arial" w:eastAsia="Times New Roman" w:hAnsi="Arial" w:cs="Arial"/>
          <w:b/>
          <w:bCs/>
          <w:szCs w:val="28"/>
          <w:lang w:val="uk-UA"/>
        </w:rPr>
      </w:pPr>
      <w:r w:rsidRPr="00511005">
        <w:rPr>
          <w:rFonts w:ascii="Arial" w:eastAsia="Times New Roman" w:hAnsi="Arial" w:cs="Arial"/>
          <w:szCs w:val="28"/>
          <w:lang w:val="uk-UA"/>
        </w:rPr>
        <w:t>UNCITRAL Model Law on Cross-Border Insolvency with Guide to Enactment and Interpretation.United Nations, 2014. 108 p.</w:t>
      </w:r>
    </w:p>
    <w:p w14:paraId="19663673" w14:textId="77777777" w:rsidR="003476F8" w:rsidRPr="00511005" w:rsidRDefault="003476F8" w:rsidP="003F6A5D">
      <w:pPr>
        <w:numPr>
          <w:ilvl w:val="0"/>
          <w:numId w:val="424"/>
        </w:numPr>
        <w:tabs>
          <w:tab w:val="left" w:pos="993"/>
        </w:tabs>
        <w:spacing w:line="264" w:lineRule="auto"/>
        <w:ind w:left="0" w:firstLine="567"/>
        <w:contextualSpacing/>
        <w:jc w:val="left"/>
        <w:rPr>
          <w:rFonts w:ascii="Arial" w:eastAsia="Times New Roman" w:hAnsi="Arial" w:cs="Arial"/>
          <w:b/>
          <w:bCs/>
          <w:szCs w:val="28"/>
          <w:lang w:val="uk-UA"/>
        </w:rPr>
      </w:pPr>
      <w:r w:rsidRPr="00511005">
        <w:rPr>
          <w:rFonts w:ascii="Arial" w:eastAsia="Times New Roman" w:hAnsi="Arial" w:cs="Arial"/>
          <w:szCs w:val="28"/>
          <w:lang w:val="uk-UA"/>
        </w:rPr>
        <w:t xml:space="preserve">Постанова Касаційного господарського суду у складі Верховного Суду у справі № 910/5107/20 від 22 грудня 2021 року. URL : </w:t>
      </w:r>
      <w:hyperlink r:id="rId1638" w:history="1">
        <w:r w:rsidRPr="00511005">
          <w:rPr>
            <w:rFonts w:ascii="Arial" w:eastAsia="Times New Roman" w:hAnsi="Arial" w:cs="Arial"/>
            <w:szCs w:val="28"/>
            <w:lang w:val="uk-UA"/>
          </w:rPr>
          <w:t>https://reyestr.court.gov.ua/Review/104291599</w:t>
        </w:r>
      </w:hyperlink>
      <w:r w:rsidRPr="00511005">
        <w:rPr>
          <w:rFonts w:ascii="Arial" w:eastAsia="Times New Roman" w:hAnsi="Arial" w:cs="Arial"/>
          <w:szCs w:val="28"/>
          <w:lang w:val="uk-UA"/>
        </w:rPr>
        <w:t>;</w:t>
      </w:r>
    </w:p>
    <w:p w14:paraId="01438A43" w14:textId="77777777" w:rsidR="003476F8" w:rsidRPr="00511005" w:rsidRDefault="003476F8" w:rsidP="003F6A5D">
      <w:pPr>
        <w:numPr>
          <w:ilvl w:val="0"/>
          <w:numId w:val="424"/>
        </w:numPr>
        <w:tabs>
          <w:tab w:val="left" w:pos="993"/>
        </w:tabs>
        <w:spacing w:line="264" w:lineRule="auto"/>
        <w:ind w:left="0" w:firstLine="567"/>
        <w:contextualSpacing/>
        <w:jc w:val="left"/>
        <w:rPr>
          <w:rFonts w:ascii="Arial" w:eastAsia="Times New Roman" w:hAnsi="Arial" w:cs="Arial"/>
          <w:szCs w:val="28"/>
          <w:lang w:val="uk-UA"/>
        </w:rPr>
      </w:pPr>
      <w:r w:rsidRPr="00511005">
        <w:rPr>
          <w:rFonts w:ascii="Arial" w:eastAsia="Times New Roman" w:hAnsi="Arial" w:cs="Arial"/>
          <w:szCs w:val="28"/>
          <w:lang w:val="uk-UA"/>
        </w:rPr>
        <w:t>Шишковський Б., Павлюк А. Піти на принцип. Юридична практика. 2020. №11–12 (1210–1211). URL : https://pravo.ua/articles/pity-na-pryntsyp/.</w:t>
      </w:r>
    </w:p>
    <w:p w14:paraId="171BCD76" w14:textId="77777777" w:rsidR="003476F8" w:rsidRPr="00511005" w:rsidRDefault="003476F8" w:rsidP="003A292D">
      <w:pPr>
        <w:spacing w:line="264" w:lineRule="auto"/>
        <w:ind w:firstLine="0"/>
        <w:rPr>
          <w:rFonts w:ascii="Arial" w:eastAsia="Times New Roman" w:hAnsi="Arial" w:cs="Arial"/>
          <w:b/>
          <w:bCs/>
          <w:szCs w:val="28"/>
          <w:lang w:val="uk-UA"/>
        </w:rPr>
      </w:pPr>
    </w:p>
    <w:p w14:paraId="20A5E649" w14:textId="2A0878FB" w:rsidR="003476F8" w:rsidRPr="00511005" w:rsidRDefault="007B2628" w:rsidP="003A292D">
      <w:pPr>
        <w:spacing w:line="264" w:lineRule="auto"/>
        <w:ind w:firstLine="0"/>
        <w:rPr>
          <w:rFonts w:ascii="Arial" w:eastAsia="Times New Roman" w:hAnsi="Arial" w:cs="Arial"/>
          <w:b/>
          <w:bCs/>
          <w:szCs w:val="28"/>
          <w:lang w:val="uk-UA"/>
        </w:rPr>
      </w:pPr>
      <w:r w:rsidRPr="00511005">
        <w:rPr>
          <w:rFonts w:ascii="Arial" w:eastAsia="Times New Roman" w:hAnsi="Arial" w:cs="Arial"/>
          <w:b/>
          <w:bCs/>
          <w:i/>
          <w:szCs w:val="28"/>
          <w:lang w:val="uk-UA"/>
        </w:rPr>
        <w:t xml:space="preserve">Ключові слова: </w:t>
      </w:r>
      <w:r w:rsidR="003476F8" w:rsidRPr="00511005">
        <w:rPr>
          <w:rFonts w:ascii="Arial" w:eastAsia="Times New Roman" w:hAnsi="Arial" w:cs="Arial"/>
          <w:szCs w:val="28"/>
          <w:lang w:val="uk-UA"/>
        </w:rPr>
        <w:t>процедура банкрутства; іноземний елемент; транскордонна неплатоспроможність.</w:t>
      </w:r>
    </w:p>
    <w:p w14:paraId="17804943" w14:textId="75521570" w:rsidR="003476F8" w:rsidRPr="00511005" w:rsidRDefault="007B2628" w:rsidP="003A292D">
      <w:pPr>
        <w:spacing w:line="264" w:lineRule="auto"/>
        <w:ind w:firstLine="0"/>
        <w:rPr>
          <w:rFonts w:ascii="Arial" w:eastAsia="Times New Roman" w:hAnsi="Arial" w:cs="Arial"/>
          <w:b/>
          <w:bCs/>
          <w:szCs w:val="28"/>
          <w:lang w:val="uk-UA"/>
        </w:rPr>
      </w:pPr>
      <w:r w:rsidRPr="00511005">
        <w:rPr>
          <w:rFonts w:ascii="Arial" w:eastAsia="Times New Roman" w:hAnsi="Arial" w:cs="Arial"/>
          <w:b/>
          <w:bCs/>
          <w:i/>
          <w:szCs w:val="28"/>
          <w:lang w:val="uk-UA"/>
        </w:rPr>
        <w:t xml:space="preserve">Key words: </w:t>
      </w:r>
      <w:r w:rsidR="003476F8" w:rsidRPr="00511005">
        <w:rPr>
          <w:rFonts w:ascii="Arial" w:eastAsia="Times New Roman" w:hAnsi="Arial" w:cs="Arial"/>
          <w:szCs w:val="28"/>
          <w:lang w:val="uk-UA"/>
        </w:rPr>
        <w:t>bankruptcy procedure; foreign element; cross-border insolvency.</w:t>
      </w:r>
    </w:p>
    <w:p w14:paraId="2F875D27" w14:textId="140E7343" w:rsidR="003476F8" w:rsidRPr="00511005" w:rsidRDefault="007B2628" w:rsidP="003A292D">
      <w:pPr>
        <w:spacing w:line="264" w:lineRule="auto"/>
        <w:ind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3476F8" w:rsidRPr="00511005">
        <w:rPr>
          <w:rFonts w:ascii="Arial" w:eastAsia="Times New Roman" w:hAnsi="Arial" w:cs="Arial"/>
          <w:i/>
          <w:iCs/>
          <w:szCs w:val="28"/>
          <w:lang w:val="uk-UA"/>
        </w:rPr>
        <w:t xml:space="preserve">к.ю.н., доцент Будурова </w:t>
      </w:r>
      <w:r w:rsidR="005E26E0">
        <w:rPr>
          <w:rFonts w:ascii="Arial" w:eastAsia="Times New Roman" w:hAnsi="Arial" w:cs="Arial"/>
          <w:i/>
          <w:iCs/>
          <w:szCs w:val="28"/>
          <w:lang w:val="uk-UA"/>
        </w:rPr>
        <w:t>Г. М.</w:t>
      </w:r>
    </w:p>
    <w:p w14:paraId="770D8023" w14:textId="77777777" w:rsidR="003476F8" w:rsidRPr="00511005" w:rsidRDefault="003476F8" w:rsidP="003A292D">
      <w:pPr>
        <w:spacing w:line="264" w:lineRule="auto"/>
        <w:ind w:firstLine="0"/>
        <w:rPr>
          <w:rFonts w:ascii="Arial" w:eastAsia="Times New Roman" w:hAnsi="Arial" w:cs="Arial"/>
          <w:i/>
          <w:iCs/>
          <w:szCs w:val="28"/>
          <w:lang w:val="uk-UA"/>
        </w:rPr>
      </w:pPr>
    </w:p>
    <w:p w14:paraId="29B05A28" w14:textId="77777777" w:rsidR="005E26E0" w:rsidRDefault="005E26E0" w:rsidP="003A292D">
      <w:pPr>
        <w:spacing w:line="264" w:lineRule="auto"/>
        <w:ind w:firstLine="0"/>
        <w:contextualSpacing/>
        <w:jc w:val="center"/>
        <w:rPr>
          <w:rFonts w:ascii="Arial" w:eastAsia="Times New Roman" w:hAnsi="Arial" w:cs="Arial"/>
          <w:i/>
          <w:iCs/>
          <w:szCs w:val="28"/>
          <w:lang w:val="uk-UA"/>
        </w:rPr>
      </w:pPr>
    </w:p>
    <w:p w14:paraId="5BF9B48A" w14:textId="6D7F7FCE" w:rsidR="003476F8" w:rsidRPr="00511005" w:rsidRDefault="003476F8" w:rsidP="003A292D">
      <w:pPr>
        <w:spacing w:line="264" w:lineRule="auto"/>
        <w:ind w:firstLine="0"/>
        <w:contextualSpacing/>
        <w:jc w:val="center"/>
        <w:rPr>
          <w:rFonts w:ascii="Arial" w:eastAsia="Calibri" w:hAnsi="Arial" w:cs="Arial"/>
          <w:b/>
          <w:bCs/>
          <w:i/>
          <w:szCs w:val="28"/>
          <w:lang w:val="uk-UA"/>
        </w:rPr>
      </w:pPr>
      <w:r w:rsidRPr="00511005">
        <w:rPr>
          <w:rFonts w:ascii="Arial" w:eastAsia="Calibri" w:hAnsi="Arial" w:cs="Arial"/>
          <w:b/>
          <w:bCs/>
          <w:i/>
          <w:szCs w:val="28"/>
          <w:lang w:val="uk-UA"/>
        </w:rPr>
        <w:t>Явдик Діана Олександрівна</w:t>
      </w:r>
    </w:p>
    <w:p w14:paraId="158FF112" w14:textId="729C1ADF" w:rsidR="003476F8" w:rsidRPr="00511005" w:rsidRDefault="00536AAB" w:rsidP="003A292D">
      <w:pPr>
        <w:spacing w:line="264" w:lineRule="auto"/>
        <w:ind w:firstLine="0"/>
        <w:contextualSpacing/>
        <w:jc w:val="center"/>
        <w:rPr>
          <w:rFonts w:ascii="Arial" w:eastAsia="Calibri" w:hAnsi="Arial" w:cs="Arial"/>
          <w:bCs/>
          <w:szCs w:val="28"/>
          <w:lang w:val="uk-UA"/>
        </w:rPr>
      </w:pPr>
      <w:r w:rsidRPr="00511005">
        <w:rPr>
          <w:rFonts w:ascii="Arial" w:eastAsia="Calibri" w:hAnsi="Arial" w:cs="Arial"/>
          <w:bCs/>
          <w:szCs w:val="28"/>
          <w:lang w:val="uk-UA"/>
        </w:rPr>
        <w:t>студентка 3-го курсу факультету адвокатури та антикорупційної діяльності</w:t>
      </w:r>
    </w:p>
    <w:p w14:paraId="4E1FF856" w14:textId="134BC7FB" w:rsidR="003476F8" w:rsidRPr="00511005" w:rsidRDefault="007B2628" w:rsidP="003A292D">
      <w:pPr>
        <w:spacing w:line="264" w:lineRule="auto"/>
        <w:ind w:firstLine="0"/>
        <w:contextualSpacing/>
        <w:jc w:val="center"/>
        <w:rPr>
          <w:rFonts w:ascii="Arial" w:eastAsia="Calibri" w:hAnsi="Arial" w:cs="Arial"/>
          <w:bCs/>
          <w:szCs w:val="28"/>
          <w:lang w:val="uk-UA"/>
        </w:rPr>
      </w:pPr>
      <w:r w:rsidRPr="00511005">
        <w:rPr>
          <w:rFonts w:ascii="Arial" w:eastAsia="Calibri" w:hAnsi="Arial" w:cs="Arial"/>
          <w:bCs/>
          <w:szCs w:val="28"/>
          <w:lang w:val="uk-UA"/>
        </w:rPr>
        <w:t>Національного університету «Одеська юридична академія»</w:t>
      </w:r>
    </w:p>
    <w:p w14:paraId="3B86C8F2" w14:textId="77777777" w:rsidR="003476F8" w:rsidRPr="00511005" w:rsidRDefault="003476F8" w:rsidP="003A292D">
      <w:pPr>
        <w:spacing w:line="264" w:lineRule="auto"/>
        <w:ind w:firstLine="0"/>
        <w:contextualSpacing/>
        <w:jc w:val="center"/>
        <w:rPr>
          <w:rFonts w:ascii="Arial" w:eastAsia="Calibri" w:hAnsi="Arial" w:cs="Arial"/>
          <w:bCs/>
          <w:szCs w:val="28"/>
          <w:lang w:val="uk-UA"/>
        </w:rPr>
      </w:pPr>
    </w:p>
    <w:p w14:paraId="3CD7AD41" w14:textId="77777777" w:rsidR="003476F8" w:rsidRPr="00511005" w:rsidRDefault="003476F8" w:rsidP="003A292D">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ЩОДО ПРАВОВОГО СТАТУСУ ТА ПОРЯДКУ УТВОРЕННЯ АКЦІОНЕРНОГО ТОВАРИСТВА</w:t>
      </w:r>
    </w:p>
    <w:p w14:paraId="391E5913" w14:textId="77777777" w:rsidR="003476F8" w:rsidRPr="00511005" w:rsidRDefault="003476F8"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сучасних умовах ринкової економіки акціонерні товариства є однією з ключових організаційно-правових форм господарювання, що забезпечують залучення інвестицій, реалізацію великих проєктів і розвиток підприємництва. Правовий статус акціонерного товариства та механізми його утворення визначають законні підстави для ефективної та прозорої </w:t>
      </w:r>
      <w:r w:rsidRPr="00511005">
        <w:rPr>
          <w:rFonts w:ascii="Arial" w:eastAsia="Times New Roman" w:hAnsi="Arial" w:cs="Arial"/>
          <w:szCs w:val="28"/>
          <w:lang w:val="uk-UA" w:eastAsia="uk-UA"/>
        </w:rPr>
        <w:lastRenderedPageBreak/>
        <w:t>діяльності таких суб’єктів господарювання. Водночас правове регулювання цієї сфери в Україні продовжує зазнавати змін, зумовлених євроінтеграційними процесами, реформами корпоративного управління та необхідністю адаптації до сучасних економічних викликів.</w:t>
      </w:r>
    </w:p>
    <w:p w14:paraId="5C4C0C29" w14:textId="77777777" w:rsidR="003476F8" w:rsidRPr="00511005" w:rsidRDefault="003476F8"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Акціонерні товариства є невід’ємною складовою ринкової економіки, забезпечуючи ефективне функціонування механізмів корпоративного управління, інвестування та перерозподілу капіталу. Саме через акціонерні товариства значна частина майнових активів в Україні та інших країнах обертається в економічному обороті, а зростання інтересу до таких форм підприємництва зумовлює необхідність чіткого правового регулювання їхнього статусу та діяльності.</w:t>
      </w:r>
    </w:p>
    <w:p w14:paraId="6C7B6E10" w14:textId="77777777" w:rsidR="003476F8" w:rsidRPr="00511005" w:rsidRDefault="003476F8"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Правовий статус акціонерного товариства визначає його юридичну природу, структуру управління, особливості взаємин між акціонерами та органами товариства, обсяги прав та обов’язків учасників, а також рівень майнової відповідальності. Питання утворення акціонерного товариства, своєю чергою, є не менш важливим, оскільки правильне дотримання законодавчо встановленої процедури створення є передумовою його легітимного існування та ефективної діяльності</w:t>
      </w:r>
    </w:p>
    <w:p w14:paraId="563A4E9A" w14:textId="77777777" w:rsidR="003476F8" w:rsidRPr="00511005" w:rsidRDefault="003476F8"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Акціонерне товариство належить до категорії господарських товариств, які, згідно з положеннями статті 113 Цивільного кодексу України, визнаються юридичними особами з поділом статутного (складеного) капіталу між учасниками на визначені частки. Господарські товариства в Україні можуть існувати у таких організаційно-правових формах: повне товариство, командитне товариство, товариство з обмеженою відповідальністю, товариство з додатковою відповідальністю, а також акціонерне товариство. Конкретний вид господарського товариства обирається залежно від особливостей об’єднання учасниками майнових ресурсів та рівня їхньої відповідальності перед кредиторами [1, с. 97].</w:t>
      </w:r>
    </w:p>
    <w:p w14:paraId="15E64E47" w14:textId="77777777" w:rsidR="003476F8" w:rsidRPr="00511005" w:rsidRDefault="003476F8"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Особливість правового статусу акціонерного товариства полягає в тому, що його статутний капітал формується за рахунок випуску акцій, що надає йому правовий статус емітента цінних паперів. Така структура капіталу обумовлює специфічне місце акціонерного товариства серед інших форм господарських об’єднань. По-перше, акціонерне товариство як корпоративна форма господарювання створює можливість акумулювати значні фінансові ресурси шляхом залучення коштів від інвесторів через продаж акцій. По-друге, корпоративні права в межах такого товариства є досить мобільними, оскільки акції можуть вільно переходити від однієї особи до іншої. По-третє, учасники товариства, акціонери, несуть відповідальність виключно в межах вартості належних їм акцій, що забезпечує обмеження їхніх фінансових ризиків.</w:t>
      </w:r>
    </w:p>
    <w:p w14:paraId="3F55B596" w14:textId="77777777" w:rsidR="003476F8" w:rsidRPr="00511005" w:rsidRDefault="003476F8"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Процес заснування акціонерного товариства передбачає проходження кількох послідовних стадій:</w:t>
      </w:r>
    </w:p>
    <w:p w14:paraId="56241362" w14:textId="77777777" w:rsidR="003476F8" w:rsidRPr="00511005" w:rsidRDefault="003476F8" w:rsidP="003F6A5D">
      <w:pPr>
        <w:numPr>
          <w:ilvl w:val="0"/>
          <w:numId w:val="425"/>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На початковому етапі особи, які ініціюють створення товариства, укладають між собою установчий договір. У ньому фіксуються основні положення співпраці щодо організації товариства, розподіл обов’язків між учасниками, відповідальність перед інвесторами, які виявили бажання придбати акції, та перед іншими особами. Якщо засновниками виступають фізичні особи, цей договір підлягає нотаріальному посвідченню. Усі засновники несуть спільну відповідальність за зобов’язаннями, що виникають у межах цього договору.</w:t>
      </w:r>
    </w:p>
    <w:p w14:paraId="410872EA" w14:textId="77777777" w:rsidR="003476F8" w:rsidRPr="00511005" w:rsidRDefault="003476F8" w:rsidP="003F6A5D">
      <w:pPr>
        <w:numPr>
          <w:ilvl w:val="0"/>
          <w:numId w:val="425"/>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Далі засновники публікують повідомлення про випуск акцій у випадку створення відкритого акціонерного товариства.</w:t>
      </w:r>
    </w:p>
    <w:p w14:paraId="7C2D4C74" w14:textId="77777777" w:rsidR="003476F8" w:rsidRPr="00511005" w:rsidRDefault="003476F8" w:rsidP="003F6A5D">
      <w:pPr>
        <w:numPr>
          <w:ilvl w:val="0"/>
          <w:numId w:val="425"/>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Відбувається етап відкритої підписки на акції, яка організовується засновниками. Тривалість цього періоду не повинна перевищувати шести місяців. Особи, які бажають інвестувати, повинні сплатити не менше 10% вартості акцій, на які вони оформлюють підписку. Після цього вони отримують письмове підтвердження про намір засновників передати відповідну кількість акцій. Якщо протягом встановленого строку не вдалося реалізувати щонайменше 60% акцій, товариство не вважається створеним. Засновники зобов’язані володіти пакетом акцій на суму не менше 25% статутного капіталу впродовж щонайменше двох років. У разі створення закритого товариства акції розподіляються лише між засновниками.</w:t>
      </w:r>
    </w:p>
    <w:p w14:paraId="70DAE8FC" w14:textId="77777777" w:rsidR="003476F8" w:rsidRPr="00511005" w:rsidRDefault="003476F8" w:rsidP="003F6A5D">
      <w:pPr>
        <w:numPr>
          <w:ilvl w:val="0"/>
          <w:numId w:val="425"/>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Завершальним етапом є проведення установчих зборів. Вони мають відбутися не пізніше ніж через два місяці після завершення етапу підписки на акції. Недотримання цього строку може мати наслідком визнання товариства таким, що не утворилося, а особи, які здійснили оплату акцій, мають право вимагати повернення сплачених коштів [2, с. 83].</w:t>
      </w:r>
    </w:p>
    <w:p w14:paraId="19290CA7" w14:textId="77777777" w:rsidR="003476F8" w:rsidRPr="00511005" w:rsidRDefault="003476F8"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Система управління акціонерним товариством базується на функціонуванні таких органів, як загальні збори акціонерів, наглядова рада та виконавчий орган (правління). Головним керівним органом виступають загальні збори, до компетенції яких належать стратегічні рішення щодо розвитку товариства. Зокрема, вони уповноважені визначати ключові напрями діяльності акціонерного товариства, схвалювати річні плани та звіти про їх виконання, ухвалювати зміни до статуту, обирати та звільняти членів наглядової ради, виконавчих органів і ревізійної комісії, а також затверджувати фінансові результати роботи товариства за підсумками року. Повноваження загальних зборів визначено статтею 39 Закону України «Про акціонерні товариства» [3].</w:t>
      </w:r>
    </w:p>
    <w:p w14:paraId="56D714F2" w14:textId="04CCCC1B" w:rsidR="003476F8" w:rsidRPr="00511005" w:rsidRDefault="003476F8"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Управління поточною діяльністю акціонерного товариства здійснює виконавчий орган</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правління. До його повноважень належить вирішення всіх операційних питань, за винятком тих, що законодавством або статутом віднесено до компетенції загальних зборів акціонерів чи наглядової ради. </w:t>
      </w:r>
      <w:r w:rsidRPr="00511005">
        <w:rPr>
          <w:rFonts w:ascii="Arial" w:eastAsia="Times New Roman" w:hAnsi="Arial" w:cs="Arial"/>
          <w:szCs w:val="28"/>
          <w:lang w:val="uk-UA" w:eastAsia="uk-UA"/>
        </w:rPr>
        <w:lastRenderedPageBreak/>
        <w:t>Голова правління діє від імені товариства без окремого доручення: укладає угоди, представляє інтереси компанії в державних установах, у тому числі в судових та господарських органах.</w:t>
      </w:r>
    </w:p>
    <w:p w14:paraId="144B5D2F" w14:textId="77777777" w:rsidR="003476F8" w:rsidRPr="00511005" w:rsidRDefault="003476F8"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Таким чином, акціонерне товариство є складною організаційно-правовою формою суб’єкта господарювання, яка створюється шляхом об’єднання фінансових ресурсів кількох осіб - акціонерів. Його внутрішня структура передбачає наявність декількох рівнів управління та контролю, зокрема органів загальних зборів, виконавчого керівництва, наглядових та контрольних підрозділів. Розмежування компетенцій між цими органами, встановлення процедур прийняття рішень, порядок дій від імені товариства, а також визначення відповідальності за заподіяну шкоду мають ключове значення для ефективного функціонування. </w:t>
      </w:r>
    </w:p>
    <w:p w14:paraId="2A42A2AD"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Враховуючи вищевикладене, зазначимо, що акціонерні товариства відіграють провідну роль у формуванні ринкової економіки, сприяючи акумулюванню капіталу, розвитку підприємництва та реалізації масштабних інвестиційних проєктів. Їх правовий статус, заснований на положеннях цивільного та господарського законодавства України, забезпечує визначеність прав і обов’язків учасників, а також прозорість процедур створення та управління. Чітке розмежування повноважень між органами управління акціонерного товариства створює передумови для ефективного корпоративного врядування, мінімізації конфліктів інтересів та зниження правових ризиків.</w:t>
      </w:r>
    </w:p>
    <w:p w14:paraId="59678F14" w14:textId="77777777" w:rsidR="003476F8" w:rsidRPr="00511005" w:rsidRDefault="003476F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ru-RU"/>
        </w:rPr>
        <w:t xml:space="preserve">Перспективи розвитку акціонерних товариств в Україні тісно пов’язані з подальшим удосконаленням нормативно-правової бази, гармонізацією з європейськими стандартами корпоративного управління та підвищенням рівня захисту прав акціонерів. Серед актуальних напрямів можемо виділити наступні: </w:t>
      </w:r>
      <w:r w:rsidRPr="00511005">
        <w:rPr>
          <w:rFonts w:ascii="Arial" w:eastAsia="Times New Roman" w:hAnsi="Arial" w:cs="Arial"/>
          <w:bCs/>
          <w:szCs w:val="28"/>
          <w:lang w:val="uk-UA" w:eastAsia="ru-RU"/>
        </w:rPr>
        <w:t>цифровізація процесів управління та звітності</w:t>
      </w:r>
      <w:r w:rsidRPr="00511005">
        <w:rPr>
          <w:rFonts w:ascii="Arial" w:eastAsia="Times New Roman" w:hAnsi="Arial" w:cs="Arial"/>
          <w:szCs w:val="28"/>
          <w:lang w:val="uk-UA" w:eastAsia="ru-RU"/>
        </w:rPr>
        <w:t xml:space="preserve">, що дозволить спростити взаємодію між учасниками товариства; </w:t>
      </w:r>
      <w:r w:rsidRPr="00511005">
        <w:rPr>
          <w:rFonts w:ascii="Arial" w:eastAsia="Times New Roman" w:hAnsi="Arial" w:cs="Arial"/>
          <w:bCs/>
          <w:szCs w:val="28"/>
          <w:lang w:val="uk-UA" w:eastAsia="ru-RU"/>
        </w:rPr>
        <w:t>посилення відповідальності органів управління</w:t>
      </w:r>
      <w:r w:rsidRPr="00511005">
        <w:rPr>
          <w:rFonts w:ascii="Arial" w:eastAsia="Times New Roman" w:hAnsi="Arial" w:cs="Arial"/>
          <w:szCs w:val="28"/>
          <w:lang w:val="uk-UA" w:eastAsia="ru-RU"/>
        </w:rPr>
        <w:t xml:space="preserve"> за неправомірні дії, що завдають шкоди товариству або його акціонерам; </w:t>
      </w:r>
      <w:r w:rsidRPr="00511005">
        <w:rPr>
          <w:rFonts w:ascii="Arial" w:eastAsia="Times New Roman" w:hAnsi="Arial" w:cs="Arial"/>
          <w:bCs/>
          <w:szCs w:val="28"/>
          <w:lang w:val="uk-UA" w:eastAsia="ru-RU"/>
        </w:rPr>
        <w:t>розвиток ринку цінних паперів</w:t>
      </w:r>
      <w:r w:rsidRPr="00511005">
        <w:rPr>
          <w:rFonts w:ascii="Arial" w:eastAsia="Times New Roman" w:hAnsi="Arial" w:cs="Arial"/>
          <w:szCs w:val="28"/>
          <w:lang w:val="uk-UA" w:eastAsia="ru-RU"/>
        </w:rPr>
        <w:t xml:space="preserve"> як інструменту залучення капіталу для публічних акціонерних товариств; </w:t>
      </w:r>
      <w:r w:rsidRPr="00511005">
        <w:rPr>
          <w:rFonts w:ascii="Arial" w:eastAsia="Times New Roman" w:hAnsi="Arial" w:cs="Arial"/>
          <w:bCs/>
          <w:szCs w:val="28"/>
          <w:lang w:val="uk-UA" w:eastAsia="ru-RU"/>
        </w:rPr>
        <w:t>вдосконалення процедур захисту міноритарних акціонерів</w:t>
      </w:r>
      <w:r w:rsidRPr="00511005">
        <w:rPr>
          <w:rFonts w:ascii="Arial" w:eastAsia="Times New Roman" w:hAnsi="Arial" w:cs="Arial"/>
          <w:szCs w:val="28"/>
          <w:lang w:val="uk-UA" w:eastAsia="ru-RU"/>
        </w:rPr>
        <w:t xml:space="preserve">, що сприятиме підвищенню інвестиційної привабливості; </w:t>
      </w:r>
      <w:r w:rsidRPr="00511005">
        <w:rPr>
          <w:rFonts w:ascii="Arial" w:eastAsia="Times New Roman" w:hAnsi="Arial" w:cs="Arial"/>
          <w:bCs/>
          <w:szCs w:val="28"/>
          <w:lang w:val="uk-UA" w:eastAsia="ru-RU"/>
        </w:rPr>
        <w:t>розширення механізмів корпоративної відповідальності</w:t>
      </w:r>
      <w:r w:rsidRPr="00511005">
        <w:rPr>
          <w:rFonts w:ascii="Arial" w:eastAsia="Times New Roman" w:hAnsi="Arial" w:cs="Arial"/>
          <w:szCs w:val="28"/>
          <w:lang w:val="uk-UA" w:eastAsia="ru-RU"/>
        </w:rPr>
        <w:t xml:space="preserve"> та соціальної звітності в межах сталого розвитку.</w:t>
      </w:r>
    </w:p>
    <w:p w14:paraId="74E8CFFF" w14:textId="77777777" w:rsidR="003476F8" w:rsidRPr="00511005" w:rsidRDefault="003476F8" w:rsidP="003A292D">
      <w:pPr>
        <w:spacing w:line="264" w:lineRule="auto"/>
        <w:ind w:firstLine="0"/>
        <w:contextualSpacing/>
        <w:rPr>
          <w:rFonts w:ascii="Arial" w:eastAsia="Times New Roman" w:hAnsi="Arial" w:cs="Arial"/>
          <w:szCs w:val="28"/>
          <w:lang w:val="uk-UA" w:eastAsia="uk-UA"/>
        </w:rPr>
      </w:pPr>
    </w:p>
    <w:p w14:paraId="228072C2" w14:textId="6F132647" w:rsidR="003476F8" w:rsidRPr="00511005" w:rsidRDefault="007B2628" w:rsidP="007B2628">
      <w:pPr>
        <w:spacing w:line="264" w:lineRule="auto"/>
        <w:ind w:firstLine="0"/>
        <w:contextualSpacing/>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34BF3F8A" w14:textId="77777777" w:rsidR="003476F8" w:rsidRPr="00511005" w:rsidRDefault="003476F8" w:rsidP="003A292D">
      <w:pPr>
        <w:spacing w:line="264" w:lineRule="auto"/>
        <w:ind w:firstLine="0"/>
        <w:contextualSpacing/>
        <w:rPr>
          <w:rFonts w:ascii="Arial" w:eastAsia="Calibri" w:hAnsi="Arial" w:cs="Arial"/>
          <w:szCs w:val="28"/>
          <w:lang w:val="uk-UA"/>
        </w:rPr>
      </w:pPr>
      <w:r w:rsidRPr="00511005">
        <w:rPr>
          <w:rFonts w:ascii="Arial" w:eastAsia="Times New Roman" w:hAnsi="Arial" w:cs="Arial"/>
          <w:szCs w:val="28"/>
          <w:lang w:val="uk-UA" w:eastAsia="uk-UA"/>
        </w:rPr>
        <w:t>1.</w:t>
      </w:r>
      <w:r w:rsidRPr="00511005">
        <w:rPr>
          <w:rFonts w:ascii="Arial" w:eastAsia="Calibri" w:hAnsi="Arial" w:cs="Arial"/>
          <w:szCs w:val="28"/>
          <w:lang w:val="uk-UA"/>
        </w:rPr>
        <w:t>Сєрих О.В. Класифікація джерел корпоративного права. Наук. вісник міжн. гуманітарн. ун-ту. 2019. № 1. С. 96-99</w:t>
      </w:r>
    </w:p>
    <w:p w14:paraId="27F55A6A" w14:textId="77777777" w:rsidR="003476F8" w:rsidRPr="00511005" w:rsidRDefault="003476F8" w:rsidP="003A292D">
      <w:pPr>
        <w:spacing w:line="264" w:lineRule="auto"/>
        <w:ind w:firstLine="0"/>
        <w:contextualSpacing/>
        <w:rPr>
          <w:rFonts w:ascii="Arial" w:eastAsia="Calibri" w:hAnsi="Arial" w:cs="Arial"/>
          <w:szCs w:val="28"/>
          <w:lang w:val="uk-UA"/>
        </w:rPr>
      </w:pPr>
      <w:r w:rsidRPr="00511005">
        <w:rPr>
          <w:rFonts w:ascii="Arial" w:eastAsia="Times New Roman" w:hAnsi="Arial" w:cs="Arial"/>
          <w:szCs w:val="28"/>
          <w:lang w:val="uk-UA" w:eastAsia="uk-UA"/>
        </w:rPr>
        <w:t>2.</w:t>
      </w:r>
      <w:r w:rsidRPr="00511005">
        <w:rPr>
          <w:rFonts w:ascii="Arial" w:eastAsia="Calibri" w:hAnsi="Arial" w:cs="Arial"/>
          <w:szCs w:val="28"/>
          <w:lang w:val="uk-UA"/>
        </w:rPr>
        <w:t>Несинова С.В. Корпоративне право: навчальний посібник. Дніпро: Університет імені Альфреда Нобеля, 2018. 276 с.</w:t>
      </w:r>
    </w:p>
    <w:p w14:paraId="0A9A60B7" w14:textId="77777777" w:rsidR="003476F8" w:rsidRPr="00511005" w:rsidRDefault="003476F8"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 xml:space="preserve">3. Про акціонені товариства: Закон України від 27.07.2022 № 2465-IXURL: </w:t>
      </w:r>
      <w:hyperlink r:id="rId1639" w:anchor="Text" w:history="1">
        <w:r w:rsidRPr="00511005">
          <w:rPr>
            <w:rFonts w:ascii="Arial" w:eastAsia="Calibri" w:hAnsi="Arial" w:cs="Arial"/>
            <w:szCs w:val="28"/>
            <w:lang w:val="uk-UA"/>
          </w:rPr>
          <w:t>https://zakon.rada.gov.ua/laws/show/2465-20#Text</w:t>
        </w:r>
      </w:hyperlink>
    </w:p>
    <w:p w14:paraId="5F7CF58A" w14:textId="77777777" w:rsidR="003476F8" w:rsidRPr="00511005" w:rsidRDefault="003476F8" w:rsidP="003A292D">
      <w:pPr>
        <w:spacing w:line="264" w:lineRule="auto"/>
        <w:ind w:firstLine="0"/>
        <w:contextualSpacing/>
        <w:rPr>
          <w:rFonts w:ascii="Arial" w:eastAsia="Calibri" w:hAnsi="Arial" w:cs="Arial"/>
          <w:szCs w:val="28"/>
          <w:lang w:val="uk-UA"/>
        </w:rPr>
      </w:pPr>
    </w:p>
    <w:p w14:paraId="57E49DA7" w14:textId="42E3AF82" w:rsidR="003476F8"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3476F8" w:rsidRPr="00511005">
        <w:rPr>
          <w:rFonts w:ascii="Arial" w:eastAsia="Times New Roman" w:hAnsi="Arial" w:cs="Arial"/>
          <w:szCs w:val="28"/>
          <w:lang w:val="uk-UA" w:eastAsia="uk-UA"/>
        </w:rPr>
        <w:t>акціонерне товариство, ринкова економіка, корпоративне управління, правовий статусакції, фінансові ресурси, корпоративні права.</w:t>
      </w:r>
    </w:p>
    <w:p w14:paraId="7880E66F" w14:textId="711D5A02" w:rsidR="003476F8"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Key words: </w:t>
      </w:r>
      <w:r w:rsidR="003476F8" w:rsidRPr="00511005">
        <w:rPr>
          <w:rFonts w:ascii="Arial" w:eastAsia="Times New Roman" w:hAnsi="Arial" w:cs="Arial"/>
          <w:szCs w:val="28"/>
          <w:lang w:val="uk-UA" w:eastAsia="uk-UA"/>
        </w:rPr>
        <w:t>joint-stock company,market economy,corporate governance ,legal status, shares, financial resources, corporate rights.</w:t>
      </w:r>
    </w:p>
    <w:p w14:paraId="04151734" w14:textId="4F56E26B" w:rsidR="003476F8" w:rsidRPr="00511005" w:rsidRDefault="003476F8" w:rsidP="003A292D">
      <w:pPr>
        <w:spacing w:line="264" w:lineRule="auto"/>
        <w:ind w:firstLine="0"/>
        <w:rPr>
          <w:rFonts w:ascii="Arial" w:eastAsia="Times New Roman" w:hAnsi="Arial" w:cs="Arial"/>
          <w:i/>
          <w:szCs w:val="28"/>
          <w:lang w:val="uk-UA" w:eastAsia="uk-UA"/>
        </w:rPr>
      </w:pPr>
      <w:r w:rsidRPr="005E26E0">
        <w:rPr>
          <w:rFonts w:ascii="Arial" w:eastAsia="Times New Roman" w:hAnsi="Arial" w:cs="Arial"/>
          <w:b/>
          <w:bCs/>
          <w:i/>
          <w:szCs w:val="28"/>
          <w:lang w:val="uk-UA" w:eastAsia="uk-UA"/>
        </w:rPr>
        <w:t>Науковий керівник:</w:t>
      </w:r>
      <w:r w:rsidR="005E26E0">
        <w:rPr>
          <w:rFonts w:ascii="Arial" w:eastAsia="Times New Roman" w:hAnsi="Arial" w:cs="Arial"/>
          <w:i/>
          <w:szCs w:val="28"/>
          <w:lang w:val="uk-UA" w:eastAsia="uk-UA"/>
        </w:rPr>
        <w:t xml:space="preserve"> </w:t>
      </w:r>
      <w:r w:rsidRPr="00511005">
        <w:rPr>
          <w:rFonts w:ascii="Arial" w:eastAsia="Times New Roman" w:hAnsi="Arial" w:cs="Arial"/>
          <w:i/>
          <w:szCs w:val="28"/>
          <w:lang w:val="uk-UA" w:eastAsia="uk-UA"/>
        </w:rPr>
        <w:t>к.ю.н., доцент Згама А.О.</w:t>
      </w:r>
    </w:p>
    <w:p w14:paraId="3827E881" w14:textId="77777777" w:rsidR="003476F8" w:rsidRPr="00511005" w:rsidRDefault="003476F8" w:rsidP="003A292D">
      <w:pPr>
        <w:spacing w:line="264" w:lineRule="auto"/>
        <w:ind w:firstLine="0"/>
        <w:contextualSpacing/>
        <w:rPr>
          <w:rFonts w:ascii="Arial" w:eastAsia="Calibri" w:hAnsi="Arial" w:cs="Arial"/>
          <w:szCs w:val="28"/>
          <w:lang w:val="uk-UA"/>
        </w:rPr>
      </w:pPr>
    </w:p>
    <w:p w14:paraId="01304A1F" w14:textId="77777777" w:rsidR="005E26E0" w:rsidRDefault="005E26E0" w:rsidP="003A292D">
      <w:pPr>
        <w:spacing w:line="264" w:lineRule="auto"/>
        <w:ind w:firstLine="0"/>
        <w:jc w:val="center"/>
        <w:rPr>
          <w:rFonts w:ascii="Arial" w:hAnsi="Arial" w:cs="Arial"/>
          <w:b/>
          <w:i/>
          <w:szCs w:val="28"/>
          <w:lang w:val="uk-UA"/>
        </w:rPr>
      </w:pPr>
    </w:p>
    <w:p w14:paraId="6E0F62B2" w14:textId="4D0CDABC" w:rsidR="003476F8" w:rsidRPr="00511005" w:rsidRDefault="003476F8" w:rsidP="003A292D">
      <w:pPr>
        <w:spacing w:line="264" w:lineRule="auto"/>
        <w:ind w:firstLine="0"/>
        <w:jc w:val="center"/>
        <w:rPr>
          <w:rFonts w:ascii="Arial" w:hAnsi="Arial" w:cs="Arial"/>
          <w:b/>
          <w:i/>
          <w:szCs w:val="28"/>
          <w:lang w:val="uk-UA"/>
        </w:rPr>
      </w:pPr>
      <w:r w:rsidRPr="00511005">
        <w:rPr>
          <w:rFonts w:ascii="Arial" w:hAnsi="Arial" w:cs="Arial"/>
          <w:b/>
          <w:i/>
          <w:szCs w:val="28"/>
          <w:lang w:val="uk-UA"/>
        </w:rPr>
        <w:t>Янковська Марія – Антуанетта Віталіївна</w:t>
      </w:r>
    </w:p>
    <w:p w14:paraId="4E713B48" w14:textId="68FC13E4" w:rsidR="00C66506" w:rsidRPr="00511005" w:rsidRDefault="00C66506" w:rsidP="003A292D">
      <w:pPr>
        <w:spacing w:line="264" w:lineRule="auto"/>
        <w:ind w:firstLine="0"/>
        <w:jc w:val="center"/>
        <w:rPr>
          <w:rFonts w:ascii="Arial" w:hAnsi="Arial" w:cs="Arial"/>
          <w:szCs w:val="28"/>
          <w:lang w:val="uk-UA"/>
        </w:rPr>
      </w:pPr>
      <w:r w:rsidRPr="00511005">
        <w:rPr>
          <w:rFonts w:ascii="Arial" w:hAnsi="Arial" w:cs="Arial"/>
          <w:szCs w:val="28"/>
          <w:lang w:val="uk-UA"/>
        </w:rPr>
        <w:t xml:space="preserve">студентка 3-го курсу факультету адвокатури та антикорупційної діяльності </w:t>
      </w:r>
    </w:p>
    <w:p w14:paraId="5F4A2B97" w14:textId="15B19504" w:rsidR="003476F8" w:rsidRPr="00511005" w:rsidRDefault="00C66506" w:rsidP="003A292D">
      <w:pPr>
        <w:spacing w:line="264" w:lineRule="auto"/>
        <w:ind w:firstLine="0"/>
        <w:jc w:val="center"/>
        <w:rPr>
          <w:rFonts w:ascii="Arial" w:hAnsi="Arial" w:cs="Arial"/>
          <w:szCs w:val="28"/>
          <w:lang w:val="uk-UA"/>
        </w:rPr>
      </w:pPr>
      <w:r w:rsidRPr="00511005">
        <w:rPr>
          <w:rFonts w:ascii="Arial" w:hAnsi="Arial" w:cs="Arial"/>
          <w:szCs w:val="28"/>
          <w:lang w:val="uk-UA"/>
        </w:rPr>
        <w:t>Національного університету «Одеська юридична академія»</w:t>
      </w:r>
    </w:p>
    <w:p w14:paraId="66FE66D9" w14:textId="77777777" w:rsidR="003476F8" w:rsidRPr="00511005" w:rsidRDefault="003476F8" w:rsidP="003A292D">
      <w:pPr>
        <w:spacing w:line="264" w:lineRule="auto"/>
        <w:ind w:firstLine="0"/>
        <w:jc w:val="center"/>
        <w:rPr>
          <w:rFonts w:ascii="Arial" w:hAnsi="Arial" w:cs="Arial"/>
          <w:i/>
          <w:szCs w:val="28"/>
          <w:lang w:val="uk-UA"/>
        </w:rPr>
      </w:pPr>
    </w:p>
    <w:p w14:paraId="48BC6E05" w14:textId="77777777" w:rsidR="003476F8" w:rsidRPr="00511005" w:rsidRDefault="003476F8" w:rsidP="003A292D">
      <w:pPr>
        <w:spacing w:line="264" w:lineRule="auto"/>
        <w:ind w:firstLine="0"/>
        <w:jc w:val="center"/>
        <w:rPr>
          <w:rFonts w:ascii="Arial" w:hAnsi="Arial" w:cs="Arial"/>
          <w:b/>
          <w:szCs w:val="28"/>
          <w:lang w:val="uk-UA"/>
        </w:rPr>
      </w:pPr>
      <w:r w:rsidRPr="00511005">
        <w:rPr>
          <w:rFonts w:ascii="Arial" w:hAnsi="Arial" w:cs="Arial"/>
          <w:b/>
          <w:szCs w:val="28"/>
          <w:lang w:val="uk-UA"/>
        </w:rPr>
        <w:t>РОЛЬ ШТУЧНОГО ІНТЕЛЕКТУ У ТРАНСФОРМАЦІЇ ГОСПОДАРСЬКОЇ ДІЯЛЬНОСТІ</w:t>
      </w:r>
    </w:p>
    <w:p w14:paraId="7FD591D3"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Стрімкий розвиток штучного інтелекту суттєво змінює сучасну господарську діяльність, та стає невід’ємною складовою бізнесу. Інноваційні підходи до автоматизації виробництва, обліку і навіть прийняття стратегічно важливих рішень - все це виводить підприємства на абсолютно новий рівень. Водночас, швидка інтеграція таких технологій породжує низку правових викликів, зокрема щодо відповідальності за рішення, прийняті алгоритмами, захисту персональних даних, регулювання автономних систем і дотримання етичних стандартів. </w:t>
      </w:r>
    </w:p>
    <w:p w14:paraId="3F484DF4"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За науковими визначеннями, штучний інтелект - особлива технологічна система, яка поєднує у собі найсильніші сторони людського інтелекту та штучно створеного, що дозоляє їй отримувати та накопичувати інформацію, здійснювати аналіз даних, робити певні висновки і навіть приймати рішення [1, с. 50]. Така багатокомпонентна співпраця дозволяє не лише отримувати найбільш прогресивні та ефективні результати, але й мати значні переваги над конкурентами.</w:t>
      </w:r>
    </w:p>
    <w:p w14:paraId="53E35EAF" w14:textId="77777777" w:rsidR="003476F8" w:rsidRPr="00511005" w:rsidRDefault="003476F8" w:rsidP="003A292D">
      <w:pPr>
        <w:spacing w:line="264" w:lineRule="auto"/>
        <w:ind w:firstLine="0"/>
        <w:rPr>
          <w:rFonts w:ascii="Arial" w:hAnsi="Arial" w:cs="Arial"/>
          <w:szCs w:val="28"/>
          <w:lang w:val="uk-UA"/>
        </w:rPr>
      </w:pPr>
      <w:r w:rsidRPr="00511005">
        <w:rPr>
          <w:rFonts w:ascii="Arial" w:hAnsi="Arial" w:cs="Arial"/>
          <w:szCs w:val="28"/>
          <w:lang w:val="uk-UA"/>
        </w:rPr>
        <w:t xml:space="preserve">Як влучно зазначають Гойчук В.І. та Любомудрова Н.П, штучний інтелект - справді сприяє стрімкому та стабільному економічному росту підприємств[2, с. 71]. Застосування цифрових технологій в управлінні персоналом, аналіз купівельної активності і навіть індивідуалізована взаємодія з користувачами дозволяють економити час та зменшувати витрати. В умовах жорсткої конкуренції, люди намагаються мінімізувати свою участь у рутинних завданнях, як от ведення документації наприклад, автоматизувати управління виробничими процесами та ін. і в свою чергу направити усі свої ресурси на створення унікальних «живих» ідей, які машина зробити поки що не здатна. </w:t>
      </w:r>
    </w:p>
    <w:p w14:paraId="54B43FA2" w14:textId="77777777" w:rsidR="003476F8" w:rsidRPr="00511005" w:rsidRDefault="003476F8" w:rsidP="003A292D">
      <w:pPr>
        <w:spacing w:line="264" w:lineRule="auto"/>
        <w:ind w:firstLine="0"/>
        <w:rPr>
          <w:rFonts w:ascii="Arial" w:hAnsi="Arial" w:cs="Arial"/>
          <w:szCs w:val="28"/>
          <w:lang w:val="uk-UA"/>
        </w:rPr>
      </w:pPr>
      <w:r w:rsidRPr="00511005">
        <w:rPr>
          <w:rFonts w:ascii="Arial" w:hAnsi="Arial" w:cs="Arial"/>
          <w:szCs w:val="28"/>
          <w:lang w:val="uk-UA"/>
        </w:rPr>
        <w:lastRenderedPageBreak/>
        <w:t>Серед основних аспектів застосування ШІ у промисловості можемо виділити:</w:t>
      </w:r>
    </w:p>
    <w:p w14:paraId="21F9FE73"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hAnsi="Arial" w:cs="Arial"/>
          <w:i/>
          <w:szCs w:val="28"/>
          <w:lang w:val="uk-UA"/>
        </w:rPr>
        <w:t xml:space="preserve">Автоматизація рутинних задач. </w:t>
      </w:r>
      <w:r w:rsidRPr="00511005">
        <w:rPr>
          <w:rFonts w:ascii="Arial" w:hAnsi="Arial" w:cs="Arial"/>
          <w:szCs w:val="28"/>
          <w:lang w:val="uk-UA"/>
        </w:rPr>
        <w:t>Найочевидніше та найефективніше, на наш погляд застосування машин. Обсяг роботи, що може виконати система, порівнюючи з людиною, набагато більший, адже о</w:t>
      </w:r>
      <w:r w:rsidRPr="00511005">
        <w:rPr>
          <w:rFonts w:ascii="Arial" w:eastAsia="Times New Roman" w:hAnsi="Arial" w:cs="Arial"/>
          <w:szCs w:val="28"/>
          <w:lang w:val="uk-UA" w:eastAsia="ru-RU"/>
        </w:rPr>
        <w:t>днією з ключових переваг ШІ є можливість аналізу великих обсягів даних у короткі терміни. Це сприяє не лише пришвидшенню прийняття рішень, а й мінімізації ризиків, пов'язаних із людськими помилками. Сюди ж можемо віднести управління бухгалтерією, контроль витрат. Таким чином, працівники зможуть зосередитись на більш важливих бізнес - аспектах. Не можемо не згадати у цьому контексті роботу з кадрами. Сучасні алгоритми дозволяють автоматизувати відбір кандидатів, аналізуючи резюме та оцінюючи відповідність навичок заявленим вимогам. Спеціально розроблені чат-боти можуть навіть проводити інтерв’ю та формувати списки найбільш перспективних кандидатів, що не лише значно спрощує процедуру для відділу по персоналу, а й виключає так званий «суб’єктивний фактор», дозволяючи влаштуватись на роботу дійсно гідному кандидату.</w:t>
      </w:r>
    </w:p>
    <w:p w14:paraId="0EA33807"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i/>
          <w:szCs w:val="28"/>
          <w:lang w:val="uk-UA" w:eastAsia="ru-RU"/>
        </w:rPr>
        <w:t>Персоналізація обслуговування.</w:t>
      </w:r>
      <w:r w:rsidRPr="00511005">
        <w:rPr>
          <w:rFonts w:ascii="Arial" w:eastAsia="Times New Roman" w:hAnsi="Arial" w:cs="Arial"/>
          <w:szCs w:val="28"/>
          <w:lang w:val="uk-UA" w:eastAsia="ru-RU"/>
        </w:rPr>
        <w:t xml:space="preserve"> Одним із найпоширеніших застосувань ШІ у персоналізації є аналіз активності клієнтів. Наприклад, платформи електронної комерції використовують алгоритми, що відстежують історію покупок та аналізуючи активність користувача, визначають його уподобання, щоб рекомендувати найбільш актуальні товари чи послуги. Також інструменти ШІ слугують як віртуальні асистенти, що значно підвищує рівень сервісу, а також сприяє зростанню продажів. Проте, слід зазначити, що виникає багато питань щодо захисту персональних даних і не тільки. Тому використання новітніх технологій у сфері обслуговування, потребує детальної правової регламентації та роз’яснень.</w:t>
      </w:r>
    </w:p>
    <w:p w14:paraId="26A92B80"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i/>
          <w:szCs w:val="28"/>
          <w:lang w:val="uk-UA" w:eastAsia="ru-RU"/>
        </w:rPr>
        <w:t>Удосконалення PR – кампаній та покращення маркетингових стратегій.</w:t>
      </w:r>
      <w:r w:rsidRPr="00511005">
        <w:rPr>
          <w:rFonts w:ascii="Arial" w:eastAsia="Times New Roman" w:hAnsi="Arial" w:cs="Arial"/>
          <w:szCs w:val="28"/>
          <w:lang w:val="uk-UA" w:eastAsia="ru-RU"/>
        </w:rPr>
        <w:t xml:space="preserve"> Безумовно, роль ШІ у створенні або покращенні уже існуючих маркетингових стратегій — колосальна. На основі аналітичних процедур, створення статистики та узагальнень, такі технології можуть найбільш ефективно визначити, наприклад цільову аудиторію, таким чином піднімаючи ефективність реклами. Для підприємств, це чудова можливість проаналізувати ринок, реакції споживачів аби скерувати свої подальші дії. З іншого боку, вважаємо необхідним зазначити, що надмірне використання таких систем відбирає можливість реалізувати та проявити свою креативність у працівників. Мається на увазі, саме той «живий» фактор, про який зазначали раніше[3, с.70].</w:t>
      </w:r>
    </w:p>
    <w:p w14:paraId="42F6A7DD" w14:textId="18738B3F"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На основі вищезазначеного, можемо стверджувати, що ШІ - це справді успішне майбутнє для господарської діяльності, проте разом із тим, впровадження таких систем викриває значні недоліки в існуючому національному правовому регулюванні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та як наслідок, створює цілий ряд </w:t>
      </w:r>
      <w:r w:rsidRPr="00511005">
        <w:rPr>
          <w:rFonts w:ascii="Arial" w:eastAsia="Times New Roman" w:hAnsi="Arial" w:cs="Arial"/>
          <w:szCs w:val="28"/>
          <w:lang w:val="uk-UA" w:eastAsia="ru-RU"/>
        </w:rPr>
        <w:lastRenderedPageBreak/>
        <w:t xml:space="preserve">викликів для їх активного використання. Передусім важливо відзначити, що спеціалізований нормативно - правовий акт, який регулював би використання ШІ в Україні -відсутній. Натомість є лише декілька, які лише частково торкаються окремих аспектів. </w:t>
      </w:r>
    </w:p>
    <w:p w14:paraId="0B92A560"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Разом з тим, не можемо не відмітити надважливий документ, що був розроблений Інститутом проблем штучного інтелекту МОН України і НАН України, а саме Стратегію розвитку штучного інтелекту в Україні на 2023 - 2030 роки (далі - Стратегія). Власне однією з основних пунктів її мети, є створення передумов для післявоєнного відновлення економіки держави на основі технологій ШІ [</w:t>
      </w:r>
      <w:r w:rsidRPr="00511005">
        <w:rPr>
          <w:rFonts w:ascii="Arial" w:hAnsi="Arial" w:cs="Arial"/>
          <w:szCs w:val="28"/>
          <w:lang w:val="uk-UA"/>
        </w:rPr>
        <w:t>4</w:t>
      </w:r>
      <w:r w:rsidRPr="00511005">
        <w:rPr>
          <w:rFonts w:ascii="Arial" w:eastAsia="Times New Roman" w:hAnsi="Arial" w:cs="Arial"/>
          <w:szCs w:val="28"/>
          <w:lang w:val="uk-UA" w:eastAsia="ru-RU"/>
        </w:rPr>
        <w:t xml:space="preserve">]. Проаналізувавши окреслені завдання Стратегії, можемо стверджувати, що суб’єкти господарювання, отримають у майбутньому потужний інструмент для укріплення, підтримки та розбудови бізнесу, у вигляді безпечних та дієвих технологій ШІ. При цьому, вони матимуть чіткі правові межі та сприятливі умови для найбільш ефективного впровадження у виробництво технологій штучного інтелекту, що дозволить займати провідні позиції не лише на національному, а й на міжнародному ринку. </w:t>
      </w:r>
    </w:p>
    <w:p w14:paraId="13DF106C" w14:textId="77777777" w:rsidR="003476F8" w:rsidRPr="00511005" w:rsidRDefault="003476F8" w:rsidP="003A292D">
      <w:pPr>
        <w:spacing w:line="264" w:lineRule="auto"/>
        <w:ind w:firstLine="0"/>
        <w:rPr>
          <w:rFonts w:ascii="Arial" w:hAnsi="Arial" w:cs="Arial"/>
          <w:szCs w:val="28"/>
          <w:lang w:val="uk-UA"/>
        </w:rPr>
      </w:pPr>
      <w:r w:rsidRPr="00511005">
        <w:rPr>
          <w:rFonts w:ascii="Arial" w:eastAsia="Times New Roman" w:hAnsi="Arial" w:cs="Arial"/>
          <w:szCs w:val="28"/>
          <w:lang w:val="uk-UA" w:eastAsia="ru-RU"/>
        </w:rPr>
        <w:t>Підсумовуючи вищевикладене, зазначимо, що ш</w:t>
      </w:r>
      <w:r w:rsidRPr="00511005">
        <w:rPr>
          <w:rFonts w:ascii="Arial" w:hAnsi="Arial" w:cs="Arial"/>
          <w:szCs w:val="28"/>
          <w:lang w:val="uk-UA"/>
        </w:rPr>
        <w:t>тучний інтелект дійсно відіграє ключову роль у трансформації господарської діяльності. Це виражається як у сприянні автоматизації процесів, персоналізації обслуговування, так і у створенні необхідності розвивати цю сферу та удосконалювати правове регулювання. Закордонний досвід є дійсно неоціненним для України, тому наша держава вже робить значні кроки, аби максимально наблизитись до світових стандартів використання ШІ навіть у складних соціальних та економічних умовах. Підтвердження цьому слугує Стратегія використання ШІ на 2023 - 2030, що свідчить про конкретно визначений вектор розвитку у сфері технологій штучного інтелекту на найближче десятиліття.</w:t>
      </w:r>
    </w:p>
    <w:p w14:paraId="6F85A9B7" w14:textId="77777777" w:rsidR="003476F8" w:rsidRPr="00511005" w:rsidRDefault="003476F8" w:rsidP="003A292D">
      <w:pPr>
        <w:spacing w:line="264" w:lineRule="auto"/>
        <w:ind w:firstLine="0"/>
        <w:rPr>
          <w:rFonts w:ascii="Arial" w:hAnsi="Arial" w:cs="Arial"/>
          <w:szCs w:val="28"/>
          <w:lang w:val="uk-UA"/>
        </w:rPr>
      </w:pPr>
    </w:p>
    <w:p w14:paraId="75CCD14E" w14:textId="24719F15" w:rsidR="003476F8" w:rsidRPr="00511005" w:rsidRDefault="007B2628" w:rsidP="007B2628">
      <w:pPr>
        <w:spacing w:line="264" w:lineRule="auto"/>
        <w:ind w:firstLine="0"/>
        <w:jc w:val="center"/>
        <w:rPr>
          <w:rFonts w:ascii="Arial" w:hAnsi="Arial" w:cs="Arial"/>
          <w:b/>
          <w:szCs w:val="28"/>
          <w:lang w:val="uk-UA"/>
        </w:rPr>
      </w:pPr>
      <w:r w:rsidRPr="00511005">
        <w:rPr>
          <w:rFonts w:ascii="Arial" w:hAnsi="Arial" w:cs="Arial"/>
          <w:b/>
          <w:szCs w:val="28"/>
          <w:lang w:val="uk-UA"/>
        </w:rPr>
        <w:t>Список використаних джерел</w:t>
      </w:r>
    </w:p>
    <w:p w14:paraId="4D86990B" w14:textId="77777777" w:rsidR="003476F8" w:rsidRPr="00511005" w:rsidRDefault="003476F8" w:rsidP="003F6A5D">
      <w:pPr>
        <w:numPr>
          <w:ilvl w:val="0"/>
          <w:numId w:val="426"/>
        </w:numPr>
        <w:spacing w:line="264" w:lineRule="auto"/>
        <w:ind w:left="142" w:firstLine="567"/>
        <w:contextualSpacing/>
        <w:jc w:val="left"/>
        <w:rPr>
          <w:rFonts w:ascii="Arial" w:hAnsi="Arial" w:cs="Arial"/>
          <w:szCs w:val="28"/>
          <w:lang w:val="uk-UA"/>
        </w:rPr>
      </w:pPr>
      <w:r w:rsidRPr="00511005">
        <w:rPr>
          <w:rFonts w:ascii="Arial" w:hAnsi="Arial" w:cs="Arial"/>
          <w:szCs w:val="28"/>
          <w:lang w:val="uk-UA"/>
        </w:rPr>
        <w:t xml:space="preserve">Єршова О.Л., Бажан Л.І. Штучний інтелект – технологічна основа цифрової трансформації економіки. </w:t>
      </w:r>
      <w:r w:rsidRPr="00511005">
        <w:rPr>
          <w:rFonts w:ascii="Arial" w:hAnsi="Arial" w:cs="Arial"/>
          <w:i/>
          <w:szCs w:val="28"/>
          <w:lang w:val="uk-UA"/>
        </w:rPr>
        <w:t>Статистика України.</w:t>
      </w:r>
      <w:r w:rsidRPr="00511005">
        <w:rPr>
          <w:rFonts w:ascii="Arial" w:hAnsi="Arial" w:cs="Arial"/>
          <w:szCs w:val="28"/>
          <w:lang w:val="uk-UA"/>
        </w:rPr>
        <w:t xml:space="preserve"> 2021. № 3. С. 47–55</w:t>
      </w:r>
    </w:p>
    <w:p w14:paraId="3FAA10A4" w14:textId="77777777" w:rsidR="003476F8" w:rsidRPr="00511005" w:rsidRDefault="003476F8" w:rsidP="003F6A5D">
      <w:pPr>
        <w:numPr>
          <w:ilvl w:val="0"/>
          <w:numId w:val="426"/>
        </w:numPr>
        <w:spacing w:line="264" w:lineRule="auto"/>
        <w:ind w:left="142" w:firstLine="567"/>
        <w:contextualSpacing/>
        <w:jc w:val="left"/>
        <w:rPr>
          <w:rFonts w:ascii="Arial" w:hAnsi="Arial" w:cs="Arial"/>
          <w:szCs w:val="28"/>
          <w:lang w:val="uk-UA"/>
        </w:rPr>
      </w:pPr>
      <w:r w:rsidRPr="00511005">
        <w:rPr>
          <w:rFonts w:ascii="Arial" w:hAnsi="Arial" w:cs="Arial"/>
          <w:szCs w:val="28"/>
          <w:lang w:val="uk-UA"/>
        </w:rPr>
        <w:t xml:space="preserve">Гойчук В.І., Любомудрова Н.П. Застосування штучного інтелекту для розвитку людського капіталу організації. </w:t>
      </w:r>
      <w:r w:rsidRPr="00511005">
        <w:rPr>
          <w:rFonts w:ascii="Arial" w:hAnsi="Arial" w:cs="Arial"/>
          <w:i/>
          <w:iCs/>
          <w:szCs w:val="28"/>
          <w:lang w:val="uk-UA"/>
        </w:rPr>
        <w:t xml:space="preserve">Цифрова економіка та економічна безпека. </w:t>
      </w:r>
      <w:r w:rsidRPr="00511005">
        <w:rPr>
          <w:rFonts w:ascii="Arial" w:hAnsi="Arial" w:cs="Arial"/>
          <w:szCs w:val="28"/>
          <w:lang w:val="uk-UA"/>
        </w:rPr>
        <w:t>2023. № 8 (08). С. 67–73</w:t>
      </w:r>
    </w:p>
    <w:p w14:paraId="7A4D2EA7" w14:textId="77777777" w:rsidR="003476F8" w:rsidRPr="00511005" w:rsidRDefault="003476F8" w:rsidP="003A292D">
      <w:pPr>
        <w:spacing w:line="264" w:lineRule="auto"/>
        <w:ind w:firstLine="0"/>
        <w:rPr>
          <w:rFonts w:ascii="Arial" w:hAnsi="Arial" w:cs="Arial"/>
          <w:szCs w:val="28"/>
          <w:lang w:val="uk-UA"/>
        </w:rPr>
      </w:pPr>
      <w:r w:rsidRPr="00511005">
        <w:rPr>
          <w:rFonts w:ascii="Arial" w:eastAsia="Times New Roman" w:hAnsi="Arial" w:cs="Arial"/>
          <w:szCs w:val="28"/>
          <w:lang w:val="uk-UA" w:eastAsia="ru-RU"/>
        </w:rPr>
        <w:t xml:space="preserve">3.Півнюк А.В. Використання штучного інтелекту в сучасній діяльності підприємств. </w:t>
      </w:r>
      <w:r w:rsidRPr="00511005">
        <w:rPr>
          <w:rFonts w:ascii="Arial" w:hAnsi="Arial" w:cs="Arial"/>
          <w:i/>
          <w:szCs w:val="28"/>
          <w:lang w:val="uk-UA"/>
        </w:rPr>
        <w:t>Вчені записки ТНУ імені В.І. Вернадського</w:t>
      </w:r>
      <w:r w:rsidRPr="00511005">
        <w:rPr>
          <w:rFonts w:ascii="Arial" w:hAnsi="Arial" w:cs="Arial"/>
          <w:szCs w:val="28"/>
          <w:lang w:val="uk-UA"/>
        </w:rPr>
        <w:t>. Серія: Економіка і управління.2024. Том 35 (74). № 4. С. 69-73.</w:t>
      </w:r>
    </w:p>
    <w:p w14:paraId="7E03BD04" w14:textId="7119F55A" w:rsidR="003476F8" w:rsidRPr="00511005" w:rsidRDefault="003476F8" w:rsidP="003A292D">
      <w:pPr>
        <w:spacing w:line="264" w:lineRule="auto"/>
        <w:ind w:firstLine="0"/>
        <w:rPr>
          <w:rFonts w:ascii="Arial" w:hAnsi="Arial" w:cs="Arial"/>
          <w:szCs w:val="28"/>
          <w:lang w:val="uk-UA"/>
        </w:rPr>
      </w:pPr>
      <w:r w:rsidRPr="00511005">
        <w:rPr>
          <w:rFonts w:ascii="Arial" w:hAnsi="Arial" w:cs="Arial"/>
          <w:szCs w:val="28"/>
          <w:lang w:val="uk-UA"/>
        </w:rPr>
        <w:t xml:space="preserve">4.Шевченко А.І., Барановський С.В., Білокобильський О.В. та ін. Стратегія розвитку штучного інтелекту в Україні: монографія / за заг. ред. А.І. </w:t>
      </w:r>
      <w:r w:rsidRPr="00511005">
        <w:rPr>
          <w:rFonts w:ascii="Arial" w:hAnsi="Arial" w:cs="Arial"/>
          <w:szCs w:val="28"/>
          <w:lang w:val="uk-UA"/>
        </w:rPr>
        <w:lastRenderedPageBreak/>
        <w:t>Шевченка. Київ : ІПШІ, 2023.</w:t>
      </w:r>
      <w:r w:rsidR="007B2628" w:rsidRPr="00511005">
        <w:rPr>
          <w:rFonts w:ascii="Arial" w:hAnsi="Arial" w:cs="Arial"/>
          <w:szCs w:val="28"/>
          <w:lang w:val="uk-UA"/>
        </w:rPr>
        <w:t xml:space="preserve"> </w:t>
      </w:r>
      <w:r w:rsidRPr="00511005">
        <w:rPr>
          <w:rFonts w:ascii="Arial" w:hAnsi="Arial" w:cs="Arial"/>
          <w:szCs w:val="28"/>
          <w:lang w:val="uk-UA"/>
        </w:rPr>
        <w:t>305 c. DOI: https://doi.org/10.15407/development_</w:t>
      </w:r>
      <w:r w:rsidRPr="00511005">
        <w:rPr>
          <w:rFonts w:ascii="Arial" w:hAnsi="Arial" w:cs="Arial"/>
          <w:szCs w:val="28"/>
          <w:lang w:val="uk-UA"/>
        </w:rPr>
        <w:br/>
        <w:t>strategy_2023 (дата звернення: 29.03.2025)</w:t>
      </w:r>
    </w:p>
    <w:p w14:paraId="7077487F" w14:textId="77777777" w:rsidR="003476F8" w:rsidRPr="00511005" w:rsidRDefault="003476F8" w:rsidP="003A292D">
      <w:pPr>
        <w:spacing w:line="264" w:lineRule="auto"/>
        <w:ind w:firstLine="0"/>
        <w:rPr>
          <w:rFonts w:ascii="Arial" w:hAnsi="Arial" w:cs="Arial"/>
          <w:b/>
          <w:szCs w:val="28"/>
          <w:lang w:val="uk-UA"/>
        </w:rPr>
      </w:pPr>
    </w:p>
    <w:p w14:paraId="2B252EB1" w14:textId="6F8EEF6A" w:rsidR="003476F8" w:rsidRPr="00511005" w:rsidRDefault="007B2628" w:rsidP="003A292D">
      <w:pPr>
        <w:spacing w:line="264" w:lineRule="auto"/>
        <w:ind w:firstLine="0"/>
        <w:rPr>
          <w:rFonts w:ascii="Arial" w:hAnsi="Arial" w:cs="Arial"/>
          <w:szCs w:val="28"/>
          <w:lang w:val="uk-UA"/>
        </w:rPr>
      </w:pPr>
      <w:r w:rsidRPr="00511005">
        <w:rPr>
          <w:rFonts w:ascii="Arial" w:hAnsi="Arial" w:cs="Arial"/>
          <w:b/>
          <w:i/>
          <w:szCs w:val="28"/>
          <w:lang w:val="uk-UA"/>
        </w:rPr>
        <w:t xml:space="preserve">Ключові слова: </w:t>
      </w:r>
      <w:r w:rsidR="003476F8" w:rsidRPr="00511005">
        <w:rPr>
          <w:rFonts w:ascii="Arial" w:hAnsi="Arial" w:cs="Arial"/>
          <w:szCs w:val="28"/>
          <w:lang w:val="uk-UA"/>
        </w:rPr>
        <w:t>господарська діяльність, штучний інтелект, автоматизація, персоналізація, стратегія, правове регулювання.</w:t>
      </w:r>
    </w:p>
    <w:p w14:paraId="4C7D0E32" w14:textId="081E758E" w:rsidR="003476F8" w:rsidRPr="00511005" w:rsidRDefault="007B2628" w:rsidP="003A292D">
      <w:pPr>
        <w:spacing w:line="264" w:lineRule="auto"/>
        <w:ind w:firstLine="0"/>
        <w:rPr>
          <w:rFonts w:ascii="Arial" w:hAnsi="Arial" w:cs="Arial"/>
          <w:szCs w:val="28"/>
          <w:lang w:val="uk-UA"/>
        </w:rPr>
      </w:pPr>
      <w:r w:rsidRPr="00511005">
        <w:rPr>
          <w:rFonts w:ascii="Arial" w:hAnsi="Arial" w:cs="Arial"/>
          <w:b/>
          <w:i/>
          <w:szCs w:val="28"/>
          <w:lang w:val="uk-UA"/>
        </w:rPr>
        <w:t xml:space="preserve">Key words: </w:t>
      </w:r>
      <w:r w:rsidR="003476F8" w:rsidRPr="00511005">
        <w:rPr>
          <w:rFonts w:ascii="Arial" w:hAnsi="Arial" w:cs="Arial"/>
          <w:szCs w:val="28"/>
          <w:lang w:val="uk-UA"/>
        </w:rPr>
        <w:t>business activity,artificial intelligence, automation, personalization, development strategy, legal regulation.</w:t>
      </w:r>
    </w:p>
    <w:p w14:paraId="74968275" w14:textId="25EEE2E1" w:rsidR="003476F8" w:rsidRPr="00511005" w:rsidRDefault="007B2628" w:rsidP="003A292D">
      <w:pPr>
        <w:spacing w:line="264" w:lineRule="auto"/>
        <w:ind w:firstLine="0"/>
        <w:jc w:val="left"/>
        <w:rPr>
          <w:rFonts w:ascii="Arial" w:hAnsi="Arial" w:cs="Arial"/>
          <w:i/>
          <w:szCs w:val="28"/>
          <w:lang w:val="uk-UA"/>
        </w:rPr>
      </w:pPr>
      <w:r w:rsidRPr="00511005">
        <w:rPr>
          <w:rFonts w:ascii="Arial" w:hAnsi="Arial" w:cs="Arial"/>
          <w:b/>
          <w:i/>
          <w:szCs w:val="28"/>
          <w:lang w:val="uk-UA"/>
        </w:rPr>
        <w:t xml:space="preserve">Науковий керівник: </w:t>
      </w:r>
      <w:r w:rsidR="003476F8" w:rsidRPr="00511005">
        <w:rPr>
          <w:rFonts w:ascii="Arial" w:hAnsi="Arial" w:cs="Arial"/>
          <w:i/>
          <w:szCs w:val="28"/>
          <w:lang w:val="uk-UA"/>
        </w:rPr>
        <w:t>к.ю.н., доцент Згама А. О.</w:t>
      </w:r>
    </w:p>
    <w:p w14:paraId="4D17AABB" w14:textId="77777777" w:rsidR="003476F8" w:rsidRPr="00511005" w:rsidRDefault="003476F8" w:rsidP="003A292D">
      <w:pPr>
        <w:spacing w:line="264" w:lineRule="auto"/>
        <w:ind w:firstLine="0"/>
        <w:rPr>
          <w:rFonts w:ascii="Arial" w:eastAsia="Times New Roman" w:hAnsi="Arial" w:cs="Arial"/>
          <w:i/>
          <w:iCs/>
          <w:szCs w:val="28"/>
          <w:lang w:val="uk-UA"/>
        </w:rPr>
      </w:pPr>
    </w:p>
    <w:p w14:paraId="2B5D21B6" w14:textId="77777777" w:rsidR="003476F8" w:rsidRPr="00511005" w:rsidRDefault="003476F8" w:rsidP="003A292D">
      <w:pPr>
        <w:keepNext/>
        <w:spacing w:line="264" w:lineRule="auto"/>
        <w:ind w:firstLine="0"/>
        <w:jc w:val="left"/>
        <w:rPr>
          <w:rFonts w:ascii="Arial" w:hAnsi="Arial" w:cs="Arial"/>
          <w:szCs w:val="28"/>
          <w:lang w:val="uk-UA"/>
        </w:rPr>
      </w:pPr>
    </w:p>
    <w:p w14:paraId="5D6E42B5"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6A01F1B8" w14:textId="77777777" w:rsidR="003F5D68" w:rsidRPr="00511005" w:rsidRDefault="003F5D68" w:rsidP="003A292D">
      <w:pPr>
        <w:keepNext/>
        <w:suppressAutoHyphens/>
        <w:spacing w:line="264" w:lineRule="auto"/>
        <w:ind w:firstLine="0"/>
        <w:jc w:val="left"/>
        <w:rPr>
          <w:rFonts w:ascii="Arial" w:hAnsi="Arial" w:cs="Arial"/>
          <w:szCs w:val="28"/>
        </w:rPr>
      </w:pPr>
    </w:p>
    <w:p w14:paraId="67A3031F" w14:textId="630444CD" w:rsidR="003F5D68" w:rsidRPr="00511005" w:rsidRDefault="003F5D68" w:rsidP="003A292D">
      <w:pPr>
        <w:pStyle w:val="aa"/>
        <w:spacing w:before="0" w:after="0" w:line="264" w:lineRule="auto"/>
        <w:rPr>
          <w:rFonts w:ascii="Arial" w:hAnsi="Arial" w:cs="Arial"/>
          <w:color w:val="auto"/>
          <w:sz w:val="28"/>
          <w:szCs w:val="28"/>
        </w:rPr>
      </w:pPr>
      <w:bookmarkStart w:id="188" w:name="_Toc208299001"/>
      <w:r w:rsidRPr="00511005">
        <w:rPr>
          <w:rFonts w:ascii="Arial" w:hAnsi="Arial" w:cs="Arial"/>
          <w:color w:val="auto"/>
          <w:sz w:val="28"/>
          <w:szCs w:val="28"/>
        </w:rPr>
        <w:t xml:space="preserve">СЕКЦІЯ </w:t>
      </w:r>
      <w:r w:rsidRPr="00511005">
        <w:rPr>
          <w:rFonts w:ascii="Arial" w:hAnsi="Arial" w:cs="Arial"/>
          <w:color w:val="auto"/>
          <w:sz w:val="28"/>
          <w:szCs w:val="28"/>
          <w:lang w:val="ru-RU"/>
        </w:rPr>
        <w:t>12. СУЧАСНИЙ СТАН І РОЗВИТОК ТРУДОВОГО ПРАВА ТА ПРАВА СОЦІАЛЬНОГО ЗАБЕЗПЕЧЕННЯ</w:t>
      </w:r>
      <w:bookmarkEnd w:id="188"/>
      <w:r w:rsidRPr="00511005">
        <w:rPr>
          <w:rFonts w:ascii="Arial" w:hAnsi="Arial" w:cs="Arial"/>
          <w:color w:val="auto"/>
          <w:sz w:val="28"/>
          <w:szCs w:val="28"/>
        </w:rPr>
        <w:t xml:space="preserve"> </w:t>
      </w:r>
    </w:p>
    <w:p w14:paraId="73BBAFF3" w14:textId="77777777" w:rsidR="003F5D68" w:rsidRPr="00511005" w:rsidRDefault="003F5D68" w:rsidP="003A292D">
      <w:pPr>
        <w:keepNext/>
        <w:spacing w:line="264" w:lineRule="auto"/>
        <w:ind w:firstLine="0"/>
        <w:jc w:val="left"/>
        <w:rPr>
          <w:rFonts w:ascii="Arial" w:hAnsi="Arial" w:cs="Arial"/>
          <w:szCs w:val="28"/>
        </w:rPr>
      </w:pPr>
    </w:p>
    <w:p w14:paraId="2924B916" w14:textId="77777777" w:rsidR="004938FE" w:rsidRPr="00511005" w:rsidRDefault="004938FE" w:rsidP="003A292D">
      <w:pPr>
        <w:keepNext/>
        <w:spacing w:line="264" w:lineRule="auto"/>
        <w:ind w:firstLine="0"/>
        <w:rPr>
          <w:rFonts w:ascii="Arial" w:eastAsia="Calibri" w:hAnsi="Arial" w:cs="Arial"/>
          <w:szCs w:val="28"/>
          <w:lang w:val="uk-UA"/>
        </w:rPr>
      </w:pPr>
    </w:p>
    <w:p w14:paraId="51F867FC" w14:textId="77777777" w:rsidR="0087239D" w:rsidRPr="00511005" w:rsidRDefault="0087239D" w:rsidP="0087239D">
      <w:pPr>
        <w:spacing w:line="264" w:lineRule="auto"/>
        <w:ind w:left="-284" w:right="-2" w:firstLine="710"/>
        <w:contextualSpacing/>
        <w:jc w:val="center"/>
        <w:rPr>
          <w:rFonts w:ascii="Arial" w:eastAsia="Times New Roman" w:hAnsi="Arial" w:cs="Arial"/>
          <w:szCs w:val="28"/>
          <w:lang w:eastAsia="ru-RU"/>
        </w:rPr>
      </w:pPr>
    </w:p>
    <w:p w14:paraId="1753E17D" w14:textId="05E1E9B6" w:rsidR="0087239D" w:rsidRPr="00511005" w:rsidRDefault="0087239D" w:rsidP="0087239D">
      <w:pPr>
        <w:spacing w:line="264" w:lineRule="auto"/>
        <w:ind w:left="-284" w:right="-2" w:firstLine="710"/>
        <w:contextualSpacing/>
        <w:jc w:val="center"/>
        <w:rPr>
          <w:rFonts w:ascii="Arial" w:eastAsia="Times New Roman" w:hAnsi="Arial" w:cs="Arial"/>
          <w:szCs w:val="28"/>
          <w:lang w:eastAsia="ru-RU"/>
        </w:rPr>
      </w:pPr>
      <w:r w:rsidRPr="00511005">
        <w:rPr>
          <w:rFonts w:ascii="Arial" w:eastAsia="Times New Roman" w:hAnsi="Arial" w:cs="Arial"/>
          <w:b/>
          <w:bCs/>
          <w:i/>
          <w:kern w:val="36"/>
          <w:szCs w:val="28"/>
          <w:lang w:val="uk-UA" w:eastAsia="ru-RU"/>
        </w:rPr>
        <w:t>Антіпова Олександра Геннадіївна</w:t>
      </w:r>
    </w:p>
    <w:p w14:paraId="3BD2818D" w14:textId="1DD4F69F" w:rsidR="0087239D" w:rsidRPr="00511005" w:rsidRDefault="00536AAB" w:rsidP="0087239D">
      <w:pPr>
        <w:spacing w:line="264" w:lineRule="auto"/>
        <w:ind w:left="-284" w:right="-2" w:firstLine="710"/>
        <w:contextualSpacing/>
        <w:jc w:val="center"/>
        <w:rPr>
          <w:rFonts w:ascii="Arial" w:eastAsia="Times New Roman" w:hAnsi="Arial" w:cs="Arial"/>
          <w:szCs w:val="28"/>
          <w:lang w:eastAsia="ru-RU"/>
        </w:rPr>
      </w:pPr>
      <w:r w:rsidRPr="00511005">
        <w:rPr>
          <w:rFonts w:ascii="Arial" w:eastAsia="Times New Roman" w:hAnsi="Arial" w:cs="Arial"/>
          <w:bCs/>
          <w:kern w:val="36"/>
          <w:szCs w:val="28"/>
          <w:lang w:val="uk-UA" w:eastAsia="ru-RU"/>
        </w:rPr>
        <w:t xml:space="preserve">студентка 2-го курсу </w:t>
      </w:r>
      <w:r w:rsidR="007B2628" w:rsidRPr="00511005">
        <w:rPr>
          <w:rFonts w:ascii="Arial" w:eastAsia="Times New Roman" w:hAnsi="Arial" w:cs="Arial"/>
          <w:bCs/>
          <w:kern w:val="36"/>
          <w:szCs w:val="28"/>
          <w:lang w:val="uk-UA" w:eastAsia="ru-RU"/>
        </w:rPr>
        <w:t>факультету цивільної та господарської юстиції</w:t>
      </w:r>
      <w:r w:rsidR="0087239D" w:rsidRPr="00511005">
        <w:rPr>
          <w:rFonts w:ascii="Arial" w:eastAsia="Times New Roman" w:hAnsi="Arial" w:cs="Arial"/>
          <w:bCs/>
          <w:kern w:val="36"/>
          <w:szCs w:val="28"/>
          <w:lang w:val="uk-UA" w:eastAsia="ru-RU"/>
        </w:rPr>
        <w:t xml:space="preserve"> </w:t>
      </w:r>
      <w:r w:rsidR="007B2628" w:rsidRPr="00511005">
        <w:rPr>
          <w:rFonts w:ascii="Arial" w:eastAsia="Times New Roman" w:hAnsi="Arial" w:cs="Arial"/>
          <w:bCs/>
          <w:kern w:val="36"/>
          <w:szCs w:val="28"/>
          <w:lang w:val="uk-UA" w:eastAsia="ru-RU"/>
        </w:rPr>
        <w:t>Національного університету «Одеська юридична академія»</w:t>
      </w:r>
    </w:p>
    <w:p w14:paraId="23E85B92" w14:textId="77777777" w:rsidR="0087239D" w:rsidRPr="00511005" w:rsidRDefault="0087239D" w:rsidP="0087239D">
      <w:pPr>
        <w:spacing w:line="264" w:lineRule="auto"/>
        <w:ind w:left="-284" w:right="-2" w:firstLine="710"/>
        <w:contextualSpacing/>
        <w:jc w:val="center"/>
        <w:rPr>
          <w:rFonts w:ascii="Arial" w:eastAsia="Times New Roman" w:hAnsi="Arial" w:cs="Arial"/>
          <w:szCs w:val="28"/>
          <w:lang w:eastAsia="ru-RU"/>
        </w:rPr>
      </w:pPr>
    </w:p>
    <w:p w14:paraId="3CD63324" w14:textId="7004E580" w:rsidR="0087239D" w:rsidRPr="00511005" w:rsidRDefault="0087239D" w:rsidP="0087239D">
      <w:pPr>
        <w:spacing w:line="264" w:lineRule="auto"/>
        <w:ind w:left="-284" w:right="-2" w:firstLine="710"/>
        <w:contextualSpacing/>
        <w:jc w:val="center"/>
        <w:rPr>
          <w:rFonts w:ascii="Arial" w:eastAsia="Times New Roman" w:hAnsi="Arial" w:cs="Arial"/>
          <w:szCs w:val="28"/>
          <w:lang w:eastAsia="ru-RU"/>
        </w:rPr>
      </w:pPr>
      <w:r w:rsidRPr="00511005">
        <w:rPr>
          <w:rFonts w:ascii="Arial" w:eastAsia="Times New Roman" w:hAnsi="Arial" w:cs="Arial"/>
          <w:b/>
          <w:bCs/>
          <w:kern w:val="36"/>
          <w:szCs w:val="28"/>
          <w:lang w:eastAsia="ru-RU"/>
        </w:rPr>
        <w:t>ПРАВОВЕ ЗАБЕЗПЕЧЕННЯ ВІДШКОДУВАННЯ МАТЕРІАЛЬНОЇ</w:t>
      </w:r>
      <w:r w:rsidRPr="00511005">
        <w:rPr>
          <w:rFonts w:ascii="Arial" w:eastAsia="Times New Roman" w:hAnsi="Arial" w:cs="Arial"/>
          <w:b/>
          <w:bCs/>
          <w:kern w:val="36"/>
          <w:szCs w:val="28"/>
          <w:lang w:val="uk-UA" w:eastAsia="ru-RU"/>
        </w:rPr>
        <w:t xml:space="preserve"> </w:t>
      </w:r>
      <w:r w:rsidRPr="00511005">
        <w:rPr>
          <w:rFonts w:ascii="Arial" w:eastAsia="Times New Roman" w:hAnsi="Arial" w:cs="Arial"/>
          <w:b/>
          <w:bCs/>
          <w:kern w:val="36"/>
          <w:szCs w:val="28"/>
          <w:lang w:eastAsia="ru-RU"/>
        </w:rPr>
        <w:t>ШКОДИ, ЗАВДАНОЇ РОБОТОДАВЦЮ В НЕТВЕРЕЗОМУ СТАНІ</w:t>
      </w:r>
    </w:p>
    <w:p w14:paraId="1AB462A8" w14:textId="240DB49A" w:rsidR="003476F8" w:rsidRPr="00511005" w:rsidRDefault="003476F8" w:rsidP="003A292D">
      <w:pPr>
        <w:spacing w:line="264" w:lineRule="auto"/>
        <w:ind w:left="-284" w:right="-2" w:firstLine="710"/>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Актуальність дослідження проблематики відшкодування матеріальної шкоди, завданої роботодавцю працівником у нетверезому стані, зумовлена необхідністю ефективного захисту майнових прав роботодавців та забезпечення належного рівня трудової дисципліни на підприємствах, в установах та організаціях. Статистичні дані свідчать, що перебування працівника на робочому місці в нетверезому стані становить підвищену небезпеку не лише для нього самого та інших працівників, але й </w:t>
      </w:r>
      <w:proofErr w:type="gramStart"/>
      <w:r w:rsidRPr="00511005">
        <w:rPr>
          <w:rFonts w:ascii="Arial" w:eastAsia="Times New Roman" w:hAnsi="Arial" w:cs="Arial"/>
          <w:szCs w:val="28"/>
          <w:lang w:eastAsia="ru-RU"/>
        </w:rPr>
        <w:t>для майна</w:t>
      </w:r>
      <w:proofErr w:type="gramEnd"/>
      <w:r w:rsidRPr="00511005">
        <w:rPr>
          <w:rFonts w:ascii="Arial" w:eastAsia="Times New Roman" w:hAnsi="Arial" w:cs="Arial"/>
          <w:szCs w:val="28"/>
          <w:lang w:eastAsia="ru-RU"/>
        </w:rPr>
        <w:t xml:space="preserve"> роботодавця [1, с. 87]. Випадки заподіяння матеріальної шкоди працівниками у стані алкогольного, наркотичного чи токсичного сп'яніння мають специфіку правового регулювання, що потребує ґрунтовного аналізу. </w:t>
      </w:r>
    </w:p>
    <w:p w14:paraId="15398C1E" w14:textId="77777777" w:rsidR="003476F8" w:rsidRPr="00511005" w:rsidRDefault="003476F8" w:rsidP="003A292D">
      <w:pPr>
        <w:spacing w:line="264" w:lineRule="auto"/>
        <w:ind w:left="-284" w:right="-2" w:firstLine="710"/>
        <w:contextualSpacing/>
        <w:rPr>
          <w:rFonts w:ascii="Arial" w:eastAsia="Times New Roman" w:hAnsi="Arial" w:cs="Arial"/>
          <w:szCs w:val="28"/>
          <w:lang w:eastAsia="ru-RU"/>
        </w:rPr>
      </w:pPr>
      <w:r w:rsidRPr="00511005">
        <w:rPr>
          <w:rFonts w:ascii="Arial" w:eastAsia="Times New Roman" w:hAnsi="Arial" w:cs="Arial"/>
          <w:szCs w:val="28"/>
          <w:lang w:eastAsia="ru-RU"/>
        </w:rPr>
        <w:t>Правове регулювання відшкодування матеріальної шкоди, заподіяної працівником роботодавцю, здійснюється відповідно до Кодексу законів про працю України (далі – КЗпП) та інших нормативно-правових актів. Відповідно до ст. 130 КЗпП України, працівники несуть матеріальну відповідальність за шкоду, заподіяну підприємству, установі, організації внаслідок порушення покладених на них трудових обов'язків [2]. Важливим аспектом правового регулювання є встановлення підвищеної матеріальної відповідальності для працівників, які заподіяли шкоду в нетверезому стані. Згідно з п. 4 ст. 134 КЗпП України, працівники несуть повну матеріальну відповідальність за шкоду, заподіяну роботодавцю під час виконання трудових обов'язків у нетверезому стані [2]. Це положення є винятком із загального правила про обмежену матеріальну відповідальність працівників і відображає особливу суспільну небезпеку виконання трудових обов'язків у нетверезому стані. Як зазначає К.Ю.</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Мельник, підвищена матеріальна відповідальність у цьому випадку зумовлена тим, що перебування працівника на роботі в нетверезому стані є грубим порушенням трудової дисципліни, яке створює підвищений ризик заподіяння шкоди [3, с. 312]. У такому стані працівник втрачає здатність адекватно оцінювати наслідки своїх дій, що може призвести до значних матеріальних втрат для роботодавця.</w:t>
      </w:r>
    </w:p>
    <w:p w14:paraId="5BC12081" w14:textId="77777777" w:rsidR="003476F8" w:rsidRPr="00511005" w:rsidRDefault="003476F8" w:rsidP="003A292D">
      <w:pPr>
        <w:spacing w:line="264" w:lineRule="auto"/>
        <w:ind w:left="-284" w:right="-2" w:firstLine="710"/>
        <w:contextualSpacing/>
        <w:rPr>
          <w:rFonts w:ascii="Arial" w:eastAsia="Times New Roman" w:hAnsi="Arial" w:cs="Arial"/>
          <w:szCs w:val="28"/>
          <w:lang w:eastAsia="ru-RU"/>
        </w:rPr>
      </w:pPr>
      <w:r w:rsidRPr="00511005">
        <w:rPr>
          <w:rFonts w:ascii="Arial" w:eastAsia="Times New Roman" w:hAnsi="Arial" w:cs="Arial"/>
          <w:szCs w:val="28"/>
          <w:lang w:eastAsia="ru-RU"/>
        </w:rPr>
        <w:lastRenderedPageBreak/>
        <w:t>Для притягнення працівника до повної матеріальної відповідальності за шкоду, заподіяну в нетверезому стані, роботодавець повинен довести два ключові факти: 1) перебування працівника в нетверезому стані; 2) наявність причинно-наслідкового зв'язку між нетверезим станом працівника та заподіяною шкодою [4, с. 145]. Встановлення факту нетверезого стану працівника може відбуватися різними способами, зокрема: за допомогою медичного огляду на стан сп'яніння; на підставі акту, складеного уповноваженими особами роботодавця; на підставі показань свідків; за допомогою технічних засобів фіксації [5, с. 78]. Порядок проведення медичних оглядів на стан сп'яніння визначається Інструкцією, затвердженою наказом МОЗ України від 17.01.1995 р. № 6 [6]. Проте у практичній діяльності виникають складнощі з документальним підтвердженням факту нетверезого стану, особливо коли працівник відмовляється від проходження медичного огляду.</w:t>
      </w:r>
    </w:p>
    <w:p w14:paraId="1B08EB41" w14:textId="77777777" w:rsidR="003476F8" w:rsidRPr="00511005" w:rsidRDefault="003476F8" w:rsidP="003A292D">
      <w:pPr>
        <w:spacing w:line="264" w:lineRule="auto"/>
        <w:ind w:left="-284" w:right="-2" w:firstLine="710"/>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Відповідно до ст. 136 КЗпП України, розмір заподіяної шкоди визначається за фактичними втратами на підставі даних бухгалтерського обліку [2]. Для стягнення з працівника суми, що не перевищує середньомісячного заробітку, роботодавець має право видати наказ (розпорядження), який може бути зроблено не пізніше двох тижнів з дня виявлення заподіяної шкоди. Якщо сума перевищує середньомісячний заробіток працівника або строк для видання наказу минув, відшкодування здійснюється шляхом подання роботодавцем позову </w:t>
      </w:r>
      <w:proofErr w:type="gramStart"/>
      <w:r w:rsidRPr="00511005">
        <w:rPr>
          <w:rFonts w:ascii="Arial" w:eastAsia="Times New Roman" w:hAnsi="Arial" w:cs="Arial"/>
          <w:szCs w:val="28"/>
          <w:lang w:eastAsia="ru-RU"/>
        </w:rPr>
        <w:t>до суду</w:t>
      </w:r>
      <w:proofErr w:type="gramEnd"/>
      <w:r w:rsidRPr="00511005">
        <w:rPr>
          <w:rFonts w:ascii="Arial" w:eastAsia="Times New Roman" w:hAnsi="Arial" w:cs="Arial"/>
          <w:szCs w:val="28"/>
          <w:lang w:eastAsia="ru-RU"/>
        </w:rPr>
        <w:t>.</w:t>
      </w:r>
    </w:p>
    <w:p w14:paraId="4035CFCA" w14:textId="77777777" w:rsidR="003476F8" w:rsidRPr="00511005" w:rsidRDefault="003476F8" w:rsidP="003A292D">
      <w:pPr>
        <w:spacing w:line="264" w:lineRule="auto"/>
        <w:ind w:left="-284" w:right="-2" w:firstLine="710"/>
        <w:contextualSpacing/>
        <w:rPr>
          <w:rFonts w:ascii="Arial" w:eastAsia="Times New Roman" w:hAnsi="Arial" w:cs="Arial"/>
          <w:szCs w:val="28"/>
          <w:lang w:eastAsia="ru-RU"/>
        </w:rPr>
      </w:pPr>
      <w:r w:rsidRPr="00511005">
        <w:rPr>
          <w:rFonts w:ascii="Arial" w:eastAsia="Times New Roman" w:hAnsi="Arial" w:cs="Arial"/>
          <w:szCs w:val="28"/>
          <w:lang w:eastAsia="ru-RU"/>
        </w:rPr>
        <w:t>Аналіз судової практики свідчить про наявність певних складнощів у вирішенні спорів, пов'язаних із відшкодуванням матеріальної шкоди, завданої працівником у нетверезому стані. Зокрема, Верховний Суд у своїй постанові від 20.03.2019 р. у справі № 766/13910/16-ц зазначив, що для притягнення працівника до повної матеріальної відповідальності на підставі п. 4 ст. 134 КЗпП України необхідно довести як сам факт перебування працівника у нетверезому стані, так і те, що шкода була заподіяна саме внаслідок такого стану [7]. У постанові від 05.09.2018 р. у справі № 758/2340/17 Верховний Суд наголосив на тому, що медичний висновок є найбільш достовірним доказом перебування особи в нетверезому стані, однак відсутність такого висновку не позбавляє роботодавця можливості доводити цей факт іншими допустимими доказами.</w:t>
      </w:r>
    </w:p>
    <w:p w14:paraId="6B71548B" w14:textId="77777777" w:rsidR="003476F8" w:rsidRPr="00511005" w:rsidRDefault="003476F8" w:rsidP="003A292D">
      <w:pPr>
        <w:spacing w:line="264" w:lineRule="auto"/>
        <w:ind w:left="-284" w:right="-2" w:firstLine="710"/>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Аналіз законодавства та практики його застосування дозволяє виокремити наступні проблемні аспекти відшкодування матеріальної шкоди, завданої роботодавцю працівником у нетверезому стані: складність документального підтвердження факту нетверезого стану працівника, особливо у випадках відмови від проходження медичного огляду; відсутність чітких критеріїв визначення причинно-наслідкового зв'язку між нетверезим станом працівника та заподіяною шкодою; недостатня регламентація процедури фіксації факту нетверезого стану працівника за допомогою </w:t>
      </w:r>
      <w:r w:rsidRPr="00511005">
        <w:rPr>
          <w:rFonts w:ascii="Arial" w:eastAsia="Times New Roman" w:hAnsi="Arial" w:cs="Arial"/>
          <w:szCs w:val="28"/>
          <w:lang w:eastAsia="ru-RU"/>
        </w:rPr>
        <w:lastRenderedPageBreak/>
        <w:t>технічних засобів; відсутність чіткого визначення поняття "нетверезий стан", яке б охоплювало різні види сп'яніння (алкогольне, наркотичне, токсичне) [8, с. 56]. На думку багатьох дослідників, проблемою також є те, що чинне законодавство не встановлює мінімального порогу концентрації алкоголю в крові, при якому працівник вважається таким, що перебуває в нетверезому стані.</w:t>
      </w:r>
    </w:p>
    <w:p w14:paraId="75C5425E" w14:textId="77777777" w:rsidR="003476F8" w:rsidRPr="00511005" w:rsidRDefault="003476F8" w:rsidP="003A292D">
      <w:pPr>
        <w:spacing w:line="264" w:lineRule="auto"/>
        <w:ind w:left="-284" w:right="-2" w:firstLine="710"/>
        <w:contextualSpacing/>
        <w:rPr>
          <w:rFonts w:ascii="Arial" w:eastAsia="Times New Roman" w:hAnsi="Arial" w:cs="Arial"/>
          <w:szCs w:val="28"/>
          <w:lang w:eastAsia="ru-RU"/>
        </w:rPr>
      </w:pPr>
      <w:r w:rsidRPr="00511005">
        <w:rPr>
          <w:rFonts w:ascii="Arial" w:eastAsia="Times New Roman" w:hAnsi="Arial" w:cs="Arial"/>
          <w:szCs w:val="28"/>
          <w:lang w:eastAsia="ru-RU"/>
        </w:rPr>
        <w:t>На основі проведеного аналізу вбачається доцільним запропонувати наступні шляхи вдосконалення правового регулювання відшкодування матеріальної шкоди, завданої роботодавцю працівником у нетверезому стані: доповнити КЗпП України нормою, яка б містила чітке визначення поняття "нетверезий стан" для цілей трудових правовідносин; розробити та затвердити типову форму акту про перебування працівника в нетверезому стані та порядок його складення; врегулювати порядок відсторонення працівника від роботи у разі наявності підозри щодо його перебування в нетверезому стані; запровадити обов'язкове страхування відповідальності роботодавця за шкоду, заподіяну працівниками у нетверезому стані, що дозволить забезпечити компенсацію заподіяної шкоди незалежно від фінансового стану працівника; передбачити в Кодексі законів про працю України право роботодавця встановлювати в локальних нормативних актах підприємства процедуру перевірки працівників на стан сп'яніння.</w:t>
      </w:r>
    </w:p>
    <w:p w14:paraId="2B900351" w14:textId="77777777" w:rsidR="003476F8" w:rsidRPr="00511005" w:rsidRDefault="003476F8" w:rsidP="003A292D">
      <w:pPr>
        <w:spacing w:line="264" w:lineRule="auto"/>
        <w:ind w:left="-284" w:right="-2" w:firstLine="710"/>
        <w:contextualSpacing/>
        <w:rPr>
          <w:rFonts w:ascii="Arial" w:eastAsia="Times New Roman" w:hAnsi="Arial" w:cs="Arial"/>
          <w:szCs w:val="28"/>
          <w:lang w:eastAsia="ru-RU"/>
        </w:rPr>
      </w:pPr>
      <w:r w:rsidRPr="00511005">
        <w:rPr>
          <w:rFonts w:ascii="Arial" w:eastAsia="Times New Roman" w:hAnsi="Arial" w:cs="Arial"/>
          <w:szCs w:val="28"/>
          <w:lang w:eastAsia="ru-RU"/>
        </w:rPr>
        <w:t>Правове забезпечення відшкодування матеріальної шкоди, завданої роботодавцю працівником у нетверезому стані, має певні особливості, пов'язані з притягненням працівника до повної матеріальної відповідальності. Чинне законодавство України передбачає можливість покладення на працівника обов'язку відшкодувати повну суму заподіяної шкоди, якщо вона була заподіяна в нетверезому стані. Проте нормативно-правове регулювання цього питання потребує вдосконалення в частині визначення поняття "нетверезий стан", регламентації процедури встановлення факту нетверезого стану, а також визначення причинно-наслідкового зв'язку між нетверезим станом працівника та заподіяною шкодою. Запропоновані шляхи вдосконалення правового регулювання відшкодування матеріальної шкоди, завданої роботодавцю працівником у нетверезому стані, сприятимуть підвищенню ефективності захисту майнових прав роботодавців та забезпеченню належного рівня трудової дисципліни на підприємствах, в установах та організаціях.</w:t>
      </w:r>
    </w:p>
    <w:p w14:paraId="4EDBF4F2" w14:textId="46CFA93C" w:rsidR="003476F8" w:rsidRPr="00511005" w:rsidRDefault="003476F8" w:rsidP="003A292D">
      <w:pPr>
        <w:spacing w:line="264" w:lineRule="auto"/>
        <w:ind w:left="-284" w:right="-2" w:firstLine="710"/>
        <w:contextualSpacing/>
        <w:rPr>
          <w:rFonts w:ascii="Arial" w:eastAsia="Times New Roman" w:hAnsi="Arial" w:cs="Arial"/>
          <w:szCs w:val="28"/>
          <w:lang w:eastAsia="ru-RU"/>
        </w:rPr>
      </w:pPr>
    </w:p>
    <w:p w14:paraId="279C2C87" w14:textId="6E927C16" w:rsidR="0087239D" w:rsidRPr="00511005" w:rsidRDefault="007B2628" w:rsidP="007B2628">
      <w:pPr>
        <w:spacing w:line="264" w:lineRule="auto"/>
        <w:ind w:left="-284" w:right="-2" w:firstLine="710"/>
        <w:contextualSpacing/>
        <w:jc w:val="center"/>
        <w:rPr>
          <w:rFonts w:ascii="Arial" w:eastAsia="Times New Roman" w:hAnsi="Arial" w:cs="Arial"/>
          <w:szCs w:val="28"/>
          <w:lang w:eastAsia="ru-RU"/>
        </w:rPr>
      </w:pPr>
      <w:r w:rsidRPr="00511005">
        <w:rPr>
          <w:rFonts w:ascii="Arial" w:eastAsia="Times New Roman" w:hAnsi="Arial" w:cs="Arial"/>
          <w:b/>
          <w:bCs/>
          <w:szCs w:val="28"/>
          <w:lang w:val="uk-UA" w:eastAsia="ru-RU"/>
        </w:rPr>
        <w:t>Список використаних джерел</w:t>
      </w:r>
    </w:p>
    <w:p w14:paraId="1F59C3F8" w14:textId="77777777" w:rsidR="003476F8" w:rsidRPr="00511005" w:rsidRDefault="003476F8" w:rsidP="003F6A5D">
      <w:pPr>
        <w:numPr>
          <w:ilvl w:val="0"/>
          <w:numId w:val="427"/>
        </w:numPr>
        <w:spacing w:line="264" w:lineRule="auto"/>
        <w:ind w:left="-284" w:right="-2" w:firstLine="71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Вишновецька С.В. Матеріальна відповідальність сторін трудового договору: сучасний стан та перспективи правового регулювання. </w:t>
      </w:r>
      <w:r w:rsidRPr="00511005">
        <w:rPr>
          <w:rFonts w:ascii="Arial" w:eastAsia="Times New Roman" w:hAnsi="Arial" w:cs="Arial"/>
          <w:i/>
          <w:iCs/>
          <w:szCs w:val="28"/>
          <w:lang w:eastAsia="ru-RU"/>
        </w:rPr>
        <w:t>Юридичний вісник.</w:t>
      </w:r>
      <w:r w:rsidRPr="00511005">
        <w:rPr>
          <w:rFonts w:ascii="Arial" w:eastAsia="Times New Roman" w:hAnsi="Arial" w:cs="Arial"/>
          <w:szCs w:val="28"/>
          <w:lang w:eastAsia="ru-RU"/>
        </w:rPr>
        <w:t xml:space="preserve"> 2021. № 2. С. 85-92.</w:t>
      </w:r>
    </w:p>
    <w:p w14:paraId="51BFCC2C" w14:textId="77777777" w:rsidR="003476F8" w:rsidRPr="00511005" w:rsidRDefault="003476F8" w:rsidP="003F6A5D">
      <w:pPr>
        <w:numPr>
          <w:ilvl w:val="0"/>
          <w:numId w:val="427"/>
        </w:numPr>
        <w:spacing w:line="264" w:lineRule="auto"/>
        <w:ind w:left="-284" w:right="-2" w:firstLine="71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Кодекс законів про працю України: Закон від 10.12.1971 р. № 322-VIII. Відомості Верховної Ради УРСР. 1971. Додаток до № 50. Ст. 375.</w:t>
      </w:r>
    </w:p>
    <w:p w14:paraId="46088DF9" w14:textId="77777777" w:rsidR="003476F8" w:rsidRPr="00511005" w:rsidRDefault="003476F8" w:rsidP="003F6A5D">
      <w:pPr>
        <w:numPr>
          <w:ilvl w:val="0"/>
          <w:numId w:val="427"/>
        </w:numPr>
        <w:spacing w:line="264" w:lineRule="auto"/>
        <w:ind w:left="-284" w:right="-2" w:firstLine="710"/>
        <w:contextualSpacing/>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Мельник К.Ю. Трудове право України: підручник. Харків: Діса плюс, 2022. 480 с.</w:t>
      </w:r>
    </w:p>
    <w:p w14:paraId="513B6911" w14:textId="77777777" w:rsidR="003476F8" w:rsidRPr="00511005" w:rsidRDefault="003476F8" w:rsidP="003F6A5D">
      <w:pPr>
        <w:numPr>
          <w:ilvl w:val="0"/>
          <w:numId w:val="427"/>
        </w:numPr>
        <w:spacing w:line="264" w:lineRule="auto"/>
        <w:ind w:left="-284" w:right="-2" w:firstLine="71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Середа О.Г. Проблеми правового регулювання матеріальної відповідальності в трудовому праві. </w:t>
      </w:r>
      <w:r w:rsidRPr="00511005">
        <w:rPr>
          <w:rFonts w:ascii="Arial" w:eastAsia="Times New Roman" w:hAnsi="Arial" w:cs="Arial"/>
          <w:i/>
          <w:iCs/>
          <w:szCs w:val="28"/>
          <w:lang w:eastAsia="ru-RU"/>
        </w:rPr>
        <w:t>Право та інновації</w:t>
      </w:r>
      <w:r w:rsidRPr="00511005">
        <w:rPr>
          <w:rFonts w:ascii="Arial" w:eastAsia="Times New Roman" w:hAnsi="Arial" w:cs="Arial"/>
          <w:szCs w:val="28"/>
          <w:lang w:eastAsia="ru-RU"/>
        </w:rPr>
        <w:t>. 2020. № 4. С. 139-147.</w:t>
      </w:r>
    </w:p>
    <w:p w14:paraId="6F3A8252" w14:textId="77777777" w:rsidR="003476F8" w:rsidRPr="00511005" w:rsidRDefault="003476F8" w:rsidP="003F6A5D">
      <w:pPr>
        <w:numPr>
          <w:ilvl w:val="0"/>
          <w:numId w:val="427"/>
        </w:numPr>
        <w:spacing w:line="264" w:lineRule="auto"/>
        <w:ind w:left="-284" w:right="-2" w:firstLine="71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Гаращенко Л.П. Правове регулювання відшкодування матеріальної шкоди в трудовому праві. </w:t>
      </w:r>
      <w:r w:rsidRPr="00511005">
        <w:rPr>
          <w:rFonts w:ascii="Arial" w:eastAsia="Times New Roman" w:hAnsi="Arial" w:cs="Arial"/>
          <w:i/>
          <w:iCs/>
          <w:szCs w:val="28"/>
          <w:lang w:eastAsia="ru-RU"/>
        </w:rPr>
        <w:t>Право і суспільство</w:t>
      </w:r>
      <w:r w:rsidRPr="00511005">
        <w:rPr>
          <w:rFonts w:ascii="Arial" w:eastAsia="Times New Roman" w:hAnsi="Arial" w:cs="Arial"/>
          <w:szCs w:val="28"/>
          <w:lang w:eastAsia="ru-RU"/>
        </w:rPr>
        <w:t>. 2023. № 2. С. 75-82.</w:t>
      </w:r>
    </w:p>
    <w:p w14:paraId="32A67921" w14:textId="77777777" w:rsidR="003476F8" w:rsidRPr="00511005" w:rsidRDefault="003476F8" w:rsidP="003F6A5D">
      <w:pPr>
        <w:numPr>
          <w:ilvl w:val="0"/>
          <w:numId w:val="427"/>
        </w:numPr>
        <w:spacing w:line="264" w:lineRule="auto"/>
        <w:ind w:left="-284" w:right="-2" w:firstLine="71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Інструкція про порядок направлення громадян для огляду на стан сп'яніння в заклади охорони здоров'я та проведення огляду з використанням технічних засобів: затв. наказом МОЗ України від 17.01.1995 р. № 6 (зі змінами і доповненнями, внесеними наказом МОЗ України від 09.09.2020 р. № 2069). URL: </w:t>
      </w:r>
      <w:hyperlink r:id="rId1640" w:anchor="Text" w:history="1">
        <w:r w:rsidRPr="00511005">
          <w:rPr>
            <w:rFonts w:ascii="Arial" w:eastAsia="Times New Roman" w:hAnsi="Arial" w:cs="Arial"/>
            <w:szCs w:val="28"/>
            <w:lang w:eastAsia="ru-RU"/>
          </w:rPr>
          <w:t>https://zakon.rada.gov.ua/laws/show/z0055-95#Text</w:t>
        </w:r>
      </w:hyperlink>
      <w:r w:rsidRPr="00511005">
        <w:rPr>
          <w:rFonts w:ascii="Arial" w:eastAsia="Times New Roman" w:hAnsi="Arial" w:cs="Arial"/>
          <w:szCs w:val="28"/>
          <w:lang w:val="uk-UA" w:eastAsia="ru-RU"/>
        </w:rPr>
        <w:t xml:space="preserve"> </w:t>
      </w:r>
    </w:p>
    <w:p w14:paraId="3781ABD9" w14:textId="77777777" w:rsidR="003476F8" w:rsidRPr="00511005" w:rsidRDefault="003476F8" w:rsidP="003F6A5D">
      <w:pPr>
        <w:numPr>
          <w:ilvl w:val="0"/>
          <w:numId w:val="427"/>
        </w:numPr>
        <w:spacing w:line="264" w:lineRule="auto"/>
        <w:ind w:left="-284" w:right="-2" w:firstLine="71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Постанова Верховного Суду від 20.03.2019 р. у справі № 766/13910/16-ц. URL: </w:t>
      </w:r>
      <w:hyperlink r:id="rId1641" w:history="1">
        <w:r w:rsidRPr="00511005">
          <w:rPr>
            <w:rFonts w:ascii="Arial" w:eastAsia="Times New Roman" w:hAnsi="Arial" w:cs="Arial"/>
            <w:szCs w:val="28"/>
            <w:lang w:eastAsia="ru-RU"/>
          </w:rPr>
          <w:t>https://reyestr.court.gov.ua/Review/80751529</w:t>
        </w:r>
      </w:hyperlink>
      <w:r w:rsidRPr="00511005">
        <w:rPr>
          <w:rFonts w:ascii="Arial" w:eastAsia="Times New Roman" w:hAnsi="Arial" w:cs="Arial"/>
          <w:szCs w:val="28"/>
          <w:lang w:val="uk-UA" w:eastAsia="ru-RU"/>
        </w:rPr>
        <w:t xml:space="preserve"> </w:t>
      </w:r>
    </w:p>
    <w:p w14:paraId="04AA7AE7" w14:textId="77777777" w:rsidR="003476F8" w:rsidRPr="00511005" w:rsidRDefault="003476F8" w:rsidP="003F6A5D">
      <w:pPr>
        <w:numPr>
          <w:ilvl w:val="0"/>
          <w:numId w:val="427"/>
        </w:numPr>
        <w:spacing w:line="264" w:lineRule="auto"/>
        <w:ind w:left="-284" w:right="-2" w:firstLine="71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Костюк В.Л. Правові аспекти матеріальної відповідальності у трудовому праві: сучасний стан та тенденції розвитку. </w:t>
      </w:r>
      <w:r w:rsidRPr="00511005">
        <w:rPr>
          <w:rFonts w:ascii="Arial" w:eastAsia="Times New Roman" w:hAnsi="Arial" w:cs="Arial"/>
          <w:i/>
          <w:iCs/>
          <w:szCs w:val="28"/>
          <w:lang w:eastAsia="ru-RU"/>
        </w:rPr>
        <w:t>Науковий вісник публічного та приватного права.</w:t>
      </w:r>
      <w:r w:rsidRPr="00511005">
        <w:rPr>
          <w:rFonts w:ascii="Arial" w:eastAsia="Times New Roman" w:hAnsi="Arial" w:cs="Arial"/>
          <w:szCs w:val="28"/>
          <w:lang w:eastAsia="ru-RU"/>
        </w:rPr>
        <w:t xml:space="preserve"> 2023. № 1. С. 52-59.</w:t>
      </w:r>
    </w:p>
    <w:p w14:paraId="1B39A5F2" w14:textId="77777777" w:rsidR="003476F8" w:rsidRPr="00511005" w:rsidRDefault="003476F8" w:rsidP="003A292D">
      <w:pPr>
        <w:spacing w:line="264" w:lineRule="auto"/>
        <w:ind w:left="426" w:right="-2" w:firstLine="0"/>
        <w:contextualSpacing/>
        <w:rPr>
          <w:rFonts w:ascii="Arial" w:eastAsia="Times New Roman" w:hAnsi="Arial" w:cs="Arial"/>
          <w:szCs w:val="28"/>
          <w:lang w:eastAsia="ru-RU"/>
        </w:rPr>
      </w:pPr>
    </w:p>
    <w:p w14:paraId="0D9FE6F8" w14:textId="2C82DD01" w:rsidR="003476F8" w:rsidRPr="00511005" w:rsidRDefault="007B2628" w:rsidP="003A292D">
      <w:pPr>
        <w:spacing w:line="264" w:lineRule="auto"/>
        <w:ind w:left="-284" w:right="-2" w:firstLine="710"/>
        <w:contextualSpacing/>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eastAsia="ru-RU"/>
        </w:rPr>
        <w:t>Матеріальна відповідальність, трудове право, нетверезий стан, повна матеріальна відповідальність, відшкодування шкоди, трудова дисципліна, працівник, роботодавець, стан сп'яніння, медичний огляд, причинно-наслідковий зв'язок</w:t>
      </w:r>
      <w:r w:rsidR="003476F8" w:rsidRPr="00511005">
        <w:rPr>
          <w:rFonts w:ascii="Arial" w:eastAsia="Times New Roman" w:hAnsi="Arial" w:cs="Arial"/>
          <w:szCs w:val="28"/>
          <w:lang w:val="uk-UA" w:eastAsia="ru-RU"/>
        </w:rPr>
        <w:t>.</w:t>
      </w:r>
    </w:p>
    <w:p w14:paraId="4A6C7875" w14:textId="3EA1EFD2" w:rsidR="003476F8" w:rsidRPr="00511005" w:rsidRDefault="007B2628" w:rsidP="003A292D">
      <w:pPr>
        <w:spacing w:line="264" w:lineRule="auto"/>
        <w:ind w:left="-284" w:right="-2" w:firstLine="710"/>
        <w:contextualSpacing/>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3476F8" w:rsidRPr="00511005">
        <w:rPr>
          <w:rFonts w:ascii="Arial" w:eastAsia="Times New Roman" w:hAnsi="Arial" w:cs="Arial"/>
          <w:szCs w:val="28"/>
          <w:lang w:val="en-US" w:eastAsia="ru-RU"/>
        </w:rPr>
        <w:t>Material liability, labor law, intoxicated state, full material liability, damage compensation, labor discipline, employee, employer, state of intoxication, medical examination, causal relationship</w:t>
      </w:r>
    </w:p>
    <w:p w14:paraId="7012846F" w14:textId="289EB1AC" w:rsidR="0087239D" w:rsidRPr="00511005" w:rsidRDefault="007B2628" w:rsidP="003A292D">
      <w:pPr>
        <w:spacing w:line="264" w:lineRule="auto"/>
        <w:ind w:left="-284" w:right="-2" w:firstLine="710"/>
        <w:contextualSpacing/>
        <w:rPr>
          <w:rFonts w:ascii="Arial" w:eastAsia="Calibri" w:hAnsi="Arial" w:cs="Arial"/>
          <w:bCs/>
          <w:i/>
          <w:iCs/>
          <w:szCs w:val="28"/>
          <w:lang w:val="uk-UA"/>
        </w:rPr>
      </w:pPr>
      <w:r w:rsidRPr="00511005">
        <w:rPr>
          <w:rFonts w:ascii="Arial" w:eastAsia="Times New Roman" w:hAnsi="Arial" w:cs="Arial"/>
          <w:b/>
          <w:bCs/>
          <w:i/>
          <w:iCs/>
          <w:szCs w:val="28"/>
          <w:lang w:val="uk-UA" w:eastAsia="ru-RU"/>
        </w:rPr>
        <w:t xml:space="preserve">Науковий керівник: </w:t>
      </w:r>
      <w:r w:rsidR="0087239D" w:rsidRPr="00511005">
        <w:rPr>
          <w:rFonts w:ascii="Arial" w:eastAsia="Calibri" w:hAnsi="Arial" w:cs="Arial"/>
          <w:bCs/>
          <w:i/>
          <w:iCs/>
          <w:szCs w:val="28"/>
          <w:lang w:val="uk-UA"/>
        </w:rPr>
        <w:t>доцент кафедри, к</w:t>
      </w:r>
      <w:r w:rsidR="007D28FC">
        <w:rPr>
          <w:rFonts w:ascii="Arial" w:eastAsia="Calibri" w:hAnsi="Arial" w:cs="Arial"/>
          <w:bCs/>
          <w:i/>
          <w:iCs/>
          <w:szCs w:val="28"/>
          <w:lang w:val="uk-UA"/>
        </w:rPr>
        <w:t>.</w:t>
      </w:r>
      <w:r w:rsidR="0087239D" w:rsidRPr="00511005">
        <w:rPr>
          <w:rFonts w:ascii="Arial" w:eastAsia="Calibri" w:hAnsi="Arial" w:cs="Arial"/>
          <w:bCs/>
          <w:i/>
          <w:iCs/>
          <w:szCs w:val="28"/>
          <w:lang w:val="uk-UA"/>
        </w:rPr>
        <w:t xml:space="preserve"> ю</w:t>
      </w:r>
      <w:r w:rsidR="007D28FC">
        <w:rPr>
          <w:rFonts w:ascii="Arial" w:eastAsia="Calibri" w:hAnsi="Arial" w:cs="Arial"/>
          <w:bCs/>
          <w:i/>
          <w:iCs/>
          <w:szCs w:val="28"/>
          <w:lang w:val="uk-UA"/>
        </w:rPr>
        <w:t>.</w:t>
      </w:r>
      <w:r w:rsidR="0087239D" w:rsidRPr="00511005">
        <w:rPr>
          <w:rFonts w:ascii="Arial" w:eastAsia="Calibri" w:hAnsi="Arial" w:cs="Arial"/>
          <w:bCs/>
          <w:i/>
          <w:iCs/>
          <w:szCs w:val="28"/>
          <w:lang w:val="uk-UA"/>
        </w:rPr>
        <w:t xml:space="preserve"> н</w:t>
      </w:r>
      <w:r w:rsidR="007D28FC">
        <w:rPr>
          <w:rFonts w:ascii="Arial" w:eastAsia="Calibri" w:hAnsi="Arial" w:cs="Arial"/>
          <w:bCs/>
          <w:i/>
          <w:iCs/>
          <w:szCs w:val="28"/>
          <w:lang w:val="uk-UA"/>
        </w:rPr>
        <w:t>.</w:t>
      </w:r>
      <w:r w:rsidR="0087239D" w:rsidRPr="00511005">
        <w:rPr>
          <w:rFonts w:ascii="Arial" w:eastAsia="Calibri" w:hAnsi="Arial" w:cs="Arial"/>
          <w:bCs/>
          <w:i/>
          <w:iCs/>
          <w:szCs w:val="28"/>
          <w:lang w:val="uk-UA"/>
        </w:rPr>
        <w:t xml:space="preserve"> Панченко А.О.</w:t>
      </w:r>
    </w:p>
    <w:p w14:paraId="66860F4C" w14:textId="4005C055" w:rsidR="0087239D" w:rsidRPr="00055389" w:rsidRDefault="0087239D" w:rsidP="003A292D">
      <w:pPr>
        <w:spacing w:line="264" w:lineRule="auto"/>
        <w:ind w:left="-284" w:right="-2" w:firstLine="710"/>
        <w:contextualSpacing/>
        <w:rPr>
          <w:rFonts w:ascii="Arial" w:eastAsia="Times New Roman" w:hAnsi="Arial" w:cs="Arial"/>
          <w:szCs w:val="28"/>
          <w:lang w:eastAsia="ru-RU"/>
        </w:rPr>
      </w:pPr>
    </w:p>
    <w:p w14:paraId="37B06208" w14:textId="04ADAEFE" w:rsidR="0087239D" w:rsidRPr="00055389" w:rsidRDefault="0087239D" w:rsidP="003A292D">
      <w:pPr>
        <w:spacing w:line="264" w:lineRule="auto"/>
        <w:ind w:left="-284" w:right="-2" w:firstLine="710"/>
        <w:contextualSpacing/>
        <w:rPr>
          <w:rFonts w:ascii="Arial" w:eastAsia="Times New Roman" w:hAnsi="Arial" w:cs="Arial"/>
          <w:szCs w:val="28"/>
          <w:lang w:eastAsia="ru-RU"/>
        </w:rPr>
      </w:pPr>
    </w:p>
    <w:p w14:paraId="36ABB714" w14:textId="77777777" w:rsidR="003476F8" w:rsidRPr="00511005" w:rsidRDefault="003476F8" w:rsidP="003A292D">
      <w:pPr>
        <w:spacing w:line="264" w:lineRule="auto"/>
        <w:ind w:firstLine="0"/>
        <w:jc w:val="center"/>
        <w:rPr>
          <w:rFonts w:ascii="Arial" w:eastAsia="Calibri" w:hAnsi="Arial" w:cs="Arial"/>
          <w:b/>
          <w:i/>
          <w:iCs/>
          <w:szCs w:val="28"/>
          <w:lang w:val="uk-UA"/>
        </w:rPr>
      </w:pPr>
      <w:r w:rsidRPr="00511005">
        <w:rPr>
          <w:rFonts w:ascii="Arial" w:eastAsia="Calibri" w:hAnsi="Arial" w:cs="Arial"/>
          <w:b/>
          <w:i/>
          <w:iCs/>
          <w:szCs w:val="28"/>
          <w:lang w:val="uk-UA"/>
        </w:rPr>
        <w:t>Банашко Анна Олегівна</w:t>
      </w:r>
    </w:p>
    <w:p w14:paraId="749B4411" w14:textId="4AC0B908" w:rsidR="003476F8" w:rsidRPr="00511005" w:rsidRDefault="007D28FC" w:rsidP="003A292D">
      <w:pPr>
        <w:spacing w:line="264" w:lineRule="auto"/>
        <w:ind w:firstLine="0"/>
        <w:jc w:val="center"/>
        <w:rPr>
          <w:rFonts w:ascii="Arial" w:eastAsia="Calibri" w:hAnsi="Arial" w:cs="Arial"/>
          <w:szCs w:val="28"/>
          <w:lang w:val="uk-UA"/>
        </w:rPr>
      </w:pPr>
      <w:r>
        <w:rPr>
          <w:rFonts w:ascii="Arial" w:eastAsia="Calibri" w:hAnsi="Arial" w:cs="Arial"/>
          <w:szCs w:val="28"/>
          <w:lang w:val="uk-UA"/>
        </w:rPr>
        <w:t>с</w:t>
      </w:r>
      <w:r w:rsidR="00536AAB" w:rsidRPr="00511005">
        <w:rPr>
          <w:rFonts w:ascii="Arial" w:eastAsia="Calibri" w:hAnsi="Arial" w:cs="Arial"/>
          <w:szCs w:val="28"/>
          <w:lang w:val="uk-UA"/>
        </w:rPr>
        <w:t>тудентка 2-го курсу факультету адвокатури та антикорупційної діяльності</w:t>
      </w:r>
    </w:p>
    <w:p w14:paraId="038F3D29" w14:textId="5E8734B5" w:rsidR="003476F8"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03FDE491" w14:textId="77777777" w:rsidR="007D28FC" w:rsidRPr="00511005" w:rsidRDefault="007D28FC" w:rsidP="003A292D">
      <w:pPr>
        <w:spacing w:line="264" w:lineRule="auto"/>
        <w:ind w:firstLine="0"/>
        <w:jc w:val="center"/>
        <w:rPr>
          <w:rFonts w:ascii="Arial" w:eastAsia="Calibri" w:hAnsi="Arial" w:cs="Arial"/>
          <w:szCs w:val="28"/>
          <w:lang w:val="uk-UA"/>
        </w:rPr>
      </w:pPr>
    </w:p>
    <w:p w14:paraId="292A0079"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СТРУКТУРА СИСТЕМИ ПЕНСІЙНОГО ЗАБЕЗПЕЧЕННЯ В УКРАЇНІ</w:t>
      </w:r>
    </w:p>
    <w:p w14:paraId="4B60ECBC" w14:textId="77777777" w:rsidR="003476F8" w:rsidRPr="00511005" w:rsidRDefault="003476F8" w:rsidP="003A292D">
      <w:pPr>
        <w:spacing w:line="264" w:lineRule="auto"/>
        <w:ind w:firstLine="567"/>
        <w:contextualSpacing/>
        <w:rPr>
          <w:rFonts w:ascii="Arial" w:eastAsia="Calibri" w:hAnsi="Arial" w:cs="Arial"/>
          <w:szCs w:val="28"/>
          <w:lang w:val="uk-UA"/>
        </w:rPr>
      </w:pPr>
      <w:r w:rsidRPr="00511005">
        <w:rPr>
          <w:rFonts w:ascii="Arial" w:eastAsia="Calibri" w:hAnsi="Arial" w:cs="Arial"/>
          <w:szCs w:val="28"/>
          <w:lang w:val="uk-UA"/>
        </w:rPr>
        <w:t xml:space="preserve">Дослідження структури системи пенсійного забезпечення в Україні є актуальним, адже це безпосередньо впливає на соціальне життя та певним чином забезпечує фінансову підтримку певних категорій громадян. </w:t>
      </w:r>
    </w:p>
    <w:p w14:paraId="6066CCC6" w14:textId="77777777"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В Україні структура системи пенсійного забезпечення складається з трьох рівнів, як це передбачено у ст. 2 Закону України «Про загальнообов’язкове державне пенсійне страхування» від 09 липня 2003 року № 1058-IV </w:t>
      </w:r>
      <w:r w:rsidRPr="00511005">
        <w:rPr>
          <w:rFonts w:ascii="Arial" w:eastAsia="Calibri" w:hAnsi="Arial" w:cs="Arial"/>
          <w:szCs w:val="28"/>
        </w:rPr>
        <w:t>[1]</w:t>
      </w:r>
      <w:r w:rsidRPr="00511005">
        <w:rPr>
          <w:rFonts w:ascii="Arial" w:eastAsia="Calibri" w:hAnsi="Arial" w:cs="Arial"/>
          <w:szCs w:val="28"/>
          <w:lang w:val="uk-UA"/>
        </w:rPr>
        <w:t xml:space="preserve">. </w:t>
      </w:r>
    </w:p>
    <w:p w14:paraId="62CAB805" w14:textId="77777777"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Законом України «Про загальнообов’язкове державне пенсійне страхування» передбачено, що першим рівнем системи пенсійного </w:t>
      </w:r>
      <w:r w:rsidRPr="00511005">
        <w:rPr>
          <w:rFonts w:ascii="Arial" w:eastAsia="Calibri" w:hAnsi="Arial" w:cs="Arial"/>
          <w:szCs w:val="28"/>
          <w:lang w:val="uk-UA"/>
        </w:rPr>
        <w:lastRenderedPageBreak/>
        <w:t xml:space="preserve">забезпечення є солідарна система загальнообов’язкового державного пенсійного страхування, яка ґрунтується на засадах солідарності та субсидіювання та здійсненні виплати пенсій, а також надання соціальних послуг за рахунок коштів Пенсійного фонду на умовах та в порядку, визначених цим Законом. </w:t>
      </w:r>
    </w:p>
    <w:p w14:paraId="16028DD5" w14:textId="77777777"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Другим рівнем досліджуваної системи є накопичувальна система загальнообов’язкового державного пенсійного страхування, яка, своєю чергою, ґрунтується на засадах акумулювання коштів застрахованих осіб у Накопичувальному фонді або у відповідних недержавних пенсійних фондах – суб</w:t>
      </w:r>
      <w:r w:rsidRPr="00511005">
        <w:rPr>
          <w:rFonts w:ascii="Arial" w:eastAsia="Calibri" w:hAnsi="Arial" w:cs="Arial"/>
          <w:szCs w:val="28"/>
        </w:rPr>
        <w:t>’</w:t>
      </w:r>
      <w:r w:rsidRPr="00511005">
        <w:rPr>
          <w:rFonts w:ascii="Arial" w:eastAsia="Calibri" w:hAnsi="Arial" w:cs="Arial"/>
          <w:szCs w:val="28"/>
          <w:lang w:val="uk-UA"/>
        </w:rPr>
        <w:t xml:space="preserve">єктах другого рівня системи пенсійного забезпечення та фінансування витрат на оплату договорів страхування довічних пенсій та одноразових виплат на умовах та в порядку, передбачених законом. </w:t>
      </w:r>
    </w:p>
    <w:p w14:paraId="4C8181AB" w14:textId="77777777" w:rsidR="007B262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Третій рівень – система недержавного пенсійного забезпечення, яка базується на засадах добровільної участі громадян, роботодавців та їх об’єднань у створенні пенсійних накопичень з метою отримання громадянами пенсійних виплат на умовах і в строки, передбачені законодавством про недержавне пенсійне забезпечення.</w:t>
      </w:r>
    </w:p>
    <w:p w14:paraId="776C58AB" w14:textId="32C862C2"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Відповідно перший та другий рівні є загальнообов’язковими. Щодо системи накопичувального пенсійного забезпечення, то її складають другий та третій рівні.</w:t>
      </w:r>
    </w:p>
    <w:p w14:paraId="12928033" w14:textId="77777777"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Для певних категорій громадян України можуть встановлюватись інші умови, норми та порядок їхнього пенсійного забезпечення, визначені спеціальними законами. Мова йде, наприклад, про осіб, звільнених з військової служби, прокурорів, судді, державних службовців, службовців органів місцевого самоврядування тощо. </w:t>
      </w:r>
    </w:p>
    <w:p w14:paraId="194CE38B" w14:textId="77777777"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Громадяни України не обмежуються лише одним рівнем системи пенсійного забезпечення, тобто можуть бути учасниками та отримувати виплати з декількох рівнів одночасно. Нині в Україні функціонують лише перший та третій рівні системи пенсійного забезпечення. </w:t>
      </w:r>
    </w:p>
    <w:p w14:paraId="35C21C1F" w14:textId="3ADB2DC0"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Варто констатувати, що солідарна система в Україні – неідеальна, характеризується низкою недоліків організації її здійснення, кількість яких лише зросла у зв’язку з повномасштабним вторгненням рф, та активною дискусією щодо шляхів їх усунення.</w:t>
      </w:r>
      <w:r w:rsidR="007B2628" w:rsidRPr="00511005">
        <w:rPr>
          <w:rFonts w:ascii="Arial" w:eastAsia="Calibri" w:hAnsi="Arial" w:cs="Arial"/>
          <w:szCs w:val="28"/>
          <w:lang w:val="uk-UA"/>
        </w:rPr>
        <w:t xml:space="preserve"> </w:t>
      </w:r>
    </w:p>
    <w:p w14:paraId="72BD95D1"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Так, на ефективність першого рівня системи пенсійного забезпечення в Україні у сучасних умовах впливає демографічна криза. Пенсійна система України потребує реформ через такі чинники, як зниження рівня народжуваності, старіння населення та зростання демографічного навантаження на працездатних громадян. Додатково варто зауважити, що проблемою для стабільності пенсійної системи є висока частка дітей і молоді серед українців, які виїхали за кордон під час повномасштабної війни [2, с. 11]. </w:t>
      </w:r>
    </w:p>
    <w:p w14:paraId="6E297AD8"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На функціонування солідарної системи загальнообов’язкового державного пенсійного страхування впливає й неефективність окремих соціальних стандартів, економічні чинники. Так, механізм визначення розміру прожиткового мінімуму в Україні не відповідає фактичним потребам населення, проте саме він є визначальним для виплати мінімальних пенсій. З іншого боку відзначається несправедливий розподіл зобов’язань між роботодавцями та державою у фінансуванні пенсій, значна диференціація умов їх призначення залежно від статусу майбутнього пенсіонера, що 40% громадян розцінюється як несправедливість [3].</w:t>
      </w:r>
    </w:p>
    <w:p w14:paraId="485A9D7D"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Не можна оминути увагою й проблеми у судовій системі щодо питань пенсійного забезпечення, які негативно впливають на матеріальне забезпечення пенсіонерів за рахунок коштів Пенсійного фонду (перевантаженість, відсутність ефективного механізму врегулювання пенсійних спорів позасудовим шляхом).</w:t>
      </w:r>
    </w:p>
    <w:p w14:paraId="5758A956"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Щодо недержавного пенсійного забезпечення, то значна частина населення не довіряє недержавним соціальним установам, через що останні не набули достатньої популярності в Україні.</w:t>
      </w:r>
    </w:p>
    <w:p w14:paraId="1E122A41" w14:textId="77777777" w:rsidR="007B262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Високий рівень операційних витрат є одним із багатьох чинників, що впливають на дохідність недержавних пенсійних фондів і, відповідно, на ефективність їхньої інвестиційної діяльності. Не можна не згадати також про:</w:t>
      </w:r>
    </w:p>
    <w:p w14:paraId="22C964F3" w14:textId="77777777" w:rsidR="007B262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 негнучкість вимог щодо диверсифікації активів: правила майже не змінюються, незважаючи на зміни у фінансовій сфері, на фондових ринках і в економічній ситуації загалом;</w:t>
      </w:r>
    </w:p>
    <w:p w14:paraId="66A96C94" w14:textId="77777777" w:rsidR="007B262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 надмірно суворі, порівняно з іншими країнами, вимоги до диверсифікації активів;</w:t>
      </w:r>
    </w:p>
    <w:p w14:paraId="5458A36E" w14:textId="233295CC"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 обмежений вибір фінансових інструментів і низький рівень розвитку ринку капіталів в Україні.</w:t>
      </w:r>
    </w:p>
    <w:p w14:paraId="67828E4C"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Вкладники та інші стейкхолдери фактично не впливають на формування інвестиційної стратегії недержавного пенсійного фонду. Інститут наглядових рад у фондах функціонує неефективно: у їх складі здебільшого представлені пов’язані особи, які не виконують контрольних функцій належним чином. Окрім цього, високі адміністративні витрати зменшують інвестиційний дохід. </w:t>
      </w:r>
    </w:p>
    <w:p w14:paraId="1699E390"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Вирішити ці та інші проблеми можна тільки шляхом об’єднання фондів для забезпечення ефективного управління активами в інтересах усіх зацікавлених сторін [4, с. 141].</w:t>
      </w:r>
    </w:p>
    <w:p w14:paraId="28BBB8A5"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Для подолання проблем солідарної пенсійної системи необхідно збільшити чисельність працездатного населення за рахунок підростаючого покоління. З цією метою варто:</w:t>
      </w:r>
    </w:p>
    <w:p w14:paraId="44A767A9" w14:textId="77777777" w:rsidR="003476F8" w:rsidRPr="00511005" w:rsidRDefault="003476F8" w:rsidP="003F6A5D">
      <w:pPr>
        <w:numPr>
          <w:ilvl w:val="0"/>
          <w:numId w:val="428"/>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розробити й упровадити програми повернення українців після завершення війни, з особливим акцентом на підтримку дітей і </w:t>
      </w:r>
      <w:r w:rsidRPr="00511005">
        <w:rPr>
          <w:rFonts w:ascii="Arial" w:eastAsia="Calibri" w:hAnsi="Arial" w:cs="Arial"/>
          <w:szCs w:val="28"/>
          <w:lang w:val="uk-UA"/>
        </w:rPr>
        <w:lastRenderedPageBreak/>
        <w:t>молоді через надання пільг на освіту, працевлаштування та відкриття власної справи;</w:t>
      </w:r>
    </w:p>
    <w:p w14:paraId="65409070" w14:textId="77777777" w:rsidR="003476F8" w:rsidRPr="00511005" w:rsidRDefault="003476F8" w:rsidP="003F6A5D">
      <w:pPr>
        <w:numPr>
          <w:ilvl w:val="0"/>
          <w:numId w:val="428"/>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активно реалізовувати чинну Стратегію демографічного розвитку України, стимулюючи зростання народжуваності, передусім шляхом суттєвого підвищення допомоги при народженні дитини.</w:t>
      </w:r>
    </w:p>
    <w:p w14:paraId="78F214EA"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Впровадження другого (накопичувального) рівня пенсійної системи стане доцільним лише за умови створення можливостей для зменшення податкового навантаження на фонд оплати праці </w:t>
      </w:r>
      <w:r w:rsidRPr="00511005">
        <w:rPr>
          <w:rFonts w:ascii="Arial" w:eastAsia="Calibri" w:hAnsi="Arial" w:cs="Arial"/>
          <w:szCs w:val="28"/>
        </w:rPr>
        <w:t>[</w:t>
      </w:r>
      <w:r w:rsidRPr="00511005">
        <w:rPr>
          <w:rFonts w:ascii="Arial" w:eastAsia="Calibri" w:hAnsi="Arial" w:cs="Arial"/>
          <w:szCs w:val="28"/>
          <w:lang w:val="uk-UA"/>
        </w:rPr>
        <w:t>3, с. 12</w:t>
      </w:r>
      <w:r w:rsidRPr="00511005">
        <w:rPr>
          <w:rFonts w:ascii="Arial" w:eastAsia="Calibri" w:hAnsi="Arial" w:cs="Arial"/>
          <w:szCs w:val="28"/>
        </w:rPr>
        <w:t>]</w:t>
      </w:r>
      <w:r w:rsidRPr="00511005">
        <w:rPr>
          <w:rFonts w:ascii="Arial" w:eastAsia="Calibri" w:hAnsi="Arial" w:cs="Arial"/>
          <w:szCs w:val="28"/>
          <w:lang w:val="uk-UA"/>
        </w:rPr>
        <w:t>.</w:t>
      </w:r>
    </w:p>
    <w:p w14:paraId="7A195B5A"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Щодо недержавного пенсійного забезпечення, то слід запровадити обмеження на граничний рівень витрат, пов’язаних з адмініструванням недержавних пенсійних фондів, оскільки надмірні адміністративні витрати суттєво знижують дохідність окремих фондів. Це, у свою чергу, сприятиме укрупненню фондів, зменшенню їх кількості та дозволить досягти ефекту економії на масштабі.</w:t>
      </w:r>
    </w:p>
    <w:p w14:paraId="39D27FC3"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Розвиток фінансових ринків є основою для ефективного функціонування недержавних пенсійних фондів. Українські пенсійні фонди наразі мають обмежений вибір інвестиційних інструментів через їх недостатню пропозицію на ринку. Тому важливим напрямком подальших досліджень є аналіз взаємозв’язку між діяльністю недержавних пенсійних фондів і розвитком фондового ринку: наскільки сильно вони впливають один на одного і який із факторів є вирішальним.</w:t>
      </w:r>
    </w:p>
    <w:p w14:paraId="5B7C1D40" w14:textId="77777777" w:rsidR="003476F8" w:rsidRPr="00511005" w:rsidRDefault="003476F8" w:rsidP="003A292D">
      <w:pPr>
        <w:spacing w:line="264" w:lineRule="auto"/>
        <w:ind w:firstLine="567"/>
        <w:jc w:val="center"/>
        <w:rPr>
          <w:rFonts w:ascii="Arial" w:eastAsia="Calibri" w:hAnsi="Arial" w:cs="Arial"/>
          <w:b/>
          <w:szCs w:val="28"/>
          <w:lang w:val="uk-UA"/>
        </w:rPr>
      </w:pPr>
    </w:p>
    <w:p w14:paraId="437B100B" w14:textId="51B8574C" w:rsidR="003476F8" w:rsidRPr="00511005" w:rsidRDefault="007B2628" w:rsidP="007B2628">
      <w:pPr>
        <w:spacing w:line="264" w:lineRule="auto"/>
        <w:ind w:firstLine="567"/>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63235022" w14:textId="77777777" w:rsidR="003476F8" w:rsidRPr="00511005" w:rsidRDefault="003476F8" w:rsidP="003F6A5D">
      <w:pPr>
        <w:numPr>
          <w:ilvl w:val="0"/>
          <w:numId w:val="42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Про загальнообов'язкове державне пенсійне страхування: Закон України від 09.07.2003 № 1058-IV. </w:t>
      </w:r>
      <w:r w:rsidRPr="00511005">
        <w:rPr>
          <w:rFonts w:ascii="Arial" w:eastAsia="Calibri" w:hAnsi="Arial" w:cs="Arial"/>
          <w:i/>
          <w:szCs w:val="28"/>
          <w:lang w:val="uk-UA"/>
        </w:rPr>
        <w:t>Відомості Верховної Ради України</w:t>
      </w:r>
      <w:r w:rsidRPr="00511005">
        <w:rPr>
          <w:rFonts w:ascii="Arial" w:eastAsia="Calibri" w:hAnsi="Arial" w:cs="Arial"/>
          <w:szCs w:val="28"/>
          <w:lang w:val="uk-UA"/>
        </w:rPr>
        <w:t>. 2003. № 49. Ст. 376.</w:t>
      </w:r>
    </w:p>
    <w:p w14:paraId="5CC615E5" w14:textId="3C85548F" w:rsidR="003476F8" w:rsidRPr="00511005" w:rsidRDefault="003476F8" w:rsidP="003F6A5D">
      <w:pPr>
        <w:numPr>
          <w:ilvl w:val="0"/>
          <w:numId w:val="42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Овдін О.В. Вплив демографічної кризи на пенсійну систему в Україні.</w:t>
      </w:r>
      <w:r w:rsidR="007B2628" w:rsidRPr="00511005">
        <w:rPr>
          <w:rFonts w:ascii="Arial" w:eastAsia="Calibri" w:hAnsi="Arial" w:cs="Arial"/>
          <w:szCs w:val="28"/>
          <w:lang w:val="uk-UA"/>
        </w:rPr>
        <w:t xml:space="preserve"> </w:t>
      </w:r>
      <w:r w:rsidRPr="00511005">
        <w:rPr>
          <w:rFonts w:ascii="Arial" w:eastAsia="Calibri" w:hAnsi="Arial" w:cs="Arial"/>
          <w:i/>
          <w:szCs w:val="28"/>
          <w:lang w:val="uk-UA"/>
        </w:rPr>
        <w:t>Вісник Приазовського державного технічного університету. Серія: Соціально-гуманітарні науки та публічне адміністрування.</w:t>
      </w:r>
      <w:r w:rsidRPr="00511005">
        <w:rPr>
          <w:rFonts w:ascii="Arial" w:eastAsia="Calibri" w:hAnsi="Arial" w:cs="Arial"/>
          <w:szCs w:val="28"/>
          <w:lang w:val="uk-UA"/>
        </w:rPr>
        <w:t xml:space="preserve"> 2024. №12. С. 1-16.</w:t>
      </w:r>
    </w:p>
    <w:p w14:paraId="3642E176" w14:textId="77777777" w:rsidR="003476F8" w:rsidRPr="00511005" w:rsidRDefault="003476F8" w:rsidP="003F6A5D">
      <w:pPr>
        <w:numPr>
          <w:ilvl w:val="0"/>
          <w:numId w:val="42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Голова Комітету з питань соціальної політики та захисту прав ветеранів взяла участь в дискусії щодо реформування солідарної пенсійної системи від 04.03.2025. </w:t>
      </w:r>
      <w:r w:rsidRPr="00511005">
        <w:rPr>
          <w:rFonts w:ascii="Arial" w:eastAsia="Calibri" w:hAnsi="Arial" w:cs="Arial"/>
          <w:i/>
          <w:szCs w:val="28"/>
          <w:lang w:val="uk-UA"/>
        </w:rPr>
        <w:t>Прес-служба Апарату Верховної Ради України</w:t>
      </w:r>
      <w:r w:rsidRPr="00511005">
        <w:rPr>
          <w:rFonts w:ascii="Arial" w:eastAsia="Calibri" w:hAnsi="Arial" w:cs="Arial"/>
          <w:szCs w:val="28"/>
          <w:lang w:val="uk-UA"/>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www</w:t>
      </w:r>
      <w:r w:rsidRPr="00511005">
        <w:rPr>
          <w:rFonts w:ascii="Arial" w:eastAsia="Calibri" w:hAnsi="Arial" w:cs="Arial"/>
          <w:szCs w:val="28"/>
        </w:rPr>
        <w:t>.</w:t>
      </w:r>
      <w:r w:rsidRPr="00511005">
        <w:rPr>
          <w:rFonts w:ascii="Arial" w:eastAsia="Calibri" w:hAnsi="Arial" w:cs="Arial"/>
          <w:szCs w:val="28"/>
          <w:lang w:val="en-US"/>
        </w:rPr>
        <w:t>rada</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news</w:t>
      </w:r>
      <w:r w:rsidRPr="00511005">
        <w:rPr>
          <w:rFonts w:ascii="Arial" w:eastAsia="Calibri" w:hAnsi="Arial" w:cs="Arial"/>
          <w:szCs w:val="28"/>
        </w:rPr>
        <w:t>/</w:t>
      </w:r>
      <w:r w:rsidRPr="00511005">
        <w:rPr>
          <w:rFonts w:ascii="Arial" w:eastAsia="Calibri" w:hAnsi="Arial" w:cs="Arial"/>
          <w:szCs w:val="28"/>
          <w:lang w:val="en-US"/>
        </w:rPr>
        <w:t>news</w:t>
      </w:r>
      <w:r w:rsidRPr="00511005">
        <w:rPr>
          <w:rFonts w:ascii="Arial" w:eastAsia="Calibri" w:hAnsi="Arial" w:cs="Arial"/>
          <w:szCs w:val="28"/>
        </w:rPr>
        <w:t>_</w:t>
      </w:r>
      <w:r w:rsidRPr="00511005">
        <w:rPr>
          <w:rFonts w:ascii="Arial" w:eastAsia="Calibri" w:hAnsi="Arial" w:cs="Arial"/>
          <w:szCs w:val="28"/>
          <w:lang w:val="en-US"/>
        </w:rPr>
        <w:t>kom</w:t>
      </w:r>
      <w:r w:rsidRPr="00511005">
        <w:rPr>
          <w:rFonts w:ascii="Arial" w:eastAsia="Calibri" w:hAnsi="Arial" w:cs="Arial"/>
          <w:szCs w:val="28"/>
        </w:rPr>
        <w:t>/259393.</w:t>
      </w:r>
      <w:r w:rsidRPr="00511005">
        <w:rPr>
          <w:rFonts w:ascii="Arial" w:eastAsia="Calibri" w:hAnsi="Arial" w:cs="Arial"/>
          <w:szCs w:val="28"/>
          <w:lang w:val="en-US"/>
        </w:rPr>
        <w:t>html</w:t>
      </w:r>
    </w:p>
    <w:p w14:paraId="3ED03B97" w14:textId="77777777" w:rsidR="003476F8" w:rsidRPr="00511005" w:rsidRDefault="003476F8" w:rsidP="003F6A5D">
      <w:pPr>
        <w:numPr>
          <w:ilvl w:val="0"/>
          <w:numId w:val="42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Липко М.Н. Основні характеристики, особливості та недоліки інвестиційної стратегії недержавних пенсійних фондів в Україні. </w:t>
      </w:r>
      <w:r w:rsidRPr="00511005">
        <w:rPr>
          <w:rFonts w:ascii="Arial" w:eastAsia="Calibri" w:hAnsi="Arial" w:cs="Arial"/>
          <w:i/>
          <w:szCs w:val="28"/>
          <w:lang w:val="uk-UA"/>
        </w:rPr>
        <w:t>Вісник Львівського торговельно-економічного університету. Економічні науки</w:t>
      </w:r>
      <w:r w:rsidRPr="00511005">
        <w:rPr>
          <w:rFonts w:ascii="Arial" w:eastAsia="Calibri" w:hAnsi="Arial" w:cs="Arial"/>
          <w:szCs w:val="28"/>
          <w:lang w:val="uk-UA"/>
        </w:rPr>
        <w:t>. 2024. №79. С. 133-142.</w:t>
      </w:r>
    </w:p>
    <w:p w14:paraId="558AF3E2" w14:textId="77777777" w:rsidR="003476F8" w:rsidRPr="00511005" w:rsidRDefault="003476F8" w:rsidP="003A292D">
      <w:pPr>
        <w:spacing w:line="264" w:lineRule="auto"/>
        <w:ind w:firstLine="0"/>
        <w:rPr>
          <w:rFonts w:ascii="Arial" w:eastAsia="Calibri" w:hAnsi="Arial" w:cs="Arial"/>
          <w:szCs w:val="28"/>
          <w:lang w:val="uk-UA"/>
        </w:rPr>
      </w:pPr>
    </w:p>
    <w:p w14:paraId="4EBB11BF" w14:textId="4D745B8E"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3476F8" w:rsidRPr="00511005">
        <w:rPr>
          <w:rFonts w:ascii="Arial" w:eastAsia="Calibri" w:hAnsi="Arial" w:cs="Arial"/>
          <w:bCs/>
          <w:szCs w:val="28"/>
          <w:lang w:val="uk-UA"/>
        </w:rPr>
        <w:t>система пенсійного забезпечення, рівні системи пенсійного забезпечення, загальнообов’язкове державне пенсійне страхування</w:t>
      </w:r>
      <w:r w:rsidR="003476F8" w:rsidRPr="00511005">
        <w:rPr>
          <w:rFonts w:ascii="Arial" w:eastAsia="Calibri" w:hAnsi="Arial" w:cs="Arial"/>
          <w:szCs w:val="28"/>
          <w:lang w:val="uk-UA"/>
        </w:rPr>
        <w:t>.</w:t>
      </w:r>
    </w:p>
    <w:p w14:paraId="3EB777A7" w14:textId="18376873" w:rsidR="003476F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en-US"/>
        </w:rPr>
        <w:lastRenderedPageBreak/>
        <w:t xml:space="preserve">Key words: </w:t>
      </w:r>
      <w:r w:rsidR="003476F8" w:rsidRPr="00511005">
        <w:rPr>
          <w:rFonts w:ascii="Arial" w:eastAsia="Calibri" w:hAnsi="Arial" w:cs="Arial"/>
          <w:szCs w:val="28"/>
          <w:lang w:val="en-US"/>
        </w:rPr>
        <w:t>pension system, levels of pension systems, compulsory state pension insurance.</w:t>
      </w:r>
    </w:p>
    <w:p w14:paraId="1F762134" w14:textId="032DDDF9" w:rsidR="003476F8" w:rsidRPr="00511005" w:rsidRDefault="007B2628" w:rsidP="007D28FC">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3476F8" w:rsidRPr="00511005">
        <w:rPr>
          <w:rFonts w:ascii="Arial" w:eastAsia="Calibri" w:hAnsi="Arial" w:cs="Arial"/>
          <w:i/>
          <w:szCs w:val="28"/>
          <w:lang w:val="uk-UA"/>
        </w:rPr>
        <w:t>д.ю.н., проф. Бориченко К. В.</w:t>
      </w:r>
    </w:p>
    <w:p w14:paraId="08C48FA3" w14:textId="77777777" w:rsidR="003476F8" w:rsidRPr="00511005" w:rsidRDefault="003476F8" w:rsidP="003A292D">
      <w:pPr>
        <w:spacing w:line="264" w:lineRule="auto"/>
        <w:ind w:firstLine="567"/>
        <w:rPr>
          <w:rFonts w:ascii="Arial" w:eastAsia="Calibri" w:hAnsi="Arial" w:cs="Arial"/>
          <w:szCs w:val="28"/>
          <w:lang w:val="uk-UA"/>
        </w:rPr>
      </w:pPr>
    </w:p>
    <w:p w14:paraId="77C7248C" w14:textId="77777777" w:rsidR="003476F8" w:rsidRPr="00511005" w:rsidRDefault="003476F8" w:rsidP="003A292D">
      <w:pPr>
        <w:spacing w:line="264" w:lineRule="auto"/>
        <w:ind w:firstLine="567"/>
        <w:rPr>
          <w:rFonts w:ascii="Arial" w:eastAsia="Calibri" w:hAnsi="Arial" w:cs="Arial"/>
          <w:szCs w:val="28"/>
          <w:lang w:val="uk-UA"/>
        </w:rPr>
      </w:pPr>
    </w:p>
    <w:p w14:paraId="2DD201E0" w14:textId="77777777" w:rsidR="003476F8" w:rsidRPr="00511005" w:rsidRDefault="003476F8" w:rsidP="003A292D">
      <w:pPr>
        <w:widowControl w:val="0"/>
        <w:autoSpaceDE w:val="0"/>
        <w:autoSpaceDN w:val="0"/>
        <w:adjustRightInd w:val="0"/>
        <w:spacing w:line="264" w:lineRule="auto"/>
        <w:ind w:left="-567"/>
        <w:jc w:val="center"/>
        <w:rPr>
          <w:rFonts w:ascii="Arial" w:eastAsia="Times New Roman" w:hAnsi="Arial" w:cs="Arial"/>
          <w:b/>
          <w:i/>
          <w:iCs/>
          <w:szCs w:val="28"/>
          <w:lang w:eastAsia="ru-RU"/>
        </w:rPr>
      </w:pPr>
      <w:r w:rsidRPr="00511005">
        <w:rPr>
          <w:rFonts w:ascii="Arial" w:eastAsia="Times New Roman" w:hAnsi="Arial" w:cs="Arial"/>
          <w:b/>
          <w:i/>
          <w:iCs/>
          <w:szCs w:val="28"/>
          <w:lang w:val="uk-UA" w:eastAsia="ru-RU"/>
        </w:rPr>
        <w:t>Баранецька Ірина</w:t>
      </w:r>
      <w:r w:rsidRPr="00511005">
        <w:rPr>
          <w:rFonts w:ascii="Arial" w:eastAsia="Times New Roman" w:hAnsi="Arial" w:cs="Arial"/>
          <w:b/>
          <w:i/>
          <w:iCs/>
          <w:szCs w:val="28"/>
          <w:lang w:eastAsia="ru-RU"/>
        </w:rPr>
        <w:t xml:space="preserve"> Сергіївна</w:t>
      </w:r>
    </w:p>
    <w:p w14:paraId="6C9EC151" w14:textId="665A540F" w:rsidR="003476F8" w:rsidRPr="00511005" w:rsidRDefault="00536AAB" w:rsidP="003A292D">
      <w:pPr>
        <w:widowControl w:val="0"/>
        <w:autoSpaceDE w:val="0"/>
        <w:autoSpaceDN w:val="0"/>
        <w:adjustRightInd w:val="0"/>
        <w:spacing w:line="264" w:lineRule="auto"/>
        <w:ind w:left="-567"/>
        <w:jc w:val="center"/>
        <w:rPr>
          <w:rFonts w:ascii="Arial" w:eastAsia="Times New Roman" w:hAnsi="Arial" w:cs="Arial"/>
          <w:bCs/>
          <w:szCs w:val="28"/>
          <w:lang w:eastAsia="ru-RU"/>
        </w:rPr>
      </w:pPr>
      <w:r w:rsidRPr="00511005">
        <w:rPr>
          <w:rFonts w:ascii="Arial" w:eastAsia="Times New Roman" w:hAnsi="Arial" w:cs="Arial"/>
          <w:bCs/>
          <w:szCs w:val="28"/>
          <w:lang w:eastAsia="ru-RU"/>
        </w:rPr>
        <w:t xml:space="preserve">студентка 2-го курсу </w:t>
      </w:r>
      <w:r w:rsidR="007B2628" w:rsidRPr="00511005">
        <w:rPr>
          <w:rFonts w:ascii="Arial" w:eastAsia="Times New Roman" w:hAnsi="Arial" w:cs="Arial"/>
          <w:bCs/>
          <w:szCs w:val="28"/>
          <w:lang w:eastAsia="ru-RU"/>
        </w:rPr>
        <w:t>факультету цивільної та господарської юстиції</w:t>
      </w:r>
      <w:r w:rsidR="003476F8" w:rsidRPr="00511005">
        <w:rPr>
          <w:rFonts w:ascii="Arial" w:eastAsia="Times New Roman" w:hAnsi="Arial" w:cs="Arial"/>
          <w:bCs/>
          <w:szCs w:val="28"/>
          <w:lang w:eastAsia="ru-RU"/>
        </w:rPr>
        <w:t xml:space="preserve"> </w:t>
      </w:r>
      <w:r w:rsidR="007B2628" w:rsidRPr="00511005">
        <w:rPr>
          <w:rFonts w:ascii="Arial" w:eastAsia="Times New Roman" w:hAnsi="Arial" w:cs="Arial"/>
          <w:bCs/>
          <w:szCs w:val="28"/>
          <w:lang w:eastAsia="ru-RU"/>
        </w:rPr>
        <w:t>Національного університету «Одеська юридична академія»</w:t>
      </w:r>
    </w:p>
    <w:p w14:paraId="216B438D" w14:textId="77777777" w:rsidR="003476F8" w:rsidRPr="00511005" w:rsidRDefault="003476F8" w:rsidP="003A292D">
      <w:pPr>
        <w:widowControl w:val="0"/>
        <w:autoSpaceDE w:val="0"/>
        <w:autoSpaceDN w:val="0"/>
        <w:adjustRightInd w:val="0"/>
        <w:spacing w:line="264" w:lineRule="auto"/>
        <w:ind w:left="-567"/>
        <w:jc w:val="center"/>
        <w:rPr>
          <w:rFonts w:ascii="Arial" w:eastAsia="Times New Roman" w:hAnsi="Arial" w:cs="Arial"/>
          <w:bCs/>
          <w:szCs w:val="28"/>
          <w:lang w:val="uk-UA" w:eastAsia="ru-RU"/>
        </w:rPr>
      </w:pPr>
    </w:p>
    <w:p w14:paraId="2B0B4D45" w14:textId="77777777" w:rsidR="003476F8" w:rsidRPr="00511005" w:rsidRDefault="003476F8" w:rsidP="003A292D">
      <w:pPr>
        <w:widowControl w:val="0"/>
        <w:tabs>
          <w:tab w:val="left" w:pos="7088"/>
        </w:tabs>
        <w:autoSpaceDE w:val="0"/>
        <w:autoSpaceDN w:val="0"/>
        <w:adjustRightInd w:val="0"/>
        <w:spacing w:line="264" w:lineRule="auto"/>
        <w:ind w:left="-567"/>
        <w:jc w:val="center"/>
        <w:rPr>
          <w:rFonts w:ascii="Arial" w:eastAsia="Times New Roman" w:hAnsi="Arial" w:cs="Arial"/>
          <w:b/>
          <w:szCs w:val="28"/>
          <w:lang w:eastAsia="ru-RU" w:bidi="uk-UA"/>
        </w:rPr>
      </w:pPr>
      <w:r w:rsidRPr="00511005">
        <w:rPr>
          <w:rFonts w:ascii="Arial" w:eastAsia="Times New Roman" w:hAnsi="Arial" w:cs="Arial"/>
          <w:b/>
          <w:szCs w:val="28"/>
          <w:lang w:eastAsia="ru-RU" w:bidi="uk-UA"/>
        </w:rPr>
        <w:t>ПРАКТИКА ЗАСТОСУВАННЯ ЗАХОДІВ ЗАОХОЧЕННЯ ДЛЯ ПРАЦІВНИКІВ ВІДОМИХ КОМПАНІЙ</w:t>
      </w:r>
    </w:p>
    <w:p w14:paraId="6BA009C2" w14:textId="77777777" w:rsidR="003476F8" w:rsidRPr="00511005" w:rsidRDefault="003476F8" w:rsidP="007D28FC">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У трудовому праві заохочення працівників розглядаються як елемент мотиваційної системи, що сприяє підвищенню продуктивності праці, формуванню відданості працівника своєму роботодавцю, а також реалізації стратегічних цілей організації. Заходи заохочення, які застосовуються до працівників, зазвичай мають форму морального або матеріального стимулювання і спрямовані на визнання трудових заслуг, ініціативності, інноваційності або лояльності до компанії. З правової точки зору, механізм застосування таких заходів передбачає як загальні принципи, закріплені у трудовому законодавстві, так і внутрішні політики роботодавця. Зокрема, відповідно до Кодексу законів про працю України, за сумлінне виконання трудових обов’язків, тривалу та бездоганну працю, новаторські пропозиції, що покращують виробничі процеси, працівники можуть бути відзначені подякою, преміями, почесними грамотами, нагородами, а також наданим додаткового часу на відпочинок або іншими заохочувальними заходами</w:t>
      </w:r>
      <w:r w:rsidRPr="00511005">
        <w:rPr>
          <w:rFonts w:ascii="Arial" w:eastAsia="Times New Roman" w:hAnsi="Arial" w:cs="Arial"/>
          <w:szCs w:val="28"/>
          <w:lang w:eastAsia="ru-RU" w:bidi="uk-UA"/>
        </w:rPr>
        <w:t xml:space="preserve"> [1]</w:t>
      </w:r>
      <w:r w:rsidRPr="00511005">
        <w:rPr>
          <w:rFonts w:ascii="Arial" w:eastAsia="Times New Roman" w:hAnsi="Arial" w:cs="Arial"/>
          <w:szCs w:val="28"/>
          <w:lang w:val="uk-UA" w:eastAsia="ru-RU" w:bidi="uk-UA"/>
        </w:rPr>
        <w:t>. Водночас закон залишає за роботодавцем значну автономію в розробці власної системи заохочень, що дає змогу адаптувати її до специфіки підприємства, культури організації та пріоритетів керівництва.</w:t>
      </w:r>
    </w:p>
    <w:p w14:paraId="75A3526E" w14:textId="77777777" w:rsidR="003476F8" w:rsidRPr="00511005" w:rsidRDefault="003476F8" w:rsidP="007D28FC">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У межах сучасної практики важливим чинником ефективного функціонування заохочувальних механізмів виступає чітка регламентація підстав і порядку їх застосування. Успішні компанії, зазвичай, формують політики, в яких визначаються критерії для надання винагород, відповідальні особи за прийняття рішень, а також процедури оскарження або перегляду відповідних рішень. Важливою умовою збереження правомірності таких заходів є забезпечення недискримінаційного підходу, тобто рівного ставлення до всіх працівників незалежно від статі, віку, раси, релігії або інших ознак. Крім того, значну роль відіграє принцип прозорості — чітке інформування працівників про доступні форми заохочення, умови їх отримання та строки реалізації.</w:t>
      </w:r>
    </w:p>
    <w:p w14:paraId="159E4903" w14:textId="77777777" w:rsidR="003476F8" w:rsidRPr="00511005" w:rsidRDefault="003476F8" w:rsidP="007D28FC">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Варто також наголосити, що практика застосування заходів заохочення поступово трансформується у відповідь на глобальні зміни в трудових відносинах. Серед актуальних тенденцій можна відзначити </w:t>
      </w:r>
      <w:r w:rsidRPr="00511005">
        <w:rPr>
          <w:rFonts w:ascii="Arial" w:eastAsia="Times New Roman" w:hAnsi="Arial" w:cs="Arial"/>
          <w:szCs w:val="28"/>
          <w:lang w:val="uk-UA" w:eastAsia="ru-RU" w:bidi="uk-UA"/>
        </w:rPr>
        <w:lastRenderedPageBreak/>
        <w:t>перехід від суто грошового стимулювання до комплексних програм, які включають можливості для особистісного і професійного розвитку, визнання досягнень на публічному рівні, створення комфортного психологічного середовища тощо. У таких програмах важливу роль починають відігравати не лише результати діяльності працівника, а й рівень його залученості, командна робота, інноваційність мислення та здатність адаптуватися до змін. Усе це свідчить про поступову еволюцію традиційного уявлення про заохочення в напрямі інтеграції трудових і психологічних аспектів мотивації.</w:t>
      </w:r>
    </w:p>
    <w:p w14:paraId="7463C616" w14:textId="77777777" w:rsidR="003476F8" w:rsidRPr="00511005" w:rsidRDefault="003476F8" w:rsidP="007D28FC">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Практика великих компаній дозволяє простежити широкий спектр методів і форм заохочення, які застосовуються у різних юрисдикціях. Наприклад, американська компанія Google відома своєю багаторівневою системою визнання працівників. Окрім традиційних грошових премій, компанія активно впроваджує гнучкі програми внутрішнього навчання, можливості кар’єрного зростання, а також надає доступ до розширених соціальних пакетів, які включають медичне страхування, оплачувані відпустки для ментального відновлення, безкоштовне харчування, а також часткову компенсацію витрат на навчання. Однією з інноваційних форм заохочення є надання працівникам опціонів на акції компанії, що не лише матеріально мотивує, а й формує почуття співпричетності до бізнес-успіху [3].</w:t>
      </w:r>
    </w:p>
    <w:p w14:paraId="32B33D91" w14:textId="77777777" w:rsidR="003476F8" w:rsidRPr="00511005" w:rsidRDefault="003476F8" w:rsidP="007D28FC">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У контексті європейських компаній слід згадати приклад німецького автоконцерну BMW, де система заохочень вибудована на поєднанні грошових премій за виробничі досягнення з нефінансовими мотиваційними інструментами, такими, як доступ до спеціальних програм підвищення кваліфікації, підтримка працівників із сім’ями, зокрема через фінансування дитячих садків та шкільної освіти, а також надання соціального житла. BMW також активно підтримує концепцію сталого розвитку праці, заохочуючи ініціативи з енергоефективності та екологічного вдосконалення виробництва, у яких працівники можуть брати участь і отримувати премії [2].</w:t>
      </w:r>
    </w:p>
    <w:p w14:paraId="214DBC05" w14:textId="77777777" w:rsidR="003476F8" w:rsidRPr="00511005" w:rsidRDefault="003476F8" w:rsidP="007D28FC">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У контексті України цікавим прикладом є практика компанії «Нова пошта». Серед заохочувальних заходів — система грошових премій за досягнення ключових показників ефективності, нагородження працівників, які демонструють зразкову поведінку або ініціативу, а також створення програми внутрішнього навчання, що дає змогу працівникам отримувати додаткові знання і просуватися по кар’єрних сходах. Компанія також реалізує соціальні проєкти, що дозволяють працівникам долучатися до корпоративної волонтерської діяльності, що також виступає своєрідним моральним заохоченням.</w:t>
      </w:r>
    </w:p>
    <w:p w14:paraId="3E32C536" w14:textId="77777777" w:rsidR="003476F8" w:rsidRPr="00511005" w:rsidRDefault="003476F8" w:rsidP="007D28FC">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Інша українська компанія – Rozetka відзначається політикою підтримки молодих спеціалістів і створенням умов для професійного розвитку. Серед мотиваційних заходів – бонуси за перевиконання планів, гнучкий графік для студентів, щомісячні конкурси з подарунками та корпоративні заходи</w:t>
      </w:r>
      <w:r w:rsidRPr="00511005">
        <w:rPr>
          <w:rFonts w:ascii="Arial" w:eastAsia="Times New Roman" w:hAnsi="Arial" w:cs="Arial"/>
          <w:szCs w:val="28"/>
          <w:lang w:eastAsia="ru-RU" w:bidi="uk-UA"/>
        </w:rPr>
        <w:t xml:space="preserve"> [4]</w:t>
      </w:r>
      <w:r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lastRenderedPageBreak/>
        <w:t>Компанія також підтримує систему внутрішніх нагород за найкращі ідеї, що дає змогу працівникам не лише отримати матеріальну винагороду, а й визнання серед колег.</w:t>
      </w:r>
    </w:p>
    <w:p w14:paraId="3CC487B4" w14:textId="77777777" w:rsidR="003476F8" w:rsidRPr="00511005" w:rsidRDefault="003476F8" w:rsidP="007D28FC">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Отже, практика застосування заходів заохочення в діяльності провідних компаній демонструє, що сучасна мотиваційна система має бути комплексною, гнучкою та соціально орієнтованою. Вона має поєднувати як матеріальні, так і нематеріальні стимули, враховувати індивідуальні потреби працівників і водночас залишатися правомірною в межах трудового законодавства. Такий підхід не лише сприяє утриманню кваліфікованих кадрів, а й формує позитивний імідж роботодавця, підвищує конкурентоспроможність організації на ринку праці й закладає підґрунтя для стійкого розвитку у довгостроковій перспективі.</w:t>
      </w:r>
    </w:p>
    <w:p w14:paraId="5A96CB1F" w14:textId="77777777" w:rsidR="003476F8" w:rsidRPr="00511005" w:rsidRDefault="003476F8" w:rsidP="003A292D">
      <w:pPr>
        <w:widowControl w:val="0"/>
        <w:tabs>
          <w:tab w:val="left" w:pos="7088"/>
        </w:tabs>
        <w:autoSpaceDE w:val="0"/>
        <w:autoSpaceDN w:val="0"/>
        <w:adjustRightInd w:val="0"/>
        <w:spacing w:line="264" w:lineRule="auto"/>
        <w:ind w:left="-567"/>
        <w:rPr>
          <w:rFonts w:ascii="Arial" w:eastAsia="Times New Roman" w:hAnsi="Arial" w:cs="Arial"/>
          <w:szCs w:val="28"/>
          <w:lang w:val="uk-UA" w:eastAsia="ru-RU" w:bidi="uk-UA"/>
        </w:rPr>
      </w:pPr>
    </w:p>
    <w:p w14:paraId="65FB5015" w14:textId="77777777" w:rsidR="003476F8" w:rsidRPr="00511005" w:rsidRDefault="003476F8" w:rsidP="003A292D">
      <w:pPr>
        <w:widowControl w:val="0"/>
        <w:autoSpaceDE w:val="0"/>
        <w:autoSpaceDN w:val="0"/>
        <w:adjustRightInd w:val="0"/>
        <w:spacing w:line="264" w:lineRule="auto"/>
        <w:ind w:left="-567" w:firstLine="0"/>
        <w:contextualSpacing/>
        <w:jc w:val="center"/>
        <w:rPr>
          <w:rFonts w:ascii="Arial" w:eastAsia="Times New Roman" w:hAnsi="Arial" w:cs="Arial"/>
          <w:b/>
          <w:szCs w:val="28"/>
          <w:lang w:eastAsia="ru-RU"/>
        </w:rPr>
      </w:pPr>
      <w:r w:rsidRPr="00511005">
        <w:rPr>
          <w:rFonts w:ascii="Arial" w:eastAsia="Times New Roman" w:hAnsi="Arial" w:cs="Arial"/>
          <w:b/>
          <w:szCs w:val="28"/>
          <w:lang w:eastAsia="ru-RU"/>
        </w:rPr>
        <w:t>Список викори</w:t>
      </w:r>
      <w:r w:rsidRPr="00511005">
        <w:rPr>
          <w:rFonts w:ascii="Arial" w:eastAsia="Times New Roman" w:hAnsi="Arial" w:cs="Arial"/>
          <w:b/>
          <w:szCs w:val="28"/>
          <w:lang w:val="en-US" w:eastAsia="ru-RU"/>
        </w:rPr>
        <w:t>c</w:t>
      </w:r>
      <w:r w:rsidRPr="00511005">
        <w:rPr>
          <w:rFonts w:ascii="Arial" w:eastAsia="Times New Roman" w:hAnsi="Arial" w:cs="Arial"/>
          <w:b/>
          <w:szCs w:val="28"/>
          <w:lang w:eastAsia="ru-RU"/>
        </w:rPr>
        <w:t>таних джерел</w:t>
      </w:r>
    </w:p>
    <w:p w14:paraId="753C1E13" w14:textId="77777777" w:rsidR="003476F8" w:rsidRPr="00511005" w:rsidRDefault="003476F8" w:rsidP="003F6A5D">
      <w:pPr>
        <w:widowControl w:val="0"/>
        <w:numPr>
          <w:ilvl w:val="0"/>
          <w:numId w:val="834"/>
        </w:numPr>
        <w:tabs>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Кодекс законів про працю України № 322-08 від 23.07.1996 р. </w:t>
      </w:r>
      <w:r w:rsidRPr="00511005">
        <w:rPr>
          <w:rFonts w:ascii="Arial" w:eastAsia="Times New Roman" w:hAnsi="Arial" w:cs="Arial"/>
          <w:bCs/>
          <w:szCs w:val="28"/>
          <w:lang w:eastAsia="ru-RU"/>
        </w:rPr>
        <w:t>URL</w:t>
      </w:r>
      <w:r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eastAsia="ru-RU"/>
        </w:rPr>
        <w:t>https</w:t>
      </w:r>
      <w:r w:rsidRPr="00511005">
        <w:rPr>
          <w:rFonts w:ascii="Arial" w:eastAsia="Times New Roman" w:hAnsi="Arial" w:cs="Arial"/>
          <w:bCs/>
          <w:szCs w:val="28"/>
          <w:lang w:val="uk-UA" w:eastAsia="ru-RU"/>
        </w:rPr>
        <w:t>://</w:t>
      </w:r>
      <w:r w:rsidRPr="00511005">
        <w:rPr>
          <w:rFonts w:ascii="Arial" w:eastAsia="Times New Roman" w:hAnsi="Arial" w:cs="Arial"/>
          <w:bCs/>
          <w:szCs w:val="28"/>
          <w:lang w:eastAsia="ru-RU"/>
        </w:rPr>
        <w:t>zakon</w:t>
      </w:r>
      <w:r w:rsidRPr="00511005">
        <w:rPr>
          <w:rFonts w:ascii="Arial" w:eastAsia="Times New Roman" w:hAnsi="Arial" w:cs="Arial"/>
          <w:bCs/>
          <w:szCs w:val="28"/>
          <w:lang w:val="uk-UA" w:eastAsia="ru-RU"/>
        </w:rPr>
        <w:t>.</w:t>
      </w:r>
      <w:r w:rsidRPr="00511005">
        <w:rPr>
          <w:rFonts w:ascii="Arial" w:eastAsia="Times New Roman" w:hAnsi="Arial" w:cs="Arial"/>
          <w:bCs/>
          <w:szCs w:val="28"/>
          <w:lang w:eastAsia="ru-RU"/>
        </w:rPr>
        <w:t>rada</w:t>
      </w:r>
      <w:r w:rsidRPr="00511005">
        <w:rPr>
          <w:rFonts w:ascii="Arial" w:eastAsia="Times New Roman" w:hAnsi="Arial" w:cs="Arial"/>
          <w:bCs/>
          <w:szCs w:val="28"/>
          <w:lang w:val="uk-UA" w:eastAsia="ru-RU"/>
        </w:rPr>
        <w:t>.</w:t>
      </w:r>
      <w:r w:rsidRPr="00511005">
        <w:rPr>
          <w:rFonts w:ascii="Arial" w:eastAsia="Times New Roman" w:hAnsi="Arial" w:cs="Arial"/>
          <w:bCs/>
          <w:szCs w:val="28"/>
          <w:lang w:eastAsia="ru-RU"/>
        </w:rPr>
        <w:t>gov</w:t>
      </w:r>
      <w:r w:rsidRPr="00511005">
        <w:rPr>
          <w:rFonts w:ascii="Arial" w:eastAsia="Times New Roman" w:hAnsi="Arial" w:cs="Arial"/>
          <w:bCs/>
          <w:szCs w:val="28"/>
          <w:lang w:val="uk-UA" w:eastAsia="ru-RU"/>
        </w:rPr>
        <w:t>.</w:t>
      </w:r>
      <w:r w:rsidRPr="00511005">
        <w:rPr>
          <w:rFonts w:ascii="Arial" w:eastAsia="Times New Roman" w:hAnsi="Arial" w:cs="Arial"/>
          <w:bCs/>
          <w:szCs w:val="28"/>
          <w:lang w:eastAsia="ru-RU"/>
        </w:rPr>
        <w:t>ua</w:t>
      </w:r>
      <w:r w:rsidRPr="00511005">
        <w:rPr>
          <w:rFonts w:ascii="Arial" w:eastAsia="Times New Roman" w:hAnsi="Arial" w:cs="Arial"/>
          <w:bCs/>
          <w:szCs w:val="28"/>
          <w:lang w:val="uk-UA" w:eastAsia="ru-RU"/>
        </w:rPr>
        <w:t>/</w:t>
      </w:r>
      <w:r w:rsidRPr="00511005">
        <w:rPr>
          <w:rFonts w:ascii="Arial" w:eastAsia="Times New Roman" w:hAnsi="Arial" w:cs="Arial"/>
          <w:bCs/>
          <w:szCs w:val="28"/>
          <w:lang w:eastAsia="ru-RU"/>
        </w:rPr>
        <w:t>laws</w:t>
      </w:r>
      <w:r w:rsidRPr="00511005">
        <w:rPr>
          <w:rFonts w:ascii="Arial" w:eastAsia="Times New Roman" w:hAnsi="Arial" w:cs="Arial"/>
          <w:bCs/>
          <w:szCs w:val="28"/>
          <w:lang w:val="uk-UA" w:eastAsia="ru-RU"/>
        </w:rPr>
        <w:t>/</w:t>
      </w:r>
      <w:r w:rsidRPr="00511005">
        <w:rPr>
          <w:rFonts w:ascii="Arial" w:eastAsia="Times New Roman" w:hAnsi="Arial" w:cs="Arial"/>
          <w:bCs/>
          <w:szCs w:val="28"/>
          <w:lang w:eastAsia="ru-RU"/>
        </w:rPr>
        <w:t>show</w:t>
      </w:r>
      <w:r w:rsidRPr="00511005">
        <w:rPr>
          <w:rFonts w:ascii="Arial" w:eastAsia="Times New Roman" w:hAnsi="Arial" w:cs="Arial"/>
          <w:bCs/>
          <w:szCs w:val="28"/>
          <w:lang w:val="uk-UA" w:eastAsia="ru-RU"/>
        </w:rPr>
        <w:t>/322-08/</w:t>
      </w:r>
      <w:r w:rsidRPr="00511005">
        <w:rPr>
          <w:rFonts w:ascii="Arial" w:eastAsia="Times New Roman" w:hAnsi="Arial" w:cs="Arial"/>
          <w:bCs/>
          <w:szCs w:val="28"/>
          <w:lang w:eastAsia="ru-RU"/>
        </w:rPr>
        <w:t>conv</w:t>
      </w:r>
      <w:r w:rsidRPr="00511005">
        <w:rPr>
          <w:rFonts w:ascii="Arial" w:eastAsia="Times New Roman" w:hAnsi="Arial" w:cs="Arial"/>
          <w:bCs/>
          <w:szCs w:val="28"/>
          <w:lang w:val="uk-UA" w:eastAsia="ru-RU"/>
        </w:rPr>
        <w:t>#</w:t>
      </w:r>
      <w:r w:rsidRPr="00511005">
        <w:rPr>
          <w:rFonts w:ascii="Arial" w:eastAsia="Times New Roman" w:hAnsi="Arial" w:cs="Arial"/>
          <w:bCs/>
          <w:szCs w:val="28"/>
          <w:lang w:eastAsia="ru-RU"/>
        </w:rPr>
        <w:t>Text</w:t>
      </w:r>
      <w:r w:rsidRPr="00511005">
        <w:rPr>
          <w:rFonts w:ascii="Arial" w:eastAsia="Times New Roman" w:hAnsi="Arial" w:cs="Arial"/>
          <w:bCs/>
          <w:szCs w:val="28"/>
          <w:lang w:val="uk-UA" w:eastAsia="ru-RU"/>
        </w:rPr>
        <w:t xml:space="preserve"> (дата звернення: 19.04.2025)​ </w:t>
      </w:r>
    </w:p>
    <w:p w14:paraId="1E5AC70D" w14:textId="77777777" w:rsidR="003476F8" w:rsidRPr="00511005" w:rsidRDefault="003476F8" w:rsidP="003F6A5D">
      <w:pPr>
        <w:widowControl w:val="0"/>
        <w:numPr>
          <w:ilvl w:val="0"/>
          <w:numId w:val="834"/>
        </w:numPr>
        <w:tabs>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Савченко О.І. Застосування зарубіжних методів мотивації праці на українських підприємствах. </w:t>
      </w:r>
      <w:r w:rsidRPr="00511005">
        <w:rPr>
          <w:rFonts w:ascii="Arial" w:eastAsia="Times New Roman" w:hAnsi="Arial" w:cs="Arial"/>
          <w:bCs/>
          <w:i/>
          <w:iCs/>
          <w:szCs w:val="28"/>
          <w:lang w:val="uk-UA" w:eastAsia="ru-RU"/>
        </w:rPr>
        <w:t>Галицький економічний вісник</w:t>
      </w:r>
      <w:r w:rsidRPr="00511005">
        <w:rPr>
          <w:rFonts w:ascii="Arial" w:eastAsia="Times New Roman" w:hAnsi="Arial" w:cs="Arial"/>
          <w:bCs/>
          <w:szCs w:val="28"/>
          <w:lang w:val="uk-UA" w:eastAsia="ru-RU"/>
        </w:rPr>
        <w:t xml:space="preserve">. 2021. </w:t>
      </w:r>
      <w:r w:rsidRPr="00511005">
        <w:rPr>
          <w:rFonts w:ascii="Arial" w:eastAsia="Times New Roman" w:hAnsi="Arial" w:cs="Arial"/>
          <w:bCs/>
          <w:szCs w:val="28"/>
          <w:lang w:eastAsia="ru-RU"/>
        </w:rPr>
        <w:t xml:space="preserve">URL: </w:t>
      </w:r>
      <w:hyperlink r:id="rId1642" w:tgtFrame="_new" w:history="1">
        <w:r w:rsidRPr="00511005">
          <w:rPr>
            <w:rFonts w:ascii="Arial" w:eastAsia="Times New Roman" w:hAnsi="Arial" w:cs="Arial"/>
            <w:bCs/>
            <w:szCs w:val="28"/>
            <w:lang w:eastAsia="ru-RU"/>
          </w:rPr>
          <w:t>https://galicianvisnyk.tntu.edu.ua/pdf/70/983.pdf</w:t>
        </w:r>
      </w:hyperlink>
      <w:r w:rsidRPr="00511005">
        <w:rPr>
          <w:rFonts w:ascii="Arial" w:eastAsia="Times New Roman" w:hAnsi="Arial" w:cs="Arial"/>
          <w:bCs/>
          <w:szCs w:val="28"/>
          <w:lang w:eastAsia="ru-RU"/>
        </w:rPr>
        <w:t xml:space="preserve"> (дата звернення: 19.04.2025)</w:t>
      </w:r>
    </w:p>
    <w:p w14:paraId="1B92F2D9" w14:textId="77777777" w:rsidR="003476F8" w:rsidRPr="00511005" w:rsidRDefault="003476F8" w:rsidP="003F6A5D">
      <w:pPr>
        <w:widowControl w:val="0"/>
        <w:numPr>
          <w:ilvl w:val="0"/>
          <w:numId w:val="834"/>
        </w:numPr>
        <w:tabs>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rPr>
      </w:pPr>
      <w:r w:rsidRPr="00511005">
        <w:rPr>
          <w:rFonts w:ascii="Arial" w:eastAsia="Times New Roman" w:hAnsi="Arial" w:cs="Arial"/>
          <w:bCs/>
          <w:szCs w:val="28"/>
          <w:lang w:eastAsia="ru-RU"/>
        </w:rPr>
        <w:t xml:space="preserve">Мельник О.І. Зарубіжний досвід використання системи праці та мотивації персоналу підприємства. </w:t>
      </w:r>
      <w:r w:rsidRPr="00511005">
        <w:rPr>
          <w:rFonts w:ascii="Arial" w:eastAsia="Times New Roman" w:hAnsi="Arial" w:cs="Arial"/>
          <w:bCs/>
          <w:i/>
          <w:iCs/>
          <w:szCs w:val="28"/>
          <w:lang w:eastAsia="ru-RU"/>
        </w:rPr>
        <w:t>Економіка та суспільство</w:t>
      </w:r>
      <w:r w:rsidRPr="00511005">
        <w:rPr>
          <w:rFonts w:ascii="Arial" w:eastAsia="Times New Roman" w:hAnsi="Arial" w:cs="Arial"/>
          <w:bCs/>
          <w:szCs w:val="28"/>
          <w:lang w:val="uk-UA" w:eastAsia="ru-RU"/>
        </w:rPr>
        <w:t>.</w:t>
      </w:r>
      <w:r w:rsidRPr="00511005">
        <w:rPr>
          <w:rFonts w:ascii="Arial" w:eastAsia="Times New Roman" w:hAnsi="Arial" w:cs="Arial"/>
          <w:bCs/>
          <w:szCs w:val="28"/>
          <w:lang w:eastAsia="ru-RU"/>
        </w:rPr>
        <w:t xml:space="preserve"> 2022</w:t>
      </w:r>
      <w:r w:rsidRPr="00511005">
        <w:rPr>
          <w:rFonts w:ascii="Arial" w:eastAsia="Times New Roman" w:hAnsi="Arial" w:cs="Arial"/>
          <w:bCs/>
          <w:szCs w:val="28"/>
          <w:lang w:val="uk-UA" w:eastAsia="ru-RU"/>
        </w:rPr>
        <w:t>.</w:t>
      </w:r>
      <w:r w:rsidRPr="00511005">
        <w:rPr>
          <w:rFonts w:ascii="Arial" w:eastAsia="Times New Roman" w:hAnsi="Arial" w:cs="Arial"/>
          <w:bCs/>
          <w:szCs w:val="28"/>
          <w:lang w:eastAsia="ru-RU"/>
        </w:rPr>
        <w:t xml:space="preserve"> №4. URL: </w:t>
      </w:r>
      <w:hyperlink r:id="rId1643" w:tgtFrame="_new" w:history="1">
        <w:r w:rsidRPr="00511005">
          <w:rPr>
            <w:rFonts w:ascii="Arial" w:eastAsia="Times New Roman" w:hAnsi="Arial" w:cs="Arial"/>
            <w:bCs/>
            <w:szCs w:val="28"/>
            <w:lang w:eastAsia="ru-RU"/>
          </w:rPr>
          <w:t>https://www.economy.nayka.com.ua/pdf/4_2022/154.pdf</w:t>
        </w:r>
      </w:hyperlink>
      <w:r w:rsidRPr="00511005">
        <w:rPr>
          <w:rFonts w:ascii="Arial" w:eastAsia="Times New Roman" w:hAnsi="Arial" w:cs="Arial"/>
          <w:bCs/>
          <w:szCs w:val="28"/>
          <w:lang w:eastAsia="ru-RU"/>
        </w:rPr>
        <w:t xml:space="preserve"> (дата звернення: 19.04.2025)</w:t>
      </w:r>
    </w:p>
    <w:p w14:paraId="6F7B405A" w14:textId="77777777" w:rsidR="003476F8" w:rsidRPr="00511005" w:rsidRDefault="003476F8" w:rsidP="003F6A5D">
      <w:pPr>
        <w:widowControl w:val="0"/>
        <w:numPr>
          <w:ilvl w:val="0"/>
          <w:numId w:val="834"/>
        </w:numPr>
        <w:tabs>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rPr>
      </w:pPr>
      <w:r w:rsidRPr="00511005">
        <w:rPr>
          <w:rFonts w:ascii="Arial" w:eastAsia="Times New Roman" w:hAnsi="Arial" w:cs="Arial"/>
          <w:bCs/>
          <w:szCs w:val="28"/>
          <w:lang w:eastAsia="ru-RU"/>
        </w:rPr>
        <w:t>Бондар</w:t>
      </w:r>
      <w:r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eastAsia="ru-RU"/>
        </w:rPr>
        <w:t>Т., Краснонос А. Сучасні методи мотивації персоналу.</w:t>
      </w:r>
      <w:r w:rsidRPr="00511005">
        <w:rPr>
          <w:rFonts w:ascii="Arial" w:eastAsia="Times New Roman" w:hAnsi="Arial" w:cs="Arial"/>
          <w:bCs/>
          <w:szCs w:val="28"/>
          <w:lang w:val="uk-UA" w:eastAsia="ru-RU"/>
        </w:rPr>
        <w:t xml:space="preserve"> </w:t>
      </w:r>
      <w:r w:rsidRPr="00511005">
        <w:rPr>
          <w:rFonts w:ascii="Arial" w:eastAsia="Times New Roman" w:hAnsi="Arial" w:cs="Arial"/>
          <w:bCs/>
          <w:i/>
          <w:iCs/>
          <w:szCs w:val="28"/>
          <w:lang w:eastAsia="ru-RU"/>
        </w:rPr>
        <w:t>Економіка та суспільство</w:t>
      </w:r>
      <w:r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eastAsia="ru-RU"/>
        </w:rPr>
        <w:t>2023.</w:t>
      </w:r>
      <w:r w:rsidRPr="00511005">
        <w:rPr>
          <w:rFonts w:ascii="Arial" w:eastAsia="Times New Roman" w:hAnsi="Arial" w:cs="Arial"/>
          <w:bCs/>
          <w:szCs w:val="28"/>
          <w:lang w:val="uk-UA" w:eastAsia="ru-RU"/>
        </w:rPr>
        <w:t xml:space="preserve"> № </w:t>
      </w:r>
      <w:r w:rsidRPr="00511005">
        <w:rPr>
          <w:rFonts w:ascii="Arial" w:eastAsia="Times New Roman" w:hAnsi="Arial" w:cs="Arial"/>
          <w:bCs/>
          <w:szCs w:val="28"/>
          <w:lang w:eastAsia="ru-RU"/>
        </w:rPr>
        <w:t>57.</w:t>
      </w:r>
      <w:r w:rsidRPr="00511005">
        <w:rPr>
          <w:rFonts w:ascii="Arial" w:eastAsia="Times New Roman" w:hAnsi="Arial" w:cs="Arial"/>
          <w:szCs w:val="28"/>
          <w:lang w:eastAsia="ru-RU"/>
        </w:rPr>
        <w:t xml:space="preserve"> </w:t>
      </w:r>
      <w:r w:rsidRPr="00511005">
        <w:rPr>
          <w:rFonts w:ascii="Arial" w:eastAsia="Times New Roman" w:hAnsi="Arial" w:cs="Arial"/>
          <w:bCs/>
          <w:szCs w:val="28"/>
          <w:lang w:val="en-US" w:eastAsia="ru-RU"/>
        </w:rPr>
        <w:t>URL</w:t>
      </w:r>
      <w:r w:rsidRPr="00511005">
        <w:rPr>
          <w:rFonts w:ascii="Arial" w:eastAsia="Times New Roman" w:hAnsi="Arial" w:cs="Arial"/>
          <w:bCs/>
          <w:szCs w:val="28"/>
          <w:lang w:eastAsia="ru-RU"/>
        </w:rPr>
        <w:t xml:space="preserve">: </w:t>
      </w:r>
      <w:hyperlink r:id="rId1644" w:history="1">
        <w:r w:rsidRPr="00511005">
          <w:rPr>
            <w:rFonts w:ascii="Arial" w:eastAsia="Times New Roman" w:hAnsi="Arial" w:cs="Arial"/>
            <w:bCs/>
            <w:szCs w:val="28"/>
            <w:lang w:val="en-US" w:eastAsia="ru-RU"/>
          </w:rPr>
          <w:t>https</w:t>
        </w:r>
        <w:r w:rsidRPr="00511005">
          <w:rPr>
            <w:rFonts w:ascii="Arial" w:eastAsia="Times New Roman" w:hAnsi="Arial" w:cs="Arial"/>
            <w:bCs/>
            <w:szCs w:val="28"/>
            <w:lang w:eastAsia="ru-RU"/>
          </w:rPr>
          <w:t>://</w:t>
        </w:r>
        <w:r w:rsidRPr="00511005">
          <w:rPr>
            <w:rFonts w:ascii="Arial" w:eastAsia="Times New Roman" w:hAnsi="Arial" w:cs="Arial"/>
            <w:bCs/>
            <w:szCs w:val="28"/>
            <w:lang w:val="en-US" w:eastAsia="ru-RU"/>
          </w:rPr>
          <w:t>economyandsociety</w:t>
        </w:r>
        <w:r w:rsidRPr="00511005">
          <w:rPr>
            <w:rFonts w:ascii="Arial" w:eastAsia="Times New Roman" w:hAnsi="Arial" w:cs="Arial"/>
            <w:bCs/>
            <w:szCs w:val="28"/>
            <w:lang w:eastAsia="ru-RU"/>
          </w:rPr>
          <w:t>.</w:t>
        </w:r>
        <w:r w:rsidRPr="00511005">
          <w:rPr>
            <w:rFonts w:ascii="Arial" w:eastAsia="Times New Roman" w:hAnsi="Arial" w:cs="Arial"/>
            <w:bCs/>
            <w:szCs w:val="28"/>
            <w:lang w:val="en-US" w:eastAsia="ru-RU"/>
          </w:rPr>
          <w:t>in</w:t>
        </w:r>
        <w:r w:rsidRPr="00511005">
          <w:rPr>
            <w:rFonts w:ascii="Arial" w:eastAsia="Times New Roman" w:hAnsi="Arial" w:cs="Arial"/>
            <w:bCs/>
            <w:szCs w:val="28"/>
            <w:lang w:eastAsia="ru-RU"/>
          </w:rPr>
          <w:t>.</w:t>
        </w:r>
        <w:r w:rsidRPr="00511005">
          <w:rPr>
            <w:rFonts w:ascii="Arial" w:eastAsia="Times New Roman" w:hAnsi="Arial" w:cs="Arial"/>
            <w:bCs/>
            <w:szCs w:val="28"/>
            <w:lang w:val="en-US" w:eastAsia="ru-RU"/>
          </w:rPr>
          <w:t>ua</w:t>
        </w:r>
        <w:r w:rsidRPr="00511005">
          <w:rPr>
            <w:rFonts w:ascii="Arial" w:eastAsia="Times New Roman" w:hAnsi="Arial" w:cs="Arial"/>
            <w:bCs/>
            <w:szCs w:val="28"/>
            <w:lang w:eastAsia="ru-RU"/>
          </w:rPr>
          <w:t>/</w:t>
        </w:r>
        <w:r w:rsidRPr="00511005">
          <w:rPr>
            <w:rFonts w:ascii="Arial" w:eastAsia="Times New Roman" w:hAnsi="Arial" w:cs="Arial"/>
            <w:bCs/>
            <w:szCs w:val="28"/>
            <w:lang w:val="en-US" w:eastAsia="ru-RU"/>
          </w:rPr>
          <w:t>index</w:t>
        </w:r>
        <w:r w:rsidRPr="00511005">
          <w:rPr>
            <w:rFonts w:ascii="Arial" w:eastAsia="Times New Roman" w:hAnsi="Arial" w:cs="Arial"/>
            <w:bCs/>
            <w:szCs w:val="28"/>
            <w:lang w:eastAsia="ru-RU"/>
          </w:rPr>
          <w:t>.</w:t>
        </w:r>
        <w:r w:rsidRPr="00511005">
          <w:rPr>
            <w:rFonts w:ascii="Arial" w:eastAsia="Times New Roman" w:hAnsi="Arial" w:cs="Arial"/>
            <w:bCs/>
            <w:szCs w:val="28"/>
            <w:lang w:val="en-US" w:eastAsia="ru-RU"/>
          </w:rPr>
          <w:t>php</w:t>
        </w:r>
        <w:r w:rsidRPr="00511005">
          <w:rPr>
            <w:rFonts w:ascii="Arial" w:eastAsia="Times New Roman" w:hAnsi="Arial" w:cs="Arial"/>
            <w:bCs/>
            <w:szCs w:val="28"/>
            <w:lang w:eastAsia="ru-RU"/>
          </w:rPr>
          <w:t>/</w:t>
        </w:r>
        <w:r w:rsidRPr="00511005">
          <w:rPr>
            <w:rFonts w:ascii="Arial" w:eastAsia="Times New Roman" w:hAnsi="Arial" w:cs="Arial"/>
            <w:bCs/>
            <w:szCs w:val="28"/>
            <w:lang w:val="en-US" w:eastAsia="ru-RU"/>
          </w:rPr>
          <w:t>journal</w:t>
        </w:r>
        <w:r w:rsidRPr="00511005">
          <w:rPr>
            <w:rFonts w:ascii="Arial" w:eastAsia="Times New Roman" w:hAnsi="Arial" w:cs="Arial"/>
            <w:bCs/>
            <w:szCs w:val="28"/>
            <w:lang w:eastAsia="ru-RU"/>
          </w:rPr>
          <w:t>/</w:t>
        </w:r>
        <w:r w:rsidRPr="00511005">
          <w:rPr>
            <w:rFonts w:ascii="Arial" w:eastAsia="Times New Roman" w:hAnsi="Arial" w:cs="Arial"/>
            <w:bCs/>
            <w:szCs w:val="28"/>
            <w:lang w:val="en-US" w:eastAsia="ru-RU"/>
          </w:rPr>
          <w:t>article</w:t>
        </w:r>
        <w:r w:rsidRPr="00511005">
          <w:rPr>
            <w:rFonts w:ascii="Arial" w:eastAsia="Times New Roman" w:hAnsi="Arial" w:cs="Arial"/>
            <w:bCs/>
            <w:szCs w:val="28"/>
            <w:lang w:eastAsia="ru-RU"/>
          </w:rPr>
          <w:t>/</w:t>
        </w:r>
        <w:r w:rsidRPr="00511005">
          <w:rPr>
            <w:rFonts w:ascii="Arial" w:eastAsia="Times New Roman" w:hAnsi="Arial" w:cs="Arial"/>
            <w:bCs/>
            <w:szCs w:val="28"/>
            <w:lang w:val="en-US" w:eastAsia="ru-RU"/>
          </w:rPr>
          <w:t>view</w:t>
        </w:r>
        <w:r w:rsidRPr="00511005">
          <w:rPr>
            <w:rFonts w:ascii="Arial" w:eastAsia="Times New Roman" w:hAnsi="Arial" w:cs="Arial"/>
            <w:bCs/>
            <w:szCs w:val="28"/>
            <w:lang w:eastAsia="ru-RU"/>
          </w:rPr>
          <w:t>/3235</w:t>
        </w:r>
      </w:hyperlink>
      <w:r w:rsidRPr="00511005">
        <w:rPr>
          <w:rFonts w:ascii="Arial" w:eastAsia="Times New Roman" w:hAnsi="Arial" w:cs="Arial"/>
          <w:bCs/>
          <w:szCs w:val="28"/>
          <w:lang w:eastAsia="ru-RU"/>
        </w:rPr>
        <w:t xml:space="preserve"> (дата звернення: 19.04.2025)</w:t>
      </w:r>
    </w:p>
    <w:p w14:paraId="6660AE82" w14:textId="77777777" w:rsidR="003476F8" w:rsidRPr="00511005" w:rsidRDefault="003476F8" w:rsidP="003A292D">
      <w:pPr>
        <w:widowControl w:val="0"/>
        <w:tabs>
          <w:tab w:val="left" w:pos="993"/>
          <w:tab w:val="left" w:pos="7088"/>
        </w:tabs>
        <w:autoSpaceDE w:val="0"/>
        <w:autoSpaceDN w:val="0"/>
        <w:adjustRightInd w:val="0"/>
        <w:spacing w:line="264" w:lineRule="auto"/>
        <w:ind w:left="-567"/>
        <w:contextualSpacing/>
        <w:rPr>
          <w:rFonts w:ascii="Arial" w:eastAsia="Times New Roman" w:hAnsi="Arial" w:cs="Arial"/>
          <w:b/>
          <w:szCs w:val="28"/>
          <w:lang w:eastAsia="ru-RU"/>
        </w:rPr>
      </w:pPr>
    </w:p>
    <w:p w14:paraId="2613AE22" w14:textId="274950DD" w:rsidR="003476F8" w:rsidRPr="00511005" w:rsidRDefault="007B2628" w:rsidP="003A292D">
      <w:pPr>
        <w:widowControl w:val="0"/>
        <w:tabs>
          <w:tab w:val="left" w:pos="993"/>
          <w:tab w:val="left" w:pos="7088"/>
        </w:tabs>
        <w:autoSpaceDE w:val="0"/>
        <w:autoSpaceDN w:val="0"/>
        <w:adjustRightInd w:val="0"/>
        <w:spacing w:line="264" w:lineRule="auto"/>
        <w:ind w:left="-567"/>
        <w:contextualSpacing/>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003476F8" w:rsidRPr="00511005">
        <w:rPr>
          <w:rFonts w:ascii="Arial" w:eastAsia="Times New Roman" w:hAnsi="Arial" w:cs="Arial"/>
          <w:szCs w:val="28"/>
          <w:lang w:eastAsia="ru-RU"/>
        </w:rPr>
        <w:t>трудове право, заохочення працівників, мотивація персоналу, кадрова політика, зарубіжний досвід.</w:t>
      </w:r>
    </w:p>
    <w:p w14:paraId="5C0C2052" w14:textId="6C28CE38" w:rsidR="003476F8" w:rsidRPr="00511005" w:rsidRDefault="007B2628" w:rsidP="003A292D">
      <w:pPr>
        <w:widowControl w:val="0"/>
        <w:tabs>
          <w:tab w:val="left" w:pos="993"/>
          <w:tab w:val="left" w:pos="7088"/>
        </w:tabs>
        <w:autoSpaceDE w:val="0"/>
        <w:autoSpaceDN w:val="0"/>
        <w:adjustRightInd w:val="0"/>
        <w:spacing w:line="264" w:lineRule="auto"/>
        <w:ind w:left="-567"/>
        <w:contextualSpacing/>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3476F8" w:rsidRPr="00511005">
        <w:rPr>
          <w:rFonts w:ascii="Arial" w:eastAsia="Times New Roman" w:hAnsi="Arial" w:cs="Arial"/>
          <w:szCs w:val="28"/>
          <w:lang w:val="en-US" w:eastAsia="ru-RU"/>
        </w:rPr>
        <w:t>labor law, employee incentives, staff motivation, personnel policy, international experience.</w:t>
      </w:r>
    </w:p>
    <w:p w14:paraId="5840DF0D" w14:textId="28972BE1" w:rsidR="003476F8" w:rsidRPr="00511005" w:rsidRDefault="007B2628" w:rsidP="003A292D">
      <w:pPr>
        <w:widowControl w:val="0"/>
        <w:autoSpaceDE w:val="0"/>
        <w:autoSpaceDN w:val="0"/>
        <w:adjustRightInd w:val="0"/>
        <w:spacing w:line="264" w:lineRule="auto"/>
        <w:ind w:left="-567" w:right="-143"/>
        <w:contextualSpacing/>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003476F8" w:rsidRPr="00511005">
        <w:rPr>
          <w:rFonts w:ascii="Arial" w:eastAsia="Times New Roman" w:hAnsi="Arial" w:cs="Arial"/>
          <w:i/>
          <w:iCs/>
          <w:szCs w:val="28"/>
          <w:lang w:eastAsia="ru-RU"/>
        </w:rPr>
        <w:t>к.ю.н., доцент, доцент Панченко А.О.</w:t>
      </w:r>
    </w:p>
    <w:p w14:paraId="660E2BA2" w14:textId="48ACD439" w:rsidR="0087239D" w:rsidRPr="00511005" w:rsidRDefault="0087239D" w:rsidP="003A292D">
      <w:pPr>
        <w:widowControl w:val="0"/>
        <w:autoSpaceDE w:val="0"/>
        <w:autoSpaceDN w:val="0"/>
        <w:adjustRightInd w:val="0"/>
        <w:spacing w:line="264" w:lineRule="auto"/>
        <w:ind w:left="-567" w:right="-143"/>
        <w:contextualSpacing/>
        <w:rPr>
          <w:rFonts w:ascii="Arial" w:eastAsia="Times New Roman" w:hAnsi="Arial" w:cs="Arial"/>
          <w:i/>
          <w:iCs/>
          <w:szCs w:val="28"/>
          <w:lang w:eastAsia="ru-RU"/>
        </w:rPr>
      </w:pPr>
    </w:p>
    <w:p w14:paraId="2956578A" w14:textId="77777777" w:rsidR="0087239D" w:rsidRPr="00511005" w:rsidRDefault="0087239D" w:rsidP="003A292D">
      <w:pPr>
        <w:widowControl w:val="0"/>
        <w:autoSpaceDE w:val="0"/>
        <w:autoSpaceDN w:val="0"/>
        <w:adjustRightInd w:val="0"/>
        <w:spacing w:line="264" w:lineRule="auto"/>
        <w:ind w:left="-567" w:right="-143"/>
        <w:contextualSpacing/>
        <w:rPr>
          <w:rFonts w:ascii="Arial" w:eastAsia="Times New Roman" w:hAnsi="Arial" w:cs="Arial"/>
          <w:i/>
          <w:iCs/>
          <w:szCs w:val="28"/>
          <w:lang w:eastAsia="ru-RU"/>
        </w:rPr>
      </w:pPr>
    </w:p>
    <w:p w14:paraId="005F9E52" w14:textId="77777777" w:rsidR="007D28FC" w:rsidRDefault="007D28FC">
      <w:pPr>
        <w:spacing w:after="200" w:line="276" w:lineRule="auto"/>
        <w:ind w:firstLine="0"/>
        <w:jc w:val="left"/>
        <w:rPr>
          <w:rFonts w:ascii="Arial" w:eastAsia="Times New Roman" w:hAnsi="Arial" w:cs="Arial"/>
          <w:b/>
          <w:bCs/>
          <w:i/>
          <w:iCs/>
          <w:szCs w:val="28"/>
          <w:lang w:val="uk-UA" w:eastAsia="en-GB"/>
        </w:rPr>
      </w:pPr>
      <w:r>
        <w:rPr>
          <w:rFonts w:ascii="Arial" w:eastAsia="Times New Roman" w:hAnsi="Arial" w:cs="Arial"/>
          <w:b/>
          <w:bCs/>
          <w:i/>
          <w:iCs/>
          <w:szCs w:val="28"/>
          <w:lang w:val="uk-UA" w:eastAsia="en-GB"/>
        </w:rPr>
        <w:br w:type="page"/>
      </w:r>
    </w:p>
    <w:p w14:paraId="29147FF5" w14:textId="40BBD177" w:rsidR="003476F8" w:rsidRPr="00511005" w:rsidRDefault="003476F8" w:rsidP="003A292D">
      <w:pPr>
        <w:spacing w:line="264" w:lineRule="auto"/>
        <w:ind w:firstLine="0"/>
        <w:jc w:val="center"/>
        <w:rPr>
          <w:rFonts w:ascii="Arial" w:eastAsia="Times New Roman" w:hAnsi="Arial" w:cs="Arial"/>
          <w:b/>
          <w:bCs/>
          <w:i/>
          <w:iCs/>
          <w:szCs w:val="28"/>
          <w:lang w:val="uk-UA" w:eastAsia="en-GB"/>
        </w:rPr>
      </w:pPr>
      <w:r w:rsidRPr="00511005">
        <w:rPr>
          <w:rFonts w:ascii="Arial" w:eastAsia="Times New Roman" w:hAnsi="Arial" w:cs="Arial"/>
          <w:b/>
          <w:bCs/>
          <w:i/>
          <w:iCs/>
          <w:szCs w:val="28"/>
          <w:lang w:val="uk-UA" w:eastAsia="en-GB"/>
        </w:rPr>
        <w:lastRenderedPageBreak/>
        <w:t>Безчеснюк Максим Ігорович</w:t>
      </w:r>
    </w:p>
    <w:p w14:paraId="127DB532" w14:textId="536EEA76" w:rsidR="003476F8" w:rsidRPr="00511005" w:rsidRDefault="00536AAB" w:rsidP="003A292D">
      <w:pPr>
        <w:spacing w:line="264" w:lineRule="auto"/>
        <w:ind w:firstLine="0"/>
        <w:jc w:val="center"/>
        <w:rPr>
          <w:rFonts w:ascii="Arial" w:eastAsia="Times New Roman" w:hAnsi="Arial" w:cs="Arial"/>
          <w:szCs w:val="28"/>
          <w:lang w:val="uk-UA" w:eastAsia="en-GB"/>
        </w:rPr>
      </w:pPr>
      <w:r w:rsidRPr="00511005">
        <w:rPr>
          <w:rFonts w:ascii="Arial" w:eastAsia="Times New Roman" w:hAnsi="Arial" w:cs="Arial"/>
          <w:szCs w:val="28"/>
          <w:lang w:val="uk-UA" w:eastAsia="en-GB"/>
        </w:rPr>
        <w:t>студент 2-го курсу факультету адвокатури та антикорупційної діяльності</w:t>
      </w:r>
    </w:p>
    <w:p w14:paraId="7B9CF4CF" w14:textId="6CB1E4CF" w:rsidR="003476F8" w:rsidRPr="00511005" w:rsidRDefault="007B2628" w:rsidP="003A292D">
      <w:pPr>
        <w:spacing w:line="264" w:lineRule="auto"/>
        <w:ind w:firstLine="0"/>
        <w:jc w:val="center"/>
        <w:rPr>
          <w:rFonts w:ascii="Arial" w:eastAsia="Times New Roman" w:hAnsi="Arial" w:cs="Arial"/>
          <w:szCs w:val="28"/>
          <w:lang w:val="uk-UA" w:eastAsia="en-GB"/>
        </w:rPr>
      </w:pPr>
      <w:r w:rsidRPr="00511005">
        <w:rPr>
          <w:rFonts w:ascii="Arial" w:eastAsia="Times New Roman" w:hAnsi="Arial" w:cs="Arial"/>
          <w:szCs w:val="28"/>
          <w:lang w:val="uk-UA" w:eastAsia="en-GB"/>
        </w:rPr>
        <w:t>Національного університету «Одеська юридична академія»</w:t>
      </w:r>
    </w:p>
    <w:p w14:paraId="4F68AB80" w14:textId="77777777" w:rsidR="003476F8" w:rsidRPr="00511005" w:rsidRDefault="003476F8" w:rsidP="003A292D">
      <w:pPr>
        <w:spacing w:line="264" w:lineRule="auto"/>
        <w:ind w:firstLine="0"/>
        <w:jc w:val="center"/>
        <w:rPr>
          <w:rFonts w:ascii="Arial" w:eastAsia="Times New Roman" w:hAnsi="Arial" w:cs="Arial"/>
          <w:szCs w:val="28"/>
          <w:lang w:val="uk-UA" w:eastAsia="en-GB"/>
        </w:rPr>
      </w:pPr>
    </w:p>
    <w:p w14:paraId="7D88228A" w14:textId="77777777" w:rsidR="003476F8" w:rsidRPr="00511005" w:rsidRDefault="003476F8" w:rsidP="003A292D">
      <w:pPr>
        <w:spacing w:line="264" w:lineRule="auto"/>
        <w:ind w:firstLine="0"/>
        <w:jc w:val="center"/>
        <w:rPr>
          <w:rFonts w:ascii="Arial" w:eastAsia="Times New Roman" w:hAnsi="Arial" w:cs="Arial"/>
          <w:b/>
          <w:bCs/>
          <w:szCs w:val="28"/>
          <w:lang w:val="uk-UA" w:eastAsia="en-GB"/>
        </w:rPr>
      </w:pPr>
      <w:r w:rsidRPr="00511005">
        <w:rPr>
          <w:rFonts w:ascii="Arial" w:eastAsia="Times New Roman" w:hAnsi="Arial" w:cs="Arial"/>
          <w:b/>
          <w:bCs/>
          <w:szCs w:val="28"/>
          <w:lang w:val="uk-UA" w:eastAsia="en-GB"/>
        </w:rPr>
        <w:t xml:space="preserve">ЕЛЕКТРОННИЙ ДОКУМЕНТООБІГ У ТРУДОВОМУ ПРАВІ: </w:t>
      </w:r>
    </w:p>
    <w:p w14:paraId="6AA20E8D" w14:textId="77777777" w:rsidR="003476F8" w:rsidRPr="00511005" w:rsidRDefault="003476F8" w:rsidP="003A292D">
      <w:pPr>
        <w:spacing w:line="264" w:lineRule="auto"/>
        <w:ind w:firstLine="0"/>
        <w:jc w:val="center"/>
        <w:rPr>
          <w:rFonts w:ascii="Arial" w:eastAsia="Times New Roman" w:hAnsi="Arial" w:cs="Arial"/>
          <w:szCs w:val="28"/>
          <w:lang w:val="uk-UA" w:eastAsia="en-GB"/>
        </w:rPr>
      </w:pPr>
      <w:r w:rsidRPr="00511005">
        <w:rPr>
          <w:rFonts w:ascii="Arial" w:eastAsia="Times New Roman" w:hAnsi="Arial" w:cs="Arial"/>
          <w:b/>
          <w:bCs/>
          <w:szCs w:val="28"/>
          <w:lang w:val="uk-UA" w:eastAsia="en-GB"/>
        </w:rPr>
        <w:t>СУЧАСНИЙ СТАН ТА ПЕРСПЕКТИВИ РОЗВИТКУ</w:t>
      </w:r>
    </w:p>
    <w:p w14:paraId="66153254"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У сучасних умовах цифрової трансформації українського суспільства електронний документообіг набуває дедалі більшого значення в різних галузях, зокрема у сфері трудового права. Поступовий перехід від паперових форм до електронних не лише прискорює й спрощує кадрові процеси, а й ставить нові виклики перед правовою системою, роботодавцями та працівниками. Цей процес супроводжується нормативними змінами, розвитком технічної інфраструктури та необхідністю гарантувати правову силу електронних документів.</w:t>
      </w:r>
    </w:p>
    <w:p w14:paraId="5638AB10"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В українському трудовому праві діджиталізація вже має чітку нормативну рамку: базові дефініції електронного документа закріплені у Законі України «Про електронні документи та електронний документообіг», де електронний документ визначено як інформацію у формі електронних даних із належними реквізитами [1]. Це положення стало відправною точкою для впровадження цифрових інструментів у сфері праці.</w:t>
      </w:r>
    </w:p>
    <w:p w14:paraId="570769E4" w14:textId="2C493CA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Першим масштабним кроком у трудовій сфері став Закон України</w:t>
      </w:r>
      <w:r w:rsidR="007B2628" w:rsidRPr="00511005">
        <w:rPr>
          <w:rFonts w:ascii="Arial" w:eastAsia="Times New Roman" w:hAnsi="Arial" w:cs="Arial"/>
          <w:szCs w:val="28"/>
          <w:lang w:val="uk-UA" w:eastAsia="en-GB"/>
        </w:rPr>
        <w:t xml:space="preserve"> </w:t>
      </w:r>
      <w:r w:rsidRPr="00511005">
        <w:rPr>
          <w:rFonts w:ascii="Arial" w:eastAsia="Times New Roman" w:hAnsi="Arial" w:cs="Arial"/>
          <w:szCs w:val="28"/>
          <w:lang w:val="uk-UA" w:eastAsia="en-GB"/>
        </w:rPr>
        <w:t>№ 1217-IX, який перевів облік трудової діяльності працівника в електронну форму та визначив п’ятирічний перехідний період — до 10 червня 2026 р. [2]. Відповідно, Пенсійний фонд формує електронну трудову книжку, а паперова стане факультативною — це вже офіційно підтверджено інформаційними роз’ясненнями профільних платформ.</w:t>
      </w:r>
    </w:p>
    <w:p w14:paraId="52762AF1"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Окрему нішу в електронному документообігу посідає медико-соціальний сегмент. Постанова Кабінету Міністрів України № 328 від 17 квітня 2019 р. запустила Електронний реєстр листків непрацездатності, з якого страхувальники отримують лікарняні виключно в цифровій формі [3]. Паралельно роботодавці вже звітують про прийняття працівників на роботу через електронний канал ДПС із використанням кваліфікованого електронного підпису (КЕП).</w:t>
      </w:r>
    </w:p>
    <w:p w14:paraId="1A5A3499"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Ще один показовий приклад — наказ Мінекономіки № 839-21 (реєстраційний № 1488/37110), що затвердив Порядок впровадження електронного документообігу в системі управління охороною праці [4]. Він офіційно визнав можливість повністю дистанційної роботи з документами з охорони праці, запропонувавши роботодавцю чіткий алгоритм: видати наказ про перехід на електронний формат, затвердити перелік цифрових форм і забезпечити підписання КЕП.</w:t>
      </w:r>
    </w:p>
    <w:p w14:paraId="11A08B48"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 xml:space="preserve">О.В. Пожарова звернула увагу, що внаслідок реформування системи соціального страхування відбувається модернізація діяльності Пенсійного </w:t>
      </w:r>
      <w:r w:rsidRPr="00511005">
        <w:rPr>
          <w:rFonts w:ascii="Arial" w:eastAsia="Times New Roman" w:hAnsi="Arial" w:cs="Arial"/>
          <w:szCs w:val="28"/>
          <w:lang w:val="uk-UA" w:eastAsia="en-GB"/>
        </w:rPr>
        <w:lastRenderedPageBreak/>
        <w:t>фонду, який контролює відповідні електронні системи та реєстри України [5, с.103].</w:t>
      </w:r>
    </w:p>
    <w:p w14:paraId="570BF763"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Уже сьогодні більшість великих компаній ведуть графіки відпусток, службові записки та внутрішні розпорядження в електронному вигляді. Перевага очевидна: швидкість підписання, доступ із будь-якої точки, автоматичне архівування. Дослідження Байло О. В. підкреслює, що цифровий документ «значно спрощує роботу з великими обсягами інформації» [6, с.148]. Автор також акцентує на доцільності електронної форми трудового договору для надомних працівників, яким фізична присутність у офісі не потрібна.</w:t>
      </w:r>
    </w:p>
    <w:p w14:paraId="011E6D95"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Практика підтверджує цю тезу: під час правового режиму воєнного стану в Україні електронні договори та КЕП дозволили укладати контракти з ІТ-фахівцями або мобілізованими працівниками буквально «за декілька кліків», без ризику порушити строки допуску до роботи.</w:t>
      </w:r>
    </w:p>
    <w:p w14:paraId="075E8DBA"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Оцифрований кадровий обіг породжує новий клас юридичних викликів. Найчутливіший із них — збереження доказової сили електронних документів: якщо роботодавець утрачає доступ до корпоративного сервера або резервних копій, працівникові майже неможливо довести факт підписання наказу чи додаткової угоди у разі спору про звільнення. Додається фактор кібербезпеки: злам бази даних чи компрометація кваліфікованого електронного підпису ставить під сумнів достовірність усіх операцій, адже ланцюг електронних доказів може бути пошкоджено або непомітно змінено для сторін.</w:t>
      </w:r>
    </w:p>
    <w:p w14:paraId="516FCC92"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Не менш відчутною є проблема технічної фрагментації. Великі корпорації зазвичай використовують комплексні системи, тоді як малий бізнес часто покладається на різнорідні, іноді несумісні сервіси, що ускладнює обмін підписаними файлами та створює ризик втрати даних під час міграції між платформами. Внаслідок такої розрізненості програмного забезпечення наростає кількість збоїв, а отже, і трудових спорів щодо дійсності документів, підписаних у різних цифрових екосистемах.</w:t>
      </w:r>
    </w:p>
    <w:p w14:paraId="4907E4A1" w14:textId="2EDE0C35"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Майбутнє електронного кадрового обігу пов’язане насамперед із офіційним закріпленням цифрової форми трудового договору в Кодексі законів про працю України [7]. У 2024 р. вже обговорювався законопроєкт, який вводить «студентські трудові договори» та прирівнює кваліфікований електронний підпис до власноручного підпису у всій договірній роботі. Паралельно триває робота над новою редакцією Закону України «Про персональні дані» (№ 8153) [8]</w:t>
      </w:r>
      <w:r w:rsidR="007B2628" w:rsidRPr="00511005">
        <w:rPr>
          <w:rFonts w:ascii="Arial" w:eastAsia="Times New Roman" w:hAnsi="Arial" w:cs="Arial"/>
          <w:szCs w:val="28"/>
          <w:lang w:val="uk-UA" w:eastAsia="en-GB"/>
        </w:rPr>
        <w:t xml:space="preserve"> </w:t>
      </w:r>
      <w:r w:rsidRPr="00511005">
        <w:rPr>
          <w:rFonts w:ascii="Arial" w:eastAsia="Times New Roman" w:hAnsi="Arial" w:cs="Arial"/>
          <w:szCs w:val="28"/>
          <w:lang w:val="uk-UA" w:eastAsia="en-GB"/>
        </w:rPr>
        <w:t xml:space="preserve">– 20 листопада 2024 року прийнятий у першому читанні, що вимагатиме від внутрішніх кадрових систем відповідності вимогам GDPR, зміцнюючи захист персональної інформації працівників. Ініціатива «Дія» вже надала можливість шерингувати документи з Пенсійним фондом та ДПС; наступним логічним кроком стане інтеграція електронного реєстру трудових договорів до цієї екосистеми, аби </w:t>
      </w:r>
      <w:r w:rsidRPr="00511005">
        <w:rPr>
          <w:rFonts w:ascii="Arial" w:eastAsia="Times New Roman" w:hAnsi="Arial" w:cs="Arial"/>
          <w:szCs w:val="28"/>
          <w:lang w:val="uk-UA" w:eastAsia="en-GB"/>
        </w:rPr>
        <w:lastRenderedPageBreak/>
        <w:t>роботодавці миттєво отримували підтверджені дані про стаж і кваліфікацію персоналу.</w:t>
      </w:r>
    </w:p>
    <w:p w14:paraId="4EDABFB7"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Для реалізації цих перспектив потрібне комплексне вдосконалення нормативної й технічної інфраструктури. Насамперед слід уніфікувати визначення «електронного трудового договору» та перелік його обов’язкових реквізитів, усунувши колізії між Законом України № 851-IV і КЗпП України.</w:t>
      </w:r>
    </w:p>
    <w:p w14:paraId="38F9B768"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 xml:space="preserve">Наступним кроком має стати створення державного єдиного архіву електронних кадрових документів із гарантованим доступом працівника навіть після зміни роботодавця. Резервне копіювання та безпечне зберігання ключів КЕП доцільно перевести на сертифіковані хмарні сервіси, аби мінімізувати ризики втрати даних. </w:t>
      </w:r>
    </w:p>
    <w:p w14:paraId="5EFDE825"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szCs w:val="28"/>
          <w:lang w:val="uk-UA" w:eastAsia="en-GB"/>
        </w:rPr>
        <w:t>Нарешті, системні навчальні програми для кадрових фахівців щодо роботи з цифровими підписами та шифруванням допоможуть уникнути технічних помилок, які нерідко стають причиною трудових спорів.</w:t>
      </w:r>
    </w:p>
    <w:p w14:paraId="4DBFCBB3" w14:textId="77777777" w:rsidR="003476F8" w:rsidRPr="00511005" w:rsidRDefault="003476F8" w:rsidP="003A292D">
      <w:pPr>
        <w:spacing w:line="264" w:lineRule="auto"/>
        <w:rPr>
          <w:rFonts w:ascii="Arial" w:eastAsia="Times New Roman" w:hAnsi="Arial" w:cs="Arial"/>
          <w:szCs w:val="28"/>
          <w:lang w:val="uk-UA" w:eastAsia="en-GB"/>
        </w:rPr>
      </w:pPr>
      <w:r w:rsidRPr="00511005">
        <w:rPr>
          <w:rFonts w:ascii="Arial" w:eastAsia="Times New Roman" w:hAnsi="Arial" w:cs="Arial"/>
          <w:b/>
          <w:bCs/>
          <w:szCs w:val="28"/>
          <w:lang w:val="uk-UA" w:eastAsia="en-GB"/>
        </w:rPr>
        <w:t xml:space="preserve">Висновок. </w:t>
      </w:r>
      <w:r w:rsidRPr="00511005">
        <w:rPr>
          <w:rFonts w:ascii="Arial" w:eastAsia="Times New Roman" w:hAnsi="Arial" w:cs="Arial"/>
          <w:szCs w:val="28"/>
          <w:lang w:val="uk-UA" w:eastAsia="en-GB"/>
        </w:rPr>
        <w:t>Електронний документообіг упевнено вписується в українське трудове право: уже оцифровано лікарняні листи, йде перехід на електронні трудові книжки, а частина внутрішніх наказів формується лише в цифровій формі. Головний виклик — забезпечити юридичну тотожність електронних документів паперовим і мінімізувати технічні ризики. Завдяки поступовому доповненню законодавства та розвитку інфраструктури КЕП, Україна наближається до моделі, в якій папір стане радше винятком, ніж правилом. У короткостроковій перспективі ключовою метою залишається повне запровадження електронних трудових договорів і безпечний державний архів цифрових даних працівника. Це не тільки пришвидшить кадрові процедури, а й зробить трудові права громадян більш захищеними у цифровому середовищі.</w:t>
      </w:r>
    </w:p>
    <w:p w14:paraId="51F68052" w14:textId="77777777" w:rsidR="003476F8" w:rsidRPr="00511005" w:rsidRDefault="003476F8" w:rsidP="003A292D">
      <w:pPr>
        <w:spacing w:line="264" w:lineRule="auto"/>
        <w:rPr>
          <w:rFonts w:ascii="Arial" w:eastAsia="Calibri" w:hAnsi="Arial" w:cs="Arial"/>
          <w:kern w:val="2"/>
          <w:szCs w:val="28"/>
          <w:lang w:val="uk-UA"/>
        </w:rPr>
      </w:pPr>
    </w:p>
    <w:p w14:paraId="78A5B203" w14:textId="39500A2A" w:rsidR="003476F8" w:rsidRPr="00511005" w:rsidRDefault="007B2628" w:rsidP="007B2628">
      <w:pPr>
        <w:spacing w:line="264" w:lineRule="auto"/>
        <w:jc w:val="center"/>
        <w:rPr>
          <w:rFonts w:ascii="Arial" w:eastAsia="Calibri" w:hAnsi="Arial" w:cs="Arial"/>
          <w:b/>
          <w:bCs/>
          <w:kern w:val="2"/>
          <w:szCs w:val="28"/>
          <w:lang w:val="uk-UA"/>
        </w:rPr>
      </w:pPr>
      <w:r w:rsidRPr="00511005">
        <w:rPr>
          <w:rFonts w:ascii="Arial" w:eastAsia="Calibri" w:hAnsi="Arial" w:cs="Arial"/>
          <w:b/>
          <w:bCs/>
          <w:kern w:val="2"/>
          <w:szCs w:val="28"/>
          <w:lang w:val="uk-UA"/>
        </w:rPr>
        <w:t>Список використаних джерел</w:t>
      </w:r>
    </w:p>
    <w:p w14:paraId="07AB1055" w14:textId="77777777" w:rsidR="003476F8" w:rsidRPr="00511005" w:rsidRDefault="003476F8" w:rsidP="003F6A5D">
      <w:pPr>
        <w:numPr>
          <w:ilvl w:val="0"/>
          <w:numId w:val="430"/>
        </w:numPr>
        <w:spacing w:line="264" w:lineRule="auto"/>
        <w:ind w:left="0" w:firstLine="709"/>
        <w:contextualSpacing/>
        <w:jc w:val="left"/>
        <w:rPr>
          <w:rFonts w:ascii="Arial" w:eastAsia="Calibri" w:hAnsi="Arial" w:cs="Arial"/>
          <w:kern w:val="2"/>
          <w:szCs w:val="28"/>
          <w:lang w:val="uk-UA"/>
        </w:rPr>
      </w:pPr>
      <w:r w:rsidRPr="00511005">
        <w:rPr>
          <w:rFonts w:ascii="Arial" w:eastAsia="Calibri" w:hAnsi="Arial" w:cs="Arial"/>
          <w:kern w:val="2"/>
          <w:szCs w:val="28"/>
          <w:lang w:val="uk-UA"/>
        </w:rPr>
        <w:t xml:space="preserve">Про електронні документи та електронний документообіг : Закон України від 22.05.2003 р. № 851-IV. URL: </w:t>
      </w:r>
      <w:hyperlink r:id="rId1645" w:anchor="Text" w:history="1">
        <w:r w:rsidRPr="00511005">
          <w:rPr>
            <w:rFonts w:ascii="Arial" w:eastAsia="Calibri" w:hAnsi="Arial" w:cs="Arial"/>
            <w:kern w:val="2"/>
            <w:szCs w:val="28"/>
            <w:lang w:val="uk-UA"/>
          </w:rPr>
          <w:t>https://zakon.rada.gov.ua/laws/show/851-15#Text</w:t>
        </w:r>
      </w:hyperlink>
      <w:r w:rsidRPr="00511005">
        <w:rPr>
          <w:rFonts w:ascii="Arial" w:eastAsia="Calibri" w:hAnsi="Arial" w:cs="Arial"/>
          <w:kern w:val="2"/>
          <w:szCs w:val="28"/>
          <w:lang w:val="uk-UA"/>
        </w:rPr>
        <w:t xml:space="preserve"> (дата звернення 22.04.2025).</w:t>
      </w:r>
    </w:p>
    <w:p w14:paraId="489E4E71" w14:textId="77777777" w:rsidR="003476F8" w:rsidRPr="00511005" w:rsidRDefault="003476F8" w:rsidP="003F6A5D">
      <w:pPr>
        <w:numPr>
          <w:ilvl w:val="0"/>
          <w:numId w:val="430"/>
        </w:numPr>
        <w:spacing w:line="264" w:lineRule="auto"/>
        <w:ind w:left="0" w:firstLine="709"/>
        <w:contextualSpacing/>
        <w:jc w:val="left"/>
        <w:rPr>
          <w:rFonts w:ascii="Arial" w:eastAsia="Calibri" w:hAnsi="Arial" w:cs="Arial"/>
          <w:kern w:val="2"/>
          <w:szCs w:val="28"/>
          <w:lang w:val="uk-UA"/>
        </w:rPr>
      </w:pPr>
      <w:r w:rsidRPr="00511005">
        <w:rPr>
          <w:rFonts w:ascii="Arial" w:eastAsia="Calibri" w:hAnsi="Arial" w:cs="Arial"/>
          <w:kern w:val="2"/>
          <w:szCs w:val="28"/>
          <w:lang w:val="uk-UA"/>
        </w:rPr>
        <w:t xml:space="preserve">Про внесення змін до деяких законодавчих актів України щодо обліку трудової діяльності працівника в електронній формі : Закон України від 05.02.2021 р. № 1217-IX. URL: </w:t>
      </w:r>
      <w:hyperlink r:id="rId1646" w:anchor="Text" w:history="1">
        <w:r w:rsidRPr="00511005">
          <w:rPr>
            <w:rFonts w:ascii="Arial" w:eastAsia="Calibri" w:hAnsi="Arial" w:cs="Arial"/>
            <w:kern w:val="2"/>
            <w:szCs w:val="28"/>
            <w:lang w:val="uk-UA"/>
          </w:rPr>
          <w:t>https://zakon.rada.gov.ua/laws/show/1217-20#Text</w:t>
        </w:r>
      </w:hyperlink>
      <w:r w:rsidRPr="00511005">
        <w:rPr>
          <w:rFonts w:ascii="Arial" w:eastAsia="Calibri" w:hAnsi="Arial" w:cs="Arial"/>
          <w:kern w:val="2"/>
          <w:szCs w:val="28"/>
          <w:lang w:val="uk-UA"/>
        </w:rPr>
        <w:t xml:space="preserve"> (дата звернення 22.04.2025).</w:t>
      </w:r>
    </w:p>
    <w:p w14:paraId="7C341C6A" w14:textId="77777777" w:rsidR="003476F8" w:rsidRPr="00511005" w:rsidRDefault="003476F8" w:rsidP="003F6A5D">
      <w:pPr>
        <w:numPr>
          <w:ilvl w:val="0"/>
          <w:numId w:val="430"/>
        </w:numPr>
        <w:spacing w:line="264" w:lineRule="auto"/>
        <w:ind w:left="0" w:firstLine="709"/>
        <w:contextualSpacing/>
        <w:jc w:val="left"/>
        <w:rPr>
          <w:rFonts w:ascii="Arial" w:eastAsia="Calibri" w:hAnsi="Arial" w:cs="Arial"/>
          <w:kern w:val="2"/>
          <w:szCs w:val="28"/>
          <w:lang w:val="uk-UA"/>
        </w:rPr>
      </w:pPr>
      <w:r w:rsidRPr="00511005">
        <w:rPr>
          <w:rFonts w:ascii="Arial" w:eastAsia="Calibri" w:hAnsi="Arial" w:cs="Arial"/>
          <w:kern w:val="2"/>
          <w:szCs w:val="28"/>
          <w:lang w:val="uk-UA"/>
        </w:rPr>
        <w:t xml:space="preserve">Деякі питання організації ведення Електронного реєстру листків непрацездатності та надання інформації з нього : Постанова Кабінету Міністрів України від 17.04.2019 р. № 328. URL: </w:t>
      </w:r>
      <w:hyperlink r:id="rId1647" w:anchor="Text" w:history="1">
        <w:r w:rsidRPr="00511005">
          <w:rPr>
            <w:rFonts w:ascii="Arial" w:eastAsia="Calibri" w:hAnsi="Arial" w:cs="Arial"/>
            <w:kern w:val="2"/>
            <w:szCs w:val="28"/>
            <w:lang w:val="uk-UA"/>
          </w:rPr>
          <w:t>https://zakon.rada.gov.ua/laws/show/328-2019-%D0%BF#Text</w:t>
        </w:r>
      </w:hyperlink>
      <w:r w:rsidRPr="00511005">
        <w:rPr>
          <w:rFonts w:ascii="Arial" w:eastAsia="Calibri" w:hAnsi="Arial" w:cs="Arial"/>
          <w:kern w:val="2"/>
          <w:szCs w:val="28"/>
          <w:lang w:val="uk-UA"/>
        </w:rPr>
        <w:t xml:space="preserve"> (дата звернення 22.04.2025).</w:t>
      </w:r>
    </w:p>
    <w:p w14:paraId="763306C4" w14:textId="77777777" w:rsidR="003476F8" w:rsidRPr="00511005" w:rsidRDefault="003476F8" w:rsidP="003F6A5D">
      <w:pPr>
        <w:numPr>
          <w:ilvl w:val="0"/>
          <w:numId w:val="430"/>
        </w:numPr>
        <w:spacing w:line="264" w:lineRule="auto"/>
        <w:ind w:left="0" w:firstLine="709"/>
        <w:contextualSpacing/>
        <w:jc w:val="left"/>
        <w:rPr>
          <w:rFonts w:ascii="Arial" w:eastAsia="Calibri" w:hAnsi="Arial" w:cs="Arial"/>
          <w:kern w:val="2"/>
          <w:szCs w:val="28"/>
          <w:lang w:val="uk-UA"/>
        </w:rPr>
      </w:pPr>
      <w:r w:rsidRPr="00511005">
        <w:rPr>
          <w:rFonts w:ascii="Arial" w:eastAsia="Calibri" w:hAnsi="Arial" w:cs="Arial"/>
          <w:kern w:val="2"/>
          <w:szCs w:val="28"/>
          <w:lang w:val="uk-UA"/>
        </w:rPr>
        <w:lastRenderedPageBreak/>
        <w:t xml:space="preserve">Про затвердження Порядку впровадження електронного документообігу в системі управління охороною праці : Наказ Міністерства економіки від 28.10.2021 р. № 839-21. URL: </w:t>
      </w:r>
      <w:hyperlink r:id="rId1648" w:anchor="Text" w:history="1">
        <w:r w:rsidRPr="00511005">
          <w:rPr>
            <w:rFonts w:ascii="Arial" w:eastAsia="Calibri" w:hAnsi="Arial" w:cs="Arial"/>
            <w:kern w:val="2"/>
            <w:szCs w:val="28"/>
            <w:lang w:val="uk-UA"/>
          </w:rPr>
          <w:t>https://zakon.rada.gov.ua/laws/show/z1488-21#Text</w:t>
        </w:r>
      </w:hyperlink>
      <w:r w:rsidRPr="00511005">
        <w:rPr>
          <w:rFonts w:ascii="Arial" w:eastAsia="Calibri" w:hAnsi="Arial" w:cs="Arial"/>
          <w:kern w:val="2"/>
          <w:szCs w:val="28"/>
          <w:lang w:val="uk-UA"/>
        </w:rPr>
        <w:t xml:space="preserve"> (дата звернення 22.04.2025). </w:t>
      </w:r>
    </w:p>
    <w:p w14:paraId="1E977B93" w14:textId="77777777" w:rsidR="003476F8" w:rsidRPr="00511005" w:rsidRDefault="003476F8" w:rsidP="003F6A5D">
      <w:pPr>
        <w:numPr>
          <w:ilvl w:val="0"/>
          <w:numId w:val="430"/>
        </w:numPr>
        <w:spacing w:line="264" w:lineRule="auto"/>
        <w:ind w:left="0" w:firstLine="709"/>
        <w:contextualSpacing/>
        <w:jc w:val="left"/>
        <w:rPr>
          <w:rFonts w:ascii="Arial" w:eastAsia="Calibri" w:hAnsi="Arial" w:cs="Arial"/>
          <w:kern w:val="2"/>
          <w:szCs w:val="28"/>
          <w:lang w:val="uk-UA"/>
        </w:rPr>
      </w:pPr>
      <w:r w:rsidRPr="00511005">
        <w:rPr>
          <w:rFonts w:ascii="Arial" w:eastAsia="Calibri" w:hAnsi="Arial" w:cs="Arial"/>
          <w:kern w:val="2"/>
          <w:szCs w:val="28"/>
          <w:lang w:val="uk-UA"/>
        </w:rPr>
        <w:t>Пожарова О.В. Щодо змін у системі соціального страхування</w:t>
      </w:r>
      <w:r w:rsidRPr="00511005">
        <w:rPr>
          <w:rFonts w:ascii="Arial" w:eastAsia="Calibri" w:hAnsi="Arial" w:cs="Arial"/>
          <w:kern w:val="2"/>
          <w:szCs w:val="28"/>
        </w:rPr>
        <w:t xml:space="preserve">. </w:t>
      </w:r>
      <w:r w:rsidRPr="00511005">
        <w:rPr>
          <w:rFonts w:ascii="Arial" w:eastAsia="Calibri" w:hAnsi="Arial" w:cs="Arial"/>
          <w:bCs/>
          <w:i/>
          <w:kern w:val="2"/>
          <w:szCs w:val="28"/>
          <w:lang w:val="uk-UA"/>
        </w:rPr>
        <w:t>Проблеми реформування соціального законодавства в умовах воєнного стану та повоєнної відбудови</w:t>
      </w:r>
      <w:r w:rsidRPr="00511005">
        <w:rPr>
          <w:rFonts w:ascii="Arial" w:eastAsia="Calibri" w:hAnsi="Arial" w:cs="Arial"/>
          <w:i/>
          <w:kern w:val="2"/>
          <w:szCs w:val="28"/>
          <w:lang w:val="uk-UA"/>
        </w:rPr>
        <w:t>:</w:t>
      </w:r>
      <w:r w:rsidRPr="00511005">
        <w:rPr>
          <w:rFonts w:ascii="Arial" w:eastAsia="Calibri" w:hAnsi="Arial" w:cs="Arial"/>
          <w:kern w:val="2"/>
          <w:szCs w:val="28"/>
          <w:lang w:val="uk-UA"/>
        </w:rPr>
        <w:t xml:space="preserve"> матеріали Всеукраїнської міждисциплінарної науково-практичної конференції (м. Київ, 8 листопада 2024 р.) / за ред. Д.І. Сірохи, С.М. Черноус, І.С. Сахарук; уклад. М.О. Денисюк. </w:t>
      </w:r>
      <w:r w:rsidRPr="00511005">
        <w:rPr>
          <w:rFonts w:ascii="Arial" w:eastAsia="Calibri" w:hAnsi="Arial" w:cs="Arial"/>
          <w:kern w:val="2"/>
          <w:szCs w:val="28"/>
        </w:rPr>
        <w:t>С. 103-104.</w:t>
      </w:r>
    </w:p>
    <w:p w14:paraId="346C7F4F" w14:textId="3302A2C9" w:rsidR="003476F8" w:rsidRPr="00511005" w:rsidRDefault="003476F8" w:rsidP="003F6A5D">
      <w:pPr>
        <w:numPr>
          <w:ilvl w:val="0"/>
          <w:numId w:val="430"/>
        </w:numPr>
        <w:spacing w:line="264" w:lineRule="auto"/>
        <w:ind w:left="0" w:firstLine="709"/>
        <w:contextualSpacing/>
        <w:jc w:val="left"/>
        <w:rPr>
          <w:rFonts w:ascii="Arial" w:eastAsia="Calibri" w:hAnsi="Arial" w:cs="Arial"/>
          <w:kern w:val="2"/>
          <w:szCs w:val="28"/>
          <w:lang w:val="uk-UA"/>
        </w:rPr>
      </w:pPr>
      <w:r w:rsidRPr="00511005">
        <w:rPr>
          <w:rFonts w:ascii="Arial" w:eastAsia="Calibri" w:hAnsi="Arial" w:cs="Arial"/>
          <w:kern w:val="2"/>
          <w:szCs w:val="28"/>
          <w:lang w:val="uk-UA"/>
        </w:rPr>
        <w:t>Байло О. В. Електронний документообіг у трудовому праві. Проблеми реалізації прав громадян у сфері праці та соціального забезпечення : тези доп. та наук. повідомл. учасників IX Міжнар. наук.</w:t>
      </w:r>
      <w:r w:rsidRPr="00511005">
        <w:rPr>
          <w:rFonts w:ascii="Arial" w:eastAsia="Calibri" w:hAnsi="Arial" w:cs="Arial"/>
          <w:kern w:val="2"/>
          <w:szCs w:val="28"/>
          <w:lang w:val="uk-UA"/>
        </w:rPr>
        <w:noBreakHyphen/>
        <w:t>практ. конф., яка присвячена 50</w:t>
      </w:r>
      <w:r w:rsidRPr="00511005">
        <w:rPr>
          <w:rFonts w:ascii="Cambria Math" w:eastAsia="Calibri" w:hAnsi="Cambria Math" w:cs="Cambria Math"/>
          <w:kern w:val="2"/>
          <w:szCs w:val="28"/>
          <w:lang w:val="uk-UA"/>
        </w:rPr>
        <w:t>‑</w:t>
      </w:r>
      <w:r w:rsidRPr="00511005">
        <w:rPr>
          <w:rFonts w:ascii="Arial" w:eastAsia="Calibri" w:hAnsi="Arial" w:cs="Arial"/>
          <w:kern w:val="2"/>
          <w:szCs w:val="28"/>
          <w:lang w:val="uk-UA"/>
        </w:rPr>
        <w:t xml:space="preserve">річчю створення кафедри трудового права Національного юридичного університету ім. Ярослава Мудрого (м. Харків, 11 жовт. 2019 р.) / за ред. О. М. Ярошенка. Харків: Право, 2019. С. 148–151. URL: </w:t>
      </w:r>
      <w:hyperlink r:id="rId1649" w:history="1">
        <w:r w:rsidRPr="00511005">
          <w:rPr>
            <w:rFonts w:ascii="Arial" w:eastAsia="Calibri" w:hAnsi="Arial" w:cs="Arial"/>
            <w:kern w:val="2"/>
            <w:szCs w:val="28"/>
            <w:lang w:val="uk-UA"/>
          </w:rPr>
          <w:t>https://dspace.onu.edu.ua/server/api/core/bitstreams/fa4bce8a-22c2-456a-82bb-7da761a18190/content</w:t>
        </w:r>
      </w:hyperlink>
      <w:r w:rsidR="007B2628" w:rsidRPr="00511005">
        <w:rPr>
          <w:rFonts w:ascii="Arial" w:eastAsia="Calibri" w:hAnsi="Arial" w:cs="Arial"/>
          <w:kern w:val="2"/>
          <w:szCs w:val="28"/>
          <w:lang w:val="uk-UA"/>
        </w:rPr>
        <w:t xml:space="preserve"> </w:t>
      </w:r>
      <w:r w:rsidRPr="00511005">
        <w:rPr>
          <w:rFonts w:ascii="Arial" w:eastAsia="Calibri" w:hAnsi="Arial" w:cs="Arial"/>
          <w:kern w:val="2"/>
          <w:szCs w:val="28"/>
          <w:lang w:val="uk-UA"/>
        </w:rPr>
        <w:t xml:space="preserve">(дата звернення: 22.04.2025). </w:t>
      </w:r>
    </w:p>
    <w:p w14:paraId="415CC96C" w14:textId="77777777" w:rsidR="003476F8" w:rsidRPr="00511005" w:rsidRDefault="003476F8" w:rsidP="003F6A5D">
      <w:pPr>
        <w:numPr>
          <w:ilvl w:val="0"/>
          <w:numId w:val="430"/>
        </w:numPr>
        <w:spacing w:line="264" w:lineRule="auto"/>
        <w:ind w:left="0" w:firstLine="709"/>
        <w:contextualSpacing/>
        <w:jc w:val="left"/>
        <w:rPr>
          <w:rFonts w:ascii="Arial" w:eastAsia="Calibri" w:hAnsi="Arial" w:cs="Arial"/>
          <w:kern w:val="2"/>
          <w:szCs w:val="28"/>
          <w:lang w:val="uk-UA"/>
        </w:rPr>
      </w:pPr>
      <w:r w:rsidRPr="00511005">
        <w:rPr>
          <w:rFonts w:ascii="Arial" w:eastAsia="Calibri" w:hAnsi="Arial" w:cs="Arial"/>
          <w:kern w:val="2"/>
          <w:szCs w:val="28"/>
          <w:lang w:val="uk-UA"/>
        </w:rPr>
        <w:t xml:space="preserve">Кодекс законів про працю України : Закон УРСР від 10.12.1971 р. № 322-VIII. URL: </w:t>
      </w:r>
      <w:hyperlink r:id="rId1650" w:anchor="Text" w:history="1">
        <w:r w:rsidRPr="00511005">
          <w:rPr>
            <w:rFonts w:ascii="Arial" w:eastAsia="Calibri" w:hAnsi="Arial" w:cs="Arial"/>
            <w:kern w:val="2"/>
            <w:szCs w:val="28"/>
            <w:lang w:val="uk-UA"/>
          </w:rPr>
          <w:t>https://zakon.rada.gov.ua/laws/show/322-08#Text</w:t>
        </w:r>
      </w:hyperlink>
      <w:r w:rsidRPr="00511005">
        <w:rPr>
          <w:rFonts w:ascii="Arial" w:eastAsia="Calibri" w:hAnsi="Arial" w:cs="Arial"/>
          <w:kern w:val="2"/>
          <w:szCs w:val="28"/>
          <w:lang w:val="uk-UA"/>
        </w:rPr>
        <w:t xml:space="preserve"> (дата звернення 22.04.2025).</w:t>
      </w:r>
    </w:p>
    <w:p w14:paraId="1FA81844" w14:textId="3581C7E6" w:rsidR="003476F8" w:rsidRPr="00511005" w:rsidRDefault="003476F8" w:rsidP="003F6A5D">
      <w:pPr>
        <w:numPr>
          <w:ilvl w:val="0"/>
          <w:numId w:val="430"/>
        </w:numPr>
        <w:spacing w:line="264" w:lineRule="auto"/>
        <w:ind w:left="0" w:firstLine="709"/>
        <w:contextualSpacing/>
        <w:jc w:val="left"/>
        <w:rPr>
          <w:rFonts w:ascii="Arial" w:eastAsia="Calibri" w:hAnsi="Arial" w:cs="Arial"/>
          <w:kern w:val="2"/>
          <w:szCs w:val="28"/>
          <w:lang w:val="uk-UA"/>
        </w:rPr>
      </w:pPr>
      <w:r w:rsidRPr="00511005">
        <w:rPr>
          <w:rFonts w:ascii="Arial" w:eastAsia="Calibri" w:hAnsi="Arial" w:cs="Arial"/>
          <w:kern w:val="2"/>
          <w:szCs w:val="28"/>
          <w:lang w:val="uk-UA"/>
        </w:rPr>
        <w:t>Про захист персональних даних : проєкт</w:t>
      </w:r>
      <w:r w:rsidR="007B2628" w:rsidRPr="00511005">
        <w:rPr>
          <w:rFonts w:ascii="Arial" w:eastAsia="Calibri" w:hAnsi="Arial" w:cs="Arial"/>
          <w:kern w:val="2"/>
          <w:szCs w:val="28"/>
          <w:lang w:val="uk-UA"/>
        </w:rPr>
        <w:t xml:space="preserve"> </w:t>
      </w:r>
      <w:r w:rsidRPr="00511005">
        <w:rPr>
          <w:rFonts w:ascii="Arial" w:eastAsia="Calibri" w:hAnsi="Arial" w:cs="Arial"/>
          <w:kern w:val="2"/>
          <w:szCs w:val="28"/>
          <w:lang w:val="uk-UA"/>
        </w:rPr>
        <w:t xml:space="preserve">Закону України </w:t>
      </w:r>
      <w:r w:rsidRPr="00511005">
        <w:rPr>
          <w:rFonts w:ascii="Arial" w:eastAsia="Calibri" w:hAnsi="Arial" w:cs="Arial"/>
          <w:kern w:val="2"/>
          <w:szCs w:val="28"/>
          <w:shd w:val="clear" w:color="auto" w:fill="FFFFFF"/>
          <w:lang w:val="uk-UA"/>
        </w:rPr>
        <w:t>від 25.10.2022 р. № 8153.</w:t>
      </w:r>
      <w:r w:rsidRPr="00511005">
        <w:rPr>
          <w:rFonts w:ascii="Arial" w:eastAsia="Calibri" w:hAnsi="Arial" w:cs="Arial"/>
          <w:kern w:val="2"/>
          <w:szCs w:val="28"/>
          <w:lang w:val="uk-UA"/>
        </w:rPr>
        <w:t xml:space="preserve"> URL: </w:t>
      </w:r>
      <w:hyperlink r:id="rId1651" w:history="1">
        <w:r w:rsidRPr="00511005">
          <w:rPr>
            <w:rFonts w:ascii="Arial" w:eastAsia="Calibri" w:hAnsi="Arial" w:cs="Arial"/>
            <w:kern w:val="2"/>
            <w:szCs w:val="28"/>
            <w:lang w:val="uk-UA"/>
          </w:rPr>
          <w:t>https://itd.rada.gov.ua/billinfo/Bills/Card/40707</w:t>
        </w:r>
      </w:hyperlink>
      <w:r w:rsidRPr="00511005">
        <w:rPr>
          <w:rFonts w:ascii="Arial" w:eastAsia="Calibri" w:hAnsi="Arial" w:cs="Arial"/>
          <w:kern w:val="2"/>
          <w:szCs w:val="28"/>
          <w:lang w:val="uk-UA"/>
        </w:rPr>
        <w:t xml:space="preserve"> (дата звернення 22.04.2025).</w:t>
      </w:r>
    </w:p>
    <w:p w14:paraId="0EB7AEFD" w14:textId="77777777" w:rsidR="003476F8" w:rsidRPr="00511005" w:rsidRDefault="003476F8" w:rsidP="003A292D">
      <w:pPr>
        <w:spacing w:line="264" w:lineRule="auto"/>
        <w:ind w:left="709" w:firstLine="0"/>
        <w:contextualSpacing/>
        <w:rPr>
          <w:rFonts w:ascii="Arial" w:eastAsia="Calibri" w:hAnsi="Arial" w:cs="Arial"/>
          <w:kern w:val="2"/>
          <w:szCs w:val="28"/>
          <w:lang w:val="uk-UA"/>
        </w:rPr>
      </w:pPr>
    </w:p>
    <w:p w14:paraId="37C0E1EC" w14:textId="70F061F3" w:rsidR="003476F8" w:rsidRPr="00511005" w:rsidRDefault="007B2628" w:rsidP="003A292D">
      <w:pPr>
        <w:spacing w:line="264" w:lineRule="auto"/>
        <w:rPr>
          <w:rFonts w:ascii="Arial" w:eastAsia="Times New Roman" w:hAnsi="Arial" w:cs="Arial"/>
          <w:szCs w:val="28"/>
          <w:lang w:val="uk-UA" w:eastAsia="en-GB"/>
        </w:rPr>
      </w:pPr>
      <w:r w:rsidRPr="00511005">
        <w:rPr>
          <w:rFonts w:ascii="Arial" w:eastAsia="Times New Roman" w:hAnsi="Arial" w:cs="Arial"/>
          <w:b/>
          <w:bCs/>
          <w:i/>
          <w:szCs w:val="28"/>
          <w:lang w:val="uk-UA" w:eastAsia="en-GB"/>
        </w:rPr>
        <w:t xml:space="preserve">Ключові слова: </w:t>
      </w:r>
      <w:r w:rsidR="003476F8" w:rsidRPr="00511005">
        <w:rPr>
          <w:rFonts w:ascii="Arial" w:eastAsia="Times New Roman" w:hAnsi="Arial" w:cs="Arial"/>
          <w:szCs w:val="28"/>
          <w:lang w:val="uk-UA" w:eastAsia="en-GB"/>
        </w:rPr>
        <w:t>електронний документообіг, трудовий договір, КЕП, електронна трудова книжка, електронний трудовий договір, архів електронних документів, діджиталізація, кібербезпека, електронний реєстр, шеринг.</w:t>
      </w:r>
    </w:p>
    <w:p w14:paraId="7DA7F58B" w14:textId="5B049405" w:rsidR="003476F8" w:rsidRPr="00511005" w:rsidRDefault="007B2628" w:rsidP="003A292D">
      <w:pPr>
        <w:spacing w:line="264" w:lineRule="auto"/>
        <w:rPr>
          <w:rFonts w:ascii="Arial" w:eastAsia="Times New Roman" w:hAnsi="Arial" w:cs="Arial"/>
          <w:szCs w:val="28"/>
          <w:lang w:val="uk-UA" w:eastAsia="en-GB"/>
        </w:rPr>
      </w:pPr>
      <w:r w:rsidRPr="00511005">
        <w:rPr>
          <w:rFonts w:ascii="Arial" w:eastAsia="Times New Roman" w:hAnsi="Arial" w:cs="Arial"/>
          <w:b/>
          <w:bCs/>
          <w:i/>
          <w:szCs w:val="28"/>
          <w:lang w:val="uk-UA" w:eastAsia="en-GB"/>
        </w:rPr>
        <w:t xml:space="preserve">Key words: </w:t>
      </w:r>
      <w:r w:rsidR="003476F8" w:rsidRPr="00511005">
        <w:rPr>
          <w:rFonts w:ascii="Arial" w:eastAsia="Times New Roman" w:hAnsi="Arial" w:cs="Arial"/>
          <w:szCs w:val="28"/>
          <w:lang w:val="uk-UA" w:eastAsia="en-GB"/>
        </w:rPr>
        <w:t>electronic document management, employment contract, EPC, electronic work book, electronic employment contract, archive of electronic documents, digitalization, cybersecurity, electronic registry, sharing.</w:t>
      </w:r>
    </w:p>
    <w:p w14:paraId="75EB6029" w14:textId="17107291" w:rsidR="0087239D" w:rsidRPr="00511005" w:rsidRDefault="007B2628" w:rsidP="003A292D">
      <w:pPr>
        <w:spacing w:line="264" w:lineRule="auto"/>
        <w:rPr>
          <w:rFonts w:ascii="Arial" w:eastAsia="Calibri" w:hAnsi="Arial" w:cs="Arial"/>
          <w:i/>
          <w:iCs/>
          <w:kern w:val="2"/>
          <w:szCs w:val="28"/>
          <w:lang w:val="uk-UA"/>
        </w:rPr>
      </w:pPr>
      <w:r w:rsidRPr="00511005">
        <w:rPr>
          <w:rFonts w:ascii="Arial" w:eastAsia="Calibri" w:hAnsi="Arial" w:cs="Arial"/>
          <w:b/>
          <w:i/>
          <w:iCs/>
          <w:kern w:val="2"/>
          <w:szCs w:val="28"/>
          <w:lang w:val="uk-UA"/>
        </w:rPr>
        <w:t xml:space="preserve">Науковий керівник: </w:t>
      </w:r>
      <w:r w:rsidR="00383DE9" w:rsidRPr="00511005">
        <w:rPr>
          <w:rFonts w:ascii="Arial" w:eastAsia="Calibri" w:hAnsi="Arial" w:cs="Arial"/>
          <w:i/>
          <w:iCs/>
          <w:kern w:val="2"/>
          <w:szCs w:val="28"/>
          <w:lang w:val="uk-UA"/>
        </w:rPr>
        <w:t xml:space="preserve">к.ю.н., </w:t>
      </w:r>
      <w:r w:rsidR="0087239D" w:rsidRPr="00511005">
        <w:rPr>
          <w:rFonts w:ascii="Arial" w:eastAsia="Calibri" w:hAnsi="Arial" w:cs="Arial"/>
          <w:i/>
          <w:iCs/>
          <w:kern w:val="2"/>
          <w:szCs w:val="28"/>
          <w:lang w:val="uk-UA"/>
        </w:rPr>
        <w:t>доцент Пожарова О. В.</w:t>
      </w:r>
    </w:p>
    <w:p w14:paraId="149C63D7" w14:textId="4EAEF264" w:rsidR="0087239D" w:rsidRPr="00511005" w:rsidRDefault="0087239D" w:rsidP="003A292D">
      <w:pPr>
        <w:spacing w:line="264" w:lineRule="auto"/>
        <w:rPr>
          <w:rFonts w:ascii="Arial" w:eastAsia="Calibri" w:hAnsi="Arial" w:cs="Arial"/>
          <w:i/>
          <w:iCs/>
          <w:kern w:val="2"/>
          <w:szCs w:val="28"/>
          <w:lang w:val="uk-UA"/>
        </w:rPr>
      </w:pPr>
    </w:p>
    <w:p w14:paraId="2895C484" w14:textId="77777777" w:rsidR="0087239D" w:rsidRPr="00511005" w:rsidRDefault="0087239D" w:rsidP="003A292D">
      <w:pPr>
        <w:spacing w:line="264" w:lineRule="auto"/>
        <w:rPr>
          <w:rFonts w:ascii="Arial" w:eastAsia="Times New Roman" w:hAnsi="Arial" w:cs="Arial"/>
          <w:szCs w:val="28"/>
          <w:lang w:val="uk-UA" w:eastAsia="en-GB"/>
        </w:rPr>
      </w:pPr>
    </w:p>
    <w:p w14:paraId="6ECDC9BA" w14:textId="77777777" w:rsidR="007D28FC" w:rsidRDefault="007D28FC">
      <w:pPr>
        <w:spacing w:after="200" w:line="276" w:lineRule="auto"/>
        <w:ind w:firstLine="0"/>
        <w:jc w:val="left"/>
        <w:rPr>
          <w:rFonts w:ascii="Arial" w:eastAsia="Times New Roman" w:hAnsi="Arial" w:cs="Arial"/>
          <w:b/>
          <w:bCs/>
          <w:i/>
          <w:iCs/>
          <w:kern w:val="2"/>
          <w:szCs w:val="28"/>
          <w:lang w:val="uk-UA" w:eastAsia="uk-UA"/>
          <w14:ligatures w14:val="standardContextual"/>
        </w:rPr>
      </w:pPr>
      <w:r>
        <w:rPr>
          <w:rFonts w:ascii="Arial" w:eastAsia="Times New Roman" w:hAnsi="Arial" w:cs="Arial"/>
          <w:b/>
          <w:bCs/>
          <w:i/>
          <w:iCs/>
          <w:kern w:val="2"/>
          <w:szCs w:val="28"/>
          <w:lang w:val="uk-UA" w:eastAsia="uk-UA"/>
          <w14:ligatures w14:val="standardContextual"/>
        </w:rPr>
        <w:br w:type="page"/>
      </w:r>
    </w:p>
    <w:p w14:paraId="3F8BC7C2" w14:textId="6F496C54" w:rsidR="003476F8" w:rsidRPr="00511005" w:rsidRDefault="003476F8" w:rsidP="003A292D">
      <w:pPr>
        <w:spacing w:line="264" w:lineRule="auto"/>
        <w:ind w:firstLine="0"/>
        <w:jc w:val="center"/>
        <w:rPr>
          <w:rFonts w:ascii="Arial" w:eastAsia="Times New Roman" w:hAnsi="Arial" w:cs="Arial"/>
          <w:b/>
          <w:bCs/>
          <w:i/>
          <w:iCs/>
          <w:kern w:val="2"/>
          <w:szCs w:val="28"/>
          <w:lang w:val="uk-UA" w:eastAsia="uk-UA"/>
          <w14:ligatures w14:val="standardContextual"/>
        </w:rPr>
      </w:pPr>
      <w:r w:rsidRPr="00511005">
        <w:rPr>
          <w:rFonts w:ascii="Arial" w:eastAsia="Times New Roman" w:hAnsi="Arial" w:cs="Arial"/>
          <w:b/>
          <w:bCs/>
          <w:i/>
          <w:iCs/>
          <w:kern w:val="2"/>
          <w:szCs w:val="28"/>
          <w:lang w:val="uk-UA" w:eastAsia="uk-UA"/>
          <w14:ligatures w14:val="standardContextual"/>
        </w:rPr>
        <w:lastRenderedPageBreak/>
        <w:t>Бєляєва Каріна Олегівна</w:t>
      </w:r>
    </w:p>
    <w:p w14:paraId="707B45C6" w14:textId="7BA84C7F" w:rsidR="003476F8" w:rsidRPr="00511005" w:rsidRDefault="00536AAB" w:rsidP="003A292D">
      <w:pPr>
        <w:spacing w:line="264" w:lineRule="auto"/>
        <w:ind w:firstLine="0"/>
        <w:jc w:val="center"/>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студентка 2-го курсу факультету адвокатури та антикорупційної діяльності</w:t>
      </w:r>
    </w:p>
    <w:p w14:paraId="4430B723" w14:textId="492A850C" w:rsidR="003476F8" w:rsidRPr="00511005" w:rsidRDefault="007B2628" w:rsidP="003A292D">
      <w:pPr>
        <w:spacing w:line="264" w:lineRule="auto"/>
        <w:ind w:firstLine="0"/>
        <w:jc w:val="center"/>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Національного університету «Одеська юридична академія»</w:t>
      </w:r>
    </w:p>
    <w:p w14:paraId="1BEE9D72" w14:textId="77777777" w:rsidR="003476F8" w:rsidRPr="00511005" w:rsidRDefault="003476F8" w:rsidP="003A292D">
      <w:pPr>
        <w:spacing w:line="264" w:lineRule="auto"/>
        <w:ind w:firstLine="0"/>
        <w:jc w:val="center"/>
        <w:rPr>
          <w:rFonts w:ascii="Arial" w:eastAsia="Times New Roman" w:hAnsi="Arial" w:cs="Arial"/>
          <w:b/>
          <w:bCs/>
          <w:kern w:val="2"/>
          <w:szCs w:val="28"/>
          <w:lang w:val="uk-UA" w:eastAsia="uk-UA"/>
          <w14:ligatures w14:val="standardContextual"/>
        </w:rPr>
      </w:pPr>
    </w:p>
    <w:p w14:paraId="2C1AEF30" w14:textId="77777777" w:rsidR="003476F8" w:rsidRPr="00511005" w:rsidRDefault="003476F8" w:rsidP="003A292D">
      <w:pPr>
        <w:spacing w:line="264" w:lineRule="auto"/>
        <w:ind w:firstLine="0"/>
        <w:jc w:val="center"/>
        <w:rPr>
          <w:rFonts w:ascii="Arial" w:eastAsia="Times New Roman" w:hAnsi="Arial" w:cs="Arial"/>
          <w:b/>
          <w:bCs/>
          <w:kern w:val="2"/>
          <w:szCs w:val="28"/>
          <w:lang w:val="uk-UA" w:eastAsia="uk-UA"/>
          <w14:ligatures w14:val="standardContextual"/>
        </w:rPr>
      </w:pPr>
      <w:r w:rsidRPr="00511005">
        <w:rPr>
          <w:rFonts w:ascii="Arial" w:eastAsia="Times New Roman" w:hAnsi="Arial" w:cs="Arial"/>
          <w:b/>
          <w:bCs/>
          <w:kern w:val="2"/>
          <w:szCs w:val="28"/>
          <w:lang w:val="uk-UA" w:eastAsia="uk-UA"/>
          <w14:ligatures w14:val="standardContextual"/>
        </w:rPr>
        <w:t>КОНСТИТУЦІЙНІ ЗАСАДИ ОБМЕЖЕННЯ ТРУДОВИХ ПРАВ ПРАЦІВНИКІВ</w:t>
      </w:r>
    </w:p>
    <w:p w14:paraId="3E806824"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Гарантії трудових прав працівників є однією з ключових складових правової держави та соціально орієнтованого суспільства. Конституція України проголошує право кожного на працю, належні умови праці, справедливу оплату та захист від незаконного звільнення. Водночас у правозастосовній практиці виникають ситуації, коли держава або роботодавець можуть тимчасово або частково обмежувати трудові права працівників. Такі обмеження мають відповідати принципам конституційності, правомірності, необхідності та пропорційності. У цьому контексті особливої актуальності набуває аналіз конституційних засад, які визначають допустимі межі втручання у сферу трудових прав, а також механізмів захисту працівників у разі їх порушення.</w:t>
      </w:r>
    </w:p>
    <w:p w14:paraId="5F27F455"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Конституція України гарантує кожному право на працю, своєчасну та справедливу оплату праці, безпечні та здорові умови праці, захист від незаконного звільнення, право на страйк, право на відпочинок (статті 43, 44, 45). Водночас відповідно до статті 64 Конституції України в умовах воєнного або надзвичайного стану можуть встановлюватися окремі обмеження конституційних прав і свобод, крім прав, зазначених у цій самій статті як таких, що не підлягають обмеженню.</w:t>
      </w:r>
    </w:p>
    <w:p w14:paraId="1AD5571E"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У контексті трудових прав це означає, що за наявності правового режиму воєнного стану держава має право тимчасово вносити зміни до трудових гарантій з метою забезпечення обороноздатності, національної безпеки та публічного порядку. Наприклад, можуть обмежуватись права на відпочинок, звільнення, переведення, профспілкову діяльність, умови оплати праці тощо. Це передбачено як Конституцією, так і законами України, зокрема Законом України «Про організацію трудових відносин в умовах воєнного стану».</w:t>
      </w:r>
    </w:p>
    <w:p w14:paraId="057BE581"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Разом із тим, будь-які обмеження повинні відповідати ключовим конституційним принципам: законності, необхідності, пропорційності та недискримінаційності. Вони не можуть бути довільними або такими, що повністю нівелюють сутність трудових прав. Окрім того, після припинення або скасування дії воєнного стану гарантії трудових прав працівників мають бути поновлені в повному обсязі.</w:t>
      </w:r>
    </w:p>
    <w:p w14:paraId="7D2043E7"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Таким чином, у період воєнного стану держава зобов'язана забезпечити баланс між публічними інтересами та збереженням гідного рівня захисту трудових прав працівників, відповідно до конституційних стандартів та міжнародних правозахисних зобов’язань України.</w:t>
      </w:r>
    </w:p>
    <w:p w14:paraId="59D9DE0B"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lastRenderedPageBreak/>
        <w:t>Під час воєнного стану в Україні, відповідно до Конституції та законів України, можуть тимчасово обмежуватись конституційні права громадян. Це передбачено Указом Президента від 24.02.2022 та Законом України «Про правовий режим воєнного стану». Зокрема, можуть вводитися такі заходи: запровадження трудової повинності для працездатних осіб; зміна умов праці; примусове відчуження приватного майна для потреб держави; заборона мирних зібрань; обмеження діяльності політичних партій та громадських об’єднань; обмеження свободи пересування і вибору місця проживання; заборона зміни місця проживання військовозобов’язаним; обмеження альтернативної (невійськової) служби; запровадження військово-квартирної повинності. Ці обмеження мають тимчасовий характер і діють лише протягом воєнного стану [4, с. 94].</w:t>
      </w:r>
    </w:p>
    <w:p w14:paraId="16281FD8"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Згідно з пунктом 5 частини першої статті 6 Закону України «Про правовий режим воєнного стану», в указі Президента України про запровадження воєнного стану має міститися чітко визначений перелік конституційних прав і свобод людини і громадянина, які тимчасово обмежуються у зв’язку з воєнним станом, із зазначенням строку їх дії. Також указ повинен містити інформацію про тимчасові обмеження прав і законних інтересів юридичних осіб із вказівкою на період дії таких обмежень [3, с. 394]. </w:t>
      </w:r>
    </w:p>
    <w:p w14:paraId="1C5A5EC3"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Указ Президента України №64/2022 від 24 лютого 2022 року «Про введення воєнного стану в Україні», затверджений Законом України №2102-IX того ж дня, передбачає, що у зв’язку із запровадженням воєнного стану можуть тимчасово обмежуватися деякі конституційні права і свободи громадян, зокрема ті, що гарантовані статтями 30-34, 38, 39, 41-44, 53 Конституції України. Крім того, допускається тимчасове обмеження прав і законних інтересів юридичних осіб у межах та обсязі, необхідних для реалізації заходів, передбачених частиною першою статті 8 Закону України «Про правовий режим воєнного стану» [3, с. 394].</w:t>
      </w:r>
    </w:p>
    <w:p w14:paraId="51F228A5"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Серед обмежень трудових прав в умовах воєнного стану в Україні яскраво проглядаються наступні: </w:t>
      </w:r>
    </w:p>
    <w:p w14:paraId="520E188F" w14:textId="77777777" w:rsidR="003476F8" w:rsidRPr="00511005" w:rsidRDefault="003476F8" w:rsidP="003F6A5D">
      <w:pPr>
        <w:numPr>
          <w:ilvl w:val="0"/>
          <w:numId w:val="431"/>
        </w:numPr>
        <w:spacing w:line="264" w:lineRule="auto"/>
        <w:ind w:left="0" w:firstLine="709"/>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Відхилення від норм тривалості робочого часу , а саме тривалість робочого тижня може бути збільшена до 60 годин, замість звичних 40 годин.</w:t>
      </w:r>
    </w:p>
    <w:p w14:paraId="01D0FEE5" w14:textId="77777777" w:rsidR="003476F8" w:rsidRPr="00511005" w:rsidRDefault="003476F8" w:rsidP="003F6A5D">
      <w:pPr>
        <w:numPr>
          <w:ilvl w:val="0"/>
          <w:numId w:val="431"/>
        </w:numPr>
        <w:spacing w:line="264" w:lineRule="auto"/>
        <w:ind w:left="0" w:firstLine="709"/>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Обмеження у відпустках , а саме працівнику може бути відмовлено у наданні щорічної основної відпустки, якщо він залучений до виконання робіт, важливих для оборони або життєзабезпечення , а також тривалість щорічної основної відпустки може бути обмежена 24 календарними днями.</w:t>
      </w:r>
    </w:p>
    <w:p w14:paraId="49CF3B9B" w14:textId="77777777" w:rsidR="003476F8" w:rsidRPr="00511005" w:rsidRDefault="003476F8" w:rsidP="003F6A5D">
      <w:pPr>
        <w:numPr>
          <w:ilvl w:val="0"/>
          <w:numId w:val="431"/>
        </w:numPr>
        <w:spacing w:line="264" w:lineRule="auto"/>
        <w:ind w:left="0" w:firstLine="709"/>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Призупинення дії трудового договору , а саме запровадження нової правової конструкції – призупинення дії трудового договору, що допускається у разі неможливості виконання роботи обома сторонами (і працівником, і роботодавцем) внаслідок воєнних дій .</w:t>
      </w:r>
    </w:p>
    <w:p w14:paraId="2E2E8DCB" w14:textId="4C4B0A10" w:rsidR="003476F8" w:rsidRPr="00511005" w:rsidRDefault="003476F8" w:rsidP="003F6A5D">
      <w:pPr>
        <w:numPr>
          <w:ilvl w:val="0"/>
          <w:numId w:val="431"/>
        </w:numPr>
        <w:spacing w:line="264" w:lineRule="auto"/>
        <w:ind w:left="0" w:firstLine="709"/>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lastRenderedPageBreak/>
        <w:t>Спростилася процедура звільнення працівника,</w:t>
      </w:r>
      <w:r w:rsidR="007B2628" w:rsidRPr="00511005">
        <w:rPr>
          <w:rFonts w:ascii="Arial" w:eastAsia="Times New Roman" w:hAnsi="Arial" w:cs="Arial"/>
          <w:kern w:val="2"/>
          <w:szCs w:val="28"/>
          <w:lang w:val="uk-UA" w:eastAsia="uk-UA"/>
          <w14:ligatures w14:val="standardContextual"/>
        </w:rPr>
        <w:t xml:space="preserve"> </w:t>
      </w:r>
      <w:r w:rsidRPr="00511005">
        <w:rPr>
          <w:rFonts w:ascii="Arial" w:eastAsia="Times New Roman" w:hAnsi="Arial" w:cs="Arial"/>
          <w:kern w:val="2"/>
          <w:szCs w:val="28"/>
          <w:lang w:val="uk-UA" w:eastAsia="uk-UA"/>
          <w14:ligatures w14:val="standardContextual"/>
        </w:rPr>
        <w:t>зокрема, допускається звільнення за ініціативою роботодавця під час тимчасової непрацездатності або відпустки.</w:t>
      </w:r>
    </w:p>
    <w:p w14:paraId="4B025F1D" w14:textId="77777777" w:rsidR="003476F8" w:rsidRPr="00511005" w:rsidRDefault="003476F8" w:rsidP="003F6A5D">
      <w:pPr>
        <w:numPr>
          <w:ilvl w:val="0"/>
          <w:numId w:val="431"/>
        </w:numPr>
        <w:spacing w:line="264" w:lineRule="auto"/>
        <w:ind w:left="0" w:firstLine="709"/>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Обмеження дії колективних договорів та гарантій , а саме дія окремих положень колективних договорів може бути зупинена, а також зменшено обсяг гарантій для певних категорій працівників, наприклад, обмежено захист профспілкових представників.</w:t>
      </w:r>
    </w:p>
    <w:p w14:paraId="3507C87B"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Конституційні засади обмеження трудових прав працівників в умовах особливих правових режимів, зокрема воєнного стану, базуються на принципі тимчасовості, необхідності та правомірності таких обмежень. Конституція України (ст. 64) дозволяє звуження певних прав і свобод лише за умов, прямо передбачених законом і з чітким визначенням строків. У сучасних умовах воєнного стану держава реалізує своє право на обмеження трудових прав працівників задля забезпечення національної безпеки, обороноздатності та захисту прав інших осіб. Водночас такі обмеження мають здійснюватися у межах закону, бути обґрунтованими, пропорційними та не суперечити основоположним засадам демократичного суспільства.</w:t>
      </w:r>
    </w:p>
    <w:p w14:paraId="06A2F493" w14:textId="51D768A1" w:rsidR="003476F8" w:rsidRPr="00511005" w:rsidRDefault="007B2628" w:rsidP="007B2628">
      <w:pPr>
        <w:spacing w:line="264" w:lineRule="auto"/>
        <w:jc w:val="center"/>
        <w:rPr>
          <w:rFonts w:ascii="Arial" w:eastAsia="Times New Roman" w:hAnsi="Arial" w:cs="Arial"/>
          <w:b/>
          <w:bCs/>
          <w:kern w:val="2"/>
          <w:szCs w:val="28"/>
          <w:lang w:val="uk-UA" w:eastAsia="uk-UA"/>
          <w14:ligatures w14:val="standardContextual"/>
        </w:rPr>
      </w:pPr>
      <w:r w:rsidRPr="00511005">
        <w:rPr>
          <w:rFonts w:ascii="Arial" w:eastAsia="Times New Roman" w:hAnsi="Arial" w:cs="Arial"/>
          <w:b/>
          <w:bCs/>
          <w:kern w:val="2"/>
          <w:szCs w:val="28"/>
          <w:lang w:val="uk-UA" w:eastAsia="uk-UA"/>
          <w14:ligatures w14:val="standardContextual"/>
        </w:rPr>
        <w:t>Список використаних джерел</w:t>
      </w:r>
    </w:p>
    <w:p w14:paraId="348D4F5E"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1. Конституція України, прийнята на V сесії Верховної Ради України 28 червня 1996 року. </w:t>
      </w:r>
      <w:r w:rsidRPr="00511005">
        <w:rPr>
          <w:rFonts w:ascii="Arial" w:eastAsia="Times New Roman" w:hAnsi="Arial" w:cs="Arial"/>
          <w:i/>
          <w:iCs/>
          <w:kern w:val="2"/>
          <w:szCs w:val="28"/>
          <w:lang w:val="uk-UA" w:eastAsia="uk-UA"/>
          <w14:ligatures w14:val="standardContextual"/>
        </w:rPr>
        <w:t>Відомості Верховної Ради України</w:t>
      </w:r>
      <w:r w:rsidRPr="00511005">
        <w:rPr>
          <w:rFonts w:ascii="Arial" w:eastAsia="Times New Roman" w:hAnsi="Arial" w:cs="Arial"/>
          <w:kern w:val="2"/>
          <w:szCs w:val="28"/>
          <w:lang w:val="uk-UA" w:eastAsia="uk-UA"/>
          <w14:ligatures w14:val="standardContextual"/>
        </w:rPr>
        <w:t>. 1996. №30. Ст. 141.</w:t>
      </w:r>
    </w:p>
    <w:p w14:paraId="2C2AAA2F"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2. Про організацію трудових відносин в умовах воєнного стану: Закон України від 15 листопада 2022 року №2136-ІХ. URL: https://zakon.rada.gov.ua/laws/show/2136-20#Text</w:t>
      </w:r>
    </w:p>
    <w:p w14:paraId="7BCF892A"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3. Чанишева Г.І. Щодо обмеження окремих конституційних прав в умовах воєнного стану. </w:t>
      </w:r>
      <w:r w:rsidRPr="00511005">
        <w:rPr>
          <w:rFonts w:ascii="Arial" w:eastAsia="Times New Roman" w:hAnsi="Arial" w:cs="Arial"/>
          <w:i/>
          <w:iCs/>
          <w:kern w:val="2"/>
          <w:szCs w:val="28"/>
          <w:lang w:val="uk-UA" w:eastAsia="uk-UA"/>
          <w14:ligatures w14:val="standardContextual"/>
        </w:rPr>
        <w:t>Право і суспільство.</w:t>
      </w:r>
      <w:r w:rsidRPr="00511005">
        <w:rPr>
          <w:rFonts w:ascii="Arial" w:eastAsia="Times New Roman" w:hAnsi="Arial" w:cs="Arial"/>
          <w:kern w:val="2"/>
          <w:szCs w:val="28"/>
          <w:lang w:val="uk-UA" w:eastAsia="uk-UA"/>
          <w14:ligatures w14:val="standardContextual"/>
        </w:rPr>
        <w:t xml:space="preserve"> 2024. №4. С. 392-398. http://pravoisuspilstvo.org.ua/archive/2024/4_2024/57.pdf</w:t>
      </w:r>
    </w:p>
    <w:p w14:paraId="63CE0405"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4. Крусян А.Р. Конституційно-правовий статус та обмеження прав і свобод людини і громадянина в умовах воєнного стану в Україні. </w:t>
      </w:r>
      <w:r w:rsidRPr="00511005">
        <w:rPr>
          <w:rFonts w:ascii="Arial" w:eastAsia="Times New Roman" w:hAnsi="Arial" w:cs="Arial"/>
          <w:i/>
          <w:iCs/>
          <w:kern w:val="2"/>
          <w:szCs w:val="28"/>
          <w:lang w:val="uk-UA" w:eastAsia="uk-UA"/>
          <w14:ligatures w14:val="standardContextual"/>
        </w:rPr>
        <w:t>Альманах права.</w:t>
      </w:r>
      <w:r w:rsidRPr="00511005">
        <w:rPr>
          <w:rFonts w:ascii="Arial" w:eastAsia="Times New Roman" w:hAnsi="Arial" w:cs="Arial"/>
          <w:kern w:val="2"/>
          <w:szCs w:val="28"/>
          <w:lang w:val="uk-UA" w:eastAsia="uk-UA"/>
          <w14:ligatures w14:val="standardContextual"/>
        </w:rPr>
        <w:t xml:space="preserve"> 2022. Вип. 13. С. 93-97.</w:t>
      </w:r>
    </w:p>
    <w:p w14:paraId="717D2614" w14:textId="77777777" w:rsidR="003476F8" w:rsidRPr="00511005" w:rsidRDefault="003476F8" w:rsidP="003A292D">
      <w:pPr>
        <w:spacing w:line="264" w:lineRule="auto"/>
        <w:rPr>
          <w:rFonts w:ascii="Arial" w:eastAsia="Times New Roman" w:hAnsi="Arial" w:cs="Arial"/>
          <w:b/>
          <w:bCs/>
          <w:kern w:val="2"/>
          <w:szCs w:val="28"/>
          <w:lang w:val="uk-UA" w:eastAsia="uk-UA"/>
          <w14:ligatures w14:val="standardContextual"/>
        </w:rPr>
      </w:pPr>
    </w:p>
    <w:p w14:paraId="692ACD8A" w14:textId="51877520" w:rsidR="003476F8" w:rsidRPr="00511005" w:rsidRDefault="007B262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b/>
          <w:bCs/>
          <w:i/>
          <w:kern w:val="2"/>
          <w:szCs w:val="28"/>
          <w:lang w:val="uk-UA" w:eastAsia="uk-UA"/>
          <w14:ligatures w14:val="standardContextual"/>
        </w:rPr>
        <w:t xml:space="preserve">Ключові слова: </w:t>
      </w:r>
      <w:r w:rsidR="003476F8" w:rsidRPr="00511005">
        <w:rPr>
          <w:rFonts w:ascii="Arial" w:eastAsia="Times New Roman" w:hAnsi="Arial" w:cs="Arial"/>
          <w:kern w:val="2"/>
          <w:szCs w:val="28"/>
          <w:lang w:val="uk-UA" w:eastAsia="uk-UA"/>
          <w14:ligatures w14:val="standardContextual"/>
        </w:rPr>
        <w:t>Конституція України, трудові права працівників, обмеження трудових прав працівників, воєнний стан, законодавство України.</w:t>
      </w:r>
    </w:p>
    <w:p w14:paraId="2A1C2623" w14:textId="2B024BD2" w:rsidR="003476F8" w:rsidRPr="00511005" w:rsidRDefault="007B2628" w:rsidP="003A292D">
      <w:pPr>
        <w:spacing w:line="264" w:lineRule="auto"/>
        <w:rPr>
          <w:rFonts w:ascii="Arial" w:eastAsia="Times New Roman" w:hAnsi="Arial" w:cs="Arial"/>
          <w:kern w:val="2"/>
          <w:szCs w:val="28"/>
          <w:lang w:val="en-US" w:eastAsia="uk-UA"/>
          <w14:ligatures w14:val="standardContextual"/>
        </w:rPr>
      </w:pPr>
      <w:r w:rsidRPr="00511005">
        <w:rPr>
          <w:rFonts w:ascii="Arial" w:eastAsia="Times New Roman" w:hAnsi="Arial" w:cs="Arial"/>
          <w:b/>
          <w:bCs/>
          <w:i/>
          <w:kern w:val="2"/>
          <w:szCs w:val="28"/>
          <w:lang w:val="uk-UA" w:eastAsia="uk-UA"/>
          <w14:ligatures w14:val="standardContextual"/>
        </w:rPr>
        <w:t xml:space="preserve">Key words: </w:t>
      </w:r>
      <w:r w:rsidR="003476F8" w:rsidRPr="00511005">
        <w:rPr>
          <w:rFonts w:ascii="Arial" w:eastAsia="Times New Roman" w:hAnsi="Arial" w:cs="Arial"/>
          <w:kern w:val="2"/>
          <w:szCs w:val="28"/>
          <w:lang w:val="en" w:eastAsia="uk-UA"/>
          <w14:ligatures w14:val="standardContextual"/>
        </w:rPr>
        <w:t>Constitution of Ukraine, labor rights of employees, restrictions on labor rights of employees, martial law, legislation of Ukraine.</w:t>
      </w:r>
    </w:p>
    <w:p w14:paraId="14EFE1FC" w14:textId="77777777" w:rsidR="003476F8" w:rsidRPr="00511005" w:rsidRDefault="003476F8" w:rsidP="003A292D">
      <w:pPr>
        <w:spacing w:line="264" w:lineRule="auto"/>
        <w:rPr>
          <w:rFonts w:ascii="Arial" w:eastAsia="Times New Roman" w:hAnsi="Arial" w:cs="Arial"/>
          <w:kern w:val="2"/>
          <w:szCs w:val="28"/>
          <w:lang w:val="uk-UA" w:eastAsia="uk-UA"/>
          <w14:ligatures w14:val="standardContextual"/>
        </w:rPr>
      </w:pPr>
    </w:p>
    <w:p w14:paraId="51BD4F25" w14:textId="6B999C93" w:rsidR="003476F8" w:rsidRPr="00511005" w:rsidRDefault="007B2628" w:rsidP="003A292D">
      <w:pPr>
        <w:spacing w:line="264" w:lineRule="auto"/>
        <w:rPr>
          <w:rFonts w:ascii="Arial" w:eastAsia="Times New Roman" w:hAnsi="Arial" w:cs="Arial"/>
          <w:i/>
          <w:iCs/>
          <w:kern w:val="2"/>
          <w:szCs w:val="28"/>
          <w:lang w:val="uk-UA" w:eastAsia="uk-UA"/>
          <w14:ligatures w14:val="standardContextual"/>
        </w:rPr>
      </w:pPr>
      <w:r w:rsidRPr="00511005">
        <w:rPr>
          <w:rFonts w:ascii="Arial" w:eastAsia="Times New Roman" w:hAnsi="Arial" w:cs="Arial"/>
          <w:b/>
          <w:i/>
          <w:iCs/>
          <w:kern w:val="2"/>
          <w:szCs w:val="28"/>
          <w:lang w:val="uk-UA" w:eastAsia="uk-UA"/>
          <w14:ligatures w14:val="standardContextual"/>
        </w:rPr>
        <w:t xml:space="preserve">Науковий керівник: </w:t>
      </w:r>
      <w:r w:rsidR="003476F8" w:rsidRPr="00511005">
        <w:rPr>
          <w:rFonts w:ascii="Arial" w:eastAsia="Times New Roman" w:hAnsi="Arial" w:cs="Arial"/>
          <w:i/>
          <w:iCs/>
          <w:kern w:val="2"/>
          <w:szCs w:val="28"/>
          <w:lang w:val="uk-UA" w:eastAsia="uk-UA"/>
          <w14:ligatures w14:val="standardContextual"/>
        </w:rPr>
        <w:t xml:space="preserve">д.ю.н., професор Чанишева Г.І. </w:t>
      </w:r>
    </w:p>
    <w:p w14:paraId="75512B4B" w14:textId="45F6C033" w:rsidR="0087239D" w:rsidRPr="00511005" w:rsidRDefault="0087239D" w:rsidP="003A292D">
      <w:pPr>
        <w:spacing w:line="264" w:lineRule="auto"/>
        <w:rPr>
          <w:rFonts w:ascii="Arial" w:eastAsia="Times New Roman" w:hAnsi="Arial" w:cs="Arial"/>
          <w:i/>
          <w:iCs/>
          <w:kern w:val="2"/>
          <w:szCs w:val="28"/>
          <w:lang w:val="uk-UA" w:eastAsia="uk-UA"/>
          <w14:ligatures w14:val="standardContextual"/>
        </w:rPr>
      </w:pPr>
    </w:p>
    <w:p w14:paraId="26384A5B" w14:textId="77777777" w:rsidR="0087239D" w:rsidRPr="00511005" w:rsidRDefault="0087239D" w:rsidP="003A292D">
      <w:pPr>
        <w:spacing w:line="264" w:lineRule="auto"/>
        <w:rPr>
          <w:rFonts w:ascii="Arial" w:eastAsia="Times New Roman" w:hAnsi="Arial" w:cs="Arial"/>
          <w:i/>
          <w:iCs/>
          <w:kern w:val="2"/>
          <w:szCs w:val="28"/>
          <w:lang w:val="uk-UA" w:eastAsia="uk-UA"/>
          <w14:ligatures w14:val="standardContextual"/>
        </w:rPr>
      </w:pPr>
    </w:p>
    <w:p w14:paraId="6A71FB93" w14:textId="77777777" w:rsidR="007D28FC" w:rsidRDefault="007D28FC">
      <w:pPr>
        <w:spacing w:after="200" w:line="276" w:lineRule="auto"/>
        <w:ind w:firstLine="0"/>
        <w:jc w:val="left"/>
        <w:rPr>
          <w:rFonts w:ascii="Arial" w:eastAsia="Calibri" w:hAnsi="Arial" w:cs="Arial"/>
          <w:b/>
          <w:bCs/>
          <w:i/>
          <w:iCs/>
          <w:kern w:val="2"/>
          <w:szCs w:val="28"/>
          <w:lang w:val="uk-UA"/>
          <w14:ligatures w14:val="standardContextual"/>
        </w:rPr>
      </w:pPr>
      <w:r>
        <w:rPr>
          <w:rFonts w:ascii="Arial" w:eastAsia="Calibri" w:hAnsi="Arial" w:cs="Arial"/>
          <w:b/>
          <w:bCs/>
          <w:i/>
          <w:iCs/>
          <w:kern w:val="2"/>
          <w:szCs w:val="28"/>
          <w:lang w:val="uk-UA"/>
          <w14:ligatures w14:val="standardContextual"/>
        </w:rPr>
        <w:br w:type="page"/>
      </w:r>
    </w:p>
    <w:p w14:paraId="3E6822B1" w14:textId="67C0CC7E" w:rsidR="003476F8" w:rsidRPr="00511005" w:rsidRDefault="003476F8" w:rsidP="003A292D">
      <w:pPr>
        <w:spacing w:line="264" w:lineRule="auto"/>
        <w:ind w:firstLine="0"/>
        <w:jc w:val="center"/>
        <w:rPr>
          <w:rFonts w:ascii="Arial" w:eastAsia="Calibri" w:hAnsi="Arial" w:cs="Arial"/>
          <w:b/>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lastRenderedPageBreak/>
        <w:t>Білошкурський Микола Миколайович</w:t>
      </w:r>
    </w:p>
    <w:p w14:paraId="3C07B4BF" w14:textId="450CE44C" w:rsidR="003476F8" w:rsidRPr="00511005" w:rsidRDefault="00536AAB"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студент 2-го курсу </w:t>
      </w:r>
      <w:r w:rsidR="003476F8" w:rsidRPr="00511005">
        <w:rPr>
          <w:rFonts w:ascii="Arial" w:eastAsia="Calibri" w:hAnsi="Arial" w:cs="Arial"/>
          <w:kern w:val="2"/>
          <w:szCs w:val="28"/>
          <w:lang w:val="uk-UA"/>
          <w14:ligatures w14:val="standardContextual"/>
        </w:rPr>
        <w:t xml:space="preserve">факультету цивільної та господарської юстиції </w:t>
      </w:r>
      <w:r w:rsidR="003476F8" w:rsidRPr="00511005">
        <w:rPr>
          <w:rFonts w:ascii="Arial" w:eastAsia="Calibri" w:hAnsi="Arial" w:cs="Arial"/>
          <w:kern w:val="2"/>
          <w:szCs w:val="28"/>
          <w:lang w:val="uk-UA"/>
          <w14:ligatures w14:val="standardContextual"/>
        </w:rPr>
        <w:br/>
      </w:r>
      <w:r w:rsidR="007B2628" w:rsidRPr="00511005">
        <w:rPr>
          <w:rFonts w:ascii="Arial" w:eastAsia="Calibri" w:hAnsi="Arial" w:cs="Arial"/>
          <w:kern w:val="2"/>
          <w:szCs w:val="28"/>
          <w:lang w:val="uk-UA"/>
          <w14:ligatures w14:val="standardContextual"/>
        </w:rPr>
        <w:t>Національного університету «Одеська юридична академія»</w:t>
      </w:r>
    </w:p>
    <w:p w14:paraId="0EADD211" w14:textId="77777777" w:rsidR="003476F8" w:rsidRPr="00511005" w:rsidRDefault="003476F8" w:rsidP="003A292D">
      <w:pPr>
        <w:spacing w:line="264" w:lineRule="auto"/>
        <w:ind w:firstLine="851"/>
        <w:jc w:val="center"/>
        <w:rPr>
          <w:rFonts w:ascii="Arial" w:eastAsia="Calibri" w:hAnsi="Arial" w:cs="Arial"/>
          <w:b/>
          <w:bCs/>
          <w:kern w:val="2"/>
          <w:szCs w:val="28"/>
          <w:lang w:val="uk-UA"/>
          <w14:ligatures w14:val="standardContextual"/>
        </w:rPr>
      </w:pPr>
    </w:p>
    <w:p w14:paraId="3D607F03" w14:textId="77777777" w:rsidR="003476F8" w:rsidRPr="00511005" w:rsidRDefault="003476F8" w:rsidP="003A292D">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 xml:space="preserve">ДЕРЖАВНІ НАГОРОДИ УКРАЇНИ: ПОГЛЯД ЧЕРЕЗ ПРИЗМУ ТРУДОВИХ ВІДНОСИН ТА АНТИКОРУПЦІЙНОГО ЗАКОНОДАВСТВА </w:t>
      </w:r>
    </w:p>
    <w:p w14:paraId="39F56FB4" w14:textId="77777777" w:rsidR="003476F8" w:rsidRPr="00511005" w:rsidRDefault="003476F8"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В умовах сьогодення питання протидії та запобігання корупційним правопорушенням в українському суспільстві стоїть досить гостро. Причиною цьому слугують євроінтеграційні процеси України, законодавчі ініціативи нашої держави, такі, як прийняття Державної антикорупційної політики на 2023–2025 [1] чи впровадження розвитку інституту укладання угод зі слідством [2], а також умови воєнного стану, коли корупційний фактор в силах оборони опосередковано підсилює позиції ворога на полі бою. </w:t>
      </w:r>
    </w:p>
    <w:p w14:paraId="17CB2F86" w14:textId="77777777" w:rsidR="003476F8" w:rsidRPr="00511005" w:rsidRDefault="003476F8"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Враховуючи викладене, можемо констатувати, що питання протидії та запобігання корупційним правопорушення нині набувають особливої актуальності, проте особливу важливість становлять не тільки впровадження нових методів боротьби з корупцією, а і вдосконалення вже існуючих. Зокрема, важливим шляхом у розробленні антикорупційної політики доцільно виокремити вдосконалення антикорупційного законодавства, усунення прогалин та уникнення неоднозначності в трактуванні норм, а також налагодження механізмів притягнення винних до відповідальності [3, с. 18].</w:t>
      </w:r>
    </w:p>
    <w:p w14:paraId="68EAE711" w14:textId="77777777" w:rsidR="003476F8" w:rsidRPr="00511005" w:rsidRDefault="003476F8" w:rsidP="003A292D">
      <w:pPr>
        <w:spacing w:line="264" w:lineRule="auto"/>
        <w:rPr>
          <w:rFonts w:ascii="Arial" w:eastAsia="Calibri" w:hAnsi="Arial" w:cs="Arial"/>
          <w:i/>
          <w:iCs/>
          <w:kern w:val="2"/>
          <w:szCs w:val="28"/>
          <w:lang w:val="uk-UA"/>
          <w14:ligatures w14:val="standardContextual"/>
        </w:rPr>
      </w:pPr>
      <w:r w:rsidRPr="00511005">
        <w:rPr>
          <w:rFonts w:ascii="Arial" w:eastAsia="Calibri" w:hAnsi="Arial" w:cs="Arial"/>
          <w:kern w:val="2"/>
          <w:szCs w:val="28"/>
          <w:lang w:val="uk-UA"/>
          <w14:ligatures w14:val="standardContextual"/>
        </w:rPr>
        <w:t>У попередніх дослідженнях ми також доводили, що у контексті розроблення способів протидіяти та запобігати корупційним правопорушенням важливу роль відіграє комплексний аналіз корупційних факторів у різних сферах суспільних відносин [4, с. 170]. Враховуючи це твердження, а також наведені раніше аргументи, вважаємо за доцільне зосередити наше дослідження саме на аналізі окремих корупційних факторів у сфері трудових відносин.</w:t>
      </w:r>
    </w:p>
    <w:p w14:paraId="16AF6AA5" w14:textId="77777777" w:rsidR="003476F8" w:rsidRPr="00511005" w:rsidRDefault="003476F8"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Кодекс законів про працю України (надалі – КЗпП України) містить у своїх статтях низку застережень, спрямованих на протидію чи запобігання корупційним ризикам у трудових відносинах. Наприклад, ст. 2</w:t>
      </w:r>
      <w:r w:rsidRPr="00511005">
        <w:rPr>
          <w:rFonts w:ascii="Arial" w:eastAsia="Calibri" w:hAnsi="Arial" w:cs="Arial"/>
          <w:kern w:val="2"/>
          <w:szCs w:val="28"/>
          <w:vertAlign w:val="superscript"/>
          <w:lang w:val="uk-UA"/>
          <w14:ligatures w14:val="standardContextual"/>
        </w:rPr>
        <w:t>1</w:t>
      </w:r>
      <w:r w:rsidRPr="00511005">
        <w:rPr>
          <w:rFonts w:ascii="Arial" w:eastAsia="Calibri" w:hAnsi="Arial" w:cs="Arial"/>
          <w:kern w:val="2"/>
          <w:szCs w:val="28"/>
          <w:lang w:val="uk-UA"/>
          <w14:ligatures w14:val="standardContextual"/>
        </w:rPr>
        <w:t xml:space="preserve"> закріплює рівність трудових прав та недопущення дискримінації у сфері праці, у тому числі, по відношенню до працівника, який має на меті повідомити чи повідомив про можливе корупційне, або пов’язане з корупцією правопорушення [5], подібне закріплює і ст. 32, яка забороняє звільняти, примушувати до звільнення, або притягувати до дисциплінарної відповідальності працівника на підставі того, що він повідомив про корупційне або пов’язане з корупцією правопорушення [5]. Також, п. 7</w:t>
      </w:r>
      <w:r w:rsidRPr="00511005">
        <w:rPr>
          <w:rFonts w:ascii="Arial" w:eastAsia="Calibri" w:hAnsi="Arial" w:cs="Arial"/>
          <w:kern w:val="2"/>
          <w:szCs w:val="28"/>
          <w:vertAlign w:val="superscript"/>
          <w:lang w:val="uk-UA"/>
          <w14:ligatures w14:val="standardContextual"/>
        </w:rPr>
        <w:t>1</w:t>
      </w:r>
      <w:r w:rsidRPr="00511005">
        <w:rPr>
          <w:rFonts w:ascii="Arial" w:eastAsia="Calibri" w:hAnsi="Arial" w:cs="Arial"/>
          <w:kern w:val="2"/>
          <w:szCs w:val="28"/>
          <w:lang w:val="uk-UA"/>
          <w14:ligatures w14:val="standardContextual"/>
        </w:rPr>
        <w:t xml:space="preserve"> ч. 1 ст. 36 КЗпП України закріплює серед можливих причин розірвання трудового договору (контракту) – його укладення всупереч Закону України «Про запобігання корупції </w:t>
      </w:r>
      <w:r w:rsidRPr="00511005">
        <w:rPr>
          <w:rFonts w:ascii="Arial" w:eastAsia="Calibri" w:hAnsi="Arial" w:cs="Arial"/>
          <w:kern w:val="2"/>
          <w:szCs w:val="28"/>
          <w14:ligatures w14:val="standardContextual"/>
        </w:rPr>
        <w:t xml:space="preserve">[5; </w:t>
      </w:r>
      <w:r w:rsidRPr="00511005">
        <w:rPr>
          <w:rFonts w:ascii="Arial" w:eastAsia="Calibri" w:hAnsi="Arial" w:cs="Arial"/>
          <w:kern w:val="2"/>
          <w:szCs w:val="28"/>
          <w:lang w:val="uk-UA"/>
          <w14:ligatures w14:val="standardContextual"/>
        </w:rPr>
        <w:t>6</w:t>
      </w:r>
      <w:r w:rsidRPr="00511005">
        <w:rPr>
          <w:rFonts w:ascii="Arial" w:eastAsia="Calibri" w:hAnsi="Arial" w:cs="Arial"/>
          <w:kern w:val="2"/>
          <w:szCs w:val="28"/>
          <w14:ligatures w14:val="standardContextual"/>
        </w:rPr>
        <w:t>]</w:t>
      </w:r>
      <w:r w:rsidRPr="00511005">
        <w:rPr>
          <w:rFonts w:ascii="Arial" w:eastAsia="Calibri" w:hAnsi="Arial" w:cs="Arial"/>
          <w:kern w:val="2"/>
          <w:szCs w:val="28"/>
          <w:lang w:val="uk-UA"/>
          <w14:ligatures w14:val="standardContextual"/>
        </w:rPr>
        <w:t xml:space="preserve"> тощо. </w:t>
      </w:r>
    </w:p>
    <w:p w14:paraId="629AEBE5" w14:textId="77777777" w:rsidR="003476F8" w:rsidRPr="00511005" w:rsidRDefault="003476F8"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lastRenderedPageBreak/>
        <w:t xml:space="preserve">Проте, подібні антикорупційні обмеження, закріплені в КЗпП України, не є суттєвими та запобігають лише деяким корупційним факторам у трудових відносинах. Більше того, КЗпП України досить опосередковано стосується діяльності державних службовців, які в межах своєї діяльності користуються Законом України «Про державну службу» </w:t>
      </w:r>
      <w:r w:rsidRPr="00511005">
        <w:rPr>
          <w:rFonts w:ascii="Arial" w:eastAsia="Calibri" w:hAnsi="Arial" w:cs="Arial"/>
          <w:kern w:val="2"/>
          <w:szCs w:val="28"/>
          <w14:ligatures w14:val="standardContextual"/>
        </w:rPr>
        <w:t>[7]</w:t>
      </w:r>
      <w:r w:rsidRPr="00511005">
        <w:rPr>
          <w:rFonts w:ascii="Arial" w:eastAsia="Calibri" w:hAnsi="Arial" w:cs="Arial"/>
          <w:kern w:val="2"/>
          <w:szCs w:val="28"/>
          <w:lang w:val="uk-UA"/>
          <w14:ligatures w14:val="standardContextual"/>
        </w:rPr>
        <w:t xml:space="preserve">, іншими спеціальними законами, а у питаннях протидії та запобіганню корупційним правопорушенням – Законом України «Про запобігання корупції» </w:t>
      </w:r>
      <w:r w:rsidRPr="00511005">
        <w:rPr>
          <w:rFonts w:ascii="Arial" w:eastAsia="Calibri" w:hAnsi="Arial" w:cs="Arial"/>
          <w:kern w:val="2"/>
          <w:szCs w:val="28"/>
          <w14:ligatures w14:val="standardContextual"/>
        </w:rPr>
        <w:t>[6]</w:t>
      </w:r>
      <w:r w:rsidRPr="00511005">
        <w:rPr>
          <w:rFonts w:ascii="Arial" w:eastAsia="Calibri" w:hAnsi="Arial" w:cs="Arial"/>
          <w:kern w:val="2"/>
          <w:szCs w:val="28"/>
          <w:lang w:val="uk-UA"/>
          <w14:ligatures w14:val="standardContextual"/>
        </w:rPr>
        <w:t>.</w:t>
      </w:r>
    </w:p>
    <w:p w14:paraId="6C58939E" w14:textId="77777777" w:rsidR="003476F8" w:rsidRPr="00511005" w:rsidRDefault="003476F8"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У ході аналізу положень Закону України «Про запобігання корупції» [6] виявлено, що окремі норми, які стосуються превентивних заходів запобігання корупційним правопорушенням у діяльності державних службовців, створюють колізії з іншими нормативно-правовими актами та, більше того, досить негативно впливають на протидію корупції, навпаки, підсилюючи корупційні ризики. Подібні законодавчі колізії та недосконалості потребують якнайшвидшого подолання, тому, вважаємо за доцільне дослідити деякі зі згаданих положень Закону України «Про запобігання корупції» [6].</w:t>
      </w:r>
    </w:p>
    <w:p w14:paraId="1D241607" w14:textId="77777777" w:rsidR="003476F8" w:rsidRPr="00511005" w:rsidRDefault="003476F8"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Так, ст. 23 Закону України «Про запобіганню корупції» забороняє особам, які перелічені у п. 1, 2 ч. 1 ст. 3 цього ж закону, одержувати, просити чи вимагати безпосередньо або через інших осіб подарунки для себе чи близьких їм осіб від юридичних чи фізичних осіб у зв’язку із: «здійсненням такими особами діяльності, пов’язаної з виконанням функцій держави або місцевого самоврядування; або якщо особа, яка дарує, перебуває в підпорядкуванні такої особи» [6]. Згаданим особам, відповідно до тієї ж статті цього закону, дозволяється отримувати подарунки виключно за умови, що вони «відповідають загальновизнаним уявленням про гостинність, крім випадків, передбачених частиною першою цієї статті, якщо вартість таких подарунків одноразово не перевищує двох прожиткових мінімумів для працездатних осіб, встановлених на день прийняття подарунка, а сукупна вартість таких подарунків, отриманих від однієї особи (групи осіб) протягом року, не перевищує чотирьох прожиткових мінімумів для працездатних осіб, встановлених на 1 січня року, в якому прийнято подарунки» [6], або якщо подарунки «даруються близькими особами; одержуються як загальнодоступні знижки на товари, послуги, загальнодоступні виграші, призи, премії, бонуси; одержуються як відшкодування або покриття витрат на службове відрядження, якщо таке відшкодування або покриття витрат здійснюється за рахунок коштів державного чи місцевого бюджету, коштів міжнародних міжурядових організацій, коштів міжнародної технічної допомоги, а також коштів організатора (співорганізатора) заходу, для участі в якому особа перебуває у службовому відрядженні» [6]. Закріплене обмеження є цілком доцільним, адже має на меті запобігти отриманню державним службовцем неправомірної вигоди, замаскованої під «подарунком». Державний службовець, який порушить обмеження, </w:t>
      </w:r>
      <w:r w:rsidRPr="00511005">
        <w:rPr>
          <w:rFonts w:ascii="Arial" w:eastAsia="Calibri" w:hAnsi="Arial" w:cs="Arial"/>
          <w:kern w:val="2"/>
          <w:szCs w:val="28"/>
          <w:lang w:val="uk-UA"/>
          <w14:ligatures w14:val="standardContextual"/>
        </w:rPr>
        <w:lastRenderedPageBreak/>
        <w:t>закріплені ст. 23 Закону України «Про запобігання корупції», буде нести відповідальність у порядку ст. 172</w:t>
      </w:r>
      <w:r w:rsidRPr="00511005">
        <w:rPr>
          <w:rFonts w:ascii="Arial" w:eastAsia="Calibri" w:hAnsi="Arial" w:cs="Arial"/>
          <w:kern w:val="2"/>
          <w:szCs w:val="28"/>
          <w:vertAlign w:val="superscript"/>
          <w:lang w:val="uk-UA"/>
          <w14:ligatures w14:val="standardContextual"/>
        </w:rPr>
        <w:t>5</w:t>
      </w:r>
      <w:r w:rsidRPr="00511005">
        <w:rPr>
          <w:rFonts w:ascii="Arial" w:eastAsia="Calibri" w:hAnsi="Arial" w:cs="Arial"/>
          <w:kern w:val="2"/>
          <w:szCs w:val="28"/>
          <w:lang w:val="uk-UA"/>
          <w14:ligatures w14:val="standardContextual"/>
        </w:rPr>
        <w:t xml:space="preserve"> Кодексу про адміністративні правопорушення України (надалі – КУпАП України) [8]. </w:t>
      </w:r>
    </w:p>
    <w:p w14:paraId="0C6DC750" w14:textId="77777777" w:rsidR="003476F8" w:rsidRPr="00511005" w:rsidRDefault="003476F8"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Проте, через недосконалість згаданого обмеження, замість запобігання корупційному правопорушенню, воно, навпаки, опосередковано підсилює корупційні ризики. Відповідно до ст. 1 Закону України «Про запобігання корупції», подарунок – це грошові кошти або інше майно, пільги, нематеріальні активи, пільги, послуги, які надають чи одержують безоплатно або за ціною, нижчою мінімальної ринкової [6]. Та слід зазначити, що у зазначеному законі не міститься жодних дефініцій поняттю «державна нагорода», що автоматично приводить до думки, що її слід трактувати як вид подарунку. На підтвердження цього твердження слід зазначити, що відповідно до ст. 15 Закону України «Про державні нагороди» особи, нагороджені державними нагородами, користуються пільгами, передбаченими законами України </w:t>
      </w:r>
      <w:r w:rsidRPr="00511005">
        <w:rPr>
          <w:rFonts w:ascii="Arial" w:eastAsia="Calibri" w:hAnsi="Arial" w:cs="Arial"/>
          <w:kern w:val="2"/>
          <w:szCs w:val="28"/>
          <w14:ligatures w14:val="standardContextual"/>
        </w:rPr>
        <w:t>[9]</w:t>
      </w:r>
      <w:r w:rsidRPr="00511005">
        <w:rPr>
          <w:rFonts w:ascii="Arial" w:eastAsia="Calibri" w:hAnsi="Arial" w:cs="Arial"/>
          <w:kern w:val="2"/>
          <w:szCs w:val="28"/>
          <w:lang w:val="uk-UA"/>
          <w14:ligatures w14:val="standardContextual"/>
        </w:rPr>
        <w:t>. Наприклад, відповідно до Указу Президента України «Про звання Героя України», зокрема ст. 26–29, особам, які отримали звання Героя України надається вичерпний перелік матеріальних благ, зокрема: 50-кратний розмір прожиткового мінімуму (ст. 26–27), житлове приміщення для постійного проживання (ст. 28-29) [</w:t>
      </w:r>
      <w:r w:rsidRPr="00511005">
        <w:rPr>
          <w:rFonts w:ascii="Arial" w:eastAsia="Calibri" w:hAnsi="Arial" w:cs="Arial"/>
          <w:kern w:val="2"/>
          <w:szCs w:val="28"/>
          <w14:ligatures w14:val="standardContextual"/>
        </w:rPr>
        <w:t>10</w:t>
      </w:r>
      <w:r w:rsidRPr="00511005">
        <w:rPr>
          <w:rFonts w:ascii="Arial" w:eastAsia="Calibri" w:hAnsi="Arial" w:cs="Arial"/>
          <w:kern w:val="2"/>
          <w:szCs w:val="28"/>
          <w:lang w:val="uk-UA"/>
          <w14:ligatures w14:val="standardContextual"/>
        </w:rPr>
        <w:t xml:space="preserve">]. Відповідно, вручення ордену «Золота зірка», який сам по собі має певну матеріальну ціну, а також вичерпний перелік матеріальних благ, перелічених у ст. 26–29 відповідного указу, можна трактувати як процес дарування. </w:t>
      </w:r>
    </w:p>
    <w:p w14:paraId="6A840773" w14:textId="77777777" w:rsidR="003476F8" w:rsidRPr="00511005" w:rsidRDefault="003476F8"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Якщо розглядати державні нагороди як подарунок, то у такому разі, ці нагороди, як і пільги, які надаються одночасно з врученням, повинні не перевищувати обмежень, зазначених у Законі України «Про запобігання корупції»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6</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а отже, не повинні вартувати більше, ніж два прожиткових мінімуми для працездатних осіб. Логічно припустити, що у переважній більшості випадків це є неможливим, адже й сам знак, орден тощо може мати вартість значно більшу за регламентовану Законом України «Про запобігання корупції» [6]. Аналогічно й пільги, які теж будуть значно «дорожчими» за два прожиткових мінімуми для працездатних осіб. Відповідно до ст. 24 Закону України «Про запобігання корупції», особи, уповноважені на виконання функцій держави або місцевого самоврядування, прирівняні до них особи у разі надходження пропозиції щодо неправомірної вигоди або подарунка, незважаючи на приватні інтереси, зобов’язані невідкладно вжити таких заходів:</w:t>
      </w:r>
    </w:p>
    <w:p w14:paraId="661EBA3D" w14:textId="77777777" w:rsidR="003476F8" w:rsidRPr="00511005" w:rsidRDefault="003476F8"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1) відмовитися від пропозиції;</w:t>
      </w:r>
    </w:p>
    <w:p w14:paraId="43DBB2D7" w14:textId="77777777" w:rsidR="003476F8" w:rsidRPr="00511005" w:rsidRDefault="003476F8" w:rsidP="003A292D">
      <w:pPr>
        <w:shd w:val="clear" w:color="auto" w:fill="FFFFFF"/>
        <w:spacing w:line="264" w:lineRule="auto"/>
        <w:rPr>
          <w:rFonts w:ascii="Arial" w:eastAsia="Times New Roman" w:hAnsi="Arial" w:cs="Arial"/>
          <w:szCs w:val="28"/>
          <w:lang w:val="uk-UA" w:eastAsia="ru-RU"/>
        </w:rPr>
      </w:pPr>
      <w:bookmarkStart w:id="189" w:name="n326"/>
      <w:bookmarkEnd w:id="189"/>
      <w:r w:rsidRPr="00511005">
        <w:rPr>
          <w:rFonts w:ascii="Arial" w:eastAsia="Times New Roman" w:hAnsi="Arial" w:cs="Arial"/>
          <w:szCs w:val="28"/>
          <w:lang w:val="uk-UA" w:eastAsia="ru-RU"/>
        </w:rPr>
        <w:t>2) за можливості ідентифікувати особу, яка зробила пропозицію;</w:t>
      </w:r>
    </w:p>
    <w:p w14:paraId="5E68C589" w14:textId="77777777" w:rsidR="003476F8" w:rsidRPr="00511005" w:rsidRDefault="003476F8" w:rsidP="003A292D">
      <w:pPr>
        <w:shd w:val="clear" w:color="auto" w:fill="FFFFFF"/>
        <w:spacing w:line="264" w:lineRule="auto"/>
        <w:rPr>
          <w:rFonts w:ascii="Arial" w:eastAsia="Times New Roman" w:hAnsi="Arial" w:cs="Arial"/>
          <w:szCs w:val="28"/>
          <w:lang w:val="uk-UA" w:eastAsia="ru-RU"/>
        </w:rPr>
      </w:pPr>
      <w:bookmarkStart w:id="190" w:name="n327"/>
      <w:bookmarkEnd w:id="190"/>
      <w:r w:rsidRPr="00511005">
        <w:rPr>
          <w:rFonts w:ascii="Arial" w:eastAsia="Times New Roman" w:hAnsi="Arial" w:cs="Arial"/>
          <w:szCs w:val="28"/>
          <w:lang w:val="uk-UA" w:eastAsia="ru-RU"/>
        </w:rPr>
        <w:t>3) залучити свідків, якщо це можливо, у тому числі з числа співробітників;</w:t>
      </w:r>
    </w:p>
    <w:p w14:paraId="746EF408" w14:textId="77777777" w:rsidR="003476F8" w:rsidRPr="00511005" w:rsidRDefault="003476F8" w:rsidP="003A292D">
      <w:pPr>
        <w:shd w:val="clear" w:color="auto" w:fill="FFFFFF"/>
        <w:spacing w:line="264" w:lineRule="auto"/>
        <w:rPr>
          <w:rFonts w:ascii="Arial" w:eastAsia="Times New Roman" w:hAnsi="Arial" w:cs="Arial"/>
          <w:szCs w:val="28"/>
          <w:lang w:val="uk-UA" w:eastAsia="ru-RU"/>
        </w:rPr>
      </w:pPr>
      <w:bookmarkStart w:id="191" w:name="n328"/>
      <w:bookmarkEnd w:id="191"/>
      <w:r w:rsidRPr="00511005">
        <w:rPr>
          <w:rFonts w:ascii="Arial" w:eastAsia="Times New Roman" w:hAnsi="Arial" w:cs="Arial"/>
          <w:szCs w:val="28"/>
          <w:lang w:val="uk-UA" w:eastAsia="ru-RU"/>
        </w:rPr>
        <w:lastRenderedPageBreak/>
        <w:t>4) письмово повідомити про пропозицію безпосереднього керівника (за наявності) або керівника відповідного органу, підприємства, установи, організації, спеціально уповноважених суб’єктів у сфері протидії корупції [6].</w:t>
      </w:r>
    </w:p>
    <w:p w14:paraId="5F94B9E3" w14:textId="77777777" w:rsidR="003476F8" w:rsidRPr="00511005" w:rsidRDefault="003476F8" w:rsidP="003A292D">
      <w:pPr>
        <w:shd w:val="clear" w:color="auto" w:fill="FFFFFF"/>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Тобто, якщо державний службовець був представлений до нагородження та був нагороджений державною нагородою, і він розуміє, що така державна нагорода за своєю вартістю вартує більше, ніж два прожиткових мінімуми – нагороджуваний повинен відмовитися від пропозиції одержання такої нагороди. Якщо державний службовець цього не зробить і отримає нагороду – його повинні притягнути до відповідальності у порядку ст. 172</w:t>
      </w:r>
      <w:r w:rsidRPr="00511005">
        <w:rPr>
          <w:rFonts w:ascii="Arial" w:eastAsia="Times New Roman" w:hAnsi="Arial" w:cs="Arial"/>
          <w:szCs w:val="28"/>
          <w:vertAlign w:val="superscript"/>
          <w:lang w:val="uk-UA" w:eastAsia="ru-RU"/>
        </w:rPr>
        <w:t xml:space="preserve">5 </w:t>
      </w:r>
      <w:r w:rsidRPr="00511005">
        <w:rPr>
          <w:rFonts w:ascii="Arial" w:eastAsia="Times New Roman" w:hAnsi="Arial" w:cs="Arial"/>
          <w:szCs w:val="28"/>
          <w:lang w:val="uk-UA" w:eastAsia="ru-RU"/>
        </w:rPr>
        <w:t xml:space="preserve">КУпАП України </w:t>
      </w:r>
      <w:r w:rsidRPr="00511005">
        <w:rPr>
          <w:rFonts w:ascii="Arial" w:eastAsia="Times New Roman" w:hAnsi="Arial" w:cs="Arial"/>
          <w:szCs w:val="28"/>
          <w:lang w:eastAsia="ru-RU"/>
        </w:rPr>
        <w:t>[8].</w:t>
      </w:r>
    </w:p>
    <w:p w14:paraId="67AC115B" w14:textId="77777777" w:rsidR="003476F8" w:rsidRPr="00511005" w:rsidRDefault="003476F8" w:rsidP="003A292D">
      <w:pPr>
        <w:shd w:val="clear" w:color="auto" w:fill="FFFFFF"/>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Отже, положення Закону України «Про запобігання корупції», які стосуються обмеження щодо одержання державними службовцями подарунків, зокрема ст. 23–24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6</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однозначно створюють колізію із Законом України про державну службу» у частині ст. 53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7</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та Законом України «Про державні нагороди»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9</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відповідно до яких державні службовці можуть нагороджуватись державними нагородами. Більше того, на думку Ю. Демʼянчука, до числа адміністративно-правових заходів протидії корупції можна віднести безпосередньо заохочення та нагородження державних службовців [11, с. 139], логічно, що, у тому числі, й державними нагородами. Відповідно, якщо державний службовець, через недосконалі обмеження щодо одержання подарунку, які регламентуються Законом України «Про запобігання корупції», не може отримати заохочення чи нагородження у вигляді державної нагороди – такі обмеження, зазначені у ст. 23-24 Закону України «Про запобігання корупції», навпаки, опосередковано підсилюють корупційний фактор у діяльності державного службовця.</w:t>
      </w:r>
    </w:p>
    <w:p w14:paraId="4F22AC5F" w14:textId="77777777" w:rsidR="003476F8" w:rsidRPr="00511005" w:rsidRDefault="003476F8"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Також, як зазначає С. Федчишин, у контексті дипломатичної служби, подарунки мають особливе значення, адже є однією із перших форм дипломатичної взаємодії та допомагає у налагодженні дипломатичних звʼязків, існує навіть окремий термін «подарункова дипломатія» [12, с. 108]. Відповідно до ст. 23 Закону України «Про запобігання корупції» </w:t>
      </w:r>
      <w:r w:rsidRPr="00511005">
        <w:rPr>
          <w:rFonts w:ascii="Arial" w:eastAsia="Calibri" w:hAnsi="Arial" w:cs="Arial"/>
          <w:kern w:val="2"/>
          <w:szCs w:val="28"/>
          <w14:ligatures w14:val="standardContextual"/>
        </w:rPr>
        <w:t>[</w:t>
      </w:r>
      <w:r w:rsidRPr="00511005">
        <w:rPr>
          <w:rFonts w:ascii="Arial" w:eastAsia="Calibri" w:hAnsi="Arial" w:cs="Arial"/>
          <w:kern w:val="2"/>
          <w:szCs w:val="28"/>
          <w:lang w:val="uk-UA"/>
          <w14:ligatures w14:val="standardContextual"/>
        </w:rPr>
        <w:t>6</w:t>
      </w:r>
      <w:r w:rsidRPr="00511005">
        <w:rPr>
          <w:rFonts w:ascii="Arial" w:eastAsia="Calibri" w:hAnsi="Arial" w:cs="Arial"/>
          <w:kern w:val="2"/>
          <w:szCs w:val="28"/>
          <w14:ligatures w14:val="standardContextual"/>
        </w:rPr>
        <w:t>]</w:t>
      </w:r>
      <w:r w:rsidRPr="00511005">
        <w:rPr>
          <w:rFonts w:ascii="Arial" w:eastAsia="Calibri" w:hAnsi="Arial" w:cs="Arial"/>
          <w:kern w:val="2"/>
          <w:szCs w:val="28"/>
          <w:lang w:val="uk-UA"/>
          <w14:ligatures w14:val="standardContextual"/>
        </w:rPr>
        <w:t xml:space="preserve">, дипломат, як і державний службовець, теж не може отримувати подарунок, який перевищує вартість у два прожиткових мінімуми працездатних осіб. Проте, відмова отримати подарунок від представника іншої держави, відповідно до традицій цієї держави, може сприйматись категорично та вважатись неприйнятною, а отже, окрім того, що подібні обмеження створюють колізії в законодавстві, опосередковано підсилюють корупційний фактор у трудових відносинах, то ще й можуть негативно впливати на дипломатичні стосунки між державами. Також не до кінця врегульованим у діяльності державних службовців залишаються отримання та передача цінностей в рамках «благодійної діяльності», проблематиці якої присвячено низку праць А. О. Гудзь [13, с. 386–387], адже через неповноту антикорупційного </w:t>
      </w:r>
      <w:r w:rsidRPr="00511005">
        <w:rPr>
          <w:rFonts w:ascii="Arial" w:eastAsia="Calibri" w:hAnsi="Arial" w:cs="Arial"/>
          <w:kern w:val="2"/>
          <w:szCs w:val="28"/>
          <w:lang w:val="uk-UA"/>
          <w14:ligatures w14:val="standardContextual"/>
        </w:rPr>
        <w:lastRenderedPageBreak/>
        <w:t>законодавства достеменно встановити, чи доцільно відносити благодійну допомогу до «подарунків», як і державні нагороди, неможливо.</w:t>
      </w:r>
    </w:p>
    <w:p w14:paraId="003B89F7" w14:textId="77777777" w:rsidR="003476F8" w:rsidRPr="00511005" w:rsidRDefault="003476F8"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Отже, за результатами проведеного дослідження можна зробити висновок, що Закон України «Про запобігання корупції» містить норми, які створюють колізії з іншими актами, зокрема щодо державних нагород. Обмеження на отримання подарунків державними службовцями, визначені ст. 23–24, дають підстави трактувати державні нагороди як подарунки, які можуть перевищувати дозволену вартість, що призводить до правової невизначеності та потенційної відповідальності за їх отримання. Це суперечить Законам України «Про державну службу» та «Про державні нагороди», що знижує ефективність заохочень для державних службовців, опосередковано посилюючи корупційні ризики. У дипломатичній сфері подібні обмеження ускладнюють «подарункову дипломатію», негативно впливаючи на міжнародні відносини. Недосконалість законодавства, зокрема щодо визначення благодійної діяльності держслужбовців, також сприяє корупційним факторам. Для вирішення цих проблем необхідне вдосконалення антикорупційного законодавства шляхом усунення колізій, чітке визначення понять та створення ефективних механізмів відповідальності, що сприятиме протидії корупції у трудових відносинах.</w:t>
      </w:r>
    </w:p>
    <w:p w14:paraId="072866DB" w14:textId="77777777" w:rsidR="003476F8" w:rsidRPr="00511005" w:rsidRDefault="003476F8" w:rsidP="003A292D">
      <w:pPr>
        <w:spacing w:line="264" w:lineRule="auto"/>
        <w:ind w:firstLine="851"/>
        <w:jc w:val="center"/>
        <w:rPr>
          <w:rFonts w:ascii="Arial" w:eastAsia="Calibri" w:hAnsi="Arial" w:cs="Arial"/>
          <w:b/>
          <w:bCs/>
          <w:kern w:val="2"/>
          <w:szCs w:val="28"/>
          <w:lang w:val="uk-UA"/>
          <w14:ligatures w14:val="standardContextual"/>
        </w:rPr>
      </w:pPr>
    </w:p>
    <w:p w14:paraId="33FE93C9" w14:textId="5810F0BA" w:rsidR="003476F8" w:rsidRPr="00511005" w:rsidRDefault="007B2628" w:rsidP="007B2628">
      <w:pPr>
        <w:spacing w:line="264" w:lineRule="auto"/>
        <w:ind w:firstLine="851"/>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Список використаних джерел</w:t>
      </w:r>
    </w:p>
    <w:p w14:paraId="48785F06"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Про затвердження Державної антикорупційної програми на 2023–2025 роки : </w:t>
      </w:r>
      <w:r w:rsidRPr="00511005">
        <w:rPr>
          <w:rFonts w:ascii="Arial" w:eastAsia="Calibri" w:hAnsi="Arial" w:cs="Arial"/>
          <w:i/>
          <w:iCs/>
          <w:kern w:val="2"/>
          <w:szCs w:val="28"/>
          <w:lang w:val="uk-UA"/>
          <w14:ligatures w14:val="standardContextual"/>
        </w:rPr>
        <w:t>Постанова Кабінет Міністрів України</w:t>
      </w:r>
      <w:r w:rsidRPr="00511005">
        <w:rPr>
          <w:rFonts w:ascii="Arial" w:eastAsia="Calibri" w:hAnsi="Arial" w:cs="Arial"/>
          <w:kern w:val="2"/>
          <w:szCs w:val="28"/>
          <w:lang w:val="uk-UA"/>
          <w14:ligatures w14:val="standardContextual"/>
        </w:rPr>
        <w:t xml:space="preserve"> від 4 березня 2023 р. № 220. URL: </w:t>
      </w:r>
      <w:hyperlink r:id="rId1652" w:anchor="Text" w:history="1">
        <w:r w:rsidRPr="00511005">
          <w:rPr>
            <w:rFonts w:ascii="Arial" w:eastAsia="Calibri" w:hAnsi="Arial" w:cs="Arial"/>
            <w:kern w:val="2"/>
            <w:szCs w:val="28"/>
            <w:lang w:val="uk-UA"/>
            <w14:ligatures w14:val="standardContextual"/>
          </w:rPr>
          <w:t>https://zakon.rada.gov.ua/laws/show/220-2023-%D0%BF#Text</w:t>
        </w:r>
      </w:hyperlink>
    </w:p>
    <w:p w14:paraId="4CE2520B"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Верховна Рада України прийняла за основу законопроект щодо підвищення ефективності укладення угод про визнання винуватості. </w:t>
      </w:r>
      <w:r w:rsidRPr="00511005">
        <w:rPr>
          <w:rFonts w:ascii="Arial" w:eastAsia="Calibri" w:hAnsi="Arial" w:cs="Arial"/>
          <w:i/>
          <w:iCs/>
          <w:kern w:val="2"/>
          <w:szCs w:val="28"/>
          <w:lang w:val="uk-UA"/>
          <w14:ligatures w14:val="standardContextual"/>
        </w:rPr>
        <w:t>Прес-служба Апарату Верховної Ради України</w:t>
      </w:r>
      <w:r w:rsidRPr="00511005">
        <w:rPr>
          <w:rFonts w:ascii="Arial" w:eastAsia="Calibri" w:hAnsi="Arial" w:cs="Arial"/>
          <w:kern w:val="2"/>
          <w:szCs w:val="28"/>
          <w:lang w:val="uk-UA"/>
          <w14:ligatures w14:val="standardContextual"/>
        </w:rPr>
        <w:t xml:space="preserve">. URL: </w:t>
      </w:r>
      <w:hyperlink r:id="rId1653" w:history="1">
        <w:r w:rsidRPr="00511005">
          <w:rPr>
            <w:rFonts w:ascii="Arial" w:eastAsia="Calibri" w:hAnsi="Arial" w:cs="Arial"/>
            <w:kern w:val="2"/>
            <w:szCs w:val="28"/>
            <w:lang w:val="uk-UA"/>
            <w14:ligatures w14:val="standardContextual"/>
          </w:rPr>
          <w:t>https://www.rada.gov.ua/news/razom/251942.html</w:t>
        </w:r>
      </w:hyperlink>
    </w:p>
    <w:p w14:paraId="21723E86"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shd w:val="clear" w:color="auto" w:fill="FFFFFF"/>
          <w:lang w:val="uk-UA"/>
          <w14:ligatures w14:val="standardContextual"/>
        </w:rPr>
        <w:t xml:space="preserve">Давидова І. В., Білошкурський М. М. Договір дарування як спосіб уникнути покарання за корупційні злочини. </w:t>
      </w:r>
      <w:r w:rsidRPr="00511005">
        <w:rPr>
          <w:rFonts w:ascii="Arial" w:eastAsia="Calibri" w:hAnsi="Arial" w:cs="Arial"/>
          <w:i/>
          <w:iCs/>
          <w:kern w:val="2"/>
          <w:szCs w:val="28"/>
          <w:shd w:val="clear" w:color="auto" w:fill="FFFFFF"/>
          <w:lang w:val="uk-UA"/>
          <w14:ligatures w14:val="standardContextual"/>
        </w:rPr>
        <w:t>Часопис цивілістики</w:t>
      </w:r>
      <w:r w:rsidRPr="00511005">
        <w:rPr>
          <w:rFonts w:ascii="Arial" w:eastAsia="Calibri" w:hAnsi="Arial" w:cs="Arial"/>
          <w:kern w:val="2"/>
          <w:szCs w:val="28"/>
          <w:shd w:val="clear" w:color="auto" w:fill="FFFFFF"/>
          <w:lang w:val="uk-UA"/>
          <w14:ligatures w14:val="standardContextual"/>
        </w:rPr>
        <w:t xml:space="preserve">. 2023. Вип. 50. С. 18–23. DOI: </w:t>
      </w:r>
      <w:hyperlink r:id="rId1654" w:history="1">
        <w:r w:rsidRPr="00511005">
          <w:rPr>
            <w:rFonts w:ascii="Arial" w:eastAsia="Calibri" w:hAnsi="Arial" w:cs="Arial"/>
            <w:kern w:val="2"/>
            <w:szCs w:val="28"/>
            <w:shd w:val="clear" w:color="auto" w:fill="FFFFFF"/>
            <w:lang w:val="uk-UA"/>
            <w14:ligatures w14:val="standardContextual"/>
          </w:rPr>
          <w:t>https://doi.org/10.32782/chc.v050.2023.3</w:t>
        </w:r>
      </w:hyperlink>
    </w:p>
    <w:p w14:paraId="36D55BF1"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Харитонова Т. Є., Білошкурський М. М. Проблеми корупційних ризиків при набутті та реалізації права власності на земельну ділянку учасниками бойових дій та особами, прирівняними до них. </w:t>
      </w:r>
      <w:r w:rsidRPr="00511005">
        <w:rPr>
          <w:rFonts w:ascii="Arial" w:eastAsia="Calibri" w:hAnsi="Arial" w:cs="Arial"/>
          <w:i/>
          <w:iCs/>
          <w:kern w:val="2"/>
          <w:szCs w:val="28"/>
          <w:lang w:val="uk-UA"/>
          <w14:ligatures w14:val="standardContextual"/>
        </w:rPr>
        <w:t xml:space="preserve">Юридичний науковий електронний журнал. </w:t>
      </w:r>
      <w:r w:rsidRPr="00511005">
        <w:rPr>
          <w:rFonts w:ascii="Arial" w:eastAsia="Calibri" w:hAnsi="Arial" w:cs="Arial"/>
          <w:kern w:val="2"/>
          <w:szCs w:val="28"/>
          <w:lang w:val="uk-UA"/>
          <w14:ligatures w14:val="standardContextual"/>
        </w:rPr>
        <w:t xml:space="preserve">2025. № 1. С. 270. DOI: </w:t>
      </w:r>
      <w:hyperlink r:id="rId1655" w:history="1">
        <w:r w:rsidRPr="00511005">
          <w:rPr>
            <w:rFonts w:ascii="Arial" w:eastAsia="Calibri" w:hAnsi="Arial" w:cs="Arial"/>
            <w:kern w:val="2"/>
            <w:szCs w:val="28"/>
            <w:lang w:val="uk-UA"/>
            <w14:ligatures w14:val="standardContextual"/>
          </w:rPr>
          <w:t>https://doi.org/10.32782/2524-0374/2025-1/58</w:t>
        </w:r>
      </w:hyperlink>
      <w:r w:rsidRPr="00511005">
        <w:rPr>
          <w:rFonts w:ascii="Arial" w:eastAsia="Calibri" w:hAnsi="Arial" w:cs="Arial"/>
          <w:kern w:val="2"/>
          <w:szCs w:val="28"/>
          <w:lang w:val="uk-UA"/>
          <w14:ligatures w14:val="standardContextual"/>
        </w:rPr>
        <w:t xml:space="preserve"> </w:t>
      </w:r>
    </w:p>
    <w:p w14:paraId="32350E69"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Кодекс законів про працю України : 10.12.1971 № 322-VIII. URL:</w:t>
      </w:r>
      <w:r w:rsidRPr="00511005">
        <w:rPr>
          <w:rFonts w:ascii="Arial" w:eastAsia="Calibri" w:hAnsi="Arial" w:cs="Arial"/>
          <w:b/>
          <w:bCs/>
          <w:kern w:val="2"/>
          <w:szCs w:val="28"/>
          <w:lang w:val="uk-UA"/>
          <w14:ligatures w14:val="standardContextual"/>
        </w:rPr>
        <w:t xml:space="preserve"> </w:t>
      </w:r>
      <w:hyperlink r:id="rId1656" w:anchor="Text" w:history="1">
        <w:r w:rsidRPr="00511005">
          <w:rPr>
            <w:rFonts w:ascii="Arial" w:eastAsia="Calibri" w:hAnsi="Arial" w:cs="Arial"/>
            <w:kern w:val="2"/>
            <w:szCs w:val="28"/>
            <w:lang w:val="uk-UA"/>
            <w14:ligatures w14:val="standardContextual"/>
          </w:rPr>
          <w:t>https://zakon.rada.gov.ua/laws/show/322-08#Text</w:t>
        </w:r>
      </w:hyperlink>
    </w:p>
    <w:p w14:paraId="38768E2A"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Про запобігання корупції : Закон України від 14.10.2014 № 1700-VII. URL: </w:t>
      </w:r>
      <w:hyperlink r:id="rId1657" w:tgtFrame="_new" w:history="1">
        <w:r w:rsidRPr="00511005">
          <w:rPr>
            <w:rFonts w:ascii="Arial" w:eastAsia="Calibri" w:hAnsi="Arial" w:cs="Arial"/>
            <w:kern w:val="2"/>
            <w:szCs w:val="28"/>
            <w:lang w:val="uk-UA"/>
            <w14:ligatures w14:val="standardContextual"/>
          </w:rPr>
          <w:t>https://zakon.rada.gov.ua/laws/show/1700-18</w:t>
        </w:r>
      </w:hyperlink>
    </w:p>
    <w:p w14:paraId="3738A7B1"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Про державну службу : Закон України від 10.12.2015 № 889-VIII. URL: </w:t>
      </w:r>
      <w:hyperlink r:id="rId1658" w:tgtFrame="_new" w:history="1">
        <w:r w:rsidRPr="00511005">
          <w:rPr>
            <w:rFonts w:ascii="Arial" w:eastAsia="Calibri" w:hAnsi="Arial" w:cs="Arial"/>
            <w:kern w:val="2"/>
            <w:szCs w:val="28"/>
            <w:lang w:val="uk-UA"/>
            <w14:ligatures w14:val="standardContextual"/>
          </w:rPr>
          <w:t>https://zakon.rada.gov.ua/laws/show/889-19</w:t>
        </w:r>
      </w:hyperlink>
    </w:p>
    <w:p w14:paraId="13860141"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lastRenderedPageBreak/>
        <w:t>Кодекс України про адміністративні правопорушення Закон України від 07.12.1984 № 8073</w:t>
      </w:r>
      <w:r w:rsidRPr="00511005">
        <w:rPr>
          <w:rFonts w:ascii="Arial" w:eastAsia="Calibri" w:hAnsi="Arial" w:cs="Arial"/>
          <w:kern w:val="2"/>
          <w:szCs w:val="28"/>
          <w:vertAlign w:val="superscript"/>
          <w:lang w:val="uk-UA"/>
          <w14:ligatures w14:val="standardContextual"/>
        </w:rPr>
        <w:t>1</w:t>
      </w:r>
      <w:r w:rsidRPr="00511005">
        <w:rPr>
          <w:rFonts w:ascii="Arial" w:eastAsia="Calibri" w:hAnsi="Arial" w:cs="Arial"/>
          <w:kern w:val="2"/>
          <w:szCs w:val="28"/>
          <w:lang w:val="uk-UA"/>
          <w14:ligatures w14:val="standardContextual"/>
        </w:rPr>
        <w:t xml:space="preserve">-X. URL: </w:t>
      </w:r>
      <w:hyperlink r:id="rId1659" w:anchor="Text" w:history="1">
        <w:r w:rsidRPr="00511005">
          <w:rPr>
            <w:rFonts w:ascii="Arial" w:eastAsia="Calibri" w:hAnsi="Arial" w:cs="Arial"/>
            <w:kern w:val="2"/>
            <w:szCs w:val="28"/>
            <w:lang w:val="uk-UA"/>
            <w14:ligatures w14:val="standardContextual"/>
          </w:rPr>
          <w:t>https://zakon.rada.gov.ua/laws/show/80731-10#Text</w:t>
        </w:r>
      </w:hyperlink>
    </w:p>
    <w:p w14:paraId="16EAC6D3"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Про державні нагороди України : Закон України від 16.03.2000 № 1549-III. URL: </w:t>
      </w:r>
      <w:hyperlink r:id="rId1660" w:anchor="Text" w:history="1">
        <w:r w:rsidRPr="00511005">
          <w:rPr>
            <w:rFonts w:ascii="Arial" w:eastAsia="Calibri" w:hAnsi="Arial" w:cs="Arial"/>
            <w:kern w:val="2"/>
            <w:szCs w:val="28"/>
            <w:lang w:val="uk-UA"/>
            <w14:ligatures w14:val="standardContextual"/>
          </w:rPr>
          <w:t>https://zakon.rada.gov.ua/laws/show/1549-14#Text</w:t>
        </w:r>
      </w:hyperlink>
      <w:r w:rsidRPr="00511005">
        <w:rPr>
          <w:rFonts w:ascii="Arial" w:eastAsia="Calibri" w:hAnsi="Arial" w:cs="Arial"/>
          <w:kern w:val="2"/>
          <w:szCs w:val="28"/>
          <w:lang w:val="uk-UA"/>
          <w14:ligatures w14:val="standardContextual"/>
        </w:rPr>
        <w:t xml:space="preserve"> </w:t>
      </w:r>
    </w:p>
    <w:p w14:paraId="47DA4692"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Про звання Герой України : Указ Президента України від 02.12.2002 № 1114/2002. URL: </w:t>
      </w:r>
      <w:hyperlink r:id="rId1661" w:history="1">
        <w:r w:rsidRPr="00511005">
          <w:rPr>
            <w:rFonts w:ascii="Arial" w:eastAsia="Calibri" w:hAnsi="Arial" w:cs="Arial"/>
            <w:kern w:val="2"/>
            <w:szCs w:val="28"/>
            <w:lang w:val="uk-UA"/>
            <w14:ligatures w14:val="standardContextual"/>
          </w:rPr>
          <w:t>https://zakon.rada.gov.ua/laws/show/1114/2002</w:t>
        </w:r>
      </w:hyperlink>
      <w:r w:rsidRPr="00511005">
        <w:rPr>
          <w:rFonts w:ascii="Arial" w:eastAsia="Calibri" w:hAnsi="Arial" w:cs="Arial"/>
          <w:kern w:val="2"/>
          <w:szCs w:val="28"/>
          <w:lang w:val="uk-UA"/>
          <w14:ligatures w14:val="standardContextual"/>
        </w:rPr>
        <w:t xml:space="preserve"> </w:t>
      </w:r>
    </w:p>
    <w:p w14:paraId="1BD2388A"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Дем’янчук Ю. В. Адміністративно-правові засоби в теорії та практиці запобігання корупції. </w:t>
      </w:r>
      <w:r w:rsidRPr="00511005">
        <w:rPr>
          <w:rFonts w:ascii="Arial" w:eastAsia="Calibri" w:hAnsi="Arial" w:cs="Arial"/>
          <w:i/>
          <w:iCs/>
          <w:kern w:val="2"/>
          <w:szCs w:val="28"/>
          <w:lang w:val="uk-UA"/>
          <w14:ligatures w14:val="standardContextual"/>
        </w:rPr>
        <w:t>Юридичний науковий електронний журнал</w:t>
      </w:r>
      <w:r w:rsidRPr="00511005">
        <w:rPr>
          <w:rFonts w:ascii="Arial" w:eastAsia="Calibri" w:hAnsi="Arial" w:cs="Arial"/>
          <w:kern w:val="2"/>
          <w:szCs w:val="28"/>
          <w:lang w:val="uk-UA"/>
          <w14:ligatures w14:val="standardContextual"/>
        </w:rPr>
        <w:t xml:space="preserve">. 2014. № 4. С. 138–141. URL: </w:t>
      </w:r>
      <w:hyperlink r:id="rId1662" w:history="1">
        <w:r w:rsidRPr="00511005">
          <w:rPr>
            <w:rFonts w:ascii="Arial" w:eastAsia="Calibri" w:hAnsi="Arial" w:cs="Arial"/>
            <w:kern w:val="2"/>
            <w:szCs w:val="28"/>
            <w:lang w:val="uk-UA"/>
            <w14:ligatures w14:val="standardContextual"/>
          </w:rPr>
          <w:t>http://lsej.org.ua/4_2014/35.pdf</w:t>
        </w:r>
      </w:hyperlink>
    </w:p>
    <w:p w14:paraId="6ACFD661"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Федчишин С. А. Правообмеження посадових осіб дипломатичної служби щодо одержання подарунків. </w:t>
      </w:r>
      <w:r w:rsidRPr="00511005">
        <w:rPr>
          <w:rFonts w:ascii="Arial" w:eastAsia="Calibri" w:hAnsi="Arial" w:cs="Arial"/>
          <w:i/>
          <w:iCs/>
          <w:kern w:val="2"/>
          <w:szCs w:val="28"/>
          <w:lang w:val="uk-UA"/>
          <w14:ligatures w14:val="standardContextual"/>
        </w:rPr>
        <w:t>Актуальні проблеми держави і права</w:t>
      </w:r>
      <w:r w:rsidRPr="00511005">
        <w:rPr>
          <w:rFonts w:ascii="Arial" w:eastAsia="Calibri" w:hAnsi="Arial" w:cs="Arial"/>
          <w:kern w:val="2"/>
          <w:szCs w:val="28"/>
          <w:lang w:val="uk-UA"/>
          <w14:ligatures w14:val="standardContextual"/>
        </w:rPr>
        <w:t xml:space="preserve">. 2022. Вип. 96. С. 107–114. DOI: </w:t>
      </w:r>
      <w:hyperlink r:id="rId1663" w:tgtFrame="_new" w:history="1">
        <w:r w:rsidRPr="00511005">
          <w:rPr>
            <w:rFonts w:ascii="Arial" w:eastAsia="Calibri" w:hAnsi="Arial" w:cs="Arial"/>
            <w:kern w:val="2"/>
            <w:szCs w:val="28"/>
            <w:lang w:val="uk-UA"/>
            <w14:ligatures w14:val="standardContextual"/>
          </w:rPr>
          <w:t>https://doi.org/10.32782/apdp.v96.2022.13</w:t>
        </w:r>
      </w:hyperlink>
    </w:p>
    <w:p w14:paraId="426035AF" w14:textId="77777777" w:rsidR="003476F8" w:rsidRPr="00511005" w:rsidRDefault="003476F8" w:rsidP="003F6A5D">
      <w:pPr>
        <w:numPr>
          <w:ilvl w:val="0"/>
          <w:numId w:val="432"/>
        </w:numPr>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Гудзь А. О. Принципи благодійної діяльності в Україні. </w:t>
      </w:r>
      <w:r w:rsidRPr="00511005">
        <w:rPr>
          <w:rFonts w:ascii="Arial" w:eastAsia="Calibri" w:hAnsi="Arial" w:cs="Arial"/>
          <w:i/>
          <w:iCs/>
          <w:kern w:val="2"/>
          <w:szCs w:val="28"/>
          <w:lang w:val="uk-UA"/>
          <w14:ligatures w14:val="standardContextual"/>
        </w:rPr>
        <w:t>Актуальні проблеми трудового права та права соціального забезпечення</w:t>
      </w:r>
      <w:r w:rsidRPr="00511005">
        <w:rPr>
          <w:rFonts w:ascii="Arial" w:eastAsia="Calibri" w:hAnsi="Arial" w:cs="Arial"/>
          <w:kern w:val="2"/>
          <w:szCs w:val="28"/>
          <w:lang w:val="uk-UA"/>
          <w14:ligatures w14:val="standardContextual"/>
        </w:rPr>
        <w:t xml:space="preserve"> : матеріали Міжнародної науково-практичної конференції, присвяченої 90-річчю з дня народження чл.-кор. НАПрН України, академіка Міжнародної кадрової академії, Заслуженого діяча науки України, д-ра юрид. наук, проф. О. І. Процевського (Харків, 5 квітня 2019 року). Харків : Юрайт, 2019. С. 386–390. URL: </w:t>
      </w:r>
      <w:hyperlink r:id="rId1664" w:history="1">
        <w:r w:rsidRPr="00511005">
          <w:rPr>
            <w:rFonts w:ascii="Arial" w:eastAsia="Calibri" w:hAnsi="Arial" w:cs="Arial"/>
            <w:kern w:val="2"/>
            <w:szCs w:val="28"/>
            <w:lang w:val="uk-UA"/>
            <w14:ligatures w14:val="standardContextual"/>
          </w:rPr>
          <w:t>https://surli.cc/yjcwfb</w:t>
        </w:r>
      </w:hyperlink>
      <w:r w:rsidRPr="00511005">
        <w:rPr>
          <w:rFonts w:ascii="Arial" w:eastAsia="Calibri" w:hAnsi="Arial" w:cs="Arial"/>
          <w:kern w:val="2"/>
          <w:szCs w:val="28"/>
          <w:lang w:val="uk-UA"/>
          <w14:ligatures w14:val="standardContextual"/>
        </w:rPr>
        <w:t xml:space="preserve"> </w:t>
      </w:r>
    </w:p>
    <w:p w14:paraId="7FF84A85" w14:textId="62B26782" w:rsidR="003476F8" w:rsidRPr="00511005" w:rsidRDefault="007B2628" w:rsidP="003A292D">
      <w:pPr>
        <w:spacing w:line="264" w:lineRule="auto"/>
        <w:rPr>
          <w:rFonts w:ascii="Arial" w:eastAsia="Calibri" w:hAnsi="Arial" w:cs="Arial"/>
          <w:b/>
          <w:bCs/>
          <w:kern w:val="2"/>
          <w:szCs w:val="28"/>
          <w:lang w:val="uk-UA"/>
          <w14:ligatures w14:val="standardContextual"/>
        </w:rPr>
      </w:pPr>
      <w:r w:rsidRPr="00511005">
        <w:rPr>
          <w:rFonts w:ascii="Arial" w:eastAsia="Calibri" w:hAnsi="Arial" w:cs="Arial"/>
          <w:b/>
          <w:bCs/>
          <w:i/>
          <w:kern w:val="2"/>
          <w:szCs w:val="28"/>
          <w:lang w:val="uk-UA"/>
          <w14:ligatures w14:val="standardContextual"/>
        </w:rPr>
        <w:t xml:space="preserve">Ключові слова: </w:t>
      </w:r>
      <w:r w:rsidR="003476F8" w:rsidRPr="00511005">
        <w:rPr>
          <w:rFonts w:ascii="Arial" w:eastAsia="Calibri" w:hAnsi="Arial" w:cs="Arial"/>
          <w:kern w:val="2"/>
          <w:szCs w:val="28"/>
          <w:lang w:val="uk-UA"/>
          <w14:ligatures w14:val="standardContextual"/>
        </w:rPr>
        <w:t>державний службовець, державні нагороди, корупція, подарунок, трудові відносини.</w:t>
      </w:r>
    </w:p>
    <w:p w14:paraId="734FC93F" w14:textId="75A97D04" w:rsidR="003476F8" w:rsidRPr="00511005" w:rsidRDefault="007B2628" w:rsidP="003A292D">
      <w:pPr>
        <w:spacing w:line="264" w:lineRule="auto"/>
        <w:rPr>
          <w:rFonts w:ascii="Arial" w:eastAsia="Calibri" w:hAnsi="Arial" w:cs="Arial"/>
          <w:b/>
          <w:bCs/>
          <w:kern w:val="2"/>
          <w:szCs w:val="28"/>
          <w:lang w:val="en-US"/>
          <w14:ligatures w14:val="standardContextual"/>
        </w:rPr>
      </w:pPr>
      <w:r w:rsidRPr="00511005">
        <w:rPr>
          <w:rFonts w:ascii="Arial" w:eastAsia="Calibri" w:hAnsi="Arial" w:cs="Arial"/>
          <w:b/>
          <w:bCs/>
          <w:i/>
          <w:kern w:val="2"/>
          <w:szCs w:val="28"/>
          <w:lang w:val="en-US"/>
          <w14:ligatures w14:val="standardContextual"/>
        </w:rPr>
        <w:t xml:space="preserve">Key words: </w:t>
      </w:r>
      <w:r w:rsidR="003476F8" w:rsidRPr="00511005">
        <w:rPr>
          <w:rFonts w:ascii="Arial" w:eastAsia="Calibri" w:hAnsi="Arial" w:cs="Arial"/>
          <w:kern w:val="2"/>
          <w:szCs w:val="28"/>
          <w:lang w:val="en-US"/>
          <w14:ligatures w14:val="standardContextual"/>
        </w:rPr>
        <w:t>civil servant, state awards, corruption, gift, labor relations.</w:t>
      </w:r>
    </w:p>
    <w:p w14:paraId="56E87CAF" w14:textId="7F189747" w:rsidR="003476F8" w:rsidRPr="00511005" w:rsidRDefault="007B2628" w:rsidP="003A292D">
      <w:pPr>
        <w:spacing w:line="264" w:lineRule="auto"/>
        <w:rPr>
          <w:rFonts w:ascii="Arial" w:eastAsia="Calibri" w:hAnsi="Arial" w:cs="Arial"/>
          <w:i/>
          <w:iCs/>
          <w:kern w:val="2"/>
          <w:szCs w:val="28"/>
          <w:lang w:val="uk-UA"/>
          <w14:ligatures w14:val="standardContextual"/>
        </w:rPr>
      </w:pPr>
      <w:r w:rsidRPr="00511005">
        <w:rPr>
          <w:rFonts w:ascii="Arial" w:eastAsia="Calibri" w:hAnsi="Arial" w:cs="Arial"/>
          <w:b/>
          <w:i/>
          <w:iCs/>
          <w:kern w:val="2"/>
          <w:szCs w:val="28"/>
          <w:lang w:val="uk-UA"/>
          <w14:ligatures w14:val="standardContextual"/>
        </w:rPr>
        <w:t xml:space="preserve">Науковий керівник: </w:t>
      </w:r>
      <w:r w:rsidR="003476F8" w:rsidRPr="00511005">
        <w:rPr>
          <w:rFonts w:ascii="Arial" w:eastAsia="Calibri" w:hAnsi="Arial" w:cs="Arial"/>
          <w:i/>
          <w:iCs/>
          <w:kern w:val="2"/>
          <w:szCs w:val="28"/>
          <w:lang w:val="uk-UA"/>
          <w14:ligatures w14:val="standardContextual"/>
        </w:rPr>
        <w:t>к.ю.н., доцент Панченко А. О.</w:t>
      </w:r>
    </w:p>
    <w:p w14:paraId="282D1930" w14:textId="652C03E0" w:rsidR="0087239D" w:rsidRPr="00511005" w:rsidRDefault="0087239D" w:rsidP="003A292D">
      <w:pPr>
        <w:spacing w:line="264" w:lineRule="auto"/>
        <w:rPr>
          <w:rFonts w:ascii="Arial" w:eastAsia="Calibri" w:hAnsi="Arial" w:cs="Arial"/>
          <w:i/>
          <w:iCs/>
          <w:kern w:val="2"/>
          <w:szCs w:val="28"/>
          <w:lang w:val="uk-UA"/>
          <w14:ligatures w14:val="standardContextual"/>
        </w:rPr>
      </w:pPr>
    </w:p>
    <w:p w14:paraId="649DA67A" w14:textId="77777777" w:rsidR="0087239D" w:rsidRPr="00511005" w:rsidRDefault="0087239D" w:rsidP="003A292D">
      <w:pPr>
        <w:spacing w:line="264" w:lineRule="auto"/>
        <w:rPr>
          <w:rFonts w:ascii="Arial" w:eastAsia="Calibri" w:hAnsi="Arial" w:cs="Arial"/>
          <w:b/>
          <w:bCs/>
          <w:i/>
          <w:iCs/>
          <w:kern w:val="2"/>
          <w:szCs w:val="28"/>
          <w:lang w:val="uk-UA"/>
          <w14:ligatures w14:val="standardContextual"/>
        </w:rPr>
      </w:pPr>
    </w:p>
    <w:p w14:paraId="4DF490FD" w14:textId="77777777" w:rsidR="003476F8" w:rsidRPr="00511005" w:rsidRDefault="003476F8"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Бойко Єлизавета Віталіївна</w:t>
      </w:r>
    </w:p>
    <w:p w14:paraId="3A6B27AE" w14:textId="402FA651" w:rsidR="003476F8"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2-го курсу факультету адвокатури та антикорупційної діяльності</w:t>
      </w:r>
      <w:r w:rsidR="003476F8" w:rsidRPr="00511005">
        <w:rPr>
          <w:rFonts w:ascii="Arial" w:eastAsia="Calibri" w:hAnsi="Arial" w:cs="Arial"/>
          <w:szCs w:val="28"/>
          <w:lang w:val="uk-UA"/>
        </w:rPr>
        <w:br/>
      </w:r>
      <w:r w:rsidR="007B2628" w:rsidRPr="00511005">
        <w:rPr>
          <w:rFonts w:ascii="Arial" w:eastAsia="Calibri" w:hAnsi="Arial" w:cs="Arial"/>
          <w:szCs w:val="28"/>
          <w:lang w:val="uk-UA"/>
        </w:rPr>
        <w:t>Національного університету «Одеська юридична академія»</w:t>
      </w:r>
    </w:p>
    <w:p w14:paraId="3BDE1C06" w14:textId="77777777" w:rsidR="003476F8" w:rsidRPr="00511005" w:rsidRDefault="003476F8" w:rsidP="003A292D">
      <w:pPr>
        <w:spacing w:line="264" w:lineRule="auto"/>
        <w:jc w:val="center"/>
        <w:rPr>
          <w:rFonts w:ascii="Arial" w:eastAsia="Calibri" w:hAnsi="Arial" w:cs="Arial"/>
          <w:szCs w:val="28"/>
          <w:lang w:val="uk-UA"/>
        </w:rPr>
      </w:pPr>
    </w:p>
    <w:p w14:paraId="52E5D58A" w14:textId="77777777" w:rsidR="003476F8" w:rsidRPr="00511005" w:rsidRDefault="003476F8"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 xml:space="preserve">ДИСТАНЦІЙНА РОБОТА: СУЧАСНИЙ СТАН ТА </w:t>
      </w:r>
    </w:p>
    <w:p w14:paraId="563DF449" w14:textId="77777777" w:rsidR="003476F8" w:rsidRPr="00511005" w:rsidRDefault="003476F8" w:rsidP="003A292D">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ПЕРСПЕКТИВИ РОЗВИТКУ</w:t>
      </w:r>
    </w:p>
    <w:p w14:paraId="21D1769A"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У сучасних умовах функціонування національного ринку праці та загального правового регулювання трудових відносин в Україні, особливо в період дії правового режиму воєнного стану, спостерігається суттєва трансформація трудових норм та правозастосовної практики, що регулює відносини, пов’язані з організацією дистанційної форми зайнятості. </w:t>
      </w:r>
    </w:p>
    <w:p w14:paraId="7BBFC2DD"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lang w:val="uk-UA"/>
        </w:rPr>
        <w:t xml:space="preserve">Дистанційна робота, яка в мирний час сприймалася переважно як виняткова або тимчасова форма зайнятості, за умов воєнних викликів набула статусу ключового інструменту забезпечення безперервності виробничих процесів, гарантування зайнятості працівників, а також збереження стабільності в соціально-економічній площині. </w:t>
      </w:r>
      <w:r w:rsidRPr="00511005">
        <w:rPr>
          <w:rFonts w:ascii="Arial" w:eastAsia="Calibri" w:hAnsi="Arial" w:cs="Arial"/>
          <w:szCs w:val="28"/>
        </w:rPr>
        <w:t xml:space="preserve">Відтак, правова </w:t>
      </w:r>
      <w:r w:rsidRPr="00511005">
        <w:rPr>
          <w:rFonts w:ascii="Arial" w:eastAsia="Calibri" w:hAnsi="Arial" w:cs="Arial"/>
          <w:szCs w:val="28"/>
        </w:rPr>
        <w:lastRenderedPageBreak/>
        <w:t>природа та нормативно-правове забезпечення дистанційної роботи в період воєнного стану потребує глибокого аналізу з огляду на її актуальність, динамізм правового регулювання та зростаючу роль у трудовій сфері [1, с. 59].</w:t>
      </w:r>
    </w:p>
    <w:p w14:paraId="06A39F16"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rPr>
        <w:t xml:space="preserve">На законодавчому рівні ключові положення, що стосуються дистанційної роботи, визначені у Кодексі законів про працю України (далі — КЗпП), з урахуванням змін, внесених Законом України «Про внесення змін до деяких законодавчих актів щодо вдосконалення правового регулювання дистанційної роботи» від 04.02.2021 р. № 1213-IX, а також низкою актів воєнного часу, зокрема Законом України «Про організацію трудових відносин в умовах воєнного стану» від 15.03.2022 р. № 2136-IX. </w:t>
      </w:r>
    </w:p>
    <w:p w14:paraId="4E1AB9C7"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rPr>
        <w:t>Основними новелами правового регулювання дистанційної праці в умовах воєнного стану є спрощення процедури запровадження такої форми роботи, можливість одностороннього переведення працівника на дистанційну роботу за рішенням роботодавця (за умови виникнення загрози життю чи здоров’ю працівника), а також часткове обмеження окремих трудових гарантій із метою забезпечення гнучкості трудових процесів.</w:t>
      </w:r>
    </w:p>
    <w:p w14:paraId="7255D644"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rPr>
        <w:t>Однією з визначальних характеристик дистанційної роботи в умовах війни є її правова гібридність, тобто поєднання класичних норм трудового права із тимчасовими спеціальними режимами правового регулювання. Так, з одного боку, дистанційна робота повинна відповідати загальним принципам трудового права: добровільності трудових відносин, недопущення дискримінації, гарантії права на оплату праці, на охорону праці тощо [2]. З іншого боку, запровадження воєнного стану обумовлює необхідність відступу від низки усталених процедур (наприклад, попередження про зміну істотних умов праці), що вимагає ретельного балансування між інтересами роботодавця та трудовими правами працівника.</w:t>
      </w:r>
    </w:p>
    <w:p w14:paraId="6209D9C6"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rPr>
        <w:t>Водночас, суттєво зростає роль колективно-договірного регулювання у сфері дистанційної праці. Саме через колективні договори та локальні нормативні акти підприємств визначаються технічні аспекти організації віддаленої роботи, зокрема — режим праці й відпочинку, вимоги до обладнання, канали комунікації, порядок подання звітності, форми контролю за виконанням посадових обов’язків, а також алгоритми взаємодії в умовах надзвичайних ситуацій (зокрема, ракетної небезпеки, евакуації, перебоїв з електропостачанням тощо) [3, с. 527].</w:t>
      </w:r>
    </w:p>
    <w:p w14:paraId="2EF47080"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rPr>
        <w:t xml:space="preserve">Також виникає низка питань щодо охорони праці при дистанційній роботі під час війни, адже в умовах відсутності фізичної присутності працівника на робочому місці роботодавець об’єктивно втрачає можливість контролю за дотриманням ним норм техніки безпеки. Згідно з чинним законодавством, відповідальність за безпечні умови праці у разі дистанційної роботи покладається як на роботодавця, так і на самого </w:t>
      </w:r>
      <w:r w:rsidRPr="00511005">
        <w:rPr>
          <w:rFonts w:ascii="Arial" w:eastAsia="Calibri" w:hAnsi="Arial" w:cs="Arial"/>
          <w:szCs w:val="28"/>
        </w:rPr>
        <w:lastRenderedPageBreak/>
        <w:t>працівника. Проте у реальності це питання нерідко залишається неврегульованим на практичному рівні, що потребує або розширення нормативної бази, або активного впровадження внутрішніх політик безпеки праці [4].</w:t>
      </w:r>
    </w:p>
    <w:p w14:paraId="728CA3BB"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rPr>
        <w:t>Особливої актуальності набуває також проблема збереження трудових прав жінок, працівників з інвалідністю, осіб, які виховують дітей, а також внутрішньо переміщених осіб, що змушені виконувати роботу дистанційно з інших регіонів або навіть з-за кордону [5, с. 30]. Правовий механізм дистанційної роботи у такому випадку виконує не лише технічну функцію забезпечення продуктивності, але й виконує соціальну місію — гарантує можливість збереження зайнятості в умовах примусового переміщення або обмеженого доступу до безпечного робочого простору. Така роль дистанційної праці трансформує її з додаткової опції у повноцінний соціально-правовий інструмент стабілізації трудових відносин під час надзвичайних обставин.</w:t>
      </w:r>
    </w:p>
    <w:p w14:paraId="187236D8"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rPr>
        <w:t>Не менш важливим є і питання цифрової безпеки та захисту персональних даних під час дистанційної роботи, адже використання електронних комунікацій, хмарних сервісів, внутрішніх корпоративних платформ і месенджерів значно підвищує ризики несанкціонованого доступу до конфіденційної інформації, витоків персональних даних, а також можливості кібератак на інформаційні ресурси підприємства. У період воєнного стану ці загрози набувають ще більшої ваги, з огляду на активізацію дій ворожих кібершпигунських структур та зростання навантаження на цифрову інфраструктуру держави.</w:t>
      </w:r>
    </w:p>
    <w:p w14:paraId="70AEC453"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rPr>
        <w:t xml:space="preserve">У такому контексті роботодавці зобов’язані не лише технічно забезпечити працівників відповідними засобами для безпечної дистанційної роботи (включно з сертифікованими пристроями, захищеними каналами зв’язку, антивірусними програмами, VPN-технологіями), але й розробити і впровадити внутрішні політики кібергігієни та захисту персональної інформації [6, с. 8]. Наприклад,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корпоративних інструкцій має бути чітко визначено, які саме сервіси дозволено використовувати (наприклад, Microsoft Teams або Google Workspace), як здійснюється шифрування інформації, як оформлюється доступ до баз даних із віддалених локацій, а також які заходи реагування вживаються у разі виявлення інцидентів безпеки [7].</w:t>
      </w:r>
    </w:p>
    <w:p w14:paraId="7BAE8568"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rPr>
        <w:t xml:space="preserve">Окремої уваги заслуговує і питання відповідальності: у разі порушення встановлених правил цифрової безпеки з боку працівника або витоку конфіденційних даних з вини роботодавця виникає потреба у чіткому юридичному механізмі притягнення до дисциплінарної, матеріальної або навіть кримінальної відповідальності, згідно із нормами Цивільного кодексу України, Закону України «Про захист персональних даних», а також статей Кримінального кодексу України, що регулюють незаконне втручання в </w:t>
      </w:r>
      <w:r w:rsidRPr="00511005">
        <w:rPr>
          <w:rFonts w:ascii="Arial" w:eastAsia="Calibri" w:hAnsi="Arial" w:cs="Arial"/>
          <w:szCs w:val="28"/>
        </w:rPr>
        <w:lastRenderedPageBreak/>
        <w:t>інформаційні системи. Наразі ж у більшості підприємств України такі механізми є фрагментарними або взагалі відсутніми, що підвищує вразливість трудових відносин у сфері дистанційної праці до кіберризиків [8, с. 127].</w:t>
      </w:r>
    </w:p>
    <w:p w14:paraId="7140DE4A"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rPr>
        <w:t xml:space="preserve">Таким чином, правове регулювання дистанційної роботи в період воєнного стану в Україні потребує постійного вдосконалення та адаптації до умов динамічного воєнного контексту. </w:t>
      </w:r>
    </w:p>
    <w:p w14:paraId="609CB24B" w14:textId="77777777" w:rsidR="003476F8" w:rsidRPr="00511005" w:rsidRDefault="003476F8" w:rsidP="003A292D">
      <w:pPr>
        <w:spacing w:line="264" w:lineRule="auto"/>
        <w:rPr>
          <w:rFonts w:ascii="Arial" w:eastAsia="Calibri" w:hAnsi="Arial" w:cs="Arial"/>
          <w:szCs w:val="28"/>
        </w:rPr>
      </w:pPr>
      <w:r w:rsidRPr="00511005">
        <w:rPr>
          <w:rFonts w:ascii="Arial" w:eastAsia="Calibri" w:hAnsi="Arial" w:cs="Arial"/>
          <w:szCs w:val="28"/>
        </w:rPr>
        <w:t>Необхідно не лише закріпити ефективні моделі правового забезпечення дистанційної зайнятості, але й створити механізми моніторингу, контролю та адаптації практик, що застосовуються на рівні конкретних підприємств, установ і організацій. Тільки за таких умов дистанційна праця зможе повноцінно виконувати свою функцію збереження продуктивності, забезпечення безпеки працівників та реалізації їхніх трудових прав навіть у період найбільших викликів для держави та суспільства.</w:t>
      </w:r>
    </w:p>
    <w:p w14:paraId="7670D95C" w14:textId="77777777" w:rsidR="003476F8" w:rsidRPr="00511005" w:rsidRDefault="003476F8" w:rsidP="003A292D">
      <w:pPr>
        <w:spacing w:line="264" w:lineRule="auto"/>
        <w:rPr>
          <w:rFonts w:ascii="Arial" w:eastAsia="Calibri" w:hAnsi="Arial" w:cs="Arial"/>
          <w:szCs w:val="28"/>
        </w:rPr>
      </w:pPr>
    </w:p>
    <w:p w14:paraId="624F90C3" w14:textId="3DA5F29D" w:rsidR="003476F8" w:rsidRPr="00511005" w:rsidRDefault="007B2628" w:rsidP="007B2628">
      <w:pPr>
        <w:shd w:val="clear" w:color="auto" w:fill="FFFFFF"/>
        <w:spacing w:line="264" w:lineRule="auto"/>
        <w:jc w:val="center"/>
        <w:rPr>
          <w:rFonts w:ascii="Arial" w:eastAsia="Calibri" w:hAnsi="Arial" w:cs="Arial"/>
          <w:b/>
          <w:iCs/>
          <w:szCs w:val="28"/>
          <w:lang w:val="uk-UA"/>
        </w:rPr>
      </w:pPr>
      <w:r w:rsidRPr="00511005">
        <w:rPr>
          <w:rFonts w:ascii="Arial" w:eastAsia="Calibri" w:hAnsi="Arial" w:cs="Arial"/>
          <w:b/>
          <w:iCs/>
          <w:szCs w:val="28"/>
          <w:lang w:val="uk-UA"/>
        </w:rPr>
        <w:t>Список використаних джерел</w:t>
      </w:r>
    </w:p>
    <w:p w14:paraId="217169E0" w14:textId="77777777" w:rsidR="003476F8" w:rsidRPr="00511005" w:rsidRDefault="003476F8" w:rsidP="003A292D">
      <w:pPr>
        <w:shd w:val="clear" w:color="auto" w:fill="FFFFFF"/>
        <w:spacing w:line="264" w:lineRule="auto"/>
        <w:rPr>
          <w:rFonts w:ascii="Arial" w:eastAsia="Calibri" w:hAnsi="Arial" w:cs="Arial"/>
          <w:szCs w:val="28"/>
          <w:lang w:val="uk-UA"/>
        </w:rPr>
      </w:pPr>
      <w:r w:rsidRPr="00511005">
        <w:rPr>
          <w:rFonts w:ascii="Arial" w:eastAsia="Calibri" w:hAnsi="Arial" w:cs="Arial"/>
          <w:szCs w:val="28"/>
          <w:lang w:val="uk-UA"/>
        </w:rPr>
        <w:t xml:space="preserve">1. Яковлєв О.А., Ванджурак М.М. Теоретико-правові аспекти розвитку та впровадження надомної та дистанційної праці в сучасних реаліях. </w:t>
      </w:r>
      <w:r w:rsidRPr="00511005">
        <w:rPr>
          <w:rFonts w:ascii="Arial" w:eastAsia="Calibri" w:hAnsi="Arial" w:cs="Arial"/>
          <w:i/>
          <w:szCs w:val="28"/>
          <w:lang w:val="uk-UA"/>
        </w:rPr>
        <w:t>Право та інноваційне суспільство</w:t>
      </w:r>
      <w:r w:rsidRPr="00511005">
        <w:rPr>
          <w:rFonts w:ascii="Arial" w:eastAsia="Calibri" w:hAnsi="Arial" w:cs="Arial"/>
          <w:szCs w:val="28"/>
          <w:lang w:val="uk-UA"/>
        </w:rPr>
        <w:t>. 2020. № 2 (15). С. 56–62.</w:t>
      </w:r>
    </w:p>
    <w:p w14:paraId="16F77278" w14:textId="77777777" w:rsidR="003476F8" w:rsidRPr="00511005" w:rsidRDefault="003476F8" w:rsidP="003A292D">
      <w:pPr>
        <w:shd w:val="clear" w:color="auto" w:fill="FFFFFF"/>
        <w:spacing w:line="264" w:lineRule="auto"/>
        <w:rPr>
          <w:rFonts w:ascii="Arial" w:eastAsia="Calibri" w:hAnsi="Arial" w:cs="Arial"/>
          <w:szCs w:val="28"/>
          <w:lang w:val="uk-UA"/>
        </w:rPr>
      </w:pPr>
      <w:r w:rsidRPr="00511005">
        <w:rPr>
          <w:rFonts w:ascii="Arial" w:eastAsia="Calibri" w:hAnsi="Arial" w:cs="Arial"/>
          <w:szCs w:val="28"/>
          <w:lang w:val="uk-UA"/>
        </w:rPr>
        <w:t xml:space="preserve">2. Кодекс законів про працю України від 10 грудня 1971 р. № 322- VIII. URL: https://zakon.rada.gov.ua/laws/ show/322-08#Text (дата звернення: 01.05.2025). </w:t>
      </w:r>
    </w:p>
    <w:p w14:paraId="2DEF32FF" w14:textId="6E7B353C" w:rsidR="003476F8" w:rsidRPr="00511005" w:rsidRDefault="003476F8" w:rsidP="003A292D">
      <w:pPr>
        <w:shd w:val="clear" w:color="auto" w:fill="FFFFFF"/>
        <w:spacing w:line="264" w:lineRule="auto"/>
        <w:rPr>
          <w:rFonts w:ascii="Arial" w:eastAsia="Calibri" w:hAnsi="Arial" w:cs="Arial"/>
          <w:szCs w:val="28"/>
          <w:lang w:val="uk-UA"/>
        </w:rPr>
      </w:pPr>
      <w:r w:rsidRPr="00511005">
        <w:rPr>
          <w:rFonts w:ascii="Arial" w:eastAsia="Calibri" w:hAnsi="Arial" w:cs="Arial"/>
          <w:szCs w:val="28"/>
          <w:lang w:val="uk-UA"/>
        </w:rPr>
        <w:t xml:space="preserve">3. Бурак В.Я. Про особливості дистанційної роботи в умовах воєнного стану. </w:t>
      </w:r>
      <w:r w:rsidRPr="00511005">
        <w:rPr>
          <w:rFonts w:ascii="Arial" w:eastAsia="Calibri" w:hAnsi="Arial" w:cs="Arial"/>
          <w:i/>
          <w:szCs w:val="28"/>
          <w:lang w:val="uk-UA"/>
        </w:rPr>
        <w:t>Європейський вибір України, розвиток науки та національна безпека в реаліях масштабної військової агресії та глобальних викликів ХХІ століття</w:t>
      </w:r>
      <w:r w:rsidRPr="00511005">
        <w:rPr>
          <w:rFonts w:ascii="Arial" w:eastAsia="Calibri" w:hAnsi="Arial" w:cs="Arial"/>
          <w:szCs w:val="28"/>
          <w:lang w:val="uk-UA"/>
        </w:rPr>
        <w:t xml:space="preserve"> (до 25-річчя </w:t>
      </w:r>
      <w:r w:rsidR="007B2628" w:rsidRPr="00511005">
        <w:rPr>
          <w:rFonts w:ascii="Arial" w:eastAsia="Calibri" w:hAnsi="Arial" w:cs="Arial"/>
          <w:szCs w:val="28"/>
          <w:lang w:val="uk-UA"/>
        </w:rPr>
        <w:t>Національного університету «Одеська юридична академія»</w:t>
      </w:r>
      <w:r w:rsidRPr="00511005">
        <w:rPr>
          <w:rFonts w:ascii="Arial" w:eastAsia="Calibri" w:hAnsi="Arial" w:cs="Arial"/>
          <w:szCs w:val="28"/>
          <w:lang w:val="uk-UA"/>
        </w:rPr>
        <w:t xml:space="preserve"> та 175-річчя Одеської школи права): у 2 т.: матеріали Міжнар.наук.-практ. конф. (м. Одеса, 17 червня 2022 р.). за загальною редакцією С. В. Ківалова. Одеса: Видавничий дім «Гельветика». 2022. Т. 1. С. 526–529.</w:t>
      </w:r>
    </w:p>
    <w:p w14:paraId="4C842C77" w14:textId="77777777" w:rsidR="003476F8" w:rsidRPr="00511005" w:rsidRDefault="003476F8" w:rsidP="003A292D">
      <w:pPr>
        <w:shd w:val="clear" w:color="auto" w:fill="FFFFFF"/>
        <w:spacing w:line="264" w:lineRule="auto"/>
        <w:rPr>
          <w:rFonts w:ascii="Arial" w:eastAsia="Calibri" w:hAnsi="Arial" w:cs="Arial"/>
          <w:szCs w:val="28"/>
          <w:lang w:val="uk-UA"/>
        </w:rPr>
      </w:pPr>
      <w:r w:rsidRPr="00511005">
        <w:rPr>
          <w:rFonts w:ascii="Arial" w:eastAsia="Calibri" w:hAnsi="Arial" w:cs="Arial"/>
          <w:szCs w:val="28"/>
          <w:lang w:val="uk-UA"/>
        </w:rPr>
        <w:t>4. Конвенція про надомну працю № 177 від 20 червня 1996 р. URL: https://zakon. rada.gov.ua/laws/show/993_327#Text (дата звернення: 01.05.2025).</w:t>
      </w:r>
    </w:p>
    <w:p w14:paraId="05AAA42E" w14:textId="77777777" w:rsidR="003476F8" w:rsidRPr="00511005" w:rsidRDefault="003476F8" w:rsidP="003A292D">
      <w:pPr>
        <w:shd w:val="clear" w:color="auto" w:fill="FFFFFF"/>
        <w:spacing w:line="264" w:lineRule="auto"/>
        <w:rPr>
          <w:rFonts w:ascii="Arial" w:eastAsia="Calibri" w:hAnsi="Arial" w:cs="Arial"/>
          <w:szCs w:val="28"/>
          <w:lang w:val="uk-UA"/>
        </w:rPr>
      </w:pPr>
      <w:r w:rsidRPr="00511005">
        <w:rPr>
          <w:rFonts w:ascii="Arial" w:eastAsia="Calibri" w:hAnsi="Arial" w:cs="Arial"/>
          <w:szCs w:val="28"/>
          <w:lang w:val="uk-UA"/>
        </w:rPr>
        <w:t xml:space="preserve">5. Луценко О.Є. Трудо-правові аспекти використання дистанційної праці в умовах воєнного стану. </w:t>
      </w:r>
      <w:r w:rsidRPr="00511005">
        <w:rPr>
          <w:rFonts w:ascii="Arial" w:eastAsia="Calibri" w:hAnsi="Arial" w:cs="Arial"/>
          <w:i/>
          <w:szCs w:val="28"/>
          <w:lang w:val="uk-UA"/>
        </w:rPr>
        <w:t xml:space="preserve">Науковий вісник Ужгородського національного університету. </w:t>
      </w:r>
      <w:r w:rsidRPr="00511005">
        <w:rPr>
          <w:rFonts w:ascii="Arial" w:eastAsia="Calibri" w:hAnsi="Arial" w:cs="Arial"/>
          <w:szCs w:val="28"/>
          <w:lang w:val="uk-UA"/>
        </w:rPr>
        <w:t>2022. Т. 2 № 72. С. 27–31.</w:t>
      </w:r>
    </w:p>
    <w:p w14:paraId="7E692F1B" w14:textId="77777777" w:rsidR="003476F8" w:rsidRPr="00511005" w:rsidRDefault="003476F8" w:rsidP="003A292D">
      <w:pPr>
        <w:shd w:val="clear" w:color="auto" w:fill="FFFFFF"/>
        <w:spacing w:line="264" w:lineRule="auto"/>
        <w:rPr>
          <w:rFonts w:ascii="Arial" w:eastAsia="Calibri" w:hAnsi="Arial" w:cs="Arial"/>
          <w:szCs w:val="28"/>
          <w:lang w:val="uk-UA"/>
        </w:rPr>
      </w:pPr>
      <w:r w:rsidRPr="00511005">
        <w:rPr>
          <w:rFonts w:ascii="Arial" w:eastAsia="Calibri" w:hAnsi="Arial" w:cs="Arial"/>
          <w:szCs w:val="28"/>
          <w:lang w:val="uk-UA"/>
        </w:rPr>
        <w:t xml:space="preserve">6. Моторна І.І. Дистанційна зайнятість в умовах глобалізації економіки та соціально-економічні вигоди від її використання. </w:t>
      </w:r>
      <w:r w:rsidRPr="00511005">
        <w:rPr>
          <w:rFonts w:ascii="Arial" w:eastAsia="Calibri" w:hAnsi="Arial" w:cs="Arial"/>
          <w:i/>
          <w:szCs w:val="28"/>
          <w:lang w:val="uk-UA"/>
        </w:rPr>
        <w:t>Україна: аспекти праці</w:t>
      </w:r>
      <w:r w:rsidRPr="00511005">
        <w:rPr>
          <w:rFonts w:ascii="Arial" w:eastAsia="Calibri" w:hAnsi="Arial" w:cs="Arial"/>
          <w:szCs w:val="28"/>
          <w:lang w:val="uk-UA"/>
        </w:rPr>
        <w:t>. 2008. № 3. С. 6–12.</w:t>
      </w:r>
    </w:p>
    <w:p w14:paraId="24411A11" w14:textId="77777777" w:rsidR="003476F8" w:rsidRPr="00511005" w:rsidRDefault="003476F8" w:rsidP="003A292D">
      <w:pPr>
        <w:shd w:val="clear" w:color="auto" w:fill="FFFFFF"/>
        <w:spacing w:line="264" w:lineRule="auto"/>
        <w:rPr>
          <w:rFonts w:ascii="Arial" w:eastAsia="Calibri" w:hAnsi="Arial" w:cs="Arial"/>
          <w:szCs w:val="28"/>
          <w:lang w:val="uk-UA"/>
        </w:rPr>
      </w:pPr>
      <w:r w:rsidRPr="00511005">
        <w:rPr>
          <w:rFonts w:ascii="Arial" w:eastAsia="Calibri" w:hAnsi="Arial" w:cs="Arial"/>
          <w:szCs w:val="28"/>
          <w:lang w:val="uk-UA"/>
        </w:rPr>
        <w:t xml:space="preserve">7. Про внесення змін до деяких законодавчих актів України щодо удосконалення правового регулювання дистанційної, надомної роботи та </w:t>
      </w:r>
      <w:r w:rsidRPr="00511005">
        <w:rPr>
          <w:rFonts w:ascii="Arial" w:eastAsia="Calibri" w:hAnsi="Arial" w:cs="Arial"/>
          <w:szCs w:val="28"/>
          <w:lang w:val="uk-UA"/>
        </w:rPr>
        <w:lastRenderedPageBreak/>
        <w:t>роботи із застосуванням гнучкого режиму робочого часу: Закон України від 4 лютого 2021 р. № 1213- IX. URL: https://zakon.rada.gov.ua/laws/ show/1213-20#Text (дата звернення: 01.05.2025).</w:t>
      </w:r>
    </w:p>
    <w:p w14:paraId="7091D05F" w14:textId="77777777" w:rsidR="003476F8" w:rsidRPr="00511005" w:rsidRDefault="003476F8" w:rsidP="003A292D">
      <w:pPr>
        <w:shd w:val="clear" w:color="auto" w:fill="FFFFFF"/>
        <w:spacing w:line="264" w:lineRule="auto"/>
        <w:rPr>
          <w:rFonts w:ascii="Arial" w:eastAsia="Calibri" w:hAnsi="Arial" w:cs="Arial"/>
          <w:szCs w:val="28"/>
          <w:lang w:val="uk-UA"/>
        </w:rPr>
      </w:pPr>
      <w:r w:rsidRPr="00511005">
        <w:rPr>
          <w:rFonts w:ascii="Arial" w:eastAsia="Calibri" w:hAnsi="Arial" w:cs="Arial"/>
          <w:szCs w:val="28"/>
          <w:lang w:val="uk-UA"/>
        </w:rPr>
        <w:t xml:space="preserve">8. Машков К.Є, Горностай О.Б., Товт Т.О. Особливості трудових відносин в умовах воєнного стану: нормативно-правове регулювання. </w:t>
      </w:r>
      <w:r w:rsidRPr="00511005">
        <w:rPr>
          <w:rFonts w:ascii="Arial" w:eastAsia="Calibri" w:hAnsi="Arial" w:cs="Arial"/>
          <w:i/>
          <w:szCs w:val="28"/>
          <w:lang w:val="uk-UA"/>
        </w:rPr>
        <w:t xml:space="preserve">Актуальні проблеми вітчизняної юриспруденції. </w:t>
      </w:r>
      <w:r w:rsidRPr="00511005">
        <w:rPr>
          <w:rFonts w:ascii="Arial" w:eastAsia="Calibri" w:hAnsi="Arial" w:cs="Arial"/>
          <w:szCs w:val="28"/>
          <w:lang w:val="uk-UA"/>
        </w:rPr>
        <w:t>2022. № 1. С. 125–131.</w:t>
      </w:r>
    </w:p>
    <w:p w14:paraId="24F3B051" w14:textId="77777777" w:rsidR="003476F8" w:rsidRPr="00511005" w:rsidRDefault="003476F8" w:rsidP="003A292D">
      <w:pPr>
        <w:shd w:val="clear" w:color="auto" w:fill="FFFFFF"/>
        <w:spacing w:line="264" w:lineRule="auto"/>
        <w:rPr>
          <w:rFonts w:ascii="Arial" w:eastAsia="Calibri" w:hAnsi="Arial" w:cs="Arial"/>
          <w:szCs w:val="28"/>
          <w:lang w:val="uk-UA"/>
        </w:rPr>
      </w:pPr>
    </w:p>
    <w:p w14:paraId="33BFEB2B" w14:textId="512AEB18" w:rsidR="003476F8" w:rsidRPr="00511005" w:rsidRDefault="007B2628" w:rsidP="003A292D">
      <w:pPr>
        <w:shd w:val="clear" w:color="auto" w:fill="FFFFFF"/>
        <w:spacing w:line="264" w:lineRule="auto"/>
        <w:rPr>
          <w:rFonts w:ascii="Arial" w:eastAsia="Calibri" w:hAnsi="Arial" w:cs="Arial"/>
          <w:noProof/>
          <w:szCs w:val="28"/>
          <w:lang w:eastAsia="ru-RU"/>
        </w:rPr>
      </w:pPr>
      <w:r w:rsidRPr="00511005">
        <w:rPr>
          <w:rFonts w:ascii="Arial" w:eastAsia="Calibri" w:hAnsi="Arial" w:cs="Arial"/>
          <w:b/>
          <w:bCs/>
          <w:i/>
          <w:noProof/>
          <w:szCs w:val="28"/>
          <w:lang w:val="uk-UA" w:eastAsia="ru-RU"/>
        </w:rPr>
        <w:t xml:space="preserve">Ключові слова: </w:t>
      </w:r>
      <w:r w:rsidR="003476F8" w:rsidRPr="00511005">
        <w:rPr>
          <w:rFonts w:ascii="Arial" w:eastAsia="Calibri" w:hAnsi="Arial" w:cs="Arial"/>
          <w:noProof/>
          <w:szCs w:val="28"/>
          <w:lang w:val="uk-UA" w:eastAsia="ru-RU"/>
        </w:rPr>
        <w:t>трудове право, дистанційна робота, воєнний стан, трудові відносини, зайнятість, гнучкі форми праці, законодавч</w:t>
      </w:r>
      <w:r w:rsidR="003476F8" w:rsidRPr="00511005">
        <w:rPr>
          <w:rFonts w:ascii="Arial" w:eastAsia="Calibri" w:hAnsi="Arial" w:cs="Arial"/>
          <w:noProof/>
          <w:szCs w:val="28"/>
          <w:lang w:eastAsia="ru-RU"/>
        </w:rPr>
        <w:t>е регулювання, права працівників, роботодавець, правовий режим.</w:t>
      </w:r>
    </w:p>
    <w:p w14:paraId="64AD9EFF" w14:textId="393463D9" w:rsidR="003476F8" w:rsidRPr="00511005" w:rsidRDefault="007B2628" w:rsidP="003A292D">
      <w:pPr>
        <w:shd w:val="clear" w:color="auto" w:fill="FFFFFF"/>
        <w:spacing w:line="264" w:lineRule="auto"/>
        <w:rPr>
          <w:rFonts w:ascii="Arial" w:eastAsia="Calibri" w:hAnsi="Arial" w:cs="Arial"/>
          <w:noProof/>
          <w:szCs w:val="28"/>
          <w:lang w:val="uk-UA" w:eastAsia="ru-RU"/>
        </w:rPr>
      </w:pPr>
      <w:r w:rsidRPr="00511005">
        <w:rPr>
          <w:rFonts w:ascii="Arial" w:eastAsia="Calibri" w:hAnsi="Arial" w:cs="Arial"/>
          <w:b/>
          <w:bCs/>
          <w:i/>
          <w:noProof/>
          <w:szCs w:val="28"/>
          <w:lang w:val="en-US" w:eastAsia="ru-RU"/>
        </w:rPr>
        <w:t xml:space="preserve">Key words: </w:t>
      </w:r>
      <w:r w:rsidR="003476F8" w:rsidRPr="00511005">
        <w:rPr>
          <w:rFonts w:ascii="Arial" w:eastAsia="Calibri" w:hAnsi="Arial" w:cs="Arial"/>
          <w:noProof/>
          <w:szCs w:val="28"/>
          <w:lang w:val="en-US" w:eastAsia="ru-RU"/>
        </w:rPr>
        <w:t>labour law, remote work, martial law, employment relations, employment, flexible forms of work, legislative regulation, workers’ rights, employer, legal regime.</w:t>
      </w:r>
    </w:p>
    <w:p w14:paraId="73B97653" w14:textId="48ACDFF7" w:rsidR="003476F8" w:rsidRPr="00511005" w:rsidRDefault="007B2628" w:rsidP="003A292D">
      <w:pPr>
        <w:shd w:val="clear" w:color="auto" w:fill="FFFFFF"/>
        <w:spacing w:line="264" w:lineRule="auto"/>
        <w:rPr>
          <w:rFonts w:ascii="Arial" w:eastAsia="Calibri" w:hAnsi="Arial" w:cs="Arial"/>
          <w:i/>
          <w:noProof/>
          <w:szCs w:val="28"/>
          <w:lang w:eastAsia="ru-RU"/>
        </w:rPr>
      </w:pPr>
      <w:r w:rsidRPr="00511005">
        <w:rPr>
          <w:rFonts w:ascii="Arial" w:eastAsia="Calibri" w:hAnsi="Arial" w:cs="Arial"/>
          <w:b/>
          <w:bCs/>
          <w:i/>
          <w:noProof/>
          <w:szCs w:val="28"/>
          <w:lang w:eastAsia="ru-RU"/>
        </w:rPr>
        <w:t xml:space="preserve">Науковий керівник: </w:t>
      </w:r>
      <w:r w:rsidR="003476F8" w:rsidRPr="00511005">
        <w:rPr>
          <w:rFonts w:ascii="Arial" w:eastAsia="Calibri" w:hAnsi="Arial" w:cs="Arial"/>
          <w:i/>
          <w:noProof/>
          <w:szCs w:val="28"/>
          <w:lang w:eastAsia="ru-RU"/>
        </w:rPr>
        <w:t>к.ю.н., доцент Пожарова О.В.</w:t>
      </w:r>
    </w:p>
    <w:p w14:paraId="55CB9823" w14:textId="7E9860CF" w:rsidR="0087239D" w:rsidRPr="00511005" w:rsidRDefault="0087239D" w:rsidP="003A292D">
      <w:pPr>
        <w:shd w:val="clear" w:color="auto" w:fill="FFFFFF"/>
        <w:spacing w:line="264" w:lineRule="auto"/>
        <w:rPr>
          <w:rFonts w:ascii="Arial" w:eastAsia="Calibri" w:hAnsi="Arial" w:cs="Arial"/>
          <w:i/>
          <w:noProof/>
          <w:szCs w:val="28"/>
          <w:lang w:eastAsia="ru-RU"/>
        </w:rPr>
      </w:pPr>
    </w:p>
    <w:p w14:paraId="36C6ED32" w14:textId="77777777" w:rsidR="0087239D" w:rsidRPr="00511005" w:rsidRDefault="0087239D" w:rsidP="003A292D">
      <w:pPr>
        <w:shd w:val="clear" w:color="auto" w:fill="FFFFFF"/>
        <w:spacing w:line="264" w:lineRule="auto"/>
        <w:rPr>
          <w:rFonts w:ascii="Arial" w:eastAsia="Calibri" w:hAnsi="Arial" w:cs="Arial"/>
          <w:i/>
          <w:noProof/>
          <w:szCs w:val="28"/>
          <w:lang w:eastAsia="ru-RU"/>
        </w:rPr>
      </w:pPr>
    </w:p>
    <w:p w14:paraId="232FB624" w14:textId="77777777" w:rsidR="003476F8" w:rsidRPr="00511005" w:rsidRDefault="003476F8" w:rsidP="003A292D">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Бочевар Марія Костянтинівна</w:t>
      </w:r>
    </w:p>
    <w:p w14:paraId="786B39D9" w14:textId="2A4424A5" w:rsidR="003476F8" w:rsidRPr="00A54AC2" w:rsidRDefault="00536AAB" w:rsidP="003A292D">
      <w:pPr>
        <w:spacing w:line="264" w:lineRule="auto"/>
        <w:ind w:firstLine="0"/>
        <w:jc w:val="center"/>
        <w:rPr>
          <w:rFonts w:ascii="Arial" w:eastAsia="Times New Roman" w:hAnsi="Arial" w:cs="Arial"/>
          <w:szCs w:val="28"/>
          <w:lang w:val="uk-UA" w:eastAsia="ru-RU"/>
        </w:rPr>
      </w:pPr>
      <w:r w:rsidRPr="00A54AC2">
        <w:rPr>
          <w:rFonts w:ascii="Arial" w:eastAsia="Times New Roman" w:hAnsi="Arial" w:cs="Arial"/>
          <w:szCs w:val="28"/>
          <w:lang w:val="uk-UA" w:eastAsia="ru-RU"/>
        </w:rPr>
        <w:t xml:space="preserve">студентка 2-го курсу </w:t>
      </w:r>
      <w:r w:rsidR="007B2628" w:rsidRPr="00A54AC2">
        <w:rPr>
          <w:rFonts w:ascii="Arial" w:eastAsia="Times New Roman" w:hAnsi="Arial" w:cs="Arial"/>
          <w:szCs w:val="28"/>
          <w:lang w:val="uk-UA" w:eastAsia="ru-RU"/>
        </w:rPr>
        <w:t>факультету цивільної та господарської юстиції</w:t>
      </w:r>
    </w:p>
    <w:p w14:paraId="44973191" w14:textId="76033017" w:rsidR="003476F8" w:rsidRPr="00A54AC2" w:rsidRDefault="007B2628" w:rsidP="003A292D">
      <w:pPr>
        <w:spacing w:line="264" w:lineRule="auto"/>
        <w:ind w:firstLine="0"/>
        <w:jc w:val="center"/>
        <w:rPr>
          <w:rFonts w:ascii="Arial" w:eastAsia="Times New Roman" w:hAnsi="Arial" w:cs="Arial"/>
          <w:szCs w:val="28"/>
          <w:lang w:val="uk-UA" w:eastAsia="ru-RU"/>
        </w:rPr>
      </w:pPr>
      <w:r w:rsidRPr="00A54AC2">
        <w:rPr>
          <w:rFonts w:ascii="Arial" w:eastAsia="Times New Roman" w:hAnsi="Arial" w:cs="Arial"/>
          <w:szCs w:val="28"/>
          <w:lang w:val="uk-UA" w:eastAsia="ru-RU"/>
        </w:rPr>
        <w:t>Національного університету «Одеська юридична академія»</w:t>
      </w:r>
    </w:p>
    <w:p w14:paraId="77556BB4" w14:textId="77777777" w:rsidR="003476F8" w:rsidRPr="00511005" w:rsidRDefault="003476F8" w:rsidP="003A292D">
      <w:pPr>
        <w:spacing w:line="264" w:lineRule="auto"/>
        <w:ind w:firstLine="0"/>
        <w:jc w:val="left"/>
        <w:rPr>
          <w:rFonts w:ascii="Arial" w:eastAsia="Times New Roman" w:hAnsi="Arial" w:cs="Arial"/>
          <w:szCs w:val="28"/>
          <w:lang w:val="uk-UA" w:eastAsia="ru-RU"/>
        </w:rPr>
      </w:pPr>
    </w:p>
    <w:p w14:paraId="2311C50A" w14:textId="77777777" w:rsidR="003476F8" w:rsidRPr="00511005" w:rsidRDefault="003476F8"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ПСИХОЕМОЦІЙНЕ ВИГОРАННЯ ПРАЦІВНИКА: ПРАВОВА РЕАКЦІЯ ТА СПОСОБИ ПРОФІЛАКТИКИ</w:t>
      </w:r>
    </w:p>
    <w:p w14:paraId="7BC0D2CB" w14:textId="77777777" w:rsidR="003476F8" w:rsidRPr="00511005" w:rsidRDefault="003476F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 сучасній Україні дедалі зростає чисельність випадків психоемоційного вигорання серед працівників. Причинами такої тенденції є, у тому числі, агресивна війна російської федерації проти України та передуючий їй локдаун, спричинений пандемією </w:t>
      </w:r>
      <w:r w:rsidRPr="00511005">
        <w:rPr>
          <w:rFonts w:ascii="Arial" w:eastAsia="Times New Roman" w:hAnsi="Arial" w:cs="Arial"/>
          <w:szCs w:val="28"/>
          <w:lang w:val="en-US" w:eastAsia="ru-RU"/>
        </w:rPr>
        <w:t>Covid</w:t>
      </w:r>
      <w:r w:rsidRPr="00511005">
        <w:rPr>
          <w:rFonts w:ascii="Arial" w:eastAsia="Times New Roman" w:hAnsi="Arial" w:cs="Arial"/>
          <w:szCs w:val="28"/>
          <w:lang w:val="uk-UA" w:eastAsia="ru-RU"/>
        </w:rPr>
        <w:t>-19. Зокрема лікарі, які під час згаданих подій особливо часто зазнають стресу через свою надважливу роль перед суспільством.</w:t>
      </w:r>
    </w:p>
    <w:p w14:paraId="2F639E7F" w14:textId="7698B25D" w:rsidR="003476F8" w:rsidRPr="00511005" w:rsidRDefault="003476F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Згідно зі ст. 158 Кодексу законів про працю України (далі – «КЗпП»): «Роботодавець зобов’язаний вживати заходів для забезпечення безпеки і захисту фізичного та психічного здоров’я працівників, здійснювати профілактику ризиків та напруги на робочому місці, проводити інформаційні, навчальні та організаційні заходи щодо запобігання та протидії мобінгу (цькуванню)»[1]. В умовах гібридної та дистанційної роботи українські працівники часто залучаються до роботи у неробочий час без додаткової компенсації, що підвищує ризики вигорання. Такі умови мають негативний вплив не тільки на здоров’я працівників, а й на продуктивність, стабільність соціуму та економіку в цілому. Українське трудове законодавство містить норми, спрямовані на захист психічного стану найманих працівників, але на думку автора, ці норми є досить загальними та потребують конкретизації. Законодавець декларує врахування психологічного стану працівника як один із принципів державної політики у галузі охорони праці в ст. 4 Закону </w:t>
      </w:r>
      <w:r w:rsidRPr="00511005">
        <w:rPr>
          <w:rFonts w:ascii="Arial" w:eastAsia="Times New Roman" w:hAnsi="Arial" w:cs="Arial"/>
          <w:szCs w:val="28"/>
          <w:lang w:val="uk-UA" w:eastAsia="ru-RU"/>
        </w:rPr>
        <w:lastRenderedPageBreak/>
        <w:t>України «Про охорону праці»</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 Актуальність моєї теми полягає в тому, що сьогодні, як ніколи, є потреба з’ясувати, які механізми правового регулювання можуть бути застосовані для запобігання та подолання такої динаміки.</w:t>
      </w:r>
      <w:r w:rsidR="007B2628" w:rsidRPr="00511005">
        <w:rPr>
          <w:rFonts w:ascii="Arial" w:eastAsia="Times New Roman" w:hAnsi="Arial" w:cs="Arial"/>
          <w:szCs w:val="28"/>
          <w:lang w:val="uk-UA" w:eastAsia="ru-RU"/>
        </w:rPr>
        <w:t xml:space="preserve"> </w:t>
      </w:r>
    </w:p>
    <w:p w14:paraId="1BC44595" w14:textId="77777777" w:rsidR="003476F8" w:rsidRPr="00511005" w:rsidRDefault="003476F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У 2019 році Всесвітня організація охорони здоров’я офіційно визнала вигорання «синдромом, пов’язаним з професійною діяльністю», включивши його до Міжнародної класифікації хвороб (МКХ-11)[3]. У країнах Європейського союзу поступово розпочався процес визнання вигорання як професійного ризику, а в деяких випадках – як професійного захворювання. Наприклад у Франції вигорання може бути визнане професійним захворюванням якщо воно спричинило тривалу непрацездатність та було встановлено зв’язок з робочими умовами. В 2017 році Франція стала першою країною, що офіційно запровадила право на «відключення»</w:t>
      </w:r>
      <w:r w:rsidRPr="00511005">
        <w:rPr>
          <w:rFonts w:ascii="Arial" w:eastAsia="Times New Roman" w:hAnsi="Arial" w:cs="Arial"/>
          <w:szCs w:val="28"/>
          <w:lang w:val="en-US" w:eastAsia="ru-RU"/>
        </w:rPr>
        <w:t> </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right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to</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disconnect</w:t>
      </w:r>
      <w:r w:rsidRPr="00511005">
        <w:rPr>
          <w:rFonts w:ascii="Arial" w:eastAsia="Times New Roman" w:hAnsi="Arial" w:cs="Arial"/>
          <w:szCs w:val="28"/>
          <w:lang w:val="uk-UA" w:eastAsia="ru-RU"/>
        </w:rPr>
        <w:t>) у законодавстві – це новий правовий інструмент, який надає працівнику можливість не відповідати на робочі дзвінки, листи, повідомлення поза межами свого офіційного робочого часу, не побоюючись дисциплінарних наслідків або втрати заробітку[4]. Право на «відключення» визнається одним з ключових елементів ментального добробуту працівника, рівноцінним до права на відпочинок.</w:t>
      </w:r>
    </w:p>
    <w:p w14:paraId="53AE17A1" w14:textId="77777777" w:rsidR="003476F8" w:rsidRPr="00511005" w:rsidRDefault="003476F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У Канаді закон прямо вимагає від роботодавця проводити оцінку психосоціальних ризиків, запроваджувати заходи профілактики, передбачати політику повернення до роботи після перерви, пов’язаної з вигоранням (</w:t>
      </w:r>
      <w:r w:rsidRPr="00511005">
        <w:rPr>
          <w:rFonts w:ascii="Arial" w:eastAsia="Times New Roman" w:hAnsi="Arial" w:cs="Arial"/>
          <w:szCs w:val="28"/>
          <w:lang w:val="en-US" w:eastAsia="ru-RU"/>
        </w:rPr>
        <w:t>return</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to</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work</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policy</w:t>
      </w:r>
      <w:r w:rsidRPr="00511005">
        <w:rPr>
          <w:rFonts w:ascii="Arial" w:eastAsia="Times New Roman" w:hAnsi="Arial" w:cs="Arial"/>
          <w:szCs w:val="28"/>
          <w:lang w:val="uk-UA" w:eastAsia="ru-RU"/>
        </w:rPr>
        <w:t xml:space="preserve">)[5]. </w:t>
      </w:r>
    </w:p>
    <w:p w14:paraId="58CD65A9" w14:textId="77777777" w:rsidR="003476F8" w:rsidRPr="00511005" w:rsidRDefault="003476F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В Україні психоемоційне вигорання не визнається окремою медичною підставою для непрацездатності, тому не дає належних підстав для нез’явлення на роботу (окрім супутніх психосоматичних розладів – тривожності, депресії тощо).</w:t>
      </w:r>
    </w:p>
    <w:p w14:paraId="5AC1ECFE" w14:textId="18003079" w:rsidR="003476F8" w:rsidRPr="00511005" w:rsidRDefault="003476F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Введення ефективних соціальних гарантій для працівників, які зіштовхнулися з психоемоційним вигоранням не є суто особистою проблемою працівника – це системне явище,</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яке вимагає інституційної реакції з боку роботодавця та держави. Наприклад:</w:t>
      </w:r>
    </w:p>
    <w:p w14:paraId="5CADBBFD" w14:textId="77777777" w:rsidR="003476F8" w:rsidRPr="00511005" w:rsidRDefault="003476F8" w:rsidP="003F6A5D">
      <w:pPr>
        <w:numPr>
          <w:ilvl w:val="0"/>
          <w:numId w:val="434"/>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розробити на рівні МОЗ та Мінсоцполітики нормативи, які дозволяють діагностувати вигорання як підставу для тимчасової непрацездатності;</w:t>
      </w:r>
    </w:p>
    <w:p w14:paraId="1011D272" w14:textId="77777777" w:rsidR="003476F8" w:rsidRPr="00511005" w:rsidRDefault="003476F8" w:rsidP="003F6A5D">
      <w:pPr>
        <w:numPr>
          <w:ilvl w:val="0"/>
          <w:numId w:val="434"/>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розробити клінічний протокол для медичних працівників з розпізнавання симптомів вигорання;</w:t>
      </w:r>
    </w:p>
    <w:p w14:paraId="16C32AB8" w14:textId="77777777" w:rsidR="003476F8" w:rsidRPr="00511005" w:rsidRDefault="003476F8" w:rsidP="003F6A5D">
      <w:pPr>
        <w:numPr>
          <w:ilvl w:val="0"/>
          <w:numId w:val="434"/>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офіційне визнання психоемоційного вигорання професійним ризиком, хоча б у формі спеціального положення або методичних рекомендацій для роботодавців;</w:t>
      </w:r>
    </w:p>
    <w:p w14:paraId="584A9D60" w14:textId="77777777" w:rsidR="003476F8" w:rsidRPr="00511005" w:rsidRDefault="003476F8" w:rsidP="003F6A5D">
      <w:pPr>
        <w:numPr>
          <w:ilvl w:val="0"/>
          <w:numId w:val="434"/>
        </w:numP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ввести додаткову відпустку для працівників, які працюють у сфері з високим ризиком вигорання (охорона здоров’я, освіта, соціальні служби).</w:t>
      </w:r>
    </w:p>
    <w:p w14:paraId="41843F1F" w14:textId="77777777" w:rsidR="003476F8" w:rsidRPr="00511005" w:rsidRDefault="003476F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Визнання вигорання як професійного ризику є не лише медичним чи соціальним питанням, а й важливим кроком до підвищення рівня трудових гарантій та гуманізації трудового законодавства в Україні. </w:t>
      </w:r>
    </w:p>
    <w:p w14:paraId="09765A89" w14:textId="77777777" w:rsidR="003476F8" w:rsidRPr="00511005" w:rsidRDefault="003476F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 умовах сучасних викликів трудове законодавство України потребує якісної адаптації – з урахуванням цифрових реалій, нових форматів праці та необхідності збереження людського потенціалу. Необхідно закріпити на законодавчому рівні баланс між інтересами роботодавця та найманого працівника, зосереджуючи увагу на ментальний добробут як компонент гідної праці. </w:t>
      </w:r>
    </w:p>
    <w:p w14:paraId="1C7BFE2E" w14:textId="77777777" w:rsidR="003476F8" w:rsidRPr="00511005" w:rsidRDefault="003476F8" w:rsidP="003A292D">
      <w:pPr>
        <w:widowControl w:val="0"/>
        <w:tabs>
          <w:tab w:val="left" w:pos="7088"/>
        </w:tabs>
        <w:autoSpaceDE w:val="0"/>
        <w:autoSpaceDN w:val="0"/>
        <w:adjustRightInd w:val="0"/>
        <w:spacing w:line="264" w:lineRule="auto"/>
        <w:jc w:val="center"/>
        <w:rPr>
          <w:rFonts w:ascii="Arial" w:eastAsia="Times New Roman" w:hAnsi="Arial" w:cs="Arial"/>
          <w:b/>
          <w:szCs w:val="28"/>
          <w:lang w:val="uk-UA" w:eastAsia="ru-RU" w:bidi="uk-UA"/>
        </w:rPr>
      </w:pPr>
    </w:p>
    <w:p w14:paraId="5BD2FE54" w14:textId="57FBD523" w:rsidR="003476F8" w:rsidRPr="00511005" w:rsidRDefault="007B2628" w:rsidP="007B2628">
      <w:pPr>
        <w:widowControl w:val="0"/>
        <w:spacing w:line="264" w:lineRule="auto"/>
        <w:ind w:firstLine="0"/>
        <w:contextualSpacing/>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Список використаних джерел</w:t>
      </w:r>
    </w:p>
    <w:p w14:paraId="4873D1A1" w14:textId="31F0CCB1" w:rsidR="003476F8" w:rsidRPr="00511005" w:rsidRDefault="003476F8" w:rsidP="003F6A5D">
      <w:pPr>
        <w:numPr>
          <w:ilvl w:val="0"/>
          <w:numId w:val="433"/>
        </w:numPr>
        <w:spacing w:line="264" w:lineRule="auto"/>
        <w:ind w:left="567"/>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 xml:space="preserve">Кодекс законів про працю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Закон</w:t>
      </w:r>
      <w:r w:rsidRPr="00511005">
        <w:rPr>
          <w:rFonts w:ascii="Arial" w:eastAsia="Times New Roman" w:hAnsi="Arial" w:cs="Arial"/>
          <w:szCs w:val="28"/>
          <w:lang w:eastAsia="ru-RU"/>
        </w:rPr>
        <w:t xml:space="preserve"> України від 10.12.1971 № 322-VIII</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URL: </w:t>
      </w:r>
      <w:hyperlink r:id="rId1665" w:anchor="Text" w:tgtFrame="_blank" w:history="1">
        <w:r w:rsidRPr="00511005">
          <w:rPr>
            <w:rFonts w:ascii="Arial" w:eastAsia="Times New Roman" w:hAnsi="Arial" w:cs="Arial"/>
            <w:szCs w:val="28"/>
            <w:lang w:eastAsia="ru-RU"/>
          </w:rPr>
          <w:t>https://zakon.rada.gov.ua/laws/show/322-08#Text</w:t>
        </w:r>
      </w:hyperlink>
      <w:r w:rsidRPr="00511005">
        <w:rPr>
          <w:rFonts w:ascii="Arial" w:eastAsia="Times New Roman" w:hAnsi="Arial" w:cs="Arial"/>
          <w:szCs w:val="28"/>
          <w:lang w:eastAsia="ru-RU"/>
        </w:rPr>
        <w:t> (дата звернення: 17.04.2025). </w:t>
      </w:r>
    </w:p>
    <w:p w14:paraId="6F7DEDE6" w14:textId="77777777" w:rsidR="007B2628" w:rsidRPr="00511005" w:rsidRDefault="003476F8" w:rsidP="003F6A5D">
      <w:pPr>
        <w:numPr>
          <w:ilvl w:val="0"/>
          <w:numId w:val="433"/>
        </w:numPr>
        <w:spacing w:line="264" w:lineRule="auto"/>
        <w:ind w:left="567"/>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 xml:space="preserve">Про охорону </w:t>
      </w:r>
      <w:proofErr w:type="gramStart"/>
      <w:r w:rsidRPr="00511005">
        <w:rPr>
          <w:rFonts w:ascii="Arial" w:eastAsia="Times New Roman" w:hAnsi="Arial" w:cs="Arial"/>
          <w:szCs w:val="28"/>
          <w:lang w:eastAsia="ru-RU"/>
        </w:rPr>
        <w:t>праці :</w:t>
      </w:r>
      <w:proofErr w:type="gramEnd"/>
      <w:r w:rsidRPr="00511005">
        <w:rPr>
          <w:rFonts w:ascii="Arial" w:eastAsia="Times New Roman" w:hAnsi="Arial" w:cs="Arial"/>
          <w:szCs w:val="28"/>
          <w:lang w:eastAsia="ru-RU"/>
        </w:rPr>
        <w:t xml:space="preserve"> Закон України від 14.10.1992 № 2694-XII. URL: </w:t>
      </w:r>
      <w:hyperlink r:id="rId1666" w:anchor="Text" w:history="1">
        <w:r w:rsidRPr="00511005">
          <w:rPr>
            <w:rFonts w:ascii="Arial" w:eastAsia="Times New Roman" w:hAnsi="Arial" w:cs="Arial"/>
            <w:szCs w:val="28"/>
            <w:lang w:eastAsia="ru-RU"/>
          </w:rPr>
          <w:t>https://zakon.rada.gov.ua/laws/show/2694-12#Text</w:t>
        </w:r>
      </w:hyperlink>
      <w:r w:rsidRPr="00511005">
        <w:rPr>
          <w:rFonts w:ascii="Arial" w:eastAsia="Times New Roman" w:hAnsi="Arial" w:cs="Arial"/>
          <w:szCs w:val="28"/>
          <w:lang w:eastAsia="ru-RU"/>
        </w:rPr>
        <w:t> (дата звернення: 17.04.2025)</w:t>
      </w:r>
      <w:r w:rsidRPr="00511005">
        <w:rPr>
          <w:rFonts w:ascii="Arial" w:eastAsia="Times New Roman" w:hAnsi="Arial" w:cs="Arial"/>
          <w:szCs w:val="28"/>
          <w:lang w:val="uk-UA" w:eastAsia="ru-RU"/>
        </w:rPr>
        <w:t>.</w:t>
      </w:r>
    </w:p>
    <w:p w14:paraId="47537986" w14:textId="0CB74FD2" w:rsidR="003476F8" w:rsidRPr="00511005" w:rsidRDefault="003476F8" w:rsidP="003F6A5D">
      <w:pPr>
        <w:numPr>
          <w:ilvl w:val="0"/>
          <w:numId w:val="433"/>
        </w:numPr>
        <w:spacing w:line="264" w:lineRule="auto"/>
        <w:ind w:left="567"/>
        <w:contextualSpacing/>
        <w:jc w:val="left"/>
        <w:rPr>
          <w:rFonts w:ascii="Arial" w:eastAsia="Times New Roman" w:hAnsi="Arial" w:cs="Arial"/>
          <w:b/>
          <w:bCs/>
          <w:szCs w:val="28"/>
          <w:lang w:val="uk-UA" w:eastAsia="ru-RU"/>
        </w:rPr>
      </w:pPr>
      <w:r w:rsidRPr="00511005">
        <w:rPr>
          <w:rFonts w:ascii="Arial" w:eastAsia="Times New Roman" w:hAnsi="Arial" w:cs="Arial"/>
          <w:szCs w:val="28"/>
          <w:lang w:val="en-US" w:eastAsia="ru-RU"/>
        </w:rPr>
        <w:t>ICD-11 for Mortality and Morbidity</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Statistics. </w:t>
      </w:r>
      <w:r w:rsidRPr="00511005">
        <w:rPr>
          <w:rFonts w:ascii="Arial" w:eastAsia="Times New Roman" w:hAnsi="Arial" w:cs="Arial"/>
          <w:i/>
          <w:iCs/>
          <w:szCs w:val="28"/>
          <w:lang w:val="en-US" w:eastAsia="ru-RU"/>
        </w:rPr>
        <w:t>ICD-11</w:t>
      </w:r>
      <w:r w:rsidRPr="00511005">
        <w:rPr>
          <w:rFonts w:ascii="Arial" w:eastAsia="Times New Roman" w:hAnsi="Arial" w:cs="Arial"/>
          <w:szCs w:val="28"/>
          <w:lang w:val="en-US" w:eastAsia="ru-RU"/>
        </w:rPr>
        <w:t>. URL: </w:t>
      </w:r>
      <w:hyperlink r:id="rId1667" w:tgtFrame="_blank" w:history="1">
        <w:r w:rsidRPr="00511005">
          <w:rPr>
            <w:rFonts w:ascii="Arial" w:eastAsia="Times New Roman" w:hAnsi="Arial" w:cs="Arial"/>
            <w:szCs w:val="28"/>
            <w:lang w:val="en-US" w:eastAsia="ru-RU"/>
          </w:rPr>
          <w:t>https://icd.who.int/browse/2025-01/mms/en</w:t>
        </w:r>
      </w:hyperlink>
      <w:r w:rsidRPr="00511005">
        <w:rPr>
          <w:rFonts w:ascii="Arial" w:eastAsia="Times New Roman" w:hAnsi="Arial" w:cs="Arial"/>
          <w:szCs w:val="28"/>
          <w:lang w:val="en-US" w:eastAsia="ru-RU"/>
        </w:rPr>
        <w:t> (</w:t>
      </w:r>
      <w:r w:rsidRPr="00511005">
        <w:rPr>
          <w:rFonts w:ascii="Arial" w:eastAsia="Times New Roman" w:hAnsi="Arial" w:cs="Arial"/>
          <w:szCs w:val="28"/>
          <w:lang w:val="uk-UA" w:eastAsia="ru-RU"/>
        </w:rPr>
        <w:t>дата звернення</w:t>
      </w:r>
      <w:r w:rsidRPr="00511005">
        <w:rPr>
          <w:rFonts w:ascii="Arial" w:eastAsia="Times New Roman" w:hAnsi="Arial" w:cs="Arial"/>
          <w:szCs w:val="28"/>
          <w:lang w:val="en-US" w:eastAsia="ru-RU"/>
        </w:rPr>
        <w:t xml:space="preserve">: 17.04.2025). </w:t>
      </w:r>
    </w:p>
    <w:p w14:paraId="6869ED2F" w14:textId="77777777" w:rsidR="003476F8" w:rsidRPr="00511005" w:rsidRDefault="003476F8" w:rsidP="003F6A5D">
      <w:pPr>
        <w:numPr>
          <w:ilvl w:val="0"/>
          <w:numId w:val="433"/>
        </w:numPr>
        <w:spacing w:line="264" w:lineRule="auto"/>
        <w:ind w:left="567"/>
        <w:contextualSpacing/>
        <w:jc w:val="left"/>
        <w:rPr>
          <w:rFonts w:ascii="Arial" w:eastAsia="Times New Roman" w:hAnsi="Arial" w:cs="Arial"/>
          <w:szCs w:val="28"/>
          <w:lang w:val="uk-UA" w:eastAsia="ru-RU"/>
        </w:rPr>
      </w:pPr>
      <w:r w:rsidRPr="00511005">
        <w:rPr>
          <w:rFonts w:ascii="Arial" w:eastAsia="Times New Roman" w:hAnsi="Arial" w:cs="Arial"/>
          <w:szCs w:val="28"/>
          <w:lang w:val="en-US" w:eastAsia="ru-RU"/>
        </w:rPr>
        <w:t>Right to disconnect | European Foundation for the Improvement of Living and Working Conditions.</w:t>
      </w:r>
      <w:r w:rsidRPr="00511005">
        <w:rPr>
          <w:rFonts w:ascii="Arial" w:eastAsia="Times New Roman" w:hAnsi="Arial" w:cs="Arial"/>
          <w:szCs w:val="28"/>
          <w:lang w:val="uk-UA" w:eastAsia="ru-RU"/>
        </w:rPr>
        <w:t xml:space="preserve"> </w:t>
      </w:r>
      <w:proofErr w:type="gramStart"/>
      <w:r w:rsidRPr="00511005">
        <w:rPr>
          <w:rFonts w:ascii="Arial" w:eastAsia="Times New Roman" w:hAnsi="Arial" w:cs="Arial"/>
          <w:i/>
          <w:iCs/>
          <w:szCs w:val="28"/>
          <w:lang w:val="en-US" w:eastAsia="ru-RU"/>
        </w:rPr>
        <w:t>Eurofond</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val="uk-UA" w:eastAsia="ru-RU"/>
        </w:rPr>
        <w:t>:</w:t>
      </w:r>
      <w:proofErr w:type="gramEnd"/>
      <w:r w:rsidRPr="00511005">
        <w:rPr>
          <w:rFonts w:ascii="Arial" w:eastAsia="Times New Roman" w:hAnsi="Arial" w:cs="Arial"/>
          <w:szCs w:val="28"/>
          <w:lang w:val="uk-UA" w:eastAsia="ru-RU"/>
        </w:rPr>
        <w:t xml:space="preserve"> : </w:t>
      </w:r>
      <w:r w:rsidRPr="00511005">
        <w:rPr>
          <w:rFonts w:ascii="Arial" w:eastAsia="Times New Roman" w:hAnsi="Arial" w:cs="Arial"/>
          <w:szCs w:val="28"/>
          <w:lang w:val="en-US" w:eastAsia="ru-RU"/>
        </w:rPr>
        <w:t>website.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 </w:t>
      </w:r>
      <w:hyperlink r:id="rId1668" w:tgtFrame="_blank" w:history="1">
        <w:r w:rsidRPr="00511005">
          <w:rPr>
            <w:rFonts w:ascii="Arial" w:eastAsia="Times New Roman" w:hAnsi="Arial" w:cs="Arial"/>
            <w:szCs w:val="28"/>
            <w:lang w:val="en-US" w:eastAsia="ru-RU"/>
          </w:rPr>
          <w:t>https://search.app/HH5hcuJysDVjj1rE9</w:t>
        </w:r>
      </w:hyperlink>
      <w:r w:rsidRPr="00511005">
        <w:rPr>
          <w:rFonts w:ascii="Arial" w:eastAsia="Times New Roman" w:hAnsi="Arial" w:cs="Arial"/>
          <w:szCs w:val="28"/>
          <w:lang w:val="en-US" w:eastAsia="ru-RU"/>
        </w:rPr>
        <w:t> (</w:t>
      </w:r>
      <w:r w:rsidRPr="00511005">
        <w:rPr>
          <w:rFonts w:ascii="Arial" w:eastAsia="Times New Roman" w:hAnsi="Arial" w:cs="Arial"/>
          <w:szCs w:val="28"/>
          <w:lang w:val="uk-UA" w:eastAsia="ru-RU"/>
        </w:rPr>
        <w:t>дата звернення</w:t>
      </w:r>
      <w:r w:rsidRPr="00511005">
        <w:rPr>
          <w:rFonts w:ascii="Arial" w:eastAsia="Times New Roman" w:hAnsi="Arial" w:cs="Arial"/>
          <w:szCs w:val="28"/>
          <w:lang w:val="en-US" w:eastAsia="ru-RU"/>
        </w:rPr>
        <w:t>: 17.04.2025).</w:t>
      </w:r>
    </w:p>
    <w:p w14:paraId="42BD064E" w14:textId="77777777" w:rsidR="003476F8" w:rsidRPr="00511005" w:rsidRDefault="003476F8" w:rsidP="003F6A5D">
      <w:pPr>
        <w:numPr>
          <w:ilvl w:val="0"/>
          <w:numId w:val="433"/>
        </w:numPr>
        <w:spacing w:line="264" w:lineRule="auto"/>
        <w:ind w:left="567"/>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Return to Work - Program Overview.</w:t>
      </w:r>
      <w:r w:rsidRPr="00511005">
        <w:rPr>
          <w:rFonts w:ascii="Arial" w:eastAsia="Times New Roman" w:hAnsi="Arial" w:cs="Arial"/>
          <w:szCs w:val="28"/>
          <w:lang w:val="en-US" w:eastAsia="ru-RU"/>
        </w:rPr>
        <w:t xml:space="preserve"> </w:t>
      </w:r>
      <w:r w:rsidRPr="00511005">
        <w:rPr>
          <w:rFonts w:ascii="Arial" w:eastAsia="Times New Roman" w:hAnsi="Arial" w:cs="Arial"/>
          <w:i/>
          <w:iCs/>
          <w:szCs w:val="28"/>
          <w:lang w:val="en-US" w:eastAsia="ru-RU"/>
        </w:rPr>
        <w:t xml:space="preserve">Canadian Centre for Occupational Health and </w:t>
      </w:r>
      <w:proofErr w:type="gramStart"/>
      <w:r w:rsidRPr="00511005">
        <w:rPr>
          <w:rFonts w:ascii="Arial" w:eastAsia="Times New Roman" w:hAnsi="Arial" w:cs="Arial"/>
          <w:i/>
          <w:iCs/>
          <w:szCs w:val="28"/>
          <w:lang w:val="en-US" w:eastAsia="ru-RU"/>
        </w:rPr>
        <w:t xml:space="preserve">Safety </w:t>
      </w:r>
      <w:r w:rsidRPr="00511005">
        <w:rPr>
          <w:rFonts w:ascii="Arial" w:eastAsia="Times New Roman" w:hAnsi="Arial" w:cs="Arial"/>
          <w:szCs w:val="28"/>
          <w:lang w:val="uk-UA" w:eastAsia="ru-RU"/>
        </w:rPr>
        <w:t>:</w:t>
      </w:r>
      <w:proofErr w:type="gramEnd"/>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website.</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pl-PL" w:eastAsia="ru-RU"/>
        </w:rPr>
        <w:t xml:space="preserve">URL </w:t>
      </w:r>
      <w:r w:rsidRPr="00511005">
        <w:rPr>
          <w:rFonts w:ascii="Arial" w:eastAsia="Times New Roman" w:hAnsi="Arial" w:cs="Arial"/>
          <w:szCs w:val="28"/>
          <w:lang w:val="uk-UA" w:eastAsia="ru-RU"/>
        </w:rPr>
        <w:t xml:space="preserve">: </w:t>
      </w:r>
      <w:hyperlink r:id="rId1669" w:history="1">
        <w:r w:rsidRPr="00511005">
          <w:rPr>
            <w:rFonts w:ascii="Arial" w:eastAsia="Times New Roman" w:hAnsi="Arial" w:cs="Arial"/>
            <w:szCs w:val="28"/>
            <w:lang w:val="uk-UA" w:eastAsia="ru-RU"/>
          </w:rPr>
          <w:t>https://www.ccohs.ca/oshanswers/psychosocial/rtw/rtw_program.html</w:t>
        </w:r>
      </w:hyperlink>
      <w:r w:rsidRPr="00511005">
        <w:rPr>
          <w:rFonts w:ascii="Arial" w:eastAsia="Times New Roman" w:hAnsi="Arial" w:cs="Arial"/>
          <w:szCs w:val="28"/>
          <w:lang w:val="uk-UA" w:eastAsia="ru-RU"/>
        </w:rPr>
        <w:t xml:space="preserve"> </w:t>
      </w:r>
    </w:p>
    <w:p w14:paraId="68A7BD31" w14:textId="229A9135" w:rsidR="003476F8" w:rsidRPr="00511005" w:rsidRDefault="007B2628" w:rsidP="003A292D">
      <w:pPr>
        <w:spacing w:line="264" w:lineRule="auto"/>
        <w:ind w:left="284" w:firstLine="0"/>
        <w:jc w:val="left"/>
        <w:rPr>
          <w:rFonts w:ascii="Arial" w:eastAsia="Times New Roman" w:hAnsi="Arial" w:cs="Arial"/>
          <w:bCs/>
          <w:iCs/>
          <w:szCs w:val="28"/>
          <w:lang w:val="uk-UA" w:eastAsia="ru-RU"/>
        </w:rPr>
      </w:pPr>
      <w:r w:rsidRPr="00511005">
        <w:rPr>
          <w:rFonts w:ascii="Arial" w:eastAsia="Times New Roman" w:hAnsi="Arial" w:cs="Arial"/>
          <w:b/>
          <w:i/>
          <w:szCs w:val="28"/>
          <w:lang w:eastAsia="ru-RU"/>
        </w:rPr>
        <w:t xml:space="preserve">Ключові слова: </w:t>
      </w:r>
      <w:r w:rsidR="003476F8" w:rsidRPr="00511005">
        <w:rPr>
          <w:rFonts w:ascii="Arial" w:eastAsia="Times New Roman" w:hAnsi="Arial" w:cs="Arial"/>
          <w:szCs w:val="28"/>
          <w:lang w:eastAsia="ru-RU"/>
        </w:rPr>
        <w:t xml:space="preserve">дистанційна робота, працівник, </w:t>
      </w:r>
      <w:r w:rsidR="003476F8" w:rsidRPr="00511005">
        <w:rPr>
          <w:rFonts w:ascii="Arial" w:eastAsia="Times New Roman" w:hAnsi="Arial" w:cs="Arial"/>
          <w:bCs/>
          <w:iCs/>
          <w:szCs w:val="28"/>
          <w:lang w:val="uk-UA" w:eastAsia="ru-RU"/>
        </w:rPr>
        <w:t>законодавство.</w:t>
      </w:r>
    </w:p>
    <w:p w14:paraId="0611FF5C" w14:textId="27D4D26F" w:rsidR="003476F8" w:rsidRPr="00511005" w:rsidRDefault="007B2628" w:rsidP="003A292D">
      <w:pPr>
        <w:spacing w:line="264" w:lineRule="auto"/>
        <w:ind w:left="284" w:firstLine="0"/>
        <w:jc w:val="left"/>
        <w:rPr>
          <w:rFonts w:ascii="Arial" w:eastAsia="Times New Roman" w:hAnsi="Arial" w:cs="Arial"/>
          <w:bCs/>
          <w:iCs/>
          <w:szCs w:val="28"/>
          <w:lang w:val="uk-UA" w:eastAsia="ru-RU"/>
        </w:rPr>
      </w:pPr>
      <w:r w:rsidRPr="00511005">
        <w:rPr>
          <w:rFonts w:ascii="Arial" w:eastAsia="Times New Roman" w:hAnsi="Arial" w:cs="Arial"/>
          <w:b/>
          <w:i/>
          <w:szCs w:val="28"/>
          <w:lang w:val="en-US" w:eastAsia="ru-RU"/>
        </w:rPr>
        <w:t xml:space="preserve">Key words: </w:t>
      </w:r>
      <w:r w:rsidR="003476F8" w:rsidRPr="00511005">
        <w:rPr>
          <w:rFonts w:ascii="Arial" w:eastAsia="Times New Roman" w:hAnsi="Arial" w:cs="Arial"/>
          <w:szCs w:val="28"/>
          <w:lang w:val="en-US" w:eastAsia="ru-RU"/>
        </w:rPr>
        <w:t xml:space="preserve">remote work, worker, </w:t>
      </w:r>
      <w:r w:rsidR="003476F8" w:rsidRPr="00511005">
        <w:rPr>
          <w:rFonts w:ascii="Arial" w:eastAsia="Times New Roman" w:hAnsi="Arial" w:cs="Arial"/>
          <w:bCs/>
          <w:iCs/>
          <w:szCs w:val="28"/>
          <w:lang w:val="uk-UA" w:eastAsia="ru-RU"/>
        </w:rPr>
        <w:t>legislation.</w:t>
      </w:r>
    </w:p>
    <w:p w14:paraId="7B7E17E1" w14:textId="77777777" w:rsidR="003476F8" w:rsidRPr="00511005" w:rsidRDefault="003476F8" w:rsidP="003A292D">
      <w:pPr>
        <w:spacing w:line="264" w:lineRule="auto"/>
        <w:ind w:left="284" w:firstLine="0"/>
        <w:jc w:val="left"/>
        <w:rPr>
          <w:rFonts w:ascii="Arial" w:eastAsia="Times New Roman" w:hAnsi="Arial" w:cs="Arial"/>
          <w:szCs w:val="28"/>
          <w:lang w:val="en-US" w:eastAsia="ru-RU"/>
        </w:rPr>
      </w:pPr>
    </w:p>
    <w:p w14:paraId="2F66FA11" w14:textId="6D7083F0" w:rsidR="003476F8" w:rsidRPr="00511005" w:rsidRDefault="007B2628" w:rsidP="003A292D">
      <w:pPr>
        <w:spacing w:line="264" w:lineRule="auto"/>
        <w:ind w:firstLine="0"/>
        <w:jc w:val="left"/>
        <w:rPr>
          <w:rFonts w:ascii="Arial" w:eastAsia="Times New Roman" w:hAnsi="Arial" w:cs="Arial"/>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3476F8" w:rsidRPr="00511005">
        <w:rPr>
          <w:rFonts w:ascii="Arial" w:eastAsia="Times New Roman" w:hAnsi="Arial" w:cs="Arial"/>
          <w:i/>
          <w:iCs/>
          <w:szCs w:val="28"/>
          <w:lang w:val="uk-UA" w:eastAsia="ru-RU"/>
        </w:rPr>
        <w:t xml:space="preserve">асистент </w:t>
      </w:r>
      <w:r w:rsidR="003476F8" w:rsidRPr="00511005">
        <w:rPr>
          <w:rFonts w:ascii="Arial" w:eastAsia="Times New Roman" w:hAnsi="Arial" w:cs="Arial"/>
          <w:bCs/>
          <w:i/>
          <w:iCs/>
          <w:szCs w:val="28"/>
          <w:lang w:eastAsia="ru-RU"/>
        </w:rPr>
        <w:t xml:space="preserve">Кіліміченко </w:t>
      </w:r>
      <w:r w:rsidR="003476F8" w:rsidRPr="00511005">
        <w:rPr>
          <w:rFonts w:ascii="Arial" w:eastAsia="Times New Roman" w:hAnsi="Arial" w:cs="Arial"/>
          <w:bCs/>
          <w:i/>
          <w:iCs/>
          <w:szCs w:val="28"/>
          <w:lang w:val="uk-UA" w:eastAsia="ru-RU"/>
        </w:rPr>
        <w:t>А.О.</w:t>
      </w:r>
    </w:p>
    <w:p w14:paraId="1C94243C" w14:textId="77777777" w:rsidR="003476F8" w:rsidRPr="00511005" w:rsidRDefault="003476F8" w:rsidP="003A292D">
      <w:pPr>
        <w:spacing w:line="264" w:lineRule="auto"/>
        <w:ind w:firstLine="0"/>
        <w:jc w:val="left"/>
        <w:rPr>
          <w:rFonts w:ascii="Arial" w:eastAsia="Times New Roman" w:hAnsi="Arial" w:cs="Arial"/>
          <w:szCs w:val="28"/>
          <w:lang w:val="uk-UA" w:eastAsia="ru-RU"/>
        </w:rPr>
      </w:pPr>
    </w:p>
    <w:p w14:paraId="7A3EE544" w14:textId="77777777" w:rsidR="003476F8" w:rsidRPr="00511005" w:rsidRDefault="003476F8" w:rsidP="003A292D">
      <w:pPr>
        <w:spacing w:line="264" w:lineRule="auto"/>
        <w:ind w:firstLine="0"/>
        <w:jc w:val="left"/>
        <w:rPr>
          <w:rFonts w:ascii="Arial" w:eastAsia="Times New Roman" w:hAnsi="Arial" w:cs="Arial"/>
          <w:szCs w:val="28"/>
          <w:lang w:val="uk-UA" w:eastAsia="ru-RU"/>
        </w:rPr>
      </w:pPr>
    </w:p>
    <w:p w14:paraId="59EE48E1" w14:textId="77777777" w:rsidR="003476F8" w:rsidRPr="00511005" w:rsidRDefault="003476F8" w:rsidP="003A292D">
      <w:pPr>
        <w:spacing w:line="264" w:lineRule="auto"/>
        <w:ind w:left="709" w:firstLine="0"/>
        <w:jc w:val="center"/>
        <w:rPr>
          <w:rFonts w:ascii="Arial" w:eastAsia="Times New Roman" w:hAnsi="Arial" w:cs="Arial"/>
          <w:b/>
          <w:bCs/>
          <w:i/>
          <w:szCs w:val="28"/>
          <w:lang w:val="uk-UA"/>
        </w:rPr>
      </w:pPr>
      <w:r w:rsidRPr="00511005">
        <w:rPr>
          <w:rFonts w:ascii="Arial" w:eastAsia="Times New Roman" w:hAnsi="Arial" w:cs="Arial"/>
          <w:b/>
          <w:bCs/>
          <w:i/>
          <w:szCs w:val="28"/>
          <w:lang w:val="uk-UA"/>
        </w:rPr>
        <w:t xml:space="preserve">Бурденюк Анна Русланівна </w:t>
      </w:r>
    </w:p>
    <w:p w14:paraId="256EBE3A" w14:textId="60E36CF0" w:rsidR="003476F8" w:rsidRPr="00511005" w:rsidRDefault="00536AAB" w:rsidP="003A292D">
      <w:pPr>
        <w:spacing w:line="264" w:lineRule="auto"/>
        <w:ind w:left="709" w:firstLine="0"/>
        <w:jc w:val="center"/>
        <w:rPr>
          <w:rFonts w:ascii="Arial" w:eastAsia="Times New Roman" w:hAnsi="Arial" w:cs="Arial"/>
          <w:bCs/>
          <w:szCs w:val="28"/>
          <w:lang w:val="uk-UA"/>
        </w:rPr>
      </w:pPr>
      <w:r w:rsidRPr="00511005">
        <w:rPr>
          <w:rFonts w:ascii="Arial" w:eastAsia="Times New Roman" w:hAnsi="Arial" w:cs="Arial"/>
          <w:bCs/>
          <w:szCs w:val="28"/>
          <w:lang w:val="uk-UA"/>
        </w:rPr>
        <w:t xml:space="preserve">студентка 2-го курсу </w:t>
      </w:r>
      <w:r w:rsidR="007B2628" w:rsidRPr="00511005">
        <w:rPr>
          <w:rFonts w:ascii="Arial" w:eastAsia="Times New Roman" w:hAnsi="Arial" w:cs="Arial"/>
          <w:bCs/>
          <w:szCs w:val="28"/>
          <w:lang w:val="uk-UA"/>
        </w:rPr>
        <w:t>факультету цивільної та господарської юстиції</w:t>
      </w:r>
      <w:r w:rsidR="003476F8" w:rsidRPr="00511005">
        <w:rPr>
          <w:rFonts w:ascii="Arial" w:eastAsia="Times New Roman" w:hAnsi="Arial" w:cs="Arial"/>
          <w:bCs/>
          <w:szCs w:val="28"/>
          <w:lang w:val="uk-UA"/>
        </w:rPr>
        <w:t xml:space="preserve"> </w:t>
      </w:r>
    </w:p>
    <w:p w14:paraId="24846C6C" w14:textId="3AEA3BA8" w:rsidR="003476F8" w:rsidRPr="00511005" w:rsidRDefault="007B2628" w:rsidP="003A292D">
      <w:pPr>
        <w:spacing w:line="264" w:lineRule="auto"/>
        <w:ind w:left="709" w:firstLine="0"/>
        <w:jc w:val="center"/>
        <w:rPr>
          <w:rFonts w:ascii="Arial" w:eastAsia="Times New Roman" w:hAnsi="Arial" w:cs="Arial"/>
          <w:bCs/>
          <w:szCs w:val="28"/>
          <w:lang w:val="uk-UA"/>
        </w:rPr>
      </w:pPr>
      <w:r w:rsidRPr="00511005">
        <w:rPr>
          <w:rFonts w:ascii="Arial" w:eastAsia="Times New Roman" w:hAnsi="Arial" w:cs="Arial"/>
          <w:bCs/>
          <w:szCs w:val="28"/>
          <w:lang w:val="uk-UA"/>
        </w:rPr>
        <w:t>Національного університету «Одеська юридична академія»</w:t>
      </w:r>
      <w:r w:rsidR="003476F8" w:rsidRPr="00511005">
        <w:rPr>
          <w:rFonts w:ascii="Arial" w:eastAsia="Times New Roman" w:hAnsi="Arial" w:cs="Arial"/>
          <w:bCs/>
          <w:szCs w:val="28"/>
          <w:lang w:val="uk-UA"/>
        </w:rPr>
        <w:t xml:space="preserve"> </w:t>
      </w:r>
    </w:p>
    <w:p w14:paraId="07402B4D" w14:textId="77777777" w:rsidR="003476F8" w:rsidRPr="00511005" w:rsidRDefault="003476F8" w:rsidP="003A292D">
      <w:pPr>
        <w:spacing w:line="264" w:lineRule="auto"/>
        <w:ind w:left="709" w:firstLine="0"/>
        <w:jc w:val="center"/>
        <w:rPr>
          <w:rFonts w:ascii="Arial" w:eastAsia="Times New Roman" w:hAnsi="Arial" w:cs="Arial"/>
          <w:b/>
          <w:bCs/>
          <w:szCs w:val="28"/>
          <w:lang w:val="uk-UA"/>
        </w:rPr>
      </w:pPr>
    </w:p>
    <w:p w14:paraId="43C9E810" w14:textId="77777777" w:rsidR="003476F8" w:rsidRPr="00511005" w:rsidRDefault="003476F8" w:rsidP="003A292D">
      <w:pPr>
        <w:spacing w:line="264" w:lineRule="auto"/>
        <w:ind w:left="709" w:firstLine="0"/>
        <w:jc w:val="center"/>
        <w:rPr>
          <w:rFonts w:ascii="Arial" w:eastAsia="Times New Roman" w:hAnsi="Arial" w:cs="Arial"/>
          <w:b/>
          <w:bCs/>
          <w:szCs w:val="28"/>
          <w:lang w:val="uk-UA"/>
        </w:rPr>
      </w:pPr>
      <w:r w:rsidRPr="00511005">
        <w:rPr>
          <w:rFonts w:ascii="Arial" w:eastAsia="Times New Roman" w:hAnsi="Arial" w:cs="Arial"/>
          <w:b/>
          <w:bCs/>
          <w:szCs w:val="28"/>
          <w:lang w:val="uk-UA"/>
        </w:rPr>
        <w:t xml:space="preserve">ПРОФЕСІЙНЕ ВИГОРАННЯ ЯК ПРОБЛЕМА СУЧАСНИХ ТРУДОВИХ ВІДНОСИН ТА ШЛЯХИ ЇЇ ПОДОЛАННЯ </w:t>
      </w:r>
    </w:p>
    <w:p w14:paraId="33D88568" w14:textId="77777777" w:rsidR="003476F8" w:rsidRPr="00511005" w:rsidRDefault="003476F8" w:rsidP="003A292D">
      <w:pPr>
        <w:spacing w:line="264" w:lineRule="auto"/>
        <w:contextualSpacing/>
        <w:rPr>
          <w:rFonts w:ascii="Arial" w:eastAsia="Times New Roman" w:hAnsi="Arial" w:cs="Arial"/>
          <w:b/>
          <w:bCs/>
          <w:szCs w:val="28"/>
          <w:lang w:val="uk-UA"/>
        </w:rPr>
      </w:pPr>
      <w:r w:rsidRPr="00511005">
        <w:rPr>
          <w:rFonts w:ascii="Arial" w:eastAsia="Times New Roman" w:hAnsi="Arial" w:cs="Arial"/>
          <w:szCs w:val="28"/>
          <w:lang w:val="uk-UA"/>
        </w:rPr>
        <w:t xml:space="preserve">У сучасних реаліях людина змушена функціонувати в умовах постійного психологічного напруження. Надмірне робоче навантаження, високі очікування щодо професійної компетентності, жорстка конкуренція, </w:t>
      </w:r>
      <w:r w:rsidRPr="00511005">
        <w:rPr>
          <w:rFonts w:ascii="Arial" w:eastAsia="Times New Roman" w:hAnsi="Arial" w:cs="Arial"/>
          <w:szCs w:val="28"/>
          <w:lang w:val="uk-UA"/>
        </w:rPr>
        <w:lastRenderedPageBreak/>
        <w:t>хронічний дефіцит часу, інформаційний тиск з боку медіа та реклами, а також перенаселення у великих містах — усе це чинники, які здатні порушити емоційну рівновагу навіть у психічно стійких особистостей. В результаті виникає синдром «професійного вигорання».</w:t>
      </w:r>
    </w:p>
    <w:p w14:paraId="1482A739" w14:textId="77777777" w:rsidR="003476F8" w:rsidRPr="00511005" w:rsidRDefault="003476F8" w:rsidP="003A292D">
      <w:pPr>
        <w:spacing w:line="264" w:lineRule="auto"/>
        <w:contextualSpacing/>
        <w:rPr>
          <w:rFonts w:ascii="Arial" w:eastAsia="Times New Roman" w:hAnsi="Arial" w:cs="Arial"/>
          <w:szCs w:val="28"/>
        </w:rPr>
      </w:pPr>
      <w:r w:rsidRPr="00511005">
        <w:rPr>
          <w:rFonts w:ascii="Arial" w:eastAsia="Times New Roman" w:hAnsi="Arial" w:cs="Arial"/>
          <w:szCs w:val="28"/>
          <w:lang w:val="uk-UA"/>
        </w:rPr>
        <w:t>Уперше термін «вигорання» був запроваджений у науковий обіг американським психіатром Гербертом Фрейденбергером у 1974 році. Сьогодні це поняття офіційно включене до 11-го перегляду Міжнародної класифікації хвороб (МКХ-11), у розділ «Фактори, що впливають на стан здоров’я або зумовлюють звернення за медичною допомогою» :«Це синдром, що визнається результатом хронічного стресу на робочому місці, який не вдалося подолати. Він характеризується трьома вимірами: виснаження; підвищена психічна віддаленість від роботи або почуття негативізму чи цинізму, пов’язані з роботою; зниження професійної ефективності» [5]. Хоча синдром не вважається захворюванням у класичному медичному розумінні, він може істотно впливати на фізичне й психічне самопочуття людини.</w:t>
      </w:r>
    </w:p>
    <w:p w14:paraId="7355F146" w14:textId="77777777" w:rsidR="003476F8" w:rsidRPr="00511005" w:rsidRDefault="003476F8" w:rsidP="003A292D">
      <w:pPr>
        <w:spacing w:line="264" w:lineRule="auto"/>
        <w:contextualSpacing/>
        <w:rPr>
          <w:rFonts w:ascii="Arial" w:eastAsia="Times New Roman" w:hAnsi="Arial" w:cs="Arial"/>
          <w:szCs w:val="28"/>
          <w:lang w:val="uk-UA"/>
        </w:rPr>
      </w:pPr>
      <w:r w:rsidRPr="00511005">
        <w:rPr>
          <w:rFonts w:ascii="Arial" w:eastAsia="Times New Roman" w:hAnsi="Arial" w:cs="Arial"/>
          <w:szCs w:val="28"/>
          <w:lang w:val="uk-UA"/>
        </w:rPr>
        <w:t xml:space="preserve">Професійне вигорання нині постає як одна з найгостріших проблем у сфері трудових відносин, адже воно негативно позначається не лише на стані працівника, а й на загальній результативності функціонування організацій. У більшості наукових праць вигорання розглядається як деструктивне психоемоційне явище, що охоплює кілька ключових компонентів: емоційне виснаження, яке виявляється у стійкому відчутті втоми та спустошення; деперсоналізацію, яка проявляється у байдужому або ворожому ставленні до клієнтів, колег чи підопічних; та зниження професійної ефективності, що супроводжується втратою мотивації, впевненості у власній компетентності та результативності. Найбільш вразливими до цього синдрому є фахівці, чия діяльність пов’язана з інтенсивною міжособистісною взаємодією, зокрема працівники соціальної, освітньої, медичної та сервісної сфер [4, </w:t>
      </w:r>
      <w:r w:rsidRPr="00511005">
        <w:rPr>
          <w:rFonts w:ascii="Arial" w:eastAsia="Times New Roman" w:hAnsi="Arial" w:cs="Arial"/>
          <w:szCs w:val="28"/>
          <w:lang w:val="en-US"/>
        </w:rPr>
        <w:t>c</w:t>
      </w:r>
      <w:r w:rsidRPr="00511005">
        <w:rPr>
          <w:rFonts w:ascii="Arial" w:eastAsia="Times New Roman" w:hAnsi="Arial" w:cs="Arial"/>
          <w:szCs w:val="28"/>
          <w:lang w:val="uk-UA"/>
        </w:rPr>
        <w:t xml:space="preserve">.167]. </w:t>
      </w:r>
    </w:p>
    <w:p w14:paraId="4315F3C7" w14:textId="77777777" w:rsidR="003476F8" w:rsidRPr="00511005" w:rsidRDefault="003476F8" w:rsidP="003A292D">
      <w:pPr>
        <w:spacing w:line="264" w:lineRule="auto"/>
        <w:contextualSpacing/>
        <w:rPr>
          <w:rFonts w:ascii="Arial" w:eastAsia="Times New Roman" w:hAnsi="Arial" w:cs="Arial"/>
          <w:szCs w:val="28"/>
          <w:lang w:val="uk-UA"/>
        </w:rPr>
      </w:pPr>
      <w:r w:rsidRPr="00511005">
        <w:rPr>
          <w:rFonts w:ascii="Arial" w:eastAsia="Times New Roman" w:hAnsi="Arial" w:cs="Arial"/>
          <w:szCs w:val="28"/>
          <w:lang w:val="uk-UA"/>
        </w:rPr>
        <w:t>Професійне вигорання включає у себе групи симптомів, що проявляються разом, але оскільки вигорання як процес у кожного протікає індивідуально, то і симптоми у всіх виражаються по-різному і мають різну комбінацію</w:t>
      </w:r>
      <w:r w:rsidRPr="00511005">
        <w:rPr>
          <w:rFonts w:ascii="Arial" w:eastAsia="Times New Roman" w:hAnsi="Arial" w:cs="Arial"/>
          <w:szCs w:val="28"/>
        </w:rPr>
        <w:t xml:space="preserve"> [2, </w:t>
      </w:r>
      <w:r w:rsidRPr="00511005">
        <w:rPr>
          <w:rFonts w:ascii="Arial" w:eastAsia="Times New Roman" w:hAnsi="Arial" w:cs="Arial"/>
          <w:szCs w:val="28"/>
          <w:lang w:val="en-US"/>
        </w:rPr>
        <w:t>c</w:t>
      </w:r>
      <w:r w:rsidRPr="00511005">
        <w:rPr>
          <w:rFonts w:ascii="Arial" w:eastAsia="Times New Roman" w:hAnsi="Arial" w:cs="Arial"/>
          <w:szCs w:val="28"/>
          <w:lang w:val="uk-UA"/>
        </w:rPr>
        <w:t>.75</w:t>
      </w:r>
      <w:r w:rsidRPr="00511005">
        <w:rPr>
          <w:rFonts w:ascii="Arial" w:eastAsia="Times New Roman" w:hAnsi="Arial" w:cs="Arial"/>
          <w:szCs w:val="28"/>
        </w:rPr>
        <w:t>]</w:t>
      </w:r>
      <w:r w:rsidRPr="00511005">
        <w:rPr>
          <w:rFonts w:ascii="Arial" w:eastAsia="Times New Roman" w:hAnsi="Arial" w:cs="Arial"/>
          <w:szCs w:val="28"/>
          <w:lang w:val="uk-UA"/>
        </w:rPr>
        <w:t xml:space="preserve">. </w:t>
      </w:r>
    </w:p>
    <w:p w14:paraId="3C36021E" w14:textId="77777777" w:rsidR="003476F8" w:rsidRPr="00511005" w:rsidRDefault="003476F8" w:rsidP="003A292D">
      <w:pPr>
        <w:spacing w:line="264" w:lineRule="auto"/>
        <w:contextualSpacing/>
        <w:rPr>
          <w:rFonts w:ascii="Arial" w:eastAsia="Times New Roman" w:hAnsi="Arial" w:cs="Arial"/>
          <w:szCs w:val="28"/>
          <w:lang w:val="uk-UA"/>
        </w:rPr>
      </w:pPr>
      <w:r w:rsidRPr="00511005">
        <w:rPr>
          <w:rFonts w:ascii="Arial" w:eastAsia="Times New Roman" w:hAnsi="Arial" w:cs="Arial"/>
          <w:szCs w:val="28"/>
          <w:lang w:val="uk-UA"/>
        </w:rPr>
        <w:t>Афективні</w:t>
      </w:r>
      <w:r w:rsidRPr="00511005">
        <w:rPr>
          <w:rFonts w:ascii="Arial" w:eastAsia="Times New Roman" w:hAnsi="Arial" w:cs="Arial"/>
          <w:szCs w:val="28"/>
        </w:rPr>
        <w:t xml:space="preserve"> </w:t>
      </w:r>
      <w:r w:rsidRPr="00511005">
        <w:rPr>
          <w:rFonts w:ascii="Arial" w:eastAsia="Times New Roman" w:hAnsi="Arial" w:cs="Arial"/>
          <w:szCs w:val="28"/>
          <w:lang w:val="uk-UA"/>
        </w:rPr>
        <w:t>симптоми вигорання включають пригнічений настрій, емоційне виснаження, тривожність, нервозність та почуття провини. Працівник стає дратівливим, надмірно чутливим у спілкуванні, виявляє емоційну холодність і незадоволення роботою, що супроводжується зниженням емоційного контролю й загальним психологічним дискомфортом.</w:t>
      </w:r>
    </w:p>
    <w:p w14:paraId="7EFC1728" w14:textId="77777777" w:rsidR="003476F8" w:rsidRPr="00511005" w:rsidRDefault="003476F8" w:rsidP="003A292D">
      <w:pPr>
        <w:spacing w:line="264" w:lineRule="auto"/>
        <w:contextualSpacing/>
        <w:rPr>
          <w:rFonts w:ascii="Arial" w:eastAsia="Times New Roman" w:hAnsi="Arial" w:cs="Arial"/>
          <w:szCs w:val="28"/>
          <w:lang w:val="uk-UA"/>
        </w:rPr>
      </w:pPr>
      <w:r w:rsidRPr="00511005">
        <w:rPr>
          <w:rFonts w:ascii="Arial" w:eastAsia="Times New Roman" w:hAnsi="Arial" w:cs="Arial"/>
          <w:szCs w:val="28"/>
          <w:lang w:val="uk-UA"/>
        </w:rPr>
        <w:t xml:space="preserve">Когнітивні симптоми включають порушення пам’яті, концентрації уваги, мислення, зниження здатності приймати рішення, схильність до фантазування та уникання вирішення проблем. У ставленні до інших проявляється цинізм, емоційна відстороненість і схильність до негативних </w:t>
      </w:r>
      <w:r w:rsidRPr="00511005">
        <w:rPr>
          <w:rFonts w:ascii="Arial" w:eastAsia="Times New Roman" w:hAnsi="Arial" w:cs="Arial"/>
          <w:szCs w:val="28"/>
          <w:lang w:val="uk-UA"/>
        </w:rPr>
        <w:lastRenderedPageBreak/>
        <w:t>ярликів щодо клієнтів чи колег. У колективі формується критичне ставлення до керівництва та співробітників, що може супроводжуватися агресією.</w:t>
      </w:r>
    </w:p>
    <w:p w14:paraId="281146B4"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Фізичні прояви охоплюють загальну втому, головні болі, безсоння, зміни апетиту та ваги, а також розвиток психосоматичних захворювань і фізіологічні реакції на стрес (підвищений тиск, високий холестерин тощо).</w:t>
      </w:r>
    </w:p>
    <w:p w14:paraId="39D233E5"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Поведінкові ознаки включають гіперактивність, неуважність, імпульсивність, прокрастинацію, зловживання стимуляторами (кава, алкоголь, ліки) як спробу зменшити напруження. У поведінці спостерігаються або агресія до оточення, або ізоляція, зниження працездатності, відсутність ініціативи, часті перерви, запізнення і байдужість до обов’язків.</w:t>
      </w:r>
    </w:p>
    <w:p w14:paraId="501D9D20"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Мотиваційні симптоми виражаються у втраті сенсу роботи, відчуженості від клієнтів, зниженні моральних і духовних орієнтирів, небажанні брати на себе відповідальність. Це все впливає не лише на професійну діяльність, а й на особисте життя – посилюються сімейні конфлікти, зростає потреба в усамітненні, що часто реалізується за рахунок стосунків із близькими.</w:t>
      </w:r>
    </w:p>
    <w:p w14:paraId="1B21B2AA"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Професійне вигорання охоплює всі сфери розвитку особистості людини. Розпочавшись у професійній діяльності, вигоряння «вражає» і саму особистість людини, заважаючи її розвитку.</w:t>
      </w:r>
    </w:p>
    <w:p w14:paraId="76CFD5A8"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Наслідки професійного вигорання є багатогранними. Для працівника це може призвести до хронічного стресу, психосоматичних захворювань, депресії, втрати інтересу до професії. Для організації — до зниження продуктивності, збільшення плинності кадрів, зростання кількості помилок у роботі, погіршення клімату в колективі. У широкому соціальному вимірі ця проблема підриває якість надання послуг, знижує рівень довіри до інституцій, зменшує загальний потенціал людського капіталу.</w:t>
      </w:r>
    </w:p>
    <w:p w14:paraId="1E448D30"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Для подолання та профілактики професійного вигорання необхідний комплексний підхід. Виділяють індивідуальні та організаційні методи подолання професійного вигорання. Індивідуальні методи спрямовані на внутрішні зміни в особистості працівника, до них відносять [1, с.7]: </w:t>
      </w:r>
    </w:p>
    <w:p w14:paraId="46E9275B" w14:textId="77777777" w:rsidR="003476F8" w:rsidRPr="00511005" w:rsidRDefault="003476F8" w:rsidP="003F6A5D">
      <w:pPr>
        <w:numPr>
          <w:ilvl w:val="0"/>
          <w:numId w:val="435"/>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психотерапію - когнітивно-поведінкова терапія допомагає змінити деструктивні думки та сформувати адаптивні моделі поведінки, психодинамічна терапія дозволяє усвідомити глибинні емоційні конфлікти, що призводять до вигорання, арт-терапія виступає засобом самовираження і дозволяє опрацьовувати накопичені емоції через творчу діяльність;</w:t>
      </w:r>
    </w:p>
    <w:p w14:paraId="79979B62" w14:textId="77777777" w:rsidR="003476F8" w:rsidRPr="00511005" w:rsidRDefault="003476F8" w:rsidP="003F6A5D">
      <w:pPr>
        <w:numPr>
          <w:ilvl w:val="0"/>
          <w:numId w:val="435"/>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техніки релаксації - до них можна віднести медитацію, дихальні вправи, йога, аромотерапія чи бальнеотерапія, вони сприяють фізичному та психологічному розвантаженню;</w:t>
      </w:r>
    </w:p>
    <w:p w14:paraId="4830E9D3" w14:textId="77777777" w:rsidR="003476F8" w:rsidRPr="00511005" w:rsidRDefault="003476F8" w:rsidP="003F6A5D">
      <w:pPr>
        <w:numPr>
          <w:ilvl w:val="0"/>
          <w:numId w:val="435"/>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зміна способи життя - створення балансу між роботою та особистим життям. Здорове харчування; регулярні фізичні вправи; </w:t>
      </w:r>
      <w:r w:rsidRPr="00511005">
        <w:rPr>
          <w:rFonts w:ascii="Arial" w:eastAsia="Times New Roman" w:hAnsi="Arial" w:cs="Arial"/>
          <w:szCs w:val="28"/>
          <w:lang w:val="uk-UA"/>
        </w:rPr>
        <w:lastRenderedPageBreak/>
        <w:t>достатня кількість сну; проведення часу на природі; підтримка соціальних зв’язків з друзями та родиною.</w:t>
      </w:r>
    </w:p>
    <w:p w14:paraId="17871ACC"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Організаційні підходи до запобігання професійному вигоранню орієнтовані на формування комфортного та підтримувального середовища в межах трудового колективу. До таких методів належать:</w:t>
      </w:r>
    </w:p>
    <w:p w14:paraId="351BC11A" w14:textId="77777777" w:rsidR="003476F8" w:rsidRPr="00511005" w:rsidRDefault="003476F8" w:rsidP="003F6A5D">
      <w:pPr>
        <w:numPr>
          <w:ilvl w:val="0"/>
          <w:numId w:val="437"/>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оптимізація умов праці – зменшення рівня напруження шляхом чіткого розподілу обов’язків, створення можливостей для професійного зростання, розвитку командної взаємодії та вдосконалення комунікаційних процесів. Гнучкий графік чи дистанційний формат роботи допомагають працівникам краще поєднувати роботу й особисте життя. Керівникам рекомендується створювати умови, які сприяють продуктивності та відпочинку безпосередньо на робочому місці;</w:t>
      </w:r>
    </w:p>
    <w:p w14:paraId="04CBD6BE" w14:textId="77777777" w:rsidR="003476F8" w:rsidRPr="00511005" w:rsidRDefault="003476F8" w:rsidP="003F6A5D">
      <w:pPr>
        <w:numPr>
          <w:ilvl w:val="0"/>
          <w:numId w:val="437"/>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програми підтримки персоналу – передбачають надання працівникам психологічної допомоги, кар’єрних консультацій, організацію тренінгів і семінарів, спрямованих на розпізнавання ознак вигорання, навчання технікам подолання стресу й формування навичок емоційної саморегуляції.</w:t>
      </w:r>
    </w:p>
    <w:p w14:paraId="1AF9F7C4" w14:textId="77777777" w:rsidR="003476F8" w:rsidRPr="00511005" w:rsidRDefault="003476F8" w:rsidP="003F6A5D">
      <w:pPr>
        <w:numPr>
          <w:ilvl w:val="0"/>
          <w:numId w:val="437"/>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трансформація корпоративної культури – формування такої системи цінностей у колективі, де пріоритетами виступають ментальне здоров’я, добробут співробітників, відкритий діалог та підтримка балансу між професійною і приватною сферами життя.</w:t>
      </w:r>
    </w:p>
    <w:p w14:paraId="02A2CB49"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Щоб запобігти виникненню феномену вигорання, рекомендується забезпечити такі умови роботи, щоб організація та обмеження, які нею ж створюються, не піддавали співробітників ризику стосовно правил і цінностей їх професії. Також повинна бути дозволена командна робота та соціальна підтримка</w:t>
      </w:r>
      <w:r w:rsidRPr="00511005">
        <w:rPr>
          <w:rFonts w:ascii="Arial" w:eastAsia="Times New Roman" w:hAnsi="Arial" w:cs="Arial"/>
          <w:szCs w:val="28"/>
        </w:rPr>
        <w:t xml:space="preserve"> [3].</w:t>
      </w:r>
    </w:p>
    <w:p w14:paraId="3A5D6206"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При підозрі вигорання в компанії рекомендується застосовувати підхід з запобігання психосоціальних ризиків. Мова також йде про те, щоб компанія залишалась уважною до ознак дискомфорту, які проявляються через такі показники як кількість прогулів і плинність кадрів. Необхідно як можна швидше виявити проблеми та відреагувати на них, поки не стало занадто пізно.</w:t>
      </w:r>
      <w:r w:rsidRPr="00511005">
        <w:rPr>
          <w:rFonts w:ascii="Arial" w:eastAsia="Times New Roman" w:hAnsi="Arial" w:cs="Arial"/>
          <w:szCs w:val="28"/>
          <w:shd w:val="clear" w:color="auto" w:fill="FFFFFF"/>
          <w:lang w:val="uk-UA"/>
        </w:rPr>
        <w:t xml:space="preserve"> </w:t>
      </w:r>
      <w:r w:rsidRPr="00511005">
        <w:rPr>
          <w:rFonts w:ascii="Arial" w:eastAsia="Times New Roman" w:hAnsi="Arial" w:cs="Arial"/>
          <w:szCs w:val="28"/>
          <w:lang w:val="uk-UA"/>
        </w:rPr>
        <w:t>Робота повинна приносити задоволення, тому важливо вчасно діагностувати дану проблему та приступити до її розв'язання.</w:t>
      </w:r>
    </w:p>
    <w:p w14:paraId="2B8643FE" w14:textId="3B052B45" w:rsidR="003476F8"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Професійне вигорання — це серйозне психоемоційне виснаження, спричинене хронічним стресом на робочому місці. Цей синдром не є окремим захворюванням, але суттєво впливає на фізичне і психічне здоров’я працівників, а також на ефективність організацій. Вигорання охоплює емоційні, когнітивні, фізичні, поведінкові та мотиваційні прояви, що відображаються як у професійній сфері, так і в особистому житті. Для його профілактики та подолання потрібен комплексний підхід.</w:t>
      </w:r>
    </w:p>
    <w:p w14:paraId="5059B6E1" w14:textId="77777777" w:rsidR="00A54AC2" w:rsidRPr="00511005" w:rsidRDefault="00A54AC2" w:rsidP="003A292D">
      <w:pPr>
        <w:spacing w:line="264" w:lineRule="auto"/>
        <w:rPr>
          <w:rFonts w:ascii="Arial" w:eastAsia="Times New Roman" w:hAnsi="Arial" w:cs="Arial"/>
          <w:szCs w:val="28"/>
          <w:lang w:val="uk-UA"/>
        </w:rPr>
      </w:pPr>
    </w:p>
    <w:p w14:paraId="58EB4083" w14:textId="10B53AEB" w:rsidR="003476F8" w:rsidRPr="00511005" w:rsidRDefault="007B2628" w:rsidP="007B2628">
      <w:pPr>
        <w:tabs>
          <w:tab w:val="left" w:pos="993"/>
        </w:tabs>
        <w:spacing w:line="264" w:lineRule="auto"/>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5416C83E" w14:textId="77777777" w:rsidR="003476F8" w:rsidRPr="00511005" w:rsidRDefault="003476F8" w:rsidP="003F6A5D">
      <w:pPr>
        <w:numPr>
          <w:ilvl w:val="0"/>
          <w:numId w:val="436"/>
        </w:numPr>
        <w:tabs>
          <w:tab w:val="left" w:pos="993"/>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lastRenderedPageBreak/>
        <w:t xml:space="preserve">Коваль Н., Колосова К. Управлінська діяльність з попередження синдрому професійного вигорання в сучасних умовах. </w:t>
      </w:r>
      <w:r w:rsidRPr="00511005">
        <w:rPr>
          <w:rFonts w:ascii="Arial" w:eastAsia="Times New Roman" w:hAnsi="Arial" w:cs="Arial"/>
          <w:i/>
          <w:iCs/>
          <w:szCs w:val="28"/>
          <w:lang w:val="uk-UA"/>
        </w:rPr>
        <w:t>Економіка та суспільство</w:t>
      </w:r>
      <w:r w:rsidRPr="00511005">
        <w:rPr>
          <w:rFonts w:ascii="Arial" w:eastAsia="Times New Roman" w:hAnsi="Arial" w:cs="Arial"/>
          <w:szCs w:val="28"/>
          <w:lang w:val="uk-UA"/>
        </w:rPr>
        <w:t xml:space="preserve">. № 66. 2024. </w:t>
      </w:r>
      <w:r w:rsidRPr="00511005">
        <w:rPr>
          <w:rFonts w:ascii="Arial" w:eastAsia="Times New Roman" w:hAnsi="Arial" w:cs="Arial"/>
          <w:szCs w:val="28"/>
          <w:lang w:val="en-US"/>
        </w:rPr>
        <w:t>URL</w:t>
      </w:r>
      <w:r w:rsidRPr="00511005">
        <w:rPr>
          <w:rFonts w:ascii="Arial" w:eastAsia="Times New Roman" w:hAnsi="Arial" w:cs="Arial"/>
          <w:szCs w:val="28"/>
        </w:rPr>
        <w:t>:</w:t>
      </w:r>
      <w:r w:rsidRPr="00511005">
        <w:rPr>
          <w:rFonts w:ascii="Arial" w:eastAsia="Times New Roman" w:hAnsi="Arial" w:cs="Arial"/>
          <w:szCs w:val="28"/>
          <w:lang w:val="uk-UA"/>
        </w:rPr>
        <w:t xml:space="preserve"> https://economyandsociety.in.ua/index.php/journal/article/view/4581/4524</w:t>
      </w:r>
    </w:p>
    <w:p w14:paraId="090CC686" w14:textId="77777777" w:rsidR="003476F8" w:rsidRPr="00511005" w:rsidRDefault="003476F8" w:rsidP="003F6A5D">
      <w:pPr>
        <w:numPr>
          <w:ilvl w:val="0"/>
          <w:numId w:val="436"/>
        </w:numPr>
        <w:tabs>
          <w:tab w:val="left" w:pos="993"/>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Михайленко О.В. Професійне вигорання у діяльності фахівців соціально-виховної роботи. </w:t>
      </w:r>
      <w:hyperlink r:id="rId1670" w:history="1">
        <w:r w:rsidRPr="00511005">
          <w:rPr>
            <w:rFonts w:ascii="Arial" w:eastAsia="Times New Roman" w:hAnsi="Arial" w:cs="Arial"/>
            <w:i/>
            <w:iCs/>
            <w:szCs w:val="28"/>
            <w:lang w:eastAsia="ru-RU"/>
          </w:rPr>
          <w:t>Вісник Національного університету "Чернігівський колегіум" імені Т. Г. Шевченка</w:t>
        </w:r>
      </w:hyperlink>
      <w:r w:rsidRPr="00511005">
        <w:rPr>
          <w:rFonts w:ascii="Arial" w:eastAsia="Times New Roman" w:hAnsi="Arial" w:cs="Arial"/>
          <w:i/>
          <w:iCs/>
          <w:szCs w:val="28"/>
          <w:lang w:val="uk-UA"/>
        </w:rPr>
        <w:t>.</w:t>
      </w:r>
      <w:r w:rsidRPr="00511005">
        <w:rPr>
          <w:rFonts w:ascii="Arial" w:eastAsia="Times New Roman" w:hAnsi="Arial" w:cs="Arial"/>
          <w:szCs w:val="28"/>
          <w:lang w:val="uk-UA"/>
        </w:rPr>
        <w:t xml:space="preserve"> №23 (179). 2023. С. 72-80.</w:t>
      </w:r>
    </w:p>
    <w:p w14:paraId="4A28A78B" w14:textId="77777777" w:rsidR="003476F8" w:rsidRPr="00511005" w:rsidRDefault="003476F8" w:rsidP="003F6A5D">
      <w:pPr>
        <w:numPr>
          <w:ilvl w:val="0"/>
          <w:numId w:val="436"/>
        </w:numPr>
        <w:tabs>
          <w:tab w:val="left" w:pos="993"/>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Професійне вигорання: головні причини та способи боротьби. </w:t>
      </w:r>
      <w:r w:rsidRPr="00511005">
        <w:rPr>
          <w:rFonts w:ascii="Arial" w:eastAsia="Times New Roman" w:hAnsi="Arial" w:cs="Arial"/>
          <w:szCs w:val="28"/>
          <w:lang w:val="pl-PL"/>
        </w:rPr>
        <w:t>URL:</w:t>
      </w:r>
      <w:r w:rsidRPr="00511005">
        <w:rPr>
          <w:rFonts w:ascii="Arial" w:eastAsia="Times New Roman" w:hAnsi="Arial" w:cs="Arial"/>
          <w:szCs w:val="28"/>
          <w:lang w:val="uk-UA"/>
        </w:rPr>
        <w:t xml:space="preserve"> https://hurma.work/blog/05-2021-profesijne-vygorannya-golovni-prychyny-ta-sposoby-borotby/</w:t>
      </w:r>
    </w:p>
    <w:p w14:paraId="14B0676D" w14:textId="77777777" w:rsidR="003476F8" w:rsidRPr="00511005" w:rsidRDefault="003476F8" w:rsidP="003F6A5D">
      <w:pPr>
        <w:numPr>
          <w:ilvl w:val="0"/>
          <w:numId w:val="436"/>
        </w:numPr>
        <w:tabs>
          <w:tab w:val="left" w:pos="993"/>
        </w:tabs>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Репетун А.К. Проблема професійного вигорання педагогічних працівників закладів вищої освіти. </w:t>
      </w:r>
      <w:r w:rsidRPr="00511005">
        <w:rPr>
          <w:rFonts w:ascii="Arial" w:eastAsia="Times New Roman" w:hAnsi="Arial" w:cs="Arial"/>
          <w:i/>
          <w:iCs/>
          <w:szCs w:val="28"/>
          <w:lang w:val="uk-UA"/>
        </w:rPr>
        <w:t>Соціально-етичні та деонтологічні проблеми сучасної медицини (немедичні проблеми в медицині).</w:t>
      </w:r>
      <w:r w:rsidRPr="00511005">
        <w:rPr>
          <w:rFonts w:ascii="Arial" w:eastAsia="Times New Roman" w:hAnsi="Arial" w:cs="Arial"/>
          <w:szCs w:val="28"/>
          <w:lang w:val="uk-UA"/>
        </w:rPr>
        <w:t xml:space="preserve"> 2024. № 6. С.167-168.</w:t>
      </w:r>
    </w:p>
    <w:p w14:paraId="4E7C719A" w14:textId="77777777" w:rsidR="003476F8" w:rsidRPr="00511005" w:rsidRDefault="003476F8" w:rsidP="003F6A5D">
      <w:pPr>
        <w:numPr>
          <w:ilvl w:val="0"/>
          <w:numId w:val="436"/>
        </w:numPr>
        <w:tabs>
          <w:tab w:val="left" w:pos="993"/>
        </w:tabs>
        <w:spacing w:line="264" w:lineRule="auto"/>
        <w:ind w:left="0" w:firstLine="709"/>
        <w:contextualSpacing/>
        <w:jc w:val="left"/>
        <w:rPr>
          <w:rFonts w:ascii="Arial" w:eastAsia="Times New Roman" w:hAnsi="Arial" w:cs="Arial"/>
          <w:szCs w:val="28"/>
          <w:lang w:val="en-US"/>
        </w:rPr>
      </w:pPr>
      <w:r w:rsidRPr="00511005">
        <w:rPr>
          <w:rFonts w:ascii="Arial" w:eastAsia="Times New Roman" w:hAnsi="Arial" w:cs="Arial"/>
          <w:szCs w:val="28"/>
          <w:lang w:val="uk-UA"/>
        </w:rPr>
        <w:t>В</w:t>
      </w:r>
      <w:r w:rsidRPr="00511005">
        <w:rPr>
          <w:rFonts w:ascii="Arial" w:eastAsia="Times New Roman" w:hAnsi="Arial" w:cs="Arial"/>
          <w:szCs w:val="28"/>
          <w:lang w:val="en-US"/>
        </w:rPr>
        <w:t xml:space="preserve">urn-out an "occupational phenomenon": </w:t>
      </w:r>
      <w:r w:rsidRPr="00511005">
        <w:rPr>
          <w:rFonts w:ascii="Arial" w:eastAsia="Times New Roman" w:hAnsi="Arial" w:cs="Arial"/>
          <w:i/>
          <w:iCs/>
          <w:szCs w:val="28"/>
          <w:lang w:val="en-US"/>
        </w:rPr>
        <w:t>International Classification of Diseases. World Health Organization</w:t>
      </w:r>
      <w:r w:rsidRPr="00511005">
        <w:rPr>
          <w:rFonts w:ascii="Arial" w:eastAsia="Times New Roman" w:hAnsi="Arial" w:cs="Arial"/>
          <w:szCs w:val="28"/>
          <w:lang w:val="en-US"/>
        </w:rPr>
        <w:t>. URL: https://www.who.int/news/item/28-05-2019-burn-out-an-occupational-phenomenon-international-classification-of-diseases</w:t>
      </w:r>
    </w:p>
    <w:p w14:paraId="171EF2D8" w14:textId="77777777" w:rsidR="003476F8" w:rsidRPr="00511005" w:rsidRDefault="003476F8" w:rsidP="003A292D">
      <w:pPr>
        <w:spacing w:line="264" w:lineRule="auto"/>
        <w:rPr>
          <w:rFonts w:ascii="Arial" w:eastAsia="Times New Roman" w:hAnsi="Arial" w:cs="Arial"/>
          <w:b/>
          <w:bCs/>
          <w:i/>
          <w:iCs/>
          <w:szCs w:val="28"/>
          <w:lang w:val="uk-UA"/>
        </w:rPr>
      </w:pPr>
    </w:p>
    <w:p w14:paraId="19571067" w14:textId="7AAB361E" w:rsidR="003476F8" w:rsidRPr="00511005" w:rsidRDefault="007B2628" w:rsidP="003A292D">
      <w:pPr>
        <w:spacing w:line="264" w:lineRule="auto"/>
        <w:rPr>
          <w:rFonts w:ascii="Arial" w:eastAsia="Times New Roman" w:hAnsi="Arial" w:cs="Arial"/>
          <w:i/>
          <w:iCs/>
          <w:szCs w:val="28"/>
        </w:rPr>
      </w:pPr>
      <w:r w:rsidRPr="00511005">
        <w:rPr>
          <w:rFonts w:ascii="Arial" w:eastAsia="Times New Roman" w:hAnsi="Arial" w:cs="Arial"/>
          <w:b/>
          <w:bCs/>
          <w:i/>
          <w:iCs/>
          <w:szCs w:val="28"/>
          <w:lang w:val="uk-UA"/>
        </w:rPr>
        <w:t xml:space="preserve">Ключові слова: </w:t>
      </w:r>
      <w:r w:rsidR="003476F8" w:rsidRPr="00511005">
        <w:rPr>
          <w:rFonts w:ascii="Arial" w:eastAsia="Times New Roman" w:hAnsi="Arial" w:cs="Arial"/>
          <w:i/>
          <w:iCs/>
          <w:szCs w:val="28"/>
          <w:lang w:val="uk-UA"/>
        </w:rPr>
        <w:t>професійне вигорання, синдром, феномен вигорання, працівники, робота.</w:t>
      </w:r>
    </w:p>
    <w:p w14:paraId="3C1D0148" w14:textId="381BC288" w:rsidR="003476F8" w:rsidRPr="00511005" w:rsidRDefault="007B2628" w:rsidP="003A292D">
      <w:pPr>
        <w:spacing w:line="264" w:lineRule="auto"/>
        <w:rPr>
          <w:rFonts w:ascii="Arial" w:eastAsia="Times New Roman" w:hAnsi="Arial" w:cs="Arial"/>
          <w:i/>
          <w:iCs/>
          <w:szCs w:val="28"/>
          <w:lang w:val="uk-UA"/>
        </w:rPr>
      </w:pPr>
      <w:r w:rsidRPr="00511005">
        <w:rPr>
          <w:rFonts w:ascii="Arial" w:eastAsia="Times New Roman" w:hAnsi="Arial" w:cs="Arial"/>
          <w:b/>
          <w:bCs/>
          <w:i/>
          <w:iCs/>
          <w:szCs w:val="28"/>
          <w:lang w:val="uk-UA"/>
        </w:rPr>
        <w:t xml:space="preserve">Key words: </w:t>
      </w:r>
      <w:r w:rsidR="003476F8" w:rsidRPr="00511005">
        <w:rPr>
          <w:rFonts w:ascii="Arial" w:eastAsia="Times New Roman" w:hAnsi="Arial" w:cs="Arial"/>
          <w:i/>
          <w:iCs/>
          <w:szCs w:val="28"/>
          <w:lang w:val="uk-UA"/>
        </w:rPr>
        <w:t>professional burnout, syndrome, burnout phenomenon, employees, work.</w:t>
      </w:r>
    </w:p>
    <w:p w14:paraId="3FC6F408" w14:textId="0A255E41" w:rsidR="003476F8" w:rsidRPr="00511005" w:rsidRDefault="007B2628" w:rsidP="003A292D">
      <w:pPr>
        <w:spacing w:line="264" w:lineRule="auto"/>
        <w:ind w:left="709"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3476F8" w:rsidRPr="00511005">
        <w:rPr>
          <w:rFonts w:ascii="Arial" w:eastAsia="Times New Roman" w:hAnsi="Arial" w:cs="Arial"/>
          <w:i/>
          <w:iCs/>
          <w:szCs w:val="28"/>
          <w:lang w:val="uk-UA"/>
        </w:rPr>
        <w:t>к.ю.н., доцент Панченко А.О.</w:t>
      </w:r>
    </w:p>
    <w:p w14:paraId="4E8CBEAE" w14:textId="088664B8" w:rsidR="003476F8" w:rsidRPr="00511005" w:rsidRDefault="003476F8" w:rsidP="003A292D">
      <w:pPr>
        <w:spacing w:line="264" w:lineRule="auto"/>
        <w:rPr>
          <w:rFonts w:ascii="Arial" w:eastAsia="Times New Roman" w:hAnsi="Arial" w:cs="Arial"/>
          <w:szCs w:val="28"/>
          <w:lang w:val="uk-UA"/>
        </w:rPr>
      </w:pPr>
    </w:p>
    <w:p w14:paraId="26D29A3F" w14:textId="78742D96" w:rsidR="0087239D" w:rsidRPr="00511005" w:rsidRDefault="0087239D" w:rsidP="003A292D">
      <w:pPr>
        <w:spacing w:line="264" w:lineRule="auto"/>
        <w:rPr>
          <w:rFonts w:ascii="Arial" w:eastAsia="Times New Roman" w:hAnsi="Arial" w:cs="Arial"/>
          <w:szCs w:val="28"/>
          <w:lang w:val="uk-UA"/>
        </w:rPr>
      </w:pPr>
    </w:p>
    <w:p w14:paraId="0C89EE45" w14:textId="77777777" w:rsidR="003476F8" w:rsidRPr="00511005" w:rsidRDefault="003476F8"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Гилко</w:t>
      </w:r>
      <w:r w:rsidRPr="00511005">
        <w:rPr>
          <w:rFonts w:ascii="Arial" w:eastAsia="Calibri" w:hAnsi="Arial" w:cs="Arial"/>
          <w:b/>
          <w:i/>
          <w:szCs w:val="28"/>
        </w:rPr>
        <w:t xml:space="preserve"> </w:t>
      </w:r>
      <w:r w:rsidRPr="00511005">
        <w:rPr>
          <w:rFonts w:ascii="Arial" w:eastAsia="Calibri" w:hAnsi="Arial" w:cs="Arial"/>
          <w:b/>
          <w:i/>
          <w:szCs w:val="28"/>
          <w:lang w:val="uk-UA"/>
        </w:rPr>
        <w:t>Станіслав</w:t>
      </w:r>
      <w:r w:rsidRPr="00511005">
        <w:rPr>
          <w:rFonts w:ascii="Arial" w:eastAsia="Calibri" w:hAnsi="Arial" w:cs="Arial"/>
          <w:b/>
          <w:i/>
          <w:szCs w:val="28"/>
        </w:rPr>
        <w:t xml:space="preserve"> </w:t>
      </w:r>
      <w:r w:rsidRPr="00511005">
        <w:rPr>
          <w:rFonts w:ascii="Arial" w:eastAsia="Calibri" w:hAnsi="Arial" w:cs="Arial"/>
          <w:b/>
          <w:i/>
          <w:szCs w:val="28"/>
          <w:lang w:val="uk-UA"/>
        </w:rPr>
        <w:t>Русланович</w:t>
      </w:r>
    </w:p>
    <w:p w14:paraId="2286766E" w14:textId="2AB2104E" w:rsidR="003476F8"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 2-го курсу </w:t>
      </w:r>
      <w:r w:rsidR="001B7B25" w:rsidRPr="00511005">
        <w:rPr>
          <w:rFonts w:ascii="Arial" w:eastAsia="Calibri" w:hAnsi="Arial" w:cs="Arial"/>
          <w:szCs w:val="28"/>
          <w:lang w:val="uk-UA"/>
        </w:rPr>
        <w:t>факультету судового та міжнародного права</w:t>
      </w:r>
    </w:p>
    <w:p w14:paraId="1B7A17A1" w14:textId="532B68BB" w:rsidR="003476F8"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5E941C6" w14:textId="77777777" w:rsidR="003476F8" w:rsidRPr="00511005" w:rsidRDefault="003476F8" w:rsidP="003A292D">
      <w:pPr>
        <w:spacing w:line="264" w:lineRule="auto"/>
        <w:ind w:firstLine="0"/>
        <w:jc w:val="left"/>
        <w:rPr>
          <w:rFonts w:ascii="Arial" w:eastAsia="Calibri" w:hAnsi="Arial" w:cs="Arial"/>
          <w:szCs w:val="28"/>
          <w:lang w:val="uk-UA"/>
        </w:rPr>
      </w:pPr>
    </w:p>
    <w:p w14:paraId="508D0AF1"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ВІДСТРОЧКА ПРАЦІВНИКІВ ВІД МОБІЛІЗАЦІЇ: РОЛЬ РОБОТОДАВЦЯ ТА ЗАКОНОДАВЧІ ОБМЕЖЕННЯ</w:t>
      </w:r>
    </w:p>
    <w:p w14:paraId="4DE99A5D"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В умовах війни відстрочка від мобілізації стає необхідним інструментом для забезпечення функціонування критично важливих підприємств і установ, що забезпечують життєдіяльність населення та економічну стабільність держави. Однією з важливих складових цього процесу є роль роботодавця, який має забезпечити бронювання працівників, що є необхідним для належного виконання обов'язків та збереження критичної інфраструктури країни. </w:t>
      </w:r>
    </w:p>
    <w:p w14:paraId="15D3C152" w14:textId="57F13D8D"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Слід наголосити, що захист Вітчизни, збереження її незалежності та територіальної цілісності розглядаються в Основному Законі як спільний обов’язок усіх громадян України, водночас держава бере на себе </w:t>
      </w:r>
      <w:r w:rsidRPr="00511005">
        <w:rPr>
          <w:rFonts w:ascii="Arial" w:eastAsia="Calibri" w:hAnsi="Arial" w:cs="Arial"/>
          <w:szCs w:val="28"/>
          <w:lang w:val="uk-UA"/>
        </w:rPr>
        <w:lastRenderedPageBreak/>
        <w:t>відповідальність за соціальний захист військовослужбовців та їх родин, що підкреслює взаємну природу зобов’язань між громадянином і державою</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[1].</w:t>
      </w:r>
    </w:p>
    <w:p w14:paraId="77AC30F7" w14:textId="77777777" w:rsidR="003476F8" w:rsidRPr="00511005" w:rsidRDefault="003476F8"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Відповідно до Закону України «Про мобілізаційну підготовку та мобілізацію», певні категорії громадян можуть скористатися правом на відстрочку від призову під час мобілізації. </w:t>
      </w:r>
      <w:r w:rsidRPr="00511005">
        <w:rPr>
          <w:rFonts w:ascii="Arial" w:eastAsia="Times New Roman" w:hAnsi="Arial" w:cs="Arial"/>
          <w:szCs w:val="28"/>
        </w:rPr>
        <w:t>Серед таких осіб, зокрема, знаходяться працівники, які заброньовані за державними органами, підприємствами, установами та організаціями на час мобілізації та воєнного стану</w:t>
      </w:r>
      <w:r w:rsidRPr="00511005">
        <w:rPr>
          <w:rFonts w:ascii="Arial" w:eastAsia="Times New Roman" w:hAnsi="Arial" w:cs="Arial"/>
          <w:szCs w:val="28"/>
          <w:lang w:val="uk-UA"/>
        </w:rPr>
        <w:t xml:space="preserve">. </w:t>
      </w:r>
      <w:r w:rsidRPr="00511005">
        <w:rPr>
          <w:rFonts w:ascii="Arial" w:eastAsia="Calibri" w:hAnsi="Arial" w:cs="Arial"/>
          <w:szCs w:val="28"/>
          <w:lang w:val="uk-UA"/>
        </w:rPr>
        <w:t xml:space="preserve">Окрім них, право на відстрочку мають також, наприклад, особи з інвалідністю; опікуни осіб з інвалідністю та недієздатних осіб; особи, у яких на утриманні троє і більше дітей до 18 років; студенти, аспіранти, докторанти, які навчаються за денною чи дуальною формою, тощо </w:t>
      </w:r>
      <w:r w:rsidRPr="00511005">
        <w:rPr>
          <w:rFonts w:ascii="Arial" w:eastAsia="Times New Roman" w:hAnsi="Arial" w:cs="Arial"/>
          <w:szCs w:val="28"/>
          <w:lang w:val="uk-UA"/>
        </w:rPr>
        <w:t>[2].</w:t>
      </w:r>
    </w:p>
    <w:p w14:paraId="23DF6D31" w14:textId="77777777" w:rsidR="003476F8" w:rsidRPr="00511005" w:rsidRDefault="003476F8"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Роль роботодавця в цьому процесі є надзвичайно важливою, оскільки саме від нього залежить подача пропозицій щодо бронювання. Згідно з Порядком бронювання військовозобов'язаних на період мобілізації та воєнного часу, то установи, підприємства та організації, які є критично важливими для функціонування національної економіки та забезпечення життєдіяльності населення, мають право подати відповідні пропозиції щодо бронювання працівників [3, с.33].</w:t>
      </w:r>
    </w:p>
    <w:p w14:paraId="4D6CB536" w14:textId="77777777" w:rsidR="003476F8" w:rsidRPr="00511005" w:rsidRDefault="003476F8" w:rsidP="003A292D">
      <w:pPr>
        <w:spacing w:line="264" w:lineRule="auto"/>
        <w:ind w:firstLine="720"/>
        <w:rPr>
          <w:rFonts w:ascii="Arial" w:eastAsia="Times New Roman" w:hAnsi="Arial" w:cs="Arial"/>
          <w:szCs w:val="28"/>
        </w:rPr>
      </w:pPr>
      <w:r w:rsidRPr="00511005">
        <w:rPr>
          <w:rFonts w:ascii="Arial" w:eastAsia="Times New Roman" w:hAnsi="Arial" w:cs="Arial"/>
          <w:szCs w:val="28"/>
        </w:rPr>
        <w:t>З моменту переведення військовозобов'язаного на спеціальний військовий облік, він автоматично отримує статус заброньованого, що дає йому право на відстрочку від призову. Підтвердженням надання відстрочки є військово-обліковий документ в електронній формі або витяг про бронювання, який формується за заявою працівника через Портал Дія [</w:t>
      </w:r>
      <w:r w:rsidRPr="00511005">
        <w:rPr>
          <w:rFonts w:ascii="Arial" w:eastAsia="Times New Roman" w:hAnsi="Arial" w:cs="Arial"/>
          <w:szCs w:val="28"/>
          <w:lang w:val="uk-UA"/>
        </w:rPr>
        <w:t>4</w:t>
      </w:r>
      <w:r w:rsidRPr="00511005">
        <w:rPr>
          <w:rFonts w:ascii="Arial" w:eastAsia="Times New Roman" w:hAnsi="Arial" w:cs="Arial"/>
          <w:szCs w:val="28"/>
        </w:rPr>
        <w:t>, с.179-180].</w:t>
      </w:r>
    </w:p>
    <w:p w14:paraId="5E70AC3C" w14:textId="77777777" w:rsidR="003476F8" w:rsidRPr="00511005" w:rsidRDefault="003476F8" w:rsidP="003A292D">
      <w:pPr>
        <w:spacing w:line="264" w:lineRule="auto"/>
        <w:ind w:firstLine="720"/>
        <w:rPr>
          <w:rFonts w:ascii="Arial" w:eastAsia="Times New Roman" w:hAnsi="Arial" w:cs="Arial"/>
          <w:szCs w:val="28"/>
        </w:rPr>
      </w:pPr>
      <w:r w:rsidRPr="00511005">
        <w:rPr>
          <w:rFonts w:ascii="Arial" w:eastAsia="Times New Roman" w:hAnsi="Arial" w:cs="Arial"/>
          <w:szCs w:val="28"/>
        </w:rPr>
        <w:t>Процес бронювання працівників передбачає кілька етапів, яких має дотримуватися роботодавець. По-перше, необхідно визначити перелік осіб, що підлягають бронюванню, зважаючи на їх</w:t>
      </w:r>
      <w:r w:rsidRPr="00511005">
        <w:rPr>
          <w:rFonts w:ascii="Arial" w:eastAsia="Times New Roman" w:hAnsi="Arial" w:cs="Arial"/>
          <w:szCs w:val="28"/>
          <w:lang w:val="uk-UA"/>
        </w:rPr>
        <w:t xml:space="preserve"> </w:t>
      </w:r>
      <w:r w:rsidRPr="00511005">
        <w:rPr>
          <w:rFonts w:ascii="Arial" w:eastAsia="Times New Roman" w:hAnsi="Arial" w:cs="Arial"/>
          <w:szCs w:val="28"/>
        </w:rPr>
        <w:t>військово-облікову спеціальність та важливість для функціонування підприємства. Далі роботодавець повинен подати обґрунтовані пропозиції до відповідного органу державної влади або місцевого самоврядування, які після цього передаються до Генерального штабу Збройних Сил України для прийняття рішення. Після отримання погодження від органу влади, роботодавець видає наказ про бронювання працівників і інформує їх про надану відстрочку [</w:t>
      </w:r>
      <w:r w:rsidRPr="00511005">
        <w:rPr>
          <w:rFonts w:ascii="Arial" w:eastAsia="Times New Roman" w:hAnsi="Arial" w:cs="Arial"/>
          <w:szCs w:val="28"/>
          <w:lang w:val="uk-UA"/>
        </w:rPr>
        <w:t>2</w:t>
      </w:r>
      <w:r w:rsidRPr="00511005">
        <w:rPr>
          <w:rFonts w:ascii="Arial" w:eastAsia="Times New Roman" w:hAnsi="Arial" w:cs="Arial"/>
          <w:szCs w:val="28"/>
        </w:rPr>
        <w:t>].</w:t>
      </w:r>
    </w:p>
    <w:p w14:paraId="238C6EE9" w14:textId="77777777" w:rsidR="003476F8" w:rsidRPr="00511005" w:rsidRDefault="003476F8" w:rsidP="003A292D">
      <w:pPr>
        <w:spacing w:line="264" w:lineRule="auto"/>
        <w:ind w:firstLine="720"/>
        <w:rPr>
          <w:rFonts w:ascii="Arial" w:eastAsia="Calibri" w:hAnsi="Arial" w:cs="Arial"/>
          <w:szCs w:val="28"/>
        </w:rPr>
      </w:pPr>
      <w:r w:rsidRPr="00511005">
        <w:rPr>
          <w:rFonts w:ascii="Arial" w:eastAsia="Calibri" w:hAnsi="Arial" w:cs="Arial"/>
          <w:szCs w:val="28"/>
        </w:rPr>
        <w:t xml:space="preserve">Законодавство, що регулює мобілізацію та бронювання працівників, є динамічним і постійно адаптується до нових викликів. </w:t>
      </w:r>
      <w:r w:rsidRPr="00511005">
        <w:rPr>
          <w:rFonts w:ascii="Arial" w:eastAsia="Calibri" w:hAnsi="Arial" w:cs="Arial"/>
          <w:szCs w:val="28"/>
          <w:lang w:val="uk-UA"/>
        </w:rPr>
        <w:t xml:space="preserve">Так, </w:t>
      </w:r>
      <w:r w:rsidRPr="00511005">
        <w:rPr>
          <w:rFonts w:ascii="Arial" w:eastAsia="Calibri" w:hAnsi="Arial" w:cs="Arial"/>
          <w:szCs w:val="28"/>
        </w:rPr>
        <w:t xml:space="preserve">зокрема </w:t>
      </w:r>
      <w:r w:rsidRPr="00511005">
        <w:rPr>
          <w:rFonts w:ascii="Arial" w:eastAsia="Calibri" w:hAnsi="Arial" w:cs="Arial"/>
          <w:szCs w:val="28"/>
          <w:lang w:val="uk-UA"/>
        </w:rPr>
        <w:t xml:space="preserve">було </w:t>
      </w:r>
      <w:r w:rsidRPr="00511005">
        <w:rPr>
          <w:rFonts w:ascii="Arial" w:eastAsia="Calibri" w:hAnsi="Arial" w:cs="Arial"/>
          <w:szCs w:val="28"/>
        </w:rPr>
        <w:t>уточнено критерії для визначення підприємств, установ та організацій, що мають критичне значення для національної безпеки. Окрім того, було вдосконалено процедуру подання та розгляду пропозицій щодо бронювання, що має значний вплив на організацію мобілізаційного процесу [</w:t>
      </w:r>
      <w:r w:rsidRPr="00511005">
        <w:rPr>
          <w:rFonts w:ascii="Arial" w:eastAsia="Calibri" w:hAnsi="Arial" w:cs="Arial"/>
          <w:szCs w:val="28"/>
          <w:lang w:val="uk-UA"/>
        </w:rPr>
        <w:t>5</w:t>
      </w:r>
      <w:r w:rsidRPr="00511005">
        <w:rPr>
          <w:rFonts w:ascii="Arial" w:eastAsia="Calibri" w:hAnsi="Arial" w:cs="Arial"/>
          <w:szCs w:val="28"/>
        </w:rPr>
        <w:t>].</w:t>
      </w:r>
    </w:p>
    <w:p w14:paraId="5D87B6D0"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Отже, р</w:t>
      </w:r>
      <w:r w:rsidRPr="00511005">
        <w:rPr>
          <w:rFonts w:ascii="Arial" w:eastAsia="Calibri" w:hAnsi="Arial" w:cs="Arial"/>
          <w:szCs w:val="28"/>
        </w:rPr>
        <w:t>оботодавець відіграє важливу роль у забезпеченні відстрочки від мобілізації для своїх працівників через механізм бронювання. Така можливість надає працівникові низку переваг: збереження стабільного місця роботи та доходу в умовах воєнного стану, гарантію правового захисту від призову на військову службу під час дії броні, а також впевненість у подальшій професійній діяльності, що особливо важливо для осіб, залучених до критичної інфраструктури або важливих для економіки сфер.</w:t>
      </w:r>
      <w:r w:rsidRPr="00511005">
        <w:rPr>
          <w:rFonts w:ascii="Arial" w:eastAsia="Calibri" w:hAnsi="Arial" w:cs="Arial"/>
          <w:szCs w:val="28"/>
          <w:lang w:val="uk-UA"/>
        </w:rPr>
        <w:t xml:space="preserve"> </w:t>
      </w:r>
      <w:r w:rsidRPr="00511005">
        <w:rPr>
          <w:rFonts w:ascii="Arial" w:eastAsia="Calibri" w:hAnsi="Arial" w:cs="Arial"/>
          <w:szCs w:val="28"/>
        </w:rPr>
        <w:t xml:space="preserve">Однак цей процес вимагає чіткого дотримання встановлених процедур та врахування постійних змін у законодавстві. </w:t>
      </w:r>
      <w:r w:rsidRPr="00511005">
        <w:rPr>
          <w:rFonts w:ascii="Arial" w:eastAsia="Calibri" w:hAnsi="Arial" w:cs="Arial"/>
          <w:szCs w:val="28"/>
          <w:lang w:val="uk-UA"/>
        </w:rPr>
        <w:t>Порядок бронювання, відстрочки та мобілізації, потребують постійного вдосконалення з урахуванням реальних умов і викликів, що постають перед державою та її економікою в умовах воєнного стану.</w:t>
      </w:r>
    </w:p>
    <w:p w14:paraId="3A7D1F0E" w14:textId="77777777" w:rsidR="003476F8" w:rsidRPr="00511005" w:rsidRDefault="003476F8" w:rsidP="003A292D">
      <w:pPr>
        <w:keepNext/>
        <w:tabs>
          <w:tab w:val="left" w:pos="4836"/>
        </w:tabs>
        <w:spacing w:line="264" w:lineRule="auto"/>
        <w:ind w:firstLine="567"/>
        <w:jc w:val="center"/>
        <w:rPr>
          <w:rFonts w:ascii="Arial" w:eastAsia="Calibri" w:hAnsi="Arial" w:cs="Arial"/>
          <w:b/>
          <w:szCs w:val="28"/>
          <w:lang w:val="uk-UA"/>
        </w:rPr>
      </w:pPr>
    </w:p>
    <w:p w14:paraId="6D1D3F97" w14:textId="4A67CBBE" w:rsidR="003476F8" w:rsidRPr="00511005" w:rsidRDefault="007B2628" w:rsidP="007B2628">
      <w:pPr>
        <w:keepNext/>
        <w:tabs>
          <w:tab w:val="left" w:pos="4836"/>
        </w:tabs>
        <w:spacing w:line="264" w:lineRule="auto"/>
        <w:ind w:firstLine="567"/>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161D6617" w14:textId="77777777" w:rsidR="003476F8" w:rsidRPr="00511005" w:rsidRDefault="003476F8" w:rsidP="003F6A5D">
      <w:pPr>
        <w:numPr>
          <w:ilvl w:val="0"/>
          <w:numId w:val="438"/>
        </w:numPr>
        <w:spacing w:line="264" w:lineRule="auto"/>
        <w:ind w:left="0" w:firstLine="357"/>
        <w:contextualSpacing/>
        <w:jc w:val="left"/>
        <w:rPr>
          <w:rFonts w:ascii="Arial" w:eastAsia="Times New Roman" w:hAnsi="Arial" w:cs="Arial"/>
          <w:szCs w:val="28"/>
          <w:lang w:val="uk-UA"/>
        </w:rPr>
      </w:pPr>
      <w:r w:rsidRPr="00511005">
        <w:rPr>
          <w:rFonts w:ascii="Arial" w:eastAsia="Times New Roman" w:hAnsi="Arial" w:cs="Arial"/>
          <w:szCs w:val="28"/>
        </w:rPr>
        <w:t>Конституція України</w:t>
      </w:r>
      <w:r w:rsidRPr="00511005">
        <w:rPr>
          <w:rFonts w:ascii="Arial" w:eastAsia="Times New Roman" w:hAnsi="Arial" w:cs="Arial"/>
          <w:szCs w:val="28"/>
          <w:lang w:val="uk-UA"/>
        </w:rPr>
        <w:t xml:space="preserve">: Закон України від 28.06.1996 року </w:t>
      </w:r>
      <w:r w:rsidRPr="00511005">
        <w:rPr>
          <w:rFonts w:ascii="Arial" w:eastAsia="Calibri" w:hAnsi="Arial" w:cs="Arial"/>
          <w:szCs w:val="28"/>
          <w:shd w:val="clear" w:color="auto" w:fill="FFFFFF"/>
        </w:rPr>
        <w:t>№ </w:t>
      </w:r>
      <w:r w:rsidRPr="00511005">
        <w:rPr>
          <w:rFonts w:ascii="Arial" w:eastAsia="Calibri" w:hAnsi="Arial" w:cs="Arial"/>
          <w:b/>
          <w:bCs/>
          <w:szCs w:val="28"/>
          <w:shd w:val="clear" w:color="auto" w:fill="FFFFFF"/>
        </w:rPr>
        <w:t>254к/96-ВР</w:t>
      </w:r>
      <w:r w:rsidRPr="00511005">
        <w:rPr>
          <w:rFonts w:ascii="Arial" w:eastAsia="Calibri" w:hAnsi="Arial" w:cs="Arial"/>
          <w:b/>
          <w:bCs/>
          <w:szCs w:val="28"/>
          <w:shd w:val="clear" w:color="auto" w:fill="FFFFFF"/>
          <w:lang w:val="uk-UA"/>
        </w:rPr>
        <w:t xml:space="preserve">. </w:t>
      </w:r>
      <w:r w:rsidRPr="00511005">
        <w:rPr>
          <w:rFonts w:ascii="Arial" w:eastAsia="Calibri" w:hAnsi="Arial" w:cs="Arial"/>
          <w:b/>
          <w:bCs/>
          <w:i/>
          <w:szCs w:val="28"/>
          <w:shd w:val="clear" w:color="auto" w:fill="FFFFFF"/>
          <w:lang w:val="uk-UA"/>
        </w:rPr>
        <w:t>Відомості Верховної Ради України</w:t>
      </w:r>
      <w:r w:rsidRPr="00511005">
        <w:rPr>
          <w:rFonts w:ascii="Arial" w:eastAsia="Calibri" w:hAnsi="Arial" w:cs="Arial"/>
          <w:b/>
          <w:bCs/>
          <w:szCs w:val="28"/>
          <w:shd w:val="clear" w:color="auto" w:fill="FFFFFF"/>
          <w:lang w:val="uk-UA"/>
        </w:rPr>
        <w:t>. 1996. № 30. Ст. 141.</w:t>
      </w:r>
    </w:p>
    <w:p w14:paraId="00E238EE" w14:textId="77777777" w:rsidR="003476F8" w:rsidRPr="00511005" w:rsidRDefault="003476F8" w:rsidP="003F6A5D">
      <w:pPr>
        <w:numPr>
          <w:ilvl w:val="0"/>
          <w:numId w:val="438"/>
        </w:numPr>
        <w:spacing w:line="264" w:lineRule="auto"/>
        <w:ind w:left="0" w:firstLine="357"/>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Про мобілізаційну підготовку та мобілізацію: Закон України від 21.10. 1993 року </w:t>
      </w:r>
      <w:r w:rsidRPr="00511005">
        <w:rPr>
          <w:rFonts w:ascii="Arial" w:eastAsia="Calibri" w:hAnsi="Arial" w:cs="Arial"/>
          <w:szCs w:val="28"/>
          <w:shd w:val="clear" w:color="auto" w:fill="FFFFFF"/>
          <w:lang w:val="uk-UA"/>
        </w:rPr>
        <w:t>№</w:t>
      </w:r>
      <w:r w:rsidRPr="00511005">
        <w:rPr>
          <w:rFonts w:ascii="Arial" w:eastAsia="Calibri" w:hAnsi="Arial" w:cs="Arial"/>
          <w:szCs w:val="28"/>
          <w:shd w:val="clear" w:color="auto" w:fill="FFFFFF"/>
        </w:rPr>
        <w:t> </w:t>
      </w:r>
      <w:r w:rsidRPr="00511005">
        <w:rPr>
          <w:rFonts w:ascii="Arial" w:eastAsia="Calibri" w:hAnsi="Arial" w:cs="Arial"/>
          <w:b/>
          <w:bCs/>
          <w:szCs w:val="28"/>
          <w:shd w:val="clear" w:color="auto" w:fill="FFFFFF"/>
          <w:lang w:val="uk-UA"/>
        </w:rPr>
        <w:t>3543-</w:t>
      </w:r>
      <w:r w:rsidRPr="00511005">
        <w:rPr>
          <w:rFonts w:ascii="Arial" w:eastAsia="Calibri" w:hAnsi="Arial" w:cs="Arial"/>
          <w:b/>
          <w:bCs/>
          <w:szCs w:val="28"/>
          <w:shd w:val="clear" w:color="auto" w:fill="FFFFFF"/>
        </w:rPr>
        <w:t>XII</w:t>
      </w:r>
      <w:r w:rsidRPr="00511005">
        <w:rPr>
          <w:rFonts w:ascii="Arial" w:eastAsia="Times New Roman" w:hAnsi="Arial" w:cs="Arial"/>
          <w:i/>
          <w:szCs w:val="28"/>
          <w:lang w:val="uk-UA"/>
        </w:rPr>
        <w:t xml:space="preserve">. </w:t>
      </w:r>
      <w:r w:rsidRPr="00511005">
        <w:rPr>
          <w:rFonts w:ascii="Arial" w:eastAsia="Calibri" w:hAnsi="Arial" w:cs="Arial"/>
          <w:b/>
          <w:bCs/>
          <w:i/>
          <w:szCs w:val="28"/>
          <w:shd w:val="clear" w:color="auto" w:fill="FFFFFF"/>
          <w:lang w:val="uk-UA"/>
        </w:rPr>
        <w:t>Відомості Верховної Ради України</w:t>
      </w:r>
      <w:r w:rsidRPr="00511005">
        <w:rPr>
          <w:rFonts w:ascii="Arial" w:eastAsia="Calibri" w:hAnsi="Arial" w:cs="Arial"/>
          <w:b/>
          <w:bCs/>
          <w:szCs w:val="28"/>
          <w:shd w:val="clear" w:color="auto" w:fill="FFFFFF"/>
          <w:lang w:val="uk-UA"/>
        </w:rPr>
        <w:t>. 1993. № 44. Ст. 416.</w:t>
      </w:r>
    </w:p>
    <w:p w14:paraId="01AEBB43" w14:textId="77777777" w:rsidR="003476F8" w:rsidRPr="00511005" w:rsidRDefault="003476F8" w:rsidP="003F6A5D">
      <w:pPr>
        <w:numPr>
          <w:ilvl w:val="0"/>
          <w:numId w:val="438"/>
        </w:numPr>
        <w:spacing w:line="264" w:lineRule="auto"/>
        <w:ind w:left="0" w:firstLine="357"/>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Сердюк В. В. Особливості бронювання та надання відстрочки окремим категоріям громадян під час мобілізації. </w:t>
      </w:r>
      <w:r w:rsidRPr="00511005">
        <w:rPr>
          <w:rFonts w:ascii="Arial" w:eastAsia="Times New Roman" w:hAnsi="Arial" w:cs="Arial"/>
          <w:i/>
          <w:szCs w:val="28"/>
          <w:lang w:val="uk-UA"/>
        </w:rPr>
        <w:t>Актуальні питання розвитку аграрного та земельного права: національний і міжнародний вимір : матеріали Всеукр. наук.-практ. конф. магістрантів і молодих дослідників</w:t>
      </w:r>
      <w:r w:rsidRPr="00511005">
        <w:rPr>
          <w:rFonts w:ascii="Arial" w:eastAsia="Times New Roman" w:hAnsi="Arial" w:cs="Arial"/>
          <w:szCs w:val="28"/>
          <w:lang w:val="uk-UA"/>
        </w:rPr>
        <w:t>. 2024. С. 33–35.</w:t>
      </w:r>
    </w:p>
    <w:p w14:paraId="2752A0AE" w14:textId="0EF1773C" w:rsidR="003476F8" w:rsidRPr="00511005" w:rsidRDefault="003476F8" w:rsidP="003F6A5D">
      <w:pPr>
        <w:numPr>
          <w:ilvl w:val="0"/>
          <w:numId w:val="438"/>
        </w:numPr>
        <w:spacing w:line="264" w:lineRule="auto"/>
        <w:ind w:left="0" w:firstLine="357"/>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Томляк Т. С., Суліма О. В. Відстрочка від призову на військову службу під час мобілізації: актуальні питання та судова практика. </w:t>
      </w:r>
      <w:r w:rsidRPr="00511005">
        <w:rPr>
          <w:rFonts w:ascii="Arial" w:eastAsia="Times New Roman" w:hAnsi="Arial" w:cs="Arial"/>
          <w:i/>
          <w:szCs w:val="28"/>
          <w:lang w:val="uk-UA"/>
        </w:rPr>
        <w:t>Наука і Техніка</w:t>
      </w:r>
      <w:r w:rsidRPr="00511005">
        <w:rPr>
          <w:rFonts w:ascii="Arial" w:eastAsia="Times New Roman" w:hAnsi="Arial" w:cs="Arial"/>
          <w:szCs w:val="28"/>
          <w:lang w:val="uk-UA"/>
        </w:rPr>
        <w:t>.</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2024.</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С. 179–201.</w:t>
      </w:r>
    </w:p>
    <w:p w14:paraId="27EB000D" w14:textId="77777777" w:rsidR="003476F8" w:rsidRPr="00511005" w:rsidRDefault="003476F8" w:rsidP="003F6A5D">
      <w:pPr>
        <w:numPr>
          <w:ilvl w:val="0"/>
          <w:numId w:val="438"/>
        </w:numPr>
        <w:spacing w:line="264" w:lineRule="auto"/>
        <w:ind w:left="0" w:firstLine="357"/>
        <w:contextualSpacing/>
        <w:jc w:val="left"/>
        <w:rPr>
          <w:rFonts w:ascii="Arial" w:eastAsia="Times New Roman" w:hAnsi="Arial" w:cs="Arial"/>
          <w:szCs w:val="28"/>
          <w:lang w:val="uk-UA"/>
        </w:rPr>
      </w:pPr>
      <w:r w:rsidRPr="00511005">
        <w:rPr>
          <w:rFonts w:ascii="Arial" w:eastAsia="Calibri" w:hAnsi="Arial" w:cs="Arial"/>
          <w:szCs w:val="28"/>
          <w:shd w:val="clear" w:color="auto" w:fill="FFFFFF"/>
          <w:lang w:val="uk-UA"/>
        </w:rPr>
        <w:t>Деякі питання реалізації положень Закону України «Про мобілізаційну підготовку та мобілізацію» щодо бронювання військовозобов’язаних на період мобілізації та на воєнний час</w:t>
      </w:r>
      <w:r w:rsidRPr="00511005">
        <w:rPr>
          <w:rFonts w:ascii="Arial" w:eastAsia="Times New Roman" w:hAnsi="Arial" w:cs="Arial"/>
          <w:szCs w:val="28"/>
          <w:lang w:val="uk-UA"/>
        </w:rPr>
        <w:t xml:space="preserve">: Постанова Кабінету Міністрів України від 27.01. 2023 року № 76. </w:t>
      </w:r>
      <w:r w:rsidRPr="00511005">
        <w:rPr>
          <w:rFonts w:ascii="Arial" w:eastAsia="Times New Roman" w:hAnsi="Arial" w:cs="Arial"/>
          <w:i/>
          <w:szCs w:val="28"/>
          <w:lang w:val="uk-UA"/>
        </w:rPr>
        <w:t>Офіційний Вісник України.</w:t>
      </w:r>
      <w:r w:rsidRPr="00511005">
        <w:rPr>
          <w:rFonts w:ascii="Arial" w:eastAsia="Times New Roman" w:hAnsi="Arial" w:cs="Arial"/>
          <w:szCs w:val="28"/>
          <w:lang w:val="uk-UA"/>
        </w:rPr>
        <w:t xml:space="preserve"> 2023. №15. Ст. 940.</w:t>
      </w:r>
    </w:p>
    <w:p w14:paraId="7D6DACD3" w14:textId="77777777" w:rsidR="003476F8" w:rsidRPr="00511005" w:rsidRDefault="003476F8" w:rsidP="003A292D">
      <w:pPr>
        <w:keepNext/>
        <w:spacing w:line="264" w:lineRule="auto"/>
        <w:ind w:firstLine="567"/>
        <w:rPr>
          <w:rFonts w:ascii="Arial" w:eastAsia="Calibri" w:hAnsi="Arial" w:cs="Arial"/>
          <w:b/>
          <w:szCs w:val="28"/>
          <w:lang w:val="uk-UA"/>
        </w:rPr>
      </w:pPr>
    </w:p>
    <w:p w14:paraId="738C28C0" w14:textId="0A52030A" w:rsidR="003476F8" w:rsidRPr="00511005" w:rsidRDefault="007B2628" w:rsidP="003A292D">
      <w:pPr>
        <w:keepNext/>
        <w:spacing w:line="264" w:lineRule="auto"/>
        <w:ind w:firstLine="567"/>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3476F8" w:rsidRPr="00511005">
        <w:rPr>
          <w:rFonts w:ascii="Arial" w:eastAsia="Calibri" w:hAnsi="Arial" w:cs="Arial"/>
          <w:szCs w:val="28"/>
          <w:lang w:val="uk-UA"/>
        </w:rPr>
        <w:t>працівник, роботодавець, бронювання працівників, трудові права, трудові права під час мобілізації, трудове законодавство.</w:t>
      </w:r>
    </w:p>
    <w:p w14:paraId="63044D5A" w14:textId="63D63EA8" w:rsidR="003476F8" w:rsidRPr="00511005" w:rsidRDefault="007B2628" w:rsidP="003A292D">
      <w:pPr>
        <w:keepNext/>
        <w:spacing w:line="264" w:lineRule="auto"/>
        <w:ind w:firstLine="567"/>
        <w:rPr>
          <w:rFonts w:ascii="Arial" w:eastAsia="Calibri" w:hAnsi="Arial" w:cs="Arial"/>
          <w:szCs w:val="28"/>
          <w:lang w:val="uk-UA"/>
        </w:rPr>
      </w:pPr>
      <w:r w:rsidRPr="00511005">
        <w:rPr>
          <w:rFonts w:ascii="Arial" w:eastAsia="Calibri" w:hAnsi="Arial" w:cs="Arial"/>
          <w:b/>
          <w:i/>
          <w:szCs w:val="28"/>
          <w:lang w:val="en-US"/>
        </w:rPr>
        <w:t xml:space="preserve">Key words: </w:t>
      </w:r>
      <w:r w:rsidR="003476F8" w:rsidRPr="00511005">
        <w:rPr>
          <w:rFonts w:ascii="Arial" w:eastAsia="Calibri" w:hAnsi="Arial" w:cs="Arial"/>
          <w:bCs/>
          <w:szCs w:val="28"/>
          <w:lang w:val="uk-UA"/>
        </w:rPr>
        <w:t>employee, employer, employee reservation, labo</w:t>
      </w:r>
      <w:r w:rsidR="003476F8" w:rsidRPr="00511005">
        <w:rPr>
          <w:rFonts w:ascii="Arial" w:eastAsia="Calibri" w:hAnsi="Arial" w:cs="Arial"/>
          <w:bCs/>
          <w:szCs w:val="28"/>
          <w:lang w:val="en-US"/>
        </w:rPr>
        <w:t>u</w:t>
      </w:r>
      <w:r w:rsidR="003476F8" w:rsidRPr="00511005">
        <w:rPr>
          <w:rFonts w:ascii="Arial" w:eastAsia="Calibri" w:hAnsi="Arial" w:cs="Arial"/>
          <w:bCs/>
          <w:szCs w:val="28"/>
          <w:lang w:val="uk-UA"/>
        </w:rPr>
        <w:t>r rights, labo</w:t>
      </w:r>
      <w:r w:rsidR="003476F8" w:rsidRPr="00511005">
        <w:rPr>
          <w:rFonts w:ascii="Arial" w:eastAsia="Calibri" w:hAnsi="Arial" w:cs="Arial"/>
          <w:bCs/>
          <w:szCs w:val="28"/>
          <w:lang w:val="en-US"/>
        </w:rPr>
        <w:t>u</w:t>
      </w:r>
      <w:r w:rsidR="003476F8" w:rsidRPr="00511005">
        <w:rPr>
          <w:rFonts w:ascii="Arial" w:eastAsia="Calibri" w:hAnsi="Arial" w:cs="Arial"/>
          <w:bCs/>
          <w:szCs w:val="28"/>
          <w:lang w:val="uk-UA"/>
        </w:rPr>
        <w:t>r rights during mobilization, labo</w:t>
      </w:r>
      <w:r w:rsidR="003476F8" w:rsidRPr="00511005">
        <w:rPr>
          <w:rFonts w:ascii="Arial" w:eastAsia="Calibri" w:hAnsi="Arial" w:cs="Arial"/>
          <w:bCs/>
          <w:szCs w:val="28"/>
          <w:lang w:val="en-US"/>
        </w:rPr>
        <w:t>u</w:t>
      </w:r>
      <w:r w:rsidR="003476F8" w:rsidRPr="00511005">
        <w:rPr>
          <w:rFonts w:ascii="Arial" w:eastAsia="Calibri" w:hAnsi="Arial" w:cs="Arial"/>
          <w:bCs/>
          <w:szCs w:val="28"/>
          <w:lang w:val="uk-UA"/>
        </w:rPr>
        <w:t>r legislation</w:t>
      </w:r>
    </w:p>
    <w:p w14:paraId="37185C6C" w14:textId="7524E841" w:rsidR="003476F8" w:rsidRPr="00511005" w:rsidRDefault="007B2628" w:rsidP="003A292D">
      <w:pPr>
        <w:keepNext/>
        <w:spacing w:line="264" w:lineRule="auto"/>
        <w:ind w:firstLine="567"/>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3476F8" w:rsidRPr="00511005">
        <w:rPr>
          <w:rFonts w:ascii="Arial" w:eastAsia="Calibri" w:hAnsi="Arial" w:cs="Arial"/>
          <w:bCs/>
          <w:i/>
          <w:iCs/>
          <w:szCs w:val="28"/>
          <w:lang w:val="uk-UA"/>
        </w:rPr>
        <w:t>к.ю.н., доцент Наньєва М.І.</w:t>
      </w:r>
    </w:p>
    <w:p w14:paraId="3C9E7633" w14:textId="2723FF00" w:rsidR="003476F8" w:rsidRPr="00511005" w:rsidRDefault="003476F8" w:rsidP="003A292D">
      <w:pPr>
        <w:spacing w:line="264" w:lineRule="auto"/>
        <w:ind w:firstLine="0"/>
        <w:jc w:val="left"/>
        <w:rPr>
          <w:rFonts w:ascii="Arial" w:eastAsia="Calibri" w:hAnsi="Arial" w:cs="Arial"/>
          <w:b/>
          <w:szCs w:val="28"/>
          <w:lang w:val="uk-UA"/>
        </w:rPr>
      </w:pPr>
    </w:p>
    <w:p w14:paraId="2AFA7247" w14:textId="77777777" w:rsidR="0087239D" w:rsidRPr="00511005" w:rsidRDefault="0087239D" w:rsidP="003A292D">
      <w:pPr>
        <w:spacing w:line="264" w:lineRule="auto"/>
        <w:ind w:firstLine="0"/>
        <w:jc w:val="left"/>
        <w:rPr>
          <w:rFonts w:ascii="Arial" w:eastAsia="Calibri" w:hAnsi="Arial" w:cs="Arial"/>
          <w:b/>
          <w:szCs w:val="28"/>
          <w:lang w:val="uk-UA"/>
        </w:rPr>
      </w:pPr>
    </w:p>
    <w:p w14:paraId="0110EA8E" w14:textId="77777777" w:rsidR="00A54AC2" w:rsidRDefault="00A54AC2">
      <w:pPr>
        <w:spacing w:after="200" w:line="276" w:lineRule="auto"/>
        <w:ind w:firstLine="0"/>
        <w:jc w:val="left"/>
        <w:rPr>
          <w:rFonts w:ascii="Arial" w:eastAsia="Times New Roman" w:hAnsi="Arial" w:cs="Arial"/>
          <w:b/>
          <w:bCs/>
          <w:szCs w:val="28"/>
          <w:lang w:val="uk-UA"/>
        </w:rPr>
      </w:pPr>
      <w:r>
        <w:rPr>
          <w:rFonts w:ascii="Arial" w:eastAsia="Times New Roman" w:hAnsi="Arial" w:cs="Arial"/>
          <w:b/>
          <w:bCs/>
          <w:szCs w:val="28"/>
          <w:lang w:val="uk-UA"/>
        </w:rPr>
        <w:br w:type="page"/>
      </w:r>
    </w:p>
    <w:p w14:paraId="64DE1003" w14:textId="1CC9B427" w:rsidR="003476F8" w:rsidRPr="00511005" w:rsidRDefault="003476F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b/>
          <w:bCs/>
          <w:szCs w:val="28"/>
          <w:lang w:val="uk-UA"/>
        </w:rPr>
        <w:lastRenderedPageBreak/>
        <w:t>Гордієнко Валерія Сергіївна</w:t>
      </w:r>
    </w:p>
    <w:p w14:paraId="361926BF" w14:textId="77777777" w:rsidR="003476F8" w:rsidRPr="00511005" w:rsidRDefault="003476F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студентка 2-го курсу</w:t>
      </w:r>
    </w:p>
    <w:p w14:paraId="7DF03730" w14:textId="17C9E032" w:rsidR="003476F8"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факультету адвокатури та антикорупційної діяльності</w:t>
      </w:r>
    </w:p>
    <w:p w14:paraId="0382296C" w14:textId="1F8A50DC" w:rsidR="003476F8" w:rsidRPr="00511005" w:rsidRDefault="003476F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Національного університету </w:t>
      </w:r>
      <w:r w:rsidR="00A54AC2">
        <w:rPr>
          <w:rFonts w:ascii="Arial" w:eastAsia="Times New Roman" w:hAnsi="Arial" w:cs="Arial"/>
          <w:szCs w:val="28"/>
          <w:lang w:val="uk-UA"/>
        </w:rPr>
        <w:t>«</w:t>
      </w:r>
      <w:r w:rsidRPr="00511005">
        <w:rPr>
          <w:rFonts w:ascii="Arial" w:eastAsia="Times New Roman" w:hAnsi="Arial" w:cs="Arial"/>
          <w:szCs w:val="28"/>
          <w:lang w:val="uk-UA"/>
        </w:rPr>
        <w:t>Одеська юридична академія</w:t>
      </w:r>
      <w:r w:rsidR="00A54AC2">
        <w:rPr>
          <w:rFonts w:ascii="Arial" w:eastAsia="Times New Roman" w:hAnsi="Arial" w:cs="Arial"/>
          <w:szCs w:val="28"/>
          <w:lang w:val="uk-UA"/>
        </w:rPr>
        <w:t>»</w:t>
      </w:r>
    </w:p>
    <w:p w14:paraId="337BC6D0" w14:textId="77777777" w:rsidR="003476F8" w:rsidRPr="00511005" w:rsidRDefault="003476F8" w:rsidP="003A292D">
      <w:pPr>
        <w:spacing w:line="264" w:lineRule="auto"/>
        <w:ind w:firstLine="0"/>
        <w:rPr>
          <w:rFonts w:ascii="Arial" w:eastAsia="Times New Roman" w:hAnsi="Arial" w:cs="Arial"/>
          <w:szCs w:val="28"/>
          <w:lang w:val="uk-UA"/>
        </w:rPr>
      </w:pPr>
    </w:p>
    <w:p w14:paraId="2E86E458" w14:textId="77777777" w:rsidR="003476F8" w:rsidRPr="00511005" w:rsidRDefault="003476F8"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КОНТРАКТ ЯК ОСОБЛИВА ФОРМА ТРУДОВОГО ДОГОВОРУ</w:t>
      </w:r>
    </w:p>
    <w:p w14:paraId="070C8FBA"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В умовах ринкової економіки відбулися значні трансформації як в економічній сфері, так і в законодавстві, що регулює трудові відносини. Ринок праці в Україні передбачає використання різноманітних правових інструментів для залучення працівників, серед яких важливе місце посідає контракт, що є однією з форм трудового договору.</w:t>
      </w:r>
    </w:p>
    <w:p w14:paraId="07F27BDC"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Стаття 43 Конституції України гарантує кожному право на працю, що означає можливість забезпечувати себе завдяки вільно обраній або погодженій роботі. Працівники реалізують це право, укладаючи трудовий договір з підприємством, установою, організацією чи фізичною особою, включаючи контрактну форму.</w:t>
      </w:r>
    </w:p>
    <w:p w14:paraId="7C865D9E"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Законодавчим актом, що започаткував в Україні контрактну форму трудового договору, став Закон УРСР від 20 березня 1991 року «Про внесення змін і доповнень до Кодексу законів про працю Української РСР при переході республіки до ринкової економіки». Введення трудового контракту та виникнення на його основі трудових правовідносин було детерміновано прагненням роботодавців залучати до трудової діяльності працівників, які володіють найвищим рівнем кваліфікації та компетенції. </w:t>
      </w:r>
    </w:p>
    <w:p w14:paraId="49C2672A"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Частина 3 статті 21 Кодексу законів про працю України (далі – КЗпП України) визначає контракт як особливу форму трудового договору, яка відрізняється тим, що всі ключові аспекти трудових відносин – термін дії, права та обов'язки сторін, відповідальність, умови оплати праці та її організації, а також умови припинення дії договору, зокрема й достроково, – встановлюються за взаємною домовленістю. Застосування контрактної форми в трудових відносинах пояснюється прагненням роботодавців залучати найбільш кваліфікованих працівників та забезпечувати більший захист власних інтересів. Такий вид трудового договору сприяє більш раціональному управлінню чисельністю та професійним складом працівників, а також покращенню структури зайнятості [3, с. 101].</w:t>
      </w:r>
    </w:p>
    <w:p w14:paraId="41FC9E55"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Основна мета контракту полягає у створенні сприятливого середовища для прояву ініціативи та самостійності працівників, повноцінного використання їхніх індивідуальних здібностей і професійних навичок, а також у підвищенні рівня взаємної відповідальності. Водночас контракт має гарантувати правовий і соціальний захист працівників. У контракті детально визначаються обсяг, якість і терміни виконання робіт, строк його дії, права, обов'язки та відповідальність сторін, умови оплати та організації праці, підстави для розірвання, а також соціально-побутові та </w:t>
      </w:r>
      <w:r w:rsidRPr="00511005">
        <w:rPr>
          <w:rFonts w:ascii="Arial" w:eastAsia="Times New Roman" w:hAnsi="Arial" w:cs="Arial"/>
          <w:szCs w:val="28"/>
          <w:lang w:val="uk-UA"/>
        </w:rPr>
        <w:lastRenderedPageBreak/>
        <w:t>інші умови, необхідні для виконання сторонами взятих на себе зобов'язань. У цьому полягає сутність і призначення контракту в сфері трудового права.</w:t>
      </w:r>
    </w:p>
    <w:p w14:paraId="1353082F"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Аналізуючи юридичну природу трудового контракту, окремі дослідники вказують на те, що він є однією з форм строкового трудового договору. Так, на думку В. І. Прокопенка, контракт являє собою строкову трудову угоду, яка може укладатися як для виконання робіт тимчасового характеру, так і для робіт, що мають постійний або тривалий характер. Водночас, будучи строковою трудовою угодою, контракт, на його переконання, не становить окремої форми трудового договору [4, с. 112].</w:t>
      </w:r>
    </w:p>
    <w:p w14:paraId="736DBCBA"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В. С. Венедіктов висловлює протилежну думку, стверджуючи, що контракт не є повністю ідентичним строковому трудовому договору. Він звертає увагу на частину 2 статті 23 КЗпП України, де вказано, що строковий договір укладається лише тоді, коли неможливо встановити безстрокові трудові відносини через специфіку майбутньої роботи, умови її виконання або інтереси працівника, а також в інших випадках, визначених законом. Таким чином, на відміну від строкового трудового договору, робота за контрактом зазвичай є постійною. Унікальність визначення строку в контракті полягає в тому, що його закінчення і пов'язані з цим юридичні наслідки залежать від виконання інших умов, передбачених контрактом, а також від взаємної згоди сторін. Зазвичай законодавство не встановлює жодних часових обмежень (мінімальних чи максимальних) для дії контракту, і ці питання вирішуються за домовленістю між сторонами [1, с. 52].</w:t>
      </w:r>
    </w:p>
    <w:p w14:paraId="53EE1A9D"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На думку С. М. Прилипка, контракт справедливо розглядається як особливий регулятор трудових відносин, будучи специфічною формою трудового договору, яка дає змогу детально прописувати умови матеріального забезпечення, зміст трудової діяльності, відповідальність сторін та інші важливі аспекти. Це підкреслює, що трудовий контракт є особливою формою трудової угоди з характерними відмінностями від трудового договору [3, с. 3].</w:t>
      </w:r>
    </w:p>
    <w:p w14:paraId="707FDA5D"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Завдяки контракту з’являється можливість якісно налагодити трудові відносини в ринковому середовищі, заохочуючи працівників до більш відповідального та творчого підходу до виконання завдань, що сприяє впровадженню інновацій на виробництві.</w:t>
      </w:r>
    </w:p>
    <w:p w14:paraId="73E9201D"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Необхідно зазначити негативну тенденцію використання контрактної форми трудового договору, яка створює дисбаланс у трудових відносинах на користь роботодавця. Працівник опиняється в залежному становищі через можливість безперешкодного розірвання контракту з боку керівництва як до, так і після закінчення його дії. Юридична складність оскарження таких звільнень обумовлена правом сторін визначати додаткові підстави для розірвання та законністю звільнення у зв’язку із закінченням строку дії контракту. Ініціатива роботодавця щодо укладення контрактів поза межами законодавчо встановлених випадків призводить до послаблення гарантій </w:t>
      </w:r>
      <w:r w:rsidRPr="00511005">
        <w:rPr>
          <w:rFonts w:ascii="Arial" w:eastAsia="Times New Roman" w:hAnsi="Arial" w:cs="Arial"/>
          <w:szCs w:val="28"/>
          <w:lang w:val="uk-UA"/>
        </w:rPr>
        <w:lastRenderedPageBreak/>
        <w:t>права на працю, оскільки згода працівника в умовах нестабільного ринку праці часто не є вільною.</w:t>
      </w:r>
    </w:p>
    <w:p w14:paraId="5181DBF7"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Таким чином, аналіз наведеного дозволяє констатувати, що в сучасних економічних умовах контракт є ефективним засобом правового регулювання відносин із суб'єктом трудового права – працівником. Умови укладення трудового контракту можуть відрізнятися від положень трудового договору, проте це не є підставою для віднесення сфери трудових відносин до галузі цивільного права. Контракт у трудовому праві слід розглядати як особливий вид трудового договору, в якому значно більше умов у його змісті визначаються за угодою сторін. Його застосування спрямоване на забезпечення сприятливих умов для реалізації ініціативи та самостійності працівника з урахуванням його індивідуальних професійних якостей, підвищення рівня взаємної відповідальності та гарантування правового і соціального захисту. Окрім того, контракт є гнучкою формою регулювання трудових відносин, що забезпечує їх адаптивність, розширює свободу договірних відносин шляхом встановлення положень, що не врегульовані законодавством, запровадження нових соціальних гарантій та режимів організації праці.</w:t>
      </w:r>
    </w:p>
    <w:p w14:paraId="7DE06E11" w14:textId="77777777" w:rsidR="003476F8" w:rsidRPr="00511005" w:rsidRDefault="003476F8" w:rsidP="003A292D">
      <w:pPr>
        <w:spacing w:line="264" w:lineRule="auto"/>
        <w:rPr>
          <w:rFonts w:ascii="Arial" w:eastAsia="Times New Roman" w:hAnsi="Arial" w:cs="Arial"/>
          <w:b/>
          <w:bCs/>
          <w:szCs w:val="28"/>
          <w:lang w:val="uk-UA"/>
        </w:rPr>
      </w:pPr>
    </w:p>
    <w:p w14:paraId="25EB6C20" w14:textId="1D32D787" w:rsidR="003476F8" w:rsidRPr="00511005" w:rsidRDefault="007B2628" w:rsidP="007B2628">
      <w:pPr>
        <w:spacing w:line="264" w:lineRule="auto"/>
        <w:jc w:val="center"/>
        <w:rPr>
          <w:rFonts w:ascii="Arial" w:eastAsia="Times New Roman" w:hAnsi="Arial" w:cs="Arial"/>
          <w:szCs w:val="28"/>
          <w:lang w:val="uk-UA"/>
        </w:rPr>
      </w:pPr>
      <w:r w:rsidRPr="00511005">
        <w:rPr>
          <w:rFonts w:ascii="Arial" w:eastAsia="Times New Roman" w:hAnsi="Arial" w:cs="Arial"/>
          <w:b/>
          <w:bCs/>
          <w:szCs w:val="28"/>
          <w:lang w:val="uk-UA"/>
        </w:rPr>
        <w:t>Список використаних джерел</w:t>
      </w:r>
    </w:p>
    <w:p w14:paraId="539FDB78"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1. Венедіктов В. С. Правові питання юридичної природи контракту як підстави для виникнення службово-трудових відносин. </w:t>
      </w:r>
      <w:r w:rsidRPr="00511005">
        <w:rPr>
          <w:rFonts w:ascii="Arial" w:eastAsia="Times New Roman" w:hAnsi="Arial" w:cs="Arial"/>
          <w:i/>
          <w:iCs/>
          <w:szCs w:val="28"/>
          <w:lang w:val="uk-UA"/>
        </w:rPr>
        <w:t>Право і безпека</w:t>
      </w:r>
      <w:r w:rsidRPr="00511005">
        <w:rPr>
          <w:rFonts w:ascii="Arial" w:eastAsia="Times New Roman" w:hAnsi="Arial" w:cs="Arial"/>
          <w:szCs w:val="28"/>
          <w:lang w:val="uk-UA"/>
        </w:rPr>
        <w:t>. 2002. Т.1. № 4. С. 52-54.</w:t>
      </w:r>
    </w:p>
    <w:p w14:paraId="36B36E40"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2. Пашаєв К. М. Контракт як особлива форма трудового договору. Радіоелектроніка та молодь у ХХІ столітті : матеріали 23 Міжнар. молодіж. форуму, 16–18 квітня 2019 р. Харків : ХНУРЕ, 2019. Т. 8. С. 101-102.</w:t>
      </w:r>
    </w:p>
    <w:p w14:paraId="1C99570F"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3. Прилипко С. М. Трудовий контракт у законодавстві України: автореф. дис. ... канд. юрид. наук: спец. 12.00.05. Харків, 1995. 16 с.</w:t>
      </w:r>
    </w:p>
    <w:p w14:paraId="41AD8AB4"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4. Прокопенко В. I. Трудове право України: підруч. Xарків: Консум, 1998. 480 с.</w:t>
      </w:r>
    </w:p>
    <w:p w14:paraId="39AEF455" w14:textId="7177A289" w:rsidR="003476F8"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3476F8" w:rsidRPr="00511005">
        <w:rPr>
          <w:rFonts w:ascii="Arial" w:eastAsia="Times New Roman" w:hAnsi="Arial" w:cs="Arial"/>
          <w:szCs w:val="28"/>
          <w:lang w:val="uk-UA"/>
        </w:rPr>
        <w:t>трудове право, трудовий договір, контракт, працівник, роботодавець.</w:t>
      </w:r>
    </w:p>
    <w:p w14:paraId="07E02BA9" w14:textId="735F9950" w:rsidR="003476F8"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3476F8" w:rsidRPr="00511005">
        <w:rPr>
          <w:rFonts w:ascii="Arial" w:eastAsia="Times New Roman" w:hAnsi="Arial" w:cs="Arial"/>
          <w:szCs w:val="28"/>
          <w:lang w:val="uk-UA"/>
        </w:rPr>
        <w:t>labor law, employment contract, contract, employee, employer.</w:t>
      </w:r>
    </w:p>
    <w:p w14:paraId="3DF7B083" w14:textId="108285DA" w:rsidR="003476F8"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bCs/>
          <w:i/>
          <w:szCs w:val="28"/>
          <w:lang w:val="uk-UA"/>
        </w:rPr>
        <w:t xml:space="preserve">Науковий керівник: </w:t>
      </w:r>
      <w:r w:rsidR="003476F8" w:rsidRPr="00511005">
        <w:rPr>
          <w:rFonts w:ascii="Arial" w:eastAsia="Times New Roman" w:hAnsi="Arial" w:cs="Arial"/>
          <w:szCs w:val="28"/>
          <w:lang w:val="uk-UA"/>
        </w:rPr>
        <w:t>д.ю.н., професор Чанишева Г.І.</w:t>
      </w:r>
    </w:p>
    <w:p w14:paraId="1D4BFA1A" w14:textId="06C67737" w:rsidR="0087239D" w:rsidRPr="00511005" w:rsidRDefault="0087239D" w:rsidP="003A292D">
      <w:pPr>
        <w:spacing w:line="264" w:lineRule="auto"/>
        <w:rPr>
          <w:rFonts w:ascii="Arial" w:eastAsia="Times New Roman" w:hAnsi="Arial" w:cs="Arial"/>
          <w:szCs w:val="28"/>
          <w:lang w:val="uk-UA"/>
        </w:rPr>
      </w:pPr>
    </w:p>
    <w:p w14:paraId="06D81C33" w14:textId="77777777" w:rsidR="0087239D" w:rsidRPr="00511005" w:rsidRDefault="0087239D" w:rsidP="003A292D">
      <w:pPr>
        <w:spacing w:line="264" w:lineRule="auto"/>
        <w:rPr>
          <w:rFonts w:ascii="Arial" w:eastAsia="Times New Roman" w:hAnsi="Arial" w:cs="Arial"/>
          <w:szCs w:val="28"/>
          <w:lang w:val="uk-UA"/>
        </w:rPr>
      </w:pPr>
    </w:p>
    <w:p w14:paraId="52BE09BA" w14:textId="77777777" w:rsidR="00A54AC2" w:rsidRDefault="00A54AC2">
      <w:pPr>
        <w:spacing w:after="200" w:line="276" w:lineRule="auto"/>
        <w:ind w:firstLine="0"/>
        <w:jc w:val="left"/>
        <w:rPr>
          <w:rFonts w:ascii="Arial" w:eastAsia="Times New Roman" w:hAnsi="Arial" w:cs="Arial"/>
          <w:b/>
          <w:i/>
          <w:szCs w:val="28"/>
          <w:lang w:val="uk-UA" w:eastAsia="uk-UA"/>
        </w:rPr>
      </w:pPr>
      <w:bookmarkStart w:id="192" w:name="_9ni95jbl8092" w:colFirst="0" w:colLast="0"/>
      <w:bookmarkEnd w:id="192"/>
      <w:r>
        <w:rPr>
          <w:rFonts w:ascii="Arial" w:eastAsia="Times New Roman" w:hAnsi="Arial" w:cs="Arial"/>
          <w:b/>
          <w:i/>
          <w:szCs w:val="28"/>
          <w:lang w:val="uk-UA" w:eastAsia="uk-UA"/>
        </w:rPr>
        <w:br w:type="page"/>
      </w:r>
    </w:p>
    <w:p w14:paraId="1EBB652C" w14:textId="184CBB66" w:rsidR="003476F8" w:rsidRPr="00511005" w:rsidRDefault="003476F8" w:rsidP="003A292D">
      <w:pPr>
        <w:keepNext/>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lastRenderedPageBreak/>
        <w:t>Гуменюк Анастасія Олегівна</w:t>
      </w:r>
    </w:p>
    <w:p w14:paraId="162500F5" w14:textId="4C736647" w:rsidR="003476F8"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2-го курсу факультету адвокатури та антикорупційної діяльності</w:t>
      </w:r>
      <w:r w:rsidR="003476F8" w:rsidRPr="00511005">
        <w:rPr>
          <w:rFonts w:ascii="Arial" w:eastAsia="Times New Roman" w:hAnsi="Arial" w:cs="Arial"/>
          <w:szCs w:val="28"/>
          <w:lang w:val="uk-UA" w:eastAsia="uk-UA"/>
        </w:rPr>
        <w:br/>
      </w:r>
      <w:r w:rsidR="007B2628" w:rsidRPr="00511005">
        <w:rPr>
          <w:rFonts w:ascii="Arial" w:eastAsia="Times New Roman" w:hAnsi="Arial" w:cs="Arial"/>
          <w:szCs w:val="28"/>
          <w:lang w:val="uk-UA" w:eastAsia="uk-UA"/>
        </w:rPr>
        <w:t>Національного університету «Одеська юридична академія»</w:t>
      </w:r>
    </w:p>
    <w:p w14:paraId="24A284C8" w14:textId="77777777" w:rsidR="003476F8" w:rsidRPr="00511005" w:rsidRDefault="003476F8" w:rsidP="003A292D">
      <w:pPr>
        <w:spacing w:line="264" w:lineRule="auto"/>
        <w:ind w:firstLine="0"/>
        <w:jc w:val="center"/>
        <w:rPr>
          <w:rFonts w:ascii="Arial" w:eastAsia="Times New Roman" w:hAnsi="Arial" w:cs="Arial"/>
          <w:szCs w:val="28"/>
          <w:lang w:val="uk-UA" w:eastAsia="uk-UA"/>
        </w:rPr>
      </w:pPr>
    </w:p>
    <w:p w14:paraId="09CCB4F7" w14:textId="77777777" w:rsidR="003476F8" w:rsidRPr="00511005" w:rsidRDefault="003476F8"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ТРУДОВІ ПРАВА ТА ОБОВʼЯЗКИ ПРАЦІВНИКА</w:t>
      </w:r>
    </w:p>
    <w:p w14:paraId="0D472613" w14:textId="77777777" w:rsidR="003476F8" w:rsidRPr="00511005" w:rsidRDefault="003476F8"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ПІД ЧАС ВОЄННОГО СТАНУ</w:t>
      </w:r>
    </w:p>
    <w:p w14:paraId="7D8C5F2C" w14:textId="77777777" w:rsidR="003476F8" w:rsidRPr="00511005" w:rsidRDefault="003476F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У зв’язку з триваючим воєнним станом в Україні, запровадженим у 2022 році внаслідок повномасштабного вторгнення, трудові відносини зазнали суттєвих змін. Воєнна ситуація змусила законодавця оперативно реагувати на нові виклики, що виникають у сфері праці, адже необхідно не лише забезпечити безперервність економічної діяльності та функціонування підприємств, а й гарантувати дотримання трудових прав працівників в умовах, наближених до надзвичайних. З огляду на це, дослідження трудових прав та обов’язків працівника під час воєнного стану є надзвичайно актуальним, оскільки відображає не лише юридичну динаміку, але й соціально-економічну стійкість країни.</w:t>
      </w:r>
    </w:p>
    <w:p w14:paraId="0D2C04A3" w14:textId="7420260E" w:rsidR="003476F8" w:rsidRPr="00511005" w:rsidRDefault="003476F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У період дії воєнного стану відбувається трансформація трудових прав працівників.</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Воєнний стан, з одного боку, вимагає гнучкості у регулюванні трудових відносин (labour relations), а з іншого — не може стати підставою для повного ігнорування основоположних трудових гарантій. Основним нормативно-правовим актом, який регулює трудові відносини у цей період, є Закон України «Про організацію трудових відносин в умовах воєнного стану» № 2136-IX від 15.03.2022 р. [1].</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 ньому закріплено низку специфічних норм, які адаптують трудове законодавство до викликів часу.</w:t>
      </w:r>
    </w:p>
    <w:p w14:paraId="6CBA992F" w14:textId="230D4B50"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Зокрема, ст. 6 цього Закону передбачає можливість тимчасового призупинення дії трудового договору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з ініціативи будь-якої зі сторін, якщо виконання обов’язків стало неможливим через воєнні дії. Водночас, призупинення трудового договору не припиняє трудові відносини, а лише ставить їх на паузу. Це дозволяє працівникам зберігати зв’язок із роботодавцем і в майбутньому повернутись до своїх обов’язків [1].</w:t>
      </w:r>
      <w:r w:rsidRPr="00511005">
        <w:rPr>
          <w:rFonts w:ascii="Arial" w:eastAsia="Times New Roman" w:hAnsi="Arial" w:cs="Arial"/>
          <w:szCs w:val="28"/>
          <w:lang w:eastAsia="uk-UA"/>
        </w:rPr>
        <w:t xml:space="preserve"> </w:t>
      </w:r>
      <w:r w:rsidRPr="00511005">
        <w:rPr>
          <w:rFonts w:ascii="Arial" w:eastAsia="Times New Roman" w:hAnsi="Arial" w:cs="Arial"/>
          <w:szCs w:val="28"/>
          <w:lang w:val="uk-UA" w:eastAsia="uk-UA"/>
        </w:rPr>
        <w:t>Проте, як вважає</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О.В. Пожарова, у деяких випадках запровадження «призупинення дії трудового договору» </w:t>
      </w:r>
      <w:r w:rsidRPr="00511005">
        <w:rPr>
          <w:rFonts w:ascii="Arial" w:eastAsia="Times New Roman" w:hAnsi="Arial" w:cs="Arial"/>
          <w:szCs w:val="28"/>
          <w:shd w:val="clear" w:color="auto" w:fill="FFFFFF"/>
          <w:lang w:val="uk-UA" w:eastAsia="uk-UA"/>
        </w:rPr>
        <w:t xml:space="preserve">призвело до загострення конфліктів між працівниками та роботодавцями, що підтверджує судова практика </w:t>
      </w:r>
      <w:r w:rsidRPr="00511005">
        <w:rPr>
          <w:rFonts w:ascii="Arial" w:eastAsia="Times New Roman" w:hAnsi="Arial" w:cs="Arial"/>
          <w:szCs w:val="28"/>
          <w:lang w:val="uk-UA" w:eastAsia="uk-UA"/>
        </w:rPr>
        <w:t>[2, с. 705]</w:t>
      </w:r>
      <w:r w:rsidRPr="00511005">
        <w:rPr>
          <w:rFonts w:ascii="Arial" w:eastAsia="Times New Roman" w:hAnsi="Arial" w:cs="Arial"/>
          <w:szCs w:val="28"/>
          <w:shd w:val="clear" w:color="auto" w:fill="FFFFFF"/>
          <w:lang w:val="uk-UA" w:eastAsia="uk-UA"/>
        </w:rPr>
        <w:t>.</w:t>
      </w:r>
      <w:r w:rsidRPr="00511005">
        <w:rPr>
          <w:rFonts w:ascii="Arial" w:eastAsia="Times New Roman" w:hAnsi="Arial" w:cs="Arial"/>
          <w:szCs w:val="28"/>
          <w:lang w:val="uk-UA" w:eastAsia="uk-UA"/>
        </w:rPr>
        <w:t xml:space="preserve"> </w:t>
      </w:r>
    </w:p>
    <w:p w14:paraId="4D939436"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Щодо обов’язків працівників в умовах воєнного стану,</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то у</w:t>
      </w:r>
      <w:r w:rsidRPr="00511005">
        <w:rPr>
          <w:rFonts w:ascii="Arial" w:eastAsia="Times New Roman" w:hAnsi="Arial" w:cs="Arial"/>
          <w:b/>
          <w:szCs w:val="28"/>
          <w:lang w:val="uk-UA" w:eastAsia="uk-UA"/>
        </w:rPr>
        <w:t xml:space="preserve"> </w:t>
      </w:r>
      <w:r w:rsidRPr="00511005">
        <w:rPr>
          <w:rFonts w:ascii="Arial" w:eastAsia="Times New Roman" w:hAnsi="Arial" w:cs="Arial"/>
          <w:szCs w:val="28"/>
          <w:lang w:val="uk-UA" w:eastAsia="uk-UA"/>
        </w:rPr>
        <w:t xml:space="preserve">воєнний час відповідальність працівника зростає, оскільки зміна умов праці вимагає швидкої адаптації до нових форматів: віддаленої роботи (remote work), нестандартного графіку, зміни посадових обов’язків. </w:t>
      </w:r>
    </w:p>
    <w:p w14:paraId="31A9CA70" w14:textId="77777777" w:rsidR="003476F8" w:rsidRPr="00511005" w:rsidRDefault="003476F8" w:rsidP="003A292D">
      <w:pPr>
        <w:spacing w:line="264" w:lineRule="auto"/>
        <w:ind w:firstLine="360"/>
        <w:rPr>
          <w:rFonts w:ascii="Arial" w:eastAsia="Times New Roman" w:hAnsi="Arial" w:cs="Arial"/>
          <w:szCs w:val="28"/>
          <w:lang w:val="uk-UA" w:eastAsia="uk-UA"/>
        </w:rPr>
      </w:pPr>
      <w:r w:rsidRPr="00511005">
        <w:rPr>
          <w:rFonts w:ascii="Arial" w:eastAsia="Times New Roman" w:hAnsi="Arial" w:cs="Arial"/>
          <w:szCs w:val="28"/>
          <w:lang w:val="uk-UA" w:eastAsia="uk-UA"/>
        </w:rPr>
        <w:t>Працівник зобов’язаний:</w:t>
      </w:r>
    </w:p>
    <w:p w14:paraId="59C7F6F7" w14:textId="77777777" w:rsidR="003476F8" w:rsidRPr="00511005" w:rsidRDefault="003476F8" w:rsidP="003F6A5D">
      <w:pPr>
        <w:numPr>
          <w:ilvl w:val="0"/>
          <w:numId w:val="439"/>
        </w:numPr>
        <w:spacing w:line="264" w:lineRule="auto"/>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виконувати розпорядження роботодавця, що не суперечать законодавству;</w:t>
      </w:r>
    </w:p>
    <w:p w14:paraId="675A381F" w14:textId="77777777" w:rsidR="003476F8" w:rsidRPr="00511005" w:rsidRDefault="003476F8" w:rsidP="003F6A5D">
      <w:pPr>
        <w:numPr>
          <w:ilvl w:val="0"/>
          <w:numId w:val="439"/>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забезпечувати дотримання норм внутрішнього трудового розпорядку навіть у дистанційному форматі;</w:t>
      </w:r>
    </w:p>
    <w:p w14:paraId="0B27E7AA" w14:textId="77777777" w:rsidR="003476F8" w:rsidRPr="00511005" w:rsidRDefault="003476F8" w:rsidP="003F6A5D">
      <w:pPr>
        <w:numPr>
          <w:ilvl w:val="0"/>
          <w:numId w:val="439"/>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сприяти збереженню майна підприємства, особливо в умовах евакуації або релокації;</w:t>
      </w:r>
    </w:p>
    <w:p w14:paraId="14EF158A" w14:textId="77777777" w:rsidR="003476F8" w:rsidRPr="00511005" w:rsidRDefault="003476F8" w:rsidP="003F6A5D">
      <w:pPr>
        <w:numPr>
          <w:ilvl w:val="0"/>
          <w:numId w:val="439"/>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своєчасно інформувати роботодавця про неможливість виконання обов’язків через об’єктивні причини (переміщення, небезпека для життя тощо).</w:t>
      </w:r>
    </w:p>
    <w:p w14:paraId="331A0C20"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Слід зазначити, що трудова дисципліна (labour discipline) у період воєнного стану стає ключовим фактором стабільності колективної праці. У цей час працівник виконує не лише функціональні обов’язки, а й фактично бере участь у збереженні життєдіяльності організації та підтримці економіки країни.</w:t>
      </w:r>
    </w:p>
    <w:p w14:paraId="094FFBEC"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Попри обмеження в умовах воєнного стану, працівник не втрачає основних трудових прав (labour rights), а саме:</w:t>
      </w:r>
    </w:p>
    <w:p w14:paraId="5C804D79" w14:textId="77777777" w:rsidR="003476F8" w:rsidRPr="00511005" w:rsidRDefault="003476F8" w:rsidP="003F6A5D">
      <w:pPr>
        <w:numPr>
          <w:ilvl w:val="0"/>
          <w:numId w:val="440"/>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право на оплату праці, відповідно до обсягу виконаної роботи;</w:t>
      </w:r>
    </w:p>
    <w:p w14:paraId="4128F266" w14:textId="77777777" w:rsidR="003476F8" w:rsidRPr="00511005" w:rsidRDefault="003476F8" w:rsidP="003F6A5D">
      <w:pPr>
        <w:numPr>
          <w:ilvl w:val="0"/>
          <w:numId w:val="440"/>
        </w:numPr>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право на щорічну відпустку (можливе обмеження тривалості, але не повне скасування);</w:t>
      </w:r>
    </w:p>
    <w:p w14:paraId="5AE80BEB" w14:textId="77777777" w:rsidR="003476F8" w:rsidRPr="00511005" w:rsidRDefault="003476F8" w:rsidP="003F6A5D">
      <w:pPr>
        <w:numPr>
          <w:ilvl w:val="0"/>
          <w:numId w:val="440"/>
        </w:numPr>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право на безпечні умови праці (відповідальність за які несе роботодавець);</w:t>
      </w:r>
    </w:p>
    <w:p w14:paraId="131E208C" w14:textId="77777777" w:rsidR="003476F8" w:rsidRPr="00511005" w:rsidRDefault="003476F8" w:rsidP="003F6A5D">
      <w:pPr>
        <w:numPr>
          <w:ilvl w:val="0"/>
          <w:numId w:val="440"/>
        </w:numPr>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право на захист від незаконного звільнення;</w:t>
      </w:r>
    </w:p>
    <w:p w14:paraId="05D35D1A" w14:textId="77777777" w:rsidR="003476F8" w:rsidRPr="00511005" w:rsidRDefault="003476F8" w:rsidP="003F6A5D">
      <w:pPr>
        <w:numPr>
          <w:ilvl w:val="0"/>
          <w:numId w:val="440"/>
        </w:numPr>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право на збереження місця роботи у разі мобілізації (mobilization) або залучення до обов’язків територіальної оборони [3].</w:t>
      </w:r>
    </w:p>
    <w:p w14:paraId="18A75171"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Окремо варто згадати роль колективних договорів, які залишаються чинними і можуть містити додаткові гарантії для працівників. Наприклад, окремі підприємства беруть на себе зобов’язання виплачувати надбавки працівникам, які продовжують виконувати обов’язки під час бойових дій [4, с. 204].</w:t>
      </w:r>
    </w:p>
    <w:p w14:paraId="65EC08DB"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Воєнний стан значно поширив практику дистанційної роботи (remote work). Законодавство оперативно адаптувалося до цієї форми: запроваджено електронний документообіг (electronic document workflow), спрощено процедуру погодження змін до договору, дозволено використання цифрового підпису (digital signature). Це дало змогу зберегти продуктивність праці в умовах фізичної віддаленості та загроз безпеці [5].</w:t>
      </w:r>
    </w:p>
    <w:p w14:paraId="2B1CAB3A"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сучасних реаліях також зростає значення внутрішньої мобільності працівників. Роботодавець має право тимчасово перевести працівника на іншу роботу без його згоди, якщо це обумовлено воєнною необхідністю (ст. 3 Закону №2136-IX). При цьому не допускається переведення на роботу, що загрожує життю чи здоров’ю працівника.</w:t>
      </w:r>
    </w:p>
    <w:p w14:paraId="05E1989B" w14:textId="77777777" w:rsidR="003476F8" w:rsidRPr="00511005" w:rsidRDefault="003476F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Отже, система трудових правовідносин у період воєнного стану демонструє гнучкість, адаптивність, але водночас і потребу в збереженні балансу між інтересами роботодавця та гарантіями для працівника. Незважаючи на нові виклики, законодавство України намагається захистити людину праці як цінність, а не лише як ресурс. У цьому проявляється не лише правова, але й гуманістична функція трудового права.</w:t>
      </w:r>
    </w:p>
    <w:p w14:paraId="3AA81F31" w14:textId="77777777" w:rsidR="003476F8" w:rsidRPr="00511005" w:rsidRDefault="003476F8" w:rsidP="003A292D">
      <w:pPr>
        <w:spacing w:line="264" w:lineRule="auto"/>
        <w:ind w:firstLine="0"/>
        <w:jc w:val="center"/>
        <w:rPr>
          <w:rFonts w:ascii="Arial" w:eastAsia="Times New Roman" w:hAnsi="Arial" w:cs="Arial"/>
          <w:b/>
          <w:szCs w:val="28"/>
          <w:lang w:val="uk-UA" w:eastAsia="uk-UA"/>
        </w:rPr>
      </w:pPr>
    </w:p>
    <w:p w14:paraId="5EC16D12" w14:textId="3ACE656F" w:rsidR="003476F8"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3D823650" w14:textId="72361822"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1. Про організацію трудових відносин в умовах воєнного стану: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Закон України від 15.03.2022 р. № 2136-IX. URL:</w:t>
      </w:r>
      <w:r w:rsidR="007B2628" w:rsidRPr="00511005">
        <w:rPr>
          <w:rFonts w:ascii="Arial" w:eastAsia="Times New Roman" w:hAnsi="Arial" w:cs="Arial"/>
          <w:szCs w:val="28"/>
          <w:lang w:val="uk-UA" w:eastAsia="uk-UA"/>
        </w:rPr>
        <w:t xml:space="preserve"> </w:t>
      </w:r>
      <w:hyperlink r:id="rId1671" w:anchor="Text" w:tgtFrame="_new" w:history="1">
        <w:r w:rsidRPr="00511005">
          <w:rPr>
            <w:rFonts w:ascii="Arial" w:eastAsia="Times New Roman" w:hAnsi="Arial" w:cs="Arial"/>
            <w:szCs w:val="28"/>
            <w:lang w:val="uk-UA" w:eastAsia="uk-UA"/>
          </w:rPr>
          <w:t>https://zakon.rada.gov.ua/laws/show/2136-20#Text</w:t>
        </w:r>
      </w:hyperlink>
      <w:r w:rsidRPr="00511005">
        <w:rPr>
          <w:rFonts w:ascii="Arial" w:eastAsia="Times New Roman" w:hAnsi="Arial" w:cs="Arial"/>
          <w:szCs w:val="28"/>
          <w:lang w:val="uk-UA" w:eastAsia="uk-UA"/>
        </w:rPr>
        <w:t xml:space="preserve"> (дата звернення: 07.05.2025).</w:t>
      </w:r>
    </w:p>
    <w:p w14:paraId="476A6EAF" w14:textId="77777777" w:rsidR="003476F8" w:rsidRPr="00511005" w:rsidRDefault="003476F8" w:rsidP="003A292D">
      <w:pPr>
        <w:autoSpaceDE w:val="0"/>
        <w:autoSpaceDN w:val="0"/>
        <w:adjustRightInd w:val="0"/>
        <w:spacing w:line="264" w:lineRule="auto"/>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Пожарова О.В. Особливості припинення трудових відносин в умовах воєнного стану. </w:t>
      </w:r>
      <w:r w:rsidRPr="00511005">
        <w:rPr>
          <w:rFonts w:ascii="Arial" w:eastAsia="Times New Roman" w:hAnsi="Arial" w:cs="Arial"/>
          <w:bCs/>
          <w:i/>
          <w:szCs w:val="28"/>
          <w:lang w:val="uk-UA" w:eastAsia="uk-UA"/>
        </w:rPr>
        <w:t>Актуальні виклики розвитку юридичної науки і практики в умовах воєнного стану та повоєнної відбудови</w:t>
      </w:r>
      <w:r w:rsidRPr="00511005">
        <w:rPr>
          <w:rFonts w:ascii="Arial" w:eastAsia="Times New Roman" w:hAnsi="Arial" w:cs="Arial"/>
          <w:b/>
          <w:bCs/>
          <w:szCs w:val="28"/>
          <w:lang w:val="uk-UA" w:eastAsia="uk-UA"/>
        </w:rPr>
        <w:t xml:space="preserve">: </w:t>
      </w:r>
      <w:r w:rsidRPr="00511005">
        <w:rPr>
          <w:rFonts w:ascii="Arial" w:eastAsia="Times New Roman" w:hAnsi="Arial" w:cs="Arial"/>
          <w:szCs w:val="28"/>
          <w:lang w:val="uk-UA" w:eastAsia="uk-UA"/>
        </w:rPr>
        <w:t xml:space="preserve">матеріали Міжнародної науково-практичної конференції </w:t>
      </w:r>
      <w:r w:rsidRPr="00511005">
        <w:rPr>
          <w:rFonts w:ascii="Arial" w:eastAsia="Times New Roman" w:hAnsi="Arial" w:cs="Arial"/>
          <w:i/>
          <w:iCs/>
          <w:szCs w:val="28"/>
          <w:lang w:val="uk-UA" w:eastAsia="uk-UA"/>
        </w:rPr>
        <w:t>(2 травня 2024 року)</w:t>
      </w:r>
      <w:r w:rsidRPr="00511005">
        <w:rPr>
          <w:rFonts w:ascii="Arial" w:eastAsia="Times New Roman" w:hAnsi="Arial" w:cs="Arial"/>
          <w:szCs w:val="28"/>
          <w:lang w:val="uk-UA" w:eastAsia="uk-UA"/>
        </w:rPr>
        <w:t xml:space="preserve">: ел. збірник. Київ: Видавництво Людмила, 2024. </w:t>
      </w:r>
      <w:r w:rsidRPr="00511005">
        <w:rPr>
          <w:rFonts w:ascii="Arial" w:eastAsia="Times New Roman" w:hAnsi="Arial" w:cs="Arial"/>
          <w:szCs w:val="28"/>
          <w:lang w:eastAsia="uk-UA"/>
        </w:rPr>
        <w:t>С. 704-705.</w:t>
      </w:r>
    </w:p>
    <w:p w14:paraId="5924FE53" w14:textId="77777777" w:rsidR="003476F8" w:rsidRPr="00511005" w:rsidRDefault="003476F8" w:rsidP="003A292D">
      <w:pPr>
        <w:spacing w:line="264" w:lineRule="auto"/>
        <w:contextualSpacing/>
        <w:rPr>
          <w:rFonts w:ascii="Arial" w:eastAsia="Times New Roman" w:hAnsi="Arial" w:cs="Arial"/>
          <w:bCs/>
          <w:szCs w:val="28"/>
          <w:lang w:val="uk-UA" w:eastAsia="uk-UA"/>
        </w:rPr>
      </w:pPr>
      <w:r w:rsidRPr="00511005">
        <w:rPr>
          <w:rFonts w:ascii="Arial" w:eastAsia="Times New Roman" w:hAnsi="Arial" w:cs="Arial"/>
          <w:szCs w:val="28"/>
          <w:lang w:val="uk-UA" w:eastAsia="uk-UA"/>
        </w:rPr>
        <w:t>3. Кодекс законів про працю України від 10.12.1971 № 322-VIII : станом на 1 січ. 2025 р. URL: https://zakon.rada.gov.ua/laws/show/322-08#Text (дата звернення: 07.05.2025)</w:t>
      </w:r>
    </w:p>
    <w:p w14:paraId="7B3D8C51"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Козлова Я. М. Трудові права працівників в умовах воєнного стану в Україні. </w:t>
      </w:r>
      <w:r w:rsidRPr="00511005">
        <w:rPr>
          <w:rFonts w:ascii="Arial" w:eastAsia="Times New Roman" w:hAnsi="Arial" w:cs="Arial"/>
          <w:i/>
          <w:szCs w:val="28"/>
          <w:lang w:val="uk-UA" w:eastAsia="uk-UA"/>
        </w:rPr>
        <w:t>Юридичний науковий електронний журнал</w:t>
      </w:r>
      <w:r w:rsidRPr="00511005">
        <w:rPr>
          <w:rFonts w:ascii="Arial" w:eastAsia="Times New Roman" w:hAnsi="Arial" w:cs="Arial"/>
          <w:szCs w:val="28"/>
          <w:lang w:val="uk-UA" w:eastAsia="uk-UA"/>
        </w:rPr>
        <w:t>. 2023. № 2. С. 134–138.</w:t>
      </w:r>
    </w:p>
    <w:p w14:paraId="033CFB49"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5. Пилипенко О. П. Новели трудового законодавства в умовах воєнного стану: правовий аналіз. </w:t>
      </w:r>
      <w:r w:rsidRPr="00511005">
        <w:rPr>
          <w:rFonts w:ascii="Arial" w:eastAsia="Times New Roman" w:hAnsi="Arial" w:cs="Arial"/>
          <w:i/>
          <w:szCs w:val="28"/>
          <w:lang w:val="uk-UA" w:eastAsia="uk-UA"/>
        </w:rPr>
        <w:t>Актуальні проблеми держави і права</w:t>
      </w:r>
      <w:r w:rsidRPr="00511005">
        <w:rPr>
          <w:rFonts w:ascii="Arial" w:eastAsia="Times New Roman" w:hAnsi="Arial" w:cs="Arial"/>
          <w:szCs w:val="28"/>
          <w:lang w:val="uk-UA" w:eastAsia="uk-UA"/>
        </w:rPr>
        <w:t>. 2022. Вип. 96. С. 201–207.</w:t>
      </w:r>
    </w:p>
    <w:p w14:paraId="5580DCBC" w14:textId="77777777" w:rsidR="003476F8" w:rsidRPr="00511005" w:rsidRDefault="003476F8" w:rsidP="003A292D">
      <w:pPr>
        <w:spacing w:line="264" w:lineRule="auto"/>
        <w:ind w:firstLine="0"/>
        <w:rPr>
          <w:rFonts w:ascii="Arial" w:eastAsia="Times New Roman" w:hAnsi="Arial" w:cs="Arial"/>
          <w:i/>
          <w:szCs w:val="28"/>
          <w:lang w:val="uk-UA" w:eastAsia="uk-UA"/>
        </w:rPr>
      </w:pPr>
    </w:p>
    <w:p w14:paraId="4BA10180" w14:textId="360115A7" w:rsidR="003476F8"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Ключові слова: </w:t>
      </w:r>
      <w:r w:rsidR="003476F8" w:rsidRPr="00511005">
        <w:rPr>
          <w:rFonts w:ascii="Arial" w:eastAsia="Times New Roman" w:hAnsi="Arial" w:cs="Arial"/>
          <w:i/>
          <w:szCs w:val="28"/>
          <w:lang w:val="uk-UA" w:eastAsia="uk-UA"/>
        </w:rPr>
        <w:t>трудові права, воєнний стан, обов’язки працівника, дистанційна робота, мобілізація, трудове законодавство, призупинення договору, внутрішня мобільність, електронний документообіг, законодавство.</w:t>
      </w:r>
    </w:p>
    <w:p w14:paraId="7AC356E0" w14:textId="7602B762" w:rsidR="003476F8" w:rsidRPr="00511005" w:rsidRDefault="007B2628" w:rsidP="003A292D">
      <w:pPr>
        <w:spacing w:line="264" w:lineRule="auto"/>
        <w:rPr>
          <w:rFonts w:ascii="Arial" w:eastAsia="Times New Roman" w:hAnsi="Arial" w:cs="Arial"/>
          <w:i/>
          <w:szCs w:val="28"/>
          <w:lang w:val="en-GB" w:eastAsia="uk-UA"/>
        </w:rPr>
      </w:pPr>
      <w:r w:rsidRPr="00511005">
        <w:rPr>
          <w:rFonts w:ascii="Arial" w:eastAsia="Times New Roman" w:hAnsi="Arial" w:cs="Arial"/>
          <w:b/>
          <w:i/>
          <w:szCs w:val="28"/>
          <w:lang w:val="en-GB" w:eastAsia="uk-UA"/>
        </w:rPr>
        <w:t xml:space="preserve">Key words: </w:t>
      </w:r>
      <w:r w:rsidR="003476F8" w:rsidRPr="00511005">
        <w:rPr>
          <w:rFonts w:ascii="Arial" w:eastAsia="Times New Roman" w:hAnsi="Arial" w:cs="Arial"/>
          <w:i/>
          <w:szCs w:val="28"/>
          <w:lang w:val="en-GB" w:eastAsia="uk-UA"/>
        </w:rPr>
        <w:t>labour rights, martial law, employee obligations, remote work, mobilization, labour legislation, suspension of employment contract, internal mobility, electronic document workflow, legislation.</w:t>
      </w:r>
    </w:p>
    <w:p w14:paraId="32E8C53D" w14:textId="7F9CD6A9" w:rsidR="003476F8" w:rsidRPr="00511005" w:rsidRDefault="007B2628" w:rsidP="003A292D">
      <w:pPr>
        <w:spacing w:line="264" w:lineRule="auto"/>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Науковий керівник: </w:t>
      </w:r>
      <w:r w:rsidR="003476F8" w:rsidRPr="00511005">
        <w:rPr>
          <w:rFonts w:ascii="Arial" w:eastAsia="Times New Roman" w:hAnsi="Arial" w:cs="Arial"/>
          <w:i/>
          <w:szCs w:val="28"/>
          <w:lang w:val="uk-UA" w:eastAsia="uk-UA"/>
        </w:rPr>
        <w:t>к.ю.н., доцент Пожарова О. В.</w:t>
      </w:r>
    </w:p>
    <w:p w14:paraId="48FD1377" w14:textId="2FE085E3" w:rsidR="0087239D" w:rsidRPr="00511005" w:rsidRDefault="0087239D" w:rsidP="003A292D">
      <w:pPr>
        <w:spacing w:line="264" w:lineRule="auto"/>
        <w:rPr>
          <w:rFonts w:ascii="Arial" w:eastAsia="Times New Roman" w:hAnsi="Arial" w:cs="Arial"/>
          <w:i/>
          <w:szCs w:val="28"/>
          <w:lang w:val="uk-UA" w:eastAsia="uk-UA"/>
        </w:rPr>
      </w:pPr>
    </w:p>
    <w:p w14:paraId="537D1E25" w14:textId="01FA52A1" w:rsidR="0087239D" w:rsidRPr="00511005" w:rsidRDefault="0087239D" w:rsidP="003A292D">
      <w:pPr>
        <w:spacing w:line="264" w:lineRule="auto"/>
        <w:rPr>
          <w:rFonts w:ascii="Arial" w:eastAsia="Times New Roman" w:hAnsi="Arial" w:cs="Arial"/>
          <w:i/>
          <w:szCs w:val="28"/>
          <w:lang w:val="uk-UA" w:eastAsia="uk-UA"/>
        </w:rPr>
      </w:pPr>
    </w:p>
    <w:p w14:paraId="5B3DBBCD" w14:textId="77777777" w:rsidR="0087239D" w:rsidRPr="00511005" w:rsidRDefault="0087239D" w:rsidP="003A292D">
      <w:pPr>
        <w:spacing w:line="264" w:lineRule="auto"/>
        <w:jc w:val="center"/>
        <w:rPr>
          <w:rFonts w:ascii="Arial" w:eastAsia="Times New Roman" w:hAnsi="Arial" w:cs="Arial"/>
          <w:i/>
          <w:szCs w:val="28"/>
          <w:lang w:val="uk" w:eastAsia="ru-RU"/>
        </w:rPr>
      </w:pPr>
      <w:r w:rsidRPr="00511005">
        <w:rPr>
          <w:rFonts w:ascii="Arial" w:eastAsia="Times New Roman" w:hAnsi="Arial" w:cs="Arial"/>
          <w:b/>
          <w:i/>
          <w:szCs w:val="28"/>
          <w:lang w:val="uk" w:eastAsia="ru-RU"/>
        </w:rPr>
        <w:t>Довгаль Артем Юрійович</w:t>
      </w:r>
      <w:r w:rsidRPr="00511005">
        <w:rPr>
          <w:rFonts w:ascii="Arial" w:eastAsia="Times New Roman" w:hAnsi="Arial" w:cs="Arial"/>
          <w:i/>
          <w:szCs w:val="28"/>
          <w:lang w:val="uk" w:eastAsia="ru-RU"/>
        </w:rPr>
        <w:t xml:space="preserve"> </w:t>
      </w:r>
    </w:p>
    <w:p w14:paraId="0A7DB972" w14:textId="77777777" w:rsidR="00A54AC2" w:rsidRDefault="00536AAB" w:rsidP="00A54AC2">
      <w:pPr>
        <w:spacing w:line="264" w:lineRule="auto"/>
        <w:ind w:firstLine="0"/>
        <w:jc w:val="center"/>
        <w:rPr>
          <w:rFonts w:ascii="Arial" w:eastAsia="Times New Roman" w:hAnsi="Arial" w:cs="Arial"/>
          <w:iCs/>
          <w:szCs w:val="28"/>
          <w:lang w:val="uk" w:eastAsia="ru-RU"/>
        </w:rPr>
      </w:pPr>
      <w:r w:rsidRPr="00A54AC2">
        <w:rPr>
          <w:rFonts w:ascii="Arial" w:eastAsia="Times New Roman" w:hAnsi="Arial" w:cs="Arial"/>
          <w:iCs/>
          <w:szCs w:val="28"/>
          <w:lang w:val="uk" w:eastAsia="ru-RU"/>
        </w:rPr>
        <w:t>студент 2-го курсу факультету адвокатури та антикорупційної діяльності</w:t>
      </w:r>
      <w:r w:rsidR="003476F8" w:rsidRPr="00A54AC2">
        <w:rPr>
          <w:rFonts w:ascii="Arial" w:eastAsia="Times New Roman" w:hAnsi="Arial" w:cs="Arial"/>
          <w:iCs/>
          <w:szCs w:val="28"/>
          <w:lang w:val="uk" w:eastAsia="ru-RU"/>
        </w:rPr>
        <w:t xml:space="preserve"> </w:t>
      </w:r>
    </w:p>
    <w:p w14:paraId="49CEB295" w14:textId="26FB1C69" w:rsidR="003476F8" w:rsidRPr="00A54AC2" w:rsidRDefault="007B2628" w:rsidP="00A54AC2">
      <w:pPr>
        <w:spacing w:line="264" w:lineRule="auto"/>
        <w:ind w:firstLine="0"/>
        <w:jc w:val="center"/>
        <w:rPr>
          <w:rFonts w:ascii="Arial" w:eastAsia="Times New Roman" w:hAnsi="Arial" w:cs="Arial"/>
          <w:iCs/>
          <w:szCs w:val="28"/>
          <w:lang w:val="uk" w:eastAsia="ru-RU"/>
        </w:rPr>
      </w:pPr>
      <w:r w:rsidRPr="00A54AC2">
        <w:rPr>
          <w:rFonts w:ascii="Arial" w:eastAsia="Times New Roman" w:hAnsi="Arial" w:cs="Arial"/>
          <w:iCs/>
          <w:szCs w:val="28"/>
          <w:lang w:val="uk" w:eastAsia="ru-RU"/>
        </w:rPr>
        <w:t>Національного університету «Одеська юридична академія»</w:t>
      </w:r>
    </w:p>
    <w:p w14:paraId="19A5EC5A" w14:textId="77777777" w:rsidR="003476F8" w:rsidRPr="00511005" w:rsidRDefault="003476F8" w:rsidP="003A292D">
      <w:pPr>
        <w:spacing w:line="264" w:lineRule="auto"/>
        <w:jc w:val="center"/>
        <w:rPr>
          <w:rFonts w:ascii="Arial" w:eastAsia="Times New Roman" w:hAnsi="Arial" w:cs="Arial"/>
          <w:b/>
          <w:szCs w:val="28"/>
          <w:lang w:val="uk" w:eastAsia="ru-RU"/>
        </w:rPr>
      </w:pPr>
    </w:p>
    <w:p w14:paraId="0D68F398" w14:textId="77777777" w:rsidR="003476F8" w:rsidRPr="00511005" w:rsidRDefault="003476F8" w:rsidP="003A292D">
      <w:pPr>
        <w:spacing w:line="264" w:lineRule="auto"/>
        <w:jc w:val="center"/>
        <w:rPr>
          <w:rFonts w:ascii="Arial" w:eastAsia="Times New Roman" w:hAnsi="Arial" w:cs="Arial"/>
          <w:b/>
          <w:szCs w:val="28"/>
          <w:lang w:val="uk" w:eastAsia="ru-RU"/>
        </w:rPr>
      </w:pPr>
      <w:r w:rsidRPr="00511005">
        <w:rPr>
          <w:rFonts w:ascii="Arial" w:eastAsia="Times New Roman" w:hAnsi="Arial" w:cs="Arial"/>
          <w:b/>
          <w:szCs w:val="28"/>
          <w:lang w:val="uk" w:eastAsia="ru-RU"/>
        </w:rPr>
        <w:t>ФУНКЦІЇ МІНІМАЛЬНОЇ ЗАРОБІТНОЇ ПЛАТИ</w:t>
      </w:r>
    </w:p>
    <w:p w14:paraId="09A16A9A" w14:textId="77777777" w:rsidR="003476F8" w:rsidRPr="00511005" w:rsidRDefault="003476F8" w:rsidP="003A292D">
      <w:pPr>
        <w:tabs>
          <w:tab w:val="right" w:pos="12000"/>
        </w:tabs>
        <w:spacing w:line="264" w:lineRule="auto"/>
        <w:rPr>
          <w:rFonts w:ascii="Arial" w:eastAsia="Times New Roman" w:hAnsi="Arial" w:cs="Arial"/>
          <w:szCs w:val="28"/>
          <w:lang w:val="uk" w:eastAsia="ru-RU"/>
        </w:rPr>
      </w:pPr>
      <w:r w:rsidRPr="00511005">
        <w:rPr>
          <w:rFonts w:ascii="Arial" w:eastAsia="Times New Roman" w:hAnsi="Arial" w:cs="Arial"/>
          <w:szCs w:val="28"/>
          <w:lang w:val="uk" w:eastAsia="ru-RU"/>
        </w:rPr>
        <w:t xml:space="preserve">Мінімальна зарплата в Україні – це не просто гранична нижня межа оплати праці, а складна правова категорія. Вона реалізується як багатоаспектний державний інструмент, що виконує сукупність взаємопов'язаних функцій. Його ціль – досягнення соціальної справедливості, стимулювання економічного зростання, регулювання трудових відносин та надання інформаційної підтримки для державного управління. Всі ці функції базуються на нормах українського законодавства </w:t>
      </w:r>
      <w:r w:rsidRPr="00511005">
        <w:rPr>
          <w:rFonts w:ascii="Arial" w:eastAsia="Times New Roman" w:hAnsi="Arial" w:cs="Arial"/>
          <w:szCs w:val="28"/>
          <w:lang w:val="uk" w:eastAsia="ru-RU"/>
        </w:rPr>
        <w:lastRenderedPageBreak/>
        <w:t>і мають вагоме значення у формуванні соціально-економічного середовища країни.</w:t>
      </w:r>
    </w:p>
    <w:p w14:paraId="10833C89" w14:textId="77777777" w:rsidR="003476F8" w:rsidRPr="00511005" w:rsidRDefault="003476F8" w:rsidP="003A292D">
      <w:pPr>
        <w:tabs>
          <w:tab w:val="right" w:pos="12000"/>
        </w:tabs>
        <w:spacing w:line="264" w:lineRule="auto"/>
        <w:rPr>
          <w:rFonts w:ascii="Arial" w:eastAsia="Times New Roman" w:hAnsi="Arial" w:cs="Arial"/>
          <w:szCs w:val="28"/>
          <w:lang w:val="uk" w:eastAsia="ru-RU"/>
        </w:rPr>
      </w:pPr>
      <w:r w:rsidRPr="00511005">
        <w:rPr>
          <w:rFonts w:ascii="Arial" w:eastAsia="Times New Roman" w:hAnsi="Arial" w:cs="Arial"/>
          <w:szCs w:val="28"/>
          <w:lang w:val="uk" w:eastAsia="ru-RU"/>
        </w:rPr>
        <w:t xml:space="preserve">Функція соціального захисту є наріжним </w:t>
      </w:r>
      <w:r w:rsidRPr="00511005">
        <w:rPr>
          <w:rFonts w:ascii="Arial" w:eastAsia="Times New Roman" w:hAnsi="Arial" w:cs="Arial"/>
          <w:szCs w:val="28"/>
          <w:lang w:val="uk-UA" w:eastAsia="ru-RU"/>
        </w:rPr>
        <w:t xml:space="preserve">камінням </w:t>
      </w:r>
      <w:r w:rsidRPr="00511005">
        <w:rPr>
          <w:rFonts w:ascii="Arial" w:eastAsia="Times New Roman" w:hAnsi="Arial" w:cs="Arial"/>
          <w:szCs w:val="28"/>
          <w:lang w:val="uk" w:eastAsia="ru-RU"/>
        </w:rPr>
        <w:t xml:space="preserve">інституту мінімальної зарплати, гарантуючи кожному найманому працівникові право на оплату праці не нижче за законодавчо встановлений мінімум (стаття 43 Конституції України [1]. На практиці ця функція втілюється через щорічне затвердження Закону України «Про Державний бюджет України». Приміром, у 2024 році Закон № 3460-IX [2] передбачив збільшення мінімальної заробітної плати, що безпосередньо вплинуло на доходи мільйонів низькооплачуваних працівників, забезпечуючи їм більшу фінансову стабільність. </w:t>
      </w:r>
    </w:p>
    <w:p w14:paraId="15B61C27" w14:textId="77777777" w:rsidR="003476F8" w:rsidRPr="00511005" w:rsidRDefault="003476F8" w:rsidP="003A292D">
      <w:pPr>
        <w:tabs>
          <w:tab w:val="right" w:pos="12000"/>
        </w:tabs>
        <w:spacing w:line="264" w:lineRule="auto"/>
        <w:rPr>
          <w:rFonts w:ascii="Arial" w:eastAsia="Times New Roman" w:hAnsi="Arial" w:cs="Arial"/>
          <w:szCs w:val="28"/>
          <w:lang w:val="uk" w:eastAsia="ru-RU"/>
        </w:rPr>
      </w:pPr>
      <w:r w:rsidRPr="00511005">
        <w:rPr>
          <w:rFonts w:ascii="Arial" w:eastAsia="Times New Roman" w:hAnsi="Arial" w:cs="Arial"/>
          <w:szCs w:val="28"/>
          <w:lang w:val="uk" w:eastAsia="ru-RU"/>
        </w:rPr>
        <w:t>Економічна функція мінімальної заробітної плати має важливе значення для стимулювання внутрішнього споживчого попиту. Підвищення мінімальної заробітної плати, як це відбулося у 2024 році, веде до збільшення грошової маси у населення з низькими доходами, які, як правило, спрямовують ці кошти на придбання товарів першої необхідності та послуг. Це, своєю чергою, підтримує вітчизняних виробників та сферу послуг, сприяючи економічному зростанню Водночас важливою є збалансованість такого підвищення. Надмірне зростання може призвести до збільшення витрат роботодавців, що може мати наслідком підвищення цін (інфляції) або скорочення робочих місць, особливо у секторах з низькою рентабельністю. Відтак, Кабінет Міністрів України при розробці бюджетних пропозицій враховує макроекономічні прогнози та проводить консультації з соціальними партнерами (Закон України «Про соціальний діалог в Україні» [3], Бюджетний кодекс України [4]. Наприклад, обґрунтовуючи підвищення мінімальної заробітної плати, Уряд може посилатися на зростання ВВП та потребу у підтримці реальних доходів населення.</w:t>
      </w:r>
    </w:p>
    <w:p w14:paraId="0662C97B" w14:textId="77777777" w:rsidR="003476F8" w:rsidRPr="00511005" w:rsidRDefault="003476F8" w:rsidP="003A292D">
      <w:pPr>
        <w:tabs>
          <w:tab w:val="right" w:pos="12000"/>
        </w:tabs>
        <w:spacing w:line="264" w:lineRule="auto"/>
        <w:rPr>
          <w:rFonts w:ascii="Arial" w:eastAsia="Times New Roman" w:hAnsi="Arial" w:cs="Arial"/>
          <w:szCs w:val="28"/>
          <w:lang w:val="uk" w:eastAsia="ru-RU"/>
        </w:rPr>
      </w:pPr>
      <w:r w:rsidRPr="00511005">
        <w:rPr>
          <w:rFonts w:ascii="Arial" w:eastAsia="Times New Roman" w:hAnsi="Arial" w:cs="Arial"/>
          <w:szCs w:val="28"/>
          <w:lang w:val="uk" w:eastAsia="ru-RU"/>
        </w:rPr>
        <w:t xml:space="preserve">Регулююча функція мінімальної заробітної плати є ключовою для забезпечення дотримання трудового законодавства. Закон України «Про колективні договори та угоди» [5] чітко забороняє встановлення в колективних договорах розмірів оплати праці нижчих за мінімальний рівень, встановлений законом. Це створює надійний правовий захист для працівників. </w:t>
      </w:r>
    </w:p>
    <w:p w14:paraId="16D827D6" w14:textId="77777777" w:rsidR="003476F8" w:rsidRPr="00511005" w:rsidRDefault="003476F8" w:rsidP="003A292D">
      <w:pPr>
        <w:tabs>
          <w:tab w:val="right" w:pos="12000"/>
        </w:tabs>
        <w:spacing w:line="264" w:lineRule="auto"/>
        <w:rPr>
          <w:rFonts w:ascii="Arial" w:eastAsia="Times New Roman" w:hAnsi="Arial" w:cs="Arial"/>
          <w:szCs w:val="28"/>
          <w:lang w:val="uk" w:eastAsia="ru-RU"/>
        </w:rPr>
      </w:pPr>
      <w:r w:rsidRPr="00511005">
        <w:rPr>
          <w:rFonts w:ascii="Arial" w:eastAsia="Times New Roman" w:hAnsi="Arial" w:cs="Arial"/>
          <w:szCs w:val="28"/>
          <w:lang w:val="uk" w:eastAsia="ru-RU"/>
        </w:rPr>
        <w:t xml:space="preserve">Крім того, мінімальна заробітна плата є базою для обчислення штрафів за порушення трудового законодавства. Відповідно до статті 265 Кодексу законів про працю України, роботодавці несуть фінансову відповідальність за такі порушення, як фактичний допуск працівника до роботи без оформлення трудового договору, виплата заробітної плати без нарахування та сплати єдиного соціального внеску, недотримання мінімальних державних гарантій в оплаті праці. Штрафи за ці порушення розраховуються у кратному розмірі до мінімальної заробітної плати, встановленої на момент виявлення правопорушення. Наприклад, за допуск працівника до роботи без оформлення трудового договору встановлюється </w:t>
      </w:r>
      <w:r w:rsidRPr="00511005">
        <w:rPr>
          <w:rFonts w:ascii="Arial" w:eastAsia="Times New Roman" w:hAnsi="Arial" w:cs="Arial"/>
          <w:szCs w:val="28"/>
          <w:lang w:val="uk" w:eastAsia="ru-RU"/>
        </w:rPr>
        <w:lastRenderedPageBreak/>
        <w:t>штраф у десятикратному розмірі мінімальної заробітної плати за кожного такого працівника</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uk" w:eastAsia="ru-RU"/>
        </w:rPr>
        <w:t>[</w:t>
      </w:r>
      <w:r w:rsidRPr="00511005">
        <w:rPr>
          <w:rFonts w:ascii="Arial" w:eastAsia="Times New Roman" w:hAnsi="Arial" w:cs="Arial"/>
          <w:szCs w:val="28"/>
          <w:lang w:val="uk-UA" w:eastAsia="ru-RU"/>
        </w:rPr>
        <w:t>6</w:t>
      </w:r>
      <w:r w:rsidRPr="00511005">
        <w:rPr>
          <w:rFonts w:ascii="Arial" w:eastAsia="Times New Roman" w:hAnsi="Arial" w:cs="Arial"/>
          <w:szCs w:val="28"/>
          <w:lang w:val="uk" w:eastAsia="ru-RU"/>
        </w:rPr>
        <w:t xml:space="preserve">]. </w:t>
      </w:r>
    </w:p>
    <w:p w14:paraId="7D7D0066" w14:textId="77777777" w:rsidR="003476F8" w:rsidRPr="00511005" w:rsidRDefault="003476F8" w:rsidP="003A292D">
      <w:pPr>
        <w:tabs>
          <w:tab w:val="right" w:pos="12000"/>
        </w:tabs>
        <w:spacing w:line="264" w:lineRule="auto"/>
        <w:rPr>
          <w:rFonts w:ascii="Arial" w:eastAsia="Times New Roman" w:hAnsi="Arial" w:cs="Arial"/>
          <w:szCs w:val="28"/>
          <w:lang w:val="uk" w:eastAsia="ru-RU"/>
        </w:rPr>
      </w:pPr>
      <w:r w:rsidRPr="00511005">
        <w:rPr>
          <w:rFonts w:ascii="Arial" w:eastAsia="Times New Roman" w:hAnsi="Arial" w:cs="Arial"/>
          <w:szCs w:val="28"/>
          <w:lang w:val="uk-UA" w:eastAsia="ru-RU"/>
        </w:rPr>
        <w:t xml:space="preserve">Варто </w:t>
      </w:r>
      <w:r w:rsidRPr="00511005">
        <w:rPr>
          <w:rFonts w:ascii="Arial" w:eastAsia="Times New Roman" w:hAnsi="Arial" w:cs="Arial"/>
          <w:szCs w:val="28"/>
          <w:lang w:val="uk" w:eastAsia="ru-RU"/>
        </w:rPr>
        <w:t>зазначити, що такі фінансові санкції мають на меті не лише покарати недобросовісних роботодавців, а й стимулювати дотримання трудового законодавства працівниками. Прив'язка розміру штрафів до мінімальної заробітної плати забезпечує їх актуальність та пропорційність економічним реаліям, оскільки розмір штрафу автоматично коригується відповідно до зміни мінімальної заробітної плати. Таким чином, мінімальна заробітна плата відіграє важливу роль у механізмі забезпечення законності у трудових відносинах та слугує інструментом дотримання балансу інтересів працівників і роботодавців.</w:t>
      </w:r>
    </w:p>
    <w:p w14:paraId="3F854A15" w14:textId="77777777" w:rsidR="003476F8" w:rsidRPr="00511005" w:rsidRDefault="003476F8" w:rsidP="003A292D">
      <w:pPr>
        <w:tabs>
          <w:tab w:val="right" w:pos="12000"/>
        </w:tabs>
        <w:spacing w:line="264" w:lineRule="auto"/>
        <w:rPr>
          <w:rFonts w:ascii="Arial" w:eastAsia="Times New Roman" w:hAnsi="Arial" w:cs="Arial"/>
          <w:szCs w:val="28"/>
          <w:lang w:val="uk" w:eastAsia="ru-RU"/>
        </w:rPr>
      </w:pPr>
      <w:r w:rsidRPr="00511005">
        <w:rPr>
          <w:rFonts w:ascii="Arial" w:eastAsia="Times New Roman" w:hAnsi="Arial" w:cs="Arial"/>
          <w:szCs w:val="28"/>
          <w:lang w:val="uk" w:eastAsia="ru-RU"/>
        </w:rPr>
        <w:t>Обліково-статистична функція мінімальної заробітної плати є необхідною для здійснення державного управління та аналізу соціально-економічної статистики. Закон України «Про збір та облік єдиного внеску на загальнообов'язкове державне соціальне страхування» [</w:t>
      </w:r>
      <w:r w:rsidRPr="00511005">
        <w:rPr>
          <w:rFonts w:ascii="Arial" w:eastAsia="Times New Roman" w:hAnsi="Arial" w:cs="Arial"/>
          <w:szCs w:val="28"/>
          <w:lang w:val="uk-UA" w:eastAsia="ru-RU"/>
        </w:rPr>
        <w:t>7</w:t>
      </w:r>
      <w:r w:rsidRPr="00511005">
        <w:rPr>
          <w:rFonts w:ascii="Arial" w:eastAsia="Times New Roman" w:hAnsi="Arial" w:cs="Arial"/>
          <w:szCs w:val="28"/>
          <w:lang w:val="uk" w:eastAsia="ru-RU"/>
        </w:rPr>
        <w:t xml:space="preserve">] встановлює мінімальну базу для нарахування ЄСВ, що прямо пов'язана з розміром мінімальної заробітної плати. </w:t>
      </w:r>
    </w:p>
    <w:p w14:paraId="7777D95F" w14:textId="77777777" w:rsidR="003476F8" w:rsidRPr="00511005" w:rsidRDefault="003476F8" w:rsidP="003A292D">
      <w:pPr>
        <w:tabs>
          <w:tab w:val="right" w:pos="12000"/>
        </w:tabs>
        <w:spacing w:line="264" w:lineRule="auto"/>
        <w:rPr>
          <w:rFonts w:ascii="Arial" w:eastAsia="Times New Roman" w:hAnsi="Arial" w:cs="Arial"/>
          <w:szCs w:val="28"/>
          <w:lang w:val="uk" w:eastAsia="ru-RU"/>
        </w:rPr>
      </w:pPr>
      <w:r w:rsidRPr="00511005">
        <w:rPr>
          <w:rFonts w:ascii="Arial" w:eastAsia="Times New Roman" w:hAnsi="Arial" w:cs="Arial"/>
          <w:szCs w:val="28"/>
          <w:lang w:val="uk" w:eastAsia="ru-RU"/>
        </w:rPr>
        <w:t>Державна служба статистики України [</w:t>
      </w:r>
      <w:r w:rsidRPr="00511005">
        <w:rPr>
          <w:rFonts w:ascii="Arial" w:eastAsia="Times New Roman" w:hAnsi="Arial" w:cs="Arial"/>
          <w:szCs w:val="28"/>
          <w:lang w:val="uk-UA" w:eastAsia="ru-RU"/>
        </w:rPr>
        <w:t>8</w:t>
      </w:r>
      <w:r w:rsidRPr="00511005">
        <w:rPr>
          <w:rFonts w:ascii="Arial" w:eastAsia="Times New Roman" w:hAnsi="Arial" w:cs="Arial"/>
          <w:szCs w:val="28"/>
          <w:lang w:val="uk" w:eastAsia="ru-RU"/>
        </w:rPr>
        <w:t>] використовує дані про мінімальну заробітну плату для проведення порівняльного аналізу рівня оплати праці за видами економічної діяльності, регіонами та категоріями працівників.</w:t>
      </w:r>
    </w:p>
    <w:p w14:paraId="4BDB183B" w14:textId="77777777" w:rsidR="003476F8" w:rsidRPr="00511005" w:rsidRDefault="003476F8" w:rsidP="003A292D">
      <w:pPr>
        <w:tabs>
          <w:tab w:val="right" w:pos="12000"/>
        </w:tabs>
        <w:spacing w:line="264" w:lineRule="auto"/>
        <w:rPr>
          <w:rFonts w:ascii="Arial" w:eastAsia="Times New Roman" w:hAnsi="Arial" w:cs="Arial"/>
          <w:szCs w:val="28"/>
          <w:lang w:val="uk" w:eastAsia="ru-RU"/>
        </w:rPr>
      </w:pPr>
      <w:r w:rsidRPr="00511005">
        <w:rPr>
          <w:rFonts w:ascii="Arial" w:eastAsia="Times New Roman" w:hAnsi="Arial" w:cs="Arial"/>
          <w:szCs w:val="28"/>
          <w:lang w:val="uk" w:eastAsia="ru-RU"/>
        </w:rPr>
        <w:t>Стимулююча функція мінімальної заробітної плати полягає у створенні мотивації для працівників до підвищення своєї кваліфікації та продуктивності праці. Гарантований мінімальний рівень оплати може спонукати працівників прагнути до більш високооплачуваної роботи, що потребує вищого рівня знань та навичок. Роботодавці, своєю чергою, можуть бути зацікавлені у підвищенні кваліфікації своїх працівників, щоб виправдати вищу оплату праці, що перевищує мінімальний рівень. Хоча прямих законодавчих норм, що регулюють цю функцію, немає, вона є важливим соціально-економічним наслідком існування інституту мінімальної заробітної плати.</w:t>
      </w:r>
    </w:p>
    <w:p w14:paraId="2F3D800D" w14:textId="144000F7" w:rsidR="003476F8" w:rsidRDefault="003476F8" w:rsidP="003A292D">
      <w:pPr>
        <w:tabs>
          <w:tab w:val="right" w:pos="12000"/>
        </w:tabs>
        <w:spacing w:line="264" w:lineRule="auto"/>
        <w:rPr>
          <w:rFonts w:ascii="Arial" w:eastAsia="Times New Roman" w:hAnsi="Arial" w:cs="Arial"/>
          <w:szCs w:val="28"/>
          <w:lang w:val="uk" w:eastAsia="ru-RU"/>
        </w:rPr>
      </w:pPr>
      <w:r w:rsidRPr="00511005">
        <w:rPr>
          <w:rFonts w:ascii="Arial" w:eastAsia="Times New Roman" w:hAnsi="Arial" w:cs="Arial"/>
          <w:szCs w:val="28"/>
          <w:lang w:val="uk" w:eastAsia="ru-RU"/>
        </w:rPr>
        <w:t xml:space="preserve">Однак сьогодні мінімальна заробітна плата не здатна повною мірою виконувати покладені на неї функції. По-перше, її розмір є нижчим за фактичний рівень прожиткового мінімуму, що суперечить відтворювальній функції заробітної плати, яка передбачає відтворення робочої сили, розвиток фізичних і духовних сил працівника та підвищення його життєвого рівня. По-друге, </w:t>
      </w:r>
      <w:r w:rsidRPr="00511005">
        <w:rPr>
          <w:rFonts w:ascii="Arial" w:eastAsia="Times New Roman" w:hAnsi="Arial" w:cs="Arial"/>
          <w:szCs w:val="28"/>
          <w:lang w:val="uk-UA" w:eastAsia="ru-RU"/>
        </w:rPr>
        <w:t xml:space="preserve">розмір мінімальної заробітної </w:t>
      </w:r>
      <w:r w:rsidRPr="00511005">
        <w:rPr>
          <w:rFonts w:ascii="Arial" w:eastAsia="Times New Roman" w:hAnsi="Arial" w:cs="Arial"/>
          <w:szCs w:val="28"/>
          <w:lang w:val="uk" w:eastAsia="ru-RU"/>
        </w:rPr>
        <w:t>плат</w:t>
      </w:r>
      <w:r w:rsidRPr="00511005">
        <w:rPr>
          <w:rFonts w:ascii="Arial" w:eastAsia="Times New Roman" w:hAnsi="Arial" w:cs="Arial"/>
          <w:szCs w:val="28"/>
          <w:lang w:val="uk-UA" w:eastAsia="ru-RU"/>
        </w:rPr>
        <w:t>и</w:t>
      </w:r>
      <w:r w:rsidRPr="00511005">
        <w:rPr>
          <w:rFonts w:ascii="Arial" w:eastAsia="Times New Roman" w:hAnsi="Arial" w:cs="Arial"/>
          <w:szCs w:val="28"/>
          <w:lang w:val="uk" w:eastAsia="ru-RU"/>
        </w:rPr>
        <w:t xml:space="preserve"> </w:t>
      </w:r>
      <w:r w:rsidRPr="00511005">
        <w:rPr>
          <w:rFonts w:ascii="Arial" w:eastAsia="Times New Roman" w:hAnsi="Arial" w:cs="Arial"/>
          <w:szCs w:val="28"/>
          <w:lang w:val="uk-UA" w:eastAsia="ru-RU"/>
        </w:rPr>
        <w:t xml:space="preserve">має розраховуватися залежно </w:t>
      </w:r>
      <w:r w:rsidRPr="00511005">
        <w:rPr>
          <w:rFonts w:ascii="Arial" w:eastAsia="Times New Roman" w:hAnsi="Arial" w:cs="Arial"/>
          <w:szCs w:val="28"/>
          <w:lang w:val="uk" w:eastAsia="ru-RU"/>
        </w:rPr>
        <w:t xml:space="preserve">від процесу праці, її результату, </w:t>
      </w:r>
      <w:r w:rsidRPr="00511005">
        <w:rPr>
          <w:rFonts w:ascii="Arial" w:eastAsia="Times New Roman" w:hAnsi="Arial" w:cs="Arial"/>
          <w:szCs w:val="28"/>
          <w:lang w:val="uk-UA" w:eastAsia="ru-RU"/>
        </w:rPr>
        <w:t xml:space="preserve">інакше </w:t>
      </w:r>
      <w:r w:rsidRPr="00511005">
        <w:rPr>
          <w:rFonts w:ascii="Arial" w:eastAsia="Times New Roman" w:hAnsi="Arial" w:cs="Arial"/>
          <w:szCs w:val="28"/>
          <w:lang w:val="uk" w:eastAsia="ru-RU"/>
        </w:rPr>
        <w:t xml:space="preserve">вона не може виконувати стимулюючу функцію для підвищення продуктивності праці. По-третє, потреби людини виходять за межі мінімальних фізіологічних і соціальних благ, включаючи прагнення до професійного зростання, самореалізації та духовного розвитку. За таких умов державна мінімальна соціальна гарантія </w:t>
      </w:r>
      <w:r w:rsidRPr="00511005">
        <w:rPr>
          <w:rFonts w:ascii="Arial" w:eastAsia="Times New Roman" w:hAnsi="Arial" w:cs="Arial"/>
          <w:szCs w:val="28"/>
          <w:lang w:val="uk" w:eastAsia="ru-RU"/>
        </w:rPr>
        <w:lastRenderedPageBreak/>
        <w:t>в оплаті праці фактично перетворилася на розрахункову величину, формально звану заробітною платою, яка використовується переважно для визначення тарифних ставок і водночас дозволяє роботодавцям мінімізувати витрати на оплату праці за рахунок зниження собівартості продукції.</w:t>
      </w:r>
    </w:p>
    <w:p w14:paraId="7671C032" w14:textId="77777777" w:rsidR="00A54AC2" w:rsidRPr="00511005" w:rsidRDefault="00A54AC2" w:rsidP="003A292D">
      <w:pPr>
        <w:tabs>
          <w:tab w:val="right" w:pos="12000"/>
        </w:tabs>
        <w:spacing w:line="264" w:lineRule="auto"/>
        <w:rPr>
          <w:rFonts w:ascii="Arial" w:eastAsia="Times New Roman" w:hAnsi="Arial" w:cs="Arial"/>
          <w:szCs w:val="28"/>
          <w:lang w:val="uk" w:eastAsia="ru-RU"/>
        </w:rPr>
      </w:pPr>
    </w:p>
    <w:p w14:paraId="65664CC9" w14:textId="3B87C4AC" w:rsidR="003476F8" w:rsidRPr="00511005" w:rsidRDefault="007B2628" w:rsidP="007B2628">
      <w:pPr>
        <w:tabs>
          <w:tab w:val="right" w:pos="12000"/>
        </w:tabs>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209CA199" w14:textId="77777777" w:rsidR="003476F8" w:rsidRPr="00511005" w:rsidRDefault="003476F8"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1.</w:t>
      </w:r>
      <w:r w:rsidRPr="00511005">
        <w:rPr>
          <w:rFonts w:ascii="Arial" w:eastAsia="Times New Roman" w:hAnsi="Arial" w:cs="Arial"/>
          <w:szCs w:val="28"/>
          <w:lang w:eastAsia="ru-RU"/>
        </w:rPr>
        <w:tab/>
        <w:t>Конституція України: Закон України від 28 червня 1996 року №254к/96-ВР. URL: https://zakon.rada.gov.ua/laws/show/254к/96-вр#Text (дата звернення: 06.04.2025).</w:t>
      </w:r>
    </w:p>
    <w:p w14:paraId="33F0379C" w14:textId="77777777" w:rsidR="003476F8" w:rsidRPr="00511005" w:rsidRDefault="003476F8"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2.</w:t>
      </w:r>
      <w:r w:rsidRPr="00511005">
        <w:rPr>
          <w:rFonts w:ascii="Arial" w:eastAsia="Times New Roman" w:hAnsi="Arial" w:cs="Arial"/>
          <w:szCs w:val="28"/>
          <w:lang w:eastAsia="ru-RU"/>
        </w:rPr>
        <w:tab/>
        <w:t>Про Державний бюджет України на 2024 рік: Закон України від 09 листопада 2023 року № 3460-IX. URL: https://zakon.rada.gov.ua/laws/show/3460-20#Text (дата звернення: 06.04.2025).</w:t>
      </w:r>
    </w:p>
    <w:p w14:paraId="21922B06" w14:textId="77777777" w:rsidR="003476F8" w:rsidRPr="00511005" w:rsidRDefault="003476F8"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3.</w:t>
      </w:r>
      <w:r w:rsidRPr="00511005">
        <w:rPr>
          <w:rFonts w:ascii="Arial" w:eastAsia="Times New Roman" w:hAnsi="Arial" w:cs="Arial"/>
          <w:szCs w:val="28"/>
          <w:lang w:eastAsia="ru-RU"/>
        </w:rPr>
        <w:tab/>
        <w:t>Про соціальний діалог в Україні: Закон України від 23 грудня 2010 року №2862-VI. URL: https://zakon.rada.gov.ua/laws/show/2862-17#Text (дата звернення: 06.04.2025).</w:t>
      </w:r>
    </w:p>
    <w:p w14:paraId="7F89465D" w14:textId="77777777" w:rsidR="003476F8" w:rsidRPr="00511005" w:rsidRDefault="003476F8"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4.</w:t>
      </w:r>
      <w:r w:rsidRPr="00511005">
        <w:rPr>
          <w:rFonts w:ascii="Arial" w:eastAsia="Times New Roman" w:hAnsi="Arial" w:cs="Arial"/>
          <w:szCs w:val="28"/>
          <w:lang w:eastAsia="ru-RU"/>
        </w:rPr>
        <w:tab/>
        <w:t>Бюджетний кодекс України від 08 липня 2010 року №2456-VI. URL: https://zakon.rada.gov.ua/laws/show/2456-17#Text (дата звернення: 06.04.2025).</w:t>
      </w:r>
    </w:p>
    <w:p w14:paraId="505D5F09" w14:textId="77777777" w:rsidR="003476F8" w:rsidRPr="00511005" w:rsidRDefault="003476F8"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5.</w:t>
      </w:r>
      <w:r w:rsidRPr="00511005">
        <w:rPr>
          <w:rFonts w:ascii="Arial" w:eastAsia="Times New Roman" w:hAnsi="Arial" w:cs="Arial"/>
          <w:szCs w:val="28"/>
          <w:lang w:eastAsia="ru-RU"/>
        </w:rPr>
        <w:tab/>
        <w:t>Про колективні договори і угоди: Закон України від 01 липня 1993 року №3356-XII. URL: https://zakon.rada.gov.ua/laws/show/3356-12#Text (дата звернення: 06.04.2025).</w:t>
      </w:r>
    </w:p>
    <w:p w14:paraId="2913C2D9" w14:textId="77777777" w:rsidR="003476F8" w:rsidRPr="00511005" w:rsidRDefault="003476F8"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6.</w:t>
      </w:r>
      <w:r w:rsidRPr="00511005">
        <w:rPr>
          <w:rFonts w:ascii="Arial" w:eastAsia="Times New Roman" w:hAnsi="Arial" w:cs="Arial"/>
          <w:szCs w:val="28"/>
          <w:lang w:eastAsia="ru-RU"/>
        </w:rPr>
        <w:tab/>
        <w:t>Кодекс законів про працю України: Закон України від 10 грудня 1971 року № 322-VIII. URL: https://zakon.rada.gov.ua/laws/show/322-08#Text (дата звернення: 06.04.2025).</w:t>
      </w:r>
    </w:p>
    <w:p w14:paraId="7626CBDB" w14:textId="77777777" w:rsidR="003476F8" w:rsidRPr="00511005" w:rsidRDefault="003476F8"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7.</w:t>
      </w:r>
      <w:r w:rsidRPr="00511005">
        <w:rPr>
          <w:rFonts w:ascii="Arial" w:eastAsia="Times New Roman" w:hAnsi="Arial" w:cs="Arial"/>
          <w:szCs w:val="28"/>
          <w:lang w:eastAsia="ru-RU"/>
        </w:rPr>
        <w:tab/>
        <w:t>Про збір та облік єдиного внеску на загальнообов’язкове державне соціальне страхування: Закон України від 08 липня 2010 року №2464-VI. URL: https://zakon.rada.gov.ua/laws/show/2464-17#Text (дата звернення: 06.04.2025).</w:t>
      </w:r>
    </w:p>
    <w:p w14:paraId="49678645" w14:textId="77777777" w:rsidR="003476F8" w:rsidRPr="00511005" w:rsidRDefault="003476F8"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8.</w:t>
      </w:r>
      <w:r w:rsidRPr="00511005">
        <w:rPr>
          <w:rFonts w:ascii="Arial" w:eastAsia="Times New Roman" w:hAnsi="Arial" w:cs="Arial"/>
          <w:szCs w:val="28"/>
          <w:lang w:eastAsia="ru-RU"/>
        </w:rPr>
        <w:tab/>
        <w:t>Державна служба статистики України. Офіційний сайт. URL: https://www.ukrstat.gov.ua (дата звернення: 06.04.2025).</w:t>
      </w:r>
    </w:p>
    <w:p w14:paraId="2396ECB2" w14:textId="77777777" w:rsidR="003476F8" w:rsidRPr="00511005" w:rsidRDefault="003476F8" w:rsidP="003A292D">
      <w:pPr>
        <w:tabs>
          <w:tab w:val="right" w:pos="12000"/>
        </w:tabs>
        <w:spacing w:line="264" w:lineRule="auto"/>
        <w:ind w:firstLine="0"/>
        <w:rPr>
          <w:rFonts w:ascii="Arial" w:eastAsia="Times New Roman" w:hAnsi="Arial" w:cs="Arial"/>
          <w:szCs w:val="28"/>
          <w:lang w:val="uk" w:eastAsia="ru-RU"/>
        </w:rPr>
      </w:pPr>
    </w:p>
    <w:p w14:paraId="70032428" w14:textId="751E4E2A" w:rsidR="003476F8" w:rsidRPr="00511005" w:rsidRDefault="007B2628" w:rsidP="003A292D">
      <w:pPr>
        <w:spacing w:line="264" w:lineRule="auto"/>
        <w:rPr>
          <w:rFonts w:ascii="Arial" w:eastAsia="Times New Roman" w:hAnsi="Arial" w:cs="Arial"/>
          <w:szCs w:val="28"/>
          <w:lang w:val="uk" w:eastAsia="ru-RU"/>
        </w:rPr>
      </w:pPr>
      <w:r w:rsidRPr="00511005">
        <w:rPr>
          <w:rFonts w:ascii="Arial" w:eastAsia="Times New Roman" w:hAnsi="Arial" w:cs="Arial"/>
          <w:b/>
          <w:i/>
          <w:szCs w:val="28"/>
          <w:lang w:val="uk" w:eastAsia="ru-RU"/>
        </w:rPr>
        <w:t xml:space="preserve">Ключові слова: </w:t>
      </w:r>
      <w:r w:rsidR="003476F8" w:rsidRPr="00511005">
        <w:rPr>
          <w:rFonts w:ascii="Arial" w:eastAsia="Times New Roman" w:hAnsi="Arial" w:cs="Arial"/>
          <w:szCs w:val="28"/>
          <w:lang w:val="uk" w:eastAsia="ru-RU"/>
        </w:rPr>
        <w:t>державні соціальні гарантії, мінімальна заробітна плата, законодавство України.</w:t>
      </w:r>
    </w:p>
    <w:p w14:paraId="438EF4EA" w14:textId="2D29D7FE" w:rsidR="003476F8" w:rsidRPr="00511005" w:rsidRDefault="007B2628" w:rsidP="003A292D">
      <w:pPr>
        <w:spacing w:line="264" w:lineRule="auto"/>
        <w:rPr>
          <w:rFonts w:ascii="Arial" w:eastAsia="Times New Roman" w:hAnsi="Arial" w:cs="Arial"/>
          <w:szCs w:val="28"/>
          <w:lang w:val="uk" w:eastAsia="ru-RU"/>
        </w:rPr>
      </w:pPr>
      <w:r w:rsidRPr="00511005">
        <w:rPr>
          <w:rFonts w:ascii="Arial" w:eastAsia="Times New Roman" w:hAnsi="Arial" w:cs="Arial"/>
          <w:b/>
          <w:i/>
          <w:szCs w:val="28"/>
          <w:lang w:val="uk" w:eastAsia="ru-RU"/>
        </w:rPr>
        <w:t xml:space="preserve">Key words: </w:t>
      </w:r>
      <w:r w:rsidR="003476F8" w:rsidRPr="00511005">
        <w:rPr>
          <w:rFonts w:ascii="Arial" w:eastAsia="Times New Roman" w:hAnsi="Arial" w:cs="Arial"/>
          <w:szCs w:val="28"/>
          <w:lang w:val="uk" w:eastAsia="ru-RU"/>
        </w:rPr>
        <w:t xml:space="preserve">state social guarantees, minimum wage, </w:t>
      </w:r>
      <w:r w:rsidR="003476F8" w:rsidRPr="00511005">
        <w:rPr>
          <w:rFonts w:ascii="Arial" w:eastAsia="Times New Roman" w:hAnsi="Arial" w:cs="Arial"/>
          <w:szCs w:val="28"/>
          <w:lang w:val="en-US" w:eastAsia="ru-RU"/>
        </w:rPr>
        <w:t>l</w:t>
      </w:r>
      <w:r w:rsidR="003476F8" w:rsidRPr="00511005">
        <w:rPr>
          <w:rFonts w:ascii="Arial" w:eastAsia="Times New Roman" w:hAnsi="Arial" w:cs="Arial"/>
          <w:szCs w:val="28"/>
          <w:lang w:val="uk" w:eastAsia="ru-RU"/>
        </w:rPr>
        <w:t>egislation</w:t>
      </w:r>
      <w:r w:rsidR="003476F8" w:rsidRPr="00511005">
        <w:rPr>
          <w:rFonts w:ascii="Arial" w:eastAsia="Times New Roman" w:hAnsi="Arial" w:cs="Arial"/>
          <w:szCs w:val="28"/>
          <w:lang w:val="en-US" w:eastAsia="ru-RU"/>
        </w:rPr>
        <w:t xml:space="preserve"> of </w:t>
      </w:r>
      <w:r w:rsidR="003476F8" w:rsidRPr="00511005">
        <w:rPr>
          <w:rFonts w:ascii="Arial" w:eastAsia="Times New Roman" w:hAnsi="Arial" w:cs="Arial"/>
          <w:szCs w:val="28"/>
          <w:lang w:val="uk" w:eastAsia="ru-RU"/>
        </w:rPr>
        <w:t>Ukrain</w:t>
      </w:r>
      <w:r w:rsidR="003476F8" w:rsidRPr="00511005">
        <w:rPr>
          <w:rFonts w:ascii="Arial" w:eastAsia="Times New Roman" w:hAnsi="Arial" w:cs="Arial"/>
          <w:szCs w:val="28"/>
          <w:lang w:val="en-US" w:eastAsia="ru-RU"/>
        </w:rPr>
        <w:t>e</w:t>
      </w:r>
      <w:r w:rsidR="003476F8" w:rsidRPr="00511005">
        <w:rPr>
          <w:rFonts w:ascii="Arial" w:eastAsia="Times New Roman" w:hAnsi="Arial" w:cs="Arial"/>
          <w:szCs w:val="28"/>
          <w:lang w:val="uk" w:eastAsia="ru-RU"/>
        </w:rPr>
        <w:t>.</w:t>
      </w:r>
    </w:p>
    <w:p w14:paraId="5E567B84" w14:textId="42B07688" w:rsidR="003476F8" w:rsidRPr="00015FF7" w:rsidRDefault="007B2628" w:rsidP="003A292D">
      <w:pPr>
        <w:spacing w:line="264" w:lineRule="auto"/>
        <w:rPr>
          <w:rFonts w:ascii="Arial" w:eastAsia="Times New Roman" w:hAnsi="Arial" w:cs="Arial"/>
          <w:bCs/>
          <w:i/>
          <w:szCs w:val="28"/>
          <w:lang w:val="uk" w:eastAsia="ru-RU"/>
        </w:rPr>
      </w:pPr>
      <w:r w:rsidRPr="00511005">
        <w:rPr>
          <w:rFonts w:ascii="Arial" w:eastAsia="Times New Roman" w:hAnsi="Arial" w:cs="Arial"/>
          <w:b/>
          <w:i/>
          <w:szCs w:val="28"/>
          <w:lang w:val="uk" w:eastAsia="ru-RU"/>
        </w:rPr>
        <w:t xml:space="preserve">Науковий керівник: </w:t>
      </w:r>
      <w:r w:rsidR="003476F8" w:rsidRPr="00511005">
        <w:rPr>
          <w:rFonts w:ascii="Arial" w:eastAsia="Times New Roman" w:hAnsi="Arial" w:cs="Arial"/>
          <w:i/>
          <w:szCs w:val="28"/>
          <w:lang w:val="uk" w:eastAsia="ru-RU"/>
        </w:rPr>
        <w:t>д.ю.н., проф</w:t>
      </w:r>
      <w:r w:rsidR="00015FF7">
        <w:rPr>
          <w:rFonts w:ascii="Arial" w:eastAsia="Times New Roman" w:hAnsi="Arial" w:cs="Arial"/>
          <w:i/>
          <w:szCs w:val="28"/>
          <w:lang w:val="uk" w:eastAsia="ru-RU"/>
        </w:rPr>
        <w:t>есор</w:t>
      </w:r>
      <w:r w:rsidR="003476F8" w:rsidRPr="00511005">
        <w:rPr>
          <w:rFonts w:ascii="Arial" w:eastAsia="Times New Roman" w:hAnsi="Arial" w:cs="Arial"/>
          <w:i/>
          <w:szCs w:val="28"/>
          <w:lang w:val="uk" w:eastAsia="ru-RU"/>
        </w:rPr>
        <w:t xml:space="preserve"> </w:t>
      </w:r>
      <w:r w:rsidR="003476F8" w:rsidRPr="00015FF7">
        <w:rPr>
          <w:rFonts w:ascii="Arial" w:eastAsia="Times New Roman" w:hAnsi="Arial" w:cs="Arial"/>
          <w:bCs/>
          <w:i/>
          <w:szCs w:val="28"/>
          <w:lang w:val="uk" w:eastAsia="ru-RU"/>
        </w:rPr>
        <w:t xml:space="preserve">Чанишева Г.І. </w:t>
      </w:r>
    </w:p>
    <w:p w14:paraId="2C64D424" w14:textId="332B41CB" w:rsidR="0087239D" w:rsidRPr="00511005" w:rsidRDefault="0087239D" w:rsidP="003A292D">
      <w:pPr>
        <w:spacing w:line="264" w:lineRule="auto"/>
        <w:rPr>
          <w:rFonts w:ascii="Arial" w:eastAsia="Times New Roman" w:hAnsi="Arial" w:cs="Arial"/>
          <w:bCs/>
          <w:iCs/>
          <w:szCs w:val="28"/>
          <w:lang w:val="uk" w:eastAsia="ru-RU"/>
        </w:rPr>
      </w:pPr>
    </w:p>
    <w:p w14:paraId="1D87E4FC" w14:textId="77777777" w:rsidR="0087239D" w:rsidRPr="00511005" w:rsidRDefault="0087239D" w:rsidP="003A292D">
      <w:pPr>
        <w:spacing w:line="264" w:lineRule="auto"/>
        <w:rPr>
          <w:rFonts w:ascii="Arial" w:eastAsia="Times New Roman" w:hAnsi="Arial" w:cs="Arial"/>
          <w:bCs/>
          <w:iCs/>
          <w:szCs w:val="28"/>
          <w:lang w:val="uk" w:eastAsia="ru-RU"/>
        </w:rPr>
      </w:pPr>
    </w:p>
    <w:p w14:paraId="33EC2985" w14:textId="77777777" w:rsidR="00A54AC2" w:rsidRDefault="00A54AC2">
      <w:pPr>
        <w:spacing w:after="200" w:line="276" w:lineRule="auto"/>
        <w:ind w:firstLine="0"/>
        <w:jc w:val="left"/>
        <w:rPr>
          <w:rFonts w:ascii="Arial" w:eastAsia="Times New Roman" w:hAnsi="Arial" w:cs="Arial"/>
          <w:b/>
          <w:bCs/>
          <w:i/>
          <w:iCs/>
          <w:szCs w:val="28"/>
          <w:lang w:val="uk-UA" w:eastAsia="ru-RU"/>
        </w:rPr>
      </w:pPr>
      <w:r>
        <w:rPr>
          <w:rFonts w:ascii="Arial" w:eastAsia="Times New Roman" w:hAnsi="Arial" w:cs="Arial"/>
          <w:b/>
          <w:bCs/>
          <w:i/>
          <w:iCs/>
          <w:szCs w:val="28"/>
          <w:lang w:val="uk-UA" w:eastAsia="ru-RU"/>
        </w:rPr>
        <w:br w:type="page"/>
      </w:r>
    </w:p>
    <w:p w14:paraId="69FF2FCE" w14:textId="04E72E69" w:rsidR="003476F8" w:rsidRPr="00511005" w:rsidRDefault="003476F8" w:rsidP="003A292D">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lastRenderedPageBreak/>
        <w:t>Жуман Софія Вікторівна</w:t>
      </w:r>
    </w:p>
    <w:p w14:paraId="7DD9E1C6" w14:textId="67BFC764" w:rsidR="003476F8" w:rsidRPr="00A54AC2" w:rsidRDefault="00536AAB" w:rsidP="003A292D">
      <w:pPr>
        <w:spacing w:line="264" w:lineRule="auto"/>
        <w:ind w:firstLine="0"/>
        <w:jc w:val="center"/>
        <w:rPr>
          <w:rFonts w:ascii="Arial" w:eastAsia="Times New Roman" w:hAnsi="Arial" w:cs="Arial"/>
          <w:szCs w:val="28"/>
          <w:lang w:val="uk-UA" w:eastAsia="ru-RU"/>
        </w:rPr>
      </w:pPr>
      <w:r w:rsidRPr="00A54AC2">
        <w:rPr>
          <w:rFonts w:ascii="Arial" w:eastAsia="Times New Roman" w:hAnsi="Arial" w:cs="Arial"/>
          <w:szCs w:val="28"/>
          <w:lang w:val="uk-UA" w:eastAsia="ru-RU"/>
        </w:rPr>
        <w:t xml:space="preserve">студентка 2-го курсу </w:t>
      </w:r>
      <w:r w:rsidR="007B2628" w:rsidRPr="00A54AC2">
        <w:rPr>
          <w:rFonts w:ascii="Arial" w:eastAsia="Times New Roman" w:hAnsi="Arial" w:cs="Arial"/>
          <w:szCs w:val="28"/>
          <w:lang w:val="uk-UA" w:eastAsia="ru-RU"/>
        </w:rPr>
        <w:t>факультету цивільної та господарської юстиції</w:t>
      </w:r>
    </w:p>
    <w:p w14:paraId="2AB7775F" w14:textId="16F68123" w:rsidR="003476F8" w:rsidRPr="00A54AC2" w:rsidRDefault="007B2628" w:rsidP="003A292D">
      <w:pPr>
        <w:spacing w:line="264" w:lineRule="auto"/>
        <w:ind w:firstLine="0"/>
        <w:jc w:val="center"/>
        <w:rPr>
          <w:rFonts w:ascii="Arial" w:eastAsia="Times New Roman" w:hAnsi="Arial" w:cs="Arial"/>
          <w:szCs w:val="28"/>
          <w:lang w:val="uk-UA" w:eastAsia="ru-RU"/>
        </w:rPr>
      </w:pPr>
      <w:r w:rsidRPr="00A54AC2">
        <w:rPr>
          <w:rFonts w:ascii="Arial" w:eastAsia="Times New Roman" w:hAnsi="Arial" w:cs="Arial"/>
          <w:szCs w:val="28"/>
          <w:lang w:val="uk-UA" w:eastAsia="ru-RU"/>
        </w:rPr>
        <w:t>Національного університету «Одеська юридична академія»</w:t>
      </w:r>
    </w:p>
    <w:p w14:paraId="5B6B3686"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p>
    <w:p w14:paraId="3B17A9AB" w14:textId="77777777" w:rsidR="003476F8" w:rsidRPr="00511005" w:rsidRDefault="003476F8"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ҐЕНДЕРНА РІВНІСТЬ І ТРУДОВЕ ПРАВО: ПЕРСПЕКТИВИ ДЛЯ УКРАЇНИ В УМОВАХ ЄВРОІНТЕГРАЦІЇ</w:t>
      </w:r>
    </w:p>
    <w:p w14:paraId="15D4C9AF"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Гендерна нерівність залишається однією з ключових проблем сучасного українського суспільства, що гальмує його соціально-економічний розвиток. Протягом століть становище жінок поступово змінювалося, і те, що сьогодні сприймається як звичне — право на освіту, спадок, участь у виборах, репродуктивне планування та трудова діяльність — стало результатом тривалої боротьби за емансипацію. Сьогодні активне переосмислення ролі жінки в суспільстві відбувається на різних рівнях — від філософських дискусій до формування політичних рішень.</w:t>
      </w:r>
    </w:p>
    <w:p w14:paraId="1F49F9C5"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сучасному міжнародному праві державами-членами ООН прийнято понад 20 конвенцій, спрямованих на захист прав жінок. Одним з ключових документів стала Конвенція про ліквідацію всіх форм дискримінації щодо жінок 1979 року. Згідно зі статтею 2 цього документа, держави-учасниці зобов'язуються втілювати принцип рівності жінок і чоловіків у національному законодавстві та забезпечити його реальну реалізацію. Україна також узяла на себе ці зобов'язання.</w:t>
      </w:r>
    </w:p>
    <w:p w14:paraId="73FFC112"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Питання гендерної рівності займає вагоме місце у політиці Європейського Союзу. В Конституції України (ст. 21, 24) та в Законі «Про забезпечення рівних прав та можливостей жінок і чоловіків» передбачено рівність прав та відсутність дискримінації за ознакою статі. Однак практична реалізація цих норм стикається з численними викликами. Жінки залишаються менш представленими у владі, на керівних посадах і в найбільш оплачуваних професіях, що обумовлено як стереотипами, так і об'єктивними бар'єрами [1].</w:t>
      </w:r>
    </w:p>
    <w:p w14:paraId="359ECCD2"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Гендерна рівність означає рівні права — відсутність будь-яких привілеїв чи обмежень за статевою ознакою, а також рівні можливості — однакові умови для реалізації цих прав. Водночас дискримінацією вважається ситуація, коли особа або група осіб стикається з обмеженням прав через реальні або припущені ознаки статі [1].</w:t>
      </w:r>
    </w:p>
    <w:p w14:paraId="282462BE"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Інструментом оцінки досягнень у сфері гендерної рівності є міжнародні індекси. Так, Індекс гендерної нерівності (ІГН) визначає рівень нерівності у трьох сферах: репродуктивне здоров’я, розширення прав і ринок праці. У 2024 році Україна посіла 48 місце серед 166 країн, з ІГН 0,188. Індекс людського розвитку (ІЛР) України — 0,734, що класифікує її як країну з високим рівнем розвитку. Україна посідає 100 місце у загальному рейтингу зі 193 країн і територій. У топ-5 країн світу за індексом гендерної рівності увійшли: Ісландія, Фінляндія, Норвегія, Нова Зеландія та Швеція.</w:t>
      </w:r>
    </w:p>
    <w:p w14:paraId="16ECCD52"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У Глобальному звіті про гендерний розрив 2024 року (Global Gender Gap Report 2024), підготовленому Світовим економічним форумом (World Economic Forum), аналізується масштаб нерівності між чоловіками та жінками у чотирьох ключових сферах: участь в економіці, доступ до освіти, політична представленість та стан здоров'я. За результатами дослідження, Україна посіла 63-ю позицію серед 146 держав, де нижчий показник у рейтингу свідчить про менший рівень гендерного розриву. У цілому гендерний розрив в Україні щороку зменшується. Так, у 2022 Україна була на 81-му місці, а у 2023 – на 66-му [2].</w:t>
      </w:r>
    </w:p>
    <w:p w14:paraId="158D8268"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вивченні гендерної рівності фахівці часто орієнтуються на досвід європейських, північноамериканських та скандинавських країн. Саме у скандинавських державах завдяки продуманій соціальній політиці досягнуто одного з найвищих у світі рівнів освіти, медицини та соціального захисту. Впродовж тривалого періоду ці країни демонструють високі показники народжуваності, які перевищують середньоєвропейські, та найнижчий рівень смертності. Аналізуючи скандинавський досвід, можна зробити висновок про існування прямої залежності між високим рівнем залучення жінок до процесів прийняття рішень і загальним рівнем добробуту суспільства. </w:t>
      </w:r>
    </w:p>
    <w:p w14:paraId="70D08B6C"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Позитивні приклади можна спостерігати в країнах Північної Європи. Так, Ісландія вже 15 років поспіль очолює світовий рейтинг гендерної рівності. Близько 90% жінок працездатного віку працевлаштовані, а жінки становлять майже половину складу парламенту. У 2018 році країна першою у світі зобов'язала роботодавців доводити рівність оплати праці між жінками і чоловіками. Законодавство також гарантує обом батькам рівні права на оплачувану відпустку, у зв’язку з народженням дитини, з компенсацією у розмірі 80% заробітної плати, а також передбачає додаткові шість тижнів, які можна розподілити за бажанням.</w:t>
      </w:r>
    </w:p>
    <w:p w14:paraId="0B819E8E"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Фінляндія приділяє особливу увагу забезпеченню гендерної рівності на ринку праці. Законодавство країни вимагає рівного ставлення до всіх працівників при прийомі на роботу, у трудових відносинах та оплаті праці, незалежно від статі. Контроль за дотриманням принципів рівності здійснює Уповноважений з питань рівноправності, до якого працівники можуть звернутися за консультацією та захистом своїх прав.</w:t>
      </w:r>
    </w:p>
    <w:p w14:paraId="06AC6BDB"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Норвегія стабільно утримує позиції серед країн із найвищим рівнем гендерної рівності, посідаючи третє місце у цьогорічному Індексі глобального гендерного розриву. Повага до рівності має глибокі історичні корені: ще в епоху вікінгів норвезькі жінки користувалися значними правами й свободами, що було рідкістю для тогочасної Європи. У 1913 році Норвегія однією з перших надала жінкам право голосу на виборах. Одним із дієвих механізмів сучасної політики країни стала програма квотування посад: у великих компаніях встановлено обов'язковий відсоток жіночого </w:t>
      </w:r>
      <w:r w:rsidRPr="00511005">
        <w:rPr>
          <w:rFonts w:ascii="Arial" w:eastAsia="Times New Roman" w:hAnsi="Arial" w:cs="Arial"/>
          <w:szCs w:val="28"/>
          <w:lang w:val="uk-UA" w:eastAsia="ru-RU"/>
        </w:rPr>
        <w:lastRenderedPageBreak/>
        <w:t>представництва на керівних посадах, що суттєво сприяло досягненню гендерної рівності.</w:t>
      </w:r>
    </w:p>
    <w:p w14:paraId="1FB261DD"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Нова Зеландія вирізняється найбільш збалансованим парламентом за гендерною ознакою та значною представленістю жінок у політичному житті. У 2020 році Нова Зеландія сформувала один із найінклюзивніших парламентів у світі, забезпечивши рівне представництво чоловіків і жінок у Кабінеті міністрів. Значну роль у формуванні уряду відіграли представники корінного народу маорі та ЛГБТ-спільноти. Зокрема, міністерську посаду отримала Віллоу-Джин Прайм, що свідчить про високий рівень гендерної та соціальної рівності в державі.</w:t>
      </w:r>
    </w:p>
    <w:p w14:paraId="196122B2"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У Швеції реалізується політика створення рівних можливостей для жінок і чоловіків на ринку праці, що передбачає забезпечення рівних умов для працевлаштування, однакової оплати праці та справедливого розподілу батьківських обов’язків. Однією з ключових цілей такої політики є подолання ґендерної сегрегації у сфері зайнятості та заохочення чоловіків до активнішої участі у догляді за дітьми й веденні домашнього господарства. Значну роль у досягненні цих результатів відіграла «Шведська модель батьківської відпустки», яка надає обом батькам рівні права на тривалу оплачувану відпустку й дозволяє їм вільно розподіляти її між собою. Завдяки цій моделі вдалося суттєво зменшити стереотипи щодо традиційних ролей матері й батька у вихованні дітей.</w:t>
      </w:r>
    </w:p>
    <w:p w14:paraId="3E7CBE1D" w14:textId="212B6F4D"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Україна також має певні досягнення у сфері нормативно-правового регулювання. Законодавчо питання рівності статей в Україні врегульовано, зокрема, Законом України "Про забезпечення рівних прав та можливостей жінок і чоловіків", який набув чинності у 2006 році [1].</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Окрім цього, Україна приєдналася до низки міжнародних документів, зокрема Пекінської декларації та Платформи дій, Декларації Тисячоліття, та ін. Утім, значна кількість пільг для жінок, замість сприяння рівності, часто обертається проти них: знижує їхню конкурентоспроможність та підсилює стереотипи про «слабку стать».</w:t>
      </w:r>
    </w:p>
    <w:p w14:paraId="529621E5"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Стереотипи, що дісталися в спадок ще з радянських часів, досі впливають на уявлення про «чоловічі» й «жіночі» професії. Наприклад, незважаючи на наявність правових гарантій, у деяких галузях зберігається гендерна асиметрія: у машинобудуванні та енергетиці переважають чоловіки, тоді як у сфері освіти та охорони здоров'я більше працюють жінки. Це породжує вертикальну та горизонтальну професійну сегрегацію. Проте приклад українських жінок-саперок, трактористок або електромонтерок, які проходять перекваліфікацію в рамках сучасних програм зайнятості, демонструє готовність жінок розширювати професійні горизонти.</w:t>
      </w:r>
    </w:p>
    <w:p w14:paraId="649F3358" w14:textId="7DC746BE"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 початок 2024 року з 101,4 тисячі офіційно зареєстрованих безробітних 76% становили жінки. Причиною такої диспропорції є не лише економічні умови, а й стереотипи щодо материнства як «основного </w:t>
      </w:r>
      <w:r w:rsidRPr="00511005">
        <w:rPr>
          <w:rFonts w:ascii="Arial" w:eastAsia="Times New Roman" w:hAnsi="Arial" w:cs="Arial"/>
          <w:szCs w:val="28"/>
          <w:lang w:val="uk-UA" w:eastAsia="ru-RU"/>
        </w:rPr>
        <w:lastRenderedPageBreak/>
        <w:t>призначення» жінки. Водночас, попри те, що жінки становлять 53,7% населення країни, вони отримують у середньому на 24% нижчу зарплатню, ніж чоловіки. Таким чином, дисбаланс у зайнятості між чоловіками і жінками залишається доволі суттєвим і потребує подальшого комплексного вирішення на рівні державної політики. Навіть в Ісландії, яка вже понад 10 років очолює рейтинг «Глобального гендерного розриву»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жінки заробляють на 9,3% менше за чоловіків.</w:t>
      </w:r>
    </w:p>
    <w:p w14:paraId="4A81990D" w14:textId="77777777" w:rsidR="003476F8" w:rsidRPr="00511005" w:rsidRDefault="003476F8"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міжнародний досвід, зокрема скандинавських країн, доводить, що рівне представництво жінок у трудовій сфері сприяє загальному підвищенню рівня життя. Україна має потенціал досягти подібних результатів за умови послідовного реформування законодавства, подолання дискримінаційних практик і утвердження нової гендерної культури в суспільстві.</w:t>
      </w:r>
    </w:p>
    <w:p w14:paraId="68D958A5"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752A925F" w14:textId="6A87364E" w:rsidR="003476F8" w:rsidRPr="00511005" w:rsidRDefault="007B2628" w:rsidP="007B2628">
      <w:pPr>
        <w:widowControl w:val="0"/>
        <w:spacing w:line="264" w:lineRule="auto"/>
        <w:ind w:firstLine="0"/>
        <w:contextualSpacing/>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Список використаних джерел</w:t>
      </w:r>
    </w:p>
    <w:p w14:paraId="7D3E3DF2" w14:textId="77777777" w:rsidR="003476F8" w:rsidRPr="00511005" w:rsidRDefault="003476F8" w:rsidP="003F6A5D">
      <w:pPr>
        <w:numPr>
          <w:ilvl w:val="0"/>
          <w:numId w:val="441"/>
        </w:numPr>
        <w:spacing w:line="264" w:lineRule="auto"/>
        <w:ind w:left="0" w:hanging="11"/>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Про забезпечення рівних прав та можливостей жінок і чоловіків : Закон України від 08 вересня 2005 р. № 2866-IV. U</w:t>
      </w:r>
      <w:r w:rsidRPr="00511005">
        <w:rPr>
          <w:rFonts w:ascii="Arial" w:eastAsia="Times New Roman" w:hAnsi="Arial" w:cs="Arial"/>
          <w:szCs w:val="28"/>
          <w:lang w:val="en-US" w:eastAsia="ru-RU"/>
        </w:rPr>
        <w:t>RL</w:t>
      </w:r>
      <w:r w:rsidRPr="00511005">
        <w:rPr>
          <w:rFonts w:ascii="Arial" w:eastAsia="Times New Roman" w:hAnsi="Arial" w:cs="Arial"/>
          <w:szCs w:val="28"/>
          <w:lang w:val="uk-UA" w:eastAsia="ru-RU"/>
        </w:rPr>
        <w:t xml:space="preserve"> : https://zakon.rada.gov.ua/laws/show/2866-15 (дата звернення: 27.04.2025).</w:t>
      </w:r>
    </w:p>
    <w:p w14:paraId="57DB5B6F" w14:textId="38A86B9E" w:rsidR="003476F8" w:rsidRPr="00511005" w:rsidRDefault="003476F8" w:rsidP="003F6A5D">
      <w:pPr>
        <w:numPr>
          <w:ilvl w:val="0"/>
          <w:numId w:val="441"/>
        </w:numPr>
        <w:spacing w:line="264" w:lineRule="auto"/>
        <w:ind w:left="0" w:hanging="11"/>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World Economic Forum. </w:t>
      </w:r>
      <w:r w:rsidRPr="00511005">
        <w:rPr>
          <w:rFonts w:ascii="Arial" w:eastAsia="Times New Roman" w:hAnsi="Arial" w:cs="Arial"/>
          <w:i/>
          <w:iCs/>
          <w:szCs w:val="28"/>
          <w:lang w:val="uk-UA" w:eastAsia="ru-RU"/>
        </w:rPr>
        <w:t>Global Gender Gap Report 2024</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U</w:t>
      </w:r>
      <w:r w:rsidRPr="00511005">
        <w:rPr>
          <w:rFonts w:ascii="Arial" w:eastAsia="Times New Roman" w:hAnsi="Arial" w:cs="Arial"/>
          <w:szCs w:val="28"/>
          <w:lang w:val="en-US" w:eastAsia="ru-RU"/>
        </w:rPr>
        <w:t>RL</w:t>
      </w:r>
      <w:r w:rsidRPr="00511005">
        <w:rPr>
          <w:rFonts w:ascii="Arial" w:eastAsia="Times New Roman" w:hAnsi="Arial" w:cs="Arial"/>
          <w:szCs w:val="28"/>
          <w:lang w:val="uk-UA" w:eastAsia="ru-RU"/>
        </w:rPr>
        <w:t xml:space="preserve"> : https://www.weforum.org/reports/global-gender-gap-report-2024/ (дата звернення: 27.04.2025).</w:t>
      </w:r>
    </w:p>
    <w:p w14:paraId="154F882B" w14:textId="77777777" w:rsidR="003476F8" w:rsidRPr="00511005" w:rsidRDefault="003476F8" w:rsidP="003F6A5D">
      <w:pPr>
        <w:numPr>
          <w:ilvl w:val="0"/>
          <w:numId w:val="441"/>
        </w:numPr>
        <w:spacing w:line="264" w:lineRule="auto"/>
        <w:ind w:left="0" w:hanging="11"/>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United Nations Development Programme. </w:t>
      </w:r>
      <w:r w:rsidRPr="00511005">
        <w:rPr>
          <w:rFonts w:ascii="Arial" w:eastAsia="Times New Roman" w:hAnsi="Arial" w:cs="Arial"/>
          <w:i/>
          <w:iCs/>
          <w:szCs w:val="28"/>
          <w:lang w:val="uk-UA" w:eastAsia="ru-RU"/>
        </w:rPr>
        <w:t>Human Development Report 2024.</w:t>
      </w:r>
      <w:r w:rsidRPr="00511005">
        <w:rPr>
          <w:rFonts w:ascii="Arial" w:eastAsia="Times New Roman" w:hAnsi="Arial" w:cs="Arial"/>
          <w:szCs w:val="28"/>
          <w:lang w:val="uk-UA" w:eastAsia="ru-RU"/>
        </w:rPr>
        <w:t xml:space="preserve"> U</w:t>
      </w:r>
      <w:r w:rsidRPr="00511005">
        <w:rPr>
          <w:rFonts w:ascii="Arial" w:eastAsia="Times New Roman" w:hAnsi="Arial" w:cs="Arial"/>
          <w:szCs w:val="28"/>
          <w:lang w:val="en-US" w:eastAsia="ru-RU"/>
        </w:rPr>
        <w:t>RL</w:t>
      </w:r>
      <w:r w:rsidRPr="00511005">
        <w:rPr>
          <w:rFonts w:ascii="Arial" w:eastAsia="Times New Roman" w:hAnsi="Arial" w:cs="Arial"/>
          <w:szCs w:val="28"/>
          <w:lang w:val="uk-UA" w:eastAsia="ru-RU"/>
        </w:rPr>
        <w:t xml:space="preserve"> : https://hdr.undp.org/ (дата звернення: 27.04.2025).</w:t>
      </w:r>
    </w:p>
    <w:p w14:paraId="2727A11B" w14:textId="77777777" w:rsidR="003476F8" w:rsidRPr="00511005" w:rsidRDefault="003476F8" w:rsidP="003A292D">
      <w:pPr>
        <w:spacing w:line="264" w:lineRule="auto"/>
        <w:ind w:firstLine="0"/>
        <w:contextualSpacing/>
        <w:rPr>
          <w:rFonts w:ascii="Arial" w:eastAsia="Times New Roman" w:hAnsi="Arial" w:cs="Arial"/>
          <w:szCs w:val="28"/>
          <w:lang w:val="uk-UA" w:eastAsia="ru-RU"/>
        </w:rPr>
      </w:pPr>
    </w:p>
    <w:p w14:paraId="365C473A" w14:textId="51F4FC72" w:rsidR="003476F8" w:rsidRPr="00511005" w:rsidRDefault="007B2628" w:rsidP="003A292D">
      <w:pPr>
        <w:spacing w:line="264" w:lineRule="auto"/>
        <w:ind w:firstLine="708"/>
        <w:rPr>
          <w:rFonts w:ascii="Arial" w:eastAsia="Times New Roman" w:hAnsi="Arial" w:cs="Arial"/>
          <w:bCs/>
          <w:iCs/>
          <w:szCs w:val="28"/>
          <w:lang w:val="uk-UA" w:eastAsia="ru-RU"/>
        </w:rPr>
      </w:pPr>
      <w:r w:rsidRPr="00511005">
        <w:rPr>
          <w:rFonts w:ascii="Arial" w:eastAsia="Times New Roman" w:hAnsi="Arial" w:cs="Arial"/>
          <w:b/>
          <w:bCs/>
          <w:i/>
          <w:iCs/>
          <w:szCs w:val="28"/>
          <w:lang w:val="uk-UA" w:eastAsia="ru-RU"/>
        </w:rPr>
        <w:t xml:space="preserve">Ключові слова: </w:t>
      </w:r>
      <w:r w:rsidR="003476F8" w:rsidRPr="00511005">
        <w:rPr>
          <w:rFonts w:ascii="Arial" w:eastAsia="Times New Roman" w:hAnsi="Arial" w:cs="Arial"/>
          <w:bCs/>
          <w:iCs/>
          <w:szCs w:val="28"/>
          <w:lang w:val="uk-UA" w:eastAsia="ru-RU"/>
        </w:rPr>
        <w:t>гендерна рівність,</w:t>
      </w:r>
      <w:r w:rsidR="003476F8" w:rsidRPr="00511005">
        <w:rPr>
          <w:rFonts w:ascii="Arial" w:eastAsia="Times New Roman" w:hAnsi="Arial" w:cs="Arial"/>
          <w:szCs w:val="28"/>
          <w:lang w:val="uk-UA" w:eastAsia="ru-RU"/>
        </w:rPr>
        <w:t xml:space="preserve"> </w:t>
      </w:r>
      <w:r w:rsidR="003476F8" w:rsidRPr="00511005">
        <w:rPr>
          <w:rFonts w:ascii="Arial" w:eastAsia="Times New Roman" w:hAnsi="Arial" w:cs="Arial"/>
          <w:bCs/>
          <w:iCs/>
          <w:szCs w:val="28"/>
          <w:lang w:val="uk-UA" w:eastAsia="ru-RU"/>
        </w:rPr>
        <w:t>дискримінація, законодавство, гендерний розрив, рівність прав, міжнародний досвід.</w:t>
      </w:r>
    </w:p>
    <w:p w14:paraId="58EAB6AD" w14:textId="417C9DA7" w:rsidR="007B2628" w:rsidRPr="00511005" w:rsidRDefault="007B2628" w:rsidP="003A292D">
      <w:pPr>
        <w:spacing w:line="264" w:lineRule="auto"/>
        <w:ind w:firstLine="708"/>
        <w:rPr>
          <w:rFonts w:ascii="Arial" w:eastAsia="Times New Roman" w:hAnsi="Arial" w:cs="Arial"/>
          <w:bCs/>
          <w:iCs/>
          <w:szCs w:val="28"/>
          <w:lang w:val="uk-UA" w:eastAsia="ru-RU"/>
        </w:rPr>
      </w:pPr>
      <w:r w:rsidRPr="00511005">
        <w:rPr>
          <w:rFonts w:ascii="Arial" w:eastAsia="Times New Roman" w:hAnsi="Arial" w:cs="Arial"/>
          <w:b/>
          <w:bCs/>
          <w:i/>
          <w:iCs/>
          <w:szCs w:val="28"/>
          <w:lang w:val="uk-UA" w:eastAsia="ru-RU"/>
        </w:rPr>
        <w:t xml:space="preserve">Key words: </w:t>
      </w:r>
      <w:r w:rsidR="003476F8" w:rsidRPr="00511005">
        <w:rPr>
          <w:rFonts w:ascii="Arial" w:eastAsia="Times New Roman" w:hAnsi="Arial" w:cs="Arial"/>
          <w:bCs/>
          <w:iCs/>
          <w:szCs w:val="28"/>
          <w:lang w:val="uk-UA" w:eastAsia="ru-RU"/>
        </w:rPr>
        <w:t>gender equality, discrimination, legislation, gender gap, equality of rights,</w:t>
      </w:r>
      <w:r w:rsidR="003476F8" w:rsidRPr="00511005">
        <w:rPr>
          <w:rFonts w:ascii="Arial" w:eastAsia="Times New Roman" w:hAnsi="Arial" w:cs="Arial"/>
          <w:szCs w:val="28"/>
          <w:lang w:val="uk-UA" w:eastAsia="ru-RU"/>
        </w:rPr>
        <w:t xml:space="preserve"> </w:t>
      </w:r>
      <w:r w:rsidR="003476F8" w:rsidRPr="00511005">
        <w:rPr>
          <w:rFonts w:ascii="Arial" w:eastAsia="Times New Roman" w:hAnsi="Arial" w:cs="Arial"/>
          <w:bCs/>
          <w:iCs/>
          <w:szCs w:val="28"/>
          <w:lang w:val="uk-UA" w:eastAsia="ru-RU"/>
        </w:rPr>
        <w:t>international experience.</w:t>
      </w:r>
    </w:p>
    <w:p w14:paraId="68612B3A" w14:textId="06C0095D" w:rsidR="003476F8" w:rsidRPr="00511005" w:rsidRDefault="003476F8" w:rsidP="003A292D">
      <w:pPr>
        <w:spacing w:line="264" w:lineRule="auto"/>
        <w:ind w:left="284" w:firstLine="0"/>
        <w:rPr>
          <w:rFonts w:ascii="Arial" w:eastAsia="Times New Roman" w:hAnsi="Arial" w:cs="Arial"/>
          <w:i/>
          <w:iCs/>
          <w:szCs w:val="28"/>
          <w:lang w:val="uk-UA" w:eastAsia="ru-RU"/>
        </w:rPr>
      </w:pPr>
      <w:r w:rsidRPr="00511005">
        <w:rPr>
          <w:rFonts w:ascii="Arial" w:eastAsia="Times New Roman" w:hAnsi="Arial" w:cs="Arial"/>
          <w:i/>
          <w:szCs w:val="28"/>
          <w:lang w:val="uk-UA" w:eastAsia="ru-RU"/>
        </w:rPr>
        <w:tab/>
      </w:r>
      <w:r w:rsidR="007B2628" w:rsidRPr="00511005">
        <w:rPr>
          <w:rFonts w:ascii="Arial" w:eastAsia="Times New Roman" w:hAnsi="Arial" w:cs="Arial"/>
          <w:b/>
          <w:bCs/>
          <w:i/>
          <w:iCs/>
          <w:szCs w:val="28"/>
          <w:lang w:val="uk-UA" w:eastAsia="ru-RU"/>
        </w:rPr>
        <w:t xml:space="preserve">Науковий керівник: </w:t>
      </w:r>
      <w:r w:rsidRPr="00511005">
        <w:rPr>
          <w:rFonts w:ascii="Arial" w:eastAsia="Times New Roman" w:hAnsi="Arial" w:cs="Arial"/>
          <w:i/>
          <w:iCs/>
          <w:szCs w:val="28"/>
          <w:lang w:val="uk-UA" w:eastAsia="ru-RU"/>
        </w:rPr>
        <w:t xml:space="preserve">асистент </w:t>
      </w:r>
      <w:r w:rsidRPr="00511005">
        <w:rPr>
          <w:rFonts w:ascii="Arial" w:eastAsia="Times New Roman" w:hAnsi="Arial" w:cs="Arial"/>
          <w:bCs/>
          <w:i/>
          <w:iCs/>
          <w:szCs w:val="28"/>
          <w:lang w:eastAsia="ru-RU"/>
        </w:rPr>
        <w:t xml:space="preserve">Кіліміченко </w:t>
      </w:r>
      <w:r w:rsidRPr="00511005">
        <w:rPr>
          <w:rFonts w:ascii="Arial" w:eastAsia="Times New Roman" w:hAnsi="Arial" w:cs="Arial"/>
          <w:bCs/>
          <w:i/>
          <w:iCs/>
          <w:szCs w:val="28"/>
          <w:lang w:val="uk-UA" w:eastAsia="ru-RU"/>
        </w:rPr>
        <w:t>А.О.</w:t>
      </w:r>
    </w:p>
    <w:p w14:paraId="72C42EA1" w14:textId="77777777" w:rsidR="003476F8" w:rsidRPr="00511005" w:rsidRDefault="003476F8" w:rsidP="003A292D">
      <w:pPr>
        <w:spacing w:line="264" w:lineRule="auto"/>
        <w:ind w:firstLine="708"/>
        <w:rPr>
          <w:rFonts w:ascii="Arial" w:eastAsia="Times New Roman" w:hAnsi="Arial" w:cs="Arial"/>
          <w:i/>
          <w:szCs w:val="28"/>
          <w:lang w:val="uk-UA" w:eastAsia="ru-RU"/>
        </w:rPr>
      </w:pPr>
    </w:p>
    <w:p w14:paraId="1C856F27" w14:textId="77777777" w:rsidR="0087239D" w:rsidRPr="00511005" w:rsidRDefault="0087239D" w:rsidP="003A292D">
      <w:pPr>
        <w:spacing w:line="264" w:lineRule="auto"/>
        <w:ind w:firstLine="0"/>
        <w:rPr>
          <w:rFonts w:ascii="Arial" w:eastAsia="Times New Roman" w:hAnsi="Arial" w:cs="Arial"/>
          <w:szCs w:val="28"/>
          <w:lang w:val="uk-UA" w:eastAsia="ru-RU"/>
        </w:rPr>
      </w:pPr>
    </w:p>
    <w:p w14:paraId="58D58EED" w14:textId="77777777" w:rsidR="003476F8" w:rsidRPr="00511005" w:rsidRDefault="003476F8"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Іващенко Анна Романівна</w:t>
      </w:r>
    </w:p>
    <w:p w14:paraId="13D90EEA" w14:textId="1B8633E1" w:rsidR="003476F8" w:rsidRPr="00015FF7" w:rsidRDefault="00536AAB" w:rsidP="003A292D">
      <w:pPr>
        <w:spacing w:line="264" w:lineRule="auto"/>
        <w:ind w:firstLine="0"/>
        <w:jc w:val="center"/>
        <w:rPr>
          <w:rFonts w:ascii="Arial" w:eastAsia="Calibri" w:hAnsi="Arial" w:cs="Arial"/>
          <w:iCs/>
          <w:szCs w:val="28"/>
          <w:lang w:val="uk-UA"/>
        </w:rPr>
      </w:pPr>
      <w:r w:rsidRPr="00015FF7">
        <w:rPr>
          <w:rFonts w:ascii="Arial" w:eastAsia="Calibri" w:hAnsi="Arial" w:cs="Arial"/>
          <w:iCs/>
          <w:szCs w:val="28"/>
          <w:lang w:val="uk-UA"/>
        </w:rPr>
        <w:t xml:space="preserve">студентка 2-го курсу </w:t>
      </w:r>
      <w:r w:rsidR="007B2628" w:rsidRPr="00015FF7">
        <w:rPr>
          <w:rFonts w:ascii="Arial" w:eastAsia="Calibri" w:hAnsi="Arial" w:cs="Arial"/>
          <w:iCs/>
          <w:szCs w:val="28"/>
          <w:lang w:val="uk-UA"/>
        </w:rPr>
        <w:t>факультету цивільної та господарської юстиції</w:t>
      </w:r>
    </w:p>
    <w:p w14:paraId="091DE14E" w14:textId="526D7F56" w:rsidR="003476F8" w:rsidRPr="00015FF7" w:rsidRDefault="007B2628" w:rsidP="003A292D">
      <w:pPr>
        <w:spacing w:line="264" w:lineRule="auto"/>
        <w:ind w:firstLine="0"/>
        <w:jc w:val="center"/>
        <w:rPr>
          <w:rFonts w:ascii="Arial" w:eastAsia="Calibri" w:hAnsi="Arial" w:cs="Arial"/>
          <w:iCs/>
          <w:szCs w:val="28"/>
          <w:lang w:val="uk-UA"/>
        </w:rPr>
      </w:pPr>
      <w:r w:rsidRPr="00015FF7">
        <w:rPr>
          <w:rFonts w:ascii="Arial" w:eastAsia="Calibri" w:hAnsi="Arial" w:cs="Arial"/>
          <w:iCs/>
          <w:szCs w:val="28"/>
          <w:lang w:val="uk-UA"/>
        </w:rPr>
        <w:t>Національного університету «Одеська юридична академія»</w:t>
      </w:r>
    </w:p>
    <w:p w14:paraId="5A592CF3" w14:textId="77777777" w:rsidR="003476F8" w:rsidRPr="00511005" w:rsidRDefault="003476F8" w:rsidP="003A292D">
      <w:pPr>
        <w:spacing w:line="264" w:lineRule="auto"/>
        <w:ind w:firstLine="0"/>
        <w:jc w:val="center"/>
        <w:rPr>
          <w:rFonts w:ascii="Arial" w:eastAsia="Calibri" w:hAnsi="Arial" w:cs="Arial"/>
          <w:i/>
          <w:szCs w:val="28"/>
          <w:lang w:val="uk-UA"/>
        </w:rPr>
      </w:pPr>
    </w:p>
    <w:p w14:paraId="2A1E4849"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ДИСТАНЦІЙНА РОБОТА ТА ЇЇ ЕФЕКТИВНІСТЬ</w:t>
      </w:r>
    </w:p>
    <w:p w14:paraId="66C7E279" w14:textId="77777777"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За останні роки компанії виявляють велику зацікавленість у запровадженні дистанційної роботи. Така тенденція набула значного поширення за часів </w:t>
      </w:r>
      <w:r w:rsidRPr="00511005">
        <w:rPr>
          <w:rFonts w:ascii="Arial" w:eastAsia="Calibri" w:hAnsi="Arial" w:cs="Arial"/>
          <w:szCs w:val="28"/>
          <w:lang w:val="en-US"/>
        </w:rPr>
        <w:t>COVID</w:t>
      </w:r>
      <w:r w:rsidRPr="00511005">
        <w:rPr>
          <w:rFonts w:ascii="Arial" w:eastAsia="Calibri" w:hAnsi="Arial" w:cs="Arial"/>
          <w:szCs w:val="28"/>
        </w:rPr>
        <w:t xml:space="preserve">-19 </w:t>
      </w:r>
      <w:r w:rsidRPr="00511005">
        <w:rPr>
          <w:rFonts w:ascii="Arial" w:eastAsia="Calibri" w:hAnsi="Arial" w:cs="Arial"/>
          <w:szCs w:val="28"/>
          <w:lang w:val="uk-UA"/>
        </w:rPr>
        <w:t xml:space="preserve">та є не менш популярною у сучасних реаліях. Підприємства все частіше впроваджують дистанційну роботу з метою забезпечення ефективного трудового процесу. </w:t>
      </w:r>
    </w:p>
    <w:p w14:paraId="1D482083" w14:textId="77777777"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lastRenderedPageBreak/>
        <w:t>Відповідно до частини першої статті 60</w:t>
      </w:r>
      <w:r w:rsidRPr="00511005">
        <w:rPr>
          <w:rFonts w:ascii="Arial" w:eastAsia="Calibri" w:hAnsi="Arial" w:cs="Arial"/>
          <w:szCs w:val="28"/>
        </w:rPr>
        <w:t xml:space="preserve">-2 </w:t>
      </w:r>
      <w:r w:rsidRPr="00511005">
        <w:rPr>
          <w:rFonts w:ascii="Arial" w:eastAsia="Calibri" w:hAnsi="Arial" w:cs="Arial"/>
          <w:szCs w:val="28"/>
          <w:lang w:val="uk-UA"/>
        </w:rPr>
        <w:t>Кодексу законів про працю України дистанційна робота - це форма організації праці, за якої робота виконується працівником поза робочими приміщеннями чи територією роботодавця, в будь-якому місці за вибором працівника та з використанням інформаційно-комунікаційних</w:t>
      </w:r>
      <w:r w:rsidRPr="00511005">
        <w:rPr>
          <w:rFonts w:ascii="Arial" w:eastAsia="Calibri" w:hAnsi="Arial" w:cs="Arial"/>
          <w:szCs w:val="28"/>
          <w:lang w:val="en-US"/>
        </w:rPr>
        <w:t> </w:t>
      </w:r>
      <w:r w:rsidRPr="00511005">
        <w:rPr>
          <w:rFonts w:ascii="Arial" w:eastAsia="Calibri" w:hAnsi="Arial" w:cs="Arial"/>
          <w:szCs w:val="28"/>
          <w:lang w:val="uk-UA"/>
        </w:rPr>
        <w:t>технологій.[1]</w:t>
      </w:r>
    </w:p>
    <w:p w14:paraId="73141249" w14:textId="77777777" w:rsidR="003476F8" w:rsidRPr="00511005" w:rsidRDefault="003476F8" w:rsidP="003A292D">
      <w:pPr>
        <w:spacing w:line="264" w:lineRule="auto"/>
        <w:ind w:firstLine="567"/>
        <w:rPr>
          <w:rFonts w:ascii="Arial" w:eastAsia="Calibri" w:hAnsi="Arial" w:cs="Arial"/>
          <w:szCs w:val="28"/>
        </w:rPr>
      </w:pPr>
      <w:r w:rsidRPr="00511005">
        <w:rPr>
          <w:rFonts w:ascii="Arial" w:eastAsia="Calibri" w:hAnsi="Arial" w:cs="Arial"/>
          <w:szCs w:val="28"/>
          <w:lang w:val="uk-UA"/>
        </w:rPr>
        <w:t xml:space="preserve">Дистанційна робота має певні переваги та недоліки. </w:t>
      </w:r>
      <w:r w:rsidRPr="00511005">
        <w:rPr>
          <w:rFonts w:ascii="Arial" w:eastAsia="Calibri" w:hAnsi="Arial" w:cs="Arial"/>
          <w:szCs w:val="28"/>
        </w:rPr>
        <w:t xml:space="preserve">Недоліки такого виду роботи полягають в наступному: по-перше, виникнення технічних проблем, що може завадити своєчасному виконанню покладених на співробітника обов’язків. </w:t>
      </w:r>
      <w:proofErr w:type="gramStart"/>
      <w:r w:rsidRPr="00511005">
        <w:rPr>
          <w:rFonts w:ascii="Arial" w:eastAsia="Calibri" w:hAnsi="Arial" w:cs="Arial"/>
          <w:szCs w:val="28"/>
        </w:rPr>
        <w:t>По-друге</w:t>
      </w:r>
      <w:proofErr w:type="gramEnd"/>
      <w:r w:rsidRPr="00511005">
        <w:rPr>
          <w:rFonts w:ascii="Arial" w:eastAsia="Calibri" w:hAnsi="Arial" w:cs="Arial"/>
          <w:szCs w:val="28"/>
        </w:rPr>
        <w:t>, певне «ізолювання» працівників від комунікації з колегам</w:t>
      </w:r>
      <w:r w:rsidRPr="00511005">
        <w:rPr>
          <w:rFonts w:ascii="Arial" w:eastAsia="Calibri" w:hAnsi="Arial" w:cs="Arial"/>
          <w:szCs w:val="28"/>
          <w:lang w:val="uk-UA"/>
        </w:rPr>
        <w:t>и</w:t>
      </w:r>
      <w:r w:rsidRPr="00511005">
        <w:rPr>
          <w:rFonts w:ascii="Arial" w:eastAsia="Calibri" w:hAnsi="Arial" w:cs="Arial"/>
          <w:szCs w:val="28"/>
        </w:rPr>
        <w:t xml:space="preserve"> може призвести до виникнення непорозумінь та зниження відчуття приналежності до команди.</w:t>
      </w:r>
    </w:p>
    <w:p w14:paraId="640E6C69" w14:textId="77777777" w:rsidR="003476F8" w:rsidRPr="00511005" w:rsidRDefault="003476F8"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Звертаючи увагу на переваги дистанційної роботи, слід зазначити такі: гнучкість робочого графіку, економія часу та ресурсів, зменшення витрат для компанії, можливість прийняття на роботу працівників, які перебувають у іншому регіоні. </w:t>
      </w:r>
    </w:p>
    <w:p w14:paraId="1861D595" w14:textId="0F320A0D"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rPr>
        <w:t>Гнучкість робочого графіку дозволяє працівникові більш раціонально будувати свої плани та обирати зручний час для роботи. Не менш важливою перевагою є економія часу та ресурсів, яка позитивно впливає на співробітника, бо йому не доводиться витрачати додатковий час на поїздки до місця роботи. Компанії мають можливість зекономити на оренді приміщення для офісу та інших витратах, які є необхідними для функціонування робоч</w:t>
      </w:r>
      <w:r w:rsidRPr="00511005">
        <w:rPr>
          <w:rFonts w:ascii="Arial" w:eastAsia="Calibri" w:hAnsi="Arial" w:cs="Arial"/>
          <w:szCs w:val="28"/>
          <w:lang w:val="uk-UA"/>
        </w:rPr>
        <w:t>ого простору.</w:t>
      </w:r>
      <w:r w:rsidRPr="00511005">
        <w:rPr>
          <w:rFonts w:ascii="Arial" w:eastAsia="Calibri" w:hAnsi="Arial" w:cs="Arial"/>
          <w:szCs w:val="28"/>
        </w:rPr>
        <w:t xml:space="preserve"> Формат дистанційної роботи дає змогу залучати</w:t>
      </w:r>
      <w:r w:rsidR="007B2628" w:rsidRPr="00511005">
        <w:rPr>
          <w:rFonts w:ascii="Arial" w:eastAsia="Calibri" w:hAnsi="Arial" w:cs="Arial"/>
          <w:szCs w:val="28"/>
        </w:rPr>
        <w:t xml:space="preserve"> </w:t>
      </w:r>
      <w:r w:rsidRPr="00511005">
        <w:rPr>
          <w:rFonts w:ascii="Arial" w:eastAsia="Calibri" w:hAnsi="Arial" w:cs="Arial"/>
          <w:szCs w:val="28"/>
        </w:rPr>
        <w:t>працівників з різних міст та країн, що відкриває можливості розширити вибір кандидатів для формування команди з різними професійними</w:t>
      </w:r>
      <w:r w:rsidR="007B2628" w:rsidRPr="00511005">
        <w:rPr>
          <w:rFonts w:ascii="Arial" w:eastAsia="Calibri" w:hAnsi="Arial" w:cs="Arial"/>
          <w:szCs w:val="28"/>
          <w:lang w:val="uk-UA"/>
        </w:rPr>
        <w:t xml:space="preserve"> </w:t>
      </w:r>
      <w:r w:rsidRPr="00511005">
        <w:rPr>
          <w:rFonts w:ascii="Arial" w:eastAsia="Calibri" w:hAnsi="Arial" w:cs="Arial"/>
          <w:szCs w:val="28"/>
        </w:rPr>
        <w:t>навичками</w:t>
      </w:r>
      <w:r w:rsidR="007B2628" w:rsidRPr="00511005">
        <w:rPr>
          <w:rFonts w:ascii="Arial" w:eastAsia="Calibri" w:hAnsi="Arial" w:cs="Arial"/>
          <w:szCs w:val="28"/>
          <w:lang w:val="uk-UA"/>
        </w:rPr>
        <w:t xml:space="preserve"> </w:t>
      </w:r>
      <w:r w:rsidRPr="00511005">
        <w:rPr>
          <w:rFonts w:ascii="Arial" w:eastAsia="Calibri" w:hAnsi="Arial" w:cs="Arial"/>
          <w:szCs w:val="28"/>
        </w:rPr>
        <w:t>та</w:t>
      </w:r>
      <w:r w:rsidR="007B2628" w:rsidRPr="00511005">
        <w:rPr>
          <w:rFonts w:ascii="Arial" w:eastAsia="Calibri" w:hAnsi="Arial" w:cs="Arial"/>
          <w:szCs w:val="28"/>
          <w:lang w:val="uk-UA"/>
        </w:rPr>
        <w:t xml:space="preserve"> </w:t>
      </w:r>
      <w:r w:rsidRPr="00511005">
        <w:rPr>
          <w:rFonts w:ascii="Arial" w:eastAsia="Calibri" w:hAnsi="Arial" w:cs="Arial"/>
          <w:szCs w:val="28"/>
        </w:rPr>
        <w:t>досвідом.</w:t>
      </w:r>
    </w:p>
    <w:p w14:paraId="7C4B7C02" w14:textId="20CB3F1B" w:rsidR="003476F8" w:rsidRPr="00511005" w:rsidRDefault="003476F8" w:rsidP="003A292D">
      <w:pPr>
        <w:spacing w:line="264" w:lineRule="auto"/>
        <w:ind w:firstLine="567"/>
        <w:rPr>
          <w:rFonts w:ascii="Arial" w:eastAsia="Calibri" w:hAnsi="Arial" w:cs="Arial"/>
          <w:szCs w:val="28"/>
        </w:rPr>
      </w:pPr>
      <w:r w:rsidRPr="00511005">
        <w:rPr>
          <w:rFonts w:ascii="Arial" w:eastAsia="Calibri" w:hAnsi="Arial" w:cs="Arial"/>
          <w:szCs w:val="28"/>
          <w:lang w:val="uk-UA"/>
        </w:rPr>
        <w:t xml:space="preserve">Сукупність перелічених переваг і формує ефективність дистанційної роботи. Вона полягає, перш за все, у гнучкості графіку, що дозволяє працівникам поєднувати роботу, хоббі та особисте життя. Це позитивно впливає на співробітників та може допомогти знизити рівень стресу та напруги в команді. </w:t>
      </w:r>
      <w:r w:rsidRPr="00511005">
        <w:rPr>
          <w:rFonts w:ascii="Arial" w:eastAsia="Calibri" w:hAnsi="Arial" w:cs="Arial"/>
          <w:szCs w:val="28"/>
          <w:lang w:val="uk-UA"/>
        </w:rPr>
        <w:br/>
        <w:t>Global Workplace Analytics провели дослідження та показало, що віддалена робота здатна збільшити ефективність</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працівників на 15-45%. Важливу роль грає</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гнучкість графіка, який робітники можуть підлаштовувати під особисті бажання та часи продуктивності. </w:t>
      </w:r>
    </w:p>
    <w:p w14:paraId="76E1527B" w14:textId="3EB7CCFD"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Підвищує ефективність дистанційної роботи ще й комфорт працівників, адже вони можуть працювати у будь-якому місці за власним бажанням. Така можливість дає робітникам певну мотивацію на працю та бажання своєчасно виконувати покладені на них завдання. Багато працівників зазначають, що є більш продуктивними вдома без відволікаючих факторів офісу.</w:t>
      </w:r>
      <w:r w:rsidRPr="00511005">
        <w:rPr>
          <w:rFonts w:ascii="Arial" w:eastAsia="Calibri" w:hAnsi="Arial" w:cs="Arial"/>
          <w:szCs w:val="28"/>
          <w:lang w:val="uk-UA"/>
        </w:rPr>
        <w:br/>
        <w:t>Завдяки сучасним технологіям інформаційності, комунікації та управління проектами, співпраця під час дистанційної роботи стає більш ефективною, а результати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роботи – помітнішими. </w:t>
      </w:r>
    </w:p>
    <w:p w14:paraId="3D263F55" w14:textId="10CB3371"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lastRenderedPageBreak/>
        <w:t>Такий вид роботи значно полегшує життя людям, які не мають змоги їздити щодня в офіс. До прикладу, людина з інвалідністю або жінка, яка має маленьку дитину. Такі категорії осіб просто фізично не мають можливості щодня сидіти на роботі,а дистанційна робота – це можливість реалізації у професійному плані з поєднанням особистого життя та умов, що не дають змоги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працювати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безпосередньо в офісі. У даному прикладі ефективність цієї форми зайнятості полягає у тому, що таких людей багато і аби не втрачати їм роботу, а компаніям співробітників слід вводити можливість дистанційної роботи. З введенням такой можливості задоволеними залишаться обидві сторони, таким чином покращивши ефективність своєї роботи. </w:t>
      </w:r>
    </w:p>
    <w:p w14:paraId="7F586316" w14:textId="77777777" w:rsidR="003476F8" w:rsidRPr="00511005" w:rsidRDefault="003476F8" w:rsidP="003A292D">
      <w:pPr>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Отже, дистанційна робота є актуальною та комфортною формою зайнятості для багатьох роботодавців та працівників. Вона дає змогу робітникам самостійно будувати графік, що покращує баланс між роботою та особистим життям. Для компаній такий вид роботи є зручним з огляду на те, що це дозволяє знизити витрати на приміщеннях для робочого офісу та інші необхідні для роботи ресурси. </w:t>
      </w:r>
    </w:p>
    <w:p w14:paraId="7CDE4092" w14:textId="77777777" w:rsidR="003476F8" w:rsidRPr="00511005" w:rsidRDefault="003476F8" w:rsidP="003A292D">
      <w:pPr>
        <w:spacing w:line="264" w:lineRule="auto"/>
        <w:ind w:firstLine="567"/>
        <w:rPr>
          <w:rFonts w:ascii="Arial" w:eastAsia="Calibri" w:hAnsi="Arial" w:cs="Arial"/>
          <w:szCs w:val="28"/>
        </w:rPr>
      </w:pPr>
      <w:r w:rsidRPr="00511005">
        <w:rPr>
          <w:rFonts w:ascii="Arial" w:eastAsia="Calibri" w:hAnsi="Arial" w:cs="Arial"/>
          <w:szCs w:val="28"/>
          <w:lang w:val="uk-UA"/>
        </w:rPr>
        <w:t>Крім того, дистанційна робота допомагає у залученні працівників з різних міст та країн, що значно підвищує продуктивність команди. Дистанційна робота не лише відповідає викликам сучасності, але й відкриває нові можливості для розвитку працівників та компаній.</w:t>
      </w:r>
    </w:p>
    <w:p w14:paraId="75600B5C" w14:textId="77777777" w:rsidR="003476F8" w:rsidRPr="00511005" w:rsidRDefault="003476F8" w:rsidP="003A292D">
      <w:pPr>
        <w:spacing w:line="264" w:lineRule="auto"/>
        <w:ind w:firstLine="0"/>
        <w:rPr>
          <w:rFonts w:ascii="Arial" w:eastAsia="Calibri" w:hAnsi="Arial" w:cs="Arial"/>
          <w:szCs w:val="28"/>
          <w:lang w:val="uk-UA"/>
        </w:rPr>
      </w:pPr>
    </w:p>
    <w:p w14:paraId="00A0BF0A" w14:textId="5910D18D" w:rsidR="003476F8" w:rsidRPr="00511005" w:rsidRDefault="007B2628" w:rsidP="007B2628">
      <w:pPr>
        <w:widowControl w:val="0"/>
        <w:spacing w:line="264" w:lineRule="auto"/>
        <w:ind w:firstLine="0"/>
        <w:contextualSpacing/>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Список використаних джерел</w:t>
      </w:r>
    </w:p>
    <w:p w14:paraId="31CD846D" w14:textId="2F4E73D9" w:rsidR="003476F8" w:rsidRPr="00511005" w:rsidRDefault="003476F8" w:rsidP="003F6A5D">
      <w:pPr>
        <w:numPr>
          <w:ilvl w:val="0"/>
          <w:numId w:val="442"/>
        </w:numPr>
        <w:spacing w:line="264" w:lineRule="auto"/>
        <w:ind w:left="0" w:firstLine="284"/>
        <w:contextualSpacing/>
        <w:jc w:val="left"/>
        <w:rPr>
          <w:rFonts w:ascii="Arial" w:eastAsia="Calibri" w:hAnsi="Arial" w:cs="Arial"/>
          <w:szCs w:val="28"/>
          <w:lang w:val="uk-UA"/>
        </w:rPr>
      </w:pPr>
      <w:r w:rsidRPr="00511005">
        <w:rPr>
          <w:rFonts w:ascii="Arial" w:eastAsia="Calibri" w:hAnsi="Arial" w:cs="Arial"/>
          <w:szCs w:val="28"/>
          <w:lang w:val="uk-UA"/>
        </w:rPr>
        <w:t>Кодекс законів про працю України : Закон УРСР від 10 грудня 1971 року №322-</w:t>
      </w:r>
      <w:r w:rsidRPr="00511005">
        <w:rPr>
          <w:rFonts w:ascii="Arial" w:eastAsia="Calibri" w:hAnsi="Arial" w:cs="Arial"/>
          <w:szCs w:val="28"/>
          <w:lang w:val="en-US"/>
        </w:rPr>
        <w:t>VIII</w:t>
      </w:r>
      <w:r w:rsidRPr="00511005">
        <w:rPr>
          <w:rFonts w:ascii="Arial" w:eastAsia="Calibri" w:hAnsi="Arial" w:cs="Arial"/>
          <w:szCs w:val="28"/>
          <w:lang w:val="uk-UA"/>
        </w:rPr>
        <w:t xml:space="preserve">. </w:t>
      </w:r>
      <w:r w:rsidRPr="00511005">
        <w:rPr>
          <w:rFonts w:ascii="Arial" w:eastAsia="Calibri" w:hAnsi="Arial" w:cs="Arial"/>
          <w:i/>
          <w:iCs/>
          <w:szCs w:val="28"/>
          <w:lang w:val="uk-UA"/>
        </w:rPr>
        <w:t>Відомості Верховної Ради УРСР</w:t>
      </w:r>
      <w:r w:rsidRPr="00511005">
        <w:rPr>
          <w:rFonts w:ascii="Arial" w:eastAsia="Calibri" w:hAnsi="Arial" w:cs="Arial"/>
          <w:szCs w:val="28"/>
          <w:lang w:val="uk-UA"/>
        </w:rPr>
        <w:t>. 1971.</w:t>
      </w:r>
      <w:r w:rsidRPr="00511005">
        <w:rPr>
          <w:rFonts w:ascii="Arial" w:eastAsia="Calibri" w:hAnsi="Arial" w:cs="Arial"/>
          <w:szCs w:val="28"/>
          <w:lang w:val="uk-UA"/>
        </w:rPr>
        <w:br/>
        <w:t>Додаток</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до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№50. Ст. 375.</w:t>
      </w:r>
    </w:p>
    <w:p w14:paraId="345E205E" w14:textId="0F6353B5" w:rsidR="003476F8" w:rsidRPr="00511005" w:rsidRDefault="003476F8" w:rsidP="003F6A5D">
      <w:pPr>
        <w:numPr>
          <w:ilvl w:val="0"/>
          <w:numId w:val="442"/>
        </w:numPr>
        <w:spacing w:line="264" w:lineRule="auto"/>
        <w:ind w:left="0" w:firstLine="284"/>
        <w:contextualSpacing/>
        <w:jc w:val="left"/>
        <w:rPr>
          <w:rFonts w:ascii="Arial" w:eastAsia="Calibri" w:hAnsi="Arial" w:cs="Arial"/>
          <w:szCs w:val="28"/>
          <w:lang w:val="en-US"/>
        </w:rPr>
      </w:pPr>
      <w:r w:rsidRPr="00511005">
        <w:rPr>
          <w:rFonts w:ascii="Arial" w:eastAsia="Calibri" w:hAnsi="Arial" w:cs="Arial"/>
          <w:szCs w:val="28"/>
        </w:rPr>
        <w:t xml:space="preserve">Чанишева Г. І. Трудове право </w:t>
      </w:r>
      <w:proofErr w:type="gramStart"/>
      <w:r w:rsidRPr="00511005">
        <w:rPr>
          <w:rFonts w:ascii="Arial" w:eastAsia="Calibri" w:hAnsi="Arial" w:cs="Arial"/>
          <w:szCs w:val="28"/>
        </w:rPr>
        <w:t>України :</w:t>
      </w:r>
      <w:proofErr w:type="gramEnd"/>
      <w:r w:rsidRPr="00511005">
        <w:rPr>
          <w:rFonts w:ascii="Arial" w:eastAsia="Calibri" w:hAnsi="Arial" w:cs="Arial"/>
          <w:szCs w:val="28"/>
        </w:rPr>
        <w:t xml:space="preserve"> навч</w:t>
      </w:r>
      <w:r w:rsidRPr="00511005">
        <w:rPr>
          <w:rFonts w:ascii="Arial" w:eastAsia="Calibri" w:hAnsi="Arial" w:cs="Arial"/>
          <w:szCs w:val="28"/>
          <w:lang w:val="uk-UA"/>
        </w:rPr>
        <w:t>.</w:t>
      </w:r>
      <w:r w:rsidRPr="00511005">
        <w:rPr>
          <w:rFonts w:ascii="Arial" w:eastAsia="Calibri" w:hAnsi="Arial" w:cs="Arial"/>
          <w:szCs w:val="28"/>
        </w:rPr>
        <w:t>-</w:t>
      </w:r>
      <w:r w:rsidRPr="00511005">
        <w:rPr>
          <w:rFonts w:ascii="Arial" w:eastAsia="Calibri" w:hAnsi="Arial" w:cs="Arial"/>
          <w:szCs w:val="28"/>
          <w:lang w:val="uk-UA"/>
        </w:rPr>
        <w:t xml:space="preserve"> </w:t>
      </w:r>
      <w:r w:rsidRPr="00511005">
        <w:rPr>
          <w:rFonts w:ascii="Arial" w:eastAsia="Calibri" w:hAnsi="Arial" w:cs="Arial"/>
          <w:szCs w:val="28"/>
        </w:rPr>
        <w:t>мето</w:t>
      </w:r>
      <w:r w:rsidRPr="00511005">
        <w:rPr>
          <w:rFonts w:ascii="Arial" w:eastAsia="Calibri" w:hAnsi="Arial" w:cs="Arial"/>
          <w:szCs w:val="28"/>
          <w:lang w:val="uk-UA"/>
        </w:rPr>
        <w:t>д.</w:t>
      </w:r>
      <w:r w:rsidR="007B2628" w:rsidRPr="00511005">
        <w:rPr>
          <w:rFonts w:ascii="Arial" w:eastAsia="Calibri" w:hAnsi="Arial" w:cs="Arial"/>
          <w:szCs w:val="28"/>
          <w:lang w:val="uk-UA"/>
        </w:rPr>
        <w:t xml:space="preserve"> </w:t>
      </w:r>
      <w:r w:rsidRPr="00055389">
        <w:rPr>
          <w:rFonts w:ascii="Arial" w:eastAsia="Calibri" w:hAnsi="Arial" w:cs="Arial"/>
          <w:szCs w:val="28"/>
        </w:rPr>
        <w:t xml:space="preserve">посібник. </w:t>
      </w:r>
      <w:proofErr w:type="gramStart"/>
      <w:r w:rsidRPr="00511005">
        <w:rPr>
          <w:rFonts w:ascii="Arial" w:eastAsia="Calibri" w:hAnsi="Arial" w:cs="Arial"/>
          <w:szCs w:val="28"/>
          <w:lang w:val="en-US"/>
        </w:rPr>
        <w:t>Одеса :</w:t>
      </w:r>
      <w:proofErr w:type="gramEnd"/>
      <w:r w:rsidRPr="00511005">
        <w:rPr>
          <w:rFonts w:ascii="Arial" w:eastAsia="Calibri" w:hAnsi="Arial" w:cs="Arial"/>
          <w:szCs w:val="28"/>
          <w:lang w:val="en-US"/>
        </w:rPr>
        <w:t xml:space="preserve"> Фенікс, 2022.</w:t>
      </w:r>
      <w:r w:rsidRPr="00511005">
        <w:rPr>
          <w:rFonts w:ascii="Arial" w:eastAsia="Calibri" w:hAnsi="Arial" w:cs="Arial"/>
          <w:szCs w:val="28"/>
          <w:lang w:val="uk-UA"/>
        </w:rPr>
        <w:t xml:space="preserve"> 141с.</w:t>
      </w:r>
    </w:p>
    <w:p w14:paraId="1A0C822A" w14:textId="77777777" w:rsidR="003476F8" w:rsidRPr="00511005" w:rsidRDefault="003476F8" w:rsidP="003F6A5D">
      <w:pPr>
        <w:numPr>
          <w:ilvl w:val="0"/>
          <w:numId w:val="442"/>
        </w:numPr>
        <w:spacing w:line="264" w:lineRule="auto"/>
        <w:ind w:left="0" w:firstLine="273"/>
        <w:contextualSpacing/>
        <w:jc w:val="left"/>
        <w:rPr>
          <w:rFonts w:ascii="Arial" w:eastAsia="Calibri" w:hAnsi="Arial" w:cs="Arial"/>
          <w:szCs w:val="28"/>
          <w:lang w:val="en-US"/>
        </w:rPr>
      </w:pPr>
      <w:r w:rsidRPr="00511005">
        <w:rPr>
          <w:rFonts w:ascii="Arial" w:eastAsia="Calibri" w:hAnsi="Arial" w:cs="Arial"/>
          <w:szCs w:val="28"/>
          <w:lang w:val="uk-UA"/>
        </w:rPr>
        <w:t>Чанишева Г. І., Наньєва М. І. Трудове право : навч.- метод. посібник. Одеса: Фенікс, 2024. 118 с.</w:t>
      </w:r>
    </w:p>
    <w:p w14:paraId="6CEA5671" w14:textId="3A0B251F" w:rsidR="003476F8" w:rsidRPr="00511005" w:rsidRDefault="003476F8" w:rsidP="003F6A5D">
      <w:pPr>
        <w:numPr>
          <w:ilvl w:val="0"/>
          <w:numId w:val="442"/>
        </w:numPr>
        <w:spacing w:line="264" w:lineRule="auto"/>
        <w:ind w:left="0" w:firstLine="284"/>
        <w:contextualSpacing/>
        <w:jc w:val="left"/>
        <w:rPr>
          <w:rFonts w:ascii="Arial" w:eastAsia="Calibri" w:hAnsi="Arial" w:cs="Arial"/>
          <w:szCs w:val="28"/>
        </w:rPr>
      </w:pPr>
      <w:r w:rsidRPr="00511005">
        <w:rPr>
          <w:rFonts w:ascii="Arial" w:eastAsia="Calibri" w:hAnsi="Arial" w:cs="Arial"/>
          <w:szCs w:val="28"/>
        </w:rPr>
        <w:t xml:space="preserve">Особливості дистанційної роботи. </w:t>
      </w:r>
      <w:r w:rsidRPr="00511005">
        <w:rPr>
          <w:rFonts w:ascii="Arial" w:eastAsia="Calibri" w:hAnsi="Arial" w:cs="Arial"/>
          <w:i/>
          <w:iCs/>
          <w:szCs w:val="28"/>
        </w:rPr>
        <w:t>7</w:t>
      </w:r>
      <w:proofErr w:type="gramStart"/>
      <w:r w:rsidRPr="00511005">
        <w:rPr>
          <w:rFonts w:ascii="Arial" w:eastAsia="Calibri" w:hAnsi="Arial" w:cs="Arial"/>
          <w:i/>
          <w:iCs/>
          <w:szCs w:val="28"/>
          <w:lang w:val="en-US"/>
        </w:rPr>
        <w:t>eminar</w:t>
      </w:r>
      <w:r w:rsidRPr="00511005">
        <w:rPr>
          <w:rFonts w:ascii="Arial" w:eastAsia="Calibri" w:hAnsi="Arial" w:cs="Arial"/>
          <w:i/>
          <w:iCs/>
          <w:szCs w:val="28"/>
          <w:lang w:val="uk-UA"/>
        </w:rPr>
        <w:t xml:space="preserve"> </w:t>
      </w:r>
      <w:r w:rsidRPr="00511005">
        <w:rPr>
          <w:rFonts w:ascii="Arial" w:eastAsia="Calibri" w:hAnsi="Arial" w:cs="Arial"/>
          <w:szCs w:val="28"/>
          <w:lang w:val="uk-UA"/>
        </w:rPr>
        <w:t>:</w:t>
      </w:r>
      <w:proofErr w:type="gramEnd"/>
      <w:r w:rsidRPr="00511005">
        <w:rPr>
          <w:rFonts w:ascii="Arial" w:eastAsia="Calibri" w:hAnsi="Arial" w:cs="Arial"/>
          <w:szCs w:val="28"/>
          <w:lang w:val="uk-UA"/>
        </w:rPr>
        <w:t xml:space="preserve"> вебсайт</w:t>
      </w:r>
      <w:r w:rsidRPr="00511005">
        <w:rPr>
          <w:rFonts w:ascii="Arial" w:eastAsia="Calibri" w:hAnsi="Arial" w:cs="Arial"/>
          <w:i/>
          <w:iCs/>
          <w:szCs w:val="28"/>
        </w:rPr>
        <w:t>.</w:t>
      </w:r>
      <w:r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w:t>
      </w:r>
      <w:r w:rsidRPr="00511005">
        <w:rPr>
          <w:rFonts w:ascii="Arial" w:eastAsia="Calibri" w:hAnsi="Arial" w:cs="Arial"/>
          <w:szCs w:val="28"/>
          <w:lang w:val="uk-UA"/>
        </w:rPr>
        <w:br/>
      </w:r>
      <w:hyperlink r:id="rId1672" w:history="1">
        <w:r w:rsidRPr="00511005">
          <w:rPr>
            <w:rFonts w:ascii="Arial" w:eastAsia="Calibri" w:hAnsi="Arial" w:cs="Arial"/>
            <w:szCs w:val="28"/>
            <w:lang w:val="en-US"/>
          </w:rPr>
          <w:t>https</w:t>
        </w:r>
        <w:r w:rsidRPr="00511005">
          <w:rPr>
            <w:rFonts w:ascii="Arial" w:eastAsia="Calibri" w:hAnsi="Arial" w:cs="Arial"/>
            <w:szCs w:val="28"/>
          </w:rPr>
          <w:t>://7</w:t>
        </w:r>
        <w:r w:rsidRPr="00511005">
          <w:rPr>
            <w:rFonts w:ascii="Arial" w:eastAsia="Calibri" w:hAnsi="Arial" w:cs="Arial"/>
            <w:szCs w:val="28"/>
            <w:lang w:val="en-US"/>
          </w:rPr>
          <w:t>eminar</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news</w:t>
        </w:r>
        <w:r w:rsidRPr="00511005">
          <w:rPr>
            <w:rFonts w:ascii="Arial" w:eastAsia="Calibri" w:hAnsi="Arial" w:cs="Arial"/>
            <w:szCs w:val="28"/>
          </w:rPr>
          <w:t>/1325-</w:t>
        </w:r>
        <w:r w:rsidRPr="00511005">
          <w:rPr>
            <w:rFonts w:ascii="Arial" w:eastAsia="Calibri" w:hAnsi="Arial" w:cs="Arial"/>
            <w:szCs w:val="28"/>
            <w:lang w:val="en-US"/>
          </w:rPr>
          <w:t>osoblivosti</w:t>
        </w:r>
        <w:r w:rsidRPr="00511005">
          <w:rPr>
            <w:rFonts w:ascii="Arial" w:eastAsia="Calibri" w:hAnsi="Arial" w:cs="Arial"/>
            <w:szCs w:val="28"/>
          </w:rPr>
          <w:t>-</w:t>
        </w:r>
        <w:r w:rsidRPr="00511005">
          <w:rPr>
            <w:rFonts w:ascii="Arial" w:eastAsia="Calibri" w:hAnsi="Arial" w:cs="Arial"/>
            <w:szCs w:val="28"/>
            <w:lang w:val="en-US"/>
          </w:rPr>
          <w:t>distanciinoyi</w:t>
        </w:r>
        <w:r w:rsidRPr="00511005">
          <w:rPr>
            <w:rFonts w:ascii="Arial" w:eastAsia="Calibri" w:hAnsi="Arial" w:cs="Arial"/>
            <w:szCs w:val="28"/>
          </w:rPr>
          <w:t>-</w:t>
        </w:r>
        <w:r w:rsidRPr="00511005">
          <w:rPr>
            <w:rFonts w:ascii="Arial" w:eastAsia="Calibri" w:hAnsi="Arial" w:cs="Arial"/>
            <w:szCs w:val="28"/>
            <w:lang w:val="en-US"/>
          </w:rPr>
          <w:t>roboti</w:t>
        </w:r>
      </w:hyperlink>
      <w:r w:rsidR="007B2628" w:rsidRPr="00511005">
        <w:rPr>
          <w:rFonts w:ascii="Arial" w:eastAsia="Calibri" w:hAnsi="Arial" w:cs="Arial"/>
          <w:szCs w:val="28"/>
          <w:lang w:val="uk-UA"/>
        </w:rPr>
        <w:t xml:space="preserve"> </w:t>
      </w:r>
      <w:r w:rsidRPr="00511005">
        <w:rPr>
          <w:rFonts w:ascii="Arial" w:eastAsia="Calibri" w:hAnsi="Arial" w:cs="Arial"/>
          <w:szCs w:val="28"/>
        </w:rPr>
        <w:t>(дата звернення: 30.04.2025).</w:t>
      </w:r>
    </w:p>
    <w:p w14:paraId="750312B0" w14:textId="77777777" w:rsidR="003476F8" w:rsidRPr="00511005" w:rsidRDefault="003476F8" w:rsidP="003A292D">
      <w:pPr>
        <w:spacing w:line="264" w:lineRule="auto"/>
        <w:ind w:firstLine="0"/>
        <w:rPr>
          <w:rFonts w:ascii="Arial" w:eastAsia="Calibri" w:hAnsi="Arial" w:cs="Arial"/>
          <w:szCs w:val="28"/>
          <w:lang w:val="uk-UA"/>
        </w:rPr>
      </w:pPr>
    </w:p>
    <w:p w14:paraId="11F0E63F" w14:textId="21E9342C" w:rsidR="003476F8" w:rsidRPr="00511005" w:rsidRDefault="007B2628" w:rsidP="003A292D">
      <w:pPr>
        <w:spacing w:line="264" w:lineRule="auto"/>
        <w:ind w:left="284" w:firstLine="0"/>
        <w:jc w:val="left"/>
        <w:rPr>
          <w:rFonts w:ascii="Arial" w:eastAsia="Times New Roman" w:hAnsi="Arial" w:cs="Arial"/>
          <w:szCs w:val="28"/>
          <w:lang w:val="en-US" w:eastAsia="ru-RU"/>
        </w:rPr>
      </w:pPr>
      <w:r w:rsidRPr="00511005">
        <w:rPr>
          <w:rFonts w:ascii="Arial" w:eastAsia="Times New Roman" w:hAnsi="Arial" w:cs="Arial"/>
          <w:b/>
          <w:i/>
          <w:szCs w:val="28"/>
          <w:lang w:eastAsia="ru-RU"/>
        </w:rPr>
        <w:t xml:space="preserve">Ключові слова: </w:t>
      </w:r>
      <w:r w:rsidR="003476F8" w:rsidRPr="00511005">
        <w:rPr>
          <w:rFonts w:ascii="Arial" w:eastAsia="Times New Roman" w:hAnsi="Arial" w:cs="Arial"/>
          <w:szCs w:val="28"/>
          <w:lang w:eastAsia="ru-RU"/>
        </w:rPr>
        <w:t>дистанційна робота, працівник, ефективність, роботодавець, компанія, переваги,</w:t>
      </w:r>
      <w:r w:rsidR="003476F8" w:rsidRPr="00511005">
        <w:rPr>
          <w:rFonts w:ascii="Arial" w:eastAsia="Times New Roman" w:hAnsi="Arial" w:cs="Arial"/>
          <w:szCs w:val="28"/>
          <w:lang w:val="en-US" w:eastAsia="ru-RU"/>
        </w:rPr>
        <w:t> </w:t>
      </w:r>
      <w:r w:rsidR="003476F8" w:rsidRPr="00511005">
        <w:rPr>
          <w:rFonts w:ascii="Arial" w:eastAsia="Times New Roman" w:hAnsi="Arial" w:cs="Arial"/>
          <w:szCs w:val="28"/>
          <w:lang w:eastAsia="ru-RU"/>
        </w:rPr>
        <w:t>недоліки.</w:t>
      </w:r>
      <w:r w:rsidR="003476F8" w:rsidRPr="00511005">
        <w:rPr>
          <w:rFonts w:ascii="Arial" w:eastAsia="Times New Roman" w:hAnsi="Arial" w:cs="Arial"/>
          <w:szCs w:val="28"/>
          <w:lang w:eastAsia="ru-RU"/>
        </w:rPr>
        <w:br/>
      </w:r>
      <w:r w:rsidRPr="00511005">
        <w:rPr>
          <w:rFonts w:ascii="Arial" w:eastAsia="Times New Roman" w:hAnsi="Arial" w:cs="Arial"/>
          <w:b/>
          <w:i/>
          <w:szCs w:val="28"/>
          <w:lang w:val="en-US" w:eastAsia="ru-RU"/>
        </w:rPr>
        <w:t xml:space="preserve">Key words: </w:t>
      </w:r>
      <w:r w:rsidR="003476F8" w:rsidRPr="00511005">
        <w:rPr>
          <w:rFonts w:ascii="Arial" w:eastAsia="Times New Roman" w:hAnsi="Arial" w:cs="Arial"/>
          <w:szCs w:val="28"/>
          <w:lang w:val="en-US" w:eastAsia="ru-RU"/>
        </w:rPr>
        <w:t>remote work, worker, efficiency, employer, company, benefits, deficiencies.</w:t>
      </w:r>
    </w:p>
    <w:p w14:paraId="61BDBF8C" w14:textId="77777777" w:rsidR="003476F8" w:rsidRPr="00511005" w:rsidRDefault="003476F8" w:rsidP="003A292D">
      <w:pPr>
        <w:spacing w:line="264" w:lineRule="auto"/>
        <w:ind w:left="284" w:firstLine="0"/>
        <w:jc w:val="left"/>
        <w:rPr>
          <w:rFonts w:ascii="Arial" w:eastAsia="Times New Roman" w:hAnsi="Arial" w:cs="Arial"/>
          <w:szCs w:val="28"/>
          <w:lang w:val="en-US" w:eastAsia="ru-RU"/>
        </w:rPr>
      </w:pPr>
    </w:p>
    <w:p w14:paraId="476A54B2" w14:textId="1033F2FB" w:rsidR="003476F8" w:rsidRPr="00511005" w:rsidRDefault="007B2628" w:rsidP="003A292D">
      <w:pPr>
        <w:spacing w:line="264" w:lineRule="auto"/>
        <w:ind w:left="284" w:firstLine="0"/>
        <w:jc w:val="left"/>
        <w:rPr>
          <w:rFonts w:ascii="Arial" w:eastAsia="Times New Roman" w:hAnsi="Arial" w:cs="Arial"/>
          <w:i/>
          <w:iCs/>
          <w:szCs w:val="28"/>
          <w:lang w:val="uk-UA" w:eastAsia="ru-RU"/>
        </w:rPr>
      </w:pPr>
      <w:r w:rsidRPr="00511005">
        <w:rPr>
          <w:rFonts w:ascii="Arial" w:eastAsia="Times New Roman" w:hAnsi="Arial" w:cs="Arial"/>
          <w:b/>
          <w:i/>
          <w:szCs w:val="28"/>
          <w:lang w:eastAsia="ru-RU"/>
        </w:rPr>
        <w:t xml:space="preserve">Науковий керівник: </w:t>
      </w:r>
      <w:r w:rsidR="003476F8" w:rsidRPr="00511005">
        <w:rPr>
          <w:rFonts w:ascii="Arial" w:eastAsia="Times New Roman" w:hAnsi="Arial" w:cs="Arial"/>
          <w:i/>
          <w:szCs w:val="28"/>
          <w:lang w:eastAsia="ru-RU"/>
        </w:rPr>
        <w:t>асистент Кіліміченко А</w:t>
      </w:r>
      <w:r w:rsidR="003476F8" w:rsidRPr="00511005">
        <w:rPr>
          <w:rFonts w:ascii="Arial" w:eastAsia="Times New Roman" w:hAnsi="Arial" w:cs="Arial"/>
          <w:i/>
          <w:szCs w:val="28"/>
          <w:lang w:val="uk-UA" w:eastAsia="ru-RU"/>
        </w:rPr>
        <w:t>.О.</w:t>
      </w:r>
    </w:p>
    <w:p w14:paraId="55400DA6" w14:textId="77777777" w:rsidR="003476F8" w:rsidRPr="00511005" w:rsidRDefault="003476F8" w:rsidP="003A292D">
      <w:pPr>
        <w:spacing w:line="264" w:lineRule="auto"/>
        <w:ind w:firstLine="284"/>
        <w:rPr>
          <w:rFonts w:ascii="Arial" w:eastAsia="Calibri" w:hAnsi="Arial" w:cs="Arial"/>
          <w:i/>
          <w:szCs w:val="28"/>
        </w:rPr>
      </w:pPr>
    </w:p>
    <w:p w14:paraId="7FAA6890" w14:textId="77777777" w:rsidR="003476F8" w:rsidRPr="00511005" w:rsidRDefault="003476F8" w:rsidP="003A292D">
      <w:pPr>
        <w:spacing w:line="264" w:lineRule="auto"/>
        <w:jc w:val="center"/>
        <w:rPr>
          <w:rFonts w:ascii="Arial" w:eastAsia="Calibri" w:hAnsi="Arial" w:cs="Arial"/>
          <w:kern w:val="2"/>
          <w:szCs w:val="28"/>
          <w:lang w:val="uk-UA"/>
          <w14:ligatures w14:val="standardContextual"/>
        </w:rPr>
      </w:pPr>
    </w:p>
    <w:p w14:paraId="5696391C" w14:textId="77777777"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lastRenderedPageBreak/>
        <w:t>Ілічко Володимир Володимирович</w:t>
      </w:r>
    </w:p>
    <w:p w14:paraId="5C19D82A" w14:textId="39C9F1F5" w:rsidR="003476F8" w:rsidRPr="00511005" w:rsidRDefault="00536AAB"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 2-го курсу </w:t>
      </w:r>
      <w:r w:rsidR="001B7B25" w:rsidRPr="00511005">
        <w:rPr>
          <w:rFonts w:ascii="Arial" w:eastAsia="Calibri" w:hAnsi="Arial" w:cs="Arial"/>
          <w:szCs w:val="28"/>
        </w:rPr>
        <w:t>факультету судового та міжнародного права</w:t>
      </w:r>
      <w:r w:rsidR="003476F8" w:rsidRPr="00511005">
        <w:rPr>
          <w:rFonts w:ascii="Arial" w:eastAsia="Times New Roman" w:hAnsi="Arial" w:cs="Arial"/>
          <w:szCs w:val="28"/>
          <w:lang w:val="uk-UA" w:eastAsia="ru-RU"/>
        </w:rPr>
        <w:br/>
      </w:r>
      <w:r w:rsidR="00C66506" w:rsidRPr="00511005">
        <w:rPr>
          <w:rFonts w:ascii="Arial" w:eastAsia="Times New Roman" w:hAnsi="Arial" w:cs="Arial"/>
          <w:szCs w:val="28"/>
          <w:lang w:val="uk-UA" w:eastAsia="ru-RU"/>
        </w:rPr>
        <w:t>Національного університету «Одеська юридична академія»</w:t>
      </w:r>
    </w:p>
    <w:p w14:paraId="668699CC" w14:textId="77777777" w:rsidR="003476F8" w:rsidRPr="00511005" w:rsidRDefault="003476F8" w:rsidP="003A292D">
      <w:pPr>
        <w:tabs>
          <w:tab w:val="left" w:pos="851"/>
        </w:tabs>
        <w:spacing w:line="264" w:lineRule="auto"/>
        <w:rPr>
          <w:rFonts w:ascii="Arial" w:eastAsia="Times New Roman" w:hAnsi="Arial" w:cs="Arial"/>
          <w:szCs w:val="28"/>
          <w:lang w:val="uk-UA" w:eastAsia="ru-RU"/>
        </w:rPr>
      </w:pPr>
    </w:p>
    <w:p w14:paraId="54C71F71" w14:textId="77777777" w:rsidR="003476F8" w:rsidRPr="00511005" w:rsidRDefault="003476F8" w:rsidP="003A292D">
      <w:pPr>
        <w:spacing w:line="264" w:lineRule="auto"/>
        <w:jc w:val="center"/>
        <w:rPr>
          <w:rFonts w:ascii="Arial" w:eastAsia="Calibri" w:hAnsi="Arial" w:cs="Arial"/>
          <w:b/>
          <w:bCs/>
          <w:szCs w:val="28"/>
          <w:lang w:val="uk-UA" w:eastAsia="ru-RU"/>
        </w:rPr>
      </w:pPr>
      <w:r w:rsidRPr="00511005">
        <w:rPr>
          <w:rFonts w:ascii="Arial" w:eastAsia="Calibri" w:hAnsi="Arial" w:cs="Arial"/>
          <w:b/>
          <w:bCs/>
          <w:szCs w:val="28"/>
          <w:lang w:val="uk-UA" w:eastAsia="ru-RU"/>
        </w:rPr>
        <w:t>СПРОЩЕНИЙ ПОРЯДОК ОФОРМЛЕННЯ ТРУДОВИХ ВІДНОСИН В УМОВАХ ВОЄННОГО СТАНУ</w:t>
      </w:r>
    </w:p>
    <w:p w14:paraId="760E2750"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Запровадження спрощеного порядку оформлення трудових відносин в умовах воєнного стану в Україні відбулося у відповідь на виклики, спричинені широкомасштабною збройною агресією. Основою для регулювання трудових відносин у цей період стали положення Закону України «Про організацію трудових відносин в умовах воєнного стану» № 2136-IX від 15 березня 2022 року, який набрав чинності 24 березня 2022 року. Цей закон дозволив суттєво адаптувати трудове законодавство до умов надзвичайної ситуації, встановивши особливий правовий режим у сфері праці [1].</w:t>
      </w:r>
    </w:p>
    <w:p w14:paraId="18070C2B"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Згідно із зазначеним законом та пов’язаними змінами до Кодексу законів про працю України, роботодавцям надано можливість укладати трудові договори в усній формі, змінювати істотні умови праці без згоди працівника, а також швидко припиняти або поновлювати трудові відносини. Такі норми стали реакцією на потребу забезпечення оперативного працевлаштування працівників у критичних сферах, збереження функціонування економіки та надання життєво необхідних послуг населенню.</w:t>
      </w:r>
    </w:p>
    <w:p w14:paraId="616A9ADF"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Метою запровадження спрощеного порядку оформлення трудових відносин в умовах воєнного стану стало забезпечення оперативного реагування на виклики, спричинені повномасштабною війною, зокрема масовим переміщенням населення, руйнуванням підприємств, мобілізацією працівників і дефіцитом робочої сили. Спрощення процедур мало на меті створити умови для швидкого залучення працівників до роботи без зайвого бюрократичного навантаження, а також підтримати працездатне населення та забезпечити безперервну діяльність підприємств, установ і організацій в умовах надзвичайної ситуації.</w:t>
      </w:r>
    </w:p>
    <w:p w14:paraId="51C44144"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Завданням такого підходу було досягнення балансу між потребами економіки та збереженням трудових прав громадян. Законодавець прагнув надати роботодавцям більше гнучкості в управлінні персоналом, одночасно визначивши мінімальні соціальні гарантії для працівників. Впроваджені норми сприяли зниженню ризику нелегальної зайнятості, спрощенню документообігу й адаптації трудового законодавства до потреб воєнного часу без кардинального порушення базових трудових принципів.</w:t>
      </w:r>
    </w:p>
    <w:p w14:paraId="7108A8E3"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межах спрощеного порядку особливої уваги зазнала процедура укладення трудового договору та прийняття працівника на роботу. Закон України № 2136-IX передбачив можливість укладення трудового договору </w:t>
      </w:r>
      <w:r w:rsidRPr="00511005">
        <w:rPr>
          <w:rFonts w:ascii="Arial" w:eastAsia="Times New Roman" w:hAnsi="Arial" w:cs="Arial"/>
          <w:szCs w:val="28"/>
          <w:lang w:val="uk-UA" w:eastAsia="ru-RU"/>
        </w:rPr>
        <w:lastRenderedPageBreak/>
        <w:t>як у письмовій, так і в електронній формі, зокрема шляхом обміну електронними повідомленнями між працівником і роботодавцем. Також було дозволено оформлювати працівників на роботу без попереднього медичного огляду (крім окремих категорій), а повідомлення про прийняття працівника можна подавати в Державну податкову службу до або протягом наступного робочого дня після фактичного початку роботи. Це дозволило значно прискорити процес працевлаштування у складних умовах [</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w:t>
      </w:r>
    </w:p>
    <w:p w14:paraId="74440ED6"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Окрім того, в умовах воєнного стану допускається тимчасове переведення працівника на іншу роботу без його згоди, якщо така робота не загрожує його життю чи здоров’ю, а також можливе укладення строкових трудових договорів незалежно від характеру роботи. Усі ці зміни спрямовані на оперативне забезпечення трудових ресурсів для критично важливих сфер економіки, оборони та інфраструктури. Така гнучкість дозволила як зберегти зайнятість, так і забезпечити безперервність роботи підприємств навіть в умовах постійної небезпеки та нестабільності.</w:t>
      </w:r>
    </w:p>
    <w:p w14:paraId="71FA2A0A"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Незважаючи на позитивні ефекти запровадженого спрощення, правозастосовча практика виявила низку проблем, які потребують вирішення. Серед основних викликів — недостатня поінформованість працівників про їхні права в нових умовах, ризики зловживань з боку недобросовісних роботодавців, а також труднощі з доведенням фактів трудових правопорушень в умовах обмеженого документообігу. Крім того, неповне нормативне врегулювання окремих ситуацій створює прогалини, які можуть бути використані для уникнення відповідальності або приховування трудових відносин [</w:t>
      </w:r>
      <w:r w:rsidRPr="00511005">
        <w:rPr>
          <w:rFonts w:ascii="Arial" w:eastAsia="Times New Roman" w:hAnsi="Arial" w:cs="Arial"/>
          <w:szCs w:val="28"/>
          <w:lang w:eastAsia="ru-RU"/>
        </w:rPr>
        <w:t>3</w:t>
      </w:r>
      <w:r w:rsidRPr="00511005">
        <w:rPr>
          <w:rFonts w:ascii="Arial" w:eastAsia="Times New Roman" w:hAnsi="Arial" w:cs="Arial"/>
          <w:szCs w:val="28"/>
          <w:lang w:val="uk-UA" w:eastAsia="ru-RU"/>
        </w:rPr>
        <w:t>].</w:t>
      </w:r>
    </w:p>
    <w:p w14:paraId="252BBD0B" w14:textId="04F2FC08" w:rsidR="003476F8"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У перспективі після завершення воєнного стану постане питання про скасування або адаптацію тимчасових норм до мирного часу. Це вимагатиме ретельного аналізу їх ефективності, соціального впливу та правових наслідків. Водночас окремі елементи спрощення, що виявилися ефективними (наприклад, електронна форма трудового договору чи гнучкі умови праці), можуть бути інтегровані в постійну систему трудового права як частина модернізації трудового законодавства України.</w:t>
      </w:r>
    </w:p>
    <w:p w14:paraId="78BB7A3F" w14:textId="77777777" w:rsidR="00A54AC2" w:rsidRPr="00511005" w:rsidRDefault="00A54AC2" w:rsidP="003A292D">
      <w:pPr>
        <w:spacing w:line="264" w:lineRule="auto"/>
        <w:contextualSpacing/>
        <w:rPr>
          <w:rFonts w:ascii="Arial" w:eastAsia="Times New Roman" w:hAnsi="Arial" w:cs="Arial"/>
          <w:szCs w:val="28"/>
          <w:lang w:val="uk-UA" w:eastAsia="ru-RU"/>
        </w:rPr>
      </w:pPr>
    </w:p>
    <w:p w14:paraId="1A0008C5" w14:textId="06018FB6" w:rsidR="003476F8" w:rsidRPr="00A54AC2" w:rsidRDefault="007B2628" w:rsidP="007B2628">
      <w:pPr>
        <w:spacing w:line="264" w:lineRule="auto"/>
        <w:contextualSpacing/>
        <w:jc w:val="center"/>
        <w:rPr>
          <w:rFonts w:ascii="Arial" w:eastAsia="Times New Roman" w:hAnsi="Arial" w:cs="Arial"/>
          <w:b/>
          <w:bCs/>
          <w:szCs w:val="28"/>
          <w:lang w:val="uk-UA" w:eastAsia="ru-RU"/>
        </w:rPr>
      </w:pPr>
      <w:r w:rsidRPr="00A54AC2">
        <w:rPr>
          <w:rFonts w:ascii="Arial" w:eastAsia="Times New Roman" w:hAnsi="Arial" w:cs="Arial"/>
          <w:b/>
          <w:bCs/>
          <w:szCs w:val="28"/>
          <w:lang w:val="uk-UA" w:eastAsia="ru-RU"/>
        </w:rPr>
        <w:t>Список використаних джерел</w:t>
      </w:r>
    </w:p>
    <w:p w14:paraId="0E5D22C5"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 Про організацію трудових відносин в умовах воєнного стану: Закон України від 15.03.2022 р. № 2136-IX.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https://tax.gov.ua/diyalnist-/zakonodavstvo-pro-diyalnis/zakoni-ukraini/78677.html (дата звернення: 01.05.2025).</w:t>
      </w:r>
    </w:p>
    <w:p w14:paraId="260B91B2" w14:textId="6FC47938"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 Як вплинув воєнний стан на тривалість робочого часу та на укладення трудового договору</w:t>
      </w:r>
      <w:r w:rsidRPr="00511005">
        <w:rPr>
          <w:rFonts w:ascii="Arial" w:eastAsia="Times New Roman" w:hAnsi="Arial" w:cs="Arial"/>
          <w:szCs w:val="28"/>
          <w:lang w:eastAsia="ru-RU"/>
        </w:rPr>
        <w:t xml:space="preserve">. </w:t>
      </w:r>
      <w:r w:rsidRPr="00511005">
        <w:rPr>
          <w:rFonts w:ascii="Arial" w:eastAsia="Times New Roman" w:hAnsi="Arial" w:cs="Arial"/>
          <w:iCs/>
          <w:szCs w:val="28"/>
          <w:lang w:val="uk-UA" w:eastAsia="ru-RU"/>
        </w:rPr>
        <w:t>Medoc</w:t>
      </w:r>
      <w:r w:rsidRPr="00511005">
        <w:rPr>
          <w:rFonts w:ascii="Arial" w:eastAsia="Times New Roman" w:hAnsi="Arial" w:cs="Arial"/>
          <w:szCs w:val="28"/>
          <w:lang w:val="uk-UA" w:eastAsia="ru-RU"/>
        </w:rPr>
        <w:t>. </w:t>
      </w:r>
      <w:r w:rsidRPr="00511005">
        <w:rPr>
          <w:rFonts w:ascii="Arial" w:eastAsia="Times New Roman" w:hAnsi="Arial" w:cs="Arial"/>
          <w:iCs/>
          <w:szCs w:val="28"/>
          <w:lang w:val="uk-UA" w:eastAsia="ru-RU"/>
        </w:rPr>
        <w:t>Блог.</w:t>
      </w:r>
      <w:r w:rsidRPr="00511005">
        <w:rPr>
          <w:rFonts w:ascii="Arial" w:eastAsia="Times New Roman" w:hAnsi="Arial" w:cs="Arial"/>
          <w:i/>
          <w:iCs/>
          <w:szCs w:val="28"/>
          <w:lang w:val="uk-UA" w:eastAsia="ru-RU"/>
        </w:rPr>
        <w:t xml:space="preserve"> Держава: звітність та податки</w:t>
      </w:r>
      <w:r w:rsidRPr="00511005">
        <w:rPr>
          <w:rFonts w:ascii="Arial" w:eastAsia="Times New Roman" w:hAnsi="Arial" w:cs="Arial"/>
          <w:szCs w:val="28"/>
          <w:lang w:val="uk-UA" w:eastAsia="ru-RU"/>
        </w:rPr>
        <w:t>. 12.04.2022 р.</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https://medoc.ua/blog/jak-vplinuv-vonnij-stan-na-trivalist-robochogo-chasu-ta-na-ukladennja-trudovogo-dogovoru (дата звернення: 01.05.2025).</w:t>
      </w:r>
    </w:p>
    <w:p w14:paraId="24E120FF" w14:textId="347F5FCC"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3. Трудові відносини під час воєнного стану зміняться: нові правила</w:t>
      </w:r>
      <w:r w:rsidRPr="00511005">
        <w:rPr>
          <w:rFonts w:ascii="Arial" w:eastAsia="Times New Roman" w:hAnsi="Arial" w:cs="Arial"/>
          <w:szCs w:val="28"/>
          <w:lang w:eastAsia="ru-RU"/>
        </w:rPr>
        <w:t>.</w:t>
      </w:r>
      <w:r w:rsidRPr="00511005">
        <w:rPr>
          <w:rFonts w:ascii="Arial" w:eastAsia="Times New Roman" w:hAnsi="Arial" w:cs="Arial"/>
          <w:i/>
          <w:iCs/>
          <w:szCs w:val="28"/>
          <w:lang w:val="uk-UA" w:eastAsia="ru-RU"/>
        </w:rPr>
        <w:t xml:space="preserve"> </w:t>
      </w:r>
      <w:r w:rsidRPr="00511005">
        <w:rPr>
          <w:rFonts w:ascii="Arial" w:eastAsia="Times New Roman" w:hAnsi="Arial" w:cs="Arial"/>
          <w:iCs/>
          <w:szCs w:val="28"/>
          <w:lang w:val="uk-UA" w:eastAsia="ru-RU"/>
        </w:rPr>
        <w:t>Kadroland</w:t>
      </w:r>
      <w:r w:rsidRPr="00511005">
        <w:rPr>
          <w:rFonts w:ascii="Arial" w:eastAsia="Times New Roman" w:hAnsi="Arial" w:cs="Arial"/>
          <w:szCs w:val="28"/>
          <w:lang w:val="uk-UA" w:eastAsia="ru-RU"/>
        </w:rPr>
        <w:t>. </w:t>
      </w:r>
      <w:r w:rsidRPr="00511005">
        <w:rPr>
          <w:rFonts w:ascii="Arial" w:eastAsia="Times New Roman" w:hAnsi="Arial" w:cs="Arial"/>
          <w:i/>
          <w:iCs/>
          <w:szCs w:val="28"/>
          <w:lang w:val="uk-UA" w:eastAsia="ru-RU"/>
        </w:rPr>
        <w:t>Письмові трудові договори</w:t>
      </w:r>
      <w:r w:rsidRPr="00511005">
        <w:rPr>
          <w:rFonts w:ascii="Arial" w:eastAsia="Times New Roman" w:hAnsi="Arial" w:cs="Arial"/>
          <w:szCs w:val="28"/>
          <w:lang w:val="uk-UA" w:eastAsia="ru-RU"/>
        </w:rPr>
        <w:t>. 01.05.2025 р.</w:t>
      </w:r>
      <w:r w:rsidR="007B2628" w:rsidRPr="00511005">
        <w:rPr>
          <w:rFonts w:ascii="Arial" w:eastAsia="Times New Roman" w:hAnsi="Arial" w:cs="Arial"/>
          <w:szCs w:val="28"/>
          <w:lang w:val="uk-UA" w:eastAsia="ru-RU"/>
        </w:rPr>
        <w:t xml:space="preserve"> </w:t>
      </w:r>
      <w:proofErr w:type="gramStart"/>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:https://kadroland.com/news/3252-zmini-v-organizaciyi-trudovix-vidnosin-pid-cas-vojennogo-stanu</w:t>
      </w:r>
      <w:proofErr w:type="gramEnd"/>
      <w:r w:rsidRPr="00511005">
        <w:rPr>
          <w:rFonts w:ascii="Arial" w:eastAsia="Times New Roman" w:hAnsi="Arial" w:cs="Arial"/>
          <w:szCs w:val="28"/>
          <w:lang w:val="uk-UA" w:eastAsia="ru-RU"/>
        </w:rPr>
        <w:t xml:space="preserve"> (дата звернення: 01.05.2025).</w:t>
      </w:r>
    </w:p>
    <w:p w14:paraId="6BBBAD7A" w14:textId="77777777" w:rsidR="003476F8" w:rsidRPr="00511005" w:rsidRDefault="003476F8" w:rsidP="003A292D">
      <w:pPr>
        <w:spacing w:line="264" w:lineRule="auto"/>
        <w:contextualSpacing/>
        <w:rPr>
          <w:rFonts w:ascii="Arial" w:eastAsia="Times New Roman" w:hAnsi="Arial" w:cs="Arial"/>
          <w:szCs w:val="28"/>
          <w:lang w:val="uk-UA" w:eastAsia="ru-RU"/>
        </w:rPr>
      </w:pPr>
    </w:p>
    <w:p w14:paraId="19FB0F2B" w14:textId="57B4A09B" w:rsidR="003476F8"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val="uk-UA" w:eastAsia="ru-RU"/>
        </w:rPr>
        <w:t>спрощений порядок, трудові відносини, воєнний стан, трудовий договір, роботодавці, трудові права, нормативне врегулювання.</w:t>
      </w:r>
      <w:r w:rsidRPr="00511005">
        <w:rPr>
          <w:rFonts w:ascii="Arial" w:eastAsia="Times New Roman" w:hAnsi="Arial" w:cs="Arial"/>
          <w:szCs w:val="28"/>
          <w:lang w:val="uk-UA" w:eastAsia="ru-RU"/>
        </w:rPr>
        <w:t xml:space="preserve"> </w:t>
      </w:r>
    </w:p>
    <w:p w14:paraId="4F81A330" w14:textId="685E5567" w:rsidR="003476F8" w:rsidRPr="00511005" w:rsidRDefault="007B2628" w:rsidP="003A292D">
      <w:pPr>
        <w:spacing w:line="264" w:lineRule="auto"/>
        <w:rPr>
          <w:rFonts w:ascii="Arial" w:eastAsia="Times New Roman" w:hAnsi="Arial" w:cs="Arial"/>
          <w:szCs w:val="28"/>
          <w:lang w:val="en-GB" w:eastAsia="ru-RU"/>
        </w:rPr>
      </w:pPr>
      <w:r w:rsidRPr="00511005">
        <w:rPr>
          <w:rFonts w:ascii="Arial" w:eastAsia="Times New Roman" w:hAnsi="Arial" w:cs="Arial"/>
          <w:b/>
          <w:i/>
          <w:szCs w:val="28"/>
          <w:lang w:val="en-GB" w:eastAsia="ru-RU"/>
        </w:rPr>
        <w:t xml:space="preserve">Key words: </w:t>
      </w:r>
      <w:r w:rsidR="003476F8" w:rsidRPr="00511005">
        <w:rPr>
          <w:rFonts w:ascii="Arial" w:eastAsia="Times New Roman" w:hAnsi="Arial" w:cs="Arial"/>
          <w:szCs w:val="28"/>
          <w:lang w:val="en-GB" w:eastAsia="ru-RU"/>
        </w:rPr>
        <w:t>simplified procedure, labour relations, martial law, labour contract, employers, labour rights, regulatory framework.</w:t>
      </w:r>
    </w:p>
    <w:p w14:paraId="3B5E359D" w14:textId="190F0537" w:rsidR="003476F8"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iCs/>
          <w:szCs w:val="28"/>
          <w:lang w:val="uk-UA" w:eastAsia="ru-RU"/>
        </w:rPr>
        <w:t xml:space="preserve">Науковий керівник: </w:t>
      </w:r>
      <w:r w:rsidR="003476F8" w:rsidRPr="00511005">
        <w:rPr>
          <w:rFonts w:ascii="Arial" w:eastAsia="Times New Roman" w:hAnsi="Arial" w:cs="Arial"/>
          <w:i/>
          <w:iCs/>
          <w:szCs w:val="28"/>
          <w:lang w:val="uk-UA" w:eastAsia="ru-RU"/>
        </w:rPr>
        <w:t xml:space="preserve">к.ю.н. доцент Пожарова О.В. </w:t>
      </w:r>
    </w:p>
    <w:p w14:paraId="283BA553"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13421A1A"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5A99A73E" w14:textId="77777777" w:rsidR="003476F8" w:rsidRPr="00511005" w:rsidRDefault="003476F8"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Каймуз Аміра Мохамед</w:t>
      </w:r>
    </w:p>
    <w:p w14:paraId="53B1DD00" w14:textId="5264837F" w:rsidR="003476F8"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2-го курсу </w:t>
      </w:r>
      <w:r w:rsidR="003476F8" w:rsidRPr="00511005">
        <w:rPr>
          <w:rFonts w:ascii="Arial" w:eastAsia="Times New Roman" w:hAnsi="Arial" w:cs="Arial"/>
          <w:szCs w:val="28"/>
          <w:lang w:val="uk-UA" w:eastAsia="uk-UA"/>
        </w:rPr>
        <w:t xml:space="preserve">факультету </w:t>
      </w:r>
      <w:r w:rsidR="007040FD">
        <w:rPr>
          <w:rFonts w:ascii="Arial" w:eastAsia="Times New Roman" w:hAnsi="Arial" w:cs="Arial"/>
          <w:szCs w:val="28"/>
          <w:lang w:val="uk-UA" w:eastAsia="uk-UA"/>
        </w:rPr>
        <w:t>ц</w:t>
      </w:r>
      <w:r w:rsidR="003476F8" w:rsidRPr="00511005">
        <w:rPr>
          <w:rFonts w:ascii="Arial" w:eastAsia="Times New Roman" w:hAnsi="Arial" w:cs="Arial"/>
          <w:szCs w:val="28"/>
          <w:lang w:val="uk-UA" w:eastAsia="uk-UA"/>
        </w:rPr>
        <w:t>ивільної та господарської юстиції</w:t>
      </w:r>
    </w:p>
    <w:p w14:paraId="69781CEB" w14:textId="5F9F4193" w:rsidR="003476F8"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FFA4DFF" w14:textId="77777777" w:rsidR="003476F8" w:rsidRPr="00511005" w:rsidRDefault="003476F8" w:rsidP="003A292D">
      <w:pPr>
        <w:spacing w:line="264" w:lineRule="auto"/>
        <w:ind w:firstLine="0"/>
        <w:jc w:val="center"/>
        <w:rPr>
          <w:rFonts w:ascii="Arial" w:eastAsia="Calibri" w:hAnsi="Arial" w:cs="Arial"/>
          <w:szCs w:val="28"/>
          <w:lang w:val="uk-UA"/>
        </w:rPr>
      </w:pPr>
    </w:p>
    <w:p w14:paraId="008EF553" w14:textId="77777777" w:rsidR="003476F8" w:rsidRPr="00511005" w:rsidRDefault="003476F8" w:rsidP="003A292D">
      <w:pPr>
        <w:keepNext/>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ПРАВОВЕ РЕГУЛЮВАННЯ ТРУДОВИХ ВІДНОСИН В УМОВАХ ДИСТАНЦІЙНОЇ РОБОТИ</w:t>
      </w:r>
    </w:p>
    <w:p w14:paraId="076621C9"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сучасних умовах трансформації ринку праці, спричиненої пандемією COVID-19 та розвитком цифрових технологій, дистанційна робота набула широкого поширення, що зумовило необхідність вдосконалення національного трудового законодавства. В Україні нормативно-правове закріплення дистанційної роботи отримало розвиток із прийняттям змін до Кодексу законів про працю, зокрема введенням окремих форм організації праці — дистанційної та домашньої роботи [1, с. 43; 2, с. 136].</w:t>
      </w:r>
    </w:p>
    <w:p w14:paraId="742ACB13"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Законодавче регулювання цієї форми праці визначає вимоги до укладення трудового договору, гарантії прав працівника, особливості організації робочого часу, забезпечення техніки безпеки тощо. Однак, низка аспектів залишаються недостатньо врегульованими, зокрема щодо захисту персональних даних, забезпечення належних умов праці поза офісом, а також контролю за виконанням трудових функцій [3, с. 61; 6, с. 43].</w:t>
      </w:r>
    </w:p>
    <w:p w14:paraId="28BD7FF1"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Порівняльний аналіз досвіду країн ЄС свідчить про наявність більш деталізованих норм щодо прав і обов’язків сторін трудових правовідносин, що є корисним орієнтиром для подальшого удосконалення українського законодавства [4, с. 135].</w:t>
      </w:r>
    </w:p>
    <w:p w14:paraId="08E20F4E"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Крім основних юридичних аспектів, дистанційна робота також впливає на соціально-економічні відносини між працівником і роботодавцем. Вона дозволяє забезпечити гнучкість графіка, зменшити витрати на оренду офісів та проїзд, однак, водночас, породжує ризики професійного вигорання, порушення балансу між роботою та особистим життям і правову невизначеність у сфері охорони праці [6, с. 52; 1, с. 43].</w:t>
      </w:r>
    </w:p>
    <w:p w14:paraId="6371D323"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Особливої уваги потребує питання забезпечення права на відключення — механізму, що гарантує працівнику можливість не бути на зв’язку поза межами робочого часу без негативних наслідків. У багатьох країнах ЄС це вже закріплено на законодавчому рівні [4, с. 136], натомість в Україні подібне регулювання перебуває на початковому етапі.</w:t>
      </w:r>
    </w:p>
    <w:p w14:paraId="20BDE193"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Практика застосування дистанційної роботи в умовах воєнного стану в Україні актуалізувала питання гнучкості законодавства і необхідності забезпечення працівникам гарантій, попри кризові обставини. Що, у свою чергу, вимагає перегляду типових трудових договорів, запровадження електронного документообігу та створення чітких процедур з фіксації робочого часу [3, с. 62; 5].</w:t>
      </w:r>
    </w:p>
    <w:p w14:paraId="2F83818C"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процесі правового регулювання дистанційної роботи особливу увагу слід звернути на питання захисту прав працівників, оскільки цей формат праці може призвести до послаблення трудових гарантій. Зокрема, дистанційна робота ускладнює контроль за дотриманням норм здоров'я та безпеки, що є важливим елементом трудового законодавства. Це питання стає ще більш актуальним у випадку роботи з використанням особистих технічних засобів працівників, що може порушувати їх права на захист персональних даних та забезпечення належної технічної безпеки [2, с. 136].</w:t>
      </w:r>
    </w:p>
    <w:p w14:paraId="630D93BA"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Законодавство України поки що недостатньо чітко визначає всі особливості дистанційної роботи, зокрема в частині соціального страхування, виплат та компенсацій. Це призводить до неоднозначності у трактуванні прав і обов'язків сторін трудового договору в умовах цієї форми організації праці. Працівники, виконуючи свої обов’язки вдома, можуть не отримувати належної компенсації за використання власного обладнання та споживання електроенергії [1]. Крім того, виникають проблеми з контролем за виконанням трудових норм, що може вплинути на продуктивність праці та соціальну відповідальність роботодавців.</w:t>
      </w:r>
    </w:p>
    <w:p w14:paraId="1AE9256F"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у зв'язку з глобальними змінами у світі праці, пов'язаними з активним переходом до дистанційної роботи, необхідне удосконалення правового регулювання цього виду праці. Це включає не тільки вдосконалення норм трудового законодавства, але й створення інфраструктури для підтримки дистанційної роботи, яка забезпечить справедливі умови для працівників та відповідальність для роботодавців [4, с. 137; 5, с. 217].</w:t>
      </w:r>
    </w:p>
    <w:p w14:paraId="7D4DC526" w14:textId="77777777" w:rsidR="003476F8" w:rsidRPr="00511005" w:rsidRDefault="003476F8" w:rsidP="003A292D">
      <w:pPr>
        <w:spacing w:line="264" w:lineRule="auto"/>
        <w:ind w:firstLine="0"/>
        <w:jc w:val="center"/>
        <w:rPr>
          <w:rFonts w:ascii="Arial" w:eastAsia="Calibri" w:hAnsi="Arial" w:cs="Arial"/>
          <w:b/>
          <w:szCs w:val="28"/>
        </w:rPr>
      </w:pPr>
    </w:p>
    <w:p w14:paraId="2B913AFE" w14:textId="77777777" w:rsidR="003476F8" w:rsidRPr="00511005" w:rsidRDefault="003476F8" w:rsidP="003A292D">
      <w:pPr>
        <w:spacing w:line="264" w:lineRule="auto"/>
        <w:ind w:firstLine="0"/>
        <w:jc w:val="center"/>
        <w:rPr>
          <w:rFonts w:ascii="Arial" w:eastAsia="Calibri" w:hAnsi="Arial" w:cs="Arial"/>
          <w:b/>
          <w:szCs w:val="28"/>
        </w:rPr>
      </w:pPr>
      <w:r w:rsidRPr="00511005">
        <w:rPr>
          <w:rFonts w:ascii="Arial" w:eastAsia="Calibri" w:hAnsi="Arial" w:cs="Arial"/>
          <w:b/>
          <w:szCs w:val="28"/>
        </w:rPr>
        <w:t>Список викори</w:t>
      </w:r>
      <w:r w:rsidRPr="00511005">
        <w:rPr>
          <w:rFonts w:ascii="Arial" w:eastAsia="Calibri" w:hAnsi="Arial" w:cs="Arial"/>
          <w:b/>
          <w:szCs w:val="28"/>
          <w:lang w:val="en-US"/>
        </w:rPr>
        <w:t>c</w:t>
      </w:r>
      <w:r w:rsidRPr="00511005">
        <w:rPr>
          <w:rFonts w:ascii="Arial" w:eastAsia="Calibri" w:hAnsi="Arial" w:cs="Arial"/>
          <w:b/>
          <w:szCs w:val="28"/>
        </w:rPr>
        <w:t>таних джерел</w:t>
      </w:r>
    </w:p>
    <w:p w14:paraId="7D90E33C" w14:textId="77777777" w:rsidR="003476F8" w:rsidRPr="00511005" w:rsidRDefault="003476F8" w:rsidP="003F6A5D">
      <w:pPr>
        <w:numPr>
          <w:ilvl w:val="0"/>
          <w:numId w:val="443"/>
        </w:numPr>
        <w:spacing w:line="264" w:lineRule="auto"/>
        <w:ind w:left="0" w:firstLine="0"/>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Пузирний В.Ф. Поняття та правове регулювання дистанційної роботи. </w:t>
      </w:r>
      <w:r w:rsidRPr="00511005">
        <w:rPr>
          <w:rFonts w:ascii="Arial" w:eastAsia="Times New Roman" w:hAnsi="Arial" w:cs="Arial"/>
          <w:i/>
          <w:iCs/>
          <w:szCs w:val="28"/>
          <w:lang w:val="uk-UA" w:eastAsia="uk-UA"/>
        </w:rPr>
        <w:t>Вчені записки Таврійського національного університету ім. В.І. Вернадського. Серія: Юридичні науки.</w:t>
      </w:r>
      <w:r w:rsidRPr="00511005">
        <w:rPr>
          <w:rFonts w:ascii="Arial" w:eastAsia="Times New Roman" w:hAnsi="Arial" w:cs="Arial"/>
          <w:szCs w:val="28"/>
          <w:lang w:val="uk-UA" w:eastAsia="uk-UA"/>
        </w:rPr>
        <w:t xml:space="preserve"> 2021. № 6. С. 43-47. </w:t>
      </w:r>
      <w:r w:rsidRPr="00511005">
        <w:rPr>
          <w:rFonts w:ascii="Arial" w:eastAsia="Calibri" w:hAnsi="Arial" w:cs="Arial"/>
          <w:bCs/>
          <w:szCs w:val="28"/>
          <w:lang w:val="en-US"/>
        </w:rPr>
        <w:t>URL</w:t>
      </w:r>
      <w:r w:rsidRPr="00511005">
        <w:rPr>
          <w:rFonts w:ascii="Arial" w:eastAsia="Calibri" w:hAnsi="Arial" w:cs="Arial"/>
          <w:bCs/>
          <w:szCs w:val="28"/>
          <w:lang w:val="uk-UA"/>
        </w:rPr>
        <w:t xml:space="preserve">: </w:t>
      </w:r>
    </w:p>
    <w:p w14:paraId="3A6A6125" w14:textId="77777777" w:rsidR="003476F8" w:rsidRPr="00511005" w:rsidRDefault="005938AD" w:rsidP="003A292D">
      <w:pPr>
        <w:spacing w:line="264" w:lineRule="auto"/>
        <w:ind w:firstLine="0"/>
        <w:contextualSpacing/>
        <w:rPr>
          <w:rFonts w:ascii="Arial" w:eastAsia="Times New Roman" w:hAnsi="Arial" w:cs="Arial"/>
          <w:szCs w:val="28"/>
          <w:lang w:val="uk-UA" w:eastAsia="uk-UA"/>
        </w:rPr>
      </w:pPr>
      <w:hyperlink r:id="rId1673" w:history="1">
        <w:r w:rsidR="003476F8" w:rsidRPr="00511005">
          <w:rPr>
            <w:rFonts w:ascii="Arial" w:eastAsia="Calibri" w:hAnsi="Arial" w:cs="Arial"/>
            <w:bCs/>
            <w:szCs w:val="28"/>
            <w:lang w:val="uk-UA"/>
          </w:rPr>
          <w:t>https://www.juris.vernadskyjournals.in.ua/journals/2021/6_2021/8.pdf?utm_source</w:t>
        </w:r>
      </w:hyperlink>
      <w:r w:rsidR="003476F8" w:rsidRPr="00511005">
        <w:rPr>
          <w:rFonts w:ascii="Arial" w:eastAsia="Calibri" w:hAnsi="Arial" w:cs="Arial"/>
          <w:bCs/>
          <w:szCs w:val="28"/>
          <w:lang w:val="uk-UA"/>
        </w:rPr>
        <w:t xml:space="preserve"> </w:t>
      </w:r>
    </w:p>
    <w:p w14:paraId="1E1D9518" w14:textId="77777777" w:rsidR="003476F8" w:rsidRPr="00511005" w:rsidRDefault="003476F8" w:rsidP="003F6A5D">
      <w:pPr>
        <w:numPr>
          <w:ilvl w:val="0"/>
          <w:numId w:val="443"/>
        </w:numPr>
        <w:spacing w:line="264" w:lineRule="auto"/>
        <w:ind w:left="0" w:firstLine="0"/>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Таран І.О., Васечко Л.О. Правове регулювання дистанційної роботи в Україні: сучасний стан та перспективи розвитку. </w:t>
      </w:r>
      <w:r w:rsidRPr="00511005">
        <w:rPr>
          <w:rFonts w:ascii="Arial" w:eastAsia="Calibri" w:hAnsi="Arial" w:cs="Arial"/>
          <w:i/>
          <w:iCs/>
          <w:szCs w:val="28"/>
        </w:rPr>
        <w:t>Науковий вісник Ужгородського Національного Університету</w:t>
      </w:r>
      <w:r w:rsidRPr="00511005">
        <w:rPr>
          <w:rFonts w:ascii="Arial" w:eastAsia="Calibri" w:hAnsi="Arial" w:cs="Arial"/>
          <w:i/>
          <w:iCs/>
          <w:szCs w:val="28"/>
          <w:lang w:val="uk-UA"/>
        </w:rPr>
        <w:t>. Серія Право.</w:t>
      </w:r>
      <w:r w:rsidRPr="00511005">
        <w:rPr>
          <w:rFonts w:ascii="Arial" w:eastAsia="Calibri" w:hAnsi="Arial" w:cs="Arial"/>
          <w:szCs w:val="28"/>
          <w:lang w:val="uk-UA"/>
        </w:rPr>
        <w:t xml:space="preserve"> 2021. Вип. 67. </w:t>
      </w:r>
      <w:r w:rsidRPr="00511005">
        <w:rPr>
          <w:rFonts w:ascii="Arial" w:eastAsia="Times New Roman" w:hAnsi="Arial" w:cs="Arial"/>
          <w:szCs w:val="28"/>
          <w:lang w:val="uk-UA" w:eastAsia="uk-UA"/>
        </w:rPr>
        <w:t xml:space="preserve">С. 134-138. </w:t>
      </w:r>
      <w:r w:rsidRPr="00511005">
        <w:rPr>
          <w:rFonts w:ascii="Arial" w:eastAsia="Calibri" w:hAnsi="Arial" w:cs="Arial"/>
          <w:bCs/>
          <w:szCs w:val="28"/>
          <w:lang w:val="en-US"/>
        </w:rPr>
        <w:t>URL</w:t>
      </w:r>
      <w:r w:rsidRPr="00511005">
        <w:rPr>
          <w:rFonts w:ascii="Arial" w:eastAsia="Calibri" w:hAnsi="Arial" w:cs="Arial"/>
          <w:bCs/>
          <w:szCs w:val="28"/>
          <w:lang w:val="uk-UA"/>
        </w:rPr>
        <w:t xml:space="preserve">: </w:t>
      </w:r>
      <w:hyperlink r:id="rId1674" w:history="1">
        <w:r w:rsidRPr="00511005">
          <w:rPr>
            <w:rFonts w:ascii="Arial" w:eastAsia="Calibri" w:hAnsi="Arial" w:cs="Arial"/>
            <w:bCs/>
            <w:szCs w:val="28"/>
            <w:lang w:val="uk-UA"/>
          </w:rPr>
          <w:t>https://visnyk-juris-uzhnu.com/wp-content/uploads/2022/01/29.pdf?utm_source</w:t>
        </w:r>
      </w:hyperlink>
      <w:r w:rsidRPr="00511005">
        <w:rPr>
          <w:rFonts w:ascii="Arial" w:eastAsia="Calibri" w:hAnsi="Arial" w:cs="Arial"/>
          <w:bCs/>
          <w:szCs w:val="28"/>
          <w:lang w:val="uk-UA"/>
        </w:rPr>
        <w:t xml:space="preserve"> </w:t>
      </w:r>
    </w:p>
    <w:p w14:paraId="6FED8C96" w14:textId="77777777" w:rsidR="003476F8" w:rsidRPr="00511005" w:rsidRDefault="003476F8" w:rsidP="003F6A5D">
      <w:pPr>
        <w:numPr>
          <w:ilvl w:val="0"/>
          <w:numId w:val="443"/>
        </w:numPr>
        <w:spacing w:line="264" w:lineRule="auto"/>
        <w:ind w:left="0" w:firstLine="0"/>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Дрозд О.Ю. Ґенеза розвитку правового регулювання дистанційної роботи. </w:t>
      </w:r>
      <w:r w:rsidRPr="00511005">
        <w:rPr>
          <w:rFonts w:ascii="Arial" w:eastAsia="Times New Roman" w:hAnsi="Arial" w:cs="Arial"/>
          <w:i/>
          <w:iCs/>
          <w:szCs w:val="28"/>
          <w:lang w:val="uk-UA" w:eastAsia="uk-UA"/>
        </w:rPr>
        <w:t>Київський часопис права.</w:t>
      </w:r>
      <w:r w:rsidRPr="00511005">
        <w:rPr>
          <w:rFonts w:ascii="Arial" w:eastAsia="Times New Roman" w:hAnsi="Arial" w:cs="Arial"/>
          <w:szCs w:val="28"/>
          <w:lang w:val="uk-UA" w:eastAsia="uk-UA"/>
        </w:rPr>
        <w:t xml:space="preserve"> 2022. № 2. С. 59-65. </w:t>
      </w:r>
      <w:r w:rsidRPr="00511005">
        <w:rPr>
          <w:rFonts w:ascii="Arial" w:eastAsia="Calibri" w:hAnsi="Arial" w:cs="Arial"/>
          <w:bCs/>
          <w:szCs w:val="28"/>
          <w:lang w:val="en-US"/>
        </w:rPr>
        <w:t>URL</w:t>
      </w:r>
      <w:r w:rsidRPr="00511005">
        <w:rPr>
          <w:rFonts w:ascii="Arial" w:eastAsia="Calibri" w:hAnsi="Arial" w:cs="Arial"/>
          <w:bCs/>
          <w:szCs w:val="28"/>
          <w:lang w:val="uk-UA"/>
        </w:rPr>
        <w:t xml:space="preserve">: </w:t>
      </w:r>
      <w:hyperlink r:id="rId1675" w:history="1">
        <w:r w:rsidRPr="00511005">
          <w:rPr>
            <w:rFonts w:ascii="Arial" w:eastAsia="Calibri" w:hAnsi="Arial" w:cs="Arial"/>
            <w:bCs/>
            <w:szCs w:val="28"/>
            <w:lang w:val="uk-UA"/>
          </w:rPr>
          <w:t>file:///C:/Users/Booger/Downloads/163-%D0%A2%D0%B5%D0%BA%D1%81%D1%82%20%D1%81%D1%82%D0%B0%D1%82%D1%82%D1%96-297-2-10-20221125.pdf</w:t>
        </w:r>
      </w:hyperlink>
      <w:r w:rsidRPr="00511005">
        <w:rPr>
          <w:rFonts w:ascii="Arial" w:eastAsia="Calibri" w:hAnsi="Arial" w:cs="Arial"/>
          <w:bCs/>
          <w:szCs w:val="28"/>
          <w:lang w:val="uk-UA"/>
        </w:rPr>
        <w:t xml:space="preserve"> </w:t>
      </w:r>
    </w:p>
    <w:p w14:paraId="073752A7" w14:textId="77777777" w:rsidR="003476F8" w:rsidRPr="00511005" w:rsidRDefault="003476F8" w:rsidP="003F6A5D">
      <w:pPr>
        <w:numPr>
          <w:ilvl w:val="0"/>
          <w:numId w:val="443"/>
        </w:numPr>
        <w:spacing w:line="264" w:lineRule="auto"/>
        <w:ind w:left="0" w:firstLine="0"/>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Гаращенко Л.П., Гаращенко В.В. Дистанційна праця в ЄС: аспекти правового регулювання.</w:t>
      </w:r>
      <w:r w:rsidRPr="00511005">
        <w:rPr>
          <w:rFonts w:ascii="Arial" w:eastAsia="Calibri" w:hAnsi="Arial" w:cs="Arial"/>
          <w:szCs w:val="28"/>
          <w:lang w:val="uk-UA"/>
        </w:rPr>
        <w:t xml:space="preserve"> </w:t>
      </w:r>
      <w:r w:rsidRPr="00511005">
        <w:rPr>
          <w:rFonts w:ascii="Arial" w:eastAsia="Calibri" w:hAnsi="Arial" w:cs="Arial"/>
          <w:i/>
          <w:iCs/>
          <w:szCs w:val="28"/>
          <w:lang w:val="uk-UA"/>
        </w:rPr>
        <w:t>Юридичний вісник.</w:t>
      </w:r>
      <w:r w:rsidRPr="00511005">
        <w:rPr>
          <w:rFonts w:ascii="Arial" w:eastAsia="Calibri" w:hAnsi="Arial" w:cs="Arial"/>
          <w:szCs w:val="28"/>
          <w:lang w:val="uk-UA"/>
        </w:rPr>
        <w:t xml:space="preserve"> 2018. № 4 (49)</w:t>
      </w:r>
      <w:r w:rsidRPr="00511005">
        <w:rPr>
          <w:rFonts w:ascii="Arial" w:eastAsia="Times New Roman" w:hAnsi="Arial" w:cs="Arial"/>
          <w:szCs w:val="28"/>
          <w:lang w:val="uk-UA" w:eastAsia="uk-UA"/>
        </w:rPr>
        <w:t xml:space="preserve">. С. 132-139. </w:t>
      </w:r>
      <w:r w:rsidRPr="00511005">
        <w:rPr>
          <w:rFonts w:ascii="Arial" w:eastAsia="Calibri" w:hAnsi="Arial" w:cs="Arial"/>
          <w:bCs/>
          <w:szCs w:val="28"/>
          <w:lang w:val="en-US"/>
        </w:rPr>
        <w:t>URL</w:t>
      </w:r>
      <w:r w:rsidRPr="00511005">
        <w:rPr>
          <w:rFonts w:ascii="Arial" w:eastAsia="Calibri" w:hAnsi="Arial" w:cs="Arial"/>
          <w:bCs/>
          <w:szCs w:val="28"/>
          <w:lang w:val="uk-UA"/>
        </w:rPr>
        <w:t xml:space="preserve">: </w:t>
      </w:r>
      <w:hyperlink r:id="rId1676" w:history="1">
        <w:r w:rsidRPr="00511005">
          <w:rPr>
            <w:rFonts w:ascii="Arial" w:eastAsia="Calibri" w:hAnsi="Arial" w:cs="Arial"/>
            <w:bCs/>
            <w:szCs w:val="28"/>
            <w:lang w:val="uk-UA"/>
          </w:rPr>
          <w:t>file:///C:/Users/Booger/Downloads/alexi,+19.pdf</w:t>
        </w:r>
      </w:hyperlink>
      <w:r w:rsidRPr="00511005">
        <w:rPr>
          <w:rFonts w:ascii="Arial" w:eastAsia="Calibri" w:hAnsi="Arial" w:cs="Arial"/>
          <w:bCs/>
          <w:szCs w:val="28"/>
          <w:lang w:val="uk-UA"/>
        </w:rPr>
        <w:t xml:space="preserve"> </w:t>
      </w:r>
    </w:p>
    <w:p w14:paraId="706A8364" w14:textId="77777777" w:rsidR="003476F8" w:rsidRPr="00511005" w:rsidRDefault="003476F8" w:rsidP="003F6A5D">
      <w:pPr>
        <w:numPr>
          <w:ilvl w:val="0"/>
          <w:numId w:val="443"/>
        </w:numPr>
        <w:spacing w:line="264" w:lineRule="auto"/>
        <w:ind w:left="0" w:firstLine="0"/>
        <w:contextualSpacing/>
        <w:jc w:val="left"/>
        <w:rPr>
          <w:rFonts w:ascii="Arial" w:eastAsia="Times New Roman" w:hAnsi="Arial" w:cs="Arial"/>
          <w:szCs w:val="28"/>
          <w:lang w:val="uk-UA" w:eastAsia="uk-UA"/>
        </w:rPr>
      </w:pPr>
      <w:r w:rsidRPr="00511005">
        <w:rPr>
          <w:rFonts w:ascii="Arial" w:eastAsia="Calibri" w:hAnsi="Arial" w:cs="Arial"/>
          <w:szCs w:val="28"/>
        </w:rPr>
        <w:t>Трудове право України: підручник (за ред. проф. О. М. Ярошенко). Харків: Вид-во</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szCs w:val="28"/>
          <w:lang w:val="pl-PL"/>
        </w:rPr>
        <w:t xml:space="preserve">2022. 376 </w:t>
      </w:r>
      <w:r w:rsidRPr="00511005">
        <w:rPr>
          <w:rFonts w:ascii="Arial" w:eastAsia="Calibri" w:hAnsi="Arial" w:cs="Arial"/>
          <w:szCs w:val="28"/>
        </w:rPr>
        <w:t>с</w:t>
      </w:r>
      <w:r w:rsidRPr="00511005">
        <w:rPr>
          <w:rFonts w:ascii="Arial" w:eastAsia="Calibri" w:hAnsi="Arial" w:cs="Arial"/>
          <w:szCs w:val="28"/>
          <w:lang w:val="pl-PL"/>
        </w:rPr>
        <w:t>.</w:t>
      </w:r>
      <w:r w:rsidRPr="00511005">
        <w:rPr>
          <w:rFonts w:ascii="Arial" w:eastAsia="Times New Roman" w:hAnsi="Arial" w:cs="Arial"/>
          <w:szCs w:val="28"/>
          <w:lang w:val="uk-UA" w:eastAsia="uk-UA"/>
        </w:rPr>
        <w:t xml:space="preserve"> </w:t>
      </w:r>
      <w:r w:rsidRPr="00511005">
        <w:rPr>
          <w:rFonts w:ascii="Arial" w:eastAsia="Calibri" w:hAnsi="Arial" w:cs="Arial"/>
          <w:bCs/>
          <w:szCs w:val="28"/>
          <w:lang w:val="pl-PL"/>
        </w:rPr>
        <w:t>URL</w:t>
      </w:r>
      <w:r w:rsidRPr="00511005">
        <w:rPr>
          <w:rFonts w:ascii="Arial" w:eastAsia="Calibri" w:hAnsi="Arial" w:cs="Arial"/>
          <w:bCs/>
          <w:szCs w:val="28"/>
          <w:lang w:val="uk-UA"/>
        </w:rPr>
        <w:t xml:space="preserve">: </w:t>
      </w:r>
      <w:hyperlink r:id="rId1677" w:history="1">
        <w:r w:rsidRPr="00511005">
          <w:rPr>
            <w:rFonts w:ascii="Arial" w:eastAsia="Calibri" w:hAnsi="Arial" w:cs="Arial"/>
            <w:bCs/>
            <w:szCs w:val="28"/>
            <w:lang w:val="uk-UA"/>
          </w:rPr>
          <w:t>https://mon.gov.ua/staticobjects/mon/sites/1/news/2022/07/27/Trudove.pravo.Ukrayiny.26.07.2022.pdf?utm_source</w:t>
        </w:r>
      </w:hyperlink>
      <w:r w:rsidRPr="00511005">
        <w:rPr>
          <w:rFonts w:ascii="Arial" w:eastAsia="Calibri" w:hAnsi="Arial" w:cs="Arial"/>
          <w:bCs/>
          <w:szCs w:val="28"/>
          <w:lang w:val="uk-UA"/>
        </w:rPr>
        <w:t xml:space="preserve"> </w:t>
      </w:r>
    </w:p>
    <w:p w14:paraId="413F9268" w14:textId="6EE12BAC" w:rsidR="003476F8" w:rsidRPr="00511005" w:rsidRDefault="003476F8"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6. Організація та впровадження віддаленої роботи в роботодавців: стратегія адвоката: Методичні матеріали</w:t>
      </w:r>
      <w:r w:rsidRPr="00511005">
        <w:rPr>
          <w:rFonts w:ascii="Arial" w:eastAsia="Times New Roman" w:hAnsi="Arial" w:cs="Arial"/>
          <w:szCs w:val="28"/>
          <w:lang w:eastAsia="uk-UA"/>
        </w:rPr>
        <w:t>/</w:t>
      </w:r>
      <w:r w:rsidR="007B2628" w:rsidRPr="00511005">
        <w:rPr>
          <w:rFonts w:ascii="Arial" w:eastAsia="Times New Roman" w:hAnsi="Arial" w:cs="Arial"/>
          <w:szCs w:val="28"/>
          <w:lang w:val="uk-UA" w:eastAsia="uk-UA"/>
        </w:rPr>
        <w:t xml:space="preserve"> </w:t>
      </w:r>
      <w:r w:rsidRPr="00511005">
        <w:rPr>
          <w:rFonts w:ascii="Arial" w:eastAsia="Calibri" w:hAnsi="Arial" w:cs="Arial"/>
          <w:szCs w:val="28"/>
        </w:rPr>
        <w:t xml:space="preserve">В. В. Поліщук, К. В. Цвєткова, Г. О. Лисенко, Д. М. Навроцький, Т. В. Матова, Я. Я. Мельник. Х.: ФАКТОР-МЕДІА, 2022. 60 с. </w:t>
      </w:r>
    </w:p>
    <w:p w14:paraId="3EE07C05" w14:textId="77777777" w:rsidR="003476F8" w:rsidRPr="00511005" w:rsidRDefault="003476F8" w:rsidP="003A292D">
      <w:pPr>
        <w:spacing w:line="264" w:lineRule="auto"/>
        <w:rPr>
          <w:rFonts w:ascii="Arial" w:eastAsia="Times New Roman" w:hAnsi="Arial" w:cs="Arial"/>
          <w:b/>
          <w:bCs/>
          <w:szCs w:val="28"/>
          <w:lang w:val="uk-UA" w:eastAsia="uk-UA"/>
        </w:rPr>
      </w:pPr>
    </w:p>
    <w:p w14:paraId="4502964C" w14:textId="6C0B6576" w:rsidR="003476F8"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3476F8" w:rsidRPr="00511005">
        <w:rPr>
          <w:rFonts w:ascii="Arial" w:eastAsia="Times New Roman" w:hAnsi="Arial" w:cs="Arial"/>
          <w:szCs w:val="28"/>
          <w:lang w:val="uk-UA" w:eastAsia="uk-UA"/>
        </w:rPr>
        <w:t>дистанційна робота, трудові правовідносини, трудове право, гнучкий режим роботи, трудовий договір, охорона праці, правове регулювання.</w:t>
      </w:r>
    </w:p>
    <w:p w14:paraId="0F4CAA38" w14:textId="2E885827" w:rsidR="003476F8" w:rsidRPr="00511005" w:rsidRDefault="007B2628" w:rsidP="003A292D">
      <w:pPr>
        <w:spacing w:line="264" w:lineRule="auto"/>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Key words: </w:t>
      </w:r>
      <w:r w:rsidR="003476F8" w:rsidRPr="00511005">
        <w:rPr>
          <w:rFonts w:ascii="Arial" w:eastAsia="Times New Roman" w:hAnsi="Arial" w:cs="Arial"/>
          <w:szCs w:val="28"/>
          <w:lang w:val="uk-UA" w:eastAsia="uk-UA"/>
        </w:rPr>
        <w:t>remote work, labor relations, labor law, flexible working hours, employment contract, occupational safety, legal regulation.</w:t>
      </w:r>
    </w:p>
    <w:p w14:paraId="0B2ADA33" w14:textId="103A634B" w:rsidR="003476F8" w:rsidRPr="00511005" w:rsidRDefault="007B2628" w:rsidP="003A292D">
      <w:pPr>
        <w:keepNext/>
        <w:spacing w:line="264" w:lineRule="auto"/>
        <w:ind w:firstLine="567"/>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3476F8" w:rsidRPr="00511005">
        <w:rPr>
          <w:rFonts w:ascii="Arial" w:eastAsia="Calibri" w:hAnsi="Arial" w:cs="Arial"/>
          <w:bCs/>
          <w:i/>
          <w:iCs/>
          <w:szCs w:val="28"/>
          <w:lang w:val="uk-UA"/>
        </w:rPr>
        <w:t>доцент кафедри, кандидат юридичних наук, доцент Панченко А. О.</w:t>
      </w:r>
    </w:p>
    <w:p w14:paraId="06017E51" w14:textId="77777777" w:rsidR="003476F8" w:rsidRPr="00511005" w:rsidRDefault="003476F8" w:rsidP="003A292D">
      <w:pPr>
        <w:keepNext/>
        <w:spacing w:line="264" w:lineRule="auto"/>
        <w:ind w:firstLine="567"/>
        <w:rPr>
          <w:rFonts w:ascii="Arial" w:eastAsia="Calibri" w:hAnsi="Arial" w:cs="Arial"/>
          <w:bCs/>
          <w:i/>
          <w:iCs/>
          <w:szCs w:val="28"/>
          <w:lang w:val="uk-UA"/>
        </w:rPr>
      </w:pPr>
    </w:p>
    <w:p w14:paraId="0257AE37" w14:textId="77777777" w:rsidR="003476F8" w:rsidRPr="00511005" w:rsidRDefault="003476F8" w:rsidP="003A292D">
      <w:pPr>
        <w:keepNext/>
        <w:spacing w:line="264" w:lineRule="auto"/>
        <w:ind w:firstLine="567"/>
        <w:rPr>
          <w:rFonts w:ascii="Arial" w:eastAsia="Calibri" w:hAnsi="Arial" w:cs="Arial"/>
          <w:bCs/>
          <w:i/>
          <w:iCs/>
          <w:szCs w:val="28"/>
          <w:lang w:val="uk-UA"/>
        </w:rPr>
      </w:pPr>
    </w:p>
    <w:p w14:paraId="78C31DB6" w14:textId="77777777" w:rsidR="003476F8" w:rsidRPr="00511005" w:rsidRDefault="003476F8" w:rsidP="003A292D">
      <w:pPr>
        <w:keepNext/>
        <w:spacing w:line="264" w:lineRule="auto"/>
        <w:ind w:right="-142"/>
        <w:contextualSpacing/>
        <w:jc w:val="center"/>
        <w:rPr>
          <w:rFonts w:ascii="Arial" w:eastAsia="Calibri" w:hAnsi="Arial" w:cs="Arial"/>
          <w:b/>
          <w:i/>
          <w:szCs w:val="28"/>
          <w:lang w:val="uk-UA"/>
        </w:rPr>
      </w:pPr>
      <w:r w:rsidRPr="00511005">
        <w:rPr>
          <w:rFonts w:ascii="Arial" w:eastAsia="Calibri" w:hAnsi="Arial" w:cs="Arial"/>
          <w:b/>
          <w:i/>
          <w:szCs w:val="28"/>
          <w:lang w:val="uk-UA"/>
        </w:rPr>
        <w:t>Калова Вікторія Сергіївна</w:t>
      </w:r>
    </w:p>
    <w:p w14:paraId="7057D5FD" w14:textId="606654D4" w:rsidR="003476F8" w:rsidRPr="00511005" w:rsidRDefault="00536AAB" w:rsidP="00A54AC2">
      <w:pPr>
        <w:spacing w:line="264" w:lineRule="auto"/>
        <w:ind w:right="-142" w:firstLine="0"/>
        <w:contextualSpacing/>
        <w:jc w:val="center"/>
        <w:rPr>
          <w:rFonts w:ascii="Arial" w:eastAsia="Calibri" w:hAnsi="Arial" w:cs="Arial"/>
          <w:szCs w:val="28"/>
          <w:lang w:val="uk-UA"/>
        </w:rPr>
      </w:pPr>
      <w:r w:rsidRPr="00511005">
        <w:rPr>
          <w:rFonts w:ascii="Arial" w:eastAsia="Calibri" w:hAnsi="Arial" w:cs="Arial"/>
          <w:szCs w:val="28"/>
          <w:lang w:val="uk-UA"/>
        </w:rPr>
        <w:t xml:space="preserve">студентка 2-го курсу </w:t>
      </w:r>
      <w:r w:rsidR="007B2628" w:rsidRPr="00511005">
        <w:rPr>
          <w:rFonts w:ascii="Arial" w:eastAsia="Calibri" w:hAnsi="Arial" w:cs="Arial"/>
          <w:szCs w:val="28"/>
          <w:lang w:val="uk-UA"/>
        </w:rPr>
        <w:t>факультету цивільної та господарської юстиції</w:t>
      </w:r>
      <w:r w:rsidR="003476F8" w:rsidRPr="00511005">
        <w:rPr>
          <w:rFonts w:ascii="Arial" w:eastAsia="Calibri" w:hAnsi="Arial" w:cs="Arial"/>
          <w:szCs w:val="28"/>
          <w:lang w:val="uk-UA"/>
        </w:rPr>
        <w:br/>
      </w:r>
      <w:r w:rsidR="007B2628" w:rsidRPr="00511005">
        <w:rPr>
          <w:rFonts w:ascii="Arial" w:eastAsia="Calibri" w:hAnsi="Arial" w:cs="Arial"/>
          <w:szCs w:val="28"/>
          <w:lang w:val="uk-UA"/>
        </w:rPr>
        <w:t>Національного університету «Одеська юридична академія»</w:t>
      </w:r>
    </w:p>
    <w:p w14:paraId="74B93A07" w14:textId="77777777" w:rsidR="003476F8" w:rsidRPr="00511005" w:rsidRDefault="003476F8" w:rsidP="003A292D">
      <w:pPr>
        <w:spacing w:line="264" w:lineRule="auto"/>
        <w:ind w:right="-143"/>
        <w:contextualSpacing/>
        <w:jc w:val="center"/>
        <w:rPr>
          <w:rFonts w:ascii="Arial" w:eastAsia="Calibri" w:hAnsi="Arial" w:cs="Arial"/>
          <w:szCs w:val="28"/>
          <w:lang w:val="uk-UA"/>
        </w:rPr>
      </w:pPr>
    </w:p>
    <w:p w14:paraId="00F406C6" w14:textId="77777777" w:rsidR="003476F8" w:rsidRPr="00511005" w:rsidRDefault="003476F8" w:rsidP="003A292D">
      <w:pPr>
        <w:spacing w:line="264" w:lineRule="auto"/>
        <w:ind w:right="-143"/>
        <w:jc w:val="center"/>
        <w:rPr>
          <w:rFonts w:ascii="Arial" w:eastAsia="Calibri" w:hAnsi="Arial" w:cs="Arial"/>
          <w:b/>
          <w:szCs w:val="28"/>
        </w:rPr>
      </w:pPr>
      <w:r w:rsidRPr="00511005">
        <w:rPr>
          <w:rFonts w:ascii="Arial" w:eastAsia="Calibri" w:hAnsi="Arial" w:cs="Arial"/>
          <w:b/>
          <w:szCs w:val="28"/>
        </w:rPr>
        <w:t>ПРАВОВЕ РЕГУЛЮВАННЯ ДИСТАНЦІЙНОЇ РОБОТИ: ВИКЛИКИ ТА ПЕРСПЕКТИВИ</w:t>
      </w:r>
    </w:p>
    <w:p w14:paraId="2CB48085" w14:textId="77777777"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 xml:space="preserve">Дистанційна робота як форма організації праці набуває дедалі більшого поширення в усьому світі. Пандемія COVID-19 лише прискорила цей процес, підштовхнувши держави </w:t>
      </w:r>
      <w:proofErr w:type="gramStart"/>
      <w:r w:rsidRPr="00511005">
        <w:rPr>
          <w:rFonts w:ascii="Arial" w:eastAsia="Calibri" w:hAnsi="Arial" w:cs="Arial"/>
          <w:szCs w:val="28"/>
        </w:rPr>
        <w:t>до перегляду</w:t>
      </w:r>
      <w:proofErr w:type="gramEnd"/>
      <w:r w:rsidRPr="00511005">
        <w:rPr>
          <w:rFonts w:ascii="Arial" w:eastAsia="Calibri" w:hAnsi="Arial" w:cs="Arial"/>
          <w:szCs w:val="28"/>
        </w:rPr>
        <w:t xml:space="preserve"> чинних підходів до регулювання трудових відносин. В Україні важливим кроком у цій сфері стало прийняття змін до Кодексу законів про працю України (далі – КЗпП України), які закріпили </w:t>
      </w:r>
      <w:r w:rsidRPr="00511005">
        <w:rPr>
          <w:rFonts w:ascii="Arial" w:eastAsia="Calibri" w:hAnsi="Arial" w:cs="Arial"/>
          <w:szCs w:val="28"/>
        </w:rPr>
        <w:lastRenderedPageBreak/>
        <w:t>основні положення щодо дистанційної та надомної роботи. Проте практика застосування нового законодавства виявила низку проблем, що потребують подальшого врегулювання.</w:t>
      </w:r>
    </w:p>
    <w:p w14:paraId="23B336B3" w14:textId="77777777"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Дистанційна робота в Україні регулюється, передусім, статтею 60² КЗпП України та Законом України «Про організацію трудових відносин в умовах воєнного стану»</w:t>
      </w:r>
      <w:r w:rsidRPr="00511005">
        <w:rPr>
          <w:rFonts w:ascii="Arial" w:eastAsia="Calibri" w:hAnsi="Arial" w:cs="Arial"/>
          <w:szCs w:val="28"/>
          <w:lang w:val="uk-UA"/>
        </w:rPr>
        <w:t xml:space="preserve"> від 14.03.2022 №7160.</w:t>
      </w:r>
      <w:r w:rsidRPr="00511005">
        <w:rPr>
          <w:rFonts w:ascii="Arial" w:eastAsia="Calibri" w:hAnsi="Arial" w:cs="Arial"/>
          <w:szCs w:val="28"/>
        </w:rPr>
        <w:t xml:space="preserve"> Законодавство визначає дистанційну роботу як таку, що виконується працівником поза приміщенням роботодавця із застосуванням інформаційно-комунікаційних технологій [2].</w:t>
      </w:r>
    </w:p>
    <w:p w14:paraId="2D4641D7" w14:textId="77777777"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Особливості дистанційної роботи включають: укладення письмового</w:t>
      </w:r>
      <w:r w:rsidRPr="00511005">
        <w:rPr>
          <w:rFonts w:ascii="Arial" w:eastAsia="Calibri" w:hAnsi="Arial" w:cs="Arial"/>
          <w:szCs w:val="28"/>
          <w:lang w:val="uk-UA"/>
        </w:rPr>
        <w:t xml:space="preserve"> </w:t>
      </w:r>
      <w:r w:rsidRPr="00511005">
        <w:rPr>
          <w:rFonts w:ascii="Arial" w:eastAsia="Calibri" w:hAnsi="Arial" w:cs="Arial"/>
          <w:szCs w:val="28"/>
        </w:rPr>
        <w:t>трудового договору про дистанційну роботу; самостійне визначення працівником місця виконання роботи (за погодженням із роботодавцем); забезпечення працівника необхідними засобами праці або компенсація витрат на їх використання; дотримання норм щодо робочого часу та права на відпочинок; можливість встановлення гнучкого режиму праці.</w:t>
      </w:r>
    </w:p>
    <w:p w14:paraId="7B5897E7" w14:textId="77777777"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Варто зазначити, що законодавство також передбачає можливість зміни режиму роботи за згодою сторін або в односторонньому порядку в умовах воєнного стану.</w:t>
      </w:r>
    </w:p>
    <w:p w14:paraId="10C8635B" w14:textId="77777777"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Попри наявність базових норм, правове регулювання дистанційної роботи в Україні стикається з рядом викликів [1]:</w:t>
      </w:r>
    </w:p>
    <w:p w14:paraId="7298619D" w14:textId="77777777" w:rsidR="003476F8" w:rsidRPr="00511005" w:rsidRDefault="003476F8" w:rsidP="003F6A5D">
      <w:pPr>
        <w:numPr>
          <w:ilvl w:val="0"/>
          <w:numId w:val="444"/>
        </w:numPr>
        <w:spacing w:line="264" w:lineRule="auto"/>
        <w:ind w:left="0" w:right="-143" w:firstLine="709"/>
        <w:jc w:val="left"/>
        <w:rPr>
          <w:rFonts w:ascii="Arial" w:eastAsia="Calibri" w:hAnsi="Arial" w:cs="Arial"/>
          <w:szCs w:val="28"/>
        </w:rPr>
      </w:pPr>
      <w:r w:rsidRPr="00511005">
        <w:rPr>
          <w:rFonts w:ascii="Arial" w:eastAsia="Calibri" w:hAnsi="Arial" w:cs="Arial"/>
          <w:bCs/>
          <w:szCs w:val="28"/>
          <w:lang w:val="uk-UA"/>
        </w:rPr>
        <w:t>н</w:t>
      </w:r>
      <w:r w:rsidRPr="00511005">
        <w:rPr>
          <w:rFonts w:ascii="Arial" w:eastAsia="Calibri" w:hAnsi="Arial" w:cs="Arial"/>
          <w:bCs/>
          <w:szCs w:val="28"/>
        </w:rPr>
        <w:t xml:space="preserve">едостатня деталізація законодавства. </w:t>
      </w:r>
      <w:r w:rsidRPr="00511005">
        <w:rPr>
          <w:rFonts w:ascii="Arial" w:eastAsia="Calibri" w:hAnsi="Arial" w:cs="Arial"/>
          <w:szCs w:val="28"/>
        </w:rPr>
        <w:t>Законодавчі норми є загальними та не враховують специфіку різних професій та видів діяльності</w:t>
      </w:r>
      <w:r w:rsidRPr="00511005">
        <w:rPr>
          <w:rFonts w:ascii="Arial" w:eastAsia="Calibri" w:hAnsi="Arial" w:cs="Arial"/>
          <w:szCs w:val="28"/>
          <w:lang w:val="uk-UA"/>
        </w:rPr>
        <w:t>;</w:t>
      </w:r>
    </w:p>
    <w:p w14:paraId="5AE5AFC8" w14:textId="77777777" w:rsidR="003476F8" w:rsidRPr="00511005" w:rsidRDefault="003476F8" w:rsidP="003F6A5D">
      <w:pPr>
        <w:numPr>
          <w:ilvl w:val="0"/>
          <w:numId w:val="444"/>
        </w:numPr>
        <w:spacing w:line="264" w:lineRule="auto"/>
        <w:ind w:left="0" w:right="-143" w:firstLine="709"/>
        <w:jc w:val="left"/>
        <w:rPr>
          <w:rFonts w:ascii="Arial" w:eastAsia="Calibri" w:hAnsi="Arial" w:cs="Arial"/>
          <w:szCs w:val="28"/>
        </w:rPr>
      </w:pPr>
      <w:r w:rsidRPr="00511005">
        <w:rPr>
          <w:rFonts w:ascii="Arial" w:eastAsia="Calibri" w:hAnsi="Arial" w:cs="Arial"/>
          <w:bCs/>
          <w:szCs w:val="28"/>
          <w:lang w:val="uk-UA"/>
        </w:rPr>
        <w:t>в</w:t>
      </w:r>
      <w:r w:rsidRPr="00511005">
        <w:rPr>
          <w:rFonts w:ascii="Arial" w:eastAsia="Calibri" w:hAnsi="Arial" w:cs="Arial"/>
          <w:bCs/>
          <w:szCs w:val="28"/>
        </w:rPr>
        <w:t xml:space="preserve">ідсутність чітких правил щодо контролю за працівниками. </w:t>
      </w:r>
      <w:r w:rsidRPr="00511005">
        <w:rPr>
          <w:rFonts w:ascii="Arial" w:eastAsia="Calibri" w:hAnsi="Arial" w:cs="Arial"/>
          <w:szCs w:val="28"/>
        </w:rPr>
        <w:t>Роботодавці мають обмежені можливості перевіряти виконання трудових обов’язків без порушення права працівника на приватність</w:t>
      </w:r>
      <w:r w:rsidRPr="00511005">
        <w:rPr>
          <w:rFonts w:ascii="Arial" w:eastAsia="Calibri" w:hAnsi="Arial" w:cs="Arial"/>
          <w:szCs w:val="28"/>
          <w:lang w:val="uk-UA"/>
        </w:rPr>
        <w:t>;</w:t>
      </w:r>
    </w:p>
    <w:p w14:paraId="38956D4A" w14:textId="77777777" w:rsidR="003476F8" w:rsidRPr="00511005" w:rsidRDefault="003476F8" w:rsidP="003F6A5D">
      <w:pPr>
        <w:numPr>
          <w:ilvl w:val="0"/>
          <w:numId w:val="444"/>
        </w:numPr>
        <w:spacing w:line="264" w:lineRule="auto"/>
        <w:ind w:left="0" w:right="-143" w:firstLine="709"/>
        <w:jc w:val="left"/>
        <w:rPr>
          <w:rFonts w:ascii="Arial" w:eastAsia="Calibri" w:hAnsi="Arial" w:cs="Arial"/>
          <w:szCs w:val="28"/>
        </w:rPr>
      </w:pPr>
      <w:r w:rsidRPr="00511005">
        <w:rPr>
          <w:rFonts w:ascii="Arial" w:eastAsia="Calibri" w:hAnsi="Arial" w:cs="Arial"/>
          <w:bCs/>
          <w:szCs w:val="28"/>
          <w:lang w:val="uk-UA"/>
        </w:rPr>
        <w:t>п</w:t>
      </w:r>
      <w:r w:rsidRPr="00511005">
        <w:rPr>
          <w:rFonts w:ascii="Arial" w:eastAsia="Calibri" w:hAnsi="Arial" w:cs="Arial"/>
          <w:bCs/>
          <w:szCs w:val="28"/>
        </w:rPr>
        <w:t xml:space="preserve">роблеми із забезпеченням безпеки праці. </w:t>
      </w:r>
      <w:r w:rsidRPr="00511005">
        <w:rPr>
          <w:rFonts w:ascii="Arial" w:eastAsia="Calibri" w:hAnsi="Arial" w:cs="Arial"/>
          <w:szCs w:val="28"/>
        </w:rPr>
        <w:t>Закон вимагає дотримання норм охорони праці на дистанції, але фактично контроль за їх виконанням є ускладненим</w:t>
      </w:r>
      <w:r w:rsidRPr="00511005">
        <w:rPr>
          <w:rFonts w:ascii="Arial" w:eastAsia="Calibri" w:hAnsi="Arial" w:cs="Arial"/>
          <w:szCs w:val="28"/>
          <w:lang w:val="uk-UA"/>
        </w:rPr>
        <w:t>;</w:t>
      </w:r>
    </w:p>
    <w:p w14:paraId="578E7D5C" w14:textId="77777777" w:rsidR="003476F8" w:rsidRPr="00511005" w:rsidRDefault="003476F8" w:rsidP="003F6A5D">
      <w:pPr>
        <w:numPr>
          <w:ilvl w:val="0"/>
          <w:numId w:val="444"/>
        </w:numPr>
        <w:spacing w:line="264" w:lineRule="auto"/>
        <w:ind w:left="0" w:right="-143" w:firstLine="709"/>
        <w:jc w:val="left"/>
        <w:rPr>
          <w:rFonts w:ascii="Arial" w:eastAsia="Calibri" w:hAnsi="Arial" w:cs="Arial"/>
          <w:szCs w:val="28"/>
        </w:rPr>
      </w:pPr>
      <w:r w:rsidRPr="00511005">
        <w:rPr>
          <w:rFonts w:ascii="Arial" w:eastAsia="Calibri" w:hAnsi="Arial" w:cs="Arial"/>
          <w:bCs/>
          <w:szCs w:val="28"/>
          <w:lang w:val="uk-UA"/>
        </w:rPr>
        <w:t>н</w:t>
      </w:r>
      <w:r w:rsidRPr="00511005">
        <w:rPr>
          <w:rFonts w:ascii="Arial" w:eastAsia="Calibri" w:hAnsi="Arial" w:cs="Arial"/>
          <w:bCs/>
          <w:szCs w:val="28"/>
        </w:rPr>
        <w:t xml:space="preserve">еврегульованість питання компенсації витрат працівника. </w:t>
      </w:r>
      <w:r w:rsidRPr="00511005">
        <w:rPr>
          <w:rFonts w:ascii="Arial" w:eastAsia="Calibri" w:hAnsi="Arial" w:cs="Arial"/>
          <w:szCs w:val="28"/>
        </w:rPr>
        <w:t>Відсутність чітких механізмів обрахунку і виплати компенсацій призводить до конфліктів між працівниками та роботодавцями</w:t>
      </w:r>
      <w:r w:rsidRPr="00511005">
        <w:rPr>
          <w:rFonts w:ascii="Arial" w:eastAsia="Calibri" w:hAnsi="Arial" w:cs="Arial"/>
          <w:szCs w:val="28"/>
          <w:lang w:val="uk-UA"/>
        </w:rPr>
        <w:t>;</w:t>
      </w:r>
    </w:p>
    <w:p w14:paraId="106C0539" w14:textId="77777777" w:rsidR="003476F8" w:rsidRPr="00511005" w:rsidRDefault="003476F8" w:rsidP="003F6A5D">
      <w:pPr>
        <w:numPr>
          <w:ilvl w:val="0"/>
          <w:numId w:val="444"/>
        </w:numPr>
        <w:spacing w:line="264" w:lineRule="auto"/>
        <w:ind w:left="0" w:right="-143" w:firstLine="709"/>
        <w:jc w:val="left"/>
        <w:rPr>
          <w:rFonts w:ascii="Arial" w:eastAsia="Calibri" w:hAnsi="Arial" w:cs="Arial"/>
          <w:szCs w:val="28"/>
        </w:rPr>
      </w:pPr>
      <w:r w:rsidRPr="00511005">
        <w:rPr>
          <w:rFonts w:ascii="Arial" w:eastAsia="Calibri" w:hAnsi="Arial" w:cs="Arial"/>
          <w:bCs/>
          <w:szCs w:val="28"/>
          <w:lang w:val="uk-UA"/>
        </w:rPr>
        <w:t>п</w:t>
      </w:r>
      <w:r w:rsidRPr="00511005">
        <w:rPr>
          <w:rFonts w:ascii="Arial" w:eastAsia="Calibri" w:hAnsi="Arial" w:cs="Arial"/>
          <w:bCs/>
          <w:szCs w:val="28"/>
        </w:rPr>
        <w:t xml:space="preserve">равові колізії у випадках змішаної (гібридної) роботи. </w:t>
      </w:r>
      <w:r w:rsidRPr="00511005">
        <w:rPr>
          <w:rFonts w:ascii="Arial" w:eastAsia="Calibri" w:hAnsi="Arial" w:cs="Arial"/>
          <w:szCs w:val="28"/>
        </w:rPr>
        <w:t>Закон не містить чіткого регулювання для моделей роботи, які поєднують дистанційний та офісний формати</w:t>
      </w:r>
      <w:r w:rsidRPr="00511005">
        <w:rPr>
          <w:rFonts w:ascii="Arial" w:eastAsia="Calibri" w:hAnsi="Arial" w:cs="Arial"/>
          <w:szCs w:val="28"/>
          <w:lang w:val="uk-UA"/>
        </w:rPr>
        <w:t>;</w:t>
      </w:r>
    </w:p>
    <w:p w14:paraId="1B11042C" w14:textId="77777777" w:rsidR="003476F8" w:rsidRPr="00511005" w:rsidRDefault="003476F8" w:rsidP="003F6A5D">
      <w:pPr>
        <w:numPr>
          <w:ilvl w:val="0"/>
          <w:numId w:val="444"/>
        </w:numPr>
        <w:spacing w:line="264" w:lineRule="auto"/>
        <w:ind w:left="0" w:right="-143" w:firstLine="709"/>
        <w:jc w:val="left"/>
        <w:rPr>
          <w:rFonts w:ascii="Arial" w:eastAsia="Calibri" w:hAnsi="Arial" w:cs="Arial"/>
          <w:szCs w:val="28"/>
        </w:rPr>
      </w:pPr>
      <w:r w:rsidRPr="00511005">
        <w:rPr>
          <w:rFonts w:ascii="Arial" w:eastAsia="Calibri" w:hAnsi="Arial" w:cs="Arial"/>
          <w:bCs/>
          <w:szCs w:val="28"/>
          <w:lang w:val="uk-UA"/>
        </w:rPr>
        <w:t>н</w:t>
      </w:r>
      <w:r w:rsidRPr="00511005">
        <w:rPr>
          <w:rFonts w:ascii="Arial" w:eastAsia="Calibri" w:hAnsi="Arial" w:cs="Arial"/>
          <w:bCs/>
          <w:szCs w:val="28"/>
        </w:rPr>
        <w:t xml:space="preserve">едостатній захист трудових прав в умовах воєнного стану. </w:t>
      </w:r>
      <w:r w:rsidRPr="00511005">
        <w:rPr>
          <w:rFonts w:ascii="Arial" w:eastAsia="Calibri" w:hAnsi="Arial" w:cs="Arial"/>
          <w:szCs w:val="28"/>
        </w:rPr>
        <w:t>Спрощення трудових процедур, передбачене законодавством на час воєнного стану, може призводити до звуження трудових гарантій працівників.</w:t>
      </w:r>
    </w:p>
    <w:p w14:paraId="76D9C2C1" w14:textId="1650EEF9"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Для ефективного функціонування дистанційної форми праці в Україні необхідно [3]: р</w:t>
      </w:r>
      <w:r w:rsidRPr="00511005">
        <w:rPr>
          <w:rFonts w:ascii="Arial" w:eastAsia="Calibri" w:hAnsi="Arial" w:cs="Arial"/>
          <w:bCs/>
          <w:szCs w:val="28"/>
        </w:rPr>
        <w:t>озробити спеціальний закон про дистанційну роботу,</w:t>
      </w:r>
      <w:r w:rsidRPr="00511005">
        <w:rPr>
          <w:rFonts w:ascii="Arial" w:eastAsia="Calibri" w:hAnsi="Arial" w:cs="Arial"/>
          <w:szCs w:val="28"/>
        </w:rPr>
        <w:t xml:space="preserve"> який би врегулював специфіку укладення, зміни та припинення трудових відносин у цьому форматі</w:t>
      </w:r>
      <w:r w:rsidRPr="00511005">
        <w:rPr>
          <w:rFonts w:ascii="Arial" w:eastAsia="Calibri" w:hAnsi="Arial" w:cs="Arial"/>
          <w:szCs w:val="28"/>
          <w:lang w:val="uk-UA"/>
        </w:rPr>
        <w:t>;</w:t>
      </w:r>
      <w:r w:rsidR="007B2628" w:rsidRPr="00511005">
        <w:rPr>
          <w:rFonts w:ascii="Arial" w:eastAsia="Calibri" w:hAnsi="Arial" w:cs="Arial"/>
          <w:szCs w:val="28"/>
        </w:rPr>
        <w:t xml:space="preserve"> </w:t>
      </w:r>
      <w:r w:rsidRPr="00511005">
        <w:rPr>
          <w:rFonts w:ascii="Arial" w:eastAsia="Calibri" w:hAnsi="Arial" w:cs="Arial"/>
          <w:bCs/>
          <w:szCs w:val="28"/>
          <w:lang w:val="uk-UA"/>
        </w:rPr>
        <w:t>з</w:t>
      </w:r>
      <w:r w:rsidRPr="00511005">
        <w:rPr>
          <w:rFonts w:ascii="Arial" w:eastAsia="Calibri" w:hAnsi="Arial" w:cs="Arial"/>
          <w:bCs/>
          <w:szCs w:val="28"/>
        </w:rPr>
        <w:t>акріпити мінімальні стандарти компенсації витрат працівника,</w:t>
      </w:r>
      <w:r w:rsidRPr="00511005">
        <w:rPr>
          <w:rFonts w:ascii="Arial" w:eastAsia="Calibri" w:hAnsi="Arial" w:cs="Arial"/>
          <w:szCs w:val="28"/>
        </w:rPr>
        <w:t xml:space="preserve"> пов’язаних із використанням власних засобів праці</w:t>
      </w:r>
      <w:r w:rsidRPr="00511005">
        <w:rPr>
          <w:rFonts w:ascii="Arial" w:eastAsia="Calibri" w:hAnsi="Arial" w:cs="Arial"/>
          <w:szCs w:val="28"/>
          <w:lang w:val="uk-UA"/>
        </w:rPr>
        <w:t xml:space="preserve">; </w:t>
      </w:r>
      <w:r w:rsidRPr="00511005">
        <w:rPr>
          <w:rFonts w:ascii="Arial" w:eastAsia="Calibri" w:hAnsi="Arial" w:cs="Arial"/>
          <w:bCs/>
          <w:szCs w:val="28"/>
          <w:lang w:val="uk-UA"/>
        </w:rPr>
        <w:t>у</w:t>
      </w:r>
      <w:r w:rsidRPr="00511005">
        <w:rPr>
          <w:rFonts w:ascii="Arial" w:eastAsia="Calibri" w:hAnsi="Arial" w:cs="Arial"/>
          <w:bCs/>
          <w:szCs w:val="28"/>
        </w:rPr>
        <w:t xml:space="preserve">досконалити </w:t>
      </w:r>
      <w:r w:rsidRPr="00511005">
        <w:rPr>
          <w:rFonts w:ascii="Arial" w:eastAsia="Calibri" w:hAnsi="Arial" w:cs="Arial"/>
          <w:bCs/>
          <w:szCs w:val="28"/>
        </w:rPr>
        <w:lastRenderedPageBreak/>
        <w:t>правила охорони праці на дистанційній роботі,</w:t>
      </w:r>
      <w:r w:rsidRPr="00511005">
        <w:rPr>
          <w:rFonts w:ascii="Arial" w:eastAsia="Calibri" w:hAnsi="Arial" w:cs="Arial"/>
          <w:szCs w:val="28"/>
        </w:rPr>
        <w:t xml:space="preserve"> зокрема через впровадження самодекларацій безпеки робочого місця</w:t>
      </w:r>
      <w:r w:rsidRPr="00511005">
        <w:rPr>
          <w:rFonts w:ascii="Arial" w:eastAsia="Calibri" w:hAnsi="Arial" w:cs="Arial"/>
          <w:szCs w:val="28"/>
          <w:lang w:val="uk-UA"/>
        </w:rPr>
        <w:t xml:space="preserve">; </w:t>
      </w:r>
      <w:r w:rsidRPr="00511005">
        <w:rPr>
          <w:rFonts w:ascii="Arial" w:eastAsia="Calibri" w:hAnsi="Arial" w:cs="Arial"/>
          <w:bCs/>
          <w:szCs w:val="28"/>
          <w:lang w:val="uk-UA"/>
        </w:rPr>
        <w:t>в</w:t>
      </w:r>
      <w:r w:rsidRPr="00511005">
        <w:rPr>
          <w:rFonts w:ascii="Arial" w:eastAsia="Calibri" w:hAnsi="Arial" w:cs="Arial"/>
          <w:bCs/>
          <w:szCs w:val="28"/>
        </w:rPr>
        <w:t>становити баланс між контролем і правом на приватність,</w:t>
      </w:r>
      <w:r w:rsidRPr="00511005">
        <w:rPr>
          <w:rFonts w:ascii="Arial" w:eastAsia="Calibri" w:hAnsi="Arial" w:cs="Arial"/>
          <w:szCs w:val="28"/>
        </w:rPr>
        <w:t xml:space="preserve"> передбачивши прозорі механізми електронного моніторингу</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bCs/>
          <w:szCs w:val="28"/>
          <w:lang w:val="uk-UA"/>
        </w:rPr>
        <w:t>п</w:t>
      </w:r>
      <w:r w:rsidRPr="00511005">
        <w:rPr>
          <w:rFonts w:ascii="Arial" w:eastAsia="Calibri" w:hAnsi="Arial" w:cs="Arial"/>
          <w:bCs/>
          <w:szCs w:val="28"/>
        </w:rPr>
        <w:t>ередбачити окреме регулювання гібридної форми праці,</w:t>
      </w:r>
      <w:r w:rsidRPr="00511005">
        <w:rPr>
          <w:rFonts w:ascii="Arial" w:eastAsia="Calibri" w:hAnsi="Arial" w:cs="Arial"/>
          <w:szCs w:val="28"/>
        </w:rPr>
        <w:t xml:space="preserve"> з урахуванням особливостей переміщення працівника між робочими місцями</w:t>
      </w:r>
      <w:r w:rsidRPr="00511005">
        <w:rPr>
          <w:rFonts w:ascii="Arial" w:eastAsia="Calibri" w:hAnsi="Arial" w:cs="Arial"/>
          <w:szCs w:val="28"/>
          <w:lang w:val="uk-UA"/>
        </w:rPr>
        <w:t xml:space="preserve">; </w:t>
      </w:r>
      <w:r w:rsidRPr="00511005">
        <w:rPr>
          <w:rFonts w:ascii="Arial" w:eastAsia="Calibri" w:hAnsi="Arial" w:cs="Arial"/>
          <w:bCs/>
          <w:szCs w:val="28"/>
          <w:lang w:val="uk-UA"/>
        </w:rPr>
        <w:t>р</w:t>
      </w:r>
      <w:r w:rsidRPr="00511005">
        <w:rPr>
          <w:rFonts w:ascii="Arial" w:eastAsia="Calibri" w:hAnsi="Arial" w:cs="Arial"/>
          <w:bCs/>
          <w:szCs w:val="28"/>
        </w:rPr>
        <w:t>озвивати цифрові трудові книжки та інші електронні інструменти,</w:t>
      </w:r>
      <w:r w:rsidRPr="00511005">
        <w:rPr>
          <w:rFonts w:ascii="Arial" w:eastAsia="Calibri" w:hAnsi="Arial" w:cs="Arial"/>
          <w:szCs w:val="28"/>
        </w:rPr>
        <w:t xml:space="preserve"> що спростять оформлення трудових відносин на відстані.</w:t>
      </w:r>
    </w:p>
    <w:p w14:paraId="1B115DDA" w14:textId="77777777"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 xml:space="preserve">У контексті стрімкого розвитку цифрових технологій та глобалізації ринку праці дистанційна робота поступово стає повноцінною та стабільною формою трудових відносин. У зв’язку з цим перспективи правового регулювання дистанційної роботи полягають у вдосконаленні законодавчої бази. Необхідно чіткіше врегулювати особливості укладення, зміни та припинення трудових договорів про дистанційну роботу, встановити єдині вимоги </w:t>
      </w:r>
      <w:proofErr w:type="gramStart"/>
      <w:r w:rsidRPr="00511005">
        <w:rPr>
          <w:rFonts w:ascii="Arial" w:eastAsia="Calibri" w:hAnsi="Arial" w:cs="Arial"/>
          <w:szCs w:val="28"/>
        </w:rPr>
        <w:t>до формату</w:t>
      </w:r>
      <w:proofErr w:type="gramEnd"/>
      <w:r w:rsidRPr="00511005">
        <w:rPr>
          <w:rFonts w:ascii="Arial" w:eastAsia="Calibri" w:hAnsi="Arial" w:cs="Arial"/>
          <w:szCs w:val="28"/>
        </w:rPr>
        <w:t xml:space="preserve"> договорів та електронної взаємодії між працівником і роботодавцем.</w:t>
      </w:r>
    </w:p>
    <w:p w14:paraId="044A31DE" w14:textId="77777777"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Також, варто зазначити, що законодавство має забезпечити захист прав на оплату праці, робочий час, час відпочинку, професійну безпеку і гігієну праці незалежно від місця виконання роботи.</w:t>
      </w:r>
    </w:p>
    <w:p w14:paraId="2D67B192" w14:textId="77777777"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Важливим напрямом є розробка вимог до захисту інформації, яка використовується під час дистанційної роботи, що потребує чітких юридичних механізмів відповідальності за витоки або неправомірне використання даних.</w:t>
      </w:r>
    </w:p>
    <w:p w14:paraId="7E13F00C" w14:textId="77777777"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В умовах поширення транскордонної дистанційної зайнятості виникає потреба гармонізувати національне законодавство з міжнародними стандартами у сфері праці, зокрема рекомендаціями МОП та директивами ЄС.</w:t>
      </w:r>
    </w:p>
    <w:p w14:paraId="5DECFD89" w14:textId="77777777"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Таким чином, правове регулювання дистанційної роботи потребує динамічного розвитку, орієнтованого на баланс між гнучкістю трудових відносин та належним рівнем соціального захисту працівників.</w:t>
      </w:r>
    </w:p>
    <w:p w14:paraId="67C7504D" w14:textId="77777777" w:rsidR="003476F8" w:rsidRPr="00511005" w:rsidRDefault="003476F8" w:rsidP="003A292D">
      <w:pPr>
        <w:spacing w:line="264" w:lineRule="auto"/>
        <w:ind w:right="-143"/>
        <w:rPr>
          <w:rFonts w:ascii="Arial" w:eastAsia="Calibri" w:hAnsi="Arial" w:cs="Arial"/>
          <w:szCs w:val="28"/>
        </w:rPr>
      </w:pPr>
      <w:r w:rsidRPr="00511005">
        <w:rPr>
          <w:rFonts w:ascii="Arial" w:eastAsia="Calibri" w:hAnsi="Arial" w:cs="Arial"/>
          <w:szCs w:val="28"/>
        </w:rPr>
        <w:t>Отже, дистанційна робота стала невід’ємною частиною сучасного трудового ринку, що вимагає оперативного і гнучкого правового регулювання. Українське законодавство вже зробило перші кроки у цьому напрямку, однак для забезпечення ефективного захисту прав працівників і потреб роботодавців необхідно подальше вдосконалення нормативної бази з урахуванням світових тенденцій і національної специфіки. Впровадження чітких та справедливих правил дистанційної роботи сприятиме розвитку гнучких форм зайнятості, підвищенню конкурентоспроможності економіки та забезпеченню гідних умов праці.</w:t>
      </w:r>
    </w:p>
    <w:p w14:paraId="64608A83" w14:textId="77777777" w:rsidR="003476F8" w:rsidRPr="00511005" w:rsidRDefault="003476F8" w:rsidP="003A292D">
      <w:pPr>
        <w:spacing w:line="264" w:lineRule="auto"/>
        <w:ind w:right="-143"/>
        <w:rPr>
          <w:rFonts w:ascii="Arial" w:eastAsia="Calibri" w:hAnsi="Arial" w:cs="Arial"/>
          <w:szCs w:val="28"/>
        </w:rPr>
      </w:pPr>
    </w:p>
    <w:p w14:paraId="66AEBD0C" w14:textId="77777777" w:rsidR="003476F8" w:rsidRPr="00511005" w:rsidRDefault="003476F8" w:rsidP="003A292D">
      <w:pPr>
        <w:spacing w:line="264" w:lineRule="auto"/>
        <w:ind w:left="1080" w:firstLine="0"/>
        <w:contextualSpacing/>
        <w:jc w:val="center"/>
        <w:rPr>
          <w:rFonts w:ascii="Arial" w:eastAsia="Calibri" w:hAnsi="Arial" w:cs="Arial"/>
          <w:b/>
          <w:szCs w:val="28"/>
        </w:rPr>
      </w:pPr>
    </w:p>
    <w:p w14:paraId="5897600E" w14:textId="77777777" w:rsidR="003476F8" w:rsidRPr="00511005" w:rsidRDefault="003476F8" w:rsidP="003A292D">
      <w:pPr>
        <w:spacing w:line="264" w:lineRule="auto"/>
        <w:ind w:left="-284" w:firstLine="0"/>
        <w:contextualSpacing/>
        <w:jc w:val="center"/>
        <w:rPr>
          <w:rFonts w:ascii="Arial" w:eastAsia="Calibri" w:hAnsi="Arial" w:cs="Arial"/>
          <w:b/>
          <w:szCs w:val="28"/>
        </w:rPr>
      </w:pPr>
      <w:r w:rsidRPr="00511005">
        <w:rPr>
          <w:rFonts w:ascii="Arial" w:eastAsia="Calibri" w:hAnsi="Arial" w:cs="Arial"/>
          <w:b/>
          <w:szCs w:val="28"/>
        </w:rPr>
        <w:t>Список викори</w:t>
      </w:r>
      <w:r w:rsidRPr="00511005">
        <w:rPr>
          <w:rFonts w:ascii="Arial" w:eastAsia="Calibri" w:hAnsi="Arial" w:cs="Arial"/>
          <w:b/>
          <w:szCs w:val="28"/>
          <w:lang w:val="en-US"/>
        </w:rPr>
        <w:t>c</w:t>
      </w:r>
      <w:r w:rsidRPr="00511005">
        <w:rPr>
          <w:rFonts w:ascii="Arial" w:eastAsia="Calibri" w:hAnsi="Arial" w:cs="Arial"/>
          <w:b/>
          <w:szCs w:val="28"/>
        </w:rPr>
        <w:t>таних джерел</w:t>
      </w:r>
    </w:p>
    <w:p w14:paraId="424CEC1A" w14:textId="77777777" w:rsidR="003476F8" w:rsidRPr="00511005" w:rsidRDefault="003476F8" w:rsidP="003F6A5D">
      <w:pPr>
        <w:numPr>
          <w:ilvl w:val="0"/>
          <w:numId w:val="835"/>
        </w:numPr>
        <w:spacing w:line="264" w:lineRule="auto"/>
        <w:ind w:left="0" w:right="-143"/>
        <w:contextualSpacing/>
        <w:jc w:val="left"/>
        <w:rPr>
          <w:rFonts w:ascii="Arial" w:eastAsia="Calibri" w:hAnsi="Arial" w:cs="Arial"/>
          <w:szCs w:val="28"/>
        </w:rPr>
      </w:pPr>
      <w:r w:rsidRPr="00511005">
        <w:rPr>
          <w:rFonts w:ascii="Arial" w:eastAsia="Calibri" w:hAnsi="Arial" w:cs="Arial"/>
          <w:szCs w:val="28"/>
        </w:rPr>
        <w:t xml:space="preserve">Беззуб І. Дистанційна форма зайнятості: українські та зарубіжні реалії. </w:t>
      </w:r>
      <w:r w:rsidRPr="00511005">
        <w:rPr>
          <w:rFonts w:ascii="Arial" w:eastAsia="Calibri" w:hAnsi="Arial" w:cs="Arial"/>
          <w:i/>
          <w:iCs/>
          <w:szCs w:val="28"/>
        </w:rPr>
        <w:t>Громадська думка про правотворення</w:t>
      </w:r>
      <w:r w:rsidRPr="00511005">
        <w:rPr>
          <w:rFonts w:ascii="Arial" w:eastAsia="Calibri" w:hAnsi="Arial" w:cs="Arial"/>
          <w:szCs w:val="28"/>
        </w:rPr>
        <w:t>. 2020. № 16 (201). С. 4</w:t>
      </w:r>
      <w:r w:rsidRPr="00511005">
        <w:rPr>
          <w:rFonts w:ascii="Arial" w:eastAsia="Calibri" w:hAnsi="Arial" w:cs="Arial"/>
          <w:szCs w:val="28"/>
          <w:lang w:val="uk-UA"/>
        </w:rPr>
        <w:t>-</w:t>
      </w:r>
      <w:r w:rsidRPr="00511005">
        <w:rPr>
          <w:rFonts w:ascii="Arial" w:eastAsia="Calibri" w:hAnsi="Arial" w:cs="Arial"/>
          <w:szCs w:val="28"/>
        </w:rPr>
        <w:t>11.</w:t>
      </w:r>
    </w:p>
    <w:p w14:paraId="1C0A7452" w14:textId="77777777" w:rsidR="003476F8" w:rsidRPr="00511005" w:rsidRDefault="003476F8" w:rsidP="003F6A5D">
      <w:pPr>
        <w:numPr>
          <w:ilvl w:val="0"/>
          <w:numId w:val="835"/>
        </w:numPr>
        <w:spacing w:line="264" w:lineRule="auto"/>
        <w:ind w:left="0" w:right="-143"/>
        <w:contextualSpacing/>
        <w:jc w:val="left"/>
        <w:rPr>
          <w:rFonts w:ascii="Arial" w:eastAsia="Calibri" w:hAnsi="Arial" w:cs="Arial"/>
          <w:szCs w:val="28"/>
        </w:rPr>
      </w:pPr>
      <w:r w:rsidRPr="00511005">
        <w:rPr>
          <w:rFonts w:ascii="Arial" w:eastAsia="Calibri" w:hAnsi="Arial" w:cs="Arial"/>
          <w:szCs w:val="28"/>
        </w:rPr>
        <w:lastRenderedPageBreak/>
        <w:t xml:space="preserve">Герасименко О.О. Дистанційна зайнятість як тренд цифрової економіки: нові можливості, нові соціальні ризики. </w:t>
      </w:r>
      <w:r w:rsidRPr="00511005">
        <w:rPr>
          <w:rFonts w:ascii="Arial" w:eastAsia="Calibri" w:hAnsi="Arial" w:cs="Arial"/>
          <w:i/>
          <w:iCs/>
          <w:szCs w:val="28"/>
        </w:rPr>
        <w:t xml:space="preserve">Сфера зайнятості і доходів в умовах цифрової економіки: механізми регулювання, виклики та домінанти </w:t>
      </w:r>
      <w:proofErr w:type="gramStart"/>
      <w:r w:rsidRPr="00511005">
        <w:rPr>
          <w:rFonts w:ascii="Arial" w:eastAsia="Calibri" w:hAnsi="Arial" w:cs="Arial"/>
          <w:i/>
          <w:iCs/>
          <w:szCs w:val="28"/>
        </w:rPr>
        <w:t>розвитку</w:t>
      </w:r>
      <w:r w:rsidRPr="00511005">
        <w:rPr>
          <w:rFonts w:ascii="Arial" w:eastAsia="Calibri" w:hAnsi="Arial" w:cs="Arial"/>
          <w:szCs w:val="28"/>
        </w:rPr>
        <w:t xml:space="preserve"> :</w:t>
      </w:r>
      <w:proofErr w:type="gramEnd"/>
      <w:r w:rsidRPr="00511005">
        <w:rPr>
          <w:rFonts w:ascii="Arial" w:eastAsia="Calibri" w:hAnsi="Arial" w:cs="Arial"/>
          <w:szCs w:val="28"/>
        </w:rPr>
        <w:t xml:space="preserve"> </w:t>
      </w:r>
      <w:r w:rsidRPr="00511005">
        <w:rPr>
          <w:rFonts w:ascii="Arial" w:eastAsia="Calibri" w:hAnsi="Arial" w:cs="Arial"/>
          <w:szCs w:val="28"/>
          <w:lang w:val="uk-UA"/>
        </w:rPr>
        <w:t>З</w:t>
      </w:r>
      <w:r w:rsidRPr="00511005">
        <w:rPr>
          <w:rFonts w:ascii="Arial" w:eastAsia="Calibri" w:hAnsi="Arial" w:cs="Arial"/>
          <w:szCs w:val="28"/>
        </w:rPr>
        <w:t xml:space="preserve">бірник тез доп. учасників Міжнар. наук.-практ. конф., (Київ, 23–24 жовт. 2019 р.). </w:t>
      </w:r>
      <w:proofErr w:type="gramStart"/>
      <w:r w:rsidRPr="00511005">
        <w:rPr>
          <w:rFonts w:ascii="Arial" w:eastAsia="Calibri" w:hAnsi="Arial" w:cs="Arial"/>
          <w:szCs w:val="28"/>
        </w:rPr>
        <w:t>Київ :</w:t>
      </w:r>
      <w:proofErr w:type="gramEnd"/>
      <w:r w:rsidRPr="00511005">
        <w:rPr>
          <w:rFonts w:ascii="Arial" w:eastAsia="Calibri" w:hAnsi="Arial" w:cs="Arial"/>
          <w:szCs w:val="28"/>
        </w:rPr>
        <w:t xml:space="preserve"> КНЕУ, 2019. С. 228</w:t>
      </w:r>
      <w:r w:rsidRPr="00511005">
        <w:rPr>
          <w:rFonts w:ascii="Arial" w:eastAsia="Calibri" w:hAnsi="Arial" w:cs="Arial"/>
          <w:szCs w:val="28"/>
          <w:lang w:val="uk-UA"/>
        </w:rPr>
        <w:t>-</w:t>
      </w:r>
      <w:r w:rsidRPr="00511005">
        <w:rPr>
          <w:rFonts w:ascii="Arial" w:eastAsia="Calibri" w:hAnsi="Arial" w:cs="Arial"/>
          <w:szCs w:val="28"/>
        </w:rPr>
        <w:t>231</w:t>
      </w:r>
      <w:r w:rsidRPr="00511005">
        <w:rPr>
          <w:rFonts w:ascii="Arial" w:eastAsia="Calibri" w:hAnsi="Arial" w:cs="Arial"/>
          <w:szCs w:val="28"/>
          <w:lang w:val="uk-UA"/>
        </w:rPr>
        <w:t>.</w:t>
      </w:r>
    </w:p>
    <w:p w14:paraId="581D1D38" w14:textId="77777777" w:rsidR="003476F8" w:rsidRPr="00511005" w:rsidRDefault="003476F8" w:rsidP="003F6A5D">
      <w:pPr>
        <w:numPr>
          <w:ilvl w:val="0"/>
          <w:numId w:val="835"/>
        </w:numPr>
        <w:spacing w:line="264" w:lineRule="auto"/>
        <w:ind w:left="0" w:right="-143"/>
        <w:contextualSpacing/>
        <w:jc w:val="left"/>
        <w:rPr>
          <w:rFonts w:ascii="Arial" w:eastAsia="Calibri" w:hAnsi="Arial" w:cs="Arial"/>
          <w:szCs w:val="28"/>
        </w:rPr>
      </w:pPr>
      <w:r w:rsidRPr="00511005">
        <w:rPr>
          <w:rFonts w:ascii="Arial" w:eastAsia="Calibri" w:hAnsi="Arial" w:cs="Arial"/>
          <w:szCs w:val="28"/>
        </w:rPr>
        <w:t xml:space="preserve">Демченко О.В. Механізм правового регулювання дистанційної зайнятості за трудоправовою регламентацією. </w:t>
      </w:r>
      <w:r w:rsidRPr="00511005">
        <w:rPr>
          <w:rFonts w:ascii="Arial" w:eastAsia="Calibri" w:hAnsi="Arial" w:cs="Arial"/>
          <w:i/>
          <w:iCs/>
          <w:szCs w:val="28"/>
        </w:rPr>
        <w:t>Науковий вісник Херсонського державного університету</w:t>
      </w:r>
      <w:r w:rsidRPr="00511005">
        <w:rPr>
          <w:rFonts w:ascii="Arial" w:eastAsia="Calibri" w:hAnsi="Arial" w:cs="Arial"/>
          <w:szCs w:val="28"/>
        </w:rPr>
        <w:t>. Серія «Юридичні науки». 2019. Вип. 2. С. 42</w:t>
      </w:r>
      <w:r w:rsidRPr="00511005">
        <w:rPr>
          <w:rFonts w:ascii="Arial" w:eastAsia="Calibri" w:hAnsi="Arial" w:cs="Arial"/>
          <w:szCs w:val="28"/>
          <w:lang w:val="uk-UA"/>
        </w:rPr>
        <w:t>-</w:t>
      </w:r>
      <w:r w:rsidRPr="00511005">
        <w:rPr>
          <w:rFonts w:ascii="Arial" w:eastAsia="Calibri" w:hAnsi="Arial" w:cs="Arial"/>
          <w:szCs w:val="28"/>
        </w:rPr>
        <w:t xml:space="preserve">45. </w:t>
      </w:r>
    </w:p>
    <w:p w14:paraId="6FF6C65B" w14:textId="77777777" w:rsidR="003476F8" w:rsidRPr="00511005" w:rsidRDefault="003476F8" w:rsidP="003A292D">
      <w:pPr>
        <w:spacing w:line="264" w:lineRule="auto"/>
        <w:ind w:right="-143"/>
        <w:contextualSpacing/>
        <w:rPr>
          <w:rFonts w:ascii="Arial" w:eastAsia="Calibri" w:hAnsi="Arial" w:cs="Arial"/>
          <w:b/>
          <w:iCs/>
          <w:szCs w:val="28"/>
        </w:rPr>
      </w:pPr>
    </w:p>
    <w:p w14:paraId="6924892B" w14:textId="1B2E55AC" w:rsidR="003476F8" w:rsidRPr="00511005" w:rsidRDefault="007B2628" w:rsidP="003A292D">
      <w:pPr>
        <w:spacing w:line="264" w:lineRule="auto"/>
        <w:ind w:right="-143"/>
        <w:contextualSpacing/>
        <w:rPr>
          <w:rFonts w:ascii="Arial" w:eastAsia="Calibri" w:hAnsi="Arial" w:cs="Arial"/>
          <w:iCs/>
          <w:szCs w:val="28"/>
        </w:rPr>
      </w:pPr>
      <w:r w:rsidRPr="00511005">
        <w:rPr>
          <w:rFonts w:ascii="Arial" w:eastAsia="Calibri" w:hAnsi="Arial" w:cs="Arial"/>
          <w:b/>
          <w:i/>
          <w:iCs/>
          <w:szCs w:val="28"/>
        </w:rPr>
        <w:t xml:space="preserve">Ключові слова: </w:t>
      </w:r>
      <w:r w:rsidR="003476F8" w:rsidRPr="00511005">
        <w:rPr>
          <w:rFonts w:ascii="Arial" w:eastAsia="Calibri" w:hAnsi="Arial" w:cs="Arial"/>
          <w:iCs/>
          <w:szCs w:val="28"/>
        </w:rPr>
        <w:t>дистанційна робота, трудові відносини, правове регулювання, трудовий договір, захист прав працівників, робочий час.</w:t>
      </w:r>
    </w:p>
    <w:p w14:paraId="39AF170E" w14:textId="4DA77DCB" w:rsidR="003476F8" w:rsidRPr="00511005" w:rsidRDefault="007B2628" w:rsidP="003A292D">
      <w:pPr>
        <w:spacing w:line="264" w:lineRule="auto"/>
        <w:ind w:right="-143"/>
        <w:contextualSpacing/>
        <w:rPr>
          <w:rFonts w:ascii="Arial" w:eastAsia="Calibri" w:hAnsi="Arial" w:cs="Arial"/>
          <w:b/>
          <w:iCs/>
          <w:szCs w:val="28"/>
          <w:lang w:val="en-US"/>
        </w:rPr>
      </w:pPr>
      <w:r w:rsidRPr="00511005">
        <w:rPr>
          <w:rFonts w:ascii="Arial" w:eastAsia="Calibri" w:hAnsi="Arial" w:cs="Arial"/>
          <w:b/>
          <w:i/>
          <w:iCs/>
          <w:szCs w:val="28"/>
          <w:lang w:val="en-US"/>
        </w:rPr>
        <w:t xml:space="preserve">Key words: </w:t>
      </w:r>
      <w:r w:rsidR="003476F8" w:rsidRPr="00511005">
        <w:rPr>
          <w:rFonts w:ascii="Arial" w:eastAsia="Calibri" w:hAnsi="Arial" w:cs="Arial"/>
          <w:iCs/>
          <w:szCs w:val="28"/>
          <w:lang w:val="en-US"/>
        </w:rPr>
        <w:t>remote work, labor relations, legal regulation, employment contract, protection of employees' rights, working hours.</w:t>
      </w:r>
    </w:p>
    <w:p w14:paraId="0D144529" w14:textId="389CDC88" w:rsidR="003476F8" w:rsidRPr="00511005" w:rsidRDefault="007B2628" w:rsidP="003A292D">
      <w:pPr>
        <w:spacing w:line="264" w:lineRule="auto"/>
        <w:ind w:right="-143"/>
        <w:contextualSpacing/>
        <w:rPr>
          <w:rFonts w:ascii="Arial" w:eastAsia="Calibri" w:hAnsi="Arial" w:cs="Arial"/>
          <w:i/>
          <w:iCs/>
          <w:szCs w:val="28"/>
        </w:rPr>
      </w:pPr>
      <w:r w:rsidRPr="00511005">
        <w:rPr>
          <w:rFonts w:ascii="Arial" w:eastAsia="Calibri" w:hAnsi="Arial" w:cs="Arial"/>
          <w:b/>
          <w:i/>
          <w:iCs/>
          <w:szCs w:val="28"/>
        </w:rPr>
        <w:t xml:space="preserve">Науковий керівник: </w:t>
      </w:r>
      <w:r w:rsidR="003476F8" w:rsidRPr="00511005">
        <w:rPr>
          <w:rFonts w:ascii="Arial" w:eastAsia="Calibri" w:hAnsi="Arial" w:cs="Arial"/>
          <w:i/>
          <w:iCs/>
          <w:szCs w:val="28"/>
        </w:rPr>
        <w:t>к.ю.н., доцент, доцент Панченко А.О.</w:t>
      </w:r>
    </w:p>
    <w:p w14:paraId="5DADFDE6" w14:textId="77777777" w:rsidR="003476F8" w:rsidRPr="00511005" w:rsidRDefault="003476F8" w:rsidP="003A292D">
      <w:pPr>
        <w:keepNext/>
        <w:spacing w:line="264" w:lineRule="auto"/>
        <w:ind w:firstLine="567"/>
        <w:rPr>
          <w:rFonts w:ascii="Arial" w:eastAsia="Calibri" w:hAnsi="Arial" w:cs="Arial"/>
          <w:bCs/>
          <w:i/>
          <w:iCs/>
          <w:szCs w:val="28"/>
        </w:rPr>
      </w:pPr>
    </w:p>
    <w:p w14:paraId="48EA4181" w14:textId="77777777" w:rsidR="003476F8" w:rsidRPr="00511005" w:rsidRDefault="003476F8" w:rsidP="003A292D">
      <w:pPr>
        <w:keepNext/>
        <w:spacing w:line="264" w:lineRule="auto"/>
        <w:ind w:firstLine="567"/>
        <w:rPr>
          <w:rFonts w:ascii="Arial" w:eastAsia="Calibri" w:hAnsi="Arial" w:cs="Arial"/>
          <w:bCs/>
          <w:i/>
          <w:iCs/>
          <w:szCs w:val="28"/>
        </w:rPr>
      </w:pPr>
    </w:p>
    <w:p w14:paraId="5DDFDA16" w14:textId="77777777"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Карманчук Віталій Олегович</w:t>
      </w:r>
    </w:p>
    <w:p w14:paraId="6FBE713B" w14:textId="1BB68867" w:rsidR="003476F8" w:rsidRPr="00511005" w:rsidRDefault="00536AAB"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 2-го курсу </w:t>
      </w:r>
      <w:r w:rsidR="001B7B25" w:rsidRPr="00511005">
        <w:rPr>
          <w:rFonts w:ascii="Arial" w:eastAsia="Calibri" w:hAnsi="Arial" w:cs="Arial"/>
          <w:szCs w:val="28"/>
        </w:rPr>
        <w:t>факультету судового та міжнародного права</w:t>
      </w:r>
      <w:r w:rsidR="003476F8" w:rsidRPr="00511005">
        <w:rPr>
          <w:rFonts w:ascii="Arial" w:eastAsia="Times New Roman" w:hAnsi="Arial" w:cs="Arial"/>
          <w:szCs w:val="28"/>
          <w:lang w:val="uk-UA" w:eastAsia="ru-RU"/>
        </w:rPr>
        <w:br/>
      </w:r>
      <w:r w:rsidR="00C66506" w:rsidRPr="00511005">
        <w:rPr>
          <w:rFonts w:ascii="Arial" w:eastAsia="Times New Roman" w:hAnsi="Arial" w:cs="Arial"/>
          <w:szCs w:val="28"/>
          <w:lang w:val="uk-UA" w:eastAsia="ru-RU"/>
        </w:rPr>
        <w:t>Національного університету «Одеська юридична академія»</w:t>
      </w:r>
    </w:p>
    <w:p w14:paraId="780ACC35" w14:textId="77777777" w:rsidR="003476F8" w:rsidRPr="00511005" w:rsidRDefault="003476F8" w:rsidP="003A292D">
      <w:pPr>
        <w:tabs>
          <w:tab w:val="left" w:pos="851"/>
        </w:tabs>
        <w:spacing w:line="264" w:lineRule="auto"/>
        <w:rPr>
          <w:rFonts w:ascii="Arial" w:eastAsia="Times New Roman" w:hAnsi="Arial" w:cs="Arial"/>
          <w:szCs w:val="28"/>
          <w:lang w:val="uk-UA" w:eastAsia="ru-RU"/>
        </w:rPr>
      </w:pPr>
    </w:p>
    <w:p w14:paraId="5148FD1F" w14:textId="77777777" w:rsidR="003476F8" w:rsidRPr="00511005" w:rsidRDefault="003476F8" w:rsidP="003A292D">
      <w:pPr>
        <w:tabs>
          <w:tab w:val="left" w:pos="851"/>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ЗАХИСТ ПРАВ ПРАЦІВНИКІВ У ПЕРІОД ДІЇ ВОЄННОГО СТАНУ</w:t>
      </w:r>
    </w:p>
    <w:p w14:paraId="78236F71"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 умовах воєнного стану, оголошеного внаслідок військової агресії проти України, виникає низка правових колізій та практичних проблем у сфері трудових відносин. Правове регулювання захисту трудових прав громадян зазнало суттєвих змін, що спрямовані на забезпечення життєздатності економіки держави в екстраординарних умовах. Водночас ці зміни часто призводять до обмеження окремих прав працівників, що викликає необхідність пошуку балансу між інтересами національної безпеки та дотриманням фундаментальних прав людини.</w:t>
      </w:r>
    </w:p>
    <w:p w14:paraId="02773273"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Правове регулювання трудових відносин в Україні базується на конституційних принципах. Згідно з Конституцією України, кожен має право на працю, що включає можливість заробляти собі на життя працею, яку він вільно обирає або на яку вільно погоджується. Держава гарантує рівні можливості у виборі професії та роду трудової діяльності [1]. Більше того, Основний закон закріплює право на належні, безпечні і здорові умови праці, на заробітну плату, не нижчу від визначеної законом, а також заборону використання праці жінок і неповнолітніх на небезпечних для їхнього здоров'я роботах. Важливими є також положення про захист від незаконного звільнення та право на своєчасне одержання винагороди за працю.</w:t>
      </w:r>
    </w:p>
    <w:p w14:paraId="31D70493"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Кодекс законів про працю України деталізує ці права, встановлюючи механізми їх забезпечення та захисту. Серед основних трудових прав, передбачених КЗпП, можна виділити право на укладення трудового </w:t>
      </w:r>
      <w:r w:rsidRPr="00511005">
        <w:rPr>
          <w:rFonts w:ascii="Arial" w:eastAsia="Times New Roman" w:hAnsi="Arial" w:cs="Arial"/>
          <w:szCs w:val="28"/>
          <w:lang w:val="uk-UA" w:eastAsia="ru-RU"/>
        </w:rPr>
        <w:lastRenderedPageBreak/>
        <w:t>договору, на обмежену тривалість робочого часу, на відпочинок, на безпечні умови праці, на об'єднання в профспілки, на участь в управлінні підприємством, на матеріальне забезпечення в разі безробіття та в старості [2]. Однак в умовах воєнного стану постає питання про можливість та доцільність повноцінної реалізації цих прав.</w:t>
      </w:r>
    </w:p>
    <w:p w14:paraId="20D747FC"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З початком повномасштабної війни був прийнятий Закон України «Про організацію трудових відносин в умовах воєнного стану», який встановив суттєві обмеження прав працівників порівняно з мирним часом. Зокрема, роботодавцям надано право укладати строкові трудові договори з новими працівниками на період дії воєнного стану, розширено можливості для переведення працівників без їхньої згоди, збільшено нормальну тривалість робочого часу до 60 годин на тиждень, а також передбачено можливість призупинення дії трудового договору в разі відсутності можливості забезпечити працівника роботою [3].</w:t>
      </w:r>
    </w:p>
    <w:p w14:paraId="7DF14B16"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Особливо дискусійним є положення щодо можливості роботодавця розірвати трудовий договір з працівником у зв'язку з ліквідацією або припиненням діяльності роботодавця, викликаними знищенням майна внаслідок бойових дій. На відміну від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мирного</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регулювання, роботодавець може звільнити працівника у день повідомлення про це, без дотримання строку попередження. При цьому роботодавець повинен виплатити вихідну допомогу у розмірі не менше середньомісячного заробітку, але на практиці ця норма часто порушується.</w:t>
      </w:r>
    </w:p>
    <w:p w14:paraId="2CDA8234"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Як зазначає В. М. Слома, «часто роботодавці зловживають своїми правами, зокрема оформлюють звільнення за угодою сторін (ст. 36 КЗпП України), а не з підстав, передбачених статтею 5 Закону України «Про організацію трудових відносин в умовах воєнного стану», щоб уникнути виплати вихідної допомоги</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[4</w:t>
      </w:r>
      <w:r w:rsidRPr="00511005">
        <w:rPr>
          <w:rFonts w:ascii="Arial" w:eastAsia="Times New Roman" w:hAnsi="Arial" w:cs="Arial"/>
          <w:szCs w:val="28"/>
          <w:lang w:eastAsia="ru-RU"/>
        </w:rPr>
        <w:t>, с. 137</w:t>
      </w:r>
      <w:r w:rsidRPr="00511005">
        <w:rPr>
          <w:rFonts w:ascii="Arial" w:eastAsia="Times New Roman" w:hAnsi="Arial" w:cs="Arial"/>
          <w:szCs w:val="28"/>
          <w:lang w:val="uk-UA" w:eastAsia="ru-RU"/>
        </w:rPr>
        <w:t>]. Такі дії порушують права працівників на отримання належних їм виплат при звільненні.</w:t>
      </w:r>
    </w:p>
    <w:p w14:paraId="55C1DE6E"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Проблемним питанням залишається також регулювання відпусток. Відповідно до згаданого Закону, в умовах воєнного стану роботодавець може відмовити працівнику у наданні будь-якого виду відпусток, якщо такий працівник залучений до роботи на об'єктах критичної інфраструктури. Виняток становлять лише відпустки у зв'язку з вагітністю та пологами, а також відпустки для догляду за дитиною. Така норма фактично позбавляє багатьох працівників права на відпочинок, що може негативно вплинути на їх фізичне та психічне здоров'я, особливо з огляду на стресові умови воєнного часу.</w:t>
      </w:r>
    </w:p>
    <w:p w14:paraId="097EFE20"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Одним із найбільш дискусійних інститутів, запроваджених законодавством воєнного часу, є призупинення дії трудового договору. Під цим поняттям розуміється тимчасове припинення роботодавцем забезпечення працівника роботою і тимчасове припинення працівником виконання роботи за укладеним трудовим договором [3]. Призупинення не </w:t>
      </w:r>
      <w:r w:rsidRPr="00511005">
        <w:rPr>
          <w:rFonts w:ascii="Arial" w:eastAsia="Times New Roman" w:hAnsi="Arial" w:cs="Arial"/>
          <w:szCs w:val="28"/>
          <w:lang w:val="uk-UA" w:eastAsia="ru-RU"/>
        </w:rPr>
        <w:lastRenderedPageBreak/>
        <w:t>тягне за собою припинення трудових відносин, однак на період призупинення роботодавець звільняється від обов'язку виплачувати заробітну плату. Така конструкція викликає чимало питань щодо її відповідності конституційним гарантіям права на працю та соціального захисту.</w:t>
      </w:r>
    </w:p>
    <w:p w14:paraId="67E7D522"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Особливої уваги заслуговує питання захисту прав внутрішньо переміщених осіб та мобілізованих працівників. Для внутрішньо переміщених осіб основною проблемою є труднощі з пошуком роботи за місцем переміщення та відсутність документального підтвердження досвіду роботи через неможливість отримати трудову книжку, яка залишилась на окупованій території або в зоні бойових дій. Щодо мобілізованих працівників, законодавством встановлено гарантії збереження місця роботи та середнього заробітку, однак на практиці ці норми не завжди виконуються.</w:t>
      </w:r>
    </w:p>
    <w:p w14:paraId="43E86C71"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Іншою проблемою є фактична відсутність ефективного державного контролю за дотриманням трудового законодавства в умовах воєнного стану. Повноваження Державної служби України з питань праці (Держпраці) щодо проведення перевірок суттєво обмежені, а судовий захист часто залишається єдиним, але не завжди доступним способом відновлення порушених прав працівників.</w:t>
      </w:r>
    </w:p>
    <w:p w14:paraId="469504E4"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Для вдосконалення законодавства про працю в умовах воєнного стану необхідно враховувати рекомендації Міжнародної організації праці (МОП), зокрема щодо підтримки працівників та підприємств під час кризових ситуацій. У своїх рекомендаціях МОП наголошує на необхідності заходів соціального захисту та підтримки зайнятості, збереження робочих місць та забезпечення безперервності бізнесу, включаючи соціальний діалог як інструмент пошуку збалансованих рішень.</w:t>
      </w:r>
    </w:p>
    <w:p w14:paraId="5DE97080"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У контексті європейської інтеграції України важливо також враховувати стандарти ЄС у сфері трудових відносин, включаючи положення Європейської соціальної хартії та директив ЄС щодо індивідуальних та колективних трудових прав. Це особливо актуально з огляду на євроінтеграційні прагнення України та необхідність поступової гармонізації національного законодавства з правом Європейського Союзу.</w:t>
      </w:r>
    </w:p>
    <w:p w14:paraId="5F8DB7E3"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Необхідно також забезпечити стабільність правозастосування та ефективний судовий захист трудових прав. Судова практика повинна враховувати особливості воєнного стану, але при цьому не допускати безпідставного обмеження прав працівників. Важливим є забезпечення доступу до правосуддя, включаючи можливість дистанційного розгляду трудових спорів та спрощення процедур для окремих категорій працівників, зокрема внутрішньо переміщених осіб.</w:t>
      </w:r>
    </w:p>
    <w:p w14:paraId="5AD4740D"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Загалом, вирішення проблем трудових відносин в умовах воєнного стану вимагає пошуку балансу між необхідністю забезпечення обороноздатності держави та захистом трудових прав громадян. Необхідно </w:t>
      </w:r>
      <w:r w:rsidRPr="00511005">
        <w:rPr>
          <w:rFonts w:ascii="Arial" w:eastAsia="Times New Roman" w:hAnsi="Arial" w:cs="Arial"/>
          <w:szCs w:val="28"/>
          <w:lang w:val="uk-UA" w:eastAsia="ru-RU"/>
        </w:rPr>
        <w:lastRenderedPageBreak/>
        <w:t>створити таку модель правового регулювання, яка б, з одного боку, надавала роботодавцям достатню гнучкість для адаптації до кризових умов, а з іншого - зберігала основні трудові гарантії працівників.</w:t>
      </w:r>
    </w:p>
    <w:p w14:paraId="237508D7"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Трудові права громадян навіть в умовах воєнного стану залишаються невід'ємною складовою їхніх конституційних соціально-економічних прав. Тимчасові обмеження цих прав повинні мати чіткі межі, бути пропорційними та не порушувати сутності основних трудових гарантій. Лише за таких умов можна говорити про дотримання принципу верховенства права та забезпечення соціальної справедливості в умовах воєнного стану.</w:t>
      </w:r>
    </w:p>
    <w:p w14:paraId="5BE0EC15" w14:textId="77777777" w:rsidR="003476F8" w:rsidRPr="00511005" w:rsidRDefault="003476F8" w:rsidP="003A292D">
      <w:pPr>
        <w:spacing w:line="264" w:lineRule="auto"/>
        <w:contextualSpacing/>
        <w:rPr>
          <w:rFonts w:ascii="Arial" w:eastAsia="Times New Roman" w:hAnsi="Arial" w:cs="Arial"/>
          <w:szCs w:val="28"/>
          <w:lang w:val="uk-UA" w:eastAsia="ru-RU"/>
        </w:rPr>
      </w:pPr>
    </w:p>
    <w:p w14:paraId="5ECDC282" w14:textId="453603BA" w:rsidR="003476F8" w:rsidRPr="00511005" w:rsidRDefault="007B2628" w:rsidP="007B2628">
      <w:pPr>
        <w:spacing w:line="264" w:lineRule="auto"/>
        <w:ind w:left="720" w:firstLine="0"/>
        <w:contextualSpacing/>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Список використаних джерел</w:t>
      </w:r>
      <w:r w:rsidR="003476F8" w:rsidRPr="00511005">
        <w:rPr>
          <w:rFonts w:ascii="Arial" w:eastAsia="Times New Roman" w:hAnsi="Arial" w:cs="Arial"/>
          <w:b/>
          <w:bCs/>
          <w:iCs/>
          <w:szCs w:val="28"/>
          <w:lang w:val="uk-UA" w:eastAsia="ru-RU"/>
        </w:rPr>
        <w:t>а</w:t>
      </w:r>
    </w:p>
    <w:p w14:paraId="2021F941" w14:textId="77777777" w:rsidR="007B2628" w:rsidRPr="00511005" w:rsidRDefault="003476F8" w:rsidP="003F6A5D">
      <w:pPr>
        <w:numPr>
          <w:ilvl w:val="0"/>
          <w:numId w:val="445"/>
        </w:numPr>
        <w:spacing w:line="264" w:lineRule="auto"/>
        <w:ind w:left="-57"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Конституція України від 28.06.1996 р. № 254к/96-ВР.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https://zakon.rada.gov.ua/laws/show/254к/96-вр#Text (дата звернення: 11.04.2025).</w:t>
      </w:r>
    </w:p>
    <w:p w14:paraId="5E50A896" w14:textId="77777777" w:rsidR="007B2628" w:rsidRPr="00511005" w:rsidRDefault="003476F8" w:rsidP="003F6A5D">
      <w:pPr>
        <w:numPr>
          <w:ilvl w:val="0"/>
          <w:numId w:val="445"/>
        </w:numPr>
        <w:spacing w:line="264" w:lineRule="auto"/>
        <w:ind w:left="-57" w:firstLine="709"/>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Кодекс законів про працю України від 10.12.1971 </w:t>
      </w:r>
      <w:r w:rsidRPr="00511005">
        <w:rPr>
          <w:rFonts w:ascii="Arial" w:eastAsia="Times New Roman" w:hAnsi="Arial" w:cs="Arial"/>
          <w:noProof/>
          <w:szCs w:val="28"/>
          <w:lang w:eastAsia="ru-RU"/>
        </w:rPr>
        <w:t>р.</w:t>
      </w:r>
      <w:r w:rsidR="007B2628" w:rsidRPr="00511005">
        <w:rPr>
          <w:rFonts w:ascii="Arial" w:eastAsia="Times New Roman" w:hAnsi="Arial" w:cs="Arial"/>
          <w:noProof/>
          <w:szCs w:val="28"/>
          <w:lang w:eastAsia="ru-RU"/>
        </w:rPr>
        <w:t xml:space="preserve"> </w:t>
      </w:r>
      <w:r w:rsidRPr="00511005">
        <w:rPr>
          <w:rFonts w:ascii="Arial" w:eastAsia="Times New Roman" w:hAnsi="Arial" w:cs="Arial"/>
          <w:noProof/>
          <w:szCs w:val="28"/>
          <w:lang w:val="uk-UA" w:eastAsia="ru-RU"/>
        </w:rPr>
        <w:t>322-VIII : станом на 1 січ. 2025 р. URL: https://zakon.rada.gov.ua/laws/show/322-08#Text</w:t>
      </w:r>
      <w:r w:rsidRPr="00511005">
        <w:rPr>
          <w:rFonts w:ascii="Arial" w:eastAsia="Times New Roman" w:hAnsi="Arial" w:cs="Arial"/>
          <w:szCs w:val="28"/>
          <w:lang w:val="uk-UA" w:eastAsia="ru-RU"/>
        </w:rPr>
        <w:t xml:space="preserve"> (дата звернення: 11.04.2025).</w:t>
      </w:r>
    </w:p>
    <w:p w14:paraId="44951801" w14:textId="5263EB8F" w:rsidR="003476F8" w:rsidRPr="00511005" w:rsidRDefault="003476F8" w:rsidP="003F6A5D">
      <w:pPr>
        <w:numPr>
          <w:ilvl w:val="0"/>
          <w:numId w:val="445"/>
        </w:numPr>
        <w:spacing w:line="264" w:lineRule="auto"/>
        <w:ind w:left="-57"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Про організацію трудових відносин в умовах воєнного стану: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Закон України від 15.03.2022 р. № 2136-IX.</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hyperlink r:id="rId1678" w:anchor="Text" w:tgtFrame="_new" w:history="1">
        <w:r w:rsidRPr="00511005">
          <w:rPr>
            <w:rFonts w:ascii="Arial" w:eastAsia="Times New Roman" w:hAnsi="Arial" w:cs="Arial"/>
            <w:szCs w:val="28"/>
            <w:lang w:val="uk-UA" w:eastAsia="ru-RU"/>
          </w:rPr>
          <w:t>https://zakon.rada.gov.ua/laws/show/2136-20#Text</w:t>
        </w:r>
      </w:hyperlink>
      <w:r w:rsidRPr="00511005">
        <w:rPr>
          <w:rFonts w:ascii="Arial" w:eastAsia="Times New Roman" w:hAnsi="Arial" w:cs="Arial"/>
          <w:szCs w:val="28"/>
          <w:lang w:val="uk-UA" w:eastAsia="ru-RU"/>
        </w:rPr>
        <w:t xml:space="preserve"> (дата звернення: 11.04.2025).</w:t>
      </w:r>
    </w:p>
    <w:p w14:paraId="26C6B85B" w14:textId="77777777" w:rsidR="003476F8" w:rsidRPr="00511005" w:rsidRDefault="003476F8" w:rsidP="003F6A5D">
      <w:pPr>
        <w:numPr>
          <w:ilvl w:val="0"/>
          <w:numId w:val="445"/>
        </w:numPr>
        <w:spacing w:line="264" w:lineRule="auto"/>
        <w:ind w:left="-57"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Слома В. М. Особливості правового регулювання трудових відносин в умовах воєнного стану. </w:t>
      </w:r>
      <w:r w:rsidRPr="00511005">
        <w:rPr>
          <w:rFonts w:ascii="Arial" w:eastAsia="Times New Roman" w:hAnsi="Arial" w:cs="Arial"/>
          <w:i/>
          <w:szCs w:val="28"/>
          <w:lang w:val="uk-UA" w:eastAsia="ru-RU"/>
        </w:rPr>
        <w:t>Російська-Українська війна: право, безпека, світ:</w:t>
      </w:r>
      <w:r w:rsidRPr="00511005">
        <w:rPr>
          <w:rFonts w:ascii="Arial" w:eastAsia="Times New Roman" w:hAnsi="Arial" w:cs="Arial"/>
          <w:szCs w:val="28"/>
          <w:lang w:val="uk-UA" w:eastAsia="ru-RU"/>
        </w:rPr>
        <w:t xml:space="preserve"> Матеріали </w:t>
      </w:r>
      <w:r w:rsidRPr="00511005">
        <w:rPr>
          <w:rFonts w:ascii="Arial" w:eastAsia="Times New Roman" w:hAnsi="Arial" w:cs="Arial"/>
          <w:szCs w:val="28"/>
          <w:lang w:val="en-US" w:eastAsia="ru-RU"/>
        </w:rPr>
        <w:t>VI</w:t>
      </w:r>
      <w:r w:rsidRPr="00511005">
        <w:rPr>
          <w:rFonts w:ascii="Arial" w:eastAsia="Times New Roman" w:hAnsi="Arial" w:cs="Arial"/>
          <w:szCs w:val="28"/>
          <w:lang w:val="uk-UA" w:eastAsia="ru-RU"/>
        </w:rPr>
        <w:t xml:space="preserve"> Міжнародної науково-практичної конференції (м. Тернопіль, 29-30 квітня 2022 року). С. 136-138.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http://confuf.wunu.edu.ua/index.php/confuf/article/view/909 (дата звернення: 11.04.2025).</w:t>
      </w:r>
    </w:p>
    <w:p w14:paraId="309B344E" w14:textId="77777777" w:rsidR="003476F8" w:rsidRPr="00511005" w:rsidRDefault="003476F8" w:rsidP="003A292D">
      <w:pPr>
        <w:tabs>
          <w:tab w:val="left" w:pos="851"/>
          <w:tab w:val="left" w:pos="993"/>
        </w:tabs>
        <w:spacing w:line="264" w:lineRule="auto"/>
        <w:contextualSpacing/>
        <w:rPr>
          <w:rFonts w:ascii="Arial" w:eastAsia="Times New Roman" w:hAnsi="Arial" w:cs="Arial"/>
          <w:szCs w:val="28"/>
          <w:lang w:val="uk-UA" w:eastAsia="ru-RU"/>
        </w:rPr>
      </w:pPr>
    </w:p>
    <w:p w14:paraId="4D32657C" w14:textId="2814E094" w:rsidR="003476F8"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3476F8" w:rsidRPr="00511005">
        <w:rPr>
          <w:rFonts w:ascii="Arial" w:eastAsia="Times New Roman" w:hAnsi="Arial" w:cs="Arial"/>
          <w:szCs w:val="28"/>
          <w:lang w:val="uk-UA" w:eastAsia="ru-RU"/>
        </w:rPr>
        <w:t>працевлаштування молоді, воєнний стан, ринок праці, трудові права, молодіжна політика, державна підтримка, внутрішньо переміщені особи, освітня адаптація, зайнятість, професійна орієнтація, дистанційна робота, економічна мобілізація, перше робоче місце, молодіжне підприємництво, соціальні гарантії.</w:t>
      </w:r>
    </w:p>
    <w:p w14:paraId="216C1506" w14:textId="0CF07273" w:rsidR="003476F8" w:rsidRPr="00511005" w:rsidRDefault="007B2628" w:rsidP="003A292D">
      <w:pPr>
        <w:spacing w:line="264" w:lineRule="auto"/>
        <w:rPr>
          <w:rFonts w:ascii="Arial" w:eastAsia="Times New Roman" w:hAnsi="Arial" w:cs="Arial"/>
          <w:szCs w:val="28"/>
          <w:lang w:val="en-GB" w:eastAsia="ru-RU"/>
        </w:rPr>
      </w:pPr>
      <w:r w:rsidRPr="00511005">
        <w:rPr>
          <w:rFonts w:ascii="Arial" w:eastAsia="Times New Roman" w:hAnsi="Arial" w:cs="Arial"/>
          <w:b/>
          <w:bCs/>
          <w:i/>
          <w:szCs w:val="28"/>
          <w:lang w:val="en-GB" w:eastAsia="ru-RU"/>
        </w:rPr>
        <w:t xml:space="preserve">Key words: </w:t>
      </w:r>
      <w:r w:rsidR="003476F8" w:rsidRPr="00511005">
        <w:rPr>
          <w:rFonts w:ascii="Arial" w:eastAsia="Times New Roman" w:hAnsi="Arial" w:cs="Arial"/>
          <w:szCs w:val="28"/>
          <w:lang w:val="en-GB" w:eastAsia="ru-RU"/>
        </w:rPr>
        <w:t>youth employment, martial law, labour market, labour rights, youth policy, state support, internally displaced persons, educational adaptation, employment, career guidance, remote work, economic mobilization, first job, youth entrepreneurship, social guarantees.</w:t>
      </w:r>
    </w:p>
    <w:p w14:paraId="4A6F4BE3" w14:textId="4A1DB1F5" w:rsidR="003476F8"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Науковий керівник: </w:t>
      </w:r>
      <w:r w:rsidR="003476F8" w:rsidRPr="00511005">
        <w:rPr>
          <w:rFonts w:ascii="Arial" w:eastAsia="Times New Roman" w:hAnsi="Arial" w:cs="Arial"/>
          <w:i/>
          <w:szCs w:val="28"/>
          <w:lang w:val="uk-UA" w:eastAsia="ru-RU"/>
        </w:rPr>
        <w:t>к.ю.н. доцент Пожарова О.В.</w:t>
      </w:r>
    </w:p>
    <w:p w14:paraId="1402328F" w14:textId="77777777" w:rsidR="00A54AC2" w:rsidRDefault="00A54AC2">
      <w:pPr>
        <w:spacing w:after="200" w:line="276" w:lineRule="auto"/>
        <w:ind w:firstLine="0"/>
        <w:jc w:val="left"/>
        <w:rPr>
          <w:rFonts w:ascii="Arial" w:eastAsia="Times New Roman" w:hAnsi="Arial" w:cs="Arial"/>
          <w:b/>
          <w:bCs/>
          <w:i/>
          <w:iCs/>
          <w:szCs w:val="28"/>
          <w:lang w:val="uk-UA" w:eastAsia="uk-UA"/>
        </w:rPr>
      </w:pPr>
      <w:r>
        <w:rPr>
          <w:rFonts w:ascii="Arial" w:eastAsia="Times New Roman" w:hAnsi="Arial" w:cs="Arial"/>
          <w:b/>
          <w:bCs/>
          <w:i/>
          <w:iCs/>
          <w:szCs w:val="28"/>
          <w:lang w:val="uk-UA" w:eastAsia="uk-UA"/>
        </w:rPr>
        <w:br w:type="page"/>
      </w:r>
    </w:p>
    <w:p w14:paraId="2ABF32F6" w14:textId="59CC771B" w:rsidR="003476F8" w:rsidRPr="00511005" w:rsidRDefault="003476F8" w:rsidP="003A292D">
      <w:pPr>
        <w:spacing w:line="264" w:lineRule="auto"/>
        <w:ind w:firstLine="708"/>
        <w:jc w:val="center"/>
        <w:rPr>
          <w:rFonts w:ascii="Arial" w:eastAsia="Times New Roman" w:hAnsi="Arial" w:cs="Arial"/>
          <w:b/>
          <w:bCs/>
          <w:i/>
          <w:iCs/>
          <w:szCs w:val="28"/>
          <w:lang w:val="uk-UA" w:eastAsia="uk-UA"/>
        </w:rPr>
      </w:pPr>
      <w:r w:rsidRPr="00511005">
        <w:rPr>
          <w:rFonts w:ascii="Arial" w:eastAsia="Times New Roman" w:hAnsi="Arial" w:cs="Arial"/>
          <w:b/>
          <w:bCs/>
          <w:i/>
          <w:iCs/>
          <w:szCs w:val="28"/>
          <w:lang w:val="uk-UA" w:eastAsia="uk-UA"/>
        </w:rPr>
        <w:lastRenderedPageBreak/>
        <w:t>Кішко Валерія Любомирівна</w:t>
      </w:r>
    </w:p>
    <w:p w14:paraId="0412C5A3" w14:textId="49F0FAD0" w:rsidR="003476F8" w:rsidRPr="00511005" w:rsidRDefault="00536AAB" w:rsidP="003A292D">
      <w:pPr>
        <w:spacing w:line="264" w:lineRule="auto"/>
        <w:ind w:firstLine="708"/>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2-го курсу </w:t>
      </w:r>
      <w:r w:rsidR="001B7B25" w:rsidRPr="00511005">
        <w:rPr>
          <w:rFonts w:ascii="Arial" w:eastAsia="Times New Roman" w:hAnsi="Arial" w:cs="Arial"/>
          <w:szCs w:val="28"/>
          <w:lang w:val="uk-UA" w:eastAsia="uk-UA"/>
        </w:rPr>
        <w:t>факультету судового та міжнародного права</w:t>
      </w:r>
    </w:p>
    <w:p w14:paraId="5F34AF84" w14:textId="4834AECB" w:rsidR="003476F8" w:rsidRPr="00511005" w:rsidRDefault="007B2628" w:rsidP="003A292D">
      <w:pPr>
        <w:spacing w:line="264" w:lineRule="auto"/>
        <w:ind w:firstLine="708"/>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033E48BA" w14:textId="77777777" w:rsidR="003476F8" w:rsidRPr="00511005" w:rsidRDefault="003476F8" w:rsidP="003A292D">
      <w:pPr>
        <w:spacing w:line="264" w:lineRule="auto"/>
        <w:ind w:firstLine="708"/>
        <w:jc w:val="center"/>
        <w:rPr>
          <w:rFonts w:ascii="Arial" w:eastAsia="Times New Roman" w:hAnsi="Arial" w:cs="Arial"/>
          <w:szCs w:val="28"/>
          <w:lang w:val="uk-UA" w:eastAsia="uk-UA"/>
        </w:rPr>
      </w:pPr>
    </w:p>
    <w:p w14:paraId="0778BF05" w14:textId="77777777" w:rsidR="003476F8" w:rsidRPr="00511005" w:rsidRDefault="003476F8" w:rsidP="003A292D">
      <w:pPr>
        <w:spacing w:line="264" w:lineRule="auto"/>
        <w:ind w:firstLine="708"/>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МЕХАНІЗМ ЗАХИСТУ ТРУДОВИХ ПРАВ ПРАЦІВНИКІВ</w:t>
      </w:r>
    </w:p>
    <w:p w14:paraId="3E44E62E" w14:textId="77777777" w:rsidR="003476F8" w:rsidRPr="00511005" w:rsidRDefault="003476F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Захист трудових прав є ключовим елементом забезпечення справедливих і гідних умов праці, що гарантується Конституцією України, Кодексом законів про працю України (далі – КЗпП), а також міжнародними актами, зокрема, наприклад, конвенціями Міжнародної організації праці (МОП). Механізм захисту трудових прав працівників охоплює правові, організаційні та процедурні інструменти, які спрямовані на реалізацію, відновлення та запобігання порушенням прав працівників.</w:t>
      </w:r>
    </w:p>
    <w:p w14:paraId="743F487E" w14:textId="77777777" w:rsidR="003476F8" w:rsidRPr="00511005" w:rsidRDefault="003476F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Працівники можуть захистити свої права в досудовому порядку, адміністративному, альтернативними способами (наприклад медіація) та відповідно у судовому порядку.</w:t>
      </w:r>
    </w:p>
    <w:p w14:paraId="3ACCF9DE"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Так, одним із способів захисту трудових прав працівників, окрім безпосередніх переговорів працівника із роботодавцем є можливість звернення до Комісії по трудовим спорам (КТС). КТС є обов’язковим первинним органом для вирішення трудових конфліктів на підприємстві, в організації чи установах </w:t>
      </w:r>
      <w:r w:rsidRPr="00511005">
        <w:rPr>
          <w:rFonts w:ascii="Arial" w:eastAsia="Times New Roman" w:hAnsi="Arial" w:cs="Arial"/>
          <w:szCs w:val="28"/>
          <w:lang w:eastAsia="uk-UA"/>
        </w:rPr>
        <w:t>[1]</w:t>
      </w:r>
      <w:r w:rsidRPr="00511005">
        <w:rPr>
          <w:rFonts w:ascii="Arial" w:eastAsia="Times New Roman" w:hAnsi="Arial" w:cs="Arial"/>
          <w:szCs w:val="28"/>
          <w:lang w:val="uk-UA" w:eastAsia="uk-UA"/>
        </w:rPr>
        <w:t xml:space="preserve">. Формування КТС відбувається шляхом її створення за рішенням загальних зборів або конференції колективу працівників установи, організації чи підприємства, чисельність якого становить не менше 15 осіб. Цей механізм дозволяє швидко розглядати спори, пов’язані з умовами праці, виплатами чи дисциплінарними стягненнями, без звернення до суду. Перевагами КТС є доступність, оперативність і відсутність фінансових витрат для працівника. Проте проблематика цього механізму полягає в його обмеженій поширеності. На багатьох підприємствах, особливо малих і середніх, КТС не створюються через відсутність ініціативи або недостатню кількість працівників. Крім того, рішення КТС не завжди є об’єктивними через можливий тиск роботодавця на членів комісії. Обмеження компетенції КТС (наприклад, неможливість розглядати спори про поновлення на роботі) також знижує її ефективність, змушуючи працівників звертатися до суду. Також потрібно зазначити, що в період дії воєнного стану КТС не може створюватися та функціонувати </w:t>
      </w:r>
      <w:r w:rsidRPr="00511005">
        <w:rPr>
          <w:rFonts w:ascii="Arial" w:eastAsia="Times New Roman" w:hAnsi="Arial" w:cs="Arial"/>
          <w:szCs w:val="28"/>
          <w:lang w:eastAsia="uk-UA"/>
        </w:rPr>
        <w:t>[2]</w:t>
      </w:r>
      <w:r w:rsidRPr="00511005">
        <w:rPr>
          <w:rFonts w:ascii="Arial" w:eastAsia="Times New Roman" w:hAnsi="Arial" w:cs="Arial"/>
          <w:szCs w:val="28"/>
          <w:lang w:val="uk-UA" w:eastAsia="uk-UA"/>
        </w:rPr>
        <w:t>.</w:t>
      </w:r>
    </w:p>
    <w:p w14:paraId="649A894C" w14:textId="77777777" w:rsidR="003476F8" w:rsidRPr="00511005" w:rsidRDefault="003476F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Профспілки є важливим суб’єктом захисту трудових прав </w:t>
      </w:r>
      <w:r w:rsidRPr="00511005">
        <w:rPr>
          <w:rFonts w:ascii="Arial" w:eastAsia="Times New Roman" w:hAnsi="Arial" w:cs="Arial"/>
          <w:szCs w:val="28"/>
          <w:lang w:eastAsia="uk-UA"/>
        </w:rPr>
        <w:t>[3]</w:t>
      </w:r>
      <w:r w:rsidRPr="00511005">
        <w:rPr>
          <w:rFonts w:ascii="Arial" w:eastAsia="Times New Roman" w:hAnsi="Arial" w:cs="Arial"/>
          <w:szCs w:val="28"/>
          <w:lang w:val="uk-UA" w:eastAsia="uk-UA"/>
        </w:rPr>
        <w:t>. Наприклад, вони можуть ініціювати перевірки умов праці, надавати юридичну допомогу та захищати працівників від незаконного звільнення. Їх діяльність сприяє формуванню соціального діалогу та підвищенню стандартів праці. Проте в Україні профспілковий рух стикається з низкою проблем, як от зменшення чисельності профспілок через економічні трансформації та зростання неформальної зайнятості знижує їхній вплив.</w:t>
      </w:r>
    </w:p>
    <w:p w14:paraId="179205AC" w14:textId="77777777" w:rsidR="003476F8" w:rsidRPr="00511005" w:rsidRDefault="003476F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Самозахист є правом працівника самостійно захищати свої інтереси без звернення до юрисдикційних органів. Самозахист є оперативним і не потребує додаткових витрат, що робить його привабливим для працівників. Водночас цей механізм має суттєві обмеження. Відсутність чіткого правового регулювання порядку самозахисту створює ризик неправомірного тлумачення дій працівника як порушення трудової дисципліни. Працівники часто побоюються використовувати самозахист через ризик звільнення чи інших репресій з боку роботодавця.</w:t>
      </w:r>
    </w:p>
    <w:p w14:paraId="57F061E3" w14:textId="77777777" w:rsidR="003476F8" w:rsidRPr="00511005" w:rsidRDefault="003476F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Україні набуває популярності процедура медіації, яка відповідно врегульована на законодавчому рівні </w:t>
      </w:r>
      <w:r w:rsidRPr="00511005">
        <w:rPr>
          <w:rFonts w:ascii="Arial" w:eastAsia="Times New Roman" w:hAnsi="Arial" w:cs="Arial"/>
          <w:szCs w:val="28"/>
          <w:lang w:eastAsia="uk-UA"/>
        </w:rPr>
        <w:t>[4]</w:t>
      </w:r>
      <w:r w:rsidRPr="00511005">
        <w:rPr>
          <w:rFonts w:ascii="Arial" w:eastAsia="Times New Roman" w:hAnsi="Arial" w:cs="Arial"/>
          <w:szCs w:val="28"/>
          <w:lang w:val="uk-UA" w:eastAsia="uk-UA"/>
        </w:rPr>
        <w:t>. Медіація є швидкою, конфіденційною та економічно вигідною, що сприяє збереженню трудових відносин. У 2025 році потреба в розвитку медіації зростає через збільшення гнучких форм зайнятості, які вимагають швидкого вирішення конфліктів.</w:t>
      </w:r>
    </w:p>
    <w:p w14:paraId="3BE82977" w14:textId="77777777" w:rsidR="003476F8" w:rsidRPr="00511005" w:rsidRDefault="003476F8"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Потрібно зазначити й про Державну службу України з питань праці </w:t>
      </w:r>
      <w:r w:rsidRPr="00511005">
        <w:rPr>
          <w:rFonts w:ascii="Arial" w:eastAsia="Times New Roman" w:hAnsi="Arial" w:cs="Arial"/>
          <w:szCs w:val="28"/>
          <w:lang w:eastAsia="uk-UA"/>
        </w:rPr>
        <w:t xml:space="preserve">[5]. Цей державний </w:t>
      </w:r>
      <w:r w:rsidRPr="00511005">
        <w:rPr>
          <w:rFonts w:ascii="Arial" w:eastAsia="Times New Roman" w:hAnsi="Arial" w:cs="Arial"/>
          <w:szCs w:val="28"/>
          <w:lang w:val="uk-UA" w:eastAsia="uk-UA"/>
        </w:rPr>
        <w:t>орган проводить інспекційні перевірки, реагує на скарги працівників, накладає санкції на роботодавців-порушників і сприяє відновленню трудових прав, забезпечуючи безпечні умови праці та соціальну справедливість. Водночас Держпраці стикається з викликами: обмеженість ресурсів ускладнює охоплення всіх підприємств, бюрократичні перепони гальмують оперативність реагування, а недостатня правова обізнаність громадян знижує ефективність звернень, що вимагає модернізації підходів до інспекційної діяльності та посилення інформаційної роботи. Неформальна зайнятість і приховані трудові відносини ускладнюють виявлення порушень, а слабка координація з іншими органами зменшує результативність санкцій.</w:t>
      </w:r>
    </w:p>
    <w:p w14:paraId="548B9890" w14:textId="77777777" w:rsidR="003476F8" w:rsidRPr="00511005" w:rsidRDefault="003476F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Одним із найпоширеніших способів захисту трудових прав є звісно звернення до суду. Суди загальної юрисдикції розглядають індивідуальні трудові спори, зокрема щодо незаконного звільнення, невиплати заробітної плати, порушення умов праці чи дискримінації. Судовий захист дозволяє працівникам не лише відновити порушені права, а й отримати компенсацію, включно з моральною шкодою. Водночас є певні недоліки і під час захисту у судовому порядку: тривалість судових процесів, яка може сягати кількох років, створює фінансове та психологічне навантаження на працівника, високі судові витрати, складність збору доказів (особливо у випадках неформальної зайнятості) та недостатня правова обізнаність працівників ускладнюють реалізацію цього механізму. Крім того, виконання судових рішень, наприклад, щодо поновлення на роботі, часто стикається з опором роботодавців, що знижує ефективність судового захисту. Використавши всі національні способи захисту, можна звертатися до міжнародних інституцій, зокрема до Європейського суду з прав людини. і складним процесом, що вимагає значних ресурсів і правової підтримки. </w:t>
      </w:r>
    </w:p>
    <w:p w14:paraId="0A68C074" w14:textId="77777777" w:rsidR="003476F8" w:rsidRPr="00511005" w:rsidRDefault="003476F8" w:rsidP="003A292D">
      <w:pPr>
        <w:spacing w:line="264" w:lineRule="auto"/>
        <w:ind w:firstLine="708"/>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Механізм захисту трудових прав працівників формує комплексну систему, яка поєднує державний контроль, досудове врегулювання, альтернативні способи вирішення спорів та судовий захист. Проте, на нашу думку ефективність реалізації цього механізму зменшується через системні проблеми: низьку правову обізнаність працівників, обмежені ресурси наглядових органів, слабкий розвиток профспілок і недостатнє регулювання нових форм зайнятості. Актуальним залишається вдосконалення законодавства, зокрема щодо медіації та процедури самозахисту. Лише за умови комплексного підходу до реформування механізму захисту трудових прав працівників можна забезпечити їх реальну ефективність і відповідність сучасним викликам.</w:t>
      </w:r>
    </w:p>
    <w:p w14:paraId="6FABEA72" w14:textId="77777777" w:rsidR="003476F8" w:rsidRPr="00511005" w:rsidRDefault="003476F8" w:rsidP="003A292D">
      <w:pPr>
        <w:spacing w:line="264" w:lineRule="auto"/>
        <w:ind w:firstLine="708"/>
        <w:rPr>
          <w:rFonts w:ascii="Arial" w:eastAsia="Times New Roman" w:hAnsi="Arial" w:cs="Arial"/>
          <w:szCs w:val="28"/>
          <w:lang w:val="uk-UA" w:eastAsia="uk-UA"/>
        </w:rPr>
      </w:pPr>
    </w:p>
    <w:p w14:paraId="314DFC1E" w14:textId="7B58C2A8" w:rsidR="003476F8" w:rsidRPr="00511005" w:rsidRDefault="007B2628" w:rsidP="007B2628">
      <w:pPr>
        <w:spacing w:line="264" w:lineRule="auto"/>
        <w:ind w:left="360"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17CDE989" w14:textId="77777777" w:rsidR="003476F8" w:rsidRPr="00511005" w:rsidRDefault="003476F8" w:rsidP="003F6A5D">
      <w:pPr>
        <w:numPr>
          <w:ilvl w:val="0"/>
          <w:numId w:val="446"/>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Кодекс законів про працю: Закон України від 10.11.1971 року. </w:t>
      </w:r>
      <w:r w:rsidRPr="00511005">
        <w:rPr>
          <w:rFonts w:ascii="Arial" w:eastAsia="Times New Roman" w:hAnsi="Arial" w:cs="Arial"/>
          <w:i/>
          <w:kern w:val="2"/>
          <w:szCs w:val="28"/>
          <w:lang w:val="uk-UA" w:eastAsia="uk-UA"/>
          <w14:ligatures w14:val="standardContextual"/>
        </w:rPr>
        <w:t>Відомості Верховної Ради УРСР</w:t>
      </w:r>
      <w:r w:rsidRPr="00511005">
        <w:rPr>
          <w:rFonts w:ascii="Arial" w:eastAsia="Times New Roman" w:hAnsi="Arial" w:cs="Arial"/>
          <w:kern w:val="2"/>
          <w:szCs w:val="28"/>
          <w:lang w:val="uk-UA" w:eastAsia="uk-UA"/>
          <w14:ligatures w14:val="standardContextual"/>
        </w:rPr>
        <w:t>. № 50. Ст. 375.</w:t>
      </w:r>
    </w:p>
    <w:p w14:paraId="5184F00E" w14:textId="77777777" w:rsidR="003476F8" w:rsidRPr="00511005" w:rsidRDefault="003476F8" w:rsidP="003F6A5D">
      <w:pPr>
        <w:numPr>
          <w:ilvl w:val="0"/>
          <w:numId w:val="446"/>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Про організацію трудових відносин в умовах воєнного стану: Закон України від 15.03.2022 року № 2136-ІХ. </w:t>
      </w:r>
      <w:r w:rsidRPr="00511005">
        <w:rPr>
          <w:rFonts w:ascii="Arial" w:eastAsia="Times New Roman" w:hAnsi="Arial" w:cs="Arial"/>
          <w:i/>
          <w:kern w:val="2"/>
          <w:szCs w:val="28"/>
          <w:lang w:val="uk-UA" w:eastAsia="uk-UA"/>
          <w14:ligatures w14:val="standardContextual"/>
        </w:rPr>
        <w:t>Офіційний вісник України</w:t>
      </w:r>
      <w:r w:rsidRPr="00511005">
        <w:rPr>
          <w:rFonts w:ascii="Arial" w:eastAsia="Times New Roman" w:hAnsi="Arial" w:cs="Arial"/>
          <w:kern w:val="2"/>
          <w:szCs w:val="28"/>
          <w:lang w:val="uk-UA" w:eastAsia="uk-UA"/>
          <w14:ligatures w14:val="standardContextual"/>
        </w:rPr>
        <w:t>. 2022. №31. Ст. 1634.</w:t>
      </w:r>
    </w:p>
    <w:p w14:paraId="73FA2745" w14:textId="77777777" w:rsidR="003476F8" w:rsidRPr="00511005" w:rsidRDefault="003476F8" w:rsidP="003F6A5D">
      <w:pPr>
        <w:numPr>
          <w:ilvl w:val="0"/>
          <w:numId w:val="446"/>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Про професійні спілки, їх права та гарантії діяльності: Закон України від 15.09.1999 року №1045-XIV. </w:t>
      </w:r>
      <w:r w:rsidRPr="00511005">
        <w:rPr>
          <w:rFonts w:ascii="Arial" w:eastAsia="Times New Roman" w:hAnsi="Arial" w:cs="Arial"/>
          <w:i/>
          <w:kern w:val="2"/>
          <w:szCs w:val="28"/>
          <w:lang w:val="uk-UA" w:eastAsia="uk-UA"/>
          <w14:ligatures w14:val="standardContextual"/>
        </w:rPr>
        <w:t>Відомості Верховної Ради України</w:t>
      </w:r>
      <w:r w:rsidRPr="00511005">
        <w:rPr>
          <w:rFonts w:ascii="Arial" w:eastAsia="Times New Roman" w:hAnsi="Arial" w:cs="Arial"/>
          <w:kern w:val="2"/>
          <w:szCs w:val="28"/>
          <w:lang w:val="uk-UA" w:eastAsia="uk-UA"/>
          <w14:ligatures w14:val="standardContextual"/>
        </w:rPr>
        <w:t>. 1999. № 45. Ст. 397.</w:t>
      </w:r>
    </w:p>
    <w:p w14:paraId="5EC16844" w14:textId="77777777" w:rsidR="003476F8" w:rsidRPr="00511005" w:rsidRDefault="003476F8" w:rsidP="003F6A5D">
      <w:pPr>
        <w:numPr>
          <w:ilvl w:val="0"/>
          <w:numId w:val="446"/>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Про медіацію: Закон України від 16.11.2021 № 1875-ІХ</w:t>
      </w:r>
      <w:r w:rsidRPr="00511005">
        <w:rPr>
          <w:rFonts w:ascii="Arial" w:eastAsia="Times New Roman" w:hAnsi="Arial" w:cs="Arial"/>
          <w:i/>
          <w:kern w:val="2"/>
          <w:szCs w:val="28"/>
          <w:lang w:val="uk-UA" w:eastAsia="uk-UA"/>
          <w14:ligatures w14:val="standardContextual"/>
        </w:rPr>
        <w:t>. Відомості Верховної Ради України</w:t>
      </w:r>
      <w:r w:rsidRPr="00511005">
        <w:rPr>
          <w:rFonts w:ascii="Arial" w:eastAsia="Times New Roman" w:hAnsi="Arial" w:cs="Arial"/>
          <w:kern w:val="2"/>
          <w:szCs w:val="28"/>
          <w:lang w:val="uk-UA" w:eastAsia="uk-UA"/>
          <w14:ligatures w14:val="standardContextual"/>
        </w:rPr>
        <w:t>. 2022. № 7. Ст. 51.</w:t>
      </w:r>
    </w:p>
    <w:p w14:paraId="3CC9EF9D" w14:textId="77777777" w:rsidR="003476F8" w:rsidRPr="00511005" w:rsidRDefault="003476F8" w:rsidP="003F6A5D">
      <w:pPr>
        <w:numPr>
          <w:ilvl w:val="0"/>
          <w:numId w:val="446"/>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Про затвердження Положення про Державну службу України з питань праці: Постанова Кабінету Міністрів України від 11.02.2015 № 96. </w:t>
      </w:r>
      <w:r w:rsidRPr="00511005">
        <w:rPr>
          <w:rFonts w:ascii="Arial" w:eastAsia="Times New Roman" w:hAnsi="Arial" w:cs="Arial"/>
          <w:i/>
          <w:kern w:val="2"/>
          <w:szCs w:val="28"/>
          <w:lang w:val="uk-UA" w:eastAsia="uk-UA"/>
          <w14:ligatures w14:val="standardContextual"/>
        </w:rPr>
        <w:t>Офіційний вісник України.</w:t>
      </w:r>
      <w:r w:rsidRPr="00511005">
        <w:rPr>
          <w:rFonts w:ascii="Arial" w:eastAsia="Times New Roman" w:hAnsi="Arial" w:cs="Arial"/>
          <w:kern w:val="2"/>
          <w:szCs w:val="28"/>
          <w:lang w:val="uk-UA" w:eastAsia="uk-UA"/>
          <w14:ligatures w14:val="standardContextual"/>
        </w:rPr>
        <w:t xml:space="preserve"> 2015. № 21. Ст. 584. </w:t>
      </w:r>
    </w:p>
    <w:p w14:paraId="29FA3DFE" w14:textId="77777777" w:rsidR="003476F8" w:rsidRPr="00511005" w:rsidRDefault="003476F8" w:rsidP="003A292D">
      <w:pPr>
        <w:spacing w:line="264" w:lineRule="auto"/>
        <w:ind w:left="720" w:firstLine="0"/>
        <w:contextualSpacing/>
        <w:rPr>
          <w:rFonts w:ascii="Arial" w:eastAsia="Times New Roman" w:hAnsi="Arial" w:cs="Arial"/>
          <w:kern w:val="2"/>
          <w:szCs w:val="28"/>
          <w:lang w:val="uk-UA" w:eastAsia="uk-UA"/>
          <w14:ligatures w14:val="standardContextual"/>
        </w:rPr>
      </w:pPr>
    </w:p>
    <w:p w14:paraId="0028F898" w14:textId="2BD0D54D" w:rsidR="003476F8" w:rsidRPr="00511005" w:rsidRDefault="007B262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b/>
          <w:i/>
          <w:kern w:val="2"/>
          <w:szCs w:val="28"/>
          <w:lang w:val="uk-UA" w:eastAsia="uk-UA"/>
          <w14:ligatures w14:val="standardContextual"/>
        </w:rPr>
        <w:t xml:space="preserve">Ключові слова: </w:t>
      </w:r>
      <w:r w:rsidR="003476F8" w:rsidRPr="00511005">
        <w:rPr>
          <w:rFonts w:ascii="Arial" w:eastAsia="Times New Roman" w:hAnsi="Arial" w:cs="Arial"/>
          <w:kern w:val="2"/>
          <w:szCs w:val="28"/>
          <w:lang w:val="uk-UA" w:eastAsia="uk-UA"/>
          <w14:ligatures w14:val="standardContextual"/>
        </w:rPr>
        <w:t>працівник, роботодавець, захист трудових прав, механізм захисту трудових прав, трудові спори.</w:t>
      </w:r>
    </w:p>
    <w:p w14:paraId="3ED57EFD" w14:textId="249CDF2C" w:rsidR="003476F8" w:rsidRPr="00511005" w:rsidRDefault="007B2628" w:rsidP="003A292D">
      <w:pPr>
        <w:spacing w:line="264" w:lineRule="auto"/>
        <w:rPr>
          <w:rFonts w:ascii="Arial" w:eastAsia="Times New Roman" w:hAnsi="Arial" w:cs="Arial"/>
          <w:kern w:val="2"/>
          <w:szCs w:val="28"/>
          <w:lang w:val="en-US" w:eastAsia="uk-UA"/>
          <w14:ligatures w14:val="standardContextual"/>
        </w:rPr>
      </w:pPr>
      <w:r w:rsidRPr="00511005">
        <w:rPr>
          <w:rFonts w:ascii="Arial" w:eastAsia="Times New Roman" w:hAnsi="Arial" w:cs="Arial"/>
          <w:b/>
          <w:i/>
          <w:kern w:val="2"/>
          <w:szCs w:val="28"/>
          <w:lang w:val="en-US" w:eastAsia="uk-UA"/>
          <w14:ligatures w14:val="standardContextual"/>
        </w:rPr>
        <w:t xml:space="preserve">Key words: </w:t>
      </w:r>
      <w:r w:rsidR="003476F8" w:rsidRPr="00511005">
        <w:rPr>
          <w:rFonts w:ascii="Arial" w:eastAsia="Times New Roman" w:hAnsi="Arial" w:cs="Arial"/>
          <w:kern w:val="2"/>
          <w:szCs w:val="28"/>
          <w:lang w:val="en-US" w:eastAsia="uk-UA"/>
          <w14:ligatures w14:val="standardContextual"/>
        </w:rPr>
        <w:t>employee, employer, protection of labour rights,</w:t>
      </w:r>
      <w:r w:rsidR="003476F8" w:rsidRPr="00511005">
        <w:rPr>
          <w:rFonts w:ascii="Arial" w:eastAsia="Times New Roman" w:hAnsi="Arial" w:cs="Arial"/>
          <w:kern w:val="2"/>
          <w:szCs w:val="28"/>
          <w:lang w:val="uk-UA" w:eastAsia="uk-UA"/>
          <w14:ligatures w14:val="standardContextual"/>
        </w:rPr>
        <w:t xml:space="preserve"> </w:t>
      </w:r>
      <w:r w:rsidR="003476F8" w:rsidRPr="00511005">
        <w:rPr>
          <w:rFonts w:ascii="Arial" w:eastAsia="Times New Roman" w:hAnsi="Arial" w:cs="Arial"/>
          <w:kern w:val="2"/>
          <w:szCs w:val="28"/>
          <w:lang w:val="en-US" w:eastAsia="uk-UA"/>
          <w14:ligatures w14:val="standardContextual"/>
        </w:rPr>
        <w:t>mechanism for protecting labour rights, labour disputes.</w:t>
      </w:r>
    </w:p>
    <w:p w14:paraId="1F758A5A" w14:textId="017A90F1" w:rsidR="003476F8" w:rsidRPr="00511005" w:rsidRDefault="007B2628" w:rsidP="003A292D">
      <w:pPr>
        <w:spacing w:line="264" w:lineRule="auto"/>
        <w:rPr>
          <w:rFonts w:ascii="Arial" w:eastAsia="Times New Roman" w:hAnsi="Arial" w:cs="Arial"/>
          <w:i/>
          <w:kern w:val="2"/>
          <w:szCs w:val="28"/>
          <w:lang w:val="uk-UA" w:eastAsia="uk-UA"/>
          <w14:ligatures w14:val="standardContextual"/>
        </w:rPr>
      </w:pPr>
      <w:r w:rsidRPr="00511005">
        <w:rPr>
          <w:rFonts w:ascii="Arial" w:eastAsia="Times New Roman" w:hAnsi="Arial" w:cs="Arial"/>
          <w:b/>
          <w:i/>
          <w:kern w:val="2"/>
          <w:szCs w:val="28"/>
          <w:lang w:val="uk-UA" w:eastAsia="uk-UA"/>
          <w14:ligatures w14:val="standardContextual"/>
        </w:rPr>
        <w:t xml:space="preserve">Науковий керівник: </w:t>
      </w:r>
      <w:r w:rsidR="003476F8" w:rsidRPr="00511005">
        <w:rPr>
          <w:rFonts w:ascii="Arial" w:eastAsia="Times New Roman" w:hAnsi="Arial" w:cs="Arial"/>
          <w:i/>
          <w:kern w:val="2"/>
          <w:szCs w:val="28"/>
          <w:lang w:val="uk-UA" w:eastAsia="uk-UA"/>
          <w14:ligatures w14:val="standardContextual"/>
        </w:rPr>
        <w:t>к.ю.н., доцент Наньєва М. І.</w:t>
      </w:r>
    </w:p>
    <w:p w14:paraId="7B4969C5" w14:textId="77777777" w:rsidR="003476F8" w:rsidRPr="00511005" w:rsidRDefault="003476F8" w:rsidP="003A292D">
      <w:pPr>
        <w:keepNext/>
        <w:spacing w:line="264" w:lineRule="auto"/>
        <w:ind w:firstLine="567"/>
        <w:rPr>
          <w:rFonts w:ascii="Arial" w:eastAsia="Calibri" w:hAnsi="Arial" w:cs="Arial"/>
          <w:bCs/>
          <w:i/>
          <w:iCs/>
          <w:szCs w:val="28"/>
          <w:lang w:val="uk-UA"/>
        </w:rPr>
      </w:pPr>
    </w:p>
    <w:p w14:paraId="4A6BAAEB" w14:textId="77777777" w:rsidR="003476F8" w:rsidRPr="00511005" w:rsidRDefault="003476F8" w:rsidP="003A292D">
      <w:pPr>
        <w:keepNext/>
        <w:spacing w:line="264" w:lineRule="auto"/>
        <w:ind w:firstLine="567"/>
        <w:rPr>
          <w:rFonts w:ascii="Arial" w:eastAsia="Calibri" w:hAnsi="Arial" w:cs="Arial"/>
          <w:bCs/>
          <w:i/>
          <w:iCs/>
          <w:szCs w:val="28"/>
          <w:lang w:val="uk-UA"/>
        </w:rPr>
      </w:pPr>
    </w:p>
    <w:p w14:paraId="1F88D90F" w14:textId="77777777" w:rsidR="003476F8" w:rsidRPr="00511005" w:rsidRDefault="003476F8" w:rsidP="003A292D">
      <w:pPr>
        <w:keepNext/>
        <w:spacing w:line="264" w:lineRule="auto"/>
        <w:ind w:firstLine="567"/>
        <w:rPr>
          <w:rFonts w:ascii="Arial" w:eastAsia="Calibri" w:hAnsi="Arial" w:cs="Arial"/>
          <w:bCs/>
          <w:i/>
          <w:iCs/>
          <w:szCs w:val="28"/>
          <w:lang w:val="uk-UA"/>
        </w:rPr>
      </w:pPr>
    </w:p>
    <w:p w14:paraId="5FFBC633" w14:textId="77777777" w:rsidR="003476F8" w:rsidRPr="00511005" w:rsidRDefault="003476F8" w:rsidP="003A292D">
      <w:pPr>
        <w:widowControl w:val="0"/>
        <w:autoSpaceDE w:val="0"/>
        <w:autoSpaceDN w:val="0"/>
        <w:adjustRightInd w:val="0"/>
        <w:spacing w:line="264" w:lineRule="auto"/>
        <w:ind w:right="-694"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Кобець Діана Олегівна</w:t>
      </w:r>
    </w:p>
    <w:p w14:paraId="58EF83BE" w14:textId="118B5CB8" w:rsidR="003476F8" w:rsidRPr="00511005" w:rsidRDefault="00536AAB" w:rsidP="003A292D">
      <w:pPr>
        <w:widowControl w:val="0"/>
        <w:autoSpaceDE w:val="0"/>
        <w:autoSpaceDN w:val="0"/>
        <w:adjustRightInd w:val="0"/>
        <w:spacing w:line="264" w:lineRule="auto"/>
        <w:ind w:right="-694"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7B2628" w:rsidRPr="00511005">
        <w:rPr>
          <w:rFonts w:ascii="Arial" w:eastAsia="Times New Roman" w:hAnsi="Arial" w:cs="Arial"/>
          <w:szCs w:val="28"/>
          <w:lang w:val="uk-UA" w:eastAsia="ru-RU"/>
        </w:rPr>
        <w:t>факультету цивільної та господарської юстиції</w:t>
      </w:r>
    </w:p>
    <w:p w14:paraId="779DFB78" w14:textId="4D62015F" w:rsidR="003476F8" w:rsidRPr="00511005" w:rsidRDefault="007B2628" w:rsidP="003A292D">
      <w:pPr>
        <w:widowControl w:val="0"/>
        <w:autoSpaceDE w:val="0"/>
        <w:autoSpaceDN w:val="0"/>
        <w:adjustRightInd w:val="0"/>
        <w:spacing w:line="264" w:lineRule="auto"/>
        <w:ind w:right="-694" w:firstLine="0"/>
        <w:jc w:val="center"/>
        <w:rPr>
          <w:rFonts w:ascii="Arial" w:eastAsia="Times New Roman" w:hAnsi="Arial" w:cs="Arial"/>
          <w:b/>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2C51692" w14:textId="77777777" w:rsidR="003476F8" w:rsidRPr="00511005" w:rsidRDefault="003476F8" w:rsidP="003A292D">
      <w:pPr>
        <w:widowControl w:val="0"/>
        <w:tabs>
          <w:tab w:val="left" w:pos="7088"/>
        </w:tabs>
        <w:autoSpaceDE w:val="0"/>
        <w:autoSpaceDN w:val="0"/>
        <w:adjustRightInd w:val="0"/>
        <w:spacing w:line="264" w:lineRule="auto"/>
        <w:ind w:firstLine="0"/>
        <w:jc w:val="center"/>
        <w:rPr>
          <w:rFonts w:ascii="Arial" w:eastAsia="Times New Roman" w:hAnsi="Arial" w:cs="Arial"/>
          <w:bCs/>
          <w:i/>
          <w:iCs/>
          <w:szCs w:val="28"/>
          <w:shd w:val="clear" w:color="auto" w:fill="FFFFFF"/>
          <w:lang w:val="uk-UA" w:eastAsia="ru-RU"/>
        </w:rPr>
      </w:pPr>
    </w:p>
    <w:p w14:paraId="5DFF88C6" w14:textId="77777777" w:rsidR="003476F8" w:rsidRPr="00511005" w:rsidRDefault="003476F8"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shd w:val="clear" w:color="auto" w:fill="FFFFFF"/>
          <w:lang w:val="uk-UA" w:eastAsia="ru-RU"/>
        </w:rPr>
      </w:pPr>
      <w:r w:rsidRPr="00511005">
        <w:rPr>
          <w:rFonts w:ascii="Arial" w:eastAsia="Times New Roman" w:hAnsi="Arial" w:cs="Arial"/>
          <w:b/>
          <w:szCs w:val="28"/>
          <w:shd w:val="clear" w:color="auto" w:fill="FFFFFF"/>
          <w:lang w:val="uk-UA" w:eastAsia="ru-RU"/>
        </w:rPr>
        <w:t>СПОСОБИ ПОПЕРЕДЖЕННЯ ЕМОЦІЙНОГО ВИГОРАННЯ НА РОБОТІ</w:t>
      </w:r>
    </w:p>
    <w:p w14:paraId="2F2EF471"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 xml:space="preserve">Термін «емоційне вигорання» вперше введений в обіг американським психологом Фреденбергом в 1974 році. Ним позначається психічний стан </w:t>
      </w:r>
      <w:r w:rsidRPr="00511005">
        <w:rPr>
          <w:rFonts w:ascii="Arial" w:eastAsia="Calibri" w:hAnsi="Arial" w:cs="Arial"/>
          <w:szCs w:val="28"/>
          <w:lang w:val="uk-UA"/>
        </w:rPr>
        <w:lastRenderedPageBreak/>
        <w:t>людей, які інтенсивно і тісно спілкуються з іншими. Спочатку Фреденберг заніс до цієї групи фахівців, що працюють в кризових центрах і психіатричних клініках, пізніше об’єднав всі професії, що передбачають постійне, тісне спілкування («людина – людина») [2, c.121].</w:t>
      </w:r>
    </w:p>
    <w:p w14:paraId="37645BBB"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Перш за все, необхідно зазначити, що емоційне вигорання не є наслідком лише індивідуальних особливостей працівника, але й відображає рівень організаційної культури та менеджменту. Організаційна культура відіграє ключову роль у визначенні того, наскільки підтримувальним є робоче середовище для працівників. Погане ставлення керівників, відсутність підтримки з боку колег, а також неоптимальне навантаження можуть значно сприяти розвитку вигорання. Зокрема, надмірна завантаженість, відсутність можливості для професійного розвитку та недостатня кількість ресурсів для виконання завдань є основними причинами, які викликають стрес і зрештою можуть призвести до емоційного вигорання.</w:t>
      </w:r>
    </w:p>
    <w:p w14:paraId="201FF61E"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Одним із ключових способів попередження емоційного вигорання є ефективне управління стресом. Працівники, які вміють розпізнавати свої стресові тригери та знаходити способи їх мінімізації, мають значно менший ризик розвитку вигорання. Це включає в себе навички управління часом, розвиток здорових звичок щодо фізичного та психологічного здоров'я, а також вміння ставити реалістичні цілі. Зокрема, важливим аспектом є підтримка балансування між роботою та особистим життям. Прагнення працівників досягти високих результатів на роботі не повинно здійснюватися за рахунок власного благополуччя або відносин з близькими людьми. Встановлення чітких меж між робочим і особистим часом допомагає зменшити стресові навантаження і підтримувати належний рівень емоційного здоров'я.</w:t>
      </w:r>
    </w:p>
    <w:p w14:paraId="0531A6EE"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Крім того, великого значення набула роль організаційної підтримки. Важливо, щоб організація створювала умови для підтримки своїх працівників, пропонуючи програми по зменшенню стресу, надаючи можливості для кар'єрного росту та розвитку, а також забезпечуючи позитивне робоче середовище. Водночас психологічна підтримка, яку надає організація у вигляді тренінгів, семінарів або консультацій з психологами, допомагає працівникам впоратися з емоційним вигоранням, а також здатна допомогти їм ефективно справлятися зі стресом і уникати виснаження.</w:t>
      </w:r>
    </w:p>
    <w:p w14:paraId="5CDDBD9E"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 xml:space="preserve">Професійне вигорання – це синдром емоційного, розумового та фізичного виснаження через тривале емоційне перевантаження. Емоційне вигорання виникає під впливом цілком певних зовнішніх і внутрішніх чинників. Профілактичні заходи, що упереджують емоційне вигорання, передбачають особистісно-орієнтовані підходи, спрямовані на покращення здатності особистості протидіяти стресовим впливам через зміну своєї поведінки, стосунків, світогляду. Зокрема, це постійна внутрішня робота над </w:t>
      </w:r>
      <w:r w:rsidRPr="00511005">
        <w:rPr>
          <w:rFonts w:ascii="Arial" w:eastAsia="Calibri" w:hAnsi="Arial" w:cs="Arial"/>
          <w:szCs w:val="28"/>
          <w:lang w:val="uk-UA"/>
        </w:rPr>
        <w:lastRenderedPageBreak/>
        <w:t>собою, переосмислення поведінки, рефлексія емоційних станів, активний відпочинок, опанування методів саморегуляції [3, c.295].</w:t>
      </w:r>
    </w:p>
    <w:p w14:paraId="41C04957"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Емоційне вигорання – проблема, про яку останнім часом можна почути все частіше. Однією з причин виникнення цього синдрому є те, що дуже часто люди не усвідомлюють важливості і згубного впливу психологічних факторів на їхню професійну діяльність, здоров’я і особисте життя та не ознайомлені з інформацією про причини та можливі наслідки цього явища. Сьогодні на проблему емоційного вигорання звертають набагато більше уваги, ніж, наприклад, 20–30 років тому. Річ у тім, що раніше психологічні проблеми не вважалися чимось суттєвим, їх не розглядали, як важливий фактор продуктивності праці [1, c.99].</w:t>
      </w:r>
    </w:p>
    <w:p w14:paraId="08CA5A83"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Попередження емоційного вигорання на роботі вимагає комплексного підходу, який поєднує індивідуальні зусилля працівників, організаційну підтримку та позитивні зміни в організаційній культурі. Важливим є створення середовища, яке підтримує здоров'я працівників, надає їм можливості для професійного розвитку і створює умови для збалансованого поєднання робочих і особистих обов'язків. Активне впровадження цих практик дозволить значно знизити рівень емоційного вигорання і підвищити загальну ефективність діяльності працівників на робочому місці.</w:t>
      </w:r>
    </w:p>
    <w:p w14:paraId="55FF0724"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Варто також звернути увагу на важливість розвитку організаційних ініціатив, спрямованих на забезпечення здорового психологічного клімату в колективі. Це включає в себе створення програм підтримки, таких як менторство або групи психологічної підтримки, які можуть стати додатковими інструментами для зменшення стресу серед працівників. За допомогою таких ініціатив можна не тільки створити позитивну атмосферу, але й дати працівникам можливість відчути себе важливими для організації та підтримати їх у складні моменти.</w:t>
      </w:r>
    </w:p>
    <w:p w14:paraId="33C1C8B8"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Також важливо зазначити роль керівництва у попередженні емоційного вигорання. Лідери організацій повинні ставати прикладом для своїх підлеглих у питаннях здорового балансу між роботою та особистим життям. Вони повинні активно сприяти реалізації політики добробуту та здоров'я на робочому місці, запроваджуючи ініціативи, які допомагають знижувати стрес. Крім того, важливим елементом є створення відкритого та прозорого діалогу між керівниками і працівниками, коли останні можуть без страху звертатися за допомогою або виражати свої труднощі.</w:t>
      </w:r>
    </w:p>
    <w:p w14:paraId="2C3E101D"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Не менш важливою є увага до психо-емоційних аспектів роботи, що дозволяє вчасно ідентифікувати працівників, які перебувають під високим рівнем стресу. Використання регулярних психологічних оцінок, анкетування або інтерв'ювання дозволяє вчасно виявити проблеми на робочому місці, що можуть призвести до вигорання. Це дає можливість своєчасно вжити необхідних заходів для зниження рівня стресу і підтримки працівника, запобігаючи більш серйозним наслідкам.</w:t>
      </w:r>
    </w:p>
    <w:p w14:paraId="63FCF722"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lastRenderedPageBreak/>
        <w:t>Важливо також враховувати роль фізичного здоров'я працівників, оскільки фізичні проблеми часто є фактором, що підсилює емоційне вигорання. Організація повинна заохочувати фізичну активність на робочому місці, забезпечуючи доступ до спортивних занять, або навіть просто надаючи можливість для перерв на прогулянку. Підтримка фізичного здоров'я безпосередньо впливає на емоційний стан працівника та допомагає йому краще справлятися зі стресом.</w:t>
      </w:r>
    </w:p>
    <w:p w14:paraId="7AA1C1F1"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І, не менш важливою, є роль навчання та розвитку працівників. Підвищення кваліфікації через участь у тренінгах та семінарах допомагає працівникам почуватися більш упевненими у своїх силах, що, у свою чергу, може зменшити рівень стресу. Коли працівники отримують нові знання та навички, вони відчувають себе більш підготовленими до вирішення складних завдань, що знижує ймовірність розвитку вигорання.</w:t>
      </w:r>
    </w:p>
    <w:p w14:paraId="2A9A3EA7"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Таким чином, попередження емоційного вигорання на роботі потребує комплексного підходу, що включає як індивідуальні, так і організаційні заходи. Важливими аспектами є розвиток стратегії підтримки психологічного благополуччя працівників через менторство, групи підтримки та активну комунікацію між керівництвом і підлеглими. Програми здоров’я на робочому місці, сприяння фізичній активності, а також підтримка балансу між роботою та особистим життям є важливими складовими цього процесу. Значну роль у попередженні вигорання відіграє психологічне оцінювання працівників, що дозволяє вчасно виявляти ознаки стресу і впроваджувати необхідні коригуючі заходи. Підвищення кваліфікації працівників і надання їм можливості для особистісного та професійного розвитку допомагає знизити рівень стресу та забезпечити відчуття упевненості у своїх силах.</w:t>
      </w:r>
    </w:p>
    <w:p w14:paraId="7A624922" w14:textId="77777777" w:rsidR="003476F8" w:rsidRPr="00511005" w:rsidRDefault="003476F8" w:rsidP="003A292D">
      <w:pPr>
        <w:spacing w:line="264" w:lineRule="auto"/>
        <w:ind w:firstLine="0"/>
        <w:jc w:val="left"/>
        <w:rPr>
          <w:rFonts w:ascii="Arial" w:eastAsia="Calibri" w:hAnsi="Arial" w:cs="Arial"/>
          <w:szCs w:val="28"/>
          <w:lang w:val="uk-UA"/>
        </w:rPr>
      </w:pPr>
    </w:p>
    <w:p w14:paraId="279C8D99" w14:textId="3D45204F" w:rsidR="003476F8" w:rsidRPr="00511005" w:rsidRDefault="007B2628" w:rsidP="007B2628">
      <w:pPr>
        <w:spacing w:line="264" w:lineRule="auto"/>
        <w:ind w:firstLine="0"/>
        <w:jc w:val="center"/>
        <w:rPr>
          <w:rFonts w:ascii="Arial" w:eastAsia="Times New Roman" w:hAnsi="Arial" w:cs="Arial"/>
          <w:b/>
          <w:szCs w:val="28"/>
          <w:lang w:val="uk-UA" w:eastAsia="ru-RU" w:bidi="uk-UA"/>
        </w:rPr>
      </w:pPr>
      <w:r w:rsidRPr="00511005">
        <w:rPr>
          <w:rFonts w:ascii="Arial" w:eastAsia="Times New Roman" w:hAnsi="Arial" w:cs="Arial"/>
          <w:b/>
          <w:szCs w:val="28"/>
          <w:lang w:val="uk-UA" w:eastAsia="ru-RU" w:bidi="uk-UA"/>
        </w:rPr>
        <w:t>Список використаних джерел</w:t>
      </w:r>
    </w:p>
    <w:p w14:paraId="3BF0DDF4" w14:textId="6378A6AC" w:rsidR="003476F8" w:rsidRPr="00511005" w:rsidRDefault="003476F8" w:rsidP="003F6A5D">
      <w:pPr>
        <w:widowControl w:val="0"/>
        <w:numPr>
          <w:ilvl w:val="0"/>
          <w:numId w:val="836"/>
        </w:numPr>
        <w:tabs>
          <w:tab w:val="left" w:pos="993"/>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Процик І.С., Романська О.Б. Емоційне вигорання працівників як гальмівний чинник розвитку підприємства в умовах розширення міжнародних економічних відносин. </w:t>
      </w:r>
      <w:r w:rsidRPr="00511005">
        <w:rPr>
          <w:rFonts w:ascii="Arial" w:eastAsia="Times New Roman" w:hAnsi="Arial" w:cs="Arial"/>
          <w:i/>
          <w:iCs/>
          <w:szCs w:val="28"/>
          <w:lang w:eastAsia="ru-RU"/>
        </w:rPr>
        <w:t>Менеджмент та підприємництво в Україні: етапи становлення і проблеми розвитку.</w:t>
      </w:r>
      <w:r w:rsidRPr="00511005">
        <w:rPr>
          <w:rFonts w:ascii="Arial" w:eastAsia="Times New Roman" w:hAnsi="Arial" w:cs="Arial"/>
          <w:bCs/>
          <w:szCs w:val="28"/>
          <w:lang w:val="uk-UA" w:eastAsia="ru-RU" w:bidi="uk-UA"/>
        </w:rPr>
        <w:t xml:space="preserve"> 2021. № 2. с. 99-105. URL: https://science.lpnu.ua/uk/smeu/vsi-vypusky/vypusk-3-nomer-2-2021/emociyne-vygorannya-pracivnykiv-yak-galmivnyy-chynnyk (дата звернення: 27.04.2025)</w:t>
      </w:r>
    </w:p>
    <w:p w14:paraId="227FBC66" w14:textId="2D84C547" w:rsidR="003476F8" w:rsidRPr="00511005" w:rsidRDefault="003476F8" w:rsidP="003F6A5D">
      <w:pPr>
        <w:widowControl w:val="0"/>
        <w:numPr>
          <w:ilvl w:val="0"/>
          <w:numId w:val="836"/>
        </w:numPr>
        <w:tabs>
          <w:tab w:val="left" w:pos="993"/>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Бєляєва С. Професійне вигорання: шляхи запобігання. </w:t>
      </w:r>
      <w:r w:rsidRPr="00511005">
        <w:rPr>
          <w:rFonts w:ascii="Arial" w:eastAsia="Times New Roman" w:hAnsi="Arial" w:cs="Arial"/>
          <w:bCs/>
          <w:i/>
          <w:iCs/>
          <w:szCs w:val="28"/>
          <w:lang w:val="uk-UA" w:eastAsia="ru-RU" w:bidi="uk-UA"/>
        </w:rPr>
        <w:t>Слово Національної школи суддів України</w:t>
      </w:r>
      <w:r w:rsidRPr="00511005">
        <w:rPr>
          <w:rFonts w:ascii="Arial" w:eastAsia="Times New Roman" w:hAnsi="Arial" w:cs="Arial"/>
          <w:bCs/>
          <w:szCs w:val="28"/>
          <w:lang w:val="uk-UA" w:eastAsia="ru-RU" w:bidi="uk-UA"/>
        </w:rPr>
        <w:t>. 2014. № 3. С. 121-126. URL:</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uk-UA" w:eastAsia="ru-RU" w:bidi="uk-UA"/>
        </w:rPr>
        <w:t>https://surli.cc/pulnxj</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uk-UA" w:eastAsia="ru-RU" w:bidi="uk-UA"/>
        </w:rPr>
        <w:t>(дата звернення: 27.04.2025)​</w:t>
      </w:r>
    </w:p>
    <w:p w14:paraId="196B57F8" w14:textId="269EF0DF" w:rsidR="003476F8" w:rsidRPr="00511005" w:rsidRDefault="003476F8" w:rsidP="003F6A5D">
      <w:pPr>
        <w:widowControl w:val="0"/>
        <w:numPr>
          <w:ilvl w:val="0"/>
          <w:numId w:val="836"/>
        </w:numPr>
        <w:tabs>
          <w:tab w:val="left" w:pos="993"/>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bidi="uk-UA"/>
        </w:rPr>
      </w:pPr>
      <w:r w:rsidRPr="00511005">
        <w:rPr>
          <w:rFonts w:ascii="Arial" w:eastAsia="Times New Roman" w:hAnsi="Arial" w:cs="Arial"/>
          <w:szCs w:val="28"/>
          <w:lang w:val="uk-UA" w:eastAsia="ru-RU" w:bidi="uk-UA"/>
        </w:rPr>
        <w:t>Шкраб’юк В.С., Білик Д.І.</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bidi="uk-UA"/>
        </w:rPr>
        <w:t>Емоційне вигорання особистості: психологічний аналіз проблеми.</w:t>
      </w:r>
      <w:r w:rsidRPr="00511005">
        <w:rPr>
          <w:rFonts w:ascii="Arial" w:eastAsia="Times New Roman" w:hAnsi="Arial" w:cs="Arial"/>
          <w:szCs w:val="28"/>
          <w:lang w:val="uk-UA" w:eastAsia="ru-RU"/>
        </w:rPr>
        <w:t xml:space="preserve"> </w:t>
      </w:r>
      <w:r w:rsidRPr="00511005">
        <w:rPr>
          <w:rFonts w:ascii="Arial" w:eastAsia="Times New Roman" w:hAnsi="Arial" w:cs="Arial"/>
          <w:i/>
          <w:szCs w:val="28"/>
          <w:lang w:val="uk-UA" w:eastAsia="ru-RU" w:bidi="uk-UA"/>
        </w:rPr>
        <w:t>Young Scientist.</w:t>
      </w:r>
      <w:r w:rsidRPr="00511005">
        <w:rPr>
          <w:rFonts w:ascii="Arial" w:eastAsia="Times New Roman" w:hAnsi="Arial" w:cs="Arial"/>
          <w:szCs w:val="28"/>
          <w:lang w:val="uk-UA" w:eastAsia="ru-RU" w:bidi="uk-UA"/>
        </w:rPr>
        <w:t xml:space="preserve"> 2020. № 10 (86). </w:t>
      </w:r>
      <w:r w:rsidRPr="00511005">
        <w:rPr>
          <w:rFonts w:ascii="Arial" w:eastAsia="Times New Roman" w:hAnsi="Arial" w:cs="Arial"/>
          <w:bCs/>
          <w:szCs w:val="28"/>
          <w:lang w:val="uk-UA" w:eastAsia="ru-RU" w:bidi="uk-UA"/>
        </w:rPr>
        <w:t>URL:</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uk-UA" w:eastAsia="ru-RU" w:bidi="uk-UA"/>
        </w:rPr>
        <w:t>http://molodyvcheny.in.ua/files/journal/2020/10/60.pdf (дата звернення: 27.04.2025)</w:t>
      </w:r>
    </w:p>
    <w:p w14:paraId="01BE1D23" w14:textId="0E996C44" w:rsidR="003476F8" w:rsidRPr="00511005" w:rsidRDefault="007B2628" w:rsidP="003A292D">
      <w:pPr>
        <w:widowControl w:val="0"/>
        <w:tabs>
          <w:tab w:val="left" w:pos="993"/>
          <w:tab w:val="left" w:pos="7088"/>
        </w:tabs>
        <w:autoSpaceDE w:val="0"/>
        <w:autoSpaceDN w:val="0"/>
        <w:adjustRightInd w:val="0"/>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val="uk-UA" w:eastAsia="ru-RU"/>
        </w:rPr>
        <w:t xml:space="preserve">емоційне вигорання, попередження стресу, психологічне благополуччя, підтримка на робочому місці, організаційна </w:t>
      </w:r>
      <w:r w:rsidR="003476F8" w:rsidRPr="00511005">
        <w:rPr>
          <w:rFonts w:ascii="Arial" w:eastAsia="Times New Roman" w:hAnsi="Arial" w:cs="Arial"/>
          <w:szCs w:val="28"/>
          <w:lang w:val="uk-UA" w:eastAsia="ru-RU"/>
        </w:rPr>
        <w:lastRenderedPageBreak/>
        <w:t>культура, профілактика вигорання, баланс між роботою і життям, психологічне здоров'я, управління стресом, корпоративна соціальна відповідальність.</w:t>
      </w:r>
    </w:p>
    <w:p w14:paraId="75707006" w14:textId="3FFC8BEF" w:rsidR="003476F8" w:rsidRPr="00511005" w:rsidRDefault="007B2628" w:rsidP="003A292D">
      <w:pPr>
        <w:widowControl w:val="0"/>
        <w:tabs>
          <w:tab w:val="left" w:pos="993"/>
          <w:tab w:val="left" w:pos="7088"/>
        </w:tabs>
        <w:autoSpaceDE w:val="0"/>
        <w:autoSpaceDN w:val="0"/>
        <w:adjustRightInd w:val="0"/>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3476F8" w:rsidRPr="00511005">
        <w:rPr>
          <w:rFonts w:ascii="Arial" w:eastAsia="Times New Roman" w:hAnsi="Arial" w:cs="Arial"/>
          <w:szCs w:val="28"/>
          <w:lang w:val="en-US" w:eastAsia="ru-RU"/>
        </w:rPr>
        <w:t>emotional burnout, stress prevention, psychological well-being, workplace support, organizational culture, burnout prevention, work-life balance, mental health, stress management, corporate social responsibility.</w:t>
      </w:r>
    </w:p>
    <w:p w14:paraId="75868BBE" w14:textId="33E75187" w:rsidR="003476F8" w:rsidRPr="00511005" w:rsidRDefault="007B2628" w:rsidP="003A292D">
      <w:pPr>
        <w:widowControl w:val="0"/>
        <w:tabs>
          <w:tab w:val="left" w:pos="993"/>
          <w:tab w:val="left" w:pos="7088"/>
          <w:tab w:val="right" w:pos="9921"/>
        </w:tabs>
        <w:autoSpaceDE w:val="0"/>
        <w:autoSpaceDN w:val="0"/>
        <w:adjustRightInd w:val="0"/>
        <w:spacing w:line="264" w:lineRule="auto"/>
        <w:rPr>
          <w:rFonts w:ascii="Arial" w:eastAsia="Times New Roman" w:hAnsi="Arial" w:cs="Arial"/>
          <w:bCs/>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3476F8" w:rsidRPr="00511005">
        <w:rPr>
          <w:rFonts w:ascii="Arial" w:eastAsia="Times New Roman" w:hAnsi="Arial" w:cs="Arial"/>
          <w:bCs/>
          <w:i/>
          <w:iCs/>
          <w:szCs w:val="28"/>
          <w:lang w:val="uk-UA" w:eastAsia="ru-RU"/>
        </w:rPr>
        <w:t>к</w:t>
      </w:r>
      <w:r w:rsidR="00A54AC2">
        <w:rPr>
          <w:rFonts w:ascii="Arial" w:eastAsia="Times New Roman" w:hAnsi="Arial" w:cs="Arial"/>
          <w:bCs/>
          <w:i/>
          <w:iCs/>
          <w:szCs w:val="28"/>
          <w:lang w:val="uk-UA" w:eastAsia="ru-RU"/>
        </w:rPr>
        <w:t>.</w:t>
      </w:r>
      <w:r w:rsidR="003476F8" w:rsidRPr="00511005">
        <w:rPr>
          <w:rFonts w:ascii="Arial" w:eastAsia="Times New Roman" w:hAnsi="Arial" w:cs="Arial"/>
          <w:bCs/>
          <w:i/>
          <w:iCs/>
          <w:szCs w:val="28"/>
          <w:lang w:val="uk-UA" w:eastAsia="ru-RU"/>
        </w:rPr>
        <w:t xml:space="preserve"> ю</w:t>
      </w:r>
      <w:r w:rsidR="00A54AC2">
        <w:rPr>
          <w:rFonts w:ascii="Arial" w:eastAsia="Times New Roman" w:hAnsi="Arial" w:cs="Arial"/>
          <w:bCs/>
          <w:i/>
          <w:iCs/>
          <w:szCs w:val="28"/>
          <w:lang w:val="uk-UA" w:eastAsia="ru-RU"/>
        </w:rPr>
        <w:t>.</w:t>
      </w:r>
      <w:r w:rsidR="003476F8" w:rsidRPr="00511005">
        <w:rPr>
          <w:rFonts w:ascii="Arial" w:eastAsia="Times New Roman" w:hAnsi="Arial" w:cs="Arial"/>
          <w:bCs/>
          <w:i/>
          <w:iCs/>
          <w:szCs w:val="28"/>
          <w:lang w:val="uk-UA" w:eastAsia="ru-RU"/>
        </w:rPr>
        <w:t xml:space="preserve"> н</w:t>
      </w:r>
      <w:r w:rsidR="00A54AC2">
        <w:rPr>
          <w:rFonts w:ascii="Arial" w:eastAsia="Times New Roman" w:hAnsi="Arial" w:cs="Arial"/>
          <w:bCs/>
          <w:i/>
          <w:iCs/>
          <w:szCs w:val="28"/>
          <w:lang w:val="uk-UA" w:eastAsia="ru-RU"/>
        </w:rPr>
        <w:t>.</w:t>
      </w:r>
      <w:r w:rsidR="003476F8" w:rsidRPr="00511005">
        <w:rPr>
          <w:rFonts w:ascii="Arial" w:eastAsia="Times New Roman" w:hAnsi="Arial" w:cs="Arial"/>
          <w:bCs/>
          <w:i/>
          <w:iCs/>
          <w:szCs w:val="28"/>
          <w:lang w:val="uk-UA" w:eastAsia="ru-RU"/>
        </w:rPr>
        <w:t>, доцент Панченко А.О.</w:t>
      </w:r>
      <w:r w:rsidR="003476F8" w:rsidRPr="00511005">
        <w:rPr>
          <w:rFonts w:ascii="Arial" w:eastAsia="Times New Roman" w:hAnsi="Arial" w:cs="Arial"/>
          <w:bCs/>
          <w:i/>
          <w:iCs/>
          <w:szCs w:val="28"/>
          <w:lang w:val="uk-UA" w:eastAsia="ru-RU"/>
        </w:rPr>
        <w:tab/>
      </w:r>
    </w:p>
    <w:p w14:paraId="45ABE8A4" w14:textId="77777777" w:rsidR="003476F8" w:rsidRPr="00511005" w:rsidRDefault="003476F8" w:rsidP="003A292D">
      <w:pPr>
        <w:widowControl w:val="0"/>
        <w:tabs>
          <w:tab w:val="left" w:pos="993"/>
          <w:tab w:val="left" w:pos="7088"/>
          <w:tab w:val="right" w:pos="9921"/>
        </w:tabs>
        <w:autoSpaceDE w:val="0"/>
        <w:autoSpaceDN w:val="0"/>
        <w:adjustRightInd w:val="0"/>
        <w:spacing w:line="264" w:lineRule="auto"/>
        <w:rPr>
          <w:rFonts w:ascii="Arial" w:eastAsia="Times New Roman" w:hAnsi="Arial" w:cs="Arial"/>
          <w:bCs/>
          <w:i/>
          <w:iCs/>
          <w:szCs w:val="28"/>
          <w:lang w:val="uk-UA" w:eastAsia="ru-RU"/>
        </w:rPr>
      </w:pPr>
    </w:p>
    <w:p w14:paraId="6F08B5B7" w14:textId="77777777" w:rsidR="003476F8" w:rsidRPr="00511005" w:rsidRDefault="003476F8" w:rsidP="003A292D">
      <w:pPr>
        <w:widowControl w:val="0"/>
        <w:tabs>
          <w:tab w:val="left" w:pos="993"/>
          <w:tab w:val="left" w:pos="7088"/>
          <w:tab w:val="right" w:pos="9921"/>
        </w:tabs>
        <w:autoSpaceDE w:val="0"/>
        <w:autoSpaceDN w:val="0"/>
        <w:adjustRightInd w:val="0"/>
        <w:spacing w:line="264" w:lineRule="auto"/>
        <w:rPr>
          <w:rFonts w:ascii="Arial" w:eastAsia="Times New Roman" w:hAnsi="Arial" w:cs="Arial"/>
          <w:bCs/>
          <w:i/>
          <w:iCs/>
          <w:szCs w:val="28"/>
          <w:lang w:val="uk-UA" w:eastAsia="ru-RU"/>
        </w:rPr>
      </w:pPr>
    </w:p>
    <w:p w14:paraId="2F922919" w14:textId="77777777" w:rsidR="003476F8" w:rsidRPr="00511005" w:rsidRDefault="003476F8"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Ковальчук Дар’я Сергіївна</w:t>
      </w:r>
    </w:p>
    <w:p w14:paraId="153F5F0E" w14:textId="7F1A2209" w:rsidR="003476F8"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2-го курсу </w:t>
      </w:r>
      <w:r w:rsidR="001B7B25" w:rsidRPr="00511005">
        <w:rPr>
          <w:rFonts w:ascii="Arial" w:eastAsia="Calibri" w:hAnsi="Arial" w:cs="Arial"/>
          <w:szCs w:val="28"/>
          <w:lang w:val="uk-UA"/>
        </w:rPr>
        <w:t>факультету судового та міжнародного права</w:t>
      </w:r>
    </w:p>
    <w:p w14:paraId="3B2E4DB0" w14:textId="55B9CBCC" w:rsidR="003476F8"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7A673C37" w14:textId="77777777" w:rsidR="003476F8" w:rsidRPr="00511005" w:rsidRDefault="003476F8" w:rsidP="003A292D">
      <w:pPr>
        <w:spacing w:line="264" w:lineRule="auto"/>
        <w:ind w:firstLine="0"/>
        <w:jc w:val="center"/>
        <w:rPr>
          <w:rFonts w:ascii="Arial" w:eastAsia="Calibri" w:hAnsi="Arial" w:cs="Arial"/>
          <w:szCs w:val="28"/>
          <w:lang w:val="uk-UA"/>
        </w:rPr>
      </w:pPr>
    </w:p>
    <w:p w14:paraId="657DFDAB" w14:textId="77777777" w:rsidR="003476F8" w:rsidRPr="00511005" w:rsidRDefault="003476F8"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РЕГУЛЮВАННЯ РОБОЧОГО ЧАСУ В УМОВАХ ВОЄННОГО СТАНУ</w:t>
      </w:r>
    </w:p>
    <w:p w14:paraId="27712B0A"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Збройна агресія Російської Федерації зумовила виникнення масштабних змін в усіх сферах суспільного життя населення України. Ці зміни торкнулися і трудових відносин також. Виникла необхідність оперативного врегулювання процесів, що пов’язані з організацією праці в нових умовах та забезпеченням належного функціонування критичної інфраструктури. Питання регулювання робочого часу є вкрай актуальним на сьогоднішній день. Особливо важливим є те, що внаслідок введення змін в дію потрібно не втрачати баланс між потребами виробництва та захистом трудових прав працівників.</w:t>
      </w:r>
    </w:p>
    <w:p w14:paraId="3B8CD4A8" w14:textId="276D0E4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Робочим часом вважається той час, протягом якого працівник зобов’язаний виконувати свою трудову функцію, відповідно до трудового договору та законодавства про організацію праці. Більш розгорнуте визначення цього поняття було надане Чанишевою Г. І. та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Наньєвою М. І., де авторки вказують, що: «Робочий час можна визначити як встановлений законодавством відрізок календарного часу, протягом якого працівник відповідно до правил внутрішнього трудового розпорядку, графіка роботи або умов трудового договору повинен перебувати на своєму робочому місці і виконувати обов’язки згідно з укладеним трудовим договором»[1, с. 105]. </w:t>
      </w:r>
    </w:p>
    <w:p w14:paraId="24C70973"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Кодексом Законів про Працю України встановлюється норма тривалості робочого часу, де вказується, що: «нормальна тривалість робочого часу працівників не може перевищувати 40 годин на тиждень» [2]. Однак, починаючи з 2022 року, були введені зміни, відповідно до яких було встановлено, що </w:t>
      </w:r>
      <w:bookmarkStart w:id="193" w:name="n21"/>
      <w:bookmarkEnd w:id="193"/>
      <w:r w:rsidRPr="00511005">
        <w:rPr>
          <w:rFonts w:ascii="Arial" w:eastAsia="Calibri" w:hAnsi="Arial" w:cs="Arial"/>
          <w:szCs w:val="28"/>
        </w:rPr>
        <w:t>н</w:t>
      </w:r>
      <w:r w:rsidRPr="00511005">
        <w:rPr>
          <w:rFonts w:ascii="Arial" w:eastAsia="Calibri" w:hAnsi="Arial" w:cs="Arial"/>
          <w:szCs w:val="28"/>
          <w:lang w:val="uk-UA"/>
        </w:rPr>
        <w:t>ормальна тривалість робочого часу у період дії воєнного стану може бути збільшена до 60 годин на тиждень для працівників, зайнятих на об’єктах критичної інфраструктури (в оборонній сфері, сфері забезпечення життєдіяльності населення тощо)</w:t>
      </w:r>
      <w:bookmarkStart w:id="194" w:name="n67"/>
      <w:bookmarkStart w:id="195" w:name="n22"/>
      <w:bookmarkEnd w:id="194"/>
      <w:bookmarkEnd w:id="195"/>
      <w:r w:rsidRPr="00511005">
        <w:rPr>
          <w:rFonts w:ascii="Arial" w:eastAsia="Calibri" w:hAnsi="Arial" w:cs="Arial"/>
          <w:szCs w:val="28"/>
        </w:rPr>
        <w:t xml:space="preserve"> [3]</w:t>
      </w:r>
      <w:r w:rsidRPr="00511005">
        <w:rPr>
          <w:rFonts w:ascii="Arial" w:eastAsia="Calibri" w:hAnsi="Arial" w:cs="Arial"/>
          <w:szCs w:val="28"/>
          <w:lang w:val="uk-UA"/>
        </w:rPr>
        <w:t xml:space="preserve">. Натомість, працівникам, яким надається скорочена тривалість робочого часу і, які є зайнятими на об'єктах критичної інфраструктури (в першу чергу, стосується оборонної </w:t>
      </w:r>
      <w:r w:rsidRPr="00511005">
        <w:rPr>
          <w:rFonts w:ascii="Arial" w:eastAsia="Calibri" w:hAnsi="Arial" w:cs="Arial"/>
          <w:szCs w:val="28"/>
          <w:lang w:val="uk-UA"/>
        </w:rPr>
        <w:lastRenderedPageBreak/>
        <w:t xml:space="preserve">сфери забезпечення життєдіяльності населення), тривалість робочого часу не має перевищувати 40 годин на тиждень в період воєнного стану. </w:t>
      </w:r>
    </w:p>
    <w:p w14:paraId="02C24125"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В умовах воєнного стану, особливо важливим є забезпечення балансу між інтересами та правами працівника і роботодавця. Відсутність такого балансу може призвести до зловживань як з боку роботодавця, наприклад, шляхом ігнорування гарантованих прав працівникам на належні умови праці, оплату праці та відпочинок, так і з боку працівника. Тому законодавцем було чітко врегульовано питання оплати праці в разі збільшення нормальної тривалості робочого часу в умовах воєнного стану. Мова йдеться про здійснення оплати праці в розмірах, збільшених пропорційно до збільшення самої норми праці. Але варто наголосити на тому, що в умовах воєнного стану роботодавцем регулюються і такі питання, як: час і початок щоденної роботи або зміни та тривалість робочого тижня. </w:t>
      </w:r>
    </w:p>
    <w:p w14:paraId="7149DD0A"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Окрім вищевказаних положень, в Україні під час дії воєнного стану діють норми щодо: заборони роботи у вихідні дні; скорочений робочий день напередодні святкових, неробочих і вихідних днів; перенесення вихідного дня, якщо святковий або неробочий день збігається з вихідним днем; обмеження для надурочних робіт [4]. Такі обмеження обґрунтовані тим, що воєнний стан, як правило, вимагає від підприємств (особливо стосується підприємств критичної інфраструктури) збільшення обсягів виробництва та вчасного, швидкого виконання поставлених ними завдань. В деякій мірі такі тимчасові обмеження прямо суперечать традиційним нормам трудового законодавства, але, зважаючи на сьогоднішні обставини вважаємо їх введення доцільним.</w:t>
      </w:r>
    </w:p>
    <w:p w14:paraId="39B1B61B" w14:textId="56B91BF9"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Потрібно зазначити, що існує також проблема обліку фактичного відпрацьованого часу працівниками. Вимушені перерви на роботі через повітряні тривоги або інші обставини, які змушують зупинити робочий процес можуть принести певний ряд труднощів в процедуру обліку відпрацьованого робочого часу працівниками і оплату цієї</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ж праці роботодавцем. Та все ж, у більшості випадків, переривання роботи через повітряну тривогу може не вважатися простоєм, адже такі обставини, як правило, вважаються форс-мажорними. Закон не встановлює чіткої процедури обліку цього часу, що надає роботодавцеві право самостійно врегулювати такі питання внутрішніми документами на підприємстві.</w:t>
      </w:r>
    </w:p>
    <w:p w14:paraId="71A402BF" w14:textId="77777777" w:rsidR="003476F8" w:rsidRPr="00511005" w:rsidRDefault="003476F8" w:rsidP="003A292D">
      <w:pPr>
        <w:shd w:val="clear" w:color="auto" w:fill="FFFFFF"/>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Отже, введення воєнного стану на території України зобов</w:t>
      </w:r>
      <w:r w:rsidRPr="00511005">
        <w:rPr>
          <w:rFonts w:ascii="Arial" w:eastAsia="Times New Roman" w:hAnsi="Arial" w:cs="Arial"/>
          <w:szCs w:val="28"/>
          <w:lang w:eastAsia="uk-UA"/>
        </w:rPr>
        <w:t>’</w:t>
      </w:r>
      <w:r w:rsidRPr="00511005">
        <w:rPr>
          <w:rFonts w:ascii="Arial" w:eastAsia="Times New Roman" w:hAnsi="Arial" w:cs="Arial"/>
          <w:szCs w:val="28"/>
          <w:lang w:val="uk-UA" w:eastAsia="uk-UA"/>
        </w:rPr>
        <w:t xml:space="preserve">язало законодавця переглянути традиційні норми, що регулюють робочий час працівника. Зміни, що були введені мають чітке обґрунтування в їх необхідності, адже вони необхідні для того, щоб унормувати та стабілізувати робочий процес, забезпечити безперебійне функціонування критичної інфраструктури, підтримати обороноздатність країни, а також встановити правові межі для організації трудових відносин в умовах підвищеної небезпеки та обмежених ресурсів. </w:t>
      </w:r>
    </w:p>
    <w:p w14:paraId="3C0A4A87" w14:textId="1E764E75" w:rsidR="003476F8" w:rsidRPr="00511005" w:rsidRDefault="007B2628" w:rsidP="007B2628">
      <w:pPr>
        <w:shd w:val="clear" w:color="auto" w:fill="FFFFFF"/>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lastRenderedPageBreak/>
        <w:t>Список використаних джерел</w:t>
      </w:r>
    </w:p>
    <w:p w14:paraId="71DA01AB" w14:textId="5764C128" w:rsidR="003476F8" w:rsidRPr="00511005" w:rsidRDefault="003476F8" w:rsidP="003A292D">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1. Чанишева Г.І., Наньєва М.І. Трудове право: навч.-метод. посіб. для здобувачів першого (бакалавр.) рівня вищої освіти, галузь знань 08 «Право», спец. 081 «Право» на ф-ті судов. та міжнар. права Нац. ун-ту «Одес. юрид. академія» [Електронне видання] / Г. Чанишева, М. Наньєва.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Одеса: Фенікс, 2024. 234 с. </w:t>
      </w:r>
      <w:r w:rsidRPr="00511005">
        <w:rPr>
          <w:rFonts w:ascii="Arial" w:eastAsia="Times New Roman" w:hAnsi="Arial" w:cs="Arial"/>
          <w:szCs w:val="28"/>
          <w:lang w:val="en-US" w:eastAsia="uk-UA"/>
        </w:rPr>
        <w:t>URL</w:t>
      </w:r>
      <w:r w:rsidRPr="00511005">
        <w:rPr>
          <w:rFonts w:ascii="Arial" w:eastAsia="Times New Roman" w:hAnsi="Arial" w:cs="Arial"/>
          <w:szCs w:val="28"/>
          <w:lang w:val="uk-UA" w:eastAsia="uk-UA"/>
        </w:rPr>
        <w:t xml:space="preserve">: </w:t>
      </w:r>
      <w:hyperlink r:id="rId1679" w:history="1">
        <w:r w:rsidRPr="00511005">
          <w:rPr>
            <w:rFonts w:ascii="Arial" w:eastAsia="Times New Roman" w:hAnsi="Arial" w:cs="Arial"/>
            <w:szCs w:val="28"/>
            <w:lang w:val="uk-UA" w:eastAsia="uk-UA"/>
          </w:rPr>
          <w:t>https://dspace.onua.edu.ua/server/api/core/bitstreams/f5c3ecc3-1db6-4c68-873f-d054e81cba9f/content</w:t>
        </w:r>
      </w:hyperlink>
    </w:p>
    <w:p w14:paraId="537EFB26" w14:textId="3B9F1A91" w:rsidR="003476F8" w:rsidRPr="00511005" w:rsidRDefault="003476F8" w:rsidP="003A292D">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2. Кодекс законів про працю: Закон України від 10.11. 1971 року.</w:t>
      </w:r>
      <w:r w:rsidR="007B2628" w:rsidRPr="00511005">
        <w:rPr>
          <w:rFonts w:ascii="Arial" w:eastAsia="Times New Roman" w:hAnsi="Arial" w:cs="Arial"/>
          <w:szCs w:val="28"/>
          <w:lang w:val="uk-UA" w:eastAsia="uk-UA"/>
        </w:rPr>
        <w:t xml:space="preserve"> </w:t>
      </w:r>
      <w:r w:rsidRPr="00511005">
        <w:rPr>
          <w:rFonts w:ascii="Arial" w:eastAsia="Times New Roman" w:hAnsi="Arial" w:cs="Arial"/>
          <w:i/>
          <w:szCs w:val="28"/>
          <w:lang w:val="uk-UA" w:eastAsia="uk-UA"/>
        </w:rPr>
        <w:t>Відомості Верховної Ради УРСР</w:t>
      </w:r>
      <w:r w:rsidRPr="00511005">
        <w:rPr>
          <w:rFonts w:ascii="Arial" w:eastAsia="Times New Roman" w:hAnsi="Arial" w:cs="Arial"/>
          <w:szCs w:val="28"/>
          <w:lang w:val="uk-UA" w:eastAsia="uk-UA"/>
        </w:rPr>
        <w:t>. 1971. № 50. Ст. 375.</w:t>
      </w:r>
    </w:p>
    <w:p w14:paraId="4975CEB9" w14:textId="77777777" w:rsidR="003476F8" w:rsidRPr="00A54AC2" w:rsidRDefault="003476F8" w:rsidP="003A292D">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 Про організацію трудових відносин в умовах воєнного стану: Закон України від 15.03.2022 року № </w:t>
      </w:r>
      <w:r w:rsidRPr="00A54AC2">
        <w:rPr>
          <w:rFonts w:ascii="Arial" w:eastAsia="Times New Roman" w:hAnsi="Arial" w:cs="Arial"/>
          <w:szCs w:val="28"/>
          <w:shd w:val="clear" w:color="auto" w:fill="FFFFFF"/>
          <w:lang w:val="uk-UA" w:eastAsia="uk-UA"/>
        </w:rPr>
        <w:t xml:space="preserve">2136-IX. </w:t>
      </w:r>
      <w:r w:rsidRPr="00A54AC2">
        <w:rPr>
          <w:rFonts w:ascii="Arial" w:eastAsia="Times New Roman" w:hAnsi="Arial" w:cs="Arial"/>
          <w:i/>
          <w:szCs w:val="28"/>
          <w:shd w:val="clear" w:color="auto" w:fill="FFFFFF"/>
          <w:lang w:val="uk-UA" w:eastAsia="uk-UA"/>
        </w:rPr>
        <w:t>Офіційний Вісник України</w:t>
      </w:r>
      <w:r w:rsidRPr="00A54AC2">
        <w:rPr>
          <w:rFonts w:ascii="Arial" w:eastAsia="Times New Roman" w:hAnsi="Arial" w:cs="Arial"/>
          <w:szCs w:val="28"/>
          <w:shd w:val="clear" w:color="auto" w:fill="FFFFFF"/>
          <w:lang w:val="uk-UA" w:eastAsia="uk-UA"/>
        </w:rPr>
        <w:t>. 2022. №31. Ст. 1634.</w:t>
      </w:r>
    </w:p>
    <w:p w14:paraId="47887AF4" w14:textId="77777777" w:rsidR="003476F8" w:rsidRPr="00511005" w:rsidRDefault="003476F8" w:rsidP="003A292D">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Яка тривалість робочого часу і відпочинку під час воєнного стану в Україні? </w:t>
      </w:r>
      <w:r w:rsidRPr="00511005">
        <w:rPr>
          <w:rFonts w:ascii="Arial" w:eastAsia="Times New Roman" w:hAnsi="Arial" w:cs="Arial"/>
          <w:szCs w:val="28"/>
          <w:lang w:val="pl-PL" w:eastAsia="uk-UA"/>
        </w:rPr>
        <w:t>URL</w:t>
      </w:r>
      <w:r w:rsidRPr="00511005">
        <w:rPr>
          <w:rFonts w:ascii="Arial" w:eastAsia="Times New Roman" w:hAnsi="Arial" w:cs="Arial"/>
          <w:szCs w:val="28"/>
          <w:lang w:val="uk-UA" w:eastAsia="uk-UA"/>
        </w:rPr>
        <w:t xml:space="preserve">: </w:t>
      </w:r>
      <w:hyperlink r:id="rId1680" w:history="1">
        <w:r w:rsidRPr="00511005">
          <w:rPr>
            <w:rFonts w:ascii="Arial" w:eastAsia="Times New Roman" w:hAnsi="Arial" w:cs="Arial"/>
            <w:szCs w:val="28"/>
            <w:lang w:val="uk-UA" w:eastAsia="uk-UA"/>
          </w:rPr>
          <w:t>https://news.dtkt.ua/labor/labor-relations/91748-iaka-trivalist-robocogo-casu-i-vidpocinku-pid-cas-vojennogo-stanu-v-ukrayini</w:t>
        </w:r>
      </w:hyperlink>
      <w:r w:rsidRPr="00511005">
        <w:rPr>
          <w:rFonts w:ascii="Arial" w:eastAsia="Times New Roman" w:hAnsi="Arial" w:cs="Arial"/>
          <w:szCs w:val="28"/>
          <w:lang w:val="uk-UA" w:eastAsia="uk-UA"/>
        </w:rPr>
        <w:t xml:space="preserve"> </w:t>
      </w:r>
    </w:p>
    <w:p w14:paraId="59E1C41F" w14:textId="29F51949" w:rsidR="003476F8" w:rsidRPr="00511005" w:rsidRDefault="007B2628" w:rsidP="003A292D">
      <w:pPr>
        <w:keepNext/>
        <w:spacing w:line="264" w:lineRule="auto"/>
        <w:ind w:firstLine="567"/>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3476F8" w:rsidRPr="00511005">
        <w:rPr>
          <w:rFonts w:ascii="Arial" w:eastAsia="Calibri" w:hAnsi="Arial" w:cs="Arial"/>
          <w:szCs w:val="28"/>
          <w:lang w:val="uk-UA"/>
        </w:rPr>
        <w:t>трудове законодавство, законодавство України</w:t>
      </w:r>
      <w:r w:rsidR="003476F8" w:rsidRPr="00511005">
        <w:rPr>
          <w:rFonts w:ascii="Arial" w:eastAsia="Calibri" w:hAnsi="Arial" w:cs="Arial"/>
          <w:szCs w:val="28"/>
        </w:rPr>
        <w:t>,</w:t>
      </w:r>
      <w:r w:rsidR="003476F8" w:rsidRPr="00511005">
        <w:rPr>
          <w:rFonts w:ascii="Arial" w:eastAsia="Calibri" w:hAnsi="Arial" w:cs="Arial"/>
          <w:szCs w:val="28"/>
          <w:lang w:val="uk-UA"/>
        </w:rPr>
        <w:t xml:space="preserve"> трудові правовідносини, робочий час, оплата праці.</w:t>
      </w:r>
    </w:p>
    <w:p w14:paraId="452DBF2A" w14:textId="1B00A489" w:rsidR="003476F8" w:rsidRPr="00511005" w:rsidRDefault="007B2628" w:rsidP="003A292D">
      <w:pPr>
        <w:keepNext/>
        <w:spacing w:line="264" w:lineRule="auto"/>
        <w:ind w:firstLine="567"/>
        <w:rPr>
          <w:rFonts w:ascii="Arial" w:eastAsia="Calibri" w:hAnsi="Arial" w:cs="Arial"/>
          <w:bCs/>
          <w:szCs w:val="28"/>
          <w:lang w:val="uk-UA"/>
        </w:rPr>
      </w:pPr>
      <w:r w:rsidRPr="00511005">
        <w:rPr>
          <w:rFonts w:ascii="Arial" w:eastAsia="Calibri" w:hAnsi="Arial" w:cs="Arial"/>
          <w:b/>
          <w:i/>
          <w:szCs w:val="28"/>
          <w:lang w:val="en-US"/>
        </w:rPr>
        <w:t xml:space="preserve">Key words: </w:t>
      </w:r>
      <w:r w:rsidR="003476F8" w:rsidRPr="00511005">
        <w:rPr>
          <w:rFonts w:ascii="Arial" w:eastAsia="Calibri" w:hAnsi="Arial" w:cs="Arial"/>
          <w:bCs/>
          <w:szCs w:val="28"/>
          <w:lang w:val="en-US"/>
        </w:rPr>
        <w:t>labour legislation, legislation of Ukraine, labour relations, working hours, wages.</w:t>
      </w:r>
    </w:p>
    <w:p w14:paraId="070B894D" w14:textId="0BF44BCF" w:rsidR="003476F8" w:rsidRPr="00511005" w:rsidRDefault="007B2628" w:rsidP="003A292D">
      <w:pPr>
        <w:spacing w:line="264" w:lineRule="auto"/>
        <w:ind w:firstLine="567"/>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3476F8" w:rsidRPr="00511005">
        <w:rPr>
          <w:rFonts w:ascii="Arial" w:eastAsia="Calibri" w:hAnsi="Arial" w:cs="Arial"/>
          <w:i/>
          <w:iCs/>
          <w:szCs w:val="28"/>
          <w:lang w:val="uk-UA"/>
        </w:rPr>
        <w:t>к.ю.н., доцент Наньєва М. І.</w:t>
      </w:r>
    </w:p>
    <w:p w14:paraId="609EF6AF" w14:textId="77777777" w:rsidR="003476F8" w:rsidRPr="00511005" w:rsidRDefault="003476F8" w:rsidP="003A292D">
      <w:pPr>
        <w:spacing w:line="264" w:lineRule="auto"/>
        <w:ind w:firstLine="567"/>
        <w:jc w:val="left"/>
        <w:rPr>
          <w:rFonts w:ascii="Arial" w:eastAsia="Calibri" w:hAnsi="Arial" w:cs="Arial"/>
          <w:i/>
          <w:iCs/>
          <w:szCs w:val="28"/>
          <w:lang w:val="uk-UA"/>
        </w:rPr>
      </w:pPr>
    </w:p>
    <w:p w14:paraId="4D6A7BC1" w14:textId="77777777" w:rsidR="003476F8" w:rsidRPr="00511005" w:rsidRDefault="003476F8" w:rsidP="003A292D">
      <w:pPr>
        <w:spacing w:line="264" w:lineRule="auto"/>
        <w:ind w:firstLine="567"/>
        <w:jc w:val="left"/>
        <w:rPr>
          <w:rFonts w:ascii="Arial" w:eastAsia="Calibri" w:hAnsi="Arial" w:cs="Arial"/>
          <w:i/>
          <w:iCs/>
          <w:szCs w:val="28"/>
          <w:lang w:val="uk-UA"/>
        </w:rPr>
      </w:pPr>
    </w:p>
    <w:p w14:paraId="091A6F56" w14:textId="77777777" w:rsidR="003476F8" w:rsidRPr="00511005" w:rsidRDefault="003476F8" w:rsidP="003A292D">
      <w:pPr>
        <w:keepNext/>
        <w:spacing w:line="264" w:lineRule="auto"/>
        <w:ind w:firstLine="0"/>
        <w:jc w:val="center"/>
        <w:rPr>
          <w:rFonts w:ascii="Arial" w:eastAsia="Times New Roman" w:hAnsi="Arial" w:cs="Arial"/>
          <w:b/>
          <w:i/>
          <w:szCs w:val="28"/>
          <w:lang w:val="uk-UA" w:eastAsia="ru-RU"/>
        </w:rPr>
      </w:pPr>
      <w:bookmarkStart w:id="196" w:name="_hkw77790ttu5" w:colFirst="0" w:colLast="0"/>
      <w:bookmarkEnd w:id="196"/>
      <w:r w:rsidRPr="00511005">
        <w:rPr>
          <w:rFonts w:ascii="Arial" w:eastAsia="Times New Roman" w:hAnsi="Arial" w:cs="Arial"/>
          <w:b/>
          <w:i/>
          <w:szCs w:val="28"/>
          <w:lang w:val="uk-UA" w:eastAsia="ru-RU"/>
        </w:rPr>
        <w:t>Кондратюк Софія Олексіївна</w:t>
      </w:r>
    </w:p>
    <w:p w14:paraId="562DF003" w14:textId="04C27F5D" w:rsidR="003476F8"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r w:rsidR="003476F8"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3B5D7EA7"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p>
    <w:p w14:paraId="0CD0A529" w14:textId="77777777" w:rsidR="003476F8" w:rsidRPr="00511005" w:rsidRDefault="003476F8"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ОСОБЛИВОСТІ ПРАВОВОГО РЕГУЛЮВАННЯ ПРАЦІ ЖІНОК В УМОВАХ ВОЄННОГО СТАНУ</w:t>
      </w:r>
    </w:p>
    <w:p w14:paraId="3B5CDD3A"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 xml:space="preserve">Реалії воєнного стану, запровадженого в Україні з 24 лютого 2022 року, обумовили необхідність глибокої трансформації трудових правовідносин з метою забезпечення безперервності функціонування критично важливих секторів економіки та зміцнення обороноздатності держави. У зазначених умовах постало питання переосмислення співвідношення між конституційно гарантованими трудовими правами громадян, зокрема жінок, та потребами воєнного часу. </w:t>
      </w:r>
      <w:r w:rsidRPr="00511005">
        <w:rPr>
          <w:rFonts w:ascii="Arial" w:eastAsia="Times New Roman" w:hAnsi="Arial" w:cs="Arial"/>
          <w:szCs w:val="28"/>
          <w:lang w:val="uk-UA" w:eastAsia="ru-RU"/>
        </w:rPr>
        <w:tab/>
      </w:r>
    </w:p>
    <w:p w14:paraId="749FD0E9" w14:textId="3BC5E230"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Дослідженню питань правового регулювання праці жінок приділяли увагу такі науковці як Я.В. Свічкарьова, А.І. Вертухова, Т.В. Омельченко,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О.В. Пожарова, В.І. Прокопенко, М.О. Руднєва, Ф.А. Цесарський та багато інших. </w:t>
      </w:r>
    </w:p>
    <w:p w14:paraId="321E687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 xml:space="preserve">Згідно зі ст. 64 Конституції України, в умовах воєнного або надзвичайного стану можуть встановлюватися окремі обмеження прав і </w:t>
      </w:r>
      <w:r w:rsidRPr="00511005">
        <w:rPr>
          <w:rFonts w:ascii="Arial" w:eastAsia="Times New Roman" w:hAnsi="Arial" w:cs="Arial"/>
          <w:szCs w:val="28"/>
          <w:lang w:val="uk-UA" w:eastAsia="ru-RU"/>
        </w:rPr>
        <w:lastRenderedPageBreak/>
        <w:t>свобод людини і громадянина. На цій підставі держава тимчасово обмежує низку трудових прав, гарантованих Конституцією, зокрема ті, що закріплені у статтях 41–44, які регулюють право на працю, належні умови праці, захист від незаконного звільнення та право на страйк [1].</w:t>
      </w:r>
    </w:p>
    <w:p w14:paraId="539B6856" w14:textId="77777777" w:rsidR="003476F8" w:rsidRPr="00511005" w:rsidRDefault="003476F8" w:rsidP="003A292D">
      <w:pPr>
        <w:pBdr>
          <w:top w:val="nil"/>
          <w:left w:val="nil"/>
          <w:bottom w:val="nil"/>
          <w:right w:val="nil"/>
          <w:between w:val="nil"/>
        </w:pBd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В межах правового режиму воєнного стану набрав чинності Закон № 2136-IX, який передбачив значне розширення можливостей роботодавця щодо залучення жінок до праці. Відповідно до ч. 1 ст. 9 цього Закону «у період дії воєнного стану дозволяється застосування праці жінок (крім вагітних жінок і жінок, які мають дитину віком до одного року) за їхньою згодою на важких роботах і на роботах із шкідливими, або небезпечними умовами праці, а також на підземних роботах» [2]. З одного боку, це положення створює гнучкі механізми залучення додаткових трудових ресурсів у критично важливих галузях, з іншого — формує потенційні загрози недобровільного залучення жінок до роботи в умовах, які можуть завдавати шкоди їхньому здоров’ю та суперечити раніше встановленим соціальним стандартам. Одночасно норми, що втратили свою дію на час воєнного стану, зокрема ст. 174 КЗпП України, яка закріплювала заборону на залучення жінок до праці зі шкідливими або небезпечними умовами, а також до підземних робіт, що було результатом реалізації принципу особливої правової охорони праці жінок у трудовому законодавстві [3]. Скасування дії цієї норми в умовах війни відображає правову дилему між потребами забезпечення життєдіяльності держави та збереженням трудових прав громадян, які належать до соціально вразливих груп. При цьому, незважаючи на згоду жінки, у реальних соціально-економічних умовах така згода досить часто має формальний характер і може бути наслідком відсутності альтернатив або тиску з боку роботодавця.</w:t>
      </w:r>
    </w:p>
    <w:p w14:paraId="0BFE9EC9" w14:textId="77777777" w:rsidR="003476F8" w:rsidRPr="00511005" w:rsidRDefault="003476F8" w:rsidP="003A292D">
      <w:pPr>
        <w:pBdr>
          <w:top w:val="nil"/>
          <w:left w:val="nil"/>
          <w:bottom w:val="nil"/>
          <w:right w:val="nil"/>
          <w:between w:val="nil"/>
        </w:pBd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 xml:space="preserve">Тому, є пропозиція доповнити статтю 9 Закону № 2136-IX положенням про обов’язкову письмову згоду жінки, яка має бути підтверджена консультацією з представником профспілки або органом місцевої влади та встановити адміністративну відповідальність роботодавців за примус до виконання таких робіт. </w:t>
      </w:r>
    </w:p>
    <w:p w14:paraId="421E3BF1" w14:textId="1DD9515E" w:rsidR="003476F8" w:rsidRPr="00511005" w:rsidRDefault="003476F8" w:rsidP="003A292D">
      <w:pPr>
        <w:pBdr>
          <w:top w:val="nil"/>
          <w:left w:val="nil"/>
          <w:bottom w:val="nil"/>
          <w:right w:val="nil"/>
          <w:between w:val="nil"/>
        </w:pBd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Водночас, відповідно до положень статей 176 та 184 КЗпП, у мирний період держава забезпечує підвищений рівень правового захисту праці жінок, що виражається, зокрема, у забороні залучення вагітних жінок та жінок, які мають дітей віком до трьох років, до роботи у нічний час, а також у встановленні спеціальних гарантій щодо неможливості їх звільнення з ініціативи роботодавця [3]. О.В. Пожарова, Ю.В. Пожаров наголошували, що н</w:t>
      </w:r>
      <w:r w:rsidRPr="00511005">
        <w:rPr>
          <w:rFonts w:ascii="Arial" w:eastAsia="Calibri" w:hAnsi="Arial" w:cs="Arial"/>
          <w:szCs w:val="28"/>
          <w:lang w:val="uk-UA" w:eastAsia="ru-RU"/>
        </w:rPr>
        <w:t>а відміну від зарубіжних країн в Україні продовжують діяти спеціальні норми з охорони праці</w:t>
      </w:r>
      <w:r w:rsidR="007B2628" w:rsidRPr="00511005">
        <w:rPr>
          <w:rFonts w:ascii="Arial" w:eastAsia="Calibri" w:hAnsi="Arial" w:cs="Arial"/>
          <w:szCs w:val="28"/>
          <w:lang w:val="uk-UA" w:eastAsia="ru-RU"/>
        </w:rPr>
        <w:t xml:space="preserve"> </w:t>
      </w:r>
      <w:r w:rsidRPr="00511005">
        <w:rPr>
          <w:rFonts w:ascii="Arial" w:eastAsia="Calibri" w:hAnsi="Arial" w:cs="Arial"/>
          <w:szCs w:val="28"/>
          <w:lang w:val="uk-UA" w:eastAsia="ru-RU"/>
        </w:rPr>
        <w:t xml:space="preserve">жінок </w:t>
      </w:r>
      <w:r w:rsidRPr="00511005">
        <w:rPr>
          <w:rFonts w:ascii="Arial" w:eastAsia="Times New Roman" w:hAnsi="Arial" w:cs="Arial"/>
          <w:szCs w:val="28"/>
          <w:lang w:val="uk-UA" w:eastAsia="ru-RU"/>
        </w:rPr>
        <w:t>[4, с.76]</w:t>
      </w:r>
      <w:r w:rsidRPr="00511005">
        <w:rPr>
          <w:rFonts w:ascii="Arial" w:eastAsia="Calibri" w:hAnsi="Arial" w:cs="Arial"/>
          <w:szCs w:val="28"/>
          <w:lang w:val="uk-UA" w:eastAsia="ru-RU"/>
        </w:rPr>
        <w:t xml:space="preserve">. </w:t>
      </w:r>
      <w:r w:rsidRPr="00511005">
        <w:rPr>
          <w:rFonts w:ascii="Arial" w:eastAsia="Times New Roman" w:hAnsi="Arial" w:cs="Arial"/>
          <w:szCs w:val="28"/>
          <w:lang w:val="uk-UA" w:eastAsia="ru-RU"/>
        </w:rPr>
        <w:t>Однак із запровадженням воєнного стану й прийняттям Закону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 2136-IX передбачена можливість звільнення жінок, які належать до соціально вразливих категорій (у тому числі вагітних, матерів малолітніх дітей, одиноких матерів тощо), у випадку повної ліквідації </w:t>
      </w:r>
      <w:r w:rsidRPr="00511005">
        <w:rPr>
          <w:rFonts w:ascii="Arial" w:eastAsia="Times New Roman" w:hAnsi="Arial" w:cs="Arial"/>
          <w:szCs w:val="28"/>
          <w:lang w:val="uk-UA" w:eastAsia="ru-RU"/>
        </w:rPr>
        <w:lastRenderedPageBreak/>
        <w:t>підприємства [2]. Водночас законодавець передбачив зобов’язання щодо обов’язкового працевлаштування таких осіб, а також гарантію збереження середньої заробітної плати за ними на строк не більше трьох місяців з моменту припинення трудових відносин.</w:t>
      </w:r>
    </w:p>
    <w:p w14:paraId="1CEE6BDD" w14:textId="77777777" w:rsidR="003476F8" w:rsidRPr="00511005" w:rsidRDefault="003476F8" w:rsidP="003A292D">
      <w:pPr>
        <w:pBdr>
          <w:top w:val="nil"/>
          <w:left w:val="nil"/>
          <w:bottom w:val="nil"/>
          <w:right w:val="nil"/>
          <w:between w:val="nil"/>
        </w:pBd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Дана норма з одного боку, враховує виняткові потреби держави в умовах воєнної загрози, а з іншого — викликає занепокоєння з точки зору практичної реалізації механізму «обов’язкового працевлаштування», адже в умовах руйнування економіки, масового переміщення підприємств та обмеженого ринку праці таке зобов’язання ризикує залишитися формальним.</w:t>
      </w:r>
    </w:p>
    <w:p w14:paraId="01ACB290"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Застосування відповідних норм на практиці супроводжується низкою ускладнень у визначенні статусу одинокої матері, оскільки відповідна дефініція відсутня у чинному законодавстві. Так, стаття 184 КЗпП України містить важливі соціальні гарантії щодо заборони звільнення жінок, які мають статус одинокої матері, проте критерії такого статусу закріплено виключно у постанові Пленуму Верховного Суду України від 06.11.1992 р. № 9 [5]. Згідно з п. 9 цієї постанови, одинокою матір’ю визнається жінка, яка не перебуває у шлюбі й у свідоцтві про народження дитини якої відсутній запис про батька або зроблено запис на підставі заяви матері, а також вдова або інша жінка, яка самостійно виховує та утримує дитину.</w:t>
      </w:r>
    </w:p>
    <w:p w14:paraId="594AF768"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Таке тлумачення, хоч і застосовується на практиці, але не має належної нормативної сили, що ускладнює доведення наявності відповідного статусу в судових спорах або під час вирішення трудових конфліктів. Крім того, у ситуації, коли механізм підтвердження статусу одинокої матері відсутній або є суперечливим, жінки можуть бути позбавлені належного захисту від звільнення чи переведення на несприятливі умови праці. На мою думку, це створює небезпеку порушення принципів правової визначеності та рівності у сфері трудових правовідносин, особливо в умовах обмежених правових гарантій, викликаних воєнним станом.</w:t>
      </w:r>
    </w:p>
    <w:p w14:paraId="2C023A5C"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r>
      <w:r w:rsidRPr="00511005">
        <w:rPr>
          <w:rFonts w:ascii="Arial" w:eastAsia="Times New Roman" w:hAnsi="Arial" w:cs="Arial"/>
          <w:b/>
          <w:szCs w:val="28"/>
          <w:lang w:val="uk-UA" w:eastAsia="ru-RU"/>
        </w:rPr>
        <w:t xml:space="preserve">Висновок. </w:t>
      </w:r>
      <w:r w:rsidRPr="00511005">
        <w:rPr>
          <w:rFonts w:ascii="Arial" w:eastAsia="Times New Roman" w:hAnsi="Arial" w:cs="Arial"/>
          <w:szCs w:val="28"/>
          <w:lang w:val="uk-UA" w:eastAsia="ru-RU"/>
        </w:rPr>
        <w:t>Правовий режим воєнного стану, запроваджений в Україні, істотно трансформував механізми реалізації трудових прав, зокрема щодо праці жінок. Законодавчі зміни, втілені, зокрема, у Законі № 2136-IX, вказують на прагнення держави забезпечити гнучкість трудових відносин в умовах надзвичайної ситуації. Проте такі нововведення, хоч і відповідають вимогам воєнного часу, але повинні враховувати як потреби державної безпеки, так і необхідність збереження принципів правової визначеності, соціального захисту, гендерної рівності та недопущення дискримінації. Вдосконалення законодавства має грунтуватися на балансі між цими категоріями та бути орієнтованим на практичну реалізацію прав людини навіть в умовах надзвичайних обставин.</w:t>
      </w:r>
    </w:p>
    <w:p w14:paraId="6C85A347" w14:textId="68FB5E3D" w:rsidR="003476F8" w:rsidRPr="00511005" w:rsidRDefault="007B2628" w:rsidP="007B2628">
      <w:pPr>
        <w:keepNext/>
        <w:widowControl w:val="0"/>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5DD5BC0C" w14:textId="77777777" w:rsidR="003476F8" w:rsidRPr="00511005" w:rsidRDefault="003476F8" w:rsidP="003A292D">
      <w:pPr>
        <w:keepNext/>
        <w:widowControl w:val="0"/>
        <w:pBdr>
          <w:top w:val="nil"/>
          <w:left w:val="nil"/>
          <w:bottom w:val="nil"/>
          <w:right w:val="nil"/>
          <w:between w:val="nil"/>
        </w:pBd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 Конституція України: прийнята на п’ятій сесії Верховної ради України </w:t>
      </w:r>
      <w:r w:rsidRPr="00511005">
        <w:rPr>
          <w:rFonts w:ascii="Arial" w:eastAsia="Times New Roman" w:hAnsi="Arial" w:cs="Arial"/>
          <w:szCs w:val="28"/>
          <w:lang w:val="uk-UA" w:eastAsia="ru-RU"/>
        </w:rPr>
        <w:lastRenderedPageBreak/>
        <w:t xml:space="preserve">28.06.1996 р. № 254к/96-ВР. Відомості Верховної Ради України (ВВР). 1996. № 30. Ст. 141. URL: </w:t>
      </w:r>
      <w:hyperlink r:id="rId1681" w:history="1">
        <w:r w:rsidRPr="00511005">
          <w:rPr>
            <w:rFonts w:ascii="Arial" w:eastAsia="Times New Roman" w:hAnsi="Arial" w:cs="Arial"/>
            <w:szCs w:val="28"/>
            <w:lang w:val="uk-UA" w:eastAsia="ru-RU"/>
          </w:rPr>
          <w:t>https://zakon.rada.gov.ua/laws/show/254к/96-вр#Text</w:t>
        </w:r>
      </w:hyperlink>
      <w:r w:rsidRPr="00511005">
        <w:rPr>
          <w:rFonts w:ascii="Arial" w:eastAsia="Times New Roman" w:hAnsi="Arial" w:cs="Arial"/>
          <w:szCs w:val="28"/>
          <w:lang w:val="uk-UA" w:eastAsia="ru-RU"/>
        </w:rPr>
        <w:t xml:space="preserve"> (дата звернення: 07.05.2025)</w:t>
      </w:r>
    </w:p>
    <w:p w14:paraId="6B9C0FDE" w14:textId="77777777" w:rsidR="003476F8" w:rsidRPr="00511005" w:rsidRDefault="003476F8" w:rsidP="003A292D">
      <w:pPr>
        <w:spacing w:line="264" w:lineRule="auto"/>
        <w:contextualSpacing/>
        <w:rPr>
          <w:rFonts w:ascii="Arial" w:eastAsia="Calibri" w:hAnsi="Arial" w:cs="Arial"/>
          <w:bCs/>
          <w:szCs w:val="28"/>
          <w:lang w:val="uk-UA"/>
        </w:rPr>
      </w:pPr>
      <w:r w:rsidRPr="00511005">
        <w:rPr>
          <w:rFonts w:ascii="Arial" w:eastAsia="Times New Roman" w:hAnsi="Arial" w:cs="Arial"/>
          <w:szCs w:val="28"/>
          <w:lang w:val="uk-UA"/>
        </w:rPr>
        <w:t xml:space="preserve">2. </w:t>
      </w:r>
      <w:r w:rsidRPr="00511005">
        <w:rPr>
          <w:rFonts w:ascii="Arial" w:eastAsia="Calibri" w:hAnsi="Arial" w:cs="Arial"/>
          <w:szCs w:val="28"/>
          <w:lang w:val="uk-UA"/>
        </w:rPr>
        <w:t xml:space="preserve">Про організацію трудових відносин в умовах воєнного стану: Закон України від 15.03.2022 р. № 2136-IX. URL: </w:t>
      </w:r>
      <w:hyperlink r:id="rId1682" w:history="1">
        <w:r w:rsidRPr="00511005">
          <w:rPr>
            <w:rFonts w:ascii="Arial" w:eastAsia="Calibri" w:hAnsi="Arial" w:cs="Arial"/>
            <w:szCs w:val="28"/>
            <w:lang w:val="uk-UA"/>
          </w:rPr>
          <w:t>https://zakon.rada.gov.ua/laws/show/2136- 20#Text</w:t>
        </w:r>
      </w:hyperlink>
      <w:r w:rsidRPr="00511005">
        <w:rPr>
          <w:rFonts w:ascii="Arial" w:eastAsia="Calibri" w:hAnsi="Arial" w:cs="Arial"/>
          <w:szCs w:val="28"/>
          <w:lang w:val="uk-UA"/>
        </w:rPr>
        <w:t xml:space="preserve"> (дата звернення: 07.05.2025).</w:t>
      </w:r>
    </w:p>
    <w:p w14:paraId="5D19ACFC" w14:textId="77777777" w:rsidR="003476F8" w:rsidRPr="00511005" w:rsidRDefault="003476F8" w:rsidP="003A292D">
      <w:pPr>
        <w:spacing w:line="264" w:lineRule="auto"/>
        <w:contextualSpacing/>
        <w:rPr>
          <w:rFonts w:ascii="Arial" w:eastAsia="Calibri" w:hAnsi="Arial" w:cs="Arial"/>
          <w:bCs/>
          <w:szCs w:val="28"/>
          <w:lang w:val="uk-UA"/>
        </w:rPr>
      </w:pPr>
      <w:r w:rsidRPr="00511005">
        <w:rPr>
          <w:rFonts w:ascii="Arial" w:eastAsia="Times New Roman" w:hAnsi="Arial" w:cs="Arial"/>
          <w:szCs w:val="28"/>
          <w:lang w:val="uk-UA"/>
        </w:rPr>
        <w:t xml:space="preserve">3. </w:t>
      </w:r>
      <w:r w:rsidRPr="00511005">
        <w:rPr>
          <w:rFonts w:ascii="Arial" w:eastAsia="Calibri" w:hAnsi="Arial" w:cs="Arial"/>
          <w:szCs w:val="28"/>
          <w:lang w:val="uk-UA"/>
        </w:rPr>
        <w:t xml:space="preserve">Кодекс законів про працю України від 10.12.1971 р. № 322-VIII. Відомості Верховної Ради УРСР. 1971. Дод. до № 50. Ст. 375. URL: </w:t>
      </w:r>
      <w:hyperlink r:id="rId1683" w:history="1">
        <w:r w:rsidRPr="00511005">
          <w:rPr>
            <w:rFonts w:ascii="Arial" w:eastAsia="Calibri" w:hAnsi="Arial" w:cs="Arial"/>
            <w:szCs w:val="28"/>
            <w:lang w:val="uk-UA"/>
          </w:rPr>
          <w:t>https://zakon.rada.gov.ua/laws/show/322-08</w:t>
        </w:r>
      </w:hyperlink>
      <w:r w:rsidRPr="00511005">
        <w:rPr>
          <w:rFonts w:ascii="Arial" w:eastAsia="Calibri" w:hAnsi="Arial" w:cs="Arial"/>
          <w:szCs w:val="28"/>
          <w:lang w:val="uk-UA"/>
        </w:rPr>
        <w:t xml:space="preserve"> (дата звернення: 07.05.2025).</w:t>
      </w:r>
    </w:p>
    <w:p w14:paraId="3D0E2AC5" w14:textId="77777777" w:rsidR="003476F8" w:rsidRPr="00511005" w:rsidRDefault="003476F8" w:rsidP="003A292D">
      <w:pPr>
        <w:spacing w:line="264" w:lineRule="auto"/>
        <w:contextualSpacing/>
        <w:rPr>
          <w:rFonts w:ascii="Arial" w:eastAsia="Calibri" w:hAnsi="Arial" w:cs="Arial"/>
          <w:bCs/>
          <w:szCs w:val="28"/>
        </w:rPr>
      </w:pPr>
      <w:r w:rsidRPr="00511005">
        <w:rPr>
          <w:rFonts w:ascii="Arial" w:eastAsia="Calibri" w:hAnsi="Arial" w:cs="Arial"/>
          <w:bCs/>
          <w:szCs w:val="28"/>
        </w:rPr>
        <w:t xml:space="preserve">4. </w:t>
      </w:r>
      <w:r w:rsidRPr="00511005">
        <w:rPr>
          <w:rFonts w:ascii="Arial" w:eastAsia="Calibri" w:hAnsi="Arial" w:cs="Arial"/>
          <w:szCs w:val="28"/>
          <w:shd w:val="clear" w:color="auto" w:fill="FFFFFF"/>
          <w:lang w:val="uk-UA"/>
        </w:rPr>
        <w:t xml:space="preserve">Пожарова О.В. Пожаров Ю.В. Правове регулювання охорони праці жінок в Україні. </w:t>
      </w:r>
      <w:r w:rsidRPr="00511005">
        <w:rPr>
          <w:rFonts w:ascii="Arial" w:eastAsia="Calibri" w:hAnsi="Arial" w:cs="Arial"/>
          <w:i/>
          <w:szCs w:val="28"/>
          <w:lang w:val="uk-UA"/>
        </w:rPr>
        <w:t>Науковий вісник Міжнародного гуманітарного університету.</w:t>
      </w:r>
      <w:r w:rsidRPr="00511005">
        <w:rPr>
          <w:rFonts w:ascii="Arial" w:eastAsia="Calibri" w:hAnsi="Arial" w:cs="Arial"/>
          <w:szCs w:val="28"/>
          <w:lang w:val="uk-UA"/>
        </w:rPr>
        <w:t xml:space="preserve"> Сер.: Юриспруденція. Науковий збірник. 2021. № 53. Одесса: </w:t>
      </w:r>
      <w:r w:rsidRPr="00511005">
        <w:rPr>
          <w:rFonts w:ascii="Arial" w:eastAsia="TimesNewRomanPSMT" w:hAnsi="Arial" w:cs="Arial"/>
          <w:szCs w:val="28"/>
          <w:lang w:val="uk-UA"/>
        </w:rPr>
        <w:t>Видавничий дім «Гельветика»</w:t>
      </w:r>
      <w:r w:rsidRPr="00511005">
        <w:rPr>
          <w:rFonts w:ascii="Arial" w:eastAsia="Calibri" w:hAnsi="Arial" w:cs="Arial"/>
          <w:szCs w:val="28"/>
          <w:lang w:val="uk-UA"/>
        </w:rPr>
        <w:t>, 2021.</w:t>
      </w:r>
      <w:r w:rsidRPr="00511005">
        <w:rPr>
          <w:rFonts w:ascii="Arial" w:eastAsia="Calibri" w:hAnsi="Arial" w:cs="Arial"/>
          <w:szCs w:val="28"/>
        </w:rPr>
        <w:t xml:space="preserve"> </w:t>
      </w:r>
      <w:r w:rsidRPr="00511005">
        <w:rPr>
          <w:rFonts w:ascii="Arial" w:eastAsia="Calibri" w:hAnsi="Arial" w:cs="Arial"/>
          <w:szCs w:val="28"/>
          <w:lang w:val="uk-UA"/>
        </w:rPr>
        <w:t>С. 74-77</w:t>
      </w:r>
      <w:r w:rsidRPr="00511005">
        <w:rPr>
          <w:rFonts w:ascii="Arial" w:eastAsia="Calibri" w:hAnsi="Arial" w:cs="Arial"/>
          <w:szCs w:val="28"/>
        </w:rPr>
        <w:t>.</w:t>
      </w:r>
      <w:r w:rsidRPr="00511005">
        <w:rPr>
          <w:rFonts w:ascii="Arial" w:eastAsia="Calibri" w:hAnsi="Arial" w:cs="Arial"/>
          <w:szCs w:val="28"/>
          <w:lang w:val="uk-UA"/>
        </w:rPr>
        <w:t xml:space="preserve"> URL: </w:t>
      </w:r>
      <w:hyperlink r:id="rId1684" w:history="1">
        <w:r w:rsidRPr="00511005">
          <w:rPr>
            <w:rFonts w:ascii="Arial" w:eastAsia="Calibri" w:hAnsi="Arial" w:cs="Arial"/>
            <w:szCs w:val="28"/>
            <w:lang w:val="uk-UA"/>
          </w:rPr>
          <w:t>http://www.vestnik-pravo.mgu.od.ua/archive/juspradenc53/15.pdf</w:t>
        </w:r>
      </w:hyperlink>
      <w:r w:rsidRPr="00511005">
        <w:rPr>
          <w:rFonts w:ascii="Arial" w:eastAsia="Calibri" w:hAnsi="Arial" w:cs="Arial"/>
          <w:szCs w:val="28"/>
        </w:rPr>
        <w:t xml:space="preserve"> </w:t>
      </w:r>
      <w:r w:rsidRPr="00511005">
        <w:rPr>
          <w:rFonts w:ascii="Arial" w:eastAsia="Calibri" w:hAnsi="Arial" w:cs="Arial"/>
          <w:szCs w:val="28"/>
          <w:lang w:val="uk-UA"/>
        </w:rPr>
        <w:t>(дата звернення: 07.05.2025).</w:t>
      </w:r>
    </w:p>
    <w:p w14:paraId="638B9EA2" w14:textId="77777777" w:rsidR="003476F8" w:rsidRPr="00511005" w:rsidRDefault="003476F8" w:rsidP="003A292D">
      <w:pPr>
        <w:keepNext/>
        <w:widowControl w:val="0"/>
        <w:pBdr>
          <w:top w:val="nil"/>
          <w:left w:val="nil"/>
          <w:bottom w:val="nil"/>
          <w:right w:val="nil"/>
          <w:between w:val="nil"/>
        </w:pBdr>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5. </w:t>
      </w:r>
      <w:r w:rsidRPr="00511005">
        <w:rPr>
          <w:rFonts w:ascii="Arial" w:eastAsia="Times New Roman" w:hAnsi="Arial" w:cs="Arial"/>
          <w:szCs w:val="28"/>
          <w:lang w:val="uk-UA" w:eastAsia="ru-RU"/>
        </w:rPr>
        <w:t xml:space="preserve">Про практику розгляду судами трудових спорів: Постанова Пленуму Верховного Суду України від 6 листопада 1992 року № 9. </w:t>
      </w:r>
      <w:r w:rsidRPr="00511005">
        <w:rPr>
          <w:rFonts w:ascii="Arial" w:eastAsia="Times New Roman" w:hAnsi="Arial" w:cs="Arial"/>
          <w:i/>
          <w:szCs w:val="28"/>
          <w:lang w:val="uk-UA" w:eastAsia="ru-RU"/>
        </w:rPr>
        <w:t xml:space="preserve">Вісник Верховного Суду України. </w:t>
      </w:r>
      <w:r w:rsidRPr="00511005">
        <w:rPr>
          <w:rFonts w:ascii="Arial" w:eastAsia="Times New Roman" w:hAnsi="Arial" w:cs="Arial"/>
          <w:szCs w:val="28"/>
          <w:lang w:val="uk-UA" w:eastAsia="ru-RU"/>
        </w:rPr>
        <w:t xml:space="preserve">1992. № 6. </w:t>
      </w:r>
    </w:p>
    <w:p w14:paraId="7E51893C" w14:textId="77777777" w:rsidR="003476F8" w:rsidRPr="00511005" w:rsidRDefault="003476F8" w:rsidP="003A292D">
      <w:pPr>
        <w:pBdr>
          <w:top w:val="nil"/>
          <w:left w:val="nil"/>
          <w:bottom w:val="nil"/>
          <w:right w:val="nil"/>
          <w:between w:val="nil"/>
        </w:pBdr>
        <w:spacing w:line="264" w:lineRule="auto"/>
        <w:rPr>
          <w:rFonts w:ascii="Arial" w:eastAsia="Times New Roman" w:hAnsi="Arial" w:cs="Arial"/>
          <w:b/>
          <w:i/>
          <w:szCs w:val="28"/>
          <w:lang w:val="uk-UA" w:eastAsia="ru-RU"/>
        </w:rPr>
      </w:pPr>
    </w:p>
    <w:p w14:paraId="190AC194" w14:textId="05954A20" w:rsidR="003476F8" w:rsidRPr="00511005" w:rsidRDefault="007B2628" w:rsidP="003A292D">
      <w:pPr>
        <w:pBdr>
          <w:top w:val="nil"/>
          <w:left w:val="nil"/>
          <w:bottom w:val="nil"/>
          <w:right w:val="nil"/>
          <w:between w:val="nil"/>
        </w:pBd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i/>
          <w:szCs w:val="28"/>
          <w:lang w:val="uk-UA" w:eastAsia="ru-RU"/>
        </w:rPr>
        <w:t xml:space="preserve">воєнний стан, трудові правовідносини, небезпечні умови праці, письмова згода, ліквідація підприємства, звільнення, правова визначеність, жінки, охорона праці, законодавство, </w:t>
      </w:r>
    </w:p>
    <w:p w14:paraId="4CB10B21" w14:textId="6E1AAE93" w:rsidR="003476F8" w:rsidRPr="00511005" w:rsidRDefault="007B2628" w:rsidP="003A292D">
      <w:pPr>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Key words: </w:t>
      </w:r>
      <w:r w:rsidR="003476F8" w:rsidRPr="00511005">
        <w:rPr>
          <w:rFonts w:ascii="Arial" w:eastAsia="Times New Roman" w:hAnsi="Arial" w:cs="Arial"/>
          <w:i/>
          <w:szCs w:val="28"/>
          <w:lang w:val="uk-UA" w:eastAsia="ru-RU"/>
        </w:rPr>
        <w:t>martial law, labour relations, dangerous working conditions, written consent, liquidation of the enterprise, dismissal, legal certainty, women, labour protection, legislation.</w:t>
      </w:r>
    </w:p>
    <w:p w14:paraId="3F04CBF4" w14:textId="4C2F78AA" w:rsidR="003476F8" w:rsidRPr="00511005" w:rsidRDefault="007B2628" w:rsidP="003A292D">
      <w:pPr>
        <w:spacing w:line="264" w:lineRule="auto"/>
        <w:rPr>
          <w:rFonts w:ascii="Arial" w:eastAsia="Times New Roman" w:hAnsi="Arial" w:cs="Arial"/>
          <w:b/>
          <w:i/>
          <w:szCs w:val="28"/>
          <w:lang w:val="uk-UA" w:eastAsia="ru-RU"/>
        </w:rPr>
      </w:pPr>
      <w:r w:rsidRPr="00511005">
        <w:rPr>
          <w:rFonts w:ascii="Arial" w:eastAsia="Times New Roman" w:hAnsi="Arial" w:cs="Arial"/>
          <w:b/>
          <w:i/>
          <w:szCs w:val="28"/>
          <w:lang w:val="uk-UA" w:eastAsia="ru-RU"/>
        </w:rPr>
        <w:t xml:space="preserve">Науковий керівник: </w:t>
      </w:r>
      <w:r w:rsidR="003476F8" w:rsidRPr="00511005">
        <w:rPr>
          <w:rFonts w:ascii="Arial" w:eastAsia="Times New Roman" w:hAnsi="Arial" w:cs="Arial"/>
          <w:i/>
          <w:szCs w:val="28"/>
          <w:lang w:val="uk-UA" w:eastAsia="ru-RU"/>
        </w:rPr>
        <w:t>к.ю.н., доцент Пожарова О.В</w:t>
      </w:r>
      <w:r w:rsidR="00A54AC2">
        <w:rPr>
          <w:rFonts w:ascii="Arial" w:eastAsia="Times New Roman" w:hAnsi="Arial" w:cs="Arial"/>
          <w:i/>
          <w:szCs w:val="28"/>
          <w:lang w:val="uk-UA" w:eastAsia="ru-RU"/>
        </w:rPr>
        <w:t>.</w:t>
      </w:r>
    </w:p>
    <w:p w14:paraId="361116C0" w14:textId="77777777" w:rsidR="003476F8" w:rsidRPr="00511005" w:rsidRDefault="003476F8" w:rsidP="003A292D">
      <w:pPr>
        <w:keepNext/>
        <w:spacing w:line="264" w:lineRule="auto"/>
        <w:ind w:firstLine="567"/>
        <w:rPr>
          <w:rFonts w:ascii="Arial" w:eastAsia="Calibri" w:hAnsi="Arial" w:cs="Arial"/>
          <w:bCs/>
          <w:i/>
          <w:iCs/>
          <w:szCs w:val="28"/>
          <w:lang w:val="uk-UA"/>
        </w:rPr>
      </w:pPr>
    </w:p>
    <w:p w14:paraId="27D556DE" w14:textId="77777777" w:rsidR="003476F8" w:rsidRPr="00511005" w:rsidRDefault="003476F8" w:rsidP="003A292D">
      <w:pPr>
        <w:spacing w:line="264" w:lineRule="auto"/>
        <w:ind w:firstLine="0"/>
        <w:jc w:val="left"/>
        <w:rPr>
          <w:rFonts w:ascii="Arial" w:eastAsia="Calibri" w:hAnsi="Arial" w:cs="Arial"/>
          <w:szCs w:val="28"/>
        </w:rPr>
      </w:pPr>
    </w:p>
    <w:p w14:paraId="3E725944" w14:textId="77777777" w:rsidR="003476F8" w:rsidRPr="00511005" w:rsidRDefault="003476F8" w:rsidP="003A292D">
      <w:pPr>
        <w:keepNext/>
        <w:spacing w:line="264" w:lineRule="auto"/>
        <w:ind w:firstLine="0"/>
        <w:contextualSpacing/>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Костенко Олександр Сергійович</w:t>
      </w:r>
      <w:r w:rsidRPr="00511005">
        <w:rPr>
          <w:rFonts w:ascii="Arial" w:eastAsia="Times New Roman" w:hAnsi="Arial" w:cs="Arial"/>
          <w:b/>
          <w:i/>
          <w:szCs w:val="28"/>
          <w:lang w:val="" w:eastAsia="ru-RU"/>
        </w:rPr>
        <w:t xml:space="preserve">, </w:t>
      </w:r>
      <w:r w:rsidRPr="00511005">
        <w:rPr>
          <w:rFonts w:ascii="Arial" w:eastAsia="Times New Roman" w:hAnsi="Arial" w:cs="Arial"/>
          <w:b/>
          <w:i/>
          <w:szCs w:val="28"/>
          <w:lang w:val="uk-UA" w:eastAsia="ru-RU"/>
        </w:rPr>
        <w:t>Яцканич Владислав Вікторович</w:t>
      </w:r>
    </w:p>
    <w:p w14:paraId="43D75EA5" w14:textId="06F72E68" w:rsidR="003476F8" w:rsidRPr="00511005" w:rsidRDefault="003476F8" w:rsidP="003A292D">
      <w:pPr>
        <w:spacing w:line="264" w:lineRule="auto"/>
        <w:ind w:firstLine="0"/>
        <w:contextualSpacing/>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студенти 2-го курсу факультету цивільної та господарської </w:t>
      </w:r>
      <w:r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3856AAB8" w14:textId="77777777" w:rsidR="003476F8" w:rsidRPr="00511005" w:rsidRDefault="003476F8" w:rsidP="003A292D">
      <w:pPr>
        <w:spacing w:line="264" w:lineRule="auto"/>
        <w:ind w:firstLine="0"/>
        <w:contextualSpacing/>
        <w:jc w:val="left"/>
        <w:rPr>
          <w:rFonts w:ascii="Arial" w:eastAsia="Times New Roman" w:hAnsi="Arial" w:cs="Arial"/>
          <w:szCs w:val="28"/>
          <w:lang w:val="uk-UA" w:eastAsia="ru-RU"/>
        </w:rPr>
      </w:pPr>
    </w:p>
    <w:p w14:paraId="6FE03952" w14:textId="77777777" w:rsidR="003476F8" w:rsidRPr="00511005" w:rsidRDefault="003476F8" w:rsidP="003A292D">
      <w:pPr>
        <w:keepNext/>
        <w:widowControl w:val="0"/>
        <w:spacing w:line="264" w:lineRule="auto"/>
        <w:ind w:firstLine="0"/>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 xml:space="preserve">ПРАВОВІ АСПЕКТИ РЕГУЛЮВАННЯ </w:t>
      </w:r>
    </w:p>
    <w:p w14:paraId="0803EEE3" w14:textId="77777777" w:rsidR="003476F8" w:rsidRPr="00511005" w:rsidRDefault="003476F8" w:rsidP="003A292D">
      <w:pPr>
        <w:keepNext/>
        <w:widowControl w:val="0"/>
        <w:spacing w:line="264" w:lineRule="auto"/>
        <w:ind w:firstLine="0"/>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ДИСТАНЦІЙНОЇ РОБОТИ В УКРАЇНИ</w:t>
      </w:r>
    </w:p>
    <w:p w14:paraId="19F023C1" w14:textId="77777777" w:rsidR="003476F8" w:rsidRPr="00511005" w:rsidRDefault="003476F8"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сучасних умовах трудові відносини як один із ключових елементів суспільних відносин зазнають істотних змін під впливом нагальних викликів. Так, з прийняттям постанови </w:t>
      </w:r>
      <w:r w:rsidRPr="00511005">
        <w:rPr>
          <w:rFonts w:ascii="Arial" w:eastAsia="Times New Roman" w:hAnsi="Arial" w:cs="Arial"/>
          <w:bCs/>
          <w:szCs w:val="28"/>
          <w:lang w:val="uk-UA" w:eastAsia="ru-RU"/>
        </w:rPr>
        <w:t>Кабінету Міністрів України</w:t>
      </w:r>
      <w:r w:rsidRPr="00511005">
        <w:rPr>
          <w:rFonts w:ascii="Arial" w:eastAsia="Times New Roman" w:hAnsi="Arial" w:cs="Arial"/>
          <w:szCs w:val="28"/>
          <w:lang w:val="uk-UA" w:eastAsia="ru-RU"/>
        </w:rPr>
        <w:t xml:space="preserve"> «Про запобігання поширенню на території України гострої респіраторної хвороби COVID-19, спричиненої коронавірусом SARS-CoV-2» від 11 березня 2020 р. № 211 [1] було зумовлено необхідність до масового переходу працівників на дистанційну форму роботи, що актуалізувало потребу в оперативному оновленні законодавчого регулювання цієї сфери. Водночас подальші події, </w:t>
      </w:r>
      <w:r w:rsidRPr="00511005">
        <w:rPr>
          <w:rFonts w:ascii="Arial" w:eastAsia="Times New Roman" w:hAnsi="Arial" w:cs="Arial"/>
          <w:szCs w:val="28"/>
          <w:lang w:val="uk-UA" w:eastAsia="ru-RU"/>
        </w:rPr>
        <w:lastRenderedPageBreak/>
        <w:t xml:space="preserve">зокрема введення в Україні режиму воєнного стану відповідно до Указу Президента України від 24 лютого 2022 року № 64/2022 «Про введення воєнного стану в Україні» у зв'язку з широкомасштабною збройною агресією Російської Федерації </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 закріпили важливість дистанційної роботи як одного з основних механізмів забезпечення безперервності трудового процесу та гарантування права на працю в умовах надзвичайного правового режиму.</w:t>
      </w:r>
    </w:p>
    <w:p w14:paraId="2C9859D0" w14:textId="77777777" w:rsidR="003476F8" w:rsidRPr="00511005" w:rsidRDefault="003476F8"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огляду на поставлені виклики, законодавець здійснив низку кроків щодо унормування дистанційної роботи.</w:t>
      </w:r>
    </w:p>
    <w:p w14:paraId="6BBA4AF7" w14:textId="77777777" w:rsidR="003476F8" w:rsidRPr="00511005" w:rsidRDefault="003476F8"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По-перше, прийняттям Закону України «Про внесення змін до деяких законодавчих актів України щодо вдосконалення правового регулювання дистанційної роботи» від 04 лютого 2021 року № 1213-IX </w:t>
      </w:r>
      <w:r w:rsidRPr="00511005">
        <w:rPr>
          <w:rFonts w:ascii="Arial" w:eastAsia="Times New Roman" w:hAnsi="Arial" w:cs="Arial"/>
          <w:szCs w:val="28"/>
          <w:lang w:eastAsia="ru-RU"/>
        </w:rPr>
        <w:t xml:space="preserve">[3] </w:t>
      </w:r>
      <w:r w:rsidRPr="00511005">
        <w:rPr>
          <w:rFonts w:ascii="Arial" w:eastAsia="Times New Roman" w:hAnsi="Arial" w:cs="Arial"/>
          <w:szCs w:val="28"/>
          <w:lang w:val="uk-UA" w:eastAsia="ru-RU"/>
        </w:rPr>
        <w:t xml:space="preserve">законодавцем було введено поняття «дистанційна робота» та «надомна робота», встановлено особливості укладення трудового договору про дистанційну роботу, порядок обміну документами між працівником і роботодавцем в електронній формі, а також гарантії захисту трудових прав працівників, які працюють дистанційно. </w:t>
      </w:r>
    </w:p>
    <w:p w14:paraId="64DACDBB" w14:textId="77777777" w:rsidR="003476F8" w:rsidRPr="00511005" w:rsidRDefault="003476F8"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По-друге, у період дії воєнного стану були прийняті додаткові нормативно-правові акти, що враховують специфіку організації праці в умовах бойових дій, обмеженої мобільності та загрози для життя і здоров'я працівників. Зокрема, слід звернутися до Закону України «Про організацію трудових відносин в умовах воєнного стану» від 15 березня 2022 року № 2136-IX [4], який дозволяє запровадження дистанційної роботи з ініціативи роботодавця без обов'язкового попередження працівника за два місяці, як це передбачено ст. 32 КЗпП у мирний час. Крім того, повідомлення працівника про зміну істотних умов праці та зміну умов оплати праці, згідно з ч.3 ст.32 та ст. 103 КЗпП, повинно здійснюватися не пізніше ніж до запровадження таких змін.</w:t>
      </w:r>
    </w:p>
    <w:p w14:paraId="39135D45" w14:textId="77777777" w:rsidR="003476F8" w:rsidRPr="00511005" w:rsidRDefault="003476F8"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нашого особистого погляду, зростаючий обсяг дистанційної праці призводить до низки проблем, серед яких можна виокремити:</w:t>
      </w:r>
    </w:p>
    <w:p w14:paraId="36EDEDD8" w14:textId="77777777" w:rsidR="003476F8" w:rsidRPr="00511005" w:rsidRDefault="003476F8" w:rsidP="003F6A5D">
      <w:pPr>
        <w:keepNext/>
        <w:widowControl w:val="0"/>
        <w:numPr>
          <w:ilvl w:val="0"/>
          <w:numId w:val="447"/>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відсутність правового регулювання у питаннях компенсації витрат на використання особистого обладнання та забезпечення безпеки праці;</w:t>
      </w:r>
    </w:p>
    <w:p w14:paraId="60CA3FC6" w14:textId="77777777" w:rsidR="003476F8" w:rsidRPr="00511005" w:rsidRDefault="003476F8" w:rsidP="003F6A5D">
      <w:pPr>
        <w:keepNext/>
        <w:widowControl w:val="0"/>
        <w:numPr>
          <w:ilvl w:val="0"/>
          <w:numId w:val="447"/>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нечітке регулювання процедури укладення трудових договорів та обміну документами в електронній формі, що створює труднощі для роботодавців і працівників;</w:t>
      </w:r>
    </w:p>
    <w:p w14:paraId="49FD73A2" w14:textId="77777777" w:rsidR="003476F8" w:rsidRPr="00511005" w:rsidRDefault="003476F8" w:rsidP="003F6A5D">
      <w:pPr>
        <w:keepNext/>
        <w:widowControl w:val="0"/>
        <w:numPr>
          <w:ilvl w:val="0"/>
          <w:numId w:val="447"/>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неоднорідність соціальних гарантій для дистанційних працівників;</w:t>
      </w:r>
    </w:p>
    <w:p w14:paraId="1B49EC7D" w14:textId="77777777" w:rsidR="003476F8" w:rsidRPr="00511005" w:rsidRDefault="003476F8" w:rsidP="003F6A5D">
      <w:pPr>
        <w:keepNext/>
        <w:widowControl w:val="0"/>
        <w:numPr>
          <w:ilvl w:val="0"/>
          <w:numId w:val="447"/>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відсутність чітких стандартів для соціальних гарантій дистанційних працівників.</w:t>
      </w:r>
    </w:p>
    <w:p w14:paraId="7E023AB1" w14:textId="77777777" w:rsidR="003476F8" w:rsidRPr="00511005" w:rsidRDefault="003476F8"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Для вирішення цих проблем потрібно розробити комплексне правове регулювання. По-перше, слід встановити норми компенсації витрат на </w:t>
      </w:r>
      <w:r w:rsidRPr="00511005">
        <w:rPr>
          <w:rFonts w:ascii="Arial" w:eastAsia="Times New Roman" w:hAnsi="Arial" w:cs="Arial"/>
          <w:szCs w:val="28"/>
          <w:lang w:val="uk-UA" w:eastAsia="ru-RU"/>
        </w:rPr>
        <w:lastRenderedPageBreak/>
        <w:t>використання особистого обладнання та визначити стандарти безпеки праці, що відповідатимуть вимогам сучасного дистанційного формату. Це дозволить знизити юридичні ризики для обох сторін. По-друге, вважаємо необхідним удосконалення процедури укладення трудових договорів та обміну документами в електронній формі, запровадивши єдиний стандарт, для майбутнього регулювання та мінімізації спірних ситуацій. По-третє, важливою є уніфікація соціальних гарантій для дистанційних працівників, створення єдиного стандарту для відпусток даній категорії працівників, лікарняних та різних виплат, що забезпечить рівні умови праці.</w:t>
      </w:r>
    </w:p>
    <w:p w14:paraId="36929CDA" w14:textId="77777777" w:rsidR="003476F8" w:rsidRPr="00511005" w:rsidRDefault="003476F8"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для ефективного регулювання дистанційної роботи потрібно вдосконалити правову базу, яка відповідатиме вимогам реалій.</w:t>
      </w:r>
    </w:p>
    <w:p w14:paraId="3198171C" w14:textId="77777777" w:rsidR="003476F8" w:rsidRPr="00511005" w:rsidRDefault="003476F8"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Підсумовуючи, слід зазначити, що зростаючий попит на дистанційну роботи вимагає комплексного оновлення правового регулювання, яке повинно забезпечити справедливість, рівність умов праці та захист прав працівників. Для цього необхідно:</w:t>
      </w:r>
    </w:p>
    <w:p w14:paraId="32BB64B0" w14:textId="77777777" w:rsidR="003476F8" w:rsidRPr="00511005" w:rsidRDefault="003476F8" w:rsidP="003F6A5D">
      <w:pPr>
        <w:keepNext/>
        <w:widowControl w:val="0"/>
        <w:numPr>
          <w:ilvl w:val="0"/>
          <w:numId w:val="448"/>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запровадити чітке законодавче регулювання компенсації витрат на використання особистого обладнання. Цей компенсаційний комплекс має включати витрати на техніку, програмне забезпечення та інші ресурси, необхідні для виконання трудових обов'язків, що дозволить зменшити юридичні ризики та забезпечити справедливі умови праці для дистанційних працівників;</w:t>
      </w:r>
    </w:p>
    <w:p w14:paraId="5A1293C5" w14:textId="77777777" w:rsidR="003476F8" w:rsidRPr="00511005" w:rsidRDefault="003476F8" w:rsidP="003F6A5D">
      <w:pPr>
        <w:keepNext/>
        <w:widowControl w:val="0"/>
        <w:numPr>
          <w:ilvl w:val="0"/>
          <w:numId w:val="448"/>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вдосконалити процедури укладення трудових договорів та обміну документами в електронній формі. Важливо впровадити єдиний стандарт для цих процесів, що сприятиме правовій визначеності та зменшенню кількості спірних ситуацій між роботодавцями і працівниками;</w:t>
      </w:r>
    </w:p>
    <w:p w14:paraId="15BBD29F" w14:textId="77777777" w:rsidR="003476F8" w:rsidRPr="00511005" w:rsidRDefault="003476F8" w:rsidP="003F6A5D">
      <w:pPr>
        <w:keepNext/>
        <w:widowControl w:val="0"/>
        <w:numPr>
          <w:ilvl w:val="0"/>
          <w:numId w:val="448"/>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уніфікувати соціальні гарантії для дистанційних працівників. Це включає розробку єдиних стандартів для надання відпусток, лікарняних та інших виплат, що забезпечить рівні умови праці для всіх працівників, незалежно від форми зайнятості.</w:t>
      </w:r>
    </w:p>
    <w:p w14:paraId="618BE05F" w14:textId="0E932DF8" w:rsidR="003476F8" w:rsidRPr="00511005" w:rsidRDefault="003476F8" w:rsidP="003A292D">
      <w:pPr>
        <w:keepNext/>
        <w:widowControl w:val="0"/>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Врахування цих аспектів дозволить створити правову базу, яка відповідатиме</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сучасним викликам та забезпечить належний захист прав працівників у сфері дистанційної роботи.</w:t>
      </w:r>
    </w:p>
    <w:p w14:paraId="4E2B88B5" w14:textId="77777777" w:rsidR="003476F8" w:rsidRPr="00511005" w:rsidRDefault="003476F8" w:rsidP="003A292D">
      <w:pPr>
        <w:keepNext/>
        <w:widowControl w:val="0"/>
        <w:spacing w:line="264" w:lineRule="auto"/>
        <w:rPr>
          <w:rFonts w:ascii="Arial" w:eastAsia="Times New Roman" w:hAnsi="Arial" w:cs="Arial"/>
          <w:szCs w:val="28"/>
          <w:lang w:val="uk-UA" w:eastAsia="ru-RU"/>
        </w:rPr>
      </w:pPr>
    </w:p>
    <w:p w14:paraId="77286CAE" w14:textId="5BBCEBEF" w:rsidR="003476F8" w:rsidRPr="00511005" w:rsidRDefault="007B2628" w:rsidP="007B2628">
      <w:pPr>
        <w:keepNext/>
        <w:widowControl w:val="0"/>
        <w:spacing w:line="264" w:lineRule="auto"/>
        <w:ind w:firstLine="0"/>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64DE42C0" w14:textId="77777777" w:rsidR="003476F8" w:rsidRPr="00511005" w:rsidRDefault="003476F8" w:rsidP="003A292D">
      <w:pPr>
        <w:spacing w:line="264" w:lineRule="auto"/>
        <w:rPr>
          <w:rFonts w:ascii="Arial" w:eastAsia="Times New Roman" w:hAnsi="Arial" w:cs="Arial"/>
          <w:bCs/>
          <w:szCs w:val="28"/>
          <w:lang w:val="uk-UA" w:eastAsia="ru-RU"/>
        </w:rPr>
      </w:pPr>
      <w:r w:rsidRPr="00511005">
        <w:rPr>
          <w:rFonts w:ascii="Arial" w:eastAsia="Times New Roman" w:hAnsi="Arial" w:cs="Arial"/>
          <w:bCs/>
          <w:szCs w:val="28"/>
          <w:lang w:val="uk-UA" w:eastAsia="ru-RU"/>
        </w:rPr>
        <w:t>1. Про запобігання поширенню на території України гострої респіраторної хвороби COVID-19, спричиненої коронавірусом SARS-CoV-2 : Постанова Кабінету Міністрів України від 11 березня 2020 р. № 211. URL: https://zakon.rada.gov.ua/laws/show/211-2020-п (дата звернення: 28.04.2025).</w:t>
      </w:r>
    </w:p>
    <w:p w14:paraId="3DB39D30"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2. Про введення воєнного стану в Україні : Указ Президента України від 24 лютого 2022 р. № 64/2022. URL: https://zakon.rada.gov.ua/laws/show/64/2022 (дата звернення: 28.04.2025).</w:t>
      </w:r>
    </w:p>
    <w:p w14:paraId="2EA20152"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3. Про внесення змін до деяких законодавчих актів України щодо вдосконалення правового регулювання дистанційної роботи : Закон України від 4 лютого 2021 р. № 1213-IX. URL: https://zakon.rada.gov.ua/laws/show/1213-20 (дата звернення: 28.04.2025).</w:t>
      </w:r>
    </w:p>
    <w:p w14:paraId="18197A30"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4. Про організацію трудових відносин в умовах воєнного стану : Закон України від 15 березня 2022 р. № 2136-IX. URL: https://zakon.rada.gov.ua/laws/show/2136-20 (дата звернення: 28.04.2025).</w:t>
      </w:r>
    </w:p>
    <w:p w14:paraId="24713D49" w14:textId="77777777" w:rsidR="003476F8" w:rsidRPr="00511005" w:rsidRDefault="003476F8" w:rsidP="003A292D">
      <w:pPr>
        <w:keepNext/>
        <w:widowControl w:val="0"/>
        <w:spacing w:line="264" w:lineRule="auto"/>
        <w:rPr>
          <w:rFonts w:ascii="Arial" w:eastAsia="Times New Roman" w:hAnsi="Arial" w:cs="Arial"/>
          <w:szCs w:val="28"/>
          <w:lang w:val="uk-UA" w:eastAsia="ru-RU"/>
        </w:rPr>
      </w:pPr>
    </w:p>
    <w:p w14:paraId="2748D5B0" w14:textId="58FF558A" w:rsidR="003476F8" w:rsidRPr="00511005" w:rsidRDefault="007B2628" w:rsidP="003A292D">
      <w:pPr>
        <w:keepNext/>
        <w:spacing w:line="264" w:lineRule="auto"/>
        <w:ind w:firstLine="567"/>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val="uk-UA" w:eastAsia="ru-RU"/>
        </w:rPr>
        <w:t>дистанційна робота, трудові відносини, законодавче регулювання, компенсація витрат, електронний документообіг, соціальні гарантії, COVID-19, воєнний стан, трудовий договір, права працівників.</w:t>
      </w:r>
    </w:p>
    <w:p w14:paraId="303A954F" w14:textId="1CA481C9" w:rsidR="003476F8" w:rsidRPr="00511005" w:rsidRDefault="007B2628" w:rsidP="003A292D">
      <w:pPr>
        <w:keepNext/>
        <w:spacing w:line="264" w:lineRule="auto"/>
        <w:ind w:firstLine="567"/>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003476F8" w:rsidRPr="00511005">
        <w:rPr>
          <w:rFonts w:ascii="Arial" w:eastAsia="Times New Roman" w:hAnsi="Arial" w:cs="Arial"/>
          <w:szCs w:val="28"/>
          <w:lang w:val="en-GB" w:eastAsia="ru-RU"/>
        </w:rPr>
        <w:t>remote work, labour relations, legislative regulation, reimbursement of expenses, electronic document management, social guarantees, COVID-19, martial law, employment contract, employee rights.</w:t>
      </w:r>
    </w:p>
    <w:p w14:paraId="527EBF68" w14:textId="190D4634" w:rsidR="003476F8" w:rsidRPr="00511005" w:rsidRDefault="007B2628" w:rsidP="003A292D">
      <w:pPr>
        <w:keepNext/>
        <w:spacing w:line="264" w:lineRule="auto"/>
        <w:ind w:firstLine="567"/>
        <w:rPr>
          <w:rFonts w:ascii="Arial" w:eastAsia="Times New Roman" w:hAnsi="Arial" w:cs="Arial"/>
          <w:bCs/>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3476F8" w:rsidRPr="00511005">
        <w:rPr>
          <w:rFonts w:ascii="Arial" w:eastAsia="Times New Roman" w:hAnsi="Arial" w:cs="Arial"/>
          <w:bCs/>
          <w:i/>
          <w:iCs/>
          <w:szCs w:val="28"/>
          <w:lang w:val="uk-UA" w:eastAsia="ru-RU"/>
        </w:rPr>
        <w:t>к.ю.н., доцент Панченко А. О.</w:t>
      </w:r>
    </w:p>
    <w:p w14:paraId="6381CC1A"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22604F11"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63C60A67" w14:textId="77777777" w:rsidR="003476F8" w:rsidRPr="00511005" w:rsidRDefault="003476F8" w:rsidP="00A54AC2">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Кулачок Катерина Михайлівна</w:t>
      </w:r>
    </w:p>
    <w:p w14:paraId="3F89F958" w14:textId="05822D08" w:rsidR="003476F8" w:rsidRPr="00511005" w:rsidRDefault="00536AAB" w:rsidP="00A54AC2">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2-го курсу факультету адвокатури та антикорупційної діяльності</w:t>
      </w:r>
    </w:p>
    <w:p w14:paraId="2B2F7C56" w14:textId="6D116619" w:rsidR="003476F8" w:rsidRPr="00511005" w:rsidRDefault="007B2628" w:rsidP="00A54AC2">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7C1C123" w14:textId="77777777" w:rsidR="003476F8" w:rsidRPr="00511005" w:rsidRDefault="003476F8" w:rsidP="00A54AC2">
      <w:pPr>
        <w:spacing w:line="264" w:lineRule="auto"/>
        <w:ind w:firstLine="0"/>
        <w:jc w:val="center"/>
        <w:rPr>
          <w:rFonts w:ascii="Arial" w:eastAsia="Calibri" w:hAnsi="Arial" w:cs="Arial"/>
          <w:szCs w:val="28"/>
          <w:lang w:val="uk-UA"/>
        </w:rPr>
      </w:pPr>
    </w:p>
    <w:p w14:paraId="3F1B4A02" w14:textId="77777777" w:rsidR="003476F8" w:rsidRPr="00511005" w:rsidRDefault="003476F8" w:rsidP="00A54AC2">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 xml:space="preserve">ПРАВОВЕ РЕГУЛЮВАННЯ РОБОЧОГО ЧАСУ І </w:t>
      </w:r>
    </w:p>
    <w:p w14:paraId="14F316F4" w14:textId="77777777" w:rsidR="003476F8" w:rsidRPr="00511005" w:rsidRDefault="003476F8" w:rsidP="00A54AC2">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ЧАСУ ВІДПОЧИНКУ В УМОВАХ ВОЄННОГО СТАНУ</w:t>
      </w:r>
    </w:p>
    <w:p w14:paraId="4CC45B84"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Запровадження воєнного стану в Україні через повномасштабну збройну агресію Російської Федерації спричинило суттєві зміни у сфері трудових правовідносин. Держава зіткнулася з необхідністю швидко адаптувати чинне трудове законодавство до нових реалій — посиленого трудового навантаження, нестабільності виробничих процесів та загроз для життя працівників. За таких обставин критично важливим є ефективне регулювання питань робочого часу і часу відпочинку, адже це впливає не лише на продуктивність, а й на психологічний і фізичний стан працівників.</w:t>
      </w:r>
    </w:p>
    <w:p w14:paraId="23F7BEBB"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Правову основу регулювання праці в Україні становить Кодекс законів про працю України (КЗпП), зокрема його розділ IV, присвячений робочому часу та відпочинку [1]. Однак у період дії воєнного стану застосовуються норми спеціального законодавства — Закону України «Про організацію трудових відносин в умовах воєнного стану» від 15.03.2022 року № 2136-IX [</w:t>
      </w:r>
      <w:r w:rsidRPr="00511005">
        <w:rPr>
          <w:rFonts w:ascii="Arial" w:eastAsia="Calibri" w:hAnsi="Arial" w:cs="Arial"/>
          <w:szCs w:val="28"/>
        </w:rPr>
        <w:t>2</w:t>
      </w:r>
      <w:r w:rsidRPr="00511005">
        <w:rPr>
          <w:rFonts w:ascii="Arial" w:eastAsia="Calibri" w:hAnsi="Arial" w:cs="Arial"/>
          <w:szCs w:val="28"/>
          <w:lang w:val="uk-UA"/>
        </w:rPr>
        <w:t>]. Цей закон надає роботодавцям певну гнучкість у зміні умов праці, водночас передбачаючи механізми захисту основоположних трудових прав. О.В. Пожарова, аналізуючи вказаний закон, звернула увагу на «</w:t>
      </w:r>
      <w:r w:rsidRPr="00511005">
        <w:rPr>
          <w:rFonts w:ascii="Arial" w:eastAsia="TimesNewRomanPSMT" w:hAnsi="Arial" w:cs="Arial"/>
          <w:szCs w:val="28"/>
          <w:lang w:val="uk-UA"/>
        </w:rPr>
        <w:t xml:space="preserve">можливості </w:t>
      </w:r>
      <w:r w:rsidRPr="00511005">
        <w:rPr>
          <w:rFonts w:ascii="Arial" w:eastAsia="TimesNewRomanPSMT" w:hAnsi="Arial" w:cs="Arial"/>
          <w:szCs w:val="28"/>
          <w:lang w:val="uk-UA"/>
        </w:rPr>
        <w:lastRenderedPageBreak/>
        <w:t xml:space="preserve">встановлення збільшеної норми тривалості робочого часу та зменшення тривалості щотижневого безперервного відпочинку тощо» </w:t>
      </w:r>
      <w:r w:rsidRPr="00511005">
        <w:rPr>
          <w:rFonts w:ascii="Arial" w:eastAsia="Calibri" w:hAnsi="Arial" w:cs="Arial"/>
          <w:szCs w:val="28"/>
          <w:lang w:val="uk-UA"/>
        </w:rPr>
        <w:t>[</w:t>
      </w:r>
      <w:r w:rsidRPr="00511005">
        <w:rPr>
          <w:rFonts w:ascii="Arial" w:eastAsia="Calibri" w:hAnsi="Arial" w:cs="Arial"/>
          <w:szCs w:val="28"/>
        </w:rPr>
        <w:t>3</w:t>
      </w:r>
      <w:r w:rsidRPr="00511005">
        <w:rPr>
          <w:rFonts w:ascii="Arial" w:eastAsia="Calibri" w:hAnsi="Arial" w:cs="Arial"/>
          <w:szCs w:val="28"/>
          <w:lang w:val="uk-UA"/>
        </w:rPr>
        <w:t>, с. 704]</w:t>
      </w:r>
      <w:r w:rsidRPr="00511005">
        <w:rPr>
          <w:rFonts w:ascii="Arial" w:eastAsia="TimesNewRomanPSMT" w:hAnsi="Arial" w:cs="Arial"/>
          <w:szCs w:val="28"/>
          <w:lang w:val="uk-UA"/>
        </w:rPr>
        <w:t>.</w:t>
      </w:r>
    </w:p>
    <w:p w14:paraId="725CD55C" w14:textId="1117423B"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У мирний час встановлена максимальна тривалість робочого тижня становить 40 годин (ст. 50 КЗпП)</w:t>
      </w:r>
      <w:r w:rsidRPr="00511005">
        <w:rPr>
          <w:rFonts w:ascii="Arial" w:eastAsia="Calibri" w:hAnsi="Arial" w:cs="Arial"/>
          <w:szCs w:val="28"/>
        </w:rPr>
        <w:t xml:space="preserve"> [1]</w:t>
      </w:r>
      <w:r w:rsidRPr="00511005">
        <w:rPr>
          <w:rFonts w:ascii="Arial" w:eastAsia="Calibri" w:hAnsi="Arial" w:cs="Arial"/>
          <w:szCs w:val="28"/>
          <w:lang w:val="uk-UA"/>
        </w:rPr>
        <w:t>. Проте під час дії воєнного стану, згідно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 ч.ч. 1, 2 ст. 6 Закону України № 2136-IX, ця норма може бути змінена. Для працівників, які залучені до забезпечення оборони, охорони здоров’я, транспорту та інших критичних сфер, тривалість робочого часу може бути збільшена до 60 годин на тиждень. У той же час для окремих категорій працівників, яким законодавством передбачено скорочений робочий тиждень, ця тривалість не може перевищувати 40 годин [2].</w:t>
      </w:r>
    </w:p>
    <w:p w14:paraId="6E722AEC"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Варто звернути увагу і на зміни, що стосуються часу відпочинку. Згідно зі ст. 70 КЗпП, кожен працівник має право на щотижневий безперервний відпочинок тривалістю не менше 42 годин</w:t>
      </w:r>
      <w:r w:rsidRPr="00511005">
        <w:rPr>
          <w:rFonts w:ascii="Arial" w:eastAsia="Calibri" w:hAnsi="Arial" w:cs="Arial"/>
          <w:szCs w:val="28"/>
        </w:rPr>
        <w:t xml:space="preserve"> [1]</w:t>
      </w:r>
      <w:r w:rsidRPr="00511005">
        <w:rPr>
          <w:rFonts w:ascii="Arial" w:eastAsia="Calibri" w:hAnsi="Arial" w:cs="Arial"/>
          <w:szCs w:val="28"/>
          <w:lang w:val="uk-UA"/>
        </w:rPr>
        <w:t>. Проте відповідно до ч. 5 ст. 6 вищезазначеного Закону, під час воєнного стану ця тривалість може бути скорочена до 24 годин, що дозволяє підприємствам працювати у більш гнучкому режимі [2].</w:t>
      </w:r>
    </w:p>
    <w:p w14:paraId="2CE58D5B" w14:textId="400068D2"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Щодо щорічної основної відпустки, то право на неї зберігається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(ст. 74–79 КЗпП), однак роботодавець має право тимчасово обмежити її надання, якщо працівник виконує завдання, важливі для функціонування об'єкта критичної інфраструктури (ст. 12 Закону України № 2136-IX). Додатково передбачено можливість надання відпустки без збереження заробітної плати без обмеження її тривалості на прохання працівника, згідно зі ст. 26 Закону України «Про відпустки» [4].</w:t>
      </w:r>
    </w:p>
    <w:p w14:paraId="7D6CAC01" w14:textId="311E306F"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Суттєвого поширення в умовах війни набули альтернативні форми організації праці — дистанційна, надомна, гнучкий режим робочого часу</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(ст. 60 КЗпП). Такий підхід дозволяє адаптувати робочий процес до нових умов, зменшити ризики для життя працівників, а також зберігати працездатність підприємств, особливо в регіонах, що зазнають активних бойових дій.</w:t>
      </w:r>
    </w:p>
    <w:p w14:paraId="4D0F9B4C"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Незважаючи на надзвичайні обставини, основні гарантії щодо оплати праці залишаються чинними. Відповідно до ст. 94–97 КЗпП, працівникам забезпечується своєчасна та повна виплата заробітної плати. Особливе правове регулювання стосується мобілізованих громадян. Стаття 119 КЗпП передбачає, що за ними зберігаються місце роботи і посада на весь період служби, а грошове забезпечення здійснюється з державного бюджету, відповідно до положень Закону України «Про соціальний і правовий захист військовослужбовців та членів їх сімей» [5].</w:t>
      </w:r>
    </w:p>
    <w:p w14:paraId="6AC5930A" w14:textId="77777777" w:rsidR="003476F8" w:rsidRPr="00511005" w:rsidRDefault="003476F8"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Таким чином, у період дії воєнного стану законодавець прагне знайти баланс між необхідністю забезпечення безперервної діяльності стратегічних підприємств та збереженням трудових прав працівників. Правове регулювання робочого часу і часу відпочинку набуває більшої гнучкості, що дозволяє адаптувати трудові відносини до умов війни без істотного порушення прав людини. У перспективі доцільно законодавчо закріпити </w:t>
      </w:r>
      <w:r w:rsidRPr="00511005">
        <w:rPr>
          <w:rFonts w:ascii="Arial" w:eastAsia="Calibri" w:hAnsi="Arial" w:cs="Arial"/>
          <w:szCs w:val="28"/>
          <w:lang w:val="uk-UA"/>
        </w:rPr>
        <w:lastRenderedPageBreak/>
        <w:t>деякі тимчасові норми як сталу частину трудового законодавства, враховуючи досвід воєнного періоду.</w:t>
      </w:r>
    </w:p>
    <w:p w14:paraId="38A6DE12" w14:textId="77777777" w:rsidR="003476F8" w:rsidRPr="00511005" w:rsidRDefault="003476F8" w:rsidP="003A292D">
      <w:pPr>
        <w:spacing w:line="264" w:lineRule="auto"/>
        <w:rPr>
          <w:rFonts w:ascii="Arial" w:eastAsia="Calibri" w:hAnsi="Arial" w:cs="Arial"/>
          <w:szCs w:val="28"/>
          <w:lang w:val="uk-UA"/>
        </w:rPr>
      </w:pPr>
    </w:p>
    <w:p w14:paraId="74A220B1" w14:textId="0E6747F4" w:rsidR="003476F8" w:rsidRPr="00511005" w:rsidRDefault="007B2628" w:rsidP="007B2628">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0ACD236F" w14:textId="77777777" w:rsidR="003476F8" w:rsidRPr="00511005" w:rsidRDefault="003476F8" w:rsidP="003A292D">
      <w:pPr>
        <w:spacing w:line="264" w:lineRule="auto"/>
        <w:contextualSpacing/>
        <w:rPr>
          <w:rFonts w:ascii="Arial" w:eastAsia="Calibri" w:hAnsi="Arial" w:cs="Arial"/>
          <w:spacing w:val="9"/>
          <w:szCs w:val="28"/>
          <w:lang w:val="uk-UA" w:eastAsia="ru-RU"/>
        </w:rPr>
      </w:pPr>
      <w:r w:rsidRPr="00511005">
        <w:rPr>
          <w:rFonts w:ascii="Arial" w:eastAsia="Calibri" w:hAnsi="Arial" w:cs="Arial"/>
          <w:szCs w:val="28"/>
          <w:lang w:val="uk-UA"/>
        </w:rPr>
        <w:t>1.</w:t>
      </w:r>
      <w:r w:rsidRPr="00511005">
        <w:rPr>
          <w:rFonts w:ascii="Arial" w:eastAsia="Calibri" w:hAnsi="Arial" w:cs="Arial"/>
          <w:szCs w:val="28"/>
          <w:lang w:val="uk-UA"/>
        </w:rPr>
        <w:tab/>
      </w:r>
      <w:r w:rsidRPr="00511005">
        <w:rPr>
          <w:rFonts w:ascii="Arial" w:eastAsia="Calibri" w:hAnsi="Arial" w:cs="Arial"/>
          <w:spacing w:val="9"/>
          <w:szCs w:val="28"/>
          <w:lang w:val="uk-UA"/>
        </w:rPr>
        <w:t xml:space="preserve"> Кодекс законів про працю України від 10.12.1971 р. №322-VIII: URL: </w:t>
      </w:r>
      <w:hyperlink r:id="rId1685" w:tgtFrame="_tab" w:history="1">
        <w:r w:rsidRPr="00511005">
          <w:rPr>
            <w:rFonts w:ascii="Arial" w:eastAsia="Calibri" w:hAnsi="Arial" w:cs="Arial"/>
            <w:spacing w:val="9"/>
            <w:szCs w:val="28"/>
            <w:lang w:val="uk-UA"/>
          </w:rPr>
          <w:t>https://zakon.rada.gov.ua/laws/show/322-08</w:t>
        </w:r>
      </w:hyperlink>
      <w:r w:rsidRPr="00511005">
        <w:rPr>
          <w:rFonts w:ascii="Arial" w:eastAsia="Calibri" w:hAnsi="Arial" w:cs="Arial"/>
          <w:spacing w:val="9"/>
          <w:szCs w:val="28"/>
          <w:lang w:val="uk-UA"/>
        </w:rPr>
        <w:t xml:space="preserve"> </w:t>
      </w:r>
      <w:r w:rsidRPr="00511005">
        <w:rPr>
          <w:rFonts w:ascii="Arial" w:eastAsia="Calibri" w:hAnsi="Arial" w:cs="Arial"/>
          <w:szCs w:val="28"/>
        </w:rPr>
        <w:t xml:space="preserve">(дата </w:t>
      </w:r>
      <w:r w:rsidRPr="00511005">
        <w:rPr>
          <w:rFonts w:ascii="Arial" w:eastAsia="Calibri" w:hAnsi="Arial" w:cs="Arial"/>
          <w:szCs w:val="28"/>
          <w:lang w:val="uk-UA"/>
        </w:rPr>
        <w:t>звернення 05</w:t>
      </w:r>
      <w:r w:rsidRPr="00511005">
        <w:rPr>
          <w:rFonts w:ascii="Arial" w:eastAsia="Calibri" w:hAnsi="Arial" w:cs="Arial"/>
          <w:szCs w:val="28"/>
        </w:rPr>
        <w:t>.05.2025).</w:t>
      </w:r>
    </w:p>
    <w:p w14:paraId="7AD519FC" w14:textId="77777777" w:rsidR="003476F8" w:rsidRPr="00511005" w:rsidRDefault="003476F8" w:rsidP="003A292D">
      <w:pPr>
        <w:spacing w:line="264" w:lineRule="auto"/>
        <w:contextualSpacing/>
        <w:rPr>
          <w:rFonts w:ascii="Arial" w:eastAsia="Calibri" w:hAnsi="Arial" w:cs="Arial"/>
          <w:szCs w:val="28"/>
        </w:rPr>
      </w:pPr>
      <w:r w:rsidRPr="00511005">
        <w:rPr>
          <w:rFonts w:ascii="Arial" w:eastAsia="Calibri" w:hAnsi="Arial" w:cs="Arial"/>
          <w:szCs w:val="28"/>
          <w:lang w:val="uk-UA"/>
        </w:rPr>
        <w:t>2.</w:t>
      </w:r>
      <w:r w:rsidRPr="00511005">
        <w:rPr>
          <w:rFonts w:ascii="Arial" w:eastAsia="Calibri" w:hAnsi="Arial" w:cs="Arial"/>
          <w:szCs w:val="28"/>
          <w:lang w:val="uk-UA"/>
        </w:rPr>
        <w:tab/>
        <w:t xml:space="preserve">Про організацію трудових відносин в умовах воєнного стану: Закон України від 15.03.2022 р. № 2136-IX. URL: </w:t>
      </w:r>
      <w:hyperlink r:id="rId1686" w:history="1">
        <w:r w:rsidRPr="00511005">
          <w:rPr>
            <w:rFonts w:ascii="Arial" w:eastAsia="Calibri" w:hAnsi="Arial" w:cs="Arial"/>
            <w:szCs w:val="28"/>
            <w:lang w:val="uk-UA"/>
          </w:rPr>
          <w:t>https://zakon.rada.gov.ua/laws/show/2136-20</w:t>
        </w:r>
      </w:hyperlink>
      <w:r w:rsidRPr="00511005">
        <w:rPr>
          <w:rFonts w:ascii="Arial" w:eastAsia="Calibri" w:hAnsi="Arial" w:cs="Arial"/>
          <w:szCs w:val="28"/>
          <w:lang w:val="uk-UA"/>
        </w:rPr>
        <w:t xml:space="preserve"> </w:t>
      </w:r>
      <w:r w:rsidRPr="00511005">
        <w:rPr>
          <w:rFonts w:ascii="Arial" w:eastAsia="Calibri" w:hAnsi="Arial" w:cs="Arial"/>
          <w:szCs w:val="28"/>
        </w:rPr>
        <w:t xml:space="preserve">(дата </w:t>
      </w:r>
      <w:r w:rsidRPr="00511005">
        <w:rPr>
          <w:rFonts w:ascii="Arial" w:eastAsia="Calibri" w:hAnsi="Arial" w:cs="Arial"/>
          <w:szCs w:val="28"/>
          <w:lang w:val="uk-UA"/>
        </w:rPr>
        <w:t>звернення 05</w:t>
      </w:r>
      <w:r w:rsidRPr="00511005">
        <w:rPr>
          <w:rFonts w:ascii="Arial" w:eastAsia="Calibri" w:hAnsi="Arial" w:cs="Arial"/>
          <w:szCs w:val="28"/>
        </w:rPr>
        <w:t>.05.2025).</w:t>
      </w:r>
    </w:p>
    <w:p w14:paraId="5C52CF62"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rPr>
        <w:t xml:space="preserve">3. </w:t>
      </w:r>
      <w:r w:rsidRPr="00511005">
        <w:rPr>
          <w:rFonts w:ascii="Arial" w:eastAsia="Calibri" w:hAnsi="Arial" w:cs="Arial"/>
          <w:szCs w:val="28"/>
          <w:lang w:val="uk-UA" w:eastAsia="uk-UA"/>
        </w:rPr>
        <w:t xml:space="preserve">Пожарова О.В. Особливості припинення трудових відносин в умовах воєнного стану. </w:t>
      </w:r>
      <w:r w:rsidRPr="00511005">
        <w:rPr>
          <w:rFonts w:ascii="Arial" w:eastAsia="Calibri" w:hAnsi="Arial" w:cs="Arial"/>
          <w:bCs/>
          <w:i/>
          <w:szCs w:val="28"/>
          <w:lang w:val="uk-UA"/>
        </w:rPr>
        <w:t>Актуальні виклики розвитку юридичної науки і практики в умовах воєнного стану та повоєнної відбудови</w:t>
      </w:r>
      <w:r w:rsidRPr="00511005">
        <w:rPr>
          <w:rFonts w:ascii="Arial" w:eastAsia="Calibri" w:hAnsi="Arial" w:cs="Arial"/>
          <w:b/>
          <w:bCs/>
          <w:szCs w:val="28"/>
          <w:lang w:val="uk-UA"/>
        </w:rPr>
        <w:t xml:space="preserve">: </w:t>
      </w:r>
      <w:r w:rsidRPr="00511005">
        <w:rPr>
          <w:rFonts w:ascii="Arial" w:eastAsia="Calibri" w:hAnsi="Arial" w:cs="Arial"/>
          <w:szCs w:val="28"/>
          <w:lang w:val="uk-UA"/>
        </w:rPr>
        <w:t xml:space="preserve">матеріали Міжнародної науково-практичної конференції </w:t>
      </w:r>
      <w:r w:rsidRPr="00511005">
        <w:rPr>
          <w:rFonts w:ascii="Arial" w:eastAsia="Calibri" w:hAnsi="Arial" w:cs="Arial"/>
          <w:i/>
          <w:iCs/>
          <w:szCs w:val="28"/>
          <w:lang w:val="uk-UA"/>
        </w:rPr>
        <w:t>(2 травня 2024 року)</w:t>
      </w:r>
      <w:r w:rsidRPr="00511005">
        <w:rPr>
          <w:rFonts w:ascii="Arial" w:eastAsia="Calibri" w:hAnsi="Arial" w:cs="Arial"/>
          <w:szCs w:val="28"/>
          <w:lang w:val="uk-UA"/>
        </w:rPr>
        <w:t>: ел. збірник. Київ: Видавництво Людмила, 2024. С. 704-705.</w:t>
      </w:r>
    </w:p>
    <w:p w14:paraId="6FEABFBC" w14:textId="793C7329" w:rsidR="003476F8" w:rsidRPr="00511005" w:rsidRDefault="003476F8"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4. Про відпустки: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Закон України від 15.11.1996 р. № 504/96-ВР. URL: </w:t>
      </w:r>
      <w:hyperlink r:id="rId1687" w:history="1">
        <w:r w:rsidRPr="00511005">
          <w:rPr>
            <w:rFonts w:ascii="Arial" w:eastAsia="Calibri" w:hAnsi="Arial" w:cs="Arial"/>
            <w:szCs w:val="28"/>
            <w:lang w:val="uk-UA"/>
          </w:rPr>
          <w:t>https://zakon.rada.gov.ua/laws/show/504/96-вр</w:t>
        </w:r>
      </w:hyperlink>
      <w:r w:rsidRPr="00511005">
        <w:rPr>
          <w:rFonts w:ascii="Arial" w:eastAsia="Calibri" w:hAnsi="Arial" w:cs="Arial"/>
          <w:szCs w:val="28"/>
          <w:lang w:val="uk-UA"/>
        </w:rPr>
        <w:t xml:space="preserve"> </w:t>
      </w:r>
      <w:r w:rsidRPr="00511005">
        <w:rPr>
          <w:rFonts w:ascii="Arial" w:eastAsia="Calibri" w:hAnsi="Arial" w:cs="Arial"/>
          <w:szCs w:val="28"/>
        </w:rPr>
        <w:t xml:space="preserve">(дата </w:t>
      </w:r>
      <w:r w:rsidRPr="00511005">
        <w:rPr>
          <w:rFonts w:ascii="Arial" w:eastAsia="Calibri" w:hAnsi="Arial" w:cs="Arial"/>
          <w:szCs w:val="28"/>
          <w:lang w:val="uk-UA"/>
        </w:rPr>
        <w:t>звернення 05</w:t>
      </w:r>
      <w:r w:rsidRPr="00511005">
        <w:rPr>
          <w:rFonts w:ascii="Arial" w:eastAsia="Calibri" w:hAnsi="Arial" w:cs="Arial"/>
          <w:szCs w:val="28"/>
        </w:rPr>
        <w:t>.05.2025).</w:t>
      </w:r>
    </w:p>
    <w:p w14:paraId="1BCA8709" w14:textId="6610C6A9" w:rsidR="003476F8" w:rsidRPr="00511005" w:rsidRDefault="003476F8" w:rsidP="003A292D">
      <w:pPr>
        <w:spacing w:line="264" w:lineRule="auto"/>
        <w:contextualSpacing/>
        <w:rPr>
          <w:rFonts w:ascii="Arial" w:eastAsia="Calibri" w:hAnsi="Arial" w:cs="Arial"/>
          <w:szCs w:val="28"/>
          <w:shd w:val="clear" w:color="auto" w:fill="FFFFFF"/>
          <w:lang w:val="uk-UA"/>
        </w:rPr>
      </w:pPr>
      <w:r w:rsidRPr="00511005">
        <w:rPr>
          <w:rFonts w:ascii="Arial" w:eastAsia="Calibri" w:hAnsi="Arial" w:cs="Arial"/>
          <w:szCs w:val="28"/>
          <w:lang w:val="uk-UA"/>
        </w:rPr>
        <w:t xml:space="preserve">5. </w:t>
      </w:r>
      <w:r w:rsidRPr="00511005">
        <w:rPr>
          <w:rFonts w:ascii="Arial" w:eastAsia="Calibri" w:hAnsi="Arial" w:cs="Arial"/>
          <w:szCs w:val="28"/>
          <w:shd w:val="clear" w:color="auto" w:fill="FFFFFF"/>
          <w:lang w:val="uk-UA"/>
        </w:rPr>
        <w:t>Про соціальний і правовий захист військовослужбовців та членів їх сімей:</w:t>
      </w:r>
      <w:r w:rsidRPr="00511005">
        <w:rPr>
          <w:rFonts w:ascii="Arial" w:eastAsia="Calibri" w:hAnsi="Arial" w:cs="Arial"/>
          <w:szCs w:val="28"/>
          <w:lang w:val="uk-UA"/>
        </w:rPr>
        <w:t xml:space="preserve"> </w:t>
      </w:r>
      <w:hyperlink r:id="rId1688" w:tgtFrame="_blank" w:history="1">
        <w:r w:rsidRPr="00511005">
          <w:rPr>
            <w:rFonts w:ascii="Arial" w:eastAsia="Calibri" w:hAnsi="Arial" w:cs="Arial"/>
            <w:szCs w:val="28"/>
            <w:shd w:val="clear" w:color="auto" w:fill="FFFFFF"/>
            <w:lang w:val="uk-UA"/>
          </w:rPr>
          <w:t>Закон України</w:t>
        </w:r>
      </w:hyperlink>
      <w:r w:rsidRPr="00511005">
        <w:rPr>
          <w:rFonts w:ascii="Arial" w:eastAsia="Calibri" w:hAnsi="Arial" w:cs="Arial"/>
          <w:szCs w:val="28"/>
          <w:shd w:val="clear" w:color="auto" w:fill="FFFFFF"/>
          <w:lang w:val="uk-UA"/>
        </w:rPr>
        <w:t> </w:t>
      </w:r>
      <w:r w:rsidRPr="00511005">
        <w:rPr>
          <w:rFonts w:ascii="Arial" w:eastAsia="Calibri" w:hAnsi="Arial" w:cs="Arial"/>
          <w:szCs w:val="28"/>
          <w:lang w:val="uk-UA"/>
        </w:rPr>
        <w:t>від</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20.12.1991 року № 2011-ХІІ. URL:</w:t>
      </w:r>
      <w:r w:rsidR="007B2628" w:rsidRPr="00511005">
        <w:rPr>
          <w:rFonts w:ascii="Arial" w:eastAsia="Calibri" w:hAnsi="Arial" w:cs="Arial"/>
          <w:szCs w:val="28"/>
          <w:lang w:val="uk-UA"/>
        </w:rPr>
        <w:t xml:space="preserve"> </w:t>
      </w:r>
      <w:hyperlink r:id="rId1689" w:history="1">
        <w:r w:rsidRPr="00511005">
          <w:rPr>
            <w:rFonts w:ascii="Arial" w:eastAsia="Calibri" w:hAnsi="Arial" w:cs="Arial"/>
            <w:szCs w:val="28"/>
            <w:shd w:val="clear" w:color="auto" w:fill="FFFFFF"/>
            <w:lang w:val="uk-UA"/>
          </w:rPr>
          <w:t>https://zakon.rada.gov.ua/laws/show/2011-12</w:t>
        </w:r>
      </w:hyperlink>
      <w:r w:rsidRPr="00511005">
        <w:rPr>
          <w:rFonts w:ascii="Arial" w:eastAsia="Calibri" w:hAnsi="Arial" w:cs="Arial"/>
          <w:szCs w:val="28"/>
          <w:shd w:val="clear" w:color="auto" w:fill="FFFFFF"/>
          <w:lang w:val="uk-UA"/>
        </w:rPr>
        <w:t xml:space="preserve"> </w:t>
      </w:r>
      <w:r w:rsidRPr="00511005">
        <w:rPr>
          <w:rFonts w:ascii="Arial" w:eastAsia="Calibri" w:hAnsi="Arial" w:cs="Arial"/>
          <w:szCs w:val="28"/>
        </w:rPr>
        <w:t xml:space="preserve">(дата </w:t>
      </w:r>
      <w:r w:rsidRPr="00511005">
        <w:rPr>
          <w:rFonts w:ascii="Arial" w:eastAsia="Calibri" w:hAnsi="Arial" w:cs="Arial"/>
          <w:szCs w:val="28"/>
          <w:lang w:val="uk-UA"/>
        </w:rPr>
        <w:t>звернення 05</w:t>
      </w:r>
      <w:r w:rsidRPr="00511005">
        <w:rPr>
          <w:rFonts w:ascii="Arial" w:eastAsia="Calibri" w:hAnsi="Arial" w:cs="Arial"/>
          <w:szCs w:val="28"/>
        </w:rPr>
        <w:t>.05.2025).</w:t>
      </w:r>
    </w:p>
    <w:p w14:paraId="43AB21F0" w14:textId="77777777" w:rsidR="003476F8" w:rsidRPr="00511005" w:rsidRDefault="003476F8" w:rsidP="003A292D">
      <w:pPr>
        <w:tabs>
          <w:tab w:val="left" w:pos="2544"/>
        </w:tabs>
        <w:spacing w:line="264" w:lineRule="auto"/>
        <w:rPr>
          <w:rFonts w:ascii="Arial" w:eastAsia="Calibri" w:hAnsi="Arial" w:cs="Arial"/>
          <w:szCs w:val="28"/>
          <w:shd w:val="clear" w:color="auto" w:fill="FFFFFF"/>
        </w:rPr>
      </w:pPr>
      <w:r w:rsidRPr="00511005">
        <w:rPr>
          <w:rFonts w:ascii="Arial" w:eastAsia="Calibri" w:hAnsi="Arial" w:cs="Arial"/>
          <w:szCs w:val="28"/>
          <w:shd w:val="clear" w:color="auto" w:fill="FFFFFF"/>
        </w:rPr>
        <w:tab/>
      </w:r>
    </w:p>
    <w:p w14:paraId="1741BA79" w14:textId="3E9EFEE1" w:rsidR="003476F8" w:rsidRPr="00511005" w:rsidRDefault="007B2628" w:rsidP="003A292D">
      <w:pPr>
        <w:spacing w:line="264" w:lineRule="auto"/>
        <w:rPr>
          <w:rFonts w:ascii="Arial" w:eastAsia="Calibri" w:hAnsi="Arial" w:cs="Arial"/>
          <w:szCs w:val="28"/>
          <w:shd w:val="clear" w:color="auto" w:fill="FFFFFF"/>
          <w:lang w:val="uk-UA"/>
        </w:rPr>
      </w:pPr>
      <w:r w:rsidRPr="00511005">
        <w:rPr>
          <w:rFonts w:ascii="Arial" w:eastAsia="Calibri" w:hAnsi="Arial" w:cs="Arial"/>
          <w:b/>
          <w:bCs/>
          <w:i/>
          <w:szCs w:val="28"/>
          <w:shd w:val="clear" w:color="auto" w:fill="FFFFFF"/>
        </w:rPr>
        <w:t xml:space="preserve">Ключові слова: </w:t>
      </w:r>
      <w:r w:rsidR="003476F8" w:rsidRPr="00511005">
        <w:rPr>
          <w:rFonts w:ascii="Arial" w:eastAsia="Calibri" w:hAnsi="Arial" w:cs="Arial"/>
          <w:szCs w:val="28"/>
          <w:shd w:val="clear" w:color="auto" w:fill="FFFFFF"/>
          <w:lang w:val="uk-UA"/>
        </w:rPr>
        <w:t>держава, війна, воєнний стан, робочий час, час відпочинку, трудові правовідносини, заробітна плата, відпустка, роботодавець, працівник.</w:t>
      </w:r>
    </w:p>
    <w:p w14:paraId="4F9B75F8" w14:textId="06C72FB7" w:rsidR="003476F8" w:rsidRPr="00511005" w:rsidRDefault="007B2628" w:rsidP="003A292D">
      <w:pPr>
        <w:spacing w:line="264" w:lineRule="auto"/>
        <w:rPr>
          <w:rFonts w:ascii="Arial" w:eastAsia="Calibri" w:hAnsi="Arial" w:cs="Arial"/>
          <w:b/>
          <w:bCs/>
          <w:szCs w:val="28"/>
          <w:lang w:val="uk-UA"/>
        </w:rPr>
      </w:pPr>
      <w:r w:rsidRPr="00511005">
        <w:rPr>
          <w:rFonts w:ascii="Arial" w:eastAsia="Calibri" w:hAnsi="Arial" w:cs="Arial"/>
          <w:b/>
          <w:bCs/>
          <w:i/>
          <w:szCs w:val="28"/>
          <w:shd w:val="clear" w:color="auto" w:fill="FFFFFF"/>
          <w:lang w:val="en-US"/>
        </w:rPr>
        <w:t xml:space="preserve">Key words: </w:t>
      </w:r>
      <w:r w:rsidR="003476F8" w:rsidRPr="00511005">
        <w:rPr>
          <w:rFonts w:ascii="Arial" w:eastAsia="Calibri" w:hAnsi="Arial" w:cs="Arial"/>
          <w:szCs w:val="28"/>
          <w:shd w:val="clear" w:color="auto" w:fill="FFFFFF"/>
          <w:lang w:val="en-US"/>
        </w:rPr>
        <w:t>state, war, martial law, working hours, rest time, labor relations, salary, leave, employer, employee</w:t>
      </w:r>
      <w:r w:rsidR="003476F8" w:rsidRPr="00511005">
        <w:rPr>
          <w:rFonts w:ascii="Arial" w:eastAsia="Calibri" w:hAnsi="Arial" w:cs="Arial"/>
          <w:szCs w:val="28"/>
          <w:shd w:val="clear" w:color="auto" w:fill="FFFFFF"/>
          <w:lang w:val="uk-UA"/>
        </w:rPr>
        <w:t>.</w:t>
      </w:r>
    </w:p>
    <w:p w14:paraId="1A0985E9" w14:textId="307CCB40" w:rsidR="003476F8" w:rsidRPr="00511005" w:rsidRDefault="007B2628" w:rsidP="003A292D">
      <w:pPr>
        <w:spacing w:line="264" w:lineRule="auto"/>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3476F8" w:rsidRPr="00511005">
        <w:rPr>
          <w:rFonts w:ascii="Arial" w:eastAsia="Calibri" w:hAnsi="Arial" w:cs="Arial"/>
          <w:i/>
          <w:iCs/>
          <w:szCs w:val="28"/>
          <w:lang w:val="uk-UA"/>
        </w:rPr>
        <w:t xml:space="preserve">к.ю.н., доцент Пожарова О.В </w:t>
      </w:r>
    </w:p>
    <w:p w14:paraId="7A62F4D0"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0A26AE5C"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08FBC3D6" w14:textId="77777777" w:rsidR="003476F8" w:rsidRPr="00511005" w:rsidRDefault="003476F8" w:rsidP="003A292D">
      <w:pPr>
        <w:widowControl w:val="0"/>
        <w:tabs>
          <w:tab w:val="left" w:pos="994"/>
          <w:tab w:val="left" w:pos="7088"/>
        </w:tabs>
        <w:autoSpaceDE w:val="0"/>
        <w:autoSpaceDN w:val="0"/>
        <w:adjustRightInd w:val="0"/>
        <w:spacing w:line="264" w:lineRule="auto"/>
        <w:ind w:firstLine="0"/>
        <w:jc w:val="center"/>
        <w:rPr>
          <w:rFonts w:ascii="Arial" w:eastAsia="Times New Roman" w:hAnsi="Arial" w:cs="Arial"/>
          <w:b/>
          <w:bCs/>
          <w:i/>
          <w:iCs/>
          <w:szCs w:val="28"/>
        </w:rPr>
      </w:pPr>
      <w:r w:rsidRPr="00511005">
        <w:rPr>
          <w:rFonts w:ascii="Arial" w:eastAsia="Times New Roman" w:hAnsi="Arial" w:cs="Arial"/>
          <w:b/>
          <w:bCs/>
          <w:i/>
          <w:iCs/>
          <w:szCs w:val="28"/>
        </w:rPr>
        <w:t>Кулик Анастасія Андріївна</w:t>
      </w:r>
    </w:p>
    <w:p w14:paraId="778DE84C" w14:textId="77777777" w:rsidR="004A03EB" w:rsidRDefault="00536AAB" w:rsidP="003A292D">
      <w:pPr>
        <w:widowControl w:val="0"/>
        <w:tabs>
          <w:tab w:val="left" w:pos="7088"/>
        </w:tabs>
        <w:autoSpaceDE w:val="0"/>
        <w:autoSpaceDN w:val="0"/>
        <w:adjustRightInd w:val="0"/>
        <w:spacing w:line="264" w:lineRule="auto"/>
        <w:ind w:firstLine="0"/>
        <w:jc w:val="center"/>
        <w:rPr>
          <w:rFonts w:ascii="Arial" w:eastAsia="Times New Roman" w:hAnsi="Arial" w:cs="Arial"/>
          <w:szCs w:val="28"/>
        </w:rPr>
      </w:pPr>
      <w:r w:rsidRPr="004A03EB">
        <w:rPr>
          <w:rFonts w:ascii="Arial" w:eastAsia="Times New Roman" w:hAnsi="Arial" w:cs="Arial"/>
          <w:szCs w:val="28"/>
        </w:rPr>
        <w:t xml:space="preserve">студентка 2-го курсу </w:t>
      </w:r>
      <w:r w:rsidR="007B2628" w:rsidRPr="004A03EB">
        <w:rPr>
          <w:rFonts w:ascii="Arial" w:eastAsia="Times New Roman" w:hAnsi="Arial" w:cs="Arial"/>
          <w:szCs w:val="28"/>
        </w:rPr>
        <w:t>факультету цивільної та господарської юстиції</w:t>
      </w:r>
      <w:r w:rsidR="003476F8" w:rsidRPr="004A03EB">
        <w:rPr>
          <w:rFonts w:ascii="Arial" w:eastAsia="Times New Roman" w:hAnsi="Arial" w:cs="Arial"/>
          <w:szCs w:val="28"/>
        </w:rPr>
        <w:t xml:space="preserve"> </w:t>
      </w:r>
    </w:p>
    <w:p w14:paraId="3D949600" w14:textId="68E36B07" w:rsidR="003476F8" w:rsidRPr="004A03EB" w:rsidRDefault="007B2628" w:rsidP="003A292D">
      <w:pPr>
        <w:widowControl w:val="0"/>
        <w:tabs>
          <w:tab w:val="left" w:pos="7088"/>
        </w:tabs>
        <w:autoSpaceDE w:val="0"/>
        <w:autoSpaceDN w:val="0"/>
        <w:adjustRightInd w:val="0"/>
        <w:spacing w:line="264" w:lineRule="auto"/>
        <w:ind w:firstLine="0"/>
        <w:jc w:val="center"/>
        <w:rPr>
          <w:rFonts w:ascii="Arial" w:eastAsia="Times New Roman" w:hAnsi="Arial" w:cs="Arial"/>
          <w:szCs w:val="28"/>
        </w:rPr>
      </w:pPr>
      <w:r w:rsidRPr="004A03EB">
        <w:rPr>
          <w:rFonts w:ascii="Arial" w:eastAsia="Times New Roman" w:hAnsi="Arial" w:cs="Arial"/>
          <w:szCs w:val="28"/>
        </w:rPr>
        <w:t>Національного університету «Одеська юридична академія»</w:t>
      </w:r>
    </w:p>
    <w:p w14:paraId="084B4CC1" w14:textId="77777777" w:rsidR="003476F8" w:rsidRPr="00511005" w:rsidRDefault="003476F8" w:rsidP="003A292D">
      <w:pPr>
        <w:widowControl w:val="0"/>
        <w:tabs>
          <w:tab w:val="left" w:pos="7088"/>
        </w:tabs>
        <w:autoSpaceDE w:val="0"/>
        <w:autoSpaceDN w:val="0"/>
        <w:adjustRightInd w:val="0"/>
        <w:spacing w:line="264" w:lineRule="auto"/>
        <w:ind w:firstLine="0"/>
        <w:jc w:val="center"/>
        <w:rPr>
          <w:rFonts w:ascii="Arial" w:eastAsia="Times New Roman" w:hAnsi="Arial" w:cs="Arial"/>
          <w:i/>
          <w:iCs/>
          <w:szCs w:val="28"/>
        </w:rPr>
      </w:pPr>
    </w:p>
    <w:p w14:paraId="4BCC37EB" w14:textId="77777777" w:rsidR="003476F8" w:rsidRPr="00511005" w:rsidRDefault="003476F8" w:rsidP="003A292D">
      <w:pPr>
        <w:widowControl w:val="0"/>
        <w:autoSpaceDE w:val="0"/>
        <w:autoSpaceDN w:val="0"/>
        <w:adjustRightInd w:val="0"/>
        <w:spacing w:line="264" w:lineRule="auto"/>
        <w:ind w:firstLine="0"/>
        <w:jc w:val="center"/>
        <w:rPr>
          <w:rFonts w:ascii="Arial" w:eastAsia="Times New Roman" w:hAnsi="Arial" w:cs="Arial"/>
          <w:b/>
          <w:bCs/>
          <w:szCs w:val="28"/>
        </w:rPr>
      </w:pPr>
      <w:r w:rsidRPr="00511005">
        <w:rPr>
          <w:rFonts w:ascii="Arial" w:eastAsia="Times New Roman" w:hAnsi="Arial" w:cs="Arial"/>
          <w:b/>
          <w:bCs/>
          <w:szCs w:val="28"/>
        </w:rPr>
        <w:t>ПРАВОВИЙ СТАТУС МЕДІАТОРА В ТРУДОВИХ СПОРАХ</w:t>
      </w:r>
    </w:p>
    <w:p w14:paraId="748A07DD" w14:textId="77777777" w:rsidR="003476F8" w:rsidRPr="00511005" w:rsidRDefault="003476F8" w:rsidP="003A292D">
      <w:pPr>
        <w:widowControl w:val="0"/>
        <w:autoSpaceDE w:val="0"/>
        <w:autoSpaceDN w:val="0"/>
        <w:adjustRightInd w:val="0"/>
        <w:spacing w:line="264" w:lineRule="auto"/>
        <w:rPr>
          <w:rFonts w:ascii="Arial" w:eastAsia="Times New Roman" w:hAnsi="Arial" w:cs="Arial"/>
          <w:szCs w:val="28"/>
        </w:rPr>
      </w:pPr>
      <w:r w:rsidRPr="00511005">
        <w:rPr>
          <w:rFonts w:ascii="Arial" w:eastAsia="Times New Roman" w:hAnsi="Arial" w:cs="Arial"/>
          <w:szCs w:val="28"/>
        </w:rPr>
        <w:t xml:space="preserve">У сучасному правовому полі України все частіше піднімається питання про необхідність удосконалення механізмів досудового вирішення трудових спорів, і одним з таких механізмів виступає медіація. Зростаюча складність трудових відносин, трансформація ринку праці, поява нових форм зайнятості та трудової мобільності зумовлюють потребу у гнучкому, неформальному, конфіденційному та швидкому способі розв’язання конфліктів між працівником і роботодавцем. У цьому контексті правовий статус медіатора набуває надзвичайної ваги, оскільки саме ця особа </w:t>
      </w:r>
      <w:r w:rsidRPr="00511005">
        <w:rPr>
          <w:rFonts w:ascii="Arial" w:eastAsia="Times New Roman" w:hAnsi="Arial" w:cs="Arial"/>
          <w:szCs w:val="28"/>
        </w:rPr>
        <w:lastRenderedPageBreak/>
        <w:t>виступає посередником між сторонами спору, сприяючи досягненню компромісу та збереженню ділових стосунків. Правовий статус медіатора у трудових спорах має низку характеристик, що відрізняють його від інших учасників процесу, зокрема суддів, адвокатів чи арбітрів [1]. Найважливішими рисами медіатора є нейтральність, незалежність, добровільність його участі, а також обов’язок забезпечити дотримання принципу рівності сторін. Як зазначає О. Середа, головною функцією медіатора є не винесення рішення, а створення умов для конструктивного діалогу, під час якого сторони самостійно доходять до взаємоприйнятного рішення, що знижує ймовірність ескалації конфлікту та сприяє збереженню робочих стосунків. При цьому, юридичний статус медіатора потребує чіткої регламентації, адже саме правове визначення його повноважень, обов’язків і гарантій діяльності стане запорукою легітимності медіації як процедури [2, c.38].</w:t>
      </w:r>
    </w:p>
    <w:p w14:paraId="6E5C8CCA" w14:textId="77777777" w:rsidR="003476F8" w:rsidRPr="00511005" w:rsidRDefault="003476F8" w:rsidP="003A292D">
      <w:pPr>
        <w:widowControl w:val="0"/>
        <w:autoSpaceDE w:val="0"/>
        <w:autoSpaceDN w:val="0"/>
        <w:adjustRightInd w:val="0"/>
        <w:spacing w:line="264" w:lineRule="auto"/>
        <w:rPr>
          <w:rFonts w:ascii="Arial" w:eastAsia="Times New Roman" w:hAnsi="Arial" w:cs="Arial"/>
          <w:szCs w:val="28"/>
        </w:rPr>
      </w:pPr>
      <w:r w:rsidRPr="00511005">
        <w:rPr>
          <w:rFonts w:ascii="Arial" w:eastAsia="Times New Roman" w:hAnsi="Arial" w:cs="Arial"/>
          <w:szCs w:val="28"/>
        </w:rPr>
        <w:t>Досвід європейських країн і США демонструє, що у трудових спорах медіація дозволяє зекономити значні фінансові ресурси, знизити навантаження на судову систему та забезпечити гнучке вирішення конфліктів, враховуючи інтереси обох сторін. На відміну від судового рішення, яке може бути сприйняте однією зі сторін як несправедливе, домовленість, досягнута внаслідок медіації, виконується охоче і добровільно. Водночас, у правовому полі України досі існують певні прогалини щодо статусу медіатора, зокрема відсутність чітких законодавчих норм, які б визначали його повноваження у сфері трудового права, стандарти професійної етики, вимоги до освіти, відповідальність за недотримання принципів неупередженості та конфіденційності. Істотним бар’єром для впровадження медіації у вирішення трудових спорів є можливість виникнення конфлікту інтересів, особливо коли медіатор раніше виступав як юрист однієї зі сторін. Така ситуація суперечить базовим принципам медіації та викликає сумніви щодо об’єктивності процесу. Це підтверджують численні наукові дослідження, в яких зазначається, що наявність навіть потенційного конфлікту інтересів ставить під загрозу ефективність медіації, підриває довіру сторін і може призвести до оскарження результатів процедури. Саме тому в законодавстві мають бути чітко прописані обмеження для осіб, які мають комерційний або професійний інтерес у справі, брали участь у ній як представники сторін чи надавали правову допомогу.</w:t>
      </w:r>
    </w:p>
    <w:p w14:paraId="6F92039C" w14:textId="77777777" w:rsidR="003476F8" w:rsidRPr="00511005" w:rsidRDefault="003476F8" w:rsidP="003A292D">
      <w:pPr>
        <w:widowControl w:val="0"/>
        <w:autoSpaceDE w:val="0"/>
        <w:autoSpaceDN w:val="0"/>
        <w:adjustRightInd w:val="0"/>
        <w:spacing w:line="264" w:lineRule="auto"/>
        <w:rPr>
          <w:rFonts w:ascii="Arial" w:eastAsia="Times New Roman" w:hAnsi="Arial" w:cs="Arial"/>
          <w:szCs w:val="28"/>
        </w:rPr>
      </w:pPr>
      <w:r w:rsidRPr="00511005">
        <w:rPr>
          <w:rFonts w:ascii="Arial" w:eastAsia="Times New Roman" w:hAnsi="Arial" w:cs="Arial"/>
          <w:szCs w:val="28"/>
        </w:rPr>
        <w:t xml:space="preserve">Крім того, правовий статус медіатора має враховувати специфіку трудових відносин, в яких працівник часто перебуває у вразливішому становищі, ніж роботодавець. Це обумовлено матеріальною залежністю, страхом втрати роботи, обмеженим доступом до інформації, що створює дисбаланс сил. У таких умовах роль медіатора як нейтрального фасилітатора стає ще більш важливою. Він має не лише забезпечити </w:t>
      </w:r>
      <w:r w:rsidRPr="00511005">
        <w:rPr>
          <w:rFonts w:ascii="Arial" w:eastAsia="Times New Roman" w:hAnsi="Arial" w:cs="Arial"/>
          <w:szCs w:val="28"/>
        </w:rPr>
        <w:lastRenderedPageBreak/>
        <w:t>рівноправність сторін, але й виступати гарантом дотримання морально-етичних норм, запобігати маніпуляціям, психологічному тиску чи введенню працівника в оману. Проте, сьогодні в Україні спостерігається недостатній рівень правової культури серед роботодавців і працівників, а також брак фахівців з відповідною кваліфікацією, що серйозно ускладнює розвиток інституту медіації у сфері трудових відносин. Навіть коли сторони формально погоджуються на участь у медіації, реальна асиметрія в ресурсах, юридичній грамотності та психологічній стійкості може звести нанівець усі зусилля медіатора [3, c.37].</w:t>
      </w:r>
    </w:p>
    <w:p w14:paraId="4FA17CF8" w14:textId="77777777" w:rsidR="003476F8" w:rsidRPr="00511005" w:rsidRDefault="003476F8" w:rsidP="003A292D">
      <w:pPr>
        <w:widowControl w:val="0"/>
        <w:autoSpaceDE w:val="0"/>
        <w:autoSpaceDN w:val="0"/>
        <w:adjustRightInd w:val="0"/>
        <w:spacing w:line="264" w:lineRule="auto"/>
        <w:rPr>
          <w:rFonts w:ascii="Arial" w:eastAsia="Times New Roman" w:hAnsi="Arial" w:cs="Arial"/>
          <w:szCs w:val="28"/>
        </w:rPr>
      </w:pPr>
      <w:r w:rsidRPr="00511005">
        <w:rPr>
          <w:rFonts w:ascii="Arial" w:eastAsia="Times New Roman" w:hAnsi="Arial" w:cs="Arial"/>
          <w:szCs w:val="28"/>
        </w:rPr>
        <w:t>Не менш важливим є питання правового регулювання результатів медіації у трудових спорах. На сьогодні домовленості, досягнуті сторонами за посередництвом медіатора, не завжди мають достатню юридичну силу або чіткий механізм примусового виконання. Це створює ризик для сторін, особливо для працівника, у випадку, якщо роботодавець відмовиться виконувати взяті на себе зобов’язання. Тому законодавче врегулювання статусу медіатора має включати і визначення юридичної сили медіаційної угоди, її реєстрацію, можливість надання виконавчого документа на її основі. Окрему увагу необхідно приділити питанню сертифікації та підготовки медіаторів, які працюють у сфері трудових відносин. Їхня діяльність повинна регулюватися окремими галузевими стандартами, а не лише загальними нормами, оскільки специфіка трудового конфлікту вимагає знання не тільки технік переговорів, а й особливостей трудового права, психології конфліктів, етики комунікації. Це дозволить уникнути поверхневого або формального підходу до вирішення глибоких трудових суперечок, які часто зачіпають не лише правову, а й емоційну та соціальну сфери.</w:t>
      </w:r>
    </w:p>
    <w:p w14:paraId="01441555" w14:textId="77777777" w:rsidR="003476F8" w:rsidRPr="00511005" w:rsidRDefault="003476F8" w:rsidP="003A292D">
      <w:pPr>
        <w:widowControl w:val="0"/>
        <w:autoSpaceDE w:val="0"/>
        <w:autoSpaceDN w:val="0"/>
        <w:adjustRightInd w:val="0"/>
        <w:spacing w:line="264" w:lineRule="auto"/>
        <w:rPr>
          <w:rFonts w:ascii="Arial" w:eastAsia="Times New Roman" w:hAnsi="Arial" w:cs="Arial"/>
          <w:szCs w:val="28"/>
        </w:rPr>
      </w:pPr>
      <w:r w:rsidRPr="00511005">
        <w:rPr>
          <w:rFonts w:ascii="Arial" w:eastAsia="Times New Roman" w:hAnsi="Arial" w:cs="Arial"/>
          <w:szCs w:val="28"/>
        </w:rPr>
        <w:t>Правовий статус медіатора у трудових спорах має бути також захищеним і з точки зору правової безпеки: необхідно законодавчо гарантувати недоторканність його позиції, захист від тиску з боку сторін, можливість відмови від справи у разі порушення принципів неупередженості. Це, своєю чергою, сприятиме зростанню довіри до самої процедури медіації. Важливо також створити умови для роз’яснення сторонам суті медіації, її переваг та обмежень. Люди мають свідомо погоджуватись на процедуру, розуміючи її добровільний характер і відмінність від судового розгляду. Саме усвідомленість сторін, рівень їх підготовки та поінформованості визначає успішність медіаційного процесу. З цією метою доцільно запровадити інформаційні кампанії, підготовку профспілкових лідерів і HR-менеджерів, які зможуть бути провідниками ідеї медіації на підприємствах.</w:t>
      </w:r>
    </w:p>
    <w:p w14:paraId="2BF30C30" w14:textId="77777777" w:rsidR="003476F8" w:rsidRPr="00511005" w:rsidRDefault="003476F8" w:rsidP="003A292D">
      <w:pPr>
        <w:widowControl w:val="0"/>
        <w:autoSpaceDE w:val="0"/>
        <w:autoSpaceDN w:val="0"/>
        <w:adjustRightInd w:val="0"/>
        <w:spacing w:line="264" w:lineRule="auto"/>
        <w:rPr>
          <w:rFonts w:ascii="Arial" w:eastAsia="Times New Roman" w:hAnsi="Arial" w:cs="Arial"/>
          <w:szCs w:val="28"/>
        </w:rPr>
      </w:pPr>
      <w:r w:rsidRPr="00511005">
        <w:rPr>
          <w:rFonts w:ascii="Arial" w:eastAsia="Times New Roman" w:hAnsi="Arial" w:cs="Arial"/>
          <w:szCs w:val="28"/>
        </w:rPr>
        <w:t xml:space="preserve">Таким чином, правовий статус медіатора у трудових спорах не є просто технічним питанням юридичної класифікації. Це — ключовий елемент у вибудовуванні нової моделі трудових відносин, побудованої на </w:t>
      </w:r>
      <w:r w:rsidRPr="00511005">
        <w:rPr>
          <w:rFonts w:ascii="Arial" w:eastAsia="Times New Roman" w:hAnsi="Arial" w:cs="Arial"/>
          <w:szCs w:val="28"/>
        </w:rPr>
        <w:lastRenderedPageBreak/>
        <w:t>взаємній повазі, діалозі та компромісі. Лише за умови чіткого, всебічного нормативного закріплення цього статусу можна говорити про реальне втілення медіації як ефективного способу вирішення трудових спорів. Це стане основою для розвитку цивілізованого ринку праці, зниження соціальної напруги, захисту прав людини у сфері праці та зміцнення демократичних інституцій. Медіація – це не альтернатива правосуддю, а його доповнення, яке при належному правовому забезпеченні здатне стати інструментом гармонізації трудових стосунків у XXI столітті.</w:t>
      </w:r>
    </w:p>
    <w:p w14:paraId="26274AA8" w14:textId="77777777" w:rsidR="003476F8" w:rsidRPr="00511005" w:rsidRDefault="003476F8" w:rsidP="003A292D">
      <w:pPr>
        <w:widowControl w:val="0"/>
        <w:autoSpaceDE w:val="0"/>
        <w:autoSpaceDN w:val="0"/>
        <w:adjustRightInd w:val="0"/>
        <w:spacing w:line="264" w:lineRule="auto"/>
        <w:ind w:firstLine="0"/>
        <w:jc w:val="left"/>
        <w:rPr>
          <w:rFonts w:ascii="Arial" w:eastAsia="Times New Roman" w:hAnsi="Arial" w:cs="Arial"/>
          <w:b/>
          <w:bCs/>
          <w:szCs w:val="28"/>
        </w:rPr>
      </w:pPr>
    </w:p>
    <w:p w14:paraId="4C67DD5E" w14:textId="55AD2B42" w:rsidR="003476F8" w:rsidRPr="00511005" w:rsidRDefault="007B2628" w:rsidP="007B2628">
      <w:pPr>
        <w:widowControl w:val="0"/>
        <w:autoSpaceDE w:val="0"/>
        <w:autoSpaceDN w:val="0"/>
        <w:adjustRightInd w:val="0"/>
        <w:spacing w:line="264" w:lineRule="auto"/>
        <w:ind w:firstLine="0"/>
        <w:jc w:val="center"/>
        <w:rPr>
          <w:rFonts w:ascii="Arial" w:eastAsia="Times New Roman" w:hAnsi="Arial" w:cs="Arial"/>
          <w:b/>
          <w:bCs/>
          <w:szCs w:val="28"/>
        </w:rPr>
      </w:pPr>
      <w:r w:rsidRPr="00511005">
        <w:rPr>
          <w:rFonts w:ascii="Arial" w:eastAsia="Times New Roman" w:hAnsi="Arial" w:cs="Arial"/>
          <w:b/>
          <w:bCs/>
          <w:szCs w:val="28"/>
          <w:lang w:val="uk-UA"/>
        </w:rPr>
        <w:t>Список використаних джерел</w:t>
      </w:r>
    </w:p>
    <w:p w14:paraId="47A44889" w14:textId="77777777" w:rsidR="003476F8" w:rsidRPr="00511005" w:rsidRDefault="003476F8" w:rsidP="003A292D">
      <w:pPr>
        <w:widowControl w:val="0"/>
        <w:autoSpaceDE w:val="0"/>
        <w:autoSpaceDN w:val="0"/>
        <w:adjustRightInd w:val="0"/>
        <w:spacing w:line="264" w:lineRule="auto"/>
        <w:rPr>
          <w:rFonts w:ascii="Arial" w:eastAsia="Times New Roman" w:hAnsi="Arial" w:cs="Arial"/>
          <w:szCs w:val="28"/>
        </w:rPr>
      </w:pPr>
      <w:r w:rsidRPr="00511005">
        <w:rPr>
          <w:rFonts w:ascii="Arial" w:eastAsia="Times New Roman" w:hAnsi="Arial" w:cs="Arial"/>
          <w:szCs w:val="28"/>
        </w:rPr>
        <w:t xml:space="preserve">1. Про медіацію: Закон України. </w:t>
      </w:r>
      <w:r w:rsidRPr="00511005">
        <w:rPr>
          <w:rFonts w:ascii="Arial" w:eastAsia="Times New Roman" w:hAnsi="Arial" w:cs="Arial"/>
          <w:i/>
          <w:iCs/>
          <w:szCs w:val="28"/>
        </w:rPr>
        <w:t xml:space="preserve">Відомості Верховної Ради. </w:t>
      </w:r>
      <w:r w:rsidRPr="00511005">
        <w:rPr>
          <w:rFonts w:ascii="Arial" w:eastAsia="Times New Roman" w:hAnsi="Arial" w:cs="Arial"/>
          <w:szCs w:val="28"/>
        </w:rPr>
        <w:t xml:space="preserve">2022. № 7. Ст.51. URL: </w:t>
      </w:r>
      <w:hyperlink r:id="rId1690" w:anchor="Text" w:history="1">
        <w:r w:rsidRPr="00511005">
          <w:rPr>
            <w:rFonts w:ascii="Arial" w:eastAsia="Times New Roman" w:hAnsi="Arial" w:cs="Arial"/>
            <w:szCs w:val="28"/>
            <w:u w:color="0000FF"/>
          </w:rPr>
          <w:t>https://zakon.rada.gov.ua/laws/show/1875-20#Text</w:t>
        </w:r>
      </w:hyperlink>
      <w:r w:rsidRPr="00511005">
        <w:rPr>
          <w:rFonts w:ascii="Arial" w:eastAsia="Times New Roman" w:hAnsi="Arial" w:cs="Arial"/>
          <w:szCs w:val="28"/>
        </w:rPr>
        <w:t>.</w:t>
      </w:r>
    </w:p>
    <w:p w14:paraId="047F88CA" w14:textId="77777777" w:rsidR="003476F8" w:rsidRPr="00511005" w:rsidRDefault="003476F8" w:rsidP="003A292D">
      <w:pPr>
        <w:widowControl w:val="0"/>
        <w:autoSpaceDE w:val="0"/>
        <w:autoSpaceDN w:val="0"/>
        <w:adjustRightInd w:val="0"/>
        <w:spacing w:line="264" w:lineRule="auto"/>
        <w:rPr>
          <w:rFonts w:ascii="Arial" w:eastAsia="Times New Roman" w:hAnsi="Arial" w:cs="Arial"/>
          <w:szCs w:val="28"/>
        </w:rPr>
      </w:pPr>
      <w:r w:rsidRPr="00511005">
        <w:rPr>
          <w:rFonts w:ascii="Arial" w:eastAsia="Times New Roman" w:hAnsi="Arial" w:cs="Arial"/>
          <w:szCs w:val="28"/>
        </w:rPr>
        <w:t xml:space="preserve">2. Середа О. Г. Медіація (посередництво) як альтернативний спосіб вирішення вирішення трудового спору. </w:t>
      </w:r>
      <w:r w:rsidRPr="00511005">
        <w:rPr>
          <w:rFonts w:ascii="Arial" w:eastAsia="Times New Roman" w:hAnsi="Arial" w:cs="Arial"/>
          <w:i/>
          <w:iCs/>
          <w:szCs w:val="28"/>
        </w:rPr>
        <w:t xml:space="preserve">Право та інновації. </w:t>
      </w:r>
      <w:r w:rsidRPr="00511005">
        <w:rPr>
          <w:rFonts w:ascii="Arial" w:eastAsia="Times New Roman" w:hAnsi="Arial" w:cs="Arial"/>
          <w:szCs w:val="28"/>
        </w:rPr>
        <w:t>2017. № 2. С. 38-45.</w:t>
      </w:r>
    </w:p>
    <w:p w14:paraId="2BAF58C5" w14:textId="77777777" w:rsidR="003476F8" w:rsidRPr="00511005" w:rsidRDefault="003476F8" w:rsidP="003A292D">
      <w:pPr>
        <w:widowControl w:val="0"/>
        <w:autoSpaceDE w:val="0"/>
        <w:autoSpaceDN w:val="0"/>
        <w:adjustRightInd w:val="0"/>
        <w:spacing w:line="264" w:lineRule="auto"/>
        <w:rPr>
          <w:rFonts w:ascii="Arial" w:eastAsia="Times New Roman" w:hAnsi="Arial" w:cs="Arial"/>
          <w:szCs w:val="28"/>
        </w:rPr>
      </w:pPr>
      <w:r w:rsidRPr="00511005">
        <w:rPr>
          <w:rFonts w:ascii="Arial" w:eastAsia="Times New Roman" w:hAnsi="Arial" w:cs="Arial"/>
          <w:szCs w:val="28"/>
        </w:rPr>
        <w:t xml:space="preserve">3. Гресь Н. М. Критерії медіабельності ндивідуальних трудових спорів. </w:t>
      </w:r>
      <w:r w:rsidRPr="00511005">
        <w:rPr>
          <w:rFonts w:ascii="Arial" w:eastAsia="Times New Roman" w:hAnsi="Arial" w:cs="Arial"/>
          <w:i/>
          <w:iCs/>
          <w:szCs w:val="28"/>
        </w:rPr>
        <w:t xml:space="preserve">Приватне і публічне право. </w:t>
      </w:r>
      <w:r w:rsidRPr="00511005">
        <w:rPr>
          <w:rFonts w:ascii="Arial" w:eastAsia="Times New Roman" w:hAnsi="Arial" w:cs="Arial"/>
          <w:szCs w:val="28"/>
        </w:rPr>
        <w:t>2020. С. 37-41.</w:t>
      </w:r>
    </w:p>
    <w:p w14:paraId="00ED3791" w14:textId="77777777" w:rsidR="003476F8" w:rsidRPr="00511005" w:rsidRDefault="003476F8" w:rsidP="003A292D">
      <w:pPr>
        <w:widowControl w:val="0"/>
        <w:autoSpaceDE w:val="0"/>
        <w:autoSpaceDN w:val="0"/>
        <w:adjustRightInd w:val="0"/>
        <w:spacing w:line="264" w:lineRule="auto"/>
        <w:rPr>
          <w:rFonts w:ascii="Arial" w:eastAsia="Times New Roman" w:hAnsi="Arial" w:cs="Arial"/>
          <w:szCs w:val="28"/>
        </w:rPr>
      </w:pPr>
    </w:p>
    <w:p w14:paraId="2779596B" w14:textId="70E1121A" w:rsidR="003476F8" w:rsidRPr="00511005" w:rsidRDefault="007B2628" w:rsidP="003A292D">
      <w:pPr>
        <w:widowControl w:val="0"/>
        <w:tabs>
          <w:tab w:val="left" w:pos="993"/>
          <w:tab w:val="left" w:pos="7088"/>
        </w:tabs>
        <w:autoSpaceDE w:val="0"/>
        <w:autoSpaceDN w:val="0"/>
        <w:adjustRightInd w:val="0"/>
        <w:spacing w:line="264" w:lineRule="auto"/>
        <w:ind w:left="-567"/>
        <w:rPr>
          <w:rFonts w:ascii="Arial" w:eastAsia="Times New Roman" w:hAnsi="Arial" w:cs="Arial"/>
          <w:szCs w:val="28"/>
        </w:rPr>
      </w:pPr>
      <w:r w:rsidRPr="00511005">
        <w:rPr>
          <w:rFonts w:ascii="Arial" w:eastAsia="Times New Roman" w:hAnsi="Arial" w:cs="Arial"/>
          <w:b/>
          <w:bCs/>
          <w:i/>
          <w:szCs w:val="28"/>
        </w:rPr>
        <w:t xml:space="preserve">Ключові слова: </w:t>
      </w:r>
      <w:r w:rsidR="003476F8" w:rsidRPr="00511005">
        <w:rPr>
          <w:rFonts w:ascii="Arial" w:eastAsia="Times New Roman" w:hAnsi="Arial" w:cs="Arial"/>
          <w:szCs w:val="28"/>
        </w:rPr>
        <w:t xml:space="preserve">медіація, медіатор, трудові спори, правовий статус, досудове врегулювання, конфлікт інтересів, трудові відносини. </w:t>
      </w:r>
    </w:p>
    <w:p w14:paraId="756829FF" w14:textId="4D874E43" w:rsidR="003476F8" w:rsidRPr="00511005" w:rsidRDefault="003476F8" w:rsidP="003A292D">
      <w:pPr>
        <w:widowControl w:val="0"/>
        <w:tabs>
          <w:tab w:val="left" w:pos="993"/>
          <w:tab w:val="left" w:pos="7088"/>
        </w:tabs>
        <w:autoSpaceDE w:val="0"/>
        <w:autoSpaceDN w:val="0"/>
        <w:adjustRightInd w:val="0"/>
        <w:spacing w:line="264" w:lineRule="auto"/>
        <w:ind w:left="-567"/>
        <w:rPr>
          <w:rFonts w:ascii="Arial" w:eastAsia="Times New Roman" w:hAnsi="Arial" w:cs="Arial"/>
          <w:szCs w:val="28"/>
          <w:lang w:val="en-US"/>
        </w:rPr>
      </w:pPr>
      <w:r w:rsidRPr="00070B72">
        <w:rPr>
          <w:rFonts w:ascii="Arial" w:eastAsia="Times New Roman" w:hAnsi="Arial" w:cs="Arial"/>
          <w:b/>
          <w:bCs/>
          <w:i/>
          <w:iCs/>
          <w:szCs w:val="28"/>
          <w:lang w:val="en-US"/>
        </w:rPr>
        <w:t>Key</w:t>
      </w:r>
      <w:r w:rsidR="00070B72" w:rsidRPr="00070B72">
        <w:rPr>
          <w:rFonts w:ascii="Arial" w:eastAsia="Times New Roman" w:hAnsi="Arial" w:cs="Arial"/>
          <w:b/>
          <w:bCs/>
          <w:i/>
          <w:iCs/>
          <w:szCs w:val="28"/>
          <w:lang w:val="uk-UA"/>
        </w:rPr>
        <w:t xml:space="preserve"> </w:t>
      </w:r>
      <w:r w:rsidRPr="00070B72">
        <w:rPr>
          <w:rFonts w:ascii="Arial" w:eastAsia="Times New Roman" w:hAnsi="Arial" w:cs="Arial"/>
          <w:b/>
          <w:bCs/>
          <w:i/>
          <w:iCs/>
          <w:szCs w:val="28"/>
          <w:lang w:val="en-US"/>
        </w:rPr>
        <w:t>words:</w:t>
      </w:r>
      <w:r w:rsidR="00070B72">
        <w:rPr>
          <w:rFonts w:ascii="Arial" w:eastAsia="Times New Roman" w:hAnsi="Arial" w:cs="Arial"/>
          <w:b/>
          <w:bCs/>
          <w:szCs w:val="28"/>
          <w:lang w:val="uk-UA"/>
        </w:rPr>
        <w:t xml:space="preserve"> </w:t>
      </w:r>
      <w:r w:rsidRPr="00511005">
        <w:rPr>
          <w:rFonts w:ascii="Arial" w:eastAsia="Times New Roman" w:hAnsi="Arial" w:cs="Arial"/>
          <w:szCs w:val="28"/>
          <w:lang w:val="en-US"/>
        </w:rPr>
        <w:t>mediation, mediator, labor disputes, legal status, pre-trial settlement, conflict of interest, labor relations.</w:t>
      </w:r>
    </w:p>
    <w:p w14:paraId="382015F5" w14:textId="5AD2365B" w:rsidR="003476F8" w:rsidRPr="00511005" w:rsidRDefault="007B2628" w:rsidP="003A292D">
      <w:pPr>
        <w:widowControl w:val="0"/>
        <w:autoSpaceDE w:val="0"/>
        <w:autoSpaceDN w:val="0"/>
        <w:adjustRightInd w:val="0"/>
        <w:spacing w:line="264" w:lineRule="auto"/>
        <w:rPr>
          <w:rFonts w:ascii="Arial" w:eastAsia="Times New Roman" w:hAnsi="Arial" w:cs="Arial"/>
          <w:i/>
          <w:iCs/>
          <w:szCs w:val="28"/>
        </w:rPr>
      </w:pPr>
      <w:r w:rsidRPr="00511005">
        <w:rPr>
          <w:rFonts w:ascii="Arial" w:eastAsia="Times New Roman" w:hAnsi="Arial" w:cs="Arial"/>
          <w:b/>
          <w:i/>
          <w:iCs/>
          <w:szCs w:val="28"/>
        </w:rPr>
        <w:t xml:space="preserve">Науковий керівник: </w:t>
      </w:r>
      <w:r w:rsidR="003476F8" w:rsidRPr="00511005">
        <w:rPr>
          <w:rFonts w:ascii="Arial" w:eastAsia="Times New Roman" w:hAnsi="Arial" w:cs="Arial"/>
          <w:i/>
          <w:iCs/>
          <w:szCs w:val="28"/>
        </w:rPr>
        <w:t>к.ю.н., доцент Панченко А.О.</w:t>
      </w:r>
    </w:p>
    <w:p w14:paraId="41F7330B"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6D45C5B7"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28BEF811" w14:textId="77777777" w:rsidR="003476F8" w:rsidRPr="00511005" w:rsidRDefault="003476F8"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rPr>
        <w:t xml:space="preserve">Кулик </w:t>
      </w:r>
      <w:r w:rsidRPr="00511005">
        <w:rPr>
          <w:rFonts w:ascii="Arial" w:eastAsia="Calibri" w:hAnsi="Arial" w:cs="Arial"/>
          <w:b/>
          <w:i/>
          <w:szCs w:val="28"/>
          <w:lang w:val="uk-UA"/>
        </w:rPr>
        <w:t>Анастасія Ігорівна</w:t>
      </w:r>
    </w:p>
    <w:p w14:paraId="413F5DF2" w14:textId="7DA5678D" w:rsidR="003476F8"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2-го курсу </w:t>
      </w:r>
      <w:r w:rsidR="001B7B25" w:rsidRPr="00511005">
        <w:rPr>
          <w:rFonts w:ascii="Arial" w:eastAsia="Calibri" w:hAnsi="Arial" w:cs="Arial"/>
          <w:szCs w:val="28"/>
          <w:lang w:val="uk-UA"/>
        </w:rPr>
        <w:t>факультету судового та міжнародного права</w:t>
      </w:r>
    </w:p>
    <w:p w14:paraId="3703E87A" w14:textId="3772F8BA" w:rsidR="003476F8"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2BFA68D0" w14:textId="77777777" w:rsidR="003476F8" w:rsidRPr="00511005" w:rsidRDefault="003476F8" w:rsidP="003A292D">
      <w:pPr>
        <w:spacing w:line="264" w:lineRule="auto"/>
        <w:ind w:firstLine="0"/>
        <w:jc w:val="center"/>
        <w:rPr>
          <w:rFonts w:ascii="Arial" w:eastAsia="Calibri" w:hAnsi="Arial" w:cs="Arial"/>
          <w:szCs w:val="28"/>
          <w:lang w:val="uk-UA"/>
        </w:rPr>
      </w:pPr>
    </w:p>
    <w:p w14:paraId="4093BAE5" w14:textId="6867C908" w:rsidR="003476F8" w:rsidRPr="00511005" w:rsidRDefault="003476F8" w:rsidP="003A292D">
      <w:pPr>
        <w:keepNext/>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МІЖНАРОДНО</w:t>
      </w:r>
      <w:r w:rsidRPr="00511005">
        <w:rPr>
          <w:rFonts w:ascii="Arial" w:eastAsia="Calibri" w:hAnsi="Arial" w:cs="Arial"/>
          <w:b/>
          <w:szCs w:val="28"/>
        </w:rPr>
        <w:t>-</w:t>
      </w:r>
      <w:r w:rsidRPr="00511005">
        <w:rPr>
          <w:rFonts w:ascii="Arial" w:eastAsia="Calibri" w:hAnsi="Arial" w:cs="Arial"/>
          <w:b/>
          <w:szCs w:val="28"/>
          <w:lang w:val="uk-UA"/>
        </w:rPr>
        <w:t>ПРАВОВЕ РЕГУЛЮВАННЯ РОБОЧОГО ЧАСУ ТА ЧАСУ ВІДПОЧИНКУ: ДОСВІД ЗАРУБІЖНИХ КРАЇН</w:t>
      </w:r>
    </w:p>
    <w:p w14:paraId="7E75BA08" w14:textId="62AAF694" w:rsidR="003476F8" w:rsidRPr="00511005" w:rsidRDefault="003476F8" w:rsidP="003A292D">
      <w:pPr>
        <w:keepNext/>
        <w:spacing w:line="264" w:lineRule="auto"/>
        <w:ind w:firstLine="720"/>
        <w:rPr>
          <w:rFonts w:ascii="Arial" w:eastAsia="Calibri" w:hAnsi="Arial" w:cs="Arial"/>
          <w:szCs w:val="28"/>
          <w:lang w:val="uk-UA"/>
        </w:rPr>
      </w:pPr>
      <w:r w:rsidRPr="00511005">
        <w:rPr>
          <w:rFonts w:ascii="Arial" w:eastAsia="Calibri" w:hAnsi="Arial" w:cs="Arial"/>
          <w:szCs w:val="28"/>
          <w:lang w:val="uk-UA"/>
        </w:rPr>
        <w:t>Постійні зміни в трудовій сфері, що виникають унаслідок розвитку економіки, технологій та соціальних потреб зумовлюють необхідність мобільності працівників,</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забезпечення балансу між трудовою діяльністю та особистим життям, що є ключовим аспектом здоров'я та добробуту людей. Міжнародні організації активно впроваджують стандарти, що сприяють оптимізації робочого часу, зменшенню перевантаження працівників та покращенню їхнього балансу між роботою та відпочинком. Практика зарубіжних країн, що успішно застосовують ці стандарти, демонструє позитивний ефект для економіки та суспільства в цілому.</w:t>
      </w:r>
    </w:p>
    <w:p w14:paraId="056EB2C1" w14:textId="77777777" w:rsidR="003476F8" w:rsidRPr="00511005" w:rsidRDefault="003476F8"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Правове регулювання робочого часу здійснюється як на центральному рівні через законодавчі ініціативи, так і на локальному рівні, безпосередньо </w:t>
      </w:r>
      <w:r w:rsidRPr="00511005">
        <w:rPr>
          <w:rFonts w:ascii="Arial" w:eastAsia="Times New Roman" w:hAnsi="Arial" w:cs="Arial"/>
          <w:szCs w:val="28"/>
          <w:lang w:val="uk-UA"/>
        </w:rPr>
        <w:lastRenderedPageBreak/>
        <w:t>на підприємствах або в організаціях. На загальнодержавному рівні встановлюються основні нормативи, що визначають максимальну та мінімальну тривалість робочого часу, а також гарантований час відпочинку, який обов’язково має бути наданий працівникам. Додатково регулюються різні види робочого часу, а також визначаються правила для застосування відхилень від стандартної тривалості робочого часу, з чітким зазначенням гарантій і компенсацій у разі їх використання. На локальному рівні питання регулювання робочого часу мають певні особливості, адже для окремих працівників або груп працівників можуть бути визначені конкретні умови та режими праці в межах загальних норм, встановлених законодавством [</w:t>
      </w:r>
      <w:r w:rsidRPr="00511005">
        <w:rPr>
          <w:rFonts w:ascii="Arial" w:eastAsia="Times New Roman" w:hAnsi="Arial" w:cs="Arial"/>
          <w:szCs w:val="28"/>
        </w:rPr>
        <w:t>1</w:t>
      </w:r>
      <w:r w:rsidRPr="00511005">
        <w:rPr>
          <w:rFonts w:ascii="Arial" w:eastAsia="Times New Roman" w:hAnsi="Arial" w:cs="Arial"/>
          <w:szCs w:val="28"/>
          <w:lang w:val="uk-UA"/>
        </w:rPr>
        <w:t>, с. 82].</w:t>
      </w:r>
    </w:p>
    <w:p w14:paraId="02CC54AF" w14:textId="77777777" w:rsidR="003476F8" w:rsidRPr="00511005" w:rsidRDefault="003476F8"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Міжнародна організація праці (МОП), зокрема, займається розробкою таких стандартів, що сприяють формуванню глобальних норм у сфері робочого часу та часу відпочинку. Однією з перших ініціатив МОП було прийняття конвенцій, які визначили максимально допустимий робочий час на рівні 48 годин на тиждень, що складає 8 годин на день, а також передбачили мінімум один вихідний день на тиждень та оплату за відпустку [</w:t>
      </w:r>
      <w:r w:rsidRPr="00511005">
        <w:rPr>
          <w:rFonts w:ascii="Arial" w:eastAsia="Times New Roman" w:hAnsi="Arial" w:cs="Arial"/>
          <w:szCs w:val="28"/>
        </w:rPr>
        <w:t>2</w:t>
      </w:r>
      <w:r w:rsidRPr="00511005">
        <w:rPr>
          <w:rFonts w:ascii="Arial" w:eastAsia="Times New Roman" w:hAnsi="Arial" w:cs="Arial"/>
          <w:szCs w:val="28"/>
          <w:lang w:val="uk-UA"/>
        </w:rPr>
        <w:t xml:space="preserve">, с. 38]. </w:t>
      </w:r>
    </w:p>
    <w:p w14:paraId="73D96462" w14:textId="77777777" w:rsidR="003476F8" w:rsidRPr="00511005" w:rsidRDefault="003476F8"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Незважаючи на спільні принципи, підходи до регулювання робочого часу суттєво варіюються в залежності від країни та її економічної ситуації. Наприклад, у таких країнах як США, Австралія, Нова Зеландія і Японія значна частина працівників працює понад 50 годин на тиждень, що може мати негативний вплив на їхнє здоров'я та загальний добробут. У той же час, у країнах Європейського Союзу ситуація виглядає значно більш сприятливою: кількість людей, які працюють понад 50 годин на тиждень є значно меншою, що свідчить про більш збалансовані підходи до організації праці в цих регіонах [3,с.187].</w:t>
      </w:r>
    </w:p>
    <w:p w14:paraId="75ED0740" w14:textId="77777777" w:rsidR="003476F8" w:rsidRPr="00511005" w:rsidRDefault="003476F8"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У країнах Європейського Союзу правова база для регулювання робочого часу здебільшого будується на Директиві 2003/88/ЄC Європейського Парламенту та Ради від 4 листопада 2003 року, яка охоплює деякі аспекти організації робочого часу [4, с. 11]. Згідно зі статтею 6 цієї Директиви, середня тривалість робочого часу протягом кожного семиденного періоду, включаючи надурочні години, не повинна перевищувати 48 годин при обліковому періоді, що триває не більше 4 місяців. Однак, держави-члени мають можливість не застосовувати ці обмеження, якщо працівник добровільно погоджується на умови праці, які виходять за межі стандартних норм. Це право отримало назву «opt-out», або концепція відмови від стандартних обмежень робочого часу, що дає змогу більш гнучко адаптувати умови праці до потреб конкретного працівника та організації [5].</w:t>
      </w:r>
    </w:p>
    <w:p w14:paraId="213C1890" w14:textId="77777777" w:rsidR="003476F8" w:rsidRPr="00511005" w:rsidRDefault="003476F8" w:rsidP="003A292D">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У 2022 році Міжнародна організація праці (МОП) опублікувала звіт «Робочий час і баланс між роботою та особистим життям у світі», який </w:t>
      </w:r>
      <w:r w:rsidRPr="00511005">
        <w:rPr>
          <w:rFonts w:ascii="Arial" w:eastAsia="Times New Roman" w:hAnsi="Arial" w:cs="Arial"/>
          <w:szCs w:val="28"/>
          <w:lang w:val="uk-UA"/>
        </w:rPr>
        <w:lastRenderedPageBreak/>
        <w:t xml:space="preserve">здійснює детальний аналіз сучасних тенденцій у регулюванні робочого часу та досліджує його вплив на баланс між професійним і особистим життям працівників. Звіт підкреслює важливість таких гнучких форм роботи, як гнучкий робочий час і дистанційна праця, які сприяють поліпшенню цього балансу. Так, у Європейському Союзі середня тривалість робочого тижня становила 38,1 години. Найкоротший робочий тиждень був зафіксований у державному управлінні — 37,7 години, а найдовший — у роздрібній торгівлі, де він досягав 38,5 години. Крім того, середній обсяг оплачуваної щорічної відпустки складав 24,3 дня [6]. </w:t>
      </w:r>
    </w:p>
    <w:p w14:paraId="19871EF6" w14:textId="77777777" w:rsidR="003476F8" w:rsidRPr="00511005" w:rsidRDefault="003476F8" w:rsidP="003A292D">
      <w:pPr>
        <w:spacing w:line="264" w:lineRule="auto"/>
        <w:ind w:firstLine="720"/>
        <w:rPr>
          <w:rFonts w:ascii="Arial" w:eastAsia="Times New Roman" w:hAnsi="Arial" w:cs="Arial"/>
          <w:szCs w:val="28"/>
          <w:lang w:val="uk-UA"/>
        </w:rPr>
      </w:pPr>
      <w:r w:rsidRPr="00511005">
        <w:rPr>
          <w:rFonts w:ascii="Arial" w:eastAsia="Calibri" w:hAnsi="Arial" w:cs="Arial"/>
          <w:szCs w:val="28"/>
          <w:lang w:val="uk-UA"/>
        </w:rPr>
        <w:t xml:space="preserve">Отже, </w:t>
      </w:r>
      <w:r w:rsidRPr="00511005">
        <w:rPr>
          <w:rFonts w:ascii="Arial" w:eastAsia="Times New Roman" w:hAnsi="Arial" w:cs="Arial"/>
          <w:szCs w:val="28"/>
          <w:lang w:val="uk-UA"/>
        </w:rPr>
        <w:t>cучасні тенденції щодо регулювання робочого часу і часу відпочинку, зокрема в країнах ЄС, свідчать про поступове зменшення тривалості робочого часу, що допомагає створити здоровий баланс між роботою та особистим життям. Однак, у багатьох країнах світу, зокрема в США та Японії, досі спостерігається перевищення норм робочого часу, що ставить під загрозу здоров'я працівників. Загалом, позитивний зарубіжний досвід показує, що врахування інтересів працівників є ключовими факторами для покращення умов праці та досягнення стійкого соціально-економічного розвитку.</w:t>
      </w:r>
    </w:p>
    <w:p w14:paraId="6FBB8441" w14:textId="77777777" w:rsidR="003476F8" w:rsidRPr="00511005" w:rsidRDefault="003476F8" w:rsidP="003A292D">
      <w:pPr>
        <w:keepNext/>
        <w:tabs>
          <w:tab w:val="left" w:pos="4836"/>
        </w:tabs>
        <w:spacing w:line="264" w:lineRule="auto"/>
        <w:ind w:firstLine="567"/>
        <w:jc w:val="center"/>
        <w:rPr>
          <w:rFonts w:ascii="Arial" w:eastAsia="Calibri" w:hAnsi="Arial" w:cs="Arial"/>
          <w:b/>
          <w:szCs w:val="28"/>
          <w:lang w:val="uk-UA"/>
        </w:rPr>
      </w:pPr>
    </w:p>
    <w:p w14:paraId="07CD96FF" w14:textId="0401DD4F" w:rsidR="003476F8" w:rsidRPr="00511005" w:rsidRDefault="007B2628" w:rsidP="007B2628">
      <w:pPr>
        <w:keepNext/>
        <w:tabs>
          <w:tab w:val="left" w:pos="4836"/>
        </w:tabs>
        <w:spacing w:line="264" w:lineRule="auto"/>
        <w:ind w:firstLine="567"/>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75265EF8" w14:textId="77777777" w:rsidR="003476F8" w:rsidRPr="00511005" w:rsidRDefault="003476F8" w:rsidP="003F6A5D">
      <w:pPr>
        <w:numPr>
          <w:ilvl w:val="0"/>
          <w:numId w:val="449"/>
        </w:numPr>
        <w:spacing w:line="264" w:lineRule="auto"/>
        <w:ind w:left="0" w:firstLine="357"/>
        <w:jc w:val="left"/>
        <w:rPr>
          <w:rFonts w:ascii="Arial" w:eastAsia="Times New Roman" w:hAnsi="Arial" w:cs="Arial"/>
          <w:szCs w:val="28"/>
          <w:lang w:val="uk-UA"/>
        </w:rPr>
      </w:pPr>
      <w:r w:rsidRPr="00511005">
        <w:rPr>
          <w:rFonts w:ascii="Arial" w:eastAsia="Times New Roman" w:hAnsi="Arial" w:cs="Arial"/>
          <w:szCs w:val="28"/>
          <w:lang w:val="uk-UA"/>
        </w:rPr>
        <w:t>Вибрані розділи трудового права: у схемах і таблицях: навчальний посібник / С.М. Черноус, О.В. Тищенко, Н.О. Мельничук, Д.І. Сіроха. Київ: «Видавництво Людмила», 2022. 261 с.</w:t>
      </w:r>
    </w:p>
    <w:p w14:paraId="5C1641FC" w14:textId="77777777" w:rsidR="003476F8" w:rsidRPr="00511005" w:rsidRDefault="003476F8" w:rsidP="003F6A5D">
      <w:pPr>
        <w:numPr>
          <w:ilvl w:val="0"/>
          <w:numId w:val="449"/>
        </w:numPr>
        <w:spacing w:line="264" w:lineRule="auto"/>
        <w:ind w:left="0" w:firstLine="357"/>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Гуков-Кушнір А. Є., Іванів О. Т. On the legal regulation of working hours in </w:t>
      </w:r>
      <w:r w:rsidRPr="00511005">
        <w:rPr>
          <w:rFonts w:ascii="Arial" w:eastAsia="Times New Roman" w:hAnsi="Arial" w:cs="Arial"/>
          <w:szCs w:val="28"/>
          <w:lang w:val="en-US"/>
        </w:rPr>
        <w:t>U</w:t>
      </w:r>
      <w:r w:rsidRPr="00511005">
        <w:rPr>
          <w:rFonts w:ascii="Arial" w:eastAsia="Times New Roman" w:hAnsi="Arial" w:cs="Arial"/>
          <w:szCs w:val="28"/>
          <w:lang w:val="uk-UA"/>
        </w:rPr>
        <w:t xml:space="preserve">kraine. </w:t>
      </w:r>
      <w:r w:rsidRPr="00511005">
        <w:rPr>
          <w:rFonts w:ascii="Arial" w:eastAsia="Times New Roman" w:hAnsi="Arial" w:cs="Arial"/>
          <w:i/>
          <w:szCs w:val="28"/>
          <w:lang w:val="uk-UA"/>
        </w:rPr>
        <w:t>Scientific Notes of Lviv University of Business and Law</w:t>
      </w:r>
      <w:r w:rsidRPr="00511005">
        <w:rPr>
          <w:rFonts w:ascii="Arial" w:eastAsia="Times New Roman" w:hAnsi="Arial" w:cs="Arial"/>
          <w:szCs w:val="28"/>
          <w:lang w:val="uk-UA"/>
        </w:rPr>
        <w:t xml:space="preserve">. 2024. Вип. 40. С. 36-41. </w:t>
      </w:r>
    </w:p>
    <w:p w14:paraId="5CEE3DFB" w14:textId="77777777" w:rsidR="003476F8" w:rsidRPr="00511005" w:rsidRDefault="003476F8" w:rsidP="003F6A5D">
      <w:pPr>
        <w:numPr>
          <w:ilvl w:val="0"/>
          <w:numId w:val="449"/>
        </w:numPr>
        <w:spacing w:line="264" w:lineRule="auto"/>
        <w:ind w:left="0" w:firstLine="357"/>
        <w:contextualSpacing/>
        <w:jc w:val="left"/>
        <w:rPr>
          <w:rFonts w:ascii="Arial" w:eastAsia="Times New Roman" w:hAnsi="Arial" w:cs="Arial"/>
          <w:szCs w:val="28"/>
          <w:lang w:val="uk-UA"/>
        </w:rPr>
      </w:pPr>
      <w:r w:rsidRPr="00511005">
        <w:rPr>
          <w:rFonts w:ascii="Arial" w:eastAsia="Calibri" w:hAnsi="Arial" w:cs="Arial"/>
          <w:szCs w:val="28"/>
          <w:lang w:val="uk-UA"/>
        </w:rPr>
        <w:t xml:space="preserve">Shoislomova S. International standards of legal regulation of working hours. </w:t>
      </w:r>
      <w:r w:rsidRPr="00511005">
        <w:rPr>
          <w:rFonts w:ascii="Arial" w:eastAsia="Calibri" w:hAnsi="Arial" w:cs="Arial"/>
          <w:i/>
          <w:szCs w:val="28"/>
          <w:lang w:val="uk-UA"/>
        </w:rPr>
        <w:t>Society and innovations</w:t>
      </w:r>
      <w:r w:rsidRPr="00511005">
        <w:rPr>
          <w:rFonts w:ascii="Arial" w:eastAsia="Calibri" w:hAnsi="Arial" w:cs="Arial"/>
          <w:szCs w:val="28"/>
          <w:lang w:val="uk-UA"/>
        </w:rPr>
        <w:t xml:space="preserve">. 2022. No 3 (11/S). Р.184-191. </w:t>
      </w:r>
    </w:p>
    <w:p w14:paraId="3ACCB36E" w14:textId="77777777" w:rsidR="003476F8" w:rsidRPr="00511005" w:rsidRDefault="003476F8" w:rsidP="003F6A5D">
      <w:pPr>
        <w:numPr>
          <w:ilvl w:val="0"/>
          <w:numId w:val="449"/>
        </w:numPr>
        <w:spacing w:line="264" w:lineRule="auto"/>
        <w:ind w:left="0" w:firstLine="357"/>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Сантуш А. Менеджер Проєкту ЄС-МОП «На шляху до безпечної, здорової та задекларованої праці в Україні». Бюро МОП для країн Центральної та Східної Європи. </w:t>
      </w:r>
      <w:r w:rsidRPr="00511005">
        <w:rPr>
          <w:rFonts w:ascii="Arial" w:eastAsia="Times New Roman" w:hAnsi="Arial" w:cs="Arial"/>
          <w:i/>
          <w:szCs w:val="28"/>
          <w:lang w:val="uk-UA"/>
        </w:rPr>
        <w:t>Матеріал до серії онлайн-тренінгів з міжнародних і європейських стандартів з питань праці</w:t>
      </w:r>
      <w:r w:rsidRPr="00511005">
        <w:rPr>
          <w:rFonts w:ascii="Arial" w:eastAsia="Times New Roman" w:hAnsi="Arial" w:cs="Arial"/>
          <w:szCs w:val="28"/>
          <w:lang w:val="uk-UA"/>
        </w:rPr>
        <w:t>. Київ, 2020. 60 с.</w:t>
      </w:r>
    </w:p>
    <w:p w14:paraId="5A0C565B" w14:textId="77777777" w:rsidR="003476F8" w:rsidRPr="00511005" w:rsidRDefault="003476F8" w:rsidP="003F6A5D">
      <w:pPr>
        <w:numPr>
          <w:ilvl w:val="0"/>
          <w:numId w:val="449"/>
        </w:numPr>
        <w:spacing w:line="264" w:lineRule="auto"/>
        <w:ind w:left="0" w:firstLine="357"/>
        <w:jc w:val="left"/>
        <w:rPr>
          <w:rFonts w:ascii="Arial" w:eastAsia="Times New Roman" w:hAnsi="Arial" w:cs="Arial"/>
          <w:szCs w:val="28"/>
          <w:lang w:val="uk-UA"/>
        </w:rPr>
      </w:pPr>
      <w:r w:rsidRPr="00511005">
        <w:rPr>
          <w:rFonts w:ascii="Arial" w:eastAsia="Times New Roman" w:hAnsi="Arial" w:cs="Arial"/>
          <w:szCs w:val="28"/>
          <w:lang w:val="uk-UA"/>
        </w:rPr>
        <w:t xml:space="preserve">Європейське право: право Європейського Союзу. Книга друга: матеріальне право Європейського Союзу : навчальний посібник / Муравйов В.І., Смирнова К.В., Влялько І.В. ІнЮре, 2015. 456 с. </w:t>
      </w:r>
    </w:p>
    <w:p w14:paraId="2659C145" w14:textId="77777777" w:rsidR="003476F8" w:rsidRPr="00511005" w:rsidRDefault="003476F8" w:rsidP="003F6A5D">
      <w:pPr>
        <w:numPr>
          <w:ilvl w:val="0"/>
          <w:numId w:val="449"/>
        </w:numPr>
        <w:spacing w:line="264" w:lineRule="auto"/>
        <w:ind w:left="0" w:firstLine="357"/>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Working time in 2021–2022. Industrial relations and social dialogue, 2023. URL: </w:t>
      </w:r>
      <w:hyperlink r:id="rId1691" w:tgtFrame="_new" w:history="1">
        <w:r w:rsidRPr="00511005">
          <w:rPr>
            <w:rFonts w:ascii="Arial" w:eastAsia="Times New Roman" w:hAnsi="Arial" w:cs="Arial"/>
            <w:szCs w:val="28"/>
            <w:lang w:val="uk-UA"/>
          </w:rPr>
          <w:t>https://www.eurofound.europa.eu/en/publications/2023/working-time-2021-2022</w:t>
        </w:r>
      </w:hyperlink>
      <w:r w:rsidRPr="00511005">
        <w:rPr>
          <w:rFonts w:ascii="Arial" w:eastAsia="Times New Roman" w:hAnsi="Arial" w:cs="Arial"/>
          <w:szCs w:val="28"/>
          <w:lang w:val="uk-UA"/>
        </w:rPr>
        <w:t>.</w:t>
      </w:r>
    </w:p>
    <w:p w14:paraId="5C58303C" w14:textId="29429C55" w:rsidR="003476F8" w:rsidRPr="00511005" w:rsidRDefault="007B2628" w:rsidP="003A292D">
      <w:pPr>
        <w:keepNext/>
        <w:spacing w:line="264" w:lineRule="auto"/>
        <w:ind w:firstLine="567"/>
        <w:rPr>
          <w:rFonts w:ascii="Arial" w:eastAsia="Calibri" w:hAnsi="Arial" w:cs="Arial"/>
          <w:szCs w:val="28"/>
          <w:lang w:val="uk-UA"/>
        </w:rPr>
      </w:pPr>
      <w:r w:rsidRPr="00511005">
        <w:rPr>
          <w:rFonts w:ascii="Arial" w:eastAsia="Calibri" w:hAnsi="Arial" w:cs="Arial"/>
          <w:b/>
          <w:i/>
          <w:szCs w:val="28"/>
          <w:lang w:val="uk-UA"/>
        </w:rPr>
        <w:lastRenderedPageBreak/>
        <w:t xml:space="preserve">Ключові слова: </w:t>
      </w:r>
      <w:r w:rsidR="003476F8" w:rsidRPr="00511005">
        <w:rPr>
          <w:rFonts w:ascii="Arial" w:eastAsia="Calibri" w:hAnsi="Arial" w:cs="Arial"/>
          <w:szCs w:val="28"/>
          <w:lang w:val="uk-UA"/>
        </w:rPr>
        <w:t>робочий час, час відпочинку, трудове законодавство, міжнародно-правове регулювання робочого часу, міжнародно-правове регулювання часу відпочинку.</w:t>
      </w:r>
    </w:p>
    <w:p w14:paraId="3E3F422B" w14:textId="5D6D3E92" w:rsidR="003476F8" w:rsidRPr="00511005" w:rsidRDefault="007B2628" w:rsidP="003A292D">
      <w:pPr>
        <w:keepNext/>
        <w:spacing w:line="264" w:lineRule="auto"/>
        <w:ind w:firstLine="567"/>
        <w:rPr>
          <w:rFonts w:ascii="Arial" w:eastAsia="Calibri" w:hAnsi="Arial" w:cs="Arial"/>
          <w:szCs w:val="28"/>
          <w:lang w:val="uk-UA"/>
        </w:rPr>
      </w:pPr>
      <w:r w:rsidRPr="00511005">
        <w:rPr>
          <w:rFonts w:ascii="Arial" w:eastAsia="Calibri" w:hAnsi="Arial" w:cs="Arial"/>
          <w:b/>
          <w:i/>
          <w:szCs w:val="28"/>
          <w:lang w:val="en-US"/>
        </w:rPr>
        <w:t xml:space="preserve">Key words: </w:t>
      </w:r>
      <w:r w:rsidR="003476F8" w:rsidRPr="00511005">
        <w:rPr>
          <w:rFonts w:ascii="Arial" w:eastAsia="Calibri" w:hAnsi="Arial" w:cs="Arial"/>
          <w:bCs/>
          <w:szCs w:val="28"/>
          <w:lang w:val="uk-UA"/>
        </w:rPr>
        <w:t>working hours, rest time, labo</w:t>
      </w:r>
      <w:r w:rsidR="003476F8" w:rsidRPr="00511005">
        <w:rPr>
          <w:rFonts w:ascii="Arial" w:eastAsia="Calibri" w:hAnsi="Arial" w:cs="Arial"/>
          <w:bCs/>
          <w:szCs w:val="28"/>
          <w:lang w:val="en-US"/>
        </w:rPr>
        <w:t>u</w:t>
      </w:r>
      <w:r w:rsidR="003476F8" w:rsidRPr="00511005">
        <w:rPr>
          <w:rFonts w:ascii="Arial" w:eastAsia="Calibri" w:hAnsi="Arial" w:cs="Arial"/>
          <w:bCs/>
          <w:szCs w:val="28"/>
          <w:lang w:val="uk-UA"/>
        </w:rPr>
        <w:t>r legislation, international legal regulation of working hours, international legal regulation of rest time</w:t>
      </w:r>
      <w:r w:rsidR="003476F8" w:rsidRPr="00511005">
        <w:rPr>
          <w:rFonts w:ascii="Arial" w:eastAsia="Calibri" w:hAnsi="Arial" w:cs="Arial"/>
          <w:bCs/>
          <w:szCs w:val="28"/>
          <w:lang w:val="en-US"/>
        </w:rPr>
        <w:t>.</w:t>
      </w:r>
    </w:p>
    <w:p w14:paraId="1BDA3354" w14:textId="13177854" w:rsidR="003476F8" w:rsidRPr="00511005" w:rsidRDefault="007B2628" w:rsidP="003A292D">
      <w:pPr>
        <w:keepNext/>
        <w:spacing w:line="264" w:lineRule="auto"/>
        <w:ind w:firstLine="567"/>
        <w:rPr>
          <w:rFonts w:ascii="Arial" w:eastAsia="Calibri" w:hAnsi="Arial" w:cs="Arial"/>
          <w:bCs/>
          <w:i/>
          <w:iCs/>
          <w:szCs w:val="28"/>
        </w:rPr>
      </w:pPr>
      <w:r w:rsidRPr="00511005">
        <w:rPr>
          <w:rFonts w:ascii="Arial" w:eastAsia="Calibri" w:hAnsi="Arial" w:cs="Arial"/>
          <w:b/>
          <w:bCs/>
          <w:i/>
          <w:iCs/>
          <w:szCs w:val="28"/>
          <w:lang w:val="uk-UA"/>
        </w:rPr>
        <w:t xml:space="preserve">Науковий керівник: </w:t>
      </w:r>
      <w:r w:rsidR="003476F8" w:rsidRPr="00511005">
        <w:rPr>
          <w:rFonts w:ascii="Arial" w:eastAsia="Calibri" w:hAnsi="Arial" w:cs="Arial"/>
          <w:bCs/>
          <w:i/>
          <w:iCs/>
          <w:szCs w:val="28"/>
          <w:lang w:val="uk-UA"/>
        </w:rPr>
        <w:t>к.ю.н., доцент Наньєва М. І.</w:t>
      </w:r>
    </w:p>
    <w:p w14:paraId="1CEFF0D7" w14:textId="77777777" w:rsidR="003476F8" w:rsidRPr="00511005" w:rsidRDefault="003476F8" w:rsidP="003A292D">
      <w:pPr>
        <w:spacing w:line="264" w:lineRule="auto"/>
        <w:ind w:firstLine="0"/>
        <w:jc w:val="left"/>
        <w:rPr>
          <w:rFonts w:ascii="Arial" w:eastAsia="Calibri" w:hAnsi="Arial" w:cs="Arial"/>
          <w:kern w:val="2"/>
          <w:szCs w:val="28"/>
          <w14:ligatures w14:val="standardContextual"/>
        </w:rPr>
      </w:pPr>
    </w:p>
    <w:p w14:paraId="3BF71AFB" w14:textId="77777777" w:rsidR="003476F8" w:rsidRPr="00511005" w:rsidRDefault="003476F8" w:rsidP="003A292D">
      <w:pPr>
        <w:spacing w:line="264" w:lineRule="auto"/>
        <w:ind w:firstLine="0"/>
        <w:jc w:val="left"/>
        <w:rPr>
          <w:rFonts w:ascii="Arial" w:eastAsia="Calibri" w:hAnsi="Arial" w:cs="Arial"/>
          <w:kern w:val="2"/>
          <w:szCs w:val="28"/>
          <w14:ligatures w14:val="standardContextual"/>
        </w:rPr>
      </w:pPr>
    </w:p>
    <w:p w14:paraId="11D2F5D7" w14:textId="77777777" w:rsidR="003476F8" w:rsidRPr="00511005" w:rsidRDefault="003476F8" w:rsidP="003A292D">
      <w:pPr>
        <w:spacing w:line="264" w:lineRule="auto"/>
        <w:ind w:firstLine="0"/>
        <w:jc w:val="left"/>
        <w:rPr>
          <w:rFonts w:ascii="Arial" w:eastAsia="Calibri" w:hAnsi="Arial" w:cs="Arial"/>
          <w:kern w:val="2"/>
          <w:szCs w:val="28"/>
          <w14:ligatures w14:val="standardContextual"/>
        </w:rPr>
      </w:pPr>
    </w:p>
    <w:p w14:paraId="652DE6BC" w14:textId="77777777" w:rsidR="003476F8" w:rsidRPr="00511005" w:rsidRDefault="003476F8"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Кущик Дар’я Романівна</w:t>
      </w:r>
    </w:p>
    <w:p w14:paraId="2CF9ABE4" w14:textId="240466C3" w:rsidR="003476F8"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r w:rsidR="003476F8"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01440B65"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p>
    <w:p w14:paraId="2A75D2B2" w14:textId="77777777" w:rsidR="003476F8" w:rsidRPr="00511005" w:rsidRDefault="003476F8"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 xml:space="preserve">ТРУДОВІ ВІДНОСИНИ В УКРАЇНІ ПІД ЧАС ДІЇ ВОЄННОГО СТАНУ </w:t>
      </w:r>
    </w:p>
    <w:p w14:paraId="0520C891" w14:textId="77777777" w:rsidR="003476F8" w:rsidRPr="00511005" w:rsidRDefault="003476F8" w:rsidP="003A292D">
      <w:pPr>
        <w:spacing w:line="264" w:lineRule="auto"/>
        <w:ind w:firstLine="0"/>
        <w:jc w:val="center"/>
        <w:rPr>
          <w:rFonts w:ascii="Arial" w:eastAsia="Times New Roman" w:hAnsi="Arial" w:cs="Arial"/>
          <w:b/>
          <w:bCs/>
          <w:szCs w:val="28"/>
          <w:lang w:val="uk-UA" w:eastAsia="ru-RU"/>
        </w:rPr>
      </w:pPr>
    </w:p>
    <w:p w14:paraId="55BB0FBF" w14:textId="77777777" w:rsidR="003476F8" w:rsidRPr="00511005" w:rsidRDefault="003476F8" w:rsidP="003A292D">
      <w:pPr>
        <w:spacing w:line="264" w:lineRule="auto"/>
        <w:rPr>
          <w:rFonts w:ascii="Arial" w:eastAsia="Times New Roman" w:hAnsi="Arial" w:cs="Arial"/>
          <w:noProof/>
          <w:szCs w:val="28"/>
          <w:lang w:val="uk-UA" w:eastAsia="uk-UA"/>
        </w:rPr>
      </w:pPr>
      <w:r w:rsidRPr="00511005">
        <w:rPr>
          <w:rFonts w:ascii="Arial" w:eastAsia="Times New Roman" w:hAnsi="Arial" w:cs="Arial"/>
          <w:szCs w:val="28"/>
          <w:lang w:val="uk-UA" w:eastAsia="ru-RU"/>
        </w:rPr>
        <w:t>Дослідження сфери трудових відносин в умовах воєнного стану є надзвичайно актуальна</w:t>
      </w:r>
      <w:r w:rsidRPr="00511005">
        <w:rPr>
          <w:rFonts w:ascii="Arial" w:eastAsia="Times New Roman" w:hAnsi="Arial" w:cs="Arial"/>
          <w:noProof/>
          <w:szCs w:val="28"/>
          <w:lang w:val="uk-UA" w:eastAsia="uk-UA"/>
        </w:rPr>
        <w:t xml:space="preserve">, адже з запровадженням воєнного стану у 2022 році відбулися суттєві зміни у правовому регулюванні цієї сфери. Нові умови, спричинені повномасштабною війною, вимагали оперативного реагування з боку держави, що призвело до внесення змін до трудового законодавства. З метою адаптації як роботодавців, так і працівників до нових соціально-економічних викликів, було впроваджено тимчасові норми, які регулюють трудові відносини виключно на період дії воєнного стану. </w:t>
      </w:r>
    </w:p>
    <w:p w14:paraId="0457E2E7" w14:textId="77777777" w:rsidR="003476F8" w:rsidRPr="00511005" w:rsidRDefault="003476F8" w:rsidP="003A292D">
      <w:pPr>
        <w:spacing w:line="264" w:lineRule="auto"/>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t xml:space="preserve">Проблематику особливостей впливу воєнного стану на трудові відносини досліджували такі науковці як А.В. Семнюк – Прибатень, Д.В. Ковач, Ю. М. Гришина, М.Ю. Кузнєцова, О.Ф. Мельничук, І.М. Павліченко, О.В. Пожарова та багато інших. </w:t>
      </w:r>
    </w:p>
    <w:p w14:paraId="279A90DA" w14:textId="77777777" w:rsidR="007B2628" w:rsidRPr="00511005" w:rsidRDefault="003476F8" w:rsidP="003A292D">
      <w:pPr>
        <w:shd w:val="clear" w:color="auto" w:fill="FFFFFF"/>
        <w:spacing w:line="264" w:lineRule="auto"/>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t xml:space="preserve">24 лютого 2022 року росія здійснила повномасштабне воєнне вторгнення на територію України, грубо порушивши її державний суверенітет і територіальну цілісність. У зв’язку з цим, відповідно до Закону </w:t>
      </w:r>
      <w:r w:rsidRPr="00511005">
        <w:rPr>
          <w:rFonts w:ascii="Arial" w:eastAsia="Times New Roman" w:hAnsi="Arial" w:cs="Arial"/>
          <w:szCs w:val="28"/>
          <w:lang w:val="uk-UA" w:eastAsia="uk-UA"/>
        </w:rPr>
        <w:t>№ 389-VIII</w:t>
      </w:r>
      <w:r w:rsidRPr="00511005">
        <w:rPr>
          <w:rFonts w:ascii="Arial" w:eastAsia="Times New Roman" w:hAnsi="Arial" w:cs="Arial"/>
          <w:noProof/>
          <w:szCs w:val="28"/>
          <w:lang w:val="uk-UA" w:eastAsia="uk-UA"/>
        </w:rPr>
        <w:t>, на всій території держави було запроваджено правовий режим воєнного стану. Відповідно до</w:t>
      </w:r>
      <w:r w:rsidR="007B2628" w:rsidRPr="00511005">
        <w:rPr>
          <w:rFonts w:ascii="Arial" w:eastAsia="Times New Roman" w:hAnsi="Arial" w:cs="Arial"/>
          <w:noProof/>
          <w:szCs w:val="28"/>
          <w:lang w:val="uk-UA" w:eastAsia="uk-UA"/>
        </w:rPr>
        <w:t xml:space="preserve"> </w:t>
      </w:r>
      <w:r w:rsidRPr="00511005">
        <w:rPr>
          <w:rFonts w:ascii="Arial" w:eastAsia="Times New Roman" w:hAnsi="Arial" w:cs="Arial"/>
          <w:noProof/>
          <w:szCs w:val="28"/>
          <w:lang w:val="uk-UA" w:eastAsia="uk-UA"/>
        </w:rPr>
        <w:t>статті 1 вищевказаного Закону впроваджується «…</w:t>
      </w:r>
      <w:r w:rsidRPr="00511005">
        <w:rPr>
          <w:rFonts w:ascii="Arial" w:eastAsia="Times New Roman" w:hAnsi="Arial" w:cs="Arial"/>
          <w:szCs w:val="28"/>
          <w:shd w:val="clear" w:color="auto" w:fill="FFFFFF"/>
          <w:lang w:val="uk-UA" w:eastAsia="uk-UA"/>
        </w:rPr>
        <w:t>тимчасове, зумовлене загрозою, обмеження конституційних прав і свобод людини й громадянина та прав і законних інтересів юридичних осіб із зазначенням строку дії цих обмежень</w:t>
      </w:r>
      <w:r w:rsidRPr="00511005">
        <w:rPr>
          <w:rFonts w:ascii="Arial" w:eastAsia="Times New Roman" w:hAnsi="Arial" w:cs="Arial"/>
          <w:noProof/>
          <w:szCs w:val="28"/>
          <w:lang w:val="uk-UA" w:eastAsia="uk-UA"/>
        </w:rPr>
        <w:t xml:space="preserve">» [1]. Протягом дії воєнного стану чинне законодавство України передбачає можливість тимчасового обмеження окремих конституційних прав і свобод людини і громадянина. У цей особливий період на всій території держави запроваджуються заходи, спрямовані на забезпечення національної безпеки, громадського порядку, а також належного функціонування органів державної влади. </w:t>
      </w:r>
    </w:p>
    <w:p w14:paraId="684CC8F5" w14:textId="576061F3" w:rsidR="003476F8" w:rsidRPr="00511005" w:rsidRDefault="003476F8" w:rsidP="003A292D">
      <w:pPr>
        <w:shd w:val="clear" w:color="auto" w:fill="FFFFFF"/>
        <w:spacing w:line="264" w:lineRule="auto"/>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lastRenderedPageBreak/>
        <w:t>Відповідно до положень статті 43 Основного Закону «</w:t>
      </w:r>
      <w:r w:rsidRPr="00511005">
        <w:rPr>
          <w:rFonts w:ascii="Arial" w:eastAsia="Times New Roman" w:hAnsi="Arial" w:cs="Arial"/>
          <w:szCs w:val="28"/>
          <w:lang w:val="uk-UA" w:eastAsia="uk-UA"/>
        </w:rPr>
        <w:t>кожен має право на працю, що включає можливість заробляти собі на життя працею, яку він вільно обирає або на яку вільно погоджується.</w:t>
      </w:r>
      <w:bookmarkStart w:id="197" w:name="n4304"/>
      <w:bookmarkEnd w:id="197"/>
      <w:r w:rsidRPr="00511005">
        <w:rPr>
          <w:rFonts w:ascii="Arial" w:eastAsia="Times New Roman" w:hAnsi="Arial" w:cs="Arial"/>
          <w:szCs w:val="28"/>
          <w:lang w:val="uk-UA" w:eastAsia="uk-UA"/>
        </w:rPr>
        <w:t xml:space="preserve"> Держава створює умови для повного здійснення громадянами права на працю, гарантує рівні можливості у виборі професії та роду трудової діяльності, реалізовує програми професійно-технічного навчання, підготовки і перепідготовки кадрів відповідно до суспільних</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потреб</w:t>
      </w:r>
      <w:r w:rsidRPr="00511005">
        <w:rPr>
          <w:rFonts w:ascii="Arial" w:eastAsia="Times New Roman" w:hAnsi="Arial" w:cs="Arial"/>
          <w:noProof/>
          <w:szCs w:val="28"/>
          <w:lang w:val="uk-UA" w:eastAsia="uk-UA"/>
        </w:rPr>
        <w:t>» [2].</w:t>
      </w:r>
      <w:r w:rsidRPr="00511005">
        <w:rPr>
          <w:rFonts w:ascii="Arial" w:eastAsia="Times New Roman" w:hAnsi="Arial" w:cs="Arial"/>
          <w:noProof/>
          <w:szCs w:val="28"/>
          <w:lang w:val="uk-UA" w:eastAsia="uk-UA"/>
        </w:rPr>
        <w:tab/>
      </w:r>
    </w:p>
    <w:p w14:paraId="64C65C6F" w14:textId="77777777" w:rsidR="003476F8" w:rsidRPr="00511005" w:rsidRDefault="003476F8" w:rsidP="003A292D">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noProof/>
          <w:szCs w:val="28"/>
          <w:lang w:val="uk-UA" w:eastAsia="uk-UA"/>
        </w:rPr>
        <w:t xml:space="preserve">У зв’язку з цим для врегулювання трудових відносин було ініційовано прийняття Закону </w:t>
      </w:r>
      <w:r w:rsidRPr="00511005">
        <w:rPr>
          <w:rFonts w:ascii="Arial" w:eastAsia="Times New Roman" w:hAnsi="Arial" w:cs="Arial"/>
          <w:szCs w:val="28"/>
          <w:lang w:val="uk-UA" w:eastAsia="uk-UA"/>
        </w:rPr>
        <w:t>№ 2136-IX, котрий регулює питання: «укладення трудового договору в умовах воєнного стану, зміни істотних умов праці, розірвання трудового договору, встановлення та обліку робочого часу та часу відпочинку, роботи в нічний час, оплати праці, відпусток, відшкодування грошових сум, пов’язаних з діями агресора» [3].</w:t>
      </w:r>
    </w:p>
    <w:p w14:paraId="28D4EAB6" w14:textId="77777777" w:rsidR="003476F8" w:rsidRPr="00511005" w:rsidRDefault="003476F8" w:rsidP="003A292D">
      <w:pPr>
        <w:spacing w:line="264" w:lineRule="auto"/>
        <w:ind w:firstLine="0"/>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ab/>
        <w:t>Важливою нормою Закону № 2136-IX є положення про призупинення дії трудового договору. Як зазначали автори законопроєкту, така норма має виключно тимчасовий характер і застосовується лише протягом дії воєнного стану, що дозволяє зберегти базові принципи трудового права та уникнути порушення прав учасників трудових відносин. На мою думку, вбачається збереження зв’язку між працівником та роботодавцем, даючи надію на відновлення роботи після закінчення війни. Однак варто враховувати, що не всі роботодавці дотримуються законодавчих норм, а працівники не завжди знають свої права. Тому для реальної ефективності врегулювання трудових відносин в аспекті припинення трудового договору потрібно посилення державного контролю.</w:t>
      </w:r>
    </w:p>
    <w:p w14:paraId="0B3D2089" w14:textId="77777777" w:rsidR="003476F8" w:rsidRPr="00511005" w:rsidRDefault="003476F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noProof/>
          <w:szCs w:val="28"/>
          <w:lang w:val="uk-UA" w:eastAsia="uk-UA"/>
        </w:rPr>
        <w:tab/>
        <w:t>Важливої уваги потребує частина 3 статті 10 Закону № 2136-IX яка передбачає, що «</w:t>
      </w:r>
      <w:r w:rsidRPr="00511005">
        <w:rPr>
          <w:rFonts w:ascii="Arial" w:eastAsia="Times New Roman" w:hAnsi="Arial" w:cs="Arial"/>
          <w:szCs w:val="28"/>
          <w:shd w:val="clear" w:color="auto" w:fill="FFFFFF"/>
          <w:lang w:val="uk-UA" w:eastAsia="uk-UA"/>
        </w:rPr>
        <w:t>роботодавець звільняється від відповідальності за порушення зобов’язання щодо строків оплати праці, якщо доведе, що це порушення сталося внаслідок ведення бойових дій або дії інших обставин непереборної сили</w:t>
      </w:r>
      <w:r w:rsidRPr="00511005">
        <w:rPr>
          <w:rFonts w:ascii="Arial" w:eastAsia="Times New Roman" w:hAnsi="Arial" w:cs="Arial"/>
          <w:noProof/>
          <w:szCs w:val="28"/>
          <w:lang w:val="uk-UA" w:eastAsia="uk-UA"/>
        </w:rPr>
        <w:t>»[3]. На думку, експертів науково – експертного управління, «зупинення роботи», що викликане відсутністю організаціно технічних умов, які необхідні для роботи є невідворотною силою яку прийнято вважати простоєм відповідно до статті 34 КЗпП. В</w:t>
      </w:r>
      <w:r w:rsidRPr="00511005">
        <w:rPr>
          <w:rFonts w:ascii="Arial" w:eastAsia="Times New Roman" w:hAnsi="Arial" w:cs="Arial"/>
          <w:szCs w:val="28"/>
          <w:lang w:val="uk-UA" w:eastAsia="uk-UA"/>
        </w:rPr>
        <w:t xml:space="preserve">арто врахувати, що масовий і тривалий характер таких простоїв у зоні бойових дій або на окупованих територіях може стати фінансово непідйомним для роботодавців. Компромісним рішенням могло б стати диференційоване застосування обох механізмів: у ситуаціях, де є навіть часткова можливість збереження виплат, застосовувати простій, в інших — тимчасове призупинення з обов’язковими державними компенсаціями для працівників. </w:t>
      </w:r>
    </w:p>
    <w:p w14:paraId="4315E822" w14:textId="77777777" w:rsidR="003476F8" w:rsidRPr="00511005" w:rsidRDefault="003476F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 xml:space="preserve">Звісно, що прийняття Закону 2136-IX в порівнянні з іншими нормативно – правовими актами, які регулюють трудові відносини визначає на першочерговість застосування на час воєнного часу. Проте, він не охоплює питання захисту порушення трудових прав громадян. </w:t>
      </w:r>
    </w:p>
    <w:p w14:paraId="3A773B51" w14:textId="3A952CD8" w:rsidR="003476F8" w:rsidRPr="00511005" w:rsidRDefault="003476F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ab/>
        <w:t>Наприклад, М. Кузнєцова, С. Ананьєв, Т. Сафронова вказують на проблему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«реалізації права розірвання трудового договору за ініціативи працівника, без попередження роботодавця за два тижні, отримання розрахунку та трудової книжки своєчасно у зв’язку з таким звільненням. Окремою проблемою є відправлення працівника у неоплачувану відпустку у воєнний період без достатніх на це підстав, що потребує перевірки необхідності таких заходів, які призводять до скрутного матеріального становища» [4, с. 180].</w:t>
      </w:r>
    </w:p>
    <w:p w14:paraId="0B2B5989" w14:textId="77777777" w:rsidR="003476F8" w:rsidRPr="00511005" w:rsidRDefault="003476F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ab/>
        <w:t xml:space="preserve">Такі випадки порушують як норми чинного трудового законодавства, так і базові принципи соціального захисту працівників, що в свою чергу виникає необхідність забезпечення належного механізму фіксації та розгляду скарг працівників, а також запровадження дієвих інструментів для притягнення роботодавців до відповідальності за порушення трудових прав. </w:t>
      </w:r>
    </w:p>
    <w:p w14:paraId="19169EB6"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Трудові відносини в умовах воєнного стану вимагають особливого підходу до їх регулювання. Такі законодавчі ініціативи стали необхідними для врегулювання складних питань трудових відносин в умовах дії правового режиму воєнного стану та забезпечення захисту інтересів працівників і роботодавців в цих надзвичайних обставинах.</w:t>
      </w:r>
    </w:p>
    <w:p w14:paraId="13D3599A" w14:textId="77777777" w:rsidR="003476F8" w:rsidRPr="00511005" w:rsidRDefault="003476F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bCs/>
          <w:szCs w:val="28"/>
          <w:lang w:val="uk-UA" w:eastAsia="uk-UA"/>
        </w:rPr>
        <w:tab/>
      </w:r>
      <w:r w:rsidRPr="00511005">
        <w:rPr>
          <w:rFonts w:ascii="Arial" w:eastAsia="Times New Roman" w:hAnsi="Arial" w:cs="Arial"/>
          <w:b/>
          <w:bCs/>
          <w:noProof/>
          <w:szCs w:val="28"/>
          <w:lang w:val="uk-UA" w:eastAsia="uk-UA"/>
        </w:rPr>
        <w:t xml:space="preserve">Висновок. </w:t>
      </w:r>
      <w:r w:rsidRPr="00511005">
        <w:rPr>
          <w:rFonts w:ascii="Arial" w:eastAsia="Times New Roman" w:hAnsi="Arial" w:cs="Arial"/>
          <w:noProof/>
          <w:szCs w:val="28"/>
          <w:lang w:val="uk-UA" w:eastAsia="uk-UA"/>
        </w:rPr>
        <w:t xml:space="preserve">Отже, </w:t>
      </w:r>
      <w:r w:rsidRPr="00511005">
        <w:rPr>
          <w:rFonts w:ascii="Arial" w:eastAsia="Times New Roman" w:hAnsi="Arial" w:cs="Arial"/>
          <w:szCs w:val="28"/>
          <w:lang w:val="uk-UA" w:eastAsia="uk-UA"/>
        </w:rPr>
        <w:t xml:space="preserve">правове регулювання трудових відносин в умовах воєнного стану стало серйозним викликом для системи трудового права України. Прийняття Закону № 2136-IX слугувало адаптації трудових відносин до нових умов, однак його практичне застосування виявило проблеми: порушення прав працівників, недостатнє регулювання дистанційної роботи, обмеженість державного контролю та фінансові труднощі через простої. </w:t>
      </w:r>
    </w:p>
    <w:p w14:paraId="2E21263D" w14:textId="77777777" w:rsidR="003476F8" w:rsidRPr="00511005" w:rsidRDefault="003476F8" w:rsidP="003A292D">
      <w:pPr>
        <w:spacing w:line="264" w:lineRule="auto"/>
        <w:ind w:firstLine="0"/>
        <w:rPr>
          <w:rFonts w:ascii="Arial" w:eastAsia="Times New Roman" w:hAnsi="Arial" w:cs="Arial"/>
          <w:noProof/>
          <w:szCs w:val="28"/>
          <w:lang w:val="uk-UA" w:eastAsia="ru-RU"/>
        </w:rPr>
      </w:pPr>
    </w:p>
    <w:p w14:paraId="48C4BBF7" w14:textId="02411E31" w:rsidR="003476F8" w:rsidRPr="00511005" w:rsidRDefault="007B2628" w:rsidP="007B2628">
      <w:pPr>
        <w:keepNext/>
        <w:widowControl w:val="0"/>
        <w:spacing w:line="264" w:lineRule="auto"/>
        <w:ind w:firstLine="0"/>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3E6BC959" w14:textId="1A0DCF4B" w:rsidR="003476F8" w:rsidRPr="00511005" w:rsidRDefault="003476F8" w:rsidP="003A292D">
      <w:pPr>
        <w:keepNext/>
        <w:widowControl w:val="0"/>
        <w:tabs>
          <w:tab w:val="left" w:pos="3852"/>
        </w:tabs>
        <w:spacing w:line="264" w:lineRule="auto"/>
        <w:rPr>
          <w:rFonts w:ascii="Arial" w:eastAsia="Times New Roman" w:hAnsi="Arial" w:cs="Arial"/>
          <w:bCs/>
          <w:szCs w:val="28"/>
          <w:lang w:val="uk-UA" w:eastAsia="ru-RU"/>
        </w:rPr>
      </w:pPr>
      <w:r w:rsidRPr="00511005">
        <w:rPr>
          <w:rFonts w:ascii="Arial" w:eastAsia="Times New Roman" w:hAnsi="Arial" w:cs="Arial"/>
          <w:noProof/>
          <w:szCs w:val="28"/>
          <w:lang w:val="uk-UA" w:eastAsia="ru-RU"/>
        </w:rPr>
        <w:t>1. </w:t>
      </w:r>
      <w:r w:rsidRPr="00511005">
        <w:rPr>
          <w:rFonts w:ascii="Arial" w:eastAsia="Times New Roman" w:hAnsi="Arial" w:cs="Arial"/>
          <w:szCs w:val="28"/>
          <w:lang w:val="uk-UA" w:eastAsia="ru-RU"/>
        </w:rPr>
        <w:t>Про правовий режим воєнного стану: Закон України від 12.05.2015 р.</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 389-VIII. </w:t>
      </w:r>
      <w:r w:rsidRPr="00511005">
        <w:rPr>
          <w:rFonts w:ascii="Arial" w:eastAsia="Times New Roman" w:hAnsi="Arial" w:cs="Arial"/>
          <w:i/>
          <w:szCs w:val="28"/>
          <w:lang w:val="uk-UA" w:eastAsia="ru-RU"/>
        </w:rPr>
        <w:t>Відомості Верховної Ради України</w:t>
      </w:r>
      <w:r w:rsidRPr="00511005">
        <w:rPr>
          <w:rFonts w:ascii="Arial" w:eastAsia="Times New Roman" w:hAnsi="Arial" w:cs="Arial"/>
          <w:szCs w:val="28"/>
          <w:lang w:val="uk-UA" w:eastAsia="ru-RU"/>
        </w:rPr>
        <w:t xml:space="preserve">. 2015. № 28. Ст. 250. URL: </w:t>
      </w:r>
      <w:hyperlink r:id="rId1692" w:history="1">
        <w:r w:rsidRPr="00511005">
          <w:rPr>
            <w:rFonts w:ascii="Arial" w:eastAsia="Times New Roman" w:hAnsi="Arial" w:cs="Arial"/>
            <w:szCs w:val="28"/>
            <w:lang w:val="uk-UA" w:eastAsia="ru-RU"/>
          </w:rPr>
          <w:t>https://zakon.rada.gov.ua/laws/show/389-19#Text</w:t>
        </w:r>
      </w:hyperlink>
      <w:r w:rsidRPr="00511005">
        <w:rPr>
          <w:rFonts w:ascii="Arial" w:eastAsia="Times New Roman" w:hAnsi="Arial" w:cs="Arial"/>
          <w:szCs w:val="28"/>
          <w:lang w:val="uk-UA" w:eastAsia="ru-RU"/>
        </w:rPr>
        <w:t xml:space="preserve"> (дата звернення: 08.05.2025).</w:t>
      </w:r>
    </w:p>
    <w:p w14:paraId="48183446" w14:textId="17D7A560" w:rsidR="003476F8" w:rsidRPr="00511005" w:rsidRDefault="003476F8" w:rsidP="003A292D">
      <w:pPr>
        <w:spacing w:line="264" w:lineRule="auto"/>
        <w:contextualSpacing/>
        <w:rPr>
          <w:rFonts w:ascii="Arial" w:eastAsia="Times New Roman" w:hAnsi="Arial" w:cs="Arial"/>
          <w:bCs/>
          <w:szCs w:val="28"/>
          <w:lang w:val="uk-UA" w:eastAsia="ru-RU"/>
        </w:rPr>
      </w:pPr>
      <w:r w:rsidRPr="00511005">
        <w:rPr>
          <w:rFonts w:ascii="Arial" w:eastAsia="Times New Roman" w:hAnsi="Arial" w:cs="Arial"/>
          <w:noProof/>
          <w:szCs w:val="28"/>
          <w:lang w:val="uk-UA" w:eastAsia="ru-RU"/>
        </w:rPr>
        <w:t xml:space="preserve">2. </w:t>
      </w:r>
      <w:r w:rsidRPr="00511005">
        <w:rPr>
          <w:rFonts w:ascii="Arial" w:eastAsia="Times New Roman" w:hAnsi="Arial" w:cs="Arial"/>
          <w:szCs w:val="28"/>
          <w:lang w:val="uk-UA" w:eastAsia="ru-RU"/>
        </w:rPr>
        <w:t xml:space="preserve">Конституція України: прийнята на п’ятій сесії Верховної ради України 28.06.1996 р. № 254к/96-ВР. </w:t>
      </w:r>
      <w:r w:rsidRPr="00511005">
        <w:rPr>
          <w:rFonts w:ascii="Arial" w:eastAsia="Times New Roman" w:hAnsi="Arial" w:cs="Arial"/>
          <w:i/>
          <w:szCs w:val="28"/>
          <w:lang w:val="uk-UA" w:eastAsia="ru-RU"/>
        </w:rPr>
        <w:t>Відомості Верховної Ради України (ВВР).</w:t>
      </w:r>
      <w:r w:rsidRPr="00511005">
        <w:rPr>
          <w:rFonts w:ascii="Arial" w:eastAsia="Times New Roman" w:hAnsi="Arial" w:cs="Arial"/>
          <w:szCs w:val="28"/>
          <w:lang w:val="uk-UA" w:eastAsia="ru-RU"/>
        </w:rPr>
        <w:t xml:space="preserve"> 1996.</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 30. Ст. 141. URL: </w:t>
      </w:r>
      <w:hyperlink r:id="rId1693" w:history="1">
        <w:r w:rsidRPr="00511005">
          <w:rPr>
            <w:rFonts w:ascii="Arial" w:eastAsia="Times New Roman" w:hAnsi="Arial" w:cs="Arial"/>
            <w:szCs w:val="28"/>
            <w:lang w:val="uk-UA" w:eastAsia="ru-RU"/>
          </w:rPr>
          <w:t>https://zakon.rada.gov.ua/laws/show/254к/96-вр#Text</w:t>
        </w:r>
      </w:hyperlink>
      <w:r w:rsidRPr="00511005">
        <w:rPr>
          <w:rFonts w:ascii="Arial" w:eastAsia="Times New Roman" w:hAnsi="Arial" w:cs="Arial"/>
          <w:szCs w:val="28"/>
          <w:lang w:val="uk-UA" w:eastAsia="ru-RU"/>
        </w:rPr>
        <w:t xml:space="preserve"> (дата звернення: 07.05.2025).</w:t>
      </w:r>
    </w:p>
    <w:p w14:paraId="639A2C35" w14:textId="77777777" w:rsidR="003476F8" w:rsidRPr="00511005" w:rsidRDefault="003476F8" w:rsidP="003A292D">
      <w:pPr>
        <w:keepNext/>
        <w:widowControl w:val="0"/>
        <w:spacing w:line="264" w:lineRule="auto"/>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3. </w:t>
      </w:r>
      <w:r w:rsidRPr="00511005">
        <w:rPr>
          <w:rFonts w:ascii="Arial" w:eastAsia="Times New Roman" w:hAnsi="Arial" w:cs="Arial"/>
          <w:szCs w:val="28"/>
          <w:lang w:val="uk-UA" w:eastAsia="ru-RU"/>
        </w:rPr>
        <w:t xml:space="preserve">Про організацію трудових відносин в умовах воєнного стану: Закон України від 15.03.2022 р.: станом на 24 грудня 2023 р. URL: </w:t>
      </w:r>
      <w:hyperlink r:id="rId1694" w:anchor="Text" w:history="1">
        <w:r w:rsidRPr="00511005">
          <w:rPr>
            <w:rFonts w:ascii="Arial" w:eastAsia="Times New Roman" w:hAnsi="Arial" w:cs="Arial"/>
            <w:noProof/>
            <w:szCs w:val="28"/>
            <w:lang w:val="uk-UA" w:eastAsia="ru-RU"/>
          </w:rPr>
          <w:t>https://zakon.rada.gov.ua/laws/show/2136-20#Text</w:t>
        </w:r>
      </w:hyperlink>
      <w:r w:rsidRPr="00511005">
        <w:rPr>
          <w:rFonts w:ascii="Arial" w:eastAsia="Times New Roman" w:hAnsi="Arial" w:cs="Arial"/>
          <w:noProof/>
          <w:szCs w:val="28"/>
          <w:lang w:val="uk-UA" w:eastAsia="ru-RU"/>
        </w:rPr>
        <w:t xml:space="preserve"> (дата звернення 08.05.2025).</w:t>
      </w:r>
    </w:p>
    <w:p w14:paraId="2C9ED1BC" w14:textId="77777777" w:rsidR="003476F8" w:rsidRPr="00511005" w:rsidRDefault="003476F8" w:rsidP="003A292D">
      <w:pPr>
        <w:keepNext/>
        <w:widowControl w:val="0"/>
        <w:spacing w:line="264" w:lineRule="auto"/>
        <w:contextualSpacing/>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4. Кузнецова М., Ананьєв С., Сафонова Т. Механізми захисту трудових прав в період дії воєнного стану. </w:t>
      </w:r>
      <w:r w:rsidRPr="00511005">
        <w:rPr>
          <w:rFonts w:ascii="Arial" w:eastAsia="Times New Roman" w:hAnsi="Arial" w:cs="Arial"/>
          <w:i/>
          <w:iCs/>
          <w:noProof/>
          <w:szCs w:val="28"/>
          <w:lang w:val="uk-UA" w:eastAsia="ru-RU"/>
        </w:rPr>
        <w:t>Електронне наукове видання «Аналітично-порівняльне правознавство»</w:t>
      </w:r>
      <w:r w:rsidRPr="00511005">
        <w:rPr>
          <w:rFonts w:ascii="Arial" w:eastAsia="Times New Roman" w:hAnsi="Arial" w:cs="Arial"/>
          <w:noProof/>
          <w:szCs w:val="28"/>
          <w:lang w:val="uk-UA" w:eastAsia="ru-RU"/>
        </w:rPr>
        <w:t xml:space="preserve">. 2022. № 5. С. 178–181. URL: </w:t>
      </w:r>
      <w:hyperlink r:id="rId1695" w:history="1">
        <w:r w:rsidRPr="00511005">
          <w:rPr>
            <w:rFonts w:ascii="Arial" w:eastAsia="Times New Roman" w:hAnsi="Arial" w:cs="Arial"/>
            <w:noProof/>
            <w:szCs w:val="28"/>
            <w:lang w:val="uk-UA" w:eastAsia="ru-RU"/>
          </w:rPr>
          <w:t>https://doi.org/10.24144/2788-6018.2022.05.32</w:t>
        </w:r>
      </w:hyperlink>
      <w:r w:rsidRPr="00511005">
        <w:rPr>
          <w:rFonts w:ascii="Arial" w:eastAsia="Times New Roman" w:hAnsi="Arial" w:cs="Arial"/>
          <w:noProof/>
          <w:szCs w:val="28"/>
          <w:lang w:val="uk-UA" w:eastAsia="ru-RU"/>
        </w:rPr>
        <w:t xml:space="preserve"> (дата звернення 08.05.2025).</w:t>
      </w:r>
    </w:p>
    <w:p w14:paraId="63E0E306" w14:textId="77777777" w:rsidR="003476F8" w:rsidRPr="00511005" w:rsidRDefault="003476F8" w:rsidP="003A292D">
      <w:pPr>
        <w:spacing w:line="264" w:lineRule="auto"/>
        <w:rPr>
          <w:rFonts w:ascii="Arial" w:eastAsia="Times New Roman" w:hAnsi="Arial" w:cs="Arial"/>
          <w:b/>
          <w:i/>
          <w:iCs/>
          <w:noProof/>
          <w:szCs w:val="28"/>
          <w:lang w:val="uk-UA" w:eastAsia="ru-RU"/>
        </w:rPr>
      </w:pPr>
    </w:p>
    <w:p w14:paraId="45725331" w14:textId="33591F3C" w:rsidR="003476F8" w:rsidRPr="00511005" w:rsidRDefault="007B2628" w:rsidP="003A292D">
      <w:pPr>
        <w:spacing w:line="264" w:lineRule="auto"/>
        <w:rPr>
          <w:rFonts w:ascii="Arial" w:eastAsia="Times New Roman" w:hAnsi="Arial" w:cs="Arial"/>
          <w:noProof/>
          <w:szCs w:val="28"/>
          <w:lang w:val="uk-UA" w:eastAsia="uk-UA"/>
        </w:rPr>
      </w:pPr>
      <w:r w:rsidRPr="00511005">
        <w:rPr>
          <w:rFonts w:ascii="Arial" w:eastAsia="Times New Roman" w:hAnsi="Arial" w:cs="Arial"/>
          <w:b/>
          <w:i/>
          <w:iCs/>
          <w:noProof/>
          <w:szCs w:val="28"/>
          <w:lang w:val="uk-UA" w:eastAsia="ru-RU"/>
        </w:rPr>
        <w:t xml:space="preserve">Ключові слова: </w:t>
      </w:r>
      <w:r w:rsidR="003476F8" w:rsidRPr="00511005">
        <w:rPr>
          <w:rFonts w:ascii="Arial" w:eastAsia="Times New Roman" w:hAnsi="Arial" w:cs="Arial"/>
          <w:i/>
          <w:iCs/>
          <w:noProof/>
          <w:szCs w:val="28"/>
          <w:lang w:val="uk-UA" w:eastAsia="uk-UA"/>
        </w:rPr>
        <w:t>воєнний стан, трудові відносини, трудове законодавство, призупинення трудового договору, дистанційна робота, права працівників, роботодавець, соціальний захист, гнучка зайнятість, державний контроль.</w:t>
      </w:r>
    </w:p>
    <w:p w14:paraId="4DEE5BDC" w14:textId="66F5CFBB" w:rsidR="003476F8" w:rsidRPr="00511005" w:rsidRDefault="007B2628" w:rsidP="003A292D">
      <w:pPr>
        <w:spacing w:line="264" w:lineRule="auto"/>
        <w:rPr>
          <w:rFonts w:ascii="Arial" w:eastAsia="Times New Roman" w:hAnsi="Arial" w:cs="Arial"/>
          <w:i/>
          <w:iCs/>
          <w:noProof/>
          <w:szCs w:val="28"/>
          <w:lang w:val="uk-UA" w:eastAsia="ru-RU"/>
        </w:rPr>
      </w:pPr>
      <w:r w:rsidRPr="00511005">
        <w:rPr>
          <w:rFonts w:ascii="Arial" w:eastAsia="Times New Roman" w:hAnsi="Arial" w:cs="Arial"/>
          <w:b/>
          <w:bCs/>
          <w:i/>
          <w:iCs/>
          <w:noProof/>
          <w:szCs w:val="28"/>
          <w:lang w:val="uk-UA" w:eastAsia="ru-RU"/>
        </w:rPr>
        <w:t xml:space="preserve">Key words: </w:t>
      </w:r>
      <w:r w:rsidR="003476F8" w:rsidRPr="00511005">
        <w:rPr>
          <w:rFonts w:ascii="Arial" w:eastAsia="Times New Roman" w:hAnsi="Arial" w:cs="Arial"/>
          <w:i/>
          <w:iCs/>
          <w:noProof/>
          <w:szCs w:val="28"/>
          <w:lang w:val="uk-UA" w:eastAsia="ru-RU"/>
        </w:rPr>
        <w:t>martial law, labor relations, labor legislation, suspension of employment contract, remote work, employee rights, employer, social protection, flexible employment, state control.</w:t>
      </w:r>
    </w:p>
    <w:p w14:paraId="4C46F7B0" w14:textId="10EF5466" w:rsidR="003476F8" w:rsidRPr="00511005" w:rsidRDefault="007B2628" w:rsidP="003A292D">
      <w:pPr>
        <w:spacing w:line="264" w:lineRule="auto"/>
        <w:jc w:val="left"/>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3476F8" w:rsidRPr="00511005">
        <w:rPr>
          <w:rFonts w:ascii="Arial" w:eastAsia="Times New Roman" w:hAnsi="Arial" w:cs="Arial"/>
          <w:bCs/>
          <w:i/>
          <w:iCs/>
          <w:szCs w:val="28"/>
          <w:lang w:val="uk-UA" w:eastAsia="ru-RU"/>
        </w:rPr>
        <w:t>к.ю.н., доцент Пожарова О. В.</w:t>
      </w:r>
    </w:p>
    <w:p w14:paraId="599902F0" w14:textId="77777777" w:rsidR="003476F8" w:rsidRPr="00511005" w:rsidRDefault="003476F8" w:rsidP="003A292D">
      <w:pPr>
        <w:spacing w:line="264" w:lineRule="auto"/>
        <w:ind w:firstLine="0"/>
        <w:jc w:val="center"/>
        <w:rPr>
          <w:rFonts w:ascii="Arial" w:eastAsia="Times New Roman" w:hAnsi="Arial" w:cs="Arial"/>
          <w:b/>
          <w:i/>
          <w:iCs/>
          <w:szCs w:val="28"/>
          <w:lang w:val="uk-UA" w:eastAsia="ru-RU"/>
        </w:rPr>
      </w:pPr>
    </w:p>
    <w:p w14:paraId="5E128F85" w14:textId="77777777" w:rsidR="003476F8" w:rsidRPr="00511005" w:rsidRDefault="003476F8" w:rsidP="003A292D">
      <w:pPr>
        <w:spacing w:line="264" w:lineRule="auto"/>
        <w:ind w:firstLine="0"/>
        <w:jc w:val="left"/>
        <w:rPr>
          <w:rFonts w:ascii="Arial" w:eastAsia="Times New Roman" w:hAnsi="Arial" w:cs="Arial"/>
          <w:szCs w:val="28"/>
          <w:lang w:val="uk-UA" w:eastAsia="ru-RU"/>
        </w:rPr>
      </w:pPr>
    </w:p>
    <w:p w14:paraId="0918D575" w14:textId="77777777" w:rsidR="003476F8" w:rsidRPr="00511005" w:rsidRDefault="003476F8" w:rsidP="003A292D">
      <w:pPr>
        <w:spacing w:line="264" w:lineRule="auto"/>
        <w:ind w:firstLine="0"/>
        <w:jc w:val="left"/>
        <w:rPr>
          <w:rFonts w:ascii="Arial" w:eastAsia="Times New Roman" w:hAnsi="Arial" w:cs="Arial"/>
          <w:szCs w:val="28"/>
          <w:lang w:val="uk-UA" w:eastAsia="ru-RU"/>
        </w:rPr>
      </w:pPr>
    </w:p>
    <w:p w14:paraId="18C1B1D0" w14:textId="77777777" w:rsidR="003476F8" w:rsidRPr="00511005" w:rsidRDefault="003476F8" w:rsidP="003A292D">
      <w:pPr>
        <w:suppressAutoHyphens/>
        <w:spacing w:line="264" w:lineRule="auto"/>
        <w:ind w:firstLine="850"/>
        <w:jc w:val="center"/>
        <w:rPr>
          <w:rFonts w:ascii="Arial" w:eastAsia="NSimSun" w:hAnsi="Arial" w:cs="Arial"/>
          <w:b/>
          <w:bCs/>
          <w:i/>
          <w:iCs/>
          <w:kern w:val="2"/>
          <w:szCs w:val="28"/>
          <w:lang w:val="uk-UA" w:eastAsia="zh-CN" w:bidi="hi-IN"/>
        </w:rPr>
      </w:pPr>
      <w:r w:rsidRPr="00511005">
        <w:rPr>
          <w:rFonts w:ascii="Arial" w:eastAsia="NSimSun" w:hAnsi="Arial" w:cs="Arial"/>
          <w:b/>
          <w:bCs/>
          <w:i/>
          <w:iCs/>
          <w:kern w:val="2"/>
          <w:szCs w:val="28"/>
          <w:lang w:val="uk-UA" w:eastAsia="zh-CN" w:bidi="hi-IN"/>
        </w:rPr>
        <w:t>Леонова Вікторія Миколаївна</w:t>
      </w:r>
    </w:p>
    <w:p w14:paraId="59CF36E7" w14:textId="32FCDD8D" w:rsidR="003476F8" w:rsidRPr="00511005" w:rsidRDefault="00536AAB" w:rsidP="003A292D">
      <w:pPr>
        <w:suppressAutoHyphens/>
        <w:spacing w:line="264" w:lineRule="auto"/>
        <w:ind w:firstLine="850"/>
        <w:jc w:val="center"/>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 xml:space="preserve">студентка 2-го курсу </w:t>
      </w:r>
      <w:r w:rsidR="007B2628" w:rsidRPr="00511005">
        <w:rPr>
          <w:rFonts w:ascii="Arial" w:eastAsia="NSimSun" w:hAnsi="Arial" w:cs="Arial"/>
          <w:kern w:val="2"/>
          <w:szCs w:val="28"/>
          <w:lang w:val="uk-UA" w:eastAsia="zh-CN" w:bidi="hi-IN"/>
        </w:rPr>
        <w:t>факультету цивільної та господарської юстиції</w:t>
      </w:r>
    </w:p>
    <w:p w14:paraId="7D7A1A8D" w14:textId="3598D69D" w:rsidR="003476F8" w:rsidRPr="00511005" w:rsidRDefault="007B2628" w:rsidP="003A292D">
      <w:pPr>
        <w:suppressAutoHyphens/>
        <w:spacing w:line="264" w:lineRule="auto"/>
        <w:ind w:firstLine="850"/>
        <w:jc w:val="center"/>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Національного університету «Одеська юридична академія»</w:t>
      </w:r>
    </w:p>
    <w:p w14:paraId="50597CDF" w14:textId="77777777" w:rsidR="003476F8" w:rsidRPr="00511005" w:rsidRDefault="003476F8" w:rsidP="003A292D">
      <w:pPr>
        <w:suppressAutoHyphens/>
        <w:spacing w:line="264" w:lineRule="auto"/>
        <w:ind w:firstLine="850"/>
        <w:jc w:val="center"/>
        <w:rPr>
          <w:rFonts w:ascii="Arial" w:eastAsia="NSimSun" w:hAnsi="Arial" w:cs="Arial"/>
          <w:kern w:val="2"/>
          <w:szCs w:val="28"/>
          <w:lang w:val="uk-UA" w:eastAsia="zh-CN" w:bidi="hi-IN"/>
        </w:rPr>
      </w:pPr>
    </w:p>
    <w:p w14:paraId="14185559" w14:textId="77777777" w:rsidR="003476F8" w:rsidRPr="00511005" w:rsidRDefault="003476F8" w:rsidP="003A292D">
      <w:pPr>
        <w:suppressAutoHyphens/>
        <w:spacing w:line="264" w:lineRule="auto"/>
        <w:ind w:firstLine="850"/>
        <w:jc w:val="center"/>
        <w:rPr>
          <w:rFonts w:ascii="Arial" w:eastAsia="NSimSun" w:hAnsi="Arial" w:cs="Arial"/>
          <w:b/>
          <w:bCs/>
          <w:kern w:val="2"/>
          <w:szCs w:val="28"/>
          <w:lang w:val="uk-UA" w:eastAsia="zh-CN" w:bidi="hi-IN"/>
        </w:rPr>
      </w:pPr>
      <w:r w:rsidRPr="00511005">
        <w:rPr>
          <w:rFonts w:ascii="Arial" w:eastAsia="NSimSun" w:hAnsi="Arial" w:cs="Arial"/>
          <w:b/>
          <w:bCs/>
          <w:kern w:val="2"/>
          <w:szCs w:val="28"/>
          <w:lang w:val="uk-UA" w:eastAsia="zh-CN" w:bidi="hi-IN"/>
        </w:rPr>
        <w:t>ГЕНДЕРНА РІВНІСТЬ У СФЕРІ ПРАЦІ</w:t>
      </w:r>
    </w:p>
    <w:p w14:paraId="048F051D"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 xml:space="preserve">Гендерна рівність є одним із ключових аспектів забезпечення прав людини та досягнення сталого розвитку суспільства. Україна як демократична, соціальна, правова держава встановлює пріоритет прав людини, закріпивши в Конституції гарантії дотримання прав і свобод людини на принципах рівності та заборони дискримінації. Стаття 24 Основного Закону наголошує на непримустимості привілеїв чи обмежень за різними ознаками, зокрема й за ознакою статі. Рівність прав жінки та чоловіка забезпечується наданням їм рівних прав в усіх сферах суспільного життя </w:t>
      </w:r>
      <w:r w:rsidRPr="00511005">
        <w:rPr>
          <w:rFonts w:ascii="Arial" w:eastAsia="NSimSun" w:hAnsi="Arial" w:cs="Arial"/>
          <w:kern w:val="2"/>
          <w:szCs w:val="28"/>
          <w:lang w:eastAsia="zh-CN" w:bidi="hi-IN"/>
        </w:rPr>
        <w:t>[1].</w:t>
      </w:r>
    </w:p>
    <w:p w14:paraId="7DC3CB79"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Однак не зважаючи на нормативне закріплення рівності прав осіб різної статі, жінки часто стикаються з дискримінацією за ознакою гендеру. Поняття «гендер» є досить неоднозначним і по-різному тлумачиться науковцями. Сучасна наука розглядає гендер в першу чергу, не як біологічну характеристику, а як соціально сформовані відмінності між чоловіками та жінками. При такому визначенні, акцентують увагу на поведінці, емоціях, розподілі суспільно-прийнятних ролей, які вважаються належними для кожної статі [2, с. 191].</w:t>
      </w:r>
    </w:p>
    <w:p w14:paraId="5B61EC06"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Гендерна дискримінація найчастіше зустрічається у сфері трудових відносин. Що виявляється в упередженому ставленні керівництва, висуванні різних вимог до кандидатів різної статі, розбіжності в оплаті за виконання рівноцінної роботи та багато іншого.</w:t>
      </w:r>
    </w:p>
    <w:p w14:paraId="56A880D0"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 xml:space="preserve">Це пов’язано з тим, що протягом тривалого часу в суспільстві панувало сприйняття жінки виключно як домогосподарки та берегині домашнього вогнища. Таке сприйняття обмежувано соціальну роль жінки </w:t>
      </w:r>
      <w:r w:rsidRPr="00511005">
        <w:rPr>
          <w:rFonts w:ascii="Arial" w:eastAsia="NSimSun" w:hAnsi="Arial" w:cs="Arial"/>
          <w:kern w:val="2"/>
          <w:szCs w:val="28"/>
          <w:lang w:val="uk-UA" w:eastAsia="zh-CN" w:bidi="hi-IN"/>
        </w:rPr>
        <w:lastRenderedPageBreak/>
        <w:t xml:space="preserve">переважно сімейною сферою та виключало або значно обмежувало її участь у сфері праці. </w:t>
      </w:r>
    </w:p>
    <w:p w14:paraId="19629537"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Наслідком тривалого домінування патріархальних поглядів стало формування глибоко вкорінених стереотипів, які продовжують впливати на ринок праці й сьогодні.</w:t>
      </w:r>
    </w:p>
    <w:p w14:paraId="760316CD"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Нині, весь цивілізований світ впевнено каже «ні» гендерній дискримінації. Україна – не виключення. Існує низка нормативно-правових актів, спрямованих на забезпечення рівних прав жінок та чоловіків у трудових відносинах. Зокрема стаття 2</w:t>
      </w:r>
      <w:r w:rsidRPr="00511005">
        <w:rPr>
          <w:rFonts w:ascii="Arial" w:eastAsia="NSimSun" w:hAnsi="Arial" w:cs="Arial"/>
          <w:kern w:val="2"/>
          <w:szCs w:val="28"/>
          <w:vertAlign w:val="superscript"/>
          <w:lang w:val="uk-UA" w:eastAsia="zh-CN" w:bidi="hi-IN"/>
        </w:rPr>
        <w:t xml:space="preserve">1 </w:t>
      </w:r>
      <w:r w:rsidRPr="00511005">
        <w:rPr>
          <w:rFonts w:ascii="Arial" w:eastAsia="NSimSun" w:hAnsi="Arial" w:cs="Arial"/>
          <w:kern w:val="2"/>
          <w:szCs w:val="28"/>
          <w:lang w:val="uk-UA" w:eastAsia="zh-CN" w:bidi="hi-IN"/>
        </w:rPr>
        <w:t>Кодексу законів про працю України містить пряму заборону дискримінації у сфері праці шляхом порушення принципу рівності прав і можливостей та прямого або непрямого обмеження прав працівників за різними ознаками, включно із ознакою статевої приналежності [3].</w:t>
      </w:r>
    </w:p>
    <w:p w14:paraId="6F8E9CAC"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Більше того, для досягнення паритетності у правовому становищі чоловіків і жінок, в тому числі й у трудових відносинах, законодавцем був прийнятий Закон України «Про забезпечення рівних прав і можливостей жінок і чоловіків» від 08.09.2005, № 2866-</w:t>
      </w:r>
      <w:r w:rsidRPr="00511005">
        <w:rPr>
          <w:rFonts w:ascii="Arial" w:eastAsia="NSimSun" w:hAnsi="Arial" w:cs="Arial"/>
          <w:kern w:val="2"/>
          <w:szCs w:val="28"/>
          <w:lang w:val="en-US" w:eastAsia="zh-CN" w:bidi="hi-IN"/>
        </w:rPr>
        <w:t>IV</w:t>
      </w:r>
      <w:r w:rsidRPr="00511005">
        <w:rPr>
          <w:rFonts w:ascii="Arial" w:eastAsia="NSimSun" w:hAnsi="Arial" w:cs="Arial"/>
          <w:kern w:val="2"/>
          <w:szCs w:val="28"/>
          <w:lang w:val="uk-UA" w:eastAsia="zh-CN" w:bidi="hi-IN"/>
        </w:rPr>
        <w:t>. Стаття 17 згаданого Закону покладає на роботодавця обов’язок гарантувати жінкам і чоловікам рівні права та можливості при працевлаштуванні, кар’єрному зростанні, підвищенні кваліфікації та оплаті праці. Роботодавцю заборонено пропонувати роботу лише жінкам або лише чоловікам, за винятком роботи, яка за своєю специфікою може виконуватись виключно особою певної статі. Заборона розповсюджується також на висування різних критеріїв відбору на роботу для чоловіків та жінок, а під час прийняття на роботу на вимагання інформації про особисте життя чи плани щодо створення сім’ї та народження дітей [4].</w:t>
      </w:r>
    </w:p>
    <w:p w14:paraId="4D1D6965"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 xml:space="preserve">Небажання роботодавців приймати на роботу жінок, часто пов’язане з побоюваннями щодо можливого народження дитини. Таке ставлення базується на стереотипному уявленні про жінок як про працівниць, чия професійна кар’єра неминуче перериватиметься через материнство. А це, на думку роботодавців, може призвести до додаткових витрат та організаційних труднощів. </w:t>
      </w:r>
    </w:p>
    <w:p w14:paraId="7C612BB8"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Дана позиція відверто ігнорує той факт, що право на материнство є фундаментальним правом жінки, закріпленим у законодавстві та гарантованим державою. А відповідальність за виховання дітей рівномірно розподілена між обома батьками. Чоловік так само бере участь у вихованні і до того ж має право на відпустку при народженні дитини.</w:t>
      </w:r>
    </w:p>
    <w:p w14:paraId="36D71E7E"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Тому заборона вимагання інформації про особисте життя та народження дітей є цілком обґрунтованою. При прийнятті на роботу роботодавець повинен оцінювати виключно професійні навички та досвід працівника, не зважаючи на стать.</w:t>
      </w:r>
    </w:p>
    <w:p w14:paraId="75B989EF" w14:textId="266021A4"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lastRenderedPageBreak/>
        <w:t>З іншого боку, законодавством передбачено диференціацію правового регулювання трудових відносин, з урахуванням фізіологічних особливостей організму, різних умов і специфіки праці. У багатьох статтях Кодексу законів про працю України містяться спеціальні норми, що диференціюють працю жінок. Наприклад, забороняється застосовувати працю жінок на важких роботах, чи роботах зі шкідливими та небезпечними умовами праці, встановлюються обмеження щодо праці у нічний час, надаються різноманітні пільги тощо. Такі дії не підпадають під визначення дискримінації, а радше є обґрунтованими засобами захисту, що в юридичні літературі дістали назву «позитивна дискримінація». Стаття 6 Закону України «Про засади запобігання та протидії дискримінації в Україні» від 06.09.2012, № 5207-</w:t>
      </w:r>
      <w:r w:rsidRPr="00511005">
        <w:rPr>
          <w:rFonts w:ascii="Arial" w:eastAsia="NSimSun" w:hAnsi="Arial" w:cs="Arial"/>
          <w:kern w:val="2"/>
          <w:szCs w:val="28"/>
          <w:lang w:val="en-US" w:eastAsia="zh-CN" w:bidi="hi-IN"/>
        </w:rPr>
        <w:t>VI</w:t>
      </w:r>
      <w:r w:rsidR="007B2628" w:rsidRPr="00511005">
        <w:rPr>
          <w:rFonts w:ascii="Arial" w:eastAsia="NSimSun" w:hAnsi="Arial" w:cs="Arial"/>
          <w:kern w:val="2"/>
          <w:szCs w:val="28"/>
          <w:lang w:val="uk-UA" w:eastAsia="zh-CN" w:bidi="hi-IN"/>
        </w:rPr>
        <w:t xml:space="preserve"> </w:t>
      </w:r>
      <w:r w:rsidRPr="00511005">
        <w:rPr>
          <w:rFonts w:ascii="Arial" w:eastAsia="NSimSun" w:hAnsi="Arial" w:cs="Arial"/>
          <w:kern w:val="2"/>
          <w:szCs w:val="28"/>
          <w:lang w:val="uk-UA" w:eastAsia="zh-CN" w:bidi="hi-IN"/>
        </w:rPr>
        <w:t xml:space="preserve">зазначає, що здійснення державою спеціального захисту окремих категорій осіб, в тому числі й жінок, шляхом надання їм пільг та компенсацій, встановлення спеціальних соціальних гарантій не вважаються дискримінацією </w:t>
      </w:r>
      <w:r w:rsidRPr="00511005">
        <w:rPr>
          <w:rFonts w:ascii="Arial" w:eastAsia="NSimSun" w:hAnsi="Arial" w:cs="Arial"/>
          <w:kern w:val="2"/>
          <w:szCs w:val="28"/>
          <w:lang w:eastAsia="zh-CN" w:bidi="hi-IN"/>
        </w:rPr>
        <w:t>[5, с. 192].</w:t>
      </w:r>
    </w:p>
    <w:p w14:paraId="69ED7E92"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 xml:space="preserve">Підсумовуючи, варто сказати, що українське законодавство поступово вдосконалюється для забезпечення гендерної рівності у сфері трудових відносин. Це питання закріплено на конституційному рівні та регулюється багатьма профільними законами. </w:t>
      </w:r>
    </w:p>
    <w:p w14:paraId="571DA4D8"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Важливо зазначити, що правові положення спрямовані не лише на заборону дискримінації, але й передбачають механізми позитивного захисту, з урахуванням фізіологічних особливостей жінок. Мета цих норм полягає в охороні здоров’я жінок та створенні нормальних умов праці.</w:t>
      </w:r>
    </w:p>
    <w:p w14:paraId="2749CB56"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 xml:space="preserve">Проте незважаючи на наявність прогресивного законодавства, на практиці все ще існують випадки гендерної дискримінації, що історично ґрунтується на упередженому сприйнятті ролі жінки. Тому важливим є не лише наявність законів, але й ефективний механізм їхнього виконання та контроль за їх дотриманням, а також підвищення обізнаності як працівників, так і роботодавців щодо питань гендерної рівності. </w:t>
      </w:r>
    </w:p>
    <w:p w14:paraId="550A660D"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p>
    <w:p w14:paraId="0AF9E953" w14:textId="275EAA6A" w:rsidR="003476F8" w:rsidRPr="00511005" w:rsidRDefault="007B2628" w:rsidP="007B2628">
      <w:pPr>
        <w:suppressAutoHyphens/>
        <w:spacing w:line="264" w:lineRule="auto"/>
        <w:ind w:firstLine="850"/>
        <w:jc w:val="center"/>
        <w:rPr>
          <w:rFonts w:ascii="Arial" w:eastAsia="NSimSun" w:hAnsi="Arial" w:cs="Arial"/>
          <w:b/>
          <w:bCs/>
          <w:kern w:val="2"/>
          <w:szCs w:val="28"/>
          <w:lang w:val="uk-UA" w:eastAsia="zh-CN" w:bidi="hi-IN"/>
        </w:rPr>
      </w:pPr>
      <w:r w:rsidRPr="00511005">
        <w:rPr>
          <w:rFonts w:ascii="Arial" w:eastAsia="NSimSun" w:hAnsi="Arial" w:cs="Arial"/>
          <w:b/>
          <w:bCs/>
          <w:kern w:val="2"/>
          <w:szCs w:val="28"/>
          <w:lang w:val="uk-UA" w:eastAsia="zh-CN" w:bidi="hi-IN"/>
        </w:rPr>
        <w:t>Список використаних джерел</w:t>
      </w:r>
    </w:p>
    <w:p w14:paraId="3078DE82"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1. Конституція України від 28.06.1996. № 254к/96-ВР.</w:t>
      </w:r>
      <w:r w:rsidRPr="00511005">
        <w:rPr>
          <w:rFonts w:ascii="Arial" w:eastAsia="NSimSun" w:hAnsi="Arial" w:cs="Arial"/>
          <w:kern w:val="2"/>
          <w:szCs w:val="28"/>
          <w:lang w:eastAsia="zh-CN" w:bidi="hi-IN"/>
        </w:rPr>
        <w:t xml:space="preserve"> </w:t>
      </w:r>
      <w:r w:rsidRPr="00511005">
        <w:rPr>
          <w:rFonts w:ascii="Arial" w:eastAsia="NSimSun" w:hAnsi="Arial" w:cs="Arial"/>
          <w:kern w:val="2"/>
          <w:szCs w:val="28"/>
          <w:lang w:val="en-US" w:eastAsia="zh-CN" w:bidi="hi-IN"/>
        </w:rPr>
        <w:t>URL</w:t>
      </w:r>
      <w:r w:rsidRPr="00511005">
        <w:rPr>
          <w:rFonts w:ascii="Arial" w:eastAsia="NSimSun" w:hAnsi="Arial" w:cs="Arial"/>
          <w:kern w:val="2"/>
          <w:szCs w:val="28"/>
          <w:lang w:eastAsia="zh-CN" w:bidi="hi-IN"/>
        </w:rPr>
        <w:t xml:space="preserve">: </w:t>
      </w:r>
      <w:hyperlink r:id="rId1696" w:anchor="Text" w:history="1">
        <w:r w:rsidRPr="00511005">
          <w:rPr>
            <w:rFonts w:ascii="Arial" w:eastAsia="NSimSun" w:hAnsi="Arial" w:cs="Arial"/>
            <w:kern w:val="2"/>
            <w:szCs w:val="28"/>
            <w:lang w:val="en-US" w:eastAsia="zh-CN" w:bidi="hi-IN"/>
          </w:rPr>
          <w:t>https</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zakon</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rada</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gov</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ua</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laws</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show</w:t>
        </w:r>
        <w:r w:rsidRPr="00511005">
          <w:rPr>
            <w:rFonts w:ascii="Arial" w:eastAsia="NSimSun" w:hAnsi="Arial" w:cs="Arial"/>
            <w:kern w:val="2"/>
            <w:szCs w:val="28"/>
            <w:lang w:eastAsia="zh-CN" w:bidi="hi-IN"/>
          </w:rPr>
          <w:t>/254%</w:t>
        </w:r>
        <w:r w:rsidRPr="00511005">
          <w:rPr>
            <w:rFonts w:ascii="Arial" w:eastAsia="NSimSun" w:hAnsi="Arial" w:cs="Arial"/>
            <w:kern w:val="2"/>
            <w:szCs w:val="28"/>
            <w:lang w:val="en-US" w:eastAsia="zh-CN" w:bidi="hi-IN"/>
          </w:rPr>
          <w:t>D</w:t>
        </w:r>
        <w:r w:rsidRPr="00511005">
          <w:rPr>
            <w:rFonts w:ascii="Arial" w:eastAsia="NSimSun" w:hAnsi="Arial" w:cs="Arial"/>
            <w:kern w:val="2"/>
            <w:szCs w:val="28"/>
            <w:lang w:eastAsia="zh-CN" w:bidi="hi-IN"/>
          </w:rPr>
          <w:t>0%</w:t>
        </w:r>
        <w:r w:rsidRPr="00511005">
          <w:rPr>
            <w:rFonts w:ascii="Arial" w:eastAsia="NSimSun" w:hAnsi="Arial" w:cs="Arial"/>
            <w:kern w:val="2"/>
            <w:szCs w:val="28"/>
            <w:lang w:val="en-US" w:eastAsia="zh-CN" w:bidi="hi-IN"/>
          </w:rPr>
          <w:t>BA</w:t>
        </w:r>
        <w:r w:rsidRPr="00511005">
          <w:rPr>
            <w:rFonts w:ascii="Arial" w:eastAsia="NSimSun" w:hAnsi="Arial" w:cs="Arial"/>
            <w:kern w:val="2"/>
            <w:szCs w:val="28"/>
            <w:lang w:eastAsia="zh-CN" w:bidi="hi-IN"/>
          </w:rPr>
          <w:t>/96-%</w:t>
        </w:r>
        <w:r w:rsidRPr="00511005">
          <w:rPr>
            <w:rFonts w:ascii="Arial" w:eastAsia="NSimSun" w:hAnsi="Arial" w:cs="Arial"/>
            <w:kern w:val="2"/>
            <w:szCs w:val="28"/>
            <w:lang w:val="en-US" w:eastAsia="zh-CN" w:bidi="hi-IN"/>
          </w:rPr>
          <w:t>D</w:t>
        </w:r>
        <w:r w:rsidRPr="00511005">
          <w:rPr>
            <w:rFonts w:ascii="Arial" w:eastAsia="NSimSun" w:hAnsi="Arial" w:cs="Arial"/>
            <w:kern w:val="2"/>
            <w:szCs w:val="28"/>
            <w:lang w:eastAsia="zh-CN" w:bidi="hi-IN"/>
          </w:rPr>
          <w:t>0%</w:t>
        </w:r>
        <w:r w:rsidRPr="00511005">
          <w:rPr>
            <w:rFonts w:ascii="Arial" w:eastAsia="NSimSun" w:hAnsi="Arial" w:cs="Arial"/>
            <w:kern w:val="2"/>
            <w:szCs w:val="28"/>
            <w:lang w:val="en-US" w:eastAsia="zh-CN" w:bidi="hi-IN"/>
          </w:rPr>
          <w:t>B</w:t>
        </w:r>
        <w:r w:rsidRPr="00511005">
          <w:rPr>
            <w:rFonts w:ascii="Arial" w:eastAsia="NSimSun" w:hAnsi="Arial" w:cs="Arial"/>
            <w:kern w:val="2"/>
            <w:szCs w:val="28"/>
            <w:lang w:eastAsia="zh-CN" w:bidi="hi-IN"/>
          </w:rPr>
          <w:t>2%</w:t>
        </w:r>
        <w:r w:rsidRPr="00511005">
          <w:rPr>
            <w:rFonts w:ascii="Arial" w:eastAsia="NSimSun" w:hAnsi="Arial" w:cs="Arial"/>
            <w:kern w:val="2"/>
            <w:szCs w:val="28"/>
            <w:lang w:val="en-US" w:eastAsia="zh-CN" w:bidi="hi-IN"/>
          </w:rPr>
          <w:t>D</w:t>
        </w:r>
        <w:r w:rsidRPr="00511005">
          <w:rPr>
            <w:rFonts w:ascii="Arial" w:eastAsia="NSimSun" w:hAnsi="Arial" w:cs="Arial"/>
            <w:kern w:val="2"/>
            <w:szCs w:val="28"/>
            <w:lang w:eastAsia="zh-CN" w:bidi="hi-IN"/>
          </w:rPr>
          <w:t>1%80#</w:t>
        </w:r>
        <w:r w:rsidRPr="00511005">
          <w:rPr>
            <w:rFonts w:ascii="Arial" w:eastAsia="NSimSun" w:hAnsi="Arial" w:cs="Arial"/>
            <w:kern w:val="2"/>
            <w:szCs w:val="28"/>
            <w:lang w:val="en-US" w:eastAsia="zh-CN" w:bidi="hi-IN"/>
          </w:rPr>
          <w:t>Text</w:t>
        </w:r>
      </w:hyperlink>
      <w:r w:rsidRPr="00511005">
        <w:rPr>
          <w:rFonts w:ascii="Arial" w:eastAsia="NSimSun" w:hAnsi="Arial" w:cs="Arial"/>
          <w:kern w:val="2"/>
          <w:szCs w:val="28"/>
          <w:lang w:eastAsia="zh-CN" w:bidi="hi-IN"/>
        </w:rPr>
        <w:t xml:space="preserve"> </w:t>
      </w:r>
      <w:r w:rsidRPr="00511005">
        <w:rPr>
          <w:rFonts w:ascii="Arial" w:eastAsia="NSimSun" w:hAnsi="Arial" w:cs="Arial"/>
          <w:kern w:val="2"/>
          <w:szCs w:val="28"/>
          <w:lang w:val="uk-UA" w:eastAsia="zh-CN" w:bidi="hi-IN"/>
        </w:rPr>
        <w:t>(дата звернення: 12.04.2025).</w:t>
      </w:r>
    </w:p>
    <w:p w14:paraId="27FCF466"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2. Кодекс законів про працю України від 10.12.1971. № 322-</w:t>
      </w:r>
      <w:r w:rsidRPr="00511005">
        <w:rPr>
          <w:rFonts w:ascii="Arial" w:eastAsia="NSimSun" w:hAnsi="Arial" w:cs="Arial"/>
          <w:kern w:val="2"/>
          <w:szCs w:val="28"/>
          <w:lang w:val="en-US" w:eastAsia="zh-CN" w:bidi="hi-IN"/>
        </w:rPr>
        <w:t>VIII</w:t>
      </w:r>
      <w:r w:rsidRPr="00511005">
        <w:rPr>
          <w:rFonts w:ascii="Arial" w:eastAsia="NSimSun" w:hAnsi="Arial" w:cs="Arial"/>
          <w:kern w:val="2"/>
          <w:szCs w:val="28"/>
          <w:lang w:val="uk-UA" w:eastAsia="zh-CN" w:bidi="hi-IN"/>
        </w:rPr>
        <w:t xml:space="preserve">. </w:t>
      </w:r>
      <w:r w:rsidRPr="00511005">
        <w:rPr>
          <w:rFonts w:ascii="Arial" w:eastAsia="NSimSun" w:hAnsi="Arial" w:cs="Arial"/>
          <w:kern w:val="2"/>
          <w:szCs w:val="28"/>
          <w:lang w:val="en-US" w:eastAsia="zh-CN" w:bidi="hi-IN"/>
        </w:rPr>
        <w:t>URL</w:t>
      </w:r>
      <w:r w:rsidRPr="00511005">
        <w:rPr>
          <w:rFonts w:ascii="Arial" w:eastAsia="NSimSun" w:hAnsi="Arial" w:cs="Arial"/>
          <w:kern w:val="2"/>
          <w:szCs w:val="28"/>
          <w:lang w:val="uk-UA" w:eastAsia="zh-CN" w:bidi="hi-IN"/>
        </w:rPr>
        <w:t xml:space="preserve">: </w:t>
      </w:r>
      <w:hyperlink r:id="rId1697" w:anchor="Text" w:history="1">
        <w:r w:rsidRPr="00511005">
          <w:rPr>
            <w:rFonts w:ascii="Arial" w:eastAsia="NSimSun" w:hAnsi="Arial" w:cs="Arial"/>
            <w:kern w:val="2"/>
            <w:szCs w:val="28"/>
            <w:lang w:val="en-US" w:eastAsia="zh-CN" w:bidi="hi-IN"/>
          </w:rPr>
          <w:t>https</w:t>
        </w:r>
        <w:r w:rsidRPr="00511005">
          <w:rPr>
            <w:rFonts w:ascii="Arial" w:eastAsia="NSimSun" w:hAnsi="Arial" w:cs="Arial"/>
            <w:kern w:val="2"/>
            <w:szCs w:val="28"/>
            <w:lang w:val="uk-UA" w:eastAsia="zh-CN" w:bidi="hi-IN"/>
          </w:rPr>
          <w:t>://</w:t>
        </w:r>
        <w:r w:rsidRPr="00511005">
          <w:rPr>
            <w:rFonts w:ascii="Arial" w:eastAsia="NSimSun" w:hAnsi="Arial" w:cs="Arial"/>
            <w:kern w:val="2"/>
            <w:szCs w:val="28"/>
            <w:lang w:val="en-US" w:eastAsia="zh-CN" w:bidi="hi-IN"/>
          </w:rPr>
          <w:t>zakon</w:t>
        </w:r>
        <w:r w:rsidRPr="00511005">
          <w:rPr>
            <w:rFonts w:ascii="Arial" w:eastAsia="NSimSun" w:hAnsi="Arial" w:cs="Arial"/>
            <w:kern w:val="2"/>
            <w:szCs w:val="28"/>
            <w:lang w:val="uk-UA" w:eastAsia="zh-CN" w:bidi="hi-IN"/>
          </w:rPr>
          <w:t>.</w:t>
        </w:r>
        <w:r w:rsidRPr="00511005">
          <w:rPr>
            <w:rFonts w:ascii="Arial" w:eastAsia="NSimSun" w:hAnsi="Arial" w:cs="Arial"/>
            <w:kern w:val="2"/>
            <w:szCs w:val="28"/>
            <w:lang w:val="en-US" w:eastAsia="zh-CN" w:bidi="hi-IN"/>
          </w:rPr>
          <w:t>rada</w:t>
        </w:r>
        <w:r w:rsidRPr="00511005">
          <w:rPr>
            <w:rFonts w:ascii="Arial" w:eastAsia="NSimSun" w:hAnsi="Arial" w:cs="Arial"/>
            <w:kern w:val="2"/>
            <w:szCs w:val="28"/>
            <w:lang w:val="uk-UA" w:eastAsia="zh-CN" w:bidi="hi-IN"/>
          </w:rPr>
          <w:t>.</w:t>
        </w:r>
        <w:r w:rsidRPr="00511005">
          <w:rPr>
            <w:rFonts w:ascii="Arial" w:eastAsia="NSimSun" w:hAnsi="Arial" w:cs="Arial"/>
            <w:kern w:val="2"/>
            <w:szCs w:val="28"/>
            <w:lang w:val="en-US" w:eastAsia="zh-CN" w:bidi="hi-IN"/>
          </w:rPr>
          <w:t>gov</w:t>
        </w:r>
        <w:r w:rsidRPr="00511005">
          <w:rPr>
            <w:rFonts w:ascii="Arial" w:eastAsia="NSimSun" w:hAnsi="Arial" w:cs="Arial"/>
            <w:kern w:val="2"/>
            <w:szCs w:val="28"/>
            <w:lang w:val="uk-UA" w:eastAsia="zh-CN" w:bidi="hi-IN"/>
          </w:rPr>
          <w:t>.</w:t>
        </w:r>
        <w:r w:rsidRPr="00511005">
          <w:rPr>
            <w:rFonts w:ascii="Arial" w:eastAsia="NSimSun" w:hAnsi="Arial" w:cs="Arial"/>
            <w:kern w:val="2"/>
            <w:szCs w:val="28"/>
            <w:lang w:val="en-US" w:eastAsia="zh-CN" w:bidi="hi-IN"/>
          </w:rPr>
          <w:t>ua</w:t>
        </w:r>
        <w:r w:rsidRPr="00511005">
          <w:rPr>
            <w:rFonts w:ascii="Arial" w:eastAsia="NSimSun" w:hAnsi="Arial" w:cs="Arial"/>
            <w:kern w:val="2"/>
            <w:szCs w:val="28"/>
            <w:lang w:val="uk-UA" w:eastAsia="zh-CN" w:bidi="hi-IN"/>
          </w:rPr>
          <w:t>/</w:t>
        </w:r>
        <w:r w:rsidRPr="00511005">
          <w:rPr>
            <w:rFonts w:ascii="Arial" w:eastAsia="NSimSun" w:hAnsi="Arial" w:cs="Arial"/>
            <w:kern w:val="2"/>
            <w:szCs w:val="28"/>
            <w:lang w:val="en-US" w:eastAsia="zh-CN" w:bidi="hi-IN"/>
          </w:rPr>
          <w:t>laws</w:t>
        </w:r>
        <w:r w:rsidRPr="00511005">
          <w:rPr>
            <w:rFonts w:ascii="Arial" w:eastAsia="NSimSun" w:hAnsi="Arial" w:cs="Arial"/>
            <w:kern w:val="2"/>
            <w:szCs w:val="28"/>
            <w:lang w:val="uk-UA" w:eastAsia="zh-CN" w:bidi="hi-IN"/>
          </w:rPr>
          <w:t>/</w:t>
        </w:r>
        <w:r w:rsidRPr="00511005">
          <w:rPr>
            <w:rFonts w:ascii="Arial" w:eastAsia="NSimSun" w:hAnsi="Arial" w:cs="Arial"/>
            <w:kern w:val="2"/>
            <w:szCs w:val="28"/>
            <w:lang w:val="en-US" w:eastAsia="zh-CN" w:bidi="hi-IN"/>
          </w:rPr>
          <w:t>show</w:t>
        </w:r>
        <w:r w:rsidRPr="00511005">
          <w:rPr>
            <w:rFonts w:ascii="Arial" w:eastAsia="NSimSun" w:hAnsi="Arial" w:cs="Arial"/>
            <w:kern w:val="2"/>
            <w:szCs w:val="28"/>
            <w:lang w:val="uk-UA" w:eastAsia="zh-CN" w:bidi="hi-IN"/>
          </w:rPr>
          <w:t>/322-08#</w:t>
        </w:r>
        <w:r w:rsidRPr="00511005">
          <w:rPr>
            <w:rFonts w:ascii="Arial" w:eastAsia="NSimSun" w:hAnsi="Arial" w:cs="Arial"/>
            <w:kern w:val="2"/>
            <w:szCs w:val="28"/>
            <w:lang w:val="en-US" w:eastAsia="zh-CN" w:bidi="hi-IN"/>
          </w:rPr>
          <w:t>Text</w:t>
        </w:r>
      </w:hyperlink>
      <w:r w:rsidRPr="00511005">
        <w:rPr>
          <w:rFonts w:ascii="Arial" w:eastAsia="NSimSun" w:hAnsi="Arial" w:cs="Arial"/>
          <w:kern w:val="2"/>
          <w:szCs w:val="28"/>
          <w:lang w:val="uk-UA" w:eastAsia="zh-CN" w:bidi="hi-IN"/>
        </w:rPr>
        <w:t xml:space="preserve"> (дата звернення: 12.04.2025).</w:t>
      </w:r>
    </w:p>
    <w:p w14:paraId="2E38B85C"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3. Про забезпечення рівних прав і можливостей жінок і чоловіків: Закон України від 08.09.2005. № 2866-</w:t>
      </w:r>
      <w:r w:rsidRPr="00511005">
        <w:rPr>
          <w:rFonts w:ascii="Arial" w:eastAsia="NSimSun" w:hAnsi="Arial" w:cs="Arial"/>
          <w:kern w:val="2"/>
          <w:szCs w:val="28"/>
          <w:lang w:val="en-US" w:eastAsia="zh-CN" w:bidi="hi-IN"/>
        </w:rPr>
        <w:t>IV</w:t>
      </w:r>
      <w:r w:rsidRPr="00511005">
        <w:rPr>
          <w:rFonts w:ascii="Arial" w:eastAsia="NSimSun" w:hAnsi="Arial" w:cs="Arial"/>
          <w:kern w:val="2"/>
          <w:szCs w:val="28"/>
          <w:lang w:eastAsia="zh-CN" w:bidi="hi-IN"/>
        </w:rPr>
        <w:t xml:space="preserve">. </w:t>
      </w:r>
      <w:r w:rsidRPr="00511005">
        <w:rPr>
          <w:rFonts w:ascii="Arial" w:eastAsia="NSimSun" w:hAnsi="Arial" w:cs="Arial"/>
          <w:kern w:val="2"/>
          <w:szCs w:val="28"/>
          <w:lang w:val="en-US" w:eastAsia="zh-CN" w:bidi="hi-IN"/>
        </w:rPr>
        <w:t>URL</w:t>
      </w:r>
      <w:r w:rsidRPr="00511005">
        <w:rPr>
          <w:rFonts w:ascii="Arial" w:eastAsia="NSimSun" w:hAnsi="Arial" w:cs="Arial"/>
          <w:kern w:val="2"/>
          <w:szCs w:val="28"/>
          <w:lang w:eastAsia="zh-CN" w:bidi="hi-IN"/>
        </w:rPr>
        <w:t xml:space="preserve">: </w:t>
      </w:r>
      <w:hyperlink r:id="rId1698" w:anchor="Text" w:history="1">
        <w:r w:rsidRPr="00511005">
          <w:rPr>
            <w:rFonts w:ascii="Arial" w:eastAsia="NSimSun" w:hAnsi="Arial" w:cs="Arial"/>
            <w:kern w:val="2"/>
            <w:szCs w:val="28"/>
            <w:lang w:val="en-US" w:eastAsia="zh-CN" w:bidi="hi-IN"/>
          </w:rPr>
          <w:t>https</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zakon</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rada</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gov</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ua</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laws</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show</w:t>
        </w:r>
        <w:r w:rsidRPr="00511005">
          <w:rPr>
            <w:rFonts w:ascii="Arial" w:eastAsia="NSimSun" w:hAnsi="Arial" w:cs="Arial"/>
            <w:kern w:val="2"/>
            <w:szCs w:val="28"/>
            <w:lang w:eastAsia="zh-CN" w:bidi="hi-IN"/>
          </w:rPr>
          <w:t>/2866-15#</w:t>
        </w:r>
        <w:r w:rsidRPr="00511005">
          <w:rPr>
            <w:rFonts w:ascii="Arial" w:eastAsia="NSimSun" w:hAnsi="Arial" w:cs="Arial"/>
            <w:kern w:val="2"/>
            <w:szCs w:val="28"/>
            <w:lang w:val="en-US" w:eastAsia="zh-CN" w:bidi="hi-IN"/>
          </w:rPr>
          <w:t>Text</w:t>
        </w:r>
      </w:hyperlink>
      <w:r w:rsidRPr="00511005">
        <w:rPr>
          <w:rFonts w:ascii="Arial" w:eastAsia="NSimSun" w:hAnsi="Arial" w:cs="Arial"/>
          <w:kern w:val="2"/>
          <w:szCs w:val="28"/>
          <w:lang w:eastAsia="zh-CN" w:bidi="hi-IN"/>
        </w:rPr>
        <w:t xml:space="preserve"> </w:t>
      </w:r>
      <w:r w:rsidRPr="00511005">
        <w:rPr>
          <w:rFonts w:ascii="Arial" w:eastAsia="NSimSun" w:hAnsi="Arial" w:cs="Arial"/>
          <w:kern w:val="2"/>
          <w:szCs w:val="28"/>
          <w:lang w:val="uk-UA" w:eastAsia="zh-CN" w:bidi="hi-IN"/>
        </w:rPr>
        <w:t>(дата звернення: 12.04.2025).</w:t>
      </w:r>
    </w:p>
    <w:p w14:paraId="510569F4"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lastRenderedPageBreak/>
        <w:t>4. Про засади запобігання та протидії дискримінації в Україні: Закон України від 06.09.2012. № 5207-</w:t>
      </w:r>
      <w:r w:rsidRPr="00511005">
        <w:rPr>
          <w:rFonts w:ascii="Arial" w:eastAsia="NSimSun" w:hAnsi="Arial" w:cs="Arial"/>
          <w:kern w:val="2"/>
          <w:szCs w:val="28"/>
          <w:lang w:val="en-US" w:eastAsia="zh-CN" w:bidi="hi-IN"/>
        </w:rPr>
        <w:t>VI</w:t>
      </w:r>
      <w:r w:rsidRPr="00511005">
        <w:rPr>
          <w:rFonts w:ascii="Arial" w:eastAsia="NSimSun" w:hAnsi="Arial" w:cs="Arial"/>
          <w:kern w:val="2"/>
          <w:szCs w:val="28"/>
          <w:lang w:eastAsia="zh-CN" w:bidi="hi-IN"/>
        </w:rPr>
        <w:t xml:space="preserve">. </w:t>
      </w:r>
      <w:r w:rsidRPr="00511005">
        <w:rPr>
          <w:rFonts w:ascii="Arial" w:eastAsia="NSimSun" w:hAnsi="Arial" w:cs="Arial"/>
          <w:kern w:val="2"/>
          <w:szCs w:val="28"/>
          <w:lang w:val="en-US" w:eastAsia="zh-CN" w:bidi="hi-IN"/>
        </w:rPr>
        <w:t>URL</w:t>
      </w:r>
      <w:r w:rsidRPr="00511005">
        <w:rPr>
          <w:rFonts w:ascii="Arial" w:eastAsia="NSimSun" w:hAnsi="Arial" w:cs="Arial"/>
          <w:kern w:val="2"/>
          <w:szCs w:val="28"/>
          <w:lang w:eastAsia="zh-CN" w:bidi="hi-IN"/>
        </w:rPr>
        <w:t xml:space="preserve">: </w:t>
      </w:r>
      <w:hyperlink r:id="rId1699" w:anchor="Text" w:history="1">
        <w:r w:rsidRPr="00511005">
          <w:rPr>
            <w:rFonts w:ascii="Arial" w:eastAsia="NSimSun" w:hAnsi="Arial" w:cs="Arial"/>
            <w:kern w:val="2"/>
            <w:szCs w:val="28"/>
            <w:lang w:val="en-US" w:eastAsia="zh-CN" w:bidi="hi-IN"/>
          </w:rPr>
          <w:t>https</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zakon</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rada</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gov</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ua</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laws</w:t>
        </w:r>
        <w:r w:rsidRPr="00511005">
          <w:rPr>
            <w:rFonts w:ascii="Arial" w:eastAsia="NSimSun" w:hAnsi="Arial" w:cs="Arial"/>
            <w:kern w:val="2"/>
            <w:szCs w:val="28"/>
            <w:lang w:eastAsia="zh-CN" w:bidi="hi-IN"/>
          </w:rPr>
          <w:t>/</w:t>
        </w:r>
        <w:r w:rsidRPr="00511005">
          <w:rPr>
            <w:rFonts w:ascii="Arial" w:eastAsia="NSimSun" w:hAnsi="Arial" w:cs="Arial"/>
            <w:kern w:val="2"/>
            <w:szCs w:val="28"/>
            <w:lang w:val="en-US" w:eastAsia="zh-CN" w:bidi="hi-IN"/>
          </w:rPr>
          <w:t>show</w:t>
        </w:r>
        <w:r w:rsidRPr="00511005">
          <w:rPr>
            <w:rFonts w:ascii="Arial" w:eastAsia="NSimSun" w:hAnsi="Arial" w:cs="Arial"/>
            <w:kern w:val="2"/>
            <w:szCs w:val="28"/>
            <w:lang w:eastAsia="zh-CN" w:bidi="hi-IN"/>
          </w:rPr>
          <w:t>/5207-17#</w:t>
        </w:r>
        <w:r w:rsidRPr="00511005">
          <w:rPr>
            <w:rFonts w:ascii="Arial" w:eastAsia="NSimSun" w:hAnsi="Arial" w:cs="Arial"/>
            <w:kern w:val="2"/>
            <w:szCs w:val="28"/>
            <w:lang w:val="en-US" w:eastAsia="zh-CN" w:bidi="hi-IN"/>
          </w:rPr>
          <w:t>Text</w:t>
        </w:r>
      </w:hyperlink>
      <w:r w:rsidRPr="00511005">
        <w:rPr>
          <w:rFonts w:ascii="Arial" w:eastAsia="NSimSun" w:hAnsi="Arial" w:cs="Arial"/>
          <w:kern w:val="2"/>
          <w:szCs w:val="28"/>
          <w:lang w:eastAsia="zh-CN" w:bidi="hi-IN"/>
        </w:rPr>
        <w:t xml:space="preserve"> </w:t>
      </w:r>
      <w:r w:rsidRPr="00511005">
        <w:rPr>
          <w:rFonts w:ascii="Arial" w:eastAsia="NSimSun" w:hAnsi="Arial" w:cs="Arial"/>
          <w:kern w:val="2"/>
          <w:szCs w:val="28"/>
          <w:lang w:val="uk-UA" w:eastAsia="zh-CN" w:bidi="hi-IN"/>
        </w:rPr>
        <w:t>(дата звернення 12.04.2025).</w:t>
      </w:r>
    </w:p>
    <w:p w14:paraId="57BE88E3"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r w:rsidRPr="00511005">
        <w:rPr>
          <w:rFonts w:ascii="Arial" w:eastAsia="NSimSun" w:hAnsi="Arial" w:cs="Arial"/>
          <w:kern w:val="2"/>
          <w:szCs w:val="28"/>
          <w:lang w:val="uk-UA" w:eastAsia="zh-CN" w:bidi="hi-IN"/>
        </w:rPr>
        <w:t xml:space="preserve">5. Добош З.А. Гендерна рівність і гендерна дискримінація у сфері трудових відносин. </w:t>
      </w:r>
      <w:r w:rsidRPr="00511005">
        <w:rPr>
          <w:rFonts w:ascii="Arial" w:eastAsia="NSimSun" w:hAnsi="Arial" w:cs="Arial"/>
          <w:i/>
          <w:iCs/>
          <w:kern w:val="2"/>
          <w:szCs w:val="28"/>
          <w:lang w:val="uk-UA" w:eastAsia="zh-CN" w:bidi="hi-IN"/>
        </w:rPr>
        <w:t>Юридичний науковий електронний журнал</w:t>
      </w:r>
      <w:r w:rsidRPr="00511005">
        <w:rPr>
          <w:rFonts w:ascii="Arial" w:eastAsia="NSimSun" w:hAnsi="Arial" w:cs="Arial"/>
          <w:kern w:val="2"/>
          <w:szCs w:val="28"/>
          <w:lang w:val="uk-UA" w:eastAsia="zh-CN" w:bidi="hi-IN"/>
        </w:rPr>
        <w:t>: ел. наук. фах. видан. 2020. №7. С. 190-193.</w:t>
      </w:r>
    </w:p>
    <w:p w14:paraId="43963EBC" w14:textId="77777777" w:rsidR="003476F8" w:rsidRPr="00511005" w:rsidRDefault="003476F8" w:rsidP="003A292D">
      <w:pPr>
        <w:suppressAutoHyphens/>
        <w:spacing w:line="264" w:lineRule="auto"/>
        <w:ind w:firstLine="850"/>
        <w:rPr>
          <w:rFonts w:ascii="Arial" w:eastAsia="NSimSun" w:hAnsi="Arial" w:cs="Arial"/>
          <w:kern w:val="2"/>
          <w:szCs w:val="28"/>
          <w:lang w:val="uk-UA" w:eastAsia="zh-CN" w:bidi="hi-IN"/>
        </w:rPr>
      </w:pPr>
    </w:p>
    <w:p w14:paraId="75F19D11" w14:textId="6ED1E5C3" w:rsidR="003476F8" w:rsidRPr="00511005" w:rsidRDefault="007B2628" w:rsidP="003A292D">
      <w:pPr>
        <w:suppressAutoHyphens/>
        <w:spacing w:line="264" w:lineRule="auto"/>
        <w:ind w:firstLine="850"/>
        <w:rPr>
          <w:rFonts w:ascii="Arial" w:eastAsia="NSimSun" w:hAnsi="Arial" w:cs="Arial"/>
          <w:b/>
          <w:bCs/>
          <w:kern w:val="2"/>
          <w:szCs w:val="28"/>
          <w:lang w:val="uk-UA" w:eastAsia="zh-CN" w:bidi="hi-IN"/>
        </w:rPr>
      </w:pPr>
      <w:r w:rsidRPr="00511005">
        <w:rPr>
          <w:rFonts w:ascii="Arial" w:eastAsia="NSimSun" w:hAnsi="Arial" w:cs="Arial"/>
          <w:b/>
          <w:bCs/>
          <w:i/>
          <w:kern w:val="2"/>
          <w:szCs w:val="28"/>
          <w:lang w:val="uk-UA" w:eastAsia="zh-CN" w:bidi="hi-IN"/>
        </w:rPr>
        <w:t xml:space="preserve">Ключові слова: </w:t>
      </w:r>
      <w:r w:rsidR="003476F8" w:rsidRPr="00511005">
        <w:rPr>
          <w:rFonts w:ascii="Arial" w:eastAsia="NSimSun" w:hAnsi="Arial" w:cs="Arial"/>
          <w:kern w:val="2"/>
          <w:szCs w:val="28"/>
          <w:lang w:val="uk-UA" w:eastAsia="zh-CN" w:bidi="hi-IN"/>
        </w:rPr>
        <w:t>гендер, гендерна рівність, дискримінація, стереотипи, ринок праці, соціальні гарантії, трудові відносини.</w:t>
      </w:r>
    </w:p>
    <w:p w14:paraId="51238F29" w14:textId="4C63026E" w:rsidR="003476F8" w:rsidRPr="00511005" w:rsidRDefault="007B2628" w:rsidP="003A292D">
      <w:pPr>
        <w:suppressAutoHyphens/>
        <w:spacing w:line="264" w:lineRule="auto"/>
        <w:ind w:firstLine="850"/>
        <w:rPr>
          <w:rFonts w:ascii="Arial" w:eastAsia="NSimSun" w:hAnsi="Arial" w:cs="Arial"/>
          <w:b/>
          <w:bCs/>
          <w:kern w:val="2"/>
          <w:szCs w:val="28"/>
          <w:lang w:val="en-US" w:eastAsia="zh-CN" w:bidi="hi-IN"/>
        </w:rPr>
      </w:pPr>
      <w:r w:rsidRPr="00511005">
        <w:rPr>
          <w:rFonts w:ascii="Arial" w:eastAsia="NSimSun" w:hAnsi="Arial" w:cs="Arial"/>
          <w:b/>
          <w:bCs/>
          <w:i/>
          <w:kern w:val="2"/>
          <w:szCs w:val="28"/>
          <w:lang w:val="en-US" w:eastAsia="zh-CN" w:bidi="hi-IN"/>
        </w:rPr>
        <w:t xml:space="preserve">Key words: </w:t>
      </w:r>
      <w:r w:rsidR="003476F8" w:rsidRPr="00511005">
        <w:rPr>
          <w:rFonts w:ascii="Arial" w:eastAsia="NSimSun" w:hAnsi="Arial" w:cs="Arial"/>
          <w:kern w:val="2"/>
          <w:szCs w:val="28"/>
          <w:lang w:val="en-US" w:eastAsia="zh-CN" w:bidi="hi-IN"/>
        </w:rPr>
        <w:t>gender, gender equality, discrimination, stereotypes, labor market, social guarantees, labor relations.</w:t>
      </w:r>
    </w:p>
    <w:p w14:paraId="5C37E6A5" w14:textId="33FD3185" w:rsidR="003476F8" w:rsidRPr="00511005" w:rsidRDefault="007B2628" w:rsidP="003A292D">
      <w:pPr>
        <w:suppressAutoHyphens/>
        <w:spacing w:line="264" w:lineRule="auto"/>
        <w:ind w:firstLine="850"/>
        <w:rPr>
          <w:rFonts w:ascii="Arial" w:eastAsia="NSimSun" w:hAnsi="Arial" w:cs="Arial"/>
          <w:b/>
          <w:bCs/>
          <w:i/>
          <w:iCs/>
          <w:kern w:val="2"/>
          <w:szCs w:val="28"/>
          <w:lang w:val="uk-UA" w:eastAsia="zh-CN" w:bidi="hi-IN"/>
        </w:rPr>
      </w:pPr>
      <w:r w:rsidRPr="00511005">
        <w:rPr>
          <w:rFonts w:ascii="Arial" w:eastAsia="NSimSun" w:hAnsi="Arial" w:cs="Arial"/>
          <w:b/>
          <w:i/>
          <w:iCs/>
          <w:kern w:val="2"/>
          <w:szCs w:val="28"/>
          <w:lang w:val="uk-UA" w:eastAsia="zh-CN" w:bidi="hi-IN"/>
        </w:rPr>
        <w:t xml:space="preserve">Науковий керівник: </w:t>
      </w:r>
      <w:r w:rsidR="003476F8" w:rsidRPr="00511005">
        <w:rPr>
          <w:rFonts w:ascii="Arial" w:eastAsia="NSimSun" w:hAnsi="Arial" w:cs="Arial"/>
          <w:i/>
          <w:iCs/>
          <w:kern w:val="2"/>
          <w:szCs w:val="28"/>
          <w:lang w:val="uk-UA" w:eastAsia="zh-CN" w:bidi="hi-IN"/>
        </w:rPr>
        <w:t>к.ю.н., доцент Панченко А.О.</w:t>
      </w:r>
    </w:p>
    <w:p w14:paraId="51C7EDAA"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7DF57642"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015621FA" w14:textId="77777777" w:rsidR="003476F8" w:rsidRPr="00511005" w:rsidRDefault="003476F8" w:rsidP="004A03EB">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Мазур Дмитро Сергійович</w:t>
      </w:r>
    </w:p>
    <w:p w14:paraId="60622C9D" w14:textId="7E226225" w:rsidR="003476F8" w:rsidRPr="00511005" w:rsidRDefault="00536AAB" w:rsidP="004A03EB">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 2-го курсу факультету адвокатури та антикорупційної діяльності</w:t>
      </w:r>
      <w:r w:rsidR="003476F8"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3156771A" w14:textId="77777777" w:rsidR="003476F8" w:rsidRPr="00511005" w:rsidRDefault="003476F8" w:rsidP="003A292D">
      <w:pPr>
        <w:spacing w:line="264" w:lineRule="auto"/>
        <w:jc w:val="center"/>
        <w:rPr>
          <w:rFonts w:ascii="Arial" w:eastAsia="Times New Roman" w:hAnsi="Arial" w:cs="Arial"/>
          <w:szCs w:val="28"/>
          <w:lang w:val="uk-UA" w:eastAsia="ru-RU"/>
        </w:rPr>
      </w:pPr>
    </w:p>
    <w:p w14:paraId="5D23ED3F" w14:textId="77777777" w:rsidR="003476F8" w:rsidRPr="00511005" w:rsidRDefault="003476F8" w:rsidP="003A292D">
      <w:pPr>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 xml:space="preserve">ОСОБЛИВОСТІ УКЛАДАННЯ ТРУДОВОГО ДОГОВОРУ </w:t>
      </w:r>
    </w:p>
    <w:p w14:paraId="46516AB2" w14:textId="77777777" w:rsidR="003476F8" w:rsidRPr="00511005" w:rsidRDefault="003476F8" w:rsidP="003A292D">
      <w:pPr>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 xml:space="preserve">ПІД ЧАС ВОЄННОГО СТАНУ </w:t>
      </w:r>
    </w:p>
    <w:p w14:paraId="3C76FC37"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початком воєнного стану в Україні укладення трудових договорів набуло нових рис та особливостей. У контексті дії Закону України «Про організацію трудових відносин в умовах воєнного стану» №2136-IX було запроваджено низку змін, які вплинули на процес прийняття працівників на роботу. Такі зміни пов’язані з необхідністю забезпечення безперервної роботи критично важливих підприємств, релокацією організацій, масовою міграцією населення та мобілізацією частини працівників. У цих умовах трудовий договір (labour contract) як правова форма трудових відносин адаптується до нових викликів.</w:t>
      </w:r>
    </w:p>
    <w:p w14:paraId="3BB6A3BF"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Укладення трудового договору в умовах воєнного стану здійснюється з урахуванням особливих положень, визначених згаданим вище Законом №2136-IX, а також Кодексом законів про працю України (КЗпП). Закон допускає суттєве спрощення процедури працевлаштування. </w:t>
      </w:r>
    </w:p>
    <w:p w14:paraId="68B4A117"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Наприклад, за згодою сторін дозволено укладати строкові трудові договори (fixed-term contract), навіть якщо характер роботи є постійним [1, с. 39]. Це дає змогу підприємствам оперативно залучати працівників у ситуаціях, коли неможливо гарантувати тривале робоче місце через обстріли чи евакуацію.</w:t>
      </w:r>
    </w:p>
    <w:p w14:paraId="7494CCDD"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Окрім цього, допускається прийняття працівників на роботу за дистанційною формою (remote work), що також оформлюється трудовим договором. Укладення договору в електронній формі, з використанням </w:t>
      </w:r>
      <w:r w:rsidRPr="00511005">
        <w:rPr>
          <w:rFonts w:ascii="Arial" w:eastAsia="Times New Roman" w:hAnsi="Arial" w:cs="Arial"/>
          <w:szCs w:val="28"/>
          <w:lang w:val="uk-UA" w:eastAsia="ru-RU"/>
        </w:rPr>
        <w:lastRenderedPageBreak/>
        <w:t>цифрового підпису (digital signature), стало законодавчо врегульованим та на практиці застосовуваним механізмом [2].</w:t>
      </w:r>
    </w:p>
    <w:p w14:paraId="609BF077" w14:textId="77777777" w:rsidR="007B262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bCs/>
          <w:szCs w:val="28"/>
          <w:lang w:val="uk-UA" w:eastAsia="ru-RU"/>
        </w:rPr>
        <w:t>Щодо особливостей змісту трудового договору під час воєнного стану</w:t>
      </w:r>
      <w:r w:rsidRPr="00511005">
        <w:rPr>
          <w:rFonts w:ascii="Arial" w:eastAsia="Times New Roman" w:hAnsi="Arial" w:cs="Arial"/>
          <w:b/>
          <w:bCs/>
          <w:szCs w:val="28"/>
          <w:lang w:val="uk-UA" w:eastAsia="ru-RU"/>
        </w:rPr>
        <w:t xml:space="preserve">, </w:t>
      </w:r>
      <w:r w:rsidRPr="00511005">
        <w:rPr>
          <w:rFonts w:ascii="Arial" w:eastAsia="Times New Roman" w:hAnsi="Arial" w:cs="Arial"/>
          <w:szCs w:val="28"/>
          <w:lang w:val="uk-UA" w:eastAsia="ru-RU"/>
        </w:rPr>
        <w:t>то</w:t>
      </w:r>
      <w:r w:rsidR="007B2628" w:rsidRPr="00511005">
        <w:rPr>
          <w:rFonts w:ascii="Arial" w:eastAsia="Times New Roman" w:hAnsi="Arial" w:cs="Arial"/>
          <w:b/>
          <w:bCs/>
          <w:szCs w:val="28"/>
          <w:lang w:val="uk-UA" w:eastAsia="ru-RU"/>
        </w:rPr>
        <w:t xml:space="preserve"> </w:t>
      </w:r>
      <w:r w:rsidRPr="00511005">
        <w:rPr>
          <w:rFonts w:ascii="Arial" w:eastAsia="Times New Roman" w:hAnsi="Arial" w:cs="Arial"/>
          <w:szCs w:val="28"/>
          <w:lang w:val="uk-UA" w:eastAsia="ru-RU"/>
        </w:rPr>
        <w:t>у період дії воєнного стану зміст трудового договору може відрізнятися від типового.</w:t>
      </w:r>
    </w:p>
    <w:p w14:paraId="68F8B3D9" w14:textId="6FB3D269"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bCs/>
          <w:szCs w:val="28"/>
          <w:lang w:val="uk-UA" w:eastAsia="ru-RU"/>
        </w:rPr>
        <w:t>Передбачено можливість включення до договору таких пунктів:</w:t>
      </w:r>
    </w:p>
    <w:p w14:paraId="28187362" w14:textId="77777777" w:rsidR="003476F8" w:rsidRPr="00511005" w:rsidRDefault="003476F8" w:rsidP="003F6A5D">
      <w:pPr>
        <w:numPr>
          <w:ilvl w:val="0"/>
          <w:numId w:val="450"/>
        </w:numPr>
        <w:spacing w:line="264" w:lineRule="auto"/>
        <w:ind w:left="0" w:firstLine="709"/>
        <w:contextualSpacing/>
        <w:jc w:val="left"/>
        <w:rPr>
          <w:rFonts w:ascii="Arial" w:eastAsia="Calibri" w:hAnsi="Arial" w:cs="Arial"/>
          <w:kern w:val="2"/>
          <w:szCs w:val="28"/>
          <w:lang w:val="uk-UA"/>
        </w:rPr>
      </w:pPr>
      <w:r w:rsidRPr="00511005">
        <w:rPr>
          <w:rFonts w:ascii="Arial" w:eastAsia="Calibri" w:hAnsi="Arial" w:cs="Arial"/>
          <w:kern w:val="2"/>
          <w:szCs w:val="28"/>
          <w:lang w:val="uk-UA"/>
        </w:rPr>
        <w:t>обов’язки щодо евакуації майна підприємства;</w:t>
      </w:r>
    </w:p>
    <w:p w14:paraId="4D0F517D" w14:textId="77777777" w:rsidR="003476F8" w:rsidRPr="00511005" w:rsidRDefault="003476F8" w:rsidP="003F6A5D">
      <w:pPr>
        <w:numPr>
          <w:ilvl w:val="0"/>
          <w:numId w:val="450"/>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умови праці в екстремальних ситуаціях (наприклад, при повітряних тривогах);</w:t>
      </w:r>
    </w:p>
    <w:p w14:paraId="5FB60EE9" w14:textId="77777777" w:rsidR="003476F8" w:rsidRPr="00511005" w:rsidRDefault="003476F8" w:rsidP="003F6A5D">
      <w:pPr>
        <w:numPr>
          <w:ilvl w:val="0"/>
          <w:numId w:val="450"/>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зобов’язання працівника бути на зв’язку у позаробочий час;</w:t>
      </w:r>
    </w:p>
    <w:p w14:paraId="6666ED10" w14:textId="77777777" w:rsidR="003476F8" w:rsidRPr="00511005" w:rsidRDefault="003476F8" w:rsidP="003F6A5D">
      <w:pPr>
        <w:numPr>
          <w:ilvl w:val="0"/>
          <w:numId w:val="450"/>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тимчасове виконання додаткових функцій у разі відсутності колег через мобілізацію або переміщення [3, с. 112].</w:t>
      </w:r>
    </w:p>
    <w:p w14:paraId="15A178A6"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Працівник, укладаючи такий договір, повинен усвідомлювати потенційні ризики і специфіку роботи, а роботодавець зобов’язаний забезпечити базові гарантії безпеки праці (labour safety), навіть у кризових умовах. О.В. Пожарова звернула увагу на проблеми правового регулювання безпеки працівників на робочому місці та необхідність реформування національного законодавства у цій сфері [4, c. 319].</w:t>
      </w:r>
    </w:p>
    <w:p w14:paraId="6E9E391D"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w:t>
      </w:r>
      <w:r w:rsidRPr="00511005">
        <w:rPr>
          <w:rFonts w:ascii="Arial" w:eastAsia="Times New Roman" w:hAnsi="Arial" w:cs="Arial"/>
          <w:b/>
          <w:bCs/>
          <w:szCs w:val="28"/>
          <w:lang w:val="uk-UA" w:eastAsia="ru-RU"/>
        </w:rPr>
        <w:t xml:space="preserve"> </w:t>
      </w:r>
      <w:r w:rsidRPr="00511005">
        <w:rPr>
          <w:rFonts w:ascii="Arial" w:eastAsia="Times New Roman" w:hAnsi="Arial" w:cs="Arial"/>
          <w:szCs w:val="28"/>
          <w:lang w:val="uk-UA" w:eastAsia="ru-RU"/>
        </w:rPr>
        <w:t xml:space="preserve">період дії воєнного стану законом передбачено право роботодавця самостійно визначати форму обміну документами з працівником. </w:t>
      </w:r>
    </w:p>
    <w:p w14:paraId="4702124F"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Наприклад, при прийнятті на дистанційну роботу допускається подання сканованих копій документів електронною поштою. Особа вважається прийнятою на роботу з моменту видання наказу, навіть якщо особисто не підписала паперову форму трудового договору [1]. Це значно пришвидшує процедуру оформлення, проте потребує ретельного документального супроводу після нормалізації ситуації.</w:t>
      </w:r>
    </w:p>
    <w:p w14:paraId="121E558E" w14:textId="77777777" w:rsidR="007B262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Особливості укладання трудового договору стосуються і певних категорій працівників, зокрема тих, які перебувають у вразливому становищі через зовнішні обставини. Для осіб, які були вимушено переміщені (internally displaced persons), законодавством передбачено спрощені підходи до оформлення трудових відносин.</w:t>
      </w:r>
    </w:p>
    <w:p w14:paraId="52601A99" w14:textId="5964FBD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Це включає можливість укладення договору без наявності повного пакета документів, таких як трудова книжка, документ про освіту або ідентифікаційний код, які могли бути втрачені або залишені на окупованих територіях. У таких випадках роботодавець може використовувати альтернативні способи підтвердження особи та професійної кваліфікації працівника, а також оформлювати трудові договори в електронній формі.</w:t>
      </w:r>
    </w:p>
    <w:p w14:paraId="4BE944A9"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Аналогічно, трудові договори з військовозобов’язаними, резервістами та мобілізованими особами мають свої особливості. Зокрема, у таких договорах можуть передбачатися спеціальні умови щодо збереження робочого місця та можливості призупинення дії трудового договору на період проходження військової служби (mobilization). Законодавство </w:t>
      </w:r>
      <w:r w:rsidRPr="00511005">
        <w:rPr>
          <w:rFonts w:ascii="Arial" w:eastAsia="Times New Roman" w:hAnsi="Arial" w:cs="Arial"/>
          <w:szCs w:val="28"/>
          <w:lang w:val="uk-UA" w:eastAsia="ru-RU"/>
        </w:rPr>
        <w:lastRenderedPageBreak/>
        <w:t>гарантує цим працівникам право на збереження місця роботи та середнього заробітку (у передбачених випадках), а також обов’язок роботодавця поновити виконання договору після завершення військової служби. Це забезпечує соціальний захист працівників, які виконують свій обов’язок перед державою, та сприяє збереженню стабільних трудових відносин у майбутньому [5, с. 91].</w:t>
      </w:r>
    </w:p>
    <w:p w14:paraId="4EFBE282" w14:textId="77777777"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bCs/>
          <w:szCs w:val="28"/>
          <w:lang w:val="uk-UA" w:eastAsia="ru-RU"/>
        </w:rPr>
        <w:t>Таким чином,</w:t>
      </w:r>
      <w:r w:rsidRPr="00511005">
        <w:rPr>
          <w:rFonts w:ascii="Arial" w:eastAsia="Times New Roman" w:hAnsi="Arial" w:cs="Arial"/>
          <w:b/>
          <w:bCs/>
          <w:szCs w:val="28"/>
          <w:lang w:val="uk-UA" w:eastAsia="ru-RU"/>
        </w:rPr>
        <w:t xml:space="preserve"> </w:t>
      </w:r>
      <w:r w:rsidRPr="00511005">
        <w:rPr>
          <w:rFonts w:ascii="Arial" w:eastAsia="Times New Roman" w:hAnsi="Arial" w:cs="Arial"/>
          <w:szCs w:val="28"/>
          <w:lang w:val="uk-UA" w:eastAsia="ru-RU"/>
        </w:rPr>
        <w:t>укладання трудового договору в умовах воєнного стану демонструє здатність української правової системи гнучко реагувати на виклики. Практика працевлаштування змінюється у бік цифровізації, мобільності та швидкого реагування, що дозволяє забезпечити зайнятість, попри обмеження. Проте важливо зберігати баланс між спрощенням процедур і дотриманням трудових прав (labour rights) працівників, що і надалі має залишатися пріоритетом трудового права.</w:t>
      </w:r>
    </w:p>
    <w:p w14:paraId="302D6A45" w14:textId="77777777" w:rsidR="003476F8" w:rsidRPr="00511005" w:rsidRDefault="003476F8" w:rsidP="003A292D">
      <w:pPr>
        <w:spacing w:line="264" w:lineRule="auto"/>
        <w:jc w:val="center"/>
        <w:rPr>
          <w:rFonts w:ascii="Arial" w:eastAsia="Times New Roman" w:hAnsi="Arial" w:cs="Arial"/>
          <w:b/>
          <w:bCs/>
          <w:szCs w:val="28"/>
          <w:lang w:val="uk-UA" w:eastAsia="ru-RU"/>
        </w:rPr>
      </w:pPr>
    </w:p>
    <w:p w14:paraId="5952B920" w14:textId="590627FF" w:rsidR="003476F8" w:rsidRPr="00511005" w:rsidRDefault="007B2628" w:rsidP="007B2628">
      <w:pPr>
        <w:spacing w:line="264" w:lineRule="auto"/>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5594D538" w14:textId="2E8EC960" w:rsidR="003476F8" w:rsidRPr="00511005" w:rsidRDefault="003476F8" w:rsidP="003F6A5D">
      <w:pPr>
        <w:numPr>
          <w:ilvl w:val="0"/>
          <w:numId w:val="451"/>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Про організацію трудових відносин в умовах воєнного стану: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Закон України від 15.03.2022 р. № 2136-IX. URL:</w:t>
      </w:r>
      <w:r w:rsidR="007B2628" w:rsidRPr="00511005">
        <w:rPr>
          <w:rFonts w:ascii="Arial" w:eastAsia="Times New Roman" w:hAnsi="Arial" w:cs="Arial"/>
          <w:szCs w:val="28"/>
          <w:lang w:val="uk-UA" w:eastAsia="ru-RU"/>
        </w:rPr>
        <w:t xml:space="preserve"> </w:t>
      </w:r>
      <w:hyperlink r:id="rId1700" w:anchor="Text" w:tgtFrame="_new" w:history="1">
        <w:r w:rsidRPr="00511005">
          <w:rPr>
            <w:rFonts w:ascii="Arial" w:eastAsia="Times New Roman" w:hAnsi="Arial" w:cs="Arial"/>
            <w:szCs w:val="28"/>
            <w:lang w:val="uk-UA" w:eastAsia="ru-RU"/>
          </w:rPr>
          <w:t>https://zakon.rada.gov.ua/laws/show/2136-20#Text</w:t>
        </w:r>
      </w:hyperlink>
      <w:r w:rsidRPr="00511005">
        <w:rPr>
          <w:rFonts w:ascii="Arial" w:eastAsia="Times New Roman" w:hAnsi="Arial" w:cs="Arial"/>
          <w:szCs w:val="28"/>
          <w:lang w:val="uk-UA" w:eastAsia="ru-RU"/>
        </w:rPr>
        <w:t xml:space="preserve"> (дата звернення: 07.05.2025).</w:t>
      </w:r>
    </w:p>
    <w:p w14:paraId="49C4A1F4" w14:textId="77777777" w:rsidR="003476F8" w:rsidRPr="00511005" w:rsidRDefault="003476F8" w:rsidP="003F6A5D">
      <w:pPr>
        <w:numPr>
          <w:ilvl w:val="0"/>
          <w:numId w:val="451"/>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Бурлаков К. А. Цифровізація трудових відносин в Україні: виклики та перспективи. </w:t>
      </w:r>
      <w:r w:rsidRPr="00511005">
        <w:rPr>
          <w:rFonts w:ascii="Arial" w:eastAsia="Times New Roman" w:hAnsi="Arial" w:cs="Arial"/>
          <w:i/>
          <w:szCs w:val="28"/>
          <w:lang w:val="uk-UA" w:eastAsia="ru-RU"/>
        </w:rPr>
        <w:t>Підприємництво, господарство і право</w:t>
      </w:r>
      <w:r w:rsidRPr="00511005">
        <w:rPr>
          <w:rFonts w:ascii="Arial" w:eastAsia="Times New Roman" w:hAnsi="Arial" w:cs="Arial"/>
          <w:szCs w:val="28"/>
          <w:lang w:val="uk-UA" w:eastAsia="ru-RU"/>
        </w:rPr>
        <w:t>. 2022. № 6. С. 37–42.</w:t>
      </w:r>
    </w:p>
    <w:p w14:paraId="1785FAF7" w14:textId="77777777" w:rsidR="003476F8" w:rsidRPr="00511005" w:rsidRDefault="003476F8" w:rsidP="003F6A5D">
      <w:pPr>
        <w:numPr>
          <w:ilvl w:val="0"/>
          <w:numId w:val="451"/>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Гончаренко В. І. Особливості укладення трудового договору в умовах воєнного стану. </w:t>
      </w:r>
      <w:r w:rsidRPr="00511005">
        <w:rPr>
          <w:rFonts w:ascii="Arial" w:eastAsia="Times New Roman" w:hAnsi="Arial" w:cs="Arial"/>
          <w:i/>
          <w:szCs w:val="28"/>
          <w:lang w:val="uk-UA" w:eastAsia="ru-RU"/>
        </w:rPr>
        <w:t>Трудове право</w:t>
      </w:r>
      <w:r w:rsidRPr="00511005">
        <w:rPr>
          <w:rFonts w:ascii="Arial" w:eastAsia="Times New Roman" w:hAnsi="Arial" w:cs="Arial"/>
          <w:szCs w:val="28"/>
          <w:lang w:val="uk-UA" w:eastAsia="ru-RU"/>
        </w:rPr>
        <w:t>. 2023. № 1. С. 110–115.</w:t>
      </w:r>
    </w:p>
    <w:p w14:paraId="09F989BC" w14:textId="6DC962E9" w:rsidR="003476F8" w:rsidRPr="00511005" w:rsidRDefault="003476F8" w:rsidP="003F6A5D">
      <w:pPr>
        <w:numPr>
          <w:ilvl w:val="0"/>
          <w:numId w:val="451"/>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uk-UA"/>
        </w:rPr>
        <w:t xml:space="preserve">Пожарова О.В. Реформування законодавства у сфері безпеки працівників. </w:t>
      </w:r>
      <w:r w:rsidRPr="00511005">
        <w:rPr>
          <w:rFonts w:ascii="Arial" w:eastAsia="Times New Roman" w:hAnsi="Arial" w:cs="Arial"/>
          <w:i/>
          <w:szCs w:val="28"/>
          <w:lang w:val="uk-UA" w:eastAsia="uk-UA"/>
        </w:rPr>
        <w:t>Європейські орієнтири розвитку України: науково-практичний вимір в умовах воєнних викликів</w:t>
      </w:r>
      <w:r w:rsidRPr="00511005">
        <w:rPr>
          <w:rFonts w:ascii="Arial" w:eastAsia="Times New Roman" w:hAnsi="Arial" w:cs="Arial"/>
          <w:szCs w:val="28"/>
          <w:lang w:val="uk-UA" w:eastAsia="uk-UA"/>
        </w:rPr>
        <w:t>: матеріали Міжнародної науково-практичної конференції</w:t>
      </w:r>
      <w:r w:rsidRPr="00511005">
        <w:rPr>
          <w:rFonts w:ascii="Arial" w:eastAsia="DroidSerif" w:hAnsi="Arial" w:cs="Arial"/>
          <w:szCs w:val="28"/>
          <w:lang w:val="uk-UA" w:eastAsia="ru-RU"/>
        </w:rPr>
        <w:t xml:space="preserve"> (м. Одеса, 26 квітня 2024 р.) / за загальною редакцією С. В. Ківалова.</w:t>
      </w:r>
      <w:r w:rsidR="007B2628" w:rsidRPr="00511005">
        <w:rPr>
          <w:rFonts w:ascii="Arial" w:eastAsia="DroidSerif" w:hAnsi="Arial" w:cs="Arial"/>
          <w:szCs w:val="28"/>
          <w:lang w:val="uk-UA" w:eastAsia="ru-RU"/>
        </w:rPr>
        <w:t xml:space="preserve"> </w:t>
      </w:r>
      <w:r w:rsidRPr="00511005">
        <w:rPr>
          <w:rFonts w:ascii="Arial" w:eastAsia="DroidSerif" w:hAnsi="Arial" w:cs="Arial"/>
          <w:szCs w:val="28"/>
          <w:lang w:val="uk-UA" w:eastAsia="ru-RU"/>
        </w:rPr>
        <w:t>Одеса : Фенікс, 2024. С.319-320.</w:t>
      </w:r>
    </w:p>
    <w:p w14:paraId="4525A705" w14:textId="77777777" w:rsidR="003476F8" w:rsidRPr="00511005" w:rsidRDefault="003476F8" w:rsidP="003F6A5D">
      <w:pPr>
        <w:numPr>
          <w:ilvl w:val="0"/>
          <w:numId w:val="451"/>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Ільницька І. І. Трудові права працівників в умовах збройного конфлікту. </w:t>
      </w:r>
      <w:r w:rsidRPr="00511005">
        <w:rPr>
          <w:rFonts w:ascii="Arial" w:eastAsia="Times New Roman" w:hAnsi="Arial" w:cs="Arial"/>
          <w:i/>
          <w:szCs w:val="28"/>
          <w:lang w:val="uk-UA" w:eastAsia="ru-RU"/>
        </w:rPr>
        <w:t>Юридичний вісник. 2022.</w:t>
      </w:r>
      <w:r w:rsidRPr="00511005">
        <w:rPr>
          <w:rFonts w:ascii="Arial" w:eastAsia="Times New Roman" w:hAnsi="Arial" w:cs="Arial"/>
          <w:szCs w:val="28"/>
          <w:lang w:val="uk-UA" w:eastAsia="ru-RU"/>
        </w:rPr>
        <w:t xml:space="preserve"> № 4. С. 88–92.</w:t>
      </w:r>
    </w:p>
    <w:p w14:paraId="50854DB9" w14:textId="77777777" w:rsidR="003476F8" w:rsidRPr="00511005" w:rsidRDefault="003476F8" w:rsidP="003A292D">
      <w:pPr>
        <w:spacing w:line="264" w:lineRule="auto"/>
        <w:jc w:val="left"/>
        <w:rPr>
          <w:rFonts w:ascii="Arial" w:eastAsia="Times New Roman" w:hAnsi="Arial" w:cs="Arial"/>
          <w:szCs w:val="28"/>
          <w:lang w:val="uk-UA" w:eastAsia="ru-RU"/>
        </w:rPr>
      </w:pPr>
    </w:p>
    <w:p w14:paraId="2503830E" w14:textId="10490A4D" w:rsidR="003476F8" w:rsidRPr="00511005" w:rsidRDefault="007B2628" w:rsidP="003A292D">
      <w:pPr>
        <w:spacing w:line="264" w:lineRule="auto"/>
        <w:rPr>
          <w:rFonts w:ascii="Arial" w:eastAsia="Times New Roman" w:hAnsi="Arial" w:cs="Arial"/>
          <w:i/>
          <w:iCs/>
          <w:szCs w:val="28"/>
          <w:lang w:val="uk-UA" w:eastAsia="ru-RU"/>
        </w:rPr>
      </w:pPr>
      <w:r w:rsidRPr="00511005">
        <w:rPr>
          <w:rFonts w:ascii="Arial" w:eastAsia="Times New Roman" w:hAnsi="Arial" w:cs="Arial"/>
          <w:b/>
          <w:bCs/>
          <w:i/>
          <w:iCs/>
          <w:szCs w:val="28"/>
          <w:lang w:val="uk-UA" w:eastAsia="ru-RU"/>
        </w:rPr>
        <w:t xml:space="preserve">Ключові слова: </w:t>
      </w:r>
      <w:r w:rsidR="003476F8" w:rsidRPr="00511005">
        <w:rPr>
          <w:rFonts w:ascii="Arial" w:eastAsia="Times New Roman" w:hAnsi="Arial" w:cs="Arial"/>
          <w:i/>
          <w:iCs/>
          <w:szCs w:val="28"/>
          <w:lang w:val="uk-UA" w:eastAsia="ru-RU"/>
        </w:rPr>
        <w:t>трудовий договір, воєнний стан, працевлаштування, дистанційна робота, цифровий підпис, строковий договір, мобілізація, трудові права, безпека праці, законодавство.</w:t>
      </w:r>
    </w:p>
    <w:p w14:paraId="12C7898E" w14:textId="5DE79151" w:rsidR="003476F8" w:rsidRPr="00511005" w:rsidRDefault="007B2628" w:rsidP="003A292D">
      <w:pPr>
        <w:spacing w:line="264" w:lineRule="auto"/>
        <w:rPr>
          <w:rFonts w:ascii="Arial" w:eastAsia="Times New Roman" w:hAnsi="Arial" w:cs="Arial"/>
          <w:i/>
          <w:iCs/>
          <w:szCs w:val="28"/>
          <w:lang w:val="uk-UA" w:eastAsia="ru-RU"/>
        </w:rPr>
      </w:pPr>
      <w:r w:rsidRPr="00511005">
        <w:rPr>
          <w:rFonts w:ascii="Arial" w:eastAsia="Times New Roman" w:hAnsi="Arial" w:cs="Arial"/>
          <w:b/>
          <w:bCs/>
          <w:i/>
          <w:iCs/>
          <w:szCs w:val="28"/>
          <w:lang w:val="uk-UA" w:eastAsia="ru-RU"/>
        </w:rPr>
        <w:t xml:space="preserve">Key words: </w:t>
      </w:r>
      <w:r w:rsidR="003476F8" w:rsidRPr="00511005">
        <w:rPr>
          <w:rFonts w:ascii="Arial" w:eastAsia="Times New Roman" w:hAnsi="Arial" w:cs="Arial"/>
          <w:i/>
          <w:iCs/>
          <w:szCs w:val="28"/>
          <w:lang w:val="uk-UA" w:eastAsia="ru-RU"/>
        </w:rPr>
        <w:t>labour contract, martial law, employment, remote work, digital signature, fixed-term contract, mobilization, labour rights, labour safety, legislation.</w:t>
      </w:r>
    </w:p>
    <w:p w14:paraId="0BF4BB6B" w14:textId="3C6A9490" w:rsidR="003476F8" w:rsidRPr="00511005" w:rsidRDefault="00EE6668" w:rsidP="003A292D">
      <w:pPr>
        <w:spacing w:line="264" w:lineRule="auto"/>
        <w:jc w:val="left"/>
        <w:rPr>
          <w:rFonts w:ascii="Arial" w:eastAsia="Times New Roman" w:hAnsi="Arial" w:cs="Arial"/>
          <w:b/>
          <w:bCs/>
          <w:szCs w:val="28"/>
          <w:lang w:val="uk-UA" w:eastAsia="ru-RU"/>
        </w:rPr>
      </w:pPr>
      <w:r w:rsidRPr="00511005">
        <w:rPr>
          <w:rFonts w:ascii="Arial" w:eastAsia="Times New Roman" w:hAnsi="Arial" w:cs="Arial"/>
          <w:i/>
          <w:iCs/>
          <w:szCs w:val="28"/>
          <w:lang w:val="uk-UA" w:eastAsia="ru-RU"/>
        </w:rPr>
        <w:t>Науковий керівник:</w:t>
      </w:r>
      <w:r w:rsidR="003476F8" w:rsidRPr="00511005">
        <w:rPr>
          <w:rFonts w:ascii="Arial" w:eastAsia="Times New Roman" w:hAnsi="Arial" w:cs="Arial"/>
          <w:szCs w:val="28"/>
          <w:lang w:val="uk-UA" w:eastAsia="ru-RU"/>
        </w:rPr>
        <w:t xml:space="preserve"> </w:t>
      </w:r>
      <w:r w:rsidR="003476F8" w:rsidRPr="00511005">
        <w:rPr>
          <w:rFonts w:ascii="Arial" w:eastAsia="Times New Roman" w:hAnsi="Arial" w:cs="Arial"/>
          <w:i/>
          <w:iCs/>
          <w:szCs w:val="28"/>
          <w:lang w:val="uk-UA" w:eastAsia="ru-RU"/>
        </w:rPr>
        <w:t>к.ю.н., доцент Пожарова О. В.</w:t>
      </w:r>
    </w:p>
    <w:p w14:paraId="46C6BF81"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51AD8437" w14:textId="77777777" w:rsidR="003476F8" w:rsidRPr="00511005" w:rsidRDefault="003476F8" w:rsidP="003A292D">
      <w:pPr>
        <w:pBdr>
          <w:top w:val="nil"/>
          <w:left w:val="nil"/>
          <w:bottom w:val="nil"/>
          <w:right w:val="nil"/>
          <w:between w:val="nil"/>
          <w:bar w:val="nil"/>
        </w:pBdr>
        <w:spacing w:line="264" w:lineRule="auto"/>
        <w:ind w:firstLine="0"/>
        <w:jc w:val="center"/>
        <w:rPr>
          <w:rFonts w:ascii="Arial" w:eastAsia="Times New Roman" w:hAnsi="Arial" w:cs="Arial"/>
          <w:b/>
          <w:bCs/>
          <w:i/>
          <w:iCs/>
          <w:kern w:val="2"/>
          <w:szCs w:val="28"/>
          <w:u w:color="000000"/>
          <w:bdr w:val="nil"/>
          <w:lang w:val="uk-UA" w:eastAsia="ru-RU"/>
        </w:rPr>
      </w:pPr>
      <w:r w:rsidRPr="00511005">
        <w:rPr>
          <w:rFonts w:ascii="Arial" w:eastAsia="Aptos" w:hAnsi="Arial" w:cs="Arial"/>
          <w:b/>
          <w:bCs/>
          <w:i/>
          <w:iCs/>
          <w:kern w:val="2"/>
          <w:szCs w:val="28"/>
          <w:u w:color="000000"/>
          <w:bdr w:val="nil"/>
          <w:lang w:val="uk-UA" w:eastAsia="ru-RU"/>
        </w:rPr>
        <w:t>Мірошниченко Каміла Віталіївна</w:t>
      </w:r>
    </w:p>
    <w:p w14:paraId="08B60F58" w14:textId="5839AC41" w:rsidR="003476F8" w:rsidRPr="00511005" w:rsidRDefault="00536AAB" w:rsidP="003A292D">
      <w:pPr>
        <w:pBdr>
          <w:top w:val="nil"/>
          <w:left w:val="nil"/>
          <w:bottom w:val="nil"/>
          <w:right w:val="nil"/>
          <w:between w:val="nil"/>
          <w:bar w:val="nil"/>
        </w:pBdr>
        <w:spacing w:line="264" w:lineRule="auto"/>
        <w:ind w:firstLine="0"/>
        <w:jc w:val="center"/>
        <w:rPr>
          <w:rFonts w:ascii="Arial" w:eastAsia="Times New Roman" w:hAnsi="Arial" w:cs="Arial"/>
          <w:b/>
          <w:bCs/>
          <w:kern w:val="2"/>
          <w:szCs w:val="28"/>
          <w:u w:color="000000"/>
          <w:bdr w:val="nil"/>
          <w:lang w:val="uk-UA" w:eastAsia="ru-RU"/>
        </w:rPr>
      </w:pPr>
      <w:r w:rsidRPr="00511005">
        <w:rPr>
          <w:rFonts w:ascii="Arial" w:eastAsia="Aptos" w:hAnsi="Arial" w:cs="Arial"/>
          <w:kern w:val="2"/>
          <w:szCs w:val="28"/>
          <w:u w:color="000000"/>
          <w:bdr w:val="nil"/>
          <w:lang w:val="uk-UA" w:eastAsia="ru-RU"/>
        </w:rPr>
        <w:t xml:space="preserve">студентка 2-го курсу </w:t>
      </w:r>
      <w:r w:rsidR="001B7B25" w:rsidRPr="00511005">
        <w:rPr>
          <w:rFonts w:ascii="Arial" w:eastAsia="Aptos" w:hAnsi="Arial" w:cs="Arial"/>
          <w:kern w:val="2"/>
          <w:szCs w:val="28"/>
          <w:u w:color="000000"/>
          <w:bdr w:val="nil"/>
          <w:lang w:val="uk-UA" w:eastAsia="ru-RU"/>
        </w:rPr>
        <w:t>факультету судового та міжнародного права</w:t>
      </w:r>
    </w:p>
    <w:p w14:paraId="4B7762E2" w14:textId="10299C7C" w:rsidR="003476F8" w:rsidRPr="00511005" w:rsidRDefault="007B2628" w:rsidP="003A292D">
      <w:pPr>
        <w:pBdr>
          <w:top w:val="nil"/>
          <w:left w:val="nil"/>
          <w:bottom w:val="nil"/>
          <w:right w:val="nil"/>
          <w:between w:val="nil"/>
          <w:bar w:val="nil"/>
        </w:pBdr>
        <w:spacing w:line="264" w:lineRule="auto"/>
        <w:ind w:firstLine="0"/>
        <w:jc w:val="center"/>
        <w:rPr>
          <w:rFonts w:ascii="Arial" w:eastAsia="Times New Roman" w:hAnsi="Arial" w:cs="Arial"/>
          <w:kern w:val="2"/>
          <w:szCs w:val="28"/>
          <w:u w:color="000000"/>
          <w:bdr w:val="nil"/>
          <w:lang w:val="uk-UA" w:eastAsia="ru-RU"/>
        </w:rPr>
      </w:pPr>
      <w:r w:rsidRPr="00511005">
        <w:rPr>
          <w:rFonts w:ascii="Arial" w:eastAsia="Aptos" w:hAnsi="Arial" w:cs="Arial"/>
          <w:kern w:val="2"/>
          <w:szCs w:val="28"/>
          <w:bdr w:val="nil"/>
          <w:lang w:val="uk-UA" w:eastAsia="ru-RU"/>
        </w:rPr>
        <w:lastRenderedPageBreak/>
        <w:t>Національного університету «Одеська юридична академія»</w:t>
      </w:r>
    </w:p>
    <w:p w14:paraId="3E194F9E" w14:textId="77777777" w:rsidR="003476F8" w:rsidRPr="00511005" w:rsidRDefault="003476F8" w:rsidP="003A292D">
      <w:pPr>
        <w:pBdr>
          <w:top w:val="nil"/>
          <w:left w:val="nil"/>
          <w:bottom w:val="nil"/>
          <w:right w:val="nil"/>
          <w:between w:val="nil"/>
          <w:bar w:val="nil"/>
        </w:pBdr>
        <w:spacing w:line="264" w:lineRule="auto"/>
        <w:ind w:firstLine="0"/>
        <w:jc w:val="center"/>
        <w:rPr>
          <w:rFonts w:ascii="Arial" w:eastAsia="Times New Roman" w:hAnsi="Arial" w:cs="Arial"/>
          <w:i/>
          <w:iCs/>
          <w:kern w:val="2"/>
          <w:szCs w:val="28"/>
          <w:u w:color="000000"/>
          <w:bdr w:val="nil"/>
          <w:lang w:val="uk-UA" w:eastAsia="ru-RU"/>
        </w:rPr>
      </w:pPr>
    </w:p>
    <w:p w14:paraId="6C10403B" w14:textId="77777777" w:rsidR="003476F8" w:rsidRPr="00511005" w:rsidRDefault="003476F8" w:rsidP="003A292D">
      <w:pPr>
        <w:pBdr>
          <w:top w:val="nil"/>
          <w:left w:val="nil"/>
          <w:bottom w:val="nil"/>
          <w:right w:val="nil"/>
          <w:between w:val="nil"/>
          <w:bar w:val="nil"/>
        </w:pBdr>
        <w:spacing w:line="264" w:lineRule="auto"/>
        <w:ind w:firstLine="0"/>
        <w:jc w:val="center"/>
        <w:rPr>
          <w:rFonts w:ascii="Arial" w:eastAsia="Aptos" w:hAnsi="Arial" w:cs="Arial"/>
          <w:b/>
          <w:bCs/>
          <w:kern w:val="2"/>
          <w:szCs w:val="28"/>
          <w:u w:color="000000"/>
          <w:bdr w:val="nil"/>
          <w:lang w:val="uk-UA" w:eastAsia="ru-RU"/>
        </w:rPr>
      </w:pPr>
      <w:r w:rsidRPr="00511005">
        <w:rPr>
          <w:rFonts w:ascii="Arial" w:eastAsia="Aptos" w:hAnsi="Arial" w:cs="Arial"/>
          <w:b/>
          <w:bCs/>
          <w:kern w:val="2"/>
          <w:szCs w:val="28"/>
          <w:u w:color="000000"/>
          <w:bdr w:val="nil"/>
          <w:lang w:val="uk-UA" w:eastAsia="ru-RU"/>
        </w:rPr>
        <w:t xml:space="preserve">ПРАВОВЕ РЕГУЛЮВАННЯ ДИСТАНЦІЙНОЇ РОБОТИ: </w:t>
      </w:r>
    </w:p>
    <w:p w14:paraId="467CFD7C" w14:textId="77777777" w:rsidR="003476F8" w:rsidRPr="00511005" w:rsidRDefault="003476F8" w:rsidP="003A292D">
      <w:pPr>
        <w:pBdr>
          <w:top w:val="nil"/>
          <w:left w:val="nil"/>
          <w:bottom w:val="nil"/>
          <w:right w:val="nil"/>
          <w:between w:val="nil"/>
          <w:bar w:val="nil"/>
        </w:pBdr>
        <w:spacing w:line="264" w:lineRule="auto"/>
        <w:ind w:firstLine="0"/>
        <w:jc w:val="center"/>
        <w:rPr>
          <w:rFonts w:ascii="Arial" w:eastAsia="Times New Roman" w:hAnsi="Arial" w:cs="Arial"/>
          <w:b/>
          <w:bCs/>
          <w:kern w:val="2"/>
          <w:szCs w:val="28"/>
          <w:u w:color="000000"/>
          <w:bdr w:val="nil"/>
          <w:lang w:val="uk-UA" w:eastAsia="ru-RU"/>
        </w:rPr>
      </w:pPr>
      <w:r w:rsidRPr="00511005">
        <w:rPr>
          <w:rFonts w:ascii="Arial" w:eastAsia="Aptos" w:hAnsi="Arial" w:cs="Arial"/>
          <w:b/>
          <w:bCs/>
          <w:kern w:val="2"/>
          <w:szCs w:val="28"/>
          <w:u w:color="000000"/>
          <w:bdr w:val="nil"/>
          <w:lang w:val="uk-UA" w:eastAsia="ru-RU"/>
        </w:rPr>
        <w:t>ВИКЛИКИ СУЧАСНОСТІ</w:t>
      </w:r>
    </w:p>
    <w:p w14:paraId="4415672C" w14:textId="77777777" w:rsidR="003476F8" w:rsidRPr="00511005" w:rsidRDefault="003476F8" w:rsidP="003A292D">
      <w:pPr>
        <w:pBdr>
          <w:top w:val="nil"/>
          <w:left w:val="nil"/>
          <w:bottom w:val="nil"/>
          <w:right w:val="nil"/>
          <w:between w:val="nil"/>
          <w:bar w:val="nil"/>
        </w:pBdr>
        <w:spacing w:line="264" w:lineRule="auto"/>
        <w:ind w:firstLine="708"/>
        <w:rPr>
          <w:rFonts w:ascii="Arial" w:eastAsia="Times New Roman" w:hAnsi="Arial" w:cs="Arial"/>
          <w:kern w:val="2"/>
          <w:szCs w:val="28"/>
          <w:u w:color="000000"/>
          <w:bdr w:val="nil"/>
          <w:lang w:val="uk-UA" w:eastAsia="ru-RU"/>
        </w:rPr>
      </w:pPr>
      <w:r w:rsidRPr="00511005">
        <w:rPr>
          <w:rFonts w:ascii="Arial" w:eastAsia="Aptos" w:hAnsi="Arial" w:cs="Arial"/>
          <w:kern w:val="2"/>
          <w:szCs w:val="28"/>
          <w:u w:color="000000"/>
          <w:bdr w:val="nil"/>
          <w:lang w:val="uk-UA" w:eastAsia="ru-RU"/>
        </w:rPr>
        <w:t>У сучасних умовах інтенсивного розвитку цифрових технологій, зокрема онлайн-комунікаційних платформ (Zoom, Discord, Google Meet тощо), дистанційна форма праці стає доступнішою і розповсюдженішою. Перше значне зростання кількості дистанційних працівників було зумовлене пандемією 2020–2022 років, однак на той час дистанційна робота носила переважно вимушений та тимчасовий характер. Наразі дистанційна зайнятість поступово закріплюється як єдина форма організації праці в багатьох суб’єктів господарювання. Особливої актуальності вона набула в період війни, коли потреба у гнучких формах зайнятості зросла знову як під час карантину. Зокрема, це стосується працівників, які через безпекові, логістичні чи особисті обставини не можуть постійно бути присутніми на робочому місці. У зв’язку з цим правове регулювання дистанційної роботи стає важливим напрямом розвитку трудового права й потребує осмислення й удосконалення.</w:t>
      </w:r>
    </w:p>
    <w:p w14:paraId="0423D6C2" w14:textId="77777777" w:rsidR="003476F8" w:rsidRPr="00511005" w:rsidRDefault="003476F8" w:rsidP="003A292D">
      <w:pPr>
        <w:pBdr>
          <w:top w:val="nil"/>
          <w:left w:val="nil"/>
          <w:bottom w:val="nil"/>
          <w:right w:val="nil"/>
          <w:between w:val="nil"/>
          <w:bar w:val="nil"/>
        </w:pBdr>
        <w:spacing w:line="264" w:lineRule="auto"/>
        <w:ind w:firstLine="708"/>
        <w:rPr>
          <w:rFonts w:ascii="Arial" w:eastAsia="Times New Roman" w:hAnsi="Arial" w:cs="Arial"/>
          <w:kern w:val="2"/>
          <w:szCs w:val="28"/>
          <w:u w:color="000000"/>
          <w:bdr w:val="nil"/>
          <w:lang w:val="uk-UA" w:eastAsia="ru-RU"/>
        </w:rPr>
      </w:pPr>
      <w:r w:rsidRPr="00511005">
        <w:rPr>
          <w:rFonts w:ascii="Arial" w:eastAsia="Aptos" w:hAnsi="Arial" w:cs="Arial"/>
          <w:kern w:val="2"/>
          <w:szCs w:val="28"/>
          <w:u w:color="000000"/>
          <w:bdr w:val="nil"/>
          <w:lang w:val="uk-UA" w:eastAsia="ru-RU"/>
        </w:rPr>
        <w:t>Перед початком нашого дослідження слід зазначити визначення дистанційної роботи, яке закріплено в Кодексі Законів про працю (далі - КЗпП). Згідно зі статтею 60-2 «дистанційна робота - це форма організації праці, за якої робота виконується працівником поза робочими приміщеннями чи територією роботодавця, в будь-якому місці за вибором працівника та з використанням інформаційно-комунікаційних технологій» [1].</w:t>
      </w:r>
    </w:p>
    <w:p w14:paraId="6DF286CC" w14:textId="77777777" w:rsidR="003476F8" w:rsidRPr="00511005" w:rsidRDefault="003476F8" w:rsidP="003A292D">
      <w:pPr>
        <w:pBdr>
          <w:top w:val="nil"/>
          <w:left w:val="nil"/>
          <w:bottom w:val="nil"/>
          <w:right w:val="nil"/>
          <w:between w:val="nil"/>
          <w:bar w:val="nil"/>
        </w:pBdr>
        <w:spacing w:line="264" w:lineRule="auto"/>
        <w:ind w:firstLine="708"/>
        <w:rPr>
          <w:rFonts w:ascii="Arial" w:eastAsia="Times New Roman" w:hAnsi="Arial" w:cs="Arial"/>
          <w:kern w:val="2"/>
          <w:szCs w:val="28"/>
          <w:u w:color="000000"/>
          <w:bdr w:val="nil"/>
          <w:lang w:val="uk-UA" w:eastAsia="ru-RU"/>
        </w:rPr>
      </w:pPr>
      <w:r w:rsidRPr="00511005">
        <w:rPr>
          <w:rFonts w:ascii="Arial" w:eastAsia="Aptos" w:hAnsi="Arial" w:cs="Arial"/>
          <w:kern w:val="2"/>
          <w:szCs w:val="28"/>
          <w:u w:color="000000"/>
          <w:bdr w:val="nil"/>
          <w:lang w:val="uk-UA" w:eastAsia="ru-RU"/>
        </w:rPr>
        <w:t xml:space="preserve">Дистанційна робота внаслідок своїх особливостей відрізняється від звичайної форми праці, зокрема в питаннях укладення трудового договору. Так, трудовий договір про дистанційну роботу має обов’язково укладатися в письмовій формі та містить дещо інші умови. Наприклад, роботодавець та працівник мають встановити: хто візьме відповідальність за матеріально-технічне забезпечення працівника технічними, програмними засобами; компенсацію за використання обладнання, що не належить роботодавцю (за потреби); порядок звітності та комунікації сторін; механізми захисту персональних даних працівника. Щодо особливостей в самій організації праці, то згідно зі статтею 60-2: «при дистанційній роботі працівник розподіляє робочий час на власний розсуд, на нього не поширюються правила внутрішнього трудового розпорядку, якщо інше не визначено трудовим договором»; «за погодженням між працівником і роботодавцем виконання дистанційної роботи може поєднуватися з виконанням працівником роботи на робочому місці у приміщенні чи на території роботодавця»[1], тобто працювати у змішаному режимі. </w:t>
      </w:r>
    </w:p>
    <w:p w14:paraId="0C2A3467" w14:textId="77777777" w:rsidR="003476F8" w:rsidRPr="00511005" w:rsidRDefault="003476F8" w:rsidP="003A292D">
      <w:pPr>
        <w:pBdr>
          <w:top w:val="nil"/>
          <w:left w:val="nil"/>
          <w:bottom w:val="nil"/>
          <w:right w:val="nil"/>
          <w:between w:val="nil"/>
          <w:bar w:val="nil"/>
        </w:pBdr>
        <w:spacing w:line="264" w:lineRule="auto"/>
        <w:ind w:firstLine="708"/>
        <w:rPr>
          <w:rFonts w:ascii="Arial" w:eastAsia="Times New Roman" w:hAnsi="Arial" w:cs="Arial"/>
          <w:kern w:val="2"/>
          <w:szCs w:val="28"/>
          <w:u w:color="000000"/>
          <w:bdr w:val="nil"/>
          <w:lang w:val="uk-UA" w:eastAsia="ru-RU"/>
        </w:rPr>
      </w:pPr>
      <w:r w:rsidRPr="00511005">
        <w:rPr>
          <w:rFonts w:ascii="Arial" w:eastAsia="Aptos" w:hAnsi="Arial" w:cs="Arial"/>
          <w:kern w:val="2"/>
          <w:szCs w:val="28"/>
          <w:u w:color="000000"/>
          <w:bdr w:val="nil"/>
          <w:lang w:val="uk-UA" w:eastAsia="ru-RU"/>
        </w:rPr>
        <w:t xml:space="preserve">Проте, не дивлячись на всі відмінності, при дистанційному режимі роботи мають дотримуватися стандарти прав працівника, зокрема на </w:t>
      </w:r>
      <w:r w:rsidRPr="00511005">
        <w:rPr>
          <w:rFonts w:ascii="Arial" w:eastAsia="Aptos" w:hAnsi="Arial" w:cs="Arial"/>
          <w:kern w:val="2"/>
          <w:szCs w:val="28"/>
          <w:u w:color="000000"/>
          <w:bdr w:val="nil"/>
          <w:lang w:val="uk-UA" w:eastAsia="ru-RU"/>
        </w:rPr>
        <w:lastRenderedPageBreak/>
        <w:t>відпочинок, нормовану кількість робочих годин, вчасну заробітну плату, відсутність дискримінації тощо.</w:t>
      </w:r>
    </w:p>
    <w:p w14:paraId="4A29034C" w14:textId="77777777" w:rsidR="003476F8" w:rsidRPr="00511005" w:rsidRDefault="003476F8" w:rsidP="003A292D">
      <w:pPr>
        <w:pBdr>
          <w:top w:val="nil"/>
          <w:left w:val="nil"/>
          <w:bottom w:val="nil"/>
          <w:right w:val="nil"/>
          <w:between w:val="nil"/>
          <w:bar w:val="nil"/>
        </w:pBdr>
        <w:spacing w:line="264" w:lineRule="auto"/>
        <w:ind w:firstLine="708"/>
        <w:rPr>
          <w:rFonts w:ascii="Arial" w:eastAsia="Times New Roman" w:hAnsi="Arial" w:cs="Arial"/>
          <w:kern w:val="2"/>
          <w:szCs w:val="28"/>
          <w:u w:color="000000"/>
          <w:bdr w:val="nil"/>
          <w:lang w:val="uk-UA" w:eastAsia="ru-RU"/>
        </w:rPr>
      </w:pPr>
      <w:r w:rsidRPr="00511005">
        <w:rPr>
          <w:rFonts w:ascii="Arial" w:eastAsia="Aptos" w:hAnsi="Arial" w:cs="Arial"/>
          <w:kern w:val="2"/>
          <w:szCs w:val="28"/>
          <w:u w:color="000000"/>
          <w:bdr w:val="nil"/>
          <w:lang w:val="uk-UA" w:eastAsia="ru-RU"/>
        </w:rPr>
        <w:t>Вважаємо за доцільне навести переваги дистанційної праці, щоб зрозуміти причини нинішньої тенденції її популяризації в усьому світі. Однією з ключових переваг є економія часу та фінансових ресурсів, що зазвичай витрачаються на щоденні поїздки до місця роботи. У багатьох випадках дорога до роботи може тривати близько години, що у підсумку становить близько 10 годин на тиждень. Працівники отримують можливість працювати з будь-якого зручного для себе місця, що сприяє кращому балансу між професійним і особистим життям. Такий режим особливо зручний для людей із сімейними обов’язками або тими, хто потребує особливих умов праці. Гнучкість у розподілі робочого часу дозволяє самостійно планувати день, що часто призводить до зростання автономності та мотивації. Комфортніші умови роботи вдома також можуть знижувати рівень стресу та підвищувати загальну продуктивність. Важливою є й інклюзивність дистанційної форми праці – вона відкриває ширші можливості для людей з інвалідністю або тимчасово обмеженою мобільністю. Роботодавці, у свою чергу, отримують вигоду шляхом скорочення витрат на оренду офісних приміщень та забезпечення матеріально-технічної бази робочих місць Вони отримують змогу наймати фахівців з будь-якого регіону країни або світу, що значно розширює кадровий потенціал.</w:t>
      </w:r>
    </w:p>
    <w:p w14:paraId="22705713" w14:textId="1387B016" w:rsidR="003476F8" w:rsidRPr="00511005" w:rsidRDefault="003476F8" w:rsidP="003A292D">
      <w:pPr>
        <w:pBdr>
          <w:top w:val="nil"/>
          <w:left w:val="nil"/>
          <w:bottom w:val="nil"/>
          <w:right w:val="nil"/>
          <w:between w:val="nil"/>
          <w:bar w:val="nil"/>
        </w:pBdr>
        <w:spacing w:line="264" w:lineRule="auto"/>
        <w:ind w:firstLine="708"/>
        <w:rPr>
          <w:rFonts w:ascii="Arial" w:eastAsia="Times New Roman" w:hAnsi="Arial" w:cs="Arial"/>
          <w:kern w:val="2"/>
          <w:szCs w:val="28"/>
          <w:u w:color="000000"/>
          <w:bdr w:val="nil"/>
          <w:lang w:val="uk-UA" w:eastAsia="ru-RU"/>
        </w:rPr>
      </w:pPr>
      <w:r w:rsidRPr="00511005">
        <w:rPr>
          <w:rFonts w:ascii="Arial" w:eastAsia="Aptos" w:hAnsi="Arial" w:cs="Arial"/>
          <w:kern w:val="2"/>
          <w:szCs w:val="28"/>
          <w:u w:color="000000"/>
          <w:bdr w:val="nil"/>
          <w:lang w:val="uk-UA" w:eastAsia="ru-RU"/>
        </w:rPr>
        <w:t>Наведені переваги свідчать про те, що дистанційна робота має значний потенціал для подальшого розвитку. Звичайно, традиційна форма праці не може зникнути зовсім, адже в Україні розвинутий аграрний сектор, металургія, інше виробництво, проте все це первинний і вторинний сектор економіки, які разом не сягають навіть і половини від її об’єму, й їх частка продовжує зменшуватися. Тому потрібно як найшвидше покращити трудове законодавство, щоб усунути наявні прогалини в законодавстві, та уникнути появу інших проблем. Так, Дрозд О. Ю.</w:t>
      </w:r>
      <w:r w:rsidR="007B2628" w:rsidRPr="00511005">
        <w:rPr>
          <w:rFonts w:ascii="Arial" w:eastAsia="Aptos" w:hAnsi="Arial" w:cs="Arial"/>
          <w:kern w:val="2"/>
          <w:szCs w:val="28"/>
          <w:u w:color="000000"/>
          <w:bdr w:val="nil"/>
          <w:lang w:val="uk-UA" w:eastAsia="ru-RU"/>
        </w:rPr>
        <w:t xml:space="preserve"> </w:t>
      </w:r>
      <w:r w:rsidRPr="00511005">
        <w:rPr>
          <w:rFonts w:ascii="Arial" w:eastAsia="Aptos" w:hAnsi="Arial" w:cs="Arial"/>
          <w:kern w:val="2"/>
          <w:szCs w:val="28"/>
          <w:u w:color="000000"/>
          <w:bdr w:val="nil"/>
          <w:lang w:val="uk-UA" w:eastAsia="ru-RU"/>
        </w:rPr>
        <w:t xml:space="preserve">звертає увагу на проблему, пов’язану зі статтею 60-2 КЗпП України, яка передбачає можливість запровадження дистанційної роботи шляхом видання наказу (розпорядження) роботодавця без обов'язкового укладення окремого трудового договору в письмовій формі, зокрема у випадку виникнення загрози збройної агресії. Водночас залишається недостатньо визначеною співвідношення понять «загроза збройної агресії» та «введення режиму воєнного стану». Крім того, зазначена норма встановлює обов’язок працівника ознайомитись із наказом про запровадження дистанційної роботи протягом двох днів із дня його прийняття, однак не врегульовує порядок такого ознайомлення у випадках, коли працівник з об'єктивних причин, пов’язаних із евакуацією у безпечніше місце, не має змоги здійснити це в установлені строки [3, с. 544]. Окрім того, актуальною є проблема контролю за дотриманням встановленої тривалості робочого часу. Незважаючи на те, що закон передбачає звичайну тривалість </w:t>
      </w:r>
      <w:r w:rsidRPr="00511005">
        <w:rPr>
          <w:rFonts w:ascii="Arial" w:eastAsia="Aptos" w:hAnsi="Arial" w:cs="Arial"/>
          <w:kern w:val="2"/>
          <w:szCs w:val="28"/>
          <w:u w:color="000000"/>
          <w:bdr w:val="nil"/>
          <w:lang w:val="uk-UA" w:eastAsia="ru-RU"/>
        </w:rPr>
        <w:lastRenderedPageBreak/>
        <w:t>робочого дня і для дистанційних працівників, на практиці фіксація початку і завершення робочого часу нерідко ускладнена. Відсутність ефективних механізмів обліку робочого часу може призводити як до перевищення навантаження без відповідної компенсації, так і до труднощів в оцінці продуктивності.</w:t>
      </w:r>
    </w:p>
    <w:p w14:paraId="4AC92CEC" w14:textId="77777777" w:rsidR="003476F8" w:rsidRPr="00511005" w:rsidRDefault="003476F8" w:rsidP="003A292D">
      <w:pPr>
        <w:pBdr>
          <w:top w:val="nil"/>
          <w:left w:val="nil"/>
          <w:bottom w:val="nil"/>
          <w:right w:val="nil"/>
          <w:between w:val="nil"/>
          <w:bar w:val="nil"/>
        </w:pBdr>
        <w:spacing w:line="264" w:lineRule="auto"/>
        <w:ind w:firstLine="708"/>
        <w:rPr>
          <w:rFonts w:ascii="Arial" w:eastAsia="Times New Roman" w:hAnsi="Arial" w:cs="Arial"/>
          <w:kern w:val="2"/>
          <w:szCs w:val="28"/>
          <w:u w:color="000000"/>
          <w:bdr w:val="nil"/>
          <w:lang w:val="uk-UA" w:eastAsia="ru-RU"/>
        </w:rPr>
      </w:pPr>
      <w:r w:rsidRPr="00511005">
        <w:rPr>
          <w:rFonts w:ascii="Arial" w:eastAsia="Aptos" w:hAnsi="Arial" w:cs="Arial"/>
          <w:kern w:val="2"/>
          <w:szCs w:val="28"/>
          <w:u w:color="000000"/>
          <w:bdr w:val="nil"/>
          <w:lang w:val="uk-UA" w:eastAsia="ru-RU"/>
        </w:rPr>
        <w:t xml:space="preserve">Ще одним викликом є ситуація, коли працівники виконують дистанційну роботу поза рамками офіційного трудового оформлення. Зокрема, з розвитком цифрової економіки зростає кількість фахівців (особливо у сфері ІТ), які отримують замовлення через онлайн-платформи, не укладаючи жодних договорів, не сплачуючи податків і залишаючись поза юридичним полем. Це створює ризики ухилення від сплати податків та правову незахищеність самих виконавців. Відповідно, держава має знайти баланс між свободою праці в цифрову епоху та необхідністю забезпечити належний правовий статус дистанційної зайнятості. </w:t>
      </w:r>
      <w:r w:rsidRPr="00511005">
        <w:rPr>
          <w:rFonts w:ascii="Arial" w:eastAsia="Aptos" w:hAnsi="Arial" w:cs="Arial"/>
          <w:kern w:val="2"/>
          <w:szCs w:val="28"/>
          <w:u w:color="000000"/>
          <w:bdr w:val="nil"/>
          <w:lang w:val="uk-UA" w:eastAsia="ru-RU"/>
        </w:rPr>
        <w:tab/>
        <w:t>Отже, дистанційна робота стала невід’ємною частиною сучасного ринку праці, що зумовлено як технологічним розвитком, так і соціальними викликами - пандемією, воєнними діями та зміною підходів до організації трудових відносин. Вона відкриває широкі можливості як для працівників, так і для роботодавців, проте водночас ставить перед правовою системою нові виклики. Попри наявність базового законодавчого регулювання, виявляються численні прогалини - зокрема щодо порядку впровадження дистанційної форми без письмового договору, механізмів обліку робочого часу, а також проблем неофіційного працевлаштування. Тому подальше вдосконалення трудового законодавства в напрямку регулювання дистанційної праці є не лише актуальним, а й необхідним для забезпечення прав працівників, справедливої конкуренції та прозорого функціонування ринку праці в умовах цифрової епохи.</w:t>
      </w:r>
    </w:p>
    <w:p w14:paraId="22CD3C58" w14:textId="77777777" w:rsidR="003476F8" w:rsidRPr="00511005" w:rsidRDefault="003476F8" w:rsidP="003A292D">
      <w:pPr>
        <w:pBdr>
          <w:top w:val="nil"/>
          <w:left w:val="nil"/>
          <w:bottom w:val="nil"/>
          <w:right w:val="nil"/>
          <w:between w:val="nil"/>
          <w:bar w:val="nil"/>
        </w:pBdr>
        <w:spacing w:line="264" w:lineRule="auto"/>
        <w:ind w:firstLine="0"/>
        <w:jc w:val="center"/>
        <w:rPr>
          <w:rFonts w:ascii="Arial" w:eastAsia="Times New Roman" w:hAnsi="Arial" w:cs="Arial"/>
          <w:kern w:val="2"/>
          <w:szCs w:val="28"/>
          <w:u w:color="000000"/>
          <w:bdr w:val="nil"/>
          <w:lang w:val="uk-UA" w:eastAsia="ru-RU"/>
        </w:rPr>
      </w:pPr>
    </w:p>
    <w:p w14:paraId="3690B0F2" w14:textId="1E042275" w:rsidR="003476F8" w:rsidRPr="00511005" w:rsidRDefault="007B2628" w:rsidP="007B2628">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4" w:lineRule="auto"/>
        <w:jc w:val="center"/>
        <w:rPr>
          <w:rFonts w:ascii="Arial" w:eastAsia="Times New Roman" w:hAnsi="Arial" w:cs="Arial"/>
          <w:b/>
          <w:bCs/>
          <w:i/>
          <w:iCs/>
          <w:szCs w:val="28"/>
          <w:bdr w:val="nil"/>
          <w:lang w:val="uk-UA" w:eastAsia="ru-RU"/>
        </w:rPr>
      </w:pPr>
      <w:r w:rsidRPr="00511005">
        <w:rPr>
          <w:rFonts w:ascii="Arial" w:eastAsia="Arial Unicode MS" w:hAnsi="Arial" w:cs="Arial"/>
          <w:b/>
          <w:bCs/>
          <w:i/>
          <w:iCs/>
          <w:szCs w:val="28"/>
          <w:bdr w:val="nil"/>
          <w:lang w:val="uk-UA" w:eastAsia="ru-RU"/>
        </w:rPr>
        <w:t>Список використаних джерел</w:t>
      </w:r>
    </w:p>
    <w:p w14:paraId="67E0F77F" w14:textId="77777777"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4" w:lineRule="auto"/>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1. Кодекс законів про працю України від 10.12.1971 № 322-VIII : станом на 1 січ. 2025 р. URL: https://zakon.rada.gov.ua/laws/show/322-08#Text (дата звернення: 12.04.2025).</w:t>
      </w:r>
    </w:p>
    <w:p w14:paraId="3C83BD32" w14:textId="77777777"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4" w:lineRule="auto"/>
        <w:rPr>
          <w:rFonts w:ascii="Arial" w:eastAsia="Times New Roman" w:hAnsi="Arial" w:cs="Arial"/>
          <w:szCs w:val="28"/>
          <w:bdr w:val="nil"/>
          <w:lang w:val="uk-UA" w:eastAsia="ru-RU"/>
        </w:rPr>
      </w:pPr>
      <w:r w:rsidRPr="00511005">
        <w:rPr>
          <w:rFonts w:ascii="Arial" w:eastAsia="Arial Unicode MS" w:hAnsi="Arial" w:cs="Arial"/>
          <w:szCs w:val="28"/>
          <w:bdr w:val="nil"/>
          <w:lang w:val="uk-UA" w:eastAsia="ru-RU"/>
        </w:rPr>
        <w:t>2. Про затвердження типових форм трудових договорів про надомну та дистанційну роботу : Наказ Міністерства розвитку економіки, торгівлі та сіл. госп-ва України від 05.05.2021 № 913-21. URL: https://zakon.rada.gov.ua/laws/show/z0886-21#Text (дата звернення: 13.04.2025).</w:t>
      </w:r>
    </w:p>
    <w:p w14:paraId="24FDFCE2" w14:textId="77777777"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4" w:lineRule="auto"/>
        <w:rPr>
          <w:rFonts w:ascii="Arial" w:eastAsia="Arial Unicode MS" w:hAnsi="Arial" w:cs="Arial"/>
          <w:szCs w:val="28"/>
          <w:bdr w:val="nil"/>
          <w:lang w:val="uk-UA" w:eastAsia="ru-RU"/>
        </w:rPr>
      </w:pPr>
      <w:r w:rsidRPr="00511005">
        <w:rPr>
          <w:rFonts w:ascii="Arial" w:eastAsia="Arial Unicode MS" w:hAnsi="Arial" w:cs="Arial"/>
          <w:szCs w:val="28"/>
          <w:bdr w:val="nil"/>
          <w:lang w:val="uk-UA" w:eastAsia="ru-RU"/>
        </w:rPr>
        <w:t>3. Drozd О. Y. Current state and prospects of legal regulation of the remote form of employment in Ukraine. Juridical scientific and electronic journal. 2022. No. 7. P. 541–544. URL: https://doi.org/10.32782/2524-0374/2022-7/131 (date of access: 13.04.2025).</w:t>
      </w:r>
    </w:p>
    <w:p w14:paraId="3EDB3C26" w14:textId="373F35C1" w:rsidR="003476F8" w:rsidRPr="00511005" w:rsidRDefault="007B262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4" w:lineRule="auto"/>
        <w:rPr>
          <w:rFonts w:ascii="Arial" w:eastAsia="Times New Roman" w:hAnsi="Arial" w:cs="Arial"/>
          <w:szCs w:val="28"/>
          <w:bdr w:val="nil"/>
          <w:lang w:val="uk-UA" w:eastAsia="ru-RU"/>
        </w:rPr>
      </w:pPr>
      <w:r w:rsidRPr="00511005">
        <w:rPr>
          <w:rFonts w:ascii="Arial" w:eastAsia="Arial Unicode MS" w:hAnsi="Arial" w:cs="Arial"/>
          <w:b/>
          <w:bCs/>
          <w:i/>
          <w:szCs w:val="28"/>
          <w:u w:color="000000"/>
          <w:bdr w:val="nil"/>
          <w:lang w:val="uk-UA" w:eastAsia="ru-RU"/>
        </w:rPr>
        <w:lastRenderedPageBreak/>
        <w:t xml:space="preserve">Ключові слова: </w:t>
      </w:r>
      <w:r w:rsidR="003476F8" w:rsidRPr="00511005">
        <w:rPr>
          <w:rFonts w:ascii="Arial" w:eastAsia="Arial Unicode MS" w:hAnsi="Arial" w:cs="Arial"/>
          <w:szCs w:val="28"/>
          <w:bdr w:val="nil"/>
          <w:lang w:val="uk-UA" w:eastAsia="ru-RU"/>
        </w:rPr>
        <w:t>дистанційна робота, правове регулювання, гнучкість праці, кібербезпека, персональні дані, міжнародне право, соціальний захист, продуктивність, контроль, трудові відносини, цифровізація.</w:t>
      </w:r>
    </w:p>
    <w:p w14:paraId="7B9F53AB" w14:textId="0CE0D2FA" w:rsidR="003476F8" w:rsidRPr="00511005" w:rsidRDefault="007B2628" w:rsidP="003A292D">
      <w:pPr>
        <w:pBdr>
          <w:top w:val="nil"/>
          <w:left w:val="nil"/>
          <w:bottom w:val="nil"/>
          <w:right w:val="nil"/>
          <w:between w:val="nil"/>
          <w:bar w:val="nil"/>
        </w:pBdr>
        <w:spacing w:line="264" w:lineRule="auto"/>
        <w:rPr>
          <w:rFonts w:ascii="Arial" w:eastAsia="Aptos" w:hAnsi="Arial" w:cs="Arial"/>
          <w:kern w:val="2"/>
          <w:szCs w:val="28"/>
          <w:u w:color="000000"/>
          <w:bdr w:val="nil"/>
          <w:lang w:val="uk-UA" w:eastAsia="ru-RU"/>
        </w:rPr>
      </w:pPr>
      <w:r w:rsidRPr="00511005">
        <w:rPr>
          <w:rFonts w:ascii="Arial" w:eastAsia="Aptos" w:hAnsi="Arial" w:cs="Arial"/>
          <w:b/>
          <w:bCs/>
          <w:i/>
          <w:kern w:val="2"/>
          <w:szCs w:val="28"/>
          <w:u w:color="000000"/>
          <w:bdr w:val="nil"/>
          <w:lang w:val="uk-UA" w:eastAsia="ru-RU"/>
        </w:rPr>
        <w:t xml:space="preserve">Key words: </w:t>
      </w:r>
      <w:r w:rsidR="003476F8" w:rsidRPr="00511005">
        <w:rPr>
          <w:rFonts w:ascii="Arial" w:eastAsia="Aptos" w:hAnsi="Arial" w:cs="Arial"/>
          <w:b/>
          <w:bCs/>
          <w:kern w:val="2"/>
          <w:szCs w:val="28"/>
          <w:u w:color="000000"/>
          <w:bdr w:val="nil"/>
          <w:lang w:val="uk-UA" w:eastAsia="ru-RU"/>
        </w:rPr>
        <w:t>r</w:t>
      </w:r>
      <w:r w:rsidR="003476F8" w:rsidRPr="00511005">
        <w:rPr>
          <w:rFonts w:ascii="Arial" w:eastAsia="Aptos" w:hAnsi="Arial" w:cs="Arial"/>
          <w:kern w:val="2"/>
          <w:szCs w:val="28"/>
          <w:u w:color="000000"/>
          <w:bdr w:val="nil"/>
          <w:lang w:val="uk-UA" w:eastAsia="ru-RU"/>
        </w:rPr>
        <w:t>emote work, legal regulation, flexibility of work, cybersecurity, personal data, international law, social protection, productivity, control, labour relations, digitalization.</w:t>
      </w:r>
    </w:p>
    <w:p w14:paraId="2A59CD78" w14:textId="20F6B160" w:rsidR="003476F8" w:rsidRPr="00511005" w:rsidRDefault="007B2628" w:rsidP="003A292D">
      <w:pPr>
        <w:pBdr>
          <w:top w:val="nil"/>
          <w:left w:val="nil"/>
          <w:bottom w:val="nil"/>
          <w:right w:val="nil"/>
          <w:between w:val="nil"/>
          <w:bar w:val="nil"/>
        </w:pBdr>
        <w:spacing w:line="264" w:lineRule="auto"/>
        <w:rPr>
          <w:rFonts w:ascii="Arial" w:eastAsia="Aptos" w:hAnsi="Arial" w:cs="Arial"/>
          <w:kern w:val="2"/>
          <w:szCs w:val="28"/>
          <w:u w:color="000000"/>
          <w:bdr w:val="nil"/>
          <w:lang w:val="uk-UA" w:eastAsia="ru-RU"/>
        </w:rPr>
      </w:pPr>
      <w:r w:rsidRPr="00511005">
        <w:rPr>
          <w:rFonts w:ascii="Arial" w:eastAsia="Aptos" w:hAnsi="Arial" w:cs="Arial"/>
          <w:b/>
          <w:i/>
          <w:kern w:val="2"/>
          <w:szCs w:val="28"/>
          <w:u w:color="000000"/>
          <w:bdr w:val="nil"/>
          <w:lang w:val="uk-UA" w:eastAsia="ru-RU"/>
        </w:rPr>
        <w:t xml:space="preserve">Науковий керівник: </w:t>
      </w:r>
      <w:r w:rsidR="003476F8" w:rsidRPr="00511005">
        <w:rPr>
          <w:rFonts w:ascii="Arial" w:eastAsia="Aptos" w:hAnsi="Arial" w:cs="Arial"/>
          <w:i/>
          <w:kern w:val="2"/>
          <w:szCs w:val="28"/>
          <w:u w:color="000000"/>
          <w:bdr w:val="nil"/>
          <w:lang w:val="uk-UA" w:eastAsia="ru-RU"/>
        </w:rPr>
        <w:t>к.ю.н., доцент Пожарова О.В.</w:t>
      </w:r>
    </w:p>
    <w:p w14:paraId="522C424B"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06F81EF3" w14:textId="77777777" w:rsidR="003476F8" w:rsidRPr="00511005" w:rsidRDefault="003476F8" w:rsidP="003A292D">
      <w:pPr>
        <w:spacing w:line="264" w:lineRule="auto"/>
        <w:ind w:firstLine="0"/>
        <w:jc w:val="center"/>
        <w:rPr>
          <w:rFonts w:ascii="Arial" w:eastAsia="Times New Roman" w:hAnsi="Arial" w:cs="Arial"/>
          <w:b/>
          <w:bCs/>
          <w:i/>
          <w:iCs/>
          <w:kern w:val="2"/>
          <w:szCs w:val="28"/>
          <w:lang w:val="uk-UA" w:eastAsia="uk-UA"/>
        </w:rPr>
      </w:pPr>
      <w:r w:rsidRPr="00511005">
        <w:rPr>
          <w:rFonts w:ascii="Arial" w:eastAsia="Times New Roman" w:hAnsi="Arial" w:cs="Arial"/>
          <w:b/>
          <w:bCs/>
          <w:i/>
          <w:iCs/>
          <w:kern w:val="2"/>
          <w:szCs w:val="28"/>
          <w:lang w:val="uk-UA" w:eastAsia="uk-UA"/>
        </w:rPr>
        <w:t>Мірошніченко Валентин В’ячеславович</w:t>
      </w:r>
    </w:p>
    <w:p w14:paraId="77C812BC" w14:textId="7AA4F370" w:rsidR="003476F8" w:rsidRPr="00511005" w:rsidRDefault="00536AAB" w:rsidP="003A292D">
      <w:pPr>
        <w:spacing w:line="264" w:lineRule="auto"/>
        <w:ind w:firstLine="0"/>
        <w:jc w:val="center"/>
        <w:rPr>
          <w:rFonts w:ascii="Arial" w:eastAsia="Times New Roman" w:hAnsi="Arial" w:cs="Arial"/>
          <w:kern w:val="2"/>
          <w:szCs w:val="28"/>
          <w:lang w:val="uk-UA" w:eastAsia="uk-UA"/>
        </w:rPr>
      </w:pPr>
      <w:r w:rsidRPr="00511005">
        <w:rPr>
          <w:rFonts w:ascii="Arial" w:eastAsia="Times New Roman" w:hAnsi="Arial" w:cs="Arial"/>
          <w:kern w:val="2"/>
          <w:szCs w:val="28"/>
          <w:lang w:eastAsia="uk-UA"/>
        </w:rPr>
        <w:t xml:space="preserve">студент 2-го курсу </w:t>
      </w:r>
      <w:r w:rsidR="001B7B25" w:rsidRPr="00511005">
        <w:rPr>
          <w:rFonts w:ascii="Arial" w:eastAsia="Times New Roman" w:hAnsi="Arial" w:cs="Arial"/>
          <w:kern w:val="2"/>
          <w:szCs w:val="28"/>
          <w:lang w:eastAsia="uk-UA"/>
        </w:rPr>
        <w:t>факультету судового та міжнародного права</w:t>
      </w:r>
    </w:p>
    <w:p w14:paraId="5183BAEB" w14:textId="77777777" w:rsidR="003476F8" w:rsidRPr="00511005" w:rsidRDefault="003476F8" w:rsidP="003A292D">
      <w:pPr>
        <w:spacing w:line="264" w:lineRule="auto"/>
        <w:ind w:firstLine="0"/>
        <w:jc w:val="center"/>
        <w:rPr>
          <w:rFonts w:ascii="Arial" w:eastAsia="Times New Roman" w:hAnsi="Arial" w:cs="Arial"/>
          <w:kern w:val="2"/>
          <w:szCs w:val="28"/>
          <w:lang w:val="uk-UA" w:eastAsia="uk-UA"/>
        </w:rPr>
      </w:pPr>
      <w:r w:rsidRPr="00511005">
        <w:rPr>
          <w:rFonts w:ascii="Arial" w:eastAsia="Times New Roman" w:hAnsi="Arial" w:cs="Arial"/>
          <w:kern w:val="2"/>
          <w:szCs w:val="28"/>
          <w:lang w:val="uk-UA" w:eastAsia="uk-UA"/>
        </w:rPr>
        <w:t>Національний університету «Одеська юридична академія»</w:t>
      </w:r>
    </w:p>
    <w:p w14:paraId="45A6B6B1" w14:textId="77777777" w:rsidR="003476F8" w:rsidRPr="00511005" w:rsidRDefault="003476F8" w:rsidP="003A292D">
      <w:pPr>
        <w:spacing w:line="264" w:lineRule="auto"/>
        <w:ind w:firstLine="0"/>
        <w:jc w:val="left"/>
        <w:rPr>
          <w:rFonts w:ascii="Arial" w:eastAsia="Times New Roman" w:hAnsi="Arial" w:cs="Arial"/>
          <w:b/>
          <w:bCs/>
          <w:kern w:val="2"/>
          <w:szCs w:val="28"/>
          <w:lang w:val="uk-UA" w:eastAsia="uk-UA"/>
        </w:rPr>
      </w:pPr>
    </w:p>
    <w:p w14:paraId="27BB7EAB" w14:textId="77777777" w:rsidR="003476F8" w:rsidRPr="00511005" w:rsidRDefault="003476F8" w:rsidP="003A292D">
      <w:pPr>
        <w:spacing w:line="264" w:lineRule="auto"/>
        <w:ind w:firstLine="0"/>
        <w:jc w:val="center"/>
        <w:rPr>
          <w:rFonts w:ascii="Arial" w:eastAsia="Times New Roman" w:hAnsi="Arial" w:cs="Arial"/>
          <w:b/>
          <w:kern w:val="2"/>
          <w:szCs w:val="28"/>
          <w:lang w:val="uk-UA" w:eastAsia="uk-UA"/>
        </w:rPr>
      </w:pPr>
      <w:r w:rsidRPr="00511005">
        <w:rPr>
          <w:rFonts w:ascii="Arial" w:eastAsia="Times New Roman" w:hAnsi="Arial" w:cs="Arial"/>
          <w:b/>
          <w:kern w:val="2"/>
          <w:szCs w:val="28"/>
          <w:lang w:val="uk-UA" w:eastAsia="uk-UA"/>
        </w:rPr>
        <w:t>ТРУДОВИЙ ДОГОВІР: ПОНЯТТЯ, ВИДИ ТА ОСОБЛИВОСТІ ЗАСТОСУВАННЯ ПІД ЧАС ВОЄННОГО СТАНУ</w:t>
      </w:r>
    </w:p>
    <w:p w14:paraId="5EF71BD8" w14:textId="77777777" w:rsidR="003476F8" w:rsidRPr="00511005" w:rsidRDefault="003476F8" w:rsidP="003A292D">
      <w:pPr>
        <w:spacing w:line="264" w:lineRule="auto"/>
        <w:ind w:firstLine="708"/>
        <w:rPr>
          <w:rFonts w:ascii="Arial" w:eastAsia="Times New Roman" w:hAnsi="Arial" w:cs="Arial"/>
          <w:bCs/>
          <w:kern w:val="2"/>
          <w:szCs w:val="28"/>
          <w:lang w:val="uk-UA" w:eastAsia="uk-UA"/>
        </w:rPr>
      </w:pPr>
      <w:r w:rsidRPr="00511005">
        <w:rPr>
          <w:rFonts w:ascii="Arial" w:eastAsia="Times New Roman" w:hAnsi="Arial" w:cs="Arial"/>
          <w:bCs/>
          <w:kern w:val="2"/>
          <w:szCs w:val="28"/>
          <w:lang w:val="uk-UA" w:eastAsia="uk-UA"/>
        </w:rPr>
        <w:t>У сучасних нестабільних умовах, які були спричиненні введенням воєнного положення в Україні, значенням набуло питання правового регулювання трудових відносин. Трудовий договір являє собою важливим юридичним інструментом, який визначає обов’язки, права та гарантії працівника й роботодавця. Під час воєнного стану законодавство зазнає змін, які спрямовані на забезпечення роботи галузей, підтримання економіки та захисту національної безпеки – це впливає на порядок укладення, зміну та припинення трудових договорів і також на види цих договорів та застосування їх в умовах обмежень.</w:t>
      </w:r>
    </w:p>
    <w:p w14:paraId="48F41060" w14:textId="77777777" w:rsidR="003476F8" w:rsidRPr="00511005" w:rsidRDefault="003476F8" w:rsidP="003A292D">
      <w:pPr>
        <w:spacing w:line="264" w:lineRule="auto"/>
        <w:ind w:firstLine="708"/>
        <w:rPr>
          <w:rFonts w:ascii="Arial" w:eastAsia="Times New Roman" w:hAnsi="Arial" w:cs="Arial"/>
          <w:bCs/>
          <w:kern w:val="2"/>
          <w:szCs w:val="28"/>
          <w:lang w:val="uk-UA" w:eastAsia="uk-UA"/>
        </w:rPr>
      </w:pPr>
      <w:r w:rsidRPr="00511005">
        <w:rPr>
          <w:rFonts w:ascii="Arial" w:eastAsia="Times New Roman" w:hAnsi="Arial" w:cs="Arial"/>
          <w:bCs/>
          <w:kern w:val="2"/>
          <w:szCs w:val="28"/>
          <w:lang w:val="uk-UA" w:eastAsia="uk-UA"/>
        </w:rPr>
        <w:t>Отже, трудовий договір – це угода між працівником та роботодавцем, де працівник зобов’язується сумлінно виконувати роботи, а роботодавець – забезпечувати відповідні умови праці та своєчасно виплачувати заробітну плату. Цей договір є правовим інструментом у сфері трудових відносин і забезпечує визначеність у взаєминах між сторонами. Трудовий договір закріплює не лише обсяг обов’язків працівника, а й гарантії, компенсації, пільги та інші умови праці. Укладення трудового договору є обов’язковою умовою для трудової діяльності. Він захищає права у випадках спорів.</w:t>
      </w:r>
    </w:p>
    <w:p w14:paraId="562503B9" w14:textId="77777777" w:rsidR="003476F8" w:rsidRPr="00511005" w:rsidRDefault="003476F8" w:rsidP="003A292D">
      <w:pPr>
        <w:spacing w:line="264" w:lineRule="auto"/>
        <w:ind w:firstLine="708"/>
        <w:rPr>
          <w:rFonts w:ascii="Arial" w:eastAsia="Times New Roman" w:hAnsi="Arial" w:cs="Arial"/>
          <w:bCs/>
          <w:kern w:val="2"/>
          <w:szCs w:val="28"/>
          <w:lang w:val="uk-UA" w:eastAsia="uk-UA"/>
        </w:rPr>
      </w:pPr>
      <w:r w:rsidRPr="00511005">
        <w:rPr>
          <w:rFonts w:ascii="Arial" w:eastAsia="Times New Roman" w:hAnsi="Arial" w:cs="Arial"/>
          <w:bCs/>
          <w:kern w:val="2"/>
          <w:szCs w:val="28"/>
          <w:lang w:val="uk-UA" w:eastAsia="uk-UA"/>
        </w:rPr>
        <w:t>Відповідно до статті 23 Кодексу законів про працю</w:t>
      </w:r>
      <w:r w:rsidRPr="00511005">
        <w:rPr>
          <w:rFonts w:ascii="Arial" w:eastAsia="Times New Roman" w:hAnsi="Arial" w:cs="Arial"/>
          <w:bCs/>
          <w:kern w:val="2"/>
          <w:szCs w:val="28"/>
          <w:lang w:eastAsia="uk-UA"/>
        </w:rPr>
        <w:t xml:space="preserve"> </w:t>
      </w:r>
      <w:r w:rsidRPr="00511005">
        <w:rPr>
          <w:rFonts w:ascii="Arial" w:eastAsia="Times New Roman" w:hAnsi="Arial" w:cs="Arial"/>
          <w:bCs/>
          <w:kern w:val="2"/>
          <w:szCs w:val="28"/>
          <w:lang w:val="uk-UA" w:eastAsia="uk-UA"/>
        </w:rPr>
        <w:t xml:space="preserve">України, можна виділити дві групи трудових договорів. </w:t>
      </w:r>
    </w:p>
    <w:p w14:paraId="650CA9AB" w14:textId="241BEAEE" w:rsidR="003476F8" w:rsidRPr="00511005" w:rsidRDefault="003476F8" w:rsidP="003A292D">
      <w:pPr>
        <w:spacing w:line="264" w:lineRule="auto"/>
        <w:ind w:firstLine="708"/>
        <w:rPr>
          <w:rFonts w:ascii="Arial" w:eastAsia="Times New Roman" w:hAnsi="Arial" w:cs="Arial"/>
          <w:bCs/>
          <w:kern w:val="2"/>
          <w:szCs w:val="28"/>
          <w:lang w:val="uk-UA" w:eastAsia="uk-UA"/>
        </w:rPr>
      </w:pPr>
      <w:r w:rsidRPr="00511005">
        <w:rPr>
          <w:rFonts w:ascii="Arial" w:eastAsia="Times New Roman" w:hAnsi="Arial" w:cs="Arial"/>
          <w:bCs/>
          <w:kern w:val="2"/>
          <w:szCs w:val="28"/>
          <w:lang w:val="uk-UA" w:eastAsia="uk-UA"/>
        </w:rPr>
        <w:t>Перша група договорів за строком дії: безстроковий трудовий договір</w:t>
      </w:r>
      <w:r w:rsidR="007B2628" w:rsidRPr="00511005">
        <w:rPr>
          <w:rFonts w:ascii="Arial" w:eastAsia="Times New Roman" w:hAnsi="Arial" w:cs="Arial"/>
          <w:bCs/>
          <w:kern w:val="2"/>
          <w:szCs w:val="28"/>
          <w:lang w:val="uk-UA" w:eastAsia="uk-UA"/>
        </w:rPr>
        <w:t xml:space="preserve"> </w:t>
      </w:r>
      <w:r w:rsidRPr="00511005">
        <w:rPr>
          <w:rFonts w:ascii="Arial" w:eastAsia="Times New Roman" w:hAnsi="Arial" w:cs="Arial"/>
          <w:bCs/>
          <w:kern w:val="2"/>
          <w:szCs w:val="28"/>
          <w:lang w:val="uk-UA" w:eastAsia="uk-UA"/>
        </w:rPr>
        <w:t xml:space="preserve">– укладається на невизначний строк та є стандартною формою у мирний час. Під час воєнного стану можливе тимчасове припинення виконання обов’язків як працівником, так і роботодавця, якщо виконання загрожує безпеці сторін, наприклад, через збройну агресію, знищення робочого місця та інше. Також, під час воєнного стану, роботодавець має право перевести працівника на іншу роботу без його згоди. Строковий трудовий договір – це угода, яка укладена між працівником та роботодавцем на визначений строк. У мирний час його застосування обмежувалось окремими випадками, коли </w:t>
      </w:r>
      <w:r w:rsidRPr="00511005">
        <w:rPr>
          <w:rFonts w:ascii="Arial" w:eastAsia="Times New Roman" w:hAnsi="Arial" w:cs="Arial"/>
          <w:bCs/>
          <w:kern w:val="2"/>
          <w:szCs w:val="28"/>
          <w:lang w:val="uk-UA" w:eastAsia="uk-UA"/>
        </w:rPr>
        <w:lastRenderedPageBreak/>
        <w:t xml:space="preserve">трудові відносини не можливо було встановити на невизначений строк. Під час воєнного стану строковий договір може бути укладений для усунення кадрового дефіциту. Трудовий договір на час виконання певної роботи – це форма трудових відносин при якій працівник залучається для виконання певного завдання чи проекту. Під час воєнного стану, сторони можуть визначати форму трудового договору, завдяки цьому адаптувати трудові відносини до умов воєнного стану. </w:t>
      </w:r>
    </w:p>
    <w:p w14:paraId="31D600AE" w14:textId="77777777" w:rsidR="003476F8" w:rsidRPr="00511005" w:rsidRDefault="003476F8" w:rsidP="003A292D">
      <w:pPr>
        <w:spacing w:line="264" w:lineRule="auto"/>
        <w:ind w:firstLine="708"/>
        <w:rPr>
          <w:rFonts w:ascii="Arial" w:eastAsia="Times New Roman" w:hAnsi="Arial" w:cs="Arial"/>
          <w:bCs/>
          <w:kern w:val="2"/>
          <w:szCs w:val="28"/>
          <w:lang w:val="uk-UA" w:eastAsia="uk-UA"/>
        </w:rPr>
      </w:pPr>
      <w:r w:rsidRPr="00511005">
        <w:rPr>
          <w:rFonts w:ascii="Arial" w:eastAsia="Times New Roman" w:hAnsi="Arial" w:cs="Arial"/>
          <w:bCs/>
          <w:kern w:val="2"/>
          <w:szCs w:val="28"/>
          <w:lang w:val="uk-UA" w:eastAsia="uk-UA"/>
        </w:rPr>
        <w:t xml:space="preserve">Друга група договорів за виконання праці: контракт – особлива форма строкового договору, який застосовується до керівників, спеціалістів та інших. </w:t>
      </w:r>
    </w:p>
    <w:p w14:paraId="79E4DAD7" w14:textId="0780E6AA" w:rsidR="003476F8" w:rsidRPr="00511005" w:rsidRDefault="003476F8" w:rsidP="003A292D">
      <w:pPr>
        <w:spacing w:line="264" w:lineRule="auto"/>
        <w:ind w:firstLine="708"/>
        <w:rPr>
          <w:rFonts w:ascii="Arial" w:eastAsia="Times New Roman" w:hAnsi="Arial" w:cs="Arial"/>
          <w:bCs/>
          <w:kern w:val="2"/>
          <w:szCs w:val="28"/>
          <w:lang w:val="uk-UA" w:eastAsia="uk-UA"/>
        </w:rPr>
      </w:pPr>
      <w:r w:rsidRPr="00511005">
        <w:rPr>
          <w:rFonts w:ascii="Arial" w:eastAsia="Times New Roman" w:hAnsi="Arial" w:cs="Arial"/>
          <w:bCs/>
          <w:kern w:val="2"/>
          <w:szCs w:val="28"/>
          <w:lang w:val="uk-UA" w:eastAsia="uk-UA"/>
        </w:rPr>
        <w:t>Як зазначає О. М. Ярошенко: «У разі невиконання або неналежного виконання сторонами зобов’язань, передбачених у контракті, його може бути достроково розірвано з</w:t>
      </w:r>
      <w:r w:rsidR="007B2628" w:rsidRPr="00511005">
        <w:rPr>
          <w:rFonts w:ascii="Arial" w:eastAsia="Times New Roman" w:hAnsi="Arial" w:cs="Arial"/>
          <w:bCs/>
          <w:kern w:val="2"/>
          <w:szCs w:val="28"/>
          <w:lang w:val="uk-UA" w:eastAsia="uk-UA"/>
        </w:rPr>
        <w:t xml:space="preserve"> </w:t>
      </w:r>
      <w:r w:rsidRPr="00511005">
        <w:rPr>
          <w:rFonts w:ascii="Arial" w:eastAsia="Times New Roman" w:hAnsi="Arial" w:cs="Arial"/>
          <w:bCs/>
          <w:kern w:val="2"/>
          <w:szCs w:val="28"/>
          <w:lang w:val="uk-UA" w:eastAsia="uk-UA"/>
        </w:rPr>
        <w:t>попередженням відповідної сторони за два</w:t>
      </w:r>
      <w:r w:rsidR="007B2628" w:rsidRPr="00511005">
        <w:rPr>
          <w:rFonts w:ascii="Arial" w:eastAsia="Times New Roman" w:hAnsi="Arial" w:cs="Arial"/>
          <w:bCs/>
          <w:kern w:val="2"/>
          <w:szCs w:val="28"/>
          <w:lang w:val="uk-UA" w:eastAsia="uk-UA"/>
        </w:rPr>
        <w:t xml:space="preserve"> </w:t>
      </w:r>
      <w:r w:rsidRPr="00511005">
        <w:rPr>
          <w:rFonts w:ascii="Arial" w:eastAsia="Times New Roman" w:hAnsi="Arial" w:cs="Arial"/>
          <w:bCs/>
          <w:kern w:val="2"/>
          <w:szCs w:val="28"/>
          <w:lang w:val="uk-UA" w:eastAsia="uk-UA"/>
        </w:rPr>
        <w:t>тижні» [2, с. 119]. Сезонний трудовий договір – укладається на певний сезон, наприклад, здійснення праці в сільському господарстві або як зазначає пані Бутинська та Мокрицька: «Сезонними вважаються працівники, з якими укладено трудовий договір на певний сезон. Сезонні роботи через природні і кліматичні умови виконуються не весь рік, а протягом певного періоду (сезону), що не перевищує 6 місяців» [3, с. 118]. Трудовий договір з тимчасовим працівником – укладається на короткий строк, зазвичай, що не перевищує більше 2-ох місяців. Під час воєнного стану, цей вид договорів став актуальним для швидкого залучення працівників для виконання завдань, наприклад ліквідації бойових дій, евакуація тощо. Договір про сумісництво – укладення цього договору дозволяє працівнику поєднувати дві роботи. На такий договір діє також положення законодавство під час воєнного стану, наприклад, переведення на іншу роботу чи звільнення.</w:t>
      </w:r>
    </w:p>
    <w:p w14:paraId="5BAC5CD2" w14:textId="77777777" w:rsidR="003476F8" w:rsidRPr="00511005" w:rsidRDefault="003476F8" w:rsidP="003A292D">
      <w:pPr>
        <w:spacing w:line="264" w:lineRule="auto"/>
        <w:ind w:firstLine="708"/>
        <w:rPr>
          <w:rFonts w:ascii="Arial" w:eastAsia="Times New Roman" w:hAnsi="Arial" w:cs="Arial"/>
          <w:bCs/>
          <w:kern w:val="2"/>
          <w:szCs w:val="28"/>
          <w:lang w:val="uk-UA" w:eastAsia="uk-UA"/>
        </w:rPr>
      </w:pPr>
      <w:r w:rsidRPr="00511005">
        <w:rPr>
          <w:rFonts w:ascii="Arial" w:eastAsia="Times New Roman" w:hAnsi="Arial" w:cs="Arial"/>
          <w:bCs/>
          <w:kern w:val="2"/>
          <w:szCs w:val="28"/>
          <w:lang w:val="uk-UA" w:eastAsia="uk-UA"/>
        </w:rPr>
        <w:t>Якщо узагальнювати особливості дії трудового договору під час воєнного стану - відбувається спрощена процедура укладення, зміни та припинення договору, дозволяється дистанційна робота, переведення без згоди працівника у разі воєнної загрози, може бути активне залучання строкових, сезонних, тимчасових договорів, а також спрощене розірвання договору.</w:t>
      </w:r>
    </w:p>
    <w:p w14:paraId="7E71C1B9" w14:textId="77777777" w:rsidR="003476F8" w:rsidRPr="00511005" w:rsidRDefault="003476F8" w:rsidP="003A292D">
      <w:pPr>
        <w:spacing w:line="264" w:lineRule="auto"/>
        <w:ind w:firstLine="708"/>
        <w:rPr>
          <w:rFonts w:ascii="Arial" w:eastAsia="Times New Roman" w:hAnsi="Arial" w:cs="Arial"/>
          <w:bCs/>
          <w:kern w:val="2"/>
          <w:szCs w:val="28"/>
          <w:lang w:val="uk-UA" w:eastAsia="uk-UA"/>
        </w:rPr>
      </w:pPr>
      <w:r w:rsidRPr="00511005">
        <w:rPr>
          <w:rFonts w:ascii="Arial" w:eastAsia="Times New Roman" w:hAnsi="Arial" w:cs="Arial"/>
          <w:bCs/>
          <w:kern w:val="2"/>
          <w:szCs w:val="28"/>
          <w:lang w:val="uk-UA" w:eastAsia="uk-UA"/>
        </w:rPr>
        <w:t>Отже, трудовий договір як ключова форма реалізації прав на працю є важливим елементом трудових відносин працівників та роботодавців. Різноманітність видів трудових договорів дозволяє гнучко та оперативно реагувати на потреби ринку праці. Законодавство, у період воєнного стану, добре адаптовано до реалії, що сприяє збереженню трудового потенціалу, підтримці економіки, захисту працівників від загроз та забезпеченню критичних сфер діяльності країни.</w:t>
      </w:r>
    </w:p>
    <w:p w14:paraId="6D21C373" w14:textId="77777777" w:rsidR="003476F8" w:rsidRPr="00511005" w:rsidRDefault="003476F8" w:rsidP="003A292D">
      <w:pPr>
        <w:spacing w:line="264" w:lineRule="auto"/>
        <w:ind w:firstLine="0"/>
        <w:rPr>
          <w:rFonts w:ascii="Arial" w:eastAsia="Times New Roman" w:hAnsi="Arial" w:cs="Arial"/>
          <w:bCs/>
          <w:kern w:val="2"/>
          <w:szCs w:val="28"/>
          <w:lang w:val="uk-UA" w:eastAsia="uk-UA"/>
        </w:rPr>
      </w:pPr>
    </w:p>
    <w:p w14:paraId="43540CB0" w14:textId="6E261168" w:rsidR="003476F8" w:rsidRPr="00511005" w:rsidRDefault="007B2628" w:rsidP="007B2628">
      <w:pPr>
        <w:spacing w:line="264" w:lineRule="auto"/>
        <w:ind w:firstLine="708"/>
        <w:jc w:val="center"/>
        <w:rPr>
          <w:rFonts w:ascii="Arial" w:eastAsia="Times New Roman" w:hAnsi="Arial" w:cs="Arial"/>
          <w:b/>
          <w:kern w:val="2"/>
          <w:szCs w:val="28"/>
          <w:lang w:val="en-US" w:eastAsia="uk-UA"/>
        </w:rPr>
      </w:pPr>
      <w:r w:rsidRPr="00511005">
        <w:rPr>
          <w:rFonts w:ascii="Arial" w:eastAsia="Times New Roman" w:hAnsi="Arial" w:cs="Arial"/>
          <w:b/>
          <w:kern w:val="2"/>
          <w:szCs w:val="28"/>
          <w:lang w:val="uk-UA" w:eastAsia="uk-UA"/>
        </w:rPr>
        <w:t>Список використаних джерел</w:t>
      </w:r>
    </w:p>
    <w:p w14:paraId="0A7783CC" w14:textId="77777777" w:rsidR="003476F8" w:rsidRPr="00511005" w:rsidRDefault="003476F8" w:rsidP="003F6A5D">
      <w:pPr>
        <w:numPr>
          <w:ilvl w:val="0"/>
          <w:numId w:val="452"/>
        </w:numPr>
        <w:spacing w:line="264" w:lineRule="auto"/>
        <w:ind w:left="0" w:firstLine="709"/>
        <w:contextualSpacing/>
        <w:jc w:val="left"/>
        <w:rPr>
          <w:rFonts w:ascii="Arial" w:eastAsia="Times New Roman" w:hAnsi="Arial" w:cs="Arial"/>
          <w:bCs/>
          <w:kern w:val="2"/>
          <w:szCs w:val="28"/>
          <w:lang w:val="uk-UA" w:eastAsia="uk-UA"/>
        </w:rPr>
      </w:pPr>
      <w:r w:rsidRPr="00511005">
        <w:rPr>
          <w:rFonts w:ascii="Arial" w:eastAsia="Times New Roman" w:hAnsi="Arial" w:cs="Arial"/>
          <w:kern w:val="2"/>
          <w:szCs w:val="28"/>
          <w:lang w:val="uk-UA" w:eastAsia="uk-UA"/>
        </w:rPr>
        <w:lastRenderedPageBreak/>
        <w:t>Кодекс законів про працю України від 10.12.1971 № 322-VIII : станом на 1 січ. 2025 р. URL: https://zakon.rada.gov.ua/laws/show/322-08#Text (дата звернення: 07.05.2025)</w:t>
      </w:r>
    </w:p>
    <w:p w14:paraId="2607E401" w14:textId="77777777" w:rsidR="003476F8" w:rsidRPr="00511005" w:rsidRDefault="003476F8" w:rsidP="003F6A5D">
      <w:pPr>
        <w:numPr>
          <w:ilvl w:val="0"/>
          <w:numId w:val="452"/>
        </w:numPr>
        <w:spacing w:line="264" w:lineRule="auto"/>
        <w:ind w:left="0" w:firstLine="709"/>
        <w:contextualSpacing/>
        <w:jc w:val="left"/>
        <w:rPr>
          <w:rFonts w:ascii="Arial" w:eastAsia="Times New Roman" w:hAnsi="Arial" w:cs="Arial"/>
          <w:bCs/>
          <w:kern w:val="2"/>
          <w:szCs w:val="28"/>
          <w:lang w:val="uk-UA" w:eastAsia="uk-UA"/>
        </w:rPr>
      </w:pPr>
      <w:r w:rsidRPr="00511005">
        <w:rPr>
          <w:rFonts w:ascii="Arial" w:eastAsia="Times New Roman" w:hAnsi="Arial" w:cs="Arial"/>
          <w:bCs/>
          <w:kern w:val="2"/>
          <w:szCs w:val="28"/>
          <w:lang w:val="uk-UA" w:eastAsia="uk-UA"/>
        </w:rPr>
        <w:t>Трудове право України: підручник /за ред. Проф. О. М. Ярошенко. Харків: Вид-во. 2022. 376 с.</w:t>
      </w:r>
    </w:p>
    <w:p w14:paraId="17C2CB5D" w14:textId="77777777" w:rsidR="003476F8" w:rsidRPr="00511005" w:rsidRDefault="003476F8" w:rsidP="003F6A5D">
      <w:pPr>
        <w:numPr>
          <w:ilvl w:val="0"/>
          <w:numId w:val="452"/>
        </w:numPr>
        <w:spacing w:line="264" w:lineRule="auto"/>
        <w:ind w:left="0" w:firstLine="709"/>
        <w:contextualSpacing/>
        <w:jc w:val="left"/>
        <w:rPr>
          <w:rFonts w:ascii="Arial" w:eastAsia="Times New Roman" w:hAnsi="Arial" w:cs="Arial"/>
          <w:bCs/>
          <w:kern w:val="2"/>
          <w:szCs w:val="28"/>
          <w:lang w:val="uk-UA" w:eastAsia="uk-UA"/>
        </w:rPr>
      </w:pPr>
      <w:r w:rsidRPr="00511005">
        <w:rPr>
          <w:rFonts w:ascii="Arial" w:eastAsia="Times New Roman" w:hAnsi="Arial" w:cs="Arial"/>
          <w:bCs/>
          <w:kern w:val="2"/>
          <w:szCs w:val="28"/>
          <w:lang w:val="uk-UA" w:eastAsia="uk-UA"/>
        </w:rPr>
        <w:t>Бутинська Р. Я., Мокрицька Н. П. Трудове право України : навчальний посібник. Львів : «Галицька видавнича спілка», 2022. 312 с.</w:t>
      </w:r>
    </w:p>
    <w:p w14:paraId="27006FD3" w14:textId="77777777" w:rsidR="003476F8" w:rsidRPr="00511005" w:rsidRDefault="003476F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4" w:lineRule="auto"/>
        <w:rPr>
          <w:rFonts w:ascii="Arial" w:eastAsia="Arial Unicode MS" w:hAnsi="Arial" w:cs="Arial"/>
          <w:b/>
          <w:bCs/>
          <w:szCs w:val="28"/>
          <w:u w:color="000000"/>
          <w:bdr w:val="nil"/>
          <w:lang w:val="uk-UA" w:eastAsia="ru-RU"/>
        </w:rPr>
      </w:pPr>
    </w:p>
    <w:p w14:paraId="56CEBE9A" w14:textId="3EDF9889" w:rsidR="003476F8" w:rsidRPr="00511005" w:rsidRDefault="007B2628" w:rsidP="003A292D">
      <w:pPr>
        <w:pBdr>
          <w:top w:val="nil"/>
          <w:left w:val="nil"/>
          <w:bottom w:val="nil"/>
          <w:right w:val="nil"/>
          <w:between w:val="nil"/>
          <w:bar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64" w:lineRule="auto"/>
        <w:rPr>
          <w:rFonts w:ascii="Arial" w:eastAsia="Times New Roman" w:hAnsi="Arial" w:cs="Arial"/>
          <w:szCs w:val="28"/>
          <w:bdr w:val="nil"/>
          <w:lang w:val="uk-UA" w:eastAsia="ru-RU"/>
        </w:rPr>
      </w:pPr>
      <w:r w:rsidRPr="00511005">
        <w:rPr>
          <w:rFonts w:ascii="Arial" w:eastAsia="Arial Unicode MS" w:hAnsi="Arial" w:cs="Arial"/>
          <w:b/>
          <w:bCs/>
          <w:i/>
          <w:szCs w:val="28"/>
          <w:u w:color="000000"/>
          <w:bdr w:val="nil"/>
          <w:lang w:val="uk-UA" w:eastAsia="ru-RU"/>
        </w:rPr>
        <w:t xml:space="preserve">Ключові слова: </w:t>
      </w:r>
      <w:r w:rsidR="003476F8" w:rsidRPr="00511005">
        <w:rPr>
          <w:rFonts w:ascii="Arial" w:eastAsia="Arial Unicode MS" w:hAnsi="Arial" w:cs="Arial"/>
          <w:szCs w:val="28"/>
          <w:bdr w:val="nil"/>
          <w:lang w:val="uk-UA" w:eastAsia="ru-RU"/>
        </w:rPr>
        <w:t>воєнний стан, право на працю, правове регулювання, законодавство, трудовий договір, види договорів, контракт, строковий договір, с</w:t>
      </w:r>
      <w:r w:rsidR="003476F8" w:rsidRPr="00511005">
        <w:rPr>
          <w:rFonts w:ascii="Arial" w:eastAsia="Arial Unicode MS" w:hAnsi="Arial" w:cs="Arial"/>
          <w:bCs/>
          <w:szCs w:val="28"/>
          <w:bdr w:val="nil"/>
          <w:lang w:val="uk-UA" w:eastAsia="ru-RU"/>
        </w:rPr>
        <w:t>езонний трудовий договір, договір про сумісництво</w:t>
      </w:r>
      <w:r w:rsidR="003476F8" w:rsidRPr="00511005">
        <w:rPr>
          <w:rFonts w:ascii="Arial" w:eastAsia="Arial Unicode MS" w:hAnsi="Arial" w:cs="Arial"/>
          <w:szCs w:val="28"/>
          <w:bdr w:val="nil"/>
          <w:lang w:val="uk-UA" w:eastAsia="ru-RU"/>
        </w:rPr>
        <w:t xml:space="preserve"> .</w:t>
      </w:r>
    </w:p>
    <w:p w14:paraId="547308B0" w14:textId="33D75C63" w:rsidR="003476F8" w:rsidRPr="00511005" w:rsidRDefault="007B2628" w:rsidP="003A292D">
      <w:pPr>
        <w:spacing w:line="264" w:lineRule="auto"/>
        <w:rPr>
          <w:rFonts w:ascii="Arial" w:eastAsia="Times New Roman" w:hAnsi="Arial" w:cs="Arial"/>
          <w:bCs/>
          <w:kern w:val="2"/>
          <w:szCs w:val="28"/>
          <w:lang w:val="en-GB" w:eastAsia="uk-UA"/>
        </w:rPr>
      </w:pPr>
      <w:r w:rsidRPr="00511005">
        <w:rPr>
          <w:rFonts w:ascii="Arial" w:eastAsia="Times New Roman" w:hAnsi="Arial" w:cs="Arial"/>
          <w:b/>
          <w:bCs/>
          <w:i/>
          <w:kern w:val="2"/>
          <w:szCs w:val="28"/>
          <w:lang w:val="en-GB" w:eastAsia="uk-UA"/>
        </w:rPr>
        <w:t xml:space="preserve">Key words: </w:t>
      </w:r>
      <w:r w:rsidR="003476F8" w:rsidRPr="00511005">
        <w:rPr>
          <w:rFonts w:ascii="Arial" w:eastAsia="Times New Roman" w:hAnsi="Arial" w:cs="Arial"/>
          <w:bCs/>
          <w:kern w:val="2"/>
          <w:szCs w:val="28"/>
          <w:lang w:val="en-GB" w:eastAsia="uk-UA"/>
        </w:rPr>
        <w:t>martial law, right to work, legal regulation, legislation, employment contract, types of contracts, contract, fixed-term contract, seasonal employment contract, part-time contract.</w:t>
      </w:r>
    </w:p>
    <w:p w14:paraId="5C21339C" w14:textId="0C0334D1" w:rsidR="003476F8" w:rsidRPr="00511005" w:rsidRDefault="007B2628" w:rsidP="003A292D">
      <w:pPr>
        <w:spacing w:line="264" w:lineRule="auto"/>
        <w:contextualSpacing/>
        <w:rPr>
          <w:rFonts w:ascii="Arial" w:eastAsia="Times New Roman" w:hAnsi="Arial" w:cs="Arial"/>
          <w:bCs/>
          <w:i/>
          <w:iCs/>
          <w:kern w:val="2"/>
          <w:szCs w:val="28"/>
          <w:lang w:val="uk-UA" w:eastAsia="uk-UA"/>
        </w:rPr>
      </w:pPr>
      <w:r w:rsidRPr="00511005">
        <w:rPr>
          <w:rFonts w:ascii="Arial" w:eastAsia="Times New Roman" w:hAnsi="Arial" w:cs="Arial"/>
          <w:b/>
          <w:bCs/>
          <w:i/>
          <w:iCs/>
          <w:kern w:val="2"/>
          <w:szCs w:val="28"/>
          <w:lang w:val="uk-UA" w:eastAsia="uk-UA"/>
        </w:rPr>
        <w:t xml:space="preserve">Науковий керівник: </w:t>
      </w:r>
      <w:r w:rsidR="003476F8" w:rsidRPr="00511005">
        <w:rPr>
          <w:rFonts w:ascii="Arial" w:eastAsia="Times New Roman" w:hAnsi="Arial" w:cs="Arial"/>
          <w:bCs/>
          <w:i/>
          <w:iCs/>
          <w:kern w:val="2"/>
          <w:szCs w:val="28"/>
          <w:lang w:val="uk-UA" w:eastAsia="uk-UA"/>
        </w:rPr>
        <w:t>к.ю.н., доцент Пожарова О.В.</w:t>
      </w:r>
    </w:p>
    <w:p w14:paraId="00C5C230" w14:textId="77777777" w:rsidR="003476F8" w:rsidRPr="00511005" w:rsidRDefault="003476F8" w:rsidP="003A292D">
      <w:pPr>
        <w:spacing w:line="264" w:lineRule="auto"/>
        <w:contextualSpacing/>
        <w:rPr>
          <w:rFonts w:ascii="Arial" w:eastAsia="Times New Roman" w:hAnsi="Arial" w:cs="Arial"/>
          <w:bCs/>
          <w:i/>
          <w:iCs/>
          <w:kern w:val="2"/>
          <w:szCs w:val="28"/>
          <w:lang w:val="uk-UA" w:eastAsia="uk-UA"/>
        </w:rPr>
      </w:pPr>
    </w:p>
    <w:p w14:paraId="19E03873"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49E25E2E" w14:textId="77777777" w:rsidR="003476F8" w:rsidRPr="00511005" w:rsidRDefault="003476F8" w:rsidP="003A292D">
      <w:pPr>
        <w:suppressAutoHyphens/>
        <w:spacing w:line="264" w:lineRule="auto"/>
        <w:ind w:right="-2" w:firstLine="0"/>
        <w:jc w:val="center"/>
        <w:rPr>
          <w:rFonts w:ascii="Arial" w:eastAsia="Calibri" w:hAnsi="Arial" w:cs="Arial"/>
          <w:b/>
          <w:bCs/>
          <w:szCs w:val="28"/>
        </w:rPr>
      </w:pPr>
      <w:r w:rsidRPr="00511005">
        <w:rPr>
          <w:rFonts w:ascii="Arial" w:eastAsia="Calibri" w:hAnsi="Arial" w:cs="Arial"/>
          <w:b/>
          <w:bCs/>
          <w:i/>
          <w:iCs/>
          <w:szCs w:val="28"/>
        </w:rPr>
        <w:t>Могильна Вєроніка Борисівна</w:t>
      </w:r>
    </w:p>
    <w:p w14:paraId="0C43F2B7" w14:textId="7B4FC6F3" w:rsidR="003476F8" w:rsidRPr="00511005" w:rsidRDefault="00536AAB" w:rsidP="003A292D">
      <w:pPr>
        <w:suppressAutoHyphens/>
        <w:spacing w:line="264" w:lineRule="auto"/>
        <w:ind w:right="-2" w:firstLine="0"/>
        <w:jc w:val="center"/>
        <w:rPr>
          <w:rFonts w:ascii="Arial" w:eastAsia="Calibri" w:hAnsi="Arial" w:cs="Arial"/>
          <w:szCs w:val="28"/>
          <w:lang w:val="uk-UA"/>
        </w:rPr>
      </w:pPr>
      <w:r w:rsidRPr="00511005">
        <w:rPr>
          <w:rFonts w:ascii="Arial" w:eastAsia="Calibri" w:hAnsi="Arial" w:cs="Arial"/>
          <w:szCs w:val="28"/>
        </w:rPr>
        <w:t xml:space="preserve">студентка 2-го курсу </w:t>
      </w:r>
      <w:r w:rsidR="007B2628" w:rsidRPr="00511005">
        <w:rPr>
          <w:rFonts w:ascii="Arial" w:eastAsia="Calibri" w:hAnsi="Arial" w:cs="Arial"/>
          <w:szCs w:val="28"/>
        </w:rPr>
        <w:t>факультету цивільної та господарської юстиції</w:t>
      </w:r>
    </w:p>
    <w:p w14:paraId="25C30E74" w14:textId="69920CFE" w:rsidR="003476F8" w:rsidRPr="00511005" w:rsidRDefault="007B2628" w:rsidP="003A292D">
      <w:pPr>
        <w:suppressAutoHyphens/>
        <w:spacing w:line="264" w:lineRule="auto"/>
        <w:ind w:right="-2"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470E45EB" w14:textId="77777777" w:rsidR="003476F8" w:rsidRPr="00511005" w:rsidRDefault="003476F8" w:rsidP="003A292D">
      <w:pPr>
        <w:suppressAutoHyphens/>
        <w:spacing w:line="264" w:lineRule="auto"/>
        <w:ind w:right="-2" w:firstLine="0"/>
        <w:jc w:val="center"/>
        <w:rPr>
          <w:rFonts w:ascii="Arial" w:eastAsia="Calibri" w:hAnsi="Arial" w:cs="Arial"/>
          <w:b/>
          <w:bCs/>
          <w:szCs w:val="28"/>
        </w:rPr>
      </w:pPr>
    </w:p>
    <w:p w14:paraId="099D10AE" w14:textId="77777777" w:rsidR="003476F8" w:rsidRPr="00511005" w:rsidRDefault="003476F8" w:rsidP="003A292D">
      <w:pPr>
        <w:suppressAutoHyphens/>
        <w:spacing w:line="264" w:lineRule="auto"/>
        <w:ind w:right="-2" w:firstLine="0"/>
        <w:jc w:val="center"/>
        <w:rPr>
          <w:rFonts w:ascii="Arial" w:eastAsia="Calibri" w:hAnsi="Arial" w:cs="Arial"/>
          <w:b/>
          <w:bCs/>
          <w:szCs w:val="28"/>
        </w:rPr>
      </w:pPr>
      <w:r w:rsidRPr="00511005">
        <w:rPr>
          <w:rFonts w:ascii="Arial" w:eastAsia="Calibri" w:hAnsi="Arial" w:cs="Arial"/>
          <w:b/>
          <w:bCs/>
          <w:szCs w:val="28"/>
        </w:rPr>
        <w:t>ОСОБЛИВОСТІ ПРАВОВОГО РЕГУЛЮВАННЯ ПРАЦІ ПРОФЕСІЙНИХ СПОРТСМЕНІВ</w:t>
      </w:r>
    </w:p>
    <w:p w14:paraId="6995A18D" w14:textId="77777777" w:rsidR="003476F8" w:rsidRPr="00511005" w:rsidRDefault="003476F8" w:rsidP="003A292D">
      <w:pPr>
        <w:suppressAutoHyphens/>
        <w:spacing w:line="264" w:lineRule="auto"/>
        <w:ind w:right="-2"/>
        <w:rPr>
          <w:rFonts w:ascii="Arial" w:eastAsia="Calibri" w:hAnsi="Arial" w:cs="Arial"/>
          <w:b/>
          <w:bCs/>
          <w:szCs w:val="28"/>
          <w:shd w:val="clear" w:color="auto" w:fill="FFFFFF"/>
        </w:rPr>
      </w:pPr>
      <w:r w:rsidRPr="00511005">
        <w:rPr>
          <w:rFonts w:ascii="Arial" w:eastAsia="Calibri" w:hAnsi="Arial" w:cs="Arial"/>
          <w:szCs w:val="28"/>
          <w:shd w:val="clear" w:color="auto" w:fill="FFFFFF"/>
        </w:rPr>
        <w:t>У сучасних умовах розвиток професійного спорту набуває дедалі більшого значення не лише в соціальній, а й в економічній сферах життя. Професійна діяльність спортсменів пов’язана з особливими умовами праці, високими фізичними та психологічними навантаженнями, а також підвищеним ризиком для здоров’я. Це зумовлює необхідність специфічного правового регулювання трудових відносин цієї категорії працівників, яке має враховувати особливості їхньої професійної діяльності.</w:t>
      </w:r>
    </w:p>
    <w:p w14:paraId="2C637CDC"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Правове регулювання праці професійних спортсменів в Україні здійснюється на основі норм Конституції України, Кодексу законів про працю України (КЗпП), Закону України «Про фізичну культуру і спорт»</w:t>
      </w:r>
      <w:r w:rsidRPr="00511005">
        <w:rPr>
          <w:rFonts w:ascii="Arial" w:eastAsia="Calibri" w:hAnsi="Arial" w:cs="Arial"/>
          <w:szCs w:val="28"/>
          <w:shd w:val="clear" w:color="auto" w:fill="FFFFFF"/>
          <w:lang w:val="uk-UA"/>
        </w:rPr>
        <w:t xml:space="preserve"> від </w:t>
      </w:r>
      <w:r w:rsidRPr="00511005">
        <w:rPr>
          <w:rFonts w:ascii="Arial" w:eastAsia="Calibri" w:hAnsi="Arial" w:cs="Arial"/>
          <w:szCs w:val="28"/>
          <w:shd w:val="clear" w:color="auto" w:fill="FFFFFF"/>
        </w:rPr>
        <w:t>24.12.1993</w:t>
      </w:r>
      <w:r w:rsidRPr="00511005">
        <w:rPr>
          <w:rFonts w:ascii="Arial" w:eastAsia="Calibri" w:hAnsi="Arial" w:cs="Arial"/>
          <w:szCs w:val="28"/>
          <w:shd w:val="clear" w:color="auto" w:fill="FFFFFF"/>
          <w:lang w:val="uk-UA"/>
        </w:rPr>
        <w:t xml:space="preserve"> №</w:t>
      </w:r>
      <w:r w:rsidRPr="00511005">
        <w:rPr>
          <w:rFonts w:ascii="Arial" w:eastAsia="Calibri" w:hAnsi="Arial" w:cs="Arial"/>
          <w:szCs w:val="28"/>
          <w:shd w:val="clear" w:color="auto" w:fill="FFFFFF"/>
        </w:rPr>
        <w:t>3808-ХІІ, міжнародних договорів та внутрішніх актів спортивних організацій</w:t>
      </w:r>
      <w:r w:rsidRPr="00511005">
        <w:rPr>
          <w:rFonts w:ascii="Arial" w:eastAsia="Calibri" w:hAnsi="Arial" w:cs="Arial"/>
          <w:szCs w:val="28"/>
          <w:shd w:val="clear" w:color="auto" w:fill="FFFFFF"/>
          <w:lang w:val="uk-UA"/>
        </w:rPr>
        <w:t xml:space="preserve"> [2]</w:t>
      </w:r>
      <w:r w:rsidRPr="00511005">
        <w:rPr>
          <w:rFonts w:ascii="Arial" w:eastAsia="Calibri" w:hAnsi="Arial" w:cs="Arial"/>
          <w:szCs w:val="28"/>
          <w:shd w:val="clear" w:color="auto" w:fill="FFFFFF"/>
        </w:rPr>
        <w:t>.</w:t>
      </w:r>
    </w:p>
    <w:p w14:paraId="7FB9C734"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Відповідно до статті 38 Закону України «Про фізичну культуру і спорт», професійний спортсмен має право укладати трудовий договір (контракт) з клубом чи організацією, що займається спортивною діяльністю. При цьому переважаючою формою є саме строковий трудовий договір, що обумовлено характером спортивної діяльності та обмеженим періодом активної кар’єри спортсмена [1].</w:t>
      </w:r>
    </w:p>
    <w:p w14:paraId="151C1A71"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lastRenderedPageBreak/>
        <w:t>Трудовий договір з професійним спортсменом має певні специфічні риси:</w:t>
      </w:r>
    </w:p>
    <w:p w14:paraId="722F20F6" w14:textId="77777777" w:rsidR="003476F8" w:rsidRPr="00511005" w:rsidRDefault="003476F8" w:rsidP="003F6A5D">
      <w:pPr>
        <w:numPr>
          <w:ilvl w:val="0"/>
          <w:numId w:val="454"/>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Строковий характер: більшість договорів укладаються на певний строк, часто з урахуванням термінів спортивного сезону або конкретних змагань.</w:t>
      </w:r>
    </w:p>
    <w:p w14:paraId="15107B40" w14:textId="77777777" w:rsidR="003476F8" w:rsidRPr="00511005" w:rsidRDefault="003476F8" w:rsidP="003F6A5D">
      <w:pPr>
        <w:numPr>
          <w:ilvl w:val="0"/>
          <w:numId w:val="454"/>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 xml:space="preserve">Встановлення особливих умов праці: включення </w:t>
      </w:r>
      <w:proofErr w:type="gramStart"/>
      <w:r w:rsidRPr="00511005">
        <w:rPr>
          <w:rFonts w:ascii="Arial" w:eastAsia="Calibri" w:hAnsi="Arial" w:cs="Arial"/>
          <w:szCs w:val="28"/>
          <w:shd w:val="clear" w:color="auto" w:fill="FFFFFF"/>
        </w:rPr>
        <w:t>до договору</w:t>
      </w:r>
      <w:proofErr w:type="gramEnd"/>
      <w:r w:rsidRPr="00511005">
        <w:rPr>
          <w:rFonts w:ascii="Arial" w:eastAsia="Calibri" w:hAnsi="Arial" w:cs="Arial"/>
          <w:szCs w:val="28"/>
          <w:shd w:val="clear" w:color="auto" w:fill="FFFFFF"/>
        </w:rPr>
        <w:t xml:space="preserve"> умов щодо тренувального режиму, участі у змаганнях, обов'язків щодо підтримання фізичної форми, правил поведінки тощо.</w:t>
      </w:r>
    </w:p>
    <w:p w14:paraId="3454FFB9" w14:textId="77777777" w:rsidR="003476F8" w:rsidRPr="00511005" w:rsidRDefault="003476F8" w:rsidP="003F6A5D">
      <w:pPr>
        <w:numPr>
          <w:ilvl w:val="0"/>
          <w:numId w:val="454"/>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Підвищені вимоги до медичних оглядів: регулярне проходження медичних обстежень є обов'язковим елементом трудових відносин спортсмена.</w:t>
      </w:r>
    </w:p>
    <w:p w14:paraId="3BE31BE6" w14:textId="77777777" w:rsidR="003476F8" w:rsidRPr="00511005" w:rsidRDefault="003476F8" w:rsidP="003F6A5D">
      <w:pPr>
        <w:numPr>
          <w:ilvl w:val="0"/>
          <w:numId w:val="454"/>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Особливий режим робочого часу та відпочинку: робочий час спортсмена організовується відповідно до графіків тренувань, зборів і змагань, що може виходити за рамки стандартного трудового режиму.</w:t>
      </w:r>
    </w:p>
    <w:p w14:paraId="12B2092B"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Крім того, трудові договори можуть містити умови про можливість відшкодування витрат на підготовку спортсмена у разі його дострокового розірвання контракту з ініціативи спортсмена.</w:t>
      </w:r>
    </w:p>
    <w:p w14:paraId="53167C74"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Розірвання трудового договору з професійним спортсменом має також свої особливості [3]:</w:t>
      </w:r>
    </w:p>
    <w:p w14:paraId="20B15312" w14:textId="77777777" w:rsidR="003476F8" w:rsidRPr="00511005" w:rsidRDefault="003476F8" w:rsidP="003F6A5D">
      <w:pPr>
        <w:numPr>
          <w:ilvl w:val="0"/>
          <w:numId w:val="455"/>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Закінчення строку дії контракту.</w:t>
      </w:r>
    </w:p>
    <w:p w14:paraId="4DCCA6B7" w14:textId="77777777" w:rsidR="003476F8" w:rsidRPr="00511005" w:rsidRDefault="003476F8" w:rsidP="003F6A5D">
      <w:pPr>
        <w:numPr>
          <w:ilvl w:val="0"/>
          <w:numId w:val="455"/>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Згода сторін.</w:t>
      </w:r>
    </w:p>
    <w:p w14:paraId="3F2497C4" w14:textId="77777777" w:rsidR="003476F8" w:rsidRPr="00511005" w:rsidRDefault="003476F8" w:rsidP="003F6A5D">
      <w:pPr>
        <w:numPr>
          <w:ilvl w:val="0"/>
          <w:numId w:val="455"/>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Порушення умов контракту (наприклад, невиконання спортивних обов'язків або порушення спортивної етики).</w:t>
      </w:r>
      <w:r w:rsidRPr="00511005">
        <w:rPr>
          <w:rFonts w:ascii="Arial" w:eastAsia="Calibri" w:hAnsi="Arial" w:cs="Arial"/>
          <w:szCs w:val="28"/>
          <w:shd w:val="clear" w:color="auto" w:fill="FFFFFF"/>
          <w:lang w:val="uk-UA"/>
        </w:rPr>
        <w:t xml:space="preserve"> </w:t>
      </w:r>
    </w:p>
    <w:p w14:paraId="79DF1982" w14:textId="77777777" w:rsidR="003476F8" w:rsidRPr="00511005" w:rsidRDefault="003476F8" w:rsidP="003F6A5D">
      <w:pPr>
        <w:numPr>
          <w:ilvl w:val="0"/>
          <w:numId w:val="455"/>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Втрата спортивної форми чи отримання травми, що унеможливлює подальше виконання трудових функцій.</w:t>
      </w:r>
    </w:p>
    <w:p w14:paraId="7EE29239"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У випадку розірвання договору за ініціативою роботодавця без поважних причин спортсмен має право на компенсацію згідно з умовами контракту та чинним законодавством.</w:t>
      </w:r>
    </w:p>
    <w:p w14:paraId="55109A9A"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Специфіка професійної діяльності спортсменів обумовлює необхідність надання їм додаткових соціальних гарантій:</w:t>
      </w:r>
    </w:p>
    <w:p w14:paraId="7907F68F" w14:textId="77777777" w:rsidR="003476F8" w:rsidRPr="00511005" w:rsidRDefault="003476F8" w:rsidP="003F6A5D">
      <w:pPr>
        <w:numPr>
          <w:ilvl w:val="0"/>
          <w:numId w:val="456"/>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медичне страхування на випадок травм;</w:t>
      </w:r>
    </w:p>
    <w:p w14:paraId="418ACC60" w14:textId="77777777" w:rsidR="003476F8" w:rsidRPr="00511005" w:rsidRDefault="003476F8" w:rsidP="003F6A5D">
      <w:pPr>
        <w:numPr>
          <w:ilvl w:val="0"/>
          <w:numId w:val="456"/>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забезпечення реабілітації після травм;</w:t>
      </w:r>
    </w:p>
    <w:p w14:paraId="04CF659B" w14:textId="77777777" w:rsidR="003476F8" w:rsidRPr="00511005" w:rsidRDefault="003476F8" w:rsidP="003F6A5D">
      <w:pPr>
        <w:numPr>
          <w:ilvl w:val="0"/>
          <w:numId w:val="456"/>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можливість дострокового виходу на пенсію у зв’язку із втратами працездатності;</w:t>
      </w:r>
    </w:p>
    <w:p w14:paraId="23799FE9" w14:textId="77777777" w:rsidR="003476F8" w:rsidRPr="00511005" w:rsidRDefault="003476F8" w:rsidP="003F6A5D">
      <w:pPr>
        <w:numPr>
          <w:ilvl w:val="0"/>
          <w:numId w:val="456"/>
        </w:numPr>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szCs w:val="28"/>
          <w:shd w:val="clear" w:color="auto" w:fill="FFFFFF"/>
        </w:rPr>
        <w:t>спеціальні програми перепідготовки та працевлаштування після завершення спортивної кар’єри.</w:t>
      </w:r>
    </w:p>
    <w:p w14:paraId="0BF874C1"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 xml:space="preserve">Відповідно до частини 2 статті 38 Закону, діяльність спортсменів, тренерів та інших фахівців у професійному спорті, що полягає у підготовці та участі у спортивних змаганнях серед професіоналів і є їхнім основним джерелом доходу, здійснюється згідно з цим Законом, Кодексом законів про працю України (КЗпП України), іншими нормативно-правовими актами, а також статутними та регламентними документами відповідних суб’єктів </w:t>
      </w:r>
      <w:r w:rsidRPr="00511005">
        <w:rPr>
          <w:rFonts w:ascii="Arial" w:eastAsia="Calibri" w:hAnsi="Arial" w:cs="Arial"/>
          <w:szCs w:val="28"/>
          <w:shd w:val="clear" w:color="auto" w:fill="FFFFFF"/>
        </w:rPr>
        <w:lastRenderedPageBreak/>
        <w:t>сфери фізичної культури і спорту та міжнародних спортивних організацій [1]. Таким чином, Закон визначає загальні правові, організаційні, соціальні та економічні засади у сфері фізичної культури і спорту.</w:t>
      </w:r>
    </w:p>
    <w:p w14:paraId="55A3D20D"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Згідно з частиною 3 статті 21 КЗпП України, контракт є особливою формою трудового договору, у якій за згодою сторін можуть визначатися строк дії, права, обов’язки та відповідальність сторін (у тому числі матеріальна), умови оплати та організації праці працівника, а також порядок розірвання договору, у тому числі дострокового. Сфери застосування контракту визначаються законами України.</w:t>
      </w:r>
    </w:p>
    <w:p w14:paraId="08BE1092"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Отже, спортсмен набуває статусу професійного спортсмена з моменту укладення контракту із відповідним суб’єктом сфери фізичної культури та спорту щодо участі у змаганнях серед спортсменів-професіоналів.</w:t>
      </w:r>
    </w:p>
    <w:p w14:paraId="7E8E6E54"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При цьому Закон не містить визначення трудового контракту спортсмена або його особливостей. Він лише згадує про трудовий договір (контракт) як документ, який укладається центральним органом виконавчої влади, що реалізує державну політику у сфері фізичної культури та спорту (наразі це Міністерство молоді та спорту України), зі спортсменами та фахівцями штатної команди національних збірних команд України з олімпійських та неолімпійських видів спорту. Інших норм, які б детально регулювали трудовий контракт спортсмена, Закон не передбачає. Також питання особливостей працевлаштування спортсменів не конкретизується й у КЗпП України. Це свідчить про те, що законодавець не виділив трудовий контракт спортсмена в окрему правову категорію [4].</w:t>
      </w:r>
    </w:p>
    <w:p w14:paraId="392B7CAF" w14:textId="77777777" w:rsidR="003476F8" w:rsidRPr="00511005" w:rsidRDefault="003476F8" w:rsidP="003A292D">
      <w:pPr>
        <w:suppressAutoHyphens/>
        <w:spacing w:line="264" w:lineRule="auto"/>
        <w:ind w:right="-2"/>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Правове регулювання праці професійних спортсменів має свої специфічні особливості, пов'язані з умовами виконання трудових обов'язків, статусом спортсменів та специфікою спортивної діяльності. Одним з важливих аспектів такого регулювання є підстави для розірвання контракту між спортсменом та спортивною організацією.</w:t>
      </w:r>
    </w:p>
    <w:p w14:paraId="545B1C44" w14:textId="77777777" w:rsidR="003476F8" w:rsidRPr="00511005" w:rsidRDefault="003476F8" w:rsidP="003A292D">
      <w:pPr>
        <w:suppressAutoHyphens/>
        <w:spacing w:line="264" w:lineRule="auto"/>
        <w:ind w:right="-2" w:firstLine="567"/>
        <w:rPr>
          <w:rFonts w:ascii="Arial" w:eastAsia="Calibri" w:hAnsi="Arial" w:cs="Arial"/>
          <w:szCs w:val="28"/>
          <w:shd w:val="clear" w:color="auto" w:fill="FFFFFF"/>
        </w:rPr>
      </w:pPr>
      <w:r w:rsidRPr="00511005">
        <w:rPr>
          <w:rFonts w:ascii="Arial" w:eastAsia="Calibri" w:hAnsi="Arial" w:cs="Arial"/>
          <w:bCs/>
          <w:szCs w:val="28"/>
          <w:shd w:val="clear" w:color="auto" w:fill="FFFFFF"/>
        </w:rPr>
        <w:t>Підстави для розірвання контракту</w:t>
      </w:r>
      <w:r w:rsidRPr="00511005">
        <w:rPr>
          <w:rFonts w:ascii="Arial" w:eastAsia="Calibri" w:hAnsi="Arial" w:cs="Arial"/>
          <w:szCs w:val="28"/>
          <w:shd w:val="clear" w:color="auto" w:fill="FFFFFF"/>
        </w:rPr>
        <w:t xml:space="preserve"> включають:</w:t>
      </w:r>
    </w:p>
    <w:p w14:paraId="46583C9C" w14:textId="77777777" w:rsidR="003476F8" w:rsidRPr="00511005" w:rsidRDefault="003476F8" w:rsidP="003F6A5D">
      <w:pPr>
        <w:numPr>
          <w:ilvl w:val="0"/>
          <w:numId w:val="457"/>
        </w:numPr>
        <w:suppressAutoHyphens/>
        <w:spacing w:line="264" w:lineRule="auto"/>
        <w:ind w:left="0" w:right="-2" w:firstLine="567"/>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t>Завершення терміну дії контракту</w:t>
      </w:r>
      <w:r w:rsidRPr="00511005">
        <w:rPr>
          <w:rFonts w:ascii="Arial" w:eastAsia="Calibri" w:hAnsi="Arial" w:cs="Arial"/>
          <w:szCs w:val="28"/>
          <w:shd w:val="clear" w:color="auto" w:fill="FFFFFF"/>
        </w:rPr>
        <w:t xml:space="preserve"> — найбільш очевидна підстава, коли контракт укладається на певний період, і по його закінченні він припиняється.</w:t>
      </w:r>
    </w:p>
    <w:p w14:paraId="421A19B1" w14:textId="77777777" w:rsidR="003476F8" w:rsidRPr="00511005" w:rsidRDefault="003476F8" w:rsidP="003F6A5D">
      <w:pPr>
        <w:numPr>
          <w:ilvl w:val="0"/>
          <w:numId w:val="457"/>
        </w:numPr>
        <w:suppressAutoHyphens/>
        <w:spacing w:line="264" w:lineRule="auto"/>
        <w:ind w:left="0" w:right="-2" w:firstLine="567"/>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t>Невиконання або неналежне виконання умов контракту</w:t>
      </w:r>
      <w:r w:rsidRPr="00511005">
        <w:rPr>
          <w:rFonts w:ascii="Arial" w:eastAsia="Calibri" w:hAnsi="Arial" w:cs="Arial"/>
          <w:szCs w:val="28"/>
          <w:shd w:val="clear" w:color="auto" w:fill="FFFFFF"/>
        </w:rPr>
        <w:t xml:space="preserve"> — якщо одна зі сторін не виконує свої зобов'язання, це може стати підставою для розірвання контракту. Наприклад, якщо спортсмен порушує умови щодо тренувань або зобов'язань перед клубом.</w:t>
      </w:r>
    </w:p>
    <w:p w14:paraId="7E588027" w14:textId="77777777" w:rsidR="003476F8" w:rsidRPr="00511005" w:rsidRDefault="003476F8" w:rsidP="003F6A5D">
      <w:pPr>
        <w:numPr>
          <w:ilvl w:val="0"/>
          <w:numId w:val="457"/>
        </w:numPr>
        <w:suppressAutoHyphens/>
        <w:spacing w:line="264" w:lineRule="auto"/>
        <w:ind w:left="0" w:right="-2" w:firstLine="567"/>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t>Медичні показання</w:t>
      </w:r>
      <w:r w:rsidRPr="00511005">
        <w:rPr>
          <w:rFonts w:ascii="Arial" w:eastAsia="Calibri" w:hAnsi="Arial" w:cs="Arial"/>
          <w:szCs w:val="28"/>
          <w:shd w:val="clear" w:color="auto" w:fill="FFFFFF"/>
        </w:rPr>
        <w:t xml:space="preserve"> — у разі, коли спортсмен отримує травму, яка робить його здатним до виконання своїх обов'язків, контракт може бути розірваний.</w:t>
      </w:r>
    </w:p>
    <w:p w14:paraId="243944BE" w14:textId="77777777" w:rsidR="003476F8" w:rsidRPr="00511005" w:rsidRDefault="003476F8" w:rsidP="003F6A5D">
      <w:pPr>
        <w:numPr>
          <w:ilvl w:val="0"/>
          <w:numId w:val="457"/>
        </w:numPr>
        <w:suppressAutoHyphens/>
        <w:spacing w:line="264" w:lineRule="auto"/>
        <w:ind w:left="0" w:right="-2" w:firstLine="567"/>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t>Невідповідність рівню виконання спортивних завдань</w:t>
      </w:r>
      <w:r w:rsidRPr="00511005">
        <w:rPr>
          <w:rFonts w:ascii="Arial" w:eastAsia="Calibri" w:hAnsi="Arial" w:cs="Arial"/>
          <w:szCs w:val="28"/>
          <w:shd w:val="clear" w:color="auto" w:fill="FFFFFF"/>
        </w:rPr>
        <w:t xml:space="preserve"> — якщо спортсмен не досягає необхідних результатів, клуб може розірвати контракт.</w:t>
      </w:r>
    </w:p>
    <w:p w14:paraId="440EE824" w14:textId="77777777" w:rsidR="003476F8" w:rsidRPr="00511005" w:rsidRDefault="003476F8" w:rsidP="003F6A5D">
      <w:pPr>
        <w:numPr>
          <w:ilvl w:val="0"/>
          <w:numId w:val="457"/>
        </w:numPr>
        <w:suppressAutoHyphens/>
        <w:spacing w:line="264" w:lineRule="auto"/>
        <w:ind w:left="0" w:right="-2" w:firstLine="567"/>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lastRenderedPageBreak/>
        <w:t>Порушення етики та дисципліни</w:t>
      </w:r>
      <w:r w:rsidRPr="00511005">
        <w:rPr>
          <w:rFonts w:ascii="Arial" w:eastAsia="Calibri" w:hAnsi="Arial" w:cs="Arial"/>
          <w:szCs w:val="28"/>
          <w:shd w:val="clear" w:color="auto" w:fill="FFFFFF"/>
        </w:rPr>
        <w:t xml:space="preserve"> — це важлива підстава, оскільки професійні спортсмени мають не тільки високі фізичні вимоги, а й повинні дотримуватися певних стандартів поведінки як поза спортивними змаганнями, так і на них.</w:t>
      </w:r>
    </w:p>
    <w:p w14:paraId="0AEC92FC"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Таким чином, аналіз зазначених норм дозволяє зробити висновок, що для врегулювання трудових відносин між спортсменами та суб’єктами сфери фізичної культури застосовується саме трудовий контракт. На відміну від звичайного трудового договору, контракт передбачає можливість самостійного узгодження сторонами строку його дії, прав, обов'язків і відповідальності (у тому числі матеріальної), умов матеріального забезпечення та організації праці, додаткових соціальних пільг і гарантій, штрафних санкцій за порушення умов контракту, а також умов розірвання контракту, зокрема дострокового.</w:t>
      </w:r>
    </w:p>
    <w:p w14:paraId="30CF8239"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Окремо варто зазначити, що охорона праці спортсменів передбачає обов’язкове дотримання норм техніки безпеки під час тренувань і змагань, проведення інструктажів і контроль за умовами тренувального процесу.</w:t>
      </w:r>
    </w:p>
    <w:p w14:paraId="23C392C9"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Отже, праця професійн</w:t>
      </w:r>
      <w:r w:rsidRPr="00511005">
        <w:rPr>
          <w:rFonts w:ascii="Arial" w:eastAsia="Calibri" w:hAnsi="Arial" w:cs="Arial"/>
          <w:szCs w:val="28"/>
          <w:shd w:val="clear" w:color="auto" w:fill="FFFFFF"/>
          <w:lang w:val="uk-UA"/>
        </w:rPr>
        <w:t>их</w:t>
      </w:r>
      <w:r w:rsidRPr="00511005">
        <w:rPr>
          <w:rFonts w:ascii="Arial" w:eastAsia="Calibri" w:hAnsi="Arial" w:cs="Arial"/>
          <w:szCs w:val="28"/>
          <w:shd w:val="clear" w:color="auto" w:fill="FFFFFF"/>
        </w:rPr>
        <w:t xml:space="preserve"> спортсмен</w:t>
      </w:r>
      <w:r w:rsidRPr="00511005">
        <w:rPr>
          <w:rFonts w:ascii="Arial" w:eastAsia="Calibri" w:hAnsi="Arial" w:cs="Arial"/>
          <w:szCs w:val="28"/>
          <w:shd w:val="clear" w:color="auto" w:fill="FFFFFF"/>
          <w:lang w:val="uk-UA"/>
        </w:rPr>
        <w:t>ів</w:t>
      </w:r>
      <w:r w:rsidRPr="00511005">
        <w:rPr>
          <w:rFonts w:ascii="Arial" w:eastAsia="Calibri" w:hAnsi="Arial" w:cs="Arial"/>
          <w:szCs w:val="28"/>
          <w:shd w:val="clear" w:color="auto" w:fill="FFFFFF"/>
        </w:rPr>
        <w:t xml:space="preserve"> як особлив</w:t>
      </w:r>
      <w:r w:rsidRPr="00511005">
        <w:rPr>
          <w:rFonts w:ascii="Arial" w:eastAsia="Calibri" w:hAnsi="Arial" w:cs="Arial"/>
          <w:szCs w:val="28"/>
          <w:shd w:val="clear" w:color="auto" w:fill="FFFFFF"/>
          <w:lang w:val="uk-UA"/>
        </w:rPr>
        <w:t>ої</w:t>
      </w:r>
      <w:r w:rsidRPr="00511005">
        <w:rPr>
          <w:rFonts w:ascii="Arial" w:eastAsia="Calibri" w:hAnsi="Arial" w:cs="Arial"/>
          <w:szCs w:val="28"/>
          <w:shd w:val="clear" w:color="auto" w:fill="FFFFFF"/>
        </w:rPr>
        <w:t xml:space="preserve"> категорі</w:t>
      </w:r>
      <w:r w:rsidRPr="00511005">
        <w:rPr>
          <w:rFonts w:ascii="Arial" w:eastAsia="Calibri" w:hAnsi="Arial" w:cs="Arial"/>
          <w:szCs w:val="28"/>
          <w:shd w:val="clear" w:color="auto" w:fill="FFFFFF"/>
          <w:lang w:val="uk-UA"/>
        </w:rPr>
        <w:t>ї</w:t>
      </w:r>
      <w:r w:rsidRPr="00511005">
        <w:rPr>
          <w:rFonts w:ascii="Arial" w:eastAsia="Calibri" w:hAnsi="Arial" w:cs="Arial"/>
          <w:szCs w:val="28"/>
          <w:shd w:val="clear" w:color="auto" w:fill="FFFFFF"/>
        </w:rPr>
        <w:t xml:space="preserve"> працівників потребу</w:t>
      </w:r>
      <w:r w:rsidRPr="00511005">
        <w:rPr>
          <w:rFonts w:ascii="Arial" w:eastAsia="Calibri" w:hAnsi="Arial" w:cs="Arial"/>
          <w:szCs w:val="28"/>
          <w:shd w:val="clear" w:color="auto" w:fill="FFFFFF"/>
          <w:lang w:val="uk-UA"/>
        </w:rPr>
        <w:t>є</w:t>
      </w:r>
      <w:r w:rsidRPr="00511005">
        <w:rPr>
          <w:rFonts w:ascii="Arial" w:eastAsia="Calibri" w:hAnsi="Arial" w:cs="Arial"/>
          <w:szCs w:val="28"/>
          <w:shd w:val="clear" w:color="auto" w:fill="FFFFFF"/>
        </w:rPr>
        <w:t xml:space="preserve"> спеціального правового регулювання, яке враховує </w:t>
      </w:r>
      <w:r w:rsidRPr="00511005">
        <w:rPr>
          <w:rFonts w:ascii="Arial" w:eastAsia="Calibri" w:hAnsi="Arial" w:cs="Arial"/>
          <w:szCs w:val="28"/>
          <w:shd w:val="clear" w:color="auto" w:fill="FFFFFF"/>
          <w:lang w:val="uk-UA"/>
        </w:rPr>
        <w:t xml:space="preserve">усю її </w:t>
      </w:r>
      <w:r w:rsidRPr="00511005">
        <w:rPr>
          <w:rFonts w:ascii="Arial" w:eastAsia="Calibri" w:hAnsi="Arial" w:cs="Arial"/>
          <w:szCs w:val="28"/>
          <w:shd w:val="clear" w:color="auto" w:fill="FFFFFF"/>
        </w:rPr>
        <w:t>специфіку. Національне законодавство частково адаптується до міжнародних стандартів, проте все ще потребує вдосконалення, зокрема в частині соціального захисту спортсменів, гарантій їхніх трудових прав та механізмів захисту у разі травм чи дострокового завершення кар’єри.</w:t>
      </w:r>
    </w:p>
    <w:p w14:paraId="20E2E6D6"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Для вдосконалення цього правового регулювання можна запропонувати кілька конкретних кроків:</w:t>
      </w:r>
    </w:p>
    <w:p w14:paraId="3BBE73F6" w14:textId="77777777" w:rsidR="003476F8" w:rsidRPr="00511005" w:rsidRDefault="003476F8" w:rsidP="003F6A5D">
      <w:pPr>
        <w:numPr>
          <w:ilvl w:val="0"/>
          <w:numId w:val="458"/>
        </w:numPr>
        <w:tabs>
          <w:tab w:val="left" w:pos="993"/>
        </w:tabs>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t>Створення спеціалізованих механізмів страхування для спортсменів</w:t>
      </w:r>
      <w:r w:rsidRPr="00511005">
        <w:rPr>
          <w:rFonts w:ascii="Arial" w:eastAsia="Calibri" w:hAnsi="Arial" w:cs="Arial"/>
          <w:szCs w:val="28"/>
          <w:shd w:val="clear" w:color="auto" w:fill="FFFFFF"/>
        </w:rPr>
        <w:t>: Введення обов'язкових страхових програм для професійних спортсменів, що покриватимуть травми, інвалідність або передчасне завершення кар'єри через здоров'я. Такі програми повинні бути частиною контракту з клубом чи організацією, щоб забезпечити фінансову підтримку спортсменам у випадку непередбачених ситуацій.</w:t>
      </w:r>
    </w:p>
    <w:p w14:paraId="14738481" w14:textId="77777777" w:rsidR="003476F8" w:rsidRPr="00511005" w:rsidRDefault="003476F8" w:rsidP="003F6A5D">
      <w:pPr>
        <w:numPr>
          <w:ilvl w:val="0"/>
          <w:numId w:val="458"/>
        </w:numPr>
        <w:tabs>
          <w:tab w:val="left" w:pos="993"/>
        </w:tabs>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t>Удосконалення законодавства в частині соціального захисту спортсменів</w:t>
      </w:r>
      <w:r w:rsidRPr="00511005">
        <w:rPr>
          <w:rFonts w:ascii="Arial" w:eastAsia="Calibri" w:hAnsi="Arial" w:cs="Arial"/>
          <w:szCs w:val="28"/>
          <w:shd w:val="clear" w:color="auto" w:fill="FFFFFF"/>
        </w:rPr>
        <w:t>: Введення спеціальних державних програм для надання соціальних гарантій (пенсії, медичне забезпечення, допомога при втраті працездатності) для спортсменів, що завершили свою кар'єру. Це дозволить забезпечити їхній фінансовий захист у період після завершення активної спортивної діяльності.</w:t>
      </w:r>
    </w:p>
    <w:p w14:paraId="2EAEFE10" w14:textId="77777777" w:rsidR="003476F8" w:rsidRPr="00511005" w:rsidRDefault="003476F8" w:rsidP="003F6A5D">
      <w:pPr>
        <w:numPr>
          <w:ilvl w:val="0"/>
          <w:numId w:val="458"/>
        </w:numPr>
        <w:tabs>
          <w:tab w:val="left" w:pos="993"/>
        </w:tabs>
        <w:suppressAutoHyphens/>
        <w:spacing w:line="264" w:lineRule="auto"/>
        <w:ind w:left="0" w:right="-2" w:firstLine="709"/>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t>Гарантії трудових прав спортсменів</w:t>
      </w:r>
      <w:r w:rsidRPr="00511005">
        <w:rPr>
          <w:rFonts w:ascii="Arial" w:eastAsia="Calibri" w:hAnsi="Arial" w:cs="Arial"/>
          <w:szCs w:val="28"/>
          <w:shd w:val="clear" w:color="auto" w:fill="FFFFFF"/>
        </w:rPr>
        <w:t>: Встановлення чітких правових норм щодо захисту трудових прав професійних спортсменів, зокрема у випадку їх незаконного звільнення, порушення умов контракту або виявлення дискримінації на основі віку, статі, раси чи інших ознак.</w:t>
      </w:r>
    </w:p>
    <w:p w14:paraId="0A55844E"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r w:rsidRPr="00511005">
        <w:rPr>
          <w:rFonts w:ascii="Arial" w:eastAsia="Calibri" w:hAnsi="Arial" w:cs="Arial"/>
          <w:szCs w:val="28"/>
          <w:shd w:val="clear" w:color="auto" w:fill="FFFFFF"/>
        </w:rPr>
        <w:t xml:space="preserve">Подальший розвиток правового регулювання праці професійних спортсменів має відбуватися у тісному взаємозв'язку з розвитком спортивної </w:t>
      </w:r>
      <w:r w:rsidRPr="00511005">
        <w:rPr>
          <w:rFonts w:ascii="Arial" w:eastAsia="Calibri" w:hAnsi="Arial" w:cs="Arial"/>
          <w:szCs w:val="28"/>
          <w:shd w:val="clear" w:color="auto" w:fill="FFFFFF"/>
        </w:rPr>
        <w:lastRenderedPageBreak/>
        <w:t>інфраструктури, удосконаленням системи охорони праці та впровадженням сучасних стандартів спортивної медицини.</w:t>
      </w:r>
    </w:p>
    <w:p w14:paraId="0DC16BAC" w14:textId="77777777" w:rsidR="003476F8" w:rsidRPr="00511005" w:rsidRDefault="003476F8" w:rsidP="003A292D">
      <w:pPr>
        <w:suppressAutoHyphens/>
        <w:spacing w:line="264" w:lineRule="auto"/>
        <w:ind w:right="-2"/>
        <w:rPr>
          <w:rFonts w:ascii="Arial" w:eastAsia="Calibri" w:hAnsi="Arial" w:cs="Arial"/>
          <w:szCs w:val="28"/>
          <w:shd w:val="clear" w:color="auto" w:fill="FFFFFF"/>
        </w:rPr>
      </w:pPr>
    </w:p>
    <w:p w14:paraId="504C55F6" w14:textId="73FB7F24" w:rsidR="003476F8" w:rsidRPr="00511005" w:rsidRDefault="007B2628" w:rsidP="007B2628">
      <w:pPr>
        <w:suppressAutoHyphens/>
        <w:spacing w:line="264" w:lineRule="auto"/>
        <w:ind w:right="-2"/>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1B8AAC37" w14:textId="77777777" w:rsidR="003476F8" w:rsidRPr="00511005" w:rsidRDefault="003476F8" w:rsidP="003F6A5D">
      <w:pPr>
        <w:numPr>
          <w:ilvl w:val="0"/>
          <w:numId w:val="453"/>
        </w:numPr>
        <w:suppressAutoHyphens/>
        <w:spacing w:line="264" w:lineRule="auto"/>
        <w:ind w:left="0" w:right="-2" w:firstLine="709"/>
        <w:contextualSpacing/>
        <w:jc w:val="left"/>
        <w:rPr>
          <w:rFonts w:ascii="Arial" w:eastAsia="Calibri" w:hAnsi="Arial" w:cs="Arial"/>
          <w:szCs w:val="28"/>
          <w:lang w:val="uk-UA"/>
        </w:rPr>
      </w:pPr>
      <w:bookmarkStart w:id="198" w:name="_Hlk167911607"/>
      <w:r w:rsidRPr="00511005">
        <w:rPr>
          <w:rFonts w:ascii="Arial" w:eastAsia="Calibri" w:hAnsi="Arial" w:cs="Arial"/>
          <w:szCs w:val="28"/>
          <w:lang w:val="uk-UA"/>
        </w:rPr>
        <w:t xml:space="preserve">Про фізичну культуру і спорт: Закон України від 24.12.1993 № 3808-ХІІ. URL: https://zakon.rada.gov.ua/ laws/show/3808-12 </w:t>
      </w:r>
      <w:bookmarkEnd w:id="198"/>
    </w:p>
    <w:p w14:paraId="31FD7866" w14:textId="77777777" w:rsidR="003476F8" w:rsidRPr="00511005" w:rsidRDefault="003476F8" w:rsidP="003F6A5D">
      <w:pPr>
        <w:numPr>
          <w:ilvl w:val="0"/>
          <w:numId w:val="453"/>
        </w:numPr>
        <w:suppressAutoHyphens/>
        <w:spacing w:line="264" w:lineRule="auto"/>
        <w:ind w:left="0" w:right="-2" w:firstLine="360"/>
        <w:contextualSpacing/>
        <w:jc w:val="left"/>
        <w:rPr>
          <w:rFonts w:ascii="Arial" w:eastAsia="Calibri" w:hAnsi="Arial" w:cs="Arial"/>
          <w:szCs w:val="28"/>
          <w:lang w:val="uk-UA"/>
        </w:rPr>
      </w:pPr>
      <w:r w:rsidRPr="00511005">
        <w:rPr>
          <w:rFonts w:ascii="Arial" w:eastAsia="Calibri" w:hAnsi="Arial" w:cs="Arial"/>
          <w:szCs w:val="28"/>
          <w:lang w:val="uk-UA"/>
        </w:rPr>
        <w:t xml:space="preserve">Кампі О.Ю. Трудові відносини у професійному спорті. </w:t>
      </w:r>
      <w:r w:rsidRPr="00511005">
        <w:rPr>
          <w:rFonts w:ascii="Arial" w:eastAsia="Calibri" w:hAnsi="Arial" w:cs="Arial"/>
          <w:i/>
          <w:iCs/>
          <w:szCs w:val="28"/>
          <w:lang w:val="uk-UA"/>
        </w:rPr>
        <w:t>Науковий вісник Ужгородського</w:t>
      </w:r>
      <w:r w:rsidRPr="00511005">
        <w:rPr>
          <w:rFonts w:ascii="Arial" w:eastAsia="Calibri" w:hAnsi="Arial" w:cs="Arial"/>
          <w:i/>
          <w:iCs/>
          <w:szCs w:val="28"/>
        </w:rPr>
        <w:t xml:space="preserve"> </w:t>
      </w:r>
      <w:r w:rsidRPr="00511005">
        <w:rPr>
          <w:rFonts w:ascii="Arial" w:eastAsia="Calibri" w:hAnsi="Arial" w:cs="Arial"/>
          <w:i/>
          <w:iCs/>
          <w:szCs w:val="28"/>
          <w:lang w:val="uk-UA"/>
        </w:rPr>
        <w:t>національного університету.</w:t>
      </w:r>
      <w:r w:rsidRPr="00511005">
        <w:rPr>
          <w:rFonts w:ascii="Arial" w:eastAsia="Calibri" w:hAnsi="Arial" w:cs="Arial"/>
          <w:szCs w:val="28"/>
          <w:lang w:val="uk-UA"/>
        </w:rPr>
        <w:t xml:space="preserve"> Серія ПРАВО. 2017. Вип. 44. Т. 1. С. 130–133.</w:t>
      </w:r>
    </w:p>
    <w:p w14:paraId="6400A04B" w14:textId="77777777" w:rsidR="003476F8" w:rsidRPr="00511005" w:rsidRDefault="003476F8" w:rsidP="003F6A5D">
      <w:pPr>
        <w:numPr>
          <w:ilvl w:val="0"/>
          <w:numId w:val="453"/>
        </w:numPr>
        <w:suppressAutoHyphens/>
        <w:spacing w:line="264" w:lineRule="auto"/>
        <w:ind w:left="0" w:right="-2" w:firstLine="360"/>
        <w:contextualSpacing/>
        <w:jc w:val="left"/>
        <w:rPr>
          <w:rFonts w:ascii="Arial" w:eastAsia="Calibri" w:hAnsi="Arial" w:cs="Arial"/>
          <w:szCs w:val="28"/>
          <w:lang w:val="uk-UA"/>
        </w:rPr>
      </w:pPr>
      <w:r w:rsidRPr="00511005">
        <w:rPr>
          <w:rFonts w:ascii="Arial" w:eastAsia="Calibri" w:hAnsi="Arial" w:cs="Arial"/>
          <w:szCs w:val="28"/>
          <w:lang w:val="uk-UA"/>
        </w:rPr>
        <w:t>Орлова Н.Г. Особливості правового регулювання трудових відносин працівників водного</w:t>
      </w:r>
      <w:r w:rsidRPr="00511005">
        <w:rPr>
          <w:rFonts w:ascii="Arial" w:eastAsia="Calibri" w:hAnsi="Arial" w:cs="Arial"/>
          <w:szCs w:val="28"/>
        </w:rPr>
        <w:t xml:space="preserve"> </w:t>
      </w:r>
      <w:r w:rsidRPr="00511005">
        <w:rPr>
          <w:rFonts w:ascii="Arial" w:eastAsia="Calibri" w:hAnsi="Arial" w:cs="Arial"/>
          <w:szCs w:val="28"/>
          <w:lang w:val="uk-UA"/>
        </w:rPr>
        <w:t>транспорту: дис. … канд. юрид. наук: 12.00.05 / Нац. юрид. ун-т ім. Я. Мудрого, Харків, 2019. 231 с.</w:t>
      </w:r>
    </w:p>
    <w:p w14:paraId="071242C7" w14:textId="3FF88F4E" w:rsidR="003476F8" w:rsidRPr="00511005" w:rsidRDefault="007B2628" w:rsidP="003A292D">
      <w:pPr>
        <w:suppressAutoHyphens/>
        <w:spacing w:line="264" w:lineRule="auto"/>
        <w:contextualSpacing/>
        <w:rPr>
          <w:rFonts w:ascii="Arial" w:eastAsia="Calibri" w:hAnsi="Arial" w:cs="Arial"/>
          <w:iCs/>
          <w:szCs w:val="28"/>
          <w:lang w:val="uk-UA"/>
        </w:rPr>
      </w:pPr>
      <w:r w:rsidRPr="00511005">
        <w:rPr>
          <w:rFonts w:ascii="Arial" w:eastAsia="Calibri" w:hAnsi="Arial" w:cs="Arial"/>
          <w:b/>
          <w:i/>
          <w:iCs/>
          <w:szCs w:val="28"/>
          <w:lang w:val="uk-UA"/>
        </w:rPr>
        <w:t xml:space="preserve">Ключові слова: </w:t>
      </w:r>
      <w:r w:rsidR="003476F8" w:rsidRPr="00511005">
        <w:rPr>
          <w:rFonts w:ascii="Arial" w:eastAsia="Calibri" w:hAnsi="Arial" w:cs="Arial"/>
          <w:iCs/>
          <w:szCs w:val="28"/>
          <w:lang w:val="uk-UA"/>
        </w:rPr>
        <w:t>професійний спортсмен, трудовий договір, контракт, правове регулювання, особливості праці, спортивна діяльність, охорона праці, соціальні гарантії, строковий договір, спортивне право.</w:t>
      </w:r>
    </w:p>
    <w:p w14:paraId="6298847D" w14:textId="49ACB91C" w:rsidR="003476F8" w:rsidRPr="00511005" w:rsidRDefault="007B2628" w:rsidP="003A292D">
      <w:pPr>
        <w:suppressAutoHyphens/>
        <w:spacing w:line="264" w:lineRule="auto"/>
        <w:contextualSpacing/>
        <w:rPr>
          <w:rFonts w:ascii="Arial" w:eastAsia="Calibri" w:hAnsi="Arial" w:cs="Arial"/>
          <w:iCs/>
          <w:szCs w:val="28"/>
          <w:lang w:val="uk-UA"/>
        </w:rPr>
      </w:pPr>
      <w:r w:rsidRPr="00511005">
        <w:rPr>
          <w:rFonts w:ascii="Arial" w:eastAsia="Calibri" w:hAnsi="Arial" w:cs="Arial"/>
          <w:b/>
          <w:i/>
          <w:iCs/>
          <w:szCs w:val="28"/>
          <w:lang w:val="uk-UA"/>
        </w:rPr>
        <w:t xml:space="preserve">Key words: </w:t>
      </w:r>
      <w:r w:rsidR="003476F8" w:rsidRPr="00511005">
        <w:rPr>
          <w:rFonts w:ascii="Arial" w:eastAsia="Calibri" w:hAnsi="Arial" w:cs="Arial"/>
          <w:iCs/>
          <w:szCs w:val="28"/>
          <w:lang w:val="uk-UA"/>
        </w:rPr>
        <w:t>professional athlete, employment contract, contract, legal regulation, labor features, sports activities, labor protection, social guarantees, fixed-term contract, sports law.</w:t>
      </w:r>
    </w:p>
    <w:p w14:paraId="101F9218" w14:textId="136186D9" w:rsidR="003476F8" w:rsidRPr="00511005" w:rsidRDefault="007B2628" w:rsidP="003A292D">
      <w:pPr>
        <w:suppressAutoHyphens/>
        <w:spacing w:line="264" w:lineRule="auto"/>
        <w:contextualSpacing/>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3476F8" w:rsidRPr="00511005">
        <w:rPr>
          <w:rFonts w:ascii="Arial" w:eastAsia="Calibri" w:hAnsi="Arial" w:cs="Arial"/>
          <w:i/>
          <w:iCs/>
          <w:szCs w:val="28"/>
          <w:lang w:val="uk-UA"/>
        </w:rPr>
        <w:t>к.ю.н., доцент Панченко А.О.</w:t>
      </w:r>
    </w:p>
    <w:p w14:paraId="42205F39"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6EF1E1C6"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506F617D" w14:textId="77777777" w:rsidR="003476F8" w:rsidRPr="00511005" w:rsidRDefault="003476F8" w:rsidP="003A292D">
      <w:pPr>
        <w:spacing w:line="264" w:lineRule="auto"/>
        <w:ind w:left="-567" w:right="-1"/>
        <w:contextualSpacing/>
        <w:jc w:val="center"/>
        <w:rPr>
          <w:rFonts w:ascii="Arial" w:eastAsia="Calibri" w:hAnsi="Arial" w:cs="Arial"/>
          <w:b/>
          <w:i/>
          <w:szCs w:val="28"/>
          <w:lang w:val="uk-UA"/>
        </w:rPr>
      </w:pPr>
      <w:bookmarkStart w:id="199" w:name="_Hlk197940255"/>
      <w:r w:rsidRPr="00511005">
        <w:rPr>
          <w:rFonts w:ascii="Arial" w:eastAsia="Calibri" w:hAnsi="Arial" w:cs="Arial"/>
          <w:b/>
          <w:i/>
          <w:szCs w:val="28"/>
          <w:lang w:val="uk-UA"/>
        </w:rPr>
        <w:t>Пальцева</w:t>
      </w:r>
      <w:bookmarkEnd w:id="199"/>
      <w:r w:rsidRPr="00511005">
        <w:rPr>
          <w:rFonts w:ascii="Arial" w:eastAsia="Calibri" w:hAnsi="Arial" w:cs="Arial"/>
          <w:b/>
          <w:i/>
          <w:szCs w:val="28"/>
          <w:lang w:val="uk-UA"/>
        </w:rPr>
        <w:t xml:space="preserve"> Вєроніка Андріївна</w:t>
      </w:r>
    </w:p>
    <w:p w14:paraId="5BFBDC4A" w14:textId="43A1ECCB" w:rsidR="003476F8" w:rsidRPr="00511005" w:rsidRDefault="00536AAB" w:rsidP="003A292D">
      <w:pPr>
        <w:spacing w:line="264" w:lineRule="auto"/>
        <w:ind w:left="-567" w:right="-1"/>
        <w:contextualSpacing/>
        <w:jc w:val="center"/>
        <w:rPr>
          <w:rFonts w:ascii="Arial" w:eastAsia="Calibri" w:hAnsi="Arial" w:cs="Arial"/>
          <w:szCs w:val="28"/>
          <w:lang w:val="uk-UA"/>
        </w:rPr>
      </w:pPr>
      <w:r w:rsidRPr="00511005">
        <w:rPr>
          <w:rFonts w:ascii="Arial" w:eastAsia="Calibri" w:hAnsi="Arial" w:cs="Arial"/>
          <w:szCs w:val="28"/>
          <w:lang w:val="uk-UA"/>
        </w:rPr>
        <w:t xml:space="preserve">студентка 2-го курсу </w:t>
      </w:r>
      <w:r w:rsidR="007B2628" w:rsidRPr="00511005">
        <w:rPr>
          <w:rFonts w:ascii="Arial" w:eastAsia="Calibri" w:hAnsi="Arial" w:cs="Arial"/>
          <w:szCs w:val="28"/>
          <w:lang w:val="uk-UA"/>
        </w:rPr>
        <w:t>факультету цивільної та господарської юстиції</w:t>
      </w:r>
      <w:r w:rsidR="003476F8" w:rsidRPr="00511005">
        <w:rPr>
          <w:rFonts w:ascii="Arial" w:eastAsia="Calibri" w:hAnsi="Arial" w:cs="Arial"/>
          <w:szCs w:val="28"/>
          <w:lang w:val="uk-UA"/>
        </w:rPr>
        <w:br/>
      </w:r>
      <w:r w:rsidR="007B2628" w:rsidRPr="00511005">
        <w:rPr>
          <w:rFonts w:ascii="Arial" w:eastAsia="Calibri" w:hAnsi="Arial" w:cs="Arial"/>
          <w:szCs w:val="28"/>
          <w:lang w:val="uk-UA"/>
        </w:rPr>
        <w:t>Національного університету «Одеська юридична академія»</w:t>
      </w:r>
    </w:p>
    <w:p w14:paraId="683EE197" w14:textId="77777777" w:rsidR="003476F8" w:rsidRPr="00511005" w:rsidRDefault="003476F8" w:rsidP="003A292D">
      <w:pPr>
        <w:spacing w:line="264" w:lineRule="auto"/>
        <w:ind w:left="-567" w:right="-1"/>
        <w:contextualSpacing/>
        <w:jc w:val="center"/>
        <w:rPr>
          <w:rFonts w:ascii="Arial" w:eastAsia="Calibri" w:hAnsi="Arial" w:cs="Arial"/>
          <w:b/>
          <w:szCs w:val="28"/>
          <w:lang w:val="uk-UA"/>
        </w:rPr>
      </w:pPr>
    </w:p>
    <w:p w14:paraId="4F614E79" w14:textId="77777777" w:rsidR="003476F8" w:rsidRPr="00511005" w:rsidRDefault="003476F8" w:rsidP="003A292D">
      <w:pPr>
        <w:spacing w:line="264" w:lineRule="auto"/>
        <w:ind w:left="-567" w:right="-1"/>
        <w:contextualSpacing/>
        <w:jc w:val="center"/>
        <w:rPr>
          <w:rFonts w:ascii="Arial" w:eastAsia="Calibri" w:hAnsi="Arial" w:cs="Arial"/>
          <w:b/>
          <w:szCs w:val="28"/>
        </w:rPr>
      </w:pPr>
      <w:r w:rsidRPr="00511005">
        <w:rPr>
          <w:rFonts w:ascii="Arial" w:eastAsia="Calibri" w:hAnsi="Arial" w:cs="Arial"/>
          <w:b/>
          <w:szCs w:val="28"/>
        </w:rPr>
        <w:t>ПРОБЛЕМИ ПРАВОВОГО РЕГУЛЮВАННЯ НЕНОРМОВАНОГО РОБОЧОГО ЧАСУ</w:t>
      </w:r>
    </w:p>
    <w:p w14:paraId="630C5205" w14:textId="77777777" w:rsidR="003476F8" w:rsidRPr="00511005" w:rsidRDefault="003476F8" w:rsidP="003A292D">
      <w:pPr>
        <w:spacing w:line="264" w:lineRule="auto"/>
        <w:ind w:left="-567" w:right="-1"/>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У сучасному світі, де стрімкий розвиток цифрових технологій, гнучкість виробничих процесів і зміни в трудових відносинах стають нормою, питання правового регулювання ненормованого робочого часу набуває все більшої актуальності. Традиційна модель фіксованого робочого графіка втрачає свою універсальність, поступаючись місцем новим підходам до організації праці, що передбачають ширші часові рамки і варіативність навантаження. Ненормований робочий час, як специфічна форма режиму праці, що дає можливість залучати працівників до виконання службових обов'язків за межами встановленої тривалості робочого дня, викликає чимало дискусій у науковому і практичному середовищах, насамперед через відсутність чіткого і достатньо ефективного правового регулювання [1,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16].</w:t>
      </w:r>
    </w:p>
    <w:p w14:paraId="6AB37064" w14:textId="77777777" w:rsidR="003476F8" w:rsidRPr="00511005" w:rsidRDefault="003476F8" w:rsidP="003A292D">
      <w:pPr>
        <w:spacing w:line="264" w:lineRule="auto"/>
        <w:ind w:left="-567" w:right="-1"/>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Поняття ненормованого робочого часу в українському законодавстві зберегло риси, притаманні радянській правовій доктрині, де пріоритет держави та підприємства часто превалював над інтересами індивіда. Відтак, на практиці цей режим роботи нерідко використовується роботодавцями не як винятковий </w:t>
      </w:r>
      <w:r w:rsidRPr="00511005">
        <w:rPr>
          <w:rFonts w:ascii="Arial" w:eastAsia="Times New Roman" w:hAnsi="Arial" w:cs="Arial"/>
          <w:szCs w:val="28"/>
          <w:lang w:eastAsia="ru-RU"/>
        </w:rPr>
        <w:lastRenderedPageBreak/>
        <w:t>механізм в особливих ситуаціях, а як спосіб систематичного збільшення тривалості праці без відповідної компенсації. Це породжує юридичні колізії та конфлікти, що особливо загострюються в умовах сучасного ринку праці, коли кордони між робочим і вільним часом працівника розмиваються через технологічну доступність і зростання вимог до результативності [2].</w:t>
      </w:r>
    </w:p>
    <w:p w14:paraId="00EB9FB9" w14:textId="77777777" w:rsidR="003476F8" w:rsidRPr="00511005" w:rsidRDefault="003476F8" w:rsidP="003A292D">
      <w:pPr>
        <w:spacing w:line="264" w:lineRule="auto"/>
        <w:ind w:left="-567" w:right="-1"/>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Однією з найважливіших проблем у сфері регулювання ненормованого робочого часу є його невизначеність на рівні законодавства. Відсутність точного визначення обсягу додаткового часу, який працівник має відпрацювати, а також умов і меж його використання призводить до зловживань. Часто відсутність чітких механізмів фіксації фактичного часу роботи працівника унеможливлює захист його прав у разі виникнення трудового спору. Працівник, який формально погоджується на умови ненормованого часу, на практиці може опинитися в ситуації постійної доступності до виконання трудових обов’язків, що перетворює такий режим з виключного на звичайний. Ця тенденція суперечить принципам справедливого підходу до праці, що передбачає чітке розмежування робочого та особистого часу, а також відповідну винагороду за додаткові зусилля [3,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69].</w:t>
      </w:r>
    </w:p>
    <w:p w14:paraId="6A5B2531" w14:textId="77777777" w:rsidR="003476F8" w:rsidRPr="00511005" w:rsidRDefault="003476F8" w:rsidP="003A292D">
      <w:pPr>
        <w:spacing w:line="264" w:lineRule="auto"/>
        <w:ind w:left="-567" w:right="-1"/>
        <w:contextualSpacing/>
        <w:rPr>
          <w:rFonts w:ascii="Arial" w:eastAsia="Times New Roman" w:hAnsi="Arial" w:cs="Arial"/>
          <w:szCs w:val="28"/>
          <w:lang w:eastAsia="ru-RU"/>
        </w:rPr>
      </w:pPr>
      <w:r w:rsidRPr="00511005">
        <w:rPr>
          <w:rFonts w:ascii="Arial" w:eastAsia="Times New Roman" w:hAnsi="Arial" w:cs="Arial"/>
          <w:szCs w:val="28"/>
          <w:lang w:eastAsia="ru-RU"/>
        </w:rPr>
        <w:t>Водночас, інститут ненормованого робочого часу відіграє важливу роль у забезпеченні гнучкості та ефективності організації праці, особливо в тих галузях, де результативність праці не обмежується звичайним 8-годинним робочим днем. Проблема полягає не в самому існуванні цього режиму, а у відсутності його адекватного нормативного забезпечення. Наприклад, трудове законодавство України передбачає можливість надання працівникам з ненормованим робочим днем додаткової відпустки, однак не містить достатньо чітких правил щодо тривалості, обліку й обґрунтування такого часу. Наслідком цього є фактична безоплатна праця працівників за межами встановленого графіка, що ставить під сумнів дотримання принципу рівноправності сторін трудових відносин.</w:t>
      </w:r>
    </w:p>
    <w:p w14:paraId="45AEB05A" w14:textId="77777777" w:rsidR="003476F8" w:rsidRPr="00511005" w:rsidRDefault="003476F8" w:rsidP="003A292D">
      <w:pPr>
        <w:spacing w:line="264" w:lineRule="auto"/>
        <w:ind w:left="-567" w:right="-1"/>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Ще одним аспектом проблемного характеру правового регулювання ненормованого робочого часу є відсутність достатньої деталізації критеріїв, за якими той чи інший працівник може бути переведений на такий режим. Часто на практиці роботодавці самостійно визначають перелік посад або категорій, які підлягають цьому режиму, без чіткої фіксації умов у колективному договорі чи посадовій інструкції. Такий підхід може призводити до дискримінації і порушення прав працівника, адже за відсутності чіткої регламентації йому важко обґрунтувати свою позицію у випадку конфлікту з роботодавцем [4, </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82].</w:t>
      </w:r>
    </w:p>
    <w:p w14:paraId="59B0530C" w14:textId="77777777" w:rsidR="003476F8" w:rsidRPr="00511005" w:rsidRDefault="003476F8" w:rsidP="003A292D">
      <w:pPr>
        <w:spacing w:line="264" w:lineRule="auto"/>
        <w:ind w:left="-567" w:right="-1"/>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Немаловажним фактором є також психологічне навантаження, що виникає в умовах ненормованої праці. Перебуваючи постійно «на зв'язку» та відчуваючи обов’язок бути доступним у позаробочий час, працівник поступово втрачає чіткі межі між особистим і професійним життям, що в довгостроковій перспективі може призвести до професійного вигорання, зниження продуктивності та погіршення загального стану здоров’я. Це, у свою чергу, має негативний вплив не лише на індивіда, але й на економічну ефективність самого підприємства. У цьому контексті варто замислитися над необхідністю перегляду соціального </w:t>
      </w:r>
      <w:r w:rsidRPr="00511005">
        <w:rPr>
          <w:rFonts w:ascii="Arial" w:eastAsia="Times New Roman" w:hAnsi="Arial" w:cs="Arial"/>
          <w:szCs w:val="28"/>
          <w:lang w:eastAsia="ru-RU"/>
        </w:rPr>
        <w:lastRenderedPageBreak/>
        <w:t>аспекту використання ненормованого часу праці, зокрема шляхом встановлення обов’язкового психологічного чи компенсаційного супроводу для працівників, які працюють у таких умовах.</w:t>
      </w:r>
    </w:p>
    <w:p w14:paraId="5C6ED1D8" w14:textId="77777777" w:rsidR="003476F8" w:rsidRPr="00511005" w:rsidRDefault="003476F8" w:rsidP="003A292D">
      <w:pPr>
        <w:spacing w:line="264" w:lineRule="auto"/>
        <w:ind w:left="-567" w:right="-1"/>
        <w:contextualSpacing/>
        <w:rPr>
          <w:rFonts w:ascii="Arial" w:eastAsia="Times New Roman" w:hAnsi="Arial" w:cs="Arial"/>
          <w:szCs w:val="28"/>
          <w:lang w:eastAsia="ru-RU"/>
        </w:rPr>
      </w:pPr>
      <w:r w:rsidRPr="00511005">
        <w:rPr>
          <w:rFonts w:ascii="Arial" w:eastAsia="Times New Roman" w:hAnsi="Arial" w:cs="Arial"/>
          <w:szCs w:val="28"/>
          <w:lang w:eastAsia="ru-RU"/>
        </w:rPr>
        <w:t>Іншою проблемою є недосконала система обліку робочого часу при ненормованому режимі. Через технічні труднощі, відсутність відповідного програмного забезпечення або організаційної культури на підприємстві реальний обсяг відпрацьованого часу часто залишається незафіксованим. Цей фактор посилює вразливість працівника, позбавляючи його юридичних підстав для захисту. У зв’язку з цим постає нагальна потреба у створенні системи електронного обліку робочого часу, яка дозволить фіксувати години фактичної зайнятості навіть в умовах гнучкого або змішаного режиму праці.</w:t>
      </w:r>
    </w:p>
    <w:p w14:paraId="2275272F" w14:textId="77777777" w:rsidR="003476F8" w:rsidRPr="00511005" w:rsidRDefault="003476F8" w:rsidP="003A292D">
      <w:pPr>
        <w:spacing w:line="264" w:lineRule="auto"/>
        <w:ind w:left="-567" w:right="-1"/>
        <w:contextualSpacing/>
        <w:rPr>
          <w:rFonts w:ascii="Arial" w:eastAsia="Times New Roman" w:hAnsi="Arial" w:cs="Arial"/>
          <w:szCs w:val="28"/>
          <w:lang w:eastAsia="ru-RU"/>
        </w:rPr>
      </w:pPr>
      <w:r w:rsidRPr="00511005">
        <w:rPr>
          <w:rFonts w:ascii="Arial" w:eastAsia="Times New Roman" w:hAnsi="Arial" w:cs="Arial"/>
          <w:szCs w:val="28"/>
          <w:lang w:eastAsia="ru-RU"/>
        </w:rPr>
        <w:t>На тлі інтеграції України в європейський правовий простір варто зазначити, що більшість країн ЄС мають більш деталізовані та збалансовані правові механізми регулювання праці в умовах ненормованого часу. Наприклад, у Німеччині чи Франції існують чіткі обмеження на максимальну кількість годин, які можуть бути відпрацьовані протягом тижня, а також правила обов’язкового відпочинку. Українське законодавство потребує адаптації до таких стандартів, аби забезпечити баланс між правами працівника та інтересами роботодавця. Впровадження відповідних змін повинне здійснюватися не лише шляхом формального закріплення норм у Кодексі законів про працю, а й через зміну підходів до укладення трудових договорів, розвитку колективно-договірного регулювання, а також підвищення правової обізнаності працівників.</w:t>
      </w:r>
    </w:p>
    <w:p w14:paraId="036CF624" w14:textId="77777777" w:rsidR="003476F8" w:rsidRPr="00511005" w:rsidRDefault="003476F8" w:rsidP="003A292D">
      <w:pPr>
        <w:spacing w:line="264" w:lineRule="auto"/>
        <w:ind w:left="-567" w:right="-1"/>
        <w:contextualSpacing/>
        <w:rPr>
          <w:rFonts w:ascii="Arial" w:eastAsia="Times New Roman" w:hAnsi="Arial" w:cs="Arial"/>
          <w:szCs w:val="28"/>
          <w:lang w:eastAsia="ru-RU"/>
        </w:rPr>
      </w:pPr>
      <w:r w:rsidRPr="00511005">
        <w:rPr>
          <w:rFonts w:ascii="Arial" w:eastAsia="Times New Roman" w:hAnsi="Arial" w:cs="Arial"/>
          <w:szCs w:val="28"/>
          <w:lang w:eastAsia="ru-RU"/>
        </w:rPr>
        <w:t>Загалом проблема правового регулювання ненормованого робочого часу в Україні вимагає комплексного і глибокого підходу. Необхідно встановити чіткі межі допустимості застосування такого режиму, його компенсаційні механізми, гарантії для працівника, а також відповідальність роботодавця за порушення умов договору. Крім того, варто сприяти розвитку культури корпоративної відповідальності, в якій інтереси працівника не розглядаються як вторинні, а визнаються важливою складовою сталого функціонування бізнесу. В умовах глобальних трансформацій і переходу до цифрової економіки, коли трудові відносини стають все більш гнучкими і нестандартними, ефективне регулювання ненормованого робочого часу є не лише питанням юридичної техніки, але й проявом сучасної соціальної політики, орієнтованої на гідну працю та стійкий розвиток.</w:t>
      </w:r>
    </w:p>
    <w:p w14:paraId="062B822C" w14:textId="7609F575" w:rsidR="003476F8" w:rsidRPr="00511005" w:rsidRDefault="007B2628" w:rsidP="007B2628">
      <w:pPr>
        <w:spacing w:line="264" w:lineRule="auto"/>
        <w:ind w:left="-567" w:right="-1"/>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4E2D8336" w14:textId="77777777" w:rsidR="003476F8" w:rsidRPr="00511005" w:rsidRDefault="003476F8" w:rsidP="003A292D">
      <w:pPr>
        <w:spacing w:line="264" w:lineRule="auto"/>
        <w:ind w:left="-567" w:right="-1"/>
        <w:contextualSpacing/>
        <w:rPr>
          <w:rFonts w:ascii="Arial" w:eastAsia="Calibri" w:hAnsi="Arial" w:cs="Arial"/>
          <w:szCs w:val="28"/>
        </w:rPr>
      </w:pPr>
      <w:r w:rsidRPr="00511005">
        <w:rPr>
          <w:rFonts w:ascii="Arial" w:eastAsia="Calibri" w:hAnsi="Arial" w:cs="Arial"/>
          <w:szCs w:val="28"/>
        </w:rPr>
        <w:t xml:space="preserve">1. Іванчук О., Шевейко Ю. Проблеми правового регулювання ненормованого робочого часу згідно чинного трудового законодавства України. </w:t>
      </w:r>
      <w:r w:rsidRPr="00511005">
        <w:rPr>
          <w:rFonts w:ascii="Arial" w:eastAsia="Calibri" w:hAnsi="Arial" w:cs="Arial"/>
          <w:i/>
          <w:iCs/>
          <w:szCs w:val="28"/>
        </w:rPr>
        <w:t>Трансформація національної моделі фінансово-кредитних відносин: виклики глобалізації та регіональні аспекти</w:t>
      </w:r>
      <w:r w:rsidRPr="00511005">
        <w:rPr>
          <w:rFonts w:ascii="Arial" w:eastAsia="Calibri" w:hAnsi="Arial" w:cs="Arial"/>
          <w:szCs w:val="28"/>
        </w:rPr>
        <w:t xml:space="preserve">: </w:t>
      </w:r>
      <w:r w:rsidRPr="00511005">
        <w:rPr>
          <w:rFonts w:ascii="Arial" w:eastAsia="Calibri" w:hAnsi="Arial" w:cs="Arial"/>
          <w:szCs w:val="28"/>
          <w:lang w:val="uk-UA"/>
        </w:rPr>
        <w:t>З</w:t>
      </w:r>
      <w:r w:rsidRPr="00511005">
        <w:rPr>
          <w:rFonts w:ascii="Arial" w:eastAsia="Calibri" w:hAnsi="Arial" w:cs="Arial"/>
          <w:szCs w:val="28"/>
        </w:rPr>
        <w:t xml:space="preserve">бірник матеріалів VІ Всеукраїнської науково-практичної конференції (м. Ужгород, 24.11.2021). Ужгород: Вид-во УжНУ «Говерла», 2021. С. 16–17. </w:t>
      </w:r>
    </w:p>
    <w:p w14:paraId="430F956B" w14:textId="77777777" w:rsidR="003476F8" w:rsidRPr="00511005" w:rsidRDefault="003476F8" w:rsidP="003A292D">
      <w:pPr>
        <w:spacing w:line="264" w:lineRule="auto"/>
        <w:ind w:left="-567" w:right="-1"/>
        <w:contextualSpacing/>
        <w:rPr>
          <w:rFonts w:ascii="Arial" w:eastAsia="Calibri" w:hAnsi="Arial" w:cs="Arial"/>
          <w:szCs w:val="28"/>
          <w:lang w:val="pl-PL"/>
        </w:rPr>
      </w:pPr>
      <w:r w:rsidRPr="00511005">
        <w:rPr>
          <w:rFonts w:ascii="Arial" w:eastAsia="Calibri" w:hAnsi="Arial" w:cs="Arial"/>
          <w:szCs w:val="28"/>
        </w:rPr>
        <w:lastRenderedPageBreak/>
        <w:t>2. Про Затвердження Рекомендацій щодо порядку надання працівникам з ненормованим робочим днем щорічної додаткової відпустки за особливий характер праці</w:t>
      </w:r>
      <w:r w:rsidRPr="00511005">
        <w:rPr>
          <w:rFonts w:ascii="Arial" w:eastAsia="Calibri" w:hAnsi="Arial" w:cs="Arial"/>
          <w:szCs w:val="28"/>
          <w:lang w:val="uk-UA"/>
        </w:rPr>
        <w:t xml:space="preserve">: </w:t>
      </w:r>
      <w:r w:rsidRPr="00511005">
        <w:rPr>
          <w:rFonts w:ascii="Arial" w:eastAsia="Calibri" w:hAnsi="Arial" w:cs="Arial"/>
          <w:szCs w:val="28"/>
        </w:rPr>
        <w:t xml:space="preserve">Наказ Міністерства праці і соціальної політики України № 7 від 10.10.1997. </w:t>
      </w:r>
      <w:r w:rsidRPr="00511005">
        <w:rPr>
          <w:rFonts w:ascii="Arial" w:eastAsia="Calibri" w:hAnsi="Arial" w:cs="Arial"/>
          <w:szCs w:val="28"/>
          <w:lang w:val="pl-PL"/>
        </w:rPr>
        <w:t xml:space="preserve">URL: https://zakon.rada.gov.ua/rada/show/v0007203-97#Text. </w:t>
      </w:r>
    </w:p>
    <w:p w14:paraId="47E40BCD" w14:textId="77777777" w:rsidR="003476F8" w:rsidRPr="00511005" w:rsidRDefault="003476F8" w:rsidP="003A292D">
      <w:pPr>
        <w:spacing w:line="264" w:lineRule="auto"/>
        <w:ind w:left="-567" w:right="-1"/>
        <w:contextualSpacing/>
        <w:rPr>
          <w:rFonts w:ascii="Arial" w:eastAsia="Calibri" w:hAnsi="Arial" w:cs="Arial"/>
          <w:szCs w:val="28"/>
        </w:rPr>
      </w:pPr>
      <w:r w:rsidRPr="00511005">
        <w:rPr>
          <w:rFonts w:ascii="Arial" w:eastAsia="Calibri" w:hAnsi="Arial" w:cs="Arial"/>
          <w:szCs w:val="28"/>
        </w:rPr>
        <w:t xml:space="preserve">3. Рудницька К.С. Деякі питання застосування ненормованого робочого дня. </w:t>
      </w:r>
      <w:r w:rsidRPr="00511005">
        <w:rPr>
          <w:rFonts w:ascii="Arial" w:eastAsia="Calibri" w:hAnsi="Arial" w:cs="Arial"/>
          <w:i/>
          <w:iCs/>
          <w:szCs w:val="28"/>
        </w:rPr>
        <w:t>Концептуальні шляхи розвитку науки та освіти (частина ІІ)</w:t>
      </w:r>
      <w:r w:rsidRPr="00511005">
        <w:rPr>
          <w:rFonts w:ascii="Arial" w:eastAsia="Calibri" w:hAnsi="Arial" w:cs="Arial"/>
          <w:szCs w:val="28"/>
        </w:rPr>
        <w:t xml:space="preserve">: </w:t>
      </w:r>
      <w:r w:rsidRPr="00511005">
        <w:rPr>
          <w:rFonts w:ascii="Arial" w:eastAsia="Calibri" w:hAnsi="Arial" w:cs="Arial"/>
          <w:szCs w:val="28"/>
          <w:lang w:val="uk-UA"/>
        </w:rPr>
        <w:t>М</w:t>
      </w:r>
      <w:r w:rsidRPr="00511005">
        <w:rPr>
          <w:rFonts w:ascii="Arial" w:eastAsia="Calibri" w:hAnsi="Arial" w:cs="Arial"/>
          <w:szCs w:val="28"/>
        </w:rPr>
        <w:t xml:space="preserve">атеріали IV Міжнародної науково-практичної конференції м. Львів, 13-14 грудня 2021 року. Львів: Львівський науковий форум, 2021. С. 69–70. </w:t>
      </w:r>
    </w:p>
    <w:p w14:paraId="12A5A0D3" w14:textId="77777777" w:rsidR="003476F8" w:rsidRPr="00511005" w:rsidRDefault="003476F8" w:rsidP="003A292D">
      <w:pPr>
        <w:spacing w:line="264" w:lineRule="auto"/>
        <w:ind w:left="-567" w:right="-1"/>
        <w:contextualSpacing/>
        <w:rPr>
          <w:rFonts w:ascii="Arial" w:eastAsia="Calibri" w:hAnsi="Arial" w:cs="Arial"/>
          <w:szCs w:val="28"/>
        </w:rPr>
      </w:pPr>
      <w:r w:rsidRPr="00511005">
        <w:rPr>
          <w:rFonts w:ascii="Arial" w:eastAsia="Calibri" w:hAnsi="Arial" w:cs="Arial"/>
          <w:szCs w:val="28"/>
        </w:rPr>
        <w:t xml:space="preserve">4. Волошина В.В. Роботи понад установлену норму тривалості робочого часу й ненормований робочий час: проблема розмежування. </w:t>
      </w:r>
      <w:r w:rsidRPr="00511005">
        <w:rPr>
          <w:rFonts w:ascii="Arial" w:eastAsia="Calibri" w:hAnsi="Arial" w:cs="Arial"/>
          <w:i/>
          <w:iCs/>
          <w:szCs w:val="28"/>
        </w:rPr>
        <w:t>Юридичний бюлетень</w:t>
      </w:r>
      <w:r w:rsidRPr="00511005">
        <w:rPr>
          <w:rFonts w:ascii="Arial" w:eastAsia="Calibri" w:hAnsi="Arial" w:cs="Arial"/>
          <w:szCs w:val="28"/>
        </w:rPr>
        <w:t>. 2020. Випуск 16. С. 82–90.</w:t>
      </w:r>
    </w:p>
    <w:p w14:paraId="771780F6" w14:textId="05404CFF" w:rsidR="003476F8" w:rsidRPr="00511005" w:rsidRDefault="007B2628" w:rsidP="003A292D">
      <w:pPr>
        <w:spacing w:line="264" w:lineRule="auto"/>
        <w:ind w:left="-567" w:right="-1"/>
        <w:contextualSpacing/>
        <w:rPr>
          <w:rFonts w:ascii="Arial" w:eastAsia="Calibri" w:hAnsi="Arial" w:cs="Arial"/>
          <w:i/>
          <w:szCs w:val="28"/>
          <w:lang w:val="uk-UA"/>
        </w:rPr>
      </w:pPr>
      <w:r w:rsidRPr="00511005">
        <w:rPr>
          <w:rFonts w:ascii="Arial" w:eastAsia="Calibri" w:hAnsi="Arial" w:cs="Arial"/>
          <w:b/>
          <w:i/>
          <w:szCs w:val="28"/>
          <w:lang w:val="uk-UA"/>
        </w:rPr>
        <w:t xml:space="preserve">Ключові слова: </w:t>
      </w:r>
      <w:r w:rsidR="003476F8" w:rsidRPr="00511005">
        <w:rPr>
          <w:rFonts w:ascii="Arial" w:eastAsia="Calibri" w:hAnsi="Arial" w:cs="Arial"/>
          <w:i/>
          <w:szCs w:val="28"/>
          <w:lang w:val="uk-UA"/>
        </w:rPr>
        <w:t>робочий час, норма, праці, регулювання, відпустка.</w:t>
      </w:r>
    </w:p>
    <w:p w14:paraId="5BBB540D" w14:textId="5EEAC2B9" w:rsidR="003476F8" w:rsidRPr="00D815F0" w:rsidRDefault="007B2628" w:rsidP="003A292D">
      <w:pPr>
        <w:spacing w:line="264" w:lineRule="auto"/>
        <w:ind w:left="-567" w:right="-1"/>
        <w:contextualSpacing/>
        <w:rPr>
          <w:rFonts w:ascii="Arial" w:eastAsia="Times New Roman" w:hAnsi="Arial" w:cs="Arial"/>
          <w:bCs/>
          <w:i/>
          <w:szCs w:val="28"/>
          <w:lang w:val="uk-UA" w:eastAsia="ru-RU"/>
        </w:rPr>
      </w:pPr>
      <w:r w:rsidRPr="00511005">
        <w:rPr>
          <w:rFonts w:ascii="Arial" w:eastAsia="Times New Roman" w:hAnsi="Arial" w:cs="Arial"/>
          <w:b/>
          <w:i/>
          <w:szCs w:val="28"/>
          <w:lang w:val="uk-UA" w:eastAsia="ru-RU"/>
        </w:rPr>
        <w:t xml:space="preserve">Key words: </w:t>
      </w:r>
      <w:r w:rsidR="003476F8" w:rsidRPr="00D815F0">
        <w:rPr>
          <w:rFonts w:ascii="Arial" w:eastAsia="Times New Roman" w:hAnsi="Arial" w:cs="Arial"/>
          <w:bCs/>
          <w:i/>
          <w:szCs w:val="28"/>
          <w:lang w:val="uk-UA" w:eastAsia="ru-RU"/>
        </w:rPr>
        <w:t>working hours, norm, labor, regulation, vacation.</w:t>
      </w:r>
    </w:p>
    <w:p w14:paraId="3C946C23" w14:textId="70982646" w:rsidR="003476F8" w:rsidRPr="00511005" w:rsidRDefault="007B2628" w:rsidP="003A292D">
      <w:pPr>
        <w:spacing w:line="264" w:lineRule="auto"/>
        <w:ind w:left="-567" w:right="-1"/>
        <w:contextualSpacing/>
        <w:rPr>
          <w:rFonts w:ascii="Arial" w:eastAsia="Times New Roman" w:hAnsi="Arial" w:cs="Arial"/>
          <w:b/>
          <w:i/>
          <w:szCs w:val="28"/>
          <w:lang w:val="uk-UA" w:eastAsia="ru-RU"/>
        </w:rPr>
      </w:pPr>
      <w:r w:rsidRPr="00511005">
        <w:rPr>
          <w:rFonts w:ascii="Arial" w:eastAsia="Times New Roman" w:hAnsi="Arial" w:cs="Arial"/>
          <w:b/>
          <w:i/>
          <w:iCs/>
          <w:szCs w:val="28"/>
          <w:lang w:val="uk-UA" w:eastAsia="ru-RU"/>
        </w:rPr>
        <w:t xml:space="preserve">Науковий керівник: </w:t>
      </w:r>
      <w:r w:rsidR="003476F8" w:rsidRPr="00511005">
        <w:rPr>
          <w:rFonts w:ascii="Arial" w:eastAsia="Calibri" w:hAnsi="Arial" w:cs="Arial"/>
          <w:bCs/>
          <w:i/>
          <w:iCs/>
          <w:szCs w:val="28"/>
          <w:lang w:val="uk-UA"/>
        </w:rPr>
        <w:t>кандидат юридичних наук, доцент Панченко А.О.</w:t>
      </w:r>
    </w:p>
    <w:p w14:paraId="25054665"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508519F0"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1D40F829" w14:textId="161FA14D" w:rsidR="003476F8" w:rsidRPr="00511005" w:rsidRDefault="003476F8" w:rsidP="003A292D">
      <w:pPr>
        <w:spacing w:line="264" w:lineRule="auto"/>
        <w:ind w:firstLine="0"/>
        <w:contextualSpacing/>
        <w:jc w:val="center"/>
        <w:rPr>
          <w:rFonts w:ascii="Arial" w:eastAsia="Times New Roman" w:hAnsi="Arial" w:cs="Arial"/>
          <w:b/>
          <w:bCs/>
          <w:i/>
          <w:iCs/>
          <w:spacing w:val="-10"/>
          <w:kern w:val="28"/>
          <w:szCs w:val="28"/>
          <w:lang w:val="uk-UA"/>
        </w:rPr>
      </w:pPr>
      <w:r w:rsidRPr="00511005">
        <w:rPr>
          <w:rFonts w:ascii="Arial" w:eastAsia="Times New Roman" w:hAnsi="Arial" w:cs="Arial"/>
          <w:b/>
          <w:bCs/>
          <w:i/>
          <w:iCs/>
          <w:spacing w:val="-10"/>
          <w:kern w:val="28"/>
          <w:szCs w:val="28"/>
          <w:lang w:val="uk-UA"/>
        </w:rPr>
        <w:t>Перехода Єлізавєта Олександрівна</w:t>
      </w:r>
      <w:r w:rsidR="00146592" w:rsidRPr="00511005">
        <w:rPr>
          <w:rFonts w:ascii="Arial" w:eastAsia="Times New Roman" w:hAnsi="Arial" w:cs="Arial"/>
          <w:b/>
          <w:bCs/>
          <w:i/>
          <w:iCs/>
          <w:spacing w:val="-10"/>
          <w:kern w:val="28"/>
          <w:szCs w:val="28"/>
          <w:lang w:val="uk-UA"/>
        </w:rPr>
        <w:t>,</w:t>
      </w:r>
      <w:r w:rsidRPr="00511005">
        <w:rPr>
          <w:rFonts w:ascii="Arial" w:eastAsia="Times New Roman" w:hAnsi="Arial" w:cs="Arial"/>
          <w:b/>
          <w:bCs/>
          <w:i/>
          <w:iCs/>
          <w:spacing w:val="-10"/>
          <w:kern w:val="28"/>
          <w:szCs w:val="28"/>
          <w:lang w:val="uk-UA"/>
        </w:rPr>
        <w:t xml:space="preserve"> Загоруєва Єлизавета Олегівна</w:t>
      </w:r>
    </w:p>
    <w:p w14:paraId="607D0CEB" w14:textId="02D47E49" w:rsidR="003476F8" w:rsidRPr="00511005" w:rsidRDefault="003476F8" w:rsidP="003A292D">
      <w:pPr>
        <w:spacing w:line="264" w:lineRule="auto"/>
        <w:ind w:firstLine="0"/>
        <w:contextualSpacing/>
        <w:jc w:val="center"/>
        <w:rPr>
          <w:rFonts w:ascii="Arial" w:eastAsia="Calibri" w:hAnsi="Arial" w:cs="Arial"/>
          <w:iCs/>
          <w:szCs w:val="28"/>
          <w:lang w:val="uk-UA"/>
        </w:rPr>
      </w:pPr>
      <w:r w:rsidRPr="00511005">
        <w:rPr>
          <w:rFonts w:ascii="Arial" w:eastAsia="Calibri" w:hAnsi="Arial" w:cs="Arial"/>
          <w:iCs/>
          <w:szCs w:val="28"/>
          <w:lang w:val="uk-UA"/>
        </w:rPr>
        <w:t xml:space="preserve">студентки </w:t>
      </w:r>
      <w:r w:rsidR="007B2628" w:rsidRPr="00511005">
        <w:rPr>
          <w:rFonts w:ascii="Arial" w:eastAsia="Calibri" w:hAnsi="Arial" w:cs="Arial"/>
          <w:iCs/>
          <w:szCs w:val="28"/>
          <w:lang w:val="uk-UA"/>
        </w:rPr>
        <w:t>2-го курсу</w:t>
      </w:r>
      <w:r w:rsidRPr="00511005">
        <w:rPr>
          <w:rFonts w:ascii="Arial" w:eastAsia="Calibri" w:hAnsi="Arial" w:cs="Arial"/>
          <w:iCs/>
          <w:szCs w:val="28"/>
          <w:lang w:val="uk-UA"/>
        </w:rPr>
        <w:t xml:space="preserve"> факультету цивільної та господарської юстиції </w:t>
      </w:r>
    </w:p>
    <w:p w14:paraId="38656CE9" w14:textId="652610D2" w:rsidR="003476F8" w:rsidRPr="00511005" w:rsidRDefault="007B2628" w:rsidP="003A292D">
      <w:pPr>
        <w:spacing w:line="264" w:lineRule="auto"/>
        <w:ind w:firstLine="0"/>
        <w:contextualSpacing/>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261002CF" w14:textId="77777777" w:rsidR="003476F8" w:rsidRPr="00511005" w:rsidRDefault="003476F8" w:rsidP="003A292D">
      <w:pPr>
        <w:spacing w:line="264" w:lineRule="auto"/>
        <w:ind w:firstLine="0"/>
        <w:jc w:val="center"/>
        <w:rPr>
          <w:rFonts w:ascii="Arial" w:eastAsia="Calibri" w:hAnsi="Arial" w:cs="Arial"/>
          <w:b/>
          <w:szCs w:val="28"/>
        </w:rPr>
      </w:pPr>
    </w:p>
    <w:p w14:paraId="4F4882B6" w14:textId="77777777" w:rsidR="003476F8" w:rsidRPr="00511005" w:rsidRDefault="003476F8" w:rsidP="003A292D">
      <w:pPr>
        <w:spacing w:line="264" w:lineRule="auto"/>
        <w:ind w:firstLine="0"/>
        <w:contextualSpacing/>
        <w:jc w:val="center"/>
        <w:rPr>
          <w:rFonts w:ascii="Arial" w:eastAsia="Calibri" w:hAnsi="Arial" w:cs="Arial"/>
          <w:b/>
          <w:szCs w:val="28"/>
        </w:rPr>
      </w:pPr>
      <w:r w:rsidRPr="00511005">
        <w:rPr>
          <w:rFonts w:ascii="Arial" w:eastAsia="Calibri" w:hAnsi="Arial" w:cs="Arial"/>
          <w:b/>
          <w:szCs w:val="28"/>
        </w:rPr>
        <w:t>ОСОБЛИВОСТІ РЕГУЛЮВАННЯ ПРАВА НА ВІДПОЧИНОК В УМОВАХ ВОЄННОГО СТАНУ</w:t>
      </w:r>
    </w:p>
    <w:p w14:paraId="2BCB4CD8"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В умовах воєнного стану правове регулювання різних аспектів трудових відносин в Україні зазнає суттєвих змін. Одним із важливих</w:t>
      </w:r>
      <w:r w:rsidRPr="00511005">
        <w:rPr>
          <w:rFonts w:ascii="Arial" w:eastAsia="Times New Roman" w:hAnsi="Arial" w:cs="Arial"/>
          <w:szCs w:val="28"/>
          <w:lang w:val="uk-UA" w:eastAsia="ru-RU"/>
        </w:rPr>
        <w:t xml:space="preserve"> з-поміж таких, </w:t>
      </w:r>
      <w:r w:rsidRPr="00511005">
        <w:rPr>
          <w:rFonts w:ascii="Arial" w:eastAsia="Times New Roman" w:hAnsi="Arial" w:cs="Arial"/>
          <w:szCs w:val="28"/>
          <w:lang w:eastAsia="ru-RU"/>
        </w:rPr>
        <w:t xml:space="preserve">що піддається регулюванню, є питання права на відпочинок працівників. З огляду на </w:t>
      </w:r>
      <w:r w:rsidRPr="00511005">
        <w:rPr>
          <w:rFonts w:ascii="Arial" w:eastAsia="Times New Roman" w:hAnsi="Arial" w:cs="Arial"/>
          <w:szCs w:val="28"/>
          <w:lang w:val="uk-UA" w:eastAsia="ru-RU"/>
        </w:rPr>
        <w:t>значимість</w:t>
      </w:r>
      <w:r w:rsidRPr="00511005">
        <w:rPr>
          <w:rFonts w:ascii="Arial" w:eastAsia="Times New Roman" w:hAnsi="Arial" w:cs="Arial"/>
          <w:szCs w:val="28"/>
          <w:lang w:eastAsia="ru-RU"/>
        </w:rPr>
        <w:t xml:space="preserve"> цього питання для благополуччя громадян та забезпечення стабільності трудових відносин, ми повинні уважно розглянути, як воєнний стан впливає на можливості відпочинку та які правові механізми для цього використовуються.</w:t>
      </w:r>
    </w:p>
    <w:p w14:paraId="314FD44F" w14:textId="77777777" w:rsidR="003476F8" w:rsidRPr="00511005" w:rsidRDefault="003476F8" w:rsidP="003A292D">
      <w:pPr>
        <w:spacing w:line="264" w:lineRule="auto"/>
        <w:contextualSpacing/>
        <w:rPr>
          <w:rFonts w:ascii="Arial" w:eastAsia="Times New Roman" w:hAnsi="Arial" w:cs="Arial"/>
          <w:szCs w:val="28"/>
          <w:lang w:eastAsia="ru-RU"/>
        </w:rPr>
      </w:pPr>
      <w:proofErr w:type="gramStart"/>
      <w:r w:rsidRPr="00511005">
        <w:rPr>
          <w:rFonts w:ascii="Arial" w:eastAsia="Times New Roman" w:hAnsi="Arial" w:cs="Arial"/>
          <w:szCs w:val="28"/>
          <w:lang w:eastAsia="ru-RU"/>
        </w:rPr>
        <w:t>До початку</w:t>
      </w:r>
      <w:proofErr w:type="gramEnd"/>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запровадження </w:t>
      </w:r>
      <w:r w:rsidRPr="00511005">
        <w:rPr>
          <w:rFonts w:ascii="Arial" w:eastAsia="Times New Roman" w:hAnsi="Arial" w:cs="Arial"/>
          <w:szCs w:val="28"/>
          <w:lang w:eastAsia="ru-RU"/>
        </w:rPr>
        <w:t xml:space="preserve">воєнного стану, в Україні право на відпочинок було чітко визначено трудовим законодавством, яке базувалося на Конституції України. Відповідно до ст. 45 Конституції України кожен громадянин має право на відпочинок, що включає в себе гарантовані щорічні оплачувані відпустки, перерви на відпочинок протягом робочого дня, а також право на скорочений робочий день </w:t>
      </w:r>
      <w:r w:rsidRPr="00511005">
        <w:rPr>
          <w:rFonts w:ascii="Arial" w:eastAsia="Times New Roman" w:hAnsi="Arial" w:cs="Arial"/>
          <w:szCs w:val="28"/>
          <w:lang w:val="uk-UA" w:eastAsia="ru-RU"/>
        </w:rPr>
        <w:t>для</w:t>
      </w:r>
      <w:r w:rsidRPr="00511005">
        <w:rPr>
          <w:rFonts w:ascii="Arial" w:eastAsia="Times New Roman" w:hAnsi="Arial" w:cs="Arial"/>
          <w:szCs w:val="28"/>
          <w:lang w:eastAsia="ru-RU"/>
        </w:rPr>
        <w:t xml:space="preserve"> певних категоріях працівників [1].</w:t>
      </w:r>
    </w:p>
    <w:p w14:paraId="5E90AC5F"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В Україні традиційно існують різні види відпусток: основна щорічна оплачувана, додаткові відпустки, </w:t>
      </w:r>
      <w:r w:rsidRPr="00511005">
        <w:rPr>
          <w:rFonts w:ascii="Arial" w:eastAsia="Times New Roman" w:hAnsi="Arial" w:cs="Arial"/>
          <w:szCs w:val="28"/>
          <w:lang w:val="uk-UA" w:eastAsia="ru-RU"/>
        </w:rPr>
        <w:t>навчальні</w:t>
      </w:r>
      <w:r w:rsidRPr="00511005">
        <w:rPr>
          <w:rFonts w:ascii="Arial" w:eastAsia="Times New Roman" w:hAnsi="Arial" w:cs="Arial"/>
          <w:szCs w:val="28"/>
          <w:lang w:eastAsia="ru-RU"/>
        </w:rPr>
        <w:t>, творч</w:t>
      </w:r>
      <w:r w:rsidRPr="00511005">
        <w:rPr>
          <w:rFonts w:ascii="Arial" w:eastAsia="Times New Roman" w:hAnsi="Arial" w:cs="Arial"/>
          <w:szCs w:val="28"/>
          <w:lang w:val="uk-UA" w:eastAsia="ru-RU"/>
        </w:rPr>
        <w:t xml:space="preserve">і, </w:t>
      </w:r>
      <w:r w:rsidRPr="00511005">
        <w:rPr>
          <w:rFonts w:ascii="Arial" w:eastAsia="Times New Roman" w:hAnsi="Arial" w:cs="Arial"/>
          <w:szCs w:val="28"/>
          <w:lang w:eastAsia="ru-RU"/>
        </w:rPr>
        <w:t>соціальн</w:t>
      </w:r>
      <w:r w:rsidRPr="00511005">
        <w:rPr>
          <w:rFonts w:ascii="Arial" w:eastAsia="Times New Roman" w:hAnsi="Arial" w:cs="Arial"/>
          <w:szCs w:val="28"/>
          <w:lang w:val="uk-UA" w:eastAsia="ru-RU"/>
        </w:rPr>
        <w:t>і</w:t>
      </w:r>
      <w:r w:rsidRPr="00511005">
        <w:rPr>
          <w:rFonts w:ascii="Arial" w:eastAsia="Times New Roman" w:hAnsi="Arial" w:cs="Arial"/>
          <w:szCs w:val="28"/>
          <w:lang w:eastAsia="ru-RU"/>
        </w:rPr>
        <w:t xml:space="preserve"> відпустки</w:t>
      </w:r>
      <w:r w:rsidRPr="00511005">
        <w:rPr>
          <w:rFonts w:ascii="Arial" w:eastAsia="Times New Roman" w:hAnsi="Arial" w:cs="Arial"/>
          <w:szCs w:val="28"/>
          <w:lang w:val="uk-UA" w:eastAsia="ru-RU"/>
        </w:rPr>
        <w:t xml:space="preserve"> та деякі інші відпустки</w:t>
      </w:r>
      <w:r w:rsidRPr="00511005">
        <w:rPr>
          <w:rFonts w:ascii="Arial" w:eastAsia="Times New Roman" w:hAnsi="Arial" w:cs="Arial"/>
          <w:szCs w:val="28"/>
          <w:lang w:eastAsia="ru-RU"/>
        </w:rPr>
        <w:t>. Це забезпечує різноманітність в підходах до відпочинку, дозволяючи працівникам відновлювати свої сили як фізично, так і психологічно.</w:t>
      </w:r>
    </w:p>
    <w:p w14:paraId="6F3191E6"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lastRenderedPageBreak/>
        <w:t>Законодавство чітко встановлює мінімальні терміни відпусток. Наприклад, щорічна основна відпустка, відповідно до ст. 12 Закону України «Про відпустки», не може бути коротшою за 24 календарних дні. Всі інші види відпусток, зокрема додаткові, соціальні, навчальні, мають свої особливості, які також регламентуються законами та іншими підзаконними актами [2].</w:t>
      </w:r>
    </w:p>
    <w:p w14:paraId="5BB71924"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Після введення воєнного стану 24 лютого 2022 року, на основі Указу Президента України № 64/2022, були введені значні зміни в трудовому законодавстві, зокрема в питаннях, що стосуються відпусток працівників [3].</w:t>
      </w:r>
    </w:p>
    <w:p w14:paraId="1A4C6C32"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Однією з основних змін </w:t>
      </w:r>
      <w:r w:rsidRPr="00511005">
        <w:rPr>
          <w:rFonts w:ascii="Arial" w:eastAsia="Times New Roman" w:hAnsi="Arial" w:cs="Arial"/>
          <w:szCs w:val="28"/>
          <w:lang w:val="uk-UA" w:eastAsia="ru-RU"/>
        </w:rPr>
        <w:t>ствло</w:t>
      </w:r>
      <w:r w:rsidRPr="00511005">
        <w:rPr>
          <w:rFonts w:ascii="Arial" w:eastAsia="Times New Roman" w:hAnsi="Arial" w:cs="Arial"/>
          <w:szCs w:val="28"/>
          <w:lang w:eastAsia="ru-RU"/>
        </w:rPr>
        <w:t xml:space="preserve"> обмеження на надання відпусток у період воєнного стану. Так, відповідно до ст. 12 Закону України «Про організацію трудових відносин в умовах воєнного стану», у цей період щорічна основна оплачувана відпустка обмежується терміном у 24 календарних дні. Якщо працівник не використав свою відпустку протягом воєнного стану, невикористані дні переносяться на період після його скасування або припинення [4].</w:t>
      </w:r>
    </w:p>
    <w:p w14:paraId="00DF8625"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У той же час, роботодавець може відмовити працівнику в наданні відпустки, якщо працівник працює на об'єктах критичної інфраструктури, без яких порушення роботи цих об'єктів могло б завдати шкоди національній безпеці, економіці або обороні країни. Це стосується таких об'єктів, як енергетична, транспортна інфраструктура, стратегічно важливі підприємства та установи.</w:t>
      </w:r>
    </w:p>
    <w:p w14:paraId="1A29F3F7"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Згідно з новими правилами, святкові дні не надаються як окремі неробочі, а фактично перетворюються на звичайні робочі дні. Це рішення було прийнято для оптимізації ресурсів і збереження працездатності країни в умовах війни. Святкові дні стають частиною щорічної оплачуваної відпустки, і виключати їх з розрахунку немає необхідності.</w:t>
      </w:r>
    </w:p>
    <w:p w14:paraId="5680F8E3"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Крім того, під час воєнного стану роботодавці можуть надавати працівникам відпустку без збереження заробітної плати без обмежень щодо її тривалості. Це дозволяє працівникам, які не можуть працювати через об'єктивні обставини, відпочивати або виконувати інші особисті обов'язки, не втрачаючи робочого місця. Такі відпустки можуть бути важливими для людей, які змушені відправлятися в інші регіони або займатися іншими важливими справами під час конфлікту.</w:t>
      </w:r>
    </w:p>
    <w:p w14:paraId="2CD8FD9C"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Однією з важливих змін, яка виникає в період воєнного стану, є питання компенсації за невикористану відпустку. У зв'язку з обмеженням прав на відпочинок, працівники можуть вимагати грошову компенсацію за невикористані дні відпустки. Однак через умови війни роботодавці можуть стикатися з фінансовими труднощами, що ускладнює своєчасну виплату компенсацій.</w:t>
      </w:r>
    </w:p>
    <w:p w14:paraId="1B862370"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Згідно з актуальними нормами, якщо працівник звільняється під час дії воєнного стану, він має право отримати компенсацію за невикористану </w:t>
      </w:r>
      <w:r w:rsidRPr="00511005">
        <w:rPr>
          <w:rFonts w:ascii="Arial" w:eastAsia="Times New Roman" w:hAnsi="Arial" w:cs="Arial"/>
          <w:szCs w:val="28"/>
          <w:lang w:eastAsia="ru-RU"/>
        </w:rPr>
        <w:lastRenderedPageBreak/>
        <w:t xml:space="preserve">відпустку відповідно до норм, що діяли </w:t>
      </w:r>
      <w:proofErr w:type="gramStart"/>
      <w:r w:rsidRPr="00511005">
        <w:rPr>
          <w:rFonts w:ascii="Arial" w:eastAsia="Times New Roman" w:hAnsi="Arial" w:cs="Arial"/>
          <w:szCs w:val="28"/>
          <w:lang w:eastAsia="ru-RU"/>
        </w:rPr>
        <w:t>до початку</w:t>
      </w:r>
      <w:proofErr w:type="gramEnd"/>
      <w:r w:rsidRPr="00511005">
        <w:rPr>
          <w:rFonts w:ascii="Arial" w:eastAsia="Times New Roman" w:hAnsi="Arial" w:cs="Arial"/>
          <w:szCs w:val="28"/>
          <w:lang w:eastAsia="ru-RU"/>
        </w:rPr>
        <w:t xml:space="preserve"> війни. Проте, є винятки, коли такі компенсації можуть бути відкладені або змінені залежно від обставин, пов'язаних з надзвичайною ситуацією.</w:t>
      </w:r>
    </w:p>
    <w:p w14:paraId="040A4A65"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Особливістю правового регулювання є необхідність постійної адаптації законодавства до умов, що швидко змінюються. </w:t>
      </w:r>
      <w:r w:rsidRPr="00511005">
        <w:rPr>
          <w:rFonts w:ascii="Arial" w:eastAsia="Times New Roman" w:hAnsi="Arial" w:cs="Arial"/>
          <w:szCs w:val="28"/>
          <w:lang w:val="uk-UA" w:eastAsia="ru-RU"/>
        </w:rPr>
        <w:t>В</w:t>
      </w:r>
      <w:r w:rsidRPr="00511005">
        <w:rPr>
          <w:rFonts w:ascii="Arial" w:eastAsia="Times New Roman" w:hAnsi="Arial" w:cs="Arial"/>
          <w:szCs w:val="28"/>
          <w:lang w:eastAsia="ru-RU"/>
        </w:rPr>
        <w:t xml:space="preserve"> умовах війни необхідно створити систему, яка б дозволяла балансувати інтереси національної безпеки і права працівників. Зважаючи на динамічність ситуації, важливо, щоб законодавчі зміни стосовно трудових відносин в умовах воєнного стану були зрозумілими і оперативними [5].</w:t>
      </w:r>
    </w:p>
    <w:p w14:paraId="19D4BBD7"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У цьому контексті, державні органи повинні забезпечити доступ до оновлених правових норм, що стосуються трудових відносин під час війни, та сприяти роз'ясненню змін для працівників і роботодавців. Це дозволить уникнути правових колізій та гарантувати правову певність для всіх учасників трудових відносин.</w:t>
      </w:r>
    </w:p>
    <w:p w14:paraId="1136F4F6" w14:textId="77777777" w:rsidR="003476F8" w:rsidRPr="00511005" w:rsidRDefault="003476F8" w:rsidP="003A292D">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В умовах воєнного стану регулювання права на відпочинок працівників зазнає суттєвих змін. Важливою є адаптація законодавства до потреб національної безпеки та економіки, що часто передбачає обмеження прав на відпустки та інші види відпочинку. Проте, необхідно забезпечити механізми захисту прав працівників, щоб вони могли відновлювати свої сили навіть у складні часи, зберігаючи при цьому свою працездатність та добробут.</w:t>
      </w:r>
    </w:p>
    <w:p w14:paraId="04602A48" w14:textId="4D5316D5" w:rsidR="003476F8" w:rsidRPr="00511005" w:rsidRDefault="007B2628" w:rsidP="007B2628">
      <w:pPr>
        <w:spacing w:line="264" w:lineRule="auto"/>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7842C65F" w14:textId="77777777" w:rsidR="003476F8" w:rsidRPr="00511005" w:rsidRDefault="003476F8" w:rsidP="003A292D">
      <w:pPr>
        <w:spacing w:line="264" w:lineRule="auto"/>
        <w:contextualSpacing/>
        <w:rPr>
          <w:rFonts w:ascii="Arial" w:eastAsia="Calibri" w:hAnsi="Arial" w:cs="Arial"/>
          <w:szCs w:val="28"/>
        </w:rPr>
      </w:pPr>
      <w:r w:rsidRPr="00511005">
        <w:rPr>
          <w:rFonts w:ascii="Arial" w:eastAsia="Calibri" w:hAnsi="Arial" w:cs="Arial"/>
          <w:szCs w:val="28"/>
        </w:rPr>
        <w:t>1. Конституція України</w:t>
      </w:r>
      <w:r w:rsidRPr="00511005">
        <w:rPr>
          <w:rFonts w:ascii="Arial" w:eastAsia="Calibri" w:hAnsi="Arial" w:cs="Arial"/>
          <w:szCs w:val="28"/>
          <w:lang w:val="uk-UA"/>
        </w:rPr>
        <w:t xml:space="preserve"> </w:t>
      </w:r>
      <w:r w:rsidRPr="00511005">
        <w:rPr>
          <w:rFonts w:ascii="Arial" w:eastAsia="Calibri" w:hAnsi="Arial" w:cs="Arial"/>
          <w:szCs w:val="28"/>
        </w:rPr>
        <w:t xml:space="preserve">від 28.06.1996 № 254к/96-ВР. </w:t>
      </w:r>
      <w:r w:rsidRPr="00511005">
        <w:rPr>
          <w:rFonts w:ascii="Arial" w:eastAsia="Calibri" w:hAnsi="Arial" w:cs="Arial"/>
          <w:i/>
          <w:iCs/>
          <w:szCs w:val="28"/>
        </w:rPr>
        <w:t xml:space="preserve">Відомості </w:t>
      </w:r>
      <w:proofErr w:type="gramStart"/>
      <w:r w:rsidRPr="00511005">
        <w:rPr>
          <w:rFonts w:ascii="Arial" w:eastAsia="Calibri" w:hAnsi="Arial" w:cs="Arial"/>
          <w:i/>
          <w:iCs/>
          <w:szCs w:val="28"/>
        </w:rPr>
        <w:t>Верховної</w:t>
      </w:r>
      <w:proofErr w:type="gramEnd"/>
      <w:r w:rsidRPr="00511005">
        <w:rPr>
          <w:rFonts w:ascii="Arial" w:eastAsia="Calibri" w:hAnsi="Arial" w:cs="Arial"/>
          <w:i/>
          <w:iCs/>
          <w:szCs w:val="28"/>
        </w:rPr>
        <w:t xml:space="preserve"> Ради України</w:t>
      </w:r>
      <w:r w:rsidRPr="00511005">
        <w:rPr>
          <w:rFonts w:ascii="Arial" w:eastAsia="Calibri" w:hAnsi="Arial" w:cs="Arial"/>
          <w:szCs w:val="28"/>
          <w:lang w:val="uk-UA"/>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zakon</w:t>
      </w:r>
      <w:r w:rsidRPr="00511005">
        <w:rPr>
          <w:rFonts w:ascii="Arial" w:eastAsia="Calibri" w:hAnsi="Arial" w:cs="Arial"/>
          <w:szCs w:val="28"/>
        </w:rPr>
        <w:t>.</w:t>
      </w:r>
      <w:r w:rsidRPr="00511005">
        <w:rPr>
          <w:rFonts w:ascii="Arial" w:eastAsia="Calibri" w:hAnsi="Arial" w:cs="Arial"/>
          <w:szCs w:val="28"/>
          <w:lang w:val="en-US"/>
        </w:rPr>
        <w:t>rada</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laws</w:t>
      </w:r>
      <w:r w:rsidRPr="00511005">
        <w:rPr>
          <w:rFonts w:ascii="Arial" w:eastAsia="Calibri" w:hAnsi="Arial" w:cs="Arial"/>
          <w:szCs w:val="28"/>
        </w:rPr>
        <w:t>/</w:t>
      </w:r>
      <w:r w:rsidRPr="00511005">
        <w:rPr>
          <w:rFonts w:ascii="Arial" w:eastAsia="Calibri" w:hAnsi="Arial" w:cs="Arial"/>
          <w:szCs w:val="28"/>
          <w:lang w:val="en-US"/>
        </w:rPr>
        <w:t>show</w:t>
      </w:r>
      <w:r w:rsidRPr="00511005">
        <w:rPr>
          <w:rFonts w:ascii="Arial" w:eastAsia="Calibri" w:hAnsi="Arial" w:cs="Arial"/>
          <w:szCs w:val="28"/>
        </w:rPr>
        <w:t>/254%</w:t>
      </w:r>
      <w:r w:rsidRPr="00511005">
        <w:rPr>
          <w:rFonts w:ascii="Arial" w:eastAsia="Calibri" w:hAnsi="Arial" w:cs="Arial"/>
          <w:szCs w:val="28"/>
          <w:lang w:val="en-US"/>
        </w:rPr>
        <w:t>D</w:t>
      </w:r>
      <w:r w:rsidRPr="00511005">
        <w:rPr>
          <w:rFonts w:ascii="Arial" w:eastAsia="Calibri" w:hAnsi="Arial" w:cs="Arial"/>
          <w:szCs w:val="28"/>
        </w:rPr>
        <w:t>0%</w:t>
      </w:r>
      <w:r w:rsidRPr="00511005">
        <w:rPr>
          <w:rFonts w:ascii="Arial" w:eastAsia="Calibri" w:hAnsi="Arial" w:cs="Arial"/>
          <w:szCs w:val="28"/>
          <w:lang w:val="en-US"/>
        </w:rPr>
        <w:t>BA</w:t>
      </w:r>
      <w:r w:rsidRPr="00511005">
        <w:rPr>
          <w:rFonts w:ascii="Arial" w:eastAsia="Calibri" w:hAnsi="Arial" w:cs="Arial"/>
          <w:szCs w:val="28"/>
        </w:rPr>
        <w:t>/96- %</w:t>
      </w:r>
      <w:r w:rsidRPr="00511005">
        <w:rPr>
          <w:rFonts w:ascii="Arial" w:eastAsia="Calibri" w:hAnsi="Arial" w:cs="Arial"/>
          <w:szCs w:val="28"/>
          <w:lang w:val="en-US"/>
        </w:rPr>
        <w:t>D</w:t>
      </w:r>
      <w:r w:rsidRPr="00511005">
        <w:rPr>
          <w:rFonts w:ascii="Arial" w:eastAsia="Calibri" w:hAnsi="Arial" w:cs="Arial"/>
          <w:szCs w:val="28"/>
        </w:rPr>
        <w:t>0%</w:t>
      </w:r>
      <w:r w:rsidRPr="00511005">
        <w:rPr>
          <w:rFonts w:ascii="Arial" w:eastAsia="Calibri" w:hAnsi="Arial" w:cs="Arial"/>
          <w:szCs w:val="28"/>
          <w:lang w:val="en-US"/>
        </w:rPr>
        <w:t>B</w:t>
      </w:r>
      <w:r w:rsidRPr="00511005">
        <w:rPr>
          <w:rFonts w:ascii="Arial" w:eastAsia="Calibri" w:hAnsi="Arial" w:cs="Arial"/>
          <w:szCs w:val="28"/>
        </w:rPr>
        <w:t>2%</w:t>
      </w:r>
      <w:r w:rsidRPr="00511005">
        <w:rPr>
          <w:rFonts w:ascii="Arial" w:eastAsia="Calibri" w:hAnsi="Arial" w:cs="Arial"/>
          <w:szCs w:val="28"/>
          <w:lang w:val="en-US"/>
        </w:rPr>
        <w:t>D</w:t>
      </w:r>
      <w:r w:rsidRPr="00511005">
        <w:rPr>
          <w:rFonts w:ascii="Arial" w:eastAsia="Calibri" w:hAnsi="Arial" w:cs="Arial"/>
          <w:szCs w:val="28"/>
        </w:rPr>
        <w:t>1%80#</w:t>
      </w:r>
      <w:r w:rsidRPr="00511005">
        <w:rPr>
          <w:rFonts w:ascii="Arial" w:eastAsia="Calibri" w:hAnsi="Arial" w:cs="Arial"/>
          <w:szCs w:val="28"/>
          <w:lang w:val="en-US"/>
        </w:rPr>
        <w:t>Text</w:t>
      </w:r>
      <w:r w:rsidRPr="00511005">
        <w:rPr>
          <w:rFonts w:ascii="Arial" w:eastAsia="Calibri" w:hAnsi="Arial" w:cs="Arial"/>
          <w:szCs w:val="28"/>
        </w:rPr>
        <w:t>.</w:t>
      </w:r>
    </w:p>
    <w:p w14:paraId="34C12FE3" w14:textId="4C064E90" w:rsidR="003476F8" w:rsidRPr="00511005" w:rsidRDefault="003476F8" w:rsidP="003A292D">
      <w:pPr>
        <w:spacing w:line="264" w:lineRule="auto"/>
        <w:contextualSpacing/>
        <w:rPr>
          <w:rFonts w:ascii="Arial" w:eastAsia="Calibri" w:hAnsi="Arial" w:cs="Arial"/>
          <w:szCs w:val="28"/>
        </w:rPr>
      </w:pPr>
      <w:r w:rsidRPr="00511005">
        <w:rPr>
          <w:rFonts w:ascii="Arial" w:eastAsia="Calibri" w:hAnsi="Arial" w:cs="Arial"/>
          <w:szCs w:val="28"/>
        </w:rPr>
        <w:t>2. Про відпустки: Закон України</w:t>
      </w:r>
      <w:r w:rsidRPr="00511005">
        <w:rPr>
          <w:rFonts w:ascii="Arial" w:eastAsia="Calibri" w:hAnsi="Arial" w:cs="Arial"/>
          <w:szCs w:val="28"/>
          <w:lang w:val="uk-UA"/>
        </w:rPr>
        <w:t xml:space="preserve"> </w:t>
      </w:r>
      <w:r w:rsidRPr="00511005">
        <w:rPr>
          <w:rFonts w:ascii="Arial" w:eastAsia="Calibri" w:hAnsi="Arial" w:cs="Arial"/>
          <w:szCs w:val="28"/>
        </w:rPr>
        <w:t xml:space="preserve">від 15.11.1996 № 504/96-ВР. </w:t>
      </w:r>
      <w:r w:rsidRPr="00511005">
        <w:rPr>
          <w:rFonts w:ascii="Arial" w:eastAsia="Calibri" w:hAnsi="Arial" w:cs="Arial"/>
          <w:i/>
          <w:iCs/>
          <w:szCs w:val="28"/>
        </w:rPr>
        <w:t xml:space="preserve">Відомості </w:t>
      </w:r>
      <w:proofErr w:type="gramStart"/>
      <w:r w:rsidRPr="00511005">
        <w:rPr>
          <w:rFonts w:ascii="Arial" w:eastAsia="Calibri" w:hAnsi="Arial" w:cs="Arial"/>
          <w:i/>
          <w:iCs/>
          <w:szCs w:val="28"/>
        </w:rPr>
        <w:t>Верховної</w:t>
      </w:r>
      <w:proofErr w:type="gramEnd"/>
      <w:r w:rsidRPr="00511005">
        <w:rPr>
          <w:rFonts w:ascii="Arial" w:eastAsia="Calibri" w:hAnsi="Arial" w:cs="Arial"/>
          <w:i/>
          <w:iCs/>
          <w:szCs w:val="28"/>
        </w:rPr>
        <w:t xml:space="preserve"> Ради України</w:t>
      </w:r>
      <w:r w:rsidRPr="00511005">
        <w:rPr>
          <w:rFonts w:ascii="Arial" w:eastAsia="Calibri" w:hAnsi="Arial" w:cs="Arial"/>
          <w:i/>
          <w:iCs/>
          <w:szCs w:val="28"/>
          <w:lang w:val="uk-UA"/>
        </w:rPr>
        <w:t>.</w:t>
      </w:r>
      <w:r w:rsidR="007B2628" w:rsidRPr="00511005">
        <w:rPr>
          <w:rFonts w:ascii="Arial" w:eastAsia="Calibri" w:hAnsi="Arial" w:cs="Arial"/>
          <w:szCs w:val="28"/>
          <w:lang w:val="uk-UA"/>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hyperlink r:id="rId1701" w:anchor="top"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zakon</w:t>
        </w:r>
        <w:r w:rsidRPr="00511005">
          <w:rPr>
            <w:rFonts w:ascii="Arial" w:eastAsia="Calibri" w:hAnsi="Arial" w:cs="Arial"/>
            <w:szCs w:val="28"/>
          </w:rPr>
          <w:t>.</w:t>
        </w:r>
        <w:r w:rsidRPr="00511005">
          <w:rPr>
            <w:rFonts w:ascii="Arial" w:eastAsia="Calibri" w:hAnsi="Arial" w:cs="Arial"/>
            <w:szCs w:val="28"/>
            <w:lang w:val="en-US"/>
          </w:rPr>
          <w:t>rada</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laws</w:t>
        </w:r>
        <w:r w:rsidRPr="00511005">
          <w:rPr>
            <w:rFonts w:ascii="Arial" w:eastAsia="Calibri" w:hAnsi="Arial" w:cs="Arial"/>
            <w:szCs w:val="28"/>
          </w:rPr>
          <w:t>/</w:t>
        </w:r>
        <w:r w:rsidRPr="00511005">
          <w:rPr>
            <w:rFonts w:ascii="Arial" w:eastAsia="Calibri" w:hAnsi="Arial" w:cs="Arial"/>
            <w:szCs w:val="28"/>
            <w:lang w:val="en-US"/>
          </w:rPr>
          <w:t>show</w:t>
        </w:r>
        <w:r w:rsidRPr="00511005">
          <w:rPr>
            <w:rFonts w:ascii="Arial" w:eastAsia="Calibri" w:hAnsi="Arial" w:cs="Arial"/>
            <w:szCs w:val="28"/>
          </w:rPr>
          <w:t>/504/96-%</w:t>
        </w:r>
        <w:r w:rsidRPr="00511005">
          <w:rPr>
            <w:rFonts w:ascii="Arial" w:eastAsia="Calibri" w:hAnsi="Arial" w:cs="Arial"/>
            <w:szCs w:val="28"/>
            <w:lang w:val="en-US"/>
          </w:rPr>
          <w:t>D</w:t>
        </w:r>
        <w:r w:rsidRPr="00511005">
          <w:rPr>
            <w:rFonts w:ascii="Arial" w:eastAsia="Calibri" w:hAnsi="Arial" w:cs="Arial"/>
            <w:szCs w:val="28"/>
          </w:rPr>
          <w:t>0%</w:t>
        </w:r>
        <w:r w:rsidRPr="00511005">
          <w:rPr>
            <w:rFonts w:ascii="Arial" w:eastAsia="Calibri" w:hAnsi="Arial" w:cs="Arial"/>
            <w:szCs w:val="28"/>
            <w:lang w:val="en-US"/>
          </w:rPr>
          <w:t>B</w:t>
        </w:r>
        <w:r w:rsidRPr="00511005">
          <w:rPr>
            <w:rFonts w:ascii="Arial" w:eastAsia="Calibri" w:hAnsi="Arial" w:cs="Arial"/>
            <w:szCs w:val="28"/>
          </w:rPr>
          <w:t>2%</w:t>
        </w:r>
        <w:r w:rsidRPr="00511005">
          <w:rPr>
            <w:rFonts w:ascii="Arial" w:eastAsia="Calibri" w:hAnsi="Arial" w:cs="Arial"/>
            <w:szCs w:val="28"/>
            <w:lang w:val="en-US"/>
          </w:rPr>
          <w:t>D</w:t>
        </w:r>
        <w:r w:rsidRPr="00511005">
          <w:rPr>
            <w:rFonts w:ascii="Arial" w:eastAsia="Calibri" w:hAnsi="Arial" w:cs="Arial"/>
            <w:szCs w:val="28"/>
          </w:rPr>
          <w:t>1%80#</w:t>
        </w:r>
        <w:r w:rsidRPr="00511005">
          <w:rPr>
            <w:rFonts w:ascii="Arial" w:eastAsia="Calibri" w:hAnsi="Arial" w:cs="Arial"/>
            <w:szCs w:val="28"/>
            <w:lang w:val="en-US"/>
          </w:rPr>
          <w:t>top</w:t>
        </w:r>
      </w:hyperlink>
      <w:r w:rsidRPr="00511005">
        <w:rPr>
          <w:rFonts w:ascii="Arial" w:eastAsia="Calibri" w:hAnsi="Arial" w:cs="Arial"/>
          <w:szCs w:val="28"/>
        </w:rPr>
        <w:t>.</w:t>
      </w:r>
    </w:p>
    <w:p w14:paraId="7256D73A" w14:textId="77777777" w:rsidR="003476F8" w:rsidRPr="00511005" w:rsidRDefault="003476F8" w:rsidP="003A292D">
      <w:pPr>
        <w:spacing w:line="264" w:lineRule="auto"/>
        <w:contextualSpacing/>
        <w:rPr>
          <w:rFonts w:ascii="Arial" w:eastAsia="Calibri" w:hAnsi="Arial" w:cs="Arial"/>
          <w:szCs w:val="28"/>
        </w:rPr>
      </w:pPr>
      <w:r w:rsidRPr="00511005">
        <w:rPr>
          <w:rFonts w:ascii="Arial" w:eastAsia="Calibri" w:hAnsi="Arial" w:cs="Arial"/>
          <w:szCs w:val="28"/>
        </w:rPr>
        <w:t xml:space="preserve">3. Про введення воєнного стану в Україні: Указ Президента України від 24 лютого 2022 року №64/2022. URL: </w:t>
      </w:r>
      <w:hyperlink r:id="rId1702" w:history="1">
        <w:r w:rsidRPr="00511005">
          <w:rPr>
            <w:rFonts w:ascii="Arial" w:eastAsia="Calibri" w:hAnsi="Arial" w:cs="Arial"/>
            <w:szCs w:val="28"/>
          </w:rPr>
          <w:t>https://www.president.gov.ua/documents/642022-41397</w:t>
        </w:r>
      </w:hyperlink>
      <w:r w:rsidRPr="00511005">
        <w:rPr>
          <w:rFonts w:ascii="Arial" w:eastAsia="Calibri" w:hAnsi="Arial" w:cs="Arial"/>
          <w:szCs w:val="28"/>
        </w:rPr>
        <w:t>.</w:t>
      </w:r>
    </w:p>
    <w:p w14:paraId="088BBC04" w14:textId="77777777" w:rsidR="003476F8" w:rsidRPr="00511005" w:rsidRDefault="003476F8" w:rsidP="003A292D">
      <w:pPr>
        <w:spacing w:line="264" w:lineRule="auto"/>
        <w:contextualSpacing/>
        <w:rPr>
          <w:rFonts w:ascii="Arial" w:eastAsia="Calibri" w:hAnsi="Arial" w:cs="Arial"/>
          <w:szCs w:val="28"/>
          <w:lang w:val="uk-UA"/>
        </w:rPr>
      </w:pPr>
      <w:r w:rsidRPr="00511005">
        <w:rPr>
          <w:rFonts w:ascii="Arial" w:eastAsia="Calibri" w:hAnsi="Arial" w:cs="Arial"/>
          <w:szCs w:val="28"/>
        </w:rPr>
        <w:t>4. Про організацію трудових відносин в умовах воєнного стану: Закон України</w:t>
      </w:r>
      <w:r w:rsidRPr="00511005">
        <w:rPr>
          <w:rFonts w:ascii="Arial" w:eastAsia="Calibri" w:hAnsi="Arial" w:cs="Arial"/>
          <w:szCs w:val="28"/>
          <w:lang w:val="uk-UA"/>
        </w:rPr>
        <w:t xml:space="preserve"> </w:t>
      </w:r>
      <w:r w:rsidRPr="00511005">
        <w:rPr>
          <w:rFonts w:ascii="Arial" w:eastAsia="Calibri" w:hAnsi="Arial" w:cs="Arial"/>
          <w:szCs w:val="28"/>
        </w:rPr>
        <w:t>від 15.03.2022 № 2136-IX.</w:t>
      </w:r>
      <w:r w:rsidRPr="00511005">
        <w:rPr>
          <w:rFonts w:ascii="Arial" w:eastAsia="Calibri" w:hAnsi="Arial" w:cs="Arial"/>
          <w:szCs w:val="28"/>
          <w:lang w:val="uk-UA"/>
        </w:rPr>
        <w:t xml:space="preserve"> </w:t>
      </w:r>
      <w:r w:rsidRPr="00511005">
        <w:rPr>
          <w:rFonts w:ascii="Arial" w:eastAsia="Calibri" w:hAnsi="Arial" w:cs="Arial"/>
          <w:i/>
          <w:iCs/>
          <w:szCs w:val="28"/>
          <w:lang w:val="uk-UA"/>
        </w:rPr>
        <w:t>Відомості Верховної Ради України.</w:t>
      </w:r>
      <w:r w:rsidRPr="00511005">
        <w:rPr>
          <w:rFonts w:ascii="Arial" w:eastAsia="Calibri" w:hAnsi="Arial" w:cs="Arial"/>
          <w:szCs w:val="28"/>
          <w:lang w:val="uk-UA"/>
        </w:rPr>
        <w:t xml:space="preserve"> </w:t>
      </w:r>
      <w:r w:rsidRPr="00511005">
        <w:rPr>
          <w:rFonts w:ascii="Arial" w:eastAsia="Calibri" w:hAnsi="Arial" w:cs="Arial"/>
          <w:szCs w:val="28"/>
        </w:rPr>
        <w:t>URL</w:t>
      </w:r>
      <w:r w:rsidRPr="00511005">
        <w:rPr>
          <w:rFonts w:ascii="Arial" w:eastAsia="Calibri" w:hAnsi="Arial" w:cs="Arial"/>
          <w:szCs w:val="28"/>
          <w:lang w:val="uk-UA"/>
        </w:rPr>
        <w:t xml:space="preserve">: </w:t>
      </w:r>
      <w:hyperlink r:id="rId1703" w:anchor="Text" w:history="1">
        <w:r w:rsidRPr="00511005">
          <w:rPr>
            <w:rFonts w:ascii="Arial" w:eastAsia="Calibri" w:hAnsi="Arial" w:cs="Arial"/>
            <w:szCs w:val="28"/>
          </w:rPr>
          <w:t>https</w:t>
        </w:r>
        <w:r w:rsidRPr="00511005">
          <w:rPr>
            <w:rFonts w:ascii="Arial" w:eastAsia="Calibri" w:hAnsi="Arial" w:cs="Arial"/>
            <w:szCs w:val="28"/>
            <w:lang w:val="uk-UA"/>
          </w:rPr>
          <w:t>://</w:t>
        </w:r>
        <w:r w:rsidRPr="00511005">
          <w:rPr>
            <w:rFonts w:ascii="Arial" w:eastAsia="Calibri" w:hAnsi="Arial" w:cs="Arial"/>
            <w:szCs w:val="28"/>
          </w:rPr>
          <w:t>zakon</w:t>
        </w:r>
        <w:r w:rsidRPr="00511005">
          <w:rPr>
            <w:rFonts w:ascii="Arial" w:eastAsia="Calibri" w:hAnsi="Arial" w:cs="Arial"/>
            <w:szCs w:val="28"/>
            <w:lang w:val="uk-UA"/>
          </w:rPr>
          <w:t>.</w:t>
        </w:r>
        <w:r w:rsidRPr="00511005">
          <w:rPr>
            <w:rFonts w:ascii="Arial" w:eastAsia="Calibri" w:hAnsi="Arial" w:cs="Arial"/>
            <w:szCs w:val="28"/>
          </w:rPr>
          <w:t>rada</w:t>
        </w:r>
        <w:r w:rsidRPr="00511005">
          <w:rPr>
            <w:rFonts w:ascii="Arial" w:eastAsia="Calibri" w:hAnsi="Arial" w:cs="Arial"/>
            <w:szCs w:val="28"/>
            <w:lang w:val="uk-UA"/>
          </w:rPr>
          <w:t>.</w:t>
        </w:r>
        <w:r w:rsidRPr="00511005">
          <w:rPr>
            <w:rFonts w:ascii="Arial" w:eastAsia="Calibri" w:hAnsi="Arial" w:cs="Arial"/>
            <w:szCs w:val="28"/>
          </w:rPr>
          <w:t>gov</w:t>
        </w:r>
        <w:r w:rsidRPr="00511005">
          <w:rPr>
            <w:rFonts w:ascii="Arial" w:eastAsia="Calibri" w:hAnsi="Arial" w:cs="Arial"/>
            <w:szCs w:val="28"/>
            <w:lang w:val="uk-UA"/>
          </w:rPr>
          <w:t>.</w:t>
        </w:r>
        <w:r w:rsidRPr="00511005">
          <w:rPr>
            <w:rFonts w:ascii="Arial" w:eastAsia="Calibri" w:hAnsi="Arial" w:cs="Arial"/>
            <w:szCs w:val="28"/>
          </w:rPr>
          <w:t>ua</w:t>
        </w:r>
        <w:r w:rsidRPr="00511005">
          <w:rPr>
            <w:rFonts w:ascii="Arial" w:eastAsia="Calibri" w:hAnsi="Arial" w:cs="Arial"/>
            <w:szCs w:val="28"/>
            <w:lang w:val="uk-UA"/>
          </w:rPr>
          <w:t>/</w:t>
        </w:r>
        <w:r w:rsidRPr="00511005">
          <w:rPr>
            <w:rFonts w:ascii="Arial" w:eastAsia="Calibri" w:hAnsi="Arial" w:cs="Arial"/>
            <w:szCs w:val="28"/>
          </w:rPr>
          <w:t>laws</w:t>
        </w:r>
        <w:r w:rsidRPr="00511005">
          <w:rPr>
            <w:rFonts w:ascii="Arial" w:eastAsia="Calibri" w:hAnsi="Arial" w:cs="Arial"/>
            <w:szCs w:val="28"/>
            <w:lang w:val="uk-UA"/>
          </w:rPr>
          <w:t>/</w:t>
        </w:r>
        <w:r w:rsidRPr="00511005">
          <w:rPr>
            <w:rFonts w:ascii="Arial" w:eastAsia="Calibri" w:hAnsi="Arial" w:cs="Arial"/>
            <w:szCs w:val="28"/>
          </w:rPr>
          <w:t>show</w:t>
        </w:r>
        <w:r w:rsidRPr="00511005">
          <w:rPr>
            <w:rFonts w:ascii="Arial" w:eastAsia="Calibri" w:hAnsi="Arial" w:cs="Arial"/>
            <w:szCs w:val="28"/>
            <w:lang w:val="uk-UA"/>
          </w:rPr>
          <w:t>/2136-20#</w:t>
        </w:r>
        <w:r w:rsidRPr="00511005">
          <w:rPr>
            <w:rFonts w:ascii="Arial" w:eastAsia="Calibri" w:hAnsi="Arial" w:cs="Arial"/>
            <w:szCs w:val="28"/>
          </w:rPr>
          <w:t>Text</w:t>
        </w:r>
      </w:hyperlink>
      <w:r w:rsidRPr="00511005">
        <w:rPr>
          <w:rFonts w:ascii="Arial" w:eastAsia="Calibri" w:hAnsi="Arial" w:cs="Arial"/>
          <w:szCs w:val="28"/>
          <w:lang w:val="uk-UA"/>
        </w:rPr>
        <w:t xml:space="preserve"> </w:t>
      </w:r>
    </w:p>
    <w:p w14:paraId="73B8A750" w14:textId="77777777" w:rsidR="003476F8" w:rsidRPr="00511005" w:rsidRDefault="003476F8" w:rsidP="003A292D">
      <w:pPr>
        <w:spacing w:line="264" w:lineRule="auto"/>
        <w:contextualSpacing/>
        <w:rPr>
          <w:rFonts w:ascii="Arial" w:eastAsia="Calibri" w:hAnsi="Arial" w:cs="Arial"/>
          <w:szCs w:val="28"/>
        </w:rPr>
      </w:pPr>
      <w:r w:rsidRPr="00511005">
        <w:rPr>
          <w:rFonts w:ascii="Arial" w:eastAsia="Calibri" w:hAnsi="Arial" w:cs="Arial"/>
          <w:szCs w:val="28"/>
        </w:rPr>
        <w:t>5. Гаращенко Л.П. Правове регулювання відпусток за законодавством України: автореф. дис. ... канд. юрид. наук: спец. 12.00.05 - трудове право; право соціального забезпечення. Київ, 2002. 21 с.</w:t>
      </w:r>
    </w:p>
    <w:p w14:paraId="0DF79B4E" w14:textId="77777777" w:rsidR="003476F8" w:rsidRPr="00511005" w:rsidRDefault="003476F8" w:rsidP="003A292D">
      <w:pPr>
        <w:spacing w:line="264" w:lineRule="auto"/>
        <w:contextualSpacing/>
        <w:rPr>
          <w:rFonts w:ascii="Arial" w:eastAsia="Calibri" w:hAnsi="Arial" w:cs="Arial"/>
          <w:szCs w:val="28"/>
        </w:rPr>
      </w:pPr>
    </w:p>
    <w:p w14:paraId="6F0DC0E5" w14:textId="56E0F856" w:rsidR="003476F8" w:rsidRPr="00511005" w:rsidRDefault="007B2628" w:rsidP="003A292D">
      <w:pPr>
        <w:spacing w:line="264" w:lineRule="auto"/>
        <w:ind w:right="-2"/>
        <w:contextualSpacing/>
        <w:rPr>
          <w:rFonts w:ascii="Arial" w:eastAsia="Calibri" w:hAnsi="Arial" w:cs="Arial"/>
          <w:szCs w:val="28"/>
          <w:lang w:val="uk-UA"/>
        </w:rPr>
      </w:pPr>
      <w:r w:rsidRPr="00511005">
        <w:rPr>
          <w:rFonts w:ascii="Arial" w:eastAsia="Calibri" w:hAnsi="Arial" w:cs="Arial"/>
          <w:b/>
          <w:bCs/>
          <w:i/>
          <w:szCs w:val="28"/>
        </w:rPr>
        <w:t xml:space="preserve">Ключові слова: </w:t>
      </w:r>
      <w:proofErr w:type="gramStart"/>
      <w:r w:rsidR="003476F8" w:rsidRPr="00511005">
        <w:rPr>
          <w:rFonts w:ascii="Arial" w:eastAsia="Calibri" w:hAnsi="Arial" w:cs="Arial"/>
          <w:szCs w:val="28"/>
        </w:rPr>
        <w:t>в</w:t>
      </w:r>
      <w:r w:rsidR="003476F8" w:rsidRPr="00511005">
        <w:rPr>
          <w:rFonts w:ascii="Arial" w:eastAsia="Calibri" w:hAnsi="Arial" w:cs="Arial"/>
          <w:szCs w:val="28"/>
          <w:lang w:val="uk-UA"/>
        </w:rPr>
        <w:t>ійна,воєнний</w:t>
      </w:r>
      <w:proofErr w:type="gramEnd"/>
      <w:r w:rsidR="003476F8" w:rsidRPr="00511005">
        <w:rPr>
          <w:rFonts w:ascii="Arial" w:eastAsia="Calibri" w:hAnsi="Arial" w:cs="Arial"/>
          <w:szCs w:val="28"/>
          <w:lang w:val="uk-UA"/>
        </w:rPr>
        <w:t xml:space="preserve"> стан,права працівників,святкові дні, право на відпочинок,обмеження працівників.</w:t>
      </w:r>
    </w:p>
    <w:p w14:paraId="7DAE0EEB" w14:textId="155B2054" w:rsidR="003476F8" w:rsidRPr="00511005" w:rsidRDefault="007B2628" w:rsidP="003A292D">
      <w:pPr>
        <w:spacing w:line="264" w:lineRule="auto"/>
        <w:ind w:right="-2"/>
        <w:contextualSpacing/>
        <w:rPr>
          <w:rFonts w:ascii="Arial" w:eastAsia="Calibri" w:hAnsi="Arial" w:cs="Arial"/>
          <w:szCs w:val="28"/>
          <w:lang w:val="uk-UA"/>
        </w:rPr>
      </w:pPr>
      <w:r w:rsidRPr="00511005">
        <w:rPr>
          <w:rFonts w:ascii="Arial" w:eastAsia="Calibri" w:hAnsi="Arial" w:cs="Arial"/>
          <w:b/>
          <w:bCs/>
          <w:i/>
          <w:szCs w:val="28"/>
          <w:lang w:val="uk-UA"/>
        </w:rPr>
        <w:lastRenderedPageBreak/>
        <w:t xml:space="preserve">Key words: </w:t>
      </w:r>
      <w:r w:rsidR="003476F8" w:rsidRPr="00511005">
        <w:rPr>
          <w:rFonts w:ascii="Arial" w:eastAsia="Calibri" w:hAnsi="Arial" w:cs="Arial"/>
          <w:szCs w:val="28"/>
          <w:lang w:val="uk-UA"/>
        </w:rPr>
        <w:t xml:space="preserve">war, martiallaw, employees rights, holidays, right to rest, </w:t>
      </w:r>
      <w:r w:rsidR="003476F8" w:rsidRPr="00511005">
        <w:rPr>
          <w:rFonts w:ascii="Arial" w:eastAsia="Calibri" w:hAnsi="Arial" w:cs="Arial"/>
          <w:szCs w:val="28"/>
          <w:lang w:val="en-US"/>
        </w:rPr>
        <w:t>r</w:t>
      </w:r>
      <w:r w:rsidR="003476F8" w:rsidRPr="00511005">
        <w:rPr>
          <w:rFonts w:ascii="Arial" w:eastAsia="Calibri" w:hAnsi="Arial" w:cs="Arial"/>
          <w:szCs w:val="28"/>
          <w:lang w:val="uk-UA"/>
        </w:rPr>
        <w:t>estrictions on employees.</w:t>
      </w:r>
    </w:p>
    <w:p w14:paraId="197F45C9" w14:textId="1F7EE9E8" w:rsidR="003476F8" w:rsidRPr="00511005" w:rsidRDefault="007B2628" w:rsidP="003A292D">
      <w:pPr>
        <w:spacing w:line="264" w:lineRule="auto"/>
        <w:rPr>
          <w:rFonts w:ascii="Arial" w:eastAsia="Calibri" w:hAnsi="Arial" w:cs="Arial"/>
          <w:b/>
          <w:bCs/>
          <w:i/>
          <w:iCs/>
          <w:szCs w:val="28"/>
        </w:rPr>
      </w:pPr>
      <w:r w:rsidRPr="00511005">
        <w:rPr>
          <w:rFonts w:ascii="Arial" w:eastAsia="Calibri" w:hAnsi="Arial" w:cs="Arial"/>
          <w:b/>
          <w:i/>
          <w:iCs/>
          <w:szCs w:val="28"/>
        </w:rPr>
        <w:t xml:space="preserve">Науковий керівник: </w:t>
      </w:r>
      <w:r w:rsidR="003476F8" w:rsidRPr="00511005">
        <w:rPr>
          <w:rFonts w:ascii="Arial" w:eastAsia="Calibri" w:hAnsi="Arial" w:cs="Arial"/>
          <w:i/>
          <w:iCs/>
          <w:szCs w:val="28"/>
        </w:rPr>
        <w:t>к.ю.н., доцент Панченко А. О.</w:t>
      </w:r>
    </w:p>
    <w:p w14:paraId="35B36C46" w14:textId="77777777" w:rsidR="003476F8" w:rsidRPr="00511005" w:rsidRDefault="003476F8" w:rsidP="003A292D">
      <w:pPr>
        <w:spacing w:line="264" w:lineRule="auto"/>
        <w:ind w:firstLine="0"/>
        <w:jc w:val="left"/>
        <w:rPr>
          <w:rFonts w:ascii="Arial" w:eastAsia="Calibri" w:hAnsi="Arial" w:cs="Arial"/>
          <w:kern w:val="2"/>
          <w:szCs w:val="28"/>
          <w14:ligatures w14:val="standardContextual"/>
        </w:rPr>
      </w:pPr>
    </w:p>
    <w:p w14:paraId="3F4D9A8A" w14:textId="77777777" w:rsidR="003476F8" w:rsidRPr="00511005" w:rsidRDefault="003476F8" w:rsidP="003A292D">
      <w:pPr>
        <w:spacing w:line="264" w:lineRule="auto"/>
        <w:ind w:firstLine="0"/>
        <w:jc w:val="left"/>
        <w:rPr>
          <w:rFonts w:ascii="Arial" w:eastAsia="Calibri" w:hAnsi="Arial" w:cs="Arial"/>
          <w:kern w:val="2"/>
          <w:szCs w:val="28"/>
          <w14:ligatures w14:val="standardContextual"/>
        </w:rPr>
      </w:pPr>
    </w:p>
    <w:p w14:paraId="1F2E6332" w14:textId="62E03029" w:rsidR="003476F8" w:rsidRPr="00511005" w:rsidRDefault="003476F8" w:rsidP="003A292D">
      <w:pPr>
        <w:spacing w:line="264" w:lineRule="auto"/>
        <w:ind w:firstLine="0"/>
        <w:contextualSpacing/>
        <w:jc w:val="center"/>
        <w:rPr>
          <w:rFonts w:ascii="Arial" w:eastAsia="Calibri" w:hAnsi="Arial" w:cs="Arial"/>
          <w:b/>
          <w:bCs/>
          <w:i/>
          <w:szCs w:val="28"/>
          <w:lang w:val="uk-UA"/>
        </w:rPr>
      </w:pPr>
      <w:r w:rsidRPr="00511005">
        <w:rPr>
          <w:rFonts w:ascii="Arial" w:eastAsia="Calibri" w:hAnsi="Arial" w:cs="Arial"/>
          <w:b/>
          <w:bCs/>
          <w:i/>
          <w:szCs w:val="28"/>
          <w:lang w:val="uk-UA"/>
        </w:rPr>
        <w:t>Петраш Софія Костянтинівна</w:t>
      </w:r>
    </w:p>
    <w:p w14:paraId="51A03E71" w14:textId="1C9AAA25" w:rsidR="003476F8" w:rsidRPr="00511005" w:rsidRDefault="00536AAB" w:rsidP="003A292D">
      <w:pPr>
        <w:spacing w:line="264" w:lineRule="auto"/>
        <w:ind w:firstLine="0"/>
        <w:contextualSpacing/>
        <w:jc w:val="center"/>
        <w:rPr>
          <w:rFonts w:ascii="Arial" w:eastAsia="Calibri" w:hAnsi="Arial" w:cs="Arial"/>
          <w:iCs/>
          <w:szCs w:val="28"/>
          <w:lang w:val="uk-UA"/>
        </w:rPr>
      </w:pPr>
      <w:r w:rsidRPr="00511005">
        <w:rPr>
          <w:rFonts w:ascii="Arial" w:eastAsia="Calibri" w:hAnsi="Arial" w:cs="Arial"/>
          <w:iCs/>
          <w:szCs w:val="28"/>
          <w:lang w:val="uk-UA"/>
        </w:rPr>
        <w:t xml:space="preserve">студентка 2-го курсу </w:t>
      </w:r>
      <w:r w:rsidR="007B2628" w:rsidRPr="00511005">
        <w:rPr>
          <w:rFonts w:ascii="Arial" w:eastAsia="Calibri" w:hAnsi="Arial" w:cs="Arial"/>
          <w:iCs/>
          <w:szCs w:val="28"/>
          <w:lang w:val="uk-UA"/>
        </w:rPr>
        <w:t>факультету цивільної та господарської юстиції</w:t>
      </w:r>
      <w:r w:rsidR="003476F8" w:rsidRPr="00511005">
        <w:rPr>
          <w:rFonts w:ascii="Arial" w:eastAsia="Calibri" w:hAnsi="Arial" w:cs="Arial"/>
          <w:iCs/>
          <w:szCs w:val="28"/>
          <w:lang w:val="uk-UA"/>
        </w:rPr>
        <w:t xml:space="preserve"> </w:t>
      </w:r>
      <w:r w:rsidR="007B2628" w:rsidRPr="00511005">
        <w:rPr>
          <w:rFonts w:ascii="Arial" w:eastAsia="Calibri" w:hAnsi="Arial" w:cs="Arial"/>
          <w:iCs/>
          <w:szCs w:val="28"/>
          <w:lang w:val="uk-UA"/>
        </w:rPr>
        <w:t>Національного університету «Одеська юридична академія»</w:t>
      </w:r>
      <w:r w:rsidR="003476F8" w:rsidRPr="00511005">
        <w:rPr>
          <w:rFonts w:ascii="Arial" w:eastAsia="Calibri" w:hAnsi="Arial" w:cs="Arial"/>
          <w:iCs/>
          <w:szCs w:val="28"/>
          <w:lang w:val="uk-UA"/>
        </w:rPr>
        <w:t xml:space="preserve"> </w:t>
      </w:r>
    </w:p>
    <w:p w14:paraId="0B88679F" w14:textId="77777777" w:rsidR="003476F8" w:rsidRPr="00511005" w:rsidRDefault="003476F8" w:rsidP="003A292D">
      <w:pPr>
        <w:spacing w:line="264" w:lineRule="auto"/>
        <w:ind w:firstLine="0"/>
        <w:jc w:val="center"/>
        <w:rPr>
          <w:rFonts w:ascii="Arial" w:eastAsia="Calibri" w:hAnsi="Arial" w:cs="Arial"/>
          <w:iCs/>
          <w:szCs w:val="28"/>
          <w:lang w:val="uk-UA"/>
        </w:rPr>
      </w:pPr>
    </w:p>
    <w:p w14:paraId="0AFBE7D3" w14:textId="77777777" w:rsidR="003476F8" w:rsidRPr="00511005" w:rsidRDefault="003476F8"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ПРИНЦИП ГЕНДЕРНОЇ РІВНОСТІ У ТРУДОВИХ ВІДНОСИНАХ</w:t>
      </w:r>
    </w:p>
    <w:p w14:paraId="7CF951CE" w14:textId="77777777" w:rsidR="003476F8" w:rsidRPr="00511005" w:rsidRDefault="003476F8" w:rsidP="003A292D">
      <w:pPr>
        <w:spacing w:line="264" w:lineRule="auto"/>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сучасному суспільстві питання забезпечення гендерної рівності набуває особливої актуальності, зокрема у сфері трудових відносин, де традиційно спостерігається нерівність можливостей між жінками та чоловіками. Гендерна рівність – це не лише про справедливий доступ до робочих місць, а й про рівну оплату праці, кар’єрне зростання, безпечні умови праці, захист від дискримінації та насильства на робочому місці. Забезпечення рівних прав і можливостей для всіх працівників незалежно від статі є невід’ємною частиною демократичного суспільства та правової держави.</w:t>
      </w:r>
    </w:p>
    <w:p w14:paraId="03C448F8" w14:textId="77777777" w:rsidR="003476F8" w:rsidRPr="00511005" w:rsidRDefault="003476F8"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В умовах інтеграції України у європейське правове поле важливим завданням є гармонізація національного законодавства із міжнародними стандартами, зокрема Україна, як активний учасник міжнародного правового простору, приєдналася до низки ключових міжнародних документів, що проголошують та закріплюють принципи гендерної рівності. Серед них — Загальна декларація прав людини (1948), Міжнародний пакт про громадянські і політичні права (1966), Статут ООН (1945), Декларація про ліквідацію дискримінації щодо жінок (1967), Конвенція про ліквідацію всіх форм дискримінації щодо жінок (1979), Конвенція про захист прав людини і основоположних свобод (1950), Пекінська декларація (1995) та інші. У відповідь на міжнародні зобов’язання, у 2005 році в Україні було ухвалено Закон України «Про забезпечення рівних прав та можливостей жінок і чоловіків», що став основою для формування державної гендерної політики [1].</w:t>
      </w:r>
    </w:p>
    <w:p w14:paraId="1C3012C2" w14:textId="77777777" w:rsidR="003476F8" w:rsidRPr="00511005" w:rsidRDefault="003476F8"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Цей закон визначає ключові напрямки гендерної політики держави, уповноважені органи її реалізації та інституційні механізми, спрямовані на досягнення рівноправного становища жінок і чоловіків у всіх сферах суспільного життя. Його ухвалення дало старт системному впровадженню національного механізму забезпечення гендерної рівності в Україні.</w:t>
      </w:r>
    </w:p>
    <w:p w14:paraId="7B4C6CF2" w14:textId="77777777" w:rsidR="003476F8" w:rsidRPr="00511005" w:rsidRDefault="003476F8" w:rsidP="003A292D">
      <w:pPr>
        <w:spacing w:line="264" w:lineRule="auto"/>
        <w:contextualSpacing/>
        <w:rPr>
          <w:rFonts w:ascii="Arial" w:eastAsia="Calibri" w:hAnsi="Arial" w:cs="Arial"/>
          <w:szCs w:val="28"/>
        </w:rPr>
      </w:pPr>
      <w:r w:rsidRPr="00511005">
        <w:rPr>
          <w:rFonts w:ascii="Arial" w:eastAsia="Calibri" w:hAnsi="Arial" w:cs="Arial"/>
          <w:szCs w:val="28"/>
          <w:lang w:val="uk-UA"/>
        </w:rPr>
        <w:t xml:space="preserve">Конституція України виступає основоположним актом, що гарантує права і свободи громадян, у тому числі й забезпечення гендерної рівності. Зокрема, стаття 24 Основного Закону проголошує недопустимість будь-яких привілеїв або обмежень за ознаками раси, кольору шкіри, політичних, </w:t>
      </w:r>
      <w:r w:rsidRPr="00511005">
        <w:rPr>
          <w:rFonts w:ascii="Arial" w:eastAsia="Calibri" w:hAnsi="Arial" w:cs="Arial"/>
          <w:szCs w:val="28"/>
          <w:lang w:val="uk-UA"/>
        </w:rPr>
        <w:lastRenderedPageBreak/>
        <w:t>релігійних чи інших переконань, статі, етнічного чи соціального походження, майнового стану, місця проживання, мовних або інших характеристик</w:t>
      </w:r>
      <w:r w:rsidRPr="00511005">
        <w:rPr>
          <w:rFonts w:ascii="Arial" w:eastAsia="Calibri" w:hAnsi="Arial" w:cs="Arial"/>
          <w:szCs w:val="28"/>
        </w:rPr>
        <w:t xml:space="preserve"> [2].</w:t>
      </w:r>
    </w:p>
    <w:p w14:paraId="3DFC8344" w14:textId="77777777" w:rsidR="003476F8" w:rsidRPr="00511005" w:rsidRDefault="003476F8" w:rsidP="003A292D">
      <w:pPr>
        <w:spacing w:line="264" w:lineRule="auto"/>
        <w:contextualSpacing/>
        <w:rPr>
          <w:rFonts w:ascii="Arial" w:eastAsia="Calibri" w:hAnsi="Arial" w:cs="Arial"/>
          <w:szCs w:val="28"/>
        </w:rPr>
      </w:pPr>
      <w:r w:rsidRPr="00511005">
        <w:rPr>
          <w:rFonts w:ascii="Arial" w:eastAsia="Calibri" w:hAnsi="Arial" w:cs="Arial"/>
          <w:szCs w:val="28"/>
          <w:lang w:val="uk-UA"/>
        </w:rPr>
        <w:t>Принцип рівності жінок і чоловіків у сфері праці знайшов своє закріплення й у трудовому законодавстві України. Так, відповідно до статей 21 і 22 Кодексу законів про працю України, кожному громадянину гарантується рівне право на працю незалежно від статі. Закон прямо забороняє як пряме, так і опосередковане обмеження прав або надання переваг під час укладання, зміни чи припинення трудового договору за гендерною ознакою</w:t>
      </w:r>
      <w:r w:rsidRPr="00511005">
        <w:rPr>
          <w:rFonts w:ascii="Arial" w:eastAsia="Calibri" w:hAnsi="Arial" w:cs="Arial"/>
          <w:szCs w:val="28"/>
        </w:rPr>
        <w:t xml:space="preserve"> [3].</w:t>
      </w:r>
    </w:p>
    <w:p w14:paraId="1B448B37" w14:textId="77777777" w:rsidR="003476F8" w:rsidRPr="00511005" w:rsidRDefault="003476F8"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Станом на сьогодні в Україні все ще спостерігається поширеність дискримінаційних проявів у сфері працевлаштування та трудових відносин. Такі дії з боку роботодавців призводять до порушення прав працівників і створюють бар’єри для зайнятості окремих соціальних груп. Однією з найбільш загрозливих форм дискримінації є підрив основ демократичного суспільства, зокрема через прояви упередженого ставлення за статевою, расовою, національною чи релігійною ознакою.</w:t>
      </w:r>
    </w:p>
    <w:p w14:paraId="2F9D89B5" w14:textId="77777777" w:rsidR="003476F8" w:rsidRPr="00511005" w:rsidRDefault="003476F8"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Жінки особливо часто зіштовхуються з нерівним ставленням при прийомі на роботу, недооцінкою їхньої праці в частині заробітної плати, а також із суттєвими обмеженнями у доступі до керівних та впливових позицій. Головною причиною такої ситуації залишаються глибоко вкорінені гендерні стереотипи, які досі формують традиційне уявлення про соціальні ролі чоловіків і жінок у суспільстві.</w:t>
      </w:r>
    </w:p>
    <w:p w14:paraId="49B8BE98" w14:textId="77777777" w:rsidR="003476F8" w:rsidRPr="00511005" w:rsidRDefault="003476F8"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Розглядаючи доцільність нормативного закріплення певних преференцій для жінок у сфері праці, необхідно враховувати, що існує низка видів робіт та умов праці, які є шкідливими не лише для здоров’я жінки загалом, але й можуть негативно впливати на її репродуктивну функцію, а отже – й на здоров’я майбутнього покоління. З цього приводу В.М. Венедіктова слушно зазначає, що «урівнювання жінки з чоловіком у виробничій діяльності не повинно передбачати обов’язковість виконання жінками фізично важкої роботи, яка традиційно вважається «чоловічою» [4, с. 132].</w:t>
      </w:r>
    </w:p>
    <w:p w14:paraId="4F749EE4" w14:textId="77777777" w:rsidR="003476F8" w:rsidRPr="00511005" w:rsidRDefault="003476F8"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Отже, гендерна рівність у сфері праці є одним із базових принципів сучасного правового суспільства, що передбачає надання чоловікам і жінкам рівних прав, можливостей та умов реалізації трудової діяльності. Це не лише правовий імператив, а й інструмент соціальної стабільності та економічного розвитку. Реальні виклики, що стоять перед суспільством, включають дискримінацію при працевлаштуванні, нерівну оплату праці, обмеження жінок у доступі до керівних посад, а також стереотипне сприйняття соціальних ролей чоловіків і жінок. </w:t>
      </w:r>
    </w:p>
    <w:p w14:paraId="48006A38" w14:textId="1C2A2C96" w:rsidR="003476F8" w:rsidRPr="00511005" w:rsidRDefault="003476F8"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Усе це вимагає комплексного підходу та послідовної державної політики. Необхідність нормативного захисту жіночої праці, особливо у сферах, що можуть загрожувати репродуктивному здоров’ю, не суперечить </w:t>
      </w:r>
      <w:r w:rsidRPr="00511005">
        <w:rPr>
          <w:rFonts w:ascii="Arial" w:eastAsia="Calibri" w:hAnsi="Arial" w:cs="Arial"/>
          <w:szCs w:val="28"/>
          <w:lang w:val="uk-UA"/>
        </w:rPr>
        <w:lastRenderedPageBreak/>
        <w:t>ідеї рівності, а навпаки – є її доповненням в умовах біологічних особливостей жіночого організму. Встановлення певних обмежень у цьому контексті має розглядатися не як дискримінація, а як форма охорони праці.</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Для ефективного впровадження гендерної рівності слід посилити просвітницьку роботу серед роботодавців і працівників, удосконалити правові механізми відповідальності за порушення принципу рівності, а також підтримувати інституції, що опікуються питаннями гендерної політики.</w:t>
      </w:r>
    </w:p>
    <w:p w14:paraId="5E88D988" w14:textId="430E20F4" w:rsidR="000437F1" w:rsidRPr="00511005" w:rsidRDefault="000437F1" w:rsidP="003A292D">
      <w:pPr>
        <w:spacing w:line="264" w:lineRule="auto"/>
        <w:contextualSpacing/>
        <w:rPr>
          <w:rFonts w:ascii="Arial" w:eastAsia="Calibri" w:hAnsi="Arial" w:cs="Arial"/>
          <w:szCs w:val="28"/>
          <w:lang w:val="uk-UA"/>
        </w:rPr>
      </w:pPr>
    </w:p>
    <w:p w14:paraId="52F7B491" w14:textId="17394B35" w:rsidR="003476F8" w:rsidRPr="00511005" w:rsidRDefault="007B2628" w:rsidP="007B2628">
      <w:pPr>
        <w:spacing w:line="264" w:lineRule="auto"/>
        <w:contextualSpacing/>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03D710CC" w14:textId="77777777" w:rsidR="003476F8" w:rsidRPr="00511005" w:rsidRDefault="003476F8"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1. Про забезпечення рівних прав та можливостей жінок і чоловіків : Закон України від 08.09.2005 р. № 2866-IV. </w:t>
      </w:r>
      <w:r w:rsidRPr="00511005">
        <w:rPr>
          <w:rFonts w:ascii="Arial" w:eastAsia="Calibri" w:hAnsi="Arial" w:cs="Arial"/>
          <w:i/>
          <w:iCs/>
          <w:szCs w:val="28"/>
          <w:lang w:val="uk-UA"/>
        </w:rPr>
        <w:t>Відомості Верховної Ради України</w:t>
      </w:r>
      <w:r w:rsidRPr="00511005">
        <w:rPr>
          <w:rFonts w:ascii="Arial" w:eastAsia="Calibri" w:hAnsi="Arial" w:cs="Arial"/>
          <w:szCs w:val="28"/>
          <w:lang w:val="uk-UA"/>
        </w:rPr>
        <w:t>. 2005. № 52. Ст. 561.</w:t>
      </w:r>
    </w:p>
    <w:p w14:paraId="6CAC07B9" w14:textId="77777777" w:rsidR="003476F8" w:rsidRPr="00511005" w:rsidRDefault="003476F8" w:rsidP="003A292D">
      <w:pPr>
        <w:spacing w:line="264" w:lineRule="auto"/>
        <w:ind w:firstLine="0"/>
        <w:contextualSpacing/>
        <w:rPr>
          <w:rFonts w:ascii="Arial" w:eastAsia="Calibri" w:hAnsi="Arial" w:cs="Arial"/>
          <w:szCs w:val="28"/>
          <w:shd w:val="clear" w:color="auto" w:fill="FFFFFF"/>
          <w:lang w:val="uk-UA"/>
        </w:rPr>
      </w:pPr>
      <w:r w:rsidRPr="00511005">
        <w:rPr>
          <w:rFonts w:ascii="Arial" w:eastAsia="Calibri" w:hAnsi="Arial" w:cs="Arial"/>
          <w:szCs w:val="28"/>
          <w:lang w:val="uk-UA"/>
        </w:rPr>
        <w:t>2.</w:t>
      </w:r>
      <w:r w:rsidRPr="00511005">
        <w:rPr>
          <w:rFonts w:ascii="Arial" w:eastAsia="Calibri" w:hAnsi="Arial" w:cs="Arial"/>
          <w:szCs w:val="28"/>
          <w:shd w:val="clear" w:color="auto" w:fill="FFFFFF"/>
          <w:lang w:val="uk-UA"/>
        </w:rPr>
        <w:t xml:space="preserve"> Конституція України: Закон України від 28.06.1996 р. URL: </w:t>
      </w:r>
      <w:hyperlink r:id="rId1704" w:anchor="Text" w:history="1">
        <w:r w:rsidRPr="00511005">
          <w:rPr>
            <w:rFonts w:ascii="Arial" w:eastAsia="Calibri" w:hAnsi="Arial" w:cs="Arial"/>
            <w:szCs w:val="28"/>
            <w:shd w:val="clear" w:color="auto" w:fill="FFFFFF"/>
            <w:lang w:val="uk-UA"/>
          </w:rPr>
          <w:t>https://zakon.rada.gov.ua/laws/show/254к/96-вр#Text</w:t>
        </w:r>
      </w:hyperlink>
    </w:p>
    <w:p w14:paraId="1EB12517" w14:textId="77777777" w:rsidR="003476F8" w:rsidRPr="00511005" w:rsidRDefault="003476F8" w:rsidP="003A292D">
      <w:pPr>
        <w:spacing w:line="264" w:lineRule="auto"/>
        <w:ind w:firstLine="0"/>
        <w:contextualSpacing/>
        <w:rPr>
          <w:rFonts w:ascii="Arial" w:eastAsia="Calibri" w:hAnsi="Arial" w:cs="Arial"/>
          <w:szCs w:val="28"/>
          <w:shd w:val="clear" w:color="auto" w:fill="FFFFFF"/>
          <w:lang w:val="uk-UA"/>
        </w:rPr>
      </w:pPr>
      <w:r w:rsidRPr="00511005">
        <w:rPr>
          <w:rFonts w:ascii="Arial" w:eastAsia="Calibri" w:hAnsi="Arial" w:cs="Arial"/>
          <w:szCs w:val="28"/>
          <w:shd w:val="clear" w:color="auto" w:fill="FFFFFF"/>
        </w:rPr>
        <w:t>3.</w:t>
      </w:r>
      <w:r w:rsidRPr="00511005">
        <w:rPr>
          <w:rFonts w:ascii="Arial" w:eastAsia="Calibri" w:hAnsi="Arial" w:cs="Arial"/>
          <w:szCs w:val="28"/>
          <w:shd w:val="clear" w:color="auto" w:fill="FFFFFF"/>
          <w:lang w:val="uk-UA"/>
        </w:rPr>
        <w:t xml:space="preserve"> Кодекс законів про працю України: Закон України від 10.12.1971 р. URL: </w:t>
      </w:r>
      <w:hyperlink r:id="rId1705" w:anchor="Text" w:history="1">
        <w:r w:rsidRPr="00511005">
          <w:rPr>
            <w:rFonts w:ascii="Arial" w:eastAsia="Calibri" w:hAnsi="Arial" w:cs="Arial"/>
            <w:szCs w:val="28"/>
            <w:shd w:val="clear" w:color="auto" w:fill="FFFFFF"/>
            <w:lang w:val="uk-UA"/>
          </w:rPr>
          <w:t>https://zakon.rada.gov.ua/laws/show/322-08#Text</w:t>
        </w:r>
      </w:hyperlink>
    </w:p>
    <w:p w14:paraId="0CE8B7F4" w14:textId="77777777" w:rsidR="003476F8" w:rsidRPr="00511005" w:rsidRDefault="003476F8"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shd w:val="clear" w:color="auto" w:fill="FFFFFF"/>
          <w:lang w:val="uk-UA"/>
        </w:rPr>
        <w:t>4.</w:t>
      </w:r>
      <w:r w:rsidRPr="00511005">
        <w:rPr>
          <w:rFonts w:ascii="Arial" w:eastAsia="Calibri" w:hAnsi="Arial" w:cs="Arial"/>
          <w:szCs w:val="28"/>
          <w:lang w:val="uk-UA"/>
        </w:rPr>
        <w:t xml:space="preserve"> Венедиктова В.М. Забезпечення фактичної рівності при реалізації права на працю. </w:t>
      </w:r>
      <w:r w:rsidRPr="00511005">
        <w:rPr>
          <w:rFonts w:ascii="Arial" w:eastAsia="Calibri" w:hAnsi="Arial" w:cs="Arial"/>
          <w:i/>
          <w:iCs/>
          <w:szCs w:val="28"/>
          <w:lang w:val="uk-UA"/>
        </w:rPr>
        <w:t>Право і безпека</w:t>
      </w:r>
      <w:r w:rsidRPr="00511005">
        <w:rPr>
          <w:rFonts w:ascii="Arial" w:eastAsia="Calibri" w:hAnsi="Arial" w:cs="Arial"/>
          <w:szCs w:val="28"/>
          <w:lang w:val="uk-UA"/>
        </w:rPr>
        <w:t>. 2004. № 3-2. С. 133-134.</w:t>
      </w:r>
    </w:p>
    <w:p w14:paraId="56E5C1E3" w14:textId="77777777" w:rsidR="003476F8" w:rsidRPr="00511005" w:rsidRDefault="003476F8" w:rsidP="003A292D">
      <w:pPr>
        <w:spacing w:line="264" w:lineRule="auto"/>
        <w:ind w:firstLine="0"/>
        <w:contextualSpacing/>
        <w:rPr>
          <w:rFonts w:ascii="Arial" w:eastAsia="Calibri" w:hAnsi="Arial" w:cs="Arial"/>
          <w:szCs w:val="28"/>
          <w:lang w:val="uk-UA"/>
        </w:rPr>
      </w:pPr>
    </w:p>
    <w:p w14:paraId="474C0EC9" w14:textId="1BBF31F7" w:rsidR="003476F8" w:rsidRPr="00511005" w:rsidRDefault="007B2628" w:rsidP="003A292D">
      <w:pPr>
        <w:spacing w:line="264" w:lineRule="auto"/>
        <w:contextualSpacing/>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3476F8" w:rsidRPr="00511005">
        <w:rPr>
          <w:rFonts w:ascii="Arial" w:eastAsia="Calibri" w:hAnsi="Arial" w:cs="Arial"/>
          <w:szCs w:val="28"/>
          <w:lang w:val="uk-UA"/>
        </w:rPr>
        <w:t>гендерна рівність, трудові відносини, дискримінація, права жінок і чоловіків, гендерні стереотипи, рівні можливості, трудове законодавство.</w:t>
      </w:r>
    </w:p>
    <w:p w14:paraId="4BE00F62" w14:textId="2180EEA2" w:rsidR="003476F8" w:rsidRPr="00511005" w:rsidRDefault="007B2628" w:rsidP="003A292D">
      <w:pPr>
        <w:spacing w:line="264" w:lineRule="auto"/>
        <w:contextualSpacing/>
        <w:rPr>
          <w:rFonts w:ascii="Arial" w:eastAsia="Times New Roman" w:hAnsi="Arial" w:cs="Arial"/>
          <w:szCs w:val="28"/>
          <w:lang w:val="uk-UA" w:eastAsia="uk-UA"/>
        </w:rPr>
      </w:pPr>
      <w:r w:rsidRPr="00511005">
        <w:rPr>
          <w:rFonts w:ascii="Arial" w:eastAsia="Times New Roman" w:hAnsi="Arial" w:cs="Arial"/>
          <w:b/>
          <w:i/>
          <w:szCs w:val="28"/>
          <w:lang w:val="en-US" w:eastAsia="uk-UA"/>
        </w:rPr>
        <w:t xml:space="preserve">Key words: </w:t>
      </w:r>
      <w:r w:rsidR="003476F8" w:rsidRPr="00511005">
        <w:rPr>
          <w:rFonts w:ascii="Arial" w:eastAsia="Calibri" w:hAnsi="Arial" w:cs="Arial"/>
          <w:szCs w:val="28"/>
          <w:lang w:val="uk-UA"/>
        </w:rPr>
        <w:t>gender equality, labor relations, discrimination, women's and men's rights, gender stereotypes, equal opportunities, labor legislation.</w:t>
      </w:r>
    </w:p>
    <w:p w14:paraId="6DBAFEB0" w14:textId="7813848C" w:rsidR="003476F8" w:rsidRPr="00511005" w:rsidRDefault="007B2628" w:rsidP="003A292D">
      <w:pPr>
        <w:spacing w:line="264" w:lineRule="auto"/>
        <w:contextualSpacing/>
        <w:rPr>
          <w:rFonts w:ascii="Arial" w:eastAsia="Times New Roman" w:hAnsi="Arial" w:cs="Arial"/>
          <w:szCs w:val="28"/>
          <w:lang w:val="uk-UA" w:eastAsia="uk-UA"/>
        </w:rPr>
      </w:pPr>
      <w:r w:rsidRPr="00511005">
        <w:rPr>
          <w:rFonts w:ascii="Arial" w:eastAsia="Times New Roman" w:hAnsi="Arial" w:cs="Arial"/>
          <w:b/>
          <w:bCs/>
          <w:i/>
          <w:iCs/>
          <w:szCs w:val="28"/>
          <w:lang w:val="uk-UA" w:eastAsia="ru-RU"/>
        </w:rPr>
        <w:t xml:space="preserve">Науковий керівник: </w:t>
      </w:r>
      <w:r w:rsidR="003476F8" w:rsidRPr="00511005">
        <w:rPr>
          <w:rFonts w:ascii="Arial" w:eastAsia="Calibri" w:hAnsi="Arial" w:cs="Arial"/>
          <w:bCs/>
          <w:i/>
          <w:iCs/>
          <w:szCs w:val="28"/>
          <w:lang w:val="uk-UA"/>
        </w:rPr>
        <w:t>доцент кафедри, кандидат юридичних наук, доцент Панченко А.О.</w:t>
      </w:r>
    </w:p>
    <w:p w14:paraId="39C988D8"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03939752"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5020D7E4"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17071B06" w14:textId="77777777" w:rsidR="003476F8" w:rsidRPr="00511005" w:rsidRDefault="003476F8" w:rsidP="003A292D">
      <w:pPr>
        <w:spacing w:line="264" w:lineRule="auto"/>
        <w:ind w:firstLine="0"/>
        <w:jc w:val="center"/>
        <w:rPr>
          <w:rFonts w:ascii="Arial" w:eastAsia="Calibri" w:hAnsi="Arial" w:cs="Arial"/>
          <w:b/>
          <w:bCs/>
          <w:i/>
          <w:iCs/>
          <w:kern w:val="2"/>
          <w:szCs w:val="28"/>
          <w:lang w:val="uk-UA"/>
        </w:rPr>
      </w:pPr>
      <w:r w:rsidRPr="00511005">
        <w:rPr>
          <w:rFonts w:ascii="Arial" w:eastAsia="Calibri" w:hAnsi="Arial" w:cs="Arial"/>
          <w:b/>
          <w:bCs/>
          <w:i/>
          <w:iCs/>
          <w:kern w:val="2"/>
          <w:szCs w:val="28"/>
          <w:lang w:val="uk-UA"/>
        </w:rPr>
        <w:t>Піх Ксенія Віталіївна</w:t>
      </w:r>
    </w:p>
    <w:p w14:paraId="06A47CD1" w14:textId="3FD41893" w:rsidR="003476F8" w:rsidRPr="00511005" w:rsidRDefault="00536AAB" w:rsidP="003A292D">
      <w:pPr>
        <w:spacing w:line="264" w:lineRule="auto"/>
        <w:ind w:firstLine="0"/>
        <w:jc w:val="center"/>
        <w:rPr>
          <w:rFonts w:ascii="Arial" w:eastAsia="Calibri" w:hAnsi="Arial" w:cs="Arial"/>
          <w:kern w:val="2"/>
          <w:szCs w:val="28"/>
          <w:lang w:val="uk-UA"/>
        </w:rPr>
      </w:pPr>
      <w:r w:rsidRPr="00511005">
        <w:rPr>
          <w:rFonts w:ascii="Arial" w:eastAsia="Calibri" w:hAnsi="Arial" w:cs="Arial"/>
          <w:kern w:val="2"/>
          <w:szCs w:val="28"/>
          <w:lang w:val="uk-UA"/>
        </w:rPr>
        <w:t xml:space="preserve">студентка 2-го курсу </w:t>
      </w:r>
      <w:r w:rsidR="001B7B25" w:rsidRPr="00511005">
        <w:rPr>
          <w:rFonts w:ascii="Arial" w:eastAsia="Calibri" w:hAnsi="Arial" w:cs="Arial"/>
          <w:kern w:val="2"/>
          <w:szCs w:val="28"/>
          <w:lang w:val="uk-UA"/>
        </w:rPr>
        <w:t>факультету судового та міжнародного права</w:t>
      </w:r>
    </w:p>
    <w:p w14:paraId="6F5503E9" w14:textId="63C1A865" w:rsidR="003476F8" w:rsidRPr="00511005" w:rsidRDefault="007B2628" w:rsidP="003A292D">
      <w:pPr>
        <w:spacing w:line="264" w:lineRule="auto"/>
        <w:ind w:firstLine="0"/>
        <w:jc w:val="center"/>
        <w:rPr>
          <w:rFonts w:ascii="Arial" w:eastAsia="Calibri" w:hAnsi="Arial" w:cs="Arial"/>
          <w:kern w:val="2"/>
          <w:szCs w:val="28"/>
          <w:lang w:val="uk-UA"/>
        </w:rPr>
      </w:pPr>
      <w:r w:rsidRPr="00511005">
        <w:rPr>
          <w:rFonts w:ascii="Arial" w:eastAsia="Calibri" w:hAnsi="Arial" w:cs="Arial"/>
          <w:kern w:val="2"/>
          <w:szCs w:val="28"/>
          <w:lang w:val="uk-UA"/>
        </w:rPr>
        <w:t>Національного університету «Одеська юридична академія»</w:t>
      </w:r>
    </w:p>
    <w:p w14:paraId="2B84055F" w14:textId="77777777" w:rsidR="003476F8" w:rsidRPr="00511005" w:rsidRDefault="003476F8" w:rsidP="003A292D">
      <w:pPr>
        <w:spacing w:line="264" w:lineRule="auto"/>
        <w:ind w:firstLine="0"/>
        <w:jc w:val="center"/>
        <w:rPr>
          <w:rFonts w:ascii="Arial" w:eastAsia="Calibri" w:hAnsi="Arial" w:cs="Arial"/>
          <w:kern w:val="2"/>
          <w:szCs w:val="28"/>
          <w:lang w:val="uk-UA"/>
        </w:rPr>
      </w:pPr>
    </w:p>
    <w:p w14:paraId="02CECD94" w14:textId="77777777" w:rsidR="003476F8" w:rsidRPr="00511005" w:rsidRDefault="003476F8" w:rsidP="003A292D">
      <w:pPr>
        <w:spacing w:line="264" w:lineRule="auto"/>
        <w:ind w:firstLine="567"/>
        <w:jc w:val="center"/>
        <w:rPr>
          <w:rFonts w:ascii="Arial" w:eastAsia="Calibri" w:hAnsi="Arial" w:cs="Arial"/>
          <w:b/>
          <w:bCs/>
          <w:kern w:val="2"/>
          <w:szCs w:val="28"/>
          <w:lang w:val="uk-UA"/>
        </w:rPr>
      </w:pPr>
      <w:r w:rsidRPr="00511005">
        <w:rPr>
          <w:rFonts w:ascii="Arial" w:eastAsia="Calibri" w:hAnsi="Arial" w:cs="Arial"/>
          <w:b/>
          <w:bCs/>
          <w:kern w:val="2"/>
          <w:szCs w:val="28"/>
          <w:lang w:val="uk-UA"/>
        </w:rPr>
        <w:t>УКЛАДЕННЯ ТРУДОВОГО ДОГОВОРУ З ДИСТАНЦІЙНИМ ПРАЦІВНИКОМ: ПРАВОВІ ОСОБЛИВОСТІ В УМОВАХ ВОЄННОГО СТАНУ</w:t>
      </w:r>
    </w:p>
    <w:p w14:paraId="52B165DB" w14:textId="4498D13F" w:rsidR="003476F8" w:rsidRPr="00511005" w:rsidRDefault="003476F8" w:rsidP="003A292D">
      <w:pPr>
        <w:spacing w:line="264" w:lineRule="auto"/>
        <w:ind w:firstLine="567"/>
        <w:rPr>
          <w:rFonts w:ascii="Arial" w:eastAsia="Calibri" w:hAnsi="Arial" w:cs="Arial"/>
          <w:kern w:val="2"/>
          <w:szCs w:val="28"/>
          <w:lang w:val="uk-UA"/>
        </w:rPr>
      </w:pPr>
      <w:r w:rsidRPr="00511005">
        <w:rPr>
          <w:rFonts w:ascii="Arial" w:eastAsia="Calibri" w:hAnsi="Arial" w:cs="Arial"/>
          <w:kern w:val="2"/>
          <w:szCs w:val="28"/>
          <w:lang w:val="uk-UA"/>
        </w:rPr>
        <w:t>За останні декілька років дистанційна та надомна робота набули актуального значення для українських підприємств. Це зумовлено не лише введенням воєнного стану, а й зростанням ролі віддаленої праці в таких галузях, як ІТ, програмування та бізнес-послуги, де підприємство, наприклад, часто працює і в зарубіжному секторі. З іншої сторони, значна кількість працівників,</w:t>
      </w:r>
      <w:r w:rsidR="007B2628" w:rsidRPr="00511005">
        <w:rPr>
          <w:rFonts w:ascii="Arial" w:eastAsia="Calibri" w:hAnsi="Arial" w:cs="Arial"/>
          <w:kern w:val="2"/>
          <w:szCs w:val="28"/>
          <w:lang w:val="uk-UA"/>
        </w:rPr>
        <w:t xml:space="preserve"> </w:t>
      </w:r>
      <w:r w:rsidRPr="00511005">
        <w:rPr>
          <w:rFonts w:ascii="Arial" w:eastAsia="Calibri" w:hAnsi="Arial" w:cs="Arial"/>
          <w:kern w:val="2"/>
          <w:szCs w:val="28"/>
          <w:lang w:val="uk-UA"/>
        </w:rPr>
        <w:t xml:space="preserve">зокрема внутрішньо переміщених осіб (ВПО) та тих, хто емігрував з України через війну або з інших причин, продовжують </w:t>
      </w:r>
      <w:r w:rsidRPr="00511005">
        <w:rPr>
          <w:rFonts w:ascii="Arial" w:eastAsia="Calibri" w:hAnsi="Arial" w:cs="Arial"/>
          <w:kern w:val="2"/>
          <w:szCs w:val="28"/>
          <w:lang w:val="uk-UA"/>
        </w:rPr>
        <w:lastRenderedPageBreak/>
        <w:t>виконувати свої обов'язки для українських роботодавців у віддаленому форматі.</w:t>
      </w:r>
    </w:p>
    <w:p w14:paraId="09B9F4D1" w14:textId="77777777" w:rsidR="007B2628" w:rsidRPr="00511005" w:rsidRDefault="003476F8" w:rsidP="003A292D">
      <w:pPr>
        <w:spacing w:line="264" w:lineRule="auto"/>
        <w:ind w:firstLine="567"/>
        <w:rPr>
          <w:rFonts w:ascii="Arial" w:eastAsia="Calibri" w:hAnsi="Arial" w:cs="Arial"/>
          <w:kern w:val="2"/>
          <w:szCs w:val="28"/>
          <w:lang w:val="uk-UA"/>
        </w:rPr>
      </w:pPr>
      <w:r w:rsidRPr="00511005">
        <w:rPr>
          <w:rFonts w:ascii="Arial" w:eastAsia="Calibri" w:hAnsi="Arial" w:cs="Arial"/>
          <w:kern w:val="2"/>
          <w:szCs w:val="28"/>
          <w:lang w:val="uk-UA"/>
        </w:rPr>
        <w:t>Відповідно до норм чинного трудового законодавства України, дистанційна робота визначається як форма організації праці, за якої робота виконується працівником поза робочим приміщенням чи територією роботодавця, в будь-якому місці за вибором працівника та з використанням інформаційно-комунікаційних технологій [1]. Відповідно до КЗпП України такий трудовий договір обов</w:t>
      </w:r>
      <w:r w:rsidRPr="00511005">
        <w:rPr>
          <w:rFonts w:ascii="Arial" w:eastAsia="Calibri" w:hAnsi="Arial" w:cs="Arial"/>
          <w:kern w:val="2"/>
          <w:szCs w:val="28"/>
        </w:rPr>
        <w:t>’</w:t>
      </w:r>
      <w:r w:rsidRPr="00511005">
        <w:rPr>
          <w:rFonts w:ascii="Arial" w:eastAsia="Calibri" w:hAnsi="Arial" w:cs="Arial"/>
          <w:kern w:val="2"/>
          <w:szCs w:val="28"/>
          <w:lang w:val="uk-UA"/>
        </w:rPr>
        <w:t>язково укладається в письмовій формі. Однак, варто підкреслити, що в умовах воєнного стану запровадження дистанційної роботи не вимагає обов’язкового укладання трудового договору в письмовій формі. Натомість це може бути здійснено шляхом видання наказу роботодавця. Такий підхід дозволяє ефективно адаптувати трудові відносини до особливостей правового режиму воєнного стану, коли стандартні процедури можуть бути спрощені. Отже, роботодавець має право організувати дистанційну роботу для працівників просто видавши відповідний наказ, без необхідності формального письмового договору [2].</w:t>
      </w:r>
    </w:p>
    <w:p w14:paraId="0198619D" w14:textId="30C4D206" w:rsidR="003476F8" w:rsidRPr="00511005" w:rsidRDefault="003476F8" w:rsidP="003A292D">
      <w:pPr>
        <w:spacing w:line="264" w:lineRule="auto"/>
        <w:ind w:firstLine="567"/>
        <w:rPr>
          <w:rFonts w:ascii="Arial" w:eastAsia="Calibri" w:hAnsi="Arial" w:cs="Arial"/>
          <w:kern w:val="2"/>
          <w:szCs w:val="28"/>
          <w:lang w:val="uk-UA"/>
        </w:rPr>
      </w:pPr>
      <w:r w:rsidRPr="00511005">
        <w:rPr>
          <w:rFonts w:ascii="Arial" w:eastAsia="Calibri" w:hAnsi="Arial" w:cs="Arial"/>
          <w:kern w:val="2"/>
          <w:szCs w:val="28"/>
          <w:lang w:val="uk-UA"/>
        </w:rPr>
        <w:t>Також, при укладенні трудового договору про дистанційну роботу передбачена спеціальна типова форма такого договору,</w:t>
      </w:r>
      <w:r w:rsidR="007B2628" w:rsidRPr="00511005">
        <w:rPr>
          <w:rFonts w:ascii="Arial" w:eastAsia="Calibri" w:hAnsi="Arial" w:cs="Arial"/>
          <w:kern w:val="2"/>
          <w:szCs w:val="28"/>
          <w:lang w:val="uk-UA"/>
        </w:rPr>
        <w:t xml:space="preserve"> </w:t>
      </w:r>
      <w:r w:rsidRPr="00511005">
        <w:rPr>
          <w:rFonts w:ascii="Arial" w:eastAsia="Calibri" w:hAnsi="Arial" w:cs="Arial"/>
          <w:kern w:val="2"/>
          <w:szCs w:val="28"/>
          <w:lang w:val="uk-UA"/>
        </w:rPr>
        <w:t>яка офіційно затверджена [3].</w:t>
      </w:r>
    </w:p>
    <w:p w14:paraId="4DE5769C" w14:textId="77777777" w:rsidR="003476F8" w:rsidRPr="00511005" w:rsidRDefault="003476F8" w:rsidP="003A292D">
      <w:pPr>
        <w:spacing w:line="264" w:lineRule="auto"/>
        <w:ind w:firstLine="567"/>
        <w:rPr>
          <w:rFonts w:ascii="Arial" w:eastAsia="Calibri" w:hAnsi="Arial" w:cs="Arial"/>
          <w:kern w:val="2"/>
          <w:szCs w:val="28"/>
          <w:lang w:val="uk-UA"/>
        </w:rPr>
      </w:pPr>
      <w:r w:rsidRPr="00511005">
        <w:rPr>
          <w:rFonts w:ascii="Arial" w:eastAsia="Calibri" w:hAnsi="Arial" w:cs="Arial"/>
          <w:kern w:val="2"/>
          <w:szCs w:val="28"/>
          <w:lang w:val="uk-UA"/>
        </w:rPr>
        <w:t xml:space="preserve">Слід також зазначити, що особливості укладення трудового договору в умовах воєнного стану регулює Закон України «Про організацію трудових відносин в умовах воєнного стану», хоча прямої статті, яка б регулювала виключно укладення трудового договору з дистанційним працівником цей закон не містить </w:t>
      </w:r>
      <w:bookmarkStart w:id="200" w:name="_Hlk195036340"/>
      <w:r w:rsidRPr="00511005">
        <w:rPr>
          <w:rFonts w:ascii="Arial" w:eastAsia="Calibri" w:hAnsi="Arial" w:cs="Arial"/>
          <w:kern w:val="2"/>
          <w:szCs w:val="28"/>
          <w:lang w:val="uk-UA"/>
        </w:rPr>
        <w:t xml:space="preserve">[4]. </w:t>
      </w:r>
      <w:bookmarkEnd w:id="200"/>
    </w:p>
    <w:p w14:paraId="77042FD0" w14:textId="6A06F543" w:rsidR="003476F8" w:rsidRPr="00511005" w:rsidRDefault="003476F8" w:rsidP="003A292D">
      <w:pPr>
        <w:spacing w:line="264" w:lineRule="auto"/>
        <w:ind w:firstLine="567"/>
        <w:rPr>
          <w:rFonts w:ascii="Arial" w:eastAsia="Calibri" w:hAnsi="Arial" w:cs="Arial"/>
          <w:kern w:val="2"/>
          <w:szCs w:val="28"/>
          <w:lang w:val="uk-UA"/>
        </w:rPr>
      </w:pPr>
      <w:r w:rsidRPr="00511005">
        <w:rPr>
          <w:rFonts w:ascii="Arial" w:eastAsia="Calibri" w:hAnsi="Arial" w:cs="Arial"/>
          <w:kern w:val="2"/>
          <w:szCs w:val="28"/>
          <w:lang w:val="uk-UA"/>
        </w:rPr>
        <w:t>В умовах воєнного стану укладення</w:t>
      </w:r>
      <w:r w:rsidR="007B2628" w:rsidRPr="00511005">
        <w:rPr>
          <w:rFonts w:ascii="Arial" w:eastAsia="Calibri" w:hAnsi="Arial" w:cs="Arial"/>
          <w:kern w:val="2"/>
          <w:szCs w:val="28"/>
          <w:lang w:val="uk-UA"/>
        </w:rPr>
        <w:t xml:space="preserve"> </w:t>
      </w:r>
      <w:r w:rsidRPr="00511005">
        <w:rPr>
          <w:rFonts w:ascii="Arial" w:eastAsia="Calibri" w:hAnsi="Arial" w:cs="Arial"/>
          <w:kern w:val="2"/>
          <w:szCs w:val="28"/>
          <w:lang w:val="uk-UA"/>
        </w:rPr>
        <w:t>трудового договору з дистанційним працівником окрім низки переваг має і ряд недоліків. По-перше, відсутність у трудовому законодавстві чітких норм щодо дистанційної роботи створює правову невизначеність. Роботодавці на практиці можуть не знати</w:t>
      </w:r>
      <w:r w:rsidR="007B2628" w:rsidRPr="00511005">
        <w:rPr>
          <w:rFonts w:ascii="Arial" w:eastAsia="Calibri" w:hAnsi="Arial" w:cs="Arial"/>
          <w:kern w:val="2"/>
          <w:szCs w:val="28"/>
          <w:lang w:val="uk-UA"/>
        </w:rPr>
        <w:t xml:space="preserve"> </w:t>
      </w:r>
      <w:r w:rsidRPr="00511005">
        <w:rPr>
          <w:rFonts w:ascii="Arial" w:eastAsia="Calibri" w:hAnsi="Arial" w:cs="Arial"/>
          <w:kern w:val="2"/>
          <w:szCs w:val="28"/>
          <w:lang w:val="uk-UA"/>
        </w:rPr>
        <w:t>як правильно оформити відносини з працівниками, які перебувають за кордоном, що ускладнює облік робочого часу чи захист даних. По-друге, контроль виконання дистанційної роботи залишається викликом, особливо для ВПО чи емігрантів, які працюють із різних локацій. Наприклад, роботодавці стикаються з труднощами в оцінці продуктивності чи забезпеченні інформаційної безпеки [2]. Для порівняння, у деяких країнах Європейського Союзу, наприклад Польща, законодавство чітко визначає права дистанційних працівників, зокрема на відключення від роботи чи компенсацію витрат, що мінімізує такі проблеми [5].</w:t>
      </w:r>
    </w:p>
    <w:p w14:paraId="76AB2E81" w14:textId="77777777" w:rsidR="003476F8" w:rsidRPr="00511005" w:rsidRDefault="003476F8" w:rsidP="003A292D">
      <w:pPr>
        <w:spacing w:line="264" w:lineRule="auto"/>
        <w:ind w:firstLine="567"/>
        <w:rPr>
          <w:rFonts w:ascii="Arial" w:eastAsia="Calibri" w:hAnsi="Arial" w:cs="Arial"/>
          <w:kern w:val="2"/>
          <w:szCs w:val="28"/>
          <w:lang w:val="uk-UA"/>
        </w:rPr>
      </w:pPr>
      <w:r w:rsidRPr="00511005">
        <w:rPr>
          <w:rFonts w:ascii="Arial" w:eastAsia="Calibri" w:hAnsi="Arial" w:cs="Arial"/>
          <w:kern w:val="2"/>
          <w:szCs w:val="28"/>
          <w:lang w:val="uk-UA"/>
        </w:rPr>
        <w:t xml:space="preserve">Крім того, дистанційна робота в умовах воєнного стану може мати додаткові технічні труднощі: відключення електроенергії, перебої зі зв’язком чи брак обладнання ускладнюють для працівників виконання обов’язків. Наприклад, працівники можуть не мати стабільного доступу до інтернету, що впливає на якість роботи, але </w:t>
      </w:r>
      <w:r w:rsidRPr="00511005">
        <w:rPr>
          <w:rFonts w:ascii="Arial" w:eastAsia="Calibri" w:hAnsi="Arial" w:cs="Arial"/>
          <w:kern w:val="2"/>
          <w:szCs w:val="28"/>
        </w:rPr>
        <w:t xml:space="preserve">законодавство не дає чітких вказівок, як </w:t>
      </w:r>
      <w:r w:rsidRPr="00511005">
        <w:rPr>
          <w:rFonts w:ascii="Arial" w:eastAsia="Calibri" w:hAnsi="Arial" w:cs="Arial"/>
          <w:kern w:val="2"/>
          <w:szCs w:val="28"/>
        </w:rPr>
        <w:lastRenderedPageBreak/>
        <w:t>вирішувати такі ситуації</w:t>
      </w:r>
      <w:r w:rsidRPr="00511005">
        <w:rPr>
          <w:rFonts w:ascii="Arial" w:eastAsia="Calibri" w:hAnsi="Arial" w:cs="Arial"/>
          <w:kern w:val="2"/>
          <w:szCs w:val="28"/>
          <w:lang w:val="uk-UA"/>
        </w:rPr>
        <w:t>. На практиці роботодавці можуть прописувати чіткі правила дистанційної роботи, наприклад, компенсацію витрат за інтернет. Це вимагає від них додаткових зусиль, але підвищує ефективність і захищає інтереси обох сторін [2].</w:t>
      </w:r>
    </w:p>
    <w:p w14:paraId="2023F317" w14:textId="77777777" w:rsidR="003476F8" w:rsidRPr="00511005" w:rsidRDefault="003476F8" w:rsidP="003A292D">
      <w:pPr>
        <w:spacing w:line="264" w:lineRule="auto"/>
        <w:ind w:firstLine="567"/>
        <w:rPr>
          <w:rFonts w:ascii="Arial" w:eastAsia="Calibri" w:hAnsi="Arial" w:cs="Arial"/>
          <w:kern w:val="2"/>
          <w:szCs w:val="28"/>
          <w:lang w:val="uk-UA"/>
        </w:rPr>
      </w:pPr>
      <w:r w:rsidRPr="00511005">
        <w:rPr>
          <w:rFonts w:ascii="Arial" w:eastAsia="Calibri" w:hAnsi="Arial" w:cs="Arial"/>
          <w:kern w:val="2"/>
          <w:szCs w:val="28"/>
        </w:rPr>
        <w:t xml:space="preserve">На нашу думку, для вдосконалення регулювання укладення трудового договору про дистанційну роботу доцільно більш чітко </w:t>
      </w:r>
      <w:r w:rsidRPr="00511005">
        <w:rPr>
          <w:rFonts w:ascii="Arial" w:eastAsia="Calibri" w:hAnsi="Arial" w:cs="Arial"/>
          <w:kern w:val="2"/>
          <w:szCs w:val="28"/>
          <w:lang w:val="uk-UA"/>
        </w:rPr>
        <w:t>визначити порядок укладення таких договорів. Також варто розробити рекомендації для роботодавців щодо організації дистанційної роботи, зокрема стосовно захисту даних і компенсації витрат на обладнання. Це підвищить прозорість трудових відносин і захистить права працівників.</w:t>
      </w:r>
    </w:p>
    <w:p w14:paraId="1E31864F" w14:textId="77777777" w:rsidR="003476F8" w:rsidRPr="00511005" w:rsidRDefault="003476F8" w:rsidP="003A292D">
      <w:pPr>
        <w:spacing w:line="264" w:lineRule="auto"/>
        <w:ind w:firstLine="0"/>
        <w:rPr>
          <w:rFonts w:ascii="Arial" w:eastAsia="Calibri" w:hAnsi="Arial" w:cs="Arial"/>
          <w:kern w:val="2"/>
          <w:szCs w:val="28"/>
          <w:lang w:val="uk-UA"/>
        </w:rPr>
      </w:pPr>
    </w:p>
    <w:p w14:paraId="6CFA4D14" w14:textId="02242E89" w:rsidR="003476F8" w:rsidRPr="00511005" w:rsidRDefault="007B2628" w:rsidP="007B2628">
      <w:pPr>
        <w:spacing w:line="264" w:lineRule="auto"/>
        <w:ind w:firstLine="567"/>
        <w:jc w:val="center"/>
        <w:rPr>
          <w:rFonts w:ascii="Arial" w:eastAsia="Calibri" w:hAnsi="Arial" w:cs="Arial"/>
          <w:kern w:val="2"/>
          <w:szCs w:val="28"/>
          <w:lang w:val="uk-UA"/>
        </w:rPr>
      </w:pPr>
      <w:r w:rsidRPr="00511005">
        <w:rPr>
          <w:rFonts w:ascii="Arial" w:eastAsia="Calibri" w:hAnsi="Arial" w:cs="Arial"/>
          <w:b/>
          <w:bCs/>
          <w:iCs/>
          <w:kern w:val="2"/>
          <w:szCs w:val="28"/>
          <w:lang w:val="uk-UA"/>
        </w:rPr>
        <w:t>Список використаних джерел</w:t>
      </w:r>
    </w:p>
    <w:p w14:paraId="596BE3F0" w14:textId="07F54BF8" w:rsidR="003476F8" w:rsidRPr="00511005" w:rsidRDefault="003476F8" w:rsidP="003F6A5D">
      <w:pPr>
        <w:widowControl w:val="0"/>
        <w:numPr>
          <w:ilvl w:val="0"/>
          <w:numId w:val="459"/>
        </w:numPr>
        <w:pBdr>
          <w:top w:val="nil"/>
          <w:left w:val="nil"/>
          <w:bottom w:val="nil"/>
          <w:right w:val="nil"/>
          <w:between w:val="nil"/>
        </w:pBdr>
        <w:tabs>
          <w:tab w:val="left" w:pos="287"/>
        </w:tabs>
        <w:spacing w:line="264" w:lineRule="auto"/>
        <w:jc w:val="left"/>
        <w:rPr>
          <w:rFonts w:ascii="Arial" w:eastAsia="Calibri" w:hAnsi="Arial" w:cs="Arial"/>
          <w:kern w:val="2"/>
          <w:szCs w:val="28"/>
          <w:lang w:val="uk-UA"/>
        </w:rPr>
      </w:pPr>
      <w:r w:rsidRPr="00511005">
        <w:rPr>
          <w:rFonts w:ascii="Arial" w:eastAsia="Calibri" w:hAnsi="Arial" w:cs="Arial"/>
          <w:kern w:val="2"/>
          <w:szCs w:val="28"/>
          <w:lang w:val="uk-UA"/>
        </w:rPr>
        <w:t>Кодекс законів про працю: Закон України від 10.11. 1971 року.</w:t>
      </w:r>
      <w:r w:rsidR="007B2628" w:rsidRPr="00511005">
        <w:rPr>
          <w:rFonts w:ascii="Arial" w:eastAsia="Calibri" w:hAnsi="Arial" w:cs="Arial"/>
          <w:kern w:val="2"/>
          <w:szCs w:val="28"/>
          <w:lang w:val="uk-UA"/>
        </w:rPr>
        <w:t xml:space="preserve"> </w:t>
      </w:r>
      <w:r w:rsidRPr="00511005">
        <w:rPr>
          <w:rFonts w:ascii="Arial" w:eastAsia="Calibri" w:hAnsi="Arial" w:cs="Arial"/>
          <w:i/>
          <w:kern w:val="2"/>
          <w:szCs w:val="28"/>
          <w:lang w:val="uk-UA"/>
        </w:rPr>
        <w:t>Відомості Верховної Ради УРСР</w:t>
      </w:r>
      <w:r w:rsidRPr="00511005">
        <w:rPr>
          <w:rFonts w:ascii="Arial" w:eastAsia="Calibri" w:hAnsi="Arial" w:cs="Arial"/>
          <w:kern w:val="2"/>
          <w:szCs w:val="28"/>
          <w:lang w:val="uk-UA"/>
        </w:rPr>
        <w:t>. 1971. № 50. Ст. 375.</w:t>
      </w:r>
    </w:p>
    <w:p w14:paraId="1B1448C7" w14:textId="77777777" w:rsidR="003476F8" w:rsidRPr="00511005" w:rsidRDefault="003476F8" w:rsidP="003F6A5D">
      <w:pPr>
        <w:widowControl w:val="0"/>
        <w:numPr>
          <w:ilvl w:val="0"/>
          <w:numId w:val="459"/>
        </w:numPr>
        <w:pBdr>
          <w:top w:val="nil"/>
          <w:left w:val="nil"/>
          <w:bottom w:val="nil"/>
          <w:right w:val="nil"/>
          <w:between w:val="nil"/>
        </w:pBdr>
        <w:tabs>
          <w:tab w:val="left" w:pos="287"/>
        </w:tabs>
        <w:spacing w:line="264" w:lineRule="auto"/>
        <w:jc w:val="left"/>
        <w:rPr>
          <w:rFonts w:ascii="Arial" w:eastAsia="Calibri" w:hAnsi="Arial" w:cs="Arial"/>
          <w:kern w:val="2"/>
          <w:szCs w:val="28"/>
          <w:lang w:val="uk-UA"/>
        </w:rPr>
      </w:pPr>
      <w:r w:rsidRPr="00511005">
        <w:rPr>
          <w:rFonts w:ascii="Arial" w:eastAsia="Times New Roman" w:hAnsi="Arial" w:cs="Arial"/>
          <w:szCs w:val="28"/>
          <w:lang w:eastAsia="ru-RU"/>
        </w:rPr>
        <w:t xml:space="preserve">Трудовий договір чи наказ: які документи потрібно укласти при дистанційній роботі? </w:t>
      </w:r>
      <w:r w:rsidRPr="00511005">
        <w:rPr>
          <w:rFonts w:ascii="Arial" w:eastAsia="Times New Roman" w:hAnsi="Arial" w:cs="Arial"/>
          <w:iCs/>
          <w:szCs w:val="28"/>
          <w:lang w:eastAsia="ru-RU"/>
        </w:rPr>
        <w:t>Гельсінська спілка з прав людини</w:t>
      </w:r>
      <w:r w:rsidRPr="00511005">
        <w:rPr>
          <w:rFonts w:ascii="Arial" w:eastAsia="Times New Roman" w:hAnsi="Arial" w:cs="Arial"/>
          <w:szCs w:val="28"/>
          <w:lang w:eastAsia="ru-RU"/>
        </w:rPr>
        <w:t xml:space="preserve">, 2023.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1706" w:tgtFrame="_blank"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www</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helsinki</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org</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articles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trudovyy</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dohovir</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chi</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nakaz</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iaki</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dokumenty</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potribno</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uklasty</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pry</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dystantsiyniy</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roboti</w:t>
        </w:r>
        <w:r w:rsidRPr="00511005">
          <w:rPr>
            <w:rFonts w:ascii="Arial" w:eastAsia="Times New Roman" w:hAnsi="Arial" w:cs="Arial"/>
            <w:szCs w:val="28"/>
            <w:lang w:eastAsia="ru-RU"/>
          </w:rPr>
          <w:t>/</w:t>
        </w:r>
      </w:hyperlink>
      <w:r w:rsidRPr="00511005">
        <w:rPr>
          <w:rFonts w:ascii="Arial" w:eastAsia="Times New Roman" w:hAnsi="Arial" w:cs="Arial"/>
          <w:szCs w:val="28"/>
          <w:lang w:eastAsia="ru-RU"/>
        </w:rPr>
        <w:t xml:space="preserve"> </w:t>
      </w:r>
    </w:p>
    <w:p w14:paraId="7438C4EB" w14:textId="77777777" w:rsidR="003476F8" w:rsidRPr="00511005" w:rsidRDefault="003476F8" w:rsidP="003F6A5D">
      <w:pPr>
        <w:widowControl w:val="0"/>
        <w:numPr>
          <w:ilvl w:val="0"/>
          <w:numId w:val="459"/>
        </w:numPr>
        <w:pBdr>
          <w:top w:val="nil"/>
          <w:left w:val="nil"/>
          <w:bottom w:val="nil"/>
          <w:right w:val="nil"/>
          <w:between w:val="nil"/>
        </w:pBdr>
        <w:tabs>
          <w:tab w:val="left" w:pos="287"/>
        </w:tabs>
        <w:spacing w:line="264" w:lineRule="auto"/>
        <w:jc w:val="left"/>
        <w:rPr>
          <w:rFonts w:ascii="Arial" w:eastAsia="Calibri" w:hAnsi="Arial" w:cs="Arial"/>
          <w:kern w:val="2"/>
          <w:szCs w:val="28"/>
          <w:lang w:val="uk-UA"/>
        </w:rPr>
      </w:pPr>
      <w:r w:rsidRPr="00511005">
        <w:rPr>
          <w:rFonts w:ascii="Arial" w:eastAsia="Times New Roman" w:hAnsi="Arial" w:cs="Arial"/>
          <w:szCs w:val="28"/>
          <w:lang w:val="uk-UA" w:eastAsia="ru-RU"/>
        </w:rPr>
        <w:t xml:space="preserve">Про затвердження типових форм трудових договорів про надомну та дистанційну роботу: Наказ Міністерства розвитку економіки, торгівлі та сільського господарства України від 05.05.2021 № 913-21. </w:t>
      </w:r>
      <w:r w:rsidRPr="00511005">
        <w:rPr>
          <w:rFonts w:ascii="Arial" w:eastAsia="Times New Roman" w:hAnsi="Arial" w:cs="Arial"/>
          <w:i/>
          <w:szCs w:val="28"/>
          <w:lang w:val="uk-UA" w:eastAsia="ru-RU"/>
        </w:rPr>
        <w:t>Офіційний Вісник України</w:t>
      </w:r>
      <w:r w:rsidRPr="00511005">
        <w:rPr>
          <w:rFonts w:ascii="Arial" w:eastAsia="Times New Roman" w:hAnsi="Arial" w:cs="Arial"/>
          <w:szCs w:val="28"/>
          <w:lang w:val="uk-UA" w:eastAsia="ru-RU"/>
        </w:rPr>
        <w:t>. 2021. № 54. Ст. 3383.</w:t>
      </w:r>
    </w:p>
    <w:p w14:paraId="40E76847" w14:textId="77777777" w:rsidR="003476F8" w:rsidRPr="00511005" w:rsidRDefault="003476F8" w:rsidP="003F6A5D">
      <w:pPr>
        <w:numPr>
          <w:ilvl w:val="0"/>
          <w:numId w:val="459"/>
        </w:numPr>
        <w:spacing w:line="264" w:lineRule="auto"/>
        <w:jc w:val="left"/>
        <w:rPr>
          <w:rFonts w:ascii="Arial" w:eastAsia="Calibri" w:hAnsi="Arial" w:cs="Arial"/>
          <w:kern w:val="2"/>
          <w:szCs w:val="28"/>
          <w:lang w:val="uk-UA"/>
        </w:rPr>
      </w:pPr>
      <w:r w:rsidRPr="00511005">
        <w:rPr>
          <w:rFonts w:ascii="Arial" w:eastAsia="Calibri" w:hAnsi="Arial" w:cs="Arial"/>
          <w:kern w:val="2"/>
          <w:szCs w:val="28"/>
          <w:lang w:val="uk-UA"/>
        </w:rPr>
        <w:t xml:space="preserve">Про організацію трудових відносин в умовах воєнного стану: Закон України від 15.03.2022 року № </w:t>
      </w:r>
      <w:r w:rsidRPr="00511005">
        <w:rPr>
          <w:rFonts w:ascii="Arial" w:eastAsia="Calibri" w:hAnsi="Arial" w:cs="Arial"/>
          <w:bCs/>
          <w:kern w:val="2"/>
          <w:szCs w:val="28"/>
          <w:shd w:val="clear" w:color="auto" w:fill="FFFFFF"/>
          <w:lang w:val="uk-UA"/>
        </w:rPr>
        <w:t xml:space="preserve">2136-IX. </w:t>
      </w:r>
      <w:r w:rsidRPr="00511005">
        <w:rPr>
          <w:rFonts w:ascii="Arial" w:eastAsia="Calibri" w:hAnsi="Arial" w:cs="Arial"/>
          <w:bCs/>
          <w:i/>
          <w:kern w:val="2"/>
          <w:szCs w:val="28"/>
          <w:shd w:val="clear" w:color="auto" w:fill="FFFFFF"/>
          <w:lang w:val="uk-UA"/>
        </w:rPr>
        <w:t>Офіційний Вісник України</w:t>
      </w:r>
      <w:r w:rsidRPr="00511005">
        <w:rPr>
          <w:rFonts w:ascii="Arial" w:eastAsia="Calibri" w:hAnsi="Arial" w:cs="Arial"/>
          <w:bCs/>
          <w:kern w:val="2"/>
          <w:szCs w:val="28"/>
          <w:shd w:val="clear" w:color="auto" w:fill="FFFFFF"/>
          <w:lang w:val="uk-UA"/>
        </w:rPr>
        <w:t>. 2022. №31. Ст. 1634.</w:t>
      </w:r>
    </w:p>
    <w:p w14:paraId="08983DD8" w14:textId="77777777" w:rsidR="003476F8" w:rsidRPr="00511005" w:rsidRDefault="003476F8" w:rsidP="003F6A5D">
      <w:pPr>
        <w:numPr>
          <w:ilvl w:val="0"/>
          <w:numId w:val="459"/>
        </w:numPr>
        <w:spacing w:line="264" w:lineRule="auto"/>
        <w:jc w:val="left"/>
        <w:rPr>
          <w:rFonts w:ascii="Arial" w:eastAsia="Calibri" w:hAnsi="Arial" w:cs="Arial"/>
          <w:kern w:val="2"/>
          <w:szCs w:val="28"/>
          <w:lang w:val="uk-UA"/>
        </w:rPr>
      </w:pPr>
      <w:r w:rsidRPr="00511005">
        <w:rPr>
          <w:rFonts w:ascii="Arial" w:eastAsia="Calibri" w:hAnsi="Arial" w:cs="Arial"/>
          <w:szCs w:val="28"/>
          <w:lang w:val="uk-UA" w:eastAsia="ru-RU"/>
        </w:rPr>
        <w:t xml:space="preserve">Directive (EU) 2019/1152 of the European Parliament and of the Council of 20 June 2019 on transparent and predictable working conditions in the European Union. URL: </w:t>
      </w:r>
      <w:hyperlink r:id="rId1707" w:history="1">
        <w:r w:rsidRPr="00511005">
          <w:rPr>
            <w:rFonts w:ascii="Arial" w:eastAsia="Calibri" w:hAnsi="Arial" w:cs="Arial"/>
            <w:szCs w:val="28"/>
            <w:lang w:val="uk-UA" w:eastAsia="ru-RU"/>
          </w:rPr>
          <w:t>https://eur-lex.europa.eu/legal-content/EN/TXT/?uri=CELEX:32019L1152</w:t>
        </w:r>
      </w:hyperlink>
      <w:r w:rsidRPr="00511005">
        <w:rPr>
          <w:rFonts w:ascii="Arial" w:eastAsia="Calibri" w:hAnsi="Arial" w:cs="Arial"/>
          <w:szCs w:val="28"/>
          <w:lang w:val="uk-UA" w:eastAsia="ru-RU"/>
        </w:rPr>
        <w:t xml:space="preserve"> .</w:t>
      </w:r>
    </w:p>
    <w:p w14:paraId="538936F9" w14:textId="77777777" w:rsidR="003476F8" w:rsidRPr="00511005" w:rsidRDefault="003476F8" w:rsidP="003A292D">
      <w:pPr>
        <w:spacing w:line="264" w:lineRule="auto"/>
        <w:ind w:left="720" w:firstLine="0"/>
        <w:contextualSpacing/>
        <w:jc w:val="left"/>
        <w:rPr>
          <w:rFonts w:ascii="Arial" w:eastAsia="Calibri" w:hAnsi="Arial" w:cs="Arial"/>
          <w:kern w:val="2"/>
          <w:szCs w:val="28"/>
          <w:lang w:val="uk-UA"/>
        </w:rPr>
      </w:pPr>
    </w:p>
    <w:p w14:paraId="520ECE70" w14:textId="60C326F2" w:rsidR="003476F8" w:rsidRPr="00511005" w:rsidRDefault="007B2628" w:rsidP="003A292D">
      <w:pPr>
        <w:spacing w:line="264" w:lineRule="auto"/>
        <w:contextualSpacing/>
        <w:rPr>
          <w:rFonts w:ascii="Arial" w:eastAsia="Calibri" w:hAnsi="Arial" w:cs="Arial"/>
          <w:kern w:val="2"/>
          <w:szCs w:val="28"/>
          <w:lang w:val="uk-UA"/>
        </w:rPr>
      </w:pPr>
      <w:r w:rsidRPr="00511005">
        <w:rPr>
          <w:rFonts w:ascii="Arial" w:eastAsia="Calibri" w:hAnsi="Arial" w:cs="Arial"/>
          <w:b/>
          <w:bCs/>
          <w:i/>
          <w:kern w:val="2"/>
          <w:szCs w:val="28"/>
          <w:lang w:val="uk-UA"/>
        </w:rPr>
        <w:t xml:space="preserve">Ключові слова: </w:t>
      </w:r>
      <w:r w:rsidR="003476F8" w:rsidRPr="00511005">
        <w:rPr>
          <w:rFonts w:ascii="Arial" w:eastAsia="Calibri" w:hAnsi="Arial" w:cs="Arial"/>
          <w:kern w:val="2"/>
          <w:szCs w:val="28"/>
          <w:lang w:val="uk-UA"/>
        </w:rPr>
        <w:t>трудовий договір, укладення трудового договору, трудовий договір з дистанційним працівником, законодавство України.</w:t>
      </w:r>
    </w:p>
    <w:p w14:paraId="1D1292AE" w14:textId="64B95C37" w:rsidR="003476F8" w:rsidRPr="00511005" w:rsidRDefault="007B2628" w:rsidP="003A292D">
      <w:pPr>
        <w:spacing w:line="264" w:lineRule="auto"/>
        <w:contextualSpacing/>
        <w:rPr>
          <w:rFonts w:ascii="Arial" w:eastAsia="Calibri" w:hAnsi="Arial" w:cs="Arial"/>
          <w:kern w:val="2"/>
          <w:szCs w:val="28"/>
          <w:lang w:val="uk-UA"/>
        </w:rPr>
      </w:pPr>
      <w:r w:rsidRPr="00511005">
        <w:rPr>
          <w:rFonts w:ascii="Arial" w:eastAsia="Calibri" w:hAnsi="Arial" w:cs="Arial"/>
          <w:b/>
          <w:bCs/>
          <w:i/>
          <w:kern w:val="2"/>
          <w:szCs w:val="28"/>
          <w:lang w:val="uk-UA"/>
        </w:rPr>
        <w:t xml:space="preserve">Key words: </w:t>
      </w:r>
      <w:r w:rsidR="003476F8" w:rsidRPr="00511005">
        <w:rPr>
          <w:rFonts w:ascii="Arial" w:eastAsia="Calibri" w:hAnsi="Arial" w:cs="Arial"/>
          <w:bCs/>
          <w:kern w:val="2"/>
          <w:szCs w:val="28"/>
          <w:lang w:val="uk-UA"/>
        </w:rPr>
        <w:t>employment contract, conclusion of an employment contract, employment contract with a remote worker, legislation of Ukraine.</w:t>
      </w:r>
    </w:p>
    <w:p w14:paraId="6C91D794" w14:textId="2A315003" w:rsidR="003476F8" w:rsidRPr="00511005" w:rsidRDefault="007B2628" w:rsidP="003A292D">
      <w:pPr>
        <w:spacing w:line="264" w:lineRule="auto"/>
        <w:jc w:val="left"/>
        <w:rPr>
          <w:rFonts w:ascii="Arial" w:eastAsia="Times New Roman" w:hAnsi="Arial" w:cs="Arial"/>
          <w:i/>
          <w:iCs/>
          <w:szCs w:val="28"/>
          <w:lang w:eastAsia="ru-RU"/>
        </w:rPr>
      </w:pPr>
      <w:r w:rsidRPr="00511005">
        <w:rPr>
          <w:rFonts w:ascii="Arial" w:eastAsia="Times New Roman" w:hAnsi="Arial" w:cs="Arial"/>
          <w:b/>
          <w:i/>
          <w:iCs/>
          <w:szCs w:val="28"/>
          <w:lang w:val="uk-UA" w:eastAsia="ru-RU"/>
        </w:rPr>
        <w:t xml:space="preserve">Науковий керівник: </w:t>
      </w:r>
      <w:r w:rsidR="003476F8" w:rsidRPr="00511005">
        <w:rPr>
          <w:rFonts w:ascii="Arial" w:eastAsia="Times New Roman" w:hAnsi="Arial" w:cs="Arial"/>
          <w:i/>
          <w:iCs/>
          <w:szCs w:val="28"/>
          <w:lang w:val="uk-UA" w:eastAsia="ru-RU"/>
        </w:rPr>
        <w:t>к.ю.н., доцент</w:t>
      </w:r>
      <w:r w:rsidRPr="00511005">
        <w:rPr>
          <w:rFonts w:ascii="Arial" w:eastAsia="Times New Roman" w:hAnsi="Arial" w:cs="Arial"/>
          <w:i/>
          <w:iCs/>
          <w:szCs w:val="28"/>
          <w:lang w:val="uk-UA" w:eastAsia="ru-RU"/>
        </w:rPr>
        <w:t xml:space="preserve"> </w:t>
      </w:r>
      <w:r w:rsidR="003476F8" w:rsidRPr="00511005">
        <w:rPr>
          <w:rFonts w:ascii="Arial" w:eastAsia="Times New Roman" w:hAnsi="Arial" w:cs="Arial"/>
          <w:i/>
          <w:iCs/>
          <w:szCs w:val="28"/>
          <w:lang w:val="uk-UA" w:eastAsia="ru-RU"/>
        </w:rPr>
        <w:t>Наньєва М</w:t>
      </w:r>
      <w:r w:rsidR="003476F8" w:rsidRPr="00511005">
        <w:rPr>
          <w:rFonts w:ascii="Arial" w:eastAsia="Times New Roman" w:hAnsi="Arial" w:cs="Arial"/>
          <w:i/>
          <w:iCs/>
          <w:szCs w:val="28"/>
          <w:lang w:eastAsia="ru-RU"/>
        </w:rPr>
        <w:t>.</w:t>
      </w:r>
      <w:r w:rsidR="003476F8" w:rsidRPr="00511005">
        <w:rPr>
          <w:rFonts w:ascii="Arial" w:eastAsia="Times New Roman" w:hAnsi="Arial" w:cs="Arial"/>
          <w:i/>
          <w:iCs/>
          <w:szCs w:val="28"/>
          <w:lang w:val="uk-UA" w:eastAsia="ru-RU"/>
        </w:rPr>
        <w:t xml:space="preserve"> І</w:t>
      </w:r>
      <w:r w:rsidR="003476F8" w:rsidRPr="00511005">
        <w:rPr>
          <w:rFonts w:ascii="Arial" w:eastAsia="Times New Roman" w:hAnsi="Arial" w:cs="Arial"/>
          <w:i/>
          <w:iCs/>
          <w:szCs w:val="28"/>
          <w:lang w:eastAsia="ru-RU"/>
        </w:rPr>
        <w:t>.</w:t>
      </w:r>
    </w:p>
    <w:p w14:paraId="320835B6" w14:textId="77777777" w:rsidR="003476F8" w:rsidRPr="00511005" w:rsidRDefault="003476F8" w:rsidP="003A292D">
      <w:pPr>
        <w:spacing w:line="264" w:lineRule="auto"/>
        <w:ind w:firstLine="0"/>
        <w:jc w:val="left"/>
        <w:rPr>
          <w:rFonts w:ascii="Arial" w:eastAsia="Calibri" w:hAnsi="Arial" w:cs="Arial"/>
          <w:kern w:val="2"/>
          <w:szCs w:val="28"/>
          <w14:ligatures w14:val="standardContextual"/>
        </w:rPr>
      </w:pPr>
    </w:p>
    <w:p w14:paraId="00016528" w14:textId="77777777" w:rsidR="003476F8" w:rsidRPr="00511005" w:rsidRDefault="003476F8" w:rsidP="003A292D">
      <w:pPr>
        <w:spacing w:line="264" w:lineRule="auto"/>
        <w:ind w:firstLine="0"/>
        <w:jc w:val="left"/>
        <w:rPr>
          <w:rFonts w:ascii="Arial" w:eastAsia="Calibri" w:hAnsi="Arial" w:cs="Arial"/>
          <w:kern w:val="2"/>
          <w:szCs w:val="28"/>
          <w14:ligatures w14:val="standardContextual"/>
        </w:rPr>
      </w:pPr>
    </w:p>
    <w:p w14:paraId="5092616F" w14:textId="77777777" w:rsidR="003476F8" w:rsidRPr="00511005" w:rsidRDefault="003476F8" w:rsidP="003A292D">
      <w:pPr>
        <w:spacing w:line="264" w:lineRule="auto"/>
        <w:ind w:firstLine="0"/>
        <w:jc w:val="left"/>
        <w:rPr>
          <w:rFonts w:ascii="Arial" w:eastAsia="Calibri" w:hAnsi="Arial" w:cs="Arial"/>
          <w:kern w:val="2"/>
          <w:szCs w:val="28"/>
          <w14:ligatures w14:val="standardContextual"/>
        </w:rPr>
      </w:pPr>
    </w:p>
    <w:p w14:paraId="731DA3E3" w14:textId="77777777" w:rsidR="00D815F0" w:rsidRDefault="00D815F0">
      <w:pPr>
        <w:spacing w:after="200" w:line="276" w:lineRule="auto"/>
        <w:ind w:firstLine="0"/>
        <w:jc w:val="left"/>
        <w:rPr>
          <w:rFonts w:ascii="Arial" w:eastAsia="Times New Roman" w:hAnsi="Arial" w:cs="Arial"/>
          <w:b/>
          <w:bCs/>
          <w:i/>
          <w:iCs/>
          <w:szCs w:val="28"/>
          <w:lang w:val="uk-UA" w:eastAsia="ru-RU"/>
        </w:rPr>
      </w:pPr>
      <w:r>
        <w:rPr>
          <w:rFonts w:ascii="Arial" w:eastAsia="Times New Roman" w:hAnsi="Arial" w:cs="Arial"/>
          <w:b/>
          <w:bCs/>
          <w:i/>
          <w:iCs/>
          <w:szCs w:val="28"/>
          <w:lang w:val="uk-UA" w:eastAsia="ru-RU"/>
        </w:rPr>
        <w:br w:type="page"/>
      </w:r>
    </w:p>
    <w:p w14:paraId="1AB0B81E" w14:textId="0232D4E2" w:rsidR="003476F8" w:rsidRPr="00511005" w:rsidRDefault="003476F8" w:rsidP="003A292D">
      <w:pPr>
        <w:autoSpaceDE w:val="0"/>
        <w:autoSpaceDN w:val="0"/>
        <w:adjustRightInd w:val="0"/>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lastRenderedPageBreak/>
        <w:t>Повшук Іоанна Ігорівна</w:t>
      </w:r>
    </w:p>
    <w:p w14:paraId="0894219B" w14:textId="3E0AE0D8" w:rsidR="003476F8" w:rsidRPr="00D815F0" w:rsidRDefault="00536AAB" w:rsidP="003A292D">
      <w:pPr>
        <w:autoSpaceDE w:val="0"/>
        <w:autoSpaceDN w:val="0"/>
        <w:adjustRightInd w:val="0"/>
        <w:spacing w:line="264" w:lineRule="auto"/>
        <w:ind w:firstLine="0"/>
        <w:jc w:val="center"/>
        <w:rPr>
          <w:rFonts w:ascii="Arial" w:eastAsia="Times New Roman" w:hAnsi="Arial" w:cs="Arial"/>
          <w:szCs w:val="28"/>
          <w:lang w:val="uk-UA" w:eastAsia="ru-RU"/>
        </w:rPr>
      </w:pPr>
      <w:r w:rsidRPr="00D815F0">
        <w:rPr>
          <w:rFonts w:ascii="Arial" w:eastAsia="Times New Roman" w:hAnsi="Arial" w:cs="Arial"/>
          <w:szCs w:val="28"/>
          <w:lang w:val="uk-UA" w:eastAsia="ru-RU"/>
        </w:rPr>
        <w:t xml:space="preserve">студентка 2-го курсу </w:t>
      </w:r>
      <w:r w:rsidR="001B7B25" w:rsidRPr="00D815F0">
        <w:rPr>
          <w:rFonts w:ascii="Arial" w:eastAsia="Times New Roman" w:hAnsi="Arial" w:cs="Arial"/>
          <w:szCs w:val="28"/>
          <w:lang w:val="uk-UA" w:eastAsia="ru-RU"/>
        </w:rPr>
        <w:t>факультету судового та міжнародного права</w:t>
      </w:r>
    </w:p>
    <w:p w14:paraId="35D9EE75" w14:textId="532527BD" w:rsidR="003476F8" w:rsidRPr="00D815F0" w:rsidRDefault="003476F8" w:rsidP="003A292D">
      <w:pPr>
        <w:autoSpaceDE w:val="0"/>
        <w:autoSpaceDN w:val="0"/>
        <w:adjustRightInd w:val="0"/>
        <w:spacing w:line="264" w:lineRule="auto"/>
        <w:ind w:firstLine="0"/>
        <w:jc w:val="center"/>
        <w:rPr>
          <w:rFonts w:ascii="Arial" w:eastAsia="Times New Roman" w:hAnsi="Arial" w:cs="Arial"/>
          <w:szCs w:val="28"/>
          <w:lang w:val="uk-UA" w:eastAsia="ru-RU"/>
        </w:rPr>
      </w:pPr>
      <w:r w:rsidRPr="00D815F0">
        <w:rPr>
          <w:rFonts w:ascii="Arial" w:eastAsia="Times New Roman" w:hAnsi="Arial" w:cs="Arial"/>
          <w:szCs w:val="28"/>
          <w:lang w:val="uk-UA" w:eastAsia="ru-RU"/>
        </w:rPr>
        <w:t>Національного університет</w:t>
      </w:r>
      <w:r w:rsidR="00D815F0">
        <w:rPr>
          <w:rFonts w:ascii="Arial" w:eastAsia="Times New Roman" w:hAnsi="Arial" w:cs="Arial"/>
          <w:szCs w:val="28"/>
          <w:lang w:val="uk-UA" w:eastAsia="ru-RU"/>
        </w:rPr>
        <w:t>у</w:t>
      </w:r>
      <w:r w:rsidRPr="00D815F0">
        <w:rPr>
          <w:rFonts w:ascii="Arial" w:eastAsia="Times New Roman" w:hAnsi="Arial" w:cs="Arial"/>
          <w:szCs w:val="28"/>
          <w:lang w:val="uk-UA" w:eastAsia="ru-RU"/>
        </w:rPr>
        <w:t xml:space="preserve"> «Одеська юридична академія»</w:t>
      </w:r>
    </w:p>
    <w:p w14:paraId="174D9C90" w14:textId="177BF43E" w:rsidR="000437F1" w:rsidRPr="00511005" w:rsidRDefault="000437F1" w:rsidP="003A292D">
      <w:pPr>
        <w:autoSpaceDE w:val="0"/>
        <w:autoSpaceDN w:val="0"/>
        <w:adjustRightInd w:val="0"/>
        <w:spacing w:line="264" w:lineRule="auto"/>
        <w:ind w:firstLine="0"/>
        <w:jc w:val="center"/>
        <w:rPr>
          <w:rFonts w:ascii="Arial" w:eastAsia="Times New Roman" w:hAnsi="Arial" w:cs="Arial"/>
          <w:i/>
          <w:iCs/>
          <w:szCs w:val="28"/>
          <w:lang w:val="uk-UA" w:eastAsia="ru-RU"/>
        </w:rPr>
      </w:pPr>
    </w:p>
    <w:p w14:paraId="09559D48" w14:textId="1575169B" w:rsidR="000437F1" w:rsidRPr="00511005" w:rsidRDefault="000437F1" w:rsidP="003A292D">
      <w:pPr>
        <w:autoSpaceDE w:val="0"/>
        <w:autoSpaceDN w:val="0"/>
        <w:adjustRightInd w:val="0"/>
        <w:spacing w:line="264" w:lineRule="auto"/>
        <w:ind w:firstLine="0"/>
        <w:jc w:val="center"/>
        <w:rPr>
          <w:rFonts w:ascii="Arial" w:eastAsia="Times New Roman" w:hAnsi="Arial" w:cs="Arial"/>
          <w:i/>
          <w:iCs/>
          <w:szCs w:val="28"/>
          <w:lang w:val="uk-UA" w:eastAsia="ru-RU"/>
        </w:rPr>
      </w:pPr>
      <w:r w:rsidRPr="00511005">
        <w:rPr>
          <w:rFonts w:ascii="Arial" w:eastAsia="Times New Roman" w:hAnsi="Arial" w:cs="Arial"/>
          <w:b/>
          <w:bCs/>
          <w:kern w:val="36"/>
          <w:szCs w:val="28"/>
          <w:lang w:eastAsia="ru-RU"/>
        </w:rPr>
        <w:t>ПРАВОВЕ РЕГУЛЮВАННЯ ДИСТАНЦІЙНОЇ ПРАЦІ В КОНТЕКСТІ ЦИФРОВІЗАЦІЇ ТРУДОВИХ ВІДНОСИН: ВИКЛИКИ ТА ПЕРСПЕКТИВИ</w:t>
      </w:r>
    </w:p>
    <w:p w14:paraId="34223376"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 xml:space="preserve">Цифрова трансформація економіки суттєво змінює характер трудових відносин у сучасному світі. Згідно з аналітичним звітом «Цифрова трансформація ринку праці в Україні», частка дистанційних працівників зросла з 4% у 2019 році до понад 30% у 2023 році [1]. Така динаміка свідчить про глибокі структурні зміни </w:t>
      </w:r>
      <w:proofErr w:type="gramStart"/>
      <w:r w:rsidRPr="00511005">
        <w:rPr>
          <w:rFonts w:ascii="Arial" w:eastAsia="Times New Roman" w:hAnsi="Arial" w:cs="Arial"/>
          <w:szCs w:val="28"/>
          <w:lang w:eastAsia="ru-RU"/>
        </w:rPr>
        <w:t>на ринку</w:t>
      </w:r>
      <w:proofErr w:type="gramEnd"/>
      <w:r w:rsidRPr="00511005">
        <w:rPr>
          <w:rFonts w:ascii="Arial" w:eastAsia="Times New Roman" w:hAnsi="Arial" w:cs="Arial"/>
          <w:szCs w:val="28"/>
          <w:lang w:eastAsia="ru-RU"/>
        </w:rPr>
        <w:t xml:space="preserve"> праці, які потребують належного правового забезпечення. Дистанційна праця — це форма організації трудового процесу, коли працівник виконує свої обов’язки поза межами робочого місця, використовуючи інформаційно-комунікаційні технології.</w:t>
      </w:r>
    </w:p>
    <w:p w14:paraId="1F1D14E1"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Актуальність теми зумовлена необхідністю адаптації трудового законодавства до нових умов праці, що виникають унаслідок цифровізації. Правове регулювання має забезпечити баланс між гнучкістю для роботодавця та захистом прав працівника, що стає особливо важливим в умовах масового переходу на дистанційні форми зайнятості.</w:t>
      </w:r>
    </w:p>
    <w:p w14:paraId="39B6BB81"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Правове регулювання дистанційної праці в Україні базується насамперед на Кодексі законів про працю України від 10.12.1971 № 322-VIII [2], зокрема главі ІІІ «Трудовий договір», у якій виділено окрему статтю 60 «Дистанційна робота». Окрім того, в умовах воєнного стану правове регулювання трудових відносин, зокрема дистанційної роботи, доповнюється Законом України «Про організацію трудових відносин в умовах воєнного стану» від 15.03.2022 № 2136-IX [3]. Стаття 6 цього Закону передбачає, що роботодавець може змінити форму організації праці (в тому числі запровадити дистанційну роботу) без згоди працівника у разі загрози життю чи здоров’ю.</w:t>
      </w:r>
    </w:p>
    <w:p w14:paraId="32440D72"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Відповідно до статті 60</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Кодексу законів про працю України, трудовий договір про дистанційну роботу </w:t>
      </w:r>
      <w:r w:rsidRPr="00511005">
        <w:rPr>
          <w:rFonts w:ascii="Arial" w:eastAsia="Times New Roman" w:hAnsi="Arial" w:cs="Arial"/>
          <w:b/>
          <w:bCs/>
          <w:szCs w:val="28"/>
          <w:lang w:eastAsia="ru-RU"/>
        </w:rPr>
        <w:t>укладається в письмовій формі </w:t>
      </w:r>
      <w:r w:rsidRPr="00511005">
        <w:rPr>
          <w:rFonts w:ascii="Arial" w:eastAsia="Times New Roman" w:hAnsi="Arial" w:cs="Arial"/>
          <w:szCs w:val="28"/>
          <w:lang w:eastAsia="ru-RU"/>
        </w:rPr>
        <w:t>і </w:t>
      </w:r>
      <w:r w:rsidRPr="00511005">
        <w:rPr>
          <w:rFonts w:ascii="Arial" w:eastAsia="Times New Roman" w:hAnsi="Arial" w:cs="Arial"/>
          <w:b/>
          <w:bCs/>
          <w:szCs w:val="28"/>
          <w:lang w:eastAsia="ru-RU"/>
        </w:rPr>
        <w:t>повинен містити</w:t>
      </w:r>
      <w:r w:rsidRPr="00511005">
        <w:rPr>
          <w:rFonts w:ascii="Arial" w:eastAsia="Times New Roman" w:hAnsi="Arial" w:cs="Arial"/>
          <w:szCs w:val="28"/>
          <w:lang w:eastAsia="ru-RU"/>
        </w:rPr>
        <w:t> умови виконання роботи, режим роботи, порядок взаємодії між працівником і роботодавцем, спосіб обміну документами, питання забезпечення працівника обладнанням і компенсації витрат, пов’язаних із виконанням трудових обов’язків (ст. 60 КЗпП) [2].</w:t>
      </w:r>
    </w:p>
    <w:p w14:paraId="77C49020"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Як зазначає Бенедик І., одним із ключових викликів у правовому регулюванні дистанційної праці є </w:t>
      </w:r>
      <w:r w:rsidRPr="00511005">
        <w:rPr>
          <w:rFonts w:ascii="Arial" w:eastAsia="Times New Roman" w:hAnsi="Arial" w:cs="Arial"/>
          <w:b/>
          <w:bCs/>
          <w:szCs w:val="28"/>
          <w:lang w:eastAsia="ru-RU"/>
        </w:rPr>
        <w:t>визначення меж відповідальності</w:t>
      </w:r>
      <w:r w:rsidRPr="00511005">
        <w:rPr>
          <w:rFonts w:ascii="Arial" w:eastAsia="Times New Roman" w:hAnsi="Arial" w:cs="Arial"/>
          <w:szCs w:val="28"/>
          <w:lang w:eastAsia="ru-RU"/>
        </w:rPr>
        <w:t> роботодавця і працівника за створення та підтримання безпечних і належних умов праці [</w:t>
      </w:r>
      <w:r w:rsidRPr="00511005">
        <w:rPr>
          <w:rFonts w:ascii="Arial" w:eastAsia="Times New Roman" w:hAnsi="Arial" w:cs="Arial"/>
          <w:szCs w:val="28"/>
          <w:lang w:val="uk-UA" w:eastAsia="ru-RU"/>
        </w:rPr>
        <w:t>4</w:t>
      </w:r>
      <w:r w:rsidRPr="00511005">
        <w:rPr>
          <w:rFonts w:ascii="Arial" w:eastAsia="Times New Roman" w:hAnsi="Arial" w:cs="Arial"/>
          <w:szCs w:val="28"/>
          <w:lang w:eastAsia="ru-RU"/>
        </w:rPr>
        <w:t>].</w:t>
      </w:r>
    </w:p>
    <w:p w14:paraId="4ADA00ED"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Питання захисту персональних даних набуває особливої актуальності при дистанційному режимі роботи. Згідно із Законом України «Про захист персональних даних» від 01.06.2010 № 2297-VI [</w:t>
      </w:r>
      <w:r w:rsidRPr="00511005">
        <w:rPr>
          <w:rFonts w:ascii="Arial" w:eastAsia="Times New Roman" w:hAnsi="Arial" w:cs="Arial"/>
          <w:szCs w:val="28"/>
          <w:lang w:val="uk-UA" w:eastAsia="ru-RU"/>
        </w:rPr>
        <w:t>5</w:t>
      </w:r>
      <w:r w:rsidRPr="00511005">
        <w:rPr>
          <w:rFonts w:ascii="Arial" w:eastAsia="Times New Roman" w:hAnsi="Arial" w:cs="Arial"/>
          <w:szCs w:val="28"/>
          <w:lang w:eastAsia="ru-RU"/>
        </w:rPr>
        <w:t xml:space="preserve">], роботодавець </w:t>
      </w:r>
      <w:r w:rsidRPr="00511005">
        <w:rPr>
          <w:rFonts w:ascii="Arial" w:eastAsia="Times New Roman" w:hAnsi="Arial" w:cs="Arial"/>
          <w:szCs w:val="28"/>
          <w:lang w:eastAsia="ru-RU"/>
        </w:rPr>
        <w:lastRenderedPageBreak/>
        <w:t>зобов’язаний вживати необхідних заходів для </w:t>
      </w:r>
      <w:r w:rsidRPr="00511005">
        <w:rPr>
          <w:rFonts w:ascii="Arial" w:eastAsia="Times New Roman" w:hAnsi="Arial" w:cs="Arial"/>
          <w:b/>
          <w:bCs/>
          <w:szCs w:val="28"/>
          <w:lang w:eastAsia="ru-RU"/>
        </w:rPr>
        <w:t>захисту персональних даних працівників</w:t>
      </w:r>
      <w:r w:rsidRPr="00511005">
        <w:rPr>
          <w:rFonts w:ascii="Arial" w:eastAsia="Times New Roman" w:hAnsi="Arial" w:cs="Arial"/>
          <w:szCs w:val="28"/>
          <w:lang w:eastAsia="ru-RU"/>
        </w:rPr>
        <w:t> та забезпечення їх конфіденційності.</w:t>
      </w:r>
    </w:p>
    <w:p w14:paraId="2862741E"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Разом з тим, використання працівниками особистих пристроїв, стороннього програмного забезпечення та хмарних сервісів створює додаткові ризики. Зокрема, йдеться про можливість </w:t>
      </w:r>
      <w:r w:rsidRPr="00511005">
        <w:rPr>
          <w:rFonts w:ascii="Arial" w:eastAsia="Times New Roman" w:hAnsi="Arial" w:cs="Arial"/>
          <w:b/>
          <w:bCs/>
          <w:szCs w:val="28"/>
          <w:lang w:eastAsia="ru-RU"/>
        </w:rPr>
        <w:t>несанкціонованого доступу до службової інформації</w:t>
      </w:r>
      <w:r w:rsidRPr="00511005">
        <w:rPr>
          <w:rFonts w:ascii="Arial" w:eastAsia="Times New Roman" w:hAnsi="Arial" w:cs="Arial"/>
          <w:szCs w:val="28"/>
          <w:lang w:eastAsia="ru-RU"/>
        </w:rPr>
        <w:t> або </w:t>
      </w:r>
      <w:r w:rsidRPr="00511005">
        <w:rPr>
          <w:rFonts w:ascii="Arial" w:eastAsia="Times New Roman" w:hAnsi="Arial" w:cs="Arial"/>
          <w:b/>
          <w:bCs/>
          <w:szCs w:val="28"/>
          <w:lang w:eastAsia="ru-RU"/>
        </w:rPr>
        <w:t>витік персональних даних</w:t>
      </w:r>
      <w:r w:rsidRPr="00511005">
        <w:rPr>
          <w:rFonts w:ascii="Arial" w:eastAsia="Times New Roman" w:hAnsi="Arial" w:cs="Arial"/>
          <w:szCs w:val="28"/>
          <w:lang w:eastAsia="ru-RU"/>
        </w:rPr>
        <w:t> унаслідок неналежного рівня захисту на приватних пристроях. Як зауважує Музиченко О., чинне законодавство України потребує </w:t>
      </w:r>
      <w:r w:rsidRPr="00511005">
        <w:rPr>
          <w:rFonts w:ascii="Arial" w:eastAsia="Times New Roman" w:hAnsi="Arial" w:cs="Arial"/>
          <w:b/>
          <w:bCs/>
          <w:szCs w:val="28"/>
          <w:lang w:eastAsia="ru-RU"/>
        </w:rPr>
        <w:t>більш детального регулювання питань кібербезпеки</w:t>
      </w:r>
      <w:r w:rsidRPr="00511005">
        <w:rPr>
          <w:rFonts w:ascii="Arial" w:eastAsia="Times New Roman" w:hAnsi="Arial" w:cs="Arial"/>
          <w:szCs w:val="28"/>
          <w:lang w:eastAsia="ru-RU"/>
        </w:rPr>
        <w:t xml:space="preserve"> саме в контексті трудових відносин, особливо </w:t>
      </w:r>
      <w:proofErr w:type="gramStart"/>
      <w:r w:rsidRPr="00511005">
        <w:rPr>
          <w:rFonts w:ascii="Arial" w:eastAsia="Times New Roman" w:hAnsi="Arial" w:cs="Arial"/>
          <w:szCs w:val="28"/>
          <w:lang w:eastAsia="ru-RU"/>
        </w:rPr>
        <w:t>за умов</w:t>
      </w:r>
      <w:proofErr w:type="gramEnd"/>
      <w:r w:rsidRPr="00511005">
        <w:rPr>
          <w:rFonts w:ascii="Arial" w:eastAsia="Times New Roman" w:hAnsi="Arial" w:cs="Arial"/>
          <w:szCs w:val="28"/>
          <w:lang w:eastAsia="ru-RU"/>
        </w:rPr>
        <w:t xml:space="preserve"> дистанційної зайнятості [</w:t>
      </w:r>
      <w:r w:rsidRPr="00511005">
        <w:rPr>
          <w:rFonts w:ascii="Arial" w:eastAsia="Times New Roman" w:hAnsi="Arial" w:cs="Arial"/>
          <w:szCs w:val="28"/>
          <w:lang w:val="uk-UA" w:eastAsia="ru-RU"/>
        </w:rPr>
        <w:t>6</w:t>
      </w:r>
      <w:r w:rsidRPr="00511005">
        <w:rPr>
          <w:rFonts w:ascii="Arial" w:eastAsia="Times New Roman" w:hAnsi="Arial" w:cs="Arial"/>
          <w:szCs w:val="28"/>
          <w:lang w:eastAsia="ru-RU"/>
        </w:rPr>
        <w:t>].</w:t>
      </w:r>
    </w:p>
    <w:p w14:paraId="640D6B94" w14:textId="77777777" w:rsidR="003476F8" w:rsidRPr="00511005" w:rsidRDefault="003476F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eastAsia="ru-RU"/>
        </w:rPr>
        <w:t>Дистанційна робота ускладнює облік робочого часу та контроль виконання обов'язків. Відповідно до частини третьої статті 60 Кодексу законів про працю України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передбачає, що працівник розподіляє робочий час на власний розсуд [</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 xml:space="preserve">], що створює проблеми для обліку надурочних годин. Використання програм для моніторингу активності працівників викликає питання щодо меж втручання в приватне життя. Згідно з аналітичним звітом, 45% дистанційних працівників вважають існуючі системи контролю </w:t>
      </w:r>
      <w:proofErr w:type="gramStart"/>
      <w:r w:rsidRPr="00511005">
        <w:rPr>
          <w:rFonts w:ascii="Arial" w:eastAsia="Times New Roman" w:hAnsi="Arial" w:cs="Arial"/>
          <w:szCs w:val="28"/>
          <w:lang w:eastAsia="ru-RU"/>
        </w:rPr>
        <w:t xml:space="preserve">надмірними </w:t>
      </w:r>
      <w:r w:rsidRPr="00511005">
        <w:rPr>
          <w:rFonts w:ascii="Arial" w:eastAsia="Times New Roman" w:hAnsi="Arial" w:cs="Arial"/>
          <w:szCs w:val="28"/>
          <w:lang w:val="uk-UA" w:eastAsia="ru-RU"/>
        </w:rPr>
        <w:t>.</w:t>
      </w:r>
      <w:proofErr w:type="gramEnd"/>
      <w:r w:rsidRPr="00511005">
        <w:rPr>
          <w:rFonts w:ascii="Arial" w:eastAsia="Times New Roman" w:hAnsi="Arial" w:cs="Arial"/>
          <w:szCs w:val="28"/>
          <w:lang w:val="uk-UA" w:eastAsia="ru-RU"/>
        </w:rPr>
        <w:t xml:space="preserve"> </w:t>
      </w:r>
    </w:p>
    <w:p w14:paraId="71E4EDF2"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val="uk-UA" w:eastAsia="ru-RU"/>
        </w:rPr>
        <w:t>Вважаємо</w:t>
      </w:r>
      <w:r w:rsidRPr="00511005">
        <w:rPr>
          <w:rFonts w:ascii="Arial" w:eastAsia="Times New Roman" w:hAnsi="Arial" w:cs="Arial"/>
          <w:szCs w:val="28"/>
          <w:lang w:eastAsia="ru-RU"/>
        </w:rPr>
        <w:t>, встановлення меж контролю повинно ґрунтуватися на принципі балансу між інтересами роботодавця та правом працівника на приватність. Вирішення цього питання потребує як </w:t>
      </w:r>
      <w:r w:rsidRPr="00511005">
        <w:rPr>
          <w:rFonts w:ascii="Arial" w:eastAsia="Times New Roman" w:hAnsi="Arial" w:cs="Arial"/>
          <w:b/>
          <w:bCs/>
          <w:szCs w:val="28"/>
          <w:lang w:eastAsia="ru-RU"/>
        </w:rPr>
        <w:t>правового врегулювання,</w:t>
      </w:r>
      <w:r w:rsidRPr="00511005">
        <w:rPr>
          <w:rFonts w:ascii="Arial" w:eastAsia="Times New Roman" w:hAnsi="Arial" w:cs="Arial"/>
          <w:szCs w:val="28"/>
          <w:lang w:eastAsia="ru-RU"/>
        </w:rPr>
        <w:t xml:space="preserve"> так і прозорих домовленостей на рівні трудового договору.</w:t>
      </w:r>
    </w:p>
    <w:p w14:paraId="76894D4E" w14:textId="77777777" w:rsidR="003476F8" w:rsidRPr="00511005" w:rsidRDefault="003476F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eastAsia="ru-RU"/>
        </w:rPr>
        <w:t>Забезпечення </w:t>
      </w:r>
      <w:r w:rsidRPr="00511005">
        <w:rPr>
          <w:rFonts w:ascii="Arial" w:eastAsia="Times New Roman" w:hAnsi="Arial" w:cs="Arial"/>
          <w:b/>
          <w:bCs/>
          <w:szCs w:val="28"/>
          <w:lang w:eastAsia="ru-RU"/>
        </w:rPr>
        <w:t>безпечних і здорових умов праці</w:t>
      </w:r>
      <w:r w:rsidRPr="00511005">
        <w:rPr>
          <w:rFonts w:ascii="Arial" w:eastAsia="Times New Roman" w:hAnsi="Arial" w:cs="Arial"/>
          <w:szCs w:val="28"/>
          <w:lang w:eastAsia="ru-RU"/>
        </w:rPr>
        <w:t> при дистанційній роботі є не менш складним завданням, оскільки роботодавець фактично не має можливості здійснювати контроль за організацією робочого місця працівника вдома. Це породжує </w:t>
      </w:r>
      <w:r w:rsidRPr="00511005">
        <w:rPr>
          <w:rFonts w:ascii="Arial" w:eastAsia="Times New Roman" w:hAnsi="Arial" w:cs="Arial"/>
          <w:b/>
          <w:bCs/>
          <w:szCs w:val="28"/>
          <w:lang w:eastAsia="ru-RU"/>
        </w:rPr>
        <w:t>юридичну невизначеність щодо відповідальності за нещасні випадки або професійні захворювання,</w:t>
      </w:r>
      <w:r w:rsidRPr="00511005">
        <w:rPr>
          <w:rFonts w:ascii="Arial" w:eastAsia="Times New Roman" w:hAnsi="Arial" w:cs="Arial"/>
          <w:szCs w:val="28"/>
          <w:lang w:eastAsia="ru-RU"/>
        </w:rPr>
        <w:t xml:space="preserve"> які можуть виникнути під час виконання дистанційної роботи.</w:t>
      </w:r>
    </w:p>
    <w:p w14:paraId="0C6794DD" w14:textId="77777777" w:rsidR="003476F8" w:rsidRPr="00511005" w:rsidRDefault="003476F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Забезпечення безпечних умов праці при дистанційній роботі є складним завданням, оскільки роботодавець має обмежені можливості контролю робочого місця. </w:t>
      </w:r>
      <w:r w:rsidRPr="00511005">
        <w:rPr>
          <w:rFonts w:ascii="Arial" w:eastAsia="Times New Roman" w:hAnsi="Arial" w:cs="Arial"/>
          <w:szCs w:val="28"/>
          <w:lang w:eastAsia="ru-RU"/>
        </w:rPr>
        <w:t>Це породжує питання відповідальності за нещасні випадки та професійні захворювання</w:t>
      </w:r>
      <w:r w:rsidRPr="00511005">
        <w:rPr>
          <w:rFonts w:ascii="Arial" w:eastAsia="Times New Roman" w:hAnsi="Arial" w:cs="Arial"/>
          <w:szCs w:val="28"/>
          <w:lang w:val="uk-UA" w:eastAsia="ru-RU"/>
        </w:rPr>
        <w:t>.</w:t>
      </w:r>
    </w:p>
    <w:p w14:paraId="7CC68892"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Для ефективного регулювання дистанційної праці необхідні комплексні зміни законодавства України. Пріоритетними напрямками є: розробка норм щодо захисту персональних даних та кібербезпеки, врегулювання питань електронного документообігу, уточнення процедур контролю за виконанням обов'язків з урахуванням принципу невтручання в приватне життя.</w:t>
      </w:r>
    </w:p>
    <w:p w14:paraId="67724245"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 xml:space="preserve">Основним викликом правового регулювання дистанційної праці є баланс між гнучкістю роботи та соціальним захистом працівників. З огляду на зростання популярності дистанційної роботи, зокрема після пандемії, доцільним є закріплення на законодавчому рівні «права на відключення», що дасть працівникам право припиняти роботу поза межами робочого часу, </w:t>
      </w:r>
      <w:r w:rsidRPr="00511005">
        <w:rPr>
          <w:rFonts w:ascii="Arial" w:eastAsia="Times New Roman" w:hAnsi="Arial" w:cs="Arial"/>
          <w:szCs w:val="28"/>
          <w:lang w:eastAsia="ru-RU"/>
        </w:rPr>
        <w:lastRenderedPageBreak/>
        <w:t>зберігаючи баланс між роботою та особистим життям. Також важливо враховувати ризики соціальної ізоляції через обмежене спілкування в умовах віддаленої роботи.</w:t>
      </w:r>
    </w:p>
    <w:p w14:paraId="25654D60"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Для удосконалення правового регулювання дистанційної праці потрібно розробити норми з охорони праці для дистанційних працівників, уточнити порядок компенсації витрат, пов'язаних із використанням особистого обладнання, та створити ефективні механізми для вирішення трудових спорів, зокрема онлайн. Також важливо розвивати електронні системи обліку робочого часу, які б поважали право на приватність працівників.</w:t>
      </w:r>
    </w:p>
    <w:p w14:paraId="3A561C77"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Правове регулювання дистанційної праці в Україні наразі базується на Кодексі законів про працю та спеціальному законодавстві, але потребує деталізації. Основними проблемами є захист персональних даних, облік робочого часу та охорона праці, оскільки чинне законодавство орієнтується на традиційні форми праці. Тому майбутній розвиток правового регулювання має зосереджуватися на гнучкості та соціальному захисті працівників.</w:t>
      </w:r>
    </w:p>
    <w:p w14:paraId="148ECABD" w14:textId="47F10376"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Одним із рішень є створення спеціального закону про дистанційну працю, що регулюватиме трудові договори, облік робочого часу, охорону праці та захист персональних даних. Важливо також запровадити механізм «права на відключення», онлайн-платформи для вирішення трудових спорів, методичні рекомендації з організації безпечних умов праці, удосконалити електронний документообіг і впровадити податкові пільги для роботодавців, що забезпечують працівників необхідним обладнанням для дистанційної роботи.</w:t>
      </w:r>
    </w:p>
    <w:p w14:paraId="041EA6D4" w14:textId="77777777" w:rsidR="000437F1" w:rsidRPr="00511005" w:rsidRDefault="000437F1" w:rsidP="003A292D">
      <w:pPr>
        <w:spacing w:line="264" w:lineRule="auto"/>
        <w:ind w:firstLine="708"/>
        <w:rPr>
          <w:rFonts w:ascii="Arial" w:eastAsia="Times New Roman" w:hAnsi="Arial" w:cs="Arial"/>
          <w:szCs w:val="28"/>
          <w:lang w:eastAsia="ru-RU"/>
        </w:rPr>
      </w:pPr>
    </w:p>
    <w:p w14:paraId="5632ABD7" w14:textId="1D48788B" w:rsidR="003476F8" w:rsidRPr="00511005" w:rsidRDefault="007B2628" w:rsidP="007B2628">
      <w:pPr>
        <w:widowControl w:val="0"/>
        <w:spacing w:line="264" w:lineRule="auto"/>
        <w:ind w:firstLine="0"/>
        <w:contextualSpacing/>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Список використаних джерел</w:t>
      </w:r>
    </w:p>
    <w:p w14:paraId="70F746BF" w14:textId="77777777" w:rsidR="003476F8" w:rsidRPr="00511005" w:rsidRDefault="003476F8" w:rsidP="003F6A5D">
      <w:pPr>
        <w:numPr>
          <w:ilvl w:val="0"/>
          <w:numId w:val="460"/>
        </w:numPr>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Кодекс законів про працю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від 10.12.1971 № 322-VIII. </w:t>
      </w:r>
      <w:r w:rsidRPr="00511005">
        <w:rPr>
          <w:rFonts w:ascii="Arial" w:eastAsia="Times New Roman" w:hAnsi="Arial" w:cs="Arial"/>
          <w:i/>
          <w:iCs/>
          <w:szCs w:val="28"/>
          <w:lang w:eastAsia="ru-RU"/>
        </w:rPr>
        <w:t xml:space="preserve">Відомості Верховної Ради УРСР. </w:t>
      </w:r>
      <w:r w:rsidRPr="00511005">
        <w:rPr>
          <w:rFonts w:ascii="Arial" w:eastAsia="Times New Roman" w:hAnsi="Arial" w:cs="Arial"/>
          <w:szCs w:val="28"/>
          <w:lang w:eastAsia="ru-RU"/>
        </w:rPr>
        <w:t>1971. № 50. Ст. 375.</w:t>
      </w:r>
    </w:p>
    <w:p w14:paraId="5961FFF3" w14:textId="77777777" w:rsidR="003476F8" w:rsidRPr="00511005" w:rsidRDefault="003476F8" w:rsidP="003F6A5D">
      <w:pPr>
        <w:numPr>
          <w:ilvl w:val="0"/>
          <w:numId w:val="460"/>
        </w:numPr>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організацію трудових відносин в умовах воєнного </w:t>
      </w:r>
      <w:proofErr w:type="gramStart"/>
      <w:r w:rsidRPr="00511005">
        <w:rPr>
          <w:rFonts w:ascii="Arial" w:eastAsia="Times New Roman" w:hAnsi="Arial" w:cs="Arial"/>
          <w:szCs w:val="28"/>
          <w:lang w:eastAsia="ru-RU"/>
        </w:rPr>
        <w:t>стану :</w:t>
      </w:r>
      <w:proofErr w:type="gramEnd"/>
      <w:r w:rsidRPr="00511005">
        <w:rPr>
          <w:rFonts w:ascii="Arial" w:eastAsia="Times New Roman" w:hAnsi="Arial" w:cs="Arial"/>
          <w:szCs w:val="28"/>
          <w:lang w:eastAsia="ru-RU"/>
        </w:rPr>
        <w:t xml:space="preserve"> Закон України від 15.03.2022 № 2136-IX. </w:t>
      </w:r>
      <w:r w:rsidRPr="00511005">
        <w:rPr>
          <w:rFonts w:ascii="Arial" w:eastAsia="Times New Roman" w:hAnsi="Arial" w:cs="Arial"/>
          <w:i/>
          <w:iCs/>
          <w:szCs w:val="28"/>
          <w:lang w:eastAsia="ru-RU"/>
        </w:rPr>
        <w:t>Голос України</w:t>
      </w:r>
      <w:r w:rsidRPr="00511005">
        <w:rPr>
          <w:rFonts w:ascii="Arial" w:eastAsia="Times New Roman" w:hAnsi="Arial" w:cs="Arial"/>
          <w:szCs w:val="28"/>
          <w:lang w:eastAsia="ru-RU"/>
        </w:rPr>
        <w:t>. 2022. № 54.</w:t>
      </w:r>
    </w:p>
    <w:p w14:paraId="1FA50324" w14:textId="77777777" w:rsidR="003476F8" w:rsidRPr="00511005" w:rsidRDefault="003476F8" w:rsidP="003F6A5D">
      <w:pPr>
        <w:numPr>
          <w:ilvl w:val="0"/>
          <w:numId w:val="460"/>
        </w:numPr>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захист персональних даних: Закон України від 01.06.2010 № 2297-VI. </w:t>
      </w:r>
      <w:r w:rsidRPr="00511005">
        <w:rPr>
          <w:rFonts w:ascii="Arial" w:eastAsia="Times New Roman" w:hAnsi="Arial" w:cs="Arial"/>
          <w:i/>
          <w:iCs/>
          <w:szCs w:val="28"/>
          <w:lang w:eastAsia="ru-RU"/>
        </w:rPr>
        <w:t>Офіційний вісник України.</w:t>
      </w:r>
      <w:r w:rsidRPr="00511005">
        <w:rPr>
          <w:rFonts w:ascii="Arial" w:eastAsia="Times New Roman" w:hAnsi="Arial" w:cs="Arial"/>
          <w:szCs w:val="28"/>
          <w:lang w:eastAsia="ru-RU"/>
        </w:rPr>
        <w:t xml:space="preserve"> 2010. № 41. Ст. 1369.</w:t>
      </w:r>
    </w:p>
    <w:p w14:paraId="18764B35" w14:textId="77777777" w:rsidR="003476F8" w:rsidRPr="00511005" w:rsidRDefault="003476F8" w:rsidP="003F6A5D">
      <w:pPr>
        <w:numPr>
          <w:ilvl w:val="0"/>
          <w:numId w:val="460"/>
        </w:numPr>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Бенедик І. Трудове право в епоху цифровізації: проблеми та перспективи. </w:t>
      </w:r>
      <w:r w:rsidRPr="00511005">
        <w:rPr>
          <w:rFonts w:ascii="Arial" w:eastAsia="Times New Roman" w:hAnsi="Arial" w:cs="Arial"/>
          <w:i/>
          <w:iCs/>
          <w:szCs w:val="28"/>
          <w:lang w:eastAsia="ru-RU"/>
        </w:rPr>
        <w:t>Право України.</w:t>
      </w:r>
      <w:r w:rsidRPr="00511005">
        <w:rPr>
          <w:rFonts w:ascii="Arial" w:eastAsia="Times New Roman" w:hAnsi="Arial" w:cs="Arial"/>
          <w:szCs w:val="28"/>
          <w:lang w:eastAsia="ru-RU"/>
        </w:rPr>
        <w:t xml:space="preserve"> 2023. № 4. С. 58–65.</w:t>
      </w:r>
    </w:p>
    <w:p w14:paraId="0D2FDC8A" w14:textId="77777777" w:rsidR="003476F8" w:rsidRPr="00511005" w:rsidRDefault="003476F8" w:rsidP="003F6A5D">
      <w:pPr>
        <w:numPr>
          <w:ilvl w:val="0"/>
          <w:numId w:val="460"/>
        </w:numPr>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Цифрова трансформація ринку праці в Україні: аналітичний звіт / Міністерство економіки України. Київ: Мінекономіки, 2023. 36 с.</w:t>
      </w:r>
    </w:p>
    <w:p w14:paraId="002C5B06" w14:textId="77777777" w:rsidR="003476F8" w:rsidRPr="00511005" w:rsidRDefault="003476F8" w:rsidP="003F6A5D">
      <w:pPr>
        <w:numPr>
          <w:ilvl w:val="0"/>
          <w:numId w:val="460"/>
        </w:numPr>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Музиченко О. Правові аспекти дистанційної праці в Україні: виклики сьогодення. </w:t>
      </w:r>
      <w:r w:rsidRPr="00511005">
        <w:rPr>
          <w:rFonts w:ascii="Arial" w:eastAsia="Times New Roman" w:hAnsi="Arial" w:cs="Arial"/>
          <w:i/>
          <w:iCs/>
          <w:szCs w:val="28"/>
          <w:lang w:eastAsia="ru-RU"/>
        </w:rPr>
        <w:t>Підприємництво, господарство і право</w:t>
      </w:r>
      <w:r w:rsidRPr="00511005">
        <w:rPr>
          <w:rFonts w:ascii="Arial" w:eastAsia="Times New Roman" w:hAnsi="Arial" w:cs="Arial"/>
          <w:szCs w:val="28"/>
          <w:lang w:eastAsia="ru-RU"/>
        </w:rPr>
        <w:t>. 2022. № 11. С. 23–27.</w:t>
      </w:r>
    </w:p>
    <w:p w14:paraId="40ACB432" w14:textId="2D5C73DD" w:rsidR="003476F8" w:rsidRPr="00511005" w:rsidRDefault="007B2628" w:rsidP="003A292D">
      <w:pPr>
        <w:spacing w:line="264" w:lineRule="auto"/>
        <w:ind w:left="360" w:firstLine="0"/>
        <w:jc w:val="left"/>
        <w:rPr>
          <w:rFonts w:ascii="Arial" w:eastAsia="Times New Roman" w:hAnsi="Arial" w:cs="Arial"/>
          <w:szCs w:val="28"/>
          <w:lang w:val="uk-UA" w:eastAsia="ru-RU"/>
        </w:rPr>
      </w:pPr>
      <w:r w:rsidRPr="00511005">
        <w:rPr>
          <w:rFonts w:ascii="Arial" w:eastAsia="Times New Roman" w:hAnsi="Arial" w:cs="Arial"/>
          <w:b/>
          <w:bCs/>
          <w:i/>
          <w:szCs w:val="28"/>
          <w:lang w:eastAsia="ru-RU"/>
        </w:rPr>
        <w:t xml:space="preserve">Ключові слова: </w:t>
      </w:r>
      <w:r w:rsidR="003476F8" w:rsidRPr="00511005">
        <w:rPr>
          <w:rFonts w:ascii="Arial" w:eastAsia="Times New Roman" w:hAnsi="Arial" w:cs="Arial"/>
          <w:szCs w:val="28"/>
          <w:lang w:eastAsia="ru-RU"/>
        </w:rPr>
        <w:t xml:space="preserve">дистанційна праця, трудові відносини, цифровізація, правове регулювання, </w:t>
      </w:r>
    </w:p>
    <w:p w14:paraId="3C89B2CA" w14:textId="54F499E4" w:rsidR="003476F8" w:rsidRPr="00511005" w:rsidRDefault="00EE6668" w:rsidP="003A292D">
      <w:pPr>
        <w:spacing w:line="264" w:lineRule="auto"/>
        <w:ind w:firstLine="360"/>
        <w:jc w:val="left"/>
        <w:rPr>
          <w:rFonts w:ascii="Arial" w:eastAsia="Times New Roman" w:hAnsi="Arial" w:cs="Arial"/>
          <w:szCs w:val="28"/>
          <w:lang w:val="en-US" w:eastAsia="ru-RU"/>
        </w:rPr>
      </w:pPr>
      <w:r w:rsidRPr="00511005">
        <w:rPr>
          <w:rFonts w:ascii="Arial" w:eastAsia="Times New Roman" w:hAnsi="Arial" w:cs="Arial"/>
          <w:b/>
          <w:bCs/>
          <w:szCs w:val="28"/>
          <w:lang w:val="en-US" w:eastAsia="ru-RU"/>
        </w:rPr>
        <w:lastRenderedPageBreak/>
        <w:t>Key words:</w:t>
      </w:r>
      <w:r w:rsidR="003476F8" w:rsidRPr="00511005">
        <w:rPr>
          <w:rFonts w:ascii="Arial" w:eastAsia="Times New Roman" w:hAnsi="Arial" w:cs="Arial"/>
          <w:b/>
          <w:bCs/>
          <w:szCs w:val="28"/>
          <w:lang w:val="uk-UA" w:eastAsia="ru-RU"/>
        </w:rPr>
        <w:t xml:space="preserve"> </w:t>
      </w:r>
      <w:r w:rsidR="003476F8" w:rsidRPr="00511005">
        <w:rPr>
          <w:rFonts w:ascii="Arial" w:eastAsia="Times New Roman" w:hAnsi="Arial" w:cs="Arial"/>
          <w:szCs w:val="28"/>
          <w:lang w:val="en-US" w:eastAsia="ru-RU"/>
        </w:rPr>
        <w:t xml:space="preserve">remote work, labor relations, digitalization, legal regulation, </w:t>
      </w:r>
    </w:p>
    <w:p w14:paraId="099CC255" w14:textId="3D017CE0" w:rsidR="003476F8" w:rsidRPr="00511005" w:rsidRDefault="007B2628" w:rsidP="003A292D">
      <w:pPr>
        <w:spacing w:line="264" w:lineRule="auto"/>
        <w:ind w:left="284" w:firstLine="0"/>
        <w:rPr>
          <w:rFonts w:ascii="Arial" w:eastAsia="Times New Roman" w:hAnsi="Arial" w:cs="Arial"/>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3476F8" w:rsidRPr="00511005">
        <w:rPr>
          <w:rFonts w:ascii="Arial" w:eastAsia="Times New Roman" w:hAnsi="Arial" w:cs="Arial"/>
          <w:i/>
          <w:iCs/>
          <w:szCs w:val="28"/>
          <w:lang w:val="uk-UA" w:eastAsia="ru-RU"/>
        </w:rPr>
        <w:t xml:space="preserve">асистент </w:t>
      </w:r>
      <w:r w:rsidR="003476F8" w:rsidRPr="00511005">
        <w:rPr>
          <w:rFonts w:ascii="Arial" w:eastAsia="Times New Roman" w:hAnsi="Arial" w:cs="Arial"/>
          <w:bCs/>
          <w:i/>
          <w:iCs/>
          <w:szCs w:val="28"/>
          <w:lang w:eastAsia="ru-RU"/>
        </w:rPr>
        <w:t>Кіліміченко А.О.</w:t>
      </w:r>
    </w:p>
    <w:p w14:paraId="5DD7ED46" w14:textId="77777777" w:rsidR="003476F8" w:rsidRPr="00511005" w:rsidRDefault="003476F8" w:rsidP="003A292D">
      <w:pPr>
        <w:spacing w:line="264" w:lineRule="auto"/>
        <w:ind w:firstLine="0"/>
        <w:rPr>
          <w:rFonts w:ascii="Arial" w:eastAsia="Times New Roman" w:hAnsi="Arial" w:cs="Arial"/>
          <w:szCs w:val="28"/>
          <w:lang w:val="uk-UA" w:eastAsia="ru-RU"/>
        </w:rPr>
      </w:pPr>
    </w:p>
    <w:p w14:paraId="481D1F49"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20460F62" w14:textId="77777777" w:rsidR="003476F8" w:rsidRPr="00511005" w:rsidRDefault="003476F8" w:rsidP="003A292D">
      <w:pPr>
        <w:widowControl w:val="0"/>
        <w:tabs>
          <w:tab w:val="left" w:pos="7088"/>
        </w:tabs>
        <w:autoSpaceDE w:val="0"/>
        <w:autoSpaceDN w:val="0"/>
        <w:adjustRightInd w:val="0"/>
        <w:spacing w:line="264" w:lineRule="auto"/>
        <w:ind w:left="-567"/>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bidi="uk-UA"/>
        </w:rPr>
        <w:t>Рисюк Анна Юріївна</w:t>
      </w:r>
    </w:p>
    <w:p w14:paraId="3AC8F09A" w14:textId="329AA986" w:rsidR="003476F8" w:rsidRPr="00511005" w:rsidRDefault="00536AAB" w:rsidP="003A292D">
      <w:pPr>
        <w:widowControl w:val="0"/>
        <w:tabs>
          <w:tab w:val="left" w:pos="7088"/>
        </w:tabs>
        <w:autoSpaceDE w:val="0"/>
        <w:autoSpaceDN w:val="0"/>
        <w:adjustRightInd w:val="0"/>
        <w:spacing w:line="264" w:lineRule="auto"/>
        <w:ind w:left="-567"/>
        <w:jc w:val="center"/>
        <w:rPr>
          <w:rFonts w:ascii="Arial" w:eastAsia="Times New Roman" w:hAnsi="Arial" w:cs="Arial"/>
          <w:szCs w:val="28"/>
          <w:lang w:val="uk-UA" w:eastAsia="ru-RU"/>
        </w:rPr>
      </w:pPr>
      <w:r w:rsidRPr="00511005">
        <w:rPr>
          <w:rFonts w:ascii="Arial" w:eastAsia="Times New Roman" w:hAnsi="Arial" w:cs="Arial"/>
          <w:szCs w:val="28"/>
          <w:lang w:val="uk-UA" w:eastAsia="ru-RU" w:bidi="uk-UA"/>
        </w:rPr>
        <w:t xml:space="preserve">студентка 2-го курсу </w:t>
      </w:r>
      <w:r w:rsidR="007B2628" w:rsidRPr="00511005">
        <w:rPr>
          <w:rFonts w:ascii="Arial" w:eastAsia="Times New Roman" w:hAnsi="Arial" w:cs="Arial"/>
          <w:szCs w:val="28"/>
          <w:lang w:val="uk-UA" w:eastAsia="ru-RU" w:bidi="uk-UA"/>
        </w:rPr>
        <w:t>факультету цивільної та господарської юстиції</w:t>
      </w:r>
    </w:p>
    <w:p w14:paraId="49C32128" w14:textId="52137522" w:rsidR="003476F8" w:rsidRPr="00511005" w:rsidRDefault="007B2628" w:rsidP="003A292D">
      <w:pPr>
        <w:widowControl w:val="0"/>
        <w:tabs>
          <w:tab w:val="left" w:pos="7088"/>
        </w:tabs>
        <w:autoSpaceDE w:val="0"/>
        <w:autoSpaceDN w:val="0"/>
        <w:adjustRightInd w:val="0"/>
        <w:spacing w:line="264" w:lineRule="auto"/>
        <w:ind w:left="-567"/>
        <w:jc w:val="center"/>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Національного університету «Одеська юридична академія»</w:t>
      </w:r>
    </w:p>
    <w:p w14:paraId="5DDBD3DF" w14:textId="77777777" w:rsidR="003476F8" w:rsidRPr="00511005" w:rsidRDefault="003476F8" w:rsidP="003A292D">
      <w:pPr>
        <w:widowControl w:val="0"/>
        <w:tabs>
          <w:tab w:val="left" w:pos="7088"/>
        </w:tabs>
        <w:autoSpaceDE w:val="0"/>
        <w:autoSpaceDN w:val="0"/>
        <w:adjustRightInd w:val="0"/>
        <w:spacing w:line="264" w:lineRule="auto"/>
        <w:ind w:left="-567"/>
        <w:jc w:val="center"/>
        <w:rPr>
          <w:rFonts w:ascii="Arial" w:eastAsia="Times New Roman" w:hAnsi="Arial" w:cs="Arial"/>
          <w:b/>
          <w:szCs w:val="28"/>
          <w:lang w:val="uk-UA" w:eastAsia="ru-RU" w:bidi="uk-UA"/>
        </w:rPr>
      </w:pPr>
    </w:p>
    <w:p w14:paraId="555BF1C5" w14:textId="77777777" w:rsidR="003476F8" w:rsidRPr="00511005" w:rsidRDefault="003476F8" w:rsidP="003A292D">
      <w:pPr>
        <w:widowControl w:val="0"/>
        <w:tabs>
          <w:tab w:val="left" w:pos="7088"/>
        </w:tabs>
        <w:autoSpaceDE w:val="0"/>
        <w:autoSpaceDN w:val="0"/>
        <w:adjustRightInd w:val="0"/>
        <w:spacing w:line="264" w:lineRule="auto"/>
        <w:ind w:left="-567"/>
        <w:jc w:val="center"/>
        <w:rPr>
          <w:rFonts w:ascii="Arial" w:eastAsia="Times New Roman" w:hAnsi="Arial" w:cs="Arial"/>
          <w:b/>
          <w:szCs w:val="28"/>
          <w:lang w:eastAsia="ru-RU" w:bidi="uk-UA"/>
        </w:rPr>
      </w:pPr>
      <w:r w:rsidRPr="00511005">
        <w:rPr>
          <w:rFonts w:ascii="Arial" w:eastAsia="Times New Roman" w:hAnsi="Arial" w:cs="Arial"/>
          <w:b/>
          <w:szCs w:val="28"/>
          <w:lang w:eastAsia="ru-RU" w:bidi="uk-UA"/>
        </w:rPr>
        <w:t>ОСОБЛИВОСТІ РЕГУЛЮВАННЯ ТРУДОВИХ ВІДНОСИН НА ПРИФРОНТОВИХ ТЕРИТОРІЯХ</w:t>
      </w:r>
    </w:p>
    <w:p w14:paraId="4356F1A7" w14:textId="77777777" w:rsidR="003476F8" w:rsidRPr="00511005" w:rsidRDefault="003476F8" w:rsidP="00D815F0">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Повномасштабна війна, розв’язана Російською Федерацією проти України, суттєво змінила умови життя і праці мільйонів громадян. Роботодавці з прифронтових територій – місць, які перебувають у зоні постійної небезпеки, особливо гостро стикаються з проблемами організації трудових відносин. У таких умовах постають виклики як правового, так і соціального, гуманітарного та економічного характеру. Правове регулювання праці на цих територіях набуває особливого значення, оскільки вимагає гнучкого поєднання захисту прав працівників із забезпеченням безперервного функціонування підприємств, установ та організацій.</w:t>
      </w:r>
    </w:p>
    <w:p w14:paraId="79815A66" w14:textId="77777777" w:rsidR="003476F8" w:rsidRPr="00511005" w:rsidRDefault="003476F8" w:rsidP="00D815F0">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В умовах воєнного стану трудові відносини в Україні зазнали змін, зокрема через ухвалення Закону України «Про організацію трудових відносин в умовах воєнного стану» від 15.03.2022 року №</w:t>
      </w:r>
      <w:r w:rsidRPr="00511005">
        <w:rPr>
          <w:rFonts w:ascii="Arial" w:eastAsia="Times New Roman" w:hAnsi="Arial" w:cs="Arial"/>
          <w:szCs w:val="28"/>
          <w:shd w:val="clear" w:color="auto" w:fill="F7F7F7"/>
          <w:lang w:val="uk-UA" w:eastAsia="ru-RU"/>
        </w:rPr>
        <w:t xml:space="preserve"> </w:t>
      </w:r>
      <w:r w:rsidRPr="00511005">
        <w:rPr>
          <w:rFonts w:ascii="Arial" w:eastAsia="Times New Roman" w:hAnsi="Arial" w:cs="Arial"/>
          <w:szCs w:val="28"/>
          <w:lang w:val="uk-UA" w:eastAsia="ru-RU" w:bidi="uk-UA"/>
        </w:rPr>
        <w:t>2136-</w:t>
      </w:r>
      <w:r w:rsidRPr="00511005">
        <w:rPr>
          <w:rFonts w:ascii="Arial" w:eastAsia="Times New Roman" w:hAnsi="Arial" w:cs="Arial"/>
          <w:szCs w:val="28"/>
          <w:lang w:eastAsia="ru-RU" w:bidi="uk-UA"/>
        </w:rPr>
        <w:t>IX</w:t>
      </w:r>
      <w:r w:rsidRPr="00511005">
        <w:rPr>
          <w:rFonts w:ascii="Arial" w:eastAsia="Times New Roman" w:hAnsi="Arial" w:cs="Arial"/>
          <w:szCs w:val="28"/>
          <w:lang w:val="uk-UA" w:eastAsia="ru-RU" w:bidi="uk-UA"/>
        </w:rPr>
        <w:t xml:space="preserve"> , який набув чинності у березні 2022 року [1]. Цей закон передбачає низку нових положень, наприклад, призупинення дії трудового договору, можливість зміни істотних умов праці без згоди працівника, скорочення строків повідомлення про зміну умов праці тощо. Такі положення покликані забезпечити гнучкість і життєздатність підприємств в умовах війни, однак вони також несуть ризики звуження трудових прав.</w:t>
      </w:r>
    </w:p>
    <w:p w14:paraId="7275E6E0" w14:textId="77777777" w:rsidR="003476F8" w:rsidRPr="00511005" w:rsidRDefault="003476F8" w:rsidP="00D815F0">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Особливої уваги потребує саме специфіка </w:t>
      </w:r>
      <w:r w:rsidRPr="00511005">
        <w:rPr>
          <w:rFonts w:ascii="Arial" w:eastAsia="Times New Roman" w:hAnsi="Arial" w:cs="Arial"/>
          <w:bCs/>
          <w:szCs w:val="28"/>
          <w:lang w:val="uk-UA" w:eastAsia="ru-RU" w:bidi="uk-UA"/>
        </w:rPr>
        <w:t>прифронтових територій</w:t>
      </w:r>
      <w:r w:rsidRPr="00511005">
        <w:rPr>
          <w:rFonts w:ascii="Arial" w:eastAsia="Times New Roman" w:hAnsi="Arial" w:cs="Arial"/>
          <w:szCs w:val="28"/>
          <w:lang w:val="uk-UA" w:eastAsia="ru-RU" w:bidi="uk-UA"/>
        </w:rPr>
        <w:t>, де ситуація з безпекою є вкрай напруженою: тут нерідко трапляються обстріли, знищення об’єктів інфраструктури, переривання транспортного та комунікаційного сполучення. В таких умовах роботодавці змушені пристосовувати графіки роботи, впроваджувати дистанційні форми зайнятості, переводити працівників на неповну зайнятість або навіть тимчасово призупиняти виробничу діяльність. Нормативне підґрунтя для таких змін надає, зокрема, ст. 113 Кодексу законів про працю України, яка встановлює порядок оплати простою не з вини працівника, що є актуальним у прифронтових регіонах [2].</w:t>
      </w:r>
    </w:p>
    <w:p w14:paraId="302707E7" w14:textId="77777777" w:rsidR="003476F8" w:rsidRPr="00511005" w:rsidRDefault="003476F8" w:rsidP="00D815F0">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Одним із нововведень стала можливість </w:t>
      </w:r>
      <w:r w:rsidRPr="00511005">
        <w:rPr>
          <w:rFonts w:ascii="Arial" w:eastAsia="Times New Roman" w:hAnsi="Arial" w:cs="Arial"/>
          <w:bCs/>
          <w:szCs w:val="28"/>
          <w:lang w:val="uk-UA" w:eastAsia="ru-RU" w:bidi="uk-UA"/>
        </w:rPr>
        <w:t>призупинення дії трудового договору</w:t>
      </w:r>
      <w:r w:rsidRPr="00511005">
        <w:rPr>
          <w:rFonts w:ascii="Arial" w:eastAsia="Times New Roman" w:hAnsi="Arial" w:cs="Arial"/>
          <w:szCs w:val="28"/>
          <w:lang w:val="uk-UA" w:eastAsia="ru-RU" w:bidi="uk-UA"/>
        </w:rPr>
        <w:t xml:space="preserve">. Цей правовий інститут дозволяє тимчасово припинити виконання обов’язків як з боку працівника, так і з боку роботодавця, без припинення самого трудового договору. Закон встановлює, що під час призупинення дії </w:t>
      </w:r>
      <w:r w:rsidRPr="00511005">
        <w:rPr>
          <w:rFonts w:ascii="Arial" w:eastAsia="Times New Roman" w:hAnsi="Arial" w:cs="Arial"/>
          <w:szCs w:val="28"/>
          <w:lang w:val="uk-UA" w:eastAsia="ru-RU" w:bidi="uk-UA"/>
        </w:rPr>
        <w:lastRenderedPageBreak/>
        <w:t>договору роботодавець не зобов’язаний виплачувати заробітну плату, а працівник – виконувати роботу. Водночас компенсація заробітку може бути покладена на державу-агресора, що створює проблеми практичного характеру, оскільки реального механізму стягнення таких сум наразі не існує.</w:t>
      </w:r>
    </w:p>
    <w:p w14:paraId="6466EB61" w14:textId="77777777" w:rsidR="003476F8" w:rsidRPr="00511005" w:rsidRDefault="003476F8" w:rsidP="00D815F0">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Іншим важливим аспектом є забезпечення </w:t>
      </w:r>
      <w:r w:rsidRPr="00511005">
        <w:rPr>
          <w:rFonts w:ascii="Arial" w:eastAsia="Times New Roman" w:hAnsi="Arial" w:cs="Arial"/>
          <w:bCs/>
          <w:szCs w:val="28"/>
          <w:lang w:val="uk-UA" w:eastAsia="ru-RU" w:bidi="uk-UA"/>
        </w:rPr>
        <w:t>безпеки праці</w:t>
      </w:r>
      <w:r w:rsidRPr="00511005">
        <w:rPr>
          <w:rFonts w:ascii="Arial" w:eastAsia="Times New Roman" w:hAnsi="Arial" w:cs="Arial"/>
          <w:szCs w:val="28"/>
          <w:lang w:val="uk-UA" w:eastAsia="ru-RU" w:bidi="uk-UA"/>
        </w:rPr>
        <w:t xml:space="preserve"> на прифронтових територіях. Положення про охорону праці, передбачені трудовим законодавством, залишаються чинними навіть в умовах війни. Проте роботодавці часто не мають змоги забезпечити працівникам повноцінні умови безпеки, особливо коли йдеться про роботу в зоні бойових дій. На практиці це означає, що обов’язки щодо надання засобів індивідуального захисту, проведення інструктажів з техніки безпеки, створення належних умов на робочому місці можуть не виконуватися в повному обсязі, що створює загрозу життю і здоров’ю працівників. Це ставить перед державою питання пошуку ефективних моделей контролю за дотриманням норм охорони праці в особливих умовах.</w:t>
      </w:r>
    </w:p>
    <w:p w14:paraId="5B60C67F" w14:textId="77777777" w:rsidR="003476F8" w:rsidRPr="00511005" w:rsidRDefault="003476F8" w:rsidP="00D815F0">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Варто зазначити й проблему </w:t>
      </w:r>
      <w:r w:rsidRPr="00511005">
        <w:rPr>
          <w:rFonts w:ascii="Arial" w:eastAsia="Times New Roman" w:hAnsi="Arial" w:cs="Arial"/>
          <w:bCs/>
          <w:szCs w:val="28"/>
          <w:lang w:val="uk-UA" w:eastAsia="ru-RU" w:bidi="uk-UA"/>
        </w:rPr>
        <w:t>правової невизначеності</w:t>
      </w:r>
      <w:r w:rsidRPr="00511005">
        <w:rPr>
          <w:rFonts w:ascii="Arial" w:eastAsia="Times New Roman" w:hAnsi="Arial" w:cs="Arial"/>
          <w:szCs w:val="28"/>
          <w:lang w:val="uk-UA" w:eastAsia="ru-RU" w:bidi="uk-UA"/>
        </w:rPr>
        <w:t xml:space="preserve"> статусу працівників у випадках евакуації чи тимчасового переміщення. Багато людей змушені були покинути прифронтові райони, внаслідок чого трудові договори з ними опинилися в невизначеному стані. Деякі роботодавці ініціювали звільнення працівників за власною ініціативою, що суперечить трудовому законодавству. Інші – призупинили дію договорів або перевели працівників на дистанційну форму роботи. У цих випадках важливим інструментом стала правова допомога, яку надають центри безоплатної правової допомоги, а також правозахисні організації, які фіксують порушення трудових прав в умовах війни.</w:t>
      </w:r>
    </w:p>
    <w:p w14:paraId="2AABE34F" w14:textId="77777777" w:rsidR="003476F8" w:rsidRPr="00511005" w:rsidRDefault="003476F8" w:rsidP="00D815F0">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Не менш значущим є питання </w:t>
      </w:r>
      <w:r w:rsidRPr="00511005">
        <w:rPr>
          <w:rFonts w:ascii="Arial" w:eastAsia="Times New Roman" w:hAnsi="Arial" w:cs="Arial"/>
          <w:bCs/>
          <w:szCs w:val="28"/>
          <w:lang w:val="uk-UA" w:eastAsia="ru-RU" w:bidi="uk-UA"/>
        </w:rPr>
        <w:t>збереження соціальних гарантій</w:t>
      </w:r>
      <w:r w:rsidRPr="00511005">
        <w:rPr>
          <w:rFonts w:ascii="Arial" w:eastAsia="Times New Roman" w:hAnsi="Arial" w:cs="Arial"/>
          <w:szCs w:val="28"/>
          <w:lang w:val="uk-UA" w:eastAsia="ru-RU" w:bidi="uk-UA"/>
        </w:rPr>
        <w:t xml:space="preserve">. Умови прифронтових територій часто унеможливлюють своєчасну виплату заробітної плати, що веде до соціального напруження. Держава запровадила низку антикризових заходів, зокрема програму часткового безробіття, підтримку роботодавців через компенсації та гранти. </w:t>
      </w:r>
    </w:p>
    <w:p w14:paraId="1F3C1A21" w14:textId="77777777" w:rsidR="003476F8" w:rsidRPr="00511005" w:rsidRDefault="003476F8" w:rsidP="00D815F0">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Особливу роль у підтримці зайнятості в цих регіонах відіграє місцева влада. Вона бере участь у координації гуманітарної допомоги, відновленні критичної інфраструктури, створенні тимчасових робочих місць. Багато громад за сприяння міжнародних донорів реалізують програми зайнятості для переселенців та жителів прифронтових територій, зокрема в галузях будівництва, сільського господарства та соціальних послуг. Це створює умови для хоча б часткової стабілізації економічного життя навіть у небезпечних умовах. </w:t>
      </w:r>
    </w:p>
    <w:p w14:paraId="5FC321F4" w14:textId="77777777" w:rsidR="003476F8" w:rsidRPr="00511005" w:rsidRDefault="003476F8" w:rsidP="00D815F0">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У воєнний період спостерігаються тренди саморегулювання ринку праці. </w:t>
      </w:r>
      <w:r w:rsidRPr="00511005">
        <w:rPr>
          <w:rFonts w:ascii="Arial" w:eastAsia="Times New Roman" w:hAnsi="Arial" w:cs="Arial"/>
          <w:szCs w:val="28"/>
          <w:lang w:eastAsia="ru-RU" w:bidi="uk-UA"/>
        </w:rPr>
        <w:t xml:space="preserve">Так, до вересня ц. р. кількість людей, які готові були як до зміни професії, так і до нижчої заробітної плати, постійно зростала. У свою чергу </w:t>
      </w:r>
      <w:r w:rsidRPr="00511005">
        <w:rPr>
          <w:rFonts w:ascii="Arial" w:eastAsia="Times New Roman" w:hAnsi="Arial" w:cs="Arial"/>
          <w:szCs w:val="28"/>
          <w:lang w:eastAsia="ru-RU" w:bidi="uk-UA"/>
        </w:rPr>
        <w:lastRenderedPageBreak/>
        <w:t>роботодавці мали більший вибір кандидатів та підвищували вимоги до пошукачів – тобто, спостерігались усі ознаки ринку праці з домінуванням роботодавця [3</w:t>
      </w:r>
      <w:r w:rsidRPr="00511005">
        <w:rPr>
          <w:rFonts w:ascii="Arial" w:eastAsia="Times New Roman" w:hAnsi="Arial" w:cs="Arial"/>
          <w:szCs w:val="28"/>
          <w:lang w:val="uk-UA" w:eastAsia="ru-RU" w:bidi="uk-UA"/>
        </w:rPr>
        <w:t>, с. 65</w:t>
      </w:r>
      <w:r w:rsidRPr="00511005">
        <w:rPr>
          <w:rFonts w:ascii="Arial" w:eastAsia="Times New Roman" w:hAnsi="Arial" w:cs="Arial"/>
          <w:szCs w:val="28"/>
          <w:lang w:eastAsia="ru-RU" w:bidi="uk-UA"/>
        </w:rPr>
        <w:t>]</w:t>
      </w:r>
      <w:r w:rsidRPr="00511005">
        <w:rPr>
          <w:rFonts w:ascii="Arial" w:eastAsia="Times New Roman" w:hAnsi="Arial" w:cs="Arial"/>
          <w:szCs w:val="28"/>
          <w:lang w:val="uk-UA" w:eastAsia="ru-RU" w:bidi="uk-UA"/>
        </w:rPr>
        <w:t>.</w:t>
      </w:r>
    </w:p>
    <w:p w14:paraId="5BFA6FCC" w14:textId="77777777" w:rsidR="003476F8" w:rsidRPr="00511005" w:rsidRDefault="003476F8" w:rsidP="00D815F0">
      <w:pPr>
        <w:widowControl w:val="0"/>
        <w:tabs>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Отже, регулювання трудових відносин на прифронтових територіях України в умовах воєнного стану є складним і багатогранним завданням. Воно потребує оперативного реагування, правової гнучкості, але при цьому – чіткого дотримання засад прав людини та трудових гарантій. Лише за умови системного підходу держави, підтримки міжнародних партнерів та залучення громадськості можна досягти балансу між безпекою працівників і стабільністю економічної діяльності в зонах підвищеного ризику.</w:t>
      </w:r>
    </w:p>
    <w:p w14:paraId="319FBD00" w14:textId="77777777" w:rsidR="003476F8" w:rsidRPr="00511005" w:rsidRDefault="003476F8" w:rsidP="003A292D">
      <w:pPr>
        <w:widowControl w:val="0"/>
        <w:tabs>
          <w:tab w:val="left" w:pos="7088"/>
        </w:tabs>
        <w:autoSpaceDE w:val="0"/>
        <w:autoSpaceDN w:val="0"/>
        <w:adjustRightInd w:val="0"/>
        <w:spacing w:line="264" w:lineRule="auto"/>
        <w:ind w:left="-567"/>
        <w:rPr>
          <w:rFonts w:ascii="Arial" w:eastAsia="Times New Roman" w:hAnsi="Arial" w:cs="Arial"/>
          <w:szCs w:val="28"/>
          <w:lang w:val="uk-UA" w:eastAsia="ru-RU" w:bidi="uk-UA"/>
        </w:rPr>
      </w:pPr>
    </w:p>
    <w:p w14:paraId="5822854F" w14:textId="79976638" w:rsidR="003476F8" w:rsidRPr="00511005" w:rsidRDefault="007B2628" w:rsidP="007B2628">
      <w:pPr>
        <w:widowControl w:val="0"/>
        <w:tabs>
          <w:tab w:val="left" w:pos="7088"/>
        </w:tabs>
        <w:autoSpaceDE w:val="0"/>
        <w:autoSpaceDN w:val="0"/>
        <w:adjustRightInd w:val="0"/>
        <w:spacing w:line="264" w:lineRule="auto"/>
        <w:ind w:left="-567" w:firstLine="0"/>
        <w:jc w:val="center"/>
        <w:rPr>
          <w:rFonts w:ascii="Arial" w:eastAsia="Times New Roman" w:hAnsi="Arial" w:cs="Arial"/>
          <w:b/>
          <w:bCs/>
          <w:szCs w:val="28"/>
          <w:lang w:val="uk-UA" w:eastAsia="ru-RU" w:bidi="uk-UA"/>
        </w:rPr>
      </w:pPr>
      <w:r w:rsidRPr="00511005">
        <w:rPr>
          <w:rFonts w:ascii="Arial" w:eastAsia="Times New Roman" w:hAnsi="Arial" w:cs="Arial"/>
          <w:b/>
          <w:bCs/>
          <w:szCs w:val="28"/>
          <w:lang w:val="uk-UA" w:eastAsia="ru-RU" w:bidi="uk-UA"/>
        </w:rPr>
        <w:t>Список використаних джерел</w:t>
      </w:r>
    </w:p>
    <w:p w14:paraId="3F611F83" w14:textId="77777777" w:rsidR="003476F8" w:rsidRPr="00511005" w:rsidRDefault="003476F8" w:rsidP="003F6A5D">
      <w:pPr>
        <w:widowControl w:val="0"/>
        <w:numPr>
          <w:ilvl w:val="0"/>
          <w:numId w:val="461"/>
        </w:numPr>
        <w:tabs>
          <w:tab w:val="left" w:pos="993"/>
          <w:tab w:val="left" w:pos="7088"/>
        </w:tabs>
        <w:autoSpaceDE w:val="0"/>
        <w:autoSpaceDN w:val="0"/>
        <w:adjustRightInd w:val="0"/>
        <w:spacing w:line="264" w:lineRule="auto"/>
        <w:ind w:left="0" w:firstLine="0"/>
        <w:contextualSpacing/>
        <w:jc w:val="left"/>
        <w:rPr>
          <w:rFonts w:ascii="Arial" w:eastAsia="Times New Roman" w:hAnsi="Arial" w:cs="Arial"/>
          <w:bCs/>
          <w:szCs w:val="28"/>
          <w:lang w:eastAsia="ru-RU" w:bidi="uk-UA"/>
        </w:rPr>
      </w:pPr>
      <w:r w:rsidRPr="00511005">
        <w:rPr>
          <w:rFonts w:ascii="Arial" w:eastAsia="Times New Roman" w:hAnsi="Arial" w:cs="Arial"/>
          <w:bCs/>
          <w:szCs w:val="28"/>
          <w:lang w:val="uk-UA" w:eastAsia="ru-RU" w:bidi="uk-UA"/>
        </w:rPr>
        <w:t xml:space="preserve">Про організацію трудових відносин в умовах воєнного стану: Закон України </w:t>
      </w:r>
      <w:r w:rsidRPr="00511005">
        <w:rPr>
          <w:rFonts w:ascii="Arial" w:eastAsia="Times New Roman" w:hAnsi="Arial" w:cs="Arial"/>
          <w:szCs w:val="28"/>
          <w:lang w:val="uk-UA" w:eastAsia="ru-RU" w:bidi="uk-UA"/>
        </w:rPr>
        <w:t xml:space="preserve">від 15.03.2022 </w:t>
      </w:r>
      <w:r w:rsidRPr="00511005">
        <w:rPr>
          <w:rFonts w:ascii="Arial" w:eastAsia="Times New Roman" w:hAnsi="Arial" w:cs="Arial"/>
          <w:szCs w:val="28"/>
          <w:lang w:eastAsia="ru-RU"/>
        </w:rPr>
        <w:t>року № 2136</w:t>
      </w:r>
      <w:r w:rsidRPr="00511005">
        <w:rPr>
          <w:rFonts w:ascii="Arial" w:eastAsia="Times New Roman" w:hAnsi="Arial" w:cs="Arial"/>
          <w:szCs w:val="28"/>
          <w:lang w:val="uk-UA" w:eastAsia="ru-RU" w:bidi="uk-UA"/>
        </w:rPr>
        <w:t>-</w:t>
      </w:r>
      <w:r w:rsidRPr="00511005">
        <w:rPr>
          <w:rFonts w:ascii="Arial" w:eastAsia="Times New Roman" w:hAnsi="Arial" w:cs="Arial"/>
          <w:szCs w:val="28"/>
          <w:lang w:eastAsia="ru-RU" w:bidi="uk-UA"/>
        </w:rPr>
        <w:t>IX</w:t>
      </w:r>
      <w:r w:rsidRPr="00511005">
        <w:rPr>
          <w:rFonts w:ascii="Arial" w:eastAsia="Times New Roman" w:hAnsi="Arial" w:cs="Arial"/>
          <w:szCs w:val="28"/>
          <w:lang w:val="uk-UA" w:eastAsia="ru-RU" w:bidi="uk-UA"/>
        </w:rPr>
        <w:t xml:space="preserve"> </w:t>
      </w:r>
      <w:r w:rsidRPr="00511005">
        <w:rPr>
          <w:rFonts w:ascii="Arial" w:eastAsia="Times New Roman" w:hAnsi="Arial" w:cs="Arial"/>
          <w:bCs/>
          <w:szCs w:val="28"/>
          <w:lang w:val="en-US" w:eastAsia="ru-RU" w:bidi="uk-UA"/>
        </w:rPr>
        <w:t>URL</w:t>
      </w:r>
      <w:r w:rsidRPr="00511005">
        <w:rPr>
          <w:rFonts w:ascii="Arial" w:eastAsia="Times New Roman" w:hAnsi="Arial" w:cs="Arial"/>
          <w:bCs/>
          <w:szCs w:val="28"/>
          <w:lang w:eastAsia="ru-RU" w:bidi="uk-UA"/>
        </w:rPr>
        <w:t xml:space="preserve">: </w:t>
      </w:r>
      <w:hyperlink r:id="rId1708" w:anchor="Text" w:history="1">
        <w:r w:rsidRPr="00511005">
          <w:rPr>
            <w:rFonts w:ascii="Arial" w:eastAsia="Times New Roman" w:hAnsi="Arial" w:cs="Arial"/>
            <w:bCs/>
            <w:szCs w:val="28"/>
            <w:lang w:val="uk-UA" w:eastAsia="ru-RU" w:bidi="uk-UA"/>
          </w:rPr>
          <w:t>https://zakon.rada.gov.ua/laws/show/2136-20#Text</w:t>
        </w:r>
      </w:hyperlink>
      <w:r w:rsidRPr="00511005">
        <w:rPr>
          <w:rFonts w:ascii="Arial" w:eastAsia="Times New Roman" w:hAnsi="Arial" w:cs="Arial"/>
          <w:bCs/>
          <w:szCs w:val="28"/>
          <w:lang w:val="uk-UA" w:eastAsia="ru-RU" w:bidi="uk-UA"/>
        </w:rPr>
        <w:t xml:space="preserve"> </w:t>
      </w:r>
    </w:p>
    <w:p w14:paraId="0C02A914" w14:textId="45D050C2" w:rsidR="003476F8" w:rsidRPr="00511005" w:rsidRDefault="003476F8" w:rsidP="003F6A5D">
      <w:pPr>
        <w:widowControl w:val="0"/>
        <w:numPr>
          <w:ilvl w:val="0"/>
          <w:numId w:val="461"/>
        </w:numPr>
        <w:tabs>
          <w:tab w:val="left" w:pos="993"/>
          <w:tab w:val="left" w:pos="7088"/>
        </w:tabs>
        <w:autoSpaceDE w:val="0"/>
        <w:autoSpaceDN w:val="0"/>
        <w:adjustRightInd w:val="0"/>
        <w:spacing w:line="264" w:lineRule="auto"/>
        <w:ind w:left="0" w:firstLine="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Кодекс законів про працю України.</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pl-PL" w:eastAsia="ru-RU" w:bidi="uk-UA"/>
        </w:rPr>
        <w:t xml:space="preserve">URL: </w:t>
      </w:r>
      <w:hyperlink r:id="rId1709" w:anchor="Text" w:history="1">
        <w:r w:rsidRPr="00511005">
          <w:rPr>
            <w:rFonts w:ascii="Arial" w:eastAsia="Times New Roman" w:hAnsi="Arial" w:cs="Arial"/>
            <w:bCs/>
            <w:szCs w:val="28"/>
            <w:lang w:val="uk-UA" w:eastAsia="ru-RU" w:bidi="uk-UA"/>
          </w:rPr>
          <w:t>https://zakon.rada.gov.ua/laws/show/322-08#Text</w:t>
        </w:r>
      </w:hyperlink>
      <w:r w:rsidRPr="00511005">
        <w:rPr>
          <w:rFonts w:ascii="Arial" w:eastAsia="Times New Roman" w:hAnsi="Arial" w:cs="Arial"/>
          <w:bCs/>
          <w:szCs w:val="28"/>
          <w:lang w:val="uk-UA" w:eastAsia="ru-RU" w:bidi="uk-UA"/>
        </w:rPr>
        <w:t xml:space="preserve"> </w:t>
      </w:r>
    </w:p>
    <w:p w14:paraId="5D1D187D" w14:textId="77777777" w:rsidR="003476F8" w:rsidRPr="00511005" w:rsidRDefault="003476F8" w:rsidP="003F6A5D">
      <w:pPr>
        <w:widowControl w:val="0"/>
        <w:numPr>
          <w:ilvl w:val="0"/>
          <w:numId w:val="461"/>
        </w:numPr>
        <w:tabs>
          <w:tab w:val="left" w:pos="993"/>
          <w:tab w:val="left" w:pos="7088"/>
        </w:tabs>
        <w:autoSpaceDE w:val="0"/>
        <w:autoSpaceDN w:val="0"/>
        <w:adjustRightInd w:val="0"/>
        <w:spacing w:line="264" w:lineRule="auto"/>
        <w:ind w:left="0" w:firstLine="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eastAsia="ru-RU" w:bidi="uk-UA"/>
        </w:rPr>
        <w:t xml:space="preserve">Приступа </w:t>
      </w:r>
      <w:r w:rsidRPr="00511005">
        <w:rPr>
          <w:rFonts w:ascii="Arial" w:eastAsia="Times New Roman" w:hAnsi="Arial" w:cs="Arial"/>
          <w:bCs/>
          <w:szCs w:val="28"/>
          <w:lang w:val="uk-UA" w:eastAsia="ru-RU" w:bidi="uk-UA"/>
        </w:rPr>
        <w:t>Д. Р</w:t>
      </w:r>
      <w:r w:rsidRPr="00511005">
        <w:rPr>
          <w:rFonts w:ascii="Arial" w:eastAsia="Times New Roman" w:hAnsi="Arial" w:cs="Arial"/>
          <w:bCs/>
          <w:szCs w:val="28"/>
          <w:lang w:eastAsia="ru-RU" w:bidi="uk-UA"/>
        </w:rPr>
        <w:t>инок праці в умовах війни: тенденції та перспективи</w:t>
      </w:r>
      <w:r w:rsidRPr="00511005">
        <w:rPr>
          <w:rFonts w:ascii="Arial" w:eastAsia="Times New Roman" w:hAnsi="Arial" w:cs="Arial"/>
          <w:bCs/>
          <w:i/>
          <w:iCs/>
          <w:szCs w:val="28"/>
          <w:lang w:val="uk-UA" w:eastAsia="ru-RU" w:bidi="uk-UA"/>
        </w:rPr>
        <w:t xml:space="preserve"> </w:t>
      </w:r>
      <w:r w:rsidRPr="00511005">
        <w:rPr>
          <w:rFonts w:ascii="Arial" w:eastAsia="Times New Roman" w:hAnsi="Arial" w:cs="Arial"/>
          <w:bCs/>
          <w:szCs w:val="28"/>
          <w:lang w:val="en-US" w:eastAsia="ru-RU" w:bidi="uk-UA"/>
        </w:rPr>
        <w:t>URL</w:t>
      </w:r>
      <w:r w:rsidRPr="00511005">
        <w:rPr>
          <w:rFonts w:ascii="Arial" w:eastAsia="Times New Roman" w:hAnsi="Arial" w:cs="Arial"/>
          <w:bCs/>
          <w:szCs w:val="28"/>
          <w:lang w:eastAsia="ru-RU" w:bidi="uk-UA"/>
        </w:rPr>
        <w:t xml:space="preserve">: </w:t>
      </w:r>
      <w:hyperlink r:id="rId1710" w:history="1">
        <w:r w:rsidRPr="00511005">
          <w:rPr>
            <w:rFonts w:ascii="Arial" w:eastAsia="Times New Roman" w:hAnsi="Arial" w:cs="Arial"/>
            <w:bCs/>
            <w:iCs/>
            <w:szCs w:val="28"/>
            <w:lang w:val="uk-UA" w:eastAsia="ru-RU" w:bidi="uk-UA"/>
          </w:rPr>
          <w:t>https://evnuir.vnu.edu.ua/bitstream/123456789/22208/1/64-68.pdf</w:t>
        </w:r>
      </w:hyperlink>
      <w:r w:rsidRPr="00511005">
        <w:rPr>
          <w:rFonts w:ascii="Arial" w:eastAsia="Times New Roman" w:hAnsi="Arial" w:cs="Arial"/>
          <w:bCs/>
          <w:iCs/>
          <w:szCs w:val="28"/>
          <w:lang w:val="uk-UA" w:eastAsia="ru-RU" w:bidi="uk-UA"/>
        </w:rPr>
        <w:t xml:space="preserve"> </w:t>
      </w:r>
    </w:p>
    <w:p w14:paraId="40416467" w14:textId="77777777" w:rsidR="003476F8" w:rsidRPr="00511005" w:rsidRDefault="003476F8" w:rsidP="00D815F0">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bCs/>
          <w:szCs w:val="28"/>
          <w:lang w:val="uk-UA" w:eastAsia="ru-RU" w:bidi="uk-UA"/>
        </w:rPr>
      </w:pPr>
    </w:p>
    <w:p w14:paraId="27B599F6" w14:textId="76A23C5C" w:rsidR="003476F8" w:rsidRPr="00511005" w:rsidRDefault="007B2628" w:rsidP="00D815F0">
      <w:pPr>
        <w:widowControl w:val="0"/>
        <w:tabs>
          <w:tab w:val="left" w:pos="993"/>
          <w:tab w:val="left" w:pos="7088"/>
        </w:tabs>
        <w:autoSpaceDE w:val="0"/>
        <w:autoSpaceDN w:val="0"/>
        <w:adjustRightInd w:val="0"/>
        <w:spacing w:line="264" w:lineRule="auto"/>
        <w:ind w:firstLine="0"/>
        <w:rPr>
          <w:rFonts w:ascii="Arial" w:eastAsia="Times New Roman" w:hAnsi="Arial" w:cs="Arial"/>
          <w:b/>
          <w:iCs/>
          <w:szCs w:val="28"/>
          <w:lang w:val="uk-UA" w:eastAsia="ru-RU"/>
        </w:rPr>
      </w:pPr>
      <w:r w:rsidRPr="00511005">
        <w:rPr>
          <w:rFonts w:ascii="Arial" w:eastAsia="Times New Roman" w:hAnsi="Arial" w:cs="Arial"/>
          <w:b/>
          <w:i/>
          <w:iCs/>
          <w:szCs w:val="28"/>
          <w:lang w:val="uk-UA" w:eastAsia="ru-RU"/>
        </w:rPr>
        <w:t xml:space="preserve">Ключові слова: </w:t>
      </w:r>
      <w:r w:rsidR="003476F8" w:rsidRPr="00511005">
        <w:rPr>
          <w:rFonts w:ascii="Arial" w:eastAsia="Times New Roman" w:hAnsi="Arial" w:cs="Arial"/>
          <w:bCs/>
          <w:iCs/>
          <w:szCs w:val="28"/>
          <w:lang w:val="uk-UA" w:eastAsia="ru-RU"/>
        </w:rPr>
        <w:t>роботодавці, прифронтові території, трудові відносини, правове регулювання, трудовий договір, умови праці, працівник, охорона праці, місцева влада, воєнний стан.</w:t>
      </w:r>
    </w:p>
    <w:p w14:paraId="7CE04456" w14:textId="092423AF" w:rsidR="003476F8" w:rsidRPr="00511005" w:rsidRDefault="007B2628" w:rsidP="00D815F0">
      <w:pPr>
        <w:widowControl w:val="0"/>
        <w:tabs>
          <w:tab w:val="left" w:pos="993"/>
          <w:tab w:val="left" w:pos="7088"/>
        </w:tabs>
        <w:autoSpaceDE w:val="0"/>
        <w:autoSpaceDN w:val="0"/>
        <w:adjustRightInd w:val="0"/>
        <w:spacing w:line="264" w:lineRule="auto"/>
        <w:ind w:firstLine="0"/>
        <w:jc w:val="left"/>
        <w:rPr>
          <w:rFonts w:ascii="Arial" w:eastAsia="Times New Roman" w:hAnsi="Arial" w:cs="Arial"/>
          <w:bCs/>
          <w:iCs/>
          <w:szCs w:val="28"/>
          <w:lang w:val="en-US" w:eastAsia="ru-RU"/>
        </w:rPr>
      </w:pPr>
      <w:r w:rsidRPr="00511005">
        <w:rPr>
          <w:rFonts w:ascii="Arial" w:eastAsia="Times New Roman" w:hAnsi="Arial" w:cs="Arial"/>
          <w:b/>
          <w:i/>
          <w:iCs/>
          <w:szCs w:val="28"/>
          <w:lang w:val="en-US" w:eastAsia="ru-RU"/>
        </w:rPr>
        <w:t xml:space="preserve">Key words: </w:t>
      </w:r>
      <w:r w:rsidR="003476F8" w:rsidRPr="00511005">
        <w:rPr>
          <w:rFonts w:ascii="Arial" w:eastAsia="Times New Roman" w:hAnsi="Arial" w:cs="Arial"/>
          <w:bCs/>
          <w:iCs/>
          <w:szCs w:val="28"/>
          <w:lang w:val="uk-UA" w:eastAsia="ru-RU"/>
        </w:rPr>
        <w:t>employers, frontline territories, labor relations, legal re</w:t>
      </w:r>
      <w:r w:rsidR="003476F8" w:rsidRPr="00511005">
        <w:rPr>
          <w:rFonts w:ascii="Arial" w:eastAsia="Times New Roman" w:hAnsi="Arial" w:cs="Arial"/>
          <w:bCs/>
          <w:iCs/>
          <w:szCs w:val="28"/>
          <w:lang w:val="en-US" w:eastAsia="ru-RU"/>
        </w:rPr>
        <w:t>g</w:t>
      </w:r>
      <w:r w:rsidR="003476F8" w:rsidRPr="00511005">
        <w:rPr>
          <w:rFonts w:ascii="Arial" w:eastAsia="Times New Roman" w:hAnsi="Arial" w:cs="Arial"/>
          <w:bCs/>
          <w:iCs/>
          <w:szCs w:val="28"/>
          <w:lang w:val="uk-UA" w:eastAsia="ru-RU"/>
        </w:rPr>
        <w:t xml:space="preserve">ulation, employment contract, </w:t>
      </w:r>
      <w:r w:rsidR="003476F8" w:rsidRPr="00511005">
        <w:rPr>
          <w:rFonts w:ascii="Arial" w:eastAsia="Times New Roman" w:hAnsi="Arial" w:cs="Arial"/>
          <w:bCs/>
          <w:iCs/>
          <w:szCs w:val="28"/>
          <w:lang w:val="en-US" w:eastAsia="ru-RU"/>
        </w:rPr>
        <w:t>working conditions, employee, labor protection, local authorities, martial law.</w:t>
      </w:r>
    </w:p>
    <w:p w14:paraId="42AA8C81" w14:textId="20092D99" w:rsidR="003476F8" w:rsidRPr="00511005" w:rsidRDefault="007B2628" w:rsidP="00D815F0">
      <w:pPr>
        <w:widowControl w:val="0"/>
        <w:autoSpaceDE w:val="0"/>
        <w:autoSpaceDN w:val="0"/>
        <w:adjustRightInd w:val="0"/>
        <w:spacing w:line="264" w:lineRule="auto"/>
        <w:ind w:right="-143" w:firstLine="0"/>
        <w:contextualSpacing/>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003476F8" w:rsidRPr="00511005">
        <w:rPr>
          <w:rFonts w:ascii="Arial" w:eastAsia="Times New Roman" w:hAnsi="Arial" w:cs="Arial"/>
          <w:i/>
          <w:iCs/>
          <w:szCs w:val="28"/>
          <w:lang w:eastAsia="ru-RU"/>
        </w:rPr>
        <w:t>к.ю.н., доцент Панченко А.О.</w:t>
      </w:r>
    </w:p>
    <w:p w14:paraId="23DD150B" w14:textId="77777777" w:rsidR="003476F8" w:rsidRPr="00511005" w:rsidRDefault="003476F8" w:rsidP="00D815F0">
      <w:pPr>
        <w:spacing w:line="264" w:lineRule="auto"/>
        <w:ind w:firstLine="0"/>
        <w:jc w:val="left"/>
        <w:rPr>
          <w:rFonts w:ascii="Arial" w:eastAsia="Calibri" w:hAnsi="Arial" w:cs="Arial"/>
          <w:kern w:val="2"/>
          <w:szCs w:val="28"/>
          <w:lang w:val="uk-UA"/>
          <w14:ligatures w14:val="standardContextual"/>
        </w:rPr>
      </w:pPr>
    </w:p>
    <w:p w14:paraId="737D1B36"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7A4F7071" w14:textId="77777777" w:rsidR="003476F8" w:rsidRPr="00511005" w:rsidRDefault="003476F8" w:rsidP="003A292D">
      <w:pPr>
        <w:spacing w:line="264" w:lineRule="auto"/>
        <w:ind w:firstLine="0"/>
        <w:jc w:val="center"/>
        <w:rPr>
          <w:rFonts w:ascii="Arial" w:eastAsia="DengXian" w:hAnsi="Arial" w:cs="Arial"/>
          <w:b/>
          <w:bCs/>
          <w:i/>
          <w:iCs/>
          <w:kern w:val="2"/>
          <w:szCs w:val="28"/>
          <w:lang w:eastAsia="ru-RU"/>
          <w14:ligatures w14:val="standardContextual"/>
        </w:rPr>
      </w:pPr>
      <w:r w:rsidRPr="00511005">
        <w:rPr>
          <w:rFonts w:ascii="Arial" w:eastAsia="DengXian" w:hAnsi="Arial" w:cs="Arial"/>
          <w:b/>
          <w:bCs/>
          <w:i/>
          <w:iCs/>
          <w:kern w:val="2"/>
          <w:szCs w:val="28"/>
          <w:lang w:eastAsia="ru-RU"/>
          <w14:ligatures w14:val="standardContextual"/>
        </w:rPr>
        <w:t>Ромащенко Дмитрій Михайлович</w:t>
      </w:r>
    </w:p>
    <w:p w14:paraId="549988A0" w14:textId="0EABC148" w:rsidR="003476F8" w:rsidRPr="00511005" w:rsidRDefault="00536AAB" w:rsidP="003A292D">
      <w:pPr>
        <w:spacing w:line="264" w:lineRule="auto"/>
        <w:ind w:firstLine="0"/>
        <w:jc w:val="center"/>
        <w:rPr>
          <w:rFonts w:ascii="Arial" w:eastAsia="DengXian" w:hAnsi="Arial" w:cs="Arial"/>
          <w:iCs/>
          <w:kern w:val="2"/>
          <w:szCs w:val="28"/>
          <w:lang w:val="uk-UA" w:eastAsia="ru-RU"/>
          <w14:ligatures w14:val="standardContextual"/>
        </w:rPr>
      </w:pPr>
      <w:r w:rsidRPr="00511005">
        <w:rPr>
          <w:rFonts w:ascii="Arial" w:eastAsia="DengXian" w:hAnsi="Arial" w:cs="Arial"/>
          <w:iCs/>
          <w:kern w:val="2"/>
          <w:szCs w:val="28"/>
          <w:lang w:eastAsia="ru-RU"/>
          <w14:ligatures w14:val="standardContextual"/>
        </w:rPr>
        <w:t xml:space="preserve">студент 2-го курсу </w:t>
      </w:r>
      <w:r w:rsidR="001B7B25" w:rsidRPr="00511005">
        <w:rPr>
          <w:rFonts w:ascii="Arial" w:eastAsia="DengXian" w:hAnsi="Arial" w:cs="Arial"/>
          <w:iCs/>
          <w:kern w:val="2"/>
          <w:szCs w:val="28"/>
          <w:lang w:eastAsia="ru-RU"/>
          <w14:ligatures w14:val="standardContextual"/>
        </w:rPr>
        <w:t>факультету судового та міжнародного права</w:t>
      </w:r>
    </w:p>
    <w:p w14:paraId="211B396B" w14:textId="3346FAD2" w:rsidR="003476F8" w:rsidRPr="00511005" w:rsidRDefault="007B2628" w:rsidP="003A292D">
      <w:pPr>
        <w:spacing w:line="264" w:lineRule="auto"/>
        <w:ind w:firstLine="0"/>
        <w:jc w:val="center"/>
        <w:rPr>
          <w:rFonts w:ascii="Arial" w:eastAsia="DengXian" w:hAnsi="Arial" w:cs="Arial"/>
          <w:iCs/>
          <w:kern w:val="2"/>
          <w:szCs w:val="28"/>
          <w:lang w:val="uk-UA" w:eastAsia="ru-RU"/>
          <w14:ligatures w14:val="standardContextual"/>
        </w:rPr>
      </w:pPr>
      <w:r w:rsidRPr="00511005">
        <w:rPr>
          <w:rFonts w:ascii="Arial" w:eastAsia="DengXian" w:hAnsi="Arial" w:cs="Arial"/>
          <w:iCs/>
          <w:kern w:val="2"/>
          <w:szCs w:val="28"/>
          <w:lang w:eastAsia="ru-RU"/>
          <w14:ligatures w14:val="standardContextual"/>
        </w:rPr>
        <w:t>Національного університету «Одеська юридична академія»</w:t>
      </w:r>
    </w:p>
    <w:p w14:paraId="2C7688CD" w14:textId="77777777" w:rsidR="003476F8" w:rsidRPr="00511005" w:rsidRDefault="003476F8" w:rsidP="003A292D">
      <w:pPr>
        <w:spacing w:line="264" w:lineRule="auto"/>
        <w:ind w:firstLine="0"/>
        <w:jc w:val="center"/>
        <w:rPr>
          <w:rFonts w:ascii="Arial" w:eastAsia="DengXian" w:hAnsi="Arial" w:cs="Arial"/>
          <w:i/>
          <w:iCs/>
          <w:kern w:val="2"/>
          <w:szCs w:val="28"/>
          <w:lang w:eastAsia="ru-RU"/>
          <w14:ligatures w14:val="standardContextual"/>
        </w:rPr>
      </w:pPr>
    </w:p>
    <w:p w14:paraId="5A6AEC86" w14:textId="77777777" w:rsidR="003476F8" w:rsidRPr="00511005" w:rsidRDefault="003476F8" w:rsidP="003A292D">
      <w:pPr>
        <w:spacing w:line="264" w:lineRule="auto"/>
        <w:ind w:firstLine="0"/>
        <w:jc w:val="center"/>
        <w:rPr>
          <w:rFonts w:ascii="Arial" w:eastAsia="DengXian" w:hAnsi="Arial" w:cs="Arial"/>
          <w:b/>
          <w:bCs/>
          <w:kern w:val="2"/>
          <w:szCs w:val="28"/>
          <w:lang w:val="uk-UA" w:eastAsia="ru-RU"/>
          <w14:ligatures w14:val="standardContextual"/>
        </w:rPr>
      </w:pPr>
      <w:r w:rsidRPr="00511005">
        <w:rPr>
          <w:rFonts w:ascii="Arial" w:eastAsia="DengXian" w:hAnsi="Arial" w:cs="Arial"/>
          <w:b/>
          <w:bCs/>
          <w:kern w:val="2"/>
          <w:szCs w:val="28"/>
          <w:lang w:eastAsia="ru-RU"/>
          <w14:ligatures w14:val="standardContextual"/>
        </w:rPr>
        <w:t>РОЗІРВАННЯ ТРУДОВОГО ДОГОВОРУ</w:t>
      </w:r>
      <w:r w:rsidRPr="00511005">
        <w:rPr>
          <w:rFonts w:ascii="Arial" w:eastAsia="DengXian" w:hAnsi="Arial" w:cs="Arial"/>
          <w:b/>
          <w:bCs/>
          <w:kern w:val="2"/>
          <w:szCs w:val="28"/>
          <w:lang w:val="uk-UA" w:eastAsia="ru-RU"/>
          <w14:ligatures w14:val="standardContextual"/>
        </w:rPr>
        <w:t xml:space="preserve"> ЗА ЗАКОНОДАВСТВОМ УКРАЇНИ</w:t>
      </w:r>
      <w:r w:rsidRPr="00511005">
        <w:rPr>
          <w:rFonts w:ascii="Arial" w:eastAsia="DengXian" w:hAnsi="Arial" w:cs="Arial"/>
          <w:b/>
          <w:bCs/>
          <w:kern w:val="2"/>
          <w:szCs w:val="28"/>
          <w:lang w:eastAsia="ru-RU"/>
          <w14:ligatures w14:val="standardContextual"/>
        </w:rPr>
        <w:t xml:space="preserve"> В УМОВАХ ВОЄННОГО СТАНУ</w:t>
      </w:r>
    </w:p>
    <w:p w14:paraId="5300B888" w14:textId="7B4E5FE0" w:rsidR="003476F8" w:rsidRPr="00511005" w:rsidRDefault="003476F8" w:rsidP="003A292D">
      <w:pPr>
        <w:spacing w:line="264" w:lineRule="auto"/>
        <w:ind w:firstLine="708"/>
        <w:rPr>
          <w:rFonts w:ascii="Arial" w:eastAsia="DengXian" w:hAnsi="Arial" w:cs="Arial"/>
          <w:kern w:val="2"/>
          <w:szCs w:val="28"/>
          <w:lang w:eastAsia="ru-RU"/>
          <w14:ligatures w14:val="standardContextual"/>
        </w:rPr>
      </w:pPr>
      <w:r w:rsidRPr="00511005">
        <w:rPr>
          <w:rFonts w:ascii="Arial" w:eastAsia="DengXian" w:hAnsi="Arial" w:cs="Arial"/>
          <w:kern w:val="2"/>
          <w:szCs w:val="28"/>
          <w:lang w:eastAsia="ru-RU"/>
          <w14:ligatures w14:val="standardContextual"/>
        </w:rPr>
        <w:t>Запровадження воєнного стану на території України у 2022 році спричинило суттєві трансформації у сфері трудових правовідносин. В умовах бойових дій, примусової евакуації, мобілізації та зни</w:t>
      </w:r>
      <w:r w:rsidRPr="00511005">
        <w:rPr>
          <w:rFonts w:ascii="Arial" w:eastAsia="DengXian" w:hAnsi="Arial" w:cs="Arial"/>
          <w:kern w:val="2"/>
          <w:szCs w:val="28"/>
          <w:lang w:val="uk-UA" w:eastAsia="ru-RU"/>
          <w14:ligatures w14:val="standardContextual"/>
        </w:rPr>
        <w:t>щення інфраструктури й підприємств</w:t>
      </w:r>
      <w:r w:rsidRPr="00511005">
        <w:rPr>
          <w:rFonts w:ascii="Arial" w:eastAsia="DengXian" w:hAnsi="Arial" w:cs="Arial"/>
          <w:kern w:val="2"/>
          <w:szCs w:val="28"/>
          <w:lang w:eastAsia="ru-RU"/>
          <w14:ligatures w14:val="standardContextual"/>
        </w:rPr>
        <w:t xml:space="preserve"> постала потреба в змінені трудових правовідносин, зокрема в частині, що стосується розірвання трудового договору. Закон</w:t>
      </w:r>
      <w:r w:rsidRPr="00511005">
        <w:rPr>
          <w:rFonts w:ascii="Arial" w:eastAsia="DengXian" w:hAnsi="Arial" w:cs="Arial"/>
          <w:kern w:val="2"/>
          <w:szCs w:val="28"/>
          <w:lang w:val="uk-UA" w:eastAsia="ru-RU"/>
          <w14:ligatures w14:val="standardContextual"/>
        </w:rPr>
        <w:t>ом</w:t>
      </w:r>
      <w:r w:rsidRPr="00511005">
        <w:rPr>
          <w:rFonts w:ascii="Arial" w:eastAsia="DengXian" w:hAnsi="Arial" w:cs="Arial"/>
          <w:kern w:val="2"/>
          <w:szCs w:val="28"/>
          <w:lang w:eastAsia="ru-RU"/>
          <w14:ligatures w14:val="standardContextual"/>
        </w:rPr>
        <w:t xml:space="preserve"> України «Про організацію трудових відносин в умовах </w:t>
      </w:r>
      <w:r w:rsidRPr="00511005">
        <w:rPr>
          <w:rFonts w:ascii="Arial" w:eastAsia="DengXian" w:hAnsi="Arial" w:cs="Arial"/>
          <w:kern w:val="2"/>
          <w:szCs w:val="28"/>
          <w:lang w:eastAsia="ru-RU"/>
          <w14:ligatures w14:val="standardContextual"/>
        </w:rPr>
        <w:lastRenderedPageBreak/>
        <w:t>воєнного стану»</w:t>
      </w:r>
      <w:r w:rsidRPr="00511005">
        <w:rPr>
          <w:rFonts w:ascii="Arial" w:eastAsia="DengXian" w:hAnsi="Arial" w:cs="Arial"/>
          <w:kern w:val="2"/>
          <w:szCs w:val="28"/>
          <w:lang w:val="uk-UA" w:eastAsia="ru-RU"/>
          <w14:ligatures w14:val="standardContextual"/>
        </w:rPr>
        <w:t xml:space="preserve"> було внесено </w:t>
      </w:r>
      <w:r w:rsidRPr="00511005">
        <w:rPr>
          <w:rFonts w:ascii="Arial" w:eastAsia="DengXian" w:hAnsi="Arial" w:cs="Arial"/>
          <w:kern w:val="2"/>
          <w:szCs w:val="28"/>
          <w:lang w:eastAsia="ru-RU"/>
          <w14:ligatures w14:val="standardContextual"/>
        </w:rPr>
        <w:t>деякі особливості в</w:t>
      </w:r>
      <w:r w:rsidRPr="00511005">
        <w:rPr>
          <w:rFonts w:ascii="Arial" w:eastAsia="DengXian" w:hAnsi="Arial" w:cs="Arial"/>
          <w:kern w:val="2"/>
          <w:szCs w:val="28"/>
          <w:lang w:val="uk-UA" w:eastAsia="ru-RU"/>
          <w14:ligatures w14:val="standardContextual"/>
        </w:rPr>
        <w:t xml:space="preserve"> питання</w:t>
      </w:r>
      <w:r w:rsidR="007B2628" w:rsidRPr="00511005">
        <w:rPr>
          <w:rFonts w:ascii="Arial" w:eastAsia="DengXian" w:hAnsi="Arial" w:cs="Arial"/>
          <w:kern w:val="2"/>
          <w:szCs w:val="28"/>
          <w:lang w:val="uk-UA" w:eastAsia="ru-RU"/>
          <w14:ligatures w14:val="standardContextual"/>
        </w:rPr>
        <w:t xml:space="preserve"> </w:t>
      </w:r>
      <w:r w:rsidRPr="00511005">
        <w:rPr>
          <w:rFonts w:ascii="Arial" w:eastAsia="DengXian" w:hAnsi="Arial" w:cs="Arial"/>
          <w:kern w:val="2"/>
          <w:szCs w:val="28"/>
          <w:lang w:eastAsia="ru-RU"/>
          <w14:ligatures w14:val="standardContextual"/>
        </w:rPr>
        <w:t>розірвання трудового договору [1</w:t>
      </w:r>
      <w:proofErr w:type="gramStart"/>
      <w:r w:rsidRPr="00511005">
        <w:rPr>
          <w:rFonts w:ascii="Arial" w:eastAsia="DengXian" w:hAnsi="Arial" w:cs="Arial"/>
          <w:kern w:val="2"/>
          <w:szCs w:val="28"/>
          <w:lang w:eastAsia="ru-RU"/>
          <w14:ligatures w14:val="standardContextual"/>
        </w:rPr>
        <w:t>]</w:t>
      </w:r>
      <w:r w:rsidRPr="00511005">
        <w:rPr>
          <w:rFonts w:ascii="Arial" w:eastAsia="DengXian" w:hAnsi="Arial" w:cs="Arial"/>
          <w:kern w:val="2"/>
          <w:szCs w:val="28"/>
          <w:lang w:val="uk-UA" w:eastAsia="ru-RU"/>
          <w14:ligatures w14:val="standardContextual"/>
        </w:rPr>
        <w:t xml:space="preserve"> </w:t>
      </w:r>
      <w:r w:rsidRPr="00511005">
        <w:rPr>
          <w:rFonts w:ascii="Arial" w:eastAsia="DengXian" w:hAnsi="Arial" w:cs="Arial"/>
          <w:kern w:val="2"/>
          <w:szCs w:val="28"/>
          <w:lang w:eastAsia="ru-RU"/>
          <w14:ligatures w14:val="standardContextual"/>
        </w:rPr>
        <w:t>.</w:t>
      </w:r>
      <w:proofErr w:type="gramEnd"/>
      <w:r w:rsidRPr="00511005">
        <w:rPr>
          <w:rFonts w:ascii="Arial" w:eastAsia="DengXian" w:hAnsi="Arial" w:cs="Arial"/>
          <w:kern w:val="2"/>
          <w:szCs w:val="28"/>
          <w:lang w:eastAsia="ru-RU"/>
          <w14:ligatures w14:val="standardContextual"/>
        </w:rPr>
        <w:t xml:space="preserve"> </w:t>
      </w:r>
    </w:p>
    <w:p w14:paraId="5DB409CE" w14:textId="77777777" w:rsidR="003476F8" w:rsidRPr="00511005" w:rsidRDefault="003476F8" w:rsidP="003A292D">
      <w:pPr>
        <w:spacing w:line="264" w:lineRule="auto"/>
        <w:ind w:firstLine="708"/>
        <w:rPr>
          <w:rFonts w:ascii="Arial" w:eastAsia="DengXian" w:hAnsi="Arial" w:cs="Arial"/>
          <w:kern w:val="2"/>
          <w:szCs w:val="28"/>
          <w:lang w:val="uk-UA" w:eastAsia="ru-RU"/>
          <w14:ligatures w14:val="standardContextual"/>
        </w:rPr>
      </w:pPr>
      <w:r w:rsidRPr="00511005">
        <w:rPr>
          <w:rFonts w:ascii="Arial" w:eastAsia="Times New Roman" w:hAnsi="Arial" w:cs="Arial"/>
          <w:kern w:val="2"/>
          <w:szCs w:val="28"/>
          <w:lang w:val="uk-UA" w:eastAsia="ru-RU"/>
          <w14:ligatures w14:val="standardContextual"/>
        </w:rPr>
        <w:t>Так, с</w:t>
      </w:r>
      <w:r w:rsidRPr="00511005">
        <w:rPr>
          <w:rFonts w:ascii="Arial" w:eastAsia="Times New Roman" w:hAnsi="Arial" w:cs="Arial"/>
          <w:kern w:val="2"/>
          <w:szCs w:val="28"/>
          <w:lang w:eastAsia="ru-RU"/>
          <w14:ligatures w14:val="standardContextual"/>
        </w:rPr>
        <w:t>таття 4 зазначеного Закону передбачає, що працівник має право розірвати трудовий договір за власною ініціативою у строк, вказаний у його заяві, якщо підприємство, установа чи організація знаходиться в районі ведення бойових дій і існує загроза для його життя чи здоров’я. Водночас це положення не застосовується у випадках примусового залучення до суспільно корисних робіт під час воєнного стану або виконання робіт на об’єктах критичної інфраструктури.</w:t>
      </w:r>
      <w:r w:rsidRPr="00511005">
        <w:rPr>
          <w:rFonts w:ascii="Arial" w:eastAsia="DengXian" w:hAnsi="Arial" w:cs="Arial"/>
          <w:kern w:val="2"/>
          <w:szCs w:val="28"/>
          <w:lang w:eastAsia="ru-RU"/>
          <w14:ligatures w14:val="standardContextual"/>
        </w:rPr>
        <w:t xml:space="preserve"> </w:t>
      </w:r>
      <w:r w:rsidRPr="00511005">
        <w:rPr>
          <w:rFonts w:ascii="Arial" w:eastAsia="DengXian" w:hAnsi="Arial" w:cs="Arial"/>
          <w:kern w:val="2"/>
          <w:szCs w:val="28"/>
          <w:lang w:val="uk-UA" w:eastAsia="ru-RU"/>
          <w14:ligatures w14:val="standardContextual"/>
        </w:rPr>
        <w:t xml:space="preserve">Дана норма </w:t>
      </w:r>
      <w:r w:rsidRPr="00511005">
        <w:rPr>
          <w:rFonts w:ascii="Arial" w:eastAsia="DengXian" w:hAnsi="Arial" w:cs="Arial"/>
          <w:kern w:val="2"/>
          <w:szCs w:val="28"/>
          <w:lang w:eastAsia="ru-RU"/>
          <w14:ligatures w14:val="standardContextual"/>
        </w:rPr>
        <w:t>покликана забезпечити мобільність і безпеку працівників у небезпечних для них умовах.</w:t>
      </w:r>
      <w:r w:rsidRPr="00511005">
        <w:rPr>
          <w:rFonts w:ascii="Arial" w:eastAsia="DengXian" w:hAnsi="Arial" w:cs="Arial"/>
          <w:kern w:val="2"/>
          <w:szCs w:val="28"/>
          <w:lang w:val="uk-UA" w:eastAsia="ru-RU"/>
          <w14:ligatures w14:val="standardContextual"/>
        </w:rPr>
        <w:t xml:space="preserve"> </w:t>
      </w:r>
      <w:r w:rsidRPr="00511005">
        <w:rPr>
          <w:rFonts w:ascii="Arial" w:eastAsia="DengXian" w:hAnsi="Arial" w:cs="Arial"/>
          <w:kern w:val="2"/>
          <w:szCs w:val="28"/>
          <w:lang w:eastAsia="ru-RU"/>
          <w14:ligatures w14:val="standardContextual"/>
        </w:rPr>
        <w:t>Натомість</w:t>
      </w:r>
      <w:r w:rsidRPr="00511005">
        <w:rPr>
          <w:rFonts w:ascii="Arial" w:eastAsia="DengXian" w:hAnsi="Arial" w:cs="Arial"/>
          <w:kern w:val="2"/>
          <w:szCs w:val="28"/>
          <w:lang w:val="uk-UA" w:eastAsia="ru-RU"/>
          <w14:ligatures w14:val="standardContextual"/>
        </w:rPr>
        <w:t>,</w:t>
      </w:r>
      <w:r w:rsidRPr="00511005">
        <w:rPr>
          <w:rFonts w:ascii="Arial" w:eastAsia="DengXian" w:hAnsi="Arial" w:cs="Arial"/>
          <w:kern w:val="2"/>
          <w:szCs w:val="28"/>
          <w:lang w:eastAsia="ru-RU"/>
          <w14:ligatures w14:val="standardContextual"/>
        </w:rPr>
        <w:t xml:space="preserve"> у мирний час працівник зобов’язаний попередити роботодавця про звільнення за два тижні й відпрацювати їх. </w:t>
      </w:r>
    </w:p>
    <w:p w14:paraId="5EE8F9DA" w14:textId="77777777" w:rsidR="003476F8" w:rsidRPr="00511005" w:rsidRDefault="003476F8" w:rsidP="003A292D">
      <w:pPr>
        <w:spacing w:line="264" w:lineRule="auto"/>
        <w:ind w:firstLine="708"/>
        <w:rPr>
          <w:rFonts w:ascii="Arial" w:eastAsia="DengXian" w:hAnsi="Arial" w:cs="Arial"/>
          <w:kern w:val="2"/>
          <w:szCs w:val="28"/>
          <w:lang w:val="uk-UA" w:eastAsia="ru-RU"/>
          <w14:ligatures w14:val="standardContextual"/>
        </w:rPr>
      </w:pPr>
      <w:r w:rsidRPr="00511005">
        <w:rPr>
          <w:rFonts w:ascii="Arial" w:eastAsia="Times New Roman" w:hAnsi="Arial" w:cs="Arial"/>
          <w:kern w:val="2"/>
          <w:szCs w:val="28"/>
          <w:lang w:val="uk-UA" w:eastAsia="ru-RU"/>
          <w14:ligatures w14:val="standardContextual"/>
        </w:rPr>
        <w:t xml:space="preserve">Закон також встановлює, що під час дії воєнного стану роботодавець має право звільнити працівника навіть у період його тимчасової непрацездатності або перебування у відпустці, за винятком відпустки у зв’язку з вагітністю та пологами, а також відпустки для догляду за дитиною до трьох років. </w:t>
      </w:r>
      <w:r w:rsidRPr="00511005">
        <w:rPr>
          <w:rFonts w:ascii="Arial" w:eastAsia="Times New Roman" w:hAnsi="Arial" w:cs="Arial"/>
          <w:kern w:val="2"/>
          <w:szCs w:val="28"/>
          <w:lang w:eastAsia="ru-RU"/>
          <w14:ligatures w14:val="standardContextual"/>
        </w:rPr>
        <w:t xml:space="preserve">Крім того, у цей період не застосовуються положення статті 43 Кодексу </w:t>
      </w:r>
      <w:r w:rsidRPr="00511005">
        <w:rPr>
          <w:rFonts w:ascii="Arial" w:eastAsia="Times New Roman" w:hAnsi="Arial" w:cs="Arial"/>
          <w:kern w:val="2"/>
          <w:szCs w:val="28"/>
          <w:lang w:val="uk-UA" w:eastAsia="ru-RU"/>
          <w14:ligatures w14:val="standardContextual"/>
        </w:rPr>
        <w:t>З</w:t>
      </w:r>
      <w:r w:rsidRPr="00511005">
        <w:rPr>
          <w:rFonts w:ascii="Arial" w:eastAsia="Times New Roman" w:hAnsi="Arial" w:cs="Arial"/>
          <w:kern w:val="2"/>
          <w:szCs w:val="28"/>
          <w:lang w:eastAsia="ru-RU"/>
          <w14:ligatures w14:val="standardContextual"/>
        </w:rPr>
        <w:t xml:space="preserve">аконів про працю України, за винятком випадків, коли звільнення стосується працівників, обраних </w:t>
      </w:r>
      <w:proofErr w:type="gramStart"/>
      <w:r w:rsidRPr="00511005">
        <w:rPr>
          <w:rFonts w:ascii="Arial" w:eastAsia="Times New Roman" w:hAnsi="Arial" w:cs="Arial"/>
          <w:kern w:val="2"/>
          <w:szCs w:val="28"/>
          <w:lang w:eastAsia="ru-RU"/>
          <w14:ligatures w14:val="standardContextual"/>
        </w:rPr>
        <w:t>до складу</w:t>
      </w:r>
      <w:proofErr w:type="gramEnd"/>
      <w:r w:rsidRPr="00511005">
        <w:rPr>
          <w:rFonts w:ascii="Arial" w:eastAsia="Times New Roman" w:hAnsi="Arial" w:cs="Arial"/>
          <w:kern w:val="2"/>
          <w:szCs w:val="28"/>
          <w:lang w:eastAsia="ru-RU"/>
          <w14:ligatures w14:val="standardContextual"/>
        </w:rPr>
        <w:t xml:space="preserve"> профспілкових органів підприємств, установ чи організацій.</w:t>
      </w:r>
      <w:r w:rsidRPr="00511005">
        <w:rPr>
          <w:rFonts w:ascii="Arial" w:eastAsia="DengXian" w:hAnsi="Arial" w:cs="Arial"/>
          <w:kern w:val="2"/>
          <w:szCs w:val="28"/>
          <w:lang w:eastAsia="ru-RU"/>
          <w14:ligatures w14:val="standardContextual"/>
        </w:rPr>
        <w:t xml:space="preserve"> Ця норма, безумовно, обмежує права і свободи працівників, проте вона спрямована на забезпечення гнучкості трудових відносин у період </w:t>
      </w:r>
      <w:r w:rsidRPr="00511005">
        <w:rPr>
          <w:rFonts w:ascii="Arial" w:eastAsia="DengXian" w:hAnsi="Arial" w:cs="Arial"/>
          <w:kern w:val="2"/>
          <w:szCs w:val="28"/>
          <w:lang w:val="uk-UA" w:eastAsia="ru-RU"/>
          <w14:ligatures w14:val="standardContextual"/>
        </w:rPr>
        <w:t xml:space="preserve">дії </w:t>
      </w:r>
      <w:r w:rsidRPr="00511005">
        <w:rPr>
          <w:rFonts w:ascii="Arial" w:eastAsia="DengXian" w:hAnsi="Arial" w:cs="Arial"/>
          <w:kern w:val="2"/>
          <w:szCs w:val="28"/>
          <w:lang w:eastAsia="ru-RU"/>
          <w14:ligatures w14:val="standardContextual"/>
        </w:rPr>
        <w:t>воєнного стану, коли можуть виникати особливі умови для роботодавців, що потребують оперативних</w:t>
      </w:r>
      <w:r w:rsidRPr="00511005">
        <w:rPr>
          <w:rFonts w:ascii="Arial" w:eastAsia="DengXian" w:hAnsi="Arial" w:cs="Arial"/>
          <w:kern w:val="2"/>
          <w:szCs w:val="28"/>
          <w:lang w:val="uk-UA" w:eastAsia="ru-RU"/>
          <w14:ligatures w14:val="standardContextual"/>
        </w:rPr>
        <w:t xml:space="preserve"> дій </w:t>
      </w:r>
      <w:r w:rsidRPr="00511005">
        <w:rPr>
          <w:rFonts w:ascii="Arial" w:eastAsia="DengXian" w:hAnsi="Arial" w:cs="Arial"/>
          <w:kern w:val="2"/>
          <w:szCs w:val="28"/>
          <w:lang w:eastAsia="ru-RU"/>
          <w14:ligatures w14:val="standardContextual"/>
        </w:rPr>
        <w:t>у кадрових питаннях для підтримки функціонування підприємств і організацій.</w:t>
      </w:r>
    </w:p>
    <w:p w14:paraId="2AC60E1E" w14:textId="77777777" w:rsidR="003476F8" w:rsidRPr="00511005" w:rsidRDefault="003476F8" w:rsidP="003A292D">
      <w:pPr>
        <w:spacing w:line="264" w:lineRule="auto"/>
        <w:ind w:firstLine="708"/>
        <w:rPr>
          <w:rFonts w:ascii="Arial" w:eastAsia="DengXian" w:hAnsi="Arial" w:cs="Arial"/>
          <w:kern w:val="2"/>
          <w:szCs w:val="28"/>
          <w:lang w:val="uk-UA" w:eastAsia="ru-RU"/>
          <w14:ligatures w14:val="standardContextual"/>
        </w:rPr>
      </w:pPr>
      <w:r w:rsidRPr="00511005">
        <w:rPr>
          <w:rFonts w:ascii="Arial" w:eastAsia="DengXian" w:hAnsi="Arial" w:cs="Arial"/>
          <w:kern w:val="2"/>
          <w:szCs w:val="28"/>
          <w:lang w:val="uk-UA" w:eastAsia="ru-RU"/>
          <w14:ligatures w14:val="standardContextual"/>
        </w:rPr>
        <w:t xml:space="preserve">Згідно зі ст. 41 КЗпП України роботодавець вправі розірвати трудовий договір при «неможливості забезпечення працівника роботою, визначеною трудовим договором, у зв’язку із знищенням (відсутністю) виробничих, організаційних та технічних умов, засобів виробництва або майна роботодавця внаслідок бойових дій» [2]. </w:t>
      </w:r>
      <w:r w:rsidRPr="00511005">
        <w:rPr>
          <w:rFonts w:ascii="Arial" w:eastAsia="DengXian" w:hAnsi="Arial" w:cs="Arial"/>
          <w:kern w:val="2"/>
          <w:szCs w:val="28"/>
          <w:lang w:eastAsia="ru-RU"/>
          <w14:ligatures w14:val="standardContextual"/>
        </w:rPr>
        <w:t>Важливо додати, що дану підставу можна застосувати у разі неможливості перевести працівника на іншу роботу</w:t>
      </w:r>
      <w:r w:rsidRPr="00511005">
        <w:rPr>
          <w:rFonts w:ascii="Arial" w:eastAsia="DengXian" w:hAnsi="Arial" w:cs="Arial"/>
          <w:kern w:val="2"/>
          <w:szCs w:val="28"/>
          <w:lang w:val="uk-UA" w:eastAsia="ru-RU"/>
          <w14:ligatures w14:val="standardContextual"/>
        </w:rPr>
        <w:t>.</w:t>
      </w:r>
      <w:r w:rsidRPr="00511005">
        <w:rPr>
          <w:rFonts w:ascii="Arial" w:eastAsia="DengXian" w:hAnsi="Arial" w:cs="Arial"/>
          <w:kern w:val="2"/>
          <w:szCs w:val="28"/>
          <w:lang w:eastAsia="ru-RU"/>
          <w14:ligatures w14:val="standardContextual"/>
        </w:rPr>
        <w:t xml:space="preserve"> </w:t>
      </w:r>
    </w:p>
    <w:p w14:paraId="0B185A49" w14:textId="6FAFE0FF" w:rsidR="003476F8" w:rsidRPr="00511005" w:rsidRDefault="003476F8" w:rsidP="003A292D">
      <w:pPr>
        <w:spacing w:line="264" w:lineRule="auto"/>
        <w:ind w:firstLine="708"/>
        <w:rPr>
          <w:rFonts w:ascii="Arial" w:eastAsia="Times New Roman" w:hAnsi="Arial" w:cs="Arial"/>
          <w:kern w:val="2"/>
          <w:szCs w:val="28"/>
          <w:lang w:val="uk-UA" w:eastAsia="ru-RU"/>
          <w14:ligatures w14:val="standardContextual"/>
        </w:rPr>
      </w:pPr>
      <w:r w:rsidRPr="00511005">
        <w:rPr>
          <w:rFonts w:ascii="Arial" w:eastAsia="DengXian" w:hAnsi="Arial" w:cs="Arial"/>
          <w:kern w:val="2"/>
          <w:szCs w:val="28"/>
          <w:lang w:val="uk-UA" w:eastAsia="ru-RU"/>
          <w14:ligatures w14:val="standardContextual"/>
        </w:rPr>
        <w:t xml:space="preserve">Для осіб, які виконують суспільно корисні роботи та роботи на об'єктах критичної інфраструктури є деякі особливості. Суспільно корисні роботи — це тимчасова трудова діяльність працездатних осіб у період дії воєнного стану, яка здійснюється для виконання завдань оборонного значення, ліквідації наслідків надзвичайних ситуацій техногенного, природного чи воєнного характеру, задоволення потреб Збройних Сил, інших військових формувань і органів цивільного захисту, а також для забезпечення безперебійної роботи економіки та життєдіяльності населення. Такі роботи не мають комерційної спрямованості, не пов’язані з підприємництвом і, як правило, не потребують спеціальної професійної підготовки [3]. Треба також </w:t>
      </w:r>
      <w:r w:rsidRPr="00511005">
        <w:rPr>
          <w:rFonts w:ascii="Arial" w:eastAsia="DengXian" w:hAnsi="Arial" w:cs="Arial"/>
          <w:kern w:val="2"/>
          <w:szCs w:val="28"/>
          <w:lang w:val="uk-UA" w:eastAsia="ru-RU"/>
          <w14:ligatures w14:val="standardContextual"/>
        </w:rPr>
        <w:lastRenderedPageBreak/>
        <w:t xml:space="preserve">зазначити, що означає поняття «об’єкти критичної інфраструктури» – це </w:t>
      </w:r>
      <w:r w:rsidRPr="00511005">
        <w:rPr>
          <w:rFonts w:ascii="Arial" w:eastAsia="Times New Roman" w:hAnsi="Arial" w:cs="Arial"/>
          <w:kern w:val="2"/>
          <w:szCs w:val="28"/>
          <w:lang w:val="uk-UA" w:eastAsia="ru-RU"/>
          <w14:ligatures w14:val="standardContextual"/>
        </w:rPr>
        <w:t>інфраструктурні об’єкти, системи, їх окремі елементи або їх сукупність, що мають визначальне значення для функціонування економіки, забезпечення національної безпеки та обороноздатності держави,</w:t>
      </w:r>
      <w:r w:rsidR="007B2628" w:rsidRPr="00511005">
        <w:rPr>
          <w:rFonts w:ascii="Arial" w:eastAsia="Times New Roman" w:hAnsi="Arial" w:cs="Arial"/>
          <w:kern w:val="2"/>
          <w:szCs w:val="28"/>
          <w:lang w:val="uk-UA" w:eastAsia="ru-RU"/>
          <w14:ligatures w14:val="standardContextual"/>
        </w:rPr>
        <w:t xml:space="preserve"> </w:t>
      </w:r>
      <w:r w:rsidRPr="00511005">
        <w:rPr>
          <w:rFonts w:ascii="Arial" w:eastAsia="Times New Roman" w:hAnsi="Arial" w:cs="Arial"/>
          <w:kern w:val="2"/>
          <w:szCs w:val="28"/>
          <w:lang w:val="uk-UA" w:eastAsia="ru-RU"/>
          <w14:ligatures w14:val="standardContextual"/>
        </w:rPr>
        <w:t>порушення роботи яких може призвести до серйозної шкоди життєво важливим інтересам країни</w:t>
      </w:r>
      <w:r w:rsidRPr="00511005">
        <w:rPr>
          <w:rFonts w:ascii="Arial" w:eastAsia="DengXian" w:hAnsi="Arial" w:cs="Arial"/>
          <w:kern w:val="2"/>
          <w:szCs w:val="28"/>
          <w:lang w:val="uk-UA" w:eastAsia="ru-RU"/>
          <w14:ligatures w14:val="standardContextual"/>
        </w:rPr>
        <w:t xml:space="preserve"> [4]. Отже, </w:t>
      </w:r>
      <w:r w:rsidRPr="00511005">
        <w:rPr>
          <w:rFonts w:ascii="Arial" w:eastAsia="DengXian" w:hAnsi="Arial" w:cs="Arial"/>
          <w:kern w:val="2"/>
          <w:szCs w:val="28"/>
          <w:lang w:eastAsia="ru-RU"/>
          <w14:ligatures w14:val="standardContextual"/>
        </w:rPr>
        <w:t>праця</w:t>
      </w:r>
      <w:r w:rsidRPr="00511005">
        <w:rPr>
          <w:rFonts w:ascii="Arial" w:eastAsia="DengXian" w:hAnsi="Arial" w:cs="Arial"/>
          <w:kern w:val="2"/>
          <w:szCs w:val="28"/>
          <w:lang w:val="uk-UA" w:eastAsia="ru-RU"/>
          <w14:ligatures w14:val="standardContextual"/>
        </w:rPr>
        <w:t xml:space="preserve"> таких осіб</w:t>
      </w:r>
      <w:r w:rsidRPr="00511005">
        <w:rPr>
          <w:rFonts w:ascii="Arial" w:eastAsia="DengXian" w:hAnsi="Arial" w:cs="Arial"/>
          <w:kern w:val="2"/>
          <w:szCs w:val="28"/>
          <w:lang w:eastAsia="ru-RU"/>
          <w14:ligatures w14:val="standardContextual"/>
        </w:rPr>
        <w:t xml:space="preserve"> має стратегічне значення для держави, для її обороноспроможності</w:t>
      </w:r>
      <w:r w:rsidRPr="00511005">
        <w:rPr>
          <w:rFonts w:ascii="Arial" w:eastAsia="DengXian" w:hAnsi="Arial" w:cs="Arial"/>
          <w:kern w:val="2"/>
          <w:szCs w:val="28"/>
          <w:lang w:val="uk-UA" w:eastAsia="ru-RU"/>
          <w14:ligatures w14:val="standardContextual"/>
        </w:rPr>
        <w:t xml:space="preserve"> і с</w:t>
      </w:r>
      <w:r w:rsidRPr="00511005">
        <w:rPr>
          <w:rFonts w:ascii="Arial" w:eastAsia="DengXian" w:hAnsi="Arial" w:cs="Arial"/>
          <w:kern w:val="2"/>
          <w:szCs w:val="28"/>
          <w:lang w:eastAsia="ru-RU"/>
          <w14:ligatures w14:val="standardContextual"/>
        </w:rPr>
        <w:t>аме тому д</w:t>
      </w:r>
      <w:r w:rsidRPr="00511005">
        <w:rPr>
          <w:rFonts w:ascii="Arial" w:eastAsia="DengXian" w:hAnsi="Arial" w:cs="Arial"/>
          <w:kern w:val="2"/>
          <w:szCs w:val="28"/>
          <w:lang w:val="uk-UA" w:eastAsia="ru-RU"/>
          <w14:ligatures w14:val="standardContextual"/>
        </w:rPr>
        <w:t xml:space="preserve">ля таких категорій працівників </w:t>
      </w:r>
      <w:r w:rsidRPr="00511005">
        <w:rPr>
          <w:rFonts w:ascii="Arial" w:eastAsia="DengXian" w:hAnsi="Arial" w:cs="Arial"/>
          <w:kern w:val="2"/>
          <w:szCs w:val="28"/>
          <w:lang w:eastAsia="ru-RU"/>
          <w14:ligatures w14:val="standardContextual"/>
        </w:rPr>
        <w:t>встановлю</w:t>
      </w:r>
      <w:r w:rsidRPr="00511005">
        <w:rPr>
          <w:rFonts w:ascii="Arial" w:eastAsia="DengXian" w:hAnsi="Arial" w:cs="Arial"/>
          <w:kern w:val="2"/>
          <w:szCs w:val="28"/>
          <w:lang w:val="uk-UA" w:eastAsia="ru-RU"/>
          <w14:ligatures w14:val="standardContextual"/>
        </w:rPr>
        <w:t>ються</w:t>
      </w:r>
      <w:r w:rsidRPr="00511005">
        <w:rPr>
          <w:rFonts w:ascii="Arial" w:eastAsia="DengXian" w:hAnsi="Arial" w:cs="Arial"/>
          <w:kern w:val="2"/>
          <w:szCs w:val="28"/>
          <w:lang w:eastAsia="ru-RU"/>
          <w14:ligatures w14:val="standardContextual"/>
        </w:rPr>
        <w:t xml:space="preserve"> окремі правила</w:t>
      </w:r>
      <w:r w:rsidRPr="00511005">
        <w:rPr>
          <w:rFonts w:ascii="Arial" w:eastAsia="DengXian" w:hAnsi="Arial" w:cs="Arial"/>
          <w:kern w:val="2"/>
          <w:szCs w:val="28"/>
          <w:lang w:val="uk-UA" w:eastAsia="ru-RU"/>
          <w14:ligatures w14:val="standardContextual"/>
        </w:rPr>
        <w:t>, що стосуються звільнення</w:t>
      </w:r>
      <w:r w:rsidRPr="00511005">
        <w:rPr>
          <w:rFonts w:ascii="Arial" w:eastAsia="DengXian" w:hAnsi="Arial" w:cs="Arial"/>
          <w:kern w:val="2"/>
          <w:szCs w:val="28"/>
          <w:lang w:eastAsia="ru-RU"/>
          <w14:ligatures w14:val="standardContextual"/>
        </w:rPr>
        <w:t xml:space="preserve">. </w:t>
      </w:r>
    </w:p>
    <w:p w14:paraId="404C5DA3" w14:textId="5380F5F8" w:rsidR="003476F8" w:rsidRPr="00511005" w:rsidRDefault="003476F8" w:rsidP="003A292D">
      <w:pPr>
        <w:spacing w:line="264" w:lineRule="auto"/>
        <w:ind w:firstLine="708"/>
        <w:rPr>
          <w:rFonts w:ascii="Arial" w:eastAsia="DengXian" w:hAnsi="Arial" w:cs="Arial"/>
          <w:kern w:val="2"/>
          <w:szCs w:val="28"/>
          <w:lang w:eastAsia="ru-RU"/>
          <w14:ligatures w14:val="standardContextual"/>
        </w:rPr>
      </w:pPr>
      <w:r w:rsidRPr="00511005">
        <w:rPr>
          <w:rFonts w:ascii="Arial" w:eastAsia="DengXian" w:hAnsi="Arial" w:cs="Arial"/>
          <w:kern w:val="2"/>
          <w:szCs w:val="28"/>
          <w:lang w:eastAsia="ru-RU"/>
          <w14:ligatures w14:val="standardContextual"/>
        </w:rPr>
        <w:t>На думку Менів Л. Д.</w:t>
      </w:r>
      <w:r w:rsidRPr="00511005">
        <w:rPr>
          <w:rFonts w:ascii="Arial" w:eastAsia="DengXian" w:hAnsi="Arial" w:cs="Arial"/>
          <w:kern w:val="2"/>
          <w:szCs w:val="28"/>
          <w:lang w:val="uk-UA" w:eastAsia="ru-RU"/>
          <w14:ligatures w14:val="standardContextual"/>
        </w:rPr>
        <w:t xml:space="preserve">, </w:t>
      </w:r>
      <w:r w:rsidRPr="00511005">
        <w:rPr>
          <w:rFonts w:ascii="Arial" w:eastAsia="DengXian" w:hAnsi="Arial" w:cs="Arial"/>
          <w:kern w:val="2"/>
          <w:szCs w:val="28"/>
          <w:lang w:eastAsia="ru-RU"/>
          <w14:ligatures w14:val="standardContextual"/>
        </w:rPr>
        <w:t>ст</w:t>
      </w:r>
      <w:r w:rsidRPr="00511005">
        <w:rPr>
          <w:rFonts w:ascii="Arial" w:eastAsia="DengXian" w:hAnsi="Arial" w:cs="Arial"/>
          <w:kern w:val="2"/>
          <w:szCs w:val="28"/>
          <w:lang w:val="uk-UA" w:eastAsia="ru-RU"/>
          <w14:ligatures w14:val="standardContextual"/>
        </w:rPr>
        <w:t>аття</w:t>
      </w:r>
      <w:r w:rsidRPr="00511005">
        <w:rPr>
          <w:rFonts w:ascii="Arial" w:eastAsia="DengXian" w:hAnsi="Arial" w:cs="Arial"/>
          <w:kern w:val="2"/>
          <w:szCs w:val="28"/>
          <w:lang w:eastAsia="ru-RU"/>
          <w14:ligatures w14:val="standardContextual"/>
        </w:rPr>
        <w:t xml:space="preserve"> 4 Закону потребує деталізації і уточнення з метою попередження виникнення</w:t>
      </w:r>
      <w:r w:rsidR="007B2628" w:rsidRPr="00511005">
        <w:rPr>
          <w:rFonts w:ascii="Arial" w:eastAsia="DengXian" w:hAnsi="Arial" w:cs="Arial"/>
          <w:kern w:val="2"/>
          <w:szCs w:val="28"/>
          <w:lang w:eastAsia="ru-RU"/>
          <w14:ligatures w14:val="standardContextual"/>
        </w:rPr>
        <w:t xml:space="preserve"> </w:t>
      </w:r>
      <w:r w:rsidRPr="00511005">
        <w:rPr>
          <w:rFonts w:ascii="Arial" w:eastAsia="DengXian" w:hAnsi="Arial" w:cs="Arial"/>
          <w:kern w:val="2"/>
          <w:szCs w:val="28"/>
          <w:lang w:eastAsia="ru-RU"/>
          <w14:ligatures w14:val="standardContextual"/>
        </w:rPr>
        <w:t>трудових спорів. Виходом із ситуації може бути така редакція статті</w:t>
      </w:r>
      <w:r w:rsidRPr="00511005">
        <w:rPr>
          <w:rFonts w:ascii="Arial" w:eastAsia="DengXian" w:hAnsi="Arial" w:cs="Arial"/>
          <w:kern w:val="2"/>
          <w:szCs w:val="28"/>
          <w:lang w:val="uk-UA" w:eastAsia="ru-RU"/>
          <w14:ligatures w14:val="standardContextual"/>
        </w:rPr>
        <w:t>:</w:t>
      </w:r>
      <w:r w:rsidRPr="00511005">
        <w:rPr>
          <w:rFonts w:ascii="Arial" w:eastAsia="DengXian" w:hAnsi="Arial" w:cs="Arial"/>
          <w:kern w:val="2"/>
          <w:szCs w:val="28"/>
          <w:lang w:eastAsia="ru-RU"/>
          <w14:ligatures w14:val="standardContextual"/>
        </w:rPr>
        <w:t xml:space="preserve"> «у зв’язку з веденням бойових дій у районах, в яких розташоване підприємство, установа, організація та існування загрози</w:t>
      </w:r>
      <w:r w:rsidR="007B2628" w:rsidRPr="00511005">
        <w:rPr>
          <w:rFonts w:ascii="Arial" w:eastAsia="DengXian" w:hAnsi="Arial" w:cs="Arial"/>
          <w:kern w:val="2"/>
          <w:szCs w:val="28"/>
          <w:lang w:eastAsia="ru-RU"/>
          <w14:ligatures w14:val="standardContextual"/>
        </w:rPr>
        <w:t xml:space="preserve"> </w:t>
      </w:r>
      <w:r w:rsidRPr="00511005">
        <w:rPr>
          <w:rFonts w:ascii="Arial" w:eastAsia="DengXian" w:hAnsi="Arial" w:cs="Arial"/>
          <w:kern w:val="2"/>
          <w:szCs w:val="28"/>
          <w:lang w:eastAsia="ru-RU"/>
          <w14:ligatures w14:val="standardContextual"/>
        </w:rPr>
        <w:t>для життя і здоров’я працівника він може розірвати строковий або безстроковий трудовий договір</w:t>
      </w:r>
      <w:r w:rsidR="007B2628" w:rsidRPr="00511005">
        <w:rPr>
          <w:rFonts w:ascii="Arial" w:eastAsia="DengXian" w:hAnsi="Arial" w:cs="Arial"/>
          <w:kern w:val="2"/>
          <w:szCs w:val="28"/>
          <w:lang w:eastAsia="ru-RU"/>
          <w14:ligatures w14:val="standardContextual"/>
        </w:rPr>
        <w:t xml:space="preserve"> </w:t>
      </w:r>
      <w:r w:rsidRPr="00511005">
        <w:rPr>
          <w:rFonts w:ascii="Arial" w:eastAsia="DengXian" w:hAnsi="Arial" w:cs="Arial"/>
          <w:kern w:val="2"/>
          <w:szCs w:val="28"/>
          <w:lang w:eastAsia="ru-RU"/>
          <w14:ligatures w14:val="standardContextual"/>
        </w:rPr>
        <w:t>за власною ініціативою у строк, зазначений у його заяві (а у випадках примусового залучення до суспільно корисних робіт в умовах воєнного стану, залучення до виконання робіт на об’єктах критичної інфраструктури – з попередженням про звільнення письмово за два тижні)</w:t>
      </w:r>
      <w:r w:rsidRPr="00511005">
        <w:rPr>
          <w:rFonts w:ascii="Arial" w:eastAsia="DengXian" w:hAnsi="Arial" w:cs="Arial"/>
          <w:kern w:val="2"/>
          <w:szCs w:val="28"/>
          <w:lang w:val="uk-UA" w:eastAsia="ru-RU"/>
          <w14:ligatures w14:val="standardContextual"/>
        </w:rPr>
        <w:t>»</w:t>
      </w:r>
      <w:r w:rsidRPr="00511005">
        <w:rPr>
          <w:rFonts w:ascii="Arial" w:eastAsia="DengXian" w:hAnsi="Arial" w:cs="Arial"/>
          <w:kern w:val="2"/>
          <w:szCs w:val="28"/>
          <w:lang w:eastAsia="ru-RU"/>
          <w14:ligatures w14:val="standardContextual"/>
        </w:rPr>
        <w:t xml:space="preserve"> [</w:t>
      </w:r>
      <w:r w:rsidRPr="00511005">
        <w:rPr>
          <w:rFonts w:ascii="Arial" w:eastAsia="DengXian" w:hAnsi="Arial" w:cs="Arial"/>
          <w:kern w:val="2"/>
          <w:szCs w:val="28"/>
          <w:lang w:val="uk-UA" w:eastAsia="ru-RU"/>
          <w14:ligatures w14:val="standardContextual"/>
        </w:rPr>
        <w:t>5</w:t>
      </w:r>
      <w:r w:rsidRPr="00511005">
        <w:rPr>
          <w:rFonts w:ascii="Arial" w:eastAsia="DengXian" w:hAnsi="Arial" w:cs="Arial"/>
          <w:kern w:val="2"/>
          <w:szCs w:val="28"/>
          <w:lang w:eastAsia="ru-RU"/>
          <w14:ligatures w14:val="standardContextual"/>
        </w:rPr>
        <w:t xml:space="preserve">, с. 238]. </w:t>
      </w:r>
    </w:p>
    <w:p w14:paraId="4CB11C1E" w14:textId="77777777" w:rsidR="003476F8" w:rsidRPr="00511005" w:rsidRDefault="003476F8" w:rsidP="003A292D">
      <w:pPr>
        <w:spacing w:line="264" w:lineRule="auto"/>
        <w:ind w:firstLine="708"/>
        <w:rPr>
          <w:rFonts w:ascii="Arial" w:eastAsia="DengXian" w:hAnsi="Arial" w:cs="Arial"/>
          <w:kern w:val="2"/>
          <w:szCs w:val="28"/>
          <w:lang w:val="uk-UA" w:eastAsia="ru-RU"/>
          <w14:ligatures w14:val="standardContextual"/>
        </w:rPr>
      </w:pPr>
      <w:r w:rsidRPr="00511005">
        <w:rPr>
          <w:rFonts w:ascii="Arial" w:eastAsia="Times New Roman" w:hAnsi="Arial" w:cs="Arial"/>
          <w:kern w:val="2"/>
          <w:szCs w:val="28"/>
          <w:lang w:eastAsia="ru-RU"/>
          <w14:ligatures w14:val="standardContextual"/>
        </w:rPr>
        <w:t xml:space="preserve">Згідно із Законом України «Про забезпечення прав і свобод внутрішньо переміщених осіб», особа, яка через певні обставини не мала змоги самостійно припинити трудовий договір для отримання статусу безробітного, а також права на допомогу по безробіттю та відповідні соціальні послуги за загальнообов’язковим державним соціальним страхуванням на випадок безробіття, має право розірвати такий договір в односторонньому порядку. Для цього внутрішньо переміщена особа подає заяву на ім’я роботодавця </w:t>
      </w:r>
      <w:proofErr w:type="gramStart"/>
      <w:r w:rsidRPr="00511005">
        <w:rPr>
          <w:rFonts w:ascii="Arial" w:eastAsia="Times New Roman" w:hAnsi="Arial" w:cs="Arial"/>
          <w:kern w:val="2"/>
          <w:szCs w:val="28"/>
          <w:lang w:eastAsia="ru-RU"/>
          <w14:ligatures w14:val="standardContextual"/>
        </w:rPr>
        <w:t>до центру</w:t>
      </w:r>
      <w:proofErr w:type="gramEnd"/>
      <w:r w:rsidRPr="00511005">
        <w:rPr>
          <w:rFonts w:ascii="Arial" w:eastAsia="Times New Roman" w:hAnsi="Arial" w:cs="Arial"/>
          <w:kern w:val="2"/>
          <w:szCs w:val="28"/>
          <w:lang w:eastAsia="ru-RU"/>
          <w14:ligatures w14:val="standardContextual"/>
        </w:rPr>
        <w:t xml:space="preserve"> зайнятості за місцем свого проживання</w:t>
      </w:r>
      <w:r w:rsidRPr="00511005">
        <w:rPr>
          <w:rFonts w:ascii="Arial" w:eastAsia="DengXian" w:hAnsi="Arial" w:cs="Arial"/>
          <w:kern w:val="2"/>
          <w:szCs w:val="28"/>
          <w:lang w:val="uk-UA" w:eastAsia="ru-RU"/>
          <w14:ligatures w14:val="standardContextual"/>
        </w:rPr>
        <w:t xml:space="preserve"> [6]. Дана норма є повністю виправданою, адже зараз багато осіб, які внаслідок втрати житла чи засобів для існування покинули місце проживання й не планують повертатися.</w:t>
      </w:r>
    </w:p>
    <w:p w14:paraId="419085F0" w14:textId="77777777" w:rsidR="003476F8" w:rsidRPr="00511005" w:rsidRDefault="003476F8" w:rsidP="003A292D">
      <w:pPr>
        <w:spacing w:line="264" w:lineRule="auto"/>
        <w:ind w:firstLine="708"/>
        <w:rPr>
          <w:rFonts w:ascii="Arial" w:eastAsia="DengXian" w:hAnsi="Arial" w:cs="Arial"/>
          <w:kern w:val="2"/>
          <w:szCs w:val="28"/>
          <w:lang w:val="uk-UA" w:eastAsia="ru-RU"/>
          <w14:ligatures w14:val="standardContextual"/>
        </w:rPr>
      </w:pPr>
      <w:r w:rsidRPr="00511005">
        <w:rPr>
          <w:rFonts w:ascii="Arial" w:eastAsia="DengXian" w:hAnsi="Arial" w:cs="Arial"/>
          <w:kern w:val="2"/>
          <w:szCs w:val="28"/>
          <w:lang w:val="uk-UA" w:eastAsia="ru-RU"/>
          <w14:ligatures w14:val="standardContextual"/>
        </w:rPr>
        <w:t xml:space="preserve">Отже, можна стверджувати, що режим воєнного стану значно вплинув на трудові правовідносини між працівником і роботодавцем, що обумовлено необхідністю оперативної адаптації трудового законодавства до нових реалій. Закон України «Про організацію трудових відносин в умовах воєнного стану» врахував виклики, які виникли в умовах війни. Внесення змін, зокрема й тих, що стосуються умов розірвання трудового договору до законодавства сприяє підтримки балансу між охороною прав працівника і роботодавця та забезпечення їх інтересів. </w:t>
      </w:r>
    </w:p>
    <w:p w14:paraId="606F1643" w14:textId="77777777" w:rsidR="003476F8" w:rsidRPr="00511005" w:rsidRDefault="003476F8" w:rsidP="003A292D">
      <w:pPr>
        <w:spacing w:line="264" w:lineRule="auto"/>
        <w:ind w:firstLine="708"/>
        <w:rPr>
          <w:rFonts w:ascii="Arial" w:eastAsia="DengXian" w:hAnsi="Arial" w:cs="Arial"/>
          <w:kern w:val="2"/>
          <w:szCs w:val="28"/>
          <w:lang w:val="uk-UA" w:eastAsia="ru-RU"/>
          <w14:ligatures w14:val="standardContextual"/>
        </w:rPr>
      </w:pPr>
    </w:p>
    <w:p w14:paraId="20B5EC85" w14:textId="72FB524F" w:rsidR="003476F8" w:rsidRPr="00511005" w:rsidRDefault="007B2628" w:rsidP="007B2628">
      <w:pPr>
        <w:spacing w:line="264" w:lineRule="auto"/>
        <w:ind w:firstLine="708"/>
        <w:jc w:val="center"/>
        <w:rPr>
          <w:rFonts w:ascii="Arial" w:eastAsia="DengXian" w:hAnsi="Arial" w:cs="Arial"/>
          <w:kern w:val="2"/>
          <w:szCs w:val="28"/>
          <w:lang w:val="uk-UA" w:eastAsia="ru-RU"/>
          <w14:ligatures w14:val="standardContextual"/>
        </w:rPr>
      </w:pPr>
      <w:r w:rsidRPr="00511005">
        <w:rPr>
          <w:rFonts w:ascii="Arial" w:eastAsia="DengXian" w:hAnsi="Arial" w:cs="Arial"/>
          <w:b/>
          <w:bCs/>
          <w:iCs/>
          <w:kern w:val="2"/>
          <w:szCs w:val="28"/>
          <w:lang w:val="uk-UA" w:eastAsia="ru-RU"/>
          <w14:ligatures w14:val="standardContextual"/>
        </w:rPr>
        <w:t>Список використаних джерел</w:t>
      </w:r>
    </w:p>
    <w:p w14:paraId="7E3F7E88" w14:textId="77777777" w:rsidR="003476F8" w:rsidRPr="00511005" w:rsidRDefault="003476F8" w:rsidP="003F6A5D">
      <w:pPr>
        <w:numPr>
          <w:ilvl w:val="0"/>
          <w:numId w:val="462"/>
        </w:numPr>
        <w:spacing w:line="264" w:lineRule="auto"/>
        <w:jc w:val="left"/>
        <w:rPr>
          <w:rFonts w:ascii="Arial" w:eastAsia="DengXian" w:hAnsi="Arial" w:cs="Arial"/>
          <w:kern w:val="2"/>
          <w:szCs w:val="28"/>
          <w:lang w:eastAsia="ru-RU"/>
          <w14:ligatures w14:val="standardContextual"/>
        </w:rPr>
      </w:pPr>
      <w:r w:rsidRPr="00511005">
        <w:rPr>
          <w:rFonts w:ascii="Arial" w:eastAsia="DengXian" w:hAnsi="Arial" w:cs="Arial"/>
          <w:kern w:val="2"/>
          <w:szCs w:val="28"/>
          <w:lang w:val="uk-UA" w:eastAsia="ru-RU"/>
          <w14:ligatures w14:val="standardContextual"/>
        </w:rPr>
        <w:t xml:space="preserve">Про організацію трудових відносин в умовах воєнного стану: Закон України від 15.03.2022 року № </w:t>
      </w:r>
      <w:r w:rsidRPr="00511005">
        <w:rPr>
          <w:rFonts w:ascii="Arial" w:eastAsia="DengXian" w:hAnsi="Arial" w:cs="Arial"/>
          <w:b/>
          <w:bCs/>
          <w:kern w:val="2"/>
          <w:szCs w:val="28"/>
          <w:shd w:val="clear" w:color="auto" w:fill="FFFFFF"/>
          <w:lang w:eastAsia="ru-RU"/>
          <w14:ligatures w14:val="standardContextual"/>
        </w:rPr>
        <w:t>2136-IX</w:t>
      </w:r>
      <w:r w:rsidRPr="00511005">
        <w:rPr>
          <w:rFonts w:ascii="Arial" w:eastAsia="DengXian" w:hAnsi="Arial" w:cs="Arial"/>
          <w:b/>
          <w:bCs/>
          <w:kern w:val="2"/>
          <w:szCs w:val="28"/>
          <w:shd w:val="clear" w:color="auto" w:fill="FFFFFF"/>
          <w:lang w:val="uk-UA" w:eastAsia="ru-RU"/>
          <w14:ligatures w14:val="standardContextual"/>
        </w:rPr>
        <w:t xml:space="preserve">. </w:t>
      </w:r>
      <w:r w:rsidRPr="00511005">
        <w:rPr>
          <w:rFonts w:ascii="Arial" w:eastAsia="DengXian" w:hAnsi="Arial" w:cs="Arial"/>
          <w:b/>
          <w:bCs/>
          <w:i/>
          <w:kern w:val="2"/>
          <w:szCs w:val="28"/>
          <w:shd w:val="clear" w:color="auto" w:fill="FFFFFF"/>
          <w:lang w:val="uk-UA" w:eastAsia="ru-RU"/>
          <w14:ligatures w14:val="standardContextual"/>
        </w:rPr>
        <w:t>Офіційний Вісник України</w:t>
      </w:r>
      <w:r w:rsidRPr="00511005">
        <w:rPr>
          <w:rFonts w:ascii="Arial" w:eastAsia="DengXian" w:hAnsi="Arial" w:cs="Arial"/>
          <w:b/>
          <w:bCs/>
          <w:kern w:val="2"/>
          <w:szCs w:val="28"/>
          <w:shd w:val="clear" w:color="auto" w:fill="FFFFFF"/>
          <w:lang w:val="uk-UA" w:eastAsia="ru-RU"/>
          <w14:ligatures w14:val="standardContextual"/>
        </w:rPr>
        <w:t>. 2022. №31. Ст. 1634.</w:t>
      </w:r>
    </w:p>
    <w:p w14:paraId="64E62DE7" w14:textId="7CBD8AA7" w:rsidR="003476F8" w:rsidRPr="00511005" w:rsidRDefault="003476F8" w:rsidP="003F6A5D">
      <w:pPr>
        <w:widowControl w:val="0"/>
        <w:numPr>
          <w:ilvl w:val="0"/>
          <w:numId w:val="462"/>
        </w:numPr>
        <w:pBdr>
          <w:top w:val="nil"/>
          <w:left w:val="nil"/>
          <w:bottom w:val="nil"/>
          <w:right w:val="nil"/>
          <w:between w:val="nil"/>
        </w:pBdr>
        <w:tabs>
          <w:tab w:val="left" w:pos="287"/>
        </w:tabs>
        <w:spacing w:line="264" w:lineRule="auto"/>
        <w:jc w:val="left"/>
        <w:rPr>
          <w:rFonts w:ascii="Arial" w:eastAsia="DengXian" w:hAnsi="Arial" w:cs="Arial"/>
          <w:kern w:val="2"/>
          <w:szCs w:val="28"/>
          <w:lang w:eastAsia="ru-RU"/>
          <w14:ligatures w14:val="standardContextual"/>
        </w:rPr>
      </w:pPr>
      <w:r w:rsidRPr="00511005">
        <w:rPr>
          <w:rFonts w:ascii="Arial" w:eastAsia="DengXian" w:hAnsi="Arial" w:cs="Arial"/>
          <w:kern w:val="2"/>
          <w:szCs w:val="28"/>
          <w:lang w:eastAsia="ru-RU"/>
          <w14:ligatures w14:val="standardContextual"/>
        </w:rPr>
        <w:lastRenderedPageBreak/>
        <w:t>Кодекс законів про працю: Закон України від 10.11. 1971 року.</w:t>
      </w:r>
      <w:r w:rsidR="007B2628" w:rsidRPr="00511005">
        <w:rPr>
          <w:rFonts w:ascii="Arial" w:eastAsia="DengXian" w:hAnsi="Arial" w:cs="Arial"/>
          <w:kern w:val="2"/>
          <w:szCs w:val="28"/>
          <w:lang w:eastAsia="ru-RU"/>
          <w14:ligatures w14:val="standardContextual"/>
        </w:rPr>
        <w:t xml:space="preserve"> </w:t>
      </w:r>
      <w:r w:rsidRPr="00511005">
        <w:rPr>
          <w:rFonts w:ascii="Arial" w:eastAsia="DengXian" w:hAnsi="Arial" w:cs="Arial"/>
          <w:i/>
          <w:kern w:val="2"/>
          <w:szCs w:val="28"/>
          <w:lang w:eastAsia="ru-RU"/>
          <w14:ligatures w14:val="standardContextual"/>
        </w:rPr>
        <w:t>Відомості Верховної Ради УРСР</w:t>
      </w:r>
      <w:r w:rsidRPr="00511005">
        <w:rPr>
          <w:rFonts w:ascii="Arial" w:eastAsia="DengXian" w:hAnsi="Arial" w:cs="Arial"/>
          <w:kern w:val="2"/>
          <w:szCs w:val="28"/>
          <w:lang w:eastAsia="ru-RU"/>
          <w14:ligatures w14:val="standardContextual"/>
        </w:rPr>
        <w:t>. 1971. № 50. Ст. 375.</w:t>
      </w:r>
    </w:p>
    <w:p w14:paraId="6D7BD28E" w14:textId="77777777" w:rsidR="003476F8" w:rsidRPr="00511005" w:rsidRDefault="003476F8" w:rsidP="003F6A5D">
      <w:pPr>
        <w:numPr>
          <w:ilvl w:val="0"/>
          <w:numId w:val="462"/>
        </w:numPr>
        <w:spacing w:line="264" w:lineRule="auto"/>
        <w:jc w:val="left"/>
        <w:rPr>
          <w:rFonts w:ascii="Arial" w:eastAsia="DengXian" w:hAnsi="Arial" w:cs="Arial"/>
          <w:kern w:val="2"/>
          <w:szCs w:val="28"/>
          <w:lang w:eastAsia="ru-RU"/>
          <w14:ligatures w14:val="standardContextual"/>
        </w:rPr>
      </w:pPr>
      <w:r w:rsidRPr="00511005">
        <w:rPr>
          <w:rFonts w:ascii="Arial" w:eastAsia="DengXian" w:hAnsi="Arial" w:cs="Arial"/>
          <w:kern w:val="2"/>
          <w:szCs w:val="28"/>
          <w:lang w:eastAsia="ru-RU"/>
          <w14:ligatures w14:val="standardContextual"/>
        </w:rPr>
        <w:t xml:space="preserve">Про затвердження Порядку залучення працездатних осіб до суспільно корисних робіт в умовах воєнного </w:t>
      </w:r>
      <w:proofErr w:type="gramStart"/>
      <w:r w:rsidRPr="00511005">
        <w:rPr>
          <w:rFonts w:ascii="Arial" w:eastAsia="DengXian" w:hAnsi="Arial" w:cs="Arial"/>
          <w:kern w:val="2"/>
          <w:szCs w:val="28"/>
          <w:lang w:eastAsia="ru-RU"/>
          <w14:ligatures w14:val="standardContextual"/>
        </w:rPr>
        <w:t>стану :</w:t>
      </w:r>
      <w:proofErr w:type="gramEnd"/>
      <w:r w:rsidRPr="00511005">
        <w:rPr>
          <w:rFonts w:ascii="Arial" w:eastAsia="DengXian" w:hAnsi="Arial" w:cs="Arial"/>
          <w:kern w:val="2"/>
          <w:szCs w:val="28"/>
          <w:lang w:eastAsia="ru-RU"/>
          <w14:ligatures w14:val="standardContextual"/>
        </w:rPr>
        <w:t xml:space="preserve"> Постанова Каб</w:t>
      </w:r>
      <w:r w:rsidRPr="00511005">
        <w:rPr>
          <w:rFonts w:ascii="Arial" w:eastAsia="DengXian" w:hAnsi="Arial" w:cs="Arial"/>
          <w:kern w:val="2"/>
          <w:szCs w:val="28"/>
          <w:lang w:val="uk-UA" w:eastAsia="ru-RU"/>
          <w14:ligatures w14:val="standardContextual"/>
        </w:rPr>
        <w:t>інету</w:t>
      </w:r>
      <w:r w:rsidRPr="00511005">
        <w:rPr>
          <w:rFonts w:ascii="Arial" w:eastAsia="DengXian" w:hAnsi="Arial" w:cs="Arial"/>
          <w:kern w:val="2"/>
          <w:szCs w:val="28"/>
          <w:lang w:eastAsia="ru-RU"/>
          <w14:ligatures w14:val="standardContextual"/>
        </w:rPr>
        <w:t xml:space="preserve"> Міністрів України від 13.07.2011 № 753.</w:t>
      </w:r>
      <w:r w:rsidRPr="00511005">
        <w:rPr>
          <w:rFonts w:ascii="Arial" w:eastAsia="DengXian" w:hAnsi="Arial" w:cs="Arial"/>
          <w:kern w:val="2"/>
          <w:szCs w:val="28"/>
          <w:lang w:val="uk-UA" w:eastAsia="ru-RU"/>
          <w14:ligatures w14:val="standardContextual"/>
        </w:rPr>
        <w:t xml:space="preserve"> </w:t>
      </w:r>
      <w:r w:rsidRPr="00511005">
        <w:rPr>
          <w:rFonts w:ascii="Arial" w:eastAsia="DengXian" w:hAnsi="Arial" w:cs="Arial"/>
          <w:b/>
          <w:bCs/>
          <w:i/>
          <w:kern w:val="2"/>
          <w:szCs w:val="28"/>
          <w:shd w:val="clear" w:color="auto" w:fill="FFFFFF"/>
          <w:lang w:val="uk-UA" w:eastAsia="ru-RU"/>
          <w14:ligatures w14:val="standardContextual"/>
        </w:rPr>
        <w:t>Офіційний Вісник України</w:t>
      </w:r>
      <w:r w:rsidRPr="00511005">
        <w:rPr>
          <w:rFonts w:ascii="Arial" w:eastAsia="DengXian" w:hAnsi="Arial" w:cs="Arial"/>
          <w:b/>
          <w:bCs/>
          <w:kern w:val="2"/>
          <w:szCs w:val="28"/>
          <w:shd w:val="clear" w:color="auto" w:fill="FFFFFF"/>
          <w:lang w:val="uk-UA" w:eastAsia="ru-RU"/>
          <w14:ligatures w14:val="standardContextual"/>
        </w:rPr>
        <w:t>. 2011. №55. Ст. 2192.</w:t>
      </w:r>
    </w:p>
    <w:p w14:paraId="4249710B" w14:textId="77777777" w:rsidR="003476F8" w:rsidRPr="00511005" w:rsidRDefault="003476F8" w:rsidP="003F6A5D">
      <w:pPr>
        <w:numPr>
          <w:ilvl w:val="0"/>
          <w:numId w:val="462"/>
        </w:numPr>
        <w:spacing w:line="264" w:lineRule="auto"/>
        <w:jc w:val="left"/>
        <w:rPr>
          <w:rFonts w:ascii="Arial" w:eastAsia="DengXian" w:hAnsi="Arial" w:cs="Arial"/>
          <w:kern w:val="2"/>
          <w:szCs w:val="28"/>
          <w:lang w:val="uk-UA" w:eastAsia="ru-RU"/>
          <w14:ligatures w14:val="standardContextual"/>
        </w:rPr>
      </w:pPr>
      <w:r w:rsidRPr="00511005">
        <w:rPr>
          <w:rFonts w:ascii="Arial" w:eastAsia="DengXian" w:hAnsi="Arial" w:cs="Arial"/>
          <w:kern w:val="2"/>
          <w:szCs w:val="28"/>
          <w:lang w:eastAsia="ru-RU"/>
          <w14:ligatures w14:val="standardContextual"/>
        </w:rPr>
        <w:t xml:space="preserve">Про критичну </w:t>
      </w:r>
      <w:proofErr w:type="gramStart"/>
      <w:r w:rsidRPr="00511005">
        <w:rPr>
          <w:rFonts w:ascii="Arial" w:eastAsia="DengXian" w:hAnsi="Arial" w:cs="Arial"/>
          <w:kern w:val="2"/>
          <w:szCs w:val="28"/>
          <w:lang w:eastAsia="ru-RU"/>
          <w14:ligatures w14:val="standardContextual"/>
        </w:rPr>
        <w:t>інфраструктуру :</w:t>
      </w:r>
      <w:proofErr w:type="gramEnd"/>
      <w:r w:rsidRPr="00511005">
        <w:rPr>
          <w:rFonts w:ascii="Arial" w:eastAsia="DengXian" w:hAnsi="Arial" w:cs="Arial"/>
          <w:kern w:val="2"/>
          <w:szCs w:val="28"/>
          <w:lang w:eastAsia="ru-RU"/>
          <w14:ligatures w14:val="standardContextual"/>
        </w:rPr>
        <w:t xml:space="preserve"> Закон України від 16.11.2021 № 1882-IX</w:t>
      </w:r>
      <w:r w:rsidRPr="00511005">
        <w:rPr>
          <w:rFonts w:ascii="Arial" w:eastAsia="DengXian" w:hAnsi="Arial" w:cs="Arial"/>
          <w:kern w:val="2"/>
          <w:szCs w:val="28"/>
          <w:lang w:val="uk-UA" w:eastAsia="ru-RU"/>
          <w14:ligatures w14:val="standardContextual"/>
        </w:rPr>
        <w:t xml:space="preserve">. </w:t>
      </w:r>
      <w:r w:rsidRPr="00511005">
        <w:rPr>
          <w:rFonts w:ascii="Arial" w:eastAsia="DengXian" w:hAnsi="Arial" w:cs="Arial"/>
          <w:b/>
          <w:bCs/>
          <w:i/>
          <w:kern w:val="2"/>
          <w:szCs w:val="28"/>
          <w:shd w:val="clear" w:color="auto" w:fill="FFFFFF"/>
          <w:lang w:val="uk-UA" w:eastAsia="ru-RU"/>
          <w14:ligatures w14:val="standardContextual"/>
        </w:rPr>
        <w:t>Офіційний Вісник України</w:t>
      </w:r>
      <w:r w:rsidRPr="00511005">
        <w:rPr>
          <w:rFonts w:ascii="Arial" w:eastAsia="DengXian" w:hAnsi="Arial" w:cs="Arial"/>
          <w:b/>
          <w:bCs/>
          <w:kern w:val="2"/>
          <w:szCs w:val="28"/>
          <w:shd w:val="clear" w:color="auto" w:fill="FFFFFF"/>
          <w:lang w:val="uk-UA" w:eastAsia="ru-RU"/>
          <w14:ligatures w14:val="standardContextual"/>
        </w:rPr>
        <w:t>. 2021. №98. Ст. 6341.</w:t>
      </w:r>
    </w:p>
    <w:p w14:paraId="16829CB9" w14:textId="77777777" w:rsidR="003476F8" w:rsidRPr="00511005" w:rsidRDefault="003476F8" w:rsidP="003F6A5D">
      <w:pPr>
        <w:numPr>
          <w:ilvl w:val="0"/>
          <w:numId w:val="462"/>
        </w:numPr>
        <w:spacing w:line="264" w:lineRule="auto"/>
        <w:jc w:val="left"/>
        <w:rPr>
          <w:rFonts w:ascii="Arial" w:eastAsia="DengXian" w:hAnsi="Arial" w:cs="Arial"/>
          <w:kern w:val="2"/>
          <w:szCs w:val="28"/>
          <w:lang w:val="uk-UA" w:eastAsia="ru-RU"/>
          <w14:ligatures w14:val="standardContextual"/>
        </w:rPr>
      </w:pPr>
      <w:r w:rsidRPr="00511005">
        <w:rPr>
          <w:rFonts w:ascii="Arial" w:eastAsia="DengXian" w:hAnsi="Arial" w:cs="Arial"/>
          <w:b/>
          <w:bCs/>
          <w:kern w:val="2"/>
          <w:szCs w:val="28"/>
          <w:shd w:val="clear" w:color="auto" w:fill="FFFFFF"/>
          <w:lang w:val="uk-UA" w:eastAsia="ru-RU"/>
          <w14:ligatures w14:val="standardContextual"/>
        </w:rPr>
        <w:t xml:space="preserve">Менів Л.Д. Нові підстави розірвання трудового договору в умовах воєнного стану. </w:t>
      </w:r>
      <w:r w:rsidRPr="00511005">
        <w:rPr>
          <w:rFonts w:ascii="Arial" w:eastAsia="DengXian" w:hAnsi="Arial" w:cs="Arial"/>
          <w:b/>
          <w:bCs/>
          <w:i/>
          <w:kern w:val="2"/>
          <w:szCs w:val="28"/>
          <w:shd w:val="clear" w:color="auto" w:fill="FFFFFF"/>
          <w:lang w:val="uk-UA" w:eastAsia="ru-RU"/>
          <w14:ligatures w14:val="standardContextual"/>
        </w:rPr>
        <w:t>Науковий Вісник Ужгородського Національного університету</w:t>
      </w:r>
      <w:r w:rsidRPr="00511005">
        <w:rPr>
          <w:rFonts w:ascii="Arial" w:eastAsia="DengXian" w:hAnsi="Arial" w:cs="Arial"/>
          <w:b/>
          <w:bCs/>
          <w:kern w:val="2"/>
          <w:szCs w:val="28"/>
          <w:shd w:val="clear" w:color="auto" w:fill="FFFFFF"/>
          <w:lang w:val="uk-UA" w:eastAsia="ru-RU"/>
          <w14:ligatures w14:val="standardContextual"/>
        </w:rPr>
        <w:t>. Серія Право. 2023. № 76. С. 236 – 242.</w:t>
      </w:r>
    </w:p>
    <w:p w14:paraId="2BC32400" w14:textId="77777777" w:rsidR="003476F8" w:rsidRPr="00511005" w:rsidRDefault="003476F8" w:rsidP="003F6A5D">
      <w:pPr>
        <w:numPr>
          <w:ilvl w:val="0"/>
          <w:numId w:val="462"/>
        </w:numPr>
        <w:spacing w:line="264" w:lineRule="auto"/>
        <w:jc w:val="left"/>
        <w:rPr>
          <w:rFonts w:ascii="Arial" w:eastAsia="DengXian" w:hAnsi="Arial" w:cs="Arial"/>
          <w:kern w:val="2"/>
          <w:szCs w:val="28"/>
          <w:lang w:val="uk-UA" w:eastAsia="ru-RU"/>
          <w14:ligatures w14:val="standardContextual"/>
        </w:rPr>
      </w:pPr>
      <w:r w:rsidRPr="00511005">
        <w:rPr>
          <w:rFonts w:ascii="Arial" w:eastAsia="DengXian" w:hAnsi="Arial" w:cs="Arial"/>
          <w:kern w:val="2"/>
          <w:szCs w:val="28"/>
          <w:lang w:val="uk-UA" w:eastAsia="ru-RU"/>
          <w14:ligatures w14:val="standardContextual"/>
        </w:rPr>
        <w:t>Про забезпечення прав і свобод внутрішньо переміщених осіб : Закон України від 20.10.2014 № 1706-</w:t>
      </w:r>
      <w:r w:rsidRPr="00511005">
        <w:rPr>
          <w:rFonts w:ascii="Arial" w:eastAsia="DengXian" w:hAnsi="Arial" w:cs="Arial"/>
          <w:kern w:val="2"/>
          <w:szCs w:val="28"/>
          <w:lang w:eastAsia="ru-RU"/>
          <w14:ligatures w14:val="standardContextual"/>
        </w:rPr>
        <w:t>VII</w:t>
      </w:r>
      <w:r w:rsidRPr="00511005">
        <w:rPr>
          <w:rFonts w:ascii="Arial" w:eastAsia="DengXian" w:hAnsi="Arial" w:cs="Arial"/>
          <w:kern w:val="2"/>
          <w:szCs w:val="28"/>
          <w:lang w:val="uk-UA" w:eastAsia="ru-RU"/>
          <w14:ligatures w14:val="standardContextual"/>
        </w:rPr>
        <w:t xml:space="preserve">. </w:t>
      </w:r>
      <w:r w:rsidRPr="00511005">
        <w:rPr>
          <w:rFonts w:ascii="Arial" w:eastAsia="DengXian" w:hAnsi="Arial" w:cs="Arial"/>
          <w:b/>
          <w:bCs/>
          <w:i/>
          <w:kern w:val="2"/>
          <w:szCs w:val="28"/>
          <w:shd w:val="clear" w:color="auto" w:fill="FFFFFF"/>
          <w:lang w:val="uk-UA" w:eastAsia="ru-RU"/>
          <w14:ligatures w14:val="standardContextual"/>
        </w:rPr>
        <w:t>Офіційний Вісник України</w:t>
      </w:r>
      <w:r w:rsidRPr="00511005">
        <w:rPr>
          <w:rFonts w:ascii="Arial" w:eastAsia="DengXian" w:hAnsi="Arial" w:cs="Arial"/>
          <w:b/>
          <w:bCs/>
          <w:kern w:val="2"/>
          <w:szCs w:val="28"/>
          <w:shd w:val="clear" w:color="auto" w:fill="FFFFFF"/>
          <w:lang w:val="uk-UA" w:eastAsia="ru-RU"/>
          <w14:ligatures w14:val="standardContextual"/>
        </w:rPr>
        <w:t>. 2014. №94. Ст. 2709.</w:t>
      </w:r>
    </w:p>
    <w:p w14:paraId="7848CFB7" w14:textId="77777777" w:rsidR="003476F8" w:rsidRPr="00511005" w:rsidRDefault="003476F8" w:rsidP="003A292D">
      <w:pPr>
        <w:tabs>
          <w:tab w:val="left" w:pos="425"/>
        </w:tabs>
        <w:spacing w:line="264" w:lineRule="auto"/>
        <w:ind w:firstLine="0"/>
        <w:rPr>
          <w:rFonts w:ascii="Arial" w:eastAsia="DengXian" w:hAnsi="Arial" w:cs="Arial"/>
          <w:kern w:val="2"/>
          <w:szCs w:val="28"/>
          <w:lang w:val="uk-UA" w:eastAsia="ru-RU"/>
          <w14:ligatures w14:val="standardContextual"/>
        </w:rPr>
      </w:pPr>
    </w:p>
    <w:p w14:paraId="1C5596C5" w14:textId="195AFB3A" w:rsidR="003476F8" w:rsidRPr="00511005" w:rsidRDefault="007B2628" w:rsidP="003A292D">
      <w:pPr>
        <w:spacing w:line="264" w:lineRule="auto"/>
        <w:rPr>
          <w:rFonts w:ascii="Arial" w:eastAsia="DengXian" w:hAnsi="Arial" w:cs="Arial"/>
          <w:kern w:val="2"/>
          <w:szCs w:val="28"/>
          <w:lang w:val="uk-UA" w:eastAsia="ru-RU"/>
          <w14:ligatures w14:val="standardContextual"/>
        </w:rPr>
      </w:pPr>
      <w:r w:rsidRPr="00511005">
        <w:rPr>
          <w:rFonts w:ascii="Arial" w:hAnsi="Arial" w:cs="Arial"/>
          <w:b/>
          <w:bCs/>
          <w:i/>
          <w:szCs w:val="28"/>
          <w:lang w:val="uk-UA" w:eastAsia="zh-CN" w:bidi="ar"/>
          <w14:ligatures w14:val="standardContextual"/>
        </w:rPr>
        <w:t xml:space="preserve">Ключові слова: </w:t>
      </w:r>
      <w:r w:rsidR="003476F8" w:rsidRPr="00511005">
        <w:rPr>
          <w:rFonts w:ascii="Arial" w:hAnsi="Arial" w:cs="Arial"/>
          <w:szCs w:val="28"/>
          <w:lang w:val="uk-UA" w:eastAsia="zh-CN" w:bidi="ar"/>
          <w14:ligatures w14:val="standardContextual"/>
        </w:rPr>
        <w:t>трудовий договір, трудові правовідносини, розірвання трудового договору, законодавство України.</w:t>
      </w:r>
    </w:p>
    <w:p w14:paraId="1A85BDA3" w14:textId="2A83299C" w:rsidR="003476F8" w:rsidRPr="00511005" w:rsidRDefault="007B2628" w:rsidP="003A292D">
      <w:pPr>
        <w:spacing w:line="264" w:lineRule="auto"/>
        <w:rPr>
          <w:rFonts w:ascii="Arial" w:hAnsi="Arial" w:cs="Arial"/>
          <w:szCs w:val="28"/>
          <w:lang w:val="uk-UA" w:eastAsia="zh-CN"/>
          <w14:ligatures w14:val="standardContextual"/>
        </w:rPr>
      </w:pPr>
      <w:r w:rsidRPr="00511005">
        <w:rPr>
          <w:rFonts w:ascii="Arial" w:hAnsi="Arial" w:cs="Arial"/>
          <w:b/>
          <w:bCs/>
          <w:i/>
          <w:szCs w:val="28"/>
          <w:lang w:val="en-US" w:eastAsia="zh-CN"/>
          <w14:ligatures w14:val="standardContextual"/>
        </w:rPr>
        <w:t xml:space="preserve">Key words: </w:t>
      </w:r>
      <w:r w:rsidR="003476F8" w:rsidRPr="00511005">
        <w:rPr>
          <w:rFonts w:ascii="Arial" w:hAnsi="Arial" w:cs="Arial"/>
          <w:bCs/>
          <w:szCs w:val="28"/>
          <w:lang w:val="uk-UA" w:eastAsia="zh-CN"/>
          <w14:ligatures w14:val="standardContextual"/>
        </w:rPr>
        <w:t xml:space="preserve">employment contract, employment relations, termination of </w:t>
      </w:r>
      <w:r w:rsidR="003476F8" w:rsidRPr="00511005">
        <w:rPr>
          <w:rFonts w:ascii="Arial" w:hAnsi="Arial" w:cs="Arial"/>
          <w:bCs/>
          <w:szCs w:val="28"/>
          <w:lang w:val="en-US" w:eastAsia="zh-CN"/>
          <w14:ligatures w14:val="standardContextual"/>
        </w:rPr>
        <w:t xml:space="preserve">an </w:t>
      </w:r>
      <w:r w:rsidR="003476F8" w:rsidRPr="00511005">
        <w:rPr>
          <w:rFonts w:ascii="Arial" w:hAnsi="Arial" w:cs="Arial"/>
          <w:bCs/>
          <w:szCs w:val="28"/>
          <w:lang w:val="uk-UA" w:eastAsia="zh-CN"/>
          <w14:ligatures w14:val="standardContextual"/>
        </w:rPr>
        <w:t>employment contract, legislation of Ukraine.</w:t>
      </w:r>
    </w:p>
    <w:p w14:paraId="17C8E74A" w14:textId="41510340" w:rsidR="003476F8" w:rsidRPr="00511005" w:rsidRDefault="007B2628" w:rsidP="003A292D">
      <w:pPr>
        <w:spacing w:line="264" w:lineRule="auto"/>
        <w:rPr>
          <w:rFonts w:ascii="Arial" w:hAnsi="Arial" w:cs="Arial"/>
          <w:i/>
          <w:iCs/>
          <w:szCs w:val="28"/>
          <w:lang w:val="uk-UA" w:eastAsia="zh-CN"/>
          <w14:ligatures w14:val="standardContextual"/>
        </w:rPr>
      </w:pPr>
      <w:r w:rsidRPr="00511005">
        <w:rPr>
          <w:rFonts w:ascii="Arial" w:hAnsi="Arial" w:cs="Arial"/>
          <w:b/>
          <w:i/>
          <w:iCs/>
          <w:szCs w:val="28"/>
          <w:lang w:val="uk-UA" w:eastAsia="zh-CN"/>
          <w14:ligatures w14:val="standardContextual"/>
        </w:rPr>
        <w:t xml:space="preserve">Науковий керівник: </w:t>
      </w:r>
      <w:r w:rsidR="003476F8" w:rsidRPr="00511005">
        <w:rPr>
          <w:rFonts w:ascii="Arial" w:hAnsi="Arial" w:cs="Arial"/>
          <w:i/>
          <w:iCs/>
          <w:szCs w:val="28"/>
          <w:lang w:val="uk-UA" w:eastAsia="zh-CN"/>
          <w14:ligatures w14:val="standardContextual"/>
        </w:rPr>
        <w:t>к.ю.н., доцент Наньєва М. І.</w:t>
      </w:r>
    </w:p>
    <w:p w14:paraId="115DC9E4"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5616F8A8" w14:textId="77777777" w:rsidR="003476F8" w:rsidRPr="00511005" w:rsidRDefault="003476F8" w:rsidP="00D815F0">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Салюк Владислава Петрівна</w:t>
      </w:r>
    </w:p>
    <w:p w14:paraId="4A4E3426" w14:textId="39BD899F" w:rsidR="003476F8" w:rsidRPr="00511005" w:rsidRDefault="00536AAB" w:rsidP="00D815F0">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2-го курсу факультету адвокатури та антикорупційної діяльності</w:t>
      </w:r>
    </w:p>
    <w:p w14:paraId="35337DF5" w14:textId="3B3CB356" w:rsidR="003476F8" w:rsidRPr="00511005" w:rsidRDefault="007B2628" w:rsidP="00D815F0">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1373E5EA" w14:textId="77777777" w:rsidR="003476F8" w:rsidRPr="00511005" w:rsidRDefault="003476F8" w:rsidP="00D815F0">
      <w:pPr>
        <w:spacing w:line="264" w:lineRule="auto"/>
        <w:ind w:firstLine="0"/>
        <w:jc w:val="center"/>
        <w:rPr>
          <w:rFonts w:ascii="Arial" w:eastAsia="Calibri" w:hAnsi="Arial" w:cs="Arial"/>
          <w:szCs w:val="28"/>
          <w:lang w:val="uk-UA"/>
        </w:rPr>
      </w:pPr>
    </w:p>
    <w:p w14:paraId="6048078A" w14:textId="77777777" w:rsidR="003476F8" w:rsidRPr="00511005" w:rsidRDefault="003476F8" w:rsidP="00D815F0">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 xml:space="preserve">ПРАВОВЕ РЕГУЛЮВАННЯ ТРУДОВИХ ВІДНОСИН: </w:t>
      </w:r>
    </w:p>
    <w:p w14:paraId="4656288D" w14:textId="77777777" w:rsidR="003476F8" w:rsidRPr="00511005" w:rsidRDefault="003476F8" w:rsidP="00D815F0">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НОВЕЛИ ЗАКОНОДАВСТВА ТА ВИКЛИКИ РЕАЛІЗАЦІЇ</w:t>
      </w:r>
    </w:p>
    <w:p w14:paraId="725E86E1"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Умови воєнного стану в Україні суттєво вплинули на всі сфери суспільного життя, зокрема — на трудові правовідносини. У відповідь на виклики, спричинені збройною агресією, законодавець був змушений оперативно адаптувати трудове законодавство до нової реальності, що призвело до появи значної кількості нормативних новел. Зміни охопили такі аспекти, як порядок укладення та припинення трудових договорів, регулювання робочого часу, гарантії для мобілізованих працівників, а також механізми захисту трудових прав в умовах форс-мажору.</w:t>
      </w:r>
    </w:p>
    <w:p w14:paraId="2F6967E4"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Однак практична реалізація цих норм супроводжується низкою труднощів, пов’язаних як із правовою невизначеністю, так і з обмеженими можливостями державних інституцій у період воєнних дій. У цьому контексті дослідження ефективності новел законодавства, їх відповідності принципам трудового права та викликів, які постають перед роботодавцями та працівниками, є надзвичайно актуальним і необхідним для формування правозастосовної практики в умовах війни та післявоєнного відновлення.</w:t>
      </w:r>
    </w:p>
    <w:p w14:paraId="79C35CEF"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 xml:space="preserve">Задля забезпечення ефективності трудового законодавства та для продовження роботи підприємств, установ та організацій, щоб населення могло і далі продуктивно працювати, законодавець прийняв Закон України «Про організацію трудових відносин в умовах воєнного стану» від 15.03.2022 р., який набрав сили 24.03.2022 р. </w:t>
      </w:r>
      <w:r w:rsidRPr="00511005">
        <w:rPr>
          <w:rFonts w:ascii="Arial" w:eastAsia="Calibri" w:hAnsi="Arial" w:cs="Arial"/>
          <w:szCs w:val="28"/>
        </w:rPr>
        <w:t>[1]</w:t>
      </w:r>
      <w:r w:rsidRPr="00511005">
        <w:rPr>
          <w:rFonts w:ascii="Arial" w:eastAsia="Calibri" w:hAnsi="Arial" w:cs="Arial"/>
          <w:szCs w:val="28"/>
          <w:lang w:val="uk-UA"/>
        </w:rPr>
        <w:t xml:space="preserve"> і буде діяти до закінчення визначеного періоду воєнного стану, відповідно до Закону України «Про правовий режим воєнного стану» від 12.05.2015 р. </w:t>
      </w:r>
      <w:r w:rsidRPr="00511005">
        <w:rPr>
          <w:rFonts w:ascii="Arial" w:eastAsia="Calibri" w:hAnsi="Arial" w:cs="Arial"/>
          <w:szCs w:val="28"/>
        </w:rPr>
        <w:t>[2]</w:t>
      </w:r>
      <w:r w:rsidRPr="00511005">
        <w:rPr>
          <w:rFonts w:ascii="Arial" w:eastAsia="Calibri" w:hAnsi="Arial" w:cs="Arial"/>
          <w:szCs w:val="28"/>
          <w:lang w:val="uk-UA"/>
        </w:rPr>
        <w:t>. Проте цей закон встановлює обмеження у реалізації та захисті трудових прав працівників, що є менш сприятливими порівняно з тими, які передбачені Конституцією України, Кодексом законів про працю України та Законом України «Про відпустки».</w:t>
      </w:r>
    </w:p>
    <w:p w14:paraId="56D12520" w14:textId="77777777" w:rsidR="003476F8" w:rsidRPr="00511005" w:rsidRDefault="003476F8" w:rsidP="003A292D">
      <w:pPr>
        <w:spacing w:line="264" w:lineRule="auto"/>
        <w:ind w:firstLine="720"/>
        <w:rPr>
          <w:rFonts w:ascii="Arial" w:eastAsia="Calibri" w:hAnsi="Arial" w:cs="Arial"/>
          <w:szCs w:val="28"/>
        </w:rPr>
      </w:pPr>
      <w:r w:rsidRPr="00511005">
        <w:rPr>
          <w:rFonts w:ascii="Arial" w:eastAsia="Calibri" w:hAnsi="Arial" w:cs="Arial"/>
          <w:szCs w:val="28"/>
          <w:lang w:val="uk-UA"/>
        </w:rPr>
        <w:t xml:space="preserve">Відповідно до статей 43, 44 Конституції України, кожному громадянину гарантується право на працю і вільно обирати собі її та, ті хто працюють, мають право на страйк </w:t>
      </w:r>
      <w:r w:rsidRPr="00511005">
        <w:rPr>
          <w:rFonts w:ascii="Arial" w:eastAsia="Calibri" w:hAnsi="Arial" w:cs="Arial"/>
          <w:szCs w:val="28"/>
        </w:rPr>
        <w:t xml:space="preserve">[3], але </w:t>
      </w:r>
      <w:r w:rsidRPr="00511005">
        <w:rPr>
          <w:rFonts w:ascii="Arial" w:eastAsia="Calibri" w:hAnsi="Arial" w:cs="Arial"/>
          <w:szCs w:val="28"/>
          <w:lang w:val="uk-UA"/>
        </w:rPr>
        <w:t>статтею 1 Закону України</w:t>
      </w:r>
      <w:r w:rsidRPr="00511005">
        <w:rPr>
          <w:rFonts w:ascii="Arial" w:eastAsia="Calibri" w:hAnsi="Arial" w:cs="Arial"/>
          <w:szCs w:val="28"/>
        </w:rPr>
        <w:t xml:space="preserve"> </w:t>
      </w:r>
      <w:r w:rsidRPr="00511005">
        <w:rPr>
          <w:rFonts w:ascii="Arial" w:eastAsia="Calibri" w:hAnsi="Arial" w:cs="Arial"/>
          <w:szCs w:val="28"/>
          <w:lang w:val="uk-UA"/>
        </w:rPr>
        <w:t xml:space="preserve">«Про організацію трудових відносин в умовах воєнного стану» вводиться обмеження щодо застосування цих прав і свобод людини і громадянина </w:t>
      </w:r>
      <w:r w:rsidRPr="00511005">
        <w:rPr>
          <w:rFonts w:ascii="Arial" w:eastAsia="Calibri" w:hAnsi="Arial" w:cs="Arial"/>
          <w:szCs w:val="28"/>
        </w:rPr>
        <w:t>[1].</w:t>
      </w:r>
    </w:p>
    <w:p w14:paraId="308A1079" w14:textId="70204101"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Найвагоміших змін зазнало питання щодо трудового договору, а саме особливості його укладення та розірвання. Згідно з статтею</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26 Кодексу законів про працю України випробування не встановлюється при прийняті на роботу деяких категорій осіб</w:t>
      </w:r>
      <w:r w:rsidRPr="00511005">
        <w:rPr>
          <w:rFonts w:ascii="Arial" w:eastAsia="Calibri" w:hAnsi="Arial" w:cs="Arial"/>
          <w:szCs w:val="28"/>
        </w:rPr>
        <w:t>.</w:t>
      </w:r>
      <w:r w:rsidRPr="00511005">
        <w:rPr>
          <w:rFonts w:ascii="Arial" w:eastAsia="Calibri" w:hAnsi="Arial" w:cs="Arial"/>
          <w:szCs w:val="28"/>
          <w:lang w:val="uk-UA"/>
        </w:rPr>
        <w:t xml:space="preserve"> При укладенні трудового договору вимога про випробування працівника під час прийняття на роботу може встановлюватись для будь-яких працівників в умовах дії воєнного стану. Ми вважаємо, що найголовнішою зміною є те, що працівник може розірвати трудовий договір без двотижневого строку попередження у зв’язку з веденням бойових дій у районах </w:t>
      </w:r>
      <w:r w:rsidRPr="00511005">
        <w:rPr>
          <w:rFonts w:ascii="Arial" w:eastAsia="Calibri" w:hAnsi="Arial" w:cs="Arial"/>
          <w:szCs w:val="28"/>
          <w:shd w:val="clear" w:color="auto" w:fill="FFFFFF"/>
          <w:lang w:val="uk-UA"/>
        </w:rPr>
        <w:t>, в яких розташоване підприємство, установа, організація, та існування загрози для життя і здоров’я працівника [4]</w:t>
      </w:r>
      <w:r w:rsidRPr="00511005">
        <w:rPr>
          <w:rFonts w:ascii="Arial" w:eastAsia="Calibri" w:hAnsi="Arial" w:cs="Arial"/>
          <w:szCs w:val="28"/>
          <w:lang w:val="uk-UA"/>
        </w:rPr>
        <w:t xml:space="preserve">. Тобто, працівник не повинен ні заздалегідь повідомляти про розірвання договору, ні відпрацьовувати визначений законом термін до звільнення. </w:t>
      </w:r>
    </w:p>
    <w:p w14:paraId="3BA6AF40"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контексті змін, що стосуються припинення трудового договору, варто звернути увагу на нововведення, внесені до статті 36 Кодексу законів про працю України. Зокрема, її доповнено трьома новими підставами:</w:t>
      </w:r>
    </w:p>
    <w:p w14:paraId="049DF40F"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8-1) смерть роботодавця — фізичної особи або набрання законної сили рішенням суду про визнання такої особи безвісно відсутньою чи оголошення її померлою.</w:t>
      </w:r>
    </w:p>
    <w:p w14:paraId="3AA893B4"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8-2) смерть працівника, його визнання безвісно відсутнім або оголошення померлим відповідно до судового рішення.</w:t>
      </w:r>
    </w:p>
    <w:p w14:paraId="70373954"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Ці підстави набули особливої актуальності під час війни, адже подібні ситуації не були належним чином врегульовані в законодавстві мирного часу. Через це у працівників та роботодавців виникали труднощі при оформленні припинення трудових відносин. Єдиним шляхом вирішення подібних випадків залишалося звернення до суду, що ускладнювало процес.</w:t>
      </w:r>
    </w:p>
    <w:p w14:paraId="119F3CA9"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8-3) відсутність працівника на роботі та одночасна відсутність інформації про причини його неявки протягом понад чотирьох місяців поспіль. Для правомірного звільнення за цією підставою мають бути дотримані три умови: 1) працівник не з’являється на робочому місці; 2) відсутня будь-яка інформація про нього; 3) така ситуація триває безперервно понад чотири місяці. Якщо хоча б одна з цих умов не виконується, звільнення є недопустимим [5].</w:t>
      </w:r>
    </w:p>
    <w:p w14:paraId="24E6DDA9"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Це положення є практично важливим для роботодавців, оскільки з початком війни багато працівників залишили свої місця проживання та роботи, виїхали за кордон, не попередивши про це роботодавців належним чином. На нашу думку, така норма є доречною не лише в умовах воєнного стану, а й може бути корисною в мирний час. Хоч її застосування ймовірно буде менш частим, вона сприятиме правовій визначеності у подібних випадках у майбутньому.</w:t>
      </w:r>
    </w:p>
    <w:p w14:paraId="47D2740F"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Окрім того новели законодавства у цій сфері створили більш гнучкий режим праці, так як роботодавець отримав більше можливостей для зміни тривалості робочого часу, графіків роботи, переведення працівника без його згоди, зміни істотних умов праці, якщо це спричинено ситуацією, яка склалась у період дії воєнного стану [1].</w:t>
      </w:r>
    </w:p>
    <w:p w14:paraId="6FBB5137" w14:textId="77777777" w:rsidR="003476F8" w:rsidRPr="00511005" w:rsidRDefault="003476F8" w:rsidP="003A292D">
      <w:pPr>
        <w:spacing w:line="264" w:lineRule="auto"/>
        <w:ind w:firstLine="720"/>
        <w:rPr>
          <w:rFonts w:ascii="Arial" w:eastAsia="Calibri" w:hAnsi="Arial" w:cs="Arial"/>
          <w:szCs w:val="28"/>
        </w:rPr>
      </w:pPr>
      <w:r w:rsidRPr="00511005">
        <w:rPr>
          <w:rFonts w:ascii="Arial" w:eastAsia="Calibri" w:hAnsi="Arial" w:cs="Arial"/>
          <w:szCs w:val="28"/>
          <w:lang w:val="uk-UA"/>
        </w:rPr>
        <w:t xml:space="preserve">Попри те, що під час воєнного стану окремі положення Кодексу законів про працю України тимчасово не застосовуються, стаття 119 КЗпП України залишається чинною і містить важливу гарантію для працівників. У ній передбачено, що у разі виконання державних або громадських обов’язків, які здійснюються в робочий час згідно з чинним законодавством, за працівниками зберігається місце роботи та всі умови, визначені трудовим договором </w:t>
      </w:r>
      <w:r w:rsidRPr="00511005">
        <w:rPr>
          <w:rFonts w:ascii="Arial" w:eastAsia="Calibri" w:hAnsi="Arial" w:cs="Arial"/>
          <w:szCs w:val="28"/>
        </w:rPr>
        <w:t>[4].</w:t>
      </w:r>
    </w:p>
    <w:p w14:paraId="0027AF28"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Це, зокрема, означає, що у разі призову резервістів під час особливого періоду, а також при проходженні військової служби за контрактом (у тому числі при укладенні нового контракту), гарантується збереження посади та робочого місця. Такі гарантії поширюються на працівників підприємств, установ, організацій, фермерських господарств, сільськогосподарських виробничих кооперативів — незалежно від форми власності та підпорядкування, а також на працівників, зайнятих у фізичних осіб-підприємців, за умови, що вони перебували в трудових відносинах на момент призову.</w:t>
      </w:r>
    </w:p>
    <w:p w14:paraId="0D7754E5"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Ці положення стосуються не лише контрактників і резервістів, але й осіб, призваних на строкову військову службу, службу за призовом офіцерського складу, а також мобілізованих під час особливого періоду.</w:t>
      </w:r>
    </w:p>
    <w:p w14:paraId="360093FC"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Реалізація змін у трудовому законодавстві, ухвалених у період воєнного стану, супроводжується низкою труднощів. Зокрема, відсутність чітких механізмів для звільнення працівників за новими підставами (наприклад, за тривалу відсутність без повідомлення) створює правову </w:t>
      </w:r>
      <w:r w:rsidRPr="00511005">
        <w:rPr>
          <w:rFonts w:ascii="Arial" w:eastAsia="Calibri" w:hAnsi="Arial" w:cs="Arial"/>
          <w:szCs w:val="28"/>
          <w:lang w:val="uk-UA"/>
        </w:rPr>
        <w:lastRenderedPageBreak/>
        <w:t>невизначеність. Судова практика щодо гарантій для мобілізованих працівників (ст. 119 КЗпП) залишається непослідовною. Кадрові служби часто не мають достатньої інформації чи інструкцій, а швидкість законодавчих змін ускладнює їх впровадження. Також проблемним є управління трудовими відносинами з працівниками, які виїхали за кордон і не підтримують зв’язок.</w:t>
      </w:r>
    </w:p>
    <w:p w14:paraId="4F39F4A2"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Отож, для ефективного застосування новел потрібна нормативна чіткість, роз’яснення та уніфікація правозастосування.</w:t>
      </w:r>
    </w:p>
    <w:p w14:paraId="7D6ABED8"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На нашу думку, доречно буде гармонізувати трудове законодавство в період воєнного стану з міжнародними трудовими стандартами, насамперед варто орієнтуватися на норми і принципи, закріплені у конвенціях та рекомендаціях Міжнародної організації праці (МОП), стороною яких є Україна. Слід забезпечити узгодження положень щодо звільнення працівників із міжнародними стандартами справедливих процедур, запобігання дискримінації та зловживанням з боку роботодавця. Важливо також посилити гарантії трудових прав мобілізованих осіб, внутрішньо переміщених осіб та працівників, які вимушено виїхали за кордон, створивши правові механізми дистанційної взаємодії. </w:t>
      </w:r>
    </w:p>
    <w:p w14:paraId="03285610"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Актуальним є запровадження гнучких форм зайнятості, які відповідають викликам часу та міжнародній практиці, зокрема тимчасової, сезонної та дистанційної праці. Важливим кроком стане розвиток електронного врядування у сфері праці для забезпечення прозорості трудових відносин. Також необхідно зміцнити інституційні механізми контролю за дотриманням трудових прав, особливо в умовах надзвичайних ситуацій, і активніше залучати до процесу реформування соціальних партнерів та профспілки — як це передбачено міжнародними зобов’язаннями України.</w:t>
      </w:r>
    </w:p>
    <w:p w14:paraId="3D7A6560" w14:textId="77777777" w:rsidR="003476F8" w:rsidRPr="00511005" w:rsidRDefault="003476F8" w:rsidP="003A292D">
      <w:pPr>
        <w:spacing w:line="264" w:lineRule="auto"/>
        <w:ind w:firstLine="720"/>
        <w:rPr>
          <w:rFonts w:ascii="Arial" w:eastAsia="Calibri" w:hAnsi="Arial" w:cs="Arial"/>
          <w:szCs w:val="28"/>
          <w:lang w:val="uk-UA"/>
        </w:rPr>
      </w:pPr>
      <w:r w:rsidRPr="00511005">
        <w:rPr>
          <w:rFonts w:ascii="Arial" w:eastAsia="Calibri" w:hAnsi="Arial" w:cs="Arial"/>
          <w:szCs w:val="28"/>
          <w:lang w:val="uk-UA"/>
        </w:rPr>
        <w:t>Трудові відносини в умовах воєнного стану стали лакмусовим папірцем здатності правової системи оперативно реагувати на виклики часу. Актуальність полягає не лише у зміні норм, а у необхідності побудови правової культури гнучкості, відповідальності та взаємної довіри між працівником і роботодавцем. Саме в умовах нестабільності проявляється справжня дієвість трудового права — не як формального набору правил, а як інструменту збереження людського потенціалу, економічної стійкості та соціального миру.</w:t>
      </w:r>
    </w:p>
    <w:p w14:paraId="1B8FEB3F" w14:textId="77777777" w:rsidR="003476F8" w:rsidRPr="00511005" w:rsidRDefault="003476F8" w:rsidP="003A292D">
      <w:pPr>
        <w:spacing w:line="264" w:lineRule="auto"/>
        <w:ind w:firstLine="720"/>
        <w:rPr>
          <w:rFonts w:ascii="Arial" w:eastAsia="Calibri" w:hAnsi="Arial" w:cs="Arial"/>
          <w:szCs w:val="28"/>
          <w:lang w:val="uk-UA"/>
        </w:rPr>
      </w:pPr>
    </w:p>
    <w:p w14:paraId="7B40926B" w14:textId="215B4C53" w:rsidR="003476F8" w:rsidRPr="00511005" w:rsidRDefault="007B2628" w:rsidP="007B2628">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773E1E76" w14:textId="77777777" w:rsidR="003476F8" w:rsidRPr="00511005" w:rsidRDefault="003476F8" w:rsidP="003F6A5D">
      <w:pPr>
        <w:numPr>
          <w:ilvl w:val="0"/>
          <w:numId w:val="837"/>
        </w:numPr>
        <w:spacing w:line="264" w:lineRule="auto"/>
        <w:ind w:left="0"/>
        <w:contextualSpacing/>
        <w:jc w:val="left"/>
        <w:rPr>
          <w:rFonts w:ascii="Arial" w:eastAsia="Calibri" w:hAnsi="Arial" w:cs="Arial"/>
          <w:bCs/>
          <w:szCs w:val="28"/>
          <w:lang w:val="uk-UA"/>
        </w:rPr>
      </w:pPr>
      <w:r w:rsidRPr="00511005">
        <w:rPr>
          <w:rFonts w:ascii="Arial" w:eastAsia="Calibri" w:hAnsi="Arial" w:cs="Arial"/>
          <w:szCs w:val="28"/>
          <w:lang w:val="uk-UA"/>
        </w:rPr>
        <w:t xml:space="preserve">Про організацію трудових відносин в умовах воєнного стану: Закон України від 15.03.2022 р. № 2136-IX. URL: </w:t>
      </w:r>
      <w:hyperlink r:id="rId1711" w:history="1">
        <w:r w:rsidRPr="00511005">
          <w:rPr>
            <w:rFonts w:ascii="Arial" w:eastAsia="Calibri" w:hAnsi="Arial" w:cs="Arial"/>
            <w:szCs w:val="28"/>
            <w:lang w:val="uk-UA"/>
          </w:rPr>
          <w:t>https://zakon.rada.gov.ua/laws/show/2136- 20#Text</w:t>
        </w:r>
      </w:hyperlink>
      <w:r w:rsidRPr="00511005">
        <w:rPr>
          <w:rFonts w:ascii="Arial" w:eastAsia="Calibri" w:hAnsi="Arial" w:cs="Arial"/>
          <w:szCs w:val="28"/>
          <w:lang w:val="uk-UA"/>
        </w:rPr>
        <w:t xml:space="preserve"> (дата звернення: 07.05.2025).</w:t>
      </w:r>
    </w:p>
    <w:p w14:paraId="25237DFE" w14:textId="77777777" w:rsidR="003476F8" w:rsidRPr="00511005" w:rsidRDefault="003476F8" w:rsidP="003F6A5D">
      <w:pPr>
        <w:numPr>
          <w:ilvl w:val="0"/>
          <w:numId w:val="837"/>
        </w:numPr>
        <w:spacing w:line="264" w:lineRule="auto"/>
        <w:ind w:left="0"/>
        <w:contextualSpacing/>
        <w:jc w:val="left"/>
        <w:rPr>
          <w:rFonts w:ascii="Arial" w:eastAsia="Calibri" w:hAnsi="Arial" w:cs="Arial"/>
          <w:bCs/>
          <w:szCs w:val="28"/>
          <w:lang w:val="uk-UA"/>
        </w:rPr>
      </w:pPr>
      <w:r w:rsidRPr="00511005">
        <w:rPr>
          <w:rFonts w:ascii="Arial" w:eastAsia="Calibri" w:hAnsi="Arial" w:cs="Arial"/>
          <w:szCs w:val="28"/>
          <w:lang w:val="uk-UA"/>
        </w:rPr>
        <w:t xml:space="preserve">Про правовий режим воєнного стану: Закон України від 12.05.2015 р. № 389-VIII. Відомості Верховної Ради України. 2015. № 28. Ст. 250. URL: </w:t>
      </w:r>
      <w:hyperlink r:id="rId1712" w:history="1">
        <w:r w:rsidRPr="00511005">
          <w:rPr>
            <w:rFonts w:ascii="Arial" w:eastAsia="Calibri" w:hAnsi="Arial" w:cs="Arial"/>
            <w:szCs w:val="28"/>
            <w:lang w:val="uk-UA"/>
          </w:rPr>
          <w:t>https://zakon.rada.gov.ua/laws/show/389-19#Text</w:t>
        </w:r>
      </w:hyperlink>
      <w:r w:rsidRPr="00511005">
        <w:rPr>
          <w:rFonts w:ascii="Arial" w:eastAsia="Calibri" w:hAnsi="Arial" w:cs="Arial"/>
          <w:szCs w:val="28"/>
          <w:lang w:val="uk-UA"/>
        </w:rPr>
        <w:t xml:space="preserve"> (дата звернення: 07.05.2025).</w:t>
      </w:r>
    </w:p>
    <w:p w14:paraId="5DA54D1E" w14:textId="77777777" w:rsidR="003476F8" w:rsidRPr="00511005" w:rsidRDefault="003476F8" w:rsidP="003F6A5D">
      <w:pPr>
        <w:numPr>
          <w:ilvl w:val="0"/>
          <w:numId w:val="837"/>
        </w:numPr>
        <w:spacing w:line="264" w:lineRule="auto"/>
        <w:ind w:left="0"/>
        <w:contextualSpacing/>
        <w:jc w:val="left"/>
        <w:rPr>
          <w:rFonts w:ascii="Arial" w:eastAsia="Calibri" w:hAnsi="Arial" w:cs="Arial"/>
          <w:bCs/>
          <w:szCs w:val="28"/>
          <w:lang w:val="uk-UA"/>
        </w:rPr>
      </w:pPr>
      <w:r w:rsidRPr="00511005">
        <w:rPr>
          <w:rFonts w:ascii="Arial" w:eastAsia="Calibri" w:hAnsi="Arial" w:cs="Arial"/>
          <w:szCs w:val="28"/>
          <w:lang w:val="uk-UA"/>
        </w:rPr>
        <w:t xml:space="preserve">Конституція України: прийнята на п’ятій сесії Верховної ради України 28.06.1996 р. № 254к/96-ВР. Відомості Верховної Ради України (ВВР). 1996. № 30. Ст. 141. URL: </w:t>
      </w:r>
      <w:hyperlink r:id="rId1713" w:history="1">
        <w:r w:rsidRPr="00511005">
          <w:rPr>
            <w:rFonts w:ascii="Arial" w:eastAsia="Calibri" w:hAnsi="Arial" w:cs="Arial"/>
            <w:szCs w:val="28"/>
            <w:lang w:val="uk-UA"/>
          </w:rPr>
          <w:t>https://zakon.rada.gov.ua/laws/show/254к/96-вр#Tex</w:t>
        </w:r>
        <w:r w:rsidRPr="00511005">
          <w:rPr>
            <w:rFonts w:ascii="Arial" w:eastAsia="Calibri" w:hAnsi="Arial" w:cs="Arial"/>
            <w:szCs w:val="28"/>
            <w:lang w:val="en-US"/>
          </w:rPr>
          <w:t>t</w:t>
        </w:r>
      </w:hyperlink>
      <w:r w:rsidRPr="00511005">
        <w:rPr>
          <w:rFonts w:ascii="Arial" w:eastAsia="Calibri" w:hAnsi="Arial" w:cs="Arial"/>
          <w:szCs w:val="28"/>
          <w:lang w:val="uk-UA"/>
        </w:rPr>
        <w:t xml:space="preserve"> (дата звернення: 07.05.2025).</w:t>
      </w:r>
    </w:p>
    <w:p w14:paraId="298C5B8E" w14:textId="77777777" w:rsidR="003476F8" w:rsidRPr="00511005" w:rsidRDefault="003476F8" w:rsidP="003F6A5D">
      <w:pPr>
        <w:numPr>
          <w:ilvl w:val="0"/>
          <w:numId w:val="837"/>
        </w:numPr>
        <w:spacing w:line="264" w:lineRule="auto"/>
        <w:ind w:left="0"/>
        <w:contextualSpacing/>
        <w:jc w:val="left"/>
        <w:rPr>
          <w:rFonts w:ascii="Arial" w:eastAsia="Calibri" w:hAnsi="Arial" w:cs="Arial"/>
          <w:bCs/>
          <w:szCs w:val="28"/>
          <w:lang w:val="uk-UA"/>
        </w:rPr>
      </w:pPr>
      <w:r w:rsidRPr="00511005">
        <w:rPr>
          <w:rFonts w:ascii="Arial" w:eastAsia="Calibri" w:hAnsi="Arial" w:cs="Arial"/>
          <w:szCs w:val="28"/>
          <w:lang w:val="uk-UA"/>
        </w:rPr>
        <w:t xml:space="preserve">Кодекс законів про працю України від 10.12.1971 р. № 322-VIII. Відомості Верховної Ради УРСР. 1971. Дод. до № 50. Ст. 375. URL: </w:t>
      </w:r>
      <w:hyperlink r:id="rId1714" w:history="1">
        <w:r w:rsidRPr="00511005">
          <w:rPr>
            <w:rFonts w:ascii="Arial" w:eastAsia="Calibri" w:hAnsi="Arial" w:cs="Arial"/>
            <w:szCs w:val="28"/>
            <w:lang w:val="uk-UA"/>
          </w:rPr>
          <w:t>https://zakon.rada.gov.ua/laws/show/322-08</w:t>
        </w:r>
      </w:hyperlink>
      <w:r w:rsidRPr="00511005">
        <w:rPr>
          <w:rFonts w:ascii="Arial" w:eastAsia="Calibri" w:hAnsi="Arial" w:cs="Arial"/>
          <w:szCs w:val="28"/>
          <w:lang w:val="uk-UA"/>
        </w:rPr>
        <w:t xml:space="preserve"> (дата звернення: 07.05.2025).</w:t>
      </w:r>
    </w:p>
    <w:p w14:paraId="08A12065" w14:textId="77777777" w:rsidR="003476F8" w:rsidRPr="00511005" w:rsidRDefault="003476F8" w:rsidP="003F6A5D">
      <w:pPr>
        <w:numPr>
          <w:ilvl w:val="0"/>
          <w:numId w:val="837"/>
        </w:numPr>
        <w:spacing w:line="264" w:lineRule="auto"/>
        <w:ind w:left="0"/>
        <w:contextualSpacing/>
        <w:jc w:val="left"/>
        <w:rPr>
          <w:rFonts w:ascii="Arial" w:eastAsia="Calibri" w:hAnsi="Arial" w:cs="Arial"/>
          <w:bCs/>
          <w:szCs w:val="28"/>
          <w:lang w:val="uk-UA"/>
        </w:rPr>
      </w:pPr>
      <w:r w:rsidRPr="00511005">
        <w:rPr>
          <w:rFonts w:ascii="Arial" w:eastAsia="Calibri" w:hAnsi="Arial" w:cs="Arial"/>
          <w:szCs w:val="28"/>
          <w:lang w:val="uk-UA"/>
        </w:rPr>
        <w:t xml:space="preserve">Про внесення змін до деяких законодавчих актів України щодо оптимізації трудових відносин: Закон України від 01.07.2022 р. № 2352-IX. URL: </w:t>
      </w:r>
      <w:hyperlink r:id="rId1715" w:history="1">
        <w:r w:rsidRPr="00511005">
          <w:rPr>
            <w:rFonts w:ascii="Arial" w:eastAsia="Calibri" w:hAnsi="Arial" w:cs="Arial"/>
            <w:szCs w:val="28"/>
            <w:lang w:val="uk-UA"/>
          </w:rPr>
          <w:t>https://zakon.rada.gov.ua/laws/show/2352-20#n22</w:t>
        </w:r>
      </w:hyperlink>
      <w:r w:rsidRPr="00511005">
        <w:rPr>
          <w:rFonts w:ascii="Arial" w:eastAsia="Calibri" w:hAnsi="Arial" w:cs="Arial"/>
          <w:szCs w:val="28"/>
          <w:lang w:val="uk-UA"/>
        </w:rPr>
        <w:t xml:space="preserve"> (дата звернення: 07.05.2025)</w:t>
      </w:r>
    </w:p>
    <w:p w14:paraId="286472F2" w14:textId="77777777" w:rsidR="003476F8" w:rsidRPr="00511005" w:rsidRDefault="003476F8" w:rsidP="003A292D">
      <w:pPr>
        <w:spacing w:line="264" w:lineRule="auto"/>
        <w:ind w:firstLine="0"/>
        <w:contextualSpacing/>
        <w:rPr>
          <w:rFonts w:ascii="Arial" w:eastAsia="Calibri" w:hAnsi="Arial" w:cs="Arial"/>
          <w:szCs w:val="28"/>
          <w:lang w:val="uk-UA"/>
        </w:rPr>
      </w:pPr>
    </w:p>
    <w:p w14:paraId="309A86DB" w14:textId="7AAAAEEE" w:rsidR="003476F8" w:rsidRPr="00511005" w:rsidRDefault="007B2628" w:rsidP="003A292D">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3476F8" w:rsidRPr="00511005">
        <w:rPr>
          <w:rFonts w:ascii="Arial" w:eastAsia="Calibri" w:hAnsi="Arial" w:cs="Arial"/>
          <w:szCs w:val="28"/>
          <w:lang w:val="uk-UA"/>
        </w:rPr>
        <w:t>трудові відносини, воєнний стан, трудовий договір, звільнення, гнучка зайнятість, захист прав працівників, законодавство, міжнародні трудові стандарти, профспілки, соціальні партнери, МОП.</w:t>
      </w:r>
    </w:p>
    <w:p w14:paraId="33344A57" w14:textId="2536F57D" w:rsidR="003476F8" w:rsidRPr="00511005" w:rsidRDefault="007B2628" w:rsidP="003A292D">
      <w:pPr>
        <w:spacing w:line="264" w:lineRule="auto"/>
        <w:ind w:firstLine="720"/>
        <w:rPr>
          <w:rFonts w:ascii="Arial" w:eastAsia="Calibri" w:hAnsi="Arial" w:cs="Arial"/>
          <w:szCs w:val="28"/>
          <w:lang w:val="en-GB"/>
        </w:rPr>
      </w:pPr>
      <w:r w:rsidRPr="00511005">
        <w:rPr>
          <w:rFonts w:ascii="Arial" w:eastAsia="Calibri" w:hAnsi="Arial" w:cs="Arial"/>
          <w:b/>
          <w:bCs/>
          <w:i/>
          <w:szCs w:val="28"/>
          <w:lang w:val="en-GB"/>
        </w:rPr>
        <w:t xml:space="preserve">Key words: </w:t>
      </w:r>
      <w:r w:rsidR="003476F8" w:rsidRPr="00511005">
        <w:rPr>
          <w:rFonts w:ascii="Arial" w:eastAsia="Calibri" w:hAnsi="Arial" w:cs="Arial"/>
          <w:szCs w:val="28"/>
          <w:lang w:val="en-GB"/>
        </w:rPr>
        <w:t>labour relations, martial law, employment contract, dismissal, flexible employment, protection of workers' rights, legislation, international labour standards, trade unions, social partners, ILO.</w:t>
      </w:r>
    </w:p>
    <w:p w14:paraId="7814A9B8" w14:textId="534B8576" w:rsidR="003476F8" w:rsidRDefault="007B2628" w:rsidP="003A292D">
      <w:pPr>
        <w:spacing w:line="264" w:lineRule="auto"/>
        <w:ind w:firstLine="72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3476F8" w:rsidRPr="00511005">
        <w:rPr>
          <w:rFonts w:ascii="Arial" w:eastAsia="Calibri" w:hAnsi="Arial" w:cs="Arial"/>
          <w:i/>
          <w:szCs w:val="28"/>
          <w:lang w:val="uk-UA"/>
        </w:rPr>
        <w:t>к.ю.н., доцент Пожарова О.В.</w:t>
      </w:r>
    </w:p>
    <w:p w14:paraId="134BDF67" w14:textId="60C63C98" w:rsidR="00D815F0" w:rsidRDefault="00D815F0" w:rsidP="003A292D">
      <w:pPr>
        <w:spacing w:line="264" w:lineRule="auto"/>
        <w:ind w:firstLine="720"/>
        <w:rPr>
          <w:rFonts w:ascii="Arial" w:eastAsia="Calibri" w:hAnsi="Arial" w:cs="Arial"/>
          <w:i/>
          <w:szCs w:val="28"/>
          <w:lang w:val="uk-UA"/>
        </w:rPr>
      </w:pPr>
    </w:p>
    <w:p w14:paraId="300F8CAE" w14:textId="77777777" w:rsidR="00D815F0" w:rsidRPr="00511005" w:rsidRDefault="00D815F0" w:rsidP="003A292D">
      <w:pPr>
        <w:spacing w:line="264" w:lineRule="auto"/>
        <w:ind w:firstLine="720"/>
        <w:rPr>
          <w:rFonts w:ascii="Arial" w:eastAsia="Calibri" w:hAnsi="Arial" w:cs="Arial"/>
          <w:i/>
          <w:szCs w:val="28"/>
          <w:lang w:val="uk-UA"/>
        </w:rPr>
      </w:pPr>
    </w:p>
    <w:p w14:paraId="4BBFE7F0" w14:textId="77777777" w:rsidR="003476F8" w:rsidRPr="00511005" w:rsidRDefault="003476F8" w:rsidP="003A292D">
      <w:pPr>
        <w:spacing w:line="264" w:lineRule="auto"/>
        <w:ind w:firstLine="0"/>
        <w:jc w:val="center"/>
        <w:rPr>
          <w:rFonts w:ascii="Arial" w:eastAsia="Calibri" w:hAnsi="Arial" w:cs="Arial"/>
          <w:b/>
          <w:i/>
          <w:iCs/>
          <w:noProof/>
          <w:szCs w:val="28"/>
          <w:lang w:val="uk-UA"/>
        </w:rPr>
      </w:pPr>
      <w:r w:rsidRPr="00511005">
        <w:rPr>
          <w:rFonts w:ascii="Arial" w:eastAsia="Calibri" w:hAnsi="Arial" w:cs="Arial"/>
          <w:b/>
          <w:i/>
          <w:iCs/>
          <w:noProof/>
          <w:szCs w:val="28"/>
          <w:lang w:val="uk-UA"/>
        </w:rPr>
        <w:t>Самойленко Софія Андріївна</w:t>
      </w:r>
    </w:p>
    <w:p w14:paraId="1C31B1D7" w14:textId="3F14BBB9" w:rsidR="003476F8" w:rsidRPr="00511005" w:rsidRDefault="00536AAB" w:rsidP="003A292D">
      <w:pPr>
        <w:spacing w:line="264" w:lineRule="auto"/>
        <w:ind w:firstLine="0"/>
        <w:jc w:val="center"/>
        <w:rPr>
          <w:rFonts w:ascii="Arial" w:eastAsia="Calibri" w:hAnsi="Arial" w:cs="Arial"/>
          <w:bCs/>
          <w:noProof/>
          <w:szCs w:val="28"/>
          <w:lang w:val="uk-UA"/>
        </w:rPr>
      </w:pPr>
      <w:r w:rsidRPr="00511005">
        <w:rPr>
          <w:rFonts w:ascii="Arial" w:eastAsia="Calibri" w:hAnsi="Arial" w:cs="Arial"/>
          <w:bCs/>
          <w:noProof/>
          <w:szCs w:val="28"/>
          <w:lang w:val="uk-UA"/>
        </w:rPr>
        <w:t xml:space="preserve">студентка 2-го курсу </w:t>
      </w:r>
      <w:r w:rsidR="001B7B25" w:rsidRPr="00511005">
        <w:rPr>
          <w:rFonts w:ascii="Arial" w:eastAsia="Calibri" w:hAnsi="Arial" w:cs="Arial"/>
          <w:bCs/>
          <w:noProof/>
          <w:szCs w:val="28"/>
          <w:lang w:val="uk-UA"/>
        </w:rPr>
        <w:t>факультету судового та міжнародного права</w:t>
      </w:r>
    </w:p>
    <w:p w14:paraId="39803BCE" w14:textId="2524ACDB" w:rsidR="003476F8" w:rsidRPr="00511005" w:rsidRDefault="007B2628" w:rsidP="003A292D">
      <w:pPr>
        <w:spacing w:line="264" w:lineRule="auto"/>
        <w:ind w:firstLine="0"/>
        <w:jc w:val="center"/>
        <w:rPr>
          <w:rFonts w:ascii="Arial" w:eastAsia="Calibri" w:hAnsi="Arial" w:cs="Arial"/>
          <w:bCs/>
          <w:noProof/>
          <w:szCs w:val="28"/>
          <w:lang w:val="uk-UA"/>
        </w:rPr>
      </w:pPr>
      <w:r w:rsidRPr="00511005">
        <w:rPr>
          <w:rFonts w:ascii="Arial" w:eastAsia="Calibri" w:hAnsi="Arial" w:cs="Arial"/>
          <w:bCs/>
          <w:noProof/>
          <w:szCs w:val="28"/>
          <w:lang w:val="uk-UA"/>
        </w:rPr>
        <w:t>Національного університету «Одеська юридична академія»</w:t>
      </w:r>
    </w:p>
    <w:p w14:paraId="0783183E" w14:textId="77777777" w:rsidR="003476F8" w:rsidRPr="00511005" w:rsidRDefault="003476F8" w:rsidP="003A292D">
      <w:pPr>
        <w:spacing w:line="264" w:lineRule="auto"/>
        <w:ind w:firstLine="0"/>
        <w:jc w:val="center"/>
        <w:rPr>
          <w:rFonts w:ascii="Arial" w:eastAsia="Calibri" w:hAnsi="Arial" w:cs="Arial"/>
          <w:bCs/>
          <w:noProof/>
          <w:szCs w:val="28"/>
          <w:lang w:val="uk-UA"/>
        </w:rPr>
      </w:pPr>
    </w:p>
    <w:p w14:paraId="4B45C429" w14:textId="77777777" w:rsidR="003476F8" w:rsidRPr="00511005" w:rsidRDefault="003476F8" w:rsidP="003A292D">
      <w:pPr>
        <w:spacing w:line="264" w:lineRule="auto"/>
        <w:ind w:firstLine="0"/>
        <w:jc w:val="center"/>
        <w:rPr>
          <w:rFonts w:ascii="Arial" w:eastAsia="Calibri" w:hAnsi="Arial" w:cs="Arial"/>
          <w:b/>
          <w:bCs/>
          <w:caps/>
          <w:noProof/>
          <w:szCs w:val="28"/>
          <w:lang w:val="uk-UA"/>
        </w:rPr>
      </w:pPr>
      <w:r w:rsidRPr="00511005">
        <w:rPr>
          <w:rFonts w:ascii="Arial" w:eastAsia="Calibri" w:hAnsi="Arial" w:cs="Arial"/>
          <w:b/>
          <w:bCs/>
          <w:caps/>
          <w:noProof/>
          <w:szCs w:val="28"/>
          <w:lang w:val="uk-UA"/>
        </w:rPr>
        <w:t>Труднощі виплати зарплати на окупованих територіях</w:t>
      </w:r>
    </w:p>
    <w:p w14:paraId="4E83373B" w14:textId="77777777" w:rsidR="003476F8" w:rsidRPr="00511005" w:rsidRDefault="003476F8" w:rsidP="003A292D">
      <w:pPr>
        <w:spacing w:line="264" w:lineRule="auto"/>
        <w:ind w:firstLine="708"/>
        <w:rPr>
          <w:rFonts w:ascii="Arial" w:eastAsia="Calibri" w:hAnsi="Arial" w:cs="Arial"/>
          <w:bCs/>
          <w:noProof/>
          <w:szCs w:val="28"/>
          <w:lang w:val="uk-UA"/>
        </w:rPr>
      </w:pPr>
      <w:r w:rsidRPr="00511005">
        <w:rPr>
          <w:rFonts w:ascii="Arial" w:eastAsia="Calibri" w:hAnsi="Arial" w:cs="Arial"/>
          <w:noProof/>
          <w:szCs w:val="28"/>
          <w:lang w:val="uk-UA"/>
        </w:rPr>
        <w:t>Збройна агресія рф проти України спричинила окупацію частини територій, що кардинально змінило умови функціонування державних органів влади, соціальних інститутів та економіки в цілому. Зокрема, однією з найболючіших проблем, яка виникла у зв’язку з цими подіями, є забезпечення права на працю та отримання заробітної плати громадянами, що залишилися на тимчасово окупованих територіях. Попри те, що українське законодавство гарантує рівний доступ до трудових прав незалежно від місця проживання особи, у практичному вимірі виплата заробітної плати в умовах окупації виявляється складним і часто невирішеним питанням.</w:t>
      </w:r>
    </w:p>
    <w:p w14:paraId="1AEAA036" w14:textId="77777777" w:rsidR="003476F8" w:rsidRPr="00511005" w:rsidRDefault="003476F8" w:rsidP="003A292D">
      <w:pPr>
        <w:spacing w:line="264" w:lineRule="auto"/>
        <w:contextualSpacing/>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t xml:space="preserve">Ця ситуація зумовлює потребу у всебічному науковому аналізі труднощів, з якими стикаються як роботодавці, так і працівники на окупованих територіях. Особливої уваги потребують правові колізії, логістичні бар’єри, блокування банківської системи та соціальні наслідки </w:t>
      </w:r>
      <w:r w:rsidRPr="00511005">
        <w:rPr>
          <w:rFonts w:ascii="Arial" w:eastAsia="Times New Roman" w:hAnsi="Arial" w:cs="Arial"/>
          <w:noProof/>
          <w:szCs w:val="28"/>
          <w:lang w:val="uk-UA" w:eastAsia="uk-UA"/>
        </w:rPr>
        <w:lastRenderedPageBreak/>
        <w:t>відсутності стабільних доходів у населення. Вивчення цієї проблеми є надзвичайно актуальним у контексті формування державної політики реінтеграції тимчасово окупованих територій та захисту соціально-економічних прав громадян України.</w:t>
      </w:r>
    </w:p>
    <w:p w14:paraId="3610FFED" w14:textId="77777777" w:rsidR="003476F8" w:rsidRPr="00511005" w:rsidRDefault="003476F8" w:rsidP="003A292D">
      <w:pPr>
        <w:spacing w:line="264" w:lineRule="auto"/>
        <w:contextualSpacing/>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t>Право кожного громадянина на працю гарантовано статтею 43 Конституції України, яка передбачає свободу вибору виду трудової діяльності та можливість отримання доходу, що відповідає його потребам [1].</w:t>
      </w:r>
    </w:p>
    <w:p w14:paraId="4536E570" w14:textId="77777777" w:rsidR="003476F8" w:rsidRPr="00511005" w:rsidRDefault="003476F8" w:rsidP="003A292D">
      <w:pPr>
        <w:spacing w:line="264" w:lineRule="auto"/>
        <w:contextualSpacing/>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t>У свою чергу, стаття 21 Кодексу законів про працю України, який було прийнято ще у 1971 році, визначає, що ключовим правовим інструментом, який регулює взаємовідносини між працівником і роботодавцем, є трудовий договір. Саме він передбачає виконання працівником погоджених обов’язків та отримання винагороди у вигляді заробітної плати. Варто зазначити, що цей Кодекс, який регулює зазначені питання, попри численні зміни та доповнення, залишається застарілим джерелом права, що не дозволяє повною мірою відображати сучасні реалії ринку праці. У зв’язку з цим виникає потреба в оновленні трудового законодавства для адекватного регулювання сучасних трудових відносин [2].</w:t>
      </w:r>
    </w:p>
    <w:p w14:paraId="660CD852" w14:textId="77777777" w:rsidR="003476F8" w:rsidRPr="00511005" w:rsidRDefault="003476F8" w:rsidP="003A292D">
      <w:pPr>
        <w:spacing w:line="264" w:lineRule="auto"/>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t>Проте в умовах окупації реалізація цих прав ускладнена внаслідок обмеженого доступу до української банківської системи, неможливості здійснення фінансових операцій та втрати контролю держави над цими територіями.</w:t>
      </w:r>
    </w:p>
    <w:p w14:paraId="15D3AB71" w14:textId="77777777" w:rsidR="003476F8" w:rsidRPr="00511005" w:rsidRDefault="003476F8" w:rsidP="003A292D">
      <w:pPr>
        <w:spacing w:line="264" w:lineRule="auto"/>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t>Крім того, існують колізії між українським законодавством та так званими нормативними актами, що впроваджуються окупаційними адміністраціями. Роботодавці, які продовжують функціонувати на тимчасово окупованих територіях, опиняються у двозначному правовому становищі, коли з одного боку, вони зобов’язані дотримуватись українського трудового законодавства, а з іншого - піддаються тиску з боку незаконних органів влади.</w:t>
      </w:r>
    </w:p>
    <w:p w14:paraId="7464C5DF" w14:textId="77777777" w:rsidR="003476F8" w:rsidRPr="00511005" w:rsidRDefault="003476F8" w:rsidP="003A292D">
      <w:pPr>
        <w:spacing w:line="264" w:lineRule="auto"/>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t>У соціально-економічному вимірі ситуація з виплатою заробітної плати призводить до численних негативних наслідків. По-перше, працівники позбавляються стабільного джерела доходу, що спричиняє зростання рівня бідності, погіршення умов життя, неможливість задовольнити базові потреби. По-друге, ускладнюється доступ до соціальних послуг - таких як медичне обслуговування, пенсійне забезпечення, допомога з безробіття. По-третє, відсутність чіткої правової гарантії на виплату заробітної плати веде до зростання недовіри до державних інституцій та загострює соціальну напругу в суспільстві.</w:t>
      </w:r>
    </w:p>
    <w:p w14:paraId="5907E236" w14:textId="77777777" w:rsidR="003476F8" w:rsidRPr="00511005" w:rsidRDefault="003476F8" w:rsidP="003A292D">
      <w:pPr>
        <w:spacing w:line="264" w:lineRule="auto"/>
        <w:contextualSpacing/>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t xml:space="preserve">Розпорядження Кабінету Міністрів України №1085-р від 07.11.2014, що затверджує перелік населених пунктів, де органи влади тимчасово не здійснюють свої повноваження, а також перелік населених пунктів, які знаходяться на лінії розмежування. У зазначеному контексті, згідно з </w:t>
      </w:r>
      <w:r w:rsidRPr="00511005">
        <w:rPr>
          <w:rFonts w:ascii="Arial" w:eastAsia="Times New Roman" w:hAnsi="Arial" w:cs="Arial"/>
          <w:noProof/>
          <w:szCs w:val="28"/>
          <w:lang w:val="uk-UA" w:eastAsia="uk-UA"/>
        </w:rPr>
        <w:lastRenderedPageBreak/>
        <w:t>Законом України «Про забезпечення прав і свобод громадян та правовий режим на тимчасово окупованих територіях» [3], передбачений особливий правовий статус для цих територій. Це впливає на проведення різних дій, таких як перетин адміністративної межі, здійснення правочинів та забезпечення інших прав і свобод громадян.</w:t>
      </w:r>
    </w:p>
    <w:p w14:paraId="1E7E2888" w14:textId="77777777" w:rsidR="003476F8" w:rsidRPr="00511005" w:rsidRDefault="003476F8" w:rsidP="003A292D">
      <w:pPr>
        <w:spacing w:line="264" w:lineRule="auto"/>
        <w:contextualSpacing/>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t>Аналіз ситуації з виплатою заробітної плати на тимчасово окупованих територіях України свідчить про наявність серйозних правових, економічних та соціальних проблем. Незважаючи на те, що Конституція України та чинне трудове законодавство гарантують кожному право на працю та отримання винагороди, в умовах воєнного конфлікту реалізація цих прав значно ускладнена. Правова невизначеність, подвійні стандарти регулювання та відсутність фінансових механізмів фактично залишають громадян без можливості захисту своїх трудових прав.</w:t>
      </w:r>
    </w:p>
    <w:p w14:paraId="68E5A6FF" w14:textId="77777777" w:rsidR="003476F8" w:rsidRPr="00511005" w:rsidRDefault="003476F8" w:rsidP="003A292D">
      <w:pPr>
        <w:spacing w:line="264" w:lineRule="auto"/>
        <w:contextualSpacing/>
        <w:rPr>
          <w:rFonts w:ascii="Arial" w:eastAsia="Times New Roman" w:hAnsi="Arial" w:cs="Arial"/>
          <w:noProof/>
          <w:szCs w:val="28"/>
          <w:lang w:val="uk-UA" w:eastAsia="uk-UA"/>
        </w:rPr>
      </w:pPr>
      <w:r w:rsidRPr="00511005">
        <w:rPr>
          <w:rFonts w:ascii="Arial" w:eastAsia="Times New Roman" w:hAnsi="Arial" w:cs="Arial"/>
          <w:noProof/>
          <w:szCs w:val="28"/>
          <w:lang w:val="uk-UA" w:eastAsia="uk-UA"/>
        </w:rPr>
        <w:t>Для покращення ситуації необхідне удосконалення законодавства з урахуванням умов окупації, впровадження гнучких механізмів виплат, створення спеціальних державних програм підтримки працівників та роботодавців. Важливим кроком є забезпечення можливості здійснення безпечних та легітимних фінансових операцій через дистанційні канали. Лише при наявності чіткої державної стратегії щодо гарантування трудових прав на тимчасово непідконтрольних територіях можливе зменшення соціальної напруги та збереження довіри громадян до державних інституцій.</w:t>
      </w:r>
    </w:p>
    <w:p w14:paraId="4D446A50" w14:textId="77777777" w:rsidR="003476F8" w:rsidRPr="00511005" w:rsidRDefault="003476F8" w:rsidP="003A292D">
      <w:pPr>
        <w:spacing w:line="264" w:lineRule="auto"/>
        <w:ind w:firstLine="0"/>
        <w:jc w:val="center"/>
        <w:rPr>
          <w:rFonts w:ascii="Arial" w:eastAsia="Calibri" w:hAnsi="Arial" w:cs="Arial"/>
          <w:noProof/>
          <w:szCs w:val="28"/>
          <w:lang w:val="uk-UA"/>
        </w:rPr>
      </w:pPr>
    </w:p>
    <w:p w14:paraId="54AF6B8F" w14:textId="7ACA6F14" w:rsidR="003476F8" w:rsidRPr="00511005" w:rsidRDefault="007B2628" w:rsidP="007B2628">
      <w:pPr>
        <w:spacing w:line="264" w:lineRule="auto"/>
        <w:ind w:firstLine="0"/>
        <w:jc w:val="center"/>
        <w:rPr>
          <w:rFonts w:ascii="Arial" w:eastAsia="Calibri" w:hAnsi="Arial" w:cs="Arial"/>
          <w:b/>
          <w:noProof/>
          <w:szCs w:val="28"/>
          <w:lang w:val="uk-UA"/>
        </w:rPr>
      </w:pPr>
      <w:r w:rsidRPr="00511005">
        <w:rPr>
          <w:rFonts w:ascii="Arial" w:eastAsia="Calibri" w:hAnsi="Arial" w:cs="Arial"/>
          <w:b/>
          <w:noProof/>
          <w:szCs w:val="28"/>
          <w:lang w:val="uk-UA"/>
        </w:rPr>
        <w:t>Список використаних джерел</w:t>
      </w:r>
    </w:p>
    <w:p w14:paraId="68BE2763" w14:textId="77777777" w:rsidR="003476F8" w:rsidRPr="00511005" w:rsidRDefault="003476F8" w:rsidP="003A292D">
      <w:pPr>
        <w:spacing w:line="264" w:lineRule="auto"/>
        <w:ind w:firstLine="708"/>
        <w:contextualSpacing/>
        <w:rPr>
          <w:rFonts w:ascii="Arial" w:eastAsia="Calibri" w:hAnsi="Arial" w:cs="Arial"/>
          <w:noProof/>
          <w:szCs w:val="28"/>
          <w:lang w:val="uk-UA"/>
        </w:rPr>
      </w:pPr>
      <w:r w:rsidRPr="00511005">
        <w:rPr>
          <w:rFonts w:ascii="Arial" w:eastAsia="Calibri" w:hAnsi="Arial" w:cs="Arial"/>
          <w:noProof/>
          <w:szCs w:val="28"/>
          <w:lang w:val="uk-UA"/>
        </w:rPr>
        <w:t>1.</w:t>
      </w:r>
      <w:r w:rsidRPr="00511005">
        <w:rPr>
          <w:rFonts w:ascii="Arial" w:eastAsia="Calibri" w:hAnsi="Arial" w:cs="Arial"/>
          <w:szCs w:val="28"/>
        </w:rPr>
        <w:t xml:space="preserve"> </w:t>
      </w:r>
      <w:r w:rsidRPr="00511005">
        <w:rPr>
          <w:rFonts w:ascii="Arial" w:eastAsia="Calibri" w:hAnsi="Arial" w:cs="Arial"/>
          <w:noProof/>
          <w:szCs w:val="28"/>
          <w:lang w:val="uk-UA"/>
        </w:rPr>
        <w:t xml:space="preserve">Конституція України від 28.06.1996 </w:t>
      </w:r>
      <w:r w:rsidRPr="00511005">
        <w:rPr>
          <w:rFonts w:ascii="Arial" w:eastAsia="Calibri" w:hAnsi="Arial" w:cs="Arial"/>
          <w:noProof/>
          <w:szCs w:val="28"/>
        </w:rPr>
        <w:t xml:space="preserve">р. </w:t>
      </w:r>
      <w:r w:rsidRPr="00511005">
        <w:rPr>
          <w:rFonts w:ascii="Arial" w:eastAsia="Calibri" w:hAnsi="Arial" w:cs="Arial"/>
          <w:noProof/>
          <w:szCs w:val="28"/>
          <w:lang w:val="uk-UA"/>
        </w:rPr>
        <w:t>№ 254к/96-ВР : станом на 1</w:t>
      </w:r>
      <w:r w:rsidRPr="00511005">
        <w:rPr>
          <w:rFonts w:ascii="Arial" w:eastAsia="Calibri" w:hAnsi="Arial" w:cs="Arial"/>
          <w:noProof/>
          <w:szCs w:val="28"/>
        </w:rPr>
        <w:t> </w:t>
      </w:r>
      <w:r w:rsidRPr="00511005">
        <w:rPr>
          <w:rFonts w:ascii="Arial" w:eastAsia="Calibri" w:hAnsi="Arial" w:cs="Arial"/>
          <w:noProof/>
          <w:szCs w:val="28"/>
          <w:lang w:val="uk-UA"/>
        </w:rPr>
        <w:t>січ.</w:t>
      </w:r>
      <w:r w:rsidRPr="00511005">
        <w:rPr>
          <w:rFonts w:ascii="Arial" w:eastAsia="Calibri" w:hAnsi="Arial" w:cs="Arial"/>
          <w:noProof/>
          <w:szCs w:val="28"/>
        </w:rPr>
        <w:t> </w:t>
      </w:r>
      <w:r w:rsidRPr="00511005">
        <w:rPr>
          <w:rFonts w:ascii="Arial" w:eastAsia="Calibri" w:hAnsi="Arial" w:cs="Arial"/>
          <w:noProof/>
          <w:szCs w:val="28"/>
          <w:lang w:val="uk-UA"/>
        </w:rPr>
        <w:t>2020</w:t>
      </w:r>
      <w:r w:rsidRPr="00511005">
        <w:rPr>
          <w:rFonts w:ascii="Arial" w:eastAsia="Calibri" w:hAnsi="Arial" w:cs="Arial"/>
          <w:noProof/>
          <w:szCs w:val="28"/>
        </w:rPr>
        <w:t> </w:t>
      </w:r>
      <w:r w:rsidRPr="00511005">
        <w:rPr>
          <w:rFonts w:ascii="Arial" w:eastAsia="Calibri" w:hAnsi="Arial" w:cs="Arial"/>
          <w:noProof/>
          <w:szCs w:val="28"/>
          <w:lang w:val="uk-UA"/>
        </w:rPr>
        <w:t>р. URL: https://zakon.rada.gov.ua/laws/show/254к/96-вр#Text (дата звернення:</w:t>
      </w:r>
      <w:r w:rsidRPr="00511005">
        <w:rPr>
          <w:rFonts w:ascii="Arial" w:eastAsia="Calibri" w:hAnsi="Arial" w:cs="Arial"/>
          <w:noProof/>
          <w:szCs w:val="28"/>
        </w:rPr>
        <w:t> </w:t>
      </w:r>
      <w:r w:rsidRPr="00511005">
        <w:rPr>
          <w:rFonts w:ascii="Arial" w:eastAsia="Calibri" w:hAnsi="Arial" w:cs="Arial"/>
          <w:noProof/>
          <w:szCs w:val="28"/>
          <w:lang w:val="uk-UA"/>
        </w:rPr>
        <w:t xml:space="preserve">21.04.2025). </w:t>
      </w:r>
    </w:p>
    <w:p w14:paraId="61F9E405" w14:textId="3811A3B3" w:rsidR="003476F8" w:rsidRPr="00511005" w:rsidRDefault="003476F8" w:rsidP="003A292D">
      <w:pPr>
        <w:spacing w:line="264" w:lineRule="auto"/>
        <w:ind w:firstLine="708"/>
        <w:contextualSpacing/>
        <w:rPr>
          <w:rFonts w:ascii="Arial" w:eastAsia="Calibri" w:hAnsi="Arial" w:cs="Arial"/>
          <w:noProof/>
          <w:szCs w:val="28"/>
          <w:lang w:val="uk-UA"/>
        </w:rPr>
      </w:pPr>
      <w:r w:rsidRPr="00511005">
        <w:rPr>
          <w:rFonts w:ascii="Arial" w:eastAsia="Calibri" w:hAnsi="Arial" w:cs="Arial"/>
          <w:noProof/>
          <w:szCs w:val="28"/>
          <w:lang w:val="uk-UA"/>
        </w:rPr>
        <w:t xml:space="preserve">2. Кодекс законів про працю України від 10.12.1971 </w:t>
      </w:r>
      <w:r w:rsidRPr="00511005">
        <w:rPr>
          <w:rFonts w:ascii="Arial" w:eastAsia="Calibri" w:hAnsi="Arial" w:cs="Arial"/>
          <w:noProof/>
          <w:szCs w:val="28"/>
        </w:rPr>
        <w:t>р.</w:t>
      </w:r>
      <w:r w:rsidR="007B2628" w:rsidRPr="00511005">
        <w:rPr>
          <w:rFonts w:ascii="Arial" w:eastAsia="Calibri" w:hAnsi="Arial" w:cs="Arial"/>
          <w:noProof/>
          <w:szCs w:val="28"/>
        </w:rPr>
        <w:t xml:space="preserve"> </w:t>
      </w:r>
      <w:r w:rsidRPr="00511005">
        <w:rPr>
          <w:rFonts w:ascii="Arial" w:eastAsia="Calibri" w:hAnsi="Arial" w:cs="Arial"/>
          <w:noProof/>
          <w:szCs w:val="28"/>
          <w:lang w:val="uk-UA"/>
        </w:rPr>
        <w:t>322-VIII : станом на 1 січ. 2025 р. URL: https://zakon.rada.gov.ua/laws/show/322-08#Text (дата звернення: 21.04.2025).</w:t>
      </w:r>
    </w:p>
    <w:p w14:paraId="4AAD729A" w14:textId="04E226BB" w:rsidR="003476F8" w:rsidRPr="00511005" w:rsidRDefault="003476F8" w:rsidP="003A292D">
      <w:pPr>
        <w:spacing w:line="264" w:lineRule="auto"/>
        <w:ind w:firstLine="708"/>
        <w:contextualSpacing/>
        <w:rPr>
          <w:rFonts w:ascii="Arial" w:eastAsia="Calibri" w:hAnsi="Arial" w:cs="Arial"/>
          <w:noProof/>
          <w:szCs w:val="28"/>
        </w:rPr>
      </w:pPr>
      <w:r w:rsidRPr="00511005">
        <w:rPr>
          <w:rFonts w:ascii="Arial" w:eastAsia="Calibri" w:hAnsi="Arial" w:cs="Arial"/>
          <w:noProof/>
          <w:szCs w:val="28"/>
          <w:lang w:val="uk-UA"/>
        </w:rPr>
        <w:t>3. Про забезпечення прав і свобод громадян та правовий режим на тимчасово окупованій території України : Закон України від 15.04.2014</w:t>
      </w:r>
      <w:r w:rsidR="007B2628" w:rsidRPr="00511005">
        <w:rPr>
          <w:rFonts w:ascii="Arial" w:eastAsia="Calibri" w:hAnsi="Arial" w:cs="Arial"/>
          <w:noProof/>
          <w:szCs w:val="28"/>
          <w:lang w:val="uk-UA"/>
        </w:rPr>
        <w:t xml:space="preserve"> </w:t>
      </w:r>
      <w:r w:rsidRPr="00511005">
        <w:rPr>
          <w:rFonts w:ascii="Arial" w:eastAsia="Calibri" w:hAnsi="Arial" w:cs="Arial"/>
          <w:noProof/>
          <w:szCs w:val="28"/>
          <w:lang w:val="uk-UA"/>
        </w:rPr>
        <w:t>№ 1207-VII : станом на 19 трав. 2024 р. URL: https://zakon.rada.gov.ua/laws/show/1207-18#Text (дата звернення: 21.04.2025).</w:t>
      </w:r>
    </w:p>
    <w:p w14:paraId="7B124F2A" w14:textId="77777777" w:rsidR="003476F8" w:rsidRPr="00511005" w:rsidRDefault="003476F8" w:rsidP="003A292D">
      <w:pPr>
        <w:spacing w:line="264" w:lineRule="auto"/>
        <w:ind w:firstLine="0"/>
        <w:contextualSpacing/>
        <w:rPr>
          <w:rFonts w:ascii="Arial" w:eastAsia="Calibri" w:hAnsi="Arial" w:cs="Arial"/>
          <w:noProof/>
          <w:szCs w:val="28"/>
        </w:rPr>
      </w:pPr>
    </w:p>
    <w:p w14:paraId="0873FA91" w14:textId="572A26B7" w:rsidR="003476F8" w:rsidRPr="00511005" w:rsidRDefault="007B2628" w:rsidP="003A292D">
      <w:pPr>
        <w:spacing w:line="264" w:lineRule="auto"/>
        <w:contextualSpacing/>
        <w:rPr>
          <w:rFonts w:ascii="Arial" w:eastAsia="Calibri" w:hAnsi="Arial" w:cs="Arial"/>
          <w:noProof/>
          <w:szCs w:val="28"/>
        </w:rPr>
      </w:pPr>
      <w:r w:rsidRPr="00511005">
        <w:rPr>
          <w:rFonts w:ascii="Arial" w:eastAsia="Calibri" w:hAnsi="Arial" w:cs="Arial"/>
          <w:b/>
          <w:bCs/>
          <w:i/>
          <w:noProof/>
          <w:szCs w:val="28"/>
        </w:rPr>
        <w:t xml:space="preserve">Ключові слова: </w:t>
      </w:r>
      <w:r w:rsidR="003476F8" w:rsidRPr="00511005">
        <w:rPr>
          <w:rFonts w:ascii="Arial" w:eastAsia="Calibri" w:hAnsi="Arial" w:cs="Arial"/>
          <w:noProof/>
          <w:szCs w:val="28"/>
        </w:rPr>
        <w:t>тимчасово окуповані території, трудові права, заробітна плата, банківська система, соціальні наслідки, правові колізії, реінтеграція, трудове законодавство, фінансові операції, соціальна напруга.</w:t>
      </w:r>
    </w:p>
    <w:p w14:paraId="64604D56" w14:textId="37EF1260" w:rsidR="003476F8" w:rsidRPr="00511005" w:rsidRDefault="007B2628" w:rsidP="003A292D">
      <w:pPr>
        <w:spacing w:line="264" w:lineRule="auto"/>
        <w:contextualSpacing/>
        <w:rPr>
          <w:rFonts w:ascii="Arial" w:eastAsia="Calibri" w:hAnsi="Arial" w:cs="Arial"/>
          <w:noProof/>
          <w:szCs w:val="28"/>
          <w:lang w:val="en-US"/>
        </w:rPr>
      </w:pPr>
      <w:r w:rsidRPr="00511005">
        <w:rPr>
          <w:rFonts w:ascii="Arial" w:eastAsia="Calibri" w:hAnsi="Arial" w:cs="Arial"/>
          <w:b/>
          <w:bCs/>
          <w:i/>
          <w:noProof/>
          <w:szCs w:val="28"/>
          <w:lang w:val="en-US"/>
        </w:rPr>
        <w:t xml:space="preserve">Key words: </w:t>
      </w:r>
      <w:r w:rsidR="003476F8" w:rsidRPr="00511005">
        <w:rPr>
          <w:rFonts w:ascii="Arial" w:eastAsia="Calibri" w:hAnsi="Arial" w:cs="Arial"/>
          <w:noProof/>
          <w:szCs w:val="28"/>
          <w:lang w:val="en-US"/>
        </w:rPr>
        <w:t>temporarily occupied territories, labor rights, wages, banking system, social consequences, legal conflicts, reintegration, labor legislation, financial transactions, social tension.</w:t>
      </w:r>
    </w:p>
    <w:p w14:paraId="5D83D314" w14:textId="1CE035FD" w:rsidR="003476F8" w:rsidRPr="00511005" w:rsidRDefault="007B2628" w:rsidP="003A292D">
      <w:pPr>
        <w:spacing w:line="264" w:lineRule="auto"/>
        <w:contextualSpacing/>
        <w:rPr>
          <w:rFonts w:ascii="Arial" w:eastAsia="Calibri" w:hAnsi="Arial" w:cs="Arial"/>
          <w:i/>
          <w:iCs/>
          <w:noProof/>
          <w:szCs w:val="28"/>
          <w:lang w:val="uk-UA"/>
        </w:rPr>
      </w:pPr>
      <w:r w:rsidRPr="00511005">
        <w:rPr>
          <w:rFonts w:ascii="Arial" w:eastAsia="Calibri" w:hAnsi="Arial" w:cs="Arial"/>
          <w:b/>
          <w:i/>
          <w:iCs/>
          <w:noProof/>
          <w:szCs w:val="28"/>
        </w:rPr>
        <w:t xml:space="preserve">Науковий керівник: </w:t>
      </w:r>
      <w:r w:rsidR="003476F8" w:rsidRPr="00511005">
        <w:rPr>
          <w:rFonts w:ascii="Arial" w:eastAsia="Calibri" w:hAnsi="Arial" w:cs="Arial"/>
          <w:i/>
          <w:iCs/>
          <w:noProof/>
          <w:szCs w:val="28"/>
        </w:rPr>
        <w:t>к.ю.н., доцент Пожарова О.В.</w:t>
      </w:r>
    </w:p>
    <w:p w14:paraId="25458341"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76C9180C" w14:textId="77777777" w:rsidR="003476F8" w:rsidRPr="00511005" w:rsidRDefault="003476F8" w:rsidP="003A292D">
      <w:pPr>
        <w:spacing w:line="264" w:lineRule="auto"/>
        <w:ind w:left="-567"/>
        <w:jc w:val="center"/>
        <w:rPr>
          <w:rFonts w:ascii="Arial" w:eastAsia="Calibri" w:hAnsi="Arial" w:cs="Arial"/>
          <w:b/>
          <w:bCs/>
          <w:i/>
          <w:szCs w:val="28"/>
          <w:lang w:val="uk-UA"/>
        </w:rPr>
      </w:pPr>
      <w:r w:rsidRPr="00511005">
        <w:rPr>
          <w:rFonts w:ascii="Arial" w:eastAsia="Calibri" w:hAnsi="Arial" w:cs="Arial"/>
          <w:b/>
          <w:bCs/>
          <w:i/>
          <w:szCs w:val="28"/>
          <w:lang w:val="uk-UA"/>
        </w:rPr>
        <w:t xml:space="preserve">Тельпіс Валерія Михайлівна </w:t>
      </w:r>
    </w:p>
    <w:p w14:paraId="1BAC707C" w14:textId="6BE9CA24" w:rsidR="003476F8" w:rsidRPr="00511005" w:rsidRDefault="00536AAB" w:rsidP="003A292D">
      <w:pPr>
        <w:spacing w:line="264" w:lineRule="auto"/>
        <w:ind w:left="-567"/>
        <w:jc w:val="center"/>
        <w:rPr>
          <w:rFonts w:ascii="Arial" w:eastAsia="Calibri" w:hAnsi="Arial" w:cs="Arial"/>
          <w:bCs/>
          <w:szCs w:val="28"/>
          <w:lang w:val="uk-UA"/>
        </w:rPr>
      </w:pPr>
      <w:r w:rsidRPr="00511005">
        <w:rPr>
          <w:rFonts w:ascii="Arial" w:eastAsia="Calibri" w:hAnsi="Arial" w:cs="Arial"/>
          <w:bCs/>
          <w:szCs w:val="28"/>
          <w:lang w:val="uk-UA"/>
        </w:rPr>
        <w:t xml:space="preserve">студентка 2-го курсу </w:t>
      </w:r>
      <w:r w:rsidR="007B2628" w:rsidRPr="00511005">
        <w:rPr>
          <w:rFonts w:ascii="Arial" w:eastAsia="Calibri" w:hAnsi="Arial" w:cs="Arial"/>
          <w:bCs/>
          <w:szCs w:val="28"/>
          <w:lang w:val="uk-UA"/>
        </w:rPr>
        <w:t>факультету цивільної та господарської юстиції</w:t>
      </w:r>
      <w:r w:rsidR="003476F8" w:rsidRPr="00511005">
        <w:rPr>
          <w:rFonts w:ascii="Arial" w:eastAsia="Calibri" w:hAnsi="Arial" w:cs="Arial"/>
          <w:bCs/>
          <w:szCs w:val="28"/>
          <w:lang w:val="uk-UA"/>
        </w:rPr>
        <w:t xml:space="preserve"> </w:t>
      </w:r>
    </w:p>
    <w:p w14:paraId="4163FCB8" w14:textId="4EB4B594" w:rsidR="003476F8" w:rsidRPr="00511005" w:rsidRDefault="007B2628" w:rsidP="003A292D">
      <w:pPr>
        <w:spacing w:line="264" w:lineRule="auto"/>
        <w:ind w:left="-567"/>
        <w:jc w:val="center"/>
        <w:rPr>
          <w:rFonts w:ascii="Arial" w:eastAsia="Calibri" w:hAnsi="Arial" w:cs="Arial"/>
          <w:bCs/>
          <w:szCs w:val="28"/>
          <w:lang w:val="uk-UA"/>
        </w:rPr>
      </w:pPr>
      <w:r w:rsidRPr="00511005">
        <w:rPr>
          <w:rFonts w:ascii="Arial" w:eastAsia="Calibri" w:hAnsi="Arial" w:cs="Arial"/>
          <w:bCs/>
          <w:szCs w:val="28"/>
          <w:lang w:val="uk-UA"/>
        </w:rPr>
        <w:t>Національного університету «Одеська юридична академія»</w:t>
      </w:r>
      <w:r w:rsidR="003476F8" w:rsidRPr="00511005">
        <w:rPr>
          <w:rFonts w:ascii="Arial" w:eastAsia="Calibri" w:hAnsi="Arial" w:cs="Arial"/>
          <w:bCs/>
          <w:szCs w:val="28"/>
          <w:lang w:val="uk-UA"/>
        </w:rPr>
        <w:t xml:space="preserve"> </w:t>
      </w:r>
    </w:p>
    <w:p w14:paraId="33E2F71C" w14:textId="77777777" w:rsidR="003476F8" w:rsidRPr="00511005" w:rsidRDefault="003476F8" w:rsidP="003A292D">
      <w:pPr>
        <w:spacing w:line="264" w:lineRule="auto"/>
        <w:ind w:left="-567"/>
        <w:jc w:val="center"/>
        <w:rPr>
          <w:rFonts w:ascii="Arial" w:eastAsia="Calibri" w:hAnsi="Arial" w:cs="Arial"/>
          <w:b/>
          <w:bCs/>
          <w:szCs w:val="28"/>
          <w:lang w:val="uk-UA"/>
        </w:rPr>
      </w:pPr>
    </w:p>
    <w:p w14:paraId="252EC5F7" w14:textId="77777777" w:rsidR="003476F8" w:rsidRPr="00511005" w:rsidRDefault="003476F8" w:rsidP="003A292D">
      <w:pPr>
        <w:spacing w:line="264" w:lineRule="auto"/>
        <w:ind w:left="-567"/>
        <w:jc w:val="center"/>
        <w:rPr>
          <w:rFonts w:ascii="Arial" w:eastAsia="Calibri" w:hAnsi="Arial" w:cs="Arial"/>
          <w:b/>
          <w:bCs/>
          <w:szCs w:val="28"/>
          <w:lang w:val="uk-UA"/>
        </w:rPr>
      </w:pPr>
      <w:r w:rsidRPr="00511005">
        <w:rPr>
          <w:rFonts w:ascii="Arial" w:eastAsia="Calibri" w:hAnsi="Arial" w:cs="Arial"/>
          <w:b/>
          <w:bCs/>
          <w:szCs w:val="28"/>
          <w:lang w:val="uk-UA"/>
        </w:rPr>
        <w:t>ТРУДОВА ДІЯЛЬНІСТЬ ПРОФЕСІЙНИХ АКТОРІВ</w:t>
      </w:r>
    </w:p>
    <w:p w14:paraId="0E6D5193" w14:textId="77777777" w:rsidR="003476F8" w:rsidRPr="00511005" w:rsidRDefault="003476F8" w:rsidP="00D815F0">
      <w:pPr>
        <w:spacing w:line="264" w:lineRule="auto"/>
        <w:rPr>
          <w:rFonts w:ascii="Arial" w:eastAsia="Calibri" w:hAnsi="Arial" w:cs="Arial"/>
          <w:szCs w:val="28"/>
          <w:lang w:val="uk-UA"/>
        </w:rPr>
      </w:pPr>
      <w:r w:rsidRPr="00511005">
        <w:rPr>
          <w:rFonts w:ascii="Arial" w:eastAsia="Calibri" w:hAnsi="Arial" w:cs="Arial"/>
          <w:szCs w:val="28"/>
          <w:lang w:val="uk-UA"/>
        </w:rPr>
        <w:t>У ХХІ столітті професійна акторська діяльність перестала бути виключно творчим покликанням. Вона дедалі частіше набуває рис комплексного професійного шляху, що поєднує творчість, підприємництво, правову обізнаність і цифрову компетентність. На тлі розвитку культурної індустрії, зокрема кіно, театру, телебачення та новітніх платформ (YouTube, TikTok, стрімінгові сервіси), змінилася структура акторської зайнятості, моделі контрактування та правові виклики, які стоять перед митцями. В Україні, як і в більшості європейських країн, правове регулювання у сфері культурної праці ще не повністю адаптоване до реалій цифрової доби, що створює ризики нестабільної зайнятості, втрати авторських прав і недоотримання доходів.</w:t>
      </w:r>
    </w:p>
    <w:p w14:paraId="12DF3AC3" w14:textId="77777777" w:rsidR="003476F8" w:rsidRPr="00511005" w:rsidRDefault="003476F8" w:rsidP="00D815F0">
      <w:pPr>
        <w:spacing w:line="264" w:lineRule="auto"/>
        <w:rPr>
          <w:rFonts w:ascii="Arial" w:eastAsia="Calibri" w:hAnsi="Arial" w:cs="Arial"/>
          <w:szCs w:val="28"/>
          <w:lang w:val="uk-UA"/>
        </w:rPr>
      </w:pPr>
      <w:r w:rsidRPr="00511005">
        <w:rPr>
          <w:rFonts w:ascii="Arial" w:eastAsia="Calibri" w:hAnsi="Arial" w:cs="Arial"/>
          <w:szCs w:val="28"/>
          <w:lang w:val="uk-UA"/>
        </w:rPr>
        <w:t>Українське законодавство визнає специфіку праці творчих працівників, зокрема акторів. Законом України «Про культуру» від 14.12.2010 р. №</w:t>
      </w:r>
      <w:r w:rsidRPr="00511005">
        <w:rPr>
          <w:rFonts w:ascii="Arial" w:eastAsia="Calibri" w:hAnsi="Arial" w:cs="Arial"/>
          <w:szCs w:val="28"/>
          <w:shd w:val="clear" w:color="auto" w:fill="F7F7F7"/>
        </w:rPr>
        <w:t xml:space="preserve"> </w:t>
      </w:r>
      <w:r w:rsidRPr="00511005">
        <w:rPr>
          <w:rFonts w:ascii="Arial" w:eastAsia="Calibri" w:hAnsi="Arial" w:cs="Arial"/>
          <w:szCs w:val="28"/>
        </w:rPr>
        <w:t>2778-</w:t>
      </w:r>
      <w:r w:rsidRPr="00511005">
        <w:rPr>
          <w:rFonts w:ascii="Arial" w:eastAsia="Calibri" w:hAnsi="Arial" w:cs="Arial"/>
          <w:szCs w:val="28"/>
          <w:lang w:val="en-US"/>
        </w:rPr>
        <w:t>VI</w:t>
      </w:r>
      <w:r w:rsidRPr="00511005">
        <w:rPr>
          <w:rFonts w:ascii="Arial" w:eastAsia="Calibri" w:hAnsi="Arial" w:cs="Arial"/>
          <w:szCs w:val="28"/>
          <w:lang w:val="uk-UA"/>
        </w:rPr>
        <w:t xml:space="preserve"> встановлено, що трудові відносини з акторами державних і комунальних театрів здійснюються переважно на умовах строкових контрактів за результатами конкурсу [1]. Така форма найму, з одного боку, забезпечує певну структурованість у сфері культури, а з іншого — обмежує стабільність зайнятості акторів, адже контракт може бути не продовжено без чіткого мотивування.</w:t>
      </w:r>
    </w:p>
    <w:p w14:paraId="18DE13D3" w14:textId="77777777" w:rsidR="003476F8" w:rsidRPr="00511005" w:rsidRDefault="003476F8" w:rsidP="00D815F0">
      <w:pPr>
        <w:spacing w:line="264" w:lineRule="auto"/>
        <w:rPr>
          <w:rFonts w:ascii="Arial" w:eastAsia="Calibri" w:hAnsi="Arial" w:cs="Arial"/>
          <w:szCs w:val="28"/>
          <w:lang w:val="uk-UA"/>
        </w:rPr>
      </w:pPr>
      <w:r w:rsidRPr="00511005">
        <w:rPr>
          <w:rFonts w:ascii="Arial" w:eastAsia="Calibri" w:hAnsi="Arial" w:cs="Arial"/>
          <w:szCs w:val="28"/>
          <w:lang w:val="uk-UA"/>
        </w:rPr>
        <w:t>Водночас дедалі частіше актори працюють поза межами інституційної сфери — як незалежні виконавці, самозайняті особи або ФОП. У таких випадках основною формою взаємодії з роботодавцями (продюсерами, театрами, агентствами) є цивільно-правові договори. Це дозволяє акторам бути гнучкими, брати участь у проектах на короткострокових умовах, але не надає їм соціального захисту, передбаченого трудовим законодавством (відпустки, лікарняні, пенсійне забезпечення) [2].</w:t>
      </w:r>
    </w:p>
    <w:p w14:paraId="1AAB35FC" w14:textId="272A1947" w:rsidR="003476F8" w:rsidRPr="00511005" w:rsidRDefault="003476F8" w:rsidP="00D815F0">
      <w:pPr>
        <w:spacing w:line="264" w:lineRule="auto"/>
        <w:rPr>
          <w:rFonts w:ascii="Arial" w:eastAsia="Calibri" w:hAnsi="Arial" w:cs="Arial"/>
          <w:szCs w:val="28"/>
          <w:lang w:val="uk-UA"/>
        </w:rPr>
      </w:pPr>
      <w:r w:rsidRPr="00511005">
        <w:rPr>
          <w:rFonts w:ascii="Arial" w:eastAsia="Calibri" w:hAnsi="Arial" w:cs="Arial"/>
          <w:szCs w:val="28"/>
          <w:lang w:val="uk-UA"/>
        </w:rPr>
        <w:t>Закон України «Про театри і театральну справу» від</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31.05.2005 р. №</w:t>
      </w:r>
      <w:r w:rsidRPr="00511005">
        <w:rPr>
          <w:rFonts w:ascii="Arial" w:eastAsia="Calibri" w:hAnsi="Arial" w:cs="Arial"/>
          <w:szCs w:val="28"/>
          <w:shd w:val="clear" w:color="auto" w:fill="F7F7F7"/>
        </w:rPr>
        <w:t xml:space="preserve"> </w:t>
      </w:r>
      <w:r w:rsidRPr="00511005">
        <w:rPr>
          <w:rFonts w:ascii="Arial" w:eastAsia="Calibri" w:hAnsi="Arial" w:cs="Arial"/>
          <w:szCs w:val="28"/>
        </w:rPr>
        <w:t>2605-</w:t>
      </w:r>
      <w:r w:rsidRPr="00511005">
        <w:rPr>
          <w:rFonts w:ascii="Arial" w:eastAsia="Calibri" w:hAnsi="Arial" w:cs="Arial"/>
          <w:szCs w:val="28"/>
          <w:lang w:val="en-US"/>
        </w:rPr>
        <w:t>IV</w:t>
      </w:r>
      <w:r w:rsidRPr="00511005">
        <w:rPr>
          <w:rFonts w:ascii="Arial" w:eastAsia="Calibri" w:hAnsi="Arial" w:cs="Arial"/>
          <w:szCs w:val="28"/>
          <w:lang w:val="uk-UA"/>
        </w:rPr>
        <w:t xml:space="preserve"> також визнає специфіку творчої діяльності акторів, встановлюючи для них права на творчу свободу, участь у формуванні репертуару, але не регламентує питання фінансових гарантій або зайнятості [3]. Особливої уваги потребує питання правової охорони результатів праці акторів. Відповідно до Закону України «Про авторське право і суміжні права» від 01.12.2022 р. №</w:t>
      </w:r>
      <w:r w:rsidRPr="00511005">
        <w:rPr>
          <w:rFonts w:ascii="Arial" w:eastAsia="Calibri" w:hAnsi="Arial" w:cs="Arial"/>
          <w:szCs w:val="28"/>
          <w:shd w:val="clear" w:color="auto" w:fill="F7F7F7"/>
          <w:lang w:val="uk-UA"/>
        </w:rPr>
        <w:t xml:space="preserve"> </w:t>
      </w:r>
      <w:r w:rsidRPr="00511005">
        <w:rPr>
          <w:rFonts w:ascii="Arial" w:eastAsia="Calibri" w:hAnsi="Arial" w:cs="Arial"/>
          <w:szCs w:val="28"/>
          <w:lang w:val="uk-UA"/>
        </w:rPr>
        <w:t>2811-</w:t>
      </w:r>
      <w:r w:rsidRPr="00511005">
        <w:rPr>
          <w:rFonts w:ascii="Arial" w:eastAsia="Calibri" w:hAnsi="Arial" w:cs="Arial"/>
          <w:szCs w:val="28"/>
          <w:lang w:val="en-US"/>
        </w:rPr>
        <w:t>IX</w:t>
      </w:r>
      <w:r w:rsidRPr="00511005">
        <w:rPr>
          <w:rFonts w:ascii="Arial" w:eastAsia="Calibri" w:hAnsi="Arial" w:cs="Arial"/>
          <w:szCs w:val="28"/>
          <w:lang w:val="uk-UA"/>
        </w:rPr>
        <w:t xml:space="preserve">, виконавці (зокрема актори) є носіями суміжних прав, що поширюються на їхнє виконання сценічних чи аудіовізуальних творів [2]. Однак у практиці часто зустрічається неповне або формальне </w:t>
      </w:r>
      <w:r w:rsidRPr="00511005">
        <w:rPr>
          <w:rFonts w:ascii="Arial" w:eastAsia="Calibri" w:hAnsi="Arial" w:cs="Arial"/>
          <w:szCs w:val="28"/>
          <w:lang w:val="uk-UA"/>
        </w:rPr>
        <w:lastRenderedPageBreak/>
        <w:t>оформлення передачі цих прав, що дозволяє продюсерам або третім особам використовувати записи без згоди акторів.</w:t>
      </w:r>
    </w:p>
    <w:p w14:paraId="3542BE18" w14:textId="77777777" w:rsidR="003476F8" w:rsidRPr="00511005" w:rsidRDefault="003476F8" w:rsidP="00D815F0">
      <w:pPr>
        <w:spacing w:line="264" w:lineRule="auto"/>
        <w:rPr>
          <w:rFonts w:ascii="Arial" w:eastAsia="Calibri" w:hAnsi="Arial" w:cs="Arial"/>
          <w:szCs w:val="28"/>
          <w:lang w:val="uk-UA"/>
        </w:rPr>
      </w:pPr>
      <w:r w:rsidRPr="00511005">
        <w:rPr>
          <w:rFonts w:ascii="Arial" w:eastAsia="Calibri" w:hAnsi="Arial" w:cs="Arial"/>
          <w:szCs w:val="28"/>
          <w:lang w:val="uk-UA"/>
        </w:rPr>
        <w:t>Водночас навіть наявність контракту не гарантує повного дотримання прав виконавців. Як зазначає А. С. Штефан, в Україні досі відсутній ефективний механізм реалізації та захисту суміжних прав акторів, особливо в цифровому середовищі [7]. Це створює умови для правового нігілізму з боку компаній, що розповсюджують відеоконтент без авторизації або належної компенсації акторам. Бернська конвенція (1886), ратифікована Україною, зобов’язує державу забезпечувати охорону прав виконавців на рівні з національними авторськими правами [5]. Крім того, стаття 10 Конвенції про захист прав людини і основоположних свобод гарантує свободу вираження поглядів, що безпосередньо пов’язане зі свободою творчої діяльності [6].</w:t>
      </w:r>
    </w:p>
    <w:p w14:paraId="5C836560" w14:textId="77777777" w:rsidR="003476F8" w:rsidRPr="00511005" w:rsidRDefault="003476F8" w:rsidP="00D815F0">
      <w:pPr>
        <w:spacing w:line="264" w:lineRule="auto"/>
        <w:rPr>
          <w:rFonts w:ascii="Arial" w:eastAsia="Calibri" w:hAnsi="Arial" w:cs="Arial"/>
          <w:szCs w:val="28"/>
          <w:lang w:val="uk-UA"/>
        </w:rPr>
      </w:pPr>
      <w:r w:rsidRPr="00511005">
        <w:rPr>
          <w:rFonts w:ascii="Arial" w:eastAsia="Calibri" w:hAnsi="Arial" w:cs="Arial"/>
          <w:szCs w:val="28"/>
          <w:lang w:val="uk-UA"/>
        </w:rPr>
        <w:t>Європейські країни, як-от Франція, Німеччина, Іспанія, запровадили спеціальні механізми підтримки акторів, включно з обов’язковим пенсійним страхуванням, фондами соціальної допомоги та державними стипендіями для періодів безробіття. В Україні така модель ще не розвинута, хоча законодавча база для запровадження колективного управління правами вже частково створена [2].</w:t>
      </w:r>
    </w:p>
    <w:p w14:paraId="37D4F8BB" w14:textId="77777777" w:rsidR="003476F8" w:rsidRPr="00511005" w:rsidRDefault="003476F8" w:rsidP="00D815F0">
      <w:pPr>
        <w:spacing w:line="264" w:lineRule="auto"/>
        <w:rPr>
          <w:rFonts w:ascii="Arial" w:eastAsia="Calibri" w:hAnsi="Arial" w:cs="Arial"/>
          <w:szCs w:val="28"/>
          <w:lang w:val="uk-UA"/>
        </w:rPr>
      </w:pPr>
      <w:r w:rsidRPr="00511005">
        <w:rPr>
          <w:rFonts w:ascii="Arial" w:eastAsia="Calibri" w:hAnsi="Arial" w:cs="Arial"/>
          <w:szCs w:val="28"/>
          <w:lang w:val="uk-UA"/>
        </w:rPr>
        <w:t>Цифрова епоха змінює ландшафт акторської професії. Стрімінгові сервіси, соціальні мережі, онлайн-театри надають нові шляхи самовираження та заробітку. Багато акторів стали блогерами, ютуберами або створили власні продакшени. Але водночас цифровізація несе й нові ризики: від порушення прав інтелектуальної власності до нав'язування неформалізованих контрактів з невизначеними умовами використання контенту. У цьому контексті особливої ваги набуває питання цифрової правової грамотності. Актори, як суб’єкти права, мають потребу у правовому консалтингу, особливо під час укладання ліцензійних угод або договорів з дистриб'юторами цифрового контенту.</w:t>
      </w:r>
    </w:p>
    <w:p w14:paraId="0056E425" w14:textId="77777777" w:rsidR="003476F8" w:rsidRPr="00511005" w:rsidRDefault="003476F8" w:rsidP="00D815F0">
      <w:pPr>
        <w:spacing w:line="264" w:lineRule="auto"/>
        <w:contextualSpacing/>
        <w:rPr>
          <w:rFonts w:ascii="Arial" w:eastAsia="Calibri" w:hAnsi="Arial" w:cs="Arial"/>
          <w:szCs w:val="28"/>
          <w:lang w:val="uk-UA"/>
        </w:rPr>
      </w:pPr>
      <w:r w:rsidRPr="00511005">
        <w:rPr>
          <w:rFonts w:ascii="Arial" w:eastAsia="Calibri" w:hAnsi="Arial" w:cs="Arial"/>
          <w:szCs w:val="28"/>
          <w:lang w:val="uk-UA"/>
        </w:rPr>
        <w:t>Професія актора в умовах сучасної України перебуває у точці перетину творчості, права та цифрових технологій. Незважаючи на наявність базових законодавчих положень, захист соціальних, трудових та авторських прав акторів залишається фрагментарним. Необхідним є реформування підходів до правового регулювання цієї сфери з урахуванням європейських стандартів, а також розбудова системи правової підтримки й освіти для культурних працівників.</w:t>
      </w:r>
    </w:p>
    <w:p w14:paraId="207B1A7D" w14:textId="77777777" w:rsidR="003476F8" w:rsidRPr="00511005" w:rsidRDefault="003476F8" w:rsidP="003A292D">
      <w:pPr>
        <w:spacing w:line="264" w:lineRule="auto"/>
        <w:ind w:left="-567"/>
        <w:contextualSpacing/>
        <w:rPr>
          <w:rFonts w:ascii="Arial" w:eastAsia="Calibri" w:hAnsi="Arial" w:cs="Arial"/>
          <w:szCs w:val="28"/>
          <w:lang w:val="uk-UA"/>
        </w:rPr>
      </w:pPr>
    </w:p>
    <w:p w14:paraId="2DB3E5FC" w14:textId="7D537B45" w:rsidR="003476F8" w:rsidRPr="00511005" w:rsidRDefault="007B2628" w:rsidP="007B2628">
      <w:pPr>
        <w:spacing w:line="264" w:lineRule="auto"/>
        <w:ind w:left="-567" w:firstLine="0"/>
        <w:contextualSpacing/>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698ABBBA" w14:textId="77777777" w:rsidR="003476F8" w:rsidRPr="00511005" w:rsidRDefault="003476F8" w:rsidP="00D815F0">
      <w:pPr>
        <w:spacing w:line="264" w:lineRule="auto"/>
        <w:ind w:hanging="426"/>
        <w:contextualSpacing/>
        <w:rPr>
          <w:rFonts w:ascii="Arial" w:eastAsia="Calibri" w:hAnsi="Arial" w:cs="Arial"/>
          <w:szCs w:val="28"/>
          <w:lang w:val="uk-UA"/>
        </w:rPr>
      </w:pPr>
      <w:r w:rsidRPr="00511005">
        <w:rPr>
          <w:rFonts w:ascii="Arial" w:eastAsia="Calibri" w:hAnsi="Arial" w:cs="Arial"/>
          <w:szCs w:val="28"/>
          <w:lang w:val="uk-UA"/>
        </w:rPr>
        <w:t>1.</w:t>
      </w:r>
      <w:r w:rsidRPr="00511005">
        <w:rPr>
          <w:rFonts w:ascii="Arial" w:eastAsia="Calibri" w:hAnsi="Arial" w:cs="Arial"/>
          <w:szCs w:val="28"/>
          <w:lang w:val="uk-UA"/>
        </w:rPr>
        <w:tab/>
        <w:t>Про культуру: Закон України від 14 грудня 2010 р. № 2778-VI. URL: https://zakon.rada.gov.ua/go/2778-17</w:t>
      </w:r>
    </w:p>
    <w:p w14:paraId="0A50BDD8" w14:textId="77777777" w:rsidR="003476F8" w:rsidRPr="00511005" w:rsidRDefault="003476F8" w:rsidP="00D815F0">
      <w:pPr>
        <w:spacing w:line="264" w:lineRule="auto"/>
        <w:ind w:hanging="426"/>
        <w:contextualSpacing/>
        <w:rPr>
          <w:rFonts w:ascii="Arial" w:eastAsia="Calibri" w:hAnsi="Arial" w:cs="Arial"/>
          <w:szCs w:val="28"/>
          <w:lang w:val="uk-UA"/>
        </w:rPr>
      </w:pPr>
      <w:r w:rsidRPr="00511005">
        <w:rPr>
          <w:rFonts w:ascii="Arial" w:eastAsia="Calibri" w:hAnsi="Arial" w:cs="Arial"/>
          <w:szCs w:val="28"/>
          <w:lang w:val="uk-UA"/>
        </w:rPr>
        <w:t>2.</w:t>
      </w:r>
      <w:r w:rsidRPr="00511005">
        <w:rPr>
          <w:rFonts w:ascii="Arial" w:eastAsia="Calibri" w:hAnsi="Arial" w:cs="Arial"/>
          <w:szCs w:val="28"/>
          <w:lang w:val="uk-UA"/>
        </w:rPr>
        <w:tab/>
        <w:t>Про авторське право і суміжні права: Закон України від 23 грудня 1993 р. № 3792-XII. URL: https://zakon.rada.gov.ua/go/3792-12</w:t>
      </w:r>
    </w:p>
    <w:p w14:paraId="568FB0D4" w14:textId="77777777" w:rsidR="003476F8" w:rsidRPr="00511005" w:rsidRDefault="003476F8" w:rsidP="00D815F0">
      <w:pPr>
        <w:spacing w:line="264" w:lineRule="auto"/>
        <w:ind w:hanging="426"/>
        <w:contextualSpacing/>
        <w:rPr>
          <w:rFonts w:ascii="Arial" w:eastAsia="Calibri" w:hAnsi="Arial" w:cs="Arial"/>
          <w:szCs w:val="28"/>
          <w:lang w:val="uk-UA"/>
        </w:rPr>
      </w:pPr>
      <w:r w:rsidRPr="00511005">
        <w:rPr>
          <w:rFonts w:ascii="Arial" w:eastAsia="Calibri" w:hAnsi="Arial" w:cs="Arial"/>
          <w:szCs w:val="28"/>
          <w:lang w:val="uk-UA"/>
        </w:rPr>
        <w:lastRenderedPageBreak/>
        <w:t>3.</w:t>
      </w:r>
      <w:r w:rsidRPr="00511005">
        <w:rPr>
          <w:rFonts w:ascii="Arial" w:eastAsia="Calibri" w:hAnsi="Arial" w:cs="Arial"/>
          <w:szCs w:val="28"/>
          <w:lang w:val="uk-UA"/>
        </w:rPr>
        <w:tab/>
        <w:t>Про театри і театральну справу: Закон України від 31 травня 2005 р. № 2605-IV. URL: https://zakon.rada.gov.ua/go/2605-15</w:t>
      </w:r>
    </w:p>
    <w:p w14:paraId="617F990B" w14:textId="77777777" w:rsidR="003476F8" w:rsidRPr="00511005" w:rsidRDefault="003476F8" w:rsidP="00D815F0">
      <w:pPr>
        <w:spacing w:line="264" w:lineRule="auto"/>
        <w:ind w:hanging="426"/>
        <w:contextualSpacing/>
        <w:rPr>
          <w:rFonts w:ascii="Arial" w:eastAsia="Calibri" w:hAnsi="Arial" w:cs="Arial"/>
          <w:szCs w:val="28"/>
          <w:lang w:val="uk-UA"/>
        </w:rPr>
      </w:pPr>
      <w:r w:rsidRPr="00511005">
        <w:rPr>
          <w:rFonts w:ascii="Arial" w:eastAsia="Calibri" w:hAnsi="Arial" w:cs="Arial"/>
          <w:szCs w:val="28"/>
          <w:lang w:val="uk-UA"/>
        </w:rPr>
        <w:t>4.</w:t>
      </w:r>
      <w:r w:rsidRPr="00511005">
        <w:rPr>
          <w:rFonts w:ascii="Arial" w:eastAsia="Calibri" w:hAnsi="Arial" w:cs="Arial"/>
          <w:szCs w:val="28"/>
          <w:lang w:val="uk-UA"/>
        </w:rPr>
        <w:tab/>
        <w:t>Про кінематографію: Закон України від 13 січня 1998 р. № 9/98-ВР. URL: https://zakon.rada.gov.ua/go/9/98-вр</w:t>
      </w:r>
    </w:p>
    <w:p w14:paraId="771F27A4" w14:textId="77777777" w:rsidR="003476F8" w:rsidRPr="00511005" w:rsidRDefault="003476F8" w:rsidP="00D815F0">
      <w:pPr>
        <w:spacing w:line="264" w:lineRule="auto"/>
        <w:ind w:hanging="426"/>
        <w:contextualSpacing/>
        <w:rPr>
          <w:rFonts w:ascii="Arial" w:eastAsia="Calibri" w:hAnsi="Arial" w:cs="Arial"/>
          <w:szCs w:val="28"/>
          <w:lang w:val="uk-UA"/>
        </w:rPr>
      </w:pPr>
      <w:r w:rsidRPr="00511005">
        <w:rPr>
          <w:rFonts w:ascii="Arial" w:eastAsia="Calibri" w:hAnsi="Arial" w:cs="Arial"/>
          <w:szCs w:val="28"/>
          <w:lang w:val="uk-UA"/>
        </w:rPr>
        <w:t>5.</w:t>
      </w:r>
      <w:r w:rsidRPr="00511005">
        <w:rPr>
          <w:rFonts w:ascii="Arial" w:eastAsia="Calibri" w:hAnsi="Arial" w:cs="Arial"/>
          <w:szCs w:val="28"/>
          <w:lang w:val="uk-UA"/>
        </w:rPr>
        <w:tab/>
        <w:t>Бернська конвенція про охорону літературних і художніх творів. URL: https://zakon.rada.gov.ua/laws/show/995_051</w:t>
      </w:r>
    </w:p>
    <w:p w14:paraId="0140A6F5" w14:textId="77777777" w:rsidR="003476F8" w:rsidRPr="00511005" w:rsidRDefault="003476F8" w:rsidP="00D815F0">
      <w:pPr>
        <w:spacing w:line="264" w:lineRule="auto"/>
        <w:ind w:hanging="426"/>
        <w:contextualSpacing/>
        <w:rPr>
          <w:rFonts w:ascii="Arial" w:eastAsia="Calibri" w:hAnsi="Arial" w:cs="Arial"/>
          <w:szCs w:val="28"/>
          <w:lang w:val="uk-UA"/>
        </w:rPr>
      </w:pPr>
      <w:r w:rsidRPr="00511005">
        <w:rPr>
          <w:rFonts w:ascii="Arial" w:eastAsia="Calibri" w:hAnsi="Arial" w:cs="Arial"/>
          <w:szCs w:val="28"/>
          <w:lang w:val="uk-UA"/>
        </w:rPr>
        <w:t>6.</w:t>
      </w:r>
      <w:r w:rsidRPr="00511005">
        <w:rPr>
          <w:rFonts w:ascii="Arial" w:eastAsia="Calibri" w:hAnsi="Arial" w:cs="Arial"/>
          <w:szCs w:val="28"/>
          <w:lang w:val="uk-UA"/>
        </w:rPr>
        <w:tab/>
        <w:t>Конвенція про захист прав людини і основоположних свобод. URL: https://zakon.rada.gov.ua/laws/show/995_004</w:t>
      </w:r>
    </w:p>
    <w:p w14:paraId="2851B988" w14:textId="77777777" w:rsidR="003476F8" w:rsidRPr="00511005" w:rsidRDefault="003476F8" w:rsidP="00D815F0">
      <w:pPr>
        <w:spacing w:line="264" w:lineRule="auto"/>
        <w:ind w:hanging="426"/>
        <w:contextualSpacing/>
        <w:rPr>
          <w:rFonts w:ascii="Arial" w:eastAsia="Calibri" w:hAnsi="Arial" w:cs="Arial"/>
          <w:szCs w:val="28"/>
          <w:lang w:val="uk-UA"/>
        </w:rPr>
      </w:pPr>
      <w:r w:rsidRPr="00511005">
        <w:rPr>
          <w:rFonts w:ascii="Arial" w:eastAsia="Calibri" w:hAnsi="Arial" w:cs="Arial"/>
          <w:szCs w:val="28"/>
          <w:lang w:val="uk-UA"/>
        </w:rPr>
        <w:t>7.</w:t>
      </w:r>
      <w:r w:rsidRPr="00511005">
        <w:rPr>
          <w:rFonts w:ascii="Arial" w:eastAsia="Calibri" w:hAnsi="Arial" w:cs="Arial"/>
          <w:szCs w:val="28"/>
          <w:lang w:val="uk-UA"/>
        </w:rPr>
        <w:tab/>
        <w:t>Штефан А.С. Авторське право і суміжні права: особливості правової охорони, здійснення та захисту. Київ: Інтерсервіс, 2017. 150 с.</w:t>
      </w:r>
    </w:p>
    <w:p w14:paraId="6247568B" w14:textId="77777777" w:rsidR="003476F8" w:rsidRPr="00511005" w:rsidRDefault="003476F8" w:rsidP="00D815F0">
      <w:pPr>
        <w:spacing w:line="264" w:lineRule="auto"/>
        <w:ind w:hanging="426"/>
        <w:contextualSpacing/>
        <w:rPr>
          <w:rFonts w:ascii="Arial" w:eastAsia="Calibri" w:hAnsi="Arial" w:cs="Arial"/>
          <w:szCs w:val="28"/>
          <w:lang w:val="uk-UA"/>
        </w:rPr>
      </w:pPr>
      <w:r w:rsidRPr="00511005">
        <w:rPr>
          <w:rFonts w:ascii="Arial" w:eastAsia="Calibri" w:hAnsi="Arial" w:cs="Arial"/>
          <w:szCs w:val="28"/>
          <w:lang w:val="uk-UA"/>
        </w:rPr>
        <w:t>8.</w:t>
      </w:r>
      <w:r w:rsidRPr="00511005">
        <w:rPr>
          <w:rFonts w:ascii="Arial" w:eastAsia="Calibri" w:hAnsi="Arial" w:cs="Arial"/>
          <w:szCs w:val="28"/>
          <w:lang w:val="uk-UA"/>
        </w:rPr>
        <w:tab/>
        <w:t xml:space="preserve">Смірнов А.І. Правовий статус продюсера як суб’єкта прав на аудіовізуальний твір. </w:t>
      </w:r>
      <w:r w:rsidRPr="00511005">
        <w:rPr>
          <w:rFonts w:ascii="Arial" w:eastAsia="Calibri" w:hAnsi="Arial" w:cs="Arial"/>
          <w:i/>
          <w:iCs/>
          <w:szCs w:val="28"/>
          <w:lang w:val="uk-UA"/>
        </w:rPr>
        <w:t>Вчені записки ТНУ імені В. І. Вернадського</w:t>
      </w:r>
      <w:r w:rsidRPr="00511005">
        <w:rPr>
          <w:rFonts w:ascii="Arial" w:eastAsia="Calibri" w:hAnsi="Arial" w:cs="Arial"/>
          <w:szCs w:val="28"/>
          <w:lang w:val="uk-UA"/>
        </w:rPr>
        <w:t xml:space="preserve">. Серія: Юридичні науки. 2019. Т. 30. (69). № 4. С. 72–75. URL: </w:t>
      </w:r>
      <w:hyperlink r:id="rId1716" w:history="1">
        <w:r w:rsidRPr="00511005">
          <w:rPr>
            <w:rFonts w:ascii="Arial" w:eastAsia="Calibri" w:hAnsi="Arial" w:cs="Arial"/>
            <w:szCs w:val="28"/>
            <w:lang w:val="uk-UA"/>
          </w:rPr>
          <w:t>http://www.juris.vernadskyjournals.in.ua/eng/journals/2019/4_2019/15.pdf</w:t>
        </w:r>
      </w:hyperlink>
    </w:p>
    <w:p w14:paraId="65D00A6B" w14:textId="77777777" w:rsidR="003476F8" w:rsidRPr="00511005" w:rsidRDefault="003476F8" w:rsidP="003A292D">
      <w:pPr>
        <w:spacing w:line="264" w:lineRule="auto"/>
        <w:ind w:left="-567"/>
        <w:contextualSpacing/>
        <w:rPr>
          <w:rFonts w:ascii="Arial" w:eastAsia="Calibri" w:hAnsi="Arial" w:cs="Arial"/>
          <w:szCs w:val="28"/>
          <w:lang w:val="uk-UA"/>
        </w:rPr>
      </w:pPr>
    </w:p>
    <w:p w14:paraId="792C8D06" w14:textId="5F075F99" w:rsidR="003476F8" w:rsidRPr="00511005" w:rsidRDefault="007B2628" w:rsidP="00D815F0">
      <w:pPr>
        <w:spacing w:line="264" w:lineRule="auto"/>
        <w:ind w:firstLine="0"/>
        <w:contextualSpacing/>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3476F8" w:rsidRPr="00511005">
        <w:rPr>
          <w:rFonts w:ascii="Arial" w:eastAsia="Calibri" w:hAnsi="Arial" w:cs="Arial"/>
          <w:szCs w:val="28"/>
          <w:lang w:val="uk-UA"/>
        </w:rPr>
        <w:t>актор, трудове право, авторське право, цифровізація, культурна індустрія, контракт, соціальний захист.</w:t>
      </w:r>
    </w:p>
    <w:p w14:paraId="3D2B1D6F" w14:textId="39BF3F91" w:rsidR="003476F8" w:rsidRPr="00511005" w:rsidRDefault="007B2628" w:rsidP="00D815F0">
      <w:pPr>
        <w:spacing w:line="264" w:lineRule="auto"/>
        <w:ind w:firstLine="0"/>
        <w:contextualSpacing/>
        <w:rPr>
          <w:rFonts w:ascii="Arial" w:eastAsia="Calibri" w:hAnsi="Arial" w:cs="Arial"/>
          <w:bCs/>
          <w:szCs w:val="28"/>
          <w:lang w:val="en-US"/>
        </w:rPr>
      </w:pPr>
      <w:r w:rsidRPr="00511005">
        <w:rPr>
          <w:rFonts w:ascii="Arial" w:eastAsia="Calibri" w:hAnsi="Arial" w:cs="Arial"/>
          <w:b/>
          <w:bCs/>
          <w:i/>
          <w:szCs w:val="28"/>
          <w:lang w:val="en-US"/>
        </w:rPr>
        <w:t xml:space="preserve">Key words: </w:t>
      </w:r>
      <w:r w:rsidR="003476F8" w:rsidRPr="00511005">
        <w:rPr>
          <w:rFonts w:ascii="Arial" w:eastAsia="Calibri" w:hAnsi="Arial" w:cs="Arial"/>
          <w:bCs/>
          <w:szCs w:val="28"/>
          <w:lang w:val="en"/>
        </w:rPr>
        <w:t>actor, labor law, copyright, digitalization, cultural industry, contract, social protection.</w:t>
      </w:r>
    </w:p>
    <w:p w14:paraId="3A1507B6" w14:textId="3EBDA4B7" w:rsidR="003476F8" w:rsidRPr="00511005" w:rsidRDefault="007B2628" w:rsidP="00D815F0">
      <w:pPr>
        <w:spacing w:line="264" w:lineRule="auto"/>
        <w:ind w:firstLine="0"/>
        <w:contextualSpacing/>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3476F8" w:rsidRPr="00511005">
        <w:rPr>
          <w:rFonts w:ascii="Arial" w:eastAsia="Calibri" w:hAnsi="Arial" w:cs="Arial"/>
          <w:i/>
          <w:szCs w:val="28"/>
          <w:lang w:val="uk-UA"/>
        </w:rPr>
        <w:t>к.ю.н., доцент Панченко А.О.</w:t>
      </w:r>
    </w:p>
    <w:p w14:paraId="53D5A988"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46D5AD22"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0C2E0689" w14:textId="77777777" w:rsidR="003476F8" w:rsidRPr="00511005" w:rsidRDefault="003476F8"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Тишковець Данило Андрійович</w:t>
      </w:r>
    </w:p>
    <w:p w14:paraId="6BA62E99" w14:textId="27D5BC11" w:rsidR="003476F8" w:rsidRPr="00511005" w:rsidRDefault="003476F8" w:rsidP="003A292D">
      <w:pPr>
        <w:pBdr>
          <w:top w:val="nil"/>
          <w:left w:val="nil"/>
          <w:bottom w:val="nil"/>
          <w:right w:val="nil"/>
          <w:between w:val="nil"/>
        </w:pBd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стyдeнт 2 кyрсy </w:t>
      </w:r>
      <w:r w:rsidR="00536AAB" w:rsidRPr="00511005">
        <w:rPr>
          <w:rFonts w:ascii="Arial" w:eastAsia="Times New Roman" w:hAnsi="Arial" w:cs="Arial"/>
          <w:szCs w:val="28"/>
          <w:lang w:val="uk-UA"/>
        </w:rPr>
        <w:t>факультету адвокатури та антикорупційної діяльності</w:t>
      </w:r>
      <w:r w:rsidRPr="00511005">
        <w:rPr>
          <w:rFonts w:ascii="Arial" w:eastAsia="Times New Roman" w:hAnsi="Arial" w:cs="Arial"/>
          <w:szCs w:val="28"/>
          <w:lang w:val="uk-UA"/>
        </w:rPr>
        <w:t xml:space="preserve"> </w:t>
      </w:r>
    </w:p>
    <w:p w14:paraId="6156873C" w14:textId="6A7925A0" w:rsidR="003476F8" w:rsidRPr="00511005" w:rsidRDefault="003476F8" w:rsidP="003A292D">
      <w:pPr>
        <w:pBdr>
          <w:top w:val="nil"/>
          <w:left w:val="nil"/>
          <w:bottom w:val="nil"/>
          <w:right w:val="nil"/>
          <w:between w:val="nil"/>
        </w:pBd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Нaцioнaльнoгo yнiвeрситeтy</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«Oдeськa юридичнa aкaдeмiя»</w:t>
      </w:r>
    </w:p>
    <w:p w14:paraId="4F8EF91D" w14:textId="77777777" w:rsidR="003476F8" w:rsidRPr="00511005" w:rsidRDefault="003476F8" w:rsidP="003A292D">
      <w:pPr>
        <w:pBdr>
          <w:top w:val="nil"/>
          <w:left w:val="nil"/>
          <w:bottom w:val="nil"/>
          <w:right w:val="nil"/>
          <w:between w:val="nil"/>
        </w:pBdr>
        <w:spacing w:line="264" w:lineRule="auto"/>
        <w:ind w:firstLine="0"/>
        <w:jc w:val="center"/>
        <w:rPr>
          <w:rFonts w:ascii="Arial" w:eastAsia="Times New Roman" w:hAnsi="Arial" w:cs="Arial"/>
          <w:szCs w:val="28"/>
          <w:lang w:val="uk-UA"/>
        </w:rPr>
      </w:pPr>
    </w:p>
    <w:p w14:paraId="3AF7B217" w14:textId="77777777" w:rsidR="003476F8" w:rsidRPr="00511005" w:rsidRDefault="003476F8"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ЄДНІСТЬ І ДИФЕРЕНЦІАЦІЯ ПРАВОВОГО РЕГУЛЮВАННЯ ТРУДОВИХ ВІДНОСИН ЯК ПРИНЦИП ТРУДОВОГО ПРАВА</w:t>
      </w:r>
    </w:p>
    <w:p w14:paraId="4B77ED0E" w14:textId="77777777" w:rsidR="003476F8" w:rsidRPr="00511005" w:rsidRDefault="003476F8" w:rsidP="003A292D">
      <w:pPr>
        <w:spacing w:line="264" w:lineRule="auto"/>
        <w:ind w:firstLine="0"/>
        <w:jc w:val="center"/>
        <w:rPr>
          <w:rFonts w:ascii="Arial" w:eastAsia="Calibri" w:hAnsi="Arial" w:cs="Arial"/>
          <w:b/>
          <w:bCs/>
          <w:szCs w:val="28"/>
          <w:lang w:val="uk-UA"/>
        </w:rPr>
      </w:pPr>
    </w:p>
    <w:p w14:paraId="52CDFD9D"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t>Єдність і диференціація правового регулювання трудових відносин є одним з основних принципів трудового права, що забезпечують баланс між загальними стандартами праці та специфічними умовами для окремих категорій працівників. Ці принципи сприяють ефективному функціонуванню трудових відносин, враховуючи як загальні, так і особливі аспекти праці.</w:t>
      </w:r>
    </w:p>
    <w:p w14:paraId="43874D79"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t>Єдність правового регулювання трудових відносин забезпечує цілісність, стабільність і передбачуваність правової системи у сфері праці. Вона означає, що всі працівники, незалежно від сфери діяльності, посади, регіону чи інших чинників, підпорядковуються єдиним правовим нормам, які визначають їхні права, обов’язки та гарантії. Це створює загальну основу для правового регулювання трудових відносин, встановлюючи рівні можливості для всіх учасників трудового процесу.</w:t>
      </w:r>
    </w:p>
    <w:p w14:paraId="38B3E1D7"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lastRenderedPageBreak/>
        <w:t>Єдність правового регулювання реалізується через встановлення єдиних норм та стандартів, які охоплюють основні аспекти трудових відносин, зокрема тривалість робочого часу, порядок оплати праці, відпустки, умови безпеки та гігієни праці, а також процедури розірвання трудового договору. Такі норми закріплені в загальному законодавстві про працю і є обов’язковими для всіх роботодавців та працівників, незалежно від їхньої професійної діяльності чи галузевої належності.</w:t>
      </w:r>
    </w:p>
    <w:p w14:paraId="67EBC880"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t>Важливою складовою єдності правового регулювання є забезпечення рівності прав працівників. Це означає, що жодна особа не може бути позбавлена трудових прав або зазнавати дискримінації за будь-якими ознаками. Встановлення єдиних норм сприяє рівному доступу до соціальних гарантій, що забезпечує захист інтересів працівників і запобігає зловживанням з боку роботодавців.</w:t>
      </w:r>
    </w:p>
    <w:p w14:paraId="5B77B6B5"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t>Окрім того, єдність правового регулювання трудових відносин сприяє правовій визначеності, оскільки всі учасники трудових відносин діють у межах єдиних правил, що дозволяє уникати правових колізій та неоднозначного трактування норм. Це особливо важливо в умовах глобалізації ринку праці, коли стабільне та передбачуване правове середовище є необхідною умовою для економічного розвитку та соціального добробуту.</w:t>
      </w:r>
    </w:p>
    <w:p w14:paraId="1AA9204A" w14:textId="77777777" w:rsidR="003476F8" w:rsidRPr="00511005" w:rsidRDefault="003476F8" w:rsidP="003A292D">
      <w:pPr>
        <w:spacing w:line="264" w:lineRule="auto"/>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В.В. Сичова відмічає, що показником і гарантом єдності трудового права є, перш за все, наявність самого Кодексу законів про працю України – єдиного кодифікованого акту, що закріплює в статті 1 єдині цілі і завдання трудового законодавства, які поширюються на всю територію України і на всіх працівників, незалежно від того, де вони працюють. При цьому не мають значення ані вид трудового договору, ані характер виконуваної роботи, місце роботи, умови праці, організаційно-правова форма і форма власності майна роботодавця, оскільки ця єдність поширюється на всіх працівників, які працюють за трудовим договором. Також єдність трудового права знаходить своє відображення в статті 4 КЗпП України, яка встановлює єдину систему законодавства про працю, що складається з Кодексу законів про працю та інших актів законодавства України, прийнятих відповідно до нього. Проте єдність у цілому основних принципів правового регулювання трудових відносин і загальних норм трудового права не виключає диференціації, а навпаки, передбачає її існування у вигляді встановлення відмінностей у правовому регулюванні праці певних категорій працівників [1, с. 184].</w:t>
      </w:r>
    </w:p>
    <w:p w14:paraId="654864E3"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t>Таким чином, єдність правового регулювання трудових відносин забезпечує рівність можливостей для всіх працівників, сприяє соціальній стабільності та ефективному функціонуванню системи трудового права. Вона формує загальну правову основу, яка дозволяє гнучко реагувати на виклики сучасного ринку праці, зберігаючи при цьому ключові трудові гарантії для працівників.</w:t>
      </w:r>
    </w:p>
    <w:p w14:paraId="25534689"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lastRenderedPageBreak/>
        <w:t>Своєю чергою, диференціація правового регулювання трудових відносин – це встановлення спеціальних норм трудового законодавства для окремих працівників</w:t>
      </w:r>
      <w:r w:rsidRPr="00511005">
        <w:rPr>
          <w:rFonts w:ascii="Arial" w:eastAsia="Calibri" w:hAnsi="Arial" w:cs="Arial"/>
          <w:i/>
          <w:iCs/>
          <w:szCs w:val="28"/>
          <w:shd w:val="clear" w:color="auto" w:fill="FFFFFF"/>
          <w:lang w:val="uk-UA"/>
        </w:rPr>
        <w:t xml:space="preserve"> </w:t>
      </w:r>
      <w:r w:rsidRPr="00511005">
        <w:rPr>
          <w:rFonts w:ascii="Arial" w:eastAsia="Calibri" w:hAnsi="Arial" w:cs="Arial"/>
          <w:szCs w:val="28"/>
          <w:shd w:val="clear" w:color="auto" w:fill="FFFFFF"/>
          <w:lang w:val="uk-UA"/>
        </w:rPr>
        <w:t xml:space="preserve">з метою </w:t>
      </w:r>
      <w:r w:rsidRPr="00511005">
        <w:rPr>
          <w:rFonts w:ascii="Arial" w:eastAsia="Calibri" w:hAnsi="Arial" w:cs="Arial"/>
          <w:szCs w:val="28"/>
          <w:lang w:val="uk-UA" w:eastAsia="uk-UA"/>
        </w:rPr>
        <w:t>забезпечення їх адаптації до специфічних обставин, що впливають на трудові відносини.</w:t>
      </w:r>
    </w:p>
    <w:p w14:paraId="06C5C918"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t>Основна мета диференціації полягає у створенні більш справедливих і ефективних умов праці, враховуючи відмінності у професійній діяльності, рівні кваліфікації, стани здоров’я, вік чи особливості конкретної галузі. Це дозволяє встановлювати додаткові гарантії для працівників, які потребують посиленого соціального захисту, а також забезпечує гнучкість правового регулювання у сфері праці.</w:t>
      </w:r>
    </w:p>
    <w:p w14:paraId="6CC05098"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t>Таким чином, диференціація дозволяє поєднувати принцип рівності у трудових відносинах із необхідністю створення особливих умов для окремих працівників. Це сприяє більш ефективному захисту трудових прав, підвищенню рівня безпеки праці та забезпеченню соціальної справедливості.</w:t>
      </w:r>
    </w:p>
    <w:p w14:paraId="28E0BDDF" w14:textId="77777777" w:rsidR="003476F8" w:rsidRPr="00511005" w:rsidRDefault="003476F8"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В.І. Прокопенко стверджував, що диференціація трудового законодавства – це встановлені державою відмінності в змісті і обсязі прав та обовʼязків субʼєктів трудових відносин на певних підставах. Сучасний цивілізований світ намагається більш послідовно здійснювати принцип рівності громадян. Вчений зазначає, з цілого ряду причин виникає необхідність диференційованого підходу до регулювання трудових відносин. Така диференціація, на його думку, проводиться за допомогою прийняття спеціальних нормативних актів, що поширюються тільки на певну групу працюючих, шляхом включення в загальні законодавчі акти про працю спеціальних положень, що відносяться лише до тієї чи іншої групи працівників, а також шляхом виключення можливості застосування окремих положень загального законодавства про працю до деяких категорій трудящих [2, с. 83].</w:t>
      </w:r>
    </w:p>
    <w:p w14:paraId="50E0E828" w14:textId="77777777" w:rsidR="003476F8" w:rsidRPr="00511005" w:rsidRDefault="003476F8" w:rsidP="003A292D">
      <w:pPr>
        <w:spacing w:line="264" w:lineRule="auto"/>
        <w:contextualSpacing/>
        <w:rPr>
          <w:rFonts w:ascii="Arial" w:eastAsia="Calibri" w:hAnsi="Arial" w:cs="Arial"/>
          <w:szCs w:val="28"/>
          <w:lang w:val="uk-UA"/>
        </w:rPr>
      </w:pPr>
      <w:r w:rsidRPr="00511005">
        <w:rPr>
          <w:rFonts w:ascii="Arial" w:eastAsia="Calibri" w:hAnsi="Arial" w:cs="Arial"/>
          <w:szCs w:val="28"/>
          <w:lang w:val="uk-UA"/>
        </w:rPr>
        <w:t>На думку I.А. Коляди , під диференціацією правового регулювання трудових відносин слід мати на увазі зумовлені цілями і завданнями трудового права відмінності у змісті, способах та засобах правового регулювання діяльності окремих категорій субʼєктів трудових правовідносин [3, с. 14].</w:t>
      </w:r>
    </w:p>
    <w:p w14:paraId="5F371FB2"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t>Єдність та диференціація правового регулювання трудових відносин відіграють важливу роль у забезпеченні ефективного функціонування трудового законодавства. Єдність забезпечує рівність усіх працівників перед законом, встановлюючи загальні правила та мінімальні соціальні гарантії. Це гарантує однакові умови праці, рівну оплату за рівноцінну роботу та захист від дискримінації. Завдяки цьому кожен працівник, незалежно від професії, віку чи соціального статусу, має рівні можливості щодо реалізації своїх трудових прав.</w:t>
      </w:r>
    </w:p>
    <w:p w14:paraId="60C7CF59"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lastRenderedPageBreak/>
        <w:t>Разом із цим, диференціація дозволяє адаптувати трудове законодавство до специфічних умов роботи різних категорій працівників. Вона враховує особливості професійної діяльності, стан здоров'я, вік, умови праці та інші фактори, що впливають на трудовий процес. Наприклад, працівники, зайняті у шкідливих умовах, отримують додаткові соціальні гарантії, молоді працівники мають обмеження щодо тривалості робочого часу, а особи з інвалідністю – право на спеціальні умови праці. Це дозволяє ефективно регулювати трудові відносини, створюючи сприятливі умови для різних груп працівників і водночас підтримуючи соціальну справедливість.</w:t>
      </w:r>
    </w:p>
    <w:p w14:paraId="6C6A6172"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t>Поєднання єдності та диференціації сприяє підвищенню ефективності правового регулювання. Загальні норми забезпечують стабільність і передбачуваність трудових відносин, тоді як спеціальні положення дозволяють враховувати реальні умови праці та соціальні потреби працівників. Такий підхід сприяє гармонізації трудового законодавства, його гнучкості та адаптації до сучасних викликів, зокрема змін у ринку праці та появи нових форм зайнятості. Водночас це дозволяє уникати правових колізій, сприяти зниженню трудових конфліктів і підвищувати продуктивність праці.</w:t>
      </w:r>
    </w:p>
    <w:p w14:paraId="482943A1" w14:textId="77777777" w:rsidR="003476F8" w:rsidRPr="00511005" w:rsidRDefault="003476F8" w:rsidP="003A292D">
      <w:pPr>
        <w:spacing w:line="264" w:lineRule="auto"/>
        <w:contextualSpacing/>
        <w:rPr>
          <w:rFonts w:ascii="Arial" w:eastAsia="Calibri" w:hAnsi="Arial" w:cs="Arial"/>
          <w:szCs w:val="28"/>
          <w:lang w:val="uk-UA" w:eastAsia="uk-UA"/>
        </w:rPr>
      </w:pPr>
      <w:r w:rsidRPr="00511005">
        <w:rPr>
          <w:rFonts w:ascii="Arial" w:eastAsia="Calibri" w:hAnsi="Arial" w:cs="Arial"/>
          <w:szCs w:val="28"/>
          <w:lang w:val="uk-UA" w:eastAsia="uk-UA"/>
        </w:rPr>
        <w:t>Отже, ефективне правове регулювання трудових відносин можливе лише за умови гармонійного поєднання єдності та диференціації. Цей принцип гарантує рівність і стабільність, врахування реальних умов праці та соціальних потреб окремих категорій працівників. Разом вони створюють збалансовану систему трудового законодавства, що сприяє соціальній справедливості, захисту прав працівників і стабільному розвитку ринку праці.</w:t>
      </w:r>
    </w:p>
    <w:p w14:paraId="72146302" w14:textId="77777777" w:rsidR="003476F8" w:rsidRPr="00511005" w:rsidRDefault="003476F8" w:rsidP="003A292D">
      <w:pPr>
        <w:spacing w:line="264" w:lineRule="auto"/>
        <w:contextualSpacing/>
        <w:rPr>
          <w:rFonts w:ascii="Arial" w:eastAsia="Calibri" w:hAnsi="Arial" w:cs="Arial"/>
          <w:szCs w:val="28"/>
          <w:lang w:val="uk-UA" w:eastAsia="uk-UA"/>
        </w:rPr>
      </w:pPr>
    </w:p>
    <w:p w14:paraId="06ECEC83" w14:textId="77777777" w:rsidR="003476F8" w:rsidRPr="00511005" w:rsidRDefault="003476F8" w:rsidP="003A292D">
      <w:pPr>
        <w:spacing w:line="264" w:lineRule="auto"/>
        <w:jc w:val="center"/>
        <w:rPr>
          <w:rFonts w:ascii="Arial" w:eastAsia="Times New Roman" w:hAnsi="Arial" w:cs="Arial"/>
          <w:b/>
          <w:szCs w:val="28"/>
          <w:lang w:val="uk-UA"/>
        </w:rPr>
      </w:pPr>
      <w:r w:rsidRPr="00511005">
        <w:rPr>
          <w:rFonts w:ascii="Arial" w:eastAsia="Times New Roman" w:hAnsi="Arial" w:cs="Arial"/>
          <w:b/>
          <w:szCs w:val="28"/>
          <w:lang w:val="uk-UA"/>
        </w:rPr>
        <w:t>Списoк викoристaних джeрeл</w:t>
      </w:r>
    </w:p>
    <w:p w14:paraId="4A3A1EDA" w14:textId="77777777" w:rsidR="003476F8" w:rsidRPr="00511005" w:rsidRDefault="003476F8" w:rsidP="003F6A5D">
      <w:pPr>
        <w:numPr>
          <w:ilvl w:val="0"/>
          <w:numId w:val="463"/>
        </w:numPr>
        <w:spacing w:line="264" w:lineRule="auto"/>
        <w:ind w:left="0" w:firstLine="709"/>
        <w:contextualSpacing/>
        <w:jc w:val="left"/>
        <w:rPr>
          <w:rFonts w:ascii="Arial" w:eastAsia="Times New Roman" w:hAnsi="Arial" w:cs="Arial"/>
          <w:szCs w:val="28"/>
          <w:lang w:val="uk-UA"/>
        </w:rPr>
      </w:pPr>
      <w:r w:rsidRPr="00511005">
        <w:rPr>
          <w:rFonts w:ascii="Arial" w:eastAsia="Calibri" w:hAnsi="Arial" w:cs="Arial"/>
          <w:szCs w:val="28"/>
          <w:lang w:val="uk-UA"/>
        </w:rPr>
        <w:t>Сичова В.В. Єдність та диференціація правового регулювання трудових відносин: тісна співпраця та міцний взаємозв’язок трудового права та права соціального забезпечення. Єдність і диференціація трудового права та права соціального забезпечення : матеріали IIІ Всеукраїнської наук.-практ. конф. (м. Харків, 28 листоп. 2014 р.) ; за заг. ред. К. Ю. Мельника / МВС України ; Харк. нац. ун-т внутр. справ. Х. : ХНУВС, 2014. С. 184-186.</w:t>
      </w:r>
    </w:p>
    <w:p w14:paraId="32BE730E" w14:textId="77777777" w:rsidR="003476F8" w:rsidRPr="00511005" w:rsidRDefault="003476F8" w:rsidP="003F6A5D">
      <w:pPr>
        <w:numPr>
          <w:ilvl w:val="0"/>
          <w:numId w:val="463"/>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Прокопенко В.I. Трудове право України : [підручник]. Х.: Фірма «Консум», 1998. 480 с.</w:t>
      </w:r>
    </w:p>
    <w:p w14:paraId="4F509C1A" w14:textId="77777777" w:rsidR="003476F8" w:rsidRPr="00511005" w:rsidRDefault="003476F8" w:rsidP="003F6A5D">
      <w:pPr>
        <w:numPr>
          <w:ilvl w:val="0"/>
          <w:numId w:val="463"/>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Коляда Т.А. Диференціація правового регулювання праці за трудовим законодавством України : автореф. дис. ... канд. юрид. наук: 12.00.05. Харків, 2004. 20 с.</w:t>
      </w:r>
    </w:p>
    <w:p w14:paraId="62817E3D" w14:textId="3A21EE67" w:rsidR="003476F8" w:rsidRPr="00511005" w:rsidRDefault="007B2628" w:rsidP="003A292D">
      <w:pPr>
        <w:spacing w:line="264" w:lineRule="auto"/>
        <w:rPr>
          <w:rFonts w:ascii="Arial" w:eastAsia="Calibri" w:hAnsi="Arial" w:cs="Arial"/>
          <w:szCs w:val="28"/>
          <w:shd w:val="clear" w:color="auto" w:fill="FFFFFF"/>
          <w:lang w:val="uk-UA"/>
        </w:rPr>
      </w:pPr>
      <w:r w:rsidRPr="00511005">
        <w:rPr>
          <w:rFonts w:ascii="Arial" w:eastAsia="Calibri" w:hAnsi="Arial" w:cs="Arial"/>
          <w:b/>
          <w:bCs/>
          <w:i/>
          <w:szCs w:val="28"/>
          <w:shd w:val="clear" w:color="auto" w:fill="FFFFFF"/>
          <w:lang w:val="uk-UA"/>
        </w:rPr>
        <w:t xml:space="preserve">Ключові слова: </w:t>
      </w:r>
      <w:r w:rsidR="003476F8" w:rsidRPr="00511005">
        <w:rPr>
          <w:rFonts w:ascii="Arial" w:eastAsia="Calibri" w:hAnsi="Arial" w:cs="Arial"/>
          <w:szCs w:val="28"/>
          <w:shd w:val="clear" w:color="auto" w:fill="FFFFFF"/>
          <w:lang w:val="uk-UA"/>
        </w:rPr>
        <w:t xml:space="preserve">трудове право, трудові відносини, правове регулювання, єдність і диференціація, законодавство України. </w:t>
      </w:r>
    </w:p>
    <w:p w14:paraId="1CD4E079" w14:textId="586CE6B8" w:rsidR="003476F8" w:rsidRPr="00511005" w:rsidRDefault="007B2628" w:rsidP="003A292D">
      <w:pPr>
        <w:spacing w:line="264" w:lineRule="auto"/>
        <w:rPr>
          <w:rFonts w:ascii="Arial" w:eastAsia="Calibri" w:hAnsi="Arial" w:cs="Arial"/>
          <w:szCs w:val="28"/>
          <w:shd w:val="clear" w:color="auto" w:fill="FFFFFF"/>
          <w:lang w:val="uk-UA"/>
        </w:rPr>
      </w:pPr>
      <w:r w:rsidRPr="00511005">
        <w:rPr>
          <w:rFonts w:ascii="Arial" w:eastAsia="Calibri" w:hAnsi="Arial" w:cs="Arial"/>
          <w:b/>
          <w:bCs/>
          <w:i/>
          <w:szCs w:val="28"/>
          <w:shd w:val="clear" w:color="auto" w:fill="FFFFFF"/>
          <w:lang w:val="en-US"/>
        </w:rPr>
        <w:lastRenderedPageBreak/>
        <w:t xml:space="preserve">Key words: </w:t>
      </w:r>
      <w:r w:rsidR="003476F8" w:rsidRPr="00511005">
        <w:rPr>
          <w:rFonts w:ascii="Arial" w:eastAsia="Calibri" w:hAnsi="Arial" w:cs="Arial"/>
          <w:szCs w:val="28"/>
          <w:shd w:val="clear" w:color="auto" w:fill="FFFFFF"/>
          <w:lang w:val="en-US"/>
        </w:rPr>
        <w:t>labour law</w:t>
      </w:r>
      <w:r w:rsidR="003476F8" w:rsidRPr="00511005">
        <w:rPr>
          <w:rFonts w:ascii="Arial" w:eastAsia="Calibri" w:hAnsi="Arial" w:cs="Arial"/>
          <w:szCs w:val="28"/>
          <w:shd w:val="clear" w:color="auto" w:fill="FFFFFF"/>
          <w:lang w:val="uk-UA"/>
        </w:rPr>
        <w:t xml:space="preserve">, </w:t>
      </w:r>
      <w:r w:rsidR="003476F8" w:rsidRPr="00511005">
        <w:rPr>
          <w:rFonts w:ascii="Arial" w:eastAsia="Calibri" w:hAnsi="Arial" w:cs="Arial"/>
          <w:szCs w:val="28"/>
          <w:shd w:val="clear" w:color="auto" w:fill="FFFFFF"/>
          <w:lang w:val="en-US"/>
        </w:rPr>
        <w:t>labour relations</w:t>
      </w:r>
      <w:r w:rsidR="003476F8" w:rsidRPr="00511005">
        <w:rPr>
          <w:rFonts w:ascii="Arial" w:eastAsia="Calibri" w:hAnsi="Arial" w:cs="Arial"/>
          <w:szCs w:val="28"/>
          <w:shd w:val="clear" w:color="auto" w:fill="FFFFFF"/>
          <w:lang w:val="uk-UA"/>
        </w:rPr>
        <w:t xml:space="preserve">, </w:t>
      </w:r>
      <w:r w:rsidR="003476F8" w:rsidRPr="00511005">
        <w:rPr>
          <w:rFonts w:ascii="Arial" w:eastAsia="Calibri" w:hAnsi="Arial" w:cs="Arial"/>
          <w:szCs w:val="28"/>
          <w:shd w:val="clear" w:color="auto" w:fill="FFFFFF"/>
          <w:lang w:val="en-US"/>
        </w:rPr>
        <w:t>legal regulation</w:t>
      </w:r>
      <w:r w:rsidR="003476F8" w:rsidRPr="00511005">
        <w:rPr>
          <w:rFonts w:ascii="Arial" w:eastAsia="Calibri" w:hAnsi="Arial" w:cs="Arial"/>
          <w:szCs w:val="28"/>
          <w:shd w:val="clear" w:color="auto" w:fill="FFFFFF"/>
          <w:lang w:val="uk-UA"/>
        </w:rPr>
        <w:t xml:space="preserve">, </w:t>
      </w:r>
      <w:r w:rsidR="003476F8" w:rsidRPr="00511005">
        <w:rPr>
          <w:rFonts w:ascii="Arial" w:eastAsia="Calibri" w:hAnsi="Arial" w:cs="Arial"/>
          <w:szCs w:val="28"/>
          <w:shd w:val="clear" w:color="auto" w:fill="FFFFFF"/>
          <w:lang w:val="en-US"/>
        </w:rPr>
        <w:t>unity and differentiation</w:t>
      </w:r>
      <w:r w:rsidR="003476F8" w:rsidRPr="00511005">
        <w:rPr>
          <w:rFonts w:ascii="Arial" w:eastAsia="Calibri" w:hAnsi="Arial" w:cs="Arial"/>
          <w:szCs w:val="28"/>
          <w:shd w:val="clear" w:color="auto" w:fill="FFFFFF"/>
          <w:lang w:val="uk-UA"/>
        </w:rPr>
        <w:t xml:space="preserve">, </w:t>
      </w:r>
      <w:r w:rsidR="003476F8" w:rsidRPr="00511005">
        <w:rPr>
          <w:rFonts w:ascii="Arial" w:eastAsia="Calibri" w:hAnsi="Arial" w:cs="Arial"/>
          <w:szCs w:val="28"/>
          <w:shd w:val="clear" w:color="auto" w:fill="FFFFFF"/>
          <w:lang w:val="en-US"/>
        </w:rPr>
        <w:t>legislation of Ukraine</w:t>
      </w:r>
      <w:r w:rsidR="003476F8" w:rsidRPr="00511005">
        <w:rPr>
          <w:rFonts w:ascii="Arial" w:eastAsia="Calibri" w:hAnsi="Arial" w:cs="Arial"/>
          <w:szCs w:val="28"/>
          <w:shd w:val="clear" w:color="auto" w:fill="FFFFFF"/>
          <w:lang w:val="uk-UA"/>
        </w:rPr>
        <w:t>.</w:t>
      </w:r>
    </w:p>
    <w:p w14:paraId="2DB45488" w14:textId="7D207FE7" w:rsidR="003476F8"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shd w:val="clear" w:color="auto" w:fill="FFFFFF"/>
          <w:lang w:val="uk-UA"/>
        </w:rPr>
        <w:t xml:space="preserve">Науковий керівник: </w:t>
      </w:r>
      <w:r w:rsidR="003476F8" w:rsidRPr="00511005">
        <w:rPr>
          <w:rFonts w:ascii="Arial" w:eastAsia="Calibri" w:hAnsi="Arial" w:cs="Arial"/>
          <w:szCs w:val="28"/>
          <w:lang w:val="uk-UA"/>
        </w:rPr>
        <w:t>д. ю. н., професор Чанишева Г.І.</w:t>
      </w:r>
    </w:p>
    <w:p w14:paraId="1BA402EB"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7E10B973"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62A766F0" w14:textId="77777777" w:rsidR="003476F8" w:rsidRPr="00511005" w:rsidRDefault="003476F8"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Тодощак Володимир Олегович</w:t>
      </w:r>
    </w:p>
    <w:p w14:paraId="4B24F042" w14:textId="21FD98E5" w:rsidR="003476F8" w:rsidRPr="00511005" w:rsidRDefault="00536AAB"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 2-го курсу </w:t>
      </w:r>
      <w:r w:rsidR="001B7B25" w:rsidRPr="00511005">
        <w:rPr>
          <w:rFonts w:ascii="Arial" w:eastAsia="Calibri" w:hAnsi="Arial" w:cs="Arial"/>
          <w:szCs w:val="28"/>
          <w:lang w:val="uk-UA"/>
        </w:rPr>
        <w:t>факультету судового та міжнародного права</w:t>
      </w:r>
      <w:r w:rsidR="003476F8" w:rsidRPr="00511005">
        <w:rPr>
          <w:rFonts w:ascii="Arial" w:eastAsia="Times New Roman" w:hAnsi="Arial" w:cs="Arial"/>
          <w:szCs w:val="28"/>
          <w:lang w:val="uk-UA" w:eastAsia="ru-RU"/>
        </w:rPr>
        <w:br/>
      </w:r>
      <w:r w:rsidR="00C66506" w:rsidRPr="00511005">
        <w:rPr>
          <w:rFonts w:ascii="Arial" w:eastAsia="Times New Roman" w:hAnsi="Arial" w:cs="Arial"/>
          <w:szCs w:val="28"/>
          <w:lang w:val="uk-UA" w:eastAsia="ru-RU"/>
        </w:rPr>
        <w:t>Національного університету «Одеська юридична академія»</w:t>
      </w:r>
    </w:p>
    <w:p w14:paraId="63220378" w14:textId="77777777" w:rsidR="003476F8" w:rsidRPr="00511005" w:rsidRDefault="003476F8" w:rsidP="003A292D">
      <w:pPr>
        <w:tabs>
          <w:tab w:val="left" w:pos="851"/>
        </w:tabs>
        <w:spacing w:line="264" w:lineRule="auto"/>
        <w:jc w:val="right"/>
        <w:rPr>
          <w:rFonts w:ascii="Arial" w:eastAsia="Times New Roman" w:hAnsi="Arial" w:cs="Arial"/>
          <w:szCs w:val="28"/>
          <w:lang w:val="uk-UA" w:eastAsia="ru-RU"/>
        </w:rPr>
      </w:pPr>
    </w:p>
    <w:p w14:paraId="2AEBF739" w14:textId="77777777" w:rsidR="003476F8" w:rsidRPr="00511005" w:rsidRDefault="003476F8" w:rsidP="003A292D">
      <w:pPr>
        <w:tabs>
          <w:tab w:val="left" w:pos="851"/>
        </w:tabs>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ГАРАНТІЇ ЗАЙНЯТОСТІ МОЛОДІ: ПРОБЛЕМИ ПРАЦЕВЛАШТУВАННЯ У ПЕРІОД ВОЄННОГО СТАНУ</w:t>
      </w:r>
    </w:p>
    <w:p w14:paraId="39781D60"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Специфіка правового регулювання працевлаштування молоді в умовах воєнного стану характеризується суттєвими змінами у трудовому законодавстві України після запровадження воєнного стану. У цих умовах відбулося прийняття низки нормативно-правових актів, що тимчасово змінюють процедури найму, звільнення та соціального захисту працівників, зокрема Закону України «Про організацію трудових відносин в умовах воєнного стану» [1]. Для молоді ці зміни мають двоякий характер: з одного боку, спрощення певних бюрократичних процедур розширює можливості працевлаштування, з іншого — призупинення деяких соціальних гарантій та посилення прав роботодавців створює додаткові ризики для молодих працівників, які часто не мають достатнього досвіду роботи та потребують додаткового захисту з боку держави. Особливо гостро постає питання збереження квот для працевлаштування молоді та дієвості механізмів захисту від дискримінації за віковою ознакою в умовах кризового ринку праці.</w:t>
      </w:r>
    </w:p>
    <w:p w14:paraId="500BB348"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Основні виклики на ринку праці для молоді в період воєнного стану проявляються через фундаментальні зміни в економічній структурі країни. Військові дії призвели до масового переміщення підприємств, закриття або тимчасового призупинення діяльності багатьох роботодавців, особливо у приватному секторі, що традиційно був основним джерелом робочих місць для молоді. Спостерігається значне скорочення вакансій у сферах послуг, торгівлі, розваг та туризму, де зазвичай працювало багато молодих людей без досвіду роботи. Натомість відбувається переорієнтація економіки на військові потреби та критичну інфраструктуру, що потребує спеціалістів з відповідною кваліфікацією та досвідом.</w:t>
      </w:r>
    </w:p>
    <w:p w14:paraId="6BE9AEF7"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Додатковим викликом для молоді стала масова внутрішня та зовнішня міграція, що посилює конкуренцію на ринку праці у відносно безпечних регіонах України та змушує молодих людей конкурувати за робочі місця з більш досвідченими працівниками. Особливо вразливими виявились молоді спеціалісти, які тільки розпочали трудову діяльність або ще навчаються, адже в умовах економічної нестабільності роботодавці віддають перевагу </w:t>
      </w:r>
      <w:r w:rsidRPr="00511005">
        <w:rPr>
          <w:rFonts w:ascii="Arial" w:eastAsia="Times New Roman" w:hAnsi="Arial" w:cs="Arial"/>
          <w:szCs w:val="28"/>
          <w:lang w:val="uk-UA" w:eastAsia="ru-RU"/>
        </w:rPr>
        <w:lastRenderedPageBreak/>
        <w:t>працівникам з підтвердженим досвідом та кваліфікацією. Окремою проблемою стало поєднання мобілізаційних процесів з необхідністю забезпечення економічної активності молоді, що вимагає специфічних підходів до організації роботи та соціального захисту.</w:t>
      </w:r>
    </w:p>
    <w:p w14:paraId="7EEA2373"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Державні програми підтримки працевлаштування молоді під час війни стали важливим інструментом збереження трудового потенціалу країни в кризових умовах. Уряд України впровадив низку ініціатив для стимулювання ринку праці, зокрема програму компенсації роботодавцям за працевлаштування внутрішньо переміщених осіб, серед яких значна частка — молодь [2]. Важливою стала грантова підтримка підприємництва через програму «єРобота», яка створює можливості для молоді відкрити власну справу або отримати робоче місце на новостворених підприємствах у відносно безпечних регіонах [3]. Особливу увагу приділено перепрофілюванню молоді для задоволення потреб оборонної промисловості та IT-сектору, що залишаються відносно стабільними навіть в умовах війни.</w:t>
      </w:r>
    </w:p>
    <w:p w14:paraId="775EFE5E"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Водночас ефективність цих програм стикається з низкою об'єктивних перешкод, як-от обмеженість бюджетного фінансування через спрямування основних ресурсів на оборонні потреби, нерівномірний регіональний розвиток та доступ до програм підтримки, а також бюрократичні перепони, що ускладнюють отримання допомоги. Молодь з тимчасово окупованих територій та зони бойових дій зіштовхується з додатковими проблемами доступу до державних програм через відсутність документів, неможливість підтвердити освітню кваліфікацію або трудовий досвід. Тому важливим напрямком державної політики стає розробка механізмів спрощеного доступу до програм підтримки для найбільш уразливих категорій молоді та створення умов для дистанційної зайнятості й навчання, що дозволить залучити до активної трудової діяльності більшу кількість молодих громадян незалежно від їхнього місцезнаходження.</w:t>
      </w:r>
    </w:p>
    <w:p w14:paraId="12514547"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Адаптація системи освіти та професійної підготовки до потреб воєнного часу стала критичним фактором забезпечення конкурентоспроможності молоді на трансформованому ринку праці. В умовах військових дій та вимушеної міграції освітні заклади перейшли на змішані та дистанційні форми навчання, що дозволило зберегти доступ до освіти для більшості молодих людей. Водночас виникла необхідність швидкого перегляду освітніх програм для забезпечення відповідності новим економічним реаліям, коли певні професії втратили актуальність, а інші, пов'язані з обороною, відбудовою, соціальною та медичною допомогою, логістикою, інформаційною безпекою, набули підвищеного попиту. Університети та коледжі почали впроваджувати експрес-курси та прискорені програми навчання за цими напрямками, а також розширили можливості </w:t>
      </w:r>
      <w:r w:rsidRPr="00511005">
        <w:rPr>
          <w:rFonts w:ascii="Arial" w:eastAsia="Times New Roman" w:hAnsi="Arial" w:cs="Arial"/>
          <w:szCs w:val="28"/>
          <w:lang w:val="uk-UA" w:eastAsia="ru-RU"/>
        </w:rPr>
        <w:lastRenderedPageBreak/>
        <w:t>дуальної освіти, що поєднує теоретичне навчання з практичною роботою на підприємствах.</w:t>
      </w:r>
    </w:p>
    <w:p w14:paraId="52DB6246" w14:textId="77777777" w:rsidR="003476F8" w:rsidRPr="00511005" w:rsidRDefault="003476F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Важливим аспектом адаптації освітньої системи стала співпраця з бізнесом та міжнародними організаціями для створення цільових програм підготовки та перекваліфікації молоді. З'явилися спеціалізовані програми для молодих внутрішньо переміщених осіб, демобілізованих військовослужбовців та інших категорій молоді, що потребують особливої підтримки. Значно розширилася мережа коротких онлайн-курсів, навчальних програм та тренінгів, спрямованих на розвиток цифрових компетенцій, що дозволяють працювати віддалено на міжнародному ринку праці. Одночасно відбувається перегляд підходів до визнання неформальної освіти та результатів навчання, отриманих поза традиційною освітньою системою, що особливо актуально для молоді, яка не може документально підтвердити свою кваліфікацію через втрату документів або неможливість завершити формальне навчання в умовах війни [4].</w:t>
      </w:r>
    </w:p>
    <w:p w14:paraId="4555FB16" w14:textId="77777777" w:rsidR="003476F8" w:rsidRPr="00511005" w:rsidRDefault="003476F8" w:rsidP="003A292D">
      <w:pPr>
        <w:spacing w:line="264" w:lineRule="auto"/>
        <w:contextualSpacing/>
        <w:rPr>
          <w:rFonts w:ascii="Arial" w:eastAsia="Times New Roman" w:hAnsi="Arial" w:cs="Arial"/>
          <w:b/>
          <w:bCs/>
          <w:i/>
          <w:iCs/>
          <w:szCs w:val="28"/>
          <w:lang w:val="uk-UA" w:eastAsia="ru-RU"/>
        </w:rPr>
      </w:pPr>
      <w:r w:rsidRPr="00511005">
        <w:rPr>
          <w:rFonts w:ascii="Arial" w:eastAsia="Times New Roman" w:hAnsi="Arial" w:cs="Arial"/>
          <w:szCs w:val="28"/>
          <w:lang w:val="uk-UA" w:eastAsia="ru-RU"/>
        </w:rPr>
        <w:t>Шляхи вдосконалення системи гарантій зайнятості молоді в умовах воєнного стану мають базуватися на комплексному підході, що поєднує законодавчі зміни, економічні стимули та соціальні ініціативи. Першочерговими кроками мають стати: розробка спеціальної програми першого робочого місця з податковими пільгами для роботодавців; створення молодіжних хабів для сприяння самозайнятості та стартапам; запровадження системи доступних мікрокредитів для молодіжного підприємництва; посилення захисту трудових прав молоді через механізми дистанційного контролю за дотриманням трудового законодавства; модернізація системи професійної орієнтації з урахуванням воєнних реалій та повоєнних перспектив; розробка механізмів інтеграції демобілізованої молоді до ринку праці; запровадження програм підтримки психічного здоров'я молодих працівників у стресових умовах; налагодження міжнародної співпраці для створення транскордонних програм зайнятості та обміну досвідом з країнами, що мали подібний досвід відновлення ринку праці після військових конфліктів.</w:t>
      </w:r>
      <w:r w:rsidRPr="00511005">
        <w:rPr>
          <w:rFonts w:ascii="Arial" w:eastAsia="Times New Roman" w:hAnsi="Arial" w:cs="Arial"/>
          <w:b/>
          <w:bCs/>
          <w:i/>
          <w:iCs/>
          <w:szCs w:val="28"/>
          <w:lang w:val="uk-UA" w:eastAsia="ru-RU"/>
        </w:rPr>
        <w:t xml:space="preserve"> </w:t>
      </w:r>
    </w:p>
    <w:p w14:paraId="0E8E44CD" w14:textId="77777777" w:rsidR="003476F8" w:rsidRPr="00511005" w:rsidRDefault="003476F8" w:rsidP="003A292D">
      <w:pPr>
        <w:spacing w:line="264" w:lineRule="auto"/>
        <w:contextualSpacing/>
        <w:jc w:val="center"/>
        <w:rPr>
          <w:rFonts w:ascii="Arial" w:eastAsia="Times New Roman" w:hAnsi="Arial" w:cs="Arial"/>
          <w:b/>
          <w:bCs/>
          <w:i/>
          <w:iCs/>
          <w:szCs w:val="28"/>
          <w:lang w:val="uk-UA" w:eastAsia="ru-RU"/>
        </w:rPr>
      </w:pPr>
    </w:p>
    <w:p w14:paraId="02F21CBB" w14:textId="38AAE1CF" w:rsidR="003476F8" w:rsidRPr="00511005" w:rsidRDefault="007B2628" w:rsidP="007B2628">
      <w:pPr>
        <w:spacing w:line="264" w:lineRule="auto"/>
        <w:contextualSpacing/>
        <w:jc w:val="center"/>
        <w:rPr>
          <w:rFonts w:ascii="Arial" w:eastAsia="Times New Roman" w:hAnsi="Arial" w:cs="Arial"/>
          <w:szCs w:val="28"/>
          <w:lang w:val="uk-UA" w:eastAsia="ru-RU"/>
        </w:rPr>
      </w:pPr>
      <w:r w:rsidRPr="00511005">
        <w:rPr>
          <w:rFonts w:ascii="Arial" w:eastAsia="Times New Roman" w:hAnsi="Arial" w:cs="Arial"/>
          <w:b/>
          <w:bCs/>
          <w:iCs/>
          <w:szCs w:val="28"/>
          <w:lang w:val="uk-UA" w:eastAsia="ru-RU"/>
        </w:rPr>
        <w:t>Список використаних джерел</w:t>
      </w:r>
    </w:p>
    <w:p w14:paraId="1D44E483" w14:textId="77777777" w:rsidR="003476F8" w:rsidRPr="00511005" w:rsidRDefault="003476F8" w:rsidP="003F6A5D">
      <w:pPr>
        <w:numPr>
          <w:ilvl w:val="0"/>
          <w:numId w:val="821"/>
        </w:numPr>
        <w:spacing w:line="264" w:lineRule="auto"/>
        <w:ind w:left="0" w:hanging="567"/>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Про організацію трудових відносин в умовах воєнного стану: Закон України від 15.03.2022 р. № 2136-IX: станом на 11.01.2024 р. URL: https://zakon.rada.gov.ua/laws/show/2136-20#Text (дата звернення:10.04.2025).</w:t>
      </w:r>
    </w:p>
    <w:p w14:paraId="76FF405E" w14:textId="77777777" w:rsidR="003476F8" w:rsidRPr="00511005" w:rsidRDefault="003476F8" w:rsidP="003F6A5D">
      <w:pPr>
        <w:numPr>
          <w:ilvl w:val="0"/>
          <w:numId w:val="821"/>
        </w:numPr>
        <w:spacing w:line="264" w:lineRule="auto"/>
        <w:ind w:left="0" w:hanging="567"/>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Про деякі питання підтримки працевлаштування внутрішньо переміщених осіб: Постанова Кабінету Міністрів України від 20.03.2022 р. № 331. URL: https://zakon.rada.gov.ua/laws/show/331-2022-п#Text (дата звернення:10.04.2025).</w:t>
      </w:r>
    </w:p>
    <w:p w14:paraId="395551A2" w14:textId="77777777" w:rsidR="003476F8" w:rsidRPr="00511005" w:rsidRDefault="003476F8" w:rsidP="003F6A5D">
      <w:pPr>
        <w:numPr>
          <w:ilvl w:val="0"/>
          <w:numId w:val="821"/>
        </w:numPr>
        <w:spacing w:line="264" w:lineRule="auto"/>
        <w:ind w:left="0" w:hanging="567"/>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Про затвердження Порядку надання грантів на створення або розвиток власного бізнесу: Постанова Кабінету Міністрів України від 21.06.2022 р. № 738. URL: https://zakon.rada.gov.ua/laws/show/738-2022-п#Text (дата звернення: 10.04.2025).</w:t>
      </w:r>
    </w:p>
    <w:p w14:paraId="19297484" w14:textId="77777777" w:rsidR="003476F8" w:rsidRPr="00511005" w:rsidRDefault="003476F8" w:rsidP="003F6A5D">
      <w:pPr>
        <w:numPr>
          <w:ilvl w:val="0"/>
          <w:numId w:val="821"/>
        </w:numPr>
        <w:spacing w:line="264" w:lineRule="auto"/>
        <w:ind w:left="0" w:hanging="567"/>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Державна служба зайнятості України. Програми підтримки молоді на ринку праці в умовах воєнного стану. URL: https://www.dcz.gov.ua/storinka/molod (дата звернення: 10.04.2025).</w:t>
      </w:r>
    </w:p>
    <w:p w14:paraId="6667BC6D" w14:textId="77777777" w:rsidR="003476F8" w:rsidRPr="00511005" w:rsidRDefault="003476F8" w:rsidP="003A292D">
      <w:pPr>
        <w:tabs>
          <w:tab w:val="left" w:pos="851"/>
          <w:tab w:val="left" w:pos="993"/>
        </w:tabs>
        <w:spacing w:line="264" w:lineRule="auto"/>
        <w:contextualSpacing/>
        <w:rPr>
          <w:rFonts w:ascii="Arial" w:eastAsia="Times New Roman" w:hAnsi="Arial" w:cs="Arial"/>
          <w:szCs w:val="28"/>
          <w:lang w:val="uk-UA" w:eastAsia="ru-RU"/>
        </w:rPr>
      </w:pPr>
    </w:p>
    <w:p w14:paraId="34B47E96" w14:textId="66F54208" w:rsidR="003476F8"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3476F8" w:rsidRPr="00511005">
        <w:rPr>
          <w:rFonts w:ascii="Arial" w:eastAsia="Times New Roman" w:hAnsi="Arial" w:cs="Arial"/>
          <w:szCs w:val="28"/>
          <w:lang w:val="uk-UA" w:eastAsia="ru-RU"/>
        </w:rPr>
        <w:t>працевлаштування молоді, воєнний стан, ринок праці, трудові права, молодіжна політика, державна підтримка, внутрішньо переміщені особи, освітня адаптація, зайнятість, професійна орієнтація, дистанційна робота, економічна мобілізація, перше робоче місце, молодіжне підприємництво, соціальні гарантії.</w:t>
      </w:r>
    </w:p>
    <w:p w14:paraId="0B6903EE" w14:textId="68EA3DB0" w:rsidR="003476F8"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3476F8" w:rsidRPr="00511005">
        <w:rPr>
          <w:rFonts w:ascii="Arial" w:eastAsia="Times New Roman" w:hAnsi="Arial" w:cs="Arial"/>
          <w:szCs w:val="28"/>
          <w:lang w:val="uk-UA" w:eastAsia="ru-RU"/>
        </w:rPr>
        <w:t>youth employment, martial law, labour market, labour rights, youth policy, state support, internally displaced persons, educational adaptation, employment, career guidance, remote work, economic mobilization, first job, youth entrepreneurship, social guarantees.</w:t>
      </w:r>
    </w:p>
    <w:p w14:paraId="56C88738" w14:textId="5C9B9333" w:rsidR="003476F8" w:rsidRPr="00511005" w:rsidRDefault="007B2628" w:rsidP="003A292D">
      <w:pPr>
        <w:tabs>
          <w:tab w:val="left" w:pos="7428"/>
        </w:tab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Науковий керівник: </w:t>
      </w:r>
      <w:r w:rsidR="003476F8" w:rsidRPr="00511005">
        <w:rPr>
          <w:rFonts w:ascii="Arial" w:eastAsia="Times New Roman" w:hAnsi="Arial" w:cs="Arial"/>
          <w:i/>
          <w:szCs w:val="28"/>
          <w:lang w:val="uk-UA" w:eastAsia="ru-RU"/>
        </w:rPr>
        <w:t xml:space="preserve">к.ю.н. доцент Пожарова О.В. </w:t>
      </w:r>
      <w:r w:rsidR="003476F8" w:rsidRPr="00511005">
        <w:rPr>
          <w:rFonts w:ascii="Arial" w:eastAsia="Times New Roman" w:hAnsi="Arial" w:cs="Arial"/>
          <w:i/>
          <w:szCs w:val="28"/>
          <w:lang w:val="uk-UA" w:eastAsia="ru-RU"/>
        </w:rPr>
        <w:tab/>
      </w:r>
    </w:p>
    <w:p w14:paraId="09460449"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5E1F1825"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69EE230C" w14:textId="77777777" w:rsidR="003476F8" w:rsidRPr="00511005" w:rsidRDefault="003476F8" w:rsidP="003A292D">
      <w:pPr>
        <w:spacing w:line="264" w:lineRule="auto"/>
        <w:ind w:firstLine="0"/>
        <w:contextualSpacing/>
        <w:jc w:val="center"/>
        <w:rPr>
          <w:rFonts w:ascii="Arial" w:eastAsia="Times New Roman" w:hAnsi="Arial" w:cs="Arial"/>
          <w:b/>
          <w:bCs/>
          <w:i/>
          <w:iCs/>
          <w:spacing w:val="-10"/>
          <w:kern w:val="28"/>
          <w:szCs w:val="28"/>
          <w:lang w:val="uk-UA"/>
        </w:rPr>
      </w:pPr>
      <w:r w:rsidRPr="00511005">
        <w:rPr>
          <w:rFonts w:ascii="Arial" w:eastAsia="Times New Roman" w:hAnsi="Arial" w:cs="Arial"/>
          <w:b/>
          <w:bCs/>
          <w:i/>
          <w:iCs/>
          <w:spacing w:val="-10"/>
          <w:kern w:val="28"/>
          <w:szCs w:val="28"/>
          <w:lang w:val="uk-UA"/>
        </w:rPr>
        <w:t xml:space="preserve">Тотін </w:t>
      </w:r>
      <w:r w:rsidRPr="00511005">
        <w:rPr>
          <w:rFonts w:ascii="Arial" w:eastAsia="Times New Roman" w:hAnsi="Arial" w:cs="Arial"/>
          <w:b/>
          <w:bCs/>
          <w:i/>
          <w:iCs/>
          <w:spacing w:val="-10"/>
          <w:kern w:val="28"/>
          <w:szCs w:val="28"/>
        </w:rPr>
        <w:t xml:space="preserve">Валерій </w:t>
      </w:r>
      <w:r w:rsidRPr="00511005">
        <w:rPr>
          <w:rFonts w:ascii="Arial" w:eastAsia="Times New Roman" w:hAnsi="Arial" w:cs="Arial"/>
          <w:b/>
          <w:bCs/>
          <w:i/>
          <w:iCs/>
          <w:spacing w:val="-10"/>
          <w:kern w:val="28"/>
          <w:szCs w:val="28"/>
          <w:lang w:val="uk-UA"/>
        </w:rPr>
        <w:t>Олександрович</w:t>
      </w:r>
    </w:p>
    <w:p w14:paraId="6FC37ADE" w14:textId="44E4AF7C" w:rsidR="003476F8" w:rsidRPr="00511005" w:rsidRDefault="00536AAB" w:rsidP="003A292D">
      <w:pPr>
        <w:spacing w:line="264" w:lineRule="auto"/>
        <w:ind w:firstLine="0"/>
        <w:jc w:val="center"/>
        <w:rPr>
          <w:rFonts w:ascii="Arial" w:eastAsia="Times New Roman" w:hAnsi="Arial" w:cs="Arial"/>
          <w:iCs/>
          <w:szCs w:val="28"/>
          <w:lang w:val="uk-UA"/>
        </w:rPr>
      </w:pPr>
      <w:r w:rsidRPr="00511005">
        <w:rPr>
          <w:rFonts w:ascii="Arial" w:eastAsia="Times New Roman" w:hAnsi="Arial" w:cs="Arial"/>
          <w:iCs/>
          <w:szCs w:val="28"/>
          <w:lang w:val="uk-UA"/>
        </w:rPr>
        <w:t>студент 2-го курсу факультету адвокатури та антикорупційної діяльності</w:t>
      </w:r>
    </w:p>
    <w:p w14:paraId="394D8BFD" w14:textId="68E3C591" w:rsidR="003476F8" w:rsidRPr="00511005" w:rsidRDefault="007B2628" w:rsidP="003A292D">
      <w:pPr>
        <w:spacing w:line="264" w:lineRule="auto"/>
        <w:ind w:firstLine="0"/>
        <w:jc w:val="center"/>
        <w:rPr>
          <w:rFonts w:ascii="Arial" w:eastAsia="Times New Roman" w:hAnsi="Arial" w:cs="Arial"/>
          <w:bCs/>
          <w:iCs/>
          <w:szCs w:val="28"/>
          <w:lang w:val="uk-UA"/>
        </w:rPr>
      </w:pPr>
      <w:r w:rsidRPr="00511005">
        <w:rPr>
          <w:rFonts w:ascii="Arial" w:eastAsia="Times New Roman" w:hAnsi="Arial" w:cs="Arial"/>
          <w:bCs/>
          <w:iCs/>
          <w:szCs w:val="28"/>
          <w:lang w:val="uk-UA"/>
        </w:rPr>
        <w:t>Національного університету «Одеська юридична академія»</w:t>
      </w:r>
    </w:p>
    <w:p w14:paraId="6F002DC4" w14:textId="77777777" w:rsidR="003476F8" w:rsidRPr="00511005" w:rsidRDefault="003476F8" w:rsidP="003A292D">
      <w:pPr>
        <w:spacing w:line="264" w:lineRule="auto"/>
        <w:ind w:firstLine="0"/>
        <w:jc w:val="center"/>
        <w:rPr>
          <w:rFonts w:ascii="Arial" w:eastAsia="Times New Roman" w:hAnsi="Arial" w:cs="Arial"/>
          <w:iCs/>
          <w:szCs w:val="28"/>
          <w:lang w:val="uk-UA"/>
        </w:rPr>
      </w:pPr>
    </w:p>
    <w:p w14:paraId="74E8B5A1" w14:textId="77777777" w:rsidR="003476F8" w:rsidRPr="00511005" w:rsidRDefault="003476F8"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ТРУДОВІ ПРАВА ВІЙСЬКОВОСЛУЖБОВЦІВ ТА МОБІЛІЗОВАНИХ ОСІБ</w:t>
      </w:r>
    </w:p>
    <w:p w14:paraId="1E229065"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Повномасштабне вторгнення, розпочате Російською Федерацією проти України у 2022 році, спричинило безпрецедентне залучення людських ресурсів для оборони державного суверенітету. Сотні тисяч працівників були вимушені залишити свої робочі місця та приєднатися до лав Збройних Сил України, добровольчих формувань, сил територіальної оборони. У зв’язку з цим виникла нагальна потреба у надійному правовому механізмі, який би гарантував збереження їх трудових прав. Крім того, питання трудових прав військовослужбовців та мобілізованих осіб безпосередньо пов’язане з економічною стабільністю, демобілізацією та процесом післявоєнної адаптації суспільства в цілому.</w:t>
      </w:r>
    </w:p>
    <w:p w14:paraId="2F0A31C8" w14:textId="77777777" w:rsidR="003476F8" w:rsidRPr="00511005" w:rsidRDefault="003476F8" w:rsidP="003A292D">
      <w:pPr>
        <w:spacing w:line="264" w:lineRule="auto"/>
        <w:rPr>
          <w:rFonts w:ascii="Arial" w:eastAsia="Times New Roman" w:hAnsi="Arial" w:cs="Arial"/>
          <w:bCs/>
          <w:iCs/>
          <w:szCs w:val="28"/>
          <w:lang w:val="uk-UA"/>
        </w:rPr>
      </w:pPr>
      <w:r w:rsidRPr="00511005">
        <w:rPr>
          <w:rFonts w:ascii="Arial" w:eastAsia="Times New Roman" w:hAnsi="Arial" w:cs="Arial"/>
          <w:bCs/>
          <w:iCs/>
          <w:szCs w:val="28"/>
          <w:lang w:val="uk-UA"/>
        </w:rPr>
        <w:t xml:space="preserve">Однією з ключових трудових гарантій для мобілізованих працівників в Україні є збереження місця роботи на період проходження військової служби. Це право закріплене у Кодексі законів про працю України: «за працівниками, які були призвані на військову службу під час </w:t>
      </w:r>
      <w:r w:rsidRPr="00511005">
        <w:rPr>
          <w:rFonts w:ascii="Arial" w:eastAsia="Times New Roman" w:hAnsi="Arial" w:cs="Arial"/>
          <w:szCs w:val="28"/>
          <w:lang w:val="uk-UA"/>
        </w:rPr>
        <w:t>мобілізації</w:t>
      </w:r>
      <w:r w:rsidRPr="00511005">
        <w:rPr>
          <w:rFonts w:ascii="Arial" w:eastAsia="Times New Roman" w:hAnsi="Arial" w:cs="Arial"/>
          <w:bCs/>
          <w:iCs/>
          <w:szCs w:val="28"/>
          <w:lang w:val="uk-UA"/>
        </w:rPr>
        <w:t xml:space="preserve">, на особливий період або добровільно уклали контракт, зберігається місце роботи (посада) на весь період служби» [1]. </w:t>
      </w:r>
    </w:p>
    <w:p w14:paraId="35249D40"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lastRenderedPageBreak/>
        <w:t xml:space="preserve">Потрібно зазначити, що до середини 2022 року трудове законодавство також передбачало </w:t>
      </w:r>
      <w:r w:rsidRPr="00511005">
        <w:rPr>
          <w:rFonts w:ascii="Arial" w:eastAsia="Times New Roman" w:hAnsi="Arial" w:cs="Arial"/>
          <w:bCs/>
          <w:szCs w:val="28"/>
          <w:lang w:val="uk-UA"/>
        </w:rPr>
        <w:t>збереження середнього заробітку</w:t>
      </w:r>
      <w:r w:rsidRPr="00511005">
        <w:rPr>
          <w:rFonts w:ascii="Arial" w:eastAsia="Times New Roman" w:hAnsi="Arial" w:cs="Arial"/>
          <w:szCs w:val="28"/>
          <w:lang w:val="uk-UA"/>
        </w:rPr>
        <w:t xml:space="preserve"> за такими працівниками. Проте, відповідно до змін, які були внесені до КЗпП, норму про обов’язкове збереження заробітної плати було </w:t>
      </w:r>
      <w:r w:rsidRPr="00511005">
        <w:rPr>
          <w:rFonts w:ascii="Arial" w:eastAsia="Times New Roman" w:hAnsi="Arial" w:cs="Arial"/>
          <w:bCs/>
          <w:szCs w:val="28"/>
          <w:lang w:val="uk-UA"/>
        </w:rPr>
        <w:t>виключено</w:t>
      </w:r>
      <w:r w:rsidRPr="00511005">
        <w:rPr>
          <w:rFonts w:ascii="Arial" w:eastAsia="Times New Roman" w:hAnsi="Arial" w:cs="Arial"/>
          <w:szCs w:val="28"/>
          <w:lang w:val="uk-UA"/>
        </w:rPr>
        <w:t xml:space="preserve">. Відтоді роботодавець </w:t>
      </w:r>
      <w:r w:rsidRPr="00511005">
        <w:rPr>
          <w:rFonts w:ascii="Arial" w:eastAsia="Times New Roman" w:hAnsi="Arial" w:cs="Arial"/>
          <w:bCs/>
          <w:szCs w:val="28"/>
          <w:lang w:val="uk-UA"/>
        </w:rPr>
        <w:t>не зобов’язаний виплачувати середній заробіток</w:t>
      </w:r>
      <w:r w:rsidRPr="00511005">
        <w:rPr>
          <w:rFonts w:ascii="Arial" w:eastAsia="Times New Roman" w:hAnsi="Arial" w:cs="Arial"/>
          <w:szCs w:val="28"/>
          <w:lang w:val="uk-UA"/>
        </w:rPr>
        <w:t>, якщо інше не передбачено:</w:t>
      </w:r>
    </w:p>
    <w:p w14:paraId="58B160B0" w14:textId="77777777" w:rsidR="003476F8" w:rsidRPr="00511005" w:rsidRDefault="003476F8" w:rsidP="003F6A5D">
      <w:pPr>
        <w:numPr>
          <w:ilvl w:val="0"/>
          <w:numId w:val="465"/>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колективним договором;</w:t>
      </w:r>
    </w:p>
    <w:p w14:paraId="27D721DF" w14:textId="77777777" w:rsidR="003476F8" w:rsidRPr="00511005" w:rsidRDefault="003476F8" w:rsidP="003F6A5D">
      <w:pPr>
        <w:numPr>
          <w:ilvl w:val="0"/>
          <w:numId w:val="465"/>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індивідуальним трудовим договором;</w:t>
      </w:r>
    </w:p>
    <w:p w14:paraId="033B2B00" w14:textId="77777777" w:rsidR="003476F8" w:rsidRPr="00511005" w:rsidRDefault="003476F8" w:rsidP="003F6A5D">
      <w:pPr>
        <w:numPr>
          <w:ilvl w:val="0"/>
          <w:numId w:val="465"/>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внутрішніми нормативними актами підприємства;</w:t>
      </w:r>
    </w:p>
    <w:p w14:paraId="0FED6151" w14:textId="77777777" w:rsidR="003476F8" w:rsidRPr="00511005" w:rsidRDefault="003476F8" w:rsidP="003F6A5D">
      <w:pPr>
        <w:numPr>
          <w:ilvl w:val="0"/>
          <w:numId w:val="465"/>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рішенням керівника за власною ініціативою [1].</w:t>
      </w:r>
    </w:p>
    <w:p w14:paraId="20BB0A64"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Таким чином, законодавство забезпечує </w:t>
      </w:r>
      <w:r w:rsidRPr="00511005">
        <w:rPr>
          <w:rFonts w:ascii="Arial" w:eastAsia="Times New Roman" w:hAnsi="Arial" w:cs="Arial"/>
          <w:bCs/>
          <w:szCs w:val="28"/>
          <w:lang w:val="uk-UA"/>
        </w:rPr>
        <w:t>гарантію щодо збереження посади</w:t>
      </w:r>
      <w:r w:rsidRPr="00511005">
        <w:rPr>
          <w:rFonts w:ascii="Arial" w:eastAsia="Times New Roman" w:hAnsi="Arial" w:cs="Arial"/>
          <w:szCs w:val="28"/>
          <w:lang w:val="uk-UA"/>
        </w:rPr>
        <w:t xml:space="preserve">, але </w:t>
      </w:r>
      <w:r w:rsidRPr="00511005">
        <w:rPr>
          <w:rFonts w:ascii="Arial" w:eastAsia="Times New Roman" w:hAnsi="Arial" w:cs="Arial"/>
          <w:bCs/>
          <w:szCs w:val="28"/>
          <w:lang w:val="uk-UA"/>
        </w:rPr>
        <w:t>фінансові гарантії залежать від волі роботодавця або додаткових нормативних актів</w:t>
      </w:r>
    </w:p>
    <w:p w14:paraId="428A5E04" w14:textId="77777777" w:rsidR="003476F8" w:rsidRPr="00511005" w:rsidRDefault="003476F8" w:rsidP="003A292D">
      <w:pPr>
        <w:spacing w:line="264" w:lineRule="auto"/>
        <w:rPr>
          <w:rFonts w:ascii="Arial" w:eastAsia="Times New Roman" w:hAnsi="Arial" w:cs="Arial"/>
          <w:szCs w:val="28"/>
        </w:rPr>
      </w:pPr>
      <w:r w:rsidRPr="00511005">
        <w:rPr>
          <w:rFonts w:ascii="Arial" w:eastAsia="Times New Roman" w:hAnsi="Arial" w:cs="Arial"/>
          <w:szCs w:val="28"/>
          <w:lang w:val="uk-UA"/>
        </w:rPr>
        <w:t xml:space="preserve">Призупинення трудового договору мобілізованих працівників або військовослужбовців є особливою формою збереження трудових відносин, яка запроваджується в умовах воєнного стану. Відповідно до чинного законодавства України, зокрема Кодексу законів про працю та Закону «Про організацію трудових відносин в умовах воєнного стану», трудовий договір не розривається, а лише тимчасово зупиняється, якщо працівника призвано на військову службу під час мобілізації або за контрактом. У цьому випадку працівник не звільняється, а перебуває у статусі тимчасово відсутнього через виконання конституційного обов’язку — захисту Батьківщини. [1, </w:t>
      </w:r>
      <w:r w:rsidRPr="00511005">
        <w:rPr>
          <w:rFonts w:ascii="Arial" w:eastAsia="Times New Roman" w:hAnsi="Arial" w:cs="Arial"/>
          <w:szCs w:val="28"/>
        </w:rPr>
        <w:t>2</w:t>
      </w:r>
      <w:r w:rsidRPr="00511005">
        <w:rPr>
          <w:rFonts w:ascii="Arial" w:eastAsia="Times New Roman" w:hAnsi="Arial" w:cs="Arial"/>
          <w:szCs w:val="28"/>
          <w:lang w:val="uk-UA"/>
        </w:rPr>
        <w:t>]</w:t>
      </w:r>
      <w:r w:rsidRPr="00511005">
        <w:rPr>
          <w:rFonts w:ascii="Arial" w:eastAsia="Times New Roman" w:hAnsi="Arial" w:cs="Arial"/>
          <w:szCs w:val="28"/>
        </w:rPr>
        <w:t xml:space="preserve">. </w:t>
      </w:r>
      <w:r w:rsidRPr="00511005">
        <w:rPr>
          <w:rFonts w:ascii="Arial" w:eastAsia="Times New Roman" w:hAnsi="Arial" w:cs="Arial"/>
          <w:szCs w:val="28"/>
          <w:lang w:val="uk-UA"/>
        </w:rPr>
        <w:t>Призупинення трудового договору означає, що на період служби працівник не виконує свої посадові обов’язки, а роботодавець не виплачує заробітну плату. Водночас за працівником зберігається його посада та місце роботи, що гарантує йому право на повернення після завершення служби. Це важливо як для підтримки соціальної стабільності, так і для забезпечення гідного ставлення до осіб, які проходять військову службу.</w:t>
      </w:r>
    </w:p>
    <w:p w14:paraId="5145A86D"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Формальною підставою для призупинення трудового договору є офіційне підтвердження мобілізації [3] або призову працівника: як правило, копія наказу про зарахування до складу Збройних Сил України або іншого військового формування. Після отримання такого документа роботодавець видає відповідний наказ, який фіксує призупинення трудового договору. У період мобілізації працівник виключається зі штатного графіка, але залишається працівником підприємства, організації чи установи. Після демобілізації або завершення військової служби працівник має право відновити трудові відносини з попереднім роботодавцем на умовах, які діяли до призупинення. Варто зауважити, що закон також передбачає заборону на звільнення таких працівників з ініціативи роботодавця під час їхньої служби.</w:t>
      </w:r>
    </w:p>
    <w:p w14:paraId="785B49CA"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Поновлення працівника на роботі після проходження військової служби — це важливий етап реалізації його трудових прав, який гарантується законодавством України. Після завершення строкової служби, </w:t>
      </w:r>
      <w:r w:rsidRPr="00511005">
        <w:rPr>
          <w:rFonts w:ascii="Arial" w:eastAsia="Times New Roman" w:hAnsi="Arial" w:cs="Arial"/>
          <w:szCs w:val="28"/>
          <w:lang w:val="uk-UA"/>
        </w:rPr>
        <w:lastRenderedPageBreak/>
        <w:t>мобілізації чи контрактної служби працівник має право повернутися на своє попереднє місце роботи або займану посаду. Процес поновлення починається з того, що працівник повідомляє роботодавця про завершення служби. Зазвичай для цього подається заява та надається документальне підтвердження: наприклад, копія наказу про звільнення з військової служби або довідка з військової частини. На основі цих документів роботодавець видає наказ про поновлення працівника на роботі. Відновлення має бути здійснене з першого дня, наступного за днем подання заяви або іншої дати, узгодженої з працівником.</w:t>
      </w:r>
    </w:p>
    <w:p w14:paraId="612AD5AC"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При поновленні працівник повертається на підприємство, установу, організацію на тих саме умовах. Якщо за час його відсутності відбулися структурні зміни, ліквідація підрозділів або зміна організації праці, роботодавець зобов’язаний запропонувати працівнику іншу рівноцінну посаду, яка відповідає його кваліфікації. У випадках, коли роботодавець відмовляється поновлювати працівника без законних підстав, він порушує трудове законодавство, і працівник має право звернутися до суду за захистом своїх прав. </w:t>
      </w:r>
    </w:p>
    <w:p w14:paraId="43541B19"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Також потрібно зазначити про соціальні гарантії військовослужбовців і мобілізованих працівників в Україні. Законодавство передбачає для них комплекс гарантій, які зберігаються або надаються на період служби, а також після її завершення, з метою забезпечення соціальної справедливості, підтримки сімей та успішної інтеграції після демобілізації. Серед них виділяють, наприклад, переважне право на залишення на роботі при скороченні штату, знижки на оплату комунальних послуг, безоплатне медичне обслуговування в державних закладах охорони здоров’я, а також пільги для членів їх сімей. Учасники бойових дій мають право на одноразову грошову допомогу, першочергове забезпечення житлом, пільги при вступі до закладів освіти, а також на додаткові відпустки.</w:t>
      </w:r>
    </w:p>
    <w:p w14:paraId="0CA07257" w14:textId="77777777"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Соціальні гарантії охоплюють не лише період служби, а й час після повернення. Зокрема, передбачено сприяння у працевлаштуванні через центри зайнятості, доступ до програм професійної адаптації та перекваліфікації, можливість отримання мікрогрантів на відкриття власної справи. Для військовослужбовців діють спеціальні державні програми підтримки [4], такі як «єРобота» чи реабілітаційні ініціативи.</w:t>
      </w:r>
    </w:p>
    <w:p w14:paraId="024F286F" w14:textId="0E21534D" w:rsidR="003476F8" w:rsidRPr="00511005" w:rsidRDefault="003476F8"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Отже, в умовах воєнного стану українське законодавство надає широкий спектр правових гарантій для осіб, які проходять військову службу або були мобілізовані. Призупинення трудового договору не є звільненням, воно захищає працівника від втрати місця роботи, забезпечує право на повернення після служби й гарантує збереження трудового стажу. Поновлення на роботі після демобілізації є обов’язком роботодавця, а відмова у цьому випадку вважається порушенням трудових прав. Крім того, військовослужбовці й мобілізовані особи отримують додаткові пільги: право </w:t>
      </w:r>
      <w:r w:rsidRPr="00511005">
        <w:rPr>
          <w:rFonts w:ascii="Arial" w:eastAsia="Times New Roman" w:hAnsi="Arial" w:cs="Arial"/>
          <w:szCs w:val="28"/>
          <w:lang w:val="uk-UA"/>
        </w:rPr>
        <w:lastRenderedPageBreak/>
        <w:t>на медичне обслуговування, пільгове житло, знижки на комунальні послуги, пріоритетне працевлаштування, а також підтримку після служби — як через державні програми, так і через місцеві ініціативи. Захист трудових і соціальних прав військових є також і проявом суспільної подяки та поваги до тих, хто ризикує власним життям заради безпеки держави. Забезпечення цих прав є основою соціальної стабільності, справедливості та повернення захисників до мирного життя після виконання свого обов’язку перед Україною.</w:t>
      </w:r>
    </w:p>
    <w:p w14:paraId="2F856712" w14:textId="2BCFFCED" w:rsidR="001045DE" w:rsidRPr="00511005" w:rsidRDefault="001045DE" w:rsidP="003A292D">
      <w:pPr>
        <w:spacing w:line="264" w:lineRule="auto"/>
        <w:rPr>
          <w:rFonts w:ascii="Arial" w:eastAsia="Times New Roman" w:hAnsi="Arial" w:cs="Arial"/>
          <w:szCs w:val="28"/>
          <w:lang w:val="uk-UA"/>
        </w:rPr>
      </w:pPr>
    </w:p>
    <w:p w14:paraId="6526CC57" w14:textId="017727C9" w:rsidR="001045DE" w:rsidRPr="00511005" w:rsidRDefault="007B2628" w:rsidP="007B2628">
      <w:pPr>
        <w:spacing w:line="264" w:lineRule="auto"/>
        <w:jc w:val="center"/>
        <w:rPr>
          <w:rFonts w:ascii="Arial" w:eastAsia="Times New Roman" w:hAnsi="Arial" w:cs="Arial"/>
          <w:szCs w:val="28"/>
          <w:lang w:val="uk-UA"/>
        </w:rPr>
      </w:pPr>
      <w:r w:rsidRPr="00511005">
        <w:rPr>
          <w:rFonts w:ascii="Arial" w:eastAsia="Times New Roman" w:hAnsi="Arial" w:cs="Arial"/>
          <w:b/>
          <w:bCs/>
          <w:szCs w:val="28"/>
          <w:lang w:val="uk-UA" w:eastAsia="ru-RU"/>
        </w:rPr>
        <w:t>Список використаних джерел</w:t>
      </w:r>
    </w:p>
    <w:p w14:paraId="68732F65" w14:textId="169523E7" w:rsidR="003476F8" w:rsidRPr="00511005" w:rsidRDefault="003476F8" w:rsidP="003F6A5D">
      <w:pPr>
        <w:widowControl w:val="0"/>
        <w:numPr>
          <w:ilvl w:val="0"/>
          <w:numId w:val="464"/>
        </w:numPr>
        <w:pBdr>
          <w:top w:val="nil"/>
          <w:left w:val="nil"/>
          <w:bottom w:val="nil"/>
          <w:right w:val="nil"/>
          <w:between w:val="nil"/>
        </w:pBdr>
        <w:tabs>
          <w:tab w:val="left" w:pos="287"/>
        </w:tabs>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Кодекс законів про працю: Закон України від 10.11. 1971 року.</w:t>
      </w:r>
      <w:r w:rsidR="007B2628" w:rsidRPr="00511005">
        <w:rPr>
          <w:rFonts w:ascii="Arial" w:eastAsia="Times New Roman" w:hAnsi="Arial" w:cs="Arial"/>
          <w:szCs w:val="28"/>
          <w:lang w:val="uk-UA"/>
        </w:rPr>
        <w:t xml:space="preserve"> </w:t>
      </w:r>
      <w:r w:rsidRPr="00511005">
        <w:rPr>
          <w:rFonts w:ascii="Arial" w:eastAsia="Times New Roman" w:hAnsi="Arial" w:cs="Arial"/>
          <w:i/>
          <w:szCs w:val="28"/>
          <w:lang w:val="uk-UA"/>
        </w:rPr>
        <w:t>Відомості Верховної Ради УРСР</w:t>
      </w:r>
      <w:r w:rsidRPr="00511005">
        <w:rPr>
          <w:rFonts w:ascii="Arial" w:eastAsia="Times New Roman" w:hAnsi="Arial" w:cs="Arial"/>
          <w:szCs w:val="28"/>
          <w:lang w:val="uk-UA"/>
        </w:rPr>
        <w:t>. 1971. № 50. Ст. 375.</w:t>
      </w:r>
    </w:p>
    <w:p w14:paraId="25EE21AA" w14:textId="77777777" w:rsidR="003476F8" w:rsidRPr="00511005" w:rsidRDefault="003476F8" w:rsidP="003F6A5D">
      <w:pPr>
        <w:numPr>
          <w:ilvl w:val="0"/>
          <w:numId w:val="464"/>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 xml:space="preserve">Про організацію трудових відносин в умовах воєнного стану: Закон України від 15.03.2022 року № </w:t>
      </w:r>
      <w:r w:rsidRPr="00511005">
        <w:rPr>
          <w:rFonts w:ascii="Arial" w:eastAsia="Times New Roman" w:hAnsi="Arial" w:cs="Arial"/>
          <w:szCs w:val="28"/>
          <w:shd w:val="clear" w:color="auto" w:fill="FFFFFF"/>
          <w:lang w:val="uk-UA"/>
        </w:rPr>
        <w:t>2136-IX. Офіційний Вісник України. 2022. №31. Ст. 1634.</w:t>
      </w:r>
    </w:p>
    <w:p w14:paraId="3B8E46C8" w14:textId="63C1BC5B" w:rsidR="003476F8" w:rsidRPr="00511005" w:rsidRDefault="003476F8" w:rsidP="003F6A5D">
      <w:pPr>
        <w:numPr>
          <w:ilvl w:val="0"/>
          <w:numId w:val="464"/>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eastAsia="ru-RU"/>
        </w:rPr>
        <w:t>Про мобілізаційну підготовку та мобілізацію: Закон України від 21 жовтня 1993 р. № 3543-</w:t>
      </w:r>
      <w:r w:rsidRPr="00511005">
        <w:rPr>
          <w:rFonts w:ascii="Arial" w:eastAsia="Times New Roman" w:hAnsi="Arial" w:cs="Arial"/>
          <w:szCs w:val="28"/>
          <w:lang w:eastAsia="ru-RU"/>
        </w:rPr>
        <w:t>XII</w:t>
      </w:r>
      <w:r w:rsidRPr="00511005">
        <w:rPr>
          <w:rFonts w:ascii="Arial" w:eastAsia="Times New Roman" w:hAnsi="Arial" w:cs="Arial"/>
          <w:szCs w:val="28"/>
          <w:lang w:val="uk-UA" w:eastAsia="ru-RU"/>
        </w:rPr>
        <w:t xml:space="preserve">. </w:t>
      </w:r>
      <w:r w:rsidRPr="00511005">
        <w:rPr>
          <w:rFonts w:ascii="Arial" w:eastAsia="Times New Roman" w:hAnsi="Arial" w:cs="Arial"/>
          <w:i/>
          <w:szCs w:val="28"/>
          <w:lang w:val="uk-UA" w:eastAsia="ru-RU"/>
        </w:rPr>
        <w:t>Відомості Верховної Ради України</w:t>
      </w:r>
      <w:r w:rsidRPr="00511005">
        <w:rPr>
          <w:rFonts w:ascii="Arial" w:eastAsia="Times New Roman" w:hAnsi="Arial" w:cs="Arial"/>
          <w:szCs w:val="28"/>
          <w:lang w:val="uk-UA" w:eastAsia="ru-RU"/>
        </w:rPr>
        <w:t>. 1993.</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44.</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Ст. 416. </w:t>
      </w:r>
    </w:p>
    <w:p w14:paraId="5C3E4032" w14:textId="77777777" w:rsidR="003476F8" w:rsidRPr="00511005" w:rsidRDefault="003476F8" w:rsidP="003F6A5D">
      <w:pPr>
        <w:numPr>
          <w:ilvl w:val="0"/>
          <w:numId w:val="464"/>
        </w:numPr>
        <w:spacing w:line="264" w:lineRule="auto"/>
        <w:jc w:val="left"/>
        <w:rPr>
          <w:rFonts w:ascii="Arial" w:eastAsia="Times New Roman" w:hAnsi="Arial" w:cs="Arial"/>
          <w:b/>
          <w:bCs/>
          <w:i/>
          <w:iCs/>
          <w:szCs w:val="28"/>
          <w:lang w:val="uk-UA"/>
        </w:rPr>
      </w:pPr>
      <w:r w:rsidRPr="00511005">
        <w:rPr>
          <w:rFonts w:ascii="Arial" w:eastAsia="Times New Roman" w:hAnsi="Arial" w:cs="Arial"/>
          <w:szCs w:val="28"/>
          <w:lang w:val="uk-UA" w:eastAsia="ru-RU"/>
        </w:rPr>
        <w:t xml:space="preserve">Щодо організації трудових відносин під час воєнного стану: Лист Міністерства економіки України № 4712-06/17232-03 від 30.03.2022 р.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717" w:history="1">
        <w:r w:rsidRPr="00511005">
          <w:rPr>
            <w:rFonts w:ascii="Arial" w:eastAsia="Times New Roman" w:hAnsi="Arial" w:cs="Arial"/>
            <w:szCs w:val="28"/>
            <w:lang w:eastAsia="ru-RU"/>
          </w:rPr>
          <w:t>https</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www</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me</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gov</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ua</w:t>
        </w:r>
      </w:hyperlink>
      <w:r w:rsidRPr="00511005">
        <w:rPr>
          <w:rFonts w:ascii="Arial" w:eastAsia="Times New Roman" w:hAnsi="Arial" w:cs="Arial"/>
          <w:szCs w:val="28"/>
          <w:lang w:val="uk-UA" w:eastAsia="ru-RU"/>
        </w:rPr>
        <w:t xml:space="preserve"> </w:t>
      </w:r>
    </w:p>
    <w:p w14:paraId="5B319A53" w14:textId="77777777" w:rsidR="003476F8" w:rsidRPr="00511005" w:rsidRDefault="003476F8" w:rsidP="003A292D">
      <w:pPr>
        <w:spacing w:line="264" w:lineRule="auto"/>
        <w:ind w:left="357"/>
        <w:rPr>
          <w:rFonts w:ascii="Arial" w:eastAsia="Times New Roman" w:hAnsi="Arial" w:cs="Arial"/>
          <w:b/>
          <w:bCs/>
          <w:iCs/>
          <w:szCs w:val="28"/>
          <w:lang w:val="uk-UA"/>
        </w:rPr>
      </w:pPr>
    </w:p>
    <w:p w14:paraId="18FA4C07" w14:textId="2D6D4701" w:rsidR="003476F8" w:rsidRPr="00511005" w:rsidRDefault="007B2628" w:rsidP="003A292D">
      <w:pPr>
        <w:spacing w:line="264" w:lineRule="auto"/>
        <w:ind w:left="357"/>
        <w:rPr>
          <w:rFonts w:ascii="Arial" w:eastAsia="Times New Roman" w:hAnsi="Arial" w:cs="Arial"/>
          <w:bCs/>
          <w:iCs/>
          <w:szCs w:val="28"/>
          <w:lang w:val="uk-UA"/>
        </w:rPr>
      </w:pPr>
      <w:r w:rsidRPr="00511005">
        <w:rPr>
          <w:rFonts w:ascii="Arial" w:eastAsia="Times New Roman" w:hAnsi="Arial" w:cs="Arial"/>
          <w:b/>
          <w:bCs/>
          <w:i/>
          <w:iCs/>
          <w:szCs w:val="28"/>
          <w:lang w:val="uk-UA"/>
        </w:rPr>
        <w:t xml:space="preserve">Ключові слова: </w:t>
      </w:r>
      <w:r w:rsidR="003476F8" w:rsidRPr="00511005">
        <w:rPr>
          <w:rFonts w:ascii="Arial" w:eastAsia="Times New Roman" w:hAnsi="Arial" w:cs="Arial"/>
          <w:bCs/>
          <w:iCs/>
          <w:szCs w:val="28"/>
          <w:lang w:val="uk-UA"/>
        </w:rPr>
        <w:t>працівник, військовослужбовець, мобілізована особа, трудові права, трудові права під час мобілізації, трудове законодавство.</w:t>
      </w:r>
    </w:p>
    <w:p w14:paraId="55437545" w14:textId="214B4A7F" w:rsidR="003476F8" w:rsidRPr="00511005" w:rsidRDefault="007B2628" w:rsidP="003A292D">
      <w:pPr>
        <w:spacing w:line="264" w:lineRule="auto"/>
        <w:ind w:left="357"/>
        <w:rPr>
          <w:rFonts w:ascii="Arial" w:eastAsia="Times New Roman" w:hAnsi="Arial" w:cs="Arial"/>
          <w:bCs/>
          <w:iCs/>
          <w:szCs w:val="28"/>
          <w:lang w:val="uk-UA"/>
        </w:rPr>
      </w:pPr>
      <w:r w:rsidRPr="00511005">
        <w:rPr>
          <w:rFonts w:ascii="Arial" w:eastAsia="Times New Roman" w:hAnsi="Arial" w:cs="Arial"/>
          <w:b/>
          <w:bCs/>
          <w:i/>
          <w:iCs/>
          <w:szCs w:val="28"/>
          <w:lang w:val="uk-UA"/>
        </w:rPr>
        <w:t xml:space="preserve">Key words: </w:t>
      </w:r>
      <w:r w:rsidR="003476F8" w:rsidRPr="00511005">
        <w:rPr>
          <w:rFonts w:ascii="Arial" w:eastAsia="Times New Roman" w:hAnsi="Arial" w:cs="Arial"/>
          <w:bCs/>
          <w:iCs/>
          <w:szCs w:val="28"/>
          <w:lang w:val="uk-UA"/>
        </w:rPr>
        <w:t>employee, military serviceman, mobilized person, labour rights, labour rights during mobilization, labour legislation.</w:t>
      </w:r>
    </w:p>
    <w:p w14:paraId="17F6B1E8" w14:textId="620495F1" w:rsidR="003476F8" w:rsidRPr="00511005" w:rsidRDefault="007B2628" w:rsidP="003A292D">
      <w:pPr>
        <w:spacing w:line="264" w:lineRule="auto"/>
        <w:ind w:left="357"/>
        <w:rPr>
          <w:rFonts w:ascii="Arial" w:eastAsia="Times New Roman" w:hAnsi="Arial" w:cs="Arial"/>
          <w:bCs/>
          <w:iCs/>
          <w:szCs w:val="28"/>
          <w:lang w:val="uk-UA"/>
        </w:rPr>
      </w:pPr>
      <w:r w:rsidRPr="00511005">
        <w:rPr>
          <w:rFonts w:ascii="Arial" w:eastAsia="Times New Roman" w:hAnsi="Arial" w:cs="Arial"/>
          <w:b/>
          <w:bCs/>
          <w:i/>
          <w:iCs/>
          <w:szCs w:val="28"/>
          <w:lang w:val="uk-UA"/>
        </w:rPr>
        <w:t xml:space="preserve">Науковий керівник: </w:t>
      </w:r>
      <w:r w:rsidR="00383DE9" w:rsidRPr="00511005">
        <w:rPr>
          <w:rFonts w:ascii="Arial" w:eastAsia="Times New Roman" w:hAnsi="Arial" w:cs="Arial"/>
          <w:bCs/>
          <w:iCs/>
          <w:szCs w:val="28"/>
          <w:lang w:val="uk-UA"/>
        </w:rPr>
        <w:t xml:space="preserve">к.ю.н., </w:t>
      </w:r>
      <w:r w:rsidR="003476F8" w:rsidRPr="00511005">
        <w:rPr>
          <w:rFonts w:ascii="Arial" w:eastAsia="Times New Roman" w:hAnsi="Arial" w:cs="Arial"/>
          <w:bCs/>
          <w:iCs/>
          <w:szCs w:val="28"/>
          <w:lang w:val="uk-UA"/>
        </w:rPr>
        <w:t>доцент Наньєва М.І.</w:t>
      </w:r>
    </w:p>
    <w:p w14:paraId="6E13E2F3"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0BF68409"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0B33F536" w14:textId="77777777" w:rsidR="003476F8" w:rsidRPr="00511005" w:rsidRDefault="003476F8" w:rsidP="003A292D">
      <w:pPr>
        <w:spacing w:line="264" w:lineRule="auto"/>
        <w:ind w:firstLine="0"/>
        <w:jc w:val="center"/>
        <w:rPr>
          <w:rFonts w:ascii="Arial" w:eastAsia="Times New Roman" w:hAnsi="Arial" w:cs="Arial"/>
          <w:b/>
          <w:i/>
          <w:szCs w:val="28"/>
          <w:lang w:val="uk-UA" w:eastAsia="ru-RU"/>
        </w:rPr>
      </w:pPr>
      <w:bookmarkStart w:id="201" w:name="_Hlk197940993"/>
      <w:r w:rsidRPr="00511005">
        <w:rPr>
          <w:rFonts w:ascii="Arial" w:eastAsia="Times New Roman" w:hAnsi="Arial" w:cs="Arial"/>
          <w:b/>
          <w:i/>
          <w:szCs w:val="28"/>
          <w:lang w:val="uk-UA" w:eastAsia="ru-RU"/>
        </w:rPr>
        <w:t>Тростенюк</w:t>
      </w:r>
      <w:bookmarkEnd w:id="201"/>
      <w:r w:rsidRPr="00511005">
        <w:rPr>
          <w:rFonts w:ascii="Arial" w:eastAsia="Times New Roman" w:hAnsi="Arial" w:cs="Arial"/>
          <w:b/>
          <w:i/>
          <w:szCs w:val="28"/>
          <w:lang w:val="uk-UA" w:eastAsia="ru-RU"/>
        </w:rPr>
        <w:t xml:space="preserve"> Ольга В</w:t>
      </w:r>
      <w:r w:rsidRPr="00511005">
        <w:rPr>
          <w:rFonts w:ascii="Arial" w:eastAsia="Times New Roman" w:hAnsi="Arial" w:cs="Arial"/>
          <w:b/>
          <w:i/>
          <w:szCs w:val="28"/>
          <w:lang w:eastAsia="ru-RU"/>
        </w:rPr>
        <w:t>’</w:t>
      </w:r>
      <w:r w:rsidRPr="00511005">
        <w:rPr>
          <w:rFonts w:ascii="Arial" w:eastAsia="Times New Roman" w:hAnsi="Arial" w:cs="Arial"/>
          <w:b/>
          <w:i/>
          <w:szCs w:val="28"/>
          <w:lang w:val="uk-UA" w:eastAsia="ru-RU"/>
        </w:rPr>
        <w:t>ячеславівна</w:t>
      </w:r>
    </w:p>
    <w:p w14:paraId="6352C4F9" w14:textId="5F3BA2A0" w:rsidR="003476F8" w:rsidRPr="007040FD" w:rsidRDefault="00536AAB" w:rsidP="003A292D">
      <w:pPr>
        <w:spacing w:line="264" w:lineRule="auto"/>
        <w:ind w:firstLine="0"/>
        <w:jc w:val="center"/>
        <w:rPr>
          <w:rFonts w:ascii="Arial" w:eastAsia="Times New Roman" w:hAnsi="Arial" w:cs="Arial"/>
          <w:iCs/>
          <w:szCs w:val="28"/>
          <w:lang w:val="uk-UA" w:eastAsia="ru-RU"/>
        </w:rPr>
      </w:pPr>
      <w:r w:rsidRPr="007040FD">
        <w:rPr>
          <w:rFonts w:ascii="Arial" w:eastAsia="Times New Roman" w:hAnsi="Arial" w:cs="Arial"/>
          <w:iCs/>
          <w:szCs w:val="28"/>
          <w:lang w:val="uk-UA" w:eastAsia="ru-RU"/>
        </w:rPr>
        <w:t xml:space="preserve">студентка 2-го курсу </w:t>
      </w:r>
      <w:r w:rsidR="001B7B25" w:rsidRPr="007040FD">
        <w:rPr>
          <w:rFonts w:ascii="Arial" w:eastAsia="Times New Roman" w:hAnsi="Arial" w:cs="Arial"/>
          <w:iCs/>
          <w:szCs w:val="28"/>
          <w:lang w:val="uk-UA" w:eastAsia="ru-RU"/>
        </w:rPr>
        <w:t>факультету судового та міжнародного права</w:t>
      </w:r>
    </w:p>
    <w:p w14:paraId="795B72AC" w14:textId="1A5EA30E" w:rsidR="003476F8" w:rsidRPr="007040FD" w:rsidRDefault="007B2628" w:rsidP="003A292D">
      <w:pPr>
        <w:spacing w:line="264" w:lineRule="auto"/>
        <w:ind w:firstLine="0"/>
        <w:jc w:val="center"/>
        <w:rPr>
          <w:rFonts w:ascii="Arial" w:eastAsia="Times New Roman" w:hAnsi="Arial" w:cs="Arial"/>
          <w:iCs/>
          <w:szCs w:val="28"/>
          <w:lang w:val="uk-UA" w:eastAsia="ru-RU"/>
        </w:rPr>
      </w:pPr>
      <w:r w:rsidRPr="007040FD">
        <w:rPr>
          <w:rFonts w:ascii="Arial" w:eastAsia="Times New Roman" w:hAnsi="Arial" w:cs="Arial"/>
          <w:iCs/>
          <w:szCs w:val="28"/>
          <w:lang w:val="uk-UA" w:eastAsia="ru-RU"/>
        </w:rPr>
        <w:t>Національного університету «Одеська юридична академія»</w:t>
      </w:r>
    </w:p>
    <w:p w14:paraId="444B381B" w14:textId="77777777" w:rsidR="003476F8" w:rsidRPr="00511005" w:rsidRDefault="003476F8" w:rsidP="003A292D">
      <w:pPr>
        <w:spacing w:line="264" w:lineRule="auto"/>
        <w:ind w:firstLine="0"/>
        <w:jc w:val="center"/>
        <w:rPr>
          <w:rFonts w:ascii="Arial" w:eastAsia="Times New Roman" w:hAnsi="Arial" w:cs="Arial"/>
          <w:i/>
          <w:szCs w:val="28"/>
          <w:lang w:val="uk-UA" w:eastAsia="ru-RU"/>
        </w:rPr>
      </w:pPr>
    </w:p>
    <w:p w14:paraId="14B434F5" w14:textId="77777777" w:rsidR="003476F8" w:rsidRPr="00511005" w:rsidRDefault="003476F8"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ТРУДОВИЙ ДОГОВІР: СПІВВІДНОШЕННЯ СТРОКОВОГО ТА БЕЗСТРОКОВОГО ДОГОВОРУ</w:t>
      </w:r>
    </w:p>
    <w:p w14:paraId="606069FA"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 xml:space="preserve">Трудовий договір є основною юридичною формою регулювання трудових відносин між працівником та роботодавцем. Він визначає умови виконання праці, обов'язки, права працівника і роботодавця. Залежно від умов укладення трудового договору, він може бути як строковим, так і безстроковим. Оскільки строковий і безстроковий договори мають значні </w:t>
      </w:r>
      <w:r w:rsidRPr="00511005">
        <w:rPr>
          <w:rFonts w:ascii="Arial" w:eastAsia="Times New Roman" w:hAnsi="Arial" w:cs="Arial"/>
          <w:szCs w:val="28"/>
          <w:lang w:eastAsia="ru-RU"/>
        </w:rPr>
        <w:lastRenderedPageBreak/>
        <w:t>відмінності в правовому регулюванні, важливо зрозуміти їхнє співвідношення та правові наслідки для учасників трудових відносин.</w:t>
      </w:r>
    </w:p>
    <w:p w14:paraId="6DCE86E4"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Строковий трудовий договір є тим, що укладається на визначений період або до настання конкретної події, що має завершити трудові відносини. Згідно з Кодексом законів про працю України (КЗпП)</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від 10 груд. 1971 р. № 322-VIII [1], строковий трудовий договір може укладатися за певних умов. Наприклад, для виконання тимчасових робіт, у разі сезонних робіт або при заміщенні тимчасово відсутнього працівника. Однак закон передбачає, що строковий трудовий договір не може бути укладений для виконання постійних робіт, що є основною діяльністю підприємства. Це правило має на меті забезпечити стабільність трудових відносин і недопущення зловживання строковими договорами.</w:t>
      </w:r>
    </w:p>
    <w:p w14:paraId="2719C853"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Строковий трудовий договір має певні законодавчі обмеження. Згідно зі статтею 23 Кодексу законів про працю України, строковий договір укладається у випадках, коли трудові відносини не можуть бути встановлені на невизначений термін з урахуванням характеру роботи, умов її виконання або інтересів працівника [1]. Такий договір може бути укладений не більше ніж на п’ять років, після чого працівник має право претендувати на укладення безстрокового трудового договору, якщо відсутні законні підстави для припинення трудових відносин. Термін дії строкового трудового договору фіксується в тексті договору і не може бути змінений без згоди обох сторін. Варто зазначити, що строкові трудові договори найчастіше застосовуються для тимчасових, сезонних робіт або для виконання конкретних завдань, які мають визначений термін реалізації.</w:t>
      </w:r>
    </w:p>
    <w:p w14:paraId="2326D66B"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Проте порушення норм трудового законодавства щодо строкових договорів може призвести до визнання їх безстроковими. Це може статися, якщо, наприклад, строковий трудовий договір укладено для виконання постійних робіт, що порушує основні принципи трудового права [2]. Згідно з законодавством України, строковий трудовий договір не може бути укладений для постійних робіт, які є основною діяльністю підприємства. У разі порушення цього правила, договір може бути автоматично перетворений у безстроковий [7].</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Тому, при укладанні строкового трудового договору роботодавець повинен чітко дотримуватися вимог законодавства щодо підстав для його укладання та визначення строку дії.</w:t>
      </w:r>
    </w:p>
    <w:p w14:paraId="7D300CBD" w14:textId="77777777" w:rsidR="007B262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Безстроковий трудовий договір є найбільш розповсюдженим типом трудових договорів, оскільки він не має обмеження по терміну і триває до того часу, поки одна зі сторін не вирішить припинити трудові відносини відповідно до чинного законодавства. Відповідно до ст. 23 КЗпП України, безстроковий трудовий договір є основною формою регулювання трудових відносин, коли термін дії трудових відносин не визначений. Безстроковий трудовий договір укладається на невизначений строк, і в разі його розірвання одна зі сторін повинна дотримуватися певних процедур.</w:t>
      </w:r>
    </w:p>
    <w:p w14:paraId="2D5ADB8A" w14:textId="3DF1B81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lastRenderedPageBreak/>
        <w:t>З іншого боку, роботодавець може розірвати безстроковий трудовий договір лише за певних умов, таких як порушення трудової дисципліни або необхідність оптимізації персоналу. У такому випадку необхідно дотримуватися встановлених процедур, зокрема провести розслідування і надати працівнику можливість захистити свої права в суді [3].</w:t>
      </w:r>
    </w:p>
    <w:p w14:paraId="11A51AF2"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Співвідношення строкового та безстрокового трудового договору в трудовому праві України є важливим аспектом регулювання трудових відносин. Хоча строковий трудовий договір має свої переваги, зокрема у випадках, коли роботодавець не може забезпечити працівника постійною роботою, безстроковий трудовий договір забезпечує більш стабільні умови праці. Це особливо важливо для працівників, які не хочуть змінювати роботу на короткостроковій основі і потребують соціальних гарантій. З точки зору законодавства, безстроковий трудовий договір є стандартною формою трудових відносин і є більш захищеним з правової точки зору [4].</w:t>
      </w:r>
    </w:p>
    <w:p w14:paraId="06077947" w14:textId="77777777" w:rsidR="003476F8" w:rsidRPr="00511005" w:rsidRDefault="003476F8" w:rsidP="003A292D">
      <w:pPr>
        <w:spacing w:line="264" w:lineRule="auto"/>
        <w:ind w:firstLine="0"/>
        <w:rPr>
          <w:rFonts w:ascii="Arial" w:eastAsia="Times New Roman" w:hAnsi="Arial" w:cs="Arial"/>
          <w:szCs w:val="28"/>
          <w:lang w:eastAsia="ru-RU"/>
        </w:rPr>
      </w:pPr>
      <w:r w:rsidRPr="00511005">
        <w:rPr>
          <w:rFonts w:ascii="Arial" w:eastAsia="Times New Roman" w:hAnsi="Arial" w:cs="Arial"/>
          <w:szCs w:val="28"/>
          <w:lang w:eastAsia="ru-RU"/>
        </w:rPr>
        <w:tab/>
      </w:r>
      <w:r w:rsidRPr="00511005">
        <w:rPr>
          <w:rFonts w:ascii="Arial" w:eastAsia="Times New Roman" w:hAnsi="Arial" w:cs="Arial"/>
          <w:szCs w:val="28"/>
          <w:lang w:val="uk-UA" w:eastAsia="ru-RU"/>
        </w:rPr>
        <w:t>Т</w:t>
      </w:r>
      <w:r w:rsidRPr="00511005">
        <w:rPr>
          <w:rFonts w:ascii="Arial" w:eastAsia="Times New Roman" w:hAnsi="Arial" w:cs="Arial"/>
          <w:szCs w:val="28"/>
          <w:lang w:eastAsia="ru-RU"/>
        </w:rPr>
        <w:t>рудовий договір є важливим правовим інструментом, який регулює відносини між роботодавцем та працівником. Одним із основних аспектів трудового договору є забезпечення прав працівника і захист його інтересів. Водночас роботодавець має право укладати договори, які відповідають потребам підприємства. Співвідношення між строковими та безстроковими трудовими договорами впливає на правовий статус працівників, тому важливо розуміти, коли та чому доцільно використовувати той чи інший тип договору.</w:t>
      </w:r>
    </w:p>
    <w:p w14:paraId="67C45795"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Однак є суттєва різниця між строковим і безстроковим договором у контексті розірвання трудових відносин. Строковий трудовий договір припиняється по завершенню терміну або після досягнення певної події, зазначеної в договорі. З іншого боку, безстроковий трудовий договір продовжується до того часу, поки одна зі сторін не вирішить його розірвати. Працівник, котрий працює за безстроковим договором, має певні гарантії від безпідставного звільнення, що є важливою перевагою порівняно зі строковими договорами, коли звільнення може статися за обмеженою кількістю підстав [6].</w:t>
      </w:r>
    </w:p>
    <w:p w14:paraId="7260D135" w14:textId="77777777" w:rsidR="003476F8" w:rsidRPr="00511005" w:rsidRDefault="003476F8" w:rsidP="003A292D">
      <w:pPr>
        <w:spacing w:line="264" w:lineRule="auto"/>
        <w:ind w:firstLine="708"/>
        <w:rPr>
          <w:rFonts w:ascii="Arial" w:eastAsia="Times New Roman" w:hAnsi="Arial" w:cs="Arial"/>
          <w:szCs w:val="28"/>
          <w:lang w:eastAsia="ru-RU"/>
        </w:rPr>
      </w:pPr>
      <w:r w:rsidRPr="00511005">
        <w:rPr>
          <w:rFonts w:ascii="Arial" w:eastAsia="Times New Roman" w:hAnsi="Arial" w:cs="Arial"/>
          <w:szCs w:val="28"/>
          <w:lang w:eastAsia="ru-RU"/>
        </w:rPr>
        <w:t xml:space="preserve">Зокрема, проблема виникає, коли роботодавець використовує строковий трудовий договір для виконання основної діяльності підприємства, що є порушенням трудового законодавства. В таких випадках працівники можуть вимагати визнання їх трудових відносин безстроковими, якщо строковий трудовий договір укладено незаконно. Згідно з чинним законодавством, працівник має право звернутися </w:t>
      </w:r>
      <w:proofErr w:type="gramStart"/>
      <w:r w:rsidRPr="00511005">
        <w:rPr>
          <w:rFonts w:ascii="Arial" w:eastAsia="Times New Roman" w:hAnsi="Arial" w:cs="Arial"/>
          <w:szCs w:val="28"/>
          <w:lang w:eastAsia="ru-RU"/>
        </w:rPr>
        <w:t>до суду</w:t>
      </w:r>
      <w:proofErr w:type="gramEnd"/>
      <w:r w:rsidRPr="00511005">
        <w:rPr>
          <w:rFonts w:ascii="Arial" w:eastAsia="Times New Roman" w:hAnsi="Arial" w:cs="Arial"/>
          <w:szCs w:val="28"/>
          <w:lang w:eastAsia="ru-RU"/>
        </w:rPr>
        <w:t xml:space="preserve"> для визнання договору безс</w:t>
      </w:r>
    </w:p>
    <w:p w14:paraId="0746D58B" w14:textId="77777777" w:rsidR="003476F8" w:rsidRPr="00511005" w:rsidRDefault="003476F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eastAsia="ru-RU"/>
        </w:rPr>
        <w:t xml:space="preserve">Строкові та безстрокові трудові договори є основними правовими інструментами, які регулюють трудові відносини між роботодавцем та працівником в Україні. Кожен із цих типів договорів має свої особливості, переваги та недоліки. Безстроковий трудовий договір забезпечує більшу </w:t>
      </w:r>
      <w:r w:rsidRPr="00511005">
        <w:rPr>
          <w:rFonts w:ascii="Arial" w:eastAsia="Times New Roman" w:hAnsi="Arial" w:cs="Arial"/>
          <w:szCs w:val="28"/>
          <w:lang w:eastAsia="ru-RU"/>
        </w:rPr>
        <w:lastRenderedPageBreak/>
        <w:t>стабільність та захист прав працівника, оскільки його розірвання можливе лише за певних умов, що визначені законодавством. У той час, як строковий трудовий договір може бути зручним для тимчасових проектів, він часто викликає юридичні проблеми, особливо у разі зловживань з боку роботодавців, коли строковий договір укладається для постійних робіт. Важливо забезпечити належне регулювання цих відносин, щоб запобігти порушенням прав працівників і забезпечити ефективне застосування трудових договорів відповідно до вимог законодавства України.</w:t>
      </w:r>
    </w:p>
    <w:p w14:paraId="437AEF91" w14:textId="7404FB54" w:rsidR="003476F8" w:rsidRPr="00511005" w:rsidRDefault="003476F8" w:rsidP="003A292D">
      <w:pPr>
        <w:spacing w:line="264" w:lineRule="auto"/>
        <w:ind w:firstLine="708"/>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 xml:space="preserve">Список </w:t>
      </w:r>
      <w:r w:rsidR="00875A11">
        <w:rPr>
          <w:rFonts w:ascii="Arial" w:eastAsia="Times New Roman" w:hAnsi="Arial" w:cs="Arial"/>
          <w:b/>
          <w:bCs/>
          <w:szCs w:val="28"/>
          <w:lang w:eastAsia="ru-RU"/>
        </w:rPr>
        <w:t>використаних джерел</w:t>
      </w:r>
    </w:p>
    <w:p w14:paraId="5E455EBF" w14:textId="77777777" w:rsidR="003476F8" w:rsidRPr="00511005" w:rsidRDefault="003476F8" w:rsidP="003F6A5D">
      <w:pPr>
        <w:numPr>
          <w:ilvl w:val="0"/>
          <w:numId w:val="466"/>
        </w:numPr>
        <w:spacing w:line="264" w:lineRule="auto"/>
        <w:ind w:left="0" w:firstLine="851"/>
        <w:jc w:val="left"/>
        <w:rPr>
          <w:rFonts w:ascii="Arial" w:eastAsia="Times New Roman" w:hAnsi="Arial" w:cs="Arial"/>
          <w:szCs w:val="28"/>
          <w:lang w:eastAsia="ru-RU"/>
        </w:rPr>
      </w:pPr>
      <w:r w:rsidRPr="00511005">
        <w:rPr>
          <w:rFonts w:ascii="Arial" w:eastAsia="Times New Roman" w:hAnsi="Arial" w:cs="Arial"/>
          <w:szCs w:val="28"/>
          <w:lang w:val="uk-UA" w:eastAsia="ru-RU"/>
        </w:rPr>
        <w:t>Кодекс законів про працю України : від 10.12.1971 № 322-</w:t>
      </w:r>
      <w:r w:rsidRPr="00511005">
        <w:rPr>
          <w:rFonts w:ascii="Arial" w:eastAsia="Times New Roman" w:hAnsi="Arial" w:cs="Arial"/>
          <w:szCs w:val="28"/>
          <w:lang w:eastAsia="ru-RU"/>
        </w:rPr>
        <w:t>VIII</w:t>
      </w:r>
      <w:r w:rsidRPr="00511005">
        <w:rPr>
          <w:rFonts w:ascii="Arial" w:eastAsia="Times New Roman" w:hAnsi="Arial" w:cs="Arial"/>
          <w:szCs w:val="28"/>
          <w:lang w:val="uk-UA" w:eastAsia="ru-RU"/>
        </w:rPr>
        <w:t xml:space="preserve">. </w:t>
      </w:r>
      <w:r w:rsidRPr="00511005">
        <w:rPr>
          <w:rFonts w:ascii="Arial" w:eastAsia="Times New Roman" w:hAnsi="Arial" w:cs="Arial"/>
          <w:i/>
          <w:iCs/>
          <w:szCs w:val="28"/>
          <w:lang w:val="uk-UA" w:eastAsia="ru-RU"/>
        </w:rPr>
        <w:t xml:space="preserve">Відомості Верховної Ради УРСР. </w:t>
      </w:r>
      <w:r w:rsidRPr="00511005">
        <w:rPr>
          <w:rFonts w:ascii="Arial" w:eastAsia="Times New Roman" w:hAnsi="Arial" w:cs="Arial"/>
          <w:szCs w:val="28"/>
          <w:lang w:val="uk-UA" w:eastAsia="ru-RU"/>
        </w:rPr>
        <w:t xml:space="preserve">1971. </w:t>
      </w:r>
      <w:r w:rsidRPr="00511005">
        <w:rPr>
          <w:rFonts w:ascii="Arial" w:eastAsia="Times New Roman" w:hAnsi="Arial" w:cs="Arial"/>
          <w:szCs w:val="28"/>
          <w:lang w:eastAsia="ru-RU"/>
        </w:rPr>
        <w:t>№ 50. Ст. 375.</w:t>
      </w:r>
    </w:p>
    <w:p w14:paraId="2650B3C2" w14:textId="77777777" w:rsidR="003476F8" w:rsidRPr="00511005" w:rsidRDefault="003476F8" w:rsidP="003F6A5D">
      <w:pPr>
        <w:numPr>
          <w:ilvl w:val="0"/>
          <w:numId w:val="466"/>
        </w:numPr>
        <w:spacing w:line="264" w:lineRule="auto"/>
        <w:ind w:left="0" w:firstLine="851"/>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Кривенко О.І. Практика укладення трудових договорів в Україні. Харків: Право, 2018. 320 с.</w:t>
      </w:r>
      <w:r w:rsidRPr="00511005">
        <w:rPr>
          <w:rFonts w:ascii="Arial" w:eastAsia="Times New Roman" w:hAnsi="Arial" w:cs="Arial"/>
          <w:szCs w:val="28"/>
          <w:lang w:val="uk-UA" w:eastAsia="ru-RU"/>
        </w:rPr>
        <w:t xml:space="preserve"> </w:t>
      </w:r>
    </w:p>
    <w:p w14:paraId="010CE250" w14:textId="77777777" w:rsidR="003476F8" w:rsidRPr="00511005" w:rsidRDefault="003476F8" w:rsidP="003F6A5D">
      <w:pPr>
        <w:numPr>
          <w:ilvl w:val="0"/>
          <w:numId w:val="466"/>
        </w:numPr>
        <w:spacing w:line="264" w:lineRule="auto"/>
        <w:ind w:left="0" w:firstLine="851"/>
        <w:contextualSpacing/>
        <w:jc w:val="left"/>
        <w:rPr>
          <w:rFonts w:ascii="Arial" w:eastAsia="Times New Roman" w:hAnsi="Arial" w:cs="Arial"/>
          <w:szCs w:val="28"/>
          <w:lang w:eastAsia="ru-RU"/>
        </w:rPr>
      </w:pPr>
      <w:r w:rsidRPr="00511005">
        <w:rPr>
          <w:rFonts w:ascii="Arial" w:eastAsia="Times New Roman" w:hAnsi="Arial" w:cs="Arial"/>
          <w:szCs w:val="28"/>
          <w:lang w:eastAsia="ru-RU"/>
        </w:rPr>
        <w:t>Яременко І. В. Строковий трудовий договір: правовий аспект. Київ: Юрінком Інтер, 2019. 250 с.</w:t>
      </w:r>
    </w:p>
    <w:p w14:paraId="6652B974" w14:textId="77777777" w:rsidR="003476F8" w:rsidRPr="00511005" w:rsidRDefault="003476F8" w:rsidP="003F6A5D">
      <w:pPr>
        <w:numPr>
          <w:ilvl w:val="0"/>
          <w:numId w:val="466"/>
        </w:numPr>
        <w:spacing w:line="264" w:lineRule="auto"/>
        <w:ind w:left="0" w:firstLine="851"/>
        <w:contextualSpacing/>
        <w:jc w:val="left"/>
        <w:rPr>
          <w:rFonts w:ascii="Arial" w:eastAsia="Times New Roman" w:hAnsi="Arial" w:cs="Arial"/>
          <w:szCs w:val="28"/>
          <w:lang w:eastAsia="ru-RU"/>
        </w:rPr>
      </w:pPr>
      <w:r w:rsidRPr="00511005">
        <w:rPr>
          <w:rFonts w:ascii="Arial" w:eastAsia="Times New Roman" w:hAnsi="Arial" w:cs="Arial"/>
          <w:szCs w:val="28"/>
          <w:lang w:eastAsia="ru-RU"/>
        </w:rPr>
        <w:t>Михайленко Т. А. Основи трудового права України. Одеса: Юридична література, 2020. 280 с.</w:t>
      </w:r>
    </w:p>
    <w:p w14:paraId="0EA17F4C" w14:textId="77777777" w:rsidR="003476F8" w:rsidRPr="00511005" w:rsidRDefault="003476F8" w:rsidP="003F6A5D">
      <w:pPr>
        <w:numPr>
          <w:ilvl w:val="0"/>
          <w:numId w:val="466"/>
        </w:numPr>
        <w:spacing w:line="264" w:lineRule="auto"/>
        <w:ind w:left="0" w:firstLine="851"/>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Пилипчук О. М. Трудові відносини: теорія та практика. Київ: Видавництво КНТ, 2021. 310 с.</w:t>
      </w:r>
    </w:p>
    <w:p w14:paraId="649D319E" w14:textId="77777777" w:rsidR="003476F8" w:rsidRPr="00511005" w:rsidRDefault="003476F8" w:rsidP="003F6A5D">
      <w:pPr>
        <w:numPr>
          <w:ilvl w:val="0"/>
          <w:numId w:val="466"/>
        </w:numPr>
        <w:spacing w:line="264" w:lineRule="auto"/>
        <w:ind w:left="0" w:firstLine="851"/>
        <w:contextualSpacing/>
        <w:jc w:val="left"/>
        <w:rPr>
          <w:rFonts w:ascii="Arial" w:eastAsia="Times New Roman" w:hAnsi="Arial" w:cs="Arial"/>
          <w:szCs w:val="28"/>
          <w:lang w:eastAsia="ru-RU"/>
        </w:rPr>
      </w:pPr>
      <w:r w:rsidRPr="007040FD">
        <w:rPr>
          <w:rFonts w:ascii="Arial" w:eastAsia="Times New Roman" w:hAnsi="Arial" w:cs="Arial"/>
          <w:szCs w:val="28"/>
          <w:lang w:eastAsia="ru-RU"/>
        </w:rPr>
        <w:t>Руденко В. М. </w:t>
      </w:r>
      <w:r w:rsidRPr="00511005">
        <w:rPr>
          <w:rFonts w:ascii="Arial" w:eastAsia="Times New Roman" w:hAnsi="Arial" w:cs="Arial"/>
          <w:i/>
          <w:iCs/>
          <w:szCs w:val="28"/>
          <w:lang w:eastAsia="ru-RU"/>
        </w:rPr>
        <w:t>Розірвання трудового договору в Україні</w:t>
      </w:r>
      <w:r w:rsidRPr="00511005">
        <w:rPr>
          <w:rFonts w:ascii="Arial" w:eastAsia="Times New Roman" w:hAnsi="Arial" w:cs="Arial"/>
          <w:szCs w:val="28"/>
          <w:lang w:eastAsia="ru-RU"/>
        </w:rPr>
        <w:t>. Львів: Юридичні студії, 2017. 180 с.</w:t>
      </w:r>
    </w:p>
    <w:p w14:paraId="7D855E46" w14:textId="77777777" w:rsidR="003476F8" w:rsidRPr="00511005" w:rsidRDefault="003476F8" w:rsidP="003F6A5D">
      <w:pPr>
        <w:numPr>
          <w:ilvl w:val="0"/>
          <w:numId w:val="466"/>
        </w:numPr>
        <w:spacing w:line="264" w:lineRule="auto"/>
        <w:ind w:left="0" w:firstLine="851"/>
        <w:contextualSpacing/>
        <w:jc w:val="left"/>
        <w:rPr>
          <w:rFonts w:ascii="Arial" w:eastAsia="Times New Roman" w:hAnsi="Arial" w:cs="Arial"/>
          <w:szCs w:val="28"/>
          <w:lang w:eastAsia="ru-RU"/>
        </w:rPr>
      </w:pPr>
      <w:r w:rsidRPr="00511005">
        <w:rPr>
          <w:rFonts w:ascii="Arial" w:eastAsia="Times New Roman" w:hAnsi="Arial" w:cs="Arial"/>
          <w:szCs w:val="28"/>
          <w:lang w:eastAsia="ru-RU"/>
        </w:rPr>
        <w:t>Залужний М. М. Правові питання строкових та безстрокових трудових договорів. Київ: Правова думка, 2022. 260 с.</w:t>
      </w:r>
    </w:p>
    <w:p w14:paraId="007EA882" w14:textId="2E10DB0C" w:rsidR="003476F8" w:rsidRPr="00511005" w:rsidRDefault="007B2628" w:rsidP="003A292D">
      <w:pPr>
        <w:spacing w:line="264" w:lineRule="auto"/>
        <w:ind w:firstLine="0"/>
        <w:jc w:val="left"/>
        <w:rPr>
          <w:rFonts w:ascii="Arial" w:eastAsia="Times New Roman" w:hAnsi="Arial" w:cs="Arial"/>
          <w:i/>
          <w:szCs w:val="28"/>
          <w:lang w:eastAsia="ru-RU"/>
        </w:rPr>
      </w:pPr>
      <w:r w:rsidRPr="00511005">
        <w:rPr>
          <w:rFonts w:ascii="Arial" w:eastAsia="Times New Roman" w:hAnsi="Arial" w:cs="Arial"/>
          <w:b/>
          <w:bCs/>
          <w:i/>
          <w:szCs w:val="28"/>
          <w:lang w:eastAsia="ru-RU"/>
        </w:rPr>
        <w:t xml:space="preserve">Ключові слова: </w:t>
      </w:r>
      <w:r w:rsidR="003476F8" w:rsidRPr="00511005">
        <w:rPr>
          <w:rFonts w:ascii="Arial" w:eastAsia="Times New Roman" w:hAnsi="Arial" w:cs="Arial"/>
          <w:i/>
          <w:szCs w:val="28"/>
          <w:lang w:eastAsia="ru-RU"/>
        </w:rPr>
        <w:t>трудовий договір, строковий договір, безстроковий договір, трудові відносини, правовий захист працівників.</w:t>
      </w:r>
    </w:p>
    <w:p w14:paraId="1613271F" w14:textId="1C855231" w:rsidR="003476F8" w:rsidRPr="00511005" w:rsidRDefault="007B2628" w:rsidP="003A292D">
      <w:pPr>
        <w:spacing w:line="264" w:lineRule="auto"/>
        <w:ind w:firstLine="0"/>
        <w:jc w:val="left"/>
        <w:rPr>
          <w:rFonts w:ascii="Arial" w:eastAsia="Times New Roman" w:hAnsi="Arial" w:cs="Arial"/>
          <w:i/>
          <w:szCs w:val="28"/>
          <w:lang w:val="en-US" w:eastAsia="ru-RU"/>
        </w:rPr>
      </w:pPr>
      <w:r w:rsidRPr="00511005">
        <w:rPr>
          <w:rFonts w:ascii="Arial" w:eastAsia="Times New Roman" w:hAnsi="Arial" w:cs="Arial"/>
          <w:b/>
          <w:bCs/>
          <w:i/>
          <w:szCs w:val="28"/>
          <w:lang w:val="en-US" w:eastAsia="ru-RU"/>
        </w:rPr>
        <w:t xml:space="preserve">Key words: </w:t>
      </w:r>
      <w:r w:rsidR="003476F8" w:rsidRPr="00511005">
        <w:rPr>
          <w:rFonts w:ascii="Arial" w:eastAsia="Times New Roman" w:hAnsi="Arial" w:cs="Arial"/>
          <w:i/>
          <w:szCs w:val="28"/>
          <w:lang w:val="en-US" w:eastAsia="ru-RU"/>
        </w:rPr>
        <w:t>employment contract, fixed-term contract, permanent contract, labor relations, legal protection of employees.</w:t>
      </w:r>
    </w:p>
    <w:p w14:paraId="15636673" w14:textId="57D03F43" w:rsidR="003476F8" w:rsidRPr="00511005" w:rsidRDefault="007B2628" w:rsidP="003A292D">
      <w:pPr>
        <w:spacing w:line="264" w:lineRule="auto"/>
        <w:ind w:left="284" w:firstLine="424"/>
        <w:rPr>
          <w:rFonts w:ascii="Arial" w:eastAsia="Times New Roman" w:hAnsi="Arial" w:cs="Arial"/>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3476F8" w:rsidRPr="00511005">
        <w:rPr>
          <w:rFonts w:ascii="Arial" w:eastAsia="Times New Roman" w:hAnsi="Arial" w:cs="Arial"/>
          <w:i/>
          <w:iCs/>
          <w:szCs w:val="28"/>
          <w:lang w:val="uk-UA" w:eastAsia="ru-RU"/>
        </w:rPr>
        <w:t xml:space="preserve">асистент </w:t>
      </w:r>
      <w:r w:rsidR="003476F8" w:rsidRPr="00511005">
        <w:rPr>
          <w:rFonts w:ascii="Arial" w:eastAsia="Times New Roman" w:hAnsi="Arial" w:cs="Arial"/>
          <w:bCs/>
          <w:i/>
          <w:iCs/>
          <w:szCs w:val="28"/>
          <w:lang w:eastAsia="ru-RU"/>
        </w:rPr>
        <w:t>Кіліміченко А.О.</w:t>
      </w:r>
    </w:p>
    <w:p w14:paraId="215DFF34"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5610A67F" w14:textId="5B5EF0B5" w:rsidR="007040FD" w:rsidRDefault="007040FD">
      <w:pPr>
        <w:spacing w:after="200" w:line="276" w:lineRule="auto"/>
        <w:ind w:firstLine="0"/>
        <w:jc w:val="left"/>
        <w:rPr>
          <w:rFonts w:ascii="Arial" w:eastAsia="Times New Roman" w:hAnsi="Arial" w:cs="Arial"/>
          <w:b/>
          <w:bCs/>
          <w:i/>
          <w:iCs/>
          <w:szCs w:val="28"/>
          <w:lang w:val="uk-UA" w:eastAsia="ru-RU"/>
        </w:rPr>
      </w:pPr>
    </w:p>
    <w:p w14:paraId="40E492BD" w14:textId="75158809" w:rsidR="003476F8" w:rsidRPr="00511005" w:rsidRDefault="003476F8" w:rsidP="003A292D">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Фасій Анастасія Володимирівна, Сергієнко Анна Сергіївна</w:t>
      </w:r>
    </w:p>
    <w:p w14:paraId="1BDE390D" w14:textId="77777777" w:rsidR="003476F8" w:rsidRPr="00511005" w:rsidRDefault="003476F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студентки 2-го курсу факультету цивільної та господарської юстиції</w:t>
      </w:r>
    </w:p>
    <w:p w14:paraId="373F59C7" w14:textId="08B29995" w:rsidR="003476F8"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463E7A9" w14:textId="77777777" w:rsidR="003476F8" w:rsidRPr="00511005" w:rsidRDefault="003476F8" w:rsidP="003A292D">
      <w:pPr>
        <w:spacing w:line="264" w:lineRule="auto"/>
        <w:ind w:firstLine="0"/>
        <w:jc w:val="center"/>
        <w:rPr>
          <w:rFonts w:ascii="Arial" w:eastAsia="Aptos" w:hAnsi="Arial" w:cs="Arial"/>
          <w:kern w:val="2"/>
          <w:szCs w:val="28"/>
          <w:lang w:val="uk-UA"/>
          <w14:ligatures w14:val="standardContextual"/>
        </w:rPr>
      </w:pPr>
    </w:p>
    <w:p w14:paraId="57BAF2FE" w14:textId="77777777" w:rsidR="003476F8" w:rsidRPr="00511005" w:rsidRDefault="003476F8" w:rsidP="003A292D">
      <w:pPr>
        <w:spacing w:line="264" w:lineRule="auto"/>
        <w:ind w:firstLine="0"/>
        <w:jc w:val="center"/>
        <w:rPr>
          <w:rFonts w:ascii="Arial" w:eastAsia="Aptos" w:hAnsi="Arial" w:cs="Arial"/>
          <w:b/>
          <w:bCs/>
          <w:kern w:val="2"/>
          <w:szCs w:val="28"/>
          <w:lang w:val="uk-UA"/>
          <w14:ligatures w14:val="standardContextual"/>
        </w:rPr>
      </w:pPr>
      <w:r w:rsidRPr="00511005">
        <w:rPr>
          <w:rFonts w:ascii="Arial" w:eastAsia="Aptos" w:hAnsi="Arial" w:cs="Arial"/>
          <w:b/>
          <w:bCs/>
          <w:kern w:val="2"/>
          <w:szCs w:val="28"/>
          <w:lang w:val="uk-UA"/>
          <w14:ligatures w14:val="standardContextual"/>
        </w:rPr>
        <w:t>ЗВІЛЬНЕННЯ ЗА АМОРАЛЬНУ ПОВЕДІНКУ</w:t>
      </w:r>
    </w:p>
    <w:p w14:paraId="3A08E7BF" w14:textId="77777777" w:rsidR="003476F8" w:rsidRPr="00511005" w:rsidRDefault="003476F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Однією з важливих гарантій стабільності трудових правовідносин є визначення чітких правових підстав, за яких роботодавець може ініціювати розірвання трудового договору з працівником. Серед загальних та спеціальних підстав для звільнення законодавство України передбачає також таку особливу категорію, як вчинення працівником аморального проступку, несумісного з виконанням виховної функції. Ця правова підстава </w:t>
      </w:r>
      <w:r w:rsidRPr="00511005">
        <w:rPr>
          <w:rFonts w:ascii="Arial" w:eastAsia="Aptos" w:hAnsi="Arial" w:cs="Arial"/>
          <w:kern w:val="2"/>
          <w:szCs w:val="28"/>
          <w:lang w:val="uk-UA"/>
          <w14:ligatures w14:val="standardContextual"/>
        </w:rPr>
        <w:lastRenderedPageBreak/>
        <w:t>є доволі вузькою за сферою застосування, однак, водночас, викликає чимало дискусій у доктрині трудового права та судовій практиці. Її складність полягає у відсутності чіткого визначення поняття «аморальна поведінка» у трудовому законодавстві, що створює простір для широкого тлумачення та необхідності індивідуального підходу до кожного випадку.</w:t>
      </w:r>
    </w:p>
    <w:p w14:paraId="02AF4C54" w14:textId="77777777" w:rsidR="003476F8" w:rsidRPr="00511005" w:rsidRDefault="003476F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Аморальна поведінка, у контексті трудового права, тлумачиться як така, що суперечить загальновизнаним нормам моралі, етики, поведінки, яка вважається суспільно неприйнятною. Важливо, що йдеться не про будь-які аморальні дії, а лише про ті, які безпосередньо впливають на професійну репутацію особи, котра виконує виховну функцію. Законодавець розміщує цю норму у пункті 3 частини першої статті 41 Кодексу законів про працю України, згідно з яким трудовий договір може бути припинений у разі вчинення працівником аморального проступку, несумісного з продовженням цієї роботи. Важливо зазначити, що така підстава є не універсальною, а спеціальною: її застосування можливе лише щодо осіб, які здійснюють виховні функції у процесі виконання трудових обов’язків [1; 5]. </w:t>
      </w:r>
    </w:p>
    <w:p w14:paraId="1A0FE000" w14:textId="77777777" w:rsidR="003476F8" w:rsidRPr="00511005" w:rsidRDefault="003476F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Згідно з усталеною правовою практикою, під виховною функцією слід розуміти не лише педагогічну діяльність у класичному сенсі (наприклад, викладання у закладах освіти), а й інші види професійної активності, які пов’язані з виховним впливом на іншу особу або групу осіб. Це можуть бути вихователі у дитячих садках, тренери спортивних секцій, працівники соціальної сфери, які працюють із вразливими категоріями населення. Зміст виховної функції не завжди є формалізованим у посадовій інструкції, але якщо він фактично присутній у трудових обов’язках, то норма пункту 3 частини першої статті 41 КЗпП є застосовною [1; 3, с.137].</w:t>
      </w:r>
    </w:p>
    <w:p w14:paraId="6E111D4B" w14:textId="77777777" w:rsidR="003476F8" w:rsidRPr="00511005" w:rsidRDefault="003476F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Юридична кваліфікація аморального проступку як підстави для звільнення потребує дотримання певних критеріїв. По-перше, поведінка працівника має носити відверто антигромадський характер, порушувати етичні засади, загальновизнані моральні норми, які є основою його професійної репутації. По-друге, вчинок повинен мати негативний суспільний резонанс або хоча б суттєво вплинути на авторитет працівника серед колег, вихованців чи осіб, з якими він працює. По-третє, така поведінка має бути несумісною з подальшим виконанням виховної роботи, тобто її наслідки настільки суттєві, що унеможливлюють подальше перебування працівника на займаній посаді. Як правило, це дії або висловлювання, що принижують гідність інших осіб, містять прояви жорстокості, грубості, образ чи зловживання владою, а також поведінка, що є суспільно неприйнятною — вживання алкоголю або наркотичних засобів на робочому місці, аморальна поведінка поза межами роботи, яка стала публічною тощо [7, с. 563].</w:t>
      </w:r>
    </w:p>
    <w:p w14:paraId="219DA70E" w14:textId="77777777" w:rsidR="003476F8" w:rsidRPr="00511005" w:rsidRDefault="003476F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Зважаючи на складність такого звільнення, роботодавець має дотриматися ряду процесуальних вимог. Однією з них є необхідність отримання належного підтвердження факту проступку — це можуть бути </w:t>
      </w:r>
      <w:r w:rsidRPr="00511005">
        <w:rPr>
          <w:rFonts w:ascii="Arial" w:eastAsia="Aptos" w:hAnsi="Arial" w:cs="Arial"/>
          <w:kern w:val="2"/>
          <w:szCs w:val="28"/>
          <w:lang w:val="uk-UA"/>
          <w14:ligatures w14:val="standardContextual"/>
        </w:rPr>
        <w:lastRenderedPageBreak/>
        <w:t>акти, письмові заяви очевидців, результати службового розслідування. Працівнику має бути надана можливість надати письмове пояснення щодо обставин, що стали підставою для дисциплінарного реагування. У разі його відмови складається відповідний акт. Також слід дотриматися строків, встановлених статтею 148 КЗпП України, зокрема щодо застосування дисциплінарного стягнення не пізніше одного місяця з дня виявлення порушення, не враховуючи час перебування працівника у відпустці або на лікарняному. Порушення хоча б одного з наведених елементів процедури може стати підставою для визнання наказу про звільнення незаконним у судовому порядку [1; 6, с.4].</w:t>
      </w:r>
    </w:p>
    <w:p w14:paraId="381E91A3" w14:textId="77777777" w:rsidR="003476F8" w:rsidRPr="00511005" w:rsidRDefault="003476F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Окрім законодавчих положень, ключове значення у застосуванні цієї підстави має судова практика. Рішення Верховного Суду України та апеляційних інстанцій деталізують межі допустимого тлумачення поняття аморальної поведінки. Наприклад, у постанові Верховного Суду від 09.11.2022 р. у справі № 524/3625/20 суд підтвердив законність звільнення вчительки української мови та літератури Кременчуцької гімназії № 18 за вчинення аморального проступку. Підставою для цього стали численні скарги батьків та результати внутрішнього розслідування, які засвідчили принизливу, грубу поведінку вчителя щодо учнів. Незважаючи на дворазову відмову профспілкового комітету у погодженні звільнення, суд визнав ці відмови необґрунтованими, оскільки вони не мали належного правового обґрунтування. Верховний Суд погодився, що такі відмови не позбавляють роботодавця права на звільнення працівника, якщо підтверджено факти аморальної поведінки, яка несумісна з виховною функцією [2].</w:t>
      </w:r>
    </w:p>
    <w:p w14:paraId="07C5F3FC" w14:textId="77777777" w:rsidR="003476F8" w:rsidRPr="00511005" w:rsidRDefault="003476F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Разом із тим, судова практика свідчить і про випадки зловживань з боку роботодавців, коли поняття «аморальна поведінка» використовується як формальний привід для звільнення працівника без достатніх доказів або через особистий конфлікт. У таких випадках працівники звертаються до суду з вимогою про поновлення на роботі, і суди нерідко стають на їхній бік, визнаючи порушення процедури звільнення або відсутність достатньо доведеного проступку. Це свідчить про необхідність особливо обережного підходу до реалізації цієї правової підстави, оскільки моральна оцінка завжди є частково суб’єктивною.</w:t>
      </w:r>
    </w:p>
    <w:p w14:paraId="502DAEE3" w14:textId="77777777" w:rsidR="003476F8" w:rsidRPr="00511005" w:rsidRDefault="003476F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Питання правомірності звільнення за аморальну поведінку нерозривно пов’язане з оцінкою пропорційності вжитого заходу до характеру проступку. У доктрині трудового права сформувалась позиція, згідно з якою застосування звільнення повинно бути обґрунтованим, належним чином зафіксованим та об’єктивно необхідним з урахуванням інтересів освітнього чи виховного середовища. Іншими словами, навіть якщо поведінка працівника суперечить моральним засадам, але не створює реальної загрози для виконання його професійних обов’язків, звільнення не завжди </w:t>
      </w:r>
      <w:r w:rsidRPr="00511005">
        <w:rPr>
          <w:rFonts w:ascii="Arial" w:eastAsia="Aptos" w:hAnsi="Arial" w:cs="Arial"/>
          <w:kern w:val="2"/>
          <w:szCs w:val="28"/>
          <w:lang w:val="uk-UA"/>
          <w14:ligatures w14:val="standardContextual"/>
        </w:rPr>
        <w:lastRenderedPageBreak/>
        <w:t xml:space="preserve">буде правомірним. У таких випадках може бути застосоване інше дисциплінарне стягнення, яке є менш суворим, наприклад, догана [4, с. 94]. </w:t>
      </w:r>
    </w:p>
    <w:p w14:paraId="039B17FB" w14:textId="77777777" w:rsidR="003476F8" w:rsidRPr="00511005" w:rsidRDefault="003476F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Ще одним важливим аспектом, який необхідно враховувати, є питання публічності або суспільної значущості аморального проступку. Нерідко саме широкий суспільний розголос стає фактором, що підсилює негативні наслідки для авторитету закладу чи професії загалом. Наприклад, якщо випадок приниження гідності учня набув розголосу у засобах масової інформації або в соціальних мережах, це може істотно вплинути на довіру до навчального закладу, його імідж, а також спричинити втрату репутації серед батьків та громадськості. У такому контексті аморальна поведінка перестає бути внутрішньою проблемою і набуває публічного характеру, що значно ускладнює можливість збереження трудових правовідносин. </w:t>
      </w:r>
    </w:p>
    <w:p w14:paraId="6FF39FAB" w14:textId="77777777" w:rsidR="003476F8" w:rsidRPr="00511005" w:rsidRDefault="003476F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У контексті євроінтеграційних змін у правовій системі України питання моральних стандартів у сфері праці набуває особливої актуальності. У багатьох країнах Європейського Союзу також існують норми, що передбачають підвищені вимоги до моральної поведінки педагогів, медиків, соціальних працівників та державних службовців. Проте важливо враховувати, що у європейському правовому просторі широко застосовується концепція пропорційності покарання та диференційований підхід залежно від контексту ситуації. Це означає, що аморальна поведінка сама по собі ще не є автоматичною підставою для звільнення, якщо її наслідки не є критичними для функціонування закладу або установи [6, с. 3].</w:t>
      </w:r>
    </w:p>
    <w:p w14:paraId="704158C2" w14:textId="77777777" w:rsidR="003476F8" w:rsidRPr="00511005" w:rsidRDefault="003476F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Отже, можна зробити висновок, що звільнення за аморальну поведінку є винятковим заходом у трудовому праві України, застосування якого можливе лише щодо працівників, що виконують виховні функції. Законодавство не містить чіткого визначення аморального проступку, тому важливу роль у тлумаченні цієї категорії відіграє судова практика та етичні стандарти відповідної професії. Для визнання звільнення правомірним необхідно дотриматися процедури: зафіксувати проступок, отримати пояснення працівника, видати обґрунтований наказ та не порушити строки притягнення до відповідальності. Застосування такої підстави для звільнення потребує зваженого підходу з боку роботодавця, оскільки рішення має ґрунтуватися на чітко доведених фактах і бути пропорційним характеру вчинку. Наявність високих морально-етичних вимог до певних професій обумовлює важливість правового механізму, що забезпечує довіру суспільства до осіб, які формують цінності майбутніх поколінь.</w:t>
      </w:r>
    </w:p>
    <w:p w14:paraId="15F6EB36" w14:textId="77777777" w:rsidR="003476F8" w:rsidRPr="00511005" w:rsidRDefault="003476F8" w:rsidP="003A292D">
      <w:pPr>
        <w:spacing w:line="264" w:lineRule="auto"/>
        <w:ind w:firstLine="0"/>
        <w:rPr>
          <w:rFonts w:ascii="Arial" w:eastAsia="Aptos" w:hAnsi="Arial" w:cs="Arial"/>
          <w:kern w:val="2"/>
          <w:szCs w:val="28"/>
          <w:lang w:val="uk-UA"/>
          <w14:ligatures w14:val="standardContextual"/>
        </w:rPr>
      </w:pPr>
    </w:p>
    <w:p w14:paraId="3CAA3D46" w14:textId="0A69B760" w:rsidR="003476F8" w:rsidRPr="00511005" w:rsidRDefault="007B2628" w:rsidP="007B2628">
      <w:pPr>
        <w:spacing w:line="264" w:lineRule="auto"/>
        <w:ind w:firstLine="0"/>
        <w:jc w:val="center"/>
        <w:rPr>
          <w:rFonts w:ascii="Arial" w:eastAsia="Aptos" w:hAnsi="Arial" w:cs="Arial"/>
          <w:b/>
          <w:bCs/>
          <w:kern w:val="2"/>
          <w:szCs w:val="28"/>
          <w:lang w:val="en-US"/>
          <w14:ligatures w14:val="standardContextual"/>
        </w:rPr>
      </w:pPr>
      <w:r w:rsidRPr="00511005">
        <w:rPr>
          <w:rFonts w:ascii="Arial" w:eastAsia="Aptos" w:hAnsi="Arial" w:cs="Arial"/>
          <w:b/>
          <w:bCs/>
          <w:kern w:val="2"/>
          <w:szCs w:val="28"/>
          <w:lang w:val="uk-UA"/>
          <w14:ligatures w14:val="standardContextual"/>
        </w:rPr>
        <w:t>Список використаних джерел</w:t>
      </w:r>
    </w:p>
    <w:p w14:paraId="69FD8B48" w14:textId="77777777" w:rsidR="003476F8" w:rsidRPr="00511005" w:rsidRDefault="003476F8" w:rsidP="003F6A5D">
      <w:pPr>
        <w:numPr>
          <w:ilvl w:val="0"/>
          <w:numId w:val="467"/>
        </w:numPr>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Кодекс законів про працю України : Кодекс України від 10.12.1971 № 322-VIII : станом на 1 січ. 2025 р. URL: </w:t>
      </w:r>
      <w:hyperlink r:id="rId1718" w:anchor="Text" w:tgtFrame="_blank" w:history="1">
        <w:r w:rsidRPr="00511005">
          <w:rPr>
            <w:rFonts w:ascii="Arial" w:eastAsia="Aptos" w:hAnsi="Arial" w:cs="Arial"/>
            <w:kern w:val="2"/>
            <w:szCs w:val="28"/>
            <w:lang w:val="uk-UA"/>
            <w14:ligatures w14:val="standardContextual"/>
          </w:rPr>
          <w:t>https://zakon.rada.gov.ua/laws/show/322-08#Text</w:t>
        </w:r>
      </w:hyperlink>
      <w:r w:rsidRPr="00511005">
        <w:rPr>
          <w:rFonts w:ascii="Arial" w:eastAsia="Aptos" w:hAnsi="Arial" w:cs="Arial"/>
          <w:kern w:val="2"/>
          <w:szCs w:val="28"/>
          <w:lang w:val="uk-UA"/>
          <w14:ligatures w14:val="standardContextual"/>
        </w:rPr>
        <w:t> (дата звернення: 17.04.2025).</w:t>
      </w:r>
    </w:p>
    <w:p w14:paraId="3ED535BA" w14:textId="77777777" w:rsidR="003476F8" w:rsidRPr="00511005" w:rsidRDefault="003476F8" w:rsidP="003F6A5D">
      <w:pPr>
        <w:numPr>
          <w:ilvl w:val="0"/>
          <w:numId w:val="467"/>
        </w:numPr>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lastRenderedPageBreak/>
        <w:t>Постанова Касаційного цивільного суду Верховного Суду від 09.11.2022 у справі № 524/3625/20. URL: </w:t>
      </w:r>
      <w:hyperlink r:id="rId1719" w:tgtFrame="_blank" w:history="1">
        <w:r w:rsidRPr="00511005">
          <w:rPr>
            <w:rFonts w:ascii="Arial" w:eastAsia="Aptos" w:hAnsi="Arial" w:cs="Arial"/>
            <w:kern w:val="2"/>
            <w:szCs w:val="28"/>
            <w:lang w:val="uk-UA"/>
            <w14:ligatures w14:val="standardContextual"/>
          </w:rPr>
          <w:t>https://reyestr.court.gov.ua/Review/107532785</w:t>
        </w:r>
      </w:hyperlink>
      <w:r w:rsidRPr="00511005">
        <w:rPr>
          <w:rFonts w:ascii="Arial" w:eastAsia="Aptos" w:hAnsi="Arial" w:cs="Arial"/>
          <w:kern w:val="2"/>
          <w:szCs w:val="28"/>
          <w:lang w:val="uk-UA"/>
          <w14:ligatures w14:val="standardContextual"/>
        </w:rPr>
        <w:t> (дата звернення: 14.04.2025).</w:t>
      </w:r>
    </w:p>
    <w:p w14:paraId="147B01FB" w14:textId="77777777" w:rsidR="003476F8" w:rsidRPr="00511005" w:rsidRDefault="003476F8" w:rsidP="003F6A5D">
      <w:pPr>
        <w:numPr>
          <w:ilvl w:val="0"/>
          <w:numId w:val="467"/>
        </w:numPr>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Грищенко Р. До характеристики об’єктивної сторони дисциплінарного проступку. </w:t>
      </w:r>
      <w:r w:rsidRPr="00511005">
        <w:rPr>
          <w:rFonts w:ascii="Arial" w:eastAsia="Aptos" w:hAnsi="Arial" w:cs="Arial"/>
          <w:i/>
          <w:iCs/>
          <w:kern w:val="2"/>
          <w:szCs w:val="28"/>
          <w:lang w:val="uk-UA"/>
          <w14:ligatures w14:val="standardContextual"/>
        </w:rPr>
        <w:t>Підприємництво, господарство і право</w:t>
      </w:r>
      <w:r w:rsidRPr="00511005">
        <w:rPr>
          <w:rFonts w:ascii="Arial" w:eastAsia="Aptos" w:hAnsi="Arial" w:cs="Arial"/>
          <w:kern w:val="2"/>
          <w:szCs w:val="28"/>
          <w:lang w:val="uk-UA"/>
          <w14:ligatures w14:val="standardContextual"/>
        </w:rPr>
        <w:t>. 2020. № 2. С. 134–138.</w:t>
      </w:r>
    </w:p>
    <w:p w14:paraId="4E07B2C1" w14:textId="77777777" w:rsidR="003476F8" w:rsidRPr="00511005" w:rsidRDefault="003476F8" w:rsidP="003F6A5D">
      <w:pPr>
        <w:numPr>
          <w:ilvl w:val="0"/>
          <w:numId w:val="467"/>
        </w:numPr>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Ільницький Р.Є. Дисциплінарна відповідальність працівників у сфері вищої освіти. </w:t>
      </w:r>
      <w:r w:rsidRPr="00511005">
        <w:rPr>
          <w:rFonts w:ascii="Arial" w:eastAsia="Aptos" w:hAnsi="Arial" w:cs="Arial"/>
          <w:i/>
          <w:iCs/>
          <w:kern w:val="2"/>
          <w:szCs w:val="28"/>
          <w:lang w:val="uk-UA"/>
          <w14:ligatures w14:val="standardContextual"/>
        </w:rPr>
        <w:t>Київський часопис права</w:t>
      </w:r>
      <w:r w:rsidRPr="00511005">
        <w:rPr>
          <w:rFonts w:ascii="Arial" w:eastAsia="Aptos" w:hAnsi="Arial" w:cs="Arial"/>
          <w:kern w:val="2"/>
          <w:szCs w:val="28"/>
          <w:lang w:val="uk-UA"/>
          <w14:ligatures w14:val="standardContextual"/>
        </w:rPr>
        <w:t>. 2024. № 2. С. 92–96.</w:t>
      </w:r>
    </w:p>
    <w:p w14:paraId="18617546" w14:textId="77777777" w:rsidR="003476F8" w:rsidRPr="00511005" w:rsidRDefault="003476F8" w:rsidP="003F6A5D">
      <w:pPr>
        <w:numPr>
          <w:ilvl w:val="0"/>
          <w:numId w:val="467"/>
        </w:numPr>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Кірюшин А.А. Аморальність поведінки є оціночним поняттям (ВС/КЦС у справі № 522/24585/17 від 03.02.2021). </w:t>
      </w:r>
      <w:r w:rsidRPr="00511005">
        <w:rPr>
          <w:rFonts w:ascii="Arial" w:eastAsia="Aptos" w:hAnsi="Arial" w:cs="Arial"/>
          <w:i/>
          <w:iCs/>
          <w:kern w:val="2"/>
          <w:szCs w:val="28"/>
          <w:lang w:val="uk-UA"/>
          <w14:ligatures w14:val="standardContextual"/>
        </w:rPr>
        <w:t>Протокол</w:t>
      </w:r>
      <w:r w:rsidRPr="00511005">
        <w:rPr>
          <w:rFonts w:ascii="Arial" w:eastAsia="Aptos" w:hAnsi="Arial" w:cs="Arial"/>
          <w:kern w:val="2"/>
          <w:szCs w:val="28"/>
          <w:lang w:val="uk-UA"/>
          <w14:ligatures w14:val="standardContextual"/>
        </w:rPr>
        <w:t>. URL: </w:t>
      </w:r>
      <w:hyperlink r:id="rId1720" w:tgtFrame="_blank" w:history="1">
        <w:r w:rsidRPr="00511005">
          <w:rPr>
            <w:rFonts w:ascii="Arial" w:eastAsia="Aptos" w:hAnsi="Arial" w:cs="Arial"/>
            <w:kern w:val="2"/>
            <w:szCs w:val="28"/>
            <w:lang w:val="uk-UA"/>
            <w14:ligatures w14:val="standardContextual"/>
          </w:rPr>
          <w:t>https://protocol.ua/ua/vs_ktss_amoralnist/</w:t>
        </w:r>
      </w:hyperlink>
      <w:r w:rsidRPr="00511005">
        <w:rPr>
          <w:rFonts w:ascii="Arial" w:eastAsia="Aptos" w:hAnsi="Arial" w:cs="Arial"/>
          <w:kern w:val="2"/>
          <w:szCs w:val="28"/>
          <w:lang w:val="uk-UA"/>
          <w14:ligatures w14:val="standardContextual"/>
        </w:rPr>
        <w:t> (дата звернення: 17.04.2025).</w:t>
      </w:r>
    </w:p>
    <w:p w14:paraId="6DDCCC21" w14:textId="77777777" w:rsidR="003476F8" w:rsidRPr="00511005" w:rsidRDefault="003476F8" w:rsidP="003F6A5D">
      <w:pPr>
        <w:numPr>
          <w:ilvl w:val="0"/>
          <w:numId w:val="467"/>
        </w:numPr>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Лисоконь І.О, Поліщук О.С. Концептуально-правові засади притягнення до дисциплінарної відповідальності науково-педагогічних працівників в Україні. </w:t>
      </w:r>
      <w:r w:rsidRPr="00511005">
        <w:rPr>
          <w:rFonts w:ascii="Arial" w:eastAsia="Aptos" w:hAnsi="Arial" w:cs="Arial"/>
          <w:i/>
          <w:iCs/>
          <w:kern w:val="2"/>
          <w:szCs w:val="28"/>
          <w:lang w:val="uk-UA"/>
          <w14:ligatures w14:val="standardContextual"/>
        </w:rPr>
        <w:t>Академічні візії</w:t>
      </w:r>
      <w:r w:rsidRPr="00511005">
        <w:rPr>
          <w:rFonts w:ascii="Arial" w:eastAsia="Aptos" w:hAnsi="Arial" w:cs="Arial"/>
          <w:kern w:val="2"/>
          <w:szCs w:val="28"/>
          <w:lang w:val="uk-UA"/>
          <w14:ligatures w14:val="standardContextual"/>
        </w:rPr>
        <w:t>. 2024. № 38. С. 8.</w:t>
      </w:r>
    </w:p>
    <w:p w14:paraId="4A8FF5B0" w14:textId="77777777" w:rsidR="003476F8" w:rsidRPr="00511005" w:rsidRDefault="003476F8" w:rsidP="003F6A5D">
      <w:pPr>
        <w:numPr>
          <w:ilvl w:val="0"/>
          <w:numId w:val="467"/>
        </w:numPr>
        <w:spacing w:line="264" w:lineRule="auto"/>
        <w:ind w:left="0" w:firstLine="709"/>
        <w:contextualSpacing/>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Швець Н. М. Аморальний проступок, не сумісний із продовженням виконання виховних функцій: поняття та класифікація. </w:t>
      </w:r>
      <w:r w:rsidRPr="00511005">
        <w:rPr>
          <w:rFonts w:ascii="Arial" w:eastAsia="Aptos" w:hAnsi="Arial" w:cs="Arial"/>
          <w:i/>
          <w:iCs/>
          <w:kern w:val="2"/>
          <w:szCs w:val="28"/>
          <w:lang w:val="uk-UA"/>
          <w14:ligatures w14:val="standardContextual"/>
        </w:rPr>
        <w:t>Baltija publishing</w:t>
      </w:r>
      <w:r w:rsidRPr="00511005">
        <w:rPr>
          <w:rFonts w:ascii="Arial" w:eastAsia="Aptos" w:hAnsi="Arial" w:cs="Arial"/>
          <w:kern w:val="2"/>
          <w:szCs w:val="28"/>
          <w:lang w:val="uk-UA"/>
          <w14:ligatures w14:val="standardContextual"/>
        </w:rPr>
        <w:t>. 2021. С. 561–575.</w:t>
      </w:r>
    </w:p>
    <w:p w14:paraId="0FD149C4" w14:textId="77777777" w:rsidR="003476F8" w:rsidRPr="00511005" w:rsidRDefault="003476F8" w:rsidP="003A292D">
      <w:pPr>
        <w:spacing w:line="264" w:lineRule="auto"/>
        <w:ind w:left="709" w:firstLine="0"/>
        <w:contextualSpacing/>
        <w:rPr>
          <w:rFonts w:ascii="Arial" w:eastAsia="Aptos" w:hAnsi="Arial" w:cs="Arial"/>
          <w:kern w:val="2"/>
          <w:szCs w:val="28"/>
          <w:lang w:val="uk-UA"/>
          <w14:ligatures w14:val="standardContextual"/>
        </w:rPr>
      </w:pPr>
    </w:p>
    <w:p w14:paraId="6B079C19" w14:textId="1B6C146E" w:rsidR="003476F8" w:rsidRPr="00511005" w:rsidRDefault="007B262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b/>
          <w:bCs/>
          <w:i/>
          <w:kern w:val="2"/>
          <w:szCs w:val="28"/>
          <w:lang w:val="uk-UA"/>
          <w14:ligatures w14:val="standardContextual"/>
        </w:rPr>
        <w:t xml:space="preserve">Ключові слова: </w:t>
      </w:r>
      <w:r w:rsidR="003476F8" w:rsidRPr="00511005">
        <w:rPr>
          <w:rFonts w:ascii="Arial" w:eastAsia="Aptos" w:hAnsi="Arial" w:cs="Arial"/>
          <w:kern w:val="2"/>
          <w:szCs w:val="28"/>
          <w:lang w:val="uk-UA"/>
          <w14:ligatures w14:val="standardContextual"/>
        </w:rPr>
        <w:t>трудове право, звільнення, аморальна поведінка, виховна функція, дисциплінарне стягнення, Кодекс законів про працю України, етичні норми, моральна відповідальність, педагогічна етика, правова підстава, трудові правовідносини, судова практика, дисциплінарний проступок.</w:t>
      </w:r>
    </w:p>
    <w:p w14:paraId="1DFC5841" w14:textId="1EAABECA" w:rsidR="003476F8" w:rsidRPr="00511005" w:rsidRDefault="007B2628" w:rsidP="003A292D">
      <w:pPr>
        <w:spacing w:line="264" w:lineRule="auto"/>
        <w:rPr>
          <w:rFonts w:ascii="Arial" w:eastAsia="Aptos" w:hAnsi="Arial" w:cs="Arial"/>
          <w:kern w:val="2"/>
          <w:szCs w:val="28"/>
          <w:lang w:val="uk-UA"/>
          <w14:ligatures w14:val="standardContextual"/>
        </w:rPr>
      </w:pPr>
      <w:r w:rsidRPr="00511005">
        <w:rPr>
          <w:rFonts w:ascii="Arial" w:eastAsia="Aptos" w:hAnsi="Arial" w:cs="Arial"/>
          <w:b/>
          <w:bCs/>
          <w:i/>
          <w:kern w:val="2"/>
          <w:szCs w:val="28"/>
          <w:lang w:val="uk-UA"/>
          <w14:ligatures w14:val="standardContextual"/>
        </w:rPr>
        <w:t xml:space="preserve">Key words: </w:t>
      </w:r>
      <w:r w:rsidR="003476F8" w:rsidRPr="00511005">
        <w:rPr>
          <w:rFonts w:ascii="Arial" w:eastAsia="Aptos" w:hAnsi="Arial" w:cs="Arial"/>
          <w:kern w:val="2"/>
          <w:szCs w:val="28"/>
          <w:lang w:val="uk-UA"/>
          <w14:ligatures w14:val="standardContextual"/>
        </w:rPr>
        <w:t>labour law, dismissal, immoral conduct, educational function, disciplinary sanction, Labour Code of Ukraine, ethical norms, moral responsibility, professional ethics, legal grounds, employment relationship, judicial practice, disciplinary offense.</w:t>
      </w:r>
    </w:p>
    <w:p w14:paraId="74D2821D" w14:textId="760A5FEC" w:rsidR="003476F8" w:rsidRPr="00511005" w:rsidRDefault="00C76181" w:rsidP="003A292D">
      <w:pPr>
        <w:spacing w:line="264" w:lineRule="auto"/>
        <w:rPr>
          <w:rFonts w:ascii="Arial" w:eastAsia="Aptos" w:hAnsi="Arial" w:cs="Arial"/>
          <w:i/>
          <w:iCs/>
          <w:kern w:val="2"/>
          <w:szCs w:val="28"/>
          <w:lang w:val="uk-UA"/>
          <w14:ligatures w14:val="standardContextual"/>
        </w:rPr>
      </w:pPr>
      <w:r w:rsidRPr="00511005">
        <w:rPr>
          <w:rFonts w:ascii="Arial" w:eastAsia="Calibri" w:hAnsi="Arial" w:cs="Arial"/>
          <w:b/>
          <w:i/>
          <w:szCs w:val="28"/>
          <w:lang w:val="uk-UA"/>
        </w:rPr>
        <w:t xml:space="preserve">Науковий керівник: </w:t>
      </w:r>
      <w:r w:rsidR="003476F8" w:rsidRPr="00511005">
        <w:rPr>
          <w:rFonts w:ascii="Arial" w:eastAsia="Aptos" w:hAnsi="Arial" w:cs="Arial"/>
          <w:bCs/>
          <w:i/>
          <w:iCs/>
          <w:kern w:val="2"/>
          <w:szCs w:val="28"/>
          <w:lang w:val="uk-UA"/>
          <w14:ligatures w14:val="standardContextual"/>
        </w:rPr>
        <w:t>к.ю.н., доц</w:t>
      </w:r>
      <w:r w:rsidR="00DE1506">
        <w:rPr>
          <w:rFonts w:ascii="Arial" w:eastAsia="Aptos" w:hAnsi="Arial" w:cs="Arial"/>
          <w:bCs/>
          <w:i/>
          <w:iCs/>
          <w:kern w:val="2"/>
          <w:szCs w:val="28"/>
          <w:lang w:val="uk-UA"/>
          <w14:ligatures w14:val="standardContextual"/>
        </w:rPr>
        <w:t>ент</w:t>
      </w:r>
      <w:r w:rsidR="003476F8" w:rsidRPr="00511005">
        <w:rPr>
          <w:rFonts w:ascii="Arial" w:eastAsia="Aptos" w:hAnsi="Arial" w:cs="Arial"/>
          <w:bCs/>
          <w:i/>
          <w:iCs/>
          <w:kern w:val="2"/>
          <w:szCs w:val="28"/>
          <w:lang w:val="uk-UA"/>
          <w14:ligatures w14:val="standardContextual"/>
        </w:rPr>
        <w:t xml:space="preserve"> Панченко А.О.</w:t>
      </w:r>
    </w:p>
    <w:p w14:paraId="4AD67DD5"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21A6326B"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43616E20"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66757F60" w14:textId="77777777" w:rsidR="00146592" w:rsidRPr="00511005" w:rsidRDefault="003476F8" w:rsidP="003A292D">
      <w:pPr>
        <w:widowControl w:val="0"/>
        <w:tabs>
          <w:tab w:val="left" w:pos="7088"/>
        </w:tabs>
        <w:autoSpaceDE w:val="0"/>
        <w:autoSpaceDN w:val="0"/>
        <w:adjustRightInd w:val="0"/>
        <w:spacing w:line="264" w:lineRule="auto"/>
        <w:ind w:firstLine="0"/>
        <w:jc w:val="center"/>
        <w:rPr>
          <w:rFonts w:ascii="Arial" w:eastAsia="Times New Roman" w:hAnsi="Arial" w:cs="Arial"/>
          <w:b/>
          <w:i/>
          <w:iCs/>
          <w:szCs w:val="28"/>
          <w:shd w:val="clear" w:color="auto" w:fill="FFFFFF"/>
          <w:lang w:val="uk-UA" w:eastAsia="ru-RU"/>
        </w:rPr>
      </w:pPr>
      <w:r w:rsidRPr="00511005">
        <w:rPr>
          <w:rFonts w:ascii="Arial" w:eastAsia="Times New Roman" w:hAnsi="Arial" w:cs="Arial"/>
          <w:b/>
          <w:i/>
          <w:iCs/>
          <w:szCs w:val="28"/>
          <w:shd w:val="clear" w:color="auto" w:fill="FFFFFF"/>
          <w:lang w:val="uk-UA" w:eastAsia="ru-RU"/>
        </w:rPr>
        <w:t>Цертій Іларіон Сергійович</w:t>
      </w:r>
    </w:p>
    <w:p w14:paraId="74DAEB7F" w14:textId="567BCD08" w:rsidR="003476F8" w:rsidRPr="00511005" w:rsidRDefault="00536AAB" w:rsidP="003A292D">
      <w:pPr>
        <w:widowControl w:val="0"/>
        <w:tabs>
          <w:tab w:val="left" w:pos="7088"/>
        </w:tabs>
        <w:autoSpaceDE w:val="0"/>
        <w:autoSpaceDN w:val="0"/>
        <w:adjustRightInd w:val="0"/>
        <w:spacing w:line="264" w:lineRule="auto"/>
        <w:ind w:firstLine="0"/>
        <w:jc w:val="center"/>
        <w:rPr>
          <w:rFonts w:ascii="Arial" w:eastAsia="Times New Roman" w:hAnsi="Arial" w:cs="Arial"/>
          <w:bCs/>
          <w:szCs w:val="28"/>
          <w:shd w:val="clear" w:color="auto" w:fill="FFFFFF"/>
          <w:lang w:val="uk-UA" w:eastAsia="ru-RU"/>
        </w:rPr>
      </w:pPr>
      <w:r w:rsidRPr="00511005">
        <w:rPr>
          <w:rFonts w:ascii="Arial" w:eastAsia="Times New Roman" w:hAnsi="Arial" w:cs="Arial"/>
          <w:bCs/>
          <w:szCs w:val="28"/>
          <w:shd w:val="clear" w:color="auto" w:fill="FFFFFF"/>
          <w:lang w:val="uk-UA" w:eastAsia="ru-RU"/>
        </w:rPr>
        <w:t xml:space="preserve">студент 2-го курсу </w:t>
      </w:r>
      <w:r w:rsidR="003476F8" w:rsidRPr="00511005">
        <w:rPr>
          <w:rFonts w:ascii="Arial" w:eastAsia="Times New Roman" w:hAnsi="Arial" w:cs="Arial"/>
          <w:bCs/>
          <w:szCs w:val="28"/>
          <w:shd w:val="clear" w:color="auto" w:fill="FFFFFF"/>
          <w:lang w:val="uk-UA" w:eastAsia="ru-RU"/>
        </w:rPr>
        <w:t>факультету цивільної та господарської юстиції</w:t>
      </w:r>
    </w:p>
    <w:p w14:paraId="0D896492" w14:textId="00CEAFB5" w:rsidR="003476F8" w:rsidRPr="00511005" w:rsidRDefault="007B2628"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shd w:val="clear" w:color="auto" w:fill="FFFFFF"/>
          <w:lang w:val="uk-UA" w:eastAsia="ru-RU"/>
        </w:rPr>
      </w:pPr>
      <w:r w:rsidRPr="00511005">
        <w:rPr>
          <w:rFonts w:ascii="Arial" w:eastAsia="Times New Roman" w:hAnsi="Arial" w:cs="Arial"/>
          <w:bCs/>
          <w:szCs w:val="28"/>
          <w:shd w:val="clear" w:color="auto" w:fill="FFFFFF"/>
          <w:lang w:val="uk-UA" w:eastAsia="ru-RU"/>
        </w:rPr>
        <w:t>Національного університету «Одеська юридична академія»</w:t>
      </w:r>
      <w:r w:rsidR="003476F8" w:rsidRPr="00511005">
        <w:rPr>
          <w:rFonts w:ascii="Arial" w:eastAsia="Times New Roman" w:hAnsi="Arial" w:cs="Arial"/>
          <w:bCs/>
          <w:szCs w:val="28"/>
          <w:shd w:val="clear" w:color="auto" w:fill="FFFFFF"/>
          <w:lang w:val="uk-UA" w:eastAsia="ru-RU"/>
        </w:rPr>
        <w:br/>
      </w:r>
    </w:p>
    <w:p w14:paraId="6AE3EB36" w14:textId="77777777" w:rsidR="003476F8" w:rsidRPr="00511005" w:rsidRDefault="003476F8"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shd w:val="clear" w:color="auto" w:fill="FFFFFF"/>
          <w:lang w:val="uk-UA" w:eastAsia="ru-RU"/>
        </w:rPr>
      </w:pPr>
      <w:r w:rsidRPr="00511005">
        <w:rPr>
          <w:rFonts w:ascii="Arial" w:eastAsia="Times New Roman" w:hAnsi="Arial" w:cs="Arial"/>
          <w:b/>
          <w:szCs w:val="28"/>
          <w:shd w:val="clear" w:color="auto" w:fill="FFFFFF"/>
          <w:lang w:val="uk-UA" w:eastAsia="ru-RU"/>
        </w:rPr>
        <w:t>АДАПТАЦІЯ ТРУДОВОГО ЗАКОНОДАВСТВА УКРАЇНИ ДО ЄВРОПЕЙСЬКИХ СТАНДАРТІВ</w:t>
      </w:r>
    </w:p>
    <w:p w14:paraId="44C35CF8"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 xml:space="preserve">Адаптація трудового законодавства України до європейських стандартів є надзвичайно важливим етапом трансформації національної правової системи в умовах інтеграції до правового простору Європейського Союзу. Цей процес охоплює не лише технічне узгодження положень </w:t>
      </w:r>
      <w:r w:rsidRPr="00511005">
        <w:rPr>
          <w:rFonts w:ascii="Arial" w:eastAsia="Calibri" w:hAnsi="Arial" w:cs="Arial"/>
          <w:szCs w:val="28"/>
          <w:lang w:val="uk-UA"/>
        </w:rPr>
        <w:lastRenderedPageBreak/>
        <w:t>законодавчих актів, а й глибоку переоцінку принципів регулювання праці, системи соціального захисту, правових механізмів забезпечення гідної праці та ефективного соціального діалогу. В умовах постійних соціально-економічних змін та загроз, які постали перед Україною, реформування трудового права на основі європейських стандартів набуває стратегічного значення для захисту прав працівників, забезпечення гнучкості ринку праці, підтримки соціальної справедливості та підвищення конкурентоспроможності економіки.</w:t>
      </w:r>
    </w:p>
    <w:p w14:paraId="15D274BB"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Першочерговим імпульсом до адаптації трудового законодавства стала Угода про асоціацію між Україною та Європейським Союзом, яка містить положення щодо поступового приведення національного законодавства у відповідність до норм ЄС. Зокрема, стаття 296 Угоди забороняє сторонам знижувати уже наявний рівень захисту праці та довкілля політики у сфері праці, рівних можливостей, охорони здоров’я та безпеки на робочому місці. Ці зобов’язання передбачають імплементацію директив ЄС, які регламентують основні стандарти захисту працівників, мінімальні вимоги до умов праці, протидію дискримінації, а також принципи соціального партнерства [3, c.72].</w:t>
      </w:r>
    </w:p>
    <w:p w14:paraId="45D4ED38"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Особливу увагу у процесі адаптації приділяють гармонізації Кодексу законів про працю України, який, будучи ухваленим ще у 1971 році, давно втратив здатність реагувати на сучасні виклики. Попри численні зміни та доповнення, чинне трудове законодавство досі значною мірою зберігає риси централізованої економіки та авторитарного управління трудовими відносинами. У цьому контексті Україна взяла курс на розроблення нового Трудового кодексу, що враховуватиме як європейські правові орієнтири, так і реалії українського ринку праці. У цьому зв’язку важливим завданням є запровадження принципу гнучкої безпеки (flexicurity), який поєднує гнучкість найму і звільнення з наданням працівникам високих соціальних гарантій, зокрема через системи професійної підготовки, перекваліфікації та страхування на випадок безробіття.</w:t>
      </w:r>
    </w:p>
    <w:p w14:paraId="149D5B88"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Одним із ключових напрямів адаптації є забезпечення права працівників на справедливі та гідні умови праці. Цей принцип закріплений у Директиві Європейського Парламенту і Ради (ЄС) 2019/1152 про прозорі та передбачувані умови праці, яка передбачає, зокрема, обов’язок роботодавця повідомляти працівника про основні умови трудових відносин, включно з робочим графіком, заробітною платою, тривалістю випробувального строку тощо. Законодавство України вже зробило низку кроків у цьому напрямі, зокрема шляхом законодавчого закріплення понять дистанційної та надомної роботи, а також гнучкого робочого часу. Однак, на практиці реалізація цих норм досі супроводжується правовими прогалинами та неоднозначністю їх застосування.</w:t>
      </w:r>
    </w:p>
    <w:p w14:paraId="73CD303E"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 xml:space="preserve">Наступним важливим аспектом адаптації є боротьба з дискримінацією </w:t>
      </w:r>
      <w:r w:rsidRPr="00511005">
        <w:rPr>
          <w:rFonts w:ascii="Arial" w:eastAsia="Calibri" w:hAnsi="Arial" w:cs="Arial"/>
          <w:szCs w:val="28"/>
          <w:lang w:val="uk-UA"/>
        </w:rPr>
        <w:lastRenderedPageBreak/>
        <w:t>у сфері праці. Європейське право у цій сфері орієнтується на заборону будь-якої дискримінації за ознаками статі, раси, етнічного походження, релігії, віку, інвалідності чи сексуальної орієнтації. Відповідні положення містяться у Директиві 2000/78/ЄС, Директиві 2006/54/ЄС та інших актах. Україна у свою чергу ухвалила Закон «Про засади запобігання та протидії дискримінації в Україні» та внесла зміни до Кодексу законів про працю, доповнивши його нормами про заборону дискримінації. Однак, ключовим викликом залишається відсутність ефективних механізмів реалізації цих норм, що проявляється в недостатній практиці судового захисту, низькій обізнаності громадян про свої права та інституційній слабкості державних органів, уповноважених наглядати за дотриманням недискримінаційних стандартів [1].</w:t>
      </w:r>
    </w:p>
    <w:p w14:paraId="21C0B170"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У межах адаптації важливою залишається також проблема соціального діалогу. В Європейському Союзі соціальні партнери — роботодавці, профспілки та уряд — відіграють активну роль у формуванні трудової політики. Натомість в Україні, хоча й діє тристороння соціально-економічна рада, ефективність її діяльності викликає сумніви. Проблеми полягають у нерепрезентативності профспілок, формалізованості процесу консультацій, відсутності обов’язковості реалізації домовленостей та слабкості інституційних механізмів колективного захисту. Підвищення рівня соціального діалогу вимагає глибоких змін не лише на рівні законодавства, а й у культурі ведення переговорів, позиціонуванні сторін та ролі держави як арбітра в трудових конфліктах.</w:t>
      </w:r>
    </w:p>
    <w:p w14:paraId="7863D35A"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Одним із суттєвих викликів на шляху до гармонізації трудового законодавства з нормами ЄС залишається реформа системи охорони праці. Закон України «Про охорону праці» встановлює загальні гарантії безпеки та гігієни праці, проте ці норми не завжди забезпечуються на практиці. Європейські директиви, зокрема Директива 89/391/ЄЕС, вимагають створення комплексної системи запобігання професійним ризикам, активної участі працівників у процесах управління безпекою праці, регулярного навчання з питань охорони праці та нагляду за дотриманням стандартів. Українське законодавство поки що не в повній мірі реалізує такі механізми, що створює потребу в інституційному перегляді контролюючих органів, зокрема щодо їх незалежності, ефективності та здатності здійснювати регулярний моніторинг робочих місць [2, c.164].</w:t>
      </w:r>
    </w:p>
    <w:p w14:paraId="28B01058"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 xml:space="preserve">Також важливим залишається забезпечення гнучких форм зайнятості, що зростають в умовах цифровізації праці та поширення нестандартних форм зайнятості. У цьому контексті українське законодавство повинно орієнтуватися на європейські підходи до правового оформлення гіг-економіки, неповної зайнятості, короткострокових контрактів, а також захисту осіб, які працюють на платформах. Забезпечення соціальних прав таких працівників, включно з правом на соціальне страхування, охорону </w:t>
      </w:r>
      <w:r w:rsidRPr="00511005">
        <w:rPr>
          <w:rFonts w:ascii="Arial" w:eastAsia="Calibri" w:hAnsi="Arial" w:cs="Arial"/>
          <w:szCs w:val="28"/>
          <w:lang w:val="uk-UA"/>
        </w:rPr>
        <w:lastRenderedPageBreak/>
        <w:t>праці та колективний захист, є частиною сучасного порядку денного реформування трудового права в Європі, і цей вектор потребує запровадження в Україні.</w:t>
      </w:r>
    </w:p>
    <w:p w14:paraId="056FC222"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До основних перешкод у процесі адаптації трудового законодавства України до європейських стандартів належать: фрагментарність нормативного регулювання, слабкість інституційного забезпечення, низький рівень правової культури у сфері праці, відсутність усталеної практики застосування міжнародних трудових стандартів. Для подолання цих викликів необхідним є здійснення цілеспрямованої державної політики, що охоплює такі компоненти: оновлення трудового законодавства на основі кодифікації з урахуванням acquis communautaire, посилення ролі державної інспекції праці, реформування системи професійної підготовки та перекваліфікації, забезпечення гендерної рівності, а також розвиток соціального партнерства та підвищення участі громадськості в процесах формування трудової політики.</w:t>
      </w:r>
    </w:p>
    <w:p w14:paraId="2B7754BD" w14:textId="77777777" w:rsidR="003476F8" w:rsidRPr="00511005" w:rsidRDefault="003476F8" w:rsidP="003A292D">
      <w:pPr>
        <w:widowControl w:val="0"/>
        <w:tabs>
          <w:tab w:val="left" w:pos="7088"/>
        </w:tabs>
        <w:autoSpaceDE w:val="0"/>
        <w:autoSpaceDN w:val="0"/>
        <w:adjustRightInd w:val="0"/>
        <w:spacing w:line="264" w:lineRule="auto"/>
        <w:rPr>
          <w:rFonts w:ascii="Arial" w:eastAsia="Calibri" w:hAnsi="Arial" w:cs="Arial"/>
          <w:szCs w:val="28"/>
          <w:lang w:val="uk-UA"/>
        </w:rPr>
      </w:pPr>
      <w:r w:rsidRPr="00511005">
        <w:rPr>
          <w:rFonts w:ascii="Arial" w:eastAsia="Calibri" w:hAnsi="Arial" w:cs="Arial"/>
          <w:szCs w:val="28"/>
          <w:lang w:val="uk-UA"/>
        </w:rPr>
        <w:t>Таким чином, адаптація трудового законодавства України до європейських стандартів є не лише вимогою Угоди про асоціацію, а й фундаментальною умовою формування ефективної моделі правового регулювання праці, яка базується на засадах гідності, справедливості, недискримінації та соціальної відповідальності. Її реалізація потребує комплексного підходу, що враховує особливості національного контексту, міжнародні зобов’язання та стратегічну мету інтеграції України до Європейського Союзу.</w:t>
      </w:r>
    </w:p>
    <w:p w14:paraId="1BFAADF4" w14:textId="3D6D630E" w:rsidR="003476F8" w:rsidRPr="00511005" w:rsidRDefault="007B2628" w:rsidP="007B2628">
      <w:pPr>
        <w:widowControl w:val="0"/>
        <w:spacing w:line="264" w:lineRule="auto"/>
        <w:ind w:firstLine="0"/>
        <w:contextualSpacing/>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Список використаних джерел</w:t>
      </w:r>
    </w:p>
    <w:p w14:paraId="7AF03491" w14:textId="77777777" w:rsidR="003476F8" w:rsidRPr="00511005" w:rsidRDefault="003476F8" w:rsidP="003F6A5D">
      <w:pPr>
        <w:widowControl w:val="0"/>
        <w:numPr>
          <w:ilvl w:val="0"/>
          <w:numId w:val="838"/>
        </w:numPr>
        <w:tabs>
          <w:tab w:val="left" w:pos="7088"/>
        </w:tabs>
        <w:autoSpaceDE w:val="0"/>
        <w:autoSpaceDN w:val="0"/>
        <w:adjustRightInd w:val="0"/>
        <w:spacing w:line="264" w:lineRule="auto"/>
        <w:ind w:left="0"/>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val="uk-UA" w:eastAsia="ru-RU" w:bidi="uk-UA"/>
        </w:rPr>
        <w:t xml:space="preserve">Бутинська Р. Актуальні питання гармонізації трудового законодавства в умовах євроінтеграції. </w:t>
      </w:r>
      <w:r w:rsidRPr="00511005">
        <w:rPr>
          <w:rFonts w:ascii="Arial" w:eastAsia="Times New Roman" w:hAnsi="Arial" w:cs="Arial"/>
          <w:bCs/>
          <w:i/>
          <w:iCs/>
          <w:szCs w:val="28"/>
          <w:lang w:val="uk-UA" w:eastAsia="ru-RU" w:bidi="uk-UA"/>
        </w:rPr>
        <w:t>Часопис Київського університету права</w:t>
      </w:r>
      <w:r w:rsidRPr="00511005">
        <w:rPr>
          <w:rFonts w:ascii="Arial" w:eastAsia="Times New Roman" w:hAnsi="Arial" w:cs="Arial"/>
          <w:bCs/>
          <w:szCs w:val="28"/>
          <w:lang w:val="uk-UA" w:eastAsia="ru-RU" w:bidi="uk-UA"/>
        </w:rPr>
        <w:t xml:space="preserve">. 2020. № 3. С. 146–150. URL: </w:t>
      </w:r>
      <w:hyperlink r:id="rId1721" w:tgtFrame="_new" w:history="1">
        <w:r w:rsidRPr="00511005">
          <w:rPr>
            <w:rFonts w:ascii="Arial" w:eastAsia="Times New Roman" w:hAnsi="Arial" w:cs="Arial"/>
            <w:bCs/>
            <w:szCs w:val="28"/>
            <w:lang w:val="uk-UA" w:eastAsia="ru-RU" w:bidi="uk-UA"/>
          </w:rPr>
          <w:t>https://chasprava.com.ua/index.php/journal/article/view/489</w:t>
        </w:r>
      </w:hyperlink>
      <w:r w:rsidRPr="00511005">
        <w:rPr>
          <w:rFonts w:ascii="Arial" w:eastAsia="Times New Roman" w:hAnsi="Arial" w:cs="Arial"/>
          <w:bCs/>
          <w:szCs w:val="28"/>
          <w:lang w:val="uk-UA" w:eastAsia="ru-RU" w:bidi="uk-UA"/>
        </w:rPr>
        <w:t xml:space="preserve"> (дата звернення: 18 квітня 2025 р.)​</w:t>
      </w:r>
    </w:p>
    <w:p w14:paraId="6C1D9117" w14:textId="77777777" w:rsidR="003476F8" w:rsidRPr="00511005" w:rsidRDefault="003476F8" w:rsidP="003F6A5D">
      <w:pPr>
        <w:widowControl w:val="0"/>
        <w:numPr>
          <w:ilvl w:val="0"/>
          <w:numId w:val="838"/>
        </w:numPr>
        <w:tabs>
          <w:tab w:val="left" w:pos="7088"/>
        </w:tabs>
        <w:autoSpaceDE w:val="0"/>
        <w:autoSpaceDN w:val="0"/>
        <w:adjustRightInd w:val="0"/>
        <w:spacing w:line="264" w:lineRule="auto"/>
        <w:ind w:left="0"/>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val="uk-UA" w:eastAsia="ru-RU"/>
        </w:rPr>
        <w:t>Бек У.</w:t>
      </w:r>
      <w:r w:rsidRPr="00511005">
        <w:rPr>
          <w:rFonts w:ascii="Arial" w:eastAsia="Times New Roman" w:hAnsi="Arial" w:cs="Arial"/>
          <w:szCs w:val="28"/>
          <w:lang w:val="uk-UA" w:eastAsia="ru-RU"/>
        </w:rPr>
        <w:t xml:space="preserve"> Кодифікація національного трудового законодавства в контексті європейської інтеграції. </w:t>
      </w:r>
      <w:r w:rsidRPr="00511005">
        <w:rPr>
          <w:rFonts w:ascii="Arial" w:eastAsia="Times New Roman" w:hAnsi="Arial" w:cs="Arial"/>
          <w:i/>
          <w:iCs/>
          <w:szCs w:val="28"/>
          <w:lang w:val="uk-UA" w:eastAsia="ru-RU"/>
        </w:rPr>
        <w:t>Вісник Національного університету «Львівська політехніка». Серія: Юридичні науки</w:t>
      </w:r>
      <w:r w:rsidRPr="00511005">
        <w:rPr>
          <w:rFonts w:ascii="Arial" w:eastAsia="Times New Roman" w:hAnsi="Arial" w:cs="Arial"/>
          <w:szCs w:val="28"/>
          <w:lang w:val="uk-UA" w:eastAsia="ru-RU"/>
        </w:rPr>
        <w:t xml:space="preserve">. 2023. Т. 10. № 2(38). С. 162–169. URL: </w:t>
      </w:r>
      <w:hyperlink r:id="rId1722" w:tgtFrame="_new" w:history="1">
        <w:r w:rsidRPr="00511005">
          <w:rPr>
            <w:rFonts w:ascii="Arial" w:eastAsia="Times New Roman" w:hAnsi="Arial" w:cs="Arial"/>
            <w:szCs w:val="28"/>
            <w:lang w:val="uk-UA" w:eastAsia="ru-RU"/>
          </w:rPr>
          <w:t>https://science.lpnu.ua/uk/law/vsi-vypusky/volume-10-number-2-38-2023/kodyfikaciya-nacionalnogo-trudovogo-zakonodavstva-v</w:t>
        </w:r>
      </w:hyperlink>
      <w:r w:rsidRPr="00511005">
        <w:rPr>
          <w:rFonts w:ascii="Arial" w:eastAsia="Times New Roman" w:hAnsi="Arial" w:cs="Arial"/>
          <w:szCs w:val="28"/>
          <w:lang w:val="uk-UA" w:eastAsia="ru-RU"/>
        </w:rPr>
        <w:t xml:space="preserve"> (дата звернення: 18 квітня 2025 р.)</w:t>
      </w:r>
    </w:p>
    <w:p w14:paraId="45540748" w14:textId="6161A7C5" w:rsidR="003476F8" w:rsidRPr="00511005" w:rsidRDefault="003476F8" w:rsidP="003F6A5D">
      <w:pPr>
        <w:widowControl w:val="0"/>
        <w:numPr>
          <w:ilvl w:val="0"/>
          <w:numId w:val="838"/>
        </w:numPr>
        <w:tabs>
          <w:tab w:val="left" w:pos="7088"/>
        </w:tabs>
        <w:autoSpaceDE w:val="0"/>
        <w:autoSpaceDN w:val="0"/>
        <w:adjustRightInd w:val="0"/>
        <w:spacing w:line="264" w:lineRule="auto"/>
        <w:ind w:left="0"/>
        <w:contextualSpacing/>
        <w:jc w:val="left"/>
        <w:rPr>
          <w:rFonts w:ascii="Arial" w:eastAsia="Times New Roman" w:hAnsi="Arial" w:cs="Arial"/>
          <w:szCs w:val="28"/>
          <w:lang w:val="uk-UA" w:eastAsia="ru-RU" w:bidi="uk-UA"/>
        </w:rPr>
      </w:pPr>
      <w:r w:rsidRPr="00511005">
        <w:rPr>
          <w:rFonts w:ascii="Arial" w:eastAsia="Times New Roman" w:hAnsi="Arial" w:cs="Arial"/>
          <w:bCs/>
          <w:szCs w:val="28"/>
          <w:lang w:val="uk-UA" w:eastAsia="ru-RU"/>
        </w:rPr>
        <w:t>Карпенко Р. В.</w:t>
      </w:r>
      <w:r w:rsidRPr="00511005">
        <w:rPr>
          <w:rFonts w:ascii="Arial" w:eastAsia="Times New Roman" w:hAnsi="Arial" w:cs="Arial"/>
          <w:szCs w:val="28"/>
          <w:lang w:val="uk-UA" w:eastAsia="ru-RU"/>
        </w:rPr>
        <w:t xml:space="preserve"> Адаптація національного трудового законодавства до норм міжнародних стандартів. </w:t>
      </w:r>
      <w:r w:rsidRPr="00511005">
        <w:rPr>
          <w:rFonts w:ascii="Arial" w:eastAsia="Times New Roman" w:hAnsi="Arial" w:cs="Arial"/>
          <w:i/>
          <w:iCs/>
          <w:szCs w:val="28"/>
          <w:lang w:val="uk-UA" w:eastAsia="ru-RU"/>
        </w:rPr>
        <w:t xml:space="preserve">Актуальні проблеми державотворення, право творення та правозастосування </w:t>
      </w:r>
      <w:r w:rsidRPr="00511005">
        <w:rPr>
          <w:rFonts w:ascii="Arial" w:eastAsia="Times New Roman" w:hAnsi="Arial" w:cs="Arial"/>
          <w:szCs w:val="28"/>
          <w:lang w:val="uk-UA" w:eastAsia="ru-RU"/>
        </w:rPr>
        <w:t>: матеріали наук. семінару (м. Дніпро, 10 груд. 2020 р.)</w:t>
      </w:r>
      <w:r w:rsidRPr="00511005">
        <w:rPr>
          <w:rFonts w:ascii="Arial" w:eastAsia="Times New Roman" w:hAnsi="Arial" w:cs="Arial"/>
          <w:i/>
          <w:iCs/>
          <w:szCs w:val="28"/>
          <w:lang w:val="uk-UA" w:eastAsia="ru-RU"/>
        </w:rPr>
        <w:t>.</w:t>
      </w:r>
      <w:r w:rsidRPr="00511005">
        <w:rPr>
          <w:rFonts w:ascii="Arial" w:eastAsia="Times New Roman" w:hAnsi="Arial" w:cs="Arial"/>
          <w:szCs w:val="28"/>
          <w:lang w:val="uk-UA" w:eastAsia="ru-RU"/>
        </w:rPr>
        <w:t xml:space="preserve"> Дніпро: ДДУВС, 2021. С. 71–72.</w:t>
      </w:r>
      <w:r w:rsidRPr="00511005">
        <w:rPr>
          <w:rFonts w:ascii="Arial" w:eastAsia="Times New Roman" w:hAnsi="Arial" w:cs="Arial"/>
          <w:szCs w:val="28"/>
          <w:lang w:val="uk-UA" w:eastAsia="ru-RU"/>
        </w:rPr>
        <w:br/>
        <w:t xml:space="preserve">URL: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er</w:instrText>
      </w:r>
      <w:r w:rsidR="005938AD" w:rsidRPr="00055389">
        <w:rPr>
          <w:lang w:val="uk-UA"/>
        </w:rPr>
        <w:instrText>.</w:instrText>
      </w:r>
      <w:r w:rsidR="005938AD">
        <w:instrText>dduvs</w:instrText>
      </w:r>
      <w:r w:rsidR="005938AD" w:rsidRPr="00055389">
        <w:rPr>
          <w:lang w:val="uk-UA"/>
        </w:rPr>
        <w:instrText>.</w:instrText>
      </w:r>
      <w:r w:rsidR="005938AD">
        <w:instrText>edu</w:instrText>
      </w:r>
      <w:r w:rsidR="005938AD" w:rsidRPr="00055389">
        <w:rPr>
          <w:lang w:val="uk-UA"/>
        </w:rPr>
        <w:instrText>.</w:instrText>
      </w:r>
      <w:r w:rsidR="005938AD">
        <w:instrText>ua</w:instrText>
      </w:r>
      <w:r w:rsidR="005938AD" w:rsidRPr="00055389">
        <w:rPr>
          <w:lang w:val="uk-UA"/>
        </w:rPr>
        <w:instrText>/</w:instrText>
      </w:r>
      <w:r w:rsidR="005938AD">
        <w:instrText>handle</w:instrText>
      </w:r>
      <w:r w:rsidR="005938AD" w:rsidRPr="00055389">
        <w:rPr>
          <w:lang w:val="uk-UA"/>
        </w:rPr>
        <w:instrText>/123456789/8254" \</w:instrText>
      </w:r>
      <w:r w:rsidR="005938AD">
        <w:instrText>t</w:instrText>
      </w:r>
      <w:r w:rsidR="005938AD" w:rsidRPr="00055389">
        <w:rPr>
          <w:lang w:val="uk-UA"/>
        </w:rPr>
        <w:instrText xml:space="preserve"> "_</w:instrText>
      </w:r>
      <w:r w:rsidR="005938AD">
        <w:instrText>new</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eastAsia="ru-RU"/>
        </w:rPr>
        <w:t>https://er.dduvs.edu.ua/handle/123456789/8254</w:t>
      </w:r>
      <w:r w:rsidR="005938AD">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xml:space="preserve"> (дата звернення: 18 квітня 2025 р.)</w:t>
      </w:r>
    </w:p>
    <w:p w14:paraId="25C3C273" w14:textId="516536C1" w:rsidR="003476F8" w:rsidRPr="00511005" w:rsidRDefault="00EE6668" w:rsidP="003A292D">
      <w:pPr>
        <w:widowControl w:val="0"/>
        <w:tabs>
          <w:tab w:val="left" w:pos="993"/>
          <w:tab w:val="left" w:pos="7088"/>
        </w:tabs>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b/>
          <w:szCs w:val="28"/>
          <w:lang w:val="uk-UA" w:eastAsia="ru-RU" w:bidi="uk-UA"/>
        </w:rPr>
        <w:t>Ключові слова:</w:t>
      </w:r>
      <w:r w:rsidR="003476F8" w:rsidRPr="00511005">
        <w:rPr>
          <w:rFonts w:ascii="Arial" w:eastAsia="Times New Roman" w:hAnsi="Arial" w:cs="Arial"/>
          <w:b/>
          <w:szCs w:val="28"/>
          <w:lang w:val="uk-UA" w:eastAsia="ru-RU"/>
        </w:rPr>
        <w:t xml:space="preserve"> </w:t>
      </w:r>
      <w:r w:rsidR="003476F8" w:rsidRPr="00511005">
        <w:rPr>
          <w:rFonts w:ascii="Arial" w:eastAsia="Times New Roman" w:hAnsi="Arial" w:cs="Arial"/>
          <w:szCs w:val="28"/>
          <w:lang w:val="uk-UA" w:eastAsia="ru-RU"/>
        </w:rPr>
        <w:t xml:space="preserve">адаптація трудового законодавства, європейські стандарти, трудове право України, реформування трудового законодавства, </w:t>
      </w:r>
      <w:r w:rsidR="003476F8" w:rsidRPr="00511005">
        <w:rPr>
          <w:rFonts w:ascii="Arial" w:eastAsia="Times New Roman" w:hAnsi="Arial" w:cs="Arial"/>
          <w:szCs w:val="28"/>
          <w:lang w:val="uk-UA" w:eastAsia="ru-RU"/>
        </w:rPr>
        <w:lastRenderedPageBreak/>
        <w:t>трудові відносини.</w:t>
      </w:r>
    </w:p>
    <w:p w14:paraId="62077996" w14:textId="650ACFD8" w:rsidR="003476F8" w:rsidRPr="00511005" w:rsidRDefault="00EE6668" w:rsidP="003A292D">
      <w:pPr>
        <w:widowControl w:val="0"/>
        <w:tabs>
          <w:tab w:val="left" w:pos="993"/>
          <w:tab w:val="left" w:pos="7088"/>
        </w:tabs>
        <w:autoSpaceDE w:val="0"/>
        <w:autoSpaceDN w:val="0"/>
        <w:adjustRightInd w:val="0"/>
        <w:spacing w:line="264" w:lineRule="auto"/>
        <w:rPr>
          <w:rFonts w:ascii="Arial" w:eastAsia="Times New Roman" w:hAnsi="Arial" w:cs="Arial"/>
          <w:b/>
          <w:szCs w:val="28"/>
          <w:lang w:val="uk-UA" w:eastAsia="ru-RU"/>
        </w:rPr>
      </w:pPr>
      <w:r w:rsidRPr="00511005">
        <w:rPr>
          <w:rFonts w:ascii="Arial" w:eastAsia="Times New Roman" w:hAnsi="Arial" w:cs="Arial"/>
          <w:b/>
          <w:szCs w:val="28"/>
          <w:lang w:val="uk-UA" w:eastAsia="ru-RU"/>
        </w:rPr>
        <w:t>Key words:</w:t>
      </w:r>
      <w:r w:rsidR="003476F8" w:rsidRPr="00511005">
        <w:rPr>
          <w:rFonts w:ascii="Arial" w:eastAsia="Times New Roman" w:hAnsi="Arial" w:cs="Arial"/>
          <w:b/>
          <w:szCs w:val="28"/>
          <w:lang w:val="uk-UA" w:eastAsia="ru-RU"/>
        </w:rPr>
        <w:t xml:space="preserve"> </w:t>
      </w:r>
      <w:r w:rsidR="003476F8" w:rsidRPr="00511005">
        <w:rPr>
          <w:rFonts w:ascii="Arial" w:eastAsia="Times New Roman" w:hAnsi="Arial" w:cs="Arial"/>
          <w:szCs w:val="28"/>
          <w:lang w:val="uk-UA" w:eastAsia="ru-RU"/>
        </w:rPr>
        <w:t>adaptation of labor legislation, European standards, labor law of Ukraine, reform of labor legislation, labor relations.</w:t>
      </w:r>
    </w:p>
    <w:p w14:paraId="53D05817" w14:textId="18B34B8E" w:rsidR="003476F8" w:rsidRPr="00511005" w:rsidRDefault="007B2628" w:rsidP="003A292D">
      <w:pPr>
        <w:keepNext/>
        <w:widowControl w:val="0"/>
        <w:autoSpaceDE w:val="0"/>
        <w:autoSpaceDN w:val="0"/>
        <w:adjustRightInd w:val="0"/>
        <w:spacing w:line="264" w:lineRule="auto"/>
        <w:rPr>
          <w:rFonts w:ascii="Arial" w:eastAsia="Times New Roman" w:hAnsi="Arial" w:cs="Arial"/>
          <w:szCs w:val="28"/>
          <w:lang w:val="uk-UA" w:eastAsia="ru-RU" w:bidi="uk-UA"/>
        </w:rPr>
      </w:pPr>
      <w:r w:rsidRPr="00511005">
        <w:rPr>
          <w:rFonts w:ascii="Arial" w:eastAsia="Times New Roman" w:hAnsi="Arial" w:cs="Arial"/>
          <w:b/>
          <w:bCs/>
          <w:i/>
          <w:iCs/>
          <w:szCs w:val="28"/>
          <w:lang w:val="uk-UA" w:eastAsia="ru-RU"/>
        </w:rPr>
        <w:t xml:space="preserve">Науковий керівник: </w:t>
      </w:r>
      <w:r w:rsidR="003476F8" w:rsidRPr="00511005">
        <w:rPr>
          <w:rFonts w:ascii="Arial" w:eastAsia="Times New Roman" w:hAnsi="Arial" w:cs="Arial"/>
          <w:bCs/>
          <w:i/>
          <w:iCs/>
          <w:szCs w:val="28"/>
          <w:lang w:val="uk-UA" w:eastAsia="ru-RU"/>
        </w:rPr>
        <w:t>Кіліміченко А.О.</w:t>
      </w:r>
    </w:p>
    <w:p w14:paraId="7AD05A12"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261C5E13"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2951CA5B"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41CCDB87" w14:textId="77777777" w:rsidR="003476F8" w:rsidRPr="00511005" w:rsidRDefault="003476F8" w:rsidP="003A292D">
      <w:pPr>
        <w:spacing w:line="264" w:lineRule="auto"/>
        <w:ind w:firstLine="0"/>
        <w:contextualSpacing/>
        <w:jc w:val="center"/>
        <w:rPr>
          <w:rFonts w:ascii="Arial" w:eastAsia="Aptos" w:hAnsi="Arial" w:cs="Arial"/>
          <w:b/>
          <w:bCs/>
          <w:i/>
          <w:iCs/>
          <w:kern w:val="2"/>
          <w:szCs w:val="28"/>
          <w14:ligatures w14:val="standardContextual"/>
        </w:rPr>
      </w:pPr>
      <w:r w:rsidRPr="00511005">
        <w:rPr>
          <w:rFonts w:ascii="Arial" w:eastAsia="Aptos" w:hAnsi="Arial" w:cs="Arial"/>
          <w:b/>
          <w:bCs/>
          <w:i/>
          <w:iCs/>
          <w:kern w:val="2"/>
          <w:szCs w:val="28"/>
          <w:lang w:val="uk-UA"/>
          <w14:ligatures w14:val="standardContextual"/>
        </w:rPr>
        <w:t>Циганенко Тетяна Сергіївна</w:t>
      </w:r>
    </w:p>
    <w:p w14:paraId="6B0E950B" w14:textId="57E0B03C" w:rsidR="003476F8" w:rsidRPr="00511005" w:rsidRDefault="00536AAB" w:rsidP="003A292D">
      <w:pPr>
        <w:spacing w:line="264" w:lineRule="auto"/>
        <w:ind w:firstLine="0"/>
        <w:contextualSpacing/>
        <w:jc w:val="center"/>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студентка 2-го курсу </w:t>
      </w:r>
      <w:r w:rsidR="007B2628" w:rsidRPr="00511005">
        <w:rPr>
          <w:rFonts w:ascii="Arial" w:eastAsia="Aptos" w:hAnsi="Arial" w:cs="Arial"/>
          <w:kern w:val="2"/>
          <w:szCs w:val="28"/>
          <w:lang w:val="uk-UA"/>
          <w14:ligatures w14:val="standardContextual"/>
        </w:rPr>
        <w:t>факультету цивільної та господарської юстиції</w:t>
      </w:r>
    </w:p>
    <w:p w14:paraId="2978C062" w14:textId="2D006F9B" w:rsidR="003476F8" w:rsidRPr="00511005" w:rsidRDefault="007B2628" w:rsidP="003A292D">
      <w:pPr>
        <w:spacing w:line="264" w:lineRule="auto"/>
        <w:ind w:firstLine="0"/>
        <w:contextualSpacing/>
        <w:jc w:val="center"/>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Національного університету «Одеська юридична академія»</w:t>
      </w:r>
    </w:p>
    <w:p w14:paraId="18792CF8" w14:textId="77777777" w:rsidR="003476F8" w:rsidRPr="00511005" w:rsidRDefault="003476F8" w:rsidP="003A292D">
      <w:pPr>
        <w:spacing w:line="264" w:lineRule="auto"/>
        <w:ind w:right="-2" w:firstLine="0"/>
        <w:jc w:val="center"/>
        <w:rPr>
          <w:rFonts w:ascii="Arial" w:eastAsia="Aptos" w:hAnsi="Arial" w:cs="Arial"/>
          <w:kern w:val="2"/>
          <w:szCs w:val="28"/>
          <w:lang w:val="uk-UA"/>
          <w14:ligatures w14:val="standardContextual"/>
        </w:rPr>
      </w:pPr>
    </w:p>
    <w:p w14:paraId="7BBEF6DD" w14:textId="77777777" w:rsidR="003476F8" w:rsidRPr="00511005" w:rsidRDefault="003476F8" w:rsidP="003A292D">
      <w:pPr>
        <w:spacing w:line="264" w:lineRule="auto"/>
        <w:ind w:right="-2"/>
        <w:jc w:val="center"/>
        <w:rPr>
          <w:rFonts w:ascii="Arial" w:eastAsia="Aptos" w:hAnsi="Arial" w:cs="Arial"/>
          <w:b/>
          <w:bCs/>
          <w:kern w:val="2"/>
          <w:szCs w:val="28"/>
          <w:lang w:val="uk-UA"/>
          <w14:ligatures w14:val="standardContextual"/>
        </w:rPr>
      </w:pPr>
      <w:r w:rsidRPr="00511005">
        <w:rPr>
          <w:rFonts w:ascii="Arial" w:eastAsia="Aptos" w:hAnsi="Arial" w:cs="Arial"/>
          <w:b/>
          <w:bCs/>
          <w:kern w:val="2"/>
          <w:szCs w:val="28"/>
          <w:lang w:val="uk-UA"/>
          <w14:ligatures w14:val="standardContextual"/>
        </w:rPr>
        <w:t>ПРАВО НА СОЦІАЛЬНІ ВІДПУСТКИ: ВІТЧИЗНЯНИЙ ТА ЗАРУБІЖНИЙ ДОСВІД</w:t>
      </w:r>
    </w:p>
    <w:p w14:paraId="68117524"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Право на соціальні відпустки є важливою складовою системи трудових прав працівників, що відображає соціальну природу сучасної держави та її орієнтацію на забезпечення балансу між трудовими обов'язками та особистими потребами громадян. Зростання значення інституту соціальних відпусток обумовлено еволюцією міжнародних трудових стандартів, підвищенням уваги до питань сімейного життя, освіти, охорони здоров’я, а також необхідністю врахування особливих життєвих обставин працівників. Відповідно до положень Конвенції Міжнародної організації праці № 132 про оплачувані відпустки та Загальної декларації прав людини, кожна особа має право на відпочинок і розумні обмеження робочого часу, що включає й різноманітні види спеціальних відпусток як інструменту реалізації цих гарантій [1; 2].</w:t>
      </w:r>
    </w:p>
    <w:p w14:paraId="00C7E5D6"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Соціальні відпустки визначаються як тимчасове звільнення працівника від виконання трудових обов'язків за збереженням або без збереження заробітної плати у зв’язку з виникненням певних обставин особистого чи суспільного характеру. До таких відпусток належать, зокрема, навчальні відпустки, творчі відпустки, відпустки у зв'язку з вагітністю та пологами, відпустки для догляду за дитиною або за хворим родичем, додаткові соціальні відпустки, відпустки у зв'язку з сімейними обставинами, відпустки для участі у громадських заходах тощо. Існування спеціальних відпусток є проявом гуманізації трудових відносин, підтвердженням визнання за працівником не лише ролі суб’єкта праці, а й повноцінної особистості зі своїми особистими, сімейними, соціальними потребами.</w:t>
      </w:r>
    </w:p>
    <w:p w14:paraId="0FC8EA9B"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У вітчизняному законодавстві інститут соціальних відпусток закріплений у Кодексі законів про працю України, Законі України «Про відпустки», а саме у ст. 17 та низці інших нормативно-правових актів. Основними видами соціальних відпусток є навчальні відпустки для здобуття освіти, творчі відпустки для завершення наукових або мистецьких робіт, </w:t>
      </w:r>
      <w:r w:rsidRPr="00511005">
        <w:rPr>
          <w:rFonts w:ascii="Arial" w:eastAsia="Aptos" w:hAnsi="Arial" w:cs="Arial"/>
          <w:kern w:val="2"/>
          <w:szCs w:val="28"/>
          <w:lang w:val="uk-UA"/>
          <w14:ligatures w14:val="standardContextual"/>
        </w:rPr>
        <w:lastRenderedPageBreak/>
        <w:t xml:space="preserve">додаткові соціальні відпустки працівникам, які мають дітей або доглядають за людьми з інвалідністю, відпустки у зв'язку з вагітністю та пологами [3]. </w:t>
      </w:r>
    </w:p>
    <w:p w14:paraId="29DD0810"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Крім того, надаються додаткові відпустки окремим категоріям працівників, наприклад учасникам бойових дій або особам, постраждалим унаслідок Чорнобильської катастрофи. Проте аналіз національного законодавства свідчить про наявність ряду проблем: відсутність єдиного підходу до регулювання різних видів спеціальних відпусток, неузгодженість норм у різних законодавчих актах, а також обмеженість підстав для надання таких відпусток. Це створює труднощі як для працівників, так і для роботодавців при застосуванні права на спеціальні відпустки на практиці.</w:t>
      </w:r>
    </w:p>
    <w:p w14:paraId="1F8B254B"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Аналіз зарубіжного досвіду показує суттєві відмінності у підходах до регулювання соціальних відпусток. У країнах Європейського Союзу відзначається високий рівень правових гарантій для працівників у цій сфері. Так, Директива 2019/1158/ЄС про баланс між професійним та приватним життям передбачає обов’язок держав-членів запровадити оплачувані відпустки для догляду за дітьми та хворими родичами, встановити права на гнучкі форми організації праці</w:t>
      </w:r>
      <w:r w:rsidRPr="00511005">
        <w:rPr>
          <w:rFonts w:ascii="Arial" w:eastAsia="Aptos" w:hAnsi="Arial" w:cs="Arial"/>
          <w:kern w:val="2"/>
          <w:szCs w:val="28"/>
          <w14:ligatures w14:val="standardContextual"/>
        </w:rPr>
        <w:t xml:space="preserve"> [4]</w:t>
      </w:r>
      <w:r w:rsidRPr="00511005">
        <w:rPr>
          <w:rFonts w:ascii="Arial" w:eastAsia="Aptos" w:hAnsi="Arial" w:cs="Arial"/>
          <w:kern w:val="2"/>
          <w:szCs w:val="28"/>
          <w:lang w:val="uk-UA"/>
          <w14:ligatures w14:val="standardContextual"/>
        </w:rPr>
        <w:t xml:space="preserve">. </w:t>
      </w:r>
    </w:p>
    <w:p w14:paraId="3822776A"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У Франції законодавство гарантує оплачувані соціальні відпустки у зв'язку з народженням дитини, укладенням шлюбу, смертю близького родича, а також дозволяє працівникам брати додаткові відпустки у разі важких життєвих обставин. </w:t>
      </w:r>
    </w:p>
    <w:p w14:paraId="1D4BF271"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У Швеції існує надзвичайно розвинена система батьківських відпусток: працівники мають право на 480 днів оплачуваної відпустки для догляду за дитиною, яка рівномірно розподіляється між обома батьками з метою заохочення рівності в сімейних обов'язках. </w:t>
      </w:r>
    </w:p>
    <w:p w14:paraId="05A09B71"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У США, незважаючи на відсутність федерального законодавства про оплачувані соціальні відпустки, Закон про сімейні та медичні відпустки (FMLA) забезпечує право працівників на до 12 тижнів неоплачуваної відпустки для догляду за новонародженими дітьми, важко хворими членами сім’ї або для лікування власних серйозних хвороб [5].</w:t>
      </w:r>
    </w:p>
    <w:p w14:paraId="7D77EEFA"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Особливої уваги заслуговує досвід Іспанії, де інститут соціальних відпусток регулюється комплексно у рамках Статуту працівників (Estatuto de los Trabajadores). Іспанське трудове право передбачає право працівника на різні види спеціальних відпусток, включаючи обов'язкові оплачувані відпустки у разі народження дитини, смерті, тяжкої хвороби, госпіталізації або хірургічного втручання близьких родичів. Також передбачені спеціальні відпустки для працівників, які здійснюють навчання або беруть участь у професійному розвитку</w:t>
      </w:r>
      <w:r w:rsidRPr="00511005">
        <w:rPr>
          <w:rFonts w:ascii="Arial" w:eastAsia="Aptos" w:hAnsi="Arial" w:cs="Arial"/>
          <w:kern w:val="2"/>
          <w:szCs w:val="28"/>
          <w14:ligatures w14:val="standardContextual"/>
        </w:rPr>
        <w:t xml:space="preserve"> [6]</w:t>
      </w:r>
      <w:r w:rsidRPr="00511005">
        <w:rPr>
          <w:rFonts w:ascii="Arial" w:eastAsia="Aptos" w:hAnsi="Arial" w:cs="Arial"/>
          <w:kern w:val="2"/>
          <w:szCs w:val="28"/>
          <w:lang w:val="uk-UA"/>
          <w14:ligatures w14:val="standardContextual"/>
        </w:rPr>
        <w:t xml:space="preserve">. </w:t>
      </w:r>
    </w:p>
    <w:p w14:paraId="7D17DE1C"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Іспанське законодавство встановлює обов’язок роботодавця надавати працівнику відпустку тривалістю щонайменше 15 календарних днів у разі укладення шлюбу. Крім того, у випадку необхідності догляду за родичем до другого ступеня споріднення працівник має право на скорочення робочого </w:t>
      </w:r>
      <w:r w:rsidRPr="00511005">
        <w:rPr>
          <w:rFonts w:ascii="Arial" w:eastAsia="Aptos" w:hAnsi="Arial" w:cs="Arial"/>
          <w:kern w:val="2"/>
          <w:szCs w:val="28"/>
          <w:lang w:val="uk-UA"/>
          <w14:ligatures w14:val="standardContextual"/>
        </w:rPr>
        <w:lastRenderedPageBreak/>
        <w:t>часу або на неоплачувану відпустку з гарантією збереження робочого місця. Такий підхід свідчить про прагнення забезпечити реальну можливість працівників поєднувати професійні обов'язки з особистим і сімейним життям [6].</w:t>
      </w:r>
    </w:p>
    <w:p w14:paraId="17B0CA97"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Порівняльно-правовий аналіз дозволяє дійти висновку про існування загальної тенденції до розширення підстав для надання соціальних відпусток, підвищення гнучкості механізмів їх використання та зміцнення гарантій захисту трудових прав працівників. Для України актуальним є запровадження комплексної систематизації соціальних відпусток в єдиному нормативному акті, що враховував би потреби різних категорій працівників, а також гармонізація національного законодавства з європейськими стандартами. Поряд з цим, доцільним є розширення переліку підстав для надання соціальних відпусток, наприклад, запровадження правового регулювання відпусток для догляду за літніми батьками, відпусток для участі у волонтерських або громадських проектах, відпусток у зв'язку з лікуванням тривалих захворювань.</w:t>
      </w:r>
    </w:p>
    <w:p w14:paraId="7458C46A"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Отже, право на соціальні відпустки є важливим інструментом забезпечення соціальної справедливості, підвищення якості життя працівників, зміцнення трудових прав і сприяння гармонійному розвитку суспільства. Вивчення та імплементація найкращих міжнародних практик, зокрема досвіду країн Європейського Союзу та Іспанії, зокрема, має стати пріоритетним напрямом реформування трудового законодавства України, спрямованого на побудову справедливих та безпечних умов праці.</w:t>
      </w:r>
    </w:p>
    <w:p w14:paraId="0C74143E"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p>
    <w:p w14:paraId="5C393A35" w14:textId="77777777" w:rsidR="003476F8" w:rsidRPr="00511005" w:rsidRDefault="003476F8" w:rsidP="003A292D">
      <w:pPr>
        <w:spacing w:line="264" w:lineRule="auto"/>
        <w:ind w:right="-2"/>
        <w:rPr>
          <w:rFonts w:ascii="Arial" w:eastAsia="Aptos" w:hAnsi="Arial" w:cs="Arial"/>
          <w:kern w:val="2"/>
          <w:szCs w:val="28"/>
          <w:lang w:val="uk-UA"/>
          <w14:ligatures w14:val="standardContextual"/>
        </w:rPr>
      </w:pPr>
    </w:p>
    <w:p w14:paraId="1A7AD920" w14:textId="0053487B" w:rsidR="003476F8" w:rsidRPr="00511005" w:rsidRDefault="007B2628" w:rsidP="007B2628">
      <w:pPr>
        <w:spacing w:line="264" w:lineRule="auto"/>
        <w:ind w:right="-2"/>
        <w:jc w:val="center"/>
        <w:rPr>
          <w:rFonts w:ascii="Arial" w:eastAsia="Aptos" w:hAnsi="Arial" w:cs="Arial"/>
          <w:b/>
          <w:bCs/>
          <w:kern w:val="2"/>
          <w:szCs w:val="28"/>
          <w:lang w:val="uk-UA"/>
          <w14:ligatures w14:val="standardContextual"/>
        </w:rPr>
      </w:pPr>
      <w:r w:rsidRPr="00511005">
        <w:rPr>
          <w:rFonts w:ascii="Arial" w:eastAsia="Aptos" w:hAnsi="Arial" w:cs="Arial"/>
          <w:b/>
          <w:bCs/>
          <w:kern w:val="2"/>
          <w:szCs w:val="28"/>
          <w:lang w:val="uk-UA"/>
          <w14:ligatures w14:val="standardContextual"/>
        </w:rPr>
        <w:t>Список використаних джерел</w:t>
      </w:r>
    </w:p>
    <w:p w14:paraId="75E85A3E" w14:textId="77777777" w:rsidR="003476F8" w:rsidRPr="00511005" w:rsidRDefault="003476F8" w:rsidP="003F6A5D">
      <w:pPr>
        <w:numPr>
          <w:ilvl w:val="0"/>
          <w:numId w:val="468"/>
        </w:numPr>
        <w:spacing w:line="264" w:lineRule="auto"/>
        <w:ind w:left="0" w:right="-2"/>
        <w:jc w:val="left"/>
        <w:rPr>
          <w:rFonts w:ascii="Arial" w:eastAsia="Aptos" w:hAnsi="Arial" w:cs="Arial"/>
          <w:kern w:val="2"/>
          <w:szCs w:val="28"/>
          <w:lang w:val="uk-UA"/>
          <w14:ligatures w14:val="standardContextual"/>
        </w:rPr>
      </w:pPr>
      <w:r w:rsidRPr="00511005">
        <w:rPr>
          <w:rFonts w:ascii="Arial" w:eastAsia="Aptos" w:hAnsi="Arial" w:cs="Arial"/>
          <w:kern w:val="2"/>
          <w:szCs w:val="28"/>
          <w14:ligatures w14:val="standardContextual"/>
        </w:rPr>
        <w:t xml:space="preserve">Конвенція про оплачувані відпустки </w:t>
      </w:r>
      <w:r w:rsidRPr="00511005">
        <w:rPr>
          <w:rFonts w:ascii="Arial" w:eastAsia="Aptos" w:hAnsi="Arial" w:cs="Arial"/>
          <w:kern w:val="2"/>
          <w:szCs w:val="28"/>
          <w:lang w:val="en-US"/>
          <w14:ligatures w14:val="standardContextual"/>
        </w:rPr>
        <w:t>N</w:t>
      </w:r>
      <w:r w:rsidRPr="00511005">
        <w:rPr>
          <w:rFonts w:ascii="Arial" w:eastAsia="Aptos" w:hAnsi="Arial" w:cs="Arial"/>
          <w:kern w:val="2"/>
          <w:szCs w:val="28"/>
          <w14:ligatures w14:val="standardContextual"/>
        </w:rPr>
        <w:t xml:space="preserve"> 132 (переглянута у 1970 році): Міжнародний документ від 24.06.1970 № 132. </w:t>
      </w:r>
      <w:r w:rsidRPr="00511005">
        <w:rPr>
          <w:rFonts w:ascii="Arial" w:eastAsia="Aptos" w:hAnsi="Arial" w:cs="Arial"/>
          <w:kern w:val="2"/>
          <w:szCs w:val="28"/>
          <w:lang w:val="en-US"/>
          <w14:ligatures w14:val="standardContextual"/>
        </w:rPr>
        <w:t>URL</w:t>
      </w:r>
      <w:r w:rsidRPr="00511005">
        <w:rPr>
          <w:rFonts w:ascii="Arial" w:eastAsia="Aptos" w:hAnsi="Arial" w:cs="Arial"/>
          <w:kern w:val="2"/>
          <w:szCs w:val="28"/>
          <w14:ligatures w14:val="standardContextual"/>
        </w:rPr>
        <w:t xml:space="preserve">: </w:t>
      </w:r>
      <w:hyperlink r:id="rId1723" w:anchor="o31" w:history="1">
        <w:r w:rsidRPr="00511005">
          <w:rPr>
            <w:rFonts w:ascii="Arial" w:eastAsia="Aptos" w:hAnsi="Arial" w:cs="Arial"/>
            <w:kern w:val="2"/>
            <w:szCs w:val="28"/>
            <w:lang w:val="en-US"/>
            <w14:ligatures w14:val="standardContextual"/>
          </w:rPr>
          <w:t>https</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zakon</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rada</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gov</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ua</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laws</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show</w:t>
        </w:r>
        <w:r w:rsidRPr="00511005">
          <w:rPr>
            <w:rFonts w:ascii="Arial" w:eastAsia="Aptos" w:hAnsi="Arial" w:cs="Arial"/>
            <w:kern w:val="2"/>
            <w:szCs w:val="28"/>
            <w14:ligatures w14:val="standardContextual"/>
          </w:rPr>
          <w:t>/993_022#</w:t>
        </w:r>
        <w:r w:rsidRPr="00511005">
          <w:rPr>
            <w:rFonts w:ascii="Arial" w:eastAsia="Aptos" w:hAnsi="Arial" w:cs="Arial"/>
            <w:kern w:val="2"/>
            <w:szCs w:val="28"/>
            <w:lang w:val="en-US"/>
            <w14:ligatures w14:val="standardContextual"/>
          </w:rPr>
          <w:t>o</w:t>
        </w:r>
        <w:r w:rsidRPr="00511005">
          <w:rPr>
            <w:rFonts w:ascii="Arial" w:eastAsia="Aptos" w:hAnsi="Arial" w:cs="Arial"/>
            <w:kern w:val="2"/>
            <w:szCs w:val="28"/>
            <w14:ligatures w14:val="standardContextual"/>
          </w:rPr>
          <w:t>31</w:t>
        </w:r>
      </w:hyperlink>
      <w:r w:rsidRPr="00511005">
        <w:rPr>
          <w:rFonts w:ascii="Arial" w:eastAsia="Aptos" w:hAnsi="Arial" w:cs="Arial"/>
          <w:kern w:val="2"/>
          <w:szCs w:val="28"/>
          <w14:ligatures w14:val="standardContextual"/>
        </w:rPr>
        <w:t xml:space="preserve"> </w:t>
      </w:r>
      <w:r w:rsidRPr="00511005">
        <w:rPr>
          <w:rFonts w:ascii="Arial" w:eastAsia="Aptos" w:hAnsi="Arial" w:cs="Arial"/>
          <w:kern w:val="2"/>
          <w:szCs w:val="28"/>
          <w:lang w:val="uk-UA"/>
          <w14:ligatures w14:val="standardContextual"/>
        </w:rPr>
        <w:t>(дата звернення: 26.04.2025 р.)</w:t>
      </w:r>
    </w:p>
    <w:p w14:paraId="6DDAF083" w14:textId="77777777" w:rsidR="003476F8" w:rsidRPr="00511005" w:rsidRDefault="003476F8" w:rsidP="003F6A5D">
      <w:pPr>
        <w:numPr>
          <w:ilvl w:val="0"/>
          <w:numId w:val="468"/>
        </w:numPr>
        <w:spacing w:line="264" w:lineRule="auto"/>
        <w:ind w:left="0" w:right="-2"/>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Загальна декларація прав людини: Міжнародний документ від 10.12.1948. </w:t>
      </w:r>
      <w:r w:rsidRPr="00511005">
        <w:rPr>
          <w:rFonts w:ascii="Arial" w:eastAsia="Aptos" w:hAnsi="Arial" w:cs="Arial"/>
          <w:kern w:val="2"/>
          <w:szCs w:val="28"/>
          <w:lang w:val="en-US"/>
          <w14:ligatures w14:val="standardContextual"/>
        </w:rPr>
        <w:t>URL</w:t>
      </w:r>
      <w:r w:rsidRPr="00511005">
        <w:rPr>
          <w:rFonts w:ascii="Arial" w:eastAsia="Aptos" w:hAnsi="Arial" w:cs="Arial"/>
          <w:kern w:val="2"/>
          <w:szCs w:val="28"/>
          <w14:ligatures w14:val="standardContextual"/>
        </w:rPr>
        <w:t>:</w:t>
      </w:r>
      <w:r w:rsidRPr="00511005">
        <w:rPr>
          <w:rFonts w:ascii="Arial" w:eastAsia="Aptos" w:hAnsi="Arial" w:cs="Arial"/>
          <w:kern w:val="2"/>
          <w:szCs w:val="28"/>
          <w:lang w:val="uk-UA"/>
          <w14:ligatures w14:val="standardContextual"/>
        </w:rPr>
        <w:t xml:space="preserve"> </w:t>
      </w:r>
      <w:hyperlink r:id="rId1724" w:anchor="Text" w:history="1">
        <w:r w:rsidRPr="00511005">
          <w:rPr>
            <w:rFonts w:ascii="Arial" w:eastAsia="Aptos" w:hAnsi="Arial" w:cs="Arial"/>
            <w:kern w:val="2"/>
            <w:szCs w:val="28"/>
            <w:lang w:val="uk-UA"/>
            <w14:ligatures w14:val="standardContextual"/>
          </w:rPr>
          <w:t>https://zakon.rada.gov.ua/laws/show/995_015#Text</w:t>
        </w:r>
      </w:hyperlink>
      <w:r w:rsidRPr="00511005">
        <w:rPr>
          <w:rFonts w:ascii="Arial" w:eastAsia="Aptos" w:hAnsi="Arial" w:cs="Arial"/>
          <w:kern w:val="2"/>
          <w:szCs w:val="28"/>
          <w:lang w:val="uk-UA"/>
          <w14:ligatures w14:val="standardContextual"/>
        </w:rPr>
        <w:t xml:space="preserve"> (дата звернення: 26.04.2025 р.)</w:t>
      </w:r>
    </w:p>
    <w:p w14:paraId="0349B254" w14:textId="77777777" w:rsidR="003476F8" w:rsidRPr="00511005" w:rsidRDefault="003476F8" w:rsidP="003F6A5D">
      <w:pPr>
        <w:numPr>
          <w:ilvl w:val="0"/>
          <w:numId w:val="468"/>
        </w:numPr>
        <w:spacing w:line="264" w:lineRule="auto"/>
        <w:ind w:left="0" w:right="-2"/>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Про відпустки</w:t>
      </w:r>
      <w:r w:rsidRPr="00511005">
        <w:rPr>
          <w:rFonts w:ascii="Arial" w:eastAsia="Aptos" w:hAnsi="Arial" w:cs="Arial"/>
          <w:kern w:val="2"/>
          <w:szCs w:val="28"/>
          <w14:ligatures w14:val="standardContextual"/>
        </w:rPr>
        <w:t xml:space="preserve">: </w:t>
      </w:r>
      <w:r w:rsidRPr="00511005">
        <w:rPr>
          <w:rFonts w:ascii="Arial" w:eastAsia="Aptos" w:hAnsi="Arial" w:cs="Arial"/>
          <w:kern w:val="2"/>
          <w:szCs w:val="28"/>
          <w:lang w:val="uk-UA"/>
          <w14:ligatures w14:val="standardContextual"/>
        </w:rPr>
        <w:t>Закон України від 15.11.1996 № 504/96-ВР</w:t>
      </w:r>
      <w:r w:rsidRPr="00511005">
        <w:rPr>
          <w:rFonts w:ascii="Arial" w:eastAsia="Aptos" w:hAnsi="Arial" w:cs="Arial"/>
          <w:kern w:val="2"/>
          <w:szCs w:val="28"/>
          <w14:ligatures w14:val="standardContextual"/>
        </w:rPr>
        <w:t xml:space="preserve">. </w:t>
      </w:r>
      <w:r w:rsidRPr="00511005">
        <w:rPr>
          <w:rFonts w:ascii="Arial" w:eastAsia="Aptos" w:hAnsi="Arial" w:cs="Arial"/>
          <w:kern w:val="2"/>
          <w:szCs w:val="28"/>
          <w:lang w:val="en-US"/>
          <w14:ligatures w14:val="standardContextual"/>
        </w:rPr>
        <w:t>URL</w:t>
      </w:r>
      <w:r w:rsidRPr="00511005">
        <w:rPr>
          <w:rFonts w:ascii="Arial" w:eastAsia="Aptos" w:hAnsi="Arial" w:cs="Arial"/>
          <w:kern w:val="2"/>
          <w:szCs w:val="28"/>
          <w14:ligatures w14:val="standardContextual"/>
        </w:rPr>
        <w:t xml:space="preserve">: </w:t>
      </w:r>
      <w:hyperlink r:id="rId1725" w:anchor="Text" w:history="1">
        <w:r w:rsidRPr="00511005">
          <w:rPr>
            <w:rFonts w:ascii="Arial" w:eastAsia="Aptos" w:hAnsi="Arial" w:cs="Arial"/>
            <w:kern w:val="2"/>
            <w:szCs w:val="28"/>
            <w:lang w:val="en-US"/>
            <w14:ligatures w14:val="standardContextual"/>
          </w:rPr>
          <w:t>https</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zakon</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rada</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gov</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ua</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laws</w:t>
        </w:r>
        <w:r w:rsidRPr="00511005">
          <w:rPr>
            <w:rFonts w:ascii="Arial" w:eastAsia="Aptos" w:hAnsi="Arial" w:cs="Arial"/>
            <w:kern w:val="2"/>
            <w:szCs w:val="28"/>
            <w14:ligatures w14:val="standardContextual"/>
          </w:rPr>
          <w:t>/</w:t>
        </w:r>
        <w:r w:rsidRPr="00511005">
          <w:rPr>
            <w:rFonts w:ascii="Arial" w:eastAsia="Aptos" w:hAnsi="Arial" w:cs="Arial"/>
            <w:kern w:val="2"/>
            <w:szCs w:val="28"/>
            <w:lang w:val="en-US"/>
            <w14:ligatures w14:val="standardContextual"/>
          </w:rPr>
          <w:t>show</w:t>
        </w:r>
        <w:r w:rsidRPr="00511005">
          <w:rPr>
            <w:rFonts w:ascii="Arial" w:eastAsia="Aptos" w:hAnsi="Arial" w:cs="Arial"/>
            <w:kern w:val="2"/>
            <w:szCs w:val="28"/>
            <w14:ligatures w14:val="standardContextual"/>
          </w:rPr>
          <w:t>/504/96-%</w:t>
        </w:r>
        <w:r w:rsidRPr="00511005">
          <w:rPr>
            <w:rFonts w:ascii="Arial" w:eastAsia="Aptos" w:hAnsi="Arial" w:cs="Arial"/>
            <w:kern w:val="2"/>
            <w:szCs w:val="28"/>
            <w:lang w:val="en-US"/>
            <w14:ligatures w14:val="standardContextual"/>
          </w:rPr>
          <w:t>D</w:t>
        </w:r>
        <w:r w:rsidRPr="00511005">
          <w:rPr>
            <w:rFonts w:ascii="Arial" w:eastAsia="Aptos" w:hAnsi="Arial" w:cs="Arial"/>
            <w:kern w:val="2"/>
            <w:szCs w:val="28"/>
            <w14:ligatures w14:val="standardContextual"/>
          </w:rPr>
          <w:t>0%</w:t>
        </w:r>
        <w:r w:rsidRPr="00511005">
          <w:rPr>
            <w:rFonts w:ascii="Arial" w:eastAsia="Aptos" w:hAnsi="Arial" w:cs="Arial"/>
            <w:kern w:val="2"/>
            <w:szCs w:val="28"/>
            <w:lang w:val="en-US"/>
            <w14:ligatures w14:val="standardContextual"/>
          </w:rPr>
          <w:t>B</w:t>
        </w:r>
        <w:r w:rsidRPr="00511005">
          <w:rPr>
            <w:rFonts w:ascii="Arial" w:eastAsia="Aptos" w:hAnsi="Arial" w:cs="Arial"/>
            <w:kern w:val="2"/>
            <w:szCs w:val="28"/>
            <w14:ligatures w14:val="standardContextual"/>
          </w:rPr>
          <w:t>2%</w:t>
        </w:r>
        <w:r w:rsidRPr="00511005">
          <w:rPr>
            <w:rFonts w:ascii="Arial" w:eastAsia="Aptos" w:hAnsi="Arial" w:cs="Arial"/>
            <w:kern w:val="2"/>
            <w:szCs w:val="28"/>
            <w:lang w:val="en-US"/>
            <w14:ligatures w14:val="standardContextual"/>
          </w:rPr>
          <w:t>D</w:t>
        </w:r>
        <w:r w:rsidRPr="00511005">
          <w:rPr>
            <w:rFonts w:ascii="Arial" w:eastAsia="Aptos" w:hAnsi="Arial" w:cs="Arial"/>
            <w:kern w:val="2"/>
            <w:szCs w:val="28"/>
            <w14:ligatures w14:val="standardContextual"/>
          </w:rPr>
          <w:t>1%80#</w:t>
        </w:r>
        <w:r w:rsidRPr="00511005">
          <w:rPr>
            <w:rFonts w:ascii="Arial" w:eastAsia="Aptos" w:hAnsi="Arial" w:cs="Arial"/>
            <w:kern w:val="2"/>
            <w:szCs w:val="28"/>
            <w:lang w:val="en-US"/>
            <w14:ligatures w14:val="standardContextual"/>
          </w:rPr>
          <w:t>Text</w:t>
        </w:r>
      </w:hyperlink>
      <w:r w:rsidRPr="00511005">
        <w:rPr>
          <w:rFonts w:ascii="Arial" w:eastAsia="Aptos" w:hAnsi="Arial" w:cs="Arial"/>
          <w:kern w:val="2"/>
          <w:szCs w:val="28"/>
          <w14:ligatures w14:val="standardContextual"/>
        </w:rPr>
        <w:t xml:space="preserve"> </w:t>
      </w:r>
      <w:r w:rsidRPr="00511005">
        <w:rPr>
          <w:rFonts w:ascii="Arial" w:eastAsia="Aptos" w:hAnsi="Arial" w:cs="Arial"/>
          <w:kern w:val="2"/>
          <w:szCs w:val="28"/>
          <w:lang w:val="uk-UA"/>
          <w14:ligatures w14:val="standardContextual"/>
        </w:rPr>
        <w:t>(дата звернення: 26.04.2025 р.)</w:t>
      </w:r>
    </w:p>
    <w:p w14:paraId="3D4AE0CF" w14:textId="77777777" w:rsidR="003476F8" w:rsidRPr="00511005" w:rsidRDefault="003476F8" w:rsidP="003F6A5D">
      <w:pPr>
        <w:numPr>
          <w:ilvl w:val="0"/>
          <w:numId w:val="468"/>
        </w:numPr>
        <w:spacing w:line="264" w:lineRule="auto"/>
        <w:ind w:left="0" w:right="-2"/>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Директива (ЄС) 2019/1158 європейського парламенту та ради від 20 червня 2019 року про збалансованість службових та сімейних обов’язків для батьків і опікунів та скасування директиви ради 2010/18/ЄС. </w:t>
      </w:r>
      <w:r w:rsidRPr="00511005">
        <w:rPr>
          <w:rFonts w:ascii="Arial" w:eastAsia="Aptos" w:hAnsi="Arial" w:cs="Arial"/>
          <w:kern w:val="2"/>
          <w:szCs w:val="28"/>
          <w:lang w:val="en-US"/>
          <w14:ligatures w14:val="standardContextual"/>
        </w:rPr>
        <w:t>URL</w:t>
      </w:r>
      <w:r w:rsidRPr="00511005">
        <w:rPr>
          <w:rFonts w:ascii="Arial" w:eastAsia="Aptos" w:hAnsi="Arial" w:cs="Arial"/>
          <w:kern w:val="2"/>
          <w:szCs w:val="28"/>
          <w14:ligatures w14:val="standardContextual"/>
        </w:rPr>
        <w:t>:</w:t>
      </w:r>
      <w:r w:rsidRPr="00511005">
        <w:rPr>
          <w:rFonts w:ascii="Arial" w:eastAsia="Aptos" w:hAnsi="Arial" w:cs="Arial"/>
          <w:kern w:val="2"/>
          <w:szCs w:val="28"/>
          <w:lang w:val="uk-UA"/>
          <w14:ligatures w14:val="standardContextual"/>
        </w:rPr>
        <w:t xml:space="preserve"> https://jurfem.com.ua/wp-content/uploads/2023/09/EU-2019-1158.pdf (дата звернення: 26.04.2025 р.)</w:t>
      </w:r>
    </w:p>
    <w:p w14:paraId="7C9F4A0D" w14:textId="77777777" w:rsidR="003476F8" w:rsidRPr="00511005" w:rsidRDefault="003476F8" w:rsidP="003F6A5D">
      <w:pPr>
        <w:numPr>
          <w:ilvl w:val="0"/>
          <w:numId w:val="468"/>
        </w:numPr>
        <w:spacing w:line="264" w:lineRule="auto"/>
        <w:ind w:left="0" w:right="-2"/>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lastRenderedPageBreak/>
        <w:t xml:space="preserve">Що таке відпустка FMLA? </w:t>
      </w:r>
      <w:r w:rsidRPr="00511005">
        <w:rPr>
          <w:rFonts w:ascii="Arial" w:eastAsia="Aptos" w:hAnsi="Arial" w:cs="Arial"/>
          <w:kern w:val="2"/>
          <w:szCs w:val="28"/>
          <w:lang w:val="en-US"/>
          <w14:ligatures w14:val="standardContextual"/>
        </w:rPr>
        <w:t>URL</w:t>
      </w:r>
      <w:r w:rsidRPr="00511005">
        <w:rPr>
          <w:rFonts w:ascii="Arial" w:eastAsia="Aptos" w:hAnsi="Arial" w:cs="Arial"/>
          <w:kern w:val="2"/>
          <w:szCs w:val="28"/>
          <w:lang w:val="uk-UA"/>
          <w14:ligatures w14:val="standardContextual"/>
        </w:rPr>
        <w:t xml:space="preserve">: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ahaslides</w:instrText>
      </w:r>
      <w:r w:rsidR="005938AD" w:rsidRPr="00055389">
        <w:rPr>
          <w:lang w:val="uk-UA"/>
        </w:rPr>
        <w:instrText>.</w:instrText>
      </w:r>
      <w:r w:rsidR="005938AD">
        <w:instrText>com</w:instrText>
      </w:r>
      <w:r w:rsidR="005938AD" w:rsidRPr="00055389">
        <w:rPr>
          <w:lang w:val="uk-UA"/>
        </w:rPr>
        <w:instrText>/</w:instrText>
      </w:r>
      <w:r w:rsidR="005938AD">
        <w:instrText>uk</w:instrText>
      </w:r>
      <w:r w:rsidR="005938AD" w:rsidRPr="00055389">
        <w:rPr>
          <w:lang w:val="uk-UA"/>
        </w:rPr>
        <w:instrText>/</w:instrText>
      </w:r>
      <w:r w:rsidR="005938AD">
        <w:instrText>blog</w:instrText>
      </w:r>
      <w:r w:rsidR="005938AD" w:rsidRPr="00055389">
        <w:rPr>
          <w:lang w:val="uk-UA"/>
        </w:rPr>
        <w:instrText>/</w:instrText>
      </w:r>
      <w:r w:rsidR="005938AD">
        <w:instrText>fmla</w:instrText>
      </w:r>
      <w:r w:rsidR="005938AD" w:rsidRPr="00055389">
        <w:rPr>
          <w:lang w:val="uk-UA"/>
        </w:rPr>
        <w:instrText>-</w:instrText>
      </w:r>
      <w:r w:rsidR="005938AD">
        <w:instrText>le</w:instrText>
      </w:r>
      <w:r w:rsidR="005938AD">
        <w:instrText>ave</w:instrText>
      </w:r>
      <w:r w:rsidR="005938AD" w:rsidRPr="00055389">
        <w:rPr>
          <w:lang w:val="uk-UA"/>
        </w:rPr>
        <w:instrText xml:space="preserve">/" </w:instrText>
      </w:r>
      <w:r w:rsidR="005938AD">
        <w:fldChar w:fldCharType="separate"/>
      </w:r>
      <w:r w:rsidRPr="00511005">
        <w:rPr>
          <w:rFonts w:ascii="Arial" w:eastAsia="Aptos" w:hAnsi="Arial" w:cs="Arial"/>
          <w:kern w:val="2"/>
          <w:szCs w:val="28"/>
          <w:lang w:val="en-US"/>
          <w14:ligatures w14:val="standardContextual"/>
        </w:rPr>
        <w:t>https</w:t>
      </w:r>
      <w:r w:rsidRPr="00511005">
        <w:rPr>
          <w:rFonts w:ascii="Arial" w:eastAsia="Aptos" w:hAnsi="Arial" w:cs="Arial"/>
          <w:kern w:val="2"/>
          <w:szCs w:val="28"/>
          <w:lang w:val="uk-UA"/>
          <w14:ligatures w14:val="standardContextual"/>
        </w:rPr>
        <w:t>://</w:t>
      </w:r>
      <w:r w:rsidRPr="00511005">
        <w:rPr>
          <w:rFonts w:ascii="Arial" w:eastAsia="Aptos" w:hAnsi="Arial" w:cs="Arial"/>
          <w:kern w:val="2"/>
          <w:szCs w:val="28"/>
          <w:lang w:val="en-US"/>
          <w14:ligatures w14:val="standardContextual"/>
        </w:rPr>
        <w:t>ahaslides</w:t>
      </w:r>
      <w:r w:rsidRPr="00511005">
        <w:rPr>
          <w:rFonts w:ascii="Arial" w:eastAsia="Aptos" w:hAnsi="Arial" w:cs="Arial"/>
          <w:kern w:val="2"/>
          <w:szCs w:val="28"/>
          <w:lang w:val="uk-UA"/>
          <w14:ligatures w14:val="standardContextual"/>
        </w:rPr>
        <w:t>.</w:t>
      </w:r>
      <w:r w:rsidRPr="00511005">
        <w:rPr>
          <w:rFonts w:ascii="Arial" w:eastAsia="Aptos" w:hAnsi="Arial" w:cs="Arial"/>
          <w:kern w:val="2"/>
          <w:szCs w:val="28"/>
          <w:lang w:val="en-US"/>
          <w14:ligatures w14:val="standardContextual"/>
        </w:rPr>
        <w:t>com</w:t>
      </w:r>
      <w:r w:rsidRPr="00511005">
        <w:rPr>
          <w:rFonts w:ascii="Arial" w:eastAsia="Aptos" w:hAnsi="Arial" w:cs="Arial"/>
          <w:kern w:val="2"/>
          <w:szCs w:val="28"/>
          <w:lang w:val="uk-UA"/>
          <w14:ligatures w14:val="standardContextual"/>
        </w:rPr>
        <w:t>/</w:t>
      </w:r>
      <w:r w:rsidRPr="00511005">
        <w:rPr>
          <w:rFonts w:ascii="Arial" w:eastAsia="Aptos" w:hAnsi="Arial" w:cs="Arial"/>
          <w:kern w:val="2"/>
          <w:szCs w:val="28"/>
          <w:lang w:val="en-US"/>
          <w14:ligatures w14:val="standardContextual"/>
        </w:rPr>
        <w:t>uk</w:t>
      </w:r>
      <w:r w:rsidRPr="00511005">
        <w:rPr>
          <w:rFonts w:ascii="Arial" w:eastAsia="Aptos" w:hAnsi="Arial" w:cs="Arial"/>
          <w:kern w:val="2"/>
          <w:szCs w:val="28"/>
          <w:lang w:val="uk-UA"/>
          <w14:ligatures w14:val="standardContextual"/>
        </w:rPr>
        <w:t>/</w:t>
      </w:r>
      <w:r w:rsidRPr="00511005">
        <w:rPr>
          <w:rFonts w:ascii="Arial" w:eastAsia="Aptos" w:hAnsi="Arial" w:cs="Arial"/>
          <w:kern w:val="2"/>
          <w:szCs w:val="28"/>
          <w:lang w:val="en-US"/>
          <w14:ligatures w14:val="standardContextual"/>
        </w:rPr>
        <w:t>blog</w:t>
      </w:r>
      <w:r w:rsidRPr="00511005">
        <w:rPr>
          <w:rFonts w:ascii="Arial" w:eastAsia="Aptos" w:hAnsi="Arial" w:cs="Arial"/>
          <w:kern w:val="2"/>
          <w:szCs w:val="28"/>
          <w:lang w:val="uk-UA"/>
          <w14:ligatures w14:val="standardContextual"/>
        </w:rPr>
        <w:t>/</w:t>
      </w:r>
      <w:r w:rsidRPr="00511005">
        <w:rPr>
          <w:rFonts w:ascii="Arial" w:eastAsia="Aptos" w:hAnsi="Arial" w:cs="Arial"/>
          <w:kern w:val="2"/>
          <w:szCs w:val="28"/>
          <w:lang w:val="en-US"/>
          <w14:ligatures w14:val="standardContextual"/>
        </w:rPr>
        <w:t>fmla</w:t>
      </w:r>
      <w:r w:rsidRPr="00511005">
        <w:rPr>
          <w:rFonts w:ascii="Arial" w:eastAsia="Aptos" w:hAnsi="Arial" w:cs="Arial"/>
          <w:kern w:val="2"/>
          <w:szCs w:val="28"/>
          <w:lang w:val="uk-UA"/>
          <w14:ligatures w14:val="standardContextual"/>
        </w:rPr>
        <w:t>-</w:t>
      </w:r>
      <w:r w:rsidRPr="00511005">
        <w:rPr>
          <w:rFonts w:ascii="Arial" w:eastAsia="Aptos" w:hAnsi="Arial" w:cs="Arial"/>
          <w:kern w:val="2"/>
          <w:szCs w:val="28"/>
          <w:lang w:val="en-US"/>
          <w14:ligatures w14:val="standardContextual"/>
        </w:rPr>
        <w:t>leave</w:t>
      </w:r>
      <w:r w:rsidRPr="00511005">
        <w:rPr>
          <w:rFonts w:ascii="Arial" w:eastAsia="Aptos" w:hAnsi="Arial" w:cs="Arial"/>
          <w:kern w:val="2"/>
          <w:szCs w:val="28"/>
          <w:lang w:val="uk-UA"/>
          <w14:ligatures w14:val="standardContextual"/>
        </w:rPr>
        <w:t>/</w:t>
      </w:r>
      <w:r w:rsidR="005938AD">
        <w:rPr>
          <w:rFonts w:ascii="Arial" w:eastAsia="Aptos" w:hAnsi="Arial" w:cs="Arial"/>
          <w:kern w:val="2"/>
          <w:szCs w:val="28"/>
          <w:lang w:val="uk-UA"/>
          <w14:ligatures w14:val="standardContextual"/>
        </w:rPr>
        <w:fldChar w:fldCharType="end"/>
      </w:r>
      <w:r w:rsidRPr="00511005">
        <w:rPr>
          <w:rFonts w:ascii="Arial" w:eastAsia="Aptos" w:hAnsi="Arial" w:cs="Arial"/>
          <w:kern w:val="2"/>
          <w:szCs w:val="28"/>
          <w:lang w:val="uk-UA"/>
          <w14:ligatures w14:val="standardContextual"/>
        </w:rPr>
        <w:t xml:space="preserve"> (дата звернення: 26.04.2025 р.)</w:t>
      </w:r>
    </w:p>
    <w:p w14:paraId="05E8D84D" w14:textId="02EADC8A" w:rsidR="003476F8" w:rsidRPr="00511005" w:rsidRDefault="003476F8" w:rsidP="003F6A5D">
      <w:pPr>
        <w:numPr>
          <w:ilvl w:val="0"/>
          <w:numId w:val="468"/>
        </w:numPr>
        <w:spacing w:line="264" w:lineRule="auto"/>
        <w:ind w:left="0" w:right="-2"/>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Ley 8/1980, de 10 de marzo, del Estatuto de los Trabajadores // Boletín Oficial del Estado. 1980. № 64 (14 de marzo).</w:t>
      </w:r>
      <w:r w:rsidR="007B2628" w:rsidRPr="00511005">
        <w:rPr>
          <w:rFonts w:ascii="Arial" w:eastAsia="Aptos" w:hAnsi="Arial" w:cs="Arial"/>
          <w:kern w:val="2"/>
          <w:szCs w:val="28"/>
          <w:lang w:val="en-US"/>
          <w14:ligatures w14:val="standardContextual"/>
        </w:rPr>
        <w:t xml:space="preserve"> </w:t>
      </w:r>
      <w:r w:rsidRPr="00511005">
        <w:rPr>
          <w:rFonts w:ascii="Arial" w:eastAsia="Aptos" w:hAnsi="Arial" w:cs="Arial"/>
          <w:kern w:val="2"/>
          <w:szCs w:val="28"/>
          <w:lang w:val="uk-UA"/>
          <w14:ligatures w14:val="standardContextual"/>
        </w:rPr>
        <w:t>Р. 5799–5815.</w:t>
      </w:r>
    </w:p>
    <w:p w14:paraId="50BEB3F3" w14:textId="77777777" w:rsidR="003476F8" w:rsidRPr="00511005" w:rsidRDefault="003476F8" w:rsidP="003A292D">
      <w:pPr>
        <w:spacing w:line="264" w:lineRule="auto"/>
        <w:ind w:right="-2"/>
        <w:rPr>
          <w:rFonts w:ascii="Arial" w:eastAsia="Aptos" w:hAnsi="Arial" w:cs="Arial"/>
          <w:kern w:val="2"/>
          <w:szCs w:val="28"/>
          <w:lang w:val="en-US"/>
          <w14:ligatures w14:val="standardContextual"/>
        </w:rPr>
      </w:pPr>
    </w:p>
    <w:p w14:paraId="3F0A5109" w14:textId="09D84FC6" w:rsidR="003476F8" w:rsidRPr="00511005" w:rsidRDefault="007B262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b/>
          <w:bCs/>
          <w:i/>
          <w:kern w:val="2"/>
          <w:szCs w:val="28"/>
          <w:lang w:val="uk-UA"/>
          <w14:ligatures w14:val="standardContextual"/>
        </w:rPr>
        <w:t xml:space="preserve">Ключові слова: </w:t>
      </w:r>
      <w:r w:rsidR="003476F8" w:rsidRPr="00511005">
        <w:rPr>
          <w:rFonts w:ascii="Arial" w:eastAsia="Aptos" w:hAnsi="Arial" w:cs="Arial"/>
          <w:kern w:val="2"/>
          <w:szCs w:val="28"/>
          <w:lang w:val="uk-UA"/>
          <w14:ligatures w14:val="standardContextual"/>
        </w:rPr>
        <w:t>відпустка, право на відпустку, спеціальні відпустки, зарубіжний досвід, додаткові відпустки, законодавство, міжнародне право.</w:t>
      </w:r>
    </w:p>
    <w:p w14:paraId="09D3A55B" w14:textId="3EFA8F14" w:rsidR="003476F8" w:rsidRPr="00511005" w:rsidRDefault="007B2628" w:rsidP="003A292D">
      <w:pPr>
        <w:spacing w:line="264" w:lineRule="auto"/>
        <w:ind w:right="-2"/>
        <w:rPr>
          <w:rFonts w:ascii="Arial" w:eastAsia="Aptos" w:hAnsi="Arial" w:cs="Arial"/>
          <w:kern w:val="2"/>
          <w:szCs w:val="28"/>
          <w:lang w:val="uk-UA"/>
          <w14:ligatures w14:val="standardContextual"/>
        </w:rPr>
      </w:pPr>
      <w:r w:rsidRPr="00511005">
        <w:rPr>
          <w:rFonts w:ascii="Arial" w:eastAsia="Aptos" w:hAnsi="Arial" w:cs="Arial"/>
          <w:b/>
          <w:bCs/>
          <w:i/>
          <w:kern w:val="2"/>
          <w:szCs w:val="28"/>
          <w:lang w:val="uk-UA"/>
          <w14:ligatures w14:val="standardContextual"/>
        </w:rPr>
        <w:t xml:space="preserve">Key words: </w:t>
      </w:r>
      <w:r w:rsidR="003476F8" w:rsidRPr="00511005">
        <w:rPr>
          <w:rFonts w:ascii="Arial" w:eastAsia="Aptos" w:hAnsi="Arial" w:cs="Arial"/>
          <w:kern w:val="2"/>
          <w:szCs w:val="28"/>
          <w:lang w:val="uk-UA"/>
          <w14:ligatures w14:val="standardContextual"/>
        </w:rPr>
        <w:t>leave, right to leave, special leave, foreign experience, additional leave, legislation, international law.</w:t>
      </w:r>
    </w:p>
    <w:p w14:paraId="177B5ACB" w14:textId="62D7BBA6" w:rsidR="003476F8" w:rsidRPr="00511005" w:rsidRDefault="007B2628" w:rsidP="003A292D">
      <w:pPr>
        <w:spacing w:line="264" w:lineRule="auto"/>
        <w:ind w:right="-2"/>
        <w:contextualSpacing/>
        <w:rPr>
          <w:rFonts w:ascii="Arial" w:eastAsia="Aptos" w:hAnsi="Arial" w:cs="Arial"/>
          <w:i/>
          <w:iCs/>
          <w:kern w:val="2"/>
          <w:szCs w:val="28"/>
          <w:lang w:val="uk-UA"/>
          <w14:ligatures w14:val="standardContextual"/>
        </w:rPr>
      </w:pPr>
      <w:r w:rsidRPr="00511005">
        <w:rPr>
          <w:rFonts w:ascii="Arial" w:eastAsia="Aptos" w:hAnsi="Arial" w:cs="Arial"/>
          <w:b/>
          <w:i/>
          <w:iCs/>
          <w:kern w:val="2"/>
          <w:szCs w:val="28"/>
          <w:lang w:val="uk-UA"/>
          <w14:ligatures w14:val="standardContextual"/>
        </w:rPr>
        <w:t xml:space="preserve">Науковий керівник: </w:t>
      </w:r>
      <w:r w:rsidR="003476F8" w:rsidRPr="00511005">
        <w:rPr>
          <w:rFonts w:ascii="Arial" w:eastAsia="Aptos" w:hAnsi="Arial" w:cs="Arial"/>
          <w:i/>
          <w:iCs/>
          <w:kern w:val="2"/>
          <w:szCs w:val="28"/>
          <w:lang w:val="uk-UA"/>
          <w14:ligatures w14:val="standardContextual"/>
        </w:rPr>
        <w:t>к.ю.н., доцент Панченко А.О.</w:t>
      </w:r>
    </w:p>
    <w:p w14:paraId="7256E334"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0A572A58"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4D002D89"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1ADFCA1F" w14:textId="77777777" w:rsidR="003476F8" w:rsidRPr="00511005" w:rsidRDefault="003476F8"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Шевченко Валерія Вікторівна</w:t>
      </w:r>
    </w:p>
    <w:p w14:paraId="1659C993" w14:textId="1CC046D5" w:rsidR="003476F8" w:rsidRPr="00511005" w:rsidRDefault="00536AAB"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r w:rsidR="003476F8"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0D96DCBB" w14:textId="77777777" w:rsidR="003476F8" w:rsidRPr="00511005" w:rsidRDefault="003476F8" w:rsidP="003A292D">
      <w:pPr>
        <w:keepNext/>
        <w:spacing w:line="264" w:lineRule="auto"/>
        <w:ind w:firstLine="0"/>
        <w:jc w:val="center"/>
        <w:rPr>
          <w:rFonts w:ascii="Arial" w:eastAsia="Times New Roman" w:hAnsi="Arial" w:cs="Arial"/>
          <w:i/>
          <w:szCs w:val="28"/>
          <w:lang w:val="uk-UA" w:eastAsia="ru-RU"/>
        </w:rPr>
      </w:pPr>
    </w:p>
    <w:p w14:paraId="6F9E9A9E" w14:textId="77777777" w:rsidR="003476F8" w:rsidRPr="00511005" w:rsidRDefault="003476F8" w:rsidP="003A292D">
      <w:pPr>
        <w:keepNext/>
        <w:widowControl w:val="0"/>
        <w:spacing w:line="264" w:lineRule="auto"/>
        <w:ind w:firstLine="567"/>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ТРУДОВИЙ ДОГОВІР: ПЕРСПЕКТИВИ РОЗВИТКУ В УМОВАХ ВОЄННОГО СТАНУ</w:t>
      </w:r>
    </w:p>
    <w:p w14:paraId="329E9171" w14:textId="77777777" w:rsidR="003476F8" w:rsidRPr="00511005" w:rsidRDefault="003476F8" w:rsidP="003A292D">
      <w:pPr>
        <w:keepNext/>
        <w:widowControl w:val="0"/>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 сьогоднішній день питання адаптації трудових відносин до нових викликів, які постають перед країною у зв’язку з військовою агресією є надзвичайно актуальними. В умовах воєнного стану відбуваються порушення трудових прав працівників, скорочення робочих місць та зміни в соціальному житті. Отже, питання регулювання трудових відносин набувають особливої важливості. </w:t>
      </w:r>
    </w:p>
    <w:p w14:paraId="52906A6E" w14:textId="77777777" w:rsidR="007B2628" w:rsidRPr="00511005" w:rsidRDefault="003476F8" w:rsidP="003A292D">
      <w:pPr>
        <w:keepNext/>
        <w:widowControl w:val="0"/>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Трудове право є окремою, чітко структурованою системою правових норм, що регулює відносини, пов'язані з організацією праці в суспільстві, а також реалізацію права на працю та використання найманої праці на підприємствах з різними формами власності. </w:t>
      </w:r>
      <w:r w:rsidRPr="00511005">
        <w:rPr>
          <w:rFonts w:ascii="Arial" w:eastAsia="Times New Roman" w:hAnsi="Arial" w:cs="Arial"/>
          <w:szCs w:val="28"/>
          <w:lang w:eastAsia="ru-RU"/>
        </w:rPr>
        <w:t>Трудові відносини, у свою чергу, являють собою юридичні зв'язки між працівником і роботодавцем, що виникають у процесі виконання роботи за умовами, які регламентуються як законодавчими актами, так і правилами, встановленими роботодавцем [</w:t>
      </w:r>
      <w:r w:rsidRPr="00511005">
        <w:rPr>
          <w:rFonts w:ascii="Arial" w:eastAsia="Times New Roman" w:hAnsi="Arial" w:cs="Arial"/>
          <w:szCs w:val="28"/>
          <w:lang w:val="uk-UA" w:eastAsia="ru-RU"/>
        </w:rPr>
        <w:t>1</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с.182].</w:t>
      </w:r>
    </w:p>
    <w:p w14:paraId="5C242131" w14:textId="3765AC51" w:rsidR="003476F8" w:rsidRPr="00511005" w:rsidRDefault="003476F8" w:rsidP="003A292D">
      <w:pPr>
        <w:spacing w:line="264" w:lineRule="auto"/>
        <w:ind w:firstLine="720"/>
        <w:rPr>
          <w:rFonts w:ascii="Arial" w:eastAsia="Times New Roman" w:hAnsi="Arial" w:cs="Arial"/>
          <w:szCs w:val="28"/>
          <w:lang w:eastAsia="ru-RU"/>
        </w:rPr>
      </w:pPr>
      <w:r w:rsidRPr="00511005">
        <w:rPr>
          <w:rFonts w:ascii="Arial" w:eastAsia="Times New Roman" w:hAnsi="Arial" w:cs="Arial"/>
          <w:szCs w:val="28"/>
          <w:lang w:val="uk-UA" w:eastAsia="ru-RU"/>
        </w:rPr>
        <w:t xml:space="preserve">Одним із головних інститутів у системі трудового права є трудовий договір, який визначає основні умови та права між працівником і роботодавцем. Початок повномасштабної воєнної агресії проти України викликав серйозні зміни в економічному та соціальному житті, що призвело до порушення виробничих ланцюгів, значного скорочення робочих місць, зростання безробіття та масової еміграції робочої сили [2,с.75]. </w:t>
      </w:r>
      <w:r w:rsidRPr="00511005">
        <w:rPr>
          <w:rFonts w:ascii="Arial" w:eastAsia="Times New Roman" w:hAnsi="Arial" w:cs="Arial"/>
          <w:szCs w:val="28"/>
          <w:lang w:eastAsia="ru-RU"/>
        </w:rPr>
        <w:t>У цей період в Україні бул</w:t>
      </w:r>
      <w:r w:rsidRPr="00511005">
        <w:rPr>
          <w:rFonts w:ascii="Arial" w:eastAsia="Times New Roman" w:hAnsi="Arial" w:cs="Arial"/>
          <w:szCs w:val="28"/>
          <w:lang w:val="uk-UA" w:eastAsia="ru-RU"/>
        </w:rPr>
        <w:t xml:space="preserve">о запроваджено </w:t>
      </w:r>
      <w:r w:rsidRPr="00511005">
        <w:rPr>
          <w:rFonts w:ascii="Arial" w:eastAsia="Times New Roman" w:hAnsi="Arial" w:cs="Arial"/>
          <w:szCs w:val="28"/>
          <w:lang w:eastAsia="ru-RU"/>
        </w:rPr>
        <w:t>ряд нововведень, які мали на меті адаптувати трудове законодавство до надзвичайних умов</w:t>
      </w:r>
      <w:r w:rsidRPr="00511005">
        <w:rPr>
          <w:rFonts w:ascii="Arial" w:eastAsia="Times New Roman" w:hAnsi="Arial" w:cs="Arial"/>
          <w:szCs w:val="28"/>
          <w:lang w:val="uk-UA" w:eastAsia="ru-RU"/>
        </w:rPr>
        <w:t xml:space="preserve">, що </w:t>
      </w:r>
      <w:r w:rsidRPr="00511005">
        <w:rPr>
          <w:rFonts w:ascii="Arial" w:eastAsia="Times New Roman" w:hAnsi="Arial" w:cs="Arial"/>
          <w:szCs w:val="28"/>
          <w:lang w:eastAsia="ru-RU"/>
        </w:rPr>
        <w:t>суттєво змін</w:t>
      </w:r>
      <w:r w:rsidRPr="00511005">
        <w:rPr>
          <w:rFonts w:ascii="Arial" w:eastAsia="Times New Roman" w:hAnsi="Arial" w:cs="Arial"/>
          <w:szCs w:val="28"/>
          <w:lang w:val="uk-UA" w:eastAsia="ru-RU"/>
        </w:rPr>
        <w:t>или</w:t>
      </w:r>
      <w:r w:rsidRPr="00511005">
        <w:rPr>
          <w:rFonts w:ascii="Arial" w:eastAsia="Times New Roman" w:hAnsi="Arial" w:cs="Arial"/>
          <w:szCs w:val="28"/>
          <w:lang w:eastAsia="ru-RU"/>
        </w:rPr>
        <w:t xml:space="preserve"> умови трудових відносин</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3</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p>
    <w:p w14:paraId="711A4710" w14:textId="77777777" w:rsidR="003476F8" w:rsidRPr="00511005" w:rsidRDefault="003476F8" w:rsidP="003A292D">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eastAsia="ru-RU"/>
        </w:rPr>
        <w:lastRenderedPageBreak/>
        <w:t>Внесення змін до трудового законодавства</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стало каталізатором для появи нових форм та видів трудового договору. </w:t>
      </w:r>
      <w:r w:rsidRPr="00511005">
        <w:rPr>
          <w:rFonts w:ascii="Arial" w:eastAsia="Times New Roman" w:hAnsi="Arial" w:cs="Arial"/>
          <w:szCs w:val="28"/>
          <w:lang w:val="uk-UA" w:eastAsia="ru-RU"/>
        </w:rPr>
        <w:t>Також,</w:t>
      </w:r>
      <w:r w:rsidRPr="00511005">
        <w:rPr>
          <w:rFonts w:ascii="Arial" w:eastAsia="Times New Roman" w:hAnsi="Arial" w:cs="Arial"/>
          <w:szCs w:val="28"/>
          <w:lang w:eastAsia="ru-RU"/>
        </w:rPr>
        <w:t xml:space="preserve"> однією важливою новацією є можливість призупинення дії трудового договору в умовах військової агресії проти України, коли виконання роботи стає неможливим. Призупинення трудового договору не означає його припинення, а обов'язок компенсації заробітної плати в такому випадку покладається на державу-агресора [</w:t>
      </w:r>
      <w:r w:rsidRPr="00511005">
        <w:rPr>
          <w:rFonts w:ascii="Arial" w:eastAsia="Times New Roman" w:hAnsi="Arial" w:cs="Arial"/>
          <w:szCs w:val="28"/>
          <w:lang w:val="uk-UA" w:eastAsia="ru-RU"/>
        </w:rPr>
        <w:t>4</w:t>
      </w:r>
      <w:r w:rsidRPr="00511005">
        <w:rPr>
          <w:rFonts w:ascii="Arial" w:eastAsia="Times New Roman" w:hAnsi="Arial" w:cs="Arial"/>
          <w:szCs w:val="28"/>
          <w:lang w:eastAsia="ru-RU"/>
        </w:rPr>
        <w:t>].</w:t>
      </w:r>
    </w:p>
    <w:p w14:paraId="18253118" w14:textId="77777777" w:rsidR="003476F8" w:rsidRPr="00511005" w:rsidRDefault="003476F8" w:rsidP="003A292D">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Р</w:t>
      </w:r>
      <w:r w:rsidRPr="00511005">
        <w:rPr>
          <w:rFonts w:ascii="Arial" w:eastAsia="Times New Roman" w:hAnsi="Arial" w:cs="Arial"/>
          <w:szCs w:val="28"/>
          <w:lang w:eastAsia="ru-RU"/>
        </w:rPr>
        <w:t>озвит</w:t>
      </w:r>
      <w:r w:rsidRPr="00511005">
        <w:rPr>
          <w:rFonts w:ascii="Arial" w:eastAsia="Times New Roman" w:hAnsi="Arial" w:cs="Arial"/>
          <w:szCs w:val="28"/>
          <w:lang w:val="uk-UA" w:eastAsia="ru-RU"/>
        </w:rPr>
        <w:t>ок</w:t>
      </w:r>
      <w:r w:rsidRPr="00511005">
        <w:rPr>
          <w:rFonts w:ascii="Arial" w:eastAsia="Times New Roman" w:hAnsi="Arial" w:cs="Arial"/>
          <w:szCs w:val="28"/>
          <w:lang w:eastAsia="ru-RU"/>
        </w:rPr>
        <w:t xml:space="preserve"> трудового договору в умовах воєнного стану </w:t>
      </w:r>
      <w:r w:rsidRPr="00511005">
        <w:rPr>
          <w:rFonts w:ascii="Arial" w:eastAsia="Times New Roman" w:hAnsi="Arial" w:cs="Arial"/>
          <w:szCs w:val="28"/>
          <w:lang w:val="uk-UA" w:eastAsia="ru-RU"/>
        </w:rPr>
        <w:t xml:space="preserve">має відбуватися шляхом </w:t>
      </w:r>
      <w:r w:rsidRPr="00511005">
        <w:rPr>
          <w:rFonts w:ascii="Arial" w:eastAsia="Times New Roman" w:hAnsi="Arial" w:cs="Arial"/>
          <w:szCs w:val="28"/>
          <w:lang w:eastAsia="ru-RU"/>
        </w:rPr>
        <w:t>подальш</w:t>
      </w:r>
      <w:r w:rsidRPr="00511005">
        <w:rPr>
          <w:rFonts w:ascii="Arial" w:eastAsia="Times New Roman" w:hAnsi="Arial" w:cs="Arial"/>
          <w:szCs w:val="28"/>
          <w:lang w:val="uk-UA" w:eastAsia="ru-RU"/>
        </w:rPr>
        <w:t>ої</w:t>
      </w:r>
      <w:r w:rsidRPr="00511005">
        <w:rPr>
          <w:rFonts w:ascii="Arial" w:eastAsia="Times New Roman" w:hAnsi="Arial" w:cs="Arial"/>
          <w:szCs w:val="28"/>
          <w:lang w:eastAsia="ru-RU"/>
        </w:rPr>
        <w:t xml:space="preserve"> адаптації та гнучкості регулювання трудових відносин. Одним із напрямків є укладення строкових трудових договорів для виконання тимчасових робіт, зокрема тих, що пов’язані з ліквідацією наслідків бойових дій та відновленням інфраструктури. Крім того, важливим аспектом є цифровізація процесів укладення та управління трудовими договорами, що забезпечить більшу оперативність і зручність, зважаючи на обмежений фізичний доступ до робочих місць. Це також включає створення цифрових робочих місць, контроль за діяльністю працівників, а також можливість застосування до них відповідальності за невиконання роботи чи завдану шкоду, що сприятиме стабільності праці в умовах кризових ситуацій [</w:t>
      </w:r>
      <w:r w:rsidRPr="00511005">
        <w:rPr>
          <w:rFonts w:ascii="Arial" w:eastAsia="Times New Roman" w:hAnsi="Arial" w:cs="Arial"/>
          <w:szCs w:val="28"/>
          <w:lang w:val="uk-UA" w:eastAsia="ru-RU"/>
        </w:rPr>
        <w:t>5</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с.166-167].</w:t>
      </w:r>
    </w:p>
    <w:p w14:paraId="65D917FE" w14:textId="77777777" w:rsidR="003476F8" w:rsidRPr="00511005" w:rsidRDefault="003476F8" w:rsidP="003A292D">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Отже, </w:t>
      </w:r>
      <w:r w:rsidRPr="00511005">
        <w:rPr>
          <w:rFonts w:ascii="Arial" w:eastAsia="Times New Roman" w:hAnsi="Arial" w:cs="Arial"/>
          <w:szCs w:val="28"/>
          <w:lang w:eastAsia="ru-RU"/>
        </w:rPr>
        <w:t>в умовах воєнного стану трудовий договір зазнав значних змін, що відображають адаптацію трудового законодавства до надзвичайних обставин.</w:t>
      </w:r>
      <w:r w:rsidRPr="00511005">
        <w:rPr>
          <w:rFonts w:ascii="Arial" w:eastAsia="Times New Roman" w:hAnsi="Arial" w:cs="Arial"/>
          <w:szCs w:val="28"/>
          <w:lang w:val="uk-UA" w:eastAsia="ru-RU"/>
        </w:rPr>
        <w:t xml:space="preserve"> На нашу думку, подальша цифровізація трудових процесів, створення цифрових робочих місць і застосування відповідальності за невиконання умов договору сприятиме стабільності трудових відносин, що є важливим аспектом у відновленні економіки країни після війни. Також, після скасування воєнного стану, ще більш актуальним стане питання стимулювання роботодавців до створення нових робочих місць, зокрема в галузях критичної інфраструктури. Трудовий договір в Україні на сьогоднішній день потребує ще більшої </w:t>
      </w:r>
      <w:r w:rsidRPr="00511005">
        <w:rPr>
          <w:rFonts w:ascii="Arial" w:eastAsia="Times New Roman" w:hAnsi="Arial" w:cs="Arial"/>
          <w:b/>
          <w:bCs/>
          <w:szCs w:val="28"/>
          <w:lang w:val="uk-UA" w:eastAsia="ru-RU"/>
        </w:rPr>
        <w:t xml:space="preserve">гнучкості, закріплення норм, що будуть захищати інтереси працівника та його адаптації до нових реалій, що надасть змогу </w:t>
      </w:r>
      <w:r w:rsidRPr="00511005">
        <w:rPr>
          <w:rFonts w:ascii="Arial" w:eastAsia="Times New Roman" w:hAnsi="Arial" w:cs="Arial"/>
          <w:szCs w:val="28"/>
          <w:lang w:val="uk-UA" w:eastAsia="ru-RU"/>
        </w:rPr>
        <w:t>забезпечити баланс між інтересами держави, роботодавця і найманого працівника.</w:t>
      </w:r>
    </w:p>
    <w:p w14:paraId="547A66E7" w14:textId="77777777" w:rsidR="003476F8" w:rsidRPr="00511005" w:rsidRDefault="003476F8" w:rsidP="003A292D">
      <w:pPr>
        <w:keepNext/>
        <w:widowControl w:val="0"/>
        <w:spacing w:line="264" w:lineRule="auto"/>
        <w:ind w:firstLine="0"/>
        <w:jc w:val="center"/>
        <w:rPr>
          <w:rFonts w:ascii="Arial" w:eastAsia="Times New Roman" w:hAnsi="Arial" w:cs="Arial"/>
          <w:b/>
          <w:iCs/>
          <w:szCs w:val="28"/>
          <w:lang w:val="uk-UA" w:eastAsia="ru-RU"/>
        </w:rPr>
      </w:pPr>
    </w:p>
    <w:p w14:paraId="76CAA0E1" w14:textId="0C21BFBE" w:rsidR="003476F8" w:rsidRPr="00511005" w:rsidRDefault="007B2628" w:rsidP="007B2628">
      <w:pPr>
        <w:keepNext/>
        <w:widowControl w:val="0"/>
        <w:spacing w:line="264" w:lineRule="auto"/>
        <w:ind w:firstLine="0"/>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568AC655" w14:textId="77777777" w:rsidR="003476F8" w:rsidRPr="00511005" w:rsidRDefault="003476F8" w:rsidP="003F6A5D">
      <w:pPr>
        <w:numPr>
          <w:ilvl w:val="0"/>
          <w:numId w:val="469"/>
        </w:numPr>
        <w:spacing w:line="264" w:lineRule="auto"/>
        <w:ind w:left="0" w:firstLine="357"/>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Цуканова Д.В., Добрянська І.І., Ліщинська Ю.В. Виклики та перспективи для сучасного національного трудового права. </w:t>
      </w:r>
      <w:r w:rsidRPr="00511005">
        <w:rPr>
          <w:rFonts w:ascii="Arial" w:eastAsia="Times New Roman" w:hAnsi="Arial" w:cs="Arial"/>
          <w:i/>
          <w:szCs w:val="28"/>
          <w:lang w:eastAsia="ru-RU"/>
        </w:rPr>
        <w:t>Наукові записки Львівського університету бізнесу та права</w:t>
      </w:r>
      <w:r w:rsidRPr="00511005">
        <w:rPr>
          <w:rFonts w:ascii="Arial" w:eastAsia="Times New Roman" w:hAnsi="Arial" w:cs="Arial"/>
          <w:szCs w:val="28"/>
          <w:lang w:eastAsia="ru-RU"/>
        </w:rPr>
        <w:t>. Серія юридична. Випуск 40</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2024. С. 182-187.</w:t>
      </w:r>
    </w:p>
    <w:p w14:paraId="24E7889E" w14:textId="77777777" w:rsidR="003476F8" w:rsidRPr="00511005" w:rsidRDefault="003476F8" w:rsidP="003F6A5D">
      <w:pPr>
        <w:numPr>
          <w:ilvl w:val="0"/>
          <w:numId w:val="469"/>
        </w:numPr>
        <w:spacing w:line="264" w:lineRule="auto"/>
        <w:ind w:left="0" w:firstLine="357"/>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Новікова О.Ф., Остафійчук Я.В., Новак І.М. Зміни трудового та податкового законодавства України в умовах воєнного стану: проблеми і перспективи вдосконалення. </w:t>
      </w:r>
      <w:r w:rsidRPr="00511005">
        <w:rPr>
          <w:rFonts w:ascii="Arial" w:eastAsia="Times New Roman" w:hAnsi="Arial" w:cs="Arial"/>
          <w:i/>
          <w:szCs w:val="28"/>
          <w:lang w:eastAsia="ru-RU"/>
        </w:rPr>
        <w:t>Економіка промисловості</w:t>
      </w:r>
      <w:r w:rsidRPr="00511005">
        <w:rPr>
          <w:rFonts w:ascii="Arial" w:eastAsia="Times New Roman" w:hAnsi="Arial" w:cs="Arial"/>
          <w:szCs w:val="28"/>
          <w:lang w:eastAsia="ru-RU"/>
        </w:rPr>
        <w:t>. 2022. С. 75-90.</w:t>
      </w:r>
    </w:p>
    <w:p w14:paraId="6170D1CA" w14:textId="77777777" w:rsidR="003476F8" w:rsidRPr="00511005" w:rsidRDefault="003476F8" w:rsidP="003F6A5D">
      <w:pPr>
        <w:numPr>
          <w:ilvl w:val="0"/>
          <w:numId w:val="469"/>
        </w:numPr>
        <w:spacing w:line="264" w:lineRule="auto"/>
        <w:ind w:left="0" w:firstLine="357"/>
        <w:contextualSpacing/>
        <w:jc w:val="left"/>
        <w:rPr>
          <w:rFonts w:ascii="Arial" w:eastAsia="Times New Roman" w:hAnsi="Arial" w:cs="Arial"/>
          <w:i/>
          <w:szCs w:val="28"/>
          <w:lang w:val="uk-UA" w:eastAsia="ru-RU"/>
        </w:rPr>
      </w:pPr>
      <w:r w:rsidRPr="00511005">
        <w:rPr>
          <w:rFonts w:ascii="Arial" w:eastAsia="Times New Roman" w:hAnsi="Arial" w:cs="Arial"/>
          <w:szCs w:val="28"/>
          <w:lang w:eastAsia="ru-RU"/>
        </w:rPr>
        <w:lastRenderedPageBreak/>
        <w:t>Про організацію трудових відносин в умовах воєнного стану: Закон України від 15.03.2022</w:t>
      </w:r>
      <w:r w:rsidRPr="00511005">
        <w:rPr>
          <w:rFonts w:ascii="Arial" w:eastAsia="Times New Roman" w:hAnsi="Arial" w:cs="Arial"/>
          <w:szCs w:val="28"/>
          <w:lang w:val="uk-UA" w:eastAsia="ru-RU"/>
        </w:rPr>
        <w:t xml:space="preserve"> року. № 2136-</w:t>
      </w:r>
      <w:r w:rsidRPr="00511005">
        <w:rPr>
          <w:rFonts w:ascii="Arial" w:eastAsia="Times New Roman" w:hAnsi="Arial" w:cs="Arial"/>
          <w:szCs w:val="28"/>
          <w:lang w:eastAsia="ru-RU"/>
        </w:rPr>
        <w:t>IX</w:t>
      </w:r>
      <w:r w:rsidRPr="00511005">
        <w:rPr>
          <w:rFonts w:ascii="Arial" w:eastAsia="Times New Roman" w:hAnsi="Arial" w:cs="Arial"/>
          <w:szCs w:val="28"/>
          <w:lang w:val="uk-UA" w:eastAsia="ru-RU"/>
        </w:rPr>
        <w:t xml:space="preserve">. </w:t>
      </w:r>
      <w:r w:rsidRPr="00511005">
        <w:rPr>
          <w:rFonts w:ascii="Arial" w:eastAsia="Times New Roman" w:hAnsi="Arial" w:cs="Arial"/>
          <w:i/>
          <w:szCs w:val="28"/>
          <w:lang w:val="uk-UA" w:eastAsia="ru-RU"/>
        </w:rPr>
        <w:t xml:space="preserve">Офіційний Вісник України. </w:t>
      </w:r>
      <w:r w:rsidRPr="00511005">
        <w:rPr>
          <w:rFonts w:ascii="Arial" w:eastAsia="Times New Roman" w:hAnsi="Arial" w:cs="Arial"/>
          <w:szCs w:val="28"/>
          <w:lang w:val="uk-UA" w:eastAsia="ru-RU"/>
        </w:rPr>
        <w:t>2022. № 31. Ст. 1634.</w:t>
      </w:r>
    </w:p>
    <w:p w14:paraId="402D1BA8" w14:textId="77777777" w:rsidR="003476F8" w:rsidRPr="00511005" w:rsidRDefault="003476F8" w:rsidP="003F6A5D">
      <w:pPr>
        <w:numPr>
          <w:ilvl w:val="0"/>
          <w:numId w:val="469"/>
        </w:numPr>
        <w:spacing w:line="264" w:lineRule="auto"/>
        <w:ind w:left="0" w:firstLine="357"/>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Коментар Мінекономіки до Закону України від 15 березня 2022 р. № 2136-ІХ «Про організацію трудових відносин в умовах воєнного стану». </w:t>
      </w:r>
      <w:r w:rsidRPr="00511005">
        <w:rPr>
          <w:rFonts w:ascii="Arial" w:eastAsia="Times New Roman" w:hAnsi="Arial" w:cs="Arial"/>
          <w:szCs w:val="28"/>
          <w:lang w:val="pl-PL" w:eastAsia="ru-RU"/>
        </w:rPr>
        <w:t xml:space="preserve">URL: </w:t>
      </w:r>
      <w:r w:rsidR="005938AD">
        <w:fldChar w:fldCharType="begin"/>
      </w:r>
      <w:r w:rsidR="005938AD" w:rsidRPr="00055389">
        <w:rPr>
          <w:lang w:val="en-US"/>
        </w:rPr>
        <w:instrText xml:space="preserve"> HYPERLINK "https://me.gov.ua/Documents</w:instrText>
      </w:r>
      <w:r w:rsidR="005938AD" w:rsidRPr="00055389">
        <w:rPr>
          <w:lang w:val="en-US"/>
        </w:rPr>
        <w:instrText xml:space="preserve">/Detail?lang=uk-UA&amp;id=7ca63edc-a033-4a4e-a29b-9157cb5a69a2&amp;title=KomentarMinekonomikiDoZakonuUkrainiVid15-Bereznia2022-R-2136-ikhproOrganizatsiiuTrudovikhVidnosinVUmovakhVonnogoStanu" </w:instrText>
      </w:r>
      <w:r w:rsidR="005938AD">
        <w:fldChar w:fldCharType="separate"/>
      </w:r>
      <w:r w:rsidRPr="00511005">
        <w:rPr>
          <w:rFonts w:ascii="Arial" w:eastAsia="Times New Roman" w:hAnsi="Arial" w:cs="Arial"/>
          <w:szCs w:val="28"/>
          <w:lang w:val="pl-PL" w:eastAsia="ru-RU"/>
        </w:rPr>
        <w:t>https://me.gov.ua/Documents/Detail?lang=uk-UA&amp;id=7ca63edc-a033-4a4e-a29b-9157cb5a69a2&amp;title=KomentarMinekonomikiDoZakonuUkrainiVid15-Bereznia2022-R-2136-ikhproOrganizatsiiuTrudovikhVidnosinVUmovakhVonnogoStanu</w:t>
      </w:r>
      <w:r w:rsidR="005938AD">
        <w:rPr>
          <w:rFonts w:ascii="Arial" w:eastAsia="Times New Roman" w:hAnsi="Arial" w:cs="Arial"/>
          <w:szCs w:val="28"/>
          <w:lang w:val="pl-PL" w:eastAsia="ru-RU"/>
        </w:rPr>
        <w:fldChar w:fldCharType="end"/>
      </w:r>
    </w:p>
    <w:p w14:paraId="1D8ADDBD" w14:textId="77777777" w:rsidR="003476F8" w:rsidRPr="00511005" w:rsidRDefault="003476F8" w:rsidP="003F6A5D">
      <w:pPr>
        <w:numPr>
          <w:ilvl w:val="0"/>
          <w:numId w:val="469"/>
        </w:numPr>
        <w:spacing w:line="264" w:lineRule="auto"/>
        <w:ind w:left="0" w:firstLine="357"/>
        <w:contextualSpacing/>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Парасюк В.М., Пашко А.Я. Сучасні тенденції та перспективи розвитку трудового договору. </w:t>
      </w:r>
      <w:r w:rsidRPr="00511005">
        <w:rPr>
          <w:rFonts w:ascii="Arial" w:eastAsia="Times New Roman" w:hAnsi="Arial" w:cs="Arial"/>
          <w:i/>
          <w:szCs w:val="28"/>
          <w:lang w:val="en-US" w:eastAsia="ru-RU"/>
        </w:rPr>
        <w:t xml:space="preserve">The 14th International Scientific and Practical Conference </w:t>
      </w:r>
      <w:r w:rsidRPr="00511005">
        <w:rPr>
          <w:rFonts w:ascii="Arial" w:eastAsia="Times New Roman" w:hAnsi="Arial" w:cs="Arial"/>
          <w:i/>
          <w:szCs w:val="28"/>
          <w:lang w:val="uk-UA" w:eastAsia="ru-RU"/>
        </w:rPr>
        <w:t>«</w:t>
      </w:r>
      <w:r w:rsidRPr="00511005">
        <w:rPr>
          <w:rFonts w:ascii="Arial" w:eastAsia="Times New Roman" w:hAnsi="Arial" w:cs="Arial"/>
          <w:i/>
          <w:szCs w:val="28"/>
          <w:lang w:val="en-US" w:eastAsia="ru-RU"/>
        </w:rPr>
        <w:t>Development, Education, Culture: Integration Trends in the Modern World</w:t>
      </w:r>
      <w:r w:rsidRPr="00511005">
        <w:rPr>
          <w:rFonts w:ascii="Arial" w:eastAsia="Times New Roman" w:hAnsi="Arial" w:cs="Arial"/>
          <w:i/>
          <w:szCs w:val="28"/>
          <w:lang w:val="uk-UA" w:eastAsia="ru-RU"/>
        </w:rPr>
        <w:t>»</w:t>
      </w:r>
      <w:r w:rsidRPr="00511005">
        <w:rPr>
          <w:rFonts w:ascii="Arial" w:eastAsia="Times New Roman" w:hAnsi="Arial" w:cs="Arial"/>
          <w:szCs w:val="28"/>
          <w:lang w:val="en-US" w:eastAsia="ru-RU"/>
        </w:rPr>
        <w:t xml:space="preserve"> (April 11 – 14, 2023). Oslo, Norway. International Science Group, 2023. </w:t>
      </w:r>
      <w:r w:rsidRPr="00511005">
        <w:rPr>
          <w:rFonts w:ascii="Arial" w:eastAsia="Times New Roman" w:hAnsi="Arial" w:cs="Arial"/>
          <w:szCs w:val="28"/>
          <w:lang w:eastAsia="ru-RU"/>
        </w:rPr>
        <w:t>С</w:t>
      </w:r>
      <w:r w:rsidRPr="00511005">
        <w:rPr>
          <w:rFonts w:ascii="Arial" w:eastAsia="Times New Roman" w:hAnsi="Arial" w:cs="Arial"/>
          <w:szCs w:val="28"/>
          <w:lang w:val="en-US" w:eastAsia="ru-RU"/>
        </w:rPr>
        <w:t xml:space="preserve">. 165-167. </w:t>
      </w:r>
    </w:p>
    <w:p w14:paraId="7369701A" w14:textId="77777777" w:rsidR="003476F8" w:rsidRPr="00511005" w:rsidRDefault="003476F8" w:rsidP="003A292D">
      <w:pPr>
        <w:spacing w:line="264" w:lineRule="auto"/>
        <w:ind w:firstLine="0"/>
        <w:rPr>
          <w:rFonts w:ascii="Arial" w:eastAsia="Times New Roman" w:hAnsi="Arial" w:cs="Arial"/>
          <w:b/>
          <w:szCs w:val="28"/>
          <w:lang w:val="en-US" w:eastAsia="ru-RU"/>
        </w:rPr>
      </w:pPr>
    </w:p>
    <w:p w14:paraId="2EFE8A7C" w14:textId="23F1985E" w:rsidR="003476F8" w:rsidRPr="00511005" w:rsidRDefault="007B2628" w:rsidP="003A292D">
      <w:pPr>
        <w:spacing w:line="264" w:lineRule="auto"/>
        <w:ind w:firstLine="357"/>
        <w:rPr>
          <w:rFonts w:ascii="Arial" w:eastAsia="Times New Roman" w:hAnsi="Arial" w:cs="Arial"/>
          <w:szCs w:val="28"/>
          <w:lang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eastAsia="ru-RU"/>
        </w:rPr>
        <w:t xml:space="preserve">трудовий договір, трудові </w:t>
      </w:r>
      <w:r w:rsidR="003476F8" w:rsidRPr="00511005">
        <w:rPr>
          <w:rFonts w:ascii="Arial" w:eastAsia="Times New Roman" w:hAnsi="Arial" w:cs="Arial"/>
          <w:szCs w:val="28"/>
          <w:lang w:val="uk-UA" w:eastAsia="ru-RU"/>
        </w:rPr>
        <w:t>право</w:t>
      </w:r>
      <w:r w:rsidR="003476F8" w:rsidRPr="00511005">
        <w:rPr>
          <w:rFonts w:ascii="Arial" w:eastAsia="Times New Roman" w:hAnsi="Arial" w:cs="Arial"/>
          <w:szCs w:val="28"/>
          <w:lang w:eastAsia="ru-RU"/>
        </w:rPr>
        <w:t>відносини,</w:t>
      </w:r>
      <w:r w:rsidR="003476F8" w:rsidRPr="00511005">
        <w:rPr>
          <w:rFonts w:ascii="Arial" w:eastAsia="Times New Roman" w:hAnsi="Arial" w:cs="Arial"/>
          <w:szCs w:val="28"/>
          <w:lang w:val="uk-UA" w:eastAsia="ru-RU"/>
        </w:rPr>
        <w:t xml:space="preserve"> </w:t>
      </w:r>
      <w:r w:rsidR="003476F8" w:rsidRPr="00511005">
        <w:rPr>
          <w:rFonts w:ascii="Arial" w:eastAsia="Times New Roman" w:hAnsi="Arial" w:cs="Arial"/>
          <w:szCs w:val="28"/>
          <w:lang w:eastAsia="ru-RU"/>
        </w:rPr>
        <w:t>трудове законодавство,</w:t>
      </w:r>
      <w:r w:rsidR="003476F8" w:rsidRPr="00511005">
        <w:rPr>
          <w:rFonts w:ascii="Arial" w:eastAsia="Times New Roman" w:hAnsi="Arial" w:cs="Arial"/>
          <w:szCs w:val="28"/>
          <w:lang w:val="uk-UA" w:eastAsia="ru-RU"/>
        </w:rPr>
        <w:t xml:space="preserve"> перспективи розвитку трудового законодавства</w:t>
      </w:r>
      <w:r w:rsidR="003476F8" w:rsidRPr="00511005">
        <w:rPr>
          <w:rFonts w:ascii="Arial" w:eastAsia="Times New Roman" w:hAnsi="Arial" w:cs="Arial"/>
          <w:szCs w:val="28"/>
          <w:lang w:eastAsia="ru-RU"/>
        </w:rPr>
        <w:t>.</w:t>
      </w:r>
    </w:p>
    <w:p w14:paraId="76138665" w14:textId="6BC88FFF" w:rsidR="003476F8" w:rsidRPr="00511005" w:rsidRDefault="007B2628" w:rsidP="003A292D">
      <w:pPr>
        <w:keepNext/>
        <w:spacing w:line="264" w:lineRule="auto"/>
        <w:ind w:firstLine="357"/>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3476F8" w:rsidRPr="00511005">
        <w:rPr>
          <w:rFonts w:ascii="Arial" w:eastAsia="Times New Roman" w:hAnsi="Arial" w:cs="Arial"/>
          <w:szCs w:val="28"/>
          <w:lang w:val="en-US" w:eastAsia="ru-RU"/>
        </w:rPr>
        <w:t>labour contract, labour relations, labour legislation, prospects for the development of labour legislation.</w:t>
      </w:r>
    </w:p>
    <w:p w14:paraId="6617B83E" w14:textId="4C517E51" w:rsidR="003476F8" w:rsidRPr="00511005" w:rsidRDefault="007B2628" w:rsidP="003A292D">
      <w:pPr>
        <w:keepNext/>
        <w:spacing w:line="264" w:lineRule="auto"/>
        <w:ind w:firstLine="567"/>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3476F8" w:rsidRPr="00511005">
        <w:rPr>
          <w:rFonts w:ascii="Arial" w:eastAsia="Times New Roman" w:hAnsi="Arial" w:cs="Arial"/>
          <w:bCs/>
          <w:i/>
          <w:iCs/>
          <w:szCs w:val="28"/>
          <w:lang w:val="uk-UA" w:eastAsia="ru-RU"/>
        </w:rPr>
        <w:t>к.ю.н., доцент Наньєва М.І.</w:t>
      </w:r>
    </w:p>
    <w:p w14:paraId="2F234B64"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69F5C9D3" w14:textId="64453F2C" w:rsidR="007040FD" w:rsidRDefault="007040FD">
      <w:pPr>
        <w:spacing w:after="200" w:line="276" w:lineRule="auto"/>
        <w:ind w:firstLine="0"/>
        <w:jc w:val="left"/>
        <w:rPr>
          <w:rFonts w:ascii="Arial" w:eastAsia="Times New Roman" w:hAnsi="Arial" w:cs="Arial"/>
          <w:b/>
          <w:i/>
          <w:szCs w:val="28"/>
          <w:lang w:val="uk-UA" w:eastAsia="ru-RU"/>
        </w:rPr>
      </w:pPr>
    </w:p>
    <w:p w14:paraId="5C9F6E44" w14:textId="5415F8C7" w:rsidR="003476F8" w:rsidRPr="00511005" w:rsidRDefault="003476F8" w:rsidP="003A292D">
      <w:pPr>
        <w:spacing w:line="264" w:lineRule="auto"/>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Шовкович Богдана Іванівна</w:t>
      </w:r>
    </w:p>
    <w:p w14:paraId="6B561BE3" w14:textId="5B287778" w:rsidR="003476F8" w:rsidRPr="00511005" w:rsidRDefault="00536AAB" w:rsidP="003A292D">
      <w:pPr>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1B7B25" w:rsidRPr="00511005">
        <w:rPr>
          <w:rFonts w:ascii="Arial" w:eastAsia="Times New Roman" w:hAnsi="Arial" w:cs="Arial"/>
          <w:szCs w:val="28"/>
          <w:lang w:val="uk-UA" w:eastAsia="ru-RU"/>
        </w:rPr>
        <w:t>факультету судового та міжнародного права</w:t>
      </w:r>
      <w:r w:rsidR="003476F8" w:rsidRPr="00511005">
        <w:rPr>
          <w:rFonts w:ascii="Arial" w:eastAsia="Times New Roman" w:hAnsi="Arial" w:cs="Arial"/>
          <w:szCs w:val="28"/>
          <w:lang w:val="uk-UA" w:eastAsia="ru-RU"/>
        </w:rPr>
        <w:t xml:space="preserve"> </w:t>
      </w:r>
    </w:p>
    <w:p w14:paraId="6178D6F6" w14:textId="5C402D5C" w:rsidR="003476F8" w:rsidRPr="00511005" w:rsidRDefault="007B2628" w:rsidP="003A292D">
      <w:pPr>
        <w:spacing w:line="264" w:lineRule="auto"/>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73DB932D" w14:textId="77777777" w:rsidR="003476F8" w:rsidRPr="00511005" w:rsidRDefault="003476F8" w:rsidP="003A292D">
      <w:pPr>
        <w:spacing w:line="264" w:lineRule="auto"/>
        <w:jc w:val="center"/>
        <w:rPr>
          <w:rFonts w:ascii="Arial" w:eastAsia="Times New Roman" w:hAnsi="Arial" w:cs="Arial"/>
          <w:szCs w:val="28"/>
          <w:lang w:val="uk-UA" w:eastAsia="ru-RU"/>
        </w:rPr>
      </w:pPr>
    </w:p>
    <w:p w14:paraId="561110EA" w14:textId="154C9433" w:rsidR="007B2628" w:rsidRPr="00511005" w:rsidRDefault="003476F8" w:rsidP="007040F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ТРУДОВІ ПРАВА ПРАЦІВНИКІВ ДИСТАНЦІЙНОЇ ТА НАДОМНОЇ РОБОТИ</w:t>
      </w:r>
    </w:p>
    <w:p w14:paraId="332B1827" w14:textId="77777777" w:rsidR="007B262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Актуальність даної теми обумовлена низкою соціально</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економічних та юридичних чинників, які набули особливої гостроти в умовах викликів сьогодення. По</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перше, дедалі більше працівників переходять на гнучкі форми організації праці, що вимагає перегляду усталених підходів до захисту їхніх прав. По</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друге, надзвичайні ситуації — пандемія COVID</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19 у 2020–2022 рр. та триваюча в Україні воєнна агресія з 2022 р. — продемонстрували необхідність оперативного впровадження дистанційних та надомних режимів роботи й створили прецеденти нормативних змін. По</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третє, хоча Кодекс законів про працю України формально закріплює інститут дистанційної (ст. 60</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2) та надомної (ст. 60</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 xml:space="preserve">1) роботи, на практиці спостерігаються численні колізії: неузгодженість типових договорів і фактичних умов праці, невизначеність у питаннях компенсацій за обладнання та витрати, а також неоднакове тлумачення термінів </w:t>
      </w:r>
      <w:r w:rsidRPr="00511005">
        <w:rPr>
          <w:rFonts w:ascii="Arial" w:eastAsia="Times New Roman" w:hAnsi="Arial" w:cs="Arial"/>
          <w:szCs w:val="28"/>
          <w:lang w:val="uk-UA" w:eastAsia="ru-RU"/>
        </w:rPr>
        <w:lastRenderedPageBreak/>
        <w:t xml:space="preserve">«дистанційна» та «надомна» робота в судовій практиці. Це створює правові ризики як для працівників (порушення гарантій, затримки виплат тощо), так і для роботодавців (штрафи, трудові спори). </w:t>
      </w:r>
    </w:p>
    <w:p w14:paraId="1CBD814E" w14:textId="77777777" w:rsidR="007B262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Мета дослідження – встановити ефективність чинного правового регулювання трудових прав працівників дистанційної та надомної роботи в Україні, визначити та науково обґрунтувати трудові права працівників дистанційної та надомної роботи задля оптимізації законодавства і типових договорів для посилення захисту соціально</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трудових гарантій за нових форм зайнятості.</w:t>
      </w:r>
    </w:p>
    <w:p w14:paraId="4E02AC38" w14:textId="77777777" w:rsidR="007B262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Метою продиктовані наступні завдання: проаналізувати нормативно</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правові джерела, що регулюють дистанційну (ст. 60</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2 КЗпП) та надомну (ст. 60</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1 КЗпП) форми зайнятості, включно з підзаконними актами (наказ Мінекономіки № 913</w:t>
      </w:r>
      <w:r w:rsidRPr="00511005">
        <w:rPr>
          <w:rFonts w:ascii="Cambria Math" w:eastAsia="MS Mincho" w:hAnsi="Cambria Math" w:cs="Cambria Math"/>
          <w:szCs w:val="28"/>
          <w:lang w:val="uk-UA" w:eastAsia="ru-RU"/>
        </w:rPr>
        <w:t>‑</w:t>
      </w:r>
      <w:r w:rsidRPr="00511005">
        <w:rPr>
          <w:rFonts w:ascii="Arial" w:eastAsia="Times New Roman" w:hAnsi="Arial" w:cs="Arial"/>
          <w:szCs w:val="28"/>
          <w:lang w:val="uk-UA" w:eastAsia="ru-RU"/>
        </w:rPr>
        <w:t>21, роз’яснення Держпраці); визначити колізії й невідповідності між типовими умовами трудових договорів та фактичними практиками застосування дистанційної і надомної роботи; оцінити права та обов’язки сторін (працівника й роботодавця) у межах кожної форми зайнятості: обладнання робочого місця, режим роботи, оплата та компенсації, охорона праці; сформулювати висновки щодо вдосконалення договорів і методичних документів, які забезпечать ефективніший захист прав працівників.</w:t>
      </w:r>
    </w:p>
    <w:p w14:paraId="27A9BC83" w14:textId="77777777" w:rsidR="007B262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Дистанційна робота згідно з Кодексом законів про працю України (КЗпП) – це самостійна форма організації праці, за якої працівник виконує свої обов’язки поза офісом або робочим приміщенням роботодавця, у будь-якому місці за власним вибором і з використанням інформаційно-комунікаційних технологій. КЗпП також встановлює поняття надомної роботи: це праця, що виконується за місцем проживання працівника або в інших визначених ним приміщеннях за наявності закріпленої робочої зони та необхідного обладнання (інструментів, приладів тощо) для виробництва продукції чи надання послуг [1].</w:t>
      </w:r>
    </w:p>
    <w:p w14:paraId="7F53C31B" w14:textId="77777777" w:rsidR="007B262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Працівник на дистанції має самостійно визначати робочий час, розподіляючи його за власним розсудом; внутрішній трудовий розпорядок підприємства на нього не поширюється. Проте сумарний робочий час не може перевищувати норм (до 40 годин на тиждень, або до 24/36 годин для окремих категорій) [2]. Працівнику гарантується період вільного часу («період відключення»), під час якого він не зобов’язаний бути на зв’язку і це не вважається порушенням трудової дисципліни. Працівник зобов’язаний забезпечити безпечні й нешкідливі умови на своєму віддаленому робочому місці; відповідальність за стан домашнього кабінету, згідно з КЗпП, лежить на ньому. Натомість роботодавець повинен провести інструктаж з охорони праці дистанційного працівника (що можна зробити за допомогою відеозв’язку та інших ІКТ) і, якщо передбачено договором, забезпечити працівника необхідним обладнанням [3]. Якщо ж у договорі нічого не </w:t>
      </w:r>
      <w:r w:rsidRPr="00511005">
        <w:rPr>
          <w:rFonts w:ascii="Arial" w:eastAsia="Times New Roman" w:hAnsi="Arial" w:cs="Arial"/>
          <w:szCs w:val="28"/>
          <w:lang w:val="uk-UA" w:eastAsia="ru-RU"/>
        </w:rPr>
        <w:lastRenderedPageBreak/>
        <w:t>зазначено, то роботодавець зобов’язаний сам організувати оснащення працівника технікою і оплатити пов’язане з цим обслуговування та витрати. Працівнику також відшкодовуються витрати на амортизацію власного обладнання (компенсація «прописана» у ст.125 КЗпП) [1]. Усі інші трудові права дистанційного працівника зберігаються на тому ж рівні, що й у штатних працівників – він має право на оплачувані відпустки, лікарняні, оплачувану перерву тощо</w:t>
      </w:r>
    </w:p>
    <w:p w14:paraId="42F8B053" w14:textId="77777777" w:rsidR="007B262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Однак, надомний працівник зазвичай працює за загальним режимом підприємства, якщо інше не встановлено договором. Гарантується повна оплата праці за обсягом виконаної роботи, норми оплати та обмеження робочого часу ті ж, що й при звичайній формі праці. Працівник має ту ж соціальну захищеність: повна тривалість відпусток, лікарняні, страхові гарантії відповідно до КЗпП. Роботодавець зобов’язаний надати працівнику на дому необхідні засоби виробництва (матеріали, інструменти, обладнання). Якщо працівник сам використовує власні інструменти чи техніку, йому належить компенсація за їхнє використання (компенсація зносу, оплата електроенергії, інтернету тощо) згідно з умовами договору та ст.125 КЗпП [1]. Відрядження надомного працівника здійснюється за умовами того ж договору. Якщо роботодавець сам ініціює зміну адреси праці, це вважається погодженою зміною умов (працівник фіксовано «прив’язаний» до дому). Усі інші обов’язки сторін (видача наказів, облік відпрацьованого часу, звітність) здійснюються так само, як і при звичайній роботі.</w:t>
      </w:r>
    </w:p>
    <w:p w14:paraId="6973DF90" w14:textId="4B70D719"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Якщо ж розглядати гарантії для працівника, можна виокремити окремі категорії:</w:t>
      </w:r>
    </w:p>
    <w:p w14:paraId="1D548AA1" w14:textId="77777777" w:rsidR="003476F8" w:rsidRPr="00511005" w:rsidRDefault="003476F8" w:rsidP="003F6A5D">
      <w:pPr>
        <w:numPr>
          <w:ilvl w:val="0"/>
          <w:numId w:val="471"/>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Охорона праці. Законодавство України зобов’язує підприємства інструктувати співробітників, які працюють дистанційно або надомно, з питань охорони праці. Незважаючи на те, що дистанційний працівник самостійно організовує свій домашній офіс, відповідальність за проведення інструктажу з безпечного користування наданим обладнанням лежить на роботодавцеві. У періоди воєнного стану чи епідемії такі навчання можуть відбуватися онлайн із фіксацією у вигляді електронних підтверджень. Загалом на віддалених та надомних працівників поширюються ті самі правила з охорони праці, що й на штатних: роботодавець має надати їм методичні матеріали та вжити заходів для мінімізації ризиків. Держпраці зберігає право перевіряти всю відповідну документацію (накази, журнали інструктажів, акти перевірки обладнання тощо) так само, як у звичайних умовах. </w:t>
      </w:r>
    </w:p>
    <w:p w14:paraId="4F570ADE" w14:textId="77777777" w:rsidR="003476F8" w:rsidRPr="00511005" w:rsidRDefault="003476F8" w:rsidP="003F6A5D">
      <w:pPr>
        <w:numPr>
          <w:ilvl w:val="0"/>
          <w:numId w:val="471"/>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Оплата праці. Розмір та порядок виплат визначаються трудовим договором; якщо окремо не домовлено, надомні й дистанційні працівники отримують повний оклад пропорційно відпрацьованому часу. За рекомендаціями Держпраці, за замовчуванням зарплату дистанційного </w:t>
      </w:r>
      <w:r w:rsidRPr="00511005">
        <w:rPr>
          <w:rFonts w:ascii="Arial" w:eastAsia="Times New Roman" w:hAnsi="Arial" w:cs="Arial"/>
          <w:szCs w:val="28"/>
          <w:lang w:val="uk-UA" w:eastAsia="ru-RU"/>
        </w:rPr>
        <w:lastRenderedPageBreak/>
        <w:t>працівника виплачують не рідше ніж двічі на місяць. У договорі також мають бути прописані компенсації за амортизацію обладнання, інтернет, мобільний зв’язок тощо. Несвоєчасна виплата заробітної плати чи компенсацій визнається порушенням КЗпП і тягне за собою застосування санкцій згідно зі ст. 265 КЗпП [1]. Решта надбавок, премій та пільг зберігаються на загальних підставах незалежно від місця виконання роботи.</w:t>
      </w:r>
    </w:p>
    <w:p w14:paraId="5948D252" w14:textId="77777777" w:rsidR="003476F8" w:rsidRPr="00511005" w:rsidRDefault="003476F8" w:rsidP="003F6A5D">
      <w:pPr>
        <w:numPr>
          <w:ilvl w:val="0"/>
          <w:numId w:val="471"/>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Режим робочого часу. Максимальна тривалість робочого тижня (40 годин) однакова для всіх форм зайнятості. Дистанційний працівник самостійно планує свій графік, але не може перевищувати встановлену норму. Надомний працівник, навпаки, здебільшого працює за графіком, затвердженим роботодавцем або прописаним у договорі. Держпраці наголошує на недопущенні зловживань, зокрема прихованих понаднормових годин.</w:t>
      </w:r>
    </w:p>
    <w:p w14:paraId="33CF326C" w14:textId="77777777" w:rsidR="007B2628" w:rsidRPr="00511005" w:rsidRDefault="003476F8" w:rsidP="003F6A5D">
      <w:pPr>
        <w:numPr>
          <w:ilvl w:val="0"/>
          <w:numId w:val="471"/>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Інспекційна діяльність. Незважаючи на віддалене місце роботи, Держпраці залишає за собою право перевіряти виконання трудових норм. Інспектори можуть вимагати від роботодавця будь</w:t>
      </w:r>
      <w:r w:rsidRPr="00511005">
        <w:rPr>
          <w:rFonts w:ascii="Cambria Math" w:eastAsia="Times New Roman" w:hAnsi="Cambria Math" w:cs="Cambria Math"/>
          <w:szCs w:val="28"/>
          <w:lang w:val="uk-UA" w:eastAsia="ru-RU"/>
        </w:rPr>
        <w:t>‑</w:t>
      </w:r>
      <w:r w:rsidRPr="00511005">
        <w:rPr>
          <w:rFonts w:ascii="Arial" w:eastAsia="Times New Roman" w:hAnsi="Arial" w:cs="Arial"/>
          <w:szCs w:val="28"/>
          <w:lang w:val="uk-UA" w:eastAsia="ru-RU"/>
        </w:rPr>
        <w:t>які документи, що стосуються дистанційної чи надомної роботи (трудові договори, накази, акти інструктажів тощо). Перевірки за потреби проводяться дистанційно: наприклад, шляхом відеоогляду обладнання та заповнених журналів інструктажів. У разі виявлення порушень (відсутність договорів, неналежні умови праці тощо) до роботодавця застосовуються штрафні санкції.</w:t>
      </w:r>
    </w:p>
    <w:p w14:paraId="331AC4A9" w14:textId="77777777" w:rsidR="007B262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Юридичні наслідки порушень при дистанційній та надомній роботі: 1) незаконне переведення без згоди визнається зміною істотних умов праці і дозволяє працівнику відмовитися від дистанційного формату чи вимагати повернення до попереднього режиму або звільнитися з поважної причини (п. 5 ч.1 ст. 38 КЗпП); 2) відмова роботодавця забезпечити обладнання (інтернет, комп’ютер тощо) також дає право працівнику розірвати договір без додаткових процедур; 3) несвоєчасна виплата зарплати чи компенсацій та відмова від гарантій безпеки кваліфікуються як порушення КЗпП і Закону України «Про оплату праці», тягнуть штрафи та відшкодування за ст. 265 КЗпП і КупАП; 4) захист прав: працівник може скаржитися до Держпраці або звертатися до суду; санкції варіюються від приписів усунути порушення до штрафів і відшкодувань.</w:t>
      </w:r>
    </w:p>
    <w:p w14:paraId="7EF4364C" w14:textId="2ECE157A" w:rsidR="003476F8" w:rsidRPr="00511005" w:rsidRDefault="003476F8"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Отже, трудові відносини за формами дистанційної та надомної роботи повністю врегульовані сучасним законодавством України. КЗпП та підзаконні акти встановлюють чіткі умови їх оформлення і здійснення, визначаючи права і обов’язки сторін. Працівники на цих формах користуються всіма гарантованими їм трудовими правами (оплатою, відпустками, соцгарантіями тощо), водночас роботодавець зобов’язаний забезпечити нормативно передбачені умови (обладнання, безпеку, інформаційну підтримку та ін.). У разі невиконання цих норм працівник має </w:t>
      </w:r>
      <w:r w:rsidRPr="00511005">
        <w:rPr>
          <w:rFonts w:ascii="Arial" w:eastAsia="Times New Roman" w:hAnsi="Arial" w:cs="Arial"/>
          <w:szCs w:val="28"/>
          <w:lang w:val="uk-UA" w:eastAsia="ru-RU"/>
        </w:rPr>
        <w:lastRenderedPageBreak/>
        <w:t>низку правових засобів захисту – від скарги в Держпраці до судових позовів – а роботодавець несе відповідальність за трудовим законодавством.</w:t>
      </w:r>
    </w:p>
    <w:p w14:paraId="79D3F991" w14:textId="059D0C8A" w:rsidR="003476F8" w:rsidRPr="00511005" w:rsidRDefault="007B2628" w:rsidP="007B2628">
      <w:pPr>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541A2889" w14:textId="77777777" w:rsidR="003476F8" w:rsidRPr="00511005" w:rsidRDefault="003476F8" w:rsidP="003F6A5D">
      <w:pPr>
        <w:numPr>
          <w:ilvl w:val="0"/>
          <w:numId w:val="470"/>
        </w:numPr>
        <w:spacing w:line="264" w:lineRule="auto"/>
        <w:ind w:left="0" w:firstLine="709"/>
        <w:jc w:val="left"/>
        <w:rPr>
          <w:rFonts w:ascii="Arial" w:eastAsia="Times New Roman" w:hAnsi="Arial" w:cs="Arial"/>
          <w:szCs w:val="28"/>
          <w:lang w:val="uk-UA" w:eastAsia="ru-RU"/>
        </w:rPr>
      </w:pPr>
      <w:r w:rsidRPr="00511005">
        <w:rPr>
          <w:rFonts w:ascii="Arial" w:eastAsia="Arial" w:hAnsi="Arial" w:cs="Arial"/>
          <w:szCs w:val="28"/>
          <w:lang w:val="uk-UA" w:eastAsia="ru-RU"/>
        </w:rPr>
        <w:t xml:space="preserve">Кодекс законів про працю України від 10.12.1971 р. № 322-VIII. </w:t>
      </w:r>
      <w:r w:rsidRPr="00511005">
        <w:rPr>
          <w:rFonts w:ascii="Arial" w:eastAsia="Times New Roman" w:hAnsi="Arial" w:cs="Arial"/>
          <w:szCs w:val="28"/>
          <w:lang w:val="uk-UA" w:eastAsia="ru-RU"/>
        </w:rPr>
        <w:t xml:space="preserve">URL: </w:t>
      </w:r>
      <w:hyperlink r:id="rId1726" w:anchor="n1571">
        <w:r w:rsidRPr="00511005">
          <w:rPr>
            <w:rFonts w:ascii="Arial" w:eastAsia="Times New Roman" w:hAnsi="Arial" w:cs="Arial"/>
            <w:szCs w:val="28"/>
            <w:lang w:val="uk-UA" w:eastAsia="ru-RU"/>
          </w:rPr>
          <w:t>https://zakon.rada.gov.ua/laws/show/322-08#n1571</w:t>
        </w:r>
      </w:hyperlink>
      <w:r w:rsidRPr="00511005">
        <w:rPr>
          <w:rFonts w:ascii="Arial" w:eastAsia="Times New Roman" w:hAnsi="Arial" w:cs="Arial"/>
          <w:szCs w:val="28"/>
          <w:lang w:val="uk-UA" w:eastAsia="ru-RU"/>
        </w:rPr>
        <w:t xml:space="preserve"> </w:t>
      </w:r>
      <w:r w:rsidRPr="00511005">
        <w:rPr>
          <w:rFonts w:ascii="Arial" w:eastAsia="Arial" w:hAnsi="Arial" w:cs="Arial"/>
          <w:szCs w:val="28"/>
          <w:lang w:val="uk-UA" w:eastAsia="ru-RU"/>
        </w:rPr>
        <w:t>(дата звернення: 07.05.2025).</w:t>
      </w:r>
    </w:p>
    <w:p w14:paraId="0A91E92A" w14:textId="77777777" w:rsidR="003476F8" w:rsidRPr="00511005" w:rsidRDefault="003476F8" w:rsidP="003F6A5D">
      <w:pPr>
        <w:numPr>
          <w:ilvl w:val="0"/>
          <w:numId w:val="470"/>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Дистанційна робота: про що треба знати роботодавцю. Державні сайти gov ua. URL: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dsp</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podolannia</w:instrText>
      </w:r>
      <w:r w:rsidR="005938AD" w:rsidRPr="00055389">
        <w:rPr>
          <w:lang w:val="uk-UA"/>
        </w:rPr>
        <w:instrText>-</w:instrText>
      </w:r>
      <w:r w:rsidR="005938AD">
        <w:instrText>nelehalnoi</w:instrText>
      </w:r>
      <w:r w:rsidR="005938AD" w:rsidRPr="00055389">
        <w:rPr>
          <w:lang w:val="uk-UA"/>
        </w:rPr>
        <w:instrText>-</w:instrText>
      </w:r>
      <w:r w:rsidR="005938AD">
        <w:instrText>zainiatosti</w:instrText>
      </w:r>
      <w:r w:rsidR="005938AD" w:rsidRPr="00055389">
        <w:rPr>
          <w:lang w:val="uk-UA"/>
        </w:rPr>
        <w:instrText>/</w:instrText>
      </w:r>
      <w:r w:rsidR="005938AD">
        <w:instrText>dystantsiina</w:instrText>
      </w:r>
      <w:r w:rsidR="005938AD" w:rsidRPr="00055389">
        <w:rPr>
          <w:lang w:val="uk-UA"/>
        </w:rPr>
        <w:instrText>-</w:instrText>
      </w:r>
      <w:r w:rsidR="005938AD">
        <w:instrText>robota</w:instrText>
      </w:r>
      <w:r w:rsidR="005938AD" w:rsidRPr="00055389">
        <w:rPr>
          <w:lang w:val="uk-UA"/>
        </w:rPr>
        <w:instrText>-</w:instrText>
      </w:r>
      <w:r w:rsidR="005938AD">
        <w:instrText>pro</w:instrText>
      </w:r>
      <w:r w:rsidR="005938AD" w:rsidRPr="00055389">
        <w:rPr>
          <w:lang w:val="uk-UA"/>
        </w:rPr>
        <w:instrText>-</w:instrText>
      </w:r>
      <w:r w:rsidR="005938AD">
        <w:instrText>shcho</w:instrText>
      </w:r>
      <w:r w:rsidR="005938AD" w:rsidRPr="00055389">
        <w:rPr>
          <w:lang w:val="uk-UA"/>
        </w:rPr>
        <w:instrText>-</w:instrText>
      </w:r>
      <w:r w:rsidR="005938AD">
        <w:instrText>treba</w:instrText>
      </w:r>
      <w:r w:rsidR="005938AD" w:rsidRPr="00055389">
        <w:rPr>
          <w:lang w:val="uk-UA"/>
        </w:rPr>
        <w:instrText>-</w:instrText>
      </w:r>
      <w:r w:rsidR="005938AD">
        <w:instrText>znaty</w:instrText>
      </w:r>
      <w:r w:rsidR="005938AD" w:rsidRPr="00055389">
        <w:rPr>
          <w:lang w:val="uk-UA"/>
        </w:rPr>
        <w:instrText>-</w:instrText>
      </w:r>
      <w:r w:rsidR="005938AD">
        <w:instrText>robotodavtsiu</w:instrText>
      </w:r>
      <w:r w:rsidR="005938AD" w:rsidRPr="00055389">
        <w:rPr>
          <w:lang w:val="uk-UA"/>
        </w:rPr>
        <w:instrText>/" \</w:instrText>
      </w:r>
      <w:r w:rsidR="005938AD">
        <w:instrText>h</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eastAsia="ru-RU"/>
        </w:rPr>
        <w:t>https://dsp.gov.ua/podolannia-nelehalnoi-zainiatosti/dystantsiina-robota-pro-shcho-treba-znaty-robotodavtsiu/</w:t>
      </w:r>
      <w:r w:rsidR="005938AD">
        <w:rPr>
          <w:rFonts w:ascii="Arial" w:eastAsia="Times New Roman" w:hAnsi="Arial" w:cs="Arial"/>
          <w:szCs w:val="28"/>
          <w:lang w:val="uk-UA" w:eastAsia="ru-RU"/>
        </w:rPr>
        <w:fldChar w:fldCharType="end"/>
      </w:r>
      <w:r w:rsidRPr="00511005">
        <w:rPr>
          <w:rFonts w:ascii="Arial" w:eastAsia="Arial" w:hAnsi="Arial" w:cs="Arial"/>
          <w:szCs w:val="28"/>
          <w:lang w:val="uk-UA" w:eastAsia="ru-RU"/>
        </w:rPr>
        <w:t>(дата звернення: 07.05.2025).</w:t>
      </w:r>
    </w:p>
    <w:p w14:paraId="1AAA981F" w14:textId="77777777" w:rsidR="003476F8" w:rsidRPr="00511005" w:rsidRDefault="003476F8" w:rsidP="003F6A5D">
      <w:pPr>
        <w:numPr>
          <w:ilvl w:val="0"/>
          <w:numId w:val="470"/>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Організація та проведення інструктажів з питань охорони праці для працівників на дистанційній роботі. Державні сайти gov ua. URL: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dp</w:instrText>
      </w:r>
      <w:r w:rsidR="005938AD" w:rsidRPr="00055389">
        <w:rPr>
          <w:lang w:val="uk-UA"/>
        </w:rPr>
        <w:instrText>.</w:instrText>
      </w:r>
      <w:r w:rsidR="005938AD">
        <w:instrText>dsp</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novyny</w:instrText>
      </w:r>
      <w:r w:rsidR="005938AD" w:rsidRPr="00055389">
        <w:rPr>
          <w:lang w:val="uk-UA"/>
        </w:rPr>
        <w:instrText>/</w:instrText>
      </w:r>
      <w:r w:rsidR="005938AD">
        <w:instrText>orhanizatsiia</w:instrText>
      </w:r>
      <w:r w:rsidR="005938AD" w:rsidRPr="00055389">
        <w:rPr>
          <w:lang w:val="uk-UA"/>
        </w:rPr>
        <w:instrText>-</w:instrText>
      </w:r>
      <w:r w:rsidR="005938AD">
        <w:instrText>ta</w:instrText>
      </w:r>
      <w:r w:rsidR="005938AD" w:rsidRPr="00055389">
        <w:rPr>
          <w:lang w:val="uk-UA"/>
        </w:rPr>
        <w:instrText>-</w:instrText>
      </w:r>
      <w:r w:rsidR="005938AD">
        <w:instrText>provedennia</w:instrText>
      </w:r>
      <w:r w:rsidR="005938AD" w:rsidRPr="00055389">
        <w:rPr>
          <w:lang w:val="uk-UA"/>
        </w:rPr>
        <w:instrText>-</w:instrText>
      </w:r>
      <w:r w:rsidR="005938AD">
        <w:instrText>instruktazhiv</w:instrText>
      </w:r>
      <w:r w:rsidR="005938AD" w:rsidRPr="00055389">
        <w:rPr>
          <w:lang w:val="uk-UA"/>
        </w:rPr>
        <w:instrText>-</w:instrText>
      </w:r>
      <w:r w:rsidR="005938AD">
        <w:instrText>z</w:instrText>
      </w:r>
      <w:r w:rsidR="005938AD" w:rsidRPr="00055389">
        <w:rPr>
          <w:lang w:val="uk-UA"/>
        </w:rPr>
        <w:instrText>-</w:instrText>
      </w:r>
      <w:r w:rsidR="005938AD">
        <w:instrText>pytan</w:instrText>
      </w:r>
      <w:r w:rsidR="005938AD" w:rsidRPr="00055389">
        <w:rPr>
          <w:lang w:val="uk-UA"/>
        </w:rPr>
        <w:instrText>-</w:instrText>
      </w:r>
      <w:r w:rsidR="005938AD">
        <w:instrText>okhorony</w:instrText>
      </w:r>
      <w:r w:rsidR="005938AD" w:rsidRPr="00055389">
        <w:rPr>
          <w:lang w:val="uk-UA"/>
        </w:rPr>
        <w:instrText>-</w:instrText>
      </w:r>
      <w:r w:rsidR="005938AD">
        <w:instrText>pratsi</w:instrText>
      </w:r>
      <w:r w:rsidR="005938AD" w:rsidRPr="00055389">
        <w:rPr>
          <w:lang w:val="uk-UA"/>
        </w:rPr>
        <w:instrText>-</w:instrText>
      </w:r>
      <w:r w:rsidR="005938AD">
        <w:instrText>dlia</w:instrText>
      </w:r>
      <w:r w:rsidR="005938AD" w:rsidRPr="00055389">
        <w:rPr>
          <w:lang w:val="uk-UA"/>
        </w:rPr>
        <w:instrText>-</w:instrText>
      </w:r>
      <w:r w:rsidR="005938AD">
        <w:instrText>pratsivnykiv</w:instrText>
      </w:r>
      <w:r w:rsidR="005938AD" w:rsidRPr="00055389">
        <w:rPr>
          <w:lang w:val="uk-UA"/>
        </w:rPr>
        <w:instrText>-</w:instrText>
      </w:r>
      <w:r w:rsidR="005938AD">
        <w:instrText>na</w:instrText>
      </w:r>
      <w:r w:rsidR="005938AD" w:rsidRPr="00055389">
        <w:rPr>
          <w:lang w:val="uk-UA"/>
        </w:rPr>
        <w:instrText>-</w:instrText>
      </w:r>
      <w:r w:rsidR="005938AD">
        <w:instrText>dystantsiinii</w:instrText>
      </w:r>
      <w:r w:rsidR="005938AD" w:rsidRPr="00055389">
        <w:rPr>
          <w:lang w:val="uk-UA"/>
        </w:rPr>
        <w:instrText>-</w:instrText>
      </w:r>
      <w:r w:rsidR="005938AD">
        <w:instrText>roboti</w:instrText>
      </w:r>
      <w:r w:rsidR="005938AD" w:rsidRPr="00055389">
        <w:rPr>
          <w:lang w:val="uk-UA"/>
        </w:rPr>
        <w:instrText>/" \</w:instrText>
      </w:r>
      <w:r w:rsidR="005938AD">
        <w:instrText>h</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eastAsia="ru-RU"/>
        </w:rPr>
        <w:t>https://dp.dsp.gov.ua/novyny/orhanizatsiia-ta-provedennia-instruktazhiv-z-pytan-okhorony-pratsi-dlia-pratsivnykiv-na-dystantsiinii-roboti/</w:t>
      </w:r>
      <w:r w:rsidR="005938AD">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xml:space="preserve"> </w:t>
      </w:r>
      <w:r w:rsidRPr="00511005">
        <w:rPr>
          <w:rFonts w:ascii="Arial" w:eastAsia="Arial" w:hAnsi="Arial" w:cs="Arial"/>
          <w:szCs w:val="28"/>
          <w:lang w:val="uk-UA" w:eastAsia="ru-RU"/>
        </w:rPr>
        <w:t>(дата звернення: 07.05.2025).</w:t>
      </w:r>
    </w:p>
    <w:p w14:paraId="1D9AA904" w14:textId="77777777" w:rsidR="003476F8" w:rsidRPr="00511005" w:rsidRDefault="003476F8" w:rsidP="003A292D">
      <w:pPr>
        <w:spacing w:line="264" w:lineRule="auto"/>
        <w:ind w:left="709" w:firstLine="0"/>
        <w:rPr>
          <w:rFonts w:ascii="Arial" w:eastAsia="Times New Roman" w:hAnsi="Arial" w:cs="Arial"/>
          <w:szCs w:val="28"/>
          <w:lang w:val="uk-UA" w:eastAsia="ru-RU"/>
        </w:rPr>
      </w:pPr>
    </w:p>
    <w:p w14:paraId="5152CA6E" w14:textId="6C789EF7" w:rsidR="003476F8"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3476F8" w:rsidRPr="00511005">
        <w:rPr>
          <w:rFonts w:ascii="Arial" w:eastAsia="Times New Roman" w:hAnsi="Arial" w:cs="Arial"/>
          <w:szCs w:val="28"/>
          <w:lang w:val="uk-UA" w:eastAsia="ru-RU"/>
        </w:rPr>
        <w:t xml:space="preserve">дистанційна робота, надомна робота, трудові права, гарантії працівника, права та обов'язки працівника, законодавство, охорона праці, оплата праці, режим роботи, Інспекційна діяльність. </w:t>
      </w:r>
    </w:p>
    <w:p w14:paraId="702CBED7" w14:textId="06C6EB75" w:rsidR="003476F8" w:rsidRPr="00511005" w:rsidRDefault="002611B5" w:rsidP="003A292D">
      <w:pPr>
        <w:spacing w:line="264" w:lineRule="auto"/>
        <w:rPr>
          <w:rFonts w:ascii="Arial" w:eastAsia="Times New Roman" w:hAnsi="Arial" w:cs="Arial"/>
          <w:szCs w:val="28"/>
          <w:lang w:val="uk-UA" w:eastAsia="ru-RU"/>
        </w:rPr>
      </w:pPr>
      <w:r w:rsidRPr="00511005">
        <w:rPr>
          <w:rFonts w:ascii="Arial" w:eastAsia="Segoe UI" w:hAnsi="Arial" w:cs="Arial"/>
          <w:b/>
          <w:bCs/>
          <w:i/>
          <w:szCs w:val="28"/>
          <w:shd w:val="clear" w:color="auto" w:fill="FFFFFF"/>
          <w:lang w:val="en-US" w:eastAsia="ru-RU"/>
        </w:rPr>
        <w:t xml:space="preserve">Key words: </w:t>
      </w:r>
      <w:r w:rsidR="003476F8" w:rsidRPr="00511005">
        <w:rPr>
          <w:rFonts w:ascii="Arial" w:eastAsia="Times New Roman" w:hAnsi="Arial" w:cs="Arial"/>
          <w:szCs w:val="28"/>
          <w:lang w:val="en-GB" w:eastAsia="ru-RU"/>
        </w:rPr>
        <w:t>remote work,</w:t>
      </w:r>
      <w:r w:rsidR="003476F8" w:rsidRPr="00511005">
        <w:rPr>
          <w:rFonts w:ascii="Arial" w:eastAsia="Times New Roman" w:hAnsi="Arial" w:cs="Arial"/>
          <w:szCs w:val="28"/>
          <w:lang w:val="uk-UA" w:eastAsia="ru-RU"/>
        </w:rPr>
        <w:t xml:space="preserve"> home work, labour rights, employee guarantees, employee rights and obligations, legislation, labour protection, wages, working hours, inspection activities.</w:t>
      </w:r>
    </w:p>
    <w:p w14:paraId="7FA238FC" w14:textId="434FFBA1" w:rsidR="003476F8" w:rsidRPr="00511005" w:rsidRDefault="007B2628" w:rsidP="003A292D">
      <w:pPr>
        <w:spacing w:line="264" w:lineRule="auto"/>
        <w:ind w:firstLine="0"/>
        <w:jc w:val="left"/>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Науковий керівник: </w:t>
      </w:r>
      <w:r w:rsidR="003476F8" w:rsidRPr="00511005">
        <w:rPr>
          <w:rFonts w:ascii="Arial" w:eastAsia="Times New Roman" w:hAnsi="Arial" w:cs="Arial"/>
          <w:i/>
          <w:szCs w:val="28"/>
          <w:lang w:val="uk-UA" w:eastAsia="ru-RU"/>
        </w:rPr>
        <w:t>к.ю.н., доцент Пожарова О. В.</w:t>
      </w:r>
      <w:r w:rsidR="003476F8" w:rsidRPr="00511005">
        <w:rPr>
          <w:rFonts w:ascii="Arial" w:eastAsia="Times New Roman" w:hAnsi="Arial" w:cs="Arial"/>
          <w:szCs w:val="28"/>
          <w:lang w:val="uk-UA" w:eastAsia="ru-RU"/>
        </w:rPr>
        <w:tab/>
      </w:r>
    </w:p>
    <w:p w14:paraId="0D71178E" w14:textId="77777777" w:rsidR="003476F8" w:rsidRPr="00511005" w:rsidRDefault="003476F8" w:rsidP="003A292D">
      <w:pPr>
        <w:spacing w:line="264" w:lineRule="auto"/>
        <w:ind w:firstLine="0"/>
        <w:jc w:val="left"/>
        <w:rPr>
          <w:rFonts w:ascii="Arial" w:eastAsia="Times New Roman" w:hAnsi="Arial" w:cs="Arial"/>
          <w:szCs w:val="28"/>
          <w:lang w:val="uk-UA" w:eastAsia="ru-RU"/>
        </w:rPr>
      </w:pPr>
    </w:p>
    <w:p w14:paraId="46A16DBD" w14:textId="77777777" w:rsidR="003476F8" w:rsidRPr="00511005" w:rsidRDefault="003476F8" w:rsidP="003A292D">
      <w:pPr>
        <w:spacing w:line="264" w:lineRule="auto"/>
        <w:ind w:firstLine="0"/>
        <w:jc w:val="left"/>
        <w:rPr>
          <w:rFonts w:ascii="Arial" w:eastAsia="Times New Roman" w:hAnsi="Arial" w:cs="Arial"/>
          <w:szCs w:val="28"/>
          <w:lang w:val="uk-UA" w:eastAsia="ru-RU"/>
        </w:rPr>
      </w:pPr>
    </w:p>
    <w:p w14:paraId="39FBCC9E" w14:textId="77777777" w:rsidR="003476F8" w:rsidRPr="00511005" w:rsidRDefault="003476F8" w:rsidP="003A292D">
      <w:pPr>
        <w:spacing w:line="264" w:lineRule="auto"/>
        <w:ind w:firstLine="0"/>
        <w:jc w:val="left"/>
        <w:rPr>
          <w:rFonts w:ascii="Arial" w:eastAsia="Times New Roman" w:hAnsi="Arial" w:cs="Arial"/>
          <w:szCs w:val="28"/>
          <w:lang w:val="uk-UA" w:eastAsia="ru-RU"/>
        </w:rPr>
      </w:pPr>
    </w:p>
    <w:p w14:paraId="72F86A21" w14:textId="77777777" w:rsidR="00146592" w:rsidRPr="00511005" w:rsidRDefault="003476F8" w:rsidP="003A292D">
      <w:pPr>
        <w:spacing w:line="264" w:lineRule="auto"/>
        <w:ind w:left="-567"/>
        <w:jc w:val="center"/>
        <w:rPr>
          <w:rFonts w:ascii="Arial" w:eastAsia="Calibri" w:hAnsi="Arial" w:cs="Arial"/>
          <w:b/>
          <w:i/>
          <w:iCs/>
          <w:szCs w:val="28"/>
          <w:lang w:val="uk-UA"/>
        </w:rPr>
      </w:pPr>
      <w:r w:rsidRPr="00511005">
        <w:rPr>
          <w:rFonts w:ascii="Arial" w:eastAsia="Calibri" w:hAnsi="Arial" w:cs="Arial"/>
          <w:b/>
          <w:i/>
          <w:iCs/>
          <w:szCs w:val="28"/>
          <w:lang w:val="uk-UA"/>
        </w:rPr>
        <w:t>Шупенюк Вікторія Олексіївна</w:t>
      </w:r>
    </w:p>
    <w:p w14:paraId="03F369FE" w14:textId="44A46D0D" w:rsidR="003476F8" w:rsidRPr="00511005" w:rsidRDefault="00536AAB" w:rsidP="003A292D">
      <w:pPr>
        <w:spacing w:line="264" w:lineRule="auto"/>
        <w:ind w:left="-567"/>
        <w:jc w:val="center"/>
        <w:rPr>
          <w:rFonts w:ascii="Arial" w:eastAsia="Calibri" w:hAnsi="Arial" w:cs="Arial"/>
          <w:i/>
          <w:iCs/>
          <w:szCs w:val="28"/>
          <w:lang w:val="uk-UA"/>
        </w:rPr>
      </w:pPr>
      <w:r w:rsidRPr="00511005">
        <w:rPr>
          <w:rFonts w:ascii="Arial" w:eastAsia="Calibri" w:hAnsi="Arial" w:cs="Arial"/>
          <w:i/>
          <w:iCs/>
          <w:szCs w:val="28"/>
          <w:lang w:val="uk-UA"/>
        </w:rPr>
        <w:t xml:space="preserve">студентка 2-го курсу </w:t>
      </w:r>
      <w:r w:rsidR="007B2628" w:rsidRPr="00511005">
        <w:rPr>
          <w:rFonts w:ascii="Arial" w:eastAsia="Calibri" w:hAnsi="Arial" w:cs="Arial"/>
          <w:i/>
          <w:iCs/>
          <w:szCs w:val="28"/>
          <w:lang w:val="uk-UA"/>
        </w:rPr>
        <w:t>факультету цивільної та господарської юстиції</w:t>
      </w:r>
    </w:p>
    <w:p w14:paraId="2C35DA5D" w14:textId="4D8945DF" w:rsidR="003476F8" w:rsidRPr="00511005" w:rsidRDefault="007B2628" w:rsidP="003A292D">
      <w:pPr>
        <w:spacing w:line="264" w:lineRule="auto"/>
        <w:ind w:left="-567"/>
        <w:jc w:val="center"/>
        <w:rPr>
          <w:rFonts w:ascii="Arial" w:eastAsia="Calibri" w:hAnsi="Arial" w:cs="Arial"/>
          <w:i/>
          <w:iCs/>
          <w:szCs w:val="28"/>
        </w:rPr>
      </w:pPr>
      <w:r w:rsidRPr="00511005">
        <w:rPr>
          <w:rFonts w:ascii="Arial" w:eastAsia="Calibri" w:hAnsi="Arial" w:cs="Arial"/>
          <w:i/>
          <w:iCs/>
          <w:szCs w:val="28"/>
        </w:rPr>
        <w:t>Національного університету «Одеська юридична академія»</w:t>
      </w:r>
    </w:p>
    <w:p w14:paraId="2906F841" w14:textId="77777777" w:rsidR="003476F8" w:rsidRPr="00511005" w:rsidRDefault="003476F8" w:rsidP="003A292D">
      <w:pPr>
        <w:spacing w:line="264" w:lineRule="auto"/>
        <w:ind w:left="-567"/>
        <w:jc w:val="center"/>
        <w:rPr>
          <w:rFonts w:ascii="Arial" w:eastAsia="Calibri" w:hAnsi="Arial" w:cs="Arial"/>
          <w:b/>
          <w:szCs w:val="28"/>
        </w:rPr>
      </w:pPr>
    </w:p>
    <w:p w14:paraId="0B6EA09F" w14:textId="77777777" w:rsidR="003476F8" w:rsidRPr="00511005" w:rsidRDefault="003476F8" w:rsidP="003A292D">
      <w:pPr>
        <w:spacing w:line="264" w:lineRule="auto"/>
        <w:ind w:left="-567"/>
        <w:jc w:val="center"/>
        <w:rPr>
          <w:rFonts w:ascii="Arial" w:eastAsia="Calibri" w:hAnsi="Arial" w:cs="Arial"/>
          <w:b/>
          <w:szCs w:val="28"/>
        </w:rPr>
      </w:pPr>
      <w:r w:rsidRPr="00511005">
        <w:rPr>
          <w:rFonts w:ascii="Arial" w:eastAsia="Calibri" w:hAnsi="Arial" w:cs="Arial"/>
          <w:b/>
          <w:szCs w:val="28"/>
        </w:rPr>
        <w:t>НЕТИПОВІ ФОРМИ ЗАЙНЯТОСТІ В СУЧАСНИХ УМОВАХ</w:t>
      </w:r>
    </w:p>
    <w:p w14:paraId="2E14A06C" w14:textId="77777777" w:rsidR="003476F8" w:rsidRPr="00511005" w:rsidRDefault="003476F8" w:rsidP="00DE1506">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Пандемія COVID-19 стала одним із ключових чинників, що докорінно змінив формат праці в усьому світі. Відповідно до рекомендацій Всесвітньої організації охорони здоров’я, в різних країнах, зокрема й в Україні, було впроваджено безліч карантинних обмежень, спрямованих на стримання поширення вірусу. Однак такі заходи мали потужний економічний і соціальний вплив, змусивши роботодавців та працівників шукати альтернативи традиційним формам зайнятості. Унаслідок цього стрімко активізувалося використання нових, нетипових форматів трудової діяльності, таких як дистанційна робота, надомна праця, фриланс, гнучкий графік, тимчасова або сезонна зайнятість. Додатковим каталізатором для подальшої трансформації ринку праці в Україні стала повномасштабна </w:t>
      </w:r>
      <w:r w:rsidRPr="00511005">
        <w:rPr>
          <w:rFonts w:ascii="Arial" w:eastAsia="Times New Roman" w:hAnsi="Arial" w:cs="Arial"/>
          <w:szCs w:val="28"/>
          <w:lang w:eastAsia="ru-RU"/>
        </w:rPr>
        <w:lastRenderedPageBreak/>
        <w:t>війна, яка радикально вплинула на можливість ведення звичного трудового процесу в багатьох регіонах.</w:t>
      </w:r>
    </w:p>
    <w:p w14:paraId="685B0C99" w14:textId="77777777" w:rsidR="003476F8" w:rsidRPr="00511005" w:rsidRDefault="003476F8" w:rsidP="00DE1506">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Нетипова зайнятість є явищем, що сформувалося як відповідь на виклики сучасного світу – зокрема глобалізацію, технологічний прогрес, зміну цінностей у поколіннях працівників, а також форс-мажорні обставини, такі як епідемії чи війна. Проте, попри широку практику застосування, в національному законодавстві України поняття «нетипова форма зайнятості» досі не має чіткого закріплення. Законодавча база лише частково адаптована до нових реалій, що підтверджується прийняттям Закону України від 4 квітня 2021 року №1213-IX, яким регламентується дистанційна, надомна робота та робота за гнучким графіком. Цей документ став першим серйозним кроком у напрямку визнання нових форм трудових відносин та їх врегулювання на правовому рівні [1].</w:t>
      </w:r>
    </w:p>
    <w:p w14:paraId="07FF40B9" w14:textId="77777777" w:rsidR="003476F8" w:rsidRPr="00511005" w:rsidRDefault="003476F8" w:rsidP="00DE1506">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Згідно з чинним Законом України «Про зайнятість населення», зайнятість – це дозволена законодавством діяльність, яка забезпечує особі дохід та задоволення її особистих і суспільних потреб. Така діяльність не обов’язково передбачає формальні трудові відносини у традиційному сенсі. Саме тому дедалі частіше виникає потреба в осмисленні та визначенні нових форм взаємодії між працівником і роботодавцем, які не вписуються у класичну схему безстрокового трудового договору, стабільного графіку, фіксованого місця праці та повного пакета соціальних гарантій [2].</w:t>
      </w:r>
    </w:p>
    <w:p w14:paraId="6662A556" w14:textId="77777777" w:rsidR="003476F8" w:rsidRPr="00511005" w:rsidRDefault="003476F8" w:rsidP="00DE1506">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Термін «нетипова зайнятість» виник як антитеза до поняття «типова» або «стандартна» зайнятість. Стандартна зайнятість, як правило, асоціюється з постійною роботою на повний робочий день, оформленням згідно з трудовим договором, стабільною зарплатнею, наявністю соціального пакету та чіткою ієрархією в межах трудового колективу. У протилежність цьому, нетипові форми зайнятості часто характеризуються гнучкістю, варіативністю, автономією працівника та меншою мірою захищеності в юридичному й соціальному сенсі [3].</w:t>
      </w:r>
    </w:p>
    <w:p w14:paraId="716DD3EB" w14:textId="77777777" w:rsidR="003476F8" w:rsidRPr="00511005" w:rsidRDefault="003476F8" w:rsidP="00DE1506">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Серед ключових форм нетипової зайнятості, що набули поширення в Україні, варто назвати наступні: дистанційна та надомна робота, фриланс, гіг-зайнятість, тимчасове або строкове працевлаштування, часткова зайнятість, працевлаштування через агентства тимчасової зайнятості, самозайнятість тощо. Ці форми є доволі різнорідними за своєю сутністю, однак їх об’єднує кілька ознак – відсутність стабільності, зменшення ролі роботодавця у щоденному контролі над працівником, а також недостатня соціальна захищеність.</w:t>
      </w:r>
    </w:p>
    <w:p w14:paraId="1D67CBFE" w14:textId="77777777" w:rsidR="003476F8" w:rsidRPr="00511005" w:rsidRDefault="003476F8" w:rsidP="00DE1506">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Так, дистанційна робота дозволяє працівникам виконувати свої обов’язки з будь-якого місця, маючи лише доступ до інтернету та необхідних технологій. Вона передбачає високу ступінь автономії, а також можливість поєднувати роботу з іншими видами діяльності, зокрема доглядом за дітьми або навчанням. Разом із тим, така форма зайнятості може призводити до </w:t>
      </w:r>
      <w:r w:rsidRPr="00511005">
        <w:rPr>
          <w:rFonts w:ascii="Arial" w:eastAsia="Times New Roman" w:hAnsi="Arial" w:cs="Arial"/>
          <w:szCs w:val="28"/>
          <w:lang w:eastAsia="ru-RU"/>
        </w:rPr>
        <w:lastRenderedPageBreak/>
        <w:t>розмивання межі між особистим та професійним життям, зниження рівня соціалізації та збільшення психологічного навантаження.</w:t>
      </w:r>
    </w:p>
    <w:p w14:paraId="32099F39" w14:textId="77777777" w:rsidR="003476F8" w:rsidRPr="00511005" w:rsidRDefault="003476F8" w:rsidP="00DE1506">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Фриланс та гіг-зайнятість (наприклад, водії таксі, кур’єри, копірайтери) мають свої унікальні характеристики. Такі працівники, як правило, не перебувають у формальних трудових відносинах із замовником і самостійно організовують свою діяльність, зокрема питання податків, пенсійних внесків, страхування тощо. Це відкриває перед людиною нові можливості для самореалізації, проте також ставить її у вразливе становище – зокрема в умовах хвороби, втрати клієнтів чи несприятливої економічної ситуації.</w:t>
      </w:r>
    </w:p>
    <w:p w14:paraId="362E2047" w14:textId="77777777" w:rsidR="003476F8" w:rsidRPr="00511005" w:rsidRDefault="003476F8" w:rsidP="00DE1506">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Тимчасова та строкова зайнятість дозволяє підприємствам оперативно реагувати на зміну попиту, скорочувати витрати та уникати зобов’язань перед працівниками, які є невигідними або надмірними з огляду на короткий термін трудових відносин. Такі форми найчастіше використовуються в аграрному секторі, сфері обслуговування, будівництві та IT. Утім, працівники на строкових контрактах часто позбавлені повного доступу до соціального пакету, медичного обслуговування, виплат у разі втрати працездатності тощо [4].</w:t>
      </w:r>
    </w:p>
    <w:p w14:paraId="22992414" w14:textId="77777777" w:rsidR="003476F8" w:rsidRPr="00511005" w:rsidRDefault="003476F8" w:rsidP="00DE1506">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З іншого боку, нетипова зайнятість не завжди є вимушеним або небажаним вибором. Для багатьох сучасних працівників, особливо представників покоління Z, гнучкий графік, можливість працювати з будь-якої точки світу, незалежність та самореалізація стали основними критеріями при виборі професії та форми працевлаштування. У цьому контексті нетипова форма зайнятості не є виключенням, а новою нормою, що відображає трансформацію трудової культури.</w:t>
      </w:r>
    </w:p>
    <w:p w14:paraId="6809D666" w14:textId="77777777" w:rsidR="003476F8" w:rsidRPr="00511005" w:rsidRDefault="003476F8" w:rsidP="00DE1506">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Однак, така трансформація вимагає системного підходу з боку держави. Необхідно створити законодавчі механізми, які забезпечуватимуть баланс між інтересами працівника та роботодавця, а також ефективний захист соціальних прав осіб, зайнятих у нетипових форматах. Це включає питання сплати податків, внесків до пенсійного фонду, медичного страхування, надання відпусток, забезпечення прав на відпочинок, охорону праці та інше. Також слід стимулювати прозору звітність і взаємодію між працівниками і державними інституціями.</w:t>
      </w:r>
    </w:p>
    <w:p w14:paraId="5C72FDAA" w14:textId="77777777" w:rsidR="003476F8" w:rsidRPr="00511005" w:rsidRDefault="003476F8" w:rsidP="00DE1506">
      <w:pPr>
        <w:spacing w:line="264" w:lineRule="auto"/>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Нетипові форми зайнятості в сучасних умовах – це не лише виклик, а й можливість. Вони демонструють адаптивність людської праці до нових умов, технологічний прогрес і зміну парадигми «робота – це місце», замінюючи її на «робота – це діяльність». Разом із тим, без належної уваги з боку держави та суспільства така трансформація може призвести до зростання тіньової економіки, соціального розшарування та поглиблення трудової нерівності. Тому стратегічним завданням на найближчі роки є створення правового, економічного та інституційного середовища, яке забезпечить стійкий розвиток нових форм зайнятості без шкоди для базових прав громадян. Україна має унікальний шанс не лише адаптуватися до нової </w:t>
      </w:r>
      <w:r w:rsidRPr="00511005">
        <w:rPr>
          <w:rFonts w:ascii="Arial" w:eastAsia="Times New Roman" w:hAnsi="Arial" w:cs="Arial"/>
          <w:szCs w:val="28"/>
          <w:lang w:eastAsia="ru-RU"/>
        </w:rPr>
        <w:lastRenderedPageBreak/>
        <w:t>реальності, але й стати прикладом для інших країн у питанні модернізації трудового законодавства в епоху змін.</w:t>
      </w:r>
    </w:p>
    <w:p w14:paraId="427A5134" w14:textId="77777777" w:rsidR="003476F8" w:rsidRPr="00511005" w:rsidRDefault="003476F8" w:rsidP="003A292D">
      <w:pPr>
        <w:spacing w:line="264" w:lineRule="auto"/>
        <w:ind w:left="-567"/>
        <w:contextualSpacing/>
        <w:rPr>
          <w:rFonts w:ascii="Arial" w:eastAsia="Times New Roman" w:hAnsi="Arial" w:cs="Arial"/>
          <w:szCs w:val="28"/>
          <w:lang w:eastAsia="ru-RU"/>
        </w:rPr>
      </w:pPr>
    </w:p>
    <w:p w14:paraId="698A07B0" w14:textId="36DFF9E1" w:rsidR="003476F8" w:rsidRPr="00511005" w:rsidRDefault="007B2628" w:rsidP="007B2628">
      <w:pPr>
        <w:spacing w:line="264" w:lineRule="auto"/>
        <w:ind w:left="-567"/>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6F55D5EF" w14:textId="77777777" w:rsidR="003476F8" w:rsidRPr="00511005" w:rsidRDefault="003476F8" w:rsidP="00DE1506">
      <w:pPr>
        <w:spacing w:line="264" w:lineRule="auto"/>
        <w:ind w:firstLine="0"/>
        <w:contextualSpacing/>
        <w:rPr>
          <w:rFonts w:ascii="Arial" w:eastAsia="Calibri" w:hAnsi="Arial" w:cs="Arial"/>
          <w:szCs w:val="28"/>
        </w:rPr>
      </w:pPr>
      <w:r w:rsidRPr="00511005">
        <w:rPr>
          <w:rFonts w:ascii="Arial" w:eastAsia="Calibri" w:hAnsi="Arial" w:cs="Arial"/>
          <w:szCs w:val="28"/>
          <w:lang w:val="uk-UA"/>
        </w:rPr>
        <w:t>1. Про внесення змін до деяких законодавчих актів України щодо удосконалення правового регулювання дистанційної, надомної роботи та роботи із застосуванням гнучкого режиму робочого часу: Закон України від 04.04.2021 року № 1213-</w:t>
      </w:r>
      <w:r w:rsidRPr="00511005">
        <w:rPr>
          <w:rFonts w:ascii="Arial" w:eastAsia="Calibri" w:hAnsi="Arial" w:cs="Arial"/>
          <w:szCs w:val="28"/>
        </w:rPr>
        <w:t>I</w:t>
      </w:r>
      <w:r w:rsidRPr="00511005">
        <w:rPr>
          <w:rFonts w:ascii="Arial" w:eastAsia="Calibri" w:hAnsi="Arial" w:cs="Arial"/>
          <w:szCs w:val="28"/>
          <w:lang w:val="uk-UA"/>
        </w:rPr>
        <w:t xml:space="preserve">Х. </w:t>
      </w:r>
      <w:r w:rsidRPr="00511005">
        <w:rPr>
          <w:rFonts w:ascii="Arial" w:eastAsia="Calibri" w:hAnsi="Arial" w:cs="Arial"/>
          <w:i/>
          <w:iCs/>
          <w:szCs w:val="28"/>
        </w:rPr>
        <w:t>Голос України.</w:t>
      </w:r>
      <w:r w:rsidRPr="00511005">
        <w:rPr>
          <w:rFonts w:ascii="Arial" w:eastAsia="Calibri" w:hAnsi="Arial" w:cs="Arial"/>
          <w:szCs w:val="28"/>
        </w:rPr>
        <w:t xml:space="preserve"> 2017. № 37. </w:t>
      </w:r>
    </w:p>
    <w:p w14:paraId="4AFD1A59" w14:textId="77777777" w:rsidR="003476F8" w:rsidRPr="00511005" w:rsidRDefault="003476F8" w:rsidP="00DE1506">
      <w:pPr>
        <w:spacing w:line="264" w:lineRule="auto"/>
        <w:ind w:firstLine="0"/>
        <w:contextualSpacing/>
        <w:rPr>
          <w:rFonts w:ascii="Arial" w:eastAsia="Calibri" w:hAnsi="Arial" w:cs="Arial"/>
          <w:szCs w:val="28"/>
        </w:rPr>
      </w:pPr>
      <w:r w:rsidRPr="00511005">
        <w:rPr>
          <w:rFonts w:ascii="Arial" w:eastAsia="Calibri" w:hAnsi="Arial" w:cs="Arial"/>
          <w:szCs w:val="28"/>
        </w:rPr>
        <w:t xml:space="preserve">2. Про зайнятість населення: Закон України від 05.07.2012 року № 5067-VI. </w:t>
      </w:r>
      <w:r w:rsidRPr="00511005">
        <w:rPr>
          <w:rFonts w:ascii="Arial" w:eastAsia="Calibri" w:hAnsi="Arial" w:cs="Arial"/>
          <w:i/>
          <w:iCs/>
          <w:szCs w:val="28"/>
        </w:rPr>
        <w:t>Голос України.</w:t>
      </w:r>
      <w:r w:rsidRPr="00511005">
        <w:rPr>
          <w:rFonts w:ascii="Arial" w:eastAsia="Calibri" w:hAnsi="Arial" w:cs="Arial"/>
          <w:szCs w:val="28"/>
        </w:rPr>
        <w:t xml:space="preserve"> 2017. № 153-154. </w:t>
      </w:r>
    </w:p>
    <w:p w14:paraId="6AE8B128" w14:textId="77777777" w:rsidR="003476F8" w:rsidRPr="00511005" w:rsidRDefault="003476F8" w:rsidP="00DE1506">
      <w:pPr>
        <w:spacing w:line="264" w:lineRule="auto"/>
        <w:ind w:firstLine="0"/>
        <w:contextualSpacing/>
        <w:rPr>
          <w:rFonts w:ascii="Arial" w:eastAsia="Calibri" w:hAnsi="Arial" w:cs="Arial"/>
          <w:szCs w:val="28"/>
        </w:rPr>
      </w:pPr>
      <w:r w:rsidRPr="00511005">
        <w:rPr>
          <w:rFonts w:ascii="Arial" w:eastAsia="Calibri" w:hAnsi="Arial" w:cs="Arial"/>
          <w:szCs w:val="28"/>
        </w:rPr>
        <w:t xml:space="preserve">3. Лагутіна І.В. Нестандартні форми зайнятості та особисті немайнові права працівників. </w:t>
      </w:r>
      <w:r w:rsidRPr="00511005">
        <w:rPr>
          <w:rFonts w:ascii="Arial" w:eastAsia="Calibri" w:hAnsi="Arial" w:cs="Arial"/>
          <w:i/>
          <w:iCs/>
          <w:szCs w:val="28"/>
        </w:rPr>
        <w:t>Право і суспільство</w:t>
      </w:r>
      <w:r w:rsidRPr="00511005">
        <w:rPr>
          <w:rFonts w:ascii="Arial" w:eastAsia="Calibri" w:hAnsi="Arial" w:cs="Arial"/>
          <w:szCs w:val="28"/>
        </w:rPr>
        <w:t xml:space="preserve">. 2014. № 5. С. 151-156. </w:t>
      </w:r>
    </w:p>
    <w:p w14:paraId="7BE129CA" w14:textId="77777777" w:rsidR="003476F8" w:rsidRPr="00511005" w:rsidRDefault="003476F8" w:rsidP="00DE1506">
      <w:pPr>
        <w:spacing w:line="264" w:lineRule="auto"/>
        <w:ind w:firstLine="0"/>
        <w:contextualSpacing/>
        <w:rPr>
          <w:rFonts w:ascii="Arial" w:eastAsia="Calibri" w:hAnsi="Arial" w:cs="Arial"/>
          <w:szCs w:val="28"/>
          <w:lang w:val="uk-UA"/>
        </w:rPr>
      </w:pPr>
      <w:r w:rsidRPr="00511005">
        <w:rPr>
          <w:rFonts w:ascii="Arial" w:eastAsia="Calibri" w:hAnsi="Arial" w:cs="Arial"/>
          <w:szCs w:val="28"/>
        </w:rPr>
        <w:t xml:space="preserve">4. Остапенко Ю.О. Нетипова зайнятість як особлива проблема реалізаціїтрудових прав працівників. </w:t>
      </w:r>
      <w:r w:rsidRPr="00511005">
        <w:rPr>
          <w:rFonts w:ascii="Arial" w:eastAsia="Calibri" w:hAnsi="Arial" w:cs="Arial"/>
          <w:i/>
          <w:iCs/>
          <w:szCs w:val="28"/>
        </w:rPr>
        <w:t>Юридична наука</w:t>
      </w:r>
      <w:r w:rsidRPr="00511005">
        <w:rPr>
          <w:rFonts w:ascii="Arial" w:eastAsia="Calibri" w:hAnsi="Arial" w:cs="Arial"/>
          <w:szCs w:val="28"/>
        </w:rPr>
        <w:t>. 2020. Т. 2. № 4 (106). С. 330-337.</w:t>
      </w:r>
    </w:p>
    <w:p w14:paraId="080D17B5" w14:textId="77777777" w:rsidR="003476F8" w:rsidRPr="00511005" w:rsidRDefault="003476F8" w:rsidP="003A292D">
      <w:pPr>
        <w:spacing w:line="264" w:lineRule="auto"/>
        <w:ind w:left="-567"/>
        <w:contextualSpacing/>
        <w:rPr>
          <w:rFonts w:ascii="Arial" w:eastAsia="Calibri" w:hAnsi="Arial" w:cs="Arial"/>
          <w:szCs w:val="28"/>
          <w:lang w:val="uk-UA"/>
        </w:rPr>
      </w:pPr>
    </w:p>
    <w:p w14:paraId="79532ED3" w14:textId="01251337" w:rsidR="003476F8" w:rsidRPr="00511005" w:rsidRDefault="007B2628" w:rsidP="003A292D">
      <w:pPr>
        <w:spacing w:line="264" w:lineRule="auto"/>
        <w:ind w:left="-567"/>
        <w:contextualSpacing/>
        <w:jc w:val="left"/>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3476F8" w:rsidRPr="00511005">
        <w:rPr>
          <w:rFonts w:ascii="Arial" w:eastAsia="Calibri" w:hAnsi="Arial" w:cs="Arial"/>
          <w:szCs w:val="28"/>
          <w:lang w:val="uk-UA"/>
        </w:rPr>
        <w:t>зайнятість, форма, регулювання, трудові, договір.</w:t>
      </w:r>
    </w:p>
    <w:p w14:paraId="07385E13" w14:textId="66CC56B5" w:rsidR="003476F8" w:rsidRPr="00511005" w:rsidRDefault="007B2628" w:rsidP="003A292D">
      <w:pPr>
        <w:spacing w:line="264" w:lineRule="auto"/>
        <w:ind w:left="-567"/>
        <w:contextualSpacing/>
        <w:jc w:val="left"/>
        <w:rPr>
          <w:rFonts w:ascii="Arial" w:eastAsia="Calibri" w:hAnsi="Arial" w:cs="Arial"/>
          <w:szCs w:val="28"/>
          <w:lang w:val="uk-UA"/>
        </w:rPr>
      </w:pPr>
      <w:r w:rsidRPr="00511005">
        <w:rPr>
          <w:rFonts w:ascii="Arial" w:eastAsia="Calibri" w:hAnsi="Arial" w:cs="Arial"/>
          <w:b/>
          <w:i/>
          <w:szCs w:val="28"/>
          <w:lang w:val="en-US"/>
        </w:rPr>
        <w:t xml:space="preserve">Key words: </w:t>
      </w:r>
      <w:r w:rsidR="003476F8" w:rsidRPr="00511005">
        <w:rPr>
          <w:rFonts w:ascii="Arial" w:eastAsia="Calibri" w:hAnsi="Arial" w:cs="Arial"/>
          <w:bCs/>
          <w:szCs w:val="28"/>
          <w:lang w:val="en-US"/>
        </w:rPr>
        <w:t>employment, form, regulation, labor, contract.</w:t>
      </w:r>
    </w:p>
    <w:p w14:paraId="187DB77A" w14:textId="05B28063" w:rsidR="003476F8" w:rsidRPr="00511005" w:rsidRDefault="007B2628" w:rsidP="003A292D">
      <w:pPr>
        <w:spacing w:line="264" w:lineRule="auto"/>
        <w:ind w:left="-567"/>
        <w:contextualSpacing/>
        <w:jc w:val="left"/>
        <w:rPr>
          <w:rFonts w:ascii="Arial" w:eastAsia="Calibri" w:hAnsi="Arial" w:cs="Arial"/>
          <w:szCs w:val="28"/>
          <w:lang w:val="uk-UA"/>
        </w:rPr>
      </w:pPr>
      <w:r w:rsidRPr="00511005">
        <w:rPr>
          <w:rFonts w:ascii="Arial" w:eastAsia="Calibri" w:hAnsi="Arial" w:cs="Arial"/>
          <w:b/>
          <w:bCs/>
          <w:i/>
          <w:iCs/>
          <w:szCs w:val="28"/>
          <w:lang w:val="uk-UA"/>
        </w:rPr>
        <w:t xml:space="preserve">Науковий керівник: </w:t>
      </w:r>
      <w:r w:rsidR="003476F8" w:rsidRPr="00511005">
        <w:rPr>
          <w:rFonts w:ascii="Arial" w:eastAsia="Calibri" w:hAnsi="Arial" w:cs="Arial"/>
          <w:bCs/>
          <w:i/>
          <w:iCs/>
          <w:szCs w:val="28"/>
          <w:lang w:val="uk-UA"/>
        </w:rPr>
        <w:t>кандитат юридичних наук, доцент Панченко А</w:t>
      </w:r>
      <w:r w:rsidR="00015FF7">
        <w:rPr>
          <w:rFonts w:ascii="Arial" w:eastAsia="Calibri" w:hAnsi="Arial" w:cs="Arial"/>
          <w:bCs/>
          <w:i/>
          <w:iCs/>
          <w:szCs w:val="28"/>
          <w:lang w:val="uk-UA"/>
        </w:rPr>
        <w:t>.</w:t>
      </w:r>
      <w:r w:rsidR="003476F8" w:rsidRPr="00511005">
        <w:rPr>
          <w:rFonts w:ascii="Arial" w:eastAsia="Calibri" w:hAnsi="Arial" w:cs="Arial"/>
          <w:bCs/>
          <w:i/>
          <w:iCs/>
          <w:szCs w:val="28"/>
          <w:lang w:val="uk-UA"/>
        </w:rPr>
        <w:t xml:space="preserve"> О.</w:t>
      </w:r>
    </w:p>
    <w:p w14:paraId="29F47C1E" w14:textId="77777777" w:rsidR="003476F8" w:rsidRPr="00511005" w:rsidRDefault="003476F8" w:rsidP="003A292D">
      <w:pPr>
        <w:spacing w:line="264" w:lineRule="auto"/>
        <w:ind w:firstLine="0"/>
        <w:jc w:val="left"/>
        <w:rPr>
          <w:rFonts w:ascii="Arial" w:eastAsia="Calibri" w:hAnsi="Arial" w:cs="Arial"/>
          <w:kern w:val="2"/>
          <w:szCs w:val="28"/>
          <w:lang w:val="uk-UA"/>
          <w14:ligatures w14:val="standardContextual"/>
        </w:rPr>
      </w:pPr>
    </w:p>
    <w:p w14:paraId="07646FF0"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33270F1F" w14:textId="77777777" w:rsidR="003F5D68" w:rsidRPr="00511005" w:rsidRDefault="003F5D68" w:rsidP="003A292D">
      <w:pPr>
        <w:keepNext/>
        <w:suppressAutoHyphens/>
        <w:spacing w:line="264" w:lineRule="auto"/>
        <w:ind w:firstLine="0"/>
        <w:jc w:val="left"/>
        <w:rPr>
          <w:rFonts w:ascii="Arial" w:hAnsi="Arial" w:cs="Arial"/>
          <w:szCs w:val="28"/>
        </w:rPr>
      </w:pPr>
    </w:p>
    <w:p w14:paraId="7C7BF64B" w14:textId="648C6615" w:rsidR="003F5D68" w:rsidRPr="00511005" w:rsidRDefault="003F5D68" w:rsidP="003A292D">
      <w:pPr>
        <w:pStyle w:val="aa"/>
        <w:spacing w:before="0" w:after="0" w:line="264" w:lineRule="auto"/>
        <w:rPr>
          <w:rFonts w:ascii="Arial" w:hAnsi="Arial" w:cs="Arial"/>
          <w:color w:val="auto"/>
          <w:sz w:val="28"/>
          <w:szCs w:val="28"/>
        </w:rPr>
      </w:pPr>
      <w:bookmarkStart w:id="202" w:name="_Toc208299002"/>
      <w:r w:rsidRPr="00511005">
        <w:rPr>
          <w:rFonts w:ascii="Arial" w:hAnsi="Arial" w:cs="Arial"/>
          <w:color w:val="auto"/>
          <w:sz w:val="28"/>
          <w:szCs w:val="28"/>
        </w:rPr>
        <w:t xml:space="preserve">СЕКЦІЯ </w:t>
      </w:r>
      <w:r w:rsidRPr="00511005">
        <w:rPr>
          <w:rFonts w:ascii="Arial" w:hAnsi="Arial" w:cs="Arial"/>
          <w:color w:val="auto"/>
          <w:sz w:val="28"/>
          <w:szCs w:val="28"/>
          <w:lang w:val="ru-RU"/>
        </w:rPr>
        <w:t>13. ПРОБЛЕМИ ЗЕМЕЛЬНОГО, АГРАРНОГО ТА ЕКОЛОГІЧНОГО ПРАВА</w:t>
      </w:r>
      <w:bookmarkEnd w:id="202"/>
      <w:r w:rsidRPr="00511005">
        <w:rPr>
          <w:rFonts w:ascii="Arial" w:hAnsi="Arial" w:cs="Arial"/>
          <w:color w:val="auto"/>
          <w:sz w:val="28"/>
          <w:szCs w:val="28"/>
        </w:rPr>
        <w:t xml:space="preserve"> </w:t>
      </w:r>
    </w:p>
    <w:p w14:paraId="3AA499E0" w14:textId="77777777" w:rsidR="003F5D68" w:rsidRPr="00511005" w:rsidRDefault="003F5D68" w:rsidP="003A292D">
      <w:pPr>
        <w:keepNext/>
        <w:spacing w:line="264" w:lineRule="auto"/>
        <w:ind w:firstLine="0"/>
        <w:jc w:val="left"/>
        <w:rPr>
          <w:rFonts w:ascii="Arial" w:hAnsi="Arial" w:cs="Arial"/>
          <w:szCs w:val="28"/>
        </w:rPr>
      </w:pPr>
    </w:p>
    <w:p w14:paraId="34A9A746" w14:textId="77777777" w:rsidR="00200E87" w:rsidRPr="00511005" w:rsidRDefault="00200E87" w:rsidP="003A292D">
      <w:pPr>
        <w:spacing w:line="264" w:lineRule="auto"/>
        <w:ind w:firstLine="540"/>
        <w:jc w:val="center"/>
        <w:rPr>
          <w:rFonts w:ascii="Arial" w:eastAsia="Times New Roman" w:hAnsi="Arial" w:cs="Arial"/>
          <w:b/>
          <w:i/>
          <w:szCs w:val="28"/>
          <w:lang w:val="uk-UA"/>
        </w:rPr>
      </w:pPr>
      <w:r w:rsidRPr="00511005">
        <w:rPr>
          <w:rFonts w:ascii="Arial" w:eastAsia="Times New Roman" w:hAnsi="Arial" w:cs="Arial"/>
          <w:b/>
          <w:i/>
          <w:szCs w:val="28"/>
          <w:lang w:val="uk-UA"/>
        </w:rPr>
        <w:t>Аль-Зубейді Рагед Самір</w:t>
      </w:r>
    </w:p>
    <w:p w14:paraId="6B82EE56" w14:textId="6BA89251" w:rsidR="00200E87" w:rsidRPr="00511005" w:rsidRDefault="00536AAB" w:rsidP="003A292D">
      <w:pPr>
        <w:spacing w:line="264" w:lineRule="auto"/>
        <w:ind w:firstLine="539"/>
        <w:jc w:val="center"/>
        <w:rPr>
          <w:rFonts w:ascii="Arial" w:eastAsia="Times New Roman" w:hAnsi="Arial" w:cs="Arial"/>
          <w:szCs w:val="28"/>
          <w:lang w:val="uk-UA"/>
        </w:rPr>
      </w:pPr>
      <w:r w:rsidRPr="00511005">
        <w:rPr>
          <w:rFonts w:ascii="Arial" w:eastAsia="Times New Roman" w:hAnsi="Arial" w:cs="Arial"/>
          <w:szCs w:val="28"/>
          <w:lang w:val="uk-UA"/>
        </w:rPr>
        <w:t>студентка 1-го курсу магістратури</w:t>
      </w:r>
    </w:p>
    <w:p w14:paraId="18FE4524" w14:textId="77777777" w:rsidR="00200E87" w:rsidRPr="00511005" w:rsidRDefault="00200E87" w:rsidP="003A292D">
      <w:pPr>
        <w:spacing w:line="264" w:lineRule="auto"/>
        <w:ind w:firstLine="539"/>
        <w:jc w:val="center"/>
        <w:rPr>
          <w:rFonts w:ascii="Arial" w:eastAsia="Times New Roman" w:hAnsi="Arial" w:cs="Arial"/>
          <w:szCs w:val="28"/>
          <w:lang w:val="uk-UA"/>
        </w:rPr>
      </w:pPr>
      <w:r w:rsidRPr="00511005">
        <w:rPr>
          <w:rFonts w:ascii="Arial" w:eastAsia="Times New Roman" w:hAnsi="Arial" w:cs="Arial"/>
          <w:szCs w:val="28"/>
          <w:lang w:val="uk-UA"/>
        </w:rPr>
        <w:t>центру підготовки магістрів публічної служби і професійних суддів</w:t>
      </w:r>
    </w:p>
    <w:p w14:paraId="6DAF3F21" w14:textId="0AAA3671" w:rsidR="00200E87" w:rsidRPr="00511005" w:rsidRDefault="007B2628" w:rsidP="003A292D">
      <w:pPr>
        <w:spacing w:line="264" w:lineRule="auto"/>
        <w:ind w:firstLine="539"/>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7715D902" w14:textId="77777777" w:rsidR="00200E87" w:rsidRPr="00511005" w:rsidRDefault="00200E87" w:rsidP="003A292D">
      <w:pPr>
        <w:spacing w:line="264" w:lineRule="auto"/>
        <w:ind w:firstLine="540"/>
        <w:jc w:val="center"/>
        <w:rPr>
          <w:rFonts w:ascii="Arial" w:eastAsia="Times New Roman" w:hAnsi="Arial" w:cs="Arial"/>
          <w:szCs w:val="28"/>
          <w:lang w:val="uk-UA"/>
        </w:rPr>
      </w:pPr>
    </w:p>
    <w:p w14:paraId="1C332408" w14:textId="77777777" w:rsidR="00200E87" w:rsidRPr="00511005" w:rsidRDefault="00200E87" w:rsidP="003A292D">
      <w:pPr>
        <w:spacing w:line="264" w:lineRule="auto"/>
        <w:ind w:firstLine="540"/>
        <w:jc w:val="center"/>
        <w:rPr>
          <w:rFonts w:ascii="Arial" w:eastAsia="Times New Roman" w:hAnsi="Arial" w:cs="Arial"/>
          <w:b/>
          <w:szCs w:val="28"/>
          <w:lang w:val="uk-UA"/>
        </w:rPr>
      </w:pPr>
      <w:r w:rsidRPr="00511005">
        <w:rPr>
          <w:rFonts w:ascii="Arial" w:eastAsia="Times New Roman" w:hAnsi="Arial" w:cs="Arial"/>
          <w:b/>
          <w:szCs w:val="28"/>
          <w:lang w:val="uk-UA"/>
        </w:rPr>
        <w:t>ДЕРЖАВНИЙ КОНТРОЛЬ ЗА ЦІНАМИ НА ПРОДОВОЛЬЧІ ПРОДУКТИ В УМОВАХ ВІЙНИ</w:t>
      </w:r>
    </w:p>
    <w:p w14:paraId="70F9F595"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В умовах збройного конфлікту, що триває на території України, питання продовольчої безпеки набуває особливої актуальності. Війна створює безпрецедентні виклики для національної економіки, зокрема для агропродовольчого сектора, який є одним із стратегічних елементів соціально-економічної стабільності держави. </w:t>
      </w:r>
    </w:p>
    <w:p w14:paraId="404F5B8D"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У таких умовах особливої ваги набуває ефективне функціонування механізмів державного контролю за цінами на продовольчі товари. Регуляторна політика держави покликана не лише стримувати необґрунтоване зростання цін, а й забезпечувати доступність базових продуктів харчування для вразливих верств населення. Однак впровадження таких заходів потребує виваженого підходу, що базується на поєднанні економічної доцільності та соціальної відповідальності.</w:t>
      </w:r>
    </w:p>
    <w:p w14:paraId="3F7804F8"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Доступність харчових продуктів є ключовим чинником забезпечення базових потреб населення та підтримки соціальної стабільності в державі. У воєнний період це питання стає особливо значущим, оскільки зростає кількість вразливих груп населення, зокрема внутрішньо переміщених осіб, осіб з інвалідністю, багатодітних сімей та людей похилого віку. Забезпечення продовольчої безпеки населення, особливо в умовах воєнного стану, є одним із пріоритетних завдань державної політики. Ефективне регулювання цін на продукти харчування сприяє збереженню суспільного порядку, довіри до влади та підтримці морального духу громадян.</w:t>
      </w:r>
    </w:p>
    <w:p w14:paraId="7A636246"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Цінові коливання у воєнний період зумовлені низкою факторів, серед яких основними є порушення логістичних ланцюгів постачання, скорочення обсягів виробництва та зростання витрат на транспортування і безпеку. Додатковим чинником виступає панічний попит серед населення, що призводить до сплеску цін навіть на базові продукти харчування.</w:t>
      </w:r>
    </w:p>
    <w:p w14:paraId="51BE22DF"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Продовольча безпека в умовах воєнного стану в Україні є критично важливою складовою національної безпеки. Війна спричинила значні труднощі у функціонуванні аграрного сектору, зокрема через окупацію сільськогосподарських територій, мінування полів і руйнування </w:t>
      </w:r>
      <w:r w:rsidRPr="00511005">
        <w:rPr>
          <w:rFonts w:ascii="Arial" w:eastAsia="Times New Roman" w:hAnsi="Arial" w:cs="Arial"/>
          <w:szCs w:val="28"/>
          <w:lang w:val="uk-UA"/>
        </w:rPr>
        <w:lastRenderedPageBreak/>
        <w:t xml:space="preserve">інфраструктури [1, с. 209]. Це створює ризики для стабільного забезпечення населення основними продуктами харчування. Водночас держава вживає заходів для підтримки продовольчої безпеки: забезпечується надання гуманітарної допомоги, регулюються ціни на ключові товари, впроваджуються програми підтримки вітчизняних виробників. Особлива увага приділяється забезпеченню потреб внутрішньо переміщених осіб та населення в зонах бойових дій. </w:t>
      </w:r>
    </w:p>
    <w:p w14:paraId="064CA034"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Так, на думку О. Чечеля, «продовольча безпека – це стан, котрий характеризує захищеність продовольчих інтересів людини, суспільства, країни від зовнішніх і внутрішніх загроз, при котрому гарантується вірно виміряний вплив факторів за наявності інформаційного середовища, охорони довкілля, прогнозування поточної ситуації, що сприяє забезпеченню функціонування життя людини, розвитку економіки та промисловості, контролювання кризових явищ та забезпечення якісними продуктами в достатній кількості для всіх груп людей» [2, с. 15]. Варто погодитися з цим визначенням продовольчої безпеки, оскільки воно комплексно охоплює всі ключові аспекти цього поняття. Автор підкреслює не лише фізичну доступність продуктів харчування, а й важливість інформаційної, екологічної та управлінської складової, що є надзвичайно актуальним у сучасних умовах. Такий підхід дозволяє розглядати продовольчу безпеку не як вузько економічне питання, а як стратегічну сферу, тісно пов’язану з розвитком суспільства, стабільністю держави та добробутом громадян. Особливо важливим є акцент на здатності системи протистояти внутрішнім і зовнішнім загрозам, що повною мірою відповідає викликам, які постають перед Україною під час війни.</w:t>
      </w:r>
    </w:p>
    <w:p w14:paraId="44AAA08A"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Одним із ключових напрямів державного впливу на забезпечення продовольчої безпеки є регулювання цінової політики, зокрема на продукти харчування та товари першої необхідності. З метою запобігання соціальним потрясінням, збереження купівельної спроможності населення та уникнення дефіциту критичних ресурсів, держава активно вдається до реалізації політики цінового контролю.</w:t>
      </w:r>
    </w:p>
    <w:p w14:paraId="60DDAA11"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Державне регулювання цін – це цілеспрямована діяльність органів державної влади, спрямована на встановлення, обмеження або коригування вартості товарів і послуг з метою забезпечення соціально-економічної рівноваги. У національному законодавстві поняття державного цінового контролю визначене, зокрема, у ст. 191 Господарського кодексу України, де зазначається, що ціни (тарифи) можуть регулюватися шляхом установлення фіксованих цін, граничних рівнів цін, граничних рівнів торговельних надбавок (націнок), а також шляхом декларування зміни цін [3].</w:t>
      </w:r>
    </w:p>
    <w:p w14:paraId="32D24982"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Крім того, Закон України «Про ціни і ціноутворення» від 21.06.2012 № 5007-VI визначає засади формування та застосування цін, механізми </w:t>
      </w:r>
      <w:r w:rsidRPr="00511005">
        <w:rPr>
          <w:rFonts w:ascii="Arial" w:eastAsia="Times New Roman" w:hAnsi="Arial" w:cs="Arial"/>
          <w:szCs w:val="28"/>
          <w:lang w:val="uk-UA"/>
        </w:rPr>
        <w:lastRenderedPageBreak/>
        <w:t>державного регулювання у випадках загрози інтересам національної безпеки, а також надає повноваження Кабінету Міністрів України, центральним органам виконавчої влади та органам місцевого самоврядування щодо запровадження відповідних регуляторних інструментів [4]. До основних механізмів державного цінового контролю відносяться:</w:t>
      </w:r>
    </w:p>
    <w:p w14:paraId="485AD951" w14:textId="77777777" w:rsidR="00200E87" w:rsidRPr="00511005" w:rsidRDefault="00200E87" w:rsidP="003F6A5D">
      <w:pPr>
        <w:numPr>
          <w:ilvl w:val="0"/>
          <w:numId w:val="472"/>
        </w:numPr>
        <w:tabs>
          <w:tab w:val="num" w:pos="1134"/>
        </w:tabs>
        <w:spacing w:line="264" w:lineRule="auto"/>
        <w:ind w:left="0" w:firstLine="567"/>
        <w:jc w:val="left"/>
        <w:rPr>
          <w:rFonts w:ascii="Arial" w:eastAsia="Times New Roman" w:hAnsi="Arial" w:cs="Arial"/>
          <w:szCs w:val="28"/>
          <w:lang w:val="uk-UA"/>
        </w:rPr>
      </w:pPr>
      <w:r w:rsidRPr="00511005">
        <w:rPr>
          <w:rFonts w:ascii="Arial" w:eastAsia="Times New Roman" w:hAnsi="Arial" w:cs="Arial"/>
          <w:bCs/>
          <w:szCs w:val="28"/>
          <w:lang w:val="uk-UA"/>
        </w:rPr>
        <w:t>Фіксовані ціни</w:t>
      </w:r>
      <w:r w:rsidRPr="00511005">
        <w:rPr>
          <w:rFonts w:ascii="Arial" w:eastAsia="Times New Roman" w:hAnsi="Arial" w:cs="Arial"/>
          <w:szCs w:val="28"/>
          <w:lang w:val="uk-UA"/>
        </w:rPr>
        <w:t xml:space="preserve"> – встановлюються державою на рівні, що не підлягає зміні суб’єктами господарювання. Застосовуються в умовах дефіциту або надзвичайної ситуації для забезпечення доступності базових товарів.</w:t>
      </w:r>
    </w:p>
    <w:p w14:paraId="604FD124" w14:textId="77777777" w:rsidR="00200E87" w:rsidRPr="00511005" w:rsidRDefault="00200E87" w:rsidP="003F6A5D">
      <w:pPr>
        <w:numPr>
          <w:ilvl w:val="0"/>
          <w:numId w:val="472"/>
        </w:numPr>
        <w:tabs>
          <w:tab w:val="num" w:pos="1134"/>
        </w:tabs>
        <w:spacing w:line="264" w:lineRule="auto"/>
        <w:ind w:left="0" w:firstLine="567"/>
        <w:jc w:val="left"/>
        <w:rPr>
          <w:rFonts w:ascii="Arial" w:eastAsia="Times New Roman" w:hAnsi="Arial" w:cs="Arial"/>
          <w:szCs w:val="28"/>
          <w:lang w:val="uk-UA"/>
        </w:rPr>
      </w:pPr>
      <w:r w:rsidRPr="00511005">
        <w:rPr>
          <w:rFonts w:ascii="Arial" w:eastAsia="Times New Roman" w:hAnsi="Arial" w:cs="Arial"/>
          <w:bCs/>
          <w:szCs w:val="28"/>
          <w:lang w:val="uk-UA"/>
        </w:rPr>
        <w:t>Граничні ціни або граничні торговельні надбавки</w:t>
      </w:r>
      <w:r w:rsidRPr="00511005">
        <w:rPr>
          <w:rFonts w:ascii="Arial" w:eastAsia="Times New Roman" w:hAnsi="Arial" w:cs="Arial"/>
          <w:szCs w:val="28"/>
          <w:lang w:val="uk-UA"/>
        </w:rPr>
        <w:t xml:space="preserve"> – визначають максимальний рівень, до якого дозволяється піднімати ціну або надбавку до собівартості, залишаючи суб’єктам обмежену свободу ціноутворення.</w:t>
      </w:r>
    </w:p>
    <w:p w14:paraId="71172E50" w14:textId="77777777" w:rsidR="00200E87" w:rsidRPr="00511005" w:rsidRDefault="00200E87" w:rsidP="003F6A5D">
      <w:pPr>
        <w:numPr>
          <w:ilvl w:val="0"/>
          <w:numId w:val="472"/>
        </w:numPr>
        <w:tabs>
          <w:tab w:val="num" w:pos="1134"/>
        </w:tabs>
        <w:spacing w:line="264" w:lineRule="auto"/>
        <w:ind w:left="0" w:firstLine="567"/>
        <w:jc w:val="left"/>
        <w:rPr>
          <w:rFonts w:ascii="Arial" w:eastAsia="Times New Roman" w:hAnsi="Arial" w:cs="Arial"/>
          <w:szCs w:val="28"/>
          <w:lang w:val="uk-UA"/>
        </w:rPr>
      </w:pPr>
      <w:r w:rsidRPr="00511005">
        <w:rPr>
          <w:rFonts w:ascii="Arial" w:eastAsia="Times New Roman" w:hAnsi="Arial" w:cs="Arial"/>
          <w:bCs/>
          <w:szCs w:val="28"/>
          <w:lang w:val="uk-UA"/>
        </w:rPr>
        <w:t>Субсидії та компенсаційні виплати</w:t>
      </w:r>
      <w:r w:rsidRPr="00511005">
        <w:rPr>
          <w:rFonts w:ascii="Arial" w:eastAsia="Times New Roman" w:hAnsi="Arial" w:cs="Arial"/>
          <w:szCs w:val="28"/>
          <w:lang w:val="uk-UA"/>
        </w:rPr>
        <w:t xml:space="preserve"> – спрямовані на підтримку виробників, постачальників або споживачів, дозволяючи знизити ціни без втрати економічної рентабельності.</w:t>
      </w:r>
    </w:p>
    <w:p w14:paraId="2158A3E8" w14:textId="77777777" w:rsidR="00200E87" w:rsidRPr="00511005" w:rsidRDefault="00200E87" w:rsidP="003F6A5D">
      <w:pPr>
        <w:numPr>
          <w:ilvl w:val="0"/>
          <w:numId w:val="472"/>
        </w:numPr>
        <w:tabs>
          <w:tab w:val="num" w:pos="1134"/>
        </w:tabs>
        <w:spacing w:line="264" w:lineRule="auto"/>
        <w:ind w:left="0" w:firstLine="567"/>
        <w:jc w:val="left"/>
        <w:rPr>
          <w:rFonts w:ascii="Arial" w:eastAsia="Times New Roman" w:hAnsi="Arial" w:cs="Arial"/>
          <w:szCs w:val="28"/>
          <w:lang w:val="uk-UA"/>
        </w:rPr>
      </w:pPr>
      <w:r w:rsidRPr="00511005">
        <w:rPr>
          <w:rFonts w:ascii="Arial" w:eastAsia="Times New Roman" w:hAnsi="Arial" w:cs="Arial"/>
          <w:bCs/>
          <w:szCs w:val="28"/>
          <w:lang w:val="uk-UA"/>
        </w:rPr>
        <w:t>Податкові пільги та інші преференції</w:t>
      </w:r>
      <w:r w:rsidRPr="00511005">
        <w:rPr>
          <w:rFonts w:ascii="Arial" w:eastAsia="Times New Roman" w:hAnsi="Arial" w:cs="Arial"/>
          <w:szCs w:val="28"/>
          <w:lang w:val="uk-UA"/>
        </w:rPr>
        <w:t xml:space="preserve"> – використовуються як опосередкований інструмент стимулювання зниження цін, зменшуючи фіскальне навантаження на бізнес.</w:t>
      </w:r>
    </w:p>
    <w:p w14:paraId="6094C409" w14:textId="77777777" w:rsidR="00200E87" w:rsidRPr="00511005" w:rsidRDefault="00200E87" w:rsidP="003F6A5D">
      <w:pPr>
        <w:numPr>
          <w:ilvl w:val="0"/>
          <w:numId w:val="472"/>
        </w:numPr>
        <w:tabs>
          <w:tab w:val="num" w:pos="1134"/>
        </w:tabs>
        <w:spacing w:line="264" w:lineRule="auto"/>
        <w:ind w:left="0" w:firstLine="567"/>
        <w:jc w:val="left"/>
        <w:rPr>
          <w:rFonts w:ascii="Arial" w:eastAsia="Times New Roman" w:hAnsi="Arial" w:cs="Arial"/>
          <w:szCs w:val="28"/>
          <w:lang w:val="uk-UA"/>
        </w:rPr>
      </w:pPr>
      <w:r w:rsidRPr="00511005">
        <w:rPr>
          <w:rFonts w:ascii="Arial" w:eastAsia="Times New Roman" w:hAnsi="Arial" w:cs="Arial"/>
          <w:bCs/>
          <w:szCs w:val="28"/>
          <w:lang w:val="uk-UA"/>
        </w:rPr>
        <w:t>Адміністративне декларування змін цін</w:t>
      </w:r>
      <w:r w:rsidRPr="00511005">
        <w:rPr>
          <w:rFonts w:ascii="Arial" w:eastAsia="Times New Roman" w:hAnsi="Arial" w:cs="Arial"/>
          <w:szCs w:val="28"/>
          <w:lang w:val="uk-UA"/>
        </w:rPr>
        <w:t xml:space="preserve"> – зобов’язує суб’єктів господарювання інформувати органи державної влади про намір підвищити ціни на певні товари, що дозволяє контролювати необґрунтоване зростання.</w:t>
      </w:r>
    </w:p>
    <w:p w14:paraId="4631756B" w14:textId="77777777" w:rsidR="00200E87" w:rsidRPr="00511005" w:rsidRDefault="00200E87" w:rsidP="003A292D">
      <w:pPr>
        <w:spacing w:line="264" w:lineRule="auto"/>
        <w:ind w:firstLine="567"/>
        <w:rPr>
          <w:rFonts w:ascii="Arial" w:eastAsia="Times New Roman" w:hAnsi="Arial" w:cs="Arial"/>
          <w:bCs/>
          <w:szCs w:val="28"/>
          <w:lang w:val="uk-UA"/>
        </w:rPr>
      </w:pPr>
      <w:r w:rsidRPr="00511005">
        <w:rPr>
          <w:rFonts w:ascii="Arial" w:eastAsia="Times New Roman" w:hAnsi="Arial" w:cs="Arial"/>
          <w:szCs w:val="28"/>
          <w:lang w:val="uk-UA"/>
        </w:rPr>
        <w:t>Окрім вищезазначених актів, вагомим нормативно-правовим документом є Постанова Кабінету Міністрів України «</w:t>
      </w:r>
      <w:r w:rsidRPr="00511005">
        <w:rPr>
          <w:rFonts w:ascii="Arial" w:eastAsia="Times New Roman" w:hAnsi="Arial" w:cs="Arial"/>
          <w:bCs/>
          <w:szCs w:val="28"/>
          <w:lang w:val="uk-UA"/>
        </w:rPr>
        <w:t>Про встановлення повноважень органів виконавчої влади та виконавчих органів міських рад щодо регулювання цін (тарифів)»</w:t>
      </w:r>
      <w:r w:rsidRPr="00511005">
        <w:rPr>
          <w:rFonts w:ascii="Arial" w:eastAsia="Times New Roman" w:hAnsi="Arial" w:cs="Arial"/>
          <w:szCs w:val="28"/>
          <w:lang w:val="uk-UA"/>
        </w:rPr>
        <w:t>, якою встановлено перелік соціально значущих товарів, що підлягають державному регулюванню в період надзвичайного або воєнного стану [5]. У цьому переліку фігурують основні продовольчі продукти: хліб, молоко, крупи, олія, яйця, м’ясо птиці, овочі тощо.</w:t>
      </w:r>
    </w:p>
    <w:p w14:paraId="72727624"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Контроль за дотриманням цінової дисципліни здійснюється також відповідно до положень Закону України «Про захист економічної конкуренції», що надає повноваження Антимонопольному комітету України втручатися у випадки цінових змов, монопольного зловживання та спотворення ринкового середовища.</w:t>
      </w:r>
    </w:p>
    <w:p w14:paraId="2C2B2EFA"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В умовах воєнного стану необхідність державного цінового втручання значно зростає. З одного боку, це зумовлено ризиками спекуляцій, дефіциту, підвищення вартості логістичних операцій, порушенням ланцюгів постачання. З іншого – важливістю захисту соціально вразливих категорій громадян, збереження довіри до влади та забезпечення базових стандартів життя. Особливу роль у реалізації таких заходів відіграє </w:t>
      </w:r>
      <w:r w:rsidRPr="00511005">
        <w:rPr>
          <w:rFonts w:ascii="Arial" w:eastAsia="Times New Roman" w:hAnsi="Arial" w:cs="Arial"/>
          <w:szCs w:val="28"/>
          <w:lang w:val="uk-UA"/>
        </w:rPr>
        <w:lastRenderedPageBreak/>
        <w:t>Держпродспоживслужба, яка здійснює моніторинг цінової ситуації та контроль за дотриманням правил торгівлі.</w:t>
      </w:r>
    </w:p>
    <w:p w14:paraId="0FB5F5E1"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В Україні запроваджено низку працюючих і ефективних механізмів державного контролю цін в умовах війни, але особисто я хотіла б запропонувати інноваційну ініціативу – створення </w:t>
      </w:r>
      <w:r w:rsidRPr="00511005">
        <w:rPr>
          <w:rFonts w:ascii="Arial" w:eastAsia="Times New Roman" w:hAnsi="Arial" w:cs="Arial"/>
          <w:bCs/>
          <w:szCs w:val="28"/>
          <w:lang w:val="uk-UA"/>
        </w:rPr>
        <w:t>національної цифрової системи моніторингу цін на продукти харчування в режимі реального часу</w:t>
      </w:r>
      <w:r w:rsidRPr="00511005">
        <w:rPr>
          <w:rFonts w:ascii="Arial" w:eastAsia="Times New Roman" w:hAnsi="Arial" w:cs="Arial"/>
          <w:szCs w:val="28"/>
          <w:lang w:val="uk-UA"/>
        </w:rPr>
        <w:t xml:space="preserve"> на основі даних з касових апаратів (РРО/ПРРО). Така система дозволить оперативно фіксувати аномальні коливання цін, виявляти спекулятивні дії суб’єктів ринку та формувати аналітичні звіти для ефективного реагування. Її впровадження забезпечить прозорість ринку, посилить спроможність держави у сфері продовольчої безпеки та дозволить швидше адаптувати економічні рішення до кризових змін.</w:t>
      </w:r>
    </w:p>
    <w:p w14:paraId="52A67009"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Отже, державний контроль за цінами на продовольчі товари в умовах війни є важливим інструментом захисту соціальної стабільності та національної безпеки. Його ефективність залежить від здатності держави оперативно адаптувати регуляторні заходи, впроваджувати цифрові інструменти моніторингу та забезпечувати прозорість цінової політики. Такий підхід дозволяє зміцнювати довіру громадян і підтримувати стабільність у кризовий період.</w:t>
      </w:r>
    </w:p>
    <w:p w14:paraId="5624E50E" w14:textId="77777777" w:rsidR="00200E87" w:rsidRPr="00511005" w:rsidRDefault="00200E87" w:rsidP="003A292D">
      <w:pPr>
        <w:spacing w:line="264" w:lineRule="auto"/>
        <w:ind w:firstLine="540"/>
        <w:rPr>
          <w:rFonts w:ascii="Arial" w:eastAsia="Times New Roman" w:hAnsi="Arial" w:cs="Arial"/>
          <w:szCs w:val="28"/>
          <w:lang w:val="uk-UA"/>
        </w:rPr>
      </w:pPr>
    </w:p>
    <w:p w14:paraId="6074377B" w14:textId="1C03F049" w:rsidR="00200E87" w:rsidRPr="00511005" w:rsidRDefault="007B2628" w:rsidP="007B2628">
      <w:pPr>
        <w:spacing w:line="264" w:lineRule="auto"/>
        <w:ind w:firstLine="54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65814B03" w14:textId="3C57F88A" w:rsidR="00200E87" w:rsidRPr="00511005" w:rsidRDefault="00200E87" w:rsidP="003A292D">
      <w:pPr>
        <w:spacing w:line="264" w:lineRule="auto"/>
        <w:ind w:firstLine="540"/>
        <w:rPr>
          <w:rFonts w:ascii="Arial" w:eastAsia="Times New Roman" w:hAnsi="Arial" w:cs="Arial"/>
          <w:szCs w:val="28"/>
          <w:lang w:val="uk-UA"/>
        </w:rPr>
      </w:pPr>
      <w:r w:rsidRPr="00511005">
        <w:rPr>
          <w:rFonts w:ascii="Arial" w:eastAsia="Times New Roman" w:hAnsi="Arial" w:cs="Arial"/>
          <w:szCs w:val="28"/>
          <w:lang w:val="uk-UA"/>
        </w:rPr>
        <w:t xml:space="preserve">1. Белова І., Ярощук О. Продовольча безпека України в умовах воєнного стану: виклики та перспективи. </w:t>
      </w:r>
      <w:r w:rsidRPr="00511005">
        <w:rPr>
          <w:rFonts w:ascii="Arial" w:eastAsia="Times New Roman" w:hAnsi="Arial" w:cs="Arial"/>
          <w:i/>
          <w:szCs w:val="28"/>
          <w:lang w:val="uk-UA"/>
        </w:rPr>
        <w:t>Економічний аналіз</w:t>
      </w:r>
      <w:r w:rsidRPr="00511005">
        <w:rPr>
          <w:rFonts w:ascii="Arial" w:eastAsia="Times New Roman" w:hAnsi="Arial" w:cs="Arial"/>
          <w:szCs w:val="28"/>
          <w:lang w:val="uk-UA"/>
        </w:rPr>
        <w:t>. 2024. Т. 34. № 3. С. 208 – 221.</w:t>
      </w:r>
      <w:r w:rsidR="007B2628" w:rsidRPr="00511005">
        <w:rPr>
          <w:rFonts w:ascii="Arial" w:eastAsia="Times New Roman" w:hAnsi="Arial" w:cs="Arial"/>
          <w:szCs w:val="28"/>
          <w:lang w:val="uk-UA"/>
        </w:rPr>
        <w:t xml:space="preserve"> </w:t>
      </w:r>
    </w:p>
    <w:p w14:paraId="2C27B06C" w14:textId="77777777" w:rsidR="00200E87" w:rsidRPr="00511005" w:rsidRDefault="00200E87" w:rsidP="003A292D">
      <w:pPr>
        <w:spacing w:line="264" w:lineRule="auto"/>
        <w:ind w:firstLine="540"/>
        <w:rPr>
          <w:rFonts w:ascii="Arial" w:eastAsia="Times New Roman" w:hAnsi="Arial" w:cs="Arial"/>
          <w:szCs w:val="28"/>
          <w:lang w:val="uk-UA"/>
        </w:rPr>
      </w:pPr>
      <w:r w:rsidRPr="00511005">
        <w:rPr>
          <w:rFonts w:ascii="Arial" w:eastAsia="Times New Roman" w:hAnsi="Arial" w:cs="Arial"/>
          <w:szCs w:val="28"/>
          <w:lang w:val="uk-UA"/>
        </w:rPr>
        <w:t>2. Чечель О. М. Прогнозування розвитку сільського господарства і АПК у забезпеченні продовольчої безпеки території: автореф. дис. ... канд. екон. наук: 08.07.02. «Економіка сільського господарства і АПК». Суми. 2006. 15 с.</w:t>
      </w:r>
    </w:p>
    <w:p w14:paraId="09A7DC28" w14:textId="77777777" w:rsidR="00200E87" w:rsidRPr="00511005" w:rsidRDefault="00200E87" w:rsidP="003A292D">
      <w:pPr>
        <w:spacing w:line="264" w:lineRule="auto"/>
        <w:ind w:firstLine="540"/>
        <w:rPr>
          <w:rFonts w:ascii="Arial" w:eastAsia="Times New Roman" w:hAnsi="Arial" w:cs="Arial"/>
          <w:szCs w:val="28"/>
          <w:lang w:val="uk-UA"/>
        </w:rPr>
      </w:pPr>
      <w:r w:rsidRPr="00511005">
        <w:rPr>
          <w:rFonts w:ascii="Arial" w:eastAsia="Times New Roman" w:hAnsi="Arial" w:cs="Arial"/>
          <w:szCs w:val="28"/>
          <w:lang w:val="uk-UA"/>
        </w:rPr>
        <w:t xml:space="preserve">3. Господарський кодекс України: Закон України № 436-IV від 16.01.2003 року. </w:t>
      </w:r>
      <w:r w:rsidRPr="00511005">
        <w:rPr>
          <w:rFonts w:ascii="Arial" w:eastAsia="Times New Roman" w:hAnsi="Arial" w:cs="Arial"/>
          <w:i/>
          <w:szCs w:val="28"/>
          <w:lang w:val="uk-UA"/>
        </w:rPr>
        <w:t>Відомості Верховної Ради України.</w:t>
      </w:r>
      <w:r w:rsidRPr="00511005">
        <w:rPr>
          <w:rFonts w:ascii="Arial" w:eastAsia="Times New Roman" w:hAnsi="Arial" w:cs="Arial"/>
          <w:szCs w:val="28"/>
          <w:lang w:val="uk-UA"/>
        </w:rPr>
        <w:t xml:space="preserve"> 2003. № 18-22. </w:t>
      </w:r>
    </w:p>
    <w:p w14:paraId="07B5917F" w14:textId="77777777" w:rsidR="00200E87" w:rsidRPr="00511005" w:rsidRDefault="00200E87" w:rsidP="003A292D">
      <w:pPr>
        <w:spacing w:line="264" w:lineRule="auto"/>
        <w:ind w:firstLine="540"/>
        <w:rPr>
          <w:rFonts w:ascii="Arial" w:eastAsia="Times New Roman" w:hAnsi="Arial" w:cs="Arial"/>
          <w:szCs w:val="28"/>
          <w:lang w:val="uk-UA"/>
        </w:rPr>
      </w:pPr>
      <w:r w:rsidRPr="00511005">
        <w:rPr>
          <w:rFonts w:ascii="Arial" w:eastAsia="Times New Roman" w:hAnsi="Arial" w:cs="Arial"/>
          <w:szCs w:val="28"/>
          <w:lang w:val="uk-UA"/>
        </w:rPr>
        <w:t>4. Про ціни і ціноутворення: Закон України від 21.06.2012 № 5007-VI : станом на 1 лип. 2024 р. URL:</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zakon</w:instrText>
      </w:r>
      <w:r w:rsidR="005938AD" w:rsidRPr="00055389">
        <w:rPr>
          <w:lang w:val="uk-UA"/>
        </w:rPr>
        <w:instrText>.</w:instrText>
      </w:r>
      <w:r w:rsidR="005938AD">
        <w:instrText>rada</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laws</w:instrText>
      </w:r>
      <w:r w:rsidR="005938AD" w:rsidRPr="00055389">
        <w:rPr>
          <w:lang w:val="uk-UA"/>
        </w:rPr>
        <w:instrText>/</w:instrText>
      </w:r>
      <w:r w:rsidR="005938AD">
        <w:instrText>show</w:instrText>
      </w:r>
      <w:r w:rsidR="005938AD" w:rsidRPr="00055389">
        <w:rPr>
          <w:lang w:val="uk-UA"/>
        </w:rPr>
        <w:instrText>/5007-17" \</w:instrText>
      </w:r>
      <w:r w:rsidR="005938AD">
        <w:instrText>l</w:instrText>
      </w:r>
      <w:r w:rsidR="005938AD" w:rsidRPr="00055389">
        <w:rPr>
          <w:lang w:val="uk-UA"/>
        </w:rPr>
        <w:instrText xml:space="preserve"> "</w:instrText>
      </w:r>
      <w:r w:rsidR="005938AD">
        <w:instrText>Text</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rPr>
        <w:t>https://zakon.rada.gov.ua/laws/show/5007-17#Text</w:t>
      </w:r>
      <w:r w:rsidR="005938AD">
        <w:rPr>
          <w:rFonts w:ascii="Arial" w:eastAsia="Times New Roman" w:hAnsi="Arial" w:cs="Arial"/>
          <w:szCs w:val="28"/>
          <w:lang w:val="uk-UA"/>
        </w:rPr>
        <w:fldChar w:fldCharType="end"/>
      </w:r>
      <w:r w:rsidRPr="00511005">
        <w:rPr>
          <w:rFonts w:ascii="Arial" w:eastAsia="Times New Roman" w:hAnsi="Arial" w:cs="Arial"/>
          <w:szCs w:val="28"/>
          <w:lang w:val="uk-UA"/>
        </w:rPr>
        <w:t xml:space="preserve"> (дата звернення: 30.04.2025).</w:t>
      </w:r>
    </w:p>
    <w:p w14:paraId="5B9B79FF" w14:textId="48F5C740" w:rsidR="00200E87" w:rsidRPr="00511005" w:rsidRDefault="00200E87" w:rsidP="003A292D">
      <w:pPr>
        <w:spacing w:line="264" w:lineRule="auto"/>
        <w:ind w:firstLine="540"/>
        <w:rPr>
          <w:rFonts w:ascii="Arial" w:eastAsia="Times New Roman" w:hAnsi="Arial" w:cs="Arial"/>
          <w:szCs w:val="28"/>
          <w:lang w:val="uk-UA"/>
        </w:rPr>
      </w:pPr>
      <w:r w:rsidRPr="00511005">
        <w:rPr>
          <w:rFonts w:ascii="Arial" w:eastAsia="Times New Roman" w:hAnsi="Arial" w:cs="Arial"/>
          <w:szCs w:val="28"/>
          <w:lang w:val="uk-UA"/>
        </w:rPr>
        <w:t>5. Про встановлення повноважень органів виконавчої влади та виконавчих органів міських рад щодо регулювання цін (тарифів): постанова Кабінету Міністрів України від 25.12.1996 № 1548 : станом на 13</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берез. 2025 р. URL: </w:t>
      </w:r>
      <w:hyperlink r:id="rId1727" w:anchor="Text" w:history="1">
        <w:r w:rsidRPr="00511005">
          <w:rPr>
            <w:rFonts w:ascii="Arial" w:eastAsia="Times New Roman" w:hAnsi="Arial" w:cs="Arial"/>
            <w:szCs w:val="28"/>
            <w:lang w:val="uk-UA"/>
          </w:rPr>
          <w:t>https://zakon.rada.gov.ua/laws/show/1548-96-п#Text</w:t>
        </w:r>
      </w:hyperlink>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(дата звернення: 30.04.2025).</w:t>
      </w:r>
    </w:p>
    <w:p w14:paraId="76A402B3" w14:textId="77777777" w:rsidR="00200E87" w:rsidRPr="00511005" w:rsidRDefault="00200E87" w:rsidP="003A292D">
      <w:pPr>
        <w:spacing w:line="264" w:lineRule="auto"/>
        <w:ind w:firstLine="540"/>
        <w:rPr>
          <w:rFonts w:ascii="Arial" w:eastAsia="Times New Roman" w:hAnsi="Arial" w:cs="Arial"/>
          <w:szCs w:val="28"/>
          <w:lang w:val="uk-UA"/>
        </w:rPr>
      </w:pPr>
    </w:p>
    <w:p w14:paraId="0D088FC8" w14:textId="7EB43CE8" w:rsidR="00200E87" w:rsidRPr="00511005" w:rsidRDefault="007B2628" w:rsidP="003A292D">
      <w:pPr>
        <w:spacing w:line="264" w:lineRule="auto"/>
        <w:ind w:firstLine="54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200E87" w:rsidRPr="00511005">
        <w:rPr>
          <w:rFonts w:ascii="Arial" w:eastAsia="Times New Roman" w:hAnsi="Arial" w:cs="Arial"/>
          <w:szCs w:val="28"/>
          <w:lang w:val="uk-UA"/>
        </w:rPr>
        <w:t>продовольча безпека, державне регулювання цін, воєнний стан, ціни на продукти харчування, цінова політика, соціальна стабільність.</w:t>
      </w:r>
    </w:p>
    <w:p w14:paraId="1C809DC9" w14:textId="2513824E" w:rsidR="00200E87" w:rsidRPr="00511005" w:rsidRDefault="007B2628" w:rsidP="003A292D">
      <w:pPr>
        <w:spacing w:line="264" w:lineRule="auto"/>
        <w:ind w:firstLine="540"/>
        <w:rPr>
          <w:rFonts w:ascii="Arial" w:eastAsia="Times New Roman" w:hAnsi="Arial" w:cs="Arial"/>
          <w:szCs w:val="28"/>
          <w:lang w:val="uk-UA"/>
        </w:rPr>
      </w:pPr>
      <w:r w:rsidRPr="00511005">
        <w:rPr>
          <w:rFonts w:ascii="Arial" w:eastAsia="Times New Roman" w:hAnsi="Arial" w:cs="Arial"/>
          <w:b/>
          <w:i/>
          <w:szCs w:val="28"/>
          <w:lang w:val="uk-UA"/>
        </w:rPr>
        <w:lastRenderedPageBreak/>
        <w:t xml:space="preserve">Key words: </w:t>
      </w:r>
      <w:r w:rsidR="00200E87" w:rsidRPr="00511005">
        <w:rPr>
          <w:rFonts w:ascii="Arial" w:eastAsia="Times New Roman" w:hAnsi="Arial" w:cs="Arial"/>
          <w:szCs w:val="28"/>
          <w:lang w:val="uk-UA"/>
        </w:rPr>
        <w:t>food security, state price regulation, martial law, food prices, pricing policy, social stability.</w:t>
      </w:r>
    </w:p>
    <w:p w14:paraId="0D31EF5B" w14:textId="61EF872E" w:rsidR="00200E87" w:rsidRPr="00511005" w:rsidRDefault="007B2628" w:rsidP="003A292D">
      <w:pPr>
        <w:keepNext/>
        <w:spacing w:line="264" w:lineRule="auto"/>
        <w:ind w:firstLine="540"/>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200E87" w:rsidRPr="00511005">
        <w:rPr>
          <w:rFonts w:ascii="Arial" w:eastAsia="Times New Roman" w:hAnsi="Arial" w:cs="Arial"/>
          <w:i/>
          <w:szCs w:val="28"/>
          <w:lang w:val="uk-UA"/>
        </w:rPr>
        <w:t>д.ю.н., професор Григор’єва Х. А.</w:t>
      </w:r>
    </w:p>
    <w:p w14:paraId="4FB82689" w14:textId="77777777" w:rsidR="00200E87" w:rsidRPr="00511005" w:rsidRDefault="00200E87" w:rsidP="003A292D">
      <w:pPr>
        <w:keepNext/>
        <w:spacing w:line="264" w:lineRule="auto"/>
        <w:ind w:firstLine="540"/>
        <w:rPr>
          <w:rFonts w:ascii="Arial" w:eastAsia="Times New Roman" w:hAnsi="Arial" w:cs="Arial"/>
          <w:i/>
          <w:szCs w:val="28"/>
          <w:lang w:val="uk-UA"/>
        </w:rPr>
      </w:pPr>
    </w:p>
    <w:p w14:paraId="66AB439D" w14:textId="77777777" w:rsidR="00200E87" w:rsidRPr="00511005" w:rsidRDefault="00200E87" w:rsidP="003A292D">
      <w:pPr>
        <w:spacing w:line="264" w:lineRule="auto"/>
        <w:ind w:left="40" w:right="40" w:firstLine="397"/>
        <w:jc w:val="center"/>
        <w:rPr>
          <w:rFonts w:ascii="Arial" w:eastAsia="Times New Roman" w:hAnsi="Arial" w:cs="Arial"/>
          <w:b/>
          <w:i/>
          <w:szCs w:val="28"/>
          <w:lang w:val="uk-UA" w:eastAsia="ru-RU"/>
        </w:rPr>
      </w:pPr>
      <w:r w:rsidRPr="00511005">
        <w:rPr>
          <w:rFonts w:ascii="Arial" w:eastAsia="Times New Roman" w:hAnsi="Arial" w:cs="Arial"/>
          <w:b/>
          <w:i/>
          <w:szCs w:val="28"/>
          <w:lang w:val="uk" w:eastAsia="ru-RU"/>
        </w:rPr>
        <w:t>Балик Даша Вікторівна</w:t>
      </w:r>
    </w:p>
    <w:p w14:paraId="12BA0586" w14:textId="0D2E98F9"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057292DE"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778F012"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9378B2A" w14:textId="77777777" w:rsidR="00200E87" w:rsidRPr="00511005" w:rsidRDefault="00200E87" w:rsidP="003A292D">
      <w:pPr>
        <w:spacing w:line="264" w:lineRule="auto"/>
        <w:ind w:left="40" w:right="40" w:firstLine="397"/>
        <w:jc w:val="center"/>
        <w:rPr>
          <w:rFonts w:ascii="Arial" w:eastAsia="Times New Roman" w:hAnsi="Arial" w:cs="Arial"/>
          <w:b/>
          <w:smallCaps/>
          <w:szCs w:val="28"/>
          <w:lang w:val="uk" w:eastAsia="ru-RU"/>
        </w:rPr>
      </w:pPr>
    </w:p>
    <w:p w14:paraId="12E2AFCA" w14:textId="77777777" w:rsidR="00200E87" w:rsidRPr="00511005" w:rsidRDefault="00200E87" w:rsidP="003A292D">
      <w:pPr>
        <w:spacing w:line="264" w:lineRule="auto"/>
        <w:ind w:left="40" w:right="40" w:firstLine="397"/>
        <w:jc w:val="center"/>
        <w:rPr>
          <w:rFonts w:ascii="Arial" w:eastAsia="Times New Roman" w:hAnsi="Arial" w:cs="Arial"/>
          <w:b/>
          <w:smallCaps/>
          <w:szCs w:val="28"/>
          <w:lang w:val="uk" w:eastAsia="ru-RU"/>
        </w:rPr>
      </w:pPr>
      <w:r w:rsidRPr="00511005">
        <w:rPr>
          <w:rFonts w:ascii="Arial" w:eastAsia="Times New Roman" w:hAnsi="Arial" w:cs="Arial"/>
          <w:b/>
          <w:smallCaps/>
          <w:szCs w:val="28"/>
          <w:lang w:val="uk" w:eastAsia="ru-RU"/>
        </w:rPr>
        <w:t>ОРЕНДА ТА СУБОРЕНДА ЗЕМЕЛЬНИХ ДІЛЯНОК: ПИТАННЯ ПРАВОВОГО РЕГУЛЮВАННЯ</w:t>
      </w:r>
    </w:p>
    <w:p w14:paraId="1D7E9095" w14:textId="77777777" w:rsidR="00200E87" w:rsidRPr="00511005" w:rsidRDefault="00200E87" w:rsidP="003A292D">
      <w:pPr>
        <w:spacing w:line="264" w:lineRule="auto"/>
        <w:ind w:right="40" w:firstLine="567"/>
        <w:rPr>
          <w:rFonts w:ascii="Arial" w:eastAsia="Times New Roman" w:hAnsi="Arial" w:cs="Arial"/>
          <w:szCs w:val="28"/>
          <w:lang w:val="uk" w:eastAsia="ru-RU"/>
        </w:rPr>
      </w:pPr>
      <w:r w:rsidRPr="00511005">
        <w:rPr>
          <w:rFonts w:ascii="Arial" w:eastAsia="Times New Roman" w:hAnsi="Arial" w:cs="Arial"/>
          <w:szCs w:val="28"/>
          <w:lang w:val="uk" w:eastAsia="ru-RU"/>
        </w:rPr>
        <w:t>Ефективність правового регулювання оренди земельних ділянок є однією з ключових складових сучасної державної політики щодо використання земельних ресурсів, що набуває особливої важливості у період трансформації економіки та переходу до ринкових відносин. У сучасних умовах функціонування земельного ринку акцент робиться на забезпеченні раціонального використання земельного фонду, стимулюванні підприємницької активності, а також захисті прав суб’єктів землекористування, що здійснюються на підставі укладених договорів [1].</w:t>
      </w:r>
    </w:p>
    <w:p w14:paraId="1B7D6073"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Система правового регулювання оренди земельних ділянок в Україні базується на нормах Земельного кодексу України, який закріплює загальні принципи, а також на спеціалізованих нормативно-правових актах, зокрема Законі України «Про оренду землі», що визначає договірну форму відносин, умови набуття, реалізації і припинення права на оренду, встановлює його строковий характер, вимогу щодо платності та зв’язок із цільовим призначенням земельних ділянок [2].</w:t>
      </w:r>
    </w:p>
    <w:p w14:paraId="33E9D7B9"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Розв’язання питань, пов’язаних із орендними відносинами, має вирішальне значення для забезпечення стабільності права власності, адекватного використання аграрного потенціалу та стимулювання інвестиційної активності, оскільки земельні ресурси є основою як для сільськогосподарського виробництва, так і для нерухомої забудови [3].</w:t>
      </w:r>
    </w:p>
    <w:p w14:paraId="2D0593AC"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Сучасна нормативно-правова база оренди землі дозволяє встановлювати договірні відносини між орендодавцями, серед яких можуть виступати як власники земельних ділянок, так і уповноважені ними особи, та орендарями, якими можуть бути як фізичні, так і юридичні особи [2]. Особлива увагу приділяється тому, що орендар отримує право тимчасового володіння та користування землею, яке не змінює її цільового призначення, а також має обов’язковий характер і оформлюється виключно в письмовій формі із подальшою державною реєстрацією відповідно до вимог законодавства [1].</w:t>
      </w:r>
    </w:p>
    <w:p w14:paraId="49FF018E"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 xml:space="preserve">Така система дозволяє забезпечити прозорість відносин і уникнути юридичних суперечок, що виникають через невідповідність умов договору </w:t>
      </w:r>
      <w:r w:rsidRPr="00511005">
        <w:rPr>
          <w:rFonts w:ascii="Arial" w:eastAsia="Times New Roman" w:hAnsi="Arial" w:cs="Arial"/>
          <w:szCs w:val="28"/>
          <w:lang w:val="uk" w:eastAsia="ru-RU"/>
        </w:rPr>
        <w:lastRenderedPageBreak/>
        <w:t>оренди законодавчим нормам. До того ж, сучасне законодавство стимулює використання договорів оренди як інструменту для залучення коштів і технологій до сільськогосподарського сектора, що дозволяє створювати сприятливі умови для розширення виробництва, збільшення обсягів експорту, підвищення рівня продовольчої безпеки країни [2].</w:t>
      </w:r>
    </w:p>
    <w:p w14:paraId="56EB76C8"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Незважаючи на це, існують певні проблеми, пов’язані з правовим регулюванням оренди землі, серед яких можна виділити невідповідність строків договорів суборенди до основного договору, недостатню деталізацію умов переходу права оренди при зміні суб’єктів та організаційно-правової форми орендарів, а також економічні суперечності, які виникають при встановленні розмірів орендної плати [3].</w:t>
      </w:r>
    </w:p>
    <w:p w14:paraId="2238BA76"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Так, наприклад, нерідко зустрічаються ситуації, коли строк договору суборенди перевищує термін основного договору оренди, що ставить під сумнів правову визначеність таких відносин і може призводити до юридичних суперечок [3]. Для вирішення цих проблем необхідна інтеграція положень земельного, аграрного та екологічного законодавства, що дозволить встановити єдину нормативну систему регулювання використання земельних ресурсів, яка враховує як економічні, так і соціально-екологічні інтереси суб’єктів відносин.</w:t>
      </w:r>
    </w:p>
    <w:p w14:paraId="7556189B"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Ефективність правового регулювання оренди земельних ділянок визначається не лише законодавчими нормами, але й якістю практичної їх реалізації, прозорістю процесів державної реєстрації договорів оренди, наявністю механізмів контролю за дотриманням умов договорів та ефективною судовою практикою, спрямованою на захист прав орендарів і орендодавців [3].</w:t>
      </w:r>
    </w:p>
    <w:p w14:paraId="02FAE70D"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Сучасна правова база передбачає можливість укладення договорів оренди з включенням усіх істотних умов, що забезпечує стабільність і передбачуваність договірних відносин [2]. Проте, недоліки нормативно-правових актів, зокрема щодо суборенди земельних ділянок, залишаються актуальними, що свідчить про необхідність подальших реформ і вдосконалення законодавства [4].</w:t>
      </w:r>
    </w:p>
    <w:p w14:paraId="6E7E9132"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Розробка більш детальних правових норм, що регламентують порядок укладення договорів суборенди, а також заходів щодо переходу права оренди при зміні власника або організаційної структури орендаря, сприятиме зменшенню кількості судових спорів і сприятиме більшій ефективності використання земельних ресурсів [3].</w:t>
      </w:r>
    </w:p>
    <w:p w14:paraId="08952335"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 xml:space="preserve">Таким чином, сучасне правове регулювання оренди земельних ділянок є фундаментальним елементом для забезпечення стабільності земельного ринку та розвитку аграрного сектору, адже воно створює механізми захисту інтересів як орендодавців, так і орендарів. Ефективна реалізація нормативних положень сприяє зростанню довіри суб’єктів до системи </w:t>
      </w:r>
      <w:r w:rsidRPr="00511005">
        <w:rPr>
          <w:rFonts w:ascii="Arial" w:eastAsia="Times New Roman" w:hAnsi="Arial" w:cs="Arial"/>
          <w:szCs w:val="28"/>
          <w:lang w:val="uk" w:eastAsia="ru-RU"/>
        </w:rPr>
        <w:lastRenderedPageBreak/>
        <w:t>договірних відносин, стимулює інвестиційну активність і забезпечує раціональне використання земельного фонду [4].</w:t>
      </w:r>
    </w:p>
    <w:p w14:paraId="5C744BFE"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Чинний Закон України «Про оренду землі», поряд із Земельним кодексом України, складають базу, на яку спирається регулювання орендних відносин, проте вони потребують подальшого удосконалення з метою врахування нових викликів ринкової економіки та інтеграції з вимогами аграрного та екологічного права.</w:t>
      </w:r>
    </w:p>
    <w:p w14:paraId="749441C3"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Об’єднання законодавчих норм, спрямованих на забезпечення прозорості договірних відносин, створення умов для ефективного використання земельних ресурсів та захисту прав учасників земельного ринку, є необхідною умовою для побудови сучасної системи землекористування, яка буде сприяти сталому розвитку країни [5].</w:t>
      </w:r>
    </w:p>
    <w:p w14:paraId="76ABC4A8" w14:textId="77777777" w:rsidR="00200E87" w:rsidRPr="00511005" w:rsidRDefault="00200E87"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Підсумовуючи все вищезазначене, варто підкреслити, що ефективність правового регулювання оренди земельних ділянок становить комплексне питання, що включає як теоретичну основу законодавства, так і практичні механізми захисту і реалізації договірних зобов’язань. Впровадження нових нормативних положень, удосконалення державного контролю за орендними відносинами та інтеграція з іншими галузями права є ключовими напрямками для забезпечення раціонального використання земельного фонду, що у свою чергу є основою економічного зростання та соціально-екологічної стабільності держави.</w:t>
      </w:r>
    </w:p>
    <w:p w14:paraId="36A453BF" w14:textId="6E481807" w:rsidR="00200E87" w:rsidRPr="00511005" w:rsidRDefault="007B2628" w:rsidP="007B2628">
      <w:pPr>
        <w:spacing w:line="264" w:lineRule="auto"/>
        <w:ind w:firstLine="397"/>
        <w:jc w:val="center"/>
        <w:rPr>
          <w:rFonts w:ascii="Arial" w:eastAsia="Times New Roman" w:hAnsi="Arial" w:cs="Arial"/>
          <w:b/>
          <w:szCs w:val="28"/>
          <w:lang w:val="uk" w:eastAsia="ru-RU"/>
        </w:rPr>
      </w:pPr>
      <w:r w:rsidRPr="00511005">
        <w:rPr>
          <w:rFonts w:ascii="Arial" w:eastAsia="Times New Roman" w:hAnsi="Arial" w:cs="Arial"/>
          <w:b/>
          <w:szCs w:val="28"/>
          <w:lang w:val="uk-UA" w:eastAsia="ru-RU"/>
        </w:rPr>
        <w:t>Список використаних джерел</w:t>
      </w:r>
    </w:p>
    <w:p w14:paraId="592DA3D2" w14:textId="77777777" w:rsidR="00200E87" w:rsidRPr="00511005" w:rsidRDefault="00200E87" w:rsidP="003F6A5D">
      <w:pPr>
        <w:numPr>
          <w:ilvl w:val="0"/>
          <w:numId w:val="473"/>
        </w:numPr>
        <w:spacing w:line="264" w:lineRule="auto"/>
        <w:ind w:left="0" w:firstLine="540"/>
        <w:jc w:val="left"/>
        <w:rPr>
          <w:rFonts w:ascii="Arial" w:eastAsia="Times New Roman" w:hAnsi="Arial" w:cs="Arial"/>
          <w:szCs w:val="28"/>
          <w:lang w:val="uk" w:eastAsia="ru-RU"/>
        </w:rPr>
      </w:pPr>
      <w:r w:rsidRPr="00511005">
        <w:rPr>
          <w:rFonts w:ascii="Arial" w:eastAsia="Times New Roman" w:hAnsi="Arial" w:cs="Arial"/>
          <w:szCs w:val="28"/>
          <w:lang w:val="uk" w:eastAsia="ru-RU"/>
        </w:rPr>
        <w:t xml:space="preserve">Земельний кодекс України: Закон України від 25.10.2001 № 2768-III. URL: </w:t>
      </w:r>
      <w:hyperlink r:id="rId1728" w:anchor="Text">
        <w:r w:rsidRPr="00511005">
          <w:rPr>
            <w:rFonts w:ascii="Arial" w:eastAsia="Times New Roman" w:hAnsi="Arial" w:cs="Arial"/>
            <w:szCs w:val="28"/>
            <w:lang w:val="uk" w:eastAsia="ru-RU"/>
          </w:rPr>
          <w:t>https://zakon.rada.gov.ua/laws/show/2768-14#Text</w:t>
        </w:r>
      </w:hyperlink>
      <w:r w:rsidRPr="00511005">
        <w:rPr>
          <w:rFonts w:ascii="Arial" w:eastAsia="Times New Roman" w:hAnsi="Arial" w:cs="Arial"/>
          <w:szCs w:val="28"/>
          <w:lang w:val="uk" w:eastAsia="ru-RU"/>
        </w:rPr>
        <w:t xml:space="preserve"> (дата звернення: 13.04.2025).</w:t>
      </w:r>
    </w:p>
    <w:p w14:paraId="46F29C89" w14:textId="7CAAF27B" w:rsidR="00200E87" w:rsidRPr="00511005" w:rsidRDefault="00200E87" w:rsidP="003F6A5D">
      <w:pPr>
        <w:numPr>
          <w:ilvl w:val="0"/>
          <w:numId w:val="473"/>
        </w:numPr>
        <w:spacing w:line="264" w:lineRule="auto"/>
        <w:ind w:left="0" w:firstLine="540"/>
        <w:jc w:val="left"/>
        <w:rPr>
          <w:rFonts w:ascii="Arial" w:eastAsia="Times New Roman" w:hAnsi="Arial" w:cs="Arial"/>
          <w:szCs w:val="28"/>
          <w:lang w:val="uk" w:eastAsia="ru-RU"/>
        </w:rPr>
      </w:pPr>
      <w:r w:rsidRPr="00511005">
        <w:rPr>
          <w:rFonts w:ascii="Arial" w:eastAsia="Times New Roman" w:hAnsi="Arial" w:cs="Arial"/>
          <w:szCs w:val="28"/>
          <w:lang w:val="uk" w:eastAsia="ru-RU"/>
        </w:rPr>
        <w:t>Про оренду землі: Закон України від 06.10.1998 № 161-XIV.</w:t>
      </w:r>
      <w:r w:rsidR="007B2628" w:rsidRPr="00511005">
        <w:rPr>
          <w:rFonts w:ascii="Arial" w:eastAsia="Times New Roman" w:hAnsi="Arial" w:cs="Arial"/>
          <w:szCs w:val="28"/>
          <w:lang w:val="uk" w:eastAsia="ru-RU"/>
        </w:rPr>
        <w:t xml:space="preserve"> </w:t>
      </w:r>
      <w:r w:rsidRPr="00511005">
        <w:rPr>
          <w:rFonts w:ascii="Arial" w:eastAsia="Times New Roman" w:hAnsi="Arial" w:cs="Arial"/>
          <w:szCs w:val="28"/>
          <w:lang w:val="uk" w:eastAsia="ru-RU"/>
        </w:rPr>
        <w:t xml:space="preserve">URL: </w:t>
      </w:r>
      <w:hyperlink r:id="rId1729" w:anchor="Text">
        <w:r w:rsidRPr="00511005">
          <w:rPr>
            <w:rFonts w:ascii="Arial" w:eastAsia="Times New Roman" w:hAnsi="Arial" w:cs="Arial"/>
            <w:szCs w:val="28"/>
            <w:lang w:val="uk" w:eastAsia="ru-RU"/>
          </w:rPr>
          <w:t>https://zakon.rada.gov.ua/laws/show/161-14#Text</w:t>
        </w:r>
      </w:hyperlink>
      <w:r w:rsidRPr="00511005">
        <w:rPr>
          <w:rFonts w:ascii="Arial" w:eastAsia="Times New Roman" w:hAnsi="Arial" w:cs="Arial"/>
          <w:szCs w:val="28"/>
          <w:lang w:val="uk" w:eastAsia="ru-RU"/>
        </w:rPr>
        <w:t xml:space="preserve"> (дата звернення: 13.04.2025).</w:t>
      </w:r>
    </w:p>
    <w:p w14:paraId="646C072A" w14:textId="5277D6DB" w:rsidR="00200E87" w:rsidRPr="00511005" w:rsidRDefault="00200E87" w:rsidP="003F6A5D">
      <w:pPr>
        <w:numPr>
          <w:ilvl w:val="0"/>
          <w:numId w:val="473"/>
        </w:numPr>
        <w:spacing w:line="264" w:lineRule="auto"/>
        <w:ind w:left="0" w:firstLine="540"/>
        <w:jc w:val="left"/>
        <w:rPr>
          <w:rFonts w:ascii="Arial" w:eastAsia="Times New Roman" w:hAnsi="Arial" w:cs="Arial"/>
          <w:szCs w:val="28"/>
          <w:lang w:val="uk" w:eastAsia="ru-RU"/>
        </w:rPr>
      </w:pPr>
      <w:r w:rsidRPr="00511005">
        <w:rPr>
          <w:rFonts w:ascii="Arial" w:eastAsia="Times New Roman" w:hAnsi="Arial" w:cs="Arial"/>
          <w:szCs w:val="28"/>
          <w:lang w:val="uk" w:eastAsia="ru-RU"/>
        </w:rPr>
        <w:t>Про концесії: Закон України від 03.10.2019 № 155-IX.</w:t>
      </w:r>
      <w:r w:rsidR="007B2628" w:rsidRPr="00511005">
        <w:rPr>
          <w:rFonts w:ascii="Arial" w:eastAsia="Times New Roman" w:hAnsi="Arial" w:cs="Arial"/>
          <w:szCs w:val="28"/>
          <w:lang w:val="uk" w:eastAsia="ru-RU"/>
        </w:rPr>
        <w:t xml:space="preserve"> </w:t>
      </w:r>
      <w:r w:rsidRPr="00511005">
        <w:rPr>
          <w:rFonts w:ascii="Arial" w:eastAsia="Times New Roman" w:hAnsi="Arial" w:cs="Arial"/>
          <w:szCs w:val="28"/>
          <w:lang w:val="uk" w:eastAsia="ru-RU"/>
        </w:rPr>
        <w:t xml:space="preserve">URL: </w:t>
      </w:r>
      <w:hyperlink r:id="rId1730" w:anchor="Text">
        <w:r w:rsidRPr="00511005">
          <w:rPr>
            <w:rFonts w:ascii="Arial" w:eastAsia="Times New Roman" w:hAnsi="Arial" w:cs="Arial"/>
            <w:szCs w:val="28"/>
            <w:lang w:val="uk" w:eastAsia="ru-RU"/>
          </w:rPr>
          <w:t>https://zakon.rada.gov.ua/laws/show/155-20#Text</w:t>
        </w:r>
      </w:hyperlink>
      <w:r w:rsidR="007B2628" w:rsidRPr="00511005">
        <w:rPr>
          <w:rFonts w:ascii="Arial" w:eastAsia="Times New Roman" w:hAnsi="Arial" w:cs="Arial"/>
          <w:szCs w:val="28"/>
          <w:lang w:val="uk" w:eastAsia="ru-RU"/>
        </w:rPr>
        <w:t xml:space="preserve"> </w:t>
      </w:r>
      <w:r w:rsidRPr="00511005">
        <w:rPr>
          <w:rFonts w:ascii="Arial" w:eastAsia="Times New Roman" w:hAnsi="Arial" w:cs="Arial"/>
          <w:szCs w:val="28"/>
          <w:lang w:val="uk" w:eastAsia="ru-RU"/>
        </w:rPr>
        <w:t>(дата звернення: 13.04.2025).</w:t>
      </w:r>
    </w:p>
    <w:p w14:paraId="1F5BB678" w14:textId="77777777" w:rsidR="00200E87" w:rsidRPr="00511005" w:rsidRDefault="00200E87" w:rsidP="003F6A5D">
      <w:pPr>
        <w:numPr>
          <w:ilvl w:val="0"/>
          <w:numId w:val="473"/>
        </w:numPr>
        <w:spacing w:line="264" w:lineRule="auto"/>
        <w:ind w:left="0" w:firstLine="540"/>
        <w:jc w:val="left"/>
        <w:rPr>
          <w:rFonts w:ascii="Arial" w:eastAsia="Times New Roman" w:hAnsi="Arial" w:cs="Arial"/>
          <w:szCs w:val="28"/>
          <w:lang w:val="uk" w:eastAsia="ru-RU"/>
        </w:rPr>
      </w:pPr>
      <w:r w:rsidRPr="00511005">
        <w:rPr>
          <w:rFonts w:ascii="Arial" w:eastAsia="Times New Roman" w:hAnsi="Arial" w:cs="Arial"/>
          <w:szCs w:val="28"/>
          <w:lang w:val="uk" w:eastAsia="ru-RU"/>
        </w:rPr>
        <w:t>Лісова Т. В. Правове забезпечення відновлення земель: теоретичні і практичні проблеми: монографія. – Харків: Юрайт, 2020. – 280 с.</w:t>
      </w:r>
    </w:p>
    <w:p w14:paraId="1C73D5C3" w14:textId="77777777" w:rsidR="00200E87" w:rsidRPr="00511005" w:rsidRDefault="00200E87" w:rsidP="003F6A5D">
      <w:pPr>
        <w:numPr>
          <w:ilvl w:val="0"/>
          <w:numId w:val="473"/>
        </w:numPr>
        <w:spacing w:line="264" w:lineRule="auto"/>
        <w:ind w:left="0" w:firstLine="540"/>
        <w:jc w:val="left"/>
        <w:rPr>
          <w:rFonts w:ascii="Arial" w:eastAsia="Times New Roman" w:hAnsi="Arial" w:cs="Arial"/>
          <w:szCs w:val="28"/>
          <w:lang w:val="uk" w:eastAsia="ru-RU"/>
        </w:rPr>
      </w:pPr>
      <w:r w:rsidRPr="00511005">
        <w:rPr>
          <w:rFonts w:ascii="Arial" w:eastAsia="Times New Roman" w:hAnsi="Arial" w:cs="Arial"/>
          <w:szCs w:val="28"/>
          <w:lang w:val="uk" w:eastAsia="ru-RU"/>
        </w:rPr>
        <w:t>Міськевич Л. Р. Оренда земельних ділянок водного фонду: цивільно-правові аспекти: кваліфікаційна наукова праця на правах рукопису. – Львів, 2020. – 212 с.</w:t>
      </w:r>
    </w:p>
    <w:p w14:paraId="22DC6E36" w14:textId="77777777" w:rsidR="00200E87" w:rsidRPr="00511005" w:rsidRDefault="00200E87" w:rsidP="003A292D">
      <w:pPr>
        <w:spacing w:line="264" w:lineRule="auto"/>
        <w:ind w:left="540" w:firstLine="0"/>
        <w:rPr>
          <w:rFonts w:ascii="Arial" w:eastAsia="Times New Roman" w:hAnsi="Arial" w:cs="Arial"/>
          <w:szCs w:val="28"/>
          <w:lang w:val="uk" w:eastAsia="ru-RU"/>
        </w:rPr>
      </w:pPr>
    </w:p>
    <w:p w14:paraId="7D7CD552" w14:textId="638CEB3C" w:rsidR="00200E87" w:rsidRPr="00511005" w:rsidRDefault="007B2628" w:rsidP="003A292D">
      <w:pPr>
        <w:spacing w:line="264" w:lineRule="auto"/>
        <w:ind w:firstLine="540"/>
        <w:rPr>
          <w:rFonts w:ascii="Arial" w:eastAsia="Times New Roman" w:hAnsi="Arial" w:cs="Arial"/>
          <w:szCs w:val="28"/>
          <w:lang w:val="uk" w:eastAsia="ru-RU"/>
        </w:rPr>
      </w:pPr>
      <w:r w:rsidRPr="00511005">
        <w:rPr>
          <w:rFonts w:ascii="Arial" w:eastAsia="Times New Roman" w:hAnsi="Arial" w:cs="Arial"/>
          <w:b/>
          <w:i/>
          <w:szCs w:val="28"/>
          <w:lang w:val="uk" w:eastAsia="ru-RU"/>
        </w:rPr>
        <w:t xml:space="preserve">Ключові слова: </w:t>
      </w:r>
      <w:r w:rsidR="00200E87" w:rsidRPr="00511005">
        <w:rPr>
          <w:rFonts w:ascii="Arial" w:eastAsia="Times New Roman" w:hAnsi="Arial" w:cs="Arial"/>
          <w:szCs w:val="28"/>
          <w:lang w:val="uk" w:eastAsia="ru-RU"/>
        </w:rPr>
        <w:t>оренда землі, земельні ділянки, правове регулювання, договір оренди, суборенда, земельне законодавство, орендні відносини, інвестиції, державна реєстрація, сільськогосподарські землі.</w:t>
      </w:r>
    </w:p>
    <w:p w14:paraId="3910A479" w14:textId="77A38832" w:rsidR="00200E87" w:rsidRPr="00511005" w:rsidRDefault="007B2628" w:rsidP="003A292D">
      <w:pPr>
        <w:spacing w:line="264" w:lineRule="auto"/>
        <w:ind w:firstLine="540"/>
        <w:rPr>
          <w:rFonts w:ascii="Arial" w:eastAsia="Times New Roman" w:hAnsi="Arial" w:cs="Arial"/>
          <w:szCs w:val="28"/>
          <w:lang w:val="uk" w:eastAsia="ru-RU"/>
        </w:rPr>
      </w:pPr>
      <w:r w:rsidRPr="00511005">
        <w:rPr>
          <w:rFonts w:ascii="Arial" w:eastAsia="Times New Roman" w:hAnsi="Arial" w:cs="Arial"/>
          <w:b/>
          <w:i/>
          <w:szCs w:val="28"/>
          <w:lang w:val="uk" w:eastAsia="ru-RU"/>
        </w:rPr>
        <w:lastRenderedPageBreak/>
        <w:t xml:space="preserve">Key words: </w:t>
      </w:r>
      <w:r w:rsidR="00200E87" w:rsidRPr="00511005">
        <w:rPr>
          <w:rFonts w:ascii="Arial" w:eastAsia="Times New Roman" w:hAnsi="Arial" w:cs="Arial"/>
          <w:szCs w:val="28"/>
          <w:lang w:val="uk" w:eastAsia="ru-RU"/>
        </w:rPr>
        <w:t>land lease, land plots, legal regulation, lease agreement, sublease, land legislation, lease relations, investments, state registration, agricultural land.</w:t>
      </w:r>
    </w:p>
    <w:p w14:paraId="4E828F32" w14:textId="55632AB4" w:rsidR="00200E87" w:rsidRPr="00511005" w:rsidRDefault="007B2628" w:rsidP="003A292D">
      <w:pPr>
        <w:keepNext/>
        <w:spacing w:line="264" w:lineRule="auto"/>
        <w:ind w:firstLine="540"/>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200E87" w:rsidRPr="00511005">
        <w:rPr>
          <w:rFonts w:ascii="Arial" w:eastAsia="Times New Roman" w:hAnsi="Arial" w:cs="Arial"/>
          <w:i/>
          <w:szCs w:val="28"/>
          <w:lang w:val="uk-UA"/>
        </w:rPr>
        <w:t>к.ю.н., доцент Караханян К.М.</w:t>
      </w:r>
    </w:p>
    <w:p w14:paraId="01BC57D2" w14:textId="77777777" w:rsidR="00200E87" w:rsidRPr="00511005" w:rsidRDefault="00200E87" w:rsidP="003A292D">
      <w:pPr>
        <w:keepNext/>
        <w:spacing w:line="264" w:lineRule="auto"/>
        <w:ind w:firstLine="540"/>
        <w:rPr>
          <w:rFonts w:ascii="Arial" w:eastAsia="Times New Roman" w:hAnsi="Arial" w:cs="Arial"/>
          <w:i/>
          <w:szCs w:val="28"/>
        </w:rPr>
      </w:pPr>
    </w:p>
    <w:p w14:paraId="3181C0EC" w14:textId="77777777" w:rsidR="00200E87" w:rsidRPr="00511005" w:rsidRDefault="00200E87" w:rsidP="003A292D">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Боровиченко Анна Олександрівна</w:t>
      </w:r>
    </w:p>
    <w:p w14:paraId="59D2E8F7" w14:textId="45255FA9" w:rsidR="00200E87"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4-го курсу </w:t>
      </w:r>
      <w:r w:rsidR="007B2628" w:rsidRPr="00511005">
        <w:rPr>
          <w:rFonts w:ascii="Arial" w:eastAsia="Times New Roman" w:hAnsi="Arial" w:cs="Arial"/>
          <w:szCs w:val="28"/>
          <w:lang w:val="uk-UA"/>
        </w:rPr>
        <w:t>факультету цивільної та господарської юстиції</w:t>
      </w:r>
      <w:r w:rsidR="00200E87" w:rsidRPr="00511005">
        <w:rPr>
          <w:rFonts w:ascii="Arial" w:eastAsia="Times New Roman" w:hAnsi="Arial" w:cs="Arial"/>
          <w:szCs w:val="28"/>
          <w:lang w:val="uk-UA"/>
        </w:rPr>
        <w:t xml:space="preserve"> </w:t>
      </w:r>
    </w:p>
    <w:p w14:paraId="0B40244D" w14:textId="5F7FDF9A" w:rsidR="00200E87"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36BD45E9" w14:textId="77777777" w:rsidR="00200E87" w:rsidRPr="00511005" w:rsidRDefault="00200E87" w:rsidP="003A292D">
      <w:pPr>
        <w:spacing w:line="264" w:lineRule="auto"/>
        <w:ind w:firstLine="0"/>
        <w:jc w:val="center"/>
        <w:rPr>
          <w:rFonts w:ascii="Arial" w:eastAsia="Times New Roman" w:hAnsi="Arial" w:cs="Arial"/>
          <w:szCs w:val="28"/>
          <w:lang w:val="uk-UA"/>
        </w:rPr>
      </w:pPr>
    </w:p>
    <w:p w14:paraId="162FCE5E" w14:textId="77777777" w:rsidR="00200E87" w:rsidRPr="00511005" w:rsidRDefault="00200E87"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ПРОБЛЕМИ ТА ПЕРСПЕКТИВИ ЦИФРОВІЗАЦІЇ ПРОЦЕСІВ НАБУТТЯ ТА РЕЄСТРАЦІЇ ПРАВ НА ЗЕМЛЮ В УКРАЇНІ</w:t>
      </w:r>
    </w:p>
    <w:p w14:paraId="430CB401"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Цифровізація в сучасних умовах стала ключовим інструментом реформування системи державного управління та реалізації земельної реформи. Її впровадження дозволяє забезпечити прозорість, відкритість та ефективність взаємодії між державою, громадянами та бізнесом. У сфері земельних відносин цифрові інструменти значно спростили доступ до інформації, зменшили корупційні ризики та сприяли формуванню справедливого ринку землі. В умовах діджиталізації державного управління цифрові технології використовуються для автоматизації управлінських процесів, ведення реєстрів, електронного документообігу, надання адміністративних послуг онлайн. Це, у свою чергу, знижує навантаження на державні органи та підвищує рівень довіри з боку населення.</w:t>
      </w:r>
    </w:p>
    <w:p w14:paraId="59626B9E"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Потреба у цифровізації земельних відносин та, відповідно, цифровій трансформації земельного законодавства України виникла внаслідок розвитку земельної реформи. Одним із ключових її напрямів став масштабний перерозподіл земель, що передбачав припинення прав на землю у неефективних господарств і передачу цих земель у власність або користування новим суб’єктам господарювання, орієнтованим на ринкову економіку. Спочатку це стосувалося аграрного сектору, а згодом охопило й інші сфери соціально-економічного життя країни. Такий масштабний перерозподіл потребував проведення значного обсягу землеустрою для створення великої кількості нових земельних ділянок [1, с. 14].</w:t>
      </w:r>
    </w:p>
    <w:p w14:paraId="2FC783C3"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Оглядаючись на усі досягнення у сфері цифровізації набуття та реєстрації прав на землю в Україні, а також цифровізації земельного права, всеодно важко не помітити масу проблем, з якими ми зіштовхуємося. По-перше, варто висвітлити такий негативний фактор як зловживання та корупційні ризики, оскільки попри автоматизацію, залишається значна частка «ручного» впливу на ухвалення рішень, що зберігає простір для корупції при реєстрації землі. Досі багато етапів процесу набуття та реєстрації прав на землю все ще залежать від людського чинника. Як приклад, рішення про погодження документації, присвоєння кадастрового номеру чи реєстрацію прав у Державному реєстрі речових прав часто </w:t>
      </w:r>
      <w:r w:rsidRPr="00511005">
        <w:rPr>
          <w:rFonts w:ascii="Arial" w:eastAsia="Times New Roman" w:hAnsi="Arial" w:cs="Arial"/>
          <w:szCs w:val="28"/>
          <w:lang w:val="uk-UA"/>
        </w:rPr>
        <w:lastRenderedPageBreak/>
        <w:t>приймаються без належного електронного контролю. Також варто зазначити, що не всі електронні сервіри працюють прозоро. Наприклад, електронні аукціони з продажу земельних ділянок часом супроводжуються скаргами на фіктивних учасників чи технічні збої, які зривають торги. У деяких випадках подібні збої використовуються як інструмент для перенаправлення активів «потрібним» особам.</w:t>
      </w:r>
    </w:p>
    <w:p w14:paraId="141690E1" w14:textId="26BF8D7E"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По-друге, важко оминути таку проблему як нестача фінансування на цифрові проєкти. Істотно обмежує швидке впровадження сучасних цифрових рішень саме бюджетне обмеження. В тому числі обмеження поширюються і на навчання персоналу, оскільки без належної підготовки працівників не може йти мови про ефективне використання цифрових технологій. Також фінансування йде не тільки зсередини, але й зовні від міжнародних партнерів і це якомога яскравіше показує, що нашій державі не вистачає фінансової</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бази, аби швидко фінансувати усі проєкти.</w:t>
      </w:r>
    </w:p>
    <w:p w14:paraId="40C0D4B1"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У контексті збору інформації про земельні ділянки важливим досягненням України стало впровадження Державного земельного кадастру відповідно до Закону України «Про Державний земельний кадастр», який набув чинності 1 січня 2013 року. Водночас, як зазначає П.Ф. Кулинич, інформація, що міститься в кадастрі, є неповною, оскільки обмежується лише даними про землю як об’єкт нерухомості та про структуру і межі територій (населених пунктів, районів, областей тощо). У той час як цифрове землеробство потребує значно ширшого спектра даних, які регулярно оновлюються, зокрема щодо якості ґрунтів як основного ресурсу для вирощування сільськогосподарської продукції [3, с. 263].</w:t>
      </w:r>
    </w:p>
    <w:p w14:paraId="40AC52AF"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Важливим кроком у напрямку цифровізації земельних відносин стало ухвалення Закону України «Про національну інфраструктуру геопросторових даних». Згідно з ним, Державний земельний кадастр охоплює геопросторові дані, метадані та сервіси, які мають бути доступними в мережі Інтернет у реальному часі. Їх оприлюднення та використання здійснюється офіційно в межах можливостей, що надаються відповідним програмним забезпеченням і технічними засобами, які застосовуються уповноваженими суб’єктами [2 , с. 136]. </w:t>
      </w:r>
    </w:p>
    <w:p w14:paraId="2DECC8E2"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В Україні було запроваджено новий Реєстр будівельної діяльності разом із Публічним порталом системи. Це стало початковим етапом реалізації Єдиної державної електронної системи, що впроваджується в рамках реформи містобудівної сфери. Реєстр будівельної діяльності виконує функції з формування, збору, зберігання, обробки, захисту та обліку інформації про будівельні об’єкти, їх учасників та взаємозв’язки між ними. За допомогою електронної системи здійснюється автоматичне внесення відповідної інформації до реєстру. Перевірка поданих документів і даних відбувається через формато-логічний контроль, а також із використанням підсистеми управління ризиками [4]. Серед основних переваг нового реєстру </w:t>
      </w:r>
      <w:r w:rsidRPr="00511005">
        <w:rPr>
          <w:rFonts w:ascii="Arial" w:eastAsia="Times New Roman" w:hAnsi="Arial" w:cs="Arial"/>
          <w:szCs w:val="28"/>
          <w:lang w:val="uk-UA"/>
        </w:rPr>
        <w:lastRenderedPageBreak/>
        <w:t>– можливість автоматичного отримання інформації про права власності та земельні ділянки завдяки електронній інтеграції з іншими реєстрами.</w:t>
      </w:r>
    </w:p>
    <w:p w14:paraId="6FE3609D"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Система також здійснює автоматизовану перевірку даних, що унеможливлює реєстрацію об'єктів, які не відповідають вимогам чинного законодавства. Окрім цього, забезпечено функцію відображення розміщення об’єктів на карті з поділом за типами, що підвищує зручність користування. У реєстр також вбудовано доступ до супутніх довідників та баз даних, зокрема щодо атестованих фахівців, об’єктів культурної спадщини та потенційно небезпечних об’єктів.</w:t>
      </w:r>
    </w:p>
    <w:p w14:paraId="00FE5110"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Зручним введенням стала можливість реєстрації земельної ділянки через мобільний застосунок «ДіЯ» . Для цього особа має заповнити заяву особисто, через законного представника шляхом відправлення документів поштою або можна заповнити заяву онлайн на сайті, тобто не обов’язково особисто відвідувати органи державної реєстрації. Також наразі можливо скористатися такою послугою як отримання витягу із земельного кадастру, де містяться відомості про земельну ділянку.</w:t>
      </w:r>
    </w:p>
    <w:p w14:paraId="37788730" w14:textId="77777777" w:rsidR="00200E87" w:rsidRPr="00511005" w:rsidRDefault="00200E87" w:rsidP="003A292D">
      <w:pPr>
        <w:spacing w:line="264" w:lineRule="auto"/>
        <w:ind w:firstLine="567"/>
        <w:rPr>
          <w:rFonts w:ascii="Arial" w:eastAsia="Times New Roman" w:hAnsi="Arial" w:cs="Arial"/>
          <w:szCs w:val="28"/>
          <w:lang w:val="uk-UA"/>
        </w:rPr>
      </w:pPr>
    </w:p>
    <w:p w14:paraId="25E71501" w14:textId="3B5EFC27" w:rsidR="00200E87" w:rsidRPr="00511005" w:rsidRDefault="007B2628" w:rsidP="007B2628">
      <w:pPr>
        <w:spacing w:line="264" w:lineRule="auto"/>
        <w:ind w:firstLine="567"/>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2D1DA121" w14:textId="77777777" w:rsidR="00200E87" w:rsidRPr="00511005" w:rsidRDefault="00200E87" w:rsidP="003F6A5D">
      <w:pPr>
        <w:numPr>
          <w:ilvl w:val="0"/>
          <w:numId w:val="474"/>
        </w:numPr>
        <w:spacing w:line="264" w:lineRule="auto"/>
        <w:ind w:left="0" w:firstLine="567"/>
        <w:jc w:val="left"/>
        <w:rPr>
          <w:rFonts w:ascii="Arial" w:eastAsia="Times New Roman" w:hAnsi="Arial" w:cs="Arial"/>
          <w:b/>
          <w:kern w:val="2"/>
          <w:szCs w:val="28"/>
          <w:lang w:val="uk-UA"/>
        </w:rPr>
      </w:pPr>
      <w:r w:rsidRPr="00511005">
        <w:rPr>
          <w:rFonts w:ascii="Arial" w:eastAsia="Times New Roman" w:hAnsi="Arial" w:cs="Arial"/>
          <w:kern w:val="2"/>
          <w:szCs w:val="28"/>
          <w:lang w:val="uk-UA"/>
        </w:rPr>
        <w:t xml:space="preserve">Трансформації законодавства України в сучасних умовах. </w:t>
      </w:r>
      <w:r w:rsidRPr="00511005">
        <w:rPr>
          <w:rFonts w:ascii="Arial" w:eastAsia="Times New Roman" w:hAnsi="Arial" w:cs="Arial"/>
          <w:i/>
          <w:iCs/>
          <w:kern w:val="2"/>
          <w:szCs w:val="28"/>
          <w:lang w:val="uk-UA"/>
        </w:rPr>
        <w:t xml:space="preserve">Альманах права. </w:t>
      </w:r>
      <w:r w:rsidRPr="00511005">
        <w:rPr>
          <w:rFonts w:ascii="Arial" w:eastAsia="Times New Roman" w:hAnsi="Arial" w:cs="Arial"/>
          <w:kern w:val="2"/>
          <w:szCs w:val="28"/>
          <w:lang w:val="uk-UA"/>
        </w:rPr>
        <w:t>Випуск 14. Київ: Інститут держави і права імені В. М. Корецького НАН України, 2023. 534 с.</w:t>
      </w:r>
    </w:p>
    <w:p w14:paraId="64BB39B1" w14:textId="3503272F" w:rsidR="00200E87" w:rsidRPr="00511005" w:rsidRDefault="00200E87" w:rsidP="003F6A5D">
      <w:pPr>
        <w:numPr>
          <w:ilvl w:val="0"/>
          <w:numId w:val="474"/>
        </w:numPr>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 xml:space="preserve">Ільків Н. В. Правові засади застосування цифрових технологій у земельній політиці України. </w:t>
      </w:r>
      <w:r w:rsidRPr="00511005">
        <w:rPr>
          <w:rFonts w:ascii="Arial" w:eastAsia="Times New Roman" w:hAnsi="Arial" w:cs="Arial"/>
          <w:i/>
          <w:iCs/>
          <w:kern w:val="2"/>
          <w:szCs w:val="28"/>
          <w:lang w:val="uk-UA"/>
        </w:rPr>
        <w:t>Науковий вісник Ужгородського національного університету</w:t>
      </w:r>
      <w:r w:rsidRPr="00511005">
        <w:rPr>
          <w:rFonts w:ascii="Arial" w:eastAsia="Times New Roman" w:hAnsi="Arial" w:cs="Arial"/>
          <w:kern w:val="2"/>
          <w:szCs w:val="28"/>
          <w:lang w:val="uk-UA"/>
        </w:rPr>
        <w:t>. Серія: Право.</w:t>
      </w:r>
      <w:r w:rsidR="007B2628" w:rsidRPr="00511005">
        <w:rPr>
          <w:rFonts w:ascii="Arial" w:eastAsia="Times New Roman" w:hAnsi="Arial" w:cs="Arial"/>
          <w:kern w:val="2"/>
          <w:szCs w:val="28"/>
          <w:lang w:val="uk-UA"/>
        </w:rPr>
        <w:t xml:space="preserve"> </w:t>
      </w:r>
      <w:r w:rsidRPr="00511005">
        <w:rPr>
          <w:rFonts w:ascii="Arial" w:eastAsia="Times New Roman" w:hAnsi="Arial" w:cs="Arial"/>
          <w:kern w:val="2"/>
          <w:szCs w:val="28"/>
          <w:lang w:val="uk-UA"/>
        </w:rPr>
        <w:t>2024. Вип. 86 , ч. 3. С. 133-138. Режим доступу: https://visnyk-juris-uzhnu.com/wp-content/uploads/2025/01/21-2.pdf.</w:t>
      </w:r>
    </w:p>
    <w:p w14:paraId="7DA118CF" w14:textId="77777777" w:rsidR="00200E87" w:rsidRPr="00511005" w:rsidRDefault="00200E87" w:rsidP="003F6A5D">
      <w:pPr>
        <w:numPr>
          <w:ilvl w:val="0"/>
          <w:numId w:val="474"/>
        </w:numPr>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 xml:space="preserve">Кулинич П.Ф. Цифровізація земельних відносин і право в Україні: методологічні і теоретичні аспекти. </w:t>
      </w:r>
      <w:r w:rsidRPr="00511005">
        <w:rPr>
          <w:rFonts w:ascii="Arial" w:eastAsia="Times New Roman" w:hAnsi="Arial" w:cs="Arial"/>
          <w:i/>
          <w:iCs/>
          <w:kern w:val="2"/>
          <w:szCs w:val="28"/>
          <w:lang w:val="uk-UA"/>
        </w:rPr>
        <w:t>Правова держава.</w:t>
      </w:r>
      <w:r w:rsidRPr="00511005">
        <w:rPr>
          <w:rFonts w:ascii="Arial" w:eastAsia="Times New Roman" w:hAnsi="Arial" w:cs="Arial"/>
          <w:kern w:val="2"/>
          <w:szCs w:val="28"/>
          <w:lang w:val="uk-UA"/>
        </w:rPr>
        <w:t xml:space="preserve"> 2021. Вип. 32. С. 257–265.</w:t>
      </w:r>
    </w:p>
    <w:p w14:paraId="2841B16A" w14:textId="77777777" w:rsidR="00200E87" w:rsidRPr="00511005" w:rsidRDefault="00200E87" w:rsidP="003F6A5D">
      <w:pPr>
        <w:numPr>
          <w:ilvl w:val="0"/>
          <w:numId w:val="474"/>
        </w:numPr>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 xml:space="preserve">Старт єдиної державної електронної системи у сфері будівництва. URL : </w:t>
      </w:r>
      <w:r w:rsidR="005938AD">
        <w:fldChar w:fldCharType="begin"/>
      </w:r>
      <w:r w:rsidR="005938AD" w:rsidRPr="00055389">
        <w:rPr>
          <w:lang w:val="en-US"/>
        </w:rPr>
        <w:instrText xml:space="preserve"> HYPERLINK "https://pbe.ua/e-construction-53" </w:instrText>
      </w:r>
      <w:r w:rsidR="005938AD">
        <w:fldChar w:fldCharType="separate"/>
      </w:r>
      <w:r w:rsidRPr="00511005">
        <w:rPr>
          <w:rFonts w:ascii="Arial" w:eastAsia="Times New Roman" w:hAnsi="Arial" w:cs="Arial"/>
          <w:kern w:val="2"/>
          <w:szCs w:val="28"/>
          <w:lang w:val="uk-UA"/>
        </w:rPr>
        <w:t>https://pbe.ua/e-construction-53</w:t>
      </w:r>
      <w:r w:rsidR="005938AD">
        <w:rPr>
          <w:rFonts w:ascii="Arial" w:eastAsia="Times New Roman" w:hAnsi="Arial" w:cs="Arial"/>
          <w:kern w:val="2"/>
          <w:szCs w:val="28"/>
          <w:lang w:val="uk-UA"/>
        </w:rPr>
        <w:fldChar w:fldCharType="end"/>
      </w:r>
      <w:r w:rsidRPr="00511005">
        <w:rPr>
          <w:rFonts w:ascii="Arial" w:eastAsia="Times New Roman" w:hAnsi="Arial" w:cs="Arial"/>
          <w:kern w:val="2"/>
          <w:szCs w:val="28"/>
          <w:lang w:val="uk-UA"/>
        </w:rPr>
        <w:t>.</w:t>
      </w:r>
    </w:p>
    <w:p w14:paraId="7B3FFEDB" w14:textId="77777777" w:rsidR="00200E87" w:rsidRPr="00511005" w:rsidRDefault="00200E87" w:rsidP="003A292D">
      <w:pPr>
        <w:spacing w:line="264" w:lineRule="auto"/>
        <w:ind w:left="786" w:firstLine="0"/>
        <w:rPr>
          <w:rFonts w:ascii="Arial" w:eastAsia="Times New Roman" w:hAnsi="Arial" w:cs="Arial"/>
          <w:kern w:val="2"/>
          <w:szCs w:val="28"/>
          <w:lang w:val="uk-UA"/>
        </w:rPr>
      </w:pPr>
    </w:p>
    <w:p w14:paraId="6120FF1C" w14:textId="174D80B0" w:rsidR="00200E87" w:rsidRPr="00511005" w:rsidRDefault="00EE6668" w:rsidP="003A292D">
      <w:pPr>
        <w:spacing w:line="264" w:lineRule="auto"/>
        <w:ind w:firstLine="567"/>
        <w:rPr>
          <w:rFonts w:ascii="Arial" w:eastAsia="Times New Roman" w:hAnsi="Arial" w:cs="Arial"/>
          <w:szCs w:val="28"/>
          <w:lang w:val="uk-UA"/>
        </w:rPr>
      </w:pPr>
      <w:r w:rsidRPr="00511005">
        <w:rPr>
          <w:rFonts w:ascii="Arial" w:eastAsia="Times New Roman" w:hAnsi="Arial" w:cs="Arial"/>
          <w:b/>
          <w:szCs w:val="28"/>
          <w:lang w:val="uk-UA"/>
        </w:rPr>
        <w:t>Ключові слова:</w:t>
      </w:r>
      <w:r w:rsidR="00200E87" w:rsidRPr="00511005">
        <w:rPr>
          <w:rFonts w:ascii="Arial" w:eastAsia="Times New Roman" w:hAnsi="Arial" w:cs="Arial"/>
          <w:szCs w:val="28"/>
          <w:lang w:val="uk-UA"/>
        </w:rPr>
        <w:t xml:space="preserve"> набуття прав, цифровізація, електронний аукціон, земельна ділянка, Єдина державна електронна система у сфері будівництва .</w:t>
      </w:r>
    </w:p>
    <w:p w14:paraId="49E7B036" w14:textId="1532AD26" w:rsidR="00200E87" w:rsidRPr="00511005" w:rsidRDefault="007B2628" w:rsidP="003A292D">
      <w:pPr>
        <w:spacing w:line="264" w:lineRule="auto"/>
        <w:ind w:firstLine="567"/>
        <w:rPr>
          <w:rFonts w:ascii="Arial" w:eastAsia="Times New Roman" w:hAnsi="Arial" w:cs="Arial"/>
          <w:szCs w:val="28"/>
          <w:lang w:val="en-US"/>
        </w:rPr>
      </w:pPr>
      <w:r w:rsidRPr="00511005">
        <w:rPr>
          <w:rFonts w:ascii="Arial" w:eastAsia="Times New Roman" w:hAnsi="Arial" w:cs="Arial"/>
          <w:b/>
          <w:i/>
          <w:szCs w:val="28"/>
          <w:lang w:val="en-US"/>
        </w:rPr>
        <w:t xml:space="preserve">Key words: </w:t>
      </w:r>
      <w:r w:rsidR="00200E87" w:rsidRPr="00511005">
        <w:rPr>
          <w:rFonts w:ascii="Arial" w:eastAsia="Times New Roman" w:hAnsi="Arial" w:cs="Arial"/>
          <w:szCs w:val="28"/>
          <w:lang w:val="en-US"/>
        </w:rPr>
        <w:t>acquisition of rights, digitalization, electronic auction, land plot, Unified State Electronic System in the field of construction.</w:t>
      </w:r>
    </w:p>
    <w:p w14:paraId="585FD5B1" w14:textId="1DBB3544" w:rsidR="00200E87" w:rsidRPr="00511005" w:rsidRDefault="00EE6668" w:rsidP="003A292D">
      <w:pPr>
        <w:spacing w:line="264" w:lineRule="auto"/>
        <w:ind w:firstLine="567"/>
        <w:rPr>
          <w:rFonts w:ascii="Arial" w:eastAsia="Times New Roman" w:hAnsi="Arial" w:cs="Arial"/>
          <w:i/>
          <w:szCs w:val="28"/>
          <w:lang w:val="uk-UA"/>
        </w:rPr>
      </w:pPr>
      <w:r w:rsidRPr="00511005">
        <w:rPr>
          <w:rFonts w:ascii="Arial" w:eastAsia="Times New Roman" w:hAnsi="Arial" w:cs="Arial"/>
          <w:i/>
          <w:szCs w:val="28"/>
          <w:lang w:val="uk-UA"/>
        </w:rPr>
        <w:t>Науковий керівник:</w:t>
      </w:r>
      <w:r w:rsidR="00200E87" w:rsidRPr="00511005">
        <w:rPr>
          <w:rFonts w:ascii="Arial" w:eastAsia="Times New Roman" w:hAnsi="Arial" w:cs="Arial"/>
          <w:i/>
          <w:szCs w:val="28"/>
          <w:lang w:val="uk-UA"/>
        </w:rPr>
        <w:t xml:space="preserve"> к.ю.н. , доцент Чумаченко І.Є.</w:t>
      </w:r>
    </w:p>
    <w:p w14:paraId="6F95CB7A" w14:textId="77777777" w:rsidR="00200E87" w:rsidRPr="00511005" w:rsidRDefault="00200E87" w:rsidP="003A292D">
      <w:pPr>
        <w:keepNext/>
        <w:spacing w:line="264" w:lineRule="auto"/>
        <w:ind w:firstLine="540"/>
        <w:rPr>
          <w:rFonts w:ascii="Arial" w:eastAsia="Times New Roman" w:hAnsi="Arial" w:cs="Arial"/>
          <w:b/>
          <w:i/>
          <w:szCs w:val="28"/>
          <w:lang w:val="uk-UA" w:eastAsia="ru-RU"/>
        </w:rPr>
      </w:pPr>
    </w:p>
    <w:p w14:paraId="07E1BB72" w14:textId="77777777" w:rsidR="00F36CC4" w:rsidRDefault="00F36CC4">
      <w:pPr>
        <w:spacing w:after="200" w:line="276" w:lineRule="auto"/>
        <w:ind w:firstLine="0"/>
        <w:jc w:val="left"/>
        <w:rPr>
          <w:rFonts w:ascii="Arial" w:eastAsia="Times New Roman" w:hAnsi="Arial" w:cs="Arial"/>
          <w:b/>
          <w:i/>
          <w:szCs w:val="28"/>
          <w:lang w:val="uk-UA"/>
        </w:rPr>
      </w:pPr>
      <w:r>
        <w:rPr>
          <w:rFonts w:ascii="Arial" w:eastAsia="Times New Roman" w:hAnsi="Arial" w:cs="Arial"/>
          <w:b/>
          <w:i/>
          <w:szCs w:val="28"/>
          <w:lang w:val="uk-UA"/>
        </w:rPr>
        <w:br w:type="page"/>
      </w:r>
    </w:p>
    <w:p w14:paraId="60AC01E7" w14:textId="7A897F33" w:rsidR="00200E87" w:rsidRPr="00511005" w:rsidRDefault="00200E87"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lastRenderedPageBreak/>
        <w:t>Бубнова Анна Олегівна</w:t>
      </w:r>
    </w:p>
    <w:p w14:paraId="41D1DB0D" w14:textId="130515B2" w:rsidR="00200E87" w:rsidRPr="00511005" w:rsidRDefault="00536AAB" w:rsidP="003A292D">
      <w:pPr>
        <w:spacing w:line="264" w:lineRule="auto"/>
        <w:ind w:firstLine="0"/>
        <w:jc w:val="center"/>
        <w:rPr>
          <w:rFonts w:ascii="Arial" w:eastAsia="Times New Roman" w:hAnsi="Arial" w:cs="Arial"/>
          <w:iCs/>
          <w:szCs w:val="28"/>
          <w:lang w:val="uk-UA"/>
        </w:rPr>
      </w:pPr>
      <w:r w:rsidRPr="00511005">
        <w:rPr>
          <w:rFonts w:ascii="Arial" w:eastAsia="Times New Roman" w:hAnsi="Arial" w:cs="Arial"/>
          <w:iCs/>
          <w:szCs w:val="28"/>
          <w:lang w:val="uk-UA"/>
        </w:rPr>
        <w:t xml:space="preserve">студентка 2-го курсу </w:t>
      </w:r>
      <w:r w:rsidR="007B2628" w:rsidRPr="00511005">
        <w:rPr>
          <w:rFonts w:ascii="Arial" w:eastAsia="Times New Roman" w:hAnsi="Arial" w:cs="Arial"/>
          <w:iCs/>
          <w:szCs w:val="28"/>
          <w:lang w:val="uk-UA"/>
        </w:rPr>
        <w:t>факультету цивільної та господарської юстиції</w:t>
      </w:r>
      <w:r w:rsidR="00200E87" w:rsidRPr="00511005">
        <w:rPr>
          <w:rFonts w:ascii="Arial" w:eastAsia="Times New Roman" w:hAnsi="Arial" w:cs="Arial"/>
          <w:iCs/>
          <w:szCs w:val="28"/>
          <w:lang w:val="uk-UA"/>
        </w:rPr>
        <w:t xml:space="preserve"> </w:t>
      </w:r>
    </w:p>
    <w:p w14:paraId="2ACD5D49" w14:textId="0FE526E7" w:rsidR="00200E87" w:rsidRPr="00511005" w:rsidRDefault="007B2628" w:rsidP="003A292D">
      <w:pPr>
        <w:spacing w:line="264" w:lineRule="auto"/>
        <w:ind w:firstLine="0"/>
        <w:jc w:val="center"/>
        <w:rPr>
          <w:rFonts w:ascii="Arial" w:eastAsia="Times New Roman" w:hAnsi="Arial" w:cs="Arial"/>
          <w:iCs/>
          <w:szCs w:val="28"/>
          <w:lang w:val="uk-UA"/>
        </w:rPr>
      </w:pPr>
      <w:r w:rsidRPr="00511005">
        <w:rPr>
          <w:rFonts w:ascii="Arial" w:eastAsia="Times New Roman" w:hAnsi="Arial" w:cs="Arial"/>
          <w:iCs/>
          <w:szCs w:val="28"/>
          <w:lang w:val="uk-UA"/>
        </w:rPr>
        <w:t>Національного університету «Одеська юридична академія»</w:t>
      </w:r>
    </w:p>
    <w:p w14:paraId="23809203" w14:textId="77777777" w:rsidR="00200E87" w:rsidRPr="00511005" w:rsidRDefault="00200E87" w:rsidP="003A292D">
      <w:pPr>
        <w:spacing w:line="264" w:lineRule="auto"/>
        <w:ind w:firstLine="0"/>
        <w:jc w:val="center"/>
        <w:rPr>
          <w:rFonts w:ascii="Arial" w:eastAsia="Times New Roman" w:hAnsi="Arial" w:cs="Arial"/>
          <w:i/>
          <w:iCs/>
          <w:szCs w:val="28"/>
          <w:lang w:val="uk-UA"/>
        </w:rPr>
      </w:pPr>
    </w:p>
    <w:p w14:paraId="166E446D" w14:textId="77777777" w:rsidR="00200E87" w:rsidRPr="00511005" w:rsidRDefault="00200E87" w:rsidP="003A292D">
      <w:pPr>
        <w:spacing w:line="264" w:lineRule="auto"/>
        <w:jc w:val="center"/>
        <w:rPr>
          <w:rFonts w:ascii="Arial" w:eastAsia="Times New Roman" w:hAnsi="Arial" w:cs="Arial"/>
          <w:b/>
          <w:caps/>
          <w:szCs w:val="28"/>
          <w:lang w:val="uk-UA"/>
        </w:rPr>
      </w:pPr>
      <w:r w:rsidRPr="00511005">
        <w:rPr>
          <w:rFonts w:ascii="Arial" w:eastAsia="Times New Roman" w:hAnsi="Arial" w:cs="Arial"/>
          <w:b/>
          <w:caps/>
          <w:szCs w:val="28"/>
          <w:lang w:val="uk-UA"/>
        </w:rPr>
        <w:t>Правові особливості сучасного виноградарства в Україні в умовах воєнного стану</w:t>
      </w:r>
    </w:p>
    <w:p w14:paraId="1F43BA14"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Україна – аграрна країна. Цей загальновідомий факт стереотипно розцінюється пересічним громадянином як широкий спектр можливостей нашої держави до виробництва, реалізації, експорту та імпорту товарної агропродукції переважно зернових культур, м’ясної та молочної галузі, овочів. Однак неможливо переоцінити вплив на аграрний сектор економіки такої його галузі як виноградарство і виноробство, що історично вважаються в нашій державі розвинутими і перспективними.</w:t>
      </w:r>
    </w:p>
    <w:p w14:paraId="044658C0"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З початком повномасштабного вторгнення російської федерації на територію українських земель, виноградарська справа, рівно як і інші галузі аграрного бізнесу, зазнала відповідних змін і обмежень.</w:t>
      </w:r>
    </w:p>
    <w:p w14:paraId="19C77C2B"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В першу чергу, від російської окупації постраждала виноробна географія. У новоприйнятому Законі України «Про виноград, вино та продукти виноградарства», що набирає чинності з 01.01.2026 р. надається визначення виноградарської зони, яка представляє собою географічну виноградарсько-виноробну територію, класифіковану за сумою активних температур та екологічними умовами, на якій можуть застосовуватися енологічні практики, дозволені для цієї зони, з урахуванням обмежень, визначених для цієї зони [3].</w:t>
      </w:r>
    </w:p>
    <w:p w14:paraId="14F33CDD"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Основними виноградарськими зонами традиційно вважаються південні області країни – Автономна республіка Крим, Одеська, Херсонська, Миколаївська, Запорізька, а також західний регіон Закарпаття. Одна у результаті анексії Кримського півострова Україна втратила один з найперспективніших та ресурсоспроможних виноробних регіонів, який за обсягом виробництва можливо порівняти з серцем виноградарської промисловості – Одеським регіоном. Це суттєво вплинуло на галузь у зв’язку зі скороченням площ виноградників, а також сортового складу, за винятком Південного берега Криму, де знаходиться сировинна зона для виробництва міцних, десертних та спеціальних вин, особливо лікерного типу Мускати – білий Південнобережний, білий червоного каменю, білий Магарач тощо. На жаль, нині ці витвори виноробного мистецтва є для нас майже недосяжними, як і вина Степового Криму, наприклад Екім кара [6].</w:t>
      </w:r>
    </w:p>
    <w:p w14:paraId="5272A973"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Варто зазначити, що натепер майже в усіх областях України практикується виноробство – це присадибне виноградарство або вирощування винограду на невеликих ділянках, до 5–10 га. Такі зміни зумовлені як очевидним потеплінням протягом усього року, так і певними успіхами селекції, в тому числі й аматорської [6].</w:t>
      </w:r>
    </w:p>
    <w:p w14:paraId="13DB7F57"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lastRenderedPageBreak/>
        <w:t>В теперішній час завершено другий етап земельної реформи в Україні, який стосується відкриття ринку земель сільськогосподарського призначення для юридичних осіб України. Цей процес регламентується Законом України від 31 березня 2020 р. «Про внесення змін до деяких законодавчих актів України щодо умов обігу земель сільськогосподарського призначення», яким скасовано мораторій на відчуження земельних ділянок сільськогосподарського призначення стосовно фізичних осіб з 1 липня 2021 року, а стосовно юридичних осіб –з 1 січня 2024 року [2]. Це досягнення значно розширює сільськогосподарський потенціал країни загалом, і виноградарський зокрема, за допомогою залучення нових інвестицій та підвищення ефективності землекористування. Зважаючи на те, що формування ринку землі є одним з найвагоміших завдань земельної реформи, особливе значення цей процес має для галузей із високим потенціалом, зокрема виноградарства, яке потребує стабільного доступу до родючих земель для довгострокового планування та розвитку.Отже, наступним кроком земельної реформи має стати практична реалізація права власності на землі сільськогосподарського призначення, що неодмінно сприятиме сталому розвитку виноградарства.</w:t>
      </w:r>
    </w:p>
    <w:p w14:paraId="66B0E8EC"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Крім того, в останні роки законодавець приділяє значну увагу виноградарській сфері агропромисловості. Одною з найсуттєвіших останніх змін галузі можна назвати вже згаданий Закон України «Про виноград, вино та продукти виноградарства», розроблений Міністерством агрополітики та продовольства, що набирає чинності з 01.01.2026 р. Основна мета закону – приведення у відповідність норм галузевого законодавства до вимог міжнародних правил виробництва продуктів виноградарства та виноробства та імплементації положень Регламентів ЄС щодо ведення виноградарства та виноробства, енологічних практик, виробництва ароматизованих винних продуктів, використання і захисту географічних зазначень вин, ароматизованих винних продуктів, та контролю у сфері виноградарства та виноробства [7]. У новому законі законодавцем наведено оновлену термінологію, зокрема класифікацію сортів винограду, визначено вимоги для виробництва та реалізації виноградарської продукції, а також її маркування, визначено напрямки державного регулювання галузі. Одним з найвизначніших результатів стало створення єдиної державної інформаційної системи «Виноградарсько-виноробний реєстр».</w:t>
      </w:r>
    </w:p>
    <w:p w14:paraId="2BE4880B"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17 грудня 2021 року Верховною Радою ухвалено Закон «Про внесення змін до деяких законодавчих актів України щодо стимулювання розвитку виноградарства та садівництва» № 1989-ІХ. Зокрема, даним законом частину 11 статті 93 Земельного Кодексу України викладено в новій редакції, що передбачило строк оренди земельних ділянок сільськогосподарського призначення для закладання та/або вирощування багаторічних насаджень (плодових, ягідних, горіхоплідних, винограду) не може бути меншим як 25 </w:t>
      </w:r>
      <w:r w:rsidRPr="00511005">
        <w:rPr>
          <w:rFonts w:ascii="Arial" w:eastAsia="Times New Roman" w:hAnsi="Arial" w:cs="Arial"/>
          <w:szCs w:val="28"/>
          <w:lang w:val="uk-UA"/>
        </w:rPr>
        <w:lastRenderedPageBreak/>
        <w:t>років [1]. Встановлення нового строку оренди землі створює нові можливості для вирощування якісної продукції та ймовірного примноження столових і технічних сортів винограду.</w:t>
      </w:r>
    </w:p>
    <w:p w14:paraId="7943CD75"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Проаналізувавши останні зміни, які торкнулися українського виноградарства в умовах воєнного стану, можна стверджувати, що галузь перебуває на етапі правового вдосконалення. Незважаючи на загрози і ризики, з якими вона стикнулася, законодавчі ініціативи, які набрали чинності, та ті, що будуть запроваджені найближчим часом, допомагають виноградарській справі лишатися серед вагомих складових аграрного бізнесу України. Державна підтримка та родючі українські ґрунти у комплексі створюють сприятливі умови для подальшого розвитку виноградарсько-виноробної галузі та її виходу на новий рівень, що відповідатиме європейським стандартам та потребам виробників і споживачів.</w:t>
      </w:r>
    </w:p>
    <w:p w14:paraId="392DFBF0" w14:textId="77777777" w:rsidR="00200E87" w:rsidRPr="00511005" w:rsidRDefault="00200E87" w:rsidP="003A292D">
      <w:pPr>
        <w:spacing w:line="264" w:lineRule="auto"/>
        <w:jc w:val="center"/>
        <w:rPr>
          <w:rFonts w:ascii="Arial" w:eastAsia="Times New Roman" w:hAnsi="Arial" w:cs="Arial"/>
          <w:b/>
          <w:bCs/>
          <w:szCs w:val="28"/>
          <w:lang w:val="uk-UA"/>
        </w:rPr>
      </w:pPr>
    </w:p>
    <w:p w14:paraId="3426F889" w14:textId="7A8FF120" w:rsidR="00200E87" w:rsidRPr="00511005" w:rsidRDefault="007B2628" w:rsidP="007B2628">
      <w:pPr>
        <w:spacing w:line="264" w:lineRule="auto"/>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56196B25" w14:textId="77777777" w:rsidR="00200E87" w:rsidRPr="00511005" w:rsidRDefault="00200E87" w:rsidP="003F6A5D">
      <w:pPr>
        <w:numPr>
          <w:ilvl w:val="0"/>
          <w:numId w:val="475"/>
        </w:numPr>
        <w:tabs>
          <w:tab w:val="left" w:pos="1134"/>
        </w:tabs>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Про внесення змін до деяких законодавчих актів України щодо стимулювання розвитку виноградарства та садівництва: Закон України від 17.12.2021 № 1989-IX: станом на 8 черв. 2023 р. URL: https://zakon.rada.gov.ua/laws/show/1989-20#Text (дата звернення: 04.05.2025).</w:t>
      </w:r>
    </w:p>
    <w:p w14:paraId="2830604E" w14:textId="77777777" w:rsidR="00200E87" w:rsidRPr="00511005" w:rsidRDefault="00200E87" w:rsidP="003F6A5D">
      <w:pPr>
        <w:numPr>
          <w:ilvl w:val="0"/>
          <w:numId w:val="475"/>
        </w:numPr>
        <w:tabs>
          <w:tab w:val="left" w:pos="1134"/>
        </w:tabs>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Про внесення змін до деяких законодавчих актів України щодо умов обігу земель сільськогосподарського призначення: Закон України від 31.03.2020 № 552-IX. URL: https://zakon.rada.gov.ua/laws/show/552-20#Text (дата звернення: 05.05.2025).</w:t>
      </w:r>
    </w:p>
    <w:p w14:paraId="62EB5F75" w14:textId="77777777" w:rsidR="00200E87" w:rsidRPr="00511005" w:rsidRDefault="00200E87" w:rsidP="003F6A5D">
      <w:pPr>
        <w:numPr>
          <w:ilvl w:val="0"/>
          <w:numId w:val="475"/>
        </w:numPr>
        <w:tabs>
          <w:tab w:val="left" w:pos="1134"/>
        </w:tabs>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Про виноград, вино та продукти виноградарства: Закон України від 22.08.2024 № 3928-IX. URL: https://zakon.rada.gov.ua/laws/show/3928-20#Text (дата звернення: 05.05.2025).</w:t>
      </w:r>
    </w:p>
    <w:p w14:paraId="7ABA0483" w14:textId="6FBD4A3D" w:rsidR="00200E87" w:rsidRPr="00511005" w:rsidRDefault="00200E87" w:rsidP="003F6A5D">
      <w:pPr>
        <w:numPr>
          <w:ilvl w:val="0"/>
          <w:numId w:val="475"/>
        </w:numPr>
        <w:tabs>
          <w:tab w:val="left" w:pos="1134"/>
        </w:tabs>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Національна доповідь “Цілі сталого розвитку: Україна” (2017). URL: http://un.org.ua/images/SDGs_NationalReportUA_Web_1.pdf (дата звернення: 10.10.2020 року)</w:t>
      </w:r>
      <w:r w:rsidR="007B2628" w:rsidRPr="00511005">
        <w:rPr>
          <w:rFonts w:ascii="Arial" w:eastAsia="Times New Roman" w:hAnsi="Arial" w:cs="Arial"/>
          <w:kern w:val="2"/>
          <w:szCs w:val="28"/>
          <w:lang w:val="uk-UA"/>
        </w:rPr>
        <w:t xml:space="preserve"> </w:t>
      </w:r>
      <w:r w:rsidRPr="00511005">
        <w:rPr>
          <w:rFonts w:ascii="Arial" w:eastAsia="Times New Roman" w:hAnsi="Arial" w:cs="Arial"/>
          <w:kern w:val="2"/>
          <w:szCs w:val="28"/>
          <w:lang w:val="uk-UA"/>
        </w:rPr>
        <w:t>(дата доступу: 02.05.2025).</w:t>
      </w:r>
    </w:p>
    <w:p w14:paraId="4D4BFCD7" w14:textId="77777777" w:rsidR="00200E87" w:rsidRPr="00511005" w:rsidRDefault="00200E87" w:rsidP="003F6A5D">
      <w:pPr>
        <w:numPr>
          <w:ilvl w:val="0"/>
          <w:numId w:val="475"/>
        </w:numPr>
        <w:tabs>
          <w:tab w:val="left" w:pos="1134"/>
        </w:tabs>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Президент підписав закон, що сприятиме розвитку виноградарства та садівництва в Україні – Офіційне інтернет-представництво Президента України. Офіційне інтернет-представництво Президента України. URL: https://www.president.gov.ua/news/prezident-pidpisav-zakon-sho-spriyatime-rozvitku-vinogradars-72353 (дата звернення: 04.05.2025).</w:t>
      </w:r>
    </w:p>
    <w:p w14:paraId="772FA9A1" w14:textId="77777777" w:rsidR="00200E87" w:rsidRPr="00511005" w:rsidRDefault="00200E87" w:rsidP="003F6A5D">
      <w:pPr>
        <w:numPr>
          <w:ilvl w:val="0"/>
          <w:numId w:val="475"/>
        </w:numPr>
        <w:tabs>
          <w:tab w:val="left" w:pos="1134"/>
        </w:tabs>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Куліджанов Е.В. Зони виноградарства – промислове та аматорське. Сорти – столові, технічні, авторські. Укривне та неукривне виноградарство. Розсадництво. Садівництво та Виноградарство. Технології та Інновації. 2025. URL: https://techhorticulture.com/zony-vynogradarstva-promyslove-ta-amatorske/ (дата звернення: 05.05.2025).</w:t>
      </w:r>
    </w:p>
    <w:p w14:paraId="7A8B8A68" w14:textId="77777777" w:rsidR="00200E87" w:rsidRPr="00511005" w:rsidRDefault="00200E87" w:rsidP="003F6A5D">
      <w:pPr>
        <w:numPr>
          <w:ilvl w:val="0"/>
          <w:numId w:val="475"/>
        </w:numPr>
        <w:tabs>
          <w:tab w:val="left" w:pos="1134"/>
        </w:tabs>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Кабінет Міністрів України. Парламент ухвалив Закон про виноград та продукти виноградарства. URL: https://www.kmu.gov.ua/news/parlament-</w:t>
      </w:r>
      <w:r w:rsidRPr="00511005">
        <w:rPr>
          <w:rFonts w:ascii="Arial" w:eastAsia="Times New Roman" w:hAnsi="Arial" w:cs="Arial"/>
          <w:kern w:val="2"/>
          <w:szCs w:val="28"/>
          <w:lang w:val="uk-UA"/>
        </w:rPr>
        <w:lastRenderedPageBreak/>
        <w:t>ukhvalyv-zakon-pro-vynohrad-ta-produkty-vynohradarstva-minahropolityky (дата звернення: 05.05.2025).</w:t>
      </w:r>
    </w:p>
    <w:p w14:paraId="5649C0F9" w14:textId="77777777" w:rsidR="00200E87" w:rsidRPr="00511005" w:rsidRDefault="00200E87" w:rsidP="003A292D">
      <w:pPr>
        <w:tabs>
          <w:tab w:val="left" w:pos="1134"/>
        </w:tabs>
        <w:spacing w:line="264" w:lineRule="auto"/>
        <w:ind w:firstLine="0"/>
        <w:rPr>
          <w:rFonts w:ascii="Arial" w:eastAsia="Times New Roman" w:hAnsi="Arial" w:cs="Arial"/>
          <w:szCs w:val="28"/>
          <w:lang w:val="uk-UA"/>
        </w:rPr>
      </w:pPr>
    </w:p>
    <w:p w14:paraId="667D00C6" w14:textId="3A01E74A" w:rsidR="00200E87" w:rsidRPr="00511005" w:rsidRDefault="007B2628" w:rsidP="003A292D">
      <w:pPr>
        <w:tabs>
          <w:tab w:val="left" w:pos="1134"/>
        </w:tabs>
        <w:spacing w:line="264" w:lineRule="auto"/>
        <w:ind w:firstLine="567"/>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200E87" w:rsidRPr="00511005">
        <w:rPr>
          <w:rFonts w:ascii="Arial" w:eastAsia="Times New Roman" w:hAnsi="Arial" w:cs="Arial"/>
          <w:szCs w:val="28"/>
          <w:lang w:val="uk-UA"/>
        </w:rPr>
        <w:t>виноградарство, аграрне законодавство, аграрне право, воєнний стан, земельні ділянки</w:t>
      </w:r>
    </w:p>
    <w:p w14:paraId="6493907B" w14:textId="4E219800" w:rsidR="00200E87" w:rsidRPr="00511005" w:rsidRDefault="007B2628" w:rsidP="003A292D">
      <w:pPr>
        <w:tabs>
          <w:tab w:val="left" w:pos="1134"/>
        </w:tabs>
        <w:spacing w:line="264" w:lineRule="auto"/>
        <w:ind w:firstLine="567"/>
        <w:rPr>
          <w:rFonts w:ascii="Arial" w:eastAsia="Times New Roman" w:hAnsi="Arial" w:cs="Arial"/>
          <w:szCs w:val="28"/>
          <w:lang w:val="en-US"/>
        </w:rPr>
      </w:pPr>
      <w:r w:rsidRPr="00511005">
        <w:rPr>
          <w:rFonts w:ascii="Arial" w:eastAsia="Times New Roman" w:hAnsi="Arial" w:cs="Arial"/>
          <w:b/>
          <w:i/>
          <w:szCs w:val="28"/>
          <w:lang w:val="en-US"/>
        </w:rPr>
        <w:t xml:space="preserve">Key words: </w:t>
      </w:r>
      <w:r w:rsidR="00200E87" w:rsidRPr="00511005">
        <w:rPr>
          <w:rFonts w:ascii="Arial" w:eastAsia="Times New Roman" w:hAnsi="Arial" w:cs="Arial"/>
          <w:szCs w:val="28"/>
          <w:lang w:val="en-US"/>
        </w:rPr>
        <w:t>viticulture, agrarian legislation, agrarian law, martial law, land plots</w:t>
      </w:r>
    </w:p>
    <w:p w14:paraId="0C1AB5C0" w14:textId="78EB4808" w:rsidR="00200E87" w:rsidRPr="00511005" w:rsidRDefault="007B2628" w:rsidP="003A292D">
      <w:pPr>
        <w:tabs>
          <w:tab w:val="left" w:pos="1134"/>
        </w:tabs>
        <w:spacing w:line="264" w:lineRule="auto"/>
        <w:ind w:firstLine="567"/>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200E87" w:rsidRPr="00511005">
        <w:rPr>
          <w:rFonts w:ascii="Arial" w:eastAsia="Times New Roman" w:hAnsi="Arial" w:cs="Arial"/>
          <w:i/>
          <w:szCs w:val="28"/>
          <w:lang w:val="uk-UA"/>
        </w:rPr>
        <w:t xml:space="preserve">д.ю.н., професор Григор’єва Х. А. </w:t>
      </w:r>
    </w:p>
    <w:p w14:paraId="77BB2BE9" w14:textId="77777777" w:rsidR="00200E87" w:rsidRPr="00511005" w:rsidRDefault="00200E87" w:rsidP="003A292D">
      <w:pPr>
        <w:keepNext/>
        <w:spacing w:line="264" w:lineRule="auto"/>
        <w:ind w:firstLine="540"/>
        <w:rPr>
          <w:rFonts w:ascii="Arial" w:eastAsia="Times New Roman" w:hAnsi="Arial" w:cs="Arial"/>
          <w:b/>
          <w:i/>
          <w:szCs w:val="28"/>
          <w:lang w:eastAsia="ru-RU"/>
        </w:rPr>
      </w:pPr>
    </w:p>
    <w:p w14:paraId="62908D71" w14:textId="77777777" w:rsidR="00200E87" w:rsidRPr="00511005" w:rsidRDefault="00200E87" w:rsidP="003A292D">
      <w:pPr>
        <w:spacing w:line="264" w:lineRule="auto"/>
        <w:ind w:firstLine="561"/>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Бутрій Дмитро Степанович</w:t>
      </w:r>
    </w:p>
    <w:p w14:paraId="5E8F155F" w14:textId="6415FF47" w:rsidR="00200E87" w:rsidRPr="00511005" w:rsidRDefault="00536AAB" w:rsidP="003A292D">
      <w:pPr>
        <w:spacing w:line="264" w:lineRule="auto"/>
        <w:ind w:firstLine="561"/>
        <w:jc w:val="center"/>
        <w:rPr>
          <w:rFonts w:ascii="Arial" w:eastAsia="Times New Roman" w:hAnsi="Arial" w:cs="Arial"/>
          <w:iCs/>
          <w:szCs w:val="28"/>
          <w:lang w:val="uk-UA"/>
        </w:rPr>
      </w:pPr>
      <w:r w:rsidRPr="00511005">
        <w:rPr>
          <w:rFonts w:ascii="Arial" w:eastAsia="Times New Roman" w:hAnsi="Arial" w:cs="Arial"/>
          <w:iCs/>
          <w:szCs w:val="28"/>
          <w:lang w:val="uk-UA"/>
        </w:rPr>
        <w:t xml:space="preserve">студент 4-го курсу </w:t>
      </w:r>
      <w:r w:rsidR="00200E87" w:rsidRPr="00511005">
        <w:rPr>
          <w:rFonts w:ascii="Arial" w:eastAsia="Times New Roman" w:hAnsi="Arial" w:cs="Arial"/>
          <w:iCs/>
          <w:szCs w:val="28"/>
          <w:lang w:val="uk-UA"/>
        </w:rPr>
        <w:t>факультету цивільної та господарської юстиції</w:t>
      </w:r>
    </w:p>
    <w:p w14:paraId="3233B7E0" w14:textId="041FEDCC" w:rsidR="00200E87" w:rsidRPr="00511005" w:rsidRDefault="007B2628" w:rsidP="003A292D">
      <w:pPr>
        <w:spacing w:line="264" w:lineRule="auto"/>
        <w:ind w:firstLine="561"/>
        <w:jc w:val="center"/>
        <w:rPr>
          <w:rFonts w:ascii="Arial" w:eastAsia="Times New Roman" w:hAnsi="Arial" w:cs="Arial"/>
          <w:iCs/>
          <w:szCs w:val="28"/>
          <w:lang w:val="uk-UA"/>
        </w:rPr>
      </w:pPr>
      <w:r w:rsidRPr="00511005">
        <w:rPr>
          <w:rFonts w:ascii="Arial" w:eastAsia="Times New Roman" w:hAnsi="Arial" w:cs="Arial"/>
          <w:iCs/>
          <w:szCs w:val="28"/>
          <w:lang w:val="uk-UA"/>
        </w:rPr>
        <w:t>Національного університету «Одеська юридична академія»</w:t>
      </w:r>
    </w:p>
    <w:p w14:paraId="0521E877" w14:textId="77777777" w:rsidR="00200E87" w:rsidRPr="00511005" w:rsidRDefault="00200E87" w:rsidP="003A292D">
      <w:pPr>
        <w:spacing w:line="264" w:lineRule="auto"/>
        <w:ind w:firstLine="560"/>
        <w:jc w:val="center"/>
        <w:rPr>
          <w:rFonts w:ascii="Arial" w:eastAsia="Times New Roman" w:hAnsi="Arial" w:cs="Arial"/>
          <w:iCs/>
          <w:szCs w:val="28"/>
          <w:lang w:val="uk-UA"/>
        </w:rPr>
      </w:pPr>
    </w:p>
    <w:p w14:paraId="00DFD9C7" w14:textId="77777777" w:rsidR="00200E87" w:rsidRPr="00511005" w:rsidRDefault="00200E87" w:rsidP="003A292D">
      <w:pPr>
        <w:spacing w:line="264" w:lineRule="auto"/>
        <w:ind w:firstLine="562"/>
        <w:jc w:val="center"/>
        <w:rPr>
          <w:rFonts w:ascii="Arial" w:eastAsia="Times New Roman" w:hAnsi="Arial" w:cs="Arial"/>
          <w:b/>
          <w:bCs/>
          <w:iCs/>
          <w:szCs w:val="28"/>
        </w:rPr>
      </w:pPr>
      <w:r w:rsidRPr="00511005">
        <w:rPr>
          <w:rFonts w:ascii="Arial" w:eastAsia="Times New Roman" w:hAnsi="Arial" w:cs="Arial"/>
          <w:b/>
          <w:bCs/>
          <w:iCs/>
          <w:szCs w:val="28"/>
        </w:rPr>
        <w:t>ЩОДО ПРАВА ГРОМАДЯН НА БЕЗПЕЧНЕ ДОВКІЛЛЯ</w:t>
      </w:r>
    </w:p>
    <w:p w14:paraId="26B251C7"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 xml:space="preserve">Головний закон України закріплює ряд прав для людей і громадян у сфері екологічного права. Кожна людина має право на безпечне для життя та здоров’я навколишнє середовище, а також на компенсацію шкоди, заподіяної внаслідок порушення цього права. Громадянам гарантується вільний доступ до інформації про стан довкілля, якість харчових продуктів і товарів побутового призначення, а також право вільно поширювати таку інформацію. Вона не підлягає засекреченню жодним органом чи особою [1]. </w:t>
      </w:r>
    </w:p>
    <w:p w14:paraId="21F818C3"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 xml:space="preserve">Для розуміння повного обсягу вищезазначених прав, необхідно ширше розкрити поняття довкілля, а також, яке саме довкілля може вважатись безпечним для життя та здоров’я людини. </w:t>
      </w:r>
    </w:p>
    <w:p w14:paraId="45DAAB2C"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Поняття довкілля, а також близьке, майже тотожне значення міститься в спеціальному законі «Про охорону навколишнього природного середовища». В згаданому законі міститься термін «навколишнє природне середовище». Під навколишнім природним середовищем розуміється сукупність природних і природно-соціальних умов та процесів (ст. 5) [2].</w:t>
      </w:r>
    </w:p>
    <w:p w14:paraId="70E58D43"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Інакше кажучи, навколишнє природне середовище, тобто довкілля, – це поєднання природних та природно-антропогенних умов і процесів, що оточують людину та формують середовище її існування і діяльності. Ці умови й процеси можуть як сприяти, так і шкодити здоров’ю та життю людини, що дозволяє оцінювати довкілля з позиції його якості [3, с. 381-382].</w:t>
      </w:r>
    </w:p>
    <w:p w14:paraId="3169366E"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 xml:space="preserve">У загальному розумінні безпечним вважається таке довкілля, яке не завдає шкоди здоров’ю людини. Більш конкретне тлумачення цього поняття пов’язане з певними критеріями, що визначають безпечність навколишнього середовища для життя і здоров’я. Такими критеріями виступають екологічні нормативи, які закріплені на законодавчому рівні. Критеріями оцінки стану довкілля та безпеки життєдіяльності людини слугують екологічні нормативи, що мають юридичну силу та закріплені у національному законодавстві. До таких нормативів відносяться показники, які визначають допустимі рівні </w:t>
      </w:r>
      <w:r w:rsidRPr="00511005">
        <w:rPr>
          <w:rFonts w:ascii="Arial" w:eastAsia="Times New Roman" w:hAnsi="Arial" w:cs="Arial"/>
          <w:szCs w:val="28"/>
          <w:lang w:val="uk-UA"/>
        </w:rPr>
        <w:lastRenderedPageBreak/>
        <w:t>шкідливих речовин у природному середовищі – зокрема, у повітрі, водних об’єктах і ґрунтах. Також до них належать гранично допустимі рівні фізичних впливів, зокрема шуму, електромагнітного та радіаційного випромінювання, що можуть загрожувати здоров’ю людини. Окрему категорію становлять нормативи, що регулюють допустимий вміст небезпечних речовин у харчових продуктах.</w:t>
      </w:r>
    </w:p>
    <w:p w14:paraId="2C59F3CD"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Ці екологічні стандарти є основою для здійснення екологічного контролю, санітарного нагляду та державного регулювання у сфері охорони навколишнього середовища. Їх дотримання є важливою передумовою для забезпечення екологічної безпеки населення та сталого розвитку.</w:t>
      </w:r>
    </w:p>
    <w:p w14:paraId="11EAD126"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Також, норми щодо викидів і скидів небезпечних хімічних речовин у довкілля. Окрім цього, законодавство України може передбачати й інші види екологічних нормативів. Якщо стан навколишнього середовища відповідає цим нормативам, воно вважається безпечним, а якщо не відповідає – небезпечним для здоров’я і життя людини. Таким чином, право кожного громадянина на безпечне для життя і здоров’я довкілля означає, що він має право вимагати від уповноважених органів дотримання чинних екологічно-правових норм.</w:t>
      </w:r>
    </w:p>
    <w:p w14:paraId="786651D4"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Недотримання встановлених екологічних нормативів є підставою для відшкодування шкоди, завданої порушенням права людини на безпечне для життя і здоров’я довкілля, як це передбачено частиною 1 статті 50 Конституції України. Відшкодування такої шкоди здійснюється відповідно до положень Цивільного кодексу України. Окрім того, за такі порушення можуть бути застосовані заходи адміністративної або кримінальної відповідальності. Цей вид відповідальності визначається положеннями Кодексу України про адміністративні правопорушення (глава «Адміністративні правопорушення у сфері охорони природи, використання природних ресурсів та збереження пам’яток історії і культури»), а кримінальна відповідальність – нормами Кримінального кодексу України (розділ «Злочини проти довкілля»).</w:t>
      </w:r>
    </w:p>
    <w:p w14:paraId="085E269C"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Особливе значення має інформація про стан довкілля. Конституція закріплює і гарантує, по-перше, право громадян на вільний доступ до інформації про стан навколишнього середовища, а також про якість продуктів харчування та предметів побутового вжитку. По-друге, вона гарантує право на поширення такої інформації. Джерелами цієї інформації можуть бути як офіційні документи та інші носії, так і повідомлення у засобах масової інформації, публічні виступи тощо. Вільний доступ передбачає, що громадяни можуть ознайомлюватися з цими джерелами без необхідності отримання спеціальних дозволів.</w:t>
      </w:r>
    </w:p>
    <w:p w14:paraId="1EFBD410"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 xml:space="preserve">Питання отримання, використання, розповсюдження та зберігання екологічної інформації в Україні врегульоване законами «Про інформацію» та «Про доступ до публічної інформації». Органи державної влади та </w:t>
      </w:r>
      <w:r w:rsidRPr="00511005">
        <w:rPr>
          <w:rFonts w:ascii="Arial" w:eastAsia="Times New Roman" w:hAnsi="Arial" w:cs="Arial"/>
          <w:szCs w:val="28"/>
          <w:lang w:val="uk-UA"/>
        </w:rPr>
        <w:lastRenderedPageBreak/>
        <w:t>місцевого самоврядування зобов’язані інформувати населення про свою діяльність і прийняті рішення, а також створювати у відповідних установах спеціалізовані інформаційні системи чи служби, які згідно з чинними нормами забезпечують доступ до екологічної інформації [4]. Міністерство захисту довкілля та природних ресурсів України, його регіональні підрозділи та інші уповноважені державні органи щорічно формують і подають до Верховної Ради України Національну доповідь про стан довкілля. Крім того, саме вони відповідають за надання екологічної інформації як громадянам, так і юридичним особам.</w:t>
      </w:r>
    </w:p>
    <w:p w14:paraId="3E0335CA"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Міністерство захисту довкілля та природних ресурсів України, його територіальні органи, а також інші спеціально уповноважені державні установи зобов’язані щороку готувати та подавати до Верховної Ради України Національну доповідь про стан навколишнього середовища в країні. Крім того, вони відповідають за надання екологічної інформації громадянам і юридичним особам.</w:t>
      </w:r>
    </w:p>
    <w:p w14:paraId="1C336745" w14:textId="77777777" w:rsidR="00200E87" w:rsidRPr="00511005" w:rsidRDefault="00200E87" w:rsidP="003A292D">
      <w:pPr>
        <w:spacing w:line="264" w:lineRule="auto"/>
        <w:ind w:firstLine="560"/>
        <w:rPr>
          <w:rFonts w:ascii="Arial" w:eastAsia="Times New Roman" w:hAnsi="Arial" w:cs="Arial"/>
          <w:szCs w:val="28"/>
          <w:lang w:val="uk-UA"/>
        </w:rPr>
      </w:pPr>
      <w:r w:rsidRPr="00511005">
        <w:rPr>
          <w:rFonts w:ascii="Arial" w:eastAsia="Times New Roman" w:hAnsi="Arial" w:cs="Arial"/>
          <w:szCs w:val="28"/>
          <w:lang w:val="uk-UA"/>
        </w:rPr>
        <w:t>Таким чином, право на безпечне для життя і здоров’я довкілля є фундаментальним екологічним правом громадянина, гарантованим Конституцією України. Його реалізація передбачає як нормативне забезпечення екологічної безпеки, так і вільний доступ до екологічної інформації. Дотримання екологічних стандартів, ефективна діяльність уповноважених органів і прозора інформаційна політика є ключовими чинниками у захисті цього права та формуванні екологічно відповідального суспільства. Особливої ваги набуває поінформованість громадськості, що дозволяє здійснювати екологічний контроль та впливати на екологічну політику держави. Таким чином, екологічні права виступають не лише юридичною нормою, а й практичним інструментом для захисту здоров’я людини та сталого розвитку суспільства.</w:t>
      </w:r>
    </w:p>
    <w:p w14:paraId="7B0D7038" w14:textId="77777777" w:rsidR="00200E87" w:rsidRPr="00511005" w:rsidRDefault="00200E87" w:rsidP="003A292D">
      <w:pPr>
        <w:spacing w:line="264" w:lineRule="auto"/>
        <w:ind w:firstLine="560"/>
        <w:rPr>
          <w:rFonts w:ascii="Arial" w:eastAsia="Times New Roman" w:hAnsi="Arial" w:cs="Arial"/>
          <w:b/>
          <w:iCs/>
          <w:szCs w:val="28"/>
          <w:lang w:val="uk-UA"/>
        </w:rPr>
      </w:pPr>
    </w:p>
    <w:p w14:paraId="4D971059" w14:textId="639CB000" w:rsidR="00200E87" w:rsidRPr="00511005" w:rsidRDefault="007B2628" w:rsidP="007B2628">
      <w:pPr>
        <w:spacing w:line="264" w:lineRule="auto"/>
        <w:ind w:firstLine="560"/>
        <w:jc w:val="center"/>
        <w:rPr>
          <w:rFonts w:ascii="Arial" w:eastAsia="Times New Roman" w:hAnsi="Arial" w:cs="Arial"/>
          <w:b/>
          <w:iCs/>
          <w:szCs w:val="28"/>
          <w:lang w:val="uk-UA"/>
        </w:rPr>
      </w:pPr>
      <w:r w:rsidRPr="00511005">
        <w:rPr>
          <w:rFonts w:ascii="Arial" w:eastAsia="Times New Roman" w:hAnsi="Arial" w:cs="Arial"/>
          <w:b/>
          <w:iCs/>
          <w:szCs w:val="28"/>
          <w:lang w:val="uk-UA"/>
        </w:rPr>
        <w:t>Список використаних джерел</w:t>
      </w:r>
    </w:p>
    <w:p w14:paraId="375B17D9" w14:textId="77777777" w:rsidR="00200E87" w:rsidRPr="00511005" w:rsidRDefault="00200E87" w:rsidP="003A292D">
      <w:pPr>
        <w:spacing w:line="264" w:lineRule="auto"/>
        <w:ind w:firstLine="560"/>
        <w:rPr>
          <w:rFonts w:ascii="Arial" w:eastAsia="Times New Roman" w:hAnsi="Arial" w:cs="Arial"/>
          <w:szCs w:val="28"/>
          <w:lang w:val="uk-UA" w:eastAsia="ru-RU"/>
        </w:rPr>
      </w:pP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 xml:space="preserve"> Конституція України: прийнята 28 червня 1996 року. </w:t>
      </w:r>
      <w:r w:rsidRPr="00511005">
        <w:rPr>
          <w:rFonts w:ascii="Arial" w:eastAsia="Times New Roman" w:hAnsi="Arial" w:cs="Arial"/>
          <w:i/>
          <w:iCs/>
          <w:szCs w:val="28"/>
          <w:lang w:val="uk-UA" w:eastAsia="ru-RU"/>
        </w:rPr>
        <w:t>Відомості Верховної Ради України</w:t>
      </w:r>
      <w:r w:rsidRPr="00511005">
        <w:rPr>
          <w:rFonts w:ascii="Arial" w:eastAsia="Times New Roman" w:hAnsi="Arial" w:cs="Arial"/>
          <w:szCs w:val="28"/>
          <w:lang w:val="uk-UA" w:eastAsia="ru-RU"/>
        </w:rPr>
        <w:t>. 1996. № 30. Ст. 141.</w:t>
      </w:r>
    </w:p>
    <w:p w14:paraId="3CAEC0CA" w14:textId="77777777" w:rsidR="00200E87" w:rsidRPr="00511005" w:rsidRDefault="00200E87" w:rsidP="003A292D">
      <w:pPr>
        <w:spacing w:line="264" w:lineRule="auto"/>
        <w:ind w:firstLine="56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2. Про охорону навколишнього природного середовища: Закон України від 25 червня 1991 року. </w:t>
      </w:r>
      <w:r w:rsidRPr="00511005">
        <w:rPr>
          <w:rFonts w:ascii="Arial" w:eastAsia="Times New Roman" w:hAnsi="Arial" w:cs="Arial"/>
          <w:i/>
          <w:iCs/>
          <w:szCs w:val="28"/>
          <w:lang w:val="uk-UA" w:eastAsia="ru-RU"/>
        </w:rPr>
        <w:t>Відомості Верховної Ради України</w:t>
      </w:r>
      <w:r w:rsidRPr="00511005">
        <w:rPr>
          <w:rFonts w:ascii="Arial" w:eastAsia="Times New Roman" w:hAnsi="Arial" w:cs="Arial"/>
          <w:szCs w:val="28"/>
          <w:lang w:val="uk-UA" w:eastAsia="ru-RU"/>
        </w:rPr>
        <w:t>. 1991. № 41. Ст. 546.</w:t>
      </w:r>
    </w:p>
    <w:p w14:paraId="1726E0E0" w14:textId="77777777" w:rsidR="00200E87" w:rsidRPr="00511005" w:rsidRDefault="00200E87" w:rsidP="003A292D">
      <w:pPr>
        <w:spacing w:line="264" w:lineRule="auto"/>
        <w:ind w:firstLine="560"/>
        <w:rPr>
          <w:rFonts w:ascii="Arial" w:eastAsia="Times New Roman" w:hAnsi="Arial" w:cs="Arial"/>
          <w:szCs w:val="28"/>
          <w:lang w:val="uk-UA" w:eastAsia="ru-RU"/>
        </w:rPr>
      </w:pPr>
      <w:r w:rsidRPr="00511005">
        <w:rPr>
          <w:rFonts w:ascii="Arial" w:eastAsia="Times New Roman" w:hAnsi="Arial" w:cs="Arial"/>
          <w:szCs w:val="28"/>
          <w:lang w:val="uk-UA" w:eastAsia="ru-RU"/>
        </w:rPr>
        <w:t>3. Конституція України. Науково-практичний коментар / редкол.: В.Я. Тацій (голова редкол.), О. В. Петришин (відп. секретар), Ю. Г. Барабаш та ін. ; Нац. акад. прав. наук України. 2-ге вид., переробл. і допов. Х. : Право, 2011. 1128 с.</w:t>
      </w:r>
    </w:p>
    <w:p w14:paraId="498D9C89" w14:textId="77777777" w:rsidR="00200E87" w:rsidRPr="00511005" w:rsidRDefault="00200E87" w:rsidP="003A292D">
      <w:pPr>
        <w:spacing w:line="264" w:lineRule="auto"/>
        <w:ind w:firstLine="56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4. Про доступ до публічної інформації: Закон України від 13 січня 2011 року. </w:t>
      </w:r>
      <w:r w:rsidRPr="00511005">
        <w:rPr>
          <w:rFonts w:ascii="Arial" w:eastAsia="Times New Roman" w:hAnsi="Arial" w:cs="Arial"/>
          <w:i/>
          <w:iCs/>
          <w:szCs w:val="28"/>
          <w:lang w:val="uk-UA" w:eastAsia="ru-RU"/>
        </w:rPr>
        <w:t>Відомості Верховної Ради України</w:t>
      </w:r>
      <w:r w:rsidRPr="00511005">
        <w:rPr>
          <w:rFonts w:ascii="Arial" w:eastAsia="Times New Roman" w:hAnsi="Arial" w:cs="Arial"/>
          <w:szCs w:val="28"/>
          <w:lang w:val="uk-UA" w:eastAsia="ru-RU"/>
        </w:rPr>
        <w:t>. 2011. № 32. Ст.314.</w:t>
      </w:r>
    </w:p>
    <w:p w14:paraId="58BAFF39" w14:textId="77777777" w:rsidR="00200E87" w:rsidRPr="00511005" w:rsidRDefault="00200E87" w:rsidP="003A292D">
      <w:pPr>
        <w:spacing w:line="264" w:lineRule="auto"/>
        <w:ind w:firstLine="560"/>
        <w:rPr>
          <w:rFonts w:ascii="Arial" w:eastAsia="Times New Roman" w:hAnsi="Arial" w:cs="Arial"/>
          <w:szCs w:val="28"/>
          <w:lang w:val="uk-UA" w:eastAsia="ru-RU"/>
        </w:rPr>
      </w:pPr>
    </w:p>
    <w:p w14:paraId="18DE042D" w14:textId="4CCBF6A5" w:rsidR="00200E87" w:rsidRPr="00511005" w:rsidRDefault="007B2628" w:rsidP="003A292D">
      <w:pPr>
        <w:spacing w:line="264" w:lineRule="auto"/>
        <w:ind w:firstLine="560"/>
        <w:rPr>
          <w:rFonts w:ascii="Arial" w:eastAsia="Times New Roman" w:hAnsi="Arial" w:cs="Arial"/>
          <w:bCs/>
          <w:szCs w:val="28"/>
          <w:lang w:val="uk-UA" w:eastAsia="ru-RU"/>
        </w:rPr>
      </w:pPr>
      <w:r w:rsidRPr="00511005">
        <w:rPr>
          <w:rFonts w:ascii="Arial" w:eastAsia="Times New Roman" w:hAnsi="Arial" w:cs="Arial"/>
          <w:b/>
          <w:i/>
          <w:szCs w:val="28"/>
          <w:lang w:val="uk-UA" w:eastAsia="ru-RU"/>
        </w:rPr>
        <w:lastRenderedPageBreak/>
        <w:t xml:space="preserve">Ключові слова: </w:t>
      </w:r>
      <w:r w:rsidR="00200E87" w:rsidRPr="00511005">
        <w:rPr>
          <w:rFonts w:ascii="Arial" w:eastAsia="Times New Roman" w:hAnsi="Arial" w:cs="Arial"/>
          <w:bCs/>
          <w:szCs w:val="28"/>
          <w:lang w:val="uk-UA" w:eastAsia="ru-RU"/>
        </w:rPr>
        <w:t>навколишнє природне середовище, екологічні стандарти, інформація про стан довкілля, екологічний контроль, право на безпечне для життя і здоров’я довкілля.</w:t>
      </w:r>
    </w:p>
    <w:p w14:paraId="1852FD5B" w14:textId="2059071A" w:rsidR="00200E87" w:rsidRPr="00511005" w:rsidRDefault="007B2628" w:rsidP="003A292D">
      <w:pPr>
        <w:spacing w:line="264" w:lineRule="auto"/>
        <w:ind w:firstLine="560"/>
        <w:rPr>
          <w:rFonts w:ascii="Arial" w:eastAsia="Times New Roman" w:hAnsi="Arial" w:cs="Arial"/>
          <w:bCs/>
          <w:szCs w:val="28"/>
          <w:lang w:val="uk-UA"/>
        </w:rPr>
      </w:pPr>
      <w:r w:rsidRPr="00511005">
        <w:rPr>
          <w:rFonts w:ascii="Arial" w:eastAsia="Times New Roman" w:hAnsi="Arial" w:cs="Arial"/>
          <w:b/>
          <w:i/>
          <w:szCs w:val="28"/>
          <w:lang w:val="uk-UA"/>
        </w:rPr>
        <w:t xml:space="preserve">Key words: </w:t>
      </w:r>
      <w:r w:rsidR="00200E87" w:rsidRPr="00511005">
        <w:rPr>
          <w:rFonts w:ascii="Arial" w:eastAsia="Times New Roman" w:hAnsi="Arial" w:cs="Arial"/>
          <w:bCs/>
          <w:szCs w:val="28"/>
          <w:lang w:val="en-US"/>
        </w:rPr>
        <w:t>natural environment</w:t>
      </w:r>
      <w:r w:rsidR="00200E87" w:rsidRPr="00511005">
        <w:rPr>
          <w:rFonts w:ascii="Arial" w:eastAsia="Times New Roman" w:hAnsi="Arial" w:cs="Arial"/>
          <w:bCs/>
          <w:szCs w:val="28"/>
          <w:lang w:val="uk-UA"/>
        </w:rPr>
        <w:t xml:space="preserve">, </w:t>
      </w:r>
      <w:r w:rsidR="00200E87" w:rsidRPr="00511005">
        <w:rPr>
          <w:rFonts w:ascii="Arial" w:eastAsia="Times New Roman" w:hAnsi="Arial" w:cs="Arial"/>
          <w:bCs/>
          <w:szCs w:val="28"/>
          <w:lang w:val="en-US"/>
        </w:rPr>
        <w:t>environmental standards</w:t>
      </w:r>
      <w:r w:rsidR="00200E87" w:rsidRPr="00511005">
        <w:rPr>
          <w:rFonts w:ascii="Arial" w:eastAsia="Times New Roman" w:hAnsi="Arial" w:cs="Arial"/>
          <w:bCs/>
          <w:szCs w:val="28"/>
          <w:lang w:val="uk-UA"/>
        </w:rPr>
        <w:t xml:space="preserve">, </w:t>
      </w:r>
      <w:r w:rsidR="00200E87" w:rsidRPr="00511005">
        <w:rPr>
          <w:rFonts w:ascii="Arial" w:eastAsia="Times New Roman" w:hAnsi="Arial" w:cs="Arial"/>
          <w:bCs/>
          <w:szCs w:val="28"/>
          <w:lang w:val="en-US"/>
        </w:rPr>
        <w:t>information on the state of the environment</w:t>
      </w:r>
      <w:r w:rsidR="00200E87" w:rsidRPr="00511005">
        <w:rPr>
          <w:rFonts w:ascii="Arial" w:eastAsia="Times New Roman" w:hAnsi="Arial" w:cs="Arial"/>
          <w:bCs/>
          <w:szCs w:val="28"/>
          <w:lang w:val="uk-UA"/>
        </w:rPr>
        <w:t xml:space="preserve">, </w:t>
      </w:r>
      <w:r w:rsidR="00200E87" w:rsidRPr="00511005">
        <w:rPr>
          <w:rFonts w:ascii="Arial" w:eastAsia="Times New Roman" w:hAnsi="Arial" w:cs="Arial"/>
          <w:bCs/>
          <w:szCs w:val="28"/>
          <w:lang w:val="en-US"/>
        </w:rPr>
        <w:t>environmental control</w:t>
      </w:r>
      <w:r w:rsidR="00200E87" w:rsidRPr="00511005">
        <w:rPr>
          <w:rFonts w:ascii="Arial" w:eastAsia="Times New Roman" w:hAnsi="Arial" w:cs="Arial"/>
          <w:bCs/>
          <w:szCs w:val="28"/>
          <w:lang w:val="uk-UA"/>
        </w:rPr>
        <w:t xml:space="preserve">, </w:t>
      </w:r>
      <w:r w:rsidR="00200E87" w:rsidRPr="00511005">
        <w:rPr>
          <w:rFonts w:ascii="Arial" w:eastAsia="Times New Roman" w:hAnsi="Arial" w:cs="Arial"/>
          <w:bCs/>
          <w:szCs w:val="28"/>
          <w:lang w:val="en-US"/>
        </w:rPr>
        <w:t>right to an environment safe for life and health</w:t>
      </w:r>
      <w:r w:rsidR="00200E87" w:rsidRPr="00511005">
        <w:rPr>
          <w:rFonts w:ascii="Arial" w:eastAsia="Times New Roman" w:hAnsi="Arial" w:cs="Arial"/>
          <w:bCs/>
          <w:szCs w:val="28"/>
          <w:lang w:val="uk-UA"/>
        </w:rPr>
        <w:t>.</w:t>
      </w:r>
    </w:p>
    <w:p w14:paraId="42CE38B7" w14:textId="693BC112" w:rsidR="00200E87" w:rsidRPr="00511005" w:rsidRDefault="007B2628" w:rsidP="003A292D">
      <w:pPr>
        <w:spacing w:line="264" w:lineRule="auto"/>
        <w:ind w:firstLine="560"/>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00E87" w:rsidRPr="00511005">
        <w:rPr>
          <w:rFonts w:ascii="Arial" w:eastAsia="Times New Roman" w:hAnsi="Arial" w:cs="Arial"/>
          <w:bCs/>
          <w:i/>
          <w:iCs/>
          <w:szCs w:val="28"/>
          <w:lang w:val="uk-UA" w:eastAsia="ru-RU"/>
        </w:rPr>
        <w:t>к.ю.н., доцент Чумаченко І.Є.</w:t>
      </w:r>
    </w:p>
    <w:p w14:paraId="7C62A835" w14:textId="77777777" w:rsidR="00200E87" w:rsidRPr="00511005" w:rsidRDefault="00200E87" w:rsidP="003A292D">
      <w:pPr>
        <w:keepNext/>
        <w:spacing w:line="264" w:lineRule="auto"/>
        <w:ind w:firstLine="540"/>
        <w:rPr>
          <w:rFonts w:ascii="Arial" w:eastAsia="Times New Roman" w:hAnsi="Arial" w:cs="Arial"/>
          <w:b/>
          <w:i/>
          <w:szCs w:val="28"/>
          <w:lang w:val="uk-UA" w:eastAsia="ru-RU"/>
        </w:rPr>
      </w:pPr>
    </w:p>
    <w:p w14:paraId="6FDBF063" w14:textId="77777777" w:rsidR="00200E87" w:rsidRPr="00511005" w:rsidRDefault="00200E87"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Іскра Єлизавета Сергіївна</w:t>
      </w:r>
    </w:p>
    <w:p w14:paraId="63A1FEF9" w14:textId="6513C3D8" w:rsidR="00200E87"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4-го курсу </w:t>
      </w:r>
      <w:r w:rsidR="007B2628" w:rsidRPr="00511005">
        <w:rPr>
          <w:rFonts w:ascii="Arial" w:eastAsia="Times New Roman" w:hAnsi="Arial" w:cs="Arial"/>
          <w:szCs w:val="28"/>
          <w:lang w:val="uk-UA"/>
        </w:rPr>
        <w:t>факультету цивільної та господарської юстиції</w:t>
      </w:r>
      <w:r w:rsidR="00200E87" w:rsidRPr="00511005">
        <w:rPr>
          <w:rFonts w:ascii="Arial" w:eastAsia="Times New Roman" w:hAnsi="Arial" w:cs="Arial"/>
          <w:szCs w:val="28"/>
          <w:lang w:val="uk-UA"/>
        </w:rPr>
        <w:br/>
      </w:r>
      <w:r w:rsidR="007B2628" w:rsidRPr="00511005">
        <w:rPr>
          <w:rFonts w:ascii="Arial" w:eastAsia="Times New Roman" w:hAnsi="Arial" w:cs="Arial"/>
          <w:szCs w:val="28"/>
          <w:lang w:val="uk-UA"/>
        </w:rPr>
        <w:t>Національного університету «Одеська юридична академія»</w:t>
      </w:r>
    </w:p>
    <w:p w14:paraId="58BF7DC8" w14:textId="77777777" w:rsidR="00200E87" w:rsidRPr="00511005" w:rsidRDefault="00200E87" w:rsidP="003A292D">
      <w:pPr>
        <w:spacing w:line="264" w:lineRule="auto"/>
        <w:ind w:firstLine="0"/>
        <w:jc w:val="left"/>
        <w:rPr>
          <w:rFonts w:ascii="Arial" w:eastAsia="Times New Roman" w:hAnsi="Arial" w:cs="Arial"/>
          <w:b/>
          <w:szCs w:val="28"/>
        </w:rPr>
      </w:pPr>
    </w:p>
    <w:p w14:paraId="45494E01" w14:textId="77777777" w:rsidR="00200E87" w:rsidRPr="00511005" w:rsidRDefault="00200E87" w:rsidP="003A292D">
      <w:pPr>
        <w:spacing w:line="264" w:lineRule="auto"/>
        <w:ind w:firstLine="0"/>
        <w:jc w:val="center"/>
        <w:rPr>
          <w:rFonts w:ascii="Arial" w:eastAsia="Times New Roman" w:hAnsi="Arial" w:cs="Arial"/>
          <w:b/>
          <w:caps/>
          <w:szCs w:val="28"/>
        </w:rPr>
      </w:pPr>
      <w:r w:rsidRPr="00511005">
        <w:rPr>
          <w:rFonts w:ascii="Arial" w:eastAsia="Times New Roman" w:hAnsi="Arial" w:cs="Arial"/>
          <w:b/>
          <w:caps/>
          <w:szCs w:val="28"/>
        </w:rPr>
        <w:t>Законодавчі ініціативи щодо екологічної реабілітації деокупованих територій</w:t>
      </w:r>
    </w:p>
    <w:p w14:paraId="284248DE" w14:textId="77777777" w:rsidR="00200E87" w:rsidRPr="00511005" w:rsidRDefault="00200E87" w:rsidP="003A292D">
      <w:pPr>
        <w:spacing w:line="264" w:lineRule="auto"/>
        <w:ind w:firstLine="567"/>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Питання екології має цікавити людство чи не найсильніше, оскільки якість життя людей прямо корелює зі станом навколишнього природного середовища. Особливо гостро це питання постає у зв’язку з воєнними діями на території України, оскільки останні мають явний негативний вплив на природне середовище. Саме тому держава в особі уповноважених органів влади та суспільство повинні вже зараз розробляти механізми з відновлення територій, на яких велися або ведуться активні бойові дії, а також тих, які піддаються негативному впливу війни.</w:t>
      </w:r>
    </w:p>
    <w:p w14:paraId="11F23196" w14:textId="77777777" w:rsidR="00200E87" w:rsidRPr="00511005" w:rsidRDefault="00200E87" w:rsidP="003A292D">
      <w:pPr>
        <w:spacing w:line="264" w:lineRule="auto"/>
        <w:ind w:firstLine="567"/>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 xml:space="preserve">Війна завдає величезної шкоди довкіллю, забруднюючи ґрунти, воду та повітря. </w:t>
      </w:r>
      <w:r w:rsidRPr="00511005">
        <w:rPr>
          <w:rFonts w:ascii="Arial" w:eastAsia="Times New Roman" w:hAnsi="Arial" w:cs="Arial"/>
          <w:bCs/>
          <w:szCs w:val="28"/>
          <w:shd w:val="clear" w:color="auto" w:fill="FFFFFF"/>
          <w:lang w:val="uk-UA"/>
        </w:rPr>
        <w:t>Основними проблемами є:</w:t>
      </w:r>
    </w:p>
    <w:p w14:paraId="1364FF2B" w14:textId="77777777" w:rsidR="00200E87" w:rsidRPr="00511005" w:rsidRDefault="00200E87" w:rsidP="003F6A5D">
      <w:pPr>
        <w:numPr>
          <w:ilvl w:val="0"/>
          <w:numId w:val="487"/>
        </w:numPr>
        <w:spacing w:line="264" w:lineRule="auto"/>
        <w:ind w:left="0" w:firstLine="567"/>
        <w:jc w:val="left"/>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забруднення ґрунтів та водних ресурсів вибуховими речовинами, важкими металами та іншими токсичними речовинами (забруднення річки Сіверський Донець через руйнування промислових об’єктів);</w:t>
      </w:r>
    </w:p>
    <w:p w14:paraId="249DC686" w14:textId="77777777" w:rsidR="00200E87" w:rsidRPr="00511005" w:rsidRDefault="00200E87" w:rsidP="003F6A5D">
      <w:pPr>
        <w:numPr>
          <w:ilvl w:val="0"/>
          <w:numId w:val="487"/>
        </w:numPr>
        <w:spacing w:line="264" w:lineRule="auto"/>
        <w:ind w:left="0" w:firstLine="567"/>
        <w:jc w:val="left"/>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знищення лісів та інших природних екосистем (масштабні лісові пожежі в Луганській області внаслідок обстрілів);</w:t>
      </w:r>
    </w:p>
    <w:p w14:paraId="53D5DB78" w14:textId="77777777" w:rsidR="00200E87" w:rsidRPr="00511005" w:rsidRDefault="00200E87" w:rsidP="003F6A5D">
      <w:pPr>
        <w:numPr>
          <w:ilvl w:val="0"/>
          <w:numId w:val="487"/>
        </w:numPr>
        <w:spacing w:line="264" w:lineRule="auto"/>
        <w:ind w:left="0" w:firstLine="567"/>
        <w:jc w:val="left"/>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забруднення повітря внаслідок пожеж та руйнування промислових об’єктів;</w:t>
      </w:r>
    </w:p>
    <w:p w14:paraId="4E516DCC" w14:textId="77777777" w:rsidR="00200E87" w:rsidRPr="00511005" w:rsidRDefault="00200E87" w:rsidP="003F6A5D">
      <w:pPr>
        <w:numPr>
          <w:ilvl w:val="0"/>
          <w:numId w:val="487"/>
        </w:numPr>
        <w:spacing w:line="264" w:lineRule="auto"/>
        <w:ind w:left="0" w:firstLine="567"/>
        <w:jc w:val="left"/>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ризик радіоактивного забруднення через бойові дії в зоні відчуження Чорнобильської АЕС;</w:t>
      </w:r>
    </w:p>
    <w:p w14:paraId="24EE17D5" w14:textId="77777777" w:rsidR="00200E87" w:rsidRPr="00511005" w:rsidRDefault="00200E87" w:rsidP="003F6A5D">
      <w:pPr>
        <w:numPr>
          <w:ilvl w:val="0"/>
          <w:numId w:val="487"/>
        </w:numPr>
        <w:spacing w:line="264" w:lineRule="auto"/>
        <w:ind w:left="0" w:firstLine="567"/>
        <w:jc w:val="left"/>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мінування великих площ, що ускладнює проведення робіт з екологічної реабілітації.</w:t>
      </w:r>
    </w:p>
    <w:p w14:paraId="5D150F5C" w14:textId="77777777" w:rsidR="00200E87" w:rsidRPr="00511005" w:rsidRDefault="00200E87" w:rsidP="003A292D">
      <w:pPr>
        <w:spacing w:line="264" w:lineRule="auto"/>
        <w:ind w:firstLine="567"/>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 xml:space="preserve">Наразі можна простежити певні кроки, які спрямовані на вирішення проблем, спричинених війною для екології України. Передусім варто звернути увагу на Постанову КМУ №524 від 23.05.2023 р., яка започаткувала експериментальний проект щодо створення резерву працівників державних органів для роботи на деокупованих територіях. Метою створення такого резерву є залучення фахівців для відновлення і реабілітації звільнених </w:t>
      </w:r>
      <w:r w:rsidRPr="00511005">
        <w:rPr>
          <w:rFonts w:ascii="Arial" w:eastAsia="Times New Roman" w:hAnsi="Arial" w:cs="Arial"/>
          <w:szCs w:val="28"/>
          <w:shd w:val="clear" w:color="auto" w:fill="FFFFFF"/>
          <w:lang w:val="uk-UA"/>
        </w:rPr>
        <w:lastRenderedPageBreak/>
        <w:t xml:space="preserve">регіонів, зокрема це стосується подолання екологічних наслідків війни на місцевості [1]. </w:t>
      </w:r>
    </w:p>
    <w:p w14:paraId="0BFB131E" w14:textId="77777777" w:rsidR="00200E87" w:rsidRPr="00511005" w:rsidRDefault="00200E87" w:rsidP="003A292D">
      <w:pPr>
        <w:spacing w:line="264" w:lineRule="auto"/>
        <w:ind w:firstLine="567"/>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Під час перебування делегації Комітету з екологічної політики та природокористування в Естонії серед обговорюваних питань було і збереження лісових насаджень, зокрема тих, що наразі знаходяться під окупацією. Окремо було вказано, що з 24 лютого 2022 року воєнні дії призвели до ураження майже третини лісового фонду різного ступеня тяжкості. За попередніми розрахунками, на окупованих землях повністю втрачено понад 60 тисяч гектарів лісів. Однак всебічна оцінка завданої шкоди лісам на цих територіях ускладнена через їх забруднення вибухонебезпечними предметами [2].</w:t>
      </w:r>
    </w:p>
    <w:p w14:paraId="3A191F72" w14:textId="77777777" w:rsidR="00200E87" w:rsidRPr="00511005" w:rsidRDefault="00200E87" w:rsidP="003A292D">
      <w:pPr>
        <w:spacing w:line="264" w:lineRule="auto"/>
        <w:ind w:firstLine="567"/>
        <w:rPr>
          <w:rFonts w:ascii="Arial" w:eastAsia="Times New Roman" w:hAnsi="Arial" w:cs="Arial"/>
          <w:kern w:val="2"/>
          <w:szCs w:val="28"/>
          <w:shd w:val="clear" w:color="auto" w:fill="FFFFFF"/>
          <w:lang w:val="uk-UA" w:eastAsia="uk-UA"/>
        </w:rPr>
      </w:pPr>
      <w:r w:rsidRPr="00511005">
        <w:rPr>
          <w:rFonts w:ascii="Arial" w:eastAsia="Times New Roman" w:hAnsi="Arial" w:cs="Arial"/>
          <w:kern w:val="2"/>
          <w:szCs w:val="28"/>
          <w:shd w:val="clear" w:color="auto" w:fill="FFFFFF"/>
          <w:lang w:val="uk-UA" w:eastAsia="uk-UA"/>
        </w:rPr>
        <w:t>Окрім того, правовими приписами Закону України «Про управління відходами» врегульовано проблеми, пов’язані з відходами, що є наслідком російської військової агресії проти України, зокрема, такими як залишки зруйнованих будівель, предмети, що знаходилися всередині, металеві відходи та інші подібні матеріали [3]. Такі об’єкти можуть становити загрозу навколишньому природному середовищу, життю і здоров’ю людини, тому це є важливим аспектом для екологічної реабілітації.</w:t>
      </w:r>
    </w:p>
    <w:p w14:paraId="70D81F12" w14:textId="77777777" w:rsidR="00200E87" w:rsidRPr="00511005" w:rsidRDefault="00200E87" w:rsidP="003A292D">
      <w:pPr>
        <w:spacing w:line="264" w:lineRule="auto"/>
        <w:ind w:firstLine="567"/>
        <w:rPr>
          <w:rFonts w:ascii="Arial" w:eastAsia="Times New Roman" w:hAnsi="Arial" w:cs="Arial"/>
          <w:kern w:val="2"/>
          <w:szCs w:val="28"/>
          <w:shd w:val="clear" w:color="auto" w:fill="FFFFFF"/>
          <w:lang w:val="uk-UA" w:eastAsia="uk-UA"/>
        </w:rPr>
      </w:pPr>
      <w:r w:rsidRPr="00511005">
        <w:rPr>
          <w:rFonts w:ascii="Arial" w:eastAsia="Times New Roman" w:hAnsi="Arial" w:cs="Arial"/>
          <w:kern w:val="2"/>
          <w:szCs w:val="28"/>
          <w:shd w:val="clear" w:color="auto" w:fill="FFFFFF"/>
          <w:lang w:val="uk-UA" w:eastAsia="uk-UA"/>
        </w:rPr>
        <w:t>Дані кроки можна вважати початком на шляху до відновлення екологічно уражених територій, проте, на жаль, процес відновлення природного середовища дуже тривалий і наявних механізмів не достатньо. Зважаючи, що Україна не єдина держава, яка зіштовхнулась з такою проблемою, є можливість звернути увагу на досвід інших країн, зокрема: створення «зелених коридорів» для евакуації тварин з зон бойових дій (досвід Сирії), впровадження екологічно безпечних методів утилізації військових відходів (досвід НАТО), розробка систем раннього попередження про екологічні загрози в зонах конфлікту (досвід Іраку).</w:t>
      </w:r>
    </w:p>
    <w:p w14:paraId="2E2CDA65" w14:textId="77777777" w:rsidR="00200E87" w:rsidRPr="00511005" w:rsidRDefault="00200E87" w:rsidP="003A292D">
      <w:pPr>
        <w:spacing w:line="264" w:lineRule="auto"/>
        <w:ind w:firstLine="567"/>
        <w:rPr>
          <w:rFonts w:ascii="Arial" w:eastAsia="Times New Roman" w:hAnsi="Arial" w:cs="Arial"/>
          <w:kern w:val="2"/>
          <w:szCs w:val="28"/>
          <w:shd w:val="clear" w:color="auto" w:fill="FFFFFF"/>
          <w:lang w:val="uk-UA" w:eastAsia="uk-UA"/>
        </w:rPr>
      </w:pPr>
      <w:r w:rsidRPr="00511005">
        <w:rPr>
          <w:rFonts w:ascii="Arial" w:eastAsia="Times New Roman" w:hAnsi="Arial" w:cs="Arial"/>
          <w:kern w:val="2"/>
          <w:szCs w:val="28"/>
          <w:shd w:val="clear" w:color="auto" w:fill="FFFFFF"/>
          <w:lang w:val="uk-UA" w:eastAsia="uk-UA"/>
        </w:rPr>
        <w:t>Підсумовуючи викладене вище, можна зробити висновок, що Україна перебуває на шляху до створення дієвих механізмів для екологічної реабілітації деокупованих, в тому числі в результаті воєнних дій, територій. За умови прийняття ефективних законодавчих ініціатив та залучення міжнародної допомоги, можливо відновити деокуповані території і їх екологічний стан та забезпечити екологічну безпеку для своїх громадян.</w:t>
      </w:r>
    </w:p>
    <w:p w14:paraId="09C31B0D" w14:textId="77777777" w:rsidR="00200E87" w:rsidRPr="00511005" w:rsidRDefault="00200E87" w:rsidP="003A292D">
      <w:pPr>
        <w:spacing w:line="264" w:lineRule="auto"/>
        <w:ind w:firstLine="567"/>
        <w:jc w:val="center"/>
        <w:rPr>
          <w:rFonts w:ascii="Arial" w:eastAsia="Times New Roman" w:hAnsi="Arial" w:cs="Arial"/>
          <w:b/>
          <w:szCs w:val="28"/>
          <w:shd w:val="clear" w:color="auto" w:fill="FFFFFF"/>
          <w:lang w:val="uk-UA"/>
        </w:rPr>
      </w:pPr>
    </w:p>
    <w:p w14:paraId="1CF18AB5" w14:textId="0CDB7992" w:rsidR="00200E87" w:rsidRPr="00511005" w:rsidRDefault="007B2628" w:rsidP="007B2628">
      <w:pPr>
        <w:spacing w:line="264" w:lineRule="auto"/>
        <w:ind w:firstLine="567"/>
        <w:jc w:val="center"/>
        <w:rPr>
          <w:rFonts w:ascii="Arial" w:eastAsia="Times New Roman" w:hAnsi="Arial" w:cs="Arial"/>
          <w:b/>
          <w:szCs w:val="28"/>
          <w:shd w:val="clear" w:color="auto" w:fill="FFFFFF"/>
          <w:lang w:val="uk-UA"/>
        </w:rPr>
      </w:pPr>
      <w:r w:rsidRPr="00511005">
        <w:rPr>
          <w:rFonts w:ascii="Arial" w:eastAsia="Times New Roman" w:hAnsi="Arial" w:cs="Arial"/>
          <w:b/>
          <w:szCs w:val="28"/>
          <w:shd w:val="clear" w:color="auto" w:fill="FFFFFF"/>
          <w:lang w:val="uk-UA"/>
        </w:rPr>
        <w:t>Список використаних джерел</w:t>
      </w:r>
    </w:p>
    <w:p w14:paraId="7962F214" w14:textId="77777777" w:rsidR="00200E87" w:rsidRPr="00511005" w:rsidRDefault="00200E87" w:rsidP="003F6A5D">
      <w:pPr>
        <w:numPr>
          <w:ilvl w:val="0"/>
          <w:numId w:val="476"/>
        </w:numPr>
        <w:spacing w:line="264" w:lineRule="auto"/>
        <w:ind w:left="0" w:firstLine="360"/>
        <w:jc w:val="left"/>
        <w:rPr>
          <w:rFonts w:ascii="Arial" w:eastAsia="Times New Roman" w:hAnsi="Arial" w:cs="Arial"/>
          <w:kern w:val="2"/>
          <w:szCs w:val="28"/>
          <w:shd w:val="clear" w:color="auto" w:fill="FFFFFF"/>
          <w:lang w:val="uk-UA"/>
        </w:rPr>
      </w:pPr>
      <w:r w:rsidRPr="00511005">
        <w:rPr>
          <w:rFonts w:ascii="Arial" w:eastAsia="Times New Roman" w:hAnsi="Arial" w:cs="Arial"/>
          <w:bCs/>
          <w:kern w:val="2"/>
          <w:szCs w:val="28"/>
          <w:shd w:val="clear" w:color="auto" w:fill="FFFFFF"/>
          <w:lang w:val="uk-UA"/>
        </w:rPr>
        <w:t>Про реалізацію експериментального проекту щодо створення резерву працівників державних органів для роботи на деокупованих територіях України</w:t>
      </w:r>
      <w:r w:rsidRPr="00511005">
        <w:rPr>
          <w:rFonts w:ascii="Arial" w:eastAsia="Times New Roman" w:hAnsi="Arial" w:cs="Arial"/>
          <w:kern w:val="2"/>
          <w:szCs w:val="28"/>
          <w:shd w:val="clear" w:color="auto" w:fill="FFFFFF"/>
          <w:lang w:val="uk-UA"/>
        </w:rPr>
        <w:t>: постанова Кабінету Міністрів України від 23.05.2023 року № 524. URL: https://zakon.rada.gov.ua/laws/show/524-2023-%D0%BF#Text.</w:t>
      </w:r>
    </w:p>
    <w:p w14:paraId="63EDEF89" w14:textId="6D238B14" w:rsidR="00200E87" w:rsidRPr="00511005" w:rsidRDefault="00200E87" w:rsidP="003F6A5D">
      <w:pPr>
        <w:numPr>
          <w:ilvl w:val="0"/>
          <w:numId w:val="476"/>
        </w:numPr>
        <w:spacing w:line="264" w:lineRule="auto"/>
        <w:ind w:left="0" w:firstLine="360"/>
        <w:jc w:val="left"/>
        <w:rPr>
          <w:rFonts w:ascii="Arial" w:eastAsia="Times New Roman" w:hAnsi="Arial" w:cs="Arial"/>
          <w:kern w:val="2"/>
          <w:szCs w:val="28"/>
          <w:shd w:val="clear" w:color="auto" w:fill="FFFFFF"/>
          <w:lang w:val="uk-UA" w:eastAsia="uk-UA"/>
        </w:rPr>
      </w:pPr>
      <w:r w:rsidRPr="00511005">
        <w:rPr>
          <w:rFonts w:ascii="Arial" w:eastAsia="Times New Roman" w:hAnsi="Arial" w:cs="Arial"/>
          <w:kern w:val="2"/>
          <w:szCs w:val="28"/>
          <w:shd w:val="clear" w:color="auto" w:fill="FFFFFF"/>
          <w:lang w:val="uk-UA" w:eastAsia="uk-UA"/>
        </w:rPr>
        <w:t>Представники Комітету з питань екологічної політики та природокористування перебувають з візитом в Естонії.</w:t>
      </w:r>
      <w:r w:rsidR="007B2628" w:rsidRPr="00511005">
        <w:rPr>
          <w:rFonts w:ascii="Arial" w:eastAsia="Times New Roman" w:hAnsi="Arial" w:cs="Arial"/>
          <w:kern w:val="2"/>
          <w:szCs w:val="28"/>
          <w:shd w:val="clear" w:color="auto" w:fill="FFFFFF"/>
          <w:lang w:val="uk-UA" w:eastAsia="uk-UA"/>
        </w:rPr>
        <w:t xml:space="preserve"> </w:t>
      </w:r>
      <w:r w:rsidRPr="00511005">
        <w:rPr>
          <w:rFonts w:ascii="Arial" w:eastAsia="Times New Roman" w:hAnsi="Arial" w:cs="Arial"/>
          <w:kern w:val="2"/>
          <w:szCs w:val="28"/>
          <w:shd w:val="clear" w:color="auto" w:fill="FFFFFF"/>
          <w:lang w:val="uk-UA" w:eastAsia="uk-UA"/>
        </w:rPr>
        <w:t>URL: https://www.rada.gov.ua/news/news_kom/256601.html.</w:t>
      </w:r>
    </w:p>
    <w:p w14:paraId="3A0B47CA" w14:textId="77777777" w:rsidR="00200E87" w:rsidRPr="00511005" w:rsidRDefault="00200E87" w:rsidP="003F6A5D">
      <w:pPr>
        <w:numPr>
          <w:ilvl w:val="0"/>
          <w:numId w:val="476"/>
        </w:numPr>
        <w:spacing w:line="264" w:lineRule="auto"/>
        <w:ind w:left="0" w:firstLine="360"/>
        <w:jc w:val="left"/>
        <w:rPr>
          <w:rFonts w:ascii="Arial" w:eastAsia="Times New Roman" w:hAnsi="Arial" w:cs="Arial"/>
          <w:kern w:val="2"/>
          <w:szCs w:val="28"/>
          <w:shd w:val="clear" w:color="auto" w:fill="FFFFFF"/>
          <w:lang w:val="uk-UA" w:eastAsia="uk-UA"/>
        </w:rPr>
      </w:pPr>
      <w:r w:rsidRPr="00511005">
        <w:rPr>
          <w:rFonts w:ascii="Arial" w:eastAsia="Times New Roman" w:hAnsi="Arial" w:cs="Arial"/>
          <w:kern w:val="2"/>
          <w:szCs w:val="28"/>
          <w:shd w:val="clear" w:color="auto" w:fill="FFFFFF"/>
          <w:lang w:val="uk-UA" w:eastAsia="uk-UA"/>
        </w:rPr>
        <w:lastRenderedPageBreak/>
        <w:t xml:space="preserve">Про управління відходами: Закон України від </w:t>
      </w:r>
      <w:r w:rsidRPr="00511005">
        <w:rPr>
          <w:rFonts w:ascii="Arial" w:eastAsia="Times New Roman" w:hAnsi="Arial" w:cs="Arial"/>
          <w:kern w:val="2"/>
          <w:szCs w:val="28"/>
          <w:shd w:val="clear" w:color="auto" w:fill="FFFFFF"/>
          <w:lang w:eastAsia="uk-UA"/>
        </w:rPr>
        <w:t>15</w:t>
      </w:r>
      <w:r w:rsidRPr="00511005">
        <w:rPr>
          <w:rFonts w:ascii="Arial" w:eastAsia="Times New Roman" w:hAnsi="Arial" w:cs="Arial"/>
          <w:kern w:val="2"/>
          <w:szCs w:val="28"/>
          <w:shd w:val="clear" w:color="auto" w:fill="FFFFFF"/>
          <w:lang w:val="uk-UA" w:eastAsia="uk-UA"/>
        </w:rPr>
        <w:t>.1</w:t>
      </w:r>
      <w:r w:rsidRPr="00511005">
        <w:rPr>
          <w:rFonts w:ascii="Arial" w:eastAsia="Times New Roman" w:hAnsi="Arial" w:cs="Arial"/>
          <w:kern w:val="2"/>
          <w:szCs w:val="28"/>
          <w:shd w:val="clear" w:color="auto" w:fill="FFFFFF"/>
          <w:lang w:eastAsia="uk-UA"/>
        </w:rPr>
        <w:t>1</w:t>
      </w:r>
      <w:r w:rsidRPr="00511005">
        <w:rPr>
          <w:rFonts w:ascii="Arial" w:eastAsia="Times New Roman" w:hAnsi="Arial" w:cs="Arial"/>
          <w:kern w:val="2"/>
          <w:szCs w:val="28"/>
          <w:shd w:val="clear" w:color="auto" w:fill="FFFFFF"/>
          <w:lang w:val="uk-UA" w:eastAsia="uk-UA"/>
        </w:rPr>
        <w:t>.</w:t>
      </w:r>
      <w:r w:rsidRPr="00511005">
        <w:rPr>
          <w:rFonts w:ascii="Arial" w:eastAsia="Times New Roman" w:hAnsi="Arial" w:cs="Arial"/>
          <w:kern w:val="2"/>
          <w:szCs w:val="28"/>
          <w:shd w:val="clear" w:color="auto" w:fill="FFFFFF"/>
          <w:lang w:eastAsia="uk-UA"/>
        </w:rPr>
        <w:t>2024</w:t>
      </w:r>
      <w:r w:rsidRPr="00511005">
        <w:rPr>
          <w:rFonts w:ascii="Arial" w:eastAsia="Times New Roman" w:hAnsi="Arial" w:cs="Arial"/>
          <w:kern w:val="2"/>
          <w:szCs w:val="28"/>
          <w:shd w:val="clear" w:color="auto" w:fill="FFFFFF"/>
          <w:lang w:val="uk-UA" w:eastAsia="uk-UA"/>
        </w:rPr>
        <w:t xml:space="preserve"> року. URL:https://zakon.rada.gov.ua/laws/show/2320-20#n366.</w:t>
      </w:r>
    </w:p>
    <w:p w14:paraId="5DCDF53C" w14:textId="77777777" w:rsidR="00200E87" w:rsidRPr="00511005" w:rsidRDefault="00200E87" w:rsidP="003A292D">
      <w:pPr>
        <w:spacing w:line="264" w:lineRule="auto"/>
        <w:ind w:firstLine="567"/>
        <w:rPr>
          <w:rFonts w:ascii="Arial" w:eastAsia="Times New Roman" w:hAnsi="Arial" w:cs="Arial"/>
          <w:b/>
          <w:kern w:val="2"/>
          <w:szCs w:val="28"/>
          <w:shd w:val="clear" w:color="auto" w:fill="FFFFFF"/>
          <w:lang w:val="uk-UA" w:eastAsia="uk-UA"/>
        </w:rPr>
      </w:pPr>
    </w:p>
    <w:p w14:paraId="4145EB5E" w14:textId="7825C326" w:rsidR="00200E87" w:rsidRPr="00511005" w:rsidRDefault="007B2628" w:rsidP="003A292D">
      <w:pPr>
        <w:spacing w:line="264" w:lineRule="auto"/>
        <w:ind w:firstLine="567"/>
        <w:rPr>
          <w:rFonts w:ascii="Arial" w:eastAsia="Times New Roman" w:hAnsi="Arial" w:cs="Arial"/>
          <w:kern w:val="2"/>
          <w:szCs w:val="28"/>
          <w:shd w:val="clear" w:color="auto" w:fill="FFFFFF"/>
          <w:lang w:val="uk-UA" w:eastAsia="uk-UA"/>
        </w:rPr>
      </w:pPr>
      <w:r w:rsidRPr="00511005">
        <w:rPr>
          <w:rFonts w:ascii="Arial" w:eastAsia="Times New Roman" w:hAnsi="Arial" w:cs="Arial"/>
          <w:b/>
          <w:i/>
          <w:kern w:val="2"/>
          <w:szCs w:val="28"/>
          <w:shd w:val="clear" w:color="auto" w:fill="FFFFFF"/>
          <w:lang w:val="uk-UA" w:eastAsia="uk-UA"/>
        </w:rPr>
        <w:t xml:space="preserve">Ключові слова: </w:t>
      </w:r>
      <w:r w:rsidR="00200E87" w:rsidRPr="00511005">
        <w:rPr>
          <w:rFonts w:ascii="Arial" w:eastAsia="Times New Roman" w:hAnsi="Arial" w:cs="Arial"/>
          <w:kern w:val="2"/>
          <w:szCs w:val="28"/>
          <w:shd w:val="clear" w:color="auto" w:fill="FFFFFF"/>
          <w:lang w:val="uk-UA" w:eastAsia="uk-UA"/>
        </w:rPr>
        <w:t>війна, воєнний стан, навколишнє природне середовище, деокуповані території.</w:t>
      </w:r>
    </w:p>
    <w:p w14:paraId="3263568E" w14:textId="3FD60689" w:rsidR="00200E87" w:rsidRPr="00511005" w:rsidRDefault="007B2628" w:rsidP="003A292D">
      <w:pPr>
        <w:spacing w:line="264" w:lineRule="auto"/>
        <w:ind w:firstLine="567"/>
        <w:rPr>
          <w:rFonts w:ascii="Arial" w:eastAsia="Times New Roman" w:hAnsi="Arial" w:cs="Arial"/>
          <w:bCs/>
          <w:kern w:val="2"/>
          <w:szCs w:val="28"/>
          <w:shd w:val="clear" w:color="auto" w:fill="FFFFFF"/>
          <w:lang w:val="uk-UA" w:eastAsia="uk-UA"/>
        </w:rPr>
      </w:pPr>
      <w:r w:rsidRPr="00511005">
        <w:rPr>
          <w:rFonts w:ascii="Arial" w:eastAsia="Times New Roman" w:hAnsi="Arial" w:cs="Arial"/>
          <w:b/>
          <w:i/>
          <w:kern w:val="2"/>
          <w:szCs w:val="28"/>
          <w:shd w:val="clear" w:color="auto" w:fill="FFFFFF"/>
          <w:lang w:val="en-US" w:eastAsia="uk-UA"/>
        </w:rPr>
        <w:t xml:space="preserve">Key words: </w:t>
      </w:r>
      <w:r w:rsidR="00200E87" w:rsidRPr="00511005">
        <w:rPr>
          <w:rFonts w:ascii="Arial" w:eastAsia="Times New Roman" w:hAnsi="Arial" w:cs="Arial"/>
          <w:bCs/>
          <w:kern w:val="2"/>
          <w:szCs w:val="28"/>
          <w:shd w:val="clear" w:color="auto" w:fill="FFFFFF"/>
          <w:lang w:val="en-US" w:eastAsia="uk-UA"/>
        </w:rPr>
        <w:t>war, martial law,</w:t>
      </w:r>
      <w:r w:rsidR="00200E87" w:rsidRPr="00511005">
        <w:rPr>
          <w:rFonts w:ascii="Arial" w:eastAsia="Times New Roman" w:hAnsi="Arial" w:cs="Arial"/>
          <w:bCs/>
          <w:kern w:val="2"/>
          <w:szCs w:val="28"/>
          <w:shd w:val="clear" w:color="auto" w:fill="FFFFFF"/>
          <w:lang w:val="uk-UA" w:eastAsia="uk-UA"/>
        </w:rPr>
        <w:t xml:space="preserve"> </w:t>
      </w:r>
      <w:r w:rsidR="00200E87" w:rsidRPr="00511005">
        <w:rPr>
          <w:rFonts w:ascii="Arial" w:eastAsia="Times New Roman" w:hAnsi="Arial" w:cs="Arial"/>
          <w:bCs/>
          <w:kern w:val="2"/>
          <w:szCs w:val="28"/>
          <w:shd w:val="clear" w:color="auto" w:fill="FFFFFF"/>
          <w:lang w:val="en-US" w:eastAsia="uk-UA"/>
        </w:rPr>
        <w:t>natural environment, deoccupied territories</w:t>
      </w:r>
      <w:r w:rsidR="00200E87" w:rsidRPr="00511005">
        <w:rPr>
          <w:rFonts w:ascii="Arial" w:eastAsia="Times New Roman" w:hAnsi="Arial" w:cs="Arial"/>
          <w:bCs/>
          <w:kern w:val="2"/>
          <w:szCs w:val="28"/>
          <w:shd w:val="clear" w:color="auto" w:fill="FFFFFF"/>
          <w:lang w:val="uk-UA" w:eastAsia="uk-UA"/>
        </w:rPr>
        <w:t xml:space="preserve">. </w:t>
      </w:r>
    </w:p>
    <w:p w14:paraId="27FC6486" w14:textId="7199F21F" w:rsidR="00200E87" w:rsidRPr="00511005" w:rsidRDefault="00C76181" w:rsidP="003A292D">
      <w:pPr>
        <w:spacing w:line="264" w:lineRule="auto"/>
        <w:ind w:firstLine="567"/>
        <w:rPr>
          <w:rFonts w:ascii="Arial" w:eastAsia="Times New Roman" w:hAnsi="Arial" w:cs="Arial"/>
          <w:bCs/>
          <w:i/>
          <w:iCs/>
          <w:kern w:val="2"/>
          <w:szCs w:val="28"/>
          <w:shd w:val="clear" w:color="auto" w:fill="FFFFFF"/>
          <w:lang w:val="uk-UA" w:eastAsia="uk-UA"/>
        </w:rPr>
      </w:pPr>
      <w:r w:rsidRPr="00511005">
        <w:rPr>
          <w:rFonts w:ascii="Arial" w:eastAsia="Calibri" w:hAnsi="Arial" w:cs="Arial"/>
          <w:b/>
          <w:i/>
          <w:szCs w:val="28"/>
          <w:lang w:val="uk-UA"/>
        </w:rPr>
        <w:t xml:space="preserve">Науковий керівник: </w:t>
      </w:r>
      <w:r w:rsidR="00200E87" w:rsidRPr="00511005">
        <w:rPr>
          <w:rFonts w:ascii="Arial" w:eastAsia="Times New Roman" w:hAnsi="Arial" w:cs="Arial"/>
          <w:bCs/>
          <w:i/>
          <w:iCs/>
          <w:kern w:val="2"/>
          <w:szCs w:val="28"/>
          <w:shd w:val="clear" w:color="auto" w:fill="FFFFFF"/>
          <w:lang w:val="uk-UA" w:eastAsia="uk-UA"/>
        </w:rPr>
        <w:t>к.ю.н.,</w:t>
      </w:r>
      <w:r>
        <w:rPr>
          <w:rFonts w:ascii="Arial" w:eastAsia="Times New Roman" w:hAnsi="Arial" w:cs="Arial"/>
          <w:bCs/>
          <w:i/>
          <w:iCs/>
          <w:kern w:val="2"/>
          <w:szCs w:val="28"/>
          <w:shd w:val="clear" w:color="auto" w:fill="FFFFFF"/>
          <w:lang w:val="uk-UA" w:eastAsia="uk-UA"/>
        </w:rPr>
        <w:t xml:space="preserve"> </w:t>
      </w:r>
      <w:r w:rsidR="00200E87" w:rsidRPr="00511005">
        <w:rPr>
          <w:rFonts w:ascii="Arial" w:eastAsia="Times New Roman" w:hAnsi="Arial" w:cs="Arial"/>
          <w:bCs/>
          <w:i/>
          <w:iCs/>
          <w:kern w:val="2"/>
          <w:szCs w:val="28"/>
          <w:shd w:val="clear" w:color="auto" w:fill="FFFFFF"/>
          <w:lang w:val="uk-UA" w:eastAsia="uk-UA"/>
        </w:rPr>
        <w:t>доцент Канівець Л. А.</w:t>
      </w:r>
    </w:p>
    <w:p w14:paraId="18A9217A" w14:textId="77777777" w:rsidR="00200E87" w:rsidRPr="00511005" w:rsidRDefault="00200E87" w:rsidP="003A292D">
      <w:pPr>
        <w:spacing w:line="264" w:lineRule="auto"/>
        <w:ind w:firstLine="0"/>
        <w:jc w:val="left"/>
        <w:rPr>
          <w:rFonts w:ascii="Arial" w:eastAsia="Times New Roman" w:hAnsi="Arial" w:cs="Arial"/>
          <w:szCs w:val="28"/>
        </w:rPr>
      </w:pPr>
    </w:p>
    <w:p w14:paraId="2B761306" w14:textId="77777777" w:rsidR="00200E87" w:rsidRPr="00C76181" w:rsidRDefault="00200E87" w:rsidP="003A292D">
      <w:pPr>
        <w:tabs>
          <w:tab w:val="left" w:pos="7088"/>
        </w:tabs>
        <w:spacing w:line="264" w:lineRule="auto"/>
        <w:ind w:firstLine="0"/>
        <w:jc w:val="center"/>
        <w:rPr>
          <w:rFonts w:ascii="Arial" w:eastAsia="Times New Roman" w:hAnsi="Arial" w:cs="Arial"/>
          <w:b/>
          <w:i/>
          <w:iCs/>
          <w:szCs w:val="28"/>
          <w:lang w:val="uk" w:eastAsia="ru-RU"/>
        </w:rPr>
      </w:pPr>
      <w:r w:rsidRPr="00C76181">
        <w:rPr>
          <w:rFonts w:ascii="Arial" w:eastAsia="Times New Roman" w:hAnsi="Arial" w:cs="Arial"/>
          <w:b/>
          <w:i/>
          <w:iCs/>
          <w:szCs w:val="28"/>
          <w:lang w:val="uk" w:eastAsia="ru-RU"/>
        </w:rPr>
        <w:t>Левенець Аріана Миколаївна</w:t>
      </w:r>
    </w:p>
    <w:p w14:paraId="72BEA1E8" w14:textId="2A807ADD"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165629A9"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288ECEC"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227D457" w14:textId="77777777" w:rsidR="00200E87" w:rsidRPr="00511005" w:rsidRDefault="00200E87" w:rsidP="003A292D">
      <w:pPr>
        <w:tabs>
          <w:tab w:val="left" w:pos="7088"/>
        </w:tabs>
        <w:spacing w:line="264" w:lineRule="auto"/>
        <w:ind w:firstLine="0"/>
        <w:jc w:val="center"/>
        <w:rPr>
          <w:rFonts w:ascii="Arial" w:eastAsia="Times New Roman" w:hAnsi="Arial" w:cs="Arial"/>
          <w:szCs w:val="28"/>
          <w:lang w:val="uk-UA" w:eastAsia="ru-RU"/>
        </w:rPr>
      </w:pPr>
    </w:p>
    <w:p w14:paraId="0D09DCF5" w14:textId="77777777" w:rsidR="00200E87" w:rsidRPr="00511005" w:rsidRDefault="00200E87" w:rsidP="003A292D">
      <w:pPr>
        <w:tabs>
          <w:tab w:val="left" w:pos="7088"/>
        </w:tabs>
        <w:spacing w:line="264" w:lineRule="auto"/>
        <w:ind w:firstLine="0"/>
        <w:jc w:val="center"/>
        <w:rPr>
          <w:rFonts w:ascii="Arial" w:eastAsia="Times New Roman" w:hAnsi="Arial" w:cs="Arial"/>
          <w:b/>
          <w:szCs w:val="28"/>
          <w:lang w:val="uk" w:eastAsia="ru-RU"/>
        </w:rPr>
      </w:pPr>
      <w:r w:rsidRPr="00511005">
        <w:rPr>
          <w:rFonts w:ascii="Arial" w:eastAsia="Times New Roman" w:hAnsi="Arial" w:cs="Arial"/>
          <w:b/>
          <w:szCs w:val="28"/>
          <w:lang w:val="uk" w:eastAsia="ru-RU"/>
        </w:rPr>
        <w:t>ЗЕМЕЛЬНІ СПОРИ, ПОВʼЯЗАНІ З ПОШКОДЖЕННЯМ АБО ДЕГРАДАЦІЄЮ ЗЕМЕЛЬНИХ ДІЛЯНОК ВНАСЛІДОК БОЙОВИХ ДІЙ</w:t>
      </w:r>
    </w:p>
    <w:p w14:paraId="4E6E6431"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Земельні спори, повʼязані з пошкодженням або деградацією земельних ділянок внаслідок бойових дій — одне з найактуальніших юридичних питань для України в умовах повномасштабної збройної агресії російської федерації. З початком війни значна кількість земель була замінована, забруднена важкими металами та отруйними речовинами, зруйнована внаслідок обстрілів або використана для потреб оборони. У зв’язку з цим постала нагальна потреба не лише в юридичному визначенні прав власників чи користувачів таких земель, але й у врегулюванні механізмів компенсації, реабілітації та поновлення прав.</w:t>
      </w:r>
    </w:p>
    <w:p w14:paraId="7C0686AF"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У багатьох випадках пошкоджені або зруйновані земельні ділянки належать фізичним або юридичним особам, які використовували ці землі для ведення господарської діяльності, зокрема сільськогосподарської, або будівництва будівель та споруд, придатних як для ведення бізнесу так і просто для проживання населення. Втрата можливості користування землею призводить до порушення економічних прав власників, зменшення обсягів виробництва, втрати прибутків та потенційних інвестицій. У таких випадках власники мають право звертатися до суду з вимогою про відшкодування завданої шкоди [2]. Проте реалізація цього права стикається з низкою проблем — від труднощів з ідентифікацією винної особи до відсутності чітко визначеного механізму оцінки розміру шкоди та джерел її компенсації.</w:t>
      </w:r>
    </w:p>
    <w:p w14:paraId="2169F471"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 xml:space="preserve">На сьогодні в Україні питання відповідальності за пошкодження земельних ділянок у результаті бойових дій врегульоване лише частково. Відповідно до Земельного кодексу України, кожна земельна ділянка повинна використовуватись за цільовим призначенням, а її власник або користувач має право на відшкодування збитків, заподіяних внаслідок порушення його прав. Водночас чинне законодавство не містить спеціальних норм, які прямо </w:t>
      </w:r>
      <w:r w:rsidRPr="00511005">
        <w:rPr>
          <w:rFonts w:ascii="Arial" w:eastAsia="Times New Roman" w:hAnsi="Arial" w:cs="Arial"/>
          <w:szCs w:val="28"/>
          <w:lang w:val="uk" w:eastAsia="ru-RU"/>
        </w:rPr>
        <w:lastRenderedPageBreak/>
        <w:t>регулюють порядок розгляду спорів щодо землі, пошкодженої внаслідок збройної агресії або воєнних дій. Це створює ситуацію юридичної невизначеності, в якій багато громадян змушені звертатися до судів загальної юрисдикції, які по-різному трактують подібні обставини.</w:t>
      </w:r>
    </w:p>
    <w:p w14:paraId="78D3591B"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Значну роль у цьому контексті відіграє оцінка екологічних та матеріальних збитків. Саме від достовірності цієї оцінки залежить правова кваліфікація порушення, обсяг компенсації, а також можливість притягнення винних осіб до відповідальності. На практиці встановлення обсягу завданої шкоди здійснюється спеціалізованими органами, зокрема Державною екологічною інспекцією, Держгеокадастром, а також залученими експертами. При цьому існує проблема: механізми фіксації та обліку екологічної шкоди, завданої бойовими діями, в Україні ще не є повноцінно відпрацьованими [1].</w:t>
      </w:r>
    </w:p>
    <w:p w14:paraId="5F0E5AA4"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Ще однією проблемою є пошкодження або втрата документів, які підтверджують право власності на землю. Це ускладнює процедуру звернення до суду, адже заявники повинні надати докази права власності або користування земельною ділянкою, а також докази факту і обсягів шкоди. У деяких випадках доводиться поновлювати право на землю через відновлення втрачених архівних документів або подання запитів до органів місцевого самоврядування.</w:t>
      </w:r>
    </w:p>
    <w:p w14:paraId="44B82CE7"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Особливу складність становлять спори, пов’язані з використанням земель для потреб оборони. Наприклад, деякі земельні ділянки були зайняті для зведення інженерних споруд або розміщення військових частин без погодження з власниками або за усною домовленістю. З одного боку, такі дії могли мати законні підстави з точки зору воєнного стану. З іншого — власники мають право вимагати відшкодування збитків, якщо їхнє майно було пошкоджено, або використано без належної компенсації.</w:t>
      </w:r>
    </w:p>
    <w:p w14:paraId="689F8643"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Після завершення активної фази бойових дій очікується значне зростання кількості позовів до держави або інших суб'єктів щодо компенсації завданої шкоди. Міжнародна практика свідчить, що в подібних умовах важливо створити спеціальні механізми компенсації за участю державних фондів, страхових компаній, міжнародних партнерів. У країнах, які пережили збройні конфлікти, застосовувались як централізовані програми компенсації, так і створення спеціальних судових або адміністративних органів, що розглядали спори, пов’язані з пошкодженим майном [3].</w:t>
      </w:r>
    </w:p>
    <w:p w14:paraId="4AEEAB34"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 xml:space="preserve">У межах євроінтеграційного курсу Україна повинна враховувати також європейські стандарти захисту права власності, зокрема практику Європейського суду з прав людини, який неодноразово наголошував на необхідності ефективного механізму захисту майнових прав. Це стосується, зокрема, справ, у яких порушення прав власників пов’язане з діями держави або її бездіяльністю. Україна як держава-учасниця Конвенції про захист прав </w:t>
      </w:r>
      <w:r w:rsidRPr="00511005">
        <w:rPr>
          <w:rFonts w:ascii="Arial" w:eastAsia="Times New Roman" w:hAnsi="Arial" w:cs="Arial"/>
          <w:szCs w:val="28"/>
          <w:lang w:val="uk" w:eastAsia="ru-RU"/>
        </w:rPr>
        <w:lastRenderedPageBreak/>
        <w:t>людини і основоположних свобод зобов’язана забезпечити реальні та ефективні механізми відшкодування шкоди.</w:t>
      </w:r>
    </w:p>
    <w:p w14:paraId="412AD530"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У перспективі для врегулювання таких спорів в Україні доцільно розробити комплексне спеціальне законодавство, яке б охоплювало як фіксацію пошкодження землі, так і порядок оцінки збитків та процедуру компенсації. Також варто створити єдиний електронний реєстр пошкоджених земель, який дозволить ефективно координувати дії між органами державної влади, місцевого самоврядування та судовими інстанціями.</w:t>
      </w:r>
    </w:p>
    <w:p w14:paraId="23417079"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Узагальнюючи викладене, можна зробити висновок, що земельні спори, спричинені бойовими діями, становлять складну юридичну проблему, яка потребує системного підходу. В умовах воєнного стану та в постконфліктний період особливої уваги потребує правовий захист осіб, чиї земельні ділянки зазнали пошкодження або деградації. Необхідно вдосконалити законодавче регулювання, забезпечити ефективні механізми оцінки та компенсації шкоди, а також сприяти якнайшвидшому відновленню земельного фонду країни. Вирішення цих питань матиме не лише правове, а й соціальне, економічне та екологічне значення для майбутнього України.</w:t>
      </w:r>
    </w:p>
    <w:p w14:paraId="2084AA3A" w14:textId="77777777" w:rsidR="00200E87" w:rsidRPr="00511005" w:rsidRDefault="00200E87" w:rsidP="003A292D">
      <w:pPr>
        <w:spacing w:line="264" w:lineRule="auto"/>
        <w:ind w:firstLine="0"/>
        <w:jc w:val="left"/>
        <w:rPr>
          <w:rFonts w:ascii="Arial" w:eastAsia="Times New Roman" w:hAnsi="Arial" w:cs="Arial"/>
          <w:b/>
          <w:szCs w:val="28"/>
          <w:lang w:val="uk" w:eastAsia="ru-RU"/>
        </w:rPr>
      </w:pPr>
    </w:p>
    <w:p w14:paraId="1C832580" w14:textId="0271860F" w:rsidR="00200E87" w:rsidRPr="00511005" w:rsidRDefault="007B2628" w:rsidP="007B2628">
      <w:pPr>
        <w:tabs>
          <w:tab w:val="left" w:pos="7088"/>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6E425C57" w14:textId="77777777" w:rsidR="00200E87" w:rsidRPr="00511005" w:rsidRDefault="00200E87" w:rsidP="003F6A5D">
      <w:pPr>
        <w:widowControl w:val="0"/>
        <w:numPr>
          <w:ilvl w:val="0"/>
          <w:numId w:val="477"/>
        </w:numPr>
        <w:tabs>
          <w:tab w:val="left" w:pos="993"/>
          <w:tab w:val="left" w:pos="7088"/>
        </w:tabs>
        <w:spacing w:line="264" w:lineRule="auto"/>
        <w:ind w:left="0" w:firstLine="709"/>
        <w:jc w:val="left"/>
        <w:rPr>
          <w:rFonts w:ascii="Arial" w:eastAsia="Times New Roman" w:hAnsi="Arial" w:cs="Arial"/>
          <w:szCs w:val="28"/>
          <w:lang w:val="uk" w:eastAsia="ru-RU"/>
        </w:rPr>
      </w:pPr>
      <w:r w:rsidRPr="00511005">
        <w:rPr>
          <w:rFonts w:ascii="Arial" w:eastAsia="Times New Roman" w:hAnsi="Arial" w:cs="Arial"/>
          <w:szCs w:val="28"/>
          <w:lang w:val="uk" w:eastAsia="ru-RU"/>
        </w:rPr>
        <w:t xml:space="preserve">Земельний кодекс України. URL: </w:t>
      </w:r>
      <w:hyperlink r:id="rId1731">
        <w:r w:rsidRPr="00511005">
          <w:rPr>
            <w:rFonts w:ascii="Arial" w:eastAsia="Times New Roman" w:hAnsi="Arial" w:cs="Arial"/>
            <w:szCs w:val="28"/>
            <w:lang w:val="uk" w:eastAsia="ru-RU"/>
          </w:rPr>
          <w:t>https://zakon.rada.gov.ua/laws/show/2768-14</w:t>
        </w:r>
      </w:hyperlink>
      <w:r w:rsidRPr="00511005">
        <w:rPr>
          <w:rFonts w:ascii="Arial" w:eastAsia="Times New Roman" w:hAnsi="Arial" w:cs="Arial"/>
          <w:szCs w:val="28"/>
          <w:lang w:val="uk" w:eastAsia="ru-RU"/>
        </w:rPr>
        <w:t xml:space="preserve"> (дата звернення: 11.04.2025 року).</w:t>
      </w:r>
    </w:p>
    <w:p w14:paraId="02DD6255" w14:textId="7F2BCD7E" w:rsidR="00200E87" w:rsidRPr="00511005" w:rsidRDefault="00200E87" w:rsidP="003F6A5D">
      <w:pPr>
        <w:widowControl w:val="0"/>
        <w:numPr>
          <w:ilvl w:val="0"/>
          <w:numId w:val="477"/>
        </w:numPr>
        <w:tabs>
          <w:tab w:val="left" w:pos="993"/>
          <w:tab w:val="left" w:pos="7088"/>
        </w:tabs>
        <w:spacing w:line="264" w:lineRule="auto"/>
        <w:ind w:left="0" w:firstLine="709"/>
        <w:jc w:val="left"/>
        <w:rPr>
          <w:rFonts w:ascii="Arial" w:eastAsia="Times New Roman" w:hAnsi="Arial" w:cs="Arial"/>
          <w:szCs w:val="28"/>
          <w:lang w:val="uk" w:eastAsia="ru-RU"/>
        </w:rPr>
      </w:pPr>
      <w:r w:rsidRPr="00511005">
        <w:rPr>
          <w:rFonts w:ascii="Arial" w:eastAsia="Times New Roman" w:hAnsi="Arial" w:cs="Arial"/>
          <w:szCs w:val="28"/>
          <w:lang w:val="uk" w:eastAsia="ru-RU"/>
        </w:rPr>
        <w:t>Бондаренко Н. Проблеми реалізації права власності на землю в умовах збройного конфлікту. Земельне право України.</w:t>
      </w:r>
      <w:r w:rsidR="007B2628" w:rsidRPr="00511005">
        <w:rPr>
          <w:rFonts w:ascii="Arial" w:eastAsia="Times New Roman" w:hAnsi="Arial" w:cs="Arial"/>
          <w:szCs w:val="28"/>
          <w:lang w:val="uk" w:eastAsia="ru-RU"/>
        </w:rPr>
        <w:t xml:space="preserve"> </w:t>
      </w:r>
      <w:r w:rsidRPr="00511005">
        <w:rPr>
          <w:rFonts w:ascii="Arial" w:eastAsia="Times New Roman" w:hAnsi="Arial" w:cs="Arial"/>
          <w:szCs w:val="28"/>
          <w:lang w:val="uk" w:eastAsia="ru-RU"/>
        </w:rPr>
        <w:t>2023.</w:t>
      </w:r>
      <w:r w:rsidR="007B2628" w:rsidRPr="00511005">
        <w:rPr>
          <w:rFonts w:ascii="Arial" w:eastAsia="Times New Roman" w:hAnsi="Arial" w:cs="Arial"/>
          <w:szCs w:val="28"/>
          <w:lang w:val="uk" w:eastAsia="ru-RU"/>
        </w:rPr>
        <w:t xml:space="preserve"> </w:t>
      </w:r>
      <w:r w:rsidRPr="00511005">
        <w:rPr>
          <w:rFonts w:ascii="Arial" w:eastAsia="Times New Roman" w:hAnsi="Arial" w:cs="Arial"/>
          <w:szCs w:val="28"/>
          <w:lang w:val="uk" w:eastAsia="ru-RU"/>
        </w:rPr>
        <w:t>№2.</w:t>
      </w:r>
    </w:p>
    <w:p w14:paraId="0211F993" w14:textId="77777777" w:rsidR="00200E87" w:rsidRPr="00511005" w:rsidRDefault="00200E87" w:rsidP="003F6A5D">
      <w:pPr>
        <w:widowControl w:val="0"/>
        <w:numPr>
          <w:ilvl w:val="0"/>
          <w:numId w:val="477"/>
        </w:numPr>
        <w:tabs>
          <w:tab w:val="left" w:pos="993"/>
          <w:tab w:val="left" w:pos="7088"/>
        </w:tabs>
        <w:spacing w:line="264" w:lineRule="auto"/>
        <w:ind w:left="0" w:firstLine="709"/>
        <w:jc w:val="left"/>
        <w:rPr>
          <w:rFonts w:ascii="Arial" w:eastAsia="Times New Roman" w:hAnsi="Arial" w:cs="Arial"/>
          <w:szCs w:val="28"/>
          <w:lang w:val="uk" w:eastAsia="ru-RU"/>
        </w:rPr>
      </w:pPr>
      <w:r w:rsidRPr="00511005">
        <w:rPr>
          <w:rFonts w:ascii="Arial" w:eastAsia="Times New Roman" w:hAnsi="Arial" w:cs="Arial"/>
          <w:szCs w:val="28"/>
          <w:lang w:val="uk" w:eastAsia="ru-RU"/>
        </w:rPr>
        <w:t xml:space="preserve">Ковтун О. В. Відшкодування шкоди, завданої земельним ресурсам внаслідок воєнних дій. URL: </w:t>
      </w:r>
      <w:hyperlink r:id="rId1732">
        <w:r w:rsidRPr="00511005">
          <w:rPr>
            <w:rFonts w:ascii="Arial" w:eastAsia="Times New Roman" w:hAnsi="Arial" w:cs="Arial"/>
            <w:szCs w:val="28"/>
            <w:lang w:val="uk" w:eastAsia="ru-RU"/>
          </w:rPr>
          <w:t>https://surl.li/ibrzjc</w:t>
        </w:r>
      </w:hyperlink>
      <w:r w:rsidRPr="00511005">
        <w:rPr>
          <w:rFonts w:ascii="Arial" w:eastAsia="Times New Roman" w:hAnsi="Arial" w:cs="Arial"/>
          <w:szCs w:val="28"/>
          <w:lang w:val="uk" w:eastAsia="ru-RU"/>
        </w:rPr>
        <w:t xml:space="preserve"> (дата звернення: 11.04.2025 року).</w:t>
      </w:r>
    </w:p>
    <w:p w14:paraId="06A033B5" w14:textId="77777777" w:rsidR="00200E87" w:rsidRPr="00511005" w:rsidRDefault="00200E87" w:rsidP="003A292D">
      <w:pPr>
        <w:spacing w:line="264" w:lineRule="auto"/>
        <w:ind w:firstLine="567"/>
        <w:rPr>
          <w:rFonts w:ascii="Arial" w:eastAsia="Times New Roman" w:hAnsi="Arial" w:cs="Arial"/>
          <w:b/>
          <w:szCs w:val="28"/>
          <w:lang w:val="uk-UA" w:eastAsia="ru-RU"/>
        </w:rPr>
      </w:pPr>
    </w:p>
    <w:p w14:paraId="4AEC4CD0" w14:textId="6C341436" w:rsidR="00200E87" w:rsidRPr="00511005" w:rsidRDefault="007B2628"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b/>
          <w:i/>
          <w:szCs w:val="28"/>
          <w:lang w:val="uk" w:eastAsia="ru-RU"/>
        </w:rPr>
        <w:t xml:space="preserve">Ключові слова: </w:t>
      </w:r>
      <w:r w:rsidR="00200E87" w:rsidRPr="00511005">
        <w:rPr>
          <w:rFonts w:ascii="Arial" w:eastAsia="Times New Roman" w:hAnsi="Arial" w:cs="Arial"/>
          <w:szCs w:val="28"/>
          <w:lang w:val="uk" w:eastAsia="ru-RU"/>
        </w:rPr>
        <w:t>земельні ділянки, воєнний стан</w:t>
      </w:r>
      <w:r w:rsidR="00200E87" w:rsidRPr="00511005">
        <w:rPr>
          <w:rFonts w:ascii="Arial" w:eastAsia="Times New Roman" w:hAnsi="Arial" w:cs="Arial"/>
          <w:szCs w:val="28"/>
          <w:lang w:val="uk-UA" w:eastAsia="ru-RU"/>
        </w:rPr>
        <w:t>,</w:t>
      </w:r>
      <w:r w:rsidR="00200E87" w:rsidRPr="00511005">
        <w:rPr>
          <w:rFonts w:ascii="Arial" w:eastAsia="Times New Roman" w:hAnsi="Arial" w:cs="Arial"/>
          <w:szCs w:val="28"/>
          <w:lang w:val="uk" w:eastAsia="ru-RU"/>
        </w:rPr>
        <w:t xml:space="preserve"> правове регулювання, земельне законодавство, сільськогосподарські землі.</w:t>
      </w:r>
    </w:p>
    <w:p w14:paraId="664BA443" w14:textId="06AFFF03" w:rsidR="00200E87" w:rsidRPr="00511005" w:rsidRDefault="007B2628" w:rsidP="003A292D">
      <w:pPr>
        <w:spacing w:line="264" w:lineRule="auto"/>
        <w:ind w:firstLine="567"/>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00E87" w:rsidRPr="00511005">
        <w:rPr>
          <w:rFonts w:ascii="Arial" w:eastAsia="Times New Roman" w:hAnsi="Arial" w:cs="Arial"/>
          <w:szCs w:val="28"/>
          <w:lang w:val="en-US" w:eastAsia="ru-RU"/>
        </w:rPr>
        <w:t xml:space="preserve">land plots, </w:t>
      </w:r>
      <w:r w:rsidR="00200E87" w:rsidRPr="00511005">
        <w:rPr>
          <w:rFonts w:ascii="Arial" w:eastAsia="Times New Roman" w:hAnsi="Arial" w:cs="Arial"/>
          <w:bCs/>
          <w:szCs w:val="28"/>
          <w:lang w:val="en-US" w:eastAsia="ru-RU"/>
        </w:rPr>
        <w:t>martial law</w:t>
      </w:r>
      <w:r w:rsidR="00200E87" w:rsidRPr="00511005">
        <w:rPr>
          <w:rFonts w:ascii="Arial" w:eastAsia="Times New Roman" w:hAnsi="Arial" w:cs="Arial"/>
          <w:bCs/>
          <w:szCs w:val="28"/>
          <w:lang w:val="uk-UA" w:eastAsia="ru-RU"/>
        </w:rPr>
        <w:t>,</w:t>
      </w:r>
      <w:r w:rsidR="00200E87" w:rsidRPr="00511005">
        <w:rPr>
          <w:rFonts w:ascii="Arial" w:eastAsia="Times New Roman" w:hAnsi="Arial" w:cs="Arial"/>
          <w:szCs w:val="28"/>
          <w:lang w:val="en-US" w:eastAsia="ru-RU"/>
        </w:rPr>
        <w:t xml:space="preserve"> legal regulation, land legislation, agricultural land.</w:t>
      </w:r>
    </w:p>
    <w:p w14:paraId="7EE9831D" w14:textId="7CF068E3" w:rsidR="00200E87" w:rsidRPr="00511005" w:rsidRDefault="007B2628" w:rsidP="003A292D">
      <w:pPr>
        <w:tabs>
          <w:tab w:val="left" w:pos="993"/>
          <w:tab w:val="left" w:pos="7088"/>
        </w:tabs>
        <w:spacing w:line="264" w:lineRule="auto"/>
        <w:ind w:firstLine="567"/>
        <w:rPr>
          <w:rFonts w:ascii="Arial" w:eastAsia="Times New Roman" w:hAnsi="Arial" w:cs="Arial"/>
          <w:szCs w:val="28"/>
          <w:lang w:val="uk-UA" w:eastAsia="ru-RU"/>
        </w:rPr>
      </w:pPr>
      <w:r w:rsidRPr="00511005">
        <w:rPr>
          <w:rFonts w:ascii="Arial" w:eastAsia="Times New Roman" w:hAnsi="Arial" w:cs="Arial"/>
          <w:b/>
          <w:i/>
          <w:szCs w:val="28"/>
          <w:lang w:val="uk" w:eastAsia="ru-RU"/>
        </w:rPr>
        <w:t xml:space="preserve">Науковий керівник: </w:t>
      </w:r>
      <w:r w:rsidR="00200E87" w:rsidRPr="00511005">
        <w:rPr>
          <w:rFonts w:ascii="Arial" w:eastAsia="Times New Roman" w:hAnsi="Arial" w:cs="Arial"/>
          <w:i/>
          <w:szCs w:val="28"/>
          <w:lang w:val="uk" w:eastAsia="ru-RU"/>
        </w:rPr>
        <w:t>к</w:t>
      </w:r>
      <w:r w:rsidR="00200E87" w:rsidRPr="00511005">
        <w:rPr>
          <w:rFonts w:ascii="Arial" w:eastAsia="Times New Roman" w:hAnsi="Arial" w:cs="Arial"/>
          <w:i/>
          <w:szCs w:val="28"/>
          <w:lang w:val="uk-UA" w:eastAsia="ru-RU"/>
        </w:rPr>
        <w:t>.ю.н.</w:t>
      </w:r>
      <w:r w:rsidR="00200E87" w:rsidRPr="00511005">
        <w:rPr>
          <w:rFonts w:ascii="Arial" w:eastAsia="Times New Roman" w:hAnsi="Arial" w:cs="Arial"/>
          <w:i/>
          <w:szCs w:val="28"/>
          <w:lang w:val="uk" w:eastAsia="ru-RU"/>
        </w:rPr>
        <w:t>, доцент Караханян К</w:t>
      </w:r>
      <w:r w:rsidR="00200E87" w:rsidRPr="00511005">
        <w:rPr>
          <w:rFonts w:ascii="Arial" w:eastAsia="Times New Roman" w:hAnsi="Arial" w:cs="Arial"/>
          <w:i/>
          <w:szCs w:val="28"/>
          <w:lang w:val="uk-UA" w:eastAsia="ru-RU"/>
        </w:rPr>
        <w:t>.М.</w:t>
      </w:r>
    </w:p>
    <w:p w14:paraId="5F57FB80" w14:textId="77777777" w:rsidR="00200E87" w:rsidRPr="00511005" w:rsidRDefault="00200E87" w:rsidP="003A292D">
      <w:pPr>
        <w:keepNext/>
        <w:spacing w:line="264" w:lineRule="auto"/>
        <w:ind w:firstLine="540"/>
        <w:rPr>
          <w:rFonts w:ascii="Arial" w:eastAsia="Times New Roman" w:hAnsi="Arial" w:cs="Arial"/>
          <w:b/>
          <w:i/>
          <w:szCs w:val="28"/>
          <w:lang w:val="uk" w:eastAsia="ru-RU"/>
        </w:rPr>
      </w:pPr>
    </w:p>
    <w:p w14:paraId="3CFB7780" w14:textId="77777777" w:rsidR="00F36CC4" w:rsidRDefault="00F36CC4">
      <w:pPr>
        <w:spacing w:after="200" w:line="276" w:lineRule="auto"/>
        <w:ind w:firstLine="0"/>
        <w:jc w:val="left"/>
        <w:rPr>
          <w:rFonts w:ascii="Arial" w:eastAsia="Times New Roman" w:hAnsi="Arial" w:cs="Arial"/>
          <w:b/>
          <w:i/>
          <w:iCs/>
          <w:szCs w:val="28"/>
          <w:lang w:val="uk-UA"/>
        </w:rPr>
      </w:pPr>
      <w:r>
        <w:rPr>
          <w:rFonts w:ascii="Arial" w:eastAsia="Times New Roman" w:hAnsi="Arial" w:cs="Arial"/>
          <w:b/>
          <w:i/>
          <w:iCs/>
          <w:szCs w:val="28"/>
          <w:lang w:val="uk-UA"/>
        </w:rPr>
        <w:br w:type="page"/>
      </w:r>
    </w:p>
    <w:p w14:paraId="4D584307" w14:textId="79E0B7E3" w:rsidR="00200E87" w:rsidRPr="00511005" w:rsidRDefault="00200E87" w:rsidP="003A292D">
      <w:pPr>
        <w:spacing w:line="264" w:lineRule="auto"/>
        <w:jc w:val="center"/>
        <w:rPr>
          <w:rFonts w:ascii="Arial" w:eastAsia="Times New Roman" w:hAnsi="Arial" w:cs="Arial"/>
          <w:b/>
          <w:i/>
          <w:iCs/>
          <w:szCs w:val="28"/>
          <w:lang w:val="uk-UA"/>
        </w:rPr>
      </w:pPr>
      <w:r w:rsidRPr="00511005">
        <w:rPr>
          <w:rFonts w:ascii="Arial" w:eastAsia="Times New Roman" w:hAnsi="Arial" w:cs="Arial"/>
          <w:b/>
          <w:i/>
          <w:iCs/>
          <w:szCs w:val="28"/>
          <w:lang w:val="uk-UA"/>
        </w:rPr>
        <w:lastRenderedPageBreak/>
        <w:t>Лейфура Вікторія Олександрівна</w:t>
      </w:r>
    </w:p>
    <w:p w14:paraId="4E10421A" w14:textId="22C9AA6E" w:rsidR="00200E87" w:rsidRPr="00511005" w:rsidRDefault="00536AAB" w:rsidP="003A292D">
      <w:pPr>
        <w:spacing w:line="264" w:lineRule="auto"/>
        <w:jc w:val="center"/>
        <w:rPr>
          <w:rFonts w:ascii="Arial" w:eastAsia="Aptos" w:hAnsi="Arial" w:cs="Arial"/>
          <w:kern w:val="2"/>
          <w:szCs w:val="28"/>
          <w:lang w:val="uk-UA" w:eastAsia="uk-UA"/>
        </w:rPr>
      </w:pPr>
      <w:r w:rsidRPr="00511005">
        <w:rPr>
          <w:rFonts w:ascii="Arial" w:eastAsia="Aptos" w:hAnsi="Arial" w:cs="Arial"/>
          <w:kern w:val="2"/>
          <w:szCs w:val="28"/>
          <w:lang w:val="uk-UA" w:eastAsia="uk-UA"/>
        </w:rPr>
        <w:t xml:space="preserve">студентка 4-го курсу </w:t>
      </w:r>
      <w:r w:rsidR="007B2628" w:rsidRPr="00511005">
        <w:rPr>
          <w:rFonts w:ascii="Arial" w:eastAsia="Aptos" w:hAnsi="Arial" w:cs="Arial"/>
          <w:kern w:val="2"/>
          <w:szCs w:val="28"/>
          <w:lang w:val="uk-UA" w:eastAsia="uk-UA"/>
        </w:rPr>
        <w:t>факультету цивільної та господарської юстиції</w:t>
      </w:r>
      <w:r w:rsidR="00200E87" w:rsidRPr="00511005">
        <w:rPr>
          <w:rFonts w:ascii="Arial" w:eastAsia="Aptos" w:hAnsi="Arial" w:cs="Arial"/>
          <w:kern w:val="2"/>
          <w:szCs w:val="28"/>
          <w:lang w:val="uk-UA" w:eastAsia="uk-UA"/>
        </w:rPr>
        <w:br/>
      </w:r>
      <w:r w:rsidR="007B2628" w:rsidRPr="00511005">
        <w:rPr>
          <w:rFonts w:ascii="Arial" w:eastAsia="Aptos" w:hAnsi="Arial" w:cs="Arial"/>
          <w:kern w:val="2"/>
          <w:szCs w:val="28"/>
          <w:lang w:val="uk-UA" w:eastAsia="uk-UA"/>
        </w:rPr>
        <w:t>Національного університету «Одеська юридична академія»</w:t>
      </w:r>
    </w:p>
    <w:p w14:paraId="60C4C220" w14:textId="77777777" w:rsidR="00200E87" w:rsidRPr="00511005" w:rsidRDefault="00200E87" w:rsidP="003A292D">
      <w:pPr>
        <w:spacing w:line="264" w:lineRule="auto"/>
        <w:jc w:val="center"/>
        <w:rPr>
          <w:rFonts w:ascii="Arial" w:eastAsia="Times New Roman" w:hAnsi="Arial" w:cs="Arial"/>
          <w:b/>
          <w:szCs w:val="28"/>
          <w:lang w:val="uk-UA"/>
        </w:rPr>
      </w:pPr>
    </w:p>
    <w:p w14:paraId="775827EE" w14:textId="77777777" w:rsidR="00200E87" w:rsidRPr="00511005" w:rsidRDefault="00200E87" w:rsidP="003A292D">
      <w:pPr>
        <w:spacing w:line="264" w:lineRule="auto"/>
        <w:jc w:val="center"/>
        <w:rPr>
          <w:rFonts w:ascii="Arial" w:eastAsia="Times New Roman" w:hAnsi="Arial" w:cs="Arial"/>
          <w:b/>
          <w:szCs w:val="28"/>
          <w:lang w:val="uk-UA"/>
        </w:rPr>
      </w:pPr>
      <w:r w:rsidRPr="00511005">
        <w:rPr>
          <w:rFonts w:ascii="Arial" w:eastAsia="Times New Roman" w:hAnsi="Arial" w:cs="Arial"/>
          <w:b/>
          <w:szCs w:val="28"/>
          <w:lang w:val="uk-UA"/>
        </w:rPr>
        <w:t>ЮРИДИЧНА ВІДПОВІДАЛЬНІСТЬ ЗА ПОРУШЕННЯ ЕКОЛОГІЧНОГО ЗАКОНОДАВСТВА</w:t>
      </w:r>
    </w:p>
    <w:p w14:paraId="0C00BB4B"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Стан довкілля безпосередньо впливає на здоров'я нації, сталий розвиток держави та якість життя кожного громадянина. Саме тому ефективний механізм юридичної відповідальності за екологічні правопорушення є основним елементом національної екологічної політики. Однією з ключових складових вирішення правової проблеми забезпечення конституційного права громадян на безпечне довкілля та дотримання принципів раціонального природокористування й екологічної безпеки виступає юридична відповідальність. Основною метою якої є не лише покарати винних, а більшою мірою запобігти новим порушенням, відновленням порушеного стану довкілля та компенсування завданої шкоди. Таким чином, сукупність правових інструментів, що передбачені різними галузями законодавства (такими як адміністративне, кримінальне, цивільне, трудове та інші), які використовуються, коли порушуються вимоги щодо охорони довкілля, екологічної безпеки громадян, а також умови та правила експлуатації природних багатств включає в себе юридична відповідальність за екологічні правопорушення. [1, с. 14].</w:t>
      </w:r>
    </w:p>
    <w:p w14:paraId="131DDA08"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Система юридичної відповідальності за екологічні правопорушення ґрунтується на розгалуженій нормативно-правовій базі. Основні принципи закріплені в Конституції України та в Законі України «Про охорону навколишнього природного середовища». </w:t>
      </w:r>
    </w:p>
    <w:p w14:paraId="7B4217B4"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Також важливу роль відіграють спеціальні законодавчі акти, що регулюють використання та охорону окремих природних об’єктів: Водний, Земельний, Лісовий кодекси, Кодекс України про надра, Закони «Про тваринний світ», «Про рослинний світ», «Про охорону атмосферного повітря» та інші.</w:t>
      </w:r>
    </w:p>
    <w:p w14:paraId="31945A70"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За порушення екологічного законодавства застосовуються різні види юридичної відповідальності, такі як дисциплінарна, цивільно-правова, адміністративна та кримінальна відповідальність.</w:t>
      </w:r>
    </w:p>
    <w:p w14:paraId="235E52E1"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Адміністративний вид відповідальності застосовується за менш суспільно небезпечні порушення (перевищення нормативів викидів, засмічення територій тощо) і передбачає переважно штрафи, конфіскацію, обмеження чи призупинення діяльності.</w:t>
      </w:r>
    </w:p>
    <w:p w14:paraId="749E538F"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Невиконання вимог екологічної безпеки є одним з найчастіших видів адміністративної відповідальності за екологічні правопорушення. До таких порушень належать, зокрема, недотримання екологічних вимог при проектуванні, розміщенні, зведенні та функціонуванні промислових об'єктів, </w:t>
      </w:r>
      <w:r w:rsidRPr="00511005">
        <w:rPr>
          <w:rFonts w:ascii="Arial" w:eastAsia="Times New Roman" w:hAnsi="Arial" w:cs="Arial"/>
          <w:szCs w:val="28"/>
          <w:lang w:val="uk-UA"/>
        </w:rPr>
        <w:lastRenderedPageBreak/>
        <w:t>здійснення операцій з транспортування, збереження, переробки та утилізації промислових і побутових відходів, а також порушення вимог експлуатації та правил охорони різних природних об'єктів та їх ресурсів [2, с. 435].</w:t>
      </w:r>
    </w:p>
    <w:p w14:paraId="78F87C46"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За злочини проти довкілля, що спричинили значну шкоду, загибель людей або інші тяжкі наслідки (незаконне видобування корисних копалин, забруднення вод, земель, повітря з тяжкими наслідками) застосовують кримінальну відповідальність, притягнення до якої покладається на суд і відбувається лише після судового розгляду. Кримінальне законодавство визначає елементи злочину, а також порядок і умови притягнення до кримінальної відповідальності. Тому суд зобов'язаний перевірити наявність усіх необхідних елементів складу злочину та встановити винність особи, перш ніж призначити покарання.</w:t>
      </w:r>
    </w:p>
    <w:p w14:paraId="6FC475D9"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На відміну від адміністративної форми відповідальності цивільно-правова має компенсаційний характер і полягає в обов'язку відшкодування в повному обсязі шкоди, заподіяної довкіллю, життю та здоров'ю громадян внаслідок порушення екологічного законодавства. Відшкодування може здійснюватися як у грошовій формі, так і в натурі (шляхом відновлення попереднього стану).</w:t>
      </w:r>
    </w:p>
    <w:p w14:paraId="5EE9FFBD"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Потерпілі особи, з метою притягнення до цивільно-правової відповідальності за порушення екологічних норм, мають право звернутися до суду з позовною заявою про відшкодування завданих ним збитків. Суд при цьому встановлює розмір збитків та розмір компенсації, яку зобов'язана виплатити винна сторона. Важливо, що відшкодування збитків може передбачати не лише грошову компенсацію, а й відновлення екосистеми та інші заходи, які спрямовані на відновлення природи до її початкового стану. Наприклад, якщо підприємство спричинило забруднення водойми, то може бути вимога щодо відновлення якості води, здійснення заходів з очищення водойми або відновлення пошкоджених природних екосистем.</w:t>
      </w:r>
    </w:p>
    <w:p w14:paraId="5204E3E1" w14:textId="77777777" w:rsidR="00200E87" w:rsidRPr="00511005" w:rsidRDefault="00200E87"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rPr>
        <w:t>Дисциплінарну відповідальність застосовують до працівників підприємств, установ, організацій за невиконання ними своїх обов'язків щодо охорони довкілля. Здебільшого вона визначається внутрішніми правилами підприємства, які мають бути узгоджені з вимогами законодавства та нормами міжнародних стандартів.</w:t>
      </w:r>
      <w:r w:rsidRPr="00511005">
        <w:rPr>
          <w:rFonts w:ascii="Arial" w:eastAsia="Times New Roman" w:hAnsi="Arial" w:cs="Arial"/>
          <w:szCs w:val="28"/>
          <w:lang w:val="uk-UA" w:eastAsia="ru-RU"/>
        </w:rPr>
        <w:t xml:space="preserve"> Невиконання працівником обов'язків щодо охорони довкілля є підставою для дисциплінарної відповідальності. Це охоплює порушення правил збереження природних ресурсів, неналежне поводження з відходами та ігнорування вимог екологічної безпеки на робочому місці. Крім того, дисциплінарні заходи можуть застосовуватися за порушення внутрішніх екологічних правил підприємства, наприклад, при використанні небезпечних матеріалів без засобів індивідуального захисту або недотриманні норм </w:t>
      </w:r>
      <w:r w:rsidRPr="00511005">
        <w:rPr>
          <w:rFonts w:ascii="Arial" w:eastAsia="Times New Roman" w:hAnsi="Arial" w:cs="Arial"/>
          <w:szCs w:val="28"/>
          <w:lang w:val="uk-UA" w:eastAsia="ru-RU"/>
        </w:rPr>
        <w:lastRenderedPageBreak/>
        <w:t xml:space="preserve">раціонального використання енергії та води. Як покарання за дисциплінарні порушення можуть бути застосовані догана або звільнення. </w:t>
      </w:r>
    </w:p>
    <w:p w14:paraId="20A70FFF"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Важливо зазначити, що притягнення до одного виду відповідальності (наприклад, адміністративної чи дисциплінарної) не звільняє особу від обов'язку відшкодувати завдану шкоду (цивільно-правова відповідальність).</w:t>
      </w:r>
    </w:p>
    <w:p w14:paraId="441D7AA2"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Отже, важливо зазначити, що ефективна та дієва система юридичної відповідальності за порушення екологічного законодавства є критично важливою для збереження унікальної природи, забезпечення екологічної безпеки та сталого розвитку держави. Лише шляхом комплексного підходу, що поєднує вдосконалення законодавства, посилення контролю, підвищення правової та екологічної культури суспільства, ми зможемо забезпечити реальну охорону довкілля для себе та майбутніх поколінь.</w:t>
      </w:r>
    </w:p>
    <w:p w14:paraId="39F68041" w14:textId="77777777" w:rsidR="00200E87" w:rsidRPr="00511005" w:rsidRDefault="00200E87" w:rsidP="003A292D">
      <w:pPr>
        <w:spacing w:line="264" w:lineRule="auto"/>
        <w:rPr>
          <w:rFonts w:ascii="Arial" w:eastAsia="Times New Roman" w:hAnsi="Arial" w:cs="Arial"/>
          <w:szCs w:val="28"/>
          <w:lang w:val="uk-UA"/>
        </w:rPr>
      </w:pPr>
    </w:p>
    <w:p w14:paraId="40A30A91" w14:textId="5A2D91B4" w:rsidR="00200E87" w:rsidRPr="00511005" w:rsidRDefault="007B2628" w:rsidP="007B2628">
      <w:pPr>
        <w:spacing w:line="264" w:lineRule="auto"/>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49D9250E" w14:textId="77777777" w:rsidR="00200E87" w:rsidRPr="00511005" w:rsidRDefault="00200E8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1. Оверковська Т. К., Опольська Н. М. Юридична відповідальність за екологічні правопорушення: навч. посіб. Вінн. нац. аграр. ун-т. Вінниця: ВНАУ, 2019. 254 с.</w:t>
      </w:r>
    </w:p>
    <w:p w14:paraId="2A6F75C2" w14:textId="77777777" w:rsidR="00200E87" w:rsidRPr="00511005" w:rsidRDefault="00200E8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2. Каракаш І. І. Види юридичної відповідальності та особливості їх застосування за порушення природоресурсового й екологічного законодавства. </w:t>
      </w:r>
      <w:r w:rsidRPr="00511005">
        <w:rPr>
          <w:rFonts w:ascii="Arial" w:eastAsia="Times New Roman" w:hAnsi="Arial" w:cs="Arial"/>
          <w:i/>
          <w:iCs/>
          <w:szCs w:val="28"/>
          <w:lang w:val="uk-UA"/>
        </w:rPr>
        <w:t>Актуальні проблеми держави і права</w:t>
      </w:r>
      <w:r w:rsidRPr="00511005">
        <w:rPr>
          <w:rFonts w:ascii="Arial" w:eastAsia="Times New Roman" w:hAnsi="Arial" w:cs="Arial"/>
          <w:szCs w:val="28"/>
          <w:lang w:val="uk-UA"/>
        </w:rPr>
        <w:t xml:space="preserve"> : зб. наук. пр. / редкол.: С.В. Ківалов, Ю.М. Оборотов, Л. Р. Біла та ін.; ОНЮА. Одеса : Юрид. л-ра. Вип. 25. С. 430-442.</w:t>
      </w:r>
    </w:p>
    <w:p w14:paraId="11056DFE" w14:textId="77777777" w:rsidR="00200E87" w:rsidRPr="00511005" w:rsidRDefault="00200E87" w:rsidP="003A292D">
      <w:pPr>
        <w:spacing w:line="264" w:lineRule="auto"/>
        <w:rPr>
          <w:rFonts w:ascii="Arial" w:eastAsia="Times New Roman" w:hAnsi="Arial" w:cs="Arial"/>
          <w:szCs w:val="28"/>
          <w:lang w:val="uk-UA"/>
        </w:rPr>
      </w:pPr>
    </w:p>
    <w:p w14:paraId="18596CF0" w14:textId="63FEDA74" w:rsidR="00200E87"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200E87" w:rsidRPr="00511005">
        <w:rPr>
          <w:rFonts w:ascii="Arial" w:eastAsia="Times New Roman" w:hAnsi="Arial" w:cs="Arial"/>
          <w:szCs w:val="28"/>
          <w:lang w:val="uk-UA"/>
        </w:rPr>
        <w:t>екологічне законодавство, дисциплінарна відповідальність, цивільно-правова відповідальність, адміністративна відповідальність, кримінальна відповідальність.</w:t>
      </w:r>
    </w:p>
    <w:p w14:paraId="39B4E77D" w14:textId="516A4395" w:rsidR="00200E87"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200E87" w:rsidRPr="00511005">
        <w:rPr>
          <w:rFonts w:ascii="Arial" w:eastAsia="Times New Roman" w:hAnsi="Arial" w:cs="Arial"/>
          <w:szCs w:val="28"/>
          <w:lang w:val="uk-UA" w:eastAsia="ru-RU"/>
        </w:rPr>
        <w:t>environmental legislation, disciplinary liability, civil liability, administrative liability, criminal liability.</w:t>
      </w:r>
    </w:p>
    <w:p w14:paraId="6C217801" w14:textId="229916AA" w:rsidR="00200E87" w:rsidRPr="00511005" w:rsidRDefault="007B2628" w:rsidP="003A292D">
      <w:pPr>
        <w:spacing w:line="264" w:lineRule="auto"/>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200E87" w:rsidRPr="00511005">
        <w:rPr>
          <w:rFonts w:ascii="Arial" w:eastAsia="Times New Roman" w:hAnsi="Arial" w:cs="Arial"/>
          <w:i/>
          <w:szCs w:val="28"/>
          <w:lang w:val="uk-UA"/>
        </w:rPr>
        <w:t>к</w:t>
      </w:r>
      <w:r w:rsidR="00200E87" w:rsidRPr="00511005">
        <w:rPr>
          <w:rFonts w:ascii="Arial" w:eastAsia="Times New Roman" w:hAnsi="Arial" w:cs="Arial"/>
          <w:i/>
          <w:szCs w:val="28"/>
        </w:rPr>
        <w:t>.</w:t>
      </w:r>
      <w:r w:rsidR="00200E87" w:rsidRPr="00511005">
        <w:rPr>
          <w:rFonts w:ascii="Arial" w:eastAsia="Times New Roman" w:hAnsi="Arial" w:cs="Arial"/>
          <w:i/>
          <w:szCs w:val="28"/>
          <w:lang w:val="uk-UA"/>
        </w:rPr>
        <w:t>ю</w:t>
      </w:r>
      <w:r w:rsidR="00200E87" w:rsidRPr="00511005">
        <w:rPr>
          <w:rFonts w:ascii="Arial" w:eastAsia="Times New Roman" w:hAnsi="Arial" w:cs="Arial"/>
          <w:i/>
          <w:szCs w:val="28"/>
        </w:rPr>
        <w:t>.</w:t>
      </w:r>
      <w:r w:rsidR="00200E87" w:rsidRPr="00511005">
        <w:rPr>
          <w:rFonts w:ascii="Arial" w:eastAsia="Times New Roman" w:hAnsi="Arial" w:cs="Arial"/>
          <w:i/>
          <w:szCs w:val="28"/>
          <w:lang w:val="uk-UA"/>
        </w:rPr>
        <w:t>н., доцент Заверюха М. М.</w:t>
      </w:r>
    </w:p>
    <w:p w14:paraId="5B05B725" w14:textId="77777777" w:rsidR="00200E87" w:rsidRPr="00511005" w:rsidRDefault="00200E87" w:rsidP="003A292D">
      <w:pPr>
        <w:keepNext/>
        <w:spacing w:line="264" w:lineRule="auto"/>
        <w:ind w:firstLine="540"/>
        <w:rPr>
          <w:rFonts w:ascii="Arial" w:eastAsia="Times New Roman" w:hAnsi="Arial" w:cs="Arial"/>
          <w:b/>
          <w:i/>
          <w:szCs w:val="28"/>
          <w:lang w:val="uk-UA" w:eastAsia="ru-RU"/>
        </w:rPr>
      </w:pPr>
    </w:p>
    <w:p w14:paraId="054FFF28" w14:textId="77777777" w:rsidR="00200E87" w:rsidRPr="00511005" w:rsidRDefault="00200E87" w:rsidP="003A292D">
      <w:pPr>
        <w:spacing w:line="264" w:lineRule="auto"/>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Лошовська Анастасія Едуардівна</w:t>
      </w:r>
    </w:p>
    <w:p w14:paraId="68FC468B" w14:textId="57CE4AB4" w:rsidR="00200E87" w:rsidRPr="00511005" w:rsidRDefault="00536AAB"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4-го курсу </w:t>
      </w:r>
      <w:r w:rsidR="007B2628" w:rsidRPr="00511005">
        <w:rPr>
          <w:rFonts w:ascii="Arial" w:eastAsia="Times New Roman" w:hAnsi="Arial" w:cs="Arial"/>
          <w:szCs w:val="28"/>
          <w:lang w:val="uk-UA" w:eastAsia="uk-UA"/>
        </w:rPr>
        <w:t>факультету цивільної та господарської юстиції</w:t>
      </w:r>
      <w:r w:rsidR="00200E87" w:rsidRPr="00511005">
        <w:rPr>
          <w:rFonts w:ascii="Arial" w:eastAsia="Times New Roman" w:hAnsi="Arial" w:cs="Arial"/>
          <w:szCs w:val="28"/>
          <w:lang w:val="uk-UA" w:eastAsia="uk-UA"/>
        </w:rPr>
        <w:br/>
      </w:r>
      <w:r w:rsidR="007B2628" w:rsidRPr="00511005">
        <w:rPr>
          <w:rFonts w:ascii="Arial" w:eastAsia="Times New Roman" w:hAnsi="Arial" w:cs="Arial"/>
          <w:szCs w:val="28"/>
          <w:lang w:val="uk-UA" w:eastAsia="uk-UA"/>
        </w:rPr>
        <w:t>Національного університету «Одеська юридична академія»</w:t>
      </w:r>
    </w:p>
    <w:p w14:paraId="312B385C" w14:textId="77777777" w:rsidR="00200E87" w:rsidRPr="00511005" w:rsidRDefault="00200E87" w:rsidP="003A292D">
      <w:pPr>
        <w:spacing w:line="264" w:lineRule="auto"/>
        <w:jc w:val="center"/>
        <w:rPr>
          <w:rFonts w:ascii="Arial" w:eastAsia="Times New Roman" w:hAnsi="Arial" w:cs="Arial"/>
          <w:szCs w:val="28"/>
          <w:lang w:val="uk-UA" w:eastAsia="uk-UA"/>
        </w:rPr>
      </w:pPr>
    </w:p>
    <w:p w14:paraId="621DF08B" w14:textId="77777777" w:rsidR="00200E87" w:rsidRPr="00511005" w:rsidRDefault="00200E87" w:rsidP="003A292D">
      <w:pPr>
        <w:spacing w:line="264" w:lineRule="auto"/>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 xml:space="preserve">ПОРУШЕННЯ ЕКОЛОГІЧНИХ ПРАВ ЛЮДИНИ В УКРАЇНІ </w:t>
      </w:r>
    </w:p>
    <w:p w14:paraId="31A1FD82" w14:textId="77777777" w:rsidR="00200E87" w:rsidRPr="00511005" w:rsidRDefault="00200E87" w:rsidP="003A292D">
      <w:pPr>
        <w:spacing w:line="264" w:lineRule="auto"/>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 xml:space="preserve">У ПЕРІОД ВОЄННОГО СТАНУ </w:t>
      </w:r>
    </w:p>
    <w:p w14:paraId="2E87251E"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Екологічні права людини – це гарантовані законом можливості кожної особи жити у безпечному та чистому довкіллі. Відповідно до Основного Закону, саме земля визначена основним національним багатством, яке перебуває під особливою охороною держави</w:t>
      </w:r>
      <w:bookmarkStart w:id="203" w:name="_Hlk196132941"/>
      <w:r w:rsidRPr="00511005">
        <w:rPr>
          <w:rFonts w:ascii="Arial" w:eastAsia="Times New Roman" w:hAnsi="Arial" w:cs="Arial"/>
          <w:szCs w:val="28"/>
          <w:lang w:val="uk-UA"/>
        </w:rPr>
        <w:t xml:space="preserve"> [1]. </w:t>
      </w:r>
      <w:bookmarkEnd w:id="203"/>
      <w:r w:rsidRPr="00511005">
        <w:rPr>
          <w:rFonts w:ascii="Arial" w:eastAsia="Times New Roman" w:hAnsi="Arial" w:cs="Arial"/>
          <w:szCs w:val="28"/>
          <w:lang w:val="uk-UA"/>
        </w:rPr>
        <w:t xml:space="preserve">Право власності на землю гарантується, втім з початком повномасштабної війни в Україні (воєнний стан запроваджено з лютого 2022 року) ситуація з дотриманням екологічних </w:t>
      </w:r>
      <w:r w:rsidRPr="00511005">
        <w:rPr>
          <w:rFonts w:ascii="Arial" w:eastAsia="Times New Roman" w:hAnsi="Arial" w:cs="Arial"/>
          <w:szCs w:val="28"/>
          <w:lang w:val="uk-UA"/>
        </w:rPr>
        <w:lastRenderedPageBreak/>
        <w:t>прав різко ускладнилася. Воєнні дії спричинили безпрецедентні руйнування інфраструктури, забруднення повітря, води і ґрунтів, а також масштабне знищення природних ресурсів. Ці явища напряму порушують право людей на безпечне довкілля, завдають шкоди їхньому здоров’ю та позбавляють доступу до життєво важливих екосистемних послуг.</w:t>
      </w:r>
    </w:p>
    <w:p w14:paraId="11A7AEEB"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Нижче розглянуто ключові категорії порушень екологічних прав, спричинених бойовими діями: </w:t>
      </w:r>
    </w:p>
    <w:p w14:paraId="68EE17A1" w14:textId="77777777" w:rsidR="00200E87" w:rsidRPr="00511005" w:rsidRDefault="00200E87" w:rsidP="003F6A5D">
      <w:pPr>
        <w:numPr>
          <w:ilvl w:val="0"/>
          <w:numId w:val="488"/>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Руйнування інфраструктури і техногенні аварії.</w:t>
      </w:r>
    </w:p>
    <w:p w14:paraId="110D666A"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Обстріли та вибухи призводять до пошкодження екологічно небезпечних об’єктів – промислових підприємств, нафтобаз, хімічних заводів, очисних споруд, дамб та електростанцій. </w:t>
      </w:r>
    </w:p>
    <w:p w14:paraId="4A1EABB3" w14:textId="77777777" w:rsidR="00200E87" w:rsidRPr="00511005" w:rsidRDefault="00200E87" w:rsidP="003F6A5D">
      <w:pPr>
        <w:numPr>
          <w:ilvl w:val="0"/>
          <w:numId w:val="488"/>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Військове забруднення повітря, ґрунтів і води.</w:t>
      </w:r>
    </w:p>
    <w:p w14:paraId="15ADDEE7"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Бойові дії генерують масу забруднювальних агентів. Вибухи боєприпасів викидають у атмосферу дрібні частки металів та токсичні хімічні сполуки вибухових речовин.</w:t>
      </w:r>
    </w:p>
    <w:p w14:paraId="4A4CF479" w14:textId="77777777" w:rsidR="00200E87" w:rsidRPr="00511005" w:rsidRDefault="00200E87" w:rsidP="003F6A5D">
      <w:pPr>
        <w:numPr>
          <w:ilvl w:val="0"/>
          <w:numId w:val="488"/>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 xml:space="preserve">Знищення природних ресурсів та екосистем. </w:t>
      </w:r>
    </w:p>
    <w:p w14:paraId="054B9469"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Воєнні дії охопили значні території України, у тому числі унікальні природні райони. Артилерійські обстріли та авіаудари спричинили масштабні лісові пожежі і загоряння степової рослинності. За даними супутникового моніторингу, вже у 2022 році пожежами, викликаними ударами, було пошкоджено </w:t>
      </w:r>
      <w:r w:rsidRPr="00511005">
        <w:rPr>
          <w:rFonts w:ascii="Arial" w:eastAsia="Times New Roman" w:hAnsi="Arial" w:cs="Arial"/>
          <w:bCs/>
          <w:szCs w:val="28"/>
          <w:lang w:val="uk-UA"/>
        </w:rPr>
        <w:t xml:space="preserve">понад 100 000 гектарів природних екосистем </w:t>
      </w:r>
      <w:r w:rsidRPr="00511005">
        <w:rPr>
          <w:rFonts w:ascii="Arial" w:eastAsia="Times New Roman" w:hAnsi="Arial" w:cs="Arial"/>
          <w:szCs w:val="28"/>
          <w:lang w:val="uk-UA"/>
        </w:rPr>
        <w:t>[2].</w:t>
      </w:r>
    </w:p>
    <w:p w14:paraId="3F893A70" w14:textId="77777777" w:rsidR="00200E87" w:rsidRPr="00511005" w:rsidRDefault="00200E87" w:rsidP="003F6A5D">
      <w:pPr>
        <w:numPr>
          <w:ilvl w:val="0"/>
          <w:numId w:val="488"/>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 xml:space="preserve">Гуманітарна криза та втрата доступу до екологічних благ. </w:t>
      </w:r>
    </w:p>
    <w:p w14:paraId="0E93C0AB"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Війна створила умови, за яких мільйони людей втратили доступ до чистої води, санітарії, і нормальних екологічних умов життя.</w:t>
      </w:r>
    </w:p>
    <w:p w14:paraId="55531BC3"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Щодо основних нормативних актів, які гарантують екологічні права та передбачають відповідальність за їх порушення, наступні: </w:t>
      </w:r>
    </w:p>
    <w:p w14:paraId="705CF828"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 Конституція України. </w:t>
      </w:r>
    </w:p>
    <w:p w14:paraId="39A8FB16"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Стаття 16 та 50 Конституції, в яких зазначено, що обов’язок держави забезпечувати екологічну безпеку [1].</w:t>
      </w:r>
    </w:p>
    <w:p w14:paraId="22B54BD8"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 Базовий екологічний закон. </w:t>
      </w:r>
    </w:p>
    <w:p w14:paraId="202B5092"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Закон України «Про охорону навколишнього природного середовища» від 25 червня 1991 року [3].</w:t>
      </w:r>
    </w:p>
    <w:p w14:paraId="38BEC63C"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 Кримінальний кодекс України. </w:t>
      </w:r>
    </w:p>
    <w:p w14:paraId="09C7B36F"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bCs/>
          <w:szCs w:val="28"/>
          <w:lang w:val="uk-UA"/>
        </w:rPr>
        <w:t xml:space="preserve">Стаття 441 Кримінального кодексу України визначає злочин </w:t>
      </w:r>
      <w:r w:rsidRPr="00511005">
        <w:rPr>
          <w:rFonts w:ascii="Arial" w:eastAsia="Times New Roman" w:hAnsi="Arial" w:cs="Arial"/>
          <w:bCs/>
          <w:i/>
          <w:szCs w:val="28"/>
          <w:lang w:val="uk-UA"/>
        </w:rPr>
        <w:t xml:space="preserve">«екоцид» </w:t>
      </w:r>
      <w:r w:rsidRPr="00511005">
        <w:rPr>
          <w:rFonts w:ascii="Arial" w:eastAsia="Times New Roman" w:hAnsi="Arial" w:cs="Arial"/>
          <w:bCs/>
          <w:szCs w:val="28"/>
          <w:lang w:val="uk-UA"/>
        </w:rPr>
        <w:t>як масове знищення рослинного або тваринного світу, отруєння атмосфери або водних ресурсів, а також вчинення інших дій, що можуть спричинити екологічну катастрофу [4] тощо.</w:t>
      </w:r>
    </w:p>
    <w:p w14:paraId="4D3B4F50"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На нашу думку, виклики полягають не у відсутності норм, а в складності їх реалізації у воєнний час. Тим не менше, правова база стане підґрунтям для притягнення агресора до відповідальності за завдану довкіллю шкоду та для відшкодування екологічних збитків постраждалим громадам. </w:t>
      </w:r>
    </w:p>
    <w:p w14:paraId="775E8D6C" w14:textId="1FEBCC05"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lastRenderedPageBreak/>
        <w:t>Декілька прикладів, що ілюструють масштаб і характер екологічних правопорушень у період воєнного стану:</w:t>
      </w:r>
    </w:p>
    <w:p w14:paraId="33FE97E9" w14:textId="6BF67925" w:rsidR="001045DE" w:rsidRPr="00511005" w:rsidRDefault="001045DE" w:rsidP="003A292D">
      <w:pPr>
        <w:spacing w:line="264" w:lineRule="auto"/>
        <w:ind w:firstLine="567"/>
        <w:rPr>
          <w:rFonts w:ascii="Arial" w:eastAsia="Times New Roman" w:hAnsi="Arial" w:cs="Arial"/>
          <w:szCs w:val="28"/>
          <w:lang w:val="uk-UA"/>
        </w:rPr>
      </w:pPr>
      <w:r w:rsidRPr="00511005">
        <w:rPr>
          <w:rFonts w:ascii="Arial" w:eastAsia="Calibri" w:hAnsi="Arial" w:cs="Arial"/>
          <w:b/>
          <w:szCs w:val="28"/>
          <w:lang w:eastAsia="ru-RU"/>
        </w:rPr>
        <w:t>Підрив Каховської ГЕС – техногенно-екологічна катастрофа</w:t>
      </w:r>
    </w:p>
    <w:p w14:paraId="0024CF2F" w14:textId="69928211"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У червні 2023 року російські війська підірвали греблю Каховської ГЕС, що спричинило масштабне затоплення територій нижнього Дніпра. Катастрофа призвела до загибелі людей, знищення екосистем і забруднення вод хімікатами. Було втрачено питну воду для понад мільйона осіб і зрошення сільгоспугідь. </w:t>
      </w:r>
    </w:p>
    <w:p w14:paraId="3494A94F" w14:textId="4D8A34AB" w:rsidR="001045DE" w:rsidRPr="00511005" w:rsidRDefault="001045DE" w:rsidP="003A292D">
      <w:pPr>
        <w:spacing w:line="264" w:lineRule="auto"/>
        <w:ind w:firstLine="567"/>
        <w:rPr>
          <w:rFonts w:ascii="Arial" w:eastAsia="Times New Roman" w:hAnsi="Arial" w:cs="Arial"/>
          <w:szCs w:val="28"/>
          <w:lang w:val="uk-UA"/>
        </w:rPr>
      </w:pPr>
      <w:r w:rsidRPr="00511005">
        <w:rPr>
          <w:rFonts w:ascii="Arial" w:eastAsia="Calibri" w:hAnsi="Arial" w:cs="Arial"/>
          <w:b/>
          <w:szCs w:val="28"/>
          <w:lang w:eastAsia="ru-RU"/>
        </w:rPr>
        <w:t>Донбас: забруднення довкілля та техногенні ризики війни</w:t>
      </w:r>
    </w:p>
    <w:p w14:paraId="1C2CD506" w14:textId="4A136993"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Донбас, ще до війни екологічно вразливий через важку промисловість, під час бойових дій став зоною екологічного лиха. Внаслідок обстрілів постраждали хімічні заводи, затопилися шахти з токсичними водами, а річки й ґрунти були масово забруднені. Регіон залишився без питної води, а земля стала непридатною для сільського господарства. Мільйони людей втратили доступ до чистого довкілля, а відновлення екологічної безпеки потребуватиме багаторічної роботи. Цей випадок демонструє, як війна системно порушує екологічні права населення.</w:t>
      </w:r>
    </w:p>
    <w:p w14:paraId="65C603FE" w14:textId="62A353E7" w:rsidR="001045DE" w:rsidRPr="00511005" w:rsidRDefault="001045DE" w:rsidP="003A292D">
      <w:pPr>
        <w:spacing w:line="264" w:lineRule="auto"/>
        <w:ind w:firstLine="567"/>
        <w:rPr>
          <w:rFonts w:ascii="Arial" w:eastAsia="Times New Roman" w:hAnsi="Arial" w:cs="Arial"/>
          <w:szCs w:val="28"/>
          <w:lang w:val="uk-UA"/>
        </w:rPr>
      </w:pPr>
      <w:r w:rsidRPr="00511005">
        <w:rPr>
          <w:rFonts w:ascii="Arial" w:eastAsia="Calibri" w:hAnsi="Arial" w:cs="Arial"/>
          <w:b/>
          <w:szCs w:val="28"/>
          <w:lang w:val="uk-UA" w:eastAsia="ru-RU"/>
        </w:rPr>
        <w:t>Лісові пожежі та знищення природних заповідників</w:t>
      </w:r>
    </w:p>
    <w:p w14:paraId="4D280704" w14:textId="77777777" w:rsidR="001045DE" w:rsidRPr="00511005" w:rsidRDefault="001045DE" w:rsidP="003A292D">
      <w:pPr>
        <w:spacing w:line="264" w:lineRule="auto"/>
        <w:ind w:firstLine="567"/>
        <w:rPr>
          <w:rFonts w:ascii="Arial" w:eastAsia="Calibri" w:hAnsi="Arial" w:cs="Arial"/>
          <w:bCs/>
          <w:szCs w:val="28"/>
          <w:lang w:val="uk-UA" w:eastAsia="ru-RU"/>
        </w:rPr>
      </w:pPr>
      <w:r w:rsidRPr="00511005">
        <w:rPr>
          <w:rFonts w:ascii="Arial" w:eastAsia="Calibri" w:hAnsi="Arial" w:cs="Arial"/>
          <w:bCs/>
          <w:szCs w:val="28"/>
          <w:lang w:val="uk-UA" w:eastAsia="ru-RU"/>
        </w:rPr>
        <w:t>Війна в Україні спричинила масштабні пожежі у природоохоронних зонах, включно з Чорнобильською зоною, Святими Горами, Кінбурнською косою та іншими цінними екосистемами. Знищено сотні об’єктів природно-заповідного фонду, що призвело до втрат рідкісних видів і порушення права на чисте довкілля для нинішніх і майбутніх поколінь. Дим від пожеж забруднює повітря, а викиди CO</w:t>
      </w:r>
      <w:r w:rsidRPr="00511005">
        <w:rPr>
          <w:rFonts w:ascii="Cambria Math" w:eastAsia="Calibri" w:hAnsi="Cambria Math" w:cs="Cambria Math"/>
          <w:bCs/>
          <w:szCs w:val="28"/>
          <w:lang w:val="uk-UA" w:eastAsia="ru-RU"/>
        </w:rPr>
        <w:t>₂</w:t>
      </w:r>
      <w:r w:rsidRPr="00511005">
        <w:rPr>
          <w:rFonts w:ascii="Arial" w:eastAsia="Calibri" w:hAnsi="Arial" w:cs="Arial"/>
          <w:bCs/>
          <w:szCs w:val="28"/>
          <w:lang w:val="uk-UA" w:eastAsia="ru-RU"/>
        </w:rPr>
        <w:t xml:space="preserve"> посилюють кліматичні зміни. Крім того, зафіксовано отруєння ґрунтів, загибель дельфінів, радіаційні ризики – усе це створює серйозну екологічну загрозу. </w:t>
      </w:r>
    </w:p>
    <w:p w14:paraId="656ED021" w14:textId="070104F6"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Повномасштабна війна в Україні чітко продемонструвала, що довкілля стає «тихою жертвою» збройних конфліктів [5], а разом із тим страждають і фундаментальні екологічні права людини. Порушення цих прав у період воєнного стану набули безпрецедентного масштабу: тисячі випадків екологічної шкоди, забруднені повітря і води, знищені природні багатства, мільйони людей, що живуть під загрозою екологічних небезпек. Право на безпечне довкілля, закріплене в Конституції, у багатьох регіонах фактично порушене агресором. Однак навіть у таких умовах надзвичайно важливо відстоювати дотримання екологічних прав. Якщо знехтувати екологічними аспектами зараз, наслідки для населення можуть бути відчутними десятиліттями (зростання захворювань, непридатність земель, дефіцит води тощо). </w:t>
      </w:r>
    </w:p>
    <w:p w14:paraId="67335C0D" w14:textId="77777777" w:rsidR="00200E87" w:rsidRPr="00511005" w:rsidRDefault="00200E87" w:rsidP="003A292D">
      <w:pPr>
        <w:spacing w:line="264" w:lineRule="auto"/>
        <w:rPr>
          <w:rFonts w:ascii="Arial" w:eastAsia="Times New Roman" w:hAnsi="Arial" w:cs="Arial"/>
          <w:szCs w:val="28"/>
          <w:lang w:val="uk-UA"/>
        </w:rPr>
      </w:pPr>
    </w:p>
    <w:p w14:paraId="385F454D" w14:textId="073F54BB" w:rsidR="00200E87" w:rsidRPr="00511005" w:rsidRDefault="007B2628" w:rsidP="007B2628">
      <w:pPr>
        <w:keepNext/>
        <w:widowControl w:val="0"/>
        <w:spacing w:line="264" w:lineRule="auto"/>
        <w:jc w:val="center"/>
        <w:rPr>
          <w:rFonts w:ascii="Arial" w:eastAsia="Times New Roman" w:hAnsi="Arial" w:cs="Arial"/>
          <w:b/>
          <w:iCs/>
          <w:szCs w:val="28"/>
          <w:lang w:val="uk-UA"/>
        </w:rPr>
      </w:pPr>
      <w:r w:rsidRPr="00511005">
        <w:rPr>
          <w:rFonts w:ascii="Arial" w:eastAsia="Times New Roman" w:hAnsi="Arial" w:cs="Arial"/>
          <w:b/>
          <w:iCs/>
          <w:szCs w:val="28"/>
          <w:lang w:val="uk-UA"/>
        </w:rPr>
        <w:t>Список використаних джерел</w:t>
      </w:r>
    </w:p>
    <w:p w14:paraId="39F26800" w14:textId="77777777" w:rsidR="00200E87" w:rsidRPr="00511005" w:rsidRDefault="00200E87" w:rsidP="003A292D">
      <w:pPr>
        <w:spacing w:line="264" w:lineRule="auto"/>
        <w:rPr>
          <w:rFonts w:ascii="Arial" w:eastAsia="Times New Roman" w:hAnsi="Arial" w:cs="Arial"/>
          <w:bCs/>
          <w:szCs w:val="28"/>
          <w:lang w:val="uk-UA"/>
        </w:rPr>
      </w:pPr>
      <w:r w:rsidRPr="00511005">
        <w:rPr>
          <w:rFonts w:ascii="Arial" w:eastAsia="Times New Roman" w:hAnsi="Arial" w:cs="Arial"/>
          <w:bCs/>
          <w:szCs w:val="28"/>
          <w:lang w:val="uk-UA"/>
        </w:rPr>
        <w:t>1.</w:t>
      </w:r>
      <w:r w:rsidRPr="00511005">
        <w:rPr>
          <w:rFonts w:ascii="Arial" w:eastAsia="Times New Roman" w:hAnsi="Arial" w:cs="Arial"/>
          <w:szCs w:val="28"/>
          <w:lang w:val="uk-UA"/>
        </w:rPr>
        <w:t xml:space="preserve">Конституція України: прийнята 28 червня 1996 року. </w:t>
      </w:r>
      <w:r w:rsidRPr="00511005">
        <w:rPr>
          <w:rFonts w:ascii="Arial" w:eastAsia="Times New Roman" w:hAnsi="Arial" w:cs="Arial"/>
          <w:i/>
          <w:iCs/>
          <w:szCs w:val="28"/>
          <w:lang w:val="uk-UA"/>
        </w:rPr>
        <w:t>Відомості Верховної Ради України.</w:t>
      </w:r>
      <w:r w:rsidRPr="00511005">
        <w:rPr>
          <w:rFonts w:ascii="Arial" w:eastAsia="Times New Roman" w:hAnsi="Arial" w:cs="Arial"/>
          <w:szCs w:val="28"/>
          <w:lang w:val="uk-UA"/>
        </w:rPr>
        <w:t xml:space="preserve"> 1996. № 30. Ст. 141.</w:t>
      </w:r>
    </w:p>
    <w:p w14:paraId="238C975A" w14:textId="77777777" w:rsidR="00200E87" w:rsidRPr="00511005" w:rsidRDefault="00200E87" w:rsidP="003A292D">
      <w:pPr>
        <w:spacing w:line="264" w:lineRule="auto"/>
        <w:rPr>
          <w:rFonts w:ascii="Arial" w:eastAsia="Times New Roman" w:hAnsi="Arial" w:cs="Arial"/>
          <w:bCs/>
          <w:szCs w:val="28"/>
          <w:lang w:val="uk-UA"/>
        </w:rPr>
      </w:pPr>
      <w:r w:rsidRPr="00511005">
        <w:rPr>
          <w:rFonts w:ascii="Arial" w:eastAsia="Times New Roman" w:hAnsi="Arial" w:cs="Arial"/>
          <w:bCs/>
          <w:szCs w:val="28"/>
          <w:lang w:val="uk-UA"/>
        </w:rPr>
        <w:lastRenderedPageBreak/>
        <w:t xml:space="preserve">2. Assessing the environmental impacts of the war in Ukraine. </w:t>
      </w:r>
      <w:r w:rsidRPr="00511005">
        <w:rPr>
          <w:rFonts w:ascii="Arial" w:eastAsia="Times New Roman" w:hAnsi="Arial" w:cs="Arial"/>
          <w:szCs w:val="28"/>
          <w:lang w:val="uk-UA"/>
        </w:rPr>
        <w:t xml:space="preserve">URL: </w:t>
      </w:r>
      <w:hyperlink r:id="rId1733" w:history="1">
        <w:r w:rsidRPr="00511005">
          <w:rPr>
            <w:rFonts w:ascii="Arial" w:eastAsia="Times New Roman" w:hAnsi="Arial" w:cs="Arial"/>
            <w:bCs/>
            <w:szCs w:val="28"/>
            <w:lang w:val="uk-UA"/>
          </w:rPr>
          <w:t>https://surl.li/qwaxke</w:t>
        </w:r>
      </w:hyperlink>
      <w:r w:rsidRPr="00511005">
        <w:rPr>
          <w:rFonts w:ascii="Arial" w:eastAsia="Times New Roman" w:hAnsi="Arial" w:cs="Arial"/>
          <w:szCs w:val="28"/>
          <w:lang w:val="uk-UA"/>
        </w:rPr>
        <w:t xml:space="preserve"> </w:t>
      </w:r>
      <w:r w:rsidRPr="00511005">
        <w:rPr>
          <w:rFonts w:ascii="Arial" w:eastAsia="Times New Roman" w:hAnsi="Arial" w:cs="Arial"/>
          <w:bCs/>
          <w:szCs w:val="28"/>
          <w:lang w:val="uk-UA"/>
        </w:rPr>
        <w:t>(дата звернення: 21.04.2025)</w:t>
      </w:r>
    </w:p>
    <w:p w14:paraId="639718E2" w14:textId="77777777" w:rsidR="00200E87" w:rsidRPr="00511005" w:rsidRDefault="00200E87" w:rsidP="003A292D">
      <w:pPr>
        <w:spacing w:line="264" w:lineRule="auto"/>
        <w:rPr>
          <w:rFonts w:ascii="Arial" w:eastAsia="Times New Roman" w:hAnsi="Arial" w:cs="Arial"/>
          <w:bCs/>
          <w:szCs w:val="28"/>
          <w:lang w:val="uk-UA"/>
        </w:rPr>
      </w:pPr>
      <w:r w:rsidRPr="00511005">
        <w:rPr>
          <w:rFonts w:ascii="Arial" w:eastAsia="Times New Roman" w:hAnsi="Arial" w:cs="Arial"/>
          <w:bCs/>
          <w:szCs w:val="28"/>
          <w:lang w:val="uk-UA"/>
        </w:rPr>
        <w:t xml:space="preserve">3. Про охорону навколишнього природного середовища: Закон України </w:t>
      </w:r>
      <w:bookmarkStart w:id="204" w:name="_Hlk196132959"/>
      <w:r w:rsidRPr="00511005">
        <w:rPr>
          <w:rFonts w:ascii="Arial" w:eastAsia="Times New Roman" w:hAnsi="Arial" w:cs="Arial"/>
          <w:bCs/>
          <w:szCs w:val="28"/>
          <w:lang w:val="uk-UA"/>
        </w:rPr>
        <w:t>від 25 червня 1991 року</w:t>
      </w:r>
      <w:bookmarkEnd w:id="204"/>
      <w:r w:rsidRPr="00511005">
        <w:rPr>
          <w:rFonts w:ascii="Arial" w:eastAsia="Times New Roman" w:hAnsi="Arial" w:cs="Arial"/>
          <w:bCs/>
          <w:szCs w:val="28"/>
          <w:lang w:val="uk-UA"/>
        </w:rPr>
        <w:t xml:space="preserve">. </w:t>
      </w:r>
      <w:r w:rsidRPr="00511005">
        <w:rPr>
          <w:rFonts w:ascii="Arial" w:eastAsia="Times New Roman" w:hAnsi="Arial" w:cs="Arial"/>
          <w:bCs/>
          <w:i/>
          <w:szCs w:val="28"/>
          <w:lang w:val="uk-UA"/>
        </w:rPr>
        <w:t>Відомості Верховної Ради України</w:t>
      </w:r>
      <w:r w:rsidRPr="00511005">
        <w:rPr>
          <w:rFonts w:ascii="Arial" w:eastAsia="Times New Roman" w:hAnsi="Arial" w:cs="Arial"/>
          <w:bCs/>
          <w:szCs w:val="28"/>
          <w:lang w:val="uk-UA"/>
        </w:rPr>
        <w:t>. 1991. № 41. Ст. 546.</w:t>
      </w:r>
    </w:p>
    <w:p w14:paraId="36A270FE" w14:textId="77777777" w:rsidR="00200E87" w:rsidRPr="00511005" w:rsidRDefault="00200E87" w:rsidP="003A292D">
      <w:pPr>
        <w:spacing w:line="264" w:lineRule="auto"/>
        <w:rPr>
          <w:rFonts w:ascii="Arial" w:eastAsia="Times New Roman" w:hAnsi="Arial" w:cs="Arial"/>
          <w:bCs/>
          <w:szCs w:val="28"/>
          <w:lang w:val="uk-UA"/>
        </w:rPr>
      </w:pPr>
      <w:r w:rsidRPr="00511005">
        <w:rPr>
          <w:rFonts w:ascii="Arial" w:eastAsia="Times New Roman" w:hAnsi="Arial" w:cs="Arial"/>
          <w:bCs/>
          <w:szCs w:val="28"/>
          <w:lang w:val="uk-UA"/>
        </w:rPr>
        <w:t xml:space="preserve">4. Кримінальний кодекс України: прийнятий 5 квітня 2001 року. </w:t>
      </w:r>
      <w:r w:rsidRPr="00511005">
        <w:rPr>
          <w:rFonts w:ascii="Arial" w:eastAsia="Times New Roman" w:hAnsi="Arial" w:cs="Arial"/>
          <w:bCs/>
          <w:i/>
          <w:szCs w:val="28"/>
          <w:lang w:val="uk-UA"/>
        </w:rPr>
        <w:t>Відомості Верховної Ради України</w:t>
      </w:r>
      <w:r w:rsidRPr="00511005">
        <w:rPr>
          <w:rFonts w:ascii="Arial" w:eastAsia="Times New Roman" w:hAnsi="Arial" w:cs="Arial"/>
          <w:bCs/>
          <w:szCs w:val="28"/>
          <w:lang w:val="uk-UA"/>
        </w:rPr>
        <w:t>. 2001. № 25. Ст. 131.</w:t>
      </w:r>
    </w:p>
    <w:p w14:paraId="10D5806A" w14:textId="77777777" w:rsidR="00200E87" w:rsidRPr="00511005" w:rsidRDefault="00200E87" w:rsidP="003A292D">
      <w:pPr>
        <w:spacing w:line="264" w:lineRule="auto"/>
        <w:rPr>
          <w:rFonts w:ascii="Arial" w:eastAsia="Times New Roman" w:hAnsi="Arial" w:cs="Arial"/>
          <w:bCs/>
          <w:szCs w:val="28"/>
          <w:lang w:val="uk-UA"/>
        </w:rPr>
      </w:pPr>
      <w:r w:rsidRPr="00511005">
        <w:rPr>
          <w:rFonts w:ascii="Arial" w:eastAsia="Times New Roman" w:hAnsi="Arial" w:cs="Arial"/>
          <w:bCs/>
          <w:szCs w:val="28"/>
          <w:lang w:val="uk-UA"/>
        </w:rPr>
        <w:t>5. Ecocide as a weapon of war. URL:</w:t>
      </w:r>
      <w:hyperlink r:id="rId1734" w:history="1">
        <w:r w:rsidRPr="00511005">
          <w:rPr>
            <w:rFonts w:ascii="Arial" w:eastAsia="Times New Roman" w:hAnsi="Arial" w:cs="Arial"/>
            <w:bCs/>
            <w:szCs w:val="28"/>
            <w:lang w:val="uk-UA"/>
          </w:rPr>
          <w:t>https://surl.li/fhoncj</w:t>
        </w:r>
      </w:hyperlink>
      <w:r w:rsidRPr="00511005">
        <w:rPr>
          <w:rFonts w:ascii="Arial" w:eastAsia="Times New Roman" w:hAnsi="Arial" w:cs="Arial"/>
          <w:szCs w:val="28"/>
          <w:lang w:val="uk-UA"/>
        </w:rPr>
        <w:t xml:space="preserve"> </w:t>
      </w:r>
      <w:r w:rsidRPr="00511005">
        <w:rPr>
          <w:rFonts w:ascii="Arial" w:eastAsia="Times New Roman" w:hAnsi="Arial" w:cs="Arial"/>
          <w:bCs/>
          <w:szCs w:val="28"/>
          <w:lang w:val="uk-UA"/>
        </w:rPr>
        <w:t>(дата звернення: 21.04.2025)</w:t>
      </w:r>
    </w:p>
    <w:p w14:paraId="69AC2890" w14:textId="77777777" w:rsidR="00200E87" w:rsidRPr="00511005" w:rsidRDefault="00200E87" w:rsidP="003A292D">
      <w:pPr>
        <w:spacing w:line="264" w:lineRule="auto"/>
        <w:rPr>
          <w:rFonts w:ascii="Arial" w:eastAsia="Times New Roman" w:hAnsi="Arial" w:cs="Arial"/>
          <w:bCs/>
          <w:szCs w:val="28"/>
          <w:lang w:val="uk-UA"/>
        </w:rPr>
      </w:pPr>
    </w:p>
    <w:p w14:paraId="0C9D1626" w14:textId="46A3F22F" w:rsidR="00200E87" w:rsidRPr="00511005" w:rsidRDefault="007B2628" w:rsidP="003A292D">
      <w:pPr>
        <w:keepNext/>
        <w:spacing w:line="264" w:lineRule="auto"/>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200E87" w:rsidRPr="00511005">
        <w:rPr>
          <w:rFonts w:ascii="Arial" w:eastAsia="Times New Roman" w:hAnsi="Arial" w:cs="Arial"/>
          <w:bCs/>
          <w:szCs w:val="28"/>
          <w:lang w:val="uk-UA"/>
        </w:rPr>
        <w:t xml:space="preserve">земля, охорона держави, </w:t>
      </w:r>
      <w:r w:rsidR="00200E87" w:rsidRPr="00511005">
        <w:rPr>
          <w:rFonts w:ascii="Arial" w:eastAsia="Times New Roman" w:hAnsi="Arial" w:cs="Arial"/>
          <w:szCs w:val="28"/>
          <w:lang w:val="uk-UA"/>
        </w:rPr>
        <w:t>війна, воєнний стан, забруднення,екологічні права, права людини, катастрофа, бойові дії, чисте довкілля.</w:t>
      </w:r>
    </w:p>
    <w:p w14:paraId="0167709F" w14:textId="0D5346D8" w:rsidR="00200E87" w:rsidRPr="00511005" w:rsidRDefault="007B2628" w:rsidP="003A292D">
      <w:pPr>
        <w:keepNext/>
        <w:spacing w:line="264" w:lineRule="auto"/>
        <w:rPr>
          <w:rFonts w:ascii="Arial" w:eastAsia="Times New Roman" w:hAnsi="Arial" w:cs="Arial"/>
          <w:bCs/>
          <w:szCs w:val="28"/>
          <w:lang w:val="uk-UA"/>
        </w:rPr>
      </w:pPr>
      <w:r w:rsidRPr="00511005">
        <w:rPr>
          <w:rFonts w:ascii="Arial" w:eastAsia="Times New Roman" w:hAnsi="Arial" w:cs="Arial"/>
          <w:b/>
          <w:i/>
          <w:szCs w:val="28"/>
          <w:lang w:val="uk-UA"/>
        </w:rPr>
        <w:t xml:space="preserve">Key words: </w:t>
      </w:r>
      <w:r w:rsidR="00200E87" w:rsidRPr="00511005">
        <w:rPr>
          <w:rFonts w:ascii="Arial" w:eastAsia="Times New Roman" w:hAnsi="Arial" w:cs="Arial"/>
          <w:bCs/>
          <w:szCs w:val="28"/>
          <w:lang w:val="uk-UA"/>
        </w:rPr>
        <w:t>land, state protection, war, martial law, pollution, environmental rights, human rights, disaster, hostilities, clean environment.</w:t>
      </w:r>
    </w:p>
    <w:p w14:paraId="78583BCE" w14:textId="3ECCEF0B" w:rsidR="00200E87" w:rsidRPr="00511005" w:rsidRDefault="007B2628" w:rsidP="003A292D">
      <w:pPr>
        <w:keepNext/>
        <w:spacing w:line="264" w:lineRule="auto"/>
        <w:rPr>
          <w:rFonts w:ascii="Arial" w:eastAsia="Times New Roman" w:hAnsi="Arial" w:cs="Arial"/>
          <w:bCs/>
          <w:i/>
          <w:iCs/>
          <w:szCs w:val="28"/>
          <w:lang w:val="uk-UA"/>
        </w:rPr>
      </w:pPr>
      <w:r w:rsidRPr="00511005">
        <w:rPr>
          <w:rFonts w:ascii="Arial" w:eastAsia="Times New Roman" w:hAnsi="Arial" w:cs="Arial"/>
          <w:b/>
          <w:bCs/>
          <w:i/>
          <w:iCs/>
          <w:szCs w:val="28"/>
          <w:lang w:val="uk-UA"/>
        </w:rPr>
        <w:t xml:space="preserve">Науковий керівник: </w:t>
      </w:r>
      <w:r w:rsidR="00200E87" w:rsidRPr="00511005">
        <w:rPr>
          <w:rFonts w:ascii="Arial" w:eastAsia="Times New Roman" w:hAnsi="Arial" w:cs="Arial"/>
          <w:bCs/>
          <w:i/>
          <w:iCs/>
          <w:szCs w:val="28"/>
          <w:lang w:val="uk-UA"/>
        </w:rPr>
        <w:t>к.ю.н., доцент Заверюха М.М.</w:t>
      </w:r>
    </w:p>
    <w:p w14:paraId="6BFB48F1" w14:textId="77777777" w:rsidR="00200E87" w:rsidRPr="00511005" w:rsidRDefault="00200E87" w:rsidP="003A292D">
      <w:pPr>
        <w:keepNext/>
        <w:spacing w:line="264" w:lineRule="auto"/>
        <w:ind w:firstLine="540"/>
        <w:rPr>
          <w:rFonts w:ascii="Arial" w:eastAsia="Times New Roman" w:hAnsi="Arial" w:cs="Arial"/>
          <w:b/>
          <w:i/>
          <w:szCs w:val="28"/>
          <w:lang w:val="uk-UA" w:eastAsia="ru-RU"/>
        </w:rPr>
      </w:pPr>
    </w:p>
    <w:p w14:paraId="222A3BB7" w14:textId="77777777" w:rsidR="00200E87" w:rsidRPr="00511005" w:rsidRDefault="00200E87" w:rsidP="003A292D">
      <w:pPr>
        <w:keepNext/>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i/>
          <w:szCs w:val="28"/>
          <w:lang w:val="uk-UA"/>
        </w:rPr>
        <w:t>Момот Марія-Марина Олегівна</w:t>
      </w:r>
    </w:p>
    <w:p w14:paraId="4941A031" w14:textId="58F761E2" w:rsidR="00200E87"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4-го курсу </w:t>
      </w:r>
      <w:r w:rsidR="007B2628" w:rsidRPr="00511005">
        <w:rPr>
          <w:rFonts w:ascii="Arial" w:eastAsia="Times New Roman" w:hAnsi="Arial" w:cs="Arial"/>
          <w:szCs w:val="28"/>
          <w:lang w:val="uk-UA"/>
        </w:rPr>
        <w:t>факультету цивільної та господарської юстиції</w:t>
      </w:r>
      <w:r w:rsidR="00200E87" w:rsidRPr="00511005">
        <w:rPr>
          <w:rFonts w:ascii="Arial" w:eastAsia="Times New Roman" w:hAnsi="Arial" w:cs="Arial"/>
          <w:szCs w:val="28"/>
          <w:lang w:val="uk-UA"/>
        </w:rPr>
        <w:br/>
      </w:r>
      <w:r w:rsidR="007B2628" w:rsidRPr="00511005">
        <w:rPr>
          <w:rFonts w:ascii="Arial" w:eastAsia="Times New Roman" w:hAnsi="Arial" w:cs="Arial"/>
          <w:szCs w:val="28"/>
          <w:lang w:val="uk-UA"/>
        </w:rPr>
        <w:t>Національного університету «Одеська юридична академія»</w:t>
      </w:r>
    </w:p>
    <w:p w14:paraId="75AB40EE" w14:textId="77777777" w:rsidR="00200E87" w:rsidRPr="00511005" w:rsidRDefault="00200E87" w:rsidP="003A292D">
      <w:pPr>
        <w:spacing w:line="264" w:lineRule="auto"/>
        <w:ind w:firstLine="0"/>
        <w:jc w:val="center"/>
        <w:rPr>
          <w:rFonts w:ascii="Arial" w:eastAsia="Times New Roman" w:hAnsi="Arial" w:cs="Arial"/>
          <w:b/>
          <w:bCs/>
          <w:szCs w:val="28"/>
          <w:lang w:val="uk-UA"/>
        </w:rPr>
      </w:pPr>
    </w:p>
    <w:p w14:paraId="45E6CF17" w14:textId="77777777" w:rsidR="00200E87" w:rsidRPr="00511005" w:rsidRDefault="00200E87"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ДОСТУП ДО ЕКОЛОГІЧНОЇ ІНФОРМАЦІЇ ЯК ГАРАНТІЯ ПРАВА НА БЕЗПЕЧНЕ ДОВКІЛЛЯ У ВОЄННИХ РЕАЛІЯХ</w:t>
      </w:r>
    </w:p>
    <w:p w14:paraId="42A37D19"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Дослідження доступу до екологічної інформації як елементу права на безпечне довкілля в умовах воєнного стану є надзвичайно актуальним, особливо в сучасний час, коли багато країн стикаються з військовими конфліктами та загрозами національній безпеці.</w:t>
      </w:r>
    </w:p>
    <w:p w14:paraId="1502F676"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Військові конфлікти, зокрема повномасштабна війна в Україні, завдають серйозної шкоди навколишньому середовищу. Наслідки бойових дій включають забруднення повітря, вод, ґрунтів, знищення природних екосистем, руйнування об’єктів критичної екологічної інфраструктури (ГЕС, каналізаційних мереж, очисних споруд тощо), що прямо впливають на здоров’я та безпеку людей. У такій ситуації особливої ваги набуває право громадян на доступ до екологічної інформації [1, с. 615].</w:t>
      </w:r>
    </w:p>
    <w:p w14:paraId="2DB5C032"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Законодавча база України визнає це право на рівні з іншими фундаментальними правами людини. Так, Закони України «Про інформацію», «Про доступ до публічної інформації», «Про охорону навколишнього природного середовища» гарантують кожному громадянину право вільно отримувати, використовувати, поширювати й зберігати екологічну інформацію. Визначено також, що органи державної влади й місцевого самоврядування зобов’язані здійснювати екологічне </w:t>
      </w:r>
      <w:r w:rsidRPr="00511005">
        <w:rPr>
          <w:rFonts w:ascii="Arial" w:eastAsia="Times New Roman" w:hAnsi="Arial" w:cs="Arial"/>
          <w:szCs w:val="28"/>
          <w:lang w:val="uk-UA"/>
        </w:rPr>
        <w:lastRenderedPageBreak/>
        <w:t>інформування - надавати дані про стан довкілля, рівень забруднення, фактори ризику для здоров’я, вплив діяльності на природу тощо.</w:t>
      </w:r>
    </w:p>
    <w:p w14:paraId="309B01E7"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Однак в умовах воєнного стану реалізація цього права стикається з низкою об’єктивних і суб’єктивних бар’єрів. По-перше, значна частина екологічної інформації може обмежуватися у доступі з міркувань національної безпеки або бути засекреченою. По-друге, фізичне знищення або пошкодження екологічного моніторингового обладнання, відсутність зв’язку, евакуація спеціалістів — усе це ускладнює збір та поширення актуальної інформації. Крім того, у прифронтових та окупованих регіонах відсутні належні умови для реалізації прав громадян, у тому числі і права на екологічну інформацію [2, с.347].</w:t>
      </w:r>
    </w:p>
    <w:p w14:paraId="45A4B630"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Особливої уваги потребує міжнародний досвід, наприклад, принципи Орхуської конвенції, яка зобов’язує держави-учасниці забезпечити громадянам доступ до екологічної інформації, навіть у складних обставинах. Це включає обов’язок держави бути проактивною в інформуванні населення, а не лише реагувати на запити.</w:t>
      </w:r>
    </w:p>
    <w:p w14:paraId="5AEE1CE9"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У зв’язку зі збройною агресією російської федерації розпорядники екологічної інформації в Україні були змушені частково обмежити доступ до певних даних, посилаючись на міркування безпеки. Попри це, відповідно до Орхуської конвенції, держави мають забезпечувати доступ до екологічної інформації навіть у кризових ситуаціях. Водночас вона допускає обмеження, якщо розголошення може зашкодити національній обороні.</w:t>
      </w:r>
    </w:p>
    <w:p w14:paraId="7BD80FCD"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Українське законодавство також встановлює чіткі умови для обмеження доступу до публічної інформації: це можливо лише в інтересах безпеки чи громадського порядку, якщо шкода від надання відповідних даних перевищує суспільний інтерес. Конституція України та Закон України «Про правовий режим воєнного стану» допускають тимчасове обмеження прав людини. </w:t>
      </w:r>
    </w:p>
    <w:p w14:paraId="2AE320AA"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Виникає правова й етична дилема: як збалансувати необхідність захисту стратегічної інформації з потребою екологічної прозорості. Особливо це актуально на територіях, де ведуться бойові дії, або на окупованих землях, де збір екологічних даних ускладнений або неможливий. Війна спричиняє забруднення вод, ґрунтів, руйнування екосистем, тому моніторинг та інформування населення стають критично важливими.</w:t>
      </w:r>
    </w:p>
    <w:p w14:paraId="6668D087"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Без належного доступу до екологічної інформації громадськість не може оцінити рівень загроз для здоров’я і довкілля, що створює ризики для сталого відновлення країни після війни. Тому необхідно розробити нові механізми, які дозволять зберегти баланс між державною безпекою і правом громадян на екологічну обізнаність, а також активніше залучати міжнародну спільноту до моніторингу та захисту довкілля.</w:t>
      </w:r>
    </w:p>
    <w:p w14:paraId="5E14C2C7"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Міжнародний досвід показує, що після завершення військових конфліктів ключову роль відіграють стандарти відновлення екологічного </w:t>
      </w:r>
      <w:r w:rsidRPr="00511005">
        <w:rPr>
          <w:rFonts w:ascii="Arial" w:eastAsia="Times New Roman" w:hAnsi="Arial" w:cs="Arial"/>
          <w:szCs w:val="28"/>
          <w:lang w:val="uk-UA"/>
        </w:rPr>
        <w:lastRenderedPageBreak/>
        <w:t>стану територій та фіксації екологічних збитків. У випадку з Іраком і Сирією після бойових дій міжнародні екологічні організації активно займалися відновленням природних ресурсів, моніторингом забруднень та очищенням територій від токсичних речовин. Такі програми сприяли відновленню довкілля та наданню доступу до інформації про екологічний стан постраждалих територій [3, с.52].</w:t>
      </w:r>
    </w:p>
    <w:p w14:paraId="5D81302C"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Право на доступ до екологічної інформації є гарантією реалізації права людини на безпечне довкілля, що закріплено як у національних так і міжнародних правових актах. Однак в умовах воєнного стану постає потреба у виваженому підході: стратегічна інформація, зокрема екологічного характеру, може бути використана ворогом, що вимагає певних обмежень. Хоча введення воєнного стану прямо не забороняє доступ до екологічної інформації, держава змушена шукати баланс між гарантуванням національної безпеки та забезпеченням екологічної відкритості. Такий підхід є ключовим для збереження довкілля і мінімізації наслідків війни для екосистем.</w:t>
      </w:r>
    </w:p>
    <w:p w14:paraId="4021E6B2" w14:textId="77777777" w:rsidR="00200E87" w:rsidRPr="00511005" w:rsidRDefault="00200E87" w:rsidP="003A292D">
      <w:pPr>
        <w:keepNext/>
        <w:widowControl w:val="0"/>
        <w:spacing w:line="264" w:lineRule="auto"/>
        <w:ind w:firstLine="567"/>
        <w:jc w:val="center"/>
        <w:rPr>
          <w:rFonts w:ascii="Arial" w:eastAsia="Times New Roman" w:hAnsi="Arial" w:cs="Arial"/>
          <w:szCs w:val="28"/>
          <w:lang w:val="uk-UA"/>
        </w:rPr>
      </w:pPr>
    </w:p>
    <w:p w14:paraId="6F9C04EA" w14:textId="24E0B6E0" w:rsidR="00200E87" w:rsidRPr="00511005" w:rsidRDefault="007B2628" w:rsidP="007B2628">
      <w:pPr>
        <w:keepNext/>
        <w:widowControl w:val="0"/>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4F75856F" w14:textId="77777777" w:rsidR="00200E87" w:rsidRPr="00511005" w:rsidRDefault="00200E87"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1. Антонюк У.В. Право на екологічну інформацію в Україні в умовах воєнного стану: окремі аспекти.</w:t>
      </w:r>
      <w:r w:rsidRPr="00511005">
        <w:rPr>
          <w:rFonts w:ascii="Arial" w:eastAsia="Times New Roman" w:hAnsi="Arial" w:cs="Arial"/>
          <w:szCs w:val="28"/>
        </w:rPr>
        <w:t xml:space="preserve"> </w:t>
      </w:r>
      <w:r w:rsidRPr="00511005">
        <w:rPr>
          <w:rFonts w:ascii="Arial" w:eastAsia="Times New Roman" w:hAnsi="Arial" w:cs="Arial"/>
          <w:i/>
          <w:szCs w:val="28"/>
          <w:lang w:val="en-US"/>
        </w:rPr>
        <w:t xml:space="preserve">Scientific research in the modern world. </w:t>
      </w:r>
      <w:r w:rsidRPr="00511005">
        <w:rPr>
          <w:rFonts w:ascii="Arial" w:eastAsia="Times New Roman" w:hAnsi="Arial" w:cs="Arial"/>
          <w:szCs w:val="28"/>
          <w:lang w:val="en-US"/>
        </w:rPr>
        <w:t>Proceedings of the 4th International scientific and practical conference. Editor Komarytskyy M.L. Canada, Toronto: Perfect Publishing. 2023. P. 614–617. URL:</w:t>
      </w:r>
      <w:r w:rsidRPr="00511005">
        <w:rPr>
          <w:rFonts w:ascii="Arial" w:eastAsia="Times New Roman" w:hAnsi="Arial" w:cs="Arial"/>
          <w:szCs w:val="28"/>
          <w:lang w:val="uk-UA"/>
        </w:rPr>
        <w:t xml:space="preserve"> </w:t>
      </w:r>
      <w:r w:rsidR="005938AD">
        <w:fldChar w:fldCharType="begin"/>
      </w:r>
      <w:r w:rsidR="005938AD" w:rsidRPr="00055389">
        <w:rPr>
          <w:lang w:val="en-US"/>
        </w:rPr>
        <w:instrText xml:space="preserve"> HYPERLINK "https://sci-conf.com.ua/wp-content/uploads/2023/02/" </w:instrText>
      </w:r>
      <w:r w:rsidR="005938AD">
        <w:fldChar w:fldCharType="separate"/>
      </w:r>
      <w:r w:rsidRPr="00511005">
        <w:rPr>
          <w:rFonts w:ascii="Arial" w:eastAsia="Times New Roman" w:hAnsi="Arial" w:cs="Arial"/>
          <w:szCs w:val="28"/>
          <w:u w:color="0563C1"/>
          <w:lang w:val="uk-UA"/>
        </w:rPr>
        <w:t>https://sci-conf.com.ua/wp-content/uploads/2023/02/</w:t>
      </w:r>
      <w:r w:rsidR="005938AD">
        <w:rPr>
          <w:rFonts w:ascii="Arial" w:eastAsia="Times New Roman" w:hAnsi="Arial" w:cs="Arial"/>
          <w:szCs w:val="28"/>
          <w:u w:color="0563C1"/>
          <w:lang w:val="uk-UA"/>
        </w:rPr>
        <w:fldChar w:fldCharType="end"/>
      </w:r>
      <w:r w:rsidRPr="00511005">
        <w:rPr>
          <w:rFonts w:ascii="Arial" w:eastAsia="Times New Roman" w:hAnsi="Arial" w:cs="Arial"/>
          <w:szCs w:val="28"/>
          <w:lang w:val="uk-UA"/>
        </w:rPr>
        <w:t>SCIENTIFIC-RESEARCH-IN-THE-MODERN WORLD-9-11.02.2023.pdf.</w:t>
      </w:r>
    </w:p>
    <w:p w14:paraId="6A8CDA0C" w14:textId="01E46B27" w:rsidR="00200E87" w:rsidRPr="00511005" w:rsidRDefault="00200E87" w:rsidP="003A292D">
      <w:pPr>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2. Буцмак А.Ю. Обмеження права на екологічну інформацію. </w:t>
      </w:r>
      <w:r w:rsidRPr="00511005">
        <w:rPr>
          <w:rFonts w:ascii="Arial" w:eastAsia="Times New Roman" w:hAnsi="Arial" w:cs="Arial"/>
          <w:i/>
          <w:szCs w:val="28"/>
          <w:lang w:val="uk-UA"/>
        </w:rPr>
        <w:t>Науковий вісник Ужгородського національного університету.Серія: Право</w:t>
      </w:r>
      <w:r w:rsidRPr="00511005">
        <w:rPr>
          <w:rFonts w:ascii="Arial" w:eastAsia="Times New Roman" w:hAnsi="Arial" w:cs="Arial"/>
          <w:szCs w:val="28"/>
          <w:lang w:val="uk-UA"/>
        </w:rPr>
        <w:t>. 2023. Вип. 78.</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Ч. 1. С. 345–350. </w:t>
      </w:r>
    </w:p>
    <w:p w14:paraId="3895FFB0" w14:textId="26FD608E"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3. Новицька Н.Б., Новицький А.М. Доступ</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до екологічної інформації в умовах воєнного стану. </w:t>
      </w:r>
      <w:r w:rsidRPr="00511005">
        <w:rPr>
          <w:rFonts w:ascii="Arial" w:eastAsia="Times New Roman" w:hAnsi="Arial" w:cs="Arial"/>
          <w:i/>
          <w:szCs w:val="28"/>
          <w:lang w:val="uk-UA"/>
        </w:rPr>
        <w:t>Екологічне право</w:t>
      </w:r>
      <w:r w:rsidRPr="00511005">
        <w:rPr>
          <w:rFonts w:ascii="Arial" w:eastAsia="Times New Roman" w:hAnsi="Arial" w:cs="Arial"/>
          <w:szCs w:val="28"/>
          <w:lang w:val="uk-UA"/>
        </w:rPr>
        <w:t>. 2022. Вип. 1-2. С. 50–54.</w:t>
      </w:r>
    </w:p>
    <w:p w14:paraId="6D7ECA0B" w14:textId="77777777" w:rsidR="00200E87" w:rsidRPr="00511005" w:rsidRDefault="00200E87" w:rsidP="003A292D">
      <w:pPr>
        <w:spacing w:line="264" w:lineRule="auto"/>
        <w:ind w:firstLine="567"/>
        <w:rPr>
          <w:rFonts w:ascii="Arial" w:eastAsia="Times New Roman" w:hAnsi="Arial" w:cs="Arial"/>
          <w:szCs w:val="28"/>
          <w:lang w:val="uk-UA"/>
        </w:rPr>
      </w:pPr>
    </w:p>
    <w:p w14:paraId="3419F04C" w14:textId="75FD7DA6" w:rsidR="00200E87" w:rsidRPr="00511005" w:rsidRDefault="007B2628" w:rsidP="003A292D">
      <w:pPr>
        <w:keepNext/>
        <w:spacing w:line="264" w:lineRule="auto"/>
        <w:ind w:firstLine="567"/>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200E87" w:rsidRPr="00511005">
        <w:rPr>
          <w:rFonts w:ascii="Arial" w:eastAsia="Times New Roman" w:hAnsi="Arial" w:cs="Arial"/>
          <w:szCs w:val="28"/>
          <w:lang w:val="uk-UA"/>
        </w:rPr>
        <w:t>екологічна безпека, воєнний стан, екологічна інформація, довкілля, правове регулювання, доступ до екологічної інформації, обмеження екологічної інформації.</w:t>
      </w:r>
    </w:p>
    <w:p w14:paraId="62246774" w14:textId="63A3826A" w:rsidR="00200E87" w:rsidRPr="00511005" w:rsidRDefault="007B2628" w:rsidP="003A292D">
      <w:pPr>
        <w:keepNext/>
        <w:spacing w:line="264" w:lineRule="auto"/>
        <w:ind w:firstLine="567"/>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200E87" w:rsidRPr="00511005">
        <w:rPr>
          <w:rFonts w:ascii="Arial" w:eastAsia="Times New Roman" w:hAnsi="Arial" w:cs="Arial"/>
          <w:szCs w:val="28"/>
          <w:lang w:val="uk-UA"/>
        </w:rPr>
        <w:t>ecological safety, martial law, ecological information, environment, legal regulation, access to environmental information, restriction of environmental information.</w:t>
      </w:r>
    </w:p>
    <w:p w14:paraId="29A1B0CC" w14:textId="01FC150C" w:rsidR="00200E87" w:rsidRPr="00511005" w:rsidRDefault="007B2628" w:rsidP="003A292D">
      <w:pPr>
        <w:keepNext/>
        <w:spacing w:line="264" w:lineRule="auto"/>
        <w:ind w:firstLine="54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200E87" w:rsidRPr="00511005">
        <w:rPr>
          <w:rFonts w:ascii="Arial" w:eastAsia="Times New Roman" w:hAnsi="Arial" w:cs="Arial"/>
          <w:i/>
          <w:iCs/>
          <w:szCs w:val="28"/>
          <w:lang w:val="uk-UA"/>
        </w:rPr>
        <w:t>к.ю.н., доцент Канівець Л.А.</w:t>
      </w:r>
    </w:p>
    <w:p w14:paraId="3B084BEA" w14:textId="77777777" w:rsidR="00200E87" w:rsidRPr="00511005" w:rsidRDefault="00200E87" w:rsidP="003A292D">
      <w:pPr>
        <w:keepNext/>
        <w:spacing w:line="264" w:lineRule="auto"/>
        <w:ind w:firstLine="540"/>
        <w:rPr>
          <w:rFonts w:ascii="Arial" w:eastAsia="Times New Roman" w:hAnsi="Arial" w:cs="Arial"/>
          <w:i/>
          <w:iCs/>
          <w:szCs w:val="28"/>
          <w:lang w:val="uk-UA"/>
        </w:rPr>
      </w:pPr>
    </w:p>
    <w:p w14:paraId="082CB2CC" w14:textId="77777777" w:rsidR="00F36CC4" w:rsidRDefault="00F36CC4">
      <w:pPr>
        <w:spacing w:after="200" w:line="276" w:lineRule="auto"/>
        <w:ind w:firstLine="0"/>
        <w:jc w:val="left"/>
        <w:rPr>
          <w:rFonts w:ascii="Arial" w:eastAsia="Times New Roman" w:hAnsi="Arial" w:cs="Arial"/>
          <w:b/>
          <w:bCs/>
          <w:i/>
          <w:iCs/>
          <w:szCs w:val="28"/>
          <w:u w:color="000000"/>
          <w:shd w:val="clear" w:color="FFFFFF" w:fill="FFFFFF"/>
          <w:lang w:val="uk-UA" w:eastAsia="ru-RU"/>
        </w:rPr>
      </w:pPr>
      <w:r>
        <w:rPr>
          <w:rFonts w:ascii="Arial" w:eastAsia="Times New Roman" w:hAnsi="Arial" w:cs="Arial"/>
          <w:b/>
          <w:bCs/>
          <w:i/>
          <w:iCs/>
          <w:szCs w:val="28"/>
          <w:u w:color="000000"/>
          <w:shd w:val="clear" w:color="FFFFFF" w:fill="FFFFFF"/>
          <w:lang w:val="uk-UA" w:eastAsia="ru-RU"/>
        </w:rPr>
        <w:br w:type="page"/>
      </w:r>
    </w:p>
    <w:p w14:paraId="485526A0" w14:textId="1624430B" w:rsidR="00200E87" w:rsidRPr="00511005" w:rsidRDefault="00200E87" w:rsidP="003A292D">
      <w:pPr>
        <w:spacing w:line="264" w:lineRule="auto"/>
        <w:ind w:firstLine="0"/>
        <w:jc w:val="center"/>
        <w:rPr>
          <w:rFonts w:ascii="Arial" w:eastAsia="Times New Roman" w:hAnsi="Arial" w:cs="Arial"/>
          <w:b/>
          <w:bCs/>
          <w:i/>
          <w:iCs/>
          <w:szCs w:val="28"/>
          <w:u w:color="000000"/>
          <w:shd w:val="clear" w:color="FFFFFF" w:fill="FFFFFF"/>
          <w:lang w:val="uk-UA" w:eastAsia="ru-RU"/>
        </w:rPr>
      </w:pPr>
      <w:r w:rsidRPr="00511005">
        <w:rPr>
          <w:rFonts w:ascii="Arial" w:eastAsia="Times New Roman" w:hAnsi="Arial" w:cs="Arial"/>
          <w:b/>
          <w:bCs/>
          <w:i/>
          <w:iCs/>
          <w:szCs w:val="28"/>
          <w:u w:color="000000"/>
          <w:shd w:val="clear" w:color="FFFFFF" w:fill="FFFFFF"/>
          <w:lang w:val="uk-UA" w:eastAsia="ru-RU"/>
        </w:rPr>
        <w:lastRenderedPageBreak/>
        <w:t>Пилипенко Софія Сергіївна</w:t>
      </w:r>
    </w:p>
    <w:p w14:paraId="05B7A112" w14:textId="49814CD0" w:rsidR="00200E87" w:rsidRPr="00511005" w:rsidRDefault="00536AAB" w:rsidP="003A292D">
      <w:pPr>
        <w:spacing w:line="264" w:lineRule="auto"/>
        <w:ind w:firstLine="0"/>
        <w:jc w:val="center"/>
        <w:rPr>
          <w:rFonts w:ascii="Arial" w:eastAsia="Times New Roman" w:hAnsi="Arial" w:cs="Arial"/>
          <w:iCs/>
          <w:szCs w:val="28"/>
          <w:u w:color="000000"/>
          <w:shd w:val="clear" w:color="FFFFFF" w:fill="FFFFFF"/>
          <w:lang w:val="uk-UA" w:eastAsia="ru-RU"/>
        </w:rPr>
      </w:pPr>
      <w:r w:rsidRPr="00511005">
        <w:rPr>
          <w:rFonts w:ascii="Arial" w:eastAsia="Times New Roman" w:hAnsi="Arial" w:cs="Arial"/>
          <w:iCs/>
          <w:szCs w:val="28"/>
          <w:u w:color="000000"/>
          <w:shd w:val="clear" w:color="FFFFFF" w:fill="FFFFFF"/>
          <w:lang w:val="uk-UA" w:eastAsia="ru-RU"/>
        </w:rPr>
        <w:t xml:space="preserve">студентка 4-го курсу </w:t>
      </w:r>
      <w:r w:rsidR="00200E87" w:rsidRPr="00511005">
        <w:rPr>
          <w:rFonts w:ascii="Arial" w:eastAsia="Times New Roman" w:hAnsi="Arial" w:cs="Arial"/>
          <w:iCs/>
          <w:szCs w:val="28"/>
          <w:u w:color="000000"/>
          <w:shd w:val="clear" w:color="FFFFFF" w:fill="FFFFFF"/>
          <w:lang w:val="uk-UA" w:eastAsia="ru-RU"/>
        </w:rPr>
        <w:t xml:space="preserve">факультету цивільної та господарської юстиції </w:t>
      </w:r>
      <w:r w:rsidR="007B2628" w:rsidRPr="00511005">
        <w:rPr>
          <w:rFonts w:ascii="Arial" w:eastAsia="Times New Roman" w:hAnsi="Arial" w:cs="Arial"/>
          <w:iCs/>
          <w:szCs w:val="28"/>
          <w:shd w:val="clear" w:color="FFFFFF" w:fill="FFFFFF"/>
          <w:lang w:val="uk-UA" w:eastAsia="ru-RU"/>
        </w:rPr>
        <w:t>Національного університету «Одеська юридична академія»</w:t>
      </w:r>
      <w:r w:rsidR="00200E87" w:rsidRPr="00511005">
        <w:rPr>
          <w:rFonts w:ascii="Arial" w:eastAsia="Times New Roman" w:hAnsi="Arial" w:cs="Arial"/>
          <w:iCs/>
          <w:szCs w:val="28"/>
          <w:u w:color="000000"/>
          <w:shd w:val="clear" w:color="FFFFFF" w:fill="FFFFFF"/>
          <w:lang w:val="uk-UA" w:eastAsia="ru-RU"/>
        </w:rPr>
        <w:t xml:space="preserve"> </w:t>
      </w:r>
    </w:p>
    <w:p w14:paraId="70AAD3F4" w14:textId="77777777" w:rsidR="00200E87" w:rsidRPr="00511005" w:rsidRDefault="00200E87" w:rsidP="003A292D">
      <w:pPr>
        <w:spacing w:line="264" w:lineRule="auto"/>
        <w:ind w:firstLine="0"/>
        <w:jc w:val="center"/>
        <w:rPr>
          <w:rFonts w:ascii="Arial" w:eastAsia="Times New Roman" w:hAnsi="Arial" w:cs="Arial"/>
          <w:b/>
          <w:bCs/>
          <w:szCs w:val="28"/>
          <w:u w:color="000000"/>
          <w:shd w:val="clear" w:color="FFFFFF" w:fill="FFFFFF"/>
          <w:lang w:val="uk-UA" w:eastAsia="ru-RU"/>
        </w:rPr>
      </w:pPr>
    </w:p>
    <w:p w14:paraId="64921C1E" w14:textId="77777777" w:rsidR="00200E87" w:rsidRPr="00511005" w:rsidRDefault="00200E87" w:rsidP="003A292D">
      <w:pPr>
        <w:spacing w:line="264" w:lineRule="auto"/>
        <w:ind w:firstLine="0"/>
        <w:jc w:val="center"/>
        <w:rPr>
          <w:rFonts w:ascii="Arial" w:eastAsia="Times New Roman" w:hAnsi="Arial" w:cs="Arial"/>
          <w:b/>
          <w:bCs/>
          <w:szCs w:val="28"/>
          <w:u w:color="000000"/>
          <w:shd w:val="clear" w:color="FFFFFF" w:fill="FFFFFF"/>
          <w:lang w:val="uk-UA" w:eastAsia="ru-RU"/>
        </w:rPr>
      </w:pPr>
      <w:r w:rsidRPr="00511005">
        <w:rPr>
          <w:rFonts w:ascii="Arial" w:eastAsia="Times New Roman" w:hAnsi="Arial" w:cs="Arial"/>
          <w:b/>
          <w:bCs/>
          <w:szCs w:val="28"/>
          <w:u w:color="000000"/>
          <w:shd w:val="clear" w:color="FFFFFF" w:fill="FFFFFF"/>
          <w:lang w:val="uk-UA" w:eastAsia="ru-RU"/>
        </w:rPr>
        <w:t>ОКРЕМІ АСПЕКТИ НАБУТТЯ ПРАВА ВЛАСНОСТІ</w:t>
      </w:r>
    </w:p>
    <w:p w14:paraId="544D9B11" w14:textId="77777777" w:rsidR="00200E87" w:rsidRPr="00511005" w:rsidRDefault="00200E87" w:rsidP="003A292D">
      <w:pPr>
        <w:spacing w:line="264" w:lineRule="auto"/>
        <w:ind w:firstLine="0"/>
        <w:jc w:val="center"/>
        <w:rPr>
          <w:rFonts w:ascii="Arial" w:eastAsia="Times New Roman" w:hAnsi="Arial" w:cs="Arial"/>
          <w:b/>
          <w:bCs/>
          <w:szCs w:val="28"/>
          <w:u w:color="000000"/>
          <w:shd w:val="clear" w:color="FFFFFF" w:fill="FFFFFF"/>
          <w:lang w:val="uk-UA" w:eastAsia="ru-RU"/>
        </w:rPr>
      </w:pPr>
      <w:r w:rsidRPr="00511005">
        <w:rPr>
          <w:rFonts w:ascii="Arial" w:eastAsia="Times New Roman" w:hAnsi="Arial" w:cs="Arial"/>
          <w:b/>
          <w:bCs/>
          <w:szCs w:val="28"/>
          <w:u w:color="000000"/>
          <w:shd w:val="clear" w:color="FFFFFF" w:fill="FFFFFF"/>
          <w:lang w:val="uk-UA" w:eastAsia="ru-RU"/>
        </w:rPr>
        <w:t>НА ЗЕМЕЛЬНІ ДІЛЯНКИ ІНОЗЕМНИМИ ГРОМАДЯНАМИ</w:t>
      </w:r>
    </w:p>
    <w:p w14:paraId="4042B1CB" w14:textId="77777777" w:rsidR="00200E87" w:rsidRPr="00511005" w:rsidRDefault="00200E87" w:rsidP="003A292D">
      <w:pPr>
        <w:spacing w:line="264" w:lineRule="auto"/>
        <w:ind w:firstLine="540"/>
        <w:rPr>
          <w:rFonts w:ascii="Arial" w:eastAsia="Times New Roman" w:hAnsi="Arial" w:cs="Arial"/>
          <w:szCs w:val="28"/>
          <w:u w:color="000000"/>
          <w:shd w:val="clear" w:color="FFFFFF" w:fill="FFFFFF"/>
          <w:lang w:val="uk-UA" w:eastAsia="ru-RU"/>
        </w:rPr>
      </w:pPr>
      <w:r w:rsidRPr="00511005">
        <w:rPr>
          <w:rFonts w:ascii="Arial" w:eastAsia="Times New Roman" w:hAnsi="Arial" w:cs="Arial"/>
          <w:szCs w:val="28"/>
          <w:u w:color="000000"/>
          <w:shd w:val="clear" w:color="FFFFFF" w:fill="FFFFFF"/>
          <w:lang w:val="uk-UA" w:eastAsia="ru-RU"/>
        </w:rPr>
        <w:t xml:space="preserve">Україна здавна славиться своїми родючими ґрунтами та вигідним географічним розташуванням, що зумовлює її значний потенціал в аграрному секторі. Земельні ресурси держави є не лише економічною, а й стратегічною цінністю. У зв’язку з цим питання правового режиму землі, зокрема особливостей її набуття у власність, набуває особливої актуальності. З відкриттям ринку землі виникає потреба у чіткому врегулюванні механізмів доступу до земельних ділянок, особливо для іноземців. У сучасних умовах глобалізації, зростання іноземних інвестицій та розширення міжнародних економічних зв’язків проблема набуття права власності на земельні ділянки іноземними громадянами вимагає глибокого правового аналізу та наукового осмислення. </w:t>
      </w:r>
    </w:p>
    <w:p w14:paraId="59AB91AF" w14:textId="77777777" w:rsidR="00200E87" w:rsidRPr="00511005" w:rsidRDefault="00200E87" w:rsidP="003A292D">
      <w:pPr>
        <w:spacing w:line="264" w:lineRule="auto"/>
        <w:ind w:firstLine="540"/>
        <w:rPr>
          <w:rFonts w:ascii="Arial" w:eastAsia="Times New Roman" w:hAnsi="Arial" w:cs="Arial"/>
          <w:szCs w:val="28"/>
          <w:u w:color="000000"/>
          <w:shd w:val="clear" w:color="FFFFFF" w:fill="FFFFFF"/>
          <w:lang w:val="uk-UA" w:eastAsia="ru-RU"/>
        </w:rPr>
      </w:pPr>
      <w:r w:rsidRPr="00511005">
        <w:rPr>
          <w:rFonts w:ascii="Arial" w:eastAsia="Times New Roman" w:hAnsi="Arial" w:cs="Arial"/>
          <w:szCs w:val="28"/>
          <w:u w:color="000000"/>
          <w:shd w:val="clear" w:color="FFFFFF" w:fill="FFFFFF"/>
          <w:lang w:val="uk-UA" w:eastAsia="ru-RU"/>
        </w:rPr>
        <w:t>Питання набуття права власності на земельні ділянками іноземцями є досить дискусійним, що пов’язано зі складним врегулюванням законодавства. Для аналізу, як саме українське законодавство закріплює таке право, потрібно встановити, на які саме землі можливе поширення такого права. Відповідно до пункту 1 статті 19 Земельного кодексу України, землі України за основним цільовим призначенням поділяються на дев’ять категорій, серед яких: землі сільськогосподарського призначення; житлової та громадської забудови; природно-заповідного та іншого природоохоронного призначення; землі оздоровчого призначення; землі рекреаційного призначення; землі історико-культурного призначення; землі лісогосподарського призначення; землі водного фонду; землі промисловості, транспорту, зв’язку, енергетики, оборони й іншого призначення [1]. Однак, не всі категорії земель можуть передаватись у приватну власність - частиною 4 статті 84 Земельного Кодексу України закріплюється таке обмеження. Отже, першою особливістю набуття права власності на земельні ділянки іноземців є той факт, що не всі землі можуть передаватися у приватну власність, що впливає на обсяг прав іноземців щодо їх набуття.</w:t>
      </w:r>
    </w:p>
    <w:p w14:paraId="2600D7B8" w14:textId="77777777" w:rsidR="00200E87" w:rsidRPr="00511005" w:rsidRDefault="00200E87" w:rsidP="003A292D">
      <w:pPr>
        <w:spacing w:line="264" w:lineRule="auto"/>
        <w:ind w:firstLine="540"/>
        <w:rPr>
          <w:rFonts w:ascii="Arial" w:eastAsia="Times New Roman" w:hAnsi="Arial" w:cs="Arial"/>
          <w:szCs w:val="28"/>
          <w:u w:color="000000"/>
          <w:shd w:val="clear" w:color="FFFFFF" w:fill="FFFFFF"/>
          <w:lang w:val="uk-UA" w:eastAsia="ru-RU"/>
        </w:rPr>
      </w:pPr>
      <w:r w:rsidRPr="00511005">
        <w:rPr>
          <w:rFonts w:ascii="Arial" w:eastAsia="Times New Roman" w:hAnsi="Arial" w:cs="Arial"/>
          <w:szCs w:val="28"/>
          <w:u w:color="000000"/>
          <w:shd w:val="clear" w:color="FFFFFF" w:fill="FFFFFF"/>
          <w:lang w:val="uk-UA" w:eastAsia="ru-RU"/>
        </w:rPr>
        <w:t xml:space="preserve">Відповідно до статті 81 Земельного кодексу України, іноземні громадяни та особи без громадянства мають право на набуття у власність земельних ділянок несільськогосподарського призначення, що розташовані в межах населених пунктів. Також допускається набуття у власність подібних земель за межами населених пунктів, якщо на них знаходиться нерухоме майно, що належить зазначеним особам на підставі приватної власності. Таке набуття можливе шляхом укладення договорів купівлі-продажу, міни, дарування, </w:t>
      </w:r>
      <w:r w:rsidRPr="00511005">
        <w:rPr>
          <w:rFonts w:ascii="Arial" w:eastAsia="Times New Roman" w:hAnsi="Arial" w:cs="Arial"/>
          <w:szCs w:val="28"/>
          <w:u w:color="000000"/>
          <w:shd w:val="clear" w:color="FFFFFF" w:fill="FFFFFF"/>
          <w:lang w:val="uk-UA" w:eastAsia="ru-RU"/>
        </w:rPr>
        <w:lastRenderedPageBreak/>
        <w:t>ренти чи інших цивільно-правових угод, а також у разі викупу або прийняття спадщини. Земельні ділянки сільськогосподарського призначення не можуть переходити у власність іноземців. Водночас закон допускає виняток: якщо така земля переходить у спадщину іноземній особі, вона зобов’язана здійснити її відчуження протягом одного року з моменту такого прийняття. Відповідно до пункту «е» статті 140 Земельного Кодексу України підставою припинення права власності на земельну ділянку є невідчуження земельної ділянки особами, які є громадянами іншої держави, та особами без громадянства у встановлений строк. У разі невиконання цієї вимоги настають наслідки, передбачені статтею 143 Земельного Кодексу України, а саме примусове припинення права власності на земельну ділянку. Відповідно до статті 145 Земельного кодексу України, у випадку, коли до особи переходить право власності на земельну ділянку, яка, відповідно до вимог закону, не може перебувати у її власності, така ділянка має бути відчужена протягом одного року з моменту набуття цього права. Якщо впродовж зазначеного строку власник не здійснив відчуження, ділянка підлягає примусовому вилученню на підставі рішення суду. Примусове відчуження можливо виключно за наявності відповідного судового рішення.</w:t>
      </w:r>
    </w:p>
    <w:p w14:paraId="09606BF7" w14:textId="77777777" w:rsidR="00200E87" w:rsidRPr="00511005" w:rsidRDefault="00200E87" w:rsidP="003A292D">
      <w:pPr>
        <w:spacing w:line="264" w:lineRule="auto"/>
        <w:ind w:firstLine="540"/>
        <w:rPr>
          <w:rFonts w:ascii="Arial" w:eastAsia="Times New Roman" w:hAnsi="Arial" w:cs="Arial"/>
          <w:szCs w:val="28"/>
          <w:u w:color="000000"/>
          <w:shd w:val="clear" w:color="FFFFFF" w:fill="FFFFFF"/>
          <w:lang w:val="uk-UA" w:eastAsia="ru-RU"/>
        </w:rPr>
      </w:pPr>
      <w:r w:rsidRPr="00511005">
        <w:rPr>
          <w:rFonts w:ascii="Arial" w:eastAsia="Times New Roman" w:hAnsi="Arial" w:cs="Arial"/>
          <w:szCs w:val="28"/>
          <w:u w:color="000000"/>
          <w:shd w:val="clear" w:color="FFFFFF" w:fill="FFFFFF"/>
          <w:lang w:val="uk-UA" w:eastAsia="ru-RU"/>
        </w:rPr>
        <w:t>Вказані норми законодавства підтверджують особливий правовий режим набуття права власності на земельні ділянки іноземцями, який полягає у чіткому розмежуванні можливості набуття різних категорій земель залежно від їх цільового призначення та способу набуття.</w:t>
      </w:r>
    </w:p>
    <w:p w14:paraId="531A8619" w14:textId="77777777" w:rsidR="00200E87" w:rsidRPr="00511005" w:rsidRDefault="00200E87" w:rsidP="003A292D">
      <w:pPr>
        <w:spacing w:line="264" w:lineRule="auto"/>
        <w:ind w:firstLine="540"/>
        <w:rPr>
          <w:rFonts w:ascii="Arial" w:eastAsia="Times New Roman" w:hAnsi="Arial" w:cs="Arial"/>
          <w:szCs w:val="28"/>
          <w:u w:color="000000"/>
          <w:shd w:val="clear" w:color="FFFFFF" w:fill="FFFFFF"/>
          <w:lang w:val="uk-UA" w:eastAsia="ru-RU"/>
        </w:rPr>
      </w:pPr>
      <w:r w:rsidRPr="00511005">
        <w:rPr>
          <w:rFonts w:ascii="Arial" w:eastAsia="Times New Roman" w:hAnsi="Arial" w:cs="Arial"/>
          <w:szCs w:val="28"/>
          <w:u w:color="000000"/>
          <w:shd w:val="clear" w:color="FFFFFF" w:fill="FFFFFF"/>
          <w:lang w:val="uk-UA" w:eastAsia="ru-RU"/>
        </w:rPr>
        <w:t>Порядок оформлення спадщини, включаючи спадкування земельних ділянок, для іноземних громадян та осіб без громадянства є ідентичним до процедури, передбаченої для громадян України. Відповідно до частини 1 статті 1269 Цивільного кодексу України, якщо спадкоємець не проживав постійно із спадкодавцем на момент відкриття спадщини, він зобов’язаний звернутися із заявою про її прийняття до нотаріуса, а в сільській місцевості, де немає нотаріусів, це може бути уповноважена посадова особа органу місцевого самоврядування. Згідно з частиною 1 статті 1270 Цивільного кодексу України, така заява має бути подана протягом шести місяців з дня відкриття спадщини. Як передбачено частиною 1 статті 1297 Цивільного кодексу України, у разі прийняття спадщини, до складу якої входить обтяжене майно та/або майнові права, а також нерухомість чи інше майно, що підлягає державній реєстрації, спадкоємець зобов’язаний звернутися до нотаріуса, а в сільській місцевості — до відповідної уповноваженої посадової особи органу місцевого самоврядування для отримання свідоцтва про право на спадщину щодо такого майна [2].</w:t>
      </w:r>
    </w:p>
    <w:p w14:paraId="3B973CBB" w14:textId="52B85599" w:rsidR="00200E87" w:rsidRPr="00511005" w:rsidRDefault="00200E87" w:rsidP="003A292D">
      <w:pPr>
        <w:spacing w:line="264" w:lineRule="auto"/>
        <w:ind w:firstLine="540"/>
        <w:rPr>
          <w:rFonts w:ascii="Arial" w:eastAsia="Times New Roman" w:hAnsi="Arial" w:cs="Arial"/>
          <w:szCs w:val="28"/>
          <w:u w:color="000000"/>
          <w:shd w:val="clear" w:color="FFFFFF" w:fill="FFFFFF"/>
          <w:lang w:val="uk-UA" w:eastAsia="ru-RU"/>
        </w:rPr>
      </w:pPr>
      <w:r w:rsidRPr="00511005">
        <w:rPr>
          <w:rFonts w:ascii="Arial" w:eastAsia="Times New Roman" w:hAnsi="Arial" w:cs="Arial"/>
          <w:szCs w:val="28"/>
          <w:u w:color="000000"/>
          <w:shd w:val="clear" w:color="FFFFFF" w:fill="FFFFFF"/>
          <w:lang w:val="uk-UA" w:eastAsia="ru-RU"/>
        </w:rPr>
        <w:t xml:space="preserve">Специфіка набуття іноземцями права власності на земельні ділянки в Україні безпосередньо впливає на можливість виникнення та розвиток похідних правовідносин, зокрема оренди, що підтверджується судовою практикою. Так, Рівненський апеляційний суд розглянув апеляційну скаргу у </w:t>
      </w:r>
      <w:r w:rsidRPr="00511005">
        <w:rPr>
          <w:rFonts w:ascii="Arial" w:eastAsia="Times New Roman" w:hAnsi="Arial" w:cs="Arial"/>
          <w:szCs w:val="28"/>
          <w:u w:color="000000"/>
          <w:shd w:val="clear" w:color="FFFFFF" w:fill="FFFFFF"/>
          <w:lang w:val="uk-UA" w:eastAsia="ru-RU"/>
        </w:rPr>
        <w:lastRenderedPageBreak/>
        <w:t>справі № 562/2070/23. Було зʼясовано, що в інтересах держави керівником окружної прокуратури було ініційовано судовий позов до громадянки Республіки Білорусь та агровиробничої компанії щодо припинення права власності на земельні ділянки сільськогосподарського призначення, отримані іноземною громадянкою у спадок, з подальшою їх конфіскацією та продажем на земельних торгах, а також про припинення права оренди. Місцевий суд задовольнив позов у повному обсязі. У свою чергу, агропідприємство оскаржило рішення в частині припинення орендних прав. Рівненський апеляційний суд частково задовольнив апеляційну скаргу, дійшовши висновку, що відповідачка успадкувала земельні ділянки для ведення особистого селянського господарства, однак не відчужила їх протягом року, що стало підставою для конфіскації. Водночас суд визнав недійсними укладені з нею договори оренди, оскільки іноземка не мала права передавати такі ділянки в оренду, а самі договори суперечили публічному порядку та вважалися нікчемними. Таким чином, апеляційний суд скасував рішення в частині задоволення позову щодо припинення</w:t>
      </w:r>
      <w:r w:rsidR="007B2628" w:rsidRPr="00511005">
        <w:rPr>
          <w:rFonts w:ascii="Arial" w:eastAsia="Times New Roman" w:hAnsi="Arial" w:cs="Arial"/>
          <w:szCs w:val="28"/>
          <w:u w:color="000000"/>
          <w:shd w:val="clear" w:color="FFFFFF" w:fill="FFFFFF"/>
          <w:lang w:val="uk-UA" w:eastAsia="ru-RU"/>
        </w:rPr>
        <w:t xml:space="preserve"> </w:t>
      </w:r>
      <w:r w:rsidRPr="00511005">
        <w:rPr>
          <w:rFonts w:ascii="Arial" w:eastAsia="Times New Roman" w:hAnsi="Arial" w:cs="Arial"/>
          <w:szCs w:val="28"/>
          <w:u w:color="000000"/>
          <w:shd w:val="clear" w:color="FFFFFF" w:fill="FFFFFF"/>
          <w:lang w:val="uk-UA" w:eastAsia="ru-RU"/>
        </w:rPr>
        <w:t>оренди, оскільки ці правочини юридично не породили прав та обов’язків [3].</w:t>
      </w:r>
    </w:p>
    <w:p w14:paraId="3401AEFF" w14:textId="77777777" w:rsidR="00200E87" w:rsidRPr="00511005" w:rsidRDefault="00200E87" w:rsidP="003A292D">
      <w:pPr>
        <w:spacing w:line="264" w:lineRule="auto"/>
        <w:ind w:firstLine="540"/>
        <w:rPr>
          <w:rFonts w:ascii="Arial" w:eastAsia="Times New Roman" w:hAnsi="Arial" w:cs="Arial"/>
          <w:szCs w:val="28"/>
          <w:u w:color="000000"/>
          <w:shd w:val="clear" w:color="FFFFFF" w:fill="FFFFFF"/>
          <w:lang w:val="uk-UA" w:eastAsia="ru-RU"/>
        </w:rPr>
      </w:pPr>
      <w:r w:rsidRPr="00511005">
        <w:rPr>
          <w:rFonts w:ascii="Arial" w:eastAsia="Times New Roman" w:hAnsi="Arial" w:cs="Arial"/>
          <w:szCs w:val="28"/>
          <w:u w:color="000000"/>
          <w:shd w:val="clear" w:color="FFFFFF" w:fill="FFFFFF"/>
          <w:lang w:val="uk-UA" w:eastAsia="ru-RU"/>
        </w:rPr>
        <w:t>Отже, правове регулювання набуття права власності на земельні ділянки іноземцями має комплексний характер і охоплює не лише сам факт набуття, а й подальші правовідносини, пов’язані з користуванням землею. Вимоги законодавства та їх тлумачення у судовій практиці свідчать про те, що правовий статус іноземця як власника земельної ділянки безпосередньо впливає на можливість укладення та чинність інших правочинів, зокрема договорів оренди. Такий підхід спрямований на забезпечення дотримання публічного порядку та захист інтересів держави.</w:t>
      </w:r>
    </w:p>
    <w:p w14:paraId="3FA3370A" w14:textId="77777777" w:rsidR="00200E87" w:rsidRPr="00511005" w:rsidRDefault="00200E87" w:rsidP="003A292D">
      <w:pPr>
        <w:spacing w:line="264" w:lineRule="auto"/>
        <w:ind w:firstLine="540"/>
        <w:rPr>
          <w:rFonts w:ascii="Arial" w:eastAsia="Times New Roman" w:hAnsi="Arial" w:cs="Arial"/>
          <w:szCs w:val="28"/>
          <w:u w:color="000000"/>
          <w:shd w:val="clear" w:color="FFFFFF" w:fill="FFFFFF"/>
          <w:lang w:val="uk-UA" w:eastAsia="ru-RU"/>
        </w:rPr>
      </w:pPr>
    </w:p>
    <w:p w14:paraId="738362A1" w14:textId="007ED8BD" w:rsidR="00200E87" w:rsidRPr="00511005" w:rsidRDefault="007B2628" w:rsidP="007B2628">
      <w:pPr>
        <w:spacing w:line="264" w:lineRule="auto"/>
        <w:ind w:firstLine="540"/>
        <w:jc w:val="center"/>
        <w:rPr>
          <w:rFonts w:ascii="Arial" w:eastAsia="Times New Roman" w:hAnsi="Arial" w:cs="Arial"/>
          <w:b/>
          <w:bCs/>
          <w:szCs w:val="28"/>
          <w:u w:color="000000"/>
          <w:shd w:val="clear" w:color="FFFFFF" w:fill="FFFFFF"/>
          <w:lang w:val="uk-UA" w:eastAsia="ru-RU"/>
        </w:rPr>
      </w:pPr>
      <w:r w:rsidRPr="00511005">
        <w:rPr>
          <w:rFonts w:ascii="Arial" w:eastAsia="Times New Roman" w:hAnsi="Arial" w:cs="Arial"/>
          <w:b/>
          <w:bCs/>
          <w:szCs w:val="28"/>
          <w:shd w:val="clear" w:color="FFFFFF" w:fill="FFFFFF"/>
          <w:lang w:val="uk-UA" w:eastAsia="ru-RU"/>
        </w:rPr>
        <w:t>Список використаних джерел</w:t>
      </w:r>
    </w:p>
    <w:p w14:paraId="126BBF30" w14:textId="77777777" w:rsidR="00200E87" w:rsidRPr="00511005" w:rsidRDefault="00200E87" w:rsidP="003F6A5D">
      <w:pPr>
        <w:numPr>
          <w:ilvl w:val="0"/>
          <w:numId w:val="485"/>
        </w:numPr>
        <w:spacing w:line="264" w:lineRule="auto"/>
        <w:ind w:left="0" w:firstLine="567"/>
        <w:jc w:val="left"/>
        <w:rPr>
          <w:rFonts w:ascii="Arial" w:eastAsia="Times New Roman" w:hAnsi="Arial" w:cs="Arial"/>
          <w:szCs w:val="28"/>
          <w:u w:color="000000"/>
          <w:shd w:val="clear" w:color="FFFFFF" w:fill="FFFFFF"/>
          <w:lang w:val="uk-UA" w:eastAsia="ru-RU"/>
        </w:rPr>
      </w:pPr>
      <w:r w:rsidRPr="00511005">
        <w:rPr>
          <w:rFonts w:ascii="Arial" w:eastAsia="Times New Roman" w:hAnsi="Arial" w:cs="Arial"/>
          <w:szCs w:val="28"/>
          <w:u w:color="000000"/>
          <w:shd w:val="clear" w:color="FFFFFF" w:fill="FFFFFF"/>
          <w:lang w:val="uk-UA" w:eastAsia="ru-RU"/>
        </w:rPr>
        <w:t xml:space="preserve">Земельний кодекс України: Закон України від 25.10.2001 року № 2768-III. [Електронний ресурс] . – Режим доступу: </w:t>
      </w:r>
      <w:hyperlink r:id="rId1735" w:history="1">
        <w:r w:rsidRPr="00511005">
          <w:rPr>
            <w:rFonts w:ascii="Arial" w:eastAsia="Times New Roman" w:hAnsi="Arial" w:cs="Arial"/>
            <w:szCs w:val="28"/>
            <w:u w:color="0563C1"/>
            <w:shd w:val="clear" w:color="FFFFFF" w:fill="FFFFFF"/>
            <w:lang w:val="uk-UA" w:eastAsia="ru-RU"/>
          </w:rPr>
          <w:t>https://zakon.rada.gov.ua/laws/card/2768-14</w:t>
        </w:r>
      </w:hyperlink>
    </w:p>
    <w:p w14:paraId="4A92624A" w14:textId="77777777" w:rsidR="00200E87" w:rsidRPr="00511005" w:rsidRDefault="00200E87" w:rsidP="003A292D">
      <w:pPr>
        <w:spacing w:line="264" w:lineRule="auto"/>
        <w:ind w:firstLine="567"/>
        <w:rPr>
          <w:rFonts w:ascii="Arial" w:eastAsia="Times New Roman" w:hAnsi="Arial" w:cs="Arial"/>
          <w:szCs w:val="28"/>
          <w:u w:color="000000"/>
          <w:shd w:val="clear" w:color="FFFFFF" w:fill="FFFFFF"/>
          <w:lang w:val="uk-UA" w:eastAsia="ru-RU"/>
        </w:rPr>
      </w:pPr>
      <w:r w:rsidRPr="00511005">
        <w:rPr>
          <w:rFonts w:ascii="Arial" w:eastAsia="Times New Roman" w:hAnsi="Arial" w:cs="Arial"/>
          <w:szCs w:val="28"/>
          <w:u w:color="000000"/>
          <w:shd w:val="clear" w:color="FFFFFF" w:fill="FFFFFF"/>
          <w:lang w:val="uk-UA" w:eastAsia="ru-RU"/>
        </w:rPr>
        <w:t>2. Цивільний кодекс України: Закон України від 16.01.2003 №435-IV.[Електронний ресурс]. – Режим доступу: https://zakon.rada.gov.ua/laws/show/435-15#Text</w:t>
      </w:r>
    </w:p>
    <w:p w14:paraId="6CD18028" w14:textId="77777777" w:rsidR="00200E87" w:rsidRPr="00511005" w:rsidRDefault="00200E87" w:rsidP="003A292D">
      <w:pPr>
        <w:spacing w:line="264" w:lineRule="auto"/>
        <w:ind w:firstLine="567"/>
        <w:rPr>
          <w:rFonts w:ascii="Arial" w:eastAsia="Times New Roman" w:hAnsi="Arial" w:cs="Arial"/>
          <w:szCs w:val="28"/>
          <w:u w:color="000000"/>
          <w:shd w:val="clear" w:color="FFFFFF" w:fill="FFFFFF"/>
          <w:lang w:val="uk-UA" w:eastAsia="ru-RU"/>
        </w:rPr>
      </w:pPr>
      <w:r w:rsidRPr="00511005">
        <w:rPr>
          <w:rFonts w:ascii="Arial" w:eastAsia="Times New Roman" w:hAnsi="Arial" w:cs="Arial"/>
          <w:szCs w:val="28"/>
          <w:u w:color="000000"/>
          <w:shd w:val="clear" w:color="FFFFFF" w:fill="FFFFFF"/>
          <w:lang w:val="uk-UA" w:eastAsia="ru-RU"/>
        </w:rPr>
        <w:t xml:space="preserve">3. Постанова Рівненського апеляційного суду від 26.03.2024 у справі №562/2070/23 / Єдиний державний реєстр судових рішень. URL: </w:t>
      </w:r>
      <w:hyperlink r:id="rId1736" w:history="1">
        <w:r w:rsidRPr="00511005">
          <w:rPr>
            <w:rFonts w:ascii="Arial" w:eastAsia="Times New Roman" w:hAnsi="Arial" w:cs="Arial"/>
            <w:szCs w:val="28"/>
            <w:u w:color="0563C1"/>
            <w:shd w:val="clear" w:color="FFFFFF" w:fill="FFFFFF"/>
            <w:lang w:val="uk-UA" w:eastAsia="ru-RU"/>
          </w:rPr>
          <w:t>https://reyestr.court.gov.ua/Review/117915135</w:t>
        </w:r>
      </w:hyperlink>
    </w:p>
    <w:p w14:paraId="3C2E5F1D" w14:textId="77777777" w:rsidR="00200E87" w:rsidRPr="00511005" w:rsidRDefault="00200E87" w:rsidP="003A292D">
      <w:pPr>
        <w:spacing w:line="264" w:lineRule="auto"/>
        <w:ind w:firstLine="540"/>
        <w:rPr>
          <w:rFonts w:ascii="Arial" w:eastAsia="Times New Roman" w:hAnsi="Arial" w:cs="Arial"/>
          <w:szCs w:val="28"/>
          <w:u w:color="000000"/>
          <w:shd w:val="clear" w:color="FFFFFF" w:fill="FFFFFF"/>
          <w:lang w:val="uk-UA" w:eastAsia="ru-RU"/>
        </w:rPr>
      </w:pPr>
    </w:p>
    <w:p w14:paraId="5A03BA9E" w14:textId="20C990B3" w:rsidR="00200E87" w:rsidRPr="00511005" w:rsidRDefault="007B2628"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b/>
          <w:i/>
          <w:szCs w:val="28"/>
          <w:lang w:val="uk" w:eastAsia="ru-RU"/>
        </w:rPr>
        <w:t xml:space="preserve">Ключові слова: </w:t>
      </w:r>
      <w:r w:rsidR="00200E87" w:rsidRPr="00511005">
        <w:rPr>
          <w:rFonts w:ascii="Arial" w:eastAsia="Times New Roman" w:hAnsi="Arial" w:cs="Arial"/>
          <w:szCs w:val="28"/>
          <w:lang w:val="uk-UA" w:eastAsia="ru-RU"/>
        </w:rPr>
        <w:t>земельна ділянка, сільськогосподарська земля, іноземець, право власності, спадщина.</w:t>
      </w:r>
    </w:p>
    <w:p w14:paraId="5C1B2C7E" w14:textId="5979124E" w:rsidR="00200E87" w:rsidRPr="00511005" w:rsidRDefault="007B2628" w:rsidP="003A292D">
      <w:pPr>
        <w:spacing w:line="264" w:lineRule="auto"/>
        <w:ind w:firstLine="540"/>
        <w:rPr>
          <w:rFonts w:ascii="Arial" w:eastAsia="Times New Roman" w:hAnsi="Arial" w:cs="Arial"/>
          <w:szCs w:val="28"/>
          <w:u w:color="000000"/>
          <w:shd w:val="clear" w:color="FFFFFF" w:fill="FFFFFF"/>
          <w:lang w:val="uk-UA" w:eastAsia="ru-RU"/>
        </w:rPr>
      </w:pPr>
      <w:r w:rsidRPr="00511005">
        <w:rPr>
          <w:rFonts w:ascii="Arial" w:eastAsia="Times New Roman" w:hAnsi="Arial" w:cs="Arial"/>
          <w:b/>
          <w:i/>
          <w:szCs w:val="28"/>
          <w:u w:color="000000"/>
          <w:shd w:val="clear" w:color="FFFFFF" w:fill="FFFFFF"/>
          <w:lang w:val="en-US" w:eastAsia="ru-RU"/>
        </w:rPr>
        <w:t xml:space="preserve">Key words: </w:t>
      </w:r>
      <w:r w:rsidR="00200E87" w:rsidRPr="00511005">
        <w:rPr>
          <w:rFonts w:ascii="Arial" w:eastAsia="Times New Roman" w:hAnsi="Arial" w:cs="Arial"/>
          <w:szCs w:val="28"/>
          <w:u w:color="000000"/>
          <w:shd w:val="clear" w:color="FFFFFF" w:fill="FFFFFF"/>
          <w:lang w:val="en-US" w:eastAsia="ru-RU"/>
        </w:rPr>
        <w:t>land plots, agricultural land</w:t>
      </w:r>
      <w:r w:rsidR="00200E87" w:rsidRPr="00511005">
        <w:rPr>
          <w:rFonts w:ascii="Arial" w:eastAsia="Times New Roman" w:hAnsi="Arial" w:cs="Arial"/>
          <w:szCs w:val="28"/>
          <w:u w:color="000000"/>
          <w:shd w:val="clear" w:color="FFFFFF" w:fill="FFFFFF"/>
          <w:lang w:val="uk-UA" w:eastAsia="ru-RU"/>
        </w:rPr>
        <w:t xml:space="preserve">, </w:t>
      </w:r>
      <w:r w:rsidR="00200E87" w:rsidRPr="00511005">
        <w:rPr>
          <w:rFonts w:ascii="Arial" w:eastAsia="Times New Roman" w:hAnsi="Arial" w:cs="Arial"/>
          <w:szCs w:val="28"/>
          <w:u w:color="000000"/>
          <w:shd w:val="clear" w:color="FFFFFF" w:fill="FFFFFF"/>
          <w:lang w:val="en-US" w:eastAsia="ru-RU"/>
        </w:rPr>
        <w:t>foreigner, property rights, inheritance.</w:t>
      </w:r>
    </w:p>
    <w:p w14:paraId="1986C999" w14:textId="55ECBF41" w:rsidR="00200E87" w:rsidRPr="00511005" w:rsidRDefault="00C76181" w:rsidP="003A292D">
      <w:pPr>
        <w:keepNext/>
        <w:spacing w:line="264" w:lineRule="auto"/>
        <w:ind w:firstLine="539"/>
        <w:rPr>
          <w:rFonts w:ascii="Arial" w:eastAsia="Times New Roman" w:hAnsi="Arial" w:cs="Arial"/>
          <w:i/>
          <w:iCs/>
          <w:szCs w:val="28"/>
          <w:lang w:val="uk-UA"/>
        </w:rPr>
      </w:pPr>
      <w:r w:rsidRPr="00511005">
        <w:rPr>
          <w:rFonts w:ascii="Arial" w:eastAsia="Calibri" w:hAnsi="Arial" w:cs="Arial"/>
          <w:b/>
          <w:i/>
          <w:szCs w:val="28"/>
          <w:lang w:val="uk-UA"/>
        </w:rPr>
        <w:lastRenderedPageBreak/>
        <w:t>Науковий керівник:</w:t>
      </w:r>
      <w:r>
        <w:rPr>
          <w:rFonts w:ascii="Arial" w:eastAsia="Calibri" w:hAnsi="Arial" w:cs="Arial"/>
          <w:b/>
          <w:i/>
          <w:szCs w:val="28"/>
          <w:lang w:val="uk-UA"/>
        </w:rPr>
        <w:t xml:space="preserve"> </w:t>
      </w:r>
      <w:r w:rsidR="00200E87" w:rsidRPr="00511005">
        <w:rPr>
          <w:rFonts w:ascii="Arial" w:eastAsia="Times New Roman" w:hAnsi="Arial" w:cs="Arial"/>
          <w:i/>
          <w:szCs w:val="28"/>
          <w:lang w:val="uk-UA"/>
        </w:rPr>
        <w:t xml:space="preserve">д.ю.н., професор </w:t>
      </w:r>
      <w:r w:rsidR="00200E87" w:rsidRPr="00511005">
        <w:rPr>
          <w:rFonts w:ascii="Arial" w:eastAsia="Times New Roman" w:hAnsi="Arial" w:cs="Arial"/>
          <w:bCs/>
          <w:i/>
          <w:iCs/>
          <w:szCs w:val="28"/>
          <w:lang w:val="uk-UA"/>
        </w:rPr>
        <w:t>Харитонова Т.Є.</w:t>
      </w:r>
    </w:p>
    <w:p w14:paraId="62F0B4AB" w14:textId="77777777" w:rsidR="00200E87" w:rsidRPr="00511005" w:rsidRDefault="00200E87" w:rsidP="003A292D">
      <w:pPr>
        <w:keepNext/>
        <w:spacing w:line="264" w:lineRule="auto"/>
        <w:ind w:firstLine="539"/>
        <w:rPr>
          <w:rFonts w:ascii="Arial" w:eastAsia="Times New Roman" w:hAnsi="Arial" w:cs="Arial"/>
          <w:i/>
          <w:iCs/>
          <w:szCs w:val="28"/>
          <w:lang w:val="uk-UA"/>
        </w:rPr>
      </w:pPr>
    </w:p>
    <w:p w14:paraId="474FE5E7" w14:textId="77777777" w:rsidR="00200E87" w:rsidRPr="00511005" w:rsidRDefault="00200E87"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Приєзжева Ольга Олександрівна</w:t>
      </w:r>
    </w:p>
    <w:p w14:paraId="5F33AA54" w14:textId="62F45887" w:rsidR="00200E87"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4-го курсу </w:t>
      </w:r>
      <w:r w:rsidR="007B2628" w:rsidRPr="00511005">
        <w:rPr>
          <w:rFonts w:ascii="Arial" w:eastAsia="Times New Roman" w:hAnsi="Arial" w:cs="Arial"/>
          <w:szCs w:val="28"/>
          <w:lang w:val="uk-UA"/>
        </w:rPr>
        <w:t>факультету цивільної та господарської юстиції</w:t>
      </w:r>
    </w:p>
    <w:p w14:paraId="5C1A496E" w14:textId="5FB2B0BC" w:rsidR="00200E87"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777FF6E5" w14:textId="77777777" w:rsidR="00200E87" w:rsidRPr="00511005" w:rsidRDefault="00200E87" w:rsidP="003A292D">
      <w:pPr>
        <w:spacing w:line="264" w:lineRule="auto"/>
        <w:ind w:firstLine="0"/>
        <w:jc w:val="left"/>
        <w:rPr>
          <w:rFonts w:ascii="Arial" w:eastAsia="Times New Roman" w:hAnsi="Arial" w:cs="Arial"/>
          <w:szCs w:val="28"/>
          <w:lang w:val="uk-UA"/>
        </w:rPr>
      </w:pPr>
    </w:p>
    <w:p w14:paraId="032FABA7" w14:textId="77777777" w:rsidR="00200E87" w:rsidRPr="00511005" w:rsidRDefault="00200E87"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ВПЛИВ РУЙНУВАННЯ ОБ'ЄКТІВ КРИТИЧНОЇ ІНФРАСТРУКТУРИ НА ЕКОЛОГІЧНІ ПРАВА НАСЕЛЕННЯ УКРАЇНИ</w:t>
      </w:r>
    </w:p>
    <w:p w14:paraId="56D8CDE7" w14:textId="77777777" w:rsidR="00200E87" w:rsidRPr="00511005" w:rsidRDefault="00200E87" w:rsidP="003A292D">
      <w:pPr>
        <w:spacing w:line="264" w:lineRule="auto"/>
        <w:ind w:firstLine="539"/>
        <w:rPr>
          <w:rFonts w:ascii="Arial" w:eastAsia="Times New Roman" w:hAnsi="Arial" w:cs="Arial"/>
          <w:szCs w:val="28"/>
          <w:lang w:val="uk-UA"/>
        </w:rPr>
      </w:pPr>
      <w:r w:rsidRPr="00511005">
        <w:rPr>
          <w:rFonts w:ascii="Arial" w:eastAsia="Times New Roman" w:hAnsi="Arial" w:cs="Arial"/>
          <w:szCs w:val="28"/>
          <w:lang w:val="uk-UA"/>
        </w:rPr>
        <w:t>Збройна агресія російської федерації проти України, що триває з 2014 року та набула повномасштабного характеру у 2022 році, призвела до катастрофічних наслідків у багатьох сферах життєдіяльності країни. Одним з найбільш гострих аспектів є руйнування об'єктів критичної інфраструктури, що не лише загрожує енергетичній, продовольчій та соціальній безпеці, але й спричиняє масштабні екологічні збитки та грубо порушує екологічні права населення України. Ці руйнування призводять до безпрецедентного забруднення довкілля, унеможливлюють доступ до життєво важливих природних ресурсів, негативно впливають на здоров'я громадян та підривають основи сталого розвитку держави. У зв'язку з цим, глибоке та всебічне дослідження впливу руйнування об'єктів критичної інфраструктури на екологічні права населення України є нагальною потребою для розробки ефективних правових та практичних механізмів захисту цих прав у воєнний та післявоєнний періоди.</w:t>
      </w:r>
    </w:p>
    <w:p w14:paraId="56600583" w14:textId="77777777" w:rsidR="00200E87" w:rsidRPr="00511005" w:rsidRDefault="00200E87" w:rsidP="003A292D">
      <w:pPr>
        <w:spacing w:line="264" w:lineRule="auto"/>
        <w:ind w:firstLine="539"/>
        <w:rPr>
          <w:rFonts w:ascii="Arial" w:eastAsia="Times New Roman" w:hAnsi="Arial" w:cs="Arial"/>
          <w:szCs w:val="28"/>
          <w:lang w:val="uk-UA"/>
        </w:rPr>
      </w:pPr>
      <w:r w:rsidRPr="00511005">
        <w:rPr>
          <w:rFonts w:ascii="Arial" w:eastAsia="Times New Roman" w:hAnsi="Arial" w:cs="Arial"/>
          <w:szCs w:val="28"/>
          <w:lang w:val="uk-UA"/>
        </w:rPr>
        <w:t>Критична інфраструктура, відповідно до Закону України «Про критичну інфраструктуру» [1], визначається як сукупність об'єктів життєзабезпечення, функціонування яких є критично важливим для суспільства та держави. До таких об'єктів належать енергетичні системи, транспортні мережі, водопровідно-каналізаційне господарство, системи зв'язку та інформації, об'єкти охорони здоров'я, продовольчого забезпечення, банківської та фінансової систем, а також об'єкти, що мають стратегічне значення для національної безпеки та оборони.</w:t>
      </w:r>
    </w:p>
    <w:p w14:paraId="3CC06754" w14:textId="77777777" w:rsidR="00200E87" w:rsidRPr="00511005" w:rsidRDefault="00200E87" w:rsidP="003A292D">
      <w:pPr>
        <w:spacing w:line="264" w:lineRule="auto"/>
        <w:ind w:firstLine="539"/>
        <w:rPr>
          <w:rFonts w:ascii="Arial" w:eastAsia="Times New Roman" w:hAnsi="Arial" w:cs="Arial"/>
          <w:szCs w:val="28"/>
          <w:lang w:val="uk-UA"/>
        </w:rPr>
      </w:pPr>
      <w:r w:rsidRPr="00511005">
        <w:rPr>
          <w:rFonts w:ascii="Arial" w:eastAsia="Times New Roman" w:hAnsi="Arial" w:cs="Arial"/>
          <w:szCs w:val="28"/>
          <w:lang w:val="uk-UA"/>
        </w:rPr>
        <w:t>Екологічна значущість об'єктів критичної інфраструктури є надзвичайно високою. Їх належне функціонування забезпечує екологічну безпеку населення через постачання чистої питної води, очищення стічних вод, утилізацію відходів, контроль за промисловими викидами та запобігання техногенним катастрофам. Руйнування цих об'єктів призводить до порушення природних екологічних процесів, забруднення компонентів довкілля та створення зон екологічного лиха. Як зазначає В. І. Андрейцев «екологічна функція інфраструктури полягає у забезпеченні екологічної рівноваги та створенні сприятливих умов для життєдіяльності людини шляхом мінімізації негативного антропогенного впливу» [2, с. 87].</w:t>
      </w:r>
    </w:p>
    <w:p w14:paraId="3C48DB35" w14:textId="77777777" w:rsidR="00200E87" w:rsidRPr="00511005" w:rsidRDefault="00200E87" w:rsidP="003A292D">
      <w:pPr>
        <w:spacing w:line="264" w:lineRule="auto"/>
        <w:ind w:firstLine="539"/>
        <w:rPr>
          <w:rFonts w:ascii="Arial" w:eastAsia="Times New Roman" w:hAnsi="Arial" w:cs="Arial"/>
          <w:szCs w:val="28"/>
          <w:lang w:val="uk-UA"/>
        </w:rPr>
      </w:pPr>
      <w:r w:rsidRPr="00511005">
        <w:rPr>
          <w:rFonts w:ascii="Arial" w:eastAsia="Times New Roman" w:hAnsi="Arial" w:cs="Arial"/>
          <w:szCs w:val="28"/>
          <w:lang w:val="uk-UA"/>
        </w:rPr>
        <w:t xml:space="preserve">Збройна агресія РФ спричинила масштабні руйнування різноманітних об'єктів критичної інфраструктури, що призвело до цілого спектру </w:t>
      </w:r>
      <w:r w:rsidRPr="00511005">
        <w:rPr>
          <w:rFonts w:ascii="Arial" w:eastAsia="Times New Roman" w:hAnsi="Arial" w:cs="Arial"/>
          <w:szCs w:val="28"/>
          <w:lang w:val="uk-UA"/>
        </w:rPr>
        <w:lastRenderedPageBreak/>
        <w:t>негативних екологічних наслідків. Ракетні удари та артилерійські обстріли промислових підприємств, нафтобаз, енергетичних об'єктів та транспортних засобів призвели до масштабних пожеж та викидів в атмосферу значної кількості токсичних речовин, продуктів горіння, важких металів, сажі та парникових газів. Це суттєво погіршує якість повітря, спричиняє смог, кислотні дощі та підвищує ризик респіраторних, серцево-судинних та онкологічних захворювань у населення.</w:t>
      </w:r>
    </w:p>
    <w:p w14:paraId="520E43FD" w14:textId="77777777" w:rsidR="00200E87" w:rsidRPr="00511005" w:rsidRDefault="00200E87" w:rsidP="003A292D">
      <w:pPr>
        <w:spacing w:line="264" w:lineRule="auto"/>
        <w:ind w:firstLine="539"/>
        <w:rPr>
          <w:rFonts w:ascii="Arial" w:eastAsia="Times New Roman" w:hAnsi="Arial" w:cs="Arial"/>
          <w:szCs w:val="28"/>
          <w:lang w:val="uk-UA"/>
        </w:rPr>
      </w:pPr>
      <w:r w:rsidRPr="00511005">
        <w:rPr>
          <w:rFonts w:ascii="Arial" w:eastAsia="Times New Roman" w:hAnsi="Arial" w:cs="Arial"/>
          <w:szCs w:val="28"/>
          <w:lang w:val="uk-UA"/>
        </w:rPr>
        <w:t>Руйнування водоочисних споруд, водосховищ, каналізаційних мереж, промислових накопичувачів відходів та гідротехнічних споруд призводить до потрапляння неочищених стічних вод, хімічних речовин, нафтопродуктів, радіонуклідів та інших забруднюючих речовин у поверхневі та підземні водні об'єкти. Це робить воду непридатною для пиття, господарсько-побутових потреб, сільського господарства та рибальства, порушуючи право громадян на безпечну питну воду, гарантоване Законом України «Про питну воду та питне водопостачання» [3].</w:t>
      </w:r>
    </w:p>
    <w:p w14:paraId="0853228C" w14:textId="77777777" w:rsidR="00200E87" w:rsidRPr="00511005" w:rsidRDefault="00200E87" w:rsidP="003A292D">
      <w:pPr>
        <w:spacing w:line="264" w:lineRule="auto"/>
        <w:ind w:firstLine="539"/>
        <w:rPr>
          <w:rFonts w:ascii="Arial" w:eastAsia="Times New Roman" w:hAnsi="Arial" w:cs="Arial"/>
          <w:szCs w:val="28"/>
          <w:lang w:val="uk-UA"/>
        </w:rPr>
      </w:pPr>
      <w:r w:rsidRPr="00511005">
        <w:rPr>
          <w:rFonts w:ascii="Arial" w:eastAsia="Times New Roman" w:hAnsi="Arial" w:cs="Arial"/>
          <w:szCs w:val="28"/>
          <w:lang w:val="uk-UA"/>
        </w:rPr>
        <w:t>Вибухи боєприпасів, витоки небезпечних речовин з пошкоджених промислових об'єктів та транспортних засобів, утворення значної кількості будівельних відходів призводять до забруднення ґрунтів важкими металами, нафтопродуктами, хімічними сполуками та іншими токсичними речовинами. Це знижує родючість ґрунтів, унеможливлює ведення сільського господарства на забруднених територіях та становить пряму загрозу для здоров'я населення через харчові ланцюги [4, с. 115]. Пошкодження ядерних об'єктів, зокрема Чорнобильської та Запорізької атомних електростанцій, становить надзвичайну загрозу радіаційного забруднення значних територій, що може мати довгострокові наслідки для здоров'я населення та довкілля.</w:t>
      </w:r>
    </w:p>
    <w:p w14:paraId="7860FBF8" w14:textId="77777777" w:rsidR="00200E87" w:rsidRPr="00511005" w:rsidRDefault="00200E87" w:rsidP="003A292D">
      <w:pPr>
        <w:spacing w:line="264" w:lineRule="auto"/>
        <w:ind w:firstLine="539"/>
        <w:rPr>
          <w:rFonts w:ascii="Arial" w:eastAsia="Times New Roman" w:hAnsi="Arial" w:cs="Arial"/>
          <w:szCs w:val="28"/>
          <w:lang w:val="uk-UA"/>
        </w:rPr>
      </w:pPr>
      <w:r w:rsidRPr="00511005">
        <w:rPr>
          <w:rFonts w:ascii="Arial" w:eastAsia="Times New Roman" w:hAnsi="Arial" w:cs="Arial"/>
          <w:szCs w:val="28"/>
          <w:lang w:val="uk-UA"/>
        </w:rPr>
        <w:t>Руйнування об'єктів критичної інфраструктури прямо та опосередковано порушує цілий ряд екологічних прав громадян України, гарантованих Конституцією України та чинним законодавством:</w:t>
      </w:r>
    </w:p>
    <w:p w14:paraId="3BAF5241" w14:textId="77777777" w:rsidR="00200E87" w:rsidRPr="00511005" w:rsidRDefault="00200E87" w:rsidP="003F6A5D">
      <w:pPr>
        <w:numPr>
          <w:ilvl w:val="0"/>
          <w:numId w:val="478"/>
        </w:numPr>
        <w:spacing w:line="264" w:lineRule="auto"/>
        <w:ind w:left="0" w:firstLine="539"/>
        <w:jc w:val="left"/>
        <w:rPr>
          <w:rFonts w:ascii="Arial" w:eastAsia="Times New Roman" w:hAnsi="Arial" w:cs="Arial"/>
          <w:szCs w:val="28"/>
          <w:lang w:val="uk-UA"/>
        </w:rPr>
      </w:pPr>
      <w:r w:rsidRPr="00511005">
        <w:rPr>
          <w:rFonts w:ascii="Arial" w:eastAsia="Times New Roman" w:hAnsi="Arial" w:cs="Arial"/>
          <w:bCs/>
          <w:szCs w:val="28"/>
          <w:lang w:val="uk-UA"/>
        </w:rPr>
        <w:t>Право на безпечне для життя і здоров'я довкілля (ст. 50 Конституції України [5]). З</w:t>
      </w:r>
      <w:r w:rsidRPr="00511005">
        <w:rPr>
          <w:rFonts w:ascii="Arial" w:eastAsia="Times New Roman" w:hAnsi="Arial" w:cs="Arial"/>
          <w:szCs w:val="28"/>
          <w:lang w:val="uk-UA"/>
        </w:rPr>
        <w:t>абруднення повітря, води та ґрунтів, спричинене руйнуванням інфраструктури, робить довкілля небезпечним для проживання та призводить до погіршення здоров'я населення.</w:t>
      </w:r>
    </w:p>
    <w:p w14:paraId="4FF35683" w14:textId="77777777" w:rsidR="00200E87" w:rsidRPr="00511005" w:rsidRDefault="00200E87" w:rsidP="003F6A5D">
      <w:pPr>
        <w:numPr>
          <w:ilvl w:val="0"/>
          <w:numId w:val="478"/>
        </w:numPr>
        <w:spacing w:line="264" w:lineRule="auto"/>
        <w:ind w:left="0" w:firstLine="539"/>
        <w:jc w:val="left"/>
        <w:rPr>
          <w:rFonts w:ascii="Arial" w:eastAsia="Times New Roman" w:hAnsi="Arial" w:cs="Arial"/>
          <w:szCs w:val="28"/>
          <w:lang w:val="uk-UA"/>
        </w:rPr>
      </w:pPr>
      <w:r w:rsidRPr="00511005">
        <w:rPr>
          <w:rFonts w:ascii="Arial" w:eastAsia="Times New Roman" w:hAnsi="Arial" w:cs="Arial"/>
          <w:bCs/>
          <w:szCs w:val="28"/>
          <w:lang w:val="uk-UA"/>
        </w:rPr>
        <w:t>Право на відшкодування шкоди, завданої здоров'ю або майну внаслідок порушення природоохоронного законодавства (ст. 50 Конституції України [5], Цивільний кодекс України [6]).</w:t>
      </w:r>
    </w:p>
    <w:p w14:paraId="454AC3B2" w14:textId="77777777" w:rsidR="00200E87" w:rsidRPr="00511005" w:rsidRDefault="00200E87" w:rsidP="003A292D">
      <w:pPr>
        <w:spacing w:line="264" w:lineRule="auto"/>
        <w:ind w:firstLine="539"/>
        <w:rPr>
          <w:rFonts w:ascii="Arial" w:eastAsia="Times New Roman" w:hAnsi="Arial" w:cs="Arial"/>
          <w:szCs w:val="28"/>
          <w:lang w:val="uk-UA"/>
        </w:rPr>
      </w:pPr>
      <w:r w:rsidRPr="00511005">
        <w:rPr>
          <w:rFonts w:ascii="Arial" w:eastAsia="Times New Roman" w:hAnsi="Arial" w:cs="Arial"/>
          <w:szCs w:val="28"/>
          <w:lang w:val="uk-UA"/>
        </w:rPr>
        <w:t xml:space="preserve">В умовах збройної агресії захист екологічних прав населення України є складним завданням, що потребує комплексного підходу із залученням національних та міжнародних правових механізмів. Збір та належне оформлення доказів екологічних злочинів, скоєних внаслідок руйнування об'єктів критичної інфраструктури, їх фіксація та документування є важливим для подальшого притягнення винних до відповідальності на </w:t>
      </w:r>
      <w:r w:rsidRPr="00511005">
        <w:rPr>
          <w:rFonts w:ascii="Arial" w:eastAsia="Times New Roman" w:hAnsi="Arial" w:cs="Arial"/>
          <w:szCs w:val="28"/>
          <w:lang w:val="uk-UA"/>
        </w:rPr>
        <w:lastRenderedPageBreak/>
        <w:t xml:space="preserve">національному та міжнародному рівнях. Незважаючи на складнощі воєнного стану, чинне екологічне законодавство України продовжує діяти та може бути використане для фіксації порушень та оцінки збитків. Україна може використовувати міжнародні конвенції та угоди у сфері охорони довкілля, а також звертатися до міжнародних судових інституцій для притягнення агресора до відповідальності за екологічні злочини та вимагання відшкодування завданих збитків. </w:t>
      </w:r>
    </w:p>
    <w:p w14:paraId="604250EA" w14:textId="77777777" w:rsidR="00200E87" w:rsidRPr="00511005" w:rsidRDefault="00200E87" w:rsidP="003A292D">
      <w:pPr>
        <w:spacing w:line="264" w:lineRule="auto"/>
        <w:ind w:firstLine="539"/>
        <w:rPr>
          <w:rFonts w:ascii="Arial" w:eastAsia="Times New Roman" w:hAnsi="Arial" w:cs="Arial"/>
          <w:szCs w:val="28"/>
          <w:lang w:val="uk-UA"/>
        </w:rPr>
      </w:pPr>
      <w:r w:rsidRPr="00511005">
        <w:rPr>
          <w:rFonts w:ascii="Arial" w:eastAsia="Times New Roman" w:hAnsi="Arial" w:cs="Arial"/>
          <w:szCs w:val="28"/>
          <w:lang w:val="uk-UA"/>
        </w:rPr>
        <w:t>Руйнування об'єктів критичної інфраструктури внаслідок збройної агресії російської федерації є серйозною загрозою для екологічної безпеки України та призводить до масштабних порушень екологічних прав населення. Забруднення всіх компонентів довкілля, знищення екосистем, ускладнення доступу до інформації та правосуддя вимагають консолідації зусиль держави, громадськості та міжнародного співтовариства для ефективного захисту цих прав. Захист екологічних прав населення України є ключовим елементом відновлення та сталого розвитку держави після завершення війни.</w:t>
      </w:r>
    </w:p>
    <w:p w14:paraId="6B270542" w14:textId="77777777" w:rsidR="00200E87" w:rsidRPr="00511005" w:rsidRDefault="00200E87" w:rsidP="003A292D">
      <w:pPr>
        <w:spacing w:line="264" w:lineRule="auto"/>
        <w:ind w:firstLine="540"/>
        <w:rPr>
          <w:rFonts w:ascii="Arial" w:eastAsia="Times New Roman" w:hAnsi="Arial" w:cs="Arial"/>
          <w:szCs w:val="28"/>
          <w:lang w:val="uk-UA"/>
        </w:rPr>
      </w:pPr>
    </w:p>
    <w:p w14:paraId="5301B687" w14:textId="40B0791B" w:rsidR="00200E87" w:rsidRPr="00511005" w:rsidRDefault="007B2628" w:rsidP="007B2628">
      <w:pPr>
        <w:spacing w:line="264" w:lineRule="auto"/>
        <w:ind w:firstLine="54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03C43522" w14:textId="77777777" w:rsidR="00200E87" w:rsidRPr="00511005" w:rsidRDefault="00200E87" w:rsidP="003A292D">
      <w:pPr>
        <w:spacing w:line="264" w:lineRule="auto"/>
        <w:ind w:firstLine="539"/>
        <w:rPr>
          <w:rFonts w:ascii="Arial" w:eastAsia="Times New Roman" w:hAnsi="Arial" w:cs="Arial"/>
          <w:b/>
          <w:bCs/>
          <w:szCs w:val="28"/>
          <w:lang w:val="uk-UA"/>
        </w:rPr>
      </w:pPr>
      <w:r w:rsidRPr="00511005">
        <w:rPr>
          <w:rFonts w:ascii="Arial" w:eastAsia="Times New Roman" w:hAnsi="Arial" w:cs="Arial"/>
          <w:bCs/>
          <w:szCs w:val="28"/>
          <w:lang w:val="uk-UA"/>
        </w:rPr>
        <w:t xml:space="preserve">1. Про критичну інфраструктуру: Закон України від 16 листопада 2021 року. </w:t>
      </w:r>
      <w:bookmarkStart w:id="205" w:name="_Hlk196139344"/>
      <w:r w:rsidRPr="00511005">
        <w:rPr>
          <w:rFonts w:ascii="Arial" w:eastAsia="Times New Roman" w:hAnsi="Arial" w:cs="Arial"/>
          <w:bCs/>
          <w:i/>
          <w:iCs/>
          <w:szCs w:val="28"/>
          <w:lang w:val="uk-UA"/>
        </w:rPr>
        <w:t>Відомості Верховної Ради України.</w:t>
      </w:r>
      <w:r w:rsidRPr="00511005">
        <w:rPr>
          <w:rFonts w:ascii="Arial" w:eastAsia="Times New Roman" w:hAnsi="Arial" w:cs="Arial"/>
          <w:bCs/>
          <w:szCs w:val="28"/>
          <w:lang w:val="uk-UA"/>
        </w:rPr>
        <w:t>2023. № 5. Ст. 13.</w:t>
      </w:r>
      <w:bookmarkEnd w:id="205"/>
    </w:p>
    <w:p w14:paraId="193715E5" w14:textId="77777777" w:rsidR="00200E87" w:rsidRPr="00511005" w:rsidRDefault="00200E87" w:rsidP="003A292D">
      <w:pPr>
        <w:spacing w:line="264" w:lineRule="auto"/>
        <w:ind w:firstLine="539"/>
        <w:rPr>
          <w:rFonts w:ascii="Arial" w:eastAsia="Times New Roman" w:hAnsi="Arial" w:cs="Arial"/>
          <w:b/>
          <w:bCs/>
          <w:szCs w:val="28"/>
          <w:lang w:val="uk-UA"/>
        </w:rPr>
      </w:pPr>
      <w:r w:rsidRPr="00511005">
        <w:rPr>
          <w:rFonts w:ascii="Arial" w:eastAsia="Times New Roman" w:hAnsi="Arial" w:cs="Arial"/>
          <w:szCs w:val="28"/>
          <w:lang w:val="uk-UA"/>
        </w:rPr>
        <w:t xml:space="preserve">2. </w:t>
      </w:r>
      <w:r w:rsidRPr="00511005">
        <w:rPr>
          <w:rFonts w:ascii="Arial" w:eastAsia="Times New Roman" w:hAnsi="Arial" w:cs="Arial"/>
          <w:bCs/>
          <w:szCs w:val="28"/>
          <w:lang w:val="uk-UA"/>
        </w:rPr>
        <w:t xml:space="preserve">Андрейцев В. І. Екологічне право: курс лекцій. Київ: Знання, 2008. 382 с. </w:t>
      </w:r>
    </w:p>
    <w:p w14:paraId="714FC309" w14:textId="77777777" w:rsidR="00200E87" w:rsidRPr="00511005" w:rsidRDefault="00200E87" w:rsidP="003A292D">
      <w:pPr>
        <w:spacing w:line="264" w:lineRule="auto"/>
        <w:ind w:firstLine="539"/>
        <w:rPr>
          <w:rFonts w:ascii="Arial" w:eastAsia="Times New Roman" w:hAnsi="Arial" w:cs="Arial"/>
          <w:b/>
          <w:bCs/>
          <w:szCs w:val="28"/>
          <w:lang w:val="uk-UA"/>
        </w:rPr>
      </w:pPr>
      <w:r w:rsidRPr="00511005">
        <w:rPr>
          <w:rFonts w:ascii="Arial" w:eastAsia="Times New Roman" w:hAnsi="Arial" w:cs="Arial"/>
          <w:szCs w:val="28"/>
          <w:lang w:val="uk-UA"/>
        </w:rPr>
        <w:t xml:space="preserve">3. </w:t>
      </w:r>
      <w:r w:rsidRPr="00511005">
        <w:rPr>
          <w:rFonts w:ascii="Arial" w:eastAsia="Times New Roman" w:hAnsi="Arial" w:cs="Arial"/>
          <w:bCs/>
          <w:szCs w:val="28"/>
          <w:lang w:val="uk-UA"/>
        </w:rPr>
        <w:t xml:space="preserve">Про питну воду та питне водопостачання: Закон України від 10 січня 2002 року. </w:t>
      </w:r>
      <w:r w:rsidRPr="00511005">
        <w:rPr>
          <w:rFonts w:ascii="Arial" w:eastAsia="Times New Roman" w:hAnsi="Arial" w:cs="Arial"/>
          <w:bCs/>
          <w:i/>
          <w:iCs/>
          <w:szCs w:val="28"/>
          <w:lang w:val="uk-UA"/>
        </w:rPr>
        <w:t>Відомості Верховної Ради України.</w:t>
      </w:r>
      <w:r w:rsidRPr="00511005">
        <w:rPr>
          <w:rFonts w:ascii="Arial" w:eastAsia="Times New Roman" w:hAnsi="Arial" w:cs="Arial"/>
          <w:bCs/>
          <w:szCs w:val="28"/>
          <w:lang w:val="uk-UA"/>
        </w:rPr>
        <w:t xml:space="preserve"> 2002. № 16. Ст. 112.</w:t>
      </w:r>
    </w:p>
    <w:p w14:paraId="1BFA301A" w14:textId="77777777" w:rsidR="00200E87" w:rsidRPr="00511005" w:rsidRDefault="00200E87" w:rsidP="003A292D">
      <w:pPr>
        <w:spacing w:line="264" w:lineRule="auto"/>
        <w:ind w:firstLine="539"/>
        <w:rPr>
          <w:rFonts w:ascii="Arial" w:eastAsia="Times New Roman" w:hAnsi="Arial" w:cs="Arial"/>
          <w:b/>
          <w:bCs/>
          <w:szCs w:val="28"/>
          <w:lang w:val="uk-UA"/>
        </w:rPr>
      </w:pPr>
      <w:r w:rsidRPr="00511005">
        <w:rPr>
          <w:rFonts w:ascii="Arial" w:eastAsia="Times New Roman" w:hAnsi="Arial" w:cs="Arial"/>
          <w:szCs w:val="28"/>
          <w:lang w:val="uk-UA"/>
        </w:rPr>
        <w:t xml:space="preserve">4. </w:t>
      </w:r>
      <w:r w:rsidRPr="00511005">
        <w:rPr>
          <w:rFonts w:ascii="Arial" w:eastAsia="Times New Roman" w:hAnsi="Arial" w:cs="Arial"/>
          <w:bCs/>
          <w:szCs w:val="28"/>
          <w:lang w:val="uk-UA"/>
        </w:rPr>
        <w:t xml:space="preserve">Мельник Л. Г., Брюханова Н. О. Екологічні наслідки військової агресії на ґрунтові ресурси України. </w:t>
      </w:r>
      <w:r w:rsidRPr="00511005">
        <w:rPr>
          <w:rFonts w:ascii="Arial" w:eastAsia="Times New Roman" w:hAnsi="Arial" w:cs="Arial"/>
          <w:bCs/>
          <w:i/>
          <w:iCs/>
          <w:szCs w:val="28"/>
          <w:lang w:val="uk-UA"/>
        </w:rPr>
        <w:t>Вісник Харківського національного університету імені В. Н. Каразіна. Серія «Екологія»</w:t>
      </w:r>
      <w:r w:rsidRPr="00511005">
        <w:rPr>
          <w:rFonts w:ascii="Arial" w:eastAsia="Times New Roman" w:hAnsi="Arial" w:cs="Arial"/>
          <w:bCs/>
          <w:szCs w:val="28"/>
          <w:lang w:val="uk-UA"/>
        </w:rPr>
        <w:t>. 2022. Вип. 72. С. 112-120.</w:t>
      </w:r>
    </w:p>
    <w:p w14:paraId="6814046C" w14:textId="77777777" w:rsidR="00200E87" w:rsidRPr="00511005" w:rsidRDefault="00200E87" w:rsidP="003A292D">
      <w:pPr>
        <w:spacing w:line="264" w:lineRule="auto"/>
        <w:ind w:firstLine="539"/>
        <w:rPr>
          <w:rFonts w:ascii="Arial" w:eastAsia="Times New Roman" w:hAnsi="Arial" w:cs="Arial"/>
          <w:szCs w:val="28"/>
          <w:lang w:val="uk-UA"/>
        </w:rPr>
      </w:pPr>
      <w:r w:rsidRPr="00511005">
        <w:rPr>
          <w:rFonts w:ascii="Arial" w:eastAsia="Times New Roman" w:hAnsi="Arial" w:cs="Arial"/>
          <w:szCs w:val="28"/>
          <w:lang w:val="uk-UA"/>
        </w:rPr>
        <w:t xml:space="preserve">5. Конституція України: прийнята 28 червня 1996 року. </w:t>
      </w:r>
      <w:r w:rsidRPr="00511005">
        <w:rPr>
          <w:rFonts w:ascii="Arial" w:eastAsia="Times New Roman" w:hAnsi="Arial" w:cs="Arial"/>
          <w:i/>
          <w:szCs w:val="28"/>
          <w:lang w:val="uk-UA"/>
        </w:rPr>
        <w:t>Відомості Верховної Ради України</w:t>
      </w:r>
      <w:r w:rsidRPr="00511005">
        <w:rPr>
          <w:rFonts w:ascii="Arial" w:eastAsia="Times New Roman" w:hAnsi="Arial" w:cs="Arial"/>
          <w:szCs w:val="28"/>
          <w:lang w:val="uk-UA"/>
        </w:rPr>
        <w:t>. 1996. № 30. Ст. 141.</w:t>
      </w:r>
    </w:p>
    <w:p w14:paraId="62FA9F2A" w14:textId="77777777" w:rsidR="00200E87" w:rsidRPr="00511005" w:rsidRDefault="00200E87" w:rsidP="003A292D">
      <w:pPr>
        <w:spacing w:line="264" w:lineRule="auto"/>
        <w:ind w:firstLine="539"/>
        <w:rPr>
          <w:rFonts w:ascii="Arial" w:eastAsia="Times New Roman" w:hAnsi="Arial" w:cs="Arial"/>
          <w:szCs w:val="28"/>
          <w:lang w:val="uk-UA"/>
        </w:rPr>
      </w:pPr>
      <w:r w:rsidRPr="00511005">
        <w:rPr>
          <w:rFonts w:ascii="Arial" w:eastAsia="Times New Roman" w:hAnsi="Arial" w:cs="Arial"/>
          <w:szCs w:val="28"/>
          <w:lang w:val="uk-UA"/>
        </w:rPr>
        <w:t xml:space="preserve">6. Цивільний кодекс України: прийнятий 16 січня 2003 року. </w:t>
      </w:r>
      <w:r w:rsidRPr="00511005">
        <w:rPr>
          <w:rFonts w:ascii="Arial" w:eastAsia="Times New Roman" w:hAnsi="Arial" w:cs="Arial"/>
          <w:i/>
          <w:szCs w:val="28"/>
          <w:lang w:val="uk-UA"/>
        </w:rPr>
        <w:t>Відомості Верховної Ради України</w:t>
      </w:r>
      <w:r w:rsidRPr="00511005">
        <w:rPr>
          <w:rFonts w:ascii="Arial" w:eastAsia="Times New Roman" w:hAnsi="Arial" w:cs="Arial"/>
          <w:szCs w:val="28"/>
          <w:lang w:val="uk-UA"/>
        </w:rPr>
        <w:t>. 2003. № 40-44. Ст. 356.</w:t>
      </w:r>
    </w:p>
    <w:p w14:paraId="43B8F8BB" w14:textId="77777777" w:rsidR="00200E87" w:rsidRPr="00511005" w:rsidRDefault="00200E87" w:rsidP="003A292D">
      <w:pPr>
        <w:spacing w:line="264" w:lineRule="auto"/>
        <w:ind w:firstLine="540"/>
        <w:rPr>
          <w:rFonts w:ascii="Arial" w:eastAsia="Times New Roman" w:hAnsi="Arial" w:cs="Arial"/>
          <w:bCs/>
          <w:szCs w:val="28"/>
          <w:lang w:val="uk-UA"/>
        </w:rPr>
      </w:pPr>
    </w:p>
    <w:p w14:paraId="2A2AFC0C" w14:textId="589ACEDD" w:rsidR="00200E87" w:rsidRPr="00511005" w:rsidRDefault="007B2628" w:rsidP="003A292D">
      <w:pPr>
        <w:spacing w:line="264" w:lineRule="auto"/>
        <w:ind w:firstLine="54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200E87" w:rsidRPr="00511005">
        <w:rPr>
          <w:rFonts w:ascii="Arial" w:eastAsia="Times New Roman" w:hAnsi="Arial" w:cs="Arial"/>
          <w:szCs w:val="28"/>
          <w:lang w:val="uk-UA"/>
        </w:rPr>
        <w:t>екологічні права, критична інфраструктура, руйнування, вплив на населення, забруднення довкілля, збройний конфлікт, екологічна безпека.</w:t>
      </w:r>
    </w:p>
    <w:p w14:paraId="4E14113B" w14:textId="2C935A8D" w:rsidR="00200E87" w:rsidRPr="00511005" w:rsidRDefault="007B2628" w:rsidP="003A292D">
      <w:pPr>
        <w:spacing w:line="264" w:lineRule="auto"/>
        <w:ind w:firstLine="54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200E87" w:rsidRPr="00511005">
        <w:rPr>
          <w:rFonts w:ascii="Arial" w:eastAsia="Times New Roman" w:hAnsi="Arial" w:cs="Arial"/>
          <w:szCs w:val="28"/>
          <w:lang w:val="uk-UA"/>
        </w:rPr>
        <w:t>environmental rights, critical infrastructure, destruction, impact on population, environmental pollution, armed conflict, ecological safety.</w:t>
      </w:r>
    </w:p>
    <w:p w14:paraId="72E5D91A" w14:textId="6D988DD1" w:rsidR="00200E87" w:rsidRPr="00511005" w:rsidRDefault="007B2628" w:rsidP="003A292D">
      <w:pPr>
        <w:spacing w:line="264" w:lineRule="auto"/>
        <w:ind w:firstLine="540"/>
        <w:rPr>
          <w:rFonts w:ascii="Arial" w:eastAsia="Times New Roman" w:hAnsi="Arial" w:cs="Arial"/>
          <w:bCs/>
          <w:i/>
          <w:szCs w:val="28"/>
          <w:lang w:val="uk-UA"/>
        </w:rPr>
      </w:pPr>
      <w:r w:rsidRPr="00511005">
        <w:rPr>
          <w:rFonts w:ascii="Arial" w:eastAsia="Times New Roman" w:hAnsi="Arial" w:cs="Arial"/>
          <w:b/>
          <w:bCs/>
          <w:i/>
          <w:szCs w:val="28"/>
          <w:lang w:val="uk-UA"/>
        </w:rPr>
        <w:t xml:space="preserve">Науковий керівник: </w:t>
      </w:r>
      <w:r w:rsidR="00200E87" w:rsidRPr="00511005">
        <w:rPr>
          <w:rFonts w:ascii="Arial" w:eastAsia="Times New Roman" w:hAnsi="Arial" w:cs="Arial"/>
          <w:bCs/>
          <w:i/>
          <w:szCs w:val="28"/>
          <w:lang w:val="uk-UA"/>
        </w:rPr>
        <w:t>к.ю.н., доцент Заверюха М.М.</w:t>
      </w:r>
    </w:p>
    <w:p w14:paraId="76C69E06" w14:textId="77777777" w:rsidR="00200E87" w:rsidRPr="00511005" w:rsidRDefault="00200E87" w:rsidP="003A292D">
      <w:pPr>
        <w:keepNext/>
        <w:spacing w:line="264" w:lineRule="auto"/>
        <w:ind w:firstLine="540"/>
        <w:rPr>
          <w:rFonts w:ascii="Arial" w:eastAsia="Times New Roman" w:hAnsi="Arial" w:cs="Arial"/>
          <w:b/>
          <w:i/>
          <w:szCs w:val="28"/>
          <w:lang w:val="uk-UA" w:eastAsia="ru-RU"/>
        </w:rPr>
      </w:pPr>
    </w:p>
    <w:p w14:paraId="2102437E" w14:textId="77777777" w:rsidR="00F36CC4" w:rsidRDefault="00F36CC4">
      <w:pPr>
        <w:spacing w:after="200" w:line="276" w:lineRule="auto"/>
        <w:ind w:firstLine="0"/>
        <w:jc w:val="left"/>
        <w:rPr>
          <w:rFonts w:ascii="Arial" w:eastAsia="Times New Roman" w:hAnsi="Arial" w:cs="Arial"/>
          <w:b/>
          <w:i/>
          <w:szCs w:val="28"/>
          <w:lang w:val="uk" w:eastAsia="ru-RU"/>
        </w:rPr>
      </w:pPr>
      <w:r>
        <w:rPr>
          <w:rFonts w:ascii="Arial" w:eastAsia="Times New Roman" w:hAnsi="Arial" w:cs="Arial"/>
          <w:b/>
          <w:i/>
          <w:szCs w:val="28"/>
          <w:lang w:val="uk" w:eastAsia="ru-RU"/>
        </w:rPr>
        <w:br w:type="page"/>
      </w:r>
    </w:p>
    <w:p w14:paraId="3CA93574" w14:textId="35D3FF9F" w:rsidR="00200E87" w:rsidRPr="00511005" w:rsidRDefault="00200E87" w:rsidP="003A292D">
      <w:pPr>
        <w:tabs>
          <w:tab w:val="left" w:pos="7088"/>
        </w:tabs>
        <w:spacing w:line="264" w:lineRule="auto"/>
        <w:ind w:firstLine="0"/>
        <w:jc w:val="center"/>
        <w:rPr>
          <w:rFonts w:ascii="Arial" w:eastAsia="Times New Roman" w:hAnsi="Arial" w:cs="Arial"/>
          <w:b/>
          <w:i/>
          <w:szCs w:val="28"/>
          <w:lang w:val="uk" w:eastAsia="ru-RU"/>
        </w:rPr>
      </w:pPr>
      <w:r w:rsidRPr="00511005">
        <w:rPr>
          <w:rFonts w:ascii="Arial" w:eastAsia="Times New Roman" w:hAnsi="Arial" w:cs="Arial"/>
          <w:b/>
          <w:i/>
          <w:szCs w:val="28"/>
          <w:lang w:val="uk" w:eastAsia="ru-RU"/>
        </w:rPr>
        <w:lastRenderedPageBreak/>
        <w:t xml:space="preserve">Продан Дарʼя Дмитрівна </w:t>
      </w:r>
    </w:p>
    <w:p w14:paraId="59F5D9DF" w14:textId="0BEE2628"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47B42C6F"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61988CC"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891F9FF" w14:textId="77777777" w:rsidR="00200E87" w:rsidRPr="00511005" w:rsidRDefault="00200E87" w:rsidP="003A292D">
      <w:pPr>
        <w:tabs>
          <w:tab w:val="left" w:pos="7088"/>
        </w:tabs>
        <w:spacing w:line="264" w:lineRule="auto"/>
        <w:ind w:firstLine="0"/>
        <w:jc w:val="center"/>
        <w:rPr>
          <w:rFonts w:ascii="Arial" w:eastAsia="Times New Roman" w:hAnsi="Arial" w:cs="Arial"/>
          <w:b/>
          <w:szCs w:val="28"/>
          <w:lang w:val="uk" w:eastAsia="ru-RU"/>
        </w:rPr>
      </w:pPr>
    </w:p>
    <w:p w14:paraId="233081BB" w14:textId="77777777" w:rsidR="00200E87" w:rsidRPr="00511005" w:rsidRDefault="00200E87" w:rsidP="003A292D">
      <w:pPr>
        <w:tabs>
          <w:tab w:val="left" w:pos="7088"/>
        </w:tabs>
        <w:spacing w:line="264" w:lineRule="auto"/>
        <w:ind w:firstLine="0"/>
        <w:jc w:val="center"/>
        <w:rPr>
          <w:rFonts w:ascii="Arial" w:eastAsia="Times New Roman" w:hAnsi="Arial" w:cs="Arial"/>
          <w:b/>
          <w:szCs w:val="28"/>
          <w:lang w:val="uk" w:eastAsia="ru-RU"/>
        </w:rPr>
      </w:pPr>
      <w:r w:rsidRPr="00511005">
        <w:rPr>
          <w:rFonts w:ascii="Arial" w:eastAsia="Times New Roman" w:hAnsi="Arial" w:cs="Arial"/>
          <w:b/>
          <w:szCs w:val="28"/>
          <w:lang w:val="uk" w:eastAsia="ru-RU"/>
        </w:rPr>
        <w:t>ЗЕМЕЛЬНІ ПРАВОВІДНОСИНИ В УМОВАХ ВОЄННОГО СТАНУ: ОСОБЛИВОСТІ ПРАВОВОГО РЕГУЛЮВАННЯ</w:t>
      </w:r>
    </w:p>
    <w:p w14:paraId="16EDB176"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Запровадження воєнного стану в Україні у зв’язку зі збройною агресією російської федерації істотно вплинуло на всі сфери правового регулювання, зокрема, на земельні правовідносини. Земельне законодавство, адаптоване до мирного часу, виявилось недостатньо гнучким для реагування на нові виклики. У зв’язку з цим законодавець був змушений терміново запроваджувати низку спеціальних правових механізмів, які б дозволили ефективно регулювати питання розпорядження, користування та охорони земель в умовах війни.</w:t>
      </w:r>
    </w:p>
    <w:p w14:paraId="37BDBD21"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 xml:space="preserve">Одним із ключових напрямів трансформації земельних відносин стало забезпечення потреб оборони, продовольчої безпеки та життєдіяльності внутрішньо переміщених осіб. У цьому контексті уряд ухвалив низку постанов, які спрощують процедури виділення земельних ділянок для тимчасового житла, споруд оборонного призначення, а також для забезпечення сільськогосподарського виробництва в умовах дестабілізації логістики та ринків. </w:t>
      </w:r>
    </w:p>
    <w:p w14:paraId="050D7CD9"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Також були внесені зміни до Земельного кодексу України та інших нормативно-правових актів, що дозволяють тимчасове вилучення земельних ділянок для потреб Збройних Сил України без дотримання деяких процедур, передбачених на період мирного часу. Це, з одного боку, є обґрунтованим заходом в умовах воєнної необхідності, однак з іншого — ставить питання про дотримання прав власників земель та можливості компенсації за втрати, які вони зазнали внаслідок такого вилучення чи тимчасового обмеження права користування землею [1].</w:t>
      </w:r>
    </w:p>
    <w:p w14:paraId="717B4CD9"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Особливої актуальності в умовах воєнного стану набули правовідносини, пов’язані з відшкодуванням шкоди, завданої земельним ділянкам у результаті бойових дій. Це включає забруднення ґрунтів, замінування, руйнування інфраструктури, ерозійні процеси. Станом на сьогодні в Україні не існує окремого правового механізму, який би дозволяв ефективно обраховувати збитки, завдані землі, та надавати компенсації. Проте в межах міжвідомчої співпраці Держгеокадастру, Міндовкілля та інших органів розробляються методики оцінки деградації земель внаслідок воєнних дій.</w:t>
      </w:r>
    </w:p>
    <w:p w14:paraId="22400DA1"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 xml:space="preserve">У ситуації, коли значна частина територій залишається тимчасово окупованою або небезпечною для використання через залишки вибухонебезпечних предметів, важливим напрямом земельної політики є </w:t>
      </w:r>
      <w:r w:rsidRPr="00511005">
        <w:rPr>
          <w:rFonts w:ascii="Arial" w:eastAsia="Times New Roman" w:hAnsi="Arial" w:cs="Arial"/>
          <w:szCs w:val="28"/>
          <w:lang w:val="uk" w:eastAsia="ru-RU"/>
        </w:rPr>
        <w:lastRenderedPageBreak/>
        <w:t>створення реєстрів пошкоджених земель, їх зонування та картографування. Це має на меті не лише фіксацію наслідків агресії, а й правовий захист громадян, які не можуть користуватись своєю землею. Водночас постає проблема збереження земельної документації, частина якої була втрачена через обстріли або окупацію. У відповідь на ці виклики уряд ініціював створення цифрових копій державного земельного кадастру та інших реєстрів [3].</w:t>
      </w:r>
    </w:p>
    <w:p w14:paraId="0E57A971"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Не менш важливим є питання реалізації права громадян на отримання земельних ділянок у власність у межах пільгових програм. Через загрозу бойових дій або відсутність ресурсів органи місцевого самоврядування на деяких територіях обмежили або призупинили розгляд заяв щодо виділення землі. Це, у свою чергу, породжує юридичну невизначеність для осіб, які вже подали документи, але не змогли реалізувати своє право внаслідок війни.</w:t>
      </w:r>
    </w:p>
    <w:p w14:paraId="540C0042"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Окремим напрямом є питання захисту прав внутрішньо переміщених осіб, які втратили можливість користування своєю землею. Вони мають право претендувати на отримання земельних ділянок за новим місцем проживання, але відсутність чітко виписаного механізму ускладнює реалізацію цього права. Доцільним є створення спеціальної програми державного або місцевого рівня щодо забезпечення ВПО земельними ресурсами з урахуванням соціальних та регіональних потреб.</w:t>
      </w:r>
    </w:p>
    <w:p w14:paraId="6B72C442"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У довгостроковій перспективі питання земельних правовідносин в умовах воєнного стану тісно пов’язане з проблемами післявоєнної реабілітації. Поновлення використання сільськогосподарських земель, розмінування територій, відновлення реєстрів, компенсаційні механізми — усе це має стати частиною загальної державної стратегії з управління земельними ресурсами в період трансформації після завершення збройного конфлікту [2].</w:t>
      </w:r>
    </w:p>
    <w:p w14:paraId="2CE0017A" w14:textId="77777777" w:rsidR="00200E87" w:rsidRPr="00511005" w:rsidRDefault="00200E87" w:rsidP="003A292D">
      <w:pPr>
        <w:tabs>
          <w:tab w:val="left" w:pos="7088"/>
        </w:tabs>
        <w:spacing w:line="264" w:lineRule="auto"/>
        <w:ind w:firstLine="567"/>
        <w:rPr>
          <w:rFonts w:ascii="Arial" w:eastAsia="Times New Roman" w:hAnsi="Arial" w:cs="Arial"/>
          <w:szCs w:val="28"/>
          <w:lang w:val="uk" w:eastAsia="ru-RU"/>
        </w:rPr>
      </w:pPr>
      <w:r w:rsidRPr="00511005">
        <w:rPr>
          <w:rFonts w:ascii="Arial" w:eastAsia="Times New Roman" w:hAnsi="Arial" w:cs="Arial"/>
          <w:szCs w:val="28"/>
          <w:lang w:val="uk" w:eastAsia="ru-RU"/>
        </w:rPr>
        <w:t xml:space="preserve">Отже, умови воєнного стану суттєво трансформували підходи до регулювання земельних правовідносин в Україні. Влада змушена була діяти швидко, запроваджуючи тимчасові заходи, які хоч і не завжди досконалі, але дозволяють оперативно реагувати на нагальні потреби. Разом із тим ці зміни підсвітили низку глибинних проблем </w:t>
      </w:r>
      <w:r w:rsidRPr="00511005">
        <w:rPr>
          <w:rFonts w:ascii="Arial" w:eastAsia="Times New Roman" w:hAnsi="Arial" w:cs="Arial"/>
          <w:szCs w:val="28"/>
          <w:lang w:val="uk-UA" w:eastAsia="ru-RU"/>
        </w:rPr>
        <w:t>-</w:t>
      </w:r>
      <w:r w:rsidRPr="00511005">
        <w:rPr>
          <w:rFonts w:ascii="Arial" w:eastAsia="Times New Roman" w:hAnsi="Arial" w:cs="Arial"/>
          <w:szCs w:val="28"/>
          <w:lang w:val="uk" w:eastAsia="ru-RU"/>
        </w:rPr>
        <w:t xml:space="preserve"> від недостатньої гнучкості законодавства до відсутності чітких механізмів захисту прав власників у воєнний період. Необхідно й надалі удосконалювати земельне законодавство з урахуванням міжнародного досвіду, практики прав людини та викликів, які поставила перед державою війна. Земля є одним із ключових ресурсів не лише економіки, а й національної безпеки, тому її правовий режим у період збройного конфлікту має бути чітким, ефективним та справедливим.</w:t>
      </w:r>
    </w:p>
    <w:p w14:paraId="28A57592" w14:textId="77777777" w:rsidR="00200E87" w:rsidRPr="00511005" w:rsidRDefault="00200E87" w:rsidP="003A292D">
      <w:pPr>
        <w:tabs>
          <w:tab w:val="left" w:pos="7088"/>
        </w:tabs>
        <w:spacing w:line="264" w:lineRule="auto"/>
        <w:ind w:firstLine="0"/>
        <w:rPr>
          <w:rFonts w:ascii="Arial" w:eastAsia="Times New Roman" w:hAnsi="Arial" w:cs="Arial"/>
          <w:szCs w:val="28"/>
          <w:lang w:val="uk" w:eastAsia="ru-RU"/>
        </w:rPr>
      </w:pPr>
    </w:p>
    <w:p w14:paraId="6E9C2A1E" w14:textId="4A8BB223" w:rsidR="00200E87" w:rsidRPr="00511005" w:rsidRDefault="007B2628" w:rsidP="007B2628">
      <w:pPr>
        <w:tabs>
          <w:tab w:val="left" w:pos="7088"/>
        </w:tabs>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7808B70F" w14:textId="77777777" w:rsidR="00200E87" w:rsidRPr="00511005" w:rsidRDefault="00200E87" w:rsidP="003F6A5D">
      <w:pPr>
        <w:widowControl w:val="0"/>
        <w:numPr>
          <w:ilvl w:val="0"/>
          <w:numId w:val="479"/>
        </w:numPr>
        <w:tabs>
          <w:tab w:val="left" w:pos="993"/>
          <w:tab w:val="left" w:pos="7088"/>
        </w:tabs>
        <w:spacing w:line="264" w:lineRule="auto"/>
        <w:ind w:left="0" w:firstLine="709"/>
        <w:jc w:val="left"/>
        <w:rPr>
          <w:rFonts w:ascii="Arial" w:eastAsia="Times New Roman" w:hAnsi="Arial" w:cs="Arial"/>
          <w:szCs w:val="28"/>
          <w:lang w:val="uk" w:eastAsia="ru-RU"/>
        </w:rPr>
      </w:pPr>
      <w:r w:rsidRPr="00511005">
        <w:rPr>
          <w:rFonts w:ascii="Arial" w:eastAsia="Times New Roman" w:hAnsi="Arial" w:cs="Arial"/>
          <w:szCs w:val="28"/>
          <w:lang w:val="uk" w:eastAsia="ru-RU"/>
        </w:rPr>
        <w:t xml:space="preserve">Земельний кодекс України. URL: </w:t>
      </w:r>
      <w:hyperlink r:id="rId1737">
        <w:r w:rsidRPr="00511005">
          <w:rPr>
            <w:rFonts w:ascii="Arial" w:eastAsia="Times New Roman" w:hAnsi="Arial" w:cs="Arial"/>
            <w:szCs w:val="28"/>
            <w:lang w:val="uk" w:eastAsia="ru-RU"/>
          </w:rPr>
          <w:t>https://zakon.rada.gov.ua/laws/show/2768-14</w:t>
        </w:r>
      </w:hyperlink>
      <w:r w:rsidRPr="00511005">
        <w:rPr>
          <w:rFonts w:ascii="Arial" w:eastAsia="Times New Roman" w:hAnsi="Arial" w:cs="Arial"/>
          <w:szCs w:val="28"/>
          <w:lang w:val="uk" w:eastAsia="ru-RU"/>
        </w:rPr>
        <w:t xml:space="preserve"> (дата звернення: 11.04.2025 року).</w:t>
      </w:r>
    </w:p>
    <w:p w14:paraId="0163A587" w14:textId="3D556F8F" w:rsidR="00200E87" w:rsidRPr="00511005" w:rsidRDefault="00200E87" w:rsidP="003F6A5D">
      <w:pPr>
        <w:widowControl w:val="0"/>
        <w:numPr>
          <w:ilvl w:val="0"/>
          <w:numId w:val="479"/>
        </w:numPr>
        <w:tabs>
          <w:tab w:val="left" w:pos="993"/>
          <w:tab w:val="left" w:pos="7088"/>
        </w:tabs>
        <w:spacing w:line="264" w:lineRule="auto"/>
        <w:ind w:left="0" w:firstLine="709"/>
        <w:jc w:val="left"/>
        <w:rPr>
          <w:rFonts w:ascii="Arial" w:eastAsia="Times New Roman" w:hAnsi="Arial" w:cs="Arial"/>
          <w:szCs w:val="28"/>
          <w:lang w:val="uk" w:eastAsia="ru-RU"/>
        </w:rPr>
      </w:pPr>
      <w:r w:rsidRPr="00511005">
        <w:rPr>
          <w:rFonts w:ascii="Arial" w:eastAsia="Times New Roman" w:hAnsi="Arial" w:cs="Arial"/>
          <w:szCs w:val="28"/>
          <w:lang w:val="uk" w:eastAsia="ru-RU"/>
        </w:rPr>
        <w:t>Муравська Н. Державне регулювання земельних відносин в умовах воєнного стану URL: https://uz. ligazakon. ua/ua/magazine_article/EA015736.</w:t>
      </w:r>
      <w:r w:rsidR="007B2628" w:rsidRPr="00511005">
        <w:rPr>
          <w:rFonts w:ascii="Arial" w:eastAsia="Times New Roman" w:hAnsi="Arial" w:cs="Arial"/>
          <w:szCs w:val="28"/>
          <w:lang w:val="uk" w:eastAsia="ru-RU"/>
        </w:rPr>
        <w:t xml:space="preserve"> </w:t>
      </w:r>
      <w:r w:rsidRPr="00511005">
        <w:rPr>
          <w:rFonts w:ascii="Arial" w:eastAsia="Times New Roman" w:hAnsi="Arial" w:cs="Arial"/>
          <w:szCs w:val="28"/>
          <w:lang w:val="uk" w:eastAsia="ru-RU"/>
        </w:rPr>
        <w:t>2022. (дата звернення: 11.04.2025 року).</w:t>
      </w:r>
    </w:p>
    <w:p w14:paraId="66D1CEE2" w14:textId="18CE4D74" w:rsidR="00200E87" w:rsidRPr="00511005" w:rsidRDefault="00200E87" w:rsidP="003F6A5D">
      <w:pPr>
        <w:widowControl w:val="0"/>
        <w:numPr>
          <w:ilvl w:val="0"/>
          <w:numId w:val="479"/>
        </w:numPr>
        <w:tabs>
          <w:tab w:val="left" w:pos="993"/>
          <w:tab w:val="left" w:pos="7088"/>
        </w:tabs>
        <w:spacing w:line="264" w:lineRule="auto"/>
        <w:ind w:left="0" w:firstLine="709"/>
        <w:jc w:val="left"/>
        <w:rPr>
          <w:rFonts w:ascii="Arial" w:eastAsia="Times New Roman" w:hAnsi="Arial" w:cs="Arial"/>
          <w:szCs w:val="28"/>
          <w:lang w:val="uk" w:eastAsia="ru-RU"/>
        </w:rPr>
      </w:pPr>
      <w:r w:rsidRPr="00511005">
        <w:rPr>
          <w:rFonts w:ascii="Arial" w:eastAsia="Times New Roman" w:hAnsi="Arial" w:cs="Arial"/>
          <w:szCs w:val="28"/>
          <w:lang w:val="uk" w:eastAsia="ru-RU"/>
        </w:rPr>
        <w:t>Парчук І. О., Бутенко Є. В. Земельні відносини в умовах військового стану їх особливості та зміни.</w:t>
      </w:r>
      <w:r w:rsidR="007B2628" w:rsidRPr="00511005">
        <w:rPr>
          <w:rFonts w:ascii="Arial" w:eastAsia="Times New Roman" w:hAnsi="Arial" w:cs="Arial"/>
          <w:szCs w:val="28"/>
          <w:lang w:val="uk" w:eastAsia="ru-RU"/>
        </w:rPr>
        <w:t xml:space="preserve"> </w:t>
      </w:r>
      <w:r w:rsidRPr="00511005">
        <w:rPr>
          <w:rFonts w:ascii="Arial" w:eastAsia="Times New Roman" w:hAnsi="Arial" w:cs="Arial"/>
          <w:szCs w:val="28"/>
          <w:lang w:val="uk" w:eastAsia="ru-RU"/>
        </w:rPr>
        <w:t xml:space="preserve">2022. </w:t>
      </w:r>
      <w:hyperlink r:id="rId1738">
        <w:r w:rsidRPr="00511005">
          <w:rPr>
            <w:rFonts w:ascii="Arial" w:eastAsia="Times New Roman" w:hAnsi="Arial" w:cs="Arial"/>
            <w:szCs w:val="28"/>
            <w:lang w:val="uk" w:eastAsia="ru-RU"/>
          </w:rPr>
          <w:t>URL: https://dglib.nubip.edu.ua/server/api/core/bitstreams/6aa76bbe-533a-405f-b922-561972f006da/content</w:t>
        </w:r>
      </w:hyperlink>
      <w:r w:rsidRPr="00511005">
        <w:rPr>
          <w:rFonts w:ascii="Arial" w:eastAsia="Times New Roman" w:hAnsi="Arial" w:cs="Arial"/>
          <w:szCs w:val="28"/>
          <w:lang w:val="uk" w:eastAsia="ru-RU"/>
        </w:rPr>
        <w:t xml:space="preserve"> (дата звернення: 11.04.2025 року).</w:t>
      </w:r>
    </w:p>
    <w:p w14:paraId="19FA9FB4" w14:textId="77777777" w:rsidR="00200E87" w:rsidRPr="00511005" w:rsidRDefault="00200E87" w:rsidP="003A292D">
      <w:pPr>
        <w:tabs>
          <w:tab w:val="left" w:pos="993"/>
          <w:tab w:val="left" w:pos="7088"/>
        </w:tabs>
        <w:spacing w:line="264" w:lineRule="auto"/>
        <w:ind w:left="709" w:firstLine="0"/>
        <w:rPr>
          <w:rFonts w:ascii="Arial" w:eastAsia="Times New Roman" w:hAnsi="Arial" w:cs="Arial"/>
          <w:i/>
          <w:szCs w:val="28"/>
          <w:lang w:val="uk-UA" w:eastAsia="ru-RU"/>
        </w:rPr>
      </w:pPr>
    </w:p>
    <w:p w14:paraId="3ECD7509" w14:textId="5D921823" w:rsidR="00200E87" w:rsidRPr="00511005" w:rsidRDefault="007B2628" w:rsidP="003A292D">
      <w:pPr>
        <w:spacing w:line="264" w:lineRule="auto"/>
        <w:ind w:firstLine="567"/>
        <w:rPr>
          <w:rFonts w:ascii="Arial" w:eastAsia="Times New Roman" w:hAnsi="Arial" w:cs="Arial"/>
          <w:szCs w:val="28"/>
          <w:lang w:val="uk" w:eastAsia="ru-RU"/>
        </w:rPr>
      </w:pPr>
      <w:r w:rsidRPr="00511005">
        <w:rPr>
          <w:rFonts w:ascii="Arial" w:eastAsia="Times New Roman" w:hAnsi="Arial" w:cs="Arial"/>
          <w:b/>
          <w:i/>
          <w:szCs w:val="28"/>
          <w:lang w:val="uk" w:eastAsia="ru-RU"/>
        </w:rPr>
        <w:t xml:space="preserve">Ключові слова: </w:t>
      </w:r>
      <w:r w:rsidR="00200E87" w:rsidRPr="00511005">
        <w:rPr>
          <w:rFonts w:ascii="Arial" w:eastAsia="Times New Roman" w:hAnsi="Arial" w:cs="Arial"/>
          <w:szCs w:val="28"/>
          <w:lang w:val="uk" w:eastAsia="ru-RU"/>
        </w:rPr>
        <w:t>земельні ділянки, воєнний стан</w:t>
      </w:r>
      <w:r w:rsidR="00200E87" w:rsidRPr="00511005">
        <w:rPr>
          <w:rFonts w:ascii="Arial" w:eastAsia="Times New Roman" w:hAnsi="Arial" w:cs="Arial"/>
          <w:szCs w:val="28"/>
          <w:lang w:val="uk-UA" w:eastAsia="ru-RU"/>
        </w:rPr>
        <w:t>,</w:t>
      </w:r>
      <w:r w:rsidR="00200E87" w:rsidRPr="00511005">
        <w:rPr>
          <w:rFonts w:ascii="Arial" w:eastAsia="Times New Roman" w:hAnsi="Arial" w:cs="Arial"/>
          <w:szCs w:val="28"/>
          <w:lang w:val="uk" w:eastAsia="ru-RU"/>
        </w:rPr>
        <w:t xml:space="preserve"> правове регулювання, земельне законодавство, сільськогосподарські землі.</w:t>
      </w:r>
    </w:p>
    <w:p w14:paraId="6B0FC065" w14:textId="28EC8759" w:rsidR="00200E87" w:rsidRPr="00511005" w:rsidRDefault="007B2628" w:rsidP="003A292D">
      <w:pPr>
        <w:tabs>
          <w:tab w:val="left" w:pos="993"/>
          <w:tab w:val="left" w:pos="7088"/>
        </w:tabs>
        <w:spacing w:line="264" w:lineRule="auto"/>
        <w:ind w:left="709" w:firstLine="0"/>
        <w:rPr>
          <w:rFonts w:ascii="Arial" w:eastAsia="Times New Roman" w:hAnsi="Arial" w:cs="Arial"/>
          <w:i/>
          <w:szCs w:val="28"/>
          <w:lang w:val="uk-UA" w:eastAsia="ru-RU"/>
        </w:rPr>
      </w:pPr>
      <w:r w:rsidRPr="00511005">
        <w:rPr>
          <w:rFonts w:ascii="Arial" w:eastAsia="Times New Roman" w:hAnsi="Arial" w:cs="Arial"/>
          <w:b/>
          <w:i/>
          <w:szCs w:val="28"/>
          <w:lang w:val="en-US" w:eastAsia="ru-RU"/>
        </w:rPr>
        <w:t xml:space="preserve">Key words: </w:t>
      </w:r>
      <w:r w:rsidR="00200E87" w:rsidRPr="00511005">
        <w:rPr>
          <w:rFonts w:ascii="Arial" w:eastAsia="Times New Roman" w:hAnsi="Arial" w:cs="Arial"/>
          <w:szCs w:val="28"/>
          <w:lang w:val="en-US" w:eastAsia="ru-RU"/>
        </w:rPr>
        <w:t xml:space="preserve">land plots, </w:t>
      </w:r>
      <w:r w:rsidR="00200E87" w:rsidRPr="00511005">
        <w:rPr>
          <w:rFonts w:ascii="Arial" w:eastAsia="Times New Roman" w:hAnsi="Arial" w:cs="Arial"/>
          <w:bCs/>
          <w:szCs w:val="28"/>
          <w:lang w:val="en-US" w:eastAsia="ru-RU"/>
        </w:rPr>
        <w:t>martial law</w:t>
      </w:r>
      <w:r w:rsidR="00200E87" w:rsidRPr="00511005">
        <w:rPr>
          <w:rFonts w:ascii="Arial" w:eastAsia="Times New Roman" w:hAnsi="Arial" w:cs="Arial"/>
          <w:bCs/>
          <w:szCs w:val="28"/>
          <w:lang w:val="uk-UA" w:eastAsia="ru-RU"/>
        </w:rPr>
        <w:t>,</w:t>
      </w:r>
      <w:r w:rsidR="00200E87" w:rsidRPr="00511005">
        <w:rPr>
          <w:rFonts w:ascii="Arial" w:eastAsia="Times New Roman" w:hAnsi="Arial" w:cs="Arial"/>
          <w:szCs w:val="28"/>
          <w:lang w:val="en-US" w:eastAsia="ru-RU"/>
        </w:rPr>
        <w:t xml:space="preserve"> legal regulation, land legislation, agricultural land.</w:t>
      </w:r>
    </w:p>
    <w:p w14:paraId="5654D2A2" w14:textId="6C31DA03" w:rsidR="00200E87" w:rsidRPr="00511005" w:rsidRDefault="007B2628" w:rsidP="003A292D">
      <w:pPr>
        <w:tabs>
          <w:tab w:val="left" w:pos="993"/>
          <w:tab w:val="left" w:pos="7088"/>
        </w:tabs>
        <w:spacing w:line="264" w:lineRule="auto"/>
        <w:ind w:left="709" w:firstLine="0"/>
        <w:rPr>
          <w:rFonts w:ascii="Arial" w:eastAsia="Times New Roman" w:hAnsi="Arial" w:cs="Arial"/>
          <w:i/>
          <w:szCs w:val="28"/>
          <w:lang w:val="uk-UA" w:eastAsia="ru-RU"/>
        </w:rPr>
      </w:pPr>
      <w:r w:rsidRPr="00511005">
        <w:rPr>
          <w:rFonts w:ascii="Arial" w:eastAsia="Times New Roman" w:hAnsi="Arial" w:cs="Arial"/>
          <w:b/>
          <w:i/>
          <w:szCs w:val="28"/>
          <w:lang w:val="uk" w:eastAsia="ru-RU"/>
        </w:rPr>
        <w:t xml:space="preserve">Науковий керівник: </w:t>
      </w:r>
      <w:r w:rsidR="00200E87" w:rsidRPr="00511005">
        <w:rPr>
          <w:rFonts w:ascii="Arial" w:eastAsia="Times New Roman" w:hAnsi="Arial" w:cs="Arial"/>
          <w:i/>
          <w:szCs w:val="28"/>
          <w:lang w:val="uk" w:eastAsia="ru-RU"/>
        </w:rPr>
        <w:t>к</w:t>
      </w:r>
      <w:r w:rsidR="00200E87" w:rsidRPr="00511005">
        <w:rPr>
          <w:rFonts w:ascii="Arial" w:eastAsia="Times New Roman" w:hAnsi="Arial" w:cs="Arial"/>
          <w:i/>
          <w:szCs w:val="28"/>
          <w:lang w:val="uk-UA" w:eastAsia="ru-RU"/>
        </w:rPr>
        <w:t xml:space="preserve">.ю.н., </w:t>
      </w:r>
      <w:r w:rsidR="00200E87" w:rsidRPr="00511005">
        <w:rPr>
          <w:rFonts w:ascii="Arial" w:eastAsia="Times New Roman" w:hAnsi="Arial" w:cs="Arial"/>
          <w:i/>
          <w:szCs w:val="28"/>
          <w:lang w:val="uk" w:eastAsia="ru-RU"/>
        </w:rPr>
        <w:t>доцент Караханян К</w:t>
      </w:r>
      <w:r w:rsidR="00200E87" w:rsidRPr="00511005">
        <w:rPr>
          <w:rFonts w:ascii="Arial" w:eastAsia="Times New Roman" w:hAnsi="Arial" w:cs="Arial"/>
          <w:i/>
          <w:szCs w:val="28"/>
          <w:lang w:val="uk-UA" w:eastAsia="ru-RU"/>
        </w:rPr>
        <w:t>.М.</w:t>
      </w:r>
    </w:p>
    <w:p w14:paraId="0F217915" w14:textId="77777777" w:rsidR="00200E87" w:rsidRPr="00511005" w:rsidRDefault="00200E87" w:rsidP="003A292D">
      <w:pPr>
        <w:keepNext/>
        <w:spacing w:line="264" w:lineRule="auto"/>
        <w:ind w:firstLine="540"/>
        <w:rPr>
          <w:rFonts w:ascii="Arial" w:eastAsia="Times New Roman" w:hAnsi="Arial" w:cs="Arial"/>
          <w:b/>
          <w:i/>
          <w:szCs w:val="28"/>
          <w:lang w:val="uk" w:eastAsia="ru-RU"/>
        </w:rPr>
      </w:pPr>
    </w:p>
    <w:p w14:paraId="122EC125" w14:textId="77777777" w:rsidR="00200E87" w:rsidRPr="00511005" w:rsidRDefault="00200E87" w:rsidP="003A292D">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Руднік Діана Святославівна</w:t>
      </w:r>
    </w:p>
    <w:p w14:paraId="26B469DB" w14:textId="5C1F52F9" w:rsidR="00200E87" w:rsidRPr="00511005" w:rsidRDefault="00200E87"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студентка</w:t>
      </w:r>
      <w:r w:rsidR="007B2628" w:rsidRPr="00511005">
        <w:rPr>
          <w:rFonts w:ascii="Arial" w:eastAsia="Times New Roman" w:hAnsi="Arial" w:cs="Arial"/>
          <w:szCs w:val="28"/>
          <w:lang w:val="uk-UA"/>
        </w:rPr>
        <w:t>4-го курсу</w:t>
      </w:r>
      <w:r w:rsidRPr="00511005">
        <w:rPr>
          <w:rFonts w:ascii="Arial" w:eastAsia="Times New Roman" w:hAnsi="Arial" w:cs="Arial"/>
          <w:szCs w:val="28"/>
          <w:lang w:val="uk-UA"/>
        </w:rPr>
        <w:t xml:space="preserve"> факультету цивільної та господарської юстиції </w:t>
      </w:r>
    </w:p>
    <w:p w14:paraId="724DBFFC" w14:textId="7301C161" w:rsidR="00200E87"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2BCB270D" w14:textId="77777777" w:rsidR="00200E87" w:rsidRPr="00511005" w:rsidRDefault="00200E87" w:rsidP="003A292D">
      <w:pPr>
        <w:spacing w:line="264" w:lineRule="auto"/>
        <w:ind w:firstLine="0"/>
        <w:jc w:val="center"/>
        <w:rPr>
          <w:rFonts w:ascii="Arial" w:eastAsia="Times New Roman" w:hAnsi="Arial" w:cs="Arial"/>
          <w:szCs w:val="28"/>
          <w:lang w:val="uk-UA"/>
        </w:rPr>
      </w:pPr>
    </w:p>
    <w:p w14:paraId="2BA5E4FB" w14:textId="77777777" w:rsidR="00200E87" w:rsidRPr="00511005" w:rsidRDefault="00200E87" w:rsidP="003A292D">
      <w:pPr>
        <w:spacing w:line="264" w:lineRule="auto"/>
        <w:ind w:firstLine="720"/>
        <w:jc w:val="center"/>
        <w:rPr>
          <w:rFonts w:ascii="Arial" w:eastAsia="Times New Roman" w:hAnsi="Arial" w:cs="Arial"/>
          <w:b/>
          <w:bCs/>
          <w:szCs w:val="28"/>
          <w:lang w:val="uk-UA"/>
        </w:rPr>
      </w:pPr>
      <w:r w:rsidRPr="00511005">
        <w:rPr>
          <w:rFonts w:ascii="Arial" w:eastAsia="Times New Roman" w:hAnsi="Arial" w:cs="Arial"/>
          <w:b/>
          <w:bCs/>
          <w:szCs w:val="28"/>
          <w:lang w:val="uk-UA"/>
        </w:rPr>
        <w:t>ЗАХИСТ ЕКОЛОГІЧНИХ ПРАВ В УКРАЇНІ В УМОВАХ ВОЄННОГО СТАНУ: СУЧАСНІ ВИКЛИКИ ТА ПРАВОВІ МЕХАНІЗМИ</w:t>
      </w:r>
    </w:p>
    <w:p w14:paraId="164E410F"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Захист екологічних прав громадян в Україні набуває особливого значення в умовах воєнного стану. Збройна агресія, що триває з 2014 року й загострилася у 2022 році, завдала серйозної шкоди довкіллю, водночас поставивши під загрозу реалізацію основоположного права людини на безпечне для життя та здоров’я природне середовище. Забруднення повітря, ґрунтів і вод, знищення природних екосистем, а також порушення екологічної безпеки військовими діями створюють нові виклики для правової системи України. У цьому контексті особливої актуальності набуває аналіз сучасних правових механізмів, що спрямовані на забезпечення й відновлення екологічних прав громадян у період надзвичайної ситуації. Вивчення цього питання є важливим кроком до формування ефективної державної політики в сфері екологічного права та сталого розвитку.</w:t>
      </w:r>
    </w:p>
    <w:p w14:paraId="5322A80D"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У контексті міжнародних та національних правових стандартів екологічні права людини розглядаються як фундаментальні права, що забезпечують гідне життя у здоровому навколишньому середовищі. В Україні ці права мають конституційне закріплення. Згідно зі статтею 50 Конституції України, кожен має право на безпечне для життя і здоров’я довкілля, на отримання достовірної інформації про його стан, а також на відшкодування шкоди, завданої порушенням цього права [1]. Це положення </w:t>
      </w:r>
      <w:r w:rsidRPr="00511005">
        <w:rPr>
          <w:rFonts w:ascii="Arial" w:eastAsia="Times New Roman" w:hAnsi="Arial" w:cs="Arial"/>
          <w:szCs w:val="28"/>
          <w:lang w:val="uk-UA"/>
        </w:rPr>
        <w:lastRenderedPageBreak/>
        <w:t>є засадничим для формування правового механізму захисту екологічних прав у національному правопорядку.</w:t>
      </w:r>
    </w:p>
    <w:p w14:paraId="7395DF20"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Серед спеціального законодавства ключову роль відіграє Закон України «Про охорону навколишнього природного середовища», в якому визначено правові, економічні та соціальні засади охорони природи, раціонального використання природних ресурсів і забезпечення екологічної безпеки. Зокрема, у статтях 9-12 цього закону деталізуються екологічні права громадян, включаючи право на участь у прийнятті рішень, що стосуються навколишнього середовища, право на звернення до суду у разі порушення екологічних прав та право на компенсацію завданої шкоди [2].</w:t>
      </w:r>
    </w:p>
    <w:p w14:paraId="579DB7C0"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Іншими важливими нормативно-правовими актами є:</w:t>
      </w:r>
    </w:p>
    <w:p w14:paraId="589F1498" w14:textId="77777777" w:rsidR="00200E87" w:rsidRPr="00511005" w:rsidRDefault="00200E87" w:rsidP="003F6A5D">
      <w:pPr>
        <w:numPr>
          <w:ilvl w:val="0"/>
          <w:numId w:val="480"/>
        </w:numPr>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Закон України «Про оцінку впливу на довкілля», який імплементує європейські стандарти в частині превентивного контролю над екологічними ризиками [3];</w:t>
      </w:r>
    </w:p>
    <w:p w14:paraId="69E5EEDF" w14:textId="77777777" w:rsidR="00200E87" w:rsidRPr="00511005" w:rsidRDefault="00200E87" w:rsidP="003F6A5D">
      <w:pPr>
        <w:numPr>
          <w:ilvl w:val="0"/>
          <w:numId w:val="480"/>
        </w:numPr>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Закон України «Про стратегічну екологічну оцінку», що дозволяє вбудовувати екологічні критерії в політичні рішення та плани [4];</w:t>
      </w:r>
    </w:p>
    <w:p w14:paraId="3509D12E" w14:textId="77777777" w:rsidR="00200E87" w:rsidRPr="00511005" w:rsidRDefault="00200E87" w:rsidP="003F6A5D">
      <w:pPr>
        <w:numPr>
          <w:ilvl w:val="0"/>
          <w:numId w:val="480"/>
        </w:numPr>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Кримінальний кодекс України, де у статтях 236-254 передбачена відповідальність за порушення екологічного законодавства, включаючи знищення об’єктів природи, забруднення територій та водних ресурсів [5].</w:t>
      </w:r>
    </w:p>
    <w:p w14:paraId="54AAA854"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Особливої актуальності набуває інститут екоциду, який Україна намагається закріпити як окремий склад злочину у національному законодавстві, а також просуває його визнання на міжнародному рівні, зокрема через Римський статут Міжнародного кримінального суду.</w:t>
      </w:r>
    </w:p>
    <w:p w14:paraId="32087775"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В умовах воєнного стану проблеми охорони навколишнього середовища набувають нової якості. Серед ключових викликів варто виділити:</w:t>
      </w:r>
    </w:p>
    <w:p w14:paraId="09DB8E49" w14:textId="77777777" w:rsidR="00200E87" w:rsidRPr="00511005" w:rsidRDefault="00200E87" w:rsidP="003F6A5D">
      <w:pPr>
        <w:numPr>
          <w:ilvl w:val="0"/>
          <w:numId w:val="481"/>
        </w:numPr>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Порушення екологічного балансу внаслідок бойових дій, що включає масове знищення природних екосистем, лісів, водойм, флори і фауни.</w:t>
      </w:r>
    </w:p>
    <w:p w14:paraId="46EE44A3" w14:textId="77777777" w:rsidR="00200E87" w:rsidRPr="00511005" w:rsidRDefault="00200E87" w:rsidP="003F6A5D">
      <w:pPr>
        <w:numPr>
          <w:ilvl w:val="0"/>
          <w:numId w:val="481"/>
        </w:numPr>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Неможливість ефективного екологічного моніторингу в зонах бойових дій, що ускладнює фіксацію збитків та визначення джерел забруднення.</w:t>
      </w:r>
    </w:p>
    <w:p w14:paraId="3DCBEAF2" w14:textId="77777777" w:rsidR="00200E87" w:rsidRPr="00511005" w:rsidRDefault="00200E87" w:rsidP="003F6A5D">
      <w:pPr>
        <w:numPr>
          <w:ilvl w:val="0"/>
          <w:numId w:val="481"/>
        </w:numPr>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Відсутність належного механізму компенсації екологічної шкоди, як на рівні державної політики, так і через недосконалість судової практики в цій сфері.</w:t>
      </w:r>
    </w:p>
    <w:p w14:paraId="53011590" w14:textId="77777777" w:rsidR="00200E87" w:rsidRPr="00511005" w:rsidRDefault="00200E87" w:rsidP="003F6A5D">
      <w:pPr>
        <w:numPr>
          <w:ilvl w:val="0"/>
          <w:numId w:val="481"/>
        </w:numPr>
        <w:spacing w:line="264" w:lineRule="auto"/>
        <w:ind w:left="0" w:firstLine="567"/>
        <w:jc w:val="left"/>
        <w:rPr>
          <w:rFonts w:ascii="Arial" w:eastAsia="Times New Roman" w:hAnsi="Arial" w:cs="Arial"/>
          <w:szCs w:val="28"/>
          <w:lang w:val="uk-UA"/>
        </w:rPr>
      </w:pPr>
      <w:r w:rsidRPr="00511005">
        <w:rPr>
          <w:rFonts w:ascii="Arial" w:eastAsia="Times New Roman" w:hAnsi="Arial" w:cs="Arial"/>
          <w:szCs w:val="28"/>
          <w:lang w:val="uk-UA"/>
        </w:rPr>
        <w:t>Проблеми реалізації права на екологічну інформацію, адже у воєнний час доступ до об’єктивних даних часто обмежується у зв’язку з державною таємницею або небезпекою для життя.</w:t>
      </w:r>
    </w:p>
    <w:p w14:paraId="6BA5125F"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Одним із найяскравіших прикладів порушення екологічних прав є руйнування Каховської гідроелектростанції (ГЕС) в червні 2023 року, яке стало катастрофою планетарного масштабу. Внаслідок підриву греблі відбулося масштабне затоплення територій у Херсонській області, що </w:t>
      </w:r>
      <w:r w:rsidRPr="00511005">
        <w:rPr>
          <w:rFonts w:ascii="Arial" w:eastAsia="Times New Roman" w:hAnsi="Arial" w:cs="Arial"/>
          <w:szCs w:val="28"/>
          <w:lang w:val="uk-UA"/>
        </w:rPr>
        <w:lastRenderedPageBreak/>
        <w:t>спричинило: знищення сотень видів рослин і тварин; забруднення вод Дніпра пестицидами, нафтопродуктами та важкими металами; порушення системи водопостачання для мільйонів людей; довгострокову деградацію ґрунтів; гуманітарну кризу та примусове переселення мешканців.</w:t>
      </w:r>
    </w:p>
    <w:p w14:paraId="36BEB748"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Національні та міжнародні правозахисні організації розцінюють цей акт як екологічний тероризм або екоцид, який потребує правової оцінки в межах міжнародного кримінального правосуддя. Україна вже заявила про підготовку позовів до Міжнародного кримінального суду та інших міжнародних інституцій, спираючись на положення Орхуської конвенції, Бернської конвенції та Конвенції про збереження біологічного різноманіття [6, с.284].</w:t>
      </w:r>
    </w:p>
    <w:p w14:paraId="4D8A06DE"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У підсумку, правове регулювання екологічних прав в Україні в умовах війни вимагає не лише посилення нормативної бази, але й системної інтеграції міжнародних стандартів захисту довкілля в національну практику, а також створення механізмів ефективного відновлення порушених екологічних прав.</w:t>
      </w:r>
    </w:p>
    <w:p w14:paraId="433657F4"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Узагальнюючи викладене, можна стверджувати, що захист екологічних прав громадян України в умовах воєнного стану є надзвичайно складним завданням, яке набуло особливої актуальності через широкомасштабні військові дії. Руйнування інфраструктури, знищення природних екосистем, забруднення повітря, вод і ґрунтів, втрата біорізноманіття та загальна деградація довкілля стали невід’ємними наслідками агресії проти України. Воєнні дії не лише порушують право громадян на безпечне довкілля, гарантоване Конституцією України, а й ускладнюють доступ до правосуддя, обмежують екологічний моніторинг та знижують ефективність державного екологічного контролю. Зокрема, катастрофа на Каховській ГЕС стала яскравим прикладом масштабного екоциду, наслідки якого тривалий час впливатимуть на стан довкілля, здоров’я людей і функціонування екосистем південного регіону. Екологічні проблеми, спричинені війною, несуть стратегічну загрозу сталому розвитку України, оскільки порушують екологічну рівновагу, створюють ризики для водної та продовольчої безпеки, а також ускладнюють адаптацію до кліматичних змін. У зв’язку з цим держава має зосередитися на розробці ефективної правової політики у сфері відновлення довкілля, гармонізації національного законодавства з міжнародними стандартами, посиленні відповідальності за екологічні злочини та створенні інституційного механізму для захисту і реалізації екологічних прав громадян навіть у кризових умовах.</w:t>
      </w:r>
    </w:p>
    <w:p w14:paraId="16D8F54C" w14:textId="77777777" w:rsidR="00200E87" w:rsidRPr="00511005" w:rsidRDefault="00200E87" w:rsidP="003A292D">
      <w:pPr>
        <w:spacing w:line="264" w:lineRule="auto"/>
        <w:ind w:firstLine="720"/>
        <w:rPr>
          <w:rFonts w:ascii="Arial" w:eastAsia="Times New Roman" w:hAnsi="Arial" w:cs="Arial"/>
          <w:b/>
          <w:bCs/>
          <w:szCs w:val="28"/>
          <w:lang w:val="uk-UA"/>
        </w:rPr>
      </w:pPr>
    </w:p>
    <w:p w14:paraId="1C472D4B" w14:textId="1840D48E" w:rsidR="00200E87" w:rsidRPr="00511005" w:rsidRDefault="007B2628" w:rsidP="007B2628">
      <w:pPr>
        <w:spacing w:line="264" w:lineRule="auto"/>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71A15110" w14:textId="77777777" w:rsidR="00200E87" w:rsidRPr="00511005" w:rsidRDefault="00200E87" w:rsidP="003F6A5D">
      <w:pPr>
        <w:numPr>
          <w:ilvl w:val="0"/>
          <w:numId w:val="482"/>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Конституція України: прийнята 28 червня 1996 року. </w:t>
      </w:r>
      <w:r w:rsidRPr="00511005">
        <w:rPr>
          <w:rFonts w:ascii="Arial" w:eastAsia="Times New Roman" w:hAnsi="Arial" w:cs="Arial"/>
          <w:i/>
          <w:iCs/>
          <w:szCs w:val="28"/>
          <w:lang w:val="uk-UA"/>
        </w:rPr>
        <w:t>Відомості Верховної Ради України</w:t>
      </w:r>
      <w:r w:rsidRPr="00511005">
        <w:rPr>
          <w:rFonts w:ascii="Arial" w:eastAsia="Times New Roman" w:hAnsi="Arial" w:cs="Arial"/>
          <w:szCs w:val="28"/>
          <w:lang w:val="uk-UA"/>
        </w:rPr>
        <w:t>. 1996. № 30. Ст. 141.</w:t>
      </w:r>
    </w:p>
    <w:p w14:paraId="54AFC334" w14:textId="77777777" w:rsidR="00200E87" w:rsidRPr="00511005" w:rsidRDefault="00200E87" w:rsidP="003F6A5D">
      <w:pPr>
        <w:numPr>
          <w:ilvl w:val="0"/>
          <w:numId w:val="482"/>
        </w:numPr>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lastRenderedPageBreak/>
        <w:t xml:space="preserve">Про охорону навколишнього природного середовища: Закон України від 25 червня 1991 року. </w:t>
      </w:r>
      <w:r w:rsidRPr="00511005">
        <w:rPr>
          <w:rFonts w:ascii="Arial" w:eastAsia="Times New Roman" w:hAnsi="Arial" w:cs="Arial"/>
          <w:i/>
          <w:iCs/>
          <w:szCs w:val="28"/>
          <w:lang w:val="uk-UA"/>
        </w:rPr>
        <w:t>Відомості Верховної Ради України</w:t>
      </w:r>
      <w:r w:rsidRPr="00511005">
        <w:rPr>
          <w:rFonts w:ascii="Arial" w:eastAsia="Times New Roman" w:hAnsi="Arial" w:cs="Arial"/>
          <w:szCs w:val="28"/>
          <w:lang w:val="uk-UA"/>
        </w:rPr>
        <w:t>. 1991. № 41. Ст. 546.</w:t>
      </w:r>
    </w:p>
    <w:p w14:paraId="75E08D69" w14:textId="77777777" w:rsidR="00200E87" w:rsidRPr="00511005" w:rsidRDefault="00200E87" w:rsidP="003F6A5D">
      <w:pPr>
        <w:numPr>
          <w:ilvl w:val="0"/>
          <w:numId w:val="482"/>
        </w:numPr>
        <w:spacing w:line="264" w:lineRule="auto"/>
        <w:ind w:left="0" w:firstLine="709"/>
        <w:jc w:val="left"/>
        <w:rPr>
          <w:rFonts w:ascii="Arial" w:eastAsia="Times New Roman" w:hAnsi="Arial" w:cs="Arial"/>
          <w:kern w:val="2"/>
          <w:szCs w:val="28"/>
          <w:lang w:val="uk-UA"/>
        </w:rPr>
      </w:pPr>
      <w:r w:rsidRPr="00511005">
        <w:rPr>
          <w:rFonts w:ascii="Arial" w:eastAsia="Times New Roman" w:hAnsi="Arial" w:cs="Arial"/>
          <w:kern w:val="2"/>
          <w:szCs w:val="28"/>
          <w:lang w:val="uk-UA"/>
        </w:rPr>
        <w:t xml:space="preserve">Про оцінку впливу на довкілля: Закон України від 23 травня 2017 року. </w:t>
      </w:r>
      <w:r w:rsidRPr="00511005">
        <w:rPr>
          <w:rFonts w:ascii="Arial" w:eastAsia="Times New Roman" w:hAnsi="Arial" w:cs="Arial"/>
          <w:i/>
          <w:kern w:val="2"/>
          <w:szCs w:val="28"/>
          <w:lang w:val="uk-UA"/>
        </w:rPr>
        <w:t xml:space="preserve">Відомості Верховної Ради України. </w:t>
      </w:r>
      <w:r w:rsidRPr="00511005">
        <w:rPr>
          <w:rFonts w:ascii="Arial" w:eastAsia="Times New Roman" w:hAnsi="Arial" w:cs="Arial"/>
          <w:kern w:val="2"/>
          <w:szCs w:val="28"/>
          <w:lang w:val="uk-UA"/>
        </w:rPr>
        <w:t>2017</w:t>
      </w:r>
      <w:r w:rsidRPr="00511005">
        <w:rPr>
          <w:rFonts w:ascii="Arial" w:eastAsia="Times New Roman" w:hAnsi="Arial" w:cs="Arial"/>
          <w:i/>
          <w:kern w:val="2"/>
          <w:szCs w:val="28"/>
          <w:lang w:val="uk-UA"/>
        </w:rPr>
        <w:t>.</w:t>
      </w:r>
      <w:r w:rsidRPr="00511005">
        <w:rPr>
          <w:rFonts w:ascii="Arial" w:eastAsia="Times New Roman" w:hAnsi="Arial" w:cs="Arial"/>
          <w:kern w:val="2"/>
          <w:szCs w:val="28"/>
          <w:lang w:val="uk-UA"/>
        </w:rPr>
        <w:t xml:space="preserve"> № 29. Ст. 315.</w:t>
      </w:r>
    </w:p>
    <w:p w14:paraId="429DE816" w14:textId="77777777" w:rsidR="00200E87" w:rsidRPr="00511005" w:rsidRDefault="00200E87" w:rsidP="003F6A5D">
      <w:pPr>
        <w:numPr>
          <w:ilvl w:val="0"/>
          <w:numId w:val="482"/>
        </w:numPr>
        <w:spacing w:line="264" w:lineRule="auto"/>
        <w:ind w:left="0" w:firstLine="709"/>
        <w:jc w:val="left"/>
        <w:rPr>
          <w:rFonts w:ascii="Arial" w:eastAsia="Times New Roman" w:hAnsi="Arial" w:cs="Arial"/>
          <w:kern w:val="2"/>
          <w:szCs w:val="28"/>
          <w:lang w:val="uk-UA"/>
        </w:rPr>
      </w:pPr>
      <w:r w:rsidRPr="00511005">
        <w:rPr>
          <w:rFonts w:ascii="Arial" w:eastAsia="Times New Roman" w:hAnsi="Arial" w:cs="Arial"/>
          <w:kern w:val="2"/>
          <w:szCs w:val="28"/>
          <w:lang w:val="uk-UA"/>
        </w:rPr>
        <w:t xml:space="preserve">Про стратегічну екологічну оцінку: Закон України від 20 березня 2018 року. </w:t>
      </w:r>
      <w:r w:rsidRPr="00511005">
        <w:rPr>
          <w:rFonts w:ascii="Arial" w:eastAsia="Times New Roman" w:hAnsi="Arial" w:cs="Arial"/>
          <w:i/>
          <w:kern w:val="2"/>
          <w:szCs w:val="28"/>
          <w:lang w:val="uk-UA"/>
        </w:rPr>
        <w:t>Відомості Верховної Ради України.</w:t>
      </w:r>
      <w:r w:rsidRPr="00511005">
        <w:rPr>
          <w:rFonts w:ascii="Arial" w:eastAsia="Times New Roman" w:hAnsi="Arial" w:cs="Arial"/>
          <w:kern w:val="2"/>
          <w:szCs w:val="28"/>
          <w:lang w:val="uk-UA"/>
        </w:rPr>
        <w:t xml:space="preserve"> 2018. № 16. Ст. 138.</w:t>
      </w:r>
    </w:p>
    <w:p w14:paraId="3EDD600B" w14:textId="77777777" w:rsidR="00200E87" w:rsidRPr="00511005" w:rsidRDefault="00200E87" w:rsidP="003F6A5D">
      <w:pPr>
        <w:numPr>
          <w:ilvl w:val="0"/>
          <w:numId w:val="482"/>
        </w:numPr>
        <w:spacing w:line="264" w:lineRule="auto"/>
        <w:ind w:left="0" w:firstLine="709"/>
        <w:jc w:val="left"/>
        <w:rPr>
          <w:rFonts w:ascii="Arial" w:eastAsia="Times New Roman" w:hAnsi="Arial" w:cs="Arial"/>
          <w:kern w:val="2"/>
          <w:szCs w:val="28"/>
          <w:lang w:val="uk-UA"/>
        </w:rPr>
      </w:pPr>
      <w:r w:rsidRPr="00511005">
        <w:rPr>
          <w:rFonts w:ascii="Arial" w:eastAsia="Times New Roman" w:hAnsi="Arial" w:cs="Arial"/>
          <w:kern w:val="2"/>
          <w:szCs w:val="28"/>
          <w:lang w:val="uk-UA"/>
        </w:rPr>
        <w:t xml:space="preserve">Кримінальний кодекс: прийнятий 5 квітня 2001 року. </w:t>
      </w:r>
      <w:r w:rsidRPr="00511005">
        <w:rPr>
          <w:rFonts w:ascii="Arial" w:eastAsia="Times New Roman" w:hAnsi="Arial" w:cs="Arial"/>
          <w:i/>
          <w:kern w:val="2"/>
          <w:szCs w:val="28"/>
          <w:lang w:val="uk-UA"/>
        </w:rPr>
        <w:t>Відомості Верховної Ради України</w:t>
      </w:r>
      <w:r w:rsidRPr="00511005">
        <w:rPr>
          <w:rFonts w:ascii="Arial" w:eastAsia="Times New Roman" w:hAnsi="Arial" w:cs="Arial"/>
          <w:kern w:val="2"/>
          <w:szCs w:val="28"/>
          <w:lang w:val="uk-UA"/>
        </w:rPr>
        <w:t>. 2001. № 25-26. Ст. 131.</w:t>
      </w:r>
    </w:p>
    <w:p w14:paraId="4DBA6DD9" w14:textId="77777777" w:rsidR="00200E87" w:rsidRPr="00511005" w:rsidRDefault="00200E87" w:rsidP="003F6A5D">
      <w:pPr>
        <w:numPr>
          <w:ilvl w:val="0"/>
          <w:numId w:val="482"/>
        </w:numPr>
        <w:spacing w:line="264" w:lineRule="auto"/>
        <w:ind w:left="0" w:firstLine="709"/>
        <w:jc w:val="left"/>
        <w:rPr>
          <w:rFonts w:ascii="Arial" w:eastAsia="Times New Roman" w:hAnsi="Arial" w:cs="Arial"/>
          <w:kern w:val="2"/>
          <w:szCs w:val="28"/>
          <w:lang w:val="uk-UA"/>
        </w:rPr>
      </w:pPr>
      <w:r w:rsidRPr="00511005">
        <w:rPr>
          <w:rFonts w:ascii="Arial" w:eastAsia="Times New Roman" w:hAnsi="Arial" w:cs="Arial"/>
          <w:kern w:val="2"/>
          <w:szCs w:val="28"/>
          <w:lang w:val="uk-UA"/>
        </w:rPr>
        <w:t>Плахотнік О. В. Екологічні права громадян у правовій системі України: монографія. Київ: Юридична думка, 2020. 284 с.</w:t>
      </w:r>
    </w:p>
    <w:p w14:paraId="0414EE3C" w14:textId="77777777" w:rsidR="00200E87" w:rsidRPr="00511005" w:rsidRDefault="00200E87" w:rsidP="003A292D">
      <w:pPr>
        <w:spacing w:line="264" w:lineRule="auto"/>
        <w:rPr>
          <w:rFonts w:ascii="Arial" w:eastAsia="Times New Roman" w:hAnsi="Arial" w:cs="Arial"/>
          <w:b/>
          <w:bCs/>
          <w:szCs w:val="28"/>
          <w:lang w:val="uk-UA"/>
        </w:rPr>
      </w:pPr>
    </w:p>
    <w:p w14:paraId="32042374" w14:textId="5E2A0CCE" w:rsidR="00200E87" w:rsidRPr="00511005" w:rsidRDefault="007B2628" w:rsidP="003A292D">
      <w:pPr>
        <w:spacing w:line="264" w:lineRule="auto"/>
        <w:rPr>
          <w:rFonts w:ascii="Arial" w:eastAsia="Times New Roman" w:hAnsi="Arial" w:cs="Arial"/>
          <w:b/>
          <w:bCs/>
          <w:szCs w:val="28"/>
          <w:lang w:val="uk-UA"/>
        </w:rPr>
      </w:pPr>
      <w:r w:rsidRPr="00511005">
        <w:rPr>
          <w:rFonts w:ascii="Arial" w:eastAsia="Times New Roman" w:hAnsi="Arial" w:cs="Arial"/>
          <w:b/>
          <w:bCs/>
          <w:i/>
          <w:szCs w:val="28"/>
          <w:lang w:val="uk-UA"/>
        </w:rPr>
        <w:t xml:space="preserve">Ключові слова: </w:t>
      </w:r>
      <w:r w:rsidR="00200E87" w:rsidRPr="00511005">
        <w:rPr>
          <w:rFonts w:ascii="Arial" w:eastAsia="Times New Roman" w:hAnsi="Arial" w:cs="Arial"/>
          <w:szCs w:val="28"/>
          <w:lang w:val="uk-UA"/>
        </w:rPr>
        <w:t>екологічні права, воєнний стан, екоцид, Каховська ГЕС, екологічна безпека.</w:t>
      </w:r>
    </w:p>
    <w:p w14:paraId="63D0E0B2" w14:textId="7031D777" w:rsidR="00200E87" w:rsidRPr="00511005" w:rsidRDefault="007B2628" w:rsidP="003A292D">
      <w:pPr>
        <w:spacing w:line="264" w:lineRule="auto"/>
        <w:rPr>
          <w:rFonts w:ascii="Arial" w:eastAsia="Times New Roman" w:hAnsi="Arial" w:cs="Arial"/>
          <w:szCs w:val="28"/>
          <w:lang w:val="en-US"/>
        </w:rPr>
      </w:pPr>
      <w:r w:rsidRPr="00511005">
        <w:rPr>
          <w:rFonts w:ascii="Arial" w:eastAsia="Times New Roman" w:hAnsi="Arial" w:cs="Arial"/>
          <w:b/>
          <w:bCs/>
          <w:i/>
          <w:szCs w:val="28"/>
          <w:lang w:val="en-US"/>
        </w:rPr>
        <w:t xml:space="preserve">Key words: </w:t>
      </w:r>
      <w:r w:rsidR="00200E87" w:rsidRPr="00511005">
        <w:rPr>
          <w:rFonts w:ascii="Arial" w:eastAsia="Times New Roman" w:hAnsi="Arial" w:cs="Arial"/>
          <w:szCs w:val="28"/>
          <w:lang w:val="en-US"/>
        </w:rPr>
        <w:t>environmental rights, martial law, ecocide, Kakhovka HPP, environmental security.</w:t>
      </w:r>
    </w:p>
    <w:p w14:paraId="5F48F869" w14:textId="524BC0C9" w:rsidR="00200E87" w:rsidRPr="00511005" w:rsidRDefault="007B2628" w:rsidP="003A292D">
      <w:pPr>
        <w:spacing w:line="264" w:lineRule="auto"/>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200E87" w:rsidRPr="00511005">
        <w:rPr>
          <w:rFonts w:ascii="Arial" w:eastAsia="Times New Roman" w:hAnsi="Arial" w:cs="Arial"/>
          <w:i/>
          <w:iCs/>
          <w:szCs w:val="28"/>
          <w:lang w:val="uk-UA"/>
        </w:rPr>
        <w:t>к.ю.н., доцент Чумаченко І.Є.</w:t>
      </w:r>
    </w:p>
    <w:p w14:paraId="0D6EB5A1" w14:textId="77777777" w:rsidR="00200E87" w:rsidRPr="00511005" w:rsidRDefault="00200E87" w:rsidP="003A292D">
      <w:pPr>
        <w:keepNext/>
        <w:spacing w:line="264" w:lineRule="auto"/>
        <w:ind w:firstLine="540"/>
        <w:rPr>
          <w:rFonts w:ascii="Arial" w:eastAsia="Times New Roman" w:hAnsi="Arial" w:cs="Arial"/>
          <w:b/>
          <w:i/>
          <w:szCs w:val="28"/>
          <w:lang w:val="uk-UA" w:eastAsia="ru-RU"/>
        </w:rPr>
      </w:pPr>
    </w:p>
    <w:p w14:paraId="6B3AA106" w14:textId="77777777" w:rsidR="00200E87" w:rsidRPr="00511005" w:rsidRDefault="00200E87" w:rsidP="003A292D">
      <w:pPr>
        <w:spacing w:line="264" w:lineRule="auto"/>
        <w:ind w:firstLine="0"/>
        <w:jc w:val="center"/>
        <w:rPr>
          <w:rFonts w:ascii="Arial" w:eastAsia="Times New Roman" w:hAnsi="Arial" w:cs="Arial"/>
          <w:b/>
          <w:bCs/>
          <w:i/>
          <w:iCs/>
          <w:kern w:val="2"/>
          <w:szCs w:val="28"/>
          <w:lang w:val="uk-UA"/>
        </w:rPr>
      </w:pPr>
      <w:r w:rsidRPr="00511005">
        <w:rPr>
          <w:rFonts w:ascii="Arial" w:eastAsia="Times New Roman" w:hAnsi="Arial" w:cs="Arial"/>
          <w:b/>
          <w:bCs/>
          <w:i/>
          <w:iCs/>
          <w:kern w:val="2"/>
          <w:szCs w:val="28"/>
          <w:lang w:val="uk-UA"/>
        </w:rPr>
        <w:t>Рябченко Вікторія Олександрівна</w:t>
      </w:r>
    </w:p>
    <w:p w14:paraId="3E0452E1" w14:textId="77777777" w:rsidR="007B2628" w:rsidRPr="00511005" w:rsidRDefault="00200E87" w:rsidP="003A292D">
      <w:pPr>
        <w:spacing w:line="264" w:lineRule="auto"/>
        <w:ind w:firstLine="0"/>
        <w:jc w:val="center"/>
        <w:rPr>
          <w:rFonts w:ascii="Arial" w:eastAsia="Times New Roman" w:hAnsi="Arial" w:cs="Arial"/>
          <w:kern w:val="2"/>
          <w:szCs w:val="28"/>
          <w:lang w:val="uk-UA"/>
        </w:rPr>
      </w:pPr>
      <w:r w:rsidRPr="00511005">
        <w:rPr>
          <w:rFonts w:ascii="Arial" w:eastAsia="Times New Roman" w:hAnsi="Arial" w:cs="Arial"/>
          <w:kern w:val="2"/>
          <w:szCs w:val="28"/>
          <w:lang w:val="uk-UA"/>
        </w:rPr>
        <w:t>аспірантка кафедри цивільного права</w:t>
      </w:r>
    </w:p>
    <w:p w14:paraId="185F7648" w14:textId="1F0D68EC" w:rsidR="00200E87" w:rsidRPr="00511005" w:rsidRDefault="007B2628" w:rsidP="003A292D">
      <w:pPr>
        <w:spacing w:line="264" w:lineRule="auto"/>
        <w:ind w:firstLine="0"/>
        <w:jc w:val="center"/>
        <w:rPr>
          <w:rFonts w:ascii="Arial" w:eastAsia="Times New Roman" w:hAnsi="Arial" w:cs="Arial"/>
          <w:kern w:val="2"/>
          <w:szCs w:val="28"/>
          <w:lang w:val="uk-UA"/>
        </w:rPr>
      </w:pPr>
      <w:r w:rsidRPr="00511005">
        <w:rPr>
          <w:rFonts w:ascii="Arial" w:eastAsia="Times New Roman" w:hAnsi="Arial" w:cs="Arial"/>
          <w:kern w:val="2"/>
          <w:szCs w:val="28"/>
          <w:lang w:val="uk-UA"/>
        </w:rPr>
        <w:t>Національного університету «Одеська юридична академія»</w:t>
      </w:r>
    </w:p>
    <w:p w14:paraId="21496CF1" w14:textId="77777777" w:rsidR="00200E87" w:rsidRPr="00511005" w:rsidRDefault="00200E87" w:rsidP="003A292D">
      <w:pPr>
        <w:spacing w:line="264" w:lineRule="auto"/>
        <w:ind w:firstLine="0"/>
        <w:jc w:val="center"/>
        <w:rPr>
          <w:rFonts w:ascii="Arial" w:eastAsia="Times New Roman" w:hAnsi="Arial" w:cs="Arial"/>
          <w:kern w:val="2"/>
          <w:szCs w:val="28"/>
          <w:lang w:val="uk-UA"/>
        </w:rPr>
      </w:pPr>
    </w:p>
    <w:p w14:paraId="18E529A7" w14:textId="77777777" w:rsidR="00200E87" w:rsidRPr="00511005" w:rsidRDefault="00200E87"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ЕКОЛОГІЧНА БЕЗПЕКА ДИТИНИ В УМОВАХ ВОЄННИХ ВИКЛИКІВ</w:t>
      </w:r>
    </w:p>
    <w:p w14:paraId="2A7BA5D0" w14:textId="77777777" w:rsidR="00200E87" w:rsidRPr="00511005" w:rsidRDefault="00200E87" w:rsidP="003A292D">
      <w:pPr>
        <w:spacing w:line="264" w:lineRule="auto"/>
        <w:ind w:firstLine="567"/>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Екологічна безпека у правовій доктрині визначається як стан захищеності людини, її життя і здоров’я, прав, свобод і інтересів, майна, господарської діяльності, суспільства, держави і довкілля від екологічних загроз з метою запобігання погіршення екологічної обстановки та інших негативних наслідків. </w:t>
      </w:r>
    </w:p>
    <w:p w14:paraId="6494F49A" w14:textId="77777777" w:rsidR="00200E87" w:rsidRPr="00511005" w:rsidRDefault="00200E87" w:rsidP="003A292D">
      <w:pPr>
        <w:spacing w:line="264" w:lineRule="auto"/>
        <w:ind w:firstLine="567"/>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Людина – частина живої природи, яка прямо залежить від неї, використовуючи для забезпечення свого існування повітря, воду, їжу, які отримує з навколишнього середовища, тому стан останнього має турбувати людство найбільше. </w:t>
      </w:r>
    </w:p>
    <w:p w14:paraId="4178A232" w14:textId="77777777" w:rsidR="00200E87" w:rsidRPr="00511005" w:rsidRDefault="00200E87" w:rsidP="003A292D">
      <w:pPr>
        <w:spacing w:line="264" w:lineRule="auto"/>
        <w:ind w:firstLine="567"/>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Страшна аварія у 1986 році на ЧАЕС сколихнула весь світ, а її наслідки виявились не менш страшними для здоров’я населення. Особливо для дітей, у яких внаслідок тих подій було виявлено низку онкологічних захворювань. Крайня нестача йоду перед катастрофою призвела до того, що щитовидні залози дітей почали просто всмоктувати виділений унаслідок катастрофи радіоактивний ізотоп йод-131, окрім цього, зросло число й захворювань органів травлення, хронічних гастритів</w:t>
      </w:r>
      <w:bookmarkStart w:id="206" w:name="_Hlk194911825"/>
      <w:r w:rsidRPr="00511005">
        <w:rPr>
          <w:rFonts w:ascii="Arial" w:eastAsia="Times New Roman" w:hAnsi="Arial" w:cs="Arial"/>
          <w:bCs/>
          <w:iCs/>
          <w:szCs w:val="28"/>
          <w:lang w:val="uk-UA" w:eastAsia="ru-RU"/>
        </w:rPr>
        <w:t xml:space="preserve"> [1]</w:t>
      </w:r>
      <w:bookmarkEnd w:id="206"/>
      <w:r w:rsidRPr="00511005">
        <w:rPr>
          <w:rFonts w:ascii="Arial" w:eastAsia="Times New Roman" w:hAnsi="Arial" w:cs="Arial"/>
          <w:bCs/>
          <w:iCs/>
          <w:szCs w:val="28"/>
          <w:lang w:val="uk-UA" w:eastAsia="ru-RU"/>
        </w:rPr>
        <w:t xml:space="preserve">. Забруднення води і повітря є транскордонним, воно не має чітко визначених меж, тому радіоактивна хмара здіймалась над Європою протягом певного часу після аварії. В Європі зафіксовано орієнтовно 10000 випадків вроджених </w:t>
      </w:r>
      <w:r w:rsidRPr="00511005">
        <w:rPr>
          <w:rFonts w:ascii="Arial" w:eastAsia="Times New Roman" w:hAnsi="Arial" w:cs="Arial"/>
          <w:bCs/>
          <w:iCs/>
          <w:szCs w:val="28"/>
          <w:lang w:val="uk-UA" w:eastAsia="ru-RU"/>
        </w:rPr>
        <w:lastRenderedPageBreak/>
        <w:t>патологій у новонароджених та приблизно стільки ж випадків раку щитовидної залози</w:t>
      </w:r>
      <w:bookmarkStart w:id="207" w:name="_Hlk194913292"/>
      <w:r w:rsidRPr="00511005">
        <w:rPr>
          <w:rFonts w:ascii="Arial" w:eastAsia="Times New Roman" w:hAnsi="Arial" w:cs="Arial"/>
          <w:bCs/>
          <w:iCs/>
          <w:szCs w:val="28"/>
          <w:lang w:val="uk-UA" w:eastAsia="ru-RU"/>
        </w:rPr>
        <w:t xml:space="preserve"> [2]</w:t>
      </w:r>
      <w:bookmarkEnd w:id="207"/>
      <w:r w:rsidRPr="00511005">
        <w:rPr>
          <w:rFonts w:ascii="Arial" w:eastAsia="Times New Roman" w:hAnsi="Arial" w:cs="Arial"/>
          <w:bCs/>
          <w:iCs/>
          <w:szCs w:val="28"/>
          <w:lang w:val="uk-UA" w:eastAsia="ru-RU"/>
        </w:rPr>
        <w:t>.</w:t>
      </w:r>
    </w:p>
    <w:p w14:paraId="4BF3215E" w14:textId="77777777" w:rsidR="00200E87" w:rsidRPr="00511005" w:rsidRDefault="00200E87" w:rsidP="003A292D">
      <w:pPr>
        <w:spacing w:line="264" w:lineRule="auto"/>
        <w:ind w:firstLine="567"/>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У Законі України «Про Основні засади (стратегії) державної екологічної політики України на період до 2030 року» зазначаються існуючі проблеми та стан довкілля в України, серед яких, зокрема: якість атмосферного повітря, зміна кліматичних умов, забруднення вод, ґрунтів, окремо визначаються екологічні проблеми Донбасу [3]. За період з 2019 року по теперішній час, в умовах повномасштабної війни, загрози екологічній безпеці невпинно зростають. </w:t>
      </w:r>
    </w:p>
    <w:p w14:paraId="4953FEBF" w14:textId="77777777" w:rsidR="00200E87" w:rsidRPr="00511005" w:rsidRDefault="00200E87" w:rsidP="003A292D">
      <w:pPr>
        <w:spacing w:line="264" w:lineRule="auto"/>
        <w:ind w:firstLine="567"/>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Російсько-українська війна завдає руйнівний вплив на стан навколишнього середовища. Обстріли і бомбардування населених пунктів, розливи палива, пожежі, покинута військова техніка щоденно призводять до значних викидів токсичних хімічних речовин, як наслідок – забруднення ґрунту, джерел води і повітря, які в свою чергу, зумовлюють низку проблем зі здоров’ям місцевого населення. Найбільш вразливою категорією населення України наразі є діти, оскільки якість умов в яких вони ростуть і розвиваються, позначається на їхньому самопочутті. </w:t>
      </w:r>
    </w:p>
    <w:p w14:paraId="3660B8EF" w14:textId="77777777" w:rsidR="00200E87" w:rsidRPr="00511005" w:rsidRDefault="00200E87" w:rsidP="003A292D">
      <w:pPr>
        <w:spacing w:line="264" w:lineRule="auto"/>
        <w:ind w:firstLine="567"/>
        <w:rPr>
          <w:rFonts w:ascii="Arial" w:eastAsia="Times New Roman" w:hAnsi="Arial" w:cs="Arial"/>
          <w:szCs w:val="28"/>
          <w:lang w:val="uk-UA"/>
        </w:rPr>
      </w:pPr>
      <w:bookmarkStart w:id="208" w:name="_Hlk194584656"/>
      <w:r w:rsidRPr="00511005">
        <w:rPr>
          <w:rFonts w:ascii="Arial" w:eastAsia="Times New Roman" w:hAnsi="Arial" w:cs="Arial"/>
          <w:szCs w:val="28"/>
          <w:lang w:val="uk-UA"/>
        </w:rPr>
        <w:t xml:space="preserve">Імунна система дітей перебуває у стані формування, тому вони особливо вразливі до впливу викидів забруднюючих речовин. Забруднене повітря може погіршити вже існуючі респіраторні захворювання, збільшуючи ризик госпіталізації та погіршуючи якість життя. Найбільш небезпечні забруднювачі, такі як озон і діоксиди азоту, негативно впливають на легені, викликаючи їх запалення та зменшуючи функціональність. Діти, які живуть в районах з високим рівнем забруднення, частіше стикаються з проблемами зі здоров’ям, пов’язаними з хронічними захворюваннями дихальної системи </w:t>
      </w:r>
      <w:r w:rsidRPr="00511005">
        <w:rPr>
          <w:rFonts w:ascii="Arial" w:eastAsia="Times New Roman" w:hAnsi="Arial" w:cs="Arial"/>
          <w:bCs/>
          <w:iCs/>
          <w:szCs w:val="28"/>
          <w:lang w:val="uk-UA"/>
        </w:rPr>
        <w:t>[4]</w:t>
      </w:r>
      <w:r w:rsidRPr="00511005">
        <w:rPr>
          <w:rFonts w:ascii="Arial" w:eastAsia="Times New Roman" w:hAnsi="Arial" w:cs="Arial"/>
          <w:szCs w:val="28"/>
          <w:lang w:val="uk-UA"/>
        </w:rPr>
        <w:t xml:space="preserve">. Крім того, тривалий вплив забрудненого повітря негативно позначається на загальному фізичному розвитку дітей та когнітивних функціях. </w:t>
      </w:r>
    </w:p>
    <w:p w14:paraId="37A3709B"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Вода необхідна для нормального зростання і розвитку молодого організму. Країна-агресор, порушуючи норми міжнародного права, у квітні 2022 року навмисно підірвала трубопровід на території, на той час окупованої Херсонської області, як результат м. Миколаїв залишився без доступу до питної води. Третій рік з кранів миколаївців поступає вода для технічного користування. Як повідомило Головне управління Держпродспоживслужби в Миколаївській області, за результатами лабораторних досліджень встановлено, що у воді перевищення сухого залишку, сульфатів, хлоридів та нітратів. Вода, яка містить нітрати, надзвичайно небезпечна для дитячого організму, особливо для дітей в перші місяці життя. При тривалому споживанні забрудненої нітратами води розвивається хронічна нітратна інтоксикація </w:t>
      </w:r>
      <w:r w:rsidRPr="00511005">
        <w:rPr>
          <w:rFonts w:ascii="Arial" w:eastAsia="Times New Roman" w:hAnsi="Arial" w:cs="Arial"/>
          <w:bCs/>
          <w:iCs/>
          <w:szCs w:val="28"/>
          <w:lang w:val="uk-UA"/>
        </w:rPr>
        <w:t>[5]</w:t>
      </w:r>
      <w:r w:rsidRPr="00511005">
        <w:rPr>
          <w:rFonts w:ascii="Arial" w:eastAsia="Times New Roman" w:hAnsi="Arial" w:cs="Arial"/>
          <w:szCs w:val="28"/>
          <w:lang w:val="uk-UA"/>
        </w:rPr>
        <w:t>. Бактерії та віруси, що можуть бути присутні у забрудненій воді, здатні провокувати чисельні проблеми з шлунково-кишковим трактом, інфекції сечостатевої системи, алергічні реакції.</w:t>
      </w:r>
    </w:p>
    <w:p w14:paraId="1423C49A"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lastRenderedPageBreak/>
        <w:t>Повітря і вода, насичені токсинами та забруднюючими речовинами, можуть негативно позначитися не лише на фізіологічному, але й на психологічному стані дітей. Хронічні захворювання дихальних шляхів здатні викликати відчуття тривоги, тривалий вплив несприятливих екологічних умов може впливати на настрій і емоційний стан дитини, спричиняючи розвитку депресії, у малечі може формуватися низька здатність до адаптації до стресових ситуацій, що відображається на їх навчанні та соціальній активності.</w:t>
      </w:r>
    </w:p>
    <w:p w14:paraId="3B39F6B4"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Захист здоров’я дітей є важливим елементом їхнього благополуччя, що вимагає спільних дій на різних рівнях: локальному, національному та міжнародному. На противагу цим викликам важливо вживати заходів з забезпечення екологічної безпеки: суворий контроль за забрудненням повітря, води і ґрунтів, відновленням природних ресурсів, здійснення заходів щодо збереження і відновлення навколишнього середовища у постконфліктний період та ін. </w:t>
      </w:r>
    </w:p>
    <w:p w14:paraId="39BA180E"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Підсумовуючи вищевикладене, необхідно зазначити, що у часи збройних конфліктів діти стають особливо вразливими. Війна накладає відбиток не лише на фізичний і психічний розвиток здоров’я дитини, а й на довкілля, що призводить до тривалих негативних наслідків для їхнього розвитку. Тому держава має активізувати свої зусилля, в поєднанні з зусиллями міжнародних організацій та громадськістю для мінімізації екологічних наслідків збройного конфлікту і убезпечення захисту здоров’я дітей.</w:t>
      </w:r>
    </w:p>
    <w:p w14:paraId="3339A18F" w14:textId="77777777" w:rsidR="00200E87" w:rsidRPr="00511005" w:rsidRDefault="00200E87" w:rsidP="003A292D">
      <w:pPr>
        <w:spacing w:line="264" w:lineRule="auto"/>
        <w:ind w:firstLine="708"/>
        <w:jc w:val="center"/>
        <w:rPr>
          <w:rFonts w:ascii="Arial" w:eastAsia="Times New Roman" w:hAnsi="Arial" w:cs="Arial"/>
          <w:b/>
          <w:iCs/>
          <w:szCs w:val="28"/>
          <w:lang w:val="uk-UA"/>
        </w:rPr>
      </w:pPr>
    </w:p>
    <w:p w14:paraId="44F7C7EF" w14:textId="156FD659" w:rsidR="00200E87" w:rsidRPr="00511005" w:rsidRDefault="007B2628" w:rsidP="007B2628">
      <w:pPr>
        <w:spacing w:line="264" w:lineRule="auto"/>
        <w:ind w:firstLine="708"/>
        <w:jc w:val="center"/>
        <w:rPr>
          <w:rFonts w:ascii="Arial" w:eastAsia="Times New Roman" w:hAnsi="Arial" w:cs="Arial"/>
          <w:b/>
          <w:iCs/>
          <w:szCs w:val="28"/>
          <w:lang w:val="uk-UA"/>
        </w:rPr>
      </w:pPr>
      <w:r w:rsidRPr="00511005">
        <w:rPr>
          <w:rFonts w:ascii="Arial" w:eastAsia="Times New Roman" w:hAnsi="Arial" w:cs="Arial"/>
          <w:b/>
          <w:iCs/>
          <w:szCs w:val="28"/>
          <w:lang w:val="uk-UA"/>
        </w:rPr>
        <w:t>Список використаних джерел</w:t>
      </w:r>
    </w:p>
    <w:p w14:paraId="70BE059F"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1. Чорнобильська катастрофа: хронологія подій та наслідки. URL: </w:t>
      </w:r>
      <w:hyperlink r:id="rId1739" w:anchor="google_vignette" w:tgtFrame="_blank" w:history="1">
        <w:r w:rsidRPr="00511005">
          <w:rPr>
            <w:rFonts w:ascii="Arial" w:eastAsia="Times New Roman" w:hAnsi="Arial" w:cs="Arial"/>
            <w:szCs w:val="28"/>
            <w:lang w:val="uk-UA"/>
          </w:rPr>
          <w:t>https://osvita.ua/vnz/reports/ecology/18745/#google_vignette</w:t>
        </w:r>
      </w:hyperlink>
      <w:r w:rsidRPr="00511005">
        <w:rPr>
          <w:rFonts w:ascii="Arial" w:eastAsia="Times New Roman" w:hAnsi="Arial" w:cs="Arial"/>
          <w:szCs w:val="28"/>
          <w:lang w:val="uk-UA"/>
        </w:rPr>
        <w:t xml:space="preserve"> (дата звернення: 07.04.2025 р.). </w:t>
      </w:r>
    </w:p>
    <w:p w14:paraId="44EA90E2"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2. 36 років по тому: через дії російських окупантів на ЧАЕС мало не повторилась нова ядерна загроза. URL: </w:t>
      </w:r>
      <w:hyperlink r:id="rId1740" w:history="1">
        <w:r w:rsidRPr="00511005">
          <w:rPr>
            <w:rFonts w:ascii="Arial" w:eastAsia="Times New Roman" w:hAnsi="Arial" w:cs="Arial"/>
            <w:szCs w:val="28"/>
            <w:lang w:val="uk-UA"/>
          </w:rPr>
          <w:t>https://zahid.espreso.tv/36-rokiv-po-tomu-cherez-dii-rosiyskikh-okupantiv-na-chaesmalo-ne-povtorilas-nova-yaderna-zagroza</w:t>
        </w:r>
      </w:hyperlink>
      <w:r w:rsidRPr="00511005">
        <w:rPr>
          <w:rFonts w:ascii="Arial" w:eastAsia="Times New Roman" w:hAnsi="Arial" w:cs="Arial"/>
          <w:szCs w:val="28"/>
          <w:lang w:val="uk-UA"/>
        </w:rPr>
        <w:t xml:space="preserve"> (дата звернення: 07.04.2025).</w:t>
      </w:r>
    </w:p>
    <w:p w14:paraId="75C50C22"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3. Про Основні засади (стратегію) державної екологічної політики України на період до 2030 року: Закон України від 28.02.2019 р. URL:</w:t>
      </w:r>
      <w:hyperlink r:id="rId1741" w:anchor="Text" w:tgtFrame="_blank" w:history="1">
        <w:r w:rsidRPr="00511005">
          <w:rPr>
            <w:rFonts w:ascii="Arial" w:eastAsia="Times New Roman" w:hAnsi="Arial" w:cs="Arial"/>
            <w:szCs w:val="28"/>
            <w:lang w:val="uk-UA"/>
          </w:rPr>
          <w:t>https://zakon.rada.gov.ua/laws/show/2697-19#Text</w:t>
        </w:r>
      </w:hyperlink>
      <w:r w:rsidRPr="00511005">
        <w:rPr>
          <w:rFonts w:ascii="Arial" w:eastAsia="Times New Roman" w:hAnsi="Arial" w:cs="Arial"/>
          <w:szCs w:val="28"/>
          <w:lang w:val="uk-UA"/>
        </w:rPr>
        <w:t xml:space="preserve"> (дата звернення: 07.04.2025 р.). </w:t>
      </w:r>
    </w:p>
    <w:p w14:paraId="236F72FC"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4. Вплив екології на здоров’я дітей. URL:</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bhealthycli</w:instrText>
      </w:r>
      <w:r w:rsidR="005938AD">
        <w:instrText>nic</w:instrText>
      </w:r>
      <w:r w:rsidR="005938AD" w:rsidRPr="00055389">
        <w:rPr>
          <w:lang w:val="uk-UA"/>
        </w:rPr>
        <w:instrText>.</w:instrText>
      </w:r>
      <w:r w:rsidR="005938AD">
        <w:instrText>com</w:instrText>
      </w:r>
      <w:r w:rsidR="005938AD" w:rsidRPr="00055389">
        <w:rPr>
          <w:lang w:val="uk-UA"/>
        </w:rPr>
        <w:instrText>.</w:instrText>
      </w:r>
      <w:r w:rsidR="005938AD">
        <w:instrText>ua</w:instrText>
      </w:r>
      <w:r w:rsidR="005938AD" w:rsidRPr="00055389">
        <w:rPr>
          <w:lang w:val="uk-UA"/>
        </w:rPr>
        <w:instrText>/</w:instrText>
      </w:r>
      <w:r w:rsidR="005938AD">
        <w:instrText>news</w:instrText>
      </w:r>
      <w:r w:rsidR="005938AD" w:rsidRPr="00055389">
        <w:rPr>
          <w:lang w:val="uk-UA"/>
        </w:rPr>
        <w:instrText>/</w:instrText>
      </w:r>
      <w:r w:rsidR="005938AD">
        <w:instrText>vliyanie</w:instrText>
      </w:r>
      <w:r w:rsidR="005938AD" w:rsidRPr="00055389">
        <w:rPr>
          <w:lang w:val="uk-UA"/>
        </w:rPr>
        <w:instrText>-</w:instrText>
      </w:r>
      <w:r w:rsidR="005938AD">
        <w:instrText>ekologii</w:instrText>
      </w:r>
      <w:r w:rsidR="005938AD" w:rsidRPr="00055389">
        <w:rPr>
          <w:lang w:val="uk-UA"/>
        </w:rPr>
        <w:instrText>-</w:instrText>
      </w:r>
      <w:r w:rsidR="005938AD">
        <w:instrText>na</w:instrText>
      </w:r>
      <w:r w:rsidR="005938AD" w:rsidRPr="00055389">
        <w:rPr>
          <w:lang w:val="uk-UA"/>
        </w:rPr>
        <w:instrText>-</w:instrText>
      </w:r>
      <w:r w:rsidR="005938AD">
        <w:instrText>zdorove</w:instrText>
      </w:r>
      <w:r w:rsidR="005938AD" w:rsidRPr="00055389">
        <w:rPr>
          <w:lang w:val="uk-UA"/>
        </w:rPr>
        <w:instrText>-</w:instrText>
      </w:r>
      <w:r w:rsidR="005938AD">
        <w:instrText>detey</w:instrText>
      </w:r>
      <w:r w:rsidR="005938AD" w:rsidRPr="00055389">
        <w:rPr>
          <w:lang w:val="uk-UA"/>
        </w:rPr>
        <w:instrText>/" \</w:instrText>
      </w:r>
      <w:r w:rsidR="005938AD">
        <w:instrText>t</w:instrText>
      </w:r>
      <w:r w:rsidR="005938AD" w:rsidRPr="00055389">
        <w:rPr>
          <w:lang w:val="uk-UA"/>
        </w:rPr>
        <w:instrText xml:space="preserve"> "_</w:instrText>
      </w:r>
      <w:r w:rsidR="005938AD">
        <w:instrText>blank</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rPr>
        <w:t>https://bhealthyclinic.com.ua/news/vliyanie-ekologii-na-zdorove-detey/</w:t>
      </w:r>
      <w:r w:rsidR="005938AD">
        <w:rPr>
          <w:rFonts w:ascii="Arial" w:eastAsia="Times New Roman" w:hAnsi="Arial" w:cs="Arial"/>
          <w:szCs w:val="28"/>
          <w:lang w:val="uk-UA"/>
        </w:rPr>
        <w:fldChar w:fldCharType="end"/>
      </w:r>
      <w:r w:rsidRPr="00511005">
        <w:rPr>
          <w:rFonts w:ascii="Arial" w:eastAsia="Times New Roman" w:hAnsi="Arial" w:cs="Arial"/>
          <w:szCs w:val="28"/>
          <w:lang w:val="uk-UA"/>
        </w:rPr>
        <w:t xml:space="preserve"> </w:t>
      </w:r>
    </w:p>
    <w:p w14:paraId="059AE021"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(дата звернення: 07.04.2025).</w:t>
      </w:r>
    </w:p>
    <w:p w14:paraId="2194F668"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5. Вода як фактор ризику: інформує Держпродспоживслужба. URL: </w:t>
      </w:r>
      <w:hyperlink r:id="rId1742" w:history="1">
        <w:r w:rsidRPr="00511005">
          <w:rPr>
            <w:rFonts w:ascii="Arial" w:eastAsia="Times New Roman" w:hAnsi="Arial" w:cs="Arial"/>
            <w:szCs w:val="28"/>
            <w:lang w:val="uk-UA"/>
          </w:rPr>
          <w:t>https://mkrada.gov.ua/news/16624.html?fbclid=IwAR12mLY0B_UngthBopCToT7CkbqwIs1ImTyvABcNER9_aL0mGxQiLTL7GQ</w:t>
        </w:r>
      </w:hyperlink>
      <w:r w:rsidRPr="00511005">
        <w:rPr>
          <w:rFonts w:ascii="Arial" w:eastAsia="Times New Roman" w:hAnsi="Arial" w:cs="Arial"/>
          <w:szCs w:val="28"/>
          <w:lang w:val="uk-UA"/>
        </w:rPr>
        <w:t xml:space="preserve"> (дата звернення: 07.04.2025).</w:t>
      </w:r>
    </w:p>
    <w:bookmarkEnd w:id="208"/>
    <w:p w14:paraId="6ABDB1E5" w14:textId="77777777" w:rsidR="00200E87" w:rsidRPr="00511005" w:rsidRDefault="00200E87" w:rsidP="003A292D">
      <w:pPr>
        <w:keepNext/>
        <w:spacing w:line="264" w:lineRule="auto"/>
        <w:ind w:firstLine="567"/>
        <w:rPr>
          <w:rFonts w:ascii="Arial" w:eastAsia="Times New Roman" w:hAnsi="Arial" w:cs="Arial"/>
          <w:b/>
          <w:szCs w:val="28"/>
          <w:lang w:val="uk-UA"/>
        </w:rPr>
      </w:pPr>
    </w:p>
    <w:p w14:paraId="0A5E8E4A" w14:textId="67432AFB" w:rsidR="00200E87" w:rsidRPr="00511005" w:rsidRDefault="007B2628" w:rsidP="003A292D">
      <w:pPr>
        <w:keepNext/>
        <w:spacing w:line="264" w:lineRule="auto"/>
        <w:ind w:firstLine="567"/>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200E87" w:rsidRPr="00511005">
        <w:rPr>
          <w:rFonts w:ascii="Arial" w:eastAsia="Times New Roman" w:hAnsi="Arial" w:cs="Arial"/>
          <w:szCs w:val="28"/>
          <w:lang w:val="uk-UA"/>
        </w:rPr>
        <w:t>екологічна безпека, війна, екологічні загрози, діти, забезпечення екологічної безпеки.</w:t>
      </w:r>
    </w:p>
    <w:p w14:paraId="6885562B" w14:textId="4DFE7C5A" w:rsidR="00200E87" w:rsidRPr="00511005" w:rsidRDefault="007B2628" w:rsidP="003A292D">
      <w:pPr>
        <w:keepNext/>
        <w:spacing w:line="264" w:lineRule="auto"/>
        <w:ind w:firstLine="567"/>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200E87" w:rsidRPr="00511005">
        <w:rPr>
          <w:rFonts w:ascii="Arial" w:eastAsia="Times New Roman" w:hAnsi="Arial" w:cs="Arial"/>
          <w:szCs w:val="28"/>
          <w:lang w:val="uk-UA"/>
        </w:rPr>
        <w:t>ecological security, war, ecological threats, children, ensuring ecological security.</w:t>
      </w:r>
    </w:p>
    <w:p w14:paraId="5E478CAE" w14:textId="27DE9E8C" w:rsidR="00200E87" w:rsidRPr="00511005" w:rsidRDefault="007B2628" w:rsidP="003A292D">
      <w:pPr>
        <w:keepNext/>
        <w:spacing w:line="264" w:lineRule="auto"/>
        <w:ind w:firstLine="567"/>
        <w:rPr>
          <w:rFonts w:ascii="Arial" w:eastAsia="Times New Roman" w:hAnsi="Arial" w:cs="Arial"/>
          <w:bCs/>
          <w:i/>
          <w:iCs/>
          <w:szCs w:val="28"/>
          <w:lang w:val="uk-UA"/>
        </w:rPr>
      </w:pPr>
      <w:r w:rsidRPr="00511005">
        <w:rPr>
          <w:rFonts w:ascii="Arial" w:eastAsia="Times New Roman" w:hAnsi="Arial" w:cs="Arial"/>
          <w:b/>
          <w:bCs/>
          <w:i/>
          <w:iCs/>
          <w:szCs w:val="28"/>
          <w:lang w:val="uk-UA"/>
        </w:rPr>
        <w:t xml:space="preserve">Науковий керівник: </w:t>
      </w:r>
      <w:r w:rsidR="00200E87" w:rsidRPr="00511005">
        <w:rPr>
          <w:rFonts w:ascii="Arial" w:eastAsia="Times New Roman" w:hAnsi="Arial" w:cs="Arial"/>
          <w:bCs/>
          <w:i/>
          <w:iCs/>
          <w:szCs w:val="28"/>
          <w:lang w:val="uk-UA"/>
        </w:rPr>
        <w:t>к.ю.н., доцент Канівець Л. А.</w:t>
      </w:r>
    </w:p>
    <w:p w14:paraId="79ECDFFA" w14:textId="77777777" w:rsidR="00200E87" w:rsidRPr="00511005" w:rsidRDefault="00200E87" w:rsidP="003A292D">
      <w:pPr>
        <w:keepNext/>
        <w:spacing w:line="264" w:lineRule="auto"/>
        <w:ind w:firstLine="540"/>
        <w:rPr>
          <w:rFonts w:ascii="Arial" w:eastAsia="Times New Roman" w:hAnsi="Arial" w:cs="Arial"/>
          <w:b/>
          <w:i/>
          <w:szCs w:val="28"/>
          <w:lang w:eastAsia="ru-RU"/>
        </w:rPr>
      </w:pPr>
    </w:p>
    <w:p w14:paraId="0F5961D3" w14:textId="77777777" w:rsidR="00200E87" w:rsidRPr="00511005" w:rsidRDefault="00200E87" w:rsidP="003A292D">
      <w:pPr>
        <w:spacing w:line="264" w:lineRule="auto"/>
        <w:ind w:firstLine="567"/>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Світенко Єлизавета Ігорівна</w:t>
      </w:r>
    </w:p>
    <w:p w14:paraId="730A939F" w14:textId="3F79137B" w:rsidR="00200E87" w:rsidRPr="00511005" w:rsidRDefault="00536AAB" w:rsidP="003A292D">
      <w:pPr>
        <w:spacing w:line="264" w:lineRule="auto"/>
        <w:ind w:firstLine="567"/>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2-го курсу </w:t>
      </w:r>
      <w:r w:rsidR="007B2628" w:rsidRPr="00511005">
        <w:rPr>
          <w:rFonts w:ascii="Arial" w:eastAsia="Times New Roman" w:hAnsi="Arial" w:cs="Arial"/>
          <w:szCs w:val="28"/>
          <w:lang w:val="uk-UA"/>
        </w:rPr>
        <w:t>факультету цивільної та господарської юстиції</w:t>
      </w:r>
      <w:r w:rsidR="00200E87" w:rsidRPr="00511005">
        <w:rPr>
          <w:rFonts w:ascii="Arial" w:eastAsia="Times New Roman" w:hAnsi="Arial" w:cs="Arial"/>
          <w:szCs w:val="28"/>
          <w:lang w:val="uk-UA"/>
        </w:rPr>
        <w:br/>
      </w:r>
      <w:r w:rsidR="007B2628" w:rsidRPr="00511005">
        <w:rPr>
          <w:rFonts w:ascii="Arial" w:eastAsia="Times New Roman" w:hAnsi="Arial" w:cs="Arial"/>
          <w:szCs w:val="28"/>
          <w:lang w:val="uk-UA"/>
        </w:rPr>
        <w:t>Національного університету «Одеська юридична академія»</w:t>
      </w:r>
    </w:p>
    <w:p w14:paraId="77CE2EE6" w14:textId="77777777" w:rsidR="00200E87" w:rsidRPr="00511005" w:rsidRDefault="00200E87" w:rsidP="003A292D">
      <w:pPr>
        <w:spacing w:line="264" w:lineRule="auto"/>
        <w:ind w:firstLine="567"/>
        <w:jc w:val="center"/>
        <w:rPr>
          <w:rFonts w:ascii="Arial" w:eastAsia="Times New Roman" w:hAnsi="Arial" w:cs="Arial"/>
          <w:szCs w:val="28"/>
          <w:lang w:val="uk-UA"/>
        </w:rPr>
      </w:pPr>
    </w:p>
    <w:p w14:paraId="3BEA1C60" w14:textId="77777777" w:rsidR="00200E87" w:rsidRPr="00511005" w:rsidRDefault="00200E87" w:rsidP="003A292D">
      <w:pPr>
        <w:spacing w:line="264" w:lineRule="auto"/>
        <w:ind w:firstLine="567"/>
        <w:jc w:val="center"/>
        <w:rPr>
          <w:rFonts w:ascii="Arial" w:eastAsia="Times New Roman" w:hAnsi="Arial" w:cs="Arial"/>
          <w:b/>
          <w:bCs/>
          <w:szCs w:val="28"/>
          <w:lang w:val="uk-UA"/>
        </w:rPr>
      </w:pPr>
      <w:r w:rsidRPr="00511005">
        <w:rPr>
          <w:rFonts w:ascii="Arial" w:eastAsia="Times New Roman" w:hAnsi="Arial" w:cs="Arial"/>
          <w:b/>
          <w:bCs/>
          <w:szCs w:val="28"/>
          <w:lang w:val="uk-UA"/>
        </w:rPr>
        <w:t>ПРОБЛЕМИ ЗЕМЕЛЬНОГО, АГРАРНОГО ТА ЕКОЛОГІЧНОГО ПРАВА</w:t>
      </w:r>
    </w:p>
    <w:p w14:paraId="1F4F5B3B" w14:textId="77777777" w:rsidR="00200E87" w:rsidRPr="00511005" w:rsidRDefault="00200E87"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Сучасні трансформаційні процеси в Україні, зумовлені як внутрішніми реформами, так і зовнішніми викликами (зокрема воєнними діями), істотно впливають на правове регулювання у сферах земельного, аграрного та екологічного права [1, с. 55]. Усі ці галузі тісно пов’язані між собою, оскільки регулюють використання природних ресурсів, виробництво продовольства та охорону довкілля, що є базовими компонентами національної безпеки держави.</w:t>
      </w:r>
    </w:p>
    <w:p w14:paraId="426B9D6E" w14:textId="77777777" w:rsidR="00200E87" w:rsidRPr="00511005" w:rsidRDefault="00200E87"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Однією з ключових проблем є забезпечення прозорості обігу земель сільськогосподарського призначення [2, с. 78]. Незважаючи на відкриття ринку землі у 2021 році, механізми захисту прав власників землі, чесної конкуренції та запобігання монополізації ще не стали ефективними інструментами в законодавстві [2, с. 79]. Другою проблемою є недосконалість державного земельного кадастру: відсутність повної інформації про землі, помилки в реєстрах та складність доступу до публічних даних [2, с. 80]. Такі недоліки перешкоджають інвесторам і громадянам реалізувати своє право на землю в повному обсязі [2, с. 81]. Особливо загострюються ці питання під час воєнного стану, коли значна частина територій зазнає окупації чи активних бойових дій, що унеможливлює реалізацію нормального обігу земель та порушує принцип єдності території України [1, с. 58].</w:t>
      </w:r>
    </w:p>
    <w:p w14:paraId="35836B3D" w14:textId="77777777" w:rsidR="00200E87" w:rsidRPr="00511005" w:rsidRDefault="00200E87"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Українське аграрне право стикається з численними викликами, серед яких головне місце займає правова неврегульованість відносин у сфері аграрного бізнесу. Аграрні холдинги мають вагому роль у виробництві та експорті сільгосппродукції, проте їхня діяльність часто виходить за межі правового регулювання, зокрема в питаннях соціальної відповідальності, захисту прав працівників та дотримання екологічних стандартів. Також на сьогодні актуальним є правовий статус фермерських господарств, які не мають достатньої підтримки з боку держави. Незважаючи на наявність програми дотацій, їхня реалізація є неефективною через бюрократичні </w:t>
      </w:r>
      <w:r w:rsidRPr="00511005">
        <w:rPr>
          <w:rFonts w:ascii="Arial" w:eastAsia="Times New Roman" w:hAnsi="Arial" w:cs="Arial"/>
          <w:szCs w:val="28"/>
          <w:lang w:val="uk-UA" w:eastAsia="uk-UA"/>
        </w:rPr>
        <w:lastRenderedPageBreak/>
        <w:t>процедури, корупцію та відсутність правових гарантій стабільності аграрної політики. Науковці наголошують на необхідності кодифікації аграрного законодавства, оскільки нинішнє правове поле складається з фрагментарних актів, які часто суперечать один одному, що ускладнює їхнє практичне застосування.</w:t>
      </w:r>
    </w:p>
    <w:p w14:paraId="0DB5DAAE" w14:textId="77777777" w:rsidR="00200E87" w:rsidRPr="00511005" w:rsidRDefault="00200E87"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Стан довкілля в умовах війни різко погіршився. Зафіксовані тисячі випадків екологічних злочинів – знищення лісів, забруднення ґрунтів, підрив дамб, пошкодження промислових об'єктів. Проте українське законодавство не містить достатніх механізмів притягнення до відповідальності за екоциди, особливо в контексті збройного конфлікту. Відсутність чіткого механізму оцінки збитків довкіллю та компенсації шкоди створює правовий вакуум. Це унеможливлює як притягнення винних до відповідальності, так і розробку ефективних стратегій з відновлення екосистем. Нагальною є потреба створення інституцій екологічного правосуддя, які матимуть відповідні повноваження в умовах воєнного стану. Крім того, необхідно переглянути екологічні стандарти щодо діяльності військових об'єктів, транспорту, логістики, що можуть бути потенційними джерелами забруднення.</w:t>
      </w:r>
    </w:p>
    <w:p w14:paraId="1492FEAF" w14:textId="77777777" w:rsidR="00200E87" w:rsidRPr="00511005" w:rsidRDefault="00200E87"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Виходячи з тісного взаємозв’язку цих та інших складних проблем сучасних галузей земельного, аграрного та екологічного права, можна підсумувати, що вирішення цих питань та удосконалення законодавства лежить у площині комплексного та системного їх опрацювання. Зокрема, можна висунути такі пропозиції щодо вдосконалення законодавства: прийняття Земельного кодексу нового покоління, який враховуватиме потреби оборони, екології та ринку; проведення інвентаризації земель, зокрема тих, що тимчасово окуповані або забруднені, із занесенням до єдиного кадастру; уніфікація аграрного законодавства на базі спеціалізованого кодексу або єдиного законодавчого акту; посилення відповідальності за екологічні правопорушення, зокрема екоцид, із включенням відповідних норм до Кримінального кодексу України; встановлення механізмів міжнародно-правової відповідальності за екологічну шкоду в умовах війни; створення фахових органів екологічного нагляду та судового захисту довкілля з відповідними повноваженнями навіть у період воєнного стану.</w:t>
      </w:r>
    </w:p>
    <w:p w14:paraId="66413F43" w14:textId="77777777" w:rsidR="00200E87" w:rsidRPr="00511005" w:rsidRDefault="00200E87"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szCs w:val="28"/>
          <w:lang w:val="uk-UA" w:eastAsia="uk-UA"/>
        </w:rPr>
        <w:t>Проблеми земельного, аграрного та екологічного права мають системний характер і потребують комплексного вирішення на законодавчому рівні [1, с. 59]. В умовах воєнного стану ці питання набувають особливої ваги, адже стосуються не лише правової стабільності, але й національної безпеки, екологічної рівноваги та сталого розвитку. Саме тому наукові рекомендації, міждисциплінарний підхід і врахування міжнародних стандартів повинні стати базою для нової парадигми правового регулювання у цих галузях.</w:t>
      </w:r>
    </w:p>
    <w:p w14:paraId="7024D650" w14:textId="77777777" w:rsidR="00200E87" w:rsidRPr="00511005" w:rsidRDefault="00200E87" w:rsidP="003A292D">
      <w:pPr>
        <w:spacing w:line="264" w:lineRule="auto"/>
        <w:ind w:firstLine="567"/>
        <w:rPr>
          <w:rFonts w:ascii="Arial" w:eastAsia="Times New Roman" w:hAnsi="Arial" w:cs="Arial"/>
          <w:szCs w:val="28"/>
          <w:lang w:val="uk-UA" w:eastAsia="uk-UA"/>
        </w:rPr>
      </w:pPr>
    </w:p>
    <w:p w14:paraId="503EA742" w14:textId="782534BC" w:rsidR="00200E87" w:rsidRPr="00511005" w:rsidRDefault="007B2628" w:rsidP="007B2628">
      <w:pPr>
        <w:spacing w:line="264" w:lineRule="auto"/>
        <w:ind w:firstLine="567"/>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lastRenderedPageBreak/>
        <w:t>Список використаних джерел</w:t>
      </w:r>
    </w:p>
    <w:p w14:paraId="0EA373E9" w14:textId="77777777" w:rsidR="00200E87" w:rsidRPr="00511005" w:rsidRDefault="00200E87" w:rsidP="003F6A5D">
      <w:pPr>
        <w:numPr>
          <w:ilvl w:val="0"/>
          <w:numId w:val="483"/>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Носік В.В. Методологічні основи аграрного, земельного, природоресурсного та екологічного права України. — Київ: Київський національний університет імені Тараса Шевченка, 2024.</w:t>
      </w:r>
    </w:p>
    <w:p w14:paraId="2FA25875" w14:textId="77777777" w:rsidR="00200E87" w:rsidRPr="00511005" w:rsidRDefault="00200E87" w:rsidP="003F6A5D">
      <w:pPr>
        <w:numPr>
          <w:ilvl w:val="0"/>
          <w:numId w:val="483"/>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Багай Н.О. Розвиток науки аграрного права України. Автореферат дисертації на здобуття наукового ступеня кандидата юридичних наук. — Київ, 2002.</w:t>
      </w:r>
    </w:p>
    <w:p w14:paraId="02285DCB" w14:textId="77777777" w:rsidR="00200E87" w:rsidRPr="00511005" w:rsidRDefault="00200E87" w:rsidP="003A292D">
      <w:pPr>
        <w:spacing w:line="264" w:lineRule="auto"/>
        <w:ind w:firstLine="567"/>
        <w:rPr>
          <w:rFonts w:ascii="Arial" w:eastAsia="Times New Roman" w:hAnsi="Arial" w:cs="Arial"/>
          <w:b/>
          <w:bCs/>
          <w:szCs w:val="28"/>
          <w:lang w:val="uk-UA" w:eastAsia="uk-UA"/>
        </w:rPr>
      </w:pPr>
    </w:p>
    <w:p w14:paraId="61A2EDB1" w14:textId="7C4ECFE1" w:rsidR="00200E87" w:rsidRPr="00511005" w:rsidRDefault="007B2628"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200E87" w:rsidRPr="00511005">
        <w:rPr>
          <w:rFonts w:ascii="Arial" w:eastAsia="Times New Roman" w:hAnsi="Arial" w:cs="Arial"/>
          <w:szCs w:val="28"/>
          <w:lang w:val="uk-UA" w:eastAsia="uk-UA"/>
        </w:rPr>
        <w:t>земельне право, аграрне право, екологічне право, воєнний стан, правове регулювання, природні ресурси, охорона довкілля, екологічні стандарти, правова відповідальність, національна безпека, сталий розвиток.</w:t>
      </w:r>
    </w:p>
    <w:p w14:paraId="42857AF1" w14:textId="5395320A" w:rsidR="00200E87" w:rsidRPr="00511005" w:rsidRDefault="007B2628" w:rsidP="003A292D">
      <w:pPr>
        <w:spacing w:line="264" w:lineRule="auto"/>
        <w:ind w:firstLine="567"/>
        <w:rPr>
          <w:rFonts w:ascii="Arial" w:eastAsia="Times New Roman" w:hAnsi="Arial" w:cs="Arial"/>
          <w:szCs w:val="28"/>
          <w:lang w:val="en-US" w:eastAsia="uk-UA"/>
        </w:rPr>
      </w:pPr>
      <w:r w:rsidRPr="00511005">
        <w:rPr>
          <w:rFonts w:ascii="Arial" w:eastAsia="Times New Roman" w:hAnsi="Arial" w:cs="Arial"/>
          <w:b/>
          <w:bCs/>
          <w:i/>
          <w:szCs w:val="28"/>
          <w:lang w:val="en-US" w:eastAsia="uk-UA"/>
        </w:rPr>
        <w:t xml:space="preserve">Key words: </w:t>
      </w:r>
      <w:r w:rsidR="00200E87" w:rsidRPr="00511005">
        <w:rPr>
          <w:rFonts w:ascii="Arial" w:eastAsia="Times New Roman" w:hAnsi="Arial" w:cs="Arial"/>
          <w:szCs w:val="28"/>
          <w:lang w:val="en-US" w:eastAsia="uk-UA"/>
        </w:rPr>
        <w:t>land law, agricultural law, environmental law, martial law, legal regulation, natural resources, environmental protection, environmental standards, legal responsibility, national security, sustainable development.</w:t>
      </w:r>
    </w:p>
    <w:p w14:paraId="15CA3FA7" w14:textId="05A49EDA" w:rsidR="00200E87" w:rsidRPr="00511005" w:rsidRDefault="007B2628" w:rsidP="003A292D">
      <w:pPr>
        <w:spacing w:line="264" w:lineRule="auto"/>
        <w:ind w:firstLine="567"/>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200E87" w:rsidRPr="00511005">
        <w:rPr>
          <w:rFonts w:ascii="Arial" w:eastAsia="Times New Roman" w:hAnsi="Arial" w:cs="Arial"/>
          <w:i/>
          <w:iCs/>
          <w:szCs w:val="28"/>
          <w:lang w:val="uk-UA" w:eastAsia="uk-UA"/>
        </w:rPr>
        <w:t>д.ю.н., професор Григор’єва Х. А.</w:t>
      </w:r>
    </w:p>
    <w:p w14:paraId="0AF8A3D1" w14:textId="77777777" w:rsidR="00200E87" w:rsidRPr="00511005" w:rsidRDefault="00200E87" w:rsidP="003A292D">
      <w:pPr>
        <w:keepNext/>
        <w:spacing w:line="264" w:lineRule="auto"/>
        <w:ind w:firstLine="540"/>
        <w:rPr>
          <w:rFonts w:ascii="Arial" w:eastAsia="Times New Roman" w:hAnsi="Arial" w:cs="Arial"/>
          <w:b/>
          <w:i/>
          <w:szCs w:val="28"/>
          <w:lang w:val="uk-UA" w:eastAsia="ru-RU"/>
        </w:rPr>
      </w:pPr>
    </w:p>
    <w:p w14:paraId="7FB13A9A" w14:textId="77777777" w:rsidR="00200E87" w:rsidRPr="00511005" w:rsidRDefault="00200E87" w:rsidP="003A292D">
      <w:pPr>
        <w:spacing w:line="264" w:lineRule="auto"/>
        <w:ind w:firstLine="0"/>
        <w:jc w:val="center"/>
        <w:rPr>
          <w:rFonts w:ascii="Arial" w:eastAsia="Times New Roman" w:hAnsi="Arial" w:cs="Arial"/>
          <w:b/>
          <w:bCs/>
          <w:i/>
          <w:szCs w:val="28"/>
          <w:lang w:val="uk-UA"/>
        </w:rPr>
      </w:pPr>
      <w:r w:rsidRPr="00511005">
        <w:rPr>
          <w:rFonts w:ascii="Arial" w:eastAsia="Times New Roman" w:hAnsi="Arial" w:cs="Arial"/>
          <w:b/>
          <w:bCs/>
          <w:i/>
          <w:szCs w:val="28"/>
          <w:lang w:val="uk-UA"/>
        </w:rPr>
        <w:t>Тітієвський Віталій Олегович</w:t>
      </w:r>
    </w:p>
    <w:p w14:paraId="4D221031" w14:textId="3A9FD531" w:rsidR="00200E87" w:rsidRPr="00511005" w:rsidRDefault="00536AAB" w:rsidP="003A292D">
      <w:pPr>
        <w:spacing w:line="264" w:lineRule="auto"/>
        <w:ind w:firstLine="0"/>
        <w:jc w:val="center"/>
        <w:rPr>
          <w:rFonts w:ascii="Arial" w:eastAsia="Times New Roman" w:hAnsi="Arial" w:cs="Arial"/>
          <w:iCs/>
          <w:szCs w:val="28"/>
          <w:lang w:val="uk-UA"/>
        </w:rPr>
      </w:pPr>
      <w:r w:rsidRPr="00511005">
        <w:rPr>
          <w:rFonts w:ascii="Arial" w:eastAsia="Times New Roman" w:hAnsi="Arial" w:cs="Arial"/>
          <w:iCs/>
          <w:szCs w:val="28"/>
          <w:lang w:val="uk-UA"/>
        </w:rPr>
        <w:t>студент 1-го курсу магістратури</w:t>
      </w:r>
      <w:r w:rsidR="00200E87" w:rsidRPr="00511005">
        <w:rPr>
          <w:rFonts w:ascii="Arial" w:eastAsia="Times New Roman" w:hAnsi="Arial" w:cs="Arial"/>
          <w:iCs/>
          <w:szCs w:val="28"/>
          <w:lang w:val="uk-UA"/>
        </w:rPr>
        <w:t xml:space="preserve"> </w:t>
      </w:r>
    </w:p>
    <w:p w14:paraId="2ED41785" w14:textId="1C5542A9" w:rsidR="00200E87" w:rsidRPr="00511005" w:rsidRDefault="00536AAB" w:rsidP="003A292D">
      <w:pPr>
        <w:spacing w:line="264" w:lineRule="auto"/>
        <w:ind w:firstLine="0"/>
        <w:jc w:val="center"/>
        <w:rPr>
          <w:rFonts w:ascii="Arial" w:eastAsia="Times New Roman" w:hAnsi="Arial" w:cs="Arial"/>
          <w:iCs/>
          <w:szCs w:val="28"/>
          <w:lang w:val="uk-UA"/>
        </w:rPr>
      </w:pPr>
      <w:r w:rsidRPr="00511005">
        <w:rPr>
          <w:rFonts w:ascii="Arial" w:eastAsia="Times New Roman" w:hAnsi="Arial" w:cs="Arial"/>
          <w:iCs/>
          <w:szCs w:val="28"/>
          <w:lang w:val="uk-UA"/>
        </w:rPr>
        <w:t>факультету адвокатури та антикорупційної діяльності</w:t>
      </w:r>
      <w:r w:rsidR="00200E87" w:rsidRPr="00511005">
        <w:rPr>
          <w:rFonts w:ascii="Arial" w:eastAsia="Times New Roman" w:hAnsi="Arial" w:cs="Arial"/>
          <w:iCs/>
          <w:szCs w:val="28"/>
          <w:lang w:val="uk-UA"/>
        </w:rPr>
        <w:t xml:space="preserve"> </w:t>
      </w:r>
    </w:p>
    <w:p w14:paraId="19971C7D" w14:textId="1D8313E4" w:rsidR="00200E87" w:rsidRPr="00511005" w:rsidRDefault="007B2628" w:rsidP="003A292D">
      <w:pPr>
        <w:spacing w:line="264" w:lineRule="auto"/>
        <w:ind w:firstLine="0"/>
        <w:jc w:val="center"/>
        <w:rPr>
          <w:rFonts w:ascii="Arial" w:eastAsia="Times New Roman" w:hAnsi="Arial" w:cs="Arial"/>
          <w:iCs/>
          <w:szCs w:val="28"/>
          <w:lang w:val="uk-UA"/>
        </w:rPr>
      </w:pPr>
      <w:r w:rsidRPr="00511005">
        <w:rPr>
          <w:rFonts w:ascii="Arial" w:eastAsia="Times New Roman" w:hAnsi="Arial" w:cs="Arial"/>
          <w:iCs/>
          <w:szCs w:val="28"/>
          <w:lang w:val="uk-UA"/>
        </w:rPr>
        <w:t>Національного університету «Одеська юридична академія»</w:t>
      </w:r>
    </w:p>
    <w:p w14:paraId="552CB2B6" w14:textId="77777777" w:rsidR="00200E87" w:rsidRPr="00511005" w:rsidRDefault="00200E87" w:rsidP="003A292D">
      <w:pPr>
        <w:spacing w:line="264" w:lineRule="auto"/>
        <w:ind w:firstLine="0"/>
        <w:jc w:val="center"/>
        <w:rPr>
          <w:rFonts w:ascii="Arial" w:eastAsia="Times New Roman" w:hAnsi="Arial" w:cs="Arial"/>
          <w:i/>
          <w:iCs/>
          <w:szCs w:val="28"/>
          <w:lang w:val="uk-UA"/>
        </w:rPr>
      </w:pPr>
    </w:p>
    <w:p w14:paraId="2ED0DF03" w14:textId="77777777" w:rsidR="00200E87" w:rsidRPr="00511005" w:rsidRDefault="00200E87"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СУЧАСНІ НАПРЯМИ УДОСКОНАЛЕННЯ ІНФОРМАЦІЙНИХ ТЕХНОЛОГІЙ: ВПЛИВ НА ДОВКІЛЛЯ</w:t>
      </w:r>
    </w:p>
    <w:p w14:paraId="1E084956" w14:textId="77777777" w:rsidR="00200E87" w:rsidRPr="00511005" w:rsidRDefault="00200E87" w:rsidP="003A292D">
      <w:pPr>
        <w:spacing w:line="264" w:lineRule="auto"/>
        <w:ind w:firstLine="540"/>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сучасному світі інформаційні технології стали невід’ємною частиною функціонування держав, підприємств, установ та повсякденного життя громадян. Високий рівень цифровізації забезпечує зростання ефективності управлінських, економічних і соціальних процесів. Проте, водночас, із розвитком інформаційного суспільства відбувається і зростання ризиків, пов’язаних з порушенням конфіденційності, цілісності та доступності інформації. Кіберзагрози стали невід’ємним елементом сучасної глобалізованої реальності, а забезпечення кіберзахисту — пріоритетом на рівні національної безпеки, стратегій підприємств і захисту прав громадян.</w:t>
      </w:r>
    </w:p>
    <w:p w14:paraId="3EF23A84" w14:textId="77777777" w:rsidR="00200E87" w:rsidRPr="00511005" w:rsidRDefault="00200E87" w:rsidP="003A292D">
      <w:pPr>
        <w:spacing w:line="264" w:lineRule="auto"/>
        <w:ind w:firstLine="54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Актуальність дослідження напрямів кіберзахисту зумовлена не лише збільшенням кількості кібератак, а й ускладненням їхньої природи. В умовах розвитку Інтернету речей, штучного інтелекту, хмарних обчислень, дистанційної роботи та цифрової трансформації бізнесу зростає потреба в нових методах захисту інформації. Більшість традиційних засобів безпеки вже не забезпечують належного рівня протидії новітнім атакам [1]. У цьому контексті важливо враховувати не лише технічні, а й соціальні та екологічні чинники, зокрема вплив масової цифровізації на споживання енергії та екологічний слід інформаційної інфраструктури. Розвиток </w:t>
      </w:r>
      <w:r w:rsidRPr="00511005">
        <w:rPr>
          <w:rFonts w:ascii="Arial" w:eastAsia="Times New Roman" w:hAnsi="Arial" w:cs="Arial"/>
          <w:szCs w:val="28"/>
          <w:lang w:val="uk-UA" w:eastAsia="ru-RU"/>
        </w:rPr>
        <w:lastRenderedPageBreak/>
        <w:t>енергоефективних систем захисту сприяє зменшенню негативного впливу на довкілля та сталому розвитку цифрової екосистеми. Саме тому ключовим завданням сучасної ІТ-сфери є пошук, впровадження та постійне оновлення інноваційних технологій у сфері кіберзахисту.</w:t>
      </w:r>
    </w:p>
    <w:p w14:paraId="6DBB9E5C" w14:textId="77777777" w:rsidR="00200E87" w:rsidRPr="00511005" w:rsidRDefault="00200E87" w:rsidP="003A292D">
      <w:pPr>
        <w:spacing w:line="264" w:lineRule="auto"/>
        <w:ind w:firstLine="540"/>
        <w:rPr>
          <w:rFonts w:ascii="Arial" w:eastAsia="Times New Roman" w:hAnsi="Arial" w:cs="Arial"/>
          <w:szCs w:val="28"/>
          <w:lang w:val="uk-UA" w:eastAsia="ru-RU"/>
        </w:rPr>
      </w:pPr>
      <w:r w:rsidRPr="00511005">
        <w:rPr>
          <w:rFonts w:ascii="Arial" w:eastAsia="Times New Roman" w:hAnsi="Arial" w:cs="Arial"/>
          <w:szCs w:val="28"/>
          <w:lang w:val="uk-UA" w:eastAsia="ru-RU"/>
        </w:rPr>
        <w:t>Найбільша складність полягає в тому, що більшість інформаційних систем, які використовуються в державному управлінні, бізнесі та освітньому секторі, були створені без урахування сучасного рівня кіберзагроз. Архітектура таких систем застаріла, а підходи до захисту обмежуються базовими заходами - антивірусним програмним забезпеченням, міжмережевими екранами та ручним адмініструванням. Ці засоби, хоча й важливі, не забезпечують комплексного проактивного захисту, особливо в умовах поширення складних атак типу APT (Advanced Persistent Threats), атак на ланцюг постачання, а також соціальної інженерії.</w:t>
      </w:r>
    </w:p>
    <w:p w14:paraId="51B72968" w14:textId="77777777" w:rsidR="00200E87" w:rsidRPr="00511005" w:rsidRDefault="00200E87" w:rsidP="003A292D">
      <w:pPr>
        <w:spacing w:line="264" w:lineRule="auto"/>
        <w:ind w:firstLine="540"/>
        <w:rPr>
          <w:rFonts w:ascii="Arial" w:eastAsia="Times New Roman" w:hAnsi="Arial" w:cs="Arial"/>
          <w:szCs w:val="28"/>
          <w:lang w:val="uk-UA" w:eastAsia="ru-RU"/>
        </w:rPr>
      </w:pPr>
      <w:r w:rsidRPr="00511005">
        <w:rPr>
          <w:rFonts w:ascii="Arial" w:eastAsia="Times New Roman" w:hAnsi="Arial" w:cs="Arial"/>
          <w:szCs w:val="28"/>
          <w:lang w:val="uk-UA" w:eastAsia="ru-RU"/>
        </w:rPr>
        <w:t>Значною проблемою є також людський чинник. Недостатня кіберграмотність користувачів, нехтування правилами кібергігієни, використання слабких паролів та відкриття фішингових листів призводять до успішних проникнень навіть у добре захищені системи [2]. Часто працівники не проходять регулярне навчання з питань інформаційної безпеки, а служби безпеки підприємств мають обмежені ресурси для аналізу та реагування на інциденти в режимі реального часу. Проблемним залишається і питання недостатньої інтеграції безпеки на етапах розробки програмного забезпечення, що призводить до появи критичних вразливостей ще до впровадження систем в експлуатацію.</w:t>
      </w:r>
    </w:p>
    <w:p w14:paraId="7ABC4987" w14:textId="77777777" w:rsidR="00200E87" w:rsidRPr="00511005" w:rsidRDefault="00200E87" w:rsidP="003A292D">
      <w:pPr>
        <w:spacing w:line="264" w:lineRule="auto"/>
        <w:ind w:firstLine="540"/>
        <w:rPr>
          <w:rFonts w:ascii="Arial" w:eastAsia="Times New Roman" w:hAnsi="Arial" w:cs="Arial"/>
          <w:szCs w:val="28"/>
          <w:lang w:val="uk-UA" w:eastAsia="ru-RU"/>
        </w:rPr>
      </w:pPr>
      <w:r w:rsidRPr="00511005">
        <w:rPr>
          <w:rFonts w:ascii="Arial" w:eastAsia="Times New Roman" w:hAnsi="Arial" w:cs="Arial"/>
          <w:szCs w:val="28"/>
          <w:lang w:val="uk-UA" w:eastAsia="ru-RU"/>
        </w:rPr>
        <w:t>У додаток до цього, поява новітніх технологій, таких як квантові обчислення, створює додаткові виклики. Квантові комп’ютери потенційно здатні розшифрувати більшість сучасних криптографічних алгоритмів, що ставить під загрозу всю систему шифрування, яка нині використовується для захисту передавання даних, електронних платежів та електронного документообігу [3].</w:t>
      </w:r>
    </w:p>
    <w:p w14:paraId="245DBC93" w14:textId="77777777" w:rsidR="00200E87" w:rsidRPr="00511005" w:rsidRDefault="00200E87" w:rsidP="003A292D">
      <w:pPr>
        <w:spacing w:line="264" w:lineRule="auto"/>
        <w:ind w:firstLine="540"/>
        <w:rPr>
          <w:rFonts w:ascii="Arial" w:eastAsia="Times New Roman" w:hAnsi="Arial" w:cs="Arial"/>
          <w:szCs w:val="28"/>
          <w:lang w:val="uk-UA" w:eastAsia="ru-RU"/>
        </w:rPr>
      </w:pPr>
      <w:r w:rsidRPr="00511005">
        <w:rPr>
          <w:rFonts w:ascii="Arial" w:eastAsia="Times New Roman" w:hAnsi="Arial" w:cs="Arial"/>
          <w:szCs w:val="28"/>
          <w:lang w:val="uk-UA" w:eastAsia="ru-RU"/>
        </w:rPr>
        <w:t>Подолання окреслених проблем потребує впровадження комплексного підходу, що поєднує сучасні технології, методи організаційного управління та постійну підготовку персоналу. Одним із найперспективніших напрямів є використання систем штучного інтелекту та машинного навчання для виявлення аномалій у мережевому трафіку. Такі системи здатні адаптуватися до нових форм атак, реагувати на зміну поведінки користувачів та автоматично блокувати підозрілу активність. Завдяки цьому значно підвищується оперативність реагування та зменшується навантаження на фахівців з безпеки.</w:t>
      </w:r>
    </w:p>
    <w:p w14:paraId="3B18290C" w14:textId="77777777" w:rsidR="00200E87" w:rsidRPr="00511005" w:rsidRDefault="00200E87" w:rsidP="003A292D">
      <w:pPr>
        <w:spacing w:line="264" w:lineRule="auto"/>
        <w:ind w:firstLine="54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Ще одним важливим інструментом сучасного кіберзахисту є модель ZeroTrust, яка базується на відмові від довіри до будь-якого користувача чи пристрою, навіть якщо вони знаходяться всередині корпоративної мережі. Ця модель передбачає постійну перевірку ідентичності та прав доступу, </w:t>
      </w:r>
      <w:r w:rsidRPr="00511005">
        <w:rPr>
          <w:rFonts w:ascii="Arial" w:eastAsia="Times New Roman" w:hAnsi="Arial" w:cs="Arial"/>
          <w:szCs w:val="28"/>
          <w:lang w:val="uk-UA" w:eastAsia="ru-RU"/>
        </w:rPr>
        <w:lastRenderedPageBreak/>
        <w:t>сегментацію мережі, обмеження доступу до ресурсів за принципом мінімально необхідного рівня. Впровадження архітектури ZeroTrust дозволяє значно зменшити ризик поширення шкідливого програмного забезпечення та внутрішніх порушень безпеки [4].</w:t>
      </w:r>
    </w:p>
    <w:p w14:paraId="28EB7C70" w14:textId="77777777" w:rsidR="00200E87" w:rsidRPr="00511005" w:rsidRDefault="00200E87" w:rsidP="003A292D">
      <w:pPr>
        <w:spacing w:line="264" w:lineRule="auto"/>
        <w:ind w:firstLine="540"/>
        <w:rPr>
          <w:rFonts w:ascii="Arial" w:eastAsia="Times New Roman" w:hAnsi="Arial" w:cs="Arial"/>
          <w:szCs w:val="28"/>
          <w:lang w:val="uk-UA" w:eastAsia="ru-RU"/>
        </w:rPr>
      </w:pPr>
      <w:r w:rsidRPr="00511005">
        <w:rPr>
          <w:rFonts w:ascii="Arial" w:eastAsia="Times New Roman" w:hAnsi="Arial" w:cs="Arial"/>
          <w:szCs w:val="28"/>
          <w:lang w:val="uk-UA" w:eastAsia="ru-RU"/>
        </w:rPr>
        <w:t>Особливої уваги потребує й розвиток квантово-стійких алгоритмів шифрування, які не вразливі до квантових атак. Хоча ці технології ще не є масово впровадженими, вже сьогодні ведуться активні міжнародні дослідження, що мають на меті розробку стандартів квантово-стійкої криптографії. Іншим важливим напрямом є інтеграція принципів DevSecOps у процеси розробки програмного забезпечення. Це дозволяє враховувати вимоги безпеки з перших етапів життєвого циклу продукту та створювати більш стійкі системи.</w:t>
      </w:r>
    </w:p>
    <w:p w14:paraId="6D11AEAD" w14:textId="77777777" w:rsidR="00200E87" w:rsidRPr="00511005" w:rsidRDefault="00200E87" w:rsidP="003A292D">
      <w:pPr>
        <w:spacing w:line="264" w:lineRule="auto"/>
        <w:ind w:firstLine="54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Не менш важливими є організаційні заходи: впровадження регулярного навчання персоналу з питань інформаційної безпеки, тестування захищеності систем за допомогою симуляцій (наприклад, тестів на проникнення), розвиток внутрішніх політик безпеки, адаптованих до нових викликів. Також слід зазначити, що удосконалення інформаційних технологій неможливе без постійного моніторингу стану систем, автоматизації звітності про інциденти та використання централізованих платформ для управління подіями безпеки (SIEM-систем). </w:t>
      </w:r>
      <w:r w:rsidRPr="00511005">
        <w:rPr>
          <w:rFonts w:ascii="Arial" w:eastAsia="Times New Roman" w:hAnsi="Arial" w:cs="Arial"/>
          <w:szCs w:val="28"/>
          <w:lang w:val="uk-UA"/>
        </w:rPr>
        <w:t>Важливо, щоб цифрова трансформація супроводжувалась екологічно відповідальними практиками, зокрема оптимізацією споживання ресурсів дата-центрами, впровадженням принципів "зеленої" ІТ та екологічного інформування користувачів щодо впливу цифрових технологій на навколишнє середовище.</w:t>
      </w:r>
    </w:p>
    <w:p w14:paraId="5A670274" w14:textId="77777777" w:rsidR="00200E87" w:rsidRPr="00511005" w:rsidRDefault="00200E87" w:rsidP="003A292D">
      <w:pPr>
        <w:spacing w:line="264" w:lineRule="auto"/>
        <w:ind w:firstLine="540"/>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забезпечення ефективного кіберзахисту в умовах сучасного інформаційного середовища є багатовекторним процесом, що охоплює як технічні, так і організаційні рішення. Його реалізація потребує системного мислення, ресурсної підтримки та постійного оновлення знань на всіх рівнях - від державної політики до корпоративного управління та індивідуальної відповідальності користувачів.</w:t>
      </w:r>
    </w:p>
    <w:p w14:paraId="3CD613A7" w14:textId="13A20065" w:rsidR="00200E87" w:rsidRPr="00511005" w:rsidRDefault="00200E87" w:rsidP="003A292D">
      <w:pPr>
        <w:spacing w:line="264" w:lineRule="auto"/>
        <w:ind w:firstLine="540"/>
        <w:rPr>
          <w:rFonts w:ascii="Arial" w:eastAsia="Times New Roman" w:hAnsi="Arial" w:cs="Arial"/>
          <w:szCs w:val="28"/>
          <w:lang w:val="uk-UA"/>
        </w:rPr>
      </w:pPr>
    </w:p>
    <w:p w14:paraId="48F5D14C" w14:textId="2E480F79" w:rsidR="001045DE" w:rsidRPr="00511005" w:rsidRDefault="007B2628" w:rsidP="007B2628">
      <w:pPr>
        <w:spacing w:line="264" w:lineRule="auto"/>
        <w:ind w:firstLine="540"/>
        <w:jc w:val="center"/>
        <w:rPr>
          <w:rFonts w:ascii="Arial" w:eastAsia="Times New Roman" w:hAnsi="Arial" w:cs="Arial"/>
          <w:b/>
          <w:bCs/>
          <w:kern w:val="32"/>
          <w:szCs w:val="28"/>
          <w:lang w:val="uk-UA"/>
        </w:rPr>
      </w:pPr>
      <w:r w:rsidRPr="00511005">
        <w:rPr>
          <w:rFonts w:ascii="Arial" w:eastAsia="Times New Roman" w:hAnsi="Arial" w:cs="Arial"/>
          <w:b/>
          <w:bCs/>
          <w:kern w:val="32"/>
          <w:szCs w:val="28"/>
          <w:lang w:val="uk-UA"/>
        </w:rPr>
        <w:t>Список використаних джерел</w:t>
      </w:r>
    </w:p>
    <w:p w14:paraId="43231E72" w14:textId="3C3E4702" w:rsidR="001045DE" w:rsidRPr="00511005" w:rsidRDefault="001045DE" w:rsidP="001045DE">
      <w:pPr>
        <w:spacing w:line="264" w:lineRule="auto"/>
        <w:ind w:firstLine="540"/>
        <w:rPr>
          <w:rFonts w:ascii="Arial" w:eastAsia="Times New Roman" w:hAnsi="Arial" w:cs="Arial"/>
          <w:bCs/>
          <w:kern w:val="32"/>
          <w:szCs w:val="28"/>
          <w:lang w:val="uk-UA"/>
        </w:rPr>
      </w:pPr>
      <w:r w:rsidRPr="00511005">
        <w:rPr>
          <w:rFonts w:ascii="Arial" w:eastAsia="Times New Roman" w:hAnsi="Arial" w:cs="Arial"/>
          <w:bCs/>
          <w:kern w:val="32"/>
          <w:szCs w:val="28"/>
          <w:lang w:val="uk-UA"/>
        </w:rPr>
        <w:t xml:space="preserve">1. Traditional Security Tools Fail Against Modern-Day Threats. URL: </w:t>
      </w:r>
      <w:r w:rsidR="005938AD">
        <w:fldChar w:fldCharType="begin"/>
      </w:r>
      <w:r w:rsidR="005938AD" w:rsidRPr="00055389">
        <w:rPr>
          <w:lang w:val="en-US"/>
        </w:rPr>
        <w:instrText xml:space="preserve"> HYPERLINK "https://www.infosecurity-magazine.com/blogs/traditional-security-tools-fail/" </w:instrText>
      </w:r>
      <w:r w:rsidR="005938AD">
        <w:fldChar w:fldCharType="separate"/>
      </w:r>
      <w:r w:rsidRPr="00511005">
        <w:rPr>
          <w:rFonts w:ascii="Arial" w:eastAsia="Times New Roman" w:hAnsi="Arial" w:cs="Arial"/>
          <w:bCs/>
          <w:kern w:val="32"/>
          <w:szCs w:val="28"/>
          <w:lang w:val="uk-UA"/>
        </w:rPr>
        <w:t>https://www.infosecurity-magazine.com/blogs/traditional-security-tools-fail/</w:t>
      </w:r>
      <w:r w:rsidR="005938AD">
        <w:rPr>
          <w:rFonts w:ascii="Arial" w:eastAsia="Times New Roman" w:hAnsi="Arial" w:cs="Arial"/>
          <w:bCs/>
          <w:kern w:val="32"/>
          <w:szCs w:val="28"/>
          <w:lang w:val="uk-UA"/>
        </w:rPr>
        <w:fldChar w:fldCharType="end"/>
      </w:r>
      <w:r w:rsidRPr="00511005">
        <w:rPr>
          <w:rFonts w:ascii="Arial" w:eastAsia="Times New Roman" w:hAnsi="Arial" w:cs="Arial"/>
          <w:bCs/>
          <w:kern w:val="32"/>
          <w:szCs w:val="28"/>
          <w:lang w:val="uk-UA"/>
        </w:rPr>
        <w:t>.</w:t>
      </w:r>
    </w:p>
    <w:p w14:paraId="3C36E86D" w14:textId="263CAA73" w:rsidR="001045DE" w:rsidRPr="00511005" w:rsidRDefault="001045DE" w:rsidP="001045DE">
      <w:pPr>
        <w:spacing w:line="264" w:lineRule="auto"/>
        <w:ind w:firstLine="540"/>
        <w:rPr>
          <w:rFonts w:ascii="Arial" w:eastAsia="Times New Roman" w:hAnsi="Arial" w:cs="Arial"/>
          <w:bCs/>
          <w:kern w:val="32"/>
          <w:szCs w:val="28"/>
          <w:lang w:val="uk-UA"/>
        </w:rPr>
      </w:pPr>
      <w:r w:rsidRPr="00511005">
        <w:rPr>
          <w:rFonts w:ascii="Arial" w:eastAsia="Times New Roman" w:hAnsi="Arial" w:cs="Arial"/>
          <w:bCs/>
          <w:kern w:val="32"/>
          <w:szCs w:val="28"/>
          <w:lang w:val="uk-UA"/>
        </w:rPr>
        <w:t xml:space="preserve">2. 91% of all cyber attacks begin with a phishing email to an unexpected victim. URL: </w:t>
      </w:r>
      <w:r w:rsidR="005938AD">
        <w:fldChar w:fldCharType="begin"/>
      </w:r>
      <w:r w:rsidR="005938AD" w:rsidRPr="00055389">
        <w:rPr>
          <w:lang w:val="en-US"/>
        </w:rPr>
        <w:instrText xml:space="preserve"> HYPERLINK "https://www2.deloitte.com/my/en/pages/risk/articles/91-percent-of-all-cyber-attacks-begin-with-a-phishing-email-to-an-unexpected-victim.html" </w:instrText>
      </w:r>
      <w:r w:rsidR="005938AD">
        <w:fldChar w:fldCharType="separate"/>
      </w:r>
      <w:r w:rsidRPr="00511005">
        <w:rPr>
          <w:rFonts w:ascii="Arial" w:eastAsia="Times New Roman" w:hAnsi="Arial" w:cs="Arial"/>
          <w:bCs/>
          <w:kern w:val="32"/>
          <w:szCs w:val="28"/>
          <w:lang w:val="uk-UA"/>
        </w:rPr>
        <w:t>https://www2.deloitte.com/my/en/pages/risk/articles/91-percent-of-all-cyber-attacks-begin-with-a-phishing-email-to-an-unexpected-victim.html</w:t>
      </w:r>
      <w:r w:rsidR="005938AD">
        <w:rPr>
          <w:rFonts w:ascii="Arial" w:eastAsia="Times New Roman" w:hAnsi="Arial" w:cs="Arial"/>
          <w:bCs/>
          <w:kern w:val="32"/>
          <w:szCs w:val="28"/>
          <w:lang w:val="uk-UA"/>
        </w:rPr>
        <w:fldChar w:fldCharType="end"/>
      </w:r>
      <w:r w:rsidRPr="00511005">
        <w:rPr>
          <w:rFonts w:ascii="Arial" w:eastAsia="Times New Roman" w:hAnsi="Arial" w:cs="Arial"/>
          <w:bCs/>
          <w:kern w:val="32"/>
          <w:szCs w:val="28"/>
          <w:lang w:val="uk-UA"/>
        </w:rPr>
        <w:t>.</w:t>
      </w:r>
    </w:p>
    <w:p w14:paraId="0063CBA2" w14:textId="3A55531A" w:rsidR="001045DE" w:rsidRPr="00511005" w:rsidRDefault="001045DE" w:rsidP="001045DE">
      <w:pPr>
        <w:spacing w:line="264" w:lineRule="auto"/>
        <w:ind w:firstLine="540"/>
        <w:rPr>
          <w:rFonts w:ascii="Arial" w:eastAsia="Times New Roman" w:hAnsi="Arial" w:cs="Arial"/>
          <w:bCs/>
          <w:kern w:val="32"/>
          <w:szCs w:val="28"/>
          <w:lang w:val="uk-UA"/>
        </w:rPr>
      </w:pPr>
      <w:r w:rsidRPr="00511005">
        <w:rPr>
          <w:rFonts w:ascii="Arial" w:eastAsia="Times New Roman" w:hAnsi="Arial" w:cs="Arial"/>
          <w:bCs/>
          <w:kern w:val="32"/>
          <w:szCs w:val="28"/>
          <w:lang w:val="uk-UA"/>
        </w:rPr>
        <w:t xml:space="preserve">3.Quantum Computing: Decrypting The Future. URL: </w:t>
      </w:r>
      <w:r w:rsidR="005938AD">
        <w:fldChar w:fldCharType="begin"/>
      </w:r>
      <w:r w:rsidR="005938AD" w:rsidRPr="00055389">
        <w:rPr>
          <w:lang w:val="en-US"/>
        </w:rPr>
        <w:instrText xml:space="preserve"> HYPERLINK "https://cybersecurityventures.com/quantum-computing-decrypting-the-future/" </w:instrText>
      </w:r>
      <w:r w:rsidR="005938AD">
        <w:fldChar w:fldCharType="separate"/>
      </w:r>
      <w:r w:rsidRPr="00511005">
        <w:rPr>
          <w:rFonts w:ascii="Arial" w:eastAsia="Times New Roman" w:hAnsi="Arial" w:cs="Arial"/>
          <w:bCs/>
          <w:kern w:val="32"/>
          <w:szCs w:val="28"/>
          <w:lang w:val="uk-UA"/>
        </w:rPr>
        <w:t>https://cybersecurityventures.com/quantum-computing-decrypting-the-future/</w:t>
      </w:r>
      <w:r w:rsidR="005938AD">
        <w:rPr>
          <w:rFonts w:ascii="Arial" w:eastAsia="Times New Roman" w:hAnsi="Arial" w:cs="Arial"/>
          <w:bCs/>
          <w:kern w:val="32"/>
          <w:szCs w:val="28"/>
          <w:lang w:val="uk-UA"/>
        </w:rPr>
        <w:fldChar w:fldCharType="end"/>
      </w:r>
      <w:r w:rsidRPr="00511005">
        <w:rPr>
          <w:rFonts w:ascii="Arial" w:eastAsia="Times New Roman" w:hAnsi="Arial" w:cs="Arial"/>
          <w:bCs/>
          <w:kern w:val="32"/>
          <w:szCs w:val="28"/>
          <w:lang w:val="uk-UA"/>
        </w:rPr>
        <w:t>.</w:t>
      </w:r>
    </w:p>
    <w:p w14:paraId="7661E049" w14:textId="3B32C814" w:rsidR="001045DE" w:rsidRPr="00511005" w:rsidRDefault="001045DE" w:rsidP="001045DE">
      <w:pPr>
        <w:spacing w:line="264" w:lineRule="auto"/>
        <w:ind w:firstLine="540"/>
        <w:rPr>
          <w:rFonts w:ascii="Arial" w:eastAsia="Times New Roman" w:hAnsi="Arial" w:cs="Arial"/>
          <w:szCs w:val="28"/>
          <w:lang w:val="uk-UA"/>
        </w:rPr>
      </w:pPr>
      <w:r w:rsidRPr="00511005">
        <w:rPr>
          <w:rFonts w:ascii="Arial" w:eastAsia="Times New Roman" w:hAnsi="Arial" w:cs="Arial"/>
          <w:bCs/>
          <w:kern w:val="32"/>
          <w:szCs w:val="28"/>
          <w:lang w:val="uk-UA"/>
        </w:rPr>
        <w:t xml:space="preserve">4. What is Zero Trust security and how does Zero Trust architecture work?. URL: </w:t>
      </w:r>
      <w:r w:rsidR="005938AD">
        <w:fldChar w:fldCharType="begin"/>
      </w:r>
      <w:r w:rsidR="005938AD" w:rsidRPr="00055389">
        <w:rPr>
          <w:lang w:val="en-US"/>
        </w:rPr>
        <w:instrText xml:space="preserve"> HYPERLINK "https://www.threatdown.com/glossary/what-is-zero-trust/" </w:instrText>
      </w:r>
      <w:r w:rsidR="005938AD">
        <w:fldChar w:fldCharType="separate"/>
      </w:r>
      <w:r w:rsidRPr="00511005">
        <w:rPr>
          <w:rFonts w:ascii="Arial" w:eastAsia="Times New Roman" w:hAnsi="Arial" w:cs="Arial"/>
          <w:bCs/>
          <w:kern w:val="32"/>
          <w:szCs w:val="28"/>
          <w:lang w:val="uk-UA"/>
        </w:rPr>
        <w:t>https://www.threatdown.com/glossary/what-is-zero-trust/</w:t>
      </w:r>
      <w:r w:rsidR="005938AD">
        <w:rPr>
          <w:rFonts w:ascii="Arial" w:eastAsia="Times New Roman" w:hAnsi="Arial" w:cs="Arial"/>
          <w:bCs/>
          <w:kern w:val="32"/>
          <w:szCs w:val="28"/>
          <w:lang w:val="uk-UA"/>
        </w:rPr>
        <w:fldChar w:fldCharType="end"/>
      </w:r>
      <w:r w:rsidRPr="00511005">
        <w:rPr>
          <w:rFonts w:ascii="Arial" w:eastAsia="Times New Roman" w:hAnsi="Arial" w:cs="Arial"/>
          <w:bCs/>
          <w:kern w:val="32"/>
          <w:szCs w:val="28"/>
          <w:lang w:val="uk-UA"/>
        </w:rPr>
        <w:t>.</w:t>
      </w:r>
    </w:p>
    <w:p w14:paraId="2B608B20" w14:textId="77777777" w:rsidR="00200E87" w:rsidRPr="00511005" w:rsidRDefault="00200E87" w:rsidP="003A292D">
      <w:pPr>
        <w:spacing w:line="264" w:lineRule="auto"/>
        <w:ind w:firstLine="540"/>
        <w:rPr>
          <w:rFonts w:ascii="Arial" w:eastAsia="Times New Roman" w:hAnsi="Arial" w:cs="Arial"/>
          <w:b/>
          <w:szCs w:val="28"/>
          <w:lang w:val="uk-UA"/>
        </w:rPr>
      </w:pPr>
    </w:p>
    <w:p w14:paraId="31C624EA" w14:textId="2399B637" w:rsidR="00200E87" w:rsidRPr="00511005" w:rsidRDefault="007B2628" w:rsidP="003A292D">
      <w:pPr>
        <w:spacing w:line="264" w:lineRule="auto"/>
        <w:ind w:firstLine="540"/>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200E87" w:rsidRPr="00511005">
        <w:rPr>
          <w:rFonts w:ascii="Arial" w:eastAsia="Times New Roman" w:hAnsi="Arial" w:cs="Arial"/>
          <w:szCs w:val="28"/>
          <w:lang w:val="uk-UA"/>
        </w:rPr>
        <w:t>кібербезпека, інформаційні технології, штучний інтелект, екологічні вимоги в ІТ, квантова криптографія.</w:t>
      </w:r>
    </w:p>
    <w:p w14:paraId="1982FA21" w14:textId="234939C3" w:rsidR="00200E87" w:rsidRPr="00511005" w:rsidRDefault="007B2628" w:rsidP="003A292D">
      <w:pPr>
        <w:spacing w:line="264" w:lineRule="auto"/>
        <w:ind w:firstLine="540"/>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200E87" w:rsidRPr="00511005">
        <w:rPr>
          <w:rFonts w:ascii="Arial" w:eastAsia="Times New Roman" w:hAnsi="Arial" w:cs="Arial"/>
          <w:szCs w:val="28"/>
          <w:lang w:val="uk-UA"/>
        </w:rPr>
        <w:t>cybersecurity, information technologies, artificial intelligence, environmental requirements in IT, quantum cryptography.</w:t>
      </w:r>
    </w:p>
    <w:p w14:paraId="50C284A7" w14:textId="0E147C53" w:rsidR="00200E87" w:rsidRPr="00511005" w:rsidRDefault="007B2628" w:rsidP="003A292D">
      <w:pPr>
        <w:spacing w:line="264" w:lineRule="auto"/>
        <w:ind w:firstLine="540"/>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200E87" w:rsidRPr="00511005">
        <w:rPr>
          <w:rFonts w:ascii="Arial" w:eastAsia="Times New Roman" w:hAnsi="Arial" w:cs="Arial"/>
          <w:i/>
          <w:szCs w:val="28"/>
          <w:lang w:val="uk-UA"/>
        </w:rPr>
        <w:t>к.ю.н., доцент Канівець Л.А.</w:t>
      </w:r>
    </w:p>
    <w:p w14:paraId="5167CB24" w14:textId="77777777" w:rsidR="00200E87" w:rsidRPr="00511005" w:rsidRDefault="00200E87" w:rsidP="003A292D">
      <w:pPr>
        <w:spacing w:line="264" w:lineRule="auto"/>
        <w:ind w:firstLine="0"/>
        <w:jc w:val="left"/>
        <w:rPr>
          <w:rFonts w:ascii="Arial" w:eastAsia="Times New Roman" w:hAnsi="Arial" w:cs="Arial"/>
          <w:szCs w:val="28"/>
        </w:rPr>
      </w:pPr>
    </w:p>
    <w:p w14:paraId="15E90111" w14:textId="77777777" w:rsidR="00200E87" w:rsidRPr="00511005" w:rsidRDefault="00200E87" w:rsidP="003A292D">
      <w:pPr>
        <w:spacing w:line="264" w:lineRule="auto"/>
        <w:ind w:firstLine="567"/>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Царелунга Аріна Костянтинівна</w:t>
      </w:r>
    </w:p>
    <w:p w14:paraId="26DAAC9D" w14:textId="7D623A96" w:rsidR="00200E87" w:rsidRPr="00511005" w:rsidRDefault="00536AAB" w:rsidP="003A292D">
      <w:pPr>
        <w:spacing w:line="264" w:lineRule="auto"/>
        <w:ind w:firstLine="567"/>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2-го курсу </w:t>
      </w:r>
      <w:r w:rsidR="00200E87" w:rsidRPr="00511005">
        <w:rPr>
          <w:rFonts w:ascii="Arial" w:eastAsia="Times New Roman" w:hAnsi="Arial" w:cs="Arial"/>
          <w:szCs w:val="28"/>
          <w:lang w:val="uk-UA"/>
        </w:rPr>
        <w:t>факультету цивільної тагосподарської юстиції</w:t>
      </w:r>
    </w:p>
    <w:p w14:paraId="2E1CC8CB" w14:textId="103779AA" w:rsidR="00200E87" w:rsidRPr="00511005" w:rsidRDefault="007B2628" w:rsidP="003A292D">
      <w:pPr>
        <w:spacing w:line="264" w:lineRule="auto"/>
        <w:ind w:firstLine="567"/>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214FF1B5" w14:textId="77777777" w:rsidR="00200E87" w:rsidRPr="00511005" w:rsidRDefault="00200E87" w:rsidP="003A292D">
      <w:pPr>
        <w:spacing w:line="264" w:lineRule="auto"/>
        <w:ind w:firstLine="567"/>
        <w:jc w:val="center"/>
        <w:rPr>
          <w:rFonts w:ascii="Arial" w:eastAsia="Times New Roman" w:hAnsi="Arial" w:cs="Arial"/>
          <w:szCs w:val="28"/>
          <w:lang w:val="uk-UA"/>
        </w:rPr>
      </w:pPr>
    </w:p>
    <w:p w14:paraId="12F87E0E" w14:textId="77777777" w:rsidR="00200E87" w:rsidRPr="00511005" w:rsidRDefault="00200E87" w:rsidP="003A292D">
      <w:pPr>
        <w:spacing w:line="264" w:lineRule="auto"/>
        <w:ind w:firstLine="567"/>
        <w:jc w:val="center"/>
        <w:rPr>
          <w:rFonts w:ascii="Arial" w:eastAsia="Times New Roman" w:hAnsi="Arial" w:cs="Arial"/>
          <w:b/>
          <w:bCs/>
          <w:szCs w:val="28"/>
          <w:lang w:val="uk-UA"/>
        </w:rPr>
      </w:pPr>
      <w:r w:rsidRPr="00511005">
        <w:rPr>
          <w:rFonts w:ascii="Arial" w:eastAsia="Times New Roman" w:hAnsi="Arial" w:cs="Arial"/>
          <w:b/>
          <w:bCs/>
          <w:szCs w:val="28"/>
          <w:lang w:val="uk-UA"/>
        </w:rPr>
        <w:t>ПРАВО ВЛАСНОСТІ ІНОЗЕМЦІВ НА ЗЕМЛЮ СІЛЬСЬКОГОСПОДАРСЬКОГО ПРИЗНАЧЕННЯ</w:t>
      </w:r>
    </w:p>
    <w:p w14:paraId="620895A2"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Право власності на землю — це одне з основоположних прав, що стосується суверенітету держави, економічної безпеки та добробуту громадян. В Україні земля сільськогосподарського призначення є стратегічним ресурсом, тому її обіг суворо регламентований законом. Відповідно до чинного законодавства іноземці не мають права бути власниками таких земель. Водночас, прийняття за основу законопроєкту про множинне громадянство в грудні 2024 року створює новий контекст для переосмислення існуючих обмежень та загроз.</w:t>
      </w:r>
    </w:p>
    <w:p w14:paraId="7E614AAE"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Право власності на землю гарантується статтею 14 Конституції України, яка визначає, що:«Земля є основним національним багатством, що перебуває під особливою охороною держави. Право власності на землю гарантується. Це право набувається і реалізується громадянами, юридичними особами та державою виключно відповідно до закону» [1]. Ключовим у цьому положенні є те, що реалізація права власності відбувається лише на підставі закону, що надає можливість законодавцю встановлювати обмеження щодо осіб, які можуть набувати землю у власність, зокрема – землю сільськогосподарського призначення.</w:t>
      </w:r>
    </w:p>
    <w:p w14:paraId="757AE573"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Відповідно до положень Земельного кодексу України іноземцям заборонено набувати у власність земельні ділянки сільськогосподарського призначення, зокрема вони до ухвалення іншого рішення на всеукраїнському референдумі [2].Таке положення було закріплено в контексті запровадження ринку землі з 1 липня 2021 року, аби захистити національні інтереси в умовах значного економічного та політичного тиску.</w:t>
      </w:r>
    </w:p>
    <w:p w14:paraId="06C170E1"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 xml:space="preserve">На сьогодні чинний Закон України «Про громадянство України» визнає єдине громадянство [3]. Це означає, що громадянин України не може одночасно бути громадянином іншої держави. Однак у грудні 2024 року Верховна Рада України ухвалила в першому читанні законопроєкт про множинне громадянство, яким пропонується дозволити українцям мати громадянство інших країн без втрати українського [4]. Очікується, що ця </w:t>
      </w:r>
      <w:r w:rsidRPr="00511005">
        <w:rPr>
          <w:rFonts w:ascii="Arial" w:eastAsia="Times New Roman" w:hAnsi="Arial" w:cs="Arial"/>
          <w:szCs w:val="28"/>
          <w:lang w:val="uk-UA"/>
        </w:rPr>
        <w:lastRenderedPageBreak/>
        <w:t>ініціатива передусім спрямована на представників діаспори, особливо тих, хто бажає брати участь у розвитку держави, інвестувати тощо.</w:t>
      </w:r>
    </w:p>
    <w:p w14:paraId="46142435"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Множинне громадянство створює правову колізію: формально особа буде громадянином України й отримає право купувати землю сільськогосподарського призначення, але де-факто вона може діяти в інтересах іншої держави або транснаціональних корпорацій. Відтак, відкривається можливість непрямого обігу землі в іноземні руки, що суперечить цінностям національного контролю над землею. Ситуація може ускладнитися, якщо особа з подвійним громадянством не проживає в Україні, не веде господарську діяльність та є номінальним громадянином без реального зв’язку з українським суспільством.</w:t>
      </w:r>
    </w:p>
    <w:p w14:paraId="0DBDCF23"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Щоб уникнути загроз, пов’язаних з ухваленням закону про множинне громадянство, доцільно внести зміни до земельного законодавства, які передбачатимуть обмеження на купівлю землі для осіб із множинним громадянством, якщо вони не постійно проживають в Україні протягом останніх 5 років, запровадження механізму перевірки джерел походження коштів для купівлі землі, аби уникнути непрозорого фінансування через іноземні компанії, обмеження обсягу земельних ділянок у власності осіб із множинним громадянством, аналогічно обмеженню по кількості гектарів у власності для фізичних осіб-громадян та моніторинг концентрації земель, який здійснюється Державним земельним кадастром, з обов’язковою звітністю щодо осіб із подвійним громадянством.</w:t>
      </w:r>
    </w:p>
    <w:p w14:paraId="45C028F0" w14:textId="77777777" w:rsidR="00200E87" w:rsidRPr="00511005" w:rsidRDefault="00200E87" w:rsidP="003A292D">
      <w:pPr>
        <w:spacing w:line="264" w:lineRule="auto"/>
        <w:ind w:firstLine="567"/>
        <w:rPr>
          <w:rFonts w:ascii="Arial" w:eastAsia="Times New Roman" w:hAnsi="Arial" w:cs="Arial"/>
          <w:szCs w:val="28"/>
          <w:lang w:val="uk-UA"/>
        </w:rPr>
      </w:pPr>
      <w:r w:rsidRPr="00511005">
        <w:rPr>
          <w:rFonts w:ascii="Arial" w:eastAsia="Times New Roman" w:hAnsi="Arial" w:cs="Arial"/>
          <w:szCs w:val="28"/>
          <w:lang w:val="uk-UA"/>
        </w:rPr>
        <w:t>Таким чином, чинне законодавство України чітко забороняє іноземцям набувати у власність землю сільськогосподарського призначення. Проте запровадження множинного громадянства виносить це питання в нову площину. Формальне громадянство вже не буде надійним критерієм національної належності, якщо не супроводжується додатковими вимогами - проживанням, участю в економіці, прозорістю дій. Відтак, важливо не лише впровадити новий інститут громадянства, а й вчасно адаптувати земельне законодавство, аби українська земля залишалася у власності тих, хто справді вважає Україну своїм домом.</w:t>
      </w:r>
    </w:p>
    <w:p w14:paraId="77EF5401" w14:textId="77777777" w:rsidR="00200E87" w:rsidRPr="00511005" w:rsidRDefault="00200E87" w:rsidP="003A292D">
      <w:pPr>
        <w:spacing w:line="264" w:lineRule="auto"/>
        <w:ind w:firstLine="567"/>
        <w:rPr>
          <w:rFonts w:ascii="Arial" w:eastAsia="Times New Roman" w:hAnsi="Arial" w:cs="Arial"/>
          <w:szCs w:val="28"/>
          <w:lang w:val="uk-UA"/>
        </w:rPr>
      </w:pPr>
    </w:p>
    <w:p w14:paraId="33769BE1" w14:textId="469AD935" w:rsidR="00200E87" w:rsidRPr="00511005" w:rsidRDefault="007B2628" w:rsidP="007B2628">
      <w:pPr>
        <w:spacing w:line="264" w:lineRule="auto"/>
        <w:ind w:firstLine="567"/>
        <w:jc w:val="center"/>
        <w:rPr>
          <w:rFonts w:ascii="Arial" w:eastAsia="Times New Roman" w:hAnsi="Arial" w:cs="Arial"/>
          <w:b/>
          <w:iCs/>
          <w:szCs w:val="28"/>
          <w:lang w:val="uk-UA"/>
        </w:rPr>
      </w:pPr>
      <w:r w:rsidRPr="00511005">
        <w:rPr>
          <w:rFonts w:ascii="Arial" w:eastAsia="Times New Roman" w:hAnsi="Arial" w:cs="Arial"/>
          <w:b/>
          <w:iCs/>
          <w:szCs w:val="28"/>
          <w:lang w:val="uk-UA"/>
        </w:rPr>
        <w:t>Список використаних джерел</w:t>
      </w:r>
    </w:p>
    <w:p w14:paraId="6846E7C5" w14:textId="77777777" w:rsidR="00200E87" w:rsidRPr="00511005" w:rsidRDefault="00200E87" w:rsidP="003F6A5D">
      <w:pPr>
        <w:numPr>
          <w:ilvl w:val="0"/>
          <w:numId w:val="486"/>
        </w:numPr>
        <w:tabs>
          <w:tab w:val="left" w:pos="1134"/>
        </w:tabs>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 xml:space="preserve">Конституція України від 28 червня 1996 року. </w:t>
      </w:r>
      <w:r w:rsidRPr="00511005">
        <w:rPr>
          <w:rFonts w:ascii="Arial" w:eastAsia="Times New Roman" w:hAnsi="Arial" w:cs="Arial"/>
          <w:i/>
          <w:iCs/>
          <w:kern w:val="2"/>
          <w:szCs w:val="28"/>
          <w:lang w:val="uk-UA"/>
        </w:rPr>
        <w:t>Відомості Верховної Ради України</w:t>
      </w:r>
      <w:r w:rsidRPr="00511005">
        <w:rPr>
          <w:rFonts w:ascii="Arial" w:eastAsia="Times New Roman" w:hAnsi="Arial" w:cs="Arial"/>
          <w:kern w:val="2"/>
          <w:szCs w:val="28"/>
          <w:lang w:val="uk-UA"/>
        </w:rPr>
        <w:t>. 1996. № 30. Ст. 141.</w:t>
      </w:r>
    </w:p>
    <w:p w14:paraId="03365307" w14:textId="77777777" w:rsidR="00200E87" w:rsidRPr="00511005" w:rsidRDefault="00200E87" w:rsidP="003F6A5D">
      <w:pPr>
        <w:numPr>
          <w:ilvl w:val="0"/>
          <w:numId w:val="486"/>
        </w:numPr>
        <w:tabs>
          <w:tab w:val="left" w:pos="1134"/>
        </w:tabs>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 xml:space="preserve">Земельний кодекс України від 25 жовтня 2001 року. </w:t>
      </w:r>
      <w:r w:rsidRPr="00511005">
        <w:rPr>
          <w:rFonts w:ascii="Arial" w:eastAsia="Times New Roman" w:hAnsi="Arial" w:cs="Arial"/>
          <w:i/>
          <w:iCs/>
          <w:kern w:val="2"/>
          <w:szCs w:val="28"/>
          <w:lang w:val="uk-UA"/>
        </w:rPr>
        <w:t>Відомості Верховної Ради України</w:t>
      </w:r>
      <w:r w:rsidRPr="00511005">
        <w:rPr>
          <w:rFonts w:ascii="Arial" w:eastAsia="Times New Roman" w:hAnsi="Arial" w:cs="Arial"/>
          <w:kern w:val="2"/>
          <w:szCs w:val="28"/>
          <w:lang w:val="uk-UA"/>
        </w:rPr>
        <w:t>. 2002. № 3–4. Ст. 27.</w:t>
      </w:r>
    </w:p>
    <w:p w14:paraId="561BDA94" w14:textId="77777777" w:rsidR="00200E87" w:rsidRPr="00511005" w:rsidRDefault="00200E87" w:rsidP="003F6A5D">
      <w:pPr>
        <w:numPr>
          <w:ilvl w:val="0"/>
          <w:numId w:val="486"/>
        </w:numPr>
        <w:tabs>
          <w:tab w:val="left" w:pos="1134"/>
        </w:tabs>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 xml:space="preserve">Про громадянство України: Закон України від 18 січня 2001 року. </w:t>
      </w:r>
      <w:r w:rsidRPr="00511005">
        <w:rPr>
          <w:rFonts w:ascii="Arial" w:eastAsia="Times New Roman" w:hAnsi="Arial" w:cs="Arial"/>
          <w:i/>
          <w:iCs/>
          <w:kern w:val="2"/>
          <w:szCs w:val="28"/>
          <w:lang w:val="uk-UA"/>
        </w:rPr>
        <w:t>Відомості Верховної Ради України</w:t>
      </w:r>
      <w:r w:rsidRPr="00511005">
        <w:rPr>
          <w:rFonts w:ascii="Arial" w:eastAsia="Times New Roman" w:hAnsi="Arial" w:cs="Arial"/>
          <w:kern w:val="2"/>
          <w:szCs w:val="28"/>
          <w:lang w:val="uk-UA"/>
        </w:rPr>
        <w:t>. 2001. № 13. Ст. 65.</w:t>
      </w:r>
    </w:p>
    <w:p w14:paraId="059D51F6" w14:textId="77777777" w:rsidR="00200E87" w:rsidRPr="00511005" w:rsidRDefault="00200E87" w:rsidP="003F6A5D">
      <w:pPr>
        <w:numPr>
          <w:ilvl w:val="0"/>
          <w:numId w:val="486"/>
        </w:numPr>
        <w:tabs>
          <w:tab w:val="left" w:pos="1134"/>
        </w:tabs>
        <w:spacing w:line="264" w:lineRule="auto"/>
        <w:ind w:left="0" w:firstLine="567"/>
        <w:jc w:val="left"/>
        <w:rPr>
          <w:rFonts w:ascii="Arial" w:eastAsia="Times New Roman" w:hAnsi="Arial" w:cs="Arial"/>
          <w:kern w:val="2"/>
          <w:szCs w:val="28"/>
          <w:lang w:val="uk-UA"/>
        </w:rPr>
      </w:pPr>
      <w:r w:rsidRPr="00511005">
        <w:rPr>
          <w:rFonts w:ascii="Arial" w:eastAsia="Times New Roman" w:hAnsi="Arial" w:cs="Arial"/>
          <w:kern w:val="2"/>
          <w:szCs w:val="28"/>
          <w:lang w:val="uk-UA"/>
        </w:rPr>
        <w:t xml:space="preserve">Проєкт Закону України про внесення змін до деяких законів України щодо забезпечення реалізації права на набуття та збереження громадянства України № 11469 від 07.08.2024 року. </w:t>
      </w:r>
      <w:r w:rsidRPr="00511005">
        <w:rPr>
          <w:rFonts w:ascii="Arial" w:eastAsia="Times New Roman" w:hAnsi="Arial" w:cs="Arial"/>
          <w:i/>
          <w:iCs/>
          <w:kern w:val="2"/>
          <w:szCs w:val="28"/>
          <w:lang w:val="uk-UA"/>
        </w:rPr>
        <w:t xml:space="preserve">Офіційний вебсайт </w:t>
      </w:r>
      <w:r w:rsidRPr="00511005">
        <w:rPr>
          <w:rFonts w:ascii="Arial" w:eastAsia="Times New Roman" w:hAnsi="Arial" w:cs="Arial"/>
          <w:i/>
          <w:iCs/>
          <w:kern w:val="2"/>
          <w:szCs w:val="28"/>
          <w:lang w:val="uk-UA"/>
        </w:rPr>
        <w:lastRenderedPageBreak/>
        <w:t>Верховної Ради України</w:t>
      </w:r>
      <w:r w:rsidRPr="00511005">
        <w:rPr>
          <w:rFonts w:ascii="Arial" w:eastAsia="Times New Roman" w:hAnsi="Arial" w:cs="Arial"/>
          <w:kern w:val="2"/>
          <w:szCs w:val="28"/>
          <w:lang w:val="uk-UA"/>
        </w:rPr>
        <w:t xml:space="preserve">. URL: </w:t>
      </w:r>
      <w:hyperlink r:id="rId1743" w:history="1">
        <w:r w:rsidRPr="00511005">
          <w:rPr>
            <w:rFonts w:ascii="Arial" w:eastAsia="Times New Roman" w:hAnsi="Arial" w:cs="Arial"/>
            <w:kern w:val="2"/>
            <w:szCs w:val="28"/>
            <w:lang w:val="uk-UA"/>
          </w:rPr>
          <w:t>https://itd.rada.gov.ua/billInfo/Bills/CardByRn?regNum=11469&amp;conv=9</w:t>
        </w:r>
      </w:hyperlink>
      <w:r w:rsidRPr="00511005">
        <w:rPr>
          <w:rFonts w:ascii="Arial" w:eastAsia="Times New Roman" w:hAnsi="Arial" w:cs="Arial"/>
          <w:kern w:val="2"/>
          <w:szCs w:val="28"/>
          <w:lang w:val="uk-UA"/>
        </w:rPr>
        <w:t xml:space="preserve"> (дата звернення: 02.05.2025 року)</w:t>
      </w:r>
    </w:p>
    <w:p w14:paraId="7F5E0DF3" w14:textId="77777777" w:rsidR="00200E87" w:rsidRPr="00511005" w:rsidRDefault="00200E87" w:rsidP="003A292D">
      <w:pPr>
        <w:spacing w:line="264" w:lineRule="auto"/>
        <w:ind w:firstLine="567"/>
        <w:jc w:val="left"/>
        <w:rPr>
          <w:rFonts w:ascii="Arial" w:eastAsia="Times New Roman" w:hAnsi="Arial" w:cs="Arial"/>
          <w:szCs w:val="28"/>
          <w:lang w:val="uk-UA"/>
        </w:rPr>
      </w:pPr>
    </w:p>
    <w:p w14:paraId="564A1D56" w14:textId="48037C5D" w:rsidR="00200E87" w:rsidRPr="00511005" w:rsidRDefault="007B2628" w:rsidP="003A292D">
      <w:pPr>
        <w:spacing w:line="264" w:lineRule="auto"/>
        <w:ind w:firstLine="567"/>
        <w:jc w:val="left"/>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200E87" w:rsidRPr="00511005">
        <w:rPr>
          <w:rFonts w:ascii="Arial" w:eastAsia="Times New Roman" w:hAnsi="Arial" w:cs="Arial"/>
          <w:szCs w:val="28"/>
          <w:lang w:val="uk-UA"/>
        </w:rPr>
        <w:t>право власності, земля, іноземці, громадянство</w:t>
      </w:r>
    </w:p>
    <w:p w14:paraId="74544208" w14:textId="0021AD3E" w:rsidR="00200E87" w:rsidRPr="00511005" w:rsidRDefault="007B2628" w:rsidP="003A292D">
      <w:pPr>
        <w:spacing w:line="264" w:lineRule="auto"/>
        <w:ind w:firstLine="567"/>
        <w:jc w:val="left"/>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200E87" w:rsidRPr="00511005">
        <w:rPr>
          <w:rFonts w:ascii="Arial" w:eastAsia="Times New Roman" w:hAnsi="Arial" w:cs="Arial"/>
          <w:szCs w:val="28"/>
          <w:lang w:val="uk-UA"/>
        </w:rPr>
        <w:t>propertyrights, land, foreigners, citizenship</w:t>
      </w:r>
    </w:p>
    <w:p w14:paraId="5F762C48" w14:textId="627E499D" w:rsidR="00200E87" w:rsidRPr="00511005" w:rsidRDefault="007B2628" w:rsidP="003A292D">
      <w:pPr>
        <w:spacing w:line="264" w:lineRule="auto"/>
        <w:ind w:firstLine="567"/>
        <w:jc w:val="left"/>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200E87" w:rsidRPr="00511005">
        <w:rPr>
          <w:rFonts w:ascii="Arial" w:eastAsia="Times New Roman" w:hAnsi="Arial" w:cs="Arial"/>
          <w:i/>
          <w:szCs w:val="28"/>
          <w:lang w:val="uk-UA"/>
        </w:rPr>
        <w:t>д.ю.н., професор Григор’єва Х. А.</w:t>
      </w:r>
    </w:p>
    <w:p w14:paraId="538DBE44" w14:textId="77777777" w:rsidR="00200E87" w:rsidRPr="00511005" w:rsidRDefault="00200E87" w:rsidP="003A292D">
      <w:pPr>
        <w:keepNext/>
        <w:spacing w:line="264" w:lineRule="auto"/>
        <w:ind w:firstLine="540"/>
        <w:rPr>
          <w:rFonts w:ascii="Arial" w:eastAsia="Times New Roman" w:hAnsi="Arial" w:cs="Arial"/>
          <w:b/>
          <w:i/>
          <w:szCs w:val="28"/>
          <w:lang w:val="uk-UA" w:eastAsia="ru-RU"/>
        </w:rPr>
      </w:pPr>
    </w:p>
    <w:p w14:paraId="7FC9170F" w14:textId="77777777" w:rsidR="00200E87" w:rsidRPr="00511005" w:rsidRDefault="00200E87" w:rsidP="003A292D">
      <w:pPr>
        <w:spacing w:line="264" w:lineRule="auto"/>
        <w:ind w:right="-998" w:firstLine="0"/>
        <w:jc w:val="center"/>
        <w:rPr>
          <w:rFonts w:ascii="Arial" w:eastAsia="Times New Roman" w:hAnsi="Arial" w:cs="Arial"/>
          <w:b/>
          <w:szCs w:val="28"/>
          <w:lang w:val="uk-UA"/>
        </w:rPr>
      </w:pPr>
      <w:r w:rsidRPr="00511005">
        <w:rPr>
          <w:rFonts w:ascii="Arial" w:eastAsia="Times New Roman" w:hAnsi="Arial" w:cs="Arial"/>
          <w:b/>
          <w:szCs w:val="28"/>
          <w:lang w:val="uk-UA"/>
        </w:rPr>
        <w:t>Якубаш Віталій</w:t>
      </w:r>
    </w:p>
    <w:p w14:paraId="60868AEA" w14:textId="38EB24EC" w:rsidR="00200E87" w:rsidRPr="00511005" w:rsidRDefault="00F36CC4" w:rsidP="003A292D">
      <w:pPr>
        <w:widowControl w:val="0"/>
        <w:tabs>
          <w:tab w:val="left" w:pos="7088"/>
        </w:tabs>
        <w:spacing w:line="264" w:lineRule="auto"/>
        <w:ind w:firstLine="0"/>
        <w:jc w:val="center"/>
        <w:rPr>
          <w:rFonts w:ascii="Arial" w:eastAsia="Times New Roman" w:hAnsi="Arial" w:cs="Arial"/>
          <w:szCs w:val="28"/>
          <w:lang w:val="uk-UA"/>
        </w:rPr>
      </w:pPr>
      <w:r>
        <w:rPr>
          <w:rFonts w:ascii="Arial" w:eastAsia="Times New Roman" w:hAnsi="Arial" w:cs="Arial"/>
          <w:szCs w:val="28"/>
          <w:lang w:val="uk-UA"/>
        </w:rPr>
        <w:t>с</w:t>
      </w:r>
      <w:r w:rsidR="00536AAB" w:rsidRPr="00511005">
        <w:rPr>
          <w:rFonts w:ascii="Arial" w:eastAsia="Times New Roman" w:hAnsi="Arial" w:cs="Arial"/>
          <w:szCs w:val="28"/>
          <w:lang w:val="uk-UA"/>
        </w:rPr>
        <w:t xml:space="preserve">тудент 3-го курсу </w:t>
      </w:r>
      <w:r w:rsidR="001B7B25" w:rsidRPr="00511005">
        <w:rPr>
          <w:rFonts w:ascii="Arial" w:eastAsia="Times New Roman" w:hAnsi="Arial" w:cs="Arial"/>
          <w:szCs w:val="28"/>
          <w:lang w:val="uk-UA"/>
        </w:rPr>
        <w:t>факультету судового та міжнародного права</w:t>
      </w:r>
    </w:p>
    <w:p w14:paraId="248C2593" w14:textId="77777777" w:rsidR="00200E87" w:rsidRPr="00511005" w:rsidRDefault="00200E87" w:rsidP="003A292D">
      <w:pPr>
        <w:widowControl w:val="0"/>
        <w:tabs>
          <w:tab w:val="left" w:pos="7088"/>
        </w:tabs>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2F8A47D4" w14:textId="77777777" w:rsidR="00200E87" w:rsidRPr="00511005" w:rsidRDefault="00200E87" w:rsidP="003A292D">
      <w:pPr>
        <w:widowControl w:val="0"/>
        <w:tabs>
          <w:tab w:val="left" w:pos="7088"/>
        </w:tabs>
        <w:spacing w:line="264" w:lineRule="auto"/>
        <w:ind w:firstLine="0"/>
        <w:jc w:val="center"/>
        <w:rPr>
          <w:rFonts w:ascii="Arial" w:eastAsia="Times New Roman" w:hAnsi="Arial" w:cs="Arial"/>
          <w:szCs w:val="28"/>
          <w:lang w:val="uk-UA"/>
        </w:rPr>
      </w:pPr>
    </w:p>
    <w:p w14:paraId="66F2582B" w14:textId="77777777" w:rsidR="00200E87" w:rsidRPr="00511005" w:rsidRDefault="00200E87" w:rsidP="003A292D">
      <w:pPr>
        <w:spacing w:line="264" w:lineRule="auto"/>
        <w:ind w:right="-46" w:firstLine="0"/>
        <w:jc w:val="center"/>
        <w:rPr>
          <w:rFonts w:ascii="Arial" w:eastAsia="Times New Roman" w:hAnsi="Arial" w:cs="Arial"/>
          <w:b/>
          <w:szCs w:val="28"/>
          <w:lang w:val="uk-UA"/>
        </w:rPr>
      </w:pPr>
      <w:r w:rsidRPr="00511005">
        <w:rPr>
          <w:rFonts w:ascii="Arial" w:eastAsia="Times New Roman" w:hAnsi="Arial" w:cs="Arial"/>
          <w:b/>
          <w:szCs w:val="28"/>
          <w:lang w:val="uk-UA"/>
        </w:rPr>
        <w:t xml:space="preserve">ПРАВОВІ АСПЕКТИ ПРОВЕДЕННЯ ТА ЗАСТОСУВАННЯ РЕЗУЛЬТАТІВ ОЦІНКИ ВПЛИВУ НА ДОВКІЛЛЯ </w:t>
      </w:r>
    </w:p>
    <w:p w14:paraId="7A2D66C0" w14:textId="77777777" w:rsidR="00200E87" w:rsidRPr="00511005" w:rsidRDefault="00200E87" w:rsidP="003A292D">
      <w:pPr>
        <w:spacing w:line="264" w:lineRule="auto"/>
        <w:ind w:right="-330" w:firstLine="567"/>
        <w:rPr>
          <w:rFonts w:ascii="Arial" w:eastAsia="Times New Roman" w:hAnsi="Arial" w:cs="Arial"/>
          <w:szCs w:val="28"/>
          <w:lang w:val="uk-UA"/>
        </w:rPr>
      </w:pPr>
      <w:r w:rsidRPr="00511005">
        <w:rPr>
          <w:rFonts w:ascii="Arial" w:eastAsia="Times New Roman" w:hAnsi="Arial" w:cs="Arial"/>
          <w:szCs w:val="28"/>
          <w:lang w:val="uk-UA"/>
        </w:rPr>
        <w:t xml:space="preserve">Оцінка впливу на довкілля (далі – ОВД ) є одним із ключових елементів забезпечення екологічної безпеки, який спрямований на визначення, аналіз та мінімізацію можливих негативних наслідків планової діяльності на навколишнє середовище. Цей механізм відіграє центральну роль у процесі прийняття рішень стосовно реалізації проєктів, які можуть мати значний вплив на екосистеми, здоров’я населення та природні ресурси. Водночас, ефективність застосування ОВД залежить не лише від правового регулювання, а й від наукової обґрунтованості методик оцінювання, прозорості процедур та дотримання вимог міжнародних стандартів. </w:t>
      </w:r>
    </w:p>
    <w:p w14:paraId="3ACBBAA1" w14:textId="77777777" w:rsidR="00200E87" w:rsidRPr="00511005" w:rsidRDefault="00200E87" w:rsidP="003A292D">
      <w:pPr>
        <w:spacing w:line="264" w:lineRule="auto"/>
        <w:ind w:right="-330" w:firstLine="567"/>
        <w:rPr>
          <w:rFonts w:ascii="Arial" w:eastAsia="Times New Roman" w:hAnsi="Arial" w:cs="Arial"/>
          <w:szCs w:val="28"/>
          <w:lang w:val="uk-UA"/>
        </w:rPr>
      </w:pPr>
      <w:r w:rsidRPr="00511005">
        <w:rPr>
          <w:rFonts w:ascii="Arial" w:eastAsia="Times New Roman" w:hAnsi="Arial" w:cs="Arial"/>
          <w:szCs w:val="28"/>
          <w:lang w:val="uk-UA"/>
        </w:rPr>
        <w:t xml:space="preserve">Актуальність обраної теми є очевидною, оскільки саме ОВД виступає одним з ключових правових способів досягнення сталого екологічного розвитку. Попри широку впровадженість інституту ОВД у світовій практиці, існує низка проблем, які ставлять під сумнів його дієвість. </w:t>
      </w:r>
    </w:p>
    <w:p w14:paraId="34C3751A" w14:textId="77777777" w:rsidR="00200E87" w:rsidRPr="00511005" w:rsidRDefault="00200E87" w:rsidP="003A292D">
      <w:pPr>
        <w:spacing w:line="264" w:lineRule="auto"/>
        <w:ind w:right="-330" w:firstLine="567"/>
        <w:rPr>
          <w:rFonts w:ascii="Arial" w:eastAsia="Times New Roman" w:hAnsi="Arial" w:cs="Arial"/>
          <w:szCs w:val="28"/>
          <w:lang w:val="uk-UA"/>
        </w:rPr>
      </w:pPr>
      <w:r w:rsidRPr="00511005">
        <w:rPr>
          <w:rFonts w:ascii="Arial" w:eastAsia="Times New Roman" w:hAnsi="Arial" w:cs="Arial"/>
          <w:szCs w:val="28"/>
          <w:lang w:val="uk-UA"/>
        </w:rPr>
        <w:t xml:space="preserve">Однією з головних є некоректність або суб’єктивність висновків ОВД, що може виникати внаслідок недостатнього дотримання наукових підходів, недосконалості методології чи впливу зацікавлених сторін. У багатьох випадках висновки ОВД, замість того, щоб стати інструментом запобігання екологічним ризикам, виконують роль формальної процедури, яка фактично виправдовує рішення, що вже були прийняті. </w:t>
      </w:r>
    </w:p>
    <w:p w14:paraId="49702C47" w14:textId="77777777" w:rsidR="00200E87" w:rsidRPr="00511005" w:rsidRDefault="00200E87" w:rsidP="003A292D">
      <w:pPr>
        <w:spacing w:line="264" w:lineRule="auto"/>
        <w:ind w:right="-330" w:firstLine="567"/>
        <w:rPr>
          <w:rFonts w:ascii="Arial" w:eastAsia="Times New Roman" w:hAnsi="Arial" w:cs="Arial"/>
          <w:szCs w:val="28"/>
          <w:lang w:val="uk-UA"/>
        </w:rPr>
      </w:pPr>
      <w:r w:rsidRPr="00511005">
        <w:rPr>
          <w:rFonts w:ascii="Arial" w:eastAsia="Times New Roman" w:hAnsi="Arial" w:cs="Arial"/>
          <w:szCs w:val="28"/>
          <w:lang w:val="uk-UA"/>
        </w:rPr>
        <w:t>Серед недоліків ОВД в Україні є відсутність чітко визначених органів, підприємств, установ, організацій, які мають повноваження на написання звіту з ОВД. Національне законодавство передбачає лише загальні процедури та вимоги до проведення ОВД, але не визначає конкретних державних або недержавних організацій, які мають компетенцію для здійснення такої діяльності. Це створює ризики для якості підготовки звітів ОВД, оскільки відсутність регламентованої інституційної бази унеможливлює належний контроль за процесом оціночної діяльності.</w:t>
      </w:r>
    </w:p>
    <w:p w14:paraId="6F5F84B8" w14:textId="77777777" w:rsidR="00200E87" w:rsidRPr="00511005" w:rsidRDefault="00200E87" w:rsidP="003A292D">
      <w:pPr>
        <w:spacing w:line="264" w:lineRule="auto"/>
        <w:ind w:right="-330" w:firstLine="567"/>
        <w:rPr>
          <w:rFonts w:ascii="Arial" w:eastAsia="Times New Roman" w:hAnsi="Arial" w:cs="Arial"/>
          <w:szCs w:val="28"/>
          <w:lang w:val="uk-UA"/>
        </w:rPr>
      </w:pPr>
      <w:r w:rsidRPr="00511005">
        <w:rPr>
          <w:rFonts w:ascii="Arial" w:eastAsia="Times New Roman" w:hAnsi="Arial" w:cs="Arial"/>
          <w:szCs w:val="28"/>
          <w:lang w:val="uk-UA"/>
        </w:rPr>
        <w:lastRenderedPageBreak/>
        <w:t>Ще однією суттєвою проблемою є відсутність кваліфікаційних вимог до суб’єктів, які проводять оцінку впливу на довкілля, а саме здійснюють підготовку звіту з ОВД. Відсутні спеціалізовані організації, які мали б в штатному розписі спеціалістів, таких як біолог, еколог, орнітолог, та інші. На сьогодні в національному законодавстві немає чітких критеріїв, що встановлюють вимоги до рівня освіти чи професійних компетенцій осіб, які здійснюють розробку звіту ОВД або проводять оцінювання проектів. Це призводить до того, що проведення ОВД може здійснюватися непідготовленими фахівцями, фізичними особами-підприємцями (далі – ФОП), громадськими організаціями, що в свою чергу, суттєво впливає на достовірність висновків і ефективність реалізації екологічних заходів.</w:t>
      </w:r>
    </w:p>
    <w:p w14:paraId="3E737A62" w14:textId="77777777" w:rsidR="00200E87" w:rsidRPr="00511005" w:rsidRDefault="00200E87" w:rsidP="003A292D">
      <w:pPr>
        <w:spacing w:line="264" w:lineRule="auto"/>
        <w:ind w:right="-330" w:firstLine="567"/>
        <w:rPr>
          <w:rFonts w:ascii="Arial" w:eastAsia="Times New Roman" w:hAnsi="Arial" w:cs="Arial"/>
          <w:szCs w:val="28"/>
          <w:lang w:val="uk-UA"/>
        </w:rPr>
      </w:pPr>
      <w:r w:rsidRPr="00511005">
        <w:rPr>
          <w:rFonts w:ascii="Arial" w:eastAsia="Times New Roman" w:hAnsi="Arial" w:cs="Arial"/>
          <w:szCs w:val="28"/>
          <w:lang w:val="uk-UA"/>
        </w:rPr>
        <w:t xml:space="preserve">Крім цього, висновки ОВД нерідко мають декларативний характер і не враховують реальних екологічних ризиків. Це може бути наслідком впливу зацікавлених сторін, недостатньої обґрунтованості чи банальної формальності виконання процедур оцінки впливу на довкілля. Трапляються випадки, що ОВД проводиться на об’єкті де вже отримано відповідні документи на проведення тих чи інших робіт. Як результат - ОВД перетворюється на технічний етап, який лише виправдовує заздалегідь прийняті рішення, замість того, щоб слугувати реальним механізмом екологічного захисту. </w:t>
      </w:r>
    </w:p>
    <w:p w14:paraId="6F2ADF09" w14:textId="77777777" w:rsidR="00200E87" w:rsidRPr="00511005" w:rsidRDefault="00200E87" w:rsidP="003A292D">
      <w:pPr>
        <w:spacing w:line="264" w:lineRule="auto"/>
        <w:ind w:right="-330" w:firstLine="567"/>
        <w:rPr>
          <w:rFonts w:ascii="Arial" w:eastAsia="Times New Roman" w:hAnsi="Arial" w:cs="Arial"/>
          <w:szCs w:val="28"/>
          <w:lang w:val="uk-UA"/>
        </w:rPr>
      </w:pPr>
      <w:r w:rsidRPr="00511005">
        <w:rPr>
          <w:rFonts w:ascii="Arial" w:eastAsia="Times New Roman" w:hAnsi="Arial" w:cs="Arial"/>
          <w:szCs w:val="28"/>
          <w:lang w:val="uk-UA"/>
        </w:rPr>
        <w:t xml:space="preserve">Стаття 4 Закону України «Про оцінку впливу на довкілля» передбачає, що у процесі оцінки впливу на довкілля забезпечується своєчасне, адекватне та ефективне інформування громадськості, проте існує низка перешкод та ускладнень реалізації цих положень. Хоча Закон гарантує право громадськості брати участь у такому процесі, на практиці це право часто обмежується. В основному це відбувається через недостатню проінформованість населення, обмежений доступ до звітів про ОВД, короткі строки для надання зауважень або проведення громадських слухань у формальному порядку без реального врахування пропозицій. Однією з основних проблем процедури ОВД є також той факт, що організації та експерти, які займаються підготовкою звітів ОВД, можуть бути зацікавлені в отриманні позитивних висновків, що іноді впливає на об’єктивність їхньої роботи. Це, в свою чергу, створює ризик формального підходу до оцінки впливу на довкілля. </w:t>
      </w:r>
    </w:p>
    <w:p w14:paraId="5ABB4984" w14:textId="77777777" w:rsidR="00200E87" w:rsidRPr="00511005" w:rsidRDefault="00200E87" w:rsidP="003A292D">
      <w:pPr>
        <w:spacing w:line="264" w:lineRule="auto"/>
        <w:ind w:right="-330" w:firstLine="567"/>
        <w:rPr>
          <w:rFonts w:ascii="Arial" w:eastAsia="Times New Roman" w:hAnsi="Arial" w:cs="Arial"/>
          <w:szCs w:val="28"/>
          <w:lang w:val="uk-UA"/>
        </w:rPr>
      </w:pPr>
      <w:r w:rsidRPr="00511005">
        <w:rPr>
          <w:rFonts w:ascii="Arial" w:eastAsia="Times New Roman" w:hAnsi="Arial" w:cs="Arial"/>
          <w:szCs w:val="28"/>
          <w:lang w:val="uk-UA"/>
        </w:rPr>
        <w:t xml:space="preserve">Крім того, повідомлення часто публікуються виключно в Єдиному реєстрі ОВД або на веб-сайтах органів влади, без належного дублювання у місцевих ЗМІ, соціальних мережах чи інформаційних дошках у громадах. Це призводить до того, що мешканці дізнаються про потенційно шкідливу діяльність лише після завершення ключових етапів процедури. </w:t>
      </w:r>
    </w:p>
    <w:p w14:paraId="5E00207F" w14:textId="2BB26AA7" w:rsidR="00200E87" w:rsidRPr="00511005" w:rsidRDefault="00200E87" w:rsidP="003A292D">
      <w:pPr>
        <w:spacing w:line="264" w:lineRule="auto"/>
        <w:ind w:right="-330" w:firstLine="567"/>
        <w:rPr>
          <w:rFonts w:ascii="Arial" w:eastAsia="Times New Roman" w:hAnsi="Arial" w:cs="Arial"/>
          <w:szCs w:val="28"/>
          <w:lang w:val="uk-UA"/>
        </w:rPr>
      </w:pPr>
      <w:r w:rsidRPr="00511005">
        <w:rPr>
          <w:rFonts w:ascii="Arial" w:eastAsia="Times New Roman" w:hAnsi="Arial" w:cs="Arial"/>
          <w:szCs w:val="28"/>
          <w:lang w:val="uk-UA"/>
        </w:rPr>
        <w:t>Національне законодавче регулювання ОВД потребує суттєвого вдосконалення. Одним із перспективних напрямків є адаптація національного законодавства до Директив Європейського Союзу, зокрема,</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Директиви ЄС 2011/92/ЕС, яка встановлює високі стандарти щодо процедур ОВД і залучення громадськості. Крім цього, вона містить процедуру оцінки впливу на довкілля </w:t>
      </w:r>
      <w:r w:rsidRPr="00511005">
        <w:rPr>
          <w:rFonts w:ascii="Arial" w:eastAsia="Times New Roman" w:hAnsi="Arial" w:cs="Arial"/>
          <w:szCs w:val="28"/>
          <w:lang w:val="uk-UA"/>
        </w:rPr>
        <w:lastRenderedPageBreak/>
        <w:t xml:space="preserve">для певних державних і приватних проєктів, що можуть мати значний вплив на навколишнє середовище. Метою цієї Директиви є забезпечення того, щоб перед наданням згоди на реалізацію таких проектів були ідентифіковані, оцінені та враховані їхні потенційні екологічні наслідки. Директива застосовується до широкого спектра проєктів, включаючи будівництво інфраструктурних об’єктів, видобуток корисних копалин, промислові та енергетичні установки, сільськогосподарські проекти, тощо. </w:t>
      </w:r>
    </w:p>
    <w:p w14:paraId="45EB9648" w14:textId="77777777" w:rsidR="00200E87" w:rsidRPr="00511005" w:rsidRDefault="00200E87" w:rsidP="003A292D">
      <w:pPr>
        <w:spacing w:line="264" w:lineRule="auto"/>
        <w:ind w:right="-330" w:firstLine="567"/>
        <w:rPr>
          <w:rFonts w:ascii="Arial" w:eastAsia="Times New Roman" w:hAnsi="Arial" w:cs="Arial"/>
          <w:szCs w:val="28"/>
          <w:lang w:val="uk-UA"/>
        </w:rPr>
      </w:pPr>
      <w:r w:rsidRPr="00511005">
        <w:rPr>
          <w:rFonts w:ascii="Arial" w:eastAsia="Times New Roman" w:hAnsi="Arial" w:cs="Arial"/>
          <w:szCs w:val="28"/>
          <w:lang w:val="uk-UA"/>
        </w:rPr>
        <w:t>Саме зазначене удосконалення національного законодавствв сприятиме інтеграції України у міжнародну спільноту як держави, що забезпечує сталий розвиток та збереження навколишнього середовища для майбутніх поколінь.</w:t>
      </w:r>
    </w:p>
    <w:p w14:paraId="32C34489" w14:textId="0F20AB40" w:rsidR="00200E87" w:rsidRPr="00511005" w:rsidRDefault="007B2628"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200E87" w:rsidRPr="00511005">
        <w:rPr>
          <w:rFonts w:ascii="Arial" w:eastAsia="Times New Roman" w:hAnsi="Arial" w:cs="Arial"/>
          <w:szCs w:val="28"/>
          <w:lang w:val="uk-UA" w:eastAsia="uk-UA"/>
        </w:rPr>
        <w:t>екологічне право, правове регулювання, природні ресурси, охорона довкілля, екологічні стандарти, національна безпека, сталий розвиток.</w:t>
      </w:r>
    </w:p>
    <w:p w14:paraId="0828FC70" w14:textId="420CF3F9" w:rsidR="00200E87" w:rsidRPr="00511005" w:rsidRDefault="007B2628" w:rsidP="003A292D">
      <w:pPr>
        <w:spacing w:line="264" w:lineRule="auto"/>
        <w:ind w:firstLine="567"/>
        <w:rPr>
          <w:rFonts w:ascii="Arial" w:eastAsia="Times New Roman" w:hAnsi="Arial" w:cs="Arial"/>
          <w:szCs w:val="28"/>
          <w:lang w:val="uk-UA"/>
        </w:rPr>
      </w:pPr>
      <w:r w:rsidRPr="00511005">
        <w:rPr>
          <w:rFonts w:ascii="Arial" w:eastAsia="Times New Roman" w:hAnsi="Arial" w:cs="Arial"/>
          <w:b/>
          <w:bCs/>
          <w:i/>
          <w:szCs w:val="28"/>
          <w:lang w:val="en-US"/>
        </w:rPr>
        <w:t xml:space="preserve">Key words: </w:t>
      </w:r>
      <w:r w:rsidR="00200E87" w:rsidRPr="00511005">
        <w:rPr>
          <w:rFonts w:ascii="Arial" w:eastAsia="Times New Roman" w:hAnsi="Arial" w:cs="Arial"/>
          <w:szCs w:val="28"/>
          <w:lang w:val="en-US"/>
        </w:rPr>
        <w:t>environmental law, legal regulation, natural resources, environmental protection, environmental standards, national security, sustainable development.</w:t>
      </w:r>
    </w:p>
    <w:p w14:paraId="2FE95C5F" w14:textId="2F768DBB" w:rsidR="003F5D68" w:rsidRPr="00511005" w:rsidRDefault="007B2628" w:rsidP="004A03EB">
      <w:pPr>
        <w:spacing w:line="264" w:lineRule="auto"/>
        <w:ind w:firstLine="567"/>
        <w:rPr>
          <w:rFonts w:ascii="Arial" w:eastAsia="NSimSun" w:hAnsi="Arial" w:cs="Arial"/>
          <w:kern w:val="2"/>
          <w:szCs w:val="28"/>
          <w:lang w:eastAsia="zh-CN" w:bidi="hi-IN"/>
        </w:rPr>
      </w:pPr>
      <w:r w:rsidRPr="00511005">
        <w:rPr>
          <w:rFonts w:ascii="Arial" w:eastAsia="Times New Roman" w:hAnsi="Arial" w:cs="Arial"/>
          <w:b/>
          <w:i/>
          <w:szCs w:val="28"/>
          <w:lang w:val="uk-UA"/>
        </w:rPr>
        <w:t xml:space="preserve">Науковий керівник: </w:t>
      </w:r>
      <w:r w:rsidR="00200E87" w:rsidRPr="00511005">
        <w:rPr>
          <w:rFonts w:ascii="Arial" w:eastAsia="Times New Roman" w:hAnsi="Arial" w:cs="Arial"/>
          <w:i/>
          <w:szCs w:val="28"/>
          <w:lang w:val="uk-UA"/>
        </w:rPr>
        <w:t>к.ю.н., доцент Караханян К.М.</w:t>
      </w:r>
      <w:r w:rsidR="003F5D68" w:rsidRPr="00511005">
        <w:rPr>
          <w:rFonts w:ascii="Arial" w:hAnsi="Arial" w:cs="Arial"/>
          <w:szCs w:val="28"/>
        </w:rPr>
        <w:br w:type="page"/>
      </w:r>
    </w:p>
    <w:p w14:paraId="2689723E" w14:textId="77777777" w:rsidR="003F5D68" w:rsidRPr="00511005" w:rsidRDefault="003F5D68" w:rsidP="003A292D">
      <w:pPr>
        <w:keepNext/>
        <w:suppressAutoHyphens/>
        <w:spacing w:line="264" w:lineRule="auto"/>
        <w:ind w:firstLine="0"/>
        <w:jc w:val="left"/>
        <w:rPr>
          <w:rFonts w:ascii="Arial" w:hAnsi="Arial" w:cs="Arial"/>
          <w:szCs w:val="28"/>
        </w:rPr>
      </w:pPr>
    </w:p>
    <w:p w14:paraId="01F0842D" w14:textId="2D6EBCD6" w:rsidR="003F5D68" w:rsidRPr="00511005" w:rsidRDefault="003F5D68" w:rsidP="003A292D">
      <w:pPr>
        <w:pStyle w:val="aa"/>
        <w:spacing w:before="0" w:after="0" w:line="264" w:lineRule="auto"/>
        <w:rPr>
          <w:rFonts w:ascii="Arial" w:hAnsi="Arial" w:cs="Arial"/>
          <w:color w:val="auto"/>
          <w:sz w:val="28"/>
          <w:szCs w:val="28"/>
        </w:rPr>
      </w:pPr>
      <w:bookmarkStart w:id="209" w:name="_Toc208299003"/>
      <w:r w:rsidRPr="00511005">
        <w:rPr>
          <w:rFonts w:ascii="Arial" w:hAnsi="Arial" w:cs="Arial"/>
          <w:color w:val="auto"/>
          <w:sz w:val="28"/>
          <w:szCs w:val="28"/>
        </w:rPr>
        <w:t xml:space="preserve">СЕКЦІЯ </w:t>
      </w:r>
      <w:r w:rsidRPr="00511005">
        <w:rPr>
          <w:rFonts w:ascii="Arial" w:hAnsi="Arial" w:cs="Arial"/>
          <w:color w:val="auto"/>
          <w:sz w:val="28"/>
          <w:szCs w:val="28"/>
          <w:lang w:val="ru-RU"/>
        </w:rPr>
        <w:t>14. АКТУАЛЬНІ ПИТАННЯ КРИМІНАЛЬНОГО ПРАВА</w:t>
      </w:r>
      <w:bookmarkEnd w:id="209"/>
      <w:r w:rsidRPr="00511005">
        <w:rPr>
          <w:rFonts w:ascii="Arial" w:hAnsi="Arial" w:cs="Arial"/>
          <w:color w:val="auto"/>
          <w:sz w:val="28"/>
          <w:szCs w:val="28"/>
        </w:rPr>
        <w:t xml:space="preserve"> </w:t>
      </w:r>
    </w:p>
    <w:p w14:paraId="030B690D" w14:textId="77777777" w:rsidR="003F5D68" w:rsidRPr="00511005" w:rsidRDefault="003F5D68" w:rsidP="003A292D">
      <w:pPr>
        <w:keepNext/>
        <w:spacing w:line="264" w:lineRule="auto"/>
        <w:ind w:firstLine="0"/>
        <w:jc w:val="left"/>
        <w:rPr>
          <w:rFonts w:ascii="Arial" w:hAnsi="Arial" w:cs="Arial"/>
          <w:szCs w:val="28"/>
        </w:rPr>
      </w:pPr>
    </w:p>
    <w:p w14:paraId="69BE744A" w14:textId="77777777" w:rsidR="00200E87" w:rsidRPr="00511005" w:rsidRDefault="00200E87" w:rsidP="003A292D">
      <w:pPr>
        <w:spacing w:line="264" w:lineRule="auto"/>
        <w:ind w:firstLine="0"/>
        <w:jc w:val="center"/>
        <w:rPr>
          <w:rFonts w:ascii="Arial" w:eastAsia="Calibri" w:hAnsi="Arial" w:cs="Arial"/>
          <w:b/>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t>Алі Максим Гайсович</w:t>
      </w:r>
    </w:p>
    <w:p w14:paraId="4A801AF1" w14:textId="0ADB04B5" w:rsidR="00200E87" w:rsidRPr="00511005" w:rsidRDefault="00536AAB"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студент 2-го курсу факультету адвокатури та антикорупційної діяльності</w:t>
      </w:r>
    </w:p>
    <w:p w14:paraId="2F966425" w14:textId="49D35F03" w:rsidR="00200E87" w:rsidRPr="00511005" w:rsidRDefault="00C66506"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Національного університету «Одеська юридична академія»</w:t>
      </w:r>
    </w:p>
    <w:p w14:paraId="378CBC0E" w14:textId="77777777" w:rsidR="00200E87" w:rsidRPr="00511005" w:rsidRDefault="00200E87" w:rsidP="003A292D">
      <w:pPr>
        <w:spacing w:line="264" w:lineRule="auto"/>
        <w:ind w:firstLine="0"/>
        <w:jc w:val="center"/>
        <w:rPr>
          <w:rFonts w:ascii="Arial" w:eastAsia="Calibri" w:hAnsi="Arial" w:cs="Arial"/>
          <w:kern w:val="2"/>
          <w:szCs w:val="28"/>
          <w:lang w:val="uk-UA"/>
          <w14:ligatures w14:val="standardContextual"/>
        </w:rPr>
      </w:pPr>
    </w:p>
    <w:p w14:paraId="2D172C0B" w14:textId="77777777" w:rsidR="00200E87" w:rsidRPr="00511005" w:rsidRDefault="00200E87" w:rsidP="003A292D">
      <w:pPr>
        <w:spacing w:line="264" w:lineRule="auto"/>
        <w:ind w:firstLine="0"/>
        <w:jc w:val="center"/>
        <w:rPr>
          <w:rFonts w:ascii="Arial" w:eastAsia="Calibri" w:hAnsi="Arial" w:cs="Arial"/>
          <w:b/>
          <w:bCs/>
          <w:kern w:val="2"/>
          <w:szCs w:val="28"/>
          <w14:ligatures w14:val="standardContextual"/>
        </w:rPr>
      </w:pPr>
      <w:r w:rsidRPr="00511005">
        <w:rPr>
          <w:rFonts w:ascii="Arial" w:eastAsia="Calibri" w:hAnsi="Arial" w:cs="Arial"/>
          <w:b/>
          <w:bCs/>
          <w:kern w:val="2"/>
          <w:szCs w:val="28"/>
          <w14:ligatures w14:val="standardContextual"/>
        </w:rPr>
        <w:t xml:space="preserve">ПРОБЛЕМА ВИЗНАЧЕННЯ МЕЖ НЕОБХІДНОЇ ОБОРОНИ </w:t>
      </w:r>
    </w:p>
    <w:p w14:paraId="6D017C5B" w14:textId="77777777" w:rsidR="00200E87" w:rsidRPr="00511005" w:rsidRDefault="00200E87" w:rsidP="003A292D">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14:ligatures w14:val="standardContextual"/>
        </w:rPr>
        <w:t>ТА ЇХНЬОГО ПЕРЕВИЩЕННЯ</w:t>
      </w:r>
    </w:p>
    <w:p w14:paraId="6D0CB182"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Нині держава визначила право на самозахист у громадян в межах законодавства. У судовій практиці застосовуються такі терміни як: «необхідна оборона», «перевищення меж необхідної оборони», все частіше. Ці поняття доволі оціночні, судова практика не рідко трактує їх по-різному, що спричиняє правову невизначеність. На законодавчому рівні визначено поняття та основні ознаки щодо необхідної оборони та перевищення її меж. Але не вказано чіткої грані, яка дозволяє зрозуміти, коли відбувається класифікаційний перехід від одного поняття до іншого, задля того щоб в окремих випадках більш коректно кваліфікувати діяння особи. Адже може постати логічне питання: «Оборона чи злочин з прямим умислом?», «Оборона ще була необхідною чи діяння перейшло в карані дії?»</w:t>
      </w:r>
    </w:p>
    <w:p w14:paraId="1B02AB36"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Звертаючи увагу на деякі законодавчі акти, які стосуються необхідної оборони, доцільно буде згадати такі як:</w:t>
      </w:r>
    </w:p>
    <w:p w14:paraId="506EE825" w14:textId="77777777" w:rsidR="00200E87" w:rsidRPr="00511005" w:rsidRDefault="00200E87" w:rsidP="003F6A5D">
      <w:pPr>
        <w:numPr>
          <w:ilvl w:val="0"/>
          <w:numId w:val="505"/>
        </w:numPr>
        <w:spacing w:line="264" w:lineRule="auto"/>
        <w:ind w:left="0" w:firstLine="360"/>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Конституція України</w:t>
      </w:r>
      <w:r w:rsidRPr="00511005">
        <w:rPr>
          <w:rFonts w:ascii="Arial" w:eastAsia="Calibri" w:hAnsi="Arial" w:cs="Arial"/>
          <w:kern w:val="2"/>
          <w:szCs w:val="28"/>
          <w14:ligatures w14:val="standardContextual"/>
        </w:rPr>
        <w:t xml:space="preserve"> </w:t>
      </w:r>
      <w:r w:rsidRPr="00511005">
        <w:rPr>
          <w:rFonts w:ascii="Arial" w:eastAsia="Calibri" w:hAnsi="Arial" w:cs="Arial"/>
          <w:kern w:val="2"/>
          <w:szCs w:val="28"/>
          <w:lang w:val="uk-UA"/>
          <w14:ligatures w14:val="standardContextual"/>
        </w:rPr>
        <w:t>[1]. Основний закон держави визначає, що є «самозахист». Закон проголошує право на самозахист як невід’ємне право кожної людини, незважаючи на професійну та фізичну підготовку. Можливість використовувати це право має кожен, хоча закон не зобов’язує обов’язково застосовувати необхідну оборону. Зокрема, відповідно до ч. 3 ст. 27 Конституції України, громадянин має право захищати життя та здоров’я(своє або інших осіб), від незаконних посягань.</w:t>
      </w:r>
    </w:p>
    <w:p w14:paraId="49CCAFC1" w14:textId="77777777" w:rsidR="00200E87" w:rsidRPr="00511005" w:rsidRDefault="00200E87" w:rsidP="003F6A5D">
      <w:pPr>
        <w:numPr>
          <w:ilvl w:val="0"/>
          <w:numId w:val="505"/>
        </w:numPr>
        <w:spacing w:line="264" w:lineRule="auto"/>
        <w:ind w:left="0" w:firstLine="360"/>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Кримінальний кодекс України</w:t>
      </w:r>
      <w:r w:rsidRPr="00511005">
        <w:rPr>
          <w:rFonts w:ascii="Arial" w:eastAsia="Calibri" w:hAnsi="Arial" w:cs="Arial"/>
          <w:kern w:val="2"/>
          <w:szCs w:val="28"/>
          <w14:ligatures w14:val="standardContextual"/>
        </w:rPr>
        <w:t xml:space="preserve"> </w:t>
      </w:r>
      <w:r w:rsidRPr="00511005">
        <w:rPr>
          <w:rFonts w:ascii="Arial" w:eastAsia="Calibri" w:hAnsi="Arial" w:cs="Arial"/>
          <w:kern w:val="2"/>
          <w:szCs w:val="28"/>
          <w:lang w:val="uk-UA"/>
          <w14:ligatures w14:val="standardContextual"/>
        </w:rPr>
        <w:t>[</w:t>
      </w:r>
      <w:r w:rsidRPr="00511005">
        <w:rPr>
          <w:rFonts w:ascii="Arial" w:eastAsia="Calibri" w:hAnsi="Arial" w:cs="Arial"/>
          <w:kern w:val="2"/>
          <w:szCs w:val="28"/>
          <w14:ligatures w14:val="standardContextual"/>
        </w:rPr>
        <w:t>2</w:t>
      </w:r>
      <w:r w:rsidRPr="00511005">
        <w:rPr>
          <w:rFonts w:ascii="Arial" w:eastAsia="Calibri" w:hAnsi="Arial" w:cs="Arial"/>
          <w:kern w:val="2"/>
          <w:szCs w:val="28"/>
          <w:lang w:val="uk-UA"/>
          <w14:ligatures w14:val="standardContextual"/>
        </w:rPr>
        <w:t>]. У пункті 1 ст. 36 КК України висвітлюється поняття та ознаки. У кодексі, законодавець, розмежовує поняття необхідної оборони, уявної оборони (ч. 1 ст. 37) та крайньої необхідності (ч. 1 ст. 39).</w:t>
      </w:r>
    </w:p>
    <w:p w14:paraId="4C7F508F" w14:textId="77777777" w:rsidR="00200E87" w:rsidRPr="00511005" w:rsidRDefault="00200E87" w:rsidP="003F6A5D">
      <w:pPr>
        <w:numPr>
          <w:ilvl w:val="0"/>
          <w:numId w:val="505"/>
        </w:numPr>
        <w:spacing w:line="264" w:lineRule="auto"/>
        <w:ind w:left="0" w:firstLine="360"/>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Постанова Пленуму Верховного Суду України від 26 квітня 2002 року №1 «Про судову практику у справах про необхідну оборону»</w:t>
      </w:r>
      <w:r w:rsidRPr="00511005">
        <w:rPr>
          <w:rFonts w:ascii="Arial" w:eastAsia="Calibri" w:hAnsi="Arial" w:cs="Arial"/>
          <w:kern w:val="2"/>
          <w:szCs w:val="28"/>
          <w14:ligatures w14:val="standardContextual"/>
        </w:rPr>
        <w:t xml:space="preserve"> </w:t>
      </w:r>
      <w:r w:rsidRPr="00511005">
        <w:rPr>
          <w:rFonts w:ascii="Arial" w:eastAsia="Calibri" w:hAnsi="Arial" w:cs="Arial"/>
          <w:kern w:val="2"/>
          <w:szCs w:val="28"/>
          <w:lang w:val="uk-UA"/>
          <w14:ligatures w14:val="standardContextual"/>
        </w:rPr>
        <w:t>[</w:t>
      </w:r>
      <w:r w:rsidRPr="00511005">
        <w:rPr>
          <w:rFonts w:ascii="Arial" w:eastAsia="Calibri" w:hAnsi="Arial" w:cs="Arial"/>
          <w:kern w:val="2"/>
          <w:szCs w:val="28"/>
          <w14:ligatures w14:val="standardContextual"/>
        </w:rPr>
        <w:t>3</w:t>
      </w:r>
      <w:r w:rsidRPr="00511005">
        <w:rPr>
          <w:rFonts w:ascii="Arial" w:eastAsia="Calibri" w:hAnsi="Arial" w:cs="Arial"/>
          <w:kern w:val="2"/>
          <w:szCs w:val="28"/>
          <w:lang w:val="uk-UA"/>
          <w14:ligatures w14:val="standardContextual"/>
        </w:rPr>
        <w:t>]. Окреслюються випадки та підстави для застосування. Зокрема, у другому абзаці пункту 2 постанови зазначено, що стан необхідної оборони може з’являтися не тільки під час суспільно небезпечного посягання, але й під час реальної загрози завдання шкоди.</w:t>
      </w:r>
    </w:p>
    <w:p w14:paraId="4B4268CC"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Крім того існують різноманітні наукові статті, де науковці пропонують своє поняття та пропонують індивідуальні розмежування понять, способи їх застосування. Діяння осіб у цьому випадку характеризуються з </w:t>
      </w:r>
      <w:r w:rsidRPr="00511005">
        <w:rPr>
          <w:rFonts w:ascii="Arial" w:eastAsia="Calibri" w:hAnsi="Arial" w:cs="Arial"/>
          <w:kern w:val="2"/>
          <w:szCs w:val="28"/>
          <w:lang w:val="uk-UA"/>
          <w14:ligatures w14:val="standardContextual"/>
        </w:rPr>
        <w:lastRenderedPageBreak/>
        <w:t xml:space="preserve">використанням терміну «сильне душевне хвилювання». Це є коректно під час розгляду дій особи, яка обороняється від злочинного посягання. </w:t>
      </w:r>
    </w:p>
    <w:p w14:paraId="4DBB34B2"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Слід обов’язково враховувати психоемоційний стан. Зазвичай така особа перебуває в стані сильного душевного хвилювання, спричиненого раптовим і небезпечним нападом. За подібних умов вона може бути неспроможною об’єктивно оцінити рівень загрози та обрати відповідний до обставин спосіб захисту. Це іноді призводить до завдання шкоди нападнику, яка перевищує реальну небезпеку, що загрожувала оборонцеві. Проте такі випадки не завжди свідчать про перевищення меж необхідної оборони. Важливо пам’ятати, що у стані сильного емоційного збудження особа не завжди може точно визначити характер загрози та пропорційно на неї відреагувати, враховуючи часовий проміжок на прийняття відповідного рішення щодо захисту. Крім того, встановити межу, за якою шкода вважається одночасно «мінімально необхідною» і «достатньою» для припинення нападу, доволі складно, а в окремих випадках неможливо.</w:t>
      </w:r>
    </w:p>
    <w:p w14:paraId="21E181A8"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Так Постанова Верховного Суду від 22 лютого 2024 року, у справі № 331/3020/17 [</w:t>
      </w:r>
      <w:r w:rsidRPr="00511005">
        <w:rPr>
          <w:rFonts w:ascii="Arial" w:eastAsia="Calibri" w:hAnsi="Arial" w:cs="Arial"/>
          <w:kern w:val="2"/>
          <w:szCs w:val="28"/>
          <w14:ligatures w14:val="standardContextual"/>
        </w:rPr>
        <w:t>4</w:t>
      </w:r>
      <w:r w:rsidRPr="00511005">
        <w:rPr>
          <w:rFonts w:ascii="Arial" w:eastAsia="Calibri" w:hAnsi="Arial" w:cs="Arial"/>
          <w:kern w:val="2"/>
          <w:szCs w:val="28"/>
          <w:lang w:val="uk-UA"/>
          <w14:ligatures w14:val="standardContextual"/>
        </w:rPr>
        <w:t>], проголошує що право на необхідну оборону виникає лише за певних умов. Передусім дії в межах необхідної оборони повинні бути спрямовані на захист законних прав та інтересів як особи, яка обороняється, так і інших громадян або юридичних осіб, а також на охорону суспільних і державних інтересів. По-друге оборонятися дозволено лише у відповідь на суспільно небезпечне посягання, що має ознаки злочину, передбаченого кримінальним законом. По-третє захист має бути своєчасним — тобто здійснюватися безпосередньо в момент нападу. Якщо загроза вже минула, правові підстави для оборони зникають. Важливо, щоб посягання було реальним, а не вигаданим (уявним). По-четверте завдання шкоди допускається тільки стосовно особи, яка здійснює посягання, і вона повинна бути пропорційною загрозі — тобто такою, що є необхідною та достатньою для негайного припинення чи відвернення небезпеки.</w:t>
      </w:r>
    </w:p>
    <w:p w14:paraId="6337E092"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У контексті вищезазначеного одним із ключових напрямів подальших наукових досліджень є визначення чітких(додаткових) критеріїв, за яких дії, вчинені при умовах перевищення меж необхідної оборони є кримінально караними, а також окреслення випадків, коли така відповідальність виключається. Окремі елементи цієї проблематики досі залишаються недостатньо вивченими, оскільки вбивство, скоєне при перевищенні меж самооборони, становить особливий різновид умисного позбавлення життя, що супроводжується пом’якшуючими обставинами. Відмінність таких ситуацій полягає в специфічних умовах, за яких відбувається посягання, а також у додаткових характеристиках, що визначають сутність і рівень небезпеки для життя.</w:t>
      </w:r>
    </w:p>
    <w:p w14:paraId="71AF395F"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Всебічне дослідження цієї теми є необхідною умовою для вироблення узгоджених та обґрунтованих правових позицій та затвердження нових </w:t>
      </w:r>
      <w:r w:rsidRPr="00511005">
        <w:rPr>
          <w:rFonts w:ascii="Arial" w:eastAsia="Calibri" w:hAnsi="Arial" w:cs="Arial"/>
          <w:kern w:val="2"/>
          <w:szCs w:val="28"/>
          <w:lang w:val="uk-UA"/>
          <w14:ligatures w14:val="standardContextual"/>
        </w:rPr>
        <w:lastRenderedPageBreak/>
        <w:t>законодавчих актів щодо оцінки дій осіб, які перевищили межі необхідної оборони.</w:t>
      </w:r>
    </w:p>
    <w:p w14:paraId="6A38E6C6"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Підсумовуючи, варто зазначити, що для правильної правової оцінки таких ситуацій необхідно детально аналізувати не лише сам факт перевищення меж оборони, а й психоемоційний стан особи, що захищається, а також конкретні обставини, які супроводжують вчинене</w:t>
      </w:r>
      <w:r w:rsidRPr="00511005">
        <w:rPr>
          <w:rFonts w:ascii="Arial" w:eastAsia="Calibri" w:hAnsi="Arial" w:cs="Arial"/>
          <w:b/>
          <w:bCs/>
          <w:kern w:val="2"/>
          <w:szCs w:val="28"/>
          <w:lang w:val="uk-UA"/>
          <w14:ligatures w14:val="standardContextual"/>
        </w:rPr>
        <w:t xml:space="preserve"> </w:t>
      </w:r>
      <w:r w:rsidRPr="00511005">
        <w:rPr>
          <w:rFonts w:ascii="Arial" w:eastAsia="Calibri" w:hAnsi="Arial" w:cs="Arial"/>
          <w:kern w:val="2"/>
          <w:szCs w:val="28"/>
          <w:lang w:val="uk-UA"/>
          <w14:ligatures w14:val="standardContextual"/>
        </w:rPr>
        <w:t>діяння. При судовому розгляді суд, в деяких випадках, посилається на висновки Верховного суду щодо подібних ситуацій за відповідною статтею. Розкриваючи оціночні поняття обставин та емоційного стану, Постанова Верховного Суду від 22 лютого 2024 року, у справі № 331/3020/17 [</w:t>
      </w:r>
      <w:r w:rsidRPr="00511005">
        <w:rPr>
          <w:rFonts w:ascii="Arial" w:eastAsia="Calibri" w:hAnsi="Arial" w:cs="Arial"/>
          <w:kern w:val="2"/>
          <w:szCs w:val="28"/>
          <w14:ligatures w14:val="standardContextual"/>
        </w:rPr>
        <w:t>5</w:t>
      </w:r>
      <w:r w:rsidRPr="00511005">
        <w:rPr>
          <w:rFonts w:ascii="Arial" w:eastAsia="Calibri" w:hAnsi="Arial" w:cs="Arial"/>
          <w:kern w:val="2"/>
          <w:szCs w:val="28"/>
          <w:lang w:val="uk-UA"/>
          <w14:ligatures w14:val="standardContextual"/>
        </w:rPr>
        <w:t xml:space="preserve">], розкриває суть права на оборону, що зберігається до того часу, поки триває небезпечне посягання, а особа, яка обороняється, не усвідомила або не могла об'єктивно усвідомити, що загроза вже припинилася. Водночас слід пам’ятати, що суд касаційної інстанції не аналізує фактичні обставини справи, а займається виключно оцінкою правильності застосування норм матеріального і процесуального права, що свідчить про необхідність досконалого процесу розслідування справи, під час стадії досудового розслідування. Це дозволить забезпечити справедливе покарання та уникнути надмірного кримінального переслідування осіб, що опинились у критичних умовах. </w:t>
      </w:r>
    </w:p>
    <w:p w14:paraId="23FA1E1C"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Подальші дослідження та вдосконалення правової практики в цій галузі-є важливими і пріоритетними завданнями на майбутнє, що дасть змогу коректно визначати межу між необхідно обороною та перевищенням її меж.</w:t>
      </w:r>
    </w:p>
    <w:p w14:paraId="4D61EC64"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p>
    <w:p w14:paraId="40B69876" w14:textId="47A58FF9" w:rsidR="00200E87" w:rsidRPr="00511005" w:rsidRDefault="00200E87" w:rsidP="003A292D">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 xml:space="preserve">Список </w:t>
      </w:r>
      <w:r w:rsidR="00875A11">
        <w:rPr>
          <w:rFonts w:ascii="Arial" w:eastAsia="Calibri" w:hAnsi="Arial" w:cs="Arial"/>
          <w:b/>
          <w:bCs/>
          <w:kern w:val="2"/>
          <w:szCs w:val="28"/>
          <w:lang w:val="uk-UA"/>
          <w14:ligatures w14:val="standardContextual"/>
        </w:rPr>
        <w:t>використаних джерел</w:t>
      </w:r>
    </w:p>
    <w:p w14:paraId="3803C26E" w14:textId="77777777" w:rsidR="00200E87" w:rsidRPr="00511005" w:rsidRDefault="00200E87" w:rsidP="003F6A5D">
      <w:pPr>
        <w:numPr>
          <w:ilvl w:val="0"/>
          <w:numId w:val="504"/>
        </w:numPr>
        <w:snapToGrid w:val="0"/>
        <w:spacing w:line="264" w:lineRule="auto"/>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Конституція України від 28.06.1996 р. URL: </w:t>
      </w:r>
      <w:hyperlink r:id="rId1744" w:history="1">
        <w:r w:rsidRPr="00511005">
          <w:rPr>
            <w:rFonts w:ascii="Arial" w:eastAsia="Calibri" w:hAnsi="Arial" w:cs="Arial"/>
            <w:kern w:val="2"/>
            <w:szCs w:val="28"/>
            <w:lang w:val="uk-UA"/>
            <w14:ligatures w14:val="standardContextual"/>
          </w:rPr>
          <w:t>https://www.president.gov.ua/documents/constitution</w:t>
        </w:r>
      </w:hyperlink>
    </w:p>
    <w:p w14:paraId="0346CE75" w14:textId="77777777" w:rsidR="00200E87" w:rsidRPr="00511005" w:rsidRDefault="00200E87" w:rsidP="003F6A5D">
      <w:pPr>
        <w:numPr>
          <w:ilvl w:val="0"/>
          <w:numId w:val="504"/>
        </w:numPr>
        <w:snapToGrid w:val="0"/>
        <w:spacing w:line="264" w:lineRule="auto"/>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Кримінальний кодекс України від 05.04.2001 р. URL: </w:t>
      </w:r>
      <w:hyperlink r:id="rId1745" w:anchor="Text" w:history="1">
        <w:r w:rsidRPr="00511005">
          <w:rPr>
            <w:rFonts w:ascii="Arial" w:eastAsia="Calibri" w:hAnsi="Arial" w:cs="Arial"/>
            <w:kern w:val="2"/>
            <w:szCs w:val="28"/>
            <w:lang w:val="uk-UA"/>
            <w14:ligatures w14:val="standardContextual"/>
          </w:rPr>
          <w:t>https://zakon.rada.gov.ua/laws/show/2341-14#Text</w:t>
        </w:r>
      </w:hyperlink>
      <w:r w:rsidRPr="00511005">
        <w:rPr>
          <w:rFonts w:ascii="Arial" w:eastAsia="Calibri" w:hAnsi="Arial" w:cs="Arial"/>
          <w:kern w:val="2"/>
          <w:szCs w:val="28"/>
          <w:lang w:val="uk-UA"/>
          <w14:ligatures w14:val="standardContextual"/>
        </w:rPr>
        <w:t xml:space="preserve"> </w:t>
      </w:r>
    </w:p>
    <w:p w14:paraId="4E6AFF79" w14:textId="330FB732" w:rsidR="00200E87" w:rsidRPr="00511005" w:rsidRDefault="00200E87" w:rsidP="003F6A5D">
      <w:pPr>
        <w:numPr>
          <w:ilvl w:val="0"/>
          <w:numId w:val="504"/>
        </w:numPr>
        <w:snapToGrid w:val="0"/>
        <w:spacing w:line="264" w:lineRule="auto"/>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Постанова Пленуму Верховного Суду України від 26.04.2002 р. №1 «Про судову практику у справах про необхідну оборону» URL:</w:t>
      </w:r>
      <w:r w:rsidR="007B2628" w:rsidRPr="00511005">
        <w:rPr>
          <w:rFonts w:ascii="Arial" w:eastAsia="Calibri" w:hAnsi="Arial" w:cs="Arial"/>
          <w:kern w:val="2"/>
          <w:szCs w:val="28"/>
          <w:lang w:val="uk-UA"/>
          <w14:ligatures w14:val="standardContextual"/>
        </w:rPr>
        <w:t xml:space="preserve"> </w:t>
      </w:r>
      <w:hyperlink r:id="rId1746" w:anchor="Text" w:history="1">
        <w:r w:rsidRPr="00511005">
          <w:rPr>
            <w:rFonts w:ascii="Arial" w:eastAsia="Calibri" w:hAnsi="Arial" w:cs="Arial"/>
            <w:kern w:val="2"/>
            <w:szCs w:val="28"/>
            <w:lang w:val="uk-UA"/>
            <w14:ligatures w14:val="standardContextual"/>
          </w:rPr>
          <w:t>https://zakon.rada.gov.ua/laws/show/v0001700-02#Text</w:t>
        </w:r>
      </w:hyperlink>
    </w:p>
    <w:p w14:paraId="79D79BCC" w14:textId="77777777" w:rsidR="00200E87" w:rsidRPr="00511005" w:rsidRDefault="00200E87" w:rsidP="003F6A5D">
      <w:pPr>
        <w:numPr>
          <w:ilvl w:val="0"/>
          <w:numId w:val="504"/>
        </w:numPr>
        <w:snapToGrid w:val="0"/>
        <w:spacing w:line="264" w:lineRule="auto"/>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Постанова Верховного Суду від 22 лютого 2024 року, у справі № 331/3020/17 // Єдиний державний реєстр судових рішень. URL: https://reyestr.court.gov.ua/Review/117718320</w:t>
      </w:r>
    </w:p>
    <w:p w14:paraId="5F80E5F5" w14:textId="2E353E98" w:rsidR="00200E87" w:rsidRPr="00511005" w:rsidRDefault="00200E87" w:rsidP="003F6A5D">
      <w:pPr>
        <w:numPr>
          <w:ilvl w:val="0"/>
          <w:numId w:val="504"/>
        </w:numPr>
        <w:snapToGrid w:val="0"/>
        <w:spacing w:line="264" w:lineRule="auto"/>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Постанова Верховного Суду від 18 грудня 2024 року у справі № 199/8894/21</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 xml:space="preserve">// Єдиний державний реєстр судових рішень. URL: </w:t>
      </w:r>
      <w:hyperlink r:id="rId1747" w:history="1">
        <w:r w:rsidRPr="00511005">
          <w:rPr>
            <w:rFonts w:ascii="Arial" w:eastAsia="Calibri" w:hAnsi="Arial" w:cs="Arial"/>
            <w:kern w:val="2"/>
            <w:szCs w:val="28"/>
            <w:lang w:val="uk-UA"/>
            <w14:ligatures w14:val="standardContextual"/>
          </w:rPr>
          <w:t>https://reyestr.court.gov.ua/Review/115861639</w:t>
        </w:r>
      </w:hyperlink>
    </w:p>
    <w:p w14:paraId="6F02C3CA" w14:textId="77777777" w:rsidR="00200E87" w:rsidRPr="00511005" w:rsidRDefault="00200E87" w:rsidP="003A292D">
      <w:pPr>
        <w:snapToGrid w:val="0"/>
        <w:spacing w:line="264" w:lineRule="auto"/>
        <w:ind w:firstLine="0"/>
        <w:rPr>
          <w:rFonts w:ascii="Arial" w:eastAsia="Calibri" w:hAnsi="Arial" w:cs="Arial"/>
          <w:b/>
          <w:bCs/>
          <w:kern w:val="2"/>
          <w:szCs w:val="28"/>
          <w:lang w:val="uk-UA"/>
          <w14:ligatures w14:val="standardContextual"/>
        </w:rPr>
      </w:pPr>
    </w:p>
    <w:p w14:paraId="581E09C7" w14:textId="77777777" w:rsidR="00200E87" w:rsidRPr="00511005" w:rsidRDefault="00200E87" w:rsidP="003A292D">
      <w:pPr>
        <w:snapToGrid w:val="0"/>
        <w:spacing w:line="264" w:lineRule="auto"/>
        <w:ind w:firstLine="0"/>
        <w:rPr>
          <w:rFonts w:ascii="Arial" w:eastAsia="Calibri" w:hAnsi="Arial" w:cs="Arial"/>
          <w:b/>
          <w:bCs/>
          <w:kern w:val="2"/>
          <w:szCs w:val="28"/>
          <w:lang w:val="uk-UA"/>
          <w14:ligatures w14:val="standardContextual"/>
        </w:rPr>
      </w:pPr>
    </w:p>
    <w:p w14:paraId="1369F8A1" w14:textId="53682A28" w:rsidR="00200E87" w:rsidRPr="00511005" w:rsidRDefault="007B2628" w:rsidP="003A292D">
      <w:pPr>
        <w:snapToGrid w:val="0"/>
        <w:spacing w:line="264" w:lineRule="auto"/>
        <w:ind w:firstLine="0"/>
        <w:rPr>
          <w:rFonts w:ascii="Arial" w:eastAsia="Calibri" w:hAnsi="Arial" w:cs="Arial"/>
          <w:b/>
          <w:bCs/>
          <w:kern w:val="2"/>
          <w:szCs w:val="28"/>
          <w:lang w:val="uk-UA"/>
          <w14:ligatures w14:val="standardContextual"/>
        </w:rPr>
      </w:pPr>
      <w:r w:rsidRPr="00511005">
        <w:rPr>
          <w:rFonts w:ascii="Arial" w:eastAsia="Calibri" w:hAnsi="Arial" w:cs="Arial"/>
          <w:b/>
          <w:bCs/>
          <w:i/>
          <w:kern w:val="2"/>
          <w:szCs w:val="28"/>
          <w:lang w:val="uk-UA"/>
          <w14:ligatures w14:val="standardContextual"/>
        </w:rPr>
        <w:t xml:space="preserve">Ключові слова: </w:t>
      </w:r>
      <w:r w:rsidR="00200E87" w:rsidRPr="00511005">
        <w:rPr>
          <w:rFonts w:ascii="Arial" w:eastAsia="Calibri" w:hAnsi="Arial" w:cs="Arial"/>
          <w:kern w:val="2"/>
          <w:szCs w:val="28"/>
          <w:lang w:val="uk-UA"/>
          <w14:ligatures w14:val="standardContextual"/>
        </w:rPr>
        <w:t>необхідна оборона, перевищення меж, захист, самозахист, суспільно небезпечного посягання, психоемоційний стан, відповідальність.</w:t>
      </w:r>
    </w:p>
    <w:p w14:paraId="6373EA17" w14:textId="7CBB4B7E" w:rsidR="00200E87" w:rsidRPr="00511005" w:rsidRDefault="007B2628" w:rsidP="003A292D">
      <w:pPr>
        <w:snapToGrid w:val="0"/>
        <w:spacing w:line="264" w:lineRule="auto"/>
        <w:ind w:firstLine="0"/>
        <w:rPr>
          <w:rFonts w:ascii="Arial" w:eastAsia="Calibri" w:hAnsi="Arial" w:cs="Arial"/>
          <w:bCs/>
          <w:kern w:val="2"/>
          <w:szCs w:val="28"/>
          <w:lang w:val="en-US"/>
          <w14:ligatures w14:val="standardContextual"/>
        </w:rPr>
      </w:pPr>
      <w:r w:rsidRPr="00511005">
        <w:rPr>
          <w:rFonts w:ascii="Arial" w:eastAsia="Calibri" w:hAnsi="Arial" w:cs="Arial"/>
          <w:b/>
          <w:i/>
          <w:kern w:val="2"/>
          <w:szCs w:val="28"/>
          <w:lang w:val="en-US"/>
          <w14:ligatures w14:val="standardContextual"/>
        </w:rPr>
        <w:lastRenderedPageBreak/>
        <w:t xml:space="preserve">Key words: </w:t>
      </w:r>
      <w:r w:rsidR="00200E87" w:rsidRPr="00511005">
        <w:rPr>
          <w:rFonts w:ascii="Arial" w:eastAsia="Calibri" w:hAnsi="Arial" w:cs="Arial"/>
          <w:bCs/>
          <w:kern w:val="2"/>
          <w:szCs w:val="28"/>
          <w:lang w:val="en"/>
          <w14:ligatures w14:val="standardContextual"/>
        </w:rPr>
        <w:t>necessary defense, exceeding limits, protection, self-defense, socially dangerous encroachment, psycho-emotional state, responsibility.</w:t>
      </w:r>
    </w:p>
    <w:p w14:paraId="70E857A2" w14:textId="300FF421" w:rsidR="00200E87" w:rsidRPr="00511005" w:rsidRDefault="007B2628" w:rsidP="003A292D">
      <w:pPr>
        <w:snapToGrid w:val="0"/>
        <w:spacing w:line="264" w:lineRule="auto"/>
        <w:ind w:firstLine="0"/>
        <w:rPr>
          <w:rFonts w:ascii="Arial" w:eastAsia="Calibri" w:hAnsi="Arial" w:cs="Arial"/>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t xml:space="preserve">Науковий керівник: </w:t>
      </w:r>
      <w:r w:rsidR="00200E87" w:rsidRPr="00511005">
        <w:rPr>
          <w:rFonts w:ascii="Arial" w:eastAsia="Calibri" w:hAnsi="Arial" w:cs="Arial"/>
          <w:i/>
          <w:iCs/>
          <w:kern w:val="2"/>
          <w:szCs w:val="28"/>
          <w:lang w:val="uk-UA"/>
          <w14:ligatures w14:val="standardContextual"/>
        </w:rPr>
        <w:t xml:space="preserve">к.ю.н., доцент </w:t>
      </w:r>
      <w:r w:rsidR="00200E87" w:rsidRPr="00511005">
        <w:rPr>
          <w:rFonts w:ascii="Arial" w:eastAsia="Calibri" w:hAnsi="Arial" w:cs="Arial"/>
          <w:bCs/>
          <w:i/>
          <w:iCs/>
          <w:kern w:val="2"/>
          <w:szCs w:val="28"/>
          <w:lang w:val="uk-UA"/>
          <w14:ligatures w14:val="standardContextual"/>
        </w:rPr>
        <w:t>Хильченко А. С.</w:t>
      </w:r>
    </w:p>
    <w:p w14:paraId="1C76D58B"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p>
    <w:p w14:paraId="15EAFA5C"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p>
    <w:p w14:paraId="036767CE"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b/>
          <w:i/>
          <w:szCs w:val="28"/>
          <w:shd w:val="clear" w:color="auto" w:fill="FFFFFF"/>
          <w:lang w:eastAsia="ru-RU"/>
        </w:rPr>
      </w:pPr>
      <w:r w:rsidRPr="00511005">
        <w:rPr>
          <w:rFonts w:ascii="Arial" w:eastAsia="Times New Roman" w:hAnsi="Arial" w:cs="Arial"/>
          <w:b/>
          <w:i/>
          <w:szCs w:val="28"/>
          <w:shd w:val="clear" w:color="auto" w:fill="FFFFFF"/>
          <w:lang w:eastAsia="ru-RU"/>
        </w:rPr>
        <w:t>Аношина Вікторія Ігорівна</w:t>
      </w:r>
    </w:p>
    <w:p w14:paraId="7CA1D837" w14:textId="75C5551A"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67F0BB93"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958F183"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B140E82"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szCs w:val="28"/>
          <w:lang w:val="uk-UA" w:eastAsia="ru-RU" w:bidi="uk-UA"/>
        </w:rPr>
      </w:pPr>
    </w:p>
    <w:p w14:paraId="4B7D994C"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eastAsia="ru-RU" w:bidi="uk-UA"/>
        </w:rPr>
      </w:pPr>
      <w:r w:rsidRPr="00511005">
        <w:rPr>
          <w:rFonts w:ascii="Arial" w:eastAsia="Times New Roman" w:hAnsi="Arial" w:cs="Arial"/>
          <w:b/>
          <w:szCs w:val="28"/>
          <w:lang w:val="uk-UA" w:eastAsia="ru-RU" w:bidi="uk-UA"/>
        </w:rPr>
        <w:t xml:space="preserve">КОНСТРУКЦІЯ СКЛАДІВ КРИМІНАЛЬНИХ ПРАВОПОРУШЕНЬ І </w:t>
      </w:r>
      <w:r w:rsidRPr="00511005">
        <w:rPr>
          <w:rFonts w:ascii="Arial" w:eastAsia="Times New Roman" w:hAnsi="Arial" w:cs="Arial"/>
          <w:b/>
          <w:szCs w:val="28"/>
          <w:lang w:eastAsia="ru-RU" w:bidi="uk-UA"/>
        </w:rPr>
        <w:t>ВПЛИВ СУСПІЛЬНО НЕБЕЗПЕЧНИХ НАСЛІДКІВ НА КВАЛІФІКАЦІЮ КРИМІНАЛЬНОГО ПРАВОПОРУШЕННЯ</w:t>
      </w:r>
    </w:p>
    <w:p w14:paraId="2C6ECD0E"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eastAsia="ru-RU" w:bidi="uk-UA"/>
        </w:rPr>
      </w:pPr>
    </w:p>
    <w:p w14:paraId="31BD60C3"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Проблема кваліфікації кримінального правопорушення є однією з ключових у кримінальному праві, оскільки від правильного визначення складу правопорушення залежить реалізація принципу законності, справедливості й відповідальності. Однією з ключових ознак об’єктивної сторони кримінального правопорушення є </w:t>
      </w:r>
      <w:r w:rsidRPr="00511005">
        <w:rPr>
          <w:rFonts w:ascii="Arial" w:eastAsia="Times New Roman" w:hAnsi="Arial" w:cs="Arial"/>
          <w:bCs/>
          <w:szCs w:val="28"/>
          <w:lang w:val="uk-UA" w:eastAsia="ru-RU" w:bidi="uk-UA"/>
        </w:rPr>
        <w:t>суспільно небезпечні наслідки</w:t>
      </w:r>
      <w:r w:rsidRPr="00511005">
        <w:rPr>
          <w:rFonts w:ascii="Arial" w:eastAsia="Times New Roman" w:hAnsi="Arial" w:cs="Arial"/>
          <w:szCs w:val="28"/>
          <w:lang w:val="uk-UA" w:eastAsia="ru-RU" w:bidi="uk-UA"/>
        </w:rPr>
        <w:t>, які, хоча самі по собі не є окремим елементом складу правопорушення, відіграють важливу роль у його кваліфікації та визначенні ступеня тяжкості. Саме наявність або відсутність таких наслідків значною мірою впливає на правову оцінку діяння, оскільки в матеріальних складах вони є обов’язковою умовою для визнання діяння кримінальним. У практиці кримінального права суспільно небезпечні наслідки виступають важливою характеристикою, яка дозволяє встановити причинний зв’язок між діянням та його шкідливими результатами, а також визначити суспільну небезпеку вчиненого.</w:t>
      </w:r>
    </w:p>
    <w:p w14:paraId="4935E80A"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eastAsia="ru-RU" w:bidi="uk-UA"/>
        </w:rPr>
        <w:t xml:space="preserve">Існує кілька різновидів складу кримінального правопорушення, які класифікуються залежно від характеру об’єктивної сторони. Зокрема, у кримінальному праві виокремлюють </w:t>
      </w:r>
      <w:r w:rsidRPr="00511005">
        <w:rPr>
          <w:rFonts w:ascii="Arial" w:eastAsia="Times New Roman" w:hAnsi="Arial" w:cs="Arial"/>
          <w:bCs/>
          <w:szCs w:val="28"/>
          <w:lang w:eastAsia="ru-RU" w:bidi="uk-UA"/>
        </w:rPr>
        <w:t>матеріальний</w:t>
      </w:r>
      <w:r w:rsidRPr="00511005">
        <w:rPr>
          <w:rFonts w:ascii="Arial" w:eastAsia="Times New Roman" w:hAnsi="Arial" w:cs="Arial"/>
          <w:szCs w:val="28"/>
          <w:lang w:eastAsia="ru-RU" w:bidi="uk-UA"/>
        </w:rPr>
        <w:t xml:space="preserve">, </w:t>
      </w:r>
      <w:r w:rsidRPr="00511005">
        <w:rPr>
          <w:rFonts w:ascii="Arial" w:eastAsia="Times New Roman" w:hAnsi="Arial" w:cs="Arial"/>
          <w:bCs/>
          <w:szCs w:val="28"/>
          <w:lang w:eastAsia="ru-RU" w:bidi="uk-UA"/>
        </w:rPr>
        <w:t>формальний</w:t>
      </w:r>
      <w:r w:rsidRPr="00511005">
        <w:rPr>
          <w:rFonts w:ascii="Arial" w:eastAsia="Times New Roman" w:hAnsi="Arial" w:cs="Arial"/>
          <w:szCs w:val="28"/>
          <w:lang w:eastAsia="ru-RU" w:bidi="uk-UA"/>
        </w:rPr>
        <w:t xml:space="preserve"> та </w:t>
      </w:r>
      <w:r w:rsidRPr="00511005">
        <w:rPr>
          <w:rFonts w:ascii="Arial" w:eastAsia="Times New Roman" w:hAnsi="Arial" w:cs="Arial"/>
          <w:bCs/>
          <w:szCs w:val="28"/>
          <w:lang w:eastAsia="ru-RU" w:bidi="uk-UA"/>
        </w:rPr>
        <w:t>усічений</w:t>
      </w:r>
      <w:r w:rsidRPr="00511005">
        <w:rPr>
          <w:rFonts w:ascii="Arial" w:eastAsia="Times New Roman" w:hAnsi="Arial" w:cs="Arial"/>
          <w:szCs w:val="28"/>
          <w:lang w:eastAsia="ru-RU" w:bidi="uk-UA"/>
        </w:rPr>
        <w:t xml:space="preserve"> склади кримінального правопорушення.</w:t>
      </w:r>
    </w:p>
    <w:p w14:paraId="3413A140"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b/>
          <w:bCs/>
          <w:i/>
          <w:szCs w:val="28"/>
          <w:lang w:val="uk-UA" w:eastAsia="ru-RU" w:bidi="uk-UA"/>
        </w:rPr>
        <w:t>Матеріальний склад</w:t>
      </w:r>
      <w:r w:rsidRPr="00511005">
        <w:rPr>
          <w:rFonts w:ascii="Arial" w:eastAsia="Times New Roman" w:hAnsi="Arial" w:cs="Arial"/>
          <w:szCs w:val="28"/>
          <w:lang w:val="uk-UA" w:eastAsia="ru-RU" w:bidi="uk-UA"/>
        </w:rPr>
        <w:t xml:space="preserve"> передбачає, що для настання кримінальної відповідальності необхідне фактичне заподіяння шкоди або створення реальної загрози її виникнення. Наприклад, у складі убивства (ст. 115 КК України) об’єктивна сторона характеризується саме настанням смерті потерпілого. </w:t>
      </w:r>
    </w:p>
    <w:p w14:paraId="701DD104"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b/>
          <w:bCs/>
          <w:i/>
          <w:szCs w:val="28"/>
          <w:lang w:eastAsia="ru-RU" w:bidi="uk-UA"/>
        </w:rPr>
        <w:t>Формальний склад</w:t>
      </w:r>
      <w:r w:rsidRPr="00511005">
        <w:rPr>
          <w:rFonts w:ascii="Arial" w:eastAsia="Times New Roman" w:hAnsi="Arial" w:cs="Arial"/>
          <w:b/>
          <w:bCs/>
          <w:szCs w:val="28"/>
          <w:lang w:eastAsia="ru-RU" w:bidi="uk-UA"/>
        </w:rPr>
        <w:t xml:space="preserve"> </w:t>
      </w:r>
      <w:r w:rsidRPr="00511005">
        <w:rPr>
          <w:rFonts w:ascii="Arial" w:eastAsia="Times New Roman" w:hAnsi="Arial" w:cs="Arial"/>
          <w:bCs/>
          <w:szCs w:val="28"/>
          <w:lang w:eastAsia="ru-RU" w:bidi="uk-UA"/>
        </w:rPr>
        <w:t>кримінального правопорушення, навпаки, не вимагає настання конкретних наслідків для кваліфікації — достатньо самого факту вчинення заборонених дій.</w:t>
      </w:r>
      <w:r w:rsidRPr="00511005">
        <w:rPr>
          <w:rFonts w:ascii="Arial" w:eastAsia="Times New Roman" w:hAnsi="Arial" w:cs="Arial"/>
          <w:szCs w:val="28"/>
          <w:lang w:val="uk-UA" w:eastAsia="ru-RU" w:bidi="uk-UA"/>
        </w:rPr>
        <w:t xml:space="preserve"> Яскравий приклад — викрадення особи (ст. 146 КК України), де факт незаконного позбавлення волі є достатнім для вчинення злочину, незалежно від того, чи завдано потерпілому додаткової шкоди.</w:t>
      </w:r>
    </w:p>
    <w:p w14:paraId="42E86C35"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b/>
          <w:bCs/>
          <w:i/>
          <w:szCs w:val="28"/>
          <w:lang w:val="uk-UA" w:eastAsia="ru-RU" w:bidi="uk-UA"/>
        </w:rPr>
        <w:lastRenderedPageBreak/>
        <w:t>Усічений склад</w:t>
      </w:r>
      <w:r w:rsidRPr="00511005">
        <w:rPr>
          <w:rFonts w:ascii="Arial" w:eastAsia="Times New Roman" w:hAnsi="Arial" w:cs="Arial"/>
          <w:szCs w:val="28"/>
          <w:lang w:val="uk-UA" w:eastAsia="ru-RU" w:bidi="uk-UA"/>
        </w:rPr>
        <w:t> передбачає криміналізацію дій на ранній стадії їх вчинення, щоб запобігти більш тяжким наслідкам. Наприклад, розбій (ст. 187 КК України) вважається закінченим з моменту нападу з метою заволодіння майном, навіть якщо злочинець не зміг реалізувати свій намір. Тут законодавець переносить момент закінчення злочину на ранню стадію, виходячи з підвищеної небезпеки таких дій.</w:t>
      </w:r>
    </w:p>
    <w:p w14:paraId="698BFA81" w14:textId="14E570E4"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Суспільно</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небезпечні наслідки грають ключову роль у визначенні типу складу кримінального правопорушення, що, у свою чергу, впливає на обґрунтованість кримінальної відповідальності. Чітке розуміння цих категорій є необхідним для точного застосування кримінального закону та забезпечення справедливої юридичної оцінки.</w:t>
      </w:r>
    </w:p>
    <w:p w14:paraId="3A160B1E"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У більшості випадків суспільно небезпечні наслідки виступають як </w:t>
      </w:r>
      <w:r w:rsidRPr="00511005">
        <w:rPr>
          <w:rFonts w:ascii="Arial" w:eastAsia="Times New Roman" w:hAnsi="Arial" w:cs="Arial"/>
          <w:bCs/>
          <w:szCs w:val="28"/>
          <w:lang w:val="uk-UA" w:eastAsia="ru-RU" w:bidi="uk-UA"/>
        </w:rPr>
        <w:t>матеріальна ознака складу кримінального правопорушення</w:t>
      </w:r>
      <w:r w:rsidRPr="00511005">
        <w:rPr>
          <w:rFonts w:ascii="Arial" w:eastAsia="Times New Roman" w:hAnsi="Arial" w:cs="Arial"/>
          <w:szCs w:val="28"/>
          <w:lang w:val="uk-UA" w:eastAsia="ru-RU" w:bidi="uk-UA"/>
        </w:rPr>
        <w:t>, і саме наявність або відсутність таких наслідків визначає, чи має місце повний склад правопорушення. Наприклад, у випадках, коли правопорушення кваліфікується як закінчене лише після настання шкідливих наслідків (наприклад, смерть потерпілого або спричинення тяжких тілесних ушкоджень), то їх встановлення стає вирішальним для визначення відповідальності. Водночас, є склади правопорушення, в яких суспільно небезпечні наслідки є необов’язковими або припускаються, тобто вважаються можливими, але не обов’язково мають настати для того, щоб діяння вважалося кримінально караним [1].</w:t>
      </w:r>
    </w:p>
    <w:p w14:paraId="7AB55915"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Питання кваліфікації тісно пов’язане з причинно-наслідковим зв’язком між діянням і наслідками. Закон вимагає не лише встановлення факту настання певних наслідків, але й доведення того, що саме дії або бездіяльність особи були причиною цих наслідків. У правозастосовній практиці це питання часто є спірним і складним, особливо у справах, де наслідки могли виникнути в результаті сукупності дій кількох осіб або за наявності об’єктивних чинників, що не залежать від волі суб’єкта. В такому випадку кваліфікація правопорушення буде залежати від глибини аналізу причинного зв’язку, встановлення ролі кожного учасника подій та оцінки того, чи можна вважати його дії безпосередньою причиною шкідливого результату [2].</w:t>
      </w:r>
    </w:p>
    <w:p w14:paraId="1A277D02"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Не менш важливо враховувати, що суспільно небезпечні наслідки мають </w:t>
      </w:r>
      <w:r w:rsidRPr="00511005">
        <w:rPr>
          <w:rFonts w:ascii="Arial" w:eastAsia="Times New Roman" w:hAnsi="Arial" w:cs="Arial"/>
          <w:bCs/>
          <w:szCs w:val="28"/>
          <w:lang w:val="uk-UA" w:eastAsia="ru-RU" w:bidi="uk-UA"/>
        </w:rPr>
        <w:t>індивідуальне значення</w:t>
      </w:r>
      <w:r w:rsidRPr="00511005">
        <w:rPr>
          <w:rFonts w:ascii="Arial" w:eastAsia="Times New Roman" w:hAnsi="Arial" w:cs="Arial"/>
          <w:szCs w:val="28"/>
          <w:lang w:val="uk-UA" w:eastAsia="ru-RU" w:bidi="uk-UA"/>
        </w:rPr>
        <w:t xml:space="preserve"> для конкретного випадку. У деяких ситуаціях шкода, що заподіяна правопорушенням, може бути незначною або неочевидною, але з урахуванням суб’єктивної сторони (намір, мета, мотиви) діяння все одно кваліфікується як кримінально каране. </w:t>
      </w:r>
    </w:p>
    <w:p w14:paraId="77F36B4C"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Також важливо зазначити, що іноді </w:t>
      </w:r>
      <w:r w:rsidRPr="00511005">
        <w:rPr>
          <w:rFonts w:ascii="Arial" w:eastAsia="Times New Roman" w:hAnsi="Arial" w:cs="Arial"/>
          <w:bCs/>
          <w:szCs w:val="28"/>
          <w:lang w:val="uk-UA" w:eastAsia="ru-RU" w:bidi="uk-UA"/>
        </w:rPr>
        <w:t>відсутність суспільно небезпечних наслідків</w:t>
      </w:r>
      <w:r w:rsidRPr="00511005">
        <w:rPr>
          <w:rFonts w:ascii="Arial" w:eastAsia="Times New Roman" w:hAnsi="Arial" w:cs="Arial"/>
          <w:szCs w:val="28"/>
          <w:lang w:val="uk-UA" w:eastAsia="ru-RU" w:bidi="uk-UA"/>
        </w:rPr>
        <w:t xml:space="preserve"> або їх мінімізація може свідчити про відсутність складу кримінального правопорушення або наявність лише адміністративного проступку. Таким чином, правова кваліфікація у таких випадках вимагає особливої уваги до співвідношення шкоди і рівня суспільної небезпеки </w:t>
      </w:r>
      <w:r w:rsidRPr="00511005">
        <w:rPr>
          <w:rFonts w:ascii="Arial" w:eastAsia="Times New Roman" w:hAnsi="Arial" w:cs="Arial"/>
          <w:szCs w:val="28"/>
          <w:lang w:val="uk-UA" w:eastAsia="ru-RU" w:bidi="uk-UA"/>
        </w:rPr>
        <w:lastRenderedPageBreak/>
        <w:t>діяння. У цьому контексті важливою є позиція Верховного Суду України, згідно з якою кваліфікація має базуватися не лише на формальних ознаках, але й на аналізі конкретних обставин справи, включно з тяжкістю наслідків.</w:t>
      </w:r>
    </w:p>
    <w:p w14:paraId="50683DF1"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Отже, суспільно небезпечні наслідки відіграють ключову роль у процесі кваліфікації кримінального правопорушення, адже саме вони здебільшого визначають, чи є діяння суспільно небезпечним у тій мірі, щоб бути кримінально караним. Їх наявність, характер, розмір і причинний зв’язок із діями правопорушника є обов’язковими критеріями при визначенні юридичної оцінки того чи іншого кримінального правопорушення. У свою чергу, правильне тлумачення та застосування норм, що регулюють врахування наслідків, є запорукою справедливого правосуддя і захисту прав як обвинуваченого, так і потерпілого.</w:t>
      </w:r>
    </w:p>
    <w:p w14:paraId="4A1D1FCA"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p>
    <w:p w14:paraId="5A596F09" w14:textId="3110A450" w:rsidR="00200E87" w:rsidRPr="00511005" w:rsidRDefault="007B2628" w:rsidP="007B2628">
      <w:pPr>
        <w:widowControl w:val="0"/>
        <w:tabs>
          <w:tab w:val="left" w:pos="7088"/>
        </w:tabs>
        <w:autoSpaceDE w:val="0"/>
        <w:autoSpaceDN w:val="0"/>
        <w:adjustRightInd w:val="0"/>
        <w:spacing w:line="264" w:lineRule="auto"/>
        <w:ind w:firstLine="0"/>
        <w:jc w:val="center"/>
        <w:rPr>
          <w:rFonts w:ascii="Arial" w:eastAsia="Times New Roman" w:hAnsi="Arial" w:cs="Arial"/>
          <w:szCs w:val="28"/>
          <w:lang w:val="uk-UA" w:eastAsia="ru-RU" w:bidi="uk-UA"/>
        </w:rPr>
      </w:pPr>
      <w:r w:rsidRPr="00511005">
        <w:rPr>
          <w:rFonts w:ascii="Arial" w:eastAsia="Times New Roman" w:hAnsi="Arial" w:cs="Arial"/>
          <w:b/>
          <w:bCs/>
          <w:szCs w:val="28"/>
          <w:lang w:val="uk-UA" w:eastAsia="ru-RU" w:bidi="uk-UA"/>
        </w:rPr>
        <w:t>Список використаних джерел</w:t>
      </w:r>
    </w:p>
    <w:p w14:paraId="34058044" w14:textId="07698011" w:rsidR="00200E87" w:rsidRPr="00511005" w:rsidRDefault="00200E87" w:rsidP="003F6A5D">
      <w:pPr>
        <w:widowControl w:val="0"/>
        <w:numPr>
          <w:ilvl w:val="0"/>
          <w:numId w:val="489"/>
        </w:numPr>
        <w:tabs>
          <w:tab w:val="left" w:pos="993"/>
          <w:tab w:val="left" w:pos="7088"/>
        </w:tabs>
        <w:autoSpaceDE w:val="0"/>
        <w:autoSpaceDN w:val="0"/>
        <w:adjustRightInd w:val="0"/>
        <w:spacing w:line="264" w:lineRule="auto"/>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Сливка С. О. «Юридична природа суспільно небезпечних наслідків як ознаки складу злочину». Науковий вісник Ужгородського національного університету. Серія: Право.</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2020.</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 61.</w:t>
      </w:r>
    </w:p>
    <w:p w14:paraId="52167BEE" w14:textId="69E06A02" w:rsidR="00200E87" w:rsidRPr="00511005" w:rsidRDefault="00200E87" w:rsidP="003F6A5D">
      <w:pPr>
        <w:widowControl w:val="0"/>
        <w:numPr>
          <w:ilvl w:val="0"/>
          <w:numId w:val="489"/>
        </w:numPr>
        <w:tabs>
          <w:tab w:val="left" w:pos="993"/>
          <w:tab w:val="left" w:pos="7088"/>
        </w:tabs>
        <w:autoSpaceDE w:val="0"/>
        <w:autoSpaceDN w:val="0"/>
        <w:adjustRightInd w:val="0"/>
        <w:spacing w:line="264" w:lineRule="auto"/>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Науменко О. П. «Причинно-наслідковий зв’язок у кримінальному праві: доктринальні підходи та практика». Вісник кримінального судочинства. – 2021.</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 3.</w:t>
      </w:r>
    </w:p>
    <w:p w14:paraId="439D4163" w14:textId="77777777" w:rsidR="00200E87" w:rsidRPr="00511005" w:rsidRDefault="00200E87"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szCs w:val="28"/>
          <w:lang w:val="uk-UA" w:eastAsia="ru-RU" w:bidi="uk-UA"/>
        </w:rPr>
      </w:pPr>
    </w:p>
    <w:p w14:paraId="02E24A56" w14:textId="79DC5D01" w:rsidR="00200E87" w:rsidRPr="00511005" w:rsidRDefault="007B2628"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szCs w:val="28"/>
          <w:lang w:eastAsia="ru-RU"/>
        </w:rPr>
      </w:pPr>
      <w:r w:rsidRPr="00511005">
        <w:rPr>
          <w:rFonts w:ascii="Arial" w:eastAsia="Times New Roman" w:hAnsi="Arial" w:cs="Arial"/>
          <w:b/>
          <w:i/>
          <w:szCs w:val="28"/>
          <w:lang w:val="uk-UA" w:eastAsia="ru-RU" w:bidi="uk-UA"/>
        </w:rPr>
        <w:t xml:space="preserve">Ключові слова: </w:t>
      </w:r>
      <w:r w:rsidR="00200E87" w:rsidRPr="00511005">
        <w:rPr>
          <w:rFonts w:ascii="Arial" w:eastAsia="Times New Roman" w:hAnsi="Arial" w:cs="Arial"/>
          <w:szCs w:val="28"/>
          <w:lang w:val="uk-UA" w:eastAsia="ru-RU"/>
        </w:rPr>
        <w:t>кримінальне правопорушення, кваліфікація злочину, суспільно небезпечні наслідки,</w:t>
      </w:r>
      <w:r w:rsidR="00200E87" w:rsidRPr="00511005">
        <w:rPr>
          <w:rFonts w:ascii="Arial" w:eastAsia="Times New Roman" w:hAnsi="Arial" w:cs="Arial"/>
          <w:szCs w:val="28"/>
          <w:lang w:eastAsia="ru-RU"/>
        </w:rPr>
        <w:t xml:space="preserve"> правова оцінка.</w:t>
      </w:r>
    </w:p>
    <w:p w14:paraId="3E4A70C7" w14:textId="263C2C80" w:rsidR="00200E87" w:rsidRPr="00511005" w:rsidRDefault="007B2628"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bCs/>
          <w:iCs/>
          <w:szCs w:val="28"/>
          <w:lang w:val="uk-UA" w:eastAsia="ru-RU" w:bidi="uk-UA"/>
        </w:rPr>
      </w:pPr>
      <w:r w:rsidRPr="00511005">
        <w:rPr>
          <w:rFonts w:ascii="Arial" w:eastAsia="Times New Roman" w:hAnsi="Arial" w:cs="Arial"/>
          <w:b/>
          <w:i/>
          <w:szCs w:val="28"/>
          <w:lang w:val="uk-UA" w:eastAsia="ru-RU" w:bidi="uk-UA"/>
        </w:rPr>
        <w:t xml:space="preserve">Key words: </w:t>
      </w:r>
      <w:r w:rsidR="00200E87" w:rsidRPr="00511005">
        <w:rPr>
          <w:rFonts w:ascii="Arial" w:eastAsia="Times New Roman" w:hAnsi="Arial" w:cs="Arial"/>
          <w:bCs/>
          <w:iCs/>
          <w:szCs w:val="28"/>
          <w:lang w:val="uk-UA" w:eastAsia="ru-RU" w:bidi="uk-UA"/>
        </w:rPr>
        <w:t>criminal offense, qualification of crime, socially dangerous consequences, legal assessment.</w:t>
      </w:r>
    </w:p>
    <w:p w14:paraId="48D54A3A" w14:textId="77777777" w:rsidR="00200E87" w:rsidRPr="00511005" w:rsidRDefault="00200E87" w:rsidP="003A292D">
      <w:pPr>
        <w:widowControl w:val="0"/>
        <w:tabs>
          <w:tab w:val="left" w:pos="993"/>
          <w:tab w:val="left" w:pos="7088"/>
        </w:tabs>
        <w:autoSpaceDE w:val="0"/>
        <w:autoSpaceDN w:val="0"/>
        <w:adjustRightInd w:val="0"/>
        <w:spacing w:line="264" w:lineRule="auto"/>
        <w:ind w:firstLine="0"/>
        <w:rPr>
          <w:rFonts w:ascii="Arial" w:eastAsia="Times New Roman" w:hAnsi="Arial" w:cs="Arial"/>
          <w:bCs/>
          <w:i/>
          <w:iCs/>
          <w:szCs w:val="28"/>
          <w:lang w:val="uk-UA" w:eastAsia="ru-RU" w:bidi="uk-UA"/>
        </w:rPr>
      </w:pPr>
    </w:p>
    <w:p w14:paraId="398D6BF0" w14:textId="220BA53C" w:rsidR="00200E87" w:rsidRPr="00511005" w:rsidRDefault="007B2628" w:rsidP="003A292D">
      <w:pPr>
        <w:widowControl w:val="0"/>
        <w:tabs>
          <w:tab w:val="left" w:pos="993"/>
          <w:tab w:val="left" w:pos="7088"/>
        </w:tabs>
        <w:autoSpaceDE w:val="0"/>
        <w:autoSpaceDN w:val="0"/>
        <w:adjustRightInd w:val="0"/>
        <w:spacing w:line="264" w:lineRule="auto"/>
        <w:ind w:firstLine="0"/>
        <w:rPr>
          <w:rFonts w:ascii="Arial" w:eastAsia="Times New Roman" w:hAnsi="Arial" w:cs="Arial"/>
          <w:bCs/>
          <w:i/>
          <w:iCs/>
          <w:szCs w:val="28"/>
          <w:lang w:val="uk-UA" w:eastAsia="ru-RU" w:bidi="uk-UA"/>
        </w:rPr>
      </w:pPr>
      <w:r w:rsidRPr="00511005">
        <w:rPr>
          <w:rFonts w:ascii="Arial" w:eastAsia="Times New Roman" w:hAnsi="Arial" w:cs="Arial"/>
          <w:b/>
          <w:bCs/>
          <w:i/>
          <w:iCs/>
          <w:szCs w:val="28"/>
          <w:lang w:val="uk-UA" w:eastAsia="ru-RU" w:bidi="uk-UA"/>
        </w:rPr>
        <w:t xml:space="preserve">Науковий керівник: </w:t>
      </w:r>
      <w:r w:rsidR="00200E87" w:rsidRPr="00511005">
        <w:rPr>
          <w:rFonts w:ascii="Arial" w:eastAsia="Times New Roman" w:hAnsi="Arial" w:cs="Arial"/>
          <w:bCs/>
          <w:i/>
          <w:iCs/>
          <w:szCs w:val="28"/>
          <w:lang w:eastAsia="ru-RU" w:bidi="uk-UA"/>
        </w:rPr>
        <w:t>к.ю.н., професор</w:t>
      </w:r>
      <w:r w:rsidRPr="00511005">
        <w:rPr>
          <w:rFonts w:ascii="Arial" w:eastAsia="Times New Roman" w:hAnsi="Arial" w:cs="Arial"/>
          <w:bCs/>
          <w:i/>
          <w:iCs/>
          <w:szCs w:val="28"/>
          <w:lang w:eastAsia="ru-RU" w:bidi="uk-UA"/>
        </w:rPr>
        <w:t xml:space="preserve"> </w:t>
      </w:r>
      <w:r w:rsidR="00200E87" w:rsidRPr="00511005">
        <w:rPr>
          <w:rFonts w:ascii="Arial" w:eastAsia="Times New Roman" w:hAnsi="Arial" w:cs="Arial"/>
          <w:bCs/>
          <w:i/>
          <w:iCs/>
          <w:szCs w:val="28"/>
          <w:lang w:eastAsia="ru-RU" w:bidi="uk-UA"/>
        </w:rPr>
        <w:t>Мирошниченко Н. А.</w:t>
      </w:r>
      <w:r w:rsidR="00200E87" w:rsidRPr="00511005">
        <w:rPr>
          <w:rFonts w:ascii="Arial" w:eastAsia="Times New Roman" w:hAnsi="Arial" w:cs="Arial"/>
          <w:bCs/>
          <w:i/>
          <w:iCs/>
          <w:szCs w:val="28"/>
          <w:lang w:val="uk-UA" w:eastAsia="ru-RU" w:bidi="uk-UA"/>
        </w:rPr>
        <w:t xml:space="preserve"> </w:t>
      </w:r>
    </w:p>
    <w:p w14:paraId="01729A00" w14:textId="77777777" w:rsidR="00200E87" w:rsidRPr="00511005" w:rsidRDefault="00200E87" w:rsidP="003A292D">
      <w:pPr>
        <w:spacing w:line="264" w:lineRule="auto"/>
        <w:ind w:firstLine="0"/>
        <w:jc w:val="center"/>
        <w:rPr>
          <w:rFonts w:ascii="Arial" w:eastAsia="Calibri" w:hAnsi="Arial" w:cs="Arial"/>
          <w:b/>
          <w:szCs w:val="28"/>
          <w:lang w:val="uk-UA"/>
        </w:rPr>
      </w:pPr>
    </w:p>
    <w:p w14:paraId="022B8C12" w14:textId="77777777" w:rsidR="00200E87" w:rsidRPr="00511005" w:rsidRDefault="00200E87" w:rsidP="003A292D">
      <w:pPr>
        <w:spacing w:line="264" w:lineRule="auto"/>
        <w:ind w:firstLine="0"/>
        <w:jc w:val="center"/>
        <w:rPr>
          <w:rFonts w:ascii="Arial" w:eastAsia="Calibri" w:hAnsi="Arial" w:cs="Arial"/>
          <w:b/>
          <w:szCs w:val="28"/>
          <w:lang w:val="uk-UA"/>
        </w:rPr>
      </w:pPr>
    </w:p>
    <w:p w14:paraId="5BA92DA2" w14:textId="77777777" w:rsidR="00200E87" w:rsidRPr="00511005" w:rsidRDefault="00200E87" w:rsidP="003A292D">
      <w:pPr>
        <w:spacing w:line="264" w:lineRule="auto"/>
        <w:ind w:firstLine="0"/>
        <w:jc w:val="center"/>
        <w:rPr>
          <w:rFonts w:ascii="Arial" w:eastAsia="Times New Roman" w:hAnsi="Arial" w:cs="Arial"/>
          <w:b/>
          <w:i/>
          <w:szCs w:val="28"/>
          <w:lang w:val="uk-UA" w:eastAsia="ru-RU" w:bidi="uk-UA"/>
        </w:rPr>
      </w:pPr>
      <w:r w:rsidRPr="00511005">
        <w:rPr>
          <w:rFonts w:ascii="Arial" w:eastAsia="Times New Roman" w:hAnsi="Arial" w:cs="Arial"/>
          <w:b/>
          <w:i/>
          <w:szCs w:val="28"/>
          <w:lang w:val="uk-UA" w:eastAsia="ru-RU" w:bidi="uk-UA"/>
        </w:rPr>
        <w:t>Артюшенко Максим Олександрович</w:t>
      </w:r>
    </w:p>
    <w:p w14:paraId="0448884F" w14:textId="3846F32B" w:rsidR="00200E87" w:rsidRPr="00511005" w:rsidRDefault="00536AAB" w:rsidP="003A292D">
      <w:pPr>
        <w:spacing w:line="264" w:lineRule="auto"/>
        <w:ind w:firstLine="0"/>
        <w:jc w:val="center"/>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студент 3-го курсу </w:t>
      </w:r>
      <w:r w:rsidR="00200E87" w:rsidRPr="00511005">
        <w:rPr>
          <w:rFonts w:ascii="Arial" w:eastAsia="Times New Roman" w:hAnsi="Arial" w:cs="Arial"/>
          <w:szCs w:val="28"/>
          <w:lang w:val="uk-UA" w:eastAsia="ru-RU" w:bidi="uk-UA"/>
        </w:rPr>
        <w:t>факультету цивільної та господарської юстиції</w:t>
      </w:r>
    </w:p>
    <w:p w14:paraId="6DA1EAC1" w14:textId="088D1FE2" w:rsidR="00200E87" w:rsidRPr="00511005" w:rsidRDefault="007B2628" w:rsidP="003A292D">
      <w:pPr>
        <w:spacing w:line="264" w:lineRule="auto"/>
        <w:ind w:firstLine="0"/>
        <w:jc w:val="center"/>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Національного університету «Одеська юридична академія»</w:t>
      </w:r>
    </w:p>
    <w:p w14:paraId="77B7E6D2" w14:textId="77777777" w:rsidR="00200E87" w:rsidRPr="00511005" w:rsidRDefault="00200E87" w:rsidP="003A292D">
      <w:pPr>
        <w:spacing w:line="264" w:lineRule="auto"/>
        <w:ind w:firstLine="0"/>
        <w:jc w:val="center"/>
        <w:rPr>
          <w:rFonts w:ascii="Arial" w:eastAsia="Times New Roman" w:hAnsi="Arial" w:cs="Arial"/>
          <w:b/>
          <w:szCs w:val="28"/>
          <w:lang w:eastAsia="ru-RU" w:bidi="uk-UA"/>
        </w:rPr>
      </w:pPr>
    </w:p>
    <w:p w14:paraId="651EF81A" w14:textId="77777777" w:rsidR="00200E87" w:rsidRPr="00511005" w:rsidRDefault="00200E87" w:rsidP="003A292D">
      <w:pPr>
        <w:spacing w:line="264" w:lineRule="auto"/>
        <w:ind w:firstLine="0"/>
        <w:jc w:val="center"/>
        <w:rPr>
          <w:rFonts w:ascii="Arial" w:eastAsia="Times New Roman" w:hAnsi="Arial" w:cs="Arial"/>
          <w:b/>
          <w:szCs w:val="28"/>
          <w:lang w:eastAsia="ru-RU" w:bidi="uk-UA"/>
        </w:rPr>
      </w:pPr>
      <w:r w:rsidRPr="00511005">
        <w:rPr>
          <w:rFonts w:ascii="Arial" w:eastAsia="Times New Roman" w:hAnsi="Arial" w:cs="Arial"/>
          <w:b/>
          <w:szCs w:val="28"/>
          <w:lang w:eastAsia="ru-RU" w:bidi="uk-UA"/>
        </w:rPr>
        <w:t>ПРОБЛЕМИ КРИМІНАЛІЗАЦІЇ ДОМАШНЬОГО НАСИЛЬСТВА В УКРАЇНСЬКОМУ ЗАКОНОДАВСТВІ</w:t>
      </w:r>
    </w:p>
    <w:p w14:paraId="7020FA59" w14:textId="77777777" w:rsidR="00200E87" w:rsidRPr="00511005" w:rsidRDefault="00200E87"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Домашнє насильство як кримінально-правове явище має глибоке соціальне, моральне та правове підґрунтя. Його криміналізація в Україні стала відповіддю на загрозливу тенденцію зростання випадків насильства в родинному середовищі та необхідність приведення національного законодавства у відповідність до міжнародних стандартів. Водночас криміналізація цього явища супроводжується низкою серйозних проблем, </w:t>
      </w:r>
      <w:r w:rsidRPr="00511005">
        <w:rPr>
          <w:rFonts w:ascii="Arial" w:eastAsia="Times New Roman" w:hAnsi="Arial" w:cs="Arial"/>
          <w:szCs w:val="28"/>
          <w:lang w:val="uk-UA" w:eastAsia="ru-RU" w:bidi="uk-UA"/>
        </w:rPr>
        <w:lastRenderedPageBreak/>
        <w:t>що стосуються як правозастосовної практики, так і концептуальних положень, закладених у відповідні норми Кримінального кодексу України.</w:t>
      </w:r>
    </w:p>
    <w:p w14:paraId="3C3120AB" w14:textId="77777777" w:rsidR="00200E87" w:rsidRPr="00511005" w:rsidRDefault="00200E87"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Вперше термін «домашнє насильство» у кримінально-правовому полі України закріплено у 2018 році шляхом прийняття Закону України від 6 грудня 2017 року № 2227-VIII, яким до Кримінального кодексу України було внесено нову статтю 126-1 — «Домашнє насильство» [2]. Вона передбачає кримінальну відповідальність за «систематичне вчинення фізичного, психологічного або економічного насильства» щодо подружжя, колишнього подружжя, близьких родичів або інших осіб, з якими винний перебував у спільному побуті. Такий підхід, на перший погляд, демонструє гуманістичне спрямування законодавства та готовність держави захищати жертв уразливих категорій. Проте глибший аналіз виявляє низку суттєвих теоретичних та практичних труднощів, які потребують комплексного вирішення.</w:t>
      </w:r>
    </w:p>
    <w:p w14:paraId="43BF0F2C" w14:textId="77777777" w:rsidR="00200E87" w:rsidRPr="00511005" w:rsidRDefault="00200E87"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Однією з ключових проблем є нечіткість формулювання складу кримінального правопорушення, передбаченого ст. 126-1 КК України. Зокрема, категорія «систематичність» є розпливчастою та викликає складнощі в її тлумаченні як на доктринальному рівні, так і в судовій практиці. Поняття систематичності, як правило, пов’язується з вчиненням щонайменше трьох актів насильства, однак це не має прямого закріплення в законодавстві. Унаслідок цього на практиці виникають колізії при доведенні об’єктивної сторони правопорушення, що знижує ефективність кримінального переслідування.</w:t>
      </w:r>
    </w:p>
    <w:p w14:paraId="13B5D6AA" w14:textId="77777777" w:rsidR="00200E87" w:rsidRPr="00511005" w:rsidRDefault="00200E87"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Не менш серйозною є проблема співвідношення кримінально-правового регулювання домашнього насильства із положеннями адміністративного права. За чинною редакцією Кодексу України про адміністративні правопорушення діє стаття 173-2, яка також передбачає відповідальність за домашнє насильство. Таким чином, одна й та сама поведінка може бути кваліфікована як адміністративне правопорушення, так і як кримінальне, залежно від критеріїв «систематичності» або інших обставин. Така ситуація створює небезпеку суб’єктивізму в діях слідчих та прокурорів і підриває принцип правової визначеності.</w:t>
      </w:r>
    </w:p>
    <w:p w14:paraId="41F8FCC4" w14:textId="77777777" w:rsidR="00200E87" w:rsidRPr="00511005" w:rsidRDefault="00200E87"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У цьому контексті особливої уваги потребує практика досудового розслідування кримінальних проваджень за ст. 126-1 КК України. Правоохоронці часто не мають достатньої підготовки для кваліфікації дій кривдника як систематичних, а також не завжди володіють методиками документування психологічного або економічного насильства. Це призводить до того, що значна кількість заяв про домашнє насильство не знаходить належного процесуального продовження, а кримінальні провадження закриваються через «відсутність складу кримінального правопорушення». Водночас потерпілі особи залишаються без ефективного захисту</w:t>
      </w:r>
      <w:r w:rsidRPr="00511005">
        <w:rPr>
          <w:rFonts w:ascii="Arial" w:eastAsia="Times New Roman" w:hAnsi="Arial" w:cs="Arial"/>
          <w:szCs w:val="28"/>
          <w:lang w:eastAsia="ru-RU" w:bidi="uk-UA"/>
        </w:rPr>
        <w:t xml:space="preserve"> [1]</w:t>
      </w:r>
      <w:r w:rsidRPr="00511005">
        <w:rPr>
          <w:rFonts w:ascii="Arial" w:eastAsia="Times New Roman" w:hAnsi="Arial" w:cs="Arial"/>
          <w:szCs w:val="28"/>
          <w:lang w:val="uk-UA" w:eastAsia="ru-RU" w:bidi="uk-UA"/>
        </w:rPr>
        <w:t>.</w:t>
      </w:r>
    </w:p>
    <w:p w14:paraId="0805D036" w14:textId="77777777" w:rsidR="00200E87" w:rsidRPr="00511005" w:rsidRDefault="00200E87"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lastRenderedPageBreak/>
        <w:t>Окремим проблемним аспектом є правозастосування щодо економічного насильства. На відміну від фізичного або навіть психологічного, економічне насильство важко верифікувати у межах традиційної криміналістичної процедури. Доказування таких дій вимагає комплексного підходу, включаючи експертну оцінку фінансових взаємин у межах домогосподарства, свідчення родичів, аналіз банківських операцій тощо. Відсутність спеціалізованих інструкцій або методичних рекомендацій для слідчих органів щодо такої категорії справ призводить до нерівномірної практики правозастосування</w:t>
      </w:r>
      <w:r w:rsidRPr="00511005">
        <w:rPr>
          <w:rFonts w:ascii="Arial" w:eastAsia="Times New Roman" w:hAnsi="Arial" w:cs="Arial"/>
          <w:szCs w:val="28"/>
          <w:lang w:eastAsia="ru-RU" w:bidi="uk-UA"/>
        </w:rPr>
        <w:t xml:space="preserve"> [3, </w:t>
      </w:r>
      <w:r w:rsidRPr="00511005">
        <w:rPr>
          <w:rFonts w:ascii="Arial" w:eastAsia="Times New Roman" w:hAnsi="Arial" w:cs="Arial"/>
          <w:szCs w:val="28"/>
          <w:lang w:val="en-US" w:eastAsia="ru-RU" w:bidi="uk-UA"/>
        </w:rPr>
        <w:t>c</w:t>
      </w:r>
      <w:r w:rsidRPr="00511005">
        <w:rPr>
          <w:rFonts w:ascii="Arial" w:eastAsia="Times New Roman" w:hAnsi="Arial" w:cs="Arial"/>
          <w:szCs w:val="28"/>
          <w:lang w:eastAsia="ru-RU" w:bidi="uk-UA"/>
        </w:rPr>
        <w:t>.46]</w:t>
      </w:r>
      <w:r w:rsidRPr="00511005">
        <w:rPr>
          <w:rFonts w:ascii="Arial" w:eastAsia="Times New Roman" w:hAnsi="Arial" w:cs="Arial"/>
          <w:szCs w:val="28"/>
          <w:lang w:val="uk-UA" w:eastAsia="ru-RU" w:bidi="uk-UA"/>
        </w:rPr>
        <w:t>.</w:t>
      </w:r>
    </w:p>
    <w:p w14:paraId="62115566" w14:textId="77777777" w:rsidR="00200E87" w:rsidRPr="00511005" w:rsidRDefault="00200E87"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Не менш важливим є й питання ресоціалізації кривдника та профілактики рецидиву домашнього насильства. Чинне законодавство передбачає можливість призначення обов’язкових заходів у вигляді проходження програми для кривдників, однак ці програми є мало поширеними та не завжди ефективно впроваджуються на практиці. У ряді регіонів України подібні програми взагалі відсутні або перебувають на початковій стадії реалізації. Така ситуація нівелює превентивну функцію кримінального права, адже замість виправлення поведінки кривдника часто досягається лише репресивний ефект.</w:t>
      </w:r>
    </w:p>
    <w:p w14:paraId="4E060338" w14:textId="77777777" w:rsidR="00200E87" w:rsidRPr="00511005" w:rsidRDefault="00200E87"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Значною є проблема стигматизації потерпілих, яка досі залишається поширеною в українському суспільстві. Жертви домашнього насильства часто не звертаються до правоохоронних органів через страх осуду, залежність від кривдника, брак довіри до органів влади. Отже, ефективність криміналізації домашнього насильства напряму залежить від соціального контексту, в якому вона реалізується. У зв’язку з цим кримінально-правові норми мають супроводжуватись активною інформаційною, просвітницькою та соціальною політикою держави.</w:t>
      </w:r>
    </w:p>
    <w:p w14:paraId="57B65B07" w14:textId="77777777" w:rsidR="00200E87" w:rsidRPr="00511005" w:rsidRDefault="00200E87"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Іще одним аспектом, який заслуговує на увагу, є гендерна асиметрія у правозастосовній практиці. Хоча ст. 126-1 КК України є формально гендерно нейтральною, на практиці кримінальні провадження найчастіше порушуються стосовно чоловіків. При цьому випадки насильства з боку жінок до чоловіків часто не отримують належної уваги або ігноруються. Така тенденція свідчить про існування прихованих стереотипів у діяльності правоохоронців та потребує виправлення шляхом спеціальної підготовки кадрів і введення чітких механізмів контролю за дотриманням принципу рівності перед законом [4, </w:t>
      </w:r>
      <w:r w:rsidRPr="00511005">
        <w:rPr>
          <w:rFonts w:ascii="Arial" w:eastAsia="Times New Roman" w:hAnsi="Arial" w:cs="Arial"/>
          <w:szCs w:val="28"/>
          <w:lang w:val="en-US" w:eastAsia="ru-RU" w:bidi="uk-UA"/>
        </w:rPr>
        <w:t>c</w:t>
      </w:r>
      <w:r w:rsidRPr="00511005">
        <w:rPr>
          <w:rFonts w:ascii="Arial" w:eastAsia="Times New Roman" w:hAnsi="Arial" w:cs="Arial"/>
          <w:szCs w:val="28"/>
          <w:lang w:val="uk-UA" w:eastAsia="ru-RU" w:bidi="uk-UA"/>
        </w:rPr>
        <w:t>.130].</w:t>
      </w:r>
    </w:p>
    <w:p w14:paraId="09CEF3AA" w14:textId="77777777" w:rsidR="00200E87" w:rsidRPr="00511005" w:rsidRDefault="00200E87"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Враховуючи вищевикладене, законодавча ініціатива щодо криміналізації домашнього насильства, безумовно, є кроком уперед на шляху забезпечення прав людини в Україні. Однак ефективність цієї ініціативи значною мірою залежить від узгодженості правових норм, якісного кадрового забезпечення, соціальної підтримки потерпілих та наявності інституційних механізмів ресоціалізації кривдників. З огляду на наведені труднощі, можна стверджувати, що криміналізація домашнього насильства </w:t>
      </w:r>
      <w:r w:rsidRPr="00511005">
        <w:rPr>
          <w:rFonts w:ascii="Arial" w:eastAsia="Times New Roman" w:hAnsi="Arial" w:cs="Arial"/>
          <w:szCs w:val="28"/>
          <w:lang w:val="uk-UA" w:eastAsia="ru-RU" w:bidi="uk-UA"/>
        </w:rPr>
        <w:lastRenderedPageBreak/>
        <w:t>потребує подальшого осмислення і вдосконалення як у теоретико-правовій площині, так і в аспекті правозастосування. Зокрема, доцільним є перегляд формулювання ст. 126-1 КК України з метою забезпечення чіткості понять, усунення дублювання із адміністративно-деліктною нормою та встановлення єдиних підходів до кваліфікації фактів насильства.</w:t>
      </w:r>
    </w:p>
    <w:p w14:paraId="6366653F" w14:textId="77777777" w:rsidR="00200E87" w:rsidRPr="00511005" w:rsidRDefault="00200E87" w:rsidP="003A292D">
      <w:pPr>
        <w:spacing w:line="264" w:lineRule="auto"/>
        <w:ind w:firstLine="0"/>
        <w:rPr>
          <w:rFonts w:ascii="Arial" w:eastAsia="Times New Roman" w:hAnsi="Arial" w:cs="Arial"/>
          <w:szCs w:val="28"/>
          <w:lang w:val="uk-UA" w:eastAsia="ru-RU" w:bidi="uk-UA"/>
        </w:rPr>
      </w:pPr>
    </w:p>
    <w:p w14:paraId="6A470D55" w14:textId="77777777" w:rsidR="00200E87" w:rsidRPr="00511005" w:rsidRDefault="00200E87" w:rsidP="003A292D">
      <w:pPr>
        <w:spacing w:line="264" w:lineRule="auto"/>
        <w:ind w:firstLine="0"/>
        <w:jc w:val="center"/>
        <w:rPr>
          <w:rFonts w:ascii="Arial" w:eastAsia="Times New Roman" w:hAnsi="Arial" w:cs="Arial"/>
          <w:szCs w:val="28"/>
          <w:lang w:val="uk-UA" w:eastAsia="ru-RU" w:bidi="uk-UA"/>
        </w:rPr>
      </w:pPr>
      <w:r w:rsidRPr="00511005">
        <w:rPr>
          <w:rFonts w:ascii="Arial" w:eastAsia="Times New Roman" w:hAnsi="Arial" w:cs="Arial"/>
          <w:b/>
          <w:szCs w:val="28"/>
          <w:lang w:val="en-US" w:eastAsia="ru-RU" w:bidi="uk-UA"/>
        </w:rPr>
        <w:t>C</w:t>
      </w:r>
      <w:r w:rsidRPr="00511005">
        <w:rPr>
          <w:rFonts w:ascii="Arial" w:eastAsia="Times New Roman" w:hAnsi="Arial" w:cs="Arial"/>
          <w:b/>
          <w:szCs w:val="28"/>
          <w:lang w:val="uk-UA" w:eastAsia="ru-RU" w:bidi="uk-UA"/>
        </w:rPr>
        <w:t>писок використаних джерел</w:t>
      </w:r>
    </w:p>
    <w:p w14:paraId="42D761DA" w14:textId="77777777" w:rsidR="00200E87" w:rsidRPr="00511005" w:rsidRDefault="00200E87" w:rsidP="003F6A5D">
      <w:pPr>
        <w:widowControl w:val="0"/>
        <w:numPr>
          <w:ilvl w:val="0"/>
          <w:numId w:val="822"/>
        </w:numPr>
        <w:autoSpaceDE w:val="0"/>
        <w:autoSpaceDN w:val="0"/>
        <w:adjustRightInd w:val="0"/>
        <w:spacing w:line="264" w:lineRule="auto"/>
        <w:ind w:left="0" w:hanging="567"/>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Кримінальний кодекс України № 2341-III від 05.04.2001 р. URL: </w:t>
      </w:r>
      <w:hyperlink r:id="rId1748" w:anchor="Text" w:tgtFrame="_new" w:history="1">
        <w:r w:rsidRPr="00511005">
          <w:rPr>
            <w:rFonts w:ascii="Arial" w:eastAsia="Times New Roman" w:hAnsi="Arial" w:cs="Arial"/>
            <w:bCs/>
            <w:szCs w:val="28"/>
            <w:lang w:val="uk-UA" w:eastAsia="ru-RU"/>
          </w:rPr>
          <w:t>https://zakon.rada.gov.ua/laws/show/2341-14#Text</w:t>
        </w:r>
      </w:hyperlink>
      <w:r w:rsidRPr="00511005">
        <w:rPr>
          <w:rFonts w:ascii="Arial" w:eastAsia="Times New Roman" w:hAnsi="Arial" w:cs="Arial"/>
          <w:bCs/>
          <w:szCs w:val="28"/>
          <w:lang w:val="uk-UA" w:eastAsia="ru-RU"/>
        </w:rPr>
        <w:t xml:space="preserve"> (дата звернення: 19.04.2025)</w:t>
      </w:r>
    </w:p>
    <w:p w14:paraId="5BD1B838" w14:textId="77777777" w:rsidR="00200E87" w:rsidRPr="00511005" w:rsidRDefault="00200E87" w:rsidP="003F6A5D">
      <w:pPr>
        <w:widowControl w:val="0"/>
        <w:numPr>
          <w:ilvl w:val="0"/>
          <w:numId w:val="822"/>
        </w:numPr>
        <w:autoSpaceDE w:val="0"/>
        <w:autoSpaceDN w:val="0"/>
        <w:adjustRightInd w:val="0"/>
        <w:spacing w:line="264" w:lineRule="auto"/>
        <w:ind w:left="0" w:hanging="567"/>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За</w:t>
      </w:r>
      <w:r w:rsidRPr="00511005">
        <w:rPr>
          <w:rFonts w:ascii="Arial" w:eastAsia="Times New Roman" w:hAnsi="Arial" w:cs="Arial"/>
          <w:bCs/>
          <w:szCs w:val="28"/>
          <w:lang w:eastAsia="ru-RU"/>
        </w:rPr>
        <w:t>кон України «Про запобігання та протидію домашньому насильству» від 07.12.2017 № 2229-VIII.</w:t>
      </w:r>
      <w:r w:rsidRPr="00511005">
        <w:rPr>
          <w:rFonts w:ascii="Arial" w:eastAsia="Times New Roman" w:hAnsi="Arial" w:cs="Arial"/>
          <w:szCs w:val="28"/>
          <w:lang w:eastAsia="ru-RU"/>
        </w:rPr>
        <w:t xml:space="preserve"> URL: https://zakon.rada.gov.ua/laws/show/2229-19#Text (дата звернення: 19.04.2025)</w:t>
      </w:r>
    </w:p>
    <w:p w14:paraId="179515E3" w14:textId="77777777" w:rsidR="00200E87" w:rsidRPr="00511005" w:rsidRDefault="00200E87" w:rsidP="003F6A5D">
      <w:pPr>
        <w:widowControl w:val="0"/>
        <w:numPr>
          <w:ilvl w:val="0"/>
          <w:numId w:val="822"/>
        </w:numPr>
        <w:autoSpaceDE w:val="0"/>
        <w:autoSpaceDN w:val="0"/>
        <w:adjustRightInd w:val="0"/>
        <w:spacing w:line="264" w:lineRule="auto"/>
        <w:ind w:left="0" w:hanging="567"/>
        <w:contextualSpacing/>
        <w:jc w:val="left"/>
        <w:rPr>
          <w:rFonts w:ascii="Arial" w:eastAsia="Times New Roman" w:hAnsi="Arial" w:cs="Arial"/>
          <w:b/>
          <w:bCs/>
          <w:szCs w:val="28"/>
          <w:lang w:eastAsia="ru-RU" w:bidi="uk-UA"/>
        </w:rPr>
      </w:pPr>
      <w:r w:rsidRPr="00511005">
        <w:rPr>
          <w:rFonts w:ascii="Arial" w:eastAsia="Times New Roman" w:hAnsi="Arial" w:cs="Arial"/>
          <w:bCs/>
          <w:szCs w:val="28"/>
          <w:lang w:eastAsia="ru-RU"/>
        </w:rPr>
        <w:t>Замахін А.</w:t>
      </w:r>
      <w:r w:rsidRPr="00511005">
        <w:rPr>
          <w:rFonts w:ascii="Arial" w:eastAsia="Times New Roman" w:hAnsi="Arial" w:cs="Arial"/>
          <w:szCs w:val="28"/>
          <w:lang w:eastAsia="ru-RU"/>
        </w:rPr>
        <w:t xml:space="preserve"> Окремі проблемні аспекти криміналізації домашнього насильства. </w:t>
      </w:r>
      <w:r w:rsidRPr="00511005">
        <w:rPr>
          <w:rFonts w:ascii="Arial" w:eastAsia="Times New Roman" w:hAnsi="Arial" w:cs="Arial"/>
          <w:i/>
          <w:iCs/>
          <w:szCs w:val="28"/>
          <w:lang w:eastAsia="ru-RU"/>
        </w:rPr>
        <w:t>Право та інноваційне суспільство</w:t>
      </w:r>
      <w:r w:rsidRPr="00511005">
        <w:rPr>
          <w:rFonts w:ascii="Arial" w:eastAsia="Times New Roman" w:hAnsi="Arial" w:cs="Arial"/>
          <w:szCs w:val="28"/>
          <w:lang w:eastAsia="ru-RU"/>
        </w:rPr>
        <w:t xml:space="preserve">, 2023, № 2(21), с. 45–52.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1749" w:tgtFrame="_new"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apir</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org</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index</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php</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lais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article</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view</w:t>
        </w:r>
        <w:r w:rsidRPr="00511005">
          <w:rPr>
            <w:rFonts w:ascii="Arial" w:eastAsia="Times New Roman" w:hAnsi="Arial" w:cs="Arial"/>
            <w:szCs w:val="28"/>
            <w:lang w:eastAsia="ru-RU"/>
          </w:rPr>
          <w:t>/419</w:t>
        </w:r>
      </w:hyperlink>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(дата звернення: 19.04.2025)</w:t>
      </w:r>
    </w:p>
    <w:p w14:paraId="4D755B43" w14:textId="1E8F0C13" w:rsidR="00200E87" w:rsidRPr="00511005" w:rsidRDefault="00200E87" w:rsidP="003F6A5D">
      <w:pPr>
        <w:widowControl w:val="0"/>
        <w:numPr>
          <w:ilvl w:val="0"/>
          <w:numId w:val="822"/>
        </w:numPr>
        <w:autoSpaceDE w:val="0"/>
        <w:autoSpaceDN w:val="0"/>
        <w:adjustRightInd w:val="0"/>
        <w:spacing w:line="264" w:lineRule="auto"/>
        <w:ind w:left="0" w:hanging="567"/>
        <w:contextualSpacing/>
        <w:jc w:val="left"/>
        <w:rPr>
          <w:rFonts w:ascii="Arial" w:eastAsia="Times New Roman" w:hAnsi="Arial" w:cs="Arial"/>
          <w:b/>
          <w:bCs/>
          <w:szCs w:val="28"/>
          <w:lang w:eastAsia="ru-RU" w:bidi="uk-UA"/>
        </w:rPr>
      </w:pPr>
      <w:r w:rsidRPr="00511005">
        <w:rPr>
          <w:rFonts w:ascii="Arial" w:eastAsia="Times New Roman" w:hAnsi="Arial" w:cs="Arial"/>
          <w:bCs/>
          <w:szCs w:val="28"/>
          <w:lang w:eastAsia="ru-RU"/>
        </w:rPr>
        <w:t>Марисюк К., Борецька М.</w:t>
      </w:r>
      <w:r w:rsidRPr="00511005">
        <w:rPr>
          <w:rFonts w:ascii="Arial" w:eastAsia="Times New Roman" w:hAnsi="Arial" w:cs="Arial"/>
          <w:szCs w:val="28"/>
          <w:lang w:eastAsia="ru-RU"/>
        </w:rPr>
        <w:t xml:space="preserve"> Окремі питання кримінальної відповідальності за домашнє насильство.</w:t>
      </w:r>
      <w:r w:rsidR="007B2628"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Вісник Національного університету "Львівська політехніка". Серія: Юридичні науки</w:t>
      </w:r>
      <w:r w:rsidRPr="00511005">
        <w:rPr>
          <w:rFonts w:ascii="Arial" w:eastAsia="Times New Roman" w:hAnsi="Arial" w:cs="Arial"/>
          <w:szCs w:val="28"/>
          <w:lang w:eastAsia="ru-RU"/>
        </w:rPr>
        <w:t xml:space="preserve">, 2021, т. 8, № 129, с. 129–132. URL: </w:t>
      </w:r>
      <w:hyperlink r:id="rId1750" w:tgtFrame="_new" w:history="1">
        <w:r w:rsidRPr="00511005">
          <w:rPr>
            <w:rFonts w:ascii="Arial" w:eastAsia="Times New Roman" w:hAnsi="Arial" w:cs="Arial"/>
            <w:szCs w:val="28"/>
            <w:lang w:eastAsia="ru-RU"/>
          </w:rPr>
          <w:t>https://science.lpnu.ua/uk/law/vsi-vypusky/volume-8-number-129-2021/okremi-pytannya-kryminalnoyi-vidpovidalnosti-za-domashnye</w:t>
        </w:r>
      </w:hyperlink>
      <w:r w:rsidRPr="00511005">
        <w:rPr>
          <w:rFonts w:ascii="Arial" w:eastAsia="Times New Roman" w:hAnsi="Arial" w:cs="Arial"/>
          <w:szCs w:val="28"/>
          <w:lang w:eastAsia="ru-RU"/>
        </w:rPr>
        <w:t xml:space="preserve"> (дата звернення: 19.04.2025)</w:t>
      </w:r>
    </w:p>
    <w:p w14:paraId="2A3B0337" w14:textId="22E82EAF" w:rsidR="00200E87" w:rsidRPr="00511005" w:rsidRDefault="007B2628"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b/>
          <w:i/>
          <w:szCs w:val="28"/>
          <w:lang w:val="uk-UA" w:eastAsia="ru-RU" w:bidi="uk-UA"/>
        </w:rPr>
        <w:t xml:space="preserve">Ключові слова: </w:t>
      </w:r>
      <w:r w:rsidR="00200E87" w:rsidRPr="00511005">
        <w:rPr>
          <w:rFonts w:ascii="Arial" w:eastAsia="Times New Roman" w:hAnsi="Arial" w:cs="Arial"/>
          <w:szCs w:val="28"/>
          <w:lang w:val="uk-UA" w:eastAsia="ru-RU" w:bidi="uk-UA"/>
        </w:rPr>
        <w:t>криміналізація, домашнє насильство, правозастосування, гендерна рівність.</w:t>
      </w:r>
    </w:p>
    <w:p w14:paraId="34F721B5" w14:textId="79A21210" w:rsidR="00200E87" w:rsidRPr="00511005" w:rsidRDefault="007B2628" w:rsidP="003A292D">
      <w:pPr>
        <w:spacing w:line="264" w:lineRule="auto"/>
        <w:ind w:firstLine="0"/>
        <w:rPr>
          <w:rFonts w:ascii="Arial" w:eastAsia="Times New Roman" w:hAnsi="Arial" w:cs="Arial"/>
          <w:szCs w:val="28"/>
          <w:lang w:val="uk-UA" w:eastAsia="ru-RU" w:bidi="uk-UA"/>
        </w:rPr>
      </w:pPr>
      <w:r w:rsidRPr="00511005">
        <w:rPr>
          <w:rFonts w:ascii="Arial" w:eastAsia="Times New Roman" w:hAnsi="Arial" w:cs="Arial"/>
          <w:b/>
          <w:i/>
          <w:szCs w:val="28"/>
          <w:lang w:val="uk-UA" w:eastAsia="ru-RU" w:bidi="uk-UA"/>
        </w:rPr>
        <w:t xml:space="preserve">Key words: </w:t>
      </w:r>
      <w:r w:rsidR="00200E87" w:rsidRPr="00511005">
        <w:rPr>
          <w:rFonts w:ascii="Arial" w:eastAsia="Times New Roman" w:hAnsi="Arial" w:cs="Arial"/>
          <w:szCs w:val="28"/>
          <w:lang w:val="uk-UA" w:eastAsia="ru-RU" w:bidi="uk-UA"/>
        </w:rPr>
        <w:t>criminalization, domestic violence, law enforcement, gender equality.</w:t>
      </w:r>
    </w:p>
    <w:p w14:paraId="07D4F699" w14:textId="77777777" w:rsidR="00200E87" w:rsidRPr="00511005" w:rsidRDefault="00200E87" w:rsidP="003A292D">
      <w:pPr>
        <w:spacing w:line="264" w:lineRule="auto"/>
        <w:ind w:firstLine="0"/>
        <w:jc w:val="left"/>
        <w:rPr>
          <w:rFonts w:ascii="Arial" w:eastAsia="Times New Roman" w:hAnsi="Arial" w:cs="Arial"/>
          <w:b/>
          <w:szCs w:val="28"/>
          <w:lang w:val="uk-UA" w:eastAsia="ru-RU" w:bidi="uk-UA"/>
        </w:rPr>
      </w:pPr>
    </w:p>
    <w:p w14:paraId="1004F6E5" w14:textId="1E362F6D" w:rsidR="00200E87" w:rsidRPr="00511005" w:rsidRDefault="007B2628" w:rsidP="003A292D">
      <w:pPr>
        <w:widowControl w:val="0"/>
        <w:tabs>
          <w:tab w:val="left" w:pos="993"/>
          <w:tab w:val="left" w:pos="7088"/>
        </w:tabs>
        <w:autoSpaceDE w:val="0"/>
        <w:autoSpaceDN w:val="0"/>
        <w:adjustRightInd w:val="0"/>
        <w:spacing w:line="264" w:lineRule="auto"/>
        <w:ind w:firstLine="0"/>
        <w:rPr>
          <w:rFonts w:ascii="Arial" w:eastAsia="Times New Roman" w:hAnsi="Arial" w:cs="Arial"/>
          <w:i/>
          <w:szCs w:val="28"/>
          <w:lang w:val="uk-UA" w:eastAsia="ru-RU" w:bidi="uk-UA"/>
        </w:rPr>
      </w:pPr>
      <w:r w:rsidRPr="00511005">
        <w:rPr>
          <w:rFonts w:ascii="Arial" w:eastAsia="Times New Roman" w:hAnsi="Arial" w:cs="Arial"/>
          <w:b/>
          <w:i/>
          <w:szCs w:val="28"/>
          <w:lang w:val="uk-UA" w:eastAsia="ru-RU" w:bidi="uk-UA"/>
        </w:rPr>
        <w:t xml:space="preserve">Науковий керівник: </w:t>
      </w:r>
      <w:r w:rsidR="00200E87" w:rsidRPr="00511005">
        <w:rPr>
          <w:rFonts w:ascii="Arial" w:eastAsia="Times New Roman" w:hAnsi="Arial" w:cs="Arial"/>
          <w:i/>
          <w:szCs w:val="28"/>
          <w:lang w:val="uk-UA" w:eastAsia="ru-RU" w:bidi="uk-UA"/>
        </w:rPr>
        <w:t>асистент кафедри Павлова О. С.</w:t>
      </w:r>
    </w:p>
    <w:p w14:paraId="29806238" w14:textId="77777777" w:rsidR="00200E87" w:rsidRPr="00511005" w:rsidRDefault="00200E87" w:rsidP="003A292D">
      <w:pPr>
        <w:widowControl w:val="0"/>
        <w:spacing w:line="264" w:lineRule="auto"/>
        <w:ind w:firstLine="0"/>
        <w:jc w:val="center"/>
        <w:rPr>
          <w:rFonts w:ascii="Arial" w:eastAsia="Times New Roman" w:hAnsi="Arial" w:cs="Arial"/>
          <w:b/>
          <w:i/>
          <w:szCs w:val="28"/>
          <w:lang w:val="uk-UA"/>
        </w:rPr>
      </w:pPr>
    </w:p>
    <w:p w14:paraId="4B4EB72E" w14:textId="77777777" w:rsidR="00200E87" w:rsidRPr="00511005" w:rsidRDefault="00200E87" w:rsidP="003A292D">
      <w:pPr>
        <w:widowControl w:val="0"/>
        <w:spacing w:line="264" w:lineRule="auto"/>
        <w:ind w:firstLine="0"/>
        <w:jc w:val="center"/>
        <w:rPr>
          <w:rFonts w:ascii="Arial" w:eastAsia="Times New Roman" w:hAnsi="Arial" w:cs="Arial"/>
          <w:b/>
          <w:i/>
          <w:szCs w:val="28"/>
          <w:lang w:val="uk-UA"/>
        </w:rPr>
      </w:pPr>
    </w:p>
    <w:p w14:paraId="25D63F52" w14:textId="3BCC5E23" w:rsidR="00200E87" w:rsidRPr="00511005" w:rsidRDefault="00200E87" w:rsidP="003A292D">
      <w:pPr>
        <w:widowControl w:val="0"/>
        <w:spacing w:line="264" w:lineRule="auto"/>
        <w:ind w:firstLine="0"/>
        <w:jc w:val="center"/>
        <w:rPr>
          <w:rFonts w:ascii="Arial" w:eastAsia="Times New Roman" w:hAnsi="Arial" w:cs="Arial"/>
          <w:szCs w:val="28"/>
          <w:lang w:val="uk-UA"/>
        </w:rPr>
      </w:pPr>
      <w:r w:rsidRPr="00511005">
        <w:rPr>
          <w:rFonts w:ascii="Arial" w:eastAsia="Times New Roman" w:hAnsi="Arial" w:cs="Arial"/>
          <w:b/>
          <w:i/>
          <w:szCs w:val="28"/>
          <w:lang w:val="uk-UA"/>
        </w:rPr>
        <w:t>Бабійчук Анастасія Андріївна</w:t>
      </w:r>
      <w:r w:rsidRPr="00511005">
        <w:rPr>
          <w:rFonts w:ascii="Arial" w:eastAsia="Times New Roman" w:hAnsi="Arial" w:cs="Arial"/>
          <w:b/>
          <w:i/>
          <w:szCs w:val="28"/>
          <w:lang w:val="uk-UA"/>
        </w:rPr>
        <w:br/>
      </w:r>
      <w:r w:rsidR="00536AAB" w:rsidRPr="00511005">
        <w:rPr>
          <w:rFonts w:ascii="Arial" w:eastAsia="Times New Roman" w:hAnsi="Arial" w:cs="Arial"/>
          <w:szCs w:val="28"/>
          <w:lang w:val="uk-UA"/>
        </w:rPr>
        <w:t xml:space="preserve">студент 3-го курсу </w:t>
      </w:r>
      <w:r w:rsidR="001B7B25" w:rsidRPr="00511005">
        <w:rPr>
          <w:rFonts w:ascii="Arial" w:eastAsia="Times New Roman" w:hAnsi="Arial" w:cs="Arial"/>
          <w:szCs w:val="28"/>
          <w:lang w:val="uk-UA"/>
        </w:rPr>
        <w:t>факультету судового та міжнародного права</w:t>
      </w:r>
      <w:r w:rsidRPr="00511005">
        <w:rPr>
          <w:rFonts w:ascii="Arial" w:eastAsia="Times New Roman" w:hAnsi="Arial" w:cs="Arial"/>
          <w:szCs w:val="28"/>
          <w:lang w:val="uk-UA"/>
        </w:rPr>
        <w:br/>
      </w:r>
      <w:r w:rsidR="007B2628" w:rsidRPr="00511005">
        <w:rPr>
          <w:rFonts w:ascii="Arial" w:eastAsia="Times New Roman" w:hAnsi="Arial" w:cs="Arial"/>
          <w:szCs w:val="28"/>
          <w:lang w:val="uk-UA"/>
        </w:rPr>
        <w:t>Національного університету «Одеська юридична академія»</w:t>
      </w:r>
    </w:p>
    <w:p w14:paraId="2747FDF0" w14:textId="77777777" w:rsidR="00200E87" w:rsidRPr="00511005" w:rsidRDefault="00200E87" w:rsidP="003A292D">
      <w:pPr>
        <w:widowControl w:val="0"/>
        <w:spacing w:line="264" w:lineRule="auto"/>
        <w:ind w:firstLine="0"/>
        <w:jc w:val="center"/>
        <w:rPr>
          <w:rFonts w:ascii="Arial" w:eastAsia="Times New Roman" w:hAnsi="Arial" w:cs="Arial"/>
          <w:szCs w:val="28"/>
          <w:lang w:val="uk-UA"/>
        </w:rPr>
      </w:pPr>
    </w:p>
    <w:p w14:paraId="0FE5AF2A" w14:textId="77777777" w:rsidR="00200E87" w:rsidRPr="00511005" w:rsidRDefault="00200E87" w:rsidP="003A292D">
      <w:pPr>
        <w:widowControl w:val="0"/>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БОРОТЬБА З ДЕЗЕРТИРСТВОМ ТА ЗЛОЧИНАМИ ПРОТИ ВІЙСЬКОВОЇ ДИСЦИПЛІНИ: КРИМІНАЛЬНО-ПРАВОВИЙ АНАЛІЗ</w:t>
      </w:r>
    </w:p>
    <w:p w14:paraId="797DA2F7" w14:textId="77777777" w:rsidR="00200E87" w:rsidRPr="00511005" w:rsidRDefault="00200E87" w:rsidP="003A292D">
      <w:pPr>
        <w:widowControl w:val="0"/>
        <w:spacing w:line="264" w:lineRule="auto"/>
        <w:ind w:firstLine="0"/>
        <w:jc w:val="center"/>
        <w:rPr>
          <w:rFonts w:ascii="Arial" w:eastAsia="Times New Roman" w:hAnsi="Arial" w:cs="Arial"/>
          <w:szCs w:val="28"/>
          <w:lang w:val="uk-UA"/>
        </w:rPr>
      </w:pPr>
    </w:p>
    <w:p w14:paraId="63E1CD39" w14:textId="77777777" w:rsidR="00200E87" w:rsidRPr="00511005" w:rsidRDefault="00200E87" w:rsidP="003A292D">
      <w:pPr>
        <w:widowControl w:val="0"/>
        <w:spacing w:line="264" w:lineRule="auto"/>
        <w:ind w:firstLine="0"/>
        <w:rPr>
          <w:rFonts w:ascii="Arial" w:eastAsia="Times New Roman" w:hAnsi="Arial" w:cs="Arial"/>
          <w:b/>
          <w:szCs w:val="28"/>
          <w:lang w:val="uk-UA"/>
        </w:rPr>
      </w:pPr>
      <w:r w:rsidRPr="00511005">
        <w:rPr>
          <w:rFonts w:ascii="Arial" w:eastAsia="Times New Roman" w:hAnsi="Arial" w:cs="Arial"/>
          <w:szCs w:val="28"/>
          <w:lang w:val="uk-UA"/>
        </w:rPr>
        <w:t xml:space="preserve">У сучасних умовах, коли Україна перебуває у стані повномасштабної збройної агресії з боку Російської Федерації, питання забезпечення належного функціонування Збройних Сил України (ЗСУ) набуває особливої важливості. Військова дисципліна є фундаментальною основою </w:t>
      </w:r>
      <w:r w:rsidRPr="00511005">
        <w:rPr>
          <w:rFonts w:ascii="Arial" w:eastAsia="Times New Roman" w:hAnsi="Arial" w:cs="Arial"/>
          <w:szCs w:val="28"/>
          <w:lang w:val="uk-UA"/>
        </w:rPr>
        <w:lastRenderedPageBreak/>
        <w:t xml:space="preserve">боєздатності армії, її стабільності та ефективності. Посилення ролі ЗСУ як головної сили національного спротиву супроводжується збільшенням кількості злочинів, що підривають внутрішню дисципліну та боєздатність армії. Серед таких злочинів особливо небезпечним є дезертирство, яке загрожує не лише конкретному підрозділу, а й національній безпеці загалом. Зростання випадків самовільного залишення військових частин і відмови від виконання обов’язків у бойових умовах вимагає комплексного юридичного реагування [1]. </w:t>
      </w:r>
      <w:r w:rsidRPr="00511005">
        <w:rPr>
          <w:rFonts w:ascii="Arial" w:eastAsia="Times New Roman" w:hAnsi="Arial" w:cs="Arial"/>
          <w:bCs/>
          <w:szCs w:val="28"/>
          <w:lang w:val="uk-UA"/>
        </w:rPr>
        <w:t>Метою цього дослідження є здійснення кримінально-правового аналізу дезертирства та інших злочинів проти військової дисципліни для виявлення прогалин у законодавстві та практиці його застосування.</w:t>
      </w:r>
      <w:r w:rsidRPr="00511005">
        <w:rPr>
          <w:rFonts w:ascii="Arial" w:eastAsia="Times New Roman" w:hAnsi="Arial" w:cs="Arial"/>
          <w:b/>
          <w:szCs w:val="28"/>
          <w:lang w:val="uk-UA"/>
        </w:rPr>
        <w:t xml:space="preserve"> </w:t>
      </w:r>
    </w:p>
    <w:p w14:paraId="688AE855" w14:textId="77777777" w:rsidR="00200E87" w:rsidRPr="00511005" w:rsidRDefault="00200E87" w:rsidP="003A292D">
      <w:pPr>
        <w:widowControl w:val="0"/>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У контексті цього аналізу слід окремо зосередитися на нормах Розділу XIX, Кримінального кодексу України </w:t>
      </w:r>
      <w:r w:rsidRPr="00511005">
        <w:rPr>
          <w:rFonts w:ascii="Arial" w:eastAsia="Times New Roman" w:hAnsi="Arial" w:cs="Arial"/>
          <w:szCs w:val="28"/>
        </w:rPr>
        <w:t>( КК України)</w:t>
      </w:r>
      <w:r w:rsidRPr="00511005">
        <w:rPr>
          <w:rFonts w:ascii="Arial" w:eastAsia="Times New Roman" w:hAnsi="Arial" w:cs="Arial"/>
          <w:szCs w:val="28"/>
          <w:lang w:val="uk-UA"/>
        </w:rPr>
        <w:t>, зокрема на статтях 402-408, які визначають відповідальність за порушення встановленого порядку несення військової служби. Особливої уваги потребує зміст статті 408 КК</w:t>
      </w:r>
      <w:r w:rsidRPr="00511005">
        <w:rPr>
          <w:rFonts w:ascii="Arial" w:eastAsia="Times New Roman" w:hAnsi="Arial" w:cs="Arial"/>
          <w:szCs w:val="28"/>
        </w:rPr>
        <w:t xml:space="preserve"> України</w:t>
      </w:r>
      <w:r w:rsidRPr="00511005">
        <w:rPr>
          <w:rFonts w:ascii="Arial" w:eastAsia="Times New Roman" w:hAnsi="Arial" w:cs="Arial"/>
          <w:szCs w:val="28"/>
          <w:lang w:val="uk-UA"/>
        </w:rPr>
        <w:t>, що встановлює відповідальність за дезертирство, а також її тлумачення на практиці [5]</w:t>
      </w:r>
      <w:r w:rsidRPr="00511005">
        <w:rPr>
          <w:rFonts w:ascii="Arial" w:eastAsia="Times New Roman" w:hAnsi="Arial" w:cs="Arial"/>
          <w:szCs w:val="28"/>
        </w:rPr>
        <w:t>.</w:t>
      </w:r>
      <w:r w:rsidRPr="00511005">
        <w:rPr>
          <w:rFonts w:ascii="Arial" w:eastAsia="Times New Roman" w:hAnsi="Arial" w:cs="Arial"/>
          <w:szCs w:val="28"/>
          <w:lang w:val="uk-UA"/>
        </w:rPr>
        <w:t xml:space="preserve"> Не менш важливою є правова кваліфікація суміжних злочинів, таких як самовільне залишення військової частини чи непокора начальникові. </w:t>
      </w:r>
    </w:p>
    <w:p w14:paraId="340002E9" w14:textId="77777777" w:rsidR="00200E87" w:rsidRPr="00511005" w:rsidRDefault="00200E87" w:rsidP="003A292D">
      <w:pPr>
        <w:widowControl w:val="0"/>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Данні правопорушення становлять загрозу належному функціонуванню військових формувань, а отже - й обороноздатності держави. Основними об'єктами посягання у таких злочинах є військова дисципліна, підпорядкування, порядок виконання наказів і несення служби. Одним із найтяжчих злочинів цієї категорії є дезертирство, визначене у статті 408 КК України. Згідно з нормою, дезертирство — це самовільне залишення військової частини або місця служби з метою ухилення від військової служби. Ознаками дезертирства є наявність прямого умислу, цілеспрямованість на ухилення від обов’язків та тривалість відсутності. Водночас слід розмежовувати дезертирство та самовільне залишення військової частини, передбачене статтею 407 КК</w:t>
      </w:r>
      <w:r w:rsidRPr="00511005">
        <w:rPr>
          <w:rFonts w:ascii="Arial" w:eastAsia="Times New Roman" w:hAnsi="Arial" w:cs="Arial"/>
          <w:szCs w:val="28"/>
        </w:rPr>
        <w:t xml:space="preserve"> </w:t>
      </w:r>
      <w:r w:rsidRPr="00511005">
        <w:rPr>
          <w:rFonts w:ascii="Arial" w:eastAsia="Times New Roman" w:hAnsi="Arial" w:cs="Arial"/>
          <w:szCs w:val="28"/>
          <w:lang w:val="uk-UA"/>
        </w:rPr>
        <w:t>У</w:t>
      </w:r>
      <w:r w:rsidRPr="00511005">
        <w:rPr>
          <w:rFonts w:ascii="Arial" w:eastAsia="Times New Roman" w:hAnsi="Arial" w:cs="Arial"/>
          <w:szCs w:val="28"/>
        </w:rPr>
        <w:t>країни</w:t>
      </w:r>
      <w:r w:rsidRPr="00511005">
        <w:rPr>
          <w:rFonts w:ascii="Arial" w:eastAsia="Times New Roman" w:hAnsi="Arial" w:cs="Arial"/>
          <w:szCs w:val="28"/>
          <w:lang w:val="uk-UA"/>
        </w:rPr>
        <w:t>. Останнє не завжди передбачає намір остаточного ухилення від служби, а часто пов’язане з короткочасною відсутністю</w:t>
      </w:r>
      <w:r w:rsidRPr="00511005">
        <w:rPr>
          <w:rFonts w:ascii="Arial" w:eastAsia="Times New Roman" w:hAnsi="Arial" w:cs="Arial"/>
          <w:szCs w:val="28"/>
        </w:rPr>
        <w:t xml:space="preserve"> [3]</w:t>
      </w:r>
      <w:r w:rsidRPr="00511005">
        <w:rPr>
          <w:rFonts w:ascii="Arial" w:eastAsia="Times New Roman" w:hAnsi="Arial" w:cs="Arial"/>
          <w:szCs w:val="28"/>
          <w:lang w:val="uk-UA"/>
        </w:rPr>
        <w:t>. Окрему групу становлять такі злочини як і непокора (ст. 402 КК України), опір начальникові (ст. 404 КК України), а також насильство чи погроза щодо нього (ст. 405 КК України). Ці правопорушення мають свої особливості складу, але спільним для всіх є підрив авторитету командування та дисципліни. Таким чином, чітке відмежування дезертирства від інших схожих злочинів є важливою умовою правильної правової кваліфікації діянь.</w:t>
      </w:r>
    </w:p>
    <w:p w14:paraId="7F7C6C0C" w14:textId="77777777" w:rsidR="00200E87" w:rsidRPr="00511005" w:rsidRDefault="00200E87" w:rsidP="003A292D">
      <w:pPr>
        <w:widowControl w:val="0"/>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Об’єктивна сторона складу злочину дезертирства полягає у фактичному залишенні місця служби та невиконанні службових обов’язків. Суб’єктивна сторона характеризується прямим умислом та наявністю конкретної мети - ухилення від військової служби. У практиці кримінального переслідування </w:t>
      </w:r>
      <w:r w:rsidRPr="00511005">
        <w:rPr>
          <w:rFonts w:ascii="Arial" w:eastAsia="Times New Roman" w:hAnsi="Arial" w:cs="Arial"/>
          <w:szCs w:val="28"/>
          <w:lang w:val="uk-UA"/>
        </w:rPr>
        <w:lastRenderedPageBreak/>
        <w:t>виділяють кілька форм дезертирства. Найпоширенішою є звичайна форма - одноосібне залишення частини без змови. Більш небезпечним є дезертирство за попередньою змовою групою осіб, яке посилює суспільну небезпеку діяння. Особливо тяжкою формою цього злочину є дезертирство зі застосуванням зброї або вчинене за межами державного кордону [4]. Такі випадки розцінюються як загроза не лише для армії, а й для державної безпеки. Кваліфікуючі ознаки передбачають посилене покарання - аж до позбавлення волі на строк до 12 років. Водночас практика застосування статті 408 КК України виявляє певні труднощі. Зокрема, виникають проблеми із доказуванням умислу та мети ухилення. Також трапляються випадки зловживань при кваліфікації менш тяжких правопорушень як дезертирство. Отже, дезертирство як кримінально каране діяння має складну правову природу, що вимагає точного тлумачення та об’єктивної оцінки всіх обставин справи. Водночас одного лише кримінально-правового реагування недостатньо для ефективної протидії цьому явищу, особливо в умовах воєнного часу.</w:t>
      </w:r>
    </w:p>
    <w:p w14:paraId="634A0C88" w14:textId="77777777" w:rsidR="00200E87" w:rsidRPr="00511005" w:rsidRDefault="00200E87" w:rsidP="003A292D">
      <w:pPr>
        <w:widowControl w:val="0"/>
        <w:spacing w:line="264" w:lineRule="auto"/>
        <w:ind w:firstLine="0"/>
        <w:rPr>
          <w:rFonts w:ascii="Arial" w:eastAsia="Times New Roman" w:hAnsi="Arial" w:cs="Arial"/>
          <w:szCs w:val="28"/>
        </w:rPr>
      </w:pPr>
      <w:r w:rsidRPr="00511005">
        <w:rPr>
          <w:rFonts w:ascii="Arial" w:eastAsia="Times New Roman" w:hAnsi="Arial" w:cs="Arial"/>
          <w:bCs/>
          <w:szCs w:val="28"/>
          <w:lang w:val="uk-UA"/>
        </w:rPr>
        <w:t>Досліджуючи проблему дезертирства, варто зазначити, що протидія йому передбачає як кримінально-правові, так і організаційно-превентивні заходи.</w:t>
      </w:r>
      <w:r w:rsidRPr="00511005">
        <w:rPr>
          <w:rFonts w:ascii="Arial" w:eastAsia="Times New Roman" w:hAnsi="Arial" w:cs="Arial"/>
          <w:szCs w:val="28"/>
        </w:rPr>
        <w:t xml:space="preserve"> Значну роль у цьому відіграють органи військової прокуратури, які здійснюють процесуальне керівництво та контроль за дотриманням законності в армії. Командування військових частин також має повноваження для вжиття дисциплінарних заходів і проведення внутрішніх службових розслідувань [2]. Військова служба правопорядку (ВСП) забезпечує оперативне виявлення фактів дезертирства та затримання військовослужбовців, які самовільно залишили місце служби. Водночас виявляються недоліки у взаємодії між цими органами, що знижує ефективність профілактики.</w:t>
      </w:r>
    </w:p>
    <w:p w14:paraId="2ACFA722" w14:textId="77777777" w:rsidR="00200E87" w:rsidRPr="00511005" w:rsidRDefault="00200E87" w:rsidP="003A292D">
      <w:pPr>
        <w:widowControl w:val="0"/>
        <w:spacing w:line="264" w:lineRule="auto"/>
        <w:ind w:firstLine="0"/>
        <w:rPr>
          <w:rFonts w:ascii="Arial" w:eastAsia="Times New Roman" w:hAnsi="Arial" w:cs="Arial"/>
          <w:szCs w:val="28"/>
        </w:rPr>
      </w:pPr>
      <w:r w:rsidRPr="00511005">
        <w:rPr>
          <w:rFonts w:ascii="Arial" w:eastAsia="Times New Roman" w:hAnsi="Arial" w:cs="Arial"/>
          <w:szCs w:val="28"/>
        </w:rPr>
        <w:t>Судова практика свідчить про зростання кількості обвинувальних вироків за ст. 408 КК</w:t>
      </w:r>
      <w:r w:rsidRPr="00511005">
        <w:rPr>
          <w:rFonts w:ascii="Arial" w:eastAsia="Times New Roman" w:hAnsi="Arial" w:cs="Arial"/>
          <w:szCs w:val="28"/>
          <w:lang w:val="uk-UA"/>
        </w:rPr>
        <w:t xml:space="preserve"> України</w:t>
      </w:r>
      <w:r w:rsidRPr="00511005">
        <w:rPr>
          <w:rFonts w:ascii="Arial" w:eastAsia="Times New Roman" w:hAnsi="Arial" w:cs="Arial"/>
          <w:szCs w:val="28"/>
        </w:rPr>
        <w:t>, особливо у прифронтових районах. Найчастіше суди призначають покарання у вигляді позбавлення волі з умовним строком, хоча у повторних випадках - реальні терміни. В окремих справах суди враховують обставини, пов’язані з психоемоційним станом військових. Це вказує на необхідність не лише карального, а й гуманного підходу до правозастосування. В умовах війни виникають нові виклики, які вимагають гнучкої кримінальної політики. Відповідно, у парламенті з'являються ініціативи щодо посилення відповідальності за дезертирство, особливо у бойовій обстановці. Проте надмірна жорсткість може мати зворотній ефект, викликаючи деморалізацію особового складу. Тому важливо зберігати баланс між суворістю покарання та збереженням бойового духу військовослужбовців. Виправданим є також запровадження психологічної підтримки та освітніх заходів щодо прав і обов’язків у ЗСУ.</w:t>
      </w:r>
    </w:p>
    <w:p w14:paraId="7B4B8223" w14:textId="77777777" w:rsidR="00200E87" w:rsidRPr="00511005" w:rsidRDefault="00200E87" w:rsidP="003A292D">
      <w:pPr>
        <w:widowControl w:val="0"/>
        <w:spacing w:line="264" w:lineRule="auto"/>
        <w:ind w:firstLine="0"/>
        <w:rPr>
          <w:rFonts w:ascii="Arial" w:eastAsia="Times New Roman" w:hAnsi="Arial" w:cs="Arial"/>
          <w:szCs w:val="28"/>
        </w:rPr>
      </w:pPr>
      <w:r w:rsidRPr="00511005">
        <w:rPr>
          <w:rFonts w:ascii="Arial" w:eastAsia="Times New Roman" w:hAnsi="Arial" w:cs="Arial"/>
          <w:szCs w:val="28"/>
        </w:rPr>
        <w:t xml:space="preserve">У результаті проведеного дослідження, варто зазначити, що дезертирство є </w:t>
      </w:r>
      <w:r w:rsidRPr="00511005">
        <w:rPr>
          <w:rFonts w:ascii="Arial" w:eastAsia="Times New Roman" w:hAnsi="Arial" w:cs="Arial"/>
          <w:szCs w:val="28"/>
        </w:rPr>
        <w:lastRenderedPageBreak/>
        <w:t>одним із найнебезпечніших військових злочинів у системі кримінального права України. Законодавче регулювання цього явища в цілому відповідає вимогам часу, однак виявляються певні проблеми у правозастосуванні. Найбільшою складністю є кваліфікація злочинів, що межують із дезертирством, а також оцінка суб’єктивної сторони діяння. Практика демонструє неоднаковий підхід судів до схожих справ, що свідчить про потребу в уніфікації судових підходів. Водночас відсутність належної превенції та психологічного супроводу військових сприяє зростанню рівня правопорушень. Таким чином, боротьба з дезертирством має здійснюватися комплексно - із залученням правових, соціальних і морально-психологічних інструментів.</w:t>
      </w:r>
    </w:p>
    <w:p w14:paraId="1ACC8129" w14:textId="77777777" w:rsidR="00200E87" w:rsidRPr="00511005" w:rsidRDefault="00200E87" w:rsidP="003A292D">
      <w:pPr>
        <w:spacing w:line="264" w:lineRule="auto"/>
        <w:ind w:firstLine="0"/>
        <w:rPr>
          <w:rFonts w:ascii="Arial" w:hAnsi="Arial" w:cs="Arial"/>
          <w:szCs w:val="28"/>
          <w:lang w:eastAsia="zh-CN"/>
        </w:rPr>
      </w:pPr>
    </w:p>
    <w:p w14:paraId="3283D2E5" w14:textId="4DC4D599" w:rsidR="00200E87" w:rsidRPr="00511005" w:rsidRDefault="007B2628" w:rsidP="007B2628">
      <w:pPr>
        <w:spacing w:line="264" w:lineRule="auto"/>
        <w:ind w:firstLine="0"/>
        <w:jc w:val="center"/>
        <w:rPr>
          <w:rFonts w:ascii="Arial" w:hAnsi="Arial" w:cs="Arial"/>
          <w:szCs w:val="28"/>
          <w:lang w:val="en-US" w:eastAsia="zh-CN"/>
        </w:rPr>
      </w:pPr>
      <w:r w:rsidRPr="00511005">
        <w:rPr>
          <w:rFonts w:ascii="Arial" w:hAnsi="Arial" w:cs="Arial"/>
          <w:b/>
          <w:iCs/>
          <w:szCs w:val="28"/>
          <w:lang w:val="uk-UA" w:eastAsia="zh-CN"/>
        </w:rPr>
        <w:t>Список використаних джерел</w:t>
      </w:r>
    </w:p>
    <w:p w14:paraId="063E5C3C" w14:textId="50E2F2CD" w:rsidR="00200E87" w:rsidRPr="00511005" w:rsidRDefault="00200E87" w:rsidP="003F6A5D">
      <w:pPr>
        <w:widowControl w:val="0"/>
        <w:numPr>
          <w:ilvl w:val="0"/>
          <w:numId w:val="490"/>
        </w:numPr>
        <w:spacing w:line="264" w:lineRule="auto"/>
        <w:jc w:val="left"/>
        <w:rPr>
          <w:rFonts w:ascii="Arial" w:hAnsi="Arial" w:cs="Arial"/>
          <w:b/>
          <w:szCs w:val="28"/>
          <w:lang w:val="uk-UA" w:eastAsia="zh-CN"/>
        </w:rPr>
      </w:pPr>
      <w:r w:rsidRPr="00511005">
        <w:rPr>
          <w:rFonts w:ascii="Arial" w:hAnsi="Arial" w:cs="Arial"/>
          <w:bCs/>
          <w:szCs w:val="28"/>
          <w:lang w:eastAsia="zh-CN"/>
        </w:rPr>
        <w:t xml:space="preserve">Відповідальність за дезертирство у воєнний час. Юридична компанія </w:t>
      </w:r>
      <w:r w:rsidRPr="00511005">
        <w:rPr>
          <w:rFonts w:ascii="Arial" w:hAnsi="Arial" w:cs="Arial"/>
          <w:bCs/>
          <w:szCs w:val="28"/>
          <w:lang w:val="en-US" w:eastAsia="zh-CN"/>
        </w:rPr>
        <w:t>INSEININ</w:t>
      </w:r>
      <w:r w:rsidRPr="00511005">
        <w:rPr>
          <w:rFonts w:ascii="Arial" w:hAnsi="Arial" w:cs="Arial"/>
          <w:b/>
          <w:bCs/>
          <w:szCs w:val="28"/>
          <w:lang w:eastAsia="zh-CN"/>
        </w:rPr>
        <w:t xml:space="preserve">. </w:t>
      </w:r>
      <w:r w:rsidRPr="00511005">
        <w:rPr>
          <w:rFonts w:ascii="Arial" w:hAnsi="Arial" w:cs="Arial"/>
          <w:bCs/>
          <w:szCs w:val="28"/>
          <w:lang w:eastAsia="zh-CN"/>
        </w:rPr>
        <w:t>Дата публікації</w:t>
      </w:r>
      <w:r w:rsidRPr="00511005">
        <w:rPr>
          <w:rFonts w:ascii="Arial" w:hAnsi="Arial" w:cs="Arial"/>
          <w:b/>
          <w:bCs/>
          <w:szCs w:val="28"/>
          <w:lang w:eastAsia="zh-CN"/>
        </w:rPr>
        <w:t xml:space="preserve"> </w:t>
      </w:r>
      <w:r w:rsidRPr="00511005">
        <w:rPr>
          <w:rFonts w:ascii="Arial" w:hAnsi="Arial" w:cs="Arial"/>
          <w:bCs/>
          <w:szCs w:val="28"/>
          <w:lang w:eastAsia="zh-CN"/>
        </w:rPr>
        <w:t xml:space="preserve">16.09.2024. </w:t>
      </w:r>
      <w:r w:rsidRPr="00511005">
        <w:rPr>
          <w:rFonts w:ascii="Arial" w:hAnsi="Arial" w:cs="Arial"/>
          <w:szCs w:val="28"/>
          <w:lang w:val="en-US" w:eastAsia="zh-CN"/>
        </w:rPr>
        <w:t>URL</w:t>
      </w:r>
      <w:r w:rsidRPr="00511005">
        <w:rPr>
          <w:rFonts w:ascii="Arial" w:hAnsi="Arial" w:cs="Arial"/>
          <w:szCs w:val="28"/>
          <w:lang w:eastAsia="zh-CN"/>
        </w:rPr>
        <w:t>:</w:t>
      </w:r>
      <w:r w:rsidRPr="00511005">
        <w:rPr>
          <w:rFonts w:ascii="Arial" w:hAnsi="Arial" w:cs="Arial"/>
          <w:szCs w:val="28"/>
          <w:lang w:val="uk-UA" w:eastAsia="zh-CN"/>
        </w:rPr>
        <w:t xml:space="preserve"> </w:t>
      </w:r>
      <w:hyperlink r:id="rId1751" w:history="1">
        <w:r w:rsidRPr="00511005">
          <w:rPr>
            <w:rFonts w:ascii="Arial" w:hAnsi="Arial" w:cs="Arial"/>
            <w:szCs w:val="28"/>
            <w:lang w:val="uk-UA" w:eastAsia="zh-CN"/>
          </w:rPr>
          <w:t>https://inseinin.com.ua/tpost/t6mo32ogn1-vdpovdalnst-za-dezertirstvo-u-vonnii-cha</w:t>
        </w:r>
      </w:hyperlink>
      <w:r w:rsidR="007B2628" w:rsidRPr="00511005">
        <w:rPr>
          <w:rFonts w:ascii="Arial" w:hAnsi="Arial" w:cs="Arial"/>
          <w:szCs w:val="28"/>
          <w:lang w:val="uk-UA" w:eastAsia="zh-CN"/>
        </w:rPr>
        <w:t xml:space="preserve"> </w:t>
      </w:r>
      <w:r w:rsidRPr="00511005">
        <w:rPr>
          <w:rFonts w:ascii="Arial" w:hAnsi="Arial" w:cs="Arial"/>
          <w:szCs w:val="28"/>
          <w:lang w:val="uk-UA" w:eastAsia="zh-CN"/>
        </w:rPr>
        <w:t>(дата звернення: 29.04.2025).</w:t>
      </w:r>
    </w:p>
    <w:p w14:paraId="21651063" w14:textId="0EA0D8AB" w:rsidR="00200E87" w:rsidRPr="00511005" w:rsidRDefault="00200E87" w:rsidP="003F6A5D">
      <w:pPr>
        <w:widowControl w:val="0"/>
        <w:numPr>
          <w:ilvl w:val="0"/>
          <w:numId w:val="490"/>
        </w:numPr>
        <w:spacing w:line="264" w:lineRule="auto"/>
        <w:jc w:val="left"/>
        <w:rPr>
          <w:rFonts w:ascii="Arial" w:hAnsi="Arial" w:cs="Arial"/>
          <w:b/>
          <w:szCs w:val="28"/>
          <w:lang w:val="uk-UA" w:eastAsia="zh-CN"/>
        </w:rPr>
      </w:pPr>
      <w:r w:rsidRPr="00511005">
        <w:rPr>
          <w:rFonts w:ascii="Arial" w:hAnsi="Arial" w:cs="Arial"/>
          <w:szCs w:val="28"/>
          <w:lang w:eastAsia="zh-CN"/>
        </w:rPr>
        <w:t xml:space="preserve">Відповідальність за непокору та самовільне залишення частини. Оболонська районна в місті Києві державна адміністрація. </w:t>
      </w:r>
      <w:r w:rsidRPr="00511005">
        <w:rPr>
          <w:rFonts w:ascii="Arial" w:hAnsi="Arial" w:cs="Arial"/>
          <w:bCs/>
          <w:szCs w:val="28"/>
          <w:lang w:eastAsia="zh-CN"/>
        </w:rPr>
        <w:t>Дата публікації</w:t>
      </w:r>
      <w:r w:rsidRPr="00511005">
        <w:rPr>
          <w:rFonts w:ascii="Arial" w:hAnsi="Arial" w:cs="Arial"/>
          <w:szCs w:val="28"/>
          <w:lang w:eastAsia="zh-CN"/>
        </w:rPr>
        <w:t xml:space="preserve"> 30 вересня 2014 року</w:t>
      </w:r>
      <w:r w:rsidRPr="00511005">
        <w:rPr>
          <w:rFonts w:ascii="Arial" w:hAnsi="Arial" w:cs="Arial"/>
          <w:szCs w:val="28"/>
          <w:lang w:val="uk-UA" w:eastAsia="zh-CN"/>
        </w:rPr>
        <w:t xml:space="preserve">. </w:t>
      </w:r>
      <w:r w:rsidRPr="00511005">
        <w:rPr>
          <w:rFonts w:ascii="Arial" w:hAnsi="Arial" w:cs="Arial"/>
          <w:szCs w:val="28"/>
          <w:lang w:val="en-US" w:eastAsia="zh-CN"/>
        </w:rPr>
        <w:t>URL</w:t>
      </w:r>
      <w:r w:rsidRPr="00511005">
        <w:rPr>
          <w:rFonts w:ascii="Arial" w:hAnsi="Arial" w:cs="Arial"/>
          <w:szCs w:val="28"/>
          <w:lang w:eastAsia="zh-CN"/>
        </w:rPr>
        <w:t>:</w:t>
      </w:r>
      <w:r w:rsidRPr="00511005">
        <w:rPr>
          <w:rFonts w:ascii="Arial" w:hAnsi="Arial" w:cs="Arial"/>
          <w:szCs w:val="28"/>
          <w:lang w:val="uk-UA" w:eastAsia="zh-CN"/>
        </w:rPr>
        <w:t xml:space="preserve"> </w:t>
      </w:r>
      <w:hyperlink r:id="rId1752" w:history="1">
        <w:r w:rsidRPr="00511005">
          <w:rPr>
            <w:rFonts w:ascii="Arial" w:hAnsi="Arial" w:cs="Arial"/>
            <w:szCs w:val="28"/>
            <w:lang w:val="uk-UA" w:eastAsia="zh-CN"/>
          </w:rPr>
          <w:t>https://obolon.kyivcity.gov.ua/news/vidpovidalnist-za-nepokoru-samovilne-zalishennya-viyskovoi-chastini-abo-mistsya-sluzhbi-dezertirstva-ukhilennya-vid-viyskovoi-sluzhbi-toshcho</w:t>
        </w:r>
      </w:hyperlink>
      <w:r w:rsidR="007B2628" w:rsidRPr="00511005">
        <w:rPr>
          <w:rFonts w:ascii="Arial" w:hAnsi="Arial" w:cs="Arial"/>
          <w:szCs w:val="28"/>
          <w:lang w:val="uk-UA" w:eastAsia="zh-CN"/>
        </w:rPr>
        <w:t xml:space="preserve"> </w:t>
      </w:r>
      <w:r w:rsidRPr="00511005">
        <w:rPr>
          <w:rFonts w:ascii="Arial" w:hAnsi="Arial" w:cs="Arial"/>
          <w:szCs w:val="28"/>
          <w:lang w:val="uk-UA" w:eastAsia="zh-CN"/>
        </w:rPr>
        <w:t>(дата звернення: 29.04.2025).</w:t>
      </w:r>
    </w:p>
    <w:p w14:paraId="3D326E59" w14:textId="77777777" w:rsidR="00200E87" w:rsidRPr="00511005" w:rsidRDefault="00200E87" w:rsidP="003F6A5D">
      <w:pPr>
        <w:widowControl w:val="0"/>
        <w:numPr>
          <w:ilvl w:val="0"/>
          <w:numId w:val="490"/>
        </w:numPr>
        <w:spacing w:line="264" w:lineRule="auto"/>
        <w:jc w:val="left"/>
        <w:rPr>
          <w:rFonts w:ascii="Arial" w:hAnsi="Arial" w:cs="Arial"/>
          <w:b/>
          <w:szCs w:val="28"/>
          <w:lang w:val="uk-UA" w:eastAsia="zh-CN"/>
        </w:rPr>
      </w:pPr>
      <w:r w:rsidRPr="00511005">
        <w:rPr>
          <w:rFonts w:ascii="Arial" w:hAnsi="Arial" w:cs="Arial"/>
          <w:bCs/>
          <w:szCs w:val="28"/>
          <w:lang w:eastAsia="zh-CN"/>
        </w:rPr>
        <w:t>Відповідальність за самовільне залишення частини та дезертирство. Стаття Консультант.</w:t>
      </w:r>
      <w:r w:rsidRPr="00511005">
        <w:rPr>
          <w:rFonts w:ascii="Arial" w:hAnsi="Arial" w:cs="Arial"/>
          <w:bCs/>
          <w:szCs w:val="28"/>
          <w:lang w:val="en-US" w:eastAsia="zh-CN"/>
        </w:rPr>
        <w:t>net</w:t>
      </w:r>
      <w:r w:rsidRPr="00511005">
        <w:rPr>
          <w:rFonts w:ascii="Arial" w:hAnsi="Arial" w:cs="Arial"/>
          <w:bCs/>
          <w:szCs w:val="28"/>
          <w:lang w:val="uk-UA" w:eastAsia="zh-CN"/>
        </w:rPr>
        <w:t>.</w:t>
      </w:r>
      <w:r w:rsidRPr="00511005">
        <w:rPr>
          <w:rFonts w:ascii="Arial" w:hAnsi="Arial" w:cs="Arial"/>
          <w:bCs/>
          <w:szCs w:val="28"/>
          <w:lang w:eastAsia="zh-CN"/>
        </w:rPr>
        <w:t xml:space="preserve"> Дата публікації 22.12.2024. </w:t>
      </w:r>
      <w:r w:rsidRPr="00511005">
        <w:rPr>
          <w:rFonts w:ascii="Arial" w:hAnsi="Arial" w:cs="Arial"/>
          <w:szCs w:val="28"/>
          <w:lang w:val="en-US" w:eastAsia="zh-CN"/>
        </w:rPr>
        <w:t>URL</w:t>
      </w:r>
      <w:r w:rsidRPr="00511005">
        <w:rPr>
          <w:rFonts w:ascii="Arial" w:hAnsi="Arial" w:cs="Arial"/>
          <w:szCs w:val="28"/>
          <w:lang w:eastAsia="zh-CN"/>
        </w:rPr>
        <w:t xml:space="preserve">: </w:t>
      </w:r>
      <w:hyperlink r:id="rId1753" w:history="1">
        <w:r w:rsidRPr="00511005">
          <w:rPr>
            <w:rFonts w:ascii="Arial" w:hAnsi="Arial" w:cs="Arial"/>
            <w:szCs w:val="28"/>
            <w:lang w:eastAsia="zh-CN"/>
          </w:rPr>
          <w:t>https://consultant.net.ua/consultant-article/12857</w:t>
        </w:r>
      </w:hyperlink>
      <w:r w:rsidRPr="00511005">
        <w:rPr>
          <w:rFonts w:ascii="Arial" w:hAnsi="Arial" w:cs="Arial"/>
          <w:szCs w:val="28"/>
          <w:lang w:eastAsia="zh-CN"/>
        </w:rPr>
        <w:t xml:space="preserve"> </w:t>
      </w:r>
      <w:r w:rsidRPr="00511005">
        <w:rPr>
          <w:rFonts w:ascii="Arial" w:hAnsi="Arial" w:cs="Arial"/>
          <w:szCs w:val="28"/>
          <w:lang w:val="uk-UA" w:eastAsia="zh-CN"/>
        </w:rPr>
        <w:t>(дата звернення: 29.04.2025).</w:t>
      </w:r>
    </w:p>
    <w:p w14:paraId="52C011A4" w14:textId="77777777" w:rsidR="00200E87" w:rsidRPr="00511005" w:rsidRDefault="00200E87" w:rsidP="003F6A5D">
      <w:pPr>
        <w:widowControl w:val="0"/>
        <w:numPr>
          <w:ilvl w:val="0"/>
          <w:numId w:val="490"/>
        </w:numPr>
        <w:spacing w:line="264" w:lineRule="auto"/>
        <w:jc w:val="left"/>
        <w:rPr>
          <w:rFonts w:ascii="Arial" w:hAnsi="Arial" w:cs="Arial"/>
          <w:b/>
          <w:szCs w:val="28"/>
          <w:lang w:val="uk-UA" w:eastAsia="zh-CN"/>
        </w:rPr>
      </w:pPr>
      <w:r w:rsidRPr="00511005">
        <w:rPr>
          <w:rFonts w:ascii="Arial" w:hAnsi="Arial" w:cs="Arial"/>
          <w:szCs w:val="28"/>
          <w:lang w:val="uk-UA" w:eastAsia="zh-CN"/>
        </w:rPr>
        <w:t>Д</w:t>
      </w:r>
      <w:r w:rsidRPr="00511005">
        <w:rPr>
          <w:rFonts w:ascii="Arial" w:hAnsi="Arial" w:cs="Arial"/>
          <w:szCs w:val="28"/>
          <w:lang w:eastAsia="zh-CN"/>
        </w:rPr>
        <w:t xml:space="preserve">езертирство у військовий час. Стаття адвокатського об’єднання "Максимальний Захист". Київ 2024. </w:t>
      </w:r>
      <w:r w:rsidRPr="00511005">
        <w:rPr>
          <w:rFonts w:ascii="Arial" w:hAnsi="Arial" w:cs="Arial"/>
          <w:szCs w:val="28"/>
          <w:lang w:val="en-US" w:eastAsia="zh-CN"/>
        </w:rPr>
        <w:t>URL</w:t>
      </w:r>
      <w:r w:rsidRPr="00511005">
        <w:rPr>
          <w:rFonts w:ascii="Arial" w:hAnsi="Arial" w:cs="Arial"/>
          <w:szCs w:val="28"/>
          <w:lang w:eastAsia="zh-CN"/>
        </w:rPr>
        <w:t>:</w:t>
      </w:r>
      <w:r w:rsidRPr="00511005">
        <w:rPr>
          <w:rFonts w:ascii="Arial" w:hAnsi="Arial" w:cs="Arial"/>
          <w:szCs w:val="28"/>
          <w:lang w:val="uk-UA" w:eastAsia="zh-CN"/>
        </w:rPr>
        <w:t xml:space="preserve"> </w:t>
      </w:r>
      <w:hyperlink r:id="rId1754" w:history="1">
        <w:r w:rsidRPr="00511005">
          <w:rPr>
            <w:rFonts w:ascii="Arial" w:hAnsi="Arial" w:cs="Arial"/>
            <w:szCs w:val="28"/>
            <w:lang w:val="uk-UA" w:eastAsia="zh-CN"/>
          </w:rPr>
          <w:t>https://mzahyst.com.ua/dezertyrstvo-ta-riznytsya-iz-szch/</w:t>
        </w:r>
      </w:hyperlink>
      <w:r w:rsidRPr="00511005">
        <w:rPr>
          <w:rFonts w:ascii="Arial" w:hAnsi="Arial" w:cs="Arial"/>
          <w:szCs w:val="28"/>
          <w:lang w:val="uk-UA" w:eastAsia="zh-CN"/>
        </w:rPr>
        <w:t xml:space="preserve"> (дата звернення: 29.04.2025).</w:t>
      </w:r>
    </w:p>
    <w:p w14:paraId="2D719B18" w14:textId="0DB02C69" w:rsidR="00200E87" w:rsidRPr="00511005" w:rsidRDefault="00200E87" w:rsidP="003F6A5D">
      <w:pPr>
        <w:widowControl w:val="0"/>
        <w:numPr>
          <w:ilvl w:val="0"/>
          <w:numId w:val="490"/>
        </w:numPr>
        <w:spacing w:line="264" w:lineRule="auto"/>
        <w:jc w:val="left"/>
        <w:rPr>
          <w:rFonts w:ascii="Arial" w:hAnsi="Arial" w:cs="Arial"/>
          <w:b/>
          <w:szCs w:val="28"/>
          <w:lang w:val="uk-UA" w:eastAsia="zh-CN"/>
        </w:rPr>
      </w:pPr>
      <w:r w:rsidRPr="00511005">
        <w:rPr>
          <w:rFonts w:ascii="Arial" w:hAnsi="Arial" w:cs="Arial"/>
          <w:bCs/>
          <w:szCs w:val="28"/>
          <w:lang w:eastAsia="zh-CN"/>
        </w:rPr>
        <w:t>Кримінальний кодекс України</w:t>
      </w:r>
      <w:r w:rsidRPr="00511005">
        <w:rPr>
          <w:rFonts w:ascii="Arial" w:hAnsi="Arial" w:cs="Arial"/>
          <w:szCs w:val="28"/>
          <w:lang w:eastAsia="zh-CN"/>
        </w:rPr>
        <w:t>: Закон України від 5 квітня 2001 р. № 2341-</w:t>
      </w:r>
      <w:r w:rsidRPr="00511005">
        <w:rPr>
          <w:rFonts w:ascii="Arial" w:hAnsi="Arial" w:cs="Arial"/>
          <w:szCs w:val="28"/>
          <w:lang w:val="en-US" w:eastAsia="zh-CN"/>
        </w:rPr>
        <w:t>III</w:t>
      </w:r>
      <w:r w:rsidRPr="00511005">
        <w:rPr>
          <w:rFonts w:ascii="Arial" w:hAnsi="Arial" w:cs="Arial"/>
          <w:szCs w:val="28"/>
          <w:lang w:eastAsia="zh-CN"/>
        </w:rPr>
        <w:t xml:space="preserve">. Відомості </w:t>
      </w:r>
      <w:proofErr w:type="gramStart"/>
      <w:r w:rsidRPr="00511005">
        <w:rPr>
          <w:rFonts w:ascii="Arial" w:hAnsi="Arial" w:cs="Arial"/>
          <w:szCs w:val="28"/>
          <w:lang w:eastAsia="zh-CN"/>
        </w:rPr>
        <w:t>Верховної</w:t>
      </w:r>
      <w:proofErr w:type="gramEnd"/>
      <w:r w:rsidRPr="00511005">
        <w:rPr>
          <w:rFonts w:ascii="Arial" w:hAnsi="Arial" w:cs="Arial"/>
          <w:szCs w:val="28"/>
          <w:lang w:eastAsia="zh-CN"/>
        </w:rPr>
        <w:t xml:space="preserve"> Ради України. </w:t>
      </w:r>
      <w:r w:rsidRPr="00511005">
        <w:rPr>
          <w:rFonts w:ascii="Arial" w:hAnsi="Arial" w:cs="Arial"/>
          <w:szCs w:val="28"/>
          <w:lang w:val="en-US" w:eastAsia="zh-CN"/>
        </w:rPr>
        <w:t>URL</w:t>
      </w:r>
      <w:r w:rsidRPr="00511005">
        <w:rPr>
          <w:rFonts w:ascii="Arial" w:hAnsi="Arial" w:cs="Arial"/>
          <w:szCs w:val="28"/>
          <w:lang w:eastAsia="zh-CN"/>
        </w:rPr>
        <w:t xml:space="preserve">: </w:t>
      </w:r>
      <w:hyperlink r:id="rId1755"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zakon</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laws</w:t>
        </w:r>
        <w:r w:rsidRPr="00511005">
          <w:rPr>
            <w:rFonts w:ascii="Arial" w:hAnsi="Arial" w:cs="Arial"/>
            <w:szCs w:val="28"/>
            <w:lang w:eastAsia="zh-CN"/>
          </w:rPr>
          <w:t>/</w:t>
        </w:r>
        <w:r w:rsidRPr="00511005">
          <w:rPr>
            <w:rFonts w:ascii="Arial" w:hAnsi="Arial" w:cs="Arial"/>
            <w:szCs w:val="28"/>
            <w:lang w:val="en-US" w:eastAsia="zh-CN"/>
          </w:rPr>
          <w:t>show</w:t>
        </w:r>
        <w:r w:rsidRPr="00511005">
          <w:rPr>
            <w:rFonts w:ascii="Arial" w:hAnsi="Arial" w:cs="Arial"/>
            <w:szCs w:val="28"/>
            <w:lang w:eastAsia="zh-CN"/>
          </w:rPr>
          <w:t>/2341-14</w:t>
        </w:r>
      </w:hyperlink>
      <w:r w:rsidR="007B2628" w:rsidRPr="00511005">
        <w:rPr>
          <w:rFonts w:ascii="Arial" w:hAnsi="Arial" w:cs="Arial"/>
          <w:szCs w:val="28"/>
          <w:lang w:val="uk-UA" w:eastAsia="zh-CN"/>
        </w:rPr>
        <w:t xml:space="preserve"> </w:t>
      </w:r>
      <w:r w:rsidRPr="00511005">
        <w:rPr>
          <w:rFonts w:ascii="Arial" w:hAnsi="Arial" w:cs="Arial"/>
          <w:szCs w:val="28"/>
          <w:lang w:val="uk-UA" w:eastAsia="zh-CN"/>
        </w:rPr>
        <w:t>(дата звернення: 29.04.2025).</w:t>
      </w:r>
    </w:p>
    <w:p w14:paraId="7A57AB60" w14:textId="77777777" w:rsidR="00200E87" w:rsidRPr="00511005" w:rsidRDefault="00200E87" w:rsidP="003A292D">
      <w:pPr>
        <w:spacing w:line="264" w:lineRule="auto"/>
        <w:ind w:firstLine="0"/>
        <w:rPr>
          <w:rFonts w:ascii="Arial" w:hAnsi="Arial" w:cs="Arial"/>
          <w:b/>
          <w:bCs/>
          <w:szCs w:val="28"/>
          <w:lang w:val="uk-UA" w:eastAsia="zh-CN"/>
        </w:rPr>
      </w:pPr>
    </w:p>
    <w:p w14:paraId="105682E8" w14:textId="687FA365" w:rsidR="00200E87" w:rsidRPr="00511005" w:rsidRDefault="007B2628" w:rsidP="003A292D">
      <w:pPr>
        <w:spacing w:line="264" w:lineRule="auto"/>
        <w:ind w:firstLine="0"/>
        <w:rPr>
          <w:rFonts w:ascii="Arial" w:hAnsi="Arial" w:cs="Arial"/>
          <w:szCs w:val="28"/>
          <w:lang w:val="uk-UA" w:eastAsia="zh-CN"/>
        </w:rPr>
      </w:pPr>
      <w:r w:rsidRPr="00511005">
        <w:rPr>
          <w:rFonts w:ascii="Arial" w:hAnsi="Arial" w:cs="Arial"/>
          <w:b/>
          <w:bCs/>
          <w:i/>
          <w:szCs w:val="28"/>
          <w:lang w:val="uk-UA" w:eastAsia="zh-CN"/>
        </w:rPr>
        <w:t xml:space="preserve">Ключові слова: </w:t>
      </w:r>
      <w:r w:rsidR="00200E87" w:rsidRPr="00511005">
        <w:rPr>
          <w:rFonts w:ascii="Arial" w:hAnsi="Arial" w:cs="Arial"/>
          <w:bCs/>
          <w:szCs w:val="28"/>
          <w:lang w:val="uk-UA" w:eastAsia="zh-CN"/>
        </w:rPr>
        <w:t>дезертирство</w:t>
      </w:r>
      <w:r w:rsidR="00200E87" w:rsidRPr="00511005">
        <w:rPr>
          <w:rFonts w:ascii="Arial" w:hAnsi="Arial" w:cs="Arial"/>
          <w:szCs w:val="28"/>
          <w:lang w:val="uk-UA" w:eastAsia="zh-CN"/>
        </w:rPr>
        <w:t>, воєнний стан, військові злочини, самовільне залишення військової частини або місце служби, ухилення від військової служби, опір начальникові.</w:t>
      </w:r>
    </w:p>
    <w:p w14:paraId="61E8A9AA" w14:textId="4DACE2B3" w:rsidR="00200E87" w:rsidRPr="00511005" w:rsidRDefault="007B2628" w:rsidP="003A292D">
      <w:pPr>
        <w:spacing w:line="264" w:lineRule="auto"/>
        <w:ind w:firstLine="0"/>
        <w:rPr>
          <w:rFonts w:ascii="Arial" w:hAnsi="Arial" w:cs="Arial"/>
          <w:szCs w:val="28"/>
          <w:lang w:val="uk-UA" w:eastAsia="zh-CN"/>
        </w:rPr>
      </w:pPr>
      <w:r w:rsidRPr="00511005">
        <w:rPr>
          <w:rFonts w:ascii="Arial" w:hAnsi="Arial" w:cs="Arial"/>
          <w:b/>
          <w:bCs/>
          <w:i/>
          <w:szCs w:val="28"/>
          <w:lang w:val="en-US" w:eastAsia="zh-CN"/>
        </w:rPr>
        <w:t xml:space="preserve">Key words: </w:t>
      </w:r>
      <w:r w:rsidR="00200E87" w:rsidRPr="00511005">
        <w:rPr>
          <w:rFonts w:ascii="Arial" w:hAnsi="Arial" w:cs="Arial"/>
          <w:szCs w:val="28"/>
          <w:lang w:val="en-US" w:eastAsia="zh-CN"/>
        </w:rPr>
        <w:t>desertion, martial law, war crimes, unauthorized abandonment of a military unit or place of service, evasion of military service, resistance to a superior</w:t>
      </w:r>
      <w:r w:rsidR="00200E87" w:rsidRPr="00511005">
        <w:rPr>
          <w:rFonts w:ascii="Arial" w:hAnsi="Arial" w:cs="Arial"/>
          <w:szCs w:val="28"/>
          <w:lang w:val="uk-UA" w:eastAsia="zh-CN"/>
        </w:rPr>
        <w:t>.</w:t>
      </w:r>
    </w:p>
    <w:p w14:paraId="35C1BF1E" w14:textId="77777777" w:rsidR="00200E87" w:rsidRPr="00511005" w:rsidRDefault="00200E87" w:rsidP="003A292D">
      <w:pPr>
        <w:spacing w:line="264" w:lineRule="auto"/>
        <w:ind w:firstLine="0"/>
        <w:rPr>
          <w:rFonts w:ascii="Arial" w:hAnsi="Arial" w:cs="Arial"/>
          <w:bCs/>
          <w:i/>
          <w:iCs/>
          <w:szCs w:val="28"/>
          <w:lang w:val="uk-UA" w:eastAsia="zh-CN"/>
        </w:rPr>
      </w:pPr>
    </w:p>
    <w:p w14:paraId="73E3F58C" w14:textId="0EA2D168" w:rsidR="007B2628" w:rsidRPr="00511005" w:rsidRDefault="007B2628" w:rsidP="003A292D">
      <w:pPr>
        <w:spacing w:line="264" w:lineRule="auto"/>
        <w:ind w:firstLine="0"/>
        <w:rPr>
          <w:rFonts w:ascii="Arial" w:hAnsi="Arial" w:cs="Arial"/>
          <w:bCs/>
          <w:i/>
          <w:iCs/>
          <w:szCs w:val="28"/>
          <w:lang w:eastAsia="zh-CN"/>
        </w:rPr>
      </w:pPr>
      <w:r w:rsidRPr="00511005">
        <w:rPr>
          <w:rFonts w:ascii="Arial" w:hAnsi="Arial" w:cs="Arial"/>
          <w:b/>
          <w:bCs/>
          <w:i/>
          <w:iCs/>
          <w:szCs w:val="28"/>
          <w:lang w:val="uk-UA" w:eastAsia="zh-CN"/>
        </w:rPr>
        <w:lastRenderedPageBreak/>
        <w:t xml:space="preserve">Науковий керівник: </w:t>
      </w:r>
      <w:r w:rsidR="00200E87" w:rsidRPr="00511005">
        <w:rPr>
          <w:rFonts w:ascii="Arial" w:hAnsi="Arial" w:cs="Arial"/>
          <w:bCs/>
          <w:i/>
          <w:iCs/>
          <w:szCs w:val="28"/>
          <w:lang w:val="uk-UA" w:eastAsia="zh-CN"/>
        </w:rPr>
        <w:t>д.ю.н., професор Коломієць Ю..Ю.</w:t>
      </w:r>
    </w:p>
    <w:p w14:paraId="414C6E7E" w14:textId="46EC5775" w:rsidR="00200E87" w:rsidRPr="00511005" w:rsidRDefault="00200E87" w:rsidP="003A292D">
      <w:pPr>
        <w:widowControl w:val="0"/>
        <w:spacing w:line="264" w:lineRule="auto"/>
        <w:ind w:firstLine="0"/>
        <w:rPr>
          <w:rFonts w:ascii="Arial" w:hAnsi="Arial" w:cs="Arial"/>
          <w:szCs w:val="28"/>
          <w:lang w:val="uk-UA"/>
        </w:rPr>
      </w:pPr>
    </w:p>
    <w:p w14:paraId="2C37A03B" w14:textId="77777777" w:rsidR="00200E87" w:rsidRPr="00511005" w:rsidRDefault="00200E87" w:rsidP="003A292D">
      <w:pPr>
        <w:widowControl w:val="0"/>
        <w:spacing w:line="264" w:lineRule="auto"/>
        <w:ind w:firstLine="0"/>
        <w:rPr>
          <w:rFonts w:ascii="Arial" w:eastAsia="Times New Roman" w:hAnsi="Arial" w:cs="Arial"/>
          <w:szCs w:val="28"/>
          <w:lang w:val="uk-UA"/>
        </w:rPr>
      </w:pPr>
    </w:p>
    <w:p w14:paraId="0E524168" w14:textId="77777777" w:rsidR="00200E87" w:rsidRPr="00511005" w:rsidRDefault="00200E87" w:rsidP="003A292D">
      <w:pPr>
        <w:spacing w:line="264" w:lineRule="auto"/>
        <w:ind w:right="-227" w:firstLine="0"/>
        <w:contextualSpacing/>
        <w:mirrorIndents/>
        <w:jc w:val="center"/>
        <w:rPr>
          <w:rFonts w:ascii="Arial" w:eastAsia="Times New Roman" w:hAnsi="Arial" w:cs="Arial"/>
          <w:b/>
          <w:i/>
          <w:szCs w:val="28"/>
          <w:lang w:val="uk" w:eastAsia="uk-UA"/>
        </w:rPr>
      </w:pPr>
      <w:r w:rsidRPr="00511005">
        <w:rPr>
          <w:rFonts w:ascii="Arial" w:eastAsia="Times New Roman" w:hAnsi="Arial" w:cs="Arial"/>
          <w:b/>
          <w:i/>
          <w:szCs w:val="28"/>
          <w:lang w:val="uk" w:eastAsia="uk-UA"/>
        </w:rPr>
        <w:t>Балик Даша Вікторівна</w:t>
      </w:r>
    </w:p>
    <w:p w14:paraId="0435F2C7" w14:textId="06423142"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24AF7B03"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B0ED6D6"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3F7302E" w14:textId="77777777" w:rsidR="00200E87" w:rsidRPr="00511005" w:rsidRDefault="00200E87" w:rsidP="003A292D">
      <w:pPr>
        <w:spacing w:line="264" w:lineRule="auto"/>
        <w:ind w:right="-227" w:firstLine="0"/>
        <w:contextualSpacing/>
        <w:mirrorIndents/>
        <w:jc w:val="center"/>
        <w:rPr>
          <w:rFonts w:ascii="Arial" w:eastAsia="Times New Roman" w:hAnsi="Arial" w:cs="Arial"/>
          <w:szCs w:val="28"/>
          <w:lang w:val="uk" w:eastAsia="uk-UA"/>
        </w:rPr>
      </w:pPr>
    </w:p>
    <w:p w14:paraId="2D002E54" w14:textId="77777777" w:rsidR="00200E87" w:rsidRPr="00511005" w:rsidRDefault="00200E87" w:rsidP="003A292D">
      <w:pPr>
        <w:spacing w:line="264" w:lineRule="auto"/>
        <w:ind w:right="-227" w:firstLine="0"/>
        <w:contextualSpacing/>
        <w:mirrorIndents/>
        <w:jc w:val="center"/>
        <w:rPr>
          <w:rFonts w:ascii="Arial" w:eastAsia="Times New Roman" w:hAnsi="Arial" w:cs="Arial"/>
          <w:b/>
          <w:szCs w:val="28"/>
          <w:lang w:val="uk" w:eastAsia="uk-UA"/>
        </w:rPr>
      </w:pPr>
      <w:r w:rsidRPr="00511005">
        <w:rPr>
          <w:rFonts w:ascii="Arial" w:eastAsia="Times New Roman" w:hAnsi="Arial" w:cs="Arial"/>
          <w:b/>
          <w:szCs w:val="28"/>
          <w:lang w:val="uk" w:eastAsia="uk-UA"/>
        </w:rPr>
        <w:t>АМНІСТІЯ ТА ПОМИЛУВАННЯ ЩОДО УЧАСНИКІВ ВІЙНИ: ПРАВОВІ АСПЕКТИ</w:t>
      </w:r>
    </w:p>
    <w:p w14:paraId="7AFE0947" w14:textId="77777777" w:rsidR="00200E87" w:rsidRPr="00511005" w:rsidRDefault="00200E87" w:rsidP="003A292D">
      <w:pPr>
        <w:spacing w:line="264" w:lineRule="auto"/>
        <w:ind w:right="-227" w:firstLine="0"/>
        <w:contextualSpacing/>
        <w:mirrorIndents/>
        <w:jc w:val="center"/>
        <w:rPr>
          <w:rFonts w:ascii="Arial" w:eastAsia="Arial" w:hAnsi="Arial" w:cs="Arial"/>
          <w:szCs w:val="28"/>
          <w:lang w:val="uk" w:eastAsia="uk-UA"/>
        </w:rPr>
      </w:pPr>
    </w:p>
    <w:p w14:paraId="7EB6F4E8"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Проблематика застосування амністії та помилування набула особливої актуальності в умовах збройного конфлікту в Україні. У центрі наукових дискусій та правотворчих ініціатив постає питання: чи можливо забезпечити баланс між гуманізацією кримінального правосуддя, потребою в ресоціалізації учасників війни та обов’язком держави забезпечити невідворотність покарання за тяжкі правопорушення?</w:t>
      </w:r>
    </w:p>
    <w:p w14:paraId="4BDE5BE5"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До кола науковців, що досліджують означену проблематику, належать М.І. Хавронюк, О.М. Костенко, А.М. Литвинов, С.М. Кравченко, Ю.В. Баулін, О.Л. Кальман та інші. В їхніх працях розглядається диференціація підстав і порядку звільнення від кримінальної відповідальності, акцентується увага на ролі гуманістичних засад у діяльності правової держави.</w:t>
      </w:r>
    </w:p>
    <w:p w14:paraId="2C784486"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Помилування виступає, з одного боку, як політичний засіб, а з іншого – як механізм, що дозволяє повністю або частково скасувати покарання, накладене на засуджену особу. Відповідно до п.27 ч.1 ст.106 Конституції України, повноваження щодо здійснення помилування належать Президенту України [1]. При цьому, Кримінальний кодекс України встановлює, що помилування є підставою для звільнення особи від кримінальної відповідальності (ст. 44, 85) та від покарання (ст. 87). Згідно з ч.1 ст.87 КК України, президент застосовує помилування до конкретної, індивідуально визначеної особи [2].</w:t>
      </w:r>
    </w:p>
    <w:p w14:paraId="1CE9847A"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 xml:space="preserve">Процедура помилування регулюється Положенням «Про порядок здійснення помилування», яке було затверджене Указом Президента України від 21 квітня 2015 р. № 233 з наступними змінами. За цим механізмом, заміна довічного ув’язнення на покарання обмеженого строку, не менше 25 років, або надання повного чи часткового звільнення від основного та додаткового покарання, є допустимою. </w:t>
      </w:r>
    </w:p>
    <w:p w14:paraId="458BEDD9"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Відповідно до Кримінально-виконавчого кодексу України, особа, засуджена до довічного позбавлення волі, має право звернутися з клопотанням про помилування лише після того, як відбуде покарання щонайменше протягом 15 років (ст. 151, ч. 7) [3].</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uk" w:eastAsia="uk-UA"/>
        </w:rPr>
        <w:t xml:space="preserve">Згідно з положеннями Кримінального кодексу, особи, засуджені за злочини, пов’язані з корупцією, порушенням правил дорожнього </w:t>
      </w:r>
      <w:r w:rsidRPr="00511005">
        <w:rPr>
          <w:rFonts w:ascii="Arial" w:eastAsia="Times New Roman" w:hAnsi="Arial" w:cs="Arial"/>
          <w:szCs w:val="28"/>
          <w:lang w:val="uk" w:eastAsia="uk-UA"/>
        </w:rPr>
        <w:lastRenderedPageBreak/>
        <w:t>руху або експлуатацією транспорту в умовах керування у стані алкогольного, наркотичного чи іншого сп’яніння, можуть отримати помилування після фактичного відбуття строків, встановлених частиною 3 ст. 87 [2].</w:t>
      </w:r>
    </w:p>
    <w:p w14:paraId="24307A25"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Цей підхід, на його думку, дозволяє уникнути безсистемності в застосуванні помилування та підвищити довіру до інституту милосердя.</w:t>
      </w:r>
    </w:p>
    <w:p w14:paraId="72CAAEE3"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Амністія походить від грецького слова, що означає «забуття» або «прощення». Вона оформлюється як акт найвищого законодавчого органу держави і передбачає повне або часткове звільнення певної групи осіб від покарання за вчинені злочини [</w:t>
      </w:r>
      <w:r w:rsidRPr="00511005">
        <w:rPr>
          <w:rFonts w:ascii="Arial" w:eastAsia="Times New Roman" w:hAnsi="Arial" w:cs="Arial"/>
          <w:szCs w:val="28"/>
          <w:lang w:val="uk-UA" w:eastAsia="uk-UA"/>
        </w:rPr>
        <w:t>6</w:t>
      </w:r>
      <w:r w:rsidRPr="00511005">
        <w:rPr>
          <w:rFonts w:ascii="Arial" w:eastAsia="Times New Roman" w:hAnsi="Arial" w:cs="Arial"/>
          <w:szCs w:val="28"/>
          <w:lang w:val="uk" w:eastAsia="uk-UA"/>
        </w:rPr>
        <w:t>]. Основною відмінністю амністії від помилування є її колективний характер: амністія застосовується до категорії осіб, а не до конкретної особи. Згідно з чинним законодавством, а саме ст. 1 Закону України «Про застосування амністії в Україні», суд може застосувати амністію, якщо вироки ще не набрали законної сили. При цьому амністія не поширюється на осіб, які вчинили особливо тяжкі злочини [4].</w:t>
      </w:r>
    </w:p>
    <w:p w14:paraId="64A42550"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Головна різниця між цими інститутами полягає у суб’єктивному підході: амністія передбачає звільнення від покарання для визначеної категорії осіб за ініціативою суду з урахуванням особливих чинників, таких як тяжкість злочину та каяття винних, тоді як помилування здійснюється Президентом України і може бути надане будь-якій засудженій особі, якщо вона відбула певний термін покарання, незалежно від тяжкості злочину, за умови наявності вагомих підстав для цього.</w:t>
      </w:r>
    </w:p>
    <w:p w14:paraId="083848CE"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Один цікавий факт з статті Хавронюк М.І. полягає в тому, що пенітенціарна система України розрахована лише на 44 тисячі засуджених, тоді як за широким визначенням колабораціонізм охоплює понад 45 тисяч осіб. Це підкреслює нагальну потребу у впровадженні амністії, поєднаної з люстрацією, для вирішення перенавантаженості системи [</w:t>
      </w:r>
      <w:r w:rsidRPr="00511005">
        <w:rPr>
          <w:rFonts w:ascii="Arial" w:eastAsia="Times New Roman" w:hAnsi="Arial" w:cs="Arial"/>
          <w:szCs w:val="28"/>
          <w:lang w:val="uk-UA" w:eastAsia="uk-UA"/>
        </w:rPr>
        <w:t>5</w:t>
      </w:r>
      <w:r w:rsidRPr="00511005">
        <w:rPr>
          <w:rFonts w:ascii="Arial" w:eastAsia="Times New Roman" w:hAnsi="Arial" w:cs="Arial"/>
          <w:szCs w:val="28"/>
          <w:lang w:val="uk" w:eastAsia="uk-UA"/>
        </w:rPr>
        <w:t>].</w:t>
      </w:r>
    </w:p>
    <w:p w14:paraId="724DB909"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Слід також зазначити, що амністія в Україні проводиться щорічно, і протягом року її застосування не обмежується кількісно.</w:t>
      </w:r>
    </w:p>
    <w:p w14:paraId="2AC082EF"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Після опублікування закону про амністію амністовані особи мають бути звільнені від відбування покарання протягом трьох місяців, а питання зняття судимості вирішується згідно з нормами Кримінального кодексу України (статті 88–91) з урахуванням тяжкості злочину та відбутого терміну покарання [2]. У разі прийняття закону про амністію з метою скорочення терміну відбування покарання особа повинна бути повідомлена про це протягом одного місяця після публікації закону, а також про дату, на яку припиниться відбуття покарання. Акти про амністію обов’язково публікуються в офіційних виданнях Верховної Ради України та Кабінету Міністрів України.</w:t>
      </w:r>
    </w:p>
    <w:p w14:paraId="366BDD9F"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 xml:space="preserve">В умовах воєнного стану суди стикаються з необхідністю вирішення питань щодо звільнення учасників бойових дій. Відомі приклади, коли амністія застосовувалася з урахуванням участі особи в захисті держави. Водночас суди обмежені у своїх повноваженнях щодо застосування амністії, якщо вона </w:t>
      </w:r>
      <w:r w:rsidRPr="00511005">
        <w:rPr>
          <w:rFonts w:ascii="Arial" w:eastAsia="Times New Roman" w:hAnsi="Arial" w:cs="Arial"/>
          <w:szCs w:val="28"/>
          <w:lang w:val="uk" w:eastAsia="uk-UA"/>
        </w:rPr>
        <w:lastRenderedPageBreak/>
        <w:t>прямо не передбачена чинним законом, або якщо особа вчинила особливо тяжкий злочин.</w:t>
      </w:r>
    </w:p>
    <w:p w14:paraId="6321EB96"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Наприклад, у постанові Верховного Суду від 2023 року (справа № 715/3085/21) наголошено, що участь у бойових діях не може бути єдиною підставою для застосування амністії без дотримання формальних критеріїв, передбачених законом.</w:t>
      </w:r>
    </w:p>
    <w:p w14:paraId="2757B6A1"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Аналізуючи сучасну законодавчу базу, можна зазначити, що існує потреба в удосконаленні нормативно-правового регулювання застосування амністії та помилування щодо учасників війни.</w:t>
      </w:r>
    </w:p>
    <w:p w14:paraId="6B060FDC"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Хавронюк стверджує, що для побудови справедливого післявоєнного правосуддя амністія має бути комплексною і диференційованою: окремо для колаборантів і для військовослужбовців, із суворими умовами та обмеженнями, що забезпечують як юридичне осудження, так і реабілітацію і примирення суспільства [</w:t>
      </w:r>
      <w:r w:rsidRPr="00511005">
        <w:rPr>
          <w:rFonts w:ascii="Arial" w:eastAsia="Times New Roman" w:hAnsi="Arial" w:cs="Arial"/>
          <w:szCs w:val="28"/>
          <w:lang w:val="uk-UA" w:eastAsia="uk-UA"/>
        </w:rPr>
        <w:t>5</w:t>
      </w:r>
      <w:r w:rsidRPr="00511005">
        <w:rPr>
          <w:rFonts w:ascii="Arial" w:eastAsia="Times New Roman" w:hAnsi="Arial" w:cs="Arial"/>
          <w:szCs w:val="28"/>
          <w:lang w:val="uk" w:eastAsia="uk-UA"/>
        </w:rPr>
        <w:t>].</w:t>
      </w:r>
    </w:p>
    <w:p w14:paraId="629B4ECD"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Серед можливих напрямків реформування варто виділити:</w:t>
      </w:r>
    </w:p>
    <w:p w14:paraId="7B2AED41"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 розробку спеціальних програм для учасників бойових дій, що передбачатимуть диференційований підхід до звільнення від покарання;</w:t>
      </w:r>
    </w:p>
    <w:p w14:paraId="38DCCE33"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 уточнення критеріїв, за якими оцінюється поведінка засуджених під час війни, з урахуванням специфіки бойових дій;</w:t>
      </w:r>
    </w:p>
    <w:p w14:paraId="09DF5079"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 гармонізацію національного законодавства з міжнародними зобов’язаннями України, зокрема щодо захисту прав людини та норм міжнародного гуманітарного права.</w:t>
      </w:r>
    </w:p>
    <w:p w14:paraId="571EF28B"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Такі заходи дозволять забезпечити збалансований підхід, що сприятиме не лише гуманізації кримінального правосуддя, а й підвищенню рівня правової культури суспільства.</w:t>
      </w:r>
    </w:p>
    <w:p w14:paraId="594BAE5D"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szCs w:val="28"/>
          <w:lang w:val="uk" w:eastAsia="uk-UA"/>
        </w:rPr>
        <w:t xml:space="preserve">Таким чином, подальше вдосконалення законодавства щодо застосування амністії та помилування для учасників війни є необхідним кроком на шляху до формування правової держави, здатної адаптувати свої правові механізми до сучасних соціально-політичних викликів. </w:t>
      </w:r>
    </w:p>
    <w:p w14:paraId="476D06E4" w14:textId="77777777" w:rsidR="00200E87" w:rsidRPr="00511005" w:rsidRDefault="00200E87" w:rsidP="003A292D">
      <w:pPr>
        <w:spacing w:line="264" w:lineRule="auto"/>
        <w:ind w:right="-227" w:firstLine="0"/>
        <w:contextualSpacing/>
        <w:mirrorIndents/>
        <w:jc w:val="center"/>
        <w:rPr>
          <w:rFonts w:ascii="Arial" w:eastAsia="Times New Roman" w:hAnsi="Arial" w:cs="Arial"/>
          <w:b/>
          <w:szCs w:val="28"/>
          <w:lang w:val="uk" w:eastAsia="uk-UA"/>
        </w:rPr>
      </w:pPr>
    </w:p>
    <w:p w14:paraId="3CAE4241" w14:textId="77777777" w:rsidR="00200E87" w:rsidRPr="00511005" w:rsidRDefault="00200E87" w:rsidP="003A292D">
      <w:pPr>
        <w:spacing w:line="264" w:lineRule="auto"/>
        <w:ind w:right="-227" w:firstLine="0"/>
        <w:contextualSpacing/>
        <w:mirrorIndents/>
        <w:jc w:val="center"/>
        <w:rPr>
          <w:rFonts w:ascii="Arial" w:eastAsia="Times New Roman" w:hAnsi="Arial" w:cs="Arial"/>
          <w:b/>
          <w:szCs w:val="28"/>
          <w:lang w:val="uk" w:eastAsia="uk-UA"/>
        </w:rPr>
      </w:pPr>
    </w:p>
    <w:p w14:paraId="043080E6" w14:textId="1B9C3898" w:rsidR="00200E87" w:rsidRPr="00511005" w:rsidRDefault="00200E87" w:rsidP="003A292D">
      <w:pPr>
        <w:spacing w:line="264" w:lineRule="auto"/>
        <w:ind w:right="-227" w:firstLine="0"/>
        <w:contextualSpacing/>
        <w:mirrorIndents/>
        <w:jc w:val="center"/>
        <w:rPr>
          <w:rFonts w:ascii="Arial" w:eastAsia="Times New Roman" w:hAnsi="Arial" w:cs="Arial"/>
          <w:b/>
          <w:szCs w:val="28"/>
          <w:lang w:val="uk" w:eastAsia="uk-UA"/>
        </w:rPr>
      </w:pPr>
      <w:r w:rsidRPr="00511005">
        <w:rPr>
          <w:rFonts w:ascii="Arial" w:eastAsia="Times New Roman" w:hAnsi="Arial" w:cs="Arial"/>
          <w:b/>
          <w:szCs w:val="28"/>
          <w:lang w:val="uk" w:eastAsia="uk-UA"/>
        </w:rPr>
        <w:t xml:space="preserve">Список </w:t>
      </w:r>
      <w:r w:rsidR="00875A11">
        <w:rPr>
          <w:rFonts w:ascii="Arial" w:eastAsia="Times New Roman" w:hAnsi="Arial" w:cs="Arial"/>
          <w:b/>
          <w:szCs w:val="28"/>
          <w:lang w:val="uk" w:eastAsia="uk-UA"/>
        </w:rPr>
        <w:t>використаних джерел</w:t>
      </w:r>
    </w:p>
    <w:p w14:paraId="53CD9D65" w14:textId="51B2F992" w:rsidR="00200E87" w:rsidRPr="00511005" w:rsidRDefault="00200E87" w:rsidP="003F6A5D">
      <w:pPr>
        <w:numPr>
          <w:ilvl w:val="0"/>
          <w:numId w:val="491"/>
        </w:numPr>
        <w:spacing w:line="264" w:lineRule="auto"/>
        <w:ind w:right="-227"/>
        <w:contextualSpacing/>
        <w:mirrorIndents/>
        <w:jc w:val="left"/>
        <w:rPr>
          <w:rFonts w:ascii="Arial" w:eastAsia="Times New Roman" w:hAnsi="Arial" w:cs="Arial"/>
          <w:szCs w:val="28"/>
          <w:lang w:val="uk" w:eastAsia="uk-UA"/>
        </w:rPr>
      </w:pPr>
      <w:r w:rsidRPr="00511005">
        <w:rPr>
          <w:rFonts w:ascii="Arial" w:eastAsia="Times New Roman" w:hAnsi="Arial" w:cs="Arial"/>
          <w:szCs w:val="28"/>
          <w:lang w:val="uk" w:eastAsia="uk-UA"/>
        </w:rPr>
        <w:t xml:space="preserve">Конституція України : Закон України від 28.06.1996 р. № 254к/96- ВР. URL: </w:t>
      </w:r>
      <w:hyperlink r:id="rId1756">
        <w:r w:rsidRPr="00511005">
          <w:rPr>
            <w:rFonts w:ascii="Arial" w:eastAsia="Times New Roman" w:hAnsi="Arial" w:cs="Arial"/>
            <w:szCs w:val="28"/>
            <w:lang w:val="uk" w:eastAsia="uk-UA"/>
          </w:rPr>
          <w:t>https://zakon.rada.gov.ua/laws/show/254%D0%BA/96-%D0%B2%D1%80#Text</w:t>
        </w:r>
      </w:hyperlink>
      <w:r w:rsidR="007B2628" w:rsidRPr="00511005">
        <w:rPr>
          <w:rFonts w:ascii="Arial" w:eastAsia="Times New Roman" w:hAnsi="Arial" w:cs="Arial"/>
          <w:szCs w:val="28"/>
          <w:lang w:val="uk" w:eastAsia="uk-UA"/>
        </w:rPr>
        <w:t xml:space="preserve"> </w:t>
      </w:r>
      <w:r w:rsidRPr="00511005">
        <w:rPr>
          <w:rFonts w:ascii="Arial" w:eastAsia="Times New Roman" w:hAnsi="Arial" w:cs="Arial"/>
          <w:szCs w:val="28"/>
          <w:lang w:val="uk" w:eastAsia="uk-UA"/>
        </w:rPr>
        <w:t>(дата звернення: 01.04.2025).</w:t>
      </w:r>
    </w:p>
    <w:p w14:paraId="3A99E0F3" w14:textId="77777777" w:rsidR="007B2628" w:rsidRPr="00511005" w:rsidRDefault="00200E87" w:rsidP="003F6A5D">
      <w:pPr>
        <w:numPr>
          <w:ilvl w:val="0"/>
          <w:numId w:val="491"/>
        </w:numPr>
        <w:spacing w:line="264" w:lineRule="auto"/>
        <w:ind w:right="-227"/>
        <w:contextualSpacing/>
        <w:mirrorIndents/>
        <w:jc w:val="left"/>
        <w:rPr>
          <w:rFonts w:ascii="Arial" w:eastAsia="Times New Roman" w:hAnsi="Arial" w:cs="Arial"/>
          <w:szCs w:val="28"/>
          <w:lang w:val="uk" w:eastAsia="uk-UA"/>
        </w:rPr>
      </w:pPr>
      <w:r w:rsidRPr="00511005">
        <w:rPr>
          <w:rFonts w:ascii="Arial" w:eastAsia="Times New Roman" w:hAnsi="Arial" w:cs="Arial"/>
          <w:szCs w:val="28"/>
          <w:lang w:val="uk" w:eastAsia="uk-UA"/>
        </w:rPr>
        <w:t>Кримінальний кодекс України: Закон України від 17.01.2002 р. № 25-26</w:t>
      </w:r>
      <w:r w:rsidR="007B2628" w:rsidRPr="00511005">
        <w:rPr>
          <w:rFonts w:ascii="Arial" w:eastAsia="Times New Roman" w:hAnsi="Arial" w:cs="Arial"/>
          <w:szCs w:val="28"/>
          <w:lang w:val="uk" w:eastAsia="uk-UA"/>
        </w:rPr>
        <w:t xml:space="preserve"> </w:t>
      </w:r>
      <w:r w:rsidRPr="00511005">
        <w:rPr>
          <w:rFonts w:ascii="Arial" w:eastAsia="Times New Roman" w:hAnsi="Arial" w:cs="Arial"/>
          <w:szCs w:val="28"/>
          <w:lang w:val="uk" w:eastAsia="uk-UA"/>
        </w:rPr>
        <w:t xml:space="preserve">URL: </w:t>
      </w:r>
      <w:hyperlink r:id="rId1757">
        <w:r w:rsidRPr="00511005">
          <w:rPr>
            <w:rFonts w:ascii="Arial" w:eastAsia="Times New Roman" w:hAnsi="Arial" w:cs="Arial"/>
            <w:szCs w:val="28"/>
            <w:lang w:val="uk" w:eastAsia="uk-UA"/>
          </w:rPr>
          <w:t>https://zakon.rada.gov.ua/laws/show/2341-14#Text</w:t>
        </w:r>
      </w:hyperlink>
      <w:r w:rsidRPr="00511005">
        <w:rPr>
          <w:rFonts w:ascii="Arial" w:eastAsia="Times New Roman" w:hAnsi="Arial" w:cs="Arial"/>
          <w:szCs w:val="28"/>
          <w:lang w:val="uk" w:eastAsia="uk-UA"/>
        </w:rPr>
        <w:t>(дата звернення: 01.04.2025).</w:t>
      </w:r>
    </w:p>
    <w:p w14:paraId="567D760E" w14:textId="501B18F9" w:rsidR="00200E87" w:rsidRPr="00511005" w:rsidRDefault="00200E87" w:rsidP="003F6A5D">
      <w:pPr>
        <w:numPr>
          <w:ilvl w:val="0"/>
          <w:numId w:val="491"/>
        </w:numPr>
        <w:spacing w:line="264" w:lineRule="auto"/>
        <w:ind w:right="-227"/>
        <w:contextualSpacing/>
        <w:mirrorIndents/>
        <w:jc w:val="left"/>
        <w:rPr>
          <w:rFonts w:ascii="Arial" w:eastAsia="Times New Roman" w:hAnsi="Arial" w:cs="Arial"/>
          <w:szCs w:val="28"/>
          <w:lang w:val="uk" w:eastAsia="uk-UA"/>
        </w:rPr>
      </w:pPr>
      <w:r w:rsidRPr="00511005">
        <w:rPr>
          <w:rFonts w:ascii="Arial" w:eastAsia="Times New Roman" w:hAnsi="Arial" w:cs="Arial"/>
          <w:szCs w:val="28"/>
          <w:lang w:val="uk" w:eastAsia="uk-UA"/>
        </w:rPr>
        <w:t xml:space="preserve">Кримінально-виконавчий кодекс України: Закон України від 01.12.2005. № 3–4. Ст. 21,151. URL: </w:t>
      </w:r>
      <w:hyperlink r:id="rId1758">
        <w:r w:rsidRPr="00511005">
          <w:rPr>
            <w:rFonts w:ascii="Arial" w:eastAsia="Times New Roman" w:hAnsi="Arial" w:cs="Arial"/>
            <w:szCs w:val="28"/>
            <w:lang w:val="uk" w:eastAsia="uk-UA"/>
          </w:rPr>
          <w:t>https://zakon.rada.gov.ua/laws/show/1129-15#Text</w:t>
        </w:r>
      </w:hyperlink>
      <w:r w:rsidRPr="00511005">
        <w:rPr>
          <w:rFonts w:ascii="Arial" w:eastAsia="Times New Roman" w:hAnsi="Arial" w:cs="Arial"/>
          <w:szCs w:val="28"/>
          <w:lang w:val="uk" w:eastAsia="uk-UA"/>
        </w:rPr>
        <w:t xml:space="preserve"> (дата звернення: 01.04.2025).</w:t>
      </w:r>
    </w:p>
    <w:p w14:paraId="2626CDDB" w14:textId="77777777" w:rsidR="00200E87" w:rsidRPr="00511005" w:rsidRDefault="00200E87" w:rsidP="003F6A5D">
      <w:pPr>
        <w:numPr>
          <w:ilvl w:val="0"/>
          <w:numId w:val="491"/>
        </w:numPr>
        <w:spacing w:line="264" w:lineRule="auto"/>
        <w:ind w:right="-227"/>
        <w:contextualSpacing/>
        <w:mirrorIndents/>
        <w:jc w:val="left"/>
        <w:rPr>
          <w:rFonts w:ascii="Arial" w:eastAsia="Times New Roman" w:hAnsi="Arial" w:cs="Arial"/>
          <w:szCs w:val="28"/>
          <w:lang w:val="uk" w:eastAsia="uk-UA"/>
        </w:rPr>
      </w:pPr>
      <w:r w:rsidRPr="00511005">
        <w:rPr>
          <w:rFonts w:ascii="Arial" w:eastAsia="Times New Roman" w:hAnsi="Arial" w:cs="Arial"/>
          <w:szCs w:val="28"/>
          <w:lang w:val="uk" w:eastAsia="uk-UA"/>
        </w:rPr>
        <w:lastRenderedPageBreak/>
        <w:t xml:space="preserve">Про застосування амністії в Україні: Закон України від 19.12.1996 р. No 48. URL: </w:t>
      </w:r>
      <w:hyperlink r:id="rId1759">
        <w:r w:rsidRPr="00511005">
          <w:rPr>
            <w:rFonts w:ascii="Arial" w:eastAsia="Times New Roman" w:hAnsi="Arial" w:cs="Arial"/>
            <w:szCs w:val="28"/>
            <w:lang w:val="uk" w:eastAsia="uk-UA"/>
          </w:rPr>
          <w:t>https://zakon.rada.gov.ua/laws/show/392/96-%D0%B2%D1%80#Text</w:t>
        </w:r>
      </w:hyperlink>
      <w:r w:rsidRPr="00511005">
        <w:rPr>
          <w:rFonts w:ascii="Arial" w:eastAsia="Times New Roman" w:hAnsi="Arial" w:cs="Arial"/>
          <w:szCs w:val="28"/>
          <w:lang w:val="uk" w:eastAsia="uk-UA"/>
        </w:rPr>
        <w:t xml:space="preserve"> (дата звернення: 01.04.2025).</w:t>
      </w:r>
    </w:p>
    <w:p w14:paraId="39B40B13" w14:textId="77777777" w:rsidR="00200E87" w:rsidRPr="00511005" w:rsidRDefault="00200E87" w:rsidP="003F6A5D">
      <w:pPr>
        <w:numPr>
          <w:ilvl w:val="0"/>
          <w:numId w:val="491"/>
        </w:numPr>
        <w:spacing w:line="264" w:lineRule="auto"/>
        <w:ind w:right="-227"/>
        <w:contextualSpacing/>
        <w:mirrorIndents/>
        <w:jc w:val="left"/>
        <w:rPr>
          <w:rFonts w:ascii="Arial" w:eastAsia="Times New Roman" w:hAnsi="Arial" w:cs="Arial"/>
          <w:szCs w:val="28"/>
          <w:lang w:val="uk" w:eastAsia="uk-UA"/>
        </w:rPr>
      </w:pPr>
      <w:r w:rsidRPr="00511005">
        <w:rPr>
          <w:rFonts w:ascii="Arial" w:eastAsia="Times New Roman" w:hAnsi="Arial" w:cs="Arial"/>
          <w:szCs w:val="28"/>
          <w:lang w:val="uk" w:eastAsia="uk-UA"/>
        </w:rPr>
        <w:t xml:space="preserve">Хавронюк М. І. Закони про амністію в системі правосуддя перехідного періоду від війни до миру. Українська воєнна та повоєнна кримінальна юстиція: матеріали ІХ (ХХІІ) Львівського форуму кримінальної юстиції (26–27 жовтня 2023 року) / упоряд. І. Б. Газдайка-Василишин; Львівський державний університет внутрішніх справ. Львів : ЛьвДУВС, 2023. С. 256–263. URL: </w:t>
      </w:r>
      <w:hyperlink r:id="rId1760">
        <w:r w:rsidRPr="00511005">
          <w:rPr>
            <w:rFonts w:ascii="Arial" w:eastAsia="Times New Roman" w:hAnsi="Arial" w:cs="Arial"/>
            <w:szCs w:val="28"/>
            <w:lang w:val="uk" w:eastAsia="uk-UA"/>
          </w:rPr>
          <w:t>https://ekmair.ukma.edu.ua/handle/123456789/32991</w:t>
        </w:r>
      </w:hyperlink>
    </w:p>
    <w:p w14:paraId="4B199A70" w14:textId="77777777" w:rsidR="00200E87" w:rsidRPr="00511005" w:rsidRDefault="00200E87" w:rsidP="003F6A5D">
      <w:pPr>
        <w:numPr>
          <w:ilvl w:val="0"/>
          <w:numId w:val="491"/>
        </w:numPr>
        <w:spacing w:line="264" w:lineRule="auto"/>
        <w:ind w:right="-227"/>
        <w:contextualSpacing/>
        <w:mirrorIndents/>
        <w:jc w:val="left"/>
        <w:rPr>
          <w:rFonts w:ascii="Arial" w:eastAsia="Times New Roman" w:hAnsi="Arial" w:cs="Arial"/>
          <w:szCs w:val="28"/>
          <w:lang w:val="uk" w:eastAsia="uk-UA"/>
        </w:rPr>
      </w:pPr>
      <w:r w:rsidRPr="00511005">
        <w:rPr>
          <w:rFonts w:ascii="Arial" w:eastAsia="Times New Roman" w:hAnsi="Arial" w:cs="Arial"/>
          <w:szCs w:val="28"/>
          <w:lang w:val="uk" w:eastAsia="uk-UA"/>
        </w:rPr>
        <w:t>Собко Г. М.</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uk" w:eastAsia="uk-UA"/>
        </w:rPr>
        <w:t>Кулешов А. Теоретичний та законодавчий флемворк що регулює інститут помилування та амністії: Правова характеристика та проблемні аспект. Морська безпека та оборона. 2023. № 2. С. 137-145.</w:t>
      </w:r>
    </w:p>
    <w:p w14:paraId="30469FEB"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p>
    <w:p w14:paraId="2071BD0F" w14:textId="02FC3AA8" w:rsidR="00200E87" w:rsidRPr="00511005" w:rsidRDefault="007B2628"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b/>
          <w:i/>
          <w:szCs w:val="28"/>
          <w:lang w:val="uk" w:eastAsia="uk-UA"/>
        </w:rPr>
        <w:t xml:space="preserve">Ключові слова: </w:t>
      </w:r>
      <w:r w:rsidR="00200E87" w:rsidRPr="00511005">
        <w:rPr>
          <w:rFonts w:ascii="Arial" w:eastAsia="Times New Roman" w:hAnsi="Arial" w:cs="Arial"/>
          <w:szCs w:val="28"/>
          <w:lang w:val="uk" w:eastAsia="uk-UA"/>
        </w:rPr>
        <w:t>війна, амністія, помилування, покарання, звільнення від покарання, люстрація, реабілітація, відповідальність, відновлення справедливості.</w:t>
      </w:r>
    </w:p>
    <w:p w14:paraId="466EB540" w14:textId="5B6BEAA3" w:rsidR="00200E87" w:rsidRPr="00511005" w:rsidRDefault="007B2628" w:rsidP="003A292D">
      <w:pPr>
        <w:spacing w:line="264" w:lineRule="auto"/>
        <w:ind w:right="-227" w:firstLine="0"/>
        <w:contextualSpacing/>
        <w:mirrorIndents/>
        <w:rPr>
          <w:rFonts w:ascii="Arial" w:eastAsia="Times New Roman" w:hAnsi="Arial" w:cs="Arial"/>
          <w:szCs w:val="28"/>
          <w:lang w:val="uk" w:eastAsia="uk-UA"/>
        </w:rPr>
      </w:pPr>
      <w:r w:rsidRPr="00511005">
        <w:rPr>
          <w:rFonts w:ascii="Arial" w:eastAsia="Times New Roman" w:hAnsi="Arial" w:cs="Arial"/>
          <w:b/>
          <w:i/>
          <w:szCs w:val="28"/>
          <w:lang w:val="uk" w:eastAsia="uk-UA"/>
        </w:rPr>
        <w:t xml:space="preserve">Key words: </w:t>
      </w:r>
      <w:r w:rsidR="00200E87" w:rsidRPr="00511005">
        <w:rPr>
          <w:rFonts w:ascii="Arial" w:eastAsia="Times New Roman" w:hAnsi="Arial" w:cs="Arial"/>
          <w:szCs w:val="28"/>
          <w:lang w:val="uk" w:eastAsia="uk-UA"/>
        </w:rPr>
        <w:t>war, amnesty, pardon, punishment, release from punishment, lustration, rehabilitation, responsibility, restoration of justice.</w:t>
      </w:r>
    </w:p>
    <w:p w14:paraId="202C390F" w14:textId="77777777" w:rsidR="00200E87" w:rsidRPr="00511005" w:rsidRDefault="00200E87" w:rsidP="003A292D">
      <w:pPr>
        <w:spacing w:line="264" w:lineRule="auto"/>
        <w:ind w:right="-227" w:firstLine="0"/>
        <w:contextualSpacing/>
        <w:mirrorIndents/>
        <w:rPr>
          <w:rFonts w:ascii="Arial" w:eastAsia="Times New Roman" w:hAnsi="Arial" w:cs="Arial"/>
          <w:szCs w:val="28"/>
          <w:lang w:val="uk" w:eastAsia="uk-UA"/>
        </w:rPr>
      </w:pPr>
    </w:p>
    <w:p w14:paraId="5B95C200" w14:textId="46902815" w:rsidR="00200E87" w:rsidRPr="00511005" w:rsidRDefault="007B2628" w:rsidP="003A292D">
      <w:pPr>
        <w:spacing w:line="264" w:lineRule="auto"/>
        <w:ind w:right="-227" w:firstLine="0"/>
        <w:contextualSpacing/>
        <w:mirrorIndents/>
        <w:rPr>
          <w:rFonts w:ascii="Arial" w:eastAsia="Times New Roman" w:hAnsi="Arial" w:cs="Arial"/>
          <w:i/>
          <w:szCs w:val="28"/>
          <w:lang w:val="uk-UA" w:eastAsia="uk-UA"/>
        </w:rPr>
      </w:pPr>
      <w:r w:rsidRPr="00511005">
        <w:rPr>
          <w:rFonts w:ascii="Arial" w:eastAsia="Times New Roman" w:hAnsi="Arial" w:cs="Arial"/>
          <w:b/>
          <w:i/>
          <w:szCs w:val="28"/>
          <w:lang w:val="uk" w:eastAsia="uk-UA"/>
        </w:rPr>
        <w:t xml:space="preserve">Науковий керівник: </w:t>
      </w:r>
      <w:r w:rsidR="00200E87" w:rsidRPr="00511005">
        <w:rPr>
          <w:rFonts w:ascii="Arial" w:eastAsia="Times New Roman" w:hAnsi="Arial" w:cs="Arial"/>
          <w:i/>
          <w:szCs w:val="28"/>
          <w:lang w:val="uk" w:eastAsia="uk-UA"/>
        </w:rPr>
        <w:t xml:space="preserve">к.ю.н., доцент Тімофєєва </w:t>
      </w:r>
      <w:r w:rsidR="00200E87" w:rsidRPr="00511005">
        <w:rPr>
          <w:rFonts w:ascii="Arial" w:eastAsia="Times New Roman" w:hAnsi="Arial" w:cs="Arial"/>
          <w:i/>
          <w:szCs w:val="28"/>
          <w:lang w:val="uk-UA" w:eastAsia="uk-UA"/>
        </w:rPr>
        <w:t>Л. Ю.</w:t>
      </w:r>
    </w:p>
    <w:p w14:paraId="579500A4" w14:textId="77777777" w:rsidR="00200E87" w:rsidRPr="00511005" w:rsidRDefault="00200E87" w:rsidP="003A292D">
      <w:pPr>
        <w:spacing w:line="264" w:lineRule="auto"/>
        <w:ind w:firstLine="0"/>
        <w:jc w:val="center"/>
        <w:rPr>
          <w:rFonts w:ascii="Arial" w:eastAsia="Calibri" w:hAnsi="Arial" w:cs="Arial"/>
          <w:b/>
          <w:szCs w:val="28"/>
          <w:lang w:val="uk-UA"/>
        </w:rPr>
      </w:pPr>
    </w:p>
    <w:p w14:paraId="0A4684A6" w14:textId="77777777" w:rsidR="00200E87" w:rsidRPr="00511005" w:rsidRDefault="00200E87" w:rsidP="003A292D">
      <w:pPr>
        <w:spacing w:line="264" w:lineRule="auto"/>
        <w:ind w:firstLine="0"/>
        <w:jc w:val="center"/>
        <w:rPr>
          <w:rFonts w:ascii="Arial" w:eastAsia="Calibri" w:hAnsi="Arial" w:cs="Arial"/>
          <w:b/>
          <w:szCs w:val="28"/>
          <w:lang w:val="uk-UA"/>
        </w:rPr>
      </w:pPr>
    </w:p>
    <w:p w14:paraId="4E5B8B74" w14:textId="77777777" w:rsidR="00200E87" w:rsidRPr="00511005" w:rsidRDefault="00200E87" w:rsidP="003A292D">
      <w:pPr>
        <w:spacing w:line="264" w:lineRule="auto"/>
        <w:ind w:firstLine="0"/>
        <w:jc w:val="center"/>
        <w:rPr>
          <w:rFonts w:ascii="Arial" w:eastAsia="Calibri" w:hAnsi="Arial" w:cs="Arial"/>
          <w:b/>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t xml:space="preserve">Барладян Ксенія Федорівна </w:t>
      </w:r>
    </w:p>
    <w:p w14:paraId="2901AEFE" w14:textId="13C40B63" w:rsidR="00200E87" w:rsidRPr="00511005" w:rsidRDefault="00536AAB"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студентка 2-го курсу факультету адвокатури та антикорупційної діяльності</w:t>
      </w:r>
    </w:p>
    <w:p w14:paraId="40A3158C" w14:textId="37AF7383" w:rsidR="00200E87" w:rsidRPr="00511005" w:rsidRDefault="007B2628"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Національного університету «Одеська юридична академія»</w:t>
      </w:r>
    </w:p>
    <w:p w14:paraId="4B7E7C71" w14:textId="77777777" w:rsidR="00200E87" w:rsidRPr="00511005" w:rsidRDefault="00200E87" w:rsidP="003A292D">
      <w:pPr>
        <w:spacing w:line="264" w:lineRule="auto"/>
        <w:ind w:firstLine="0"/>
        <w:jc w:val="center"/>
        <w:rPr>
          <w:rFonts w:ascii="Arial" w:eastAsia="Calibri" w:hAnsi="Arial" w:cs="Arial"/>
          <w:kern w:val="2"/>
          <w:szCs w:val="28"/>
          <w:lang w:val="uk-UA"/>
          <w14:ligatures w14:val="standardContextual"/>
        </w:rPr>
      </w:pPr>
    </w:p>
    <w:p w14:paraId="4E78DA0F" w14:textId="77777777" w:rsidR="00200E87" w:rsidRPr="00511005" w:rsidRDefault="00200E87" w:rsidP="003A292D">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ЗАСТОСУВАННЯ ІНСТИТУТУ УГОД ЩОДО КОРУПЦІЙНИХ КРИМІНАЛЬНИХ ПРАВОПОРУШЕНЬ ТА ПРАВОПОРУШЕНЬ, ПОВ’ЯЗАНИХ З КОРУПЦІЄЮ</w:t>
      </w:r>
    </w:p>
    <w:p w14:paraId="0D525794" w14:textId="4E47DDD0"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Одним із найбільш революційних нововведень нового Кримінального</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кодексу України стало запровадження інституту кримінального провадження на основі угод. Його офіційне закріплення в кримінальному процесуальному законодавстві є багатообіцяючим кроком для України на шляху до європейських стандартів кримінального судочинства і проявом адаптації нашого законодавства до законодавства Європейського Союзу.</w:t>
      </w:r>
    </w:p>
    <w:p w14:paraId="2AF69259"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Однак, на мою думку, не всі кримінальні провадження можна закрити на підставі угод, а через те, що цей інститут працює ще не досконало це викликає прогалини в законодавстві.</w:t>
      </w:r>
    </w:p>
    <w:p w14:paraId="5059220B" w14:textId="3F6034AB"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Наприклад законодавець ухвалив рішення про відмову від звільнення від кримінальної відповідальності для осіб, які вчинили корупційні правопорушення. Підстава–положення ст. 45, 46, 47, 48 Кримінального кодексу України (далі КК України) та від покарання чи його відбування на </w:t>
      </w:r>
      <w:r w:rsidRPr="00511005">
        <w:rPr>
          <w:rFonts w:ascii="Arial" w:eastAsia="Calibri" w:hAnsi="Arial" w:cs="Arial"/>
          <w:kern w:val="2"/>
          <w:szCs w:val="28"/>
          <w:lang w:val="uk-UA"/>
          <w14:ligatures w14:val="standardContextual"/>
        </w:rPr>
        <w:lastRenderedPageBreak/>
        <w:t>підставі ст. ст. 74, 75, 79, 81, 86, 89, 91 КК України, що повинно бути одним з ефективних кримінально-правових інструментів для протидії корупції [1].</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Однак у</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кримінальному</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законодавстві</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України залишилася</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можливість</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уникнути «реального» покарання за свої діяння для осіб, які</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вчинили</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зазначені</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вище</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кримінальні правопорушення. Саме неоднозначність трактування норм статті 75 КК України, яка визначає звільнення від відбування покарання з випробуванням створює передумови для використання угод про примирення чи визнання вини, щоб уникнути реального відбування покарання особами, які вчинили корупційні кримінальні правопорушення або кримінальні правопорушення, що з ними пов'язані.</w:t>
      </w:r>
    </w:p>
    <w:p w14:paraId="067BE54E" w14:textId="010CE9F6"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Законом України від 13 квітня 2012 р. № 4652–VI «Про внесення змін до деяких законодавчих актів у зв’язку із прийняттям Кримінального процесуального кодексу України» були внесені зміни до КК України такого характеру: 1)</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статтю 65 доповнено частиною 5 у такому формулюванні: «У випадку укладення угоди про примирення або визнання провини, суд постановляє вирок із покаранням, погодженим між сторонами угоди»; 2)</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до статті 75 додано нову частину 2 яка зазначає, що суд наділений правом винести ухвалу про звільнення від відбування покарання з випробувальним терміном, якщо є угода про примирення або про визнання вини. Сторони в угоді повинні дійти згоди щодо виду покарання. До них належать виправні роботи, службове обмеження для військових, обмеження чи позбавлення волі на строк до п'яти років. Крім цього, потрібна згода на застосування іспитового терміну[2].</w:t>
      </w:r>
    </w:p>
    <w:p w14:paraId="5A1884A0" w14:textId="7088F3E5"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Зазначені нововведення спричинили певні проблеми під час</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правозастосування в частині звільнення особи від відбування призначеного покарання з випробуванням, беручи до уваги досягнуті угоди. Незважаючи на законодавчо визначену заборону на звільнення від кримінальної відповідальності чи від відбування покарання осіб, які вчинили корупційні кримінальні правопорушення або ж пов’язані з корупцією кримінальні правопорушення, ч. 2 статті 75 КК України дає змогу владнати суперечку, укладаючи мирну угоду між сторонами конфлікту, або угоду про визнання обвинуваченим своєї вини. Отже, в осіб, яких підозрюють (обвинувачують) у вчиненні кримінальних правопорушень пов’язаних з корупцією є шанс «порозумітися» з правоохоронцями задля уникнення відбування покарання, використовуючи випробувальний термін. Через це часто виникали випадки зловживання правозастосувачів,</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які</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 xml:space="preserve">використовували положення ч. 2 ст. 75 КК України як «відкуп» від реального покарання. Виникає питання: чому суб’єкти правозастосування не враховають ч. 1 статті 75, котра передбачає заборону звільнення від відбування покарання у випадку засудження за корупційний злочин та правопорушення, пов'язане з корупцією? Вважаю, що причиною цього була усталена правова позиція судових органів, згідно з </w:t>
      </w:r>
      <w:r w:rsidRPr="00511005">
        <w:rPr>
          <w:rFonts w:ascii="Arial" w:eastAsia="Calibri" w:hAnsi="Arial" w:cs="Arial"/>
          <w:kern w:val="2"/>
          <w:szCs w:val="28"/>
          <w:lang w:val="uk-UA"/>
          <w14:ligatures w14:val="standardContextual"/>
        </w:rPr>
        <w:lastRenderedPageBreak/>
        <w:t>якою під час вирішення питання щодо звільнення від відбування призначеного покарання з випробуванням можливе у ситуаціях, коли сторони кримінального провадження дійшли згоди про примирення, не підпадають під регулювання положень частини 1 статті 75 КК України. Відтак, при затвердженні вказаної вище угоди існує можливість звільнення особи від відбування покарання з визначенням іспитового терміну, зокрема, у випадках засудження за корупційні злочини або правопорушення, пов'язане з корупцією, керуючись ч.2 ст. 75 [3;4].</w:t>
      </w:r>
    </w:p>
    <w:p w14:paraId="79A4DD2A"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Проте окремі представники суддівської спільноти дотримуються позиції, що частина 2 статті 75 Кримінального кодексу України не може вважатися самостійною нормою, а випливає з частини 1 тієї ж статті. Відповідно, її застосування судом окремо від норми, визначеної у частині 1 статті 75 КК України, є неможливим.</w:t>
      </w:r>
    </w:p>
    <w:p w14:paraId="44C59BCE"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Тому, враховуючи потребу усунення неоднозначних тлумачень статті 75 Кримінального кодексу України, 29 жовтня 2024 року було прийнято закон України «Про внесення змін до Кримінального кодексу України та Кримінального процесуального кодексу України щодо вдосконалення регулювання угод про визнання винуватості у кримінальних провадженнях щодо корупційних кримінальних правопорушень та кримінальних правопорушень, пов’язаних з корупцією», цей закон має дуже важливе значення, він зазначає, що суд може прийняти рішення приймає рішення про звільнення від відбування покарання з випробуванням при укладенні угоди про визнання винуватості, також встановлено більш високий поріг щодо максимального строку позбавлення волі (до восьми років), також він створює додаткові інструменти для правоохоронних органів та суду, спрямовані на забезпечення невідворотності покарання шляхом стимулювання співпраці обвинувачених, при цьому встановлюючи певні обмеження та умови для застосування більш м'яких видів покарання[5].</w:t>
      </w:r>
    </w:p>
    <w:p w14:paraId="6BF6F7F0"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У підсумку, інститут угод є важливим інструментом кримінального правосуддя, який при правильному та зваженому застосуванні може сприяти ефективній боротьбі з корупцією. Проте, його подальша імплементація потребує постійного вдосконалення законодавчого регулювання та правозастосовної практики з метою мінімізації ризиків та забезпечення принципів законності, справедливості та невідворотності покарання за корупційні кримінальні правопорушення.</w:t>
      </w:r>
    </w:p>
    <w:p w14:paraId="7C92A4AD" w14:textId="144713D4" w:rsidR="00200E87" w:rsidRPr="00511005" w:rsidRDefault="007B2628" w:rsidP="007B2628">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Список використаних джерел</w:t>
      </w:r>
    </w:p>
    <w:p w14:paraId="20C46FAB" w14:textId="451ACE32" w:rsidR="00200E87" w:rsidRPr="00511005" w:rsidRDefault="00200E87" w:rsidP="003F6A5D">
      <w:pPr>
        <w:numPr>
          <w:ilvl w:val="0"/>
          <w:numId w:val="492"/>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Кримінальний кодекс. України : Закон України від 5 квітня 2001 р. No 2341–III. URL: </w:t>
      </w:r>
      <w:hyperlink r:id="rId1761" w:history="1">
        <w:r w:rsidRPr="00511005">
          <w:rPr>
            <w:rFonts w:ascii="Arial" w:eastAsia="Calibri" w:hAnsi="Arial" w:cs="Arial"/>
            <w:kern w:val="2"/>
            <w:szCs w:val="28"/>
            <w:lang w:val="uk-UA"/>
            <w14:ligatures w14:val="standardContextual"/>
          </w:rPr>
          <w:t>https://zakon.rada.gov.ua/laws/show/2341-14#</w:t>
        </w:r>
      </w:hyperlink>
      <w:r w:rsidR="007B2628" w:rsidRPr="00511005">
        <w:rPr>
          <w:rFonts w:ascii="Arial" w:eastAsia="Calibri" w:hAnsi="Arial" w:cs="Arial"/>
          <w:kern w:val="2"/>
          <w:szCs w:val="28"/>
          <w:lang w:val="uk-UA"/>
          <w14:ligatures w14:val="standardContextual"/>
        </w:rPr>
        <w:t xml:space="preserve"> </w:t>
      </w:r>
    </w:p>
    <w:p w14:paraId="2AFCBF7A" w14:textId="77777777" w:rsidR="00200E87" w:rsidRPr="00511005" w:rsidRDefault="00200E87" w:rsidP="003F6A5D">
      <w:pPr>
        <w:numPr>
          <w:ilvl w:val="0"/>
          <w:numId w:val="492"/>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Про внесення змін до деяких законодавчих актів у зв’язку із прийняттям Криміналь-ного процесуального кодексу України : Закон України від 13 квітня 2012 р. No 4652–VI. URL: </w:t>
      </w:r>
      <w:hyperlink r:id="rId1762" w:anchor="Text3" w:history="1">
        <w:r w:rsidRPr="00511005">
          <w:rPr>
            <w:rFonts w:ascii="Arial" w:eastAsia="Calibri" w:hAnsi="Arial" w:cs="Arial"/>
            <w:kern w:val="2"/>
            <w:szCs w:val="28"/>
            <w:lang w:val="uk-UA"/>
            <w14:ligatures w14:val="standardContextual"/>
          </w:rPr>
          <w:t>https://zakon.rada.gov.ua/laws/show/4652-17#Text3</w:t>
        </w:r>
      </w:hyperlink>
      <w:r w:rsidRPr="00511005">
        <w:rPr>
          <w:rFonts w:ascii="Arial" w:eastAsia="Calibri" w:hAnsi="Arial" w:cs="Arial"/>
          <w:kern w:val="2"/>
          <w:szCs w:val="28"/>
          <w:lang w:val="uk-UA"/>
          <w14:ligatures w14:val="standardContextual"/>
        </w:rPr>
        <w:t>.</w:t>
      </w:r>
    </w:p>
    <w:p w14:paraId="3D4A6251" w14:textId="77777777" w:rsidR="00200E87" w:rsidRPr="00511005" w:rsidRDefault="00200E87" w:rsidP="003F6A5D">
      <w:pPr>
        <w:numPr>
          <w:ilvl w:val="0"/>
          <w:numId w:val="492"/>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lastRenderedPageBreak/>
        <w:t xml:space="preserve">Про практику здійснення судами кримінального провадження на підставі угод : постанова Пленуму Вищого спеціалізованого суду України з розгляду цивільних і кримінальних справ від 11 грудня 2015 р. No 13. URL: </w:t>
      </w:r>
      <w:r w:rsidR="005938AD">
        <w:fldChar w:fldCharType="begin"/>
      </w:r>
      <w:r w:rsidR="005938AD" w:rsidRPr="00055389">
        <w:rPr>
          <w:lang w:val="en-US"/>
        </w:rPr>
        <w:instrText xml:space="preserve"> HYPERLINK "https://zakon.rada.gov.ua/laws/show/v0013740-15" \l "Text6" </w:instrText>
      </w:r>
      <w:r w:rsidR="005938AD">
        <w:fldChar w:fldCharType="separate"/>
      </w:r>
      <w:r w:rsidRPr="00511005">
        <w:rPr>
          <w:rFonts w:ascii="Arial" w:eastAsia="Calibri" w:hAnsi="Arial" w:cs="Arial"/>
          <w:kern w:val="2"/>
          <w:szCs w:val="28"/>
          <w:lang w:val="uk-UA"/>
          <w14:ligatures w14:val="standardContextual"/>
        </w:rPr>
        <w:t>https://zakon.rada.gov.ua/laws/show/v0013740-15#Text6</w:t>
      </w:r>
      <w:r w:rsidR="005938AD">
        <w:rPr>
          <w:rFonts w:ascii="Arial" w:eastAsia="Calibri" w:hAnsi="Arial" w:cs="Arial"/>
          <w:kern w:val="2"/>
          <w:szCs w:val="28"/>
          <w:lang w:val="uk-UA"/>
          <w14:ligatures w14:val="standardContextual"/>
        </w:rPr>
        <w:fldChar w:fldCharType="end"/>
      </w:r>
      <w:r w:rsidRPr="00511005">
        <w:rPr>
          <w:rFonts w:ascii="Arial" w:eastAsia="Calibri" w:hAnsi="Arial" w:cs="Arial"/>
          <w:kern w:val="2"/>
          <w:szCs w:val="28"/>
          <w:lang w:val="uk-UA"/>
          <w14:ligatures w14:val="standardContextual"/>
        </w:rPr>
        <w:t>.</w:t>
      </w:r>
    </w:p>
    <w:p w14:paraId="69AAA3B3" w14:textId="77777777" w:rsidR="00200E87" w:rsidRPr="00511005" w:rsidRDefault="00200E87" w:rsidP="003F6A5D">
      <w:pPr>
        <w:numPr>
          <w:ilvl w:val="0"/>
          <w:numId w:val="492"/>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Вирок Вищого антикорупційного суду від 23 вересня 2020 р. No 991/7534/20 (провадження No1-кп/991/69/20). URL: </w:t>
      </w:r>
      <w:hyperlink r:id="rId1763" w:history="1">
        <w:r w:rsidRPr="00511005">
          <w:rPr>
            <w:rFonts w:ascii="Arial" w:eastAsia="Calibri" w:hAnsi="Arial" w:cs="Arial"/>
            <w:kern w:val="2"/>
            <w:szCs w:val="28"/>
            <w:lang w:val="uk-UA"/>
            <w14:ligatures w14:val="standardContextual"/>
          </w:rPr>
          <w:t>https://reyestr.court.gov.ua/Review/91734953</w:t>
        </w:r>
      </w:hyperlink>
    </w:p>
    <w:p w14:paraId="525707E8" w14:textId="77777777" w:rsidR="00200E87" w:rsidRPr="00511005" w:rsidRDefault="00200E87" w:rsidP="003F6A5D">
      <w:pPr>
        <w:numPr>
          <w:ilvl w:val="0"/>
          <w:numId w:val="492"/>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Про внесення змін до Кримінального кодексу України та Кримінального процесуального кодексу України щодо вдосконалення регулювання угод про визнання винуватості у кримінальних провадженнях щодо корупційних кримінальних правопорушень та кримінальних правопорушень, пов'язаних з корупцією : Закон України від 29.10.2024 № 4033-IX. URL: </w:t>
      </w:r>
      <w:hyperlink r:id="rId1764" w:anchor="Text" w:tgtFrame="_blank" w:history="1">
        <w:r w:rsidRPr="00511005">
          <w:rPr>
            <w:rFonts w:ascii="Arial" w:eastAsia="Calibri" w:hAnsi="Arial" w:cs="Arial"/>
            <w:kern w:val="2"/>
            <w:szCs w:val="28"/>
            <w:lang w:val="uk-UA"/>
            <w14:ligatures w14:val="standardContextual"/>
          </w:rPr>
          <w:t>https://zakon.rada.gov.ua/laws/show/4033-20#Text</w:t>
        </w:r>
      </w:hyperlink>
      <w:r w:rsidRPr="00511005">
        <w:rPr>
          <w:rFonts w:ascii="Arial" w:eastAsia="Calibri" w:hAnsi="Arial" w:cs="Arial"/>
          <w:kern w:val="2"/>
          <w:szCs w:val="28"/>
          <w:lang w:val="uk-UA"/>
          <w14:ligatures w14:val="standardContextual"/>
        </w:rPr>
        <w:t> </w:t>
      </w:r>
    </w:p>
    <w:p w14:paraId="6FD72F1D" w14:textId="77777777" w:rsidR="00200E87" w:rsidRPr="00511005" w:rsidRDefault="00200E87" w:rsidP="003A292D">
      <w:pPr>
        <w:spacing w:line="264" w:lineRule="auto"/>
        <w:ind w:firstLine="0"/>
        <w:rPr>
          <w:rFonts w:ascii="Arial" w:eastAsia="Calibri" w:hAnsi="Arial" w:cs="Arial"/>
          <w:b/>
          <w:bCs/>
          <w:kern w:val="2"/>
          <w:szCs w:val="28"/>
          <w:lang w:val="uk-UA"/>
          <w14:ligatures w14:val="standardContextual"/>
        </w:rPr>
      </w:pPr>
    </w:p>
    <w:p w14:paraId="2D375197" w14:textId="6B549E87" w:rsidR="00200E87" w:rsidRPr="00511005" w:rsidRDefault="007B2628"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b/>
          <w:bCs/>
          <w:i/>
          <w:kern w:val="2"/>
          <w:szCs w:val="28"/>
          <w:lang w:val="uk-UA"/>
          <w14:ligatures w14:val="standardContextual"/>
        </w:rPr>
        <w:t xml:space="preserve">Ключові слова: </w:t>
      </w:r>
      <w:r w:rsidR="00200E87" w:rsidRPr="00511005">
        <w:rPr>
          <w:rFonts w:ascii="Arial" w:eastAsia="Calibri" w:hAnsi="Arial" w:cs="Arial"/>
          <w:kern w:val="2"/>
          <w:szCs w:val="28"/>
          <w:lang w:val="uk-UA"/>
          <w14:ligatures w14:val="standardContextual"/>
        </w:rPr>
        <w:t>Кримінальні правопорушення, Кримінальний Кодекс України, угоди у кримінальному проваджені, інститут угод, кримінальні правопорушення, пов’язані з корупцією</w:t>
      </w:r>
      <w:r w:rsidRPr="00511005">
        <w:rPr>
          <w:rFonts w:ascii="Arial" w:eastAsia="Calibri" w:hAnsi="Arial" w:cs="Arial"/>
          <w:kern w:val="2"/>
          <w:szCs w:val="28"/>
          <w:lang w:val="uk-UA"/>
          <w14:ligatures w14:val="standardContextual"/>
        </w:rPr>
        <w:t xml:space="preserve"> </w:t>
      </w:r>
    </w:p>
    <w:p w14:paraId="0679E485" w14:textId="08FC9722" w:rsidR="007B2628" w:rsidRPr="00511005" w:rsidRDefault="007B2628"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b/>
          <w:bCs/>
          <w:i/>
          <w:kern w:val="2"/>
          <w:szCs w:val="28"/>
          <w:lang w:val="en"/>
          <w14:ligatures w14:val="standardContextual"/>
        </w:rPr>
        <w:t xml:space="preserve">Key words: </w:t>
      </w:r>
      <w:r w:rsidR="00200E87" w:rsidRPr="00511005">
        <w:rPr>
          <w:rFonts w:ascii="Arial" w:eastAsia="Calibri" w:hAnsi="Arial" w:cs="Arial"/>
          <w:kern w:val="2"/>
          <w:szCs w:val="28"/>
          <w:lang w:val="uk-UA"/>
          <w14:ligatures w14:val="standardContextual"/>
        </w:rPr>
        <w:t>Criminal offenses, Criminal Code of Ukraine, Agreements in criminal proceedings,</w:t>
      </w:r>
      <w:r w:rsidR="00200E87" w:rsidRPr="00511005">
        <w:rPr>
          <w:rFonts w:ascii="Arial" w:eastAsia="Calibri" w:hAnsi="Arial" w:cs="Arial"/>
          <w:kern w:val="2"/>
          <w:szCs w:val="28"/>
          <w:shd w:val="clear" w:color="auto" w:fill="DFFFDF"/>
          <w:lang w:val="uk-UA"/>
          <w14:ligatures w14:val="standardContextual"/>
        </w:rPr>
        <w:t xml:space="preserve"> </w:t>
      </w:r>
      <w:r w:rsidR="00200E87" w:rsidRPr="00511005">
        <w:rPr>
          <w:rFonts w:ascii="Arial" w:eastAsia="Calibri" w:hAnsi="Arial" w:cs="Arial"/>
          <w:kern w:val="2"/>
          <w:szCs w:val="28"/>
          <w:lang w:val="uk-UA"/>
          <w14:ligatures w14:val="standardContextual"/>
        </w:rPr>
        <w:t>Institute of agreements, Criminal offenses, related to corruption</w:t>
      </w:r>
    </w:p>
    <w:p w14:paraId="7DED112A" w14:textId="2AA8634F" w:rsidR="00200E87" w:rsidRDefault="007B2628" w:rsidP="003A292D">
      <w:pPr>
        <w:spacing w:line="264" w:lineRule="auto"/>
        <w:ind w:firstLine="0"/>
        <w:rPr>
          <w:rFonts w:ascii="Arial" w:eastAsia="Calibri" w:hAnsi="Arial" w:cs="Arial"/>
          <w:bCs/>
          <w:i/>
          <w:kern w:val="2"/>
          <w:szCs w:val="28"/>
          <w:lang w:val="uk-UA"/>
          <w14:ligatures w14:val="standardContextual"/>
        </w:rPr>
      </w:pPr>
      <w:r w:rsidRPr="00511005">
        <w:rPr>
          <w:rFonts w:ascii="Arial" w:eastAsia="Calibri" w:hAnsi="Arial" w:cs="Arial"/>
          <w:b/>
          <w:bCs/>
          <w:i/>
          <w:kern w:val="2"/>
          <w:szCs w:val="28"/>
          <w:lang w:val="uk-UA"/>
          <w14:ligatures w14:val="standardContextual"/>
        </w:rPr>
        <w:t xml:space="preserve">Науковий керівник: </w:t>
      </w:r>
      <w:r w:rsidR="00200E87" w:rsidRPr="00511005">
        <w:rPr>
          <w:rFonts w:ascii="Arial" w:eastAsia="Calibri" w:hAnsi="Arial" w:cs="Arial"/>
          <w:bCs/>
          <w:i/>
          <w:kern w:val="2"/>
          <w:szCs w:val="28"/>
          <w:lang w:val="uk-UA"/>
          <w14:ligatures w14:val="standardContextual"/>
        </w:rPr>
        <w:t>к.ю.н., доцент, Хильченко А. С.</w:t>
      </w:r>
      <w:r w:rsidRPr="00511005">
        <w:rPr>
          <w:rFonts w:ascii="Arial" w:eastAsia="Calibri" w:hAnsi="Arial" w:cs="Arial"/>
          <w:bCs/>
          <w:i/>
          <w:kern w:val="2"/>
          <w:szCs w:val="28"/>
          <w:lang w:val="uk-UA"/>
          <w14:ligatures w14:val="standardContextual"/>
        </w:rPr>
        <w:t xml:space="preserve"> </w:t>
      </w:r>
    </w:p>
    <w:p w14:paraId="18F6987B" w14:textId="77777777" w:rsidR="00064CEB" w:rsidRPr="00511005" w:rsidRDefault="00064CEB" w:rsidP="003A292D">
      <w:pPr>
        <w:spacing w:line="264" w:lineRule="auto"/>
        <w:ind w:firstLine="0"/>
        <w:rPr>
          <w:rFonts w:ascii="Arial" w:eastAsia="Calibri" w:hAnsi="Arial" w:cs="Arial"/>
          <w:bCs/>
          <w:i/>
          <w:kern w:val="2"/>
          <w:szCs w:val="28"/>
          <w:lang w:val="uk-UA"/>
          <w14:ligatures w14:val="standardContextual"/>
        </w:rPr>
      </w:pPr>
    </w:p>
    <w:p w14:paraId="0AB87B50" w14:textId="62091F68" w:rsidR="00200E87" w:rsidRPr="00511005" w:rsidRDefault="00200E87" w:rsidP="003A292D">
      <w:pPr>
        <w:spacing w:line="264" w:lineRule="auto"/>
        <w:ind w:firstLine="0"/>
        <w:jc w:val="center"/>
        <w:rPr>
          <w:rFonts w:ascii="Arial" w:eastAsia="Times New Roman" w:hAnsi="Arial" w:cs="Arial"/>
          <w:b/>
          <w:i/>
          <w:kern w:val="2"/>
          <w:szCs w:val="28"/>
          <w:lang w:val="uk-UA" w:eastAsia="uk-UA"/>
          <w14:ligatures w14:val="standardContextual"/>
        </w:rPr>
      </w:pPr>
      <w:r w:rsidRPr="00511005">
        <w:rPr>
          <w:rFonts w:ascii="Arial" w:eastAsia="Times New Roman" w:hAnsi="Arial" w:cs="Arial"/>
          <w:b/>
          <w:i/>
          <w:kern w:val="2"/>
          <w:szCs w:val="28"/>
          <w:lang w:val="uk-UA" w:eastAsia="uk-UA"/>
          <w14:ligatures w14:val="standardContextual"/>
        </w:rPr>
        <w:t>Бєляєва Каріна</w:t>
      </w:r>
      <w:r w:rsidR="007B2628" w:rsidRPr="00511005">
        <w:rPr>
          <w:rFonts w:ascii="Arial" w:eastAsia="Times New Roman" w:hAnsi="Arial" w:cs="Arial"/>
          <w:b/>
          <w:i/>
          <w:kern w:val="2"/>
          <w:szCs w:val="28"/>
          <w:lang w:val="uk-UA" w:eastAsia="uk-UA"/>
          <w14:ligatures w14:val="standardContextual"/>
        </w:rPr>
        <w:t xml:space="preserve"> </w:t>
      </w:r>
      <w:r w:rsidRPr="00511005">
        <w:rPr>
          <w:rFonts w:ascii="Arial" w:eastAsia="Times New Roman" w:hAnsi="Arial" w:cs="Arial"/>
          <w:b/>
          <w:i/>
          <w:kern w:val="2"/>
          <w:szCs w:val="28"/>
          <w:lang w:val="uk-UA" w:eastAsia="uk-UA"/>
          <w14:ligatures w14:val="standardContextual"/>
        </w:rPr>
        <w:t xml:space="preserve">Олегівна </w:t>
      </w:r>
    </w:p>
    <w:p w14:paraId="625F53B3" w14:textId="230181AA" w:rsidR="00200E87" w:rsidRPr="00511005" w:rsidRDefault="00536AAB" w:rsidP="003A292D">
      <w:pPr>
        <w:spacing w:line="264" w:lineRule="auto"/>
        <w:ind w:firstLine="0"/>
        <w:jc w:val="center"/>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студентка 2-го курсу </w:t>
      </w:r>
      <w:r w:rsidR="00200E87" w:rsidRPr="00511005">
        <w:rPr>
          <w:rFonts w:ascii="Arial" w:eastAsia="Times New Roman" w:hAnsi="Arial" w:cs="Arial"/>
          <w:kern w:val="2"/>
          <w:szCs w:val="28"/>
          <w:lang w:val="uk-UA" w:eastAsia="uk-UA"/>
          <w14:ligatures w14:val="standardContextual"/>
        </w:rPr>
        <w:t>факультету адвокатури та адвокатської діяльності</w:t>
      </w:r>
    </w:p>
    <w:p w14:paraId="7E1AD73C" w14:textId="56A05E73" w:rsidR="00200E87" w:rsidRPr="00511005" w:rsidRDefault="007B2628" w:rsidP="003A292D">
      <w:pPr>
        <w:spacing w:line="264" w:lineRule="auto"/>
        <w:ind w:firstLine="0"/>
        <w:jc w:val="center"/>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Національного університету «Одеська юридична академія»</w:t>
      </w:r>
    </w:p>
    <w:p w14:paraId="66C01780" w14:textId="77777777" w:rsidR="00200E87" w:rsidRPr="00511005" w:rsidRDefault="00200E87" w:rsidP="003A292D">
      <w:pPr>
        <w:spacing w:line="264" w:lineRule="auto"/>
        <w:ind w:firstLine="0"/>
        <w:jc w:val="center"/>
        <w:rPr>
          <w:rFonts w:ascii="Arial" w:eastAsia="Times New Roman" w:hAnsi="Arial" w:cs="Arial"/>
          <w:kern w:val="2"/>
          <w:szCs w:val="28"/>
          <w:lang w:val="uk-UA" w:eastAsia="uk-UA"/>
          <w14:ligatures w14:val="standardContextual"/>
        </w:rPr>
      </w:pPr>
    </w:p>
    <w:p w14:paraId="7A337E19" w14:textId="77777777" w:rsidR="007B2628" w:rsidRPr="00511005" w:rsidRDefault="00200E87" w:rsidP="003A292D">
      <w:pPr>
        <w:spacing w:line="264" w:lineRule="auto"/>
        <w:ind w:firstLine="0"/>
        <w:jc w:val="center"/>
        <w:rPr>
          <w:rFonts w:ascii="Arial" w:eastAsia="Times New Roman" w:hAnsi="Arial" w:cs="Arial"/>
          <w:b/>
          <w:bCs/>
          <w:kern w:val="2"/>
          <w:szCs w:val="28"/>
          <w:lang w:val="uk-UA" w:eastAsia="uk-UA"/>
          <w14:ligatures w14:val="standardContextual"/>
        </w:rPr>
      </w:pPr>
      <w:r w:rsidRPr="00511005">
        <w:rPr>
          <w:rFonts w:ascii="Arial" w:eastAsia="Times New Roman" w:hAnsi="Arial" w:cs="Arial"/>
          <w:b/>
          <w:bCs/>
          <w:kern w:val="2"/>
          <w:szCs w:val="28"/>
          <w:lang w:val="uk-UA" w:eastAsia="uk-UA"/>
          <w14:ligatures w14:val="standardContextual"/>
        </w:rPr>
        <w:t xml:space="preserve">ЦИФРОВІЗАЦІЯ КРИМІНАЛЬНОГО ПРАВА: НОВІ ВИКЛИКИ ТА МОЖЛИВОСТІ </w:t>
      </w:r>
    </w:p>
    <w:p w14:paraId="66BE5EE3" w14:textId="77777777" w:rsidR="007B2628"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У сучасних умовах цифровізації відбуваються зміни в усіх сферах, зокрема у кримінальному праві. З одного боку, цифрове середовище сприяє виникненню нових форм злочинності, таких як кіберзлочини, що потребують швидкого правового реагування. З іншого — цифрові технології відкривають можливості для ефективного запобігання злочинам, збору доказів та вдосконалення правосуддя. Це зумовлює необхідність наукового аналізу впливу цифровізації на кримінальне право, його викликів і перспектив.</w:t>
      </w:r>
    </w:p>
    <w:p w14:paraId="32C5DE96" w14:textId="2479910D"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Цифровізація кримінального права відкриває низку можливостей для покращення ефективності розслідування, судочинства та правозастосування в цілому. Основні можливості включають:</w:t>
      </w:r>
    </w:p>
    <w:p w14:paraId="6BF8F442" w14:textId="77777777" w:rsidR="00200E87" w:rsidRPr="00511005" w:rsidRDefault="00200E87" w:rsidP="003F6A5D">
      <w:pPr>
        <w:numPr>
          <w:ilvl w:val="0"/>
          <w:numId w:val="493"/>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Автоматизація процесів , оскільки автоматизація документообігу, систем обліку та процесів розслідування допомагає знизити людський фактор і помилки, підвищуючи точність та ефективність правових процедур.</w:t>
      </w:r>
    </w:p>
    <w:p w14:paraId="48BF8B07" w14:textId="77777777" w:rsidR="00200E87" w:rsidRPr="00511005" w:rsidRDefault="00200E87" w:rsidP="003F6A5D">
      <w:pPr>
        <w:numPr>
          <w:ilvl w:val="0"/>
          <w:numId w:val="493"/>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lastRenderedPageBreak/>
        <w:t>Покращення якості доказів , а саме цифрові технології, такі як відео- та аудіофіксація, дозволяють збирати надійніші і більш об'єктивні докази, що підвищує прозорість і справедливість судових процесів.</w:t>
      </w:r>
    </w:p>
    <w:p w14:paraId="7745598A" w14:textId="77777777" w:rsidR="00200E87" w:rsidRPr="00511005" w:rsidRDefault="00200E87" w:rsidP="003F6A5D">
      <w:pPr>
        <w:numPr>
          <w:ilvl w:val="0"/>
          <w:numId w:val="493"/>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Аналіз і прогнозування злочинів , бо за допомогою алгоритмів штучного інтелекту можна аналізувати великий обсяг даних для виявлення кримінальних тенденцій, прогнозування злочинної активності та ефективного розподілу ресурсів для боротьби з правопорушеннями.</w:t>
      </w:r>
    </w:p>
    <w:p w14:paraId="3A8906B5" w14:textId="77777777" w:rsidR="00200E87" w:rsidRPr="00511005" w:rsidRDefault="00200E87" w:rsidP="003F6A5D">
      <w:pPr>
        <w:numPr>
          <w:ilvl w:val="0"/>
          <w:numId w:val="493"/>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Запобігання кримінальним правопорушенням , оскільки цифрові технології дозволяють оперативно виявляти кримінально-протиправні наміри, забезпечуючи превентивні заходи (наприклад, за допомогою моніторингу онлайн-платформ).</w:t>
      </w:r>
    </w:p>
    <w:p w14:paraId="49A60DDC" w14:textId="77777777" w:rsidR="007B2628" w:rsidRPr="00511005" w:rsidRDefault="00200E87" w:rsidP="003F6A5D">
      <w:pPr>
        <w:numPr>
          <w:ilvl w:val="0"/>
          <w:numId w:val="493"/>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Онлайн-процеси , так як цифровізація судових процесів дає можливість проводити онлайн-засідання, що робить правосуддя більш доступним і зручним для всіх учасників процесу, зокрема для осіб, які перебувають далеко або не можуть бути присутніми фізично.</w:t>
      </w:r>
    </w:p>
    <w:p w14:paraId="6712FDE5" w14:textId="77777777" w:rsidR="007B2628"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Основним напрямом розвитку інформаційного забезпечення розкриття, розслідування та запобігання кримінальним правопорушенням є інтеграція комп’ютерних технологій в автоматизовані інформаційні системи та робочі місця. Сучасні умови потребують переходу органів кримінального судочинства на технологічно вдосконалений рівень. Кримінальний процесуальний кодекс України вже містить норми щодо інформатизації процесу, зокрема ч. 2 ст. 99 визначає, що документами можуть бути електронні носії інформації, якщо вони містять передбачені законом дані [ 5 ] .</w:t>
      </w:r>
    </w:p>
    <w:p w14:paraId="3626C753" w14:textId="77777777" w:rsidR="007B2628"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На етапі досудового розслідування вже тривалий час застосовуються різноманітні автоматизовані інформаційні системи, зокрема «Аргус», «Аркан», «АРМОР», «Гарт», «Скорпіон», «Факт» та інші. Завдяки розвитку доступних і зручних цифрових технологій для здійснення аудіо- та відеофіксації стало можливим широко використовувати технічні засоби для документування різних процесуальних та слідчих (розшукових) дій. </w:t>
      </w:r>
    </w:p>
    <w:p w14:paraId="52B82464" w14:textId="77777777" w:rsidR="007B2628"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Запровадження ЄРДР стало важливим кроком у вдосконаленні кримінального процесу та кримінального права зокрема , усунувши можливості маніпуляцій при відкритті проваджень. Завдяки базам даних забезпечено контроль за обліково-реєстраційною дисципліною, що сприяє дотриманню КПК. Інформаційні технології вже відіграють значну роль у кримінальній юстиції та потребують подальшої інтеграції.</w:t>
      </w:r>
    </w:p>
    <w:p w14:paraId="5B2156FE" w14:textId="77777777" w:rsidR="007B2628"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До відкритих джерел цифрової інформації належать медіа, соціальні мережі, веб-сайти, геоінформаційні сервіси, бази даних, офіційні ресурси та інші платформи, що надають можливість переглядати або отримувати у відкритому доступі загальнодоступну інформацію</w:t>
      </w:r>
      <w:r w:rsidR="007B2628" w:rsidRPr="00511005">
        <w:rPr>
          <w:rFonts w:ascii="Arial" w:eastAsia="Times New Roman" w:hAnsi="Arial" w:cs="Arial"/>
          <w:kern w:val="2"/>
          <w:szCs w:val="28"/>
          <w:lang w:val="uk-UA" w:eastAsia="uk-UA"/>
          <w14:ligatures w14:val="standardContextual"/>
        </w:rPr>
        <w:t xml:space="preserve"> </w:t>
      </w:r>
      <w:r w:rsidRPr="00511005">
        <w:rPr>
          <w:rFonts w:ascii="Arial" w:eastAsia="Times New Roman" w:hAnsi="Arial" w:cs="Arial"/>
          <w:kern w:val="2"/>
          <w:szCs w:val="28"/>
          <w:lang w:val="uk-UA" w:eastAsia="uk-UA"/>
          <w14:ligatures w14:val="standardContextual"/>
        </w:rPr>
        <w:t>.</w:t>
      </w:r>
    </w:p>
    <w:p w14:paraId="62048F07" w14:textId="77777777" w:rsidR="007B2628"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lastRenderedPageBreak/>
        <w:t>Зупинимось</w:t>
      </w:r>
      <w:r w:rsidR="007B2628" w:rsidRPr="00511005">
        <w:rPr>
          <w:rFonts w:ascii="Arial" w:eastAsia="Times New Roman" w:hAnsi="Arial" w:cs="Arial"/>
          <w:kern w:val="2"/>
          <w:szCs w:val="28"/>
          <w:lang w:val="uk-UA" w:eastAsia="uk-UA"/>
          <w14:ligatures w14:val="standardContextual"/>
        </w:rPr>
        <w:t xml:space="preserve"> </w:t>
      </w:r>
      <w:r w:rsidRPr="00511005">
        <w:rPr>
          <w:rFonts w:ascii="Arial" w:eastAsia="Times New Roman" w:hAnsi="Arial" w:cs="Arial"/>
          <w:kern w:val="2"/>
          <w:szCs w:val="28"/>
          <w:lang w:val="uk-UA" w:eastAsia="uk-UA"/>
          <w14:ligatures w14:val="standardContextual"/>
        </w:rPr>
        <w:t>на такому джерелі цифрової інформації як бази даних . Під час повномасштабного вторгнення були створені відкриті реєстри осіб, підозрюваних у воєнних злочинах або співпраці з ворогом, такі як «Наші зрадники» та «Вороги України». Проте використання цих баз даних у доказовій базі пов'язано з правовими ризиками, зокрема, відсутністю законних підстав для обробки персональних даних, порушенням презумпції невинуватості та можливістю недостовірності інформації через фейкові джерела</w:t>
      </w:r>
      <w:r w:rsidR="007B2628" w:rsidRPr="00511005">
        <w:rPr>
          <w:rFonts w:ascii="Arial" w:eastAsia="Times New Roman" w:hAnsi="Arial" w:cs="Arial"/>
          <w:kern w:val="2"/>
          <w:szCs w:val="28"/>
          <w:lang w:val="uk-UA" w:eastAsia="uk-UA"/>
          <w14:ligatures w14:val="standardContextual"/>
        </w:rPr>
        <w:t xml:space="preserve"> </w:t>
      </w:r>
      <w:r w:rsidRPr="00511005">
        <w:rPr>
          <w:rFonts w:ascii="Arial" w:eastAsia="Times New Roman" w:hAnsi="Arial" w:cs="Arial"/>
          <w:kern w:val="2"/>
          <w:szCs w:val="28"/>
          <w:lang w:val="uk-UA" w:eastAsia="uk-UA"/>
          <w14:ligatures w14:val="standardContextual"/>
        </w:rPr>
        <w:t xml:space="preserve">[ 4 , ст.20 ] . </w:t>
      </w:r>
    </w:p>
    <w:p w14:paraId="07DFE353" w14:textId="77777777" w:rsidR="007B2628"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Використання штучного інтелекту у кримінальному праві — це перспективний напрямок, що може значно підвищити ефективність правозастосування , зокрема ШІ стає у нагоді при призначенні покарання , адже він може аналізувати дані ( характер , обставини , тяжкість ) , особу підсудного та практику судових рішень у схожих справах , усе це в сукупності може видати досить цікаве та корисне рішення . На основі цього алгоритм прогнозує рівень ризику повторного правопорушення і рекомендує суду тип і строк покарання. Застосування штучного інтелекту для попередження кримінальних правопорушень відбувається через використання різноманітних інформаційних технологій, що дають змогу виявляти ймовірні місця скоєння злочинів або потенційних правопорушників. Такий підхід охоплює методи так званого «превентивного поліцейського контролю», які застосовуються для запобігання систематичним злочинам — зокрема крадіжкам зі зломом, вуличному насильству, викраденню транспортних засобів тощо. Основна мета цих інструментів полягає у здатності точно визначати час і місце потенційних правопорушень та відображати ці дані у вигляді «гарячих точок» на мапі. Поліцейські патрулі в режимі реального часу здійснюють моніторинг таких зон. Цей підхід відомий як прогностична картографія злочинності [ 6 , ст. 555 ] .</w:t>
      </w:r>
    </w:p>
    <w:p w14:paraId="02EA7A69" w14:textId="77777777" w:rsidR="007B2628"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До заходів цифровізації кримінального права також варто віднести законодавче закріплення, алгоритмізацію системи, порядку та правил кримінально-правової кваліфікації правопорушень, а також створення й впровадження цифрової моделі кваліфікації злочинів у правозастосовну практику.</w:t>
      </w:r>
    </w:p>
    <w:p w14:paraId="160B25E0" w14:textId="77777777" w:rsidR="007B2628"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Цифрові докази активно використовуються в кримінальних провадженнях для доведення вини або розслідування справи, значно покращуючи ефективність розслідувань. Фото-, аудіо- та відеозаписи фіксують слідчі дії, а метадані підтверджують їх автентичність. При розслідуванні воєнних злочинів правоохоронці використовують інформацію з відкритих джерел, яка допомагає формувати план слідства і може бути визнана процесуальним доказом, якщо відповідає вимогам.</w:t>
      </w:r>
    </w:p>
    <w:p w14:paraId="7D47BC50" w14:textId="77777777" w:rsidR="007B2628"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Українські суди нерідко по-різному оцінюють допустимість цифрових доказів, що негативно впливає на якість правосуддя. Через стрімкий розвиток ІТ наявні методики експертизи швидко застарівають, а експерти не завжди </w:t>
      </w:r>
      <w:r w:rsidRPr="00511005">
        <w:rPr>
          <w:rFonts w:ascii="Arial" w:eastAsia="Times New Roman" w:hAnsi="Arial" w:cs="Arial"/>
          <w:kern w:val="2"/>
          <w:szCs w:val="28"/>
          <w:lang w:val="uk-UA" w:eastAsia="uk-UA"/>
          <w14:ligatures w14:val="standardContextual"/>
        </w:rPr>
        <w:lastRenderedPageBreak/>
        <w:t>можуть підтвердити автентичність відео- чи аудіозаписів. Достовірність таких доказів суд може встановити також через свідчення правоохоронців, які здійснювали їх вилучення або копіювання [ 3 , ст.37] .</w:t>
      </w:r>
    </w:p>
    <w:p w14:paraId="3E1CDB5E" w14:textId="77777777" w:rsidR="007B2628"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Цифровізація частково посилює контроль над суб’єктами кримінального права, що може обмежувати їхню самостійність. Водночас остаточні рішення все ще ухвалює людина, адже штучний інтелект не здатен оцінити суспільну небезпеку, психологічні чи моральні аспекти злочину. Проте вже зараз цифрові інструменти допомагають аналізувати повноту та обґрунтованість судових рішень, особливо щодо кваліфікації правопорушень і призначення покарання .</w:t>
      </w:r>
    </w:p>
    <w:p w14:paraId="1A63A641" w14:textId="44103DBA"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Цифровізація кримінального права підвищує ефективність правосуддя через швидкий доступ до доказів та автоматизацію процесів. Водночас вона породжує виклики щодо безпеки даних, достовірності доказів і захисту прав людини. Для її успішного впровадження необхідно створити надійну правову й технічну інфраструктуру, що забезпечить баланс між інноваціями та правовими стандартами.</w:t>
      </w:r>
    </w:p>
    <w:p w14:paraId="7BEDB8B7" w14:textId="28AC76C3" w:rsidR="00200E87" w:rsidRPr="00511005" w:rsidRDefault="007B2628" w:rsidP="007B2628">
      <w:pPr>
        <w:spacing w:line="264" w:lineRule="auto"/>
        <w:ind w:firstLine="0"/>
        <w:jc w:val="center"/>
        <w:rPr>
          <w:rFonts w:ascii="Arial" w:eastAsia="Times New Roman" w:hAnsi="Arial" w:cs="Arial"/>
          <w:b/>
          <w:bCs/>
          <w:kern w:val="2"/>
          <w:szCs w:val="28"/>
          <w:lang w:val="uk-UA" w:eastAsia="uk-UA"/>
          <w14:ligatures w14:val="standardContextual"/>
        </w:rPr>
      </w:pPr>
      <w:r w:rsidRPr="00511005">
        <w:rPr>
          <w:rFonts w:ascii="Arial" w:eastAsia="Times New Roman" w:hAnsi="Arial" w:cs="Arial"/>
          <w:b/>
          <w:bCs/>
          <w:kern w:val="2"/>
          <w:szCs w:val="28"/>
          <w:lang w:val="uk-UA" w:eastAsia="uk-UA"/>
          <w14:ligatures w14:val="standardContextual"/>
        </w:rPr>
        <w:t>Список використаних джерел</w:t>
      </w:r>
    </w:p>
    <w:p w14:paraId="6925F497" w14:textId="77777777" w:rsidR="007B2628" w:rsidRPr="00511005" w:rsidRDefault="00200E87" w:rsidP="003F6A5D">
      <w:pPr>
        <w:numPr>
          <w:ilvl w:val="0"/>
          <w:numId w:val="494"/>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Кримінальний кодекс України: Закон України від 05.04.2001 № 2341-III. База даних «Законодавство України». Верховна Рада України. URL: </w:t>
      </w:r>
      <w:hyperlink r:id="rId1765" w:anchor="Text" w:history="1">
        <w:r w:rsidRPr="00511005">
          <w:rPr>
            <w:rFonts w:ascii="Arial" w:eastAsia="Times New Roman" w:hAnsi="Arial" w:cs="Arial"/>
            <w:kern w:val="2"/>
            <w:szCs w:val="28"/>
            <w:lang w:val="uk-UA" w:eastAsia="uk-UA"/>
            <w14:ligatures w14:val="standardContextual"/>
          </w:rPr>
          <w:t>https://zakon.rada.gov.ua/laws/show/2341-14#Text</w:t>
        </w:r>
      </w:hyperlink>
      <w:r w:rsidRPr="00511005">
        <w:rPr>
          <w:rFonts w:ascii="Arial" w:eastAsia="Times New Roman" w:hAnsi="Arial" w:cs="Arial"/>
          <w:kern w:val="2"/>
          <w:szCs w:val="28"/>
          <w:lang w:val="uk-UA" w:eastAsia="uk-UA"/>
          <w14:ligatures w14:val="standardContextual"/>
        </w:rPr>
        <w:t>.</w:t>
      </w:r>
    </w:p>
    <w:p w14:paraId="115B684E" w14:textId="741873F8" w:rsidR="00200E87" w:rsidRPr="00511005" w:rsidRDefault="00200E87" w:rsidP="003F6A5D">
      <w:pPr>
        <w:numPr>
          <w:ilvl w:val="0"/>
          <w:numId w:val="494"/>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Кримінальний процесуальний кодекс України : Закон України від 13 квіт. 2012 р. № 4651-VI. Верховна Рада України. URL:http://zakon2.rada.gov.ua/laws/show/4651-17. </w:t>
      </w:r>
    </w:p>
    <w:p w14:paraId="7ABD2DAE" w14:textId="77777777" w:rsidR="00200E87" w:rsidRPr="00511005" w:rsidRDefault="00200E87" w:rsidP="003F6A5D">
      <w:pPr>
        <w:numPr>
          <w:ilvl w:val="0"/>
          <w:numId w:val="494"/>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Використання електронних носіїв інформації з медіа-контентом у якості джерел доказів: методичні рекомендації / Авт. колектив:А.В. Захарко, А.Г. Гаркуша, В.В. Рогальська, І.В. Краснобрижий, О.В. Брягін. Дніпро: Дніпропетровський державний університет внутрішніх справ, 2019. 37 с.</w:t>
      </w:r>
    </w:p>
    <w:p w14:paraId="468E7900" w14:textId="77777777" w:rsidR="00200E87" w:rsidRPr="00511005" w:rsidRDefault="00200E87" w:rsidP="003F6A5D">
      <w:pPr>
        <w:numPr>
          <w:ilvl w:val="0"/>
          <w:numId w:val="494"/>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Цифровізація кримінального провадження: стан та перспективи: матеріали наук.-практ. круглого столу, м. Харків, 19 верес. 2024 р. / [редкол.: Н. в. Глинська (голов. ред.), Д. і. Клепка, А. а. Барабаш]; Нді вивч. проблем злочинності ім. акад. В. в. сташиса НапрН України ; Від. дослідж. проблем кримін. процесу та судоустрою. – Харків :Право, 2024. – 174 </w:t>
      </w:r>
    </w:p>
    <w:p w14:paraId="62C4DA87" w14:textId="77777777" w:rsidR="00200E87" w:rsidRPr="00511005" w:rsidRDefault="00200E87" w:rsidP="003F6A5D">
      <w:pPr>
        <w:numPr>
          <w:ilvl w:val="0"/>
          <w:numId w:val="494"/>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Діджиталізаці</w:t>
      </w:r>
      <w:r w:rsidRPr="00511005">
        <w:rPr>
          <w:rFonts w:ascii="Arial" w:eastAsia="Times New Roman" w:hAnsi="Arial" w:cs="Arial"/>
          <w:kern w:val="2"/>
          <w:szCs w:val="28"/>
          <w:lang w:eastAsia="uk-UA"/>
          <w14:ligatures w14:val="standardContextual"/>
        </w:rPr>
        <w:t xml:space="preserve">я кримінального судочинства . </w:t>
      </w:r>
      <w:r w:rsidRPr="00511005">
        <w:rPr>
          <w:rFonts w:ascii="Arial" w:eastAsia="Times New Roman" w:hAnsi="Arial" w:cs="Arial"/>
          <w:kern w:val="2"/>
          <w:szCs w:val="28"/>
          <w:lang w:val="en-US" w:eastAsia="uk-UA"/>
          <w14:ligatures w14:val="standardContextual"/>
        </w:rPr>
        <w:t>URL</w:t>
      </w:r>
      <w:r w:rsidRPr="00511005">
        <w:rPr>
          <w:rFonts w:ascii="Arial" w:eastAsia="Times New Roman" w:hAnsi="Arial" w:cs="Arial"/>
          <w:kern w:val="2"/>
          <w:szCs w:val="28"/>
          <w:lang w:eastAsia="uk-UA"/>
          <w14:ligatures w14:val="standardContextual"/>
        </w:rPr>
        <w:t xml:space="preserve"> </w:t>
      </w:r>
      <w:r w:rsidRPr="00511005">
        <w:rPr>
          <w:rFonts w:ascii="Arial" w:eastAsia="Times New Roman" w:hAnsi="Arial" w:cs="Arial"/>
          <w:kern w:val="2"/>
          <w:szCs w:val="28"/>
          <w:lang w:val="uk-UA" w:eastAsia="uk-UA"/>
          <w14:ligatures w14:val="standardContextual"/>
        </w:rPr>
        <w:t>:</w:t>
      </w:r>
      <w:hyperlink r:id="rId1766" w:history="1">
        <w:r w:rsidRPr="00511005">
          <w:rPr>
            <w:rFonts w:ascii="Arial" w:eastAsia="Times New Roman" w:hAnsi="Arial" w:cs="Arial"/>
            <w:kern w:val="2"/>
            <w:szCs w:val="28"/>
            <w:lang w:val="uk-UA" w:eastAsia="uk-UA"/>
            <w14:ligatures w14:val="standardContextual"/>
          </w:rPr>
          <w:t>https://law.chnu.edu.ua/didzhytalizatsiia-kryminalnoho-sudochynstva/</w:t>
        </w:r>
      </w:hyperlink>
    </w:p>
    <w:p w14:paraId="35004B9A" w14:textId="77777777" w:rsidR="00200E87" w:rsidRPr="00511005" w:rsidRDefault="00200E87" w:rsidP="003F6A5D">
      <w:pPr>
        <w:numPr>
          <w:ilvl w:val="0"/>
          <w:numId w:val="494"/>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Електронне наукове фахове видання «Юридичний науковий електронний журнал» . </w:t>
      </w:r>
      <w:proofErr w:type="gramStart"/>
      <w:r w:rsidRPr="00511005">
        <w:rPr>
          <w:rFonts w:ascii="Arial" w:eastAsia="Times New Roman" w:hAnsi="Arial" w:cs="Arial"/>
          <w:kern w:val="2"/>
          <w:szCs w:val="28"/>
          <w:lang w:val="en-US" w:eastAsia="uk-UA"/>
          <w14:ligatures w14:val="standardContextual"/>
        </w:rPr>
        <w:t>URL</w:t>
      </w:r>
      <w:r w:rsidRPr="00511005">
        <w:rPr>
          <w:rFonts w:ascii="Arial" w:eastAsia="Times New Roman" w:hAnsi="Arial" w:cs="Arial"/>
          <w:kern w:val="2"/>
          <w:szCs w:val="28"/>
          <w:lang w:eastAsia="uk-UA"/>
          <w14:ligatures w14:val="standardContextual"/>
        </w:rPr>
        <w:t xml:space="preserve"> </w:t>
      </w:r>
      <w:r w:rsidRPr="00511005">
        <w:rPr>
          <w:rFonts w:ascii="Arial" w:eastAsia="Times New Roman" w:hAnsi="Arial" w:cs="Arial"/>
          <w:kern w:val="2"/>
          <w:szCs w:val="28"/>
          <w:lang w:val="uk-UA" w:eastAsia="uk-UA"/>
          <w14:ligatures w14:val="standardContextual"/>
        </w:rPr>
        <w:t>:</w:t>
      </w:r>
      <w:proofErr w:type="gramEnd"/>
      <w:r w:rsidRPr="00511005">
        <w:rPr>
          <w:rFonts w:ascii="Arial" w:eastAsia="Times New Roman" w:hAnsi="Arial" w:cs="Arial"/>
          <w:kern w:val="2"/>
          <w:szCs w:val="28"/>
          <w:lang w:val="uk-UA" w:eastAsia="uk-UA"/>
          <w14:ligatures w14:val="standardContextual"/>
        </w:rPr>
        <w:t xml:space="preserve"> http://lsej.org.ua/5_2022/5_2022.pdf</w:t>
      </w:r>
      <w:r w:rsidRPr="00511005">
        <w:rPr>
          <w:rFonts w:ascii="Arial" w:eastAsia="Times New Roman" w:hAnsi="Arial" w:cs="Arial"/>
          <w:kern w:val="2"/>
          <w:szCs w:val="28"/>
          <w:lang w:val="uk-UA" w:eastAsia="uk-UA"/>
          <w14:ligatures w14:val="standardContextual"/>
        </w:rPr>
        <w:tab/>
      </w:r>
    </w:p>
    <w:p w14:paraId="676135A0" w14:textId="77777777" w:rsidR="00200E87" w:rsidRPr="00511005" w:rsidRDefault="00200E87" w:rsidP="003A292D">
      <w:pPr>
        <w:spacing w:line="264" w:lineRule="auto"/>
        <w:ind w:firstLine="0"/>
        <w:rPr>
          <w:rFonts w:ascii="Arial" w:eastAsia="Times New Roman" w:hAnsi="Arial" w:cs="Arial"/>
          <w:b/>
          <w:bCs/>
          <w:kern w:val="2"/>
          <w:szCs w:val="28"/>
          <w:lang w:val="uk-UA" w:eastAsia="uk-UA"/>
          <w14:ligatures w14:val="standardContextual"/>
        </w:rPr>
      </w:pPr>
    </w:p>
    <w:p w14:paraId="17531D6F" w14:textId="491DF3CF" w:rsidR="00200E87" w:rsidRPr="00511005" w:rsidRDefault="00EE6668"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b/>
          <w:bCs/>
          <w:kern w:val="2"/>
          <w:szCs w:val="28"/>
          <w:lang w:val="uk-UA" w:eastAsia="uk-UA"/>
          <w14:ligatures w14:val="standardContextual"/>
        </w:rPr>
        <w:t>Ключові слова:</w:t>
      </w:r>
      <w:r w:rsidR="00200E87" w:rsidRPr="00511005">
        <w:rPr>
          <w:rFonts w:ascii="Arial" w:eastAsia="Times New Roman" w:hAnsi="Arial" w:cs="Arial"/>
          <w:b/>
          <w:bCs/>
          <w:kern w:val="2"/>
          <w:szCs w:val="28"/>
          <w:lang w:val="uk-UA" w:eastAsia="uk-UA"/>
          <w14:ligatures w14:val="standardContextual"/>
        </w:rPr>
        <w:t xml:space="preserve"> </w:t>
      </w:r>
      <w:r w:rsidR="00200E87" w:rsidRPr="00511005">
        <w:rPr>
          <w:rFonts w:ascii="Arial" w:eastAsia="Times New Roman" w:hAnsi="Arial" w:cs="Arial"/>
          <w:kern w:val="2"/>
          <w:szCs w:val="28"/>
          <w:lang w:val="uk-UA" w:eastAsia="uk-UA"/>
          <w14:ligatures w14:val="standardContextual"/>
        </w:rPr>
        <w:t xml:space="preserve">кримінальне право , суд , цифровізація кримінального права , правосуддя , цифрові докази . </w:t>
      </w:r>
    </w:p>
    <w:p w14:paraId="6A9CEAC9" w14:textId="4836BD51" w:rsidR="00200E87" w:rsidRPr="00511005" w:rsidRDefault="007B2628"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b/>
          <w:bCs/>
          <w:i/>
          <w:kern w:val="2"/>
          <w:szCs w:val="28"/>
          <w:lang w:val="uk-UA" w:eastAsia="uk-UA"/>
          <w14:ligatures w14:val="standardContextual"/>
        </w:rPr>
        <w:t xml:space="preserve">Key words: </w:t>
      </w:r>
      <w:r w:rsidR="00200E87" w:rsidRPr="00511005">
        <w:rPr>
          <w:rFonts w:ascii="Arial" w:eastAsia="Times New Roman" w:hAnsi="Arial" w:cs="Arial"/>
          <w:kern w:val="2"/>
          <w:szCs w:val="28"/>
          <w:lang w:val="uk-UA" w:eastAsia="uk-UA"/>
          <w14:ligatures w14:val="standardContextual"/>
        </w:rPr>
        <w:t>criminal law, court, digitalization of criminal law, justice, digital evidence.</w:t>
      </w:r>
    </w:p>
    <w:p w14:paraId="20E81B74" w14:textId="72543C21" w:rsidR="00200E87" w:rsidRPr="00511005" w:rsidRDefault="00EE6668" w:rsidP="003A292D">
      <w:pPr>
        <w:spacing w:line="264" w:lineRule="auto"/>
        <w:ind w:firstLine="0"/>
        <w:rPr>
          <w:rFonts w:ascii="Arial" w:eastAsia="Times New Roman" w:hAnsi="Arial" w:cs="Arial"/>
          <w:i/>
          <w:iCs/>
          <w:kern w:val="2"/>
          <w:szCs w:val="28"/>
          <w:lang w:val="uk-UA" w:eastAsia="uk-UA"/>
          <w14:ligatures w14:val="standardContextual"/>
        </w:rPr>
      </w:pPr>
      <w:r w:rsidRPr="00511005">
        <w:rPr>
          <w:rFonts w:ascii="Arial" w:eastAsia="Times New Roman" w:hAnsi="Arial" w:cs="Arial"/>
          <w:i/>
          <w:iCs/>
          <w:kern w:val="2"/>
          <w:szCs w:val="28"/>
          <w:lang w:val="uk-UA" w:eastAsia="uk-UA"/>
          <w14:ligatures w14:val="standardContextual"/>
        </w:rPr>
        <w:lastRenderedPageBreak/>
        <w:t>Науковий керівник:</w:t>
      </w:r>
      <w:r w:rsidR="00200E87" w:rsidRPr="00511005">
        <w:rPr>
          <w:rFonts w:ascii="Arial" w:eastAsia="Times New Roman" w:hAnsi="Arial" w:cs="Arial"/>
          <w:i/>
          <w:iCs/>
          <w:kern w:val="2"/>
          <w:szCs w:val="28"/>
          <w:lang w:val="uk-UA" w:eastAsia="uk-UA"/>
          <w14:ligatures w14:val="standardContextual"/>
        </w:rPr>
        <w:t xml:space="preserve"> к.ю.н. , доцент Хильченко А.С. </w:t>
      </w:r>
    </w:p>
    <w:p w14:paraId="1CB6846F" w14:textId="77777777" w:rsidR="00200E87" w:rsidRPr="00511005" w:rsidRDefault="00200E87" w:rsidP="003A292D">
      <w:pPr>
        <w:spacing w:line="264" w:lineRule="auto"/>
        <w:ind w:firstLine="0"/>
        <w:jc w:val="center"/>
        <w:rPr>
          <w:rFonts w:ascii="Arial" w:eastAsia="Calibri" w:hAnsi="Arial" w:cs="Arial"/>
          <w:b/>
          <w:szCs w:val="28"/>
          <w:lang w:val="uk-UA"/>
        </w:rPr>
      </w:pPr>
    </w:p>
    <w:p w14:paraId="21034A2D" w14:textId="77777777" w:rsidR="00200E87" w:rsidRPr="00511005" w:rsidRDefault="00200E87" w:rsidP="003A292D">
      <w:pPr>
        <w:spacing w:line="264" w:lineRule="auto"/>
        <w:ind w:firstLine="0"/>
        <w:jc w:val="center"/>
        <w:rPr>
          <w:rFonts w:ascii="Arial" w:eastAsia="Calibri" w:hAnsi="Arial" w:cs="Arial"/>
          <w:b/>
          <w:szCs w:val="28"/>
          <w:lang w:val="uk-UA"/>
        </w:rPr>
      </w:pPr>
    </w:p>
    <w:p w14:paraId="16416E80" w14:textId="77777777" w:rsidR="00200E87" w:rsidRPr="00511005" w:rsidRDefault="00200E87" w:rsidP="003A292D">
      <w:pPr>
        <w:spacing w:line="264" w:lineRule="auto"/>
        <w:ind w:firstLine="0"/>
        <w:jc w:val="center"/>
        <w:rPr>
          <w:rFonts w:ascii="Arial" w:eastAsia="Calibri" w:hAnsi="Arial" w:cs="Arial"/>
          <w:b/>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t>Білоусова Ганна Вадимівна</w:t>
      </w:r>
    </w:p>
    <w:p w14:paraId="0354CB27" w14:textId="7E37E17C"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670250F0"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EE7E2C0"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7EF2252" w14:textId="77777777" w:rsidR="00200E87" w:rsidRPr="00511005" w:rsidRDefault="00200E87" w:rsidP="003A292D">
      <w:pPr>
        <w:spacing w:line="264" w:lineRule="auto"/>
        <w:ind w:firstLine="0"/>
        <w:jc w:val="center"/>
        <w:rPr>
          <w:rFonts w:ascii="Arial" w:eastAsia="Calibri" w:hAnsi="Arial" w:cs="Arial"/>
          <w:kern w:val="2"/>
          <w:szCs w:val="28"/>
          <w:lang w:val="uk-UA"/>
          <w14:ligatures w14:val="standardContextual"/>
        </w:rPr>
      </w:pPr>
    </w:p>
    <w:p w14:paraId="2C048E0A" w14:textId="77777777" w:rsidR="00200E87" w:rsidRPr="00511005" w:rsidRDefault="00200E87" w:rsidP="003A292D">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 xml:space="preserve">ЗАКОН ПРО КРИМІНАЛЬНУ ВІДПОВІДАЛЬНІСТЬ </w:t>
      </w:r>
    </w:p>
    <w:p w14:paraId="5F95309B" w14:textId="77777777" w:rsidR="007B2628" w:rsidRPr="00511005" w:rsidRDefault="00200E87" w:rsidP="003A292D">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В УМОВАХ ВОЄННОГО СТАНУ</w:t>
      </w:r>
    </w:p>
    <w:p w14:paraId="6C7C6314" w14:textId="70253CAA" w:rsidR="00200E87" w:rsidRPr="00511005" w:rsidRDefault="00200E87"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Під час воєнного стану кримінальне законодавство може зазнавати значних змін, які спрямовані на реалізацію національної безпеки, підтримання правового порядку та захисту громадян від наслідків військового конфлікту. Воєнний стан, в якості надзвичайної ситуації, вимагає спеціальних підходів до регулювання кримінальної відповідальності, що дозволяє органам правопорядку та судовій системі діяти швидко і ефективно в умовах високого рівня загрози [1].</w:t>
      </w:r>
    </w:p>
    <w:p w14:paraId="7AF1E7EE" w14:textId="77777777" w:rsidR="00200E87" w:rsidRPr="00511005" w:rsidRDefault="00200E87"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Згідно зі ст. 4 Кримінального кодексу України, кримінальний закон не поширюється на діяння, які були вчинені до його набрання чинності. Винятком є випадки, коли закон пом'якшує або скасовує кримінальну відповідальність. В той же час у ст. 5 КК</w:t>
      </w:r>
      <w:r w:rsidRPr="00511005">
        <w:rPr>
          <w:rFonts w:ascii="Arial" w:eastAsia="Calibri" w:hAnsi="Arial" w:cs="Arial"/>
          <w:kern w:val="2"/>
          <w:szCs w:val="28"/>
          <w14:ligatures w14:val="standardContextual"/>
        </w:rPr>
        <w:t xml:space="preserve"> </w:t>
      </w:r>
      <w:r w:rsidRPr="00511005">
        <w:rPr>
          <w:rFonts w:ascii="Arial" w:eastAsia="Calibri" w:hAnsi="Arial" w:cs="Arial"/>
          <w:kern w:val="2"/>
          <w:szCs w:val="28"/>
          <w:lang w:val="uk-UA"/>
          <w14:ligatures w14:val="standardContextual"/>
        </w:rPr>
        <w:t>зазначено особливість кримінального закону, що полягає в зворотній дії його в часі і вказано, що якщо після вчинення злочину закон, який встановлює більш м'яке покарання, набрав чинності, то застосовуються положення нововведеного закону. Ці норми забезпечують стабільність кримінального законодавства та захищають права осіб, щодо яких застосовується кримінальна відповідальність.​</w:t>
      </w:r>
    </w:p>
    <w:p w14:paraId="2D5B846E" w14:textId="77777777" w:rsidR="00200E87" w:rsidRPr="00511005" w:rsidRDefault="00200E87"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Під час введення воєнного стану, законодавець посилив відповідальність за певну кількість злочинів. Зміни в КК України, внесені Законом № 2117-IX від 3 березня 2022 року, стосуються статей 185, 186, 187, 189, 191 КК, в яких четверті частини доповнено кваліфікуючою ознакою «в умовах воєнного або надзвичайного стану». Це означає, що такі злочини, вчинені в умовах воєнного стану, кваліфікуються як особливо тяжкі, що передбачає більш суворі покарання.</w:t>
      </w:r>
    </w:p>
    <w:p w14:paraId="2AF44A40" w14:textId="77777777" w:rsidR="00200E87" w:rsidRPr="00511005" w:rsidRDefault="00200E87"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За особливо кваліфіковані злочини, відповідно до Особливої частини статей Кримінального кодексу, передбачено значно суворіші покарання. Призначаючи покарання за кваліфіковані та особливо кваліфіковані злочини, суд враховує всі обставини, за винятком тих, які є частиною складу злочину. Наприклад, якщо крадіжка в умовах вoєнного стану вже кваліфікується за ч. 4 ст. 185 КК, то факт вчинення злочину в умовах воєнного стану не буде дoдатково враховуватися як обтяжуюча </w:t>
      </w:r>
      <w:r w:rsidRPr="00511005">
        <w:rPr>
          <w:rFonts w:ascii="Arial" w:eastAsia="Calibri" w:hAnsi="Arial" w:cs="Arial"/>
          <w:kern w:val="2"/>
          <w:szCs w:val="28"/>
          <w:lang w:val="uk-UA"/>
          <w14:ligatures w14:val="standardContextual"/>
        </w:rPr>
        <w:lastRenderedPageBreak/>
        <w:t>обставина, оскільки це вже враховано при кваліфікації. Це правило визначено ч. 4 ст. 67 КК.</w:t>
      </w:r>
    </w:p>
    <w:p w14:paraId="78D14E5E" w14:textId="37395AA2" w:rsidR="00200E87" w:rsidRPr="00511005" w:rsidRDefault="00200E87"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Також візьмемо до прикладу декілька статей Особливої частини Кримінального кодексу України : ст. 186, 187, де аналогічно до крадіжки, грабіж або розбій , вчинений в умовах воєнного стану, підпадає під частину 4 цієї статті, що передбачає суворіше покарання; ст. 189, вимагання в умовах воєнного стану є особливо тяжким злочином з відповідними санкціями; ст. 191 (привласнення, розтрата або заволодіння майном шляхом зловживання службовим становищем)</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вчинення цього злочину в умовах воєнного стану тягне за собою більш суворе покарання [4].</w:t>
      </w:r>
    </w:p>
    <w:p w14:paraId="10B8532E" w14:textId="77777777" w:rsidR="00200E87" w:rsidRPr="00511005" w:rsidRDefault="00200E87"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Також особливого розгляду потребує ст. 190 ч.3 Кримінального кодексу України, а саме шахрайство, вчинене в умовах воєнного чи надзвичайного стану, що завдало значної шкоди потерпілому. Це впливає на оцінку суспільної небезпеки злочину. У 2022–2024 роках почастішали випадки, коли шахрайство маскували під збори коштів допомогу військовим або ж фейкові благодійні організації, продаж гуманітарної допомоги. Тоді призначається судами більш суворе покарання.</w:t>
      </w:r>
    </w:p>
    <w:p w14:paraId="0A5BB5E6" w14:textId="77777777" w:rsidR="00200E87" w:rsidRPr="00511005" w:rsidRDefault="00200E87"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 початком повномасштабного вторгнення були введені зміни у законодавстві, які стосуються посилення відповідальності за злочини проти основ національної безпеки України під час воєнного стану. Зокрема, Кримінальний кодекс України було доповнено положеннями, які передбачають максимальне покарання за державну зраду та диверсії, вчинені в період збройного конфлікту [3</w:t>
      </w:r>
      <w:r w:rsidRPr="00511005">
        <w:rPr>
          <w:rFonts w:ascii="Arial" w:eastAsia="Calibri" w:hAnsi="Arial" w:cs="Arial"/>
          <w:kern w:val="2"/>
          <w:szCs w:val="28"/>
          <w14:ligatures w14:val="standardContextual"/>
        </w:rPr>
        <w:t>].</w:t>
      </w:r>
      <w:r w:rsidRPr="00511005">
        <w:rPr>
          <w:rFonts w:ascii="Arial" w:eastAsia="Calibri" w:hAnsi="Arial" w:cs="Arial"/>
          <w:kern w:val="2"/>
          <w:szCs w:val="28"/>
          <w:lang w:val="uk-UA"/>
          <w14:ligatures w14:val="standardContextual"/>
        </w:rPr>
        <w:t xml:space="preserve"> Покарання може передбачати позбавлення волі на строк 15 років або довічне позбавлення волі, з обов’язковою конфіскацією майна. Крім того, також встановлено, що особи, які вчинили державну зраду або диверсію, більше не можуть бути повністю звільнені від покарання за допомогою амністії від відбування покарання [5].</w:t>
      </w:r>
    </w:p>
    <w:p w14:paraId="52DAF5EC" w14:textId="77777777" w:rsidR="007B2628" w:rsidRPr="00511005" w:rsidRDefault="00200E87"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Серед спеціальних статтей, пов'язаних з воєнним станом слід виокремити ст. 111</w:t>
      </w:r>
      <w:r w:rsidRPr="00511005">
        <w:rPr>
          <w:rFonts w:ascii="Arial" w:eastAsia="Calibri" w:hAnsi="Arial" w:cs="Arial"/>
          <w:kern w:val="2"/>
          <w:szCs w:val="28"/>
          <w:vertAlign w:val="superscript"/>
          <w:lang w:val="uk-UA"/>
          <w14:ligatures w14:val="standardContextual"/>
        </w:rPr>
        <w:t>1</w:t>
      </w:r>
      <w:r w:rsidRPr="00511005">
        <w:rPr>
          <w:rFonts w:ascii="Arial" w:eastAsia="Calibri" w:hAnsi="Arial" w:cs="Arial"/>
          <w:kern w:val="2"/>
          <w:szCs w:val="28"/>
          <w:lang w:val="uk-UA"/>
          <w14:ligatures w14:val="standardContextual"/>
        </w:rPr>
        <w:t>, 111</w:t>
      </w:r>
      <w:r w:rsidRPr="00511005">
        <w:rPr>
          <w:rFonts w:ascii="Arial" w:eastAsia="Calibri" w:hAnsi="Arial" w:cs="Arial"/>
          <w:kern w:val="2"/>
          <w:szCs w:val="28"/>
          <w:vertAlign w:val="superscript"/>
          <w:lang w:val="uk-UA"/>
          <w14:ligatures w14:val="standardContextual"/>
        </w:rPr>
        <w:t>2</w:t>
      </w:r>
      <w:r w:rsidRPr="00511005">
        <w:rPr>
          <w:rFonts w:ascii="Arial" w:eastAsia="Calibri" w:hAnsi="Arial" w:cs="Arial"/>
          <w:kern w:val="2"/>
          <w:szCs w:val="28"/>
          <w:lang w:val="uk-UA"/>
          <w14:ligatures w14:val="standardContextual"/>
        </w:rPr>
        <w:t>, 114</w:t>
      </w:r>
      <w:r w:rsidRPr="00511005">
        <w:rPr>
          <w:rFonts w:ascii="Arial" w:eastAsia="Calibri" w:hAnsi="Arial" w:cs="Arial"/>
          <w:kern w:val="2"/>
          <w:szCs w:val="28"/>
          <w:vertAlign w:val="superscript"/>
          <w:lang w:val="uk-UA"/>
          <w14:ligatures w14:val="standardContextual"/>
        </w:rPr>
        <w:t>2</w:t>
      </w:r>
      <w:r w:rsidRPr="00511005">
        <w:rPr>
          <w:rFonts w:ascii="Arial" w:eastAsia="Calibri" w:hAnsi="Arial" w:cs="Arial"/>
          <w:kern w:val="2"/>
          <w:szCs w:val="28"/>
          <w:lang w:val="uk-UA"/>
          <w14:ligatures w14:val="standardContextual"/>
        </w:rPr>
        <w:t>. Перша стаття, за загальним визначенням, стосується випадків коли колаборант співпрацює з окупаційною владою на шкоду власній країні. Щодо ст. 111</w:t>
      </w:r>
      <w:r w:rsidRPr="00511005">
        <w:rPr>
          <w:rFonts w:ascii="Arial" w:eastAsia="Calibri" w:hAnsi="Arial" w:cs="Arial"/>
          <w:kern w:val="2"/>
          <w:szCs w:val="28"/>
          <w:vertAlign w:val="superscript"/>
          <w:lang w:val="uk-UA"/>
          <w14:ligatures w14:val="standardContextual"/>
        </w:rPr>
        <w:t>2</w:t>
      </w:r>
      <w:r w:rsidR="007B2628" w:rsidRPr="00511005">
        <w:rPr>
          <w:rFonts w:ascii="Arial" w:eastAsia="Calibri" w:hAnsi="Arial" w:cs="Arial"/>
          <w:kern w:val="2"/>
          <w:szCs w:val="28"/>
          <w:vertAlign w:val="superscript"/>
          <w:lang w:val="uk-UA"/>
          <w14:ligatures w14:val="standardContextual"/>
        </w:rPr>
        <w:t xml:space="preserve"> </w:t>
      </w:r>
      <w:r w:rsidRPr="00511005">
        <w:rPr>
          <w:rFonts w:ascii="Arial" w:eastAsia="Calibri" w:hAnsi="Arial" w:cs="Arial"/>
          <w:kern w:val="2"/>
          <w:szCs w:val="28"/>
          <w:lang w:val="uk-UA"/>
          <w14:ligatures w14:val="standardContextual"/>
        </w:rPr>
        <w:t>, у ній передбачається відповідальність за умисні дії, спрямовані на пособництво державі-агресору, збройним формуванням/окупаційній адміністрації держави-агресора, що використовуються в умовах воєнного стану. Варто також звернути увагу на ст. 114</w:t>
      </w:r>
      <w:r w:rsidRPr="00511005">
        <w:rPr>
          <w:rFonts w:ascii="Arial" w:eastAsia="Calibri" w:hAnsi="Arial" w:cs="Arial"/>
          <w:kern w:val="2"/>
          <w:szCs w:val="28"/>
          <w:vertAlign w:val="superscript"/>
          <w:lang w:val="uk-UA"/>
          <w14:ligatures w14:val="standardContextual"/>
        </w:rPr>
        <w:t>2</w:t>
      </w:r>
      <w:r w:rsidRPr="00511005">
        <w:rPr>
          <w:rFonts w:ascii="Arial" w:eastAsia="Calibri" w:hAnsi="Arial" w:cs="Arial"/>
          <w:kern w:val="2"/>
          <w:szCs w:val="28"/>
          <w:lang w:val="uk-UA"/>
          <w14:ligatures w14:val="standardContextual"/>
        </w:rPr>
        <w:t>, що стосується перешкоджання законній діяльності та поширення інформації про направлення, переміщення зброї, озброєння та бойових припасів в Україну [2].</w:t>
      </w:r>
    </w:p>
    <w:p w14:paraId="27A70285" w14:textId="77777777" w:rsidR="007B2628" w:rsidRPr="00511005" w:rsidRDefault="00200E87"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lastRenderedPageBreak/>
        <w:t>Згідно п. 11 ч. 1 ст. 67 КК України визначається, що вчинення злочину з використанням умов воєнного стану є обставиною, яка обтяжує покарання. Це означає, що особа, що винна у вчиненні такого діяння, з метою полегшення вчинення кримінального правопорушення використовує несприятливий для суспільства час, небезпечні для суспільства умови, що свідчить про підвищений рівень загрози суспільної небезпеки злочинів, які вчиняються в умовах воєнного стану.</w:t>
      </w:r>
    </w:p>
    <w:p w14:paraId="3C57F778" w14:textId="77777777" w:rsidR="007B2628" w:rsidRPr="00511005" w:rsidRDefault="00200E87" w:rsidP="003A292D">
      <w:pPr>
        <w:spacing w:line="264" w:lineRule="auto"/>
        <w:ind w:right="567" w:firstLine="0"/>
        <w:rPr>
          <w:rFonts w:ascii="Arial" w:eastAsia="Calibri" w:hAnsi="Arial" w:cs="Arial"/>
          <w:kern w:val="2"/>
          <w:szCs w:val="28"/>
          <w14:ligatures w14:val="standardContextual"/>
        </w:rPr>
      </w:pPr>
      <w:r w:rsidRPr="00511005">
        <w:rPr>
          <w:rFonts w:ascii="Arial" w:eastAsia="Calibri" w:hAnsi="Arial" w:cs="Arial"/>
          <w:kern w:val="2"/>
          <w:szCs w:val="28"/>
          <w:lang w:val="uk-UA"/>
          <w14:ligatures w14:val="standardContextual"/>
        </w:rPr>
        <w:t xml:space="preserve">Саме тому при визначенні покарання для осіб, визнаних винними у вчиненні кримінальних правопорушень в період воєнного стану, вид і розмір призначеного покарання буде наближеним до максимально можливої межі, передбаченої КК України </w:t>
      </w:r>
      <w:r w:rsidRPr="00511005">
        <w:rPr>
          <w:rFonts w:ascii="Arial" w:eastAsia="Calibri" w:hAnsi="Arial" w:cs="Arial"/>
          <w:kern w:val="2"/>
          <w:szCs w:val="28"/>
          <w14:ligatures w14:val="standardContextual"/>
        </w:rPr>
        <w:t>[4]</w:t>
      </w:r>
      <w:r w:rsidRPr="00511005">
        <w:rPr>
          <w:rFonts w:ascii="Arial" w:eastAsia="Calibri" w:hAnsi="Arial" w:cs="Arial"/>
          <w:kern w:val="2"/>
          <w:szCs w:val="28"/>
          <w:lang w:val="uk-UA"/>
          <w14:ligatures w14:val="standardContextual"/>
        </w:rPr>
        <w:t>.</w:t>
      </w:r>
      <w:r w:rsidRPr="00511005">
        <w:rPr>
          <w:rFonts w:ascii="Arial" w:eastAsia="Calibri" w:hAnsi="Arial" w:cs="Arial"/>
          <w:kern w:val="2"/>
          <w:szCs w:val="28"/>
          <w14:ligatures w14:val="standardContextual"/>
        </w:rPr>
        <w:t xml:space="preserve"> </w:t>
      </w:r>
      <w:r w:rsidRPr="00511005">
        <w:rPr>
          <w:rFonts w:ascii="Arial" w:eastAsia="Calibri" w:hAnsi="Arial" w:cs="Arial"/>
          <w:kern w:val="2"/>
          <w:szCs w:val="28"/>
          <w:lang w:val="uk-UA"/>
          <w14:ligatures w14:val="standardContextual"/>
        </w:rPr>
        <w:t xml:space="preserve">Однак, якщо суд визнає особу винною в вчиненні такого злочину під час воєнного або надзвичайного стану, це враховується при призначенні покарання. </w:t>
      </w:r>
    </w:p>
    <w:p w14:paraId="47424300" w14:textId="4D1867EE" w:rsidR="00200E87" w:rsidRPr="00511005" w:rsidRDefault="00200E87"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Під час дії воєнного режиму судова система може застосовувати спеціальні процедури для забезпечення швидкого та ефективного розгляду справ, що стосуються кримінального правопорушення. Це передбачає можливість швидкого судового розгляду, використання спеціальних засобів доказування та посилене контролювання процесів розслідування. Суд має право призначати покарання з урахуванням обтяжуючих обставин, зокрема використання умов воєнного стану для вчинення злочину. </w:t>
      </w:r>
    </w:p>
    <w:p w14:paraId="541135EF" w14:textId="77777777" w:rsidR="00200E87" w:rsidRPr="00511005" w:rsidRDefault="00200E87" w:rsidP="003A292D">
      <w:pPr>
        <w:spacing w:line="264" w:lineRule="auto"/>
        <w:ind w:right="567" w:firstLine="0"/>
        <w:rPr>
          <w:rFonts w:ascii="Arial" w:eastAsia="Calibri" w:hAnsi="Arial" w:cs="Arial"/>
          <w:kern w:val="2"/>
          <w:szCs w:val="28"/>
          <w14:ligatures w14:val="standardContextual"/>
        </w:rPr>
      </w:pPr>
    </w:p>
    <w:p w14:paraId="334EF0FC" w14:textId="02BC4ABE" w:rsidR="00200E87" w:rsidRPr="00511005" w:rsidRDefault="007B2628" w:rsidP="007B2628">
      <w:pPr>
        <w:spacing w:line="264" w:lineRule="auto"/>
        <w:ind w:right="567"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Список використаних джерел</w:t>
      </w:r>
    </w:p>
    <w:p w14:paraId="767FC13F" w14:textId="77777777" w:rsidR="00200E87" w:rsidRPr="00511005" w:rsidRDefault="00200E87" w:rsidP="003F6A5D">
      <w:pPr>
        <w:numPr>
          <w:ilvl w:val="0"/>
          <w:numId w:val="495"/>
        </w:numPr>
        <w:spacing w:line="264" w:lineRule="auto"/>
        <w:ind w:right="567"/>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Баконіна О. Покарання за вчинення кримінального правопорушення в умовах воєнного стану. 2025</w:t>
      </w:r>
      <w:r w:rsidRPr="00511005">
        <w:rPr>
          <w:rFonts w:ascii="Arial" w:eastAsia="Calibri" w:hAnsi="Arial" w:cs="Arial"/>
          <w:kern w:val="2"/>
          <w:szCs w:val="28"/>
          <w:lang w:val="pl-PL"/>
          <w14:ligatures w14:val="standardContextual"/>
        </w:rPr>
        <w:t>. URL</w:t>
      </w:r>
      <w:r w:rsidRPr="00511005">
        <w:rPr>
          <w:rFonts w:ascii="Arial" w:eastAsia="Calibri" w:hAnsi="Arial" w:cs="Arial"/>
          <w:kern w:val="2"/>
          <w:szCs w:val="28"/>
          <w:lang w:val="uk-UA"/>
          <w14:ligatures w14:val="standardContextual"/>
        </w:rPr>
        <w:t xml:space="preserve">: </w:t>
      </w:r>
      <w:r w:rsidR="005938AD">
        <w:fldChar w:fldCharType="begin"/>
      </w:r>
      <w:r w:rsidR="005938AD" w:rsidRPr="00055389">
        <w:rPr>
          <w:lang w:val="en-US"/>
        </w:rPr>
        <w:instrText xml:space="preserve"> HYPERLINK "https://jurliga.ligazakon.net/ru/news/209796_pokarannya-za-vchinennya-krimnalnogo-pravoporushennya-v-umovakh-vonnogo-stanu-bude-nablizhenim-do-maksimalno-mezh-vs" </w:instrText>
      </w:r>
      <w:r w:rsidR="005938AD">
        <w:fldChar w:fldCharType="separate"/>
      </w:r>
      <w:r w:rsidRPr="00511005">
        <w:rPr>
          <w:rFonts w:ascii="Arial" w:eastAsia="Calibri" w:hAnsi="Arial" w:cs="Arial"/>
          <w:kern w:val="2"/>
          <w:szCs w:val="28"/>
          <w:lang w:val="uk-UA"/>
          <w14:ligatures w14:val="standardContextual"/>
        </w:rPr>
        <w:t>https://jurliga.ligazakon.net/ru/news/209796_pokarannya-za-vchinennya-krimnalnogo-pravoporushennya-v-umovakh-vonnogo-stanu-bude-nablizhenim-do-maksimalno-mezh-vs</w:t>
      </w:r>
      <w:r w:rsidR="005938AD">
        <w:rPr>
          <w:rFonts w:ascii="Arial" w:eastAsia="Calibri" w:hAnsi="Arial" w:cs="Arial"/>
          <w:kern w:val="2"/>
          <w:szCs w:val="28"/>
          <w:lang w:val="uk-UA"/>
          <w14:ligatures w14:val="standardContextual"/>
        </w:rPr>
        <w:fldChar w:fldCharType="end"/>
      </w:r>
    </w:p>
    <w:p w14:paraId="1E257597" w14:textId="77777777" w:rsidR="00200E87" w:rsidRPr="00511005" w:rsidRDefault="00200E87" w:rsidP="003F6A5D">
      <w:pPr>
        <w:numPr>
          <w:ilvl w:val="0"/>
          <w:numId w:val="495"/>
        </w:numPr>
        <w:spacing w:line="264" w:lineRule="auto"/>
        <w:ind w:right="567"/>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Вартилецька І.А., Шармар О.М. Особливості кваліфікації кримінальних правопорушень, вчинених в умовах воєнного стану та особливого періоду. Вісник Асоціації кримінального права України. 2021. № 1 (15). С. 191 – 206.</w:t>
      </w:r>
    </w:p>
    <w:p w14:paraId="1E1CE452" w14:textId="77777777" w:rsidR="00200E87" w:rsidRPr="00511005" w:rsidRDefault="00200E87" w:rsidP="003F6A5D">
      <w:pPr>
        <w:numPr>
          <w:ilvl w:val="0"/>
          <w:numId w:val="495"/>
        </w:numPr>
        <w:spacing w:line="264" w:lineRule="auto"/>
        <w:ind w:right="567"/>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Вісник Асоціації кримінального права України : електрон. наук. вид. Нац. юрид. ун-т ім. Ярослава Мудрого, Громад. орг. «Всеукр. асоц. кримін. права». – Харків, 2024 .</w:t>
      </w:r>
    </w:p>
    <w:p w14:paraId="556FD5AF" w14:textId="77777777" w:rsidR="00200E87" w:rsidRPr="00511005" w:rsidRDefault="00200E87" w:rsidP="003F6A5D">
      <w:pPr>
        <w:numPr>
          <w:ilvl w:val="0"/>
          <w:numId w:val="495"/>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Кримінальний кодекс України від 5 квітня 2001 року. URL: </w:t>
      </w:r>
      <w:r w:rsidR="005938AD">
        <w:fldChar w:fldCharType="begin"/>
      </w:r>
      <w:r w:rsidR="005938AD" w:rsidRPr="00055389">
        <w:rPr>
          <w:lang w:val="en-US"/>
        </w:rPr>
        <w:instrText xml:space="preserve"> HYPERLINK "https://zakon.rada.gov.ua/laws/show/2341-14%23Text" </w:instrText>
      </w:r>
      <w:r w:rsidR="005938AD">
        <w:fldChar w:fldCharType="separate"/>
      </w:r>
      <w:r w:rsidRPr="00511005">
        <w:rPr>
          <w:rFonts w:ascii="Arial" w:eastAsia="Calibri" w:hAnsi="Arial" w:cs="Arial"/>
          <w:kern w:val="2"/>
          <w:szCs w:val="28"/>
          <w:lang w:val="uk-UA"/>
          <w14:ligatures w14:val="standardContextual"/>
        </w:rPr>
        <w:t>https://zakon.rada.gov.ua/laws/show/2341-14#Text</w:t>
      </w:r>
      <w:r w:rsidR="005938AD">
        <w:rPr>
          <w:rFonts w:ascii="Arial" w:eastAsia="Calibri" w:hAnsi="Arial" w:cs="Arial"/>
          <w:kern w:val="2"/>
          <w:szCs w:val="28"/>
          <w:lang w:val="uk-UA"/>
          <w14:ligatures w14:val="standardContextual"/>
        </w:rPr>
        <w:fldChar w:fldCharType="end"/>
      </w:r>
    </w:p>
    <w:p w14:paraId="3E6587BF" w14:textId="77777777" w:rsidR="00200E87" w:rsidRPr="00511005" w:rsidRDefault="00200E87" w:rsidP="003F6A5D">
      <w:pPr>
        <w:numPr>
          <w:ilvl w:val="0"/>
          <w:numId w:val="495"/>
        </w:numPr>
        <w:spacing w:line="264" w:lineRule="auto"/>
        <w:ind w:right="567"/>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Глушко І. Кримінальна відповідальність: зміни до Кримінального Кодексу України за час воєнного стану. 2022. URL: </w:t>
      </w:r>
      <w:r w:rsidR="005938AD">
        <w:fldChar w:fldCharType="begin"/>
      </w:r>
      <w:r w:rsidR="005938AD" w:rsidRPr="00055389">
        <w:rPr>
          <w:lang w:val="en-US"/>
        </w:rPr>
        <w:instrText xml:space="preserve"> HYPERLINK "http</w:instrText>
      </w:r>
      <w:r w:rsidR="005938AD" w:rsidRPr="00055389">
        <w:rPr>
          <w:lang w:val="en-US"/>
        </w:rPr>
        <w:instrText xml:space="preserve">s://golaw.ua/ua/insights/publication/kriminalna-vidpovidalnist-zmini-do-kk-ukrayini-za-chas-vijni/" </w:instrText>
      </w:r>
      <w:r w:rsidR="005938AD">
        <w:fldChar w:fldCharType="separate"/>
      </w:r>
      <w:r w:rsidRPr="00511005">
        <w:rPr>
          <w:rFonts w:ascii="Arial" w:eastAsia="Calibri" w:hAnsi="Arial" w:cs="Arial"/>
          <w:kern w:val="2"/>
          <w:szCs w:val="28"/>
          <w:lang w:val="uk-UA"/>
          <w14:ligatures w14:val="standardContextual"/>
        </w:rPr>
        <w:t>https://golaw.ua/ua/insights/publication/kriminalna-vidpovidalnist-zmini-do-kk-ukrayini-za-chas-vijni/</w:t>
      </w:r>
      <w:r w:rsidR="005938AD">
        <w:rPr>
          <w:rFonts w:ascii="Arial" w:eastAsia="Calibri" w:hAnsi="Arial" w:cs="Arial"/>
          <w:kern w:val="2"/>
          <w:szCs w:val="28"/>
          <w:lang w:val="uk-UA"/>
          <w14:ligatures w14:val="standardContextual"/>
        </w:rPr>
        <w:fldChar w:fldCharType="end"/>
      </w:r>
    </w:p>
    <w:p w14:paraId="581576D0" w14:textId="77777777" w:rsidR="00200E87" w:rsidRPr="00511005" w:rsidRDefault="00200E87" w:rsidP="003A292D">
      <w:pPr>
        <w:spacing w:line="264" w:lineRule="auto"/>
        <w:ind w:right="567" w:firstLine="0"/>
        <w:rPr>
          <w:rFonts w:ascii="Arial" w:eastAsia="Calibri" w:hAnsi="Arial" w:cs="Arial"/>
          <w:kern w:val="2"/>
          <w:szCs w:val="28"/>
          <w:lang w:val="uk-UA"/>
          <w14:ligatures w14:val="standardContextual"/>
        </w:rPr>
      </w:pPr>
    </w:p>
    <w:p w14:paraId="4A7BEDE4" w14:textId="0493848D" w:rsidR="00200E87" w:rsidRPr="00511005" w:rsidRDefault="007B2628"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b/>
          <w:bCs/>
          <w:i/>
          <w:kern w:val="2"/>
          <w:szCs w:val="28"/>
          <w:lang w:val="uk-UA"/>
          <w14:ligatures w14:val="standardContextual"/>
        </w:rPr>
        <w:lastRenderedPageBreak/>
        <w:t xml:space="preserve">Ключові слова: </w:t>
      </w:r>
      <w:r w:rsidR="00200E87" w:rsidRPr="00511005">
        <w:rPr>
          <w:rFonts w:ascii="Arial" w:eastAsia="Calibri" w:hAnsi="Arial" w:cs="Arial"/>
          <w:kern w:val="2"/>
          <w:szCs w:val="28"/>
          <w:lang w:val="uk-UA"/>
          <w14:ligatures w14:val="standardContextual"/>
        </w:rPr>
        <w:t xml:space="preserve">воєнний стан, кримінальне законодавство, кримінальне правопорушення, обтяжує покарання, кримінальна відповідальність, кваліфікація. </w:t>
      </w:r>
    </w:p>
    <w:p w14:paraId="0F6225FD" w14:textId="4775F94C" w:rsidR="00200E87" w:rsidRPr="00511005" w:rsidRDefault="007B2628" w:rsidP="003A292D">
      <w:pPr>
        <w:spacing w:line="264" w:lineRule="auto"/>
        <w:ind w:right="567" w:firstLine="0"/>
        <w:rPr>
          <w:rFonts w:ascii="Arial" w:eastAsia="Calibri" w:hAnsi="Arial" w:cs="Arial"/>
          <w:kern w:val="2"/>
          <w:szCs w:val="28"/>
          <w:lang w:val="uk-UA"/>
          <w14:ligatures w14:val="standardContextual"/>
        </w:rPr>
      </w:pPr>
      <w:r w:rsidRPr="00511005">
        <w:rPr>
          <w:rFonts w:ascii="Arial" w:eastAsia="Calibri" w:hAnsi="Arial" w:cs="Arial"/>
          <w:b/>
          <w:i/>
          <w:kern w:val="2"/>
          <w:szCs w:val="28"/>
          <w:shd w:val="clear" w:color="auto" w:fill="F7F7F7"/>
          <w:lang w:val="uk-UA"/>
          <w14:ligatures w14:val="standardContextual"/>
        </w:rPr>
        <w:t xml:space="preserve">Key words: </w:t>
      </w:r>
      <w:r w:rsidR="00200E87" w:rsidRPr="00511005">
        <w:rPr>
          <w:rFonts w:ascii="Arial" w:eastAsia="Calibri" w:hAnsi="Arial" w:cs="Arial"/>
          <w:kern w:val="2"/>
          <w:szCs w:val="28"/>
          <w:shd w:val="clear" w:color="auto" w:fill="F7F7F7"/>
          <w:lang w:val="uk-UA"/>
          <w14:ligatures w14:val="standardContextual"/>
        </w:rPr>
        <w:t>martial law, criminal legislation, criminal offense, aggravating punishment, criminal liability, qualification.</w:t>
      </w:r>
    </w:p>
    <w:p w14:paraId="43580C70" w14:textId="474464CD" w:rsidR="00200E87" w:rsidRDefault="00EE6668" w:rsidP="003A292D">
      <w:pPr>
        <w:spacing w:line="264" w:lineRule="auto"/>
        <w:ind w:right="567" w:firstLine="0"/>
        <w:rPr>
          <w:rFonts w:ascii="Arial" w:eastAsia="Calibri" w:hAnsi="Arial" w:cs="Arial"/>
          <w:i/>
          <w:kern w:val="2"/>
          <w:szCs w:val="28"/>
          <w:lang w:val="uk-UA"/>
          <w14:ligatures w14:val="standardContextual"/>
        </w:rPr>
      </w:pPr>
      <w:r w:rsidRPr="00511005">
        <w:rPr>
          <w:rFonts w:ascii="Arial" w:eastAsia="Calibri" w:hAnsi="Arial" w:cs="Arial"/>
          <w:bCs/>
          <w:i/>
          <w:kern w:val="2"/>
          <w:szCs w:val="28"/>
          <w:lang w:val="uk-UA"/>
          <w14:ligatures w14:val="standardContextual"/>
        </w:rPr>
        <w:t>Науковий керівник:</w:t>
      </w:r>
      <w:r w:rsidR="00200E87" w:rsidRPr="00511005">
        <w:rPr>
          <w:rFonts w:ascii="Arial" w:eastAsia="Calibri" w:hAnsi="Arial" w:cs="Arial"/>
          <w:i/>
          <w:kern w:val="2"/>
          <w:szCs w:val="28"/>
          <w:lang w:val="uk-UA"/>
          <w14:ligatures w14:val="standardContextual"/>
        </w:rPr>
        <w:t xml:space="preserve"> к.ю.н. професор, Мирошниченко Н.А.</w:t>
      </w:r>
    </w:p>
    <w:p w14:paraId="25DBD634" w14:textId="77777777" w:rsidR="00064CEB" w:rsidRPr="00511005" w:rsidRDefault="00064CEB" w:rsidP="003A292D">
      <w:pPr>
        <w:spacing w:line="264" w:lineRule="auto"/>
        <w:ind w:right="567" w:firstLine="0"/>
        <w:rPr>
          <w:rFonts w:ascii="Arial" w:eastAsia="Calibri" w:hAnsi="Arial" w:cs="Arial"/>
          <w:i/>
          <w:kern w:val="2"/>
          <w:szCs w:val="28"/>
          <w:lang w:val="uk-UA"/>
          <w14:ligatures w14:val="standardContextual"/>
        </w:rPr>
      </w:pPr>
    </w:p>
    <w:p w14:paraId="23E20100" w14:textId="77777777" w:rsidR="00200E87" w:rsidRPr="00511005" w:rsidRDefault="00200E87" w:rsidP="003A292D">
      <w:pPr>
        <w:spacing w:line="264" w:lineRule="auto"/>
        <w:ind w:firstLine="0"/>
        <w:jc w:val="center"/>
        <w:rPr>
          <w:rFonts w:ascii="Arial" w:eastAsia="Calibri" w:hAnsi="Arial" w:cs="Arial"/>
          <w:b/>
          <w:bCs/>
          <w:i/>
          <w:iCs/>
          <w:kern w:val="2"/>
          <w:szCs w:val="28"/>
          <w14:ligatures w14:val="standardContextual"/>
        </w:rPr>
      </w:pPr>
      <w:r w:rsidRPr="00511005">
        <w:rPr>
          <w:rFonts w:ascii="Arial" w:eastAsia="Calibri" w:hAnsi="Arial" w:cs="Arial"/>
          <w:b/>
          <w:bCs/>
          <w:i/>
          <w:iCs/>
          <w:kern w:val="2"/>
          <w:szCs w:val="28"/>
          <w:lang w:val="uk-UA"/>
          <w14:ligatures w14:val="standardContextual"/>
        </w:rPr>
        <w:t>Білошкурський Микола Миколайович</w:t>
      </w:r>
    </w:p>
    <w:p w14:paraId="304D2E73" w14:textId="3B0642FF" w:rsidR="00200E87" w:rsidRPr="00511005" w:rsidRDefault="00536AAB" w:rsidP="003A292D">
      <w:pPr>
        <w:spacing w:line="264" w:lineRule="auto"/>
        <w:ind w:firstLine="0"/>
        <w:jc w:val="center"/>
        <w:rPr>
          <w:rFonts w:ascii="Arial" w:eastAsia="Calibri" w:hAnsi="Arial" w:cs="Arial"/>
          <w:iCs/>
          <w:kern w:val="2"/>
          <w:szCs w:val="28"/>
          <w:lang w:val="uk-UA"/>
          <w14:ligatures w14:val="standardContextual"/>
        </w:rPr>
      </w:pPr>
      <w:r w:rsidRPr="00511005">
        <w:rPr>
          <w:rFonts w:ascii="Arial" w:eastAsia="Calibri" w:hAnsi="Arial" w:cs="Arial"/>
          <w:iCs/>
          <w:kern w:val="2"/>
          <w:szCs w:val="28"/>
          <w:lang w:val="uk-UA"/>
          <w14:ligatures w14:val="standardContextual"/>
        </w:rPr>
        <w:t xml:space="preserve">студент 2-го курсу </w:t>
      </w:r>
      <w:r w:rsidR="00200E87" w:rsidRPr="00511005">
        <w:rPr>
          <w:rFonts w:ascii="Arial" w:eastAsia="Calibri" w:hAnsi="Arial" w:cs="Arial"/>
          <w:iCs/>
          <w:kern w:val="2"/>
          <w:szCs w:val="28"/>
          <w:lang w:val="uk-UA"/>
          <w14:ligatures w14:val="standardContextual"/>
        </w:rPr>
        <w:t xml:space="preserve">факультету цивільної та господарської юстиції </w:t>
      </w:r>
    </w:p>
    <w:p w14:paraId="1BFBB644" w14:textId="78C5CB58" w:rsidR="00200E87" w:rsidRPr="00511005" w:rsidRDefault="007B2628" w:rsidP="003A292D">
      <w:pPr>
        <w:spacing w:line="264" w:lineRule="auto"/>
        <w:ind w:firstLine="0"/>
        <w:jc w:val="center"/>
        <w:rPr>
          <w:rFonts w:ascii="Arial" w:eastAsia="Calibri" w:hAnsi="Arial" w:cs="Arial"/>
          <w:iCs/>
          <w:kern w:val="2"/>
          <w:szCs w:val="28"/>
          <w14:ligatures w14:val="standardContextual"/>
        </w:rPr>
      </w:pPr>
      <w:r w:rsidRPr="00511005">
        <w:rPr>
          <w:rFonts w:ascii="Arial" w:eastAsia="Calibri" w:hAnsi="Arial" w:cs="Arial"/>
          <w:iCs/>
          <w:kern w:val="2"/>
          <w:szCs w:val="28"/>
          <w:lang w:val="uk-UA"/>
          <w14:ligatures w14:val="standardContextual"/>
        </w:rPr>
        <w:t>Національного університету «Одеська юридична академія»</w:t>
      </w:r>
    </w:p>
    <w:p w14:paraId="228C02EE" w14:textId="77777777" w:rsidR="00200E87" w:rsidRPr="00511005" w:rsidRDefault="00200E87" w:rsidP="003A292D">
      <w:pPr>
        <w:spacing w:line="264" w:lineRule="auto"/>
        <w:ind w:firstLine="0"/>
        <w:jc w:val="center"/>
        <w:rPr>
          <w:rFonts w:ascii="Arial" w:eastAsia="Calibri" w:hAnsi="Arial" w:cs="Arial"/>
          <w:kern w:val="2"/>
          <w:szCs w:val="28"/>
          <w14:ligatures w14:val="standardContextual"/>
        </w:rPr>
      </w:pPr>
    </w:p>
    <w:p w14:paraId="70592F16" w14:textId="77777777" w:rsidR="00200E87" w:rsidRPr="00511005" w:rsidRDefault="00200E87" w:rsidP="003A292D">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СПЕЦІАЛЬНА КОНФІСКАЦІЯ У КОНТЕКСТІ ПРОТИДІЇ КОРУПЦІЇ</w:t>
      </w:r>
    </w:p>
    <w:p w14:paraId="28705BE6" w14:textId="77777777" w:rsidR="00200E87" w:rsidRPr="00511005" w:rsidRDefault="00200E87" w:rsidP="003A292D">
      <w:pPr>
        <w:spacing w:line="264" w:lineRule="auto"/>
        <w:ind w:firstLine="0"/>
        <w:jc w:val="center"/>
        <w:rPr>
          <w:rFonts w:ascii="Arial" w:eastAsia="Calibri" w:hAnsi="Arial" w:cs="Arial"/>
          <w:b/>
          <w:bCs/>
          <w:kern w:val="2"/>
          <w:szCs w:val="28"/>
          <w:lang w:val="uk-UA"/>
          <w14:ligatures w14:val="standardContextual"/>
        </w:rPr>
      </w:pPr>
    </w:p>
    <w:p w14:paraId="79825899"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Питання запровадження справедливих і ефективних санкцій за кримінальні правопорушення, зокрема корупційні, давно перебуває у фокусі суспільної уваги. Особливої актуальності ця проблема набуває в умовах євроінтеграційних процесів України, коли протидія корупції стає одним із ключових завдань. Європейська комісія визначила сім рекомендацій для України на шляху до членства в ЄС, серед яких особливе місце посідає посилення антикорупційних заходів [1]. У цьому контексті примусові заходи впливу, що обмежують майнові права, такі як конфіскація, спеціальна конфіскація, штрафи, розглядаються законодавцем як важливий елемент державної політики у протидії корупції. Водночас гармонізація українського законодавства з європейськими стандартами вимагає перегляду та вдосконалення цих заходів, що підтверджується дослідженнями багатьох правників. </w:t>
      </w:r>
    </w:p>
    <w:p w14:paraId="188DE1D1"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Зокрема, ще на початку 2000-х років М. Пановим та Н. Гуторовою було висловлено думку, що «застосування конфіскації майна суперечить як принципу справедливості, так і принципу рівності громадян перед законом», і, як наслідок, цей вид покарання взагалі має бути виключений з переліку видів покарань [2, с. 57]. Ця пропозиція знаходить свій відклик серед науковців і по сьогодні. Інші вчені дотримуються позиція доцільності збереження цього виду покарання, і зазначають потребу в уточненні норм КК України щодо майна, яке може бути конфісковане, його заміни та інших аспектів [3, с. 147–149]. </w:t>
      </w:r>
    </w:p>
    <w:p w14:paraId="161CC8B3"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Окрему увагу в наукових працях приділено спеціальній конфіскації – відносно новому інструменту в українському праві, який розглядається як засіб протидії корупції. І. Однолько, досліджуючи цей механізм, аналізує судову практику та підкреслює його значення як ефективного способу впливу на корупціонерів і злочинців загалом [4]. З цим важко сперечатися, виходячи з наступного. Відповідно до чинних положень КК: 1) спеціальній конфіскації, відповідно до вимог ст.ст. 96-1-96-2 КК України, підлягають певні </w:t>
      </w:r>
      <w:r w:rsidRPr="00511005">
        <w:rPr>
          <w:rFonts w:ascii="Arial" w:eastAsia="Calibri" w:hAnsi="Arial" w:cs="Arial"/>
          <w:kern w:val="2"/>
          <w:szCs w:val="28"/>
          <w:lang w:val="uk-UA"/>
          <w14:ligatures w14:val="standardContextual"/>
        </w:rPr>
        <w:lastRenderedPageBreak/>
        <w:t xml:space="preserve">речі, майно, грошові кошти, безвідносно до належності цих речей обвинуваченому (засудженому), а виходячи виключно з факту «належності» до конкретного правопорушення (доходи, отримані від кримінального правопорушення, предмет, засоби чи знаряддя його вчинення, або використані для схиляння іншої особи до вчинення кримінального правопорушення); 2) спеціальна конфіскація застосовується незалежно від фату винесення обвинувального вироку, головним є встановлення походження цих речей та майна від кримінально протиправної поведінки. Дійсно, враховуючи вищенаведені нормативні приписи, це дозволяє конфіскувати майно, набуте корупціонером, та оформлене на близьких йому осіб або родичів, навіть за умови звільнення його від кримінальної відповідальності або визнання неосудним. Разом з цим залишається низка невизначених на законодавчому рівні питань застосування спеціальної конфіскації. </w:t>
      </w:r>
    </w:p>
    <w:p w14:paraId="694C3039"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І. Горбачова, у свою чергу, звертає увагу на законодавчі та практичні аспекти спеціальної конфіскації. Вона зазначає, що визначення злочинів, які передбачають вилучення майна чи знарядь їх вчинення, залишається недостатньо чітким, що призводить до неоднозначного застосування цього заходу в судах через прогалини в законодавстві [5]. З огляду на значний науковий інтерес до понять конфіскації та спеціальної конфіскації, а також їх актуальність у контексті євроінтеграції та антикорупційної політики нашої держави, варто детальніше розглянути ці інструменти та їх роль у протидії корупційним правопорушенням.</w:t>
      </w:r>
    </w:p>
    <w:p w14:paraId="2AE2F990" w14:textId="40EC7313"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Існує низка засобів протидії корупції, серед яких особливе місце посідають свобода ЗМІ, захист прав людини на висловлення думок та залучення громадян до законотворчості [6, с. 480]. Крім цього адміністративним та кримінальним законодавством відпрацьований примусовий механізм реагування на фактичні корупційні прояви – передбачено обмеження певних прав та свобод винних осіб за вчинення конкретних корупційних правопорушень. Наприклад, в 31.10.2019р. КК України було доповнено ст. 368</w:t>
      </w:r>
      <w:r w:rsidRPr="00511005">
        <w:rPr>
          <w:rFonts w:ascii="Arial" w:eastAsia="Calibri" w:hAnsi="Arial" w:cs="Arial"/>
          <w:kern w:val="2"/>
          <w:szCs w:val="28"/>
          <w:vertAlign w:val="superscript"/>
          <w:lang w:val="uk-UA"/>
          <w14:ligatures w14:val="standardContextual"/>
        </w:rPr>
        <w:t>5</w:t>
      </w:r>
      <w:r w:rsidRPr="00511005">
        <w:rPr>
          <w:rFonts w:ascii="Arial" w:eastAsia="Calibri" w:hAnsi="Arial" w:cs="Arial"/>
          <w:kern w:val="2"/>
          <w:szCs w:val="28"/>
          <w:lang w:val="uk-UA"/>
          <w14:ligatures w14:val="standardContextual"/>
        </w:rPr>
        <w:t>, яка передбачає кримінальну відповідальність за незаконне збагачення, тобто набуття відповідною особою, активів, вартість яких перевищує в 6500 неоподатковуваних мінімумів доходів громадян її законні доходи. За вчинення цього діяння законодавством передбачено застосування спеціальної конфіскації як іншого заходу кримінально-правового впливу. До осіб, які придбали активи на суму меншу, ніж зазначена у ст. 368</w:t>
      </w:r>
      <w:r w:rsidRPr="00511005">
        <w:rPr>
          <w:rFonts w:ascii="Arial" w:eastAsia="Calibri" w:hAnsi="Arial" w:cs="Arial"/>
          <w:kern w:val="2"/>
          <w:szCs w:val="28"/>
          <w:vertAlign w:val="superscript"/>
          <w:lang w:val="uk-UA"/>
          <w14:ligatures w14:val="standardContextual"/>
        </w:rPr>
        <w:t>5</w:t>
      </w:r>
      <w:r w:rsidRPr="00511005">
        <w:rPr>
          <w:rFonts w:ascii="Arial" w:eastAsia="Calibri" w:hAnsi="Arial" w:cs="Arial"/>
          <w:kern w:val="2"/>
          <w:szCs w:val="28"/>
          <w:lang w:val="uk-UA"/>
          <w14:ligatures w14:val="standardContextual"/>
        </w:rPr>
        <w:t xml:space="preserve"> КК України, застосовуються положення Глави 12</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 xml:space="preserve">Цивільно-процесуального кодексу та цивільна (спеціальна) конфіскація – ст. 292 ЦПК України [7]. При цьому вказані положення ЦПК та цивільна конфіскація застосовуються також і щодо осіб, провадження у кримінальних справах щодо яких було закрито за відсутністю доказів, смерті обвинуваченого або закінчення строків досудового розслідування. Як бачимо, арсенал заходів протидії корупції є </w:t>
      </w:r>
      <w:r w:rsidRPr="00511005">
        <w:rPr>
          <w:rFonts w:ascii="Arial" w:eastAsia="Calibri" w:hAnsi="Arial" w:cs="Arial"/>
          <w:kern w:val="2"/>
          <w:szCs w:val="28"/>
          <w:lang w:val="uk-UA"/>
          <w14:ligatures w14:val="standardContextual"/>
        </w:rPr>
        <w:lastRenderedPageBreak/>
        <w:t>широким. І дійсно, ключ до ефективної протидії корупції лежить у вдосконаленні законодавства, усуненні правових прогалин і чіткому визначенні норм, а також у забезпеченні невідворотності покарання [8, с. 18]. Важливим елементом залишається застосування адекватних і справедливих санкцій за корупційні правопорушення.</w:t>
      </w:r>
    </w:p>
    <w:p w14:paraId="608CD0A4"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Серед майнових санкцій, передбачених КК України, найпоширеними заходами реагування у корупційних справах є штраф, конфіскація майна, які мають на меті не лише покарання порушника, а й відшкодування завданих державі збитків. Спеціальна конфіскація, запроваджена Законом України «Про внесення змін до Кримінального та Кримінального процесуального кодексів України стосовно виконання Плану дій щодо лібералізації Європейським Союзом візового режиму для України» від 2013 року № 222-VII [9], спрямована на вилучення активів, отриманих внаслідок злочинних дій, або тих, що використовувалися для вчинення злочину. Цей інструмент не лише усуває наслідки корупції, а й запобігає її подальшим проявам, повертаючи активи на користь суспільства. Фактично, першочерговою функцією спеціальної конфіскації є превентивна, запобігання новим кримінальним правопорушенням шляхом вилучення злочинних активів, тоді як звичайна конфіскація виконує виключно каральну функцію, передаючи майно до бюджету незалежно від його походження. Проте реалізація цих заходів може зачіпати права людини, зокрема право на приватну власність, що гарантується Європейською конвенцією з прав людини. Наприклад, у справі № 366/1872/17 від 14 червня 2018 року Касаційний суд відмовив у спеціальній конфіскації автомобіля, визнавши її надмірною та такою, що суперечить статті 1 Протоколу № 1 Конвенції [10]. </w:t>
      </w:r>
    </w:p>
    <w:p w14:paraId="152D20C9" w14:textId="77777777" w:rsidR="00200E87" w:rsidRPr="00511005" w:rsidRDefault="00200E87" w:rsidP="003A292D">
      <w:pPr>
        <w:spacing w:line="264" w:lineRule="auto"/>
        <w:ind w:firstLine="0"/>
        <w:rPr>
          <w:rFonts w:ascii="Arial" w:eastAsia="Calibri" w:hAnsi="Arial" w:cs="Arial"/>
          <w:kern w:val="2"/>
          <w:szCs w:val="28"/>
          <w:shd w:val="clear" w:color="auto" w:fill="FFFFFF"/>
          <w:lang w:val="uk-UA"/>
          <w14:ligatures w14:val="standardContextual"/>
        </w:rPr>
      </w:pPr>
      <w:r w:rsidRPr="00511005">
        <w:rPr>
          <w:rFonts w:ascii="Arial" w:eastAsia="Calibri" w:hAnsi="Arial" w:cs="Arial"/>
          <w:kern w:val="2"/>
          <w:szCs w:val="28"/>
          <w:lang w:val="uk-UA"/>
          <w14:ligatures w14:val="standardContextual"/>
        </w:rPr>
        <w:t>Таким чином, спеціальна конфіскація є превентивним заходом кримінально-правового впливу, на відміну від конфіскації майна як виду кримінального покарання, яка несе, у першу чергу, каральну функцію. Ці поняття мають різні цілі й не є ідентичними. Водночас тлумачення спеціальної конфіскації залишається неоднозначним через недостатню чіткість законодавства, що підтверджується практикою Верховного Суду та науковими працями. Її ефективність у протидії корупції супроводжується ризиком порушення прав власності, що вимагає вдосконалення норм і практики їх застосування. Це дозволить уникнути різночитань, знизити кількість звернень до Європейського суду з прав людини та підвищити дієвість антикорупційних механізмів. Проблема залишається актуальною і потребує подальшого дослідження</w:t>
      </w:r>
      <w:r w:rsidRPr="00511005">
        <w:rPr>
          <w:rFonts w:ascii="Arial" w:eastAsia="Calibri" w:hAnsi="Arial" w:cs="Arial"/>
          <w:kern w:val="2"/>
          <w:szCs w:val="28"/>
          <w:shd w:val="clear" w:color="auto" w:fill="FFFFFF"/>
          <w:lang w:val="uk-UA"/>
          <w14:ligatures w14:val="standardContextual"/>
        </w:rPr>
        <w:t>.</w:t>
      </w:r>
    </w:p>
    <w:p w14:paraId="7F4F867F" w14:textId="77777777" w:rsidR="00200E87" w:rsidRPr="00511005" w:rsidRDefault="00200E87" w:rsidP="003A292D">
      <w:pPr>
        <w:spacing w:line="264" w:lineRule="auto"/>
        <w:ind w:firstLine="0"/>
        <w:rPr>
          <w:rFonts w:ascii="Arial" w:eastAsia="Calibri" w:hAnsi="Arial" w:cs="Arial"/>
          <w:kern w:val="2"/>
          <w:szCs w:val="28"/>
          <w:shd w:val="clear" w:color="auto" w:fill="FFFFFF"/>
          <w:lang w:val="uk-UA"/>
          <w14:ligatures w14:val="standardContextual"/>
        </w:rPr>
      </w:pPr>
    </w:p>
    <w:p w14:paraId="28E7C148" w14:textId="74E9CC9A" w:rsidR="00200E87" w:rsidRPr="00511005" w:rsidRDefault="007B2628" w:rsidP="007B2628">
      <w:pPr>
        <w:spacing w:line="264" w:lineRule="auto"/>
        <w:ind w:firstLine="0"/>
        <w:jc w:val="center"/>
        <w:rPr>
          <w:rFonts w:ascii="Arial" w:eastAsia="Calibri" w:hAnsi="Arial" w:cs="Arial"/>
          <w:b/>
          <w:bCs/>
          <w:kern w:val="2"/>
          <w:szCs w:val="28"/>
          <w:shd w:val="clear" w:color="auto" w:fill="FFFFFF"/>
          <w:lang w:val="uk-UA"/>
          <w14:ligatures w14:val="standardContextual"/>
        </w:rPr>
      </w:pPr>
      <w:r w:rsidRPr="00511005">
        <w:rPr>
          <w:rFonts w:ascii="Arial" w:eastAsia="Calibri" w:hAnsi="Arial" w:cs="Arial"/>
          <w:b/>
          <w:bCs/>
          <w:kern w:val="2"/>
          <w:szCs w:val="28"/>
          <w:shd w:val="clear" w:color="auto" w:fill="FFFFFF"/>
          <w:lang w:val="uk-UA"/>
          <w14:ligatures w14:val="standardContextual"/>
        </w:rPr>
        <w:t>Список використаних джерел</w:t>
      </w:r>
    </w:p>
    <w:p w14:paraId="5DEEA678" w14:textId="77777777" w:rsidR="00200E87" w:rsidRPr="00511005" w:rsidRDefault="00200E87" w:rsidP="003F6A5D">
      <w:pPr>
        <w:numPr>
          <w:ilvl w:val="0"/>
          <w:numId w:val="496"/>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shd w:val="clear" w:color="auto" w:fill="FFFFFF"/>
          <w:lang w:val="en-US"/>
          <w14:ligatures w14:val="standardContextual"/>
        </w:rPr>
        <w:t>Press</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and</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information</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team</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of</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the</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Delegation</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to</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Ukraine</w:t>
      </w:r>
      <w:r w:rsidRPr="00511005">
        <w:rPr>
          <w:rFonts w:ascii="Arial" w:eastAsia="Calibri" w:hAnsi="Arial" w:cs="Arial"/>
          <w:kern w:val="2"/>
          <w:szCs w:val="28"/>
          <w:shd w:val="clear" w:color="auto" w:fill="FFFFFF"/>
          <w:lang w:val="uk-UA"/>
          <w14:ligatures w14:val="standardContextual"/>
        </w:rPr>
        <w:t xml:space="preserve">. Рекомендації Європейської Комісії щодо статусу України на членство в ЄС. </w:t>
      </w:r>
      <w:r w:rsidRPr="00511005">
        <w:rPr>
          <w:rFonts w:ascii="Arial" w:eastAsia="Calibri" w:hAnsi="Arial" w:cs="Arial"/>
          <w:kern w:val="2"/>
          <w:szCs w:val="28"/>
          <w:shd w:val="clear" w:color="auto" w:fill="FFFFFF"/>
          <w:lang w:val="en-US"/>
          <w14:ligatures w14:val="standardContextual"/>
        </w:rPr>
        <w:t>Delegation</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lastRenderedPageBreak/>
        <w:t>of</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the</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European</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Union</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to</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Calibri" w:hAnsi="Arial" w:cs="Arial"/>
          <w:kern w:val="2"/>
          <w:szCs w:val="28"/>
          <w:shd w:val="clear" w:color="auto" w:fill="FFFFFF"/>
          <w:lang w:val="en-US"/>
          <w14:ligatures w14:val="standardContextual"/>
        </w:rPr>
        <w:t>Ukraine</w:t>
      </w:r>
      <w:r w:rsidRPr="00511005">
        <w:rPr>
          <w:rFonts w:ascii="Arial" w:eastAsia="Calibri" w:hAnsi="Arial" w:cs="Arial"/>
          <w:kern w:val="2"/>
          <w:szCs w:val="28"/>
          <w:shd w:val="clear" w:color="auto" w:fill="FFFFFF"/>
          <w:lang w:val="uk-UA"/>
          <w14:ligatures w14:val="standardContextual"/>
        </w:rPr>
        <w:t xml:space="preserve">. 17.06.2022. </w:t>
      </w:r>
      <w:r w:rsidRPr="00511005">
        <w:rPr>
          <w:rFonts w:ascii="Arial" w:eastAsia="Calibri" w:hAnsi="Arial" w:cs="Arial"/>
          <w:kern w:val="2"/>
          <w:szCs w:val="28"/>
          <w:shd w:val="clear" w:color="auto" w:fill="FFFFFF"/>
          <w:lang w:val="en-US"/>
          <w14:ligatures w14:val="standardContextual"/>
        </w:rPr>
        <w:t>URL</w:t>
      </w:r>
      <w:r w:rsidRPr="00511005">
        <w:rPr>
          <w:rFonts w:ascii="Arial" w:eastAsia="Calibri" w:hAnsi="Arial" w:cs="Arial"/>
          <w:kern w:val="2"/>
          <w:szCs w:val="28"/>
          <w:shd w:val="clear" w:color="auto" w:fill="FFFFFF"/>
          <w:lang w:val="uk-UA"/>
          <w14:ligatures w14:val="standardContextual"/>
        </w:rPr>
        <w:t xml:space="preserve">: </w:t>
      </w:r>
      <w:r w:rsidR="005938AD">
        <w:fldChar w:fldCharType="begin"/>
      </w:r>
      <w:r w:rsidR="005938AD" w:rsidRPr="00055389">
        <w:rPr>
          <w:lang w:val="en-US"/>
        </w:rPr>
        <w:instrText xml:space="preserve"> HYPERLINK "https://www.eeas.europa.eu/node/415005_en?s=232" </w:instrText>
      </w:r>
      <w:r w:rsidR="005938AD">
        <w:fldChar w:fldCharType="separate"/>
      </w:r>
      <w:r w:rsidRPr="00511005">
        <w:rPr>
          <w:rFonts w:ascii="Arial" w:eastAsia="Calibri" w:hAnsi="Arial" w:cs="Arial"/>
          <w:kern w:val="2"/>
          <w:szCs w:val="28"/>
          <w:shd w:val="clear" w:color="auto" w:fill="FFFFFF"/>
          <w:lang w:val="en-US"/>
          <w14:ligatures w14:val="standardContextual"/>
        </w:rPr>
        <w:t>https</w:t>
      </w:r>
      <w:r w:rsidRPr="00511005">
        <w:rPr>
          <w:rFonts w:ascii="Arial" w:eastAsia="Calibri" w:hAnsi="Arial" w:cs="Arial"/>
          <w:kern w:val="2"/>
          <w:szCs w:val="28"/>
          <w:shd w:val="clear" w:color="auto" w:fill="FFFFFF"/>
          <w:lang w:val="uk-UA"/>
          <w14:ligatures w14:val="standardContextual"/>
        </w:rPr>
        <w:t>://</w:t>
      </w:r>
      <w:r w:rsidRPr="00511005">
        <w:rPr>
          <w:rFonts w:ascii="Arial" w:eastAsia="Calibri" w:hAnsi="Arial" w:cs="Arial"/>
          <w:kern w:val="2"/>
          <w:szCs w:val="28"/>
          <w:shd w:val="clear" w:color="auto" w:fill="FFFFFF"/>
          <w:lang w:val="en-US"/>
          <w14:ligatures w14:val="standardContextual"/>
        </w:rPr>
        <w:t>www</w:t>
      </w:r>
      <w:r w:rsidRPr="00511005">
        <w:rPr>
          <w:rFonts w:ascii="Arial" w:eastAsia="Calibri" w:hAnsi="Arial" w:cs="Arial"/>
          <w:kern w:val="2"/>
          <w:szCs w:val="28"/>
          <w:shd w:val="clear" w:color="auto" w:fill="FFFFFF"/>
          <w:lang w:val="uk-UA"/>
          <w14:ligatures w14:val="standardContextual"/>
        </w:rPr>
        <w:t>.</w:t>
      </w:r>
      <w:r w:rsidRPr="00511005">
        <w:rPr>
          <w:rFonts w:ascii="Arial" w:eastAsia="Calibri" w:hAnsi="Arial" w:cs="Arial"/>
          <w:kern w:val="2"/>
          <w:szCs w:val="28"/>
          <w:shd w:val="clear" w:color="auto" w:fill="FFFFFF"/>
          <w:lang w:val="en-US"/>
          <w14:ligatures w14:val="standardContextual"/>
        </w:rPr>
        <w:t>eeas</w:t>
      </w:r>
      <w:r w:rsidRPr="00511005">
        <w:rPr>
          <w:rFonts w:ascii="Arial" w:eastAsia="Calibri" w:hAnsi="Arial" w:cs="Arial"/>
          <w:kern w:val="2"/>
          <w:szCs w:val="28"/>
          <w:shd w:val="clear" w:color="auto" w:fill="FFFFFF"/>
          <w:lang w:val="uk-UA"/>
          <w14:ligatures w14:val="standardContextual"/>
        </w:rPr>
        <w:t>.</w:t>
      </w:r>
      <w:r w:rsidRPr="00511005">
        <w:rPr>
          <w:rFonts w:ascii="Arial" w:eastAsia="Calibri" w:hAnsi="Arial" w:cs="Arial"/>
          <w:kern w:val="2"/>
          <w:szCs w:val="28"/>
          <w:shd w:val="clear" w:color="auto" w:fill="FFFFFF"/>
          <w:lang w:val="en-US"/>
          <w14:ligatures w14:val="standardContextual"/>
        </w:rPr>
        <w:t>europa</w:t>
      </w:r>
      <w:r w:rsidRPr="00511005">
        <w:rPr>
          <w:rFonts w:ascii="Arial" w:eastAsia="Calibri" w:hAnsi="Arial" w:cs="Arial"/>
          <w:kern w:val="2"/>
          <w:szCs w:val="28"/>
          <w:shd w:val="clear" w:color="auto" w:fill="FFFFFF"/>
          <w:lang w:val="uk-UA"/>
          <w14:ligatures w14:val="standardContextual"/>
        </w:rPr>
        <w:t>.</w:t>
      </w:r>
      <w:r w:rsidRPr="00511005">
        <w:rPr>
          <w:rFonts w:ascii="Arial" w:eastAsia="Calibri" w:hAnsi="Arial" w:cs="Arial"/>
          <w:kern w:val="2"/>
          <w:szCs w:val="28"/>
          <w:shd w:val="clear" w:color="auto" w:fill="FFFFFF"/>
          <w:lang w:val="en-US"/>
          <w14:ligatures w14:val="standardContextual"/>
        </w:rPr>
        <w:t>eu</w:t>
      </w:r>
      <w:r w:rsidRPr="00511005">
        <w:rPr>
          <w:rFonts w:ascii="Arial" w:eastAsia="Calibri" w:hAnsi="Arial" w:cs="Arial"/>
          <w:kern w:val="2"/>
          <w:szCs w:val="28"/>
          <w:shd w:val="clear" w:color="auto" w:fill="FFFFFF"/>
          <w:lang w:val="uk-UA"/>
          <w14:ligatures w14:val="standardContextual"/>
        </w:rPr>
        <w:t>/</w:t>
      </w:r>
      <w:r w:rsidRPr="00511005">
        <w:rPr>
          <w:rFonts w:ascii="Arial" w:eastAsia="Calibri" w:hAnsi="Arial" w:cs="Arial"/>
          <w:kern w:val="2"/>
          <w:szCs w:val="28"/>
          <w:shd w:val="clear" w:color="auto" w:fill="FFFFFF"/>
          <w:lang w:val="en-US"/>
          <w14:ligatures w14:val="standardContextual"/>
        </w:rPr>
        <w:t>node</w:t>
      </w:r>
      <w:r w:rsidRPr="00511005">
        <w:rPr>
          <w:rFonts w:ascii="Arial" w:eastAsia="Calibri" w:hAnsi="Arial" w:cs="Arial"/>
          <w:kern w:val="2"/>
          <w:szCs w:val="28"/>
          <w:shd w:val="clear" w:color="auto" w:fill="FFFFFF"/>
          <w:lang w:val="uk-UA"/>
          <w14:ligatures w14:val="standardContextual"/>
        </w:rPr>
        <w:t>/415005_</w:t>
      </w:r>
      <w:r w:rsidRPr="00511005">
        <w:rPr>
          <w:rFonts w:ascii="Arial" w:eastAsia="Calibri" w:hAnsi="Arial" w:cs="Arial"/>
          <w:kern w:val="2"/>
          <w:szCs w:val="28"/>
          <w:shd w:val="clear" w:color="auto" w:fill="FFFFFF"/>
          <w:lang w:val="en-US"/>
          <w14:ligatures w14:val="standardContextual"/>
        </w:rPr>
        <w:t>en</w:t>
      </w:r>
      <w:r w:rsidRPr="00511005">
        <w:rPr>
          <w:rFonts w:ascii="Arial" w:eastAsia="Calibri" w:hAnsi="Arial" w:cs="Arial"/>
          <w:kern w:val="2"/>
          <w:szCs w:val="28"/>
          <w:shd w:val="clear" w:color="auto" w:fill="FFFFFF"/>
          <w:lang w:val="uk-UA"/>
          <w14:ligatures w14:val="standardContextual"/>
        </w:rPr>
        <w:t>?</w:t>
      </w:r>
      <w:r w:rsidRPr="00511005">
        <w:rPr>
          <w:rFonts w:ascii="Arial" w:eastAsia="Calibri" w:hAnsi="Arial" w:cs="Arial"/>
          <w:kern w:val="2"/>
          <w:szCs w:val="28"/>
          <w:shd w:val="clear" w:color="auto" w:fill="FFFFFF"/>
          <w:lang w:val="en-US"/>
          <w14:ligatures w14:val="standardContextual"/>
        </w:rPr>
        <w:t>s</w:t>
      </w:r>
      <w:r w:rsidRPr="00511005">
        <w:rPr>
          <w:rFonts w:ascii="Arial" w:eastAsia="Calibri" w:hAnsi="Arial" w:cs="Arial"/>
          <w:kern w:val="2"/>
          <w:szCs w:val="28"/>
          <w:shd w:val="clear" w:color="auto" w:fill="FFFFFF"/>
          <w:lang w:val="uk-UA"/>
          <w14:ligatures w14:val="standardContextual"/>
        </w:rPr>
        <w:t>=232</w:t>
      </w:r>
      <w:r w:rsidR="005938AD">
        <w:rPr>
          <w:rFonts w:ascii="Arial" w:eastAsia="Calibri" w:hAnsi="Arial" w:cs="Arial"/>
          <w:kern w:val="2"/>
          <w:szCs w:val="28"/>
          <w:shd w:val="clear" w:color="auto" w:fill="FFFFFF"/>
          <w:lang w:val="uk-UA"/>
          <w14:ligatures w14:val="standardContextual"/>
        </w:rPr>
        <w:fldChar w:fldCharType="end"/>
      </w:r>
    </w:p>
    <w:p w14:paraId="27753617" w14:textId="77777777" w:rsidR="00200E87" w:rsidRPr="00511005" w:rsidRDefault="00200E87" w:rsidP="003F6A5D">
      <w:pPr>
        <w:numPr>
          <w:ilvl w:val="0"/>
          <w:numId w:val="496"/>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Панов М.І. Гуторова Н.О. Проблеми оптимізації санкцій за фінансові злочини. Право України. 2000. № 9. С. 57–58.</w:t>
      </w:r>
    </w:p>
    <w:p w14:paraId="56A8EACB" w14:textId="77777777" w:rsidR="00200E87" w:rsidRPr="00511005" w:rsidRDefault="00200E87" w:rsidP="003F6A5D">
      <w:pPr>
        <w:numPr>
          <w:ilvl w:val="0"/>
          <w:numId w:val="496"/>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Корабель М. Г., Шинкарьов Ю. В. Конфіскація майна як вид кримінального покарання. Харків : Право, 2018. 176 с. URL: </w:t>
      </w:r>
      <w:hyperlink r:id="rId1767" w:history="1">
        <w:r w:rsidRPr="00511005">
          <w:rPr>
            <w:rFonts w:ascii="Arial" w:eastAsia="Calibri" w:hAnsi="Arial" w:cs="Arial"/>
            <w:kern w:val="2"/>
            <w:szCs w:val="28"/>
            <w:lang w:val="uk-UA"/>
            <w14:ligatures w14:val="standardContextual"/>
          </w:rPr>
          <w:t>https://surl.li/ditqvw</w:t>
        </w:r>
      </w:hyperlink>
    </w:p>
    <w:p w14:paraId="294450CE" w14:textId="77777777" w:rsidR="00200E87" w:rsidRPr="00511005" w:rsidRDefault="00200E87" w:rsidP="003F6A5D">
      <w:pPr>
        <w:numPr>
          <w:ilvl w:val="0"/>
          <w:numId w:val="496"/>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Однолько І. В. Застосування спеціальної конфіскації під час війни в Україні (деякі законодавчі положення та судова практика). </w:t>
      </w:r>
      <w:r w:rsidRPr="00511005">
        <w:rPr>
          <w:rFonts w:ascii="Arial" w:eastAsia="Calibri" w:hAnsi="Arial" w:cs="Arial"/>
          <w:i/>
          <w:iCs/>
          <w:kern w:val="2"/>
          <w:szCs w:val="28"/>
          <w:lang w:val="uk-UA"/>
          <w14:ligatures w14:val="standardContextual"/>
        </w:rPr>
        <w:t>Академічні візії</w:t>
      </w:r>
      <w:r w:rsidRPr="00511005">
        <w:rPr>
          <w:rFonts w:ascii="Arial" w:eastAsia="Calibri" w:hAnsi="Arial" w:cs="Arial"/>
          <w:kern w:val="2"/>
          <w:szCs w:val="28"/>
          <w:lang w:val="uk-UA"/>
          <w14:ligatures w14:val="standardContextual"/>
        </w:rPr>
        <w:t xml:space="preserve">. 2024. Вип. 30. С. 3–7. DOI: </w:t>
      </w:r>
      <w:hyperlink r:id="rId1768" w:history="1">
        <w:r w:rsidRPr="00511005">
          <w:rPr>
            <w:rFonts w:ascii="Arial" w:eastAsia="Calibri" w:hAnsi="Arial" w:cs="Arial"/>
            <w:kern w:val="2"/>
            <w:szCs w:val="28"/>
            <w:lang w:val="uk-UA"/>
            <w14:ligatures w14:val="standardContextual"/>
          </w:rPr>
          <w:t>https://doi.org/10.5281/zenodo.11298947</w:t>
        </w:r>
      </w:hyperlink>
      <w:r w:rsidRPr="00511005">
        <w:rPr>
          <w:rFonts w:ascii="Arial" w:eastAsia="Calibri" w:hAnsi="Arial" w:cs="Arial"/>
          <w:kern w:val="2"/>
          <w:szCs w:val="28"/>
          <w:lang w:val="uk-UA"/>
          <w14:ligatures w14:val="standardContextual"/>
        </w:rPr>
        <w:t xml:space="preserve"> </w:t>
      </w:r>
    </w:p>
    <w:p w14:paraId="3CDCA742" w14:textId="77777777" w:rsidR="00200E87" w:rsidRPr="00511005" w:rsidRDefault="00200E87" w:rsidP="003F6A5D">
      <w:pPr>
        <w:numPr>
          <w:ilvl w:val="0"/>
          <w:numId w:val="496"/>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Горбачова І. М. Практика застосування спеціальної конфіскації як іншого заходу кримінально-правового характеру. </w:t>
      </w:r>
      <w:r w:rsidRPr="00511005">
        <w:rPr>
          <w:rFonts w:ascii="Arial" w:eastAsia="Calibri" w:hAnsi="Arial" w:cs="Arial"/>
          <w:i/>
          <w:iCs/>
          <w:kern w:val="2"/>
          <w:szCs w:val="28"/>
          <w:lang w:val="uk-UA"/>
          <w14:ligatures w14:val="standardContextual"/>
        </w:rPr>
        <w:t>Правові та інституційні механізми забезпечення розвитку України в умовах європейської інтеграції</w:t>
      </w:r>
      <w:r w:rsidRPr="00511005">
        <w:rPr>
          <w:rFonts w:ascii="Arial" w:eastAsia="Calibri" w:hAnsi="Arial" w:cs="Arial"/>
          <w:kern w:val="2"/>
          <w:szCs w:val="28"/>
          <w:lang w:val="uk-UA"/>
          <w14:ligatures w14:val="standardContextual"/>
        </w:rPr>
        <w:t xml:space="preserve"> : матеріали Міжнародної науково-практичної конференції (м. Одеса, 18 травня 2018 р.) У 2-х т. Т. 2 / відп. ред. Г.О. Ульянова. Одеса : Видавничий дім «Гельветика», 2018. С.</w:t>
      </w:r>
      <w:r w:rsidRPr="00511005">
        <w:rPr>
          <w:rFonts w:ascii="Arial" w:eastAsia="Calibri" w:hAnsi="Arial" w:cs="Arial"/>
          <w:kern w:val="2"/>
          <w:szCs w:val="28"/>
          <w:lang w:val="pl-PL"/>
          <w14:ligatures w14:val="standardContextual"/>
        </w:rPr>
        <w:t> </w:t>
      </w:r>
      <w:r w:rsidRPr="00511005">
        <w:rPr>
          <w:rFonts w:ascii="Arial" w:eastAsia="Calibri" w:hAnsi="Arial" w:cs="Arial"/>
          <w:kern w:val="2"/>
          <w:szCs w:val="28"/>
          <w:lang w:val="uk-UA"/>
          <w14:ligatures w14:val="standardContextual"/>
        </w:rPr>
        <w:t xml:space="preserve">176–180. URL: </w:t>
      </w:r>
      <w:r w:rsidR="005938AD">
        <w:fldChar w:fldCharType="begin"/>
      </w:r>
      <w:r w:rsidR="005938AD" w:rsidRPr="00055389">
        <w:rPr>
          <w:lang w:val="en-US"/>
        </w:rPr>
        <w:instrText xml:space="preserve"> HYPERLINK "https://dspace.onua.edu.ua/items/31288349-0fdf-49da-9cb</w:instrText>
      </w:r>
      <w:r w:rsidR="005938AD" w:rsidRPr="00055389">
        <w:rPr>
          <w:lang w:val="en-US"/>
        </w:rPr>
        <w:instrText xml:space="preserve">0-8bfa23771e87" </w:instrText>
      </w:r>
      <w:r w:rsidR="005938AD">
        <w:fldChar w:fldCharType="separate"/>
      </w:r>
      <w:r w:rsidRPr="00511005">
        <w:rPr>
          <w:rFonts w:ascii="Arial" w:eastAsia="Calibri" w:hAnsi="Arial" w:cs="Arial"/>
          <w:kern w:val="2"/>
          <w:szCs w:val="28"/>
          <w:lang w:val="uk-UA"/>
          <w14:ligatures w14:val="standardContextual"/>
        </w:rPr>
        <w:t>https://dspace.onua.edu.ua/items/31288349-0fdf-49da-9cb0-8bfa23771e87</w:t>
      </w:r>
      <w:r w:rsidR="005938AD">
        <w:rPr>
          <w:rFonts w:ascii="Arial" w:eastAsia="Calibri" w:hAnsi="Arial" w:cs="Arial"/>
          <w:kern w:val="2"/>
          <w:szCs w:val="28"/>
          <w:lang w:val="uk-UA"/>
          <w14:ligatures w14:val="standardContextual"/>
        </w:rPr>
        <w:fldChar w:fldCharType="end"/>
      </w:r>
    </w:p>
    <w:p w14:paraId="78096032" w14:textId="77777777" w:rsidR="00200E87" w:rsidRPr="00511005" w:rsidRDefault="00200E87" w:rsidP="003F6A5D">
      <w:pPr>
        <w:numPr>
          <w:ilvl w:val="0"/>
          <w:numId w:val="496"/>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Kharytonov E., Kharytonova O., Kharytonova T., Kolodin D., Tolmachevska Y. Human rights as the basic value of the concept of private law in modern Europe. </w:t>
      </w:r>
      <w:r w:rsidRPr="00511005">
        <w:rPr>
          <w:rFonts w:ascii="Arial" w:eastAsia="Calibri" w:hAnsi="Arial" w:cs="Arial"/>
          <w:i/>
          <w:iCs/>
          <w:kern w:val="2"/>
          <w:szCs w:val="28"/>
          <w:lang w:val="uk-UA"/>
          <w14:ligatures w14:val="standardContextual"/>
        </w:rPr>
        <w:t>Amazonia Investiga</w:t>
      </w:r>
      <w:r w:rsidRPr="00511005">
        <w:rPr>
          <w:rFonts w:ascii="Arial" w:eastAsia="Calibri" w:hAnsi="Arial" w:cs="Arial"/>
          <w:kern w:val="2"/>
          <w:szCs w:val="28"/>
          <w:lang w:val="uk-UA"/>
          <w14:ligatures w14:val="standardContextual"/>
        </w:rPr>
        <w:t xml:space="preserve">. 2019. Vol. 8. No. 20. P. 480. URL: </w:t>
      </w:r>
      <w:r w:rsidR="005938AD">
        <w:fldChar w:fldCharType="begin"/>
      </w:r>
      <w:r w:rsidR="005938AD" w:rsidRPr="00055389">
        <w:rPr>
          <w:lang w:val="en-US"/>
        </w:rPr>
        <w:instrText xml:space="preserve"> HYPERLINK "https://amazoniainvestiga.info/index.php/amazonia/article/view/177" </w:instrText>
      </w:r>
      <w:r w:rsidR="005938AD">
        <w:fldChar w:fldCharType="separate"/>
      </w:r>
      <w:r w:rsidRPr="00511005">
        <w:rPr>
          <w:rFonts w:ascii="Arial" w:eastAsia="Calibri" w:hAnsi="Arial" w:cs="Arial"/>
          <w:kern w:val="2"/>
          <w:szCs w:val="28"/>
          <w:lang w:val="uk-UA"/>
          <w14:ligatures w14:val="standardContextual"/>
        </w:rPr>
        <w:t>https://amazoniainvestiga.info/index.php/amazonia/article/view/177</w:t>
      </w:r>
      <w:r w:rsidR="005938AD">
        <w:rPr>
          <w:rFonts w:ascii="Arial" w:eastAsia="Calibri" w:hAnsi="Arial" w:cs="Arial"/>
          <w:kern w:val="2"/>
          <w:szCs w:val="28"/>
          <w:lang w:val="uk-UA"/>
          <w14:ligatures w14:val="standardContextual"/>
        </w:rPr>
        <w:fldChar w:fldCharType="end"/>
      </w:r>
      <w:r w:rsidRPr="00511005">
        <w:rPr>
          <w:rFonts w:ascii="Arial" w:eastAsia="Calibri" w:hAnsi="Arial" w:cs="Arial"/>
          <w:kern w:val="2"/>
          <w:szCs w:val="28"/>
          <w:lang w:val="uk-UA"/>
          <w14:ligatures w14:val="standardContextual"/>
        </w:rPr>
        <w:t xml:space="preserve"> </w:t>
      </w:r>
    </w:p>
    <w:p w14:paraId="1ABC5A79" w14:textId="1A802F16" w:rsidR="00200E87" w:rsidRPr="00511005" w:rsidRDefault="00200E87" w:rsidP="003F6A5D">
      <w:pPr>
        <w:numPr>
          <w:ilvl w:val="0"/>
          <w:numId w:val="496"/>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Цивільний процесуальний кодекс України від </w:t>
      </w:r>
      <w:r w:rsidRPr="00511005">
        <w:rPr>
          <w:rFonts w:ascii="Arial" w:eastAsia="Calibri" w:hAnsi="Arial" w:cs="Arial"/>
          <w:kern w:val="2"/>
          <w:szCs w:val="28"/>
          <w14:ligatures w14:val="standardContextual"/>
        </w:rPr>
        <w:t xml:space="preserve">18 березня 2004 року </w:t>
      </w:r>
      <w:r w:rsidRPr="00511005">
        <w:rPr>
          <w:rFonts w:ascii="Arial" w:eastAsia="Calibri" w:hAnsi="Arial" w:cs="Arial"/>
          <w:kern w:val="2"/>
          <w:szCs w:val="28"/>
          <w14:ligatures w14:val="standardContextual"/>
        </w:rPr>
        <w:br/>
        <w:t>№ 1618-</w:t>
      </w:r>
      <w:r w:rsidRPr="00511005">
        <w:rPr>
          <w:rFonts w:ascii="Arial" w:eastAsia="Calibri" w:hAnsi="Arial" w:cs="Arial"/>
          <w:kern w:val="2"/>
          <w:szCs w:val="28"/>
          <w:lang w:val="en-US"/>
          <w14:ligatures w14:val="standardContextual"/>
        </w:rPr>
        <w:t>IV</w:t>
      </w:r>
      <w:r w:rsidRPr="00511005">
        <w:rPr>
          <w:rFonts w:ascii="Arial" w:eastAsia="Calibri" w:hAnsi="Arial" w:cs="Arial"/>
          <w:kern w:val="2"/>
          <w:szCs w:val="28"/>
          <w:lang w:val="uk-UA"/>
          <w14:ligatures w14:val="standardContextual"/>
        </w:rPr>
        <w:t>. URL:</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https://zakon.rada.gov.ua/laws/show/1618-15#Text</w:t>
      </w:r>
    </w:p>
    <w:p w14:paraId="46E7949F" w14:textId="77777777" w:rsidR="00200E87" w:rsidRPr="00511005" w:rsidRDefault="00200E87" w:rsidP="003F6A5D">
      <w:pPr>
        <w:numPr>
          <w:ilvl w:val="0"/>
          <w:numId w:val="496"/>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Давидова І. В., Білошкурський М. М. Договір дарування як спосіб уникнути покарання за корупційні злочини. </w:t>
      </w:r>
      <w:r w:rsidRPr="00511005">
        <w:rPr>
          <w:rFonts w:ascii="Arial" w:eastAsia="Calibri" w:hAnsi="Arial" w:cs="Arial"/>
          <w:i/>
          <w:iCs/>
          <w:kern w:val="2"/>
          <w:szCs w:val="28"/>
          <w:lang w:val="uk-UA"/>
          <w14:ligatures w14:val="standardContextual"/>
        </w:rPr>
        <w:t>Часопис цивілістики</w:t>
      </w:r>
      <w:r w:rsidRPr="00511005">
        <w:rPr>
          <w:rFonts w:ascii="Arial" w:eastAsia="Calibri" w:hAnsi="Arial" w:cs="Arial"/>
          <w:kern w:val="2"/>
          <w:szCs w:val="28"/>
          <w:lang w:val="uk-UA"/>
          <w14:ligatures w14:val="standardContextual"/>
        </w:rPr>
        <w:t xml:space="preserve">. 2023. Вип. 50. С. 18–23. DOI: </w:t>
      </w:r>
      <w:hyperlink r:id="rId1769" w:history="1">
        <w:r w:rsidRPr="00511005">
          <w:rPr>
            <w:rFonts w:ascii="Arial" w:eastAsia="Calibri" w:hAnsi="Arial" w:cs="Arial"/>
            <w:kern w:val="2"/>
            <w:szCs w:val="28"/>
            <w:lang w:val="uk-UA"/>
            <w14:ligatures w14:val="standardContextual"/>
          </w:rPr>
          <w:t>https://doi.org/10.32782/chc.v050.2023.3</w:t>
        </w:r>
      </w:hyperlink>
    </w:p>
    <w:p w14:paraId="3D3D683C" w14:textId="77777777" w:rsidR="00200E87" w:rsidRPr="00511005" w:rsidRDefault="00200E87" w:rsidP="003F6A5D">
      <w:pPr>
        <w:numPr>
          <w:ilvl w:val="0"/>
          <w:numId w:val="496"/>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Про внесення змін до Кримінального та Кримінального процесуального кодексів України стосовно виконання Плану дій щодо лібералізації Європейським Союзом візового режиму для України : Закон України від 18.04.2013 р. № 222-VII. URL: </w:t>
      </w:r>
      <w:hyperlink r:id="rId1770" w:anchor="Text" w:history="1">
        <w:r w:rsidRPr="00511005">
          <w:rPr>
            <w:rFonts w:ascii="Arial" w:eastAsia="Calibri" w:hAnsi="Arial" w:cs="Arial"/>
            <w:kern w:val="2"/>
            <w:szCs w:val="28"/>
            <w:lang w:val="uk-UA"/>
            <w14:ligatures w14:val="standardContextual"/>
          </w:rPr>
          <w:t>https://zakon.rada.gov.ua/laws/show/222-18#Text</w:t>
        </w:r>
      </w:hyperlink>
    </w:p>
    <w:p w14:paraId="77D4A2C8" w14:textId="77777777" w:rsidR="00200E87" w:rsidRPr="00511005" w:rsidRDefault="00200E87" w:rsidP="003F6A5D">
      <w:pPr>
        <w:numPr>
          <w:ilvl w:val="0"/>
          <w:numId w:val="496"/>
        </w:numPr>
        <w:spacing w:line="264" w:lineRule="auto"/>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Постанова Верховного суду від 14.06.2018 р. у справі № 366/1872/17. URL: </w:t>
      </w:r>
      <w:hyperlink r:id="rId1771" w:history="1">
        <w:r w:rsidRPr="00511005">
          <w:rPr>
            <w:rFonts w:ascii="Arial" w:eastAsia="Calibri" w:hAnsi="Arial" w:cs="Arial"/>
            <w:kern w:val="2"/>
            <w:szCs w:val="28"/>
            <w:lang w:val="uk-UA"/>
            <w14:ligatures w14:val="standardContextual"/>
          </w:rPr>
          <w:t>https://reyestr.court.gov.ua/Review/74842644</w:t>
        </w:r>
      </w:hyperlink>
      <w:r w:rsidRPr="00511005">
        <w:rPr>
          <w:rFonts w:ascii="Arial" w:eastAsia="Calibri" w:hAnsi="Arial" w:cs="Arial"/>
          <w:kern w:val="2"/>
          <w:szCs w:val="28"/>
          <w:lang w:val="uk-UA"/>
          <w14:ligatures w14:val="standardContextual"/>
        </w:rPr>
        <w:t xml:space="preserve"> </w:t>
      </w:r>
    </w:p>
    <w:p w14:paraId="3375BC75" w14:textId="77777777" w:rsidR="00200E87" w:rsidRPr="00511005" w:rsidRDefault="00200E87" w:rsidP="003A292D">
      <w:pPr>
        <w:spacing w:line="264" w:lineRule="auto"/>
        <w:ind w:firstLine="0"/>
        <w:rPr>
          <w:rFonts w:ascii="Arial" w:eastAsia="Calibri" w:hAnsi="Arial" w:cs="Arial"/>
          <w:kern w:val="2"/>
          <w:szCs w:val="28"/>
          <w:lang w:val="en-US"/>
          <w14:ligatures w14:val="standardContextual"/>
        </w:rPr>
      </w:pPr>
    </w:p>
    <w:p w14:paraId="46CB9A43" w14:textId="79A31C03" w:rsidR="00200E87" w:rsidRPr="00511005" w:rsidRDefault="007B2628" w:rsidP="003A292D">
      <w:pPr>
        <w:spacing w:line="264" w:lineRule="auto"/>
        <w:ind w:firstLine="0"/>
        <w:rPr>
          <w:rFonts w:ascii="Arial" w:eastAsia="Calibri" w:hAnsi="Arial" w:cs="Arial"/>
          <w:kern w:val="2"/>
          <w:szCs w:val="28"/>
          <w:lang w:val="en-US"/>
          <w14:ligatures w14:val="standardContextual"/>
        </w:rPr>
      </w:pPr>
      <w:r w:rsidRPr="00511005">
        <w:rPr>
          <w:rFonts w:ascii="Arial" w:eastAsia="Calibri" w:hAnsi="Arial" w:cs="Arial"/>
          <w:b/>
          <w:i/>
          <w:kern w:val="2"/>
          <w:szCs w:val="28"/>
          <w:lang w:val="uk-UA"/>
          <w14:ligatures w14:val="standardContextual"/>
        </w:rPr>
        <w:t xml:space="preserve">Ключові слова: </w:t>
      </w:r>
      <w:r w:rsidR="00200E87" w:rsidRPr="00511005">
        <w:rPr>
          <w:rFonts w:ascii="Arial" w:eastAsia="Calibri" w:hAnsi="Arial" w:cs="Arial"/>
          <w:kern w:val="2"/>
          <w:szCs w:val="28"/>
          <w:lang w:val="uk-UA"/>
          <w14:ligatures w14:val="standardContextual"/>
        </w:rPr>
        <w:t>конфіскація, корупційне правопорушення, корупція, покарання, спеціальна конфіскація, кримінальна відповідальність.</w:t>
      </w:r>
    </w:p>
    <w:p w14:paraId="0BE9DA4E" w14:textId="09BFDCD0" w:rsidR="00200E87" w:rsidRPr="00511005" w:rsidRDefault="007B2628" w:rsidP="003A292D">
      <w:pPr>
        <w:spacing w:line="264" w:lineRule="auto"/>
        <w:ind w:firstLine="0"/>
        <w:rPr>
          <w:rFonts w:ascii="Arial" w:eastAsia="Calibri" w:hAnsi="Arial" w:cs="Arial"/>
          <w:bCs/>
          <w:kern w:val="2"/>
          <w:szCs w:val="28"/>
          <w:lang w:val="en-US"/>
          <w14:ligatures w14:val="standardContextual"/>
        </w:rPr>
      </w:pPr>
      <w:r w:rsidRPr="00511005">
        <w:rPr>
          <w:rFonts w:ascii="Arial" w:eastAsia="Calibri" w:hAnsi="Arial" w:cs="Arial"/>
          <w:b/>
          <w:i/>
          <w:kern w:val="2"/>
          <w:szCs w:val="28"/>
          <w:lang w:val="en-US"/>
          <w14:ligatures w14:val="standardContextual"/>
        </w:rPr>
        <w:t xml:space="preserve">Key words: </w:t>
      </w:r>
      <w:r w:rsidR="00200E87" w:rsidRPr="00511005">
        <w:rPr>
          <w:rFonts w:ascii="Arial" w:eastAsia="Calibri" w:hAnsi="Arial" w:cs="Arial"/>
          <w:bCs/>
          <w:kern w:val="2"/>
          <w:szCs w:val="28"/>
          <w:lang w:val="en-US"/>
          <w14:ligatures w14:val="standardContextual"/>
        </w:rPr>
        <w:t>confiscation, corruption offense, corruption, punishment, special confiscation</w:t>
      </w:r>
      <w:r w:rsidR="00200E87" w:rsidRPr="00511005">
        <w:rPr>
          <w:rFonts w:ascii="Arial" w:eastAsia="Calibri" w:hAnsi="Arial" w:cs="Arial"/>
          <w:bCs/>
          <w:kern w:val="2"/>
          <w:szCs w:val="28"/>
          <w:lang w:val="uk-UA"/>
          <w14:ligatures w14:val="standardContextual"/>
        </w:rPr>
        <w:t>, criminal liability</w:t>
      </w:r>
      <w:r w:rsidR="00200E87" w:rsidRPr="00511005">
        <w:rPr>
          <w:rFonts w:ascii="Arial" w:eastAsia="Calibri" w:hAnsi="Arial" w:cs="Arial"/>
          <w:bCs/>
          <w:kern w:val="2"/>
          <w:szCs w:val="28"/>
          <w:lang w:val="en-US"/>
          <w14:ligatures w14:val="standardContextual"/>
        </w:rPr>
        <w:t>.</w:t>
      </w:r>
    </w:p>
    <w:p w14:paraId="25688D46" w14:textId="77777777" w:rsidR="00200E87" w:rsidRPr="00511005" w:rsidRDefault="00200E87" w:rsidP="003A292D">
      <w:pPr>
        <w:spacing w:line="264" w:lineRule="auto"/>
        <w:ind w:firstLine="0"/>
        <w:rPr>
          <w:rFonts w:ascii="Arial" w:eastAsia="Calibri" w:hAnsi="Arial" w:cs="Arial"/>
          <w:bCs/>
          <w:i/>
          <w:iCs/>
          <w:kern w:val="2"/>
          <w:szCs w:val="28"/>
          <w:lang w:val="uk-UA"/>
          <w14:ligatures w14:val="standardContextual"/>
        </w:rPr>
      </w:pPr>
    </w:p>
    <w:p w14:paraId="37006CFA" w14:textId="66CD5CF6" w:rsidR="00200E87" w:rsidRPr="00511005" w:rsidRDefault="007B2628" w:rsidP="003A292D">
      <w:pPr>
        <w:spacing w:line="264" w:lineRule="auto"/>
        <w:ind w:firstLine="0"/>
        <w:rPr>
          <w:rFonts w:ascii="Arial" w:eastAsia="Calibri" w:hAnsi="Arial" w:cs="Arial"/>
          <w:bCs/>
          <w:i/>
          <w:iCs/>
          <w:kern w:val="2"/>
          <w:szCs w:val="28"/>
          <w14:ligatures w14:val="standardContextual"/>
        </w:rPr>
      </w:pPr>
      <w:r w:rsidRPr="00511005">
        <w:rPr>
          <w:rFonts w:ascii="Arial" w:eastAsia="Calibri" w:hAnsi="Arial" w:cs="Arial"/>
          <w:b/>
          <w:bCs/>
          <w:i/>
          <w:iCs/>
          <w:kern w:val="2"/>
          <w:szCs w:val="28"/>
          <w:lang w:val="uk-UA"/>
          <w14:ligatures w14:val="standardContextual"/>
        </w:rPr>
        <w:t xml:space="preserve">Науковий керівник: </w:t>
      </w:r>
      <w:r w:rsidR="00200E87" w:rsidRPr="00511005">
        <w:rPr>
          <w:rFonts w:ascii="Arial" w:eastAsia="Calibri" w:hAnsi="Arial" w:cs="Arial"/>
          <w:bCs/>
          <w:i/>
          <w:iCs/>
          <w:kern w:val="2"/>
          <w:szCs w:val="28"/>
          <w:lang w:val="uk-UA"/>
          <w14:ligatures w14:val="standardContextual"/>
        </w:rPr>
        <w:t>к. ю. н., доцент Горбачова І. М.</w:t>
      </w:r>
    </w:p>
    <w:p w14:paraId="266195A7" w14:textId="77777777" w:rsidR="00200E87" w:rsidRPr="00511005" w:rsidRDefault="00200E87" w:rsidP="003A292D">
      <w:pPr>
        <w:spacing w:line="264" w:lineRule="auto"/>
        <w:ind w:firstLine="0"/>
        <w:jc w:val="center"/>
        <w:rPr>
          <w:rFonts w:ascii="Arial" w:eastAsia="Calibri" w:hAnsi="Arial" w:cs="Arial"/>
          <w:b/>
          <w:szCs w:val="28"/>
          <w:lang w:val="uk-UA"/>
        </w:rPr>
      </w:pPr>
    </w:p>
    <w:p w14:paraId="08B6F18D" w14:textId="7432342C" w:rsidR="004A03EB" w:rsidRDefault="004A03EB">
      <w:pPr>
        <w:spacing w:after="200" w:line="276" w:lineRule="auto"/>
        <w:ind w:firstLine="0"/>
        <w:jc w:val="left"/>
        <w:rPr>
          <w:rFonts w:ascii="Arial" w:eastAsia="Calibri" w:hAnsi="Arial" w:cs="Arial"/>
          <w:b/>
          <w:szCs w:val="28"/>
          <w:lang w:val="uk-UA"/>
        </w:rPr>
      </w:pPr>
      <w:r>
        <w:rPr>
          <w:rFonts w:ascii="Arial" w:eastAsia="Calibri" w:hAnsi="Arial" w:cs="Arial"/>
          <w:b/>
          <w:szCs w:val="28"/>
          <w:lang w:val="uk-UA"/>
        </w:rPr>
        <w:br w:type="page"/>
      </w:r>
    </w:p>
    <w:p w14:paraId="2F31ED1E" w14:textId="77777777" w:rsidR="00200E87" w:rsidRPr="00511005" w:rsidRDefault="00200E8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lastRenderedPageBreak/>
        <w:t>Бойко Єлизавета Віталіївна</w:t>
      </w:r>
    </w:p>
    <w:p w14:paraId="29626A52" w14:textId="607089FF" w:rsidR="00200E87" w:rsidRPr="00511005" w:rsidRDefault="00536AAB" w:rsidP="003A292D">
      <w:pPr>
        <w:spacing w:line="264" w:lineRule="auto"/>
        <w:ind w:firstLine="0"/>
        <w:jc w:val="center"/>
        <w:rPr>
          <w:rFonts w:ascii="Arial" w:eastAsia="Calibri" w:hAnsi="Arial" w:cs="Arial"/>
          <w:bCs/>
          <w:szCs w:val="28"/>
          <w:lang w:val="uk-UA"/>
        </w:rPr>
      </w:pPr>
      <w:r w:rsidRPr="00511005">
        <w:rPr>
          <w:rFonts w:ascii="Arial" w:eastAsia="Calibri" w:hAnsi="Arial" w:cs="Arial"/>
          <w:bCs/>
          <w:szCs w:val="28"/>
          <w:lang w:val="uk-UA"/>
        </w:rPr>
        <w:t xml:space="preserve">студентка 2-го курсу </w:t>
      </w:r>
      <w:r w:rsidR="00200E87" w:rsidRPr="00511005">
        <w:rPr>
          <w:rFonts w:ascii="Arial" w:eastAsia="Calibri" w:hAnsi="Arial" w:cs="Arial"/>
          <w:bCs/>
          <w:szCs w:val="28"/>
          <w:lang w:val="uk-UA"/>
        </w:rPr>
        <w:t>факультету адвокатури та адвокатської діяльності</w:t>
      </w:r>
    </w:p>
    <w:p w14:paraId="3F959E23" w14:textId="25F65BE7" w:rsidR="00200E87" w:rsidRPr="00511005" w:rsidRDefault="007B2628" w:rsidP="003A292D">
      <w:pPr>
        <w:spacing w:line="264" w:lineRule="auto"/>
        <w:ind w:firstLine="0"/>
        <w:jc w:val="center"/>
        <w:rPr>
          <w:rFonts w:ascii="Arial" w:eastAsia="Calibri" w:hAnsi="Arial" w:cs="Arial"/>
          <w:bCs/>
          <w:szCs w:val="28"/>
          <w:lang w:val="uk-UA"/>
        </w:rPr>
      </w:pPr>
      <w:r w:rsidRPr="00511005">
        <w:rPr>
          <w:rFonts w:ascii="Arial" w:eastAsia="Calibri" w:hAnsi="Arial" w:cs="Arial"/>
          <w:bCs/>
          <w:szCs w:val="28"/>
          <w:lang w:val="uk-UA"/>
        </w:rPr>
        <w:t>Національного університету «Одеська юридична академія»</w:t>
      </w:r>
    </w:p>
    <w:p w14:paraId="69E07017" w14:textId="77777777" w:rsidR="00200E87" w:rsidRPr="00511005" w:rsidRDefault="00200E87" w:rsidP="003A292D">
      <w:pPr>
        <w:spacing w:line="264" w:lineRule="auto"/>
        <w:ind w:firstLine="0"/>
        <w:jc w:val="center"/>
        <w:rPr>
          <w:rFonts w:ascii="Arial" w:eastAsia="Calibri" w:hAnsi="Arial" w:cs="Arial"/>
          <w:bCs/>
          <w:szCs w:val="28"/>
          <w:lang w:val="uk-UA"/>
        </w:rPr>
      </w:pPr>
    </w:p>
    <w:p w14:paraId="62391837" w14:textId="77777777" w:rsidR="00200E87" w:rsidRPr="00511005" w:rsidRDefault="00200E8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НОВЕЛИ КРИМІНАЛЬНО</w:t>
      </w:r>
      <w:r w:rsidRPr="00511005">
        <w:rPr>
          <w:rFonts w:ascii="Arial" w:eastAsia="Calibri" w:hAnsi="Arial" w:cs="Arial"/>
          <w:b/>
          <w:szCs w:val="28"/>
        </w:rPr>
        <w:t xml:space="preserve">-ПРАВОВОГО РЕГУЛЮВАННЯ ВІДПОВІДАЛЬНОСТІ </w:t>
      </w:r>
      <w:r w:rsidRPr="00511005">
        <w:rPr>
          <w:rFonts w:ascii="Arial" w:eastAsia="Calibri" w:hAnsi="Arial" w:cs="Arial"/>
          <w:b/>
          <w:szCs w:val="28"/>
          <w:lang w:val="uk-UA"/>
        </w:rPr>
        <w:t>ВІЙСЬКОВОСЛУЖБОВЦІВ</w:t>
      </w:r>
    </w:p>
    <w:p w14:paraId="4362EB78" w14:textId="77777777" w:rsidR="00200E87" w:rsidRPr="00511005" w:rsidRDefault="00200E87" w:rsidP="003A292D">
      <w:pPr>
        <w:spacing w:line="264" w:lineRule="auto"/>
        <w:ind w:firstLine="0"/>
        <w:jc w:val="center"/>
        <w:rPr>
          <w:rFonts w:ascii="Arial" w:eastAsia="Calibri" w:hAnsi="Arial" w:cs="Arial"/>
          <w:b/>
          <w:szCs w:val="28"/>
          <w:lang w:val="uk-UA"/>
        </w:rPr>
      </w:pPr>
    </w:p>
    <w:p w14:paraId="44F02D3D"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Кримінально-правове регулювання відповідальності військовослужбовців у правовій системі України ґрунтується на визначених у кримінальному праві засадах, що передбачають спеціальні норми, сконцентровані в Розділі XIX Особливої частини Кримінального кодексу України. Військові кримінальні правопорушення визначаються через поєднання об'єктивних ознак діяння, які посягають на встановлений порядок виконання військових обов’язків, та суб'єктного критерію, що полягає в спеціальному правовому статусі особи – військовослужбовця або особи, яка прирівнюється до нього. Такий підхід є вираженням принципу диференціації кримінальної відповідальності за ознакою суб’єкта, що дає змогу врахувати специфіку правовідносин, що виникають у межах військової служби [1, с. 84].</w:t>
      </w:r>
    </w:p>
    <w:p w14:paraId="4D046469"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зв’язку з тривалим воєнним конфліктом на території України та необхідністю забезпечення належного рівня військової дисципліни, у 2023–2024 роках було внесено ряд змін до кримінального законодавства України, що стосуються порядку, видів покарання та інших мір впливу, які можуть застосовуватись до військовослужбовців. Такі як, пробаційний нагляд та питання умовно-дострокового звільнення від відбування покарання для проходження військової служби. Законом України № 3342-IX від 23 серпня 2023 року Кримінальний кодекс України було доповнено новою статтею 59¹, яка передбачає новий вид покарання — пробаційний нагляд. Він полягає в обмеженні прав і свобод засудженого без його ізоляції від суспільства із застосуванням заходів нагляду та соціально-виховного впливу. Законом України № 3687-IX від 8 травня 2024 року Кримінальний кодекс було доповнено статтею 81¹, яка дозволяє умовно-дострокове звільнення від відбування покарання для осіб, які виявили бажання проходити військову службу. Дана норма не поширюється на осіб, засуджених за тяжкі та особливо тяжкі кримінальні правопорушення.</w:t>
      </w:r>
    </w:p>
    <w:p w14:paraId="3C8CF586"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Сутність кримінальної відповідальності за військові кримінальні правопорушення розкривається через аналіз об’єкта, об’єктивної сторони, суб’єкта та суб’єктивної сторони складу кримінального правопорушення. Об’єктом виступають суспільні відносини, пов’язані з виконанням обов’язків військової служби, включаючи підпорядкованість, дисципліну, забезпечення бойової готовності, збереження державної таємниці, взаємодію підрозділів. Об’єктивна сторона охоплює як дії, так і бездіяльність, які мають прямий вплив на військову службу ( дезертирство, самовільне залишення частини, </w:t>
      </w:r>
      <w:r w:rsidRPr="00511005">
        <w:rPr>
          <w:rFonts w:ascii="Arial" w:eastAsia="Calibri" w:hAnsi="Arial" w:cs="Arial"/>
          <w:szCs w:val="28"/>
          <w:lang w:val="uk-UA"/>
        </w:rPr>
        <w:lastRenderedPageBreak/>
        <w:t>невиконання наказу). Ці діяння кваліфікуються з урахуванням специфіки службового контексту, що передбачає інший рівень підпорядкування, режиму, субординації порівняно з цивільним життям [2, с. 42].</w:t>
      </w:r>
    </w:p>
    <w:p w14:paraId="06B3E64E"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Суб’єктом таких кримінальних правопорушень є військовослужбовець, тобто особа, яка перебуває на військовій службі, що підтверджується відповідним наказом або контрактом. У ряді випадків до цієї категорії прирівнюються резервісти, військовозобов’язані під час зборів, особи, що проходять службу у воєнізованих формуваннях. Суб’єктивна сторона охоплює як прямий, так і непрямий умисел, а в окремих випадках – необережність, що відображає широту охоплення вольових відхилень, які здатні підірвати ефективність функціонування збройних сил.</w:t>
      </w:r>
    </w:p>
    <w:p w14:paraId="3E9702E5"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Формалізація поняття військового кримінального правопорушення в кримінальному праві України ґрунтується на поєднанні інституційної автономності правової охорони збройних сил з базовими принципами законності, справедливості та індивідуалізації покарання. Військові злочини становлять окрему категорію злочинів, проте не виділяються у спеціальну главу Загальної частини, а регламентуються лише в межах Особливої частини. Це означає, що загальні положення кримінального законодавства щодо вини, стадій злочину, співучасті, множинності та обставин, що пом’якшують чи обтяжують відповідальність, застосовуються до військовослужбовців нарівні з іншими суб’єктами. Водночас, практична реалізація правових норм щодо військових кримінальних правопорушень потребує адаптації цих положень до специфіки внутрішнього регламенту військової служби, де особлива увага приділяється службовим обов’язкам, ієрархії, колективній відповідальності підрозділів і наявності особливого правового режиму функціонування. Військова служба, як вид державної служби, підпорядкована не лише нормам права, а й внутрішньому статутному регулюванню, яке виконує квазіюридичну функцію, і тому відхилення від вимог статуту набуває кримінального значення саме у зв’язку з високим рівнем загроз, які ці порушення продукують.</w:t>
      </w:r>
    </w:p>
    <w:p w14:paraId="4256ECC0"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Особливу складність становить питання правової кваліфікації дій військовослужбовців у період воєнного стану або під час ведення бойових дій. Відмінності між мирним і воєнним часом у контексті кримінальної відповідальності полягають не лише в інтенсивності правозастосування, а й у зміщенні акцентів при визначенні суспільної небезпечності діяння. У мирний час більшість військових кримінальних правопорушеннь має службовий характер і кваліфікується з урахуванням нормативних положень про дотримання розпорядку, підпорядкування, виконання наказів. Порушення таких вимог у переважній більшості випадків спричиняє функціональні наслідки – зниження дисципліни, тимчасові збої в організації служби, деструктивний вплив на моральний стан підрозділу. У воєнний час значення кожної дії або бездіяльності багаторазово підвищується: непокора </w:t>
      </w:r>
      <w:r w:rsidRPr="00511005">
        <w:rPr>
          <w:rFonts w:ascii="Arial" w:eastAsia="Calibri" w:hAnsi="Arial" w:cs="Arial"/>
          <w:szCs w:val="28"/>
          <w:lang w:val="uk-UA"/>
        </w:rPr>
        <w:lastRenderedPageBreak/>
        <w:t>або самовільне залишення частини може прямо вплинути на боєздатність підрозділу, зірвати операцію, призвести до людських втрат або стратегічної поразки. Саме тому законодавець передбачає більш суворі санкції за вчинення військових кримінальних правопорушень у період воєнного часу. При цьому кваліфікація повинна враховувати не лише формальний час оголошення воєнного стану, а й реальний контекст здійснення бойових дій, де значущим є причинно-наслідковий зв’язок між діянням і результатами, що зачіпають функціонування оборонної системи [3, с. 61].</w:t>
      </w:r>
    </w:p>
    <w:p w14:paraId="1BC54843"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Формування особливостей кримінальної відповідальності військовослужбовців у мирний і воєнний час є похідним від загальної моделі диференціації кримінального покарання, заснованої на ступені суспільної небезпеки та характері охоронюваних правовідносин. У період збройного конфлікту акцент зміщується з індивідуального правопорушника на вплив його дій на бойову обстановку, оперативну спроможність, злагодженість дій. Таким чином, значення набуває не лише факт порушення, а й наслідки, які в цивільному контексті могли б оцінюватися як незначні, проте в умовах бойового зіткнення або оперативного планування здатні мати руйнівний ефект. Це вимагає і від правозастосувача, і від нормотворця надзвичайної точності у побудові конструкції складу кримінального правопорушення: як формальної, так і матеріальної, із обов’язковим урахуванням функціонального контексту дії. Такий підхід, водночас, передбачає гнучкість у механізмі кваліфікації, адже у реальних умовах війни велика кількість дій може мати змішану правову природу – бути водночас правопорушенням і проявом тактичної адаптації.</w:t>
      </w:r>
    </w:p>
    <w:p w14:paraId="7A71E2E4"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Юридична конструкція норм, що регулюють військові кримінальні правопорушення, вимагає врахування множинності правових режимів: кримінального, адміністративного, дисциплінарного, а в умовах ведення бойових дій – ще й оперативного. Це ускладнює питання кваліфікації в ситуаціях, коли діяння формально підпадає під декілька різних правових кваліфікацій. Визначальним при цьому виступає не лише змістовний аналіз норми, а й розуміння функціонального призначення суб’єкта в конкретній ситуації: зважаючи на вертикаль командування, віддані накази, ситуацію на фронті, реальну можливість діяти або відмовитися від дій. </w:t>
      </w:r>
    </w:p>
    <w:p w14:paraId="7E1A39A3"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Врахування особливостей соціально-психологічного стану військовослужбовців у процесі визначення об’єму кримінальної відповідальності є важливим елементом правозастосовчої практики. Воєнний конфлікт супроводжується підвищеним стресовим навантаженням, порушенням режиму сну і харчування, постійною загрозою життю, що суттєво впливає на рівень когнітивного контролю та вольову саморегуляцію. Це не знімає з особи обов’язку дотримуватись військової дисципліни, проте дає підстави для ширшого тлумачення таких категорій, як «стан афекту», «вимушене порушення наказу», «перевищення меж необхідної оборони» у </w:t>
      </w:r>
      <w:r w:rsidRPr="00511005">
        <w:rPr>
          <w:rFonts w:ascii="Arial" w:eastAsia="Calibri" w:hAnsi="Arial" w:cs="Arial"/>
          <w:szCs w:val="28"/>
          <w:lang w:val="uk-UA"/>
        </w:rPr>
        <w:lastRenderedPageBreak/>
        <w:t>специфічному військовому контексті. При цьому судова практика вимагає від органів правосуддя об'єктивного встановлення причинно-наслідкового зв’язку між емоційним або психофізіологічним станом особи і змістом її діяння, щоб забезпечити дотримання принципу справедливості та виключити формальне застосування норм. На відміну від цивільного життя, де більшість відносин є горизонтальними, військова структура базується на жорсткій вертикалі підпорядкування, що ускладнює прояв автономії суб’єкта. Саме тому аналіз підстав притягнення до кримінальної відповідальності повинен враховувати функціональний статус особи, наявність законного наказу, а також межі його реалізації [4, с. 8].</w:t>
      </w:r>
    </w:p>
    <w:p w14:paraId="4F22294F"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Отож, кримінально-правове регулювання відповідальності військовослужбовців в сучасних умовах вимагає динамічного перегляду законодавчих формулювань у зв’язку з трансформацією характеру війни, збільшенням ролі новітніх технологій, гібридних форм бойових дій, зміщенням акцентів на інформаційні та кібероперації. Це потребує адаптації юридичних норм до нових типів загроз, які можуть не мати прямого фізичного впливу, але генерують стратегічні ризики. Військові кримінальні правопорушення, пов’язані з розголошенням інформації, несанкціонованим використанням цифрових систем, саботажем чи порушенням правил кібербезпеки, вже не зводяться до класичних форм фізичного ухилення або непокори. Це відкриває нову площину для кодифікації та оновлення законодавчої бази з метою її приведення у відповідність до нових форм конфліктності, де межі між військовим і цивільним простором дедалі більше розмиваються.</w:t>
      </w:r>
    </w:p>
    <w:p w14:paraId="6C97A8B8" w14:textId="77777777" w:rsidR="00200E87" w:rsidRPr="00511005" w:rsidRDefault="00200E87" w:rsidP="003A292D">
      <w:pPr>
        <w:spacing w:line="264" w:lineRule="auto"/>
        <w:ind w:firstLine="0"/>
        <w:rPr>
          <w:rFonts w:ascii="Arial" w:eastAsia="Calibri" w:hAnsi="Arial" w:cs="Arial"/>
          <w:szCs w:val="28"/>
          <w:lang w:val="uk-UA"/>
        </w:rPr>
      </w:pPr>
    </w:p>
    <w:p w14:paraId="11307FB3" w14:textId="6B3ECF8A" w:rsidR="00200E8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0C9FBC63" w14:textId="77777777" w:rsidR="00200E87" w:rsidRPr="00511005" w:rsidRDefault="00200E87" w:rsidP="003F6A5D">
      <w:pPr>
        <w:numPr>
          <w:ilvl w:val="0"/>
          <w:numId w:val="497"/>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Остапенко О.І. Про терміни та їх вплив на розуміння військових адміністративних правопорушень. Вісник Національного університету Львівська політехніка. Юридичні науки. 2015. №824. С.84–91. </w:t>
      </w:r>
    </w:p>
    <w:p w14:paraId="670AEAF1" w14:textId="77777777" w:rsidR="00200E87" w:rsidRPr="00511005" w:rsidRDefault="00200E87" w:rsidP="003F6A5D">
      <w:pPr>
        <w:numPr>
          <w:ilvl w:val="0"/>
          <w:numId w:val="497"/>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Туркот М. Ганова Г. Визначення поняття військовий начальник у законодавстві України. Вісник Національної академії прокуратури України. 2017. №3(49). С.42–48. </w:t>
      </w:r>
    </w:p>
    <w:p w14:paraId="28E41C9C" w14:textId="77777777" w:rsidR="00200E87" w:rsidRPr="00511005" w:rsidRDefault="00200E87" w:rsidP="003F6A5D">
      <w:pPr>
        <w:numPr>
          <w:ilvl w:val="0"/>
          <w:numId w:val="497"/>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Веселов М.Ю. Нестеренко О.М. Військові службові адміністративні правопорушення. Правовий часопис Донбасу. 2022. №4. С.61–67. URL: https://doi.org/10.32782/2523-4269-2022-81-4-1-61-67 (дата звернення: 13.03.2025) </w:t>
      </w:r>
    </w:p>
    <w:p w14:paraId="21F95F6A" w14:textId="77777777" w:rsidR="007B2628" w:rsidRPr="00511005" w:rsidRDefault="00200E87" w:rsidP="003F6A5D">
      <w:pPr>
        <w:numPr>
          <w:ilvl w:val="0"/>
          <w:numId w:val="497"/>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Військові адміністративні правопорушення. Науково-практичний коментар глави 13-Б КУпАП. Туркот М.С. Столітній А.В. Міхед О.В. Єні О.В. Київ. 2020. 136 с.</w:t>
      </w:r>
      <w:r w:rsidR="007B2628" w:rsidRPr="00511005">
        <w:rPr>
          <w:rFonts w:ascii="Arial" w:eastAsia="Calibri" w:hAnsi="Arial" w:cs="Arial"/>
          <w:szCs w:val="28"/>
          <w:lang w:val="uk-UA"/>
        </w:rPr>
        <w:t xml:space="preserve"> </w:t>
      </w:r>
    </w:p>
    <w:p w14:paraId="3AD49900" w14:textId="15BD808D" w:rsidR="00200E87" w:rsidRPr="00511005" w:rsidRDefault="00200E87" w:rsidP="003A292D">
      <w:pPr>
        <w:spacing w:line="264" w:lineRule="auto"/>
        <w:ind w:firstLine="0"/>
        <w:rPr>
          <w:rFonts w:ascii="Arial" w:eastAsia="Calibri" w:hAnsi="Arial" w:cs="Arial"/>
          <w:b/>
          <w:bCs/>
          <w:szCs w:val="28"/>
          <w:lang w:val="uk-UA"/>
        </w:rPr>
      </w:pPr>
    </w:p>
    <w:p w14:paraId="60025AC8" w14:textId="3F8A6967" w:rsidR="007B262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lastRenderedPageBreak/>
        <w:t xml:space="preserve">Ключові слова: </w:t>
      </w:r>
      <w:r w:rsidR="00200E87" w:rsidRPr="00511005">
        <w:rPr>
          <w:rFonts w:ascii="Arial" w:eastAsia="Calibri" w:hAnsi="Arial" w:cs="Arial"/>
          <w:szCs w:val="28"/>
          <w:lang w:val="uk-UA"/>
        </w:rPr>
        <w:t>військові кримінальні правопорушення, кримінальна відповідальність, військовослужбовець, мирний час, воєнний час, суб’єкт кримінального правопорушення, правова кваліфікація.</w:t>
      </w:r>
    </w:p>
    <w:p w14:paraId="19AEC79B" w14:textId="1C0449D0" w:rsidR="007B2628" w:rsidRPr="00511005" w:rsidRDefault="007B2628" w:rsidP="003A292D">
      <w:pPr>
        <w:spacing w:line="264" w:lineRule="auto"/>
        <w:ind w:firstLine="0"/>
        <w:rPr>
          <w:rFonts w:ascii="Arial" w:eastAsia="Calibri" w:hAnsi="Arial" w:cs="Arial"/>
          <w:szCs w:val="28"/>
          <w:lang w:val="en" w:eastAsia="ru-RU"/>
        </w:rPr>
      </w:pPr>
      <w:r w:rsidRPr="00511005">
        <w:rPr>
          <w:rFonts w:ascii="Arial" w:eastAsia="Calibri" w:hAnsi="Arial" w:cs="Arial"/>
          <w:b/>
          <w:bCs/>
          <w:i/>
          <w:szCs w:val="28"/>
          <w:lang w:val="en" w:eastAsia="ru-RU"/>
        </w:rPr>
        <w:t xml:space="preserve">Key words: </w:t>
      </w:r>
      <w:r w:rsidR="00200E87" w:rsidRPr="00511005">
        <w:rPr>
          <w:rFonts w:ascii="Arial" w:eastAsia="Calibri" w:hAnsi="Arial" w:cs="Arial"/>
          <w:szCs w:val="28"/>
          <w:lang w:val="en" w:eastAsia="ru-RU"/>
        </w:rPr>
        <w:t>military criminal offenses, criminal liability, military personnel, peacetime, wartime, subject</w:t>
      </w:r>
      <w:r w:rsidR="00200E87" w:rsidRPr="00511005">
        <w:rPr>
          <w:rFonts w:ascii="Arial" w:eastAsia="Calibri" w:hAnsi="Arial" w:cs="Arial"/>
          <w:szCs w:val="28"/>
          <w:lang w:val="uk-UA" w:eastAsia="ru-RU"/>
        </w:rPr>
        <w:t xml:space="preserve"> </w:t>
      </w:r>
      <w:r w:rsidR="00200E87" w:rsidRPr="00511005">
        <w:rPr>
          <w:rFonts w:ascii="Arial" w:eastAsia="Calibri" w:hAnsi="Arial" w:cs="Arial"/>
          <w:szCs w:val="28"/>
          <w:lang w:val="en" w:eastAsia="ru-RU"/>
        </w:rPr>
        <w:t>of a criminal offense, legal qualification.</w:t>
      </w:r>
    </w:p>
    <w:p w14:paraId="75461C9B" w14:textId="5934AEDC"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iCs/>
          <w:szCs w:val="28"/>
          <w:lang w:val="uk-UA"/>
        </w:rPr>
        <w:t xml:space="preserve">Науковий керівник: </w:t>
      </w:r>
      <w:r w:rsidR="00200E87" w:rsidRPr="00511005">
        <w:rPr>
          <w:rFonts w:ascii="Arial" w:eastAsia="Calibri" w:hAnsi="Arial" w:cs="Arial"/>
          <w:bCs/>
          <w:i/>
          <w:iCs/>
          <w:szCs w:val="28"/>
          <w:lang w:val="uk-UA"/>
        </w:rPr>
        <w:t>к.ю.н., доцент Хильченко А.С.</w:t>
      </w:r>
    </w:p>
    <w:p w14:paraId="658F7FB2" w14:textId="77777777" w:rsidR="00200E87" w:rsidRPr="00511005" w:rsidRDefault="00200E87" w:rsidP="003A292D">
      <w:pPr>
        <w:spacing w:line="264" w:lineRule="auto"/>
        <w:ind w:firstLine="0"/>
        <w:jc w:val="center"/>
        <w:rPr>
          <w:rFonts w:ascii="Arial" w:eastAsia="Calibri" w:hAnsi="Arial" w:cs="Arial"/>
          <w:b/>
          <w:szCs w:val="28"/>
          <w:lang w:val="uk-UA"/>
        </w:rPr>
      </w:pPr>
    </w:p>
    <w:p w14:paraId="4D22AA54" w14:textId="77777777" w:rsidR="00200E87" w:rsidRPr="00511005" w:rsidRDefault="00200E87" w:rsidP="003A292D">
      <w:pPr>
        <w:spacing w:line="264" w:lineRule="auto"/>
        <w:ind w:firstLine="0"/>
        <w:jc w:val="center"/>
        <w:rPr>
          <w:rFonts w:ascii="Arial" w:eastAsia="Calibri" w:hAnsi="Arial" w:cs="Arial"/>
          <w:b/>
          <w:szCs w:val="28"/>
          <w:lang w:val="uk-UA"/>
        </w:rPr>
      </w:pPr>
    </w:p>
    <w:p w14:paraId="45ED2A1D" w14:textId="77777777" w:rsidR="00200E87" w:rsidRPr="00511005" w:rsidRDefault="00200E87" w:rsidP="003A292D">
      <w:pPr>
        <w:suppressAutoHyphens/>
        <w:spacing w:line="264" w:lineRule="auto"/>
        <w:ind w:firstLine="0"/>
        <w:contextualSpacing/>
        <w:jc w:val="center"/>
        <w:rPr>
          <w:rFonts w:ascii="Arial" w:eastAsia="Calibri" w:hAnsi="Arial" w:cs="Arial"/>
          <w:i/>
          <w:szCs w:val="28"/>
          <w:lang w:val="uk-UA"/>
        </w:rPr>
      </w:pPr>
      <w:r w:rsidRPr="00511005">
        <w:rPr>
          <w:rFonts w:ascii="Arial" w:eastAsia="Calibri" w:hAnsi="Arial" w:cs="Arial"/>
          <w:b/>
          <w:i/>
          <w:szCs w:val="28"/>
          <w:lang w:val="uk-UA"/>
        </w:rPr>
        <w:t>Борзенкова Юлія Дмитрівна</w:t>
      </w:r>
    </w:p>
    <w:p w14:paraId="00F2CF3F" w14:textId="18DC74D8"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7E056226"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F9349D6"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E007D67" w14:textId="77777777" w:rsidR="00200E87" w:rsidRPr="00511005" w:rsidRDefault="00200E87" w:rsidP="003A292D">
      <w:pPr>
        <w:suppressAutoHyphens/>
        <w:spacing w:line="264" w:lineRule="auto"/>
        <w:ind w:firstLine="0"/>
        <w:jc w:val="center"/>
        <w:rPr>
          <w:rFonts w:ascii="Arial" w:eastAsia="Calibri" w:hAnsi="Arial" w:cs="Arial"/>
          <w:szCs w:val="28"/>
          <w:lang w:val="uk-UA"/>
        </w:rPr>
      </w:pPr>
    </w:p>
    <w:p w14:paraId="03D7A78C" w14:textId="77777777" w:rsidR="00200E87" w:rsidRPr="00511005" w:rsidRDefault="00200E87" w:rsidP="003A292D">
      <w:pPr>
        <w:suppressAutoHyphens/>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АМНІСТІЯ ТА ПОМИЛУВАННЯ В УМОВАХ ВОЄННОГО СТАНУ: ПРАВОВІ АСПЕКТИ</w:t>
      </w:r>
    </w:p>
    <w:p w14:paraId="03435225" w14:textId="77777777" w:rsidR="00200E87" w:rsidRPr="00511005" w:rsidRDefault="00200E87" w:rsidP="003A292D">
      <w:pPr>
        <w:suppressAutoHyphens/>
        <w:spacing w:line="264" w:lineRule="auto"/>
        <w:ind w:firstLine="0"/>
        <w:contextualSpacing/>
        <w:jc w:val="center"/>
        <w:rPr>
          <w:rFonts w:ascii="Arial" w:eastAsia="Calibri" w:hAnsi="Arial" w:cs="Arial"/>
          <w:szCs w:val="28"/>
          <w:lang w:val="uk-UA"/>
        </w:rPr>
      </w:pPr>
    </w:p>
    <w:p w14:paraId="48B31654" w14:textId="77777777" w:rsidR="00200E87" w:rsidRPr="00511005" w:rsidRDefault="00200E87" w:rsidP="003A292D">
      <w:pPr>
        <w:suppressAutoHyphen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У контексті збройної агресії проти України та запровадження воєнного стану особливої уваги набуває правовий аналіз інститутів амністії та помилування. Ці інститути кримінального права виконують не лише правову, а й гуманітарну функцію, дозволяючи балансувати між принципом справедливості та потребою реінтеграції осіб у суспільство. Дослідження їх сутності, законодавчого регулювання та практичного застосування в умовах воєнного стану є актуальним як з точки зору національного права, так і в контексті міжнародного гуманітарного права.</w:t>
      </w:r>
    </w:p>
    <w:p w14:paraId="196C79E6" w14:textId="77777777" w:rsidR="00200E87" w:rsidRPr="00511005" w:rsidRDefault="00200E87" w:rsidP="003A292D">
      <w:pPr>
        <w:suppressAutoHyphen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Амністія — це акт загального характеру, яким держава звільняє від кримінальної відповідальності або покарання певну категорію осіб. В Україні амністія здійснюється на підставі відповідного закону Верховної Ради (ст. 92 Конституції України [1]). Натомість помилування є індивідуальним актом Президента України щодо конкретної особи, якому може бути скасовано вирок або змінено вид покарання (ст. 106 Конституції України [1]).</w:t>
      </w:r>
    </w:p>
    <w:p w14:paraId="718D2DD1" w14:textId="77777777" w:rsidR="00200E87" w:rsidRPr="00511005" w:rsidRDefault="00200E87" w:rsidP="003A292D">
      <w:pPr>
        <w:suppressAutoHyphen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Необхідність чіткого розмежування амністії та помилування зумовлена особливостями їх реалізації. Амністія є проявом державної політики у сфері гуманізації кримінального права, тоді як помилування слугує інструментом індивідуального підходу до особи засудженого. Це вимагає вдосконалення нормативної бази та формулювання чітких критеріїв для прийняття рішень. У деяких випадках застосування помилування може бути обумовлене зміною обставин, станом здоров'я особи, її заслугами перед державою або щирим каяттям.</w:t>
      </w:r>
    </w:p>
    <w:p w14:paraId="50238CC8" w14:textId="77777777" w:rsidR="00200E87" w:rsidRPr="00511005" w:rsidRDefault="00200E87" w:rsidP="003A292D">
      <w:pPr>
        <w:suppressAutoHyphen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Умови воєнного стану вимагають особливого підходу до застосування амністії та помилування. З одного боку, існує необхідність гуманного ставлення до учасників бойових дій, з іншого — важливо гарантувати безпеку суспільства, не допустивши безкарності за тяжкі злочини. </w:t>
      </w:r>
      <w:r w:rsidRPr="00511005">
        <w:rPr>
          <w:rFonts w:ascii="Arial" w:eastAsia="Calibri" w:hAnsi="Arial" w:cs="Arial"/>
          <w:szCs w:val="28"/>
          <w:lang w:val="uk-UA"/>
        </w:rPr>
        <w:lastRenderedPageBreak/>
        <w:t>Законодавчі новації, ухвалені в умовах війни, суттєво обмежують можливість амністії для осіб, засуджених за воєнні злочини, зґвалтування, тортури тощо [4].</w:t>
      </w:r>
    </w:p>
    <w:p w14:paraId="7EDCB72F" w14:textId="77777777" w:rsidR="00200E87" w:rsidRPr="00511005" w:rsidRDefault="00200E87" w:rsidP="003A292D">
      <w:pPr>
        <w:suppressAutoHyphen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Згідно з положеннями Кримінального кодексу України, амністія і помилування мають чіткі юридичні обмеження. Так, стаття 86 передбачає, що звільнення від покарання за амністією не поширюється на осіб, які вчинили особливо тяжкі злочини або рецидив. Стаття 87 уточнює, що порядок та умови застосування помилування регулюються відповідним положенням, затвердженим указом Президента [6]. У воєнний час до цих норм додаються додаткові обмеження згідно з постановами Верховної Ради та відповідними законами про амністію, що ухвалюються в особливому порядку.</w:t>
      </w:r>
    </w:p>
    <w:p w14:paraId="746C80CE" w14:textId="23D56A25" w:rsidR="00200E87" w:rsidRPr="00511005" w:rsidRDefault="00200E87" w:rsidP="003A292D">
      <w:pPr>
        <w:suppressAutoHyphens/>
        <w:spacing w:line="264" w:lineRule="auto"/>
        <w:ind w:firstLine="0"/>
        <w:contextualSpacing/>
        <w:rPr>
          <w:rFonts w:ascii="Arial" w:eastAsia="Calibri" w:hAnsi="Arial" w:cs="Arial"/>
          <w:szCs w:val="28"/>
          <w:lang w:val="uk-UA"/>
        </w:rPr>
      </w:pPr>
      <w:r w:rsidRPr="00511005">
        <w:rPr>
          <w:rFonts w:ascii="Arial" w:eastAsia="Calibri" w:hAnsi="Arial" w:cs="Arial"/>
          <w:szCs w:val="28"/>
        </w:rPr>
        <w:t xml:space="preserve">Окремої уваги заслуговує частина 4 статті 86 Кримінального кодексу України, що була оновлена у 2022 році у зв’язку з введенням воєнного стану. Відповідно до цієї норми, закон про амністію не може бути підставою для повного звільнення від відбування покарання осіб, засуджених за державну зраду, диверсію, злочини, пов’язані з корупцією, а також кримінальні правопорушення, вчинені у стані алкогольного чи наркотичного сп’яніння. Таким чином, законодавець суттєво обмежив можливість застосування амністії </w:t>
      </w:r>
      <w:proofErr w:type="gramStart"/>
      <w:r w:rsidRPr="00511005">
        <w:rPr>
          <w:rFonts w:ascii="Arial" w:eastAsia="Calibri" w:hAnsi="Arial" w:cs="Arial"/>
          <w:szCs w:val="28"/>
        </w:rPr>
        <w:t>до ряду</w:t>
      </w:r>
      <w:proofErr w:type="gramEnd"/>
      <w:r w:rsidRPr="00511005">
        <w:rPr>
          <w:rFonts w:ascii="Arial" w:eastAsia="Calibri" w:hAnsi="Arial" w:cs="Arial"/>
          <w:szCs w:val="28"/>
        </w:rPr>
        <w:t xml:space="preserve"> небезпечних злочинів, що має ключове значення у забезпеченні принципу справедливості в умовах збройного конфлікту. Це також відповідає підходам міжнародного права щодо заборони амністії за особливо тяжкі правопорушення.</w:t>
      </w:r>
      <w:r w:rsidR="007B2628" w:rsidRPr="00511005">
        <w:rPr>
          <w:rFonts w:ascii="Arial" w:eastAsia="Calibri" w:hAnsi="Arial" w:cs="Arial"/>
          <w:szCs w:val="28"/>
        </w:rPr>
        <w:t xml:space="preserve"> </w:t>
      </w:r>
      <w:r w:rsidRPr="00511005">
        <w:rPr>
          <w:rFonts w:ascii="Arial" w:eastAsia="Calibri" w:hAnsi="Arial" w:cs="Arial"/>
          <w:szCs w:val="28"/>
          <w:lang w:val="uk-UA"/>
        </w:rPr>
        <w:t>У деяких законопроєктах пропонується створення спеціальних комісій з помилування, до складу яких входять правозахисники, представники органів юстиції, прокуратури та психологи.</w:t>
      </w:r>
    </w:p>
    <w:p w14:paraId="01964D0F" w14:textId="77777777" w:rsidR="00200E87" w:rsidRPr="00511005" w:rsidRDefault="00200E87" w:rsidP="003A292D">
      <w:pPr>
        <w:suppressAutoHyphen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На додаток до аналізу чинного законодавства, важливо враховувати історичний досвід. В Україні спостерігається послідовна еволюція інститутів амністії та помилування — від інструментів репресивної політики до елементів демократичного правосуддя. Особливо активно застосовувалася амністія у 1990-х роках, що пов'язано із загальною гуманізацією кримінального права та зміною політичного режиму. Цей досвід має особливе значення в умовах переходу держави до постконфліктного періоду [5].</w:t>
      </w:r>
    </w:p>
    <w:p w14:paraId="7E16F36A" w14:textId="77777777" w:rsidR="00200E87" w:rsidRPr="00511005" w:rsidRDefault="00200E87" w:rsidP="003A292D">
      <w:pPr>
        <w:suppressAutoHyphen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Важливою також є роль міжнародного права. Зокрема, згідно з положеннями Римського статуту Міжнародного кримінального суду, не допускається амністія за злочини проти людяності, воєнні злочини чи геноцид. Це створює правові рамки, в межах яких Україна має формувати свою політику у сфері амністії та помилування. У практиці Іспанії, ПАР, Колумбії застосування амністії та помилування відбувалося у тісному зв’язку з програмами перехідного правосуддя, де ключовими умовами були співпраця з органами правосуддя та визнання вини. Наприклад, в Колумбії створено спеціальні суди, які розглядають справи колишніх учасників збройних формувань, і </w:t>
      </w:r>
      <w:r w:rsidRPr="00511005">
        <w:rPr>
          <w:rFonts w:ascii="Arial" w:eastAsia="Calibri" w:hAnsi="Arial" w:cs="Arial"/>
          <w:szCs w:val="28"/>
          <w:lang w:val="uk-UA"/>
        </w:rPr>
        <w:lastRenderedPageBreak/>
        <w:t>тільки після проходження правової процедури вони можуть претендувати на амністію.</w:t>
      </w:r>
    </w:p>
    <w:p w14:paraId="518527D6" w14:textId="708B89DF" w:rsidR="00200E87" w:rsidRPr="00511005" w:rsidRDefault="00200E87" w:rsidP="003A292D">
      <w:pPr>
        <w:suppressAutoHyphen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Таким чином, амністія та помилування в умовах воєнного стану має розглядатися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як складова частина національної політики безпеки, правосуддя і перехідного правосуддя. Їхнє застосування повинне базуватися на чітких юридичних критеріях, дотриманні принципів справедливості та повазі до жертв злочинів. При цьому держава повинна забезпечити прозорість процесу ухвалення рішень про амністію та помилування, оприлюднюючи відповідні обґрунтування та забезпечуючи належну комунікацію із суспільством.</w:t>
      </w:r>
    </w:p>
    <w:p w14:paraId="7C562B8F" w14:textId="77777777" w:rsidR="00200E87" w:rsidRPr="00511005" w:rsidRDefault="00200E87" w:rsidP="003A292D">
      <w:pPr>
        <w:suppressAutoHyphens/>
        <w:spacing w:line="264" w:lineRule="auto"/>
        <w:ind w:firstLine="0"/>
        <w:rPr>
          <w:rFonts w:ascii="Arial" w:eastAsia="Calibri" w:hAnsi="Arial" w:cs="Arial"/>
          <w:szCs w:val="28"/>
          <w:lang w:val="uk-UA"/>
        </w:rPr>
      </w:pPr>
      <w:r w:rsidRPr="00511005">
        <w:rPr>
          <w:rFonts w:ascii="Arial" w:eastAsia="Calibri" w:hAnsi="Arial" w:cs="Arial"/>
          <w:szCs w:val="28"/>
          <w:lang w:val="uk-UA"/>
        </w:rPr>
        <w:t>Рекомендую врахувати:</w:t>
      </w:r>
    </w:p>
    <w:p w14:paraId="10D1FF98" w14:textId="77777777" w:rsidR="00200E87" w:rsidRPr="00511005" w:rsidRDefault="00200E87" w:rsidP="003F6A5D">
      <w:pPr>
        <w:numPr>
          <w:ilvl w:val="0"/>
          <w:numId w:val="498"/>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Враховувати міжнародні зобов’язання України, зокрема норми Римського статуту, під час розробки національного законодавства про амністію.</w:t>
      </w:r>
    </w:p>
    <w:p w14:paraId="63471A65" w14:textId="77777777" w:rsidR="00200E87" w:rsidRPr="00511005" w:rsidRDefault="00200E87" w:rsidP="003F6A5D">
      <w:pPr>
        <w:numPr>
          <w:ilvl w:val="0"/>
          <w:numId w:val="498"/>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Посилити імплементацію стандартів Ради Європи та ООН щодо захисту прав людини у процесі звільнення осіб від кримінальної відповідальності.</w:t>
      </w:r>
    </w:p>
    <w:p w14:paraId="39CC8D07" w14:textId="77777777" w:rsidR="00200E87" w:rsidRPr="00511005" w:rsidRDefault="00200E87" w:rsidP="003F6A5D">
      <w:pPr>
        <w:numPr>
          <w:ilvl w:val="0"/>
          <w:numId w:val="498"/>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Визначити чіткі процедури амністії та помилування в умовах воєнного стану шляхом ухвалення спеціального закону, що відповідатиме стандартам міжнародного гуманітарного права.</w:t>
      </w:r>
    </w:p>
    <w:p w14:paraId="774B1470" w14:textId="77777777" w:rsidR="00200E87" w:rsidRPr="00511005" w:rsidRDefault="00200E87" w:rsidP="003F6A5D">
      <w:pPr>
        <w:numPr>
          <w:ilvl w:val="0"/>
          <w:numId w:val="498"/>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Забезпечити незалежний громадський контроль за процесами амністії та помилування, зокрема через створення дорадчих органів за участі правозахисних організацій.</w:t>
      </w:r>
    </w:p>
    <w:p w14:paraId="165C1728" w14:textId="77777777" w:rsidR="00200E87" w:rsidRPr="00511005" w:rsidRDefault="00200E87" w:rsidP="003F6A5D">
      <w:pPr>
        <w:numPr>
          <w:ilvl w:val="0"/>
          <w:numId w:val="498"/>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Вивчити та адаптувати успішні моделі амністії в перехідних суспільствах, як-от в ПАР, Колумбії, де процедури базувались на прозорості, правді та примиренні.</w:t>
      </w:r>
    </w:p>
    <w:p w14:paraId="65F126C8" w14:textId="77777777" w:rsidR="00200E87" w:rsidRPr="00511005" w:rsidRDefault="00200E87" w:rsidP="003F6A5D">
      <w:pPr>
        <w:numPr>
          <w:ilvl w:val="0"/>
          <w:numId w:val="498"/>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Запровадити систему попередньої оцінки ризиків для кожного випадку амністії або помилування з боку відповідних компетентних органів.</w:t>
      </w:r>
    </w:p>
    <w:p w14:paraId="6F69AAE8" w14:textId="77777777" w:rsidR="00200E87" w:rsidRPr="00511005" w:rsidRDefault="00200E87" w:rsidP="003F6A5D">
      <w:pPr>
        <w:numPr>
          <w:ilvl w:val="0"/>
          <w:numId w:val="498"/>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Створити єдиний електронний реєстр осіб, яким надано амністію або помилування, із зазначенням підстав і умов ухвалення таких рішень, що сприятиме прозорості системи.</w:t>
      </w:r>
    </w:p>
    <w:p w14:paraId="43CE87D5" w14:textId="77777777" w:rsidR="00200E87" w:rsidRPr="00511005" w:rsidRDefault="00200E87" w:rsidP="003A292D">
      <w:pPr>
        <w:suppressAutoHyphens/>
        <w:spacing w:line="264" w:lineRule="auto"/>
        <w:ind w:firstLine="0"/>
        <w:rPr>
          <w:rFonts w:ascii="Arial" w:eastAsia="Calibri" w:hAnsi="Arial" w:cs="Arial"/>
          <w:szCs w:val="28"/>
          <w:lang w:val="uk-UA"/>
        </w:rPr>
      </w:pPr>
    </w:p>
    <w:p w14:paraId="653DD277" w14:textId="7587C906" w:rsidR="00200E87" w:rsidRPr="00511005" w:rsidRDefault="007B2628" w:rsidP="007B2628">
      <w:pPr>
        <w:suppressAutoHyphens/>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0FC00224" w14:textId="77777777" w:rsidR="00200E87" w:rsidRPr="00511005" w:rsidRDefault="00200E87" w:rsidP="003F6A5D">
      <w:pPr>
        <w:numPr>
          <w:ilvl w:val="0"/>
          <w:numId w:val="499"/>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Конституція України. URL: </w:t>
      </w:r>
      <w:hyperlink r:id="rId1772">
        <w:r w:rsidRPr="00511005">
          <w:rPr>
            <w:rFonts w:ascii="Arial" w:eastAsia="Calibri" w:hAnsi="Arial" w:cs="Arial"/>
            <w:szCs w:val="28"/>
            <w:lang w:val="uk-UA"/>
          </w:rPr>
          <w:t>https://zakon.rada.gov.ua/laws/show/254к/96-вр</w:t>
        </w:r>
      </w:hyperlink>
    </w:p>
    <w:p w14:paraId="541EC990" w14:textId="77777777" w:rsidR="00200E87" w:rsidRPr="00511005" w:rsidRDefault="00200E87" w:rsidP="003F6A5D">
      <w:pPr>
        <w:numPr>
          <w:ilvl w:val="0"/>
          <w:numId w:val="499"/>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Шевченко С. І. Нормативно-правове забезпечення інституту амністії та помилування в Україні. URL: </w:t>
      </w:r>
      <w:r w:rsidR="005938AD">
        <w:fldChar w:fldCharType="begin"/>
      </w:r>
      <w:r w:rsidR="005938AD" w:rsidRPr="00055389">
        <w:rPr>
          <w:lang w:val="en-US"/>
        </w:rPr>
        <w:instrText xml:space="preserve"> HYPERLINK "https://journal-nam.com.ua/index.p</w:instrText>
      </w:r>
      <w:r w:rsidR="005938AD" w:rsidRPr="00055389">
        <w:rPr>
          <w:lang w:val="en-US"/>
        </w:rPr>
        <w:instrText xml:space="preserve">hp/journal/article/download/661/617" \h </w:instrText>
      </w:r>
      <w:r w:rsidR="005938AD">
        <w:fldChar w:fldCharType="separate"/>
      </w:r>
      <w:r w:rsidRPr="00511005">
        <w:rPr>
          <w:rFonts w:ascii="Arial" w:eastAsia="Calibri" w:hAnsi="Arial" w:cs="Arial"/>
          <w:szCs w:val="28"/>
          <w:lang w:val="uk-UA"/>
        </w:rPr>
        <w:t>https://journal-nam.com.ua/index.php/journal/article/download/661/617</w:t>
      </w:r>
      <w:r w:rsidR="005938AD">
        <w:rPr>
          <w:rFonts w:ascii="Arial" w:eastAsia="Calibri" w:hAnsi="Arial" w:cs="Arial"/>
          <w:szCs w:val="28"/>
          <w:lang w:val="uk-UA"/>
        </w:rPr>
        <w:fldChar w:fldCharType="end"/>
      </w:r>
    </w:p>
    <w:p w14:paraId="3C2772C7" w14:textId="77777777" w:rsidR="00200E87" w:rsidRPr="00511005" w:rsidRDefault="00200E87" w:rsidP="003F6A5D">
      <w:pPr>
        <w:numPr>
          <w:ilvl w:val="0"/>
          <w:numId w:val="499"/>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Собко Г. М., Кулешов А. С. Теоретичний та законодавчий фреймворк, що регулює інститут помилування та амністії. URL: </w:t>
      </w:r>
      <w:r w:rsidR="005938AD">
        <w:fldChar w:fldCharType="begin"/>
      </w:r>
      <w:r w:rsidR="005938AD" w:rsidRPr="00055389">
        <w:rPr>
          <w:lang w:val="en-US"/>
        </w:rPr>
        <w:instrText xml:space="preserve"> HYPERLINK "https://msd.odu</w:instrText>
      </w:r>
      <w:r w:rsidR="005938AD" w:rsidRPr="00055389">
        <w:rPr>
          <w:lang w:val="en-US"/>
        </w:rPr>
        <w:instrText xml:space="preserve">vs.od.ua/index.php/msd/article/download/39/34" \h </w:instrText>
      </w:r>
      <w:r w:rsidR="005938AD">
        <w:fldChar w:fldCharType="separate"/>
      </w:r>
      <w:r w:rsidRPr="00511005">
        <w:rPr>
          <w:rFonts w:ascii="Arial" w:eastAsia="Calibri" w:hAnsi="Arial" w:cs="Arial"/>
          <w:szCs w:val="28"/>
          <w:lang w:val="uk-UA"/>
        </w:rPr>
        <w:t>https://msd.oduvs.od.ua/index.php/msd/article/download/39/34</w:t>
      </w:r>
      <w:r w:rsidR="005938AD">
        <w:rPr>
          <w:rFonts w:ascii="Arial" w:eastAsia="Calibri" w:hAnsi="Arial" w:cs="Arial"/>
          <w:szCs w:val="28"/>
          <w:lang w:val="uk-UA"/>
        </w:rPr>
        <w:fldChar w:fldCharType="end"/>
      </w:r>
    </w:p>
    <w:p w14:paraId="506B117C" w14:textId="77777777" w:rsidR="00200E87" w:rsidRPr="00511005" w:rsidRDefault="00200E87" w:rsidP="003F6A5D">
      <w:pPr>
        <w:numPr>
          <w:ilvl w:val="0"/>
          <w:numId w:val="499"/>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lastRenderedPageBreak/>
        <w:t xml:space="preserve">Вознюк А. А., Дудоров О. О. Новели кримінального законодавства України, прийняті в умовах воєнного стану. URL: </w:t>
      </w:r>
      <w:r w:rsidR="005938AD">
        <w:fldChar w:fldCharType="begin"/>
      </w:r>
      <w:r w:rsidR="005938AD" w:rsidRPr="00055389">
        <w:rPr>
          <w:lang w:val="en-US"/>
        </w:rPr>
        <w:instrText xml:space="preserve"> HYPERLINK "https://elar.navs.e</w:instrText>
      </w:r>
      <w:r w:rsidR="005938AD" w:rsidRPr="00055389">
        <w:rPr>
          <w:lang w:val="en-US"/>
        </w:rPr>
        <w:instrText xml:space="preserve">du.ua/bitstreams/2a0057b4-a9d0-4bfa-ac74-a7405ddc1484/download" \h </w:instrText>
      </w:r>
      <w:r w:rsidR="005938AD">
        <w:fldChar w:fldCharType="separate"/>
      </w:r>
      <w:r w:rsidRPr="00511005">
        <w:rPr>
          <w:rFonts w:ascii="Arial" w:eastAsia="Calibri" w:hAnsi="Arial" w:cs="Arial"/>
          <w:szCs w:val="28"/>
          <w:lang w:val="uk-UA"/>
        </w:rPr>
        <w:t>https://elar.navs.edu.ua/bitstreams/2a0057b4-a9d0-4bfa-ac74-a7405ddc1484/download</w:t>
      </w:r>
      <w:r w:rsidR="005938AD">
        <w:rPr>
          <w:rFonts w:ascii="Arial" w:eastAsia="Calibri" w:hAnsi="Arial" w:cs="Arial"/>
          <w:szCs w:val="28"/>
          <w:lang w:val="uk-UA"/>
        </w:rPr>
        <w:fldChar w:fldCharType="end"/>
      </w:r>
    </w:p>
    <w:p w14:paraId="368AB00B" w14:textId="77777777" w:rsidR="00200E87" w:rsidRPr="00511005" w:rsidRDefault="00200E87" w:rsidP="003F6A5D">
      <w:pPr>
        <w:numPr>
          <w:ilvl w:val="0"/>
          <w:numId w:val="499"/>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Мітаревська В. В. Історичний розвиток інститутів амністії та помилування в Україні. URL: </w:t>
      </w:r>
      <w:r w:rsidR="005938AD">
        <w:fldChar w:fldCharType="begin"/>
      </w:r>
      <w:r w:rsidR="005938AD" w:rsidRPr="00055389">
        <w:rPr>
          <w:lang w:val="en-US"/>
        </w:rPr>
        <w:instrText xml:space="preserve"> HYPERLINK "htt</w:instrText>
      </w:r>
      <w:r w:rsidR="005938AD" w:rsidRPr="00055389">
        <w:rPr>
          <w:lang w:val="en-US"/>
        </w:rPr>
        <w:instrText xml:space="preserve">ps://www.researchgate.net/publication/352301435_HISTORY_OF_ESTABLISHMENT_AND_DEVELOPMENT_OF_THE_AMNESTY_INSTITUTE_IN_UKRAINIAN_LAND" \h </w:instrText>
      </w:r>
      <w:r w:rsidR="005938AD">
        <w:fldChar w:fldCharType="separate"/>
      </w:r>
      <w:r w:rsidRPr="00511005">
        <w:rPr>
          <w:rFonts w:ascii="Arial" w:eastAsia="Calibri" w:hAnsi="Arial" w:cs="Arial"/>
          <w:szCs w:val="28"/>
          <w:lang w:val="uk-UA"/>
        </w:rPr>
        <w:t>https://www.researchgate.net/publication/352301435_HISTORY_OF_ESTABLISHMENT_AND_DEVELOPMENT_OF_THE_AMNESTY_INSTITUTE_IN_UKRAINIAN_LAND</w:t>
      </w:r>
      <w:r w:rsidR="005938AD">
        <w:rPr>
          <w:rFonts w:ascii="Arial" w:eastAsia="Calibri" w:hAnsi="Arial" w:cs="Arial"/>
          <w:szCs w:val="28"/>
          <w:lang w:val="uk-UA"/>
        </w:rPr>
        <w:fldChar w:fldCharType="end"/>
      </w:r>
    </w:p>
    <w:p w14:paraId="0190625A" w14:textId="77777777" w:rsidR="00200E87" w:rsidRPr="00511005" w:rsidRDefault="00200E87" w:rsidP="003F6A5D">
      <w:pPr>
        <w:numPr>
          <w:ilvl w:val="0"/>
          <w:numId w:val="499"/>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Кримінальний кодекс України. URL: </w:t>
      </w:r>
      <w:hyperlink r:id="rId1773">
        <w:r w:rsidRPr="00511005">
          <w:rPr>
            <w:rFonts w:ascii="Arial" w:eastAsia="Calibri" w:hAnsi="Arial" w:cs="Arial"/>
            <w:szCs w:val="28"/>
            <w:lang w:val="uk-UA"/>
          </w:rPr>
          <w:t>https://zakon.rada.gov.ua/laws/show/2341-14</w:t>
        </w:r>
      </w:hyperlink>
      <w:r w:rsidRPr="00511005">
        <w:rPr>
          <w:rFonts w:ascii="Arial" w:eastAsia="Calibri" w:hAnsi="Arial" w:cs="Arial"/>
          <w:szCs w:val="28"/>
          <w:lang w:val="uk-UA"/>
        </w:rPr>
        <w:t xml:space="preserve"> </w:t>
      </w:r>
    </w:p>
    <w:p w14:paraId="1B19CDB2" w14:textId="77777777" w:rsidR="00200E87" w:rsidRPr="00511005" w:rsidRDefault="00200E87" w:rsidP="003F6A5D">
      <w:pPr>
        <w:numPr>
          <w:ilvl w:val="0"/>
          <w:numId w:val="499"/>
        </w:numPr>
        <w:tabs>
          <w:tab w:val="left" w:pos="0"/>
        </w:tabs>
        <w:suppressAutoHyphens/>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Кримінальний кодекс України: Закон України від 5 квітня 2001 р. № 2341-III [Електронний ресурс] // Верховна Рада України. – Режим доступу: </w:t>
      </w:r>
      <w:hyperlink r:id="rId1774" w:anchor="Text" w:tgtFrame="_new">
        <w:r w:rsidRPr="00511005">
          <w:rPr>
            <w:rFonts w:ascii="Arial" w:eastAsia="Calibri" w:hAnsi="Arial" w:cs="Arial"/>
            <w:szCs w:val="28"/>
            <w:lang w:val="uk-UA"/>
          </w:rPr>
          <w:t>https://zakon.rada.gov.ua/laws/show/2341-14#Text</w:t>
        </w:r>
      </w:hyperlink>
      <w:r w:rsidRPr="00511005">
        <w:rPr>
          <w:rFonts w:ascii="Arial" w:eastAsia="Calibri" w:hAnsi="Arial" w:cs="Arial"/>
          <w:szCs w:val="28"/>
          <w:lang w:val="uk-UA"/>
        </w:rPr>
        <w:t xml:space="preserve"> </w:t>
      </w:r>
    </w:p>
    <w:p w14:paraId="47F4E594" w14:textId="77777777" w:rsidR="00200E87" w:rsidRPr="00511005" w:rsidRDefault="00200E87" w:rsidP="003A292D">
      <w:pPr>
        <w:suppressAutoHyphens/>
        <w:spacing w:line="264" w:lineRule="auto"/>
        <w:ind w:firstLine="0"/>
        <w:contextualSpacing/>
        <w:rPr>
          <w:rFonts w:ascii="Arial" w:eastAsia="Times New Roman" w:hAnsi="Arial" w:cs="Arial"/>
          <w:szCs w:val="28"/>
          <w:lang w:eastAsia="ru-RU"/>
        </w:rPr>
      </w:pPr>
    </w:p>
    <w:p w14:paraId="191841C9" w14:textId="1247CCE6" w:rsidR="00200E87" w:rsidRPr="00511005" w:rsidRDefault="007B2628" w:rsidP="003A292D">
      <w:pPr>
        <w:suppressAutoHyphens/>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200E87" w:rsidRPr="00511005">
        <w:rPr>
          <w:rFonts w:ascii="Arial" w:eastAsia="Calibri" w:hAnsi="Arial" w:cs="Arial"/>
          <w:szCs w:val="28"/>
          <w:lang w:val="uk-UA"/>
        </w:rPr>
        <w:t>Амністія, Помилування, Воєнний стан, Кримінальне право, Перехідне правосуддя, Міжнародне право, Гуманізація.</w:t>
      </w:r>
    </w:p>
    <w:p w14:paraId="52A0841A" w14:textId="6D59199D" w:rsidR="00200E87" w:rsidRPr="00511005" w:rsidRDefault="007B2628" w:rsidP="003A292D">
      <w:pPr>
        <w:suppressAutoHyphens/>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Key words: </w:t>
      </w:r>
      <w:r w:rsidR="00200E87" w:rsidRPr="00511005">
        <w:rPr>
          <w:rFonts w:ascii="Arial" w:eastAsia="Calibri" w:hAnsi="Arial" w:cs="Arial"/>
          <w:szCs w:val="28"/>
          <w:lang w:val="uk-UA"/>
        </w:rPr>
        <w:t>Amnesty, Pardon, Martial law, Criminal law, Transitional justice, International law, Humanization.</w:t>
      </w:r>
    </w:p>
    <w:p w14:paraId="72F8A93E" w14:textId="77777777" w:rsidR="00200E87" w:rsidRPr="00511005" w:rsidRDefault="00200E87" w:rsidP="003A292D">
      <w:pPr>
        <w:suppressAutoHyphens/>
        <w:spacing w:line="264" w:lineRule="auto"/>
        <w:ind w:firstLine="0"/>
        <w:jc w:val="left"/>
        <w:rPr>
          <w:rFonts w:ascii="Arial" w:eastAsia="Calibri" w:hAnsi="Arial" w:cs="Arial"/>
          <w:bCs/>
          <w:i/>
          <w:iCs/>
          <w:szCs w:val="28"/>
          <w:lang w:val="uk-UA"/>
        </w:rPr>
      </w:pPr>
    </w:p>
    <w:p w14:paraId="48819A85" w14:textId="408469B0" w:rsidR="00200E87" w:rsidRPr="00511005" w:rsidRDefault="007B2628" w:rsidP="003A292D">
      <w:pPr>
        <w:suppressAutoHyphens/>
        <w:spacing w:line="264" w:lineRule="auto"/>
        <w:ind w:firstLine="0"/>
        <w:jc w:val="left"/>
        <w:rPr>
          <w:rFonts w:ascii="Arial" w:eastAsia="Calibri" w:hAnsi="Arial" w:cs="Arial"/>
          <w:i/>
          <w:iCs/>
          <w:szCs w:val="28"/>
          <w:lang w:val="uk-UA"/>
        </w:rPr>
      </w:pPr>
      <w:r w:rsidRPr="00511005">
        <w:rPr>
          <w:rFonts w:ascii="Arial" w:eastAsia="Calibri" w:hAnsi="Arial" w:cs="Arial"/>
          <w:b/>
          <w:bCs/>
          <w:i/>
          <w:iCs/>
          <w:szCs w:val="28"/>
          <w:lang w:val="uk-UA"/>
        </w:rPr>
        <w:t xml:space="preserve">Науковий керівник: </w:t>
      </w:r>
      <w:r w:rsidR="00200E87" w:rsidRPr="00511005">
        <w:rPr>
          <w:rFonts w:ascii="Arial" w:eastAsia="Calibri" w:hAnsi="Arial" w:cs="Arial"/>
          <w:i/>
          <w:iCs/>
          <w:szCs w:val="28"/>
          <w:lang w:val="uk-UA"/>
        </w:rPr>
        <w:t>к.ю.н. професор Мирошниченко Н. А.</w:t>
      </w:r>
    </w:p>
    <w:p w14:paraId="32D761B3" w14:textId="0BCBE4ED" w:rsidR="00550C73" w:rsidRPr="00511005" w:rsidRDefault="00550C73" w:rsidP="003A292D">
      <w:pPr>
        <w:suppressAutoHyphens/>
        <w:spacing w:line="264" w:lineRule="auto"/>
        <w:ind w:firstLine="0"/>
        <w:jc w:val="left"/>
        <w:rPr>
          <w:rFonts w:ascii="Arial" w:eastAsia="Calibri" w:hAnsi="Arial" w:cs="Arial"/>
          <w:i/>
          <w:iCs/>
          <w:szCs w:val="28"/>
          <w:lang w:val="uk-UA"/>
        </w:rPr>
      </w:pPr>
    </w:p>
    <w:p w14:paraId="281A03DC" w14:textId="77777777" w:rsidR="00550C73" w:rsidRPr="00511005" w:rsidRDefault="00550C73" w:rsidP="003A292D">
      <w:pPr>
        <w:suppressAutoHyphens/>
        <w:spacing w:line="264" w:lineRule="auto"/>
        <w:ind w:firstLine="0"/>
        <w:jc w:val="left"/>
        <w:rPr>
          <w:rFonts w:ascii="Arial" w:eastAsia="Calibri" w:hAnsi="Arial" w:cs="Arial"/>
          <w:i/>
          <w:szCs w:val="28"/>
          <w:lang w:val="uk-UA"/>
        </w:rPr>
      </w:pPr>
    </w:p>
    <w:p w14:paraId="2F11C8D8" w14:textId="77777777" w:rsidR="00200E87" w:rsidRPr="00511005" w:rsidRDefault="00200E8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Борисенко Дмитро Юрійович</w:t>
      </w:r>
    </w:p>
    <w:p w14:paraId="0912C566" w14:textId="30FFB393"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3-го курсу </w:t>
      </w:r>
    </w:p>
    <w:p w14:paraId="302B8F8E"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22F0897"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BD845AD" w14:textId="77777777" w:rsidR="00200E87" w:rsidRPr="00511005" w:rsidRDefault="00200E87" w:rsidP="003A292D">
      <w:pPr>
        <w:spacing w:line="264" w:lineRule="auto"/>
        <w:ind w:firstLine="0"/>
        <w:jc w:val="center"/>
        <w:rPr>
          <w:rFonts w:ascii="Arial" w:eastAsia="Calibri" w:hAnsi="Arial" w:cs="Arial"/>
          <w:szCs w:val="28"/>
          <w:lang w:val="uk-UA"/>
        </w:rPr>
      </w:pPr>
    </w:p>
    <w:p w14:paraId="12F5E5C7" w14:textId="77777777" w:rsidR="00200E87" w:rsidRPr="00511005" w:rsidRDefault="00200E8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ЩОДО ПРОБЛЕМИ ВИЗНАЧЕННЯ ОБ’ЄКТА КРИМІНАЛЬНО-ПРАВОВОЇ ОХОРОНИ ПЕРДБАЧЕНОГО СТАТТЕЮ 314 КРИМІНЛЬНОГО КОДЕКСУ УКРАЇНИ</w:t>
      </w:r>
    </w:p>
    <w:p w14:paraId="7E7CB44B"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Питання визначення об’єкта кримінально-правової охорони завжди складало інтерес вітчизняних науковців, оскільки без його пізнання неможливо визначити соціально-правову охорону суспільних інтересів кримінальним законодавством. Хоч це питання і розкрито в доктрині кримінального права, сьогодні існує певне ігнорування об’єкта кримінального правопорушення як і у законотворчій, так і у правозастосовній діяльності. Таке відношення до об’єкта нівелює його застосування на практиці </w:t>
      </w:r>
      <w:r w:rsidRPr="00511005">
        <w:rPr>
          <w:rFonts w:ascii="Arial" w:eastAsia="Calibri" w:hAnsi="Arial" w:cs="Arial"/>
          <w:szCs w:val="28"/>
        </w:rPr>
        <w:t>[</w:t>
      </w:r>
      <w:r w:rsidRPr="00511005">
        <w:rPr>
          <w:rFonts w:ascii="Arial" w:eastAsia="Calibri" w:hAnsi="Arial" w:cs="Arial"/>
          <w:szCs w:val="28"/>
          <w:lang w:val="uk-UA"/>
        </w:rPr>
        <w:t>1</w:t>
      </w:r>
      <w:r w:rsidRPr="00511005">
        <w:rPr>
          <w:rFonts w:ascii="Arial" w:eastAsia="Calibri" w:hAnsi="Arial" w:cs="Arial"/>
          <w:szCs w:val="28"/>
        </w:rPr>
        <w:t>]</w:t>
      </w:r>
      <w:r w:rsidRPr="00511005">
        <w:rPr>
          <w:rFonts w:ascii="Arial" w:eastAsia="Calibri" w:hAnsi="Arial" w:cs="Arial"/>
          <w:szCs w:val="28"/>
          <w:lang w:val="uk-UA"/>
        </w:rPr>
        <w:t>.</w:t>
      </w:r>
    </w:p>
    <w:p w14:paraId="111D9982"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Розглянемо стисло, що таке об’єкт кримінального правопорушення. Згідно з В.Я. Горбачевським, об’єктом виступають суспільні відносини, що охороняються кримінальним законом і на які спрямоване посягання </w:t>
      </w:r>
      <w:r w:rsidRPr="00511005">
        <w:rPr>
          <w:rFonts w:ascii="Arial" w:eastAsia="Calibri" w:hAnsi="Arial" w:cs="Arial"/>
          <w:szCs w:val="28"/>
          <w:lang w:val="uk-UA"/>
        </w:rPr>
        <w:lastRenderedPageBreak/>
        <w:t>злочинця, внаслідок чого цим відносинам може бути завдано або реально завдається а шкода. П.С. Матишевський розширює це визначення, включаючи до об’єкта кримінального правопорушення не лише суспільні відносини, а й особисті права людини, зокрема життя, здоров’я, тілесну недоторканність, честь та гідність. М.І. Бажанов також акцентує на тому, що саме ті суспільні відносини, які зазнають шкоди внаслідок кримінального діяння і охороняються кримінальним правом, становлять його об’єкт [2].</w:t>
      </w:r>
    </w:p>
    <w:p w14:paraId="3796D83C"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науці кримінального права суспільні відносини, які піддаються посяганню з боку кримінальних правопорушень і виступають об’єктами правової охорони, є досить різноманітними. Вивчення різних типів об’єктів та їх наукова класифікація є важливим, оскільки це сприяє глибшому розумінню їхньої природи та соціально-правового значення. Такий підхід дозволяє краще усвідомити роль об’єктів у формуванні кримінального законодавства і вдосконаленні його застосування на практиці. У Особливій частині Кримінального кодексу України всі кримінальні правопорушення систематизовані відповідно до об’єкта, на який вони спрямовані. Основою такої побудови є поділ кримінальних правопорушень за характером об’єкта посягання. У кримінально-правовій науці широко застосовується чотиричленна класифікація об’єктів за ієрархією (за вертикаллю): загальний, родовий, видовий і безпосередній об’єкти </w:t>
      </w:r>
      <w:r w:rsidRPr="00511005">
        <w:rPr>
          <w:rFonts w:ascii="Arial" w:eastAsia="Calibri" w:hAnsi="Arial" w:cs="Arial"/>
          <w:szCs w:val="28"/>
        </w:rPr>
        <w:t>[3]</w:t>
      </w:r>
      <w:r w:rsidRPr="00511005">
        <w:rPr>
          <w:rFonts w:ascii="Arial" w:eastAsia="Calibri" w:hAnsi="Arial" w:cs="Arial"/>
          <w:szCs w:val="28"/>
          <w:lang w:val="uk-UA"/>
        </w:rPr>
        <w:t xml:space="preserve">. Також варто згадати поділ об’єкту за горизонталлю: основний об’єкт та додатковий обов’язковий чи факультативний об’єкт кримінального правопорушення. </w:t>
      </w:r>
    </w:p>
    <w:p w14:paraId="30F23EA1"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Аналізуючи розположення статті 314 «Незаконне введення в організм наркотичних засобів, психотропних речовин або їх аналогів» КК України, можна зробити висновок, що законодавець об’єктом кримінального правопорушення визначив здоров’я населення. Але проблематика в тому, що безпосередній об’єкт має спиратися на родовий чи видовий об’єкт, утворюючі взаємозв’язану систему. Наприклад, родовий об’єкт розділу </w:t>
      </w:r>
      <w:r w:rsidRPr="00511005">
        <w:rPr>
          <w:rFonts w:ascii="Arial" w:eastAsia="Calibri" w:hAnsi="Arial" w:cs="Arial"/>
          <w:bCs/>
          <w:szCs w:val="28"/>
          <w:lang w:val="uk-UA"/>
        </w:rPr>
        <w:t>II Особливої частини – життя та здоров'я особи; видовий об’єкт – здоров’я особи, безпосередній об’єкт ч.1 ст. 121 КК охороняє здоров’я конкретної особи [5]</w:t>
      </w:r>
      <w:r w:rsidRPr="00511005">
        <w:rPr>
          <w:rFonts w:ascii="Arial" w:eastAsia="Calibri" w:hAnsi="Arial" w:cs="Arial"/>
          <w:szCs w:val="28"/>
          <w:lang w:val="uk-UA"/>
        </w:rPr>
        <w:t xml:space="preserve">. </w:t>
      </w:r>
    </w:p>
    <w:p w14:paraId="58596F3E"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Якщо дати визначення </w:t>
      </w:r>
      <w:r w:rsidRPr="00511005">
        <w:rPr>
          <w:rFonts w:ascii="Arial" w:eastAsia="Calibri" w:hAnsi="Arial" w:cs="Arial"/>
          <w:bCs/>
          <w:szCs w:val="28"/>
          <w:lang w:val="uk-UA"/>
        </w:rPr>
        <w:t>об'єкту кримінального правопорушення проти здоров'я населення</w:t>
      </w:r>
      <w:r w:rsidRPr="00511005">
        <w:rPr>
          <w:rFonts w:ascii="Arial" w:eastAsia="Calibri" w:hAnsi="Arial" w:cs="Arial"/>
          <w:szCs w:val="28"/>
          <w:lang w:val="uk-UA"/>
        </w:rPr>
        <w:t xml:space="preserve"> — це охоронюване кримінальним законом суспільне благо, яке полягає у збереженні та забезпеченні здоров’я населення як колективної соціальної цінності, що гарантує належний рівень життєдіяльності, демографічної безпеки та біологічного існування суспільства.</w:t>
      </w:r>
    </w:p>
    <w:p w14:paraId="7A0D85AC"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Особливістю об’єкта є його </w:t>
      </w:r>
      <w:r w:rsidRPr="00511005">
        <w:rPr>
          <w:rFonts w:ascii="Arial" w:eastAsia="Calibri" w:hAnsi="Arial" w:cs="Arial"/>
          <w:bCs/>
          <w:szCs w:val="28"/>
          <w:lang w:val="uk-UA"/>
        </w:rPr>
        <w:t>колективний характер</w:t>
      </w:r>
      <w:r w:rsidRPr="00511005">
        <w:rPr>
          <w:rFonts w:ascii="Arial" w:eastAsia="Calibri" w:hAnsi="Arial" w:cs="Arial"/>
          <w:szCs w:val="28"/>
          <w:lang w:val="uk-UA"/>
        </w:rPr>
        <w:t xml:space="preserve">: шкода, яка завдається такими злочинами, зачіпає не окрему особу, а широке коло осіб або потенційно загрожує всьому населенню. Тому об’єктом кримінально-правової охорони в даному випадку є не лише індивідуальне здоров’я особи, а й </w:t>
      </w:r>
      <w:r w:rsidRPr="00511005">
        <w:rPr>
          <w:rFonts w:ascii="Arial" w:eastAsia="Calibri" w:hAnsi="Arial" w:cs="Arial"/>
          <w:bCs/>
          <w:szCs w:val="28"/>
          <w:lang w:val="uk-UA"/>
        </w:rPr>
        <w:t>здоров’я як суспільна цінність у масштабах нації</w:t>
      </w:r>
      <w:r w:rsidRPr="00511005">
        <w:rPr>
          <w:rFonts w:ascii="Arial" w:eastAsia="Calibri" w:hAnsi="Arial" w:cs="Arial"/>
          <w:szCs w:val="28"/>
          <w:lang w:val="uk-UA"/>
        </w:rPr>
        <w:t>.</w:t>
      </w:r>
    </w:p>
    <w:p w14:paraId="73CE03C1"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Так ч.1 ст. 314 КК України передбачає: «Незаконне введення будь-яким способом наркотичних засобів, психотропних речовин або їх аналогів в організм іншої особи проти її волі». Тобто діяння передбачає ігнорування волі потерпілого і це ні як не посягає на здоров’я населення, не розбещує населення у сфері прийому наркотичних засобів. Тобто відбувається посягання на соціальне благо конкретної особи.</w:t>
      </w:r>
    </w:p>
    <w:p w14:paraId="4172EF16"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Але варто зазначити, що науковці безпосереднім об’єктом ст. 314 КК України виділяють здоров’я конкретної особи і це є вірним твердженням [4]. </w:t>
      </w:r>
    </w:p>
    <w:p w14:paraId="714AEF16"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Якщо аналізувати медичний критерій, то вплив психоактивних речовин на людський організм, його життєдіяльність і функціонування проявляється у двох основних напрямах. По-перше, наркотичні засоби чинять специфічну дію на мозкові структури та функціональні системи, що призводить до формування синдрому залежності — ключового клінічного прояву наркологічних захворювань. По-друге, ці речовини мають токсичний вплив майже на всі внутрішні органи та системи організму </w:t>
      </w:r>
      <w:r w:rsidRPr="00511005">
        <w:rPr>
          <w:rFonts w:ascii="Arial" w:eastAsia="Calibri" w:hAnsi="Arial" w:cs="Arial"/>
          <w:szCs w:val="28"/>
        </w:rPr>
        <w:t>[6]</w:t>
      </w:r>
      <w:r w:rsidRPr="00511005">
        <w:rPr>
          <w:rFonts w:ascii="Arial" w:eastAsia="Calibri" w:hAnsi="Arial" w:cs="Arial"/>
          <w:szCs w:val="28"/>
          <w:lang w:val="uk-UA"/>
        </w:rPr>
        <w:t>.</w:t>
      </w:r>
    </w:p>
    <w:p w14:paraId="62C325DC"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І в більшості випадків при веденні в організм наркотичних засобів, психотропних речовин або їх аналогів настануть наслідки передбачені ч. 2 ст. 314 КК України, а саме: залежність, середньої тяжкості чи тяжке тілесне ушкодження потерпілому.</w:t>
      </w:r>
    </w:p>
    <w:p w14:paraId="73906753"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Якщо аналізувати досвід зарубіжних країн що до вирішення цього питання то, наприклад Кримінальний кодекс Республіки Казахстан, не містить відповідної норми, натомість один із зазначених наслідків буде складати об’єктивну сторону ст. 106 Умисне тяжке тілесне ушкодження. В цьому випадку безпосереднім об’єктом охорони буде здоров’я особи, а додатковим факультативним об’єктом охорони виступає кримінальне порушення </w:t>
      </w:r>
      <w:r w:rsidRPr="00511005">
        <w:rPr>
          <w:rFonts w:ascii="Arial" w:eastAsia="Calibri" w:hAnsi="Arial" w:cs="Arial"/>
          <w:bCs/>
          <w:szCs w:val="28"/>
          <w:lang w:val="uk-UA"/>
        </w:rPr>
        <w:t>сфері обігу наркотичних засобів, психотропних речовин, їх аналогів або прекурсорів</w:t>
      </w:r>
      <w:r w:rsidRPr="00511005">
        <w:rPr>
          <w:rFonts w:ascii="Arial" w:eastAsia="Calibri" w:hAnsi="Arial" w:cs="Arial"/>
          <w:szCs w:val="28"/>
          <w:lang w:val="uk-UA"/>
        </w:rPr>
        <w:t xml:space="preserve"> [7].</w:t>
      </w:r>
    </w:p>
    <w:p w14:paraId="05D8C568"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 Борчашвили И.Ш. виділяє тяжкі тілесні ушкоджень, що не небезпечними для життя ушкодженнями, але спричинили тяжку шкоду здоров'ю за результатами та наслідкам, є наявність: психічного розладу (психічного захворювання), наркоманії, токсикоманії.</w:t>
      </w:r>
    </w:p>
    <w:p w14:paraId="6819C9C5"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Отже, у межах аналізу ст. 314 КК України визначено, що безпосереднім об’єктом кримінального правопорушення, передбаченого цією нормою, є здоров’я </w:t>
      </w:r>
      <w:r w:rsidRPr="00511005">
        <w:rPr>
          <w:rFonts w:ascii="Arial" w:eastAsia="Calibri" w:hAnsi="Arial" w:cs="Arial"/>
          <w:bCs/>
          <w:szCs w:val="28"/>
          <w:lang w:val="uk-UA"/>
        </w:rPr>
        <w:t>конкретної особи</w:t>
      </w:r>
      <w:r w:rsidRPr="00511005">
        <w:rPr>
          <w:rFonts w:ascii="Arial" w:eastAsia="Calibri" w:hAnsi="Arial" w:cs="Arial"/>
          <w:szCs w:val="28"/>
          <w:lang w:val="uk-UA"/>
        </w:rPr>
        <w:t xml:space="preserve">, а не здоров’я </w:t>
      </w:r>
      <w:r w:rsidRPr="00511005">
        <w:rPr>
          <w:rFonts w:ascii="Arial" w:eastAsia="Calibri" w:hAnsi="Arial" w:cs="Arial"/>
          <w:bCs/>
          <w:szCs w:val="28"/>
          <w:lang w:val="uk-UA"/>
        </w:rPr>
        <w:t>населення загалом</w:t>
      </w:r>
      <w:r w:rsidRPr="00511005">
        <w:rPr>
          <w:rFonts w:ascii="Arial" w:eastAsia="Calibri" w:hAnsi="Arial" w:cs="Arial"/>
          <w:szCs w:val="28"/>
          <w:lang w:val="uk-UA"/>
        </w:rPr>
        <w:t xml:space="preserve">, як це іноді тлумачиться. Незаконне введення наркотичних засобів проти волі особи не створює загрозу всьому суспільству, а завдає шкоди конкретно-визначеному суб’єкту. </w:t>
      </w:r>
    </w:p>
    <w:p w14:paraId="405E841A" w14:textId="7D568008" w:rsidR="00200E87" w:rsidRPr="00511005" w:rsidRDefault="007B2628" w:rsidP="007B2628">
      <w:pPr>
        <w:spacing w:line="264" w:lineRule="auto"/>
        <w:ind w:firstLine="0"/>
        <w:jc w:val="center"/>
        <w:rPr>
          <w:rFonts w:ascii="Arial" w:eastAsia="Calibri" w:hAnsi="Arial" w:cs="Arial"/>
          <w:b/>
          <w:iCs/>
          <w:szCs w:val="28"/>
          <w:lang w:val="uk-UA"/>
        </w:rPr>
      </w:pPr>
      <w:r w:rsidRPr="00511005">
        <w:rPr>
          <w:rFonts w:ascii="Arial" w:eastAsia="Calibri" w:hAnsi="Arial" w:cs="Arial"/>
          <w:b/>
          <w:iCs/>
          <w:szCs w:val="28"/>
          <w:lang w:val="uk-UA"/>
        </w:rPr>
        <w:t>Список використаних джерел</w:t>
      </w:r>
    </w:p>
    <w:p w14:paraId="04FEA4C1" w14:textId="77777777" w:rsidR="00200E87" w:rsidRPr="00511005" w:rsidRDefault="00200E87" w:rsidP="003F6A5D">
      <w:pPr>
        <w:numPr>
          <w:ilvl w:val="0"/>
          <w:numId w:val="500"/>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Чугуніков І. І. Додатковий об’єкт злочину: проблема визначення та класифікації / І. І. Чугуніков // Правове життя сучасної України : у 3 т. : матеріали Міжнар. наук.-практ. конф. (м. Одеса, 15 трав. 2020 р.) / відп. </w:t>
      </w:r>
      <w:r w:rsidRPr="00511005">
        <w:rPr>
          <w:rFonts w:ascii="Arial" w:eastAsia="Calibri" w:hAnsi="Arial" w:cs="Arial"/>
          <w:szCs w:val="28"/>
          <w:lang w:val="uk-UA"/>
        </w:rPr>
        <w:lastRenderedPageBreak/>
        <w:t>ред. М. Р. Аракелян. – Одеса : Гельветика, 2020. – Т. 3. – С. 151-155.</w:t>
      </w:r>
      <w:r w:rsidRPr="00511005">
        <w:rPr>
          <w:rFonts w:ascii="Arial" w:eastAsia="Calibri" w:hAnsi="Arial" w:cs="Arial"/>
          <w:szCs w:val="28"/>
        </w:rPr>
        <w:t xml:space="preserve"> </w:t>
      </w:r>
      <w:r w:rsidRPr="00511005">
        <w:rPr>
          <w:rFonts w:ascii="Arial" w:eastAsia="Calibri" w:hAnsi="Arial" w:cs="Arial"/>
          <w:szCs w:val="28"/>
          <w:lang w:val="en-US"/>
        </w:rPr>
        <w:t xml:space="preserve">URL: </w:t>
      </w:r>
      <w:hyperlink r:id="rId1775" w:history="1">
        <w:r w:rsidRPr="00511005">
          <w:rPr>
            <w:rFonts w:ascii="Arial" w:eastAsia="Calibri" w:hAnsi="Arial" w:cs="Arial"/>
            <w:szCs w:val="28"/>
            <w:lang w:val="uk-UA"/>
          </w:rPr>
          <w:t>https://hdl.handle.net/11300/13259</w:t>
        </w:r>
      </w:hyperlink>
    </w:p>
    <w:p w14:paraId="666F6E29" w14:textId="77777777" w:rsidR="007B2628" w:rsidRPr="00511005" w:rsidRDefault="00200E87" w:rsidP="003F6A5D">
      <w:pPr>
        <w:numPr>
          <w:ilvl w:val="0"/>
          <w:numId w:val="500"/>
        </w:numPr>
        <w:spacing w:line="264" w:lineRule="auto"/>
        <w:jc w:val="left"/>
        <w:rPr>
          <w:rFonts w:ascii="Arial" w:eastAsia="Calibri" w:hAnsi="Arial" w:cs="Arial"/>
          <w:szCs w:val="28"/>
          <w:lang w:val="uk-UA"/>
        </w:rPr>
      </w:pPr>
      <w:r w:rsidRPr="00511005">
        <w:rPr>
          <w:rFonts w:ascii="Arial" w:eastAsia="Calibri" w:hAnsi="Arial" w:cs="Arial"/>
          <w:szCs w:val="28"/>
          <w:lang w:val="uk-UA"/>
        </w:rPr>
        <w:t>Ромашкін С.І. Об’єкт кримінального правопорушення, передбаченого ст. 146-1 кримінального кодексу україни. </w:t>
      </w:r>
      <w:r w:rsidRPr="00511005">
        <w:rPr>
          <w:rFonts w:ascii="Arial" w:eastAsia="Calibri" w:hAnsi="Arial" w:cs="Arial"/>
          <w:i/>
          <w:iCs/>
          <w:szCs w:val="28"/>
          <w:lang w:val="uk-UA"/>
        </w:rPr>
        <w:t>Юридичний науковий електронний журнал</w:t>
      </w:r>
      <w:r w:rsidRPr="00511005">
        <w:rPr>
          <w:rFonts w:ascii="Arial" w:eastAsia="Calibri" w:hAnsi="Arial" w:cs="Arial"/>
          <w:szCs w:val="28"/>
          <w:lang w:val="uk-UA"/>
        </w:rPr>
        <w:t>. 2022. № 9. С. 426–429. URL: </w:t>
      </w:r>
      <w:hyperlink r:id="rId1776" w:tgtFrame="_blank" w:history="1">
        <w:r w:rsidRPr="00511005">
          <w:rPr>
            <w:rFonts w:ascii="Arial" w:eastAsia="Calibri" w:hAnsi="Arial" w:cs="Arial"/>
            <w:szCs w:val="28"/>
            <w:lang w:val="uk-UA"/>
          </w:rPr>
          <w:t>http://lsej.org.ua/9_2022/105.pdf</w:t>
        </w:r>
      </w:hyperlink>
      <w:r w:rsidRPr="00511005">
        <w:rPr>
          <w:rFonts w:ascii="Arial" w:eastAsia="Calibri" w:hAnsi="Arial" w:cs="Arial"/>
          <w:szCs w:val="28"/>
          <w:lang w:val="uk-UA"/>
        </w:rPr>
        <w:t>.</w:t>
      </w:r>
    </w:p>
    <w:p w14:paraId="6B46F766" w14:textId="06C8F519" w:rsidR="00200E87" w:rsidRPr="00511005" w:rsidRDefault="00200E87" w:rsidP="003F6A5D">
      <w:pPr>
        <w:numPr>
          <w:ilvl w:val="0"/>
          <w:numId w:val="500"/>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Кримінальне право України : Загальна частина : тексти лекК82 цій : навчально-методичний посібник / авт. : А. Я. Берш, В. П. Кедик, Е. Е. Кузьмін [та ін.] ; за заг. ред. Н. А. Мирошниченко, Є. Л. Стрельцова ; Нац. ун-т «Одес. юрид. акад.». — Одеса : Астропрінт, 2022. — 328 с. — (Серія «Сила права * Power of Law»). URL: </w:t>
      </w:r>
      <w:hyperlink r:id="rId1777" w:history="1">
        <w:r w:rsidRPr="00511005">
          <w:rPr>
            <w:rFonts w:ascii="Arial" w:eastAsia="Calibri" w:hAnsi="Arial" w:cs="Arial"/>
            <w:szCs w:val="28"/>
            <w:lang w:val="uk-UA"/>
          </w:rPr>
          <w:t>https://hdl.handle.net/11300/24489</w:t>
        </w:r>
      </w:hyperlink>
      <w:r w:rsidRPr="00511005">
        <w:rPr>
          <w:rFonts w:ascii="Arial" w:eastAsia="Calibri" w:hAnsi="Arial" w:cs="Arial"/>
          <w:szCs w:val="28"/>
          <w:lang w:val="uk-UA"/>
        </w:rPr>
        <w:t xml:space="preserve"> </w:t>
      </w:r>
    </w:p>
    <w:p w14:paraId="1C8DFCB1" w14:textId="77777777" w:rsidR="00200E87" w:rsidRPr="00511005" w:rsidRDefault="00200E87" w:rsidP="003F6A5D">
      <w:pPr>
        <w:numPr>
          <w:ilvl w:val="0"/>
          <w:numId w:val="500"/>
        </w:numPr>
        <w:spacing w:line="264" w:lineRule="auto"/>
        <w:jc w:val="left"/>
        <w:rPr>
          <w:rFonts w:ascii="Arial" w:eastAsia="Calibri" w:hAnsi="Arial" w:cs="Arial"/>
          <w:szCs w:val="28"/>
          <w:lang w:val="uk-UA"/>
        </w:rPr>
      </w:pPr>
      <w:r w:rsidRPr="00511005">
        <w:rPr>
          <w:rFonts w:ascii="Arial" w:eastAsia="Calibri" w:hAnsi="Arial" w:cs="Arial"/>
          <w:szCs w:val="28"/>
          <w:lang w:val="uk-UA"/>
        </w:rPr>
        <w:t>Науково-практичний коментар до статті 314 Кримінального кодексу України. </w:t>
      </w:r>
      <w:r w:rsidRPr="00511005">
        <w:rPr>
          <w:rFonts w:ascii="Arial" w:eastAsia="Calibri" w:hAnsi="Arial" w:cs="Arial"/>
          <w:i/>
          <w:iCs/>
          <w:szCs w:val="28"/>
          <w:lang w:val="uk-UA"/>
        </w:rPr>
        <w:t>LIGA 360</w:t>
      </w:r>
      <w:r w:rsidRPr="00511005">
        <w:rPr>
          <w:rFonts w:ascii="Arial" w:eastAsia="Calibri" w:hAnsi="Arial" w:cs="Arial"/>
          <w:szCs w:val="28"/>
          <w:lang w:val="uk-UA"/>
        </w:rPr>
        <w:t>. URL: </w:t>
      </w:r>
      <w:hyperlink r:id="rId1778" w:tgtFrame="_blank" w:history="1">
        <w:r w:rsidRPr="00511005">
          <w:rPr>
            <w:rFonts w:ascii="Arial" w:eastAsia="Calibri" w:hAnsi="Arial" w:cs="Arial"/>
            <w:szCs w:val="28"/>
            <w:lang w:val="uk-UA"/>
          </w:rPr>
          <w:t>https://ips.ligazakon.net/document/KK004833</w:t>
        </w:r>
      </w:hyperlink>
      <w:r w:rsidRPr="00511005">
        <w:rPr>
          <w:rFonts w:ascii="Arial" w:eastAsia="Calibri" w:hAnsi="Arial" w:cs="Arial"/>
          <w:szCs w:val="28"/>
          <w:lang w:val="uk-UA"/>
        </w:rPr>
        <w:t xml:space="preserve"> </w:t>
      </w:r>
    </w:p>
    <w:p w14:paraId="0E23D6DD" w14:textId="77777777" w:rsidR="00200E87" w:rsidRPr="00511005" w:rsidRDefault="00200E87" w:rsidP="003F6A5D">
      <w:pPr>
        <w:numPr>
          <w:ilvl w:val="0"/>
          <w:numId w:val="500"/>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Кримінальний кодекс України : Закон України від 05 квітня 2001 року № 2314-ІІІ. URL: </w:t>
      </w:r>
      <w:hyperlink r:id="rId1779" w:anchor="n744" w:history="1">
        <w:r w:rsidRPr="00511005">
          <w:rPr>
            <w:rFonts w:ascii="Arial" w:eastAsia="Calibri" w:hAnsi="Arial" w:cs="Arial"/>
            <w:szCs w:val="28"/>
            <w:lang w:val="uk-UA"/>
          </w:rPr>
          <w:t>https://zakon.rada.gov.ua/laws/show/2341-14#n744</w:t>
        </w:r>
      </w:hyperlink>
      <w:r w:rsidRPr="00511005">
        <w:rPr>
          <w:rFonts w:ascii="Arial" w:eastAsia="Calibri" w:hAnsi="Arial" w:cs="Arial"/>
          <w:szCs w:val="28"/>
          <w:lang w:val="uk-UA"/>
        </w:rPr>
        <w:t xml:space="preserve"> </w:t>
      </w:r>
    </w:p>
    <w:p w14:paraId="0FF6977B" w14:textId="77777777" w:rsidR="00200E87" w:rsidRPr="00511005" w:rsidRDefault="00200E87" w:rsidP="003F6A5D">
      <w:pPr>
        <w:numPr>
          <w:ilvl w:val="0"/>
          <w:numId w:val="500"/>
        </w:numPr>
        <w:spacing w:line="264" w:lineRule="auto"/>
        <w:jc w:val="left"/>
        <w:rPr>
          <w:rFonts w:ascii="Arial" w:eastAsia="Calibri" w:hAnsi="Arial" w:cs="Arial"/>
          <w:szCs w:val="28"/>
          <w:lang w:val="uk-UA"/>
        </w:rPr>
      </w:pPr>
      <w:r w:rsidRPr="00511005">
        <w:rPr>
          <w:rFonts w:ascii="Arial" w:eastAsia="Calibri" w:hAnsi="Arial" w:cs="Arial"/>
          <w:szCs w:val="28"/>
          <w:lang w:val="uk-UA"/>
        </w:rPr>
        <w:t>РОЗДІЛ 2. Механізми формування наркотичної залежності. </w:t>
      </w:r>
      <w:r w:rsidRPr="00511005">
        <w:rPr>
          <w:rFonts w:ascii="Arial" w:eastAsia="Calibri" w:hAnsi="Arial" w:cs="Arial"/>
          <w:i/>
          <w:iCs/>
          <w:szCs w:val="28"/>
          <w:lang w:val="uk-UA"/>
        </w:rPr>
        <w:t>Медицина світу</w:t>
      </w:r>
      <w:r w:rsidRPr="00511005">
        <w:rPr>
          <w:rFonts w:ascii="Arial" w:eastAsia="Calibri" w:hAnsi="Arial" w:cs="Arial"/>
          <w:szCs w:val="28"/>
          <w:lang w:val="uk-UA"/>
        </w:rPr>
        <w:t>. URL: </w:t>
      </w:r>
      <w:hyperlink r:id="rId1780" w:tgtFrame="_blank" w:history="1">
        <w:r w:rsidRPr="00511005">
          <w:rPr>
            <w:rFonts w:ascii="Arial" w:eastAsia="Calibri" w:hAnsi="Arial" w:cs="Arial"/>
            <w:szCs w:val="28"/>
            <w:lang w:val="uk-UA"/>
          </w:rPr>
          <w:t>http://msvitu.com/pages/medical-books/opioidy/2-Narko.indd.pdf</w:t>
        </w:r>
      </w:hyperlink>
      <w:r w:rsidRPr="00511005">
        <w:rPr>
          <w:rFonts w:ascii="Arial" w:eastAsia="Calibri" w:hAnsi="Arial" w:cs="Arial"/>
          <w:szCs w:val="28"/>
          <w:lang w:val="uk-UA"/>
        </w:rPr>
        <w:t>.</w:t>
      </w:r>
    </w:p>
    <w:p w14:paraId="021E1032" w14:textId="77777777" w:rsidR="00200E87" w:rsidRPr="00511005" w:rsidRDefault="00200E87" w:rsidP="003F6A5D">
      <w:pPr>
        <w:numPr>
          <w:ilvl w:val="0"/>
          <w:numId w:val="500"/>
        </w:numPr>
        <w:spacing w:line="264" w:lineRule="auto"/>
        <w:jc w:val="left"/>
        <w:rPr>
          <w:rFonts w:ascii="Arial" w:eastAsia="Calibri" w:hAnsi="Arial" w:cs="Arial"/>
          <w:szCs w:val="28"/>
          <w:lang w:val="uk-UA"/>
        </w:rPr>
      </w:pPr>
      <w:r w:rsidRPr="00511005">
        <w:rPr>
          <w:rFonts w:ascii="Arial" w:eastAsia="Calibri" w:hAnsi="Arial" w:cs="Arial"/>
          <w:szCs w:val="28"/>
          <w:lang w:val="uk-UA"/>
        </w:rPr>
        <w:t>Борчашвили И.Ш. Коментар до Кримінального кодексу Республіки Казахстан (Особлива частин)). </w:t>
      </w:r>
      <w:r w:rsidRPr="00511005">
        <w:rPr>
          <w:rFonts w:ascii="Arial" w:eastAsia="Calibri" w:hAnsi="Arial" w:cs="Arial"/>
          <w:i/>
          <w:iCs/>
          <w:szCs w:val="28"/>
          <w:lang w:val="uk-UA"/>
        </w:rPr>
        <w:t>Учет.kz</w:t>
      </w:r>
      <w:r w:rsidRPr="00511005">
        <w:rPr>
          <w:rFonts w:ascii="Arial" w:eastAsia="Calibri" w:hAnsi="Arial" w:cs="Arial"/>
          <w:szCs w:val="28"/>
          <w:lang w:val="uk-UA"/>
        </w:rPr>
        <w:t>. URL: </w:t>
      </w:r>
      <w:hyperlink r:id="rId1781" w:tgtFrame="_blank" w:history="1">
        <w:r w:rsidRPr="00511005">
          <w:rPr>
            <w:rFonts w:ascii="Arial" w:eastAsia="Calibri" w:hAnsi="Arial" w:cs="Arial"/>
            <w:szCs w:val="28"/>
            <w:lang w:val="uk-UA"/>
          </w:rPr>
          <w:t>https://zakon.uchet.kz/rus/docs/T9700167_1_</w:t>
        </w:r>
      </w:hyperlink>
      <w:r w:rsidRPr="00511005">
        <w:rPr>
          <w:rFonts w:ascii="Arial" w:eastAsia="Calibri" w:hAnsi="Arial" w:cs="Arial"/>
          <w:szCs w:val="28"/>
          <w:lang w:val="uk-UA"/>
        </w:rPr>
        <w:t>.</w:t>
      </w:r>
    </w:p>
    <w:p w14:paraId="565FFEB7" w14:textId="77777777" w:rsidR="00200E87" w:rsidRPr="00511005" w:rsidRDefault="00200E87" w:rsidP="003A292D">
      <w:pPr>
        <w:spacing w:line="264" w:lineRule="auto"/>
        <w:ind w:firstLine="0"/>
        <w:rPr>
          <w:rFonts w:ascii="Arial" w:eastAsia="Calibri" w:hAnsi="Arial" w:cs="Arial"/>
          <w:b/>
          <w:szCs w:val="28"/>
          <w:lang w:val="uk-UA"/>
        </w:rPr>
      </w:pPr>
    </w:p>
    <w:p w14:paraId="3BBBA74C" w14:textId="0D3CFC2F"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00E87" w:rsidRPr="00511005">
        <w:rPr>
          <w:rFonts w:ascii="Arial" w:eastAsia="Calibri" w:hAnsi="Arial" w:cs="Arial"/>
          <w:szCs w:val="28"/>
          <w:lang w:val="uk-UA"/>
        </w:rPr>
        <w:t>кримінальне право</w:t>
      </w:r>
      <w:r w:rsidR="00200E87" w:rsidRPr="00511005">
        <w:rPr>
          <w:rFonts w:ascii="Arial" w:eastAsia="Calibri" w:hAnsi="Arial" w:cs="Arial"/>
          <w:b/>
          <w:szCs w:val="28"/>
          <w:lang w:val="uk-UA"/>
        </w:rPr>
        <w:t xml:space="preserve">, </w:t>
      </w:r>
      <w:r w:rsidR="00200E87" w:rsidRPr="00511005">
        <w:rPr>
          <w:rFonts w:ascii="Arial" w:eastAsia="Calibri" w:hAnsi="Arial" w:cs="Arial"/>
          <w:szCs w:val="28"/>
          <w:lang w:val="uk-UA"/>
        </w:rPr>
        <w:t>об’єкт кримінального правопорушення, проблема визначення об’єкту кримінального правопорушення, кваліфікація кримінального правопорушення.</w:t>
      </w:r>
    </w:p>
    <w:p w14:paraId="290DDFE9" w14:textId="2B367446"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200E87" w:rsidRPr="00511005">
        <w:rPr>
          <w:rFonts w:ascii="Arial" w:eastAsia="Calibri" w:hAnsi="Arial" w:cs="Arial"/>
          <w:szCs w:val="28"/>
          <w:lang w:val="uk-UA"/>
        </w:rPr>
        <w:t>criminal law, object of a criminal offense, problem of determining the object of a criminal offense, qualification of a criminal offense.</w:t>
      </w:r>
    </w:p>
    <w:p w14:paraId="1453A432" w14:textId="6912D11E" w:rsidR="00200E87" w:rsidRPr="00511005" w:rsidRDefault="007B2628" w:rsidP="003A292D">
      <w:pPr>
        <w:spacing w:line="264" w:lineRule="auto"/>
        <w:ind w:firstLine="0"/>
        <w:rPr>
          <w:rFonts w:ascii="Arial" w:eastAsia="Times New Roman" w:hAnsi="Arial" w:cs="Arial"/>
          <w:bCs/>
          <w:i/>
          <w:iCs/>
          <w:szCs w:val="28"/>
          <w:lang w:eastAsia="ru-RU"/>
        </w:rPr>
      </w:pPr>
      <w:r w:rsidRPr="00511005">
        <w:rPr>
          <w:rFonts w:ascii="Arial" w:eastAsia="Times New Roman" w:hAnsi="Arial" w:cs="Arial"/>
          <w:b/>
          <w:bCs/>
          <w:i/>
          <w:iCs/>
          <w:szCs w:val="28"/>
          <w:lang w:val="uk-UA" w:eastAsia="ru-RU"/>
        </w:rPr>
        <w:t xml:space="preserve">Науковий керівник: </w:t>
      </w:r>
      <w:r w:rsidR="00200E87" w:rsidRPr="00511005">
        <w:rPr>
          <w:rFonts w:ascii="Arial" w:eastAsia="Times New Roman" w:hAnsi="Arial" w:cs="Arial"/>
          <w:bCs/>
          <w:i/>
          <w:iCs/>
          <w:szCs w:val="28"/>
          <w:lang w:val="uk-UA" w:eastAsia="ru-RU"/>
        </w:rPr>
        <w:t xml:space="preserve">к.ю.н., доцент </w:t>
      </w:r>
      <w:r w:rsidR="00200E87" w:rsidRPr="00511005">
        <w:rPr>
          <w:rFonts w:ascii="Arial" w:eastAsia="Times New Roman" w:hAnsi="Arial" w:cs="Arial"/>
          <w:bCs/>
          <w:i/>
          <w:iCs/>
          <w:szCs w:val="28"/>
          <w:lang w:eastAsia="ru-RU"/>
        </w:rPr>
        <w:t>Чугуніков І. І.</w:t>
      </w:r>
    </w:p>
    <w:p w14:paraId="67CECEA1" w14:textId="77777777" w:rsidR="00200E87" w:rsidRPr="00511005" w:rsidRDefault="00200E87" w:rsidP="003A292D">
      <w:pPr>
        <w:spacing w:line="264" w:lineRule="auto"/>
        <w:ind w:firstLine="0"/>
        <w:jc w:val="center"/>
        <w:rPr>
          <w:rFonts w:ascii="Arial" w:eastAsia="Calibri" w:hAnsi="Arial" w:cs="Arial"/>
          <w:b/>
          <w:szCs w:val="28"/>
          <w:lang w:val="uk-UA"/>
        </w:rPr>
      </w:pPr>
    </w:p>
    <w:p w14:paraId="1D799F84" w14:textId="77777777" w:rsidR="00200E87" w:rsidRPr="00511005" w:rsidRDefault="00200E87" w:rsidP="003A292D">
      <w:pPr>
        <w:spacing w:line="264" w:lineRule="auto"/>
        <w:ind w:firstLine="0"/>
        <w:jc w:val="center"/>
        <w:rPr>
          <w:rFonts w:ascii="Arial" w:eastAsia="Calibri" w:hAnsi="Arial" w:cs="Arial"/>
          <w:b/>
          <w:szCs w:val="28"/>
          <w:lang w:val="uk-UA"/>
        </w:rPr>
      </w:pPr>
    </w:p>
    <w:p w14:paraId="5DE95A87" w14:textId="77777777" w:rsidR="00200E87" w:rsidRPr="00511005" w:rsidRDefault="00200E87" w:rsidP="003A292D">
      <w:pPr>
        <w:spacing w:line="264" w:lineRule="auto"/>
        <w:ind w:firstLine="0"/>
        <w:jc w:val="center"/>
        <w:rPr>
          <w:rFonts w:ascii="Arial" w:eastAsia="Times New Roman" w:hAnsi="Arial" w:cs="Arial"/>
          <w:i/>
          <w:szCs w:val="28"/>
          <w:lang w:val="uk-UA" w:eastAsia="ru-RU"/>
        </w:rPr>
      </w:pPr>
      <w:r w:rsidRPr="00511005">
        <w:rPr>
          <w:rFonts w:ascii="Arial" w:eastAsia="Times New Roman" w:hAnsi="Arial" w:cs="Arial"/>
          <w:b/>
          <w:bCs/>
          <w:i/>
          <w:iCs/>
          <w:szCs w:val="28"/>
          <w:lang w:val="uk-UA" w:eastAsia="ru-RU"/>
        </w:rPr>
        <w:t>Бугаєвська Єлизавета Євгенівна</w:t>
      </w:r>
      <w:r w:rsidRPr="00511005">
        <w:rPr>
          <w:rFonts w:ascii="Arial" w:eastAsia="Times New Roman" w:hAnsi="Arial" w:cs="Arial"/>
          <w:b/>
          <w:bCs/>
          <w:i/>
          <w:iCs/>
          <w:szCs w:val="28"/>
          <w:lang w:eastAsia="ru-RU"/>
        </w:rPr>
        <w:t> </w:t>
      </w:r>
    </w:p>
    <w:p w14:paraId="5C42C322" w14:textId="355E85CB" w:rsidR="00200E87" w:rsidRPr="00511005" w:rsidRDefault="00536AAB" w:rsidP="003A292D">
      <w:pPr>
        <w:spacing w:line="264" w:lineRule="auto"/>
        <w:ind w:right="508"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3-го курсу </w:t>
      </w:r>
      <w:r w:rsidR="007B2628" w:rsidRPr="00511005">
        <w:rPr>
          <w:rFonts w:ascii="Arial" w:eastAsia="Times New Roman" w:hAnsi="Arial" w:cs="Arial"/>
          <w:szCs w:val="28"/>
          <w:lang w:val="uk-UA" w:eastAsia="ru-RU"/>
        </w:rPr>
        <w:t>факультету цивільної та господарської юстиції</w:t>
      </w:r>
      <w:r w:rsidR="00200E87" w:rsidRPr="00511005">
        <w:rPr>
          <w:rFonts w:ascii="Arial" w:eastAsia="Times New Roman" w:hAnsi="Arial" w:cs="Arial"/>
          <w:szCs w:val="28"/>
          <w:lang w:val="uk-UA" w:eastAsia="ru-RU"/>
        </w:rPr>
        <w:t xml:space="preserve"> </w:t>
      </w:r>
      <w:r w:rsidR="007B2628" w:rsidRPr="00511005">
        <w:rPr>
          <w:rFonts w:ascii="Arial" w:eastAsia="Times New Roman" w:hAnsi="Arial" w:cs="Arial"/>
          <w:szCs w:val="28"/>
          <w:lang w:val="uk-UA" w:eastAsia="ru-RU"/>
        </w:rPr>
        <w:t>Національного університету «Одеська юридична академія»</w:t>
      </w:r>
      <w:r w:rsidR="00200E87" w:rsidRPr="00511005">
        <w:rPr>
          <w:rFonts w:ascii="Arial" w:eastAsia="Times New Roman" w:hAnsi="Arial" w:cs="Arial"/>
          <w:szCs w:val="28"/>
          <w:lang w:eastAsia="ru-RU"/>
        </w:rPr>
        <w:t> </w:t>
      </w:r>
    </w:p>
    <w:p w14:paraId="0844E43E" w14:textId="77777777" w:rsidR="00200E87" w:rsidRPr="00511005" w:rsidRDefault="00200E87" w:rsidP="003A292D">
      <w:pPr>
        <w:spacing w:line="264" w:lineRule="auto"/>
        <w:ind w:firstLine="0"/>
        <w:jc w:val="left"/>
        <w:rPr>
          <w:rFonts w:ascii="Arial" w:eastAsia="Times New Roman" w:hAnsi="Arial" w:cs="Arial"/>
          <w:b/>
          <w:bCs/>
          <w:szCs w:val="28"/>
          <w:lang w:val="uk-UA" w:eastAsia="ru-RU"/>
        </w:rPr>
      </w:pPr>
    </w:p>
    <w:p w14:paraId="55F4DFC9" w14:textId="7DB55889" w:rsidR="00200E87" w:rsidRPr="00511005" w:rsidRDefault="00200E87" w:rsidP="00064CEB">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eastAsia="ru-RU"/>
        </w:rPr>
        <w:t>ОСОБЛИВОСТІ ПРИЗНАЧЕННЯ</w:t>
      </w:r>
      <w:r w:rsidR="007B2628" w:rsidRPr="00511005">
        <w:rPr>
          <w:rFonts w:ascii="Arial" w:eastAsia="Times New Roman" w:hAnsi="Arial" w:cs="Arial"/>
          <w:b/>
          <w:bCs/>
          <w:szCs w:val="28"/>
          <w:lang w:eastAsia="ru-RU"/>
        </w:rPr>
        <w:t xml:space="preserve"> </w:t>
      </w:r>
      <w:r w:rsidRPr="00511005">
        <w:rPr>
          <w:rFonts w:ascii="Arial" w:eastAsia="Times New Roman" w:hAnsi="Arial" w:cs="Arial"/>
          <w:b/>
          <w:bCs/>
          <w:szCs w:val="28"/>
          <w:lang w:eastAsia="ru-RU"/>
        </w:rPr>
        <w:t>ПОКАРАННЯ НЕПОВНОЛІТНІМ</w:t>
      </w:r>
    </w:p>
    <w:p w14:paraId="2E3A03E1" w14:textId="77777777" w:rsidR="00200E87" w:rsidRPr="00511005" w:rsidRDefault="00200E87" w:rsidP="003A292D">
      <w:pPr>
        <w:spacing w:line="264" w:lineRule="auto"/>
        <w:ind w:firstLine="0"/>
        <w:jc w:val="left"/>
        <w:rPr>
          <w:rFonts w:ascii="Arial" w:eastAsia="Times New Roman" w:hAnsi="Arial" w:cs="Arial"/>
          <w:szCs w:val="28"/>
          <w:lang w:eastAsia="ru-RU"/>
        </w:rPr>
      </w:pPr>
    </w:p>
    <w:p w14:paraId="0A8A1307" w14:textId="77777777" w:rsidR="007B2628" w:rsidRPr="00511005" w:rsidRDefault="00200E87" w:rsidP="00064CEB">
      <w:pPr>
        <w:spacing w:line="264" w:lineRule="auto"/>
        <w:ind w:right="22"/>
        <w:rPr>
          <w:rFonts w:ascii="Arial" w:eastAsia="Times New Roman" w:hAnsi="Arial" w:cs="Arial"/>
          <w:szCs w:val="28"/>
          <w:lang w:eastAsia="ru-RU"/>
        </w:rPr>
      </w:pPr>
      <w:r w:rsidRPr="00511005">
        <w:rPr>
          <w:rFonts w:ascii="Arial" w:eastAsia="Times New Roman" w:hAnsi="Arial" w:cs="Arial"/>
          <w:szCs w:val="28"/>
          <w:lang w:eastAsia="ru-RU"/>
        </w:rPr>
        <w:t>Мета покарання неповнолітніх полягає не лише в покаранні, а в їх реінтеграції в суспільство. Вона повинна ґрунтуватися на міжнародних стандартах призначення заходів кримінального впливу на неповнолітніх відповідно до концепції «дружньої юстиції».[5]. </w:t>
      </w:r>
    </w:p>
    <w:p w14:paraId="5CF39CE0" w14:textId="77777777" w:rsidR="007B2628" w:rsidRPr="00511005" w:rsidRDefault="00200E87" w:rsidP="00064CEB">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lastRenderedPageBreak/>
        <w:t>Злочинність серед неповнолітніх залишається актуальною проблемою протягом багатьох століть, причому наприкінці ХХ століття спостерігалося її зростання. Кримінально-правові заходи у боротьбі з цим явищем не мають пріоритетного значення. Збільшення кількості злочинів серед молоді відбувається на тлі глибокого соціального розшарування, зниження рівня життя значної частини населення, погіршення сімейних відносин і зростання випадків жорстокого поводження з дітьми. У таких умовах ключову роль відіграють соціальні, економічні та виховно-профілактичні заходи. Водночас у випадках, коли злочин вже вчинено, постає питання про кримінальну відповідальність неповнолітніх. </w:t>
      </w:r>
    </w:p>
    <w:p w14:paraId="514C8C98" w14:textId="6E08A6CB" w:rsidR="00200E87" w:rsidRPr="00511005" w:rsidRDefault="00200E87" w:rsidP="00064CEB">
      <w:pPr>
        <w:spacing w:line="264" w:lineRule="auto"/>
        <w:ind w:right="22"/>
        <w:rPr>
          <w:rFonts w:ascii="Arial" w:eastAsia="Times New Roman" w:hAnsi="Arial" w:cs="Arial"/>
          <w:szCs w:val="28"/>
          <w:lang w:eastAsia="ru-RU"/>
        </w:rPr>
      </w:pPr>
      <w:r w:rsidRPr="00511005">
        <w:rPr>
          <w:rFonts w:ascii="Arial" w:eastAsia="Times New Roman" w:hAnsi="Arial" w:cs="Arial"/>
          <w:szCs w:val="28"/>
          <w:lang w:eastAsia="ru-RU"/>
        </w:rPr>
        <w:t xml:space="preserve">Враховуючи біологічні, психологічні та соціальні особливості неповнолітніх, закон, з одного боку, гарантує їм посилену кримінально-правову охорону, а з іншого — передбачає специфіку притягнення їх до відповідальності, можливість звільнення від неї, особливості призначення покарання, а також умови його відбування чи звільнення від нього. Такий підхід базується на нормах міжнародного права, зокрема на Декларації прав дитини, преамбула якої наголошує на необхідності спеціального захисту та охорони неповнолітніх через їх фізичну та розумову незрілість, зокрема шляхом належного правового </w:t>
      </w:r>
      <w:proofErr w:type="gramStart"/>
      <w:r w:rsidRPr="00511005">
        <w:rPr>
          <w:rFonts w:ascii="Arial" w:eastAsia="Times New Roman" w:hAnsi="Arial" w:cs="Arial"/>
          <w:szCs w:val="28"/>
          <w:lang w:eastAsia="ru-RU"/>
        </w:rPr>
        <w:t>захисту[</w:t>
      </w:r>
      <w:proofErr w:type="gramEnd"/>
      <w:r w:rsidRPr="00511005">
        <w:rPr>
          <w:rFonts w:ascii="Arial" w:eastAsia="Times New Roman" w:hAnsi="Arial" w:cs="Arial"/>
          <w:szCs w:val="28"/>
          <w:lang w:eastAsia="ru-RU"/>
        </w:rPr>
        <w:t>1]. </w:t>
      </w:r>
    </w:p>
    <w:p w14:paraId="00BA8CCC" w14:textId="77777777" w:rsidR="00200E87" w:rsidRPr="00511005" w:rsidRDefault="00200E87" w:rsidP="00064CEB">
      <w:pPr>
        <w:spacing w:line="264" w:lineRule="auto"/>
        <w:ind w:right="24"/>
        <w:rPr>
          <w:rFonts w:ascii="Arial" w:eastAsia="Times New Roman" w:hAnsi="Arial" w:cs="Arial"/>
          <w:szCs w:val="28"/>
          <w:lang w:eastAsia="ru-RU"/>
        </w:rPr>
      </w:pPr>
      <w:r w:rsidRPr="00511005">
        <w:rPr>
          <w:rFonts w:ascii="Arial" w:eastAsia="Times New Roman" w:hAnsi="Arial" w:cs="Arial"/>
          <w:szCs w:val="28"/>
          <w:lang w:eastAsia="ru-RU"/>
        </w:rPr>
        <w:t xml:space="preserve">У Мінімальних стандартних правилах ООН, що стосуються правосуддя для неповнолітніх («Пекінські правила»), затверджених 29 листопада 1985 року, визначені ключові принципи для винесення судових рішень та вибору заходів </w:t>
      </w:r>
      <w:proofErr w:type="gramStart"/>
      <w:r w:rsidRPr="00511005">
        <w:rPr>
          <w:rFonts w:ascii="Arial" w:eastAsia="Times New Roman" w:hAnsi="Arial" w:cs="Arial"/>
          <w:szCs w:val="28"/>
          <w:lang w:eastAsia="ru-RU"/>
        </w:rPr>
        <w:t>впливу[</w:t>
      </w:r>
      <w:proofErr w:type="gramEnd"/>
      <w:r w:rsidRPr="00511005">
        <w:rPr>
          <w:rFonts w:ascii="Arial" w:eastAsia="Times New Roman" w:hAnsi="Arial" w:cs="Arial"/>
          <w:szCs w:val="28"/>
          <w:lang w:eastAsia="ru-RU"/>
        </w:rPr>
        <w:t>2]: </w:t>
      </w:r>
    </w:p>
    <w:p w14:paraId="0FB81EF7" w14:textId="77777777" w:rsidR="00200E87" w:rsidRPr="00511005" w:rsidRDefault="00200E87" w:rsidP="00064CEB">
      <w:pPr>
        <w:spacing w:line="264" w:lineRule="auto"/>
        <w:ind w:right="18"/>
        <w:rPr>
          <w:rFonts w:ascii="Arial" w:eastAsia="Times New Roman" w:hAnsi="Arial" w:cs="Arial"/>
          <w:szCs w:val="28"/>
          <w:lang w:eastAsia="ru-RU"/>
        </w:rPr>
      </w:pPr>
      <w:r w:rsidRPr="00511005">
        <w:rPr>
          <w:rFonts w:ascii="Arial" w:eastAsia="Times New Roman" w:hAnsi="Arial" w:cs="Arial"/>
          <w:szCs w:val="28"/>
          <w:lang w:eastAsia="ru-RU"/>
        </w:rPr>
        <w:t>«17.1. Під час вибору заходів впливу уповноважений орган повинен дотримуватись таких положень: </w:t>
      </w:r>
    </w:p>
    <w:p w14:paraId="2588ADB2" w14:textId="77777777" w:rsidR="00200E87" w:rsidRPr="00511005" w:rsidRDefault="00200E87" w:rsidP="00064CEB">
      <w:pPr>
        <w:spacing w:line="264" w:lineRule="auto"/>
        <w:ind w:right="51"/>
        <w:rPr>
          <w:rFonts w:ascii="Arial" w:eastAsia="Times New Roman" w:hAnsi="Arial" w:cs="Arial"/>
          <w:szCs w:val="28"/>
          <w:lang w:eastAsia="ru-RU"/>
        </w:rPr>
      </w:pPr>
      <w:r w:rsidRPr="00511005">
        <w:rPr>
          <w:rFonts w:ascii="Arial" w:eastAsia="Times New Roman" w:hAnsi="Arial" w:cs="Arial"/>
          <w:szCs w:val="28"/>
          <w:lang w:eastAsia="ru-RU"/>
        </w:rPr>
        <w:t>- Заходи впливу мають бути пропорційними не лише обставинам і тяжкості правопорушення, але й становищу та потребам неповнолітнього, а також враховувати інтереси суспільства; </w:t>
      </w:r>
    </w:p>
    <w:p w14:paraId="077C3AFB" w14:textId="77777777" w:rsidR="00200E87" w:rsidRPr="00511005" w:rsidRDefault="00200E87" w:rsidP="00064CEB">
      <w:pPr>
        <w:spacing w:line="264" w:lineRule="auto"/>
        <w:ind w:right="28"/>
        <w:rPr>
          <w:rFonts w:ascii="Arial" w:eastAsia="Times New Roman" w:hAnsi="Arial" w:cs="Arial"/>
          <w:szCs w:val="28"/>
          <w:lang w:eastAsia="ru-RU"/>
        </w:rPr>
      </w:pPr>
      <w:r w:rsidRPr="00511005">
        <w:rPr>
          <w:rFonts w:ascii="Arial" w:eastAsia="Times New Roman" w:hAnsi="Arial" w:cs="Arial"/>
          <w:szCs w:val="28"/>
          <w:lang w:eastAsia="ru-RU"/>
        </w:rPr>
        <w:t>- Рішення про обмеження особистої свободи неповнолітнього повинні ухвалюватися лише після ретельного аналізу, і такі обмеження мають бути зведені до мінімуму, коли це можливо; </w:t>
      </w:r>
    </w:p>
    <w:p w14:paraId="43EF5895" w14:textId="77777777" w:rsidR="00200E87" w:rsidRPr="00511005" w:rsidRDefault="00200E87" w:rsidP="00064CEB">
      <w:pPr>
        <w:spacing w:line="264" w:lineRule="auto"/>
        <w:ind w:right="23"/>
        <w:rPr>
          <w:rFonts w:ascii="Arial" w:eastAsia="Times New Roman" w:hAnsi="Arial" w:cs="Arial"/>
          <w:szCs w:val="28"/>
          <w:lang w:eastAsia="ru-RU"/>
        </w:rPr>
      </w:pPr>
      <w:r w:rsidRPr="00511005">
        <w:rPr>
          <w:rFonts w:ascii="Arial" w:eastAsia="Times New Roman" w:hAnsi="Arial" w:cs="Arial"/>
          <w:szCs w:val="28"/>
          <w:lang w:eastAsia="ru-RU"/>
        </w:rPr>
        <w:t>- Неповнолітнього правопорушника не слід позбавляти свободи, якщо він не визнаний винним у насильстві проти інших осіб або у повторних серйозних правопорушеннях, за відсутності інших адекватних заходів впливу; </w:t>
      </w:r>
    </w:p>
    <w:p w14:paraId="50262076" w14:textId="77777777" w:rsidR="00200E87" w:rsidRPr="00511005" w:rsidRDefault="00200E87" w:rsidP="00064CEB">
      <w:pPr>
        <w:spacing w:line="264" w:lineRule="auto"/>
        <w:ind w:right="18"/>
        <w:rPr>
          <w:rFonts w:ascii="Arial" w:eastAsia="Times New Roman" w:hAnsi="Arial" w:cs="Arial"/>
          <w:szCs w:val="28"/>
          <w:lang w:eastAsia="ru-RU"/>
        </w:rPr>
      </w:pPr>
      <w:r w:rsidRPr="00511005">
        <w:rPr>
          <w:rFonts w:ascii="Arial" w:eastAsia="Times New Roman" w:hAnsi="Arial" w:cs="Arial"/>
          <w:szCs w:val="28"/>
          <w:lang w:eastAsia="ru-RU"/>
        </w:rPr>
        <w:t>Специфіка підходу до призначення покарання неповнолітнім злочинцям відображена в статті 103 Кримінального кодексу України [3]. </w:t>
      </w:r>
    </w:p>
    <w:p w14:paraId="61B8263B" w14:textId="77777777" w:rsidR="00200E87" w:rsidRPr="00511005" w:rsidRDefault="00200E87" w:rsidP="00064CEB">
      <w:pPr>
        <w:spacing w:line="264" w:lineRule="auto"/>
        <w:ind w:right="10"/>
        <w:rPr>
          <w:rFonts w:ascii="Arial" w:eastAsia="Times New Roman" w:hAnsi="Arial" w:cs="Arial"/>
          <w:szCs w:val="28"/>
          <w:lang w:eastAsia="ru-RU"/>
        </w:rPr>
      </w:pPr>
      <w:r w:rsidRPr="00511005">
        <w:rPr>
          <w:rFonts w:ascii="Arial" w:eastAsia="Times New Roman" w:hAnsi="Arial" w:cs="Arial"/>
          <w:szCs w:val="28"/>
          <w:lang w:eastAsia="ru-RU"/>
        </w:rPr>
        <w:t>Під час призначення покарання неповнолітньому суд передусім повинен керуватися загальними засадами, визначеними у статтях 65–67 Кримінального кодексу України. Окрім цього, обов’язковому врахуванню підлягають такі обставини: 1) умови життя та виховання неповнолітнього;</w:t>
      </w:r>
    </w:p>
    <w:p w14:paraId="709F9DB1" w14:textId="77777777" w:rsidR="00200E87" w:rsidRPr="00511005" w:rsidRDefault="00200E87" w:rsidP="00064CEB">
      <w:pPr>
        <w:spacing w:line="264" w:lineRule="auto"/>
        <w:ind w:right="44"/>
        <w:rPr>
          <w:rFonts w:ascii="Arial" w:eastAsia="Times New Roman" w:hAnsi="Arial" w:cs="Arial"/>
          <w:szCs w:val="28"/>
          <w:lang w:eastAsia="ru-RU"/>
        </w:rPr>
      </w:pPr>
      <w:r w:rsidRPr="00511005">
        <w:rPr>
          <w:rFonts w:ascii="Arial" w:eastAsia="Times New Roman" w:hAnsi="Arial" w:cs="Arial"/>
          <w:szCs w:val="28"/>
          <w:lang w:eastAsia="ru-RU"/>
        </w:rPr>
        <w:lastRenderedPageBreak/>
        <w:t>2) вплив дорослих осіб на його поведінку; 3) рівень його розвитку; 4) інші індивідуальні характеристики неповнолітнього. </w:t>
      </w:r>
    </w:p>
    <w:p w14:paraId="36717D99" w14:textId="77777777" w:rsidR="00200E87" w:rsidRPr="00511005" w:rsidRDefault="00200E87" w:rsidP="00064CEB">
      <w:pPr>
        <w:spacing w:line="264" w:lineRule="auto"/>
        <w:ind w:right="24"/>
        <w:rPr>
          <w:rFonts w:ascii="Arial" w:eastAsia="Times New Roman" w:hAnsi="Arial" w:cs="Arial"/>
          <w:szCs w:val="28"/>
          <w:lang w:eastAsia="ru-RU"/>
        </w:rPr>
      </w:pPr>
      <w:r w:rsidRPr="00511005">
        <w:rPr>
          <w:rFonts w:ascii="Arial" w:eastAsia="Times New Roman" w:hAnsi="Arial" w:cs="Arial"/>
          <w:szCs w:val="28"/>
          <w:lang w:eastAsia="ru-RU"/>
        </w:rPr>
        <w:t>Беручи до розгляду умов життя та виховання неповнолітнього передбачає оцінку матеріального становища його сім'ї, взаємин у родині, поведінки батьків, їх виконання виховних обов’язків, наявності конфліктів або проявів жорстокості до неповнолітнього. Також важливо звернути увагу на ставлення неповнолітнього до оточення, поведінку його друзів, умови проведення вільного часу та організацію навчально-виховного процесу в навчальному закладі. </w:t>
      </w:r>
    </w:p>
    <w:p w14:paraId="3AEC1872" w14:textId="77777777" w:rsidR="00200E87" w:rsidRPr="00511005" w:rsidRDefault="00200E87" w:rsidP="00064CEB">
      <w:pPr>
        <w:spacing w:line="264" w:lineRule="auto"/>
        <w:ind w:right="25"/>
        <w:rPr>
          <w:rFonts w:ascii="Arial" w:eastAsia="Times New Roman" w:hAnsi="Arial" w:cs="Arial"/>
          <w:szCs w:val="28"/>
          <w:lang w:eastAsia="ru-RU"/>
        </w:rPr>
      </w:pPr>
      <w:r w:rsidRPr="00511005">
        <w:rPr>
          <w:rFonts w:ascii="Arial" w:eastAsia="Times New Roman" w:hAnsi="Arial" w:cs="Arial"/>
          <w:szCs w:val="28"/>
          <w:lang w:eastAsia="ru-RU"/>
        </w:rPr>
        <w:t>Зважати на рівень розвитку неповнолітнього стосується відповідності його розвитку віку та розумовим здібностям на момент скоєння злочину. Це включає стан пізнавальної діяльності, запас знань і емоційно-вольову сферу. За потреби для оцінки загального розвитку неповнолітнього можуть бути залучені спеціалісти з дитячої чи юнацької психології для проведення експертного дослідження. </w:t>
      </w:r>
    </w:p>
    <w:p w14:paraId="1A1155F6" w14:textId="77777777" w:rsidR="007B2628" w:rsidRPr="00511005" w:rsidRDefault="00200E87" w:rsidP="00064CEB">
      <w:pPr>
        <w:spacing w:line="264" w:lineRule="auto"/>
        <w:ind w:right="20"/>
        <w:rPr>
          <w:rFonts w:ascii="Arial" w:eastAsia="Times New Roman" w:hAnsi="Arial" w:cs="Arial"/>
          <w:szCs w:val="28"/>
          <w:lang w:eastAsia="ru-RU"/>
        </w:rPr>
      </w:pPr>
      <w:r w:rsidRPr="00511005">
        <w:rPr>
          <w:rFonts w:ascii="Arial" w:eastAsia="Times New Roman" w:hAnsi="Arial" w:cs="Arial"/>
          <w:szCs w:val="28"/>
          <w:lang w:eastAsia="ru-RU"/>
        </w:rPr>
        <w:t>Оцінювання інших індивідуальних особливостей неповнолітнього включає аналіз його характеру, наявності певних психоемоційних рис (зокрема, підвищеної збудливості чи емоційної нестабільності), здатності діяти в складних ситуаціях, ставлення до соціальних цінностей і готовності змінити свою поведінку. Усі ці аспекти повинні бути враховані судом при визначенні виду та міри покарання, а також при прийнятті рішень щодо звільнення від кримінальної відповідальності чи застосування примусових заходів виховного характеру. </w:t>
      </w:r>
    </w:p>
    <w:p w14:paraId="5D95F0A8" w14:textId="08D62335" w:rsidR="00200E87" w:rsidRPr="00511005" w:rsidRDefault="00200E87" w:rsidP="00064CEB">
      <w:pPr>
        <w:spacing w:line="264" w:lineRule="auto"/>
        <w:ind w:right="20"/>
        <w:rPr>
          <w:rFonts w:ascii="Arial" w:eastAsia="Times New Roman" w:hAnsi="Arial" w:cs="Arial"/>
          <w:szCs w:val="28"/>
          <w:lang w:eastAsia="ru-RU"/>
        </w:rPr>
      </w:pPr>
      <w:r w:rsidRPr="00511005">
        <w:rPr>
          <w:rFonts w:ascii="Arial" w:eastAsia="Times New Roman" w:hAnsi="Arial" w:cs="Arial"/>
          <w:szCs w:val="28"/>
          <w:lang w:eastAsia="ru-RU"/>
        </w:rPr>
        <w:t>Відповідно до положень статті 485 Кримінального процесуального кодексу, під час досудового слідства та судового розгляду справ щодо злочинів, вчинених неповнолітніми, необхідно встановити стан їхнього здоров’я та рівень загального розвитку [4]. Якщо є відомості про наявність</w:t>
      </w:r>
    </w:p>
    <w:p w14:paraId="0A85C81F" w14:textId="77777777" w:rsidR="007B2628" w:rsidRPr="00511005" w:rsidRDefault="00200E87" w:rsidP="00064CEB">
      <w:pPr>
        <w:spacing w:line="264" w:lineRule="auto"/>
        <w:ind w:right="17"/>
        <w:rPr>
          <w:rFonts w:ascii="Arial" w:eastAsia="Times New Roman" w:hAnsi="Arial" w:cs="Arial"/>
          <w:szCs w:val="28"/>
          <w:lang w:eastAsia="ru-RU"/>
        </w:rPr>
      </w:pPr>
      <w:r w:rsidRPr="00511005">
        <w:rPr>
          <w:rFonts w:ascii="Arial" w:eastAsia="Times New Roman" w:hAnsi="Arial" w:cs="Arial"/>
          <w:szCs w:val="28"/>
          <w:lang w:eastAsia="ru-RU"/>
        </w:rPr>
        <w:t xml:space="preserve">у неповнолітнього розумової відсталості, не пов’язаної з психічним захворюванням, слід з’ясувати, чи міг він повною мірою усвідомлювати значення своїх дій і наскільки був здатен їх контролювати. У випадку, коли неповнолітній не усвідомлював своїх дій або не міг ними керувати, це свідчить про відсутність вини, а отже, й про відсутність складу злочину як підстави для притягнення до кримінальної відповідальності. У такій ситуації притягнення до відповідальності означало б фактичне інкримінування </w:t>
      </w:r>
      <w:proofErr w:type="gramStart"/>
      <w:r w:rsidRPr="00511005">
        <w:rPr>
          <w:rFonts w:ascii="Arial" w:eastAsia="Times New Roman" w:hAnsi="Arial" w:cs="Arial"/>
          <w:szCs w:val="28"/>
          <w:lang w:eastAsia="ru-RU"/>
        </w:rPr>
        <w:t>без вини</w:t>
      </w:r>
      <w:proofErr w:type="gramEnd"/>
      <w:r w:rsidRPr="00511005">
        <w:rPr>
          <w:rFonts w:ascii="Arial" w:eastAsia="Times New Roman" w:hAnsi="Arial" w:cs="Arial"/>
          <w:szCs w:val="28"/>
          <w:lang w:eastAsia="ru-RU"/>
        </w:rPr>
        <w:t>, що суперечить принципам кримінального права. Водночас, якщо розумово відсталий неповнолітній зберігає певну здатність усвідомлювати та контролювати свої дії, кримінальна відповідальність не виключається, проте вона має бути індивідуалізованою. </w:t>
      </w:r>
    </w:p>
    <w:p w14:paraId="42E7A7F4" w14:textId="77777777" w:rsidR="007B2628" w:rsidRPr="00511005" w:rsidRDefault="00200E87" w:rsidP="00064CEB">
      <w:pPr>
        <w:spacing w:line="264" w:lineRule="auto"/>
        <w:ind w:right="22"/>
        <w:rPr>
          <w:rFonts w:ascii="Arial" w:eastAsia="Times New Roman" w:hAnsi="Arial" w:cs="Arial"/>
          <w:szCs w:val="28"/>
          <w:lang w:eastAsia="ru-RU"/>
        </w:rPr>
      </w:pPr>
      <w:r w:rsidRPr="00511005">
        <w:rPr>
          <w:rFonts w:ascii="Arial" w:eastAsia="Times New Roman" w:hAnsi="Arial" w:cs="Arial"/>
          <w:szCs w:val="28"/>
          <w:lang w:eastAsia="ru-RU"/>
        </w:rPr>
        <w:t xml:space="preserve">Якщо суд доходить висновку, що неповнолітньому необхідно призначити реальне покарання, воно повинно бути визначене в межах санкції статті Особливої частини Кримінального кодексу, яка встановлює відповідальність за відповідний злочин (п. 1 ч. 1 ст. 65). При цьому слід </w:t>
      </w:r>
      <w:r w:rsidRPr="00511005">
        <w:rPr>
          <w:rFonts w:ascii="Arial" w:eastAsia="Times New Roman" w:hAnsi="Arial" w:cs="Arial"/>
          <w:szCs w:val="28"/>
          <w:lang w:eastAsia="ru-RU"/>
        </w:rPr>
        <w:lastRenderedPageBreak/>
        <w:t>керуватись принципом забезпечення необхідного й достатнього покарання для виправлення особи та попередження вчинення нових злочинів (ч. 2 ст. 65) [3]. </w:t>
      </w:r>
    </w:p>
    <w:p w14:paraId="78F6219C" w14:textId="77777777" w:rsidR="007B2628" w:rsidRPr="00511005" w:rsidRDefault="00200E87" w:rsidP="00064CEB">
      <w:pPr>
        <w:spacing w:line="264" w:lineRule="auto"/>
        <w:ind w:right="10"/>
        <w:rPr>
          <w:rFonts w:ascii="Arial" w:eastAsia="Times New Roman" w:hAnsi="Arial" w:cs="Arial"/>
          <w:szCs w:val="28"/>
          <w:lang w:eastAsia="ru-RU"/>
        </w:rPr>
      </w:pPr>
      <w:r w:rsidRPr="00511005">
        <w:rPr>
          <w:rFonts w:ascii="Arial" w:eastAsia="Times New Roman" w:hAnsi="Arial" w:cs="Arial"/>
          <w:szCs w:val="28"/>
          <w:lang w:eastAsia="ru-RU"/>
        </w:rPr>
        <w:t xml:space="preserve">Суд має право вийти за межі санкції статті Особливої частини Кримінального кодексу лише у разі призначення покарання за сукупністю злочинів або вироків. При цьому остаточне покарання у вигляді позбавлення волі не може перевищувати п’ятнадцяти років (ч. 2 ст. </w:t>
      </w:r>
      <w:proofErr w:type="gramStart"/>
      <w:r w:rsidRPr="00511005">
        <w:rPr>
          <w:rFonts w:ascii="Arial" w:eastAsia="Times New Roman" w:hAnsi="Arial" w:cs="Arial"/>
          <w:szCs w:val="28"/>
          <w:lang w:eastAsia="ru-RU"/>
        </w:rPr>
        <w:t>103)[</w:t>
      </w:r>
      <w:proofErr w:type="gramEnd"/>
      <w:r w:rsidRPr="00511005">
        <w:rPr>
          <w:rFonts w:ascii="Arial" w:eastAsia="Times New Roman" w:hAnsi="Arial" w:cs="Arial"/>
          <w:szCs w:val="28"/>
          <w:lang w:eastAsia="ru-RU"/>
        </w:rPr>
        <w:t xml:space="preserve">3]. </w:t>
      </w:r>
    </w:p>
    <w:p w14:paraId="3267515E" w14:textId="4C231554" w:rsidR="00200E87" w:rsidRPr="00511005" w:rsidRDefault="00200E87" w:rsidP="00064CEB">
      <w:pPr>
        <w:spacing w:line="264" w:lineRule="auto"/>
        <w:ind w:right="10"/>
        <w:rPr>
          <w:rFonts w:ascii="Arial" w:eastAsia="Times New Roman" w:hAnsi="Arial" w:cs="Arial"/>
          <w:szCs w:val="28"/>
          <w:lang w:eastAsia="ru-RU"/>
        </w:rPr>
      </w:pPr>
      <w:r w:rsidRPr="00511005">
        <w:rPr>
          <w:rFonts w:ascii="Arial" w:eastAsia="Times New Roman" w:hAnsi="Arial" w:cs="Arial"/>
          <w:szCs w:val="28"/>
          <w:lang w:eastAsia="ru-RU"/>
        </w:rPr>
        <w:t>Отже, призначення покарання неповнолітнім вимагає особливого підходу, орієнтованого на їх ресоціалізацію та мінімізацію шкідливих наслідків. Законодавством України передбачено низку гуманістичних норм, однак на практиці важливо забезпечити їх ефективну реалізацію з</w:t>
      </w:r>
    </w:p>
    <w:p w14:paraId="40A952DF" w14:textId="77777777" w:rsidR="00200E87" w:rsidRPr="00511005" w:rsidRDefault="00200E87" w:rsidP="003A292D">
      <w:pPr>
        <w:spacing w:line="264" w:lineRule="auto"/>
        <w:ind w:right="18" w:firstLine="0"/>
        <w:rPr>
          <w:rFonts w:ascii="Arial" w:eastAsia="Times New Roman" w:hAnsi="Arial" w:cs="Arial"/>
          <w:szCs w:val="28"/>
          <w:lang w:eastAsia="ru-RU"/>
        </w:rPr>
      </w:pPr>
      <w:r w:rsidRPr="00511005">
        <w:rPr>
          <w:rFonts w:ascii="Arial" w:eastAsia="Times New Roman" w:hAnsi="Arial" w:cs="Arial"/>
          <w:szCs w:val="28"/>
          <w:lang w:eastAsia="ru-RU"/>
        </w:rPr>
        <w:t>урахуванням вікових, психологічних та соціальних особливостей неповнолітніх. </w:t>
      </w:r>
    </w:p>
    <w:p w14:paraId="3ADD190B" w14:textId="77777777" w:rsidR="00200E87" w:rsidRPr="00511005" w:rsidRDefault="00200E87" w:rsidP="003A292D">
      <w:pPr>
        <w:spacing w:line="264" w:lineRule="auto"/>
        <w:ind w:right="18" w:firstLine="0"/>
        <w:rPr>
          <w:rFonts w:ascii="Arial" w:eastAsia="Times New Roman" w:hAnsi="Arial" w:cs="Arial"/>
          <w:szCs w:val="28"/>
          <w:lang w:eastAsia="ru-RU"/>
        </w:rPr>
      </w:pPr>
    </w:p>
    <w:p w14:paraId="4F168147" w14:textId="506408D9" w:rsidR="00200E87" w:rsidRPr="00511005" w:rsidRDefault="007B2628" w:rsidP="007B2628">
      <w:pPr>
        <w:spacing w:line="264" w:lineRule="auto"/>
        <w:ind w:firstLine="0"/>
        <w:jc w:val="center"/>
        <w:rPr>
          <w:rFonts w:ascii="Arial" w:eastAsia="Times New Roman" w:hAnsi="Arial" w:cs="Arial"/>
          <w:szCs w:val="28"/>
          <w:lang w:eastAsia="ru-RU"/>
        </w:rPr>
      </w:pPr>
      <w:r w:rsidRPr="00511005">
        <w:rPr>
          <w:rFonts w:ascii="Arial" w:eastAsia="Times New Roman" w:hAnsi="Arial" w:cs="Arial"/>
          <w:b/>
          <w:bCs/>
          <w:szCs w:val="28"/>
          <w:lang w:val="uk-UA" w:eastAsia="ru-RU"/>
        </w:rPr>
        <w:t>Список використаних джерел</w:t>
      </w:r>
      <w:r w:rsidR="00200E87" w:rsidRPr="00511005">
        <w:rPr>
          <w:rFonts w:ascii="Arial" w:eastAsia="Times New Roman" w:hAnsi="Arial" w:cs="Arial"/>
          <w:b/>
          <w:bCs/>
          <w:szCs w:val="28"/>
          <w:lang w:eastAsia="ru-RU"/>
        </w:rPr>
        <w:t> </w:t>
      </w:r>
    </w:p>
    <w:p w14:paraId="2D6A692B" w14:textId="5491D2AB" w:rsidR="00200E87" w:rsidRPr="00511005" w:rsidRDefault="00200E87" w:rsidP="003F6A5D">
      <w:pPr>
        <w:numPr>
          <w:ilvl w:val="0"/>
          <w:numId w:val="501"/>
        </w:numPr>
        <w:spacing w:line="264" w:lineRule="auto"/>
        <w:ind w:right="48"/>
        <w:jc w:val="left"/>
        <w:rPr>
          <w:rFonts w:ascii="Arial" w:eastAsia="Times New Roman" w:hAnsi="Arial" w:cs="Arial"/>
          <w:szCs w:val="28"/>
          <w:lang w:eastAsia="ru-RU"/>
        </w:rPr>
      </w:pPr>
      <w:r w:rsidRPr="00511005">
        <w:rPr>
          <w:rFonts w:ascii="Arial" w:eastAsia="Times New Roman" w:hAnsi="Arial" w:cs="Arial"/>
          <w:szCs w:val="28"/>
          <w:lang w:eastAsia="ru-RU"/>
        </w:rPr>
        <w:t>Декларація прав дитини від 20.11.1959 // №995_384 URL:</w:t>
      </w:r>
      <w:r w:rsidR="007B2628" w:rsidRPr="00511005">
        <w:rPr>
          <w:rFonts w:ascii="Arial" w:eastAsia="Times New Roman" w:hAnsi="Arial" w:cs="Arial"/>
          <w:szCs w:val="28"/>
          <w:lang w:eastAsia="ru-RU"/>
        </w:rPr>
        <w:t xml:space="preserve"> </w:t>
      </w:r>
      <w:r w:rsidRPr="00511005">
        <w:rPr>
          <w:rFonts w:ascii="Arial" w:eastAsia="Times New Roman" w:hAnsi="Arial" w:cs="Arial"/>
          <w:szCs w:val="28"/>
          <w:lang w:eastAsia="ru-RU"/>
        </w:rPr>
        <w:t>https://zakon.rada.gov.ua/go/995_384 </w:t>
      </w:r>
    </w:p>
    <w:p w14:paraId="6651716F" w14:textId="77777777" w:rsidR="00200E87" w:rsidRPr="00511005" w:rsidRDefault="00200E87" w:rsidP="003F6A5D">
      <w:pPr>
        <w:numPr>
          <w:ilvl w:val="0"/>
          <w:numId w:val="501"/>
        </w:numPr>
        <w:spacing w:line="264" w:lineRule="auto"/>
        <w:ind w:right="48"/>
        <w:jc w:val="left"/>
        <w:rPr>
          <w:rFonts w:ascii="Arial" w:eastAsia="Times New Roman" w:hAnsi="Arial" w:cs="Arial"/>
          <w:szCs w:val="28"/>
          <w:lang w:eastAsia="ru-RU"/>
        </w:rPr>
      </w:pPr>
      <w:r w:rsidRPr="00511005">
        <w:rPr>
          <w:rFonts w:ascii="Arial" w:eastAsia="Times New Roman" w:hAnsi="Arial" w:cs="Arial"/>
          <w:szCs w:val="28"/>
          <w:lang w:eastAsia="ru-RU"/>
        </w:rPr>
        <w:t>Мінімальні стандартні правила ООН, що стосуються відправлення правосуддя стосовно неповнолітніх (Пекінські правила), 1985р. URL: https://zakon.rada.gov.ua/laws/show/995_211#Text. </w:t>
      </w:r>
    </w:p>
    <w:p w14:paraId="5D798EDB" w14:textId="77777777" w:rsidR="00200E87" w:rsidRPr="00511005" w:rsidRDefault="00200E87" w:rsidP="003F6A5D">
      <w:pPr>
        <w:numPr>
          <w:ilvl w:val="0"/>
          <w:numId w:val="501"/>
        </w:numPr>
        <w:spacing w:line="264" w:lineRule="auto"/>
        <w:ind w:right="48"/>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Кримінальний кодекс України від 5 квітня 2001 року № 2341-III. </w:t>
      </w:r>
      <w:r w:rsidRPr="00511005">
        <w:rPr>
          <w:rFonts w:ascii="Arial" w:eastAsia="Times New Roman" w:hAnsi="Arial" w:cs="Arial"/>
          <w:szCs w:val="28"/>
          <w:lang w:val="pl-PL" w:eastAsia="ru-RU"/>
        </w:rPr>
        <w:t xml:space="preserve">URL: https://zakon.rada.gov.ua/laws/show/2341-14#Text </w:t>
      </w:r>
    </w:p>
    <w:p w14:paraId="2D6D1EAC" w14:textId="77777777" w:rsidR="007B2628" w:rsidRPr="00511005" w:rsidRDefault="00200E87" w:rsidP="003F6A5D">
      <w:pPr>
        <w:numPr>
          <w:ilvl w:val="0"/>
          <w:numId w:val="501"/>
        </w:numPr>
        <w:spacing w:line="264" w:lineRule="auto"/>
        <w:ind w:right="48"/>
        <w:jc w:val="left"/>
        <w:rPr>
          <w:rFonts w:ascii="Arial" w:eastAsia="Times New Roman" w:hAnsi="Arial" w:cs="Arial"/>
          <w:szCs w:val="28"/>
          <w:lang w:eastAsia="ru-RU"/>
        </w:rPr>
      </w:pPr>
      <w:r w:rsidRPr="00511005">
        <w:rPr>
          <w:rFonts w:ascii="Arial" w:eastAsia="Times New Roman" w:hAnsi="Arial" w:cs="Arial"/>
          <w:szCs w:val="28"/>
          <w:lang w:eastAsia="ru-RU"/>
        </w:rPr>
        <w:t>Кримінальний процесуальний кодекс України редакція від 26.12.2024 //№4651-VI URL: https://zakon.rada.gov.ua/go/4651-17 </w:t>
      </w:r>
    </w:p>
    <w:p w14:paraId="59C2B08A" w14:textId="157465AB" w:rsidR="00200E87" w:rsidRPr="00511005" w:rsidRDefault="00200E87" w:rsidP="003F6A5D">
      <w:pPr>
        <w:numPr>
          <w:ilvl w:val="0"/>
          <w:numId w:val="501"/>
        </w:numPr>
        <w:spacing w:line="264" w:lineRule="auto"/>
        <w:ind w:right="48"/>
        <w:jc w:val="left"/>
        <w:rPr>
          <w:rFonts w:ascii="Arial" w:eastAsia="Times New Roman" w:hAnsi="Arial" w:cs="Arial"/>
          <w:szCs w:val="28"/>
          <w:lang w:eastAsia="ru-RU"/>
        </w:rPr>
      </w:pPr>
      <w:r w:rsidRPr="00511005">
        <w:rPr>
          <w:rFonts w:ascii="Arial" w:eastAsia="Times New Roman" w:hAnsi="Arial" w:cs="Arial"/>
          <w:szCs w:val="28"/>
          <w:lang w:eastAsia="ru-RU"/>
        </w:rPr>
        <w:t xml:space="preserve">Назимко Є. С. Теоретико-прикладні засади становлення та розвитку інституту покарання неповнолітніх у кримінальному праві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автореф. дис. … д-ра юрид. </w:t>
      </w:r>
      <w:proofErr w:type="gramStart"/>
      <w:r w:rsidRPr="00511005">
        <w:rPr>
          <w:rFonts w:ascii="Arial" w:eastAsia="Times New Roman" w:hAnsi="Arial" w:cs="Arial"/>
          <w:szCs w:val="28"/>
          <w:lang w:eastAsia="ru-RU"/>
        </w:rPr>
        <w:t>наук :</w:t>
      </w:r>
      <w:proofErr w:type="gramEnd"/>
      <w:r w:rsidRPr="00511005">
        <w:rPr>
          <w:rFonts w:ascii="Arial" w:eastAsia="Times New Roman" w:hAnsi="Arial" w:cs="Arial"/>
          <w:szCs w:val="28"/>
          <w:lang w:eastAsia="ru-RU"/>
        </w:rPr>
        <w:t xml:space="preserve"> 12.00.08 / Єгор Сергійович Назимко ; МВС України, Харків. нац. ун-т внутр. справ. Харків, 2016. 4 с.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dspace</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univd</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edu</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server</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api</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core</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bitstreams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a</w:t>
      </w:r>
      <w:r w:rsidRPr="00511005">
        <w:rPr>
          <w:rFonts w:ascii="Arial" w:eastAsia="Times New Roman" w:hAnsi="Arial" w:cs="Arial"/>
          <w:szCs w:val="28"/>
          <w:lang w:eastAsia="ru-RU"/>
        </w:rPr>
        <w:t>640097</w:t>
      </w:r>
      <w:r w:rsidRPr="00511005">
        <w:rPr>
          <w:rFonts w:ascii="Arial" w:eastAsia="Times New Roman" w:hAnsi="Arial" w:cs="Arial"/>
          <w:szCs w:val="28"/>
          <w:lang w:val="en-US" w:eastAsia="ru-RU"/>
        </w:rPr>
        <w:t>c</w:t>
      </w:r>
      <w:r w:rsidRPr="00511005">
        <w:rPr>
          <w:rFonts w:ascii="Arial" w:eastAsia="Times New Roman" w:hAnsi="Arial" w:cs="Arial"/>
          <w:szCs w:val="28"/>
          <w:lang w:eastAsia="ru-RU"/>
        </w:rPr>
        <w:t>-9</w:t>
      </w:r>
      <w:r w:rsidRPr="00511005">
        <w:rPr>
          <w:rFonts w:ascii="Arial" w:eastAsia="Times New Roman" w:hAnsi="Arial" w:cs="Arial"/>
          <w:szCs w:val="28"/>
          <w:lang w:val="en-US" w:eastAsia="ru-RU"/>
        </w:rPr>
        <w:t>cda</w:t>
      </w:r>
      <w:r w:rsidRPr="00511005">
        <w:rPr>
          <w:rFonts w:ascii="Arial" w:eastAsia="Times New Roman" w:hAnsi="Arial" w:cs="Arial"/>
          <w:szCs w:val="28"/>
          <w:lang w:eastAsia="ru-RU"/>
        </w:rPr>
        <w:t>-45</w:t>
      </w:r>
      <w:r w:rsidRPr="00511005">
        <w:rPr>
          <w:rFonts w:ascii="Arial" w:eastAsia="Times New Roman" w:hAnsi="Arial" w:cs="Arial"/>
          <w:szCs w:val="28"/>
          <w:lang w:val="en-US" w:eastAsia="ru-RU"/>
        </w:rPr>
        <w:t>eb</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b</w:t>
      </w:r>
      <w:r w:rsidRPr="00511005">
        <w:rPr>
          <w:rFonts w:ascii="Arial" w:eastAsia="Times New Roman" w:hAnsi="Arial" w:cs="Arial"/>
          <w:szCs w:val="28"/>
          <w:lang w:eastAsia="ru-RU"/>
        </w:rPr>
        <w:t>183-480</w:t>
      </w:r>
      <w:r w:rsidRPr="00511005">
        <w:rPr>
          <w:rFonts w:ascii="Arial" w:eastAsia="Times New Roman" w:hAnsi="Arial" w:cs="Arial"/>
          <w:szCs w:val="28"/>
          <w:lang w:val="en-US" w:eastAsia="ru-RU"/>
        </w:rPr>
        <w:t>a</w:t>
      </w:r>
      <w:r w:rsidRPr="00511005">
        <w:rPr>
          <w:rFonts w:ascii="Arial" w:eastAsia="Times New Roman" w:hAnsi="Arial" w:cs="Arial"/>
          <w:szCs w:val="28"/>
          <w:lang w:eastAsia="ru-RU"/>
        </w:rPr>
        <w:t>465339</w:t>
      </w:r>
      <w:r w:rsidRPr="00511005">
        <w:rPr>
          <w:rFonts w:ascii="Arial" w:eastAsia="Times New Roman" w:hAnsi="Arial" w:cs="Arial"/>
          <w:szCs w:val="28"/>
          <w:lang w:val="en-US" w:eastAsia="ru-RU"/>
        </w:rPr>
        <w:t>d</w:t>
      </w:r>
      <w:r w:rsidRPr="00511005">
        <w:rPr>
          <w:rFonts w:ascii="Arial" w:eastAsia="Times New Roman" w:hAnsi="Arial" w:cs="Arial"/>
          <w:szCs w:val="28"/>
          <w:lang w:eastAsia="ru-RU"/>
        </w:rPr>
        <w:t>0/</w:t>
      </w:r>
      <w:r w:rsidRPr="00511005">
        <w:rPr>
          <w:rFonts w:ascii="Arial" w:eastAsia="Times New Roman" w:hAnsi="Arial" w:cs="Arial"/>
          <w:szCs w:val="28"/>
          <w:lang w:val="en-US" w:eastAsia="ru-RU"/>
        </w:rPr>
        <w:t>content </w:t>
      </w:r>
    </w:p>
    <w:p w14:paraId="1CFB88D5" w14:textId="77777777" w:rsidR="00200E87" w:rsidRPr="00511005" w:rsidRDefault="00200E87" w:rsidP="003A292D">
      <w:pPr>
        <w:spacing w:line="264" w:lineRule="auto"/>
        <w:ind w:right="53" w:firstLine="0"/>
        <w:jc w:val="left"/>
        <w:rPr>
          <w:rFonts w:ascii="Arial" w:eastAsia="Times New Roman" w:hAnsi="Arial" w:cs="Arial"/>
          <w:b/>
          <w:bCs/>
          <w:szCs w:val="28"/>
          <w:lang w:eastAsia="ru-RU"/>
        </w:rPr>
      </w:pPr>
    </w:p>
    <w:p w14:paraId="78BD2007" w14:textId="4DB7DD2C" w:rsidR="00200E87" w:rsidRPr="00511005" w:rsidRDefault="007B2628" w:rsidP="003A292D">
      <w:pPr>
        <w:spacing w:line="264" w:lineRule="auto"/>
        <w:ind w:right="53" w:firstLine="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200E87" w:rsidRPr="00511005">
        <w:rPr>
          <w:rFonts w:ascii="Arial" w:eastAsia="Times New Roman" w:hAnsi="Arial" w:cs="Arial"/>
          <w:szCs w:val="28"/>
          <w:lang w:eastAsia="ru-RU"/>
        </w:rPr>
        <w:t>неповнолітні, кримінальна відповідальність, покарання, гуманізм, правосуддя, виховні заходи, ресоціалізація.</w:t>
      </w:r>
      <w:r w:rsidR="00200E87" w:rsidRPr="00511005">
        <w:rPr>
          <w:rFonts w:ascii="Arial" w:eastAsia="Times New Roman" w:hAnsi="Arial" w:cs="Arial"/>
          <w:szCs w:val="28"/>
          <w:lang w:val="en-US" w:eastAsia="ru-RU"/>
        </w:rPr>
        <w:t> </w:t>
      </w:r>
    </w:p>
    <w:p w14:paraId="0A82A5C8" w14:textId="1390DDE4" w:rsidR="00200E87" w:rsidRPr="00511005" w:rsidRDefault="007B2628" w:rsidP="003A292D">
      <w:pPr>
        <w:spacing w:line="264" w:lineRule="auto"/>
        <w:ind w:right="59" w:firstLine="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200E87" w:rsidRPr="00511005">
        <w:rPr>
          <w:rFonts w:ascii="Arial" w:eastAsia="Times New Roman" w:hAnsi="Arial" w:cs="Arial"/>
          <w:szCs w:val="28"/>
          <w:lang w:val="en-US" w:eastAsia="ru-RU"/>
        </w:rPr>
        <w:t>juveniles, criminal responsibility, punishment, humanism, justice, educational measures, resocialization.</w:t>
      </w:r>
    </w:p>
    <w:p w14:paraId="511E993C" w14:textId="589E9E0D" w:rsidR="00200E87" w:rsidRPr="00511005" w:rsidRDefault="007B2628" w:rsidP="003A292D">
      <w:pPr>
        <w:spacing w:line="264" w:lineRule="auto"/>
        <w:ind w:right="59" w:firstLine="0"/>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00200E87" w:rsidRPr="00511005">
        <w:rPr>
          <w:rFonts w:ascii="Arial" w:eastAsia="Times New Roman" w:hAnsi="Arial" w:cs="Arial"/>
          <w:i/>
          <w:iCs/>
          <w:szCs w:val="28"/>
          <w:lang w:eastAsia="ru-RU"/>
        </w:rPr>
        <w:t xml:space="preserve">асистент кафедри Павлова </w:t>
      </w:r>
      <w:r w:rsidR="00200E87" w:rsidRPr="00511005">
        <w:rPr>
          <w:rFonts w:ascii="Arial" w:eastAsia="Times New Roman" w:hAnsi="Arial" w:cs="Arial"/>
          <w:i/>
          <w:iCs/>
          <w:szCs w:val="28"/>
          <w:lang w:val="uk-UA" w:eastAsia="ru-RU"/>
        </w:rPr>
        <w:t xml:space="preserve">О. С. </w:t>
      </w:r>
    </w:p>
    <w:p w14:paraId="1DE979C0" w14:textId="77777777" w:rsidR="00200E87" w:rsidRPr="00511005" w:rsidRDefault="00200E87" w:rsidP="003A292D">
      <w:pPr>
        <w:spacing w:line="264" w:lineRule="auto"/>
        <w:ind w:right="59" w:firstLine="0"/>
        <w:rPr>
          <w:rFonts w:ascii="Arial" w:eastAsia="Times New Roman" w:hAnsi="Arial" w:cs="Arial"/>
          <w:szCs w:val="28"/>
          <w:lang w:eastAsia="ru-RU"/>
        </w:rPr>
      </w:pPr>
    </w:p>
    <w:p w14:paraId="7266FBE3" w14:textId="77777777" w:rsidR="00200E87" w:rsidRPr="00511005" w:rsidRDefault="00200E87" w:rsidP="003A292D">
      <w:pPr>
        <w:spacing w:line="264" w:lineRule="auto"/>
        <w:ind w:right="59" w:firstLine="0"/>
        <w:rPr>
          <w:rFonts w:ascii="Arial" w:eastAsia="Times New Roman" w:hAnsi="Arial" w:cs="Arial"/>
          <w:szCs w:val="28"/>
          <w:lang w:eastAsia="ru-RU"/>
        </w:rPr>
      </w:pPr>
    </w:p>
    <w:p w14:paraId="38FE170B" w14:textId="77777777" w:rsidR="00064CEB" w:rsidRDefault="00064CEB">
      <w:pPr>
        <w:spacing w:after="200" w:line="276" w:lineRule="auto"/>
        <w:ind w:firstLine="0"/>
        <w:jc w:val="left"/>
        <w:rPr>
          <w:rFonts w:ascii="Arial" w:eastAsia="Calibri" w:hAnsi="Arial" w:cs="Arial"/>
          <w:b/>
          <w:i/>
          <w:iCs/>
          <w:szCs w:val="28"/>
          <w:lang w:val="uk-UA"/>
        </w:rPr>
      </w:pPr>
      <w:r>
        <w:rPr>
          <w:rFonts w:ascii="Arial" w:eastAsia="Calibri" w:hAnsi="Arial" w:cs="Arial"/>
          <w:b/>
          <w:i/>
          <w:iCs/>
          <w:szCs w:val="28"/>
          <w:lang w:val="uk-UA"/>
        </w:rPr>
        <w:br w:type="page"/>
      </w:r>
    </w:p>
    <w:p w14:paraId="73DA1EAF" w14:textId="26BCEDDE" w:rsidR="00200E87" w:rsidRPr="00511005" w:rsidRDefault="00200E87" w:rsidP="003A292D">
      <w:pPr>
        <w:spacing w:line="264" w:lineRule="auto"/>
        <w:ind w:firstLine="0"/>
        <w:jc w:val="center"/>
        <w:rPr>
          <w:rFonts w:ascii="Arial" w:eastAsia="Calibri" w:hAnsi="Arial" w:cs="Arial"/>
          <w:b/>
          <w:i/>
          <w:iCs/>
          <w:szCs w:val="28"/>
          <w:lang w:val="uk-UA"/>
        </w:rPr>
      </w:pPr>
      <w:r w:rsidRPr="00511005">
        <w:rPr>
          <w:rFonts w:ascii="Arial" w:eastAsia="Calibri" w:hAnsi="Arial" w:cs="Arial"/>
          <w:b/>
          <w:i/>
          <w:iCs/>
          <w:szCs w:val="28"/>
          <w:lang w:val="uk-UA"/>
        </w:rPr>
        <w:lastRenderedPageBreak/>
        <w:t>Вініченко Юлія Дмитрівна</w:t>
      </w:r>
    </w:p>
    <w:p w14:paraId="25EA9EB3" w14:textId="7F8922CC"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34D6FE7D"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6EDC37F"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4C97515" w14:textId="77777777" w:rsidR="00200E87" w:rsidRPr="00511005" w:rsidRDefault="00200E87" w:rsidP="003A292D">
      <w:pPr>
        <w:spacing w:line="264" w:lineRule="auto"/>
        <w:ind w:firstLine="0"/>
        <w:jc w:val="center"/>
        <w:rPr>
          <w:rFonts w:ascii="Arial" w:eastAsia="Calibri" w:hAnsi="Arial" w:cs="Arial"/>
          <w:szCs w:val="28"/>
          <w:lang w:val="uk-UA"/>
        </w:rPr>
      </w:pPr>
    </w:p>
    <w:p w14:paraId="3F9D5828" w14:textId="77777777" w:rsidR="00200E87" w:rsidRPr="00511005" w:rsidRDefault="00200E8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 xml:space="preserve">НЕОБХІДНА ОБОРОНА В УМОВАХ ВОЄННОГО СТАНУ </w:t>
      </w:r>
    </w:p>
    <w:p w14:paraId="124BD2D9"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Необхідна оборона є важливим інститутом кримінального права, як на сьогодні, так і в минулі часи, адже цей інститут гарантує право кожної особи на самозахист. Особливістю необхідної оборони є те, що вона передбачається не тільки законодавством, але й притаманна кожній людині і здійснюється рефлекторно. Адже в кожній людині закладений природний інстинкт захисту себе від зовнішньої небезпеки. В людини виникає такий інстинкт з власного бажання захистити себе від злочинних посягань, які можуть нести загрозу життю, здоров’ю або майну. </w:t>
      </w:r>
    </w:p>
    <w:p w14:paraId="01E479EB"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А під час воєнного стану необхідна оборона набирає великих обертів і значення, адже загроза для кожної людини зростає вдвічі. Гарантії права на самозахист в умовах збройного конфлікту наділяються відповідною специфікою через бойову обстановку в Україні. Воєнний стан передбачає собою специфічний та особливий правовий режим, який вводиться по всій території держави, у разі загрози державі або збройної агресії, небезпека територіальної цілісності. Згідно з чинним законодавством, воєнний стан – це стан, який вводиться для відбиття агресії проти України та задля запобігання прямої загрози, яка спрямована на повалення держави. </w:t>
      </w:r>
    </w:p>
    <w:p w14:paraId="3525F0DB"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Найпоширенішим визначенням поняття необхідної оборони в науці є думка В. П. Ревіна, який стверджує, що: «необхідна оборона – це законний захист особистості та прав оборонця або інших осіб, які охороняються законом, в інтересах суспільства або держави від суспільно небезпечного посягання». Право на самозахист та захист близьких осіб є важливою складовою на життя, свободи та інтереси. Обов’язок, щодо захисту державою життя людини не може бути вищим за право людини захищати себе самостійно[2, с. 6].</w:t>
      </w:r>
    </w:p>
    <w:p w14:paraId="0B95DC27"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На законодавчому рівні інститут необхідної оборони закріплена в статті 36 Кримінального кодексу України, де зазначено, що необхідна оборона – це дії, які вчиняються особою з метою захисту прав та інтересів особи, які перебувають під охороною закону, яка захищається, або іншої особи, а також суспільних та державних інтересів від суспільно небезпечних посягань за допомогою заподіяння тому, хто посягає, шкоди, яка є достатньою та необхідною в даній ситуації для швидкого припинення посягання, якщо при цьому не було допущено перевищення меж необхідної оборони [1, с. 20]. </w:t>
      </w:r>
    </w:p>
    <w:p w14:paraId="0F2B7F71"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В частині 5 статті 55 Конституції України викладено принцип, згідно з яким кожна людина має законне право захищати свої права, свободи та інтереси будь-якими методами, які не заборонені законодавством. Тобто це </w:t>
      </w:r>
      <w:r w:rsidRPr="00511005">
        <w:rPr>
          <w:rFonts w:ascii="Arial" w:eastAsia="Calibri" w:hAnsi="Arial" w:cs="Arial"/>
          <w:szCs w:val="28"/>
          <w:lang w:val="uk-UA"/>
        </w:rPr>
        <w:lastRenderedPageBreak/>
        <w:t xml:space="preserve">означає, що людина наділяється правом самостійно захищати свої законні права, свободи та інтереси, перебувати у правових відносинах із захистом разом з державою і державними органами [3, с. 36]. </w:t>
      </w:r>
    </w:p>
    <w:p w14:paraId="12C4B92B" w14:textId="1A5E3B79"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Згідно з викладеним у частині 3 статті 27 Конституції України, Кожний має право на самозахист свого життя і здоров’я, а також життя і здоров’я інших осіб від протиправних дій.</w:t>
      </w:r>
      <w:r w:rsidR="007B2628" w:rsidRPr="00511005">
        <w:rPr>
          <w:rFonts w:ascii="Arial" w:eastAsia="Calibri" w:hAnsi="Arial" w:cs="Arial"/>
          <w:szCs w:val="28"/>
          <w:lang w:val="uk-UA"/>
        </w:rPr>
        <w:t xml:space="preserve"> </w:t>
      </w:r>
    </w:p>
    <w:p w14:paraId="2000530E"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Необхідно звернути увагу на постанову Верховного Суду України від 19.04.2018 р. у справі № 722/1981/16-к, де передбачені умови, за яких право на самозахист є необхідним. Відповідно до статті 36 та 37 Кримінального кодексу України, визначається їх перелік: </w:t>
      </w:r>
    </w:p>
    <w:p w14:paraId="477F0EE9" w14:textId="77777777" w:rsidR="00200E87" w:rsidRPr="00511005" w:rsidRDefault="00200E87" w:rsidP="003F6A5D">
      <w:pPr>
        <w:numPr>
          <w:ilvl w:val="0"/>
          <w:numId w:val="50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оборона може бути застосована тільки при наявності суспільно небезпечних посягань;</w:t>
      </w:r>
    </w:p>
    <w:p w14:paraId="706BDDC7" w14:textId="77777777" w:rsidR="00200E87" w:rsidRPr="00511005" w:rsidRDefault="00200E87" w:rsidP="003F6A5D">
      <w:pPr>
        <w:numPr>
          <w:ilvl w:val="0"/>
          <w:numId w:val="50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захист є необхідним тільки коли дії, які становлять її зміст, вчиняються задля захисту; </w:t>
      </w:r>
    </w:p>
    <w:p w14:paraId="75281307" w14:textId="77777777" w:rsidR="00200E87" w:rsidRPr="00511005" w:rsidRDefault="00200E87" w:rsidP="003F6A5D">
      <w:pPr>
        <w:numPr>
          <w:ilvl w:val="0"/>
          <w:numId w:val="50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необхідна оборона повинна бути своєчасною, адже право на її застосування закінчується після припинення посягання і необхідності застосовувати оборону не має;</w:t>
      </w:r>
    </w:p>
    <w:p w14:paraId="1D6ED793" w14:textId="77777777" w:rsidR="00200E87" w:rsidRPr="00511005" w:rsidRDefault="00200E87" w:rsidP="003F6A5D">
      <w:pPr>
        <w:numPr>
          <w:ilvl w:val="0"/>
          <w:numId w:val="50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Посягання повинно бути реальним;</w:t>
      </w:r>
    </w:p>
    <w:p w14:paraId="4050E8C3" w14:textId="77777777" w:rsidR="00200E87" w:rsidRPr="00511005" w:rsidRDefault="00200E87" w:rsidP="003F6A5D">
      <w:pPr>
        <w:numPr>
          <w:ilvl w:val="0"/>
          <w:numId w:val="50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Може реалізуватися з метою захисту об’єктів, які охороняються законом - права та інтереси особи, яка обороняється; суспільні інтереси; права іншої особи; інтереси держави;</w:t>
      </w:r>
    </w:p>
    <w:p w14:paraId="7AFE49D1" w14:textId="77777777" w:rsidR="00200E87" w:rsidRPr="00511005" w:rsidRDefault="00200E87" w:rsidP="003F6A5D">
      <w:pPr>
        <w:numPr>
          <w:ilvl w:val="0"/>
          <w:numId w:val="50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При захисті шкода має бути нанесена тільки тому, хто посягає [5].</w:t>
      </w:r>
    </w:p>
    <w:p w14:paraId="0862D3FC"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В умовах воєнного стану такий інститут, як необхідна оборона, є досить важливим для правової системи країни, адже він регулює дії громадян у разі збройної агресії проти держави [3, с. 17]. Цей інститут набуває особливого значення, адже під час війни держава та її громадяни перебувають під постійною загрозою зовнішніх агресорів. В таких умовах право на необхідну оборону визнається не тільки правом, а й обов’язком кожного із громадян, що передбачається не тільки законодавством, а й моральними принципами людства [6, с. 49]. </w:t>
      </w:r>
    </w:p>
    <w:p w14:paraId="526B242A"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Важливим є положення статті 43-1 Кримінального кодексу України – виконання обов’язку щодо захисту Вітчизни, незалежності та територіальної цілісності України. Необхідність появи цієї норми обумовлюється тим, що права та обов’язки військовослужбовців зазначаються в законодавстві, а ось щодо звичайних пересічних громадян, які в умовах воєнного часу чинять опір агресору, була відсутня норма, яка дозволяла б робити це на законодавчому рівні. Тому й виникла необхідність появи статті 43-1, яка регулює питання стосовно захисту Вітчизни як простих громадян, так і громадян, які виконують обов’язок, які реалізують право на захист Вітчизни. </w:t>
      </w:r>
    </w:p>
    <w:p w14:paraId="7357533E"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Відповідно до цієї статті, не тягне за собою кримінальної відповідальності діяння, яке здійснюється в період воєнного стану та спрямовується на стримування збройної агресії, якщо це наносить шкоду </w:t>
      </w:r>
      <w:r w:rsidRPr="00511005">
        <w:rPr>
          <w:rFonts w:ascii="Arial" w:eastAsia="Calibri" w:hAnsi="Arial" w:cs="Arial"/>
          <w:szCs w:val="28"/>
          <w:lang w:val="uk-UA"/>
        </w:rPr>
        <w:lastRenderedPageBreak/>
        <w:t>життю або здоров’ю особи, яка виконує таку агресію, або наноситься шкода правоохоронюваним інтересам за відсутності катування, жорстокого поводження чи використання засобів ведення війни, які забороняються міжнародними договорами щодо ведення війни [1, с. 23].</w:t>
      </w:r>
    </w:p>
    <w:p w14:paraId="7821789E"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У статті передбачені такі діяння, за наявності яких діяння не буде кримінально караним:</w:t>
      </w:r>
    </w:p>
    <w:p w14:paraId="371D326C" w14:textId="77777777" w:rsidR="00200E87" w:rsidRPr="00511005" w:rsidRDefault="00200E87" w:rsidP="003F6A5D">
      <w:pPr>
        <w:numPr>
          <w:ilvl w:val="0"/>
          <w:numId w:val="50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Діяння (дія або бездіяльність) чітко спрямовується на стримування або припинення збройної агресії іншої країни;</w:t>
      </w:r>
    </w:p>
    <w:p w14:paraId="762417CC" w14:textId="77777777" w:rsidR="00200E87" w:rsidRPr="00511005" w:rsidRDefault="00200E87" w:rsidP="003F6A5D">
      <w:pPr>
        <w:numPr>
          <w:ilvl w:val="0"/>
          <w:numId w:val="50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Діяння вчиняється тільки в умовах воєнного стану або збройного конфлікту;</w:t>
      </w:r>
    </w:p>
    <w:p w14:paraId="61B1E0A6" w14:textId="77777777" w:rsidR="00200E87" w:rsidRPr="00511005" w:rsidRDefault="00200E87" w:rsidP="003F6A5D">
      <w:pPr>
        <w:numPr>
          <w:ilvl w:val="0"/>
          <w:numId w:val="50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Шкода наноситься тільки життю та здоров'ю особи, яка реалізує таку агресію;</w:t>
      </w:r>
    </w:p>
    <w:p w14:paraId="00041DBF" w14:textId="77777777" w:rsidR="00200E87" w:rsidRPr="00511005" w:rsidRDefault="00200E87" w:rsidP="003F6A5D">
      <w:pPr>
        <w:numPr>
          <w:ilvl w:val="0"/>
          <w:numId w:val="50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Шкода наноситься тільки тоді, коли існує воєнний стан або збройний конфлікт;</w:t>
      </w:r>
    </w:p>
    <w:p w14:paraId="38F5C8E8" w14:textId="77777777" w:rsidR="00200E87" w:rsidRPr="00511005" w:rsidRDefault="00200E87" w:rsidP="003F6A5D">
      <w:pPr>
        <w:numPr>
          <w:ilvl w:val="0"/>
          <w:numId w:val="50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Такі діяння не мають містити жорстоке поводження, катування та використання засобів ведення війни, які забороняються міжнародними договорами.</w:t>
      </w:r>
    </w:p>
    <w:p w14:paraId="48293FAD"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Викладене у положенні частині 3 статті 43-1 КК України передбачає дозвіл громадянам, які реалізують право на захист Вітчизни, використовувати зброю, бойові припаси, вибухові речовини проти осіб, які реалізують збройну агресію проти України. </w:t>
      </w:r>
    </w:p>
    <w:p w14:paraId="717CBDEA"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Звернемо увагу на порівняння положень статті 36 та 43-1 Кримінального кодексу України в умовах воєнного стану.</w:t>
      </w:r>
    </w:p>
    <w:p w14:paraId="598EB3B1"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Зокрема, стаття 36 регулює випадки, коли особа вчиняє злочин, але такі дії особою здійснюється з метою захисту своїх прав, свобод та інтересів або інтересів іншої особи від злочинних посягань. Необхідною обороною вважається реакція людини на протиправне посягання, яке не перевищує межі [1, с. 20-21]. Ця стаття має на меті захист особи від кримінальної відповідальності за дії, що здійснюється нею в умовах прямої небезпеки. У пункті 8 частини 1 статті 66 Кримінального кодексу зазначено, що у разі перевищення меж, можливе пом'якшення покарання, але не повне звільнення від кримінальної відповідальності[1, с.32-33]. В у мовах воєнного стану межі щодо необхідної оборони стають більш розширеними, адже виникає необхідність реагувати на насильство, загрози в умовах обмежених ресурсів і підвищеної напруженості. </w:t>
      </w:r>
    </w:p>
    <w:p w14:paraId="5290668A"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Отже, стаття 36 Кримінального кодексу передбачає застосування необхідної оборони в рамках особистого захисту від зовнішньої загрози, так і в умовах війни, але тільки в межах необхідної оборони.</w:t>
      </w:r>
    </w:p>
    <w:p w14:paraId="08BAA2CA" w14:textId="07046FA2"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Щодо статті 43-1 Кримінального кодексу України,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встановлюється, що особа не підпадає під кримінальну відповідальність за вчинення протиправних діянь, якщо вона діяла в межах обов'язку щодо захисту Вітчизни, незалежності та територіальної цілісності України. Зокрема, це стосується </w:t>
      </w:r>
      <w:r w:rsidRPr="00511005">
        <w:rPr>
          <w:rFonts w:ascii="Arial" w:eastAsia="Calibri" w:hAnsi="Arial" w:cs="Arial"/>
          <w:szCs w:val="28"/>
          <w:lang w:val="uk-UA"/>
        </w:rPr>
        <w:lastRenderedPageBreak/>
        <w:t>дій, вчинених під час виконання обов'язків у разі агресії, війни чи загрозі державній безпеці. Звільнення від кримінальної відповідальності осіб, які здійснюють такі дії, які є частиною їх обов'язку щодо захисту держави під час агресії, навіть якщо такі дії виходять за межі нормального виконання обов'язків і зазвичай кваліфікуються як злочин. Тобто особа звільняється від кримінальної відповідальності, навіть якщо її дії визнаються злочином за звичайних умов, якщо такі дії є частиною виконання обов’язку або наказу по захисту</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держави [1, с. 23]. </w:t>
      </w:r>
    </w:p>
    <w:p w14:paraId="7B03CD03"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Тому положення цієї статті є більш загальним, які в свою чергу фокусуються на захисті державних інтересів і звільняється від кримінальної відповідальності осіб, які діють в інтересах національної безпеки.</w:t>
      </w:r>
    </w:p>
    <w:p w14:paraId="5BDCDDAE"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Підсумовуючи викладене, можна зазначити, що застосування норм необхідної оборони визначається соціальним фоном. Виходячи з наведеного, право на необхідну оборону виникає лише за певних умов, визначених законом. Згідно з положеннями статті 36 Кримінального кодексу ці умови полягають у такому: оборону визнають необхідною лише тоді, коли дії, її становлять, здійснено з метою захисту прав і цінностей, які перебувають під охороною закону (права та інтересів особи, яка захищається; права та інтересів іншої особи; суспільних інтересів; інтересів держави); оборона допускається лише у відповідь на суспільно небезпечне посягання, тобто діяння, ознаки якого передбачені Кримінальним кодексом; посягання має бути реальним, а не існувати лише в уяві того, хто захищається; шкода при необхідній обороні може бути заподіяна тільки тому, хто посягає; допускається заподіяння лише такої шкоди, яка є необхідною і достатньою в даній обстановці для негайного відвернення чи припинення посягання.</w:t>
      </w:r>
    </w:p>
    <w:p w14:paraId="43314423" w14:textId="0BD09B2F"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Право щодо необхідної оброни є справедливим для кожної особи,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аби захистити себе та ближніх від зовнішніх посягань і має бути виправданим відповідно до вимог та дотримання викладеного в статті 36 Кримінального кодексу України.</w:t>
      </w:r>
    </w:p>
    <w:p w14:paraId="540FCA15" w14:textId="77777777" w:rsidR="00200E87" w:rsidRPr="00511005" w:rsidRDefault="00200E87" w:rsidP="003A292D">
      <w:pPr>
        <w:spacing w:line="264" w:lineRule="auto"/>
        <w:ind w:firstLine="0"/>
        <w:jc w:val="center"/>
        <w:rPr>
          <w:rFonts w:ascii="Arial" w:eastAsia="Calibri" w:hAnsi="Arial" w:cs="Arial"/>
          <w:b/>
          <w:bCs/>
          <w:szCs w:val="28"/>
          <w:lang w:val="uk-UA"/>
        </w:rPr>
      </w:pPr>
    </w:p>
    <w:p w14:paraId="7CC85986" w14:textId="29A2E828" w:rsidR="00200E87"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2D1F57FA" w14:textId="77777777" w:rsidR="00200E87" w:rsidRPr="00511005" w:rsidRDefault="00200E87" w:rsidP="003F6A5D">
      <w:pPr>
        <w:numPr>
          <w:ilvl w:val="0"/>
          <w:numId w:val="50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Кримінальний кодекс України [Електронний ресурс] URL: </w:t>
      </w:r>
      <w:hyperlink r:id="rId1782" w:anchor="Text" w:history="1">
        <w:r w:rsidRPr="00511005">
          <w:rPr>
            <w:rFonts w:ascii="Arial" w:eastAsia="Calibri" w:hAnsi="Arial" w:cs="Arial"/>
            <w:szCs w:val="28"/>
            <w:lang w:val="uk-UA"/>
          </w:rPr>
          <w:t>https://zakon.rada.gov.ua/laws/show/2341-14#Text</w:t>
        </w:r>
      </w:hyperlink>
    </w:p>
    <w:p w14:paraId="267ED3AF" w14:textId="77777777" w:rsidR="00200E87" w:rsidRPr="00511005" w:rsidRDefault="00200E87" w:rsidP="003F6A5D">
      <w:pPr>
        <w:numPr>
          <w:ilvl w:val="0"/>
          <w:numId w:val="50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Баулін, Юрій Васильович. Необхідна оборона. Вісник асоціації кримінального права України 1.6. 2016. c. 425-428.</w:t>
      </w:r>
    </w:p>
    <w:p w14:paraId="6A8BAD73" w14:textId="77777777" w:rsidR="00200E87" w:rsidRPr="00511005" w:rsidRDefault="00200E87" w:rsidP="003F6A5D">
      <w:pPr>
        <w:numPr>
          <w:ilvl w:val="0"/>
          <w:numId w:val="50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Критович, В. М. Практика застосування інституту необхідної оборони. Концептуальні проблеми розвитку сучасної гуманітарної та прикладної науки: матеріали IV Всеукраїнського науково-практичного симпозіуму (м. Івано-Франківськ, 15 травня 2020 року). Івано-Франківськ: Редакційно-видавничий відділ Університету Короля Данила, 2020. 736 с. 2020. с. 553.</w:t>
      </w:r>
    </w:p>
    <w:p w14:paraId="0B89FC8E" w14:textId="77777777" w:rsidR="00200E87" w:rsidRPr="00511005" w:rsidRDefault="00200E87" w:rsidP="003F6A5D">
      <w:pPr>
        <w:numPr>
          <w:ilvl w:val="0"/>
          <w:numId w:val="50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Островська М. А. Межі необхідної оборони: коли оборона стає необхідною і чи дозволена її безмежність. [Електронний ресурс.] Режим доступу https://censor.net.ua/blogs/3105023/mej_neobhdno_oboroni_koli_oborona_sta_neobhdn oyu_chi_dozvolena_bezmejnst. </w:t>
      </w:r>
    </w:p>
    <w:p w14:paraId="47AA9D04" w14:textId="77777777" w:rsidR="00200E87" w:rsidRPr="00511005" w:rsidRDefault="00200E87" w:rsidP="003F6A5D">
      <w:pPr>
        <w:numPr>
          <w:ilvl w:val="0"/>
          <w:numId w:val="50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Руденко, К. Необхідна оборона та умови її правомірності. Теоретичні та практичні проблеми розвитку кримінального права і процесу 2022. С. 105-106.</w:t>
      </w:r>
    </w:p>
    <w:p w14:paraId="77567C97" w14:textId="77777777" w:rsidR="00200E87" w:rsidRPr="00511005" w:rsidRDefault="00200E87" w:rsidP="003F6A5D">
      <w:pPr>
        <w:numPr>
          <w:ilvl w:val="0"/>
          <w:numId w:val="50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Шевченко, А. М. Перевищення меж необхідної оборони. Науково-практична конференція: 144. 8. </w:t>
      </w:r>
    </w:p>
    <w:p w14:paraId="4BF69A66" w14:textId="77777777" w:rsidR="00200E87" w:rsidRPr="00511005" w:rsidRDefault="00200E87" w:rsidP="003A292D">
      <w:pPr>
        <w:spacing w:line="264" w:lineRule="auto"/>
        <w:ind w:firstLine="0"/>
        <w:contextualSpacing/>
        <w:rPr>
          <w:rFonts w:ascii="Arial" w:eastAsia="Calibri" w:hAnsi="Arial" w:cs="Arial"/>
          <w:szCs w:val="28"/>
          <w:lang w:val="uk-UA"/>
        </w:rPr>
      </w:pPr>
    </w:p>
    <w:p w14:paraId="4E8E2A79" w14:textId="79C48B1D"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200E87" w:rsidRPr="00511005">
        <w:rPr>
          <w:rFonts w:ascii="Arial" w:eastAsia="Calibri" w:hAnsi="Arial" w:cs="Arial"/>
          <w:szCs w:val="28"/>
          <w:lang w:val="uk-UA"/>
        </w:rPr>
        <w:t>необхідна оборона, самозахист, воєнний стан, збройна агресія, збройний конфлікт, захист Вітчизни, права та свободи, потрібна оборона, суспільно небезпечні посягання.</w:t>
      </w:r>
    </w:p>
    <w:p w14:paraId="3F00419E" w14:textId="26DF2022"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en-AU"/>
        </w:rPr>
        <w:t xml:space="preserve">Key words: </w:t>
      </w:r>
      <w:r w:rsidR="00200E87" w:rsidRPr="00511005">
        <w:rPr>
          <w:rFonts w:ascii="Arial" w:eastAsia="Calibri" w:hAnsi="Arial" w:cs="Arial"/>
          <w:szCs w:val="28"/>
          <w:lang w:val="en"/>
        </w:rPr>
        <w:t>necessary defense, self-defense, martial law, armed aggression, armed conflict, defense of the Fatherland, rights and freedoms, necessary defense, socially dangerous encroachments.</w:t>
      </w:r>
    </w:p>
    <w:p w14:paraId="07E22630" w14:textId="36BAA4CA" w:rsidR="00200E87"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rPr>
        <w:t xml:space="preserve">Науковий керівник: </w:t>
      </w:r>
      <w:r w:rsidR="00200E87" w:rsidRPr="00511005">
        <w:rPr>
          <w:rFonts w:ascii="Arial" w:eastAsia="Calibri" w:hAnsi="Arial" w:cs="Arial"/>
          <w:i/>
          <w:iCs/>
          <w:szCs w:val="28"/>
        </w:rPr>
        <w:t>к.ю.н., професор</w:t>
      </w:r>
      <w:r w:rsidRPr="00511005">
        <w:rPr>
          <w:rFonts w:ascii="Arial" w:eastAsia="Calibri" w:hAnsi="Arial" w:cs="Arial"/>
          <w:i/>
          <w:iCs/>
          <w:szCs w:val="28"/>
        </w:rPr>
        <w:t xml:space="preserve"> </w:t>
      </w:r>
      <w:r w:rsidR="00200E87" w:rsidRPr="00511005">
        <w:rPr>
          <w:rFonts w:ascii="Arial" w:eastAsia="Calibri" w:hAnsi="Arial" w:cs="Arial"/>
          <w:i/>
          <w:iCs/>
          <w:szCs w:val="28"/>
        </w:rPr>
        <w:t>Мирошниченко Н. А.</w:t>
      </w:r>
    </w:p>
    <w:p w14:paraId="09DFC679" w14:textId="77777777" w:rsidR="00200E87" w:rsidRPr="00511005" w:rsidRDefault="00200E87" w:rsidP="003A292D">
      <w:pPr>
        <w:spacing w:line="264" w:lineRule="auto"/>
        <w:ind w:firstLine="0"/>
        <w:jc w:val="center"/>
        <w:rPr>
          <w:rFonts w:ascii="Arial" w:eastAsia="Calibri" w:hAnsi="Arial" w:cs="Arial"/>
          <w:b/>
          <w:szCs w:val="28"/>
          <w:lang w:val="uk-UA"/>
        </w:rPr>
      </w:pPr>
    </w:p>
    <w:p w14:paraId="68CDCAEC" w14:textId="77777777" w:rsidR="00200E87" w:rsidRPr="00511005" w:rsidRDefault="00200E87" w:rsidP="003A292D">
      <w:pPr>
        <w:spacing w:line="264" w:lineRule="auto"/>
        <w:ind w:firstLine="0"/>
        <w:jc w:val="center"/>
        <w:rPr>
          <w:rFonts w:ascii="Arial" w:eastAsia="Times New Roman" w:hAnsi="Arial" w:cs="Arial"/>
          <w:i/>
          <w:iCs/>
          <w:szCs w:val="28"/>
          <w:lang w:val="uk-UA"/>
        </w:rPr>
      </w:pPr>
      <w:r w:rsidRPr="00511005">
        <w:rPr>
          <w:rFonts w:ascii="Arial" w:eastAsia="Times New Roman" w:hAnsi="Arial" w:cs="Arial"/>
          <w:b/>
          <w:bCs/>
          <w:i/>
          <w:iCs/>
          <w:szCs w:val="28"/>
          <w:lang w:val="uk-UA"/>
        </w:rPr>
        <w:t>Гордієнко Валерія Сергіївна</w:t>
      </w:r>
    </w:p>
    <w:p w14:paraId="39EEBE10" w14:textId="025D5342" w:rsidR="00200E87"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студентка 2-го курсу факультету адвокатури та антикорупційної діяльності</w:t>
      </w:r>
    </w:p>
    <w:p w14:paraId="16FE4F18" w14:textId="7D117393" w:rsidR="00200E87" w:rsidRPr="00511005" w:rsidRDefault="00200E87"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Національного університету </w:t>
      </w:r>
      <w:r w:rsidR="00064CEB">
        <w:rPr>
          <w:rFonts w:ascii="Arial" w:eastAsia="Times New Roman" w:hAnsi="Arial" w:cs="Arial"/>
          <w:szCs w:val="28"/>
          <w:lang w:val="uk-UA"/>
        </w:rPr>
        <w:t>«</w:t>
      </w:r>
      <w:r w:rsidRPr="00511005">
        <w:rPr>
          <w:rFonts w:ascii="Arial" w:eastAsia="Times New Roman" w:hAnsi="Arial" w:cs="Arial"/>
          <w:szCs w:val="28"/>
          <w:lang w:val="uk-UA"/>
        </w:rPr>
        <w:t>Одеська юридична академія</w:t>
      </w:r>
      <w:r w:rsidR="00064CEB">
        <w:rPr>
          <w:rFonts w:ascii="Arial" w:eastAsia="Times New Roman" w:hAnsi="Arial" w:cs="Arial"/>
          <w:szCs w:val="28"/>
          <w:lang w:val="uk-UA"/>
        </w:rPr>
        <w:t>»</w:t>
      </w:r>
    </w:p>
    <w:p w14:paraId="1E26A639" w14:textId="77777777" w:rsidR="00200E87" w:rsidRPr="00511005" w:rsidRDefault="00200E87" w:rsidP="003A292D">
      <w:pPr>
        <w:spacing w:line="264" w:lineRule="auto"/>
        <w:ind w:firstLine="0"/>
        <w:jc w:val="center"/>
        <w:rPr>
          <w:rFonts w:ascii="Arial" w:eastAsia="Times New Roman" w:hAnsi="Arial" w:cs="Arial"/>
          <w:szCs w:val="28"/>
          <w:lang w:val="uk-UA"/>
        </w:rPr>
      </w:pPr>
    </w:p>
    <w:p w14:paraId="4BC38969" w14:textId="77777777" w:rsidR="00200E87" w:rsidRPr="00511005" w:rsidRDefault="00200E87"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НОВЕЛИ КРИМІНАЛЬНОГО ЗАКОНОДАВСТВА ЩОДО</w:t>
      </w:r>
    </w:p>
    <w:p w14:paraId="4D736305" w14:textId="77777777" w:rsidR="007B2628" w:rsidRPr="00511005" w:rsidRDefault="00200E87"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ШТРАФУ ЯК ВИДУ ПОКАРАННЯ</w:t>
      </w:r>
    </w:p>
    <w:p w14:paraId="4EE700F0" w14:textId="77777777" w:rsidR="007B2628"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Для подальшого розвитку української державності критично важлива оптимізація законодавства про кримінальну відповідальність. Реформування кримінально-правової системи України неможливе без розробки та запровадження якісних законів, які є основою для ефективного використання кримінально-правових норм.</w:t>
      </w:r>
    </w:p>
    <w:p w14:paraId="39F5224B" w14:textId="77777777" w:rsidR="007B2628"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 українській кримінальній юстиції штраф є значущим видом покарання, що поєднує елементи кари та попередження кримінальних правопорушень. Як одне з найбільш вживаних майнових стягнень за кримінальні діяння, штраф перебуває під впливом постійних змін у законодавстві, спрямованих на його оптимізацію відповідно до суспільних вимог та міжнародних стандартів. Останнім часом відбулися важливі законодавчі ініціативи, що торкнулися й штрафних санкцій. Аналіз цих новітніх положень є необхідним для осмислення актуальних тенденцій кримінального права, особливостей застосування штрафів та їхньої дієвості у боротьбі зі злочинністю.</w:t>
      </w:r>
    </w:p>
    <w:p w14:paraId="5D5C66BA" w14:textId="77777777" w:rsidR="007B2628"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Вичерпний перелік видів кримінальних покарань, встановлений статтею 51 Кримінального кодексу України(далі-КК), демонструє їхню ієрархію від найменш суворого до найбільш суворого, причому штраф визнається </w:t>
      </w:r>
      <w:r w:rsidRPr="00511005">
        <w:rPr>
          <w:rFonts w:ascii="Arial" w:eastAsia="Times New Roman" w:hAnsi="Arial" w:cs="Arial"/>
          <w:szCs w:val="28"/>
          <w:lang w:val="uk-UA"/>
        </w:rPr>
        <w:lastRenderedPageBreak/>
        <w:t>найлегшим. У кримінальній доктрині існує консенсус щодо розуміння штрафу як грошової санкції, розмір і застосування якої визначаються судом на підставі положень Особливої частини КК, що відповідає законодавчому визначенню [4].</w:t>
      </w:r>
    </w:p>
    <w:p w14:paraId="24EFA508" w14:textId="77777777" w:rsidR="007B2628"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зв’язку з прийняттям Кримінального процесуального кодексу України та інших Законів України, до деяких законодавчих актів були внесені зміни,зокрема в частині штрафу як покарання.Останні законодавчі ініціативи мали на меті оптимізувати процес застосування штрафних санкцій, зробити їх дієвішими та справедливішими при призначенні. Одним із головних нововведень стало реформування системи визначення розмірів штрафів. Якщо раніше суми штрафів часто були сталими або варіювалися в широкому діапазоні, що не завжди корелювало з серйозністю кримінального правопорушення та фінансовим становищем винного, то тепер запроваджено більш адаптивний підхід до встановлення величини штрафу. Суд визначає розмір штрафу, беручи до уваги фінансове становище засудженого, в діапазоні від тридцяти до п'ятдесяти тисяч неоподатковуваних мінімумів доходів громадян , якщо іншими статтями цього Кодексу не встановлено більшої суми.</w:t>
      </w:r>
    </w:p>
    <w:p w14:paraId="0A7317AE" w14:textId="77777777" w:rsidR="007B2628" w:rsidRPr="00511005" w:rsidRDefault="00200E87" w:rsidP="003A292D">
      <w:pPr>
        <w:spacing w:line="264" w:lineRule="auto"/>
        <w:ind w:firstLine="0"/>
        <w:rPr>
          <w:rFonts w:ascii="Arial" w:eastAsia="Aptos" w:hAnsi="Arial" w:cs="Arial"/>
          <w:szCs w:val="28"/>
          <w:lang w:val="uk-UA"/>
        </w:rPr>
      </w:pPr>
      <w:r w:rsidRPr="00511005">
        <w:rPr>
          <w:rFonts w:ascii="Arial" w:eastAsia="Times New Roman" w:hAnsi="Arial" w:cs="Arial"/>
          <w:szCs w:val="28"/>
          <w:lang w:val="uk-UA"/>
        </w:rPr>
        <w:t>Якщо за вчинення кримінального правопорушення основним покаранням є штраф, що перевищує три тисячі неоподатковуваних мінімумів доходів громадян, то призначений судом штраф не може бути меншим за суму завданих збитків або отриманого незаконного доходу, незалежно від максимальної межі штрафу, передбаченої відповідною статтею Кодексу.</w:t>
      </w:r>
    </w:p>
    <w:p w14:paraId="0C9AA9E7" w14:textId="77777777" w:rsidR="007B2628" w:rsidRPr="00511005" w:rsidRDefault="00200E87" w:rsidP="003A292D">
      <w:pPr>
        <w:spacing w:line="264" w:lineRule="auto"/>
        <w:ind w:firstLine="0"/>
        <w:rPr>
          <w:rFonts w:ascii="Arial" w:eastAsia="Aptos" w:hAnsi="Arial" w:cs="Arial"/>
          <w:szCs w:val="28"/>
          <w:lang w:val="uk-UA"/>
        </w:rPr>
      </w:pPr>
      <w:r w:rsidRPr="00511005">
        <w:rPr>
          <w:rFonts w:ascii="Arial" w:eastAsia="Times New Roman" w:hAnsi="Arial" w:cs="Arial"/>
          <w:szCs w:val="28"/>
          <w:lang w:val="uk-UA"/>
        </w:rPr>
        <w:t xml:space="preserve">Однак, коли суд встановлює, що кримінальне правопорушення вчинено кількома особами, і роль виконавця, підбурювача чи пособника була другорядною, таким особам може бути призначено штраф у межах, визначених відповідною статтею Кодексу, без урахування розміру завданої шкоди чи отриманого доходу [1]. </w:t>
      </w:r>
    </w:p>
    <w:p w14:paraId="7A375F89" w14:textId="7C6011E0"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Наразі впроваджено диференційований підхід до визначення величини штрафу, який у випадку його застосування як основного виду покарання не може перевищувати трьох тисяч неоподатковуваних мінімумів доходів громадян [1].У разі несплати штрафу в даному розмірі та відсутності підстав для розстрочки його виплати суд замінює несплачену суму штрафу покаранням у виді позбавлення волі із розрахунку один день позбавлення волі за вісім неоподатковуваних мінімумів доходів громадян у таких межах:</w:t>
      </w:r>
    </w:p>
    <w:p w14:paraId="395901E8" w14:textId="77777777" w:rsidR="00200E87" w:rsidRPr="00511005" w:rsidRDefault="00200E87" w:rsidP="003A292D">
      <w:pPr>
        <w:spacing w:line="264" w:lineRule="auto"/>
        <w:ind w:firstLine="0"/>
        <w:rPr>
          <w:rFonts w:ascii="Arial" w:eastAsia="Aptos" w:hAnsi="Arial" w:cs="Arial"/>
          <w:szCs w:val="28"/>
          <w:lang w:val="uk-UA"/>
        </w:rPr>
      </w:pPr>
      <w:r w:rsidRPr="00511005">
        <w:rPr>
          <w:rFonts w:ascii="Arial" w:eastAsia="Times New Roman" w:hAnsi="Arial" w:cs="Arial"/>
          <w:szCs w:val="28"/>
          <w:lang w:val="uk-UA"/>
        </w:rPr>
        <w:t>1) від одного до п'яти років позбавлення волі - у випадку призначення штрафу за вчинення нетяжкого злочину;</w:t>
      </w:r>
    </w:p>
    <w:p w14:paraId="26AAF3EE" w14:textId="77777777" w:rsidR="00200E87" w:rsidRPr="00511005" w:rsidRDefault="00200E87" w:rsidP="003A292D">
      <w:pPr>
        <w:spacing w:line="264" w:lineRule="auto"/>
        <w:ind w:firstLine="0"/>
        <w:rPr>
          <w:rFonts w:ascii="Arial" w:eastAsia="Aptos" w:hAnsi="Arial" w:cs="Arial"/>
          <w:szCs w:val="28"/>
          <w:lang w:val="uk-UA"/>
        </w:rPr>
      </w:pPr>
      <w:r w:rsidRPr="00511005">
        <w:rPr>
          <w:rFonts w:ascii="Arial" w:eastAsia="Times New Roman" w:hAnsi="Arial" w:cs="Arial"/>
          <w:szCs w:val="28"/>
          <w:lang w:val="uk-UA"/>
        </w:rPr>
        <w:t>2) від п'яти до десяти років позбавлення волі - у випадку призначення штрафу за вчинення тяжкого злочину;</w:t>
      </w:r>
    </w:p>
    <w:p w14:paraId="2A8C2920" w14:textId="77777777" w:rsidR="007B2628"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3) від десяти до дванадцяти років позбавлення волі - у випадку призначення штрафу за вчинення особливо тяжкого злочину.</w:t>
      </w:r>
    </w:p>
    <w:p w14:paraId="07BB8FE4" w14:textId="77777777" w:rsidR="007B2628"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Згідно із Законом України “Про внесення змін до Кримінального кодексу України та Кримінального процесуального кодексу України щодо вдосконалення регулювання угод про визнання винуватості у кримінальних провадженнях щодо корупційних кримінальних правопорушень та кримінальних правопорушень, пов’язаних з корупцією” було змінено підходи до визначення розміру штрафу.</w:t>
      </w:r>
    </w:p>
    <w:p w14:paraId="2AB2FCFA" w14:textId="77777777" w:rsidR="007B2628"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Якщо раніше суд міг визначати розмір штрафу, враховуючи тяжкість вчиненого</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кримінального правопорушення та майновий стан особи, то наразі, згідно з Законом України “Про внесення змін до Кримінального кодексу України та Кримінального процесуального кодексу України щодо вдосконалення регулювання угод про визнання винуватості у кримінальних провадженнях щодо корупційних кримінальних правопорушень та кримінальних правопорушень, пов’язаних з корупцією” від 29.10.2024 р., розмір штрафу визначається з урахуванням майнового стану винного та кратності до неоподатковуваного мінімуму доходів громадян, встановленої санкцією статті (частини статті) Особливої частини Кримінального кодексу України.</w:t>
      </w:r>
    </w:p>
    <w:p w14:paraId="20856C3A" w14:textId="77777777" w:rsidR="007B2628"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Відповідно до ст. 69-2 цього Закону, передбачено можливість призначення більш м'якого покарання, ніж встановлено законом, у справах про корупційні кримінальні правопорушення або пов'язані з корупцією правопорушення, якщо укладено угоду про визнання винуватості.У таких кримінальних провадженнях, за умови виконання вимог, визначених пунктами 2 або 2-1 частини четвертої статті 469 Кримінального процесуального кодексу України, сторони угоди можуть домовитися,і суд може призначити основне покарання,що є нижчим за мінімальну межу, передбачену відповідною статтею Особливої частини цього Кодексу,але не нижчим за найнижчу межу,встановлену цим Кодексом загалом [3].</w:t>
      </w:r>
    </w:p>
    <w:p w14:paraId="3F61C852" w14:textId="77777777" w:rsidR="007B2628"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 огляду на це, слід зазначити, що визначення штрафу в рамках угоди характеризується можливістю його встановлення на рівні, нижчому за мінімальну санкцію відповідної статті Особливої частини КК, але не нижчому за загальну мінімальну межу, встановлену цим Кодексом.</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Разом з тим, законодавчо закріплено заборону на звільнення від відбування покарання у виді штрафу з випробуванням у випадках укладення угоди за корупційні правопорушення.</w:t>
      </w:r>
    </w:p>
    <w:p w14:paraId="5A62771C" w14:textId="77777777" w:rsidR="007B2628"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Також однією з важливих новел щодо штрафу є впровадження оновлених методів забезпечення виконання покарання у формі штрафу. Раніше значною перешкодою була проблема несплати, особливо значних сум штрафу. Для покращення ситуації з виконанням цього виду стягнення законодавством передбачено наступні заходи: з урахуванням майнового стану особи суд може призначии штраф із розстрочкою виплати або у разі несплати штрафу без підстав для рострочки заміна іншим,більш суворим </w:t>
      </w:r>
      <w:r w:rsidRPr="00511005">
        <w:rPr>
          <w:rFonts w:ascii="Arial" w:eastAsia="Times New Roman" w:hAnsi="Arial" w:cs="Arial"/>
          <w:szCs w:val="28"/>
          <w:lang w:val="uk-UA"/>
        </w:rPr>
        <w:lastRenderedPageBreak/>
        <w:t>покаранням,таким як позбавлення волі із розрахунку один день позбавлення волі за вісім неоподатковуваних мінімумів доходів громадян [2].</w:t>
      </w:r>
    </w:p>
    <w:p w14:paraId="2A147F55" w14:textId="254EC82F"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Отже, зміни в кримінальному законодавстві України щодо штрафів є значущим кроком у реформуванні системи кримінальної відповідальності. Збільшення штрафів та скасування їхньої верхньої межі для певних кримінальних правопорушень спрямовані на гуманізацію процесу, особливо в економічній сфері, та пошук м'якших покарань. Однак, зростання ролі штрафу як критерію класифікації кримінальних правопорушень вимагає від правоохоронців обережного підходу до його призначення. Забезпечення справедливості та ефективності великих штрафів, а також запобігання їхній непропорційності, потребує подальшого наукового та практичного вивчення наслідків цих змін. У кінцевому підсумку, успішне впровадження цих новел залежить від глибокого аналізу, розробки чітких інструкцій та постійного контролю за їхнім застосуванням для досягнення цілей покарання та дотримання законності.</w:t>
      </w:r>
    </w:p>
    <w:p w14:paraId="6F65AE54" w14:textId="77777777" w:rsidR="00200E87" w:rsidRPr="00511005" w:rsidRDefault="00200E87" w:rsidP="003A292D">
      <w:pPr>
        <w:spacing w:line="264" w:lineRule="auto"/>
        <w:ind w:firstLine="0"/>
        <w:rPr>
          <w:rFonts w:ascii="Arial" w:eastAsia="Times New Roman" w:hAnsi="Arial" w:cs="Arial"/>
          <w:szCs w:val="28"/>
          <w:lang w:val="uk-UA"/>
        </w:rPr>
      </w:pPr>
    </w:p>
    <w:p w14:paraId="2ADDAD2D" w14:textId="77777777" w:rsidR="00200E87" w:rsidRPr="00511005" w:rsidRDefault="00200E87" w:rsidP="003A292D">
      <w:pPr>
        <w:spacing w:line="264" w:lineRule="auto"/>
        <w:ind w:firstLine="0"/>
        <w:rPr>
          <w:rFonts w:ascii="Arial" w:eastAsia="Times New Roman" w:hAnsi="Arial" w:cs="Arial"/>
          <w:szCs w:val="28"/>
          <w:lang w:val="uk-UA"/>
        </w:rPr>
      </w:pPr>
    </w:p>
    <w:p w14:paraId="1549571D" w14:textId="45D5AC00" w:rsidR="00200E87" w:rsidRPr="00511005" w:rsidRDefault="007B2628" w:rsidP="007B2628">
      <w:pPr>
        <w:spacing w:line="264" w:lineRule="auto"/>
        <w:ind w:firstLine="0"/>
        <w:jc w:val="center"/>
        <w:rPr>
          <w:rFonts w:ascii="Arial" w:eastAsia="Times New Roman" w:hAnsi="Arial" w:cs="Arial"/>
          <w:szCs w:val="28"/>
          <w:lang w:val="uk-UA"/>
        </w:rPr>
      </w:pPr>
      <w:r w:rsidRPr="00511005">
        <w:rPr>
          <w:rFonts w:ascii="Arial" w:eastAsia="Times New Roman" w:hAnsi="Arial" w:cs="Arial"/>
          <w:b/>
          <w:bCs/>
          <w:szCs w:val="28"/>
          <w:lang w:val="uk-UA"/>
        </w:rPr>
        <w:t>Список використаних джерел</w:t>
      </w:r>
    </w:p>
    <w:p w14:paraId="399FBD1E" w14:textId="77777777" w:rsidR="00200E87" w:rsidRPr="00511005" w:rsidRDefault="00200E87" w:rsidP="003F6A5D">
      <w:pPr>
        <w:numPr>
          <w:ilvl w:val="0"/>
          <w:numId w:val="506"/>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Кримінальний кодекс України [Електронний ресурс] : Закон України від 05.04.2001 № 2341-III // Верховна Рада України. Законодавство України. – URL: </w:t>
      </w:r>
      <w:hyperlink r:id="rId1783" w:anchor="Text">
        <w:r w:rsidRPr="00511005">
          <w:rPr>
            <w:rFonts w:ascii="Arial" w:eastAsia="Times New Roman" w:hAnsi="Arial" w:cs="Arial"/>
            <w:szCs w:val="28"/>
            <w:lang w:val="uk-UA"/>
          </w:rPr>
          <w:t>https://zakon.rada.gov.ua/laws/show/2341-14#Text</w:t>
        </w:r>
      </w:hyperlink>
      <w:r w:rsidRPr="00511005">
        <w:rPr>
          <w:rFonts w:ascii="Arial" w:eastAsia="Times New Roman" w:hAnsi="Arial" w:cs="Arial"/>
          <w:szCs w:val="28"/>
          <w:lang w:val="uk-UA"/>
        </w:rPr>
        <w:t xml:space="preserve"> (дата звернення: 07.04.2025).</w:t>
      </w:r>
    </w:p>
    <w:p w14:paraId="4026E99C" w14:textId="77777777" w:rsidR="00200E87" w:rsidRPr="00511005" w:rsidRDefault="00200E87" w:rsidP="003F6A5D">
      <w:pPr>
        <w:numPr>
          <w:ilvl w:val="0"/>
          <w:numId w:val="506"/>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Про внесення змін до Кримінального та Кримінально-процесуального кодексів України щодо гуманізації кримінальної відповідальності : Закон України зі змінами від 13.04.2012 № 4651-VI // Верховна Рада України.Законодавство України. – URL:</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w:instrText>
      </w:r>
      <w:r w:rsidR="005938AD">
        <w:instrText>s</w:instrText>
      </w:r>
      <w:r w:rsidR="005938AD" w:rsidRPr="00055389">
        <w:rPr>
          <w:lang w:val="uk-UA"/>
        </w:rPr>
        <w:instrText>://</w:instrText>
      </w:r>
      <w:r w:rsidR="005938AD">
        <w:instrText>zakon</w:instrText>
      </w:r>
      <w:r w:rsidR="005938AD" w:rsidRPr="00055389">
        <w:rPr>
          <w:lang w:val="uk-UA"/>
        </w:rPr>
        <w:instrText>.</w:instrText>
      </w:r>
      <w:r w:rsidR="005938AD">
        <w:instrText>rada</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laws</w:instrText>
      </w:r>
      <w:r w:rsidR="005938AD" w:rsidRPr="00055389">
        <w:rPr>
          <w:lang w:val="uk-UA"/>
        </w:rPr>
        <w:instrText>/</w:instrText>
      </w:r>
      <w:r w:rsidR="005938AD">
        <w:instrText>show</w:instrText>
      </w:r>
      <w:r w:rsidR="005938AD" w:rsidRPr="00055389">
        <w:rPr>
          <w:lang w:val="uk-UA"/>
        </w:rPr>
        <w:instrText>/270-17" \</w:instrText>
      </w:r>
      <w:r w:rsidR="005938AD">
        <w:instrText>l</w:instrText>
      </w:r>
      <w:r w:rsidR="005938AD" w:rsidRPr="00055389">
        <w:rPr>
          <w:lang w:val="uk-UA"/>
        </w:rPr>
        <w:instrText xml:space="preserve"> "</w:instrText>
      </w:r>
      <w:r w:rsidR="005938AD">
        <w:instrText>Text</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rPr>
        <w:t>https://zakon.rada.gov.ua/laws/show/270-17#Text</w:t>
      </w:r>
      <w:r w:rsidR="005938AD">
        <w:rPr>
          <w:rFonts w:ascii="Arial" w:eastAsia="Times New Roman" w:hAnsi="Arial" w:cs="Arial"/>
          <w:szCs w:val="28"/>
          <w:lang w:val="uk-UA"/>
        </w:rPr>
        <w:fldChar w:fldCharType="end"/>
      </w:r>
      <w:r w:rsidRPr="00511005">
        <w:rPr>
          <w:rFonts w:ascii="Arial" w:eastAsia="Times New Roman" w:hAnsi="Arial" w:cs="Arial"/>
          <w:szCs w:val="28"/>
          <w:lang w:val="uk-UA"/>
        </w:rPr>
        <w:t xml:space="preserve"> (дата звернення: 07.04.2025).</w:t>
      </w:r>
    </w:p>
    <w:p w14:paraId="2FDCEAFA" w14:textId="77777777" w:rsidR="00200E87" w:rsidRPr="00511005" w:rsidRDefault="00200E87" w:rsidP="003F6A5D">
      <w:pPr>
        <w:numPr>
          <w:ilvl w:val="0"/>
          <w:numId w:val="506"/>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Про внесення змін до Кримінального кодексу України та Кримінального процесуального кодексу України щодо вдосконалення регулювання угод про визнання винуватості у кримінальних провадженнях щодо корупційних кримінальних правопорушень та кримінальних правопорушень, пов’язаних з корупцією. Закон України від 29.10.2024 № 4033-IX // Верховна Рада України.Законодавство України. – URL: </w:t>
      </w:r>
      <w:hyperlink r:id="rId1784" w:anchor="n7">
        <w:r w:rsidRPr="00511005">
          <w:rPr>
            <w:rFonts w:ascii="Arial" w:eastAsia="Times New Roman" w:hAnsi="Arial" w:cs="Arial"/>
            <w:szCs w:val="28"/>
            <w:lang w:val="uk-UA"/>
          </w:rPr>
          <w:t>https://zakon.rada.gov.ua/laws/show/4033-20#n7</w:t>
        </w:r>
      </w:hyperlink>
      <w:r w:rsidRPr="00511005">
        <w:rPr>
          <w:rFonts w:ascii="Arial" w:eastAsia="Times New Roman" w:hAnsi="Arial" w:cs="Arial"/>
          <w:szCs w:val="28"/>
          <w:lang w:val="uk-UA"/>
        </w:rPr>
        <w:t xml:space="preserve"> (дата звернення: 08.04.2025).</w:t>
      </w:r>
    </w:p>
    <w:p w14:paraId="492F4279" w14:textId="77777777" w:rsidR="00200E87" w:rsidRPr="00511005" w:rsidRDefault="00200E87" w:rsidP="003F6A5D">
      <w:pPr>
        <w:numPr>
          <w:ilvl w:val="0"/>
          <w:numId w:val="506"/>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Збірник “Актуальні проблеми кримінального права” / Обиход О.В. Штраф як вид покарання за самовільне залишення військової частини або місця служби: конф. матеріали:23.11.2023.Київ. 395с.</w:t>
      </w:r>
    </w:p>
    <w:p w14:paraId="35160B00" w14:textId="77777777" w:rsidR="00200E87" w:rsidRPr="00511005" w:rsidRDefault="00200E87" w:rsidP="003A292D">
      <w:pPr>
        <w:spacing w:line="264" w:lineRule="auto"/>
        <w:ind w:firstLine="0"/>
        <w:rPr>
          <w:rFonts w:ascii="Arial" w:eastAsia="Times New Roman" w:hAnsi="Arial" w:cs="Arial"/>
          <w:b/>
          <w:bCs/>
          <w:szCs w:val="28"/>
          <w:lang w:val="uk-UA"/>
        </w:rPr>
      </w:pPr>
    </w:p>
    <w:p w14:paraId="29B0E02F" w14:textId="70256C01" w:rsidR="00200E87" w:rsidRPr="00511005" w:rsidRDefault="007B2628" w:rsidP="003A292D">
      <w:pPr>
        <w:spacing w:line="264" w:lineRule="auto"/>
        <w:ind w:firstLine="0"/>
        <w:rPr>
          <w:rFonts w:ascii="Arial" w:eastAsia="Times New Roman" w:hAnsi="Arial" w:cs="Arial"/>
          <w:b/>
          <w:bCs/>
          <w:szCs w:val="28"/>
          <w:lang w:val="uk-UA"/>
        </w:rPr>
      </w:pPr>
      <w:r w:rsidRPr="00511005">
        <w:rPr>
          <w:rFonts w:ascii="Arial" w:eastAsia="Times New Roman" w:hAnsi="Arial" w:cs="Arial"/>
          <w:b/>
          <w:bCs/>
          <w:i/>
          <w:szCs w:val="28"/>
          <w:lang w:val="uk-UA"/>
        </w:rPr>
        <w:t xml:space="preserve">Ключові слова: </w:t>
      </w:r>
      <w:r w:rsidR="00200E87" w:rsidRPr="00511005">
        <w:rPr>
          <w:rFonts w:ascii="Arial" w:eastAsia="Times New Roman" w:hAnsi="Arial" w:cs="Arial"/>
          <w:szCs w:val="28"/>
          <w:lang w:val="uk-UA"/>
        </w:rPr>
        <w:t>штраф, покарання, новели, кримінальна відповідальність, санкція, кримінальне правопорушення</w:t>
      </w:r>
    </w:p>
    <w:p w14:paraId="0195351C" w14:textId="38AEA67C" w:rsidR="00200E87"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lastRenderedPageBreak/>
        <w:t xml:space="preserve">Key words: </w:t>
      </w:r>
      <w:r w:rsidR="00200E87" w:rsidRPr="00511005">
        <w:rPr>
          <w:rFonts w:ascii="Arial" w:eastAsia="Times New Roman" w:hAnsi="Arial" w:cs="Arial"/>
          <w:szCs w:val="28"/>
          <w:lang w:val="uk-UA"/>
        </w:rPr>
        <w:t>fine, punishment, novels, criminal liability, sanction, criminal offense</w:t>
      </w:r>
    </w:p>
    <w:p w14:paraId="542311F7" w14:textId="00995C24" w:rsidR="00200E87" w:rsidRPr="00511005" w:rsidRDefault="007B2628" w:rsidP="003A292D">
      <w:pPr>
        <w:spacing w:line="264" w:lineRule="auto"/>
        <w:ind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200E87" w:rsidRPr="00511005">
        <w:rPr>
          <w:rFonts w:ascii="Arial" w:eastAsia="Times New Roman" w:hAnsi="Arial" w:cs="Arial"/>
          <w:i/>
          <w:iCs/>
          <w:szCs w:val="28"/>
          <w:lang w:val="uk-UA"/>
        </w:rPr>
        <w:t>к.ю.н., доцент Хильченко А.С.</w:t>
      </w:r>
    </w:p>
    <w:p w14:paraId="607523AC" w14:textId="77777777" w:rsidR="00200E87" w:rsidRPr="00511005" w:rsidRDefault="00200E87" w:rsidP="003A292D">
      <w:pPr>
        <w:spacing w:line="264" w:lineRule="auto"/>
        <w:ind w:firstLine="0"/>
        <w:rPr>
          <w:rFonts w:ascii="Arial" w:eastAsia="Times New Roman" w:hAnsi="Arial" w:cs="Arial"/>
          <w:b/>
          <w:bCs/>
          <w:szCs w:val="28"/>
          <w:lang w:val="uk-UA"/>
        </w:rPr>
      </w:pPr>
    </w:p>
    <w:p w14:paraId="08E654DB" w14:textId="77777777" w:rsidR="00200E87" w:rsidRPr="00511005" w:rsidRDefault="00200E87" w:rsidP="003A292D">
      <w:pPr>
        <w:spacing w:line="264" w:lineRule="auto"/>
        <w:ind w:firstLine="0"/>
        <w:jc w:val="left"/>
        <w:rPr>
          <w:rFonts w:ascii="Arial" w:eastAsia="Times New Roman" w:hAnsi="Arial" w:cs="Arial"/>
          <w:szCs w:val="28"/>
          <w:lang w:val="uk-UA"/>
        </w:rPr>
      </w:pPr>
    </w:p>
    <w:p w14:paraId="07520119" w14:textId="77777777" w:rsidR="00200E87" w:rsidRPr="00511005" w:rsidRDefault="00200E87" w:rsidP="003A292D">
      <w:pPr>
        <w:spacing w:line="264" w:lineRule="auto"/>
        <w:ind w:firstLine="0"/>
        <w:jc w:val="center"/>
        <w:rPr>
          <w:rFonts w:ascii="Arial" w:eastAsia="Calibri" w:hAnsi="Arial" w:cs="Arial"/>
          <w:b/>
          <w:szCs w:val="28"/>
          <w:lang w:val="uk-UA"/>
        </w:rPr>
      </w:pPr>
    </w:p>
    <w:p w14:paraId="7000BDA6" w14:textId="77777777" w:rsidR="00200E87" w:rsidRPr="00511005" w:rsidRDefault="00200E8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Грабовський Станіслав Євгенович</w:t>
      </w:r>
    </w:p>
    <w:p w14:paraId="67787187" w14:textId="63697048" w:rsidR="00200E8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 1-го курсу магістратури</w:t>
      </w:r>
      <w:r w:rsidR="00200E87" w:rsidRPr="00511005">
        <w:rPr>
          <w:rFonts w:ascii="Arial" w:eastAsia="Calibri" w:hAnsi="Arial" w:cs="Arial"/>
          <w:szCs w:val="28"/>
          <w:lang w:val="uk-UA"/>
        </w:rPr>
        <w:t xml:space="preserve"> факультету </w:t>
      </w:r>
    </w:p>
    <w:p w14:paraId="12A83B5C" w14:textId="77777777" w:rsidR="00200E87" w:rsidRPr="00511005" w:rsidRDefault="00200E87"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прокурати та слідства (кримінальної юстиції)</w:t>
      </w:r>
    </w:p>
    <w:p w14:paraId="5AFA00CD" w14:textId="594EE145" w:rsidR="00200E8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43FDA425" w14:textId="77777777" w:rsidR="00200E87" w:rsidRPr="00511005" w:rsidRDefault="00200E87" w:rsidP="003A292D">
      <w:pPr>
        <w:spacing w:line="264" w:lineRule="auto"/>
        <w:ind w:firstLine="0"/>
        <w:jc w:val="right"/>
        <w:rPr>
          <w:rFonts w:ascii="Arial" w:eastAsia="Calibri" w:hAnsi="Arial" w:cs="Arial"/>
          <w:szCs w:val="28"/>
          <w:lang w:val="uk-UA"/>
        </w:rPr>
      </w:pPr>
    </w:p>
    <w:p w14:paraId="748EF9F4" w14:textId="77777777" w:rsidR="00200E87" w:rsidRPr="00511005" w:rsidRDefault="00200E87"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ПРОБЛЕМНІ АСПЕКТИ ПРИТЯГНЕННЯ ДО КРИМІНАЛЬНОЇ ВІДПОВІДАЛЬНОСТІ ЗА ВЧИНЕННЯ ДОМАШНЬОГО НАСИЛЬСТВА</w:t>
      </w:r>
    </w:p>
    <w:p w14:paraId="2C17EFAA" w14:textId="77777777" w:rsidR="00200E87" w:rsidRPr="00511005" w:rsidRDefault="00200E87" w:rsidP="003A292D">
      <w:pPr>
        <w:spacing w:line="264" w:lineRule="auto"/>
        <w:ind w:firstLine="0"/>
        <w:jc w:val="center"/>
        <w:rPr>
          <w:rFonts w:ascii="Arial" w:eastAsia="Times New Roman" w:hAnsi="Arial" w:cs="Arial"/>
          <w:b/>
          <w:bCs/>
          <w:szCs w:val="28"/>
          <w:lang w:val="uk-UA"/>
        </w:rPr>
      </w:pPr>
    </w:p>
    <w:p w14:paraId="2D52277F"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Домашнє насильство є однією з поширених форм порушення особистих прав людини у сучасному суспільстві. Його жертвами найчастіше стають жінки, діти та літні особи. В Україні протидія проявам домашнього насильства розвивається на законодавчому рівні, однак ефективне застосування відповідних нормативних приписів та притягнення винних до відповідальності, зокрема кримінальної, стикається з низкою юридичних, доказових та інституційних проблем. Особливої уваги потребують питання захисту прав постраждалих осіб та гармонізації національного досвіду з європейською практикою.</w:t>
      </w:r>
    </w:p>
    <w:p w14:paraId="43C20BB4"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Протидія домашньому насильству набула особливої актуальності під час впровадження Covid-них обмежень, а з початком повномасштабної збройної агресії російської федерації проти України у 2022 році та запровадженням воєнного стану, ситуація набрала нових загрозливих рис. Умови стресу, втрата житла, зміна соціальних ролей, психологічні травми, пов’язані з бойовими діями, стали факторами ризику підвищення агресії всередині сімей. За даними Національної соціальної сервісної служби України, </w:t>
      </w:r>
      <w:r w:rsidRPr="00511005">
        <w:rPr>
          <w:rFonts w:ascii="Arial" w:eastAsia="Calibri" w:hAnsi="Arial" w:cs="Arial"/>
          <w:szCs w:val="28"/>
          <w:shd w:val="clear" w:color="auto" w:fill="FFFFFF"/>
          <w:lang w:val="uk-UA"/>
        </w:rPr>
        <w:t>у 2023 році Національна поліція України зареєструвала понад 291 тис. фактів домашнього насильства. Це на 20% більше, ніж у 2022 році. Кількість зареєстрованих кримінальних правопорушень збільшилась на 80% (з 1498 до 2701). Окрім того, виявлено на 36% більше адміністративних правопорушень цієї категорії</w:t>
      </w:r>
      <w:r w:rsidRPr="00511005">
        <w:rPr>
          <w:rFonts w:ascii="Arial" w:eastAsia="Times New Roman" w:hAnsi="Arial" w:cs="Arial"/>
          <w:szCs w:val="28"/>
          <w:lang w:val="uk-UA"/>
        </w:rPr>
        <w:t xml:space="preserve"> [1].</w:t>
      </w:r>
    </w:p>
    <w:p w14:paraId="0647C6B2"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Питання протидії домашньому насильству в Україні регулюється рядом нормативно-правових актів: Законом України «Про запобігання та протидію домашньому насильству», Кримінальним кодексом України (ст. 126-1), Кодексом України про адміністративні правопорушення (ст. 173-2), а також міжнародними договорами, зокрема Конвенцією Ради Європи про запобігання насильству стосовно жінок (Стамбульська конвенція), яку Україна ратифікувала у 2022 році.</w:t>
      </w:r>
    </w:p>
    <w:p w14:paraId="0A9E4706"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Введення у 2017 році кримінальної відповідальності за ст. 126-1 КК України є безумовно позитивним кроком. Однак проблема застосування цієї норми на практиці залишається актуальною. Формулювання «систематичність» дій, які кваліфікуються як кримінальне каране домашнє насильство, не має чіткого законодавчого визначення. Поняття «систематичність» є ключовим для кваліфікації діяння як кримінального злочину відповідно до ст. 126-1 КУК України. Закон прямо не встановлює, що таке систематичність, однак у правозастосовній практиці її тлумачення ґрунтується на роз’ясненнях судової практики та позиціях науковців.</w:t>
      </w:r>
    </w:p>
    <w:p w14:paraId="75177908"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Систематичним визнається вчинення домашнього насильства </w:t>
      </w:r>
      <w:r w:rsidRPr="00511005">
        <w:rPr>
          <w:rFonts w:ascii="Arial" w:eastAsia="Times New Roman" w:hAnsi="Arial" w:cs="Arial"/>
          <w:bCs/>
          <w:szCs w:val="28"/>
          <w:lang w:val="uk-UA"/>
        </w:rPr>
        <w:t>не менше трьох разів</w:t>
      </w:r>
      <w:r w:rsidRPr="00511005">
        <w:rPr>
          <w:rFonts w:ascii="Arial" w:eastAsia="Times New Roman" w:hAnsi="Arial" w:cs="Arial"/>
          <w:szCs w:val="28"/>
          <w:lang w:val="uk-UA"/>
        </w:rPr>
        <w:t>, що може бути підтверджено: трьома адміністративними постановами за ст. 173-2 КУпАП, які набрали чинності; або двома адміністративними постановами та одним зафіксованим епізодом (наприклад, актом поліції, показаннями свідків, медичними довідками тощо). Це означає, що наявність трьох адміністративних стягнень (що підтверджуються рішенням суду) за певний проміжок часу (переважно, один рік) створює юридичну основу для відкриття кримінального провадження за ст. 126-1 КК України.</w:t>
      </w:r>
    </w:p>
    <w:p w14:paraId="208B2F87"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Водночас на практиці трапляються випадки, коли органи досудового розслідування відмовляють у відкритті кримінального провадження через відсутність чіткого доказу «третій раз» або не враховують раніше винесені адміністративні постанови. Це створює ситуацію правової невизначеності, що суперечить принципам верховенства права та доступу до правосуддя для постраждалих осіб.</w:t>
      </w:r>
    </w:p>
    <w:p w14:paraId="16AB1F31"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Ще одне проблемне питання в протидії домашньому насильству – це захист прав потерпілих. Постраждалі від домашнього насильства стикаються не лише з фізичним чи психологічним тиском, а й із численними правовими, соціальними та психологічними бар’єрами. Зокрема, це: страх перед повторною агресією; економічна залежність від кривдника; відсутність належної підтримки з боку поліції або соціальних служб; стигматизація та осуд з боку родини чи громади.</w:t>
      </w:r>
    </w:p>
    <w:p w14:paraId="3DD869C7"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Під час військового стану особливо вразливими стали жінки-переселенки, які часто мешкають у тимчасових колективних місцях або в громадах без стабільного соціального оточення. Брак ресурсів, фінансова залежність та ізольованість збільшують ризики потрапляння в ситуацію насильства.</w:t>
      </w:r>
      <w:r w:rsidRPr="00511005">
        <w:rPr>
          <w:rFonts w:ascii="Arial" w:eastAsia="Times New Roman" w:hAnsi="Arial" w:cs="Arial"/>
          <w:szCs w:val="28"/>
        </w:rPr>
        <w:t xml:space="preserve"> </w:t>
      </w:r>
      <w:r w:rsidRPr="00511005">
        <w:rPr>
          <w:rFonts w:ascii="Arial" w:eastAsia="Times New Roman" w:hAnsi="Arial" w:cs="Arial"/>
          <w:szCs w:val="28"/>
          <w:lang w:val="uk-UA"/>
        </w:rPr>
        <w:t>Більшість жертв не звертаються по допомогу, а отже, факти насильства просто не фіксуються. За даними дослідження «La Strada-Україна», лише близько 15–20% постраждалих наважуються на офіційне звернення [3].</w:t>
      </w:r>
    </w:p>
    <w:p w14:paraId="325EBC01"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 ситуацію також впливає збільшення кількості військовослужбовців, які після ротацій або демобілізації повертаються додому з бойовим досвідом та можливими проявами ПТСР. Без належної реабілітації та психологічної підтримки це може стати детонатором конфліктів у родині.</w:t>
      </w:r>
    </w:p>
    <w:p w14:paraId="775F3B7E" w14:textId="3FC51BE1"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Інституційна підтримка, така як притулки, кризові центри чи безкоштовна психологічна допомога, хоч і передбачена законом, на практиці може бути</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недоступною або функціонує номінально, що також не сприяє забезпеченню та захисту прав потерпілих від домашнього насильства. Так </w:t>
      </w:r>
      <w:r w:rsidRPr="00511005">
        <w:rPr>
          <w:rFonts w:ascii="Arial" w:eastAsia="Calibri" w:hAnsi="Arial" w:cs="Arial"/>
          <w:szCs w:val="28"/>
          <w:lang w:val="uk-UA"/>
        </w:rPr>
        <w:t>на території України завдяки реалізації субвенції створено 30 нових притулків, 38 нових денних центрів, 58 нових консультативних служб, придбано 40 автомобілів (із 41 запланованого) для мобільних бригад, які діють при притулках та покращено рівень надання соціальних послуг у 16 наявних притулках</w:t>
      </w:r>
      <w:r w:rsidRPr="00511005">
        <w:rPr>
          <w:rFonts w:ascii="Arial" w:eastAsia="Times New Roman" w:hAnsi="Arial" w:cs="Arial"/>
          <w:szCs w:val="28"/>
          <w:lang w:val="uk-UA"/>
        </w:rPr>
        <w:t xml:space="preserve"> [4]. Воєнний стан та ведення бойових дій також ускладнює роботу служб допомоги: деякі притулки були евакуйовані або знищені, а переміщення між регіонами обмежене. </w:t>
      </w:r>
    </w:p>
    <w:p w14:paraId="1B7A3568" w14:textId="1E003990"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Працівники правоохоронних органів у пріоритетному порядку залучені до оборонних завдань, що іноді відтерміновує реагування на внутрішні злочини, зокрема випадки домашнього насильства. Як наслідок, в умовах сьогодення назріла нагальна потреба відпрацювання ефективного механізму протидії проявам домашнього насильства, обмежувальних заходів, що застосовуються до кривдників, та захисту жертв такого насильства. Тому пропонується звернутися до існуючих методів, впроваджених в інших країнах.</w:t>
      </w:r>
      <w:r w:rsidR="007B2628" w:rsidRPr="00511005">
        <w:rPr>
          <w:rFonts w:ascii="Arial" w:eastAsia="Times New Roman" w:hAnsi="Arial" w:cs="Arial"/>
          <w:szCs w:val="28"/>
          <w:lang w:val="uk-UA"/>
        </w:rPr>
        <w:t xml:space="preserve"> </w:t>
      </w:r>
    </w:p>
    <w:p w14:paraId="3A5F8829"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Низка європейських країн демонструють ефективні моделі реагування на випадки домашнього насильства. Наприклад, </w:t>
      </w:r>
      <w:r w:rsidRPr="00511005">
        <w:rPr>
          <w:rFonts w:ascii="Arial" w:eastAsia="Times New Roman" w:hAnsi="Arial" w:cs="Arial"/>
          <w:bCs/>
          <w:szCs w:val="28"/>
          <w:lang w:val="uk-UA"/>
        </w:rPr>
        <w:t>Іспанія</w:t>
      </w:r>
      <w:r w:rsidRPr="00511005">
        <w:rPr>
          <w:rFonts w:ascii="Arial" w:eastAsia="Times New Roman" w:hAnsi="Arial" w:cs="Arial"/>
          <w:szCs w:val="28"/>
          <w:lang w:val="uk-UA"/>
        </w:rPr>
        <w:t xml:space="preserve"> створила спеціалізовані суди з питань насильства над жінками (Juzgados de Violencia sobre la Mujer), які працюють у цілодобовому режимі та розглядають справи в стислі строки [4]. </w:t>
      </w:r>
      <w:r w:rsidRPr="00511005">
        <w:rPr>
          <w:rFonts w:ascii="Arial" w:eastAsia="Times New Roman" w:hAnsi="Arial" w:cs="Arial"/>
          <w:bCs/>
          <w:szCs w:val="28"/>
          <w:lang w:val="uk-UA"/>
        </w:rPr>
        <w:t>Австрія</w:t>
      </w:r>
      <w:r w:rsidRPr="00511005">
        <w:rPr>
          <w:rFonts w:ascii="Arial" w:eastAsia="Times New Roman" w:hAnsi="Arial" w:cs="Arial"/>
          <w:szCs w:val="28"/>
          <w:lang w:val="uk-UA"/>
        </w:rPr>
        <w:t xml:space="preserve"> активно використовує практику негайного видворення кривдника з житла незалежно від його права власності на нього. Поліція має повноваження видати припис про заборону наближення вже під час першого інциденту </w:t>
      </w:r>
      <w:r w:rsidRPr="00511005">
        <w:rPr>
          <w:rFonts w:ascii="Arial" w:eastAsia="Times New Roman" w:hAnsi="Arial" w:cs="Arial"/>
          <w:bCs/>
          <w:szCs w:val="28"/>
          <w:lang w:val="uk-UA"/>
        </w:rPr>
        <w:t>Швеція</w:t>
      </w:r>
      <w:r w:rsidRPr="00511005">
        <w:rPr>
          <w:rFonts w:ascii="Arial" w:eastAsia="Times New Roman" w:hAnsi="Arial" w:cs="Arial"/>
          <w:szCs w:val="28"/>
          <w:lang w:val="uk-UA"/>
        </w:rPr>
        <w:t xml:space="preserve"> запровадила систему обов’язкової психологічної допомоги не лише для жертв, а й для кривдників, що дозволяє знизити ризик рецидиву [5]. У багатьох державах діють національні реєстри випадків домашнього насильства, що дає змогу відстежувати рецидиви, формувати базу даних та спрогнозувати ризики. В Україні така модель ще не впроваджена у повному обсязі. </w:t>
      </w:r>
    </w:p>
    <w:p w14:paraId="7DF75B44"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 даний момент можна виділити найпоширеніші організаційні проблеми у застосуванні ст. 126-1 КК України, що пов’язані з:</w:t>
      </w:r>
    </w:p>
    <w:p w14:paraId="15753FC2" w14:textId="77777777" w:rsidR="00200E87" w:rsidRPr="00511005" w:rsidRDefault="00200E87" w:rsidP="003F6A5D">
      <w:pPr>
        <w:numPr>
          <w:ilvl w:val="0"/>
          <w:numId w:val="507"/>
        </w:numPr>
        <w:spacing w:line="264" w:lineRule="auto"/>
        <w:ind w:left="0" w:firstLine="567"/>
        <w:jc w:val="left"/>
        <w:rPr>
          <w:rFonts w:ascii="Arial" w:eastAsia="Times New Roman" w:hAnsi="Arial" w:cs="Arial"/>
          <w:szCs w:val="28"/>
          <w:lang w:val="uk-UA"/>
        </w:rPr>
      </w:pPr>
      <w:r w:rsidRPr="00511005">
        <w:rPr>
          <w:rFonts w:ascii="Arial" w:eastAsia="Times New Roman" w:hAnsi="Arial" w:cs="Arial"/>
          <w:bCs/>
          <w:szCs w:val="28"/>
          <w:lang w:val="uk-UA"/>
        </w:rPr>
        <w:t>недостатньою підготовкою слідчих і дільничних офіцерів</w:t>
      </w:r>
      <w:r w:rsidRPr="00511005">
        <w:rPr>
          <w:rFonts w:ascii="Arial" w:eastAsia="Times New Roman" w:hAnsi="Arial" w:cs="Arial"/>
          <w:szCs w:val="28"/>
          <w:lang w:val="uk-UA"/>
        </w:rPr>
        <w:t>: часто протоколи складаються формально, без детального опису епізодів, не вказуються свідки або не додаються належні докази;</w:t>
      </w:r>
    </w:p>
    <w:p w14:paraId="4E1BB949" w14:textId="77777777" w:rsidR="00200E87" w:rsidRPr="00511005" w:rsidRDefault="00200E87" w:rsidP="003F6A5D">
      <w:pPr>
        <w:numPr>
          <w:ilvl w:val="0"/>
          <w:numId w:val="507"/>
        </w:numPr>
        <w:spacing w:line="264" w:lineRule="auto"/>
        <w:ind w:left="0" w:firstLine="567"/>
        <w:jc w:val="left"/>
        <w:rPr>
          <w:rFonts w:ascii="Arial" w:eastAsia="Times New Roman" w:hAnsi="Arial" w:cs="Arial"/>
          <w:szCs w:val="28"/>
          <w:lang w:val="uk-UA"/>
        </w:rPr>
      </w:pPr>
      <w:r w:rsidRPr="00511005">
        <w:rPr>
          <w:rFonts w:ascii="Arial" w:eastAsia="Times New Roman" w:hAnsi="Arial" w:cs="Arial"/>
          <w:bCs/>
          <w:szCs w:val="28"/>
          <w:lang w:val="uk-UA"/>
        </w:rPr>
        <w:t>відсутністю системи моніторингу</w:t>
      </w:r>
      <w:r w:rsidRPr="00511005">
        <w:rPr>
          <w:rFonts w:ascii="Arial" w:eastAsia="Times New Roman" w:hAnsi="Arial" w:cs="Arial"/>
          <w:szCs w:val="28"/>
          <w:lang w:val="uk-UA"/>
        </w:rPr>
        <w:t xml:space="preserve"> - повторні випадки часто не фіксуються або розглядаються ізольовано;</w:t>
      </w:r>
    </w:p>
    <w:p w14:paraId="18A00E1F" w14:textId="77777777" w:rsidR="00200E87" w:rsidRPr="00511005" w:rsidRDefault="00200E87" w:rsidP="003F6A5D">
      <w:pPr>
        <w:numPr>
          <w:ilvl w:val="0"/>
          <w:numId w:val="507"/>
        </w:numPr>
        <w:spacing w:line="264" w:lineRule="auto"/>
        <w:ind w:left="0" w:firstLine="567"/>
        <w:jc w:val="left"/>
        <w:rPr>
          <w:rFonts w:ascii="Arial" w:eastAsia="Times New Roman" w:hAnsi="Arial" w:cs="Arial"/>
          <w:szCs w:val="28"/>
          <w:lang w:val="uk-UA"/>
        </w:rPr>
      </w:pPr>
      <w:r w:rsidRPr="00511005">
        <w:rPr>
          <w:rFonts w:ascii="Arial" w:eastAsia="Times New Roman" w:hAnsi="Arial" w:cs="Arial"/>
          <w:bCs/>
          <w:szCs w:val="28"/>
          <w:lang w:val="uk-UA"/>
        </w:rPr>
        <w:t>неоднозначною судовою практикою</w:t>
      </w:r>
      <w:r w:rsidRPr="00511005">
        <w:rPr>
          <w:rFonts w:ascii="Arial" w:eastAsia="Times New Roman" w:hAnsi="Arial" w:cs="Arial"/>
          <w:szCs w:val="28"/>
          <w:lang w:val="uk-UA"/>
        </w:rPr>
        <w:t>: суди часто застосовують покарання у вигляді штрафів або громадських робіт, що не забезпечує належного захисту постраждалої особи.</w:t>
      </w:r>
    </w:p>
    <w:p w14:paraId="4F4A849E"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В окремих випадках кримінальне провадження не відкривається взагалі, попри наявність ознак злочину, або ж справу перекваліфіковують на адміністративне правопорушення.</w:t>
      </w:r>
    </w:p>
    <w:p w14:paraId="78CE7491"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Як наслідок, вбачається, що для підвищення ефективності притягнення винних осіб до кримінальної відповідальності за домашнє насильство доцільно усунути організаційно-правові недоліки: 1) внести зміни до ст. 126-1 КК України з конкретизацією поняття «систематичність» (наприклад, вказати наявність щонайменше трьох епізодів протягом шести місяців); 2) створити єдиний реєстр випадків домашнього насильства з інтеграцією до ЄРДР та системи соціальних служб; 3) розширити мережу безпечних притулків та кризових центрів; 4) врегулювати та забезпечити належну реабілітацію та психологічну підтримку для військовослужбовців, які після ротацій або демобілізації повертаються додому; 5) запровадити обов’язкову підготовку для працівників поліції та прокуратури щодо реагування на домашнє насильство; 6) запозичити зарубіжну практику видворення кривдника з житла незалежно від форми власності.</w:t>
      </w:r>
    </w:p>
    <w:p w14:paraId="235AD058"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Проведене дослідження показало, що домашнє насильство — це складне багатофакторне явище, протидія якому потребує не лише кримінального переслідування, а й всебічної системної підтримки постраждалих осіб. Українське законодавство зробило значний крок вперед, однак реальне застосування норм кримінального права в протидії проявам домашнього насильства потребує серйозного доопрацювання. Ефективна протидія домашньому насильству можлива лише за умови комплексного підходу, який поєднує правові, соціальні, психологічні та організаційні заходи.</w:t>
      </w:r>
    </w:p>
    <w:p w14:paraId="6DF78892" w14:textId="77777777" w:rsidR="00200E87" w:rsidRPr="00511005" w:rsidRDefault="00200E87" w:rsidP="003A292D">
      <w:pPr>
        <w:spacing w:line="264" w:lineRule="auto"/>
        <w:ind w:firstLine="0"/>
        <w:rPr>
          <w:rFonts w:ascii="Arial" w:eastAsia="Times New Roman" w:hAnsi="Arial" w:cs="Arial"/>
          <w:szCs w:val="28"/>
          <w:lang w:val="uk-UA"/>
        </w:rPr>
      </w:pPr>
    </w:p>
    <w:p w14:paraId="4C3F499E" w14:textId="41BC5489" w:rsidR="00200E87"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32F8008D" w14:textId="77777777" w:rsidR="00200E87" w:rsidRPr="00511005" w:rsidRDefault="00200E87" w:rsidP="003F6A5D">
      <w:pPr>
        <w:numPr>
          <w:ilvl w:val="0"/>
          <w:numId w:val="508"/>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Національна соціальна сервісна служба України. Офіційна статистика щодо звернень з приводу домашнього насильства. 2023. </w:t>
      </w:r>
      <w:r w:rsidRPr="00511005">
        <w:rPr>
          <w:rFonts w:ascii="Arial" w:eastAsia="Times New Roman" w:hAnsi="Arial" w:cs="Arial"/>
          <w:szCs w:val="28"/>
          <w:lang w:val="pl-PL"/>
        </w:rPr>
        <w:t>URL</w:t>
      </w:r>
      <w:r w:rsidRPr="00511005">
        <w:rPr>
          <w:rFonts w:ascii="Arial" w:eastAsia="Times New Roman" w:hAnsi="Arial" w:cs="Arial"/>
          <w:szCs w:val="28"/>
          <w:lang w:val="uk-UA"/>
        </w:rPr>
        <w:t xml:space="preserve">: </w:t>
      </w:r>
      <w:r w:rsidR="005938AD">
        <w:fldChar w:fldCharType="begin"/>
      </w:r>
      <w:r w:rsidR="005938AD" w:rsidRPr="00055389">
        <w:rPr>
          <w:lang w:val="en-US"/>
        </w:rPr>
        <w:instrText xml:space="preserve"> HYPERLINK "https://www.kmu.gov.ua/news/kilkist-vypadkiv-domashnoho-nasylstva-zrosla-na-20-mvs-ta-parlament-pratsiuiut-nad-posylenniam-vidpovidalnosti" </w:instrText>
      </w:r>
      <w:r w:rsidR="005938AD">
        <w:fldChar w:fldCharType="separate"/>
      </w:r>
      <w:r w:rsidRPr="00511005">
        <w:rPr>
          <w:rFonts w:ascii="Arial" w:eastAsia="Times New Roman" w:hAnsi="Arial" w:cs="Arial"/>
          <w:szCs w:val="28"/>
          <w:lang w:val="uk-UA"/>
        </w:rPr>
        <w:t>https://www.kmu.gov.ua/news/kilkist-vypadkiv-domashnoho-nasylstva-zrosla-na-20-mvs-ta-parlament-pratsiuiut-nad-posylenniam-vidpovidalnosti</w:t>
      </w:r>
      <w:r w:rsidR="005938AD">
        <w:rPr>
          <w:rFonts w:ascii="Arial" w:eastAsia="Times New Roman" w:hAnsi="Arial" w:cs="Arial"/>
          <w:szCs w:val="28"/>
          <w:lang w:val="uk-UA"/>
        </w:rPr>
        <w:fldChar w:fldCharType="end"/>
      </w:r>
    </w:p>
    <w:p w14:paraId="6F39E601" w14:textId="77777777" w:rsidR="00200E87" w:rsidRPr="00511005" w:rsidRDefault="00200E87" w:rsidP="003F6A5D">
      <w:pPr>
        <w:numPr>
          <w:ilvl w:val="0"/>
          <w:numId w:val="508"/>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Звіт ГО «Ла Страда – Україна»: Оцінка стану системи запобігання домашньому насильству в Україні. 2023.</w:t>
      </w:r>
      <w:r w:rsidRPr="00511005">
        <w:rPr>
          <w:rFonts w:ascii="Arial" w:eastAsia="Times New Roman" w:hAnsi="Arial" w:cs="Arial"/>
          <w:szCs w:val="28"/>
          <w:lang w:val="en-US"/>
        </w:rPr>
        <w:t>URL</w:t>
      </w:r>
      <w:r w:rsidRPr="00511005">
        <w:rPr>
          <w:rFonts w:ascii="Arial" w:eastAsia="Times New Roman" w:hAnsi="Arial" w:cs="Arial"/>
          <w:szCs w:val="28"/>
          <w:lang w:val="uk-UA"/>
        </w:rPr>
        <w:t xml:space="preserve">: </w:t>
      </w:r>
      <w:hyperlink r:id="rId1785" w:history="1">
        <w:r w:rsidRPr="00511005">
          <w:rPr>
            <w:rFonts w:ascii="Arial" w:eastAsia="Times New Roman" w:hAnsi="Arial" w:cs="Arial"/>
            <w:szCs w:val="28"/>
            <w:lang w:val="uk-UA"/>
          </w:rPr>
          <w:t>https://la-strada.org.ua</w:t>
        </w:r>
      </w:hyperlink>
    </w:p>
    <w:p w14:paraId="1B39AAD4" w14:textId="77777777" w:rsidR="00200E87" w:rsidRPr="00511005" w:rsidRDefault="00200E87" w:rsidP="003F6A5D">
      <w:pPr>
        <w:numPr>
          <w:ilvl w:val="0"/>
          <w:numId w:val="508"/>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Міністерство соціальної політики України: офіційна статистика щодо притулків для постраждалих осіб. 2023. URL: </w:t>
      </w:r>
      <w:r w:rsidR="005938AD">
        <w:fldChar w:fldCharType="begin"/>
      </w:r>
      <w:r w:rsidR="005938AD" w:rsidRPr="00055389">
        <w:rPr>
          <w:lang w:val="en-US"/>
        </w:rPr>
        <w:instrText xml:space="preserve"> HYPERLINK "https://msp.gov.ua/press-center/news/uryad-vydilyt-subventsiyi-dlya-stvorennya-merezhi-spetsializovanykh-sluzhb-pidtrymky-osib-yaki-postrazhdaly-vid-domashnoho-nasylstva" </w:instrText>
      </w:r>
      <w:r w:rsidR="005938AD">
        <w:fldChar w:fldCharType="separate"/>
      </w:r>
      <w:r w:rsidRPr="00511005">
        <w:rPr>
          <w:rFonts w:ascii="Arial" w:eastAsia="Calibri" w:hAnsi="Arial" w:cs="Arial"/>
          <w:szCs w:val="28"/>
          <w:lang w:val="uk-UA"/>
        </w:rPr>
        <w:t>https://msp.gov.ua/press-center/news/uryad-vydilyt-subventsiyi-dlya-stvorennya-merezhi-spetsializovanykh-sluzhb-pidtrymky-osib-yaki-postrazhdaly-vid-domashnoho-nasylstva</w:t>
      </w:r>
      <w:r w:rsidR="005938AD">
        <w:rPr>
          <w:rFonts w:ascii="Arial" w:eastAsia="Calibri" w:hAnsi="Arial" w:cs="Arial"/>
          <w:szCs w:val="28"/>
          <w:lang w:val="uk-UA"/>
        </w:rPr>
        <w:fldChar w:fldCharType="end"/>
      </w:r>
    </w:p>
    <w:p w14:paraId="0E5B413D" w14:textId="77777777" w:rsidR="00200E87" w:rsidRPr="00511005" w:rsidRDefault="00200E87" w:rsidP="003F6A5D">
      <w:pPr>
        <w:numPr>
          <w:ilvl w:val="0"/>
          <w:numId w:val="508"/>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Official website of the General Council of the Judiciary (Spain). URL: </w:t>
      </w:r>
      <w:hyperlink r:id="rId1786" w:history="1">
        <w:r w:rsidRPr="00511005">
          <w:rPr>
            <w:rFonts w:ascii="Arial" w:eastAsia="Times New Roman" w:hAnsi="Arial" w:cs="Arial"/>
            <w:szCs w:val="28"/>
            <w:lang w:val="uk-UA"/>
          </w:rPr>
          <w:t>https://www.poderjudicial.es</w:t>
        </w:r>
      </w:hyperlink>
    </w:p>
    <w:p w14:paraId="5DE279CE" w14:textId="77777777" w:rsidR="00200E87" w:rsidRPr="00511005" w:rsidRDefault="00200E87" w:rsidP="003F6A5D">
      <w:pPr>
        <w:numPr>
          <w:ilvl w:val="0"/>
          <w:numId w:val="508"/>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Council of Europe. Compilation of good practices on domestic violence. Strasbourg, 2022. URL:</w:t>
      </w:r>
      <w:hyperlink r:id="rId1787" w:history="1">
        <w:r w:rsidRPr="00511005">
          <w:rPr>
            <w:rFonts w:ascii="Arial" w:eastAsia="Times New Roman" w:hAnsi="Arial" w:cs="Arial"/>
            <w:szCs w:val="28"/>
            <w:lang w:val="uk-UA"/>
          </w:rPr>
          <w:t>https://www.coe.int</w:t>
        </w:r>
      </w:hyperlink>
    </w:p>
    <w:p w14:paraId="5467B9F6" w14:textId="24FE8299" w:rsidR="00200E87" w:rsidRPr="00511005" w:rsidRDefault="007B2628" w:rsidP="003A292D">
      <w:pPr>
        <w:keepNext/>
        <w:spacing w:line="264" w:lineRule="auto"/>
        <w:ind w:firstLine="0"/>
        <w:rPr>
          <w:rFonts w:ascii="Arial" w:eastAsia="Calibri" w:hAnsi="Arial" w:cs="Arial"/>
          <w:szCs w:val="28"/>
          <w:lang w:val="uk-UA"/>
        </w:rPr>
      </w:pPr>
      <w:r w:rsidRPr="00511005">
        <w:rPr>
          <w:rFonts w:ascii="Arial" w:eastAsia="Calibri" w:hAnsi="Arial" w:cs="Arial"/>
          <w:b/>
          <w:i/>
          <w:szCs w:val="28"/>
          <w:lang w:val="uk-UA"/>
        </w:rPr>
        <w:lastRenderedPageBreak/>
        <w:t xml:space="preserve">Ключові слова: </w:t>
      </w:r>
      <w:r w:rsidR="00200E87" w:rsidRPr="00511005">
        <w:rPr>
          <w:rFonts w:ascii="Arial" w:eastAsia="Calibri" w:hAnsi="Arial" w:cs="Arial"/>
          <w:szCs w:val="28"/>
          <w:lang w:val="uk-UA"/>
        </w:rPr>
        <w:t>насильство, домашнє насильство, систематичність, протидія, потерпілий, реабілітація, моніторинг</w:t>
      </w:r>
    </w:p>
    <w:p w14:paraId="2A560250" w14:textId="6A5750C0" w:rsidR="00200E87" w:rsidRPr="00511005" w:rsidRDefault="007B2628" w:rsidP="003A292D">
      <w:pPr>
        <w:keepNext/>
        <w:spacing w:line="264" w:lineRule="auto"/>
        <w:ind w:firstLine="0"/>
        <w:rPr>
          <w:rFonts w:ascii="Arial" w:eastAsia="Calibri" w:hAnsi="Arial" w:cs="Arial"/>
          <w:bCs/>
          <w:szCs w:val="28"/>
          <w:lang w:val="en-US"/>
        </w:rPr>
      </w:pPr>
      <w:r w:rsidRPr="00511005">
        <w:rPr>
          <w:rFonts w:ascii="Arial" w:eastAsia="Calibri" w:hAnsi="Arial" w:cs="Arial"/>
          <w:b/>
          <w:i/>
          <w:szCs w:val="28"/>
          <w:lang w:val="en-US"/>
        </w:rPr>
        <w:t xml:space="preserve">Key words: </w:t>
      </w:r>
      <w:r w:rsidR="00200E87" w:rsidRPr="00511005">
        <w:rPr>
          <w:rFonts w:ascii="Arial" w:eastAsia="Calibri" w:hAnsi="Arial" w:cs="Arial"/>
          <w:bCs/>
          <w:szCs w:val="28"/>
          <w:lang w:val="en-US"/>
        </w:rPr>
        <w:t>violence, domestic violence, systematic, counteraction, victim, rehabilitation,</w:t>
      </w:r>
      <w:r w:rsidR="00200E87" w:rsidRPr="00511005">
        <w:rPr>
          <w:rFonts w:ascii="Arial" w:eastAsia="Calibri" w:hAnsi="Arial" w:cs="Arial"/>
          <w:bCs/>
          <w:szCs w:val="28"/>
          <w:lang w:val="uk-UA"/>
        </w:rPr>
        <w:t xml:space="preserve"> </w:t>
      </w:r>
      <w:r w:rsidR="00200E87" w:rsidRPr="00511005">
        <w:rPr>
          <w:rFonts w:ascii="Arial" w:eastAsia="Calibri" w:hAnsi="Arial" w:cs="Arial"/>
          <w:bCs/>
          <w:szCs w:val="28"/>
          <w:lang w:val="en-US"/>
        </w:rPr>
        <w:t>monitoring.</w:t>
      </w:r>
    </w:p>
    <w:p w14:paraId="40A378C6" w14:textId="77777777" w:rsidR="00200E87" w:rsidRPr="00511005" w:rsidRDefault="00200E87" w:rsidP="003A292D">
      <w:pPr>
        <w:keepNext/>
        <w:spacing w:line="264" w:lineRule="auto"/>
        <w:ind w:firstLine="0"/>
        <w:rPr>
          <w:rFonts w:ascii="Arial" w:eastAsia="Calibri" w:hAnsi="Arial" w:cs="Arial"/>
          <w:bCs/>
          <w:i/>
          <w:iCs/>
          <w:szCs w:val="28"/>
          <w:lang w:val="uk-UA"/>
        </w:rPr>
      </w:pPr>
    </w:p>
    <w:p w14:paraId="5A5D293B" w14:textId="7571CF11" w:rsidR="00200E87" w:rsidRPr="00511005" w:rsidRDefault="007B2628" w:rsidP="003A292D">
      <w:pPr>
        <w:keepNext/>
        <w:spacing w:line="264" w:lineRule="auto"/>
        <w:ind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200E87" w:rsidRPr="00511005">
        <w:rPr>
          <w:rFonts w:ascii="Arial" w:eastAsia="Calibri" w:hAnsi="Arial" w:cs="Arial"/>
          <w:bCs/>
          <w:i/>
          <w:iCs/>
          <w:szCs w:val="28"/>
          <w:lang w:val="uk-UA"/>
        </w:rPr>
        <w:t xml:space="preserve">к.ю.н., доцент Горбачова І. М. </w:t>
      </w:r>
    </w:p>
    <w:p w14:paraId="4303AC74" w14:textId="77777777" w:rsidR="00200E87" w:rsidRPr="00511005" w:rsidRDefault="00200E87" w:rsidP="003A292D">
      <w:pPr>
        <w:spacing w:line="264" w:lineRule="auto"/>
        <w:ind w:firstLine="0"/>
        <w:rPr>
          <w:rFonts w:ascii="Arial" w:eastAsia="Times New Roman" w:hAnsi="Arial" w:cs="Arial"/>
          <w:b/>
          <w:szCs w:val="28"/>
          <w:lang w:val="uk-UA"/>
        </w:rPr>
      </w:pPr>
    </w:p>
    <w:p w14:paraId="7EFBA6D1" w14:textId="77777777" w:rsidR="00200E87" w:rsidRPr="00511005" w:rsidRDefault="00200E87" w:rsidP="003A292D">
      <w:pPr>
        <w:spacing w:line="264" w:lineRule="auto"/>
        <w:ind w:firstLine="0"/>
        <w:jc w:val="center"/>
        <w:rPr>
          <w:rFonts w:ascii="Arial" w:eastAsia="Calibri" w:hAnsi="Arial" w:cs="Arial"/>
          <w:b/>
          <w:szCs w:val="28"/>
          <w:lang w:val="uk-UA"/>
        </w:rPr>
      </w:pPr>
    </w:p>
    <w:p w14:paraId="123A4273" w14:textId="17C757C2" w:rsidR="00200E87" w:rsidRPr="00511005" w:rsidRDefault="00200E87" w:rsidP="003A292D">
      <w:pPr>
        <w:widowControl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i/>
          <w:szCs w:val="28"/>
          <w:lang w:val="uk-UA" w:eastAsia="uk-UA"/>
        </w:rPr>
        <w:t>Грігуца Яна Сергіївна</w:t>
      </w:r>
      <w:r w:rsidRPr="00511005">
        <w:rPr>
          <w:rFonts w:ascii="Arial" w:eastAsia="Times New Roman" w:hAnsi="Arial" w:cs="Arial"/>
          <w:b/>
          <w:i/>
          <w:szCs w:val="28"/>
          <w:lang w:val="uk-UA" w:eastAsia="uk-UA"/>
        </w:rPr>
        <w:br/>
      </w:r>
      <w:r w:rsidR="00536AAB" w:rsidRPr="00511005">
        <w:rPr>
          <w:rFonts w:ascii="Arial" w:eastAsia="Times New Roman" w:hAnsi="Arial" w:cs="Arial"/>
          <w:szCs w:val="28"/>
          <w:lang w:val="uk-UA" w:eastAsia="uk-UA"/>
        </w:rPr>
        <w:t xml:space="preserve">студент 3-го курсу </w:t>
      </w:r>
      <w:r w:rsidR="001B7B25" w:rsidRPr="00511005">
        <w:rPr>
          <w:rFonts w:ascii="Arial" w:eastAsia="Times New Roman" w:hAnsi="Arial" w:cs="Arial"/>
          <w:szCs w:val="28"/>
          <w:lang w:val="uk-UA" w:eastAsia="uk-UA"/>
        </w:rPr>
        <w:t>факультету судового та міжнародного права</w:t>
      </w:r>
      <w:r w:rsidRPr="00511005">
        <w:rPr>
          <w:rFonts w:ascii="Arial" w:eastAsia="Times New Roman" w:hAnsi="Arial" w:cs="Arial"/>
          <w:szCs w:val="28"/>
          <w:lang w:val="uk-UA" w:eastAsia="uk-UA"/>
        </w:rPr>
        <w:br/>
      </w:r>
      <w:r w:rsidR="007B2628" w:rsidRPr="00511005">
        <w:rPr>
          <w:rFonts w:ascii="Arial" w:eastAsia="Times New Roman" w:hAnsi="Arial" w:cs="Arial"/>
          <w:szCs w:val="28"/>
          <w:lang w:val="uk-UA" w:eastAsia="uk-UA"/>
        </w:rPr>
        <w:t>Національного університету «Одеська юридична академія»</w:t>
      </w:r>
    </w:p>
    <w:p w14:paraId="6013E0C9" w14:textId="77777777" w:rsidR="00200E87" w:rsidRPr="00511005" w:rsidRDefault="00200E87" w:rsidP="003A292D">
      <w:pPr>
        <w:widowControl w:val="0"/>
        <w:spacing w:line="264" w:lineRule="auto"/>
        <w:ind w:firstLine="0"/>
        <w:jc w:val="center"/>
        <w:rPr>
          <w:rFonts w:ascii="Arial" w:eastAsia="Times New Roman" w:hAnsi="Arial" w:cs="Arial"/>
          <w:szCs w:val="28"/>
          <w:lang w:val="uk-UA" w:eastAsia="uk-UA"/>
        </w:rPr>
      </w:pPr>
    </w:p>
    <w:p w14:paraId="75A362E5" w14:textId="77777777" w:rsidR="00200E87" w:rsidRPr="00511005" w:rsidRDefault="00200E87" w:rsidP="003A292D">
      <w:pPr>
        <w:widowControl w:val="0"/>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ІНТЕРПРЕТАЦІЯ МАРОДЕРСТВА В УМОВАХ ВОЄННОГО СТАНУ</w:t>
      </w:r>
    </w:p>
    <w:p w14:paraId="1815F044" w14:textId="77777777" w:rsidR="00200E87" w:rsidRPr="00511005" w:rsidRDefault="00200E87" w:rsidP="003A292D">
      <w:pPr>
        <w:widowControl w:val="0"/>
        <w:spacing w:line="264" w:lineRule="auto"/>
        <w:ind w:firstLine="0"/>
        <w:jc w:val="center"/>
        <w:rPr>
          <w:rFonts w:ascii="Arial" w:eastAsia="Times New Roman" w:hAnsi="Arial" w:cs="Arial"/>
          <w:b/>
          <w:bCs/>
          <w:szCs w:val="28"/>
          <w:lang w:val="uk-UA" w:eastAsia="uk-UA"/>
        </w:rPr>
      </w:pPr>
    </w:p>
    <w:p w14:paraId="1CAF2AF6" w14:textId="77777777" w:rsidR="00200E87" w:rsidRPr="00511005" w:rsidRDefault="00200E87" w:rsidP="003A292D">
      <w:pPr>
        <w:widowControl w:val="0"/>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Мародерство в умовах воєнного стану є одним із найгостріших викликів для кримінального права України, адже воно не лише порушує права власності, але й підриває моральні засади суспільства, створюючи атмосферу безкарності та хаосу. Це явище, яке набуло особливого значення в умовах повномасштабної війни, потребує ретельного аналізу як з точки зору кримінально-правових положень, так і в контексті реального застосування законодавства.</w:t>
      </w:r>
    </w:p>
    <w:p w14:paraId="070FD312" w14:textId="505E7588" w:rsidR="00200E87" w:rsidRPr="00511005" w:rsidRDefault="00200E87" w:rsidP="003A292D">
      <w:pPr>
        <w:spacing w:line="264" w:lineRule="auto"/>
        <w:ind w:firstLine="0"/>
        <w:rPr>
          <w:rFonts w:ascii="Arial" w:hAnsi="Arial" w:cs="Arial"/>
          <w:szCs w:val="28"/>
          <w:lang w:eastAsia="zh-CN"/>
        </w:rPr>
      </w:pPr>
      <w:r w:rsidRPr="00511005">
        <w:rPr>
          <w:rFonts w:ascii="Arial" w:hAnsi="Arial" w:cs="Arial"/>
          <w:szCs w:val="28"/>
          <w:lang w:eastAsia="zh-CN"/>
        </w:rPr>
        <w:t>Закон України «Про внесення змін до Кримінального кодексу України</w:t>
      </w:r>
      <w:r w:rsidR="007B2628" w:rsidRPr="00511005">
        <w:rPr>
          <w:rFonts w:ascii="Arial" w:hAnsi="Arial" w:cs="Arial"/>
          <w:szCs w:val="28"/>
          <w:lang w:val="uk-UA" w:eastAsia="zh-CN"/>
        </w:rPr>
        <w:t xml:space="preserve"> </w:t>
      </w:r>
      <w:r w:rsidRPr="00511005">
        <w:rPr>
          <w:rFonts w:ascii="Arial" w:hAnsi="Arial" w:cs="Arial"/>
          <w:szCs w:val="28"/>
          <w:lang w:eastAsia="zh-CN"/>
        </w:rPr>
        <w:t>щодо посилення відповідальності за мародерство» набрав чинності 7 березня 2022 року. Цим законом були внесені зміни до низки статей Кримінального кодексу України, зокрема</w:t>
      </w:r>
      <w:r w:rsidRPr="00511005">
        <w:rPr>
          <w:rFonts w:ascii="Arial" w:hAnsi="Arial" w:cs="Arial"/>
          <w:szCs w:val="28"/>
          <w:lang w:val="uk-UA" w:eastAsia="zh-CN"/>
        </w:rPr>
        <w:t xml:space="preserve">: </w:t>
      </w:r>
      <w:r w:rsidRPr="00511005">
        <w:rPr>
          <w:rFonts w:ascii="Arial" w:hAnsi="Arial" w:cs="Arial"/>
          <w:szCs w:val="28"/>
          <w:lang w:eastAsia="zh-CN"/>
        </w:rPr>
        <w:t>мінімальний строк позбавлення волі за мародерство збільшено з трьох до п’яти років [</w:t>
      </w:r>
      <w:r w:rsidRPr="00511005">
        <w:rPr>
          <w:rFonts w:ascii="Arial" w:hAnsi="Arial" w:cs="Arial"/>
          <w:szCs w:val="28"/>
          <w:lang w:val="uk-UA" w:eastAsia="zh-CN"/>
        </w:rPr>
        <w:t>9</w:t>
      </w:r>
      <w:r w:rsidRPr="00511005">
        <w:rPr>
          <w:rFonts w:ascii="Arial" w:hAnsi="Arial" w:cs="Arial"/>
          <w:szCs w:val="28"/>
          <w:lang w:eastAsia="zh-CN"/>
        </w:rPr>
        <w:t>].</w:t>
      </w:r>
    </w:p>
    <w:p w14:paraId="052119C2"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Згідно зі ст. 432 КК України мародерство визначається як викрадення на полі бою речей поранених чи вбитих. Це визначення відносить мародерство до воєнних злочинів, які мають специфічний об’єкт — суспільно-правові відносини, щодо дотримання звичаїв та правил війни. Науковці зазначають, що предметом мародерства може бути тільки приватне майно. Суб’єктами ж визнаються виключно військовослужбовці. Водночас, у ширшому сенсі мародерство також охоплює злочини проти власності, вчинені в умовах воєнного стану, такі як крадіжки, грабежі та розбій [5, 6].</w:t>
      </w:r>
    </w:p>
    <w:p w14:paraId="61E5CE23" w14:textId="77777777" w:rsidR="00200E87" w:rsidRPr="00511005" w:rsidRDefault="00200E87" w:rsidP="003A292D">
      <w:pPr>
        <w:spacing w:line="264" w:lineRule="auto"/>
        <w:ind w:firstLine="0"/>
        <w:rPr>
          <w:rFonts w:ascii="Arial" w:hAnsi="Arial" w:cs="Arial"/>
          <w:szCs w:val="28"/>
          <w:lang w:eastAsia="zh-CN"/>
        </w:rPr>
      </w:pPr>
      <w:r w:rsidRPr="00511005">
        <w:rPr>
          <w:rFonts w:ascii="Arial" w:hAnsi="Arial" w:cs="Arial"/>
          <w:szCs w:val="28"/>
          <w:lang w:val="uk-UA" w:eastAsia="zh-CN"/>
        </w:rPr>
        <w:t xml:space="preserve">Стаття 8 Римського статуту Міжнародного кримінального суду (Україна підписала цей документ 20 січня 2000 року, 21 серпня 2024 року Верховна Рада України ратифікувала Римський статут) визначає воєнні злочини, серед яких мародерство розглядається як порушення законів і звичаїв війни. </w:t>
      </w:r>
      <w:r w:rsidRPr="00511005">
        <w:rPr>
          <w:rFonts w:ascii="Arial" w:hAnsi="Arial" w:cs="Arial"/>
          <w:szCs w:val="28"/>
          <w:lang w:eastAsia="zh-CN"/>
        </w:rPr>
        <w:t xml:space="preserve">Згідно з положеннями статті, мародерство включає незаконне привласнення майна під час збройного конфлікту, що суперечить нормам міжнародного гуманітарного права. Це означає, що будь-яке розкрадання майна </w:t>
      </w:r>
      <w:r w:rsidRPr="00511005">
        <w:rPr>
          <w:rFonts w:ascii="Arial" w:hAnsi="Arial" w:cs="Arial"/>
          <w:szCs w:val="28"/>
          <w:lang w:eastAsia="zh-CN"/>
        </w:rPr>
        <w:lastRenderedPageBreak/>
        <w:t>цивільного населення або захоплення власності без законних підстав під час війни є кримінально караним діянням</w:t>
      </w:r>
      <w:r w:rsidRPr="00511005">
        <w:rPr>
          <w:rFonts w:ascii="Arial" w:hAnsi="Arial" w:cs="Arial"/>
          <w:szCs w:val="28"/>
          <w:lang w:val="uk-UA" w:eastAsia="zh-CN"/>
        </w:rPr>
        <w:t xml:space="preserve"> </w:t>
      </w:r>
      <w:r w:rsidRPr="00511005">
        <w:rPr>
          <w:rFonts w:ascii="Arial" w:hAnsi="Arial" w:cs="Arial"/>
          <w:szCs w:val="28"/>
          <w:lang w:eastAsia="zh-CN"/>
        </w:rPr>
        <w:t>[</w:t>
      </w:r>
      <w:r w:rsidRPr="00511005">
        <w:rPr>
          <w:rFonts w:ascii="Arial" w:hAnsi="Arial" w:cs="Arial"/>
          <w:szCs w:val="28"/>
          <w:lang w:val="uk-UA" w:eastAsia="zh-CN"/>
        </w:rPr>
        <w:t>10</w:t>
      </w:r>
      <w:r w:rsidRPr="00511005">
        <w:rPr>
          <w:rFonts w:ascii="Arial" w:hAnsi="Arial" w:cs="Arial"/>
          <w:szCs w:val="28"/>
          <w:lang w:eastAsia="zh-CN"/>
        </w:rPr>
        <w:t>].</w:t>
      </w:r>
    </w:p>
    <w:p w14:paraId="48220A6D" w14:textId="77777777" w:rsidR="00200E87" w:rsidRPr="00511005" w:rsidRDefault="00200E87" w:rsidP="003A292D">
      <w:pPr>
        <w:spacing w:line="264" w:lineRule="auto"/>
        <w:ind w:firstLine="0"/>
        <w:rPr>
          <w:rFonts w:ascii="Arial" w:hAnsi="Arial" w:cs="Arial"/>
          <w:szCs w:val="28"/>
          <w:lang w:eastAsia="zh-CN"/>
        </w:rPr>
      </w:pPr>
      <w:r w:rsidRPr="00511005">
        <w:rPr>
          <w:rFonts w:ascii="Arial" w:hAnsi="Arial" w:cs="Arial"/>
          <w:szCs w:val="28"/>
          <w:lang w:eastAsia="zh-CN"/>
        </w:rPr>
        <w:t>Женевська конвенція 1949 року, що регулює захист цивільного населення під час збройних конфліктів, містить положення, які застосовуються як до територій держав, що беруть участь у війні, так і до окупованих територій. Згідно зі статтею 33 цього документа, будь-які акти пограбування заборонені. Додатковий протокол І, ухвалений 8 червня 1977 року, встановлює додаткові гарантії, серед яких пряма заборона на розкрадання майна загиблих, а також їх поховань та праху (ст. 34). Ці норми спрямовані на захист цивільного населення та забезпечення дотримання принципів гуманності під час війни [4,</w:t>
      </w:r>
      <w:r w:rsidRPr="00511005">
        <w:rPr>
          <w:rFonts w:ascii="Arial" w:hAnsi="Arial" w:cs="Arial"/>
          <w:szCs w:val="28"/>
          <w:lang w:val="uk-UA" w:eastAsia="zh-CN"/>
        </w:rPr>
        <w:t xml:space="preserve"> </w:t>
      </w:r>
      <w:r w:rsidRPr="00511005">
        <w:rPr>
          <w:rFonts w:ascii="Arial" w:hAnsi="Arial" w:cs="Arial"/>
          <w:szCs w:val="28"/>
          <w:lang w:eastAsia="zh-CN"/>
        </w:rPr>
        <w:t>3].</w:t>
      </w:r>
    </w:p>
    <w:p w14:paraId="5CF6DF26"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eastAsia="zh-CN"/>
        </w:rPr>
        <w:t>Гаазькі конвенції 1907 років встановлюють закони та звичаї війни, включаючи заборону мародерства. Стаття 47 Гаазької конвенції 1907 року</w:t>
      </w:r>
      <w:r w:rsidRPr="00511005">
        <w:rPr>
          <w:rFonts w:ascii="Arial" w:hAnsi="Arial" w:cs="Arial"/>
          <w:szCs w:val="28"/>
          <w:lang w:val="uk-UA" w:eastAsia="zh-CN"/>
        </w:rPr>
        <w:t xml:space="preserve"> хоч і не надає визначення мародерству</w:t>
      </w:r>
      <w:r w:rsidRPr="00511005">
        <w:rPr>
          <w:rFonts w:ascii="Arial" w:hAnsi="Arial" w:cs="Arial"/>
          <w:szCs w:val="28"/>
          <w:lang w:eastAsia="zh-CN"/>
        </w:rPr>
        <w:t xml:space="preserve"> </w:t>
      </w:r>
      <w:r w:rsidRPr="00511005">
        <w:rPr>
          <w:rFonts w:ascii="Arial" w:hAnsi="Arial" w:cs="Arial"/>
          <w:szCs w:val="28"/>
          <w:lang w:val="uk-UA" w:eastAsia="zh-CN"/>
        </w:rPr>
        <w:t xml:space="preserve">та </w:t>
      </w:r>
      <w:r w:rsidRPr="00511005">
        <w:rPr>
          <w:rFonts w:ascii="Arial" w:hAnsi="Arial" w:cs="Arial"/>
          <w:szCs w:val="28"/>
          <w:lang w:eastAsia="zh-CN"/>
        </w:rPr>
        <w:t xml:space="preserve">прямо забороняє </w:t>
      </w:r>
      <w:r w:rsidRPr="00511005">
        <w:rPr>
          <w:rFonts w:ascii="Arial" w:hAnsi="Arial" w:cs="Arial"/>
          <w:szCs w:val="28"/>
          <w:lang w:val="uk-UA" w:eastAsia="zh-CN"/>
        </w:rPr>
        <w:t>його</w:t>
      </w:r>
      <w:r w:rsidRPr="00511005">
        <w:rPr>
          <w:rFonts w:ascii="Arial" w:hAnsi="Arial" w:cs="Arial"/>
          <w:szCs w:val="28"/>
          <w:lang w:eastAsia="zh-CN"/>
        </w:rPr>
        <w:t xml:space="preserve"> [2]</w:t>
      </w:r>
      <w:r w:rsidRPr="00511005">
        <w:rPr>
          <w:rFonts w:ascii="Arial" w:hAnsi="Arial" w:cs="Arial"/>
          <w:szCs w:val="28"/>
          <w:lang w:val="uk-UA" w:eastAsia="zh-CN"/>
        </w:rPr>
        <w:t>.</w:t>
      </w:r>
    </w:p>
    <w:p w14:paraId="73F1677E" w14:textId="77777777" w:rsidR="00E064E1" w:rsidRPr="00511005" w:rsidRDefault="00E064E1" w:rsidP="003A292D">
      <w:pPr>
        <w:widowControl w:val="0"/>
        <w:spacing w:line="264" w:lineRule="auto"/>
        <w:ind w:firstLine="0"/>
        <w:rPr>
          <w:rFonts w:ascii="Arial" w:eastAsia="Arial" w:hAnsi="Arial" w:cs="Arial"/>
          <w:szCs w:val="28"/>
          <w:shd w:val="clear" w:color="auto" w:fill="FFFFFF"/>
          <w:lang w:eastAsia="zh-CN"/>
        </w:rPr>
      </w:pPr>
      <w:r w:rsidRPr="00511005">
        <w:rPr>
          <w:rFonts w:ascii="Arial" w:hAnsi="Arial" w:cs="Arial"/>
          <w:szCs w:val="28"/>
          <w:lang w:val="uk-UA" w:eastAsia="zh-CN"/>
        </w:rPr>
        <w:t>Незважаючи на визначення яке надає мародерству законодавець у КК України, у Пояснювальній записці до п</w:t>
      </w:r>
      <w:r w:rsidRPr="00511005">
        <w:rPr>
          <w:rFonts w:ascii="Arial" w:eastAsia="Arial" w:hAnsi="Arial" w:cs="Arial"/>
          <w:szCs w:val="28"/>
          <w:shd w:val="clear" w:color="auto" w:fill="FFFFFF"/>
          <w:lang w:eastAsia="zh-CN"/>
        </w:rPr>
        <w:t>роект</w:t>
      </w:r>
      <w:r w:rsidRPr="00511005">
        <w:rPr>
          <w:rFonts w:ascii="Arial" w:eastAsia="Arial" w:hAnsi="Arial" w:cs="Arial"/>
          <w:szCs w:val="28"/>
          <w:shd w:val="clear" w:color="auto" w:fill="FFFFFF"/>
          <w:lang w:val="uk-UA" w:eastAsia="zh-CN"/>
        </w:rPr>
        <w:t xml:space="preserve">у </w:t>
      </w:r>
      <w:r w:rsidRPr="00511005">
        <w:rPr>
          <w:rFonts w:ascii="Arial" w:eastAsia="Arial" w:hAnsi="Arial" w:cs="Arial"/>
          <w:szCs w:val="28"/>
          <w:shd w:val="clear" w:color="auto" w:fill="FFFFFF"/>
          <w:lang w:eastAsia="zh-CN"/>
        </w:rPr>
        <w:t>Закону про внесення змін до Кримінального кодексу України щодо посилення відповідальності за мародерство</w:t>
      </w:r>
      <w:r w:rsidRPr="00511005">
        <w:rPr>
          <w:rFonts w:ascii="Arial" w:eastAsia="Arial" w:hAnsi="Arial" w:cs="Arial"/>
          <w:szCs w:val="28"/>
          <w:shd w:val="clear" w:color="auto" w:fill="FFFFFF"/>
          <w:lang w:val="uk-UA" w:eastAsia="zh-CN"/>
        </w:rPr>
        <w:t>, надається інше визначення, яке більш суміжне з тими що надає міжнародне законодавство. Законодавець вказує, що люди боючись за своє життя полишають свої домівки, чим обумовлене неправомірне проникнення до квартир чи будинків і заволодіння майном, що знаходиться в них. Саме так вказана причина зміни покарання на більш тяжке за ст. 432 КК України- мародерство. Також, як приклад наводяться інцеденти що здійснились за межами поля бою</w:t>
      </w:r>
      <w:r w:rsidRPr="00511005">
        <w:rPr>
          <w:rFonts w:ascii="Arial" w:eastAsia="Arial" w:hAnsi="Arial" w:cs="Arial"/>
          <w:szCs w:val="28"/>
          <w:shd w:val="clear" w:color="auto" w:fill="FFFFFF"/>
          <w:lang w:eastAsia="zh-CN"/>
        </w:rPr>
        <w:t xml:space="preserve"> [</w:t>
      </w:r>
      <w:r w:rsidRPr="00511005">
        <w:rPr>
          <w:rFonts w:ascii="Arial" w:eastAsia="Arial" w:hAnsi="Arial" w:cs="Arial"/>
          <w:szCs w:val="28"/>
          <w:shd w:val="clear" w:color="auto" w:fill="FFFFFF"/>
          <w:lang w:val="uk-UA" w:eastAsia="zh-CN"/>
        </w:rPr>
        <w:t>8</w:t>
      </w:r>
      <w:r w:rsidRPr="00511005">
        <w:rPr>
          <w:rFonts w:ascii="Arial" w:eastAsia="Arial" w:hAnsi="Arial" w:cs="Arial"/>
          <w:szCs w:val="28"/>
          <w:shd w:val="clear" w:color="auto" w:fill="FFFFFF"/>
          <w:lang w:eastAsia="zh-CN"/>
        </w:rPr>
        <w:t>].</w:t>
      </w:r>
    </w:p>
    <w:p w14:paraId="53245FCD" w14:textId="077842EC" w:rsidR="00200E87" w:rsidRPr="00511005" w:rsidRDefault="00200E87" w:rsidP="003A292D">
      <w:pPr>
        <w:widowControl w:val="0"/>
        <w:spacing w:line="264" w:lineRule="auto"/>
        <w:ind w:firstLine="0"/>
        <w:rPr>
          <w:rFonts w:ascii="Arial" w:eastAsia="HelveticaNeueCyr-Roman" w:hAnsi="Arial" w:cs="Arial"/>
          <w:szCs w:val="28"/>
          <w:shd w:val="clear" w:color="auto" w:fill="FFFFFF"/>
          <w:lang w:val="uk-UA" w:eastAsia="uk-UA"/>
        </w:rPr>
      </w:pPr>
      <w:r w:rsidRPr="00511005">
        <w:rPr>
          <w:rFonts w:ascii="Arial" w:eastAsia="Arial" w:hAnsi="Arial" w:cs="Arial"/>
          <w:szCs w:val="28"/>
          <w:shd w:val="clear" w:color="auto" w:fill="FFFFFF"/>
          <w:lang w:val="uk-UA" w:eastAsia="uk-UA"/>
        </w:rPr>
        <w:t>У той же час суддя</w:t>
      </w:r>
      <w:r w:rsidR="007B2628" w:rsidRPr="00511005">
        <w:rPr>
          <w:rFonts w:ascii="Arial" w:eastAsia="Arial" w:hAnsi="Arial" w:cs="Arial"/>
          <w:szCs w:val="28"/>
          <w:shd w:val="clear" w:color="auto" w:fill="FFFFFF"/>
          <w:lang w:val="uk-UA" w:eastAsia="uk-UA"/>
        </w:rPr>
        <w:t xml:space="preserve"> </w:t>
      </w:r>
      <w:r w:rsidRPr="00511005">
        <w:rPr>
          <w:rFonts w:ascii="Arial" w:eastAsia="Arial" w:hAnsi="Arial" w:cs="Arial"/>
          <w:szCs w:val="28"/>
          <w:shd w:val="clear" w:color="auto" w:fill="FFFFFF"/>
          <w:lang w:val="uk-UA" w:eastAsia="uk-UA"/>
        </w:rPr>
        <w:t>Касаційного кримінального суду у складі Верховного Суду Ольга Булейко зазначає що мародерством є заволодіння майном на полі бою, на територіях, де проводятся активні бойові дії чи під обстрілами. Обов</w:t>
      </w:r>
      <w:r w:rsidRPr="00511005">
        <w:rPr>
          <w:rFonts w:ascii="Arial" w:eastAsia="HelveticaNeueCyr-Roman" w:hAnsi="Arial" w:cs="Arial"/>
          <w:szCs w:val="28"/>
          <w:shd w:val="clear" w:color="auto" w:fill="FFFFFF"/>
          <w:lang w:val="uk-UA" w:eastAsia="uk-UA"/>
        </w:rPr>
        <w:t>’язковим суб’єктом цього кримінального правопорушення суддя вважає саме військовослужбовця [1].</w:t>
      </w:r>
    </w:p>
    <w:p w14:paraId="357C27E5" w14:textId="040E5315" w:rsidR="00200E87" w:rsidRPr="00511005" w:rsidRDefault="00200E87" w:rsidP="003A292D">
      <w:pPr>
        <w:widowControl w:val="0"/>
        <w:spacing w:line="264" w:lineRule="auto"/>
        <w:ind w:firstLine="0"/>
        <w:rPr>
          <w:rFonts w:ascii="Arial" w:eastAsia="HelveticaNeueCyr-Roman" w:hAnsi="Arial" w:cs="Arial"/>
          <w:szCs w:val="28"/>
          <w:shd w:val="clear" w:color="auto" w:fill="FFFFFF"/>
          <w:lang w:eastAsia="uk-UA"/>
        </w:rPr>
      </w:pPr>
      <w:r w:rsidRPr="00511005">
        <w:rPr>
          <w:rFonts w:ascii="Arial" w:eastAsia="HelveticaNeueCyr-Roman" w:hAnsi="Arial" w:cs="Arial"/>
          <w:szCs w:val="28"/>
          <w:shd w:val="clear" w:color="auto" w:fill="FFFFFF"/>
          <w:lang w:val="uk-UA" w:eastAsia="uk-UA"/>
        </w:rPr>
        <w:t>Юридична компанія</w:t>
      </w:r>
      <w:r w:rsidR="007B2628" w:rsidRPr="00511005">
        <w:rPr>
          <w:rFonts w:ascii="Arial" w:eastAsia="HelveticaNeueCyr-Roman" w:hAnsi="Arial" w:cs="Arial"/>
          <w:szCs w:val="28"/>
          <w:shd w:val="clear" w:color="auto" w:fill="FFFFFF"/>
          <w:lang w:val="uk-UA" w:eastAsia="uk-UA"/>
        </w:rPr>
        <w:t xml:space="preserve"> </w:t>
      </w:r>
      <w:r w:rsidRPr="00511005">
        <w:rPr>
          <w:rFonts w:ascii="Arial" w:eastAsia="sans-serif" w:hAnsi="Arial" w:cs="Arial"/>
          <w:szCs w:val="28"/>
          <w:lang w:val="uk-UA" w:eastAsia="uk-UA"/>
        </w:rPr>
        <w:t xml:space="preserve">"Міллер", що знаходиться у місті Київ, у дописі на своїй сторінці в соціальній мережі зазначає, що законодавець, у Законі України </w:t>
      </w:r>
      <w:r w:rsidRPr="00511005">
        <w:rPr>
          <w:rFonts w:ascii="Arial" w:eastAsia="Times New Roman" w:hAnsi="Arial" w:cs="Arial"/>
          <w:szCs w:val="28"/>
          <w:lang w:val="uk-UA" w:eastAsia="uk-UA"/>
        </w:rPr>
        <w:t>«Про внесення змін до Кримінального кодексу України щодо посилення відповідальності за мародерство», вказує на те, що в теперішніх умовах мародерством є не тільки злочини на полі бою, а й на інших територіях в умовах воєнного стану. Фактично, сам закон не надає ніякої інформації щодо поновленного тлумачення цього злочину, а Пояснювальна записка не прирівнюється до акту що має законодавчу силу, так як направлена на ро</w:t>
      </w:r>
      <w:r w:rsidRPr="00511005">
        <w:rPr>
          <w:rFonts w:ascii="Arial" w:eastAsia="HelveticaNeueCyr-Roman" w:hAnsi="Arial" w:cs="Arial"/>
          <w:szCs w:val="28"/>
          <w:shd w:val="clear" w:color="auto" w:fill="FFFFFF"/>
          <w:lang w:val="uk-UA" w:eastAsia="uk-UA"/>
        </w:rPr>
        <w:t>’яснення положень закону, а не їх створення</w:t>
      </w:r>
      <w:r w:rsidRPr="00511005">
        <w:rPr>
          <w:rFonts w:ascii="Arial" w:eastAsia="HelveticaNeueCyr-Roman" w:hAnsi="Arial" w:cs="Arial"/>
          <w:szCs w:val="28"/>
          <w:shd w:val="clear" w:color="auto" w:fill="FFFFFF"/>
          <w:lang w:eastAsia="uk-UA"/>
        </w:rPr>
        <w:t xml:space="preserve"> [</w:t>
      </w:r>
      <w:r w:rsidRPr="00511005">
        <w:rPr>
          <w:rFonts w:ascii="Arial" w:eastAsia="HelveticaNeueCyr-Roman" w:hAnsi="Arial" w:cs="Arial"/>
          <w:szCs w:val="28"/>
          <w:shd w:val="clear" w:color="auto" w:fill="FFFFFF"/>
          <w:lang w:val="uk-UA" w:eastAsia="uk-UA"/>
        </w:rPr>
        <w:t>11</w:t>
      </w:r>
      <w:r w:rsidRPr="00511005">
        <w:rPr>
          <w:rFonts w:ascii="Arial" w:eastAsia="HelveticaNeueCyr-Roman" w:hAnsi="Arial" w:cs="Arial"/>
          <w:szCs w:val="28"/>
          <w:shd w:val="clear" w:color="auto" w:fill="FFFFFF"/>
          <w:lang w:eastAsia="uk-UA"/>
        </w:rPr>
        <w:t>].</w:t>
      </w:r>
    </w:p>
    <w:p w14:paraId="77134FA9" w14:textId="77777777" w:rsidR="00200E87" w:rsidRPr="00511005" w:rsidRDefault="00200E87" w:rsidP="003A292D">
      <w:pPr>
        <w:widowControl w:val="0"/>
        <w:spacing w:line="264" w:lineRule="auto"/>
        <w:ind w:firstLine="0"/>
        <w:rPr>
          <w:rFonts w:ascii="Arial" w:eastAsia="HelveticaNeueCyr-Roman" w:hAnsi="Arial" w:cs="Arial"/>
          <w:szCs w:val="28"/>
          <w:shd w:val="clear" w:color="auto" w:fill="FFFFFF"/>
          <w:lang w:val="uk-UA" w:eastAsia="uk-UA"/>
        </w:rPr>
      </w:pPr>
      <w:r w:rsidRPr="00511005">
        <w:rPr>
          <w:rFonts w:ascii="Arial" w:eastAsia="HelveticaNeueCyr-Roman" w:hAnsi="Arial" w:cs="Arial"/>
          <w:szCs w:val="28"/>
          <w:shd w:val="clear" w:color="auto" w:fill="FFFFFF"/>
          <w:lang w:val="uk-UA" w:eastAsia="uk-UA"/>
        </w:rPr>
        <w:t>Адвокат Марія Сумбур для новинного порталу, про що зазначає приватне адвокатське об’єднання, висловила позицію щодо того, що в цей період часу до мародерства відносяться будь які злочини прости чужої власності</w:t>
      </w:r>
      <w:r w:rsidRPr="00511005">
        <w:rPr>
          <w:rFonts w:ascii="Arial" w:eastAsia="HelveticaNeueCyr-Roman" w:hAnsi="Arial" w:cs="Arial"/>
          <w:szCs w:val="28"/>
          <w:shd w:val="clear" w:color="auto" w:fill="FFFFFF"/>
          <w:lang w:eastAsia="uk-UA"/>
        </w:rPr>
        <w:t xml:space="preserve"> [</w:t>
      </w:r>
      <w:r w:rsidRPr="00511005">
        <w:rPr>
          <w:rFonts w:ascii="Arial" w:eastAsia="HelveticaNeueCyr-Roman" w:hAnsi="Arial" w:cs="Arial"/>
          <w:szCs w:val="28"/>
          <w:shd w:val="clear" w:color="auto" w:fill="FFFFFF"/>
          <w:lang w:val="uk-UA" w:eastAsia="uk-UA"/>
        </w:rPr>
        <w:t>7</w:t>
      </w:r>
      <w:r w:rsidRPr="00511005">
        <w:rPr>
          <w:rFonts w:ascii="Arial" w:eastAsia="HelveticaNeueCyr-Roman" w:hAnsi="Arial" w:cs="Arial"/>
          <w:szCs w:val="28"/>
          <w:shd w:val="clear" w:color="auto" w:fill="FFFFFF"/>
          <w:lang w:eastAsia="uk-UA"/>
        </w:rPr>
        <w:t>].</w:t>
      </w:r>
    </w:p>
    <w:p w14:paraId="3AE3ED92" w14:textId="77777777" w:rsidR="00200E87" w:rsidRPr="00511005" w:rsidRDefault="00200E87" w:rsidP="003A292D">
      <w:pPr>
        <w:spacing w:line="264" w:lineRule="auto"/>
        <w:ind w:firstLine="0"/>
        <w:rPr>
          <w:rFonts w:ascii="Arial" w:hAnsi="Arial" w:cs="Arial"/>
          <w:szCs w:val="28"/>
          <w:lang w:eastAsia="zh-CN"/>
        </w:rPr>
      </w:pPr>
      <w:r w:rsidRPr="00511005">
        <w:rPr>
          <w:rFonts w:ascii="Arial" w:hAnsi="Arial" w:cs="Arial"/>
          <w:szCs w:val="28"/>
          <w:lang w:eastAsia="zh-CN"/>
        </w:rPr>
        <w:lastRenderedPageBreak/>
        <w:t>Мародерство як правове та соціальне явище в умовах збройного конфлікту є багатовимірною проблемою, що потребує системного підходу. Проте дискусії довкола тлумачення та застосування цих норм не вщухають і дотепер.</w:t>
      </w:r>
    </w:p>
    <w:p w14:paraId="551DD886" w14:textId="77777777" w:rsidR="00200E87" w:rsidRPr="00511005" w:rsidRDefault="00200E87" w:rsidP="003A292D">
      <w:pPr>
        <w:spacing w:line="264" w:lineRule="auto"/>
        <w:ind w:firstLine="0"/>
        <w:rPr>
          <w:rFonts w:ascii="Arial" w:hAnsi="Arial" w:cs="Arial"/>
          <w:szCs w:val="28"/>
          <w:lang w:eastAsia="zh-CN"/>
        </w:rPr>
      </w:pPr>
      <w:r w:rsidRPr="00511005">
        <w:rPr>
          <w:rFonts w:ascii="Arial" w:hAnsi="Arial" w:cs="Arial"/>
          <w:szCs w:val="28"/>
          <w:lang w:eastAsia="zh-CN"/>
        </w:rPr>
        <w:t xml:space="preserve">Важливо, що український законодавець, попри крок вперед, досі не забезпечив повного нормативного узгодження національного визначення мародерства з міжнародним правом — зокрема, з нормами Римського статуту, Женевських конвенцій та Гаазьких положень. </w:t>
      </w:r>
    </w:p>
    <w:p w14:paraId="75086864" w14:textId="77777777" w:rsidR="00200E87" w:rsidRPr="00511005" w:rsidRDefault="00200E87" w:rsidP="003A292D">
      <w:pPr>
        <w:spacing w:line="264" w:lineRule="auto"/>
        <w:ind w:firstLine="0"/>
        <w:rPr>
          <w:rFonts w:ascii="Arial" w:hAnsi="Arial" w:cs="Arial"/>
          <w:szCs w:val="28"/>
          <w:lang w:eastAsia="zh-CN"/>
        </w:rPr>
      </w:pPr>
      <w:r w:rsidRPr="00511005">
        <w:rPr>
          <w:rFonts w:ascii="Arial" w:hAnsi="Arial" w:cs="Arial"/>
          <w:szCs w:val="28"/>
          <w:lang w:val="uk-UA" w:eastAsia="zh-CN"/>
        </w:rPr>
        <w:t>Д</w:t>
      </w:r>
      <w:r w:rsidRPr="00511005">
        <w:rPr>
          <w:rFonts w:ascii="Arial" w:hAnsi="Arial" w:cs="Arial"/>
          <w:szCs w:val="28"/>
          <w:lang w:eastAsia="zh-CN"/>
        </w:rPr>
        <w:t>освід України показує, що для ефективної протидії мародерству необхідне не лише вдосконалення кримінального законодавства, а й глибше розуміння його гуманітарного та морального змісту, а також єдність юридичних підходів, які б узгоджувались із міжнародним правом воєнного часу.</w:t>
      </w:r>
    </w:p>
    <w:p w14:paraId="5E99AAC1" w14:textId="77777777" w:rsidR="00200E87" w:rsidRPr="00511005" w:rsidRDefault="00200E87" w:rsidP="003A292D">
      <w:pPr>
        <w:spacing w:line="264" w:lineRule="auto"/>
        <w:ind w:firstLine="0"/>
        <w:rPr>
          <w:rFonts w:ascii="Arial" w:hAnsi="Arial" w:cs="Arial"/>
          <w:szCs w:val="28"/>
          <w:lang w:eastAsia="zh-CN"/>
        </w:rPr>
      </w:pPr>
    </w:p>
    <w:p w14:paraId="483893A4" w14:textId="3ABDC3AD" w:rsidR="00200E87" w:rsidRPr="00511005" w:rsidRDefault="007B2628" w:rsidP="007B2628">
      <w:pPr>
        <w:spacing w:line="264" w:lineRule="auto"/>
        <w:ind w:firstLine="0"/>
        <w:jc w:val="center"/>
        <w:rPr>
          <w:rFonts w:ascii="Arial" w:hAnsi="Arial" w:cs="Arial"/>
          <w:szCs w:val="28"/>
          <w:lang w:val="en-US" w:eastAsia="zh-CN"/>
        </w:rPr>
      </w:pPr>
      <w:r w:rsidRPr="00511005">
        <w:rPr>
          <w:rFonts w:ascii="Arial" w:hAnsi="Arial" w:cs="Arial"/>
          <w:b/>
          <w:iCs/>
          <w:szCs w:val="28"/>
          <w:lang w:val="uk-UA" w:eastAsia="zh-CN"/>
        </w:rPr>
        <w:t>Список використаних джерел</w:t>
      </w:r>
    </w:p>
    <w:p w14:paraId="3D84D923" w14:textId="77777777" w:rsidR="00200E87" w:rsidRPr="00511005" w:rsidRDefault="00200E87" w:rsidP="003A292D">
      <w:pPr>
        <w:widowControl w:val="0"/>
        <w:spacing w:line="264" w:lineRule="auto"/>
        <w:ind w:firstLine="0"/>
        <w:rPr>
          <w:rFonts w:ascii="Arial" w:hAnsi="Arial" w:cs="Arial"/>
          <w:szCs w:val="28"/>
          <w:lang w:val="uk-UA" w:eastAsia="uk-UA"/>
        </w:rPr>
      </w:pPr>
    </w:p>
    <w:p w14:paraId="2C8AF666" w14:textId="77777777" w:rsidR="00200E87" w:rsidRPr="00511005" w:rsidRDefault="00200E87" w:rsidP="003F6A5D">
      <w:pPr>
        <w:widowControl w:val="0"/>
        <w:numPr>
          <w:ilvl w:val="0"/>
          <w:numId w:val="509"/>
        </w:numPr>
        <w:spacing w:line="264" w:lineRule="auto"/>
        <w:jc w:val="left"/>
        <w:rPr>
          <w:rFonts w:ascii="Arial" w:hAnsi="Arial" w:cs="Arial"/>
          <w:szCs w:val="28"/>
          <w:lang w:eastAsia="zh-CN"/>
        </w:rPr>
      </w:pPr>
      <w:r w:rsidRPr="00511005">
        <w:rPr>
          <w:rFonts w:ascii="Arial" w:hAnsi="Arial" w:cs="Arial"/>
          <w:szCs w:val="28"/>
          <w:lang w:eastAsia="zh-CN"/>
        </w:rPr>
        <w:t xml:space="preserve">Верховний Суд. Верховний Суд залишив без змін вирок військовослужбовцю за мародерство. 2023. </w:t>
      </w:r>
      <w:r w:rsidRPr="00511005">
        <w:rPr>
          <w:rFonts w:ascii="Arial" w:hAnsi="Arial" w:cs="Arial"/>
          <w:szCs w:val="28"/>
          <w:lang w:val="en-US" w:eastAsia="zh-CN"/>
        </w:rPr>
        <w:t>URL</w:t>
      </w:r>
      <w:r w:rsidRPr="00511005">
        <w:rPr>
          <w:rFonts w:ascii="Arial" w:hAnsi="Arial" w:cs="Arial"/>
          <w:szCs w:val="28"/>
          <w:lang w:eastAsia="zh-CN"/>
        </w:rPr>
        <w:t>:</w:t>
      </w:r>
      <w:r w:rsidRPr="00511005">
        <w:rPr>
          <w:rFonts w:ascii="Arial" w:hAnsi="Arial" w:cs="Arial"/>
          <w:szCs w:val="28"/>
          <w:lang w:val="uk-UA" w:eastAsia="zh-CN"/>
        </w:rPr>
        <w:t xml:space="preserve"> </w:t>
      </w:r>
      <w:hyperlink r:id="rId1788"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supreme</w:t>
        </w:r>
        <w:r w:rsidRPr="00511005">
          <w:rPr>
            <w:rFonts w:ascii="Arial" w:hAnsi="Arial" w:cs="Arial"/>
            <w:szCs w:val="28"/>
            <w:lang w:eastAsia="zh-CN"/>
          </w:rPr>
          <w:t>.</w:t>
        </w:r>
        <w:r w:rsidRPr="00511005">
          <w:rPr>
            <w:rFonts w:ascii="Arial" w:hAnsi="Arial" w:cs="Arial"/>
            <w:szCs w:val="28"/>
            <w:lang w:val="en-US" w:eastAsia="zh-CN"/>
          </w:rPr>
          <w:t>court</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supreme</w:t>
        </w:r>
        <w:r w:rsidRPr="00511005">
          <w:rPr>
            <w:rFonts w:ascii="Arial" w:hAnsi="Arial" w:cs="Arial"/>
            <w:szCs w:val="28"/>
            <w:lang w:eastAsia="zh-CN"/>
          </w:rPr>
          <w:t>/</w:t>
        </w:r>
        <w:r w:rsidRPr="00511005">
          <w:rPr>
            <w:rFonts w:ascii="Arial" w:hAnsi="Arial" w:cs="Arial"/>
            <w:szCs w:val="28"/>
            <w:lang w:val="en-US" w:eastAsia="zh-CN"/>
          </w:rPr>
          <w:t>pres</w:t>
        </w:r>
        <w:r w:rsidRPr="00511005">
          <w:rPr>
            <w:rFonts w:ascii="Arial" w:hAnsi="Arial" w:cs="Arial"/>
            <w:szCs w:val="28"/>
            <w:lang w:eastAsia="zh-CN"/>
          </w:rPr>
          <w:t>-</w:t>
        </w:r>
        <w:r w:rsidRPr="00511005">
          <w:rPr>
            <w:rFonts w:ascii="Arial" w:hAnsi="Arial" w:cs="Arial"/>
            <w:szCs w:val="28"/>
            <w:lang w:val="en-US" w:eastAsia="zh-CN"/>
          </w:rPr>
          <w:t>centr</w:t>
        </w:r>
        <w:r w:rsidRPr="00511005">
          <w:rPr>
            <w:rFonts w:ascii="Arial" w:hAnsi="Arial" w:cs="Arial"/>
            <w:szCs w:val="28"/>
            <w:lang w:eastAsia="zh-CN"/>
          </w:rPr>
          <w:t>/</w:t>
        </w:r>
        <w:r w:rsidRPr="00511005">
          <w:rPr>
            <w:rFonts w:ascii="Arial" w:hAnsi="Arial" w:cs="Arial"/>
            <w:szCs w:val="28"/>
            <w:lang w:val="en-US" w:eastAsia="zh-CN"/>
          </w:rPr>
          <w:t>news</w:t>
        </w:r>
        <w:r w:rsidRPr="00511005">
          <w:rPr>
            <w:rFonts w:ascii="Arial" w:hAnsi="Arial" w:cs="Arial"/>
            <w:szCs w:val="28"/>
            <w:lang w:eastAsia="zh-CN"/>
          </w:rPr>
          <w:t>/1289628/</w:t>
        </w:r>
      </w:hyperlink>
      <w:r w:rsidRPr="00511005">
        <w:rPr>
          <w:rFonts w:ascii="Arial" w:hAnsi="Arial" w:cs="Arial"/>
          <w:szCs w:val="28"/>
          <w:lang w:eastAsia="zh-CN"/>
        </w:rPr>
        <w:t xml:space="preserve"> </w:t>
      </w:r>
      <w:r w:rsidRPr="00511005">
        <w:rPr>
          <w:rFonts w:ascii="Arial" w:hAnsi="Arial" w:cs="Arial"/>
          <w:szCs w:val="28"/>
          <w:lang w:val="uk-UA" w:eastAsia="zh-CN"/>
        </w:rPr>
        <w:t>(дата звернення: 12.04.2025)</w:t>
      </w:r>
      <w:r w:rsidRPr="00511005">
        <w:rPr>
          <w:rFonts w:ascii="Arial" w:hAnsi="Arial" w:cs="Arial"/>
          <w:szCs w:val="28"/>
          <w:lang w:eastAsia="zh-CN"/>
        </w:rPr>
        <w:t>.</w:t>
      </w:r>
    </w:p>
    <w:p w14:paraId="6A1B62FF" w14:textId="77777777" w:rsidR="00200E87" w:rsidRPr="00511005" w:rsidRDefault="00200E87" w:rsidP="003F6A5D">
      <w:pPr>
        <w:widowControl w:val="0"/>
        <w:numPr>
          <w:ilvl w:val="0"/>
          <w:numId w:val="509"/>
        </w:numPr>
        <w:spacing w:line="264" w:lineRule="auto"/>
        <w:jc w:val="left"/>
        <w:rPr>
          <w:rFonts w:ascii="Arial" w:hAnsi="Arial" w:cs="Arial"/>
          <w:szCs w:val="28"/>
          <w:lang w:eastAsia="zh-CN"/>
        </w:rPr>
      </w:pPr>
      <w:r w:rsidRPr="00511005">
        <w:rPr>
          <w:rFonts w:ascii="Arial" w:hAnsi="Arial" w:cs="Arial"/>
          <w:szCs w:val="28"/>
          <w:lang w:eastAsia="zh-CN"/>
        </w:rPr>
        <w:t>Гаазька конвенція (</w:t>
      </w:r>
      <w:r w:rsidRPr="00511005">
        <w:rPr>
          <w:rFonts w:ascii="Arial" w:hAnsi="Arial" w:cs="Arial"/>
          <w:szCs w:val="28"/>
          <w:lang w:val="en-US" w:eastAsia="zh-CN"/>
        </w:rPr>
        <w:t>IV</w:t>
      </w:r>
      <w:r w:rsidRPr="00511005">
        <w:rPr>
          <w:rFonts w:ascii="Arial" w:hAnsi="Arial" w:cs="Arial"/>
          <w:szCs w:val="28"/>
          <w:lang w:eastAsia="zh-CN"/>
        </w:rPr>
        <w:t>) про закони і звичаї війни на суходолі</w:t>
      </w:r>
      <w:r w:rsidRPr="00511005">
        <w:rPr>
          <w:rFonts w:ascii="Arial" w:hAnsi="Arial" w:cs="Arial"/>
          <w:szCs w:val="28"/>
          <w:lang w:val="uk-UA" w:eastAsia="zh-CN"/>
        </w:rPr>
        <w:t xml:space="preserve"> </w:t>
      </w:r>
      <w:r w:rsidRPr="00511005">
        <w:rPr>
          <w:rFonts w:ascii="Arial" w:hAnsi="Arial" w:cs="Arial"/>
          <w:szCs w:val="28"/>
          <w:lang w:eastAsia="zh-CN"/>
        </w:rPr>
        <w:t>Гаазька конвенція (</w:t>
      </w:r>
      <w:r w:rsidRPr="00511005">
        <w:rPr>
          <w:rFonts w:ascii="Arial" w:hAnsi="Arial" w:cs="Arial"/>
          <w:szCs w:val="28"/>
          <w:lang w:val="en-US" w:eastAsia="zh-CN"/>
        </w:rPr>
        <w:t>IV</w:t>
      </w:r>
      <w:r w:rsidRPr="00511005">
        <w:rPr>
          <w:rFonts w:ascii="Arial" w:hAnsi="Arial" w:cs="Arial"/>
          <w:szCs w:val="28"/>
          <w:lang w:eastAsia="zh-CN"/>
        </w:rPr>
        <w:t>) про закони і звичаї війни на суходолі з додатками, 18 жовтня 1907 року.</w:t>
      </w:r>
      <w:r w:rsidRPr="00511005">
        <w:rPr>
          <w:rFonts w:ascii="Arial" w:hAnsi="Arial" w:cs="Arial"/>
          <w:szCs w:val="28"/>
          <w:lang w:eastAsia="zh-CN"/>
        </w:rPr>
        <w:br/>
      </w:r>
      <w:r w:rsidRPr="00511005">
        <w:rPr>
          <w:rFonts w:ascii="Arial" w:hAnsi="Arial" w:cs="Arial"/>
          <w:szCs w:val="28"/>
          <w:lang w:val="en-US" w:eastAsia="zh-CN"/>
        </w:rPr>
        <w:t>URL</w:t>
      </w:r>
      <w:r w:rsidRPr="00511005">
        <w:rPr>
          <w:rFonts w:ascii="Arial" w:hAnsi="Arial" w:cs="Arial"/>
          <w:szCs w:val="28"/>
          <w:lang w:eastAsia="zh-CN"/>
        </w:rPr>
        <w:t xml:space="preserve">: </w:t>
      </w:r>
      <w:hyperlink r:id="rId1789"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zakon</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laws</w:t>
        </w:r>
        <w:r w:rsidRPr="00511005">
          <w:rPr>
            <w:rFonts w:ascii="Arial" w:hAnsi="Arial" w:cs="Arial"/>
            <w:szCs w:val="28"/>
            <w:lang w:eastAsia="zh-CN"/>
          </w:rPr>
          <w:t>/</w:t>
        </w:r>
        <w:r w:rsidRPr="00511005">
          <w:rPr>
            <w:rFonts w:ascii="Arial" w:hAnsi="Arial" w:cs="Arial"/>
            <w:szCs w:val="28"/>
            <w:lang w:val="en-US" w:eastAsia="zh-CN"/>
          </w:rPr>
          <w:t>show</w:t>
        </w:r>
        <w:r w:rsidRPr="00511005">
          <w:rPr>
            <w:rFonts w:ascii="Arial" w:hAnsi="Arial" w:cs="Arial"/>
            <w:szCs w:val="28"/>
            <w:lang w:eastAsia="zh-CN"/>
          </w:rPr>
          <w:t>/995_222</w:t>
        </w:r>
      </w:hyperlink>
      <w:r w:rsidRPr="00511005">
        <w:rPr>
          <w:rFonts w:ascii="Arial" w:hAnsi="Arial" w:cs="Arial"/>
          <w:szCs w:val="28"/>
          <w:lang w:val="uk-UA" w:eastAsia="zh-CN"/>
        </w:rPr>
        <w:t xml:space="preserve"> (дата звернення: 12.04.2025).</w:t>
      </w:r>
    </w:p>
    <w:p w14:paraId="37B1B677" w14:textId="77777777" w:rsidR="00200E87" w:rsidRPr="00511005" w:rsidRDefault="00200E87" w:rsidP="003F6A5D">
      <w:pPr>
        <w:widowControl w:val="0"/>
        <w:numPr>
          <w:ilvl w:val="0"/>
          <w:numId w:val="509"/>
        </w:numPr>
        <w:spacing w:line="264" w:lineRule="auto"/>
        <w:jc w:val="left"/>
        <w:rPr>
          <w:rFonts w:ascii="Arial" w:hAnsi="Arial" w:cs="Arial"/>
          <w:szCs w:val="28"/>
          <w:lang w:eastAsia="zh-CN"/>
        </w:rPr>
      </w:pPr>
      <w:r w:rsidRPr="00511005">
        <w:rPr>
          <w:rFonts w:ascii="Arial" w:hAnsi="Arial" w:cs="Arial"/>
          <w:szCs w:val="28"/>
          <w:lang w:eastAsia="zh-CN"/>
        </w:rPr>
        <w:t>Додатковий протокол І до Женевських конвенцій 1949 року</w:t>
      </w:r>
      <w:r w:rsidRPr="00511005">
        <w:rPr>
          <w:rFonts w:ascii="Arial" w:hAnsi="Arial" w:cs="Arial"/>
          <w:szCs w:val="28"/>
          <w:lang w:val="uk-UA" w:eastAsia="zh-CN"/>
        </w:rPr>
        <w:t xml:space="preserve"> </w:t>
      </w:r>
      <w:r w:rsidRPr="00511005">
        <w:rPr>
          <w:rFonts w:ascii="Arial" w:hAnsi="Arial" w:cs="Arial"/>
          <w:szCs w:val="28"/>
          <w:lang w:eastAsia="zh-CN"/>
        </w:rPr>
        <w:t xml:space="preserve">Додатковий протокол </w:t>
      </w:r>
      <w:r w:rsidRPr="00511005">
        <w:rPr>
          <w:rFonts w:ascii="Arial" w:hAnsi="Arial" w:cs="Arial"/>
          <w:szCs w:val="28"/>
          <w:lang w:val="en-US" w:eastAsia="zh-CN"/>
        </w:rPr>
        <w:t>I</w:t>
      </w:r>
      <w:r w:rsidRPr="00511005">
        <w:rPr>
          <w:rFonts w:ascii="Arial" w:hAnsi="Arial" w:cs="Arial"/>
          <w:szCs w:val="28"/>
          <w:lang w:eastAsia="zh-CN"/>
        </w:rPr>
        <w:t xml:space="preserve"> до Женевських конвенцій від 8 червня 1977 року.</w:t>
      </w:r>
      <w:r w:rsidRPr="00511005">
        <w:rPr>
          <w:rFonts w:ascii="Arial" w:hAnsi="Arial" w:cs="Arial"/>
          <w:szCs w:val="28"/>
          <w:lang w:eastAsia="zh-CN"/>
        </w:rPr>
        <w:br/>
      </w:r>
      <w:r w:rsidRPr="00511005">
        <w:rPr>
          <w:rFonts w:ascii="Arial" w:hAnsi="Arial" w:cs="Arial"/>
          <w:szCs w:val="28"/>
          <w:lang w:val="en-US" w:eastAsia="zh-CN"/>
        </w:rPr>
        <w:t>URL</w:t>
      </w:r>
      <w:r w:rsidRPr="00511005">
        <w:rPr>
          <w:rFonts w:ascii="Arial" w:hAnsi="Arial" w:cs="Arial"/>
          <w:szCs w:val="28"/>
          <w:lang w:eastAsia="zh-CN"/>
        </w:rPr>
        <w:t xml:space="preserve">: </w:t>
      </w:r>
      <w:hyperlink r:id="rId1790"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zakon</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laws</w:t>
        </w:r>
        <w:r w:rsidRPr="00511005">
          <w:rPr>
            <w:rFonts w:ascii="Arial" w:hAnsi="Arial" w:cs="Arial"/>
            <w:szCs w:val="28"/>
            <w:lang w:eastAsia="zh-CN"/>
          </w:rPr>
          <w:t>/</w:t>
        </w:r>
        <w:r w:rsidRPr="00511005">
          <w:rPr>
            <w:rFonts w:ascii="Arial" w:hAnsi="Arial" w:cs="Arial"/>
            <w:szCs w:val="28"/>
            <w:lang w:val="en-US" w:eastAsia="zh-CN"/>
          </w:rPr>
          <w:t>show</w:t>
        </w:r>
        <w:r w:rsidRPr="00511005">
          <w:rPr>
            <w:rFonts w:ascii="Arial" w:hAnsi="Arial" w:cs="Arial"/>
            <w:szCs w:val="28"/>
            <w:lang w:eastAsia="zh-CN"/>
          </w:rPr>
          <w:t>/995_199</w:t>
        </w:r>
      </w:hyperlink>
      <w:r w:rsidRPr="00511005">
        <w:rPr>
          <w:rFonts w:ascii="Arial" w:hAnsi="Arial" w:cs="Arial"/>
          <w:szCs w:val="28"/>
          <w:lang w:val="uk-UA" w:eastAsia="zh-CN"/>
        </w:rPr>
        <w:t xml:space="preserve"> (дата звернення: 12.04.2025).</w:t>
      </w:r>
    </w:p>
    <w:p w14:paraId="37B1C74D" w14:textId="77777777" w:rsidR="00200E87" w:rsidRPr="00511005" w:rsidRDefault="00200E87" w:rsidP="003F6A5D">
      <w:pPr>
        <w:widowControl w:val="0"/>
        <w:numPr>
          <w:ilvl w:val="0"/>
          <w:numId w:val="509"/>
        </w:numPr>
        <w:spacing w:line="264" w:lineRule="auto"/>
        <w:jc w:val="left"/>
        <w:rPr>
          <w:rFonts w:ascii="Arial" w:hAnsi="Arial" w:cs="Arial"/>
          <w:szCs w:val="28"/>
          <w:lang w:eastAsia="zh-CN"/>
        </w:rPr>
      </w:pPr>
      <w:r w:rsidRPr="00511005">
        <w:rPr>
          <w:rFonts w:ascii="Arial" w:hAnsi="Arial" w:cs="Arial"/>
          <w:szCs w:val="28"/>
          <w:lang w:eastAsia="zh-CN"/>
        </w:rPr>
        <w:t>Женевська конвенція про захист цивільного населення під час війни</w:t>
      </w:r>
      <w:r w:rsidRPr="00511005">
        <w:rPr>
          <w:rFonts w:ascii="Arial" w:hAnsi="Arial" w:cs="Arial"/>
          <w:szCs w:val="28"/>
          <w:lang w:val="uk-UA" w:eastAsia="zh-CN"/>
        </w:rPr>
        <w:t xml:space="preserve"> </w:t>
      </w:r>
      <w:r w:rsidRPr="00511005">
        <w:rPr>
          <w:rFonts w:ascii="Arial" w:hAnsi="Arial" w:cs="Arial"/>
          <w:szCs w:val="28"/>
          <w:lang w:eastAsia="zh-CN"/>
        </w:rPr>
        <w:t>Женевська конвенція про захист цивільного населення під час війни від 12 серпня 1949 року.</w:t>
      </w:r>
      <w:r w:rsidRPr="00511005">
        <w:rPr>
          <w:rFonts w:ascii="Arial" w:hAnsi="Arial" w:cs="Arial"/>
          <w:szCs w:val="28"/>
          <w:lang w:eastAsia="zh-CN"/>
        </w:rPr>
        <w:br/>
      </w:r>
      <w:r w:rsidRPr="00511005">
        <w:rPr>
          <w:rFonts w:ascii="Arial" w:hAnsi="Arial" w:cs="Arial"/>
          <w:szCs w:val="28"/>
          <w:lang w:val="en-US" w:eastAsia="zh-CN"/>
        </w:rPr>
        <w:t>URL</w:t>
      </w:r>
      <w:r w:rsidRPr="00511005">
        <w:rPr>
          <w:rFonts w:ascii="Arial" w:hAnsi="Arial" w:cs="Arial"/>
          <w:szCs w:val="28"/>
          <w:lang w:eastAsia="zh-CN"/>
        </w:rPr>
        <w:t xml:space="preserve">: </w:t>
      </w:r>
      <w:hyperlink r:id="rId1791"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zakon</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laws</w:t>
        </w:r>
        <w:r w:rsidRPr="00511005">
          <w:rPr>
            <w:rFonts w:ascii="Arial" w:hAnsi="Arial" w:cs="Arial"/>
            <w:szCs w:val="28"/>
            <w:lang w:eastAsia="zh-CN"/>
          </w:rPr>
          <w:t>/</w:t>
        </w:r>
        <w:r w:rsidRPr="00511005">
          <w:rPr>
            <w:rFonts w:ascii="Arial" w:hAnsi="Arial" w:cs="Arial"/>
            <w:szCs w:val="28"/>
            <w:lang w:val="en-US" w:eastAsia="zh-CN"/>
          </w:rPr>
          <w:t>show</w:t>
        </w:r>
        <w:r w:rsidRPr="00511005">
          <w:rPr>
            <w:rFonts w:ascii="Arial" w:hAnsi="Arial" w:cs="Arial"/>
            <w:szCs w:val="28"/>
            <w:lang w:eastAsia="zh-CN"/>
          </w:rPr>
          <w:t>/995_154</w:t>
        </w:r>
      </w:hyperlink>
      <w:r w:rsidRPr="00511005">
        <w:rPr>
          <w:rFonts w:ascii="Arial" w:hAnsi="Arial" w:cs="Arial"/>
          <w:szCs w:val="28"/>
          <w:lang w:val="uk-UA" w:eastAsia="zh-CN"/>
        </w:rPr>
        <w:t xml:space="preserve"> (дата звернення: 12.04.2025).</w:t>
      </w:r>
    </w:p>
    <w:p w14:paraId="3A37A72B" w14:textId="7BB104E8" w:rsidR="00200E87" w:rsidRPr="00511005" w:rsidRDefault="00200E87" w:rsidP="003F6A5D">
      <w:pPr>
        <w:widowControl w:val="0"/>
        <w:numPr>
          <w:ilvl w:val="0"/>
          <w:numId w:val="509"/>
        </w:numPr>
        <w:spacing w:line="264" w:lineRule="auto"/>
        <w:jc w:val="left"/>
        <w:rPr>
          <w:rFonts w:ascii="Arial" w:hAnsi="Arial" w:cs="Arial"/>
          <w:szCs w:val="28"/>
          <w:lang w:eastAsia="zh-CN"/>
        </w:rPr>
      </w:pPr>
      <w:r w:rsidRPr="00511005">
        <w:rPr>
          <w:rFonts w:ascii="Arial" w:hAnsi="Arial" w:cs="Arial"/>
          <w:szCs w:val="28"/>
          <w:lang w:eastAsia="zh-CN"/>
        </w:rPr>
        <w:t>Кримінальний кодекс України: Закон України від 5 квітня 2001 р. № 2341-</w:t>
      </w:r>
      <w:r w:rsidRPr="00511005">
        <w:rPr>
          <w:rFonts w:ascii="Arial" w:hAnsi="Arial" w:cs="Arial"/>
          <w:szCs w:val="28"/>
          <w:lang w:val="en-US" w:eastAsia="zh-CN"/>
        </w:rPr>
        <w:t>III</w:t>
      </w:r>
      <w:r w:rsidRPr="00511005">
        <w:rPr>
          <w:rFonts w:ascii="Arial" w:hAnsi="Arial" w:cs="Arial"/>
          <w:szCs w:val="28"/>
          <w:lang w:eastAsia="zh-CN"/>
        </w:rPr>
        <w:t xml:space="preserve">. Відомості </w:t>
      </w:r>
      <w:proofErr w:type="gramStart"/>
      <w:r w:rsidRPr="00511005">
        <w:rPr>
          <w:rFonts w:ascii="Arial" w:hAnsi="Arial" w:cs="Arial"/>
          <w:szCs w:val="28"/>
          <w:lang w:eastAsia="zh-CN"/>
        </w:rPr>
        <w:t>Верховної</w:t>
      </w:r>
      <w:proofErr w:type="gramEnd"/>
      <w:r w:rsidRPr="00511005">
        <w:rPr>
          <w:rFonts w:ascii="Arial" w:hAnsi="Arial" w:cs="Arial"/>
          <w:szCs w:val="28"/>
          <w:lang w:eastAsia="zh-CN"/>
        </w:rPr>
        <w:t xml:space="preserve"> Ради України. </w:t>
      </w:r>
      <w:r w:rsidRPr="00511005">
        <w:rPr>
          <w:rFonts w:ascii="Arial" w:hAnsi="Arial" w:cs="Arial"/>
          <w:szCs w:val="28"/>
          <w:lang w:val="en-US" w:eastAsia="zh-CN"/>
        </w:rPr>
        <w:t>URL</w:t>
      </w:r>
      <w:r w:rsidRPr="00511005">
        <w:rPr>
          <w:rFonts w:ascii="Arial" w:hAnsi="Arial" w:cs="Arial"/>
          <w:szCs w:val="28"/>
          <w:lang w:eastAsia="zh-CN"/>
        </w:rPr>
        <w:t xml:space="preserve">: </w:t>
      </w:r>
      <w:hyperlink r:id="rId1792"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zakon</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laws</w:t>
        </w:r>
        <w:r w:rsidRPr="00511005">
          <w:rPr>
            <w:rFonts w:ascii="Arial" w:hAnsi="Arial" w:cs="Arial"/>
            <w:szCs w:val="28"/>
            <w:lang w:eastAsia="zh-CN"/>
          </w:rPr>
          <w:t>/</w:t>
        </w:r>
        <w:r w:rsidRPr="00511005">
          <w:rPr>
            <w:rFonts w:ascii="Arial" w:hAnsi="Arial" w:cs="Arial"/>
            <w:szCs w:val="28"/>
            <w:lang w:val="en-US" w:eastAsia="zh-CN"/>
          </w:rPr>
          <w:t>show</w:t>
        </w:r>
        <w:r w:rsidRPr="00511005">
          <w:rPr>
            <w:rFonts w:ascii="Arial" w:hAnsi="Arial" w:cs="Arial"/>
            <w:szCs w:val="28"/>
            <w:lang w:eastAsia="zh-CN"/>
          </w:rPr>
          <w:t>/2341-14</w:t>
        </w:r>
      </w:hyperlink>
      <w:r w:rsidR="007B2628" w:rsidRPr="00511005">
        <w:rPr>
          <w:rFonts w:ascii="Arial" w:hAnsi="Arial" w:cs="Arial"/>
          <w:szCs w:val="28"/>
          <w:lang w:val="uk-UA" w:eastAsia="zh-CN"/>
        </w:rPr>
        <w:t xml:space="preserve"> </w:t>
      </w:r>
      <w:r w:rsidRPr="00511005">
        <w:rPr>
          <w:rFonts w:ascii="Arial" w:hAnsi="Arial" w:cs="Arial"/>
          <w:szCs w:val="28"/>
          <w:lang w:val="uk-UA" w:eastAsia="zh-CN"/>
        </w:rPr>
        <w:t>(дата звернення: 12.04.2025).</w:t>
      </w:r>
    </w:p>
    <w:p w14:paraId="0415006E" w14:textId="77777777" w:rsidR="00200E87" w:rsidRPr="00511005" w:rsidRDefault="00200E87" w:rsidP="003F6A5D">
      <w:pPr>
        <w:widowControl w:val="0"/>
        <w:numPr>
          <w:ilvl w:val="0"/>
          <w:numId w:val="509"/>
        </w:numPr>
        <w:spacing w:line="264" w:lineRule="auto"/>
        <w:jc w:val="left"/>
        <w:rPr>
          <w:rFonts w:ascii="Arial" w:hAnsi="Arial" w:cs="Arial"/>
          <w:szCs w:val="28"/>
          <w:lang w:val="en-US" w:eastAsia="zh-CN"/>
        </w:rPr>
      </w:pPr>
      <w:r w:rsidRPr="00511005">
        <w:rPr>
          <w:rFonts w:ascii="Arial" w:hAnsi="Arial" w:cs="Arial"/>
          <w:szCs w:val="28"/>
          <w:lang w:val="uk-UA" w:eastAsia="zh-CN"/>
        </w:rPr>
        <w:t>Ободовський О. В. Військові кримінальні правопорушення: теорія і практика Монографія. Одеса: Юридична література, 2023. 652 с.</w:t>
      </w:r>
    </w:p>
    <w:p w14:paraId="34BE2D57" w14:textId="77777777" w:rsidR="00200E87" w:rsidRPr="00511005" w:rsidRDefault="00200E87" w:rsidP="003F6A5D">
      <w:pPr>
        <w:widowControl w:val="0"/>
        <w:numPr>
          <w:ilvl w:val="0"/>
          <w:numId w:val="509"/>
        </w:numPr>
        <w:spacing w:line="264" w:lineRule="auto"/>
        <w:jc w:val="left"/>
        <w:rPr>
          <w:rFonts w:ascii="Arial" w:hAnsi="Arial" w:cs="Arial"/>
          <w:szCs w:val="28"/>
          <w:lang w:eastAsia="zh-CN"/>
        </w:rPr>
      </w:pPr>
      <w:r w:rsidRPr="00511005">
        <w:rPr>
          <w:rFonts w:ascii="Arial" w:hAnsi="Arial" w:cs="Arial"/>
          <w:szCs w:val="28"/>
          <w:lang w:val="en-US" w:eastAsia="zh-CN"/>
        </w:rPr>
        <w:t xml:space="preserve">По всій строгості воєнного часу: міста-герої стали мішенню мародерів </w:t>
      </w:r>
      <w:r w:rsidRPr="00511005">
        <w:rPr>
          <w:rFonts w:ascii="Arial" w:hAnsi="Arial" w:cs="Arial"/>
          <w:i/>
          <w:iCs/>
          <w:szCs w:val="28"/>
          <w:lang w:val="en-US" w:eastAsia="zh-CN"/>
        </w:rPr>
        <w:t>KN Partners.</w:t>
      </w:r>
      <w:r w:rsidRPr="00511005">
        <w:rPr>
          <w:rFonts w:ascii="Arial" w:hAnsi="Arial" w:cs="Arial"/>
          <w:i/>
          <w:iCs/>
          <w:szCs w:val="28"/>
          <w:lang w:val="uk-UA" w:eastAsia="zh-CN"/>
        </w:rPr>
        <w:t xml:space="preserve"> </w:t>
      </w:r>
      <w:r w:rsidRPr="00511005">
        <w:rPr>
          <w:rFonts w:ascii="Arial" w:hAnsi="Arial" w:cs="Arial"/>
          <w:szCs w:val="28"/>
          <w:lang w:eastAsia="zh-CN"/>
        </w:rPr>
        <w:t xml:space="preserve">2024. </w:t>
      </w:r>
      <w:r w:rsidRPr="00511005">
        <w:rPr>
          <w:rFonts w:ascii="Arial" w:hAnsi="Arial" w:cs="Arial"/>
          <w:szCs w:val="28"/>
          <w:lang w:val="en-US" w:eastAsia="zh-CN"/>
        </w:rPr>
        <w:t>URL</w:t>
      </w:r>
      <w:r w:rsidRPr="00511005">
        <w:rPr>
          <w:rFonts w:ascii="Arial" w:hAnsi="Arial" w:cs="Arial"/>
          <w:szCs w:val="28"/>
          <w:lang w:eastAsia="zh-CN"/>
        </w:rPr>
        <w:t xml:space="preserve">: </w:t>
      </w:r>
      <w:hyperlink r:id="rId1793" w:tgtFrame="_new"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knpartners</w:t>
        </w:r>
        <w:r w:rsidRPr="00511005">
          <w:rPr>
            <w:rFonts w:ascii="Arial" w:hAnsi="Arial" w:cs="Arial"/>
            <w:szCs w:val="28"/>
            <w:lang w:eastAsia="zh-CN"/>
          </w:rPr>
          <w:t>.</w:t>
        </w:r>
        <w:r w:rsidRPr="00511005">
          <w:rPr>
            <w:rFonts w:ascii="Arial" w:hAnsi="Arial" w:cs="Arial"/>
            <w:szCs w:val="28"/>
            <w:lang w:val="en-US" w:eastAsia="zh-CN"/>
          </w:rPr>
          <w:t>com</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po</w:t>
        </w:r>
        <w:r w:rsidRPr="00511005">
          <w:rPr>
            <w:rFonts w:ascii="Arial" w:hAnsi="Arial" w:cs="Arial"/>
            <w:szCs w:val="28"/>
            <w:lang w:eastAsia="zh-CN"/>
          </w:rPr>
          <w:t>-</w:t>
        </w:r>
        <w:r w:rsidRPr="00511005">
          <w:rPr>
            <w:rFonts w:ascii="Arial" w:hAnsi="Arial" w:cs="Arial"/>
            <w:szCs w:val="28"/>
            <w:lang w:val="en-US" w:eastAsia="zh-CN"/>
          </w:rPr>
          <w:t>vsej</w:t>
        </w:r>
        <w:r w:rsidRPr="00511005">
          <w:rPr>
            <w:rFonts w:ascii="Arial" w:hAnsi="Arial" w:cs="Arial"/>
            <w:szCs w:val="28"/>
            <w:lang w:eastAsia="zh-CN"/>
          </w:rPr>
          <w:t>-</w:t>
        </w:r>
        <w:r w:rsidRPr="00511005">
          <w:rPr>
            <w:rFonts w:ascii="Arial" w:hAnsi="Arial" w:cs="Arial"/>
            <w:szCs w:val="28"/>
            <w:lang w:val="en-US" w:eastAsia="zh-CN"/>
          </w:rPr>
          <w:t>strogosti</w:t>
        </w:r>
        <w:r w:rsidRPr="00511005">
          <w:rPr>
            <w:rFonts w:ascii="Arial" w:hAnsi="Arial" w:cs="Arial"/>
            <w:szCs w:val="28"/>
            <w:lang w:eastAsia="zh-CN"/>
          </w:rPr>
          <w:t>-</w:t>
        </w:r>
        <w:r w:rsidRPr="00511005">
          <w:rPr>
            <w:rFonts w:ascii="Arial" w:hAnsi="Arial" w:cs="Arial"/>
            <w:szCs w:val="28"/>
            <w:lang w:val="en-US" w:eastAsia="zh-CN"/>
          </w:rPr>
          <w:lastRenderedPageBreak/>
          <w:t>voennogo</w:t>
        </w:r>
        <w:r w:rsidRPr="00511005">
          <w:rPr>
            <w:rFonts w:ascii="Arial" w:hAnsi="Arial" w:cs="Arial"/>
            <w:szCs w:val="28"/>
            <w:lang w:eastAsia="zh-CN"/>
          </w:rPr>
          <w:t>-</w:t>
        </w:r>
        <w:r w:rsidRPr="00511005">
          <w:rPr>
            <w:rFonts w:ascii="Arial" w:hAnsi="Arial" w:cs="Arial"/>
            <w:szCs w:val="28"/>
            <w:lang w:val="en-US" w:eastAsia="zh-CN"/>
          </w:rPr>
          <w:t>vremeni</w:t>
        </w:r>
        <w:r w:rsidRPr="00511005">
          <w:rPr>
            <w:rFonts w:ascii="Arial" w:hAnsi="Arial" w:cs="Arial"/>
            <w:szCs w:val="28"/>
            <w:lang w:eastAsia="zh-CN"/>
          </w:rPr>
          <w:t>-</w:t>
        </w:r>
        <w:r w:rsidRPr="00511005">
          <w:rPr>
            <w:rFonts w:ascii="Arial" w:hAnsi="Arial" w:cs="Arial"/>
            <w:szCs w:val="28"/>
            <w:lang w:val="en-US" w:eastAsia="zh-CN"/>
          </w:rPr>
          <w:t>goroda</w:t>
        </w:r>
        <w:r w:rsidRPr="00511005">
          <w:rPr>
            <w:rFonts w:ascii="Arial" w:hAnsi="Arial" w:cs="Arial"/>
            <w:szCs w:val="28"/>
            <w:lang w:eastAsia="zh-CN"/>
          </w:rPr>
          <w:t>-</w:t>
        </w:r>
        <w:r w:rsidRPr="00511005">
          <w:rPr>
            <w:rFonts w:ascii="Arial" w:hAnsi="Arial" w:cs="Arial"/>
            <w:szCs w:val="28"/>
            <w:lang w:val="en-US" w:eastAsia="zh-CN"/>
          </w:rPr>
          <w:t>geroi</w:t>
        </w:r>
        <w:r w:rsidRPr="00511005">
          <w:rPr>
            <w:rFonts w:ascii="Arial" w:hAnsi="Arial" w:cs="Arial"/>
            <w:szCs w:val="28"/>
            <w:lang w:eastAsia="zh-CN"/>
          </w:rPr>
          <w:t>-</w:t>
        </w:r>
        <w:r w:rsidRPr="00511005">
          <w:rPr>
            <w:rFonts w:ascii="Arial" w:hAnsi="Arial" w:cs="Arial"/>
            <w:szCs w:val="28"/>
            <w:lang w:val="en-US" w:eastAsia="zh-CN"/>
          </w:rPr>
          <w:t>stali</w:t>
        </w:r>
        <w:r w:rsidRPr="00511005">
          <w:rPr>
            <w:rFonts w:ascii="Arial" w:hAnsi="Arial" w:cs="Arial"/>
            <w:szCs w:val="28"/>
            <w:lang w:eastAsia="zh-CN"/>
          </w:rPr>
          <w:t>-</w:t>
        </w:r>
        <w:r w:rsidRPr="00511005">
          <w:rPr>
            <w:rFonts w:ascii="Arial" w:hAnsi="Arial" w:cs="Arial"/>
            <w:szCs w:val="28"/>
            <w:lang w:val="en-US" w:eastAsia="zh-CN"/>
          </w:rPr>
          <w:t>mishenju</w:t>
        </w:r>
        <w:r w:rsidRPr="00511005">
          <w:rPr>
            <w:rFonts w:ascii="Arial" w:hAnsi="Arial" w:cs="Arial"/>
            <w:szCs w:val="28"/>
            <w:lang w:eastAsia="zh-CN"/>
          </w:rPr>
          <w:t>-</w:t>
        </w:r>
        <w:r w:rsidRPr="00511005">
          <w:rPr>
            <w:rFonts w:ascii="Arial" w:hAnsi="Arial" w:cs="Arial"/>
            <w:szCs w:val="28"/>
            <w:lang w:val="en-US" w:eastAsia="zh-CN"/>
          </w:rPr>
          <w:t>maroderov</w:t>
        </w:r>
        <w:r w:rsidRPr="00511005">
          <w:rPr>
            <w:rFonts w:ascii="Arial" w:hAnsi="Arial" w:cs="Arial"/>
            <w:szCs w:val="28"/>
            <w:lang w:eastAsia="zh-CN"/>
          </w:rPr>
          <w:t>/</w:t>
        </w:r>
      </w:hyperlink>
      <w:r w:rsidRPr="00511005">
        <w:rPr>
          <w:rFonts w:ascii="Arial" w:hAnsi="Arial" w:cs="Arial"/>
          <w:szCs w:val="28"/>
          <w:lang w:val="uk-UA" w:eastAsia="zh-CN"/>
        </w:rPr>
        <w:t xml:space="preserve"> (дата звернення: 12.04.2025)</w:t>
      </w:r>
    </w:p>
    <w:p w14:paraId="7EDE30FA" w14:textId="77777777" w:rsidR="00200E87" w:rsidRPr="00511005" w:rsidRDefault="00200E87" w:rsidP="003F6A5D">
      <w:pPr>
        <w:widowControl w:val="0"/>
        <w:numPr>
          <w:ilvl w:val="0"/>
          <w:numId w:val="509"/>
        </w:numPr>
        <w:spacing w:line="264" w:lineRule="auto"/>
        <w:jc w:val="left"/>
        <w:rPr>
          <w:rFonts w:ascii="Arial" w:hAnsi="Arial" w:cs="Arial"/>
          <w:szCs w:val="28"/>
          <w:lang w:eastAsia="zh-CN"/>
        </w:rPr>
      </w:pPr>
      <w:r w:rsidRPr="00511005">
        <w:rPr>
          <w:rFonts w:ascii="Arial" w:hAnsi="Arial" w:cs="Arial"/>
          <w:szCs w:val="28"/>
          <w:lang w:eastAsia="zh-CN"/>
        </w:rPr>
        <w:t xml:space="preserve">Пояснювальна записка до проєкту Закону України «Про внесення змін до Кримінального кодексу України щодо посилення відповідальності за мародерство» </w:t>
      </w:r>
      <w:r w:rsidRPr="00511005">
        <w:rPr>
          <w:rFonts w:ascii="Arial" w:hAnsi="Arial" w:cs="Arial"/>
          <w:szCs w:val="28"/>
          <w:lang w:val="en-US" w:eastAsia="zh-CN"/>
        </w:rPr>
        <w:t>URL</w:t>
      </w:r>
      <w:r w:rsidRPr="00511005">
        <w:rPr>
          <w:rFonts w:ascii="Arial" w:hAnsi="Arial" w:cs="Arial"/>
          <w:szCs w:val="28"/>
          <w:lang w:eastAsia="zh-CN"/>
        </w:rPr>
        <w:t xml:space="preserve">: </w:t>
      </w:r>
      <w:hyperlink r:id="rId1794"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itd</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billInfo</w:t>
        </w:r>
        <w:r w:rsidRPr="00511005">
          <w:rPr>
            <w:rFonts w:ascii="Arial" w:hAnsi="Arial" w:cs="Arial"/>
            <w:szCs w:val="28"/>
            <w:lang w:eastAsia="zh-CN"/>
          </w:rPr>
          <w:t>/</w:t>
        </w:r>
        <w:r w:rsidRPr="00511005">
          <w:rPr>
            <w:rFonts w:ascii="Arial" w:hAnsi="Arial" w:cs="Arial"/>
            <w:szCs w:val="28"/>
            <w:lang w:val="en-US" w:eastAsia="zh-CN"/>
          </w:rPr>
          <w:t>Bills</w:t>
        </w:r>
        <w:r w:rsidRPr="00511005">
          <w:rPr>
            <w:rFonts w:ascii="Arial" w:hAnsi="Arial" w:cs="Arial"/>
            <w:szCs w:val="28"/>
            <w:lang w:eastAsia="zh-CN"/>
          </w:rPr>
          <w:t>/</w:t>
        </w:r>
        <w:r w:rsidRPr="00511005">
          <w:rPr>
            <w:rFonts w:ascii="Arial" w:hAnsi="Arial" w:cs="Arial"/>
            <w:szCs w:val="28"/>
            <w:lang w:val="en-US" w:eastAsia="zh-CN"/>
          </w:rPr>
          <w:t>Card</w:t>
        </w:r>
        <w:r w:rsidRPr="00511005">
          <w:rPr>
            <w:rFonts w:ascii="Arial" w:hAnsi="Arial" w:cs="Arial"/>
            <w:szCs w:val="28"/>
            <w:lang w:eastAsia="zh-CN"/>
          </w:rPr>
          <w:t>/39170</w:t>
        </w:r>
      </w:hyperlink>
      <w:r w:rsidRPr="00511005">
        <w:rPr>
          <w:rFonts w:ascii="Arial" w:hAnsi="Arial" w:cs="Arial"/>
          <w:szCs w:val="28"/>
          <w:lang w:val="uk-UA" w:eastAsia="zh-CN"/>
        </w:rPr>
        <w:t xml:space="preserve"> (дата звернення: 12.04.2025).</w:t>
      </w:r>
    </w:p>
    <w:p w14:paraId="2D09E6E0" w14:textId="5A14DABA" w:rsidR="00200E87" w:rsidRPr="00511005" w:rsidRDefault="00200E87" w:rsidP="003F6A5D">
      <w:pPr>
        <w:widowControl w:val="0"/>
        <w:numPr>
          <w:ilvl w:val="0"/>
          <w:numId w:val="509"/>
        </w:numPr>
        <w:spacing w:line="264" w:lineRule="auto"/>
        <w:jc w:val="left"/>
        <w:rPr>
          <w:rFonts w:ascii="Arial" w:hAnsi="Arial" w:cs="Arial"/>
          <w:szCs w:val="28"/>
          <w:lang w:eastAsia="zh-CN"/>
        </w:rPr>
      </w:pPr>
      <w:r w:rsidRPr="00511005">
        <w:rPr>
          <w:rFonts w:ascii="Arial" w:hAnsi="Arial" w:cs="Arial"/>
          <w:szCs w:val="28"/>
          <w:lang w:eastAsia="zh-CN"/>
        </w:rPr>
        <w:t>Про затвердження Указу Президента України "Про введення воєнного стану в Україні" : Закон України № 2117-</w:t>
      </w:r>
      <w:r w:rsidRPr="00511005">
        <w:rPr>
          <w:rFonts w:ascii="Arial" w:hAnsi="Arial" w:cs="Arial"/>
          <w:szCs w:val="28"/>
          <w:lang w:val="en-US" w:eastAsia="zh-CN"/>
        </w:rPr>
        <w:t>IX</w:t>
      </w:r>
      <w:r w:rsidRPr="00511005">
        <w:rPr>
          <w:rFonts w:ascii="Arial" w:hAnsi="Arial" w:cs="Arial"/>
          <w:szCs w:val="28"/>
          <w:lang w:eastAsia="zh-CN"/>
        </w:rPr>
        <w:t xml:space="preserve"> від 24.02.2022 р. </w:t>
      </w:r>
      <w:r w:rsidRPr="00511005">
        <w:rPr>
          <w:rFonts w:ascii="Arial" w:hAnsi="Arial" w:cs="Arial"/>
          <w:szCs w:val="28"/>
          <w:lang w:val="en-US" w:eastAsia="zh-CN"/>
        </w:rPr>
        <w:t>URL</w:t>
      </w:r>
      <w:r w:rsidRPr="00511005">
        <w:rPr>
          <w:rFonts w:ascii="Arial" w:hAnsi="Arial" w:cs="Arial"/>
          <w:szCs w:val="28"/>
          <w:lang w:eastAsia="zh-CN"/>
        </w:rPr>
        <w:t>:</w:t>
      </w:r>
      <w:hyperlink r:id="rId1795" w:anchor="Text" w:tgtFrame="_new"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zakon</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laws</w:t>
        </w:r>
        <w:r w:rsidRPr="00511005">
          <w:rPr>
            <w:rFonts w:ascii="Arial" w:hAnsi="Arial" w:cs="Arial"/>
            <w:szCs w:val="28"/>
            <w:lang w:eastAsia="zh-CN"/>
          </w:rPr>
          <w:t>/</w:t>
        </w:r>
        <w:r w:rsidRPr="00511005">
          <w:rPr>
            <w:rFonts w:ascii="Arial" w:hAnsi="Arial" w:cs="Arial"/>
            <w:szCs w:val="28"/>
            <w:lang w:val="en-US" w:eastAsia="zh-CN"/>
          </w:rPr>
          <w:t>show</w:t>
        </w:r>
        <w:r w:rsidRPr="00511005">
          <w:rPr>
            <w:rFonts w:ascii="Arial" w:hAnsi="Arial" w:cs="Arial"/>
            <w:szCs w:val="28"/>
            <w:lang w:eastAsia="zh-CN"/>
          </w:rPr>
          <w:t>/2117-</w:t>
        </w:r>
        <w:r w:rsidRPr="00511005">
          <w:rPr>
            <w:rFonts w:ascii="Arial" w:hAnsi="Arial" w:cs="Arial"/>
            <w:szCs w:val="28"/>
            <w:lang w:val="en-US" w:eastAsia="zh-CN"/>
          </w:rPr>
          <w:t>IX</w:t>
        </w:r>
        <w:r w:rsidRPr="00511005">
          <w:rPr>
            <w:rFonts w:ascii="Arial" w:hAnsi="Arial" w:cs="Arial"/>
            <w:szCs w:val="28"/>
            <w:lang w:eastAsia="zh-CN"/>
          </w:rPr>
          <w:t>#</w:t>
        </w:r>
        <w:r w:rsidRPr="00511005">
          <w:rPr>
            <w:rFonts w:ascii="Arial" w:hAnsi="Arial" w:cs="Arial"/>
            <w:szCs w:val="28"/>
            <w:lang w:val="en-US" w:eastAsia="zh-CN"/>
          </w:rPr>
          <w:t>Text</w:t>
        </w:r>
      </w:hyperlink>
      <w:r w:rsidR="007B2628" w:rsidRPr="00511005">
        <w:rPr>
          <w:rFonts w:ascii="Arial" w:hAnsi="Arial" w:cs="Arial"/>
          <w:szCs w:val="28"/>
          <w:lang w:val="uk-UA" w:eastAsia="zh-CN"/>
        </w:rPr>
        <w:t xml:space="preserve"> </w:t>
      </w:r>
      <w:r w:rsidRPr="00511005">
        <w:rPr>
          <w:rFonts w:ascii="Arial" w:hAnsi="Arial" w:cs="Arial"/>
          <w:szCs w:val="28"/>
          <w:lang w:val="uk-UA" w:eastAsia="zh-CN"/>
        </w:rPr>
        <w:t>(дата звернення: 12.04.2025).</w:t>
      </w:r>
    </w:p>
    <w:p w14:paraId="6FEAE32F" w14:textId="77777777" w:rsidR="00200E87" w:rsidRPr="00511005" w:rsidRDefault="00200E87" w:rsidP="003F6A5D">
      <w:pPr>
        <w:widowControl w:val="0"/>
        <w:numPr>
          <w:ilvl w:val="0"/>
          <w:numId w:val="509"/>
        </w:numPr>
        <w:spacing w:line="264" w:lineRule="auto"/>
        <w:jc w:val="left"/>
        <w:rPr>
          <w:rFonts w:ascii="Arial" w:hAnsi="Arial" w:cs="Arial"/>
          <w:szCs w:val="28"/>
          <w:lang w:eastAsia="zh-CN"/>
        </w:rPr>
      </w:pPr>
      <w:r w:rsidRPr="00511005">
        <w:rPr>
          <w:rFonts w:ascii="Arial" w:hAnsi="Arial" w:cs="Arial"/>
          <w:szCs w:val="28"/>
          <w:lang w:eastAsia="zh-CN"/>
        </w:rPr>
        <w:t>Римський статут Міжнародного кримінального суду</w:t>
      </w:r>
      <w:r w:rsidRPr="00511005">
        <w:rPr>
          <w:rFonts w:ascii="Arial" w:hAnsi="Arial" w:cs="Arial"/>
          <w:szCs w:val="28"/>
          <w:lang w:val="uk-UA" w:eastAsia="zh-CN"/>
        </w:rPr>
        <w:t xml:space="preserve"> </w:t>
      </w:r>
      <w:r w:rsidRPr="00511005">
        <w:rPr>
          <w:rFonts w:ascii="Arial" w:hAnsi="Arial" w:cs="Arial"/>
          <w:szCs w:val="28"/>
          <w:lang w:eastAsia="zh-CN"/>
        </w:rPr>
        <w:t>Римський статут Міжнародного кримінального суду від 17.07.1998 р.</w:t>
      </w:r>
      <w:r w:rsidRPr="00511005">
        <w:rPr>
          <w:rFonts w:ascii="Arial" w:hAnsi="Arial" w:cs="Arial"/>
          <w:szCs w:val="28"/>
          <w:lang w:eastAsia="zh-CN"/>
        </w:rPr>
        <w:br/>
      </w:r>
      <w:r w:rsidRPr="00511005">
        <w:rPr>
          <w:rFonts w:ascii="Arial" w:hAnsi="Arial" w:cs="Arial"/>
          <w:szCs w:val="28"/>
          <w:lang w:val="en-US" w:eastAsia="zh-CN"/>
        </w:rPr>
        <w:t>URL</w:t>
      </w:r>
      <w:r w:rsidRPr="00511005">
        <w:rPr>
          <w:rFonts w:ascii="Arial" w:hAnsi="Arial" w:cs="Arial"/>
          <w:szCs w:val="28"/>
          <w:lang w:eastAsia="zh-CN"/>
        </w:rPr>
        <w:t xml:space="preserve">: </w:t>
      </w:r>
      <w:hyperlink r:id="rId1796"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zakon</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laws</w:t>
        </w:r>
        <w:r w:rsidRPr="00511005">
          <w:rPr>
            <w:rFonts w:ascii="Arial" w:hAnsi="Arial" w:cs="Arial"/>
            <w:szCs w:val="28"/>
            <w:lang w:eastAsia="zh-CN"/>
          </w:rPr>
          <w:t>/</w:t>
        </w:r>
        <w:r w:rsidRPr="00511005">
          <w:rPr>
            <w:rFonts w:ascii="Arial" w:hAnsi="Arial" w:cs="Arial"/>
            <w:szCs w:val="28"/>
            <w:lang w:val="en-US" w:eastAsia="zh-CN"/>
          </w:rPr>
          <w:t>show</w:t>
        </w:r>
        <w:r w:rsidRPr="00511005">
          <w:rPr>
            <w:rFonts w:ascii="Arial" w:hAnsi="Arial" w:cs="Arial"/>
            <w:szCs w:val="28"/>
            <w:lang w:eastAsia="zh-CN"/>
          </w:rPr>
          <w:t>/995_588</w:t>
        </w:r>
      </w:hyperlink>
      <w:r w:rsidRPr="00511005">
        <w:rPr>
          <w:rFonts w:ascii="Arial" w:hAnsi="Arial" w:cs="Arial"/>
          <w:szCs w:val="28"/>
          <w:lang w:val="uk-UA" w:eastAsia="zh-CN"/>
        </w:rPr>
        <w:t xml:space="preserve"> (дата звернення: 12.04.2025).</w:t>
      </w:r>
    </w:p>
    <w:p w14:paraId="211A6AAD" w14:textId="77777777" w:rsidR="00200E87" w:rsidRPr="00511005" w:rsidRDefault="00200E87" w:rsidP="003F6A5D">
      <w:pPr>
        <w:widowControl w:val="0"/>
        <w:numPr>
          <w:ilvl w:val="0"/>
          <w:numId w:val="509"/>
        </w:numPr>
        <w:spacing w:line="264" w:lineRule="auto"/>
        <w:jc w:val="left"/>
        <w:rPr>
          <w:rFonts w:ascii="Arial" w:hAnsi="Arial" w:cs="Arial"/>
          <w:szCs w:val="28"/>
          <w:lang w:eastAsia="zh-CN"/>
        </w:rPr>
      </w:pPr>
      <w:r w:rsidRPr="00511005">
        <w:rPr>
          <w:rFonts w:ascii="Arial" w:hAnsi="Arial" w:cs="Arial"/>
          <w:szCs w:val="28"/>
          <w:lang w:val="en-US" w:eastAsia="zh-CN"/>
        </w:rPr>
        <w:t xml:space="preserve">Miller Law Firm. Допис від 28 березня 2022 р. </w:t>
      </w:r>
      <w:r w:rsidRPr="00511005">
        <w:rPr>
          <w:rFonts w:ascii="Arial" w:hAnsi="Arial" w:cs="Arial"/>
          <w:i/>
          <w:iCs/>
          <w:szCs w:val="28"/>
          <w:lang w:val="en-US" w:eastAsia="zh-CN"/>
        </w:rPr>
        <w:t xml:space="preserve">Facebook. </w:t>
      </w:r>
      <w:r w:rsidRPr="00511005">
        <w:rPr>
          <w:rFonts w:ascii="Arial" w:hAnsi="Arial" w:cs="Arial"/>
          <w:szCs w:val="28"/>
          <w:lang w:val="en-US" w:eastAsia="zh-CN"/>
        </w:rPr>
        <w:t>URL</w:t>
      </w:r>
      <w:r w:rsidRPr="00511005">
        <w:rPr>
          <w:rFonts w:ascii="Arial" w:hAnsi="Arial" w:cs="Arial"/>
          <w:szCs w:val="28"/>
          <w:lang w:eastAsia="zh-CN"/>
        </w:rPr>
        <w:t>:</w:t>
      </w:r>
      <w:hyperlink r:id="rId1797" w:tgtFrame="_new"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www</w:t>
        </w:r>
        <w:r w:rsidRPr="00511005">
          <w:rPr>
            <w:rFonts w:ascii="Arial" w:hAnsi="Arial" w:cs="Arial"/>
            <w:szCs w:val="28"/>
            <w:lang w:eastAsia="zh-CN"/>
          </w:rPr>
          <w:t>.</w:t>
        </w:r>
        <w:r w:rsidRPr="00511005">
          <w:rPr>
            <w:rFonts w:ascii="Arial" w:hAnsi="Arial" w:cs="Arial"/>
            <w:szCs w:val="28"/>
            <w:lang w:val="en-US" w:eastAsia="zh-CN"/>
          </w:rPr>
          <w:t>facebook</w:t>
        </w:r>
        <w:r w:rsidRPr="00511005">
          <w:rPr>
            <w:rFonts w:ascii="Arial" w:hAnsi="Arial" w:cs="Arial"/>
            <w:szCs w:val="28"/>
            <w:lang w:eastAsia="zh-CN"/>
          </w:rPr>
          <w:t>.</w:t>
        </w:r>
        <w:r w:rsidRPr="00511005">
          <w:rPr>
            <w:rFonts w:ascii="Arial" w:hAnsi="Arial" w:cs="Arial"/>
            <w:szCs w:val="28"/>
            <w:lang w:val="en-US" w:eastAsia="zh-CN"/>
          </w:rPr>
          <w:t>com</w:t>
        </w:r>
        <w:r w:rsidRPr="00511005">
          <w:rPr>
            <w:rFonts w:ascii="Arial" w:hAnsi="Arial" w:cs="Arial"/>
            <w:szCs w:val="28"/>
            <w:lang w:eastAsia="zh-CN"/>
          </w:rPr>
          <w:t>/</w:t>
        </w:r>
        <w:r w:rsidRPr="00511005">
          <w:rPr>
            <w:rFonts w:ascii="Arial" w:hAnsi="Arial" w:cs="Arial"/>
            <w:szCs w:val="28"/>
            <w:lang w:val="en-US" w:eastAsia="zh-CN"/>
          </w:rPr>
          <w:t>millerlawfirm</w:t>
        </w:r>
        <w:r w:rsidRPr="00511005">
          <w:rPr>
            <w:rFonts w:ascii="Arial" w:hAnsi="Arial" w:cs="Arial"/>
            <w:szCs w:val="28"/>
            <w:lang w:eastAsia="zh-CN"/>
          </w:rPr>
          <w:t>/</w:t>
        </w:r>
        <w:r w:rsidRPr="00511005">
          <w:rPr>
            <w:rFonts w:ascii="Arial" w:hAnsi="Arial" w:cs="Arial"/>
            <w:szCs w:val="28"/>
            <w:lang w:val="en-US" w:eastAsia="zh-CN"/>
          </w:rPr>
          <w:t>posts</w:t>
        </w:r>
        <w:r w:rsidRPr="00511005">
          <w:rPr>
            <w:rFonts w:ascii="Arial" w:hAnsi="Arial" w:cs="Arial"/>
            <w:szCs w:val="28"/>
            <w:lang w:eastAsia="zh-CN"/>
          </w:rPr>
          <w:t>/4973752186045192</w:t>
        </w:r>
      </w:hyperlink>
      <w:r w:rsidRPr="00511005">
        <w:rPr>
          <w:rFonts w:ascii="Arial" w:hAnsi="Arial" w:cs="Arial"/>
          <w:szCs w:val="28"/>
          <w:lang w:val="uk-UA" w:eastAsia="zh-CN"/>
        </w:rPr>
        <w:t xml:space="preserve"> (дата звернення: 12.04.2025).</w:t>
      </w:r>
    </w:p>
    <w:p w14:paraId="0D7B3835" w14:textId="77777777" w:rsidR="00200E87" w:rsidRPr="00511005" w:rsidRDefault="00200E87" w:rsidP="003A292D">
      <w:pPr>
        <w:spacing w:line="264" w:lineRule="auto"/>
        <w:ind w:firstLine="0"/>
        <w:rPr>
          <w:rFonts w:ascii="Arial" w:hAnsi="Arial" w:cs="Arial"/>
          <w:b/>
          <w:bCs/>
          <w:szCs w:val="28"/>
          <w:lang w:eastAsia="zh-CN"/>
        </w:rPr>
      </w:pPr>
    </w:p>
    <w:p w14:paraId="4B27F610" w14:textId="35B98650" w:rsidR="00200E87" w:rsidRPr="00511005" w:rsidRDefault="007B2628" w:rsidP="003A292D">
      <w:pPr>
        <w:spacing w:line="264" w:lineRule="auto"/>
        <w:ind w:firstLine="0"/>
        <w:rPr>
          <w:rFonts w:ascii="Arial" w:hAnsi="Arial" w:cs="Arial"/>
          <w:szCs w:val="28"/>
          <w:lang w:val="uk-UA" w:eastAsia="zh-CN"/>
        </w:rPr>
      </w:pPr>
      <w:r w:rsidRPr="00511005">
        <w:rPr>
          <w:rFonts w:ascii="Arial" w:hAnsi="Arial" w:cs="Arial"/>
          <w:b/>
          <w:bCs/>
          <w:i/>
          <w:szCs w:val="28"/>
          <w:lang w:eastAsia="zh-CN"/>
        </w:rPr>
        <w:t xml:space="preserve">Ключові слова: </w:t>
      </w:r>
      <w:r w:rsidR="00200E87" w:rsidRPr="00511005">
        <w:rPr>
          <w:rFonts w:ascii="Arial" w:hAnsi="Arial" w:cs="Arial"/>
          <w:szCs w:val="28"/>
          <w:lang w:eastAsia="zh-CN"/>
        </w:rPr>
        <w:t xml:space="preserve">мародерство, воєнний стан, </w:t>
      </w:r>
      <w:r w:rsidR="00200E87" w:rsidRPr="00511005">
        <w:rPr>
          <w:rFonts w:ascii="Arial" w:hAnsi="Arial" w:cs="Arial"/>
          <w:szCs w:val="28"/>
          <w:lang w:val="uk-UA" w:eastAsia="zh-CN"/>
        </w:rPr>
        <w:t>воєнні злочини</w:t>
      </w:r>
      <w:r w:rsidR="00200E87" w:rsidRPr="00511005">
        <w:rPr>
          <w:rFonts w:ascii="Arial" w:hAnsi="Arial" w:cs="Arial"/>
          <w:szCs w:val="28"/>
          <w:lang w:eastAsia="zh-CN"/>
        </w:rPr>
        <w:t>, військові злочини, Римський статут, Женевські конвенції, Гаазькі конвенції, прав</w:t>
      </w:r>
      <w:r w:rsidR="00200E87" w:rsidRPr="00511005">
        <w:rPr>
          <w:rFonts w:ascii="Arial" w:hAnsi="Arial" w:cs="Arial"/>
          <w:szCs w:val="28"/>
          <w:lang w:val="uk-UA" w:eastAsia="zh-CN"/>
        </w:rPr>
        <w:t>а цивільного населення.</w:t>
      </w:r>
    </w:p>
    <w:p w14:paraId="57178F1D" w14:textId="1D2CA760" w:rsidR="00200E87" w:rsidRPr="00511005" w:rsidRDefault="007B2628" w:rsidP="003A292D">
      <w:pPr>
        <w:keepNext/>
        <w:widowControl w:val="0"/>
        <w:spacing w:line="264" w:lineRule="auto"/>
        <w:ind w:firstLine="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Key words: </w:t>
      </w:r>
      <w:r w:rsidR="00200E87" w:rsidRPr="00511005">
        <w:rPr>
          <w:rFonts w:ascii="Arial" w:eastAsia="Times New Roman" w:hAnsi="Arial" w:cs="Arial"/>
          <w:szCs w:val="28"/>
          <w:lang w:val="uk-UA" w:eastAsia="uk-UA"/>
        </w:rPr>
        <w:t>looting, martial law, war crimes, war crimes, Rome Statute, Geneva Conventions, Hague Conventions, rights of the civilian population.</w:t>
      </w:r>
    </w:p>
    <w:p w14:paraId="3DDA3A6E" w14:textId="77777777" w:rsidR="00200E87" w:rsidRPr="00511005" w:rsidRDefault="00200E87" w:rsidP="003A292D">
      <w:pPr>
        <w:keepNext/>
        <w:widowControl w:val="0"/>
        <w:spacing w:line="264" w:lineRule="auto"/>
        <w:ind w:firstLine="0"/>
        <w:rPr>
          <w:rFonts w:ascii="Arial" w:eastAsia="Times New Roman" w:hAnsi="Arial" w:cs="Arial"/>
          <w:bCs/>
          <w:i/>
          <w:iCs/>
          <w:szCs w:val="28"/>
          <w:lang w:val="uk-UA" w:eastAsia="uk-UA"/>
        </w:rPr>
      </w:pPr>
    </w:p>
    <w:p w14:paraId="69C9946A" w14:textId="6A859BCB" w:rsidR="007B2628" w:rsidRPr="00511005" w:rsidRDefault="007B2628" w:rsidP="003A292D">
      <w:pPr>
        <w:keepNext/>
        <w:widowControl w:val="0"/>
        <w:spacing w:line="264" w:lineRule="auto"/>
        <w:ind w:firstLine="0"/>
        <w:rPr>
          <w:rFonts w:ascii="Arial" w:eastAsia="Times New Roman" w:hAnsi="Arial" w:cs="Arial"/>
          <w:bCs/>
          <w:i/>
          <w:iCs/>
          <w:szCs w:val="28"/>
          <w:lang w:val="uk-UA" w:eastAsia="uk-UA"/>
        </w:rPr>
      </w:pPr>
      <w:r w:rsidRPr="00511005">
        <w:rPr>
          <w:rFonts w:ascii="Arial" w:eastAsia="Times New Roman" w:hAnsi="Arial" w:cs="Arial"/>
          <w:b/>
          <w:bCs/>
          <w:i/>
          <w:iCs/>
          <w:szCs w:val="28"/>
          <w:lang w:val="uk-UA" w:eastAsia="uk-UA"/>
        </w:rPr>
        <w:t xml:space="preserve">Науковий керівник: </w:t>
      </w:r>
      <w:r w:rsidR="00200E87" w:rsidRPr="00511005">
        <w:rPr>
          <w:rFonts w:ascii="Arial" w:eastAsia="Times New Roman" w:hAnsi="Arial" w:cs="Arial"/>
          <w:bCs/>
          <w:i/>
          <w:iCs/>
          <w:szCs w:val="28"/>
          <w:lang w:val="uk-UA" w:eastAsia="uk-UA"/>
        </w:rPr>
        <w:t>д.ю.н., професор Коломієць Ю..Ю.</w:t>
      </w:r>
    </w:p>
    <w:p w14:paraId="419E0087" w14:textId="0E804451" w:rsidR="00200E87" w:rsidRPr="00511005" w:rsidRDefault="00200E87" w:rsidP="003A292D">
      <w:pPr>
        <w:widowControl w:val="0"/>
        <w:spacing w:line="264" w:lineRule="auto"/>
        <w:ind w:firstLine="0"/>
        <w:rPr>
          <w:rFonts w:ascii="Arial" w:hAnsi="Arial" w:cs="Arial"/>
          <w:szCs w:val="28"/>
          <w:lang w:val="uk-UA" w:eastAsia="uk-UA"/>
        </w:rPr>
      </w:pPr>
    </w:p>
    <w:p w14:paraId="6586FF9A" w14:textId="77777777" w:rsidR="00200E87" w:rsidRPr="00511005" w:rsidRDefault="00200E87" w:rsidP="003A292D">
      <w:pPr>
        <w:spacing w:line="264" w:lineRule="auto"/>
        <w:ind w:firstLine="0"/>
        <w:jc w:val="center"/>
        <w:rPr>
          <w:rFonts w:ascii="Arial" w:eastAsia="Calibri" w:hAnsi="Arial" w:cs="Arial"/>
          <w:b/>
          <w:szCs w:val="28"/>
          <w:lang w:val="uk-UA"/>
        </w:rPr>
      </w:pPr>
    </w:p>
    <w:p w14:paraId="13F53E8C" w14:textId="77777777" w:rsidR="00200E87" w:rsidRPr="00511005" w:rsidRDefault="00200E87"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Гуменюк Анастасія Олегівна</w:t>
      </w:r>
    </w:p>
    <w:p w14:paraId="426D3C34" w14:textId="7C302F77" w:rsidR="00200E8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2-го курсу факультету адвокатури та антикорупційної діяльності</w:t>
      </w:r>
      <w:r w:rsidR="00200E87"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73AB6B55" w14:textId="77777777" w:rsidR="00200E87" w:rsidRPr="00511005" w:rsidRDefault="00200E87" w:rsidP="003A292D">
      <w:pPr>
        <w:spacing w:line="264" w:lineRule="auto"/>
        <w:ind w:firstLine="0"/>
        <w:jc w:val="center"/>
        <w:rPr>
          <w:rFonts w:ascii="Arial" w:eastAsia="Times New Roman" w:hAnsi="Arial" w:cs="Arial"/>
          <w:szCs w:val="28"/>
          <w:lang w:val="uk-UA" w:eastAsia="ru-RU"/>
        </w:rPr>
      </w:pPr>
    </w:p>
    <w:p w14:paraId="124190EC" w14:textId="77777777" w:rsidR="00200E87" w:rsidRPr="00511005" w:rsidRDefault="00200E87" w:rsidP="003A292D">
      <w:pPr>
        <w:keepNext/>
        <w:spacing w:line="264" w:lineRule="auto"/>
        <w:ind w:firstLine="0"/>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СИСТЕМА ПОКАРАНЬ ЩОДО НЕПОВНОЛІТНІХ</w:t>
      </w:r>
    </w:p>
    <w:p w14:paraId="786156B8" w14:textId="77777777" w:rsidR="00200E87" w:rsidRPr="00511005" w:rsidRDefault="00200E87" w:rsidP="003A292D">
      <w:pPr>
        <w:keepNext/>
        <w:spacing w:line="264" w:lineRule="auto"/>
        <w:ind w:firstLine="0"/>
        <w:jc w:val="center"/>
        <w:rPr>
          <w:rFonts w:ascii="Arial" w:eastAsia="Times New Roman" w:hAnsi="Arial" w:cs="Arial"/>
          <w:b/>
          <w:bCs/>
          <w:iCs/>
          <w:szCs w:val="28"/>
          <w:lang w:val="uk-UA" w:eastAsia="ru-RU"/>
        </w:rPr>
      </w:pPr>
    </w:p>
    <w:p w14:paraId="4948B865"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Проблема кримінальної відповідальності та системи покарань щодо неповнолітніх є однією з ключових у кримінальному праві України. Оскільки неповнолітні правопорушники є особливою категорією осіб, їх покарання має ґрунтуватися не лише на принципах справедливості та законності, а й на врахуванні соціально-психологічних особливостей розвитку.</w:t>
      </w:r>
    </w:p>
    <w:p w14:paraId="05D6D5BC"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 xml:space="preserve">Система покарання неповнолітніх у кримінальному праві є складною та багатогранною сферою, яка потребує особливої уваги з боку законодавця, судової практики та органів виконання покарань. Її специфіка зумовлена не </w:t>
      </w:r>
      <w:r w:rsidRPr="00511005">
        <w:rPr>
          <w:rFonts w:ascii="Arial" w:eastAsia="Times New Roman" w:hAnsi="Arial" w:cs="Arial"/>
          <w:iCs/>
          <w:szCs w:val="28"/>
          <w:lang w:val="uk-UA" w:eastAsia="ru-RU"/>
        </w:rPr>
        <w:lastRenderedPageBreak/>
        <w:t>лише віковими особливостями суб’єктів кримінального правопорушення, а й необхідністю поєднання правозастосовних інструментів з педагогічним, соціальним та психологічним підходами. На сьогодні система покарань щодо неповнолітніх в Україні перебуває на етапі активного реформування. Її основна проблема полягає у тому, що чинна кримінально-правова практика досі значною мірою орієнтується на традиційні каральні підходи, які не враховують вікову специфіку, психологічні особливості та потенціал ресоціалізації неповнолітніх правопорушників. Така ситуація суперечить як міжнародним стандартам [1], [2], так і положенням національного законодавства [3].</w:t>
      </w:r>
    </w:p>
    <w:p w14:paraId="1DD23503"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Актуальність теми зумовлена необхідністю вдосконалення механізмів кримінальної відповідальності неповнолітніх, підвищення ефективності альтернативних санкцій та гармонізації національного законодавства з міжнародними стандартами. Вивчення сучасного стану та перспектив розвитку системи покарань сприятиме створенню ефективної моделі ювенальної юстиції, що забезпечить не лише правопорядок, а й успішну соціальну інтеграцію неповнолітніх правопорушників.</w:t>
      </w:r>
    </w:p>
    <w:p w14:paraId="244871E8"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 xml:space="preserve">Ст. 97 та ст. 102-105 Кримінального кодексу України передбачають спеціальну систему покарань для неповнолітніх, серед яких переважають не пов’язані з позбавленням волі покарання [5]. </w:t>
      </w:r>
    </w:p>
    <w:p w14:paraId="0A46A581"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Зокрема, визначається, що штраф є мало ефективним покаранням ніж громадські роботи, це зумовлено психологією неповнолітніх. Виникають сумніви щодо того, наскільки покарання у вигляді штрафу змусить засудженого неповнолітнього дійсно пошкодувати про вчинене правопорушення.</w:t>
      </w:r>
    </w:p>
    <w:p w14:paraId="5347FFA2"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Проте на практиці, як свідчать звіти судової статистики, неповнолітнім досі часто призначають реальні строки позбавлення волі навіть за нетяжкі злочини, що не відповідає принципу доцільності покарання.</w:t>
      </w:r>
    </w:p>
    <w:p w14:paraId="0C26C56B"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Водночас Закон України «Про пробацію» відкриває широкі можливості для застосування альтернативних заходів впливу — таких як пробація, виховні заходи, соціальна підтримка, наставництво [4]. Згідно зі ст. 11 цього Закону, до неповнолітніх можуть застосовуватись індивідуальні програми ресоціалізації, які мають сприяти відновленню правопорушника в суспільстві без стигматизації та ізоляції [4].</w:t>
      </w:r>
    </w:p>
    <w:p w14:paraId="46704C00"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 xml:space="preserve">На додаток, міжнародні документи, зокрема Конвенція ООН про права дитини (ст. 40) та Пекінські правила (1985 р.), акцентують на необхідності уникнення формального кримінального провадження щодо неповнолітніх у випадках незначної шкоди — принцип </w:t>
      </w:r>
      <w:r w:rsidRPr="00511005">
        <w:rPr>
          <w:rFonts w:ascii="Arial" w:eastAsia="Times New Roman" w:hAnsi="Arial" w:cs="Arial"/>
          <w:i/>
          <w:iCs/>
          <w:szCs w:val="28"/>
          <w:lang w:val="uk-UA" w:eastAsia="ru-RU"/>
        </w:rPr>
        <w:t>diversion</w:t>
      </w:r>
      <w:r w:rsidRPr="00511005">
        <w:rPr>
          <w:rFonts w:ascii="Arial" w:eastAsia="Times New Roman" w:hAnsi="Arial" w:cs="Arial"/>
          <w:iCs/>
          <w:szCs w:val="28"/>
          <w:lang w:val="uk-UA" w:eastAsia="ru-RU"/>
        </w:rPr>
        <w:t>, що в Україні реалізується частково через програму відновного правосуддя [2], [3]. Однак через нестачу нормативної бази, підготовлених фахівців і скоординованої державної політики ця програма поки що має обмежене застосування.</w:t>
      </w:r>
    </w:p>
    <w:p w14:paraId="0AE6AF5D" w14:textId="77777777" w:rsidR="007B2628"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Таким чином, основними проблемами залишаються:</w:t>
      </w:r>
    </w:p>
    <w:p w14:paraId="3E8F8AB9" w14:textId="754FA12A"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lastRenderedPageBreak/>
        <w:t>– формалізм у підходах до призначення покарання;</w:t>
      </w:r>
    </w:p>
    <w:p w14:paraId="23C9A2B1"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 недостатня диференціація покарань для неповнолітніх;</w:t>
      </w:r>
    </w:p>
    <w:p w14:paraId="09731EB8"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 обмежене застосування пробації та медіації;</w:t>
      </w:r>
    </w:p>
    <w:p w14:paraId="206E3816"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 брак законодавчих механізмів реалізації відновного правосуддя.</w:t>
      </w:r>
    </w:p>
    <w:p w14:paraId="3F6A6328"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Запроваджена в Україні пілотна «Програма відновного правосуддя за участю неповнолітніх...» є новаторською ініціативою, яка враховує соціально-психологічні особливості розвитку неповнолітніх та спрямована на усунення наслідків правопорушення через медіацію, відшкодування шкоди, ресоціалізацію та профілактику рецидиву [3].</w:t>
      </w:r>
    </w:p>
    <w:p w14:paraId="6F6AD417"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Щодо перспективи розвитку цієї програми в нашій країні, у цьому контексті відновне правосуддя (restorative justice) може стати ключем до подолання зазначених проблем. Його основна ідея – це відхід від карального мислення на користь діалогу, примирення та соціального відновлення.</w:t>
      </w:r>
    </w:p>
    <w:p w14:paraId="70575909" w14:textId="7D242B3C"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Зокрема:</w:t>
      </w:r>
      <w:r w:rsidRPr="00511005">
        <w:rPr>
          <w:rFonts w:ascii="Arial" w:eastAsia="Times New Roman" w:hAnsi="Arial" w:cs="Arial"/>
          <w:iCs/>
          <w:szCs w:val="28"/>
          <w:lang w:val="uk-UA" w:eastAsia="ru-RU"/>
        </w:rPr>
        <w:br/>
        <w:t>1.</w:t>
      </w:r>
      <w:r w:rsidR="007B2628" w:rsidRPr="00511005">
        <w:rPr>
          <w:rFonts w:ascii="Arial" w:eastAsia="Times New Roman" w:hAnsi="Arial" w:cs="Arial"/>
          <w:iCs/>
          <w:szCs w:val="28"/>
          <w:lang w:val="uk-UA" w:eastAsia="ru-RU"/>
        </w:rPr>
        <w:t xml:space="preserve"> </w:t>
      </w:r>
      <w:r w:rsidRPr="00511005">
        <w:rPr>
          <w:rFonts w:ascii="Arial" w:eastAsia="Times New Roman" w:hAnsi="Arial" w:cs="Arial"/>
          <w:i/>
          <w:iCs/>
          <w:szCs w:val="28"/>
          <w:lang w:val="uk-UA" w:eastAsia="ru-RU"/>
        </w:rPr>
        <w:t>Restorative justice</w:t>
      </w:r>
      <w:r w:rsidRPr="00511005">
        <w:rPr>
          <w:rFonts w:ascii="Arial" w:eastAsia="Times New Roman" w:hAnsi="Arial" w:cs="Arial"/>
          <w:iCs/>
          <w:szCs w:val="28"/>
          <w:lang w:val="uk-UA" w:eastAsia="ru-RU"/>
        </w:rPr>
        <w:t xml:space="preserve"> долає формалізм, оскільки ставить в центр не сам злочин, а його наслідки для всіх учасників – правопорушника, потерпілого і суспільства [2],[3].</w:t>
      </w:r>
      <w:r w:rsidRPr="00511005">
        <w:rPr>
          <w:rFonts w:ascii="Arial" w:eastAsia="Times New Roman" w:hAnsi="Arial" w:cs="Arial"/>
          <w:iCs/>
          <w:szCs w:val="28"/>
          <w:lang w:val="uk-UA" w:eastAsia="ru-RU"/>
        </w:rPr>
        <w:br/>
        <w:t>2.</w:t>
      </w:r>
      <w:r w:rsidR="007B2628" w:rsidRPr="00511005">
        <w:rPr>
          <w:rFonts w:ascii="Arial" w:eastAsia="Times New Roman" w:hAnsi="Arial" w:cs="Arial"/>
          <w:iCs/>
          <w:szCs w:val="28"/>
          <w:lang w:val="uk-UA" w:eastAsia="ru-RU"/>
        </w:rPr>
        <w:t xml:space="preserve"> </w:t>
      </w:r>
      <w:r w:rsidRPr="00511005">
        <w:rPr>
          <w:rFonts w:ascii="Arial" w:eastAsia="Times New Roman" w:hAnsi="Arial" w:cs="Arial"/>
          <w:iCs/>
          <w:szCs w:val="28"/>
          <w:lang w:val="uk-UA" w:eastAsia="ru-RU"/>
        </w:rPr>
        <w:t>Воно забезпечує гнучкість та диференціацію санкцій, бо дозволяє замінити позбавлення волі на індивідуалізовані програми, спрямовані на реальне перевиховання.</w:t>
      </w:r>
      <w:r w:rsidRPr="00511005">
        <w:rPr>
          <w:rFonts w:ascii="Arial" w:eastAsia="Times New Roman" w:hAnsi="Arial" w:cs="Arial"/>
          <w:iCs/>
          <w:szCs w:val="28"/>
          <w:lang w:val="uk-UA" w:eastAsia="ru-RU"/>
        </w:rPr>
        <w:br/>
        <w:t>3.</w:t>
      </w:r>
      <w:r w:rsidR="007B2628" w:rsidRPr="00511005">
        <w:rPr>
          <w:rFonts w:ascii="Arial" w:eastAsia="Times New Roman" w:hAnsi="Arial" w:cs="Arial"/>
          <w:iCs/>
          <w:szCs w:val="28"/>
          <w:lang w:val="uk-UA" w:eastAsia="ru-RU"/>
        </w:rPr>
        <w:t xml:space="preserve"> </w:t>
      </w:r>
      <w:r w:rsidRPr="00511005">
        <w:rPr>
          <w:rFonts w:ascii="Arial" w:eastAsia="Times New Roman" w:hAnsi="Arial" w:cs="Arial"/>
          <w:iCs/>
          <w:szCs w:val="28"/>
          <w:lang w:val="uk-UA" w:eastAsia="ru-RU"/>
        </w:rPr>
        <w:t>Впровадження медіації як складової відновного правосуддя дає можливість зменшити повторні правопорушення (</w:t>
      </w:r>
      <w:r w:rsidRPr="00511005">
        <w:rPr>
          <w:rFonts w:ascii="Arial" w:eastAsia="Times New Roman" w:hAnsi="Arial" w:cs="Arial"/>
          <w:i/>
          <w:iCs/>
          <w:szCs w:val="28"/>
          <w:lang w:val="uk-UA" w:eastAsia="ru-RU"/>
        </w:rPr>
        <w:t>recidivism</w:t>
      </w:r>
      <w:r w:rsidRPr="00511005">
        <w:rPr>
          <w:rFonts w:ascii="Arial" w:eastAsia="Times New Roman" w:hAnsi="Arial" w:cs="Arial"/>
          <w:iCs/>
          <w:szCs w:val="28"/>
          <w:lang w:val="uk-UA" w:eastAsia="ru-RU"/>
        </w:rPr>
        <w:t>), оскільки неповнолітній бачить наслідки своїх дій.</w:t>
      </w:r>
      <w:r w:rsidRPr="00511005">
        <w:rPr>
          <w:rFonts w:ascii="Arial" w:eastAsia="Times New Roman" w:hAnsi="Arial" w:cs="Arial"/>
          <w:iCs/>
          <w:szCs w:val="28"/>
          <w:lang w:val="uk-UA" w:eastAsia="ru-RU"/>
        </w:rPr>
        <w:br/>
        <w:t>4.</w:t>
      </w:r>
      <w:r w:rsidR="007B2628" w:rsidRPr="00511005">
        <w:rPr>
          <w:rFonts w:ascii="Arial" w:eastAsia="Times New Roman" w:hAnsi="Arial" w:cs="Arial"/>
          <w:iCs/>
          <w:szCs w:val="28"/>
          <w:lang w:val="uk-UA" w:eastAsia="ru-RU"/>
        </w:rPr>
        <w:t xml:space="preserve"> </w:t>
      </w:r>
      <w:r w:rsidRPr="00511005">
        <w:rPr>
          <w:rFonts w:ascii="Arial" w:eastAsia="Times New Roman" w:hAnsi="Arial" w:cs="Arial"/>
          <w:iCs/>
          <w:szCs w:val="28"/>
          <w:lang w:val="uk-UA" w:eastAsia="ru-RU"/>
        </w:rPr>
        <w:t>Нарешті, активізація програм ВОРо в межах національного законодавства вимагає системних змін у КПК та КК, зокрема запровадження обов’язкових процедур врахування медіації, умовного звільнення за участі пробаційного нагляду тощо [4], [5].</w:t>
      </w:r>
    </w:p>
    <w:p w14:paraId="61FF90A6"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 xml:space="preserve">У зв’язку з цим постає питання, чому це важливо саме зараз. Сучасна кримінальна політика в Україні поступово відходить від каральної парадигми щодо неповнолітніх. Останні дослідження підтверджують, що застосування виключно кримінальних покарань спричиняє стигматизацію молодих правопорушників, що ускладнює їхню адаптацію у суспільстві. Натомість, </w:t>
      </w:r>
      <w:r w:rsidRPr="00511005">
        <w:rPr>
          <w:rFonts w:ascii="Arial" w:eastAsia="Times New Roman" w:hAnsi="Arial" w:cs="Arial"/>
          <w:i/>
          <w:iCs/>
          <w:szCs w:val="28"/>
          <w:lang w:val="uk-UA" w:eastAsia="ru-RU"/>
        </w:rPr>
        <w:t>restorative justice programs</w:t>
      </w:r>
      <w:r w:rsidRPr="00511005">
        <w:rPr>
          <w:rFonts w:ascii="Arial" w:eastAsia="Times New Roman" w:hAnsi="Arial" w:cs="Arial"/>
          <w:iCs/>
          <w:szCs w:val="28"/>
          <w:lang w:val="uk-UA" w:eastAsia="ru-RU"/>
        </w:rPr>
        <w:t xml:space="preserve"> допомагають сформувати у підлітка не просто страх перед покаранням, а розуміння відповідальності за свої вчинки [3], [6].</w:t>
      </w:r>
    </w:p>
    <w:p w14:paraId="245D1D2D"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Крім того, за світовим досвідом, ювенальні системи, що впроваджують відновне правосуддя, демонструють значне зниження рівня повторних злочинів серед неповнолітніх. У таких країнах, як Канада, Норвегія та Німеччина, альтернативні покарання для підлітків дають змогу інтегрувати їх у суспільство без стигматизації, що є ключовим фактором ефективності [6].</w:t>
      </w:r>
    </w:p>
    <w:p w14:paraId="23351E44" w14:textId="77777777" w:rsidR="00200E87" w:rsidRPr="00511005" w:rsidRDefault="00200E87" w:rsidP="003A292D">
      <w:pPr>
        <w:spacing w:line="264" w:lineRule="auto"/>
        <w:ind w:firstLine="0"/>
        <w:rPr>
          <w:rFonts w:ascii="Arial" w:eastAsia="Times New Roman" w:hAnsi="Arial" w:cs="Arial"/>
          <w:iCs/>
          <w:szCs w:val="28"/>
          <w:lang w:val="uk-UA" w:eastAsia="ru-RU"/>
        </w:rPr>
      </w:pPr>
      <w:r w:rsidRPr="00511005">
        <w:rPr>
          <w:rFonts w:ascii="Arial" w:eastAsia="Times New Roman" w:hAnsi="Arial" w:cs="Arial"/>
          <w:iCs/>
          <w:szCs w:val="28"/>
          <w:lang w:val="uk-UA" w:eastAsia="ru-RU"/>
        </w:rPr>
        <w:t xml:space="preserve">Відновне правосуддя – це не альтернатива кримінальному праву, а його еволюція у напрямку гуманізації, ефективності та відповідності міжнародним </w:t>
      </w:r>
      <w:r w:rsidRPr="00511005">
        <w:rPr>
          <w:rFonts w:ascii="Arial" w:eastAsia="Times New Roman" w:hAnsi="Arial" w:cs="Arial"/>
          <w:iCs/>
          <w:szCs w:val="28"/>
          <w:lang w:val="uk-UA" w:eastAsia="ru-RU"/>
        </w:rPr>
        <w:lastRenderedPageBreak/>
        <w:t>стандартам. Його активне впровадження в ювенальну юстицію дозволить не лише зменшити рівень рецидиву серед неповнолітніх, а й створити дієву модель правосуддя, яка формує соціально відповідального громадянина.</w:t>
      </w:r>
    </w:p>
    <w:p w14:paraId="47D6E527" w14:textId="77777777" w:rsidR="00200E87" w:rsidRPr="00511005" w:rsidRDefault="00200E87" w:rsidP="003A292D">
      <w:pPr>
        <w:spacing w:line="264" w:lineRule="auto"/>
        <w:ind w:firstLine="0"/>
        <w:rPr>
          <w:rFonts w:ascii="Arial" w:eastAsia="Times New Roman" w:hAnsi="Arial" w:cs="Arial"/>
          <w:iCs/>
          <w:szCs w:val="28"/>
          <w:lang w:val="uk-UA" w:eastAsia="ru-RU"/>
        </w:rPr>
      </w:pPr>
    </w:p>
    <w:p w14:paraId="1A21E9D4" w14:textId="6DB044F4" w:rsidR="00200E87"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221429A2" w14:textId="77777777" w:rsidR="00200E87" w:rsidRPr="00511005" w:rsidRDefault="00200E87" w:rsidP="003F6A5D">
      <w:pPr>
        <w:numPr>
          <w:ilvl w:val="0"/>
          <w:numId w:val="51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Міжнародний пакт про громадянські і політичні права (ратифіковано Указом Президії Верховної Ради Української РСР № 995_043 від 19.10.73). URL: </w:t>
      </w:r>
      <w:hyperlink r:id="rId1798" w:anchor="Text" w:tgtFrame="_new" w:history="1">
        <w:r w:rsidRPr="00511005">
          <w:rPr>
            <w:rFonts w:ascii="Arial" w:eastAsia="Times New Roman" w:hAnsi="Arial" w:cs="Arial"/>
            <w:szCs w:val="28"/>
            <w:lang w:val="uk-UA" w:eastAsia="uk-UA"/>
          </w:rPr>
          <w:t>https://zakon.rada.gov.ua/laws/show/995_043#Text</w:t>
        </w:r>
      </w:hyperlink>
    </w:p>
    <w:p w14:paraId="7A8DE77E" w14:textId="77777777" w:rsidR="00200E87" w:rsidRPr="00511005" w:rsidRDefault="00200E87" w:rsidP="003F6A5D">
      <w:pPr>
        <w:numPr>
          <w:ilvl w:val="0"/>
          <w:numId w:val="51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Конвенція ООН про права дитини. URL: https://zakon.rada.gov.ua/laws/show/995_021#Text</w:t>
      </w:r>
    </w:p>
    <w:p w14:paraId="30F6BD18" w14:textId="77777777" w:rsidR="00200E87" w:rsidRPr="00511005" w:rsidRDefault="00200E87" w:rsidP="003F6A5D">
      <w:pPr>
        <w:numPr>
          <w:ilvl w:val="0"/>
          <w:numId w:val="51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Мін’юст України. Пілотний проєкт «Відновне правосуддя за участю неповнолітніх». URL: </w:t>
      </w:r>
      <w:hyperlink r:id="rId1799" w:tgtFrame="_new" w:history="1">
        <w:r w:rsidRPr="00511005">
          <w:rPr>
            <w:rFonts w:ascii="Arial" w:eastAsia="Times New Roman" w:hAnsi="Arial" w:cs="Arial"/>
            <w:szCs w:val="28"/>
            <w:lang w:val="uk-UA" w:eastAsia="uk-UA"/>
          </w:rPr>
          <w:t>https://www.justice.gov.ua</w:t>
        </w:r>
      </w:hyperlink>
    </w:p>
    <w:p w14:paraId="04C0FFFD" w14:textId="77777777" w:rsidR="00200E87" w:rsidRPr="00511005" w:rsidRDefault="00200E87" w:rsidP="003F6A5D">
      <w:pPr>
        <w:numPr>
          <w:ilvl w:val="0"/>
          <w:numId w:val="51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Закон України «Про пробацію» від 05.02.2015 № 160-VIII. URL: https://zakon.rada.gov.ua/laws/show/160-19#Text</w:t>
      </w:r>
    </w:p>
    <w:p w14:paraId="7B293E36" w14:textId="77777777" w:rsidR="00200E87" w:rsidRPr="00511005" w:rsidRDefault="00200E87" w:rsidP="003F6A5D">
      <w:pPr>
        <w:numPr>
          <w:ilvl w:val="0"/>
          <w:numId w:val="51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Кримінальний кодекс України від 05.04.2001 № 2341-III. URL: https://zakon.rada.gov.ua/laws/show/2341-14#Text</w:t>
      </w:r>
    </w:p>
    <w:p w14:paraId="78448B62" w14:textId="77777777" w:rsidR="00200E87" w:rsidRPr="00511005" w:rsidRDefault="00200E87" w:rsidP="003F6A5D">
      <w:pPr>
        <w:numPr>
          <w:ilvl w:val="0"/>
          <w:numId w:val="510"/>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Мін’юст України. Аналітичний звіт з пробації 2022. URL: </w:t>
      </w:r>
      <w:r w:rsidR="005938AD">
        <w:fldChar w:fldCharType="begin"/>
      </w:r>
      <w:r w:rsidR="005938AD" w:rsidRPr="00055389">
        <w:rPr>
          <w:lang w:val="en-US"/>
        </w:rPr>
        <w:instrText xml:space="preserve"> HYPERLINK "https://www.probation.gov.ua" \t "_new" </w:instrText>
      </w:r>
      <w:r w:rsidR="005938AD">
        <w:fldChar w:fldCharType="separate"/>
      </w:r>
      <w:r w:rsidRPr="00511005">
        <w:rPr>
          <w:rFonts w:ascii="Arial" w:eastAsia="Times New Roman" w:hAnsi="Arial" w:cs="Arial"/>
          <w:szCs w:val="28"/>
          <w:lang w:val="uk-UA" w:eastAsia="uk-UA"/>
        </w:rPr>
        <w:t>https://www.probation.gov.ua</w:t>
      </w:r>
      <w:r w:rsidR="005938AD">
        <w:rPr>
          <w:rFonts w:ascii="Arial" w:eastAsia="Times New Roman" w:hAnsi="Arial" w:cs="Arial"/>
          <w:szCs w:val="28"/>
          <w:lang w:val="uk-UA" w:eastAsia="uk-UA"/>
        </w:rPr>
        <w:fldChar w:fldCharType="end"/>
      </w:r>
    </w:p>
    <w:p w14:paraId="78A432D9" w14:textId="77777777" w:rsidR="00200E87" w:rsidRPr="00511005" w:rsidRDefault="00200E87" w:rsidP="003A29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ind w:firstLine="0"/>
        <w:rPr>
          <w:rFonts w:ascii="Arial" w:eastAsia="Times New Roman" w:hAnsi="Arial" w:cs="Arial"/>
          <w:szCs w:val="28"/>
          <w:lang w:val="uk-UA" w:eastAsia="uk-UA"/>
        </w:rPr>
      </w:pPr>
    </w:p>
    <w:p w14:paraId="4E3F9F99" w14:textId="43664588" w:rsidR="00200E87"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200E87" w:rsidRPr="00511005">
        <w:rPr>
          <w:rFonts w:ascii="Arial" w:eastAsia="Times New Roman" w:hAnsi="Arial" w:cs="Arial"/>
          <w:szCs w:val="28"/>
          <w:lang w:val="uk-UA" w:eastAsia="uk-UA"/>
        </w:rPr>
        <w:t>система покарань, неповнолітні, відновне правосуддя, ювенальна юстиція, медіація, ресоціалізація, рецидив, кримінальне правопорушення, правосуддя, відповідальність.</w:t>
      </w:r>
    </w:p>
    <w:p w14:paraId="79DA98A7" w14:textId="4C34DD1F" w:rsidR="00200E87"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bCs/>
          <w:i/>
          <w:szCs w:val="28"/>
          <w:lang w:val="en-US" w:eastAsia="uk-UA"/>
        </w:rPr>
        <w:t xml:space="preserve">Key words: </w:t>
      </w:r>
      <w:r w:rsidR="00200E87" w:rsidRPr="00511005">
        <w:rPr>
          <w:rFonts w:ascii="Arial" w:eastAsia="Times New Roman" w:hAnsi="Arial" w:cs="Arial"/>
          <w:szCs w:val="28"/>
          <w:lang w:val="en-US" w:eastAsia="uk-UA"/>
        </w:rPr>
        <w:t>punishment system, juveniles, restorative justice, juvenile justice, mediation, resocialization, recidivism, criminal offense, justice, responsibility.</w:t>
      </w:r>
    </w:p>
    <w:p w14:paraId="521F4A55" w14:textId="77777777" w:rsidR="00200E87" w:rsidRPr="00511005" w:rsidRDefault="00200E87" w:rsidP="003A292D">
      <w:pPr>
        <w:spacing w:line="264" w:lineRule="auto"/>
        <w:ind w:firstLine="0"/>
        <w:rPr>
          <w:rFonts w:ascii="Arial" w:eastAsia="Times New Roman" w:hAnsi="Arial" w:cs="Arial"/>
          <w:bCs/>
          <w:i/>
          <w:iCs/>
          <w:szCs w:val="28"/>
          <w:lang w:val="uk-UA" w:eastAsia="ru-RU"/>
        </w:rPr>
      </w:pPr>
    </w:p>
    <w:p w14:paraId="15738EE6" w14:textId="557701BC" w:rsidR="00200E87" w:rsidRPr="00511005" w:rsidRDefault="007B2628" w:rsidP="003A292D">
      <w:pPr>
        <w:spacing w:line="264" w:lineRule="auto"/>
        <w:ind w:firstLine="0"/>
        <w:rPr>
          <w:rFonts w:ascii="Arial" w:eastAsia="Times New Roman" w:hAnsi="Arial" w:cs="Arial"/>
          <w:bCs/>
          <w:i/>
          <w:szCs w:val="28"/>
          <w:lang w:val="uk-UA" w:eastAsia="ru-RU"/>
        </w:rPr>
      </w:pPr>
      <w:r w:rsidRPr="00511005">
        <w:rPr>
          <w:rFonts w:ascii="Arial" w:eastAsia="Times New Roman" w:hAnsi="Arial" w:cs="Arial"/>
          <w:b/>
          <w:bCs/>
          <w:i/>
          <w:iCs/>
          <w:szCs w:val="28"/>
          <w:lang w:val="uk-UA" w:eastAsia="ru-RU"/>
        </w:rPr>
        <w:t xml:space="preserve">Науковий керівник: </w:t>
      </w:r>
      <w:r w:rsidR="00200E87" w:rsidRPr="00511005">
        <w:rPr>
          <w:rFonts w:ascii="Arial" w:eastAsia="Times New Roman" w:hAnsi="Arial" w:cs="Arial"/>
          <w:bCs/>
          <w:i/>
          <w:szCs w:val="28"/>
          <w:lang w:val="uk-UA" w:eastAsia="ru-RU"/>
        </w:rPr>
        <w:t>к.ю.н., доцент Хильченко А. С.</w:t>
      </w:r>
    </w:p>
    <w:p w14:paraId="0D3DD63D" w14:textId="77777777" w:rsidR="00200E87" w:rsidRPr="00511005" w:rsidRDefault="00200E87" w:rsidP="003A292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ind w:firstLine="0"/>
        <w:rPr>
          <w:rFonts w:ascii="Arial" w:eastAsia="Times New Roman" w:hAnsi="Arial" w:cs="Arial"/>
          <w:b/>
          <w:bCs/>
          <w:szCs w:val="28"/>
          <w:lang w:val="uk-UA" w:eastAsia="uk-UA"/>
        </w:rPr>
      </w:pPr>
    </w:p>
    <w:p w14:paraId="18509CFB" w14:textId="77777777" w:rsidR="00200E87" w:rsidRPr="00511005" w:rsidRDefault="00200E87" w:rsidP="003A292D">
      <w:pPr>
        <w:spacing w:line="264" w:lineRule="auto"/>
        <w:ind w:firstLine="0"/>
        <w:jc w:val="center"/>
        <w:rPr>
          <w:rFonts w:ascii="Arial" w:eastAsia="Calibri" w:hAnsi="Arial" w:cs="Arial"/>
          <w:b/>
          <w:szCs w:val="28"/>
          <w:lang w:val="uk-UA"/>
        </w:rPr>
      </w:pPr>
    </w:p>
    <w:p w14:paraId="67A31336" w14:textId="77777777" w:rsidR="00200E87" w:rsidRPr="00511005" w:rsidRDefault="00200E87" w:rsidP="003A292D">
      <w:pPr>
        <w:spacing w:line="264" w:lineRule="auto"/>
        <w:ind w:firstLine="0"/>
        <w:jc w:val="center"/>
        <w:rPr>
          <w:rFonts w:ascii="Arial" w:eastAsia="Times New Roman" w:hAnsi="Arial" w:cs="Arial"/>
          <w:b/>
          <w:bCs/>
          <w:i/>
          <w:iCs/>
          <w:szCs w:val="28"/>
        </w:rPr>
      </w:pPr>
      <w:r w:rsidRPr="00511005">
        <w:rPr>
          <w:rFonts w:ascii="Arial" w:eastAsia="Times New Roman" w:hAnsi="Arial" w:cs="Arial"/>
          <w:b/>
          <w:bCs/>
          <w:i/>
          <w:iCs/>
          <w:szCs w:val="28"/>
        </w:rPr>
        <w:t>Дідух Анастасія Сергіївна</w:t>
      </w:r>
    </w:p>
    <w:p w14:paraId="7624EA23" w14:textId="70B59022" w:rsidR="00200E87" w:rsidRPr="00511005" w:rsidRDefault="00536AAB" w:rsidP="003A292D">
      <w:pPr>
        <w:spacing w:line="264" w:lineRule="auto"/>
        <w:ind w:firstLine="0"/>
        <w:jc w:val="center"/>
        <w:rPr>
          <w:rFonts w:ascii="Arial" w:eastAsia="Times New Roman" w:hAnsi="Arial" w:cs="Arial"/>
          <w:szCs w:val="28"/>
        </w:rPr>
      </w:pPr>
      <w:r w:rsidRPr="00511005">
        <w:rPr>
          <w:rFonts w:ascii="Arial" w:eastAsia="Times New Roman" w:hAnsi="Arial" w:cs="Arial"/>
          <w:szCs w:val="28"/>
        </w:rPr>
        <w:t xml:space="preserve">студентка 3-го курсу </w:t>
      </w:r>
      <w:r w:rsidR="001B7B25" w:rsidRPr="00511005">
        <w:rPr>
          <w:rFonts w:ascii="Arial" w:eastAsia="Times New Roman" w:hAnsi="Arial" w:cs="Arial"/>
          <w:szCs w:val="28"/>
        </w:rPr>
        <w:t>факультету судового та міжнародного права</w:t>
      </w:r>
    </w:p>
    <w:p w14:paraId="013733A9" w14:textId="40444EA0" w:rsidR="00200E87" w:rsidRPr="00511005" w:rsidRDefault="007B2628" w:rsidP="003A292D">
      <w:pPr>
        <w:spacing w:line="264" w:lineRule="auto"/>
        <w:ind w:firstLine="0"/>
        <w:jc w:val="center"/>
        <w:rPr>
          <w:rFonts w:ascii="Arial" w:eastAsia="Times New Roman" w:hAnsi="Arial" w:cs="Arial"/>
          <w:szCs w:val="28"/>
        </w:rPr>
      </w:pPr>
      <w:r w:rsidRPr="00511005">
        <w:rPr>
          <w:rFonts w:ascii="Arial" w:eastAsia="Times New Roman" w:hAnsi="Arial" w:cs="Arial"/>
          <w:szCs w:val="28"/>
        </w:rPr>
        <w:t>Національного університету «Одеська юридична академія»</w:t>
      </w:r>
    </w:p>
    <w:p w14:paraId="3DC58015" w14:textId="77777777" w:rsidR="00200E87" w:rsidRPr="00511005" w:rsidRDefault="00200E87" w:rsidP="003A292D">
      <w:pPr>
        <w:spacing w:line="264" w:lineRule="auto"/>
        <w:ind w:firstLine="0"/>
        <w:jc w:val="center"/>
        <w:rPr>
          <w:rFonts w:ascii="Arial" w:eastAsia="Times New Roman" w:hAnsi="Arial" w:cs="Arial"/>
          <w:szCs w:val="28"/>
        </w:rPr>
      </w:pPr>
    </w:p>
    <w:p w14:paraId="5CCF8D7B" w14:textId="77777777" w:rsidR="00200E87" w:rsidRPr="00511005" w:rsidRDefault="00200E87" w:rsidP="003A292D">
      <w:pPr>
        <w:spacing w:line="264" w:lineRule="auto"/>
        <w:ind w:firstLine="0"/>
        <w:jc w:val="center"/>
        <w:rPr>
          <w:rFonts w:ascii="Arial" w:eastAsia="Times New Roman" w:hAnsi="Arial" w:cs="Arial"/>
          <w:b/>
          <w:bCs/>
          <w:szCs w:val="28"/>
        </w:rPr>
      </w:pPr>
      <w:r w:rsidRPr="00511005">
        <w:rPr>
          <w:rFonts w:ascii="Arial" w:eastAsia="Times New Roman" w:hAnsi="Arial" w:cs="Arial"/>
          <w:b/>
          <w:bCs/>
          <w:szCs w:val="28"/>
        </w:rPr>
        <w:t>ТЕНДЕНЦІЇ РОЗВИТКУ КРИМІНАЛЬНОГО ЗАКОНОДАВСТВА УКРАЇНИ В УМОВАХ ВОЄННОГО СТАНУ</w:t>
      </w:r>
    </w:p>
    <w:p w14:paraId="2173838C" w14:textId="77777777" w:rsidR="00200E87" w:rsidRPr="00511005" w:rsidRDefault="00200E87" w:rsidP="003A292D">
      <w:pPr>
        <w:spacing w:line="264" w:lineRule="auto"/>
        <w:ind w:firstLine="0"/>
        <w:jc w:val="center"/>
        <w:rPr>
          <w:rFonts w:ascii="Arial" w:eastAsia="Times New Roman" w:hAnsi="Arial" w:cs="Arial"/>
          <w:b/>
          <w:bCs/>
          <w:szCs w:val="28"/>
        </w:rPr>
      </w:pPr>
    </w:p>
    <w:p w14:paraId="678A5FDC"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В умовах воєнного стану кримінальне законодавство України зазнає суттєвих змін та адаптацій до нових викликів і загроз. Оскільки, виникають специфічні суспільні відносини, які потребують оперативного правового врегулювання, зокрема у сфері протидії злочинам проти основ національної безпеки, військовим злочинам, колабораційній діяльності, мародерству, </w:t>
      </w:r>
      <w:bookmarkStart w:id="210" w:name="_Hlk196987228"/>
      <w:r w:rsidRPr="00511005">
        <w:rPr>
          <w:rFonts w:ascii="Arial" w:eastAsia="Times New Roman" w:hAnsi="Arial" w:cs="Arial"/>
          <w:szCs w:val="28"/>
          <w:lang w:val="uk-UA"/>
        </w:rPr>
        <w:t xml:space="preserve">незаконному використанню </w:t>
      </w:r>
      <w:bookmarkEnd w:id="210"/>
      <w:r w:rsidRPr="00511005">
        <w:rPr>
          <w:rFonts w:ascii="Arial" w:eastAsia="Times New Roman" w:hAnsi="Arial" w:cs="Arial"/>
          <w:szCs w:val="28"/>
          <w:lang w:val="uk-UA"/>
        </w:rPr>
        <w:t xml:space="preserve">гуманітарної допомоги тощо. Суспільна небезпека нових проявів злочинної діяльності, необхідність забезпечення </w:t>
      </w:r>
      <w:r w:rsidRPr="00511005">
        <w:rPr>
          <w:rFonts w:ascii="Arial" w:eastAsia="Times New Roman" w:hAnsi="Arial" w:cs="Arial"/>
          <w:szCs w:val="28"/>
          <w:lang w:val="uk-UA"/>
        </w:rPr>
        <w:lastRenderedPageBreak/>
        <w:t>правопорядку в умовах кризи, а також збереження балансу між дотриманням прав людини та ефективним правозастосуванням вимагають постійного вдосконалення кримінального законодавства. Зокрема, важливим є аналіз тенденцій посилення кримінальної відповідальності, впровадження нових складів злочинів, застосування спеціальних норм в умовах воєнного стану.</w:t>
      </w:r>
    </w:p>
    <w:p w14:paraId="428C5822"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Сфера кримінального права України зазнала суттєвого розширення та уточнення, що відображено у численних законодавчих доповненнях до Кримінального кодексу України. Законодавець оперативно реагував на нові загрози, які виникли в умовах воєнного стану, криміналізувавши низку діянь, що становлять небезпеку для національної безпеки держави та для інших сфер. Серед таких діянь — колабораційна діяльність (ст. 111-1), пособництво державі-агресору (ст. 111-2), образа честі і гідності військовослужбовця (ст. 435-1), виправдовування або заперечення збройної агресії РФ (ст. 436-2), незаконне поширення інформації про переміщення ЗСУ (ст. 114-2), а також незаконне використання гуманітарної допомоги (ст. 201-2) [3].</w:t>
      </w:r>
    </w:p>
    <w:p w14:paraId="1D1DE8B2"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Хоча деякі з цих новел виглядають доволі нетипово для мирного часу, але їх поява є логічною і співмірною з реальними викликами, які постали перед українським суспільством та державою. Введення відповідальності за актуальні прояви злочинних посягання на інтереси держави та національної безпеки свідчить про гнучкість кримінального права як інструменту правового реагування на критичні ситуації. </w:t>
      </w:r>
    </w:p>
    <w:p w14:paraId="1F74AE10"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Крім запровадження нових складів злочинів, в умовах воєнного стану також було суттєво уточнено диспозиції низки вже чинних статей Кримінального кодексу України з метою приведення їх у відповідність до нових умов безпекового середовища. Так, у статті 161 КК України розширено перелік ознак, за якими заборонена дискримінація, додано «регіональну належність», що включає походження або проживання особи на певній території України чи місцях компактного розселення українців за кордоном. Така деталізація є важливою для запобігання пропаганді ворожнечі між мешканцями різних регіонів, особливо в умовах гібридної війни та спроб дестабілізації суспільства [1, c. 24-30].</w:t>
      </w:r>
    </w:p>
    <w:p w14:paraId="5A465488"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Також суттєво посилено відповідальність за державну зраду (ст. 111 КК України) та диверсію (ст. 113 КК України) шляхом введення кваліфікуючих ознак, пов’язаних із вчиненням цих злочинів під час воєнного стану чи збройного конфлікту. Це дозволяє диференціювати покарання залежно від умов вчинення злочину та його суспільної небезпеки. Водночас у сфері кібербезпеки вдосконалено формулювання статей 361 та 361-1 КК України, зокрема щодо несанкціонованого втручання в роботу інформаційних систем і обігу шкідливого програмного забезпечення, що є критично важливим у цифрову епоху, коли кібератаки стали елементом ведення війни. Ці зміни </w:t>
      </w:r>
      <w:r w:rsidRPr="00511005">
        <w:rPr>
          <w:rFonts w:ascii="Arial" w:eastAsia="Times New Roman" w:hAnsi="Arial" w:cs="Arial"/>
          <w:szCs w:val="28"/>
          <w:lang w:val="uk-UA"/>
        </w:rPr>
        <w:lastRenderedPageBreak/>
        <w:t>свідчать про активне вдосконалення кримінального законодавства, орієнтоване на реалії сучасної війни та потреби ефективного правового захисту держави.</w:t>
      </w:r>
    </w:p>
    <w:p w14:paraId="5725D280"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Поточний розвиток кримінального законодавства в Україні під час воєнного стану фокусується на удосконаленні інструментів для боротьби з новими загрозами, що виникають у сфері інформаційної безпеки, економічних злочинів та діяльності, спрямованої на підрив стабільності держави. Всі ці зміни є необхідними в умовах війни, оскільки вони дозволяють забезпечити більш ефективний захист країни від зовнішніх і внутрішніх загроз, забезпечуючи стабільність, порядок і безпеку для громадян [5, c. 87-89].</w:t>
      </w:r>
    </w:p>
    <w:p w14:paraId="61096452"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Водночас, серед норм Кримінального процесуального кодексу України в умовах воєнного стану однією з найбільш контроверсійних новацій є «делегування» повноважень слідчого судді керівнику органу прокуратури [2, c. 47-52]. Прокурор, будучи частиною сторони обвинувачення, не має незалежності, властивої судді, що створює ризик конфлікту інтересів і можливості необґрунтованого застосування кримінального процесуального примусу. Така зміна вимагає від прокурорів особливої добросовісності та обережності у виконанні своїх повноважень, оскільки відсутність оперативного судового контролю та потенційні складнощі у подальшому судовому контролі можуть призвести до порушень прав людини. Спрощення багатьох процесуальних процедур, зокрема щодо розслідування і судового розгляду, також сприяє підвищенню ефективності, але водночас може обмежити можливості захисту. Враховуючи ці новації, можна стверджувати, що Україна знаходиться на шляху формування та нормативного забезпечення системи воєнної кримінальної юстиції, яка повинна відповідати вимогам сучасної ситуації, зберігаючи при цьому основні принципи правосуддя та забезпечення прав людини [4, c. 178-180].</w:t>
      </w:r>
    </w:p>
    <w:p w14:paraId="405A863D"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Отже, підсумовуючи, в умовах воєнного стану Україна здійснює важливі зміни в кримінальному законодавстві, які спрямовані на підвищення ефективності правових норм та забезпечення національної безпеки. Зміни в Кримінальному кодексі України, зокрема стосуються криміналізації нових діянь та доповнення вже існуючих, що становлять загрозу стабільності країни. Це, без сумніву, яскравий прояв тенденції розвитку кримінального законодавства, що має за мету захист суверенітету та територіальну цілісність України.</w:t>
      </w:r>
    </w:p>
    <w:p w14:paraId="6BDCB3F0"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Водночас, важливою є необхідність балансування між ефективністю кримінального правосуддя в умовах війни та збереженням базових прав людини. Делегування повноважень органам прокуратури та спрощення процесуальних процедур вимагає особливої ретельності у забезпеченні добросовісного і неупередженого виконання цих повноважень, адже відсутність оперативного судового контролю та певні прогалини в нормативному регулюванні можуть створювати ризики для прав громадян. </w:t>
      </w:r>
      <w:r w:rsidRPr="00511005">
        <w:rPr>
          <w:rFonts w:ascii="Arial" w:eastAsia="Times New Roman" w:hAnsi="Arial" w:cs="Arial"/>
          <w:szCs w:val="28"/>
          <w:lang w:val="uk-UA"/>
        </w:rPr>
        <w:lastRenderedPageBreak/>
        <w:t>Тому, незважаючи на важливість швидкої адаптації законодавства до воєнного стану, слід ретельно стежити за збереженням принципів правосуддя в умовах воєнної кримінальної юстиції.</w:t>
      </w:r>
    </w:p>
    <w:p w14:paraId="0CEFFFF7" w14:textId="77777777" w:rsidR="00200E87" w:rsidRPr="00511005" w:rsidRDefault="00200E87" w:rsidP="003A292D">
      <w:pPr>
        <w:spacing w:line="264" w:lineRule="auto"/>
        <w:ind w:firstLine="0"/>
        <w:jc w:val="center"/>
        <w:rPr>
          <w:rFonts w:ascii="Arial" w:eastAsia="Times New Roman" w:hAnsi="Arial" w:cs="Arial"/>
          <w:b/>
          <w:bCs/>
          <w:szCs w:val="28"/>
          <w:lang w:val="uk-UA"/>
        </w:rPr>
      </w:pPr>
    </w:p>
    <w:p w14:paraId="6E3B7148" w14:textId="07A7F703" w:rsidR="00200E87" w:rsidRPr="00511005" w:rsidRDefault="00200E87" w:rsidP="003A292D">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 xml:space="preserve">Список </w:t>
      </w:r>
      <w:r w:rsidR="00875A11">
        <w:rPr>
          <w:rFonts w:ascii="Arial" w:eastAsia="Times New Roman" w:hAnsi="Arial" w:cs="Arial"/>
          <w:b/>
          <w:bCs/>
          <w:szCs w:val="28"/>
          <w:lang w:val="uk-UA"/>
        </w:rPr>
        <w:t>використаних джерел</w:t>
      </w:r>
    </w:p>
    <w:p w14:paraId="7975CD17" w14:textId="77777777" w:rsidR="00200E87" w:rsidRPr="00511005" w:rsidRDefault="00200E87" w:rsidP="003F6A5D">
      <w:pPr>
        <w:numPr>
          <w:ilvl w:val="0"/>
          <w:numId w:val="511"/>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 xml:space="preserve">Бабікова О., Федоренко І. Співвідношення окремих положень кримінального закону з принципами права. </w:t>
      </w:r>
      <w:r w:rsidRPr="00511005">
        <w:rPr>
          <w:rFonts w:ascii="Arial" w:eastAsia="Times New Roman" w:hAnsi="Arial" w:cs="Arial"/>
          <w:i/>
          <w:iCs/>
          <w:szCs w:val="28"/>
          <w:lang w:val="uk-UA"/>
        </w:rPr>
        <w:t xml:space="preserve">Науковий вісник Ужгородського національного університету. Серія «Право». </w:t>
      </w:r>
      <w:r w:rsidRPr="00511005">
        <w:rPr>
          <w:rFonts w:ascii="Arial" w:eastAsia="Times New Roman" w:hAnsi="Arial" w:cs="Arial"/>
          <w:szCs w:val="28"/>
          <w:lang w:val="uk-UA"/>
        </w:rPr>
        <w:t>Випуск 83. Частина 3. Ужгород 2024. с. 24-30.</w:t>
      </w:r>
    </w:p>
    <w:p w14:paraId="3749E7F6" w14:textId="77777777" w:rsidR="00200E87" w:rsidRPr="00511005" w:rsidRDefault="00200E87" w:rsidP="003F6A5D">
      <w:pPr>
        <w:numPr>
          <w:ilvl w:val="0"/>
          <w:numId w:val="511"/>
        </w:numPr>
        <w:spacing w:line="264" w:lineRule="auto"/>
        <w:jc w:val="left"/>
        <w:rPr>
          <w:rFonts w:ascii="Arial" w:eastAsia="Times New Roman" w:hAnsi="Arial" w:cs="Arial"/>
          <w:szCs w:val="28"/>
          <w:lang w:val="uk-UA"/>
        </w:rPr>
      </w:pPr>
      <w:r w:rsidRPr="00511005">
        <w:rPr>
          <w:rFonts w:ascii="Arial" w:eastAsia="Times New Roman" w:hAnsi="Arial" w:cs="Arial"/>
          <w:szCs w:val="28"/>
          <w:shd w:val="clear" w:color="auto" w:fill="FFFFFF"/>
          <w:lang w:val="uk-UA"/>
        </w:rPr>
        <w:t xml:space="preserve">Журавльов М.С. Правове регулювання кримінальної відповідальності за вйськові кримінальні правопорушення: історико-правовий аспект. </w:t>
      </w:r>
      <w:r w:rsidRPr="00511005">
        <w:rPr>
          <w:rFonts w:ascii="Arial" w:eastAsia="Times New Roman" w:hAnsi="Arial" w:cs="Arial"/>
          <w:i/>
          <w:iCs/>
          <w:szCs w:val="28"/>
          <w:shd w:val="clear" w:color="auto" w:fill="FFFFFF"/>
          <w:lang w:val="uk-UA"/>
        </w:rPr>
        <w:t>Збірник наукових праць Харківського національного педагогічного університету імені Г.С. Сковороди «ПРАВО».</w:t>
      </w:r>
      <w:r w:rsidRPr="00511005">
        <w:rPr>
          <w:rFonts w:ascii="Arial" w:eastAsia="Times New Roman" w:hAnsi="Arial" w:cs="Arial"/>
          <w:szCs w:val="28"/>
          <w:shd w:val="clear" w:color="auto" w:fill="FFFFFF"/>
          <w:lang w:val="uk-UA"/>
        </w:rPr>
        <w:t xml:space="preserve"> 2022. № 35. С. 47-52.</w:t>
      </w:r>
    </w:p>
    <w:p w14:paraId="2954A4E8" w14:textId="77777777" w:rsidR="00200E87" w:rsidRPr="00511005" w:rsidRDefault="00200E87" w:rsidP="003F6A5D">
      <w:pPr>
        <w:numPr>
          <w:ilvl w:val="0"/>
          <w:numId w:val="511"/>
        </w:numPr>
        <w:spacing w:line="264" w:lineRule="auto"/>
        <w:jc w:val="left"/>
        <w:rPr>
          <w:rFonts w:ascii="Arial" w:eastAsia="Times New Roman" w:hAnsi="Arial" w:cs="Arial"/>
          <w:szCs w:val="28"/>
          <w:lang w:val="uk-UA"/>
        </w:rPr>
      </w:pPr>
      <w:r w:rsidRPr="00511005">
        <w:rPr>
          <w:rFonts w:ascii="Arial" w:eastAsia="Times New Roman" w:hAnsi="Arial" w:cs="Arial"/>
          <w:szCs w:val="28"/>
          <w:shd w:val="clear" w:color="auto" w:fill="FFFFFF"/>
          <w:lang w:val="uk-UA"/>
        </w:rPr>
        <w:t>Кримінальний кодекс України : Кодекс України від 05.04.2001 р. № 2341-III : станом на 28 берез. 2024 р. URL: </w:t>
      </w:r>
      <w:hyperlink r:id="rId1800" w:anchor="Text" w:history="1">
        <w:r w:rsidRPr="00511005">
          <w:rPr>
            <w:rFonts w:ascii="Arial" w:eastAsia="MS Gothic" w:hAnsi="Arial" w:cs="Arial"/>
            <w:szCs w:val="28"/>
            <w:shd w:val="clear" w:color="auto" w:fill="FFFFFF"/>
            <w:lang w:val="uk-UA"/>
          </w:rPr>
          <w:t>https://zakon.rada.gov.ua/laws/show/2341-14#Text</w:t>
        </w:r>
      </w:hyperlink>
      <w:r w:rsidRPr="00511005">
        <w:rPr>
          <w:rFonts w:ascii="Arial" w:eastAsia="Times New Roman" w:hAnsi="Arial" w:cs="Arial"/>
          <w:szCs w:val="28"/>
          <w:shd w:val="clear" w:color="auto" w:fill="FFFFFF"/>
          <w:lang w:val="uk-UA"/>
        </w:rPr>
        <w:t xml:space="preserve"> (дата звернення: 30.04.2025)</w:t>
      </w:r>
    </w:p>
    <w:p w14:paraId="2F471845" w14:textId="77777777" w:rsidR="00200E87" w:rsidRPr="00511005" w:rsidRDefault="00200E87" w:rsidP="003F6A5D">
      <w:pPr>
        <w:numPr>
          <w:ilvl w:val="0"/>
          <w:numId w:val="511"/>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Новели кримінального законодавства України, прийняті в умовах воєнного стану : наук.-практ. комент. / А. А. Вознюк, О. О. Дудоров, Р. О. Мовчан, С. С. Чернявський та ін. ; за ред. А. А. Вознюка, Р. О. Мовчана, В. В. Чернєя. Київ : Норма права, 2022. 278 с.</w:t>
      </w:r>
    </w:p>
    <w:p w14:paraId="557AED8D" w14:textId="6C28965C" w:rsidR="00200E87" w:rsidRPr="00511005" w:rsidRDefault="00200E87" w:rsidP="003F6A5D">
      <w:pPr>
        <w:numPr>
          <w:ilvl w:val="0"/>
          <w:numId w:val="511"/>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Новітні кримінально-правові дослідження – 2024 : Альманах наукових праць / за ред. д.ю.н., професора О. Козаченка, доктора філософії (PhD) в галузі права, доцента О. Мусиченко.</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Миколаїв : МННІП НУ «ОЮА», 2024.</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183 с.</w:t>
      </w:r>
    </w:p>
    <w:p w14:paraId="67F815EF" w14:textId="77777777" w:rsidR="00200E87" w:rsidRPr="00511005" w:rsidRDefault="00200E87" w:rsidP="003A292D">
      <w:pPr>
        <w:spacing w:line="264" w:lineRule="auto"/>
        <w:ind w:firstLine="0"/>
        <w:rPr>
          <w:rFonts w:ascii="Arial" w:eastAsia="Times New Roman" w:hAnsi="Arial" w:cs="Arial"/>
          <w:b/>
          <w:bCs/>
          <w:i/>
          <w:iCs/>
          <w:szCs w:val="28"/>
          <w:lang w:val="uk-UA"/>
        </w:rPr>
      </w:pPr>
    </w:p>
    <w:p w14:paraId="336E5841" w14:textId="49DA9912" w:rsidR="00200E87"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iCs/>
          <w:szCs w:val="28"/>
          <w:lang w:val="uk-UA"/>
        </w:rPr>
        <w:t xml:space="preserve">Ключові слова: </w:t>
      </w:r>
      <w:r w:rsidR="00200E87" w:rsidRPr="00511005">
        <w:rPr>
          <w:rFonts w:ascii="Arial" w:eastAsia="Times New Roman" w:hAnsi="Arial" w:cs="Arial"/>
          <w:szCs w:val="28"/>
          <w:lang w:val="uk-UA"/>
        </w:rPr>
        <w:t>кримінальне законодавство, воєнний стан, права людини, національна безпека, кримінальний процес, делегування повноважень.</w:t>
      </w:r>
    </w:p>
    <w:p w14:paraId="2B3C74B4" w14:textId="75A5BC4A" w:rsidR="00200E87"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iCs/>
          <w:szCs w:val="28"/>
          <w:lang w:val="uk-UA"/>
        </w:rPr>
        <w:t xml:space="preserve">Key words: </w:t>
      </w:r>
      <w:r w:rsidR="00200E87" w:rsidRPr="00511005">
        <w:rPr>
          <w:rFonts w:ascii="Arial" w:eastAsia="Times New Roman" w:hAnsi="Arial" w:cs="Arial"/>
          <w:szCs w:val="28"/>
          <w:lang w:val="uk-UA"/>
        </w:rPr>
        <w:t>criminal legislation, martial law,</w:t>
      </w:r>
      <w:r w:rsidRPr="00511005">
        <w:rPr>
          <w:rFonts w:ascii="Arial" w:eastAsia="Times New Roman" w:hAnsi="Arial" w:cs="Arial"/>
          <w:szCs w:val="28"/>
          <w:lang w:val="uk-UA"/>
        </w:rPr>
        <w:t xml:space="preserve"> </w:t>
      </w:r>
      <w:r w:rsidR="00200E87" w:rsidRPr="00511005">
        <w:rPr>
          <w:rFonts w:ascii="Arial" w:eastAsia="Times New Roman" w:hAnsi="Arial" w:cs="Arial"/>
          <w:szCs w:val="28"/>
          <w:lang w:val="uk-UA"/>
        </w:rPr>
        <w:t>human rights,</w:t>
      </w:r>
      <w:r w:rsidRPr="00511005">
        <w:rPr>
          <w:rFonts w:ascii="Arial" w:eastAsia="Times New Roman" w:hAnsi="Arial" w:cs="Arial"/>
          <w:szCs w:val="28"/>
          <w:lang w:val="uk-UA"/>
        </w:rPr>
        <w:t xml:space="preserve"> </w:t>
      </w:r>
      <w:r w:rsidR="00200E87" w:rsidRPr="00511005">
        <w:rPr>
          <w:rFonts w:ascii="Arial" w:eastAsia="Times New Roman" w:hAnsi="Arial" w:cs="Arial"/>
          <w:szCs w:val="28"/>
          <w:lang w:val="uk-UA"/>
        </w:rPr>
        <w:t>national security, сriminal procedure, delegation of powers.</w:t>
      </w:r>
    </w:p>
    <w:p w14:paraId="4955F4FB" w14:textId="77777777" w:rsidR="00200E87" w:rsidRPr="00511005" w:rsidRDefault="00200E87" w:rsidP="003A292D">
      <w:pPr>
        <w:spacing w:line="264" w:lineRule="auto"/>
        <w:ind w:firstLine="0"/>
        <w:rPr>
          <w:rFonts w:ascii="Arial" w:eastAsia="Times New Roman" w:hAnsi="Arial" w:cs="Arial"/>
          <w:i/>
          <w:szCs w:val="28"/>
          <w:lang w:val="uk-UA"/>
        </w:rPr>
      </w:pPr>
    </w:p>
    <w:p w14:paraId="01A427FD" w14:textId="4779CB53" w:rsidR="00200E87" w:rsidRPr="00511005" w:rsidRDefault="007B2628" w:rsidP="003A292D">
      <w:pPr>
        <w:spacing w:line="264" w:lineRule="auto"/>
        <w:ind w:firstLine="0"/>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200E87" w:rsidRPr="00511005">
        <w:rPr>
          <w:rFonts w:ascii="Arial" w:eastAsia="Times New Roman" w:hAnsi="Arial" w:cs="Arial"/>
          <w:i/>
          <w:szCs w:val="28"/>
          <w:lang w:val="uk-UA"/>
        </w:rPr>
        <w:t>к.ю.н., професор Коломієць Ю.Ю.</w:t>
      </w:r>
    </w:p>
    <w:p w14:paraId="119ED07B" w14:textId="77777777" w:rsidR="00200E87" w:rsidRPr="00511005" w:rsidRDefault="00200E87" w:rsidP="003A292D">
      <w:pPr>
        <w:spacing w:line="264" w:lineRule="auto"/>
        <w:ind w:firstLine="0"/>
        <w:jc w:val="center"/>
        <w:rPr>
          <w:rFonts w:ascii="Arial" w:eastAsia="Calibri" w:hAnsi="Arial" w:cs="Arial"/>
          <w:b/>
          <w:szCs w:val="28"/>
          <w:lang w:val="uk-UA"/>
        </w:rPr>
      </w:pPr>
    </w:p>
    <w:p w14:paraId="14B0C1AC" w14:textId="77777777" w:rsidR="00200E87" w:rsidRPr="00511005" w:rsidRDefault="00200E87" w:rsidP="003A292D">
      <w:pPr>
        <w:spacing w:line="264" w:lineRule="auto"/>
        <w:ind w:firstLine="0"/>
        <w:jc w:val="center"/>
        <w:rPr>
          <w:rFonts w:ascii="Arial" w:eastAsia="Calibri" w:hAnsi="Arial" w:cs="Arial"/>
          <w:b/>
          <w:szCs w:val="28"/>
          <w:lang w:val="uk-UA"/>
        </w:rPr>
      </w:pPr>
    </w:p>
    <w:p w14:paraId="5C02B14C" w14:textId="77777777" w:rsidR="00200E87" w:rsidRPr="00511005" w:rsidRDefault="00200E87" w:rsidP="003A292D">
      <w:pPr>
        <w:spacing w:line="264" w:lineRule="auto"/>
        <w:ind w:right="579" w:firstLine="0"/>
        <w:jc w:val="center"/>
        <w:rPr>
          <w:rFonts w:ascii="Arial" w:eastAsia="Times New Roman" w:hAnsi="Arial" w:cs="Arial"/>
          <w:b/>
          <w:kern w:val="2"/>
          <w:szCs w:val="28"/>
          <w:lang w:val="uk" w:eastAsia="uk"/>
          <w14:ligatures w14:val="standardContextual"/>
        </w:rPr>
      </w:pPr>
      <w:r w:rsidRPr="00511005">
        <w:rPr>
          <w:rFonts w:ascii="Arial" w:eastAsia="Times New Roman" w:hAnsi="Arial" w:cs="Arial"/>
          <w:b/>
          <w:i/>
          <w:kern w:val="2"/>
          <w:szCs w:val="28"/>
          <w:lang w:val="uk" w:eastAsia="uk"/>
          <w14:ligatures w14:val="standardContextual"/>
        </w:rPr>
        <w:t>Довгаль Артем Юрійович</w:t>
      </w:r>
      <w:r w:rsidRPr="00511005">
        <w:rPr>
          <w:rFonts w:ascii="Arial" w:eastAsia="Calibri" w:hAnsi="Arial" w:cs="Arial"/>
          <w:b/>
          <w:i/>
          <w:kern w:val="2"/>
          <w:szCs w:val="28"/>
          <w:lang w:val="uk" w:eastAsia="uk"/>
          <w14:ligatures w14:val="standardContextual"/>
        </w:rPr>
        <w:t xml:space="preserve"> </w:t>
      </w:r>
    </w:p>
    <w:p w14:paraId="6E588F94" w14:textId="2E6E1C63" w:rsidR="00200E87" w:rsidRPr="00511005" w:rsidRDefault="00536AAB" w:rsidP="003A292D">
      <w:pPr>
        <w:spacing w:line="264" w:lineRule="auto"/>
        <w:ind w:right="19" w:firstLine="0"/>
        <w:jc w:val="center"/>
        <w:rPr>
          <w:rFonts w:ascii="Arial" w:eastAsia="Times New Roman" w:hAnsi="Arial" w:cs="Arial"/>
          <w:kern w:val="2"/>
          <w:szCs w:val="28"/>
          <w:lang w:val="uk" w:eastAsia="uk"/>
          <w14:ligatures w14:val="standardContextual"/>
        </w:rPr>
      </w:pPr>
      <w:r w:rsidRPr="00511005">
        <w:rPr>
          <w:rFonts w:ascii="Arial" w:eastAsia="Times New Roman" w:hAnsi="Arial" w:cs="Arial"/>
          <w:kern w:val="2"/>
          <w:szCs w:val="28"/>
          <w:lang w:val="uk" w:eastAsia="uk"/>
          <w14:ligatures w14:val="standardContextual"/>
        </w:rPr>
        <w:t>студент 2-го курсу факультету адвокатури та антикорупційної діяльності</w:t>
      </w:r>
      <w:r w:rsidR="00200E87" w:rsidRPr="00511005">
        <w:rPr>
          <w:rFonts w:ascii="Arial" w:eastAsia="Times New Roman" w:hAnsi="Arial" w:cs="Arial"/>
          <w:kern w:val="2"/>
          <w:szCs w:val="28"/>
          <w:lang w:val="uk" w:eastAsia="uk"/>
          <w14:ligatures w14:val="standardContextual"/>
        </w:rPr>
        <w:t xml:space="preserve"> </w:t>
      </w:r>
    </w:p>
    <w:p w14:paraId="5689168D" w14:textId="04E2117C" w:rsidR="00200E87" w:rsidRPr="00511005" w:rsidRDefault="007B2628" w:rsidP="003A292D">
      <w:pPr>
        <w:spacing w:line="264" w:lineRule="auto"/>
        <w:ind w:right="16" w:firstLine="0"/>
        <w:jc w:val="center"/>
        <w:rPr>
          <w:rFonts w:ascii="Arial" w:eastAsia="Times New Roman" w:hAnsi="Arial" w:cs="Arial"/>
          <w:kern w:val="2"/>
          <w:szCs w:val="28"/>
          <w:lang w:val="uk" w:eastAsia="uk"/>
          <w14:ligatures w14:val="standardContextual"/>
        </w:rPr>
      </w:pPr>
      <w:r w:rsidRPr="00511005">
        <w:rPr>
          <w:rFonts w:ascii="Arial" w:eastAsia="Times New Roman" w:hAnsi="Arial" w:cs="Arial"/>
          <w:kern w:val="2"/>
          <w:szCs w:val="28"/>
          <w:lang w:val="uk" w:eastAsia="uk"/>
          <w14:ligatures w14:val="standardContextual"/>
        </w:rPr>
        <w:t>Національного університету «Одеська юридична академія»</w:t>
      </w:r>
      <w:r w:rsidR="00200E87" w:rsidRPr="00511005">
        <w:rPr>
          <w:rFonts w:ascii="Arial" w:eastAsia="Times New Roman" w:hAnsi="Arial" w:cs="Arial"/>
          <w:kern w:val="2"/>
          <w:szCs w:val="28"/>
          <w:lang w:val="uk" w:eastAsia="uk"/>
          <w14:ligatures w14:val="standardContextual"/>
        </w:rPr>
        <w:t xml:space="preserve"> </w:t>
      </w:r>
    </w:p>
    <w:p w14:paraId="64330DBD" w14:textId="77777777" w:rsidR="00200E87" w:rsidRPr="00511005" w:rsidRDefault="00200E87" w:rsidP="003A292D">
      <w:pPr>
        <w:spacing w:line="264" w:lineRule="auto"/>
        <w:ind w:firstLine="0"/>
        <w:jc w:val="center"/>
        <w:rPr>
          <w:rFonts w:ascii="Arial" w:eastAsia="Times New Roman" w:hAnsi="Arial" w:cs="Arial"/>
          <w:b/>
          <w:kern w:val="2"/>
          <w:szCs w:val="28"/>
          <w:lang w:val="uk" w:eastAsia="uk"/>
          <w14:ligatures w14:val="standardContextual"/>
        </w:rPr>
      </w:pPr>
      <w:r w:rsidRPr="00511005">
        <w:rPr>
          <w:rFonts w:ascii="Arial" w:eastAsia="Times New Roman" w:hAnsi="Arial" w:cs="Arial"/>
          <w:b/>
          <w:kern w:val="2"/>
          <w:szCs w:val="28"/>
          <w:lang w:val="uk" w:eastAsia="uk"/>
          <w14:ligatures w14:val="standardContextual"/>
        </w:rPr>
        <w:t>ВПЛИВ ПСИХІЧНИХ РОЗЛАДІВ НА</w:t>
      </w:r>
    </w:p>
    <w:p w14:paraId="15A308CB" w14:textId="77777777" w:rsidR="00200E87" w:rsidRPr="00511005" w:rsidRDefault="00200E87" w:rsidP="003A292D">
      <w:pPr>
        <w:spacing w:line="264" w:lineRule="auto"/>
        <w:ind w:firstLine="0"/>
        <w:jc w:val="center"/>
        <w:rPr>
          <w:rFonts w:ascii="Arial" w:eastAsia="Times New Roman" w:hAnsi="Arial" w:cs="Arial"/>
          <w:kern w:val="2"/>
          <w:szCs w:val="28"/>
          <w:lang w:val="uk" w:eastAsia="uk"/>
          <w14:ligatures w14:val="standardContextual"/>
        </w:rPr>
      </w:pPr>
      <w:r w:rsidRPr="00511005">
        <w:rPr>
          <w:rFonts w:ascii="Arial" w:eastAsia="Times New Roman" w:hAnsi="Arial" w:cs="Arial"/>
          <w:b/>
          <w:kern w:val="2"/>
          <w:szCs w:val="28"/>
          <w:lang w:val="uk" w:eastAsia="uk"/>
          <w14:ligatures w14:val="standardContextual"/>
        </w:rPr>
        <w:t>КРИМІНАЛЬНО-ПРОТИПРАВНУ ПОВЕДІНКУ</w:t>
      </w:r>
    </w:p>
    <w:p w14:paraId="2A951443" w14:textId="77777777" w:rsidR="00200E87" w:rsidRPr="00511005" w:rsidRDefault="00200E87" w:rsidP="003A292D">
      <w:pPr>
        <w:spacing w:line="264" w:lineRule="auto"/>
        <w:ind w:right="697" w:firstLine="0"/>
        <w:jc w:val="center"/>
        <w:rPr>
          <w:rFonts w:ascii="Arial" w:eastAsia="Times New Roman" w:hAnsi="Arial" w:cs="Arial"/>
          <w:kern w:val="2"/>
          <w:szCs w:val="28"/>
          <w:lang w:val="uk" w:eastAsia="uk"/>
          <w14:ligatures w14:val="standardContextual"/>
        </w:rPr>
      </w:pPr>
    </w:p>
    <w:p w14:paraId="343710E1" w14:textId="77777777" w:rsidR="00200E87" w:rsidRPr="00511005" w:rsidRDefault="00200E87" w:rsidP="003A292D">
      <w:pPr>
        <w:spacing w:line="264" w:lineRule="auto"/>
        <w:ind w:right="-3" w:firstLine="0"/>
        <w:rPr>
          <w:rFonts w:ascii="Arial" w:eastAsia="Times New Roman" w:hAnsi="Arial" w:cs="Arial"/>
          <w:kern w:val="2"/>
          <w:szCs w:val="28"/>
          <w:lang w:val="uk" w:eastAsia="uk"/>
          <w14:ligatures w14:val="standardContextual"/>
        </w:rPr>
      </w:pPr>
      <w:r w:rsidRPr="00511005">
        <w:rPr>
          <w:rFonts w:ascii="Arial" w:eastAsia="Times New Roman" w:hAnsi="Arial" w:cs="Arial"/>
          <w:kern w:val="2"/>
          <w:szCs w:val="28"/>
          <w:lang w:val="uk" w:eastAsia="uk"/>
          <w14:ligatures w14:val="standardContextual"/>
        </w:rPr>
        <w:t xml:space="preserve">Питання впливу психічних розладів на кримінально-протиправну поведінку є одним із найскладніших і найважливіших у межах кримінального права. Воно </w:t>
      </w:r>
      <w:r w:rsidRPr="00511005">
        <w:rPr>
          <w:rFonts w:ascii="Arial" w:eastAsia="Times New Roman" w:hAnsi="Arial" w:cs="Arial"/>
          <w:kern w:val="2"/>
          <w:szCs w:val="28"/>
          <w:lang w:val="uk" w:eastAsia="uk"/>
          <w14:ligatures w14:val="standardContextual"/>
        </w:rPr>
        <w:lastRenderedPageBreak/>
        <w:t xml:space="preserve">охоплює не лише юридичні аспекти притягнення особи до відповідальності, а й проблематику дотримання принципів гуманності та справедливості у ставленні до осіб із психічними порушеннями. Особливу увагу заслуговує проблематика виявлення таких осіб: часто їм не встановлюється діагноз або ж вони не отримують належного лікування, внаслідок чого тривалий час залишаються поза увагою медичних і правових інституцій. У багатьох випадках уперше психічний розлад діагностується вже після вчинення особою кримінального правопорушення. </w:t>
      </w:r>
    </w:p>
    <w:p w14:paraId="3F8F469A" w14:textId="427906BD" w:rsidR="00200E87" w:rsidRPr="00511005" w:rsidRDefault="00200E87" w:rsidP="003A292D">
      <w:pPr>
        <w:spacing w:line="264" w:lineRule="auto"/>
        <w:ind w:right="-3" w:firstLine="0"/>
        <w:rPr>
          <w:rFonts w:ascii="Arial" w:eastAsia="Times New Roman" w:hAnsi="Arial" w:cs="Arial"/>
          <w:kern w:val="2"/>
          <w:szCs w:val="28"/>
          <w:lang w:val="uk" w:eastAsia="uk"/>
          <w14:ligatures w14:val="standardContextual"/>
        </w:rPr>
      </w:pPr>
      <w:r w:rsidRPr="00511005">
        <w:rPr>
          <w:rFonts w:ascii="Arial" w:eastAsia="Times New Roman" w:hAnsi="Arial" w:cs="Arial"/>
          <w:kern w:val="2"/>
          <w:szCs w:val="28"/>
          <w:lang w:val="uk" w:eastAsia="uk"/>
          <w14:ligatures w14:val="standardContextual"/>
        </w:rPr>
        <w:t>Психічний стан безпосередньо впливає на здатність особи усвідомлювати власні дії та керувати ними, що є вирішальним для встановлення осудності чи неосудності. Наявність психічного розладу може істотно змінити підхід до кваліфікації КП, вплинути на обсяг відповідальності та зумовити потребу в застосуванні заходів примусового медичного характеру. Водночас не кожне психічне захворювання автоматично виключає КВ. Саме тому дослідження характеру, проявів і правових наслідків психічних розладів у контексті формування кримінально-протиправної поведінки має ключове значення як для теоретичних розробок, так і для правозастосовної практики в Україні. Осудність є важливою юридичною передумовою вини та кримінальної відповідальності. Вона визначається як психічний стан людини, за якого вона здатна усвідомлювати свої дії (або бездіяльність) та керувати ними під час вчинення КП (ч. 1 ст. 19 КК України) [1]. Це юридичне поняття є важливою передумовою КВ та обов'язковою ознакою суб'єкта КП. Психічно здорова людина свідомо обирає варіанти поведінки, розуміє її наслідки й відповідає за свої суспільно небезпечні діяння. Презумпція</w:t>
      </w:r>
      <w:r w:rsidR="007B2628" w:rsidRPr="00511005">
        <w:rPr>
          <w:rFonts w:ascii="Arial" w:eastAsia="Times New Roman" w:hAnsi="Arial" w:cs="Arial"/>
          <w:kern w:val="2"/>
          <w:szCs w:val="28"/>
          <w:lang w:val="uk" w:eastAsia="uk"/>
          <w14:ligatures w14:val="standardContextual"/>
        </w:rPr>
        <w:t xml:space="preserve"> </w:t>
      </w:r>
      <w:r w:rsidRPr="00511005">
        <w:rPr>
          <w:rFonts w:ascii="Arial" w:eastAsia="Times New Roman" w:hAnsi="Arial" w:cs="Arial"/>
          <w:kern w:val="2"/>
          <w:szCs w:val="28"/>
          <w:lang w:val="uk" w:eastAsia="uk"/>
          <w14:ligatures w14:val="standardContextual"/>
        </w:rPr>
        <w:t>психічного здоровʼя передбачає, що особа вважається здоровою до тих пір, поки не буде встановлено зворотне на підставі законодавчо визначених процедур [2]. Важливо, що осудність оцінюється не загалом, а стосовно конкретного діяння, що інкримінується особі. Критеріями осудності є медичний (біологічний) та юридичний (психологічний) аспекти. Медичний критерій оцінює здоров'я психіки, тобто відсутність психічних захворювань або порушень, тоді як юридичний критерій стосується здатності особи усвідомлювати характер своїх дій та керувати ними. Протилежним станом є неосудність, яка виключає КВ. Згідно з ч. 2 ст. 19 КК України, неосудною вважається особа, яка в момент вчинення суспільно небезпечного діяння не могла усвідомлювати свої дії або керувати ними через психічні розлади, зокрема хронічні психічні захворювання, тимчасові розлади психічної діяльності, недоумство або інші патологічні стани психіки [1].</w:t>
      </w:r>
      <w:r w:rsidR="007B2628" w:rsidRPr="00511005">
        <w:rPr>
          <w:rFonts w:ascii="Arial" w:eastAsia="Times New Roman" w:hAnsi="Arial" w:cs="Arial"/>
          <w:kern w:val="2"/>
          <w:szCs w:val="28"/>
          <w:lang w:val="uk" w:eastAsia="uk"/>
          <w14:ligatures w14:val="standardContextual"/>
        </w:rPr>
        <w:t xml:space="preserve"> </w:t>
      </w:r>
    </w:p>
    <w:p w14:paraId="76946AFE" w14:textId="339A3C15" w:rsidR="00200E87" w:rsidRPr="00511005" w:rsidRDefault="00200E87" w:rsidP="003A292D">
      <w:pPr>
        <w:spacing w:line="264" w:lineRule="auto"/>
        <w:ind w:right="-3" w:firstLine="0"/>
        <w:rPr>
          <w:rFonts w:ascii="Arial" w:eastAsia="Times New Roman" w:hAnsi="Arial" w:cs="Arial"/>
          <w:kern w:val="2"/>
          <w:szCs w:val="28"/>
          <w:lang w:val="uk" w:eastAsia="uk"/>
          <w14:ligatures w14:val="standardContextual"/>
        </w:rPr>
      </w:pPr>
      <w:r w:rsidRPr="00511005">
        <w:rPr>
          <w:rFonts w:ascii="Arial" w:eastAsia="Times New Roman" w:hAnsi="Arial" w:cs="Arial"/>
          <w:kern w:val="2"/>
          <w:szCs w:val="28"/>
          <w:lang w:val="uk" w:eastAsia="uk"/>
          <w14:ligatures w14:val="standardContextual"/>
        </w:rPr>
        <w:t xml:space="preserve">Проте теоретичні підходи до осудності потребують удосконалення, адже на практиці існують певні труднощі у визначенні психічних захворювань, що можуть впливати на кримінально-протиправну поведінку. Окрім традиційно відомих захворювань, таких як недоумство, у кримінальному праві немає чітко прописаних критеріїв для таких психічних розладів, як емоційні </w:t>
      </w:r>
      <w:r w:rsidRPr="00511005">
        <w:rPr>
          <w:rFonts w:ascii="Arial" w:eastAsia="Times New Roman" w:hAnsi="Arial" w:cs="Arial"/>
          <w:kern w:val="2"/>
          <w:szCs w:val="28"/>
          <w:lang w:val="uk" w:eastAsia="uk"/>
          <w14:ligatures w14:val="standardContextual"/>
        </w:rPr>
        <w:lastRenderedPageBreak/>
        <w:t>порушення, рухові розлади або розлади мислення. Враховуючи різноманіття психічних захворювань, які можуть мати серйозний вплив на здатність особи усвідомлювати свої дії або керувати ними, виникає необхідність у більш детальному правовому</w:t>
      </w:r>
      <w:r w:rsidR="007B2628" w:rsidRPr="00511005">
        <w:rPr>
          <w:rFonts w:ascii="Arial" w:eastAsia="Times New Roman" w:hAnsi="Arial" w:cs="Arial"/>
          <w:kern w:val="2"/>
          <w:szCs w:val="28"/>
          <w:lang w:val="uk" w:eastAsia="uk"/>
          <w14:ligatures w14:val="standardContextual"/>
        </w:rPr>
        <w:t xml:space="preserve"> </w:t>
      </w:r>
      <w:r w:rsidRPr="00511005">
        <w:rPr>
          <w:rFonts w:ascii="Arial" w:eastAsia="Times New Roman" w:hAnsi="Arial" w:cs="Arial"/>
          <w:kern w:val="2"/>
          <w:szCs w:val="28"/>
          <w:lang w:val="uk" w:eastAsia="uk"/>
          <w14:ligatures w14:val="standardContextual"/>
        </w:rPr>
        <w:t>регулюванні таких випадків. Це дозволить значно покращити систему правосуддя та забезпечити відповідність правових норм до сучасних психіатричних знань. Наприклад, емоційні розлади, що охоплюють широкий спектр психічних станів, характеризуються порушеннями настрою, тривоги та афекту. Серед основних видів цих розладів можна виокремити депресивні, маніакальні, генералізовані тривожні, панічні та фобічні розлади.</w:t>
      </w:r>
      <w:r w:rsidR="007B2628" w:rsidRPr="00511005">
        <w:rPr>
          <w:rFonts w:ascii="Arial" w:eastAsia="Times New Roman" w:hAnsi="Arial" w:cs="Arial"/>
          <w:kern w:val="2"/>
          <w:szCs w:val="28"/>
          <w:lang w:val="uk" w:eastAsia="uk"/>
          <w14:ligatures w14:val="standardContextual"/>
        </w:rPr>
        <w:t xml:space="preserve"> </w:t>
      </w:r>
    </w:p>
    <w:p w14:paraId="36D98570" w14:textId="77777777" w:rsidR="00200E87" w:rsidRPr="00511005" w:rsidRDefault="00200E87" w:rsidP="003A292D">
      <w:pPr>
        <w:spacing w:line="264" w:lineRule="auto"/>
        <w:ind w:right="-3" w:firstLine="0"/>
        <w:rPr>
          <w:rFonts w:ascii="Arial" w:eastAsia="Times New Roman" w:hAnsi="Arial" w:cs="Arial"/>
          <w:kern w:val="2"/>
          <w:szCs w:val="28"/>
          <w:lang w:val="uk" w:eastAsia="uk"/>
          <w14:ligatures w14:val="standardContextual"/>
        </w:rPr>
      </w:pPr>
      <w:r w:rsidRPr="00511005">
        <w:rPr>
          <w:rFonts w:ascii="Arial" w:eastAsia="Times New Roman" w:hAnsi="Arial" w:cs="Arial"/>
          <w:kern w:val="2"/>
          <w:szCs w:val="28"/>
          <w:lang w:val="uk" w:eastAsia="uk"/>
          <w14:ligatures w14:val="standardContextual"/>
        </w:rPr>
        <w:t>Я вважаю, що вивчаючи саме афект, що наступає внаслідок того чи іншого психічного розладу, можна визначити до якого КП особа буде схильна найбільше. Такі розлади як гіпертимія та ейфорія характеризуються піднесеним настроєм та відчуттям всемогутності, що переходить в імпульсивні та необдумані дії, приміром шахрайство (через безконтрольні витрати) або хуліганство внаслідок відчуття безкарності. На противагу, гіпотимія та депресія проявляються зниженим настроєм та відчуттям безвиході, які рідко напряму викликають агресію на інших, проте у важких випадках з ажитацією або маревними ідеями можуть призвести до аутоагресії або, рідше, агресії на близьких через спотворене сприйняття, а "масковані депресії" через розлади потягів або антисоціальну поведінку опосередковано можуть призводити до кримінальних дій [3,c.112]. Переходячи до тривожних розладів, хронічна тривога та панічні атаки у стресових ситуаціях можуть провокувати неадекватну поведінку, наприклад, перевищення меж самооборони. Фобії, як нав'язливі страхи, хоча й рідко є прямою причиною КП, можуть призводити до непередбачуваних ситуацій та правопорушень, наприклад, пошкодження майна при спробі уникнути об'єкта страху, а соціальні фобії хоч і рідше, але можуть призводити до дезадаптивної поведінки. [3,c.113]. Серед інших емоційних порушень, гнівливість та експлозивність безпосередньо викликають агресивні дії та насильство через низький поріг афективних реакцій, особливо у осіб з дисфорією або психоорганічним синдромом. Емоційне сплощення та тупість, що характеризуються втратою емпатії, можуть полегшувати вчинення КП без почуття провини, як-от крадіжки чи шахрайства [3,c.114]. Лабільність та слабкодухість емоцій призводять до швидких змін настрою та втрати контролю над емоціями, що може зумовити імпульсивні протиправні вчинки під впливом миттєвих емоцій.</w:t>
      </w:r>
      <w:r w:rsidRPr="00511005">
        <w:rPr>
          <w:rFonts w:ascii="Arial" w:eastAsia="Times New Roman" w:hAnsi="Arial" w:cs="Arial"/>
          <w:kern w:val="2"/>
          <w:szCs w:val="28"/>
          <w:vertAlign w:val="superscript"/>
          <w:lang w:val="uk" w:eastAsia="uk"/>
          <w14:ligatures w14:val="standardContextual"/>
        </w:rPr>
        <w:t xml:space="preserve"> </w:t>
      </w:r>
    </w:p>
    <w:p w14:paraId="51E0FA92" w14:textId="75FF8E55" w:rsidR="00200E87" w:rsidRPr="00511005" w:rsidRDefault="00200E87" w:rsidP="003A292D">
      <w:pPr>
        <w:spacing w:line="264" w:lineRule="auto"/>
        <w:ind w:right="-3" w:firstLine="0"/>
        <w:rPr>
          <w:rFonts w:ascii="Arial" w:eastAsia="Times New Roman" w:hAnsi="Arial" w:cs="Arial"/>
          <w:kern w:val="2"/>
          <w:szCs w:val="28"/>
          <w:lang w:val="uk" w:eastAsia="uk"/>
          <w14:ligatures w14:val="standardContextual"/>
        </w:rPr>
      </w:pPr>
      <w:r w:rsidRPr="00511005">
        <w:rPr>
          <w:rFonts w:ascii="Arial" w:eastAsia="Times New Roman" w:hAnsi="Arial" w:cs="Arial"/>
          <w:kern w:val="2"/>
          <w:szCs w:val="28"/>
          <w:lang w:val="uk" w:eastAsia="uk"/>
          <w14:ligatures w14:val="standardContextual"/>
        </w:rPr>
        <w:t xml:space="preserve">Справа Олександра Грінберга, відома як справа "Інтернет-терориста", є прикладом того, як емоційні розлади можуть сприяти серйозній кримінально - протиправній поведінці [4]. Грінберг був засуджений у США за анонімні погрози вибухами та насильством, спрямовані на єврейські установи та школи. У чоловіка було діагностовано розлад особистості з нарцисичними </w:t>
      </w:r>
      <w:r w:rsidRPr="00511005">
        <w:rPr>
          <w:rFonts w:ascii="Arial" w:eastAsia="Times New Roman" w:hAnsi="Arial" w:cs="Arial"/>
          <w:kern w:val="2"/>
          <w:szCs w:val="28"/>
          <w:lang w:val="uk" w:eastAsia="uk"/>
          <w14:ligatures w14:val="standardContextual"/>
        </w:rPr>
        <w:lastRenderedPageBreak/>
        <w:t>та антисоціальними рисами, а також тривожний розлад. Ці стани характеризуються, зокрема, емоційною нестабільністю, імпульсивністю, низькою емпатією та схильністю до маніпулятивної поведінки, а також підвищеним рівнем тривоги. Його дії - масові анонімні погрози - були спрямовані на залякування та спричинення паніки, а мотивація, згідно з матеріалами справи, включала елементи ненависті, бажання привернути увагу та, можливо, відреагувати на власні відчуття тривоги та соціальної ізоляції через деструктивну поведінку. Емоційна незрілість та імпульсивність, пов'язані з розладом особистості, могли сприяти вчиненню цих необдуманих та шкідливих дій. Тривожний розлад проявлявся у формі нав'язливих думок та страхів, які він намагався "компенсувати" через відчуття влади та контролю, яке він отримував, сіючи страх серед інших. Грінберг був затриманий та визнав свою провину за федеральними звинуваченнями у погрозах. У 2017 році його було засуджено до кількох років ув'язнення. Під час винесення вироку суд враховував його психічний стан як фактор, що вплинув на його кримінально - протиправну поведінку.</w:t>
      </w:r>
      <w:r w:rsidR="007B2628" w:rsidRPr="00511005">
        <w:rPr>
          <w:rFonts w:ascii="Arial" w:eastAsia="Times New Roman" w:hAnsi="Arial" w:cs="Arial"/>
          <w:kern w:val="2"/>
          <w:szCs w:val="28"/>
          <w:lang w:val="uk" w:eastAsia="uk"/>
          <w14:ligatures w14:val="standardContextual"/>
        </w:rPr>
        <w:t xml:space="preserve"> </w:t>
      </w:r>
    </w:p>
    <w:p w14:paraId="56EC7E26" w14:textId="77777777" w:rsidR="007B2628" w:rsidRPr="00511005" w:rsidRDefault="00200E87" w:rsidP="003A292D">
      <w:pPr>
        <w:spacing w:line="264" w:lineRule="auto"/>
        <w:ind w:right="-3" w:firstLine="0"/>
        <w:rPr>
          <w:rFonts w:ascii="Arial" w:eastAsia="Times New Roman" w:hAnsi="Arial" w:cs="Arial"/>
          <w:kern w:val="2"/>
          <w:szCs w:val="28"/>
          <w:lang w:val="uk" w:eastAsia="uk"/>
          <w14:ligatures w14:val="standardContextual"/>
        </w:rPr>
      </w:pPr>
      <w:r w:rsidRPr="00511005">
        <w:rPr>
          <w:rFonts w:ascii="Arial" w:eastAsia="Times New Roman" w:hAnsi="Arial" w:cs="Arial"/>
          <w:kern w:val="2"/>
          <w:szCs w:val="28"/>
          <w:lang w:val="uk" w:eastAsia="uk"/>
          <w14:ligatures w14:val="standardContextual"/>
        </w:rPr>
        <w:t>Психічні розлади можуть мати значний вплив на кримінально-протиправну поведінку, зокрема через зміни в емоційній стабільності, здатності усвідомлювати свої дії та контролювати їх. Виявлення психічних порушень у осіб, які вчинили правопорушення, є складним, але необхідним для забезпечення справедливого підходу до кримінальної відповідальності. У випадках, коли психічний стан особи істотно впливає на її поведінку, важливо враховувати не лише юридичні, а й медичні аспекти осудності, що дасть можливість застосовувати відповідні заходи правової та медичної допомоги. Справа Олександра Грінберга є яскравим прикладом того, як емоційні розлади можуть сприяти злочинним діям, при цьому підкреслюючи важливість комплексного підходу до оцінки психічного стану правопорушника. Необхідність удосконалення правового регулювання психічних розладів у контексті кримінального права стає очевидною для досягнення більшої справедливості та ефективності в правозастосуванні.</w:t>
      </w:r>
      <w:r w:rsidRPr="00511005">
        <w:rPr>
          <w:rFonts w:ascii="Arial" w:eastAsia="Times New Roman" w:hAnsi="Arial" w:cs="Arial"/>
          <w:kern w:val="2"/>
          <w:szCs w:val="28"/>
          <w:vertAlign w:val="superscript"/>
          <w:lang w:val="uk" w:eastAsia="uk"/>
          <w14:ligatures w14:val="standardContextual"/>
        </w:rPr>
        <w:t xml:space="preserve"> </w:t>
      </w:r>
    </w:p>
    <w:p w14:paraId="05D24E99" w14:textId="4EE233DD" w:rsidR="00200E87" w:rsidRPr="00511005" w:rsidRDefault="00200E87" w:rsidP="003A292D">
      <w:pPr>
        <w:spacing w:line="264" w:lineRule="auto"/>
        <w:ind w:firstLine="0"/>
        <w:jc w:val="center"/>
        <w:rPr>
          <w:rFonts w:ascii="Arial" w:eastAsia="Times New Roman" w:hAnsi="Arial" w:cs="Arial"/>
          <w:kern w:val="2"/>
          <w:szCs w:val="28"/>
          <w:lang w:val="uk" w:eastAsia="uk"/>
          <w14:ligatures w14:val="standardContextual"/>
        </w:rPr>
      </w:pPr>
    </w:p>
    <w:p w14:paraId="701DE84B" w14:textId="52C0BFE4" w:rsidR="00200E87" w:rsidRPr="00511005" w:rsidRDefault="007B2628" w:rsidP="007B2628">
      <w:pPr>
        <w:spacing w:line="264" w:lineRule="auto"/>
        <w:ind w:firstLine="0"/>
        <w:jc w:val="center"/>
        <w:rPr>
          <w:rFonts w:ascii="Arial" w:eastAsia="Times New Roman" w:hAnsi="Arial" w:cs="Arial"/>
          <w:kern w:val="2"/>
          <w:szCs w:val="28"/>
          <w:lang w:val="uk" w:eastAsia="uk"/>
          <w14:ligatures w14:val="standardContextual"/>
        </w:rPr>
      </w:pPr>
      <w:r w:rsidRPr="00511005">
        <w:rPr>
          <w:rFonts w:ascii="Arial" w:eastAsia="Times New Roman" w:hAnsi="Arial" w:cs="Arial"/>
          <w:b/>
          <w:kern w:val="2"/>
          <w:szCs w:val="28"/>
          <w:lang w:val="uk-UA" w:eastAsia="uk"/>
          <w14:ligatures w14:val="standardContextual"/>
        </w:rPr>
        <w:t>Список використаних джерел</w:t>
      </w:r>
    </w:p>
    <w:p w14:paraId="46658599" w14:textId="77777777" w:rsidR="00200E87" w:rsidRPr="00511005" w:rsidRDefault="00200E87" w:rsidP="003F6A5D">
      <w:pPr>
        <w:numPr>
          <w:ilvl w:val="0"/>
          <w:numId w:val="512"/>
        </w:numPr>
        <w:spacing w:line="264" w:lineRule="auto"/>
        <w:contextualSpacing/>
        <w:jc w:val="left"/>
        <w:rPr>
          <w:rFonts w:ascii="Arial" w:eastAsia="Times New Roman" w:hAnsi="Arial" w:cs="Arial"/>
          <w:kern w:val="2"/>
          <w:szCs w:val="28"/>
          <w:lang w:val="uk" w:eastAsia="uk"/>
          <w14:ligatures w14:val="standardContextual"/>
        </w:rPr>
      </w:pPr>
      <w:r w:rsidRPr="00511005">
        <w:rPr>
          <w:rFonts w:ascii="Arial" w:eastAsia="Times New Roman" w:hAnsi="Arial" w:cs="Arial"/>
          <w:kern w:val="2"/>
          <w:szCs w:val="28"/>
          <w:lang w:val="uk" w:eastAsia="uk"/>
          <w14:ligatures w14:val="standardContextual"/>
        </w:rPr>
        <w:t xml:space="preserve">Кримінальний кодекс України. (2020). Кодекс України від 5 квітня 2001 року № 2341-III. URL: </w:t>
      </w:r>
      <w:hyperlink r:id="rId1801">
        <w:r w:rsidRPr="00511005">
          <w:rPr>
            <w:rFonts w:ascii="Arial" w:eastAsia="Times New Roman" w:hAnsi="Arial" w:cs="Arial"/>
            <w:kern w:val="2"/>
            <w:szCs w:val="28"/>
            <w:u w:color="000000"/>
            <w:lang w:val="uk" w:eastAsia="uk"/>
            <w14:ligatures w14:val="standardContextual"/>
          </w:rPr>
          <w:t>https://zakon.rada.gov.ua/laws/show/2341</w:t>
        </w:r>
      </w:hyperlink>
      <w:hyperlink r:id="rId1802">
        <w:r w:rsidRPr="00511005">
          <w:rPr>
            <w:rFonts w:ascii="Arial" w:eastAsia="Times New Roman" w:hAnsi="Arial" w:cs="Arial"/>
            <w:kern w:val="2"/>
            <w:szCs w:val="28"/>
            <w:u w:color="000000"/>
            <w:lang w:val="uk" w:eastAsia="uk"/>
            <w14:ligatures w14:val="standardContextual"/>
          </w:rPr>
          <w:t>-</w:t>
        </w:r>
      </w:hyperlink>
      <w:hyperlink r:id="rId1803">
        <w:r w:rsidRPr="00511005">
          <w:rPr>
            <w:rFonts w:ascii="Arial" w:eastAsia="Times New Roman" w:hAnsi="Arial" w:cs="Arial"/>
            <w:kern w:val="2"/>
            <w:szCs w:val="28"/>
            <w:u w:color="000000"/>
            <w:lang w:val="uk" w:eastAsia="uk"/>
            <w14:ligatures w14:val="standardContextual"/>
          </w:rPr>
          <w:t>14</w:t>
        </w:r>
      </w:hyperlink>
      <w:hyperlink r:id="rId1804">
        <w:r w:rsidRPr="00511005">
          <w:rPr>
            <w:rFonts w:ascii="Arial" w:eastAsia="Times New Roman" w:hAnsi="Arial" w:cs="Arial"/>
            <w:kern w:val="2"/>
            <w:szCs w:val="28"/>
            <w:lang w:val="uk" w:eastAsia="uk"/>
            <w14:ligatures w14:val="standardContextual"/>
          </w:rPr>
          <w:t xml:space="preserve"> </w:t>
        </w:r>
      </w:hyperlink>
      <w:r w:rsidRPr="00511005">
        <w:rPr>
          <w:rFonts w:ascii="Arial" w:eastAsia="Times New Roman" w:hAnsi="Arial" w:cs="Arial"/>
          <w:kern w:val="2"/>
          <w:szCs w:val="28"/>
          <w:lang w:val="uk" w:eastAsia="uk"/>
          <w14:ligatures w14:val="standardContextual"/>
        </w:rPr>
        <w:t>2.</w:t>
      </w:r>
      <w:r w:rsidRPr="00511005">
        <w:rPr>
          <w:rFonts w:ascii="Arial" w:eastAsia="Arial" w:hAnsi="Arial" w:cs="Arial"/>
          <w:kern w:val="2"/>
          <w:szCs w:val="28"/>
          <w:lang w:val="uk" w:eastAsia="uk"/>
          <w14:ligatures w14:val="standardContextual"/>
        </w:rPr>
        <w:t xml:space="preserve"> </w:t>
      </w:r>
      <w:r w:rsidRPr="00511005">
        <w:rPr>
          <w:rFonts w:ascii="Arial" w:eastAsia="Times New Roman" w:hAnsi="Arial" w:cs="Arial"/>
          <w:kern w:val="2"/>
          <w:szCs w:val="28"/>
          <w:lang w:val="uk" w:eastAsia="uk"/>
          <w14:ligatures w14:val="standardContextual"/>
        </w:rPr>
        <w:t xml:space="preserve">Ковальчук, М. (2019). Психологічні аспекти виявлення осудності: теорія і практика. Видавництво "Юридична думка". </w:t>
      </w:r>
    </w:p>
    <w:p w14:paraId="3FC31E44" w14:textId="77777777" w:rsidR="00200E87" w:rsidRPr="00511005" w:rsidRDefault="00200E87" w:rsidP="003F6A5D">
      <w:pPr>
        <w:numPr>
          <w:ilvl w:val="0"/>
          <w:numId w:val="512"/>
        </w:numPr>
        <w:spacing w:line="264" w:lineRule="auto"/>
        <w:contextualSpacing/>
        <w:jc w:val="left"/>
        <w:rPr>
          <w:rFonts w:ascii="Arial" w:eastAsia="Times New Roman" w:hAnsi="Arial" w:cs="Arial"/>
          <w:kern w:val="2"/>
          <w:szCs w:val="28"/>
          <w:lang w:val="uk" w:eastAsia="uk"/>
          <w14:ligatures w14:val="standardContextual"/>
        </w:rPr>
      </w:pPr>
      <w:r w:rsidRPr="00511005">
        <w:rPr>
          <w:rFonts w:ascii="Arial" w:eastAsia="Times New Roman" w:hAnsi="Arial" w:cs="Arial"/>
          <w:kern w:val="2"/>
          <w:szCs w:val="28"/>
          <w:lang w:val="uk" w:eastAsia="uk"/>
          <w14:ligatures w14:val="standardContextual"/>
        </w:rPr>
        <w:t xml:space="preserve">Федорова, В. (2020). Емоційні порушення та їх правові наслідки. Науково-практичний журнал "Право та психіатрія", 15(4), 112-126. URL: </w:t>
      </w:r>
      <w:r w:rsidR="005938AD">
        <w:fldChar w:fldCharType="begin"/>
      </w:r>
      <w:r w:rsidR="005938AD" w:rsidRPr="00055389">
        <w:rPr>
          <w:lang w:val="en-US"/>
        </w:rPr>
        <w:instrText xml:space="preserve"> HYPERLINK "https://www.journals.ua/index.php/journal-of-law-and-psychiatry" \h </w:instrText>
      </w:r>
      <w:r w:rsidR="005938AD">
        <w:fldChar w:fldCharType="separate"/>
      </w:r>
      <w:r w:rsidRPr="00511005">
        <w:rPr>
          <w:rFonts w:ascii="Arial" w:eastAsia="Times New Roman" w:hAnsi="Arial" w:cs="Arial"/>
          <w:kern w:val="2"/>
          <w:szCs w:val="28"/>
          <w:u w:color="000000"/>
          <w:lang w:val="uk" w:eastAsia="uk"/>
          <w14:ligatures w14:val="standardContextual"/>
        </w:rPr>
        <w:t>https://www.journals.ua/index.php/journal</w:t>
      </w:r>
      <w:r w:rsidR="005938AD">
        <w:rPr>
          <w:rFonts w:ascii="Arial" w:eastAsia="Times New Roman" w:hAnsi="Arial" w:cs="Arial"/>
          <w:kern w:val="2"/>
          <w:szCs w:val="28"/>
          <w:u w:color="000000"/>
          <w:lang w:val="uk" w:eastAsia="uk"/>
          <w14:ligatures w14:val="standardContextual"/>
        </w:rPr>
        <w:fldChar w:fldCharType="end"/>
      </w:r>
      <w:r w:rsidR="005938AD">
        <w:fldChar w:fldCharType="begin"/>
      </w:r>
      <w:r w:rsidR="005938AD" w:rsidRPr="00055389">
        <w:rPr>
          <w:lang w:val="en-US"/>
        </w:rPr>
        <w:instrText xml:space="preserve"> HYPERLINK "https://www.journals.ua/index.php/journal-of-law-and-psychiat</w:instrText>
      </w:r>
      <w:r w:rsidR="005938AD" w:rsidRPr="00055389">
        <w:rPr>
          <w:lang w:val="en-US"/>
        </w:rPr>
        <w:instrText xml:space="preserve">ry" \h </w:instrText>
      </w:r>
      <w:r w:rsidR="005938AD">
        <w:fldChar w:fldCharType="separate"/>
      </w:r>
      <w:r w:rsidRPr="00511005">
        <w:rPr>
          <w:rFonts w:ascii="Arial" w:eastAsia="Times New Roman" w:hAnsi="Arial" w:cs="Arial"/>
          <w:kern w:val="2"/>
          <w:szCs w:val="28"/>
          <w:u w:color="000000"/>
          <w:lang w:val="uk" w:eastAsia="uk"/>
          <w14:ligatures w14:val="standardContextual"/>
        </w:rPr>
        <w:t>-</w:t>
      </w:r>
      <w:r w:rsidR="005938AD">
        <w:rPr>
          <w:rFonts w:ascii="Arial" w:eastAsia="Times New Roman" w:hAnsi="Arial" w:cs="Arial"/>
          <w:kern w:val="2"/>
          <w:szCs w:val="28"/>
          <w:u w:color="000000"/>
          <w:lang w:val="uk" w:eastAsia="uk"/>
          <w14:ligatures w14:val="standardContextual"/>
        </w:rPr>
        <w:fldChar w:fldCharType="end"/>
      </w:r>
      <w:r w:rsidR="005938AD">
        <w:fldChar w:fldCharType="begin"/>
      </w:r>
      <w:r w:rsidR="005938AD" w:rsidRPr="00055389">
        <w:rPr>
          <w:lang w:val="en-US"/>
        </w:rPr>
        <w:instrText xml:space="preserve"> HYPERLINK "https://www.journals.ua/index.php/journal-of-law-and-psychiatry" \h </w:instrText>
      </w:r>
      <w:r w:rsidR="005938AD">
        <w:fldChar w:fldCharType="separate"/>
      </w:r>
      <w:r w:rsidRPr="00511005">
        <w:rPr>
          <w:rFonts w:ascii="Arial" w:eastAsia="Times New Roman" w:hAnsi="Arial" w:cs="Arial"/>
          <w:kern w:val="2"/>
          <w:szCs w:val="28"/>
          <w:u w:color="000000"/>
          <w:lang w:val="uk" w:eastAsia="uk"/>
          <w14:ligatures w14:val="standardContextual"/>
        </w:rPr>
        <w:t>of</w:t>
      </w:r>
      <w:r w:rsidR="005938AD">
        <w:rPr>
          <w:rFonts w:ascii="Arial" w:eastAsia="Times New Roman" w:hAnsi="Arial" w:cs="Arial"/>
          <w:kern w:val="2"/>
          <w:szCs w:val="28"/>
          <w:u w:color="000000"/>
          <w:lang w:val="uk" w:eastAsia="uk"/>
          <w14:ligatures w14:val="standardContextual"/>
        </w:rPr>
        <w:fldChar w:fldCharType="end"/>
      </w:r>
      <w:r w:rsidR="005938AD">
        <w:fldChar w:fldCharType="begin"/>
      </w:r>
      <w:r w:rsidR="005938AD" w:rsidRPr="00055389">
        <w:rPr>
          <w:lang w:val="en-US"/>
        </w:rPr>
        <w:instrText xml:space="preserve"> HYPERLINK "https://www.journals.ua/index.php/journal-of-law-and-psychiatry" \h </w:instrText>
      </w:r>
      <w:r w:rsidR="005938AD">
        <w:fldChar w:fldCharType="separate"/>
      </w:r>
      <w:r w:rsidRPr="00511005">
        <w:rPr>
          <w:rFonts w:ascii="Arial" w:eastAsia="Times New Roman" w:hAnsi="Arial" w:cs="Arial"/>
          <w:kern w:val="2"/>
          <w:szCs w:val="28"/>
          <w:u w:color="000000"/>
          <w:lang w:val="uk" w:eastAsia="uk"/>
          <w14:ligatures w14:val="standardContextual"/>
        </w:rPr>
        <w:t>-</w:t>
      </w:r>
      <w:r w:rsidR="005938AD">
        <w:rPr>
          <w:rFonts w:ascii="Arial" w:eastAsia="Times New Roman" w:hAnsi="Arial" w:cs="Arial"/>
          <w:kern w:val="2"/>
          <w:szCs w:val="28"/>
          <w:u w:color="000000"/>
          <w:lang w:val="uk" w:eastAsia="uk"/>
          <w14:ligatures w14:val="standardContextual"/>
        </w:rPr>
        <w:fldChar w:fldCharType="end"/>
      </w:r>
      <w:r w:rsidR="005938AD">
        <w:fldChar w:fldCharType="begin"/>
      </w:r>
      <w:r w:rsidR="005938AD" w:rsidRPr="00055389">
        <w:rPr>
          <w:lang w:val="en-US"/>
        </w:rPr>
        <w:instrText xml:space="preserve"> HYPERLINK "https://www.journals.ua/index.php/journal-of-law-and-psychiatry"</w:instrText>
      </w:r>
      <w:r w:rsidR="005938AD" w:rsidRPr="00055389">
        <w:rPr>
          <w:lang w:val="en-US"/>
        </w:rPr>
        <w:instrText xml:space="preserve"> \h </w:instrText>
      </w:r>
      <w:r w:rsidR="005938AD">
        <w:fldChar w:fldCharType="separate"/>
      </w:r>
      <w:r w:rsidRPr="00511005">
        <w:rPr>
          <w:rFonts w:ascii="Arial" w:eastAsia="Times New Roman" w:hAnsi="Arial" w:cs="Arial"/>
          <w:kern w:val="2"/>
          <w:szCs w:val="28"/>
          <w:u w:color="000000"/>
          <w:lang w:val="uk" w:eastAsia="uk"/>
          <w14:ligatures w14:val="standardContextual"/>
        </w:rPr>
        <w:t>law</w:t>
      </w:r>
      <w:r w:rsidR="005938AD">
        <w:rPr>
          <w:rFonts w:ascii="Arial" w:eastAsia="Times New Roman" w:hAnsi="Arial" w:cs="Arial"/>
          <w:kern w:val="2"/>
          <w:szCs w:val="28"/>
          <w:u w:color="000000"/>
          <w:lang w:val="uk" w:eastAsia="uk"/>
          <w14:ligatures w14:val="standardContextual"/>
        </w:rPr>
        <w:fldChar w:fldCharType="end"/>
      </w:r>
      <w:r w:rsidR="005938AD">
        <w:fldChar w:fldCharType="begin"/>
      </w:r>
      <w:r w:rsidR="005938AD" w:rsidRPr="00055389">
        <w:rPr>
          <w:lang w:val="en-US"/>
        </w:rPr>
        <w:instrText xml:space="preserve"> HYPERLINK "https://www.journals.ua/index.php/journal-of-law-and-psychiatry" \h </w:instrText>
      </w:r>
      <w:r w:rsidR="005938AD">
        <w:fldChar w:fldCharType="separate"/>
      </w:r>
      <w:r w:rsidRPr="00511005">
        <w:rPr>
          <w:rFonts w:ascii="Arial" w:eastAsia="Times New Roman" w:hAnsi="Arial" w:cs="Arial"/>
          <w:kern w:val="2"/>
          <w:szCs w:val="28"/>
          <w:u w:color="000000"/>
          <w:lang w:val="uk" w:eastAsia="uk"/>
          <w14:ligatures w14:val="standardContextual"/>
        </w:rPr>
        <w:t>-</w:t>
      </w:r>
      <w:r w:rsidR="005938AD">
        <w:rPr>
          <w:rFonts w:ascii="Arial" w:eastAsia="Times New Roman" w:hAnsi="Arial" w:cs="Arial"/>
          <w:kern w:val="2"/>
          <w:szCs w:val="28"/>
          <w:u w:color="000000"/>
          <w:lang w:val="uk" w:eastAsia="uk"/>
          <w14:ligatures w14:val="standardContextual"/>
        </w:rPr>
        <w:fldChar w:fldCharType="end"/>
      </w:r>
      <w:r w:rsidR="005938AD">
        <w:fldChar w:fldCharType="begin"/>
      </w:r>
      <w:r w:rsidR="005938AD" w:rsidRPr="00055389">
        <w:rPr>
          <w:lang w:val="en-US"/>
        </w:rPr>
        <w:instrText xml:space="preserve"> HYPERLINK "https://www.journals.ua/index.php/journal-of-law-and-psychiatry" \h </w:instrText>
      </w:r>
      <w:r w:rsidR="005938AD">
        <w:fldChar w:fldCharType="separate"/>
      </w:r>
      <w:r w:rsidRPr="00511005">
        <w:rPr>
          <w:rFonts w:ascii="Arial" w:eastAsia="Times New Roman" w:hAnsi="Arial" w:cs="Arial"/>
          <w:kern w:val="2"/>
          <w:szCs w:val="28"/>
          <w:u w:color="000000"/>
          <w:lang w:val="uk" w:eastAsia="uk"/>
          <w14:ligatures w14:val="standardContextual"/>
        </w:rPr>
        <w:t>and</w:t>
      </w:r>
      <w:r w:rsidR="005938AD">
        <w:rPr>
          <w:rFonts w:ascii="Arial" w:eastAsia="Times New Roman" w:hAnsi="Arial" w:cs="Arial"/>
          <w:kern w:val="2"/>
          <w:szCs w:val="28"/>
          <w:u w:color="000000"/>
          <w:lang w:val="uk" w:eastAsia="uk"/>
          <w14:ligatures w14:val="standardContextual"/>
        </w:rPr>
        <w:fldChar w:fldCharType="end"/>
      </w:r>
      <w:r w:rsidR="005938AD">
        <w:fldChar w:fldCharType="begin"/>
      </w:r>
      <w:r w:rsidR="005938AD" w:rsidRPr="00055389">
        <w:rPr>
          <w:lang w:val="en-US"/>
        </w:rPr>
        <w:instrText xml:space="preserve"> HYPERLINK "https://www.journals.ua/index.php/journal-of-law-and-psychiatry"</w:instrText>
      </w:r>
      <w:r w:rsidR="005938AD" w:rsidRPr="00055389">
        <w:rPr>
          <w:lang w:val="en-US"/>
        </w:rPr>
        <w:instrText xml:space="preserve"> \h </w:instrText>
      </w:r>
      <w:r w:rsidR="005938AD">
        <w:fldChar w:fldCharType="separate"/>
      </w:r>
      <w:r w:rsidRPr="00511005">
        <w:rPr>
          <w:rFonts w:ascii="Arial" w:eastAsia="Times New Roman" w:hAnsi="Arial" w:cs="Arial"/>
          <w:kern w:val="2"/>
          <w:szCs w:val="28"/>
          <w:u w:color="000000"/>
          <w:lang w:val="uk" w:eastAsia="uk"/>
          <w14:ligatures w14:val="standardContextual"/>
        </w:rPr>
        <w:t>-</w:t>
      </w:r>
      <w:r w:rsidR="005938AD">
        <w:rPr>
          <w:rFonts w:ascii="Arial" w:eastAsia="Times New Roman" w:hAnsi="Arial" w:cs="Arial"/>
          <w:kern w:val="2"/>
          <w:szCs w:val="28"/>
          <w:u w:color="000000"/>
          <w:lang w:val="uk" w:eastAsia="uk"/>
          <w14:ligatures w14:val="standardContextual"/>
        </w:rPr>
        <w:fldChar w:fldCharType="end"/>
      </w:r>
      <w:r w:rsidR="005938AD">
        <w:fldChar w:fldCharType="begin"/>
      </w:r>
      <w:r w:rsidR="005938AD" w:rsidRPr="00055389">
        <w:rPr>
          <w:lang w:val="en-US"/>
        </w:rPr>
        <w:instrText xml:space="preserve"> HYPERLINK "https://www.journals.ua/index.php/journal-of-law-and-psychiatry" \h </w:instrText>
      </w:r>
      <w:r w:rsidR="005938AD">
        <w:fldChar w:fldCharType="separate"/>
      </w:r>
      <w:r w:rsidRPr="00511005">
        <w:rPr>
          <w:rFonts w:ascii="Arial" w:eastAsia="Times New Roman" w:hAnsi="Arial" w:cs="Arial"/>
          <w:kern w:val="2"/>
          <w:szCs w:val="28"/>
          <w:u w:color="000000"/>
          <w:lang w:val="uk" w:eastAsia="uk"/>
          <w14:ligatures w14:val="standardContextual"/>
        </w:rPr>
        <w:t>psychiatry</w:t>
      </w:r>
      <w:r w:rsidR="005938AD">
        <w:rPr>
          <w:rFonts w:ascii="Arial" w:eastAsia="Times New Roman" w:hAnsi="Arial" w:cs="Arial"/>
          <w:kern w:val="2"/>
          <w:szCs w:val="28"/>
          <w:u w:color="000000"/>
          <w:lang w:val="uk" w:eastAsia="uk"/>
          <w14:ligatures w14:val="standardContextual"/>
        </w:rPr>
        <w:fldChar w:fldCharType="end"/>
      </w:r>
    </w:p>
    <w:p w14:paraId="3B6CEED2" w14:textId="77777777" w:rsidR="00200E87" w:rsidRPr="00511005" w:rsidRDefault="00200E87" w:rsidP="003F6A5D">
      <w:pPr>
        <w:numPr>
          <w:ilvl w:val="0"/>
          <w:numId w:val="512"/>
        </w:numPr>
        <w:spacing w:line="264" w:lineRule="auto"/>
        <w:contextualSpacing/>
        <w:jc w:val="left"/>
        <w:rPr>
          <w:rFonts w:ascii="Arial" w:eastAsia="Times New Roman" w:hAnsi="Arial" w:cs="Arial"/>
          <w:kern w:val="2"/>
          <w:szCs w:val="28"/>
          <w:lang w:val="uk" w:eastAsia="uk"/>
          <w14:ligatures w14:val="standardContextual"/>
        </w:rPr>
      </w:pPr>
      <w:r w:rsidRPr="00511005">
        <w:rPr>
          <w:rFonts w:ascii="Arial" w:eastAsia="Times New Roman" w:hAnsi="Arial" w:cs="Arial"/>
          <w:kern w:val="2"/>
          <w:szCs w:val="28"/>
          <w:lang w:val="uk" w:eastAsia="uk"/>
          <w14:ligatures w14:val="standardContextual"/>
        </w:rPr>
        <w:t xml:space="preserve">"Psychiatric Implications in Legal Context". (2018). Journal of Law and Psychiatry. </w:t>
      </w:r>
      <w:r w:rsidRPr="00511005">
        <w:rPr>
          <w:rFonts w:ascii="Arial" w:eastAsia="Times New Roman" w:hAnsi="Arial" w:cs="Arial"/>
          <w:kern w:val="2"/>
          <w:szCs w:val="28"/>
          <w:lang w:val="uk" w:eastAsia="uk"/>
          <w14:ligatures w14:val="standardContextual"/>
        </w:rPr>
        <w:tab/>
        <w:t xml:space="preserve">Дата </w:t>
      </w:r>
      <w:r w:rsidRPr="00511005">
        <w:rPr>
          <w:rFonts w:ascii="Arial" w:eastAsia="Times New Roman" w:hAnsi="Arial" w:cs="Arial"/>
          <w:kern w:val="2"/>
          <w:szCs w:val="28"/>
          <w:lang w:val="uk" w:eastAsia="uk"/>
          <w14:ligatures w14:val="standardContextual"/>
        </w:rPr>
        <w:tab/>
        <w:t xml:space="preserve">звернення: </w:t>
      </w:r>
      <w:r w:rsidRPr="00511005">
        <w:rPr>
          <w:rFonts w:ascii="Arial" w:eastAsia="Times New Roman" w:hAnsi="Arial" w:cs="Arial"/>
          <w:kern w:val="2"/>
          <w:szCs w:val="28"/>
          <w:lang w:val="uk" w:eastAsia="uk"/>
          <w14:ligatures w14:val="standardContextual"/>
        </w:rPr>
        <w:tab/>
        <w:t xml:space="preserve">11 </w:t>
      </w:r>
      <w:r w:rsidRPr="00511005">
        <w:rPr>
          <w:rFonts w:ascii="Arial" w:eastAsia="Times New Roman" w:hAnsi="Arial" w:cs="Arial"/>
          <w:kern w:val="2"/>
          <w:szCs w:val="28"/>
          <w:lang w:val="uk" w:eastAsia="uk"/>
          <w14:ligatures w14:val="standardContextual"/>
        </w:rPr>
        <w:tab/>
        <w:t xml:space="preserve">квітня </w:t>
      </w:r>
      <w:r w:rsidRPr="00511005">
        <w:rPr>
          <w:rFonts w:ascii="Arial" w:eastAsia="Times New Roman" w:hAnsi="Arial" w:cs="Arial"/>
          <w:kern w:val="2"/>
          <w:szCs w:val="28"/>
          <w:lang w:val="uk" w:eastAsia="uk"/>
          <w14:ligatures w14:val="standardContextual"/>
        </w:rPr>
        <w:tab/>
        <w:t xml:space="preserve">2025 </w:t>
      </w:r>
      <w:r w:rsidRPr="00511005">
        <w:rPr>
          <w:rFonts w:ascii="Arial" w:eastAsia="Times New Roman" w:hAnsi="Arial" w:cs="Arial"/>
          <w:kern w:val="2"/>
          <w:szCs w:val="28"/>
          <w:lang w:val="uk" w:eastAsia="uk"/>
          <w14:ligatures w14:val="standardContextual"/>
        </w:rPr>
        <w:tab/>
        <w:t xml:space="preserve">р. </w:t>
      </w:r>
      <w:r w:rsidRPr="00511005">
        <w:rPr>
          <w:rFonts w:ascii="Arial" w:eastAsia="Times New Roman" w:hAnsi="Arial" w:cs="Arial"/>
          <w:kern w:val="2"/>
          <w:szCs w:val="28"/>
          <w:lang w:val="uk" w:eastAsia="uk"/>
          <w14:ligatures w14:val="standardContextual"/>
        </w:rPr>
        <w:tab/>
        <w:t xml:space="preserve">URL: </w:t>
      </w:r>
      <w:hyperlink r:id="rId1805">
        <w:r w:rsidRPr="00511005">
          <w:rPr>
            <w:rFonts w:ascii="Arial" w:eastAsia="Times New Roman" w:hAnsi="Arial" w:cs="Arial"/>
            <w:kern w:val="2"/>
            <w:szCs w:val="28"/>
            <w:u w:color="000000"/>
            <w:lang w:val="uk" w:eastAsia="uk"/>
            <w14:ligatures w14:val="standardContextual"/>
          </w:rPr>
          <w:t>https://www.journals.elsevier.com/journal</w:t>
        </w:r>
      </w:hyperlink>
      <w:hyperlink r:id="rId1806">
        <w:r w:rsidRPr="00511005">
          <w:rPr>
            <w:rFonts w:ascii="Arial" w:eastAsia="Times New Roman" w:hAnsi="Arial" w:cs="Arial"/>
            <w:kern w:val="2"/>
            <w:szCs w:val="28"/>
            <w:u w:color="000000"/>
            <w:lang w:val="uk" w:eastAsia="uk"/>
            <w14:ligatures w14:val="standardContextual"/>
          </w:rPr>
          <w:t>-</w:t>
        </w:r>
      </w:hyperlink>
      <w:hyperlink r:id="rId1807">
        <w:r w:rsidRPr="00511005">
          <w:rPr>
            <w:rFonts w:ascii="Arial" w:eastAsia="Times New Roman" w:hAnsi="Arial" w:cs="Arial"/>
            <w:kern w:val="2"/>
            <w:szCs w:val="28"/>
            <w:u w:color="000000"/>
            <w:lang w:val="uk" w:eastAsia="uk"/>
            <w14:ligatures w14:val="standardContextual"/>
          </w:rPr>
          <w:t>of</w:t>
        </w:r>
      </w:hyperlink>
      <w:hyperlink r:id="rId1808">
        <w:r w:rsidRPr="00511005">
          <w:rPr>
            <w:rFonts w:ascii="Arial" w:eastAsia="Times New Roman" w:hAnsi="Arial" w:cs="Arial"/>
            <w:kern w:val="2"/>
            <w:szCs w:val="28"/>
            <w:u w:color="000000"/>
            <w:lang w:val="uk" w:eastAsia="uk"/>
            <w14:ligatures w14:val="standardContextual"/>
          </w:rPr>
          <w:t>-</w:t>
        </w:r>
      </w:hyperlink>
      <w:hyperlink r:id="rId1809">
        <w:r w:rsidRPr="00511005">
          <w:rPr>
            <w:rFonts w:ascii="Arial" w:eastAsia="Times New Roman" w:hAnsi="Arial" w:cs="Arial"/>
            <w:kern w:val="2"/>
            <w:szCs w:val="28"/>
            <w:u w:color="000000"/>
            <w:lang w:val="uk" w:eastAsia="uk"/>
            <w14:ligatures w14:val="standardContextual"/>
          </w:rPr>
          <w:t>law</w:t>
        </w:r>
      </w:hyperlink>
      <w:hyperlink r:id="rId1810">
        <w:r w:rsidRPr="00511005">
          <w:rPr>
            <w:rFonts w:ascii="Arial" w:eastAsia="Times New Roman" w:hAnsi="Arial" w:cs="Arial"/>
            <w:kern w:val="2"/>
            <w:szCs w:val="28"/>
            <w:u w:color="000000"/>
            <w:lang w:val="uk" w:eastAsia="uk"/>
            <w14:ligatures w14:val="standardContextual"/>
          </w:rPr>
          <w:t>-</w:t>
        </w:r>
      </w:hyperlink>
      <w:hyperlink r:id="rId1811">
        <w:r w:rsidRPr="00511005">
          <w:rPr>
            <w:rFonts w:ascii="Arial" w:eastAsia="Times New Roman" w:hAnsi="Arial" w:cs="Arial"/>
            <w:kern w:val="2"/>
            <w:szCs w:val="28"/>
            <w:u w:color="000000"/>
            <w:lang w:val="uk" w:eastAsia="uk"/>
            <w14:ligatures w14:val="standardContextual"/>
          </w:rPr>
          <w:t>and</w:t>
        </w:r>
      </w:hyperlink>
      <w:hyperlink r:id="rId1812">
        <w:r w:rsidRPr="00511005">
          <w:rPr>
            <w:rFonts w:ascii="Arial" w:eastAsia="Times New Roman" w:hAnsi="Arial" w:cs="Arial"/>
            <w:kern w:val="2"/>
            <w:szCs w:val="28"/>
            <w:u w:color="000000"/>
            <w:lang w:val="uk" w:eastAsia="uk"/>
            <w14:ligatures w14:val="standardContextual"/>
          </w:rPr>
          <w:t>-</w:t>
        </w:r>
      </w:hyperlink>
      <w:hyperlink r:id="rId1813">
        <w:r w:rsidRPr="00511005">
          <w:rPr>
            <w:rFonts w:ascii="Arial" w:eastAsia="Times New Roman" w:hAnsi="Arial" w:cs="Arial"/>
            <w:kern w:val="2"/>
            <w:szCs w:val="28"/>
            <w:u w:color="000000"/>
            <w:lang w:val="uk" w:eastAsia="uk"/>
            <w14:ligatures w14:val="standardContextual"/>
          </w:rPr>
          <w:t>psychiatry</w:t>
        </w:r>
      </w:hyperlink>
      <w:hyperlink r:id="rId1814">
        <w:r w:rsidRPr="00511005">
          <w:rPr>
            <w:rFonts w:ascii="Arial" w:eastAsia="Times New Roman" w:hAnsi="Arial" w:cs="Arial"/>
            <w:kern w:val="2"/>
            <w:szCs w:val="28"/>
            <w:lang w:val="uk" w:eastAsia="uk"/>
            <w14:ligatures w14:val="standardContextual"/>
          </w:rPr>
          <w:t xml:space="preserve"> </w:t>
        </w:r>
      </w:hyperlink>
    </w:p>
    <w:p w14:paraId="5D12B924" w14:textId="77777777" w:rsidR="00200E87" w:rsidRPr="00511005" w:rsidRDefault="00200E87" w:rsidP="003A292D">
      <w:pPr>
        <w:spacing w:line="264" w:lineRule="auto"/>
        <w:ind w:firstLine="0"/>
        <w:rPr>
          <w:rFonts w:ascii="Arial" w:eastAsia="Times New Roman" w:hAnsi="Arial" w:cs="Arial"/>
          <w:b/>
          <w:kern w:val="2"/>
          <w:szCs w:val="28"/>
          <w:lang w:val="uk" w:eastAsia="uk"/>
          <w14:ligatures w14:val="standardContextual"/>
        </w:rPr>
      </w:pPr>
    </w:p>
    <w:p w14:paraId="32558587" w14:textId="452EB743" w:rsidR="00200E87" w:rsidRPr="00511005" w:rsidRDefault="007B2628" w:rsidP="003A292D">
      <w:pPr>
        <w:spacing w:line="264" w:lineRule="auto"/>
        <w:ind w:firstLine="0"/>
        <w:rPr>
          <w:rFonts w:ascii="Arial" w:eastAsia="Times New Roman" w:hAnsi="Arial" w:cs="Arial"/>
          <w:kern w:val="2"/>
          <w:szCs w:val="28"/>
          <w:lang w:val="uk" w:eastAsia="uk"/>
          <w14:ligatures w14:val="standardContextual"/>
        </w:rPr>
      </w:pPr>
      <w:r w:rsidRPr="00511005">
        <w:rPr>
          <w:rFonts w:ascii="Arial" w:eastAsia="Times New Roman" w:hAnsi="Arial" w:cs="Arial"/>
          <w:b/>
          <w:i/>
          <w:kern w:val="2"/>
          <w:szCs w:val="28"/>
          <w:lang w:val="uk" w:eastAsia="uk"/>
          <w14:ligatures w14:val="standardContextual"/>
        </w:rPr>
        <w:t xml:space="preserve">Ключові слова: </w:t>
      </w:r>
      <w:r w:rsidR="00200E87" w:rsidRPr="00511005">
        <w:rPr>
          <w:rFonts w:ascii="Arial" w:eastAsia="Times New Roman" w:hAnsi="Arial" w:cs="Arial"/>
          <w:kern w:val="2"/>
          <w:szCs w:val="28"/>
          <w:lang w:val="uk" w:eastAsia="uk"/>
          <w14:ligatures w14:val="standardContextual"/>
        </w:rPr>
        <w:t xml:space="preserve">психічні розлади, кримінально-протиправна поведінка, осудність, неосудність, емоційні порушення, тривожні розлади, депресія, афекти, кримінальна відповідальність, правова відповідальність, психіатричні захворювання, судова практика, медичний критерій, юридичний критерій, судове лікування; </w:t>
      </w:r>
    </w:p>
    <w:p w14:paraId="15F051A7" w14:textId="04805C3E" w:rsidR="00200E87" w:rsidRPr="00511005" w:rsidRDefault="007B2628" w:rsidP="003A292D">
      <w:pPr>
        <w:spacing w:line="264" w:lineRule="auto"/>
        <w:ind w:right="15" w:firstLine="0"/>
        <w:rPr>
          <w:rFonts w:ascii="Arial" w:eastAsia="Times New Roman" w:hAnsi="Arial" w:cs="Arial"/>
          <w:kern w:val="2"/>
          <w:szCs w:val="28"/>
          <w:lang w:val="uk" w:eastAsia="uk"/>
          <w14:ligatures w14:val="standardContextual"/>
        </w:rPr>
      </w:pPr>
      <w:r w:rsidRPr="00511005">
        <w:rPr>
          <w:rFonts w:ascii="Arial" w:eastAsia="Times New Roman" w:hAnsi="Arial" w:cs="Arial"/>
          <w:b/>
          <w:i/>
          <w:kern w:val="2"/>
          <w:szCs w:val="28"/>
          <w:lang w:val="uk" w:eastAsia="uk"/>
          <w14:ligatures w14:val="standardContextual"/>
        </w:rPr>
        <w:t xml:space="preserve">Key words: </w:t>
      </w:r>
      <w:r w:rsidR="00200E87" w:rsidRPr="00511005">
        <w:rPr>
          <w:rFonts w:ascii="Arial" w:eastAsia="Times New Roman" w:hAnsi="Arial" w:cs="Arial"/>
          <w:kern w:val="2"/>
          <w:szCs w:val="28"/>
          <w:lang w:val="uk" w:eastAsia="uk"/>
          <w14:ligatures w14:val="standardContextual"/>
        </w:rPr>
        <w:t>mental disorders, criminal behavior, sanity, insanity, emotional disorders, anxiety disorders, depression, affective disorders, criminal liability, legal responsibility, psychiatric diseases, judicial practice, medical criterion, legal criterion, court-ordered treatment</w:t>
      </w:r>
    </w:p>
    <w:p w14:paraId="3F7943B1" w14:textId="77777777" w:rsidR="00200E87" w:rsidRPr="00511005" w:rsidRDefault="00200E87" w:rsidP="003A292D">
      <w:pPr>
        <w:spacing w:line="264" w:lineRule="auto"/>
        <w:ind w:right="15" w:firstLine="0"/>
        <w:rPr>
          <w:rFonts w:ascii="Arial" w:eastAsia="Times New Roman" w:hAnsi="Arial" w:cs="Arial"/>
          <w:i/>
          <w:kern w:val="2"/>
          <w:szCs w:val="28"/>
          <w:lang w:val="uk" w:eastAsia="uk"/>
          <w14:ligatures w14:val="standardContextual"/>
        </w:rPr>
      </w:pPr>
    </w:p>
    <w:p w14:paraId="2A26B6D7" w14:textId="30DD7F49" w:rsidR="00200E87" w:rsidRPr="00511005" w:rsidRDefault="007B2628" w:rsidP="003A292D">
      <w:pPr>
        <w:spacing w:line="264" w:lineRule="auto"/>
        <w:ind w:right="15" w:firstLine="0"/>
        <w:rPr>
          <w:rFonts w:ascii="Arial" w:eastAsia="Times New Roman" w:hAnsi="Arial" w:cs="Arial"/>
          <w:i/>
          <w:kern w:val="2"/>
          <w:szCs w:val="28"/>
          <w:lang w:val="uk" w:eastAsia="uk"/>
          <w14:ligatures w14:val="standardContextual"/>
        </w:rPr>
      </w:pPr>
      <w:r w:rsidRPr="00511005">
        <w:rPr>
          <w:rFonts w:ascii="Arial" w:eastAsia="Times New Roman" w:hAnsi="Arial" w:cs="Arial"/>
          <w:b/>
          <w:i/>
          <w:kern w:val="2"/>
          <w:szCs w:val="28"/>
          <w:lang w:val="uk" w:eastAsia="uk"/>
          <w14:ligatures w14:val="standardContextual"/>
        </w:rPr>
        <w:t xml:space="preserve">Науковий керівник: </w:t>
      </w:r>
      <w:r w:rsidR="00200E87" w:rsidRPr="00511005">
        <w:rPr>
          <w:rFonts w:ascii="Arial" w:eastAsia="Times New Roman" w:hAnsi="Arial" w:cs="Arial"/>
          <w:i/>
          <w:kern w:val="2"/>
          <w:szCs w:val="28"/>
          <w:lang w:val="uk" w:eastAsia="uk"/>
          <w14:ligatures w14:val="standardContextual"/>
        </w:rPr>
        <w:t xml:space="preserve">к.ю.н. доцент Хильченко А.С. </w:t>
      </w:r>
    </w:p>
    <w:p w14:paraId="2A413245" w14:textId="77777777" w:rsidR="00200E87" w:rsidRPr="00511005" w:rsidRDefault="00200E87" w:rsidP="003A292D">
      <w:pPr>
        <w:spacing w:line="264" w:lineRule="auto"/>
        <w:ind w:firstLine="0"/>
        <w:jc w:val="center"/>
        <w:rPr>
          <w:rFonts w:ascii="Arial" w:eastAsia="Calibri" w:hAnsi="Arial" w:cs="Arial"/>
          <w:b/>
          <w:szCs w:val="28"/>
          <w:lang w:val="uk-UA"/>
        </w:rPr>
      </w:pPr>
    </w:p>
    <w:p w14:paraId="22324494" w14:textId="77777777" w:rsidR="00200E87" w:rsidRPr="00511005" w:rsidRDefault="00200E87" w:rsidP="003A292D">
      <w:pPr>
        <w:spacing w:line="264" w:lineRule="auto"/>
        <w:ind w:firstLine="0"/>
        <w:jc w:val="center"/>
        <w:rPr>
          <w:rFonts w:ascii="Arial" w:eastAsia="Calibri" w:hAnsi="Arial" w:cs="Arial"/>
          <w:b/>
          <w:szCs w:val="28"/>
          <w:lang w:val="uk-UA"/>
        </w:rPr>
      </w:pPr>
    </w:p>
    <w:p w14:paraId="02F51EF8" w14:textId="77777777" w:rsidR="00200E87" w:rsidRPr="00511005" w:rsidRDefault="00200E8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Доможирська Наталя Олегівна</w:t>
      </w:r>
      <w:r w:rsidRPr="00511005">
        <w:rPr>
          <w:rFonts w:ascii="Arial" w:eastAsia="Calibri" w:hAnsi="Arial" w:cs="Arial"/>
          <w:b/>
          <w:i/>
          <w:szCs w:val="28"/>
        </w:rPr>
        <w:t xml:space="preserve"> </w:t>
      </w:r>
    </w:p>
    <w:p w14:paraId="10B1D495" w14:textId="250B2236" w:rsidR="00200E8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3-го курсу </w:t>
      </w:r>
      <w:r w:rsidR="007B2628" w:rsidRPr="00511005">
        <w:rPr>
          <w:rFonts w:ascii="Arial" w:eastAsia="Calibri" w:hAnsi="Arial" w:cs="Arial"/>
          <w:szCs w:val="28"/>
          <w:lang w:val="uk-UA"/>
        </w:rPr>
        <w:t>факультету цивільної та господарської юстиції</w:t>
      </w:r>
    </w:p>
    <w:p w14:paraId="11350C5C" w14:textId="02CAA36B" w:rsidR="00200E8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B27E0B1" w14:textId="77777777" w:rsidR="00200E87" w:rsidRPr="00511005" w:rsidRDefault="00200E87" w:rsidP="003A292D">
      <w:pPr>
        <w:spacing w:line="264" w:lineRule="auto"/>
        <w:ind w:firstLine="0"/>
        <w:jc w:val="center"/>
        <w:rPr>
          <w:rFonts w:ascii="Arial" w:eastAsia="Calibri" w:hAnsi="Arial" w:cs="Arial"/>
          <w:szCs w:val="28"/>
          <w:lang w:val="uk-UA"/>
        </w:rPr>
      </w:pPr>
    </w:p>
    <w:p w14:paraId="03E3B3C8" w14:textId="77777777" w:rsidR="00200E87" w:rsidRPr="00511005" w:rsidRDefault="00200E8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НЕОБХІДНА ОБОРОНА В КРИМІНАЛЬНИХ ПРАВОПОРУШЕННЯХ ПРОТИ СТАТЕВОЇ СВОБОДИ ТА СТАТЕВОЇ НЕДОТОРКАНОСТІ ОСОБИ: ПРАВОМІРНІСТЬ ТА МЕЖІ ДОПУСТИМОГО ЗАХИСТУ</w:t>
      </w:r>
    </w:p>
    <w:p w14:paraId="5174AC17"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Виразом фундаментальної гарантії захисту особи від протиправного посягання є положення ст. 27 Конституції України, згідно з яким кожній особі надається право на самостійний захист свого життя і здоров’я, життя і здоров’я інших осіб від протиправних посягань [1]. Крім того, одним із принципів кримінального законодавства є принцип справедливості, що передбачає, зокрема, недопустимість криміналізації дій особи, яка діяла з метою відвернення безпосередньої загрози її життю чи здоров’ю, що фактично встановлює підґрунтя для правового інструменту необхідної оборони.</w:t>
      </w:r>
    </w:p>
    <w:p w14:paraId="03FABD2F"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Інститут необхідної оборони є однією з найдавніших форм реалізації природного права людини на самозахист, яке визнається як на національному, так і на міжнародному рівнях. В українському праві його нормативне закріплення міститься у ст. 36 Кримінального кодексу України (далі— ККУ), де визначено підстави, умови та межі правомірної необхідної оборони. Особливого значення цей інститут набуває у контексті кримінальних правопорушень проти статевої свободи та статевої недоторканості, де характер і динаміка посягання часто виключають можливість звернення по допомогу до органів правопорядку в реальному часі. У таких ситуаціях особа нерідко змушена самостійно, у межах допустимого, захищати свою честь, гідність та статеву недоторканість.</w:t>
      </w:r>
    </w:p>
    <w:p w14:paraId="45386AD9"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Хоча законодавець не надає окремого дефінітивного визначення поняттю необхідної оборони, таке визначення вдається можливими сформулювати з огляду на викладене в ч. 1 ст. 36 ККУ, відповідно до якої необхідною обороною визнаються дії, спрямовані на захист охоронюваних законом прав і свобод особи, яка обороняється, або іншої особи, а також інтересів суспільства чи держави, від суспільно небезпечного посягання. Такий захист може супроводжуватися заподіянням шкоди тому, хто посягає, якщо ця шкода є мінімально необхідною та достатньою в конкретній обстановці для негайного припинення або відвернення посягання, за умови дотримання меж допустимого захисту [2]. Отже, стає зрозуміло, що необхідна оборона—це правомірне заподіяння шкоди особі, яка посягає, з метою захисту від реальної суспільно небезпечної загрози, за умови дотримання критеріїв своєчасності, необхідності та пропорційності захисту.</w:t>
      </w:r>
    </w:p>
    <w:p w14:paraId="2067D835"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Застосування критеріїв своєчасності, необхідності та пропорційності дій особи, яка обороняється, набуває особливого значення в межах кримінальних проваджень щодо правопорушень проти статевої свободи та статевої недоторканості особи. Ця категорія справ вирізняється особливою складністю, зумовленою як глибокою психологічною травматичністю посягань, так і вразливістю потерпілих — здебільшого жінок, дітей чи осіб із психоемоційними особливостями. У подібних ситуаціях дії злочинця мають різко агресивний, принизливий і травмуючий характер, що не лише порушує фізичну недоторканість, а й завдає істотної шкоди психіці. За таких обставин особа, яка обороняється, часто перебуває в стані сильного душевного хвилювання або афекту, що унеможливлює точне співвіднесення своїх дій із законодавчими критеріями допустимого захисту.</w:t>
      </w:r>
    </w:p>
    <w:p w14:paraId="4ADE26C5"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Аналіз судової практики свідчить, що ключовим критерієм для правової оцінки дій оборонця часто необґрунтовано виступає ступінь тяжкості шкоди, завданої особі, яка посягала. У випадках, коли така шкода є істотною, особу, яка захищалася, нерідко кваліфікують як таку, що перевищила межі необхідної оборони, — навіть якщо її дії були спричинені загрозою насильницького сексуального характеру. Такий підхід фактично ігнорує специфіку статевих злочинів, в межах яких особа, що обороняється, може діяти імпульсивно, не маючи можливості адекватно оцінити ступінь загрози та співрозмірність захисту. У цьому контексті слушною є думка д. ю. н., професора Б. М. Орловського, який обґрунтовано піддає критиці підхід, за якого основна увага приділяється результату, а не відповідності дій ознакам правомірності. На його думку, оцінка має ґрунтуватися виключно на наявності умов необхідної оборони, а не на наслідках для правопорушника. Якщо дії оборонця відповідали критеріям своєчасності, необхідності та пропорційності в конкретній обстановці, їх не слід піддавати додатковій моральній чи суб’єктивній переоцінці з боку суду [3, с. 109].</w:t>
      </w:r>
    </w:p>
    <w:p w14:paraId="47823247"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В злочинах проти статевої свободи та статевої недоторканості об’єктивне визначення меж допустимого захисту ускладнюється емоційною нестабільністю, психологічною травмою та вразливістю потерпілої особи. У таких випадках необхідна оборона має тлумачитися з урахуванням контексту загрози, а межі допустимого самозахисту — оцінюватися гнучкіше. Інакше система кримінального судочинства перетворюється на механізм повторної віктимізації, коли особа, що зазнала сексуального насильства, не лише захищає себе ціною травми, а й постає перед загрозою кримінального переслідування.</w:t>
      </w:r>
    </w:p>
    <w:p w14:paraId="68CF980B"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 умовах сьогодення, коли суспільство поступово позбувається толерантності до сексуального насильства, а законодавство рухається в напрямку посилення захисту особистої свободи та тілесної недоторканості, очевидним стає потреба в переосмисленні підходів до інституту необхідної оборони. Це особливо важливо у зв’язку з тим, що межі правомірного захисту в реальній ситуації не є чіткими лініями, які особа здатна моментально окреслити. Їх визначення завжди буде залежати від швидкоплинних обставин, характеру посягання та внутрішнього стану захисника. Тому справедливою видається позиція, за якої межа правомірності оборони повинна визначатися з урахуванням самої суті необхідної оборони — як невідкладної відповіді на загрозу, а не як юридичної конструкції з жорстко визначеними параметрами дії. Іншими словами, межа не має бути пасткою для потерпілої особи — вона має бути простором, у межах якого дозволено діяти рішуче і без страху бути покараною.</w:t>
      </w:r>
    </w:p>
    <w:p w14:paraId="7F08DE6B" w14:textId="0744F1C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Втіленням цієї теоретичної конструкції є беззаперечна, на нашу думку, необхідність закріплення у законодавстві спеціального застереження (аналогічно до ч. 5 ст. 36 КК України) щодо неприпустимості притягнення до відповідальності особи, яка вчинила дії в межах необхідної оборони при статевому посяганні, незалежно від наслідків, які настали для нападника. Такий підхід має стати міцною гарантією впевненості у праві на захист — не умовною, не теоретичною, а реальною. Але не дивлячись на раніше сформульовані позиції науковців з приводу удосконалення нормативного регулювання інституту необхідної оборони, зокрема в монографічних працях к. ю. н., доцента Г. М. Андрусяка </w:t>
      </w:r>
      <w:r w:rsidRPr="00511005">
        <w:rPr>
          <w:rFonts w:ascii="Arial" w:eastAsia="Calibri" w:hAnsi="Arial" w:cs="Arial"/>
          <w:szCs w:val="28"/>
        </w:rPr>
        <w:t>[4]</w:t>
      </w:r>
      <w:r w:rsidRPr="00511005">
        <w:rPr>
          <w:rFonts w:ascii="Arial" w:eastAsia="Calibri" w:hAnsi="Arial" w:cs="Arial"/>
          <w:szCs w:val="28"/>
          <w:lang w:val="uk-UA"/>
        </w:rPr>
        <w:t>,</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на сьогоднішній день ми спостерігаємо явну відсутність прогресу в реалізації цих змін на рівні законодавства. Це спричиняє не тільки правову невизначеність, але й нестабільність, особливо для вразливих категорій осіб, серед яких жертви статевих злочинів.</w:t>
      </w:r>
    </w:p>
    <w:p w14:paraId="1249BBD0"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lang w:val="uk-UA"/>
        </w:rPr>
        <w:t xml:space="preserve">У зв’язку з дією воєнного стану, який триває в Україні внаслідок агресії Російської Федерації, ця проблема стає ще більш актуальною. В умовах конфлікту, в умовах безперервної психологічної напруги та небезпеки, людина часто знаходиться під великим стресом, що обумовлює не тільки </w:t>
      </w:r>
      <w:r w:rsidRPr="00511005">
        <w:rPr>
          <w:rFonts w:ascii="Arial" w:eastAsia="Calibri" w:hAnsi="Arial" w:cs="Arial"/>
          <w:szCs w:val="28"/>
          <w:lang w:val="uk-UA"/>
        </w:rPr>
        <w:lastRenderedPageBreak/>
        <w:t>підвищену агресивність, але й сприйнятливість до будь-яких посягань на особисту недоторканність. Відсутність належного правового захисту, в тому числі і для жертв сексуального насильства, веде до того, що вразливі особи опиняються у ще більшій небезпеці.</w:t>
      </w:r>
    </w:p>
    <w:p w14:paraId="31B6E7AA"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eastAsia="ru-RU"/>
        </w:rPr>
        <w:t xml:space="preserve">Отже, на підставі викладеного </w:t>
      </w:r>
      <w:r w:rsidRPr="00511005">
        <w:rPr>
          <w:rFonts w:ascii="Arial" w:eastAsia="Times New Roman" w:hAnsi="Arial" w:cs="Arial"/>
          <w:szCs w:val="28"/>
          <w:lang w:val="uk-UA" w:eastAsia="ru-RU"/>
        </w:rPr>
        <w:t xml:space="preserve">виявлено нагальну потребу в переосмисленні підходів до інституту необхідної оборони, особливо в контексті захисту жертв сексуального насильства. Судова практика часто не враховує специфіку таких злочинів, емоційний стан потерпілих та динаміку посягання, що призводить до необґрунтованого визнання перевищення меж необхідної оборони. </w:t>
      </w:r>
    </w:p>
    <w:p w14:paraId="50E23B13"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Наголошується на необхідності законодавчого закріплення спеціального застереження про неприпустимість притягнення до відповідальності особи, яка вчинила дії в межах необхідної оборони при статевому посяганні, незалежно від наслідків для нападника, для забезпечення реального, а не теоретичного права на захист. Відсутність прогресу в реалізації цих змін на рівні законодавства спричиняє правову невизначеність та нестабільність, особливо для вразливих категорій осіб, що стає ще актуальнішим в умовах воєнного стану.</w:t>
      </w:r>
    </w:p>
    <w:p w14:paraId="12012B56" w14:textId="77777777" w:rsidR="00200E87" w:rsidRPr="00511005" w:rsidRDefault="00200E87" w:rsidP="003A292D">
      <w:pPr>
        <w:keepNext/>
        <w:widowControl w:val="0"/>
        <w:spacing w:line="264" w:lineRule="auto"/>
        <w:ind w:firstLine="0"/>
        <w:jc w:val="center"/>
        <w:rPr>
          <w:rFonts w:ascii="Arial" w:eastAsia="Times New Roman" w:hAnsi="Arial" w:cs="Arial"/>
          <w:b/>
          <w:iCs/>
          <w:szCs w:val="28"/>
          <w:lang w:val="uk-UA" w:eastAsia="ru-RU"/>
        </w:rPr>
      </w:pPr>
    </w:p>
    <w:p w14:paraId="51E83724" w14:textId="3E14B251" w:rsidR="00200E87" w:rsidRPr="00511005" w:rsidRDefault="007B2628" w:rsidP="007B2628">
      <w:pPr>
        <w:keepNext/>
        <w:widowControl w:val="0"/>
        <w:spacing w:line="264" w:lineRule="auto"/>
        <w:ind w:firstLine="0"/>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5498430F" w14:textId="77777777" w:rsidR="00200E87" w:rsidRPr="00511005" w:rsidRDefault="00200E87" w:rsidP="003F6A5D">
      <w:pPr>
        <w:numPr>
          <w:ilvl w:val="0"/>
          <w:numId w:val="513"/>
        </w:numPr>
        <w:spacing w:line="264" w:lineRule="auto"/>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Конституція України: Закон України від 28 червня 1996 р. № 254к/96-ВР / Верховна Рада України. Відомості Верховної Ради України. 1996. № 30. </w:t>
      </w:r>
    </w:p>
    <w:p w14:paraId="70516E43" w14:textId="77777777" w:rsidR="00200E87" w:rsidRPr="00511005" w:rsidRDefault="00200E87" w:rsidP="003F6A5D">
      <w:pPr>
        <w:numPr>
          <w:ilvl w:val="0"/>
          <w:numId w:val="513"/>
        </w:numPr>
        <w:spacing w:line="264" w:lineRule="auto"/>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Кримінальний кодекс України. Кодекс України: Закон, Кодекс від 05.04.2001 Nº 2341-111. URL: </w:t>
      </w:r>
      <w:hyperlink r:id="rId1815" w:anchor="Text" w:history="1">
        <w:r w:rsidRPr="00511005">
          <w:rPr>
            <w:rFonts w:ascii="Arial" w:eastAsia="Times New Roman" w:hAnsi="Arial" w:cs="Arial"/>
            <w:bCs/>
            <w:szCs w:val="28"/>
            <w:lang w:val="uk-UA" w:eastAsia="ru-RU"/>
          </w:rPr>
          <w:t>https://zakon.rada.gov.ua/laws/show/2341-14#Text</w:t>
        </w:r>
      </w:hyperlink>
      <w:r w:rsidRPr="00511005">
        <w:rPr>
          <w:rFonts w:ascii="Arial" w:eastAsia="Times New Roman" w:hAnsi="Arial" w:cs="Arial"/>
          <w:bCs/>
          <w:szCs w:val="28"/>
          <w:lang w:val="uk-UA" w:eastAsia="ru-RU"/>
        </w:rPr>
        <w:t xml:space="preserve"> (Дата звернення 06.05.2025).</w:t>
      </w:r>
    </w:p>
    <w:p w14:paraId="7EFFFC0B" w14:textId="77777777" w:rsidR="00200E87" w:rsidRPr="00511005" w:rsidRDefault="00200E87" w:rsidP="003F6A5D">
      <w:pPr>
        <w:numPr>
          <w:ilvl w:val="0"/>
          <w:numId w:val="513"/>
        </w:numPr>
        <w:spacing w:line="264" w:lineRule="auto"/>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Орловський Б. М. Проблеми кримінально-правового регулювання перевищення меж необхідної оборони / Б. М. Орловський // Вісник Академії адвокатури України. - 2011. - Число 2. - С. 107-112. - Режим доступу: </w:t>
      </w:r>
      <w:hyperlink r:id="rId1816" w:history="1">
        <w:r w:rsidRPr="00511005">
          <w:rPr>
            <w:rFonts w:ascii="Arial" w:eastAsia="Times New Roman" w:hAnsi="Arial" w:cs="Arial"/>
            <w:bCs/>
            <w:szCs w:val="28"/>
            <w:lang w:val="uk-UA" w:eastAsia="ru-RU"/>
          </w:rPr>
          <w:t>http://nbuv.gov.ua/UJRN/vaau_2011_2_19</w:t>
        </w:r>
      </w:hyperlink>
      <w:r w:rsidRPr="00511005">
        <w:rPr>
          <w:rFonts w:ascii="Arial" w:eastAsia="Times New Roman" w:hAnsi="Arial" w:cs="Arial"/>
          <w:bCs/>
          <w:szCs w:val="28"/>
          <w:lang w:val="uk-UA" w:eastAsia="ru-RU"/>
        </w:rPr>
        <w:t>.</w:t>
      </w:r>
    </w:p>
    <w:p w14:paraId="3D752E01" w14:textId="77777777" w:rsidR="00200E87" w:rsidRPr="00511005" w:rsidRDefault="00200E87" w:rsidP="003F6A5D">
      <w:pPr>
        <w:numPr>
          <w:ilvl w:val="0"/>
          <w:numId w:val="513"/>
        </w:numPr>
        <w:spacing w:line="264" w:lineRule="auto"/>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Андрусяк Г. М. Безмежна необхідна оборона від насильницьких кримінальних правопорушень проти статевої свободи та статевої недоторканості особи. Прикарпатський юридичний вісник. 2023. Вип. 3 (50). С. 58–62. DOI </w:t>
      </w:r>
      <w:hyperlink r:id="rId1817" w:history="1">
        <w:r w:rsidRPr="00511005">
          <w:rPr>
            <w:rFonts w:ascii="Arial" w:eastAsia="Times New Roman" w:hAnsi="Arial" w:cs="Arial"/>
            <w:bCs/>
            <w:szCs w:val="28"/>
            <w:lang w:val="uk-UA" w:eastAsia="ru-RU"/>
          </w:rPr>
          <w:t>https://doi.org/10.32782/pyuv.v3.2023.12</w:t>
        </w:r>
      </w:hyperlink>
      <w:r w:rsidRPr="00511005">
        <w:rPr>
          <w:rFonts w:ascii="Arial" w:eastAsia="Times New Roman" w:hAnsi="Arial" w:cs="Arial"/>
          <w:bCs/>
          <w:szCs w:val="28"/>
          <w:lang w:val="uk-UA" w:eastAsia="ru-RU"/>
        </w:rPr>
        <w:t xml:space="preserve"> </w:t>
      </w:r>
    </w:p>
    <w:p w14:paraId="5372A784" w14:textId="77777777" w:rsidR="00200E87" w:rsidRPr="00511005" w:rsidRDefault="00200E87" w:rsidP="003A292D">
      <w:pPr>
        <w:keepNext/>
        <w:spacing w:line="264" w:lineRule="auto"/>
        <w:ind w:firstLine="0"/>
        <w:rPr>
          <w:rFonts w:ascii="Arial" w:eastAsia="Times New Roman" w:hAnsi="Arial" w:cs="Arial"/>
          <w:b/>
          <w:szCs w:val="28"/>
          <w:lang w:val="uk-UA" w:eastAsia="ru-RU"/>
        </w:rPr>
      </w:pPr>
    </w:p>
    <w:p w14:paraId="709153E8" w14:textId="329D3B82" w:rsidR="00200E87" w:rsidRPr="00511005" w:rsidRDefault="007B2628" w:rsidP="003A292D">
      <w:pPr>
        <w:keepNext/>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00E87" w:rsidRPr="00511005">
        <w:rPr>
          <w:rFonts w:ascii="Arial" w:eastAsia="Times New Roman" w:hAnsi="Arial" w:cs="Arial"/>
          <w:szCs w:val="28"/>
          <w:lang w:val="uk-UA" w:eastAsia="ru-RU"/>
        </w:rPr>
        <w:t xml:space="preserve">необхідна оборона, межі необхідної оборони, захист, правомірність необхідної оборони, статева свобода, статева </w:t>
      </w:r>
      <w:r w:rsidR="00200E87" w:rsidRPr="00511005">
        <w:rPr>
          <w:rFonts w:ascii="Arial" w:eastAsia="Times New Roman" w:hAnsi="Arial" w:cs="Arial"/>
          <w:szCs w:val="28"/>
          <w:lang w:val="uk-UA" w:eastAsia="ru-RU"/>
        </w:rPr>
        <w:lastRenderedPageBreak/>
        <w:t>недоторканість, статева свобода, зґвалтування, насильство, дії сексуального характеру.</w:t>
      </w:r>
    </w:p>
    <w:p w14:paraId="124CED23" w14:textId="48F8FEBB" w:rsidR="00200E87" w:rsidRPr="00511005" w:rsidRDefault="007B2628" w:rsidP="003A292D">
      <w:pPr>
        <w:keepNext/>
        <w:spacing w:line="264" w:lineRule="auto"/>
        <w:ind w:firstLine="0"/>
        <w:rPr>
          <w:rFonts w:ascii="Arial" w:eastAsia="Times New Roman" w:hAnsi="Arial" w:cs="Arial"/>
          <w:bCs/>
          <w:szCs w:val="28"/>
          <w:lang w:val="en-US" w:eastAsia="ru-RU"/>
        </w:rPr>
      </w:pPr>
      <w:r w:rsidRPr="00511005">
        <w:rPr>
          <w:rFonts w:ascii="Arial" w:eastAsia="Times New Roman" w:hAnsi="Arial" w:cs="Arial"/>
          <w:b/>
          <w:i/>
          <w:szCs w:val="28"/>
          <w:lang w:val="en-US" w:eastAsia="ru-RU"/>
        </w:rPr>
        <w:t xml:space="preserve">Key words: </w:t>
      </w:r>
      <w:r w:rsidR="00200E87" w:rsidRPr="00511005">
        <w:rPr>
          <w:rFonts w:ascii="Arial" w:eastAsia="Times New Roman" w:hAnsi="Arial" w:cs="Arial"/>
          <w:bCs/>
          <w:szCs w:val="28"/>
          <w:lang w:val="en" w:eastAsia="ru-RU"/>
        </w:rPr>
        <w:t>necessary defense, limits of necessary defense, protection, legality of necessary defense, sexual freedom, sexual integrity, sexual freedom, rape, violence, acts of a sexual nature.</w:t>
      </w:r>
    </w:p>
    <w:p w14:paraId="2C3202F3" w14:textId="1EC0271B" w:rsidR="00200E87" w:rsidRPr="00511005" w:rsidRDefault="007B2628" w:rsidP="003A292D">
      <w:pPr>
        <w:keepNext/>
        <w:spacing w:line="264" w:lineRule="auto"/>
        <w:ind w:firstLine="0"/>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00E87" w:rsidRPr="00511005">
        <w:rPr>
          <w:rFonts w:ascii="Arial" w:eastAsia="Times New Roman" w:hAnsi="Arial" w:cs="Arial"/>
          <w:bCs/>
          <w:i/>
          <w:iCs/>
          <w:szCs w:val="28"/>
          <w:lang w:val="uk-UA" w:eastAsia="ru-RU"/>
        </w:rPr>
        <w:t>асистент кафедри Павлова О. С.</w:t>
      </w:r>
    </w:p>
    <w:p w14:paraId="15A7F6B4" w14:textId="77777777" w:rsidR="00200E87" w:rsidRPr="00511005" w:rsidRDefault="00200E87" w:rsidP="003A292D">
      <w:pPr>
        <w:spacing w:line="264" w:lineRule="auto"/>
        <w:ind w:firstLine="0"/>
        <w:jc w:val="center"/>
        <w:rPr>
          <w:rFonts w:ascii="Arial" w:eastAsia="Calibri" w:hAnsi="Arial" w:cs="Arial"/>
          <w:b/>
          <w:szCs w:val="28"/>
          <w:lang w:val="uk-UA"/>
        </w:rPr>
      </w:pPr>
    </w:p>
    <w:p w14:paraId="67B0035F" w14:textId="77777777" w:rsidR="00200E87" w:rsidRPr="00511005" w:rsidRDefault="00200E87" w:rsidP="003A292D">
      <w:pPr>
        <w:spacing w:line="264" w:lineRule="auto"/>
        <w:ind w:firstLine="0"/>
        <w:jc w:val="center"/>
        <w:rPr>
          <w:rFonts w:ascii="Arial" w:eastAsia="Calibri" w:hAnsi="Arial" w:cs="Arial"/>
          <w:b/>
          <w:szCs w:val="28"/>
          <w:lang w:val="uk-UA"/>
        </w:rPr>
      </w:pPr>
    </w:p>
    <w:p w14:paraId="667E4540" w14:textId="77777777" w:rsidR="00200E87" w:rsidRPr="00511005" w:rsidRDefault="00200E87" w:rsidP="003A292D">
      <w:pPr>
        <w:spacing w:line="264" w:lineRule="auto"/>
        <w:ind w:firstLine="0"/>
        <w:jc w:val="center"/>
        <w:rPr>
          <w:rFonts w:ascii="Arial" w:eastAsia="Calibri" w:hAnsi="Arial" w:cs="Arial"/>
          <w:b/>
          <w:szCs w:val="28"/>
          <w:lang w:val="uk-UA"/>
        </w:rPr>
      </w:pPr>
    </w:p>
    <w:p w14:paraId="551D7676" w14:textId="77777777" w:rsidR="00200E87" w:rsidRPr="00511005" w:rsidRDefault="00200E87" w:rsidP="003A292D">
      <w:pPr>
        <w:pBdr>
          <w:top w:val="nil"/>
          <w:left w:val="nil"/>
          <w:bottom w:val="nil"/>
          <w:right w:val="nil"/>
          <w:between w:val="nil"/>
          <w:bar w:val="nil"/>
        </w:pBdr>
        <w:spacing w:line="264" w:lineRule="auto"/>
        <w:ind w:firstLine="0"/>
        <w:jc w:val="center"/>
        <w:rPr>
          <w:rFonts w:ascii="Arial" w:eastAsia="Times New Roman" w:hAnsi="Arial" w:cs="Arial"/>
          <w:b/>
          <w:bCs/>
          <w:i/>
          <w:iCs/>
          <w:szCs w:val="28"/>
          <w:u w:color="000000"/>
          <w:bdr w:val="nil"/>
          <w:lang w:eastAsia="ru-RU"/>
        </w:rPr>
      </w:pPr>
      <w:r w:rsidRPr="00511005">
        <w:rPr>
          <w:rFonts w:ascii="Arial" w:eastAsia="Arial Unicode MS" w:hAnsi="Arial" w:cs="Arial"/>
          <w:b/>
          <w:bCs/>
          <w:i/>
          <w:iCs/>
          <w:szCs w:val="28"/>
          <w:u w:color="000000"/>
          <w:bdr w:val="nil"/>
          <w:lang w:eastAsia="ru-RU"/>
        </w:rPr>
        <w:t>Дуб Вікторія Михайлівна</w:t>
      </w:r>
    </w:p>
    <w:p w14:paraId="66566AE6" w14:textId="33F3D741" w:rsidR="00200E87" w:rsidRPr="00511005" w:rsidRDefault="00536AAB" w:rsidP="003A292D">
      <w:pPr>
        <w:pBdr>
          <w:top w:val="nil"/>
          <w:left w:val="nil"/>
          <w:bottom w:val="nil"/>
          <w:right w:val="nil"/>
          <w:between w:val="nil"/>
          <w:bar w:val="nil"/>
        </w:pBdr>
        <w:spacing w:line="264" w:lineRule="auto"/>
        <w:ind w:firstLine="0"/>
        <w:jc w:val="center"/>
        <w:rPr>
          <w:rFonts w:ascii="Arial" w:eastAsia="Times New Roman" w:hAnsi="Arial" w:cs="Arial"/>
          <w:szCs w:val="28"/>
          <w:u w:color="000000"/>
          <w:bdr w:val="nil"/>
          <w:lang w:eastAsia="ru-RU"/>
        </w:rPr>
      </w:pPr>
      <w:r w:rsidRPr="00511005">
        <w:rPr>
          <w:rFonts w:ascii="Arial" w:eastAsia="Arial Unicode MS" w:hAnsi="Arial" w:cs="Arial"/>
          <w:szCs w:val="28"/>
          <w:bdr w:val="nil"/>
          <w:lang w:eastAsia="ru-RU"/>
        </w:rPr>
        <w:t xml:space="preserve">студентка 3-го курсу </w:t>
      </w:r>
      <w:r w:rsidR="007B2628" w:rsidRPr="00511005">
        <w:rPr>
          <w:rFonts w:ascii="Arial" w:eastAsia="Arial Unicode MS" w:hAnsi="Arial" w:cs="Arial"/>
          <w:szCs w:val="28"/>
          <w:bdr w:val="nil"/>
          <w:lang w:eastAsia="ru-RU"/>
        </w:rPr>
        <w:t>факультету цивільної та господарської юстиції</w:t>
      </w:r>
    </w:p>
    <w:p w14:paraId="1C4FF830" w14:textId="229E1B18" w:rsidR="00200E87" w:rsidRPr="00511005" w:rsidRDefault="007B2628" w:rsidP="003A292D">
      <w:pPr>
        <w:pBdr>
          <w:top w:val="nil"/>
          <w:left w:val="nil"/>
          <w:bottom w:val="nil"/>
          <w:right w:val="nil"/>
          <w:between w:val="nil"/>
          <w:bar w:val="nil"/>
        </w:pBdr>
        <w:spacing w:line="264" w:lineRule="auto"/>
        <w:ind w:firstLine="0"/>
        <w:jc w:val="center"/>
        <w:rPr>
          <w:rFonts w:ascii="Arial" w:eastAsia="Times New Roman" w:hAnsi="Arial" w:cs="Arial"/>
          <w:szCs w:val="28"/>
          <w:u w:color="000000"/>
          <w:bdr w:val="nil"/>
          <w:lang w:eastAsia="ru-RU"/>
        </w:rPr>
      </w:pPr>
      <w:r w:rsidRPr="00511005">
        <w:rPr>
          <w:rFonts w:ascii="Arial" w:eastAsia="Arial Unicode MS" w:hAnsi="Arial" w:cs="Arial"/>
          <w:szCs w:val="28"/>
          <w:bdr w:val="nil"/>
          <w:lang w:eastAsia="ru-RU"/>
        </w:rPr>
        <w:t>Національного університету «Одеська юридична академія»</w:t>
      </w:r>
    </w:p>
    <w:p w14:paraId="42F0FBDD"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lang w:eastAsia="ru-RU"/>
        </w:rPr>
      </w:pPr>
    </w:p>
    <w:p w14:paraId="31FB307E" w14:textId="3509AE7D"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b/>
          <w:bCs/>
          <w:szCs w:val="28"/>
          <w:u w:color="000000"/>
          <w:bdr w:val="nil"/>
          <w:lang w:eastAsia="ru-RU"/>
        </w:rPr>
      </w:pPr>
      <w:r w:rsidRPr="00511005">
        <w:rPr>
          <w:rFonts w:ascii="Arial" w:eastAsia="Arial Unicode MS" w:hAnsi="Arial" w:cs="Arial"/>
          <w:b/>
          <w:bCs/>
          <w:szCs w:val="28"/>
          <w:u w:color="000000"/>
          <w:bdr w:val="nil"/>
          <w:lang w:eastAsia="ru-RU"/>
        </w:rPr>
        <w:t>СИСТЕМАТИЧНІСТЬ ЯК</w:t>
      </w:r>
      <w:r w:rsidR="007B2628" w:rsidRPr="00511005">
        <w:rPr>
          <w:rFonts w:ascii="Arial" w:eastAsia="Arial Unicode MS" w:hAnsi="Arial" w:cs="Arial"/>
          <w:b/>
          <w:bCs/>
          <w:szCs w:val="28"/>
          <w:u w:color="000000"/>
          <w:bdr w:val="nil"/>
          <w:lang w:eastAsia="ru-RU"/>
        </w:rPr>
        <w:t xml:space="preserve"> </w:t>
      </w:r>
      <w:r w:rsidRPr="00511005">
        <w:rPr>
          <w:rFonts w:ascii="Arial" w:eastAsia="Arial Unicode MS" w:hAnsi="Arial" w:cs="Arial"/>
          <w:b/>
          <w:bCs/>
          <w:szCs w:val="28"/>
          <w:u w:color="000000"/>
          <w:bdr w:val="nil"/>
          <w:lang w:eastAsia="ru-RU"/>
        </w:rPr>
        <w:t>ОЗНАКА ДОМАШНЬОГО НАСИЛЬСТВА</w:t>
      </w:r>
    </w:p>
    <w:p w14:paraId="0C801822"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shd w:val="clear" w:color="auto" w:fill="FFFFFF"/>
          <w:lang w:eastAsia="ru-RU"/>
        </w:rPr>
      </w:pPr>
      <w:bookmarkStart w:id="211" w:name="n3427"/>
      <w:bookmarkEnd w:id="211"/>
      <w:r w:rsidRPr="00511005">
        <w:rPr>
          <w:rFonts w:ascii="Arial" w:eastAsia="Arial Unicode MS" w:hAnsi="Arial" w:cs="Arial"/>
          <w:szCs w:val="28"/>
          <w:u w:color="000000"/>
          <w:bdr w:val="nil"/>
          <w:shd w:val="clear" w:color="auto" w:fill="FFFFFF"/>
          <w:lang w:eastAsia="ru-RU"/>
        </w:rPr>
        <w:t>На сьогодні тема домашнього насильства є надзвичайно важливою та актуальною, яка зумовлена необхідністю боротьби з цим злочином. Особливу актуальність становить дослідження головних ознак домашнього насильства. Ознака систематичності є ключовою та кваліфікуючою, яка підкреслює триваючий процес.</w:t>
      </w:r>
    </w:p>
    <w:p w14:paraId="292A9955"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shd w:val="clear" w:color="auto" w:fill="FFFFFF"/>
          <w:lang w:eastAsia="ru-RU"/>
        </w:rPr>
      </w:pPr>
      <w:r w:rsidRPr="00511005">
        <w:rPr>
          <w:rFonts w:ascii="Arial" w:eastAsia="Arial Unicode MS" w:hAnsi="Arial" w:cs="Arial"/>
          <w:szCs w:val="28"/>
          <w:u w:color="000000"/>
          <w:bdr w:val="nil"/>
          <w:shd w:val="clear" w:color="auto" w:fill="FFFFFF"/>
          <w:lang w:eastAsia="ru-RU"/>
        </w:rPr>
        <w:t>Ознака систематичності домашнього насильства прямо передбачена Кримінальним кодексом України, а саме згідно статті 126</w:t>
      </w:r>
      <w:r w:rsidRPr="00511005">
        <w:rPr>
          <w:rFonts w:ascii="Arial" w:eastAsia="Arial Unicode MS" w:hAnsi="Arial" w:cs="Arial"/>
          <w:szCs w:val="28"/>
          <w:u w:color="000000"/>
          <w:bdr w:val="nil"/>
          <w:shd w:val="clear" w:color="auto" w:fill="FFFFFF"/>
          <w:vertAlign w:val="superscript"/>
          <w:lang w:eastAsia="ru-RU"/>
        </w:rPr>
        <w:t xml:space="preserve">-1 </w:t>
      </w:r>
      <w:r w:rsidRPr="00511005">
        <w:rPr>
          <w:rFonts w:ascii="Arial" w:eastAsia="Arial Unicode MS" w:hAnsi="Arial" w:cs="Arial"/>
          <w:szCs w:val="28"/>
          <w:u w:color="000000"/>
          <w:bdr w:val="nil"/>
          <w:shd w:val="clear" w:color="auto" w:fill="FFFFFF"/>
          <w:lang w:val="uk-UA" w:eastAsia="ru-RU"/>
        </w:rPr>
        <w:t>«</w:t>
      </w:r>
      <w:r w:rsidRPr="00511005">
        <w:rPr>
          <w:rFonts w:ascii="Arial" w:eastAsia="Arial Unicode MS" w:hAnsi="Arial" w:cs="Arial"/>
          <w:szCs w:val="28"/>
          <w:u w:color="000000"/>
          <w:bdr w:val="nil"/>
          <w:shd w:val="clear" w:color="auto" w:fill="FFFFFF"/>
          <w:lang w:eastAsia="ru-RU"/>
        </w:rPr>
        <w:t>домашнє насильство - це умисне систематичне вчинення фізичного, психологічного або економічного насильства щодо подружжя чи колишнього подружжя або іншої особи, з якою винний перебуває (перебував) у сімейних або близьких відносинах, що призводить до фізичних або психологічних страждань, розладів здоров’я, втрати працездатності, емоційної залежності або погіршення якості життя потерпілої особи</w:t>
      </w:r>
      <w:r w:rsidRPr="00511005">
        <w:rPr>
          <w:rFonts w:ascii="Arial" w:eastAsia="Arial Unicode MS" w:hAnsi="Arial" w:cs="Arial"/>
          <w:szCs w:val="28"/>
          <w:u w:color="000000"/>
          <w:bdr w:val="nil"/>
          <w:shd w:val="clear" w:color="auto" w:fill="FFFFFF"/>
          <w:lang w:val="uk-UA" w:eastAsia="ru-RU"/>
        </w:rPr>
        <w:t>»</w:t>
      </w:r>
      <w:r w:rsidRPr="00511005">
        <w:rPr>
          <w:rFonts w:ascii="Arial" w:eastAsia="Arial Unicode MS" w:hAnsi="Arial" w:cs="Arial"/>
          <w:szCs w:val="28"/>
          <w:u w:color="000000"/>
          <w:bdr w:val="nil"/>
          <w:shd w:val="clear" w:color="auto" w:fill="FFFFFF"/>
          <w:lang w:eastAsia="ru-RU"/>
        </w:rPr>
        <w:t xml:space="preserve"> [1]. </w:t>
      </w:r>
    </w:p>
    <w:p w14:paraId="62492892"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shd w:val="clear" w:color="auto" w:fill="FFFFFF"/>
          <w:lang w:eastAsia="ru-RU"/>
        </w:rPr>
      </w:pPr>
      <w:r w:rsidRPr="00511005">
        <w:rPr>
          <w:rFonts w:ascii="Arial" w:eastAsia="Arial Unicode MS" w:hAnsi="Arial" w:cs="Arial"/>
          <w:szCs w:val="28"/>
          <w:u w:color="000000"/>
          <w:bdr w:val="nil"/>
          <w:shd w:val="clear" w:color="auto" w:fill="FFFFFF"/>
          <w:lang w:eastAsia="ru-RU"/>
        </w:rPr>
        <w:t xml:space="preserve">Законодавець вказав систематичність як ознаку домашнього насильства, проте не передбачав розʼяснення даної категорії. </w:t>
      </w:r>
      <w:r w:rsidRPr="00511005">
        <w:rPr>
          <w:rFonts w:ascii="Arial" w:eastAsia="Arial Unicode MS" w:hAnsi="Arial" w:cs="Arial"/>
          <w:bCs/>
          <w:szCs w:val="28"/>
          <w:u w:color="000000"/>
          <w:bdr w:val="nil"/>
          <w:shd w:val="clear" w:color="auto" w:fill="FFFFFF"/>
          <w:lang w:eastAsia="ru-RU"/>
        </w:rPr>
        <w:t>Відсутність уніфікованого підходу до визначення поняття «систематичність» у контексті домашнього насильства зумовлює труднощі в належному застосуванні статті 126-1 Кримінального кодексу України. Зазначена норма була спеціально розроблена для криміналізації форм домашнього насильства, що характеризуються повторюваністю, складаються з низки окремих епізодів, які в</w:t>
      </w:r>
      <w:r w:rsidRPr="00511005">
        <w:rPr>
          <w:rFonts w:ascii="Arial" w:eastAsia="Arial Unicode MS" w:hAnsi="Arial" w:cs="Arial"/>
          <w:b/>
          <w:bCs/>
          <w:szCs w:val="28"/>
          <w:u w:color="000000"/>
          <w:bdr w:val="nil"/>
          <w:shd w:val="clear" w:color="auto" w:fill="FFFFFF"/>
          <w:lang w:eastAsia="ru-RU"/>
        </w:rPr>
        <w:t xml:space="preserve"> </w:t>
      </w:r>
      <w:r w:rsidRPr="00511005">
        <w:rPr>
          <w:rFonts w:ascii="Arial" w:eastAsia="Arial Unicode MS" w:hAnsi="Arial" w:cs="Arial"/>
          <w:bCs/>
          <w:szCs w:val="28"/>
          <w:u w:color="000000"/>
          <w:bdr w:val="nil"/>
          <w:shd w:val="clear" w:color="auto" w:fill="FFFFFF"/>
          <w:lang w:eastAsia="ru-RU"/>
        </w:rPr>
        <w:t>сукупності становлять єдине триваюче кримінальне правопорушення.</w:t>
      </w:r>
      <w:r w:rsidRPr="00511005">
        <w:rPr>
          <w:rFonts w:ascii="Arial" w:eastAsia="Arial Unicode MS" w:hAnsi="Arial" w:cs="Arial"/>
          <w:szCs w:val="28"/>
          <w:u w:color="000000"/>
          <w:bdr w:val="nil"/>
          <w:shd w:val="clear" w:color="auto" w:fill="FFFFFF"/>
          <w:lang w:eastAsia="ru-RU"/>
        </w:rPr>
        <w:t xml:space="preserve"> [2, с. 53].</w:t>
      </w:r>
    </w:p>
    <w:p w14:paraId="2BA648F3"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shd w:val="clear" w:color="auto" w:fill="FFFFFF"/>
          <w:lang w:eastAsia="ru-RU"/>
        </w:rPr>
      </w:pPr>
      <w:r w:rsidRPr="00511005">
        <w:rPr>
          <w:rFonts w:ascii="Arial" w:eastAsia="Arial Unicode MS" w:hAnsi="Arial" w:cs="Arial"/>
          <w:szCs w:val="28"/>
          <w:u w:color="000000"/>
          <w:bdr w:val="nil"/>
          <w:shd w:val="clear" w:color="auto" w:fill="FFFFFF"/>
          <w:lang w:val="uk-UA" w:eastAsia="ru-RU"/>
        </w:rPr>
        <w:t>Надія Стефанів с</w:t>
      </w:r>
      <w:r w:rsidRPr="00511005">
        <w:rPr>
          <w:rFonts w:ascii="Arial" w:eastAsia="Arial Unicode MS" w:hAnsi="Arial" w:cs="Arial"/>
          <w:szCs w:val="28"/>
          <w:u w:color="000000"/>
          <w:bdr w:val="nil"/>
          <w:shd w:val="clear" w:color="auto" w:fill="FFFFFF"/>
          <w:lang w:eastAsia="ru-RU"/>
        </w:rPr>
        <w:t>уддя Касаційного кримінального суду у складі Верховного Суду визначає, що систематичність як ознака злочину домашнього насильства можна визначити як вчинення трьох або більше діянь, які пов’язані однаковими або подібними об’єктами, вчиняються в межах однієї й тієї самої форми вини та спрямовані на досягнення загального результату [3].</w:t>
      </w:r>
    </w:p>
    <w:p w14:paraId="254958F0" w14:textId="77777777" w:rsidR="00200E87" w:rsidRPr="00511005" w:rsidRDefault="00200E87" w:rsidP="003A292D">
      <w:pPr>
        <w:pBdr>
          <w:top w:val="nil"/>
          <w:left w:val="nil"/>
          <w:bottom w:val="nil"/>
          <w:right w:val="nil"/>
          <w:between w:val="nil"/>
          <w:bar w:val="nil"/>
        </w:pBdr>
        <w:spacing w:line="264" w:lineRule="auto"/>
        <w:ind w:firstLine="0"/>
        <w:rPr>
          <w:rFonts w:ascii="Arial" w:eastAsia="Arial Unicode MS" w:hAnsi="Arial" w:cs="Arial"/>
          <w:szCs w:val="28"/>
          <w:u w:color="000000"/>
          <w:bdr w:val="nil"/>
          <w:lang w:val="uk-UA" w:eastAsia="ru-RU"/>
        </w:rPr>
      </w:pPr>
      <w:bookmarkStart w:id="212" w:name="n3428"/>
      <w:bookmarkEnd w:id="212"/>
      <w:r w:rsidRPr="00511005">
        <w:rPr>
          <w:rFonts w:ascii="Arial" w:eastAsia="Arial Unicode MS" w:hAnsi="Arial" w:cs="Arial"/>
          <w:szCs w:val="28"/>
          <w:u w:color="000000"/>
          <w:bdr w:val="nil"/>
          <w:shd w:val="clear" w:color="auto" w:fill="FFFFFF"/>
          <w:lang w:val="uk-UA" w:eastAsia="ru-RU"/>
        </w:rPr>
        <w:lastRenderedPageBreak/>
        <w:t xml:space="preserve">Дудоров О.О. та Хавронюк М.І. у свою чергу зазначають, що систематичність означає тривалу повторюваність тотожних чи схожих дій (чи бездіяльності), </w:t>
      </w:r>
      <w:r w:rsidRPr="00511005">
        <w:rPr>
          <w:rFonts w:ascii="Arial" w:eastAsia="Arial Unicode MS" w:hAnsi="Arial" w:cs="Arial"/>
          <w:szCs w:val="28"/>
          <w:u w:color="000000"/>
          <w:bdr w:val="nil"/>
          <w:lang w:val="uk-UA" w:eastAsia="ru-RU"/>
        </w:rPr>
        <w:t>хоча кожна окрема дія може не здаватися значною, їхня сукупність завдає потерпілій особі надзвичайно великої шкоди. Інтенсивність цього негативного впливу визначається як силою кожної окремої дії, так і їхньою кількістю.</w:t>
      </w:r>
      <w:r w:rsidRPr="00511005">
        <w:rPr>
          <w:rFonts w:ascii="Arial" w:eastAsia="Arial Unicode MS" w:hAnsi="Arial" w:cs="Arial"/>
          <w:szCs w:val="28"/>
          <w:u w:color="000000"/>
          <w:bdr w:val="nil"/>
          <w:shd w:val="clear" w:color="auto" w:fill="FFFFFF"/>
          <w:lang w:val="uk-UA" w:eastAsia="ru-RU"/>
        </w:rPr>
        <w:t xml:space="preserve"> [4, с. 78].</w:t>
      </w:r>
    </w:p>
    <w:p w14:paraId="09E5ADAE"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shd w:val="clear" w:color="auto" w:fill="FFFFFF"/>
          <w:lang w:val="uk-UA" w:eastAsia="ru-RU"/>
        </w:rPr>
      </w:pPr>
      <w:r w:rsidRPr="00511005">
        <w:rPr>
          <w:rFonts w:ascii="Arial" w:eastAsia="Arial Unicode MS" w:hAnsi="Arial" w:cs="Arial"/>
          <w:szCs w:val="28"/>
          <w:u w:color="000000"/>
          <w:bdr w:val="nil"/>
          <w:shd w:val="clear" w:color="auto" w:fill="FFFFFF"/>
          <w:lang w:val="uk-UA" w:eastAsia="ru-RU"/>
        </w:rPr>
        <w:t>На думку Куцкір Г.М. «систематичність варто розглядати як вчинення будь-якої із альтернативно наведених у ст. 126-1 КК форм насильства, тобто фізичного, психологічного чи економічного, три і понад разів, відповідно, злочин можна вважати закінченим при вчиненні відповідних дій втретє, і в результаті чого настав хоча б один із зазначених в законі наслідків. Окрім того, всі вчинені діяння повинні бути тотожними та об’єднані спільним умислом» [2, с. 53-54].</w:t>
      </w:r>
    </w:p>
    <w:p w14:paraId="4B44B26B"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shd w:val="clear" w:color="auto" w:fill="FFFFFF"/>
          <w:lang w:eastAsia="ru-RU"/>
        </w:rPr>
      </w:pPr>
      <w:r w:rsidRPr="00511005">
        <w:rPr>
          <w:rFonts w:ascii="Arial" w:eastAsia="Arial Unicode MS" w:hAnsi="Arial" w:cs="Arial"/>
          <w:bCs/>
          <w:szCs w:val="28"/>
          <w:u w:color="000000"/>
          <w:bdr w:val="nil"/>
          <w:shd w:val="clear" w:color="auto" w:fill="FFFFFF"/>
          <w:lang w:val="uk-UA" w:eastAsia="ru-RU"/>
        </w:rPr>
        <w:t xml:space="preserve">Систематичність визначається за двома критеріями: кількісним — що передбачає неодноразове та періодичне вчинення дій, і якісним — який виражається у взаємозв’язку та внутрішній узгодженості цих дій, що формують певну стійку лінію поведінки особи стосовно конкретного потерпілого або потерпілих. </w:t>
      </w:r>
      <w:r w:rsidRPr="00511005">
        <w:rPr>
          <w:rFonts w:ascii="Arial" w:eastAsia="Arial Unicode MS" w:hAnsi="Arial" w:cs="Arial"/>
          <w:bCs/>
          <w:szCs w:val="28"/>
          <w:u w:color="000000"/>
          <w:bdr w:val="nil"/>
          <w:shd w:val="clear" w:color="auto" w:fill="FFFFFF"/>
          <w:lang w:eastAsia="ru-RU"/>
        </w:rPr>
        <w:t>Тільки при наявності обох критеріїв можна говорити про систематичний характер насильства.</w:t>
      </w:r>
      <w:r w:rsidRPr="00511005">
        <w:rPr>
          <w:rFonts w:ascii="Arial" w:eastAsia="Arial Unicode MS" w:hAnsi="Arial" w:cs="Arial"/>
          <w:szCs w:val="28"/>
          <w:u w:color="000000"/>
          <w:bdr w:val="nil"/>
          <w:shd w:val="clear" w:color="auto" w:fill="FFFFFF"/>
          <w:lang w:eastAsia="ru-RU"/>
        </w:rPr>
        <w:t xml:space="preserve"> [5, с. 324].</w:t>
      </w:r>
    </w:p>
    <w:p w14:paraId="257D9448"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shd w:val="clear" w:color="auto" w:fill="FFFFFF"/>
          <w:lang w:eastAsia="ru-RU"/>
        </w:rPr>
      </w:pPr>
      <w:r w:rsidRPr="00511005">
        <w:rPr>
          <w:rFonts w:ascii="Arial" w:eastAsia="Arial Unicode MS" w:hAnsi="Arial" w:cs="Arial"/>
          <w:szCs w:val="28"/>
          <w:u w:color="000000"/>
          <w:bdr w:val="nil"/>
          <w:shd w:val="clear" w:color="auto" w:fill="FFFFFF"/>
          <w:lang w:eastAsia="ru-RU"/>
        </w:rPr>
        <w:t>Варто відрізняти ознаку систематичності домашнього насильства передбачену у статті 126</w:t>
      </w:r>
      <w:r w:rsidRPr="00511005">
        <w:rPr>
          <w:rFonts w:ascii="Arial" w:eastAsia="Arial Unicode MS" w:hAnsi="Arial" w:cs="Arial"/>
          <w:szCs w:val="28"/>
          <w:u w:color="000000"/>
          <w:bdr w:val="nil"/>
          <w:shd w:val="clear" w:color="auto" w:fill="FFFFFF"/>
          <w:vertAlign w:val="superscript"/>
          <w:lang w:eastAsia="ru-RU"/>
        </w:rPr>
        <w:t>-1</w:t>
      </w:r>
      <w:r w:rsidRPr="00511005">
        <w:rPr>
          <w:rFonts w:ascii="Arial" w:eastAsia="Arial Unicode MS" w:hAnsi="Arial" w:cs="Arial"/>
          <w:szCs w:val="28"/>
          <w:u w:color="000000"/>
          <w:bdr w:val="nil"/>
          <w:shd w:val="clear" w:color="auto" w:fill="FFFFFF"/>
          <w:lang w:eastAsia="ru-RU"/>
        </w:rPr>
        <w:t xml:space="preserve"> Кримінальном кодексом України від частини 2 статті 173-2 Кодексом України про адміністративні правопорушення.</w:t>
      </w:r>
      <w:r w:rsidRPr="00511005">
        <w:rPr>
          <w:rFonts w:ascii="Arial" w:eastAsia="Arial Unicode MS" w:hAnsi="Arial" w:cs="Arial"/>
          <w:szCs w:val="28"/>
          <w:u w:color="000000"/>
          <w:bdr w:val="nil"/>
          <w:shd w:val="clear" w:color="auto" w:fill="FFFFFF"/>
          <w:lang w:val="uk-UA" w:eastAsia="ru-RU"/>
        </w:rPr>
        <w:t xml:space="preserve"> </w:t>
      </w:r>
      <w:r w:rsidRPr="00511005">
        <w:rPr>
          <w:rFonts w:ascii="Arial" w:eastAsia="Arial Unicode MS" w:hAnsi="Arial" w:cs="Arial"/>
          <w:bCs/>
          <w:szCs w:val="28"/>
          <w:u w:color="000000"/>
          <w:bdr w:val="nil"/>
          <w:shd w:val="clear" w:color="auto" w:fill="FFFFFF"/>
          <w:lang w:eastAsia="ru-RU"/>
        </w:rPr>
        <w:t>О.О. Дудоров і М.І. Хавронюк звертають увагу на те, що частина 2 статті 173-2 КУпАП не містить ознаки систематичності насильства, яка є ключовою для кваліфікації діяння за статтею 126-1 КК України. Частина 2 цієї адміністративно-правової норми передбачає відповідальність за повторне вчинення дій, передбачених частиною 1, у разі якщо особа вже притягувалася до адміністративної відповідальності протягом року</w:t>
      </w:r>
      <w:r w:rsidRPr="00511005">
        <w:rPr>
          <w:rFonts w:ascii="Arial" w:eastAsia="Arial Unicode MS" w:hAnsi="Arial" w:cs="Arial"/>
          <w:bCs/>
          <w:szCs w:val="28"/>
          <w:u w:color="000000"/>
          <w:bdr w:val="nil"/>
          <w:shd w:val="clear" w:color="auto" w:fill="FFFFFF"/>
          <w:lang w:val="uk-UA" w:eastAsia="ru-RU"/>
        </w:rPr>
        <w:t xml:space="preserve"> </w:t>
      </w:r>
      <w:r w:rsidRPr="00511005">
        <w:rPr>
          <w:rFonts w:ascii="Arial" w:eastAsia="Arial Unicode MS" w:hAnsi="Arial" w:cs="Arial"/>
          <w:szCs w:val="28"/>
          <w:u w:color="000000"/>
          <w:bdr w:val="nil"/>
          <w:shd w:val="clear" w:color="auto" w:fill="FFFFFF"/>
          <w:lang w:eastAsia="ru-RU"/>
        </w:rPr>
        <w:t>[4, с. 79]. Тобто ознака систематичності домашнього насильства є основним критерієм розмежування кримінального правопорушення передбаченим статтею 126</w:t>
      </w:r>
      <w:r w:rsidRPr="00511005">
        <w:rPr>
          <w:rFonts w:ascii="Arial" w:eastAsia="Arial Unicode MS" w:hAnsi="Arial" w:cs="Arial"/>
          <w:szCs w:val="28"/>
          <w:u w:color="000000"/>
          <w:bdr w:val="nil"/>
          <w:shd w:val="clear" w:color="auto" w:fill="FFFFFF"/>
          <w:vertAlign w:val="superscript"/>
          <w:lang w:eastAsia="ru-RU"/>
        </w:rPr>
        <w:t xml:space="preserve">-1 </w:t>
      </w:r>
      <w:r w:rsidRPr="00511005">
        <w:rPr>
          <w:rFonts w:ascii="Arial" w:eastAsia="Arial Unicode MS" w:hAnsi="Arial" w:cs="Arial"/>
          <w:szCs w:val="28"/>
          <w:u w:color="000000"/>
          <w:bdr w:val="nil"/>
          <w:shd w:val="clear" w:color="auto" w:fill="FFFFFF"/>
          <w:lang w:eastAsia="ru-RU"/>
        </w:rPr>
        <w:t>Кримінальним кодексом України</w:t>
      </w:r>
      <w:r w:rsidRPr="00511005">
        <w:rPr>
          <w:rFonts w:ascii="Arial" w:eastAsia="Arial Unicode MS" w:hAnsi="Arial" w:cs="Arial"/>
          <w:szCs w:val="28"/>
          <w:u w:color="000000"/>
          <w:bdr w:val="nil"/>
          <w:shd w:val="clear" w:color="auto" w:fill="FFFFFF"/>
          <w:vertAlign w:val="superscript"/>
          <w:lang w:eastAsia="ru-RU"/>
        </w:rPr>
        <w:t xml:space="preserve"> </w:t>
      </w:r>
      <w:r w:rsidRPr="00511005">
        <w:rPr>
          <w:rFonts w:ascii="Arial" w:eastAsia="Arial Unicode MS" w:hAnsi="Arial" w:cs="Arial"/>
          <w:szCs w:val="28"/>
          <w:u w:color="000000"/>
          <w:bdr w:val="nil"/>
          <w:shd w:val="clear" w:color="auto" w:fill="FFFFFF"/>
          <w:lang w:eastAsia="ru-RU"/>
        </w:rPr>
        <w:t>та адміністративним правопорушення передмаченим статтею 173-2 Кодексом України про адміністративні правопорушення.</w:t>
      </w:r>
    </w:p>
    <w:p w14:paraId="5DAE46BA"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shd w:val="clear" w:color="auto" w:fill="FFFFFF"/>
          <w:lang w:eastAsia="ru-RU"/>
        </w:rPr>
      </w:pPr>
      <w:r w:rsidRPr="00511005">
        <w:rPr>
          <w:rFonts w:ascii="Arial" w:eastAsia="Arial Unicode MS" w:hAnsi="Arial" w:cs="Arial"/>
          <w:szCs w:val="28"/>
          <w:u w:color="000000"/>
          <w:bdr w:val="nil"/>
          <w:shd w:val="clear" w:color="auto" w:fill="FFFFFF"/>
          <w:lang w:eastAsia="ru-RU"/>
        </w:rPr>
        <w:t>Для домашнього насильства характерним є циклічний характер останнього, систематичність (неодноразовість) насильницької поведінки, яка з часом інтенсифікується, а самі акти насильства стають більш небезпечними. Законодавець вказує на систематичність насильства, а систему може становити як неодноразово застосована одна із трьох альтернативно закріплених у ст. 126-1 КК форм насильства, так і різна варіативність поєднання як фізичного, так і психологічного та економічного насильства щодо однієї і тієї самої потерпілої особи чи осіб [2, с. 52]. </w:t>
      </w:r>
    </w:p>
    <w:p w14:paraId="01DC2CBC"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shd w:val="clear" w:color="auto" w:fill="FFFFFF"/>
          <w:lang w:eastAsia="ru-RU"/>
        </w:rPr>
      </w:pPr>
      <w:r w:rsidRPr="00511005">
        <w:rPr>
          <w:rFonts w:ascii="Arial" w:eastAsia="Arial Unicode MS" w:hAnsi="Arial" w:cs="Arial"/>
          <w:szCs w:val="28"/>
          <w:u w:color="000000"/>
          <w:bdr w:val="nil"/>
          <w:shd w:val="clear" w:color="auto" w:fill="FFFFFF"/>
          <w:lang w:eastAsia="ru-RU"/>
        </w:rPr>
        <w:lastRenderedPageBreak/>
        <w:t xml:space="preserve">Важливим для визначення систематичності є встановлення строку, протягом якого вона є можливою. З огляду на положення ст. 39 КУпАП таким строком слід уважати один рік. Тобто окремі факти (епізоди) домашнього насильства, що вмонтовуються в систему насильницької діяльності, має відділяти один від одного період часу тривалістю менше року [6, с. 16]. Погоджуючись з думкою Куцкір Г.М. вказує, що </w:t>
      </w:r>
      <w:r w:rsidRPr="00511005">
        <w:rPr>
          <w:rFonts w:ascii="Arial" w:eastAsia="Arial Unicode MS" w:hAnsi="Arial" w:cs="Arial"/>
          <w:szCs w:val="28"/>
          <w:u w:color="000000"/>
          <w:bdr w:val="nil"/>
          <w:shd w:val="clear" w:color="auto" w:fill="FFFFFF"/>
          <w:lang w:val="uk-UA" w:eastAsia="ru-RU"/>
        </w:rPr>
        <w:t>«</w:t>
      </w:r>
      <w:r w:rsidRPr="00511005">
        <w:rPr>
          <w:rFonts w:ascii="Arial" w:eastAsia="Arial Unicode MS" w:hAnsi="Arial" w:cs="Arial"/>
          <w:szCs w:val="28"/>
          <w:u w:color="000000"/>
          <w:bdr w:val="nil"/>
          <w:shd w:val="clear" w:color="auto" w:fill="FFFFFF"/>
          <w:lang w:eastAsia="ru-RU"/>
        </w:rPr>
        <w:t>окремі факти (епізоди) домашнього насильства, що вмонтовуються в систему насильницької діяльності, має відділяти один від одного період часу тривалістю менше року</w:t>
      </w:r>
      <w:r w:rsidRPr="00511005">
        <w:rPr>
          <w:rFonts w:ascii="Arial" w:eastAsia="Arial Unicode MS" w:hAnsi="Arial" w:cs="Arial"/>
          <w:szCs w:val="28"/>
          <w:u w:color="000000"/>
          <w:bdr w:val="nil"/>
          <w:shd w:val="clear" w:color="auto" w:fill="FFFFFF"/>
          <w:lang w:val="uk-UA" w:eastAsia="ru-RU"/>
        </w:rPr>
        <w:t>»</w:t>
      </w:r>
      <w:r w:rsidRPr="00511005">
        <w:rPr>
          <w:rFonts w:ascii="Arial" w:eastAsia="Arial Unicode MS" w:hAnsi="Arial" w:cs="Arial"/>
          <w:szCs w:val="28"/>
          <w:u w:color="000000"/>
          <w:bdr w:val="nil"/>
          <w:shd w:val="clear" w:color="auto" w:fill="FFFFFF"/>
          <w:lang w:eastAsia="ru-RU"/>
        </w:rPr>
        <w:t xml:space="preserve"> [2, с. 53].</w:t>
      </w:r>
    </w:p>
    <w:p w14:paraId="76ACCFA2"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shd w:val="clear" w:color="auto" w:fill="FFFFFF"/>
          <w:lang w:val="uk-UA" w:eastAsia="ru-RU"/>
        </w:rPr>
      </w:pPr>
      <w:r w:rsidRPr="00511005">
        <w:rPr>
          <w:rFonts w:ascii="Arial" w:eastAsia="Times New Roman" w:hAnsi="Arial" w:cs="Arial"/>
          <w:szCs w:val="28"/>
          <w:u w:color="000000"/>
          <w:bdr w:val="nil"/>
          <w:shd w:val="clear" w:color="auto" w:fill="FFFFFF"/>
          <w:lang w:eastAsia="ru-RU"/>
        </w:rPr>
        <w:tab/>
        <w:t>У підсумку можна зазначити</w:t>
      </w:r>
      <w:r w:rsidRPr="00511005">
        <w:rPr>
          <w:rFonts w:ascii="Arial" w:eastAsia="Arial Unicode MS" w:hAnsi="Arial" w:cs="Arial"/>
          <w:szCs w:val="28"/>
          <w:u w:color="000000"/>
          <w:bdr w:val="nil"/>
          <w:shd w:val="clear" w:color="auto" w:fill="FFFFFF"/>
          <w:lang w:eastAsia="ru-RU"/>
        </w:rPr>
        <w:t>, що систематичність є ключовою та важливою ознакою домашнього насильства, яка потребує закріпленого розʼяснення у Кримінальному кодексі України для більш ефективного та практичного застосування. Відсутність прямо передбаченої примітки до статті 126</w:t>
      </w:r>
      <w:r w:rsidRPr="00511005">
        <w:rPr>
          <w:rFonts w:ascii="Arial" w:eastAsia="Arial Unicode MS" w:hAnsi="Arial" w:cs="Arial"/>
          <w:szCs w:val="28"/>
          <w:u w:color="000000"/>
          <w:bdr w:val="nil"/>
          <w:shd w:val="clear" w:color="auto" w:fill="FFFFFF"/>
          <w:vertAlign w:val="superscript"/>
          <w:lang w:eastAsia="ru-RU"/>
        </w:rPr>
        <w:t>-1</w:t>
      </w:r>
      <w:r w:rsidRPr="00511005">
        <w:rPr>
          <w:rFonts w:ascii="Arial" w:eastAsia="Arial Unicode MS" w:hAnsi="Arial" w:cs="Arial"/>
          <w:szCs w:val="28"/>
          <w:u w:color="000000"/>
          <w:bdr w:val="nil"/>
          <w:shd w:val="clear" w:color="auto" w:fill="FFFFFF"/>
          <w:lang w:eastAsia="ru-RU"/>
        </w:rPr>
        <w:t xml:space="preserve"> Кримінального кодексу України призводить до різного тлумачення даної категорії, що ускладнює кваліфікацію злочину</w:t>
      </w:r>
      <w:r w:rsidRPr="00511005">
        <w:rPr>
          <w:rFonts w:ascii="Arial" w:eastAsia="Arial Unicode MS" w:hAnsi="Arial" w:cs="Arial"/>
          <w:szCs w:val="28"/>
          <w:u w:color="000000"/>
          <w:bdr w:val="nil"/>
          <w:shd w:val="clear" w:color="auto" w:fill="FFFFFF"/>
          <w:lang w:val="uk-UA" w:eastAsia="ru-RU"/>
        </w:rPr>
        <w:t>.</w:t>
      </w:r>
    </w:p>
    <w:p w14:paraId="5EA6618E" w14:textId="77777777" w:rsidR="00200E87" w:rsidRPr="00511005" w:rsidRDefault="00200E87" w:rsidP="003A292D">
      <w:pPr>
        <w:pBdr>
          <w:top w:val="nil"/>
          <w:left w:val="nil"/>
          <w:bottom w:val="nil"/>
          <w:right w:val="nil"/>
          <w:between w:val="nil"/>
          <w:bar w:val="nil"/>
        </w:pBdr>
        <w:spacing w:line="264" w:lineRule="auto"/>
        <w:ind w:firstLine="0"/>
        <w:rPr>
          <w:rFonts w:ascii="Arial" w:eastAsia="Arial Unicode MS" w:hAnsi="Arial" w:cs="Arial"/>
          <w:b/>
          <w:bCs/>
          <w:szCs w:val="28"/>
          <w:u w:color="000000"/>
          <w:bdr w:val="nil"/>
          <w:lang w:val="uk-UA" w:eastAsia="ru-RU"/>
        </w:rPr>
      </w:pPr>
    </w:p>
    <w:p w14:paraId="2FF95E20" w14:textId="7E093A5C" w:rsidR="00200E87" w:rsidRPr="00511005" w:rsidRDefault="007B2628" w:rsidP="007B2628">
      <w:pPr>
        <w:pBdr>
          <w:top w:val="nil"/>
          <w:left w:val="nil"/>
          <w:bottom w:val="nil"/>
          <w:right w:val="nil"/>
          <w:between w:val="nil"/>
          <w:bar w:val="nil"/>
        </w:pBdr>
        <w:spacing w:line="264" w:lineRule="auto"/>
        <w:ind w:firstLine="0"/>
        <w:jc w:val="center"/>
        <w:rPr>
          <w:rFonts w:ascii="Arial" w:eastAsia="Times New Roman" w:hAnsi="Arial" w:cs="Arial"/>
          <w:b/>
          <w:bCs/>
          <w:szCs w:val="28"/>
          <w:u w:color="000000"/>
          <w:bdr w:val="nil"/>
          <w:lang w:eastAsia="ru-RU"/>
        </w:rPr>
      </w:pPr>
      <w:r w:rsidRPr="00511005">
        <w:rPr>
          <w:rFonts w:ascii="Arial" w:eastAsia="Arial Unicode MS" w:hAnsi="Arial" w:cs="Arial"/>
          <w:b/>
          <w:bCs/>
          <w:szCs w:val="28"/>
          <w:bdr w:val="nil"/>
          <w:lang w:val="uk-UA" w:eastAsia="ru-RU"/>
        </w:rPr>
        <w:t>Список використаних джерел</w:t>
      </w:r>
    </w:p>
    <w:p w14:paraId="0C9CCDCA" w14:textId="77777777" w:rsidR="00200E87" w:rsidRPr="00511005" w:rsidRDefault="00200E87" w:rsidP="003F6A5D">
      <w:pPr>
        <w:numPr>
          <w:ilvl w:val="0"/>
          <w:numId w:val="514"/>
        </w:numPr>
        <w:pBdr>
          <w:top w:val="nil"/>
          <w:left w:val="nil"/>
          <w:bottom w:val="nil"/>
          <w:right w:val="nil"/>
          <w:between w:val="nil"/>
          <w:bar w:val="nil"/>
        </w:pBdr>
        <w:spacing w:line="264" w:lineRule="auto"/>
        <w:jc w:val="left"/>
        <w:rPr>
          <w:rFonts w:ascii="Arial" w:eastAsia="Arial Unicode MS" w:hAnsi="Arial" w:cs="Arial"/>
          <w:szCs w:val="28"/>
          <w:u w:color="000000"/>
          <w:bdr w:val="nil"/>
          <w:lang w:eastAsia="ru-RU"/>
        </w:rPr>
      </w:pPr>
      <w:r w:rsidRPr="00511005">
        <w:rPr>
          <w:rFonts w:ascii="Arial" w:eastAsia="Arial Unicode MS" w:hAnsi="Arial" w:cs="Arial"/>
          <w:szCs w:val="28"/>
          <w:u w:color="000000"/>
          <w:bdr w:val="nil"/>
          <w:lang w:eastAsia="ru-RU"/>
        </w:rPr>
        <w:t xml:space="preserve">Кримінальний кодекс України: Закон України від 05.04.2001 р. № 2341-III. Дата оновлення: 19.08.2022. URL: </w:t>
      </w:r>
      <w:hyperlink r:id="rId1818" w:history="1">
        <w:r w:rsidRPr="00511005">
          <w:rPr>
            <w:rFonts w:ascii="Arial" w:eastAsia="Arial Unicode MS" w:hAnsi="Arial" w:cs="Arial"/>
            <w:szCs w:val="28"/>
            <w:u w:color="0000FF"/>
            <w:bdr w:val="nil"/>
            <w:lang w:eastAsia="ru-RU"/>
          </w:rPr>
          <w:t>https://zakon.rada.gov.ua/</w:t>
        </w:r>
      </w:hyperlink>
      <w:r w:rsidRPr="00511005">
        <w:rPr>
          <w:rFonts w:ascii="Arial" w:eastAsia="Arial Unicode MS" w:hAnsi="Arial" w:cs="Arial"/>
          <w:szCs w:val="28"/>
          <w:u w:color="000000"/>
          <w:bdr w:val="nil"/>
          <w:lang w:eastAsia="ru-RU"/>
        </w:rPr>
        <w:t xml:space="preserve"> laws/show/2341-14#Text (дата звернення: 06.10.2022).</w:t>
      </w:r>
    </w:p>
    <w:p w14:paraId="768F81E4" w14:textId="77777777" w:rsidR="00200E87" w:rsidRPr="00511005" w:rsidRDefault="00200E87" w:rsidP="003F6A5D">
      <w:pPr>
        <w:numPr>
          <w:ilvl w:val="0"/>
          <w:numId w:val="514"/>
        </w:numPr>
        <w:pBdr>
          <w:top w:val="nil"/>
          <w:left w:val="nil"/>
          <w:bottom w:val="nil"/>
          <w:right w:val="nil"/>
          <w:between w:val="nil"/>
          <w:bar w:val="nil"/>
        </w:pBdr>
        <w:spacing w:line="264" w:lineRule="auto"/>
        <w:jc w:val="left"/>
        <w:rPr>
          <w:rFonts w:ascii="Arial" w:eastAsia="Arial Unicode MS" w:hAnsi="Arial" w:cs="Arial"/>
          <w:szCs w:val="28"/>
          <w:u w:color="000000"/>
          <w:bdr w:val="nil"/>
          <w:lang w:val="pl-PL" w:eastAsia="ru-RU"/>
        </w:rPr>
      </w:pPr>
      <w:r w:rsidRPr="00511005">
        <w:rPr>
          <w:rFonts w:ascii="Arial" w:eastAsia="Arial Unicode MS" w:hAnsi="Arial" w:cs="Arial"/>
          <w:szCs w:val="28"/>
          <w:u w:color="000000"/>
          <w:bdr w:val="nil"/>
          <w:lang w:eastAsia="ru-RU"/>
        </w:rPr>
        <w:t xml:space="preserve">Куцкір Г.М. Систематичність як ознака домашнього насильства: проблеми тлумачення. </w:t>
      </w:r>
      <w:r w:rsidRPr="00511005">
        <w:rPr>
          <w:rFonts w:ascii="Arial" w:eastAsia="Arial Unicode MS" w:hAnsi="Arial" w:cs="Arial"/>
          <w:szCs w:val="28"/>
          <w:u w:color="000000"/>
          <w:bdr w:val="nil"/>
          <w:lang w:val="pl-PL" w:eastAsia="ru-RU"/>
        </w:rPr>
        <w:t xml:space="preserve">2022. URL: </w:t>
      </w:r>
      <w:r w:rsidR="005938AD">
        <w:fldChar w:fldCharType="begin"/>
      </w:r>
      <w:r w:rsidR="005938AD" w:rsidRPr="00055389">
        <w:rPr>
          <w:lang w:val="en-US"/>
        </w:rPr>
        <w:instrText xml:space="preserve"> HYPERLINK "http://dspace.megu.edu.ua:8080/jspui/bitstream/123456789/3042/1/megu.rovno.ua_lawconf_</w:instrText>
      </w:r>
      <w:r w:rsidR="005938AD">
        <w:instrText>жовтень</w:instrText>
      </w:r>
      <w:r w:rsidR="005938AD" w:rsidRPr="00055389">
        <w:rPr>
          <w:lang w:val="en-US"/>
        </w:rPr>
        <w:instrText>_</w:instrText>
      </w:r>
      <w:r w:rsidR="005938AD">
        <w:instrText>к</w:instrText>
      </w:r>
      <w:r w:rsidR="005938AD">
        <w:instrText>р</w:instrText>
      </w:r>
      <w:r w:rsidR="005938AD" w:rsidRPr="00055389">
        <w:rPr>
          <w:lang w:val="en-US"/>
        </w:rPr>
        <w:instrText>_</w:instrText>
      </w:r>
      <w:r w:rsidR="005938AD">
        <w:instrText>ст</w:instrText>
      </w:r>
      <w:r w:rsidR="005938AD" w:rsidRPr="00055389">
        <w:rPr>
          <w:lang w:val="en-US"/>
        </w:rPr>
        <w:instrText xml:space="preserve">_2022-51-54.pdf" </w:instrText>
      </w:r>
      <w:r w:rsidR="005938AD">
        <w:fldChar w:fldCharType="separate"/>
      </w:r>
      <w:r w:rsidRPr="00511005">
        <w:rPr>
          <w:rFonts w:ascii="Arial" w:eastAsia="Arial Unicode MS" w:hAnsi="Arial" w:cs="Arial"/>
          <w:szCs w:val="28"/>
          <w:u w:color="000000"/>
          <w:bdr w:val="nil"/>
          <w:lang w:val="pl-PL" w:eastAsia="ru-RU"/>
        </w:rPr>
        <w:t>http://dspace.megu.edu.ua:8080/jspui/bitstream/123456789/3042/1/megu.rovno.ua_lawconf_</w:t>
      </w:r>
      <w:r w:rsidRPr="00511005">
        <w:rPr>
          <w:rFonts w:ascii="Arial" w:eastAsia="Arial Unicode MS" w:hAnsi="Arial" w:cs="Arial"/>
          <w:szCs w:val="28"/>
          <w:u w:color="000000"/>
          <w:bdr w:val="nil"/>
          <w:lang w:val="en-US" w:eastAsia="ru-RU"/>
        </w:rPr>
        <w:t>жовтень</w:t>
      </w:r>
      <w:r w:rsidRPr="00511005">
        <w:rPr>
          <w:rFonts w:ascii="Arial" w:eastAsia="Arial Unicode MS" w:hAnsi="Arial" w:cs="Arial"/>
          <w:szCs w:val="28"/>
          <w:u w:color="000000"/>
          <w:bdr w:val="nil"/>
          <w:lang w:val="pl-PL" w:eastAsia="ru-RU"/>
        </w:rPr>
        <w:t>_</w:t>
      </w:r>
      <w:r w:rsidRPr="00511005">
        <w:rPr>
          <w:rFonts w:ascii="Arial" w:eastAsia="Arial Unicode MS" w:hAnsi="Arial" w:cs="Arial"/>
          <w:szCs w:val="28"/>
          <w:u w:color="000000"/>
          <w:bdr w:val="nil"/>
          <w:lang w:val="en-US" w:eastAsia="ru-RU"/>
        </w:rPr>
        <w:t>кр</w:t>
      </w:r>
      <w:r w:rsidRPr="00511005">
        <w:rPr>
          <w:rFonts w:ascii="Arial" w:eastAsia="Arial Unicode MS" w:hAnsi="Arial" w:cs="Arial"/>
          <w:szCs w:val="28"/>
          <w:u w:color="000000"/>
          <w:bdr w:val="nil"/>
          <w:lang w:val="pl-PL" w:eastAsia="ru-RU"/>
        </w:rPr>
        <w:t>_</w:t>
      </w:r>
      <w:r w:rsidRPr="00511005">
        <w:rPr>
          <w:rFonts w:ascii="Arial" w:eastAsia="Arial Unicode MS" w:hAnsi="Arial" w:cs="Arial"/>
          <w:szCs w:val="28"/>
          <w:u w:color="000000"/>
          <w:bdr w:val="nil"/>
          <w:lang w:val="en-US" w:eastAsia="ru-RU"/>
        </w:rPr>
        <w:t>ст</w:t>
      </w:r>
      <w:r w:rsidRPr="00511005">
        <w:rPr>
          <w:rFonts w:ascii="Arial" w:eastAsia="Arial Unicode MS" w:hAnsi="Arial" w:cs="Arial"/>
          <w:szCs w:val="28"/>
          <w:u w:color="000000"/>
          <w:bdr w:val="nil"/>
          <w:lang w:val="pl-PL" w:eastAsia="ru-RU"/>
        </w:rPr>
        <w:t>_2022-51-54.pdf</w:t>
      </w:r>
      <w:r w:rsidR="005938AD">
        <w:rPr>
          <w:rFonts w:ascii="Arial" w:eastAsia="Arial Unicode MS" w:hAnsi="Arial" w:cs="Arial"/>
          <w:szCs w:val="28"/>
          <w:u w:color="000000"/>
          <w:bdr w:val="nil"/>
          <w:lang w:val="pl-PL" w:eastAsia="ru-RU"/>
        </w:rPr>
        <w:fldChar w:fldCharType="end"/>
      </w:r>
    </w:p>
    <w:p w14:paraId="7A76FAEA" w14:textId="77777777" w:rsidR="00200E87" w:rsidRPr="00511005" w:rsidRDefault="00200E87" w:rsidP="003F6A5D">
      <w:pPr>
        <w:numPr>
          <w:ilvl w:val="0"/>
          <w:numId w:val="514"/>
        </w:numPr>
        <w:pBdr>
          <w:top w:val="nil"/>
          <w:left w:val="nil"/>
          <w:bottom w:val="nil"/>
          <w:right w:val="nil"/>
          <w:between w:val="nil"/>
          <w:bar w:val="nil"/>
        </w:pBdr>
        <w:spacing w:line="264" w:lineRule="auto"/>
        <w:jc w:val="left"/>
        <w:rPr>
          <w:rFonts w:ascii="Arial" w:eastAsia="Arial Unicode MS" w:hAnsi="Arial" w:cs="Arial"/>
          <w:szCs w:val="28"/>
          <w:u w:color="000000"/>
          <w:bdr w:val="nil"/>
          <w:lang w:val="pl-PL" w:eastAsia="ru-RU"/>
        </w:rPr>
      </w:pPr>
      <w:r w:rsidRPr="00511005">
        <w:rPr>
          <w:rFonts w:ascii="Arial" w:eastAsia="Arial Unicode MS" w:hAnsi="Arial" w:cs="Arial"/>
          <w:szCs w:val="28"/>
          <w:u w:color="000000"/>
          <w:bdr w:val="nil"/>
          <w:lang w:eastAsia="ru-RU"/>
        </w:rPr>
        <w:t xml:space="preserve">Верховний суд. Однією з умов кримінальної відповідальності за домашнє насильство є те, що воно має бути систематичним – суддя ККС ВС. 21.09.2022. </w:t>
      </w:r>
      <w:r w:rsidRPr="00511005">
        <w:rPr>
          <w:rFonts w:ascii="Arial" w:eastAsia="Arial Unicode MS" w:hAnsi="Arial" w:cs="Arial"/>
          <w:szCs w:val="28"/>
          <w:u w:color="000000"/>
          <w:bdr w:val="nil"/>
          <w:lang w:val="pl-PL" w:eastAsia="ru-RU"/>
        </w:rPr>
        <w:t xml:space="preserve">URL: </w:t>
      </w:r>
      <w:r w:rsidR="005938AD">
        <w:fldChar w:fldCharType="begin"/>
      </w:r>
      <w:r w:rsidR="005938AD" w:rsidRPr="00055389">
        <w:rPr>
          <w:lang w:val="en-US"/>
        </w:rPr>
        <w:instrText xml:space="preserve"> HYPERLINK "https://supreme.court.gov.ua/supreme/pres-centr/news/1322490/" </w:instrText>
      </w:r>
      <w:r w:rsidR="005938AD">
        <w:fldChar w:fldCharType="separate"/>
      </w:r>
      <w:r w:rsidRPr="00511005">
        <w:rPr>
          <w:rFonts w:ascii="Arial" w:eastAsia="Arial Unicode MS" w:hAnsi="Arial" w:cs="Arial"/>
          <w:szCs w:val="28"/>
          <w:u w:color="000000"/>
          <w:bdr w:val="nil"/>
          <w:lang w:val="pl-PL" w:eastAsia="ru-RU"/>
        </w:rPr>
        <w:t>https://supreme.court.gov.ua/supreme/pres-centr/news/1322490/</w:t>
      </w:r>
      <w:r w:rsidR="005938AD">
        <w:rPr>
          <w:rFonts w:ascii="Arial" w:eastAsia="Arial Unicode MS" w:hAnsi="Arial" w:cs="Arial"/>
          <w:szCs w:val="28"/>
          <w:u w:color="000000"/>
          <w:bdr w:val="nil"/>
          <w:lang w:val="pl-PL" w:eastAsia="ru-RU"/>
        </w:rPr>
        <w:fldChar w:fldCharType="end"/>
      </w:r>
    </w:p>
    <w:p w14:paraId="4184E336" w14:textId="77777777" w:rsidR="00200E87" w:rsidRPr="00511005" w:rsidRDefault="00200E87" w:rsidP="003F6A5D">
      <w:pPr>
        <w:numPr>
          <w:ilvl w:val="0"/>
          <w:numId w:val="514"/>
        </w:numPr>
        <w:pBdr>
          <w:top w:val="nil"/>
          <w:left w:val="nil"/>
          <w:bottom w:val="nil"/>
          <w:right w:val="nil"/>
          <w:between w:val="nil"/>
          <w:bar w:val="nil"/>
        </w:pBdr>
        <w:spacing w:line="264" w:lineRule="auto"/>
        <w:jc w:val="left"/>
        <w:rPr>
          <w:rFonts w:ascii="Arial" w:eastAsia="Arial Unicode MS" w:hAnsi="Arial" w:cs="Arial"/>
          <w:szCs w:val="28"/>
          <w:u w:color="000000"/>
          <w:bdr w:val="nil"/>
          <w:lang w:eastAsia="ru-RU"/>
        </w:rPr>
      </w:pPr>
      <w:r w:rsidRPr="00511005">
        <w:rPr>
          <w:rFonts w:ascii="Arial" w:eastAsia="Arial Unicode MS" w:hAnsi="Arial" w:cs="Arial"/>
          <w:szCs w:val="28"/>
          <w:u w:color="000000"/>
          <w:bdr w:val="nil"/>
          <w:lang w:eastAsia="ru-RU"/>
        </w:rPr>
        <w:t xml:space="preserve">Дудоров О. О., Хавронюк М. І. Відповідальність за домашнє насильство і насильство за ознакою статі (науково-практичний коментар новел Кримінального кодексу України) / за ред. М. І. Хавронюка. </w:t>
      </w:r>
      <w:proofErr w:type="gramStart"/>
      <w:r w:rsidRPr="00511005">
        <w:rPr>
          <w:rFonts w:ascii="Arial" w:eastAsia="Arial Unicode MS" w:hAnsi="Arial" w:cs="Arial"/>
          <w:szCs w:val="28"/>
          <w:u w:color="000000"/>
          <w:bdr w:val="nil"/>
          <w:lang w:eastAsia="ru-RU"/>
        </w:rPr>
        <w:t>Київ :</w:t>
      </w:r>
      <w:proofErr w:type="gramEnd"/>
      <w:r w:rsidRPr="00511005">
        <w:rPr>
          <w:rFonts w:ascii="Arial" w:eastAsia="Arial Unicode MS" w:hAnsi="Arial" w:cs="Arial"/>
          <w:szCs w:val="28"/>
          <w:u w:color="000000"/>
          <w:bdr w:val="nil"/>
          <w:lang w:eastAsia="ru-RU"/>
        </w:rPr>
        <w:t xml:space="preserve"> Ваіте, 2019. 288 с.</w:t>
      </w:r>
    </w:p>
    <w:p w14:paraId="220D605E" w14:textId="77777777" w:rsidR="00200E87" w:rsidRPr="00511005" w:rsidRDefault="00200E87" w:rsidP="003F6A5D">
      <w:pPr>
        <w:numPr>
          <w:ilvl w:val="0"/>
          <w:numId w:val="514"/>
        </w:numPr>
        <w:pBdr>
          <w:top w:val="nil"/>
          <w:left w:val="nil"/>
          <w:bottom w:val="nil"/>
          <w:right w:val="nil"/>
          <w:between w:val="nil"/>
          <w:bar w:val="nil"/>
        </w:pBdr>
        <w:spacing w:line="264" w:lineRule="auto"/>
        <w:jc w:val="left"/>
        <w:rPr>
          <w:rFonts w:ascii="Arial" w:eastAsia="Arial Unicode MS" w:hAnsi="Arial" w:cs="Arial"/>
          <w:szCs w:val="28"/>
          <w:u w:color="000000"/>
          <w:bdr w:val="nil"/>
          <w:lang w:eastAsia="ru-RU"/>
        </w:rPr>
      </w:pPr>
      <w:r w:rsidRPr="00511005">
        <w:rPr>
          <w:rFonts w:ascii="Arial" w:eastAsia="Arial Unicode MS" w:hAnsi="Arial" w:cs="Arial"/>
          <w:szCs w:val="28"/>
          <w:u w:color="000000"/>
          <w:bdr w:val="nil"/>
          <w:lang w:eastAsia="ru-RU"/>
        </w:rPr>
        <w:t>Степаненко О., Агапова, К. Кількісний критерій систематичності як ознака домашнього насильства. </w:t>
      </w:r>
      <w:r w:rsidRPr="00511005">
        <w:rPr>
          <w:rFonts w:ascii="Arial" w:eastAsia="Arial Unicode MS" w:hAnsi="Arial" w:cs="Arial"/>
          <w:i/>
          <w:iCs/>
          <w:szCs w:val="28"/>
          <w:u w:color="000000"/>
          <w:bdr w:val="nil"/>
          <w:lang w:eastAsia="ru-RU"/>
        </w:rPr>
        <w:t>Підприємництво, господарство і право</w:t>
      </w:r>
      <w:r w:rsidRPr="00511005">
        <w:rPr>
          <w:rFonts w:ascii="Arial" w:eastAsia="Arial Unicode MS" w:hAnsi="Arial" w:cs="Arial"/>
          <w:szCs w:val="28"/>
          <w:u w:color="000000"/>
          <w:bdr w:val="nil"/>
          <w:lang w:eastAsia="ru-RU"/>
        </w:rPr>
        <w:t>, 2020, 4: 323-327.</w:t>
      </w:r>
    </w:p>
    <w:p w14:paraId="7636B024" w14:textId="77777777" w:rsidR="00200E87" w:rsidRPr="00511005" w:rsidRDefault="00200E87" w:rsidP="003F6A5D">
      <w:pPr>
        <w:numPr>
          <w:ilvl w:val="0"/>
          <w:numId w:val="514"/>
        </w:numPr>
        <w:pBdr>
          <w:top w:val="nil"/>
          <w:left w:val="nil"/>
          <w:bottom w:val="nil"/>
          <w:right w:val="nil"/>
          <w:between w:val="nil"/>
          <w:bar w:val="nil"/>
        </w:pBdr>
        <w:spacing w:line="264" w:lineRule="auto"/>
        <w:jc w:val="left"/>
        <w:rPr>
          <w:rFonts w:ascii="Arial" w:eastAsia="Arial Unicode MS" w:hAnsi="Arial" w:cs="Arial"/>
          <w:szCs w:val="28"/>
          <w:u w:color="000000"/>
          <w:bdr w:val="nil"/>
          <w:lang w:eastAsia="ru-RU"/>
        </w:rPr>
      </w:pPr>
      <w:r w:rsidRPr="00511005">
        <w:rPr>
          <w:rFonts w:ascii="Arial" w:eastAsia="Arial Unicode MS" w:hAnsi="Arial" w:cs="Arial"/>
          <w:szCs w:val="28"/>
          <w:u w:color="000000"/>
          <w:bdr w:val="nil"/>
          <w:lang w:eastAsia="ru-RU"/>
        </w:rPr>
        <w:t xml:space="preserve">Орлов Ю.В. Проблеми кримінально-правової кваліфікації домашнього насильства. </w:t>
      </w:r>
      <w:r w:rsidRPr="00511005">
        <w:rPr>
          <w:rFonts w:ascii="Arial" w:eastAsia="Arial Unicode MS" w:hAnsi="Arial" w:cs="Arial"/>
          <w:i/>
          <w:iCs/>
          <w:szCs w:val="28"/>
          <w:u w:color="000000"/>
          <w:bdr w:val="nil"/>
          <w:lang w:eastAsia="ru-RU"/>
        </w:rPr>
        <w:t xml:space="preserve">Право і безпека. </w:t>
      </w:r>
      <w:r w:rsidRPr="00511005">
        <w:rPr>
          <w:rFonts w:ascii="Arial" w:eastAsia="Arial Unicode MS" w:hAnsi="Arial" w:cs="Arial"/>
          <w:szCs w:val="28"/>
          <w:u w:color="000000"/>
          <w:bdr w:val="nil"/>
          <w:lang w:eastAsia="ru-RU"/>
        </w:rPr>
        <w:t>№4 (79). 2020. 13-19 с.</w:t>
      </w:r>
    </w:p>
    <w:p w14:paraId="2B10458C" w14:textId="77777777" w:rsidR="00200E87" w:rsidRPr="00511005" w:rsidRDefault="00200E87" w:rsidP="003A292D">
      <w:pPr>
        <w:pBdr>
          <w:top w:val="nil"/>
          <w:left w:val="nil"/>
          <w:bottom w:val="nil"/>
          <w:right w:val="nil"/>
          <w:between w:val="nil"/>
          <w:bar w:val="nil"/>
        </w:pBdr>
        <w:spacing w:line="264" w:lineRule="auto"/>
        <w:ind w:firstLine="0"/>
        <w:rPr>
          <w:rFonts w:ascii="Arial" w:eastAsia="Times New Roman" w:hAnsi="Arial" w:cs="Arial"/>
          <w:b/>
          <w:bCs/>
          <w:szCs w:val="28"/>
          <w:u w:color="000000"/>
          <w:bdr w:val="nil"/>
          <w:lang w:eastAsia="ru-RU"/>
        </w:rPr>
      </w:pPr>
      <w:r w:rsidRPr="00511005">
        <w:rPr>
          <w:rFonts w:ascii="Arial" w:eastAsia="Times New Roman" w:hAnsi="Arial" w:cs="Arial"/>
          <w:b/>
          <w:bCs/>
          <w:szCs w:val="28"/>
          <w:u w:color="000000"/>
          <w:bdr w:val="nil"/>
          <w:lang w:eastAsia="ru-RU"/>
        </w:rPr>
        <w:tab/>
      </w:r>
    </w:p>
    <w:p w14:paraId="2A48D810" w14:textId="1A6E6657" w:rsidR="00200E87" w:rsidRPr="00511005" w:rsidRDefault="007B2628" w:rsidP="003A292D">
      <w:pPr>
        <w:pBdr>
          <w:top w:val="nil"/>
          <w:left w:val="nil"/>
          <w:bottom w:val="nil"/>
          <w:right w:val="nil"/>
          <w:between w:val="nil"/>
          <w:bar w:val="nil"/>
        </w:pBdr>
        <w:spacing w:line="264" w:lineRule="auto"/>
        <w:ind w:firstLine="0"/>
        <w:rPr>
          <w:rFonts w:ascii="Arial" w:eastAsia="Times New Roman" w:hAnsi="Arial" w:cs="Arial"/>
          <w:szCs w:val="28"/>
          <w:u w:color="000000"/>
          <w:bdr w:val="nil"/>
          <w:lang w:eastAsia="ru-RU"/>
        </w:rPr>
      </w:pPr>
      <w:r w:rsidRPr="00511005">
        <w:rPr>
          <w:rFonts w:ascii="Arial" w:eastAsia="Times New Roman" w:hAnsi="Arial" w:cs="Arial"/>
          <w:b/>
          <w:bCs/>
          <w:i/>
          <w:szCs w:val="28"/>
          <w:u w:color="000000"/>
          <w:bdr w:val="nil"/>
          <w:lang w:eastAsia="ru-RU"/>
        </w:rPr>
        <w:t xml:space="preserve">Ключові слова: </w:t>
      </w:r>
      <w:r w:rsidR="00200E87" w:rsidRPr="00511005">
        <w:rPr>
          <w:rFonts w:ascii="Arial" w:eastAsia="Arial Unicode MS" w:hAnsi="Arial" w:cs="Arial"/>
          <w:szCs w:val="28"/>
          <w:u w:color="000000"/>
          <w:bdr w:val="nil"/>
          <w:lang w:eastAsia="ru-RU"/>
        </w:rPr>
        <w:t>систематичність,</w:t>
      </w:r>
      <w:r w:rsidR="00200E87" w:rsidRPr="00511005">
        <w:rPr>
          <w:rFonts w:ascii="Arial" w:eastAsia="Arial Unicode MS" w:hAnsi="Arial" w:cs="Arial"/>
          <w:szCs w:val="28"/>
          <w:u w:color="000000"/>
          <w:bdr w:val="nil"/>
          <w:lang w:val="uk-UA" w:eastAsia="ru-RU"/>
        </w:rPr>
        <w:t xml:space="preserve"> </w:t>
      </w:r>
      <w:r w:rsidR="00200E87" w:rsidRPr="00511005">
        <w:rPr>
          <w:rFonts w:ascii="Arial" w:eastAsia="Arial Unicode MS" w:hAnsi="Arial" w:cs="Arial"/>
          <w:szCs w:val="28"/>
          <w:u w:color="000000"/>
          <w:bdr w:val="nil"/>
          <w:lang w:eastAsia="ru-RU"/>
        </w:rPr>
        <w:t>домашнє насильство,</w:t>
      </w:r>
      <w:r w:rsidR="00200E87" w:rsidRPr="00511005">
        <w:rPr>
          <w:rFonts w:ascii="Arial" w:eastAsia="Arial Unicode MS" w:hAnsi="Arial" w:cs="Arial"/>
          <w:szCs w:val="28"/>
          <w:u w:color="000000"/>
          <w:bdr w:val="nil"/>
          <w:lang w:val="uk-UA" w:eastAsia="ru-RU"/>
        </w:rPr>
        <w:t xml:space="preserve"> </w:t>
      </w:r>
      <w:r w:rsidR="00200E87" w:rsidRPr="00511005">
        <w:rPr>
          <w:rFonts w:ascii="Arial" w:eastAsia="Arial Unicode MS" w:hAnsi="Arial" w:cs="Arial"/>
          <w:szCs w:val="28"/>
          <w:u w:color="000000"/>
          <w:bdr w:val="nil"/>
          <w:lang w:eastAsia="ru-RU"/>
        </w:rPr>
        <w:t>систематичність домашнього насильства.</w:t>
      </w:r>
    </w:p>
    <w:p w14:paraId="4795AD3D" w14:textId="293764B8" w:rsidR="00200E87" w:rsidRPr="00511005" w:rsidRDefault="007B2628" w:rsidP="003A292D">
      <w:pPr>
        <w:pBdr>
          <w:top w:val="nil"/>
          <w:left w:val="nil"/>
          <w:bottom w:val="nil"/>
          <w:right w:val="nil"/>
          <w:between w:val="nil"/>
          <w:bar w:val="nil"/>
        </w:pBdr>
        <w:spacing w:line="264" w:lineRule="auto"/>
        <w:ind w:firstLine="0"/>
        <w:rPr>
          <w:rFonts w:ascii="Arial" w:eastAsia="Times New Roman" w:hAnsi="Arial" w:cs="Arial"/>
          <w:b/>
          <w:bCs/>
          <w:szCs w:val="28"/>
          <w:u w:color="000000"/>
          <w:bdr w:val="nil"/>
          <w:lang w:val="en-US" w:eastAsia="ru-RU"/>
        </w:rPr>
      </w:pPr>
      <w:r w:rsidRPr="00511005">
        <w:rPr>
          <w:rFonts w:ascii="Arial" w:eastAsia="Arial Unicode MS" w:hAnsi="Arial" w:cs="Arial"/>
          <w:b/>
          <w:bCs/>
          <w:i/>
          <w:szCs w:val="28"/>
          <w:u w:color="000000"/>
          <w:bdr w:val="nil"/>
          <w:lang w:val="en-US" w:eastAsia="ru-RU"/>
        </w:rPr>
        <w:t xml:space="preserve">Key words: </w:t>
      </w:r>
      <w:r w:rsidR="00200E87" w:rsidRPr="00511005">
        <w:rPr>
          <w:rFonts w:ascii="Arial" w:eastAsia="Arial Unicode MS" w:hAnsi="Arial" w:cs="Arial"/>
          <w:szCs w:val="28"/>
          <w:u w:color="000000"/>
          <w:bdr w:val="nil"/>
          <w:shd w:val="clear" w:color="auto" w:fill="FFFFFF"/>
          <w:lang w:val="en-US" w:eastAsia="ru-RU"/>
        </w:rPr>
        <w:t>systematic, domestic violence, systematic domestic violence.</w:t>
      </w:r>
    </w:p>
    <w:p w14:paraId="5423C551" w14:textId="0BABB098" w:rsidR="00200E87" w:rsidRPr="00511005" w:rsidRDefault="007B2628" w:rsidP="003A292D">
      <w:pPr>
        <w:pBdr>
          <w:top w:val="nil"/>
          <w:left w:val="nil"/>
          <w:bottom w:val="nil"/>
          <w:right w:val="nil"/>
          <w:between w:val="nil"/>
          <w:bar w:val="nil"/>
        </w:pBdr>
        <w:spacing w:line="264" w:lineRule="auto"/>
        <w:ind w:firstLine="0"/>
        <w:rPr>
          <w:rFonts w:ascii="Arial" w:eastAsia="Times New Roman" w:hAnsi="Arial" w:cs="Arial"/>
          <w:b/>
          <w:bCs/>
          <w:szCs w:val="28"/>
          <w:u w:color="000000"/>
          <w:bdr w:val="nil"/>
          <w:lang w:eastAsia="ru-RU"/>
        </w:rPr>
      </w:pPr>
      <w:r w:rsidRPr="00511005">
        <w:rPr>
          <w:rFonts w:ascii="Arial" w:eastAsia="Times New Roman" w:hAnsi="Arial" w:cs="Arial"/>
          <w:b/>
          <w:i/>
          <w:iCs/>
          <w:szCs w:val="28"/>
          <w:u w:color="000000"/>
          <w:bdr w:val="nil"/>
          <w:lang w:eastAsia="ru-RU"/>
        </w:rPr>
        <w:t xml:space="preserve">Науковий керівник: </w:t>
      </w:r>
      <w:r w:rsidR="00200E87" w:rsidRPr="00511005">
        <w:rPr>
          <w:rFonts w:ascii="Arial" w:eastAsia="Arial Unicode MS" w:hAnsi="Arial" w:cs="Arial"/>
          <w:i/>
          <w:iCs/>
          <w:szCs w:val="28"/>
          <w:u w:color="000000"/>
          <w:bdr w:val="nil"/>
          <w:lang w:eastAsia="ru-RU"/>
        </w:rPr>
        <w:t>д.ю.н., доцент Степаненко О.</w:t>
      </w:r>
      <w:r w:rsidR="00200E87" w:rsidRPr="00511005">
        <w:rPr>
          <w:rFonts w:ascii="Arial" w:eastAsia="Arial Unicode MS" w:hAnsi="Arial" w:cs="Arial"/>
          <w:i/>
          <w:iCs/>
          <w:szCs w:val="28"/>
          <w:u w:color="000000"/>
          <w:bdr w:val="nil"/>
          <w:lang w:val="uk-UA" w:eastAsia="ru-RU"/>
        </w:rPr>
        <w:t xml:space="preserve"> </w:t>
      </w:r>
      <w:r w:rsidR="00200E87" w:rsidRPr="00511005">
        <w:rPr>
          <w:rFonts w:ascii="Arial" w:eastAsia="Arial Unicode MS" w:hAnsi="Arial" w:cs="Arial"/>
          <w:i/>
          <w:iCs/>
          <w:szCs w:val="28"/>
          <w:u w:color="000000"/>
          <w:bdr w:val="nil"/>
          <w:lang w:eastAsia="ru-RU"/>
        </w:rPr>
        <w:t>В.</w:t>
      </w:r>
    </w:p>
    <w:p w14:paraId="6048B254" w14:textId="77777777" w:rsidR="00200E87" w:rsidRPr="00511005" w:rsidRDefault="00200E87" w:rsidP="003A292D">
      <w:pPr>
        <w:spacing w:line="264" w:lineRule="auto"/>
        <w:ind w:firstLine="0"/>
        <w:jc w:val="center"/>
        <w:rPr>
          <w:rFonts w:ascii="Arial" w:eastAsia="Calibri" w:hAnsi="Arial" w:cs="Arial"/>
          <w:b/>
          <w:szCs w:val="28"/>
          <w:lang w:val="uk-UA"/>
        </w:rPr>
      </w:pPr>
    </w:p>
    <w:p w14:paraId="51A30B1C" w14:textId="6E9D111F" w:rsidR="00200E87" w:rsidRPr="00511005" w:rsidRDefault="00200E87"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Єйникова Валерія Вікторівна</w:t>
      </w:r>
    </w:p>
    <w:p w14:paraId="5A71C0EB" w14:textId="0356BB90"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5902D2C8"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C5D3392"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768FC3A" w14:textId="77777777" w:rsidR="00200E87" w:rsidRPr="00511005" w:rsidRDefault="00200E87" w:rsidP="003A292D">
      <w:pPr>
        <w:spacing w:line="264" w:lineRule="auto"/>
        <w:ind w:firstLine="0"/>
        <w:jc w:val="center"/>
        <w:rPr>
          <w:rFonts w:ascii="Arial" w:eastAsia="Calibri" w:hAnsi="Arial" w:cs="Arial"/>
          <w:b/>
          <w:bCs/>
          <w:szCs w:val="28"/>
          <w:lang w:val="uk-UA"/>
        </w:rPr>
      </w:pPr>
    </w:p>
    <w:p w14:paraId="21A121B4" w14:textId="77777777" w:rsidR="00200E87" w:rsidRPr="00511005" w:rsidRDefault="00200E8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МАРОДЕРСТВО ЯК ВІЙСЬКОВИЙ ЗЛОЧИН У НАЦІОНАЛЬНОМУ ЗАКОНОДАВСТВІ УКРАЇНИ ТА МІЖНАРОДНОМУ ГУМАНІТАРНОМУ ПРАВІ</w:t>
      </w:r>
    </w:p>
    <w:p w14:paraId="57AC1F12"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Мародерство, як термін і явище, давно закріпилося у правовій та історичній свідомості людства. Походження цього слова сягає французької мови і є безпосередньо пов’язаним з такими поняттями, як крадіжка, пограбування та насильницьке привласнення чужого майна в умовах війни. У свою чергу, міжнародне право давно поставило перед собою завдання заборонити цей злочин та ввести чіткі норми для захисту цивільного населення і поранених військовослужбовців. І хоча мародерство сьогодні здебільшого асоціюється з війною та насильством, його корені глибше, і воно залишається важливим аспектом досліджень у сфері міжнародного гуманітарного права.</w:t>
      </w:r>
    </w:p>
    <w:p w14:paraId="0130D35A"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Термін «мародерство» походить від французьких слів «maraud», що означає «негідник» та «maraude», що означає «грабунок, пограбування, викрадення харчів або речей під час війни». А сам іменник «мародер» походить від французького дієслова «marauder», тобто «бродити з метою грабежу, грабувати, шукати поживу або наживу». Також за деякими джерелами термін «мародерство» має походження від французького слова «maraudage» і у первісному значенні означає крадіжку продовольчих товарів, вчинену військовослужбовцями. Походження терміна пов’язують з періодом Тридцятирічної війни. Існує версія, що слово "мародер" походить від прізвища одного з двох відомих військових командирів на ім’я Мероде, які брали участь у цій війні: німецького генерала-графа Йоганна Мероде або шведського полковника Вернера фон Мероде. [1]</w:t>
      </w:r>
    </w:p>
    <w:p w14:paraId="4928E70E"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lang w:val="uk-UA"/>
        </w:rPr>
        <w:t>Взагалі мародерство — це протиправне заволодіння речами на полі бою, які належать пораненим або загиблим, зокрема елементами обмундирування чи особистими речами (наприклад, годинником, грошима тощо).</w:t>
      </w:r>
      <w:r w:rsidRPr="00511005">
        <w:rPr>
          <w:rFonts w:ascii="Arial" w:eastAsia="Calibri" w:hAnsi="Arial" w:cs="Arial"/>
          <w:szCs w:val="28"/>
        </w:rPr>
        <w:t xml:space="preserve"> [2]</w:t>
      </w:r>
    </w:p>
    <w:p w14:paraId="4134E93E"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Відповідно до статті 432 Кримінального кодексу України, за такі дії передбачено позбавлення волі на строк від 5 до 10 років.</w:t>
      </w:r>
    </w:p>
    <w:p w14:paraId="25E4B6B5"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lang w:val="uk-UA"/>
        </w:rPr>
        <w:t xml:space="preserve">Основний безпосередній об'єкт мародерства, за М.І. Хавронюком є бойова слава Збройних Сил України, честь військовослужбовця, дотримання звичаїв та правил війни. Такий об'єкт тісно пов’язаний з моральними, традиційними та дисциплінарними цінностями армії. </w:t>
      </w:r>
      <w:r w:rsidRPr="00511005">
        <w:rPr>
          <w:rFonts w:ascii="Arial" w:eastAsia="Calibri" w:hAnsi="Arial" w:cs="Arial"/>
          <w:szCs w:val="28"/>
        </w:rPr>
        <w:t>[9]</w:t>
      </w:r>
    </w:p>
    <w:p w14:paraId="524206A9"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 альтернативною точкою зору об’єктом також можна вважати суспільну моральність у воєнних умовах — аналогія зі статтею 297 КК України («Наруга над тілом померлого»).</w:t>
      </w:r>
    </w:p>
    <w:p w14:paraId="4A06511E"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Об’єктивна сторона мародерства полягає у викраденні особистих речей поранених або загиблих на полі бою. Таке викрадення може бути як таємним, так і відкритим. Обов’язковою умовою є місце вчинення злочину — поле бою, включаючи тилові ділянки, що зазнали ворожого обстрілу.</w:t>
      </w:r>
    </w:p>
    <w:p w14:paraId="6F62CFED"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lang w:val="uk-UA"/>
        </w:rPr>
        <w:t>Заволодіння майном здорових військовослужбовців не підпадає під ознаки мародерства, проте такі дії можуть бути кваліфіковані як злочини проти власності</w:t>
      </w:r>
      <w:r w:rsidRPr="00511005">
        <w:rPr>
          <w:rFonts w:ascii="Arial" w:eastAsia="Calibri" w:hAnsi="Arial" w:cs="Arial"/>
          <w:szCs w:val="28"/>
        </w:rPr>
        <w:t>.</w:t>
      </w:r>
    </w:p>
    <w:p w14:paraId="3CCFA3BF"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Предметом мародерства є особисті речі, зокрема годинники, гроші тощо. Зброя, боєприпаси, техніка чи військові документи не належать до предметів цього злочину — їхнє привласнення кваліфікується за іншими статтями, наприклад, ст. 185 або ст. 186 КК України.</w:t>
      </w:r>
    </w:p>
    <w:p w14:paraId="04C9988D"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lang w:val="uk-UA"/>
        </w:rPr>
        <w:t>Як зазначає М.І. Панов, факт належності поранених чи загиблих до певної армії або момент вчинення дії (до чи після бою) не є визначальним для складу цього злочину.</w:t>
      </w:r>
      <w:r w:rsidRPr="00511005">
        <w:rPr>
          <w:rFonts w:ascii="Arial" w:eastAsia="Calibri" w:hAnsi="Arial" w:cs="Arial"/>
          <w:szCs w:val="28"/>
        </w:rPr>
        <w:t xml:space="preserve"> [3]</w:t>
      </w:r>
    </w:p>
    <w:p w14:paraId="44EE1B9C"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Також варто зазначити, що вартість викраденого не впливає на кваліфікацію.</w:t>
      </w:r>
    </w:p>
    <w:p w14:paraId="7DA606F6"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Суб’єктивна сторона мародерства характеризується прямим умислом — злочин вчиняється свідомо, з метою наживи. Він вважається закінченим з моменту вилучення особистих речей у пораненого або загиблого на полі бою.</w:t>
      </w:r>
    </w:p>
    <w:p w14:paraId="6565FCA8"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Мародерство можливе лише на полі бою. Якщо ж викрадення особистих речей відбувається в іншому місці, це не є мародерством, а кваліфікується як злочин проти власності із врахуванням обставин воєнного стану (наприклад, за ст. 185, 186 або 187 КК України).</w:t>
      </w:r>
    </w:p>
    <w:p w14:paraId="149AAB73"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Як зазначає О.М. Будяченко, злочини проти власності не є мародерством, навіть якщо мотиви подібні — важливо, де саме відбувається протиправне заволодіння майном. [4]</w:t>
      </w:r>
    </w:p>
    <w:p w14:paraId="0CB01C45"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Я.Г. Лизогуб акцентує увагу на тому, що суб’єктом мародерства може бути лише військовослужбовець, а також у певних умовах — поліцейський особливого призначення, залучений до бойових дій (воєнний стан). На відміну від злочинів проти власності (як-от грабіж), де відповідальність настає з 14 років, за мародерство відповідає лише особа, що має військовий статус, а отже, досягла призовного віку.</w:t>
      </w:r>
    </w:p>
    <w:p w14:paraId="5B392D1A"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 xml:space="preserve">Це зумовлено тим, що мародерство належить до військових кримінальних правопорушень, передбачених розділом </w:t>
      </w:r>
      <w:r w:rsidRPr="00511005">
        <w:rPr>
          <w:rFonts w:ascii="Arial" w:eastAsia="Calibri" w:hAnsi="Arial" w:cs="Arial"/>
          <w:szCs w:val="28"/>
          <w:lang w:val="en-US"/>
        </w:rPr>
        <w:t>XIX</w:t>
      </w:r>
      <w:r w:rsidRPr="00511005">
        <w:rPr>
          <w:rFonts w:ascii="Arial" w:eastAsia="Calibri" w:hAnsi="Arial" w:cs="Arial"/>
          <w:szCs w:val="28"/>
        </w:rPr>
        <w:t xml:space="preserve"> КК України. Відповідно до законодавства, військовослужбовцями визнаються призовники, резервісти, іноземці та особи без громадянства, які проходять службу. Також статус військовослужбовця мають учасники бойових дій згідно із Законом України «Про статус ветеранів війни». [5]</w:t>
      </w:r>
    </w:p>
    <w:p w14:paraId="3B841477"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Термін «мародерство» був закріплений у міжнародному праві через низку важливих документів. Спочатку заборона мародерства була закріплена в Кодексі Лібера (1863) для армії США, хоча тоді цей термін не мав чіткої </w:t>
      </w:r>
      <w:r w:rsidRPr="00511005">
        <w:rPr>
          <w:rFonts w:ascii="Arial" w:eastAsia="Calibri" w:hAnsi="Arial" w:cs="Arial"/>
          <w:szCs w:val="28"/>
          <w:lang w:val="uk-UA"/>
        </w:rPr>
        <w:lastRenderedPageBreak/>
        <w:t xml:space="preserve">юридичної деталізації. У подальшому заборона мародерства була підтверджена в Гаазьких конвенціях 1899 і 1907 років, зокрема в IV Конвенції та її додатках, що забороняли мародерство в населених пунктах за будь-яких умов. </w:t>
      </w:r>
      <w:r w:rsidRPr="00511005">
        <w:rPr>
          <w:rFonts w:ascii="Arial" w:eastAsia="Calibri" w:hAnsi="Arial" w:cs="Arial"/>
          <w:szCs w:val="28"/>
        </w:rPr>
        <w:t>[6]</w:t>
      </w:r>
    </w:p>
    <w:p w14:paraId="5511E0C9"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lang w:val="uk-UA"/>
        </w:rPr>
        <w:t>Женевська конвенція 1949 року «Про покращення долі поранених та хворих у діючих арміях» також включає положення про мародерство. Стаття 15 цієї конвенції зобов’язує сторони конфлікту вжити всіх можливих заходів для захисту поранених і хворих від мародерства, а також запобігти пограбуванню мертвих. Стаття 16 вимагає реєстрації поранених і померлих супротивної сторони, що потрапили під владу сторін конфлікту, щоб допомогти їхній ідентифікації. Ці положення підтверджують важливість моральних принципів у веденні бойових дій.</w:t>
      </w:r>
      <w:r w:rsidRPr="00511005">
        <w:rPr>
          <w:rFonts w:ascii="Arial" w:eastAsia="Calibri" w:hAnsi="Arial" w:cs="Arial"/>
          <w:szCs w:val="28"/>
        </w:rPr>
        <w:t xml:space="preserve"> [7]</w:t>
      </w:r>
    </w:p>
    <w:p w14:paraId="29E96AC5"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контексті сучасного міжнародного гуманітарного права мародерство визнається серйозним правопорушенням, що є військовим злочином. Римський статут Міжнародного кримінального суду включає мародерство у перелік військових злочинів, поширюючи свою юрисдикцію на такі дії, як захоплення або знищення майна без воєнної необхідності, а також грабіж та розбої в захоплених містах.</w:t>
      </w:r>
    </w:p>
    <w:p w14:paraId="7AB1C2AE"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lang w:val="uk-UA"/>
        </w:rPr>
        <w:t xml:space="preserve">Мародерство охоплює привласнення як публічної, так і приватної власності без згоди власника, що є кримінальним злочином. Статут Міжнародного кримінального суду визначає чіткі ознаки цього злочину: привласнення майна, намір винуватця використовувати його для особистих цілей, відсутність згоди власника, зв'язок із міжнародним збройним конфліктом і усвідомлення фактів цього конфлікту. </w:t>
      </w:r>
      <w:r w:rsidRPr="00511005">
        <w:rPr>
          <w:rFonts w:ascii="Arial" w:eastAsia="Calibri" w:hAnsi="Arial" w:cs="Arial"/>
          <w:szCs w:val="28"/>
        </w:rPr>
        <w:t>[8]</w:t>
      </w:r>
    </w:p>
    <w:p w14:paraId="1086997B"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Мародерство є серйозним правопорушенням, що не лише підриває моральні засади ведення бойових дій, а й порушує основні норми міжнародного гуманітарного права. Поширення цього злочину під час війни ставить під загрозу не лише матеріальні цінності, а й людську гідність, що підтверджується як історичними прикладами, так і сучасними законодавчими ініціативами. Строге законодавче врегулювання цього питання, зокрема через міжнародні документи, такі як Гаазькі та Женевські конвенції, має на меті не лише покарання винних, але й збереження моральних принципів навіть у найскладніших умовах війни. Сьогодні мародерство залишається важливою темою для міжнародного правосуддя та військової етики, яка потребує уважного аналізу і постійного вдосконалення правових норм у відповідь на нові виклики.</w:t>
      </w:r>
    </w:p>
    <w:p w14:paraId="16BAB85C" w14:textId="77777777" w:rsidR="00200E87" w:rsidRPr="00511005" w:rsidRDefault="00200E87" w:rsidP="003A292D">
      <w:pPr>
        <w:spacing w:line="264" w:lineRule="auto"/>
        <w:ind w:firstLine="0"/>
        <w:rPr>
          <w:rFonts w:ascii="Arial" w:eastAsia="Calibri" w:hAnsi="Arial" w:cs="Arial"/>
          <w:szCs w:val="28"/>
          <w:lang w:val="uk-UA"/>
        </w:rPr>
      </w:pPr>
    </w:p>
    <w:p w14:paraId="143F6F80" w14:textId="79E8ADBB" w:rsidR="00200E87"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60A53F50" w14:textId="77777777" w:rsidR="00200E87" w:rsidRPr="00511005" w:rsidRDefault="00200E87" w:rsidP="003F6A5D">
      <w:pPr>
        <w:numPr>
          <w:ilvl w:val="0"/>
          <w:numId w:val="51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МАРОДЕРСТВО - визначення й синоніми мародерство в українська словнику.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819" w:history="1">
        <w:r w:rsidRPr="00511005">
          <w:rPr>
            <w:rFonts w:ascii="Arial" w:eastAsia="Calibri" w:hAnsi="Arial" w:cs="Arial"/>
            <w:szCs w:val="28"/>
            <w:lang w:val="uk-UA"/>
          </w:rPr>
          <w:t>https://educalingo.com/uk/dic-uk/maroderstvo</w:t>
        </w:r>
      </w:hyperlink>
      <w:r w:rsidRPr="00511005">
        <w:rPr>
          <w:rFonts w:ascii="Arial" w:eastAsia="Calibri" w:hAnsi="Arial" w:cs="Arial"/>
          <w:szCs w:val="28"/>
          <w:lang w:val="uk-UA"/>
        </w:rPr>
        <w:t xml:space="preserve"> (дата звернення 04.05.2025)</w:t>
      </w:r>
    </w:p>
    <w:p w14:paraId="3E7ADAA5" w14:textId="692ADBAE" w:rsidR="00200E87" w:rsidRPr="00511005" w:rsidRDefault="005938AD" w:rsidP="003F6A5D">
      <w:pPr>
        <w:numPr>
          <w:ilvl w:val="0"/>
          <w:numId w:val="515"/>
        </w:numPr>
        <w:spacing w:line="264" w:lineRule="auto"/>
        <w:contextualSpacing/>
        <w:jc w:val="left"/>
        <w:rPr>
          <w:rFonts w:ascii="Arial" w:eastAsia="Calibri" w:hAnsi="Arial" w:cs="Arial"/>
          <w:szCs w:val="28"/>
          <w:lang w:val="uk-UA"/>
        </w:rPr>
      </w:pPr>
      <w:hyperlink r:id="rId1820" w:history="1">
        <w:r w:rsidR="00200E87" w:rsidRPr="00511005">
          <w:rPr>
            <w:rFonts w:ascii="Arial" w:eastAsia="Calibri" w:hAnsi="Arial" w:cs="Arial"/>
            <w:szCs w:val="28"/>
            <w:lang w:val="uk-UA"/>
          </w:rPr>
          <w:t>ПАМ’ЯТКА: Відповідальність за мародерство, крадіжку чи грабіж під час війни – Право в умовах війни</w:t>
        </w:r>
      </w:hyperlink>
      <w:r w:rsidR="00200E87" w:rsidRPr="00511005">
        <w:rPr>
          <w:rFonts w:ascii="Arial" w:eastAsia="Calibri" w:hAnsi="Arial" w:cs="Arial"/>
          <w:szCs w:val="28"/>
          <w:lang w:val="uk-UA"/>
        </w:rPr>
        <w:t xml:space="preserve">. </w:t>
      </w:r>
      <w:r w:rsidR="00200E87" w:rsidRPr="00511005">
        <w:rPr>
          <w:rFonts w:ascii="Arial" w:eastAsia="Calibri" w:hAnsi="Arial" w:cs="Arial"/>
          <w:szCs w:val="28"/>
          <w:lang w:val="en-US"/>
        </w:rPr>
        <w:t>URL</w:t>
      </w:r>
      <w:r w:rsidR="00200E87" w:rsidRPr="00511005">
        <w:rPr>
          <w:rFonts w:ascii="Arial" w:eastAsia="Calibri" w:hAnsi="Arial" w:cs="Arial"/>
          <w:szCs w:val="28"/>
        </w:rPr>
        <w:t xml:space="preserve">: </w:t>
      </w:r>
      <w:hyperlink r:id="rId1821" w:anchor=":~:text=%D0%A6%D0%B8%D0%B2%D1%96%D0%BB%D1%8C%D0%BD%D1%96%20%D0%BE%D1%81%D0%BE%D0%B1%D0%B8%2C%20%D1%8F%D0%BA%D1%96%20%D0%B2%D1%87%D0%B8%D0%BD%D1%8F%D1%8E%D1%82%D1%8C%20%D0%B2%D0%B8%D0%BA%D1%80%D0%B0%D0%B4%D0%B5%D0%BD%D0%BD%D1%8F%20%D1%80%D0%B5%D1%87%D0%B5%D0%B9%20%D1%83%20%D1%84%D1%96%D0%B7%D0%B8%D1%87%D0%BD%D0%B8%D1%85,%D1%83%D0%BC%D0%BE%D0%B2%D0%B0%D1%85%20%D0%B2%D0%BE%D1%94%D0%BD%D0%BD%D0%BE%D0%B3%D0%BE%20%D1%81%D1%82%D0%B0%D0%BD%D1%83%20%D1%94%20%D0%BE%D0%B1%D1%81%D1%82%D0%B0%D0%B2%D0%B8%D0%BD%D0%BE%D1%8E%2C%20%D1%89%D0%BE%20%D0%BE%D0%B1%D1%82%D1%8F%D0%B6%D1%83%D1%94%20%D0%B2%D1%96%D0%B4%D0%BF%D0%BE%D0%B2%D1%96%D0%B4%D0%B0%D0%BB%D1%8C%D0%BD%D1%96%D1%81%D1%82%D1%8C" w:history="1">
        <w:r w:rsidR="00200E87" w:rsidRPr="00511005">
          <w:rPr>
            <w:rFonts w:ascii="Arial" w:eastAsia="Calibri" w:hAnsi="Arial" w:cs="Arial"/>
            <w:szCs w:val="28"/>
            <w:lang w:val="en-US"/>
          </w:rPr>
          <w:t>https</w:t>
        </w:r>
        <w:r w:rsidR="00200E87" w:rsidRPr="00511005">
          <w:rPr>
            <w:rFonts w:ascii="Arial" w:eastAsia="Calibri" w:hAnsi="Arial" w:cs="Arial"/>
            <w:szCs w:val="28"/>
          </w:rPr>
          <w:t>://</w:t>
        </w:r>
        <w:r w:rsidR="00200E87" w:rsidRPr="00511005">
          <w:rPr>
            <w:rFonts w:ascii="Arial" w:eastAsia="Calibri" w:hAnsi="Arial" w:cs="Arial"/>
            <w:szCs w:val="28"/>
            <w:lang w:val="en-US"/>
          </w:rPr>
          <w:t>law</w:t>
        </w:r>
        <w:r w:rsidR="00200E87" w:rsidRPr="00511005">
          <w:rPr>
            <w:rFonts w:ascii="Arial" w:eastAsia="Calibri" w:hAnsi="Arial" w:cs="Arial"/>
            <w:szCs w:val="28"/>
          </w:rPr>
          <w:t>-</w:t>
        </w:r>
        <w:r w:rsidR="00200E87" w:rsidRPr="00511005">
          <w:rPr>
            <w:rFonts w:ascii="Arial" w:eastAsia="Calibri" w:hAnsi="Arial" w:cs="Arial"/>
            <w:szCs w:val="28"/>
            <w:lang w:val="en-US"/>
          </w:rPr>
          <w:t>in</w:t>
        </w:r>
        <w:r w:rsidR="00200E87" w:rsidRPr="00511005">
          <w:rPr>
            <w:rFonts w:ascii="Arial" w:eastAsia="Calibri" w:hAnsi="Arial" w:cs="Arial"/>
            <w:szCs w:val="28"/>
          </w:rPr>
          <w:t>-</w:t>
        </w:r>
        <w:r w:rsidR="00200E87" w:rsidRPr="00511005">
          <w:rPr>
            <w:rFonts w:ascii="Arial" w:eastAsia="Calibri" w:hAnsi="Arial" w:cs="Arial"/>
            <w:szCs w:val="28"/>
            <w:lang w:val="en-US"/>
          </w:rPr>
          <w:t>war</w:t>
        </w:r>
        <w:r w:rsidR="00200E87" w:rsidRPr="00511005">
          <w:rPr>
            <w:rFonts w:ascii="Arial" w:eastAsia="Calibri" w:hAnsi="Arial" w:cs="Arial"/>
            <w:szCs w:val="28"/>
          </w:rPr>
          <w:t>.</w:t>
        </w:r>
        <w:r w:rsidR="00200E87" w:rsidRPr="00511005">
          <w:rPr>
            <w:rFonts w:ascii="Arial" w:eastAsia="Calibri" w:hAnsi="Arial" w:cs="Arial"/>
            <w:szCs w:val="28"/>
            <w:lang w:val="en-US"/>
          </w:rPr>
          <w:t>org</w:t>
        </w:r>
        <w:r w:rsidR="00200E87" w:rsidRPr="00511005">
          <w:rPr>
            <w:rFonts w:ascii="Arial" w:eastAsia="Calibri" w:hAnsi="Arial" w:cs="Arial"/>
            <w:szCs w:val="28"/>
          </w:rPr>
          <w:t>/</w:t>
        </w:r>
        <w:r w:rsidR="00200E87" w:rsidRPr="00511005">
          <w:rPr>
            <w:rFonts w:ascii="Arial" w:eastAsia="Calibri" w:hAnsi="Arial" w:cs="Arial"/>
            <w:szCs w:val="28"/>
            <w:lang w:val="en-US"/>
          </w:rPr>
          <w:t>pamyatka</w:t>
        </w:r>
        <w:r w:rsidR="00200E87" w:rsidRPr="00511005">
          <w:rPr>
            <w:rFonts w:ascii="Arial" w:eastAsia="Calibri" w:hAnsi="Arial" w:cs="Arial"/>
            <w:szCs w:val="28"/>
          </w:rPr>
          <w:t>-</w:t>
        </w:r>
        <w:r w:rsidR="00200E87" w:rsidRPr="00511005">
          <w:rPr>
            <w:rFonts w:ascii="Arial" w:eastAsia="Calibri" w:hAnsi="Arial" w:cs="Arial"/>
            <w:szCs w:val="28"/>
            <w:lang w:val="en-US"/>
          </w:rPr>
          <w:t>vidpovidalnist</w:t>
        </w:r>
        <w:r w:rsidR="00200E87" w:rsidRPr="00511005">
          <w:rPr>
            <w:rFonts w:ascii="Arial" w:eastAsia="Calibri" w:hAnsi="Arial" w:cs="Arial"/>
            <w:szCs w:val="28"/>
          </w:rPr>
          <w:t>-</w:t>
        </w:r>
        <w:r w:rsidR="00200E87" w:rsidRPr="00511005">
          <w:rPr>
            <w:rFonts w:ascii="Arial" w:eastAsia="Calibri" w:hAnsi="Arial" w:cs="Arial"/>
            <w:szCs w:val="28"/>
            <w:lang w:val="en-US"/>
          </w:rPr>
          <w:t>gromadyan</w:t>
        </w:r>
        <w:r w:rsidR="00200E87" w:rsidRPr="00511005">
          <w:rPr>
            <w:rFonts w:ascii="Arial" w:eastAsia="Calibri" w:hAnsi="Arial" w:cs="Arial"/>
            <w:szCs w:val="28"/>
          </w:rPr>
          <w:t>-</w:t>
        </w:r>
        <w:r w:rsidR="00200E87" w:rsidRPr="00511005">
          <w:rPr>
            <w:rFonts w:ascii="Arial" w:eastAsia="Calibri" w:hAnsi="Arial" w:cs="Arial"/>
            <w:szCs w:val="28"/>
            <w:lang w:val="en-US"/>
          </w:rPr>
          <w:t>za</w:t>
        </w:r>
        <w:r w:rsidR="00200E87" w:rsidRPr="00511005">
          <w:rPr>
            <w:rFonts w:ascii="Arial" w:eastAsia="Calibri" w:hAnsi="Arial" w:cs="Arial"/>
            <w:szCs w:val="28"/>
          </w:rPr>
          <w:t>-</w:t>
        </w:r>
        <w:r w:rsidR="00200E87" w:rsidRPr="00511005">
          <w:rPr>
            <w:rFonts w:ascii="Arial" w:eastAsia="Calibri" w:hAnsi="Arial" w:cs="Arial"/>
            <w:szCs w:val="28"/>
            <w:lang w:val="en-US"/>
          </w:rPr>
          <w:t>maroderstvo</w:t>
        </w:r>
        <w:r w:rsidR="00200E87" w:rsidRPr="00511005">
          <w:rPr>
            <w:rFonts w:ascii="Arial" w:eastAsia="Calibri" w:hAnsi="Arial" w:cs="Arial"/>
            <w:szCs w:val="28"/>
          </w:rPr>
          <w:t>/#:~:</w:t>
        </w:r>
        <w:r w:rsidR="00200E87" w:rsidRPr="00511005">
          <w:rPr>
            <w:rFonts w:ascii="Arial" w:eastAsia="Calibri" w:hAnsi="Arial" w:cs="Arial"/>
            <w:szCs w:val="28"/>
            <w:lang w:val="en-US"/>
          </w:rPr>
          <w:t>text</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A</w:t>
        </w:r>
        <w:r w:rsidR="00200E87" w:rsidRPr="00511005">
          <w:rPr>
            <w:rFonts w:ascii="Arial" w:eastAsia="Calibri" w:hAnsi="Arial" w:cs="Arial"/>
            <w:szCs w:val="28"/>
          </w:rPr>
          <w:t>6%</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8%</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2%</w:t>
        </w:r>
        <w:r w:rsidR="00200E87" w:rsidRPr="00511005">
          <w:rPr>
            <w:rFonts w:ascii="Arial" w:eastAsia="Calibri" w:hAnsi="Arial" w:cs="Arial"/>
            <w:szCs w:val="28"/>
            <w:lang w:val="en-US"/>
          </w:rPr>
          <w:t>D</w:t>
        </w:r>
        <w:r w:rsidR="00200E87" w:rsidRPr="00511005">
          <w:rPr>
            <w:rFonts w:ascii="Arial" w:eastAsia="Calibri" w:hAnsi="Arial" w:cs="Arial"/>
            <w:szCs w:val="28"/>
          </w:rPr>
          <w:t>1%96%</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BB</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1%8</w:t>
        </w:r>
        <w:r w:rsidR="00200E87" w:rsidRPr="00511005">
          <w:rPr>
            <w:rFonts w:ascii="Arial" w:eastAsia="Calibri" w:hAnsi="Arial" w:cs="Arial"/>
            <w:szCs w:val="28"/>
            <w:lang w:val="en-US"/>
          </w:rPr>
          <w:t>C</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BD</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1%96%20%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BE</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1%81%</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BE</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1%</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8%2</w:t>
        </w:r>
        <w:r w:rsidR="00200E87" w:rsidRPr="00511005">
          <w:rPr>
            <w:rFonts w:ascii="Arial" w:eastAsia="Calibri" w:hAnsi="Arial" w:cs="Arial"/>
            <w:szCs w:val="28"/>
            <w:lang w:val="en-US"/>
          </w:rPr>
          <w:t>C</w:t>
        </w:r>
        <w:r w:rsidR="00200E87" w:rsidRPr="00511005">
          <w:rPr>
            <w:rFonts w:ascii="Arial" w:eastAsia="Calibri" w:hAnsi="Arial" w:cs="Arial"/>
            <w:szCs w:val="28"/>
          </w:rPr>
          <w:t>%20%</w:t>
        </w:r>
        <w:r w:rsidR="00200E87" w:rsidRPr="00511005">
          <w:rPr>
            <w:rFonts w:ascii="Arial" w:eastAsia="Calibri" w:hAnsi="Arial" w:cs="Arial"/>
            <w:szCs w:val="28"/>
            <w:lang w:val="en-US"/>
          </w:rPr>
          <w:t>D</w:t>
        </w:r>
        <w:r w:rsidR="00200E87" w:rsidRPr="00511005">
          <w:rPr>
            <w:rFonts w:ascii="Arial" w:eastAsia="Calibri" w:hAnsi="Arial" w:cs="Arial"/>
            <w:szCs w:val="28"/>
          </w:rPr>
          <w:t>1%8</w:t>
        </w:r>
        <w:r w:rsidR="00200E87" w:rsidRPr="00511005">
          <w:rPr>
            <w:rFonts w:ascii="Arial" w:eastAsia="Calibri" w:hAnsi="Arial" w:cs="Arial"/>
            <w:szCs w:val="28"/>
            <w:lang w:val="en-US"/>
          </w:rPr>
          <w:t>F</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BA</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1%96%20%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2%</w:t>
        </w:r>
        <w:r w:rsidR="00200E87" w:rsidRPr="00511005">
          <w:rPr>
            <w:rFonts w:ascii="Arial" w:eastAsia="Calibri" w:hAnsi="Arial" w:cs="Arial"/>
            <w:szCs w:val="28"/>
            <w:lang w:val="en-US"/>
          </w:rPr>
          <w:t>D</w:t>
        </w:r>
        <w:r w:rsidR="00200E87" w:rsidRPr="00511005">
          <w:rPr>
            <w:rFonts w:ascii="Arial" w:eastAsia="Calibri" w:hAnsi="Arial" w:cs="Arial"/>
            <w:szCs w:val="28"/>
          </w:rPr>
          <w:t>1%87%</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8%</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BD</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1%8</w:t>
        </w:r>
        <w:r w:rsidR="00200E87" w:rsidRPr="00511005">
          <w:rPr>
            <w:rFonts w:ascii="Arial" w:eastAsia="Calibri" w:hAnsi="Arial" w:cs="Arial"/>
            <w:szCs w:val="28"/>
            <w:lang w:val="en-US"/>
          </w:rPr>
          <w:t>F</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1%8</w:t>
        </w:r>
        <w:r w:rsidR="00200E87" w:rsidRPr="00511005">
          <w:rPr>
            <w:rFonts w:ascii="Arial" w:eastAsia="Calibri" w:hAnsi="Arial" w:cs="Arial"/>
            <w:szCs w:val="28"/>
            <w:lang w:val="en-US"/>
          </w:rPr>
          <w:t>E</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1%82%</w:t>
        </w:r>
        <w:r w:rsidR="00200E87" w:rsidRPr="00511005">
          <w:rPr>
            <w:rFonts w:ascii="Arial" w:eastAsia="Calibri" w:hAnsi="Arial" w:cs="Arial"/>
            <w:szCs w:val="28"/>
            <w:lang w:val="en-US"/>
          </w:rPr>
          <w:t>D</w:t>
        </w:r>
        <w:r w:rsidR="00200E87" w:rsidRPr="00511005">
          <w:rPr>
            <w:rFonts w:ascii="Arial" w:eastAsia="Calibri" w:hAnsi="Arial" w:cs="Arial"/>
            <w:szCs w:val="28"/>
          </w:rPr>
          <w:t>1%8</w:t>
        </w:r>
        <w:r w:rsidR="00200E87" w:rsidRPr="00511005">
          <w:rPr>
            <w:rFonts w:ascii="Arial" w:eastAsia="Calibri" w:hAnsi="Arial" w:cs="Arial"/>
            <w:szCs w:val="28"/>
            <w:lang w:val="en-US"/>
          </w:rPr>
          <w:t>C</w:t>
        </w:r>
        <w:r w:rsidR="00200E87" w:rsidRPr="00511005">
          <w:rPr>
            <w:rFonts w:ascii="Arial" w:eastAsia="Calibri" w:hAnsi="Arial" w:cs="Arial"/>
            <w:szCs w:val="28"/>
          </w:rPr>
          <w:t>%20%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2%</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8%</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BA</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1%80%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4%</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5%</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BD</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BD</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1%8</w:t>
        </w:r>
        <w:r w:rsidR="00200E87" w:rsidRPr="00511005">
          <w:rPr>
            <w:rFonts w:ascii="Arial" w:eastAsia="Calibri" w:hAnsi="Arial" w:cs="Arial"/>
            <w:szCs w:val="28"/>
            <w:lang w:val="en-US"/>
          </w:rPr>
          <w:t>F</w:t>
        </w:r>
        <w:r w:rsidR="00200E87" w:rsidRPr="00511005">
          <w:rPr>
            <w:rFonts w:ascii="Arial" w:eastAsia="Calibri" w:hAnsi="Arial" w:cs="Arial"/>
            <w:szCs w:val="28"/>
          </w:rPr>
          <w:t>%20%</w:t>
        </w:r>
        <w:r w:rsidR="00200E87" w:rsidRPr="00511005">
          <w:rPr>
            <w:rFonts w:ascii="Arial" w:eastAsia="Calibri" w:hAnsi="Arial" w:cs="Arial"/>
            <w:szCs w:val="28"/>
            <w:lang w:val="en-US"/>
          </w:rPr>
          <w:t>D</w:t>
        </w:r>
        <w:r w:rsidR="00200E87" w:rsidRPr="00511005">
          <w:rPr>
            <w:rFonts w:ascii="Arial" w:eastAsia="Calibri" w:hAnsi="Arial" w:cs="Arial"/>
            <w:szCs w:val="28"/>
          </w:rPr>
          <w:t>1%80%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5%</w:t>
        </w:r>
        <w:r w:rsidR="00200E87" w:rsidRPr="00511005">
          <w:rPr>
            <w:rFonts w:ascii="Arial" w:eastAsia="Calibri" w:hAnsi="Arial" w:cs="Arial"/>
            <w:szCs w:val="28"/>
            <w:lang w:val="en-US"/>
          </w:rPr>
          <w:t>D</w:t>
        </w:r>
        <w:r w:rsidR="00200E87" w:rsidRPr="00511005">
          <w:rPr>
            <w:rFonts w:ascii="Arial" w:eastAsia="Calibri" w:hAnsi="Arial" w:cs="Arial"/>
            <w:szCs w:val="28"/>
          </w:rPr>
          <w:t>1%87%</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5%</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9%20%</w:t>
        </w:r>
        <w:r w:rsidR="00200E87" w:rsidRPr="00511005">
          <w:rPr>
            <w:rFonts w:ascii="Arial" w:eastAsia="Calibri" w:hAnsi="Arial" w:cs="Arial"/>
            <w:szCs w:val="28"/>
            <w:lang w:val="en-US"/>
          </w:rPr>
          <w:t>D</w:t>
        </w:r>
        <w:r w:rsidR="00200E87" w:rsidRPr="00511005">
          <w:rPr>
            <w:rFonts w:ascii="Arial" w:eastAsia="Calibri" w:hAnsi="Arial" w:cs="Arial"/>
            <w:szCs w:val="28"/>
          </w:rPr>
          <w:t>1%83%20%</w:t>
        </w:r>
        <w:r w:rsidR="00200E87" w:rsidRPr="00511005">
          <w:rPr>
            <w:rFonts w:ascii="Arial" w:eastAsia="Calibri" w:hAnsi="Arial" w:cs="Arial"/>
            <w:szCs w:val="28"/>
            <w:lang w:val="en-US"/>
          </w:rPr>
          <w:t>D</w:t>
        </w:r>
        <w:r w:rsidR="00200E87" w:rsidRPr="00511005">
          <w:rPr>
            <w:rFonts w:ascii="Arial" w:eastAsia="Calibri" w:hAnsi="Arial" w:cs="Arial"/>
            <w:szCs w:val="28"/>
          </w:rPr>
          <w:t>1%84%</w:t>
        </w:r>
        <w:r w:rsidR="00200E87" w:rsidRPr="00511005">
          <w:rPr>
            <w:rFonts w:ascii="Arial" w:eastAsia="Calibri" w:hAnsi="Arial" w:cs="Arial"/>
            <w:szCs w:val="28"/>
            <w:lang w:val="en-US"/>
          </w:rPr>
          <w:t>D</w:t>
        </w:r>
        <w:r w:rsidR="00200E87" w:rsidRPr="00511005">
          <w:rPr>
            <w:rFonts w:ascii="Arial" w:eastAsia="Calibri" w:hAnsi="Arial" w:cs="Arial"/>
            <w:szCs w:val="28"/>
          </w:rPr>
          <w:t>1%96%</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7%</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8%</w:t>
        </w:r>
        <w:r w:rsidR="00200E87" w:rsidRPr="00511005">
          <w:rPr>
            <w:rFonts w:ascii="Arial" w:eastAsia="Calibri" w:hAnsi="Arial" w:cs="Arial"/>
            <w:szCs w:val="28"/>
            <w:lang w:val="en-US"/>
          </w:rPr>
          <w:t>D</w:t>
        </w:r>
        <w:r w:rsidR="00200E87" w:rsidRPr="00511005">
          <w:rPr>
            <w:rFonts w:ascii="Arial" w:eastAsia="Calibri" w:hAnsi="Arial" w:cs="Arial"/>
            <w:szCs w:val="28"/>
          </w:rPr>
          <w:t>1%87%</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BD</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8%</w:t>
        </w:r>
        <w:r w:rsidR="00200E87" w:rsidRPr="00511005">
          <w:rPr>
            <w:rFonts w:ascii="Arial" w:eastAsia="Calibri" w:hAnsi="Arial" w:cs="Arial"/>
            <w:szCs w:val="28"/>
            <w:lang w:val="en-US"/>
          </w:rPr>
          <w:t>D</w:t>
        </w:r>
        <w:r w:rsidR="00200E87" w:rsidRPr="00511005">
          <w:rPr>
            <w:rFonts w:ascii="Arial" w:eastAsia="Calibri" w:hAnsi="Arial" w:cs="Arial"/>
            <w:szCs w:val="28"/>
          </w:rPr>
          <w:t>1%85,%</w:t>
        </w:r>
        <w:r w:rsidR="00200E87" w:rsidRPr="00511005">
          <w:rPr>
            <w:rFonts w:ascii="Arial" w:eastAsia="Calibri" w:hAnsi="Arial" w:cs="Arial"/>
            <w:szCs w:val="28"/>
            <w:lang w:val="en-US"/>
          </w:rPr>
          <w:t>D</w:t>
        </w:r>
        <w:r w:rsidR="00200E87" w:rsidRPr="00511005">
          <w:rPr>
            <w:rFonts w:ascii="Arial" w:eastAsia="Calibri" w:hAnsi="Arial" w:cs="Arial"/>
            <w:szCs w:val="28"/>
          </w:rPr>
          <w:t>1%83%</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BC</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BE</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2%</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0%</w:t>
        </w:r>
        <w:r w:rsidR="00200E87" w:rsidRPr="00511005">
          <w:rPr>
            <w:rFonts w:ascii="Arial" w:eastAsia="Calibri" w:hAnsi="Arial" w:cs="Arial"/>
            <w:szCs w:val="28"/>
            <w:lang w:val="en-US"/>
          </w:rPr>
          <w:t>D</w:t>
        </w:r>
        <w:r w:rsidR="00200E87" w:rsidRPr="00511005">
          <w:rPr>
            <w:rFonts w:ascii="Arial" w:eastAsia="Calibri" w:hAnsi="Arial" w:cs="Arial"/>
            <w:szCs w:val="28"/>
          </w:rPr>
          <w:t>1%85%20%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2%</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BE</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1%94%</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BD</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BD</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BE</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3%</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BE</w:t>
        </w:r>
        <w:r w:rsidR="00200E87" w:rsidRPr="00511005">
          <w:rPr>
            <w:rFonts w:ascii="Arial" w:eastAsia="Calibri" w:hAnsi="Arial" w:cs="Arial"/>
            <w:szCs w:val="28"/>
          </w:rPr>
          <w:t>%20%</w:t>
        </w:r>
        <w:r w:rsidR="00200E87" w:rsidRPr="00511005">
          <w:rPr>
            <w:rFonts w:ascii="Arial" w:eastAsia="Calibri" w:hAnsi="Arial" w:cs="Arial"/>
            <w:szCs w:val="28"/>
            <w:lang w:val="en-US"/>
          </w:rPr>
          <w:t>D</w:t>
        </w:r>
        <w:r w:rsidR="00200E87" w:rsidRPr="00511005">
          <w:rPr>
            <w:rFonts w:ascii="Arial" w:eastAsia="Calibri" w:hAnsi="Arial" w:cs="Arial"/>
            <w:szCs w:val="28"/>
          </w:rPr>
          <w:t>1%81%</w:t>
        </w:r>
        <w:r w:rsidR="00200E87" w:rsidRPr="00511005">
          <w:rPr>
            <w:rFonts w:ascii="Arial" w:eastAsia="Calibri" w:hAnsi="Arial" w:cs="Arial"/>
            <w:szCs w:val="28"/>
            <w:lang w:val="en-US"/>
          </w:rPr>
          <w:t>D</w:t>
        </w:r>
        <w:r w:rsidR="00200E87" w:rsidRPr="00511005">
          <w:rPr>
            <w:rFonts w:ascii="Arial" w:eastAsia="Calibri" w:hAnsi="Arial" w:cs="Arial"/>
            <w:szCs w:val="28"/>
          </w:rPr>
          <w:t>1%82%</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BD</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1%83%20%</w:t>
        </w:r>
        <w:r w:rsidR="00200E87" w:rsidRPr="00511005">
          <w:rPr>
            <w:rFonts w:ascii="Arial" w:eastAsia="Calibri" w:hAnsi="Arial" w:cs="Arial"/>
            <w:szCs w:val="28"/>
            <w:lang w:val="en-US"/>
          </w:rPr>
          <w:t>D</w:t>
        </w:r>
        <w:r w:rsidR="00200E87" w:rsidRPr="00511005">
          <w:rPr>
            <w:rFonts w:ascii="Arial" w:eastAsia="Calibri" w:hAnsi="Arial" w:cs="Arial"/>
            <w:szCs w:val="28"/>
          </w:rPr>
          <w:t>1%94%20%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BE</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1%</w:t>
        </w:r>
        <w:r w:rsidR="00200E87" w:rsidRPr="00511005">
          <w:rPr>
            <w:rFonts w:ascii="Arial" w:eastAsia="Calibri" w:hAnsi="Arial" w:cs="Arial"/>
            <w:szCs w:val="28"/>
            <w:lang w:val="en-US"/>
          </w:rPr>
          <w:t>D</w:t>
        </w:r>
        <w:r w:rsidR="00200E87" w:rsidRPr="00511005">
          <w:rPr>
            <w:rFonts w:ascii="Arial" w:eastAsia="Calibri" w:hAnsi="Arial" w:cs="Arial"/>
            <w:szCs w:val="28"/>
          </w:rPr>
          <w:t>1%81%</w:t>
        </w:r>
        <w:r w:rsidR="00200E87" w:rsidRPr="00511005">
          <w:rPr>
            <w:rFonts w:ascii="Arial" w:eastAsia="Calibri" w:hAnsi="Arial" w:cs="Arial"/>
            <w:szCs w:val="28"/>
            <w:lang w:val="en-US"/>
          </w:rPr>
          <w:t>D</w:t>
        </w:r>
        <w:r w:rsidR="00200E87" w:rsidRPr="00511005">
          <w:rPr>
            <w:rFonts w:ascii="Arial" w:eastAsia="Calibri" w:hAnsi="Arial" w:cs="Arial"/>
            <w:szCs w:val="28"/>
          </w:rPr>
          <w:t>1%82%</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2%</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8%</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BD</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BE</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1%8</w:t>
        </w:r>
        <w:r w:rsidR="00200E87" w:rsidRPr="00511005">
          <w:rPr>
            <w:rFonts w:ascii="Arial" w:eastAsia="Calibri" w:hAnsi="Arial" w:cs="Arial"/>
            <w:szCs w:val="28"/>
            <w:lang w:val="en-US"/>
          </w:rPr>
          <w:t>E</w:t>
        </w:r>
        <w:r w:rsidR="00200E87" w:rsidRPr="00511005">
          <w:rPr>
            <w:rFonts w:ascii="Arial" w:eastAsia="Calibri" w:hAnsi="Arial" w:cs="Arial"/>
            <w:szCs w:val="28"/>
          </w:rPr>
          <w:t>%2</w:t>
        </w:r>
        <w:r w:rsidR="00200E87" w:rsidRPr="00511005">
          <w:rPr>
            <w:rFonts w:ascii="Arial" w:eastAsia="Calibri" w:hAnsi="Arial" w:cs="Arial"/>
            <w:szCs w:val="28"/>
            <w:lang w:val="en-US"/>
          </w:rPr>
          <w:t>C</w:t>
        </w:r>
        <w:r w:rsidR="00200E87" w:rsidRPr="00511005">
          <w:rPr>
            <w:rFonts w:ascii="Arial" w:eastAsia="Calibri" w:hAnsi="Arial" w:cs="Arial"/>
            <w:szCs w:val="28"/>
          </w:rPr>
          <w:t>%20%</w:t>
        </w:r>
        <w:r w:rsidR="00200E87" w:rsidRPr="00511005">
          <w:rPr>
            <w:rFonts w:ascii="Arial" w:eastAsia="Calibri" w:hAnsi="Arial" w:cs="Arial"/>
            <w:szCs w:val="28"/>
            <w:lang w:val="en-US"/>
          </w:rPr>
          <w:t>D</w:t>
        </w:r>
        <w:r w:rsidR="00200E87" w:rsidRPr="00511005">
          <w:rPr>
            <w:rFonts w:ascii="Arial" w:eastAsia="Calibri" w:hAnsi="Arial" w:cs="Arial"/>
            <w:szCs w:val="28"/>
          </w:rPr>
          <w:t>1%89%</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BE</w:t>
        </w:r>
        <w:r w:rsidR="00200E87" w:rsidRPr="00511005">
          <w:rPr>
            <w:rFonts w:ascii="Arial" w:eastAsia="Calibri" w:hAnsi="Arial" w:cs="Arial"/>
            <w:szCs w:val="28"/>
          </w:rPr>
          <w:t>%20%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BE</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1%</w:t>
        </w:r>
        <w:r w:rsidR="00200E87" w:rsidRPr="00511005">
          <w:rPr>
            <w:rFonts w:ascii="Arial" w:eastAsia="Calibri" w:hAnsi="Arial" w:cs="Arial"/>
            <w:szCs w:val="28"/>
            <w:lang w:val="en-US"/>
          </w:rPr>
          <w:t>D</w:t>
        </w:r>
        <w:r w:rsidR="00200E87" w:rsidRPr="00511005">
          <w:rPr>
            <w:rFonts w:ascii="Arial" w:eastAsia="Calibri" w:hAnsi="Arial" w:cs="Arial"/>
            <w:szCs w:val="28"/>
          </w:rPr>
          <w:t>1%82%</w:t>
        </w:r>
        <w:r w:rsidR="00200E87" w:rsidRPr="00511005">
          <w:rPr>
            <w:rFonts w:ascii="Arial" w:eastAsia="Calibri" w:hAnsi="Arial" w:cs="Arial"/>
            <w:szCs w:val="28"/>
            <w:lang w:val="en-US"/>
          </w:rPr>
          <w:t>D</w:t>
        </w:r>
        <w:r w:rsidR="00200E87" w:rsidRPr="00511005">
          <w:rPr>
            <w:rFonts w:ascii="Arial" w:eastAsia="Calibri" w:hAnsi="Arial" w:cs="Arial"/>
            <w:szCs w:val="28"/>
          </w:rPr>
          <w:t>1%8</w:t>
        </w:r>
        <w:r w:rsidR="00200E87" w:rsidRPr="00511005">
          <w:rPr>
            <w:rFonts w:ascii="Arial" w:eastAsia="Calibri" w:hAnsi="Arial" w:cs="Arial"/>
            <w:szCs w:val="28"/>
            <w:lang w:val="en-US"/>
          </w:rPr>
          <w:t>F</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6%</w:t>
        </w:r>
        <w:r w:rsidR="00200E87" w:rsidRPr="00511005">
          <w:rPr>
            <w:rFonts w:ascii="Arial" w:eastAsia="Calibri" w:hAnsi="Arial" w:cs="Arial"/>
            <w:szCs w:val="28"/>
            <w:lang w:val="en-US"/>
          </w:rPr>
          <w:t>D</w:t>
        </w:r>
        <w:r w:rsidR="00200E87" w:rsidRPr="00511005">
          <w:rPr>
            <w:rFonts w:ascii="Arial" w:eastAsia="Calibri" w:hAnsi="Arial" w:cs="Arial"/>
            <w:szCs w:val="28"/>
          </w:rPr>
          <w:t>1%83%</w:t>
        </w:r>
        <w:r w:rsidR="00200E87" w:rsidRPr="00511005">
          <w:rPr>
            <w:rFonts w:ascii="Arial" w:eastAsia="Calibri" w:hAnsi="Arial" w:cs="Arial"/>
            <w:szCs w:val="28"/>
            <w:lang w:val="en-US"/>
          </w:rPr>
          <w:t>D</w:t>
        </w:r>
        <w:r w:rsidR="00200E87" w:rsidRPr="00511005">
          <w:rPr>
            <w:rFonts w:ascii="Arial" w:eastAsia="Calibri" w:hAnsi="Arial" w:cs="Arial"/>
            <w:szCs w:val="28"/>
          </w:rPr>
          <w:t>1%94%20%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2%</w:t>
        </w:r>
        <w:r w:rsidR="00200E87" w:rsidRPr="00511005">
          <w:rPr>
            <w:rFonts w:ascii="Arial" w:eastAsia="Calibri" w:hAnsi="Arial" w:cs="Arial"/>
            <w:szCs w:val="28"/>
            <w:lang w:val="en-US"/>
          </w:rPr>
          <w:t>D</w:t>
        </w:r>
        <w:r w:rsidR="00200E87" w:rsidRPr="00511005">
          <w:rPr>
            <w:rFonts w:ascii="Arial" w:eastAsia="Calibri" w:hAnsi="Arial" w:cs="Arial"/>
            <w:szCs w:val="28"/>
          </w:rPr>
          <w:t>1%96%</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4%</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BF</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BE</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2%</w:t>
        </w:r>
        <w:r w:rsidR="00200E87" w:rsidRPr="00511005">
          <w:rPr>
            <w:rFonts w:ascii="Arial" w:eastAsia="Calibri" w:hAnsi="Arial" w:cs="Arial"/>
            <w:szCs w:val="28"/>
            <w:lang w:val="en-US"/>
          </w:rPr>
          <w:t>D</w:t>
        </w:r>
        <w:r w:rsidR="00200E87" w:rsidRPr="00511005">
          <w:rPr>
            <w:rFonts w:ascii="Arial" w:eastAsia="Calibri" w:hAnsi="Arial" w:cs="Arial"/>
            <w:szCs w:val="28"/>
          </w:rPr>
          <w:t>1%96%</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4%</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w:t>
        </w:r>
        <w:r w:rsidR="00200E87" w:rsidRPr="00511005">
          <w:rPr>
            <w:rFonts w:ascii="Arial" w:eastAsia="Calibri" w:hAnsi="Arial" w:cs="Arial"/>
            <w:szCs w:val="28"/>
          </w:rPr>
          <w:t>0%</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BB</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1%8</w:t>
        </w:r>
        <w:r w:rsidR="00200E87" w:rsidRPr="00511005">
          <w:rPr>
            <w:rFonts w:ascii="Arial" w:eastAsia="Calibri" w:hAnsi="Arial" w:cs="Arial"/>
            <w:szCs w:val="28"/>
            <w:lang w:val="en-US"/>
          </w:rPr>
          <w:t>C</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0%</w:t>
        </w:r>
        <w:r w:rsidR="00200E87" w:rsidRPr="00511005">
          <w:rPr>
            <w:rFonts w:ascii="Arial" w:eastAsia="Calibri" w:hAnsi="Arial" w:cs="Arial"/>
            <w:szCs w:val="28"/>
            <w:lang w:val="en-US"/>
          </w:rPr>
          <w:t>BD</w:t>
        </w:r>
        <w:r w:rsidR="00200E87" w:rsidRPr="00511005">
          <w:rPr>
            <w:rFonts w:ascii="Arial" w:eastAsia="Calibri" w:hAnsi="Arial" w:cs="Arial"/>
            <w:szCs w:val="28"/>
          </w:rPr>
          <w:t>%</w:t>
        </w:r>
        <w:r w:rsidR="00200E87" w:rsidRPr="00511005">
          <w:rPr>
            <w:rFonts w:ascii="Arial" w:eastAsia="Calibri" w:hAnsi="Arial" w:cs="Arial"/>
            <w:szCs w:val="28"/>
            <w:lang w:val="en-US"/>
          </w:rPr>
          <w:t>D</w:t>
        </w:r>
        <w:r w:rsidR="00200E87" w:rsidRPr="00511005">
          <w:rPr>
            <w:rFonts w:ascii="Arial" w:eastAsia="Calibri" w:hAnsi="Arial" w:cs="Arial"/>
            <w:szCs w:val="28"/>
          </w:rPr>
          <w:t>1%96%</w:t>
        </w:r>
        <w:r w:rsidR="00200E87" w:rsidRPr="00511005">
          <w:rPr>
            <w:rFonts w:ascii="Arial" w:eastAsia="Calibri" w:hAnsi="Arial" w:cs="Arial"/>
            <w:szCs w:val="28"/>
            <w:lang w:val="en-US"/>
          </w:rPr>
          <w:t>D</w:t>
        </w:r>
        <w:r w:rsidR="00200E87" w:rsidRPr="00511005">
          <w:rPr>
            <w:rFonts w:ascii="Arial" w:eastAsia="Calibri" w:hAnsi="Arial" w:cs="Arial"/>
            <w:szCs w:val="28"/>
          </w:rPr>
          <w:t>1%81%</w:t>
        </w:r>
        <w:r w:rsidR="00200E87" w:rsidRPr="00511005">
          <w:rPr>
            <w:rFonts w:ascii="Arial" w:eastAsia="Calibri" w:hAnsi="Arial" w:cs="Arial"/>
            <w:szCs w:val="28"/>
            <w:lang w:val="en-US"/>
          </w:rPr>
          <w:t>D</w:t>
        </w:r>
        <w:r w:rsidR="00200E87" w:rsidRPr="00511005">
          <w:rPr>
            <w:rFonts w:ascii="Arial" w:eastAsia="Calibri" w:hAnsi="Arial" w:cs="Arial"/>
            <w:szCs w:val="28"/>
          </w:rPr>
          <w:t>1%82%</w:t>
        </w:r>
        <w:r w:rsidR="00200E87" w:rsidRPr="00511005">
          <w:rPr>
            <w:rFonts w:ascii="Arial" w:eastAsia="Calibri" w:hAnsi="Arial" w:cs="Arial"/>
            <w:szCs w:val="28"/>
            <w:lang w:val="en-US"/>
          </w:rPr>
          <w:t>D</w:t>
        </w:r>
        <w:r w:rsidR="00200E87" w:rsidRPr="00511005">
          <w:rPr>
            <w:rFonts w:ascii="Arial" w:eastAsia="Calibri" w:hAnsi="Arial" w:cs="Arial"/>
            <w:szCs w:val="28"/>
          </w:rPr>
          <w:t>1%8</w:t>
        </w:r>
        <w:r w:rsidR="00200E87" w:rsidRPr="00511005">
          <w:rPr>
            <w:rFonts w:ascii="Arial" w:eastAsia="Calibri" w:hAnsi="Arial" w:cs="Arial"/>
            <w:szCs w:val="28"/>
            <w:lang w:val="en-US"/>
          </w:rPr>
          <w:t>C</w:t>
        </w:r>
      </w:hyperlink>
      <w:r w:rsidR="00200E87" w:rsidRPr="00511005">
        <w:rPr>
          <w:rFonts w:ascii="Arial" w:eastAsia="Calibri" w:hAnsi="Arial" w:cs="Arial"/>
          <w:szCs w:val="28"/>
        </w:rPr>
        <w:t xml:space="preserve"> (дата звернення 04.05.2025)</w:t>
      </w:r>
    </w:p>
    <w:p w14:paraId="0A22CC14" w14:textId="77777777" w:rsidR="00200E87" w:rsidRPr="00511005" w:rsidRDefault="00200E87" w:rsidP="003F6A5D">
      <w:pPr>
        <w:numPr>
          <w:ilvl w:val="0"/>
          <w:numId w:val="51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Панов М.І. Поняття, система і види військових злочинів. Злочини проти встановленого порядку несення військової служби (військові злочини): навч. посіб. Харків: Право, 2011. 170 с.</w:t>
      </w:r>
    </w:p>
    <w:p w14:paraId="73FBD076" w14:textId="77777777" w:rsidR="00200E87" w:rsidRPr="00511005" w:rsidRDefault="00200E87" w:rsidP="003F6A5D">
      <w:pPr>
        <w:numPr>
          <w:ilvl w:val="0"/>
          <w:numId w:val="51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Будяченко О.М. Щодо відповідальності за мародерство та інші кримінальні правопорушення проти власності в умовах воєнного стану. Наукові проблеми запровадження правового режиму воєнного стану в Україні: сучасний</w:t>
      </w:r>
      <w:r w:rsidRPr="00511005">
        <w:rPr>
          <w:rFonts w:ascii="Arial" w:eastAsia="Calibri" w:hAnsi="Arial" w:cs="Arial"/>
          <w:szCs w:val="28"/>
        </w:rPr>
        <w:t xml:space="preserve"> </w:t>
      </w:r>
      <w:r w:rsidRPr="00511005">
        <w:rPr>
          <w:rFonts w:ascii="Arial" w:eastAsia="Calibri" w:hAnsi="Arial" w:cs="Arial"/>
          <w:szCs w:val="28"/>
          <w:lang w:val="uk-UA"/>
        </w:rPr>
        <w:t>вимір: матеріали науково-практичного онлайнзаходу. 29 квіт. 2022 р. Одеса: ОДУВС, 2022. С. 35-36</w:t>
      </w:r>
    </w:p>
    <w:p w14:paraId="1E793DB9" w14:textId="77777777" w:rsidR="00200E87" w:rsidRPr="00511005" w:rsidRDefault="00200E87" w:rsidP="003F6A5D">
      <w:pPr>
        <w:numPr>
          <w:ilvl w:val="0"/>
          <w:numId w:val="515"/>
        </w:numPr>
        <w:spacing w:line="264" w:lineRule="auto"/>
        <w:contextualSpacing/>
        <w:jc w:val="left"/>
        <w:rPr>
          <w:rFonts w:ascii="Arial" w:eastAsia="Calibri" w:hAnsi="Arial" w:cs="Arial"/>
          <w:szCs w:val="28"/>
          <w:lang w:val="uk-UA"/>
        </w:rPr>
      </w:pPr>
      <w:r w:rsidRPr="00511005">
        <w:rPr>
          <w:rFonts w:ascii="Arial" w:eastAsia="Calibri" w:hAnsi="Arial" w:cs="Arial"/>
          <w:szCs w:val="28"/>
        </w:rPr>
        <w:t>Л</w:t>
      </w:r>
      <w:r w:rsidRPr="00511005">
        <w:rPr>
          <w:rFonts w:ascii="Arial" w:eastAsia="Calibri" w:hAnsi="Arial" w:cs="Arial"/>
          <w:szCs w:val="28"/>
          <w:lang w:val="uk-UA"/>
        </w:rPr>
        <w:t>изогуб Я.Г. Мародерство: питання кваліфікації та диференціації на тлі деяких кримінальних правопорушень проти власності. Вісник Харківського національного університету внутрішніх справ. 2022. № 3(98). С. 152-159.</w:t>
      </w:r>
    </w:p>
    <w:p w14:paraId="2C41A99D" w14:textId="77777777" w:rsidR="00200E87" w:rsidRPr="00511005" w:rsidRDefault="00200E87" w:rsidP="003F6A5D">
      <w:pPr>
        <w:numPr>
          <w:ilvl w:val="0"/>
          <w:numId w:val="51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Інструкція для керування діючою армією Сполучених Штатів (Кодекс Лібера) : Інстр. Сполуч. Штати Америки від 24.04.1863 р. URL: </w:t>
      </w:r>
      <w:hyperlink r:id="rId1822" w:anchor="Text" w:history="1">
        <w:r w:rsidRPr="00511005">
          <w:rPr>
            <w:rFonts w:ascii="Arial" w:eastAsia="Calibri" w:hAnsi="Arial" w:cs="Arial"/>
            <w:szCs w:val="28"/>
            <w:lang w:val="uk-UA"/>
          </w:rPr>
          <w:t>https://zakon.rada.gov.ua/laws/show/840_057#Text</w:t>
        </w:r>
      </w:hyperlink>
      <w:r w:rsidRPr="00511005">
        <w:rPr>
          <w:rFonts w:ascii="Arial" w:eastAsia="Calibri" w:hAnsi="Arial" w:cs="Arial"/>
          <w:szCs w:val="28"/>
          <w:lang w:val="uk-UA"/>
        </w:rPr>
        <w:t xml:space="preserve"> (дата звернення 06.05.2025)</w:t>
      </w:r>
    </w:p>
    <w:p w14:paraId="0EAB9C6C" w14:textId="77777777" w:rsidR="007B2628" w:rsidRPr="00511005" w:rsidRDefault="00200E87" w:rsidP="003F6A5D">
      <w:pPr>
        <w:numPr>
          <w:ilvl w:val="0"/>
          <w:numId w:val="51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Женевська конвенція «Про покращення долі поранених та хворих у діючих арміях» від 3 січ. 1955 р. URL: https://ips.ligazakon.net/ document/ MU49K05U?an=283 (дата звернення 06.05.2025)</w:t>
      </w:r>
    </w:p>
    <w:p w14:paraId="2E904D32" w14:textId="49B061FA" w:rsidR="00200E87" w:rsidRPr="00511005" w:rsidRDefault="00200E87" w:rsidP="003F6A5D">
      <w:pPr>
        <w:numPr>
          <w:ilvl w:val="0"/>
          <w:numId w:val="51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Кондратьєва В.В. Мародерство у міжнародному праві та кримінальному законодавстві України. Юридичний науковий електронний журнал, 2023, № 1, с. 379-383. URL: http://lsej.org.ua/1_2023/91.pdf (дата звернення: 06.05.2025).</w:t>
      </w:r>
    </w:p>
    <w:p w14:paraId="70EE3607" w14:textId="77777777" w:rsidR="00200E87" w:rsidRPr="00511005" w:rsidRDefault="00200E87" w:rsidP="003F6A5D">
      <w:pPr>
        <w:numPr>
          <w:ilvl w:val="0"/>
          <w:numId w:val="51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lastRenderedPageBreak/>
        <w:t>Науково-практичний коментар Кримінального кодексу України / А. М. Бойко, Л. П. Брич, О.О. Дудоров та ін.; за ред. М. І. Мельника, М. І. Хавронюка. 11-те вид., переробл. та допов. Київ, 2019. С. 1345.</w:t>
      </w:r>
    </w:p>
    <w:p w14:paraId="7D9B9397" w14:textId="77777777" w:rsidR="00200E87" w:rsidRPr="00511005" w:rsidRDefault="00200E87" w:rsidP="003A292D">
      <w:pPr>
        <w:spacing w:line="264" w:lineRule="auto"/>
        <w:ind w:firstLine="0"/>
        <w:contextualSpacing/>
        <w:rPr>
          <w:rFonts w:ascii="Arial" w:eastAsia="Calibri" w:hAnsi="Arial" w:cs="Arial"/>
          <w:szCs w:val="28"/>
          <w:lang w:val="uk-UA"/>
        </w:rPr>
      </w:pPr>
    </w:p>
    <w:p w14:paraId="5479FB2B" w14:textId="23E939FB" w:rsidR="00200E87"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200E87" w:rsidRPr="00511005">
        <w:rPr>
          <w:rFonts w:ascii="Arial" w:eastAsia="Calibri" w:hAnsi="Arial" w:cs="Arial"/>
          <w:szCs w:val="28"/>
          <w:lang w:val="uk-UA"/>
        </w:rPr>
        <w:t>мародерство, військовий злочин, міжнародне гуманітарне право, Кримінальний кодекс України, поле бою, військовослужбовець, Женевська конвенція, Гаазькі конвенції, Римський статут, особисті речі, відповідальність, правове регулювання, війна, військове право</w:t>
      </w:r>
    </w:p>
    <w:p w14:paraId="66A58F70" w14:textId="527E15CB" w:rsidR="00200E87"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bCs/>
          <w:i/>
          <w:szCs w:val="28"/>
          <w:lang w:val="en-US"/>
        </w:rPr>
        <w:t xml:space="preserve">Key words: </w:t>
      </w:r>
      <w:r w:rsidR="00200E87" w:rsidRPr="00511005">
        <w:rPr>
          <w:rFonts w:ascii="Arial" w:eastAsia="Calibri" w:hAnsi="Arial" w:cs="Arial"/>
          <w:szCs w:val="28"/>
          <w:lang w:val="uk-UA"/>
        </w:rPr>
        <w:t>looting, war crime, international humanitarian law, Criminal Code of Ukraine, battlefield, serviceman, Geneva Convention, Hague Conventions, Rome Statute, personal belongings, liability, legal regulation, war, military law.</w:t>
      </w:r>
    </w:p>
    <w:p w14:paraId="787CAE53" w14:textId="77777777" w:rsidR="00200E87" w:rsidRPr="00511005" w:rsidRDefault="00200E87" w:rsidP="003A292D">
      <w:pPr>
        <w:spacing w:line="264" w:lineRule="auto"/>
        <w:ind w:firstLine="0"/>
        <w:rPr>
          <w:rFonts w:ascii="Arial" w:eastAsia="Calibri" w:hAnsi="Arial" w:cs="Arial"/>
          <w:szCs w:val="28"/>
          <w:lang w:val="uk-UA"/>
        </w:rPr>
      </w:pPr>
    </w:p>
    <w:p w14:paraId="6238A2E8" w14:textId="769ED7ED" w:rsidR="00200E87"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rPr>
        <w:t xml:space="preserve">Науковий керівник: </w:t>
      </w:r>
      <w:r w:rsidR="00200E87" w:rsidRPr="00511005">
        <w:rPr>
          <w:rFonts w:ascii="Arial" w:eastAsia="Calibri" w:hAnsi="Arial" w:cs="Arial"/>
          <w:i/>
          <w:iCs/>
          <w:szCs w:val="28"/>
          <w:lang w:val="uk-UA"/>
        </w:rPr>
        <w:t>к.ю.н. доцент Чугуніков І. І.</w:t>
      </w:r>
    </w:p>
    <w:p w14:paraId="31CE88C1" w14:textId="77777777" w:rsidR="00200E87" w:rsidRPr="00511005" w:rsidRDefault="00200E87" w:rsidP="003A292D">
      <w:pPr>
        <w:spacing w:line="264" w:lineRule="auto"/>
        <w:ind w:firstLine="0"/>
        <w:jc w:val="center"/>
        <w:rPr>
          <w:rFonts w:ascii="Arial" w:eastAsia="Calibri" w:hAnsi="Arial" w:cs="Arial"/>
          <w:b/>
          <w:szCs w:val="28"/>
          <w:lang w:val="uk-UA"/>
        </w:rPr>
      </w:pPr>
    </w:p>
    <w:p w14:paraId="5B613239" w14:textId="77777777" w:rsidR="00200E87" w:rsidRPr="00511005" w:rsidRDefault="00200E87" w:rsidP="003A292D">
      <w:pPr>
        <w:spacing w:line="264" w:lineRule="auto"/>
        <w:ind w:firstLine="0"/>
        <w:jc w:val="center"/>
        <w:rPr>
          <w:rFonts w:ascii="Arial" w:eastAsia="Calibri" w:hAnsi="Arial" w:cs="Arial"/>
          <w:b/>
          <w:szCs w:val="28"/>
          <w:lang w:val="uk-UA"/>
        </w:rPr>
      </w:pPr>
    </w:p>
    <w:p w14:paraId="25506296" w14:textId="77777777" w:rsidR="00200E87" w:rsidRPr="00511005" w:rsidRDefault="00200E87" w:rsidP="003A292D">
      <w:pPr>
        <w:spacing w:line="264" w:lineRule="auto"/>
        <w:ind w:firstLine="0"/>
        <w:jc w:val="center"/>
        <w:rPr>
          <w:rFonts w:ascii="Arial" w:eastAsia="Calibri" w:hAnsi="Arial" w:cs="Arial"/>
          <w:b/>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t>Зелінченко Анастасія Олегівна</w:t>
      </w:r>
    </w:p>
    <w:p w14:paraId="17E2E50B" w14:textId="3790493B" w:rsidR="00200E87" w:rsidRPr="00511005" w:rsidRDefault="00536AAB"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студентка 3-го курсу </w:t>
      </w:r>
      <w:r w:rsidR="007B2628" w:rsidRPr="00511005">
        <w:rPr>
          <w:rFonts w:ascii="Arial" w:eastAsia="Calibri" w:hAnsi="Arial" w:cs="Arial"/>
          <w:kern w:val="2"/>
          <w:szCs w:val="28"/>
          <w:lang w:val="uk-UA"/>
          <w14:ligatures w14:val="standardContextual"/>
        </w:rPr>
        <w:t>факультету цивільної та господарської юстиції</w:t>
      </w:r>
      <w:r w:rsidR="00200E87" w:rsidRPr="00511005">
        <w:rPr>
          <w:rFonts w:ascii="Arial" w:eastAsia="Calibri" w:hAnsi="Arial" w:cs="Arial"/>
          <w:kern w:val="2"/>
          <w:szCs w:val="28"/>
          <w:lang w:val="uk-UA"/>
          <w14:ligatures w14:val="standardContextual"/>
        </w:rPr>
        <w:br/>
      </w:r>
      <w:r w:rsidR="007B2628" w:rsidRPr="00511005">
        <w:rPr>
          <w:rFonts w:ascii="Arial" w:eastAsia="Calibri" w:hAnsi="Arial" w:cs="Arial"/>
          <w:kern w:val="2"/>
          <w:szCs w:val="28"/>
          <w:lang w:val="uk-UA"/>
          <w14:ligatures w14:val="standardContextual"/>
        </w:rPr>
        <w:t>Національного університету «Одеська юридична академія»</w:t>
      </w:r>
    </w:p>
    <w:p w14:paraId="76799496" w14:textId="77777777" w:rsidR="00200E87" w:rsidRPr="00511005" w:rsidRDefault="00200E87" w:rsidP="003A292D">
      <w:pPr>
        <w:spacing w:line="264" w:lineRule="auto"/>
        <w:ind w:firstLine="0"/>
        <w:jc w:val="center"/>
        <w:rPr>
          <w:rFonts w:ascii="Arial" w:eastAsia="Calibri" w:hAnsi="Arial" w:cs="Arial"/>
          <w:kern w:val="2"/>
          <w:szCs w:val="28"/>
          <w:lang w:val="uk-UA"/>
          <w14:ligatures w14:val="standardContextual"/>
        </w:rPr>
      </w:pPr>
    </w:p>
    <w:p w14:paraId="3146242C" w14:textId="77777777" w:rsidR="00200E87" w:rsidRPr="00511005" w:rsidRDefault="00200E87" w:rsidP="003A292D">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КОНКУРЕНЦІЯ ТА КОЛІЗІЯ КРИМІНАЛЬНО-ПРАВОВИХ НОРМ: РОЗМЕЖУВАННЯ ПОНЯТЬ</w:t>
      </w:r>
    </w:p>
    <w:p w14:paraId="6AE67231" w14:textId="77777777" w:rsidR="00200E87" w:rsidRPr="00511005" w:rsidRDefault="00200E87" w:rsidP="003A292D">
      <w:pPr>
        <w:spacing w:line="264" w:lineRule="auto"/>
        <w:ind w:firstLine="0"/>
        <w:jc w:val="center"/>
        <w:rPr>
          <w:rFonts w:ascii="Arial" w:eastAsia="Calibri" w:hAnsi="Arial" w:cs="Arial"/>
          <w:b/>
          <w:bCs/>
          <w:kern w:val="2"/>
          <w:szCs w:val="28"/>
          <w:lang w:val="uk-UA"/>
          <w14:ligatures w14:val="standardContextual"/>
        </w:rPr>
      </w:pPr>
    </w:p>
    <w:p w14:paraId="25B7A336"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Розмежування понять конкуренції та колізії кримінально-правових норм продовжує залишатися однією з найскладніших і найбільш дискусійних проблем сучасної науки кримінального права України. У науковому середовищі відсутній єдиний підхід до трактування співвідношення цих категорій: одні дослідники ототожнюють їх, вважаючи розмежування недоцільним, тоді як інші наполягають на принциповій відмінності між ними як за змістом, так і за правовою природою.</w:t>
      </w:r>
    </w:p>
    <w:p w14:paraId="10FD0731"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Таким чином, це зумовлює необхідність подальшого глибокого аналізу зазначених понять з метою формулювання чітких критеріїв їх розмежування, що сприятиме підвищенню рівня теоретичної визначеності та ефективності правозастосування.</w:t>
      </w:r>
    </w:p>
    <w:p w14:paraId="56099B98"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Слід зазначити, що чинне законодавство не має визначеного поняття «конкуренція» та «колізія» кримінально-правових норм, а тому необхідно взяти до уваги запропоновані наукові положення в юридичній літературі. </w:t>
      </w:r>
    </w:p>
    <w:p w14:paraId="49A30A48"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Собко Г. М. зазначає, що конкуренцією кримінально-правових норм зазвичай називають наявність двох або більше кримінальних законів (статей КК), які рівною мірою передбачають караність діяння. Інакше кажучи, у разі конкуренції норм один (одиничний) злочин одночасно підпадає під ознаки декількох норм кримінального закону [5, c.145].</w:t>
      </w:r>
    </w:p>
    <w:p w14:paraId="0ECE53DC"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lastRenderedPageBreak/>
        <w:t xml:space="preserve">Заслуговує на увагу позиція Грищенко О. П. щодо визначення поняття «колізія». Так, за думкою автора, колізія кримінального права України - це протиріччя декількох норм кримінально-правового закону України, які направлені на різне вирішення подібних ситуацій [2, с. 109]. </w:t>
      </w:r>
    </w:p>
    <w:p w14:paraId="1C73E163"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 урахуванням наведених вище дефініцій «конкуренція» та «колізія», доцільним є встановлення спільних рис та проведення їх розмежування за відповідними критеріями. Так, однією з ознак, що об’єднує ці правові явища, є наявність двох або більше норм кримінального закону, які регулюють одну й ту саму ситуацію. Така риса притаманна як конкуренції, так і колізії кримінально-правових норм.</w:t>
      </w:r>
    </w:p>
    <w:p w14:paraId="249A4ADD"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Проте поняття «конкуренції» та «колізії» кримінально-правових норм мають різну правову природу та відрізняються за ключовими ознаками. Зокрема, колізія передбачає наявність норм, які суперечать одна одній, і така суперечність існує незалежно від конкретних обставин справи. Зокрема, таку точку зору висловлює Олійник О. С., вказуючи, що для того, щоб констатувати про колізійність норм, не буде мати значення наявність чи відсутність конкретної життєвої ситуації та її кримінально-правова оцінка, оскільки визначальним у цій ситуації є своєрідне «зіткнення» змісту таких колізійних положень, що зумовлюється їх неузгодженістю та розходженням [4, с. 136]. </w:t>
      </w:r>
    </w:p>
    <w:p w14:paraId="4E36C718"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Тобто, колізія є проявом нормативної невідповідності на рівні законодавства. Натомість конкуренція виникає виключно у контексті конкретної правозастосовної ситуації, коли вчинене діяння підпадає одночасно під ознаки кількох (двох або більше) кримінально-правових норм, які, проте, не перебувають у взаємній суперечності. Таким чином, визначальною ознакою для розмежування цих понять є наявність або відсутність нормативного конфлікту між правовими приписами.</w:t>
      </w:r>
    </w:p>
    <w:p w14:paraId="2680B026"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Необхідно також враховувати процесуальні особливості застосування і врахування конкуренції та колізії кримінально-правових норм. </w:t>
      </w:r>
    </w:p>
    <w:p w14:paraId="31F25FC6"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У випадках, коли ситуація у правозастосуванні зумовлена наявністю у кримінальному законодавстві двох норм — загальної, що встановлює загальні ознаки злочинного діяння, та спеціальної, яка виокремлює з цього кола конкретні види діянь як самостійні склади кримінальних правопорушень, — виникає конкуренція норм. У такому випадку, якщо обидві норми претендують на застосування до одного і того ж суспільно небезпечного діяння, пріоритет слід надавати спеціальній нормі, оскільки вона точніше та повніше відображає характер суспільно небезпечного посягання і забезпечує більш диференційований підхід до кримінально-правової кваліфікації. </w:t>
      </w:r>
    </w:p>
    <w:p w14:paraId="3A50EAB9"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Як зазначають автори Колодін Д. О. та Степаненко О. В., конкуренція загальної та спеціальної норм, що передбачають склади самостійних одиничних злочинів, може бути наявна за будь-яким елементом (його </w:t>
      </w:r>
      <w:r w:rsidRPr="00511005">
        <w:rPr>
          <w:rFonts w:ascii="Arial" w:eastAsia="Calibri" w:hAnsi="Arial" w:cs="Arial"/>
          <w:kern w:val="2"/>
          <w:szCs w:val="28"/>
          <w:lang w:val="uk-UA"/>
          <w14:ligatures w14:val="standardContextual"/>
        </w:rPr>
        <w:lastRenderedPageBreak/>
        <w:t xml:space="preserve">ознаками) складу злочину. Наприклад, за обʼєктом та обʼєктивною стороною складу злочину конкурують між собою ч. 2 ст. 191 КК (привласнення, розтрата або заволодіння чужим майном шляхом зловживання службовою особою своїм службовим становищем) та ст. 364 КК (зловживання владою або службовим становищем) тощо [3, с. 226]. </w:t>
      </w:r>
    </w:p>
    <w:p w14:paraId="4D499319"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Варто звернути увагу на думку Грищенко О. П. яка вказує на неможливість застосування колізії в кримінальному праві, оскільки наявність нормативних колізій у цілому не повинна допускатися законодавцем, оскільки дестабілізує правову систему, створює передумови для розвитку корупції, може призвести до порушення прав і свобод людини [2, с. 110]. </w:t>
      </w:r>
    </w:p>
    <w:p w14:paraId="1A9D0265"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Отже, однією з ключових ознак, що визначає співвідношення понять «конкуренція» та «колізія» кримінально-правових норм, є характер механізмів їх подолання у процесі кваліфікації кримінального правопорушення. Колізія норм, яка виникає через нормативні суперечності, як правило, усувається шляхом внесення змін до законодавства або застосуванням спеціальних колізійних правил, зокрема принципу верховенства актів з вищою юридичною силою, пріоритету пізнішого акта чи домінування міжнародно-правових норм над національними. Натомість конкуренція норм вирішується шляхом певних правил її подолання (наприклад, як було зазначено, пріоритетністю спеціальної норми над загальною). </w:t>
      </w:r>
    </w:p>
    <w:p w14:paraId="1471AE24"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Підсумовуючи, колізія та конкуренція кримінально-правових норм хоча й перебувають у певному взаємозв’язку, однак є самостійними правовими явищами, які не можна ототожнювати. Ґрунтовне дослідження їх змісту дозволяє дійти висновку, що за своєю юридичною природою та механізмами прояву ці поняття мають принципово різний характер. Колізія відображає конфлікт нормативного регулювання, тоді як конкуренція — це проблема вибору найбільш відповідної норми в межах чинного законодавства при кваліфікації конкретного діяння. Відтак, чітке розмежування цих понять є важливим як для розвитку правової доктрини, так і для вдосконалення практики правозастосування.</w:t>
      </w:r>
    </w:p>
    <w:p w14:paraId="68325F8F"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p>
    <w:p w14:paraId="6F88F1E6" w14:textId="23122A5B" w:rsidR="00200E87" w:rsidRPr="00511005" w:rsidRDefault="007B2628" w:rsidP="007B2628">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Список використаних джерел</w:t>
      </w:r>
    </w:p>
    <w:p w14:paraId="73B4F58B" w14:textId="77777777" w:rsidR="00200E87" w:rsidRPr="00511005" w:rsidRDefault="00200E87" w:rsidP="003F6A5D">
      <w:pPr>
        <w:numPr>
          <w:ilvl w:val="0"/>
          <w:numId w:val="516"/>
        </w:numPr>
        <w:spacing w:line="264" w:lineRule="auto"/>
        <w:ind w:left="426" w:hanging="426"/>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Кримінальний кодекс України: Закон України від 05.04.2001. - Nº 2341-III. // Відомості Верховної Ради України. 2001. Nº 25-26, ст.131. URL: </w:t>
      </w:r>
      <w:hyperlink r:id="rId1823" w:history="1">
        <w:r w:rsidRPr="00511005">
          <w:rPr>
            <w:rFonts w:ascii="Arial" w:eastAsia="Calibri" w:hAnsi="Arial" w:cs="Arial"/>
            <w:kern w:val="2"/>
            <w:szCs w:val="28"/>
            <w:lang w:val="uk-UA"/>
            <w14:ligatures w14:val="standardContextual"/>
          </w:rPr>
          <w:t>https://zakon.rada.gov.ua/go/2341-14</w:t>
        </w:r>
      </w:hyperlink>
    </w:p>
    <w:p w14:paraId="003CD268" w14:textId="77777777" w:rsidR="00200E87" w:rsidRPr="00511005" w:rsidRDefault="00200E87" w:rsidP="003F6A5D">
      <w:pPr>
        <w:numPr>
          <w:ilvl w:val="0"/>
          <w:numId w:val="516"/>
        </w:numPr>
        <w:spacing w:line="264" w:lineRule="auto"/>
        <w:ind w:left="426" w:hanging="426"/>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Грищенко О. П. Співвідношення та відмежування фікції та колізії у кримінальному праві. - Наукові записки Інституту законодавства Верховної Ради України. - 2013. - с. 108-112. URL: </w:t>
      </w:r>
      <w:hyperlink r:id="rId1824" w:history="1">
        <w:r w:rsidRPr="00511005">
          <w:rPr>
            <w:rFonts w:ascii="Arial" w:eastAsia="Calibri" w:hAnsi="Arial" w:cs="Arial"/>
            <w:kern w:val="2"/>
            <w:szCs w:val="28"/>
            <w:lang w:val="uk-UA"/>
            <w14:ligatures w14:val="standardContextual"/>
          </w:rPr>
          <w:t>https://surl.li/upvdgb</w:t>
        </w:r>
      </w:hyperlink>
    </w:p>
    <w:p w14:paraId="38608B77" w14:textId="77777777" w:rsidR="00200E87" w:rsidRPr="00511005" w:rsidRDefault="00200E87" w:rsidP="003F6A5D">
      <w:pPr>
        <w:numPr>
          <w:ilvl w:val="0"/>
          <w:numId w:val="516"/>
        </w:numPr>
        <w:autoSpaceDE w:val="0"/>
        <w:autoSpaceDN w:val="0"/>
        <w:adjustRightInd w:val="0"/>
        <w:spacing w:line="264" w:lineRule="auto"/>
        <w:ind w:left="426" w:hanging="426"/>
        <w:contextualSpacing/>
        <w:jc w:val="left"/>
        <w:rPr>
          <w:rFonts w:ascii="Arial" w:eastAsia="Calibri" w:hAnsi="Arial" w:cs="Arial"/>
          <w:szCs w:val="28"/>
          <w:lang w:val="uk-UA"/>
          <w14:ligatures w14:val="standardContextual"/>
        </w:rPr>
      </w:pPr>
      <w:r w:rsidRPr="00511005">
        <w:rPr>
          <w:rFonts w:ascii="Arial" w:eastAsia="Calibri" w:hAnsi="Arial" w:cs="Arial"/>
          <w:szCs w:val="28"/>
          <w:lang w:val="uk-UA"/>
          <w14:ligatures w14:val="standardContextual"/>
        </w:rPr>
        <w:t xml:space="preserve">Колодін Д. О., Степаненко О. В. Кваліфікація кримінальних правопорушень при конкуренції кримінально-правових норм. - Право і </w:t>
      </w:r>
      <w:r w:rsidRPr="00511005">
        <w:rPr>
          <w:rFonts w:ascii="Arial" w:eastAsia="Calibri" w:hAnsi="Arial" w:cs="Arial"/>
          <w:szCs w:val="28"/>
          <w:lang w:val="uk-UA"/>
          <w14:ligatures w14:val="standardContextual"/>
        </w:rPr>
        <w:lastRenderedPageBreak/>
        <w:t>суспільство. - 2022. - №2. - с. 222-227. URL: https://doi.org/10.32842/2078-3736/2022.2.33</w:t>
      </w:r>
    </w:p>
    <w:p w14:paraId="6AD32A19" w14:textId="77777777" w:rsidR="00200E87" w:rsidRPr="00511005" w:rsidRDefault="00200E87" w:rsidP="003F6A5D">
      <w:pPr>
        <w:numPr>
          <w:ilvl w:val="0"/>
          <w:numId w:val="516"/>
        </w:numPr>
        <w:spacing w:line="264" w:lineRule="auto"/>
        <w:ind w:left="426" w:hanging="426"/>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Олійник О. С. Види та ознаки колізій у кримінальному законодавстві України. - Науковий вісник публічного та приватного права. - 2021. - випуск 1. - с. 134-138. URL: </w:t>
      </w:r>
      <w:hyperlink r:id="rId1825" w:history="1">
        <w:r w:rsidRPr="00511005">
          <w:rPr>
            <w:rFonts w:ascii="Arial" w:eastAsia="Calibri" w:hAnsi="Arial" w:cs="Arial"/>
            <w:kern w:val="2"/>
            <w:szCs w:val="28"/>
            <w:lang w:val="uk-UA"/>
            <w14:ligatures w14:val="standardContextual"/>
          </w:rPr>
          <w:t>https://doi.org/10.32844/2618-1258.2021.1.22</w:t>
        </w:r>
      </w:hyperlink>
    </w:p>
    <w:p w14:paraId="4202EF74" w14:textId="77777777" w:rsidR="00200E87" w:rsidRPr="00511005" w:rsidRDefault="00200E87" w:rsidP="003F6A5D">
      <w:pPr>
        <w:numPr>
          <w:ilvl w:val="0"/>
          <w:numId w:val="516"/>
        </w:numPr>
        <w:spacing w:line="264" w:lineRule="auto"/>
        <w:ind w:left="426" w:hanging="426"/>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Собко Г. М. Конкуренція кримінально-правових норм у кваліфікації корисливих посягань на власність із застосуванням насильства. - Вчені записки ТНУ імені В. І. Вернадського. Серія: юридичні науки. - 2019. - №6. - с. 144-148. URL: </w:t>
      </w:r>
      <w:hyperlink r:id="rId1826" w:history="1">
        <w:r w:rsidRPr="00511005">
          <w:rPr>
            <w:rFonts w:ascii="Arial" w:eastAsia="Calibri" w:hAnsi="Arial" w:cs="Arial"/>
            <w:kern w:val="2"/>
            <w:szCs w:val="28"/>
            <w:lang w:val="uk-UA"/>
            <w14:ligatures w14:val="standardContextual"/>
          </w:rPr>
          <w:t>https://doi.org/10.32838/2707-0581/2019.6/27</w:t>
        </w:r>
      </w:hyperlink>
    </w:p>
    <w:p w14:paraId="05A8FE0D"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p>
    <w:p w14:paraId="3F26E215" w14:textId="5F29376A" w:rsidR="00200E87" w:rsidRPr="00511005" w:rsidRDefault="007B2628"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b/>
          <w:bCs/>
          <w:i/>
          <w:kern w:val="2"/>
          <w:szCs w:val="28"/>
          <w:lang w:val="uk-UA"/>
          <w14:ligatures w14:val="standardContextual"/>
        </w:rPr>
        <w:t xml:space="preserve">Ключові слова: </w:t>
      </w:r>
      <w:r w:rsidR="00200E87" w:rsidRPr="00511005">
        <w:rPr>
          <w:rFonts w:ascii="Arial" w:eastAsia="Calibri" w:hAnsi="Arial" w:cs="Arial"/>
          <w:kern w:val="2"/>
          <w:szCs w:val="28"/>
          <w:lang w:val="uk-UA"/>
          <w14:ligatures w14:val="standardContextual"/>
        </w:rPr>
        <w:t>конкуренція, колізія, кримінально-правова норма, кваліфікація, законодавство, кримінальне правопорушення.</w:t>
      </w:r>
    </w:p>
    <w:p w14:paraId="51BC23A8" w14:textId="6D7EA44E" w:rsidR="00200E87" w:rsidRPr="00511005" w:rsidRDefault="007B2628" w:rsidP="003A292D">
      <w:pPr>
        <w:spacing w:line="264" w:lineRule="auto"/>
        <w:ind w:firstLine="0"/>
        <w:rPr>
          <w:rFonts w:ascii="Arial" w:eastAsia="Calibri" w:hAnsi="Arial" w:cs="Arial"/>
          <w:kern w:val="2"/>
          <w:szCs w:val="28"/>
          <w:lang w:val="uk-UA"/>
          <w14:ligatures w14:val="standardContextual"/>
        </w:rPr>
      </w:pPr>
      <w:r w:rsidRPr="00511005">
        <w:rPr>
          <w:rFonts w:ascii="Arial" w:eastAsia="Calibri" w:hAnsi="Arial" w:cs="Arial"/>
          <w:b/>
          <w:bCs/>
          <w:i/>
          <w:kern w:val="2"/>
          <w:szCs w:val="28"/>
          <w:lang w:val="uk-UA"/>
          <w14:ligatures w14:val="standardContextual"/>
        </w:rPr>
        <w:t xml:space="preserve">Key words: </w:t>
      </w:r>
      <w:r w:rsidR="00200E87" w:rsidRPr="00511005">
        <w:rPr>
          <w:rFonts w:ascii="Arial" w:eastAsia="Calibri" w:hAnsi="Arial" w:cs="Arial"/>
          <w:kern w:val="2"/>
          <w:szCs w:val="28"/>
          <w:lang w:val="uk-UA"/>
          <w14:ligatures w14:val="standardContextual"/>
        </w:rPr>
        <w:t>competition, conflict, criminal law provision, qualification, legislation, criminal offense.</w:t>
      </w:r>
    </w:p>
    <w:p w14:paraId="39B0D0AE" w14:textId="77777777" w:rsidR="00200E87" w:rsidRPr="00511005" w:rsidRDefault="00200E87" w:rsidP="003A292D">
      <w:pPr>
        <w:spacing w:line="264" w:lineRule="auto"/>
        <w:ind w:firstLine="0"/>
        <w:rPr>
          <w:rFonts w:ascii="Arial" w:eastAsia="Calibri" w:hAnsi="Arial" w:cs="Arial"/>
          <w:i/>
          <w:iCs/>
          <w:kern w:val="2"/>
          <w:szCs w:val="28"/>
          <w:lang w:val="uk-UA"/>
          <w14:ligatures w14:val="standardContextual"/>
        </w:rPr>
      </w:pPr>
    </w:p>
    <w:p w14:paraId="4F426539" w14:textId="7FCABE67" w:rsidR="00200E87" w:rsidRPr="00511005" w:rsidRDefault="007B2628" w:rsidP="003A292D">
      <w:pPr>
        <w:spacing w:line="264" w:lineRule="auto"/>
        <w:ind w:firstLine="0"/>
        <w:rPr>
          <w:rFonts w:ascii="Arial" w:eastAsia="Calibri" w:hAnsi="Arial" w:cs="Arial"/>
          <w:i/>
          <w:iCs/>
          <w:kern w:val="2"/>
          <w:szCs w:val="28"/>
          <w:lang w:val="uk-UA"/>
          <w14:ligatures w14:val="standardContextual"/>
        </w:rPr>
      </w:pPr>
      <w:r w:rsidRPr="00511005">
        <w:rPr>
          <w:rFonts w:ascii="Arial" w:eastAsia="Calibri" w:hAnsi="Arial" w:cs="Arial"/>
          <w:b/>
          <w:i/>
          <w:iCs/>
          <w:kern w:val="2"/>
          <w:szCs w:val="28"/>
          <w:lang w:val="uk-UA"/>
          <w14:ligatures w14:val="standardContextual"/>
        </w:rPr>
        <w:t xml:space="preserve">Науковий керівник: </w:t>
      </w:r>
      <w:r w:rsidR="00200E87" w:rsidRPr="00511005">
        <w:rPr>
          <w:rFonts w:ascii="Arial" w:eastAsia="Calibri" w:hAnsi="Arial" w:cs="Arial"/>
          <w:i/>
          <w:iCs/>
          <w:kern w:val="2"/>
          <w:szCs w:val="28"/>
          <w:lang w:val="uk-UA"/>
          <w14:ligatures w14:val="standardContextual"/>
        </w:rPr>
        <w:t>асистент кафедри Павлова О. С..</w:t>
      </w:r>
    </w:p>
    <w:p w14:paraId="41321685" w14:textId="77777777" w:rsidR="00200E87" w:rsidRPr="00511005" w:rsidRDefault="00200E87" w:rsidP="003A292D">
      <w:pPr>
        <w:spacing w:line="264" w:lineRule="auto"/>
        <w:ind w:firstLine="0"/>
        <w:rPr>
          <w:rFonts w:ascii="Arial" w:eastAsia="Calibri" w:hAnsi="Arial" w:cs="Arial"/>
          <w:kern w:val="2"/>
          <w:szCs w:val="28"/>
          <w:lang w:val="uk-UA"/>
          <w14:ligatures w14:val="standardContextual"/>
        </w:rPr>
      </w:pPr>
    </w:p>
    <w:p w14:paraId="3996CBDA" w14:textId="77777777" w:rsidR="00200E87" w:rsidRPr="00511005" w:rsidRDefault="00200E87" w:rsidP="003A292D">
      <w:pPr>
        <w:spacing w:line="264" w:lineRule="auto"/>
        <w:ind w:firstLine="0"/>
        <w:jc w:val="left"/>
        <w:rPr>
          <w:rFonts w:ascii="Arial" w:eastAsia="Calibri" w:hAnsi="Arial" w:cs="Arial"/>
          <w:kern w:val="2"/>
          <w:szCs w:val="28"/>
          <w:lang w:val="uk-UA"/>
          <w14:ligatures w14:val="standardContextual"/>
        </w:rPr>
      </w:pPr>
    </w:p>
    <w:p w14:paraId="3D02A500" w14:textId="77777777" w:rsidR="00200E87" w:rsidRPr="00511005" w:rsidRDefault="00200E87" w:rsidP="003A292D">
      <w:pPr>
        <w:spacing w:line="264" w:lineRule="auto"/>
        <w:ind w:firstLine="0"/>
        <w:jc w:val="center"/>
        <w:rPr>
          <w:rFonts w:ascii="Arial" w:eastAsia="MS Mincho" w:hAnsi="Arial" w:cs="Arial"/>
          <w:b/>
          <w:i/>
          <w:szCs w:val="28"/>
          <w:lang w:val="uk-UA"/>
        </w:rPr>
      </w:pPr>
      <w:r w:rsidRPr="00511005">
        <w:rPr>
          <w:rFonts w:ascii="Arial" w:eastAsia="MS Mincho" w:hAnsi="Arial" w:cs="Arial"/>
          <w:b/>
          <w:i/>
          <w:szCs w:val="28"/>
          <w:lang w:val="uk-UA"/>
        </w:rPr>
        <w:t>Знакован Андрій Михайлович</w:t>
      </w:r>
    </w:p>
    <w:p w14:paraId="4ABF809B" w14:textId="6F53B72E"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 1-го курсу магістратури</w:t>
      </w:r>
    </w:p>
    <w:p w14:paraId="2FB5A8E7"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71D83A7"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7FE61B6" w14:textId="77777777" w:rsidR="00200E87" w:rsidRPr="00511005" w:rsidRDefault="00200E87" w:rsidP="003A292D">
      <w:pPr>
        <w:spacing w:line="264" w:lineRule="auto"/>
        <w:ind w:firstLine="0"/>
        <w:rPr>
          <w:rFonts w:ascii="Arial" w:eastAsia="MS Mincho" w:hAnsi="Arial" w:cs="Arial"/>
          <w:szCs w:val="28"/>
          <w:lang w:val="uk-UA"/>
        </w:rPr>
      </w:pPr>
    </w:p>
    <w:p w14:paraId="44F7389E" w14:textId="77777777" w:rsidR="00200E87" w:rsidRPr="00511005" w:rsidRDefault="00200E87" w:rsidP="003A292D">
      <w:pPr>
        <w:spacing w:line="264" w:lineRule="auto"/>
        <w:ind w:firstLine="0"/>
        <w:jc w:val="center"/>
        <w:rPr>
          <w:rFonts w:ascii="Arial" w:eastAsia="MS Mincho" w:hAnsi="Arial" w:cs="Arial"/>
          <w:b/>
          <w:szCs w:val="28"/>
          <w:lang w:val="uk-UA"/>
        </w:rPr>
      </w:pPr>
      <w:r w:rsidRPr="00511005">
        <w:rPr>
          <w:rFonts w:ascii="Arial" w:eastAsia="MS Mincho" w:hAnsi="Arial" w:cs="Arial"/>
          <w:b/>
          <w:szCs w:val="28"/>
          <w:lang w:val="uk-UA"/>
        </w:rPr>
        <w:t xml:space="preserve">ПИТАННЯ КВАЛІФІКАЦІЇ ОКРЕМИХ КРИМІНАЛЬНИХ ПРАВОПОРУШЕНЬ В УМОВАХ ВОЄННОГО СТАНУ </w:t>
      </w:r>
    </w:p>
    <w:p w14:paraId="5B43D366" w14:textId="77777777" w:rsidR="00200E87" w:rsidRPr="00511005" w:rsidRDefault="00200E87" w:rsidP="003A292D">
      <w:pPr>
        <w:spacing w:line="264" w:lineRule="auto"/>
        <w:ind w:firstLine="0"/>
        <w:jc w:val="center"/>
        <w:rPr>
          <w:rFonts w:ascii="Arial" w:eastAsia="MS Mincho" w:hAnsi="Arial" w:cs="Arial"/>
          <w:b/>
          <w:szCs w:val="28"/>
          <w:lang w:val="uk-UA"/>
        </w:rPr>
      </w:pPr>
    </w:p>
    <w:p w14:paraId="5411CD44" w14:textId="77777777" w:rsidR="00200E87" w:rsidRPr="00511005" w:rsidRDefault="00200E87" w:rsidP="003A292D">
      <w:pPr>
        <w:spacing w:line="264" w:lineRule="auto"/>
        <w:ind w:firstLine="0"/>
        <w:rPr>
          <w:rFonts w:ascii="Arial" w:eastAsia="MS Mincho" w:hAnsi="Arial" w:cs="Arial"/>
          <w:szCs w:val="28"/>
          <w:lang w:val="uk-UA"/>
        </w:rPr>
      </w:pPr>
      <w:r w:rsidRPr="00511005">
        <w:rPr>
          <w:rFonts w:ascii="Arial" w:eastAsia="MS Mincho" w:hAnsi="Arial" w:cs="Arial"/>
          <w:szCs w:val="28"/>
          <w:lang w:val="uk-UA"/>
        </w:rPr>
        <w:t xml:space="preserve">З початком повномасштабної агресії рф проти України у 2022 році проблема правової визначеності підстав відповідальності за державну зраду, колабораціонізм, пособництво державі-агресору, перешкоджання діяльності ЗСУ та ін., а в подальшому – проблеми кваліфікації та розмежування з суміжними складами, набула особливої актуальності. Крім того, введення воєнного стану на території всієї країни обумовило поступове введення до норм КК України відповідної кваліфікуючої ознаки. Наприклад, Законом України «Про внесення змін до Кримінального кодексу України щодо посилення відповідальності за мародерство» було передбачено в якості особливо кваліфікуючої ознаки «в умовах воєнного або надзвичайного стану» для крадіжки, грабежу, розбою, привласнення та розтрати, вимагання [1]. Законом «Про внесення змін до Кримінального кодексу України щодо посилення відповідальності за злочини проти основ національної безпеки України в умовах дії режиму воєнного стану» «вчинення в умовах воєнного стану» було передбачено як кваліфікуючу ознаку державної зради та диверсії [2]. </w:t>
      </w:r>
    </w:p>
    <w:p w14:paraId="49FC820B" w14:textId="3E5ECEB8" w:rsidR="00200E87" w:rsidRPr="00511005" w:rsidRDefault="00200E87" w:rsidP="003A292D">
      <w:pPr>
        <w:spacing w:line="264" w:lineRule="auto"/>
        <w:ind w:firstLine="0"/>
        <w:rPr>
          <w:rFonts w:ascii="Arial" w:eastAsia="MS Mincho" w:hAnsi="Arial" w:cs="Arial"/>
          <w:szCs w:val="28"/>
          <w:lang w:val="uk-UA"/>
        </w:rPr>
      </w:pPr>
      <w:r w:rsidRPr="00511005">
        <w:rPr>
          <w:rFonts w:ascii="Arial" w:eastAsia="MS Mincho" w:hAnsi="Arial" w:cs="Arial"/>
          <w:szCs w:val="28"/>
          <w:lang w:val="uk-UA"/>
        </w:rPr>
        <w:lastRenderedPageBreak/>
        <w:t>Одночасно з цим, в процесі призначення покарання необхідно враховувати ст. 67 КК України, яка містить обставини, що обтяжують покарання. Особливо важливо розмежовувати: «вчинення в умовах воєнного стану» (кваліфікуюча ознака складу) та «використання умов воєнного стану» (обтяжуюча покарання обставина). Відповідно до ч. 2 ст. 111 КК України, особа підлягає кримінальній відповідальності, якщо вчинила державну зраду у період дії воєнного стану. У цьому контексті, «умови воєнного стану»</w:t>
      </w:r>
      <w:r w:rsidR="007B2628" w:rsidRPr="00511005">
        <w:rPr>
          <w:rFonts w:ascii="Arial" w:eastAsia="MS Mincho" w:hAnsi="Arial" w:cs="Arial"/>
          <w:szCs w:val="28"/>
          <w:lang w:val="uk-UA"/>
        </w:rPr>
        <w:t xml:space="preserve"> </w:t>
      </w:r>
      <w:r w:rsidRPr="00511005">
        <w:rPr>
          <w:rFonts w:ascii="Arial" w:eastAsia="MS Mincho" w:hAnsi="Arial" w:cs="Arial"/>
          <w:szCs w:val="28"/>
          <w:lang w:val="uk-UA"/>
        </w:rPr>
        <w:t>є частиною об’єктивної сторони складу злочину. Водночас ст. 67 КК передбачає, що використання цих умов з метою полегшення вчинення злочину – це окрема обтяжуюча обставина.</w:t>
      </w:r>
    </w:p>
    <w:p w14:paraId="7715BFC0" w14:textId="77777777" w:rsidR="00200E87" w:rsidRPr="00511005" w:rsidRDefault="00200E87" w:rsidP="003A292D">
      <w:pPr>
        <w:spacing w:line="264" w:lineRule="auto"/>
        <w:ind w:firstLine="0"/>
        <w:rPr>
          <w:rFonts w:ascii="Arial" w:eastAsia="MS Mincho" w:hAnsi="Arial" w:cs="Arial"/>
          <w:szCs w:val="28"/>
          <w:lang w:val="uk-UA"/>
        </w:rPr>
      </w:pPr>
      <w:r w:rsidRPr="00511005">
        <w:rPr>
          <w:rFonts w:ascii="Arial" w:eastAsia="MS Mincho" w:hAnsi="Arial" w:cs="Arial"/>
          <w:szCs w:val="28"/>
          <w:lang w:val="uk-UA"/>
        </w:rPr>
        <w:t>У судовій практиці це розмежування набуває вирішального значення. Наприклад, у одній справі особа була засуджена за передачу координат ЗСУ в умовах активної фази бойових дій (визнано наявність кваліфікуючої ознаки - вчинення злочину в умовах воєнного стану), в іншій - особа, користуючись хаосом, викрала гуманітарну допомогу, де суд визнав обтяжуючу покарання обставину – використання умов воєнного стану [3].</w:t>
      </w:r>
    </w:p>
    <w:p w14:paraId="186A2E33" w14:textId="77777777" w:rsidR="00200E87" w:rsidRPr="00511005" w:rsidRDefault="00200E87" w:rsidP="003A292D">
      <w:pPr>
        <w:spacing w:line="264" w:lineRule="auto"/>
        <w:ind w:firstLine="0"/>
        <w:rPr>
          <w:rFonts w:ascii="Arial" w:eastAsia="MS Mincho" w:hAnsi="Arial" w:cs="Arial"/>
          <w:szCs w:val="28"/>
          <w:lang w:val="uk-UA"/>
        </w:rPr>
      </w:pPr>
      <w:r w:rsidRPr="00511005">
        <w:rPr>
          <w:rFonts w:ascii="Arial" w:eastAsia="MS Mincho" w:hAnsi="Arial" w:cs="Arial"/>
          <w:szCs w:val="28"/>
          <w:lang w:val="uk-UA"/>
        </w:rPr>
        <w:t xml:space="preserve">Верховний суд, переглядаючи справу, зазначив, що «поняття вчинення злочину в умовах воєнного стану та поняття вчинення злочину з використанням умов воєнного стану не можна ототожнювати, адже ці поняття мають різний зміст» [4]. За змістом вказаної Постанови Верховного суду було визнано, що при кваліфікації вчиненого особою за ч. 3 ст. 109, ч. 3 ст. 436-2 КК України, не можна визнати як обставину, що обтяжує покарання «з використанням умов воєнного стану». І це виходить за наступного: оскільки особа, використовуючи особистий профіль у соціальній мережі, розмістила висловлювання з закликами до ведення на території України агресивної війни і зміни шляхом війни чинної державної влади, поширення ідей, зміст яких спрямований на зміну конституційного ладу в Україні, вчинила ці дії «в умовах воєнного стану» (що підвищувало ступінь небезпечності вчиненого діяння), а не «з його використанням». </w:t>
      </w:r>
    </w:p>
    <w:p w14:paraId="3C7B2156" w14:textId="22A03706" w:rsidR="00200E87" w:rsidRPr="00511005" w:rsidRDefault="00200E87" w:rsidP="003A292D">
      <w:pPr>
        <w:spacing w:line="264" w:lineRule="auto"/>
        <w:ind w:firstLine="0"/>
        <w:rPr>
          <w:rFonts w:ascii="Arial" w:eastAsia="MS Mincho" w:hAnsi="Arial" w:cs="Arial"/>
          <w:szCs w:val="28"/>
          <w:lang w:val="uk-UA"/>
        </w:rPr>
      </w:pPr>
      <w:r w:rsidRPr="00511005">
        <w:rPr>
          <w:rFonts w:ascii="Arial" w:eastAsia="MS Mincho" w:hAnsi="Arial" w:cs="Arial"/>
          <w:szCs w:val="28"/>
          <w:lang w:val="uk-UA"/>
        </w:rPr>
        <w:t>Отже використання умов воєнного стану передбачає, що злочин вчинено з урахуванням загального безладу, паніки, слабкості контролю з боку держави. Наприклад, використання гуманітарного статусу товарів для прикриття факту перевезення зброї. Суд, розглядаючи цю справу,</w:t>
      </w:r>
      <w:r w:rsidR="007B2628" w:rsidRPr="00511005">
        <w:rPr>
          <w:rFonts w:ascii="Arial" w:eastAsia="MS Mincho" w:hAnsi="Arial" w:cs="Arial"/>
          <w:szCs w:val="28"/>
          <w:lang w:val="uk-UA"/>
        </w:rPr>
        <w:t xml:space="preserve"> </w:t>
      </w:r>
      <w:r w:rsidRPr="00511005">
        <w:rPr>
          <w:rFonts w:ascii="Arial" w:eastAsia="MS Mincho" w:hAnsi="Arial" w:cs="Arial"/>
          <w:szCs w:val="28"/>
          <w:lang w:val="uk-UA"/>
        </w:rPr>
        <w:t>підкреслив, що дії не підпадають під колабораціонізм, однак з огляду на зловживання умовами воєнного стану призначив покарання з урахуванням ст. 67 КК – та визнав як обставину, що обтяжує покарання [3].</w:t>
      </w:r>
    </w:p>
    <w:p w14:paraId="5ABAACAB" w14:textId="77777777" w:rsidR="00200E87" w:rsidRPr="00511005" w:rsidRDefault="00200E87" w:rsidP="003A292D">
      <w:pPr>
        <w:spacing w:line="264" w:lineRule="auto"/>
        <w:ind w:firstLine="0"/>
        <w:rPr>
          <w:rFonts w:ascii="Arial" w:eastAsia="MS Mincho" w:hAnsi="Arial" w:cs="Arial"/>
          <w:szCs w:val="28"/>
          <w:lang w:val="uk-UA"/>
        </w:rPr>
      </w:pPr>
      <w:r w:rsidRPr="00511005">
        <w:rPr>
          <w:rFonts w:ascii="Arial" w:eastAsia="MS Mincho" w:hAnsi="Arial" w:cs="Arial"/>
          <w:szCs w:val="28"/>
          <w:lang w:val="uk-UA"/>
        </w:rPr>
        <w:t>Таким чином, вчинення дій в умовах воєнного стану (кваліфікаційна ознака) не є тотожним використанню цих умов (обтяжуюча обставина). У правозастосуванні це потребує чіткого розмежування для забезпечення справедливості.</w:t>
      </w:r>
    </w:p>
    <w:p w14:paraId="467F0073" w14:textId="77777777" w:rsidR="00200E87" w:rsidRPr="00511005" w:rsidRDefault="00200E87" w:rsidP="003A292D">
      <w:pPr>
        <w:spacing w:line="264" w:lineRule="auto"/>
        <w:ind w:firstLine="0"/>
        <w:rPr>
          <w:rFonts w:ascii="Arial" w:eastAsia="MS Mincho" w:hAnsi="Arial" w:cs="Arial"/>
          <w:szCs w:val="28"/>
          <w:lang w:val="uk-UA"/>
        </w:rPr>
      </w:pPr>
      <w:r w:rsidRPr="00511005">
        <w:rPr>
          <w:rFonts w:ascii="Arial" w:eastAsia="MS Mincho" w:hAnsi="Arial" w:cs="Arial"/>
          <w:szCs w:val="28"/>
          <w:lang w:val="uk-UA"/>
        </w:rPr>
        <w:t xml:space="preserve">Окремої уваги заслуговує питання визначення добровільності участі особи в процесі кваліфікації діяння як колабораційна діяльність. Законодавець у </w:t>
      </w:r>
      <w:r w:rsidRPr="00511005">
        <w:rPr>
          <w:rFonts w:ascii="Arial" w:eastAsia="MS Mincho" w:hAnsi="Arial" w:cs="Arial"/>
          <w:szCs w:val="28"/>
          <w:lang w:val="uk-UA"/>
        </w:rPr>
        <w:lastRenderedPageBreak/>
        <w:t>статті 111-1 КК України використовує термін «добровільно», однак не надає його визначення або критеріїв такого визначення. Це породжує складнощі при кваліфікації дій, коли особа залишилась працювати в умовах окупації з метою виживання, утримання сім’ї або за відсутності можливості евакуації.</w:t>
      </w:r>
    </w:p>
    <w:p w14:paraId="11411DF0" w14:textId="77777777" w:rsidR="00200E87" w:rsidRPr="00511005" w:rsidRDefault="00200E87" w:rsidP="003A292D">
      <w:pPr>
        <w:spacing w:line="264" w:lineRule="auto"/>
        <w:ind w:firstLine="0"/>
        <w:rPr>
          <w:rFonts w:ascii="Arial" w:eastAsia="MS Mincho" w:hAnsi="Arial" w:cs="Arial"/>
          <w:szCs w:val="28"/>
          <w:lang w:val="uk-UA"/>
        </w:rPr>
      </w:pPr>
      <w:r w:rsidRPr="00511005">
        <w:rPr>
          <w:rFonts w:ascii="Arial" w:eastAsia="MS Mincho" w:hAnsi="Arial" w:cs="Arial"/>
          <w:szCs w:val="28"/>
          <w:lang w:val="uk-UA"/>
        </w:rPr>
        <w:t>У цьому контексті можна навести низку прикладів, у яких суди демонструють неоднозначний підхід. Наприклад, вчительку, яка проводила заняття за російською програмою, визнали винною, оскільки вона не лише викладала, а й приймала участь у проросійських мітингах. В іншій справі вчительку було виправдано – суд врахував відсутність політичної агітації, примус, а також факт, що вона залишалася єдиним джерелом підтримки родини [3]. Такі приклади свідчать про необхідність чіткого законодавчого врегулювання поняття «добровільності». Наприклад, шляхом передбачення в КК України визначення критеріїв добровільності, як-то: примус, погрози, вимушеність через соціальне або майнове становище, поведінки особи до та після окупації. І з цього приводу вартим уваги є рішення Європейського суду з прав людини з питання тлумачення колабораційної діяльності. ЄСПЛ неодноразово наголошував, що втручання держави у приватне життя чи право на працю має бути пропорційним і обґрунтованим. У рішенні «Pechstein and Mutu v. Switzerland» підкреслено, що навіть у виняткових обставинах дії особи повинні оцінюватися в контексті загальної ситуації та її можливостей вибору [5]. Ці підходи можуть бути корисними для національних судів при тлумаченні понять «добровільності», «умислу» та «вини» у справах про колабораціонізм. Вони дозволяють сформувати більш гуманний і збалансований підхід до кваліфікації дій громадян, які діяли у складних умовах окупації.</w:t>
      </w:r>
    </w:p>
    <w:p w14:paraId="0A2631B8" w14:textId="77777777" w:rsidR="00200E87" w:rsidRPr="00511005" w:rsidRDefault="00200E87" w:rsidP="003A292D">
      <w:pPr>
        <w:spacing w:line="264" w:lineRule="auto"/>
        <w:ind w:firstLine="0"/>
        <w:rPr>
          <w:rFonts w:ascii="Arial" w:eastAsia="MS Mincho" w:hAnsi="Arial" w:cs="Arial"/>
          <w:szCs w:val="28"/>
          <w:lang w:val="uk-UA"/>
        </w:rPr>
      </w:pPr>
      <w:r w:rsidRPr="00511005">
        <w:rPr>
          <w:rFonts w:ascii="Arial" w:eastAsia="MS Mincho" w:hAnsi="Arial" w:cs="Arial"/>
          <w:szCs w:val="28"/>
          <w:lang w:val="uk-UA"/>
        </w:rPr>
        <w:t>З наведеного можна зробити низку висновків. На рівні КК (ст. 111-1) мають бути відпрацьовані та визначені критерії для розмежування між добровільністю та вимушеністю співпраці з окупантами. Наприклад, якщо така співпраця здійснюється під впливом загрози життю, здоров’ю, у зв’язку з відсутністю альтернатив або за умов гуманітарної кризи, то вона не може бути визнана добровільною. При цьому потребує встановлення факт усвідомлення особою протиправності своїх дій та можливості реального вибору.</w:t>
      </w:r>
    </w:p>
    <w:p w14:paraId="764E15CA" w14:textId="77777777" w:rsidR="00200E87" w:rsidRPr="00511005" w:rsidRDefault="00200E87" w:rsidP="003A292D">
      <w:pPr>
        <w:spacing w:line="264" w:lineRule="auto"/>
        <w:ind w:firstLine="0"/>
        <w:rPr>
          <w:rFonts w:ascii="Arial" w:eastAsia="MS Mincho" w:hAnsi="Arial" w:cs="Arial"/>
          <w:b/>
          <w:szCs w:val="28"/>
          <w:lang w:val="uk-UA"/>
        </w:rPr>
      </w:pPr>
    </w:p>
    <w:p w14:paraId="2CA6DE32" w14:textId="28E8E155" w:rsidR="00200E87" w:rsidRPr="00511005" w:rsidRDefault="007B2628" w:rsidP="007B2628">
      <w:pPr>
        <w:spacing w:line="264" w:lineRule="auto"/>
        <w:ind w:firstLine="0"/>
        <w:jc w:val="center"/>
        <w:rPr>
          <w:rFonts w:ascii="Arial" w:eastAsia="MS Mincho" w:hAnsi="Arial" w:cs="Arial"/>
          <w:b/>
          <w:szCs w:val="28"/>
          <w:lang w:val="uk-UA"/>
        </w:rPr>
      </w:pPr>
      <w:r w:rsidRPr="00511005">
        <w:rPr>
          <w:rFonts w:ascii="Arial" w:eastAsia="MS Mincho" w:hAnsi="Arial" w:cs="Arial"/>
          <w:b/>
          <w:szCs w:val="28"/>
          <w:lang w:val="uk-UA"/>
        </w:rPr>
        <w:t>Список використаних джерел</w:t>
      </w:r>
    </w:p>
    <w:p w14:paraId="18A6E8BA" w14:textId="77777777" w:rsidR="00200E87" w:rsidRPr="00511005" w:rsidRDefault="00200E87" w:rsidP="003F6A5D">
      <w:pPr>
        <w:numPr>
          <w:ilvl w:val="0"/>
          <w:numId w:val="517"/>
        </w:numPr>
        <w:spacing w:line="264" w:lineRule="auto"/>
        <w:contextualSpacing/>
        <w:jc w:val="left"/>
        <w:rPr>
          <w:rFonts w:ascii="Arial" w:eastAsia="MS Mincho" w:hAnsi="Arial" w:cs="Arial"/>
          <w:szCs w:val="28"/>
          <w:lang w:val="uk-UA"/>
        </w:rPr>
      </w:pPr>
      <w:r w:rsidRPr="00511005">
        <w:rPr>
          <w:rFonts w:ascii="Arial" w:eastAsia="MS Mincho" w:hAnsi="Arial" w:cs="Arial"/>
          <w:szCs w:val="28"/>
          <w:lang w:val="uk-UA"/>
        </w:rPr>
        <w:t xml:space="preserve">Про внесення змін до Кримінального кодексу України щодо посилення відповідальності за мародерство: Закон України від </w:t>
      </w:r>
      <w:r w:rsidRPr="00511005">
        <w:rPr>
          <w:rFonts w:ascii="Arial" w:eastAsia="MS Mincho" w:hAnsi="Arial" w:cs="Arial"/>
          <w:szCs w:val="28"/>
        </w:rPr>
        <w:t xml:space="preserve">3 березня 2022 року </w:t>
      </w:r>
      <w:r w:rsidRPr="00511005">
        <w:rPr>
          <w:rFonts w:ascii="Arial" w:eastAsia="MS Mincho" w:hAnsi="Arial" w:cs="Arial"/>
          <w:szCs w:val="28"/>
        </w:rPr>
        <w:br/>
        <w:t>№ 2117-</w:t>
      </w:r>
      <w:r w:rsidRPr="00511005">
        <w:rPr>
          <w:rFonts w:ascii="Arial" w:eastAsia="MS Mincho" w:hAnsi="Arial" w:cs="Arial"/>
          <w:szCs w:val="28"/>
          <w:lang w:val="en-US"/>
        </w:rPr>
        <w:t>IX</w:t>
      </w:r>
      <w:r w:rsidRPr="00511005">
        <w:rPr>
          <w:rFonts w:ascii="Arial" w:eastAsia="MS Mincho" w:hAnsi="Arial" w:cs="Arial"/>
          <w:szCs w:val="28"/>
          <w:lang w:val="uk-UA"/>
        </w:rPr>
        <w:t xml:space="preserve">. </w:t>
      </w:r>
      <w:r w:rsidRPr="00511005">
        <w:rPr>
          <w:rFonts w:ascii="Arial" w:eastAsia="MS Mincho" w:hAnsi="Arial" w:cs="Arial"/>
          <w:szCs w:val="28"/>
          <w:lang w:val="en-US"/>
        </w:rPr>
        <w:t>URL</w:t>
      </w:r>
      <w:r w:rsidRPr="00511005">
        <w:rPr>
          <w:rFonts w:ascii="Arial" w:eastAsia="MS Mincho" w:hAnsi="Arial" w:cs="Arial"/>
          <w:szCs w:val="28"/>
          <w:lang w:val="uk-UA"/>
        </w:rPr>
        <w:t xml:space="preserve">: </w:t>
      </w:r>
      <w:hyperlink r:id="rId1827" w:anchor="n6" w:history="1">
        <w:r w:rsidRPr="00511005">
          <w:rPr>
            <w:rFonts w:ascii="Arial" w:eastAsia="MS Mincho" w:hAnsi="Arial" w:cs="Arial"/>
            <w:szCs w:val="28"/>
            <w:lang w:val="uk-UA"/>
          </w:rPr>
          <w:t>https://zakon.rada.gov.ua/laws/show/2117-20#n6</w:t>
        </w:r>
      </w:hyperlink>
    </w:p>
    <w:p w14:paraId="563AE2C3" w14:textId="77777777" w:rsidR="00200E87" w:rsidRPr="00511005" w:rsidRDefault="00200E87" w:rsidP="003F6A5D">
      <w:pPr>
        <w:numPr>
          <w:ilvl w:val="0"/>
          <w:numId w:val="517"/>
        </w:numPr>
        <w:spacing w:line="264" w:lineRule="auto"/>
        <w:contextualSpacing/>
        <w:jc w:val="left"/>
        <w:rPr>
          <w:rFonts w:ascii="Arial" w:eastAsia="MS Mincho" w:hAnsi="Arial" w:cs="Arial"/>
          <w:szCs w:val="28"/>
          <w:lang w:val="uk-UA"/>
        </w:rPr>
      </w:pPr>
      <w:r w:rsidRPr="00511005">
        <w:rPr>
          <w:rFonts w:ascii="Arial" w:eastAsia="MS Mincho" w:hAnsi="Arial" w:cs="Arial"/>
          <w:szCs w:val="28"/>
          <w:lang w:val="uk-UA"/>
        </w:rPr>
        <w:t xml:space="preserve">Про внесення змін до Кримінального кодексу України щодо посилення відповідальності за злочини проти основ національної безпеки України в умовах дії режиму воєнного стану» «вчинення в умовах воєнного стану: </w:t>
      </w:r>
      <w:r w:rsidRPr="00511005">
        <w:rPr>
          <w:rFonts w:ascii="Arial" w:eastAsia="MS Mincho" w:hAnsi="Arial" w:cs="Arial"/>
          <w:szCs w:val="28"/>
          <w:lang w:val="uk-UA"/>
        </w:rPr>
        <w:lastRenderedPageBreak/>
        <w:t>Закон України 3 березня 2022 року № 2113-</w:t>
      </w:r>
      <w:r w:rsidRPr="00511005">
        <w:rPr>
          <w:rFonts w:ascii="Arial" w:eastAsia="MS Mincho" w:hAnsi="Arial" w:cs="Arial"/>
          <w:szCs w:val="28"/>
          <w:lang w:val="en-US"/>
        </w:rPr>
        <w:t>IX</w:t>
      </w:r>
      <w:r w:rsidRPr="00511005">
        <w:rPr>
          <w:rFonts w:ascii="Arial" w:eastAsia="MS Mincho" w:hAnsi="Arial" w:cs="Arial"/>
          <w:szCs w:val="28"/>
          <w:lang w:val="uk-UA"/>
        </w:rPr>
        <w:t xml:space="preserve">. </w:t>
      </w:r>
      <w:r w:rsidRPr="00511005">
        <w:rPr>
          <w:rFonts w:ascii="Arial" w:eastAsia="MS Mincho" w:hAnsi="Arial" w:cs="Arial"/>
          <w:szCs w:val="28"/>
          <w:lang w:val="en-US"/>
        </w:rPr>
        <w:t>URL</w:t>
      </w:r>
      <w:r w:rsidRPr="00511005">
        <w:rPr>
          <w:rFonts w:ascii="Arial" w:eastAsia="MS Mincho" w:hAnsi="Arial" w:cs="Arial"/>
          <w:szCs w:val="28"/>
          <w:lang w:val="uk-UA"/>
        </w:rPr>
        <w:t xml:space="preserve">: </w:t>
      </w:r>
      <w:hyperlink r:id="rId1828" w:anchor="n7" w:history="1">
        <w:r w:rsidRPr="00511005">
          <w:rPr>
            <w:rFonts w:ascii="Arial" w:eastAsia="MS Mincho" w:hAnsi="Arial" w:cs="Arial"/>
            <w:szCs w:val="28"/>
            <w:lang w:val="uk-UA"/>
          </w:rPr>
          <w:t>https://zakon.rada.gov.ua/laws/show/2113-20#n7</w:t>
        </w:r>
      </w:hyperlink>
      <w:r w:rsidRPr="00511005">
        <w:rPr>
          <w:rFonts w:ascii="Arial" w:eastAsia="MS Mincho" w:hAnsi="Arial" w:cs="Arial"/>
          <w:szCs w:val="28"/>
          <w:lang w:val="uk-UA"/>
        </w:rPr>
        <w:t xml:space="preserve"> </w:t>
      </w:r>
    </w:p>
    <w:p w14:paraId="2C1A3FB6" w14:textId="77777777" w:rsidR="00200E87" w:rsidRPr="00511005" w:rsidRDefault="00200E87" w:rsidP="003F6A5D">
      <w:pPr>
        <w:numPr>
          <w:ilvl w:val="0"/>
          <w:numId w:val="517"/>
        </w:numPr>
        <w:spacing w:line="264" w:lineRule="auto"/>
        <w:contextualSpacing/>
        <w:jc w:val="left"/>
        <w:rPr>
          <w:rFonts w:ascii="Arial" w:eastAsia="MS Mincho" w:hAnsi="Arial" w:cs="Arial"/>
          <w:szCs w:val="28"/>
          <w:lang w:val="uk-UA"/>
        </w:rPr>
      </w:pPr>
      <w:r w:rsidRPr="00511005">
        <w:rPr>
          <w:rFonts w:ascii="Arial" w:eastAsia="MS Mincho" w:hAnsi="Arial" w:cs="Arial"/>
          <w:szCs w:val="28"/>
          <w:lang w:val="uk-UA"/>
        </w:rPr>
        <w:t xml:space="preserve">Єдиний державний реєстр судових рішень. </w:t>
      </w:r>
      <w:r w:rsidRPr="00511005">
        <w:rPr>
          <w:rFonts w:ascii="Arial" w:eastAsia="MS Mincho" w:hAnsi="Arial" w:cs="Arial"/>
          <w:szCs w:val="28"/>
          <w:lang w:val="pl-PL"/>
        </w:rPr>
        <w:t>URL</w:t>
      </w:r>
      <w:r w:rsidRPr="00511005">
        <w:rPr>
          <w:rFonts w:ascii="Arial" w:eastAsia="MS Mincho" w:hAnsi="Arial" w:cs="Arial"/>
          <w:szCs w:val="28"/>
          <w:lang w:val="uk-UA"/>
        </w:rPr>
        <w:t xml:space="preserve">: </w:t>
      </w:r>
      <w:r w:rsidR="005938AD">
        <w:fldChar w:fldCharType="begin"/>
      </w:r>
      <w:r w:rsidR="005938AD" w:rsidRPr="00055389">
        <w:rPr>
          <w:lang w:val="en-US"/>
        </w:rPr>
        <w:instrText xml:space="preserve"> HYPERLINK "https://reyestr.court.gov.ua/" </w:instrText>
      </w:r>
      <w:r w:rsidR="005938AD">
        <w:fldChar w:fldCharType="separate"/>
      </w:r>
      <w:r w:rsidRPr="00511005">
        <w:rPr>
          <w:rFonts w:ascii="Arial" w:eastAsia="MS Mincho" w:hAnsi="Arial" w:cs="Arial"/>
          <w:szCs w:val="28"/>
          <w:lang w:val="uk-UA"/>
        </w:rPr>
        <w:t>https://reyestr.court.gov.ua/</w:t>
      </w:r>
      <w:r w:rsidR="005938AD">
        <w:rPr>
          <w:rFonts w:ascii="Arial" w:eastAsia="MS Mincho" w:hAnsi="Arial" w:cs="Arial"/>
          <w:szCs w:val="28"/>
          <w:lang w:val="uk-UA"/>
        </w:rPr>
        <w:fldChar w:fldCharType="end"/>
      </w:r>
    </w:p>
    <w:p w14:paraId="060B000A" w14:textId="77777777" w:rsidR="00200E87" w:rsidRPr="00511005" w:rsidRDefault="00200E87" w:rsidP="003F6A5D">
      <w:pPr>
        <w:numPr>
          <w:ilvl w:val="0"/>
          <w:numId w:val="517"/>
        </w:numPr>
        <w:spacing w:line="264" w:lineRule="auto"/>
        <w:contextualSpacing/>
        <w:jc w:val="left"/>
        <w:rPr>
          <w:rFonts w:ascii="Arial" w:eastAsia="MS Mincho" w:hAnsi="Arial" w:cs="Arial"/>
          <w:szCs w:val="28"/>
        </w:rPr>
      </w:pPr>
      <w:r w:rsidRPr="00511005">
        <w:rPr>
          <w:rFonts w:ascii="Arial" w:eastAsia="MS Mincho" w:hAnsi="Arial" w:cs="Arial"/>
          <w:szCs w:val="28"/>
        </w:rPr>
        <w:t xml:space="preserve">Постанова колегії суддів Третьої судової палати ККС ВС від 24.01.2024 у справі № 346/1286/23. </w:t>
      </w:r>
      <w:r w:rsidRPr="00511005">
        <w:rPr>
          <w:rFonts w:ascii="Arial" w:eastAsia="MS Mincho" w:hAnsi="Arial" w:cs="Arial"/>
          <w:szCs w:val="28"/>
          <w:lang w:val="en-US"/>
        </w:rPr>
        <w:t>URL</w:t>
      </w:r>
      <w:r w:rsidRPr="00511005">
        <w:rPr>
          <w:rFonts w:ascii="Arial" w:eastAsia="MS Mincho" w:hAnsi="Arial" w:cs="Arial"/>
          <w:szCs w:val="28"/>
          <w:lang w:val="uk-UA"/>
        </w:rPr>
        <w:t xml:space="preserve">: </w:t>
      </w:r>
      <w:hyperlink r:id="rId1829" w:history="1">
        <w:r w:rsidRPr="00511005">
          <w:rPr>
            <w:rFonts w:ascii="Arial" w:eastAsia="MS Mincho" w:hAnsi="Arial" w:cs="Arial"/>
            <w:szCs w:val="28"/>
            <w:lang w:val="en-US"/>
          </w:rPr>
          <w:t>https</w:t>
        </w:r>
        <w:r w:rsidRPr="00511005">
          <w:rPr>
            <w:rFonts w:ascii="Arial" w:eastAsia="MS Mincho" w:hAnsi="Arial" w:cs="Arial"/>
            <w:szCs w:val="28"/>
          </w:rPr>
          <w:t>://</w:t>
        </w:r>
        <w:r w:rsidRPr="00511005">
          <w:rPr>
            <w:rFonts w:ascii="Arial" w:eastAsia="MS Mincho" w:hAnsi="Arial" w:cs="Arial"/>
            <w:szCs w:val="28"/>
            <w:lang w:val="en-US"/>
          </w:rPr>
          <w:t>reestr</w:t>
        </w:r>
        <w:r w:rsidRPr="00511005">
          <w:rPr>
            <w:rFonts w:ascii="Arial" w:eastAsia="MS Mincho" w:hAnsi="Arial" w:cs="Arial"/>
            <w:szCs w:val="28"/>
          </w:rPr>
          <w:t>.</w:t>
        </w:r>
        <w:r w:rsidRPr="00511005">
          <w:rPr>
            <w:rFonts w:ascii="Arial" w:eastAsia="MS Mincho" w:hAnsi="Arial" w:cs="Arial"/>
            <w:szCs w:val="28"/>
            <w:lang w:val="en-US"/>
          </w:rPr>
          <w:t>court</w:t>
        </w:r>
        <w:r w:rsidRPr="00511005">
          <w:rPr>
            <w:rFonts w:ascii="Arial" w:eastAsia="MS Mincho" w:hAnsi="Arial" w:cs="Arial"/>
            <w:szCs w:val="28"/>
          </w:rPr>
          <w:t>.</w:t>
        </w:r>
        <w:r w:rsidRPr="00511005">
          <w:rPr>
            <w:rFonts w:ascii="Arial" w:eastAsia="MS Mincho" w:hAnsi="Arial" w:cs="Arial"/>
            <w:szCs w:val="28"/>
            <w:lang w:val="en-US"/>
          </w:rPr>
          <w:t>gov</w:t>
        </w:r>
        <w:r w:rsidRPr="00511005">
          <w:rPr>
            <w:rFonts w:ascii="Arial" w:eastAsia="MS Mincho" w:hAnsi="Arial" w:cs="Arial"/>
            <w:szCs w:val="28"/>
          </w:rPr>
          <w:t>.</w:t>
        </w:r>
        <w:r w:rsidRPr="00511005">
          <w:rPr>
            <w:rFonts w:ascii="Arial" w:eastAsia="MS Mincho" w:hAnsi="Arial" w:cs="Arial"/>
            <w:szCs w:val="28"/>
            <w:lang w:val="en-US"/>
          </w:rPr>
          <w:t>ua</w:t>
        </w:r>
        <w:r w:rsidRPr="00511005">
          <w:rPr>
            <w:rFonts w:ascii="Arial" w:eastAsia="MS Mincho" w:hAnsi="Arial" w:cs="Arial"/>
            <w:szCs w:val="28"/>
          </w:rPr>
          <w:t>/</w:t>
        </w:r>
        <w:r w:rsidRPr="00511005">
          <w:rPr>
            <w:rFonts w:ascii="Arial" w:eastAsia="MS Mincho" w:hAnsi="Arial" w:cs="Arial"/>
            <w:szCs w:val="28"/>
            <w:lang w:val="en-US"/>
          </w:rPr>
          <w:t>Review</w:t>
        </w:r>
        <w:r w:rsidRPr="00511005">
          <w:rPr>
            <w:rFonts w:ascii="Arial" w:eastAsia="MS Mincho" w:hAnsi="Arial" w:cs="Arial"/>
            <w:szCs w:val="28"/>
          </w:rPr>
          <w:t>/116607237</w:t>
        </w:r>
      </w:hyperlink>
      <w:r w:rsidRPr="00511005">
        <w:rPr>
          <w:rFonts w:ascii="Arial" w:eastAsia="MS Mincho" w:hAnsi="Arial" w:cs="Arial"/>
          <w:szCs w:val="28"/>
        </w:rPr>
        <w:t xml:space="preserve">. </w:t>
      </w:r>
    </w:p>
    <w:p w14:paraId="6F0D27B8" w14:textId="762FB752" w:rsidR="00200E87" w:rsidRPr="00511005" w:rsidRDefault="00200E87" w:rsidP="003F6A5D">
      <w:pPr>
        <w:numPr>
          <w:ilvl w:val="0"/>
          <w:numId w:val="517"/>
        </w:numPr>
        <w:spacing w:line="264" w:lineRule="auto"/>
        <w:contextualSpacing/>
        <w:jc w:val="left"/>
        <w:rPr>
          <w:rFonts w:ascii="Arial" w:eastAsia="MS Mincho" w:hAnsi="Arial" w:cs="Arial"/>
          <w:szCs w:val="28"/>
          <w:lang w:val="uk-UA"/>
        </w:rPr>
      </w:pPr>
      <w:r w:rsidRPr="00511005">
        <w:rPr>
          <w:rFonts w:ascii="Arial" w:eastAsia="MS Mincho" w:hAnsi="Arial" w:cs="Arial"/>
          <w:szCs w:val="28"/>
          <w:lang w:val="en-US"/>
        </w:rPr>
        <w:t>CASE OF MUTU AND PECHSTEIN v. SWITZERLAND</w:t>
      </w:r>
      <w:r w:rsidRPr="00511005">
        <w:rPr>
          <w:rFonts w:ascii="Arial" w:eastAsia="MS Mincho" w:hAnsi="Arial" w:cs="Arial"/>
          <w:szCs w:val="28"/>
          <w:lang w:val="uk-UA"/>
        </w:rPr>
        <w:t xml:space="preserve">. </w:t>
      </w:r>
      <w:r w:rsidRPr="00511005">
        <w:rPr>
          <w:rFonts w:ascii="Arial" w:eastAsia="MS Mincho" w:hAnsi="Arial" w:cs="Arial"/>
          <w:szCs w:val="28"/>
          <w:lang w:val="en-US"/>
        </w:rPr>
        <w:t>Judgment</w:t>
      </w:r>
      <w:r w:rsidRPr="00511005">
        <w:rPr>
          <w:rFonts w:ascii="Arial" w:eastAsia="MS Mincho" w:hAnsi="Arial" w:cs="Arial"/>
          <w:szCs w:val="28"/>
          <w:lang w:val="uk-UA"/>
        </w:rPr>
        <w:t xml:space="preserve"> о</w:t>
      </w:r>
      <w:r w:rsidRPr="00511005">
        <w:rPr>
          <w:rFonts w:ascii="Arial" w:eastAsia="MS Mincho" w:hAnsi="Arial" w:cs="Arial"/>
          <w:szCs w:val="28"/>
          <w:lang w:val="en-US"/>
        </w:rPr>
        <w:t>n 2 October 2018</w:t>
      </w:r>
      <w:r w:rsidRPr="00511005">
        <w:rPr>
          <w:rFonts w:ascii="Arial" w:eastAsia="MS Mincho" w:hAnsi="Arial" w:cs="Arial"/>
          <w:szCs w:val="28"/>
          <w:lang w:val="uk-UA"/>
        </w:rPr>
        <w:t>.</w:t>
      </w:r>
      <w:r w:rsidR="007B2628" w:rsidRPr="00511005">
        <w:rPr>
          <w:rFonts w:ascii="Arial" w:eastAsia="MS Mincho" w:hAnsi="Arial" w:cs="Arial"/>
          <w:szCs w:val="28"/>
          <w:lang w:val="uk-UA"/>
        </w:rPr>
        <w:t xml:space="preserve"> </w:t>
      </w:r>
      <w:r w:rsidRPr="00511005">
        <w:rPr>
          <w:rFonts w:ascii="Arial" w:eastAsia="MS Mincho" w:hAnsi="Arial" w:cs="Arial"/>
          <w:szCs w:val="28"/>
          <w:lang w:val="en-US"/>
        </w:rPr>
        <w:t>URL</w:t>
      </w:r>
      <w:r w:rsidRPr="00511005">
        <w:rPr>
          <w:rFonts w:ascii="Arial" w:eastAsia="MS Mincho" w:hAnsi="Arial" w:cs="Arial"/>
          <w:szCs w:val="28"/>
          <w:lang w:val="uk-UA"/>
        </w:rPr>
        <w:t>: https://hudoc.echr.coe.int/fre#{%22itemid%</w:t>
      </w:r>
      <w:proofErr w:type="gramStart"/>
      <w:r w:rsidRPr="00511005">
        <w:rPr>
          <w:rFonts w:ascii="Arial" w:eastAsia="MS Mincho" w:hAnsi="Arial" w:cs="Arial"/>
          <w:szCs w:val="28"/>
          <w:lang w:val="uk-UA"/>
        </w:rPr>
        <w:t>22:[</w:t>
      </w:r>
      <w:proofErr w:type="gramEnd"/>
      <w:r w:rsidRPr="00511005">
        <w:rPr>
          <w:rFonts w:ascii="Arial" w:eastAsia="MS Mincho" w:hAnsi="Arial" w:cs="Arial"/>
          <w:szCs w:val="28"/>
          <w:lang w:val="uk-UA"/>
        </w:rPr>
        <w:t>%22001-186828%22]}</w:t>
      </w:r>
    </w:p>
    <w:p w14:paraId="66B99E80" w14:textId="77777777" w:rsidR="00200E87" w:rsidRPr="00511005" w:rsidRDefault="00200E87" w:rsidP="003A292D">
      <w:pPr>
        <w:spacing w:line="264" w:lineRule="auto"/>
        <w:ind w:firstLine="0"/>
        <w:rPr>
          <w:rFonts w:ascii="Arial" w:eastAsia="MS Mincho" w:hAnsi="Arial" w:cs="Arial"/>
          <w:b/>
          <w:szCs w:val="28"/>
          <w:lang w:val="uk-UA"/>
        </w:rPr>
      </w:pPr>
    </w:p>
    <w:p w14:paraId="7A027AA0" w14:textId="69749FF4" w:rsidR="00200E87" w:rsidRPr="00511005" w:rsidRDefault="007B2628" w:rsidP="003A292D">
      <w:pPr>
        <w:spacing w:line="264" w:lineRule="auto"/>
        <w:ind w:firstLine="0"/>
        <w:rPr>
          <w:rFonts w:ascii="Arial" w:eastAsia="MS Mincho" w:hAnsi="Arial" w:cs="Arial"/>
          <w:szCs w:val="28"/>
          <w:lang w:val="uk-UA"/>
        </w:rPr>
      </w:pPr>
      <w:r w:rsidRPr="00511005">
        <w:rPr>
          <w:rFonts w:ascii="Arial" w:eastAsia="MS Mincho" w:hAnsi="Arial" w:cs="Arial"/>
          <w:b/>
          <w:i/>
          <w:szCs w:val="28"/>
          <w:lang w:val="uk-UA"/>
        </w:rPr>
        <w:t xml:space="preserve">Ключові слова: </w:t>
      </w:r>
      <w:r w:rsidR="00200E87" w:rsidRPr="00511005">
        <w:rPr>
          <w:rFonts w:ascii="Arial" w:eastAsia="MS Mincho" w:hAnsi="Arial" w:cs="Arial"/>
          <w:szCs w:val="28"/>
          <w:lang w:val="uk-UA"/>
        </w:rPr>
        <w:t>колабораціонізм, з використанням воєнного стану, в умовах воєнного стану, добровільність, кваліфікація.</w:t>
      </w:r>
      <w:r w:rsidRPr="00511005">
        <w:rPr>
          <w:rFonts w:ascii="Arial" w:eastAsia="MS Mincho" w:hAnsi="Arial" w:cs="Arial"/>
          <w:szCs w:val="28"/>
          <w:lang w:val="uk-UA"/>
        </w:rPr>
        <w:t xml:space="preserve"> </w:t>
      </w:r>
    </w:p>
    <w:p w14:paraId="4C273C11" w14:textId="6FC7DEF2" w:rsidR="00200E87" w:rsidRPr="00511005" w:rsidRDefault="007B2628" w:rsidP="003A292D">
      <w:pPr>
        <w:spacing w:line="264" w:lineRule="auto"/>
        <w:ind w:firstLine="0"/>
        <w:rPr>
          <w:rFonts w:ascii="Arial" w:eastAsia="MS Mincho" w:hAnsi="Arial" w:cs="Arial"/>
          <w:szCs w:val="28"/>
          <w:lang w:val="uk-UA"/>
        </w:rPr>
      </w:pPr>
      <w:r w:rsidRPr="00511005">
        <w:rPr>
          <w:rFonts w:ascii="Arial" w:eastAsia="MS Mincho" w:hAnsi="Arial" w:cs="Arial"/>
          <w:b/>
          <w:i/>
          <w:szCs w:val="28"/>
          <w:lang w:val="uk-UA"/>
        </w:rPr>
        <w:t xml:space="preserve">Key words: </w:t>
      </w:r>
      <w:r w:rsidR="00200E87" w:rsidRPr="00511005">
        <w:rPr>
          <w:rFonts w:ascii="Arial" w:eastAsia="MS Mincho" w:hAnsi="Arial" w:cs="Arial"/>
          <w:szCs w:val="28"/>
          <w:lang w:val="uk-UA"/>
        </w:rPr>
        <w:t>collaboration, using martial law, under martial law, voluntary, qualification.</w:t>
      </w:r>
      <w:r w:rsidRPr="00511005">
        <w:rPr>
          <w:rFonts w:ascii="Arial" w:eastAsia="MS Mincho" w:hAnsi="Arial" w:cs="Arial"/>
          <w:szCs w:val="28"/>
          <w:lang w:val="uk-UA"/>
        </w:rPr>
        <w:t xml:space="preserve"> </w:t>
      </w:r>
    </w:p>
    <w:p w14:paraId="18384067" w14:textId="77777777" w:rsidR="00200E87" w:rsidRPr="00511005" w:rsidRDefault="00200E87" w:rsidP="003A292D">
      <w:pPr>
        <w:spacing w:line="264" w:lineRule="auto"/>
        <w:ind w:firstLine="0"/>
        <w:rPr>
          <w:rFonts w:ascii="Arial" w:eastAsia="MS Mincho" w:hAnsi="Arial" w:cs="Arial"/>
          <w:i/>
          <w:szCs w:val="28"/>
          <w:lang w:val="uk-UA"/>
        </w:rPr>
      </w:pPr>
    </w:p>
    <w:p w14:paraId="410B7C4B" w14:textId="739344A4" w:rsidR="00200E87" w:rsidRPr="00511005" w:rsidRDefault="007B2628" w:rsidP="003A292D">
      <w:pPr>
        <w:spacing w:line="264" w:lineRule="auto"/>
        <w:ind w:firstLine="0"/>
        <w:rPr>
          <w:rFonts w:ascii="Arial" w:eastAsia="MS Mincho" w:hAnsi="Arial" w:cs="Arial"/>
          <w:i/>
          <w:szCs w:val="28"/>
          <w:lang w:val="uk-UA"/>
        </w:rPr>
      </w:pPr>
      <w:r w:rsidRPr="00511005">
        <w:rPr>
          <w:rFonts w:ascii="Arial" w:eastAsia="MS Mincho" w:hAnsi="Arial" w:cs="Arial"/>
          <w:b/>
          <w:i/>
          <w:szCs w:val="28"/>
          <w:lang w:val="uk-UA"/>
        </w:rPr>
        <w:t xml:space="preserve">Науковий керівник: </w:t>
      </w:r>
      <w:r w:rsidR="00200E87" w:rsidRPr="00511005">
        <w:rPr>
          <w:rFonts w:ascii="Arial" w:eastAsia="MS Mincho" w:hAnsi="Arial" w:cs="Arial"/>
          <w:i/>
          <w:szCs w:val="28"/>
          <w:lang w:val="uk-UA"/>
        </w:rPr>
        <w:t xml:space="preserve">к.ю.н., доцент Горбачова І.М. </w:t>
      </w:r>
    </w:p>
    <w:p w14:paraId="70AC3105" w14:textId="77777777" w:rsidR="00200E87" w:rsidRPr="00511005" w:rsidRDefault="00200E87" w:rsidP="003A292D">
      <w:pPr>
        <w:spacing w:line="264" w:lineRule="auto"/>
        <w:ind w:firstLine="0"/>
        <w:rPr>
          <w:rFonts w:ascii="Arial" w:eastAsia="MS Mincho" w:hAnsi="Arial" w:cs="Arial"/>
          <w:szCs w:val="28"/>
          <w:lang w:val="uk-UA"/>
        </w:rPr>
      </w:pPr>
    </w:p>
    <w:p w14:paraId="2D2516D9" w14:textId="77777777" w:rsidR="00200E87" w:rsidRPr="00511005" w:rsidRDefault="00200E87" w:rsidP="003A292D">
      <w:pPr>
        <w:spacing w:line="264" w:lineRule="auto"/>
        <w:ind w:firstLine="0"/>
        <w:jc w:val="center"/>
        <w:rPr>
          <w:rFonts w:ascii="Arial" w:eastAsia="Calibri" w:hAnsi="Arial" w:cs="Arial"/>
          <w:b/>
          <w:szCs w:val="28"/>
          <w:lang w:val="uk-UA"/>
        </w:rPr>
      </w:pPr>
    </w:p>
    <w:p w14:paraId="02EA3C02" w14:textId="77777777" w:rsidR="00200E87" w:rsidRPr="00511005" w:rsidRDefault="00200E87"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Карпенко Катерина Сергіївна</w:t>
      </w:r>
    </w:p>
    <w:p w14:paraId="6F0CBC8A" w14:textId="45F73DEA" w:rsidR="00200E8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3-го курсу </w:t>
      </w:r>
      <w:r w:rsidR="007B2628" w:rsidRPr="00511005">
        <w:rPr>
          <w:rFonts w:ascii="Arial" w:eastAsia="Times New Roman" w:hAnsi="Arial" w:cs="Arial"/>
          <w:szCs w:val="28"/>
          <w:lang w:val="uk-UA" w:eastAsia="ru-RU"/>
        </w:rPr>
        <w:t>факультету цивільної та господарської юстиції</w:t>
      </w:r>
    </w:p>
    <w:p w14:paraId="56A9F398" w14:textId="02695FBE" w:rsidR="00200E87"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50F2E98E" w14:textId="77777777" w:rsidR="00200E87" w:rsidRPr="00511005" w:rsidRDefault="00200E87" w:rsidP="003A292D">
      <w:pPr>
        <w:spacing w:line="264" w:lineRule="auto"/>
        <w:ind w:firstLine="0"/>
        <w:jc w:val="left"/>
        <w:rPr>
          <w:rFonts w:ascii="Arial" w:eastAsia="Times New Roman" w:hAnsi="Arial" w:cs="Arial"/>
          <w:szCs w:val="28"/>
          <w:lang w:val="uk-UA" w:eastAsia="ru-RU"/>
        </w:rPr>
      </w:pPr>
    </w:p>
    <w:p w14:paraId="11F6D68A" w14:textId="77777777" w:rsidR="00200E87" w:rsidRPr="00511005" w:rsidRDefault="00200E87"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ПРОБЛЕМИ КВАЛІФІКАЦІЇ ДЕРЖАВНОЇ ЗРАДИ В УМОВАХ ВОЄННОГО СТАНУ</w:t>
      </w:r>
    </w:p>
    <w:p w14:paraId="45911977" w14:textId="77777777" w:rsidR="00200E87" w:rsidRPr="00511005" w:rsidRDefault="00200E87" w:rsidP="003A292D">
      <w:pPr>
        <w:spacing w:line="264" w:lineRule="auto"/>
        <w:ind w:firstLine="0"/>
        <w:jc w:val="center"/>
        <w:rPr>
          <w:rFonts w:ascii="Arial" w:eastAsia="Times New Roman" w:hAnsi="Arial" w:cs="Arial"/>
          <w:b/>
          <w:szCs w:val="28"/>
          <w:lang w:val="uk-UA" w:eastAsia="ru-RU"/>
        </w:rPr>
      </w:pPr>
    </w:p>
    <w:p w14:paraId="6A8ABFF2"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Державна зрада є одним із найнебезпечніших злочинів, спрямованих проти основ існування держави, її суверенітету, цілісності та безпеки. В умовах збройної агресії Російської Федерації проти України та запровадження воєнного стану питання правильної юридичної кваліфікації діянь, що можуть розглядатися як державна зрада, набуває виняткової актуальності. </w:t>
      </w:r>
    </w:p>
    <w:p w14:paraId="67F29F52"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Одним із найтяжчих кримінальних правопорушень, що посягає на засади національної безпеки України, є державна зрада, відповідальність за яку закріплена у статті 111 Кримінального кодексу України. Згідно з цим положенням, державна зрада полягає у свідомих діях громадянина України, спрямованих на завдання шкоди суверенітету, територіальній цілісності, недоторканності, обороноздатності, а також державній, економічній або інформаційній безпеці країни. Такими діями можуть бути, зокрема, добровільний перехід на сторону противника під час війни чи збройного конфлікту, здійснення шпигунської діяльності, а також надання підтримки іноземним державам, організаціям чи їхнім представникам у підривній діяльності проти України [1].</w:t>
      </w:r>
    </w:p>
    <w:p w14:paraId="61D70905"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Під збройним конфліктом розуміють бойове протистояння, що може відбуватися як між двома або більше державами (міждержавний або прикордонний конфлікт), так і між протиборчими силами в межах однієї країни, часто за участі або підтримки зовнішніх факторів (внутрішній збройний конфлікт) [2].</w:t>
      </w:r>
    </w:p>
    <w:p w14:paraId="1181E4CD"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Закон України №2108-IX, ухвалений 3 березня 2022 року, вніс суттєві зміни до Кримінального кодексу України. Зокрема, документ доповнив кодекс новими статтями - 111–1 «Колабораційна діяльність» та 111–2 «Сприяння державі-агресору». Ці норми розширили інструментарій правоохоронних органів і судів у боротьбі з антидержавною діяльністю, дозволивши більш чітко кваліфікувати дії, що шкодять інтересам національної безпеки.</w:t>
      </w:r>
    </w:p>
    <w:p w14:paraId="3F335A19"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Крім того, закон №2113-IX, прийнятий у той же день, конкретизував зміст статей 111 «Державна зрада» та 113 «Диверсія», надавши чіткіші правові орієнтири для кваліфікації таких діянь [3]. До Кримінального кодексу були також внесені інші важливі доповнення, зокрема стаття 114–2, що встановлює кримінальну відповідальність за несанкціоноване розповсюдження відомостей про переміщення чи розміщення озброєння, бойових припасів, підрозділів Збройних Сил України або інших військових формувань під час дії воєнного або надзвичайного стану [4].</w:t>
      </w:r>
    </w:p>
    <w:p w14:paraId="301451D1"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Невід’ємною характеристикою суб’єкта злочину у випадку державної зради є вік, з якого настає кримінальна відповідальність. Згідно з частиною першою статті 22 Кримінального кодексу України, до кримінальної відповідальності можуть бути притягнуті особи, які досягли 16-річного віку на момент вчинення діяння. Частина друга тієї ж статті передбачає виключення, коли відповідальність може наставати з 14 років, але у цьому переліку не зазначено статтю 111 КК України. Таким чином, суб’єктом державної зради може бути лише особа, якій виповнилося не менше 16 років [5, с. 303].</w:t>
      </w:r>
    </w:p>
    <w:p w14:paraId="16938583"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Деякі науковці звертають увагу на те, що у випадках, коли державну зраду вчиняє посадова особа, таке діяння слід кваліфікувати за сукупністю кримінальних правопорушень. Зокрема, окрім ст. 111 Кримінального кодексу України, можуть застосовуватися також положення ст. 364 (зловживання владою або службовим становищем) або ст. 368 (одержання неправомірної вигоди посадовою особою). Це означає, що за наявності відповідних ознак діяння одночасно матиме ознаки як державної зради, так і корупційного чи службового злочину [6, с. 82].</w:t>
      </w:r>
    </w:p>
    <w:p w14:paraId="3475AA1D"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Варто акцентувати увагу на змінах у санкціях, передбачених за державну зраду, що були внесені після 24 лютого 2022 року. Згідно з оновленим змістом статті 111 Кримінального кодексу України, за вчинення цього злочину передбачене покарання у вигляді позбавлення волі на строк від 12 до 15 років, із можливістю застосування конфіскації майна або без неї. Водночас, якщо такий злочин вчиняється особою під час дії воєнного стану, частина друга статті 111 передбачає суворіше покарання - позбавлення волі </w:t>
      </w:r>
      <w:r w:rsidRPr="00511005">
        <w:rPr>
          <w:rFonts w:ascii="Arial" w:eastAsia="Times New Roman" w:hAnsi="Arial" w:cs="Arial"/>
          <w:szCs w:val="28"/>
          <w:lang w:val="uk-UA" w:eastAsia="ru-RU"/>
        </w:rPr>
        <w:lastRenderedPageBreak/>
        <w:t>строком на 15 років або довічне ув’язнення з обов’язковою конфіскацією майна. Таке посилення санкцій обґрунтовується підвищеним рівнем суспільної небезпеки злочину, вчиненого в умовах воєнного стану, коли його наслідки можуть мати особливо тяжкі наслідки для державної безпеки [7, с. 575–581].</w:t>
      </w:r>
    </w:p>
    <w:p w14:paraId="210BE4DE" w14:textId="77777777" w:rsidR="00200E87" w:rsidRPr="00511005" w:rsidRDefault="00200E87" w:rsidP="003A292D">
      <w:pPr>
        <w:pBdr>
          <w:top w:val="nil"/>
          <w:left w:val="nil"/>
          <w:bottom w:val="nil"/>
          <w:right w:val="nil"/>
          <w:between w:val="nil"/>
        </w:pBd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Особливої уваги потребує розмежування державної зради зі спорідненими правопорушеннями, такими як шпигунство, пособництво ворогу чи колабораційна діяльність. Недосконалість формулювань окремих норм Кримінального кодексу та неоднорідність судової практики вимагають подальшої кодифікації і деталізації правових норм.</w:t>
      </w:r>
    </w:p>
    <w:p w14:paraId="6057D351" w14:textId="77777777" w:rsidR="00200E87" w:rsidRPr="00511005" w:rsidRDefault="00200E87" w:rsidP="003A292D">
      <w:pPr>
        <w:pBdr>
          <w:top w:val="nil"/>
          <w:left w:val="nil"/>
          <w:bottom w:val="nil"/>
          <w:right w:val="nil"/>
          <w:between w:val="nil"/>
        </w:pBd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боротьба з державною зрадою в умовах війни вимагає не лише жорстких заходів, а й чіткого правового регулювання, забезпечення належної доказової бази та єдності у судовій практиці.</w:t>
      </w:r>
    </w:p>
    <w:p w14:paraId="2452ACE2" w14:textId="77777777" w:rsidR="00200E87" w:rsidRPr="00511005" w:rsidRDefault="00200E87" w:rsidP="003A292D">
      <w:pPr>
        <w:spacing w:line="264" w:lineRule="auto"/>
        <w:ind w:firstLine="0"/>
        <w:jc w:val="left"/>
        <w:rPr>
          <w:rFonts w:ascii="Arial" w:eastAsia="Times New Roman" w:hAnsi="Arial" w:cs="Arial"/>
          <w:szCs w:val="28"/>
          <w:lang w:val="uk-UA" w:eastAsia="ru-RU"/>
        </w:rPr>
      </w:pPr>
    </w:p>
    <w:p w14:paraId="12BF2781" w14:textId="2BD5C9B5" w:rsidR="00200E87"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4A5B4BB1" w14:textId="77777777" w:rsidR="00200E87" w:rsidRPr="00511005" w:rsidRDefault="00200E87" w:rsidP="003F6A5D">
      <w:pPr>
        <w:numPr>
          <w:ilvl w:val="0"/>
          <w:numId w:val="518"/>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Кримінальний кодекс України від 05.04.2001 №2341-ІІІ. Відомості Верховної Ради України. 2001. №25–26. Ст. 149.</w:t>
      </w:r>
    </w:p>
    <w:p w14:paraId="5C630806" w14:textId="77777777" w:rsidR="007B2628" w:rsidRPr="00511005" w:rsidRDefault="00200E87" w:rsidP="003F6A5D">
      <w:pPr>
        <w:numPr>
          <w:ilvl w:val="0"/>
          <w:numId w:val="518"/>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Закон України «Про національну безпеку України» від</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21.06.2018 № 2469-VIII</w:t>
      </w:r>
      <w:r w:rsidRPr="00511005">
        <w:rPr>
          <w:rFonts w:ascii="Arial" w:eastAsia="Times New Roman" w:hAnsi="Arial" w:cs="Arial"/>
          <w:b/>
          <w:szCs w:val="28"/>
          <w:lang w:val="uk-UA" w:eastAsia="ru-RU"/>
        </w:rPr>
        <w:t xml:space="preserve"> </w:t>
      </w:r>
      <w:r w:rsidRPr="00511005">
        <w:rPr>
          <w:rFonts w:ascii="Arial" w:eastAsia="Times New Roman" w:hAnsi="Arial" w:cs="Arial"/>
          <w:szCs w:val="28"/>
          <w:lang w:val="uk-UA" w:eastAsia="ru-RU"/>
        </w:rPr>
        <w:t>Відомості Верховної Ради (ВВР), 2018, № 31, ст.241</w:t>
      </w:r>
    </w:p>
    <w:p w14:paraId="0CA485A7" w14:textId="689CA496" w:rsidR="00200E87" w:rsidRPr="00511005" w:rsidRDefault="00200E87" w:rsidP="003F6A5D">
      <w:pPr>
        <w:numPr>
          <w:ilvl w:val="0"/>
          <w:numId w:val="518"/>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Про внесення змін до Кримінального кодексу України щодо посилення відповідальності за злочини проти основ національної безпеки України в умовах дії режиму воєнного стану : Закон України від 03.03.2022 № 2113-IX. URL: https:// zakon.rada.gov.ua/laws/show/2113–20#Text</w:t>
      </w:r>
    </w:p>
    <w:p w14:paraId="1EA80633" w14:textId="77777777" w:rsidR="00200E87" w:rsidRPr="00511005" w:rsidRDefault="00200E87" w:rsidP="003F6A5D">
      <w:pPr>
        <w:numPr>
          <w:ilvl w:val="0"/>
          <w:numId w:val="518"/>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Про внесення змін до Кримінального кодексу України : Закон України від 24.03.2022 №2160-IX. URL: </w:t>
      </w:r>
      <w:hyperlink r:id="rId1830" w:anchor="Text" w:history="1">
        <w:r w:rsidRPr="00511005">
          <w:rPr>
            <w:rFonts w:ascii="Arial" w:eastAsia="Times New Roman" w:hAnsi="Arial" w:cs="Arial"/>
            <w:szCs w:val="28"/>
            <w:lang w:val="uk-UA" w:eastAsia="ru-RU"/>
          </w:rPr>
          <w:t>https://zakon.rada.gov.ua/laws/show/2160–20#Text</w:t>
        </w:r>
      </w:hyperlink>
    </w:p>
    <w:p w14:paraId="2F02A4A6" w14:textId="77777777" w:rsidR="00200E87" w:rsidRPr="00511005" w:rsidRDefault="00200E87" w:rsidP="003F6A5D">
      <w:pPr>
        <w:numPr>
          <w:ilvl w:val="0"/>
          <w:numId w:val="518"/>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Левчук-Микитюк А. Визначення суб’єкта складу злочину «державна зрада». В: Науково-практичний журнал «Підприємництво, господарство і право», №4, 2020. c. 302-309.</w:t>
      </w:r>
      <w:bookmarkStart w:id="213" w:name="_heading=h.4asnlnlu5zke" w:colFirst="0" w:colLast="0"/>
      <w:bookmarkEnd w:id="213"/>
    </w:p>
    <w:p w14:paraId="1BC7B05D" w14:textId="77777777" w:rsidR="007B2628" w:rsidRPr="00511005" w:rsidRDefault="00200E87" w:rsidP="003F6A5D">
      <w:pPr>
        <w:numPr>
          <w:ilvl w:val="0"/>
          <w:numId w:val="518"/>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Дудник В., Нікітін Ю. Кримінально-правова характеристика державної зради. Теорія і практика сучасної науки та освіти : матеріали ІІІ міжнар. науково-практ. конф. (м. Львів, 20–21 трав. 2021 р.). Львів, 2021. С. 82–84. URL: https://ir.lib.vntu.edu.ua/ bitstream/handle/123456789/32225/травень%202021–2 %20(1).pdf?sequence=1&amp;i sAllowed=y#page=83</w:t>
      </w:r>
    </w:p>
    <w:p w14:paraId="49FCADF1" w14:textId="5E37BFD8" w:rsidR="00200E87" w:rsidRPr="00511005" w:rsidRDefault="00200E87" w:rsidP="003F6A5D">
      <w:pPr>
        <w:numPr>
          <w:ilvl w:val="0"/>
          <w:numId w:val="518"/>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Мартиненко К. Деякі проблеми виявлення та розслідування державної зради в умовах воєнного стану. Юридичний науковий електронний журнал. 2022. №5. С. 575– 581. URL: http://lsej.org.ua/5_2022/138.pdf</w:t>
      </w:r>
    </w:p>
    <w:p w14:paraId="7DA9C48C" w14:textId="77777777" w:rsidR="00200E87" w:rsidRPr="00511005" w:rsidRDefault="00200E87" w:rsidP="003A292D">
      <w:pPr>
        <w:spacing w:line="264" w:lineRule="auto"/>
        <w:ind w:firstLine="0"/>
        <w:rPr>
          <w:rFonts w:ascii="Arial" w:eastAsia="Times New Roman" w:hAnsi="Arial" w:cs="Arial"/>
          <w:b/>
          <w:szCs w:val="28"/>
          <w:lang w:val="uk-UA" w:eastAsia="ru-RU"/>
        </w:rPr>
      </w:pPr>
    </w:p>
    <w:p w14:paraId="74E6326E" w14:textId="5DCD3F49" w:rsidR="00200E87"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200E87" w:rsidRPr="00511005">
        <w:rPr>
          <w:rFonts w:ascii="Arial" w:eastAsia="Times New Roman" w:hAnsi="Arial" w:cs="Arial"/>
          <w:szCs w:val="28"/>
          <w:lang w:val="uk-UA" w:eastAsia="ru-RU"/>
        </w:rPr>
        <w:t>кваліфікація, державна зрада, злочин, конфлікт, воєнний стан, санкції.</w:t>
      </w:r>
    </w:p>
    <w:p w14:paraId="3E29A4AA" w14:textId="28C27908" w:rsidR="00200E87" w:rsidRPr="00511005" w:rsidRDefault="007B2628" w:rsidP="003A292D">
      <w:pPr>
        <w:spacing w:line="264" w:lineRule="auto"/>
        <w:ind w:firstLine="0"/>
        <w:rPr>
          <w:rFonts w:ascii="Arial" w:eastAsia="Calibri" w:hAnsi="Arial" w:cs="Arial"/>
          <w:szCs w:val="28"/>
          <w:shd w:val="clear" w:color="auto" w:fill="F7F7F7"/>
          <w:lang w:val="uk-UA" w:eastAsia="ru-RU"/>
        </w:rPr>
      </w:pPr>
      <w:r w:rsidRPr="00511005">
        <w:rPr>
          <w:rFonts w:ascii="Arial" w:eastAsia="Calibri" w:hAnsi="Arial" w:cs="Arial"/>
          <w:b/>
          <w:i/>
          <w:szCs w:val="28"/>
          <w:shd w:val="clear" w:color="auto" w:fill="F7F7F7"/>
          <w:lang w:val="uk-UA" w:eastAsia="ru-RU"/>
        </w:rPr>
        <w:t xml:space="preserve">Key words: </w:t>
      </w:r>
      <w:r w:rsidR="00200E87" w:rsidRPr="00511005">
        <w:rPr>
          <w:rFonts w:ascii="Arial" w:eastAsia="Calibri" w:hAnsi="Arial" w:cs="Arial"/>
          <w:szCs w:val="28"/>
          <w:shd w:val="clear" w:color="auto" w:fill="F7F7F7"/>
          <w:lang w:val="uk-UA" w:eastAsia="ru-RU"/>
        </w:rPr>
        <w:t>qualification, treason, crime, conflict, martial law, sanctions.</w:t>
      </w:r>
    </w:p>
    <w:p w14:paraId="5E9EED97" w14:textId="77777777" w:rsidR="00200E87" w:rsidRPr="00511005" w:rsidRDefault="00200E87" w:rsidP="003A292D">
      <w:pPr>
        <w:spacing w:line="264" w:lineRule="auto"/>
        <w:ind w:firstLine="0"/>
        <w:rPr>
          <w:rFonts w:ascii="Arial" w:eastAsia="Times New Roman" w:hAnsi="Arial" w:cs="Arial"/>
          <w:szCs w:val="28"/>
          <w:lang w:val="uk-UA" w:eastAsia="ru-RU"/>
        </w:rPr>
      </w:pPr>
    </w:p>
    <w:p w14:paraId="120D9FE9" w14:textId="3DF946AE" w:rsidR="00200E87" w:rsidRPr="00511005" w:rsidRDefault="007B2628" w:rsidP="003A292D">
      <w:pPr>
        <w:spacing w:line="264" w:lineRule="auto"/>
        <w:ind w:firstLine="0"/>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00E87" w:rsidRPr="00511005">
        <w:rPr>
          <w:rFonts w:ascii="Arial" w:eastAsia="Times New Roman" w:hAnsi="Arial" w:cs="Arial"/>
          <w:i/>
          <w:szCs w:val="28"/>
          <w:lang w:val="uk-UA" w:eastAsia="ru-RU"/>
        </w:rPr>
        <w:t xml:space="preserve">д.ю.н.. доцент Степаненко О. В. </w:t>
      </w:r>
    </w:p>
    <w:p w14:paraId="2FBC7042" w14:textId="77777777" w:rsidR="00200E87" w:rsidRPr="00511005" w:rsidRDefault="00200E87" w:rsidP="003A292D">
      <w:pPr>
        <w:spacing w:line="264" w:lineRule="auto"/>
        <w:ind w:firstLine="0"/>
        <w:jc w:val="center"/>
        <w:rPr>
          <w:rFonts w:ascii="Arial" w:eastAsia="Calibri" w:hAnsi="Arial" w:cs="Arial"/>
          <w:b/>
          <w:szCs w:val="28"/>
          <w:lang w:val="uk-UA"/>
        </w:rPr>
      </w:pPr>
    </w:p>
    <w:p w14:paraId="4DE2F4D7" w14:textId="77777777" w:rsidR="00200E87" w:rsidRPr="00511005" w:rsidRDefault="00200E87" w:rsidP="003A292D">
      <w:pPr>
        <w:spacing w:line="264" w:lineRule="auto"/>
        <w:ind w:firstLine="0"/>
        <w:jc w:val="center"/>
        <w:rPr>
          <w:rFonts w:ascii="Arial" w:eastAsia="Calibri" w:hAnsi="Arial" w:cs="Arial"/>
          <w:b/>
          <w:szCs w:val="28"/>
          <w:lang w:val="uk-UA"/>
        </w:rPr>
      </w:pPr>
    </w:p>
    <w:p w14:paraId="16D7CE26" w14:textId="77777777" w:rsidR="00200E87" w:rsidRPr="00511005" w:rsidRDefault="00200E87"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Костенко Олександр Сергійович</w:t>
      </w:r>
    </w:p>
    <w:p w14:paraId="700C4CD0" w14:textId="2F26B27E" w:rsidR="00200E8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 2-го курсу </w:t>
      </w:r>
      <w:r w:rsidR="00200E87" w:rsidRPr="00511005">
        <w:rPr>
          <w:rFonts w:ascii="Arial" w:eastAsia="Times New Roman" w:hAnsi="Arial" w:cs="Arial"/>
          <w:szCs w:val="28"/>
          <w:lang w:val="uk-UA" w:eastAsia="ru-RU"/>
        </w:rPr>
        <w:t>факультету цивільної та господарської юстиції</w:t>
      </w:r>
      <w:r w:rsidR="00200E87"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46480AD2" w14:textId="77777777" w:rsidR="00200E87" w:rsidRPr="00511005" w:rsidRDefault="00200E87" w:rsidP="003A292D">
      <w:pPr>
        <w:spacing w:line="264" w:lineRule="auto"/>
        <w:ind w:firstLine="0"/>
        <w:jc w:val="center"/>
        <w:rPr>
          <w:rFonts w:ascii="Arial" w:eastAsia="Times New Roman" w:hAnsi="Arial" w:cs="Arial"/>
          <w:szCs w:val="28"/>
          <w:lang w:val="uk-UA" w:eastAsia="ru-RU"/>
        </w:rPr>
      </w:pPr>
    </w:p>
    <w:p w14:paraId="79720C2D" w14:textId="77777777" w:rsidR="007B2628" w:rsidRPr="00511005" w:rsidRDefault="00200E87"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ПРАВОВІ АСПЕКТИ РЕГУЛЮВАННЯ ВІДПОВІДАЛЬНОСТІ ЗА ПОРУШЕННЯ БЕЗПЕКИ ДОРОЖНЬОГО РУХУ В СТАНІ СП'ЯНІННЯ</w:t>
      </w:r>
    </w:p>
    <w:p w14:paraId="54A0DEC4"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Безпека дорожнього руху є невід’ємною частиною у стабільному функціонуванні системи громадської безпеки. Зростання загальної кількості дорожньо – транспортних пригод (надалі - ДТП), і особливо тих, що спричинили заподіяння тілесних ушкоджень потерпілим, передбачених ст.ст 286, 286-1 КК України, зумовлює необхідність переосмислення та вдосконалення правового регулювання у цій сфері [1]. </w:t>
      </w:r>
    </w:p>
    <w:p w14:paraId="3A8EF66C"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 спираючись на статистичний звіт за 2024 рік [2], наданий Патрульною поліцією України, можна побачити негативний показник зростання загальної кількості ДТП, а саме: </w:t>
      </w:r>
    </w:p>
    <w:p w14:paraId="19905252" w14:textId="77777777" w:rsidR="00200E87" w:rsidRPr="00511005" w:rsidRDefault="00200E87" w:rsidP="003F6A5D">
      <w:pPr>
        <w:numPr>
          <w:ilvl w:val="0"/>
          <w:numId w:val="519"/>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Загальна кількість ДТП - +9% ;</w:t>
      </w:r>
    </w:p>
    <w:p w14:paraId="50B2D966" w14:textId="77777777" w:rsidR="00200E87" w:rsidRPr="00511005" w:rsidRDefault="00200E87" w:rsidP="003F6A5D">
      <w:pPr>
        <w:numPr>
          <w:ilvl w:val="0"/>
          <w:numId w:val="519"/>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Кількість ДТП з особами, що загинули – +4,9 %;</w:t>
      </w:r>
    </w:p>
    <w:p w14:paraId="784AEE13" w14:textId="77777777" w:rsidR="00200E87" w:rsidRPr="00511005" w:rsidRDefault="00200E87" w:rsidP="003F6A5D">
      <w:pPr>
        <w:numPr>
          <w:ilvl w:val="0"/>
          <w:numId w:val="519"/>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Кількість ДТП з травмованими особами - +8,5%. </w:t>
      </w:r>
    </w:p>
    <w:p w14:paraId="6D9C4ECD"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Зазначені показники свідчать про системність проблеми, яка вимагає організаційного та правового забезпечення задля її подолання. І одним із засобів протидії найбільш небезпечним проявам порушень правил безпеки дорожнього руху, що призводить до середньої тяжкості або тяжких тілесних ушкоджень, заподіяння смерті, є застосування кримінально - правових механізмів реагування на правопорушення у сфері безпеки дорожнього руху. </w:t>
      </w:r>
    </w:p>
    <w:p w14:paraId="20881113"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Особливе занепокоєння викликає той факт, що значна частина вищезгаданих ДТП були вчинені через перебування водіїв у стані сп’яніння (алкогольного чи наркотичного). Зокрема, за словами першого заступника начальника Департаменту патрульної поліції Білошицького О., лише у 2024 році було зафіксовано понад 1000 дорожньо-транспортних пригод, вчинених водіями у стані сп’яніння, внаслідок яких 110 осіб загинуло, а ще 1302 особи отримали тілесні ушкодження різного ступеня тяжкості [3].</w:t>
      </w:r>
    </w:p>
    <w:p w14:paraId="1F03D075"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цьому контексті особливої уваги набуває аналіз правових аспектів регулювання кримінальної відповідальності, передбачених вищезазначеними статтями Особливої частини КК України. Запровадження ст. 286-1 КК України стало результатом ухвалення Закону України «Про внесення змін до деяких законодавчих актів України щодо посилення відповідальності за окремі правопорушення у сфері безпеки дорожнього </w:t>
      </w:r>
      <w:r w:rsidRPr="00511005">
        <w:rPr>
          <w:rFonts w:ascii="Arial" w:eastAsia="Times New Roman" w:hAnsi="Arial" w:cs="Arial"/>
          <w:szCs w:val="28"/>
          <w:lang w:val="uk-UA" w:eastAsia="ru-RU"/>
        </w:rPr>
        <w:lastRenderedPageBreak/>
        <w:t xml:space="preserve">руху» від 16 лютого 2021 року </w:t>
      </w:r>
      <w:r w:rsidRPr="00511005">
        <w:rPr>
          <w:rFonts w:ascii="Arial" w:eastAsia="Times New Roman" w:hAnsi="Arial" w:cs="Arial"/>
          <w:szCs w:val="28"/>
          <w:lang w:val="uk-UA" w:eastAsia="ru-RU"/>
        </w:rPr>
        <w:br/>
        <w:t xml:space="preserve">№ 1231-IX [4], та призвело до фактичного визнання факту керування транспортним засобом у стані сп’яніння як самостійний криміноутворюючий фактор. Формуванню цього окремого складу злочину передувала позиція Великої Палати Верховного Суду, викладена у постанові від 21.08.2019р. у справі № 682/956/17 (провадження № 13-31кс19), де остаточно була сформована позиція, що керування у стані сп’яніння не є елементом об’єктивної сторони злочину, передбаченого ст. 286 КК України, а має розглядатися як обставина, що обтяжує покарання [5]. Варто також зауважити, що вказаним Законом також було передбачено суворе обмеження застосування заохочувальних норм КК до осіб, що вчинили такий злочин (ст. 286-1 КК), а саме: обмежено можливість звільнення від кримінальної відповідальності за умов, передбачених ст. 45-47 КК, обмежено звільнення від покарання та його відбування з підстав, передбачених ч. 4 ст. 74 та ст. 75 КК (з випробуванням), суворіші умови умовно-дострокового звільнення; внесено зміни в частині збільшення можливих строків позбавлення права керувати транспортними засобами як додаткового покарання - до десяти років (ст. 55 КК). </w:t>
      </w:r>
    </w:p>
    <w:p w14:paraId="7060E813"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 наведеного можна зробити висновок, що правовий механізм дозволяє убезпечити ризики повторних порушень безпеки дорожнього руху з боку осіб, які вже бути притягнуті до кримінальної відповідальності, оскільки засуджені у таких справах особи мають обов’язково спочатку відбути покарання у вигляді позбавлення волі, а потім ще на тривалий термін позбавлені права управляти транспортним засобом. Натомість, практикою формуються шляхи ухилення від реального відбування покарання у вигляді позбавлення волі та його призначення за такий злочин, а правоохоронні органи не мають об’єктивної можливості проконтролювати виконання покарання у вигляді позбавлення права керувати транспортними засобами конкретною особою. </w:t>
      </w:r>
    </w:p>
    <w:p w14:paraId="50B41D5C"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Звертаючись до сучасної судової практики, слід зазначити, що суди чітко розмежовують застосування статей 286 та 286-1 КК України залежно від настання суспільно небезпечних наслідків та обставин вчинення правопорушення. </w:t>
      </w:r>
    </w:p>
    <w:p w14:paraId="28D72106"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 у справі № 536/1503/22 особу було визнано винною за ч. 1 ст. 286-1 КК України за керування транспортним засобом у стані алкогольного сп’яніння з нанесенням потерпілому тілесних ушкоджень середньої тяжкості [6]. Суд призначив покарання у вигляді 1 року позбавлення волі з позбавленням права керування транспортними засобами строком на 3 роки. </w:t>
      </w:r>
    </w:p>
    <w:p w14:paraId="601AAB69"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Натомість у справі № 210/6307/14-к суд розглядав діяння за ч. 2 ст. 286 КК України, де водій, порушивши правила дорожнього руху, спричинив смерть особи. При цьому обвинувачений перебував у тверезому стані, тому стан сп’яніння не розглядався як обтяжуюча обставина [7]. Незважаючи на це, </w:t>
      </w:r>
      <w:r w:rsidRPr="00511005">
        <w:rPr>
          <w:rFonts w:ascii="Arial" w:eastAsia="Times New Roman" w:hAnsi="Arial" w:cs="Arial"/>
          <w:szCs w:val="28"/>
          <w:lang w:val="uk-UA" w:eastAsia="ru-RU"/>
        </w:rPr>
        <w:lastRenderedPageBreak/>
        <w:t>враховуючи тяжкість наслідків та характер порушень, суд призначив покарання у вигляді 4 років позбавлення волі.</w:t>
      </w:r>
    </w:p>
    <w:p w14:paraId="7A2EB8E0"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Підсумовуючи, зауважимо, що стан сучасної судової практики, динаміка зростання кількості ДТП та зростаючий рівень аварійності за участі водіїв у стані сп’яніння свідчать про проблемність у сфері забезпечення безпеки дорожнього руху. Попри вдосконалення механізмів використання ст. 286-1 КК України, залишається відкритим питання ефективності чинного правового регулювання, зокрема щодо: </w:t>
      </w:r>
    </w:p>
    <w:p w14:paraId="6D77727E" w14:textId="77777777" w:rsidR="00200E87" w:rsidRPr="00511005" w:rsidRDefault="00200E87" w:rsidP="003F6A5D">
      <w:pPr>
        <w:numPr>
          <w:ilvl w:val="0"/>
          <w:numId w:val="520"/>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превентивного впливу норм кримінального законодавства;</w:t>
      </w:r>
    </w:p>
    <w:p w14:paraId="1A703533" w14:textId="77777777" w:rsidR="00200E87" w:rsidRPr="00511005" w:rsidRDefault="00200E87" w:rsidP="003F6A5D">
      <w:pPr>
        <w:numPr>
          <w:ilvl w:val="0"/>
          <w:numId w:val="520"/>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відповідності призначених покарань рівню суспільної небезпеки вчинених правопорушень;</w:t>
      </w:r>
    </w:p>
    <w:p w14:paraId="5DB5AEE1" w14:textId="77777777" w:rsidR="00200E87" w:rsidRPr="00511005" w:rsidRDefault="00200E87" w:rsidP="003F6A5D">
      <w:pPr>
        <w:numPr>
          <w:ilvl w:val="0"/>
          <w:numId w:val="520"/>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і найголовніше - забезпечення реальної невідворотності кримінальної відповідальності.</w:t>
      </w:r>
    </w:p>
    <w:p w14:paraId="1E02E746" w14:textId="0BE40EB2"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Усі вищезгадані обставини вказують на необхідність комплексного переосмислення та вдосконалення кримінально-правових та організаційних</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механізмів, спрямованих на підвищення рівня безпеки дорожнього руху як складової системи громадської безпеки.</w:t>
      </w:r>
    </w:p>
    <w:p w14:paraId="706F33BB" w14:textId="77777777" w:rsidR="00200E87" w:rsidRPr="00511005" w:rsidRDefault="00200E87" w:rsidP="003A292D">
      <w:pPr>
        <w:keepNext/>
        <w:widowControl w:val="0"/>
        <w:spacing w:line="264" w:lineRule="auto"/>
        <w:ind w:firstLine="0"/>
        <w:jc w:val="center"/>
        <w:rPr>
          <w:rFonts w:ascii="Arial" w:eastAsia="Times New Roman" w:hAnsi="Arial" w:cs="Arial"/>
          <w:b/>
          <w:iCs/>
          <w:szCs w:val="28"/>
          <w:lang w:val="uk-UA" w:eastAsia="ru-RU"/>
        </w:rPr>
      </w:pPr>
    </w:p>
    <w:p w14:paraId="75207BD3" w14:textId="1BE80109" w:rsidR="00200E87" w:rsidRPr="00511005" w:rsidRDefault="007B2628" w:rsidP="007B2628">
      <w:pPr>
        <w:keepNext/>
        <w:widowControl w:val="0"/>
        <w:spacing w:line="264" w:lineRule="auto"/>
        <w:ind w:firstLine="0"/>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7A3B4742" w14:textId="77777777" w:rsidR="00200E87" w:rsidRPr="00511005" w:rsidRDefault="00200E87" w:rsidP="003F6A5D">
      <w:pPr>
        <w:numPr>
          <w:ilvl w:val="0"/>
          <w:numId w:val="521"/>
        </w:numPr>
        <w:spacing w:line="264" w:lineRule="auto"/>
        <w:contextualSpacing/>
        <w:jc w:val="left"/>
        <w:rPr>
          <w:rFonts w:ascii="Arial" w:eastAsia="Times New Roman" w:hAnsi="Arial" w:cs="Arial"/>
          <w:bCs/>
          <w:szCs w:val="28"/>
          <w:lang w:val="uk-UA" w:eastAsia="ru-RU"/>
        </w:rPr>
      </w:pPr>
      <w:r w:rsidRPr="00511005">
        <w:rPr>
          <w:rFonts w:ascii="Arial" w:eastAsia="Times New Roman" w:hAnsi="Arial" w:cs="Arial"/>
          <w:szCs w:val="28"/>
          <w:lang w:val="uk-UA" w:eastAsia="ru-RU"/>
        </w:rPr>
        <w:t xml:space="preserve">Кримінальний кодекс України від 05.04.2001. № 2341-III. URL: </w:t>
      </w:r>
      <w:r w:rsidR="005938AD">
        <w:fldChar w:fldCharType="begin"/>
      </w:r>
      <w:r w:rsidR="005938AD" w:rsidRPr="00055389">
        <w:rPr>
          <w:lang w:val="en-US"/>
        </w:rPr>
        <w:instrText xml:space="preserve"> HYP</w:instrText>
      </w:r>
      <w:r w:rsidR="005938AD" w:rsidRPr="00055389">
        <w:rPr>
          <w:lang w:val="en-US"/>
        </w:rPr>
        <w:instrText xml:space="preserve">ERLINK "https://zakon.rada.gov.ua/laws/show/2341-14" \l "Text" </w:instrText>
      </w:r>
      <w:r w:rsidR="005938AD">
        <w:fldChar w:fldCharType="separate"/>
      </w:r>
      <w:r w:rsidRPr="00511005">
        <w:rPr>
          <w:rFonts w:ascii="Arial" w:eastAsia="Times New Roman" w:hAnsi="Arial" w:cs="Arial"/>
          <w:szCs w:val="28"/>
          <w:lang w:val="uk-UA" w:eastAsia="ru-RU"/>
        </w:rPr>
        <w:t>https://zakon.rada.gov.ua/laws/show/2341-14#Text</w:t>
      </w:r>
      <w:r w:rsidR="005938AD">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xml:space="preserve"> </w:t>
      </w:r>
      <w:r w:rsidRPr="00511005">
        <w:rPr>
          <w:rFonts w:ascii="Arial" w:eastAsia="Times New Roman" w:hAnsi="Arial" w:cs="Arial"/>
          <w:bCs/>
          <w:szCs w:val="28"/>
          <w:lang w:val="uk-UA" w:eastAsia="ru-RU"/>
        </w:rPr>
        <w:t>.</w:t>
      </w:r>
    </w:p>
    <w:p w14:paraId="4F29A7AF" w14:textId="77777777" w:rsidR="00200E87" w:rsidRPr="00511005" w:rsidRDefault="00200E87" w:rsidP="003F6A5D">
      <w:pPr>
        <w:numPr>
          <w:ilvl w:val="0"/>
          <w:numId w:val="521"/>
        </w:numPr>
        <w:spacing w:line="264" w:lineRule="auto"/>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Патрульна поліція України. Статистика. URL: </w:t>
      </w:r>
      <w:hyperlink r:id="rId1831" w:history="1">
        <w:r w:rsidRPr="00511005">
          <w:rPr>
            <w:rFonts w:ascii="Arial" w:eastAsia="Times New Roman" w:hAnsi="Arial" w:cs="Arial"/>
            <w:bCs/>
            <w:szCs w:val="28"/>
            <w:lang w:val="uk-UA" w:eastAsia="ru-RU"/>
          </w:rPr>
          <w:t>https://patrolpolice.gov.ua/statystyka/</w:t>
        </w:r>
      </w:hyperlink>
      <w:r w:rsidRPr="00511005">
        <w:rPr>
          <w:rFonts w:ascii="Arial" w:eastAsia="Times New Roman" w:hAnsi="Arial" w:cs="Arial"/>
          <w:bCs/>
          <w:szCs w:val="28"/>
          <w:lang w:val="uk-UA" w:eastAsia="ru-RU"/>
        </w:rPr>
        <w:t>.</w:t>
      </w:r>
    </w:p>
    <w:p w14:paraId="0C12D665" w14:textId="77777777" w:rsidR="00200E87" w:rsidRPr="00511005" w:rsidRDefault="00200E87" w:rsidP="003F6A5D">
      <w:pPr>
        <w:numPr>
          <w:ilvl w:val="0"/>
          <w:numId w:val="521"/>
        </w:numPr>
        <w:spacing w:line="264" w:lineRule="auto"/>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 xml:space="preserve">Міністерство внутрішніх справ України. У МВС озвучили статистику ДТП за 2024 рік. МВС України. </w:t>
      </w:r>
      <w:r w:rsidRPr="00511005">
        <w:rPr>
          <w:rFonts w:ascii="Arial" w:eastAsia="Times New Roman" w:hAnsi="Arial" w:cs="Arial"/>
          <w:szCs w:val="28"/>
          <w:lang w:val="uk-UA" w:eastAsia="ru-RU"/>
        </w:rPr>
        <w:t>URL</w:t>
      </w:r>
      <w:r w:rsidRPr="00511005">
        <w:rPr>
          <w:rFonts w:ascii="Arial" w:eastAsia="Times New Roman" w:hAnsi="Arial" w:cs="Arial"/>
          <w:bCs/>
          <w:szCs w:val="28"/>
          <w:lang w:val="uk-UA" w:eastAsia="ru-RU"/>
        </w:rPr>
        <w:t>: https://mvs.gov.ua/news/u-mvs-ozvucili-statistiku-dtp-za-2024-rik .</w:t>
      </w:r>
    </w:p>
    <w:p w14:paraId="49B790CC" w14:textId="77777777" w:rsidR="00200E87" w:rsidRPr="00511005" w:rsidRDefault="00200E87" w:rsidP="003F6A5D">
      <w:pPr>
        <w:numPr>
          <w:ilvl w:val="0"/>
          <w:numId w:val="521"/>
        </w:numPr>
        <w:spacing w:line="264" w:lineRule="auto"/>
        <w:contextualSpacing/>
        <w:jc w:val="left"/>
        <w:rPr>
          <w:rFonts w:ascii="Arial" w:eastAsia="Times New Roman" w:hAnsi="Arial" w:cs="Arial"/>
          <w:bCs/>
          <w:szCs w:val="28"/>
          <w:lang w:val="uk-UA" w:eastAsia="ru-RU"/>
        </w:rPr>
      </w:pPr>
      <w:r w:rsidRPr="00511005">
        <w:rPr>
          <w:rFonts w:ascii="Arial" w:eastAsia="Times New Roman" w:hAnsi="Arial" w:cs="Arial"/>
          <w:szCs w:val="28"/>
          <w:lang w:val="uk-UA" w:eastAsia="ru-RU"/>
        </w:rPr>
        <w:t>«Про внесення змін до деяких законодавчих актів України щодо посилення відповідальності за окремі правопорушення у сфері безпеки дорожнього руху»</w:t>
      </w:r>
      <w:r w:rsidRPr="00511005">
        <w:rPr>
          <w:rFonts w:ascii="Arial" w:eastAsia="Times New Roman" w:hAnsi="Arial" w:cs="Arial"/>
          <w:bCs/>
          <w:szCs w:val="28"/>
          <w:lang w:val="uk-UA" w:eastAsia="ru-RU"/>
        </w:rPr>
        <w:t xml:space="preserve">: Закон України від </w:t>
      </w:r>
      <w:r w:rsidRPr="00511005">
        <w:rPr>
          <w:rFonts w:ascii="Arial" w:eastAsia="Times New Roman" w:hAnsi="Arial" w:cs="Arial"/>
          <w:szCs w:val="28"/>
          <w:lang w:val="uk-UA" w:eastAsia="ru-RU"/>
        </w:rPr>
        <w:t>16.02.21р. № 1231-IX</w:t>
      </w:r>
      <w:r w:rsidRPr="00511005">
        <w:rPr>
          <w:rFonts w:ascii="Arial" w:eastAsia="Times New Roman" w:hAnsi="Arial" w:cs="Arial"/>
          <w:bCs/>
          <w:szCs w:val="28"/>
          <w:lang w:val="uk-UA" w:eastAsia="ru-RU"/>
        </w:rPr>
        <w:t xml:space="preserve">. URL: </w:t>
      </w:r>
      <w:hyperlink r:id="rId1832" w:anchor="n122" w:history="1">
        <w:r w:rsidRPr="00511005">
          <w:rPr>
            <w:rFonts w:ascii="Arial" w:eastAsia="Times New Roman" w:hAnsi="Arial" w:cs="Arial"/>
            <w:bCs/>
            <w:szCs w:val="28"/>
            <w:lang w:val="uk-UA" w:eastAsia="ru-RU"/>
          </w:rPr>
          <w:t>https://zakon.rada.gov.ua/laws/show/1231-20#n122</w:t>
        </w:r>
      </w:hyperlink>
      <w:r w:rsidRPr="00511005">
        <w:rPr>
          <w:rFonts w:ascii="Arial" w:eastAsia="Times New Roman" w:hAnsi="Arial" w:cs="Arial"/>
          <w:bCs/>
          <w:szCs w:val="28"/>
          <w:lang w:val="uk-UA" w:eastAsia="ru-RU"/>
        </w:rPr>
        <w:t>.</w:t>
      </w:r>
    </w:p>
    <w:p w14:paraId="223AAD1D" w14:textId="77777777" w:rsidR="00200E87" w:rsidRPr="00511005" w:rsidRDefault="00200E87" w:rsidP="003F6A5D">
      <w:pPr>
        <w:numPr>
          <w:ilvl w:val="0"/>
          <w:numId w:val="521"/>
        </w:numPr>
        <w:spacing w:line="264" w:lineRule="auto"/>
        <w:contextualSpacing/>
        <w:jc w:val="left"/>
        <w:rPr>
          <w:rFonts w:ascii="Arial" w:eastAsia="Times New Roman" w:hAnsi="Arial" w:cs="Arial"/>
          <w:bCs/>
          <w:szCs w:val="28"/>
          <w:lang w:val="uk-UA" w:eastAsia="ru-RU"/>
        </w:rPr>
      </w:pPr>
      <w:r w:rsidRPr="00511005">
        <w:rPr>
          <w:rFonts w:ascii="Arial" w:eastAsia="Times New Roman" w:hAnsi="Arial" w:cs="Arial"/>
          <w:szCs w:val="28"/>
          <w:lang w:val="uk-UA" w:eastAsia="ru-RU"/>
        </w:rPr>
        <w:t xml:space="preserve">Велика Палата Верховного Суду. Стан сп’яніння не є елементом об’єктивної сторони злочину, передбаченого статтею 286 КК України. 21.08.2019. </w:t>
      </w:r>
      <w:r w:rsidRPr="00511005">
        <w:rPr>
          <w:rFonts w:ascii="Arial" w:eastAsia="Times New Roman" w:hAnsi="Arial" w:cs="Arial"/>
          <w:bCs/>
          <w:szCs w:val="28"/>
          <w:lang w:val="uk-UA" w:eastAsia="ru-RU"/>
        </w:rPr>
        <w:t>URL</w:t>
      </w:r>
      <w:r w:rsidRPr="00511005">
        <w:rPr>
          <w:rFonts w:ascii="Arial" w:eastAsia="Times New Roman" w:hAnsi="Arial" w:cs="Arial"/>
          <w:szCs w:val="28"/>
          <w:lang w:val="uk-UA" w:eastAsia="ru-RU"/>
        </w:rPr>
        <w:t xml:space="preserve">: https://supreme.court.gov.ua/supreme/pres-centr/news/779801/ </w:t>
      </w:r>
    </w:p>
    <w:p w14:paraId="4010048E" w14:textId="77777777" w:rsidR="00200E87" w:rsidRPr="00511005" w:rsidRDefault="00200E87" w:rsidP="003F6A5D">
      <w:pPr>
        <w:numPr>
          <w:ilvl w:val="0"/>
          <w:numId w:val="521"/>
        </w:numPr>
        <w:spacing w:line="264" w:lineRule="auto"/>
        <w:contextualSpacing/>
        <w:jc w:val="left"/>
        <w:rPr>
          <w:rFonts w:ascii="Arial" w:eastAsia="Times New Roman" w:hAnsi="Arial" w:cs="Arial"/>
          <w:bCs/>
          <w:szCs w:val="28"/>
          <w:lang w:val="uk-UA" w:eastAsia="ru-RU"/>
        </w:rPr>
      </w:pPr>
      <w:r w:rsidRPr="00511005">
        <w:rPr>
          <w:rFonts w:ascii="Arial" w:eastAsia="Times New Roman" w:hAnsi="Arial" w:cs="Arial"/>
          <w:szCs w:val="28"/>
          <w:lang w:val="uk-UA" w:eastAsia="ru-RU"/>
        </w:rPr>
        <w:t xml:space="preserve">Вирок Кременчуцького районного суду Полтавської області від 20.02.2023 у справі № 536/1503/22. URL: </w:t>
      </w:r>
      <w:hyperlink r:id="rId1833" w:history="1">
        <w:r w:rsidRPr="00511005">
          <w:rPr>
            <w:rFonts w:ascii="Arial" w:eastAsia="Times New Roman" w:hAnsi="Arial" w:cs="Arial"/>
            <w:szCs w:val="28"/>
            <w:lang w:val="uk-UA" w:eastAsia="ru-RU"/>
          </w:rPr>
          <w:t>https://reyestr.court.gov.ua/Review/109171298</w:t>
        </w:r>
      </w:hyperlink>
      <w:r w:rsidRPr="00511005">
        <w:rPr>
          <w:rFonts w:ascii="Arial" w:eastAsia="Times New Roman" w:hAnsi="Arial" w:cs="Arial"/>
          <w:szCs w:val="28"/>
          <w:lang w:val="uk-UA" w:eastAsia="ru-RU"/>
        </w:rPr>
        <w:t>.</w:t>
      </w:r>
    </w:p>
    <w:p w14:paraId="418B9F51" w14:textId="77777777" w:rsidR="00200E87" w:rsidRPr="00511005" w:rsidRDefault="00200E87" w:rsidP="003F6A5D">
      <w:pPr>
        <w:numPr>
          <w:ilvl w:val="0"/>
          <w:numId w:val="521"/>
        </w:numPr>
        <w:spacing w:line="264" w:lineRule="auto"/>
        <w:contextualSpacing/>
        <w:jc w:val="left"/>
        <w:rPr>
          <w:rFonts w:ascii="Arial" w:eastAsia="Times New Roman" w:hAnsi="Arial" w:cs="Arial"/>
          <w:bCs/>
          <w:szCs w:val="28"/>
          <w:lang w:val="uk-UA" w:eastAsia="ru-RU"/>
        </w:rPr>
      </w:pPr>
      <w:r w:rsidRPr="00511005">
        <w:rPr>
          <w:rFonts w:ascii="Arial" w:eastAsia="Times New Roman" w:hAnsi="Arial" w:cs="Arial"/>
          <w:szCs w:val="28"/>
          <w:lang w:val="uk-UA" w:eastAsia="ru-RU"/>
        </w:rPr>
        <w:t>Вирок Дзержинського районного суду м. Кривого Рогу Дніпропетровської області від 16.05.2024 у справі № 210/6307/14-к. URL: https://reyestr.court.gov.ua/Review/119101298 .</w:t>
      </w:r>
    </w:p>
    <w:p w14:paraId="246BB733" w14:textId="77777777" w:rsidR="00200E87" w:rsidRPr="00511005" w:rsidRDefault="00200E87" w:rsidP="003A292D">
      <w:pPr>
        <w:spacing w:line="264" w:lineRule="auto"/>
        <w:ind w:firstLine="0"/>
        <w:rPr>
          <w:rFonts w:ascii="Arial" w:eastAsia="Times New Roman" w:hAnsi="Arial" w:cs="Arial"/>
          <w:szCs w:val="28"/>
          <w:lang w:val="uk-UA" w:eastAsia="ru-RU"/>
        </w:rPr>
      </w:pPr>
    </w:p>
    <w:p w14:paraId="535FF206" w14:textId="2DBCE20C" w:rsidR="00200E87"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lastRenderedPageBreak/>
        <w:t xml:space="preserve">Ключові слова: </w:t>
      </w:r>
      <w:r w:rsidR="00200E87" w:rsidRPr="00511005">
        <w:rPr>
          <w:rFonts w:ascii="Arial" w:eastAsia="Times New Roman" w:hAnsi="Arial" w:cs="Arial"/>
          <w:szCs w:val="28"/>
          <w:lang w:val="uk-UA" w:eastAsia="ru-RU"/>
        </w:rPr>
        <w:t>безпека дорожнього руху, дорожньо-транспортна пригода, кримінальна відповідальність, стан сп’яніння, судова практика, криміналізація, позбавлення права.</w:t>
      </w:r>
    </w:p>
    <w:p w14:paraId="22D4A97F" w14:textId="3DE894FE" w:rsidR="00200E87" w:rsidRPr="00511005" w:rsidRDefault="007B2628" w:rsidP="003A292D">
      <w:pPr>
        <w:keepNext/>
        <w:spacing w:line="264" w:lineRule="auto"/>
        <w:ind w:firstLine="0"/>
        <w:rPr>
          <w:rFonts w:ascii="Arial" w:eastAsia="Times New Roman" w:hAnsi="Arial" w:cs="Arial"/>
          <w:bCs/>
          <w:szCs w:val="28"/>
          <w:lang w:val="uk-UA" w:eastAsia="ru-RU"/>
        </w:rPr>
      </w:pPr>
      <w:r w:rsidRPr="00511005">
        <w:rPr>
          <w:rFonts w:ascii="Arial" w:eastAsia="Times New Roman" w:hAnsi="Arial" w:cs="Arial"/>
          <w:b/>
          <w:i/>
          <w:szCs w:val="28"/>
          <w:lang w:val="uk-UA" w:eastAsia="ru-RU"/>
        </w:rPr>
        <w:t xml:space="preserve">Key words: </w:t>
      </w:r>
      <w:r w:rsidR="00200E87" w:rsidRPr="00511005">
        <w:rPr>
          <w:rFonts w:ascii="Arial" w:eastAsia="Times New Roman" w:hAnsi="Arial" w:cs="Arial"/>
          <w:bCs/>
          <w:szCs w:val="28"/>
          <w:lang w:val="uk-UA" w:eastAsia="ru-RU"/>
        </w:rPr>
        <w:t>road safety, road traffic accident, criminal liability, state of intoxication, case law, criminalization, deprivation of rights.</w:t>
      </w:r>
    </w:p>
    <w:p w14:paraId="53773465" w14:textId="77777777" w:rsidR="00200E87" w:rsidRPr="00511005" w:rsidRDefault="00200E87" w:rsidP="003A292D">
      <w:pPr>
        <w:keepNext/>
        <w:spacing w:line="264" w:lineRule="auto"/>
        <w:ind w:firstLine="0"/>
        <w:rPr>
          <w:rFonts w:ascii="Arial" w:eastAsia="Times New Roman" w:hAnsi="Arial" w:cs="Arial"/>
          <w:bCs/>
          <w:i/>
          <w:iCs/>
          <w:szCs w:val="28"/>
          <w:lang w:val="uk-UA" w:eastAsia="ru-RU"/>
        </w:rPr>
      </w:pPr>
    </w:p>
    <w:p w14:paraId="1F21D691" w14:textId="28B5EB31" w:rsidR="00200E87" w:rsidRPr="00511005" w:rsidRDefault="007B2628" w:rsidP="003A292D">
      <w:pPr>
        <w:keepNext/>
        <w:spacing w:line="264" w:lineRule="auto"/>
        <w:ind w:firstLine="0"/>
        <w:rPr>
          <w:rFonts w:ascii="Arial" w:eastAsia="Times New Roman" w:hAnsi="Arial" w:cs="Arial"/>
          <w:bCs/>
          <w:szCs w:val="28"/>
          <w:lang w:val="uk-UA" w:eastAsia="ru-RU"/>
        </w:rPr>
      </w:pPr>
      <w:r w:rsidRPr="00511005">
        <w:rPr>
          <w:rFonts w:ascii="Arial" w:eastAsia="Times New Roman" w:hAnsi="Arial" w:cs="Arial"/>
          <w:b/>
          <w:bCs/>
          <w:i/>
          <w:iCs/>
          <w:szCs w:val="28"/>
          <w:lang w:val="uk-UA" w:eastAsia="ru-RU"/>
        </w:rPr>
        <w:t xml:space="preserve">Науковий керівник: </w:t>
      </w:r>
      <w:r w:rsidR="00200E87" w:rsidRPr="00511005">
        <w:rPr>
          <w:rFonts w:ascii="Arial" w:eastAsia="Times New Roman" w:hAnsi="Arial" w:cs="Arial"/>
          <w:bCs/>
          <w:i/>
          <w:iCs/>
          <w:szCs w:val="28"/>
          <w:lang w:val="uk-UA" w:eastAsia="ru-RU"/>
        </w:rPr>
        <w:t>к.ю.н., доцент Горбачова</w:t>
      </w:r>
      <w:r w:rsidRPr="00511005">
        <w:rPr>
          <w:rFonts w:ascii="Arial" w:eastAsia="Times New Roman" w:hAnsi="Arial" w:cs="Arial"/>
          <w:bCs/>
          <w:i/>
          <w:iCs/>
          <w:szCs w:val="28"/>
          <w:lang w:val="uk-UA" w:eastAsia="ru-RU"/>
        </w:rPr>
        <w:t xml:space="preserve"> </w:t>
      </w:r>
      <w:r w:rsidR="00200E87" w:rsidRPr="00511005">
        <w:rPr>
          <w:rFonts w:ascii="Arial" w:eastAsia="Times New Roman" w:hAnsi="Arial" w:cs="Arial"/>
          <w:bCs/>
          <w:i/>
          <w:iCs/>
          <w:szCs w:val="28"/>
          <w:lang w:val="uk-UA" w:eastAsia="ru-RU"/>
        </w:rPr>
        <w:t>І. М.</w:t>
      </w:r>
    </w:p>
    <w:p w14:paraId="70314447" w14:textId="77777777" w:rsidR="00200E87" w:rsidRPr="00511005" w:rsidRDefault="00200E87" w:rsidP="003A292D">
      <w:pPr>
        <w:spacing w:line="264" w:lineRule="auto"/>
        <w:ind w:firstLine="0"/>
        <w:jc w:val="center"/>
        <w:rPr>
          <w:rFonts w:ascii="Arial" w:eastAsia="Calibri" w:hAnsi="Arial" w:cs="Arial"/>
          <w:b/>
          <w:szCs w:val="28"/>
          <w:lang w:val="uk-UA"/>
        </w:rPr>
      </w:pPr>
    </w:p>
    <w:p w14:paraId="2D153C33" w14:textId="77777777" w:rsidR="00200E87" w:rsidRPr="00511005" w:rsidRDefault="00200E87" w:rsidP="003A292D">
      <w:pPr>
        <w:spacing w:line="264" w:lineRule="auto"/>
        <w:ind w:firstLine="0"/>
        <w:jc w:val="center"/>
        <w:rPr>
          <w:rFonts w:ascii="Arial" w:eastAsia="Calibri" w:hAnsi="Arial" w:cs="Arial"/>
          <w:b/>
          <w:bCs/>
          <w:i/>
          <w:szCs w:val="28"/>
          <w:lang w:val="uk-UA"/>
        </w:rPr>
      </w:pPr>
      <w:r w:rsidRPr="00511005">
        <w:rPr>
          <w:rFonts w:ascii="Arial" w:eastAsia="Calibri" w:hAnsi="Arial" w:cs="Arial"/>
          <w:b/>
          <w:bCs/>
          <w:i/>
          <w:szCs w:val="28"/>
          <w:lang w:val="uk-UA"/>
        </w:rPr>
        <w:t>Кривінок Вікторія Андріївна</w:t>
      </w:r>
    </w:p>
    <w:p w14:paraId="22B3334A" w14:textId="0DF61B07" w:rsidR="00200E87" w:rsidRPr="00511005" w:rsidRDefault="00200E87"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студентки </w:t>
      </w:r>
      <w:r w:rsidR="007B2628" w:rsidRPr="00511005">
        <w:rPr>
          <w:rFonts w:ascii="Arial" w:eastAsia="Calibri" w:hAnsi="Arial" w:cs="Arial"/>
          <w:szCs w:val="28"/>
          <w:lang w:val="uk-UA"/>
        </w:rPr>
        <w:t>3-го курсу</w:t>
      </w:r>
      <w:r w:rsidRPr="00511005">
        <w:rPr>
          <w:rFonts w:ascii="Arial" w:eastAsia="Calibri" w:hAnsi="Arial" w:cs="Arial"/>
          <w:szCs w:val="28"/>
          <w:lang w:val="uk-UA"/>
        </w:rPr>
        <w:t xml:space="preserve"> факультету цивільної та господарської юстиції</w:t>
      </w:r>
    </w:p>
    <w:p w14:paraId="4FC371A7" w14:textId="77777777" w:rsidR="00200E87" w:rsidRPr="00511005" w:rsidRDefault="00200E87" w:rsidP="003A292D">
      <w:pPr>
        <w:spacing w:line="264" w:lineRule="auto"/>
        <w:ind w:right="-46" w:firstLine="0"/>
        <w:jc w:val="center"/>
        <w:rPr>
          <w:rFonts w:ascii="Arial" w:eastAsia="Calibri" w:hAnsi="Arial" w:cs="Arial"/>
          <w:szCs w:val="28"/>
          <w:lang w:val="uk-UA"/>
        </w:rPr>
      </w:pPr>
      <w:r w:rsidRPr="00511005">
        <w:rPr>
          <w:rFonts w:ascii="Arial" w:eastAsia="Calibri" w:hAnsi="Arial" w:cs="Arial"/>
          <w:szCs w:val="28"/>
          <w:lang w:val="uk-UA"/>
        </w:rPr>
        <w:t>Націoнальнoгo університету «Oдеська юридична академія»</w:t>
      </w:r>
    </w:p>
    <w:p w14:paraId="17EBF05B" w14:textId="77777777" w:rsidR="00200E87" w:rsidRPr="00511005" w:rsidRDefault="00200E87" w:rsidP="003A292D">
      <w:pPr>
        <w:spacing w:line="264" w:lineRule="auto"/>
        <w:ind w:right="-46" w:firstLine="0"/>
        <w:jc w:val="center"/>
        <w:rPr>
          <w:rFonts w:ascii="Arial" w:eastAsia="Calibri" w:hAnsi="Arial" w:cs="Arial"/>
          <w:i/>
          <w:szCs w:val="28"/>
          <w:lang w:val="uk-UA"/>
        </w:rPr>
      </w:pPr>
    </w:p>
    <w:p w14:paraId="5170A0FC" w14:textId="77777777" w:rsidR="00200E87" w:rsidRPr="00511005" w:rsidRDefault="00200E87" w:rsidP="003A292D">
      <w:pPr>
        <w:spacing w:line="264" w:lineRule="auto"/>
        <w:ind w:firstLine="0"/>
        <w:jc w:val="center"/>
        <w:rPr>
          <w:rFonts w:ascii="Arial" w:eastAsia="Calibri" w:hAnsi="Arial" w:cs="Arial"/>
          <w:b/>
          <w:szCs w:val="28"/>
        </w:rPr>
      </w:pPr>
      <w:r w:rsidRPr="00511005">
        <w:rPr>
          <w:rFonts w:ascii="Arial" w:eastAsia="Calibri" w:hAnsi="Arial" w:cs="Arial"/>
          <w:b/>
          <w:szCs w:val="28"/>
        </w:rPr>
        <w:t>КРИМІНАЛЬНО-ПРАВОВА ХАРАКТЕРИСТИКА КОЛАБОРАЦІЙНОЇ ДІЯЛЬНОСТІ В УКРАЇНІ</w:t>
      </w:r>
    </w:p>
    <w:p w14:paraId="68DCB9CA" w14:textId="77777777" w:rsidR="00200E87" w:rsidRPr="00511005" w:rsidRDefault="00200E87" w:rsidP="003A292D">
      <w:pPr>
        <w:spacing w:line="264" w:lineRule="auto"/>
        <w:ind w:firstLine="0"/>
        <w:jc w:val="center"/>
        <w:rPr>
          <w:rFonts w:ascii="Arial" w:eastAsia="Calibri" w:hAnsi="Arial" w:cs="Arial"/>
          <w:b/>
          <w:szCs w:val="28"/>
        </w:rPr>
      </w:pPr>
    </w:p>
    <w:p w14:paraId="76D056D7"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b/>
          <w:szCs w:val="28"/>
        </w:rPr>
        <w:tab/>
      </w:r>
      <w:r w:rsidRPr="00511005">
        <w:rPr>
          <w:rFonts w:ascii="Arial" w:eastAsia="Calibri" w:hAnsi="Arial" w:cs="Arial"/>
          <w:szCs w:val="28"/>
          <w:lang w:val="uk-UA"/>
        </w:rPr>
        <w:t>У березні 2022 року до Кримінального кодексу України було внесено статтю 111-1, якою передбачено кримінальну відповідальність за колабораційну діяльність. [1]</w:t>
      </w:r>
    </w:p>
    <w:p w14:paraId="31A07BDB" w14:textId="22F9A736"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Статтю 111-1 Кримінального кодексу України віднесено до Розділу I, що регламентує злочини, спрямовані проти основ національної безпеки держави. Цей розділ охоплює</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найнебезпечніші посягання, оскільки вони створюють пряму загрозу життєвоважливим інтересам особи, суспільства та держави. У зв’язку з цим виникає необхідність у здійсненні кримінально-правового аналізу колабораційної діяльності. [1]</w:t>
      </w:r>
    </w:p>
    <w:p w14:paraId="74BC3CDF"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Аналізована стаття складається з восьми частин і охоплює широкий спектр кримінальних правопорушень, пов’язаних зі співпрацею з державою-агресором. Чітке формулювання та розмежування таких діянь має вирішальне значення для забезпечення дієвого кримінального переслідування та призначення справедливого покарання винним особам. В українському законодавстві термін «колабораційна діяльність» трактується як взаємодія з окупаційною владою або агресором з метою сприяння їхнім діям чи надання підтримки. [1]</w:t>
      </w:r>
    </w:p>
    <w:p w14:paraId="74783FAE"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В колабораційній діяльності можна виокремити щонайменше три характерні ознаки. Насамперед, це активність осіб (переважно громадян України), спрямована на взаємодію з державою-агресором у спосіб, що завдає шкоди інтересам України. Другою ознакою є те, що такі дії відбуваються в умовах тимчасової окупації територій. Третьою рисою є різний характер участі — колаборація може здійснюватися як добровільно, так і під примусом.</w:t>
      </w:r>
      <w:r w:rsidRPr="00511005">
        <w:rPr>
          <w:rFonts w:ascii="Arial" w:eastAsia="Calibri" w:hAnsi="Arial" w:cs="Arial"/>
          <w:szCs w:val="28"/>
          <w:lang w:val="uk-UA"/>
        </w:rPr>
        <w:tab/>
        <w:t xml:space="preserve">Національна безпека України виступає об’єктом кримінального правопорушення, передбаченого статтею 111-1 Кримінального кодексу України. Під цим поняттям мається на увазі забезпечення захищеності державного суверенітету, територіальної </w:t>
      </w:r>
      <w:r w:rsidRPr="00511005">
        <w:rPr>
          <w:rFonts w:ascii="Arial" w:eastAsia="Calibri" w:hAnsi="Arial" w:cs="Arial"/>
          <w:szCs w:val="28"/>
          <w:lang w:val="uk-UA"/>
        </w:rPr>
        <w:lastRenderedPageBreak/>
        <w:t>цілісності, демократичного ладу, а також інших ключових інтересів держави від як фактичних, так і можливих загроз. Згідно з частиною 8 статті 111-1 КК України, також встановлено наявність додаткового обов'язкового безпосереднього об’єкта, таким як життя особи або право власності. [1]</w:t>
      </w:r>
    </w:p>
    <w:p w14:paraId="442FDC0A"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Об’єктивна сторона колабораційної діяльності охоплює перелік дій, визначених у частинах 1–8 статті 111-1 Кримінального кодексу України, які становлять співпрацю з державою-агресором і утворюють окремі склади кримінальних правопорушень. До таких дій належать як відкриті, так і приховані вчинки, спрямовані на підтримку агресора або окупаційної влади: публічні заяви, добровільне обіймання громадянином України посад у незаконних органах влади, що функціонують на тимчасово окупованих територіях, передача ресурсів, організація заходів та інші подібні дії. [5]</w:t>
      </w:r>
    </w:p>
    <w:p w14:paraId="7B193FC6"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lang w:val="uk-UA"/>
        </w:rPr>
        <w:tab/>
        <w:t xml:space="preserve">Наступним складовим елементом кримінально-правової характеристики колабораційної діяльності виступає її суб’єкт. </w:t>
      </w:r>
      <w:r w:rsidRPr="00511005">
        <w:rPr>
          <w:rFonts w:ascii="Arial" w:eastAsia="Calibri" w:hAnsi="Arial" w:cs="Arial"/>
          <w:szCs w:val="28"/>
        </w:rPr>
        <w:t>Аналізуючи статтю 111-1 КК України, можна визначити, що суб’єкт злочину є спеціальним. Це обумовлено наявністю додаткової ознаки, що характеризує суб’єкта правопорушення — громадянство України, що вказано в частинах 1, 2, 3, 5, 7 цієї статті. Однак кримінальні правопорушення, передбачені частинами 4 і 6 цієї статті, можуть скоюватися загальним суб’єктом.</w:t>
      </w:r>
      <w:r w:rsidRPr="00511005">
        <w:rPr>
          <w:rFonts w:ascii="Arial" w:eastAsia="Calibri" w:hAnsi="Arial" w:cs="Arial"/>
          <w:szCs w:val="28"/>
          <w:lang w:val="uk-UA"/>
        </w:rPr>
        <w:t xml:space="preserve"> [2]</w:t>
      </w:r>
    </w:p>
    <w:p w14:paraId="12B08E76"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 xml:space="preserve">Крім того, для кримінально-правової кваліфікації важливим є місце скоєння правопорушення. Так, у частинах 1 і 6 місцем вчинення колабораційної діяльності не обов'язково мають бути лише окуповані території, оскільки законодавець не вказав це чітко в диспозиції. Отже, правопорушення може бути скоєне </w:t>
      </w:r>
      <w:proofErr w:type="gramStart"/>
      <w:r w:rsidRPr="00511005">
        <w:rPr>
          <w:rFonts w:ascii="Arial" w:eastAsia="Calibri" w:hAnsi="Arial" w:cs="Arial"/>
          <w:szCs w:val="28"/>
        </w:rPr>
        <w:t>в будь</w:t>
      </w:r>
      <w:proofErr w:type="gramEnd"/>
      <w:r w:rsidRPr="00511005">
        <w:rPr>
          <w:rFonts w:ascii="Arial" w:eastAsia="Calibri" w:hAnsi="Arial" w:cs="Arial"/>
          <w:szCs w:val="28"/>
        </w:rPr>
        <w:t>-якій частині України. Склад цього кримінального правопорушення є формальним, оскільки не вимагає настання обов’язкових шкідливих наслідків від таких дій.</w:t>
      </w:r>
      <w:r w:rsidRPr="00511005">
        <w:rPr>
          <w:rFonts w:ascii="Arial" w:eastAsia="Calibri" w:hAnsi="Arial" w:cs="Arial"/>
          <w:szCs w:val="28"/>
          <w:lang w:val="uk-UA"/>
        </w:rPr>
        <w:t xml:space="preserve"> [5]</w:t>
      </w:r>
    </w:p>
    <w:p w14:paraId="1A55FE57"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rPr>
        <w:tab/>
      </w:r>
      <w:r w:rsidRPr="00511005">
        <w:rPr>
          <w:rFonts w:ascii="Arial" w:eastAsia="Calibri" w:hAnsi="Arial" w:cs="Arial"/>
          <w:szCs w:val="28"/>
          <w:lang w:val="uk-UA"/>
        </w:rPr>
        <w:t>Суб’єктивна сторона колабораційної діяльності передбачає прямий умисел, що полягає в свідомому виконанні дій на користь держави-агресора. До того ж, важливими є мотиви та цілі, які можуть бути пов'язані з політичними, ідеологічними, економічними чи особистими інтересами. Для деяких частин статті 111-1 КК України також передбачена специфічна мета, яка зазначається в диспозиції. Це може проявлятися як активна пропаганда на підтримку держави-агресора або виконання посадових обов'язків в незаконних органах влади. [5]</w:t>
      </w:r>
    </w:p>
    <w:p w14:paraId="700B0F4B"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В рамках даного дослідження важливим є аналіз судової практик:</w:t>
      </w:r>
    </w:p>
    <w:p w14:paraId="73569938"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1. Саксаганський районний суд міста Кривого Рогу Дніпропетровської області розглянув кримінальне провадження № 1-кп/214/854/24 щодо громадянки України, яка розмістила у соціальній мережі «Однокласники» чотири публікації, що містили відкриті заклики до підтримки збройних сил та дій держави-агресора. Суд постановив, що обвинувачена діяла свідомо, з прямим умислом, закликаючи до схвалення агресії проти України. Її вчинки </w:t>
      </w:r>
      <w:r w:rsidRPr="00511005">
        <w:rPr>
          <w:rFonts w:ascii="Arial" w:eastAsia="Calibri" w:hAnsi="Arial" w:cs="Arial"/>
          <w:szCs w:val="28"/>
          <w:lang w:val="uk-UA"/>
        </w:rPr>
        <w:lastRenderedPageBreak/>
        <w:t>були кваліфіковані за частиною першою статті 111-1 Кримінального кодексу України як колабораційна діяльність. [3]</w:t>
      </w:r>
    </w:p>
    <w:p w14:paraId="5C40E59D"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2. У справі № 317/1106/23 Запорізького районного суду Запорізької області щодо кримінального правопорушення за частиною 7 статті 111-1 КК України встановлено, що ОСОБА, перебуваючи на тимчасово окупованій території смт Веселе Мелітопольського району Запорізької області, будучи колишнім працівником ГУ МВС України в Запорізькій області та звільненим у званні «майор міліції», усвідомлюючи свою відповідальність і маючи досвід роботи в правоохоронних органах, добровільно погодився на пропозицію представників збройних формувань та окупаційної адміністрації держави-агресора. Він обійняв посаду оперуповноваженого у незаконно створеному правоохоронному органі — так званому «Веселовському відділенні Головного управління МВС у Запорізькій області» (рос. мов.). Обвинувачений, маючи проросійські погляди та негативне ставлення до чинної влади України, усвідомлюючи незаконність своїх дій, діяв з корисливих мотивів, намагаючись підтримати окупаційну владу.</w:t>
      </w:r>
    </w:p>
    <w:p w14:paraId="40B5A402"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У результаті, ОСОБА був визнаний винним у вчиненні кримінального правопорушення за ч. 7 ст. 111-1 КК України і отримав покарання у вигляді 12 років позбавлення волі. Також йому було призначено покарання у вигляді позбавлення права обіймати будь-які посади в органах державної влади, місцевого самоврядування, державних та комунальних підприємствах, установах, а також в організаціях, що надають публічні послуги, строком на 10 років. Крім того, призначено конфіскацію всього його майна.</w:t>
      </w:r>
      <w:r w:rsidRPr="00511005">
        <w:rPr>
          <w:rFonts w:ascii="Arial" w:eastAsia="Calibri" w:hAnsi="Arial" w:cs="Arial"/>
          <w:szCs w:val="28"/>
          <w:lang w:val="uk-UA"/>
        </w:rPr>
        <w:t xml:space="preserve"> [4]</w:t>
      </w:r>
    </w:p>
    <w:p w14:paraId="1361B0C1"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Таким чином, можна зробити висновок, що при кримінально-правовій кваліфікації злочину, передбаченого статтею 111-1 КК України, що стосується колабораційної діяльності, необхідно враховувати такі особливості: основним безпосереднім об'єктом кримінального правопорушення є суспільні відносини в сфері національної безпеки України; особливість кримінально-протиправного діяння полягає в тому, що цей злочин здійснюється виключно через суспільно небезпечні дії (активну поведінку) суб'єкта кримінального правопорушення; психічне ставлення винної особи до вчиненого злочину виражається в формі прямого умислу; особливість суб'єкта кримінального правопорушення полягає в тому, що цей злочин може бути скоєний лише спеціальним суб'єктом — особою, що має юридичну ознаку громадянства України.</w:t>
      </w:r>
    </w:p>
    <w:p w14:paraId="25C68F4B" w14:textId="77777777" w:rsidR="00200E87" w:rsidRPr="00511005" w:rsidRDefault="00200E87" w:rsidP="003A292D">
      <w:pPr>
        <w:spacing w:line="264" w:lineRule="auto"/>
        <w:ind w:firstLine="0"/>
        <w:rPr>
          <w:rFonts w:ascii="Arial" w:eastAsia="Calibri" w:hAnsi="Arial" w:cs="Arial"/>
          <w:szCs w:val="28"/>
        </w:rPr>
      </w:pPr>
    </w:p>
    <w:p w14:paraId="4D73E60B" w14:textId="77777777" w:rsidR="00200E87" w:rsidRPr="00511005" w:rsidRDefault="00200E8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Списoк викoристаних джерел</w:t>
      </w:r>
    </w:p>
    <w:p w14:paraId="724D1DDE" w14:textId="77777777" w:rsidR="00200E87" w:rsidRPr="00511005" w:rsidRDefault="00200E87" w:rsidP="003F6A5D">
      <w:pPr>
        <w:numPr>
          <w:ilvl w:val="0"/>
          <w:numId w:val="55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Кримінальний Кодекс України: Закон України від 05.04.2001 № 2341-III / Верховна Рада України. URL: </w:t>
      </w:r>
      <w:hyperlink r:id="rId1834" w:anchor="Text" w:history="1">
        <w:r w:rsidRPr="00511005">
          <w:rPr>
            <w:rFonts w:ascii="Arial" w:eastAsia="Calibri" w:hAnsi="Arial" w:cs="Arial"/>
            <w:szCs w:val="28"/>
            <w:lang w:val="uk-UA"/>
          </w:rPr>
          <w:t>https://zakon.rada.gov.ua/laws/show/2341-14#Text</w:t>
        </w:r>
      </w:hyperlink>
    </w:p>
    <w:p w14:paraId="137FC0BE" w14:textId="77777777" w:rsidR="00200E87" w:rsidRPr="00511005" w:rsidRDefault="00200E87" w:rsidP="003F6A5D">
      <w:pPr>
        <w:numPr>
          <w:ilvl w:val="0"/>
          <w:numId w:val="55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lastRenderedPageBreak/>
        <w:t>Зайцев О.В. Особливості кримінально-правової кваліфікації колабораційної діяльності в освітній сфері. Вісник ЛННІ ім. Е.О. Дідоренка. 2024.</w:t>
      </w:r>
    </w:p>
    <w:p w14:paraId="5DB349F5" w14:textId="77777777" w:rsidR="007B2628" w:rsidRPr="00511005" w:rsidRDefault="00200E87" w:rsidP="003F6A5D">
      <w:pPr>
        <w:numPr>
          <w:ilvl w:val="0"/>
          <w:numId w:val="55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Вирок Саксаганського районного суду міста Кривого Рогу Дніпропетровської області у спрощеному кримінальному провадженні № 1-кп/214/854/24 від 09.07.2024. Єдиний державний реєстр судових рішень.</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URL: </w:t>
      </w:r>
      <w:hyperlink r:id="rId1835" w:history="1">
        <w:r w:rsidRPr="00511005">
          <w:rPr>
            <w:rFonts w:ascii="Arial" w:eastAsia="Calibri" w:hAnsi="Arial" w:cs="Arial"/>
            <w:szCs w:val="28"/>
            <w:lang w:val="uk-UA"/>
          </w:rPr>
          <w:t>https://reyestr.court.gov.ua/Review/120274928</w:t>
        </w:r>
      </w:hyperlink>
      <w:r w:rsidRPr="00511005">
        <w:rPr>
          <w:rFonts w:ascii="Arial" w:eastAsia="Calibri" w:hAnsi="Arial" w:cs="Arial"/>
          <w:szCs w:val="28"/>
          <w:lang w:val="uk-UA"/>
        </w:rPr>
        <w:t>.</w:t>
      </w:r>
    </w:p>
    <w:p w14:paraId="3C99B841" w14:textId="77777777" w:rsidR="007B2628" w:rsidRPr="00511005" w:rsidRDefault="00200E87" w:rsidP="003F6A5D">
      <w:pPr>
        <w:numPr>
          <w:ilvl w:val="0"/>
          <w:numId w:val="55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Вирок Запорізького районного суду Запорізької області у кримінальному провадженні № 1-кп/317/95/2024 від 08.07.2024. Єдиний державний реєстр судових рішень. URL: </w:t>
      </w:r>
      <w:hyperlink r:id="rId1836" w:history="1">
        <w:r w:rsidRPr="00511005">
          <w:rPr>
            <w:rFonts w:ascii="Arial" w:eastAsia="Calibri" w:hAnsi="Arial" w:cs="Arial"/>
            <w:szCs w:val="28"/>
            <w:lang w:val="uk-UA"/>
          </w:rPr>
          <w:t>https://reyestr.court.gov.ua/Review/120215875</w:t>
        </w:r>
      </w:hyperlink>
      <w:r w:rsidRPr="00511005">
        <w:rPr>
          <w:rFonts w:ascii="Arial" w:eastAsia="Calibri" w:hAnsi="Arial" w:cs="Arial"/>
          <w:szCs w:val="28"/>
          <w:lang w:val="uk-UA"/>
        </w:rPr>
        <w:t>.</w:t>
      </w:r>
    </w:p>
    <w:p w14:paraId="3201BD60" w14:textId="422911B9" w:rsidR="00200E87" w:rsidRPr="00511005" w:rsidRDefault="00200E87" w:rsidP="003F6A5D">
      <w:pPr>
        <w:numPr>
          <w:ilvl w:val="0"/>
          <w:numId w:val="55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Науковий журнал «Часопис Київського інституту інтелектуальної власності та права»</w:t>
      </w:r>
      <w:r w:rsidRPr="00511005">
        <w:rPr>
          <w:rFonts w:ascii="Arial" w:eastAsia="Calibri" w:hAnsi="Arial" w:cs="Arial"/>
          <w:szCs w:val="28"/>
        </w:rPr>
        <w:t xml:space="preserve"> .</w:t>
      </w:r>
    </w:p>
    <w:p w14:paraId="07CADA2E"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URL:</w:t>
      </w:r>
      <w:r w:rsidRPr="00511005">
        <w:rPr>
          <w:rFonts w:ascii="Arial" w:eastAsia="Calibri" w:hAnsi="Arial" w:cs="Arial"/>
          <w:szCs w:val="28"/>
          <w:lang w:val="pl-PL"/>
        </w:rPr>
        <w:t xml:space="preserve"> </w:t>
      </w:r>
      <w:r w:rsidR="005938AD">
        <w:fldChar w:fldCharType="begin"/>
      </w:r>
      <w:r w:rsidR="005938AD" w:rsidRPr="00055389">
        <w:rPr>
          <w:lang w:val="en-US"/>
        </w:rPr>
        <w:instrText xml:space="preserve"> HYPERLINK "https://journals.nuoua.od.ua/index.php/chasopyskiivp/issue/view/1/1" </w:instrText>
      </w:r>
      <w:r w:rsidR="005938AD">
        <w:fldChar w:fldCharType="separate"/>
      </w:r>
      <w:r w:rsidRPr="00511005">
        <w:rPr>
          <w:rFonts w:ascii="Arial" w:eastAsia="Calibri" w:hAnsi="Arial" w:cs="Arial"/>
          <w:szCs w:val="28"/>
          <w:lang w:val="pl-PL"/>
        </w:rPr>
        <w:t>https://journals.nuoua.od.ua/index.php/chasopyskiivp/issue/view/1/1</w:t>
      </w:r>
      <w:r w:rsidR="005938AD">
        <w:rPr>
          <w:rFonts w:ascii="Arial" w:eastAsia="Calibri" w:hAnsi="Arial" w:cs="Arial"/>
          <w:szCs w:val="28"/>
          <w:lang w:val="pl-PL"/>
        </w:rPr>
        <w:fldChar w:fldCharType="end"/>
      </w:r>
    </w:p>
    <w:p w14:paraId="0C20C312" w14:textId="77777777" w:rsidR="00200E87" w:rsidRPr="00511005" w:rsidRDefault="00200E87" w:rsidP="003A292D">
      <w:pPr>
        <w:spacing w:line="264" w:lineRule="auto"/>
        <w:ind w:firstLine="0"/>
        <w:rPr>
          <w:rFonts w:ascii="Arial" w:eastAsia="Calibri" w:hAnsi="Arial" w:cs="Arial"/>
          <w:b/>
          <w:szCs w:val="28"/>
          <w:lang w:val="uk-UA"/>
        </w:rPr>
      </w:pPr>
    </w:p>
    <w:p w14:paraId="5FE85165" w14:textId="12D6BCDF" w:rsidR="00200E87" w:rsidRPr="00511005" w:rsidRDefault="007B2628" w:rsidP="003A292D">
      <w:pPr>
        <w:spacing w:line="264" w:lineRule="auto"/>
        <w:ind w:firstLine="0"/>
        <w:rPr>
          <w:rFonts w:ascii="Arial" w:eastAsia="Calibri" w:hAnsi="Arial" w:cs="Arial"/>
          <w:b/>
          <w:bCs/>
          <w:szCs w:val="28"/>
        </w:rPr>
      </w:pPr>
      <w:r w:rsidRPr="00511005">
        <w:rPr>
          <w:rFonts w:ascii="Arial" w:eastAsia="Calibri" w:hAnsi="Arial" w:cs="Arial"/>
          <w:b/>
          <w:bCs/>
          <w:i/>
          <w:szCs w:val="28"/>
          <w:lang w:val="uk-UA"/>
        </w:rPr>
        <w:t xml:space="preserve">Ключові слова: </w:t>
      </w:r>
      <w:r w:rsidR="00200E87" w:rsidRPr="00511005">
        <w:rPr>
          <w:rFonts w:ascii="Arial" w:eastAsia="Calibri" w:hAnsi="Arial" w:cs="Arial"/>
          <w:szCs w:val="28"/>
          <w:lang w:val="uk-UA"/>
        </w:rPr>
        <w:t>кримінально-правова характеристика, колабораційна діяльність,</w:t>
      </w:r>
      <w:r w:rsidR="00200E87" w:rsidRPr="00511005">
        <w:rPr>
          <w:rFonts w:ascii="Arial" w:eastAsia="Calibri" w:hAnsi="Arial" w:cs="Arial"/>
          <w:szCs w:val="28"/>
        </w:rPr>
        <w:t xml:space="preserve"> воєнний стан,</w:t>
      </w:r>
      <w:r w:rsidR="00200E87" w:rsidRPr="00511005">
        <w:rPr>
          <w:rFonts w:ascii="Arial" w:eastAsia="Calibri" w:hAnsi="Arial" w:cs="Arial"/>
          <w:szCs w:val="28"/>
          <w:lang w:val="uk-UA"/>
        </w:rPr>
        <w:t xml:space="preserve"> держава-агресор, тимчасова окупація, збройна агресія, кримінальна відповідальність</w:t>
      </w:r>
      <w:r w:rsidR="00200E87" w:rsidRPr="00511005">
        <w:rPr>
          <w:rFonts w:ascii="Arial" w:eastAsia="Calibri" w:hAnsi="Arial" w:cs="Arial"/>
          <w:szCs w:val="28"/>
        </w:rPr>
        <w:t>.</w:t>
      </w:r>
    </w:p>
    <w:p w14:paraId="6E8770F2" w14:textId="5F42D75E" w:rsidR="00200E87" w:rsidRPr="00511005" w:rsidRDefault="007B2628" w:rsidP="003A292D">
      <w:pPr>
        <w:spacing w:line="264" w:lineRule="auto"/>
        <w:ind w:firstLine="0"/>
        <w:rPr>
          <w:rFonts w:ascii="Arial" w:eastAsia="Calibri" w:hAnsi="Arial" w:cs="Arial"/>
          <w:i/>
          <w:szCs w:val="28"/>
          <w:lang w:val="en-US"/>
        </w:rPr>
      </w:pPr>
      <w:r w:rsidRPr="00511005">
        <w:rPr>
          <w:rFonts w:ascii="Arial" w:eastAsia="Calibri" w:hAnsi="Arial" w:cs="Arial"/>
          <w:b/>
          <w:i/>
          <w:szCs w:val="28"/>
          <w:lang w:val="en"/>
        </w:rPr>
        <w:t xml:space="preserve">Key words: </w:t>
      </w:r>
      <w:r w:rsidR="00200E87" w:rsidRPr="00511005">
        <w:rPr>
          <w:rFonts w:ascii="Arial" w:eastAsia="Calibri" w:hAnsi="Arial" w:cs="Arial"/>
          <w:szCs w:val="28"/>
          <w:lang w:val="en"/>
        </w:rPr>
        <w:t>criminal-legal characteristics, collaboration activities, martial law, aggressor state, temporary occupation, armed aggression, criminal liability.</w:t>
      </w:r>
    </w:p>
    <w:p w14:paraId="5D04EB46" w14:textId="77777777" w:rsidR="00200E87" w:rsidRPr="00511005" w:rsidRDefault="00200E87" w:rsidP="003A292D">
      <w:pPr>
        <w:spacing w:line="264" w:lineRule="auto"/>
        <w:ind w:firstLine="0"/>
        <w:rPr>
          <w:rFonts w:ascii="Arial" w:eastAsia="Calibri" w:hAnsi="Arial" w:cs="Arial"/>
          <w:i/>
          <w:szCs w:val="28"/>
          <w:lang w:val="uk-UA"/>
        </w:rPr>
      </w:pPr>
    </w:p>
    <w:p w14:paraId="20C2C3E8" w14:textId="477FAF5E" w:rsidR="00200E87"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200E87" w:rsidRPr="00511005">
        <w:rPr>
          <w:rFonts w:ascii="Arial" w:eastAsia="Calibri" w:hAnsi="Arial" w:cs="Arial"/>
          <w:i/>
          <w:szCs w:val="28"/>
          <w:lang w:val="uk-UA"/>
        </w:rPr>
        <w:t>д.ю.н., доцент Степаненко О.В.</w:t>
      </w:r>
    </w:p>
    <w:p w14:paraId="087783D1" w14:textId="77777777" w:rsidR="00B4188B" w:rsidRPr="00511005" w:rsidRDefault="00B4188B" w:rsidP="003A292D">
      <w:pPr>
        <w:spacing w:line="264" w:lineRule="auto"/>
        <w:ind w:firstLine="0"/>
        <w:rPr>
          <w:rFonts w:ascii="Arial" w:eastAsia="Calibri" w:hAnsi="Arial" w:cs="Arial"/>
          <w:szCs w:val="28"/>
        </w:rPr>
      </w:pPr>
    </w:p>
    <w:p w14:paraId="6AE26F33" w14:textId="77777777" w:rsidR="00200E87" w:rsidRPr="00511005" w:rsidRDefault="00200E8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Кривуля Єлизавета Олександрівна</w:t>
      </w:r>
    </w:p>
    <w:p w14:paraId="0BD0E227" w14:textId="1234409C" w:rsidR="00200E8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3-го курсу </w:t>
      </w:r>
      <w:r w:rsidR="007B2628" w:rsidRPr="00511005">
        <w:rPr>
          <w:rFonts w:ascii="Arial" w:eastAsia="Calibri" w:hAnsi="Arial" w:cs="Arial"/>
          <w:szCs w:val="28"/>
          <w:lang w:val="uk-UA"/>
        </w:rPr>
        <w:t>факультету цивільної та господарської юстиції</w:t>
      </w:r>
    </w:p>
    <w:p w14:paraId="6780B7ED" w14:textId="46B8DE2C" w:rsidR="00200E8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01CDD0F" w14:textId="77777777" w:rsidR="00200E87" w:rsidRPr="00511005" w:rsidRDefault="00200E87" w:rsidP="003A292D">
      <w:pPr>
        <w:spacing w:line="264" w:lineRule="auto"/>
        <w:ind w:firstLine="0"/>
        <w:jc w:val="center"/>
        <w:rPr>
          <w:rFonts w:ascii="Arial" w:eastAsia="Calibri" w:hAnsi="Arial" w:cs="Arial"/>
          <w:szCs w:val="28"/>
          <w:lang w:val="uk-UA"/>
        </w:rPr>
      </w:pPr>
    </w:p>
    <w:p w14:paraId="7E5959BE" w14:textId="77777777" w:rsidR="00200E87" w:rsidRPr="00511005" w:rsidRDefault="00200E8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ОСОБЛИВОСТІ КВАЛІФІКАЦІЇ КРИМІНАЛЬНИХ ПРАВОПОРУШЕНЬ ПРОТИ СТАТЕВОЇ СВОБОДИ ТА СТАТЕВОЇ НЕДОТОРКАНОСТІ ОСОБИ</w:t>
      </w:r>
    </w:p>
    <w:p w14:paraId="44D4D14C" w14:textId="77777777" w:rsidR="00200E87" w:rsidRPr="00511005" w:rsidRDefault="00200E87" w:rsidP="003A292D">
      <w:pPr>
        <w:spacing w:line="264" w:lineRule="auto"/>
        <w:ind w:firstLine="0"/>
        <w:rPr>
          <w:rFonts w:ascii="Arial" w:eastAsia="Calibri" w:hAnsi="Arial" w:cs="Arial"/>
          <w:b/>
          <w:szCs w:val="28"/>
          <w:lang w:val="uk-UA"/>
        </w:rPr>
      </w:pPr>
      <w:r w:rsidRPr="00511005">
        <w:rPr>
          <w:rFonts w:ascii="Arial" w:eastAsia="Calibri" w:hAnsi="Arial" w:cs="Arial"/>
          <w:b/>
          <w:szCs w:val="28"/>
          <w:lang w:val="uk-UA"/>
        </w:rPr>
        <w:tab/>
      </w:r>
      <w:r w:rsidRPr="00511005">
        <w:rPr>
          <w:rFonts w:ascii="Arial" w:eastAsia="Calibri" w:hAnsi="Arial" w:cs="Arial"/>
          <w:szCs w:val="28"/>
          <w:lang w:val="uk-UA"/>
        </w:rPr>
        <w:t>Статева свобода та статева недоторканість - одні із найважливіших прав людини. Таким чином згідно до статті 3 Конституції України “людина, її життя і здоров'я, честь і гідність, недоторканність і безпека визнаються в Україні найвищою соціальною цінністю”.</w:t>
      </w:r>
      <w:bookmarkStart w:id="214" w:name="n4179"/>
      <w:bookmarkEnd w:id="214"/>
      <w:r w:rsidRPr="00511005">
        <w:rPr>
          <w:rFonts w:ascii="Arial" w:eastAsia="Calibri" w:hAnsi="Arial" w:cs="Arial"/>
          <w:szCs w:val="28"/>
          <w:lang w:val="uk-UA"/>
        </w:rPr>
        <w:t xml:space="preserve"> Попри велику кількість досліджень ця тема досі є актуальною через низку факторів: постійне зростання кількості випадків вчинення правопорушень проти статевої свободи та статевої недоторканості осіб, складність у розмежуванні схожих складів та постійні зміни у Кримінальному кодексі України. Через зазначені причини вважаємо за необхідне здійснити кваліфікацію кожної статті </w:t>
      </w:r>
      <w:r w:rsidRPr="00511005">
        <w:rPr>
          <w:rFonts w:ascii="MS Gothic" w:eastAsia="MS Gothic" w:hAnsi="MS Gothic" w:cs="MS Gothic" w:hint="eastAsia"/>
          <w:szCs w:val="28"/>
          <w:lang w:val="uk-UA"/>
        </w:rPr>
        <w:t>Ⅳ</w:t>
      </w:r>
      <w:r w:rsidRPr="00511005">
        <w:rPr>
          <w:rFonts w:ascii="Arial" w:eastAsia="Calibri" w:hAnsi="Arial" w:cs="Arial"/>
          <w:szCs w:val="28"/>
          <w:lang w:val="uk-UA"/>
        </w:rPr>
        <w:t xml:space="preserve"> Розділу Кримінального кодексу України та зазначити їхні особливості [1, 2].</w:t>
      </w:r>
    </w:p>
    <w:p w14:paraId="336E3371"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Кримінальні правопорушення проти статевої свободи та статевої недоторканості особи – це сукупність суспільно небезпечних діянь, спрямованих проти статевої свободи та статевої недоторканості людини [3, </w:t>
      </w:r>
      <w:r w:rsidRPr="00511005">
        <w:rPr>
          <w:rFonts w:ascii="Arial" w:eastAsia="Calibri" w:hAnsi="Arial" w:cs="Arial"/>
          <w:szCs w:val="28"/>
          <w:lang w:val="uk-UA"/>
        </w:rPr>
        <w:lastRenderedPageBreak/>
        <w:t>с. 27]. Внаслідок їх здійснення потерпіла особа може мати значні негативні психологічні та фізичні травми, які можуть значно погіршити життя особи після акту здійсненого насилля [5, с. 105].</w:t>
      </w:r>
    </w:p>
    <w:p w14:paraId="25B83FEF" w14:textId="77777777" w:rsidR="00200E87" w:rsidRPr="00511005" w:rsidRDefault="00200E87"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 xml:space="preserve">Кримінальне законодавство зазначає систему насильницьких правопорушень проти статевої свободи, яка складається з: зґвалтування (ст. 152 кку), сексуального насильства(ст. 153 кку), примушування до вступу в статевий зв'язок (ст. 154), вчинення дій сексуального характеру з особою, яка не досягла шістнадцятирічного віку (ст. 155 кку), розбещення неповнолітніх (ст. 156 кку), домагання дитини для сексуальних цілей (ст. </w:t>
      </w:r>
      <w:r w:rsidRPr="00511005">
        <w:rPr>
          <w:rFonts w:ascii="Arial" w:eastAsia="Times New Roman" w:hAnsi="Arial" w:cs="Arial"/>
          <w:bCs/>
          <w:szCs w:val="28"/>
          <w:lang w:val="uk-UA" w:eastAsia="ru-RU"/>
        </w:rPr>
        <w:t>156</w:t>
      </w:r>
      <w:r w:rsidRPr="00511005">
        <w:rPr>
          <w:rFonts w:ascii="Arial" w:eastAsia="Times New Roman" w:hAnsi="Arial" w:cs="Arial"/>
          <w:bCs/>
          <w:szCs w:val="28"/>
          <w:vertAlign w:val="superscript"/>
          <w:lang w:val="uk-UA" w:eastAsia="ru-RU"/>
        </w:rPr>
        <w:t xml:space="preserve">-1 </w:t>
      </w:r>
      <w:r w:rsidRPr="00511005">
        <w:rPr>
          <w:rFonts w:ascii="Arial" w:eastAsia="Times New Roman" w:hAnsi="Arial" w:cs="Arial"/>
          <w:szCs w:val="28"/>
          <w:lang w:val="uk-UA" w:eastAsia="ru-RU"/>
        </w:rPr>
        <w:t>кку)[2]. Згадані злочини мають декілька спільних чинників. По-перше – це родовий об</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єкт посягань, а саме статева свобода і недоторканість. По-друге – це об</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єктивна сторона, яка вказує на прямі дії винного за для свого сексуального задоволення. По-трете, суб</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єктивна сторона яка зазначає прямий умисел на вчинення дій сексуального характеру.</w:t>
      </w:r>
    </w:p>
    <w:p w14:paraId="28796B0C" w14:textId="68A49627" w:rsidR="00200E87" w:rsidRPr="00511005" w:rsidRDefault="00200E87"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 xml:space="preserve">За останні 5 років кку зазнав значних змін в розділі </w:t>
      </w:r>
      <w:r w:rsidRPr="00511005">
        <w:rPr>
          <w:rFonts w:ascii="MS Gothic" w:eastAsia="MS Gothic" w:hAnsi="MS Gothic" w:cs="MS Gothic" w:hint="eastAsia"/>
          <w:szCs w:val="28"/>
          <w:lang w:val="uk-UA" w:eastAsia="ru-RU"/>
        </w:rPr>
        <w:t>Ⅳ</w:t>
      </w:r>
      <w:r w:rsidRPr="00511005">
        <w:rPr>
          <w:rFonts w:ascii="Arial" w:eastAsia="MS Gothic" w:hAnsi="Arial" w:cs="Arial"/>
          <w:szCs w:val="28"/>
          <w:lang w:val="uk-UA" w:eastAsia="ru-RU"/>
        </w:rPr>
        <w:t xml:space="preserve"> Особливої частини Кримінального кодексу України</w:t>
      </w:r>
      <w:r w:rsidRPr="00511005">
        <w:rPr>
          <w:rFonts w:ascii="Arial" w:eastAsia="Times New Roman" w:hAnsi="Arial" w:cs="Arial"/>
          <w:szCs w:val="28"/>
          <w:lang w:val="uk-UA" w:eastAsia="ru-RU"/>
        </w:rPr>
        <w:t>. Положення статей набули більш конкретизованої форми а потерпіла особа позбавилася визначення статі, що дозволило кваліфікувати злочини проти статевої свободи чоловіків, як зґвалтування або сексуальне насильство. Закон поступово покращується та адаптується до сучасних реалій. Одним із додаткових покращень стала ч 4 ст 152, яка передбачає кримінальну відповідальність для особи яка вчинила сексуальний акт з малолітньою дитиною. На нашу думку це положення є доволі прогресивним з точки зору збереження психологічного та фізичного здоров’я дітей. Оскільки особа до 16 років, ще не має достатньо сформованого світогляду на речі, які їй корисні або можуть заподіяти шкоду вважаємо це за гідну превентивну дію для запобігання будь-яких сексуальних зв’язків з дітьми. В наданій частині вік особи буде вважатися за безпорадний стан, при якому вона може не усвідомлювати характер і значення статевих зносин</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відповідно малолітня особа не може повноцінно оцінювати ситуацію та усвідомлювати наслідки наданою нею згоди. Через цю ознаку навіть за наявності згоди від “потерпілої” статевий акт буде вважатися зґвалтуванням</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3, с.27</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 xml:space="preserve">. </w:t>
      </w:r>
    </w:p>
    <w:p w14:paraId="550C802D" w14:textId="77777777" w:rsidR="00200E87" w:rsidRPr="00511005" w:rsidRDefault="00200E87"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У кожній статті 4 розділу кку є кваліфікуючі ознаки за якими можна розподілити кримінальні правопорушення проти статевої свободи та недоторканості.</w:t>
      </w:r>
    </w:p>
    <w:p w14:paraId="5B9E2FDD" w14:textId="77777777" w:rsidR="00200E87" w:rsidRPr="00511005" w:rsidRDefault="00200E87" w:rsidP="003A292D">
      <w:pPr>
        <w:shd w:val="clear" w:color="auto" w:fill="FFFFFF"/>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ab/>
        <w:t xml:space="preserve">За віком потерпілої особи: </w:t>
      </w:r>
    </w:p>
    <w:p w14:paraId="5E9F123E" w14:textId="77777777" w:rsidR="00200E87" w:rsidRPr="00511005" w:rsidRDefault="00200E87" w:rsidP="003F6A5D">
      <w:pPr>
        <w:numPr>
          <w:ilvl w:val="0"/>
          <w:numId w:val="522"/>
        </w:numPr>
        <w:shd w:val="clear" w:color="auto" w:fill="FFFFFF"/>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повнолітня особа, ст 152 окрім ч4 (</w:t>
      </w:r>
      <w:r w:rsidRPr="00511005">
        <w:rPr>
          <w:rFonts w:ascii="Arial" w:eastAsia="Times New Roman" w:hAnsi="Arial" w:cs="Arial"/>
          <w:szCs w:val="28"/>
          <w:shd w:val="clear" w:color="auto" w:fill="FFFFFF"/>
          <w:lang w:val="uk-UA" w:eastAsia="ru-RU"/>
        </w:rPr>
        <w:t>Зґвалтування</w:t>
      </w:r>
      <w:r w:rsidRPr="00511005">
        <w:rPr>
          <w:rFonts w:ascii="Arial" w:eastAsia="Times New Roman" w:hAnsi="Arial" w:cs="Arial"/>
          <w:szCs w:val="28"/>
          <w:lang w:val="uk-UA" w:eastAsia="ru-RU"/>
        </w:rPr>
        <w:t>), ст 153 крім ч4 (</w:t>
      </w:r>
      <w:r w:rsidRPr="00511005">
        <w:rPr>
          <w:rFonts w:ascii="Arial" w:eastAsia="Times New Roman" w:hAnsi="Arial" w:cs="Arial"/>
          <w:szCs w:val="28"/>
          <w:shd w:val="clear" w:color="auto" w:fill="FFFFFF"/>
          <w:lang w:val="uk-UA" w:eastAsia="ru-RU"/>
        </w:rPr>
        <w:t>Сексуальне насильство</w:t>
      </w:r>
      <w:r w:rsidRPr="00511005">
        <w:rPr>
          <w:rFonts w:ascii="Arial" w:eastAsia="Times New Roman" w:hAnsi="Arial" w:cs="Arial"/>
          <w:szCs w:val="28"/>
          <w:lang w:val="uk-UA" w:eastAsia="ru-RU"/>
        </w:rPr>
        <w:t>), ст. 154, ст.</w:t>
      </w:r>
    </w:p>
    <w:p w14:paraId="178BB004" w14:textId="77777777" w:rsidR="00200E87" w:rsidRPr="00511005" w:rsidRDefault="00200E87" w:rsidP="003F6A5D">
      <w:pPr>
        <w:numPr>
          <w:ilvl w:val="0"/>
          <w:numId w:val="522"/>
        </w:numPr>
        <w:shd w:val="clear" w:color="auto" w:fill="FFFFFF"/>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неповнолітня особа, ч3 ст 152 (</w:t>
      </w:r>
      <w:r w:rsidRPr="00511005">
        <w:rPr>
          <w:rFonts w:ascii="Arial" w:eastAsia="Times New Roman" w:hAnsi="Arial" w:cs="Arial"/>
          <w:szCs w:val="28"/>
          <w:shd w:val="clear" w:color="auto" w:fill="FFFFFF"/>
          <w:lang w:val="uk-UA" w:eastAsia="ru-RU"/>
        </w:rPr>
        <w:t xml:space="preserve">Зґвалтування, вчинене групою осіб, або зґвалтування неповнолітньої особи), ч3 ст 153 (Сексуальне насильство, вчинене групою осіб, або сексуальне </w:t>
      </w:r>
      <w:r w:rsidRPr="00511005">
        <w:rPr>
          <w:rFonts w:ascii="Arial" w:eastAsia="Times New Roman" w:hAnsi="Arial" w:cs="Arial"/>
          <w:szCs w:val="28"/>
          <w:shd w:val="clear" w:color="auto" w:fill="FFFFFF"/>
          <w:lang w:val="uk-UA" w:eastAsia="ru-RU"/>
        </w:rPr>
        <w:lastRenderedPageBreak/>
        <w:t xml:space="preserve">насильство щодо неповнолітньої особи), ст 154, ст 155, ст 156, ст </w:t>
      </w:r>
      <w:r w:rsidRPr="00511005">
        <w:rPr>
          <w:rFonts w:ascii="Arial" w:eastAsia="Times New Roman" w:hAnsi="Arial" w:cs="Arial"/>
          <w:bCs/>
          <w:szCs w:val="28"/>
          <w:shd w:val="clear" w:color="auto" w:fill="FFFFFF"/>
          <w:lang w:val="uk-UA" w:eastAsia="ru-RU"/>
        </w:rPr>
        <w:t>156</w:t>
      </w:r>
      <w:r w:rsidRPr="00511005">
        <w:rPr>
          <w:rFonts w:ascii="Arial" w:eastAsia="Times New Roman" w:hAnsi="Arial" w:cs="Arial"/>
          <w:b/>
          <w:bCs/>
          <w:szCs w:val="28"/>
          <w:shd w:val="clear" w:color="auto" w:fill="FFFFFF"/>
          <w:vertAlign w:val="superscript"/>
          <w:lang w:val="uk-UA" w:eastAsia="ru-RU"/>
        </w:rPr>
        <w:t>-1</w:t>
      </w:r>
      <w:r w:rsidRPr="00511005">
        <w:rPr>
          <w:rFonts w:ascii="Arial" w:eastAsia="Times New Roman" w:hAnsi="Arial" w:cs="Arial"/>
          <w:szCs w:val="28"/>
          <w:shd w:val="clear" w:color="auto" w:fill="FFFFFF"/>
          <w:lang w:val="uk-UA" w:eastAsia="ru-RU"/>
        </w:rPr>
        <w:t>(домагання дитини для сексуальних цілей).</w:t>
      </w:r>
    </w:p>
    <w:p w14:paraId="64EC349C" w14:textId="77777777" w:rsidR="00200E87" w:rsidRPr="00511005" w:rsidRDefault="00200E87" w:rsidP="003F6A5D">
      <w:pPr>
        <w:numPr>
          <w:ilvl w:val="0"/>
          <w:numId w:val="522"/>
        </w:numPr>
        <w:shd w:val="clear" w:color="auto" w:fill="FFFFFF"/>
        <w:spacing w:line="264" w:lineRule="auto"/>
        <w:jc w:val="left"/>
        <w:rPr>
          <w:rFonts w:ascii="Arial" w:eastAsia="Times New Roman" w:hAnsi="Arial" w:cs="Arial"/>
          <w:szCs w:val="28"/>
          <w:shd w:val="clear" w:color="auto" w:fill="FFFFFF"/>
          <w:lang w:val="uk-UA" w:eastAsia="ru-RU"/>
        </w:rPr>
      </w:pPr>
      <w:r w:rsidRPr="00511005">
        <w:rPr>
          <w:rFonts w:ascii="Arial" w:eastAsia="Times New Roman" w:hAnsi="Arial" w:cs="Arial"/>
          <w:szCs w:val="28"/>
          <w:lang w:val="uk-UA" w:eastAsia="ru-RU"/>
        </w:rPr>
        <w:t>малолітня особа. ч4ст 152 (</w:t>
      </w:r>
      <w:r w:rsidRPr="00511005">
        <w:rPr>
          <w:rFonts w:ascii="Arial" w:eastAsia="Times New Roman" w:hAnsi="Arial" w:cs="Arial"/>
          <w:szCs w:val="28"/>
          <w:shd w:val="clear" w:color="auto" w:fill="FFFFFF"/>
          <w:lang w:val="uk-UA" w:eastAsia="ru-RU"/>
        </w:rPr>
        <w:t>Дії, передбачені </w:t>
      </w:r>
      <w:hyperlink r:id="rId1837" w:anchor="n977" w:history="1">
        <w:r w:rsidRPr="00511005">
          <w:rPr>
            <w:rFonts w:ascii="Arial" w:eastAsia="Times New Roman" w:hAnsi="Arial" w:cs="Arial"/>
            <w:szCs w:val="28"/>
            <w:shd w:val="clear" w:color="auto" w:fill="FFFFFF"/>
            <w:lang w:val="uk-UA" w:eastAsia="ru-RU"/>
          </w:rPr>
          <w:t>частиною першою</w:t>
        </w:r>
      </w:hyperlink>
      <w:r w:rsidRPr="00511005">
        <w:rPr>
          <w:rFonts w:ascii="Arial" w:eastAsia="Times New Roman" w:hAnsi="Arial" w:cs="Arial"/>
          <w:szCs w:val="28"/>
          <w:shd w:val="clear" w:color="auto" w:fill="FFFFFF"/>
          <w:lang w:val="uk-UA" w:eastAsia="ru-RU"/>
        </w:rPr>
        <w:t> цієї статті, вчинені щодо особи, яка не досягла чотирнадцяти років, незалежно від її добровільної згоди</w:t>
      </w:r>
      <w:r w:rsidRPr="00511005">
        <w:rPr>
          <w:rFonts w:ascii="Arial" w:eastAsia="Times New Roman" w:hAnsi="Arial" w:cs="Arial"/>
          <w:szCs w:val="28"/>
          <w:lang w:val="uk-UA" w:eastAsia="ru-RU"/>
        </w:rPr>
        <w:t>), ч4 ст 153 (</w:t>
      </w:r>
      <w:r w:rsidRPr="00511005">
        <w:rPr>
          <w:rFonts w:ascii="Arial" w:eastAsia="Times New Roman" w:hAnsi="Arial" w:cs="Arial"/>
          <w:szCs w:val="28"/>
          <w:shd w:val="clear" w:color="auto" w:fill="FFFFFF"/>
          <w:lang w:val="uk-UA" w:eastAsia="ru-RU"/>
        </w:rPr>
        <w:t>Дії, передбачені частиною першою цієї статті, вчинені щодо особи, яка не досягла чотирнадцяти років, незалежно від її добровільної згоди </w:t>
      </w:r>
      <w:r w:rsidRPr="00511005">
        <w:rPr>
          <w:rFonts w:ascii="Arial" w:eastAsia="Times New Roman" w:hAnsi="Arial" w:cs="Arial"/>
          <w:szCs w:val="28"/>
          <w:lang w:val="uk-UA" w:eastAsia="ru-RU"/>
        </w:rPr>
        <w:t xml:space="preserve">), </w:t>
      </w:r>
      <w:r w:rsidRPr="00511005">
        <w:rPr>
          <w:rFonts w:ascii="Arial" w:eastAsia="Times New Roman" w:hAnsi="Arial" w:cs="Arial"/>
          <w:szCs w:val="28"/>
          <w:shd w:val="clear" w:color="auto" w:fill="FFFFFF"/>
          <w:lang w:val="uk-UA" w:eastAsia="ru-RU"/>
        </w:rPr>
        <w:t xml:space="preserve">ст </w:t>
      </w:r>
      <w:r w:rsidRPr="00511005">
        <w:rPr>
          <w:rFonts w:ascii="Arial" w:eastAsia="Times New Roman" w:hAnsi="Arial" w:cs="Arial"/>
          <w:bCs/>
          <w:szCs w:val="28"/>
          <w:shd w:val="clear" w:color="auto" w:fill="FFFFFF"/>
          <w:lang w:val="uk-UA" w:eastAsia="ru-RU"/>
        </w:rPr>
        <w:t>156</w:t>
      </w:r>
      <w:r w:rsidRPr="00511005">
        <w:rPr>
          <w:rFonts w:ascii="Arial" w:eastAsia="Times New Roman" w:hAnsi="Arial" w:cs="Arial"/>
          <w:b/>
          <w:bCs/>
          <w:szCs w:val="28"/>
          <w:shd w:val="clear" w:color="auto" w:fill="FFFFFF"/>
          <w:vertAlign w:val="superscript"/>
          <w:lang w:val="uk-UA" w:eastAsia="ru-RU"/>
        </w:rPr>
        <w:t>-1</w:t>
      </w:r>
      <w:r w:rsidRPr="00511005">
        <w:rPr>
          <w:rFonts w:ascii="Arial" w:eastAsia="Times New Roman" w:hAnsi="Arial" w:cs="Arial"/>
          <w:szCs w:val="28"/>
          <w:shd w:val="clear" w:color="auto" w:fill="FFFFFF"/>
          <w:lang w:val="uk-UA" w:eastAsia="ru-RU"/>
        </w:rPr>
        <w:t>(домагання дитини для сексуальних цілей).</w:t>
      </w:r>
    </w:p>
    <w:p w14:paraId="54AB367D" w14:textId="77777777" w:rsidR="00200E87" w:rsidRPr="00511005" w:rsidRDefault="00200E87" w:rsidP="003A292D">
      <w:pPr>
        <w:shd w:val="clear" w:color="auto" w:fill="FFFFFF"/>
        <w:spacing w:line="264" w:lineRule="auto"/>
        <w:ind w:firstLine="0"/>
        <w:rPr>
          <w:rFonts w:ascii="Arial" w:eastAsia="Times New Roman" w:hAnsi="Arial" w:cs="Arial"/>
          <w:szCs w:val="28"/>
          <w:lang w:eastAsia="ru-RU"/>
        </w:rPr>
      </w:pPr>
      <w:r w:rsidRPr="00511005">
        <w:rPr>
          <w:rFonts w:ascii="Arial" w:eastAsia="Times New Roman" w:hAnsi="Arial" w:cs="Arial"/>
          <w:szCs w:val="28"/>
          <w:shd w:val="clear" w:color="auto" w:fill="FFFFFF"/>
          <w:lang w:val="uk-UA" w:eastAsia="ru-RU"/>
        </w:rPr>
        <w:t>За віком суб</w:t>
      </w:r>
      <w:r w:rsidRPr="00511005">
        <w:rPr>
          <w:rFonts w:ascii="Arial" w:eastAsia="Times New Roman"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єкта кримінального правопорушення.</w:t>
      </w:r>
      <w:r w:rsidRPr="00511005">
        <w:rPr>
          <w:rFonts w:ascii="Arial" w:eastAsia="Times New Roman" w:hAnsi="Arial" w:cs="Arial"/>
          <w:szCs w:val="28"/>
          <w:lang w:eastAsia="ru-RU"/>
        </w:rPr>
        <w:t xml:space="preserve"> </w:t>
      </w:r>
    </w:p>
    <w:p w14:paraId="47562FE1" w14:textId="77777777" w:rsidR="00200E87" w:rsidRPr="00511005" w:rsidRDefault="00200E87" w:rsidP="003F6A5D">
      <w:pPr>
        <w:numPr>
          <w:ilvl w:val="0"/>
          <w:numId w:val="523"/>
        </w:numPr>
        <w:shd w:val="clear" w:color="auto" w:fill="FFFFFF"/>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Особа, </w:t>
      </w:r>
      <w:r w:rsidRPr="00511005">
        <w:rPr>
          <w:rFonts w:ascii="Arial" w:eastAsia="Times New Roman" w:hAnsi="Arial" w:cs="Arial"/>
          <w:szCs w:val="28"/>
          <w:lang w:eastAsia="ru-RU"/>
        </w:rPr>
        <w:t xml:space="preserve">яка досягла 14-річного віку (ст.152-153 КК України); </w:t>
      </w:r>
    </w:p>
    <w:p w14:paraId="507795BE" w14:textId="77777777" w:rsidR="00200E87" w:rsidRPr="00511005" w:rsidRDefault="00200E87" w:rsidP="003F6A5D">
      <w:pPr>
        <w:numPr>
          <w:ilvl w:val="0"/>
          <w:numId w:val="523"/>
        </w:numPr>
        <w:shd w:val="clear" w:color="auto" w:fill="FFFFFF"/>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Особа, </w:t>
      </w:r>
      <w:r w:rsidRPr="00511005">
        <w:rPr>
          <w:rFonts w:ascii="Arial" w:eastAsia="Times New Roman" w:hAnsi="Arial" w:cs="Arial"/>
          <w:szCs w:val="28"/>
          <w:lang w:eastAsia="ru-RU"/>
        </w:rPr>
        <w:t xml:space="preserve">яка досягла 16-річного віку (ст.154 КК України), </w:t>
      </w:r>
    </w:p>
    <w:p w14:paraId="16B86D0C" w14:textId="77777777" w:rsidR="00200E87" w:rsidRPr="00511005" w:rsidRDefault="00200E87" w:rsidP="003F6A5D">
      <w:pPr>
        <w:numPr>
          <w:ilvl w:val="0"/>
          <w:numId w:val="523"/>
        </w:numPr>
        <w:shd w:val="clear" w:color="auto" w:fill="FFFFFF"/>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Особа, </w:t>
      </w:r>
      <w:r w:rsidRPr="00511005">
        <w:rPr>
          <w:rFonts w:ascii="Arial" w:eastAsia="Times New Roman" w:hAnsi="Arial" w:cs="Arial"/>
          <w:szCs w:val="28"/>
          <w:lang w:eastAsia="ru-RU"/>
        </w:rPr>
        <w:t>яка досягла повноліття (ст.155, 156, 156-1 КК України) [</w:t>
      </w:r>
      <w:r w:rsidRPr="00511005">
        <w:rPr>
          <w:rFonts w:ascii="Arial" w:eastAsia="Times New Roman" w:hAnsi="Arial" w:cs="Arial"/>
          <w:szCs w:val="28"/>
          <w:lang w:val="uk-UA" w:eastAsia="ru-RU"/>
        </w:rPr>
        <w:t>4, с. 232</w:t>
      </w:r>
      <w:r w:rsidRPr="00511005">
        <w:rPr>
          <w:rFonts w:ascii="Arial" w:eastAsia="Times New Roman" w:hAnsi="Arial" w:cs="Arial"/>
          <w:szCs w:val="28"/>
          <w:lang w:eastAsia="ru-RU"/>
        </w:rPr>
        <w:t>].</w:t>
      </w:r>
    </w:p>
    <w:p w14:paraId="3C3C22BA" w14:textId="77777777" w:rsidR="00200E87" w:rsidRPr="00511005" w:rsidRDefault="00200E87" w:rsidP="003A292D">
      <w:pPr>
        <w:shd w:val="clear" w:color="auto" w:fill="FFFFFF"/>
        <w:spacing w:line="264" w:lineRule="auto"/>
        <w:ind w:firstLine="0"/>
        <w:rPr>
          <w:rFonts w:ascii="Arial" w:eastAsia="Times New Roman" w:hAnsi="Arial" w:cs="Arial"/>
          <w:szCs w:val="28"/>
          <w:shd w:val="clear" w:color="auto" w:fill="FFFFFF"/>
          <w:lang w:val="uk-UA" w:eastAsia="ru-RU"/>
        </w:rPr>
      </w:pPr>
      <w:r w:rsidRPr="00511005">
        <w:rPr>
          <w:rFonts w:ascii="Arial" w:eastAsia="Times New Roman" w:hAnsi="Arial" w:cs="Arial"/>
          <w:szCs w:val="28"/>
          <w:lang w:val="uk-UA" w:eastAsia="ru-RU"/>
        </w:rPr>
        <w:tab/>
        <w:t xml:space="preserve">Також правопорушення можна розділити за способом їх вчинення, чи це був фізичний контакт чи моральний, психологічний тиск. До явно фізичних можна віднести ст 152 </w:t>
      </w:r>
      <w:r w:rsidRPr="00511005">
        <w:rPr>
          <w:rFonts w:ascii="Arial" w:eastAsia="Times New Roman" w:hAnsi="Arial" w:cs="Arial"/>
          <w:szCs w:val="28"/>
          <w:shd w:val="clear" w:color="auto" w:fill="FFFFFF"/>
          <w:lang w:val="uk-UA" w:eastAsia="ru-RU"/>
        </w:rPr>
        <w:t xml:space="preserve">Зґвалтування, ст 153 Сексуальне насильство, ст 155 Вчинення дій сексуального характеру з особою, яка не досягла шістнадцятирічного віку. До правопорушень які сталися через психологічний примус слід віднести ст </w:t>
      </w:r>
      <w:r w:rsidRPr="00511005">
        <w:rPr>
          <w:rFonts w:ascii="Arial" w:eastAsia="Times New Roman" w:hAnsi="Arial" w:cs="Arial"/>
          <w:bCs/>
          <w:szCs w:val="28"/>
          <w:shd w:val="clear" w:color="auto" w:fill="FFFFFF"/>
          <w:lang w:val="uk-UA" w:eastAsia="ru-RU"/>
        </w:rPr>
        <w:t>156</w:t>
      </w:r>
      <w:r w:rsidRPr="00511005">
        <w:rPr>
          <w:rFonts w:ascii="Arial" w:eastAsia="Times New Roman" w:hAnsi="Arial" w:cs="Arial"/>
          <w:b/>
          <w:bCs/>
          <w:szCs w:val="28"/>
          <w:shd w:val="clear" w:color="auto" w:fill="FFFFFF"/>
          <w:vertAlign w:val="superscript"/>
          <w:lang w:val="uk-UA" w:eastAsia="ru-RU"/>
        </w:rPr>
        <w:t>-1</w:t>
      </w:r>
      <w:r w:rsidRPr="00511005">
        <w:rPr>
          <w:rFonts w:ascii="Arial" w:eastAsia="Times New Roman" w:hAnsi="Arial" w:cs="Arial"/>
          <w:szCs w:val="28"/>
          <w:lang w:val="uk-UA" w:eastAsia="ru-RU"/>
        </w:rPr>
        <w:t xml:space="preserve"> </w:t>
      </w:r>
      <w:r w:rsidRPr="00511005">
        <w:rPr>
          <w:rFonts w:ascii="Arial" w:eastAsia="Times New Roman" w:hAnsi="Arial" w:cs="Arial"/>
          <w:szCs w:val="28"/>
          <w:shd w:val="clear" w:color="auto" w:fill="FFFFFF"/>
          <w:lang w:val="uk-UA" w:eastAsia="ru-RU"/>
        </w:rPr>
        <w:t xml:space="preserve">домагання дитини для сексуальних цілей. Під чіткі критерії розмежування не можна віднести ст 154 </w:t>
      </w:r>
      <w:r w:rsidRPr="00511005">
        <w:rPr>
          <w:rFonts w:ascii="Arial" w:eastAsia="Times New Roman"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Примушування до вступу в статевий зв'язок</w:t>
      </w:r>
      <w:r w:rsidRPr="00511005">
        <w:rPr>
          <w:rFonts w:ascii="Arial" w:eastAsia="Times New Roman"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 xml:space="preserve"> та ст 156 </w:t>
      </w:r>
      <w:r w:rsidRPr="00511005">
        <w:rPr>
          <w:rFonts w:ascii="Arial" w:eastAsia="Times New Roman"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Розбещення неповнолітніх</w:t>
      </w:r>
      <w:r w:rsidRPr="00511005">
        <w:rPr>
          <w:rFonts w:ascii="Arial" w:eastAsia="Times New Roman" w:hAnsi="Arial" w:cs="Arial"/>
          <w:szCs w:val="28"/>
          <w:shd w:val="clear" w:color="auto" w:fill="FFFFFF"/>
          <w:lang w:eastAsia="ru-RU"/>
        </w:rPr>
        <w:t>”</w:t>
      </w:r>
      <w:r w:rsidRPr="00511005">
        <w:rPr>
          <w:rFonts w:ascii="Arial" w:eastAsia="Times New Roman" w:hAnsi="Arial" w:cs="Arial"/>
          <w:szCs w:val="28"/>
          <w:shd w:val="clear" w:color="auto" w:fill="FFFFFF"/>
          <w:lang w:val="uk-UA" w:eastAsia="ru-RU"/>
        </w:rPr>
        <w:t>. В диспозиції зазначених статей законодавець чітко не вказує яким чином відбувається примушування особи та що є розбещенням неповнолітніх. Саме через ці особливості згаданих статей, вважаємо за потрібне їх віднести до третьої змішаної групи правопорушень, таких що можуть проявлятися як в фізичних діях так і в психологічному тиску на потерпілу особу.</w:t>
      </w:r>
    </w:p>
    <w:p w14:paraId="6A0D0A57" w14:textId="77777777" w:rsidR="00200E87" w:rsidRPr="00511005" w:rsidRDefault="00200E87" w:rsidP="003A292D">
      <w:pPr>
        <w:spacing w:line="264" w:lineRule="auto"/>
        <w:ind w:firstLine="0"/>
        <w:rPr>
          <w:rFonts w:ascii="Arial" w:eastAsia="Times New Roman" w:hAnsi="Arial" w:cs="Arial"/>
          <w:szCs w:val="28"/>
          <w:lang w:eastAsia="ru-RU"/>
        </w:rPr>
      </w:pPr>
      <w:r w:rsidRPr="00511005">
        <w:rPr>
          <w:rFonts w:ascii="Arial" w:eastAsia="Calibri" w:hAnsi="Arial" w:cs="Arial"/>
          <w:szCs w:val="28"/>
          <w:shd w:val="clear" w:color="auto" w:fill="FFFFFF"/>
          <w:lang w:val="uk-UA"/>
        </w:rPr>
        <w:tab/>
      </w:r>
      <w:r w:rsidRPr="00511005">
        <w:rPr>
          <w:rFonts w:ascii="Arial" w:eastAsia="Calibri" w:hAnsi="Arial" w:cs="Arial"/>
          <w:szCs w:val="28"/>
          <w:lang w:val="uk-UA"/>
        </w:rPr>
        <w:t>Кримінальні правопорушення проти статевої свободи та недоторканості посягають на одні з найважливіших прав людини, на честь, на гідність, на безпеку та на здоров'я.</w:t>
      </w:r>
      <w:r w:rsidRPr="00511005">
        <w:rPr>
          <w:rFonts w:ascii="Arial" w:eastAsia="Times New Roman" w:hAnsi="Arial" w:cs="Arial"/>
          <w:szCs w:val="28"/>
          <w:lang w:eastAsia="ru-RU"/>
        </w:rPr>
        <w:t xml:space="preserve"> Через схожість складів злочинів виникає складність кваліфікації вчиненого правопорушення. Спільними ознаками цих злочинів є посягання на статеву свободу, прямий умисел та вчинене діяння сексуального характеру. Для правильної кваліфікації злочину слід враховувати вік потерпілих і суб’єктів злочину, а також розмежовувати фізичні дії винної особи та її психологічний вплив на потерпілу особу, при кваліфікації правопорушень. Хоч зміни в Кримінальному кодексі і свідчать про позитивні тенденції, проте необхідне подальше удосконалення правових норм для забезпечення повноцінного захисту статевої свободи та недоторканості особи в Україні. </w:t>
      </w:r>
    </w:p>
    <w:p w14:paraId="1152A478" w14:textId="77777777" w:rsidR="00200E87" w:rsidRPr="00511005" w:rsidRDefault="00200E87" w:rsidP="003A292D">
      <w:pPr>
        <w:spacing w:line="264" w:lineRule="auto"/>
        <w:ind w:firstLine="0"/>
        <w:rPr>
          <w:rFonts w:ascii="Arial" w:eastAsia="Times New Roman" w:hAnsi="Arial" w:cs="Arial"/>
          <w:szCs w:val="28"/>
          <w:lang w:eastAsia="ru-RU"/>
        </w:rPr>
      </w:pPr>
    </w:p>
    <w:p w14:paraId="2A594D30" w14:textId="77777777" w:rsidR="00B4188B" w:rsidRDefault="00B4188B">
      <w:pPr>
        <w:spacing w:after="200" w:line="276" w:lineRule="auto"/>
        <w:ind w:firstLine="0"/>
        <w:jc w:val="left"/>
        <w:rPr>
          <w:rFonts w:ascii="Arial" w:eastAsia="Calibri" w:hAnsi="Arial" w:cs="Arial"/>
          <w:b/>
          <w:bCs/>
          <w:szCs w:val="28"/>
          <w:lang w:val="uk-UA"/>
        </w:rPr>
      </w:pPr>
      <w:r>
        <w:rPr>
          <w:rFonts w:ascii="Arial" w:eastAsia="Calibri" w:hAnsi="Arial" w:cs="Arial"/>
          <w:b/>
          <w:bCs/>
          <w:szCs w:val="28"/>
          <w:lang w:val="uk-UA"/>
        </w:rPr>
        <w:br w:type="page"/>
      </w:r>
    </w:p>
    <w:p w14:paraId="2A7C428C" w14:textId="0D41A4BB" w:rsidR="00200E87"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lastRenderedPageBreak/>
        <w:t>Список використаних джерел</w:t>
      </w:r>
    </w:p>
    <w:p w14:paraId="7C11BC1D" w14:textId="521276A8" w:rsidR="00200E87" w:rsidRPr="00511005" w:rsidRDefault="00200E87" w:rsidP="003F6A5D">
      <w:pPr>
        <w:numPr>
          <w:ilvl w:val="0"/>
          <w:numId w:val="52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Конституція України: Закон України від 28.06.1996 р. №</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254к/96-ВР: станом на 21 квіт. 2025 р. URL:</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www</w:instrText>
      </w:r>
      <w:r w:rsidR="005938AD" w:rsidRPr="00055389">
        <w:rPr>
          <w:lang w:val="uk-UA"/>
        </w:rPr>
        <w:instrText>.</w:instrText>
      </w:r>
      <w:r w:rsidR="005938AD">
        <w:instrText>google</w:instrText>
      </w:r>
      <w:r w:rsidR="005938AD" w:rsidRPr="00055389">
        <w:rPr>
          <w:lang w:val="uk-UA"/>
        </w:rPr>
        <w:instrText>.</w:instrText>
      </w:r>
      <w:r w:rsidR="005938AD">
        <w:instrText>com</w:instrText>
      </w:r>
      <w:r w:rsidR="005938AD" w:rsidRPr="00055389">
        <w:rPr>
          <w:lang w:val="uk-UA"/>
        </w:rPr>
        <w:instrText>/</w:instrText>
      </w:r>
      <w:r w:rsidR="005938AD">
        <w:instrText>search</w:instrText>
      </w:r>
      <w:r w:rsidR="005938AD" w:rsidRPr="00055389">
        <w:rPr>
          <w:lang w:val="uk-UA"/>
        </w:rPr>
        <w:instrText>?</w:instrText>
      </w:r>
      <w:r w:rsidR="005938AD">
        <w:instrText>q</w:instrText>
      </w:r>
      <w:r w:rsidR="005938AD" w:rsidRPr="00055389">
        <w:rPr>
          <w:lang w:val="uk-UA"/>
        </w:rPr>
        <w:instrText>=%</w:instrText>
      </w:r>
      <w:r w:rsidR="005938AD">
        <w:instrText>D</w:instrText>
      </w:r>
      <w:r w:rsidR="005938AD" w:rsidRPr="00055389">
        <w:rPr>
          <w:lang w:val="uk-UA"/>
        </w:rPr>
        <w:instrText>0%</w:instrText>
      </w:r>
      <w:r w:rsidR="005938AD">
        <w:instrText>BA</w:instrText>
      </w:r>
      <w:r w:rsidR="005938AD" w:rsidRPr="00055389">
        <w:rPr>
          <w:lang w:val="uk-UA"/>
        </w:rPr>
        <w:instrText>%</w:instrText>
      </w:r>
      <w:r w:rsidR="005938AD">
        <w:instrText>D</w:instrText>
      </w:r>
      <w:r w:rsidR="005938AD" w:rsidRPr="00055389">
        <w:rPr>
          <w:lang w:val="uk-UA"/>
        </w:rPr>
        <w:instrText>0%</w:instrText>
      </w:r>
      <w:r w:rsidR="005938AD">
        <w:instrText>BE</w:instrText>
      </w:r>
      <w:r w:rsidR="005938AD" w:rsidRPr="00055389">
        <w:rPr>
          <w:lang w:val="uk-UA"/>
        </w:rPr>
        <w:instrText>%</w:instrText>
      </w:r>
      <w:r w:rsidR="005938AD">
        <w:instrText>D</w:instrText>
      </w:r>
      <w:r w:rsidR="005938AD" w:rsidRPr="00055389">
        <w:rPr>
          <w:lang w:val="uk-UA"/>
        </w:rPr>
        <w:instrText>0%</w:instrText>
      </w:r>
      <w:r w:rsidR="005938AD">
        <w:instrText>BD</w:instrText>
      </w:r>
      <w:r w:rsidR="005938AD" w:rsidRPr="00055389">
        <w:rPr>
          <w:lang w:val="uk-UA"/>
        </w:rPr>
        <w:instrText>%</w:instrText>
      </w:r>
      <w:r w:rsidR="005938AD">
        <w:instrText>D</w:instrText>
      </w:r>
      <w:r w:rsidR="005938AD" w:rsidRPr="00055389">
        <w:rPr>
          <w:lang w:val="uk-UA"/>
        </w:rPr>
        <w:instrText>1%81%</w:instrText>
      </w:r>
      <w:r w:rsidR="005938AD">
        <w:instrText>D</w:instrText>
      </w:r>
      <w:r w:rsidR="005938AD" w:rsidRPr="00055389">
        <w:rPr>
          <w:lang w:val="uk-UA"/>
        </w:rPr>
        <w:instrText>1%82%</w:instrText>
      </w:r>
      <w:r w:rsidR="005938AD">
        <w:instrText>D</w:instrText>
      </w:r>
      <w:r w:rsidR="005938AD" w:rsidRPr="00055389">
        <w:rPr>
          <w:lang w:val="uk-UA"/>
        </w:rPr>
        <w:instrText>0%</w:instrText>
      </w:r>
      <w:r w:rsidR="005938AD">
        <w:instrText>B</w:instrText>
      </w:r>
      <w:r w:rsidR="005938AD" w:rsidRPr="00055389">
        <w:rPr>
          <w:lang w:val="uk-UA"/>
        </w:rPr>
        <w:instrText>8%</w:instrText>
      </w:r>
      <w:r w:rsidR="005938AD">
        <w:instrText>D</w:instrText>
      </w:r>
      <w:r w:rsidR="005938AD" w:rsidRPr="00055389">
        <w:rPr>
          <w:lang w:val="uk-UA"/>
        </w:rPr>
        <w:instrText>1%82%</w:instrText>
      </w:r>
      <w:r w:rsidR="005938AD">
        <w:instrText>D</w:instrText>
      </w:r>
      <w:r w:rsidR="005938AD" w:rsidRPr="00055389">
        <w:rPr>
          <w:lang w:val="uk-UA"/>
        </w:rPr>
        <w:instrText>1%83%</w:instrText>
      </w:r>
      <w:r w:rsidR="005938AD">
        <w:instrText>D</w:instrText>
      </w:r>
      <w:r w:rsidR="005938AD" w:rsidRPr="00055389">
        <w:rPr>
          <w:lang w:val="uk-UA"/>
        </w:rPr>
        <w:instrText>1%86%</w:instrText>
      </w:r>
      <w:r w:rsidR="005938AD">
        <w:instrText>D</w:instrText>
      </w:r>
      <w:r w:rsidR="005938AD" w:rsidRPr="00055389">
        <w:rPr>
          <w:lang w:val="uk-UA"/>
        </w:rPr>
        <w:instrText>1%96%</w:instrText>
      </w:r>
      <w:r w:rsidR="005938AD">
        <w:instrText>D</w:instrText>
      </w:r>
      <w:r w:rsidR="005938AD" w:rsidRPr="00055389">
        <w:rPr>
          <w:lang w:val="uk-UA"/>
        </w:rPr>
        <w:instrText>1%8</w:instrText>
      </w:r>
      <w:r w:rsidR="005938AD">
        <w:instrText>F</w:instrText>
      </w:r>
      <w:r w:rsidR="005938AD" w:rsidRPr="00055389">
        <w:rPr>
          <w:lang w:val="uk-UA"/>
        </w:rPr>
        <w:instrText>&amp;</w:instrText>
      </w:r>
      <w:r w:rsidR="005938AD">
        <w:instrText>rlz</w:instrText>
      </w:r>
      <w:r w:rsidR="005938AD" w:rsidRPr="00055389">
        <w:rPr>
          <w:lang w:val="uk-UA"/>
        </w:rPr>
        <w:instrText>=1</w:instrText>
      </w:r>
      <w:r w:rsidR="005938AD">
        <w:instrText>C</w:instrText>
      </w:r>
      <w:r w:rsidR="005938AD" w:rsidRPr="00055389">
        <w:rPr>
          <w:lang w:val="uk-UA"/>
        </w:rPr>
        <w:instrText>1</w:instrText>
      </w:r>
      <w:r w:rsidR="005938AD">
        <w:instrText>GCEA</w:instrText>
      </w:r>
      <w:r w:rsidR="005938AD" w:rsidRPr="00055389">
        <w:rPr>
          <w:lang w:val="uk-UA"/>
        </w:rPr>
        <w:instrText>_</w:instrText>
      </w:r>
      <w:r w:rsidR="005938AD">
        <w:instrText>enUA</w:instrText>
      </w:r>
      <w:r w:rsidR="005938AD" w:rsidRPr="00055389">
        <w:rPr>
          <w:lang w:val="uk-UA"/>
        </w:rPr>
        <w:instrText>1013</w:instrText>
      </w:r>
      <w:r w:rsidR="005938AD">
        <w:instrText>UA</w:instrText>
      </w:r>
      <w:r w:rsidR="005938AD" w:rsidRPr="00055389">
        <w:rPr>
          <w:lang w:val="uk-UA"/>
        </w:rPr>
        <w:instrText>1013&amp;</w:instrText>
      </w:r>
      <w:r w:rsidR="005938AD">
        <w:instrText>oq</w:instrText>
      </w:r>
      <w:r w:rsidR="005938AD" w:rsidRPr="00055389">
        <w:rPr>
          <w:lang w:val="uk-UA"/>
        </w:rPr>
        <w:instrText>=%</w:instrText>
      </w:r>
      <w:r w:rsidR="005938AD">
        <w:instrText>D</w:instrText>
      </w:r>
      <w:r w:rsidR="005938AD" w:rsidRPr="00055389">
        <w:rPr>
          <w:lang w:val="uk-UA"/>
        </w:rPr>
        <w:instrText>0%</w:instrText>
      </w:r>
      <w:r w:rsidR="005938AD">
        <w:instrText>BA</w:instrText>
      </w:r>
      <w:r w:rsidR="005938AD" w:rsidRPr="00055389">
        <w:rPr>
          <w:lang w:val="uk-UA"/>
        </w:rPr>
        <w:instrText>%</w:instrText>
      </w:r>
      <w:r w:rsidR="005938AD">
        <w:instrText>D</w:instrText>
      </w:r>
      <w:r w:rsidR="005938AD" w:rsidRPr="00055389">
        <w:rPr>
          <w:lang w:val="uk-UA"/>
        </w:rPr>
        <w:instrText>0%</w:instrText>
      </w:r>
      <w:r w:rsidR="005938AD">
        <w:instrText>BE</w:instrText>
      </w:r>
      <w:r w:rsidR="005938AD" w:rsidRPr="00055389">
        <w:rPr>
          <w:lang w:val="uk-UA"/>
        </w:rPr>
        <w:instrText>%</w:instrText>
      </w:r>
      <w:r w:rsidR="005938AD">
        <w:instrText>D</w:instrText>
      </w:r>
      <w:r w:rsidR="005938AD" w:rsidRPr="00055389">
        <w:rPr>
          <w:lang w:val="uk-UA"/>
        </w:rPr>
        <w:instrText>0%</w:instrText>
      </w:r>
      <w:r w:rsidR="005938AD">
        <w:instrText>BD</w:instrText>
      </w:r>
      <w:r w:rsidR="005938AD" w:rsidRPr="00055389">
        <w:rPr>
          <w:lang w:val="uk-UA"/>
        </w:rPr>
        <w:instrText>&amp;</w:instrText>
      </w:r>
      <w:r w:rsidR="005938AD">
        <w:instrText>gs</w:instrText>
      </w:r>
      <w:r w:rsidR="005938AD" w:rsidRPr="00055389">
        <w:rPr>
          <w:lang w:val="uk-UA"/>
        </w:rPr>
        <w:instrText>_</w:instrText>
      </w:r>
      <w:r w:rsidR="005938AD">
        <w:instrText>lcrp</w:instrText>
      </w:r>
      <w:r w:rsidR="005938AD" w:rsidRPr="00055389">
        <w:rPr>
          <w:lang w:val="uk-UA"/>
        </w:rPr>
        <w:instrText>=</w:instrText>
      </w:r>
      <w:r w:rsidR="005938AD">
        <w:instrText>EgZjaHJvbWUqDggAEEUYJxg</w:instrText>
      </w:r>
      <w:r w:rsidR="005938AD" w:rsidRPr="00055389">
        <w:rPr>
          <w:lang w:val="uk-UA"/>
        </w:rPr>
        <w:instrText>7</w:instrText>
      </w:r>
      <w:r w:rsidR="005938AD">
        <w:instrText>GIAEGIoFMg</w:instrText>
      </w:r>
      <w:r w:rsidR="005938AD" w:rsidRPr="00055389">
        <w:rPr>
          <w:lang w:val="uk-UA"/>
        </w:rPr>
        <w:instrText>4</w:instrText>
      </w:r>
      <w:r w:rsidR="005938AD">
        <w:instrText>IABBFGCcYOxiABBiKBTIGCAEQRRg</w:instrText>
      </w:r>
      <w:r w:rsidR="005938AD" w:rsidRPr="00055389">
        <w:rPr>
          <w:lang w:val="uk-UA"/>
        </w:rPr>
        <w:instrText>5</w:instrText>
      </w:r>
      <w:r w:rsidR="005938AD">
        <w:instrText>MgYIAhBFGDsyBggDEEUYOzIH</w:instrText>
      </w:r>
      <w:r w:rsidR="005938AD">
        <w:instrText>CAQQABiABDINCAUQLhiDARixAxiABDIGCAYQRRg</w:instrText>
      </w:r>
      <w:r w:rsidR="005938AD" w:rsidRPr="00055389">
        <w:rPr>
          <w:lang w:val="uk-UA"/>
        </w:rPr>
        <w:instrText>9</w:instrText>
      </w:r>
      <w:r w:rsidR="005938AD">
        <w:instrText>MgYIBxBFGD</w:instrText>
      </w:r>
      <w:r w:rsidR="005938AD" w:rsidRPr="00055389">
        <w:rPr>
          <w:lang w:val="uk-UA"/>
        </w:rPr>
        <w:instrText>3</w:instrText>
      </w:r>
      <w:r w:rsidR="005938AD">
        <w:instrText>SAQgxNjIzajBqN</w:instrText>
      </w:r>
      <w:r w:rsidR="005938AD" w:rsidRPr="00055389">
        <w:rPr>
          <w:lang w:val="uk-UA"/>
        </w:rPr>
        <w:instrText>6</w:instrText>
      </w:r>
      <w:r w:rsidR="005938AD">
        <w:instrText>gCALACAA</w:instrText>
      </w:r>
      <w:r w:rsidR="005938AD" w:rsidRPr="00055389">
        <w:rPr>
          <w:lang w:val="uk-UA"/>
        </w:rPr>
        <w:instrText>&amp;</w:instrText>
      </w:r>
      <w:r w:rsidR="005938AD">
        <w:instrText>sourceid</w:instrText>
      </w:r>
      <w:r w:rsidR="005938AD" w:rsidRPr="00055389">
        <w:rPr>
          <w:lang w:val="uk-UA"/>
        </w:rPr>
        <w:instrText>=</w:instrText>
      </w:r>
      <w:r w:rsidR="005938AD">
        <w:instrText>chrome</w:instrText>
      </w:r>
      <w:r w:rsidR="005938AD" w:rsidRPr="00055389">
        <w:rPr>
          <w:lang w:val="uk-UA"/>
        </w:rPr>
        <w:instrText>&amp;</w:instrText>
      </w:r>
      <w:r w:rsidR="005938AD">
        <w:instrText>ie</w:instrText>
      </w:r>
      <w:r w:rsidR="005938AD" w:rsidRPr="00055389">
        <w:rPr>
          <w:lang w:val="uk-UA"/>
        </w:rPr>
        <w:instrText>=</w:instrText>
      </w:r>
      <w:r w:rsidR="005938AD">
        <w:instrText>UTF</w:instrText>
      </w:r>
      <w:r w:rsidR="005938AD" w:rsidRPr="00055389">
        <w:rPr>
          <w:lang w:val="uk-UA"/>
        </w:rPr>
        <w:instrText xml:space="preserve">-8" </w:instrText>
      </w:r>
      <w:r w:rsidR="005938AD">
        <w:fldChar w:fldCharType="separate"/>
      </w:r>
      <w:r w:rsidRPr="00511005">
        <w:rPr>
          <w:rFonts w:ascii="Arial" w:eastAsia="Calibri" w:hAnsi="Arial" w:cs="Arial"/>
          <w:szCs w:val="28"/>
          <w:lang w:val="uk-UA"/>
        </w:rPr>
        <w:t>https://www.google.com/search?q=%D0%BA%D0%BE%D0%BD%D1%81%D1%82%D0%B8%D1%82%D1%83%D1%86%D1%96%D1%8F&amp;rlz=1C1GCEA_enUA1013UA1013&amp;oq=%D0%BA%D0%BE%D0%BD&amp;gs_lcrp=EgZjaHJvbWUqDggAEEUYJxg7GIAEGIoFMg4IABBFGCcYOxiABBiKBTIGCAEQRRg5MgYIAhBFGDsyBggDEEUYOzIHCAQQABiABDINCAUQLhiDARixAxiABDIGCAYQRRg9MgYIBxBFGD3SAQgxNjIzajBqN6gCALACAA&amp;sourceid=chrome&amp;ie=UTF-8</w:t>
      </w:r>
      <w:r w:rsidR="005938AD">
        <w:rPr>
          <w:rFonts w:ascii="Arial" w:eastAsia="Calibri" w:hAnsi="Arial" w:cs="Arial"/>
          <w:szCs w:val="28"/>
          <w:lang w:val="uk-UA"/>
        </w:rPr>
        <w:fldChar w:fldCharType="end"/>
      </w:r>
    </w:p>
    <w:p w14:paraId="4F6A9AC5" w14:textId="3C75C308" w:rsidR="00200E87" w:rsidRPr="00511005" w:rsidRDefault="00200E87" w:rsidP="003F6A5D">
      <w:pPr>
        <w:numPr>
          <w:ilvl w:val="0"/>
          <w:numId w:val="524"/>
        </w:numPr>
        <w:spacing w:line="264" w:lineRule="auto"/>
        <w:contextualSpacing/>
        <w:jc w:val="left"/>
        <w:rPr>
          <w:rFonts w:ascii="Arial" w:eastAsia="Calibri" w:hAnsi="Arial" w:cs="Arial"/>
          <w:szCs w:val="28"/>
          <w:lang w:val="uk-UA"/>
        </w:rPr>
      </w:pPr>
      <w:r w:rsidRPr="00511005">
        <w:rPr>
          <w:rFonts w:ascii="Arial" w:eastAsia="Calibri" w:hAnsi="Arial" w:cs="Arial"/>
          <w:bCs/>
          <w:szCs w:val="28"/>
          <w:lang w:val="uk-UA"/>
        </w:rPr>
        <w:t xml:space="preserve">Кримінальний кодекс України: Закон України від 05.04.2001 </w:t>
      </w:r>
      <w:r w:rsidRPr="00511005">
        <w:rPr>
          <w:rFonts w:ascii="Arial" w:eastAsia="Calibri" w:hAnsi="Arial" w:cs="Arial"/>
          <w:szCs w:val="28"/>
          <w:lang w:val="uk-UA"/>
        </w:rPr>
        <w:t>№</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2341-III</w:t>
      </w:r>
      <w:r w:rsidRPr="00511005">
        <w:rPr>
          <w:rFonts w:ascii="Arial" w:eastAsia="Calibri" w:hAnsi="Arial" w:cs="Arial"/>
          <w:szCs w:val="28"/>
          <w:shd w:val="clear" w:color="auto" w:fill="F7F7F7"/>
          <w:lang w:val="uk-UA"/>
        </w:rPr>
        <w:t> </w:t>
      </w:r>
      <w:r w:rsidRPr="00511005">
        <w:rPr>
          <w:rFonts w:ascii="Arial" w:eastAsia="Calibri" w:hAnsi="Arial" w:cs="Arial"/>
          <w:szCs w:val="28"/>
          <w:lang w:val="uk-UA"/>
        </w:rPr>
        <w:t xml:space="preserve">: станом на 21 квіт. 2025 р. URL: </w:t>
      </w:r>
      <w:hyperlink r:id="rId1838" w:anchor="Text" w:history="1">
        <w:r w:rsidRPr="00511005">
          <w:rPr>
            <w:rFonts w:ascii="Arial" w:eastAsia="Calibri" w:hAnsi="Arial" w:cs="Arial"/>
            <w:szCs w:val="28"/>
            <w:lang w:val="uk-UA"/>
          </w:rPr>
          <w:t>https://zakon.rada.gov.ua/laws/show/2341-14#Text</w:t>
        </w:r>
      </w:hyperlink>
      <w:r w:rsidRPr="00511005">
        <w:rPr>
          <w:rFonts w:ascii="Arial" w:eastAsia="Calibri" w:hAnsi="Arial" w:cs="Arial"/>
          <w:szCs w:val="28"/>
          <w:lang w:val="uk-UA"/>
        </w:rPr>
        <w:t xml:space="preserve"> </w:t>
      </w:r>
    </w:p>
    <w:p w14:paraId="47C069AF" w14:textId="77777777" w:rsidR="00200E87" w:rsidRPr="00511005" w:rsidRDefault="00200E87" w:rsidP="003F6A5D">
      <w:pPr>
        <w:numPr>
          <w:ilvl w:val="0"/>
          <w:numId w:val="52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Левченко Ю. О., Лобан Д. В. Кримінально-правова характеристика насильницьких злочинів проти статевої свободи та статевої недоторканості дитини. Науковий вісник Національної академії внутрішніх справ. № 2 (119). 2021. С. 26–33.URL:</w:t>
      </w:r>
      <w:hyperlink r:id="rId1839" w:history="1">
        <w:r w:rsidRPr="00511005">
          <w:rPr>
            <w:rFonts w:ascii="Arial" w:eastAsia="Calibri" w:hAnsi="Arial" w:cs="Arial"/>
            <w:szCs w:val="28"/>
            <w:lang w:val="uk-UA"/>
          </w:rPr>
          <w:t>https://elar.navs.edu.ua/server/api/core/bitstreams/5739a57f-c7da-4b36-9ce3-2b25c2b8d675/content</w:t>
        </w:r>
      </w:hyperlink>
      <w:r w:rsidRPr="00511005">
        <w:rPr>
          <w:rFonts w:ascii="Arial" w:eastAsia="Calibri" w:hAnsi="Arial" w:cs="Arial"/>
          <w:szCs w:val="28"/>
          <w:lang w:val="uk-UA"/>
        </w:rPr>
        <w:t xml:space="preserve"> </w:t>
      </w:r>
    </w:p>
    <w:p w14:paraId="3BA32A8D" w14:textId="77777777" w:rsidR="00200E87" w:rsidRPr="00511005" w:rsidRDefault="00200E87" w:rsidP="003F6A5D">
      <w:pPr>
        <w:numPr>
          <w:ilvl w:val="0"/>
          <w:numId w:val="524"/>
        </w:numPr>
        <w:spacing w:line="264" w:lineRule="auto"/>
        <w:contextualSpacing/>
        <w:jc w:val="left"/>
        <w:rPr>
          <w:rFonts w:ascii="Arial" w:eastAsia="Calibri" w:hAnsi="Arial" w:cs="Arial"/>
          <w:szCs w:val="28"/>
          <w:lang w:val="uk-UA"/>
        </w:rPr>
      </w:pPr>
      <w:r w:rsidRPr="00511005">
        <w:rPr>
          <w:rFonts w:ascii="Arial" w:eastAsia="Calibri" w:hAnsi="Arial" w:cs="Arial"/>
          <w:szCs w:val="28"/>
          <w:shd w:val="clear" w:color="auto" w:fill="FFFFFF"/>
          <w:lang w:val="uk-UA"/>
        </w:rPr>
        <w:t>Козюк Т.Р. Кримінальні правопорушення проти статевої свободи та статевої недоторканості осіб: кримінально-правова характеристика // VІ Міжнародний молодіжний науковий юридичний форум. 2023. С. 231</w:t>
      </w:r>
      <w:r w:rsidRPr="00511005">
        <w:rPr>
          <w:rFonts w:ascii="Arial" w:eastAsia="Calibri" w:hAnsi="Arial" w:cs="Arial"/>
          <w:szCs w:val="28"/>
          <w:lang w:val="uk-UA"/>
        </w:rPr>
        <w:t>–2</w:t>
      </w:r>
      <w:r w:rsidRPr="00511005">
        <w:rPr>
          <w:rFonts w:ascii="Arial" w:eastAsia="Calibri" w:hAnsi="Arial" w:cs="Arial"/>
          <w:szCs w:val="28"/>
          <w:shd w:val="clear" w:color="auto" w:fill="FFFFFF"/>
          <w:lang w:val="uk-UA"/>
        </w:rPr>
        <w:t xml:space="preserve">33. </w:t>
      </w:r>
      <w:r w:rsidRPr="00511005">
        <w:rPr>
          <w:rFonts w:ascii="Arial" w:eastAsia="Calibri" w:hAnsi="Arial" w:cs="Arial"/>
          <w:szCs w:val="28"/>
          <w:lang w:val="uk-UA"/>
        </w:rPr>
        <w:t>URL:</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er</w:instrText>
      </w:r>
      <w:r w:rsidR="005938AD" w:rsidRPr="00055389">
        <w:rPr>
          <w:lang w:val="uk-UA"/>
        </w:rPr>
        <w:instrText>.</w:instrText>
      </w:r>
      <w:r w:rsidR="005938AD">
        <w:instrText>nau</w:instrText>
      </w:r>
      <w:r w:rsidR="005938AD" w:rsidRPr="00055389">
        <w:rPr>
          <w:lang w:val="uk-UA"/>
        </w:rPr>
        <w:instrText>.</w:instrText>
      </w:r>
      <w:r w:rsidR="005938AD">
        <w:instrText>edu</w:instrText>
      </w:r>
      <w:r w:rsidR="005938AD" w:rsidRPr="00055389">
        <w:rPr>
          <w:lang w:val="uk-UA"/>
        </w:rPr>
        <w:instrText>.</w:instrText>
      </w:r>
      <w:r w:rsidR="005938AD">
        <w:instrText>ua</w:instrText>
      </w:r>
      <w:r w:rsidR="005938AD" w:rsidRPr="00055389">
        <w:rPr>
          <w:lang w:val="uk-UA"/>
        </w:rPr>
        <w:instrText>/</w:instrText>
      </w:r>
      <w:r w:rsidR="005938AD">
        <w:instrText>server</w:instrText>
      </w:r>
      <w:r w:rsidR="005938AD" w:rsidRPr="00055389">
        <w:rPr>
          <w:lang w:val="uk-UA"/>
        </w:rPr>
        <w:instrText>/</w:instrText>
      </w:r>
      <w:r w:rsidR="005938AD">
        <w:instrText>api</w:instrText>
      </w:r>
      <w:r w:rsidR="005938AD" w:rsidRPr="00055389">
        <w:rPr>
          <w:lang w:val="uk-UA"/>
        </w:rPr>
        <w:instrText>/</w:instrText>
      </w:r>
      <w:r w:rsidR="005938AD">
        <w:instrText>core</w:instrText>
      </w:r>
      <w:r w:rsidR="005938AD" w:rsidRPr="00055389">
        <w:rPr>
          <w:lang w:val="uk-UA"/>
        </w:rPr>
        <w:instrText>/</w:instrText>
      </w:r>
      <w:r w:rsidR="005938AD">
        <w:instrText>bitstreams</w:instrText>
      </w:r>
      <w:r w:rsidR="005938AD" w:rsidRPr="00055389">
        <w:rPr>
          <w:lang w:val="uk-UA"/>
        </w:rPr>
        <w:instrText>/7</w:instrText>
      </w:r>
      <w:r w:rsidR="005938AD">
        <w:instrText>b</w:instrText>
      </w:r>
      <w:r w:rsidR="005938AD" w:rsidRPr="00055389">
        <w:rPr>
          <w:lang w:val="uk-UA"/>
        </w:rPr>
        <w:instrText>77</w:instrText>
      </w:r>
      <w:r w:rsidR="005938AD">
        <w:instrText>c</w:instrText>
      </w:r>
      <w:r w:rsidR="005938AD" w:rsidRPr="00055389">
        <w:rPr>
          <w:lang w:val="uk-UA"/>
        </w:rPr>
        <w:instrText>186-</w:instrText>
      </w:r>
      <w:r w:rsidR="005938AD">
        <w:instrText>f</w:instrText>
      </w:r>
      <w:r w:rsidR="005938AD" w:rsidRPr="00055389">
        <w:rPr>
          <w:lang w:val="uk-UA"/>
        </w:rPr>
        <w:instrText>738-4096-</w:instrText>
      </w:r>
      <w:r w:rsidR="005938AD">
        <w:instrText>af</w:instrText>
      </w:r>
      <w:r w:rsidR="005938AD" w:rsidRPr="00055389">
        <w:rPr>
          <w:lang w:val="uk-UA"/>
        </w:rPr>
        <w:instrText>05-72</w:instrText>
      </w:r>
      <w:r w:rsidR="005938AD">
        <w:instrText>a</w:instrText>
      </w:r>
      <w:r w:rsidR="005938AD" w:rsidRPr="00055389">
        <w:rPr>
          <w:lang w:val="uk-UA"/>
        </w:rPr>
        <w:instrText>8</w:instrText>
      </w:r>
      <w:r w:rsidR="005938AD">
        <w:instrText>e</w:instrText>
      </w:r>
      <w:r w:rsidR="005938AD" w:rsidRPr="00055389">
        <w:rPr>
          <w:lang w:val="uk-UA"/>
        </w:rPr>
        <w:instrText>29</w:instrText>
      </w:r>
      <w:r w:rsidR="005938AD">
        <w:instrText>d</w:instrText>
      </w:r>
      <w:r w:rsidR="005938AD" w:rsidRPr="00055389">
        <w:rPr>
          <w:lang w:val="uk-UA"/>
        </w:rPr>
        <w:instrText>23</w:instrText>
      </w:r>
      <w:r w:rsidR="005938AD">
        <w:instrText>ee</w:instrText>
      </w:r>
      <w:r w:rsidR="005938AD" w:rsidRPr="00055389">
        <w:rPr>
          <w:lang w:val="uk-UA"/>
        </w:rPr>
        <w:instrText>/</w:instrText>
      </w:r>
      <w:r w:rsidR="005938AD">
        <w:instrText>content</w:instrText>
      </w:r>
      <w:r w:rsidR="005938AD" w:rsidRPr="00055389">
        <w:rPr>
          <w:lang w:val="uk-UA"/>
        </w:rPr>
        <w:instrText xml:space="preserve">" </w:instrText>
      </w:r>
      <w:r w:rsidR="005938AD">
        <w:fldChar w:fldCharType="separate"/>
      </w:r>
      <w:r w:rsidRPr="00511005">
        <w:rPr>
          <w:rFonts w:ascii="Arial" w:eastAsia="Calibri" w:hAnsi="Arial" w:cs="Arial"/>
          <w:szCs w:val="28"/>
          <w:lang w:val="uk-UA"/>
        </w:rPr>
        <w:t>https://er.nau.edu.ua/server/api/core/bitstreams/7b77c186-f738-4096-af05-72a8e29d23ee/content</w:t>
      </w:r>
      <w:r w:rsidR="005938AD">
        <w:rPr>
          <w:rFonts w:ascii="Arial" w:eastAsia="Calibri" w:hAnsi="Arial" w:cs="Arial"/>
          <w:szCs w:val="28"/>
          <w:lang w:val="uk-UA"/>
        </w:rPr>
        <w:fldChar w:fldCharType="end"/>
      </w:r>
      <w:r w:rsidRPr="00511005">
        <w:rPr>
          <w:rFonts w:ascii="Arial" w:eastAsia="Calibri" w:hAnsi="Arial" w:cs="Arial"/>
          <w:szCs w:val="28"/>
          <w:lang w:val="uk-UA"/>
        </w:rPr>
        <w:t xml:space="preserve"> </w:t>
      </w:r>
    </w:p>
    <w:p w14:paraId="7DA4441A" w14:textId="77777777" w:rsidR="00200E87" w:rsidRPr="00511005" w:rsidRDefault="00200E87" w:rsidP="003F6A5D">
      <w:pPr>
        <w:numPr>
          <w:ilvl w:val="0"/>
          <w:numId w:val="52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Леган І. М. Особливості кваліфікації кримінальних правопорушень проти статевої свободи та статевої недоторканості особи. Прикарпатський юридичний вісник № 2 (49). 2023. С. 105–108. URL: </w:t>
      </w:r>
      <w:hyperlink r:id="rId1840" w:history="1">
        <w:r w:rsidRPr="00511005">
          <w:rPr>
            <w:rFonts w:ascii="Arial" w:eastAsia="Calibri" w:hAnsi="Arial" w:cs="Arial"/>
            <w:szCs w:val="28"/>
            <w:lang w:val="uk-UA"/>
          </w:rPr>
          <w:t>http://pjv.nuoua.od.ua/v2_2023/20.pdf</w:t>
        </w:r>
      </w:hyperlink>
      <w:r w:rsidRPr="00511005">
        <w:rPr>
          <w:rFonts w:ascii="Arial" w:eastAsia="Calibri" w:hAnsi="Arial" w:cs="Arial"/>
          <w:szCs w:val="28"/>
          <w:lang w:val="uk-UA"/>
        </w:rPr>
        <w:t xml:space="preserve"> </w:t>
      </w:r>
    </w:p>
    <w:p w14:paraId="21D59454" w14:textId="77777777" w:rsidR="00200E87" w:rsidRPr="00511005" w:rsidRDefault="00200E87" w:rsidP="003A292D">
      <w:pPr>
        <w:spacing w:line="264" w:lineRule="auto"/>
        <w:ind w:firstLine="0"/>
        <w:rPr>
          <w:rFonts w:ascii="Arial" w:eastAsia="Calibri" w:hAnsi="Arial" w:cs="Arial"/>
          <w:b/>
          <w:szCs w:val="28"/>
        </w:rPr>
      </w:pPr>
    </w:p>
    <w:p w14:paraId="19A83029" w14:textId="6B5827F7"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rPr>
        <w:t xml:space="preserve">Ключові слова: </w:t>
      </w:r>
      <w:r w:rsidR="00200E87" w:rsidRPr="00511005">
        <w:rPr>
          <w:rFonts w:ascii="Arial" w:eastAsia="Calibri" w:hAnsi="Arial" w:cs="Arial"/>
          <w:szCs w:val="28"/>
        </w:rPr>
        <w:t>статева свобода, статева недоторканість, згвалтування, сексуальне насильство, розбещення неповнолітніх, примушування до вступу в статевий зв’я</w:t>
      </w:r>
      <w:r w:rsidR="00200E87" w:rsidRPr="00511005">
        <w:rPr>
          <w:rFonts w:ascii="Arial" w:eastAsia="Calibri" w:hAnsi="Arial" w:cs="Arial"/>
          <w:szCs w:val="28"/>
          <w:lang w:val="uk-UA"/>
        </w:rPr>
        <w:t>зок.</w:t>
      </w:r>
    </w:p>
    <w:p w14:paraId="644C5FF9" w14:textId="47210C3C" w:rsidR="00200E87" w:rsidRPr="00511005" w:rsidRDefault="007B2628" w:rsidP="003A292D">
      <w:pPr>
        <w:spacing w:line="264" w:lineRule="auto"/>
        <w:ind w:firstLine="0"/>
        <w:rPr>
          <w:rFonts w:ascii="Arial" w:eastAsia="Times New Roman" w:hAnsi="Arial" w:cs="Arial"/>
          <w:szCs w:val="28"/>
          <w:lang w:val="en-US" w:eastAsia="ru-RU"/>
        </w:rPr>
      </w:pPr>
      <w:r w:rsidRPr="00511005">
        <w:rPr>
          <w:rFonts w:ascii="Arial" w:eastAsia="Calibri" w:hAnsi="Arial" w:cs="Arial"/>
          <w:b/>
          <w:i/>
          <w:szCs w:val="28"/>
          <w:lang w:val="en-US"/>
        </w:rPr>
        <w:t xml:space="preserve">Key words: </w:t>
      </w:r>
      <w:r w:rsidR="00200E87" w:rsidRPr="00511005">
        <w:rPr>
          <w:rFonts w:ascii="Arial" w:eastAsia="Calibri" w:hAnsi="Arial" w:cs="Arial"/>
          <w:szCs w:val="28"/>
          <w:lang w:val="en-US"/>
        </w:rPr>
        <w:t>sexual freedom, sexual integrity, rape, sexual violence, corruption of minors, coercion to engage in sexual intercourse.</w:t>
      </w:r>
    </w:p>
    <w:p w14:paraId="610AAD72" w14:textId="6D08B541" w:rsidR="00200E87"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200E87" w:rsidRPr="00511005">
        <w:rPr>
          <w:rFonts w:ascii="Arial" w:eastAsia="Calibri" w:hAnsi="Arial" w:cs="Arial"/>
          <w:i/>
          <w:szCs w:val="28"/>
          <w:lang w:val="uk-UA"/>
        </w:rPr>
        <w:t>асистент кафедри Павлова О.С.</w:t>
      </w:r>
    </w:p>
    <w:p w14:paraId="71ACCE05" w14:textId="77777777" w:rsidR="00200E87" w:rsidRPr="00511005" w:rsidRDefault="00200E87" w:rsidP="003A292D">
      <w:pPr>
        <w:spacing w:line="264" w:lineRule="auto"/>
        <w:ind w:firstLine="0"/>
        <w:rPr>
          <w:rFonts w:ascii="Arial" w:eastAsia="Calibri" w:hAnsi="Arial" w:cs="Arial"/>
          <w:i/>
          <w:szCs w:val="28"/>
          <w:lang w:val="uk-UA"/>
        </w:rPr>
      </w:pPr>
    </w:p>
    <w:p w14:paraId="77D61122" w14:textId="77777777" w:rsidR="00200E87" w:rsidRPr="00511005" w:rsidRDefault="00200E87" w:rsidP="003A292D">
      <w:pPr>
        <w:spacing w:line="264" w:lineRule="auto"/>
        <w:ind w:firstLine="0"/>
        <w:rPr>
          <w:rFonts w:ascii="Arial" w:eastAsia="Calibri" w:hAnsi="Arial" w:cs="Arial"/>
          <w:i/>
          <w:szCs w:val="28"/>
          <w:lang w:val="uk-UA"/>
        </w:rPr>
      </w:pPr>
    </w:p>
    <w:p w14:paraId="079C9BA6" w14:textId="77777777" w:rsidR="00B4188B" w:rsidRDefault="00B4188B">
      <w:pPr>
        <w:spacing w:after="200" w:line="276" w:lineRule="auto"/>
        <w:ind w:firstLine="0"/>
        <w:jc w:val="left"/>
        <w:rPr>
          <w:rFonts w:ascii="Arial" w:eastAsia="Calibri" w:hAnsi="Arial" w:cs="Arial"/>
          <w:b/>
          <w:i/>
          <w:szCs w:val="28"/>
          <w:lang w:val="uk-UA"/>
        </w:rPr>
      </w:pPr>
      <w:r>
        <w:rPr>
          <w:rFonts w:ascii="Arial" w:eastAsia="Calibri" w:hAnsi="Arial" w:cs="Arial"/>
          <w:b/>
          <w:i/>
          <w:szCs w:val="28"/>
          <w:lang w:val="uk-UA"/>
        </w:rPr>
        <w:br w:type="page"/>
      </w:r>
    </w:p>
    <w:p w14:paraId="6A5C4062" w14:textId="3EF2E734" w:rsidR="00200E87" w:rsidRPr="00511005" w:rsidRDefault="00200E8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lastRenderedPageBreak/>
        <w:t>Кулачок Катерина Михайлівна</w:t>
      </w:r>
    </w:p>
    <w:p w14:paraId="701ED354" w14:textId="2F5D8D29" w:rsidR="00200E8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2-го курсу факультету адвокатури та антикорупційної діяльності</w:t>
      </w:r>
    </w:p>
    <w:p w14:paraId="699E34A6" w14:textId="785113DB" w:rsidR="00200E8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7556BD50" w14:textId="77777777" w:rsidR="00200E87" w:rsidRPr="00511005" w:rsidRDefault="00200E87" w:rsidP="003A292D">
      <w:pPr>
        <w:spacing w:line="264" w:lineRule="auto"/>
        <w:ind w:firstLine="0"/>
        <w:jc w:val="center"/>
        <w:rPr>
          <w:rFonts w:ascii="Arial" w:eastAsia="Calibri" w:hAnsi="Arial" w:cs="Arial"/>
          <w:szCs w:val="28"/>
          <w:lang w:val="uk-UA"/>
        </w:rPr>
      </w:pPr>
    </w:p>
    <w:p w14:paraId="1BA98D51" w14:textId="77777777" w:rsidR="00200E87" w:rsidRPr="00511005" w:rsidRDefault="00200E8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 xml:space="preserve">ДОВІЧНЕ ПОЗБАВЛЕННЯ ВОЛІ: НОРМАТИВНІ ЗАСАДИ ТА ПЕРСПЕКТИВИ РЕФОРМУВАННЯ </w:t>
      </w:r>
    </w:p>
    <w:p w14:paraId="529F1B97"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Згідно з ч.1 ст. 64 </w:t>
      </w:r>
      <w:r w:rsidRPr="00511005">
        <w:rPr>
          <w:rFonts w:ascii="Arial" w:eastAsia="Calibri" w:hAnsi="Arial" w:cs="Arial"/>
          <w:szCs w:val="28"/>
        </w:rPr>
        <w:t>Кримінальн</w:t>
      </w:r>
      <w:r w:rsidRPr="00511005">
        <w:rPr>
          <w:rFonts w:ascii="Arial" w:eastAsia="Calibri" w:hAnsi="Arial" w:cs="Arial"/>
          <w:szCs w:val="28"/>
          <w:lang w:val="uk-UA"/>
        </w:rPr>
        <w:t>ого</w:t>
      </w:r>
      <w:r w:rsidRPr="00511005">
        <w:rPr>
          <w:rFonts w:ascii="Arial" w:eastAsia="Calibri" w:hAnsi="Arial" w:cs="Arial"/>
          <w:szCs w:val="28"/>
        </w:rPr>
        <w:t xml:space="preserve"> кодекс</w:t>
      </w:r>
      <w:r w:rsidRPr="00511005">
        <w:rPr>
          <w:rFonts w:ascii="Arial" w:eastAsia="Calibri" w:hAnsi="Arial" w:cs="Arial"/>
          <w:szCs w:val="28"/>
          <w:lang w:val="uk-UA"/>
        </w:rPr>
        <w:t>у</w:t>
      </w:r>
      <w:r w:rsidRPr="00511005">
        <w:rPr>
          <w:rFonts w:ascii="Arial" w:eastAsia="Calibri" w:hAnsi="Arial" w:cs="Arial"/>
          <w:szCs w:val="28"/>
        </w:rPr>
        <w:t xml:space="preserve"> України</w:t>
      </w:r>
      <w:r w:rsidRPr="00511005">
        <w:rPr>
          <w:rFonts w:ascii="Arial" w:eastAsia="Calibri" w:hAnsi="Arial" w:cs="Arial"/>
          <w:szCs w:val="28"/>
          <w:lang w:val="uk-UA"/>
        </w:rPr>
        <w:t xml:space="preserve"> ( далі КК України) передбачено, що д</w:t>
      </w:r>
      <w:r w:rsidRPr="00511005">
        <w:rPr>
          <w:rFonts w:ascii="Arial" w:eastAsia="Calibri" w:hAnsi="Arial" w:cs="Arial"/>
          <w:szCs w:val="28"/>
        </w:rPr>
        <w:t xml:space="preserve">овічне позбавлення волі передбачене за вчинення особливо тяжких кримінальних правопорушень і може бути застосоване лише у випадках, прямо визначених </w:t>
      </w:r>
      <w:r w:rsidRPr="00511005">
        <w:rPr>
          <w:rFonts w:ascii="Arial" w:eastAsia="Calibri" w:hAnsi="Arial" w:cs="Arial"/>
          <w:szCs w:val="28"/>
          <w:lang w:val="uk-UA"/>
        </w:rPr>
        <w:t xml:space="preserve">КК </w:t>
      </w:r>
      <w:r w:rsidRPr="00511005">
        <w:rPr>
          <w:rFonts w:ascii="Arial" w:eastAsia="Calibri" w:hAnsi="Arial" w:cs="Arial"/>
          <w:szCs w:val="28"/>
        </w:rPr>
        <w:t>України. Суд має право призначити це покарання лише тоді, коли вважає, що позбавлення волі на певний строк не зможе забезпечити досягнення мети покарання [1]</w:t>
      </w:r>
      <w:r w:rsidRPr="00511005">
        <w:rPr>
          <w:rFonts w:ascii="Arial" w:eastAsia="Calibri" w:hAnsi="Arial" w:cs="Arial"/>
          <w:szCs w:val="28"/>
          <w:lang w:val="uk-UA"/>
        </w:rPr>
        <w:t>;</w:t>
      </w:r>
    </w:p>
    <w:p w14:paraId="3CF24E6A"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rPr>
        <w:t>Цей вид покарання не застосовується до осіб, які на момент вчинення кримінального правопорушення не досягли 18 років, а також до осіб, яким понад 65 років. Крім того, воно не може бути застосоване до жінок, які були вагітні під час скоєння кримінального правопорушення або на момент винесення вироку (ч.2 ст.64</w:t>
      </w:r>
      <w:r w:rsidRPr="00511005">
        <w:rPr>
          <w:rFonts w:ascii="Arial" w:eastAsia="Calibri" w:hAnsi="Arial" w:cs="Arial"/>
          <w:szCs w:val="28"/>
          <w:lang w:val="uk-UA"/>
        </w:rPr>
        <w:t xml:space="preserve"> КК України</w:t>
      </w:r>
      <w:r w:rsidRPr="00511005">
        <w:rPr>
          <w:rFonts w:ascii="Arial" w:eastAsia="Calibri" w:hAnsi="Arial" w:cs="Arial"/>
          <w:szCs w:val="28"/>
        </w:rPr>
        <w:t>).[1];</w:t>
      </w:r>
    </w:p>
    <w:p w14:paraId="36B71B30"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 xml:space="preserve">Сучасне кримінальне законодавство значно удосконалило регулювання призначення покарання. Закріплено норму, за якою суд має обирати більш суворий вид покарання з передбачених санкцією відповідної статті лише тоді, коли менш суворе не забезпечує досягнення цілей покарання. Це правило слід враховувати й у разі призначення довічного позбавлення волі. Це положення особливо важливе з огляду на те, що в багатьох статтях КК, які передбачають довічне ув’язнення, також альтернативно передбачене позбавлення волі </w:t>
      </w:r>
      <w:proofErr w:type="gramStart"/>
      <w:r w:rsidRPr="00511005">
        <w:rPr>
          <w:rFonts w:ascii="Arial" w:eastAsia="Calibri" w:hAnsi="Arial" w:cs="Arial"/>
          <w:szCs w:val="28"/>
        </w:rPr>
        <w:t>на строк</w:t>
      </w:r>
      <w:proofErr w:type="gramEnd"/>
      <w:r w:rsidRPr="00511005">
        <w:rPr>
          <w:rFonts w:ascii="Arial" w:eastAsia="Calibri" w:hAnsi="Arial" w:cs="Arial"/>
          <w:szCs w:val="28"/>
        </w:rPr>
        <w:t xml:space="preserve">. Питання призначення довічного ув’язнення при наявності множинності </w:t>
      </w:r>
      <w:r w:rsidRPr="00511005">
        <w:rPr>
          <w:rFonts w:ascii="Arial" w:eastAsia="Calibri" w:hAnsi="Arial" w:cs="Arial"/>
          <w:szCs w:val="28"/>
          <w:lang w:val="uk-UA"/>
        </w:rPr>
        <w:t>кримінальних правопорушень</w:t>
      </w:r>
      <w:r w:rsidRPr="00511005">
        <w:rPr>
          <w:rFonts w:ascii="Arial" w:eastAsia="Calibri" w:hAnsi="Arial" w:cs="Arial"/>
          <w:szCs w:val="28"/>
        </w:rPr>
        <w:t xml:space="preserve"> залишається актуальним. </w:t>
      </w:r>
    </w:p>
    <w:p w14:paraId="299AE2BF" w14:textId="6BDD8388"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Довічне позбавлення волі в Україні є найсуворішим видом покарання, який фактично замінює смертну кару, і призначається лише за найтяжчі злочини. Це покарання завжди застосовується як основне й може поєднуватися з додатковими санкціями. Більшість правознавців</w:t>
      </w:r>
      <w:r w:rsidRPr="00511005">
        <w:rPr>
          <w:rFonts w:ascii="Arial" w:eastAsia="Calibri" w:hAnsi="Arial" w:cs="Arial"/>
          <w:szCs w:val="28"/>
          <w:lang w:val="uk-UA"/>
        </w:rPr>
        <w:t>, такі як: Мельник М.І, Бажанов М.І</w:t>
      </w:r>
      <w:r w:rsidRPr="00511005">
        <w:rPr>
          <w:rFonts w:ascii="Arial" w:eastAsia="Calibri" w:hAnsi="Arial" w:cs="Arial"/>
          <w:szCs w:val="28"/>
        </w:rPr>
        <w:t xml:space="preserve"> визнають його ефективним інструментом боротьби зі злочинністю, хоча деякі вчені</w:t>
      </w:r>
      <w:r w:rsidRPr="00511005">
        <w:rPr>
          <w:rFonts w:ascii="Arial" w:eastAsia="Calibri" w:hAnsi="Arial" w:cs="Arial"/>
          <w:szCs w:val="28"/>
          <w:lang w:val="uk-UA"/>
        </w:rPr>
        <w:t>, такі як:</w:t>
      </w:r>
      <w:r w:rsidRPr="00511005">
        <w:rPr>
          <w:rFonts w:ascii="Arial" w:eastAsia="Calibri" w:hAnsi="Arial" w:cs="Arial"/>
          <w:szCs w:val="28"/>
        </w:rPr>
        <w:t xml:space="preserve"> В.М. Мкс</w:t>
      </w:r>
      <w:r w:rsidRPr="00511005">
        <w:rPr>
          <w:rFonts w:ascii="Arial" w:eastAsia="Calibri" w:hAnsi="Arial" w:cs="Arial"/>
          <w:szCs w:val="28"/>
          <w:lang w:val="uk-UA"/>
        </w:rPr>
        <w:t>і</w:t>
      </w:r>
      <w:r w:rsidRPr="00511005">
        <w:rPr>
          <w:rFonts w:ascii="Arial" w:eastAsia="Calibri" w:hAnsi="Arial" w:cs="Arial"/>
          <w:szCs w:val="28"/>
        </w:rPr>
        <w:t>яка</w:t>
      </w:r>
      <w:r w:rsidRPr="00511005">
        <w:rPr>
          <w:rFonts w:ascii="Arial" w:eastAsia="Calibri" w:hAnsi="Arial" w:cs="Arial"/>
          <w:szCs w:val="28"/>
          <w:lang w:val="uk-UA"/>
        </w:rPr>
        <w:t>, І.В.Фомін</w:t>
      </w:r>
      <w:r w:rsidRPr="00511005">
        <w:rPr>
          <w:rFonts w:ascii="Arial" w:eastAsia="Calibri" w:hAnsi="Arial" w:cs="Arial"/>
          <w:szCs w:val="28"/>
        </w:rPr>
        <w:t xml:space="preserve"> виступають проти його використання або пропонують обмежити його застосування лише щодо чоловіків. Очевидною є потреба в глибокому правовому аналізі цього виду покарання.</w:t>
      </w:r>
      <w:r w:rsidR="007B2628" w:rsidRPr="00511005">
        <w:rPr>
          <w:rFonts w:ascii="Arial" w:eastAsia="Calibri" w:hAnsi="Arial" w:cs="Arial"/>
          <w:szCs w:val="28"/>
        </w:rPr>
        <w:t xml:space="preserve"> </w:t>
      </w:r>
    </w:p>
    <w:p w14:paraId="35F978DA"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У практиці Європейського суду з прав людини важливе місце займає поняття людської гідності, яке служить орієнтиром при тлумаченні положень Конвенції. Стаття 3 Конвенції [2] гарантує абсолютну заборону катувань і нелюдського або такого, що принижує гідність, поводження чи покарання [</w:t>
      </w:r>
      <w:r w:rsidRPr="00511005">
        <w:rPr>
          <w:rFonts w:ascii="Arial" w:eastAsia="Calibri" w:hAnsi="Arial" w:cs="Arial"/>
          <w:szCs w:val="28"/>
          <w:lang w:val="uk-UA"/>
        </w:rPr>
        <w:t xml:space="preserve">ст.3 </w:t>
      </w:r>
      <w:r w:rsidRPr="00511005">
        <w:rPr>
          <w:rFonts w:ascii="Arial" w:eastAsia="Calibri" w:hAnsi="Arial" w:cs="Arial"/>
          <w:szCs w:val="28"/>
        </w:rPr>
        <w:t xml:space="preserve">Рішення у справі Kafkaris v. Cyprus [3] від 12.02.2008 року, (заява № 21906/04), § 95]. </w:t>
      </w:r>
    </w:p>
    <w:p w14:paraId="3E9E1744"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lastRenderedPageBreak/>
        <w:t>Міжнародні підходи та стандарти щодо довічного ув’язнення служать важливим прикладом для вдосконалення українського законодавства. ЄСПЛ неодноразово наголошував на важливості можливості перегляду вироків щодо довічно ув’язнених, оскільки позбавлення особи надії на звільнення суперечить основоположним правам людини. У зв’язку з цим в Україні були внесені відповідні зміни до Кримінального кодексу. Зокрема, запроваджено механізм перегляду довічних вироків, що надає засудженим право на пом’якшення покарання або умовно-дострокове звільнення після відбуття певного строку покарання</w:t>
      </w:r>
      <w:r w:rsidRPr="00511005">
        <w:rPr>
          <w:rFonts w:ascii="Arial" w:eastAsia="Calibri" w:hAnsi="Arial" w:cs="Arial"/>
          <w:szCs w:val="28"/>
          <w:lang w:val="uk-UA"/>
        </w:rPr>
        <w:t xml:space="preserve"> (ч.2 ст.82 КК України) </w:t>
      </w:r>
      <w:r w:rsidRPr="00511005">
        <w:rPr>
          <w:rFonts w:ascii="Arial" w:eastAsia="Calibri" w:hAnsi="Arial" w:cs="Arial"/>
          <w:szCs w:val="28"/>
        </w:rPr>
        <w:t>[1]. Такі зміни стали важливим кроком у напрямку гуманізації кримінального права та приведення його у відповідність до європейських правових стандартів, забезпечуючи право кожної особи на надію та справедливий перегляд її справи.</w:t>
      </w:r>
    </w:p>
    <w:p w14:paraId="51EF5DE6" w14:textId="5DDDDD6D"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rPr>
        <w:t>В Україні засуджений має право оскаржити вирок в апеляційному та касаційному порядках. Якщо з’являються нові обставини, можливий перегляд справи за нововиявленими даними. Особи, засуджені до довічного ув’язнення, мають право подати клопотання про помилування Президенту України (ст. 87 КК України). У разі надання помилування довічне позбавлення волі може бути замінено на менш суворе покарання. Особи можуть бути умовно-достроково звільнені, повністю або частково, від відбування як основного, так і додаткового покарання за умови сумлінної поведінки та позитивного ставлення до праці (ч. 2 ст. 81 КК України).</w:t>
      </w:r>
      <w:r w:rsidR="007B2628" w:rsidRPr="00511005">
        <w:rPr>
          <w:rFonts w:ascii="Arial" w:eastAsia="Calibri" w:hAnsi="Arial" w:cs="Arial"/>
          <w:szCs w:val="28"/>
        </w:rPr>
        <w:t xml:space="preserve"> </w:t>
      </w:r>
      <w:r w:rsidRPr="00511005">
        <w:rPr>
          <w:rFonts w:ascii="Arial" w:eastAsia="Calibri" w:hAnsi="Arial" w:cs="Arial"/>
          <w:szCs w:val="28"/>
        </w:rPr>
        <w:t>Невідбута частина покарання у виді обмеження, позбавлення волі або покарання у виді довічного позбавлення волі можуть бути замінені судом більш м’яким покаранням, строк якого обчислюється з дня заміни невідбутої частини покарання або покарання у виді довічного позбавлення волі більш м’яким. У цих випадках більш м'яке покарання призначається в межах строків, установлених у Загальній частині КК для даного виду покарання, і не повинне перевищувати невідбутого строку покарання, призначеного вироком (ч.1 ст. 82 КК України). {Частину першу статті 81 визнано неконституційною у частині, що виключала її застосування до осіб, засуджених до довічного ув’язнення — Рішення КСУ № 6-р(II)/2021 [4] від 16.09.2021.}</w:t>
      </w:r>
    </w:p>
    <w:p w14:paraId="66F2245B"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Проблематика реформування довічного ув’язнення є однією з актуальних тем. Громадська думка щодо пом’якшення цього виду покарання розділена: одні вважають, що деякі злочинці є нездатними до перевиховання і становлять загрозу для суспільства, інші — що кожен має шанс на виправлення і реінтеграцію. Ключовим елементом у цьому контексті є проблема ресоціалізації, яка є особливо складною через багаторічну ізоляцію. Потрібно впроваджувати програми адаптації, що включають психологічну допомогу, професійну підготовку та соціальну інтеграцію.</w:t>
      </w:r>
    </w:p>
    <w:p w14:paraId="7269B529" w14:textId="2E77368E"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 xml:space="preserve">Крім цього, при впровадженні механізмів дострокового звільнення важливо оцінювати як ризики, так і можливості для безпеки суспільства. Необхідно </w:t>
      </w:r>
      <w:r w:rsidRPr="00511005">
        <w:rPr>
          <w:rFonts w:ascii="Arial" w:eastAsia="Calibri" w:hAnsi="Arial" w:cs="Arial"/>
          <w:szCs w:val="28"/>
        </w:rPr>
        <w:lastRenderedPageBreak/>
        <w:t>чітко визначити критерії для оцінки готовності особи до повернення в суспільство, включаючи її психологічний стан і поведінку під час ув’язнення.</w:t>
      </w:r>
      <w:r w:rsidR="007B2628" w:rsidRPr="00511005">
        <w:rPr>
          <w:rFonts w:ascii="Arial" w:eastAsia="Calibri" w:hAnsi="Arial" w:cs="Arial"/>
          <w:szCs w:val="28"/>
        </w:rPr>
        <w:t xml:space="preserve"> </w:t>
      </w:r>
    </w:p>
    <w:p w14:paraId="5C57DAA2"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rPr>
        <w:t>Реформа довічного позбавлення волі є складним процесом, який потребує врахування міжнародних норм та національного контексту. Запровадження ефективного механізму перегляду вироків дозволить не лише зменшити навантаження на пенітенціарну систему, а й сприятиме справедливому ставленню до осіб, які продемонстрували щире каяття та прагнення змінитися. Для успішної реалізації таких змін потрібно поєднати правові реформи, програми ресоціалізації та систему моніторингу безпеки, що забезпечить справедливіше та гуманніше правосуддя в Україні.</w:t>
      </w:r>
    </w:p>
    <w:p w14:paraId="316B52B1"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Перспективи реформування довічного позбавлення волі тісно пов’язані з подальшим розвитком механізмів, передбачених статтею 82 КК України. Зокрема, законодавець має зосередитися на удосконаленні процедури заміни довічного покарання більш м’яким за умови демонстрації належної поведінки, наявності ознак ресоціалізації та відсутності загрози для суспільства. Це дозволить не лише забезпечити гуманізацію кримінального права, а й сприятиме ефективній реалізації принципів справедливості, пропорційності покарання та дотримання прав людини в контексті європейських стандартів.</w:t>
      </w:r>
    </w:p>
    <w:p w14:paraId="7D5021F8" w14:textId="77777777" w:rsidR="00200E87" w:rsidRPr="00511005" w:rsidRDefault="00200E87" w:rsidP="003A292D">
      <w:pPr>
        <w:spacing w:line="264" w:lineRule="auto"/>
        <w:ind w:firstLine="0"/>
        <w:rPr>
          <w:rFonts w:ascii="Arial" w:eastAsia="Calibri" w:hAnsi="Arial" w:cs="Arial"/>
          <w:szCs w:val="28"/>
        </w:rPr>
      </w:pPr>
    </w:p>
    <w:p w14:paraId="063426DA" w14:textId="58B5487F" w:rsidR="00200E87"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19C32122" w14:textId="4F427162" w:rsidR="00200E87" w:rsidRPr="00511005" w:rsidRDefault="00200E87" w:rsidP="003F6A5D">
      <w:pPr>
        <w:numPr>
          <w:ilvl w:val="0"/>
          <w:numId w:val="525"/>
        </w:numPr>
        <w:spacing w:line="264" w:lineRule="auto"/>
        <w:contextualSpacing/>
        <w:jc w:val="left"/>
        <w:rPr>
          <w:rFonts w:ascii="Arial" w:eastAsia="Calibri" w:hAnsi="Arial" w:cs="Arial"/>
          <w:szCs w:val="28"/>
        </w:rPr>
      </w:pPr>
      <w:r w:rsidRPr="00511005">
        <w:rPr>
          <w:rFonts w:ascii="Arial" w:eastAsia="Calibri" w:hAnsi="Arial" w:cs="Arial"/>
          <w:szCs w:val="28"/>
        </w:rPr>
        <w:t>Кримінальний кодекс України: Закон України від 05.04.2001 № 2341-III</w:t>
      </w:r>
      <w:r w:rsidRPr="00511005">
        <w:rPr>
          <w:rFonts w:ascii="Arial" w:eastAsia="Calibri" w:hAnsi="Arial" w:cs="Arial"/>
          <w:szCs w:val="28"/>
          <w:lang w:val="uk-UA"/>
        </w:rPr>
        <w:t xml:space="preserve">. </w:t>
      </w:r>
      <w:r w:rsidRPr="00511005">
        <w:rPr>
          <w:rFonts w:ascii="Arial" w:eastAsia="Calibri" w:hAnsi="Arial" w:cs="Arial"/>
          <w:szCs w:val="28"/>
        </w:rPr>
        <w:t>URL:</w:t>
      </w:r>
      <w:r w:rsidR="007B2628" w:rsidRPr="00511005">
        <w:rPr>
          <w:rFonts w:ascii="Arial" w:eastAsia="Calibri" w:hAnsi="Arial" w:cs="Arial"/>
          <w:szCs w:val="28"/>
        </w:rPr>
        <w:t xml:space="preserve"> </w:t>
      </w:r>
      <w:hyperlink r:id="rId1841" w:history="1">
        <w:r w:rsidRPr="00511005">
          <w:rPr>
            <w:rFonts w:ascii="Arial" w:eastAsia="Calibri" w:hAnsi="Arial" w:cs="Arial"/>
            <w:szCs w:val="28"/>
          </w:rPr>
          <w:t>https://zakon.rada.gov.ua/laws/show/2341-14</w:t>
        </w:r>
      </w:hyperlink>
      <w:r w:rsidRPr="00511005">
        <w:rPr>
          <w:rFonts w:ascii="Arial" w:eastAsia="Calibri" w:hAnsi="Arial" w:cs="Arial"/>
          <w:szCs w:val="28"/>
        </w:rPr>
        <w:t>.</w:t>
      </w:r>
    </w:p>
    <w:p w14:paraId="6DDAE812" w14:textId="77777777" w:rsidR="00200E87" w:rsidRPr="00511005" w:rsidRDefault="00200E87" w:rsidP="003F6A5D">
      <w:pPr>
        <w:numPr>
          <w:ilvl w:val="0"/>
          <w:numId w:val="525"/>
        </w:numPr>
        <w:spacing w:line="264" w:lineRule="auto"/>
        <w:contextualSpacing/>
        <w:jc w:val="left"/>
        <w:rPr>
          <w:rFonts w:ascii="Arial" w:eastAsia="Calibri" w:hAnsi="Arial" w:cs="Arial"/>
          <w:szCs w:val="28"/>
        </w:rPr>
      </w:pPr>
      <w:r w:rsidRPr="00511005">
        <w:rPr>
          <w:rFonts w:ascii="Arial" w:eastAsia="Calibri" w:hAnsi="Arial" w:cs="Arial"/>
          <w:szCs w:val="28"/>
        </w:rPr>
        <w:t xml:space="preserve">Конвенція про захист прав людини і основоположних свобод: Рим, 4 листопада 1950 р. URL: </w:t>
      </w:r>
      <w:hyperlink r:id="rId1842" w:history="1">
        <w:r w:rsidRPr="00511005">
          <w:rPr>
            <w:rFonts w:ascii="Arial" w:eastAsia="Calibri" w:hAnsi="Arial" w:cs="Arial"/>
            <w:szCs w:val="28"/>
          </w:rPr>
          <w:t>https://www.echr.coe.int/Documents/Convention_ENG.pdf</w:t>
        </w:r>
      </w:hyperlink>
      <w:r w:rsidRPr="00511005">
        <w:rPr>
          <w:rFonts w:ascii="Arial" w:eastAsia="Calibri" w:hAnsi="Arial" w:cs="Arial"/>
          <w:szCs w:val="28"/>
        </w:rPr>
        <w:t>.</w:t>
      </w:r>
    </w:p>
    <w:p w14:paraId="0205E8C3" w14:textId="77777777" w:rsidR="00200E87" w:rsidRPr="00511005" w:rsidRDefault="00200E87" w:rsidP="003F6A5D">
      <w:pPr>
        <w:numPr>
          <w:ilvl w:val="0"/>
          <w:numId w:val="525"/>
        </w:numPr>
        <w:spacing w:line="264" w:lineRule="auto"/>
        <w:contextualSpacing/>
        <w:jc w:val="left"/>
        <w:rPr>
          <w:rFonts w:ascii="Arial" w:eastAsia="Calibri" w:hAnsi="Arial" w:cs="Arial"/>
          <w:szCs w:val="28"/>
        </w:rPr>
      </w:pPr>
      <w:r w:rsidRPr="00511005">
        <w:rPr>
          <w:rFonts w:ascii="Arial" w:eastAsia="Calibri" w:hAnsi="Arial" w:cs="Arial"/>
          <w:szCs w:val="28"/>
        </w:rPr>
        <w:t>Kafkaris</w:t>
      </w:r>
      <w:r w:rsidRPr="00511005">
        <w:rPr>
          <w:rFonts w:ascii="Arial" w:eastAsia="Calibri" w:hAnsi="Arial" w:cs="Arial"/>
          <w:szCs w:val="28"/>
          <w:lang w:val="uk-UA"/>
        </w:rPr>
        <w:t xml:space="preserve"> </w:t>
      </w:r>
      <w:r w:rsidRPr="00511005">
        <w:rPr>
          <w:rFonts w:ascii="Arial" w:eastAsia="Calibri" w:hAnsi="Arial" w:cs="Arial"/>
          <w:szCs w:val="28"/>
        </w:rPr>
        <w:t>v</w:t>
      </w:r>
      <w:r w:rsidRPr="00511005">
        <w:rPr>
          <w:rFonts w:ascii="Arial" w:eastAsia="Calibri" w:hAnsi="Arial" w:cs="Arial"/>
          <w:szCs w:val="28"/>
          <w:lang w:val="uk-UA"/>
        </w:rPr>
        <w:t xml:space="preserve">. </w:t>
      </w:r>
      <w:r w:rsidRPr="00511005">
        <w:rPr>
          <w:rFonts w:ascii="Arial" w:eastAsia="Calibri" w:hAnsi="Arial" w:cs="Arial"/>
          <w:szCs w:val="28"/>
        </w:rPr>
        <w:t>Cyprus</w:t>
      </w:r>
      <w:r w:rsidRPr="00511005">
        <w:rPr>
          <w:rFonts w:ascii="Arial" w:eastAsia="Calibri" w:hAnsi="Arial" w:cs="Arial"/>
          <w:szCs w:val="28"/>
          <w:lang w:val="uk-UA"/>
        </w:rPr>
        <w:t xml:space="preserve"> [3]: рішення Європейського суду з прав людини від 12 лютого 2008 р., заява № 21906/04. </w:t>
      </w:r>
      <w:r w:rsidRPr="00511005">
        <w:rPr>
          <w:rFonts w:ascii="Arial" w:eastAsia="Calibri" w:hAnsi="Arial" w:cs="Arial"/>
          <w:szCs w:val="28"/>
        </w:rPr>
        <w:t>URL</w:t>
      </w:r>
      <w:r w:rsidRPr="00511005">
        <w:rPr>
          <w:rFonts w:ascii="Arial" w:eastAsia="Calibri" w:hAnsi="Arial" w:cs="Arial"/>
          <w:szCs w:val="28"/>
          <w:lang w:val="uk-UA"/>
        </w:rPr>
        <w:t xml:space="preserve">: </w:t>
      </w:r>
      <w:hyperlink r:id="rId1843" w:history="1">
        <w:r w:rsidRPr="00511005">
          <w:rPr>
            <w:rFonts w:ascii="Arial" w:eastAsia="Calibri" w:hAnsi="Arial" w:cs="Arial"/>
            <w:szCs w:val="28"/>
          </w:rPr>
          <w:t>https</w:t>
        </w:r>
        <w:r w:rsidRPr="00511005">
          <w:rPr>
            <w:rFonts w:ascii="Arial" w:eastAsia="Calibri" w:hAnsi="Arial" w:cs="Arial"/>
            <w:szCs w:val="28"/>
            <w:lang w:val="uk-UA"/>
          </w:rPr>
          <w:t>://</w:t>
        </w:r>
        <w:r w:rsidRPr="00511005">
          <w:rPr>
            <w:rFonts w:ascii="Arial" w:eastAsia="Calibri" w:hAnsi="Arial" w:cs="Arial"/>
            <w:szCs w:val="28"/>
          </w:rPr>
          <w:t>hudoc</w:t>
        </w:r>
        <w:r w:rsidRPr="00511005">
          <w:rPr>
            <w:rFonts w:ascii="Arial" w:eastAsia="Calibri" w:hAnsi="Arial" w:cs="Arial"/>
            <w:szCs w:val="28"/>
            <w:lang w:val="uk-UA"/>
          </w:rPr>
          <w:t>.</w:t>
        </w:r>
        <w:r w:rsidRPr="00511005">
          <w:rPr>
            <w:rFonts w:ascii="Arial" w:eastAsia="Calibri" w:hAnsi="Arial" w:cs="Arial"/>
            <w:szCs w:val="28"/>
          </w:rPr>
          <w:t>echr</w:t>
        </w:r>
        <w:r w:rsidRPr="00511005">
          <w:rPr>
            <w:rFonts w:ascii="Arial" w:eastAsia="Calibri" w:hAnsi="Arial" w:cs="Arial"/>
            <w:szCs w:val="28"/>
            <w:lang w:val="uk-UA"/>
          </w:rPr>
          <w:t>.</w:t>
        </w:r>
        <w:r w:rsidRPr="00511005">
          <w:rPr>
            <w:rFonts w:ascii="Arial" w:eastAsia="Calibri" w:hAnsi="Arial" w:cs="Arial"/>
            <w:szCs w:val="28"/>
          </w:rPr>
          <w:t>coe</w:t>
        </w:r>
        <w:r w:rsidRPr="00511005">
          <w:rPr>
            <w:rFonts w:ascii="Arial" w:eastAsia="Calibri" w:hAnsi="Arial" w:cs="Arial"/>
            <w:szCs w:val="28"/>
            <w:lang w:val="uk-UA"/>
          </w:rPr>
          <w:t>.</w:t>
        </w:r>
        <w:r w:rsidRPr="00511005">
          <w:rPr>
            <w:rFonts w:ascii="Arial" w:eastAsia="Calibri" w:hAnsi="Arial" w:cs="Arial"/>
            <w:szCs w:val="28"/>
          </w:rPr>
          <w:t>int</w:t>
        </w:r>
        <w:r w:rsidRPr="00511005">
          <w:rPr>
            <w:rFonts w:ascii="Arial" w:eastAsia="Calibri" w:hAnsi="Arial" w:cs="Arial"/>
            <w:szCs w:val="28"/>
            <w:lang w:val="uk-UA"/>
          </w:rPr>
          <w:t>/</w:t>
        </w:r>
        <w:r w:rsidRPr="00511005">
          <w:rPr>
            <w:rFonts w:ascii="Arial" w:eastAsia="Calibri" w:hAnsi="Arial" w:cs="Arial"/>
            <w:szCs w:val="28"/>
          </w:rPr>
          <w:t>eng</w:t>
        </w:r>
        <w:r w:rsidRPr="00511005">
          <w:rPr>
            <w:rFonts w:ascii="Arial" w:eastAsia="Calibri" w:hAnsi="Arial" w:cs="Arial"/>
            <w:szCs w:val="28"/>
            <w:lang w:val="uk-UA"/>
          </w:rPr>
          <w:t>?</w:t>
        </w:r>
        <w:r w:rsidRPr="00511005">
          <w:rPr>
            <w:rFonts w:ascii="Arial" w:eastAsia="Calibri" w:hAnsi="Arial" w:cs="Arial"/>
            <w:szCs w:val="28"/>
          </w:rPr>
          <w:t>i</w:t>
        </w:r>
        <w:r w:rsidRPr="00511005">
          <w:rPr>
            <w:rFonts w:ascii="Arial" w:eastAsia="Calibri" w:hAnsi="Arial" w:cs="Arial"/>
            <w:szCs w:val="28"/>
            <w:lang w:val="uk-UA"/>
          </w:rPr>
          <w:t>=001-85257</w:t>
        </w:r>
      </w:hyperlink>
      <w:r w:rsidRPr="00511005">
        <w:rPr>
          <w:rFonts w:ascii="Arial" w:eastAsia="Calibri" w:hAnsi="Arial" w:cs="Arial"/>
          <w:szCs w:val="28"/>
          <w:lang w:val="uk-UA"/>
        </w:rPr>
        <w:t>.</w:t>
      </w:r>
    </w:p>
    <w:p w14:paraId="25AE2DAB" w14:textId="77777777" w:rsidR="007B2628" w:rsidRPr="00511005" w:rsidRDefault="00200E87" w:rsidP="003F6A5D">
      <w:pPr>
        <w:numPr>
          <w:ilvl w:val="0"/>
          <w:numId w:val="525"/>
        </w:numPr>
        <w:spacing w:line="264" w:lineRule="auto"/>
        <w:contextualSpacing/>
        <w:jc w:val="left"/>
        <w:rPr>
          <w:rFonts w:ascii="Arial" w:eastAsia="Calibri" w:hAnsi="Arial" w:cs="Arial"/>
          <w:szCs w:val="28"/>
        </w:rPr>
      </w:pPr>
      <w:r w:rsidRPr="00511005">
        <w:rPr>
          <w:rFonts w:ascii="Arial" w:eastAsia="Calibri" w:hAnsi="Arial" w:cs="Arial"/>
          <w:szCs w:val="28"/>
        </w:rPr>
        <w:t>Рішення Конституційного Суду України № 6-р(II)/2021 від 16 вересня 2021</w:t>
      </w:r>
      <w:r w:rsidRPr="00511005">
        <w:rPr>
          <w:rFonts w:ascii="Arial" w:eastAsia="Calibri" w:hAnsi="Arial" w:cs="Arial"/>
          <w:szCs w:val="28"/>
          <w:lang w:val="uk-UA"/>
        </w:rPr>
        <w:t xml:space="preserve">. </w:t>
      </w:r>
      <w:r w:rsidRPr="00511005">
        <w:rPr>
          <w:rFonts w:ascii="Arial" w:eastAsia="Calibri" w:hAnsi="Arial" w:cs="Arial"/>
          <w:szCs w:val="28"/>
        </w:rPr>
        <w:t>URL</w:t>
      </w:r>
      <w:r w:rsidRPr="00511005">
        <w:rPr>
          <w:rFonts w:ascii="Arial" w:eastAsia="Calibri" w:hAnsi="Arial" w:cs="Arial"/>
          <w:szCs w:val="28"/>
          <w:lang w:val="uk-UA"/>
        </w:rPr>
        <w:t>:</w:t>
      </w:r>
      <w:r w:rsidR="007B2628" w:rsidRPr="00511005">
        <w:rPr>
          <w:rFonts w:ascii="Arial" w:eastAsia="Calibri" w:hAnsi="Arial" w:cs="Arial"/>
          <w:szCs w:val="28"/>
          <w:lang w:val="uk-UA"/>
        </w:rPr>
        <w:t xml:space="preserve"> </w:t>
      </w:r>
      <w:hyperlink r:id="rId1844" w:history="1">
        <w:r w:rsidRPr="00511005">
          <w:rPr>
            <w:rFonts w:ascii="Arial" w:eastAsia="Calibri" w:hAnsi="Arial" w:cs="Arial"/>
            <w:szCs w:val="28"/>
          </w:rPr>
          <w:t>https://zakon.rada.gov.ua/laws/show/v006p710-21</w:t>
        </w:r>
      </w:hyperlink>
      <w:r w:rsidRPr="00511005">
        <w:rPr>
          <w:rFonts w:ascii="Arial" w:eastAsia="Calibri" w:hAnsi="Arial" w:cs="Arial"/>
          <w:szCs w:val="28"/>
        </w:rPr>
        <w:t>.</w:t>
      </w:r>
      <w:r w:rsidRPr="00511005">
        <w:rPr>
          <w:rFonts w:ascii="Arial" w:eastAsia="Calibri" w:hAnsi="Arial" w:cs="Arial"/>
          <w:szCs w:val="28"/>
          <w:lang w:val="uk-UA"/>
        </w:rPr>
        <w:t xml:space="preserve"> </w:t>
      </w:r>
    </w:p>
    <w:p w14:paraId="6C4A4DFD" w14:textId="77777777" w:rsidR="007B2628" w:rsidRPr="00511005" w:rsidRDefault="007B2628" w:rsidP="003A292D">
      <w:pPr>
        <w:spacing w:line="264" w:lineRule="auto"/>
        <w:ind w:firstLine="0"/>
        <w:rPr>
          <w:rFonts w:ascii="Arial" w:eastAsia="Calibri" w:hAnsi="Arial" w:cs="Arial"/>
          <w:b/>
          <w:bCs/>
          <w:szCs w:val="28"/>
        </w:rPr>
      </w:pPr>
    </w:p>
    <w:p w14:paraId="5BFAC9A1" w14:textId="5F453331" w:rsidR="007B2628"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rPr>
        <w:t xml:space="preserve">Ключові слова: </w:t>
      </w:r>
      <w:r w:rsidR="00200E87" w:rsidRPr="00511005">
        <w:rPr>
          <w:rFonts w:ascii="Arial" w:eastAsia="Calibri" w:hAnsi="Arial" w:cs="Arial"/>
          <w:szCs w:val="28"/>
          <w:lang w:val="uk-UA"/>
        </w:rPr>
        <w:t>довічне позбавлення волі, кримінальне правопорушення, кримінальна відповідальність, права людини, покарання.</w:t>
      </w:r>
    </w:p>
    <w:p w14:paraId="05CD55C2" w14:textId="04D2EDBC"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en-US"/>
        </w:rPr>
        <w:t xml:space="preserve">Key words: </w:t>
      </w:r>
      <w:r w:rsidR="00200E87" w:rsidRPr="00511005">
        <w:rPr>
          <w:rFonts w:ascii="Arial" w:eastAsia="Calibri" w:hAnsi="Arial" w:cs="Arial"/>
          <w:szCs w:val="28"/>
          <w:lang w:val="en-US"/>
        </w:rPr>
        <w:t>life imprisonment,</w:t>
      </w:r>
      <w:r w:rsidR="00200E87" w:rsidRPr="00511005">
        <w:rPr>
          <w:rFonts w:ascii="Arial" w:eastAsia="Calibri" w:hAnsi="Arial" w:cs="Arial"/>
          <w:b/>
          <w:bCs/>
          <w:szCs w:val="28"/>
          <w:lang w:val="en-US"/>
        </w:rPr>
        <w:t xml:space="preserve"> </w:t>
      </w:r>
      <w:r w:rsidR="00200E87" w:rsidRPr="00511005">
        <w:rPr>
          <w:rFonts w:ascii="Arial" w:eastAsia="Calibri" w:hAnsi="Arial" w:cs="Arial"/>
          <w:szCs w:val="28"/>
          <w:lang w:val="en-US"/>
        </w:rPr>
        <w:t>criminal offense, criminal liability, human rights, punishment</w:t>
      </w:r>
      <w:r w:rsidR="00200E87" w:rsidRPr="00511005">
        <w:rPr>
          <w:rFonts w:ascii="Arial" w:eastAsia="Calibri" w:hAnsi="Arial" w:cs="Arial"/>
          <w:szCs w:val="28"/>
          <w:lang w:val="uk-UA"/>
        </w:rPr>
        <w:t>.</w:t>
      </w:r>
    </w:p>
    <w:p w14:paraId="315FB93C" w14:textId="62595EB2" w:rsidR="00200E87"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200E87" w:rsidRPr="00511005">
        <w:rPr>
          <w:rFonts w:ascii="Arial" w:eastAsia="Calibri" w:hAnsi="Arial" w:cs="Arial"/>
          <w:i/>
          <w:iCs/>
          <w:szCs w:val="28"/>
          <w:lang w:val="uk-UA"/>
        </w:rPr>
        <w:t>к.ю.н., доцент Хильченко А. С.</w:t>
      </w:r>
    </w:p>
    <w:p w14:paraId="0444BC67" w14:textId="77777777" w:rsidR="00200E87" w:rsidRPr="00511005" w:rsidRDefault="00200E87" w:rsidP="003A292D">
      <w:pPr>
        <w:spacing w:line="264" w:lineRule="auto"/>
        <w:ind w:firstLine="0"/>
        <w:rPr>
          <w:rFonts w:ascii="Arial" w:eastAsia="Calibri" w:hAnsi="Arial" w:cs="Arial"/>
          <w:i/>
          <w:szCs w:val="28"/>
          <w:lang w:val="uk-UA"/>
        </w:rPr>
      </w:pPr>
    </w:p>
    <w:p w14:paraId="5BFC7E54" w14:textId="77777777" w:rsidR="00200E87" w:rsidRPr="00511005" w:rsidRDefault="00200E87" w:rsidP="003A292D">
      <w:pPr>
        <w:spacing w:line="264" w:lineRule="auto"/>
        <w:ind w:firstLine="0"/>
        <w:rPr>
          <w:rFonts w:ascii="Arial" w:eastAsia="Calibri" w:hAnsi="Arial" w:cs="Arial"/>
          <w:i/>
          <w:szCs w:val="28"/>
          <w:lang w:val="uk-UA"/>
        </w:rPr>
      </w:pPr>
    </w:p>
    <w:p w14:paraId="471F3A50" w14:textId="77777777" w:rsidR="00B4188B" w:rsidRDefault="00B4188B">
      <w:pPr>
        <w:spacing w:after="200" w:line="276" w:lineRule="auto"/>
        <w:ind w:firstLine="0"/>
        <w:jc w:val="left"/>
        <w:rPr>
          <w:rFonts w:ascii="Arial" w:eastAsia="Times New Roman" w:hAnsi="Arial" w:cs="Arial"/>
          <w:b/>
          <w:i/>
          <w:szCs w:val="28"/>
          <w:lang w:val="ru" w:eastAsia="uk-UA"/>
        </w:rPr>
      </w:pPr>
      <w:r>
        <w:rPr>
          <w:rFonts w:ascii="Arial" w:eastAsia="Times New Roman" w:hAnsi="Arial" w:cs="Arial"/>
          <w:b/>
          <w:i/>
          <w:szCs w:val="28"/>
          <w:lang w:val="ru" w:eastAsia="uk-UA"/>
        </w:rPr>
        <w:br w:type="page"/>
      </w:r>
    </w:p>
    <w:p w14:paraId="00873E3A" w14:textId="1E0BD60C" w:rsidR="00200E87" w:rsidRPr="00511005" w:rsidRDefault="00200E87" w:rsidP="003A292D">
      <w:pPr>
        <w:spacing w:line="264" w:lineRule="auto"/>
        <w:ind w:firstLine="0"/>
        <w:jc w:val="center"/>
        <w:rPr>
          <w:rFonts w:ascii="Arial" w:eastAsia="Times New Roman" w:hAnsi="Arial" w:cs="Arial"/>
          <w:b/>
          <w:i/>
          <w:szCs w:val="28"/>
          <w:lang w:val="ru" w:eastAsia="uk-UA"/>
        </w:rPr>
      </w:pPr>
      <w:r w:rsidRPr="00511005">
        <w:rPr>
          <w:rFonts w:ascii="Arial" w:eastAsia="Times New Roman" w:hAnsi="Arial" w:cs="Arial"/>
          <w:b/>
          <w:i/>
          <w:szCs w:val="28"/>
          <w:lang w:val="ru" w:eastAsia="uk-UA"/>
        </w:rPr>
        <w:lastRenderedPageBreak/>
        <w:t>Курманська Аріна Вадимівна</w:t>
      </w:r>
    </w:p>
    <w:p w14:paraId="5F6AE526" w14:textId="16294F1E" w:rsidR="00200E87" w:rsidRPr="00511005" w:rsidRDefault="00536AAB" w:rsidP="003A292D">
      <w:pPr>
        <w:spacing w:line="264" w:lineRule="auto"/>
        <w:ind w:firstLine="0"/>
        <w:jc w:val="center"/>
        <w:rPr>
          <w:rFonts w:ascii="Arial" w:eastAsia="Times New Roman" w:hAnsi="Arial" w:cs="Arial"/>
          <w:szCs w:val="28"/>
          <w:lang w:val="ru" w:eastAsia="uk-UA"/>
        </w:rPr>
      </w:pPr>
      <w:r w:rsidRPr="00511005">
        <w:rPr>
          <w:rFonts w:ascii="Arial" w:eastAsia="Times New Roman" w:hAnsi="Arial" w:cs="Arial"/>
          <w:szCs w:val="28"/>
          <w:lang w:val="uk-UA" w:eastAsia="uk-UA"/>
        </w:rPr>
        <w:t xml:space="preserve">студентка 3-го курсу </w:t>
      </w:r>
      <w:r w:rsidR="001B7B25" w:rsidRPr="00511005">
        <w:rPr>
          <w:rFonts w:ascii="Arial" w:eastAsia="Times New Roman" w:hAnsi="Arial" w:cs="Arial"/>
          <w:szCs w:val="28"/>
          <w:lang w:val="uk-UA" w:eastAsia="uk-UA"/>
        </w:rPr>
        <w:t>факультету судового та міжнародного права</w:t>
      </w:r>
      <w:r w:rsidR="00200E87" w:rsidRPr="00511005">
        <w:rPr>
          <w:rFonts w:ascii="Arial" w:eastAsia="Times New Roman" w:hAnsi="Arial" w:cs="Arial"/>
          <w:szCs w:val="28"/>
          <w:lang w:val="ru" w:eastAsia="uk-UA"/>
        </w:rPr>
        <w:t xml:space="preserve"> </w:t>
      </w:r>
    </w:p>
    <w:p w14:paraId="4DE4DDAA" w14:textId="47F6DD6A" w:rsidR="007B2628" w:rsidRPr="00511005" w:rsidRDefault="007B2628" w:rsidP="003A292D">
      <w:pPr>
        <w:spacing w:line="264" w:lineRule="auto"/>
        <w:ind w:firstLine="0"/>
        <w:jc w:val="center"/>
        <w:rPr>
          <w:rFonts w:ascii="Arial" w:eastAsia="Times New Roman" w:hAnsi="Arial" w:cs="Arial"/>
          <w:szCs w:val="28"/>
          <w:lang w:val="ru" w:eastAsia="uk-UA"/>
        </w:rPr>
      </w:pPr>
      <w:r w:rsidRPr="00511005">
        <w:rPr>
          <w:rFonts w:ascii="Arial" w:eastAsia="Times New Roman" w:hAnsi="Arial" w:cs="Arial"/>
          <w:szCs w:val="28"/>
          <w:lang w:val="ru" w:eastAsia="uk-UA"/>
        </w:rPr>
        <w:t>Національного університету «Одеська юридична академія»</w:t>
      </w:r>
      <w:r w:rsidR="00200E87" w:rsidRPr="00511005">
        <w:rPr>
          <w:rFonts w:ascii="Arial" w:eastAsia="Times New Roman" w:hAnsi="Arial" w:cs="Arial"/>
          <w:szCs w:val="28"/>
          <w:lang w:val="ru" w:eastAsia="uk-UA"/>
        </w:rPr>
        <w:t xml:space="preserve"> </w:t>
      </w:r>
    </w:p>
    <w:p w14:paraId="66965421" w14:textId="3F1619B4" w:rsidR="00200E87" w:rsidRPr="00511005" w:rsidRDefault="00200E87" w:rsidP="003A292D">
      <w:pPr>
        <w:spacing w:line="264" w:lineRule="auto"/>
        <w:ind w:firstLine="0"/>
        <w:jc w:val="center"/>
        <w:rPr>
          <w:rFonts w:ascii="Arial" w:eastAsia="Times New Roman" w:hAnsi="Arial" w:cs="Arial"/>
          <w:szCs w:val="28"/>
          <w:lang w:val="ru" w:eastAsia="uk-UA"/>
        </w:rPr>
      </w:pPr>
    </w:p>
    <w:p w14:paraId="4D54D5B3" w14:textId="77777777" w:rsidR="00200E87" w:rsidRPr="00511005" w:rsidRDefault="00200E87" w:rsidP="003A292D">
      <w:pPr>
        <w:spacing w:line="264" w:lineRule="auto"/>
        <w:ind w:firstLine="0"/>
        <w:jc w:val="center"/>
        <w:rPr>
          <w:rFonts w:ascii="Arial" w:eastAsia="Times New Roman" w:hAnsi="Arial" w:cs="Arial"/>
          <w:b/>
          <w:szCs w:val="28"/>
          <w:lang w:val="ru" w:eastAsia="uk-UA"/>
        </w:rPr>
      </w:pPr>
      <w:r w:rsidRPr="00511005">
        <w:rPr>
          <w:rFonts w:ascii="Arial" w:eastAsia="Times New Roman" w:hAnsi="Arial" w:cs="Arial"/>
          <w:b/>
          <w:szCs w:val="28"/>
          <w:lang w:val="ru" w:eastAsia="uk-UA"/>
        </w:rPr>
        <w:t>НЕЗАКОННЕ ПОВОДЖЕННЯ ЗІ ЗБРОЄЮ, БОЙОВИМИ ПРИПАСАМИ АБО ВИБУХОВИМИ РЕЧОВИНАМИ У ВОЄННИЙ ЧАС: ВІДПОВІДАЛЬНІСТЬ В УМОВАХ ВОЄННОГО СТАНУ</w:t>
      </w:r>
    </w:p>
    <w:p w14:paraId="1EDC5C41" w14:textId="77777777" w:rsidR="00200E87" w:rsidRPr="00511005" w:rsidRDefault="00200E87" w:rsidP="003A292D">
      <w:pPr>
        <w:spacing w:line="264" w:lineRule="auto"/>
        <w:ind w:firstLine="0"/>
        <w:rPr>
          <w:rFonts w:ascii="Arial" w:eastAsia="Times New Roman" w:hAnsi="Arial" w:cs="Arial"/>
          <w:szCs w:val="28"/>
          <w:lang w:val="ru" w:eastAsia="uk-UA"/>
        </w:rPr>
      </w:pPr>
      <w:r w:rsidRPr="00511005">
        <w:rPr>
          <w:rFonts w:ascii="Arial" w:eastAsia="Times New Roman" w:hAnsi="Arial" w:cs="Arial"/>
          <w:szCs w:val="28"/>
          <w:lang w:val="ru" w:eastAsia="uk-UA"/>
        </w:rPr>
        <w:t>Після початку повномасштабного вторгнення громадська безпека України зазнала суттєвих викликів. Зокрема, на тлі загальної мілітаризації населення та ослабленого контролю з боку держави, кримінальне правопорушення, передбачене ст. 263 КК України (незаконне поводження зі зброєю, бойовими припасами або вибуховими речовинами), набирає невпинних обертів, адже лише за січень — лютий 2025 року було зареєстровано 2068 таких випадків, з них 1294 повідомлення про підозру у вчиненні даного кримінального правопорушення [2]. Разом із тим у 2022–2025 роках облік кримінальних правопорушень на тимчасово окупованих територіях був істотно обмеженим, у зв’язку з чим реальний рівень злочинності на території всієї України у цей період є вищим за офіційно зафіксовані дані, адже найбільше нелегальної зброї вилучають в областях, що межують із веденням бойових дій, таких як Донецька, Харківська, Запорізька та Дніпропетровська. Саме тому виникає необхідність глибше проаналізувати особливості відповідальності за ст. 263 ККУ у воєнний час.</w:t>
      </w:r>
    </w:p>
    <w:p w14:paraId="06CBF91E" w14:textId="77777777" w:rsidR="00200E87" w:rsidRPr="00511005" w:rsidRDefault="00200E87" w:rsidP="003A292D">
      <w:pPr>
        <w:spacing w:line="264" w:lineRule="auto"/>
        <w:ind w:firstLine="0"/>
        <w:rPr>
          <w:rFonts w:ascii="Arial" w:eastAsia="Times New Roman" w:hAnsi="Arial" w:cs="Arial"/>
          <w:szCs w:val="28"/>
          <w:lang w:val="ru" w:eastAsia="uk-UA"/>
        </w:rPr>
      </w:pPr>
      <w:r w:rsidRPr="00511005">
        <w:rPr>
          <w:rFonts w:ascii="Arial" w:eastAsia="Times New Roman" w:hAnsi="Arial" w:cs="Arial"/>
          <w:szCs w:val="28"/>
          <w:lang w:val="ru" w:eastAsia="uk-UA"/>
        </w:rPr>
        <w:t>Виходячи з цього, відповідальність за незаконне поводження зі зброєю, бойовими припасами або вибуховими речовинами в умовах воєнного стану є надзвичайно актуальним питанням, аналізом якого займалися О. А. Гритенко «Посилення кримінальної відповідальності за ст. 263 Кримінального кодексу України в умовах воєнного або надзвичайного стану: аналіз окремих законодавчих пропозицій»; В. Я. Конопельський «Деякі напрями вдосконалення кримінальної відповідальності за незаконне виготовлення, перероблення чи ремонт вогнепальної зброї, бойових припасів, вибухових речовин чи вибухових пристроїв»; В. В. Кузнецов «Сучасні проблеми реалізації кримінальної відповідальності за незаконний обіг зброї»; О. В. Процюк Актуальні питання щодо кримінальної відповідальності за незаконне поводження зі зброєю, бойовими припасами або вибуховими речовинами» та багато інших.</w:t>
      </w:r>
    </w:p>
    <w:p w14:paraId="5A209CA8" w14:textId="77777777" w:rsidR="00200E87" w:rsidRPr="00511005" w:rsidRDefault="00200E87" w:rsidP="003A292D">
      <w:pPr>
        <w:spacing w:line="264" w:lineRule="auto"/>
        <w:ind w:firstLine="0"/>
        <w:rPr>
          <w:rFonts w:ascii="Arial" w:eastAsia="Times New Roman" w:hAnsi="Arial" w:cs="Arial"/>
          <w:szCs w:val="28"/>
          <w:lang w:val="ru" w:eastAsia="uk-UA"/>
        </w:rPr>
      </w:pPr>
      <w:r w:rsidRPr="00511005">
        <w:rPr>
          <w:rFonts w:ascii="Arial" w:eastAsia="Times New Roman" w:hAnsi="Arial" w:cs="Arial"/>
          <w:szCs w:val="28"/>
          <w:lang w:val="ru" w:eastAsia="uk-UA"/>
        </w:rPr>
        <w:t xml:space="preserve">У період, що передував запровадженню воєнного стану, у ВР України точилися активні дискусії навколо проєкту закону, що регулював би питання незаконного поводження зі зброєю. Втім, до сьогодні жодного відповідного нормативного акта прийнято не було. Наразі кримінальні правопорушення стосовно незаконного поводження зі зброєю, бойовими припасами або вибуховими речовинами охоплюються колом різних актів законодавства, що ускладнює правове регулювання. Як вказує О. В. Процюк: «Відсутність </w:t>
      </w:r>
      <w:r w:rsidRPr="00511005">
        <w:rPr>
          <w:rFonts w:ascii="Arial" w:eastAsia="Times New Roman" w:hAnsi="Arial" w:cs="Arial"/>
          <w:szCs w:val="28"/>
          <w:lang w:val="ru" w:eastAsia="uk-UA"/>
        </w:rPr>
        <w:lastRenderedPageBreak/>
        <w:t>профільного законодавства щодо зброї, її видів та характеристик створює підстави для уникнення відповідальності за незаконне з нею поводження. Наявність лише Наказу № 622 від 21.08.98 є досить умовною підставою для визначення законності та незаконності дій зі зброєю та бойовими припасами» [5, с. 182]. Це підтверджує думку про потребу прийняття комплексного закону, який би чітко визначав поняття, види зброї та межі її обігу, що, своєю чергою, дозволило б результативніше протидіяти незаконному поводженню зі зброєю та забезпечити притягнення винних осіб до відповідальності. Такий закон також має враховувати актуальні реалії сьогодення стосовно безпеки та передбачати гнучкий механізм реагування на загрози, пов’язані з неконтрольованим поширенням зброї у післявоєнний період.</w:t>
      </w:r>
    </w:p>
    <w:p w14:paraId="3026D20B" w14:textId="77777777" w:rsidR="00200E87" w:rsidRPr="00511005" w:rsidRDefault="00200E87" w:rsidP="003A292D">
      <w:pPr>
        <w:spacing w:line="264" w:lineRule="auto"/>
        <w:ind w:firstLine="0"/>
        <w:rPr>
          <w:rFonts w:ascii="Arial" w:eastAsia="Times New Roman" w:hAnsi="Arial" w:cs="Arial"/>
          <w:szCs w:val="28"/>
          <w:lang w:val="ru" w:eastAsia="uk-UA"/>
        </w:rPr>
      </w:pPr>
      <w:r w:rsidRPr="00511005">
        <w:rPr>
          <w:rFonts w:ascii="Arial" w:eastAsia="Times New Roman" w:hAnsi="Arial" w:cs="Arial"/>
          <w:szCs w:val="28"/>
          <w:lang w:val="ru" w:eastAsia="uk-UA"/>
        </w:rPr>
        <w:t>Однією з актуальних проблем є визначення оптимального підходу до кримінальної відповідальності за незаконний обіг зброї: з одного боку, дослідники роблять акцент на важливості стимулювання добровільної здачі зброї як заохочувальної норми, з іншого — на необхідності посилення відповідальності в умовах воєнного стану. Прикладом вказаної суперечності є слова В. Я. Конопельського: «Частина 3 ст. 263 КК України є заохочувальною кримінально-правовою нормою, що передбачає звільнення особи від кримінальної відповідальності, якщо вона добровільно здала органам влади зброю, бойові припаси, вибухові речовини або вибухові пристрої. Наявність такої заохочувальної кримінально-правової норми є цілком обґрунтованою та закономірною, оскільки відповідає основним принципам кримінального права: гуманізму та економії кримінальної репресії» [3, с. 106]. Протилежною даній думці є позиція О. А. Гритенко, яка стверджує: «На цей момент, особливий інтерес представляє запропонований у ВР України проєкт Закону про внесення змін до статті 263 КК України щодо посилення відповідальності за незаконне придбання, передачу чи збут вогнепальної зброї, бойових припасів, вибухових речовин або вибухових пристроїв в умовах воєнного або надзвичайного стану. Аналізуючи позитивні положення цього законопроєкту маємо звернути увагу на ті питання, що повʼязані з посиленням кримінальної відповідальності через збільшення санкцій статті, а також додаванням нових покарань» [1, с. 178]. Підсумовуючи, варто сказати, що в умовах сучасної безпекової ситуації в Україні важливо відшукати зважений підхід між посиленням відповідальності за незаконне поводження зі зброєю та збереженням дієвих заохочувальних механізмів, що мають на меті реалізацію основоположних засад кримінального права. Це дозволить забезпечити як належний рівень безпеки, так і справедливість у застосуванні кримінальної відповідальності. Крім того, важливо враховувати соціально-психологічні фактори незаконного поводження зі зброєю в Україні, що допоможе підвищити рівень довіри суспільства до влади.</w:t>
      </w:r>
    </w:p>
    <w:p w14:paraId="5C54B0E2" w14:textId="5722D90F" w:rsidR="00200E87" w:rsidRPr="00511005" w:rsidRDefault="00200E87" w:rsidP="003A292D">
      <w:pPr>
        <w:spacing w:line="264" w:lineRule="auto"/>
        <w:ind w:firstLine="0"/>
        <w:rPr>
          <w:rFonts w:ascii="Arial" w:eastAsia="Times New Roman" w:hAnsi="Arial" w:cs="Arial"/>
          <w:szCs w:val="28"/>
          <w:lang w:val="ru" w:eastAsia="uk-UA"/>
        </w:rPr>
      </w:pPr>
      <w:r w:rsidRPr="00511005">
        <w:rPr>
          <w:rFonts w:ascii="Arial" w:eastAsia="Times New Roman" w:hAnsi="Arial" w:cs="Arial"/>
          <w:szCs w:val="28"/>
          <w:lang w:val="ru" w:eastAsia="uk-UA"/>
        </w:rPr>
        <w:lastRenderedPageBreak/>
        <w:t>Серед малодосліджених, але вкрай важливих проблем у сфері незаконного поводження зі зброєю Україні є питання, пов’язані з неконтрольованим вивезенням трофейної зброї із зони бойових дій та ймовірними наслідками такого явища. За словами В. В. Кузнецова: «Залишається відкритим питання щодо застосування цивільними особами як трофейної зброї, так й іншої нелегалізованої зброї. Замість заохочення щодо добровільної здачі такої зброї, держава навпаки шляхом кримінально-правових репресій намагається покарати цивільних осіб» [4, с. 68]. Дана цитата доводить наявність неточності в законодавстві щодо трофейної зброї: замість створення ефективного механізму реєстрації або добровільної передачі, наявна система орієнтована здебільшого на репресивний підхід, що не враховує реальних обставин походження такої зброї. Однак трофейна зброя, яку вивозять із зони бойових дій, несе загрозу її подальшого використання в неконтрольованих умовах. Для запобігання цьому держава повинна запровадити</w:t>
      </w:r>
      <w:r w:rsidR="007B2628" w:rsidRPr="00511005">
        <w:rPr>
          <w:rFonts w:ascii="Arial" w:eastAsia="Times New Roman" w:hAnsi="Arial" w:cs="Arial"/>
          <w:szCs w:val="28"/>
          <w:lang w:val="ru" w:eastAsia="uk-UA"/>
        </w:rPr>
        <w:t xml:space="preserve"> </w:t>
      </w:r>
      <w:r w:rsidRPr="00511005">
        <w:rPr>
          <w:rFonts w:ascii="Arial" w:eastAsia="Times New Roman" w:hAnsi="Arial" w:cs="Arial"/>
          <w:szCs w:val="28"/>
          <w:lang w:val="ru" w:eastAsia="uk-UA"/>
        </w:rPr>
        <w:t>чіткі механізми обліку та контролю подібних випадків, дотримуючись принципу справедливості.</w:t>
      </w:r>
    </w:p>
    <w:p w14:paraId="3812B37B" w14:textId="77777777" w:rsidR="00200E87" w:rsidRPr="00511005" w:rsidRDefault="00200E87" w:rsidP="003A292D">
      <w:pPr>
        <w:spacing w:line="264" w:lineRule="auto"/>
        <w:ind w:firstLine="0"/>
        <w:rPr>
          <w:rFonts w:ascii="Arial" w:eastAsia="Times New Roman" w:hAnsi="Arial" w:cs="Arial"/>
          <w:szCs w:val="28"/>
          <w:lang w:val="ru" w:eastAsia="uk-UA"/>
        </w:rPr>
      </w:pPr>
      <w:r w:rsidRPr="00511005">
        <w:rPr>
          <w:rFonts w:ascii="Arial" w:eastAsia="Times New Roman" w:hAnsi="Arial" w:cs="Arial"/>
          <w:szCs w:val="28"/>
          <w:lang w:val="ru" w:eastAsia="uk-UA"/>
        </w:rPr>
        <w:t>Отже, у контексті війни, що триває в Україні та її впливу на незаконне поводження зі зброєю, бойовими припасами або вибуховими речовинами значна увага має бути приділена вдосконаленню нормативно-правового регулювання, яке б комплексно враховувало реалії воєнного часу та забезпечувало належний рівень правового регулювання кримінальної відповідальності за ці правопорушення. До соціально-психологічних чинників незаконного поводження зі зброєю в Україні належать економічна нестабільність, соціальна нерівність, воєнні дії, безкарність злочинності, неефективність контрольних органів, вплив російської пропаганди тощо. Так, одним з ключових заходів для нейтралізації даних факторів має стати прийняття профільного закону щодо незаконного поводження зі зброєю, бойовими припасами або вибуховими речовинами, створення дієвих механізмів для реєстрації та добровільної здачі зброї, а також підвищення ефективності психологічної підтримки військовослужбовців, що є необхідними кроками для зменшення кримінальних правопорушень у цій сфері. Водночас важливо зберігати баланс між посиленням відповідальності та заохоченням добровільної здачі зброї, оскільки це може стати вагомим чинником у стабілізації ситуації в країні після завершення бойових дій.</w:t>
      </w:r>
    </w:p>
    <w:p w14:paraId="407C464F" w14:textId="77777777" w:rsidR="00200E87" w:rsidRPr="00511005" w:rsidRDefault="00200E87" w:rsidP="003A292D">
      <w:pPr>
        <w:spacing w:line="264" w:lineRule="auto"/>
        <w:ind w:firstLine="0"/>
        <w:rPr>
          <w:rFonts w:ascii="Arial" w:eastAsia="Times New Roman" w:hAnsi="Arial" w:cs="Arial"/>
          <w:szCs w:val="28"/>
          <w:lang w:val="ru" w:eastAsia="uk-UA"/>
        </w:rPr>
      </w:pPr>
    </w:p>
    <w:p w14:paraId="7AA20941" w14:textId="6867EDEF" w:rsidR="00200E87" w:rsidRPr="00511005" w:rsidRDefault="007B2628" w:rsidP="007B2628">
      <w:pPr>
        <w:spacing w:line="264" w:lineRule="auto"/>
        <w:ind w:firstLine="0"/>
        <w:jc w:val="center"/>
        <w:rPr>
          <w:rFonts w:ascii="Arial" w:eastAsia="Times New Roman" w:hAnsi="Arial" w:cs="Arial"/>
          <w:szCs w:val="28"/>
          <w:lang w:val="ru" w:eastAsia="uk-UA"/>
        </w:rPr>
      </w:pPr>
      <w:r w:rsidRPr="00511005">
        <w:rPr>
          <w:rFonts w:ascii="Arial" w:eastAsia="Times New Roman" w:hAnsi="Arial" w:cs="Arial"/>
          <w:b/>
          <w:szCs w:val="28"/>
          <w:lang w:val="uk-UA" w:eastAsia="uk-UA"/>
        </w:rPr>
        <w:t>Список використаних джерел</w:t>
      </w:r>
    </w:p>
    <w:p w14:paraId="354A0A89" w14:textId="77777777" w:rsidR="00200E87" w:rsidRPr="00511005" w:rsidRDefault="00200E87" w:rsidP="003F6A5D">
      <w:pPr>
        <w:numPr>
          <w:ilvl w:val="0"/>
          <w:numId w:val="526"/>
        </w:numPr>
        <w:spacing w:line="264" w:lineRule="auto"/>
        <w:contextualSpacing/>
        <w:jc w:val="left"/>
        <w:rPr>
          <w:rFonts w:ascii="Arial" w:eastAsia="Times New Roman" w:hAnsi="Arial" w:cs="Arial"/>
          <w:szCs w:val="28"/>
          <w:lang w:val="ru" w:eastAsia="uk-UA"/>
        </w:rPr>
      </w:pPr>
      <w:r w:rsidRPr="00511005">
        <w:rPr>
          <w:rFonts w:ascii="Arial" w:eastAsia="Times New Roman" w:hAnsi="Arial" w:cs="Arial"/>
          <w:szCs w:val="28"/>
          <w:lang w:val="ru" w:eastAsia="uk-UA"/>
        </w:rPr>
        <w:t xml:space="preserve">Гритенко О. А. «Посилення кримінальної відповідальності за ст. 263 Кримінального кодексу україни в умовах воєнного або надзвичайного стану: аналіз окремих законодавчих пропозицій». </w:t>
      </w:r>
      <w:r w:rsidRPr="00511005">
        <w:rPr>
          <w:rFonts w:ascii="Arial" w:eastAsia="Times New Roman" w:hAnsi="Arial" w:cs="Arial"/>
          <w:i/>
          <w:szCs w:val="28"/>
          <w:lang w:val="ru" w:eastAsia="uk-UA"/>
        </w:rPr>
        <w:t xml:space="preserve">Питання кримінального права, кримінології та кримінально-виконавчого права. Право і суспільство. </w:t>
      </w:r>
      <w:r w:rsidRPr="00511005">
        <w:rPr>
          <w:rFonts w:ascii="Arial" w:eastAsia="Times New Roman" w:hAnsi="Arial" w:cs="Arial"/>
          <w:szCs w:val="28"/>
          <w:lang w:val="ru" w:eastAsia="uk-UA"/>
        </w:rPr>
        <w:t>2023. № 5. С. 176-181.</w:t>
      </w:r>
    </w:p>
    <w:p w14:paraId="7482F06D" w14:textId="77777777" w:rsidR="00200E87" w:rsidRPr="00511005" w:rsidRDefault="00200E87" w:rsidP="003F6A5D">
      <w:pPr>
        <w:numPr>
          <w:ilvl w:val="0"/>
          <w:numId w:val="526"/>
        </w:numPr>
        <w:spacing w:line="264" w:lineRule="auto"/>
        <w:contextualSpacing/>
        <w:jc w:val="left"/>
        <w:rPr>
          <w:rFonts w:ascii="Arial" w:eastAsia="Times New Roman" w:hAnsi="Arial" w:cs="Arial"/>
          <w:szCs w:val="28"/>
          <w:lang w:val="pl-PL" w:eastAsia="uk-UA"/>
        </w:rPr>
      </w:pPr>
      <w:r w:rsidRPr="00511005">
        <w:rPr>
          <w:rFonts w:ascii="Arial" w:eastAsia="Times New Roman" w:hAnsi="Arial" w:cs="Arial"/>
          <w:szCs w:val="28"/>
          <w:lang w:val="ru" w:eastAsia="uk-UA"/>
        </w:rPr>
        <w:lastRenderedPageBreak/>
        <w:t xml:space="preserve">Єдиний звіт про кримінальні правопорушення по державі за січень-лютий 2025 року // Офіс Генерального прокурора: офіційний веб-сайт. </w:t>
      </w:r>
      <w:r w:rsidRPr="00511005">
        <w:rPr>
          <w:rFonts w:ascii="Arial" w:eastAsia="Times New Roman" w:hAnsi="Arial" w:cs="Arial"/>
          <w:szCs w:val="28"/>
          <w:lang w:val="pl-PL" w:eastAsia="uk-UA"/>
        </w:rPr>
        <w:t xml:space="preserve">URL: </w:t>
      </w:r>
      <w:r w:rsidR="005938AD">
        <w:fldChar w:fldCharType="begin"/>
      </w:r>
      <w:r w:rsidR="005938AD" w:rsidRPr="00055389">
        <w:rPr>
          <w:lang w:val="en-US"/>
        </w:rPr>
        <w:instrText xml:space="preserve"> HYPERLINK "https://old.gp.gov.ua/ua/file_downloader.html?_m=fslib&amp;_t=fsfile&amp;_c=download&amp;file_id=264789" \h </w:instrText>
      </w:r>
      <w:r w:rsidR="005938AD">
        <w:fldChar w:fldCharType="separate"/>
      </w:r>
      <w:r w:rsidRPr="00511005">
        <w:rPr>
          <w:rFonts w:ascii="Arial" w:eastAsia="Times New Roman" w:hAnsi="Arial" w:cs="Arial"/>
          <w:szCs w:val="28"/>
          <w:lang w:val="pl-PL" w:eastAsia="uk-UA"/>
        </w:rPr>
        <w:t>https://old.gp.gov.ua/ua/file_downloader.html?_m=fslib&amp;_t=fsfile&amp;_c=download&amp;file_id=264789</w:t>
      </w:r>
      <w:r w:rsidR="005938AD">
        <w:rPr>
          <w:rFonts w:ascii="Arial" w:eastAsia="Times New Roman" w:hAnsi="Arial" w:cs="Arial"/>
          <w:szCs w:val="28"/>
          <w:lang w:val="pl-PL" w:eastAsia="uk-UA"/>
        </w:rPr>
        <w:fldChar w:fldCharType="end"/>
      </w:r>
      <w:r w:rsidRPr="00511005">
        <w:rPr>
          <w:rFonts w:ascii="Arial" w:eastAsia="Times New Roman" w:hAnsi="Arial" w:cs="Arial"/>
          <w:szCs w:val="28"/>
          <w:lang w:val="pl-PL" w:eastAsia="uk-UA"/>
        </w:rPr>
        <w:t xml:space="preserve"> </w:t>
      </w:r>
    </w:p>
    <w:p w14:paraId="5E4E6A73" w14:textId="77777777" w:rsidR="00200E87" w:rsidRPr="00511005" w:rsidRDefault="00200E87" w:rsidP="003F6A5D">
      <w:pPr>
        <w:numPr>
          <w:ilvl w:val="0"/>
          <w:numId w:val="526"/>
        </w:numPr>
        <w:spacing w:line="264" w:lineRule="auto"/>
        <w:contextualSpacing/>
        <w:jc w:val="left"/>
        <w:rPr>
          <w:rFonts w:ascii="Arial" w:eastAsia="Times New Roman" w:hAnsi="Arial" w:cs="Arial"/>
          <w:szCs w:val="28"/>
          <w:lang w:val="ru" w:eastAsia="uk-UA"/>
        </w:rPr>
      </w:pPr>
      <w:r w:rsidRPr="00511005">
        <w:rPr>
          <w:rFonts w:ascii="Arial" w:eastAsia="Times New Roman" w:hAnsi="Arial" w:cs="Arial"/>
          <w:szCs w:val="28"/>
          <w:lang w:val="ru" w:eastAsia="uk-UA"/>
        </w:rPr>
        <w:t>Конопельський</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В</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Я</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Деякі</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напрями</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вдосконалення</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кримінальної</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відповідальності</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за</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незаконне</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виготовлення</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переробку</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чи</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ремонт</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вогнепальної</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зброї</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бойових</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припасів</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вибухових</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речовин</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чи</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вибухових</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val="ru" w:eastAsia="uk-UA"/>
        </w:rPr>
        <w:t>пристроїв</w:t>
      </w:r>
      <w:r w:rsidRPr="00511005">
        <w:rPr>
          <w:rFonts w:ascii="Arial" w:eastAsia="Times New Roman" w:hAnsi="Arial" w:cs="Arial"/>
          <w:szCs w:val="28"/>
          <w:lang w:val="pl-PL" w:eastAsia="uk-UA"/>
        </w:rPr>
        <w:t xml:space="preserve">. </w:t>
      </w:r>
      <w:r w:rsidRPr="00511005">
        <w:rPr>
          <w:rFonts w:ascii="Arial" w:eastAsia="Times New Roman" w:hAnsi="Arial" w:cs="Arial"/>
          <w:i/>
          <w:szCs w:val="28"/>
          <w:lang w:val="ru" w:eastAsia="uk-UA"/>
        </w:rPr>
        <w:t>Південноукраїнський правничий часопис</w:t>
      </w:r>
      <w:r w:rsidRPr="00511005">
        <w:rPr>
          <w:rFonts w:ascii="Arial" w:eastAsia="Times New Roman" w:hAnsi="Arial" w:cs="Arial"/>
          <w:szCs w:val="28"/>
          <w:lang w:val="ru" w:eastAsia="uk-UA"/>
        </w:rPr>
        <w:t>. 2022. С. 105-108.</w:t>
      </w:r>
    </w:p>
    <w:p w14:paraId="0156AA81" w14:textId="77777777" w:rsidR="00200E87" w:rsidRPr="00511005" w:rsidRDefault="00200E87" w:rsidP="003F6A5D">
      <w:pPr>
        <w:numPr>
          <w:ilvl w:val="0"/>
          <w:numId w:val="526"/>
        </w:numPr>
        <w:spacing w:line="264" w:lineRule="auto"/>
        <w:contextualSpacing/>
        <w:jc w:val="left"/>
        <w:rPr>
          <w:rFonts w:ascii="Arial" w:eastAsia="Times New Roman" w:hAnsi="Arial" w:cs="Arial"/>
          <w:szCs w:val="28"/>
          <w:lang w:val="ru" w:eastAsia="uk-UA"/>
        </w:rPr>
      </w:pPr>
      <w:r w:rsidRPr="00511005">
        <w:rPr>
          <w:rFonts w:ascii="Arial" w:eastAsia="Times New Roman" w:hAnsi="Arial" w:cs="Arial"/>
          <w:szCs w:val="28"/>
          <w:lang w:val="ru" w:eastAsia="uk-UA"/>
        </w:rPr>
        <w:t xml:space="preserve">Кузнецов В. В. Сучасні проблеми реалізації кримінальної відповідальності за незаконний обіг зброї. </w:t>
      </w:r>
      <w:r w:rsidRPr="00511005">
        <w:rPr>
          <w:rFonts w:ascii="Arial" w:eastAsia="Times New Roman" w:hAnsi="Arial" w:cs="Arial"/>
          <w:i/>
          <w:szCs w:val="28"/>
          <w:lang w:val="ru" w:eastAsia="uk-UA"/>
        </w:rPr>
        <w:t xml:space="preserve">Актуальні проблеми кримінального права. </w:t>
      </w:r>
      <w:r w:rsidRPr="00511005">
        <w:rPr>
          <w:rFonts w:ascii="Arial" w:eastAsia="Times New Roman" w:hAnsi="Arial" w:cs="Arial"/>
          <w:szCs w:val="28"/>
          <w:lang w:val="ru" w:eastAsia="uk-UA"/>
        </w:rPr>
        <w:t>2022. С. 67-70.</w:t>
      </w:r>
    </w:p>
    <w:p w14:paraId="74D7B97A" w14:textId="77777777" w:rsidR="00200E87" w:rsidRPr="00511005" w:rsidRDefault="00200E87" w:rsidP="003F6A5D">
      <w:pPr>
        <w:numPr>
          <w:ilvl w:val="0"/>
          <w:numId w:val="526"/>
        </w:numPr>
        <w:spacing w:line="264" w:lineRule="auto"/>
        <w:contextualSpacing/>
        <w:jc w:val="left"/>
        <w:rPr>
          <w:rFonts w:ascii="Arial" w:eastAsia="Times New Roman" w:hAnsi="Arial" w:cs="Arial"/>
          <w:szCs w:val="28"/>
          <w:lang w:val="ru" w:eastAsia="uk-UA"/>
        </w:rPr>
      </w:pPr>
      <w:r w:rsidRPr="00511005">
        <w:rPr>
          <w:rFonts w:ascii="Arial" w:eastAsia="Times New Roman" w:hAnsi="Arial" w:cs="Arial"/>
          <w:szCs w:val="28"/>
          <w:lang w:val="ru" w:eastAsia="uk-UA"/>
        </w:rPr>
        <w:t xml:space="preserve">Процюк О. В. Актуальні питання щодо кримінальної відповідальності за незаконне поводження зі зброєю, бойовими припасами або вибуховими речовинами. </w:t>
      </w:r>
      <w:r w:rsidRPr="00511005">
        <w:rPr>
          <w:rFonts w:ascii="Arial" w:eastAsia="Times New Roman" w:hAnsi="Arial" w:cs="Arial"/>
          <w:i/>
          <w:szCs w:val="28"/>
          <w:lang w:val="ru" w:eastAsia="uk-UA"/>
        </w:rPr>
        <w:t xml:space="preserve">Актуальні проблеми кримінального права. </w:t>
      </w:r>
      <w:r w:rsidRPr="00511005">
        <w:rPr>
          <w:rFonts w:ascii="Arial" w:eastAsia="Times New Roman" w:hAnsi="Arial" w:cs="Arial"/>
          <w:szCs w:val="28"/>
          <w:lang w:val="ru" w:eastAsia="uk-UA"/>
        </w:rPr>
        <w:t>2023. С. 181-183.</w:t>
      </w:r>
    </w:p>
    <w:p w14:paraId="12F37A61" w14:textId="77777777" w:rsidR="00200E87" w:rsidRPr="00511005" w:rsidRDefault="00200E87" w:rsidP="003A292D">
      <w:pPr>
        <w:spacing w:line="264" w:lineRule="auto"/>
        <w:ind w:firstLine="0"/>
        <w:rPr>
          <w:rFonts w:ascii="Arial" w:eastAsia="Times New Roman" w:hAnsi="Arial" w:cs="Arial"/>
          <w:b/>
          <w:szCs w:val="28"/>
          <w:lang w:val="ru" w:eastAsia="uk-UA"/>
        </w:rPr>
      </w:pPr>
    </w:p>
    <w:p w14:paraId="21AAA066" w14:textId="6518B694" w:rsidR="00200E87" w:rsidRPr="00511005" w:rsidRDefault="007B2628" w:rsidP="003A292D">
      <w:pPr>
        <w:spacing w:line="264" w:lineRule="auto"/>
        <w:ind w:firstLine="0"/>
        <w:rPr>
          <w:rFonts w:ascii="Arial" w:eastAsia="Times New Roman" w:hAnsi="Arial" w:cs="Arial"/>
          <w:szCs w:val="28"/>
          <w:lang w:val="ru" w:eastAsia="uk-UA"/>
        </w:rPr>
      </w:pPr>
      <w:r w:rsidRPr="00511005">
        <w:rPr>
          <w:rFonts w:ascii="Arial" w:eastAsia="Times New Roman" w:hAnsi="Arial" w:cs="Arial"/>
          <w:b/>
          <w:i/>
          <w:szCs w:val="28"/>
          <w:lang w:val="ru" w:eastAsia="uk-UA"/>
        </w:rPr>
        <w:t xml:space="preserve">Ключові слова: </w:t>
      </w:r>
      <w:r w:rsidR="00200E87" w:rsidRPr="00511005">
        <w:rPr>
          <w:rFonts w:ascii="Arial" w:eastAsia="Times New Roman" w:hAnsi="Arial" w:cs="Arial"/>
          <w:szCs w:val="28"/>
          <w:lang w:val="ru" w:eastAsia="uk-UA"/>
        </w:rPr>
        <w:t>зброя, кримінальна відповідальність, воєнний стан, війна, бойові припаси, вибухові речовини, вибухові пристрої, холодна зброя, вогнепальна зброя,</w:t>
      </w:r>
      <w:r w:rsidRPr="00511005">
        <w:rPr>
          <w:rFonts w:ascii="Arial" w:eastAsia="Times New Roman" w:hAnsi="Arial" w:cs="Arial"/>
          <w:szCs w:val="28"/>
          <w:lang w:val="ru" w:eastAsia="uk-UA"/>
        </w:rPr>
        <w:t xml:space="preserve"> </w:t>
      </w:r>
      <w:r w:rsidR="00200E87" w:rsidRPr="00511005">
        <w:rPr>
          <w:rFonts w:ascii="Arial" w:eastAsia="Times New Roman" w:hAnsi="Arial" w:cs="Arial"/>
          <w:szCs w:val="28"/>
          <w:lang w:val="ru" w:eastAsia="uk-UA"/>
        </w:rPr>
        <w:t>обіг зброї.</w:t>
      </w:r>
    </w:p>
    <w:p w14:paraId="29D835A2" w14:textId="62AD274F" w:rsidR="00200E87" w:rsidRPr="00511005" w:rsidRDefault="007B2628" w:rsidP="003A292D">
      <w:pPr>
        <w:spacing w:line="264" w:lineRule="auto"/>
        <w:ind w:firstLine="0"/>
        <w:rPr>
          <w:rFonts w:ascii="Arial" w:eastAsia="Times New Roman" w:hAnsi="Arial" w:cs="Arial"/>
          <w:szCs w:val="28"/>
          <w:lang w:val="en-US" w:eastAsia="uk-UA"/>
        </w:rPr>
      </w:pPr>
      <w:r w:rsidRPr="00511005">
        <w:rPr>
          <w:rFonts w:ascii="Arial" w:eastAsia="Times New Roman" w:hAnsi="Arial" w:cs="Arial"/>
          <w:b/>
          <w:i/>
          <w:szCs w:val="28"/>
          <w:lang w:val="en-US" w:eastAsia="uk-UA"/>
        </w:rPr>
        <w:t xml:space="preserve">Key words: </w:t>
      </w:r>
      <w:r w:rsidR="00200E87" w:rsidRPr="00511005">
        <w:rPr>
          <w:rFonts w:ascii="Arial" w:eastAsia="Times New Roman" w:hAnsi="Arial" w:cs="Arial"/>
          <w:szCs w:val="28"/>
          <w:lang w:val="en-US" w:eastAsia="uk-UA"/>
        </w:rPr>
        <w:t>weapons, criminal liability, martial law, war, ammunition, explosive substances, explosive devices, cold weapons, firearms, circulation of weapons.</w:t>
      </w:r>
    </w:p>
    <w:p w14:paraId="668E53C0" w14:textId="77777777" w:rsidR="00200E87" w:rsidRPr="00511005" w:rsidRDefault="00200E87" w:rsidP="003A292D">
      <w:pPr>
        <w:spacing w:line="264" w:lineRule="auto"/>
        <w:ind w:firstLine="0"/>
        <w:rPr>
          <w:rFonts w:ascii="Arial" w:eastAsia="Times New Roman" w:hAnsi="Arial" w:cs="Arial"/>
          <w:i/>
          <w:szCs w:val="28"/>
          <w:lang w:val="en-US" w:eastAsia="uk-UA"/>
        </w:rPr>
      </w:pPr>
    </w:p>
    <w:p w14:paraId="7D2FED06" w14:textId="2C2A0B71" w:rsidR="00200E87"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ru" w:eastAsia="uk-UA"/>
        </w:rPr>
        <w:t xml:space="preserve">Науковий керівник: </w:t>
      </w:r>
      <w:r w:rsidR="00200E87" w:rsidRPr="00511005">
        <w:rPr>
          <w:rFonts w:ascii="Arial" w:eastAsia="Times New Roman" w:hAnsi="Arial" w:cs="Arial"/>
          <w:i/>
          <w:szCs w:val="28"/>
          <w:lang w:val="ru" w:eastAsia="uk-UA"/>
        </w:rPr>
        <w:t>д.ю.н., проф</w:t>
      </w:r>
      <w:r w:rsidR="00200E87" w:rsidRPr="00511005">
        <w:rPr>
          <w:rFonts w:ascii="Arial" w:eastAsia="Times New Roman" w:hAnsi="Arial" w:cs="Arial"/>
          <w:i/>
          <w:szCs w:val="28"/>
          <w:lang w:val="uk-UA" w:eastAsia="uk-UA"/>
        </w:rPr>
        <w:t>есор</w:t>
      </w:r>
      <w:r w:rsidR="00200E87" w:rsidRPr="00511005">
        <w:rPr>
          <w:rFonts w:ascii="Arial" w:eastAsia="Times New Roman" w:hAnsi="Arial" w:cs="Arial"/>
          <w:i/>
          <w:szCs w:val="28"/>
          <w:lang w:val="ru" w:eastAsia="uk-UA"/>
        </w:rPr>
        <w:t xml:space="preserve"> Коломієць </w:t>
      </w:r>
      <w:r w:rsidR="00200E87" w:rsidRPr="00511005">
        <w:rPr>
          <w:rFonts w:ascii="Arial" w:eastAsia="Times New Roman" w:hAnsi="Arial" w:cs="Arial"/>
          <w:i/>
          <w:szCs w:val="28"/>
          <w:lang w:val="uk-UA" w:eastAsia="uk-UA"/>
        </w:rPr>
        <w:t>Ю. Ю.</w:t>
      </w:r>
    </w:p>
    <w:p w14:paraId="29F04EC6" w14:textId="77777777" w:rsidR="00200E87" w:rsidRPr="00511005" w:rsidRDefault="00200E87" w:rsidP="003A292D">
      <w:pPr>
        <w:spacing w:line="264" w:lineRule="auto"/>
        <w:ind w:firstLine="0"/>
        <w:rPr>
          <w:rFonts w:ascii="Arial" w:eastAsia="Calibri" w:hAnsi="Arial" w:cs="Arial"/>
          <w:i/>
          <w:szCs w:val="28"/>
          <w:lang w:val="uk-UA"/>
        </w:rPr>
      </w:pPr>
    </w:p>
    <w:p w14:paraId="030ABE67" w14:textId="77777777" w:rsidR="00200E87" w:rsidRPr="00511005" w:rsidRDefault="00200E87" w:rsidP="003A292D">
      <w:pPr>
        <w:spacing w:line="264" w:lineRule="auto"/>
        <w:ind w:firstLine="0"/>
        <w:rPr>
          <w:rFonts w:ascii="Arial" w:eastAsia="Calibri" w:hAnsi="Arial" w:cs="Arial"/>
          <w:i/>
          <w:szCs w:val="28"/>
          <w:lang w:val="uk-UA"/>
        </w:rPr>
      </w:pPr>
    </w:p>
    <w:p w14:paraId="4E3718EF" w14:textId="77777777" w:rsidR="00200E87" w:rsidRPr="00511005" w:rsidRDefault="00200E87" w:rsidP="003A292D">
      <w:pPr>
        <w:spacing w:line="264" w:lineRule="auto"/>
        <w:ind w:right="283"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Мазур Дмитро Сергійович</w:t>
      </w:r>
    </w:p>
    <w:p w14:paraId="32C4666A" w14:textId="36C8DF0C" w:rsidR="00200E87" w:rsidRPr="00511005" w:rsidRDefault="00536AAB" w:rsidP="003A292D">
      <w:pPr>
        <w:spacing w:line="264" w:lineRule="auto"/>
        <w:ind w:right="-1" w:firstLine="0"/>
        <w:jc w:val="center"/>
        <w:rPr>
          <w:rFonts w:ascii="Arial" w:eastAsia="Calibri" w:hAnsi="Arial" w:cs="Arial"/>
          <w:iCs/>
          <w:szCs w:val="28"/>
          <w:lang w:val="uk-UA"/>
        </w:rPr>
      </w:pPr>
      <w:r w:rsidRPr="00511005">
        <w:rPr>
          <w:rFonts w:ascii="Arial" w:eastAsia="Calibri" w:hAnsi="Arial" w:cs="Arial"/>
          <w:iCs/>
          <w:szCs w:val="28"/>
          <w:lang w:val="uk-UA"/>
        </w:rPr>
        <w:t>студент 2-го курсу факультету адвокатури та антикорупційної діяльності</w:t>
      </w:r>
      <w:r w:rsidR="00200E87" w:rsidRPr="00511005">
        <w:rPr>
          <w:rFonts w:ascii="Arial" w:eastAsia="Calibri" w:hAnsi="Arial" w:cs="Arial"/>
          <w:iCs/>
          <w:szCs w:val="28"/>
          <w:lang w:val="uk-UA"/>
        </w:rPr>
        <w:t xml:space="preserve"> </w:t>
      </w:r>
      <w:r w:rsidR="00BE3972" w:rsidRPr="00511005">
        <w:rPr>
          <w:rFonts w:ascii="Arial" w:eastAsia="Calibri" w:hAnsi="Arial" w:cs="Arial"/>
          <w:iCs/>
          <w:szCs w:val="28"/>
          <w:lang w:val="uk-UA"/>
        </w:rPr>
        <w:t>Національного університету «Одеська юридична академія»</w:t>
      </w:r>
    </w:p>
    <w:p w14:paraId="3399B5F8" w14:textId="77777777" w:rsidR="00200E87" w:rsidRPr="00511005" w:rsidRDefault="00200E87" w:rsidP="003A292D">
      <w:pPr>
        <w:spacing w:line="264" w:lineRule="auto"/>
        <w:ind w:right="-1" w:firstLine="0"/>
        <w:jc w:val="center"/>
        <w:rPr>
          <w:rFonts w:ascii="Arial" w:eastAsia="Calibri" w:hAnsi="Arial" w:cs="Arial"/>
          <w:i/>
          <w:iCs/>
          <w:szCs w:val="28"/>
          <w:lang w:val="uk-UA"/>
        </w:rPr>
      </w:pPr>
    </w:p>
    <w:p w14:paraId="2C3F1F9E" w14:textId="77777777" w:rsidR="007B2628" w:rsidRPr="00511005" w:rsidRDefault="00200E87" w:rsidP="003A292D">
      <w:pPr>
        <w:spacing w:line="264" w:lineRule="auto"/>
        <w:ind w:right="-1" w:firstLine="0"/>
        <w:jc w:val="center"/>
        <w:rPr>
          <w:rFonts w:ascii="Arial" w:eastAsia="Calibri" w:hAnsi="Arial" w:cs="Arial"/>
          <w:b/>
          <w:bCs/>
          <w:szCs w:val="28"/>
        </w:rPr>
      </w:pPr>
      <w:r w:rsidRPr="00511005">
        <w:rPr>
          <w:rFonts w:ascii="Arial" w:eastAsia="Calibri" w:hAnsi="Arial" w:cs="Arial"/>
          <w:b/>
          <w:bCs/>
          <w:szCs w:val="28"/>
          <w:lang w:val="uk-UA"/>
        </w:rPr>
        <w:t>ПРОБАЦІЙНИЙ НАГЛЯД ЯК ВИД ПОКАРАННЯ</w:t>
      </w:r>
    </w:p>
    <w:p w14:paraId="57EF04D6" w14:textId="77777777" w:rsidR="007B2628" w:rsidRPr="00511005" w:rsidRDefault="00200E87" w:rsidP="003A292D">
      <w:pPr>
        <w:spacing w:line="264" w:lineRule="auto"/>
        <w:ind w:right="-1" w:firstLine="0"/>
        <w:rPr>
          <w:rFonts w:ascii="Arial" w:eastAsia="Times New Roman" w:hAnsi="Arial" w:cs="Arial"/>
          <w:szCs w:val="28"/>
          <w:lang w:val="uk-UA" w:eastAsia="ru-RU"/>
        </w:rPr>
      </w:pPr>
      <w:r w:rsidRPr="00511005">
        <w:rPr>
          <w:rFonts w:ascii="Arial" w:eastAsia="Times New Roman" w:hAnsi="Arial" w:cs="Arial"/>
          <w:szCs w:val="28"/>
          <w:lang w:val="uk-UA" w:eastAsia="ru-RU"/>
        </w:rPr>
        <w:t>Актуальність теми пробаційного нагляду як виду покарання в Україні на даний момент зумовлена</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тим, що </w:t>
      </w:r>
      <w:r w:rsidRPr="00511005">
        <w:rPr>
          <w:rFonts w:ascii="Arial" w:eastAsia="Calibri" w:hAnsi="Arial" w:cs="Arial"/>
          <w:szCs w:val="28"/>
          <w:lang w:val="uk-UA"/>
        </w:rPr>
        <w:t>пробаційний нагляд</w:t>
      </w:r>
      <w:r w:rsidRPr="00511005">
        <w:rPr>
          <w:rFonts w:ascii="Arial" w:eastAsia="Calibri" w:hAnsi="Arial" w:cs="Arial"/>
          <w:b/>
          <w:bCs/>
          <w:szCs w:val="28"/>
          <w:lang w:val="uk-UA"/>
        </w:rPr>
        <w:t>)</w:t>
      </w:r>
      <w:r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є новим видом кримінального покарання в Україні, запровадженим Законом № 3342-</w:t>
      </w:r>
      <w:r w:rsidRPr="00511005">
        <w:rPr>
          <w:rFonts w:ascii="Arial" w:eastAsia="Calibri" w:hAnsi="Arial" w:cs="Arial"/>
          <w:szCs w:val="28"/>
        </w:rPr>
        <w:t>IX</w:t>
      </w:r>
      <w:r w:rsidRPr="00511005">
        <w:rPr>
          <w:rFonts w:ascii="Arial" w:eastAsia="Calibri" w:hAnsi="Arial" w:cs="Arial"/>
          <w:szCs w:val="28"/>
          <w:lang w:val="uk-UA"/>
        </w:rPr>
        <w:t xml:space="preserve"> від 23 серпня 2023 року, який набрав чинності 28 березня 2024 року.</w:t>
      </w:r>
      <w:r w:rsidRPr="00511005">
        <w:rPr>
          <w:rFonts w:ascii="Arial" w:eastAsia="Times New Roman" w:hAnsi="Arial" w:cs="Arial"/>
          <w:szCs w:val="28"/>
          <w:lang w:val="uk-UA" w:eastAsia="ru-RU"/>
        </w:rPr>
        <w:t xml:space="preserve"> Відповідно до цього закону, а саме статті 59-1 “Пробаційний нагляд” - це покарання у виді пробаційного нагляду полягає в обмеженні прав і свобод засудженого, визначених законом і встановлених судом, із застосуванням наглядових та соціально-виховних заходів без ізоляції від суспільства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zakon</w:instrText>
      </w:r>
      <w:r w:rsidR="005938AD" w:rsidRPr="00055389">
        <w:rPr>
          <w:lang w:val="uk-UA"/>
        </w:rPr>
        <w:instrText>.</w:instrText>
      </w:r>
      <w:r w:rsidR="005938AD">
        <w:instrText>rada</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laws</w:instrText>
      </w:r>
      <w:r w:rsidR="005938AD" w:rsidRPr="00055389">
        <w:rPr>
          <w:lang w:val="uk-UA"/>
        </w:rPr>
        <w:instrText>/</w:instrText>
      </w:r>
      <w:r w:rsidR="005938AD">
        <w:instrText>show</w:instrText>
      </w:r>
      <w:r w:rsidR="005938AD" w:rsidRPr="00055389">
        <w:rPr>
          <w:lang w:val="uk-UA"/>
        </w:rPr>
        <w:instrText>/2341-14" \</w:instrText>
      </w:r>
      <w:r w:rsidR="005938AD">
        <w:instrText>l</w:instrText>
      </w:r>
      <w:r w:rsidR="005938AD" w:rsidRPr="00055389">
        <w:rPr>
          <w:lang w:val="uk-UA"/>
        </w:rPr>
        <w:instrText xml:space="preserve"> "</w:instrText>
      </w:r>
      <w:r w:rsidR="005938AD">
        <w:instrText>Text</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eastAsia="ru-RU"/>
        </w:rPr>
        <w:t>1</w:t>
      </w:r>
      <w:r w:rsidR="005938AD">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xml:space="preserve">]. В умовах реформування </w:t>
      </w:r>
      <w:r w:rsidRPr="00511005">
        <w:rPr>
          <w:rFonts w:ascii="Arial" w:eastAsia="Calibri" w:hAnsi="Arial" w:cs="Arial"/>
          <w:szCs w:val="28"/>
          <w:lang w:val="uk-UA"/>
        </w:rPr>
        <w:t>Української пенітенціарної системи</w:t>
      </w:r>
      <w:r w:rsidRPr="00511005">
        <w:rPr>
          <w:rFonts w:ascii="Arial" w:eastAsia="Times New Roman" w:hAnsi="Arial" w:cs="Arial"/>
          <w:szCs w:val="28"/>
          <w:lang w:val="uk-UA" w:eastAsia="ru-RU"/>
        </w:rPr>
        <w:t xml:space="preserve"> на даний момент ця тема має свою актуальність з кількох причин, а саме:</w:t>
      </w:r>
    </w:p>
    <w:p w14:paraId="2416D03B" w14:textId="77777777" w:rsidR="007B2628" w:rsidRPr="00511005" w:rsidRDefault="00200E87" w:rsidP="003A292D">
      <w:pPr>
        <w:spacing w:line="264" w:lineRule="auto"/>
        <w:ind w:right="-1" w:firstLine="0"/>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1. Європейський вектор розвитку. Україна продовжує адаптовувати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і вдосконалювати своє законодавство та правозастосовну практику до європейських стандартів. Пробаційний нагляд виступає ключовим елементом вдосконалення, вона виступає альтернативою позбавленню волі. </w:t>
      </w:r>
    </w:p>
    <w:p w14:paraId="054B080A" w14:textId="77777777" w:rsidR="007B2628" w:rsidRPr="00511005" w:rsidRDefault="00200E87" w:rsidP="003A292D">
      <w:pPr>
        <w:spacing w:line="264" w:lineRule="auto"/>
        <w:ind w:right="-1"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2. Гуманізація кримінального законодавства. Пробаційний нагляд дозволяє відмовитися від жорстких каральних заходів, дозволяє особі не втрачати соціальні зв’язки з суспільством, дає змогу особу не обмежувати в пересуванні і не утримувати за гратами в поганих умовах проживання, вона не навішує на людину ярлик “відсидівшого”, і не ділить життя на до і після. </w:t>
      </w:r>
    </w:p>
    <w:p w14:paraId="10B6862C" w14:textId="77777777" w:rsidR="007B2628" w:rsidRPr="00511005" w:rsidRDefault="00200E87" w:rsidP="003A292D">
      <w:pPr>
        <w:spacing w:line="264" w:lineRule="auto"/>
        <w:ind w:right="-1" w:firstLine="0"/>
        <w:rPr>
          <w:rFonts w:ascii="Arial" w:eastAsia="Times New Roman" w:hAnsi="Arial" w:cs="Arial"/>
          <w:szCs w:val="28"/>
          <w:lang w:val="uk-UA" w:eastAsia="ru-RU"/>
        </w:rPr>
      </w:pPr>
      <w:r w:rsidRPr="00511005">
        <w:rPr>
          <w:rFonts w:ascii="Arial" w:eastAsia="Times New Roman" w:hAnsi="Arial" w:cs="Arial"/>
          <w:szCs w:val="28"/>
          <w:lang w:val="uk-UA" w:eastAsia="ru-RU"/>
        </w:rPr>
        <w:t>3. Перевантаженість пенітенціарної системи. Пробаційний нагляд сприяє зменшенню кількості ув’язнених, що в свою чергу знижує і оптимізує державні витрати на утримання в’язнів.</w:t>
      </w:r>
    </w:p>
    <w:p w14:paraId="2B265705" w14:textId="77777777" w:rsidR="007B2628" w:rsidRPr="00511005" w:rsidRDefault="00200E87" w:rsidP="003A292D">
      <w:pPr>
        <w:spacing w:line="264" w:lineRule="auto"/>
        <w:ind w:right="-1" w:firstLine="0"/>
        <w:rPr>
          <w:rFonts w:ascii="Arial" w:eastAsia="Times New Roman" w:hAnsi="Arial" w:cs="Arial"/>
          <w:szCs w:val="28"/>
          <w:lang w:val="uk-UA" w:eastAsia="ru-RU"/>
        </w:rPr>
      </w:pPr>
      <w:r w:rsidRPr="00511005">
        <w:rPr>
          <w:rFonts w:ascii="Arial" w:eastAsia="Times New Roman" w:hAnsi="Arial" w:cs="Arial"/>
          <w:szCs w:val="28"/>
          <w:lang w:val="uk-UA" w:eastAsia="ru-RU"/>
        </w:rPr>
        <w:t>4. Соціальна реінтеграція. Завдяки пробаційному нагляду</w:t>
      </w:r>
      <w:r w:rsidRPr="00511005">
        <w:rPr>
          <w:rFonts w:ascii="Arial" w:eastAsia="Calibri" w:hAnsi="Arial" w:cs="Arial"/>
          <w:b/>
          <w:bCs/>
          <w:szCs w:val="28"/>
          <w:lang w:val="uk-UA"/>
        </w:rPr>
        <w:t>)</w:t>
      </w:r>
      <w:r w:rsidRPr="00511005">
        <w:rPr>
          <w:rFonts w:ascii="Arial" w:eastAsia="Times New Roman" w:hAnsi="Arial" w:cs="Arial"/>
          <w:szCs w:val="28"/>
          <w:lang w:val="uk-UA" w:eastAsia="ru-RU"/>
        </w:rPr>
        <w:t xml:space="preserve"> особа має шанс реабілітуватися перед суспільством і повернутися до повноцінного життя в громадянському суспільстві без ярликів “відсидівшого”.</w:t>
      </w:r>
    </w:p>
    <w:p w14:paraId="0A0B3AC3" w14:textId="77777777" w:rsidR="007B2628" w:rsidRPr="00511005" w:rsidRDefault="00200E87" w:rsidP="003A292D">
      <w:pPr>
        <w:spacing w:line="264" w:lineRule="auto"/>
        <w:ind w:right="-1" w:firstLine="0"/>
        <w:rPr>
          <w:rFonts w:ascii="Arial" w:eastAsia="Times New Roman" w:hAnsi="Arial" w:cs="Arial"/>
          <w:szCs w:val="28"/>
          <w:lang w:val="uk-UA" w:eastAsia="ru-RU"/>
        </w:rPr>
      </w:pPr>
      <w:r w:rsidRPr="00511005">
        <w:rPr>
          <w:rFonts w:ascii="Arial" w:eastAsia="Times New Roman" w:hAnsi="Arial" w:cs="Arial"/>
          <w:szCs w:val="28"/>
          <w:lang w:val="uk-UA" w:eastAsia="ru-RU"/>
        </w:rPr>
        <w:t>5. Актуальність у контексті воєнного часу. Під час повномасштабного вторгнення Україна зіштовхнулася з новими соціальними проблемами, зокрема щодо утримання під вартою і роботою з особами, які вчинили нетяжкі злочини. Пробаційний нагляд дозволяє більш ефективно, залучаючи меншу кількість людей, працювати з такою особою і не витрачати зайвих коштів на її утримання.</w:t>
      </w:r>
    </w:p>
    <w:p w14:paraId="24D03D2B" w14:textId="77777777" w:rsidR="007B2628" w:rsidRPr="00511005" w:rsidRDefault="00200E87" w:rsidP="003A292D">
      <w:pPr>
        <w:spacing w:line="264" w:lineRule="auto"/>
        <w:ind w:right="-1" w:firstLine="0"/>
        <w:rPr>
          <w:rFonts w:ascii="Arial" w:eastAsia="Calibri" w:hAnsi="Arial" w:cs="Arial"/>
          <w:szCs w:val="28"/>
          <w:lang w:val="uk-UA"/>
        </w:rPr>
      </w:pPr>
      <w:r w:rsidRPr="00511005">
        <w:rPr>
          <w:rFonts w:ascii="Arial" w:eastAsia="Times New Roman" w:hAnsi="Arial" w:cs="Arial"/>
          <w:szCs w:val="28"/>
          <w:lang w:val="uk-UA" w:eastAsia="ru-RU"/>
        </w:rPr>
        <w:t>На особу, яка була засуджена до пробаційного нагляду, суд</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покладає такі обов’язки:</w:t>
      </w:r>
      <w:r w:rsidR="007B2628" w:rsidRPr="00511005">
        <w:rPr>
          <w:rFonts w:ascii="Arial" w:eastAsia="Times New Roman" w:hAnsi="Arial" w:cs="Arial"/>
          <w:szCs w:val="28"/>
          <w:lang w:val="uk-UA" w:eastAsia="ru-RU"/>
        </w:rPr>
        <w:t xml:space="preserve"> </w:t>
      </w:r>
      <w:hyperlink r:id="rId1845" w:tgtFrame="_blank" w:history="1">
        <w:r w:rsidRPr="00511005">
          <w:rPr>
            <w:rFonts w:ascii="Arial" w:eastAsia="Calibri" w:hAnsi="Arial" w:cs="Arial"/>
            <w:szCs w:val="28"/>
            <w:lang w:val="uk-UA"/>
          </w:rPr>
          <w:t>1) періодично з'являтися для реєстрації до уповноваженого органу з питань пробації;</w:t>
        </w:r>
      </w:hyperlink>
      <w:r w:rsidRPr="00511005">
        <w:rPr>
          <w:rFonts w:ascii="Arial" w:eastAsia="Calibri" w:hAnsi="Arial" w:cs="Arial"/>
          <w:szCs w:val="28"/>
          <w:lang w:val="uk-UA"/>
        </w:rPr>
        <w:t xml:space="preserve"> </w:t>
      </w:r>
      <w:hyperlink r:id="rId1846" w:tgtFrame="_blank" w:history="1">
        <w:r w:rsidRPr="00511005">
          <w:rPr>
            <w:rFonts w:ascii="Arial" w:eastAsia="Calibri" w:hAnsi="Arial" w:cs="Arial"/>
            <w:szCs w:val="28"/>
            <w:lang w:val="uk-UA"/>
          </w:rPr>
          <w:t>2) повідомляти уповноважений орган з питань пробації про зміну свого місця проживання, роботи або навчання;</w:t>
        </w:r>
      </w:hyperlink>
      <w:r w:rsidRPr="00511005">
        <w:rPr>
          <w:rFonts w:ascii="Arial" w:eastAsia="Calibri" w:hAnsi="Arial" w:cs="Arial"/>
          <w:szCs w:val="28"/>
          <w:lang w:val="uk-UA"/>
        </w:rPr>
        <w:t xml:space="preserve"> </w:t>
      </w:r>
      <w:hyperlink r:id="rId1847" w:tgtFrame="_blank" w:history="1">
        <w:r w:rsidRPr="00511005">
          <w:rPr>
            <w:rFonts w:ascii="Arial" w:eastAsia="Calibri" w:hAnsi="Arial" w:cs="Arial"/>
            <w:szCs w:val="28"/>
          </w:rPr>
          <w:t>3) не виїжджати за межі України без погодження з уповноваженим органом з питань пробації.</w:t>
        </w:r>
      </w:hyperlink>
      <w:r w:rsidRPr="00511005">
        <w:rPr>
          <w:rFonts w:ascii="Arial" w:eastAsia="Calibri" w:hAnsi="Arial" w:cs="Arial"/>
          <w:szCs w:val="28"/>
          <w:lang w:val="uk-UA"/>
        </w:rPr>
        <w:t xml:space="preserve"> Також суд може додатково до засудженого накласти такі обов’язки як: </w:t>
      </w:r>
      <w:hyperlink r:id="rId1848" w:tgtFrame="_blank" w:history="1">
        <w:r w:rsidRPr="00511005">
          <w:rPr>
            <w:rFonts w:ascii="Arial" w:eastAsia="Calibri" w:hAnsi="Arial" w:cs="Arial"/>
            <w:szCs w:val="28"/>
            <w:lang w:val="uk-UA"/>
          </w:rPr>
          <w:t>1) використовувати електронний засіб контролю і нагляду та проживати за вказаною у рішенні суду адресою;</w:t>
        </w:r>
      </w:hyperlink>
      <w:r w:rsidRPr="00511005">
        <w:rPr>
          <w:rFonts w:ascii="Arial" w:eastAsia="Calibri" w:hAnsi="Arial" w:cs="Arial"/>
          <w:szCs w:val="28"/>
          <w:lang w:val="uk-UA"/>
        </w:rPr>
        <w:t xml:space="preserve"> </w:t>
      </w:r>
      <w:hyperlink r:id="rId1849" w:tgtFrame="_blank" w:history="1">
        <w:r w:rsidRPr="00511005">
          <w:rPr>
            <w:rFonts w:ascii="Arial" w:eastAsia="Calibri" w:hAnsi="Arial" w:cs="Arial"/>
            <w:szCs w:val="28"/>
            <w:lang w:val="uk-UA"/>
          </w:rPr>
          <w:t>2) дотримуватися встановлених судом вимог щодо вчинення певних дій, обмеження спілкування, пересування та проведення дозвілля;</w:t>
        </w:r>
      </w:hyperlink>
      <w:r w:rsidRPr="00511005">
        <w:rPr>
          <w:rFonts w:ascii="Arial" w:eastAsia="Calibri" w:hAnsi="Arial" w:cs="Arial"/>
          <w:szCs w:val="28"/>
          <w:lang w:val="uk-UA"/>
        </w:rPr>
        <w:t xml:space="preserve"> </w:t>
      </w:r>
      <w:hyperlink r:id="rId1850" w:tgtFrame="_blank" w:history="1">
        <w:r w:rsidRPr="00511005">
          <w:rPr>
            <w:rFonts w:ascii="Arial" w:eastAsia="Calibri" w:hAnsi="Arial" w:cs="Arial"/>
            <w:szCs w:val="28"/>
            <w:lang w:val="uk-UA"/>
          </w:rPr>
          <w:t>3) працевлаштуватися або за направленням уповноваженого органу з питань пробації звернутися до органів державної служби зайнятості для реєстрації як безробітного та працевлаштуватися, якщо йому буде запропоновано посаду (роботу);</w:t>
        </w:r>
      </w:hyperlink>
      <w:r w:rsidRPr="00511005">
        <w:rPr>
          <w:rFonts w:ascii="Arial" w:eastAsia="Calibri" w:hAnsi="Arial" w:cs="Arial"/>
          <w:szCs w:val="28"/>
          <w:lang w:val="uk-UA"/>
        </w:rPr>
        <w:t xml:space="preserve"> </w:t>
      </w:r>
      <w:hyperlink r:id="rId1851" w:tgtFrame="_blank" w:history="1">
        <w:r w:rsidRPr="00511005">
          <w:rPr>
            <w:rFonts w:ascii="Arial" w:eastAsia="Calibri" w:hAnsi="Arial" w:cs="Arial"/>
            <w:szCs w:val="28"/>
            <w:lang w:val="uk-UA"/>
          </w:rPr>
          <w:t>4) виконувати заходи, передбачені пробаційною програмою;</w:t>
        </w:r>
      </w:hyperlink>
      <w:r w:rsidRPr="00511005">
        <w:rPr>
          <w:rFonts w:ascii="Arial" w:eastAsia="Calibri" w:hAnsi="Arial" w:cs="Arial"/>
          <w:szCs w:val="28"/>
          <w:lang w:val="uk-UA"/>
        </w:rPr>
        <w:t xml:space="preserve"> </w:t>
      </w:r>
      <w:hyperlink r:id="rId1852" w:tgtFrame="_blank" w:history="1">
        <w:r w:rsidRPr="00511005">
          <w:rPr>
            <w:rFonts w:ascii="Arial" w:eastAsia="Calibri" w:hAnsi="Arial" w:cs="Arial"/>
            <w:szCs w:val="28"/>
            <w:lang w:val="uk-UA"/>
          </w:rPr>
          <w:t>5) пройти курс лікування від наркотичної, алкогольної залежності, розладів психіки та поведінки внаслідок вживання психоактивних речовин або захворювання, що становить небезпеку для здоров'я інших осіб.</w:t>
        </w:r>
      </w:hyperlink>
      <w:r w:rsidRPr="00511005">
        <w:rPr>
          <w:rFonts w:ascii="Arial" w:eastAsia="Calibri" w:hAnsi="Arial" w:cs="Arial"/>
          <w:szCs w:val="28"/>
          <w:lang w:val="uk-UA"/>
        </w:rPr>
        <w:t xml:space="preserve"> </w:t>
      </w:r>
      <w:r w:rsidR="003F6A5D" w:rsidRPr="00511005">
        <w:rPr>
          <w:szCs w:val="28"/>
        </w:rPr>
        <w:fldChar w:fldCharType="begin"/>
      </w:r>
      <w:r w:rsidR="003F6A5D" w:rsidRPr="00055389">
        <w:rPr>
          <w:szCs w:val="28"/>
          <w:lang w:val="uk-UA"/>
        </w:rPr>
        <w:instrText xml:space="preserve"> </w:instrText>
      </w:r>
      <w:r w:rsidR="003F6A5D" w:rsidRPr="00511005">
        <w:rPr>
          <w:szCs w:val="28"/>
        </w:rPr>
        <w:instrText>HYPERLINK</w:instrText>
      </w:r>
      <w:r w:rsidR="003F6A5D" w:rsidRPr="00055389">
        <w:rPr>
          <w:szCs w:val="28"/>
          <w:lang w:val="uk-UA"/>
        </w:rPr>
        <w:instrText xml:space="preserve"> "</w:instrText>
      </w:r>
      <w:r w:rsidR="003F6A5D" w:rsidRPr="00511005">
        <w:rPr>
          <w:szCs w:val="28"/>
        </w:rPr>
        <w:instrText>https</w:instrText>
      </w:r>
      <w:r w:rsidR="003F6A5D" w:rsidRPr="00055389">
        <w:rPr>
          <w:szCs w:val="28"/>
          <w:lang w:val="uk-UA"/>
        </w:rPr>
        <w:instrText>://</w:instrText>
      </w:r>
      <w:r w:rsidR="003F6A5D" w:rsidRPr="00511005">
        <w:rPr>
          <w:szCs w:val="28"/>
        </w:rPr>
        <w:instrText>ips</w:instrText>
      </w:r>
      <w:r w:rsidR="003F6A5D" w:rsidRPr="00055389">
        <w:rPr>
          <w:szCs w:val="28"/>
          <w:lang w:val="uk-UA"/>
        </w:rPr>
        <w:instrText>.</w:instrText>
      </w:r>
      <w:r w:rsidR="003F6A5D" w:rsidRPr="00511005">
        <w:rPr>
          <w:szCs w:val="28"/>
        </w:rPr>
        <w:instrText>ligazakon</w:instrText>
      </w:r>
      <w:r w:rsidR="003F6A5D" w:rsidRPr="00055389">
        <w:rPr>
          <w:szCs w:val="28"/>
          <w:lang w:val="uk-UA"/>
        </w:rPr>
        <w:instrText>.</w:instrText>
      </w:r>
      <w:r w:rsidR="003F6A5D" w:rsidRPr="00511005">
        <w:rPr>
          <w:szCs w:val="28"/>
        </w:rPr>
        <w:instrText>net</w:instrText>
      </w:r>
      <w:r w:rsidR="003F6A5D" w:rsidRPr="00055389">
        <w:rPr>
          <w:szCs w:val="28"/>
          <w:lang w:val="uk-UA"/>
        </w:rPr>
        <w:instrText>/</w:instrText>
      </w:r>
      <w:r w:rsidR="003F6A5D" w:rsidRPr="00511005">
        <w:rPr>
          <w:szCs w:val="28"/>
        </w:rPr>
        <w:instrText>document</w:instrText>
      </w:r>
      <w:r w:rsidR="003F6A5D" w:rsidRPr="00055389">
        <w:rPr>
          <w:szCs w:val="28"/>
          <w:lang w:val="uk-UA"/>
        </w:rPr>
        <w:instrText>/</w:instrText>
      </w:r>
      <w:r w:rsidR="003F6A5D" w:rsidRPr="00511005">
        <w:rPr>
          <w:szCs w:val="28"/>
        </w:rPr>
        <w:instrText>view</w:instrText>
      </w:r>
      <w:r w:rsidR="003F6A5D" w:rsidRPr="00055389">
        <w:rPr>
          <w:szCs w:val="28"/>
          <w:lang w:val="uk-UA"/>
        </w:rPr>
        <w:instrText>/</w:instrText>
      </w:r>
      <w:r w:rsidR="003F6A5D" w:rsidRPr="00511005">
        <w:rPr>
          <w:szCs w:val="28"/>
        </w:rPr>
        <w:instrText>t</w:instrText>
      </w:r>
      <w:r w:rsidR="003F6A5D" w:rsidRPr="00055389">
        <w:rPr>
          <w:szCs w:val="28"/>
          <w:lang w:val="uk-UA"/>
        </w:rPr>
        <w:instrText>233342?</w:instrText>
      </w:r>
      <w:r w:rsidR="003F6A5D" w:rsidRPr="00511005">
        <w:rPr>
          <w:szCs w:val="28"/>
        </w:rPr>
        <w:instrText>ed</w:instrText>
      </w:r>
      <w:r w:rsidR="003F6A5D" w:rsidRPr="00055389">
        <w:rPr>
          <w:szCs w:val="28"/>
          <w:lang w:val="uk-UA"/>
        </w:rPr>
        <w:instrText>=2023_08_23&amp;</w:instrText>
      </w:r>
      <w:r w:rsidR="003F6A5D" w:rsidRPr="00511005">
        <w:rPr>
          <w:szCs w:val="28"/>
        </w:rPr>
        <w:instrText>an</w:instrText>
      </w:r>
      <w:r w:rsidR="003F6A5D" w:rsidRPr="00055389">
        <w:rPr>
          <w:szCs w:val="28"/>
          <w:lang w:val="uk-UA"/>
        </w:rPr>
        <w:instrText>=23" \</w:instrText>
      </w:r>
      <w:r w:rsidR="003F6A5D" w:rsidRPr="00511005">
        <w:rPr>
          <w:szCs w:val="28"/>
        </w:rPr>
        <w:instrText>t</w:instrText>
      </w:r>
      <w:r w:rsidR="003F6A5D" w:rsidRPr="00055389">
        <w:rPr>
          <w:szCs w:val="28"/>
          <w:lang w:val="uk-UA"/>
        </w:rPr>
        <w:instrText xml:space="preserve"> "_</w:instrText>
      </w:r>
      <w:r w:rsidR="003F6A5D" w:rsidRPr="00511005">
        <w:rPr>
          <w:szCs w:val="28"/>
        </w:rPr>
        <w:instrText>blank</w:instrText>
      </w:r>
      <w:r w:rsidR="003F6A5D" w:rsidRPr="00055389">
        <w:rPr>
          <w:szCs w:val="28"/>
          <w:lang w:val="uk-UA"/>
        </w:rPr>
        <w:instrText xml:space="preserve">" </w:instrText>
      </w:r>
      <w:r w:rsidR="003F6A5D" w:rsidRPr="00511005">
        <w:rPr>
          <w:szCs w:val="28"/>
        </w:rPr>
        <w:fldChar w:fldCharType="separate"/>
      </w:r>
      <w:r w:rsidRPr="00511005">
        <w:rPr>
          <w:rFonts w:ascii="Arial" w:eastAsia="Calibri" w:hAnsi="Arial" w:cs="Arial"/>
          <w:szCs w:val="28"/>
        </w:rPr>
        <w:t>Обов'язок використовувати електронний засіб контролю і нагляду встановлюється судом на строк від одного місяця до одного року.</w:t>
      </w:r>
      <w:r w:rsidR="003F6A5D" w:rsidRPr="00511005">
        <w:rPr>
          <w:rFonts w:ascii="Arial" w:eastAsia="Calibri" w:hAnsi="Arial" w:cs="Arial"/>
          <w:szCs w:val="28"/>
        </w:rPr>
        <w:fldChar w:fldCharType="end"/>
      </w:r>
      <w:hyperlink r:id="rId1853" w:tgtFrame="_blank" w:history="1">
        <w:r w:rsidR="007B2628" w:rsidRPr="00511005">
          <w:rPr>
            <w:rFonts w:ascii="Arial" w:eastAsia="Calibri" w:hAnsi="Arial" w:cs="Arial"/>
            <w:szCs w:val="28"/>
          </w:rPr>
          <w:t xml:space="preserve"> </w:t>
        </w:r>
        <w:r w:rsidRPr="00511005">
          <w:rPr>
            <w:rFonts w:ascii="Arial" w:eastAsia="Calibri" w:hAnsi="Arial" w:cs="Arial"/>
            <w:szCs w:val="28"/>
          </w:rPr>
          <w:t>Пробаційний нагляд призначається на строк від одного до п'яти років.</w:t>
        </w:r>
      </w:hyperlink>
      <w:r w:rsidRPr="00511005">
        <w:rPr>
          <w:rFonts w:ascii="Arial" w:eastAsia="Calibri" w:hAnsi="Arial" w:cs="Arial"/>
          <w:szCs w:val="28"/>
          <w:lang w:val="uk-UA"/>
        </w:rPr>
        <w:t xml:space="preserve"> </w:t>
      </w:r>
      <w:r w:rsidRPr="00511005">
        <w:rPr>
          <w:rFonts w:ascii="Arial" w:eastAsia="Calibri" w:hAnsi="Arial" w:cs="Arial"/>
          <w:szCs w:val="28"/>
        </w:rPr>
        <w:t xml:space="preserve">Для неповнолітніх осіб цей строк становить від </w:t>
      </w:r>
      <w:r w:rsidRPr="00511005">
        <w:rPr>
          <w:rFonts w:ascii="Arial" w:eastAsia="Calibri" w:hAnsi="Arial" w:cs="Arial"/>
          <w:szCs w:val="28"/>
        </w:rPr>
        <w:lastRenderedPageBreak/>
        <w:t>одного до двох років. Важливо зазначити, що пробаційний нагляд не призначається особам, які під час відбування цього виду покарання вчинили кримінальне правопорушення</w:t>
      </w:r>
      <w:r w:rsidRPr="00511005">
        <w:rPr>
          <w:rFonts w:ascii="Arial" w:eastAsia="Calibri" w:hAnsi="Arial" w:cs="Arial"/>
          <w:szCs w:val="28"/>
          <w:lang w:val="uk-UA"/>
        </w:rPr>
        <w:t xml:space="preserve"> </w:t>
      </w:r>
      <w:r w:rsidRPr="00511005">
        <w:rPr>
          <w:rFonts w:ascii="Arial" w:eastAsia="Calibri" w:hAnsi="Arial" w:cs="Arial"/>
          <w:szCs w:val="28"/>
        </w:rPr>
        <w:t>[</w:t>
      </w:r>
      <w:hyperlink r:id="rId1854" w:anchor="Text" w:history="1">
        <w:r w:rsidRPr="00511005">
          <w:rPr>
            <w:rFonts w:ascii="Arial" w:eastAsia="Calibri" w:hAnsi="Arial" w:cs="Arial"/>
            <w:szCs w:val="28"/>
          </w:rPr>
          <w:t>1</w:t>
        </w:r>
      </w:hyperlink>
      <w:r w:rsidRPr="00511005">
        <w:rPr>
          <w:rFonts w:ascii="Arial" w:eastAsia="Calibri" w:hAnsi="Arial" w:cs="Arial"/>
          <w:szCs w:val="28"/>
        </w:rPr>
        <w:t>]</w:t>
      </w:r>
      <w:r w:rsidRPr="00511005">
        <w:rPr>
          <w:rFonts w:ascii="Arial" w:eastAsia="Calibri" w:hAnsi="Arial" w:cs="Arial"/>
          <w:szCs w:val="28"/>
          <w:lang w:val="uk-UA"/>
        </w:rPr>
        <w:t>.</w:t>
      </w:r>
    </w:p>
    <w:p w14:paraId="742237AD" w14:textId="77777777" w:rsidR="007B2628" w:rsidRPr="00511005" w:rsidRDefault="00200E87" w:rsidP="003A292D">
      <w:pPr>
        <w:spacing w:line="264" w:lineRule="auto"/>
        <w:ind w:right="-1" w:firstLine="0"/>
        <w:rPr>
          <w:rFonts w:ascii="Arial" w:eastAsia="Times New Roman" w:hAnsi="Arial" w:cs="Arial"/>
          <w:szCs w:val="28"/>
          <w:lang w:val="uk-UA" w:eastAsia="ru-RU"/>
        </w:rPr>
      </w:pPr>
      <w:r w:rsidRPr="00511005">
        <w:rPr>
          <w:rFonts w:ascii="Arial" w:eastAsia="Times New Roman" w:hAnsi="Arial" w:cs="Arial"/>
          <w:szCs w:val="28"/>
          <w:lang w:eastAsia="ru-RU"/>
        </w:rPr>
        <w:t>В</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Україні пробаційний нагляд здійснює уповноважений орган з питань пробації, який входить </w:t>
      </w:r>
      <w:proofErr w:type="gramStart"/>
      <w:r w:rsidRPr="00511005">
        <w:rPr>
          <w:rFonts w:ascii="Arial" w:eastAsia="Times New Roman" w:hAnsi="Arial" w:cs="Arial"/>
          <w:szCs w:val="28"/>
          <w:lang w:eastAsia="ru-RU"/>
        </w:rPr>
        <w:t>до</w:t>
      </w:r>
      <w:r w:rsidRPr="00511005">
        <w:rPr>
          <w:rFonts w:ascii="Arial" w:eastAsia="Times New Roman" w:hAnsi="Arial" w:cs="Arial"/>
          <w:szCs w:val="28"/>
          <w:lang w:val="uk-UA" w:eastAsia="ru-RU"/>
        </w:rPr>
        <w:t xml:space="preserve"> с</w:t>
      </w:r>
      <w:r w:rsidRPr="00511005">
        <w:rPr>
          <w:rFonts w:ascii="Arial" w:eastAsia="Times New Roman" w:hAnsi="Arial" w:cs="Arial"/>
          <w:szCs w:val="28"/>
          <w:lang w:eastAsia="ru-RU"/>
        </w:rPr>
        <w:t>кладу</w:t>
      </w:r>
      <w:proofErr w:type="gramEnd"/>
      <w:r w:rsidRPr="00511005">
        <w:rPr>
          <w:rFonts w:ascii="Arial" w:eastAsia="Times New Roman" w:hAnsi="Arial" w:cs="Arial"/>
          <w:szCs w:val="28"/>
          <w:lang w:eastAsia="ru-RU"/>
        </w:rPr>
        <w:t xml:space="preserve"> Центру пробації при Міністерстві юстиції України.</w:t>
      </w:r>
      <w:r w:rsidRPr="00511005">
        <w:rPr>
          <w:rFonts w:ascii="Arial" w:eastAsia="Times New Roman" w:hAnsi="Arial" w:cs="Arial"/>
          <w:szCs w:val="28"/>
          <w:lang w:val="uk-UA" w:eastAsia="ru-RU"/>
        </w:rPr>
        <w:t xml:space="preserve"> Центр пробації координує діяльність регіональних філій і структурних підрозділів пробації в усіх областях країни. Саме працівники пробації, як державні службовці, проводять роботу із засудженими, які перебувають під пробаційним наглядом — здійснюють контроль за дотриманням встановлених обов’язків, надають соціально-виховну допомогу та сприяють ресоціалізації правопорушників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science</w:instrText>
      </w:r>
      <w:r w:rsidR="005938AD" w:rsidRPr="00055389">
        <w:rPr>
          <w:lang w:val="uk-UA"/>
        </w:rPr>
        <w:instrText>.</w:instrText>
      </w:r>
      <w:r w:rsidR="005938AD">
        <w:instrText>lpnu</w:instrText>
      </w:r>
      <w:r w:rsidR="005938AD" w:rsidRPr="00055389">
        <w:rPr>
          <w:lang w:val="uk-UA"/>
        </w:rPr>
        <w:instrText>.</w:instrText>
      </w:r>
      <w:r w:rsidR="005938AD">
        <w:instrText>ua</w:instrText>
      </w:r>
      <w:r w:rsidR="005938AD" w:rsidRPr="00055389">
        <w:rPr>
          <w:lang w:val="uk-UA"/>
        </w:rPr>
        <w:instrText>/</w:instrText>
      </w:r>
      <w:r w:rsidR="005938AD">
        <w:instrText>uk</w:instrText>
      </w:r>
      <w:r w:rsidR="005938AD" w:rsidRPr="00055389">
        <w:rPr>
          <w:lang w:val="uk-UA"/>
        </w:rPr>
        <w:instrText>/</w:instrText>
      </w:r>
      <w:r w:rsidR="005938AD">
        <w:instrText>law</w:instrText>
      </w:r>
      <w:r w:rsidR="005938AD" w:rsidRPr="00055389">
        <w:rPr>
          <w:lang w:val="uk-UA"/>
        </w:rPr>
        <w:instrText>/</w:instrText>
      </w:r>
      <w:r w:rsidR="005938AD">
        <w:instrText>vsi</w:instrText>
      </w:r>
      <w:r w:rsidR="005938AD" w:rsidRPr="00055389">
        <w:rPr>
          <w:lang w:val="uk-UA"/>
        </w:rPr>
        <w:instrText>-</w:instrText>
      </w:r>
      <w:r w:rsidR="005938AD">
        <w:instrText>vypusky</w:instrText>
      </w:r>
      <w:r w:rsidR="005938AD" w:rsidRPr="00055389">
        <w:rPr>
          <w:lang w:val="uk-UA"/>
        </w:rPr>
        <w:instrText>/</w:instrText>
      </w:r>
      <w:r w:rsidR="005938AD">
        <w:instrText>vypusk</w:instrText>
      </w:r>
      <w:r w:rsidR="005938AD" w:rsidRPr="00055389">
        <w:rPr>
          <w:lang w:val="uk-UA"/>
        </w:rPr>
        <w:instrText>-11-</w:instrText>
      </w:r>
      <w:r w:rsidR="005938AD">
        <w:instrText>nomer</w:instrText>
      </w:r>
      <w:r w:rsidR="005938AD" w:rsidRPr="00055389">
        <w:rPr>
          <w:lang w:val="uk-UA"/>
        </w:rPr>
        <w:instrText>-4-44-2024/</w:instrText>
      </w:r>
      <w:r w:rsidR="005938AD">
        <w:instrText>probaciynyy</w:instrText>
      </w:r>
      <w:r w:rsidR="005938AD" w:rsidRPr="00055389">
        <w:rPr>
          <w:lang w:val="uk-UA"/>
        </w:rPr>
        <w:instrText>-</w:instrText>
      </w:r>
      <w:r w:rsidR="005938AD">
        <w:instrText>naglyad</w:instrText>
      </w:r>
      <w:r w:rsidR="005938AD" w:rsidRPr="00055389">
        <w:rPr>
          <w:lang w:val="uk-UA"/>
        </w:rPr>
        <w:instrText>-</w:instrText>
      </w:r>
      <w:r w:rsidR="005938AD">
        <w:instrText>yak</w:instrText>
      </w:r>
      <w:r w:rsidR="005938AD" w:rsidRPr="00055389">
        <w:rPr>
          <w:lang w:val="uk-UA"/>
        </w:rPr>
        <w:instrText>-</w:instrText>
      </w:r>
      <w:r w:rsidR="005938AD">
        <w:instrText>vyd</w:instrText>
      </w:r>
      <w:r w:rsidR="005938AD" w:rsidRPr="00055389">
        <w:rPr>
          <w:lang w:val="uk-UA"/>
        </w:rPr>
        <w:instrText>-</w:instrText>
      </w:r>
      <w:r w:rsidR="005938AD">
        <w:instrText>pokarannya</w:instrText>
      </w:r>
      <w:r w:rsidR="005938AD" w:rsidRPr="00055389">
        <w:rPr>
          <w:lang w:val="uk-UA"/>
        </w:rPr>
        <w:instrText>-</w:instrText>
      </w:r>
      <w:r w:rsidR="005938AD">
        <w:instrText>bez</w:instrText>
      </w:r>
      <w:r w:rsidR="005938AD" w:rsidRPr="00055389">
        <w:rPr>
          <w:lang w:val="uk-UA"/>
        </w:rPr>
        <w:instrText>-</w:instrText>
      </w:r>
      <w:r w:rsidR="005938AD">
        <w:instrText>izolyac</w:instrText>
      </w:r>
      <w:r w:rsidR="005938AD">
        <w:instrText>iyi</w:instrText>
      </w:r>
      <w:r w:rsidR="005938AD" w:rsidRPr="00055389">
        <w:rPr>
          <w:lang w:val="uk-UA"/>
        </w:rPr>
        <w:instrText>-</w:instrText>
      </w:r>
      <w:r w:rsidR="005938AD">
        <w:instrText>vid</w:instrText>
      </w:r>
      <w:r w:rsidR="005938AD" w:rsidRPr="00055389">
        <w:rPr>
          <w:lang w:val="uk-UA"/>
        </w:rPr>
        <w:instrText>?</w:instrText>
      </w:r>
      <w:r w:rsidR="005938AD">
        <w:instrText>utm</w:instrText>
      </w:r>
      <w:r w:rsidR="005938AD" w:rsidRPr="00055389">
        <w:rPr>
          <w:lang w:val="uk-UA"/>
        </w:rPr>
        <w:instrText>_</w:instrText>
      </w:r>
      <w:r w:rsidR="005938AD">
        <w:instrText>source</w:instrText>
      </w:r>
      <w:r w:rsidR="005938AD" w:rsidRPr="00055389">
        <w:rPr>
          <w:lang w:val="uk-UA"/>
        </w:rPr>
        <w:instrText>=</w:instrText>
      </w:r>
      <w:r w:rsidR="005938AD">
        <w:instrText>chatgpt</w:instrText>
      </w:r>
      <w:r w:rsidR="005938AD" w:rsidRPr="00055389">
        <w:rPr>
          <w:lang w:val="uk-UA"/>
        </w:rPr>
        <w:instrText>.</w:instrText>
      </w:r>
      <w:r w:rsidR="005938AD">
        <w:instrText>com</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eastAsia="ru-RU"/>
        </w:rPr>
        <w:t>3</w:t>
      </w:r>
      <w:r w:rsidR="005938AD">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w:t>
      </w:r>
    </w:p>
    <w:p w14:paraId="393253F9" w14:textId="77777777" w:rsidR="007B2628" w:rsidRPr="00511005" w:rsidRDefault="00200E87" w:rsidP="003A292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ind w:right="-1" w:firstLine="0"/>
        <w:rPr>
          <w:rFonts w:ascii="Arial" w:eastAsia="Times New Roman" w:hAnsi="Arial" w:cs="Arial"/>
          <w:b/>
          <w:bCs/>
          <w:szCs w:val="28"/>
          <w:lang w:val="uk-UA" w:eastAsia="ru-RU"/>
        </w:rPr>
      </w:pPr>
      <w:r w:rsidRPr="00511005">
        <w:rPr>
          <w:rFonts w:ascii="Arial" w:eastAsia="Times New Roman" w:hAnsi="Arial" w:cs="Arial"/>
          <w:szCs w:val="28"/>
          <w:lang w:val="uk-UA" w:eastAsia="ru-RU"/>
        </w:rPr>
        <w:t>В Україні є</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три види пробації, що зумовлено особливостями правового статусу осіб в системі правосуддя:</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досудова пробація,</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наглядова пробація,</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пенітенціарна пробація. Досудова пробація — це забезпечення суду формалізованою інформацією, що характеризує обвинуваченого, з метою прийняття судом рішення про міру його відповідальності. Наглядова пробація — це здійснення наглядових та соціально-виховних заходів щодо: засуджених до покарань у виді позбавлення права обіймати певні посади або займатися певною діяльністю,</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 xml:space="preserve">громадських робіт, виправних робіт; осіб, яким покарання у виді обмеження волі або позбавлення волі на певний строк замінено покаранням у виді громадських робіт або виправних робіт; осіб, звільнених від відбування покарання з випробуванням, звільнених від відбування покарання вагітних жінок і жінок, які мають дітей віком до трьох років; направлення засуджених до обмеження волі для відбування покарання до виправних центрів. </w:t>
      </w:r>
      <w:r w:rsidRPr="00511005">
        <w:rPr>
          <w:rFonts w:ascii="Arial" w:eastAsia="Times New Roman" w:hAnsi="Arial" w:cs="Arial"/>
          <w:szCs w:val="28"/>
          <w:shd w:val="clear" w:color="auto" w:fill="FFFFFF"/>
          <w:lang w:val="uk-UA" w:eastAsia="ru-RU"/>
        </w:rPr>
        <w:t>Пенітенціарна пробація— це підготовка осіб, які відбувають покарання у виді обмеження волі або позбавлення волі на певний строк, до звільнення з метою трудового і побутового влаштування таких осіб після звільнення за обраним ними місцем проживання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www</w:instrText>
      </w:r>
      <w:r w:rsidR="005938AD" w:rsidRPr="00055389">
        <w:rPr>
          <w:lang w:val="uk-UA"/>
        </w:rPr>
        <w:instrText>.</w:instrText>
      </w:r>
      <w:r w:rsidR="005938AD">
        <w:instrText>probation</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 xml:space="preserve">/" </w:instrText>
      </w:r>
      <w:r w:rsidR="005938AD">
        <w:fldChar w:fldCharType="separate"/>
      </w:r>
      <w:r w:rsidRPr="00511005">
        <w:rPr>
          <w:rFonts w:ascii="Arial" w:eastAsia="Times New Roman" w:hAnsi="Arial" w:cs="Arial"/>
          <w:szCs w:val="28"/>
          <w:shd w:val="clear" w:color="auto" w:fill="FFFFFF"/>
          <w:lang w:val="uk-UA" w:eastAsia="ru-RU"/>
        </w:rPr>
        <w:t>2</w:t>
      </w:r>
      <w:r w:rsidR="005938AD">
        <w:rPr>
          <w:rFonts w:ascii="Arial" w:eastAsia="Times New Roman" w:hAnsi="Arial" w:cs="Arial"/>
          <w:szCs w:val="28"/>
          <w:shd w:val="clear" w:color="auto" w:fill="FFFFFF"/>
          <w:lang w:val="uk-UA" w:eastAsia="ru-RU"/>
        </w:rPr>
        <w:fldChar w:fldCharType="end"/>
      </w:r>
      <w:r w:rsidRPr="00511005">
        <w:rPr>
          <w:rFonts w:ascii="Arial" w:eastAsia="Times New Roman" w:hAnsi="Arial" w:cs="Arial"/>
          <w:szCs w:val="28"/>
          <w:shd w:val="clear" w:color="auto" w:fill="FFFFFF"/>
          <w:lang w:val="uk-UA" w:eastAsia="ru-RU"/>
        </w:rPr>
        <w:t>].</w:t>
      </w:r>
    </w:p>
    <w:p w14:paraId="3CECC746" w14:textId="5FBEE3B4" w:rsidR="00200E87" w:rsidRPr="00511005" w:rsidRDefault="00200E87" w:rsidP="003A292D">
      <w:pPr>
        <w:shd w:val="clear" w:color="auto" w:fill="FFFFFF"/>
        <w:spacing w:line="264" w:lineRule="auto"/>
        <w:ind w:right="-1" w:firstLine="0"/>
        <w:rPr>
          <w:rFonts w:ascii="Arial" w:eastAsia="Times New Roman" w:hAnsi="Arial" w:cs="Arial"/>
          <w:szCs w:val="28"/>
          <w:shd w:val="clear" w:color="auto" w:fill="FFFFFF"/>
          <w:lang w:val="uk-UA" w:eastAsia="ru-RU"/>
        </w:rPr>
      </w:pPr>
      <w:r w:rsidRPr="00511005">
        <w:rPr>
          <w:rFonts w:ascii="Arial" w:eastAsia="Times New Roman" w:hAnsi="Arial" w:cs="Arial"/>
          <w:szCs w:val="28"/>
          <w:lang w:val="uk-UA" w:eastAsia="ru-RU"/>
        </w:rPr>
        <w:t>Пробаційний нагляд як вид покарання є важливим кроком у реформуванні кримінально-виконавчої системи України. Він поєднує в собі елементи контролю та підтримки, спрямовані на виправлення засудженого без ізоляції від суспільства. Ефективне застосування пробаційного нагляду може сприяти зниженню рівня рецидивів та покращенню процесу ресоціалізації правопорушників.</w:t>
      </w:r>
    </w:p>
    <w:p w14:paraId="62A5A99C" w14:textId="77777777" w:rsidR="00200E87" w:rsidRPr="00511005" w:rsidRDefault="00200E87" w:rsidP="003A292D">
      <w:pPr>
        <w:spacing w:line="264" w:lineRule="auto"/>
        <w:ind w:right="-1" w:firstLine="0"/>
        <w:jc w:val="center"/>
        <w:rPr>
          <w:rFonts w:ascii="Arial" w:eastAsia="Calibri" w:hAnsi="Arial" w:cs="Arial"/>
          <w:b/>
          <w:bCs/>
          <w:szCs w:val="28"/>
          <w:lang w:val="uk-UA"/>
        </w:rPr>
      </w:pPr>
    </w:p>
    <w:p w14:paraId="0868B611" w14:textId="401A2EF5" w:rsidR="00200E87" w:rsidRPr="00511005" w:rsidRDefault="007B2628" w:rsidP="007B2628">
      <w:pPr>
        <w:spacing w:line="264" w:lineRule="auto"/>
        <w:ind w:right="-1"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341D6F56" w14:textId="77777777" w:rsidR="00200E87" w:rsidRPr="00511005" w:rsidRDefault="00200E87" w:rsidP="003F6A5D">
      <w:pPr>
        <w:numPr>
          <w:ilvl w:val="0"/>
          <w:numId w:val="527"/>
        </w:numPr>
        <w:spacing w:line="264" w:lineRule="auto"/>
        <w:ind w:right="-1"/>
        <w:contextualSpacing/>
        <w:jc w:val="left"/>
        <w:rPr>
          <w:rFonts w:ascii="Arial" w:eastAsia="Calibri" w:hAnsi="Arial" w:cs="Arial"/>
          <w:szCs w:val="28"/>
        </w:rPr>
      </w:pPr>
      <w:r w:rsidRPr="00511005">
        <w:rPr>
          <w:rFonts w:ascii="Arial" w:eastAsia="Calibri" w:hAnsi="Arial" w:cs="Arial"/>
          <w:szCs w:val="28"/>
        </w:rPr>
        <w:t xml:space="preserve">Кримінальний кодекс України: Закон України № 2341-III від </w:t>
      </w:r>
      <w:r w:rsidRPr="00511005">
        <w:rPr>
          <w:rFonts w:ascii="Arial" w:eastAsia="Calibri" w:hAnsi="Arial" w:cs="Arial"/>
          <w:szCs w:val="28"/>
          <w:lang w:val="uk-UA"/>
        </w:rPr>
        <w:t>0</w:t>
      </w:r>
      <w:r w:rsidRPr="00511005">
        <w:rPr>
          <w:rFonts w:ascii="Arial" w:eastAsia="Calibri" w:hAnsi="Arial" w:cs="Arial"/>
          <w:szCs w:val="28"/>
        </w:rPr>
        <w:t>5</w:t>
      </w:r>
      <w:r w:rsidRPr="00511005">
        <w:rPr>
          <w:rFonts w:ascii="Arial" w:eastAsia="Calibri" w:hAnsi="Arial" w:cs="Arial"/>
          <w:szCs w:val="28"/>
          <w:lang w:val="uk-UA"/>
        </w:rPr>
        <w:t>.04.</w:t>
      </w:r>
      <w:r w:rsidRPr="00511005">
        <w:rPr>
          <w:rFonts w:ascii="Arial" w:eastAsia="Calibri" w:hAnsi="Arial" w:cs="Arial"/>
          <w:szCs w:val="28"/>
        </w:rPr>
        <w:t xml:space="preserve">2001р. URL: </w:t>
      </w:r>
      <w:hyperlink r:id="rId1855" w:anchor="Text" w:tgtFrame="_new" w:history="1">
        <w:r w:rsidRPr="00511005">
          <w:rPr>
            <w:rFonts w:ascii="Arial" w:eastAsia="Calibri" w:hAnsi="Arial" w:cs="Arial"/>
            <w:szCs w:val="28"/>
          </w:rPr>
          <w:t>https://zakon.rada.gov.ua/laws/show/2341-14#Text</w:t>
        </w:r>
      </w:hyperlink>
    </w:p>
    <w:p w14:paraId="684502D1" w14:textId="77777777" w:rsidR="00200E87" w:rsidRPr="00511005" w:rsidRDefault="00200E87" w:rsidP="003F6A5D">
      <w:pPr>
        <w:numPr>
          <w:ilvl w:val="0"/>
          <w:numId w:val="527"/>
        </w:numPr>
        <w:spacing w:line="264" w:lineRule="auto"/>
        <w:ind w:right="-1"/>
        <w:contextualSpacing/>
        <w:jc w:val="left"/>
        <w:rPr>
          <w:rFonts w:ascii="Arial" w:eastAsia="Calibri" w:hAnsi="Arial" w:cs="Arial"/>
          <w:szCs w:val="28"/>
          <w:lang w:val="pl-PL"/>
        </w:rPr>
      </w:pPr>
      <w:r w:rsidRPr="00511005">
        <w:rPr>
          <w:rFonts w:ascii="Arial" w:eastAsia="Calibri" w:hAnsi="Arial" w:cs="Arial"/>
          <w:szCs w:val="28"/>
        </w:rPr>
        <w:t xml:space="preserve">Пробація в Україні. Офіційний вебсайт Центру пробації. </w:t>
      </w:r>
      <w:r w:rsidRPr="00511005">
        <w:rPr>
          <w:rFonts w:ascii="Arial" w:eastAsia="Calibri" w:hAnsi="Arial" w:cs="Arial"/>
          <w:szCs w:val="28"/>
          <w:lang w:val="pl-PL"/>
        </w:rPr>
        <w:t xml:space="preserve">URL: </w:t>
      </w:r>
      <w:r w:rsidR="005938AD">
        <w:fldChar w:fldCharType="begin"/>
      </w:r>
      <w:r w:rsidR="005938AD" w:rsidRPr="00055389">
        <w:rPr>
          <w:lang w:val="en-US"/>
        </w:rPr>
        <w:instrText xml:space="preserve"> HYPERLINK "https://www.probation.gov.ua/" \t "_new" </w:instrText>
      </w:r>
      <w:r w:rsidR="005938AD">
        <w:fldChar w:fldCharType="separate"/>
      </w:r>
      <w:r w:rsidRPr="00511005">
        <w:rPr>
          <w:rFonts w:ascii="Arial" w:eastAsia="Calibri" w:hAnsi="Arial" w:cs="Arial"/>
          <w:szCs w:val="28"/>
          <w:lang w:val="pl-PL"/>
        </w:rPr>
        <w:t>https://www.probation.gov.ua/</w:t>
      </w:r>
      <w:r w:rsidR="005938AD">
        <w:rPr>
          <w:rFonts w:ascii="Arial" w:eastAsia="Calibri" w:hAnsi="Arial" w:cs="Arial"/>
          <w:szCs w:val="28"/>
          <w:lang w:val="pl-PL"/>
        </w:rPr>
        <w:fldChar w:fldCharType="end"/>
      </w:r>
    </w:p>
    <w:p w14:paraId="3A89FE31" w14:textId="77777777" w:rsidR="00200E87" w:rsidRPr="00511005" w:rsidRDefault="00200E87" w:rsidP="003F6A5D">
      <w:pPr>
        <w:numPr>
          <w:ilvl w:val="0"/>
          <w:numId w:val="527"/>
        </w:numPr>
        <w:spacing w:line="264" w:lineRule="auto"/>
        <w:ind w:right="-1"/>
        <w:contextualSpacing/>
        <w:jc w:val="left"/>
        <w:rPr>
          <w:rFonts w:ascii="Arial" w:eastAsia="Calibri" w:hAnsi="Arial" w:cs="Arial"/>
          <w:szCs w:val="28"/>
        </w:rPr>
      </w:pPr>
      <w:r w:rsidRPr="00511005">
        <w:rPr>
          <w:rFonts w:ascii="Arial" w:eastAsia="Calibri" w:hAnsi="Arial" w:cs="Arial"/>
          <w:szCs w:val="28"/>
        </w:rPr>
        <w:t xml:space="preserve">Пробаційний нагляд як вид покарання без ізоляції від суспільства. </w:t>
      </w:r>
      <w:r w:rsidRPr="00511005">
        <w:rPr>
          <w:rFonts w:ascii="Arial" w:eastAsia="Calibri" w:hAnsi="Arial" w:cs="Arial"/>
          <w:i/>
          <w:iCs/>
          <w:szCs w:val="28"/>
        </w:rPr>
        <w:t>Право та інновації</w:t>
      </w:r>
      <w:r w:rsidRPr="00511005">
        <w:rPr>
          <w:rFonts w:ascii="Arial" w:eastAsia="Calibri" w:hAnsi="Arial" w:cs="Arial"/>
          <w:szCs w:val="28"/>
        </w:rPr>
        <w:t xml:space="preserve"> / Національний університет «Львівська політехніка». 2024. </w:t>
      </w:r>
      <w:r w:rsidRPr="00511005">
        <w:rPr>
          <w:rFonts w:ascii="Arial" w:eastAsia="Calibri" w:hAnsi="Arial" w:cs="Arial"/>
          <w:szCs w:val="28"/>
        </w:rPr>
        <w:lastRenderedPageBreak/>
        <w:t xml:space="preserve">Вип. 11, № 4 (44). URL: </w:t>
      </w:r>
      <w:hyperlink r:id="rId1856" w:tgtFrame="_new" w:history="1">
        <w:r w:rsidRPr="00511005">
          <w:rPr>
            <w:rFonts w:ascii="Arial" w:eastAsia="Calibri" w:hAnsi="Arial" w:cs="Arial"/>
            <w:szCs w:val="28"/>
          </w:rPr>
          <w:t>https://science.lpnu.ua/uk/law/vsi-vypusky/vypusk-11-nomer-4-44-2024/probaciynyy-naglyad-yak-vyd-pokarannya-bez-izolyaciyi-vid</w:t>
        </w:r>
      </w:hyperlink>
    </w:p>
    <w:p w14:paraId="5AE977B7" w14:textId="77777777" w:rsidR="00200E87" w:rsidRPr="00511005" w:rsidRDefault="00200E87" w:rsidP="003A292D">
      <w:pPr>
        <w:spacing w:line="264" w:lineRule="auto"/>
        <w:ind w:right="-1" w:firstLine="0"/>
        <w:contextualSpacing/>
        <w:rPr>
          <w:rFonts w:ascii="Arial" w:eastAsia="Calibri" w:hAnsi="Arial" w:cs="Arial"/>
          <w:szCs w:val="28"/>
        </w:rPr>
      </w:pPr>
    </w:p>
    <w:p w14:paraId="49A2801F" w14:textId="17AE834E" w:rsidR="00200E87" w:rsidRPr="00511005" w:rsidRDefault="007B2628" w:rsidP="003A292D">
      <w:pPr>
        <w:spacing w:line="264" w:lineRule="auto"/>
        <w:ind w:right="-1"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200E87" w:rsidRPr="00511005">
        <w:rPr>
          <w:rFonts w:ascii="Arial" w:eastAsia="Calibri" w:hAnsi="Arial" w:cs="Arial"/>
          <w:szCs w:val="28"/>
          <w:lang w:val="uk-UA"/>
        </w:rPr>
        <w:t xml:space="preserve">кримінального покарання, пробаційний нагляд, ресоціалізація, рецидив, кримінальне правопорушення, </w:t>
      </w:r>
      <w:r w:rsidR="00200E87" w:rsidRPr="00511005">
        <w:rPr>
          <w:rFonts w:ascii="Arial" w:eastAsia="Times New Roman" w:hAnsi="Arial" w:cs="Arial"/>
          <w:szCs w:val="28"/>
          <w:lang w:val="uk-UA" w:eastAsia="ru-RU"/>
        </w:rPr>
        <w:t xml:space="preserve">кримінально-виконавча система України, </w:t>
      </w:r>
      <w:r w:rsidR="00200E87" w:rsidRPr="00511005">
        <w:rPr>
          <w:rFonts w:ascii="Arial" w:eastAsia="Calibri" w:hAnsi="Arial" w:cs="Arial"/>
          <w:szCs w:val="28"/>
          <w:shd w:val="clear" w:color="auto" w:fill="FFFFFF"/>
          <w:lang w:val="uk-UA"/>
        </w:rPr>
        <w:t xml:space="preserve">пенітенціарна пробація, </w:t>
      </w:r>
      <w:r w:rsidR="00200E87" w:rsidRPr="00511005">
        <w:rPr>
          <w:rFonts w:ascii="Arial" w:eastAsia="Calibri" w:hAnsi="Arial" w:cs="Arial"/>
          <w:szCs w:val="28"/>
          <w:lang w:val="uk-UA"/>
        </w:rPr>
        <w:t xml:space="preserve">досудова пробація, </w:t>
      </w:r>
      <w:r w:rsidR="00200E87" w:rsidRPr="00511005">
        <w:rPr>
          <w:rFonts w:ascii="Arial" w:eastAsia="Times New Roman" w:hAnsi="Arial" w:cs="Arial"/>
          <w:szCs w:val="28"/>
          <w:lang w:val="uk-UA" w:eastAsia="ru-RU"/>
        </w:rPr>
        <w:t>наглядова пробація</w:t>
      </w:r>
      <w:r w:rsidR="00200E87" w:rsidRPr="00511005">
        <w:rPr>
          <w:rFonts w:ascii="Arial" w:eastAsia="Calibri" w:hAnsi="Arial" w:cs="Arial"/>
          <w:szCs w:val="28"/>
          <w:lang w:val="uk-UA"/>
        </w:rPr>
        <w:t xml:space="preserve"> </w:t>
      </w:r>
    </w:p>
    <w:p w14:paraId="7A19FA87" w14:textId="06F2238F" w:rsidR="00200E87" w:rsidRPr="00511005" w:rsidRDefault="007B2628" w:rsidP="003A292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ind w:right="-1" w:firstLine="0"/>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200E87" w:rsidRPr="00511005">
        <w:rPr>
          <w:rFonts w:ascii="Arial" w:eastAsia="Times New Roman" w:hAnsi="Arial" w:cs="Arial"/>
          <w:szCs w:val="28"/>
          <w:lang w:val="en" w:eastAsia="ru-RU"/>
        </w:rPr>
        <w:t>criminal punishment</w:t>
      </w:r>
      <w:r w:rsidR="00200E87" w:rsidRPr="00511005">
        <w:rPr>
          <w:rFonts w:ascii="Arial" w:eastAsia="Times New Roman" w:hAnsi="Arial" w:cs="Arial"/>
          <w:szCs w:val="28"/>
          <w:lang w:val="uk-UA" w:eastAsia="ru-RU"/>
        </w:rPr>
        <w:t xml:space="preserve">, </w:t>
      </w:r>
      <w:r w:rsidR="00200E87" w:rsidRPr="00511005">
        <w:rPr>
          <w:rFonts w:ascii="Arial" w:eastAsia="Times New Roman" w:hAnsi="Arial" w:cs="Arial"/>
          <w:szCs w:val="28"/>
          <w:lang w:val="en" w:eastAsia="ru-RU"/>
        </w:rPr>
        <w:t>probation supervision, resocialization, recidivism, criminal offense, penal system of Ukraine, penitentiary probation, pre-trial probation, supervised probation</w:t>
      </w:r>
      <w:r w:rsidR="00200E87" w:rsidRPr="00511005">
        <w:rPr>
          <w:rFonts w:ascii="Arial" w:eastAsia="Times New Roman" w:hAnsi="Arial" w:cs="Arial"/>
          <w:szCs w:val="28"/>
          <w:lang w:val="uk-UA" w:eastAsia="ru-RU"/>
        </w:rPr>
        <w:t>.</w:t>
      </w:r>
    </w:p>
    <w:p w14:paraId="51AD0201" w14:textId="77777777" w:rsidR="00200E87" w:rsidRPr="00511005" w:rsidRDefault="00200E87" w:rsidP="003A292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ind w:right="-1" w:firstLine="0"/>
        <w:rPr>
          <w:rFonts w:ascii="Arial" w:eastAsia="Times New Roman" w:hAnsi="Arial" w:cs="Arial"/>
          <w:szCs w:val="28"/>
          <w:lang w:val="uk-UA" w:eastAsia="ru-RU"/>
        </w:rPr>
      </w:pPr>
    </w:p>
    <w:p w14:paraId="7532CF08" w14:textId="4D1184A8" w:rsidR="00200E87" w:rsidRPr="00511005" w:rsidRDefault="007B2628" w:rsidP="003A292D">
      <w:pPr>
        <w:spacing w:line="264" w:lineRule="auto"/>
        <w:ind w:right="-1"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200E87" w:rsidRPr="00511005">
        <w:rPr>
          <w:rFonts w:ascii="Arial" w:eastAsia="Calibri" w:hAnsi="Arial" w:cs="Arial"/>
          <w:bCs/>
          <w:i/>
          <w:iCs/>
          <w:szCs w:val="28"/>
          <w:lang w:val="uk-UA"/>
        </w:rPr>
        <w:t>к.ю.н.,</w:t>
      </w:r>
      <w:r w:rsidRPr="00511005">
        <w:rPr>
          <w:rFonts w:ascii="Arial" w:eastAsia="Calibri" w:hAnsi="Arial" w:cs="Arial"/>
          <w:bCs/>
          <w:i/>
          <w:iCs/>
          <w:szCs w:val="28"/>
          <w:lang w:val="uk-UA"/>
        </w:rPr>
        <w:t xml:space="preserve"> </w:t>
      </w:r>
      <w:r w:rsidR="00200E87" w:rsidRPr="00511005">
        <w:rPr>
          <w:rFonts w:ascii="Arial" w:eastAsia="Calibri" w:hAnsi="Arial" w:cs="Arial"/>
          <w:bCs/>
          <w:i/>
          <w:iCs/>
          <w:szCs w:val="28"/>
          <w:lang w:val="uk-UA"/>
        </w:rPr>
        <w:t xml:space="preserve">доцент Хильченко А. С. </w:t>
      </w:r>
    </w:p>
    <w:p w14:paraId="162DE8B4" w14:textId="77777777" w:rsidR="00200E87" w:rsidRPr="00511005" w:rsidRDefault="00200E87" w:rsidP="003A292D">
      <w:pPr>
        <w:spacing w:line="264" w:lineRule="auto"/>
        <w:ind w:firstLine="0"/>
        <w:rPr>
          <w:rFonts w:ascii="Arial" w:eastAsia="Calibri" w:hAnsi="Arial" w:cs="Arial"/>
          <w:i/>
          <w:szCs w:val="28"/>
          <w:lang w:val="uk-UA"/>
        </w:rPr>
      </w:pPr>
    </w:p>
    <w:p w14:paraId="7A450529" w14:textId="77777777" w:rsidR="00200E87" w:rsidRPr="00511005" w:rsidRDefault="00200E87" w:rsidP="003A292D">
      <w:pPr>
        <w:spacing w:line="264" w:lineRule="auto"/>
        <w:ind w:firstLine="0"/>
        <w:rPr>
          <w:rFonts w:ascii="Arial" w:eastAsia="Calibri" w:hAnsi="Arial" w:cs="Arial"/>
          <w:i/>
          <w:szCs w:val="28"/>
          <w:lang w:val="uk-UA"/>
        </w:rPr>
      </w:pPr>
    </w:p>
    <w:p w14:paraId="44E3EE31"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b/>
          <w:i/>
          <w:szCs w:val="28"/>
          <w:lang w:val="uk-UA" w:eastAsia="ru-RU" w:bidi="uk-UA"/>
        </w:rPr>
      </w:pPr>
      <w:r w:rsidRPr="00511005">
        <w:rPr>
          <w:rFonts w:ascii="Arial" w:eastAsia="Times New Roman" w:hAnsi="Arial" w:cs="Arial"/>
          <w:b/>
          <w:i/>
          <w:szCs w:val="28"/>
          <w:lang w:val="uk-UA" w:eastAsia="ru-RU" w:bidi="uk-UA"/>
        </w:rPr>
        <w:t>Осадча Владислава Сергіївна</w:t>
      </w:r>
    </w:p>
    <w:p w14:paraId="4932FC44" w14:textId="0BBC10E4"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44048708"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CBD1EEF"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4776E86"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szCs w:val="28"/>
          <w:lang w:val="uk-UA" w:eastAsia="ru-RU" w:bidi="uk-UA"/>
        </w:rPr>
      </w:pPr>
    </w:p>
    <w:p w14:paraId="34D7D2FD" w14:textId="490F463E"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eastAsia="ru-RU" w:bidi="uk-UA"/>
        </w:rPr>
      </w:pPr>
      <w:r w:rsidRPr="00511005">
        <w:rPr>
          <w:rFonts w:ascii="Arial" w:eastAsia="Times New Roman" w:hAnsi="Arial" w:cs="Arial"/>
          <w:b/>
          <w:szCs w:val="28"/>
          <w:lang w:eastAsia="ru-RU" w:bidi="uk-UA"/>
        </w:rPr>
        <w:t xml:space="preserve">ВИДИ ПОКАРАНЬ </w:t>
      </w:r>
      <w:r w:rsidRPr="00511005">
        <w:rPr>
          <w:rFonts w:ascii="Arial" w:eastAsia="Times New Roman" w:hAnsi="Arial" w:cs="Arial"/>
          <w:b/>
          <w:szCs w:val="28"/>
          <w:lang w:val="uk-UA" w:eastAsia="ru-RU" w:bidi="uk-UA"/>
        </w:rPr>
        <w:t>ЯКІ МОЖУТЬ БУТИ ПРИЗНАЧЕНІ</w:t>
      </w:r>
      <w:r w:rsidR="007B2628" w:rsidRPr="00511005">
        <w:rPr>
          <w:rFonts w:ascii="Arial" w:eastAsia="Times New Roman" w:hAnsi="Arial" w:cs="Arial"/>
          <w:b/>
          <w:szCs w:val="28"/>
          <w:lang w:val="uk-UA" w:eastAsia="ru-RU" w:bidi="uk-UA"/>
        </w:rPr>
        <w:t xml:space="preserve"> </w:t>
      </w:r>
      <w:r w:rsidRPr="00511005">
        <w:rPr>
          <w:rFonts w:ascii="Arial" w:eastAsia="Times New Roman" w:hAnsi="Arial" w:cs="Arial"/>
          <w:b/>
          <w:szCs w:val="28"/>
          <w:lang w:eastAsia="ru-RU" w:bidi="uk-UA"/>
        </w:rPr>
        <w:t>НЕПОВНОЛІТНІ</w:t>
      </w:r>
      <w:r w:rsidRPr="00511005">
        <w:rPr>
          <w:rFonts w:ascii="Arial" w:eastAsia="Times New Roman" w:hAnsi="Arial" w:cs="Arial"/>
          <w:b/>
          <w:szCs w:val="28"/>
          <w:lang w:val="uk-UA" w:eastAsia="ru-RU" w:bidi="uk-UA"/>
        </w:rPr>
        <w:t xml:space="preserve">М </w:t>
      </w:r>
      <w:r w:rsidRPr="00511005">
        <w:rPr>
          <w:rFonts w:ascii="Arial" w:eastAsia="Times New Roman" w:hAnsi="Arial" w:cs="Arial"/>
          <w:b/>
          <w:szCs w:val="28"/>
          <w:lang w:eastAsia="ru-RU" w:bidi="uk-UA"/>
        </w:rPr>
        <w:t>ПРАВОПОРУШНИК</w:t>
      </w:r>
      <w:r w:rsidRPr="00511005">
        <w:rPr>
          <w:rFonts w:ascii="Arial" w:eastAsia="Times New Roman" w:hAnsi="Arial" w:cs="Arial"/>
          <w:b/>
          <w:szCs w:val="28"/>
          <w:lang w:val="uk-UA" w:eastAsia="ru-RU" w:bidi="uk-UA"/>
        </w:rPr>
        <w:t>АМ</w:t>
      </w:r>
      <w:r w:rsidRPr="00511005">
        <w:rPr>
          <w:rFonts w:ascii="Arial" w:eastAsia="Times New Roman" w:hAnsi="Arial" w:cs="Arial"/>
          <w:b/>
          <w:szCs w:val="28"/>
          <w:lang w:eastAsia="ru-RU" w:bidi="uk-UA"/>
        </w:rPr>
        <w:t xml:space="preserve"> </w:t>
      </w:r>
    </w:p>
    <w:p w14:paraId="56C5F240" w14:textId="77777777" w:rsidR="00200E87" w:rsidRPr="00511005" w:rsidRDefault="00200E87" w:rsidP="003A292D">
      <w:pPr>
        <w:widowControl w:val="0"/>
        <w:tabs>
          <w:tab w:val="left" w:pos="7088"/>
        </w:tabs>
        <w:autoSpaceDE w:val="0"/>
        <w:autoSpaceDN w:val="0"/>
        <w:adjustRightInd w:val="0"/>
        <w:spacing w:line="264" w:lineRule="auto"/>
        <w:ind w:firstLine="0"/>
        <w:jc w:val="left"/>
        <w:rPr>
          <w:rFonts w:ascii="Arial" w:eastAsia="Times New Roman" w:hAnsi="Arial" w:cs="Arial"/>
          <w:b/>
          <w:szCs w:val="28"/>
          <w:lang w:eastAsia="ru-RU" w:bidi="uk-UA"/>
        </w:rPr>
      </w:pPr>
    </w:p>
    <w:p w14:paraId="02EB5FE3"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eastAsia="ru-RU" w:bidi="uk-UA"/>
        </w:rPr>
      </w:pPr>
      <w:r w:rsidRPr="00511005">
        <w:rPr>
          <w:rFonts w:ascii="Arial" w:eastAsia="Times New Roman" w:hAnsi="Arial" w:cs="Arial"/>
          <w:szCs w:val="28"/>
          <w:lang w:eastAsia="ru-RU" w:bidi="uk-UA"/>
        </w:rPr>
        <w:t>Кримінальна відповідальність неповнолітніх є надзвичайно складн</w:t>
      </w:r>
      <w:r w:rsidRPr="00511005">
        <w:rPr>
          <w:rFonts w:ascii="Arial" w:eastAsia="Times New Roman" w:hAnsi="Arial" w:cs="Arial"/>
          <w:szCs w:val="28"/>
          <w:lang w:val="uk-UA" w:eastAsia="ru-RU" w:bidi="uk-UA"/>
        </w:rPr>
        <w:t>им інститутом</w:t>
      </w:r>
      <w:r w:rsidRPr="00511005">
        <w:rPr>
          <w:rFonts w:ascii="Arial" w:eastAsia="Times New Roman" w:hAnsi="Arial" w:cs="Arial"/>
          <w:szCs w:val="28"/>
          <w:lang w:eastAsia="ru-RU" w:bidi="uk-UA"/>
        </w:rPr>
        <w:t xml:space="preserve"> правозастосування, що вимагає поєднання принципу справедливості з принципом гуманізму. Держава має забезпечити, з одного боку, належну реакцію на протиправні діяння осіб, які не досягли повноліття, а з іншого – створити умови для їх </w:t>
      </w:r>
      <w:r w:rsidRPr="00511005">
        <w:rPr>
          <w:rFonts w:ascii="Arial" w:eastAsia="Times New Roman" w:hAnsi="Arial" w:cs="Arial"/>
          <w:szCs w:val="28"/>
          <w:lang w:val="uk-UA" w:eastAsia="ru-RU" w:bidi="uk-UA"/>
        </w:rPr>
        <w:t xml:space="preserve">виправлення </w:t>
      </w:r>
      <w:r w:rsidRPr="00511005">
        <w:rPr>
          <w:rFonts w:ascii="Arial" w:eastAsia="Times New Roman" w:hAnsi="Arial" w:cs="Arial"/>
          <w:szCs w:val="28"/>
          <w:lang w:eastAsia="ru-RU" w:bidi="uk-UA"/>
        </w:rPr>
        <w:t>та реінтеграції в суспільство. Саме тому Кримінальний кодекс України передбачає особливий підхід до неповнолітніх правопорушників, обмежуючи перелік видів покарань та надаючи перевагу альтернативним заходам, спрямованим на їх виховання. Зміни, запропоновані в проєкті нового Кримінального кодексу, свідчать про прагнення ще більше адаптувати правову модель до потреб дитини та міжнародних стандартів.</w:t>
      </w:r>
    </w:p>
    <w:p w14:paraId="67E529FB" w14:textId="77777777" w:rsidR="007B2628"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Чинний Кримінальний кодекс України у спеціальному розділі XV регулює відповідальність неповнолітніх осіб. Закон передбачає обмежений перелік покарань, який узгоджується з потребою гуманного ставлення до дітей. Серед них — штраф, громадські та виправні роботи, пробаційний нагляд та</w:t>
      </w:r>
      <w:r w:rsidR="007B2628"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val="uk-UA" w:eastAsia="ru-RU" w:bidi="uk-UA"/>
        </w:rPr>
        <w:t xml:space="preserve">позбавлення волі на певний строк. Штраф може застосовуватись лише тоді, коли в особи є власні доходи або майно. Громадські роботи призначаються лише з шістнадцяти років, вони передбачають виконання неплатної праці на користь суспільства, обмеженої за тривалістю. Виправні роботи можуть бути </w:t>
      </w:r>
      <w:r w:rsidRPr="00511005">
        <w:rPr>
          <w:rFonts w:ascii="Arial" w:eastAsia="Times New Roman" w:hAnsi="Arial" w:cs="Arial"/>
          <w:szCs w:val="28"/>
          <w:lang w:val="uk-UA" w:eastAsia="ru-RU" w:bidi="uk-UA"/>
        </w:rPr>
        <w:lastRenderedPageBreak/>
        <w:t>призначені також з шістнадцяти років, але їх використання на практиці доволі рідкісне через складність реалізації. Цей вид покарань призначають тим, хто вже працює.</w:t>
      </w:r>
    </w:p>
    <w:p w14:paraId="5DA285F0" w14:textId="5ACC3A4B"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Пробаційний нагляд полягає саме в обмеженні прав та свобод порушника, встановлений вироком суду, із застосуванням соціально-виховних та наглядових заходів, до того ж без ізоляції від суспільства. Згідно статті 59 – 1 Кримінального кодексу України стосовно пробаційного нагляду вказані такі обов’язки: періодично з’являтися для реєстрації, повідомляти про зміну місця проживання, навчання чи роботи, та не виїжджати за межі України без дозволу уповноваженого органу з питань пр</w:t>
      </w:r>
      <w:r w:rsidRPr="00511005">
        <w:rPr>
          <w:rFonts w:ascii="Arial" w:eastAsia="Times New Roman" w:hAnsi="Arial" w:cs="Arial"/>
          <w:szCs w:val="28"/>
          <w:lang w:val="en-US" w:eastAsia="ru-RU" w:bidi="uk-UA"/>
        </w:rPr>
        <w:t>o</w:t>
      </w:r>
      <w:r w:rsidRPr="00511005">
        <w:rPr>
          <w:rFonts w:ascii="Arial" w:eastAsia="Times New Roman" w:hAnsi="Arial" w:cs="Arial"/>
          <w:szCs w:val="28"/>
          <w:lang w:val="uk-UA" w:eastAsia="ru-RU" w:bidi="uk-UA"/>
        </w:rPr>
        <w:t>бації. Найбільш суворим видом покарання є позбавлення волі, термін якого залежить від тяжкості вчиненого правопорушення, але ніколи не перевищує п’ятнадцяти років. До неповнолітніх не можуть застосовуватись покарання у вигляді довічного позбавлення волі, службових заборон, обмеження волі та деякі інші, що використовуються щодо дорослих осіб</w:t>
      </w:r>
      <w:r w:rsidRPr="00511005">
        <w:rPr>
          <w:rFonts w:ascii="Arial" w:eastAsia="Times New Roman" w:hAnsi="Arial" w:cs="Arial"/>
          <w:szCs w:val="28"/>
          <w:lang w:eastAsia="ru-RU" w:bidi="uk-UA"/>
        </w:rPr>
        <w:t xml:space="preserve"> [1]</w:t>
      </w:r>
      <w:r w:rsidRPr="00511005">
        <w:rPr>
          <w:rFonts w:ascii="Arial" w:eastAsia="Times New Roman" w:hAnsi="Arial" w:cs="Arial"/>
          <w:szCs w:val="28"/>
          <w:lang w:val="uk-UA" w:eastAsia="ru-RU" w:bidi="uk-UA"/>
        </w:rPr>
        <w:t>.</w:t>
      </w:r>
    </w:p>
    <w:p w14:paraId="3EF91F08"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Метою покарання є виправлення, а от про перевиховання йдеться в примусових заходах виховного характеру, але вони не є видом покарань. Згідно статті 97 Кримінального Кодексу України, неповнолітня особа, яка вперше вчинила необережний нетяжкий злочин або кримінальний проступок, може бути звільнена від кримінальної відповідальності, якщо виправлення можливе без покарання. У цьому випадку суд може призначити застосування примусових заходів виховного характеру. Ці заходи зазначені у частині другій статті 105 Кримінального Кодексу України, зокрема, застереження, передача під нагляд батьків або осіб, які їх замінюють, покладення обов'язку відшкодувати шкоду, а також направлення до спеціального навчально-виховного закладу. Ці механізми дозволяють не лише уникнути жорсткої ізоляції дитини від соціуму, але й впливати на неї шляхом виховання та соціальної адаптації. </w:t>
      </w:r>
    </w:p>
    <w:p w14:paraId="76283D63"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Проєкт нового Кримінального кодексу України, запропонований Робочою групою з питань кримінального права, передбачає більш гнучкий підхід. У ньому чітко виокремлено категорію дітей у конфлікті із законом і посилено акцент на необхідності забезпечення інтересів дитини під час кримінального провадження. Пропонується відмовитись від деяких каральних механізмів, натомість більше використовувати заходи ресоціалізації, психологічної підтримки та медіації. Кодекс пропонує оновлену термінологію, засновану на практиці міжнародних організацій, зокрема ЮНІСЕФ та Комітету ООН з прав дитини</w:t>
      </w:r>
      <w:r w:rsidRPr="00511005">
        <w:rPr>
          <w:rFonts w:ascii="Arial" w:eastAsia="Times New Roman" w:hAnsi="Arial" w:cs="Arial"/>
          <w:szCs w:val="28"/>
          <w:lang w:eastAsia="ru-RU" w:bidi="uk-UA"/>
        </w:rPr>
        <w:t xml:space="preserve"> [2]</w:t>
      </w:r>
      <w:r w:rsidRPr="00511005">
        <w:rPr>
          <w:rFonts w:ascii="Arial" w:eastAsia="Times New Roman" w:hAnsi="Arial" w:cs="Arial"/>
          <w:szCs w:val="28"/>
          <w:lang w:val="uk-UA" w:eastAsia="ru-RU" w:bidi="uk-UA"/>
        </w:rPr>
        <w:t xml:space="preserve">. </w:t>
      </w:r>
    </w:p>
    <w:p w14:paraId="00C7E3BF"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Як висновок, хотіла б зазначити, які ж все-таки види покарань для неповнолітніх є найефективнішими. Найефективнішими вважаються ті, які мають на меті не лише покарати порушника, а й запобігти повторення правопорушень. Практика показує, що м’які, виховні заходи є значно кращими, оскільки підлітки є більш чутливими та вразливими до впливу </w:t>
      </w:r>
      <w:r w:rsidRPr="00511005">
        <w:rPr>
          <w:rFonts w:ascii="Arial" w:eastAsia="Times New Roman" w:hAnsi="Arial" w:cs="Arial"/>
          <w:szCs w:val="28"/>
          <w:lang w:val="uk-UA" w:eastAsia="ru-RU" w:bidi="uk-UA"/>
        </w:rPr>
        <w:lastRenderedPageBreak/>
        <w:t>середовища, вони мають нестійку психіку та часто скоюють злочини через незрілість. До таких покарань я б віднесла саме пробаційний нагляд.</w:t>
      </w:r>
    </w:p>
    <w:p w14:paraId="0F78D5B4"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eastAsia="ru-RU" w:bidi="uk-UA"/>
        </w:rPr>
      </w:pPr>
      <w:r w:rsidRPr="00511005">
        <w:rPr>
          <w:rFonts w:ascii="Arial" w:eastAsia="Times New Roman" w:hAnsi="Arial" w:cs="Arial"/>
          <w:szCs w:val="28"/>
          <w:lang w:eastAsia="ru-RU" w:bidi="uk-UA"/>
        </w:rPr>
        <w:t>Т</w:t>
      </w:r>
      <w:r w:rsidRPr="00511005">
        <w:rPr>
          <w:rFonts w:ascii="Arial" w:eastAsia="Times New Roman" w:hAnsi="Arial" w:cs="Arial"/>
          <w:szCs w:val="28"/>
          <w:lang w:val="en-US" w:eastAsia="ru-RU" w:bidi="uk-UA"/>
        </w:rPr>
        <w:t>a</w:t>
      </w:r>
      <w:r w:rsidRPr="00511005">
        <w:rPr>
          <w:rFonts w:ascii="Arial" w:eastAsia="Times New Roman" w:hAnsi="Arial" w:cs="Arial"/>
          <w:szCs w:val="28"/>
          <w:lang w:eastAsia="ru-RU" w:bidi="uk-UA"/>
        </w:rPr>
        <w:t>ким чином, покарання для неповнолітніх в Укр</w:t>
      </w:r>
      <w:r w:rsidRPr="00511005">
        <w:rPr>
          <w:rFonts w:ascii="Arial" w:eastAsia="Times New Roman" w:hAnsi="Arial" w:cs="Arial"/>
          <w:szCs w:val="28"/>
          <w:lang w:val="en-US" w:eastAsia="ru-RU" w:bidi="uk-UA"/>
        </w:rPr>
        <w:t>a</w:t>
      </w:r>
      <w:r w:rsidRPr="00511005">
        <w:rPr>
          <w:rFonts w:ascii="Arial" w:eastAsia="Times New Roman" w:hAnsi="Arial" w:cs="Arial"/>
          <w:szCs w:val="28"/>
          <w:lang w:eastAsia="ru-RU" w:bidi="uk-UA"/>
        </w:rPr>
        <w:t xml:space="preserve">їні має чітко виражену гуманістичну орієнтацію, </w:t>
      </w:r>
      <w:r w:rsidRPr="00511005">
        <w:rPr>
          <w:rFonts w:ascii="Arial" w:eastAsia="Times New Roman" w:hAnsi="Arial" w:cs="Arial"/>
          <w:szCs w:val="28"/>
          <w:lang w:val="uk-UA" w:eastAsia="ru-RU" w:bidi="uk-UA"/>
        </w:rPr>
        <w:t>о</w:t>
      </w:r>
      <w:r w:rsidRPr="00511005">
        <w:rPr>
          <w:rFonts w:ascii="Arial" w:eastAsia="Times New Roman" w:hAnsi="Arial" w:cs="Arial"/>
          <w:szCs w:val="28"/>
          <w:lang w:eastAsia="ru-RU" w:bidi="uk-UA"/>
        </w:rPr>
        <w:t>днак не позбавлене труднощів у практичному застосуванні. Діючий Кримінальний кодекс, хоча й враховує специфіку цієї вікової категорії, потребує п</w:t>
      </w:r>
      <w:r w:rsidRPr="00511005">
        <w:rPr>
          <w:rFonts w:ascii="Arial" w:eastAsia="Times New Roman" w:hAnsi="Arial" w:cs="Arial"/>
          <w:szCs w:val="28"/>
          <w:lang w:val="en-US" w:eastAsia="ru-RU" w:bidi="uk-UA"/>
        </w:rPr>
        <w:t>o</w:t>
      </w:r>
      <w:r w:rsidRPr="00511005">
        <w:rPr>
          <w:rFonts w:ascii="Arial" w:eastAsia="Times New Roman" w:hAnsi="Arial" w:cs="Arial"/>
          <w:szCs w:val="28"/>
          <w:lang w:eastAsia="ru-RU" w:bidi="uk-UA"/>
        </w:rPr>
        <w:t>дальшої адаптації до новітніх викликів, зокрема поширення деві</w:t>
      </w:r>
      <w:r w:rsidRPr="00511005">
        <w:rPr>
          <w:rFonts w:ascii="Arial" w:eastAsia="Times New Roman" w:hAnsi="Arial" w:cs="Arial"/>
          <w:szCs w:val="28"/>
          <w:lang w:val="uk-UA" w:eastAsia="ru-RU" w:bidi="uk-UA"/>
        </w:rPr>
        <w:t>а</w:t>
      </w:r>
      <w:r w:rsidRPr="00511005">
        <w:rPr>
          <w:rFonts w:ascii="Arial" w:eastAsia="Times New Roman" w:hAnsi="Arial" w:cs="Arial"/>
          <w:szCs w:val="28"/>
          <w:lang w:eastAsia="ru-RU" w:bidi="uk-UA"/>
        </w:rPr>
        <w:t>нтної поведінки, зростання соціальної вразливості дітей та складної соціально-економічної ситуації. З</w:t>
      </w:r>
      <w:r w:rsidRPr="00511005">
        <w:rPr>
          <w:rFonts w:ascii="Arial" w:eastAsia="Times New Roman" w:hAnsi="Arial" w:cs="Arial"/>
          <w:szCs w:val="28"/>
          <w:lang w:val="en-US" w:eastAsia="ru-RU" w:bidi="uk-UA"/>
        </w:rPr>
        <w:t>a</w:t>
      </w:r>
      <w:r w:rsidRPr="00511005">
        <w:rPr>
          <w:rFonts w:ascii="Arial" w:eastAsia="Times New Roman" w:hAnsi="Arial" w:cs="Arial"/>
          <w:szCs w:val="28"/>
          <w:lang w:eastAsia="ru-RU" w:bidi="uk-UA"/>
        </w:rPr>
        <w:t>пропонований проєкт нового КК передбачає модернізацію підходів до неповнолітніх правопорушників, акцентуючи увагу на індивідуалізації покарання, профілактиці рецидиву та створенні умов для реального виправлення особи. В</w:t>
      </w:r>
      <w:r w:rsidRPr="00511005">
        <w:rPr>
          <w:rFonts w:ascii="Arial" w:eastAsia="Times New Roman" w:hAnsi="Arial" w:cs="Arial"/>
          <w:szCs w:val="28"/>
          <w:lang w:val="en-US" w:eastAsia="ru-RU" w:bidi="uk-UA"/>
        </w:rPr>
        <w:t>o</w:t>
      </w:r>
      <w:r w:rsidRPr="00511005">
        <w:rPr>
          <w:rFonts w:ascii="Arial" w:eastAsia="Times New Roman" w:hAnsi="Arial" w:cs="Arial"/>
          <w:szCs w:val="28"/>
          <w:lang w:eastAsia="ru-RU" w:bidi="uk-UA"/>
        </w:rPr>
        <w:t xml:space="preserve">дночас, ефективність реалізації таких ідей залежатиме від наявності політичної волі, ресурсного забезпечення та належної координації між усіма </w:t>
      </w:r>
      <w:r w:rsidRPr="00511005">
        <w:rPr>
          <w:rFonts w:ascii="Arial" w:eastAsia="Times New Roman" w:hAnsi="Arial" w:cs="Arial"/>
          <w:szCs w:val="28"/>
          <w:lang w:val="en-US" w:eastAsia="ru-RU" w:bidi="uk-UA"/>
        </w:rPr>
        <w:t>o</w:t>
      </w:r>
      <w:r w:rsidRPr="00511005">
        <w:rPr>
          <w:rFonts w:ascii="Arial" w:eastAsia="Times New Roman" w:hAnsi="Arial" w:cs="Arial"/>
          <w:szCs w:val="28"/>
          <w:lang w:eastAsia="ru-RU" w:bidi="uk-UA"/>
        </w:rPr>
        <w:t>рганами юстиції.</w:t>
      </w:r>
    </w:p>
    <w:p w14:paraId="29AB2087" w14:textId="77777777" w:rsidR="00200E87" w:rsidRPr="00511005" w:rsidRDefault="00200E87" w:rsidP="003A292D">
      <w:pPr>
        <w:widowControl w:val="0"/>
        <w:tabs>
          <w:tab w:val="left" w:pos="7088"/>
        </w:tabs>
        <w:autoSpaceDE w:val="0"/>
        <w:autoSpaceDN w:val="0"/>
        <w:adjustRightInd w:val="0"/>
        <w:spacing w:line="264" w:lineRule="auto"/>
        <w:ind w:firstLine="0"/>
        <w:jc w:val="left"/>
        <w:rPr>
          <w:rFonts w:ascii="Arial" w:eastAsia="Times New Roman" w:hAnsi="Arial" w:cs="Arial"/>
          <w:b/>
          <w:szCs w:val="28"/>
          <w:lang w:eastAsia="ru-RU" w:bidi="uk-UA"/>
        </w:rPr>
      </w:pPr>
    </w:p>
    <w:p w14:paraId="250B9A9F"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val="uk-UA" w:eastAsia="ru-RU" w:bidi="uk-UA"/>
        </w:rPr>
      </w:pPr>
      <w:r w:rsidRPr="00511005">
        <w:rPr>
          <w:rFonts w:ascii="Arial" w:eastAsia="Times New Roman" w:hAnsi="Arial" w:cs="Arial"/>
          <w:b/>
          <w:szCs w:val="28"/>
          <w:lang w:val="en-US" w:eastAsia="ru-RU" w:bidi="uk-UA"/>
        </w:rPr>
        <w:t>C</w:t>
      </w:r>
      <w:r w:rsidRPr="00511005">
        <w:rPr>
          <w:rFonts w:ascii="Arial" w:eastAsia="Times New Roman" w:hAnsi="Arial" w:cs="Arial"/>
          <w:b/>
          <w:szCs w:val="28"/>
          <w:lang w:val="uk-UA" w:eastAsia="ru-RU" w:bidi="uk-UA"/>
        </w:rPr>
        <w:t>писок використаних джерел</w:t>
      </w:r>
    </w:p>
    <w:p w14:paraId="4937911A" w14:textId="0420C77E" w:rsidR="00200E87" w:rsidRPr="00511005" w:rsidRDefault="00200E87" w:rsidP="003F6A5D">
      <w:pPr>
        <w:widowControl w:val="0"/>
        <w:numPr>
          <w:ilvl w:val="0"/>
          <w:numId w:val="839"/>
        </w:numPr>
        <w:tabs>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Кримінальний кодекс України від 5 квітня 2001 року № 2341-III (зі змінами та доповненнями).</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en-US" w:eastAsia="ru-RU" w:bidi="uk-UA"/>
        </w:rPr>
        <w:t>URL</w:t>
      </w:r>
      <w:r w:rsidRPr="00511005">
        <w:rPr>
          <w:rFonts w:ascii="Arial" w:eastAsia="Times New Roman" w:hAnsi="Arial" w:cs="Arial"/>
          <w:bCs/>
          <w:szCs w:val="28"/>
          <w:lang w:eastAsia="ru-RU" w:bidi="uk-UA"/>
        </w:rPr>
        <w:t>:</w:t>
      </w:r>
      <w:r w:rsidRPr="00511005">
        <w:rPr>
          <w:rFonts w:ascii="Arial" w:eastAsia="Times New Roman" w:hAnsi="Arial" w:cs="Arial"/>
          <w:szCs w:val="28"/>
          <w:lang w:eastAsia="ru-RU"/>
        </w:rPr>
        <w:t xml:space="preserve"> </w:t>
      </w:r>
      <w:r w:rsidRPr="00511005">
        <w:rPr>
          <w:rFonts w:ascii="Arial" w:eastAsia="Times New Roman" w:hAnsi="Arial" w:cs="Arial"/>
          <w:bCs/>
          <w:szCs w:val="28"/>
          <w:lang w:val="en-US" w:eastAsia="ru-RU" w:bidi="uk-UA"/>
        </w:rPr>
        <w:t>https</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zakon</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rada</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gov</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ua</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laws</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show</w:t>
      </w:r>
      <w:r w:rsidRPr="00511005">
        <w:rPr>
          <w:rFonts w:ascii="Arial" w:eastAsia="Times New Roman" w:hAnsi="Arial" w:cs="Arial"/>
          <w:bCs/>
          <w:szCs w:val="28"/>
          <w:lang w:eastAsia="ru-RU" w:bidi="uk-UA"/>
        </w:rPr>
        <w:t>/2341-14#</w:t>
      </w:r>
      <w:r w:rsidRPr="00511005">
        <w:rPr>
          <w:rFonts w:ascii="Arial" w:eastAsia="Times New Roman" w:hAnsi="Arial" w:cs="Arial"/>
          <w:bCs/>
          <w:szCs w:val="28"/>
          <w:lang w:val="en-US" w:eastAsia="ru-RU" w:bidi="uk-UA"/>
        </w:rPr>
        <w:t>Text</w:t>
      </w:r>
      <w:r w:rsidRPr="00511005">
        <w:rPr>
          <w:rFonts w:ascii="Arial" w:eastAsia="Times New Roman" w:hAnsi="Arial" w:cs="Arial"/>
          <w:bCs/>
          <w:szCs w:val="28"/>
          <w:lang w:eastAsia="ru-RU" w:bidi="uk-UA"/>
        </w:rPr>
        <w:t xml:space="preserve"> (дата звернення 07.04.2025 року)</w:t>
      </w:r>
    </w:p>
    <w:p w14:paraId="73C671A4" w14:textId="77777777" w:rsidR="00200E87" w:rsidRPr="00511005" w:rsidRDefault="00200E87" w:rsidP="003F6A5D">
      <w:pPr>
        <w:widowControl w:val="0"/>
        <w:numPr>
          <w:ilvl w:val="0"/>
          <w:numId w:val="839"/>
        </w:numPr>
        <w:tabs>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Проєкт нового Кримінального кодексу України (Робоча група з питань реформування кримінального законодавства при Комісії з питань правової реформи при Президентові України). </w:t>
      </w:r>
      <w:r w:rsidRPr="00511005">
        <w:rPr>
          <w:rFonts w:ascii="Arial" w:eastAsia="Times New Roman" w:hAnsi="Arial" w:cs="Arial"/>
          <w:bCs/>
          <w:szCs w:val="28"/>
          <w:lang w:val="en-US" w:eastAsia="ru-RU" w:bidi="uk-UA"/>
        </w:rPr>
        <w:t>URL</w:t>
      </w:r>
      <w:r w:rsidRPr="00511005">
        <w:rPr>
          <w:rFonts w:ascii="Arial" w:eastAsia="Times New Roman" w:hAnsi="Arial" w:cs="Arial"/>
          <w:bCs/>
          <w:szCs w:val="28"/>
          <w:lang w:eastAsia="ru-RU" w:bidi="uk-UA"/>
        </w:rPr>
        <w:t>:</w:t>
      </w:r>
      <w:r w:rsidRPr="00511005">
        <w:rPr>
          <w:rFonts w:ascii="Arial" w:eastAsia="Times New Roman" w:hAnsi="Arial" w:cs="Arial"/>
          <w:szCs w:val="28"/>
          <w:lang w:eastAsia="ru-RU"/>
        </w:rPr>
        <w:t xml:space="preserve"> </w:t>
      </w:r>
      <w:r w:rsidRPr="00511005">
        <w:rPr>
          <w:rFonts w:ascii="Arial" w:eastAsia="Times New Roman" w:hAnsi="Arial" w:cs="Arial"/>
          <w:bCs/>
          <w:szCs w:val="28"/>
          <w:lang w:val="en-US" w:eastAsia="ru-RU" w:bidi="uk-UA"/>
        </w:rPr>
        <w:t>https</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newcriminalcode</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org</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ua</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upload</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media</w:t>
      </w:r>
      <w:r w:rsidRPr="00511005">
        <w:rPr>
          <w:rFonts w:ascii="Arial" w:eastAsia="Times New Roman" w:hAnsi="Arial" w:cs="Arial"/>
          <w:bCs/>
          <w:szCs w:val="28"/>
          <w:lang w:eastAsia="ru-RU" w:bidi="uk-UA"/>
        </w:rPr>
        <w:t>/2025/04/03/00-</w:t>
      </w:r>
      <w:r w:rsidRPr="00511005">
        <w:rPr>
          <w:rFonts w:ascii="Arial" w:eastAsia="Times New Roman" w:hAnsi="Arial" w:cs="Arial"/>
          <w:bCs/>
          <w:szCs w:val="28"/>
          <w:lang w:val="en-US" w:eastAsia="ru-RU" w:bidi="uk-UA"/>
        </w:rPr>
        <w:t>kontrolnyj</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proyekt</w:t>
      </w:r>
      <w:r w:rsidRPr="00511005">
        <w:rPr>
          <w:rFonts w:ascii="Arial" w:eastAsia="Times New Roman" w:hAnsi="Arial" w:cs="Arial"/>
          <w:bCs/>
          <w:szCs w:val="28"/>
          <w:lang w:eastAsia="ru-RU" w:bidi="uk-UA"/>
        </w:rPr>
        <w:t>-</w:t>
      </w:r>
      <w:r w:rsidRPr="00511005">
        <w:rPr>
          <w:rFonts w:ascii="Arial" w:eastAsia="Times New Roman" w:hAnsi="Arial" w:cs="Arial"/>
          <w:bCs/>
          <w:szCs w:val="28"/>
          <w:lang w:val="en-US" w:eastAsia="ru-RU" w:bidi="uk-UA"/>
        </w:rPr>
        <w:t>kk</w:t>
      </w:r>
      <w:r w:rsidRPr="00511005">
        <w:rPr>
          <w:rFonts w:ascii="Arial" w:eastAsia="Times New Roman" w:hAnsi="Arial" w:cs="Arial"/>
          <w:bCs/>
          <w:szCs w:val="28"/>
          <w:lang w:eastAsia="ru-RU" w:bidi="uk-UA"/>
        </w:rPr>
        <w:t>-02-04-2025.</w:t>
      </w:r>
      <w:r w:rsidRPr="00511005">
        <w:rPr>
          <w:rFonts w:ascii="Arial" w:eastAsia="Times New Roman" w:hAnsi="Arial" w:cs="Arial"/>
          <w:bCs/>
          <w:szCs w:val="28"/>
          <w:lang w:val="en-US" w:eastAsia="ru-RU" w:bidi="uk-UA"/>
        </w:rPr>
        <w:t>pdf</w:t>
      </w:r>
      <w:r w:rsidRPr="00511005">
        <w:rPr>
          <w:rFonts w:ascii="Arial" w:eastAsia="Times New Roman" w:hAnsi="Arial" w:cs="Arial"/>
          <w:bCs/>
          <w:szCs w:val="28"/>
          <w:lang w:eastAsia="ru-RU" w:bidi="uk-UA"/>
        </w:rPr>
        <w:t xml:space="preserve"> (дата звернення 07.04.2025 року)</w:t>
      </w:r>
    </w:p>
    <w:p w14:paraId="1F0284FC" w14:textId="0DEB2D1D" w:rsidR="00200E87" w:rsidRPr="00511005" w:rsidRDefault="00200E87" w:rsidP="003F6A5D">
      <w:pPr>
        <w:widowControl w:val="0"/>
        <w:numPr>
          <w:ilvl w:val="0"/>
          <w:numId w:val="839"/>
        </w:numPr>
        <w:tabs>
          <w:tab w:val="left" w:pos="7088"/>
        </w:tabs>
        <w:autoSpaceDE w:val="0"/>
        <w:autoSpaceDN w:val="0"/>
        <w:adjustRightInd w:val="0"/>
        <w:spacing w:line="264" w:lineRule="auto"/>
        <w:ind w:left="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Бурдін М. Ю. Кримінальна відповідальність неповнолітніх в Україні: сучасний стан та перспективи розвитку. Право і безпека.</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uk-UA" w:eastAsia="ru-RU" w:bidi="uk-UA"/>
        </w:rPr>
        <w:t>2022. № 2.</w:t>
      </w:r>
      <w:r w:rsidR="007B2628"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uk-UA" w:eastAsia="ru-RU" w:bidi="uk-UA"/>
        </w:rPr>
        <w:t>С. 91–97.</w:t>
      </w:r>
    </w:p>
    <w:p w14:paraId="3EB47A4F" w14:textId="77777777" w:rsidR="00200E87" w:rsidRPr="00511005" w:rsidRDefault="00200E87"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bCs/>
          <w:szCs w:val="28"/>
          <w:lang w:val="uk-UA" w:eastAsia="ru-RU" w:bidi="uk-UA"/>
        </w:rPr>
      </w:pPr>
    </w:p>
    <w:p w14:paraId="2CC4FC78" w14:textId="3DE8D86E" w:rsidR="00200E87" w:rsidRPr="00511005" w:rsidRDefault="007B2628"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bCs/>
          <w:szCs w:val="28"/>
          <w:lang w:val="uk-UA" w:eastAsia="ru-RU" w:bidi="uk-UA"/>
        </w:rPr>
      </w:pPr>
      <w:r w:rsidRPr="00511005">
        <w:rPr>
          <w:rFonts w:ascii="Arial" w:eastAsia="Times New Roman" w:hAnsi="Arial" w:cs="Arial"/>
          <w:b/>
          <w:bCs/>
          <w:i/>
          <w:szCs w:val="28"/>
          <w:lang w:val="uk-UA" w:eastAsia="ru-RU" w:bidi="uk-UA"/>
        </w:rPr>
        <w:t xml:space="preserve">Ключові слова: </w:t>
      </w:r>
      <w:r w:rsidR="00200E87" w:rsidRPr="00511005">
        <w:rPr>
          <w:rFonts w:ascii="Arial" w:eastAsia="Times New Roman" w:hAnsi="Arial" w:cs="Arial"/>
          <w:bCs/>
          <w:szCs w:val="28"/>
          <w:lang w:val="uk-UA" w:eastAsia="ru-RU" w:bidi="uk-UA"/>
        </w:rPr>
        <w:t>Кримінальний кодекс України, виправлення, неповнолітня особа, кримінальна відповідальність, види покарань.</w:t>
      </w:r>
    </w:p>
    <w:p w14:paraId="1C166448" w14:textId="61170590" w:rsidR="00200E87" w:rsidRPr="00511005" w:rsidRDefault="007B2628"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bCs/>
          <w:szCs w:val="28"/>
          <w:lang w:val="uk-UA" w:eastAsia="ru-RU" w:bidi="uk-UA"/>
        </w:rPr>
      </w:pPr>
      <w:r w:rsidRPr="00511005">
        <w:rPr>
          <w:rFonts w:ascii="Arial" w:eastAsia="Times New Roman" w:hAnsi="Arial" w:cs="Arial"/>
          <w:b/>
          <w:bCs/>
          <w:i/>
          <w:szCs w:val="28"/>
          <w:lang w:val="en-US" w:eastAsia="ru-RU" w:bidi="uk-UA"/>
        </w:rPr>
        <w:t xml:space="preserve">Key words: </w:t>
      </w:r>
      <w:r w:rsidR="00200E87" w:rsidRPr="00511005">
        <w:rPr>
          <w:rFonts w:ascii="Arial" w:eastAsia="Times New Roman" w:hAnsi="Arial" w:cs="Arial"/>
          <w:bCs/>
          <w:szCs w:val="28"/>
          <w:lang w:val="en-US" w:eastAsia="ru-RU" w:bidi="uk-UA"/>
        </w:rPr>
        <w:t>Criminal Code of Ukraine, correction, minor, criminal liability, types of punishment.</w:t>
      </w:r>
    </w:p>
    <w:p w14:paraId="2211EC15" w14:textId="77777777" w:rsidR="00200E87" w:rsidRPr="00511005" w:rsidRDefault="00200E87" w:rsidP="003A292D">
      <w:pPr>
        <w:widowControl w:val="0"/>
        <w:tabs>
          <w:tab w:val="left" w:pos="993"/>
          <w:tab w:val="left" w:pos="7088"/>
        </w:tabs>
        <w:autoSpaceDE w:val="0"/>
        <w:autoSpaceDN w:val="0"/>
        <w:adjustRightInd w:val="0"/>
        <w:spacing w:line="264" w:lineRule="auto"/>
        <w:ind w:firstLine="0"/>
        <w:rPr>
          <w:rFonts w:ascii="Arial" w:eastAsia="Times New Roman" w:hAnsi="Arial" w:cs="Arial"/>
          <w:bCs/>
          <w:i/>
          <w:szCs w:val="28"/>
          <w:lang w:val="uk-UA" w:eastAsia="ru-RU" w:bidi="uk-UA"/>
        </w:rPr>
      </w:pPr>
    </w:p>
    <w:p w14:paraId="249AB7E0" w14:textId="07EF2785" w:rsidR="00200E87" w:rsidRPr="00511005" w:rsidRDefault="007B2628" w:rsidP="003A292D">
      <w:pPr>
        <w:widowControl w:val="0"/>
        <w:tabs>
          <w:tab w:val="left" w:pos="993"/>
          <w:tab w:val="left" w:pos="7088"/>
        </w:tabs>
        <w:autoSpaceDE w:val="0"/>
        <w:autoSpaceDN w:val="0"/>
        <w:adjustRightInd w:val="0"/>
        <w:spacing w:line="264" w:lineRule="auto"/>
        <w:ind w:firstLine="0"/>
        <w:rPr>
          <w:rFonts w:ascii="Arial" w:eastAsia="Times New Roman" w:hAnsi="Arial" w:cs="Arial"/>
          <w:bCs/>
          <w:i/>
          <w:szCs w:val="28"/>
          <w:lang w:val="uk-UA" w:eastAsia="ru-RU" w:bidi="uk-UA"/>
        </w:rPr>
      </w:pPr>
      <w:r w:rsidRPr="00511005">
        <w:rPr>
          <w:rFonts w:ascii="Arial" w:eastAsia="Times New Roman" w:hAnsi="Arial" w:cs="Arial"/>
          <w:b/>
          <w:bCs/>
          <w:i/>
          <w:szCs w:val="28"/>
          <w:lang w:val="uk-UA" w:eastAsia="ru-RU" w:bidi="uk-UA"/>
        </w:rPr>
        <w:t xml:space="preserve">Науковий керівник: </w:t>
      </w:r>
      <w:r w:rsidR="00200E87" w:rsidRPr="00511005">
        <w:rPr>
          <w:rFonts w:ascii="Arial" w:eastAsia="Times New Roman" w:hAnsi="Arial" w:cs="Arial"/>
          <w:bCs/>
          <w:i/>
          <w:szCs w:val="28"/>
          <w:lang w:val="uk-UA" w:eastAsia="ru-RU" w:bidi="uk-UA"/>
        </w:rPr>
        <w:t xml:space="preserve">к.ю.н., професор Мирошниченко Н.А. </w:t>
      </w:r>
    </w:p>
    <w:p w14:paraId="5E8CC279" w14:textId="77777777" w:rsidR="00200E87" w:rsidRPr="00511005" w:rsidRDefault="00200E87" w:rsidP="003A292D">
      <w:pPr>
        <w:widowControl w:val="0"/>
        <w:tabs>
          <w:tab w:val="left" w:pos="993"/>
          <w:tab w:val="left" w:pos="7088"/>
        </w:tabs>
        <w:autoSpaceDE w:val="0"/>
        <w:autoSpaceDN w:val="0"/>
        <w:adjustRightInd w:val="0"/>
        <w:spacing w:line="264" w:lineRule="auto"/>
        <w:ind w:firstLine="0"/>
        <w:rPr>
          <w:rFonts w:ascii="Arial" w:eastAsia="Times New Roman" w:hAnsi="Arial" w:cs="Arial"/>
          <w:bCs/>
          <w:i/>
          <w:szCs w:val="28"/>
          <w:lang w:val="uk-UA" w:eastAsia="ru-RU" w:bidi="uk-UA"/>
        </w:rPr>
      </w:pPr>
    </w:p>
    <w:p w14:paraId="14CCEF69" w14:textId="77777777" w:rsidR="00200E87" w:rsidRPr="00511005" w:rsidRDefault="00200E87" w:rsidP="003A292D">
      <w:pPr>
        <w:spacing w:line="264" w:lineRule="auto"/>
        <w:ind w:firstLine="0"/>
        <w:jc w:val="center"/>
        <w:rPr>
          <w:rFonts w:ascii="Arial" w:eastAsia="Calibri" w:hAnsi="Arial" w:cs="Arial"/>
          <w:szCs w:val="28"/>
          <w:lang w:val="uk-UA"/>
        </w:rPr>
      </w:pPr>
    </w:p>
    <w:p w14:paraId="15095E32" w14:textId="77777777" w:rsidR="00200E87" w:rsidRPr="00511005" w:rsidRDefault="00200E87" w:rsidP="003A292D">
      <w:pPr>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Паньковець Євгеній Степанович</w:t>
      </w:r>
    </w:p>
    <w:p w14:paraId="236F6FD8" w14:textId="14D2F801" w:rsidR="00200E87"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 3-го курсу </w:t>
      </w:r>
      <w:r w:rsidR="00200E87" w:rsidRPr="00511005">
        <w:rPr>
          <w:rFonts w:ascii="Arial" w:eastAsia="Times New Roman" w:hAnsi="Arial" w:cs="Arial"/>
          <w:szCs w:val="28"/>
          <w:lang w:val="uk-UA" w:eastAsia="uk-UA"/>
        </w:rPr>
        <w:t>факультету цивільної та господарської юстиції</w:t>
      </w:r>
    </w:p>
    <w:p w14:paraId="0522767B" w14:textId="2A180A35" w:rsidR="00200E87" w:rsidRPr="00511005" w:rsidRDefault="00BE3972"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16280B54" w14:textId="77777777" w:rsidR="00200E87" w:rsidRPr="00511005" w:rsidRDefault="00200E87" w:rsidP="003A292D">
      <w:pPr>
        <w:spacing w:line="264" w:lineRule="auto"/>
        <w:ind w:firstLine="0"/>
        <w:jc w:val="center"/>
        <w:rPr>
          <w:rFonts w:ascii="Arial" w:eastAsia="Times New Roman" w:hAnsi="Arial" w:cs="Arial"/>
          <w:szCs w:val="28"/>
          <w:lang w:val="uk-UA" w:eastAsia="uk-UA"/>
        </w:rPr>
      </w:pPr>
    </w:p>
    <w:p w14:paraId="1947434D" w14:textId="77777777" w:rsidR="00200E87" w:rsidRPr="00511005" w:rsidRDefault="00200E87" w:rsidP="003A292D">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ПРОБЛЕМИ КРИМІНАЛЬНОЇ ВІДПОВІДАЛЬНОСТІ ЗА КОЛАБОРАЦІОНІЗМ</w:t>
      </w:r>
    </w:p>
    <w:p w14:paraId="5DED93C6" w14:textId="77777777" w:rsidR="00200E87" w:rsidRPr="00511005" w:rsidRDefault="00200E87"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Колабораціонізм як явище існує стільки ж, скільки й війни, бо в умовах окупації питання вибору – підтримати свою державу чи пристати на бік ворога – стає не лише моральним викликом, а й питанням виживання. Проте сама категорія «колабораціонізм» як юридичне та політичне поняття набула розголосу лише в XX столітті, особливо після окупації Франції нацистською Німеччиною, коли колишній прем’єр-міністр П’єр Лаваль закликав до співпраці з гітлерівським режимом. Відтоді це слово стало символом зради, а колабораціоністи – синонімом тих, хто свідомо співпрацює з окупаційною владою. В українських реаліях феномен колабораціонізму набув особливої гостроти після початку збройної агресії Російської Федерації у 2014 році, а ще більше – з повномасштабного вторгнення у лютому 2022 року. Саме ці трагічні події змусили державу оперативно відреагувати не лише військовими засобами, а й нормативно-правовими, зокрема в площині кримінального законодавства, запровадивши кримінальну відповідальність за співпрацю з окупантом [1]. Проте впровадження цієї відповідальності спричинило низку практичних, етичних і юридичних проблем, які потребують детального осмислення.</w:t>
      </w:r>
    </w:p>
    <w:p w14:paraId="7E4AF29C" w14:textId="77777777" w:rsidR="00200E87" w:rsidRPr="00511005" w:rsidRDefault="00200E87"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Українське законодавство на сьогодні передбачає відповідальність за колабораційну діяльність через запроваджену у 2022 році статтю 111-1 Кримінального кодексу України. Вона охоплює широкий спектр дій, починаючи від участі у роботі окупаційної адміністрації, закінчуючи пропагандою ворожої ідеології. Однак саме така широта формулювання і викликає низку питань [3]. Найперше – це питання чіткості правових норм: чи всі, хто лишається жити і працювати на окупованих територіях, автоматично стають злочинцями? Де проходить межа між вимушеною адаптацією до умов окупації заради виживання і свідомою зрадою державі? Не менш важливим є питання наміру: кримінальне право передбачає наявність умислу, тобто особа повинна усвідомлювати протиправність своїх дій і бажати їх вчинити. У ситуації, коли хтось працює водієм маршрутки на окупованій території чи вчителем у школі з примусовою російською програмою, важко без глибокого аналізу стверджувати, що його дії є злочинними.</w:t>
      </w:r>
    </w:p>
    <w:p w14:paraId="1C4A4927" w14:textId="77777777" w:rsidR="00200E87" w:rsidRPr="00511005" w:rsidRDefault="00200E87"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Проблематика колабораціонізму ще більше ускладнюється тим, що існує безліч форм цієї діяльності. Політичний колабораціонізм передбачає участь у формуванні або функціонуванні окупаційних органів влади, адміністративний – сприяння у впровадженні політик ворога. Ідеологічний колабораціонізм реалізується через пропаганду, військовий – через вступ до збройних формувань загарбника. Економічна співпраця часто виглядає ще менш однозначною: чи варто вважати злочинцем підприємця, який продовжив торгівлю, щоб прогодувати родину і громаду, навіть якщо товар купують представники окупаційної влади? Таким чином, існуюча конструкція </w:t>
      </w:r>
      <w:r w:rsidRPr="00511005">
        <w:rPr>
          <w:rFonts w:ascii="Arial" w:eastAsia="Times New Roman" w:hAnsi="Arial" w:cs="Arial"/>
          <w:szCs w:val="28"/>
          <w:lang w:val="uk-UA" w:eastAsia="uk-UA"/>
        </w:rPr>
        <w:lastRenderedPageBreak/>
        <w:t>кримінального переслідування нерідко стикається із викликами щодо диференціації справжньої провини [2, c.59].</w:t>
      </w:r>
    </w:p>
    <w:p w14:paraId="68E52805" w14:textId="77777777" w:rsidR="00200E87" w:rsidRPr="00511005" w:rsidRDefault="00200E87"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Ще однією ключовою проблемою є розмежування добровільної співпраці і діяльності під примусом. Реалії життя на окупованих територіях засвідчують: окупаційна влада активно застосовує репресії, погрози, шантаж та викрадення з метою примусити населення до лояльності. У таких умовах складно уявити, що всі форми співпраці є наслідком свідомого вибору. Часто мова йде про ситуацію виживання, коли людина змушена обирати між колаборацією і фізичним знищенням. Проте українське законодавство наразі майже не містить механізмів, які б дозволяли суду враховувати ці обставини у повному обсязі. Відсутність диференціації рівня вини в статті 111-1 КК України створює ризик неправомірного переслідування.</w:t>
      </w:r>
    </w:p>
    <w:p w14:paraId="3A3D3344" w14:textId="77777777" w:rsidR="00200E87" w:rsidRPr="00511005" w:rsidRDefault="00200E87"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Також гостро постає проблема обґрунтованості та справедливості покарання. За колабораційну діяльність передбачено широкий спектр санкцій – від обмеження волі до позбавлення волі на тривалий термін. Проте без чіткої класифікації рівня співпраці такі покарання можуть виявитися непропорційними. Людина, що займала керівну посаду в окупаційній адміністрації і активно проводила політику ворога, повинна нести набагато суворішу відповідальність, ніж особа, яка, наприклад, працювала сторожем у комунальному підприємстві, захопленому окупаційною владою. У цьому сенсі необхідно не лише вдосконалити законодавчі норми, але й запровадити чіткі процесуальні правила збору доказів, оцінки обставин та призначення покарань.</w:t>
      </w:r>
    </w:p>
    <w:p w14:paraId="58E47D4F" w14:textId="77777777" w:rsidR="00200E87" w:rsidRPr="00511005" w:rsidRDefault="00200E87"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Ще один аспект проблеми стосується моральної відповідальності суспільства. Боротьба з колабораціонізмом не повинна перетворюватися на «полювання на відьом», де будь-яке відхилення від патріотичної лінії сприймається як зрада. Українське суспільство має пам’ятати, що справжня демократія і гуманізм виявляються у здатності розуміти складність людських доль. Ризик полягає в тому, що у післявоєнний період може виникнути хвиля самосуду, морального осуду чи навіть фізичної розправи над тими, хто був змушений співпрацювати з окупаційною владою. Це не лише суперечить принципам правової держави, але й поглиблює розкол у суспільстві, який і так є наслідком війни [4].</w:t>
      </w:r>
    </w:p>
    <w:p w14:paraId="50A83616" w14:textId="77777777" w:rsidR="00200E87" w:rsidRPr="00511005" w:rsidRDefault="00200E87"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 огляду на вищезазначене, доцільним є перегляд чинного підходу до кримінальної відповідальності за колабораціонізм. По-перше, слід розширити та деталізувати класифікацію колабораційної діяльності, враховуючи добровільність, рівень шкоди, мотиви та обставини вчинення. По-друге, необхідно запровадити ефективні механізми реінтеграції тих громадян, які не скоїли тяжких правопорушень, але були змушені працювати на окупованих територіях. По-третє, варто зосередитися не лише на каральних заходах, а й на інформаційній та психологічній підтримці </w:t>
      </w:r>
      <w:r w:rsidRPr="00511005">
        <w:rPr>
          <w:rFonts w:ascii="Arial" w:eastAsia="Times New Roman" w:hAnsi="Arial" w:cs="Arial"/>
          <w:szCs w:val="28"/>
          <w:lang w:val="uk-UA" w:eastAsia="uk-UA"/>
        </w:rPr>
        <w:lastRenderedPageBreak/>
        <w:t>громадян, що опинилися в окупації. Це передбачає як захист прав людини, так і ефективну протидію ворожій пропаганді.</w:t>
      </w:r>
    </w:p>
    <w:p w14:paraId="602FC388" w14:textId="77777777" w:rsidR="00200E87" w:rsidRPr="00511005" w:rsidRDefault="00200E87"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Отже, колабораціонізм як правове і моральне явище є надзвичайно складним і багатогранним. Його криміналізація – цілком виправдана реакція на загрозу національній безпеці, однак вона потребує глибокого осмислення, системного підходу і тонкого балансу між правосуддям та гуманізмом. Українське суспільство має продемонструвати не лише силу у боротьбі з ворогом, а й зрілість у подоланні внутрішніх суперечностей, викликаних війною. У цьому процесі правова система повинна діяти не за принципом репресій, а за принципом справедливості, яка вміє розрізняти зраду від вимушеного компромісу, і карати лише тих, хто свідомо та активно працював проти власної держави.</w:t>
      </w:r>
    </w:p>
    <w:p w14:paraId="236D1492" w14:textId="77777777" w:rsidR="00200E87" w:rsidRPr="00511005" w:rsidRDefault="00200E87" w:rsidP="003A292D">
      <w:pPr>
        <w:spacing w:line="264" w:lineRule="auto"/>
        <w:ind w:firstLine="0"/>
        <w:rPr>
          <w:rFonts w:ascii="Arial" w:eastAsia="Times New Roman" w:hAnsi="Arial" w:cs="Arial"/>
          <w:b/>
          <w:szCs w:val="28"/>
          <w:lang w:val="uk-UA" w:eastAsia="uk-UA"/>
        </w:rPr>
      </w:pPr>
    </w:p>
    <w:p w14:paraId="2ABAE88D" w14:textId="536B8E9F" w:rsidR="00200E87" w:rsidRPr="00511005" w:rsidRDefault="007B2628" w:rsidP="007B2628">
      <w:pPr>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5F7835F3" w14:textId="77777777" w:rsidR="00200E87" w:rsidRPr="00511005" w:rsidRDefault="00200E87" w:rsidP="003F6A5D">
      <w:pPr>
        <w:numPr>
          <w:ilvl w:val="0"/>
          <w:numId w:val="528"/>
        </w:numPr>
        <w:spacing w:line="264" w:lineRule="auto"/>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Асанов Д.А., Бісюк О.С. Колабораційна діяльність в умовах повномасштабного вторгнення РФ – кримінальні правопорушення проти основ національної безпеки України. Молодий вчений. 2024. С. 101–108. URL: https://www.researchgate.net/publication/378330415_ KOLABORACIJNA_DIALNIST_V_UMOVAH_POVNOMASSTABNOGO_VTORGNENNA_RF_-_ KRIMINALNI_PRAVOPORUSENNA_PROTI_OSNOV_NACIONALNOI_BEZPEKI_UKRAINI. </w:t>
      </w:r>
    </w:p>
    <w:p w14:paraId="21BA851E" w14:textId="77777777" w:rsidR="00200E87" w:rsidRPr="00511005" w:rsidRDefault="00200E87" w:rsidP="003F6A5D">
      <w:pPr>
        <w:numPr>
          <w:ilvl w:val="0"/>
          <w:numId w:val="528"/>
        </w:numPr>
        <w:spacing w:line="264" w:lineRule="auto"/>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Дубонос М.І., Пашина Н.П. Сутність поняття колабораціонізм та його основні ознаки. Вісник Маріупольського державного університету. 2023. С. 59–67. </w:t>
      </w:r>
    </w:p>
    <w:p w14:paraId="0B91A193" w14:textId="77777777" w:rsidR="00200E87" w:rsidRPr="00511005" w:rsidRDefault="00200E87" w:rsidP="003F6A5D">
      <w:pPr>
        <w:numPr>
          <w:ilvl w:val="0"/>
          <w:numId w:val="528"/>
        </w:numPr>
        <w:spacing w:line="264" w:lineRule="auto"/>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Кримінальний кодекс України: Закон від 05.04.2001 р. № 2341-III. Дата оновлення: 07.09.2024. URL: </w:t>
      </w:r>
      <w:hyperlink r:id="rId1857" w:anchor="Text" w:history="1">
        <w:r w:rsidRPr="00511005">
          <w:rPr>
            <w:rFonts w:ascii="Arial" w:eastAsia="Times New Roman" w:hAnsi="Arial" w:cs="Arial"/>
            <w:szCs w:val="28"/>
            <w:lang w:val="uk-UA" w:eastAsia="uk-UA"/>
          </w:rPr>
          <w:t>https://zakon.rada.gov.ua/laws/show/2341-14#Text</w:t>
        </w:r>
      </w:hyperlink>
      <w:r w:rsidRPr="00511005">
        <w:rPr>
          <w:rFonts w:ascii="Arial" w:eastAsia="Times New Roman" w:hAnsi="Arial" w:cs="Arial"/>
          <w:szCs w:val="28"/>
          <w:lang w:val="uk-UA" w:eastAsia="uk-UA"/>
        </w:rPr>
        <w:t>.</w:t>
      </w:r>
    </w:p>
    <w:p w14:paraId="6CF0376D" w14:textId="77777777" w:rsidR="00200E87" w:rsidRPr="00511005" w:rsidRDefault="00200E87" w:rsidP="003F6A5D">
      <w:pPr>
        <w:numPr>
          <w:ilvl w:val="0"/>
          <w:numId w:val="528"/>
        </w:numPr>
        <w:spacing w:line="264" w:lineRule="auto"/>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Добрянська, Н. Покарання за колабораціонізм: які уроки світової історії варто врахувати Україні? 2021. URL: </w:t>
      </w:r>
      <w:r w:rsidR="005938AD">
        <w:fldChar w:fldCharType="begin"/>
      </w:r>
      <w:r w:rsidR="005938AD" w:rsidRPr="00055389">
        <w:rPr>
          <w:lang w:val="en-US"/>
        </w:rPr>
        <w:instrText xml:space="preserve"> HYPERLINK "https://zmina.info/columns/pokarannya-za-kolaboraczionizm-yaki-urokysvitov</w:instrText>
      </w:r>
      <w:r w:rsidR="005938AD" w:rsidRPr="00055389">
        <w:rPr>
          <w:lang w:val="en-US"/>
        </w:rPr>
        <w:instrText xml:space="preserve">oyi-istoriyi-varto-vrahuvatyukrayini" \h </w:instrText>
      </w:r>
      <w:r w:rsidR="005938AD">
        <w:fldChar w:fldCharType="separate"/>
      </w:r>
      <w:r w:rsidRPr="00511005">
        <w:rPr>
          <w:rFonts w:ascii="Arial" w:eastAsia="Times New Roman" w:hAnsi="Arial" w:cs="Arial"/>
          <w:szCs w:val="28"/>
          <w:lang w:val="uk-UA" w:eastAsia="uk-UA"/>
        </w:rPr>
        <w:t>https://zmina.info/columns/pokarannya-za-kolaboraczionizm-yaki-urokysvitovoyi-istoriyi-varto-vrahuvatyukrayini</w:t>
      </w:r>
      <w:r w:rsidR="005938AD">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w:t>
      </w:r>
    </w:p>
    <w:p w14:paraId="568B452F" w14:textId="77777777" w:rsidR="00200E87" w:rsidRPr="00511005" w:rsidRDefault="00200E87" w:rsidP="003A292D">
      <w:pPr>
        <w:spacing w:line="264" w:lineRule="auto"/>
        <w:ind w:firstLine="0"/>
        <w:rPr>
          <w:rFonts w:ascii="Arial" w:eastAsia="Times New Roman" w:hAnsi="Arial" w:cs="Arial"/>
          <w:szCs w:val="28"/>
          <w:lang w:val="uk-UA" w:eastAsia="uk-UA"/>
        </w:rPr>
      </w:pPr>
    </w:p>
    <w:p w14:paraId="37EA0E31" w14:textId="796AB246" w:rsidR="00200E87"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Ключові слова: </w:t>
      </w:r>
      <w:r w:rsidR="00200E87" w:rsidRPr="00511005">
        <w:rPr>
          <w:rFonts w:ascii="Arial" w:eastAsia="Times New Roman" w:hAnsi="Arial" w:cs="Arial"/>
          <w:szCs w:val="28"/>
          <w:lang w:val="uk-UA" w:eastAsia="uk-UA"/>
        </w:rPr>
        <w:t>колабораціонізм, кримінальна відповідальність, окупація, збройна агресія, правові норми, умисел, добровільна співпраця, примус, покарання, справедливість, реінтеграція, національна безпека.</w:t>
      </w:r>
    </w:p>
    <w:p w14:paraId="292F39C8" w14:textId="5A4F96EF" w:rsidR="00200E87"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Key words: </w:t>
      </w:r>
      <w:r w:rsidR="00200E87" w:rsidRPr="00511005">
        <w:rPr>
          <w:rFonts w:ascii="Arial" w:eastAsia="Times New Roman" w:hAnsi="Arial" w:cs="Arial"/>
          <w:szCs w:val="28"/>
          <w:lang w:val="uk-UA" w:eastAsia="uk-UA"/>
        </w:rPr>
        <w:t>сollaborationism, criminal liability, occupation, armed aggression, legal norms, intent, voluntary cooperation, coercion, punishment, justice, reintegration, national security</w:t>
      </w:r>
    </w:p>
    <w:p w14:paraId="13C8682E" w14:textId="77777777" w:rsidR="00200E87" w:rsidRPr="00511005" w:rsidRDefault="00200E87" w:rsidP="003A292D">
      <w:pPr>
        <w:spacing w:line="264" w:lineRule="auto"/>
        <w:ind w:firstLine="0"/>
        <w:rPr>
          <w:rFonts w:ascii="Arial" w:eastAsia="Times New Roman" w:hAnsi="Arial" w:cs="Arial"/>
          <w:i/>
          <w:szCs w:val="28"/>
          <w:lang w:val="uk-UA" w:eastAsia="uk-UA"/>
        </w:rPr>
      </w:pPr>
    </w:p>
    <w:p w14:paraId="0A515ADF" w14:textId="2F433307" w:rsidR="00200E87"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i/>
          <w:szCs w:val="28"/>
          <w:lang w:val="uk-UA" w:eastAsia="uk-UA"/>
        </w:rPr>
        <w:t xml:space="preserve">Науковий керівник: </w:t>
      </w:r>
      <w:r w:rsidR="00200E87" w:rsidRPr="00511005">
        <w:rPr>
          <w:rFonts w:ascii="Arial" w:eastAsia="Times New Roman" w:hAnsi="Arial" w:cs="Arial"/>
          <w:i/>
          <w:szCs w:val="28"/>
          <w:lang w:val="uk-UA" w:eastAsia="uk-UA"/>
        </w:rPr>
        <w:t>асистент</w:t>
      </w:r>
      <w:r w:rsidRPr="00511005">
        <w:rPr>
          <w:rFonts w:ascii="Arial" w:eastAsia="Times New Roman" w:hAnsi="Arial" w:cs="Arial"/>
          <w:i/>
          <w:szCs w:val="28"/>
          <w:lang w:val="uk-UA" w:eastAsia="uk-UA"/>
        </w:rPr>
        <w:t xml:space="preserve"> </w:t>
      </w:r>
      <w:r w:rsidR="00200E87" w:rsidRPr="00511005">
        <w:rPr>
          <w:rFonts w:ascii="Arial" w:eastAsia="Times New Roman" w:hAnsi="Arial" w:cs="Arial"/>
          <w:i/>
          <w:szCs w:val="28"/>
          <w:lang w:val="uk-UA" w:eastAsia="uk-UA"/>
        </w:rPr>
        <w:t>Павлова О.С.</w:t>
      </w:r>
    </w:p>
    <w:p w14:paraId="6E17CC4A" w14:textId="77777777" w:rsidR="00200E87" w:rsidRPr="00511005" w:rsidRDefault="00200E87" w:rsidP="003A292D">
      <w:pPr>
        <w:spacing w:line="264" w:lineRule="auto"/>
        <w:ind w:firstLine="0"/>
        <w:jc w:val="center"/>
        <w:rPr>
          <w:rFonts w:ascii="Arial" w:eastAsia="Calibri" w:hAnsi="Arial" w:cs="Arial"/>
          <w:szCs w:val="28"/>
          <w:lang w:val="uk-UA"/>
        </w:rPr>
      </w:pPr>
    </w:p>
    <w:p w14:paraId="22052454" w14:textId="77777777" w:rsidR="00200E87" w:rsidRPr="00511005" w:rsidRDefault="00200E87" w:rsidP="003A292D">
      <w:pPr>
        <w:spacing w:line="264" w:lineRule="auto"/>
        <w:ind w:firstLine="0"/>
        <w:jc w:val="center"/>
        <w:rPr>
          <w:rFonts w:ascii="Arial" w:eastAsia="Calibri" w:hAnsi="Arial" w:cs="Arial"/>
          <w:szCs w:val="28"/>
          <w:lang w:val="uk-UA"/>
        </w:rPr>
      </w:pPr>
    </w:p>
    <w:p w14:paraId="3A4F5E4B" w14:textId="77777777" w:rsidR="00200E87" w:rsidRPr="00511005" w:rsidRDefault="00200E8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rPr>
        <w:t xml:space="preserve">Плачинда </w:t>
      </w:r>
      <w:r w:rsidRPr="00511005">
        <w:rPr>
          <w:rFonts w:ascii="Arial" w:eastAsia="Calibri" w:hAnsi="Arial" w:cs="Arial"/>
          <w:b/>
          <w:i/>
          <w:szCs w:val="28"/>
          <w:lang w:val="uk-UA"/>
        </w:rPr>
        <w:t>Анастасія Павлівна</w:t>
      </w:r>
    </w:p>
    <w:p w14:paraId="11E12A6E" w14:textId="4D9B78BE" w:rsidR="00200E8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2-го курсу факультету адвокатури та антикорупційної діяльності</w:t>
      </w:r>
      <w:r w:rsidR="00200E87" w:rsidRPr="00511005">
        <w:rPr>
          <w:rFonts w:ascii="Arial" w:eastAsia="Calibri" w:hAnsi="Arial" w:cs="Arial"/>
          <w:szCs w:val="28"/>
          <w:lang w:val="uk-UA"/>
        </w:rPr>
        <w:t xml:space="preserve"> </w:t>
      </w:r>
      <w:r w:rsidR="007B2628" w:rsidRPr="00511005">
        <w:rPr>
          <w:rFonts w:ascii="Arial" w:eastAsia="Calibri" w:hAnsi="Arial" w:cs="Arial"/>
          <w:szCs w:val="28"/>
          <w:lang w:val="uk-UA"/>
        </w:rPr>
        <w:t>Національного університету «Одеська юридична академія»</w:t>
      </w:r>
    </w:p>
    <w:p w14:paraId="062586DF" w14:textId="77777777" w:rsidR="00200E87" w:rsidRPr="00511005" w:rsidRDefault="00200E87" w:rsidP="003A292D">
      <w:pPr>
        <w:spacing w:line="264" w:lineRule="auto"/>
        <w:ind w:firstLine="0"/>
        <w:jc w:val="center"/>
        <w:rPr>
          <w:rFonts w:ascii="Arial" w:eastAsia="Calibri" w:hAnsi="Arial" w:cs="Arial"/>
          <w:szCs w:val="28"/>
          <w:lang w:val="uk-UA"/>
        </w:rPr>
      </w:pPr>
    </w:p>
    <w:p w14:paraId="58CE03D6" w14:textId="77777777" w:rsidR="007B2628" w:rsidRPr="00511005" w:rsidRDefault="00200E8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НОРМАТИВНІ ТА ПРИКЛАДНІ ЗАСАДИ ЗАСТОСУВАННЯ</w:t>
      </w:r>
    </w:p>
    <w:p w14:paraId="53349A8A" w14:textId="5D88811C" w:rsidR="00200E87" w:rsidRPr="00511005" w:rsidRDefault="00200E8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ОКРЕМИХ СТАТЕЙ КК ЩОДО НЕЗАКОННОГО ПЕРЕТИНУ КОРДОНУ УКРАЇНИ</w:t>
      </w:r>
    </w:p>
    <w:p w14:paraId="24198CC8" w14:textId="77777777" w:rsidR="00200E87" w:rsidRPr="00511005" w:rsidRDefault="00200E87" w:rsidP="003A292D">
      <w:pPr>
        <w:spacing w:line="264" w:lineRule="auto"/>
        <w:ind w:firstLine="0"/>
        <w:jc w:val="center"/>
        <w:rPr>
          <w:rFonts w:ascii="Arial" w:eastAsia="Calibri" w:hAnsi="Arial" w:cs="Arial"/>
          <w:b/>
          <w:szCs w:val="28"/>
          <w:lang w:val="uk-UA"/>
        </w:rPr>
      </w:pPr>
    </w:p>
    <w:p w14:paraId="033A96AC"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Державний кордон є фундаментальним атрибутом суверенітету та територіальної цілісності будь-якої держави. Його охорона та контроль мають першочергове значення для забезпечення національної безпеки, регулювання міграційних процесів та підтримання правопорядку. В умовах сучасних викликів, зокрема збройної агресії та гібридних загроз, питання незаконного перетину державного кордону України набуває особливої актуальності. Ця проблема стосується не лише нелегальної міграції, а й контрабанди, торгівлі людьми, проникнення диверсійно-розвідувальних груп та інших форм протиправної діяльності, що становлять загрозу національній безпеці. Відповідно до статті 17 Конституції України, держава зобов’язана забезпечувати оборону та охорону своєї території, що включає контроль за переміщенням осіб через кордон </w:t>
      </w: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 Варто виділити два аспекти перетину державного кордону, які будуть оглянуті у цих тезах, а саме це перетин з метою виїзду з території України (військовозобов’язані) та з метою в’їзду (ст. 332-2 Кримінального кодексу України – далі КК України). Охорона державного кордону реалізується через контрольні механізми під час перетину та відповідні запобіжні заходи, зокрема кримінальну відповідальність за незаконний перетин кордону. Попри ці обмеження, фіксується значна кількість спроб нелегального виїзду військовозобов’язаних з України, що супроводжується використанням підроблених документів, контрабандою та корупційними схемами. Законодавче регулювання відповідальності за незаконний перетин кордону в Україні здійснюється через норми як адміністративного, так і кримінального права. Зокрема, КК України містить статті, що передбачають кримінальну відповідальність за відповідні правопорушення. Однак, практика застосування цих норм виявляє низку проблем та колізій, які потребують наукового аналізу та вироблення рекомендацій щодо їхнього усунення.</w:t>
      </w:r>
    </w:p>
    <w:p w14:paraId="79B2F8EE"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Відповідно до ст. 332-2 КК України, незаконний перетин державного кордону України з метою заподіяння шкоди інтересам держави, а також вчинений особою, якій заборонено в’їзд в Україну, або представниками силових відомств держави-агресора поза пунктами пропуску або за підробленими документами, карається позбавленням волі на строк до трьох років. </w:t>
      </w:r>
      <w:r w:rsidRPr="00511005">
        <w:rPr>
          <w:rFonts w:ascii="Arial" w:eastAsia="Times New Roman" w:hAnsi="Arial" w:cs="Arial"/>
          <w:szCs w:val="28"/>
          <w:lang w:val="uk-UA" w:eastAsia="ru-RU"/>
        </w:rPr>
        <w:lastRenderedPageBreak/>
        <w:t>Повторне вчинення такого злочину або його вчинення групою осіб тягне покарання у вигляді позбавлення волі на строк від трьох до п’яти років. Якщо ж такі дії супроводжуються насильством чи застосуванням зброї, максимальне покарання може сягати восьми років позбавлення волі</w:t>
      </w:r>
      <w:r w:rsidRPr="00511005">
        <w:rPr>
          <w:rFonts w:ascii="Arial" w:eastAsia="Times New Roman" w:hAnsi="Arial" w:cs="Arial"/>
          <w:szCs w:val="28"/>
          <w:lang w:eastAsia="ru-RU"/>
        </w:rPr>
        <w:t xml:space="preserve"> [2]</w:t>
      </w:r>
      <w:r w:rsidRPr="00511005">
        <w:rPr>
          <w:rFonts w:ascii="Arial" w:eastAsia="Times New Roman" w:hAnsi="Arial" w:cs="Arial"/>
          <w:szCs w:val="28"/>
          <w:lang w:val="uk-UA" w:eastAsia="ru-RU"/>
        </w:rPr>
        <w:t xml:space="preserve">. Об'єктивна сторона злочину полягає в незаконному перетині державного кордону України, що може виражатися в дії (перетин кордону) або бездіяльності (недотримання встановленого порядку). Суб'єктивна сторона характеризується прямим умислом, тобто особа усвідомлює протиправність своїх дій та бажає їх вчинити. У випадку перетину з метою заподіяння шкоди інтересам держави необхідно встановити спеціальну мету діяння. </w:t>
      </w:r>
    </w:p>
    <w:p w14:paraId="6204C85C"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Основні проблеми, пов’язані із застосуванням цієї статті, зумовлені складністю доказування наміру заподіяння шкоди інтересам держави, а також ідентифікації осіб, що здійснюють незаконний перетин. Зокрема, значна частина таких випадків стосується осіб, які намагаються приховано проникнути в Україну або використати підроблені документи для легалізації свого статусу. В умовах воєнного стану ці проблеми набувають особливої гостроти, оскільки Україна змушена забезпечувати не лише фізичний захист кордону, а й протидіяти потенційним загрозам, пов’язаним із діяльністю агентів держави-агресора.</w:t>
      </w:r>
    </w:p>
    <w:p w14:paraId="6C87529A"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Однією з основних проблем є недостатній рівень технічного оснащення пунктів пропуску та ділянок державного кордону. Незважаючи на активну модернізацію, що відбувається останніми роками, не всі ділянки кордону обладнані сучасними засобами контролю, які дозволяють ефективно відстежувати незаконні перетини. В умовах військових дій проблема посилюється, оскільки частина кордону може перебувати під загрозою ворожих диверсійних операцій. Втім, на сьогодні варто зазначити, що дуже актуальним виступає питання, чи передбачена кримінальна відповідальність за перетин державного кордону військовозобов’язаними. Тут варто розрізняти відповідальність </w:t>
      </w:r>
      <w:r w:rsidRPr="00511005">
        <w:rPr>
          <w:rFonts w:ascii="Arial" w:eastAsia="Times New Roman" w:hAnsi="Arial" w:cs="Arial"/>
          <w:bCs/>
          <w:szCs w:val="28"/>
          <w:lang w:val="uk-UA" w:eastAsia="ru-RU"/>
        </w:rPr>
        <w:t>безпосереднього порушника</w:t>
      </w:r>
      <w:r w:rsidRPr="00511005">
        <w:rPr>
          <w:rFonts w:ascii="Arial" w:eastAsia="Times New Roman" w:hAnsi="Arial" w:cs="Arial"/>
          <w:szCs w:val="28"/>
          <w:lang w:val="uk-UA" w:eastAsia="ru-RU"/>
        </w:rPr>
        <w:t xml:space="preserve"> та </w:t>
      </w:r>
      <w:r w:rsidRPr="00511005">
        <w:rPr>
          <w:rFonts w:ascii="Arial" w:eastAsia="Times New Roman" w:hAnsi="Arial" w:cs="Arial"/>
          <w:bCs/>
          <w:szCs w:val="28"/>
          <w:lang w:val="uk-UA" w:eastAsia="ru-RU"/>
        </w:rPr>
        <w:t>організатора</w:t>
      </w:r>
      <w:r w:rsidRPr="00511005">
        <w:rPr>
          <w:rFonts w:ascii="Arial" w:eastAsia="Times New Roman" w:hAnsi="Arial" w:cs="Arial"/>
          <w:szCs w:val="28"/>
          <w:lang w:val="uk-UA" w:eastAsia="ru-RU"/>
        </w:rPr>
        <w:t xml:space="preserve"> незаконного перетину. Якщо особа самостійно перетнула кордон поза пунктом пропуску, без допомоги третіх осіб, така дія, за відсутності обтяжуючих обставин, кваліфікується як </w:t>
      </w:r>
      <w:r w:rsidRPr="00511005">
        <w:rPr>
          <w:rFonts w:ascii="Arial" w:eastAsia="Times New Roman" w:hAnsi="Arial" w:cs="Arial"/>
          <w:bCs/>
          <w:szCs w:val="28"/>
          <w:lang w:val="uk-UA" w:eastAsia="ru-RU"/>
        </w:rPr>
        <w:t>адміністративне правопорушення</w:t>
      </w:r>
      <w:r w:rsidRPr="00511005">
        <w:rPr>
          <w:rFonts w:ascii="Arial" w:eastAsia="Times New Roman" w:hAnsi="Arial" w:cs="Arial"/>
          <w:szCs w:val="28"/>
          <w:lang w:val="uk-UA" w:eastAsia="ru-RU"/>
        </w:rPr>
        <w:t xml:space="preserve"> відповідно до ст. 204-1 КУпАП </w:t>
      </w:r>
      <w:r w:rsidRPr="00511005">
        <w:rPr>
          <w:rFonts w:ascii="Arial" w:eastAsia="Times New Roman" w:hAnsi="Arial" w:cs="Arial"/>
          <w:szCs w:val="28"/>
          <w:lang w:eastAsia="ru-RU"/>
        </w:rPr>
        <w:t>[3]</w:t>
      </w:r>
      <w:r w:rsidRPr="00511005">
        <w:rPr>
          <w:rFonts w:ascii="Arial" w:eastAsia="Times New Roman" w:hAnsi="Arial" w:cs="Arial"/>
          <w:szCs w:val="28"/>
          <w:lang w:val="uk-UA" w:eastAsia="ru-RU"/>
        </w:rPr>
        <w:t xml:space="preserve">. У такому разі на порушника може бути накладено штраф або призначено адміністративний арешт. Однак у разі повторного вчинення, або якщо факт переходу поєднувався з іншими правопорушеннями (наприклад, використанням підроблених документів), питання відповідальності може переходити у площину кримінального права. Організатори та пособники у незаконному переправленні осіб, відповідно до </w:t>
      </w:r>
      <w:r w:rsidRPr="00511005">
        <w:rPr>
          <w:rFonts w:ascii="Arial" w:eastAsia="Times New Roman" w:hAnsi="Arial" w:cs="Arial"/>
          <w:bCs/>
          <w:szCs w:val="28"/>
          <w:lang w:val="uk-UA" w:eastAsia="ru-RU"/>
        </w:rPr>
        <w:t>ч. 3 ст. 332 КК України</w:t>
      </w:r>
      <w:r w:rsidRPr="00511005">
        <w:rPr>
          <w:rFonts w:ascii="Arial" w:eastAsia="Times New Roman" w:hAnsi="Arial" w:cs="Arial"/>
          <w:szCs w:val="28"/>
          <w:lang w:val="uk-UA" w:eastAsia="ru-RU"/>
        </w:rPr>
        <w:t xml:space="preserve">, несуть </w:t>
      </w:r>
      <w:r w:rsidRPr="00511005">
        <w:rPr>
          <w:rFonts w:ascii="Arial" w:eastAsia="Times New Roman" w:hAnsi="Arial" w:cs="Arial"/>
          <w:bCs/>
          <w:szCs w:val="28"/>
          <w:lang w:val="uk-UA" w:eastAsia="ru-RU"/>
        </w:rPr>
        <w:t>особливо сувору відповідальність</w:t>
      </w:r>
      <w:r w:rsidRPr="00511005">
        <w:rPr>
          <w:rFonts w:ascii="Arial" w:eastAsia="Times New Roman" w:hAnsi="Arial" w:cs="Arial"/>
          <w:szCs w:val="28"/>
          <w:lang w:val="uk-UA" w:eastAsia="ru-RU"/>
        </w:rPr>
        <w:t xml:space="preserve">, оскільки їхні дії становлять серйозну загрозу національній безпеці, зокрема в умовах воєнного стану. Організована схема незаконного перетину, в якій задіяні провідники, водії, прикордонники чи інші </w:t>
      </w:r>
      <w:r w:rsidRPr="00511005">
        <w:rPr>
          <w:rFonts w:ascii="Arial" w:eastAsia="Times New Roman" w:hAnsi="Arial" w:cs="Arial"/>
          <w:szCs w:val="28"/>
          <w:lang w:val="uk-UA" w:eastAsia="ru-RU"/>
        </w:rPr>
        <w:lastRenderedPageBreak/>
        <w:t xml:space="preserve">посадові особи, кваліфікується як злочин, вчинений організованою групою, що є обтяжуючою обставиною. Саме на таких осіб поширюється кримінальне покарання. Особливу увагу слід звернути на випадки, коли перетин здійснюється </w:t>
      </w:r>
      <w:r w:rsidRPr="00511005">
        <w:rPr>
          <w:rFonts w:ascii="Arial" w:eastAsia="Times New Roman" w:hAnsi="Arial" w:cs="Arial"/>
          <w:bCs/>
          <w:szCs w:val="28"/>
          <w:lang w:val="uk-UA" w:eastAsia="ru-RU"/>
        </w:rPr>
        <w:t>з використанням підроблених документів</w:t>
      </w:r>
      <w:r w:rsidRPr="00511005">
        <w:rPr>
          <w:rFonts w:ascii="Arial" w:eastAsia="Times New Roman" w:hAnsi="Arial" w:cs="Arial"/>
          <w:szCs w:val="28"/>
          <w:lang w:val="uk-UA" w:eastAsia="ru-RU"/>
        </w:rPr>
        <w:t xml:space="preserve"> — довідок, свідоцтв про народження дітей, документів про звільнення з військової служби тощо. Такі дії можуть кваліфікуватися за </w:t>
      </w:r>
      <w:r w:rsidRPr="00511005">
        <w:rPr>
          <w:rFonts w:ascii="Arial" w:eastAsia="Times New Roman" w:hAnsi="Arial" w:cs="Arial"/>
          <w:bCs/>
          <w:szCs w:val="28"/>
          <w:lang w:val="uk-UA" w:eastAsia="ru-RU"/>
        </w:rPr>
        <w:t>ст. 358 КК України</w:t>
      </w:r>
      <w:r w:rsidRPr="00511005">
        <w:rPr>
          <w:rFonts w:ascii="Arial" w:eastAsia="Times New Roman" w:hAnsi="Arial" w:cs="Arial"/>
          <w:szCs w:val="28"/>
          <w:lang w:val="uk-UA" w:eastAsia="ru-RU"/>
        </w:rPr>
        <w:t xml:space="preserve"> як </w:t>
      </w:r>
      <w:r w:rsidRPr="00511005">
        <w:rPr>
          <w:rFonts w:ascii="Arial" w:eastAsia="Times New Roman" w:hAnsi="Arial" w:cs="Arial"/>
          <w:bCs/>
          <w:szCs w:val="28"/>
          <w:lang w:val="uk-UA" w:eastAsia="ru-RU"/>
        </w:rPr>
        <w:t>використання завідомо підробленого документа</w:t>
      </w:r>
      <w:r w:rsidRPr="00511005">
        <w:rPr>
          <w:rFonts w:ascii="Arial" w:eastAsia="Times New Roman" w:hAnsi="Arial" w:cs="Arial"/>
          <w:szCs w:val="28"/>
          <w:lang w:val="uk-UA" w:eastAsia="ru-RU"/>
        </w:rPr>
        <w:t xml:space="preserve">. Якщо факт підробки встановлено відповідним судовим рішенням, то особа може нести </w:t>
      </w:r>
      <w:r w:rsidRPr="00511005">
        <w:rPr>
          <w:rFonts w:ascii="Arial" w:eastAsia="Times New Roman" w:hAnsi="Arial" w:cs="Arial"/>
          <w:bCs/>
          <w:szCs w:val="28"/>
          <w:lang w:val="uk-UA" w:eastAsia="ru-RU"/>
        </w:rPr>
        <w:t>кримінальну відповідальність незалежно від того, чи була вона організатором, чи лише користувалася підробкою з метою виїзду за кордон</w:t>
      </w:r>
      <w:r w:rsidRPr="00511005">
        <w:rPr>
          <w:rFonts w:ascii="Arial" w:eastAsia="Times New Roman" w:hAnsi="Arial" w:cs="Arial"/>
          <w:szCs w:val="28"/>
          <w:lang w:val="uk-UA" w:eastAsia="ru-RU"/>
        </w:rPr>
        <w:t>.</w:t>
      </w:r>
    </w:p>
    <w:p w14:paraId="1E78CE57"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Для вирішення вказаних проблем необхідне вдосконалення механізмів контролю на кордоні. Насамперед, це стосується запровадження більш широкого використання біометричних технологій та цифрових баз даних, що дозволять ідентифікувати осіб у реальному часі та запобігти використанню підроблених документів. Зокрема, впровадження автоматизованої системи обміну даними між прикордонною службою, Службою безпеки України та Національною поліцією може значно підвищити ефективність контролю. Важливим заходом є запровадження кримінальної відповідальності для посадових осіб, які сприяють незаконному перетину кордону. Відповідно до ст. 364 КК України, зловживання владою або службовим становищем, що спричинило тяжкі наслідки, є кримінальним правопорушенням. Однак нині недостатньо чітко регламентовано відповідальність конкретно за сприяння незаконному перетину кордону, що створює ризик уникнення відповідальності деякими посадовцями. Також важливою складовою ефективної боротьби з незаконним перетином кордону є міжнародна співпраця. Україна активно співпрацює з Європейським Союзом у сфері прикордонного контролю, зокрема у рамках агентства FRONTEX, яке допомагає у виявленні та запобіганні нелегальній міграції [4]. Однак необхідно розширити співпрацю із сусідніми державами, особливо щодо обміну інформацією про осіб, які можуть становити загрозу державній безпеці. Яскравим прикладом цього є справа № 359/9798/20, розглянута Бориспільським міськрайонним судом Київської області. Обвинувачений ОСОБА_7, громадянин Азербайджану, був визнаний винним у скоєнні злочинів, передбачених ч. 1 та ч. 2 ст. 332-2 КК України, що свідчить про систематичність таких правопорушень. У вироку від 17 листопада 2023 року суд призначив ОСОБА_7 покарання у вигляді штрафу: 17 000 грн за ч. 1 та 85 000 грн за ч. 2 ст. 332-2 КК України. Остаточно, з урахуванням поглинання менш суворого покарання більш суворим, ОСОБА_7 отримав штраф у розмірі 85 000 грн. Справа № 359/9798/20 ілюструє важливість застосування ст. 332-2 КК України у контексті боротьби з незаконним перетинанням державного кордону</w:t>
      </w:r>
      <w:r w:rsidRPr="00511005">
        <w:rPr>
          <w:rFonts w:ascii="Arial" w:eastAsia="Calibri" w:hAnsi="Arial" w:cs="Arial"/>
          <w:szCs w:val="28"/>
        </w:rPr>
        <w:t xml:space="preserve"> [5]</w:t>
      </w:r>
      <w:r w:rsidRPr="00511005">
        <w:rPr>
          <w:rFonts w:ascii="Arial" w:eastAsia="Calibri" w:hAnsi="Arial" w:cs="Arial"/>
          <w:szCs w:val="28"/>
          <w:lang w:val="uk-UA"/>
        </w:rPr>
        <w:t xml:space="preserve">. Вона підкреслює необхідність вдосконалення механізмів контролю на кордоні, а також посилення відповідальності за такі </w:t>
      </w:r>
      <w:r w:rsidRPr="00511005">
        <w:rPr>
          <w:rFonts w:ascii="Arial" w:eastAsia="Calibri" w:hAnsi="Arial" w:cs="Arial"/>
          <w:szCs w:val="28"/>
          <w:lang w:val="uk-UA"/>
        </w:rPr>
        <w:lastRenderedPageBreak/>
        <w:t xml:space="preserve">злочини. Для ефективної боротьби з цими викликами Україні слід впроваджувати сучасні технології та системи контролю, що дозволять зменшити рівень правопорушень у цій сфері. Застосування зазначених заходів можна оцінити на основі статистичних даних щодо зменшення кількості незаконних перетинів кордону. </w:t>
      </w:r>
    </w:p>
    <w:p w14:paraId="1B90A4C4"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eastAsia="ru-RU"/>
        </w:rPr>
        <w:t xml:space="preserve">Отже, ефективне застосування ст. 332-2 КК України вимагає комплексного підходу, що включає вдосконалення технічних засобів контролю, підвищення відповідальності посадових осіб, посилення міжнародної співпраці та цифровізацію обліку осіб, яким заборонено в’їзд або які становлять загрозу національній безпеці. Лише системний підхід дозволить забезпечити належний рівень охорони державного кордону та запобігти випадкам його незаконного перетину. Також, важливий дискус виникає в питанні </w:t>
      </w:r>
      <w:r w:rsidRPr="00511005">
        <w:rPr>
          <w:rFonts w:ascii="Arial" w:eastAsia="Calibri" w:hAnsi="Arial" w:cs="Arial"/>
          <w:szCs w:val="28"/>
          <w:lang w:val="uk-UA"/>
        </w:rPr>
        <w:t xml:space="preserve">пов’язані із </w:t>
      </w:r>
      <w:r w:rsidRPr="00511005">
        <w:rPr>
          <w:rFonts w:ascii="Arial" w:eastAsia="Calibri" w:hAnsi="Arial" w:cs="Arial"/>
          <w:bCs/>
          <w:szCs w:val="28"/>
          <w:lang w:val="uk-UA"/>
        </w:rPr>
        <w:t>нечіткістю</w:t>
      </w:r>
      <w:r w:rsidRPr="00511005">
        <w:rPr>
          <w:rFonts w:ascii="Arial" w:eastAsia="Calibri" w:hAnsi="Arial" w:cs="Arial"/>
          <w:b/>
          <w:bCs/>
          <w:szCs w:val="28"/>
          <w:lang w:val="uk-UA"/>
        </w:rPr>
        <w:t xml:space="preserve"> </w:t>
      </w:r>
      <w:r w:rsidRPr="00511005">
        <w:rPr>
          <w:rFonts w:ascii="Arial" w:eastAsia="Calibri" w:hAnsi="Arial" w:cs="Arial"/>
          <w:bCs/>
          <w:szCs w:val="28"/>
          <w:lang w:val="uk-UA"/>
        </w:rPr>
        <w:t>формулювань</w:t>
      </w:r>
      <w:r w:rsidRPr="00511005">
        <w:rPr>
          <w:rFonts w:ascii="Arial" w:eastAsia="Calibri" w:hAnsi="Arial" w:cs="Arial"/>
          <w:b/>
          <w:szCs w:val="28"/>
          <w:lang w:val="uk-UA"/>
        </w:rPr>
        <w:t xml:space="preserve"> </w:t>
      </w:r>
      <w:r w:rsidRPr="00511005">
        <w:rPr>
          <w:rFonts w:ascii="Arial" w:eastAsia="Calibri" w:hAnsi="Arial" w:cs="Arial"/>
          <w:szCs w:val="28"/>
          <w:lang w:val="uk-UA"/>
        </w:rPr>
        <w:t>та</w:t>
      </w:r>
      <w:r w:rsidRPr="00511005">
        <w:rPr>
          <w:rFonts w:ascii="Arial" w:eastAsia="Calibri" w:hAnsi="Arial" w:cs="Arial"/>
          <w:b/>
          <w:szCs w:val="28"/>
          <w:lang w:val="uk-UA"/>
        </w:rPr>
        <w:t xml:space="preserve"> </w:t>
      </w:r>
      <w:r w:rsidRPr="00511005">
        <w:rPr>
          <w:rFonts w:ascii="Arial" w:eastAsia="Calibri" w:hAnsi="Arial" w:cs="Arial"/>
          <w:bCs/>
          <w:szCs w:val="28"/>
          <w:lang w:val="uk-UA"/>
        </w:rPr>
        <w:t>відсутністю однозначного правового розмежування</w:t>
      </w:r>
      <w:r w:rsidRPr="00511005">
        <w:rPr>
          <w:rFonts w:ascii="Arial" w:eastAsia="Calibri" w:hAnsi="Arial" w:cs="Arial"/>
          <w:b/>
          <w:szCs w:val="28"/>
          <w:lang w:val="uk-UA"/>
        </w:rPr>
        <w:t xml:space="preserve"> </w:t>
      </w:r>
      <w:r w:rsidRPr="00511005">
        <w:rPr>
          <w:rFonts w:ascii="Arial" w:eastAsia="Calibri" w:hAnsi="Arial" w:cs="Arial"/>
          <w:szCs w:val="28"/>
          <w:lang w:val="uk-UA"/>
        </w:rPr>
        <w:t>між кримінально караними діяннями та ситуаціями, які не мають злочинного умислу. Наприклад, на сьогодні не врегульоване питання</w:t>
      </w:r>
      <w:r w:rsidRPr="00511005">
        <w:rPr>
          <w:rFonts w:ascii="Arial" w:eastAsia="Calibri" w:hAnsi="Arial" w:cs="Arial"/>
          <w:b/>
          <w:szCs w:val="28"/>
          <w:lang w:val="uk-UA"/>
        </w:rPr>
        <w:t xml:space="preserve">, </w:t>
      </w:r>
      <w:r w:rsidRPr="00511005">
        <w:rPr>
          <w:rFonts w:ascii="Arial" w:eastAsia="Calibri" w:hAnsi="Arial" w:cs="Arial"/>
          <w:bCs/>
          <w:szCs w:val="28"/>
          <w:lang w:val="uk-UA"/>
        </w:rPr>
        <w:t>чи має нести кримінальну відповідальність особа, яка незаконно перетнула кордон, щоб потрапити до</w:t>
      </w:r>
      <w:r w:rsidRPr="00511005">
        <w:rPr>
          <w:rFonts w:ascii="Arial" w:eastAsia="Calibri" w:hAnsi="Arial" w:cs="Arial"/>
          <w:b/>
          <w:bCs/>
          <w:szCs w:val="28"/>
          <w:lang w:val="uk-UA"/>
        </w:rPr>
        <w:t xml:space="preserve"> </w:t>
      </w:r>
      <w:r w:rsidRPr="00511005">
        <w:rPr>
          <w:rFonts w:ascii="Arial" w:eastAsia="Calibri" w:hAnsi="Arial" w:cs="Arial"/>
          <w:bCs/>
          <w:szCs w:val="28"/>
          <w:lang w:val="uk-UA"/>
        </w:rPr>
        <w:t>родичів</w:t>
      </w:r>
      <w:r w:rsidRPr="00511005">
        <w:rPr>
          <w:rFonts w:ascii="Arial" w:eastAsia="Calibri" w:hAnsi="Arial" w:cs="Arial"/>
          <w:b/>
          <w:bCs/>
          <w:szCs w:val="28"/>
          <w:lang w:val="uk-UA"/>
        </w:rPr>
        <w:t xml:space="preserve"> </w:t>
      </w:r>
      <w:r w:rsidRPr="00511005">
        <w:rPr>
          <w:rFonts w:ascii="Arial" w:eastAsia="Calibri" w:hAnsi="Arial" w:cs="Arial"/>
          <w:bCs/>
          <w:szCs w:val="28"/>
          <w:lang w:val="uk-UA"/>
        </w:rPr>
        <w:t>з</w:t>
      </w:r>
      <w:r w:rsidRPr="00511005">
        <w:rPr>
          <w:rFonts w:ascii="Arial" w:eastAsia="Calibri" w:hAnsi="Arial" w:cs="Arial"/>
          <w:b/>
          <w:bCs/>
          <w:szCs w:val="28"/>
          <w:lang w:val="uk-UA"/>
        </w:rPr>
        <w:t xml:space="preserve"> </w:t>
      </w:r>
      <w:r w:rsidRPr="00511005">
        <w:rPr>
          <w:rFonts w:ascii="Arial" w:eastAsia="Calibri" w:hAnsi="Arial" w:cs="Arial"/>
          <w:bCs/>
          <w:szCs w:val="28"/>
          <w:lang w:val="uk-UA"/>
        </w:rPr>
        <w:t>території</w:t>
      </w:r>
      <w:r w:rsidRPr="00511005">
        <w:rPr>
          <w:rFonts w:ascii="Arial" w:eastAsia="Calibri" w:hAnsi="Arial" w:cs="Arial"/>
          <w:b/>
          <w:bCs/>
          <w:szCs w:val="28"/>
          <w:lang w:val="uk-UA"/>
        </w:rPr>
        <w:t xml:space="preserve"> </w:t>
      </w:r>
      <w:r w:rsidRPr="00511005">
        <w:rPr>
          <w:rFonts w:ascii="Arial" w:eastAsia="Calibri" w:hAnsi="Arial" w:cs="Arial"/>
          <w:bCs/>
          <w:szCs w:val="28"/>
          <w:lang w:val="uk-UA"/>
        </w:rPr>
        <w:t>держави</w:t>
      </w:r>
      <w:r w:rsidRPr="00511005">
        <w:rPr>
          <w:rFonts w:ascii="Arial" w:eastAsia="Calibri" w:hAnsi="Arial" w:cs="Arial"/>
          <w:b/>
          <w:bCs/>
          <w:szCs w:val="28"/>
          <w:lang w:val="uk-UA"/>
        </w:rPr>
        <w:t>-</w:t>
      </w:r>
      <w:r w:rsidRPr="00511005">
        <w:rPr>
          <w:rFonts w:ascii="Arial" w:eastAsia="Calibri" w:hAnsi="Arial" w:cs="Arial"/>
          <w:bCs/>
          <w:szCs w:val="28"/>
          <w:lang w:val="uk-UA"/>
        </w:rPr>
        <w:t>агресора</w:t>
      </w:r>
      <w:r w:rsidRPr="00511005">
        <w:rPr>
          <w:rFonts w:ascii="Arial" w:eastAsia="Calibri" w:hAnsi="Arial" w:cs="Arial"/>
          <w:szCs w:val="28"/>
          <w:lang w:val="uk-UA"/>
        </w:rPr>
        <w:t xml:space="preserve">, не маючи при цьому наміру завдати шкоди Україні. У таких випадках </w:t>
      </w:r>
      <w:r w:rsidRPr="00511005">
        <w:rPr>
          <w:rFonts w:ascii="Arial" w:eastAsia="Calibri" w:hAnsi="Arial" w:cs="Arial"/>
          <w:bCs/>
          <w:szCs w:val="28"/>
          <w:lang w:val="uk-UA"/>
        </w:rPr>
        <w:t>суди опиняються перед складним завданням — довести не лише факт перетину, а й наявність умислу</w:t>
      </w:r>
      <w:r w:rsidRPr="00511005">
        <w:rPr>
          <w:rFonts w:ascii="Arial" w:eastAsia="Calibri" w:hAnsi="Arial" w:cs="Arial"/>
          <w:b/>
          <w:szCs w:val="28"/>
          <w:lang w:val="uk-UA"/>
        </w:rPr>
        <w:t>,</w:t>
      </w:r>
      <w:r w:rsidRPr="00511005">
        <w:rPr>
          <w:rFonts w:ascii="Arial" w:eastAsia="Calibri" w:hAnsi="Arial" w:cs="Arial"/>
          <w:szCs w:val="28"/>
          <w:lang w:val="uk-UA"/>
        </w:rPr>
        <w:t xml:space="preserve"> спрямованого саме на шкоду інтересам держави.</w:t>
      </w:r>
    </w:p>
    <w:p w14:paraId="170DBFC8" w14:textId="77777777" w:rsidR="00200E87" w:rsidRPr="00511005" w:rsidRDefault="00200E87" w:rsidP="003A292D">
      <w:pPr>
        <w:spacing w:line="264" w:lineRule="auto"/>
        <w:ind w:firstLine="0"/>
        <w:rPr>
          <w:rFonts w:ascii="Arial" w:eastAsia="Calibri" w:hAnsi="Arial" w:cs="Arial"/>
          <w:szCs w:val="28"/>
          <w:lang w:val="uk-UA"/>
        </w:rPr>
      </w:pPr>
    </w:p>
    <w:p w14:paraId="05832790" w14:textId="42FCF627" w:rsidR="00200E8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139172DE" w14:textId="77777777" w:rsidR="00200E87" w:rsidRPr="00511005" w:rsidRDefault="00200E87" w:rsidP="003F6A5D">
      <w:pPr>
        <w:numPr>
          <w:ilvl w:val="0"/>
          <w:numId w:val="529"/>
        </w:numPr>
        <w:spacing w:line="264" w:lineRule="auto"/>
        <w:contextualSpacing/>
        <w:jc w:val="left"/>
        <w:rPr>
          <w:rFonts w:ascii="Arial" w:eastAsia="Times New Roman" w:hAnsi="Arial" w:cs="Arial"/>
          <w:szCs w:val="28"/>
          <w:lang w:eastAsia="ru-RU"/>
        </w:rPr>
      </w:pPr>
      <w:r w:rsidRPr="00511005">
        <w:rPr>
          <w:rFonts w:ascii="Arial" w:eastAsia="Times New Roman" w:hAnsi="Arial" w:cs="Arial"/>
          <w:szCs w:val="28"/>
          <w:lang w:val="uk-UA" w:eastAsia="ru-RU"/>
        </w:rPr>
        <w:t xml:space="preserve">Конституція України. </w:t>
      </w:r>
      <w:r w:rsidRPr="00511005">
        <w:rPr>
          <w:rFonts w:ascii="Arial" w:eastAsia="Times New Roman" w:hAnsi="Arial" w:cs="Arial"/>
          <w:szCs w:val="28"/>
          <w:lang w:eastAsia="ru-RU"/>
        </w:rPr>
        <w:t>Верховна Рада України; Конституція України,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Конституція, Закон від 28.06.1996 № </w:t>
      </w:r>
      <w:r w:rsidRPr="00511005">
        <w:rPr>
          <w:rFonts w:ascii="Arial" w:eastAsia="Times New Roman" w:hAnsi="Arial" w:cs="Arial"/>
          <w:bCs/>
          <w:szCs w:val="28"/>
          <w:lang w:eastAsia="ru-RU"/>
        </w:rPr>
        <w:t>254к/96-ВР</w:t>
      </w:r>
      <w:r w:rsidRPr="00511005">
        <w:rPr>
          <w:rFonts w:ascii="Arial" w:eastAsia="Times New Roman" w:hAnsi="Arial" w:cs="Arial"/>
          <w:bCs/>
          <w:szCs w:val="28"/>
          <w:lang w:val="uk-UA" w:eastAsia="ru-RU"/>
        </w:rPr>
        <w:t xml:space="preserve"> </w:t>
      </w:r>
      <w:r w:rsidRPr="00511005">
        <w:rPr>
          <w:rFonts w:ascii="Arial" w:eastAsia="Times New Roman" w:hAnsi="Arial" w:cs="Arial"/>
          <w:bCs/>
          <w:szCs w:val="28"/>
          <w:lang w:val="en-US" w:eastAsia="ru-RU"/>
        </w:rPr>
        <w:t>URL</w:t>
      </w:r>
      <w:r w:rsidRPr="00511005">
        <w:rPr>
          <w:rFonts w:ascii="Arial" w:eastAsia="Times New Roman" w:hAnsi="Arial" w:cs="Arial"/>
          <w:bCs/>
          <w:szCs w:val="28"/>
          <w:lang w:val="uk-UA" w:eastAsia="ru-RU"/>
        </w:rPr>
        <w:t>:</w:t>
      </w:r>
      <w:hyperlink r:id="rId1858" w:anchor="Text" w:history="1">
        <w:r w:rsidRPr="00511005">
          <w:rPr>
            <w:rFonts w:ascii="Arial" w:eastAsia="Times New Roman" w:hAnsi="Arial" w:cs="Arial"/>
            <w:bCs/>
            <w:szCs w:val="28"/>
            <w:lang w:val="uk-UA" w:eastAsia="ru-RU"/>
          </w:rPr>
          <w:t>https://zakon.rada.gov.ua/laws/show/254%D0%BA/96-%D0%B2%D1%80#Text</w:t>
        </w:r>
      </w:hyperlink>
    </w:p>
    <w:p w14:paraId="4DF060ED" w14:textId="77777777" w:rsidR="00200E87" w:rsidRPr="00511005" w:rsidRDefault="00200E87" w:rsidP="003F6A5D">
      <w:pPr>
        <w:numPr>
          <w:ilvl w:val="0"/>
          <w:numId w:val="529"/>
        </w:numPr>
        <w:spacing w:line="264" w:lineRule="auto"/>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Кримінальний кодекс України: Закон України від 5 квітня 2001 року №</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2341-</w:t>
      </w:r>
      <w:r w:rsidRPr="00511005">
        <w:rPr>
          <w:rFonts w:ascii="Arial" w:eastAsia="Times New Roman" w:hAnsi="Arial" w:cs="Arial"/>
          <w:szCs w:val="28"/>
          <w:lang w:val="en-US" w:eastAsia="ru-RU"/>
        </w:rPr>
        <w:t>III</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1859"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show</w:t>
        </w:r>
        <w:r w:rsidRPr="00511005">
          <w:rPr>
            <w:rFonts w:ascii="Arial" w:eastAsia="Times New Roman" w:hAnsi="Arial" w:cs="Arial"/>
            <w:szCs w:val="28"/>
            <w:lang w:eastAsia="ru-RU"/>
          </w:rPr>
          <w:t>/2341-14</w:t>
        </w:r>
      </w:hyperlink>
      <w:r w:rsidRPr="00511005">
        <w:rPr>
          <w:rFonts w:ascii="Arial" w:eastAsia="Times New Roman" w:hAnsi="Arial" w:cs="Arial"/>
          <w:szCs w:val="28"/>
          <w:lang w:val="uk-UA" w:eastAsia="ru-RU"/>
        </w:rPr>
        <w:t xml:space="preserve"> </w:t>
      </w:r>
      <w:hyperlink r:id="rId1860" w:history="1">
        <w:r w:rsidRPr="00511005">
          <w:rPr>
            <w:rFonts w:ascii="Arial" w:eastAsia="Times New Roman" w:hAnsi="Arial" w:cs="Arial"/>
            <w:szCs w:val="28"/>
            <w:lang w:eastAsia="ru-RU"/>
          </w:rPr>
          <w:t>Кодекс України про адміністративні правопорушення (статті 1 - 212-24)</w:t>
        </w:r>
      </w:hyperlink>
    </w:p>
    <w:p w14:paraId="19C3395E" w14:textId="77777777" w:rsidR="00200E87" w:rsidRPr="00511005" w:rsidRDefault="00200E87" w:rsidP="003F6A5D">
      <w:pPr>
        <w:numPr>
          <w:ilvl w:val="0"/>
          <w:numId w:val="529"/>
        </w:numPr>
        <w:spacing w:line="264" w:lineRule="auto"/>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Кодекс України; Закон, Кодекс від 07.12.1984 № </w:t>
      </w:r>
      <w:r w:rsidRPr="00511005">
        <w:rPr>
          <w:rFonts w:ascii="Arial" w:eastAsia="Times New Roman" w:hAnsi="Arial" w:cs="Arial"/>
          <w:bCs/>
          <w:szCs w:val="28"/>
          <w:lang w:eastAsia="ru-RU"/>
        </w:rPr>
        <w:t>8073</w:t>
      </w:r>
      <w:r w:rsidRPr="00511005">
        <w:rPr>
          <w:rFonts w:ascii="Arial" w:eastAsia="Times New Roman" w:hAnsi="Arial" w:cs="Arial"/>
          <w:b/>
          <w:bCs/>
          <w:szCs w:val="28"/>
          <w:lang w:eastAsia="ru-RU"/>
        </w:rPr>
        <w:t>-</w:t>
      </w:r>
      <w:r w:rsidRPr="00511005">
        <w:rPr>
          <w:rFonts w:ascii="Arial" w:eastAsia="Times New Roman" w:hAnsi="Arial" w:cs="Arial"/>
          <w:bCs/>
          <w:szCs w:val="28"/>
          <w:lang w:eastAsia="ru-RU"/>
        </w:rPr>
        <w:t>X</w:t>
      </w:r>
      <w:r w:rsidRPr="00511005">
        <w:rPr>
          <w:rFonts w:ascii="Arial" w:eastAsia="Times New Roman" w:hAnsi="Arial" w:cs="Arial"/>
          <w:bCs/>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w:t>
      </w:r>
      <w:r w:rsidRPr="00511005">
        <w:rPr>
          <w:rFonts w:ascii="Arial" w:eastAsia="Calibri" w:hAnsi="Arial" w:cs="Arial"/>
          <w:szCs w:val="28"/>
        </w:rPr>
        <w:t xml:space="preserve"> </w:t>
      </w:r>
      <w:hyperlink r:id="rId1861" w:history="1">
        <w:r w:rsidRPr="00511005">
          <w:rPr>
            <w:rFonts w:ascii="Arial" w:eastAsia="Times New Roman" w:hAnsi="Arial" w:cs="Arial"/>
            <w:szCs w:val="28"/>
            <w:lang w:eastAsia="ru-RU"/>
          </w:rPr>
          <w:t>https://zakon.rada.gov.ua/laws/show/80731-10</w:t>
        </w:r>
      </w:hyperlink>
    </w:p>
    <w:p w14:paraId="717C99BF" w14:textId="77777777" w:rsidR="00200E87" w:rsidRPr="00511005" w:rsidRDefault="00200E87" w:rsidP="003F6A5D">
      <w:pPr>
        <w:numPr>
          <w:ilvl w:val="0"/>
          <w:numId w:val="529"/>
        </w:numPr>
        <w:spacing w:line="264" w:lineRule="auto"/>
        <w:contextualSpacing/>
        <w:jc w:val="left"/>
        <w:rPr>
          <w:rFonts w:ascii="Arial" w:eastAsia="Times New Roman" w:hAnsi="Arial" w:cs="Arial"/>
          <w:szCs w:val="28"/>
          <w:lang w:eastAsia="ru-RU"/>
        </w:rPr>
      </w:pPr>
      <w:r w:rsidRPr="00511005">
        <w:rPr>
          <w:rFonts w:ascii="Arial" w:eastAsia="Calibri" w:hAnsi="Arial" w:cs="Arial"/>
          <w:szCs w:val="28"/>
          <w:lang w:val="uk-UA"/>
        </w:rPr>
        <w:t xml:space="preserve">Державна прикордонна служба України. European Border and Coast Guard Agency (Frontex) [Електронний ресурс]. – </w:t>
      </w:r>
      <w:r w:rsidRPr="00511005">
        <w:rPr>
          <w:rFonts w:ascii="Arial" w:eastAsia="Times New Roman" w:hAnsi="Arial" w:cs="Arial"/>
          <w:szCs w:val="28"/>
          <w:lang w:val="en-US" w:eastAsia="ru-RU"/>
        </w:rPr>
        <w:t>URL</w:t>
      </w:r>
      <w:r w:rsidRPr="00511005">
        <w:rPr>
          <w:rFonts w:ascii="Arial" w:eastAsia="Calibri" w:hAnsi="Arial" w:cs="Arial"/>
          <w:szCs w:val="28"/>
          <w:lang w:val="uk-UA"/>
        </w:rPr>
        <w:t xml:space="preserve">: </w:t>
      </w:r>
      <w:hyperlink r:id="rId1862" w:tgtFrame="_new" w:history="1">
        <w:r w:rsidRPr="00511005">
          <w:rPr>
            <w:rFonts w:ascii="Arial" w:eastAsia="Calibri" w:hAnsi="Arial" w:cs="Arial"/>
            <w:szCs w:val="28"/>
            <w:lang w:val="uk-UA"/>
          </w:rPr>
          <w:t>https://dpsu.gov.ua/uk/european-border-and-coast-guard-agency-frontex</w:t>
        </w:r>
      </w:hyperlink>
    </w:p>
    <w:p w14:paraId="542322FB" w14:textId="77777777" w:rsidR="00200E87" w:rsidRPr="00511005" w:rsidRDefault="00200E87" w:rsidP="003F6A5D">
      <w:pPr>
        <w:numPr>
          <w:ilvl w:val="0"/>
          <w:numId w:val="529"/>
        </w:numPr>
        <w:spacing w:line="264" w:lineRule="auto"/>
        <w:contextualSpacing/>
        <w:jc w:val="left"/>
        <w:rPr>
          <w:rFonts w:ascii="Arial" w:eastAsia="Times New Roman" w:hAnsi="Arial" w:cs="Arial"/>
          <w:szCs w:val="28"/>
          <w:lang w:eastAsia="ru-RU"/>
        </w:rPr>
      </w:pPr>
      <w:r w:rsidRPr="00511005">
        <w:rPr>
          <w:rFonts w:ascii="Arial" w:eastAsia="Calibri" w:hAnsi="Arial" w:cs="Arial"/>
          <w:bCs/>
          <w:szCs w:val="28"/>
        </w:rPr>
        <w:t>Судове рішення у справі № 359/9798/20</w:t>
      </w:r>
      <w:r w:rsidRPr="00511005">
        <w:rPr>
          <w:rFonts w:ascii="Arial" w:eastAsia="Calibri" w:hAnsi="Arial" w:cs="Arial"/>
          <w:szCs w:val="28"/>
        </w:rPr>
        <w:t xml:space="preserve"> [Електронний ресурс] // Єдиний</w:t>
      </w:r>
    </w:p>
    <w:p w14:paraId="6301D4EB" w14:textId="77777777" w:rsidR="00200E87" w:rsidRPr="00511005" w:rsidRDefault="00200E87" w:rsidP="003A292D">
      <w:pPr>
        <w:spacing w:line="264" w:lineRule="auto"/>
        <w:ind w:firstLine="0"/>
        <w:rPr>
          <w:rFonts w:ascii="Arial" w:eastAsia="Times New Roman" w:hAnsi="Arial" w:cs="Arial"/>
          <w:szCs w:val="28"/>
          <w:lang w:val="uk-UA" w:eastAsia="ru-RU"/>
        </w:rPr>
      </w:pPr>
      <w:r w:rsidRPr="00511005">
        <w:rPr>
          <w:rFonts w:ascii="Arial" w:eastAsia="Calibri" w:hAnsi="Arial" w:cs="Arial"/>
          <w:szCs w:val="28"/>
        </w:rPr>
        <w:t xml:space="preserve">державний реєстр судових рішень. – 2023. – </w:t>
      </w:r>
      <w:r w:rsidRPr="00511005">
        <w:rPr>
          <w:rFonts w:ascii="Arial" w:eastAsia="Times New Roman" w:hAnsi="Arial" w:cs="Arial"/>
          <w:szCs w:val="28"/>
          <w:lang w:val="en-US" w:eastAsia="ru-RU"/>
        </w:rPr>
        <w:t>URL</w:t>
      </w:r>
      <w:r w:rsidRPr="00511005">
        <w:rPr>
          <w:rFonts w:ascii="Arial" w:eastAsia="Calibri" w:hAnsi="Arial" w:cs="Arial"/>
          <w:szCs w:val="28"/>
        </w:rPr>
        <w:t xml:space="preserve">: </w:t>
      </w:r>
      <w:hyperlink r:id="rId1863" w:tgtFrame="_new" w:history="1">
        <w:r w:rsidRPr="00511005">
          <w:rPr>
            <w:rFonts w:ascii="Arial" w:eastAsia="Calibri" w:hAnsi="Arial" w:cs="Arial"/>
            <w:szCs w:val="28"/>
          </w:rPr>
          <w:t>https://youcontrol.com.ua/catalog/court-document/115195773/</w:t>
        </w:r>
      </w:hyperlink>
      <w:r w:rsidRPr="00511005">
        <w:rPr>
          <w:rFonts w:ascii="Arial" w:eastAsia="Calibri" w:hAnsi="Arial" w:cs="Arial"/>
          <w:szCs w:val="28"/>
        </w:rPr>
        <w:t>.</w:t>
      </w:r>
    </w:p>
    <w:p w14:paraId="58521E20" w14:textId="77777777" w:rsidR="00200E87" w:rsidRPr="00511005" w:rsidRDefault="00200E87" w:rsidP="003A292D">
      <w:pPr>
        <w:spacing w:line="264" w:lineRule="auto"/>
        <w:ind w:firstLine="0"/>
        <w:rPr>
          <w:rFonts w:ascii="Arial" w:eastAsia="Calibri" w:hAnsi="Arial" w:cs="Arial"/>
          <w:b/>
          <w:szCs w:val="28"/>
          <w:lang w:val="uk-UA"/>
        </w:rPr>
      </w:pPr>
    </w:p>
    <w:p w14:paraId="615A9AE6" w14:textId="54DEC0E1" w:rsidR="00200E87" w:rsidRPr="00511005" w:rsidRDefault="007B2628" w:rsidP="003A292D">
      <w:pPr>
        <w:spacing w:line="264" w:lineRule="auto"/>
        <w:ind w:firstLine="0"/>
        <w:rPr>
          <w:rFonts w:ascii="Arial" w:eastAsia="Calibri" w:hAnsi="Arial" w:cs="Arial"/>
          <w:b/>
          <w:szCs w:val="28"/>
          <w:lang w:val="uk-UA"/>
        </w:rPr>
      </w:pPr>
      <w:r w:rsidRPr="00511005">
        <w:rPr>
          <w:rFonts w:ascii="Arial" w:eastAsia="Calibri" w:hAnsi="Arial" w:cs="Arial"/>
          <w:b/>
          <w:i/>
          <w:szCs w:val="28"/>
          <w:lang w:val="uk-UA"/>
        </w:rPr>
        <w:t xml:space="preserve">Ключові слова: </w:t>
      </w:r>
      <w:r w:rsidR="00200E87" w:rsidRPr="00511005">
        <w:rPr>
          <w:rFonts w:ascii="Arial" w:eastAsia="Calibri" w:hAnsi="Arial" w:cs="Arial"/>
          <w:szCs w:val="28"/>
          <w:lang w:val="uk-UA"/>
        </w:rPr>
        <w:t xml:space="preserve">державний кордон, незаконний перетин, кримінальна відповідальність, Кримінальний кодекс України, військовозобов’язані, воєнний стан, підроблені документи, національна безпека, організовані </w:t>
      </w:r>
      <w:r w:rsidR="00200E87" w:rsidRPr="00511005">
        <w:rPr>
          <w:rFonts w:ascii="Arial" w:eastAsia="Calibri" w:hAnsi="Arial" w:cs="Arial"/>
          <w:szCs w:val="28"/>
          <w:lang w:val="uk-UA"/>
        </w:rPr>
        <w:lastRenderedPageBreak/>
        <w:t>злочинні групи, судова практика, намір заподіяння шкоди, правова невизначеність.</w:t>
      </w:r>
    </w:p>
    <w:p w14:paraId="6BF54B42" w14:textId="4D02489F" w:rsidR="00200E87" w:rsidRPr="00511005" w:rsidRDefault="007B2628" w:rsidP="003A292D">
      <w:pPr>
        <w:spacing w:line="264" w:lineRule="auto"/>
        <w:ind w:firstLine="0"/>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200E87" w:rsidRPr="00511005">
        <w:rPr>
          <w:rFonts w:ascii="Arial" w:eastAsia="Times New Roman" w:hAnsi="Arial" w:cs="Arial"/>
          <w:szCs w:val="28"/>
          <w:lang w:val="en-US" w:eastAsia="ru-RU"/>
        </w:rPr>
        <w:t>state border, illegal crossing, criminal liability, Criminal Code of Ukraine, conscripts, martial law, forged documents, national security, organized crime groups, judicial practice, intent to harm, legal uncertainty.</w:t>
      </w:r>
    </w:p>
    <w:p w14:paraId="3C551DC9" w14:textId="77777777" w:rsidR="00200E87" w:rsidRPr="00511005" w:rsidRDefault="00200E87" w:rsidP="003A292D">
      <w:pPr>
        <w:spacing w:line="264" w:lineRule="auto"/>
        <w:ind w:firstLine="0"/>
        <w:rPr>
          <w:rFonts w:ascii="Arial" w:eastAsia="Times New Roman" w:hAnsi="Arial" w:cs="Arial"/>
          <w:i/>
          <w:szCs w:val="28"/>
          <w:lang w:val="uk-UA" w:eastAsia="ru-RU"/>
        </w:rPr>
      </w:pPr>
    </w:p>
    <w:p w14:paraId="286476C5" w14:textId="4071CB6B" w:rsidR="00200E87" w:rsidRPr="00511005" w:rsidRDefault="007B2628" w:rsidP="003A292D">
      <w:pPr>
        <w:spacing w:line="264" w:lineRule="auto"/>
        <w:ind w:firstLine="0"/>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200E87" w:rsidRPr="00511005">
        <w:rPr>
          <w:rFonts w:ascii="Arial" w:eastAsia="Times New Roman" w:hAnsi="Arial" w:cs="Arial"/>
          <w:i/>
          <w:szCs w:val="28"/>
          <w:lang w:val="uk-UA" w:eastAsia="ru-RU"/>
        </w:rPr>
        <w:t>к.ю.н., доцент Хильченко А.С.</w:t>
      </w:r>
    </w:p>
    <w:p w14:paraId="312D39BC" w14:textId="77777777" w:rsidR="00200E87" w:rsidRPr="00511005" w:rsidRDefault="00200E87" w:rsidP="003A292D">
      <w:pPr>
        <w:spacing w:line="264" w:lineRule="auto"/>
        <w:ind w:firstLine="0"/>
        <w:rPr>
          <w:rFonts w:ascii="Arial" w:eastAsia="Calibri" w:hAnsi="Arial" w:cs="Arial"/>
          <w:b/>
          <w:szCs w:val="28"/>
          <w:lang w:val="uk-UA"/>
        </w:rPr>
      </w:pPr>
    </w:p>
    <w:p w14:paraId="2F0CB6CB" w14:textId="77777777" w:rsidR="00200E87" w:rsidRPr="00511005" w:rsidRDefault="00200E87" w:rsidP="003A292D">
      <w:pPr>
        <w:spacing w:line="264" w:lineRule="auto"/>
        <w:ind w:firstLine="0"/>
        <w:rPr>
          <w:rFonts w:ascii="Arial" w:eastAsia="Calibri" w:hAnsi="Arial" w:cs="Arial"/>
          <w:szCs w:val="28"/>
          <w:lang w:val="uk-UA"/>
        </w:rPr>
      </w:pPr>
    </w:p>
    <w:p w14:paraId="3F05B02B" w14:textId="77777777" w:rsidR="00200E87" w:rsidRPr="00511005" w:rsidRDefault="00200E87" w:rsidP="003A292D">
      <w:pPr>
        <w:keepNext/>
        <w:spacing w:line="264" w:lineRule="auto"/>
        <w:ind w:firstLine="0"/>
        <w:jc w:val="center"/>
        <w:rPr>
          <w:rFonts w:ascii="Arial" w:eastAsia="Times New Roman" w:hAnsi="Arial" w:cs="Arial"/>
          <w:b/>
          <w:i/>
          <w:szCs w:val="28"/>
          <w:lang w:val="uk-UA" w:eastAsia="ru-RU"/>
          <w14:ligatures w14:val="standardContextual"/>
        </w:rPr>
      </w:pPr>
      <w:r w:rsidRPr="00511005">
        <w:rPr>
          <w:rFonts w:ascii="Arial" w:eastAsia="Times New Roman" w:hAnsi="Arial" w:cs="Arial"/>
          <w:b/>
          <w:i/>
          <w:szCs w:val="28"/>
          <w:lang w:val="uk-UA" w:eastAsia="ru-RU"/>
          <w14:ligatures w14:val="standardContextual"/>
        </w:rPr>
        <w:t>Романова Аліна Олександрівна</w:t>
      </w:r>
    </w:p>
    <w:p w14:paraId="2DBCEA7E" w14:textId="5E5D9F6B"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437CBD9D"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38301B6"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8459F78" w14:textId="77777777" w:rsidR="00200E87" w:rsidRPr="00511005" w:rsidRDefault="00200E87" w:rsidP="003A292D">
      <w:pPr>
        <w:keepNext/>
        <w:spacing w:line="264" w:lineRule="auto"/>
        <w:ind w:firstLine="0"/>
        <w:jc w:val="left"/>
        <w:rPr>
          <w:rFonts w:ascii="Arial" w:eastAsia="Times New Roman" w:hAnsi="Arial" w:cs="Arial"/>
          <w:i/>
          <w:szCs w:val="28"/>
          <w:lang w:val="uk-UA" w:eastAsia="ru-RU"/>
          <w14:ligatures w14:val="standardContextual"/>
        </w:rPr>
      </w:pPr>
    </w:p>
    <w:p w14:paraId="4203895F" w14:textId="77777777" w:rsidR="00200E87" w:rsidRPr="00511005" w:rsidRDefault="00200E87" w:rsidP="003A292D">
      <w:pPr>
        <w:keepNext/>
        <w:widowControl w:val="0"/>
        <w:spacing w:line="264" w:lineRule="auto"/>
        <w:ind w:firstLine="0"/>
        <w:jc w:val="center"/>
        <w:rPr>
          <w:rFonts w:ascii="Arial" w:eastAsia="Times New Roman" w:hAnsi="Arial" w:cs="Arial"/>
          <w:b/>
          <w:szCs w:val="28"/>
          <w:lang w:val="uk-UA" w:eastAsia="ru-RU"/>
          <w14:ligatures w14:val="standardContextual"/>
        </w:rPr>
      </w:pPr>
      <w:r w:rsidRPr="00511005">
        <w:rPr>
          <w:rFonts w:ascii="Arial" w:eastAsia="Times New Roman" w:hAnsi="Arial" w:cs="Arial"/>
          <w:b/>
          <w:szCs w:val="28"/>
          <w:lang w:val="uk-UA" w:eastAsia="ru-RU"/>
          <w14:ligatures w14:val="standardContextual"/>
        </w:rPr>
        <w:t>ТЕОРІЇ ПРИЧИННОГО ЗВ’ЯЗКУ В КРИМІНАЛЬНОМУ ПРАВІ</w:t>
      </w:r>
    </w:p>
    <w:p w14:paraId="22B90B01" w14:textId="77777777" w:rsidR="00200E87" w:rsidRPr="00511005" w:rsidRDefault="00200E87" w:rsidP="003A292D">
      <w:pPr>
        <w:keepNext/>
        <w:widowControl w:val="0"/>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Кримінальне право, спираючись на принципи причинності, має вирішувати питання про зв'язок між діями людини та їх наслідками, враховуючи як об'єктивні фактори, так і суб'єктивні моменти. Це означає, що правова наука повинна пов'язувати суспільно небезпечне діяння з його наслідками через дві основні лінії: перша — об'єктивно визначена залежність між дією і результатом, друга — суб'єктивна сторона, яка відображає волю особи, її здатність (або нездатність) передбачити наслідки та ставлення до них [1].</w:t>
      </w:r>
    </w:p>
    <w:p w14:paraId="2FE7F503" w14:textId="77777777" w:rsidR="00200E87" w:rsidRPr="00511005" w:rsidRDefault="00200E87" w:rsidP="003A292D">
      <w:pPr>
        <w:keepNext/>
        <w:widowControl w:val="0"/>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Питання причинного зв’язку залишається однією з найбільш дискусійних тем у кримінальному праві, оскільки його правильне встановлення безпосередньо впливає на кваліфікацію діяння та притягнення особи до кримінальної відповідальності. Враховуючи різноманітність факторів, що можуть впливати на причинно-наслідковий зв’язок, у судовій практиці часто виникають суперечливі випадки, які потребують ретельного аналізу обставин кожної конкретної справи та застосування відповідних теоретичних підходів до визначення причинного зв’язку [5].</w:t>
      </w:r>
    </w:p>
    <w:p w14:paraId="333CCC16" w14:textId="77777777" w:rsidR="007B2628"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Багатовимірність даних правових концепцій проявляється у тому, що причинний зв’язок може розглядатися як з точки зору загальних закономірностей причинності у природі та суспільстві, так і в контексті його юридичної значущості.</w:t>
      </w:r>
    </w:p>
    <w:p w14:paraId="10C90F93" w14:textId="7275FB76"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У першому випадку він вивчається крізь призму класичних філософських концепцій, які аналізують взаємозв’язок між явищами у світі. У другому ж – визначальним стає питання, чи можна юридично обґрунтувати притягнення особи до кримінальної відповідальності на підставі виявленого зв’язку між її діянням і суспільно небезпечними наслідками.</w:t>
      </w:r>
    </w:p>
    <w:p w14:paraId="0C673C1E"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 xml:space="preserve">Крім того, відмінності в підходах до встановлення причинного зв’язку продиктовані необхідністю забезпечення балансу між суворістю правового регулювання та справедливістю судових рішень. Надто широкий підхід може </w:t>
      </w:r>
      <w:r w:rsidRPr="00511005">
        <w:rPr>
          <w:rFonts w:ascii="Arial" w:eastAsia="Times New Roman" w:hAnsi="Arial" w:cs="Arial"/>
          <w:szCs w:val="28"/>
          <w:lang w:val="uk-UA" w:eastAsia="ru-RU"/>
          <w14:ligatures w14:val="standardContextual"/>
        </w:rPr>
        <w:lastRenderedPageBreak/>
        <w:t>призвести до притягнення до відповідальності осіб, чия вина у фактичному спричиненні наслідків є мінімальною або сумнівною. Водночас занадто вузьке трактування причинного зв’язку може дозволити винним уникнути кримінальної відповідальності навіть за очевидно суспільно небезпечні діяння [2].</w:t>
      </w:r>
    </w:p>
    <w:p w14:paraId="6F7A09D6"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 xml:space="preserve">Науковці висувають різні підходи до класифікації теорій причинного зв’язку, що пояснюється складністю цього явища та багатовимірністю його трактування. Деякі дослідники розглядають причинний зв’язок виключно крізь призму юридичних аспектів, тоді як інші акцентують увагу на філософсько-правових підходах до проблеми причинності. У зв’язку з цим серед науковців немає єдності щодо того, які саме теорії слід виділяти як основні, що й спричиняє наявність численних концепцій та суперечок у цій сфері. </w:t>
      </w:r>
    </w:p>
    <w:p w14:paraId="37D846C3"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 xml:space="preserve">Наприклад, науковець Панов М.І. у своїх дослідженнях виокремлює три основні теорії, які пояснюють сутність причинного зв’язку у кримінальному праві. Кожна з цих теорій ґрунтується на різних філософських концепціях і розглядає проблему причинності з різним рівнем деталізації та наукової обґрунтованості. До цих теорій належать: теорія необхідної умови (або </w:t>
      </w:r>
      <w:r w:rsidRPr="00511005">
        <w:rPr>
          <w:rFonts w:ascii="Arial" w:eastAsia="Times New Roman" w:hAnsi="Arial" w:cs="Arial"/>
          <w:szCs w:val="28"/>
          <w:lang w:val="la-Latn" w:eastAsia="ru-RU"/>
          <w14:ligatures w14:val="standardContextual"/>
        </w:rPr>
        <w:t>condicio sine qua non</w:t>
      </w:r>
      <w:bookmarkStart w:id="215" w:name="_Hlk195002064"/>
      <w:r w:rsidRPr="00511005">
        <w:rPr>
          <w:rFonts w:ascii="Arial" w:eastAsia="Times New Roman" w:hAnsi="Arial" w:cs="Arial"/>
          <w:szCs w:val="28"/>
          <w:lang w:val="uk-UA" w:eastAsia="ru-RU"/>
          <w14:ligatures w14:val="standardContextual"/>
        </w:rPr>
        <w:t>), теорія адекватної причини та теорія необхідного спричинення</w:t>
      </w:r>
      <w:bookmarkEnd w:id="215"/>
      <w:r w:rsidRPr="00511005">
        <w:rPr>
          <w:rFonts w:ascii="Arial" w:eastAsia="Times New Roman" w:hAnsi="Arial" w:cs="Arial"/>
          <w:szCs w:val="28"/>
          <w:lang w:val="uk-UA" w:eastAsia="ru-RU"/>
          <w14:ligatures w14:val="standardContextual"/>
        </w:rPr>
        <w:t xml:space="preserve"> [7, с.130].</w:t>
      </w:r>
    </w:p>
    <w:p w14:paraId="7F1F6F97"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Варто наголосити, що подібну точку зору підтримують і інші дослідники, зокрема Кваша О.О. та Фріс П.Л., які у своїх працях аналізують вказані теорії та наголошують на їх значущості для кримінально-правової науки. Незважаючи на наявність різних підходів, ці концепції залишаються ключовими в сучасному кримінальному праві та використовуються для встановлення юридично значущого причинного зв’язку між злочинним діянням і його наслідками [3, с.74].</w:t>
      </w:r>
    </w:p>
    <w:p w14:paraId="7409025E"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 xml:space="preserve">Теорія причинності </w:t>
      </w:r>
      <w:bookmarkStart w:id="216" w:name="_Hlk195002020"/>
      <w:r w:rsidRPr="00511005">
        <w:rPr>
          <w:rFonts w:ascii="Arial" w:eastAsia="Times New Roman" w:hAnsi="Arial" w:cs="Arial"/>
          <w:szCs w:val="28"/>
          <w:lang w:val="la-Latn" w:eastAsia="ru-RU"/>
          <w14:ligatures w14:val="standardContextual"/>
        </w:rPr>
        <w:t>conditio sine qua non</w:t>
      </w:r>
      <w:r w:rsidRPr="00511005">
        <w:rPr>
          <w:rFonts w:ascii="Arial" w:eastAsia="Times New Roman" w:hAnsi="Arial" w:cs="Arial"/>
          <w:szCs w:val="28"/>
          <w:lang w:val="uk-UA" w:eastAsia="ru-RU"/>
          <w14:ligatures w14:val="standardContextual"/>
        </w:rPr>
        <w:t xml:space="preserve"> </w:t>
      </w:r>
      <w:bookmarkEnd w:id="216"/>
      <w:r w:rsidRPr="00511005">
        <w:rPr>
          <w:rFonts w:ascii="Arial" w:eastAsia="Times New Roman" w:hAnsi="Arial" w:cs="Arial"/>
          <w:szCs w:val="28"/>
          <w:lang w:val="uk-UA" w:eastAsia="ru-RU"/>
          <w14:ligatures w14:val="standardContextual"/>
        </w:rPr>
        <w:t>(або необхідної умови) зародилася в першій половині XIX століття в Німеччині та набула широкого поширення в правових системах багатьох країн. Основна ідея цієї концепції полягає в тому, що будь-яка подія має причинний зв’язок із певним діянням людини, якщо це діяння є необхідною умовою її настання. Іншими словами, якщо виключити певну дію з послідовності подій, то наслідок не міг би настати.</w:t>
      </w:r>
    </w:p>
    <w:p w14:paraId="18ACBC93"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 xml:space="preserve">Ця концепція покликана вирішити головну проблему теорій причинного зв’язку, а саме — визначити, які саме умови у ланцюгу подій є головними, а які другорядними. Відповідно до цього підходу, не всі умови, за яких настають шкідливі наслідки, мають однакову вагу: одні з них є основними, тоді як інші відіграють другорядну роль і можуть розглядатися лише як привід для настання наслідків. Якщо діяння людини було головною умовою настання певного наслідку, то воно визнавалося його причиною. Водночас, якщо у розвитку подій відігравали вирішальну роль сторонні, незалежні від </w:t>
      </w:r>
      <w:r w:rsidRPr="00511005">
        <w:rPr>
          <w:rFonts w:ascii="Arial" w:eastAsia="Times New Roman" w:hAnsi="Arial" w:cs="Arial"/>
          <w:szCs w:val="28"/>
          <w:lang w:val="uk-UA" w:eastAsia="ru-RU"/>
          <w14:ligatures w14:val="standardContextual"/>
        </w:rPr>
        <w:lastRenderedPageBreak/>
        <w:t>волі особи або явища, то дії правопорушника вважалися лише приводом, що не формує юридично значущого причинного зв’язку [6].</w:t>
      </w:r>
    </w:p>
    <w:p w14:paraId="27FFCD1F" w14:textId="77777777" w:rsidR="007B2628"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Теорія адекватної причини виникла наприкінці XIX століття і стала важливим доповненням до класичних концепцій причинності у кримінальному праві. Засновником даної теорії вважається І. Кріс, який у 1888 році опублікував роботу «Про поняття об'єктивної можливості та її деякі застосування» [4].</w:t>
      </w:r>
    </w:p>
    <w:p w14:paraId="47E24246" w14:textId="3E6E4953"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У цій праці він сформулював ідею, що причинний зв’язок повинен встановлюватися не лише на основі фактичної обумовленості подій, а й через оцінку їх типовості. Його підхід ґрунтувався на понятті об'єктивної можливості, тобто на тому, що ймовірність певного наслідку можна визначити, виходячи з типових закономірностей розвитку подій.</w:t>
      </w:r>
    </w:p>
    <w:p w14:paraId="4E1551B8" w14:textId="1396ED14"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Основна ідея концепції адекватної причини полягає в тому, що причинний зв’язок між суспільно небезпечним діянням і кримінально протиправним</w:t>
      </w:r>
      <w:r w:rsidR="007B2628" w:rsidRPr="00511005">
        <w:rPr>
          <w:rFonts w:ascii="Arial" w:eastAsia="Times New Roman" w:hAnsi="Arial" w:cs="Arial"/>
          <w:szCs w:val="28"/>
          <w:lang w:val="uk-UA" w:eastAsia="ru-RU"/>
          <w14:ligatures w14:val="standardContextual"/>
        </w:rPr>
        <w:t xml:space="preserve"> </w:t>
      </w:r>
      <w:r w:rsidRPr="00511005">
        <w:rPr>
          <w:rFonts w:ascii="Arial" w:eastAsia="Times New Roman" w:hAnsi="Arial" w:cs="Arial"/>
          <w:szCs w:val="28"/>
          <w:lang w:val="uk-UA" w:eastAsia="ru-RU"/>
          <w14:ligatures w14:val="standardContextual"/>
        </w:rPr>
        <w:t>наслідком має визначатися на основі порівняння даного випадку з іншими подібними випадками. Якщо в аналогічних обставинах типовий розвиток подій призводить до таких самих наслідків, тоді причинний зв’язок між діянням і результатом вважається встановленим. Якщо ж наслідок є нетиповим, тобто в реальному житті в подібних випадках він зазвичай не настає, причинний зв’язок заперечується. Таким чином, згідно з цією концепцією, людина повинна відповідати лише за ті наслідки своїх дій, які є передбачуваними та типовими [3].</w:t>
      </w:r>
    </w:p>
    <w:p w14:paraId="22ECD4F7"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Теорія необхідного спричинення є однією з найбільш дискусійних концепцій у кримінальному праві, оскільки вона має глибокі історичні корені, але водночас стикається з критикою через низку теоретичних та практичних недоліків. Вона зародилася наприкінці XIX століття в Німеччині, а згодом стала панівною в радянському кримінальному праві, що значною мірою визначило її вплив на правові системи країн пострадянського простору [5, с. 172].</w:t>
      </w:r>
    </w:p>
    <w:p w14:paraId="72B2C864"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Згідно з цією концепцією, кримінальна відповідальність особи можлива лише за умови наявності таких обов’язкових елементів:</w:t>
      </w:r>
    </w:p>
    <w:p w14:paraId="4FBE9B2A"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по-перше, суспільно небезпечне діяння має передувати злочинному наслідку за часом. Це означає, що наслідок не може передувати або бути незалежним від вчиненого діяння;</w:t>
      </w:r>
    </w:p>
    <w:p w14:paraId="5E537764"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по-друге, неминучість або реальна можливість настання шкідливого наслідку внаслідок певного діяння. Якщо подія настала випадково або під впливом сторонніх обставин, то причинний зв’язок не встановлюється;</w:t>
      </w:r>
    </w:p>
    <w:p w14:paraId="43182F10"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по-третє, суспільно небезпечне діяння має бути безпосередньою причиною настання конкретного наслідку. Це означає, що інші фактори не повинні відігравати визначальну роль у настанні результату;</w:t>
      </w:r>
    </w:p>
    <w:p w14:paraId="11D25CB2"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 xml:space="preserve">по-четверте, кримінально протиправне діяння повинно бути пов’язане з іншими особами або зовнішніми силами, які людина використала або змінила. Це положення використовується для визначення відповідальності </w:t>
      </w:r>
      <w:r w:rsidRPr="00511005">
        <w:rPr>
          <w:rFonts w:ascii="Arial" w:eastAsia="Times New Roman" w:hAnsi="Arial" w:cs="Arial"/>
          <w:szCs w:val="28"/>
          <w:lang w:val="uk-UA" w:eastAsia="ru-RU"/>
          <w14:ligatures w14:val="standardContextual"/>
        </w:rPr>
        <w:lastRenderedPageBreak/>
        <w:t>за кримінальні правопорушення, які вчиняються за допомогою інших осіб або технічних засобів [1, с. 104].</w:t>
      </w:r>
    </w:p>
    <w:p w14:paraId="4E3AD102"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Теорія необхідного спричинення відіграла важливу роль у розвитку кримінально-правової науки, однак у сучасних умовах її положення потребують критичного переосмислення. Обмеження відповідальності лише випадками неминучих наслідків є надто вузьким підходом, який не враховує реалії кримінального права. Як показує практика, випадкові наслідки не завжди є підставою для виключення відповідальності.</w:t>
      </w:r>
    </w:p>
    <w:p w14:paraId="41712A58"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Проблеми застосування теорій причинного зв’язку мають різносторонній характер. Основні труднощі виникають через відсутність чіткого законодавчого визначення причинного зв’язку у кримінальному праві України, що створює простір для неоднозначних судових рішень; через відсутність єдиної загальноприйнятої теорії у кримінальному законодавстві, що призводить до застосування різних концепцій у схожих справах; через множинність факторів, що впливають на настання злочинного наслідку, що ускладнює визначення головної причини; через проблеми застосування теорій у випадках опосередкованого спричинення, коли між діянням винного та наслідком з’являються сторонні чинники; через відсутність єдиних критеріїв для оцінки "адекватності" причинного зв’язку, що ускладнює встановлення меж відповідальності; через проблему відповідальності за віддалені наслідки, коли наслідок настає через значний проміжок часу після вчинення діяння.</w:t>
      </w:r>
    </w:p>
    <w:p w14:paraId="2D724C09"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Таким чином, проблематика причинного зв’язку і встановлення його концепцій залишається актуальною для кримінального права повсякчас.</w:t>
      </w:r>
    </w:p>
    <w:p w14:paraId="14DBB57C"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p>
    <w:p w14:paraId="4BCE2313" w14:textId="194B87C0" w:rsidR="00200E87" w:rsidRPr="00511005" w:rsidRDefault="007B2628" w:rsidP="007B2628">
      <w:pPr>
        <w:keepNext/>
        <w:widowControl w:val="0"/>
        <w:spacing w:line="264" w:lineRule="auto"/>
        <w:ind w:firstLine="0"/>
        <w:jc w:val="center"/>
        <w:rPr>
          <w:rFonts w:ascii="Arial" w:eastAsia="Times New Roman" w:hAnsi="Arial" w:cs="Arial"/>
          <w:b/>
          <w:iCs/>
          <w:szCs w:val="28"/>
          <w:lang w:val="uk-UA" w:eastAsia="ru-RU"/>
          <w14:ligatures w14:val="standardContextual"/>
        </w:rPr>
      </w:pPr>
      <w:r w:rsidRPr="00511005">
        <w:rPr>
          <w:rFonts w:ascii="Arial" w:eastAsia="Times New Roman" w:hAnsi="Arial" w:cs="Arial"/>
          <w:b/>
          <w:iCs/>
          <w:szCs w:val="28"/>
          <w:lang w:val="uk-UA" w:eastAsia="ru-RU"/>
          <w14:ligatures w14:val="standardContextual"/>
        </w:rPr>
        <w:t>Список використаних джерел</w:t>
      </w:r>
    </w:p>
    <w:p w14:paraId="3E245F40" w14:textId="77777777" w:rsidR="00200E87" w:rsidRPr="00511005" w:rsidRDefault="00200E87" w:rsidP="003F6A5D">
      <w:pPr>
        <w:keepNext/>
        <w:widowControl w:val="0"/>
        <w:numPr>
          <w:ilvl w:val="0"/>
          <w:numId w:val="530"/>
        </w:numPr>
        <w:spacing w:line="264" w:lineRule="auto"/>
        <w:contextualSpacing/>
        <w:jc w:val="left"/>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Вереша Р. В. Кримінальне право України. Загальна частина : навчальний посібник. 2-ге видання, перероблене та доповнене. Київ : «Центр учбової літератури», 2012. 320 с.</w:t>
      </w:r>
    </w:p>
    <w:p w14:paraId="146701CE" w14:textId="77777777" w:rsidR="00200E87" w:rsidRPr="00511005" w:rsidRDefault="00200E87" w:rsidP="003F6A5D">
      <w:pPr>
        <w:keepNext/>
        <w:widowControl w:val="0"/>
        <w:numPr>
          <w:ilvl w:val="0"/>
          <w:numId w:val="530"/>
        </w:numPr>
        <w:spacing w:line="264" w:lineRule="auto"/>
        <w:contextualSpacing/>
        <w:jc w:val="left"/>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Джафарова А. С. Оцінка причинності у філософії та кримінальному праві. Актуальні проблеми політики : зб. наук. пр. 2010. № 39. С. 330–335.</w:t>
      </w:r>
    </w:p>
    <w:p w14:paraId="4EBCF05C" w14:textId="77777777" w:rsidR="00200E87" w:rsidRPr="00511005" w:rsidRDefault="00200E87" w:rsidP="003F6A5D">
      <w:pPr>
        <w:keepNext/>
        <w:widowControl w:val="0"/>
        <w:numPr>
          <w:ilvl w:val="0"/>
          <w:numId w:val="530"/>
        </w:numPr>
        <w:spacing w:line="264" w:lineRule="auto"/>
        <w:contextualSpacing/>
        <w:jc w:val="left"/>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Курилюк Ю. Б. Причинний зв’язок як ознака об’єктивної сторони складу злочину, передбаченого ст. 419 КК України. Юридична наука. 2014. №1. С. 72–77.</w:t>
      </w:r>
    </w:p>
    <w:p w14:paraId="415DDFED" w14:textId="77777777" w:rsidR="00200E87" w:rsidRPr="00511005" w:rsidRDefault="00200E87" w:rsidP="003F6A5D">
      <w:pPr>
        <w:keepNext/>
        <w:widowControl w:val="0"/>
        <w:numPr>
          <w:ilvl w:val="0"/>
          <w:numId w:val="530"/>
        </w:numPr>
        <w:spacing w:line="264" w:lineRule="auto"/>
        <w:contextualSpacing/>
        <w:jc w:val="left"/>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Мего-Інфо - Юридичний портал №1. Кримінальне право. URL: https://surl.li/znylcr (дата звернення: 07.04.2025).</w:t>
      </w:r>
    </w:p>
    <w:p w14:paraId="49644D28" w14:textId="77777777" w:rsidR="00200E87" w:rsidRPr="00511005" w:rsidRDefault="00200E87" w:rsidP="003F6A5D">
      <w:pPr>
        <w:keepNext/>
        <w:widowControl w:val="0"/>
        <w:numPr>
          <w:ilvl w:val="0"/>
          <w:numId w:val="530"/>
        </w:numPr>
        <w:spacing w:line="264" w:lineRule="auto"/>
        <w:contextualSpacing/>
        <w:jc w:val="left"/>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Митрофанов І. І. Загальна частина кримінального права України : навчальний посібник. Одеса : "Фенікс", 2015. 576 с.</w:t>
      </w:r>
    </w:p>
    <w:p w14:paraId="27F0CB01" w14:textId="77777777" w:rsidR="00200E87" w:rsidRPr="00511005" w:rsidRDefault="00200E87" w:rsidP="003F6A5D">
      <w:pPr>
        <w:keepNext/>
        <w:widowControl w:val="0"/>
        <w:numPr>
          <w:ilvl w:val="0"/>
          <w:numId w:val="530"/>
        </w:numPr>
        <w:spacing w:line="264" w:lineRule="auto"/>
        <w:contextualSpacing/>
        <w:jc w:val="left"/>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Мочкош Я. В. Про теорії причинного зв'язку в кримінальному праві. “Публічне право”. 2018. Т. 2, № 30. С. 119-125.</w:t>
      </w:r>
    </w:p>
    <w:p w14:paraId="5BA8A62D" w14:textId="77777777" w:rsidR="00200E87" w:rsidRPr="00511005" w:rsidRDefault="00200E87" w:rsidP="003F6A5D">
      <w:pPr>
        <w:keepNext/>
        <w:widowControl w:val="0"/>
        <w:numPr>
          <w:ilvl w:val="0"/>
          <w:numId w:val="530"/>
        </w:numPr>
        <w:spacing w:line="264" w:lineRule="auto"/>
        <w:contextualSpacing/>
        <w:jc w:val="left"/>
        <w:rPr>
          <w:rFonts w:ascii="Arial" w:eastAsia="Times New Roman" w:hAnsi="Arial" w:cs="Arial"/>
          <w:szCs w:val="28"/>
          <w:lang w:val="uk-UA" w:eastAsia="ru-RU"/>
          <w14:ligatures w14:val="standardContextual"/>
        </w:rPr>
      </w:pPr>
      <w:r w:rsidRPr="00511005">
        <w:rPr>
          <w:rFonts w:ascii="Arial" w:eastAsia="Times New Roman" w:hAnsi="Arial" w:cs="Arial"/>
          <w:szCs w:val="28"/>
          <w:lang w:val="uk-UA" w:eastAsia="ru-RU"/>
          <w14:ligatures w14:val="standardContextual"/>
        </w:rPr>
        <w:t xml:space="preserve">Панов М. І. Об’єктивна сторона злочину. Кримінальне право України. </w:t>
      </w:r>
      <w:r w:rsidRPr="00511005">
        <w:rPr>
          <w:rFonts w:ascii="Arial" w:eastAsia="Times New Roman" w:hAnsi="Arial" w:cs="Arial"/>
          <w:szCs w:val="28"/>
          <w:lang w:val="uk-UA" w:eastAsia="ru-RU"/>
          <w14:ligatures w14:val="standardContextual"/>
        </w:rPr>
        <w:lastRenderedPageBreak/>
        <w:t>Загальна частина : підручник. 4-те видання, перероблене і доповнене / Ю. В. Баулін, В. І. Борисов, В. І. Тютюгін ; ред.: В. В. Сташис, В. Я. Тацій. Харків : "Право", 2010. С. 110–138.</w:t>
      </w:r>
    </w:p>
    <w:p w14:paraId="6FFBEAC1" w14:textId="77777777" w:rsidR="00200E87" w:rsidRPr="00511005" w:rsidRDefault="00200E87" w:rsidP="003A292D">
      <w:pPr>
        <w:keepNext/>
        <w:spacing w:line="264" w:lineRule="auto"/>
        <w:ind w:firstLine="0"/>
        <w:rPr>
          <w:rFonts w:ascii="Arial" w:eastAsia="Times New Roman" w:hAnsi="Arial" w:cs="Arial"/>
          <w:szCs w:val="28"/>
          <w:lang w:val="uk-UA" w:eastAsia="ru-RU"/>
          <w14:ligatures w14:val="standardContextual"/>
        </w:rPr>
      </w:pPr>
    </w:p>
    <w:p w14:paraId="2E69E939" w14:textId="3D5D73BD" w:rsidR="00200E87" w:rsidRPr="00511005" w:rsidRDefault="007B2628" w:rsidP="003A292D">
      <w:pPr>
        <w:keepNext/>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b/>
          <w:i/>
          <w:szCs w:val="28"/>
          <w:lang w:val="uk-UA" w:eastAsia="ru-RU"/>
          <w14:ligatures w14:val="standardContextual"/>
        </w:rPr>
        <w:t xml:space="preserve">Ключові слова: </w:t>
      </w:r>
      <w:r w:rsidR="00200E87" w:rsidRPr="00511005">
        <w:rPr>
          <w:rFonts w:ascii="Arial" w:eastAsia="Times New Roman" w:hAnsi="Arial" w:cs="Arial"/>
          <w:szCs w:val="28"/>
          <w:lang w:val="uk-UA" w:eastAsia="ru-RU"/>
          <w14:ligatures w14:val="standardContextual"/>
        </w:rPr>
        <w:t>причинний зв’язок, теорії, кримінальне право, суспільно небезпечне діяння, теорія необхідної умови (conditio sine qua non), теорія адекватної причини, теорія необхідного спричинення, суспільно небезпечний наслідок.</w:t>
      </w:r>
    </w:p>
    <w:p w14:paraId="3024F3F8" w14:textId="49928A09" w:rsidR="00200E87" w:rsidRPr="00511005" w:rsidRDefault="007B2628" w:rsidP="003A292D">
      <w:pPr>
        <w:keepNext/>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b/>
          <w:i/>
          <w:szCs w:val="28"/>
          <w:lang w:val="en-US" w:eastAsia="ru-RU"/>
          <w14:ligatures w14:val="standardContextual"/>
        </w:rPr>
        <w:t xml:space="preserve">Key words: </w:t>
      </w:r>
      <w:r w:rsidR="00200E87" w:rsidRPr="00511005">
        <w:rPr>
          <w:rFonts w:ascii="Arial" w:eastAsia="Times New Roman" w:hAnsi="Arial" w:cs="Arial"/>
          <w:bCs/>
          <w:szCs w:val="28"/>
          <w:lang w:val="en-US" w:eastAsia="ru-RU"/>
          <w14:ligatures w14:val="standardContextual"/>
        </w:rPr>
        <w:t>causal connection, theories, criminal law, socially dangerous act, theory of necessary condition (conditio sine qua non), theory of adequate cause, theory of necessary causation, socially dangerous connection</w:t>
      </w:r>
      <w:r w:rsidR="00200E87" w:rsidRPr="00511005">
        <w:rPr>
          <w:rFonts w:ascii="Arial" w:eastAsia="Times New Roman" w:hAnsi="Arial" w:cs="Arial"/>
          <w:bCs/>
          <w:szCs w:val="28"/>
          <w:lang w:val="uk-UA" w:eastAsia="ru-RU"/>
          <w14:ligatures w14:val="standardContextual"/>
        </w:rPr>
        <w:t>.</w:t>
      </w:r>
    </w:p>
    <w:p w14:paraId="14B036C8" w14:textId="77777777" w:rsidR="00200E87" w:rsidRPr="00511005" w:rsidRDefault="00200E87" w:rsidP="003A292D">
      <w:pPr>
        <w:keepNext/>
        <w:widowControl w:val="0"/>
        <w:spacing w:line="264" w:lineRule="auto"/>
        <w:ind w:firstLine="0"/>
        <w:rPr>
          <w:rFonts w:ascii="Arial" w:eastAsia="Times New Roman" w:hAnsi="Arial" w:cs="Arial"/>
          <w:bCs/>
          <w:i/>
          <w:iCs/>
          <w:szCs w:val="28"/>
          <w:lang w:val="uk-UA" w:eastAsia="ru-RU"/>
          <w14:ligatures w14:val="standardContextual"/>
        </w:rPr>
      </w:pPr>
    </w:p>
    <w:p w14:paraId="47324749" w14:textId="4E4FE176" w:rsidR="00200E87" w:rsidRPr="00511005" w:rsidRDefault="007B2628" w:rsidP="003A292D">
      <w:pPr>
        <w:keepNext/>
        <w:widowControl w:val="0"/>
        <w:spacing w:line="264" w:lineRule="auto"/>
        <w:ind w:firstLine="0"/>
        <w:rPr>
          <w:rFonts w:ascii="Arial" w:eastAsia="Times New Roman" w:hAnsi="Arial" w:cs="Arial"/>
          <w:szCs w:val="28"/>
          <w:lang w:val="uk-UA" w:eastAsia="ru-RU"/>
          <w14:ligatures w14:val="standardContextual"/>
        </w:rPr>
      </w:pPr>
      <w:r w:rsidRPr="00511005">
        <w:rPr>
          <w:rFonts w:ascii="Arial" w:eastAsia="Times New Roman" w:hAnsi="Arial" w:cs="Arial"/>
          <w:b/>
          <w:bCs/>
          <w:i/>
          <w:iCs/>
          <w:szCs w:val="28"/>
          <w:lang w:val="uk-UA" w:eastAsia="ru-RU"/>
          <w14:ligatures w14:val="standardContextual"/>
        </w:rPr>
        <w:t xml:space="preserve">Науковий керівник: </w:t>
      </w:r>
      <w:r w:rsidR="00200E87" w:rsidRPr="00511005">
        <w:rPr>
          <w:rFonts w:ascii="Arial" w:eastAsia="Times New Roman" w:hAnsi="Arial" w:cs="Arial"/>
          <w:bCs/>
          <w:i/>
          <w:iCs/>
          <w:szCs w:val="28"/>
          <w:lang w:val="uk-UA" w:eastAsia="ru-RU"/>
          <w14:ligatures w14:val="standardContextual"/>
        </w:rPr>
        <w:t>к.ю.н., професор Мирошниченко Н. А.</w:t>
      </w:r>
    </w:p>
    <w:p w14:paraId="6EE590EF" w14:textId="77777777" w:rsidR="00200E87" w:rsidRPr="00511005" w:rsidRDefault="00200E87" w:rsidP="003A292D">
      <w:pPr>
        <w:spacing w:line="264" w:lineRule="auto"/>
        <w:ind w:firstLine="0"/>
        <w:rPr>
          <w:rFonts w:ascii="Arial" w:eastAsia="Times New Roman" w:hAnsi="Arial" w:cs="Arial"/>
          <w:szCs w:val="28"/>
          <w:lang w:val="uk-UA" w:eastAsia="ru-RU"/>
          <w14:ligatures w14:val="standardContextual"/>
        </w:rPr>
      </w:pPr>
    </w:p>
    <w:p w14:paraId="3C6DB8F6" w14:textId="77777777" w:rsidR="00200E87" w:rsidRPr="00511005" w:rsidRDefault="00200E87" w:rsidP="003A292D">
      <w:pPr>
        <w:spacing w:line="264" w:lineRule="auto"/>
        <w:ind w:firstLine="0"/>
        <w:jc w:val="center"/>
        <w:rPr>
          <w:rFonts w:ascii="Arial" w:eastAsia="Calibri" w:hAnsi="Arial" w:cs="Arial"/>
          <w:szCs w:val="28"/>
          <w:lang w:val="uk-UA"/>
        </w:rPr>
      </w:pPr>
    </w:p>
    <w:p w14:paraId="585D993F" w14:textId="77777777" w:rsidR="00200E87" w:rsidRPr="00511005" w:rsidRDefault="00200E87" w:rsidP="003A292D">
      <w:pPr>
        <w:spacing w:line="264" w:lineRule="auto"/>
        <w:ind w:firstLine="0"/>
        <w:jc w:val="center"/>
        <w:rPr>
          <w:rFonts w:ascii="Arial" w:hAnsi="Arial" w:cs="Arial"/>
          <w:b/>
          <w:bCs/>
          <w:i/>
          <w:iCs/>
          <w:szCs w:val="28"/>
          <w:lang w:val="uk-UA" w:eastAsia="zh-CN"/>
        </w:rPr>
      </w:pPr>
      <w:r w:rsidRPr="00511005">
        <w:rPr>
          <w:rFonts w:ascii="Arial" w:hAnsi="Arial" w:cs="Arial"/>
          <w:b/>
          <w:bCs/>
          <w:i/>
          <w:iCs/>
          <w:szCs w:val="28"/>
          <w:lang w:val="uk-UA" w:eastAsia="zh-CN"/>
        </w:rPr>
        <w:t>Ромаш Євгенія Сергіївна</w:t>
      </w:r>
    </w:p>
    <w:p w14:paraId="3A21410A" w14:textId="0FCC6B39" w:rsidR="007B2628" w:rsidRPr="00511005" w:rsidRDefault="00536AAB" w:rsidP="003A292D">
      <w:pPr>
        <w:spacing w:line="264" w:lineRule="auto"/>
        <w:ind w:firstLine="0"/>
        <w:jc w:val="center"/>
        <w:rPr>
          <w:rFonts w:ascii="Arial" w:hAnsi="Arial" w:cs="Arial"/>
          <w:szCs w:val="28"/>
          <w:lang w:val="uk-UA" w:eastAsia="zh-CN"/>
        </w:rPr>
      </w:pPr>
      <w:r w:rsidRPr="00511005">
        <w:rPr>
          <w:rFonts w:ascii="Arial" w:hAnsi="Arial" w:cs="Arial"/>
          <w:szCs w:val="28"/>
          <w:lang w:val="uk-UA" w:eastAsia="zh-CN"/>
        </w:rPr>
        <w:t xml:space="preserve">студентка 3-го курсу </w:t>
      </w:r>
      <w:r w:rsidR="007B2628" w:rsidRPr="00511005">
        <w:rPr>
          <w:rFonts w:ascii="Arial" w:hAnsi="Arial" w:cs="Arial"/>
          <w:szCs w:val="28"/>
          <w:lang w:val="uk-UA" w:eastAsia="zh-CN"/>
        </w:rPr>
        <w:t>факультету цивільної та господарської юстиції</w:t>
      </w:r>
    </w:p>
    <w:p w14:paraId="646A8BD6" w14:textId="137A8B38" w:rsidR="00200E87" w:rsidRPr="00511005" w:rsidRDefault="00200E87" w:rsidP="003A292D">
      <w:pPr>
        <w:spacing w:line="264" w:lineRule="auto"/>
        <w:ind w:firstLine="0"/>
        <w:jc w:val="center"/>
        <w:rPr>
          <w:rFonts w:ascii="Arial" w:hAnsi="Arial" w:cs="Arial"/>
          <w:szCs w:val="28"/>
          <w:lang w:val="uk-UA" w:eastAsia="zh-CN"/>
        </w:rPr>
      </w:pPr>
      <w:r w:rsidRPr="00511005">
        <w:rPr>
          <w:rFonts w:ascii="Arial" w:hAnsi="Arial" w:cs="Arial"/>
          <w:szCs w:val="28"/>
          <w:lang w:val="uk-UA" w:eastAsia="zh-CN"/>
        </w:rPr>
        <w:t xml:space="preserve">Національного університету </w:t>
      </w:r>
      <w:r w:rsidR="007E6CF0">
        <w:rPr>
          <w:rFonts w:ascii="Arial" w:hAnsi="Arial" w:cs="Arial"/>
          <w:szCs w:val="28"/>
          <w:lang w:val="uk-UA" w:eastAsia="zh-CN"/>
        </w:rPr>
        <w:t>«</w:t>
      </w:r>
      <w:r w:rsidRPr="00511005">
        <w:rPr>
          <w:rFonts w:ascii="Arial" w:hAnsi="Arial" w:cs="Arial"/>
          <w:szCs w:val="28"/>
          <w:lang w:val="uk-UA" w:eastAsia="zh-CN"/>
        </w:rPr>
        <w:t>Одеська юридична академія</w:t>
      </w:r>
      <w:r w:rsidR="007E6CF0">
        <w:rPr>
          <w:rFonts w:ascii="Arial" w:hAnsi="Arial" w:cs="Arial"/>
          <w:szCs w:val="28"/>
          <w:lang w:val="uk-UA" w:eastAsia="zh-CN"/>
        </w:rPr>
        <w:t>»</w:t>
      </w:r>
    </w:p>
    <w:p w14:paraId="66836ACE" w14:textId="77777777" w:rsidR="00200E87" w:rsidRPr="00511005" w:rsidRDefault="00200E87" w:rsidP="003A292D">
      <w:pPr>
        <w:spacing w:line="264" w:lineRule="auto"/>
        <w:ind w:firstLine="0"/>
        <w:jc w:val="center"/>
        <w:rPr>
          <w:rFonts w:ascii="Arial" w:hAnsi="Arial" w:cs="Arial"/>
          <w:szCs w:val="28"/>
          <w:lang w:val="uk-UA" w:eastAsia="zh-CN"/>
        </w:rPr>
      </w:pPr>
    </w:p>
    <w:p w14:paraId="5AA54769" w14:textId="5F3BAF9F" w:rsidR="00200E87" w:rsidRPr="00511005" w:rsidRDefault="00200E87" w:rsidP="003A292D">
      <w:pPr>
        <w:spacing w:line="264" w:lineRule="auto"/>
        <w:ind w:firstLine="0"/>
        <w:jc w:val="center"/>
        <w:rPr>
          <w:rFonts w:ascii="Arial" w:hAnsi="Arial" w:cs="Arial"/>
          <w:b/>
          <w:bCs/>
          <w:szCs w:val="28"/>
          <w:lang w:val="uk-UA" w:eastAsia="zh-CN"/>
        </w:rPr>
      </w:pPr>
      <w:r w:rsidRPr="00511005">
        <w:rPr>
          <w:rFonts w:ascii="Arial" w:hAnsi="Arial" w:cs="Arial"/>
          <w:b/>
          <w:bCs/>
          <w:szCs w:val="28"/>
          <w:lang w:val="uk-UA" w:eastAsia="zh-CN"/>
        </w:rPr>
        <w:t>КРИМІНАЛЬНО-ПРАВОВА ХАРАКТЕРИСТИКА КРАДІЖКИ</w:t>
      </w:r>
      <w:r w:rsidR="007E6CF0">
        <w:rPr>
          <w:rFonts w:ascii="Arial" w:hAnsi="Arial" w:cs="Arial"/>
          <w:b/>
          <w:bCs/>
          <w:szCs w:val="28"/>
          <w:lang w:val="uk-UA" w:eastAsia="zh-CN"/>
        </w:rPr>
        <w:t>,</w:t>
      </w:r>
      <w:r w:rsidRPr="00511005">
        <w:rPr>
          <w:rFonts w:ascii="Arial" w:hAnsi="Arial" w:cs="Arial"/>
          <w:b/>
          <w:bCs/>
          <w:szCs w:val="28"/>
          <w:lang w:val="uk-UA" w:eastAsia="zh-CN"/>
        </w:rPr>
        <w:t xml:space="preserve"> ВЧИНЕНОЇ В УМОВАХ ВОЄННОГО СТАНУ</w:t>
      </w:r>
    </w:p>
    <w:p w14:paraId="60B6A91E"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З введення воєнного стану в Україні, 24 лютого 2022 року, життя українців суттєво змінилося, це вплинуло на всі сфери життя, не оминуло звичайно й національне законодавство, і кримінальне право не стало винятком</w:t>
      </w:r>
      <w:r w:rsidRPr="00511005">
        <w:rPr>
          <w:rFonts w:ascii="Arial" w:hAnsi="Arial" w:cs="Arial"/>
          <w:szCs w:val="28"/>
          <w:lang w:eastAsia="zh-CN"/>
        </w:rPr>
        <w:t xml:space="preserve"> [1]</w:t>
      </w:r>
      <w:r w:rsidRPr="00511005">
        <w:rPr>
          <w:rFonts w:ascii="Arial" w:hAnsi="Arial" w:cs="Arial"/>
          <w:szCs w:val="28"/>
          <w:lang w:val="uk-UA" w:eastAsia="zh-CN"/>
        </w:rPr>
        <w:t>.</w:t>
      </w:r>
    </w:p>
    <w:p w14:paraId="5A82CB73"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Воєнний стан - це особливий правовий режим, який запроваджується в Україні або на окремих її територіях у разі збройної агресії, нападу чи загрози нападу, а також небезпеки державній незалежності або територіальній цілісності держави [10].</w:t>
      </w:r>
    </w:p>
    <w:p w14:paraId="66C3D5AA"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 xml:space="preserve">У воєнний період спостерігається зростання кількості кримінальних правопорушень проти власності, зокрема крадіжок. Евакуація населення, знищення житла, тимчасове залишення майна без нагляду створюють сприятливе середовище для вчинення крадіжок </w:t>
      </w:r>
      <w:r w:rsidRPr="00511005">
        <w:rPr>
          <w:rFonts w:ascii="Arial" w:hAnsi="Arial" w:cs="Arial"/>
          <w:szCs w:val="28"/>
          <w:lang w:eastAsia="zh-CN"/>
        </w:rPr>
        <w:t>[5]</w:t>
      </w:r>
      <w:r w:rsidRPr="00511005">
        <w:rPr>
          <w:rFonts w:ascii="Arial" w:hAnsi="Arial" w:cs="Arial"/>
          <w:szCs w:val="28"/>
          <w:lang w:val="uk-UA" w:eastAsia="zh-CN"/>
        </w:rPr>
        <w:t>.</w:t>
      </w:r>
    </w:p>
    <w:p w14:paraId="01E8C144"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Особлива актуальність теми пов’язана з необхідністю посилення правового захисту майна громадян в умовах збройної агресії.</w:t>
      </w:r>
    </w:p>
    <w:p w14:paraId="594AED66"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Власність - конституційно захищене благо, інтелектуальне чи матеріальне майно, яке є об’єктом кримінально-правової охорони.</w:t>
      </w:r>
    </w:p>
    <w:p w14:paraId="2A823587"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Кримінальні правопорушення проти власності - протиправні діяння, які спрямовані на посягання на право володіння, користування та розпорядження майном.</w:t>
      </w:r>
    </w:p>
    <w:p w14:paraId="604C53DB" w14:textId="64AE161C"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Крадіжка - це таємне викрадення чужого майна, яке передбачене ч.1 ст. 185 Кримінального кодексу України, основною ознакою якої є</w:t>
      </w:r>
      <w:r w:rsidR="007B2628" w:rsidRPr="00511005">
        <w:rPr>
          <w:rFonts w:ascii="Arial" w:hAnsi="Arial" w:cs="Arial"/>
          <w:szCs w:val="28"/>
          <w:lang w:val="uk-UA" w:eastAsia="zh-CN"/>
        </w:rPr>
        <w:t xml:space="preserve"> </w:t>
      </w:r>
      <w:r w:rsidRPr="00511005">
        <w:rPr>
          <w:rFonts w:ascii="Arial" w:hAnsi="Arial" w:cs="Arial"/>
          <w:szCs w:val="28"/>
          <w:lang w:val="uk-UA" w:eastAsia="zh-CN"/>
        </w:rPr>
        <w:t>таємність дій особи, яка привласнює чуже майно [2].</w:t>
      </w:r>
    </w:p>
    <w:p w14:paraId="6B39F443"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lastRenderedPageBreak/>
        <w:t xml:space="preserve">Нині, крадіжка, вчинена в умовах воєнного або надзвичайного стану є особливо кваліфікованим складом кримінального правопорушення. </w:t>
      </w:r>
    </w:p>
    <w:p w14:paraId="295CAA46"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Вчинення крадіжки в умовах воєнного стану кваліфікується за ч. 4 ст. 185 Кримінального кодексу України, за що передбачено покарання у вигляді позбавлення волі від 5 до 8 років, без можливості призначення штрафу чи умовного покарання</w:t>
      </w:r>
      <w:r w:rsidRPr="00511005">
        <w:rPr>
          <w:rFonts w:ascii="Arial" w:hAnsi="Arial" w:cs="Arial"/>
          <w:szCs w:val="28"/>
          <w:lang w:eastAsia="zh-CN"/>
        </w:rPr>
        <w:t xml:space="preserve"> [9]</w:t>
      </w:r>
      <w:r w:rsidRPr="00511005">
        <w:rPr>
          <w:rFonts w:ascii="Arial" w:hAnsi="Arial" w:cs="Arial"/>
          <w:szCs w:val="28"/>
          <w:lang w:val="uk-UA" w:eastAsia="zh-CN"/>
        </w:rPr>
        <w:t>.</w:t>
      </w:r>
    </w:p>
    <w:p w14:paraId="62FD03B0"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 xml:space="preserve">Основними ознаками крадіжки є: </w:t>
      </w:r>
    </w:p>
    <w:p w14:paraId="1F8362FD"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 об’єкт: суспільні відносини в сфері власності;</w:t>
      </w:r>
    </w:p>
    <w:p w14:paraId="0E79348B"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 об’єктивна сторона: дії у формі таємного вилучення майна з володіння потерпілого без його відома;</w:t>
      </w:r>
    </w:p>
    <w:p w14:paraId="5AE1678D"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 суб’єкт: фізична осудна особа, яка досягла віку кримінальної відповідальності, а саме, 14 років;</w:t>
      </w:r>
    </w:p>
    <w:p w14:paraId="144E68C3"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 суб’єктивна сторона: прямий умисел та корисливий мотив.</w:t>
      </w:r>
    </w:p>
    <w:p w14:paraId="1F15C0D5"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Ключовою характеристикою крадіжки є саме її таємність, тобто вчинення діяння без відома для власника, а також без свідків, або так, щоб вони не усвідомлювали, що вчиняється злочин [7].</w:t>
      </w:r>
    </w:p>
    <w:p w14:paraId="20936381"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Серед обтяжуючих обставин вчинення крадіжки є: її повторне вчинення; вчинення за попередньою змовою групою осіб; із проникненням у житло, склад чи інше приміщення; в умовах воєнного чи надзвичайного стану (ч. 4 ст. 185). Крадіжка в умовах воєнного чи надзвичайного стану визначається особливо небезпечним злочином, а також, може отримати подвійну кваліфікацію: 1) за ч. 4 ст. 185 - як крадіжка, вчинена в умовах воєнного стану; 2) додатково за іншими статтями (наприклад, ст. 111-1 - колабораційна діяльність, якщо злочин було вчинено на користь агресора чи за ст. 432- мародерство)</w:t>
      </w:r>
      <w:r w:rsidRPr="00511005">
        <w:rPr>
          <w:rFonts w:ascii="Arial" w:hAnsi="Arial" w:cs="Arial"/>
          <w:szCs w:val="28"/>
          <w:lang w:eastAsia="zh-CN"/>
        </w:rPr>
        <w:t xml:space="preserve"> [3]</w:t>
      </w:r>
      <w:r w:rsidRPr="00511005">
        <w:rPr>
          <w:rFonts w:ascii="Arial" w:hAnsi="Arial" w:cs="Arial"/>
          <w:szCs w:val="28"/>
          <w:lang w:val="uk-UA" w:eastAsia="zh-CN"/>
        </w:rPr>
        <w:t>.</w:t>
      </w:r>
    </w:p>
    <w:p w14:paraId="515D0136"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Воєнний стан як юридичний режим накладає додаткові обов’язки на громадян і збільшує соціальну небезпеку посягань на власність.</w:t>
      </w:r>
    </w:p>
    <w:p w14:paraId="78045B0B"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Воєнний стан суттєво впливає на кримінально-правову оцінку діянь. Відповідно до п. 11 ч. 1 ст. 67 Кримінального кодексу України, вчинення злочину в умовах воєнного стану визначається обставиною, що обтяжує покарання</w:t>
      </w:r>
      <w:r w:rsidRPr="00511005">
        <w:rPr>
          <w:rFonts w:ascii="Arial" w:hAnsi="Arial" w:cs="Arial"/>
          <w:szCs w:val="28"/>
          <w:lang w:eastAsia="zh-CN"/>
        </w:rPr>
        <w:t xml:space="preserve"> [6]</w:t>
      </w:r>
      <w:r w:rsidRPr="00511005">
        <w:rPr>
          <w:rFonts w:ascii="Arial" w:hAnsi="Arial" w:cs="Arial"/>
          <w:szCs w:val="28"/>
          <w:lang w:val="uk-UA" w:eastAsia="zh-CN"/>
        </w:rPr>
        <w:t>.</w:t>
      </w:r>
    </w:p>
    <w:p w14:paraId="5A259A73"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У практиці органів досудового розслідування та суду, воєнний стан часто розглядають як чинник, який унеможливлює умовно-дострокове звільнення або заміну покарання на більш м’яке, оскільки зазвичай крадіжки в період такого стану вчиняються з урахуванням життєвих обставин, не можливістю людей слідкувати та оберігати своє майно, що в свою чергу призводить до підвищення суспільної небезпеки та сприяє зниженню морального духу населення, оскільки злочинці часто користуються тим, що громадяни змушені евакуюватися, залишаючи житло та майно без нагляду, або тим, що правоохоронні органи мають інші завдання, наприклад: оборона, мобілізація, ліквідація наслідків обстрілів). Це робить крадіжку у воєнний час цинічним і зухвалим посяганням на беззахистність і тяжкі життєві обставини</w:t>
      </w:r>
      <w:r w:rsidRPr="00511005">
        <w:rPr>
          <w:rFonts w:ascii="Arial" w:hAnsi="Arial" w:cs="Arial"/>
          <w:szCs w:val="28"/>
          <w:lang w:eastAsia="zh-CN"/>
        </w:rPr>
        <w:t xml:space="preserve"> [8]</w:t>
      </w:r>
      <w:r w:rsidRPr="00511005">
        <w:rPr>
          <w:rFonts w:ascii="Arial" w:hAnsi="Arial" w:cs="Arial"/>
          <w:szCs w:val="28"/>
          <w:lang w:val="uk-UA" w:eastAsia="zh-CN"/>
        </w:rPr>
        <w:t>.</w:t>
      </w:r>
    </w:p>
    <w:p w14:paraId="6FA30584"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lastRenderedPageBreak/>
        <w:t>Для запобігання та протидії крадіжок у воєнний час зростає потреба у профілактиці крадіжок шляхом:</w:t>
      </w:r>
    </w:p>
    <w:p w14:paraId="5C178DB1"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 патрулювання правоохоронців та військових;</w:t>
      </w:r>
    </w:p>
    <w:p w14:paraId="0EA39925"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 відеоспостереження, обмеження пересування у небезпечних районах, та в тих, де більша частина жителів покинула свої домівки;</w:t>
      </w:r>
    </w:p>
    <w:p w14:paraId="3536CBC0" w14:textId="77777777" w:rsidR="00200E87"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 проведення просвітницьких заходів серед населення</w:t>
      </w:r>
      <w:r w:rsidRPr="00511005">
        <w:rPr>
          <w:rFonts w:ascii="Arial" w:hAnsi="Arial" w:cs="Arial"/>
          <w:szCs w:val="28"/>
          <w:lang w:eastAsia="zh-CN"/>
        </w:rPr>
        <w:t xml:space="preserve"> [4]</w:t>
      </w:r>
      <w:r w:rsidRPr="00511005">
        <w:rPr>
          <w:rFonts w:ascii="Arial" w:hAnsi="Arial" w:cs="Arial"/>
          <w:szCs w:val="28"/>
          <w:lang w:val="uk-UA" w:eastAsia="zh-CN"/>
        </w:rPr>
        <w:t>.</w:t>
      </w:r>
    </w:p>
    <w:p w14:paraId="3D7F75D7" w14:textId="77777777" w:rsidR="007B2628" w:rsidRPr="00511005" w:rsidRDefault="00200E87" w:rsidP="003A292D">
      <w:pPr>
        <w:spacing w:line="264" w:lineRule="auto"/>
        <w:ind w:firstLine="0"/>
        <w:rPr>
          <w:rFonts w:ascii="Arial" w:hAnsi="Arial" w:cs="Arial"/>
          <w:szCs w:val="28"/>
          <w:lang w:val="uk-UA" w:eastAsia="zh-CN"/>
        </w:rPr>
      </w:pPr>
      <w:r w:rsidRPr="00511005">
        <w:rPr>
          <w:rFonts w:ascii="Arial" w:hAnsi="Arial" w:cs="Arial"/>
          <w:szCs w:val="28"/>
          <w:lang w:val="uk-UA" w:eastAsia="zh-CN"/>
        </w:rPr>
        <w:t>Отже, підсумовуючи вищезазначене можна зробити висновок про те, що кількість крадіжок в умовах воєнного стану стає тільки більшою і за такий злочин призначається покарання у вигляді позбавлення волі, яке в мирний час призначалося у вигляді штрафу, виправними чи громадськими роботами. Оскільки вона порушує не лише майнові права громадян, але й підриває основи національної безпеки, дестабілізує суспільство та сприяє зниженню морального духу населення.</w:t>
      </w:r>
    </w:p>
    <w:p w14:paraId="57AF594D" w14:textId="28C8E17E" w:rsidR="00200E87" w:rsidRPr="00511005" w:rsidRDefault="00200E87" w:rsidP="003A292D">
      <w:pPr>
        <w:spacing w:line="264" w:lineRule="auto"/>
        <w:ind w:firstLine="0"/>
        <w:jc w:val="left"/>
        <w:rPr>
          <w:rFonts w:ascii="Arial" w:hAnsi="Arial" w:cs="Arial"/>
          <w:b/>
          <w:bCs/>
          <w:szCs w:val="28"/>
          <w:lang w:val="uk-UA" w:eastAsia="zh-CN"/>
        </w:rPr>
      </w:pPr>
    </w:p>
    <w:p w14:paraId="7D01D116" w14:textId="795973A3" w:rsidR="00200E87" w:rsidRPr="00511005" w:rsidRDefault="007B2628" w:rsidP="007B2628">
      <w:pPr>
        <w:spacing w:line="264" w:lineRule="auto"/>
        <w:ind w:firstLine="0"/>
        <w:jc w:val="center"/>
        <w:rPr>
          <w:rFonts w:ascii="Arial" w:hAnsi="Arial" w:cs="Arial"/>
          <w:b/>
          <w:bCs/>
          <w:szCs w:val="28"/>
          <w:lang w:val="uk-UA" w:eastAsia="zh-CN"/>
        </w:rPr>
      </w:pPr>
      <w:r w:rsidRPr="00511005">
        <w:rPr>
          <w:rFonts w:ascii="Arial" w:hAnsi="Arial" w:cs="Arial"/>
          <w:b/>
          <w:bCs/>
          <w:szCs w:val="28"/>
          <w:lang w:val="uk-UA" w:eastAsia="zh-CN"/>
        </w:rPr>
        <w:t>Список використаних джерел</w:t>
      </w:r>
    </w:p>
    <w:p w14:paraId="49BF2B55" w14:textId="77777777" w:rsidR="00200E87" w:rsidRPr="00511005" w:rsidRDefault="00200E87" w:rsidP="003F6A5D">
      <w:pPr>
        <w:numPr>
          <w:ilvl w:val="0"/>
          <w:numId w:val="531"/>
        </w:numPr>
        <w:spacing w:line="264" w:lineRule="auto"/>
        <w:contextualSpacing/>
        <w:jc w:val="left"/>
        <w:rPr>
          <w:rFonts w:ascii="Arial" w:hAnsi="Arial" w:cs="Arial"/>
          <w:szCs w:val="28"/>
          <w:lang w:val="uk-UA" w:eastAsia="zh-CN"/>
        </w:rPr>
      </w:pPr>
      <w:r w:rsidRPr="00511005">
        <w:rPr>
          <w:rFonts w:ascii="Arial" w:hAnsi="Arial" w:cs="Arial"/>
          <w:szCs w:val="28"/>
          <w:lang w:val="uk-UA" w:eastAsia="zh-CN"/>
        </w:rPr>
        <w:t xml:space="preserve">Конституція України від 28 червня 1996 року </w:t>
      </w:r>
      <w:r w:rsidRPr="00511005">
        <w:rPr>
          <w:rFonts w:ascii="Arial" w:hAnsi="Arial" w:cs="Arial"/>
          <w:szCs w:val="28"/>
          <w:lang w:val="en-US" w:eastAsia="zh-CN"/>
        </w:rPr>
        <w:t>URL</w:t>
      </w:r>
      <w:r w:rsidRPr="00511005">
        <w:rPr>
          <w:rFonts w:ascii="Arial" w:hAnsi="Arial" w:cs="Arial"/>
          <w:szCs w:val="28"/>
          <w:lang w:val="uk-UA" w:eastAsia="zh-CN"/>
        </w:rPr>
        <w:t xml:space="preserve">: </w:t>
      </w:r>
      <w:hyperlink r:id="rId1864" w:history="1">
        <w:r w:rsidRPr="00511005">
          <w:rPr>
            <w:rFonts w:ascii="Arial" w:hAnsi="Arial" w:cs="Arial"/>
            <w:szCs w:val="28"/>
            <w:shd w:val="clear" w:color="auto" w:fill="FFFFFF"/>
            <w:lang w:val="en-US" w:eastAsia="zh-CN"/>
          </w:rPr>
          <w:t>https</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zakon</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rada</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gov</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ua</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laws</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show</w:t>
        </w:r>
        <w:r w:rsidRPr="00511005">
          <w:rPr>
            <w:rFonts w:ascii="Arial" w:hAnsi="Arial" w:cs="Arial"/>
            <w:szCs w:val="28"/>
            <w:shd w:val="clear" w:color="auto" w:fill="FFFFFF"/>
            <w:lang w:eastAsia="zh-CN"/>
          </w:rPr>
          <w:t>/254к/96-вр</w:t>
        </w:r>
      </w:hyperlink>
    </w:p>
    <w:p w14:paraId="45EE3CE9" w14:textId="0EAB1745" w:rsidR="00200E87" w:rsidRPr="00511005" w:rsidRDefault="00200E87" w:rsidP="003F6A5D">
      <w:pPr>
        <w:numPr>
          <w:ilvl w:val="0"/>
          <w:numId w:val="531"/>
        </w:numPr>
        <w:spacing w:line="264" w:lineRule="auto"/>
        <w:contextualSpacing/>
        <w:jc w:val="left"/>
        <w:rPr>
          <w:rFonts w:ascii="Arial" w:hAnsi="Arial" w:cs="Arial"/>
          <w:szCs w:val="28"/>
          <w:lang w:val="uk-UA" w:eastAsia="zh-CN"/>
        </w:rPr>
      </w:pPr>
      <w:r w:rsidRPr="00511005">
        <w:rPr>
          <w:rFonts w:ascii="Arial" w:hAnsi="Arial" w:cs="Arial"/>
          <w:szCs w:val="28"/>
          <w:shd w:val="clear" w:color="auto" w:fill="FFFFFF"/>
          <w:lang w:val="uk-UA" w:eastAsia="zh-CN"/>
        </w:rPr>
        <w:t>Кримінальний кодекс України</w:t>
      </w:r>
      <w:r w:rsidRPr="00511005">
        <w:rPr>
          <w:rFonts w:ascii="Arial" w:hAnsi="Arial" w:cs="Arial"/>
          <w:szCs w:val="28"/>
          <w:shd w:val="clear" w:color="auto" w:fill="FFFFFF"/>
          <w:lang w:val="en-US" w:eastAsia="zh-CN"/>
        </w:rPr>
        <w:t> </w:t>
      </w:r>
      <w:r w:rsidRPr="00511005">
        <w:rPr>
          <w:rFonts w:ascii="Arial" w:hAnsi="Arial" w:cs="Arial"/>
          <w:szCs w:val="28"/>
          <w:shd w:val="clear" w:color="auto" w:fill="FFFFFF"/>
          <w:lang w:val="uk-UA" w:eastAsia="zh-CN"/>
        </w:rPr>
        <w:t>// Відомості Верховної Ради України (ВВР).</w:t>
      </w:r>
      <w:r w:rsidR="007B2628" w:rsidRPr="00511005">
        <w:rPr>
          <w:rFonts w:ascii="Arial" w:hAnsi="Arial" w:cs="Arial"/>
          <w:szCs w:val="28"/>
          <w:shd w:val="clear" w:color="auto" w:fill="FFFFFF"/>
          <w:lang w:val="uk-UA" w:eastAsia="zh-CN"/>
        </w:rPr>
        <w:t xml:space="preserve"> </w:t>
      </w:r>
      <w:r w:rsidRPr="00511005">
        <w:rPr>
          <w:rFonts w:ascii="Arial" w:hAnsi="Arial" w:cs="Arial"/>
          <w:szCs w:val="28"/>
          <w:shd w:val="clear" w:color="auto" w:fill="FFFFFF"/>
          <w:lang w:val="uk-UA" w:eastAsia="zh-CN"/>
        </w:rPr>
        <w:t>2001.</w:t>
      </w:r>
      <w:r w:rsidR="007B2628" w:rsidRPr="00511005">
        <w:rPr>
          <w:rFonts w:ascii="Arial" w:hAnsi="Arial" w:cs="Arial"/>
          <w:szCs w:val="28"/>
          <w:shd w:val="clear" w:color="auto" w:fill="FFFFFF"/>
          <w:lang w:val="uk-UA" w:eastAsia="zh-CN"/>
        </w:rPr>
        <w:t xml:space="preserve"> </w:t>
      </w:r>
      <w:r w:rsidRPr="00511005">
        <w:rPr>
          <w:rFonts w:ascii="Arial" w:hAnsi="Arial" w:cs="Arial"/>
          <w:szCs w:val="28"/>
          <w:shd w:val="clear" w:color="auto" w:fill="FFFFFF"/>
          <w:lang w:val="uk-UA" w:eastAsia="zh-CN"/>
        </w:rPr>
        <w:t>№ 25–26.</w:t>
      </w:r>
      <w:r w:rsidR="007B2628" w:rsidRPr="00511005">
        <w:rPr>
          <w:rFonts w:ascii="Arial" w:hAnsi="Arial" w:cs="Arial"/>
          <w:szCs w:val="28"/>
          <w:shd w:val="clear" w:color="auto" w:fill="FFFFFF"/>
          <w:lang w:val="uk-UA" w:eastAsia="zh-CN"/>
        </w:rPr>
        <w:t xml:space="preserve"> </w:t>
      </w:r>
      <w:r w:rsidRPr="00511005">
        <w:rPr>
          <w:rFonts w:ascii="Arial" w:hAnsi="Arial" w:cs="Arial"/>
          <w:szCs w:val="28"/>
          <w:shd w:val="clear" w:color="auto" w:fill="FFFFFF"/>
          <w:lang w:val="uk-UA" w:eastAsia="zh-CN"/>
        </w:rPr>
        <w:t xml:space="preserve">Ст. 131. </w:t>
      </w:r>
      <w:r w:rsidRPr="00511005">
        <w:rPr>
          <w:rFonts w:ascii="Arial" w:hAnsi="Arial" w:cs="Arial"/>
          <w:szCs w:val="28"/>
          <w:shd w:val="clear" w:color="auto" w:fill="FFFFFF"/>
          <w:lang w:val="en-US" w:eastAsia="zh-CN"/>
        </w:rPr>
        <w:t>URL</w:t>
      </w:r>
      <w:r w:rsidRPr="00511005">
        <w:rPr>
          <w:rFonts w:ascii="Arial" w:hAnsi="Arial" w:cs="Arial"/>
          <w:szCs w:val="28"/>
          <w:shd w:val="clear" w:color="auto" w:fill="FFFFFF"/>
          <w:lang w:val="uk-UA" w:eastAsia="zh-CN"/>
        </w:rPr>
        <w:t xml:space="preserve">: </w:t>
      </w:r>
      <w:hyperlink r:id="rId1865" w:anchor="inbox/_blank" w:tgtFrame="https://mail.google.com/mail/u/0/" w:history="1">
        <w:r w:rsidRPr="00511005">
          <w:rPr>
            <w:rFonts w:ascii="Arial" w:hAnsi="Arial" w:cs="Arial"/>
            <w:szCs w:val="28"/>
            <w:shd w:val="clear" w:color="auto" w:fill="FFFFFF"/>
            <w:lang w:val="en-US" w:eastAsia="zh-CN"/>
          </w:rPr>
          <w:t>https://zakon.rada.gov.ua/laws/show/2341-14</w:t>
        </w:r>
      </w:hyperlink>
    </w:p>
    <w:p w14:paraId="5FA39919" w14:textId="5D8AC182" w:rsidR="00200E87" w:rsidRPr="00511005" w:rsidRDefault="00200E87" w:rsidP="003F6A5D">
      <w:pPr>
        <w:numPr>
          <w:ilvl w:val="0"/>
          <w:numId w:val="531"/>
        </w:numPr>
        <w:spacing w:line="264" w:lineRule="auto"/>
        <w:contextualSpacing/>
        <w:jc w:val="left"/>
        <w:rPr>
          <w:rFonts w:ascii="Arial" w:hAnsi="Arial" w:cs="Arial"/>
          <w:szCs w:val="28"/>
          <w:lang w:val="uk-UA" w:eastAsia="zh-CN"/>
        </w:rPr>
      </w:pPr>
      <w:r w:rsidRPr="00511005">
        <w:rPr>
          <w:rFonts w:ascii="Arial" w:hAnsi="Arial" w:cs="Arial"/>
          <w:szCs w:val="28"/>
          <w:shd w:val="clear" w:color="auto" w:fill="FFFFFF"/>
          <w:lang w:val="uk-UA" w:eastAsia="zh-CN"/>
        </w:rPr>
        <w:t>Закон України</w:t>
      </w:r>
      <w:r w:rsidRPr="00511005">
        <w:rPr>
          <w:rFonts w:ascii="Arial" w:hAnsi="Arial" w:cs="Arial"/>
          <w:szCs w:val="28"/>
          <w:shd w:val="clear" w:color="auto" w:fill="FFFFFF"/>
          <w:lang w:val="en-US" w:eastAsia="zh-CN"/>
        </w:rPr>
        <w:t> </w:t>
      </w:r>
      <w:r w:rsidRPr="00511005">
        <w:rPr>
          <w:rFonts w:ascii="Arial" w:hAnsi="Arial" w:cs="Arial"/>
          <w:szCs w:val="28"/>
          <w:shd w:val="clear" w:color="auto" w:fill="FFFFFF"/>
          <w:lang w:val="uk-UA" w:eastAsia="zh-CN"/>
        </w:rPr>
        <w:t>«Про внесення змін до Кримінального кодексу України щодо посилення відповідальності за мародерство» від 3 березня 2022 року № 2117-</w:t>
      </w:r>
      <w:r w:rsidRPr="00511005">
        <w:rPr>
          <w:rFonts w:ascii="Arial" w:hAnsi="Arial" w:cs="Arial"/>
          <w:szCs w:val="28"/>
          <w:shd w:val="clear" w:color="auto" w:fill="FFFFFF"/>
          <w:lang w:val="en-US" w:eastAsia="zh-CN"/>
        </w:rPr>
        <w:t>IX</w:t>
      </w:r>
      <w:r w:rsidRPr="00511005">
        <w:rPr>
          <w:rFonts w:ascii="Arial" w:hAnsi="Arial" w:cs="Arial"/>
          <w:szCs w:val="28"/>
          <w:shd w:val="clear" w:color="auto" w:fill="FFFFFF"/>
          <w:lang w:val="uk-UA" w:eastAsia="zh-CN"/>
        </w:rPr>
        <w:t xml:space="preserve"> // Відомості Верховної Ради України.</w:t>
      </w:r>
      <w:r w:rsidR="007B2628" w:rsidRPr="00511005">
        <w:rPr>
          <w:rFonts w:ascii="Arial" w:hAnsi="Arial" w:cs="Arial"/>
          <w:szCs w:val="28"/>
          <w:shd w:val="clear" w:color="auto" w:fill="FFFFFF"/>
          <w:lang w:val="uk-UA" w:eastAsia="zh-CN"/>
        </w:rPr>
        <w:t xml:space="preserve"> </w:t>
      </w:r>
      <w:r w:rsidRPr="00511005">
        <w:rPr>
          <w:rFonts w:ascii="Arial" w:hAnsi="Arial" w:cs="Arial"/>
          <w:szCs w:val="28"/>
          <w:shd w:val="clear" w:color="auto" w:fill="FFFFFF"/>
          <w:lang w:val="uk-UA" w:eastAsia="zh-CN"/>
        </w:rPr>
        <w:t>2022.</w:t>
      </w:r>
      <w:r w:rsidR="007B2628" w:rsidRPr="00511005">
        <w:rPr>
          <w:rFonts w:ascii="Arial" w:hAnsi="Arial" w:cs="Arial"/>
          <w:szCs w:val="28"/>
          <w:shd w:val="clear" w:color="auto" w:fill="FFFFFF"/>
          <w:lang w:val="uk-UA" w:eastAsia="zh-CN"/>
        </w:rPr>
        <w:t xml:space="preserve"> </w:t>
      </w:r>
      <w:r w:rsidRPr="00511005">
        <w:rPr>
          <w:rFonts w:ascii="Arial" w:hAnsi="Arial" w:cs="Arial"/>
          <w:szCs w:val="28"/>
          <w:shd w:val="clear" w:color="auto" w:fill="FFFFFF"/>
          <w:lang w:val="uk-UA" w:eastAsia="zh-CN"/>
        </w:rPr>
        <w:t>№ 12. Ст. 85.</w:t>
      </w:r>
    </w:p>
    <w:p w14:paraId="223547D9" w14:textId="77777777" w:rsidR="00200E87" w:rsidRPr="00511005" w:rsidRDefault="00200E87" w:rsidP="003F6A5D">
      <w:pPr>
        <w:numPr>
          <w:ilvl w:val="0"/>
          <w:numId w:val="531"/>
        </w:numPr>
        <w:spacing w:line="264" w:lineRule="auto"/>
        <w:contextualSpacing/>
        <w:jc w:val="left"/>
        <w:rPr>
          <w:rFonts w:ascii="Arial" w:hAnsi="Arial" w:cs="Arial"/>
          <w:szCs w:val="28"/>
          <w:lang w:val="uk-UA" w:eastAsia="zh-CN"/>
        </w:rPr>
      </w:pPr>
      <w:r w:rsidRPr="00511005">
        <w:rPr>
          <w:rFonts w:ascii="Arial" w:hAnsi="Arial" w:cs="Arial"/>
          <w:szCs w:val="28"/>
          <w:shd w:val="clear" w:color="auto" w:fill="FFFFFF"/>
          <w:lang w:eastAsia="zh-CN"/>
        </w:rPr>
        <w:t xml:space="preserve">Про введення воєнного стану в Україні: Указ Президента України від 24 лютого 2022 року № 64/2022. </w:t>
      </w:r>
      <w:r w:rsidRPr="00511005">
        <w:rPr>
          <w:rFonts w:ascii="Arial" w:hAnsi="Arial" w:cs="Arial"/>
          <w:szCs w:val="28"/>
          <w:shd w:val="clear" w:color="auto" w:fill="FFFFFF"/>
          <w:lang w:val="en-US" w:eastAsia="zh-CN"/>
        </w:rPr>
        <w:t>URL: </w:t>
      </w:r>
      <w:hyperlink r:id="rId1866" w:anchor="inbox/_blank" w:tgtFrame="https://mail.google.com/mail/u/0/" w:history="1">
        <w:r w:rsidRPr="00511005">
          <w:rPr>
            <w:rFonts w:ascii="Arial" w:hAnsi="Arial" w:cs="Arial"/>
            <w:szCs w:val="28"/>
            <w:shd w:val="clear" w:color="auto" w:fill="FFFFFF"/>
            <w:lang w:val="en-US" w:eastAsia="zh-CN"/>
          </w:rPr>
          <w:t>https://zakon.rada.gov.ua/laws/show/64/2022</w:t>
        </w:r>
      </w:hyperlink>
    </w:p>
    <w:p w14:paraId="71121BA8" w14:textId="61A507A9" w:rsidR="00200E87" w:rsidRPr="00511005" w:rsidRDefault="00200E87" w:rsidP="003F6A5D">
      <w:pPr>
        <w:numPr>
          <w:ilvl w:val="0"/>
          <w:numId w:val="531"/>
        </w:numPr>
        <w:spacing w:line="264" w:lineRule="auto"/>
        <w:contextualSpacing/>
        <w:jc w:val="left"/>
        <w:rPr>
          <w:rFonts w:ascii="Arial" w:hAnsi="Arial" w:cs="Arial"/>
          <w:szCs w:val="28"/>
          <w:lang w:val="uk-UA" w:eastAsia="zh-CN"/>
        </w:rPr>
      </w:pPr>
      <w:r w:rsidRPr="00511005">
        <w:rPr>
          <w:rFonts w:ascii="Arial" w:hAnsi="Arial" w:cs="Arial"/>
          <w:szCs w:val="28"/>
          <w:shd w:val="clear" w:color="auto" w:fill="FFFFFF"/>
          <w:lang w:eastAsia="zh-CN"/>
        </w:rPr>
        <w:t>Закон України «Про правовий режим воєнного стану»</w:t>
      </w:r>
      <w:r w:rsidRPr="00511005">
        <w:rPr>
          <w:rFonts w:ascii="Arial" w:hAnsi="Arial" w:cs="Arial"/>
          <w:szCs w:val="28"/>
          <w:shd w:val="clear" w:color="auto" w:fill="FFFFFF"/>
          <w:lang w:val="en-US" w:eastAsia="zh-CN"/>
        </w:rPr>
        <w:t> </w:t>
      </w:r>
      <w:r w:rsidRPr="00511005">
        <w:rPr>
          <w:rFonts w:ascii="Arial" w:hAnsi="Arial" w:cs="Arial"/>
          <w:szCs w:val="28"/>
          <w:shd w:val="clear" w:color="auto" w:fill="FFFFFF"/>
          <w:lang w:eastAsia="zh-CN"/>
        </w:rPr>
        <w:t xml:space="preserve">// Відомості </w:t>
      </w:r>
      <w:proofErr w:type="gramStart"/>
      <w:r w:rsidRPr="00511005">
        <w:rPr>
          <w:rFonts w:ascii="Arial" w:hAnsi="Arial" w:cs="Arial"/>
          <w:szCs w:val="28"/>
          <w:shd w:val="clear" w:color="auto" w:fill="FFFFFF"/>
          <w:lang w:eastAsia="zh-CN"/>
        </w:rPr>
        <w:t>Верховної</w:t>
      </w:r>
      <w:proofErr w:type="gramEnd"/>
      <w:r w:rsidRPr="00511005">
        <w:rPr>
          <w:rFonts w:ascii="Arial" w:hAnsi="Arial" w:cs="Arial"/>
          <w:szCs w:val="28"/>
          <w:shd w:val="clear" w:color="auto" w:fill="FFFFFF"/>
          <w:lang w:eastAsia="zh-CN"/>
        </w:rPr>
        <w:t xml:space="preserve"> Ради України (ВВР).</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2000.</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 23.</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Ст. 176.</w:t>
      </w:r>
      <w:r w:rsidRPr="00511005">
        <w:rPr>
          <w:rFonts w:ascii="Arial" w:hAnsi="Arial" w:cs="Arial"/>
          <w:szCs w:val="28"/>
          <w:shd w:val="clear" w:color="auto" w:fill="FFFFFF"/>
          <w:lang w:val="uk-UA" w:eastAsia="zh-CN"/>
        </w:rPr>
        <w:t xml:space="preserve"> </w:t>
      </w:r>
      <w:r w:rsidRPr="00511005">
        <w:rPr>
          <w:rFonts w:ascii="Arial" w:hAnsi="Arial" w:cs="Arial"/>
          <w:szCs w:val="28"/>
          <w:shd w:val="clear" w:color="auto" w:fill="FFFFFF"/>
          <w:lang w:val="en-US" w:eastAsia="zh-CN"/>
        </w:rPr>
        <w:t>URL</w:t>
      </w:r>
      <w:r w:rsidRPr="00511005">
        <w:rPr>
          <w:rFonts w:ascii="Arial" w:hAnsi="Arial" w:cs="Arial"/>
          <w:szCs w:val="28"/>
          <w:shd w:val="clear" w:color="auto" w:fill="FFFFFF"/>
          <w:lang w:val="uk-UA" w:eastAsia="zh-CN"/>
        </w:rPr>
        <w:t xml:space="preserve">: </w:t>
      </w:r>
      <w:hyperlink r:id="rId1867" w:anchor="inbox/_blank" w:tgtFrame="https://mail.google.com/mail/u/0/" w:history="1">
        <w:r w:rsidRPr="00511005">
          <w:rPr>
            <w:rFonts w:ascii="Arial" w:hAnsi="Arial" w:cs="Arial"/>
            <w:szCs w:val="28"/>
            <w:shd w:val="clear" w:color="auto" w:fill="FFFFFF"/>
            <w:lang w:val="en-US" w:eastAsia="zh-CN"/>
          </w:rPr>
          <w:t>https://zakon.rada.gov.ua/laws/show/389-14</w:t>
        </w:r>
      </w:hyperlink>
    </w:p>
    <w:p w14:paraId="5EBBF557" w14:textId="069B686F" w:rsidR="00200E87" w:rsidRPr="00511005" w:rsidRDefault="00200E87" w:rsidP="003F6A5D">
      <w:pPr>
        <w:numPr>
          <w:ilvl w:val="0"/>
          <w:numId w:val="531"/>
        </w:numPr>
        <w:spacing w:line="264" w:lineRule="auto"/>
        <w:contextualSpacing/>
        <w:jc w:val="left"/>
        <w:rPr>
          <w:rFonts w:ascii="Arial" w:hAnsi="Arial" w:cs="Arial"/>
          <w:szCs w:val="28"/>
          <w:lang w:val="uk-UA" w:eastAsia="zh-CN"/>
        </w:rPr>
      </w:pPr>
      <w:r w:rsidRPr="00511005">
        <w:rPr>
          <w:rFonts w:ascii="Arial" w:hAnsi="Arial" w:cs="Arial"/>
          <w:szCs w:val="28"/>
          <w:shd w:val="clear" w:color="auto" w:fill="FFFFFF"/>
          <w:lang w:eastAsia="zh-CN"/>
        </w:rPr>
        <w:t>Постанова Пленуму Верховного Суду України</w:t>
      </w:r>
      <w:r w:rsidRPr="00511005">
        <w:rPr>
          <w:rFonts w:ascii="Arial" w:hAnsi="Arial" w:cs="Arial"/>
          <w:szCs w:val="28"/>
          <w:shd w:val="clear" w:color="auto" w:fill="FFFFFF"/>
          <w:lang w:val="en-US" w:eastAsia="zh-CN"/>
        </w:rPr>
        <w:t> </w:t>
      </w:r>
      <w:r w:rsidRPr="00511005">
        <w:rPr>
          <w:rFonts w:ascii="Arial" w:hAnsi="Arial" w:cs="Arial"/>
          <w:szCs w:val="28"/>
          <w:shd w:val="clear" w:color="auto" w:fill="FFFFFF"/>
          <w:lang w:eastAsia="zh-CN"/>
        </w:rPr>
        <w:t>№ 10 від 6 листопада 2009 року «Про судову практику у справах про злочини проти власності» // Офіційний вісник України.</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2009.</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 87.</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Ст. 2930.</w:t>
      </w:r>
      <w:r w:rsidRPr="00511005">
        <w:rPr>
          <w:rFonts w:ascii="Arial" w:hAnsi="Arial" w:cs="Arial"/>
          <w:szCs w:val="28"/>
          <w:lang w:val="uk-UA" w:eastAsia="zh-CN"/>
        </w:rPr>
        <w:t xml:space="preserve"> </w:t>
      </w:r>
    </w:p>
    <w:p w14:paraId="58EBDB30" w14:textId="77777777" w:rsidR="007B2628" w:rsidRPr="00511005" w:rsidRDefault="00200E87" w:rsidP="003F6A5D">
      <w:pPr>
        <w:numPr>
          <w:ilvl w:val="0"/>
          <w:numId w:val="531"/>
        </w:numPr>
        <w:spacing w:line="264" w:lineRule="auto"/>
        <w:contextualSpacing/>
        <w:jc w:val="left"/>
        <w:rPr>
          <w:rFonts w:ascii="Arial" w:hAnsi="Arial" w:cs="Arial"/>
          <w:szCs w:val="28"/>
          <w:lang w:val="uk-UA" w:eastAsia="zh-CN"/>
        </w:rPr>
      </w:pPr>
      <w:r w:rsidRPr="00511005">
        <w:rPr>
          <w:rFonts w:ascii="Arial" w:hAnsi="Arial" w:cs="Arial"/>
          <w:szCs w:val="28"/>
          <w:shd w:val="clear" w:color="auto" w:fill="FFFFFF"/>
          <w:lang w:eastAsia="zh-CN"/>
        </w:rPr>
        <w:t>Сущенко О.В. Кваліфікація крадіжки за обтяжуючих обставин: теоретичні та практичні аспекти. Юридичний вісник.</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2022.</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 3.</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С. 45–51.</w:t>
      </w:r>
    </w:p>
    <w:p w14:paraId="3C1EB5EA" w14:textId="5DD8957E" w:rsidR="00200E87" w:rsidRPr="00511005" w:rsidRDefault="00200E87" w:rsidP="003F6A5D">
      <w:pPr>
        <w:numPr>
          <w:ilvl w:val="0"/>
          <w:numId w:val="531"/>
        </w:numPr>
        <w:spacing w:line="264" w:lineRule="auto"/>
        <w:contextualSpacing/>
        <w:jc w:val="left"/>
        <w:rPr>
          <w:rFonts w:ascii="Arial" w:hAnsi="Arial" w:cs="Arial"/>
          <w:szCs w:val="28"/>
          <w:lang w:val="uk-UA" w:eastAsia="zh-CN"/>
        </w:rPr>
      </w:pPr>
      <w:r w:rsidRPr="00511005">
        <w:rPr>
          <w:rFonts w:ascii="Arial" w:hAnsi="Arial" w:cs="Arial"/>
          <w:szCs w:val="28"/>
          <w:shd w:val="clear" w:color="auto" w:fill="FFFFFF"/>
          <w:lang w:eastAsia="zh-CN"/>
        </w:rPr>
        <w:t>Крадіжка під час війни: короткий огляд судової практики</w:t>
      </w:r>
      <w:r w:rsidRPr="00511005">
        <w:rPr>
          <w:rFonts w:ascii="Arial" w:hAnsi="Arial" w:cs="Arial"/>
          <w:szCs w:val="28"/>
          <w:shd w:val="clear" w:color="auto" w:fill="FFFFFF"/>
          <w:lang w:val="uk-UA" w:eastAsia="zh-CN"/>
        </w:rPr>
        <w:t>.</w:t>
      </w:r>
      <w:r w:rsidRPr="00511005">
        <w:rPr>
          <w:rFonts w:ascii="Arial" w:hAnsi="Arial" w:cs="Arial"/>
          <w:szCs w:val="28"/>
          <w:shd w:val="clear" w:color="auto" w:fill="FFFFFF"/>
          <w:lang w:eastAsia="zh-CN"/>
        </w:rPr>
        <w:t xml:space="preserve"> Портал «Протокол».</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 xml:space="preserve">2023. </w:t>
      </w:r>
      <w:r w:rsidRPr="00511005">
        <w:rPr>
          <w:rFonts w:ascii="Arial" w:hAnsi="Arial" w:cs="Arial"/>
          <w:szCs w:val="28"/>
          <w:lang w:val="en-US" w:eastAsia="zh-CN"/>
        </w:rPr>
        <w:t>URL</w:t>
      </w:r>
      <w:r w:rsidRPr="00511005">
        <w:rPr>
          <w:rFonts w:ascii="Arial" w:hAnsi="Arial" w:cs="Arial"/>
          <w:szCs w:val="28"/>
          <w:lang w:val="uk-UA" w:eastAsia="zh-CN"/>
        </w:rPr>
        <w:t xml:space="preserve">: </w:t>
      </w:r>
      <w:hyperlink r:id="rId1868" w:history="1">
        <w:r w:rsidRPr="00511005">
          <w:rPr>
            <w:rFonts w:ascii="Arial" w:hAnsi="Arial" w:cs="Arial"/>
            <w:szCs w:val="28"/>
            <w:shd w:val="clear" w:color="auto" w:fill="FFFFFF"/>
            <w:lang w:val="en-US" w:eastAsia="zh-CN"/>
          </w:rPr>
          <w:t>https</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protocol</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ua</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ua</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kradigka</w:t>
        </w:r>
        <w:r w:rsidRPr="00511005">
          <w:rPr>
            <w:rFonts w:ascii="Arial" w:hAnsi="Arial" w:cs="Arial"/>
            <w:szCs w:val="28"/>
            <w:shd w:val="clear" w:color="auto" w:fill="FFFFFF"/>
            <w:lang w:eastAsia="zh-CN"/>
          </w:rPr>
          <w:t>_</w:t>
        </w:r>
        <w:r w:rsidRPr="00511005">
          <w:rPr>
            <w:rFonts w:ascii="Arial" w:hAnsi="Arial" w:cs="Arial"/>
            <w:szCs w:val="28"/>
            <w:shd w:val="clear" w:color="auto" w:fill="FFFFFF"/>
            <w:lang w:val="en-US" w:eastAsia="zh-CN"/>
          </w:rPr>
          <w:t>pid</w:t>
        </w:r>
        <w:r w:rsidRPr="00511005">
          <w:rPr>
            <w:rFonts w:ascii="Arial" w:hAnsi="Arial" w:cs="Arial"/>
            <w:szCs w:val="28"/>
            <w:shd w:val="clear" w:color="auto" w:fill="FFFFFF"/>
            <w:lang w:eastAsia="zh-CN"/>
          </w:rPr>
          <w:t>_</w:t>
        </w:r>
        <w:r w:rsidRPr="00511005">
          <w:rPr>
            <w:rFonts w:ascii="Arial" w:hAnsi="Arial" w:cs="Arial"/>
            <w:szCs w:val="28"/>
            <w:shd w:val="clear" w:color="auto" w:fill="FFFFFF"/>
            <w:lang w:val="en-US" w:eastAsia="zh-CN"/>
          </w:rPr>
          <w:t>chas</w:t>
        </w:r>
        <w:r w:rsidRPr="00511005">
          <w:rPr>
            <w:rFonts w:ascii="Arial" w:hAnsi="Arial" w:cs="Arial"/>
            <w:szCs w:val="28"/>
            <w:shd w:val="clear" w:color="auto" w:fill="FFFFFF"/>
            <w:lang w:eastAsia="zh-CN"/>
          </w:rPr>
          <w:t>_</w:t>
        </w:r>
        <w:r w:rsidRPr="00511005">
          <w:rPr>
            <w:rFonts w:ascii="Arial" w:hAnsi="Arial" w:cs="Arial"/>
            <w:szCs w:val="28"/>
            <w:shd w:val="clear" w:color="auto" w:fill="FFFFFF"/>
            <w:lang w:val="en-US" w:eastAsia="zh-CN"/>
          </w:rPr>
          <w:t>viyni</w:t>
        </w:r>
        <w:r w:rsidRPr="00511005">
          <w:rPr>
            <w:rFonts w:ascii="Arial" w:hAnsi="Arial" w:cs="Arial"/>
            <w:szCs w:val="28"/>
            <w:shd w:val="clear" w:color="auto" w:fill="FFFFFF"/>
            <w:lang w:eastAsia="zh-CN"/>
          </w:rPr>
          <w:t>_</w:t>
        </w:r>
        <w:r w:rsidRPr="00511005">
          <w:rPr>
            <w:rFonts w:ascii="Arial" w:hAnsi="Arial" w:cs="Arial"/>
            <w:szCs w:val="28"/>
            <w:shd w:val="clear" w:color="auto" w:fill="FFFFFF"/>
            <w:lang w:val="en-US" w:eastAsia="zh-CN"/>
          </w:rPr>
          <w:t>korotkiy</w:t>
        </w:r>
        <w:r w:rsidRPr="00511005">
          <w:rPr>
            <w:rFonts w:ascii="Arial" w:hAnsi="Arial" w:cs="Arial"/>
            <w:szCs w:val="28"/>
            <w:shd w:val="clear" w:color="auto" w:fill="FFFFFF"/>
            <w:lang w:eastAsia="zh-CN"/>
          </w:rPr>
          <w:t>_</w:t>
        </w:r>
        <w:r w:rsidRPr="00511005">
          <w:rPr>
            <w:rFonts w:ascii="Arial" w:hAnsi="Arial" w:cs="Arial"/>
            <w:szCs w:val="28"/>
            <w:shd w:val="clear" w:color="auto" w:fill="FFFFFF"/>
            <w:lang w:val="en-US" w:eastAsia="zh-CN"/>
          </w:rPr>
          <w:t>oglyad</w:t>
        </w:r>
        <w:r w:rsidRPr="00511005">
          <w:rPr>
            <w:rFonts w:ascii="Arial" w:hAnsi="Arial" w:cs="Arial"/>
            <w:szCs w:val="28"/>
            <w:shd w:val="clear" w:color="auto" w:fill="FFFFFF"/>
            <w:lang w:eastAsia="zh-CN"/>
          </w:rPr>
          <w:t>_</w:t>
        </w:r>
        <w:r w:rsidRPr="00511005">
          <w:rPr>
            <w:rFonts w:ascii="Arial" w:hAnsi="Arial" w:cs="Arial"/>
            <w:szCs w:val="28"/>
            <w:shd w:val="clear" w:color="auto" w:fill="FFFFFF"/>
            <w:lang w:val="en-US" w:eastAsia="zh-CN"/>
          </w:rPr>
          <w:t>sudovoi</w:t>
        </w:r>
        <w:r w:rsidRPr="00511005">
          <w:rPr>
            <w:rFonts w:ascii="Arial" w:hAnsi="Arial" w:cs="Arial"/>
            <w:szCs w:val="28"/>
            <w:shd w:val="clear" w:color="auto" w:fill="FFFFFF"/>
            <w:lang w:eastAsia="zh-CN"/>
          </w:rPr>
          <w:t>_</w:t>
        </w:r>
        <w:r w:rsidRPr="00511005">
          <w:rPr>
            <w:rFonts w:ascii="Arial" w:hAnsi="Arial" w:cs="Arial"/>
            <w:szCs w:val="28"/>
            <w:shd w:val="clear" w:color="auto" w:fill="FFFFFF"/>
            <w:lang w:val="en-US" w:eastAsia="zh-CN"/>
          </w:rPr>
          <w:t>praktiki</w:t>
        </w:r>
        <w:r w:rsidRPr="00511005">
          <w:rPr>
            <w:rFonts w:ascii="Arial" w:hAnsi="Arial" w:cs="Arial"/>
            <w:szCs w:val="28"/>
            <w:shd w:val="clear" w:color="auto" w:fill="FFFFFF"/>
            <w:lang w:eastAsia="zh-CN"/>
          </w:rPr>
          <w:t>/</w:t>
        </w:r>
      </w:hyperlink>
    </w:p>
    <w:p w14:paraId="0135A02A" w14:textId="0D13A2FB" w:rsidR="00200E87" w:rsidRPr="00511005" w:rsidRDefault="00200E87" w:rsidP="003F6A5D">
      <w:pPr>
        <w:numPr>
          <w:ilvl w:val="0"/>
          <w:numId w:val="531"/>
        </w:numPr>
        <w:spacing w:line="264" w:lineRule="auto"/>
        <w:contextualSpacing/>
        <w:jc w:val="left"/>
        <w:rPr>
          <w:rFonts w:ascii="Arial" w:hAnsi="Arial" w:cs="Arial"/>
          <w:szCs w:val="28"/>
          <w:lang w:val="uk-UA" w:eastAsia="zh-CN"/>
        </w:rPr>
      </w:pPr>
      <w:r w:rsidRPr="00511005">
        <w:rPr>
          <w:rFonts w:ascii="Arial" w:hAnsi="Arial" w:cs="Arial"/>
          <w:szCs w:val="28"/>
          <w:shd w:val="clear" w:color="auto" w:fill="FFFFFF"/>
          <w:lang w:eastAsia="zh-CN"/>
        </w:rPr>
        <w:t>Воєнний стан як обставина, яка впливає на кваліфікацію злочину та призначення покарання</w:t>
      </w:r>
      <w:r w:rsidRPr="00511005">
        <w:rPr>
          <w:rFonts w:ascii="Arial" w:hAnsi="Arial" w:cs="Arial"/>
          <w:szCs w:val="28"/>
          <w:shd w:val="clear" w:color="auto" w:fill="FFFFFF"/>
          <w:lang w:val="uk-UA" w:eastAsia="zh-CN"/>
        </w:rPr>
        <w:t xml:space="preserve">. </w:t>
      </w:r>
      <w:r w:rsidRPr="00511005">
        <w:rPr>
          <w:rFonts w:ascii="Arial" w:hAnsi="Arial" w:cs="Arial"/>
          <w:szCs w:val="28"/>
          <w:shd w:val="clear" w:color="auto" w:fill="FFFFFF"/>
          <w:lang w:eastAsia="zh-CN"/>
        </w:rPr>
        <w:t>Портал «Право.</w:t>
      </w:r>
      <w:r w:rsidRPr="00511005">
        <w:rPr>
          <w:rFonts w:ascii="Arial" w:hAnsi="Arial" w:cs="Arial"/>
          <w:szCs w:val="28"/>
          <w:shd w:val="clear" w:color="auto" w:fill="FFFFFF"/>
          <w:lang w:val="en-US" w:eastAsia="zh-CN"/>
        </w:rPr>
        <w:t>ua</w:t>
      </w:r>
      <w:r w:rsidRPr="00511005">
        <w:rPr>
          <w:rFonts w:ascii="Arial" w:hAnsi="Arial" w:cs="Arial"/>
          <w:szCs w:val="28"/>
          <w:shd w:val="clear" w:color="auto" w:fill="FFFFFF"/>
          <w:lang w:eastAsia="zh-CN"/>
        </w:rPr>
        <w:t>».</w:t>
      </w:r>
      <w:r w:rsidR="007B2628" w:rsidRPr="00511005">
        <w:rPr>
          <w:rFonts w:ascii="Arial" w:hAnsi="Arial" w:cs="Arial"/>
          <w:szCs w:val="28"/>
          <w:shd w:val="clear" w:color="auto" w:fill="FFFFFF"/>
          <w:lang w:eastAsia="zh-CN"/>
        </w:rPr>
        <w:t xml:space="preserve"> </w:t>
      </w:r>
      <w:r w:rsidRPr="00511005">
        <w:rPr>
          <w:rFonts w:ascii="Arial" w:hAnsi="Arial" w:cs="Arial"/>
          <w:szCs w:val="28"/>
          <w:lang w:val="en-US" w:eastAsia="zh-CN"/>
        </w:rPr>
        <w:t>URL</w:t>
      </w:r>
      <w:r w:rsidRPr="00511005">
        <w:rPr>
          <w:rFonts w:ascii="Arial" w:hAnsi="Arial" w:cs="Arial"/>
          <w:szCs w:val="28"/>
          <w:lang w:val="uk-UA" w:eastAsia="zh-CN"/>
        </w:rPr>
        <w:t xml:space="preserve">: </w:t>
      </w:r>
      <w:hyperlink r:id="rId1869" w:anchor="inbox/_blank" w:tgtFrame="https://mail.google.com/mail/u/0/" w:history="1">
        <w:r w:rsidRPr="00511005">
          <w:rPr>
            <w:rFonts w:ascii="Arial" w:hAnsi="Arial" w:cs="Arial"/>
            <w:szCs w:val="28"/>
            <w:shd w:val="clear" w:color="auto" w:fill="FFFFFF"/>
            <w:lang w:val="en-US" w:eastAsia="zh-CN"/>
          </w:rPr>
          <w:t>https</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pravo</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ua</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voiennyi</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stan</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iak</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obstavyna</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iaka</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vplyvaie</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na</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kvalifikatsiiu</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zlochynu</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ta</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pryznachennia</w:t>
        </w:r>
        <w:r w:rsidRPr="00511005">
          <w:rPr>
            <w:rFonts w:ascii="Arial" w:hAnsi="Arial" w:cs="Arial"/>
            <w:szCs w:val="28"/>
            <w:shd w:val="clear" w:color="auto" w:fill="FFFFFF"/>
            <w:lang w:eastAsia="zh-CN"/>
          </w:rPr>
          <w:t>-</w:t>
        </w:r>
        <w:r w:rsidRPr="00511005">
          <w:rPr>
            <w:rFonts w:ascii="Arial" w:hAnsi="Arial" w:cs="Arial"/>
            <w:szCs w:val="28"/>
            <w:shd w:val="clear" w:color="auto" w:fill="FFFFFF"/>
            <w:lang w:val="en-US" w:eastAsia="zh-CN"/>
          </w:rPr>
          <w:t>pokarannia</w:t>
        </w:r>
        <w:r w:rsidRPr="00511005">
          <w:rPr>
            <w:rFonts w:ascii="Arial" w:hAnsi="Arial" w:cs="Arial"/>
            <w:szCs w:val="28"/>
            <w:shd w:val="clear" w:color="auto" w:fill="FFFFFF"/>
            <w:lang w:eastAsia="zh-CN"/>
          </w:rPr>
          <w:t>/</w:t>
        </w:r>
      </w:hyperlink>
    </w:p>
    <w:p w14:paraId="014E09AF" w14:textId="4E9B1B34" w:rsidR="00200E87" w:rsidRPr="00511005" w:rsidRDefault="00200E87" w:rsidP="003F6A5D">
      <w:pPr>
        <w:numPr>
          <w:ilvl w:val="0"/>
          <w:numId w:val="531"/>
        </w:numPr>
        <w:spacing w:line="264" w:lineRule="auto"/>
        <w:contextualSpacing/>
        <w:jc w:val="left"/>
        <w:rPr>
          <w:rFonts w:ascii="Arial" w:hAnsi="Arial" w:cs="Arial"/>
          <w:szCs w:val="28"/>
          <w:lang w:val="uk-UA" w:eastAsia="zh-CN"/>
        </w:rPr>
      </w:pPr>
      <w:r w:rsidRPr="00511005">
        <w:rPr>
          <w:rFonts w:ascii="Arial" w:hAnsi="Arial" w:cs="Arial"/>
          <w:szCs w:val="28"/>
          <w:shd w:val="clear" w:color="auto" w:fill="FFFFFF"/>
          <w:lang w:eastAsia="zh-CN"/>
        </w:rPr>
        <w:lastRenderedPageBreak/>
        <w:t>Острогляд О.</w:t>
      </w:r>
      <w:r w:rsidRPr="00511005">
        <w:rPr>
          <w:rFonts w:ascii="Arial" w:hAnsi="Arial" w:cs="Arial"/>
          <w:szCs w:val="28"/>
          <w:shd w:val="clear" w:color="auto" w:fill="FFFFFF"/>
          <w:lang w:val="en-US" w:eastAsia="zh-CN"/>
        </w:rPr>
        <w:t> </w:t>
      </w:r>
      <w:r w:rsidRPr="00511005">
        <w:rPr>
          <w:rFonts w:ascii="Arial" w:hAnsi="Arial" w:cs="Arial"/>
          <w:szCs w:val="28"/>
          <w:shd w:val="clear" w:color="auto" w:fill="FFFFFF"/>
          <w:lang w:eastAsia="zh-CN"/>
        </w:rPr>
        <w:t>Юридична відповідальність за крадіжку в умовах воєнного стану. Вісник Івано-Франківського університету права імені Короля Данила.</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2024.</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 12.</w:t>
      </w:r>
      <w:r w:rsidR="007B2628" w:rsidRPr="00511005">
        <w:rPr>
          <w:rFonts w:ascii="Arial" w:hAnsi="Arial" w:cs="Arial"/>
          <w:szCs w:val="28"/>
          <w:shd w:val="clear" w:color="auto" w:fill="FFFFFF"/>
          <w:lang w:eastAsia="zh-CN"/>
        </w:rPr>
        <w:t xml:space="preserve"> </w:t>
      </w:r>
      <w:r w:rsidRPr="00511005">
        <w:rPr>
          <w:rFonts w:ascii="Arial" w:hAnsi="Arial" w:cs="Arial"/>
          <w:szCs w:val="28"/>
          <w:shd w:val="clear" w:color="auto" w:fill="FFFFFF"/>
          <w:lang w:eastAsia="zh-CN"/>
        </w:rPr>
        <w:t>С. 112–118.</w:t>
      </w:r>
    </w:p>
    <w:p w14:paraId="29D62850" w14:textId="77777777" w:rsidR="00200E87" w:rsidRPr="00511005" w:rsidRDefault="00200E87" w:rsidP="003A292D">
      <w:pPr>
        <w:spacing w:line="264" w:lineRule="auto"/>
        <w:ind w:firstLine="0"/>
        <w:jc w:val="left"/>
        <w:rPr>
          <w:rFonts w:ascii="Arial" w:hAnsi="Arial" w:cs="Arial"/>
          <w:b/>
          <w:bCs/>
          <w:i/>
          <w:iCs/>
          <w:szCs w:val="28"/>
          <w:lang w:val="uk-UA" w:eastAsia="zh-CN"/>
        </w:rPr>
      </w:pPr>
    </w:p>
    <w:p w14:paraId="17D54AB5" w14:textId="0BD855B0" w:rsidR="00200E87" w:rsidRPr="00511005" w:rsidRDefault="007B2628" w:rsidP="003A292D">
      <w:pPr>
        <w:spacing w:line="264" w:lineRule="auto"/>
        <w:ind w:firstLine="0"/>
        <w:jc w:val="left"/>
        <w:rPr>
          <w:rFonts w:ascii="Arial" w:hAnsi="Arial" w:cs="Arial"/>
          <w:bCs/>
          <w:iCs/>
          <w:szCs w:val="28"/>
          <w:lang w:val="uk-UA" w:eastAsia="zh-CN"/>
        </w:rPr>
      </w:pPr>
      <w:r w:rsidRPr="00511005">
        <w:rPr>
          <w:rFonts w:ascii="Arial" w:hAnsi="Arial" w:cs="Arial"/>
          <w:b/>
          <w:bCs/>
          <w:i/>
          <w:iCs/>
          <w:szCs w:val="28"/>
          <w:lang w:val="uk-UA" w:eastAsia="zh-CN"/>
        </w:rPr>
        <w:t xml:space="preserve">Ключові слова: </w:t>
      </w:r>
      <w:r w:rsidR="00200E87" w:rsidRPr="00511005">
        <w:rPr>
          <w:rFonts w:ascii="Arial" w:hAnsi="Arial" w:cs="Arial"/>
          <w:bCs/>
          <w:iCs/>
          <w:szCs w:val="28"/>
          <w:lang w:val="uk-UA" w:eastAsia="zh-CN"/>
        </w:rPr>
        <w:t>правових захист, кримінальне правопорушення, воєнний стан, крадіжка, покарання.</w:t>
      </w:r>
    </w:p>
    <w:p w14:paraId="6C9FD170" w14:textId="0B83A09D" w:rsidR="00200E87" w:rsidRPr="00511005" w:rsidRDefault="007B2628" w:rsidP="003A292D">
      <w:pPr>
        <w:spacing w:line="264" w:lineRule="auto"/>
        <w:ind w:firstLine="0"/>
        <w:jc w:val="left"/>
        <w:rPr>
          <w:rFonts w:ascii="Arial" w:hAnsi="Arial" w:cs="Arial"/>
          <w:szCs w:val="28"/>
          <w:shd w:val="clear" w:color="auto" w:fill="F7F7F7"/>
          <w:lang w:val="en-US" w:eastAsia="zh-CN"/>
        </w:rPr>
      </w:pPr>
      <w:r w:rsidRPr="00511005">
        <w:rPr>
          <w:rFonts w:ascii="Arial" w:hAnsi="Arial" w:cs="Arial"/>
          <w:b/>
          <w:i/>
          <w:szCs w:val="28"/>
          <w:shd w:val="clear" w:color="auto" w:fill="F7F7F7"/>
          <w:lang w:val="en-US" w:eastAsia="zh-CN"/>
        </w:rPr>
        <w:t xml:space="preserve">Key words: </w:t>
      </w:r>
      <w:r w:rsidR="00200E87" w:rsidRPr="00511005">
        <w:rPr>
          <w:rFonts w:ascii="Arial" w:hAnsi="Arial" w:cs="Arial"/>
          <w:szCs w:val="28"/>
          <w:shd w:val="clear" w:color="auto" w:fill="F7F7F7"/>
          <w:lang w:val="en-US" w:eastAsia="zh-CN"/>
        </w:rPr>
        <w:t>legal protection, criminal offense, state of war, theft, punishment.</w:t>
      </w:r>
    </w:p>
    <w:p w14:paraId="4A32A96A" w14:textId="77777777" w:rsidR="00200E87" w:rsidRPr="00511005" w:rsidRDefault="00200E87" w:rsidP="003A292D">
      <w:pPr>
        <w:spacing w:line="264" w:lineRule="auto"/>
        <w:ind w:firstLine="0"/>
        <w:jc w:val="left"/>
        <w:rPr>
          <w:rFonts w:ascii="Arial" w:hAnsi="Arial" w:cs="Arial"/>
          <w:b/>
          <w:bCs/>
          <w:i/>
          <w:iCs/>
          <w:szCs w:val="28"/>
          <w:lang w:val="uk-UA" w:eastAsia="zh-CN"/>
        </w:rPr>
      </w:pPr>
    </w:p>
    <w:p w14:paraId="149A2326" w14:textId="553AE048" w:rsidR="00200E87" w:rsidRPr="00511005" w:rsidRDefault="007B2628" w:rsidP="003A292D">
      <w:pPr>
        <w:spacing w:line="264" w:lineRule="auto"/>
        <w:ind w:firstLine="0"/>
        <w:jc w:val="left"/>
        <w:rPr>
          <w:rFonts w:ascii="Arial" w:hAnsi="Arial" w:cs="Arial"/>
          <w:bCs/>
          <w:i/>
          <w:iCs/>
          <w:szCs w:val="28"/>
          <w:lang w:val="uk-UA" w:eastAsia="zh-CN"/>
        </w:rPr>
      </w:pPr>
      <w:r w:rsidRPr="00511005">
        <w:rPr>
          <w:rFonts w:ascii="Arial" w:hAnsi="Arial" w:cs="Arial"/>
          <w:b/>
          <w:bCs/>
          <w:i/>
          <w:iCs/>
          <w:szCs w:val="28"/>
          <w:lang w:val="uk-UA" w:eastAsia="zh-CN"/>
        </w:rPr>
        <w:t xml:space="preserve">Науковий керівник: </w:t>
      </w:r>
      <w:r w:rsidR="00200E87" w:rsidRPr="00511005">
        <w:rPr>
          <w:rFonts w:ascii="Arial" w:hAnsi="Arial" w:cs="Arial"/>
          <w:bCs/>
          <w:i/>
          <w:iCs/>
          <w:szCs w:val="28"/>
          <w:lang w:val="uk-UA" w:eastAsia="zh-CN"/>
        </w:rPr>
        <w:t>д.ю.н., доцент Степаненко О.В.</w:t>
      </w:r>
    </w:p>
    <w:p w14:paraId="784321E6" w14:textId="77777777" w:rsidR="00200E87" w:rsidRPr="00511005" w:rsidRDefault="00200E87" w:rsidP="003A292D">
      <w:pPr>
        <w:spacing w:line="264" w:lineRule="auto"/>
        <w:ind w:firstLine="0"/>
        <w:jc w:val="left"/>
        <w:rPr>
          <w:rFonts w:ascii="Arial" w:hAnsi="Arial" w:cs="Arial"/>
          <w:b/>
          <w:bCs/>
          <w:i/>
          <w:iCs/>
          <w:szCs w:val="28"/>
          <w:lang w:val="uk-UA" w:eastAsia="zh-CN"/>
        </w:rPr>
      </w:pPr>
    </w:p>
    <w:p w14:paraId="444B6816" w14:textId="77777777" w:rsidR="00200E87" w:rsidRPr="00511005" w:rsidRDefault="00200E87" w:rsidP="003A292D">
      <w:pPr>
        <w:spacing w:line="264" w:lineRule="auto"/>
        <w:ind w:firstLine="0"/>
        <w:jc w:val="center"/>
        <w:rPr>
          <w:rFonts w:ascii="Arial" w:eastAsia="Calibri" w:hAnsi="Arial" w:cs="Arial"/>
          <w:szCs w:val="28"/>
          <w:lang w:val="uk-UA"/>
        </w:rPr>
      </w:pPr>
    </w:p>
    <w:p w14:paraId="1BE4E00C" w14:textId="77777777" w:rsidR="00200E87" w:rsidRPr="00511005" w:rsidRDefault="00200E8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Самохвал Аліна Віталіївна</w:t>
      </w:r>
    </w:p>
    <w:p w14:paraId="3673EDD9" w14:textId="55AAC6DA" w:rsidR="00200E8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3-го курсу </w:t>
      </w:r>
      <w:r w:rsidR="001B7B25" w:rsidRPr="00511005">
        <w:rPr>
          <w:rFonts w:ascii="Arial" w:eastAsia="Calibri" w:hAnsi="Arial" w:cs="Arial"/>
          <w:szCs w:val="28"/>
          <w:lang w:val="uk-UA"/>
        </w:rPr>
        <w:t>факультету судового та міжнародного права</w:t>
      </w:r>
    </w:p>
    <w:p w14:paraId="18786E3C" w14:textId="31A92CB5" w:rsidR="00200E8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F29A373" w14:textId="77777777" w:rsidR="00200E87" w:rsidRPr="00511005" w:rsidRDefault="00200E87" w:rsidP="003A292D">
      <w:pPr>
        <w:spacing w:line="264" w:lineRule="auto"/>
        <w:ind w:firstLine="0"/>
        <w:jc w:val="center"/>
        <w:rPr>
          <w:rFonts w:ascii="Arial" w:eastAsia="Calibri" w:hAnsi="Arial" w:cs="Arial"/>
          <w:szCs w:val="28"/>
          <w:lang w:val="uk-UA"/>
        </w:rPr>
      </w:pPr>
    </w:p>
    <w:p w14:paraId="5B7060B2" w14:textId="77777777" w:rsidR="00200E87" w:rsidRPr="00511005" w:rsidRDefault="00200E8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ВІДПОВІДАЛЬНІСТЬ СУБ’ЄКТІВ ГОСПОДАРСЬКОЇ ДІЯЛЬНОСТІ ЗА КРИМІНАЛЬНІ ПРАВОПОРУШЕННЯ ПРОТИ ЕКОЛОГІЧНОЇ БЕЗПЕКИ</w:t>
      </w:r>
    </w:p>
    <w:p w14:paraId="013A786A" w14:textId="77777777" w:rsidR="00200E87" w:rsidRPr="00511005" w:rsidRDefault="00200E87" w:rsidP="003A292D">
      <w:pPr>
        <w:spacing w:line="264" w:lineRule="auto"/>
        <w:ind w:firstLine="0"/>
        <w:rPr>
          <w:rFonts w:ascii="Arial" w:eastAsia="Calibri" w:hAnsi="Arial" w:cs="Arial"/>
          <w:szCs w:val="28"/>
          <w:lang w:val="uk-UA"/>
        </w:rPr>
      </w:pPr>
    </w:p>
    <w:p w14:paraId="3B2A35A0"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Екологічна безпека є складовою національної безпеки України, а її порушення внаслідок злочинної господарської діяльності створюють багато ризиків для навколишнього природного середовища. </w:t>
      </w:r>
    </w:p>
    <w:p w14:paraId="5D582107"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 Україні питання притягнення суб’єктів господарської діяльності до кримінальної відповідальності за правопорушення проти екологічної безпеки набуває особливої актуальності у зв’язку з погіршенням екологічної ситуації та зростанням кількості екологічних злочинів. Сучасні екологічні дослідження свідчать, що на кожен кілограм продукції, виробленої підприємствами, припадає приблизно 25 кілограмів відходів. [5] </w:t>
      </w:r>
    </w:p>
    <w:p w14:paraId="18F7F00C"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 xml:space="preserve">Кримінальний кодекс України містить низку статей, що передбачають відповідальність за </w:t>
      </w:r>
      <w:r w:rsidRPr="00511005">
        <w:rPr>
          <w:rFonts w:ascii="Arial" w:eastAsia="Calibri" w:hAnsi="Arial" w:cs="Arial"/>
          <w:szCs w:val="28"/>
          <w:lang w:val="uk-UA"/>
        </w:rPr>
        <w:t>кримінальні правопорушення</w:t>
      </w:r>
      <w:r w:rsidRPr="00511005">
        <w:rPr>
          <w:rFonts w:ascii="Arial" w:eastAsia="Calibri" w:hAnsi="Arial" w:cs="Arial"/>
          <w:szCs w:val="28"/>
        </w:rPr>
        <w:t xml:space="preserve"> проти довкілля. Зокрема, розділ VIII КК України охоплює статті 236–254, які встановлюють відповідальність за різні види екологічних правопорушень, такі як порушення правил екологічної безпеки, забруднення або псування земель, незаконна порубка лісу тощо. [1]</w:t>
      </w:r>
    </w:p>
    <w:p w14:paraId="7AC0C26A"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 xml:space="preserve">Судова практика свідчить про складність у встановленні умислу суб’єкта, особливо коли мова йде про юридичну особу. Через це у наукових колах дедалі більше обговорюється необхідність удосконалення законодавства з урахуванням сучасних тенденцій корпоративної відповідальності та європейського досвіду. </w:t>
      </w:r>
      <w:r w:rsidRPr="00511005">
        <w:rPr>
          <w:rFonts w:ascii="Arial" w:eastAsia="Calibri" w:hAnsi="Arial" w:cs="Arial"/>
          <w:szCs w:val="28"/>
          <w:lang w:val="uk-UA"/>
        </w:rPr>
        <w:t>У</w:t>
      </w:r>
      <w:r w:rsidRPr="00511005">
        <w:rPr>
          <w:rFonts w:ascii="Arial" w:eastAsia="Calibri" w:hAnsi="Arial" w:cs="Arial"/>
          <w:szCs w:val="28"/>
        </w:rPr>
        <w:t xml:space="preserve"> дослідженнях Шпарик Н.Я. висвітлено актуальність імплементації підходів ЄС, які передбачають не тільки репресивні, а й превентивні інструменти захисту екологічної безпеки, включаючи екологічний аудит, оцінку ризиків та застосування стимулювальних заходів. [3</w:t>
      </w:r>
      <w:r w:rsidRPr="00511005">
        <w:rPr>
          <w:rFonts w:ascii="Arial" w:eastAsia="Calibri" w:hAnsi="Arial" w:cs="Arial"/>
          <w:szCs w:val="28"/>
          <w:lang w:val="uk-UA"/>
        </w:rPr>
        <w:t>, с. 214</w:t>
      </w:r>
      <w:r w:rsidRPr="00511005">
        <w:rPr>
          <w:rFonts w:ascii="Arial" w:eastAsia="Calibri" w:hAnsi="Arial" w:cs="Arial"/>
          <w:szCs w:val="28"/>
        </w:rPr>
        <w:t>]</w:t>
      </w:r>
      <w:r w:rsidRPr="00511005">
        <w:rPr>
          <w:rFonts w:ascii="Arial" w:eastAsia="Calibri" w:hAnsi="Arial" w:cs="Arial"/>
          <w:szCs w:val="28"/>
          <w:lang w:val="uk-UA"/>
        </w:rPr>
        <w:t xml:space="preserve"> </w:t>
      </w:r>
    </w:p>
    <w:p w14:paraId="4FEF5657"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lastRenderedPageBreak/>
        <w:t>Що стосується санкцій за порушення екологічних норм, Супрун Н. та Антоненко Д. у своїй роботі звертають увагу на те, що покарання у вигляді штрафів та обмежень для бізнесу часто є недостатніми для того, щоб реально вплинути на поведінку суб’єктів господарської діяльності. В українських реаліях підприємства, що завдали шкоди природному середовищу, зазвичай обмежуються сплатою штрафів, які часто навіть частково не компенсують завдані збитки. [2</w:t>
      </w:r>
      <w:r w:rsidRPr="00511005">
        <w:rPr>
          <w:rFonts w:ascii="Arial" w:eastAsia="Calibri" w:hAnsi="Arial" w:cs="Arial"/>
          <w:szCs w:val="28"/>
          <w:lang w:val="uk-UA"/>
        </w:rPr>
        <w:t>, с. 42</w:t>
      </w:r>
      <w:r w:rsidRPr="00511005">
        <w:rPr>
          <w:rFonts w:ascii="Arial" w:eastAsia="Calibri" w:hAnsi="Arial" w:cs="Arial"/>
          <w:szCs w:val="28"/>
        </w:rPr>
        <w:t>]</w:t>
      </w:r>
    </w:p>
    <w:p w14:paraId="2BD02EEF"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 xml:space="preserve">Важливим є питання запобігання злочинам шляхом впровадження екологічно чистих технологій. </w:t>
      </w:r>
      <w:r w:rsidRPr="00511005">
        <w:rPr>
          <w:rFonts w:ascii="Arial" w:eastAsia="Calibri" w:hAnsi="Arial" w:cs="Arial"/>
          <w:szCs w:val="28"/>
          <w:lang w:val="uk-UA"/>
        </w:rPr>
        <w:t>П</w:t>
      </w:r>
      <w:r w:rsidRPr="00511005">
        <w:rPr>
          <w:rFonts w:ascii="Arial" w:eastAsia="Calibri" w:hAnsi="Arial" w:cs="Arial"/>
          <w:szCs w:val="28"/>
        </w:rPr>
        <w:t>рограма екологічної відповідальності має будуватись на основі превентивних та проактивних дій, спрямованих на збереження навколишнього середовища, а не функціонувати за принципом реагування на вже наявні проблеми. У країнах Європейського Союзу основою для впровадження екологічних програм є принцип «забруднювач платить», згідно з яким саме компанія, що спричинила забруднення довкілля, повинна нести витрати на його усунення, а не перекладати цей тягар на суспільство. [2</w:t>
      </w:r>
      <w:r w:rsidRPr="00511005">
        <w:rPr>
          <w:rFonts w:ascii="Arial" w:eastAsia="Calibri" w:hAnsi="Arial" w:cs="Arial"/>
          <w:szCs w:val="28"/>
          <w:lang w:val="uk-UA"/>
        </w:rPr>
        <w:t>, с. 42</w:t>
      </w:r>
      <w:r w:rsidRPr="00511005">
        <w:rPr>
          <w:rFonts w:ascii="Arial" w:eastAsia="Calibri" w:hAnsi="Arial" w:cs="Arial"/>
          <w:szCs w:val="28"/>
        </w:rPr>
        <w:t xml:space="preserve">] </w:t>
      </w:r>
    </w:p>
    <w:p w14:paraId="6CA54CCE"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 xml:space="preserve">Невід’ємною частиною забезпечення екологічної безпеки є роль державного контролю. Державні органи мають бути більш активними у здійсненні контролю за діяльністю підприємств, що можуть спричинити екологічні збитки. Ефективність державного нагляду за діяльністю підприємств безпосередньо впливає на рівень кримінальних правопорушень в екологічній сфері. Окрім того, важливу роль у контролі повинні відігравати незалежні екологічні інспекції, що сприятимуть більш високому рівню прозорості та зниженню корупційних ризиків. </w:t>
      </w:r>
    </w:p>
    <w:p w14:paraId="1C806DB4" w14:textId="63108F16"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На практиці існують певні перешкоди для впровадження таких підходів. Наприклад, недостатнє фінансування екологічних програм, відсутність кваліфікованих фахівців у сфері екологічного менеджменту, а також слабкий контроль з боку державних органів. Тому є</w:t>
      </w:r>
      <w:r w:rsidR="007B2628" w:rsidRPr="00511005">
        <w:rPr>
          <w:rFonts w:ascii="Arial" w:eastAsia="Calibri" w:hAnsi="Arial" w:cs="Arial"/>
          <w:szCs w:val="28"/>
        </w:rPr>
        <w:t xml:space="preserve"> </w:t>
      </w:r>
      <w:r w:rsidRPr="00511005">
        <w:rPr>
          <w:rFonts w:ascii="Arial" w:eastAsia="Calibri" w:hAnsi="Arial" w:cs="Arial"/>
          <w:szCs w:val="28"/>
        </w:rPr>
        <w:t xml:space="preserve">необхідним розробити комплексну державну політику, яка б передбачала не лише посилення контролю та санкцій за порушення екологічного законодавства, але й надання підтримки підприємствам у впровадженні екологічно чистих технологій та підвищенні екологічної ефективності </w:t>
      </w:r>
      <w:proofErr w:type="gramStart"/>
      <w:r w:rsidRPr="00511005">
        <w:rPr>
          <w:rFonts w:ascii="Arial" w:eastAsia="Calibri" w:hAnsi="Arial" w:cs="Arial"/>
          <w:szCs w:val="28"/>
        </w:rPr>
        <w:t>виробництва .</w:t>
      </w:r>
      <w:proofErr w:type="gramEnd"/>
      <w:r w:rsidRPr="00511005">
        <w:rPr>
          <w:rFonts w:ascii="Arial" w:eastAsia="Calibri" w:hAnsi="Arial" w:cs="Arial"/>
          <w:szCs w:val="28"/>
        </w:rPr>
        <w:t xml:space="preserve"> </w:t>
      </w:r>
    </w:p>
    <w:p w14:paraId="05FD5767" w14:textId="08AB2E9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w:t>
      </w:r>
      <w:r w:rsidRPr="00511005">
        <w:rPr>
          <w:rFonts w:ascii="Arial" w:eastAsia="Calibri" w:hAnsi="Arial" w:cs="Arial"/>
          <w:szCs w:val="28"/>
        </w:rPr>
        <w:t>остановою Кабінету Міністрів України від 13 березня 2022 року № 303 «Про припинення заходів державного нагляду (контролю) і державного ринкового нагляду в умовах воєнного стану» було зупинено проведення планових та позапланових перевірок (в тому числі як наглядовий захід, заході контролю) на період дії періоду воєнного стану [4].</w:t>
      </w:r>
      <w:r w:rsidRPr="00511005">
        <w:rPr>
          <w:rFonts w:ascii="Arial" w:eastAsia="Calibri" w:hAnsi="Arial" w:cs="Arial"/>
          <w:szCs w:val="28"/>
          <w:lang w:val="uk-UA"/>
        </w:rPr>
        <w:t xml:space="preserve"> </w:t>
      </w:r>
      <w:r w:rsidRPr="00511005">
        <w:rPr>
          <w:rFonts w:ascii="Arial" w:eastAsia="Calibri" w:hAnsi="Arial" w:cs="Arial"/>
          <w:szCs w:val="28"/>
        </w:rPr>
        <w:t xml:space="preserve">Таке рішення, з одного боку, дозволило знизити адміністративний тиск на бізнес і створити умови для продовження господарської діяльності в умовах воєнного часу, але з іншого — послабило механізми державного контролю за дотриманням екологічного законодавства. Це створює ризики для погіршення стану довкілля через можливі порушення з боку підприємств, адже відсутність регулярних </w:t>
      </w:r>
      <w:r w:rsidRPr="00511005">
        <w:rPr>
          <w:rFonts w:ascii="Arial" w:eastAsia="Calibri" w:hAnsi="Arial" w:cs="Arial"/>
          <w:szCs w:val="28"/>
        </w:rPr>
        <w:lastRenderedPageBreak/>
        <w:t>перевірок знижує превентивну функцію державного нагляду. Тому в умовах скасування контрольних заходів особливої актуальності набувають інші інструменти забезпечення екологічної безпеки, такі як саморегуляція та</w:t>
      </w:r>
      <w:r w:rsidR="007B2628" w:rsidRPr="00511005">
        <w:rPr>
          <w:rFonts w:ascii="Arial" w:eastAsia="Calibri" w:hAnsi="Arial" w:cs="Arial"/>
          <w:szCs w:val="28"/>
        </w:rPr>
        <w:t xml:space="preserve"> </w:t>
      </w:r>
      <w:r w:rsidRPr="00511005">
        <w:rPr>
          <w:rFonts w:ascii="Arial" w:eastAsia="Calibri" w:hAnsi="Arial" w:cs="Arial"/>
          <w:szCs w:val="28"/>
        </w:rPr>
        <w:t>корпоративна відповідальність</w:t>
      </w:r>
      <w:r w:rsidRPr="00511005">
        <w:rPr>
          <w:rFonts w:ascii="Arial" w:eastAsia="Calibri" w:hAnsi="Arial" w:cs="Arial"/>
          <w:szCs w:val="28"/>
          <w:lang w:val="uk-UA"/>
        </w:rPr>
        <w:t>. Підприємства повинні брати на себе більшу відповідальність за наслідки своєї діяльності, впроваджуючи внутрішні системи екологічного контролю, добровільно звітуючи про екологічні ризики та запроваджуючи екологічно безпечні технології.</w:t>
      </w:r>
    </w:p>
    <w:p w14:paraId="630EC90E"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lang w:val="uk-UA"/>
        </w:rPr>
        <w:t xml:space="preserve">Таким чином, можна зробити висновок, що для забезпечення ефективної відповідальності суб’єктів господарської діяльності за кримінальні правопорушення проти екологічної безпеки необхідно здійснити комплексний підхід до вдосконалення законодавчої бази, посилення кримінальних санкцій та розвитку економічних механізмів стимулювання бізнесу до застосування екологічно чистих технологій. </w:t>
      </w:r>
      <w:r w:rsidRPr="00511005">
        <w:rPr>
          <w:rFonts w:ascii="Arial" w:eastAsia="Calibri" w:hAnsi="Arial" w:cs="Arial"/>
          <w:szCs w:val="28"/>
        </w:rPr>
        <w:t>Для вирішення цієї проблеми важливо забезпечити високий рівень контролю та нагляду за діяльністю підприємств і збільшити роль громадськості в процесах контролю.</w:t>
      </w:r>
      <w:r w:rsidRPr="00511005">
        <w:rPr>
          <w:rFonts w:ascii="Arial" w:eastAsia="Calibri" w:hAnsi="Arial" w:cs="Arial"/>
          <w:szCs w:val="28"/>
        </w:rPr>
        <w:br/>
      </w:r>
    </w:p>
    <w:p w14:paraId="74FB8748" w14:textId="77777777" w:rsidR="00200E87" w:rsidRPr="00511005" w:rsidRDefault="00200E87" w:rsidP="003A292D">
      <w:pPr>
        <w:spacing w:line="264" w:lineRule="auto"/>
        <w:ind w:firstLine="0"/>
        <w:rPr>
          <w:rFonts w:ascii="Arial" w:eastAsia="Calibri" w:hAnsi="Arial" w:cs="Arial"/>
          <w:szCs w:val="28"/>
        </w:rPr>
      </w:pPr>
    </w:p>
    <w:p w14:paraId="7081D3A2" w14:textId="20A1B137" w:rsidR="00200E87" w:rsidRPr="00511005" w:rsidRDefault="007B2628" w:rsidP="007B2628">
      <w:pPr>
        <w:spacing w:line="264" w:lineRule="auto"/>
        <w:ind w:firstLine="0"/>
        <w:jc w:val="center"/>
        <w:rPr>
          <w:rFonts w:ascii="Arial" w:eastAsia="Calibri" w:hAnsi="Arial" w:cs="Arial"/>
          <w:b/>
          <w:szCs w:val="28"/>
        </w:rPr>
      </w:pPr>
      <w:r w:rsidRPr="00511005">
        <w:rPr>
          <w:rFonts w:ascii="Arial" w:eastAsia="Calibri" w:hAnsi="Arial" w:cs="Arial"/>
          <w:b/>
          <w:szCs w:val="28"/>
          <w:lang w:val="uk-UA"/>
        </w:rPr>
        <w:t>Список використаних джерел</w:t>
      </w:r>
    </w:p>
    <w:p w14:paraId="3FA0DF12" w14:textId="77777777" w:rsidR="00200E87" w:rsidRPr="00511005" w:rsidRDefault="00200E87" w:rsidP="003F6A5D">
      <w:pPr>
        <w:numPr>
          <w:ilvl w:val="0"/>
          <w:numId w:val="532"/>
        </w:numPr>
        <w:spacing w:line="264" w:lineRule="auto"/>
        <w:contextualSpacing/>
        <w:jc w:val="left"/>
        <w:rPr>
          <w:rFonts w:ascii="Arial" w:eastAsia="Calibri" w:hAnsi="Arial" w:cs="Arial"/>
          <w:szCs w:val="28"/>
        </w:rPr>
      </w:pPr>
      <w:r w:rsidRPr="00511005">
        <w:rPr>
          <w:rFonts w:ascii="Arial" w:eastAsia="Calibri" w:hAnsi="Arial" w:cs="Arial"/>
          <w:szCs w:val="28"/>
        </w:rPr>
        <w:t xml:space="preserve">Кримінальний кодекс </w:t>
      </w:r>
      <w:proofErr w:type="gramStart"/>
      <w:r w:rsidRPr="00511005">
        <w:rPr>
          <w:rFonts w:ascii="Arial" w:eastAsia="Calibri" w:hAnsi="Arial" w:cs="Arial"/>
          <w:szCs w:val="28"/>
        </w:rPr>
        <w:t>України :</w:t>
      </w:r>
      <w:proofErr w:type="gramEnd"/>
      <w:r w:rsidRPr="00511005">
        <w:rPr>
          <w:rFonts w:ascii="Arial" w:eastAsia="Calibri" w:hAnsi="Arial" w:cs="Arial"/>
          <w:szCs w:val="28"/>
        </w:rPr>
        <w:t xml:space="preserve"> Кодекс України від 05.04.2001 № 2341-III : станом на 1 лют. 2025 р. URL: </w:t>
      </w:r>
      <w:hyperlink r:id="rId1870" w:anchor="Text" w:tgtFrame="_blank" w:history="1">
        <w:r w:rsidRPr="00511005">
          <w:rPr>
            <w:rFonts w:ascii="Arial" w:eastAsia="Calibri" w:hAnsi="Arial" w:cs="Arial"/>
            <w:szCs w:val="28"/>
          </w:rPr>
          <w:t>https://zakon.rada.gov.ua/laws/show/2341-14#Text</w:t>
        </w:r>
      </w:hyperlink>
      <w:r w:rsidRPr="00511005">
        <w:rPr>
          <w:rFonts w:ascii="Arial" w:eastAsia="Calibri" w:hAnsi="Arial" w:cs="Arial"/>
          <w:szCs w:val="28"/>
        </w:rPr>
        <w:t> (дата звернення: 07.04.2025).</w:t>
      </w:r>
    </w:p>
    <w:p w14:paraId="199A7AB3" w14:textId="77777777" w:rsidR="00200E87" w:rsidRPr="00511005" w:rsidRDefault="00200E87" w:rsidP="003F6A5D">
      <w:pPr>
        <w:numPr>
          <w:ilvl w:val="0"/>
          <w:numId w:val="532"/>
        </w:numPr>
        <w:spacing w:line="264" w:lineRule="auto"/>
        <w:contextualSpacing/>
        <w:jc w:val="left"/>
        <w:rPr>
          <w:rFonts w:ascii="Arial" w:eastAsia="Calibri" w:hAnsi="Arial" w:cs="Arial"/>
          <w:szCs w:val="28"/>
        </w:rPr>
      </w:pPr>
      <w:r w:rsidRPr="00511005">
        <w:rPr>
          <w:rFonts w:ascii="Arial" w:eastAsia="Calibri" w:hAnsi="Arial" w:cs="Arial"/>
          <w:szCs w:val="28"/>
        </w:rPr>
        <w:t xml:space="preserve">Екологічна відповідальність: досвід ЄС та можливості для України. </w:t>
      </w:r>
      <w:r w:rsidRPr="00511005">
        <w:rPr>
          <w:rFonts w:ascii="Arial" w:eastAsia="Calibri" w:hAnsi="Arial" w:cs="Arial"/>
          <w:i/>
          <w:szCs w:val="28"/>
        </w:rPr>
        <w:t>Суспільство і довкілля</w:t>
      </w:r>
      <w:r w:rsidRPr="00511005">
        <w:rPr>
          <w:rFonts w:ascii="Arial" w:eastAsia="Calibri" w:hAnsi="Arial" w:cs="Arial"/>
          <w:szCs w:val="28"/>
        </w:rPr>
        <w:t xml:space="preserve">. 2018, </w:t>
      </w:r>
      <w:r w:rsidRPr="00511005">
        <w:rPr>
          <w:rFonts w:ascii="Arial" w:eastAsia="Calibri" w:hAnsi="Arial" w:cs="Arial"/>
          <w:szCs w:val="28"/>
          <w:lang w:val="uk-UA"/>
        </w:rPr>
        <w:t xml:space="preserve">С. </w:t>
      </w:r>
      <w:r w:rsidRPr="00511005">
        <w:rPr>
          <w:rFonts w:ascii="Arial" w:eastAsia="Calibri" w:hAnsi="Arial" w:cs="Arial"/>
          <w:szCs w:val="28"/>
        </w:rPr>
        <w:t>42.</w:t>
      </w:r>
    </w:p>
    <w:p w14:paraId="5661F19A" w14:textId="77777777" w:rsidR="00200E87" w:rsidRPr="00511005" w:rsidRDefault="00200E87" w:rsidP="003F6A5D">
      <w:pPr>
        <w:numPr>
          <w:ilvl w:val="0"/>
          <w:numId w:val="532"/>
        </w:numPr>
        <w:spacing w:line="264" w:lineRule="auto"/>
        <w:contextualSpacing/>
        <w:jc w:val="left"/>
        <w:rPr>
          <w:rFonts w:ascii="Arial" w:eastAsia="Calibri" w:hAnsi="Arial" w:cs="Arial"/>
          <w:szCs w:val="28"/>
        </w:rPr>
      </w:pPr>
      <w:r w:rsidRPr="00511005">
        <w:rPr>
          <w:rFonts w:ascii="Arial" w:eastAsia="Calibri" w:hAnsi="Arial" w:cs="Arial"/>
          <w:szCs w:val="28"/>
        </w:rPr>
        <w:t>Шпарик Н. Адаптація екологічного законодавства України до стандартів Європейського союзу. </w:t>
      </w:r>
      <w:r w:rsidRPr="00511005">
        <w:rPr>
          <w:rFonts w:ascii="Arial" w:eastAsia="Calibri" w:hAnsi="Arial" w:cs="Arial"/>
          <w:i/>
          <w:szCs w:val="28"/>
        </w:rPr>
        <w:t>Науковий вісник Ужгородського національного університету</w:t>
      </w:r>
      <w:r w:rsidRPr="00511005">
        <w:rPr>
          <w:rFonts w:ascii="Arial" w:eastAsia="Calibri" w:hAnsi="Arial" w:cs="Arial"/>
          <w:szCs w:val="28"/>
        </w:rPr>
        <w:t>. 2015. Т. 1, № 33. С. 212–217.</w:t>
      </w:r>
    </w:p>
    <w:p w14:paraId="067E9337" w14:textId="77777777" w:rsidR="00200E87" w:rsidRPr="00511005" w:rsidRDefault="00200E87" w:rsidP="003F6A5D">
      <w:pPr>
        <w:numPr>
          <w:ilvl w:val="0"/>
          <w:numId w:val="532"/>
        </w:numPr>
        <w:spacing w:line="264" w:lineRule="auto"/>
        <w:contextualSpacing/>
        <w:jc w:val="left"/>
        <w:rPr>
          <w:rFonts w:ascii="Arial" w:eastAsia="Calibri" w:hAnsi="Arial" w:cs="Arial"/>
          <w:szCs w:val="28"/>
          <w:lang w:val="en-US"/>
        </w:rPr>
      </w:pPr>
      <w:r w:rsidRPr="00511005">
        <w:rPr>
          <w:rFonts w:ascii="Arial" w:eastAsia="Calibri" w:hAnsi="Arial" w:cs="Arial"/>
          <w:szCs w:val="28"/>
        </w:rPr>
        <w:t xml:space="preserve">Постанова Кабінету Міністрів України № 303 від 13.03.2022 року «Про припинення заходів державного нагляду (контролю) і державного ринкового нагляду в умовах воєнного стану». </w:t>
      </w:r>
      <w:r w:rsidRPr="00511005">
        <w:rPr>
          <w:rFonts w:ascii="Arial" w:eastAsia="Calibri" w:hAnsi="Arial" w:cs="Arial"/>
          <w:szCs w:val="28"/>
          <w:lang w:val="en-US"/>
        </w:rPr>
        <w:t>URL: https://zakon.rada.gov.ua /laws/show/303-2022-%D0%BF#Text (</w:t>
      </w:r>
      <w:r w:rsidRPr="00511005">
        <w:rPr>
          <w:rFonts w:ascii="Arial" w:eastAsia="Calibri" w:hAnsi="Arial" w:cs="Arial"/>
          <w:szCs w:val="28"/>
        </w:rPr>
        <w:t>дата</w:t>
      </w:r>
      <w:r w:rsidRPr="00511005">
        <w:rPr>
          <w:rFonts w:ascii="Arial" w:eastAsia="Calibri" w:hAnsi="Arial" w:cs="Arial"/>
          <w:szCs w:val="28"/>
          <w:lang w:val="en-US"/>
        </w:rPr>
        <w:t xml:space="preserve"> </w:t>
      </w:r>
      <w:r w:rsidRPr="00511005">
        <w:rPr>
          <w:rFonts w:ascii="Arial" w:eastAsia="Calibri" w:hAnsi="Arial" w:cs="Arial"/>
          <w:szCs w:val="28"/>
        </w:rPr>
        <w:t>звернення</w:t>
      </w:r>
      <w:r w:rsidRPr="00511005">
        <w:rPr>
          <w:rFonts w:ascii="Arial" w:eastAsia="Calibri" w:hAnsi="Arial" w:cs="Arial"/>
          <w:szCs w:val="28"/>
          <w:lang w:val="en-US"/>
        </w:rPr>
        <w:t>: 07.04.2025).</w:t>
      </w:r>
    </w:p>
    <w:p w14:paraId="40E25888" w14:textId="77777777" w:rsidR="00200E87" w:rsidRPr="00511005" w:rsidRDefault="00200E87" w:rsidP="003F6A5D">
      <w:pPr>
        <w:numPr>
          <w:ilvl w:val="0"/>
          <w:numId w:val="532"/>
        </w:numPr>
        <w:spacing w:line="264" w:lineRule="auto"/>
        <w:contextualSpacing/>
        <w:jc w:val="left"/>
        <w:rPr>
          <w:rFonts w:ascii="Arial" w:eastAsia="Calibri" w:hAnsi="Arial" w:cs="Arial"/>
          <w:szCs w:val="28"/>
        </w:rPr>
      </w:pPr>
      <w:r w:rsidRPr="00511005">
        <w:rPr>
          <w:rFonts w:ascii="Arial" w:eastAsia="Calibri" w:hAnsi="Arial" w:cs="Arial"/>
          <w:szCs w:val="28"/>
          <w:lang w:val="en-US"/>
        </w:rPr>
        <w:t>John D. Chea, Kirti M. Yenkie, Emmanuel A. Aboagye. Systems level roadmap for solvent recovery and reuse in industries. </w:t>
      </w:r>
      <w:r w:rsidRPr="00511005">
        <w:rPr>
          <w:rFonts w:ascii="Arial" w:eastAsia="Calibri" w:hAnsi="Arial" w:cs="Arial"/>
          <w:i/>
          <w:iCs/>
          <w:szCs w:val="28"/>
          <w:lang w:val="en-US"/>
        </w:rPr>
        <w:t>iScience</w:t>
      </w:r>
      <w:r w:rsidRPr="00511005">
        <w:rPr>
          <w:rFonts w:ascii="Arial" w:eastAsia="Calibri" w:hAnsi="Arial" w:cs="Arial"/>
          <w:szCs w:val="28"/>
          <w:lang w:val="en-US"/>
        </w:rPr>
        <w:t>. URL</w:t>
      </w:r>
      <w:r w:rsidRPr="00511005">
        <w:rPr>
          <w:rFonts w:ascii="Arial" w:eastAsia="Calibri" w:hAnsi="Arial" w:cs="Arial"/>
          <w:szCs w:val="28"/>
        </w:rPr>
        <w:t>:</w:t>
      </w:r>
      <w:r w:rsidRPr="00511005">
        <w:rPr>
          <w:rFonts w:ascii="Arial" w:eastAsia="Calibri" w:hAnsi="Arial" w:cs="Arial"/>
          <w:szCs w:val="28"/>
          <w:lang w:val="en-US"/>
        </w:rPr>
        <w:t> </w:t>
      </w:r>
      <w:hyperlink r:id="rId1871" w:tgtFrame="_blank"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www</w:t>
        </w:r>
        <w:r w:rsidRPr="00511005">
          <w:rPr>
            <w:rFonts w:ascii="Arial" w:eastAsia="Calibri" w:hAnsi="Arial" w:cs="Arial"/>
            <w:szCs w:val="28"/>
          </w:rPr>
          <w:t>.</w:t>
        </w:r>
        <w:r w:rsidRPr="00511005">
          <w:rPr>
            <w:rFonts w:ascii="Arial" w:eastAsia="Calibri" w:hAnsi="Arial" w:cs="Arial"/>
            <w:szCs w:val="28"/>
            <w:lang w:val="en-US"/>
          </w:rPr>
          <w:t>sciencedirect</w:t>
        </w:r>
        <w:r w:rsidRPr="00511005">
          <w:rPr>
            <w:rFonts w:ascii="Arial" w:eastAsia="Calibri" w:hAnsi="Arial" w:cs="Arial"/>
            <w:szCs w:val="28"/>
          </w:rPr>
          <w:t>.</w:t>
        </w:r>
        <w:r w:rsidRPr="00511005">
          <w:rPr>
            <w:rFonts w:ascii="Arial" w:eastAsia="Calibri" w:hAnsi="Arial" w:cs="Arial"/>
            <w:szCs w:val="28"/>
            <w:lang w:val="en-US"/>
          </w:rPr>
          <w:t>com</w:t>
        </w:r>
        <w:r w:rsidRPr="00511005">
          <w:rPr>
            <w:rFonts w:ascii="Arial" w:eastAsia="Calibri" w:hAnsi="Arial" w:cs="Arial"/>
            <w:szCs w:val="28"/>
          </w:rPr>
          <w:t>/</w:t>
        </w:r>
        <w:r w:rsidRPr="00511005">
          <w:rPr>
            <w:rFonts w:ascii="Arial" w:eastAsia="Calibri" w:hAnsi="Arial" w:cs="Arial"/>
            <w:szCs w:val="28"/>
            <w:lang w:val="en-US"/>
          </w:rPr>
          <w:t>science</w:t>
        </w:r>
        <w:r w:rsidRPr="00511005">
          <w:rPr>
            <w:rFonts w:ascii="Arial" w:eastAsia="Calibri" w:hAnsi="Arial" w:cs="Arial"/>
            <w:szCs w:val="28"/>
          </w:rPr>
          <w:t>/</w:t>
        </w:r>
        <w:r w:rsidRPr="00511005">
          <w:rPr>
            <w:rFonts w:ascii="Arial" w:eastAsia="Calibri" w:hAnsi="Arial" w:cs="Arial"/>
            <w:szCs w:val="28"/>
            <w:lang w:val="en-US"/>
          </w:rPr>
          <w:t>article</w:t>
        </w:r>
        <w:r w:rsidRPr="00511005">
          <w:rPr>
            <w:rFonts w:ascii="Arial" w:eastAsia="Calibri" w:hAnsi="Arial" w:cs="Arial"/>
            <w:szCs w:val="28"/>
          </w:rPr>
          <w:t>/</w:t>
        </w:r>
        <w:r w:rsidRPr="00511005">
          <w:rPr>
            <w:rFonts w:ascii="Arial" w:eastAsia="Calibri" w:hAnsi="Arial" w:cs="Arial"/>
            <w:szCs w:val="28"/>
            <w:lang w:val="en-US"/>
          </w:rPr>
          <w:t>pii</w:t>
        </w:r>
        <w:r w:rsidRPr="00511005">
          <w:rPr>
            <w:rFonts w:ascii="Arial" w:eastAsia="Calibri" w:hAnsi="Arial" w:cs="Arial"/>
            <w:szCs w:val="28"/>
          </w:rPr>
          <w:t>/</w:t>
        </w:r>
        <w:r w:rsidRPr="00511005">
          <w:rPr>
            <w:rFonts w:ascii="Arial" w:eastAsia="Calibri" w:hAnsi="Arial" w:cs="Arial"/>
            <w:szCs w:val="28"/>
            <w:lang w:val="en-US"/>
          </w:rPr>
          <w:t>S</w:t>
        </w:r>
        <w:r w:rsidRPr="00511005">
          <w:rPr>
            <w:rFonts w:ascii="Arial" w:eastAsia="Calibri" w:hAnsi="Arial" w:cs="Arial"/>
            <w:szCs w:val="28"/>
          </w:rPr>
          <w:t>2589004221010828?</w:t>
        </w:r>
        <w:r w:rsidRPr="00511005">
          <w:rPr>
            <w:rFonts w:ascii="Arial" w:eastAsia="Calibri" w:hAnsi="Arial" w:cs="Arial"/>
            <w:szCs w:val="28"/>
            <w:lang w:val="en-US"/>
          </w:rPr>
          <w:t>utm</w:t>
        </w:r>
        <w:r w:rsidRPr="00511005">
          <w:rPr>
            <w:rFonts w:ascii="Arial" w:eastAsia="Calibri" w:hAnsi="Arial" w:cs="Arial"/>
            <w:szCs w:val="28"/>
          </w:rPr>
          <w:t>_</w:t>
        </w:r>
        <w:r w:rsidRPr="00511005">
          <w:rPr>
            <w:rFonts w:ascii="Arial" w:eastAsia="Calibri" w:hAnsi="Arial" w:cs="Arial"/>
            <w:szCs w:val="28"/>
            <w:lang w:val="en-US"/>
          </w:rPr>
          <w:t>source</w:t>
        </w:r>
        <w:r w:rsidRPr="00511005">
          <w:rPr>
            <w:rFonts w:ascii="Arial" w:eastAsia="Calibri" w:hAnsi="Arial" w:cs="Arial"/>
            <w:szCs w:val="28"/>
          </w:rPr>
          <w:t>=</w:t>
        </w:r>
        <w:r w:rsidRPr="00511005">
          <w:rPr>
            <w:rFonts w:ascii="Arial" w:eastAsia="Calibri" w:hAnsi="Arial" w:cs="Arial"/>
            <w:szCs w:val="28"/>
            <w:lang w:val="en-US"/>
          </w:rPr>
          <w:t>chatgpt</w:t>
        </w:r>
        <w:r w:rsidRPr="00511005">
          <w:rPr>
            <w:rFonts w:ascii="Arial" w:eastAsia="Calibri" w:hAnsi="Arial" w:cs="Arial"/>
            <w:szCs w:val="28"/>
          </w:rPr>
          <w:t>.</w:t>
        </w:r>
        <w:r w:rsidRPr="00511005">
          <w:rPr>
            <w:rFonts w:ascii="Arial" w:eastAsia="Calibri" w:hAnsi="Arial" w:cs="Arial"/>
            <w:szCs w:val="28"/>
            <w:lang w:val="en-US"/>
          </w:rPr>
          <w:t>com</w:t>
        </w:r>
      </w:hyperlink>
      <w:r w:rsidRPr="00511005">
        <w:rPr>
          <w:rFonts w:ascii="Arial" w:eastAsia="Calibri" w:hAnsi="Arial" w:cs="Arial"/>
          <w:szCs w:val="28"/>
          <w:lang w:val="en-US"/>
        </w:rPr>
        <w:t> </w:t>
      </w:r>
      <w:r w:rsidRPr="00511005">
        <w:rPr>
          <w:rFonts w:ascii="Arial" w:eastAsia="Calibri" w:hAnsi="Arial" w:cs="Arial"/>
          <w:szCs w:val="28"/>
        </w:rPr>
        <w:t>(дата звернення: 07.04.2025).</w:t>
      </w:r>
    </w:p>
    <w:p w14:paraId="466B320C" w14:textId="77777777" w:rsidR="00200E87" w:rsidRPr="00511005" w:rsidRDefault="00200E87" w:rsidP="003A292D">
      <w:pPr>
        <w:spacing w:line="264" w:lineRule="auto"/>
        <w:ind w:firstLine="0"/>
        <w:jc w:val="left"/>
        <w:rPr>
          <w:rFonts w:ascii="Arial" w:eastAsia="Calibri" w:hAnsi="Arial" w:cs="Arial"/>
          <w:szCs w:val="28"/>
        </w:rPr>
      </w:pPr>
    </w:p>
    <w:p w14:paraId="196BCBA1" w14:textId="331B5F6C" w:rsidR="00200E87" w:rsidRPr="00511005" w:rsidRDefault="007B2628" w:rsidP="003A292D">
      <w:pPr>
        <w:spacing w:line="264" w:lineRule="auto"/>
        <w:ind w:firstLine="0"/>
        <w:jc w:val="left"/>
        <w:rPr>
          <w:rFonts w:ascii="Arial" w:eastAsia="Calibri" w:hAnsi="Arial" w:cs="Arial"/>
          <w:b/>
          <w:szCs w:val="28"/>
          <w:lang w:val="uk-UA"/>
        </w:rPr>
      </w:pPr>
      <w:r w:rsidRPr="00511005">
        <w:rPr>
          <w:rFonts w:ascii="Arial" w:eastAsia="Calibri" w:hAnsi="Arial" w:cs="Arial"/>
          <w:b/>
          <w:i/>
          <w:szCs w:val="28"/>
          <w:lang w:val="uk-UA"/>
        </w:rPr>
        <w:t xml:space="preserve">Ключові слова: </w:t>
      </w:r>
      <w:r w:rsidR="00200E87" w:rsidRPr="00511005">
        <w:rPr>
          <w:rFonts w:ascii="Arial" w:eastAsia="Calibri" w:hAnsi="Arial" w:cs="Arial"/>
          <w:szCs w:val="28"/>
          <w:lang w:val="uk-UA"/>
        </w:rPr>
        <w:t>кримінальні правопорушення проти довкілля, екологічна безпека, відповідальність юридичних осіб, наслідки забруднення довкілля.</w:t>
      </w:r>
    </w:p>
    <w:p w14:paraId="576FAE16" w14:textId="762BD449" w:rsidR="00200E87" w:rsidRPr="00511005" w:rsidRDefault="007B2628" w:rsidP="003A292D">
      <w:pPr>
        <w:spacing w:line="264" w:lineRule="auto"/>
        <w:ind w:firstLine="0"/>
        <w:jc w:val="left"/>
        <w:rPr>
          <w:rFonts w:ascii="Arial" w:eastAsia="Calibri" w:hAnsi="Arial" w:cs="Arial"/>
          <w:b/>
          <w:szCs w:val="28"/>
          <w:lang w:val="uk-UA"/>
        </w:rPr>
      </w:pPr>
      <w:r w:rsidRPr="00511005">
        <w:rPr>
          <w:rFonts w:ascii="Arial" w:eastAsia="Calibri" w:hAnsi="Arial" w:cs="Arial"/>
          <w:b/>
          <w:i/>
          <w:szCs w:val="28"/>
          <w:lang w:val="en-US"/>
        </w:rPr>
        <w:t xml:space="preserve">Key words: </w:t>
      </w:r>
      <w:r w:rsidR="00200E87" w:rsidRPr="00511005">
        <w:rPr>
          <w:rFonts w:ascii="Arial" w:eastAsia="Calibri" w:hAnsi="Arial" w:cs="Arial"/>
          <w:szCs w:val="28"/>
          <w:lang w:val="en-US"/>
        </w:rPr>
        <w:t>criminal offenses against the environment, environmental safety, liability of legal entities, consequences of environmental pollution</w:t>
      </w:r>
      <w:r w:rsidR="00200E87" w:rsidRPr="00511005">
        <w:rPr>
          <w:rFonts w:ascii="Arial" w:eastAsia="Calibri" w:hAnsi="Arial" w:cs="Arial"/>
          <w:szCs w:val="28"/>
          <w:lang w:val="uk-UA"/>
        </w:rPr>
        <w:t>.</w:t>
      </w:r>
    </w:p>
    <w:p w14:paraId="72767095" w14:textId="7B32B5AA" w:rsidR="00200E87" w:rsidRPr="00511005" w:rsidRDefault="007B2628" w:rsidP="003A292D">
      <w:pPr>
        <w:spacing w:line="264" w:lineRule="auto"/>
        <w:ind w:firstLine="0"/>
        <w:jc w:val="left"/>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200E87" w:rsidRPr="00511005">
        <w:rPr>
          <w:rFonts w:ascii="Arial" w:eastAsia="Calibri" w:hAnsi="Arial" w:cs="Arial"/>
          <w:i/>
          <w:szCs w:val="28"/>
          <w:lang w:val="uk-UA"/>
        </w:rPr>
        <w:t>д. ю. н., професор Коломієць Ю. Ю.</w:t>
      </w:r>
    </w:p>
    <w:p w14:paraId="44CA083A" w14:textId="77777777" w:rsidR="00200E87" w:rsidRPr="00511005" w:rsidRDefault="00200E87" w:rsidP="003A292D">
      <w:pPr>
        <w:spacing w:line="264" w:lineRule="auto"/>
        <w:ind w:firstLine="0"/>
        <w:jc w:val="center"/>
        <w:rPr>
          <w:rFonts w:ascii="Arial" w:eastAsia="Calibri" w:hAnsi="Arial" w:cs="Arial"/>
          <w:szCs w:val="28"/>
          <w:lang w:val="uk-UA"/>
        </w:rPr>
      </w:pPr>
    </w:p>
    <w:p w14:paraId="15AA7BE7" w14:textId="77777777" w:rsidR="00200E87" w:rsidRPr="00511005" w:rsidRDefault="00200E87" w:rsidP="003A292D">
      <w:pPr>
        <w:spacing w:line="264" w:lineRule="auto"/>
        <w:ind w:firstLine="0"/>
        <w:jc w:val="center"/>
        <w:rPr>
          <w:rFonts w:ascii="Arial" w:eastAsia="Calibri" w:hAnsi="Arial" w:cs="Arial"/>
          <w:szCs w:val="28"/>
          <w:lang w:val="uk-UA"/>
        </w:rPr>
      </w:pPr>
    </w:p>
    <w:p w14:paraId="579CA389" w14:textId="77777777" w:rsidR="00200E87" w:rsidRPr="00511005" w:rsidRDefault="00200E87" w:rsidP="003A292D">
      <w:pPr>
        <w:shd w:val="clear" w:color="auto" w:fill="FFFFFF"/>
        <w:spacing w:line="264" w:lineRule="auto"/>
        <w:ind w:firstLine="0"/>
        <w:jc w:val="center"/>
        <w:rPr>
          <w:rFonts w:ascii="Arial" w:eastAsia="Calibri" w:hAnsi="Arial" w:cs="Arial"/>
          <w:b/>
          <w:bCs/>
          <w:i/>
          <w:szCs w:val="28"/>
          <w:lang w:val="uk-UA"/>
        </w:rPr>
      </w:pPr>
      <w:r w:rsidRPr="00511005">
        <w:rPr>
          <w:rFonts w:ascii="Arial" w:eastAsia="Calibri" w:hAnsi="Arial" w:cs="Arial"/>
          <w:b/>
          <w:bCs/>
          <w:i/>
          <w:szCs w:val="28"/>
          <w:lang w:val="uk-UA"/>
        </w:rPr>
        <w:t>Сенчук Єлизавета Станіславівна</w:t>
      </w:r>
    </w:p>
    <w:p w14:paraId="73E55624" w14:textId="195877C7"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402697AB"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39546E0"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45A07D7" w14:textId="77777777" w:rsidR="00200E87" w:rsidRPr="00511005" w:rsidRDefault="00200E87" w:rsidP="003A292D">
      <w:pPr>
        <w:shd w:val="clear" w:color="auto" w:fill="FFFFFF"/>
        <w:spacing w:line="264" w:lineRule="auto"/>
        <w:ind w:firstLine="0"/>
        <w:jc w:val="center"/>
        <w:rPr>
          <w:rFonts w:ascii="Arial" w:eastAsia="Calibri" w:hAnsi="Arial" w:cs="Arial"/>
          <w:szCs w:val="28"/>
          <w:lang w:val="uk-UA"/>
        </w:rPr>
      </w:pPr>
    </w:p>
    <w:p w14:paraId="6CEB9E97" w14:textId="77777777" w:rsidR="00200E87" w:rsidRPr="00511005" w:rsidRDefault="00200E87" w:rsidP="003A292D">
      <w:pPr>
        <w:shd w:val="clear" w:color="auto" w:fill="FFFFFF"/>
        <w:spacing w:line="264" w:lineRule="auto"/>
        <w:ind w:firstLine="0"/>
        <w:jc w:val="center"/>
        <w:rPr>
          <w:rFonts w:ascii="Arial" w:eastAsia="Calibri" w:hAnsi="Arial" w:cs="Arial"/>
          <w:b/>
          <w:bCs/>
          <w:szCs w:val="28"/>
        </w:rPr>
      </w:pPr>
      <w:r w:rsidRPr="00511005">
        <w:rPr>
          <w:rFonts w:ascii="Arial" w:eastAsia="Calibri" w:hAnsi="Arial" w:cs="Arial"/>
          <w:b/>
          <w:bCs/>
          <w:szCs w:val="28"/>
        </w:rPr>
        <w:t>ПРАВОВИЙ АНАЛІЗ ВІДПОВІДАЛЬНОСТІ ЗА ДИВЕРСІЙНУ ДІЯЛЬНІСТЬ В УМОВАХ ВОЄННОГО СТАНУ</w:t>
      </w:r>
    </w:p>
    <w:p w14:paraId="1A4C8A7B" w14:textId="77777777" w:rsidR="00200E87" w:rsidRPr="00511005" w:rsidRDefault="00200E87" w:rsidP="003A292D">
      <w:pPr>
        <w:shd w:val="clear" w:color="auto" w:fill="FFFFFF"/>
        <w:spacing w:line="264" w:lineRule="auto"/>
        <w:ind w:firstLine="0"/>
        <w:rPr>
          <w:rFonts w:ascii="Arial" w:eastAsia="Calibri" w:hAnsi="Arial" w:cs="Arial"/>
          <w:szCs w:val="28"/>
          <w:lang w:val="uk-UA"/>
        </w:rPr>
      </w:pPr>
      <w:r w:rsidRPr="00511005">
        <w:rPr>
          <w:rFonts w:ascii="Arial" w:eastAsia="Calibri" w:hAnsi="Arial" w:cs="Arial"/>
          <w:szCs w:val="28"/>
          <w:lang w:val="uk-UA"/>
        </w:rPr>
        <w:t>У період збройної агресії рф проти України, коли на карту поставлено саме існування держави, особливої значимості набуває питання посилення кримінальної відповідальності за злочини, які посягають на основи національної безпеки. Згідно з даними Офісу Генерального прокурора України, з початку повномасштабного вторгнення зафіксовано щонайменше 443 випадки вчинення диверсії. Проте реальна кількість таких злочинів може бути значно більшою, що зумовлено складнощами у документуванні правопорушень на тимчасово окупованих територіях</w:t>
      </w:r>
      <w:r w:rsidRPr="00511005">
        <w:rPr>
          <w:rFonts w:ascii="Arial" w:eastAsia="Calibri" w:hAnsi="Arial" w:cs="Arial"/>
          <w:szCs w:val="28"/>
        </w:rPr>
        <w:t xml:space="preserve"> [1].</w:t>
      </w:r>
    </w:p>
    <w:p w14:paraId="056940CB" w14:textId="77777777" w:rsidR="00200E87" w:rsidRPr="00511005" w:rsidRDefault="00200E87" w:rsidP="003A292D">
      <w:pPr>
        <w:shd w:val="clear" w:color="auto" w:fill="FFFFFF"/>
        <w:spacing w:line="264" w:lineRule="auto"/>
        <w:ind w:firstLine="0"/>
        <w:rPr>
          <w:rFonts w:ascii="Arial" w:eastAsia="Calibri" w:hAnsi="Arial" w:cs="Arial"/>
          <w:szCs w:val="28"/>
          <w:lang w:val="uk-UA"/>
        </w:rPr>
      </w:pPr>
      <w:r w:rsidRPr="00511005">
        <w:rPr>
          <w:rFonts w:ascii="Arial" w:eastAsia="Calibri" w:hAnsi="Arial" w:cs="Arial"/>
          <w:szCs w:val="28"/>
          <w:lang w:val="uk-UA"/>
        </w:rPr>
        <w:t>Законодавче визначення поняття «диверсія» міститься в розділі І особливої частини Кримінального кодексу України, який регулює відповідальність за злочини проти основ національної безпеки. Це свідчить про особливо високий рівень суспільної небезпечності даного діяння, що загрожує державі і суспільству. Відповідно до статті 113 КК України, диверсія — це вчинення вибухів, підпалів або інших дій, спрямованих на масове знищення людей, заподіяння тілесних ушкоджень чи іншої шкоди їхньому здоров'ю, на зруйнування або ушкодження об'єктів, які мають важливе народногосподарське чи оборонне значення, а також вчинення дій, спрямованих на радіоактивне забруднення, масове отруєння, поширення епідемії, епізоотій чи епіфітотій [2, с. 129].</w:t>
      </w:r>
    </w:p>
    <w:p w14:paraId="31E75063" w14:textId="77777777" w:rsidR="00200E87" w:rsidRPr="00511005" w:rsidRDefault="00200E87" w:rsidP="003A292D">
      <w:pPr>
        <w:shd w:val="clear" w:color="auto" w:fill="FFFFFF"/>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контексті правового аналізу відповідальності за диверсійну діяльність в умовах воєнного стану особливого значення набувають соціальні ознаки предмета цього злочину. Як підкреслює Р. Л. Чорний, об'єкти, на які спрямована диверсія, мають не лише матеріальну, а й соціальну цінність, оскільки їх знищення або пошкодження впливає на функціонування ключових сфер державного життя — економіки, енергетики, транспорту, оборони. Такий вплив посилюється в умовах воєнного стану, коли навіть локальні диверсійні акти можуть дестабілізувати державне управління та підірвати громадську безпеку </w:t>
      </w:r>
      <w:r w:rsidRPr="00511005">
        <w:rPr>
          <w:rFonts w:ascii="Arial" w:eastAsia="Calibri" w:hAnsi="Arial" w:cs="Arial"/>
          <w:szCs w:val="28"/>
        </w:rPr>
        <w:t>[3</w:t>
      </w:r>
      <w:r w:rsidRPr="00511005">
        <w:rPr>
          <w:rFonts w:ascii="Arial" w:eastAsia="Calibri" w:hAnsi="Arial" w:cs="Arial"/>
          <w:szCs w:val="28"/>
          <w:lang w:val="uk-UA"/>
        </w:rPr>
        <w:t>, с. 93</w:t>
      </w:r>
      <w:r w:rsidRPr="00511005">
        <w:rPr>
          <w:rFonts w:ascii="Arial" w:eastAsia="Calibri" w:hAnsi="Arial" w:cs="Arial"/>
          <w:szCs w:val="28"/>
        </w:rPr>
        <w:t>]</w:t>
      </w:r>
      <w:r w:rsidRPr="00511005">
        <w:rPr>
          <w:rFonts w:ascii="Arial" w:eastAsia="Calibri" w:hAnsi="Arial" w:cs="Arial"/>
          <w:szCs w:val="28"/>
          <w:lang w:val="uk-UA"/>
        </w:rPr>
        <w:t>.</w:t>
      </w:r>
    </w:p>
    <w:p w14:paraId="1203B8FD" w14:textId="77777777" w:rsidR="00200E87" w:rsidRPr="00511005" w:rsidRDefault="00200E87" w:rsidP="003A292D">
      <w:pPr>
        <w:shd w:val="clear" w:color="auto" w:fill="FFFFFF"/>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Не можна ігнорувати той факт, що процес інформатизації суспільства охопив практично всі країни світу. Завдяки цьому сформувалося поняття "інформаційна безпека", що означає процес управління загрозами та небезпеками в інформаційній сфері. Тому інформаційна безпека є невід'ємною частиною загальної безпеки, чи то національної, чи то </w:t>
      </w:r>
      <w:r w:rsidRPr="00511005">
        <w:rPr>
          <w:rFonts w:ascii="Arial" w:eastAsia="Calibri" w:hAnsi="Arial" w:cs="Arial"/>
          <w:szCs w:val="28"/>
          <w:lang w:val="uk-UA"/>
        </w:rPr>
        <w:lastRenderedPageBreak/>
        <w:t>регіональної, чи то міжнародної. Інформаційна безпека орієнтована на захист значимих суб'єктів інформаційних ресурсів, законних інтересів [4, с. 153-154].</w:t>
      </w:r>
    </w:p>
    <w:p w14:paraId="33DC7F47" w14:textId="77777777" w:rsidR="00200E87" w:rsidRPr="00511005" w:rsidRDefault="00200E87" w:rsidP="003A292D">
      <w:pPr>
        <w:shd w:val="clear" w:color="auto" w:fill="FFFFFF"/>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Відповідно до Закону України "Про основи національної безпеки України" до загроз національним інтересам і національній безпеці в інформаційній сфері відноситься комп'ютерна злочинність та комп'ютерний тероризм [4 с. 161]. </w:t>
      </w:r>
    </w:p>
    <w:p w14:paraId="2D0B9791" w14:textId="77777777" w:rsidR="00200E87" w:rsidRPr="00511005" w:rsidRDefault="00200E87" w:rsidP="003A292D">
      <w:pPr>
        <w:shd w:val="clear" w:color="auto" w:fill="FFFFFF"/>
        <w:spacing w:line="264" w:lineRule="auto"/>
        <w:ind w:firstLine="0"/>
        <w:rPr>
          <w:rFonts w:ascii="Arial" w:eastAsia="Calibri" w:hAnsi="Arial" w:cs="Arial"/>
          <w:szCs w:val="28"/>
          <w:shd w:val="clear" w:color="auto" w:fill="FFFFFF"/>
        </w:rPr>
      </w:pPr>
      <w:r w:rsidRPr="00511005">
        <w:rPr>
          <w:rFonts w:ascii="Arial" w:eastAsia="Calibri" w:hAnsi="Arial" w:cs="Arial"/>
          <w:szCs w:val="28"/>
          <w:shd w:val="clear" w:color="auto" w:fill="FFFFFF"/>
          <w:lang w:val="uk-UA"/>
        </w:rPr>
        <w:t>Рамки статті 113 КК України не дозволяють здійснити більш детальний аналіз сучасних форм та видів диверсійної діяльності залежно від способів та засобів її здійснення. Особливим видом диверсії, який з’явився відносно недавно, є так звана інформаційна диверсія - кібердиверсія (диверсія, що має відношення до комп’ютерів та комп’ютерних мереж). Швидкий розвиток Інтернету відкрив широкий спектр можливостей як у сфері пропаганди, так і безпосередньо у сфері озброєної боротьби</w:t>
      </w:r>
      <w:r w:rsidRPr="00511005">
        <w:rPr>
          <w:rFonts w:ascii="Arial" w:eastAsia="Calibri" w:hAnsi="Arial" w:cs="Arial"/>
          <w:szCs w:val="28"/>
          <w:shd w:val="clear" w:color="auto" w:fill="FFFFFF"/>
        </w:rPr>
        <w:t xml:space="preserve"> [5</w:t>
      </w:r>
      <w:r w:rsidRPr="00511005">
        <w:rPr>
          <w:rFonts w:ascii="Arial" w:eastAsia="Calibri" w:hAnsi="Arial" w:cs="Arial"/>
          <w:szCs w:val="28"/>
          <w:shd w:val="clear" w:color="auto" w:fill="FFFFFF"/>
          <w:lang w:val="uk-UA"/>
        </w:rPr>
        <w:t>, с. 20</w:t>
      </w:r>
      <w:r w:rsidRPr="00511005">
        <w:rPr>
          <w:rFonts w:ascii="Arial" w:eastAsia="Calibri" w:hAnsi="Arial" w:cs="Arial"/>
          <w:szCs w:val="28"/>
          <w:shd w:val="clear" w:color="auto" w:fill="FFFFFF"/>
        </w:rPr>
        <w:t>].</w:t>
      </w:r>
    </w:p>
    <w:p w14:paraId="30C2682C" w14:textId="77777777" w:rsidR="00200E87" w:rsidRPr="00511005" w:rsidRDefault="00200E87" w:rsidP="003A292D">
      <w:pPr>
        <w:shd w:val="clear" w:color="auto" w:fill="FFFFFF"/>
        <w:spacing w:line="264" w:lineRule="auto"/>
        <w:ind w:firstLine="0"/>
        <w:rPr>
          <w:rFonts w:ascii="Arial" w:eastAsia="Calibri" w:hAnsi="Arial" w:cs="Arial"/>
          <w:szCs w:val="28"/>
        </w:rPr>
      </w:pPr>
      <w:r w:rsidRPr="00511005">
        <w:rPr>
          <w:rFonts w:ascii="Arial" w:eastAsia="Calibri" w:hAnsi="Arial" w:cs="Arial"/>
          <w:szCs w:val="28"/>
          <w:lang w:val="uk-UA"/>
        </w:rPr>
        <w:t xml:space="preserve">Якщо розглядати ознаку «вчинена в умовах воєнного стану», то диверсія може бути вчинена навіть на територіях, де на момент злочину відсутні активні бойові дії, але якщо це сталося в період дії режиму воєнного стану, то такі дії безпосередньо пов’язані з ним. </w:t>
      </w:r>
      <w:r w:rsidRPr="00511005">
        <w:rPr>
          <w:rFonts w:ascii="Arial" w:eastAsia="Calibri" w:hAnsi="Arial" w:cs="Arial"/>
          <w:szCs w:val="28"/>
        </w:rPr>
        <w:t xml:space="preserve">Це зумовлено тим, що мова йде про посягання на користь ворога. Через це факт дії воєнного стану є кваліфікуючою ознакою, незалежно від локації злочину. Тобто всі випадки диверсії в період дії правового режиму воєнного стану необхідно кваліфікувати за ч. 2 ст. 113 КК. Слід звернути увагу, що ч. 2 ст. 113 КК також вказує на можливість вчинення злочину як у період воєнного стану, так і під час збройного конфлікту. Наявність темпоральної ознаки періоду збройного конфлікту нині не викликає сумнівів. </w:t>
      </w:r>
    </w:p>
    <w:p w14:paraId="2D23394D" w14:textId="77777777" w:rsidR="00200E87" w:rsidRPr="00511005" w:rsidRDefault="00200E87" w:rsidP="003A292D">
      <w:pPr>
        <w:shd w:val="clear" w:color="auto" w:fill="FFFFFF"/>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Зважаючи на надзвичайну суспільну небезпечність диверсії, яка полягає у вчиненні дій, що можуть спричинити масові людські жертви, руйнування важливих об’єктів чи поширення небезпечних інфекцій, законодавець визнав за необхідне посилити відповідальність за цей злочин в умовах воєнного стану. У зв’язку з цим Верховна Рада України, усвідомлюючи загрозу, зумовлену повномасштабним вторгненням рф, ухвалила Закон «Про внесення змін до Кримінального кодексу України щодо посилення відповідальності за злочини проти основ національної безпеки України в умовах дії режиму воєнного стану» від 03.03.2022. </w:t>
      </w:r>
    </w:p>
    <w:p w14:paraId="3B5A063B" w14:textId="77777777" w:rsidR="00200E87" w:rsidRPr="00511005" w:rsidRDefault="00200E87" w:rsidP="003A292D">
      <w:pPr>
        <w:shd w:val="clear" w:color="auto" w:fill="FFFFFF"/>
        <w:spacing w:line="264" w:lineRule="auto"/>
        <w:ind w:firstLine="0"/>
        <w:rPr>
          <w:rFonts w:ascii="Arial" w:eastAsia="Calibri" w:hAnsi="Arial" w:cs="Arial"/>
          <w:szCs w:val="28"/>
          <w:lang w:val="uk-UA"/>
        </w:rPr>
      </w:pPr>
      <w:r w:rsidRPr="00511005">
        <w:rPr>
          <w:rFonts w:ascii="Arial" w:eastAsia="Calibri" w:hAnsi="Arial" w:cs="Arial"/>
          <w:szCs w:val="28"/>
          <w:lang w:val="uk-UA"/>
        </w:rPr>
        <w:t>Так, Закон передбачає у статтях 111 та 113 Кримінального Кодексу України максимальне покарання за державну зраду та диверсію в умовах воєнного стану у вигляді позбавлення волі на строк 15 років або довічне позбавлення волі з обов’язковою конфіскацією всього майна. До внесення змін санкція частини першої статті 113 передбачала покарання у вигляді позбавлення волі на строк від десяти до п’ятнадцяти років з конфіскацією майна або без неї, і не враховувала темпоральну ознаку — час вчинення злочину.</w:t>
      </w:r>
    </w:p>
    <w:p w14:paraId="07ADD550" w14:textId="3490C9E6" w:rsidR="00200E87" w:rsidRPr="00511005" w:rsidRDefault="00200E87" w:rsidP="003A292D">
      <w:pPr>
        <w:shd w:val="clear" w:color="auto" w:fill="FFFFFF"/>
        <w:spacing w:line="264" w:lineRule="auto"/>
        <w:ind w:firstLine="0"/>
        <w:rPr>
          <w:rFonts w:ascii="Arial" w:eastAsia="Calibri" w:hAnsi="Arial" w:cs="Arial"/>
          <w:szCs w:val="28"/>
          <w:lang w:val="uk-UA"/>
        </w:rPr>
      </w:pPr>
      <w:r w:rsidRPr="00511005">
        <w:rPr>
          <w:rFonts w:ascii="Arial" w:eastAsia="Calibri" w:hAnsi="Arial" w:cs="Arial"/>
          <w:szCs w:val="28"/>
          <w:lang w:val="uk-UA"/>
        </w:rPr>
        <w:t>Окрім цього, забороняється будь-яка амністія до осіб, які вчинили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диверсію. Ч. 4 ст. 86 КК слід сприймати як спеціальну норму: особи, засуджені за </w:t>
      </w:r>
      <w:r w:rsidRPr="00511005">
        <w:rPr>
          <w:rFonts w:ascii="Arial" w:eastAsia="Calibri" w:hAnsi="Arial" w:cs="Arial"/>
          <w:szCs w:val="28"/>
          <w:lang w:val="uk-UA"/>
        </w:rPr>
        <w:lastRenderedPageBreak/>
        <w:t>злочини, передбачені 113 статтею, – не можуть бути звільнені законом про амністію від відбування покарання повністю, а лише після фактичного відбуття ними певних строків.</w:t>
      </w:r>
    </w:p>
    <w:p w14:paraId="32DD034E" w14:textId="77777777" w:rsidR="00200E87" w:rsidRPr="00511005" w:rsidRDefault="00200E87" w:rsidP="003A292D">
      <w:pPr>
        <w:shd w:val="clear" w:color="auto" w:fill="FFFFFF"/>
        <w:spacing w:line="264" w:lineRule="auto"/>
        <w:ind w:firstLine="0"/>
        <w:rPr>
          <w:rFonts w:ascii="Arial" w:eastAsia="Calibri" w:hAnsi="Arial" w:cs="Arial"/>
          <w:szCs w:val="28"/>
          <w:lang w:val="uk-UA"/>
        </w:rPr>
      </w:pPr>
      <w:r w:rsidRPr="00511005">
        <w:rPr>
          <w:rFonts w:ascii="Arial" w:eastAsia="Calibri" w:hAnsi="Arial" w:cs="Arial"/>
          <w:szCs w:val="28"/>
          <w:lang w:val="uk-UA"/>
        </w:rPr>
        <w:t>У пояснювальній записці до Закону увага акцентується на тому, що в умовах воєнного стану надзвичайно важливо максимально посилити відповідальність за дії ганебних «громадян України» за вчинення злочинів проти основ національної безпеки України. Зазначається, що правове регулювання у цій сфері здійснюється на основі Конституції України та Кримінального кодексу України, а потреба в такому посиленні обґрунтована не лише юридично, а й морально — прагненням народу до справедливості та правосуддя. Законопроєкт не передбачає витрат із Державного бюджету, проте може забезпечити його поповнення за рахунок конфіскованого майна осіб, винних у державній зраді чи диверсії, що, у свою чергу, сприятиме відновленню країни.</w:t>
      </w:r>
    </w:p>
    <w:p w14:paraId="63D48560" w14:textId="77777777" w:rsidR="00200E87" w:rsidRPr="00511005" w:rsidRDefault="00200E87" w:rsidP="003A292D">
      <w:pPr>
        <w:shd w:val="clear" w:color="auto" w:fill="FFFFFF"/>
        <w:spacing w:line="264" w:lineRule="auto"/>
        <w:ind w:firstLine="0"/>
        <w:rPr>
          <w:rFonts w:ascii="Arial" w:eastAsia="Calibri" w:hAnsi="Arial" w:cs="Arial"/>
          <w:szCs w:val="28"/>
        </w:rPr>
      </w:pPr>
      <w:r w:rsidRPr="00511005">
        <w:rPr>
          <w:rFonts w:ascii="Arial" w:eastAsia="Calibri" w:hAnsi="Arial" w:cs="Arial"/>
          <w:szCs w:val="28"/>
          <w:lang w:val="uk-UA"/>
        </w:rPr>
        <w:t xml:space="preserve">Головним комплексним результатом прийняття цього законопроєкту стане посилення кримінальної відповідальності та справедлива відповідь тим нечисленним "громадянам України" які вчинять державну зраду або диверсію на території України у воєнний час </w:t>
      </w:r>
      <w:r w:rsidRPr="00511005">
        <w:rPr>
          <w:rFonts w:ascii="Arial" w:eastAsia="Calibri" w:hAnsi="Arial" w:cs="Arial"/>
          <w:szCs w:val="28"/>
        </w:rPr>
        <w:t>[6].</w:t>
      </w:r>
    </w:p>
    <w:p w14:paraId="6B0D9CFF" w14:textId="77777777" w:rsidR="00200E87" w:rsidRPr="00511005" w:rsidRDefault="00200E87" w:rsidP="003A292D">
      <w:pPr>
        <w:shd w:val="clear" w:color="auto" w:fill="FFFFFF"/>
        <w:spacing w:line="264" w:lineRule="auto"/>
        <w:ind w:firstLine="0"/>
        <w:rPr>
          <w:rFonts w:ascii="Arial" w:eastAsia="Calibri" w:hAnsi="Arial" w:cs="Arial"/>
          <w:szCs w:val="28"/>
        </w:rPr>
      </w:pPr>
      <w:r w:rsidRPr="00511005">
        <w:rPr>
          <w:rFonts w:ascii="Arial" w:eastAsia="Calibri" w:hAnsi="Arial" w:cs="Arial"/>
          <w:szCs w:val="28"/>
        </w:rPr>
        <w:t>Таким чином, законодавець обґрунтовано посилив відповідальність за злочини проти національної безпеки, що і надалі підтверджується практикою й науковими дослідженнями. Підвищення відповідальності за диверсію та інші злочини, вчинені в умовах воєнного стану є необхідним кроком для збереження державності, суспільної безпеки та справедливості в умовах війни.</w:t>
      </w:r>
    </w:p>
    <w:p w14:paraId="044CDCC6" w14:textId="77777777" w:rsidR="00200E87" w:rsidRPr="00511005" w:rsidRDefault="00200E87" w:rsidP="003A292D">
      <w:pPr>
        <w:spacing w:line="264" w:lineRule="auto"/>
        <w:ind w:firstLine="0"/>
        <w:jc w:val="center"/>
        <w:rPr>
          <w:rFonts w:ascii="Arial" w:eastAsia="Calibri" w:hAnsi="Arial" w:cs="Arial"/>
          <w:b/>
          <w:bCs/>
          <w:szCs w:val="28"/>
          <w:lang w:val="uk-UA"/>
        </w:rPr>
      </w:pPr>
    </w:p>
    <w:p w14:paraId="13BE4E68" w14:textId="1E7F3961" w:rsidR="00200E87"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06D2A149" w14:textId="77777777" w:rsidR="00200E87" w:rsidRPr="00511005" w:rsidRDefault="00200E87" w:rsidP="003F6A5D">
      <w:pPr>
        <w:numPr>
          <w:ilvl w:val="0"/>
          <w:numId w:val="533"/>
        </w:numPr>
        <w:shd w:val="clear" w:color="auto" w:fill="FFFFFF"/>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Злочини вчинені в період повномасштабного вторгнення Російської Федерації. Офіс Генерального прокурора України. URL: </w:t>
      </w:r>
      <w:hyperlink r:id="rId1872" w:history="1">
        <w:r w:rsidRPr="00511005">
          <w:rPr>
            <w:rFonts w:ascii="Arial" w:eastAsia="Calibri" w:hAnsi="Arial" w:cs="Arial"/>
            <w:szCs w:val="28"/>
            <w:lang w:val="uk-UA"/>
          </w:rPr>
          <w:t>https://www.gp.gov.ua/</w:t>
        </w:r>
      </w:hyperlink>
      <w:r w:rsidRPr="00511005">
        <w:rPr>
          <w:rFonts w:ascii="Arial" w:eastAsia="Calibri" w:hAnsi="Arial" w:cs="Arial"/>
          <w:szCs w:val="28"/>
        </w:rPr>
        <w:t xml:space="preserve"> </w:t>
      </w:r>
      <w:r w:rsidRPr="00511005">
        <w:rPr>
          <w:rFonts w:ascii="Arial" w:eastAsia="Calibri" w:hAnsi="Arial" w:cs="Arial"/>
          <w:szCs w:val="28"/>
          <w:lang w:val="uk-UA"/>
        </w:rPr>
        <w:t>(дата звернення: 14.04.2025).</w:t>
      </w:r>
    </w:p>
    <w:p w14:paraId="59821528" w14:textId="77777777" w:rsidR="00200E87" w:rsidRPr="00511005" w:rsidRDefault="00200E87" w:rsidP="003F6A5D">
      <w:pPr>
        <w:numPr>
          <w:ilvl w:val="0"/>
          <w:numId w:val="533"/>
        </w:numPr>
        <w:shd w:val="clear" w:color="auto" w:fill="FFFFFF"/>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Бантишев О.Ф. Кримінальна відповідальність за злочини проти основ національної безпеки України (проблеми кваліфікації): монографія / О.Ф. Бантишев, О.В. Шамара. – [3-е вид., перероб. та доп.]. – Луганськ, ТОВ «Віртуальна реальність», 2014. – 240 с.</w:t>
      </w:r>
    </w:p>
    <w:p w14:paraId="6E727CBD" w14:textId="77777777" w:rsidR="00200E87" w:rsidRPr="00511005" w:rsidRDefault="00200E87" w:rsidP="003F6A5D">
      <w:pPr>
        <w:numPr>
          <w:ilvl w:val="0"/>
          <w:numId w:val="533"/>
        </w:numPr>
        <w:shd w:val="clear" w:color="auto" w:fill="FFFFFF"/>
        <w:spacing w:line="264" w:lineRule="auto"/>
        <w:contextualSpacing/>
        <w:jc w:val="left"/>
        <w:rPr>
          <w:rFonts w:ascii="Arial" w:eastAsia="Calibri" w:hAnsi="Arial" w:cs="Arial"/>
          <w:szCs w:val="28"/>
          <w:lang w:val="uk-UA"/>
        </w:rPr>
      </w:pPr>
      <w:r w:rsidRPr="00511005">
        <w:rPr>
          <w:rFonts w:ascii="Arial" w:eastAsia="Calibri" w:hAnsi="Arial" w:cs="Arial"/>
          <w:szCs w:val="28"/>
        </w:rPr>
        <w:t xml:space="preserve">Чорний Р. Л. Соціальні ознаки предмета складу диверсії. </w:t>
      </w:r>
      <w:r w:rsidRPr="00511005">
        <w:rPr>
          <w:rFonts w:ascii="Arial" w:eastAsia="Calibri" w:hAnsi="Arial" w:cs="Arial"/>
          <w:i/>
          <w:iCs/>
          <w:szCs w:val="28"/>
        </w:rPr>
        <w:t>Юридичний науковий електронний журнал.</w:t>
      </w:r>
      <w:r w:rsidRPr="00511005">
        <w:rPr>
          <w:rFonts w:ascii="Arial" w:eastAsia="Calibri" w:hAnsi="Arial" w:cs="Arial"/>
          <w:szCs w:val="28"/>
        </w:rPr>
        <w:t xml:space="preserve"> 2014. 2: </w:t>
      </w:r>
      <w:r w:rsidRPr="00511005">
        <w:rPr>
          <w:rFonts w:ascii="Arial" w:eastAsia="Calibri" w:hAnsi="Arial" w:cs="Arial"/>
          <w:szCs w:val="28"/>
          <w:lang w:val="en-US"/>
        </w:rPr>
        <w:t>C</w:t>
      </w:r>
      <w:r w:rsidRPr="00511005">
        <w:rPr>
          <w:rFonts w:ascii="Arial" w:eastAsia="Calibri" w:hAnsi="Arial" w:cs="Arial"/>
          <w:szCs w:val="28"/>
        </w:rPr>
        <w:t xml:space="preserve">. 92-96. </w:t>
      </w:r>
      <w:r w:rsidRPr="00511005">
        <w:rPr>
          <w:rFonts w:ascii="Arial" w:eastAsia="Calibri" w:hAnsi="Arial" w:cs="Arial"/>
          <w:szCs w:val="28"/>
          <w:lang w:val="en-US"/>
        </w:rPr>
        <w:t>URL</w:t>
      </w:r>
      <w:r w:rsidRPr="00511005">
        <w:rPr>
          <w:rFonts w:ascii="Arial" w:eastAsia="Calibri" w:hAnsi="Arial" w:cs="Arial"/>
          <w:szCs w:val="28"/>
        </w:rPr>
        <w:t xml:space="preserve">: </w:t>
      </w:r>
      <w:hyperlink r:id="rId1873" w:history="1">
        <w:r w:rsidRPr="00511005">
          <w:rPr>
            <w:rFonts w:ascii="Arial" w:eastAsia="Calibri" w:hAnsi="Arial" w:cs="Arial"/>
            <w:szCs w:val="28"/>
            <w:lang w:val="en-US"/>
          </w:rPr>
          <w:t>http</w:t>
        </w:r>
        <w:r w:rsidRPr="00511005">
          <w:rPr>
            <w:rFonts w:ascii="Arial" w:eastAsia="Calibri" w:hAnsi="Arial" w:cs="Arial"/>
            <w:szCs w:val="28"/>
          </w:rPr>
          <w:t>://</w:t>
        </w:r>
        <w:r w:rsidRPr="00511005">
          <w:rPr>
            <w:rFonts w:ascii="Arial" w:eastAsia="Calibri" w:hAnsi="Arial" w:cs="Arial"/>
            <w:szCs w:val="28"/>
            <w:lang w:val="en-US"/>
          </w:rPr>
          <w:t>www</w:t>
        </w:r>
        <w:r w:rsidRPr="00511005">
          <w:rPr>
            <w:rFonts w:ascii="Arial" w:eastAsia="Calibri" w:hAnsi="Arial" w:cs="Arial"/>
            <w:szCs w:val="28"/>
          </w:rPr>
          <w:t>.</w:t>
        </w:r>
        <w:r w:rsidRPr="00511005">
          <w:rPr>
            <w:rFonts w:ascii="Arial" w:eastAsia="Calibri" w:hAnsi="Arial" w:cs="Arial"/>
            <w:szCs w:val="28"/>
            <w:lang w:val="en-US"/>
          </w:rPr>
          <w:t>lsej</w:t>
        </w:r>
        <w:r w:rsidRPr="00511005">
          <w:rPr>
            <w:rFonts w:ascii="Arial" w:eastAsia="Calibri" w:hAnsi="Arial" w:cs="Arial"/>
            <w:szCs w:val="28"/>
          </w:rPr>
          <w:t>.</w:t>
        </w:r>
        <w:r w:rsidRPr="00511005">
          <w:rPr>
            <w:rFonts w:ascii="Arial" w:eastAsia="Calibri" w:hAnsi="Arial" w:cs="Arial"/>
            <w:szCs w:val="28"/>
            <w:lang w:val="en-US"/>
          </w:rPr>
          <w:t>org</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/2_2014/2_2014.</w:t>
        </w:r>
        <w:r w:rsidRPr="00511005">
          <w:rPr>
            <w:rFonts w:ascii="Arial" w:eastAsia="Calibri" w:hAnsi="Arial" w:cs="Arial"/>
            <w:szCs w:val="28"/>
            <w:lang w:val="en-US"/>
          </w:rPr>
          <w:t>pdf</w:t>
        </w:r>
      </w:hyperlink>
      <w:r w:rsidRPr="00511005">
        <w:rPr>
          <w:rFonts w:ascii="Arial" w:eastAsia="Calibri" w:hAnsi="Arial" w:cs="Arial"/>
          <w:szCs w:val="28"/>
        </w:rPr>
        <w:t xml:space="preserve"> (дата звернення: 01.04.2025).</w:t>
      </w:r>
    </w:p>
    <w:p w14:paraId="39285D5D" w14:textId="22A46F85" w:rsidR="00200E87" w:rsidRPr="00511005" w:rsidRDefault="00200E87" w:rsidP="003F6A5D">
      <w:pPr>
        <w:numPr>
          <w:ilvl w:val="0"/>
          <w:numId w:val="533"/>
        </w:numPr>
        <w:shd w:val="clear" w:color="auto" w:fill="FFFFFF"/>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Ліпкан В. А. Національна безпека України. Навчальний посібник, Київ: КНТ,</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2009. 382 с.</w:t>
      </w:r>
    </w:p>
    <w:p w14:paraId="5C92989E" w14:textId="77777777" w:rsidR="00200E87" w:rsidRPr="00511005" w:rsidRDefault="00200E87" w:rsidP="003F6A5D">
      <w:pPr>
        <w:numPr>
          <w:ilvl w:val="0"/>
          <w:numId w:val="533"/>
        </w:numPr>
        <w:shd w:val="clear" w:color="auto" w:fill="FFFFFF"/>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Кузьменко Б. В. Інформаційна диверсія та інформаційний саботаж — інструменти кібертероризму // Матеріали науково-практичної конференції. 2015. С. 20–22. URL: </w:t>
      </w:r>
      <w:hyperlink r:id="rId1874" w:history="1">
        <w:r w:rsidRPr="00511005">
          <w:rPr>
            <w:rFonts w:ascii="Arial" w:eastAsia="Calibri" w:hAnsi="Arial" w:cs="Arial"/>
            <w:szCs w:val="28"/>
            <w:lang w:val="uk-UA"/>
          </w:rPr>
          <w:t>https://elar.navs.edu.ua/server/api/core/bitstreams/52e6bf86-1ef4-4ba1-81ee-6c0da8b409f7/content</w:t>
        </w:r>
      </w:hyperlink>
      <w:r w:rsidRPr="00511005">
        <w:rPr>
          <w:rFonts w:ascii="Arial" w:eastAsia="Calibri" w:hAnsi="Arial" w:cs="Arial"/>
          <w:szCs w:val="28"/>
          <w:lang w:val="uk-UA"/>
        </w:rPr>
        <w:t xml:space="preserve"> (дата звернення: 03.04.2025).</w:t>
      </w:r>
    </w:p>
    <w:p w14:paraId="7EF5CB72" w14:textId="2AD3DC74" w:rsidR="00200E87" w:rsidRPr="00511005" w:rsidRDefault="00200E87" w:rsidP="003F6A5D">
      <w:pPr>
        <w:numPr>
          <w:ilvl w:val="0"/>
          <w:numId w:val="533"/>
        </w:numPr>
        <w:shd w:val="clear" w:color="auto" w:fill="FFFFFF"/>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Про внесення змін до Кримінального кодексу України щодо посилення відповідальності за злочини проти основ національної безпеки України в умовах дії режиму воєнного стану. Пояснювальна записка до проекту Закону України від 28.02.2022 № 7116.</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URL: </w:t>
      </w:r>
      <w:hyperlink r:id="rId1875" w:history="1">
        <w:r w:rsidRPr="00511005">
          <w:rPr>
            <w:rFonts w:ascii="Arial" w:eastAsia="Calibri" w:hAnsi="Arial" w:cs="Arial"/>
            <w:szCs w:val="28"/>
            <w:lang w:val="uk-UA"/>
          </w:rPr>
          <w:t>https://ips.ligazakon.net/document/GI07076A?an=11</w:t>
        </w:r>
      </w:hyperlink>
      <w:r w:rsidR="007B2628" w:rsidRPr="00511005">
        <w:rPr>
          <w:rFonts w:ascii="Arial" w:eastAsia="Calibri" w:hAnsi="Arial" w:cs="Arial"/>
          <w:szCs w:val="28"/>
        </w:rPr>
        <w:t xml:space="preserve"> </w:t>
      </w:r>
      <w:r w:rsidRPr="00511005">
        <w:rPr>
          <w:rFonts w:ascii="Arial" w:eastAsia="Calibri" w:hAnsi="Arial" w:cs="Arial"/>
          <w:szCs w:val="28"/>
          <w:lang w:val="uk-UA"/>
        </w:rPr>
        <w:t>(дата звернення: 01.04.2025).</w:t>
      </w:r>
    </w:p>
    <w:p w14:paraId="368AE3C1" w14:textId="77777777" w:rsidR="00200E87" w:rsidRPr="00511005" w:rsidRDefault="00200E87" w:rsidP="003A292D">
      <w:pPr>
        <w:shd w:val="clear" w:color="auto" w:fill="FFFFFF"/>
        <w:spacing w:line="264" w:lineRule="auto"/>
        <w:ind w:firstLine="0"/>
        <w:rPr>
          <w:rFonts w:ascii="Arial" w:eastAsia="Calibri" w:hAnsi="Arial" w:cs="Arial"/>
          <w:b/>
          <w:bCs/>
          <w:szCs w:val="28"/>
          <w:lang w:val="uk-UA"/>
        </w:rPr>
      </w:pPr>
    </w:p>
    <w:p w14:paraId="09502906" w14:textId="7A984650" w:rsidR="00200E87" w:rsidRPr="00511005" w:rsidRDefault="007B2628" w:rsidP="003A292D">
      <w:pPr>
        <w:shd w:val="clear" w:color="auto" w:fill="FFFFFF"/>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200E87" w:rsidRPr="00511005">
        <w:rPr>
          <w:rFonts w:ascii="Arial" w:eastAsia="Calibri" w:hAnsi="Arial" w:cs="Arial"/>
          <w:szCs w:val="28"/>
          <w:lang w:val="uk-UA"/>
        </w:rPr>
        <w:t xml:space="preserve">воєнний стан, диверсія, ослаблення держави, масове знищення людей, національна безпека, кримінальна відповідальність. </w:t>
      </w:r>
    </w:p>
    <w:p w14:paraId="634290B6" w14:textId="51C6DF2D" w:rsidR="00200E87" w:rsidRPr="00511005" w:rsidRDefault="007B2628" w:rsidP="003A292D">
      <w:pPr>
        <w:shd w:val="clear" w:color="auto" w:fill="FFFFFF"/>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Key words: </w:t>
      </w:r>
      <w:r w:rsidR="00200E87" w:rsidRPr="00511005">
        <w:rPr>
          <w:rFonts w:ascii="Arial" w:eastAsia="Calibri" w:hAnsi="Arial" w:cs="Arial"/>
          <w:szCs w:val="28"/>
          <w:lang w:val="uk-UA"/>
        </w:rPr>
        <w:t>martial la</w:t>
      </w:r>
      <w:r w:rsidR="00200E87" w:rsidRPr="00511005">
        <w:rPr>
          <w:rFonts w:ascii="Arial" w:eastAsia="Calibri" w:hAnsi="Arial" w:cs="Arial"/>
          <w:szCs w:val="28"/>
          <w:lang w:val="en-US"/>
        </w:rPr>
        <w:t>w</w:t>
      </w:r>
      <w:r w:rsidR="00200E87" w:rsidRPr="00511005">
        <w:rPr>
          <w:rFonts w:ascii="Arial" w:eastAsia="Calibri" w:hAnsi="Arial" w:cs="Arial"/>
          <w:szCs w:val="28"/>
          <w:lang w:val="uk-UA"/>
        </w:rPr>
        <w:t>, sabotage, weakening of the state, mass destruction of people, national security, criminal liability.</w:t>
      </w:r>
    </w:p>
    <w:p w14:paraId="0BB6858A" w14:textId="77777777" w:rsidR="00200E87" w:rsidRPr="00511005" w:rsidRDefault="00200E87" w:rsidP="003A292D">
      <w:pPr>
        <w:shd w:val="clear" w:color="auto" w:fill="FFFFFF"/>
        <w:spacing w:line="264" w:lineRule="auto"/>
        <w:ind w:firstLine="0"/>
        <w:rPr>
          <w:rFonts w:ascii="Arial" w:eastAsia="Calibri" w:hAnsi="Arial" w:cs="Arial"/>
          <w:i/>
          <w:iCs/>
          <w:szCs w:val="28"/>
          <w:lang w:val="uk-UA"/>
        </w:rPr>
      </w:pPr>
    </w:p>
    <w:p w14:paraId="742DB66D" w14:textId="601D68F2" w:rsidR="00200E87" w:rsidRPr="00511005" w:rsidRDefault="007B2628" w:rsidP="003A292D">
      <w:pPr>
        <w:shd w:val="clear" w:color="auto" w:fill="FFFFFF"/>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200E87" w:rsidRPr="00511005">
        <w:rPr>
          <w:rFonts w:ascii="Arial" w:eastAsia="Calibri" w:hAnsi="Arial" w:cs="Arial"/>
          <w:i/>
          <w:iCs/>
          <w:szCs w:val="28"/>
          <w:lang w:val="uk-UA"/>
        </w:rPr>
        <w:t>к.ю.н., професор Мирошниченко Н. А.</w:t>
      </w:r>
    </w:p>
    <w:p w14:paraId="18BC75C0" w14:textId="77777777" w:rsidR="00200E87" w:rsidRPr="00511005" w:rsidRDefault="00200E87" w:rsidP="003A292D">
      <w:pPr>
        <w:shd w:val="clear" w:color="auto" w:fill="FFFFFF"/>
        <w:spacing w:line="264" w:lineRule="auto"/>
        <w:ind w:firstLine="0"/>
        <w:rPr>
          <w:rFonts w:ascii="Arial" w:eastAsia="Calibri" w:hAnsi="Arial" w:cs="Arial"/>
          <w:i/>
          <w:iCs/>
          <w:szCs w:val="28"/>
          <w:lang w:val="uk-UA"/>
        </w:rPr>
      </w:pPr>
    </w:p>
    <w:p w14:paraId="10FE0DDC" w14:textId="77777777" w:rsidR="00200E87" w:rsidRPr="00511005" w:rsidRDefault="00200E87" w:rsidP="003A292D">
      <w:pPr>
        <w:shd w:val="clear" w:color="auto" w:fill="FFFFFF"/>
        <w:spacing w:line="264" w:lineRule="auto"/>
        <w:ind w:firstLine="0"/>
        <w:rPr>
          <w:rFonts w:ascii="Arial" w:eastAsia="Calibri" w:hAnsi="Arial" w:cs="Arial"/>
          <w:i/>
          <w:iCs/>
          <w:szCs w:val="28"/>
          <w:lang w:val="uk-UA"/>
        </w:rPr>
      </w:pPr>
    </w:p>
    <w:p w14:paraId="0328CABE" w14:textId="77777777" w:rsidR="00200E87" w:rsidRPr="00511005" w:rsidRDefault="00200E87"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Сергієнко Юлія Антонівна</w:t>
      </w:r>
    </w:p>
    <w:p w14:paraId="4EF67A6B" w14:textId="365C8998" w:rsidR="00200E8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3-го курсу </w:t>
      </w:r>
      <w:r w:rsidR="007B2628" w:rsidRPr="00511005">
        <w:rPr>
          <w:rFonts w:ascii="Arial" w:eastAsia="Calibri" w:hAnsi="Arial" w:cs="Arial"/>
          <w:szCs w:val="28"/>
          <w:lang w:val="uk-UA"/>
        </w:rPr>
        <w:t>факультету цивільної та господарської юстиції</w:t>
      </w:r>
    </w:p>
    <w:p w14:paraId="60C338D5" w14:textId="6E48BE97" w:rsidR="00200E8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C682BAE" w14:textId="77777777" w:rsidR="00200E87" w:rsidRPr="00511005" w:rsidRDefault="00200E87" w:rsidP="003A292D">
      <w:pPr>
        <w:keepNext/>
        <w:spacing w:line="264" w:lineRule="auto"/>
        <w:ind w:firstLine="0"/>
        <w:jc w:val="center"/>
        <w:rPr>
          <w:rFonts w:ascii="Arial" w:eastAsia="Calibri" w:hAnsi="Arial" w:cs="Arial"/>
          <w:i/>
          <w:szCs w:val="28"/>
          <w:lang w:val="uk-UA"/>
        </w:rPr>
      </w:pPr>
    </w:p>
    <w:p w14:paraId="0360860F" w14:textId="77777777" w:rsidR="00200E87" w:rsidRPr="00511005" w:rsidRDefault="00200E87" w:rsidP="003A292D">
      <w:pPr>
        <w:keepNext/>
        <w:widowControl w:val="0"/>
        <w:spacing w:line="264" w:lineRule="auto"/>
        <w:ind w:firstLine="0"/>
        <w:jc w:val="center"/>
        <w:rPr>
          <w:rFonts w:ascii="Arial" w:eastAsia="Calibri" w:hAnsi="Arial" w:cs="Arial"/>
          <w:szCs w:val="28"/>
          <w:lang w:val="uk-UA"/>
        </w:rPr>
      </w:pPr>
      <w:r w:rsidRPr="00511005">
        <w:rPr>
          <w:rFonts w:ascii="Arial" w:eastAsia="Calibri" w:hAnsi="Arial" w:cs="Arial"/>
          <w:b/>
          <w:szCs w:val="28"/>
          <w:lang w:val="uk-UA"/>
        </w:rPr>
        <w:t xml:space="preserve">КРИМІНАЛЬНО-ПРАВОВА ХАРАКТЕРИСТИКА ДЕРЖАВНОЇ ЗРАДИ </w:t>
      </w:r>
    </w:p>
    <w:p w14:paraId="2903AABE"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У сучасних умовах повномасштабної агресії проти України питання ефективного протистояння внутрішнім загрозам державній безпеці набуває особливої гостроти. Однією з найнебезпечніших форм таких загроз є державна зрада, що становить безпосередню загрозу суверенітету, територіальній цілісності та національній безпеці держави. З огляду на зростання кількості кримінальних проваджень за ст. 111 Кримінального кодексу України, з'являється нагальна потреба у поглибленому аналізі складу цього злочину.</w:t>
      </w:r>
    </w:p>
    <w:p w14:paraId="0CBA04D5"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Стаття 111 КК України визначає поняття «Державна зрада» як діяння, умисно вчинене громадянином України на шкоду суверенітетові, територіальній цілісності та недоторканності, обороноздатності, державній, економічній чи інформаційній безпеці України: перехід на бік ворога в період збройного конфлікту, шпигунство, надання іноземній державі, іноземній організації або їх представникам допомоги в проведенні підривної діяльності проти України. [1]</w:t>
      </w:r>
    </w:p>
    <w:p w14:paraId="57580FA2"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Безпосереднім об’єктом цього злочину виступає національна безпека України переважно у сфері державної безпеки, а саме у інформаційній, економічній, науково-технологічній і воєнній сферах. Таким чином, він охоплює самостійні групи суспільних відносин, що становлять ключові інтереси держави у сферах суверенітету, територіальної цілісності та </w:t>
      </w:r>
      <w:r w:rsidRPr="00511005">
        <w:rPr>
          <w:rFonts w:ascii="Arial" w:eastAsia="Calibri" w:hAnsi="Arial" w:cs="Arial"/>
          <w:szCs w:val="28"/>
          <w:lang w:val="uk-UA"/>
        </w:rPr>
        <w:lastRenderedPageBreak/>
        <w:t xml:space="preserve">недоторканності, обороноздатності, державної, економічної й інформаційної безпеки. Це свідчить про багатооб’єктність визначеного ст. 111 КК України злочину, оскільки він посягає одночасно на декілька сфер суспільних відносин. </w:t>
      </w:r>
      <w:r w:rsidRPr="00511005">
        <w:rPr>
          <w:rFonts w:ascii="Arial" w:eastAsia="Calibri" w:hAnsi="Arial" w:cs="Arial"/>
          <w:szCs w:val="28"/>
        </w:rPr>
        <w:t>[</w:t>
      </w:r>
      <w:r w:rsidRPr="00511005">
        <w:rPr>
          <w:rFonts w:ascii="Arial" w:eastAsia="Calibri" w:hAnsi="Arial" w:cs="Arial"/>
          <w:szCs w:val="28"/>
          <w:lang w:val="uk-UA"/>
        </w:rPr>
        <w:t>3, 250</w:t>
      </w:r>
      <w:r w:rsidRPr="00511005">
        <w:rPr>
          <w:rFonts w:ascii="Arial" w:eastAsia="Calibri" w:hAnsi="Arial" w:cs="Arial"/>
          <w:szCs w:val="28"/>
        </w:rPr>
        <w:t>]</w:t>
      </w:r>
    </w:p>
    <w:p w14:paraId="685C92CA"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Calibri" w:hAnsi="Arial" w:cs="Arial"/>
          <w:szCs w:val="28"/>
          <w:lang w:val="uk-UA"/>
        </w:rPr>
        <w:t xml:space="preserve">У випадку державної зради, вчиненої шляхом шпигунства, предметом злочину є відомості, що становлять державну таємницю. </w:t>
      </w:r>
      <w:r w:rsidRPr="00511005">
        <w:rPr>
          <w:rFonts w:ascii="Arial" w:eastAsia="Times New Roman" w:hAnsi="Arial" w:cs="Arial"/>
          <w:szCs w:val="28"/>
          <w:lang w:val="uk-UA"/>
        </w:rPr>
        <w:t>Під державною таємницею розуміється особливий вид секретної інформації, яка стосується питань оборони, економіки, науки, техніки, зовнішніх зносин, державної безпеки та охорони правопорядку, розголошення якої здатне завдати шкоди національній безпеці України й тому має гриф секретності.</w:t>
      </w:r>
      <w:r w:rsidRPr="00511005">
        <w:rPr>
          <w:rFonts w:ascii="Arial" w:eastAsia="Calibri" w:hAnsi="Arial" w:cs="Arial"/>
          <w:szCs w:val="28"/>
          <w:lang w:val="uk-UA"/>
        </w:rPr>
        <w:t xml:space="preserve"> </w:t>
      </w:r>
      <w:r w:rsidRPr="00511005">
        <w:rPr>
          <w:rFonts w:ascii="Arial" w:eastAsia="Calibri" w:hAnsi="Arial" w:cs="Arial"/>
          <w:szCs w:val="28"/>
        </w:rPr>
        <w:t>[</w:t>
      </w:r>
      <w:r w:rsidRPr="00511005">
        <w:rPr>
          <w:rFonts w:ascii="Arial" w:eastAsia="Calibri" w:hAnsi="Arial" w:cs="Arial"/>
          <w:szCs w:val="28"/>
          <w:lang w:val="uk-UA"/>
        </w:rPr>
        <w:t>4, с. 14</w:t>
      </w:r>
      <w:r w:rsidRPr="00511005">
        <w:rPr>
          <w:rFonts w:ascii="Arial" w:eastAsia="Calibri" w:hAnsi="Arial" w:cs="Arial"/>
          <w:szCs w:val="28"/>
        </w:rPr>
        <w:t>]</w:t>
      </w:r>
    </w:p>
    <w:p w14:paraId="42784086"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Диспозиція частини першої статті 111 Кримінального кодексу України встановлює, що об’єктивна сторона державної зради може проявлятися у трьох формах: </w:t>
      </w:r>
    </w:p>
    <w:p w14:paraId="1A503929"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 перехід на бік ворога в умовах збройного конфлікту. Така форма вчинення злочину можлива виключно під час збройного протистояння та полягає у сприянні ворожій стороні, незалежно від способу чи характеру цієї допомоги. Перехід на бік ворога може виявлятися, зокрема, у налагодженні контактів громадянина України з військовим противником (наразі — з представниками російської федерації), їх організаціями або уповноваженими особами з метою підтримки підривної діяльності проти України; у безпосередньому здійсненні такої підривної діяльності після встановлення відповідного контакту; у встановленні зв’язку або наданні підтримки супротивнику у районі бойових дій чи в інший спосіб у контексті збройного конфлікту. У будь-якому випадку перехід на бік ворога в умовах військового стану або в період збройного конфлікту характеризується активними діями, спрямованими на сприяння інтересам ворожої сторони; </w:t>
      </w:r>
      <w:r w:rsidRPr="00511005">
        <w:rPr>
          <w:rFonts w:ascii="Arial" w:eastAsia="Calibri" w:hAnsi="Arial" w:cs="Arial"/>
          <w:szCs w:val="28"/>
        </w:rPr>
        <w:t>[</w:t>
      </w:r>
      <w:r w:rsidRPr="00511005">
        <w:rPr>
          <w:rFonts w:ascii="Arial" w:eastAsia="Calibri" w:hAnsi="Arial" w:cs="Arial"/>
          <w:szCs w:val="28"/>
          <w:lang w:val="uk-UA"/>
        </w:rPr>
        <w:t>2, с. 392</w:t>
      </w:r>
      <w:r w:rsidRPr="00511005">
        <w:rPr>
          <w:rFonts w:ascii="Arial" w:eastAsia="Calibri" w:hAnsi="Arial" w:cs="Arial"/>
          <w:szCs w:val="28"/>
        </w:rPr>
        <w:t>]</w:t>
      </w:r>
      <w:r w:rsidRPr="00511005">
        <w:rPr>
          <w:rFonts w:ascii="Arial" w:eastAsia="Calibri" w:hAnsi="Arial" w:cs="Arial"/>
          <w:szCs w:val="28"/>
          <w:lang w:val="uk-UA"/>
        </w:rPr>
        <w:t xml:space="preserve"> </w:t>
      </w:r>
    </w:p>
    <w:p w14:paraId="12ADA3A1"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 шпигунство – проявляється в умисному зборі громадянином України інформації, що містить державну таємницю, з наміром подальшої передачі такої інформації іноземній державі, її організації або їхнім представникам; [2, 393]</w:t>
      </w:r>
    </w:p>
    <w:p w14:paraId="2A6B00C7"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 надання іноземній державі організації або їх представникам допомоги в проведенні підривної діяльності проти України. Під підривною діяльністю розуміють діяльність, що проводиться ворожими Україні державами та їхніми розвідувальними або іншими спеціальними службами з метою заподіяння шкоди нашій державі. Об'єктами такої діяльності виступають основи конституційного ладу України, її політичний, економічний, науковий і військовий потенціал, міжнародні позиції держави. Форми надання допомоги можуть бути різноманітними, зокрема: вербування агентури для іноземних спецслужб, забезпечення їх явочними або конспіративними квартирами, участь у вчиненні різних злочинів. Важливо, що надання такої допомоги може мати місце як у мирний час, так і під час воєнного стану. [2, с. 393]</w:t>
      </w:r>
    </w:p>
    <w:p w14:paraId="660988FD"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Перехід на бік ворога, як і інші форми державної зради, може здійснюватися </w:t>
      </w:r>
      <w:r w:rsidRPr="00511005">
        <w:rPr>
          <w:rFonts w:ascii="Arial" w:eastAsia="Calibri" w:hAnsi="Arial" w:cs="Arial"/>
          <w:szCs w:val="28"/>
          <w:lang w:val="uk-UA"/>
        </w:rPr>
        <w:lastRenderedPageBreak/>
        <w:t xml:space="preserve">як за попереднім одержанням завдання від іноземної держави чи її представників (наприклад, у разі отримання пропозиції взяти участь у бойових діях проти України, на яку особа свідомо погоджується), так і за власною ініціативою громадянина України без будь-яких попередніх домовленостей. У другому випадку суб'єкт самостійно виявляє намір співпрацювати з ворогом. Водночас після такої ініціативної пропозиції особа, як правило, отримує конкретні інструкції щодо здійснення зрадницьких дій. Отже, виключно власну ініціативу громадянина без отримання злочинного завдання слід розцінювати як стадію готування до державної зради. </w:t>
      </w:r>
      <w:r w:rsidRPr="00511005">
        <w:rPr>
          <w:rFonts w:ascii="Arial" w:eastAsia="Calibri" w:hAnsi="Arial" w:cs="Arial"/>
          <w:szCs w:val="28"/>
        </w:rPr>
        <w:t>[</w:t>
      </w:r>
      <w:r w:rsidRPr="00511005">
        <w:rPr>
          <w:rFonts w:ascii="Arial" w:eastAsia="Calibri" w:hAnsi="Arial" w:cs="Arial"/>
          <w:szCs w:val="28"/>
          <w:lang w:val="uk-UA"/>
        </w:rPr>
        <w:t>3, с. 250</w:t>
      </w:r>
      <w:r w:rsidRPr="00511005">
        <w:rPr>
          <w:rFonts w:ascii="Arial" w:eastAsia="Calibri" w:hAnsi="Arial" w:cs="Arial"/>
          <w:szCs w:val="28"/>
        </w:rPr>
        <w:t>]</w:t>
      </w:r>
    </w:p>
    <w:p w14:paraId="16D942AE"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Суб’єктом державної зради може бути виключно громадянин України, який досяг 16-річного віку. Співучасниками можуть бути іноземці або особи без громадянства, проте нести відповідальність вони будуть за співучасть — як організатори, пособники чи підбурювачі.</w:t>
      </w:r>
    </w:p>
    <w:p w14:paraId="27DFCEDA" w14:textId="1B6F4B00"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Саме суб’єктний склад злочину відрізняє державну зраду у формі шпигунства від шпигунства як окремого кримінального правопорушення, передбаченого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окремою ст. 114 ККУ. Тож важливо зазначити, що у шпигунстві суб'єктом виступає тільки іноземець або особа без громадянства, натомість у державній зраді – суб’єкт спеціальний (тільки громадянин України, який досяг 16-річного віку). Отже, шпигунство входить у державну зраду як одна з її форм</w:t>
      </w:r>
      <w:r w:rsidRPr="00511005">
        <w:rPr>
          <w:rFonts w:ascii="Arial" w:eastAsia="Calibri" w:hAnsi="Arial" w:cs="Arial"/>
          <w:b/>
          <w:bCs/>
          <w:szCs w:val="28"/>
          <w:lang w:val="uk-UA"/>
        </w:rPr>
        <w:t xml:space="preserve">, </w:t>
      </w:r>
      <w:r w:rsidRPr="00511005">
        <w:rPr>
          <w:rFonts w:ascii="Arial" w:eastAsia="Calibri" w:hAnsi="Arial" w:cs="Arial"/>
          <w:szCs w:val="28"/>
          <w:lang w:val="uk-UA"/>
        </w:rPr>
        <w:t>коли це робить</w:t>
      </w:r>
      <w:r w:rsidRPr="00511005">
        <w:rPr>
          <w:rFonts w:ascii="Arial" w:eastAsia="Calibri" w:hAnsi="Arial" w:cs="Arial"/>
          <w:b/>
          <w:bCs/>
          <w:szCs w:val="28"/>
          <w:lang w:val="uk-UA"/>
        </w:rPr>
        <w:t xml:space="preserve"> </w:t>
      </w:r>
      <w:r w:rsidRPr="00511005">
        <w:rPr>
          <w:rFonts w:ascii="Arial" w:eastAsia="Calibri" w:hAnsi="Arial" w:cs="Arial"/>
          <w:szCs w:val="28"/>
          <w:lang w:val="uk-UA"/>
        </w:rPr>
        <w:t>громадянин України на шкоду державі.</w:t>
      </w:r>
    </w:p>
    <w:p w14:paraId="500F392B"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Суб’єктивна сторона даного кримінального правопорушення характеризується виною у формі прямого умислу, за якого особа чітко усвiдомлює, що її дiяння спрямовані на завдання шкоди суверенiтету, територiальнiй цiлiсностi та недоторканностi, обороноздатностi, державнiй, економiчнiй або iнформацiйнiй безпецi України, i свідомо бажає досягти такого результату. Мотиви вчинення злочину можуть бути рiзними – від ненависті до України до користі чи помсти, однак на юридичну квалiфiкацiю вони не впливають.</w:t>
      </w:r>
    </w:p>
    <w:p w14:paraId="7310F465"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Кваліфікуючою ознакою є вчинення державної зради в умовах воєнного стану.</w:t>
      </w:r>
    </w:p>
    <w:p w14:paraId="6C7CB55C"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Частина 3 ст. 111 КК передбачає заохочувальну норму, згідно з якою звiльняється вiд кримiнальної вiдповiдальностi громадянин України, у разі, якщо, отримавши злочинне завдання від іноземної держави, іноземної організації чи їхніх представників, він не вчинив жодних дій для його реалізації та добровільно повідомив органи державної влади про встановлений контакт і про отримане завдання. [1]</w:t>
      </w:r>
    </w:p>
    <w:p w14:paraId="07466F34" w14:textId="77777777" w:rsidR="00200E87" w:rsidRPr="00511005" w:rsidRDefault="00200E87" w:rsidP="003A292D">
      <w:pPr>
        <w:keepNext/>
        <w:widowControl w:val="0"/>
        <w:spacing w:line="264" w:lineRule="auto"/>
        <w:ind w:firstLine="0"/>
        <w:rPr>
          <w:rFonts w:ascii="Arial" w:eastAsia="Calibri" w:hAnsi="Arial" w:cs="Arial"/>
          <w:szCs w:val="28"/>
        </w:rPr>
      </w:pPr>
      <w:r w:rsidRPr="00511005">
        <w:rPr>
          <w:rFonts w:ascii="Arial" w:eastAsia="Calibri" w:hAnsi="Arial" w:cs="Arial"/>
          <w:szCs w:val="28"/>
          <w:lang w:val="uk-UA"/>
        </w:rPr>
        <w:t xml:space="preserve">Звільнення можливе лише за одночасного існування трьох умов: 1) отримання особою злочинного завдання від іноземного суб'єкта; 2) невчинення ніяких дій на виконання цього завдання; 3) добровільне звернення до органів державної влади щодо зв’язку з ними та отриманого </w:t>
      </w:r>
      <w:r w:rsidRPr="00511005">
        <w:rPr>
          <w:rFonts w:ascii="Arial" w:eastAsia="Calibri" w:hAnsi="Arial" w:cs="Arial"/>
          <w:szCs w:val="28"/>
          <w:lang w:val="uk-UA"/>
        </w:rPr>
        <w:lastRenderedPageBreak/>
        <w:t xml:space="preserve">завдання. Відсутність хоча б однієї з наведених обставин унеможливлює звільнення особи від кримінальної відповідальності. </w:t>
      </w:r>
      <w:r w:rsidRPr="00511005">
        <w:rPr>
          <w:rFonts w:ascii="Arial" w:eastAsia="Calibri" w:hAnsi="Arial" w:cs="Arial"/>
          <w:szCs w:val="28"/>
        </w:rPr>
        <w:t>[</w:t>
      </w:r>
      <w:r w:rsidRPr="00511005">
        <w:rPr>
          <w:rFonts w:ascii="Arial" w:eastAsia="Calibri" w:hAnsi="Arial" w:cs="Arial"/>
          <w:szCs w:val="28"/>
          <w:lang w:val="uk-UA"/>
        </w:rPr>
        <w:t>4, с. 14</w:t>
      </w:r>
      <w:r w:rsidRPr="00511005">
        <w:rPr>
          <w:rFonts w:ascii="Arial" w:eastAsia="Calibri" w:hAnsi="Arial" w:cs="Arial"/>
          <w:szCs w:val="28"/>
        </w:rPr>
        <w:t>]</w:t>
      </w:r>
    </w:p>
    <w:p w14:paraId="3424DD35"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Підсумовуючи проведене дослідження, встановлено, що державна зрада є особливо небезпечним кримінальним правопорушенням, який в умовах воєнного стану вимагає особливої уваги з боку правоохоронних органів та законодавця.</w:t>
      </w:r>
    </w:p>
    <w:p w14:paraId="05470064" w14:textId="77777777" w:rsidR="00200E87" w:rsidRPr="00511005" w:rsidRDefault="00200E87" w:rsidP="003A292D">
      <w:pPr>
        <w:keepNext/>
        <w:widowControl w:val="0"/>
        <w:spacing w:line="264" w:lineRule="auto"/>
        <w:ind w:firstLine="0"/>
        <w:rPr>
          <w:rFonts w:ascii="Arial" w:eastAsia="Calibri" w:hAnsi="Arial" w:cs="Arial"/>
          <w:szCs w:val="28"/>
          <w:lang w:val="uk-UA"/>
        </w:rPr>
      </w:pPr>
      <w:r w:rsidRPr="00511005">
        <w:rPr>
          <w:rFonts w:ascii="Arial" w:eastAsia="Calibri" w:hAnsi="Arial" w:cs="Arial"/>
          <w:szCs w:val="28"/>
          <w:lang w:val="uk-UA"/>
        </w:rPr>
        <w:t>Поглиблене розуміння складу цього кримінального правопорушення, чітке розмежування його форм, а також правильна кваліфікація дій осіб, причетних до злочинної діяльності на користь ворога, є запорукою ефективної протидії внутрішнім загрозам державній безпеці України.</w:t>
      </w:r>
    </w:p>
    <w:p w14:paraId="0FE6B068" w14:textId="77777777" w:rsidR="00200E87" w:rsidRPr="00511005" w:rsidRDefault="00200E87" w:rsidP="003A292D">
      <w:pPr>
        <w:keepNext/>
        <w:widowControl w:val="0"/>
        <w:spacing w:line="264" w:lineRule="auto"/>
        <w:ind w:firstLine="0"/>
        <w:jc w:val="left"/>
        <w:rPr>
          <w:rFonts w:ascii="Arial" w:eastAsia="Calibri" w:hAnsi="Arial" w:cs="Arial"/>
          <w:szCs w:val="28"/>
          <w:lang w:val="uk-UA"/>
        </w:rPr>
      </w:pPr>
    </w:p>
    <w:p w14:paraId="200A427A" w14:textId="69549874" w:rsidR="00200E87" w:rsidRPr="00511005" w:rsidRDefault="007B2628" w:rsidP="007B2628">
      <w:pPr>
        <w:keepNext/>
        <w:widowControl w:val="0"/>
        <w:spacing w:line="264" w:lineRule="auto"/>
        <w:ind w:firstLine="0"/>
        <w:jc w:val="center"/>
        <w:rPr>
          <w:rFonts w:ascii="Arial" w:eastAsia="Calibri" w:hAnsi="Arial" w:cs="Arial"/>
          <w:b/>
          <w:iCs/>
          <w:szCs w:val="28"/>
          <w:lang w:val="uk-UA"/>
        </w:rPr>
      </w:pPr>
      <w:r w:rsidRPr="00511005">
        <w:rPr>
          <w:rFonts w:ascii="Arial" w:eastAsia="Calibri" w:hAnsi="Arial" w:cs="Arial"/>
          <w:b/>
          <w:iCs/>
          <w:szCs w:val="28"/>
          <w:lang w:val="uk-UA"/>
        </w:rPr>
        <w:t>Список використаних джерел</w:t>
      </w:r>
    </w:p>
    <w:p w14:paraId="44A4FABE" w14:textId="77777777" w:rsidR="00200E87" w:rsidRPr="00511005" w:rsidRDefault="00200E87" w:rsidP="003F6A5D">
      <w:pPr>
        <w:numPr>
          <w:ilvl w:val="0"/>
          <w:numId w:val="534"/>
        </w:numPr>
        <w:spacing w:line="264" w:lineRule="auto"/>
        <w:contextualSpacing/>
        <w:jc w:val="left"/>
        <w:rPr>
          <w:rFonts w:ascii="Arial" w:eastAsia="Calibri" w:hAnsi="Arial" w:cs="Arial"/>
          <w:szCs w:val="28"/>
          <w:lang w:val="uk-UA"/>
        </w:rPr>
      </w:pPr>
      <w:r w:rsidRPr="00511005">
        <w:rPr>
          <w:rFonts w:ascii="Arial" w:eastAsia="Calibri" w:hAnsi="Arial" w:cs="Arial"/>
          <w:bCs/>
          <w:szCs w:val="28"/>
          <w:lang w:val="uk-UA"/>
        </w:rPr>
        <w:t>Кримін</w:t>
      </w:r>
      <w:r w:rsidRPr="00511005">
        <w:rPr>
          <w:rFonts w:ascii="Arial" w:eastAsia="Calibri" w:hAnsi="Arial" w:cs="Arial"/>
          <w:szCs w:val="28"/>
          <w:lang w:val="uk-UA"/>
        </w:rPr>
        <w:t>альний кодекс України : Закон України від 05.04.2001 р. № 2341-III. URL: https://zakon.rada.gov.ua/laws/show/2341-14#Text (дата звернення: 25.04.2025).</w:t>
      </w:r>
    </w:p>
    <w:p w14:paraId="43CDD139" w14:textId="77777777" w:rsidR="007B2628" w:rsidRPr="00511005" w:rsidRDefault="00200E87" w:rsidP="003F6A5D">
      <w:pPr>
        <w:numPr>
          <w:ilvl w:val="0"/>
          <w:numId w:val="53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Бантишев О.Ф. Державна зрада в умовах військових дій. Юридичний науковий електронний журнал. 2024. № 3. С. 392-394. URL: </w:t>
      </w:r>
      <w:hyperlink r:id="rId1876" w:tgtFrame="_new" w:history="1">
        <w:r w:rsidRPr="00511005">
          <w:rPr>
            <w:rFonts w:ascii="Arial" w:eastAsia="Calibri" w:hAnsi="Arial" w:cs="Arial"/>
            <w:szCs w:val="28"/>
            <w:lang w:val="uk-UA"/>
          </w:rPr>
          <w:t>http://www.lsej.org.ua/3_2024/96.pdf</w:t>
        </w:r>
      </w:hyperlink>
      <w:r w:rsidRPr="00511005">
        <w:rPr>
          <w:rFonts w:ascii="Arial" w:eastAsia="Calibri" w:hAnsi="Arial" w:cs="Arial"/>
          <w:szCs w:val="28"/>
          <w:lang w:val="uk-UA"/>
        </w:rPr>
        <w:t xml:space="preserve"> (дата звернення: 26.04.2025).</w:t>
      </w:r>
    </w:p>
    <w:p w14:paraId="522C72D4" w14:textId="6B44A729" w:rsidR="00200E87" w:rsidRPr="00511005" w:rsidRDefault="00200E87" w:rsidP="003F6A5D">
      <w:pPr>
        <w:numPr>
          <w:ilvl w:val="0"/>
          <w:numId w:val="534"/>
        </w:numPr>
        <w:spacing w:line="264" w:lineRule="auto"/>
        <w:contextualSpacing/>
        <w:jc w:val="left"/>
        <w:rPr>
          <w:rFonts w:ascii="Arial" w:eastAsia="Calibri" w:hAnsi="Arial" w:cs="Arial"/>
          <w:szCs w:val="28"/>
          <w:lang w:val="uk-UA"/>
        </w:rPr>
      </w:pPr>
      <w:r w:rsidRPr="00511005">
        <w:rPr>
          <w:rFonts w:ascii="Arial" w:eastAsia="Calibri" w:hAnsi="Arial" w:cs="Arial"/>
          <w:szCs w:val="28"/>
          <w:shd w:val="clear" w:color="auto" w:fill="FFFFFF"/>
          <w:lang w:val="uk-UA"/>
        </w:rPr>
        <w:t>Білан В.В. Об’єктивні ознаки складу злочину «державна зрада» (ст. 111 кк України) // VІІ Міжнародний молодіжний науковий юридичний форум: [Матеріали форуму, м. Київ, Національний авіаційний університет, 16-17 травня 2024 р.] – с.249-252.</w:t>
      </w:r>
    </w:p>
    <w:p w14:paraId="0E3E15F8" w14:textId="77777777" w:rsidR="00200E87" w:rsidRPr="00511005" w:rsidRDefault="00200E87" w:rsidP="003F6A5D">
      <w:pPr>
        <w:numPr>
          <w:ilvl w:val="0"/>
          <w:numId w:val="53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Кримінальне право України. Особлива частина : навчальний посібник / Попович О.В., Томаш Л.В., Латковський П.П., Бабій А.Ю. Чернівці, 2022. 319 с.</w:t>
      </w:r>
    </w:p>
    <w:p w14:paraId="7EDD9498" w14:textId="0EA87074" w:rsidR="00200E87" w:rsidRPr="00511005" w:rsidRDefault="007B2628" w:rsidP="003A292D">
      <w:pPr>
        <w:spacing w:line="264" w:lineRule="auto"/>
        <w:ind w:firstLine="0"/>
        <w:rPr>
          <w:rFonts w:ascii="Arial" w:eastAsia="Calibri" w:hAnsi="Arial" w:cs="Arial"/>
          <w:bCs/>
          <w:szCs w:val="28"/>
          <w:lang w:val="uk-UA"/>
        </w:rPr>
      </w:pPr>
      <w:r w:rsidRPr="00511005">
        <w:rPr>
          <w:rFonts w:ascii="Arial" w:eastAsia="Calibri" w:hAnsi="Arial" w:cs="Arial"/>
          <w:b/>
          <w:i/>
          <w:szCs w:val="28"/>
          <w:lang w:val="uk-UA"/>
        </w:rPr>
        <w:t xml:space="preserve">Ключові слова: </w:t>
      </w:r>
      <w:r w:rsidR="00200E87" w:rsidRPr="00511005">
        <w:rPr>
          <w:rFonts w:ascii="Arial" w:eastAsia="Calibri" w:hAnsi="Arial" w:cs="Arial"/>
          <w:bCs/>
          <w:szCs w:val="28"/>
          <w:lang w:val="uk-UA"/>
        </w:rPr>
        <w:t>державна зрада, суверенітет, національна безпека,</w:t>
      </w:r>
      <w:r w:rsidR="00200E87" w:rsidRPr="00511005">
        <w:rPr>
          <w:rFonts w:ascii="Arial" w:eastAsia="Calibri" w:hAnsi="Arial" w:cs="Arial"/>
          <w:b/>
          <w:szCs w:val="28"/>
          <w:lang w:val="uk-UA"/>
        </w:rPr>
        <w:t xml:space="preserve"> </w:t>
      </w:r>
      <w:r w:rsidR="00200E87" w:rsidRPr="00511005">
        <w:rPr>
          <w:rFonts w:ascii="Arial" w:eastAsia="Calibri" w:hAnsi="Arial" w:cs="Arial"/>
          <w:bCs/>
          <w:szCs w:val="28"/>
          <w:lang w:val="uk-UA"/>
        </w:rPr>
        <w:t>територіальна цілісність,</w:t>
      </w:r>
      <w:r w:rsidR="00200E87" w:rsidRPr="00511005">
        <w:rPr>
          <w:rFonts w:ascii="Arial" w:eastAsia="Calibri" w:hAnsi="Arial" w:cs="Arial"/>
          <w:b/>
          <w:szCs w:val="28"/>
          <w:lang w:val="uk-UA"/>
        </w:rPr>
        <w:t xml:space="preserve"> </w:t>
      </w:r>
      <w:r w:rsidR="00200E87" w:rsidRPr="00511005">
        <w:rPr>
          <w:rFonts w:ascii="Arial" w:eastAsia="Calibri" w:hAnsi="Arial" w:cs="Arial"/>
          <w:szCs w:val="28"/>
          <w:lang w:val="uk-UA"/>
        </w:rPr>
        <w:t>шпигунство, перехід на бік ворога, підривна діяльність, воєнний стан.</w:t>
      </w:r>
    </w:p>
    <w:p w14:paraId="159A92B1" w14:textId="42E92DD7" w:rsidR="00200E87" w:rsidRPr="00511005" w:rsidRDefault="007B2628" w:rsidP="003A292D">
      <w:pPr>
        <w:keepNext/>
        <w:spacing w:line="264" w:lineRule="auto"/>
        <w:ind w:firstLine="0"/>
        <w:rPr>
          <w:rFonts w:ascii="Arial" w:eastAsia="Calibri" w:hAnsi="Arial" w:cs="Arial"/>
          <w:szCs w:val="28"/>
          <w:lang w:val="uk-UA"/>
        </w:rPr>
      </w:pPr>
      <w:r w:rsidRPr="00511005">
        <w:rPr>
          <w:rFonts w:ascii="Arial" w:eastAsia="Calibri" w:hAnsi="Arial" w:cs="Arial"/>
          <w:b/>
          <w:i/>
          <w:szCs w:val="28"/>
          <w:lang w:val="en-US"/>
        </w:rPr>
        <w:t xml:space="preserve">Key words: </w:t>
      </w:r>
      <w:r w:rsidR="00200E87" w:rsidRPr="00511005">
        <w:rPr>
          <w:rFonts w:ascii="Arial" w:eastAsia="Calibri" w:hAnsi="Arial" w:cs="Arial"/>
          <w:szCs w:val="28"/>
          <w:lang w:val="uk-UA"/>
        </w:rPr>
        <w:t>treason, sovereignty, national security, territorial integrity, espionage, defection to the enemy, subversive activities, martial law.</w:t>
      </w:r>
    </w:p>
    <w:p w14:paraId="65FA535C" w14:textId="0CA67DD9" w:rsidR="00200E87" w:rsidRPr="00511005" w:rsidRDefault="007B2628" w:rsidP="003A292D">
      <w:pPr>
        <w:keepNext/>
        <w:spacing w:line="264" w:lineRule="auto"/>
        <w:ind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200E87" w:rsidRPr="00511005">
        <w:rPr>
          <w:rFonts w:ascii="Arial" w:eastAsia="Calibri" w:hAnsi="Arial" w:cs="Arial"/>
          <w:bCs/>
          <w:i/>
          <w:iCs/>
          <w:szCs w:val="28"/>
          <w:lang w:val="uk-UA"/>
        </w:rPr>
        <w:t>д.ю.н., доцент Степаненко О. В.</w:t>
      </w:r>
    </w:p>
    <w:p w14:paraId="4F5CE010" w14:textId="77777777" w:rsidR="00200E87" w:rsidRPr="00511005" w:rsidRDefault="00200E87" w:rsidP="003A292D">
      <w:pPr>
        <w:spacing w:line="264" w:lineRule="auto"/>
        <w:ind w:firstLine="0"/>
        <w:jc w:val="center"/>
        <w:rPr>
          <w:rFonts w:ascii="Arial" w:eastAsia="Calibri" w:hAnsi="Arial" w:cs="Arial"/>
          <w:szCs w:val="28"/>
          <w:lang w:val="uk-UA"/>
        </w:rPr>
      </w:pPr>
    </w:p>
    <w:p w14:paraId="390CB861" w14:textId="77777777" w:rsidR="00200E87" w:rsidRPr="00511005" w:rsidRDefault="00200E87" w:rsidP="003A292D">
      <w:pPr>
        <w:spacing w:line="264" w:lineRule="auto"/>
        <w:ind w:firstLine="0"/>
        <w:jc w:val="center"/>
        <w:rPr>
          <w:rFonts w:ascii="Arial" w:eastAsia="Calibri" w:hAnsi="Arial" w:cs="Arial"/>
          <w:szCs w:val="28"/>
          <w:lang w:val="uk-UA"/>
        </w:rPr>
      </w:pPr>
    </w:p>
    <w:p w14:paraId="1A0E9D13" w14:textId="77777777" w:rsidR="00200E87" w:rsidRPr="00511005" w:rsidRDefault="00200E87" w:rsidP="003A292D">
      <w:pPr>
        <w:spacing w:line="264" w:lineRule="auto"/>
        <w:ind w:firstLine="0"/>
        <w:jc w:val="center"/>
        <w:rPr>
          <w:rFonts w:ascii="Arial" w:eastAsia="Calibri" w:hAnsi="Arial" w:cs="Arial"/>
          <w:b/>
          <w:i/>
          <w:iCs/>
          <w:szCs w:val="28"/>
          <w:lang w:val="uk-UA" w:eastAsia="ru-RU"/>
        </w:rPr>
      </w:pPr>
      <w:r w:rsidRPr="00511005">
        <w:rPr>
          <w:rFonts w:ascii="Arial" w:eastAsia="Calibri" w:hAnsi="Arial" w:cs="Arial"/>
          <w:b/>
          <w:i/>
          <w:iCs/>
          <w:szCs w:val="28"/>
          <w:lang w:val="uk-UA" w:eastAsia="ru-RU"/>
        </w:rPr>
        <w:t>Сидловський Сергій Віталійович</w:t>
      </w:r>
    </w:p>
    <w:p w14:paraId="3DACB167" w14:textId="59B85573" w:rsidR="00200E87" w:rsidRPr="00511005" w:rsidRDefault="00536AAB" w:rsidP="003A292D">
      <w:pPr>
        <w:spacing w:line="264" w:lineRule="auto"/>
        <w:ind w:firstLine="0"/>
        <w:jc w:val="center"/>
        <w:rPr>
          <w:rFonts w:ascii="Arial" w:eastAsia="Calibri" w:hAnsi="Arial" w:cs="Arial"/>
          <w:iCs/>
          <w:szCs w:val="28"/>
          <w:lang w:val="uk-UA" w:eastAsia="ru-RU"/>
        </w:rPr>
      </w:pPr>
      <w:r w:rsidRPr="00511005">
        <w:rPr>
          <w:rFonts w:ascii="Arial" w:eastAsia="Calibri" w:hAnsi="Arial" w:cs="Arial"/>
          <w:iCs/>
          <w:szCs w:val="28"/>
          <w:lang w:val="uk-UA" w:eastAsia="ru-RU"/>
        </w:rPr>
        <w:t>студент 2-го курсу факультету адвокатури та антикорупційної діяльності</w:t>
      </w:r>
    </w:p>
    <w:p w14:paraId="251E8B8B" w14:textId="4AFF822A" w:rsidR="00200E87" w:rsidRPr="00511005" w:rsidRDefault="007B2628" w:rsidP="003A292D">
      <w:pPr>
        <w:spacing w:line="264" w:lineRule="auto"/>
        <w:ind w:firstLine="0"/>
        <w:jc w:val="center"/>
        <w:rPr>
          <w:rFonts w:ascii="Arial" w:eastAsia="Calibri" w:hAnsi="Arial" w:cs="Arial"/>
          <w:iCs/>
          <w:szCs w:val="28"/>
          <w:lang w:val="uk-UA" w:eastAsia="ru-RU"/>
        </w:rPr>
      </w:pPr>
      <w:r w:rsidRPr="00511005">
        <w:rPr>
          <w:rFonts w:ascii="Arial" w:eastAsia="Calibri" w:hAnsi="Arial" w:cs="Arial"/>
          <w:iCs/>
          <w:szCs w:val="28"/>
          <w:lang w:val="uk-UA" w:eastAsia="ru-RU"/>
        </w:rPr>
        <w:t>Національного університету «Одеська юридична академія»</w:t>
      </w:r>
    </w:p>
    <w:p w14:paraId="1FDC2625" w14:textId="77777777" w:rsidR="00200E87" w:rsidRPr="00511005" w:rsidRDefault="00200E87" w:rsidP="003A292D">
      <w:pPr>
        <w:spacing w:line="264" w:lineRule="auto"/>
        <w:ind w:firstLine="0"/>
        <w:rPr>
          <w:rFonts w:ascii="Arial" w:eastAsia="Calibri" w:hAnsi="Arial" w:cs="Arial"/>
          <w:szCs w:val="28"/>
          <w:lang w:val="uk-UA"/>
        </w:rPr>
      </w:pPr>
    </w:p>
    <w:p w14:paraId="5BB01A54" w14:textId="77777777" w:rsidR="00200E87" w:rsidRPr="00511005" w:rsidRDefault="00200E8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КРИМІНАЛЬНА ВІДПОВІДАЛЬНІСТЬ ЗА РІЗНІ ПРОЯВИ КОЛАБОРАЦІОНІЗМУ: ПРОБЛЕМИ ПРАВОЗАСТОСУВАННЯ</w:t>
      </w:r>
    </w:p>
    <w:p w14:paraId="0DEEEDE6" w14:textId="77777777" w:rsidR="00200E87" w:rsidRPr="00511005" w:rsidRDefault="00200E87" w:rsidP="003A292D">
      <w:pPr>
        <w:spacing w:line="264" w:lineRule="auto"/>
        <w:ind w:firstLine="0"/>
        <w:jc w:val="center"/>
        <w:rPr>
          <w:rFonts w:ascii="Arial" w:eastAsia="Calibri" w:hAnsi="Arial" w:cs="Arial"/>
          <w:b/>
          <w:bCs/>
          <w:szCs w:val="28"/>
          <w:lang w:val="uk-UA"/>
        </w:rPr>
      </w:pPr>
    </w:p>
    <w:p w14:paraId="22293AD1"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Питання кримінальної відповідальності за колабораціонізм і сприяння державі-агресору набуло особливої важливості в умовах повномасштабної </w:t>
      </w:r>
      <w:r w:rsidRPr="00511005">
        <w:rPr>
          <w:rFonts w:ascii="Arial" w:eastAsia="Calibri" w:hAnsi="Arial" w:cs="Arial"/>
          <w:szCs w:val="28"/>
          <w:lang w:val="uk-UA"/>
        </w:rPr>
        <w:lastRenderedPageBreak/>
        <w:t>війни, розпочатої Росією проти України. Ця проблема є складною не лише з правового погляду, а й через моральні, соціальні та економічні аспекти, адже зачіпає велику кількість людей, які змушені жити під окупацією. Тому підхід до оцінки таких дій має бути індивідуальним: у багатьох випадках участь у діяльності окупаційних структур є наслідком не зради, а прагнення зберегти життя або забезпечити базові потреби [1].</w:t>
      </w:r>
    </w:p>
    <w:p w14:paraId="22C2287D"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Українське кримінальне законодавство, зокрема статті 111-1 та 111-2 КК України, встановлює відповідальність за колабораційну діяльність та пособництво агресору [2]. Однак на практиці виникають труднощі з їх застосуванням: нечіткі формулювання створюють простір для різного тлумачення, що може призвести до судових помилок або надмірного покарання у справах, де шкода була незначною або взагалі відсутньою [1; 3].</w:t>
      </w:r>
    </w:p>
    <w:p w14:paraId="0D97FE9B"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Одним із головних викликів є відсутність чіткого розуміння терміна «колабораціонізм». Неоднозначним є питання: чи завжди виконання обов’язків на окупованих територіях є кримінально караним? Як відрізнити свідому співпрацю з ворогом від дій, здійснених під тиском чи страхом? Щоб уникнути несправедливих вироків, необхідно виробити чіткі критерії оцінки – зокрема, з’ясовувати, чи мав місце умисел завдати шкоди [4; 5]. Наприклад, участь у місцевому управлінні задля підтримки життєдіяльності громади не повинна автоматично вважатися злочином [1; 6].</w:t>
      </w:r>
    </w:p>
    <w:p w14:paraId="1B0F46D2"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Під час оцінки поведінки осіб на окупованих територіях варто враховувати широкий спектр обставин: від рівня загрози життю до матеріального становища. Співпраця, спрямована на виживання або допомогу населенню, відрізняється від дій, пов’язаних із пропагандою чи участю в бойових діях на боці ворога [6; 7]. Отже, закон має враховувати ступінь небезпеки діяння і забезпечити пропорційність покарання [1; 4].</w:t>
      </w:r>
    </w:p>
    <w:p w14:paraId="341C96D8"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Крім того, необхідно встановити чіткі підходи до збирання та оцінки доказів у таких справах. Це дасть змогу точніше визначати мотиви та обставини вчинення дій, не ігноруючи моральні дилеми, перед якими постають громадяни в умовах війни [8].</w:t>
      </w:r>
    </w:p>
    <w:p w14:paraId="47D3AAEB"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Таким чином, чітке розмежування між поняттями колабораціонізму та пособництва агресору є надзвичайно важливим для забезпечення справедливого правосуддя, правової визначеності та ефективної протидії внутрішнім загрозам у період збройного конфлікту [1; 4].</w:t>
      </w:r>
    </w:p>
    <w:p w14:paraId="1E50DA08"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Злочини, пов’язані з державною зрадою та допомогою ворогу, несуть серйозну небезпеку для безпеки й територіальної цілісності України. Проте складність полягає в тому, що не всі випадки взаємодії з окупаційною владою однакові за змістом і наслідками. Тому важливо чітко відмежовувати злочинну діяльність від поведінки, викликаної життєвими обставинами [1; 6].</w:t>
      </w:r>
    </w:p>
    <w:p w14:paraId="1EC92486"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За законодавством, державна зрада – це дії, спрямовані на шкоду Україні, зокрема участь у підривній діяльності або допомога ворогу [2]. Однак у </w:t>
      </w:r>
      <w:r w:rsidRPr="00511005">
        <w:rPr>
          <w:rFonts w:ascii="Arial" w:eastAsia="Calibri" w:hAnsi="Arial" w:cs="Arial"/>
          <w:szCs w:val="28"/>
          <w:lang w:val="uk-UA"/>
        </w:rPr>
        <w:lastRenderedPageBreak/>
        <w:t>реальності багато громадян вступають у взаємодію з окупантами через страх, примус або відсутність альтернатив [1; 6]. У таких ситуаціях суди повинні уважно аналізувати як наміри особи, так і обставини, за яких були вчинені відповідні дії [8].</w:t>
      </w:r>
    </w:p>
    <w:p w14:paraId="258AE453"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Важливо також правильно оцінювати ступінь тяжкості правопорушення. Примусове виконання базових функцій не можна ототожнювати з навмисними зрадницькими діями, такими як шпигунство чи диверсії [3; 7]. Покарання повинно залежати від реального впливу особи на ситуацію та її рівня участі [4].</w:t>
      </w:r>
    </w:p>
    <w:p w14:paraId="5C660E1B"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Правозастосовна практика потребує запровадження чітких стандартів для визначення умислу, характеру дій та обставин їх вчинення. У випадках, коли особа діяла під тиском, відповідальність має бути м’якшою, ніж у разі свідомої підтримки агресора [4; 8].</w:t>
      </w:r>
    </w:p>
    <w:p w14:paraId="5238065D"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Загалом кримінальна відповідальність повинна бути гнучкою і дозволяти індивідуалізований підхід. Покарання мають відповідати не лише нормам закону, а й критеріям справедливості – з урахуванням реальної загрози, яку становили дії обвинуваченого [1; 5].</w:t>
      </w:r>
    </w:p>
    <w:p w14:paraId="4A58EE7C"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Отже, правове розмежування державної зради та пособництва агресору з урахуванням конкретних життєвих обставин є запорукою справедливого судочинства у воєнний час. Це дозволить ефективно боротися з загрозами національній безпеці та водночас захистити тих, хто опинився у складній ситуації не з власної волі [1; 4].</w:t>
      </w:r>
    </w:p>
    <w:p w14:paraId="50C1D693"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b/>
          <w:bCs/>
          <w:szCs w:val="28"/>
          <w:lang w:val="uk-UA"/>
        </w:rPr>
        <w:t xml:space="preserve">Висновок: </w:t>
      </w:r>
      <w:r w:rsidRPr="00511005">
        <w:rPr>
          <w:rFonts w:ascii="Arial" w:eastAsia="Calibri" w:hAnsi="Arial" w:cs="Arial"/>
          <w:szCs w:val="28"/>
          <w:lang w:val="uk-UA"/>
        </w:rPr>
        <w:t>Отже, аналіз статей 111, 111-1, 111-2 КК України виявляє дублювання та подібність ознак складів кримінальних правопорушень, що може призвести до подвійного інкримінування та зменшити правову чіткість. Для вирішення цієї проблеми необхідно вдосконалити законодавство, чітко визначивши межі між правопорушеннями і враховуючи їх зв'язок із Загальною частиною КК України. Окремі форми поведінки, передбачені статтями 111, 111-1, 111-2, можуть стати основою для декриміналізації ст. 111-2 через уточнення положень щодо державної зради або колабораційної діяльності. Також слід уточнити об'єктивні та суб'єктивні ознаки ст. 111-1 КК України та здійснити індивідуалізацію покарання, зокрема, розглянути можливість переведення позбавлення права обіймати певні посади чи займатися певною діяльністю до категорії додаткових покарань.</w:t>
      </w:r>
    </w:p>
    <w:p w14:paraId="3751A2D7" w14:textId="77777777" w:rsidR="00200E87" w:rsidRPr="00511005" w:rsidRDefault="00200E87" w:rsidP="003A292D">
      <w:pPr>
        <w:spacing w:line="264" w:lineRule="auto"/>
        <w:ind w:firstLine="0"/>
        <w:rPr>
          <w:rFonts w:ascii="Arial" w:eastAsia="Calibri" w:hAnsi="Arial" w:cs="Arial"/>
          <w:szCs w:val="28"/>
          <w:lang w:val="uk-UA"/>
        </w:rPr>
      </w:pPr>
    </w:p>
    <w:p w14:paraId="51E0D8FD" w14:textId="06A0BBAA" w:rsidR="00200E87"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39F1354E" w14:textId="77777777" w:rsidR="00200E87" w:rsidRPr="00511005" w:rsidRDefault="00200E87" w:rsidP="003F6A5D">
      <w:pPr>
        <w:numPr>
          <w:ilvl w:val="0"/>
          <w:numId w:val="535"/>
        </w:numPr>
        <w:spacing w:line="264" w:lineRule="auto"/>
        <w:contextualSpacing/>
        <w:jc w:val="left"/>
        <w:rPr>
          <w:rFonts w:ascii="Arial" w:eastAsia="Calibri" w:hAnsi="Arial" w:cs="Arial"/>
          <w:szCs w:val="28"/>
        </w:rPr>
      </w:pPr>
      <w:r w:rsidRPr="00511005">
        <w:rPr>
          <w:rFonts w:ascii="Arial" w:eastAsia="Calibri" w:hAnsi="Arial" w:cs="Arial"/>
          <w:szCs w:val="28"/>
          <w:lang w:val="uk-UA"/>
        </w:rPr>
        <w:t xml:space="preserve">Кримінальна відповідальність за колабораціонізм: дискусійні моменти // Українська Гельсінська спілка з прав людини : вебсайт. </w:t>
      </w:r>
      <w:r w:rsidRPr="00511005">
        <w:rPr>
          <w:rFonts w:ascii="Arial" w:eastAsia="Calibri" w:hAnsi="Arial" w:cs="Arial"/>
          <w:szCs w:val="28"/>
        </w:rPr>
        <w:t xml:space="preserve">URL: </w:t>
      </w:r>
      <w:hyperlink r:id="rId1877" w:tgtFrame="_new" w:history="1">
        <w:r w:rsidRPr="00511005">
          <w:rPr>
            <w:rFonts w:ascii="Arial" w:eastAsia="Calibri" w:hAnsi="Arial" w:cs="Arial"/>
            <w:szCs w:val="28"/>
          </w:rPr>
          <w:t>https://www.helsinki.org.ua/articles/kryminalna-vidpovidalnist-za-kolaboratsionizm-dyskusiyni-momenty-statti-zakonu</w:t>
        </w:r>
      </w:hyperlink>
      <w:r w:rsidRPr="00511005">
        <w:rPr>
          <w:rFonts w:ascii="Arial" w:eastAsia="Calibri" w:hAnsi="Arial" w:cs="Arial"/>
          <w:szCs w:val="28"/>
        </w:rPr>
        <w:t xml:space="preserve"> (дата звернення: 08.04.2025).</w:t>
      </w:r>
    </w:p>
    <w:p w14:paraId="7596D18A" w14:textId="77777777" w:rsidR="00200E87" w:rsidRPr="00511005" w:rsidRDefault="00200E87" w:rsidP="003F6A5D">
      <w:pPr>
        <w:numPr>
          <w:ilvl w:val="0"/>
          <w:numId w:val="535"/>
        </w:numPr>
        <w:spacing w:line="264" w:lineRule="auto"/>
        <w:contextualSpacing/>
        <w:jc w:val="left"/>
        <w:rPr>
          <w:rFonts w:ascii="Arial" w:eastAsia="Calibri" w:hAnsi="Arial" w:cs="Arial"/>
          <w:szCs w:val="28"/>
        </w:rPr>
      </w:pPr>
      <w:r w:rsidRPr="00511005">
        <w:rPr>
          <w:rFonts w:ascii="Arial" w:eastAsia="Calibri" w:hAnsi="Arial" w:cs="Arial"/>
          <w:szCs w:val="28"/>
        </w:rPr>
        <w:lastRenderedPageBreak/>
        <w:t xml:space="preserve">Кримінальний кодекс </w:t>
      </w:r>
      <w:proofErr w:type="gramStart"/>
      <w:r w:rsidRPr="00511005">
        <w:rPr>
          <w:rFonts w:ascii="Arial" w:eastAsia="Calibri" w:hAnsi="Arial" w:cs="Arial"/>
          <w:szCs w:val="28"/>
        </w:rPr>
        <w:t>України :</w:t>
      </w:r>
      <w:proofErr w:type="gramEnd"/>
      <w:r w:rsidRPr="00511005">
        <w:rPr>
          <w:rFonts w:ascii="Arial" w:eastAsia="Calibri" w:hAnsi="Arial" w:cs="Arial"/>
          <w:szCs w:val="28"/>
        </w:rPr>
        <w:t xml:space="preserve"> Закон України від 5 квіт. 2001 р. № 2341-III. URL: </w:t>
      </w:r>
      <w:hyperlink r:id="rId1878" w:anchor="Text" w:tgtFrame="_new" w:history="1">
        <w:r w:rsidRPr="00511005">
          <w:rPr>
            <w:rFonts w:ascii="Arial" w:eastAsia="Calibri" w:hAnsi="Arial" w:cs="Arial"/>
            <w:szCs w:val="28"/>
          </w:rPr>
          <w:t>https://zakon.rada.gov.ua/laws/show/2341-14#Text</w:t>
        </w:r>
      </w:hyperlink>
      <w:r w:rsidRPr="00511005">
        <w:rPr>
          <w:rFonts w:ascii="Arial" w:eastAsia="Calibri" w:hAnsi="Arial" w:cs="Arial"/>
          <w:szCs w:val="28"/>
        </w:rPr>
        <w:t xml:space="preserve"> (дата звернення: 08.04.2025).</w:t>
      </w:r>
    </w:p>
    <w:p w14:paraId="35F1A407" w14:textId="77777777" w:rsidR="00200E87" w:rsidRPr="00511005" w:rsidRDefault="00200E87" w:rsidP="003F6A5D">
      <w:pPr>
        <w:numPr>
          <w:ilvl w:val="0"/>
          <w:numId w:val="535"/>
        </w:numPr>
        <w:spacing w:line="264" w:lineRule="auto"/>
        <w:contextualSpacing/>
        <w:jc w:val="left"/>
        <w:rPr>
          <w:rFonts w:ascii="Arial" w:eastAsia="Calibri" w:hAnsi="Arial" w:cs="Arial"/>
          <w:szCs w:val="28"/>
        </w:rPr>
      </w:pPr>
      <w:r w:rsidRPr="00511005">
        <w:rPr>
          <w:rFonts w:ascii="Arial" w:eastAsia="Calibri" w:hAnsi="Arial" w:cs="Arial"/>
          <w:szCs w:val="28"/>
        </w:rPr>
        <w:t xml:space="preserve">Відповідальність за здійснення колабораційної діяльності // </w:t>
      </w:r>
      <w:proofErr w:type="gramStart"/>
      <w:r w:rsidRPr="00511005">
        <w:rPr>
          <w:rFonts w:ascii="Arial" w:eastAsia="Calibri" w:hAnsi="Arial" w:cs="Arial"/>
          <w:szCs w:val="28"/>
        </w:rPr>
        <w:t>WikiLegalAid :</w:t>
      </w:r>
      <w:proofErr w:type="gramEnd"/>
      <w:r w:rsidRPr="00511005">
        <w:rPr>
          <w:rFonts w:ascii="Arial" w:eastAsia="Calibri" w:hAnsi="Arial" w:cs="Arial"/>
          <w:szCs w:val="28"/>
        </w:rPr>
        <w:t xml:space="preserve"> юрид. портал. URL: </w:t>
      </w:r>
      <w:hyperlink r:id="rId1879" w:tgtFrame="_new" w:history="1">
        <w:r w:rsidRPr="00511005">
          <w:rPr>
            <w:rFonts w:ascii="Arial" w:eastAsia="Calibri" w:hAnsi="Arial" w:cs="Arial"/>
            <w:szCs w:val="28"/>
          </w:rPr>
          <w:t>https://wiki.legalaid.gov.ua</w:t>
        </w:r>
      </w:hyperlink>
      <w:r w:rsidRPr="00511005">
        <w:rPr>
          <w:rFonts w:ascii="Arial" w:eastAsia="Calibri" w:hAnsi="Arial" w:cs="Arial"/>
          <w:szCs w:val="28"/>
        </w:rPr>
        <w:t xml:space="preserve"> (дата звернення: 08.04.2025).</w:t>
      </w:r>
    </w:p>
    <w:p w14:paraId="122E74FE" w14:textId="77777777" w:rsidR="00200E87" w:rsidRPr="00511005" w:rsidRDefault="00200E87" w:rsidP="003F6A5D">
      <w:pPr>
        <w:numPr>
          <w:ilvl w:val="0"/>
          <w:numId w:val="535"/>
        </w:numPr>
        <w:spacing w:line="264" w:lineRule="auto"/>
        <w:contextualSpacing/>
        <w:jc w:val="left"/>
        <w:rPr>
          <w:rFonts w:ascii="Arial" w:eastAsia="Calibri" w:hAnsi="Arial" w:cs="Arial"/>
          <w:szCs w:val="28"/>
        </w:rPr>
      </w:pPr>
      <w:r w:rsidRPr="00511005">
        <w:rPr>
          <w:rFonts w:ascii="Arial" w:eastAsia="Calibri" w:hAnsi="Arial" w:cs="Arial"/>
          <w:szCs w:val="28"/>
        </w:rPr>
        <w:t xml:space="preserve">Кальман О. В. Кримінальна відповідальність за різні прояви колабораціонізму: проблеми правозастосування / О. В. Кальман. URL: </w:t>
      </w:r>
      <w:hyperlink r:id="rId1880" w:tgtFrame="_new" w:history="1">
        <w:r w:rsidRPr="00511005">
          <w:rPr>
            <w:rFonts w:ascii="Arial" w:eastAsia="Calibri" w:hAnsi="Arial" w:cs="Arial"/>
            <w:szCs w:val="28"/>
          </w:rPr>
          <w:t>https://www.researchgate.net/publication/375013033</w:t>
        </w:r>
      </w:hyperlink>
      <w:r w:rsidRPr="00511005">
        <w:rPr>
          <w:rFonts w:ascii="Arial" w:eastAsia="Calibri" w:hAnsi="Arial" w:cs="Arial"/>
          <w:szCs w:val="28"/>
        </w:rPr>
        <w:t xml:space="preserve"> (дата звернення: 08.04.2025).</w:t>
      </w:r>
    </w:p>
    <w:p w14:paraId="1B4ADC96" w14:textId="77777777" w:rsidR="00200E87" w:rsidRPr="00511005" w:rsidRDefault="00200E87" w:rsidP="003F6A5D">
      <w:pPr>
        <w:numPr>
          <w:ilvl w:val="0"/>
          <w:numId w:val="535"/>
        </w:numPr>
        <w:spacing w:line="264" w:lineRule="auto"/>
        <w:contextualSpacing/>
        <w:jc w:val="left"/>
        <w:rPr>
          <w:rFonts w:ascii="Arial" w:eastAsia="Calibri" w:hAnsi="Arial" w:cs="Arial"/>
          <w:szCs w:val="28"/>
        </w:rPr>
      </w:pPr>
      <w:r w:rsidRPr="00511005">
        <w:rPr>
          <w:rFonts w:ascii="Arial" w:eastAsia="Calibri" w:hAnsi="Arial" w:cs="Arial"/>
          <w:szCs w:val="28"/>
        </w:rPr>
        <w:t xml:space="preserve">Колабораційна діяльність: нова стаття Кримінального кодексу // Центр політико-правових </w:t>
      </w:r>
      <w:proofErr w:type="gramStart"/>
      <w:r w:rsidRPr="00511005">
        <w:rPr>
          <w:rFonts w:ascii="Arial" w:eastAsia="Calibri" w:hAnsi="Arial" w:cs="Arial"/>
          <w:szCs w:val="28"/>
        </w:rPr>
        <w:t>реформ :</w:t>
      </w:r>
      <w:proofErr w:type="gramEnd"/>
      <w:r w:rsidRPr="00511005">
        <w:rPr>
          <w:rFonts w:ascii="Arial" w:eastAsia="Calibri" w:hAnsi="Arial" w:cs="Arial"/>
          <w:szCs w:val="28"/>
        </w:rPr>
        <w:t xml:space="preserve"> вебсайт. URL: </w:t>
      </w:r>
      <w:hyperlink r:id="rId1881" w:tgtFrame="_new" w:history="1">
        <w:r w:rsidRPr="00511005">
          <w:rPr>
            <w:rFonts w:ascii="Arial" w:eastAsia="Calibri" w:hAnsi="Arial" w:cs="Arial"/>
            <w:szCs w:val="28"/>
          </w:rPr>
          <w:t>https://pravo.org.ua/blogs/kolaboratsijna-diyalnist-nova-stattya-kryminalnogo-kodeksu</w:t>
        </w:r>
      </w:hyperlink>
      <w:r w:rsidRPr="00511005">
        <w:rPr>
          <w:rFonts w:ascii="Arial" w:eastAsia="Calibri" w:hAnsi="Arial" w:cs="Arial"/>
          <w:szCs w:val="28"/>
        </w:rPr>
        <w:t xml:space="preserve"> (дата звернення: 08.04.2025).</w:t>
      </w:r>
    </w:p>
    <w:p w14:paraId="21FD35B2" w14:textId="77777777" w:rsidR="00200E87" w:rsidRPr="00511005" w:rsidRDefault="00200E87" w:rsidP="003F6A5D">
      <w:pPr>
        <w:numPr>
          <w:ilvl w:val="0"/>
          <w:numId w:val="535"/>
        </w:numPr>
        <w:spacing w:line="264" w:lineRule="auto"/>
        <w:contextualSpacing/>
        <w:jc w:val="left"/>
        <w:rPr>
          <w:rFonts w:ascii="Arial" w:eastAsia="Calibri" w:hAnsi="Arial" w:cs="Arial"/>
          <w:szCs w:val="28"/>
        </w:rPr>
      </w:pPr>
      <w:r w:rsidRPr="00511005">
        <w:rPr>
          <w:rFonts w:ascii="Arial" w:eastAsia="Calibri" w:hAnsi="Arial" w:cs="Arial"/>
          <w:szCs w:val="28"/>
        </w:rPr>
        <w:t xml:space="preserve">Пам’ятка: відповідальність громадян України за державну зраду, колабораційну діяльність та пособництво державі-агресору // Law in </w:t>
      </w:r>
      <w:proofErr w:type="gramStart"/>
      <w:r w:rsidRPr="00511005">
        <w:rPr>
          <w:rFonts w:ascii="Arial" w:eastAsia="Calibri" w:hAnsi="Arial" w:cs="Arial"/>
          <w:szCs w:val="28"/>
        </w:rPr>
        <w:t>War :</w:t>
      </w:r>
      <w:proofErr w:type="gramEnd"/>
      <w:r w:rsidRPr="00511005">
        <w:rPr>
          <w:rFonts w:ascii="Arial" w:eastAsia="Calibri" w:hAnsi="Arial" w:cs="Arial"/>
          <w:szCs w:val="28"/>
        </w:rPr>
        <w:t xml:space="preserve"> вебсайт. URL: </w:t>
      </w:r>
      <w:hyperlink r:id="rId1882" w:tgtFrame="_new" w:history="1">
        <w:r w:rsidRPr="00511005">
          <w:rPr>
            <w:rFonts w:ascii="Arial" w:eastAsia="Calibri" w:hAnsi="Arial" w:cs="Arial"/>
            <w:szCs w:val="28"/>
          </w:rPr>
          <w:t>https://law-in-war.org/pamyatka-vidpovidalnist-gromadyan-ukrayiny</w:t>
        </w:r>
      </w:hyperlink>
      <w:r w:rsidRPr="00511005">
        <w:rPr>
          <w:rFonts w:ascii="Arial" w:eastAsia="Calibri" w:hAnsi="Arial" w:cs="Arial"/>
          <w:szCs w:val="28"/>
        </w:rPr>
        <w:t xml:space="preserve"> (дата звернення: 08.04.2025).</w:t>
      </w:r>
    </w:p>
    <w:p w14:paraId="0A01A0EB" w14:textId="77777777" w:rsidR="00200E87" w:rsidRPr="00511005" w:rsidRDefault="00200E87" w:rsidP="003F6A5D">
      <w:pPr>
        <w:numPr>
          <w:ilvl w:val="0"/>
          <w:numId w:val="535"/>
        </w:numPr>
        <w:spacing w:line="264" w:lineRule="auto"/>
        <w:contextualSpacing/>
        <w:jc w:val="left"/>
        <w:rPr>
          <w:rFonts w:ascii="Arial" w:eastAsia="Calibri" w:hAnsi="Arial" w:cs="Arial"/>
          <w:szCs w:val="28"/>
        </w:rPr>
      </w:pPr>
      <w:r w:rsidRPr="00511005">
        <w:rPr>
          <w:rFonts w:ascii="Arial" w:eastAsia="Calibri" w:hAnsi="Arial" w:cs="Arial"/>
          <w:szCs w:val="28"/>
        </w:rPr>
        <w:t xml:space="preserve">Проблеми розмежування злочинних та вимушених форм поведінки на окупованих територіях // Луганський науковий вісник Луганського державного університету внутрішніх </w:t>
      </w:r>
      <w:proofErr w:type="gramStart"/>
      <w:r w:rsidRPr="00511005">
        <w:rPr>
          <w:rFonts w:ascii="Arial" w:eastAsia="Calibri" w:hAnsi="Arial" w:cs="Arial"/>
          <w:szCs w:val="28"/>
        </w:rPr>
        <w:t>справ :</w:t>
      </w:r>
      <w:proofErr w:type="gramEnd"/>
      <w:r w:rsidRPr="00511005">
        <w:rPr>
          <w:rFonts w:ascii="Arial" w:eastAsia="Calibri" w:hAnsi="Arial" w:cs="Arial"/>
          <w:szCs w:val="28"/>
        </w:rPr>
        <w:t xml:space="preserve"> наук. журнал. URL: </w:t>
      </w:r>
      <w:hyperlink r:id="rId1883" w:tgtFrame="_new" w:history="1">
        <w:r w:rsidRPr="00511005">
          <w:rPr>
            <w:rFonts w:ascii="Arial" w:eastAsia="Calibri" w:hAnsi="Arial" w:cs="Arial"/>
            <w:szCs w:val="28"/>
          </w:rPr>
          <w:t>https://luhbulletin.dnuvs.ukr.education</w:t>
        </w:r>
      </w:hyperlink>
      <w:r w:rsidRPr="00511005">
        <w:rPr>
          <w:rFonts w:ascii="Arial" w:eastAsia="Calibri" w:hAnsi="Arial" w:cs="Arial"/>
          <w:szCs w:val="28"/>
        </w:rPr>
        <w:t xml:space="preserve"> (дата звернення: 08.04.2025).</w:t>
      </w:r>
    </w:p>
    <w:p w14:paraId="7B871422" w14:textId="77777777" w:rsidR="00200E87" w:rsidRPr="00511005" w:rsidRDefault="00200E87" w:rsidP="003F6A5D">
      <w:pPr>
        <w:numPr>
          <w:ilvl w:val="0"/>
          <w:numId w:val="535"/>
        </w:numPr>
        <w:spacing w:line="264" w:lineRule="auto"/>
        <w:contextualSpacing/>
        <w:jc w:val="left"/>
        <w:rPr>
          <w:rFonts w:ascii="Arial" w:eastAsia="Calibri" w:hAnsi="Arial" w:cs="Arial"/>
          <w:szCs w:val="28"/>
        </w:rPr>
      </w:pPr>
      <w:r w:rsidRPr="00511005">
        <w:rPr>
          <w:rFonts w:ascii="Arial" w:eastAsia="Calibri" w:hAnsi="Arial" w:cs="Arial"/>
          <w:szCs w:val="28"/>
        </w:rPr>
        <w:t xml:space="preserve">Коваль О. І. Питання доказування умислу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щодо колабораціонізму / О. І. Коваль. </w:t>
      </w:r>
      <w:proofErr w:type="gramStart"/>
      <w:r w:rsidRPr="00511005">
        <w:rPr>
          <w:rFonts w:ascii="Arial" w:eastAsia="Calibri" w:hAnsi="Arial" w:cs="Arial"/>
          <w:szCs w:val="28"/>
        </w:rPr>
        <w:t>Харків :</w:t>
      </w:r>
      <w:proofErr w:type="gramEnd"/>
      <w:r w:rsidRPr="00511005">
        <w:rPr>
          <w:rFonts w:ascii="Arial" w:eastAsia="Calibri" w:hAnsi="Arial" w:cs="Arial"/>
          <w:szCs w:val="28"/>
        </w:rPr>
        <w:t xml:space="preserve"> ДЮІ МВС України, 2023. С. 45–58. URL: </w:t>
      </w:r>
      <w:hyperlink r:id="rId1884" w:tgtFrame="_new" w:history="1">
        <w:r w:rsidRPr="00511005">
          <w:rPr>
            <w:rFonts w:ascii="Arial" w:eastAsia="Calibri" w:hAnsi="Arial" w:cs="Arial"/>
            <w:szCs w:val="28"/>
          </w:rPr>
          <w:t>https://dspace.univd.edu.ua</w:t>
        </w:r>
      </w:hyperlink>
      <w:r w:rsidRPr="00511005">
        <w:rPr>
          <w:rFonts w:ascii="Arial" w:eastAsia="Calibri" w:hAnsi="Arial" w:cs="Arial"/>
          <w:szCs w:val="28"/>
        </w:rPr>
        <w:t xml:space="preserve"> (дата звернення: 08.04.2025).</w:t>
      </w:r>
    </w:p>
    <w:p w14:paraId="081C6879" w14:textId="77777777" w:rsidR="00200E87" w:rsidRPr="00511005" w:rsidRDefault="00200E87" w:rsidP="003A292D">
      <w:pPr>
        <w:spacing w:line="264" w:lineRule="auto"/>
        <w:ind w:firstLine="0"/>
        <w:rPr>
          <w:rFonts w:ascii="Arial" w:eastAsia="Calibri" w:hAnsi="Arial" w:cs="Arial"/>
          <w:b/>
          <w:bCs/>
          <w:szCs w:val="28"/>
          <w:lang w:val="uk-UA"/>
        </w:rPr>
      </w:pPr>
    </w:p>
    <w:p w14:paraId="44E090D8" w14:textId="5CC0864C"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200E87" w:rsidRPr="00511005">
        <w:rPr>
          <w:rFonts w:ascii="Arial" w:eastAsia="Calibri" w:hAnsi="Arial" w:cs="Arial"/>
          <w:szCs w:val="28"/>
          <w:lang w:val="uk-UA"/>
        </w:rPr>
        <w:t>колабораціонізм, пособництво агресору, кримінальна відповідальність, державна зрада, окупація, правозастосування, злочини, пропорційність покарання.</w:t>
      </w:r>
    </w:p>
    <w:p w14:paraId="762192B8" w14:textId="70CE14B5"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Key words: </w:t>
      </w:r>
      <w:r w:rsidR="00200E87" w:rsidRPr="00511005">
        <w:rPr>
          <w:rFonts w:ascii="Arial" w:eastAsia="Calibri" w:hAnsi="Arial" w:cs="Arial"/>
          <w:szCs w:val="28"/>
          <w:lang w:val="en-US"/>
        </w:rPr>
        <w:t>c</w:t>
      </w:r>
      <w:r w:rsidR="00200E87" w:rsidRPr="00511005">
        <w:rPr>
          <w:rFonts w:ascii="Arial" w:eastAsia="Calibri" w:hAnsi="Arial" w:cs="Arial"/>
          <w:szCs w:val="28"/>
          <w:lang w:val="uk-UA"/>
        </w:rPr>
        <w:t>ollaboration, aiding and abetting the aggressor, criminal liability, treason, occupation, law enforcement, crimes, proportionality of punishment.</w:t>
      </w:r>
    </w:p>
    <w:p w14:paraId="01069E66" w14:textId="77777777" w:rsidR="00200E87" w:rsidRPr="00511005" w:rsidRDefault="00200E87" w:rsidP="003A292D">
      <w:pPr>
        <w:spacing w:line="264" w:lineRule="auto"/>
        <w:ind w:firstLine="0"/>
        <w:rPr>
          <w:rFonts w:ascii="Arial" w:eastAsia="Calibri" w:hAnsi="Arial" w:cs="Arial"/>
          <w:i/>
          <w:iCs/>
          <w:szCs w:val="28"/>
          <w:lang w:val="uk-UA"/>
        </w:rPr>
      </w:pPr>
    </w:p>
    <w:p w14:paraId="75F764C6" w14:textId="4C5B8AEF" w:rsidR="00200E87"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200E87" w:rsidRPr="00511005">
        <w:rPr>
          <w:rFonts w:ascii="Arial" w:eastAsia="Calibri" w:hAnsi="Arial" w:cs="Arial"/>
          <w:i/>
          <w:iCs/>
          <w:szCs w:val="28"/>
          <w:lang w:val="uk-UA"/>
        </w:rPr>
        <w:t>к.ю.н., доцент Хильченко А.С.</w:t>
      </w:r>
    </w:p>
    <w:p w14:paraId="2EE20933" w14:textId="77777777" w:rsidR="00200E87" w:rsidRPr="00511005" w:rsidRDefault="00200E87" w:rsidP="003A292D">
      <w:pPr>
        <w:spacing w:line="264" w:lineRule="auto"/>
        <w:ind w:firstLine="0"/>
        <w:jc w:val="center"/>
        <w:rPr>
          <w:rFonts w:ascii="Arial" w:eastAsia="Calibri" w:hAnsi="Arial" w:cs="Arial"/>
          <w:szCs w:val="28"/>
          <w:lang w:val="uk-UA"/>
        </w:rPr>
      </w:pPr>
    </w:p>
    <w:p w14:paraId="6A2567F5" w14:textId="77777777" w:rsidR="00200E87" w:rsidRPr="00511005" w:rsidRDefault="00200E87" w:rsidP="003A292D">
      <w:pPr>
        <w:spacing w:line="264" w:lineRule="auto"/>
        <w:ind w:firstLine="0"/>
        <w:jc w:val="center"/>
        <w:rPr>
          <w:rFonts w:ascii="Arial" w:eastAsia="Calibri" w:hAnsi="Arial" w:cs="Arial"/>
          <w:szCs w:val="28"/>
          <w:lang w:val="uk-UA"/>
        </w:rPr>
      </w:pPr>
    </w:p>
    <w:p w14:paraId="38122355" w14:textId="77777777" w:rsidR="00200E87" w:rsidRPr="00511005" w:rsidRDefault="00200E87" w:rsidP="003A292D">
      <w:pPr>
        <w:spacing w:line="264" w:lineRule="auto"/>
        <w:ind w:firstLine="0"/>
        <w:jc w:val="center"/>
        <w:rPr>
          <w:rFonts w:ascii="Arial" w:eastAsia="Times New Roman" w:hAnsi="Arial" w:cs="Arial"/>
          <w:i/>
          <w:szCs w:val="28"/>
          <w:lang w:val="uk-UA" w:eastAsia="ru-RU"/>
        </w:rPr>
      </w:pPr>
      <w:r w:rsidRPr="00511005">
        <w:rPr>
          <w:rFonts w:ascii="Arial" w:eastAsia="Times New Roman" w:hAnsi="Arial" w:cs="Arial"/>
          <w:b/>
          <w:i/>
          <w:szCs w:val="28"/>
          <w:lang w:val="uk-UA" w:eastAsia="ru-RU"/>
        </w:rPr>
        <w:t>Сінчук Карина Костянтинівна</w:t>
      </w:r>
    </w:p>
    <w:p w14:paraId="30CCCB5B" w14:textId="4A406501"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3BA21C94"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52F2E49"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86901AC" w14:textId="77777777" w:rsidR="00200E87" w:rsidRPr="00511005" w:rsidRDefault="00200E87" w:rsidP="003A292D">
      <w:pPr>
        <w:spacing w:line="264" w:lineRule="auto"/>
        <w:ind w:firstLine="0"/>
        <w:jc w:val="center"/>
        <w:rPr>
          <w:rFonts w:ascii="Arial" w:eastAsia="Times New Roman" w:hAnsi="Arial" w:cs="Arial"/>
          <w:b/>
          <w:szCs w:val="28"/>
          <w:lang w:val="uk-UA"/>
        </w:rPr>
      </w:pPr>
    </w:p>
    <w:p w14:paraId="6F722D80" w14:textId="77777777" w:rsidR="00200E87" w:rsidRPr="00511005" w:rsidRDefault="00200E87"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КОНФІСКАЦІЯ МАЙНА ЯК ВИД ПОКАРАННЯ</w:t>
      </w:r>
    </w:p>
    <w:p w14:paraId="0A4877D2"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 xml:space="preserve">Конфіскація майна є </w:t>
      </w:r>
      <w:r w:rsidRPr="00511005">
        <w:rPr>
          <w:rFonts w:ascii="Arial" w:eastAsia="Times New Roman" w:hAnsi="Arial" w:cs="Arial"/>
          <w:bCs/>
          <w:szCs w:val="28"/>
          <w:lang w:val="uk-UA"/>
        </w:rPr>
        <w:t>видом кримінального покарання</w:t>
      </w:r>
      <w:r w:rsidRPr="00511005">
        <w:rPr>
          <w:rFonts w:ascii="Arial" w:eastAsia="Times New Roman" w:hAnsi="Arial" w:cs="Arial"/>
          <w:szCs w:val="28"/>
          <w:lang w:val="uk-UA"/>
        </w:rPr>
        <w:t xml:space="preserve">, що застосовується до осіб, які вчинили тяжкі або особливо тяжкі корисливі злочини. Це покарання полягає у примусовому безоплатному вилученні у власність держави всього або частини майна, що належить засудженому, і має як каральний, так і превентивний характер. Законодавче регулювання конфіскації майна закріплено у статтях Загальної та Особливої частин Кримінального кодексу України (далі – КК України), де вона може бути встановлена як обов’язковий або факультативний </w:t>
      </w:r>
      <w:r w:rsidRPr="00511005">
        <w:rPr>
          <w:rFonts w:ascii="Arial" w:eastAsia="Times New Roman" w:hAnsi="Arial" w:cs="Arial"/>
          <w:bCs/>
          <w:szCs w:val="28"/>
          <w:lang w:val="uk-UA"/>
        </w:rPr>
        <w:t>додатковий</w:t>
      </w:r>
      <w:r w:rsidRPr="00511005">
        <w:rPr>
          <w:rFonts w:ascii="Arial" w:eastAsia="Times New Roman" w:hAnsi="Arial" w:cs="Arial"/>
          <w:szCs w:val="28"/>
          <w:lang w:val="uk-UA"/>
        </w:rPr>
        <w:t xml:space="preserve"> вид покарання. Її застосування можливе </w:t>
      </w:r>
      <w:r w:rsidRPr="00511005">
        <w:rPr>
          <w:rFonts w:ascii="Arial" w:eastAsia="Times New Roman" w:hAnsi="Arial" w:cs="Arial"/>
          <w:bCs/>
          <w:szCs w:val="28"/>
          <w:lang w:val="uk-UA"/>
        </w:rPr>
        <w:t>виключно у випадках</w:t>
      </w:r>
      <w:r w:rsidRPr="00511005">
        <w:rPr>
          <w:rFonts w:ascii="Arial" w:eastAsia="Times New Roman" w:hAnsi="Arial" w:cs="Arial"/>
          <w:szCs w:val="28"/>
          <w:lang w:val="uk-UA"/>
        </w:rPr>
        <w:t>, коли це прямо передбачено санкцією відповідної статті Особливої частини КК України [1].</w:t>
      </w:r>
    </w:p>
    <w:p w14:paraId="1929718F"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Конфіскація як додатковий вид покарання спрямована на </w:t>
      </w:r>
      <w:r w:rsidRPr="00511005">
        <w:rPr>
          <w:rFonts w:ascii="Arial" w:eastAsia="Times New Roman" w:hAnsi="Arial" w:cs="Arial"/>
          <w:bCs/>
          <w:szCs w:val="28"/>
          <w:lang w:val="uk-UA"/>
        </w:rPr>
        <w:t>вилучення майна засудженого без компенсації його вартості</w:t>
      </w:r>
      <w:r w:rsidRPr="00511005">
        <w:rPr>
          <w:rFonts w:ascii="Arial" w:eastAsia="Times New Roman" w:hAnsi="Arial" w:cs="Arial"/>
          <w:szCs w:val="28"/>
          <w:lang w:val="uk-UA"/>
        </w:rPr>
        <w:t xml:space="preserve">. Вона </w:t>
      </w:r>
      <w:r w:rsidRPr="00511005">
        <w:rPr>
          <w:rFonts w:ascii="Arial" w:eastAsia="Times New Roman" w:hAnsi="Arial" w:cs="Arial"/>
          <w:bCs/>
          <w:szCs w:val="28"/>
          <w:lang w:val="uk-UA"/>
        </w:rPr>
        <w:t>не може бути призначена самостійно</w:t>
      </w:r>
      <w:r w:rsidRPr="00511005">
        <w:rPr>
          <w:rFonts w:ascii="Arial" w:eastAsia="Times New Roman" w:hAnsi="Arial" w:cs="Arial"/>
          <w:szCs w:val="28"/>
          <w:lang w:val="uk-UA"/>
        </w:rPr>
        <w:t xml:space="preserve">, а лише разом з основним покаранням, таким як позбавлення волі чи обмеження волі. Слід також розмежовувати конфіскацію як кримінальне покарання, передбачену в санкціях конкретних складів злочинів, та </w:t>
      </w:r>
      <w:r w:rsidRPr="00511005">
        <w:rPr>
          <w:rFonts w:ascii="Arial" w:eastAsia="Times New Roman" w:hAnsi="Arial" w:cs="Arial"/>
          <w:bCs/>
          <w:szCs w:val="28"/>
          <w:lang w:val="uk-UA"/>
        </w:rPr>
        <w:t>спеціальну конфіскацію</w:t>
      </w:r>
      <w:r w:rsidRPr="00511005">
        <w:rPr>
          <w:rFonts w:ascii="Arial" w:eastAsia="Times New Roman" w:hAnsi="Arial" w:cs="Arial"/>
          <w:szCs w:val="28"/>
          <w:lang w:val="uk-UA"/>
        </w:rPr>
        <w:t xml:space="preserve">, яка є </w:t>
      </w:r>
      <w:r w:rsidRPr="00511005">
        <w:rPr>
          <w:rFonts w:ascii="Arial" w:eastAsia="Times New Roman" w:hAnsi="Arial" w:cs="Arial"/>
          <w:bCs/>
          <w:szCs w:val="28"/>
          <w:lang w:val="uk-UA"/>
        </w:rPr>
        <w:t>самостійним заходом кримінально-правового характеру</w:t>
      </w:r>
      <w:r w:rsidRPr="00511005">
        <w:rPr>
          <w:rFonts w:ascii="Arial" w:eastAsia="Times New Roman" w:hAnsi="Arial" w:cs="Arial"/>
          <w:szCs w:val="28"/>
          <w:lang w:val="uk-UA"/>
        </w:rPr>
        <w:t>, але не вважається покаранням у формальному розумінні.</w:t>
      </w:r>
    </w:p>
    <w:p w14:paraId="65F62C40"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bCs/>
          <w:szCs w:val="28"/>
          <w:lang w:val="uk-UA"/>
        </w:rPr>
        <w:t>Спеціальна конфіскація</w:t>
      </w:r>
      <w:r w:rsidRPr="00511005">
        <w:rPr>
          <w:rFonts w:ascii="Arial" w:eastAsia="Times New Roman" w:hAnsi="Arial" w:cs="Arial"/>
          <w:szCs w:val="28"/>
          <w:lang w:val="uk-UA"/>
        </w:rPr>
        <w:t xml:space="preserve"> регулюється статтями 96¹–96⁵ КК України та застосовується незалежно від того, чи передбачена вона в санкції статті Особливої частини. Вона полягає у примусовому вилученні майна, що було знаряддям, засобом або предметом кримінального правопорушення, доходів, одержаних від злочинної діяльності, або майна, набутого за їх рахунок. При цьому спеціальна конфіскація може застосовуватися </w:t>
      </w:r>
      <w:r w:rsidRPr="00511005">
        <w:rPr>
          <w:rFonts w:ascii="Arial" w:eastAsia="Times New Roman" w:hAnsi="Arial" w:cs="Arial"/>
          <w:bCs/>
          <w:szCs w:val="28"/>
          <w:lang w:val="uk-UA"/>
        </w:rPr>
        <w:t>не лише до засудженого</w:t>
      </w:r>
      <w:r w:rsidRPr="00511005">
        <w:rPr>
          <w:rFonts w:ascii="Arial" w:eastAsia="Times New Roman" w:hAnsi="Arial" w:cs="Arial"/>
          <w:szCs w:val="28"/>
          <w:lang w:val="uk-UA"/>
        </w:rPr>
        <w:t xml:space="preserve">, а й до </w:t>
      </w:r>
      <w:r w:rsidRPr="00511005">
        <w:rPr>
          <w:rFonts w:ascii="Arial" w:eastAsia="Times New Roman" w:hAnsi="Arial" w:cs="Arial"/>
          <w:bCs/>
          <w:szCs w:val="28"/>
          <w:lang w:val="uk-UA"/>
        </w:rPr>
        <w:t>третьої особи</w:t>
      </w:r>
      <w:r w:rsidRPr="00511005">
        <w:rPr>
          <w:rFonts w:ascii="Arial" w:eastAsia="Times New Roman" w:hAnsi="Arial" w:cs="Arial"/>
          <w:szCs w:val="28"/>
          <w:lang w:val="uk-UA"/>
        </w:rPr>
        <w:t>, якщо вона придбала майно, знаючи про його злочинне походження.</w:t>
      </w:r>
    </w:p>
    <w:p w14:paraId="300C8105"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У свою чергу, конфіскація майна як кримінальне покарання застосовується </w:t>
      </w:r>
      <w:r w:rsidRPr="00511005">
        <w:rPr>
          <w:rFonts w:ascii="Arial" w:eastAsia="Times New Roman" w:hAnsi="Arial" w:cs="Arial"/>
          <w:bCs/>
          <w:szCs w:val="28"/>
          <w:lang w:val="uk-UA"/>
        </w:rPr>
        <w:t>виключно до особи, визнаної винною у вчиненні злочину</w:t>
      </w:r>
      <w:r w:rsidRPr="00511005">
        <w:rPr>
          <w:rFonts w:ascii="Arial" w:eastAsia="Times New Roman" w:hAnsi="Arial" w:cs="Arial"/>
          <w:szCs w:val="28"/>
          <w:lang w:val="uk-UA"/>
        </w:rPr>
        <w:t>, і лише у випадках, передбачених законом, зокрема за: умисне вбивство з корисливих мотивів (ст. 115), торгівлю людьми (ст. 149), крадіжку, грабіж, розбій у кваліфікованих формах (ст. 185–187), шахрайство (ст. 190), легалізацію доходів (ст. 209), ухилення від сплати податків (ст. 212), бандитизм (ст. 257), контрабанду наркотичних засобів (ст. 305) тощо [1].</w:t>
      </w:r>
    </w:p>
    <w:p w14:paraId="6ABE7AA0"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Кримінальне законодавство також визначає </w:t>
      </w:r>
      <w:r w:rsidRPr="00511005">
        <w:rPr>
          <w:rFonts w:ascii="Arial" w:eastAsia="Times New Roman" w:hAnsi="Arial" w:cs="Arial"/>
          <w:bCs/>
          <w:szCs w:val="28"/>
          <w:lang w:val="uk-UA"/>
        </w:rPr>
        <w:t>виключення і обмеження</w:t>
      </w:r>
      <w:r w:rsidRPr="00511005">
        <w:rPr>
          <w:rFonts w:ascii="Arial" w:eastAsia="Times New Roman" w:hAnsi="Arial" w:cs="Arial"/>
          <w:szCs w:val="28"/>
          <w:lang w:val="uk-UA"/>
        </w:rPr>
        <w:t xml:space="preserve"> щодо застосування конфіскації. Зокрема, вона </w:t>
      </w:r>
      <w:r w:rsidRPr="00511005">
        <w:rPr>
          <w:rFonts w:ascii="Arial" w:eastAsia="Times New Roman" w:hAnsi="Arial" w:cs="Arial"/>
          <w:bCs/>
          <w:szCs w:val="28"/>
          <w:lang w:val="uk-UA"/>
        </w:rPr>
        <w:t>не може бути призначена неповнолітнім</w:t>
      </w:r>
      <w:r w:rsidRPr="00511005">
        <w:rPr>
          <w:rFonts w:ascii="Arial" w:eastAsia="Times New Roman" w:hAnsi="Arial" w:cs="Arial"/>
          <w:szCs w:val="28"/>
          <w:lang w:val="uk-UA"/>
        </w:rPr>
        <w:t xml:space="preserve"> (ст. 98 КК України), а також існує перелік майна, яке </w:t>
      </w:r>
      <w:r w:rsidRPr="00511005">
        <w:rPr>
          <w:rFonts w:ascii="Arial" w:eastAsia="Times New Roman" w:hAnsi="Arial" w:cs="Arial"/>
          <w:bCs/>
          <w:szCs w:val="28"/>
          <w:lang w:val="uk-UA"/>
        </w:rPr>
        <w:t>не підлягає конфіскації</w:t>
      </w:r>
      <w:r w:rsidRPr="00511005">
        <w:rPr>
          <w:rFonts w:ascii="Arial" w:eastAsia="Times New Roman" w:hAnsi="Arial" w:cs="Arial"/>
          <w:szCs w:val="28"/>
          <w:lang w:val="uk-UA"/>
        </w:rPr>
        <w:t>, наприклад: житло, в якому постійно проживає засуджений із сім’єю, предмети першої необхідності, особисті речі, продукти харчування та дитячі речі.</w:t>
      </w:r>
    </w:p>
    <w:p w14:paraId="287335DA"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У науковій літературі триває </w:t>
      </w:r>
      <w:r w:rsidRPr="00511005">
        <w:rPr>
          <w:rFonts w:ascii="Arial" w:eastAsia="Times New Roman" w:hAnsi="Arial" w:cs="Arial"/>
          <w:bCs/>
          <w:szCs w:val="28"/>
          <w:lang w:val="uk-UA"/>
        </w:rPr>
        <w:t>дискусія щодо доцільності збереження конфіскації як покарання</w:t>
      </w:r>
      <w:r w:rsidRPr="00511005">
        <w:rPr>
          <w:rFonts w:ascii="Arial" w:eastAsia="Times New Roman" w:hAnsi="Arial" w:cs="Arial"/>
          <w:szCs w:val="28"/>
          <w:lang w:val="uk-UA"/>
        </w:rPr>
        <w:t xml:space="preserve">. Частина дослідників вважає її рудиментом радянської каральної системи та фіскальним механізмом, що суперечить </w:t>
      </w:r>
      <w:r w:rsidRPr="00511005">
        <w:rPr>
          <w:rFonts w:ascii="Arial" w:eastAsia="Times New Roman" w:hAnsi="Arial" w:cs="Arial"/>
          <w:szCs w:val="28"/>
          <w:lang w:val="uk-UA"/>
        </w:rPr>
        <w:lastRenderedPageBreak/>
        <w:t xml:space="preserve">принципу справедливості. Інші ж акцентують на її </w:t>
      </w:r>
      <w:r w:rsidRPr="00511005">
        <w:rPr>
          <w:rFonts w:ascii="Arial" w:eastAsia="Times New Roman" w:hAnsi="Arial" w:cs="Arial"/>
          <w:bCs/>
          <w:szCs w:val="28"/>
          <w:lang w:val="uk-UA"/>
        </w:rPr>
        <w:t>ефективності в боротьбі з організованою злочинністю та економічними правопорушеннями</w:t>
      </w:r>
      <w:r w:rsidRPr="00511005">
        <w:rPr>
          <w:rFonts w:ascii="Arial" w:eastAsia="Times New Roman" w:hAnsi="Arial" w:cs="Arial"/>
          <w:szCs w:val="28"/>
          <w:lang w:val="uk-UA"/>
        </w:rPr>
        <w:t>. Наприклад, у працях зазначається, що конфіскація має потужний превентивний ефект, іноді дієвіший за позбавлення волі [2, с. 215], а М. Й. Коржанський наголошує на її ролі у боротьбі з економічними злочинами [3, с. 150].</w:t>
      </w:r>
    </w:p>
    <w:p w14:paraId="66E5AAFC"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Водночас дедалі більше фахівців підтримують </w:t>
      </w:r>
      <w:r w:rsidRPr="00511005">
        <w:rPr>
          <w:rFonts w:ascii="Arial" w:eastAsia="Times New Roman" w:hAnsi="Arial" w:cs="Arial"/>
          <w:bCs/>
          <w:szCs w:val="28"/>
          <w:lang w:val="uk-UA"/>
        </w:rPr>
        <w:t>пріоритетність спеціальної конфіскації</w:t>
      </w:r>
      <w:r w:rsidRPr="00511005">
        <w:rPr>
          <w:rFonts w:ascii="Arial" w:eastAsia="Times New Roman" w:hAnsi="Arial" w:cs="Arial"/>
          <w:szCs w:val="28"/>
          <w:lang w:val="uk-UA"/>
        </w:rPr>
        <w:t xml:space="preserve">, яка дозволяє сконцентруватися на </w:t>
      </w:r>
      <w:r w:rsidRPr="00511005">
        <w:rPr>
          <w:rFonts w:ascii="Arial" w:eastAsia="Times New Roman" w:hAnsi="Arial" w:cs="Arial"/>
          <w:bCs/>
          <w:szCs w:val="28"/>
          <w:lang w:val="uk-UA"/>
        </w:rPr>
        <w:t>вилученні злочинно набутого майна</w:t>
      </w:r>
      <w:r w:rsidRPr="00511005">
        <w:rPr>
          <w:rFonts w:ascii="Arial" w:eastAsia="Times New Roman" w:hAnsi="Arial" w:cs="Arial"/>
          <w:szCs w:val="28"/>
          <w:lang w:val="uk-UA"/>
        </w:rPr>
        <w:t>, не порушуючи прав добросовісних співвласників чи членів родини засудженого. Вчені підкреслюють, що розширення сфери застосування спеціальної конфіскації відповідає принципам правової визначеності, пропорційності та гуманізму [4, с. 393].</w:t>
      </w:r>
    </w:p>
    <w:p w14:paraId="13DD67A2"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bCs/>
          <w:szCs w:val="28"/>
          <w:lang w:val="uk-UA"/>
        </w:rPr>
        <w:t>Таким чином</w:t>
      </w:r>
      <w:r w:rsidRPr="00511005">
        <w:rPr>
          <w:rFonts w:ascii="Arial" w:eastAsia="Times New Roman" w:hAnsi="Arial" w:cs="Arial"/>
          <w:szCs w:val="28"/>
          <w:lang w:val="uk-UA"/>
        </w:rPr>
        <w:t xml:space="preserve">, конфіскація залишається ефективним інструментом кримінального права, проте її застосування має ґрунтуватися </w:t>
      </w:r>
      <w:r w:rsidRPr="00511005">
        <w:rPr>
          <w:rFonts w:ascii="Arial" w:eastAsia="Times New Roman" w:hAnsi="Arial" w:cs="Arial"/>
          <w:bCs/>
          <w:szCs w:val="28"/>
          <w:lang w:val="uk-UA"/>
        </w:rPr>
        <w:t>на чітких правових підставах</w:t>
      </w:r>
      <w:r w:rsidRPr="00511005">
        <w:rPr>
          <w:rFonts w:ascii="Arial" w:eastAsia="Times New Roman" w:hAnsi="Arial" w:cs="Arial"/>
          <w:szCs w:val="28"/>
          <w:lang w:val="uk-UA"/>
        </w:rPr>
        <w:t>, враховувати природу правопорушення, правовий статус особи та характер майна. В умовах правової реформи особливу увагу слід приділити розвитку та вдосконаленню інституту спеціальної конфіскації як більш гнучкого та менш репресивного механізму кримінально-правового впливу.</w:t>
      </w:r>
    </w:p>
    <w:p w14:paraId="2FDD5C6A" w14:textId="77777777" w:rsidR="00200E87" w:rsidRPr="00511005" w:rsidRDefault="00200E87" w:rsidP="003A292D">
      <w:pPr>
        <w:spacing w:line="264" w:lineRule="auto"/>
        <w:ind w:firstLine="0"/>
        <w:rPr>
          <w:rFonts w:ascii="Arial" w:eastAsia="Times New Roman" w:hAnsi="Arial" w:cs="Arial"/>
          <w:szCs w:val="28"/>
          <w:lang w:val="uk-UA"/>
        </w:rPr>
      </w:pPr>
    </w:p>
    <w:p w14:paraId="5A2F0893" w14:textId="03DE92C0" w:rsidR="00200E87" w:rsidRPr="00511005" w:rsidRDefault="007B2628" w:rsidP="007B2628">
      <w:pPr>
        <w:spacing w:line="264" w:lineRule="auto"/>
        <w:ind w:firstLine="0"/>
        <w:jc w:val="center"/>
        <w:rPr>
          <w:rFonts w:ascii="Arial" w:eastAsia="Times New Roman" w:hAnsi="Arial" w:cs="Arial"/>
          <w:szCs w:val="28"/>
          <w:lang w:val="uk-UA"/>
        </w:rPr>
      </w:pPr>
      <w:r w:rsidRPr="00511005">
        <w:rPr>
          <w:rFonts w:ascii="Arial" w:eastAsia="Times New Roman" w:hAnsi="Arial" w:cs="Arial"/>
          <w:b/>
          <w:szCs w:val="28"/>
          <w:lang w:val="uk-UA"/>
        </w:rPr>
        <w:t>Список використаних джерел</w:t>
      </w:r>
    </w:p>
    <w:p w14:paraId="5968E6D6" w14:textId="77777777" w:rsidR="00200E87" w:rsidRPr="00511005" w:rsidRDefault="00200E87" w:rsidP="003F6A5D">
      <w:pPr>
        <w:numPr>
          <w:ilvl w:val="0"/>
          <w:numId w:val="536"/>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Кримінальний кодекс України: Закон України від 05.04.2001 № 2341-III. Відомості Верховної Ради України. 2001. № 25-26. Ст. 131. URL: </w:t>
      </w:r>
      <w:hyperlink r:id="rId1885" w:anchor="Text" w:history="1">
        <w:r w:rsidRPr="00511005">
          <w:rPr>
            <w:rFonts w:ascii="Arial" w:eastAsia="Times New Roman" w:hAnsi="Arial" w:cs="Arial"/>
            <w:szCs w:val="28"/>
            <w:lang w:val="uk-UA"/>
          </w:rPr>
          <w:t>https://zakon.rada.gov.ua/laws/show/2341-14#Text</w:t>
        </w:r>
      </w:hyperlink>
      <w:r w:rsidRPr="00511005">
        <w:rPr>
          <w:rFonts w:ascii="Arial" w:eastAsia="Times New Roman" w:hAnsi="Arial" w:cs="Arial"/>
          <w:szCs w:val="28"/>
          <w:lang w:val="uk-UA"/>
        </w:rPr>
        <w:t xml:space="preserve"> </w:t>
      </w:r>
    </w:p>
    <w:p w14:paraId="286C8E1D" w14:textId="77777777" w:rsidR="00200E87" w:rsidRPr="00511005" w:rsidRDefault="00200E87" w:rsidP="003F6A5D">
      <w:pPr>
        <w:numPr>
          <w:ilvl w:val="0"/>
          <w:numId w:val="536"/>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Тютюгін В. І. Конфіскація майна як вид покарання. Вісник асоціації кримінального права України, № 1 (17), 2022. С. 213-226.</w:t>
      </w:r>
    </w:p>
    <w:p w14:paraId="6794B75D" w14:textId="77777777" w:rsidR="00200E87" w:rsidRPr="00511005" w:rsidRDefault="00200E87" w:rsidP="003F6A5D">
      <w:pPr>
        <w:numPr>
          <w:ilvl w:val="0"/>
          <w:numId w:val="536"/>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Коржанський М. Й. Проблеми кримінального права: монографія. Дніпро: Юридична академія Міністерства внутрішніх справ України, 2003. 198 с.</w:t>
      </w:r>
    </w:p>
    <w:p w14:paraId="4F4B59E7" w14:textId="77777777" w:rsidR="00200E87" w:rsidRPr="00511005" w:rsidRDefault="00200E87" w:rsidP="003F6A5D">
      <w:pPr>
        <w:numPr>
          <w:ilvl w:val="0"/>
          <w:numId w:val="536"/>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Гуторова Н. О. Конфіскація майна як вид кримінального покарання: проблеми захисту прав людини. Проблеми державотворення і захисту прав людини в Україні: матеріали ІХ регіональної науково-практичної конференції (13–14 лютого 2003 р.). Львів: Юридичний факультет Львівського національного університету імені Івана Франка, 2003. С. 392–393.</w:t>
      </w:r>
    </w:p>
    <w:p w14:paraId="18C4DB12" w14:textId="77777777" w:rsidR="00200E87" w:rsidRPr="00511005" w:rsidRDefault="00200E87" w:rsidP="003A292D">
      <w:pPr>
        <w:spacing w:line="264" w:lineRule="auto"/>
        <w:ind w:firstLine="0"/>
        <w:rPr>
          <w:rFonts w:ascii="Arial" w:eastAsia="Times New Roman" w:hAnsi="Arial" w:cs="Arial"/>
          <w:b/>
          <w:szCs w:val="28"/>
          <w:lang w:val="uk-UA"/>
        </w:rPr>
      </w:pPr>
    </w:p>
    <w:p w14:paraId="53150772" w14:textId="7DC0990C" w:rsidR="00200E87"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200E87" w:rsidRPr="00511005">
        <w:rPr>
          <w:rFonts w:ascii="Arial" w:eastAsia="Times New Roman" w:hAnsi="Arial" w:cs="Arial"/>
          <w:szCs w:val="28"/>
          <w:lang w:val="uk-UA"/>
        </w:rPr>
        <w:t>конфіскація майна, кримінальне покарання, спеціальна конфіскація, кримінальне право, санкція, КК України, майнові обмеження, злочинне походження майна, третя особа, правова визначеність, превентивна функція.</w:t>
      </w:r>
    </w:p>
    <w:p w14:paraId="68CB8C4F" w14:textId="6FF01A3A" w:rsidR="00200E87" w:rsidRPr="00511005" w:rsidRDefault="007B2628" w:rsidP="003A292D">
      <w:pPr>
        <w:spacing w:line="264" w:lineRule="auto"/>
        <w:ind w:firstLine="0"/>
        <w:rPr>
          <w:rFonts w:ascii="Arial" w:eastAsia="Times New Roman" w:hAnsi="Arial" w:cs="Arial"/>
          <w:bCs/>
          <w:szCs w:val="28"/>
          <w:lang w:val="uk-UA"/>
        </w:rPr>
      </w:pPr>
      <w:r w:rsidRPr="00511005">
        <w:rPr>
          <w:rFonts w:ascii="Arial" w:eastAsia="Times New Roman" w:hAnsi="Arial" w:cs="Arial"/>
          <w:b/>
          <w:i/>
          <w:szCs w:val="28"/>
          <w:lang w:val="uk-UA"/>
        </w:rPr>
        <w:t xml:space="preserve">Key words: </w:t>
      </w:r>
      <w:r w:rsidR="00200E87" w:rsidRPr="00511005">
        <w:rPr>
          <w:rFonts w:ascii="Arial" w:eastAsia="Times New Roman" w:hAnsi="Arial" w:cs="Arial"/>
          <w:bCs/>
          <w:szCs w:val="28"/>
          <w:lang w:val="uk-UA"/>
        </w:rPr>
        <w:t>confiscation of property, criminal punishment, special confiscation, criminal law, sanction, Criminal Code of Ukraine, property restrictions, criminal origin of property, third party, legal certainty, preventive function.</w:t>
      </w:r>
    </w:p>
    <w:p w14:paraId="63D2A21E" w14:textId="77777777" w:rsidR="00200E87" w:rsidRPr="00511005" w:rsidRDefault="00200E87" w:rsidP="003A292D">
      <w:pPr>
        <w:spacing w:line="264" w:lineRule="auto"/>
        <w:ind w:firstLine="0"/>
        <w:rPr>
          <w:rFonts w:ascii="Arial" w:eastAsia="Times New Roman" w:hAnsi="Arial" w:cs="Arial"/>
          <w:bCs/>
          <w:i/>
          <w:iCs/>
          <w:szCs w:val="28"/>
          <w:lang w:val="uk-UA"/>
        </w:rPr>
      </w:pPr>
    </w:p>
    <w:p w14:paraId="22A23690" w14:textId="329D2C77" w:rsidR="00200E87" w:rsidRPr="00511005" w:rsidRDefault="00C76181" w:rsidP="003A292D">
      <w:pPr>
        <w:spacing w:line="264" w:lineRule="auto"/>
        <w:ind w:firstLine="0"/>
        <w:rPr>
          <w:rFonts w:ascii="Arial" w:eastAsia="Times New Roman" w:hAnsi="Arial" w:cs="Arial"/>
          <w:bCs/>
          <w:i/>
          <w:iCs/>
          <w:szCs w:val="28"/>
          <w:lang w:val="uk-UA"/>
        </w:rPr>
      </w:pPr>
      <w:r w:rsidRPr="00511005">
        <w:rPr>
          <w:rFonts w:ascii="Arial" w:eastAsia="Calibri" w:hAnsi="Arial" w:cs="Arial"/>
          <w:b/>
          <w:i/>
          <w:szCs w:val="28"/>
          <w:lang w:val="uk-UA"/>
        </w:rPr>
        <w:t xml:space="preserve">Науковий керівник: </w:t>
      </w:r>
      <w:r w:rsidR="00200E87" w:rsidRPr="00511005">
        <w:rPr>
          <w:rFonts w:ascii="Arial" w:eastAsia="Times New Roman" w:hAnsi="Arial" w:cs="Arial"/>
          <w:bCs/>
          <w:i/>
          <w:iCs/>
          <w:szCs w:val="28"/>
          <w:lang w:val="uk-UA"/>
        </w:rPr>
        <w:t>к.ю.н., професор Мирошниченко Н.А.</w:t>
      </w:r>
    </w:p>
    <w:p w14:paraId="4413E7BD" w14:textId="77777777" w:rsidR="00200E87" w:rsidRPr="00511005" w:rsidRDefault="00200E87" w:rsidP="003A292D">
      <w:pPr>
        <w:spacing w:line="264" w:lineRule="auto"/>
        <w:ind w:firstLine="0"/>
        <w:jc w:val="center"/>
        <w:rPr>
          <w:rFonts w:ascii="Arial" w:eastAsia="Calibri" w:hAnsi="Arial" w:cs="Arial"/>
          <w:szCs w:val="28"/>
          <w:lang w:val="uk-UA"/>
        </w:rPr>
      </w:pPr>
    </w:p>
    <w:p w14:paraId="4AAE04B1" w14:textId="77777777" w:rsidR="00200E87" w:rsidRPr="00511005" w:rsidRDefault="00200E87" w:rsidP="003A292D">
      <w:pPr>
        <w:spacing w:line="264" w:lineRule="auto"/>
        <w:ind w:firstLine="0"/>
        <w:jc w:val="center"/>
        <w:rPr>
          <w:rFonts w:ascii="Arial" w:eastAsia="Calibri" w:hAnsi="Arial" w:cs="Arial"/>
          <w:szCs w:val="28"/>
          <w:lang w:val="uk-UA"/>
        </w:rPr>
      </w:pPr>
    </w:p>
    <w:p w14:paraId="56861CFD" w14:textId="77777777" w:rsidR="00200E87" w:rsidRPr="00511005" w:rsidRDefault="00200E87"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i/>
          <w:iCs/>
          <w:szCs w:val="28"/>
          <w:lang w:val="uk-UA" w:eastAsia="uk-UA"/>
        </w:rPr>
        <w:t>Скалозуб Юлія Романівна </w:t>
      </w:r>
    </w:p>
    <w:p w14:paraId="7212ECF9" w14:textId="5F080471" w:rsidR="00200E87"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2-го курсу факультету адвокатури та антикорупційної діяльності</w:t>
      </w:r>
    </w:p>
    <w:p w14:paraId="5B1A0F35" w14:textId="37CF0D3F" w:rsidR="00200E87"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11C63CBF" w14:textId="77777777" w:rsidR="00200E87" w:rsidRPr="00511005" w:rsidRDefault="00200E87" w:rsidP="003A292D">
      <w:pPr>
        <w:spacing w:line="264" w:lineRule="auto"/>
        <w:ind w:firstLine="0"/>
        <w:jc w:val="center"/>
        <w:rPr>
          <w:rFonts w:ascii="Arial" w:eastAsia="Times New Roman" w:hAnsi="Arial" w:cs="Arial"/>
          <w:szCs w:val="28"/>
          <w:lang w:val="uk-UA" w:eastAsia="uk-UA"/>
        </w:rPr>
      </w:pPr>
    </w:p>
    <w:p w14:paraId="7D1532B7" w14:textId="7FB50E73" w:rsidR="00200E87" w:rsidRPr="00511005" w:rsidRDefault="00200E87" w:rsidP="003A292D">
      <w:pPr>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ПОНЯТТЯ ВОЄННОГО КРИМІНАЛЬНОГО ПРАВОПОРУШЕННЯ. ВІДМЕЖУВАННЯ ВОЄННОГО КРИМІНАЛЬНОГО ПРАВОПОРУШЕННЯ</w:t>
      </w:r>
      <w:r w:rsidR="007B2628" w:rsidRPr="00511005">
        <w:rPr>
          <w:rFonts w:ascii="Arial" w:eastAsia="Times New Roman" w:hAnsi="Arial" w:cs="Arial"/>
          <w:b/>
          <w:bCs/>
          <w:szCs w:val="28"/>
          <w:lang w:val="uk-UA" w:eastAsia="uk-UA"/>
        </w:rPr>
        <w:t xml:space="preserve"> </w:t>
      </w:r>
      <w:r w:rsidRPr="00511005">
        <w:rPr>
          <w:rFonts w:ascii="Arial" w:eastAsia="Times New Roman" w:hAnsi="Arial" w:cs="Arial"/>
          <w:b/>
          <w:bCs/>
          <w:szCs w:val="28"/>
          <w:lang w:val="uk-UA" w:eastAsia="uk-UA"/>
        </w:rPr>
        <w:t>ВІД ВІЙСЬКОВОГО КРИМІНАЛЬНОГО ПРАВОПОРУШЕННЯ</w:t>
      </w:r>
    </w:p>
    <w:p w14:paraId="21F98E7F"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Поняття «воєнний злочин» має дуалістичну природу. У першу чергу, воєнний злочин є одним із видів міжнародного злочину, відповідальність за який встановлена рядом міжнародних договорів. У той же час більшість національних кримінальних законів встановлюють кримінальну відповідальність за воєнні злочини. Це є наслідком імплементації норм міжнародного кримінального права в національне. Воєнні злочини передбачені також і КК України[1].</w:t>
      </w:r>
    </w:p>
    <w:p w14:paraId="7DDC6384"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Воєнні злочини – це серйозні порушення Женевських конвенцій 1949 року та інші серйозні порушення законів і звичаїв війни, визначені у статті 8 Римського Статуту. Вони є одним з міжнародних злочинів (злочинів за загальним міжнародним правом), до яких також належать злочин геноциду, злочини проти людяності та злочин агресії. Воєнні злочини можна розділити на два види: а) серйозні порушення Женевських конвенцій 1949 року, а саме навмисні вбивства, катування, спричинення страждань, депортація населення, взяття заручників тощо; б) інші серйозні порушення законів і звичаїв війни (навмисні напади на цивільне населення та об’єкти, персонал і транспорт гуманітарної допомоги, вбивство і поранення воюючих осіб, що склали зброю, неналежне використання прапора ворога, умисні напади на релігійні, культурні, історичні об’єкти, шпиталі, заява про те, що пощади не буде, пограбування міст тощо) (ст. 8 Статуту Міжнародного кримінального суду) [2].</w:t>
      </w:r>
    </w:p>
    <w:p w14:paraId="0AE2C6CD"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Воєнні злочини є видом міжнародних злочинів. Юридична природа воєнних злочинів є подвійною: до таких злочинів, з однієї сторони, відносяться злочини, що полягають в порушення правил ведення воєнних дій (збройних конфліктів), направлені проти інтересів осіб, що безпосередньо приймають участь у цих конфліктах, а з другої сторони, порушення норм міжнародного гуманітарного права, яке покликано захищати права та інтереси осіб, що безпосередньо участі в збройних конфліктах не беруть. Визначення воєнного злочину повинно зводитися не лише до злочинного порушення норм міжнародного гуманітарного права, а також і до порушень у ході </w:t>
      </w:r>
      <w:r w:rsidRPr="00511005">
        <w:rPr>
          <w:rFonts w:ascii="Arial" w:eastAsia="Times New Roman" w:hAnsi="Arial" w:cs="Arial"/>
          <w:kern w:val="2"/>
          <w:szCs w:val="28"/>
          <w:lang w:val="uk-UA" w:eastAsia="uk-UA"/>
          <w14:ligatures w14:val="standardContextual"/>
        </w:rPr>
        <w:lastRenderedPageBreak/>
        <w:t>збройних конфліктів міжнародного чи внутрішнього характеру основних принципів міжнародного права (принципів juscogens). До таких принципів відносяться: принцип дотримання прав і свобод людини; принцип рівноправності народів і право народів розпоряджатися своїм майбутнім; принцип мирного співіснування і суверенної рівності держав; принцип незастосування сили чи погрози застосування сили в міжнародних відносинах; принцип непорушності державних кордонів та територіальної цілісності держав; принцип співробітництва між державами [1].</w:t>
      </w:r>
    </w:p>
    <w:p w14:paraId="38F16616"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У міжнародному праві воєнні злочини визначаються Римським статутом Міжнародного кримінального суду, який містить загальний перелік таких злочинів. Саме цей документ є основою для кваліфікації дій, що становлять серйозні порушення норм міжнародного гуманітарного права.</w:t>
      </w:r>
    </w:p>
    <w:p w14:paraId="1FE63C00"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Водночас у національному законодавстві України, зокрема в Кримінальному кодексі України (ККУ), термін «воєнний злочин» чітко не визначений. Проте, незважаючи на відсутність прямого тлумачення, низка діянь, передбачених ККУ, за своєю суттю відповідає міжнародному розумінню воєнних злочинів. Ці дії вчиняються під час збройного конфлікту і порушують норми та принципи ведення війни, а також права та свободи людини, гарантовані міжнародним правом.</w:t>
      </w:r>
    </w:p>
    <w:p w14:paraId="5E9895F4"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У 19 розділі КК України, який носить назву : «Кримінальні правопорушення проти встановленого порядку несення військової служби ( Військові кримінальні правопорушення ) зазначений перелік воєнних злочинів, хоч у розділі чітко сказано про військові правопорушення, але за своїми ознаками ці злочини все ж таки, є воєнними.</w:t>
      </w:r>
    </w:p>
    <w:p w14:paraId="1EBD9632"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Хоча варто зазначити, що особи, які звинувачуються за скоєння воєнного злочину, несуть відповідальність виключно за Статтею. 438 КК України. До таких воєнних злочинів, які прямо або опосередковано закріплені в ККУ, належать наступні. Ст. 432 «Мародерство». Мародерство є класичним прикладом воєнного злочину. Таке діяння порушує правила ведення війни та Женевські конвенції. Цивільне населення і його майно повинні бути максимально захищеними під час збройного конфлікту. Важливо розрізняти мародерство як воєнний злочин (під час війни) і крадіжку (у мирний час). Ст. 433 «Насильство над населенням у районах воєнних дій». Ця норма також має ознаки воєнного злочину. Такі дії порушують заборону нападів на цивільних осіб та обов’язок гуманного ставлення до них. Ключовим є наявність воєнного контексту– тобто вчинення насильства під час збройного конфлікту. Ст. 434 «Погане поводження з військовополоненими». Ця стаття ґрунтується на нормах Третьої Женевської конвенції 1949 року. Військовополонені мають право на гуманне поводження, захист від насильства, інтимних посягань, знущань тощо. Важливо: порушення цієї статті є тяжким порушенням міжнародного гуманітарного права та підпадає під кваліфікацію воєнного злочину. Ст. 435 «Незаконне використання </w:t>
      </w:r>
      <w:r w:rsidRPr="00511005">
        <w:rPr>
          <w:rFonts w:ascii="Arial" w:eastAsia="Times New Roman" w:hAnsi="Arial" w:cs="Arial"/>
          <w:kern w:val="2"/>
          <w:szCs w:val="28"/>
          <w:lang w:val="uk-UA" w:eastAsia="uk-UA"/>
          <w14:ligatures w14:val="standardContextual"/>
        </w:rPr>
        <w:lastRenderedPageBreak/>
        <w:t>символіки Червоного Хреста, Червоного Півмісяця, Червоного Кристала та зловживання нею». Міжнародне гуманітарне право встановлює спеціальний захист для цих символів. Їх використання дозволене лише для медичних, рятувальних і гуманітарних місій. Зловживання такими знаками в умовах війни вважається воєнним злочином, адже підриває довіру до гуманітарної діяльності та ставить під загрозу життя цивільних осіб [3].</w:t>
      </w:r>
    </w:p>
    <w:p w14:paraId="6A37CCDC"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З 2014 року на території України розпочались бойові дії, а з 24.02.2022 - розпочалось повномасштабне вторгнення рф. Відповідно протягом такого великого проміжку часу, на наших землях було скоєно велику кількість воєнних злочинів. Так, згідно зі статистикою Офісу генпрокурора наразі зареєстровано понад 124 тисячі кримінальних проваджень щодо порушення законів та звичаїв війни (стаття 438 Кримінального кодексу України). Напевно, не всі з них будуть передані в суди, але чимала їх кількість все ж потрапить на розгляд судів.</w:t>
      </w:r>
    </w:p>
    <w:p w14:paraId="79BB05CF"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За даними судової статистики, на 2024 рік, суди першої інстанції ухвалили 67 вироків у кримінальних провадженнях щодо воєнних злочинів, з них 16 вироків переглянуто в апеляційному порядку, два – у касаційному. Що стосується специфіки справ про воєнні злочини, то вона полягає в тому, що суддям необхідно застосовувати міжнародне гуманітарне право. Аналіз вироків за ст. 438 Кримінального кодексу України за останні два роки вказує на наявність чіткої тенденції, яка свідчить про підвищення рівня їх мотивації. Це наслідок численних навчальних заходів, які проводяться не тільки із суддями, але й з прокурорами і слідчими [4].</w:t>
      </w:r>
    </w:p>
    <w:p w14:paraId="16DADA00"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За скоєння воєнних злочинів передбачено кримінальну відповідальність на національному та міжнародному рівні. До відповідальності може бути притягнута як окрема особа, так і командир певного військового об’єднання, якщо йому було відомо про вчинення його підлеглими правопорушення, проте він не приклав зусиль для їх попередження чи припинення. Особу, яка вчинила воєнний злочин, можна притягнути до відповідальності будь-коли, незалежно від того, скільки часу минуло з моменту вчинення злочину [5].</w:t>
      </w:r>
    </w:p>
    <w:p w14:paraId="64E9F8F5" w14:textId="699E34F2"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Якщо перейти до відмежування понять «воєнного злочину» та «військового злочину», то можна зазначити що, воєнними злочинами виступають неправомірні дії (як правило свідомі), які порушують встановленні людством правила, принципи та закони ведення бойових дій, які знаходять своє практичне закріплення у міжнародних-правових актах. А ось, у контексті поняття</w:t>
      </w:r>
      <w:r w:rsidR="007B2628" w:rsidRPr="00511005">
        <w:rPr>
          <w:rFonts w:ascii="Arial" w:eastAsia="Times New Roman" w:hAnsi="Arial" w:cs="Arial"/>
          <w:kern w:val="2"/>
          <w:szCs w:val="28"/>
          <w:lang w:val="uk-UA" w:eastAsia="uk-UA"/>
          <w14:ligatures w14:val="standardContextual"/>
        </w:rPr>
        <w:t xml:space="preserve"> </w:t>
      </w:r>
      <w:r w:rsidRPr="00511005">
        <w:rPr>
          <w:rFonts w:ascii="Arial" w:eastAsia="Times New Roman" w:hAnsi="Arial" w:cs="Arial"/>
          <w:kern w:val="2"/>
          <w:szCs w:val="28"/>
          <w:lang w:val="uk-UA" w:eastAsia="uk-UA"/>
          <w14:ligatures w14:val="standardContextual"/>
        </w:rPr>
        <w:t>про</w:t>
      </w:r>
      <w:r w:rsidR="007B2628" w:rsidRPr="00511005">
        <w:rPr>
          <w:rFonts w:ascii="Arial" w:eastAsia="Times New Roman" w:hAnsi="Arial" w:cs="Arial"/>
          <w:kern w:val="2"/>
          <w:szCs w:val="28"/>
          <w:lang w:val="uk-UA" w:eastAsia="uk-UA"/>
          <w14:ligatures w14:val="standardContextual"/>
        </w:rPr>
        <w:t xml:space="preserve"> </w:t>
      </w:r>
      <w:r w:rsidRPr="00511005">
        <w:rPr>
          <w:rFonts w:ascii="Arial" w:eastAsia="Times New Roman" w:hAnsi="Arial" w:cs="Arial"/>
          <w:kern w:val="2"/>
          <w:szCs w:val="28"/>
          <w:lang w:val="uk-UA" w:eastAsia="uk-UA"/>
          <w14:ligatures w14:val="standardContextual"/>
        </w:rPr>
        <w:t>«військовий злочин», можна сказати про те що,</w:t>
      </w:r>
      <w:r w:rsidR="007B2628" w:rsidRPr="00511005">
        <w:rPr>
          <w:rFonts w:ascii="Arial" w:eastAsia="Times New Roman" w:hAnsi="Arial" w:cs="Arial"/>
          <w:kern w:val="2"/>
          <w:szCs w:val="28"/>
          <w:lang w:val="uk-UA" w:eastAsia="uk-UA"/>
          <w14:ligatures w14:val="standardContextual"/>
        </w:rPr>
        <w:t xml:space="preserve"> </w:t>
      </w:r>
      <w:r w:rsidRPr="00511005">
        <w:rPr>
          <w:rFonts w:ascii="Arial" w:eastAsia="Times New Roman" w:hAnsi="Arial" w:cs="Arial"/>
          <w:kern w:val="2"/>
          <w:szCs w:val="28"/>
          <w:lang w:val="uk-UA" w:eastAsia="uk-UA"/>
          <w14:ligatures w14:val="standardContextual"/>
        </w:rPr>
        <w:t>це питання в кожній країні регулюється виключно національним кримінальним законодавством, тому, що воно не має міжнародного аспекту.</w:t>
      </w:r>
    </w:p>
    <w:p w14:paraId="7F00A95D"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За своїм значенням поняття «військового злочину» має суто внутрішньодержавний сенс, тобто це неправомірні дії проти прийнятого (встановленого) в державі порядку несення військової служби, та всіх інших дотичних з цим понять, в конкретній країні. В Україні всі склади «Військових </w:t>
      </w:r>
      <w:r w:rsidRPr="00511005">
        <w:rPr>
          <w:rFonts w:ascii="Arial" w:eastAsia="Times New Roman" w:hAnsi="Arial" w:cs="Arial"/>
          <w:kern w:val="2"/>
          <w:szCs w:val="28"/>
          <w:lang w:val="uk-UA" w:eastAsia="uk-UA"/>
          <w14:ligatures w14:val="standardContextual"/>
        </w:rPr>
        <w:lastRenderedPageBreak/>
        <w:t>злочинів» прямо передбачені в єдиному джерелі національного кримінального права – Кримінальному кодексі, а саме в ХІХ Розділі, що має назву «Кримінальні правопорушення проти встановленого порядку несення військової служби (Військові кримінальні правопорушення)». У ч.1 401 ст. наводиться визначення військового злочину, за яким ним виступає передбачені цим розділом кримінальні правопорушення проти встановленого законодавством порядку несення або проходження військової служби, вчинені військовослужбовцями, а також військовозобов’язаними та резервістами під час проходження зборів [6].</w:t>
      </w:r>
    </w:p>
    <w:p w14:paraId="576E573C"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Так, підводячи підсумки, можна зазначити що, за своїм сенсом поняття «воєнного злочину» є ширшим, та носить національний характер. У законодавстві України, це поняття немає точного визначення, хоча дивлячись на теперішню ситуацію в країні, варто було б, замислитись над визначення цього поняття, переліком кримінальних правопорушень у цій сфері та встановлення відповідних заходів. Оскільки спираючись на статистику воєнних злочинів за попередніх два роки, це питання є актуальним та вимагає врегулювання на законодавчому рівні. </w:t>
      </w:r>
    </w:p>
    <w:p w14:paraId="3F157BC7" w14:textId="77777777" w:rsidR="00200E87" w:rsidRPr="00511005" w:rsidRDefault="00200E87" w:rsidP="003A292D">
      <w:pPr>
        <w:spacing w:line="264" w:lineRule="auto"/>
        <w:ind w:firstLine="0"/>
        <w:rPr>
          <w:rFonts w:ascii="Arial" w:eastAsia="Times New Roman" w:hAnsi="Arial" w:cs="Arial"/>
          <w:kern w:val="2"/>
          <w:szCs w:val="28"/>
          <w:lang w:val="uk-UA" w:eastAsia="uk-UA"/>
          <w14:ligatures w14:val="standardContextual"/>
        </w:rPr>
      </w:pPr>
    </w:p>
    <w:p w14:paraId="363A591C" w14:textId="6C844446" w:rsidR="00200E87" w:rsidRPr="00511005" w:rsidRDefault="007B2628" w:rsidP="007B2628">
      <w:pPr>
        <w:spacing w:line="264" w:lineRule="auto"/>
        <w:ind w:firstLine="0"/>
        <w:jc w:val="center"/>
        <w:rPr>
          <w:rFonts w:ascii="Arial" w:eastAsia="Times New Roman" w:hAnsi="Arial" w:cs="Arial"/>
          <w:b/>
          <w:bCs/>
          <w:iCs/>
          <w:kern w:val="2"/>
          <w:szCs w:val="28"/>
          <w:lang w:val="uk-UA" w:eastAsia="uk-UA"/>
          <w14:ligatures w14:val="standardContextual"/>
        </w:rPr>
      </w:pPr>
      <w:r w:rsidRPr="00511005">
        <w:rPr>
          <w:rFonts w:ascii="Arial" w:eastAsia="Times New Roman" w:hAnsi="Arial" w:cs="Arial"/>
          <w:b/>
          <w:bCs/>
          <w:iCs/>
          <w:kern w:val="2"/>
          <w:szCs w:val="28"/>
          <w:lang w:val="uk-UA" w:eastAsia="uk-UA"/>
          <w14:ligatures w14:val="standardContextual"/>
        </w:rPr>
        <w:t>Список використаних джерел</w:t>
      </w:r>
      <w:r w:rsidR="00200E87" w:rsidRPr="00511005">
        <w:rPr>
          <w:rFonts w:ascii="Arial" w:eastAsia="Times New Roman" w:hAnsi="Arial" w:cs="Arial"/>
          <w:b/>
          <w:bCs/>
          <w:iCs/>
          <w:kern w:val="2"/>
          <w:szCs w:val="28"/>
          <w:lang w:val="uk-UA" w:eastAsia="uk-UA"/>
          <w14:ligatures w14:val="standardContextual"/>
        </w:rPr>
        <w:t xml:space="preserve"> </w:t>
      </w:r>
    </w:p>
    <w:p w14:paraId="77795C83" w14:textId="4F009738" w:rsidR="00200E87" w:rsidRPr="00511005" w:rsidRDefault="00200E87" w:rsidP="003F6A5D">
      <w:pPr>
        <w:numPr>
          <w:ilvl w:val="0"/>
          <w:numId w:val="537"/>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Піддубна М.В. </w:t>
      </w:r>
      <w:r w:rsidRPr="00511005">
        <w:rPr>
          <w:rFonts w:ascii="Arial" w:eastAsia="Times New Roman" w:hAnsi="Arial" w:cs="Arial"/>
          <w:kern w:val="2"/>
          <w:szCs w:val="28"/>
          <w:lang w:eastAsia="uk-UA"/>
          <w14:ligatures w14:val="standardContextual"/>
        </w:rPr>
        <w:t>«</w:t>
      </w:r>
      <w:r w:rsidRPr="00511005">
        <w:rPr>
          <w:rFonts w:ascii="Arial" w:eastAsia="Times New Roman" w:hAnsi="Arial" w:cs="Arial"/>
          <w:kern w:val="2"/>
          <w:szCs w:val="28"/>
          <w:lang w:val="uk-UA" w:eastAsia="uk-UA"/>
          <w14:ligatures w14:val="standardContextual"/>
        </w:rPr>
        <w:t>Воєнні злочини в кримінальному праві України</w:t>
      </w:r>
      <w:r w:rsidRPr="00511005">
        <w:rPr>
          <w:rFonts w:ascii="Arial" w:eastAsia="Times New Roman" w:hAnsi="Arial" w:cs="Arial"/>
          <w:kern w:val="2"/>
          <w:szCs w:val="28"/>
          <w:lang w:eastAsia="uk-UA"/>
          <w14:ligatures w14:val="standardContextual"/>
        </w:rPr>
        <w:t>».</w:t>
      </w:r>
      <w:r w:rsidR="007B2628" w:rsidRPr="00511005">
        <w:rPr>
          <w:rFonts w:ascii="Arial" w:eastAsia="Times New Roman" w:hAnsi="Arial" w:cs="Arial"/>
          <w:kern w:val="2"/>
          <w:szCs w:val="28"/>
          <w:lang w:eastAsia="uk-UA"/>
          <w14:ligatures w14:val="standardContextual"/>
        </w:rPr>
        <w:t xml:space="preserve"> </w:t>
      </w:r>
      <w:r w:rsidRPr="00511005">
        <w:rPr>
          <w:rFonts w:ascii="Arial" w:eastAsia="Times New Roman" w:hAnsi="Arial" w:cs="Arial"/>
          <w:kern w:val="2"/>
          <w:szCs w:val="28"/>
          <w:lang w:val="pl-PL" w:eastAsia="uk-UA"/>
          <w14:ligatures w14:val="standardContextual"/>
        </w:rPr>
        <w:t xml:space="preserve">URL: </w:t>
      </w:r>
      <w:r w:rsidR="005938AD">
        <w:fldChar w:fldCharType="begin"/>
      </w:r>
      <w:r w:rsidR="005938AD" w:rsidRPr="00055389">
        <w:rPr>
          <w:lang w:val="en-US"/>
        </w:rPr>
        <w:instrText xml:space="preserve"> HYPERLINK "https://dspace.uzhnu.edu.ua/jspui/bitstream/lib/39705/1" </w:instrText>
      </w:r>
      <w:r w:rsidR="005938AD">
        <w:fldChar w:fldCharType="separate"/>
      </w:r>
      <w:r w:rsidRPr="00511005">
        <w:rPr>
          <w:rFonts w:ascii="Arial" w:eastAsia="Times New Roman" w:hAnsi="Arial" w:cs="Arial"/>
          <w:kern w:val="2"/>
          <w:szCs w:val="28"/>
          <w:lang w:val="pl-PL" w:eastAsia="uk-UA"/>
          <w14:ligatures w14:val="standardContextual"/>
        </w:rPr>
        <w:t>https://dspace.uzhnu.edu.ua/jspui/bitstream/lib/39705/1</w:t>
      </w:r>
      <w:r w:rsidR="005938AD">
        <w:rPr>
          <w:rFonts w:ascii="Arial" w:eastAsia="Times New Roman" w:hAnsi="Arial" w:cs="Arial"/>
          <w:kern w:val="2"/>
          <w:szCs w:val="28"/>
          <w:lang w:val="pl-PL" w:eastAsia="uk-UA"/>
          <w14:ligatures w14:val="standardContextual"/>
        </w:rPr>
        <w:fldChar w:fldCharType="end"/>
      </w:r>
    </w:p>
    <w:p w14:paraId="05DF0986" w14:textId="7DB58027" w:rsidR="00200E87" w:rsidRPr="00511005" w:rsidRDefault="00200E87" w:rsidP="003F6A5D">
      <w:pPr>
        <w:numPr>
          <w:ilvl w:val="0"/>
          <w:numId w:val="537"/>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Офіс Генерального Прокурора.</w:t>
      </w:r>
      <w:r w:rsidR="007B2628" w:rsidRPr="00511005">
        <w:rPr>
          <w:rFonts w:ascii="Arial" w:eastAsia="Times New Roman" w:hAnsi="Arial" w:cs="Arial"/>
          <w:kern w:val="2"/>
          <w:szCs w:val="28"/>
          <w:lang w:val="uk-UA" w:eastAsia="uk-UA"/>
          <w14:ligatures w14:val="standardContextual"/>
        </w:rPr>
        <w:t xml:space="preserve"> </w:t>
      </w:r>
      <w:r w:rsidRPr="00511005">
        <w:rPr>
          <w:rFonts w:ascii="Arial" w:eastAsia="Times New Roman" w:hAnsi="Arial" w:cs="Arial"/>
          <w:kern w:val="2"/>
          <w:szCs w:val="28"/>
          <w:lang w:eastAsia="uk-UA"/>
          <w14:ligatures w14:val="standardContextual"/>
        </w:rPr>
        <w:t>«</w:t>
      </w:r>
      <w:r w:rsidRPr="00511005">
        <w:rPr>
          <w:rFonts w:ascii="Arial" w:eastAsia="Times New Roman" w:hAnsi="Arial" w:cs="Arial"/>
          <w:kern w:val="2"/>
          <w:szCs w:val="28"/>
          <w:lang w:val="uk-UA" w:eastAsia="uk-UA"/>
          <w14:ligatures w14:val="standardContextual"/>
        </w:rPr>
        <w:t>Що таке воєнні злочини?</w:t>
      </w:r>
      <w:r w:rsidRPr="00511005">
        <w:rPr>
          <w:rFonts w:ascii="Arial" w:eastAsia="Times New Roman" w:hAnsi="Arial" w:cs="Arial"/>
          <w:kern w:val="2"/>
          <w:szCs w:val="28"/>
          <w:lang w:eastAsia="uk-UA"/>
          <w14:ligatures w14:val="standardContextual"/>
        </w:rPr>
        <w:t>».</w:t>
      </w:r>
      <w:r w:rsidR="007B2628" w:rsidRPr="00511005">
        <w:rPr>
          <w:rFonts w:ascii="Arial" w:eastAsia="Times New Roman" w:hAnsi="Arial" w:cs="Arial"/>
          <w:kern w:val="2"/>
          <w:szCs w:val="28"/>
          <w:lang w:val="uk-UA" w:eastAsia="uk-UA"/>
          <w14:ligatures w14:val="standardContextual"/>
        </w:rPr>
        <w:t xml:space="preserve"> </w:t>
      </w:r>
      <w:r w:rsidRPr="00511005">
        <w:rPr>
          <w:rFonts w:ascii="Arial" w:eastAsia="Times New Roman" w:hAnsi="Arial" w:cs="Arial"/>
          <w:kern w:val="2"/>
          <w:szCs w:val="28"/>
          <w:lang w:val="pl-PL" w:eastAsia="uk-UA"/>
          <w14:ligatures w14:val="standardContextual"/>
        </w:rPr>
        <w:t xml:space="preserve">URL: </w:t>
      </w:r>
      <w:r w:rsidR="005938AD">
        <w:fldChar w:fldCharType="begin"/>
      </w:r>
      <w:r w:rsidR="005938AD" w:rsidRPr="00055389">
        <w:rPr>
          <w:lang w:val="en-US"/>
        </w:rPr>
        <w:instrText xml:space="preserve"> HYPERLINK "https://warcrimes.gov.ua/what-is-crime.html" </w:instrText>
      </w:r>
      <w:r w:rsidR="005938AD">
        <w:fldChar w:fldCharType="separate"/>
      </w:r>
      <w:r w:rsidRPr="00511005">
        <w:rPr>
          <w:rFonts w:ascii="Arial" w:eastAsia="Times New Roman" w:hAnsi="Arial" w:cs="Arial"/>
          <w:kern w:val="2"/>
          <w:szCs w:val="28"/>
          <w:lang w:val="pl-PL" w:eastAsia="uk-UA"/>
          <w14:ligatures w14:val="standardContextual"/>
        </w:rPr>
        <w:t>https://warcrimes.gov.ua/what-is-crime.html</w:t>
      </w:r>
      <w:r w:rsidR="005938AD">
        <w:rPr>
          <w:rFonts w:ascii="Arial" w:eastAsia="Times New Roman" w:hAnsi="Arial" w:cs="Arial"/>
          <w:kern w:val="2"/>
          <w:szCs w:val="28"/>
          <w:lang w:val="pl-PL" w:eastAsia="uk-UA"/>
          <w14:ligatures w14:val="standardContextual"/>
        </w:rPr>
        <w:fldChar w:fldCharType="end"/>
      </w:r>
    </w:p>
    <w:p w14:paraId="587D1DF0" w14:textId="6D41E612" w:rsidR="00200E87" w:rsidRPr="00511005" w:rsidRDefault="00200E87" w:rsidP="003F6A5D">
      <w:pPr>
        <w:numPr>
          <w:ilvl w:val="0"/>
          <w:numId w:val="537"/>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Судова влада України. </w:t>
      </w:r>
      <w:r w:rsidRPr="00511005">
        <w:rPr>
          <w:rFonts w:ascii="Arial" w:eastAsia="Times New Roman" w:hAnsi="Arial" w:cs="Arial"/>
          <w:kern w:val="2"/>
          <w:szCs w:val="28"/>
          <w:lang w:eastAsia="uk-UA"/>
          <w14:ligatures w14:val="standardContextual"/>
        </w:rPr>
        <w:t>«</w:t>
      </w:r>
      <w:r w:rsidRPr="00511005">
        <w:rPr>
          <w:rFonts w:ascii="Arial" w:eastAsia="Times New Roman" w:hAnsi="Arial" w:cs="Arial"/>
          <w:kern w:val="2"/>
          <w:szCs w:val="28"/>
          <w:lang w:val="uk-UA" w:eastAsia="uk-UA"/>
          <w14:ligatures w14:val="standardContextual"/>
        </w:rPr>
        <w:t>Що таке воєнний та військовий злочин</w:t>
      </w:r>
      <w:r w:rsidRPr="00511005">
        <w:rPr>
          <w:rFonts w:ascii="Arial" w:eastAsia="Times New Roman" w:hAnsi="Arial" w:cs="Arial"/>
          <w:kern w:val="2"/>
          <w:szCs w:val="28"/>
          <w:lang w:eastAsia="uk-UA"/>
          <w14:ligatures w14:val="standardContextual"/>
        </w:rPr>
        <w:t>».</w:t>
      </w:r>
      <w:r w:rsidRPr="00511005">
        <w:rPr>
          <w:rFonts w:ascii="Arial" w:eastAsia="Times New Roman" w:hAnsi="Arial" w:cs="Arial"/>
          <w:kern w:val="2"/>
          <w:szCs w:val="28"/>
          <w:lang w:val="uk-UA" w:eastAsia="uk-UA"/>
          <w14:ligatures w14:val="standardContextual"/>
        </w:rPr>
        <w:t xml:space="preserve"> Відповідальність.</w:t>
      </w:r>
      <w:r w:rsidR="007B2628" w:rsidRPr="00511005">
        <w:rPr>
          <w:rFonts w:ascii="Arial" w:eastAsia="Times New Roman" w:hAnsi="Arial" w:cs="Arial"/>
          <w:kern w:val="2"/>
          <w:szCs w:val="28"/>
          <w:lang w:val="uk-UA" w:eastAsia="uk-UA"/>
          <w14:ligatures w14:val="standardContextual"/>
        </w:rPr>
        <w:t xml:space="preserve"> </w:t>
      </w:r>
      <w:r w:rsidRPr="00511005">
        <w:rPr>
          <w:rFonts w:ascii="Arial" w:eastAsia="Times New Roman" w:hAnsi="Arial" w:cs="Arial"/>
          <w:kern w:val="2"/>
          <w:szCs w:val="28"/>
          <w:lang w:val="pl-PL" w:eastAsia="uk-UA"/>
          <w14:ligatures w14:val="standardContextual"/>
        </w:rPr>
        <w:t>URL</w:t>
      </w:r>
      <w:r w:rsidRPr="00511005">
        <w:rPr>
          <w:rFonts w:ascii="Arial" w:eastAsia="Times New Roman" w:hAnsi="Arial" w:cs="Arial"/>
          <w:kern w:val="2"/>
          <w:szCs w:val="28"/>
          <w:lang w:val="uk-UA" w:eastAsia="uk-UA"/>
          <w14:ligatures w14:val="standardContextual"/>
        </w:rPr>
        <w:t xml:space="preserve">: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kn</w:instrText>
      </w:r>
      <w:r w:rsidR="005938AD" w:rsidRPr="00055389">
        <w:rPr>
          <w:lang w:val="uk-UA"/>
        </w:rPr>
        <w:instrText>.</w:instrText>
      </w:r>
      <w:r w:rsidR="005938AD">
        <w:instrText>su</w:instrText>
      </w:r>
      <w:r w:rsidR="005938AD" w:rsidRPr="00055389">
        <w:rPr>
          <w:lang w:val="uk-UA"/>
        </w:rPr>
        <w:instrText>.</w:instrText>
      </w:r>
      <w:r w:rsidR="005938AD">
        <w:instrText>court</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sud</w:instrText>
      </w:r>
      <w:r w:rsidR="005938AD" w:rsidRPr="00055389">
        <w:rPr>
          <w:lang w:val="uk-UA"/>
        </w:rPr>
        <w:instrText>1807/</w:instrText>
      </w:r>
      <w:r w:rsidR="005938AD">
        <w:instrText>pres</w:instrText>
      </w:r>
      <w:r w:rsidR="005938AD" w:rsidRPr="00055389">
        <w:rPr>
          <w:lang w:val="uk-UA"/>
        </w:rPr>
        <w:instrText>-</w:instrText>
      </w:r>
      <w:r w:rsidR="005938AD">
        <w:instrText>centr</w:instrText>
      </w:r>
      <w:r w:rsidR="005938AD" w:rsidRPr="00055389">
        <w:rPr>
          <w:lang w:val="uk-UA"/>
        </w:rPr>
        <w:instrText>/</w:instrText>
      </w:r>
      <w:r w:rsidR="005938AD">
        <w:instrText>general</w:instrText>
      </w:r>
      <w:r w:rsidR="005938AD" w:rsidRPr="00055389">
        <w:rPr>
          <w:lang w:val="uk-UA"/>
        </w:rPr>
        <w:instrText xml:space="preserve">/1274080/" </w:instrText>
      </w:r>
      <w:r w:rsidR="005938AD">
        <w:fldChar w:fldCharType="separate"/>
      </w:r>
      <w:r w:rsidRPr="00511005">
        <w:rPr>
          <w:rFonts w:ascii="Arial" w:eastAsia="Times New Roman" w:hAnsi="Arial" w:cs="Arial"/>
          <w:kern w:val="2"/>
          <w:szCs w:val="28"/>
          <w:lang w:val="pl-PL" w:eastAsia="uk-UA"/>
          <w14:ligatures w14:val="standardContextual"/>
        </w:rPr>
        <w:t>https</w:t>
      </w:r>
      <w:r w:rsidRPr="00511005">
        <w:rPr>
          <w:rFonts w:ascii="Arial" w:eastAsia="Times New Roman" w:hAnsi="Arial" w:cs="Arial"/>
          <w:kern w:val="2"/>
          <w:szCs w:val="28"/>
          <w:lang w:val="uk-UA" w:eastAsia="uk-UA"/>
          <w14:ligatures w14:val="standardContextual"/>
        </w:rPr>
        <w:t>://</w:t>
      </w:r>
      <w:r w:rsidRPr="00511005">
        <w:rPr>
          <w:rFonts w:ascii="Arial" w:eastAsia="Times New Roman" w:hAnsi="Arial" w:cs="Arial"/>
          <w:kern w:val="2"/>
          <w:szCs w:val="28"/>
          <w:lang w:val="pl-PL" w:eastAsia="uk-UA"/>
          <w14:ligatures w14:val="standardContextual"/>
        </w:rPr>
        <w:t>kn</w:t>
      </w:r>
      <w:r w:rsidRPr="00511005">
        <w:rPr>
          <w:rFonts w:ascii="Arial" w:eastAsia="Times New Roman" w:hAnsi="Arial" w:cs="Arial"/>
          <w:kern w:val="2"/>
          <w:szCs w:val="28"/>
          <w:lang w:val="uk-UA" w:eastAsia="uk-UA"/>
          <w14:ligatures w14:val="standardContextual"/>
        </w:rPr>
        <w:t>.</w:t>
      </w:r>
      <w:r w:rsidRPr="00511005">
        <w:rPr>
          <w:rFonts w:ascii="Arial" w:eastAsia="Times New Roman" w:hAnsi="Arial" w:cs="Arial"/>
          <w:kern w:val="2"/>
          <w:szCs w:val="28"/>
          <w:lang w:val="pl-PL" w:eastAsia="uk-UA"/>
          <w14:ligatures w14:val="standardContextual"/>
        </w:rPr>
        <w:t>su</w:t>
      </w:r>
      <w:r w:rsidRPr="00511005">
        <w:rPr>
          <w:rFonts w:ascii="Arial" w:eastAsia="Times New Roman" w:hAnsi="Arial" w:cs="Arial"/>
          <w:kern w:val="2"/>
          <w:szCs w:val="28"/>
          <w:lang w:val="uk-UA" w:eastAsia="uk-UA"/>
          <w14:ligatures w14:val="standardContextual"/>
        </w:rPr>
        <w:t>.</w:t>
      </w:r>
      <w:r w:rsidRPr="00511005">
        <w:rPr>
          <w:rFonts w:ascii="Arial" w:eastAsia="Times New Roman" w:hAnsi="Arial" w:cs="Arial"/>
          <w:kern w:val="2"/>
          <w:szCs w:val="28"/>
          <w:lang w:val="pl-PL" w:eastAsia="uk-UA"/>
          <w14:ligatures w14:val="standardContextual"/>
        </w:rPr>
        <w:t>court</w:t>
      </w:r>
      <w:r w:rsidRPr="00511005">
        <w:rPr>
          <w:rFonts w:ascii="Arial" w:eastAsia="Times New Roman" w:hAnsi="Arial" w:cs="Arial"/>
          <w:kern w:val="2"/>
          <w:szCs w:val="28"/>
          <w:lang w:val="uk-UA" w:eastAsia="uk-UA"/>
          <w14:ligatures w14:val="standardContextual"/>
        </w:rPr>
        <w:t>.</w:t>
      </w:r>
      <w:r w:rsidRPr="00511005">
        <w:rPr>
          <w:rFonts w:ascii="Arial" w:eastAsia="Times New Roman" w:hAnsi="Arial" w:cs="Arial"/>
          <w:kern w:val="2"/>
          <w:szCs w:val="28"/>
          <w:lang w:val="pl-PL" w:eastAsia="uk-UA"/>
          <w14:ligatures w14:val="standardContextual"/>
        </w:rPr>
        <w:t>gov</w:t>
      </w:r>
      <w:r w:rsidRPr="00511005">
        <w:rPr>
          <w:rFonts w:ascii="Arial" w:eastAsia="Times New Roman" w:hAnsi="Arial" w:cs="Arial"/>
          <w:kern w:val="2"/>
          <w:szCs w:val="28"/>
          <w:lang w:val="uk-UA" w:eastAsia="uk-UA"/>
          <w14:ligatures w14:val="standardContextual"/>
        </w:rPr>
        <w:t>.</w:t>
      </w:r>
      <w:r w:rsidRPr="00511005">
        <w:rPr>
          <w:rFonts w:ascii="Arial" w:eastAsia="Times New Roman" w:hAnsi="Arial" w:cs="Arial"/>
          <w:kern w:val="2"/>
          <w:szCs w:val="28"/>
          <w:lang w:val="pl-PL" w:eastAsia="uk-UA"/>
          <w14:ligatures w14:val="standardContextual"/>
        </w:rPr>
        <w:t>ua</w:t>
      </w:r>
      <w:r w:rsidRPr="00511005">
        <w:rPr>
          <w:rFonts w:ascii="Arial" w:eastAsia="Times New Roman" w:hAnsi="Arial" w:cs="Arial"/>
          <w:kern w:val="2"/>
          <w:szCs w:val="28"/>
          <w:lang w:val="uk-UA" w:eastAsia="uk-UA"/>
          <w14:ligatures w14:val="standardContextual"/>
        </w:rPr>
        <w:t>/</w:t>
      </w:r>
      <w:r w:rsidRPr="00511005">
        <w:rPr>
          <w:rFonts w:ascii="Arial" w:eastAsia="Times New Roman" w:hAnsi="Arial" w:cs="Arial"/>
          <w:kern w:val="2"/>
          <w:szCs w:val="28"/>
          <w:lang w:val="pl-PL" w:eastAsia="uk-UA"/>
          <w14:ligatures w14:val="standardContextual"/>
        </w:rPr>
        <w:t>sud</w:t>
      </w:r>
      <w:r w:rsidRPr="00511005">
        <w:rPr>
          <w:rFonts w:ascii="Arial" w:eastAsia="Times New Roman" w:hAnsi="Arial" w:cs="Arial"/>
          <w:kern w:val="2"/>
          <w:szCs w:val="28"/>
          <w:lang w:val="uk-UA" w:eastAsia="uk-UA"/>
          <w14:ligatures w14:val="standardContextual"/>
        </w:rPr>
        <w:t>1807/</w:t>
      </w:r>
      <w:r w:rsidRPr="00511005">
        <w:rPr>
          <w:rFonts w:ascii="Arial" w:eastAsia="Times New Roman" w:hAnsi="Arial" w:cs="Arial"/>
          <w:kern w:val="2"/>
          <w:szCs w:val="28"/>
          <w:lang w:val="pl-PL" w:eastAsia="uk-UA"/>
          <w14:ligatures w14:val="standardContextual"/>
        </w:rPr>
        <w:t>pres</w:t>
      </w:r>
      <w:r w:rsidRPr="00511005">
        <w:rPr>
          <w:rFonts w:ascii="Arial" w:eastAsia="Times New Roman" w:hAnsi="Arial" w:cs="Arial"/>
          <w:kern w:val="2"/>
          <w:szCs w:val="28"/>
          <w:lang w:val="uk-UA" w:eastAsia="uk-UA"/>
          <w14:ligatures w14:val="standardContextual"/>
        </w:rPr>
        <w:t>-</w:t>
      </w:r>
      <w:r w:rsidRPr="00511005">
        <w:rPr>
          <w:rFonts w:ascii="Arial" w:eastAsia="Times New Roman" w:hAnsi="Arial" w:cs="Arial"/>
          <w:kern w:val="2"/>
          <w:szCs w:val="28"/>
          <w:lang w:val="pl-PL" w:eastAsia="uk-UA"/>
          <w14:ligatures w14:val="standardContextual"/>
        </w:rPr>
        <w:t>centr</w:t>
      </w:r>
      <w:r w:rsidRPr="00511005">
        <w:rPr>
          <w:rFonts w:ascii="Arial" w:eastAsia="Times New Roman" w:hAnsi="Arial" w:cs="Arial"/>
          <w:kern w:val="2"/>
          <w:szCs w:val="28"/>
          <w:lang w:val="uk-UA" w:eastAsia="uk-UA"/>
          <w14:ligatures w14:val="standardContextual"/>
        </w:rPr>
        <w:t>/</w:t>
      </w:r>
      <w:r w:rsidRPr="00511005">
        <w:rPr>
          <w:rFonts w:ascii="Arial" w:eastAsia="Times New Roman" w:hAnsi="Arial" w:cs="Arial"/>
          <w:kern w:val="2"/>
          <w:szCs w:val="28"/>
          <w:lang w:val="pl-PL" w:eastAsia="uk-UA"/>
          <w14:ligatures w14:val="standardContextual"/>
        </w:rPr>
        <w:t>general</w:t>
      </w:r>
      <w:r w:rsidRPr="00511005">
        <w:rPr>
          <w:rFonts w:ascii="Arial" w:eastAsia="Times New Roman" w:hAnsi="Arial" w:cs="Arial"/>
          <w:kern w:val="2"/>
          <w:szCs w:val="28"/>
          <w:lang w:val="uk-UA" w:eastAsia="uk-UA"/>
          <w14:ligatures w14:val="standardContextual"/>
        </w:rPr>
        <w:t>/1274080/</w:t>
      </w:r>
      <w:r w:rsidR="005938AD">
        <w:rPr>
          <w:rFonts w:ascii="Arial" w:eastAsia="Times New Roman" w:hAnsi="Arial" w:cs="Arial"/>
          <w:kern w:val="2"/>
          <w:szCs w:val="28"/>
          <w:lang w:val="uk-UA" w:eastAsia="uk-UA"/>
          <w14:ligatures w14:val="standardContextual"/>
        </w:rPr>
        <w:fldChar w:fldCharType="end"/>
      </w:r>
    </w:p>
    <w:p w14:paraId="52F26C3C" w14:textId="4B818577" w:rsidR="00200E87" w:rsidRPr="00511005" w:rsidRDefault="00200E87" w:rsidP="003F6A5D">
      <w:pPr>
        <w:numPr>
          <w:ilvl w:val="0"/>
          <w:numId w:val="537"/>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Судова влада України. Суддя Великої Палати Верховного Суду Микола Мазур :« Якість судових рішень щодо воєнних злочинів зростає».</w:t>
      </w:r>
      <w:r w:rsidR="007B2628" w:rsidRPr="00511005">
        <w:rPr>
          <w:rFonts w:ascii="Arial" w:eastAsia="Times New Roman" w:hAnsi="Arial" w:cs="Arial"/>
          <w:kern w:val="2"/>
          <w:szCs w:val="28"/>
          <w:lang w:eastAsia="uk-UA"/>
          <w14:ligatures w14:val="standardContextual"/>
        </w:rPr>
        <w:t xml:space="preserve"> </w:t>
      </w:r>
      <w:r w:rsidRPr="00511005">
        <w:rPr>
          <w:rFonts w:ascii="Arial" w:eastAsia="Times New Roman" w:hAnsi="Arial" w:cs="Arial"/>
          <w:kern w:val="2"/>
          <w:szCs w:val="28"/>
          <w:lang w:val="pl-PL" w:eastAsia="uk-UA"/>
          <w14:ligatures w14:val="standardContextual"/>
        </w:rPr>
        <w:t xml:space="preserve">URL: </w:t>
      </w:r>
      <w:hyperlink r:id="rId1886" w:history="1">
        <w:r w:rsidRPr="00511005">
          <w:rPr>
            <w:rFonts w:ascii="Arial" w:eastAsia="Times New Roman" w:hAnsi="Arial" w:cs="Arial"/>
            <w:kern w:val="2"/>
            <w:szCs w:val="28"/>
            <w:lang w:val="pl-PL" w:eastAsia="uk-UA"/>
            <w14:ligatures w14:val="standardContextual"/>
          </w:rPr>
          <w:t>https://search.app/sfTZnZpw5c1X8sDNA</w:t>
        </w:r>
      </w:hyperlink>
    </w:p>
    <w:p w14:paraId="392F10CA" w14:textId="77777777" w:rsidR="00200E87" w:rsidRPr="00511005" w:rsidRDefault="00200E87" w:rsidP="003F6A5D">
      <w:pPr>
        <w:numPr>
          <w:ilvl w:val="0"/>
          <w:numId w:val="537"/>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 xml:space="preserve">Безоплатна правова допомога. «Воєнні злочини та їх документування». </w:t>
      </w:r>
      <w:r w:rsidRPr="00511005">
        <w:rPr>
          <w:rFonts w:ascii="Arial" w:eastAsia="Times New Roman" w:hAnsi="Arial" w:cs="Arial"/>
          <w:kern w:val="2"/>
          <w:szCs w:val="28"/>
          <w:lang w:val="pl-PL" w:eastAsia="uk-UA"/>
          <w14:ligatures w14:val="standardContextual"/>
        </w:rPr>
        <w:t xml:space="preserve">URL: </w:t>
      </w:r>
      <w:hyperlink r:id="rId1887" w:history="1">
        <w:r w:rsidRPr="00511005">
          <w:rPr>
            <w:rFonts w:ascii="Arial" w:eastAsia="Times New Roman" w:hAnsi="Arial" w:cs="Arial"/>
            <w:kern w:val="2"/>
            <w:szCs w:val="28"/>
            <w:lang w:val="pl-PL" w:eastAsia="uk-UA"/>
            <w14:ligatures w14:val="standardContextual"/>
          </w:rPr>
          <w:t>https://search.app/bDnoXbUpghJSBsid7</w:t>
        </w:r>
      </w:hyperlink>
    </w:p>
    <w:p w14:paraId="3ADC599B" w14:textId="77777777" w:rsidR="007B2628" w:rsidRPr="00511005" w:rsidRDefault="00200E87" w:rsidP="003F6A5D">
      <w:pPr>
        <w:numPr>
          <w:ilvl w:val="0"/>
          <w:numId w:val="537"/>
        </w:numPr>
        <w:spacing w:line="264" w:lineRule="auto"/>
        <w:contextualSpacing/>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Мілітарний. «Розмежування понять воєнний та військовий злочин»</w:t>
      </w:r>
      <w:r w:rsidRPr="00511005">
        <w:rPr>
          <w:rFonts w:ascii="Arial" w:eastAsia="Times New Roman" w:hAnsi="Arial" w:cs="Arial"/>
          <w:kern w:val="2"/>
          <w:szCs w:val="28"/>
          <w:lang w:eastAsia="uk-UA"/>
          <w14:ligatures w14:val="standardContextual"/>
        </w:rPr>
        <w:t>.</w:t>
      </w:r>
      <w:r w:rsidR="007B2628" w:rsidRPr="00511005">
        <w:rPr>
          <w:rFonts w:ascii="Arial" w:eastAsia="Times New Roman" w:hAnsi="Arial" w:cs="Arial"/>
          <w:kern w:val="2"/>
          <w:szCs w:val="28"/>
          <w:lang w:eastAsia="uk-UA"/>
          <w14:ligatures w14:val="standardContextual"/>
        </w:rPr>
        <w:t xml:space="preserve"> </w:t>
      </w:r>
      <w:r w:rsidRPr="00511005">
        <w:rPr>
          <w:rFonts w:ascii="Arial" w:eastAsia="Times New Roman" w:hAnsi="Arial" w:cs="Arial"/>
          <w:kern w:val="2"/>
          <w:szCs w:val="28"/>
          <w:lang w:val="pl-PL" w:eastAsia="uk-UA"/>
          <w14:ligatures w14:val="standardContextual"/>
        </w:rPr>
        <w:t xml:space="preserve">URL: </w:t>
      </w:r>
      <w:hyperlink r:id="rId1888" w:history="1">
        <w:r w:rsidRPr="00511005">
          <w:rPr>
            <w:rFonts w:ascii="Arial" w:eastAsia="Times New Roman" w:hAnsi="Arial" w:cs="Arial"/>
            <w:kern w:val="2"/>
            <w:szCs w:val="28"/>
            <w:lang w:val="pl-PL" w:eastAsia="uk-UA"/>
            <w14:ligatures w14:val="standardContextual"/>
          </w:rPr>
          <w:t>https://search.app/E5yziJ7QGengivYh7</w:t>
        </w:r>
      </w:hyperlink>
      <w:r w:rsidRPr="00511005">
        <w:rPr>
          <w:rFonts w:ascii="Arial" w:eastAsia="Times New Roman" w:hAnsi="Arial" w:cs="Arial"/>
          <w:kern w:val="2"/>
          <w:szCs w:val="28"/>
          <w:lang w:val="pl-PL" w:eastAsia="uk-UA"/>
          <w14:ligatures w14:val="standardContextual"/>
        </w:rPr>
        <w:t xml:space="preserve"> </w:t>
      </w:r>
    </w:p>
    <w:p w14:paraId="74739702" w14:textId="49E03EF7" w:rsidR="00200E87" w:rsidRPr="00511005" w:rsidRDefault="00200E87" w:rsidP="003A292D">
      <w:pPr>
        <w:spacing w:line="264" w:lineRule="auto"/>
        <w:ind w:firstLine="0"/>
        <w:rPr>
          <w:rFonts w:ascii="Arial" w:eastAsia="Times New Roman" w:hAnsi="Arial" w:cs="Arial"/>
          <w:b/>
          <w:bCs/>
          <w:kern w:val="2"/>
          <w:szCs w:val="28"/>
          <w:lang w:val="uk-UA" w:eastAsia="uk-UA"/>
          <w14:ligatures w14:val="standardContextual"/>
        </w:rPr>
      </w:pPr>
    </w:p>
    <w:p w14:paraId="1BBA810D" w14:textId="353FAB56" w:rsidR="007B2628" w:rsidRPr="00511005" w:rsidRDefault="007B2628"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b/>
          <w:bCs/>
          <w:i/>
          <w:kern w:val="2"/>
          <w:szCs w:val="28"/>
          <w:lang w:val="uk-UA" w:eastAsia="uk-UA"/>
          <w14:ligatures w14:val="standardContextual"/>
        </w:rPr>
        <w:t xml:space="preserve">Ключові слова: </w:t>
      </w:r>
      <w:r w:rsidR="00200E87" w:rsidRPr="00511005">
        <w:rPr>
          <w:rFonts w:ascii="Arial" w:eastAsia="Times New Roman" w:hAnsi="Arial" w:cs="Arial"/>
          <w:kern w:val="2"/>
          <w:szCs w:val="28"/>
          <w:lang w:val="uk-UA" w:eastAsia="uk-UA"/>
          <w14:ligatures w14:val="standardContextual"/>
        </w:rPr>
        <w:t>воєнний злочин, кримінальне правопорушення, військовий злочин, відповідальність, міжнародне право.</w:t>
      </w:r>
    </w:p>
    <w:p w14:paraId="52A9F3E6" w14:textId="34AD805B" w:rsidR="00200E87" w:rsidRPr="00511005" w:rsidRDefault="007B2628"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b/>
          <w:bCs/>
          <w:i/>
          <w:kern w:val="2"/>
          <w:szCs w:val="28"/>
          <w:lang w:val="en-US" w:eastAsia="uk-UA"/>
          <w14:ligatures w14:val="standardContextual"/>
        </w:rPr>
        <w:t xml:space="preserve">Key words: </w:t>
      </w:r>
      <w:r w:rsidR="00200E87" w:rsidRPr="00511005">
        <w:rPr>
          <w:rFonts w:ascii="Arial" w:eastAsia="Times New Roman" w:hAnsi="Arial" w:cs="Arial"/>
          <w:kern w:val="2"/>
          <w:szCs w:val="28"/>
          <w:lang w:val="uk-UA" w:eastAsia="uk-UA"/>
          <w14:ligatures w14:val="standardContextual"/>
        </w:rPr>
        <w:t>war crime, criminal offence, war crime, liability, international law.</w:t>
      </w:r>
    </w:p>
    <w:p w14:paraId="5CFEA834" w14:textId="77777777" w:rsidR="00200E87" w:rsidRPr="00511005" w:rsidRDefault="00200E87" w:rsidP="003A292D">
      <w:pPr>
        <w:spacing w:line="264" w:lineRule="auto"/>
        <w:ind w:firstLine="0"/>
        <w:rPr>
          <w:rFonts w:ascii="Arial" w:eastAsia="Times New Roman" w:hAnsi="Arial" w:cs="Arial"/>
          <w:bCs/>
          <w:i/>
          <w:iCs/>
          <w:kern w:val="2"/>
          <w:szCs w:val="28"/>
          <w:lang w:val="uk-UA" w:eastAsia="uk-UA"/>
          <w14:ligatures w14:val="standardContextual"/>
        </w:rPr>
      </w:pPr>
    </w:p>
    <w:p w14:paraId="3087B114" w14:textId="318FA16D" w:rsidR="00200E87" w:rsidRPr="00511005" w:rsidRDefault="007B2628" w:rsidP="003A292D">
      <w:pPr>
        <w:spacing w:line="264" w:lineRule="auto"/>
        <w:ind w:firstLine="0"/>
        <w:rPr>
          <w:rFonts w:ascii="Arial" w:eastAsia="Times New Roman" w:hAnsi="Arial" w:cs="Arial"/>
          <w:kern w:val="2"/>
          <w:szCs w:val="28"/>
          <w:lang w:val="uk-UA" w:eastAsia="uk-UA"/>
          <w14:ligatures w14:val="standardContextual"/>
        </w:rPr>
      </w:pPr>
      <w:r w:rsidRPr="00511005">
        <w:rPr>
          <w:rFonts w:ascii="Arial" w:eastAsia="Times New Roman" w:hAnsi="Arial" w:cs="Arial"/>
          <w:b/>
          <w:bCs/>
          <w:i/>
          <w:iCs/>
          <w:kern w:val="2"/>
          <w:szCs w:val="28"/>
          <w:lang w:val="uk-UA" w:eastAsia="uk-UA"/>
          <w14:ligatures w14:val="standardContextual"/>
        </w:rPr>
        <w:t xml:space="preserve">Науковий керівник: </w:t>
      </w:r>
      <w:r w:rsidR="00200E87" w:rsidRPr="00511005">
        <w:rPr>
          <w:rFonts w:ascii="Arial" w:eastAsia="Times New Roman" w:hAnsi="Arial" w:cs="Arial"/>
          <w:bCs/>
          <w:i/>
          <w:iCs/>
          <w:kern w:val="2"/>
          <w:szCs w:val="28"/>
          <w:lang w:val="uk-UA" w:eastAsia="uk-UA"/>
          <w14:ligatures w14:val="standardContextual"/>
        </w:rPr>
        <w:t xml:space="preserve">к.ю.н., доцент Хильченко А.С. </w:t>
      </w:r>
    </w:p>
    <w:p w14:paraId="6CB0EE04" w14:textId="77777777" w:rsidR="00175310" w:rsidRDefault="00175310">
      <w:pPr>
        <w:spacing w:after="200" w:line="276" w:lineRule="auto"/>
        <w:ind w:firstLine="0"/>
        <w:jc w:val="left"/>
        <w:rPr>
          <w:rFonts w:ascii="Arial" w:eastAsia="Calibri" w:hAnsi="Arial" w:cs="Arial"/>
          <w:b/>
          <w:i/>
          <w:szCs w:val="28"/>
        </w:rPr>
      </w:pPr>
      <w:r>
        <w:rPr>
          <w:rFonts w:ascii="Arial" w:eastAsia="Calibri" w:hAnsi="Arial" w:cs="Arial"/>
          <w:b/>
          <w:i/>
          <w:szCs w:val="28"/>
        </w:rPr>
        <w:br w:type="page"/>
      </w:r>
    </w:p>
    <w:p w14:paraId="60A10C1A" w14:textId="2D3F33BF" w:rsidR="00200E87" w:rsidRPr="00511005" w:rsidRDefault="00200E87" w:rsidP="003A292D">
      <w:pPr>
        <w:spacing w:line="264" w:lineRule="auto"/>
        <w:ind w:firstLine="0"/>
        <w:contextualSpacing/>
        <w:jc w:val="center"/>
        <w:rPr>
          <w:rFonts w:ascii="Arial" w:eastAsia="Calibri" w:hAnsi="Arial" w:cs="Arial"/>
          <w:b/>
          <w:i/>
          <w:szCs w:val="28"/>
        </w:rPr>
      </w:pPr>
      <w:r w:rsidRPr="00511005">
        <w:rPr>
          <w:rFonts w:ascii="Arial" w:eastAsia="Calibri" w:hAnsi="Arial" w:cs="Arial"/>
          <w:b/>
          <w:i/>
          <w:szCs w:val="28"/>
        </w:rPr>
        <w:lastRenderedPageBreak/>
        <w:t>Скоропанюк Софія Василівна</w:t>
      </w:r>
    </w:p>
    <w:p w14:paraId="1D5A385C" w14:textId="75183D1F" w:rsidR="00200E87" w:rsidRPr="00511005" w:rsidRDefault="00536AAB" w:rsidP="003A292D">
      <w:pPr>
        <w:spacing w:line="264" w:lineRule="auto"/>
        <w:ind w:firstLine="0"/>
        <w:contextualSpacing/>
        <w:jc w:val="center"/>
        <w:rPr>
          <w:rFonts w:ascii="Arial" w:eastAsia="Calibri" w:hAnsi="Arial" w:cs="Arial"/>
          <w:szCs w:val="28"/>
        </w:rPr>
      </w:pPr>
      <w:r w:rsidRPr="00511005">
        <w:rPr>
          <w:rFonts w:ascii="Arial" w:eastAsia="Calibri" w:hAnsi="Arial" w:cs="Arial"/>
          <w:szCs w:val="28"/>
        </w:rPr>
        <w:t xml:space="preserve">студентка 3-го курсу </w:t>
      </w:r>
      <w:r w:rsidR="007B2628" w:rsidRPr="00511005">
        <w:rPr>
          <w:rFonts w:ascii="Arial" w:eastAsia="Calibri" w:hAnsi="Arial" w:cs="Arial"/>
          <w:szCs w:val="28"/>
        </w:rPr>
        <w:t>факультету цивільної та господарської юстиції</w:t>
      </w:r>
    </w:p>
    <w:p w14:paraId="2930DF04" w14:textId="20BE5B62" w:rsidR="00200E87" w:rsidRPr="00511005" w:rsidRDefault="007B2628" w:rsidP="003A292D">
      <w:pPr>
        <w:spacing w:line="264" w:lineRule="auto"/>
        <w:ind w:firstLine="0"/>
        <w:contextualSpacing/>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52E85BC4" w14:textId="77777777" w:rsidR="00200E87" w:rsidRPr="00511005" w:rsidRDefault="00200E87" w:rsidP="003A292D">
      <w:pPr>
        <w:spacing w:line="264" w:lineRule="auto"/>
        <w:ind w:firstLine="0"/>
        <w:contextualSpacing/>
        <w:jc w:val="center"/>
        <w:rPr>
          <w:rFonts w:ascii="Arial" w:eastAsia="Calibri" w:hAnsi="Arial" w:cs="Arial"/>
          <w:b/>
          <w:szCs w:val="28"/>
          <w:lang w:val="uk-UA"/>
        </w:rPr>
      </w:pPr>
    </w:p>
    <w:p w14:paraId="37155AB3" w14:textId="77777777" w:rsidR="00200E87" w:rsidRPr="00511005" w:rsidRDefault="00200E87" w:rsidP="003A292D">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ОСОБЛИВОСТІ КРИМІНАЛЬНОЇ ВІДПОВІДАЛЬНОСТІ ЗА КРИМІНАЛЬНЕ ПРАВОПОРУШЕННЯ ПРОТИ ЖИТТЯ ТА ЗДОРОВ’Я ОСОБИ</w:t>
      </w:r>
    </w:p>
    <w:p w14:paraId="49455F77" w14:textId="77777777" w:rsidR="00200E87" w:rsidRPr="00511005" w:rsidRDefault="00200E87" w:rsidP="003A292D">
      <w:pPr>
        <w:spacing w:line="264" w:lineRule="auto"/>
        <w:ind w:firstLine="0"/>
        <w:contextualSpacing/>
        <w:jc w:val="center"/>
        <w:rPr>
          <w:rFonts w:ascii="Arial" w:eastAsia="Calibri" w:hAnsi="Arial" w:cs="Arial"/>
          <w:b/>
          <w:szCs w:val="28"/>
          <w:lang w:val="uk-UA"/>
        </w:rPr>
      </w:pPr>
    </w:p>
    <w:p w14:paraId="056C3B4A" w14:textId="77777777" w:rsidR="00200E87" w:rsidRPr="00511005" w:rsidRDefault="00200E87" w:rsidP="003A292D">
      <w:pPr>
        <w:spacing w:line="264" w:lineRule="auto"/>
        <w:ind w:firstLine="0"/>
        <w:rPr>
          <w:rFonts w:ascii="Arial" w:eastAsia="Times New Roman" w:hAnsi="Arial" w:cs="Arial"/>
          <w:szCs w:val="28"/>
          <w:lang w:eastAsia="uk-UA"/>
        </w:rPr>
      </w:pPr>
      <w:r w:rsidRPr="00511005">
        <w:rPr>
          <w:rFonts w:ascii="Arial" w:eastAsia="Times New Roman" w:hAnsi="Arial" w:cs="Arial"/>
          <w:szCs w:val="28"/>
          <w:lang w:val="uk-UA" w:eastAsia="uk-UA"/>
        </w:rPr>
        <w:t xml:space="preserve">Життя та здоров’я людини є найвищими соціальними цінностями, визнаними і гарантованими як на національному, так і на міжнародному рівнях. Конституція України у статті 27 проголошує, що кожна людина має невід’ємне право на життя, а держава зобов’язується його захищати. Аналогічно, право на охорону здоров’я забезпечується через систему законодавчих, адміністративних та судових механізмів, зокрема через кримінальне право </w:t>
      </w:r>
      <w:r w:rsidRPr="00511005">
        <w:rPr>
          <w:rFonts w:ascii="Arial" w:eastAsia="Times New Roman" w:hAnsi="Arial" w:cs="Arial"/>
          <w:szCs w:val="28"/>
          <w:lang w:eastAsia="uk-UA"/>
        </w:rPr>
        <w:t>[1].</w:t>
      </w:r>
    </w:p>
    <w:p w14:paraId="242B3E4E" w14:textId="77777777" w:rsidR="00200E87" w:rsidRPr="00511005" w:rsidRDefault="00200E87" w:rsidP="003A292D">
      <w:pPr>
        <w:spacing w:line="264" w:lineRule="auto"/>
        <w:ind w:firstLine="0"/>
        <w:rPr>
          <w:rFonts w:ascii="Arial" w:eastAsia="Times New Roman" w:hAnsi="Arial" w:cs="Arial"/>
          <w:szCs w:val="28"/>
          <w:lang w:eastAsia="uk-UA"/>
        </w:rPr>
      </w:pPr>
      <w:r w:rsidRPr="00511005">
        <w:rPr>
          <w:rFonts w:ascii="Arial" w:eastAsia="Calibri" w:hAnsi="Arial" w:cs="Arial"/>
          <w:szCs w:val="28"/>
          <w:lang w:val="uk-UA"/>
        </w:rPr>
        <w:t>Передусім варто підкреслити, що право людини на життя та здоров’я є фундаментальною цінністю, яка перебуває під правовим захистом як на міжнародному, так і на державному рівнях. Зокрема, відповідно до статті 3 Загальної декларації прав людини від 10 грудня 1948 року № 995_015, кожна особа має невід’ємне право на життя, свободу та особисту безпеку [2].</w:t>
      </w:r>
    </w:p>
    <w:p w14:paraId="2A02078F" w14:textId="77777777" w:rsidR="00200E87" w:rsidRPr="00511005" w:rsidRDefault="00200E87"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сучасному правовому полі, що динамічно змінюється під впливом соціально-політичних трансформацій, особливе значення має ефективність кримінально-правового реагування на посягання на ці базові цінності. Кримінальні правопорушення проти життя та здоров’я особи є одними з найнебезпечніших, оскільки завдають непоправної шкоди не лише окремій людині, але й суспільству в цілому.</w:t>
      </w:r>
    </w:p>
    <w:p w14:paraId="2AE8CEE5" w14:textId="77777777" w:rsidR="00200E87" w:rsidRPr="00511005" w:rsidRDefault="00200E87"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Кримінальні правопорушення, що зазіхають на фундаментальні права і свободи людини, охоплюють діяння, спрямовані на позбавлення життя, заподіяння шкоди здоров’ю або створення реальної загрози для фізичного існування особи. До цієї категорії також належать злочини, пов’язані з порушенням порядку надання медичної допомоги. Відповідальність за зазначені дії регламентується положеннями розділу ІІ Особливої частини Кримінального кодексу України [3, с. 9].</w:t>
      </w:r>
    </w:p>
    <w:p w14:paraId="4055E7C8" w14:textId="77777777" w:rsidR="00200E87" w:rsidRPr="00511005" w:rsidRDefault="00200E87"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Суб’єктами кримінальних правопорушень, що посягають на життя і здоров’я особи, визнаються особи, здатні нести кримінальну відповідальність за вчинення діянь, які завдають шкоди іншій людині. Згідно з положеннями Кримінального кодексу України, такими суб’єктами є фізичні осудні особи, які досягли віку кримінальної відповідальності - 14 років для певних складів злочинів (зокрема, за статтями 115–117, 121, 122), або 16 років для інших випадків. Окремо закон виділяє спеціальних суб’єктів, серед яких - медичні та фармацевтичні працівники, а також інші особи, які в силу професійних обов’язків мають стосунок до лікування або обігу лікарських засобів (ст. 131 КК України); посадові особи та медичний персонал лікувальних установ, </w:t>
      </w:r>
      <w:r w:rsidRPr="00511005">
        <w:rPr>
          <w:rFonts w:ascii="Arial" w:eastAsia="Calibri" w:hAnsi="Arial" w:cs="Arial"/>
          <w:szCs w:val="28"/>
          <w:lang w:val="uk-UA"/>
        </w:rPr>
        <w:lastRenderedPageBreak/>
        <w:t>включно з допоміжним персоналом (ст. 132); а також особи без відповідної медичної освіти, які самовільно здійснюють медичну практику (ст. 138) [3, с. 9].</w:t>
      </w:r>
    </w:p>
    <w:p w14:paraId="3AA9AD29" w14:textId="77777777" w:rsidR="00200E87" w:rsidRPr="00511005" w:rsidRDefault="00200E87"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Кримінальний кодекс України поділяє злочини проти життя та здоров’я на дві основні групи:</w:t>
      </w:r>
    </w:p>
    <w:p w14:paraId="1A64DF01" w14:textId="77777777" w:rsidR="00200E87" w:rsidRPr="00511005" w:rsidRDefault="00200E87" w:rsidP="003F6A5D">
      <w:pPr>
        <w:numPr>
          <w:ilvl w:val="0"/>
          <w:numId w:val="538"/>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bCs/>
          <w:szCs w:val="28"/>
          <w:lang w:val="uk-UA" w:eastAsia="uk-UA"/>
        </w:rPr>
        <w:t>Злочини проти життя</w:t>
      </w:r>
      <w:r w:rsidRPr="00511005">
        <w:rPr>
          <w:rFonts w:ascii="Arial" w:eastAsia="Times New Roman" w:hAnsi="Arial" w:cs="Arial"/>
          <w:szCs w:val="28"/>
          <w:lang w:val="uk-UA" w:eastAsia="uk-UA"/>
        </w:rPr>
        <w:t xml:space="preserve"> (статті 115–120 КК України): умисне вбивство, вбивство при обтяжуючих обставинах, вбивство з необережності, доведення до самогубства тощо.</w:t>
      </w:r>
    </w:p>
    <w:p w14:paraId="2ACBEC6D" w14:textId="77777777" w:rsidR="00200E87" w:rsidRPr="00511005" w:rsidRDefault="00200E87" w:rsidP="003F6A5D">
      <w:pPr>
        <w:numPr>
          <w:ilvl w:val="0"/>
          <w:numId w:val="538"/>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bCs/>
          <w:szCs w:val="28"/>
          <w:lang w:val="uk-UA" w:eastAsia="uk-UA"/>
        </w:rPr>
        <w:t>Злочини проти здоров’я</w:t>
      </w:r>
      <w:r w:rsidRPr="00511005">
        <w:rPr>
          <w:rFonts w:ascii="Arial" w:eastAsia="Times New Roman" w:hAnsi="Arial" w:cs="Arial"/>
          <w:szCs w:val="28"/>
          <w:lang w:val="uk-UA" w:eastAsia="uk-UA"/>
        </w:rPr>
        <w:t xml:space="preserve"> (статті 121–128 КК України): умисне тяжке тілесне ушкодження, середньої тяжкості, легке тілесне ушкодження, побої, мордування, зараження ВІЛ-інфекцією та інші [4].</w:t>
      </w:r>
    </w:p>
    <w:p w14:paraId="6C39DAE0" w14:textId="77777777" w:rsidR="00200E87" w:rsidRPr="00511005" w:rsidRDefault="00200E87" w:rsidP="003A292D">
      <w:pPr>
        <w:spacing w:line="264" w:lineRule="auto"/>
        <w:ind w:firstLine="0"/>
        <w:rPr>
          <w:rFonts w:ascii="Arial" w:eastAsia="Times New Roman" w:hAnsi="Arial" w:cs="Arial"/>
          <w:szCs w:val="28"/>
          <w:lang w:eastAsia="uk-UA"/>
        </w:rPr>
      </w:pPr>
      <w:r w:rsidRPr="00511005">
        <w:rPr>
          <w:rFonts w:ascii="Arial" w:eastAsia="Times New Roman" w:hAnsi="Arial" w:cs="Arial"/>
          <w:szCs w:val="28"/>
          <w:lang w:val="uk-UA" w:eastAsia="uk-UA"/>
        </w:rPr>
        <w:t>Серед найбільш небезпечних кримінальних правопорушень, спрямованих проти життя і здоров’я людини, особливе місце займає умисне позбавлення життя. Відповідно до статті 115 Кримінального кодексу України, навмисне вбивство іншої особи класифікується як один із найтяжчих злочинів, за який передбачено суворе покарання. Цей вид злочину може проявлятися в різних формах - зокрема, як вбивство, вчинене з особливою жорстокістю, на замовлення, з терористичною метою тощо [</w:t>
      </w:r>
      <w:r w:rsidRPr="00511005">
        <w:rPr>
          <w:rFonts w:ascii="Arial" w:eastAsia="Times New Roman" w:hAnsi="Arial" w:cs="Arial"/>
          <w:szCs w:val="28"/>
          <w:lang w:eastAsia="uk-UA"/>
        </w:rPr>
        <w:t>4].</w:t>
      </w:r>
    </w:p>
    <w:p w14:paraId="028EB5F2" w14:textId="77777777" w:rsidR="00200E87" w:rsidRPr="00511005" w:rsidRDefault="00200E87"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Крім умисного вбивства, кримінальне право охоплює й інші діяння, що завдають шкоди життю або здоров’ю особи. Наприклад, заподіяння тілесних ушкоджень, які спричиняють серйозні фізичні чи психологічні наслідки, також кваліфікується як тяжкий злочин і передбачає відповідну кримінальну відповідальність.</w:t>
      </w:r>
    </w:p>
    <w:p w14:paraId="540172D1" w14:textId="77777777" w:rsidR="007B2628" w:rsidRPr="00511005" w:rsidRDefault="00200E87"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eastAsia="uk-UA"/>
        </w:rPr>
        <w:t>Отже</w:t>
      </w:r>
      <w:r w:rsidRPr="00511005">
        <w:rPr>
          <w:rFonts w:ascii="Arial" w:eastAsia="Calibri" w:hAnsi="Arial" w:cs="Arial"/>
          <w:szCs w:val="28"/>
          <w:lang w:val="uk-UA"/>
        </w:rPr>
        <w:t>, життя і здоров’я як об’єкти кримінально-правової охорони є найвищими соціальними цінностями, гарантованими національним та міжнародним правом. Їх захист становить основу гуманістичної спрямованості кримінального законодавства України.</w:t>
      </w:r>
    </w:p>
    <w:p w14:paraId="1D518CF7" w14:textId="77777777" w:rsidR="007B2628" w:rsidRPr="00511005" w:rsidRDefault="00200E87"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Кримінальні правопорушення проти життя та здоров’я особи охоплюють широкий спектр діянь - від умисного вбивства до злочинів, пов’язаних із порушенням правил надання медичної допомоги. Вони класифікуються відповідно до безпосереднього об’єкта посягання: злочини проти життя, злочини проти здоров’я та правопорушення, що створюють загрозу цим благам.</w:t>
      </w:r>
    </w:p>
    <w:p w14:paraId="0A273023" w14:textId="77777777" w:rsidR="007B2628" w:rsidRPr="00511005" w:rsidRDefault="00200E87"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Суб’єктами цих злочинів, як правило, є фізичні осудні особи, які досягли віку кримінальної відповідальності. У деяких випадках законодавець передбачає наявність спеціального суб’єкта (медичний працівник, службова особа тощо), що вимагає особливої уваги при кваліфікації діяння.</w:t>
      </w:r>
    </w:p>
    <w:p w14:paraId="147831DF" w14:textId="5C998F9C" w:rsidR="00200E87" w:rsidRPr="00511005" w:rsidRDefault="00200E87"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Особливості кваліфікації таких злочинів пов’язані з необхідністю врахування множинних факторів: форми вини, мотивів, обставин учинення, характеру наслідків тощо. Це потребує глибокої юридичної експертизи та зваженого підходу з боку слідства і суду.</w:t>
      </w:r>
    </w:p>
    <w:p w14:paraId="621DF7D9" w14:textId="77777777" w:rsidR="00200E87" w:rsidRPr="00511005" w:rsidRDefault="00200E87"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Необхідним є подальше вдосконалення кримінального законодавства та практики його застосування з метою більш точного визначення складів злочинів, посилення захисту потерпілих та запобігання порушенням прав людини у сфері охорони життя і здоров’я</w:t>
      </w:r>
      <w:r w:rsidRPr="00511005">
        <w:rPr>
          <w:rFonts w:ascii="Arial" w:eastAsia="Calibri" w:hAnsi="Arial" w:cs="Arial"/>
          <w:szCs w:val="28"/>
          <w:lang w:val="uk-UA" w:eastAsia="uk-UA"/>
        </w:rPr>
        <w:t>.</w:t>
      </w:r>
    </w:p>
    <w:p w14:paraId="32BA36BF" w14:textId="77777777" w:rsidR="00200E87" w:rsidRPr="00511005" w:rsidRDefault="00200E87" w:rsidP="003A292D">
      <w:pPr>
        <w:spacing w:line="264" w:lineRule="auto"/>
        <w:ind w:firstLine="0"/>
        <w:contextualSpacing/>
        <w:jc w:val="left"/>
        <w:rPr>
          <w:rFonts w:ascii="Arial" w:eastAsia="Calibri" w:hAnsi="Arial" w:cs="Arial"/>
          <w:szCs w:val="28"/>
          <w:lang w:val="uk-UA"/>
        </w:rPr>
      </w:pPr>
    </w:p>
    <w:p w14:paraId="2CD2FAFB" w14:textId="006F1D79" w:rsidR="00200E87" w:rsidRPr="00511005" w:rsidRDefault="007B2628" w:rsidP="007B2628">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4F32E80" w14:textId="77777777" w:rsidR="00200E87" w:rsidRPr="00511005" w:rsidRDefault="00200E87" w:rsidP="003F6A5D">
      <w:pPr>
        <w:numPr>
          <w:ilvl w:val="0"/>
          <w:numId w:val="539"/>
        </w:numPr>
        <w:spacing w:line="264" w:lineRule="auto"/>
        <w:contextualSpacing/>
        <w:jc w:val="left"/>
        <w:rPr>
          <w:rFonts w:ascii="Arial" w:eastAsia="Calibri" w:hAnsi="Arial" w:cs="Arial"/>
          <w:b/>
          <w:szCs w:val="28"/>
          <w:lang w:val="uk-UA"/>
        </w:rPr>
      </w:pPr>
      <w:r w:rsidRPr="00511005">
        <w:rPr>
          <w:rFonts w:ascii="Arial" w:eastAsia="Calibri" w:hAnsi="Arial" w:cs="Arial"/>
          <w:szCs w:val="28"/>
          <w:lang w:val="uk-UA"/>
        </w:rPr>
        <w:t xml:space="preserve">Актуальні проблеми злочинів проти життя та здоров’я, статевої свободи та статевої недоторканності особи. URL: </w:t>
      </w:r>
      <w:r w:rsidR="005938AD">
        <w:fldChar w:fldCharType="begin"/>
      </w:r>
      <w:r w:rsidR="005938AD" w:rsidRPr="00055389">
        <w:rPr>
          <w:lang w:val="en-US"/>
        </w:rPr>
        <w:instrText xml:space="preserve"> HYPERLINK "https://www.naiau.kiev.ua/files/kafedru/kp/lectures/kp/tema_3.doc" </w:instrText>
      </w:r>
      <w:r w:rsidR="005938AD">
        <w:fldChar w:fldCharType="separate"/>
      </w:r>
      <w:r w:rsidRPr="00511005">
        <w:rPr>
          <w:rFonts w:ascii="Arial" w:eastAsia="Calibri" w:hAnsi="Arial" w:cs="Arial"/>
          <w:szCs w:val="28"/>
          <w:lang w:val="uk-UA"/>
        </w:rPr>
        <w:t>https://www.naiau.kiev.ua/files/kafedru/kp/lectures/kp/tema_3.doc</w:t>
      </w:r>
      <w:r w:rsidR="005938AD">
        <w:rPr>
          <w:rFonts w:ascii="Arial" w:eastAsia="Calibri" w:hAnsi="Arial" w:cs="Arial"/>
          <w:szCs w:val="28"/>
          <w:lang w:val="uk-UA"/>
        </w:rPr>
        <w:fldChar w:fldCharType="end"/>
      </w:r>
      <w:r w:rsidRPr="00511005">
        <w:rPr>
          <w:rFonts w:ascii="Arial" w:eastAsia="Calibri" w:hAnsi="Arial" w:cs="Arial"/>
          <w:szCs w:val="28"/>
          <w:lang w:val="pl-PL"/>
        </w:rPr>
        <w:t xml:space="preserve"> </w:t>
      </w:r>
    </w:p>
    <w:p w14:paraId="704BAAA1" w14:textId="56EB5345" w:rsidR="00200E87" w:rsidRPr="00511005" w:rsidRDefault="00200E87" w:rsidP="003F6A5D">
      <w:pPr>
        <w:numPr>
          <w:ilvl w:val="0"/>
          <w:numId w:val="539"/>
        </w:numPr>
        <w:spacing w:line="264" w:lineRule="auto"/>
        <w:contextualSpacing/>
        <w:jc w:val="left"/>
        <w:rPr>
          <w:rFonts w:ascii="Arial" w:eastAsia="Calibri" w:hAnsi="Arial" w:cs="Arial"/>
          <w:b/>
          <w:szCs w:val="28"/>
          <w:lang w:val="uk-UA"/>
        </w:rPr>
      </w:pPr>
      <w:r w:rsidRPr="00511005">
        <w:rPr>
          <w:rFonts w:ascii="Arial" w:eastAsia="Calibri" w:hAnsi="Arial" w:cs="Arial"/>
          <w:szCs w:val="28"/>
        </w:rPr>
        <w:t>Загальна декларація прав людини від 10.12.1948 №</w:t>
      </w:r>
      <w:r w:rsidR="007B2628" w:rsidRPr="00511005">
        <w:rPr>
          <w:rFonts w:ascii="Arial" w:eastAsia="Calibri" w:hAnsi="Arial" w:cs="Arial"/>
          <w:szCs w:val="28"/>
        </w:rPr>
        <w:t xml:space="preserve"> </w:t>
      </w:r>
      <w:r w:rsidRPr="00511005">
        <w:rPr>
          <w:rFonts w:ascii="Arial" w:eastAsia="Calibri" w:hAnsi="Arial" w:cs="Arial"/>
          <w:szCs w:val="28"/>
        </w:rPr>
        <w:t xml:space="preserve">995-015. Голос України. 2008. № 236. </w:t>
      </w:r>
      <w:r w:rsidRPr="00511005">
        <w:rPr>
          <w:rFonts w:ascii="Arial" w:eastAsia="Calibri" w:hAnsi="Arial" w:cs="Arial"/>
          <w:szCs w:val="28"/>
          <w:lang w:val="en-US"/>
        </w:rPr>
        <w:t>URL</w:t>
      </w:r>
      <w:r w:rsidRPr="00511005">
        <w:rPr>
          <w:rFonts w:ascii="Arial" w:eastAsia="Calibri" w:hAnsi="Arial" w:cs="Arial"/>
          <w:szCs w:val="28"/>
        </w:rPr>
        <w:t xml:space="preserve">: </w:t>
      </w:r>
      <w:hyperlink r:id="rId1889" w:anchor="Text"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zakon</w:t>
        </w:r>
        <w:r w:rsidRPr="00511005">
          <w:rPr>
            <w:rFonts w:ascii="Arial" w:eastAsia="Calibri" w:hAnsi="Arial" w:cs="Arial"/>
            <w:szCs w:val="28"/>
          </w:rPr>
          <w:t>.</w:t>
        </w:r>
        <w:r w:rsidRPr="00511005">
          <w:rPr>
            <w:rFonts w:ascii="Arial" w:eastAsia="Calibri" w:hAnsi="Arial" w:cs="Arial"/>
            <w:szCs w:val="28"/>
            <w:lang w:val="en-US"/>
          </w:rPr>
          <w:t>rada</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laws</w:t>
        </w:r>
        <w:r w:rsidRPr="00511005">
          <w:rPr>
            <w:rFonts w:ascii="Arial" w:eastAsia="Calibri" w:hAnsi="Arial" w:cs="Arial"/>
            <w:szCs w:val="28"/>
          </w:rPr>
          <w:t>/</w:t>
        </w:r>
        <w:r w:rsidRPr="00511005">
          <w:rPr>
            <w:rFonts w:ascii="Arial" w:eastAsia="Calibri" w:hAnsi="Arial" w:cs="Arial"/>
            <w:szCs w:val="28"/>
            <w:lang w:val="en-US"/>
          </w:rPr>
          <w:t>show</w:t>
        </w:r>
        <w:r w:rsidRPr="00511005">
          <w:rPr>
            <w:rFonts w:ascii="Arial" w:eastAsia="Calibri" w:hAnsi="Arial" w:cs="Arial"/>
            <w:szCs w:val="28"/>
          </w:rPr>
          <w:t>/995_015#</w:t>
        </w:r>
        <w:r w:rsidRPr="00511005">
          <w:rPr>
            <w:rFonts w:ascii="Arial" w:eastAsia="Calibri" w:hAnsi="Arial" w:cs="Arial"/>
            <w:szCs w:val="28"/>
            <w:lang w:val="en-US"/>
          </w:rPr>
          <w:t>Text</w:t>
        </w:r>
      </w:hyperlink>
      <w:r w:rsidRPr="00511005">
        <w:rPr>
          <w:rFonts w:ascii="Arial" w:eastAsia="Calibri" w:hAnsi="Arial" w:cs="Arial"/>
          <w:szCs w:val="28"/>
        </w:rPr>
        <w:t xml:space="preserve"> </w:t>
      </w:r>
    </w:p>
    <w:p w14:paraId="528E79E7" w14:textId="77777777" w:rsidR="007B2628" w:rsidRPr="00511005" w:rsidRDefault="00200E87" w:rsidP="003F6A5D">
      <w:pPr>
        <w:numPr>
          <w:ilvl w:val="0"/>
          <w:numId w:val="539"/>
        </w:numPr>
        <w:spacing w:line="264" w:lineRule="auto"/>
        <w:contextualSpacing/>
        <w:jc w:val="left"/>
        <w:rPr>
          <w:rFonts w:ascii="Arial" w:eastAsia="Calibri" w:hAnsi="Arial" w:cs="Arial"/>
          <w:b/>
          <w:szCs w:val="28"/>
          <w:lang w:val="uk-UA"/>
        </w:rPr>
      </w:pPr>
      <w:r w:rsidRPr="00511005">
        <w:rPr>
          <w:rFonts w:ascii="Arial" w:eastAsia="Calibri" w:hAnsi="Arial" w:cs="Arial"/>
          <w:szCs w:val="28"/>
          <w:lang w:val="uk-UA"/>
        </w:rPr>
        <w:t xml:space="preserve">Конституція України від 28.06.1996 № 254к/96/ВР. Голос України. 1996. № 128. URL: </w:t>
      </w:r>
      <w:hyperlink r:id="rId1890" w:anchor="Text" w:history="1">
        <w:r w:rsidRPr="00511005">
          <w:rPr>
            <w:rFonts w:ascii="Arial" w:eastAsia="Calibri" w:hAnsi="Arial" w:cs="Arial"/>
            <w:szCs w:val="28"/>
            <w:lang w:val="uk-UA"/>
          </w:rPr>
          <w:t>https://zakon.rada.gov.ua/laws/show/254%D0%BA/96-%D0%B2%D1%80#Text</w:t>
        </w:r>
      </w:hyperlink>
    </w:p>
    <w:p w14:paraId="58657103" w14:textId="1C6E67BD" w:rsidR="00200E87" w:rsidRPr="00511005" w:rsidRDefault="00200E87" w:rsidP="003F6A5D">
      <w:pPr>
        <w:numPr>
          <w:ilvl w:val="0"/>
          <w:numId w:val="539"/>
        </w:numPr>
        <w:spacing w:line="264" w:lineRule="auto"/>
        <w:contextualSpacing/>
        <w:jc w:val="left"/>
        <w:rPr>
          <w:rFonts w:ascii="Arial" w:eastAsia="Calibri" w:hAnsi="Arial" w:cs="Arial"/>
          <w:b/>
          <w:szCs w:val="28"/>
          <w:lang w:val="uk-UA"/>
        </w:rPr>
      </w:pPr>
      <w:r w:rsidRPr="00511005">
        <w:rPr>
          <w:rFonts w:ascii="Arial" w:eastAsia="Calibri" w:hAnsi="Arial" w:cs="Arial"/>
          <w:szCs w:val="28"/>
          <w:lang w:val="uk-UA"/>
        </w:rPr>
        <w:t>Кримінальний кодекс України від 5.04.2001 №</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2341-III. Офіційний вісник України. 2001. №</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21. стор. 1. стаття 920. URL:https://zakon.rada.gov.ua/laws/ show/2341-14#Text</w:t>
      </w:r>
      <w:r w:rsidR="007B2628" w:rsidRPr="00511005">
        <w:rPr>
          <w:rFonts w:ascii="Arial" w:eastAsia="Calibri" w:hAnsi="Arial" w:cs="Arial"/>
          <w:szCs w:val="28"/>
          <w:lang w:val="en-US"/>
        </w:rPr>
        <w:t xml:space="preserve"> </w:t>
      </w:r>
    </w:p>
    <w:p w14:paraId="46AD65D8" w14:textId="77777777" w:rsidR="00200E87" w:rsidRPr="00511005" w:rsidRDefault="00200E87" w:rsidP="003A292D">
      <w:pPr>
        <w:spacing w:line="264" w:lineRule="auto"/>
        <w:ind w:firstLine="0"/>
        <w:rPr>
          <w:rFonts w:ascii="Arial" w:eastAsia="Calibri" w:hAnsi="Arial" w:cs="Arial"/>
          <w:b/>
          <w:szCs w:val="28"/>
          <w:lang w:val="uk-UA"/>
        </w:rPr>
      </w:pPr>
    </w:p>
    <w:p w14:paraId="0528DC93" w14:textId="2AF60054"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00E87" w:rsidRPr="00511005">
        <w:rPr>
          <w:rFonts w:ascii="Arial" w:eastAsia="Calibri" w:hAnsi="Arial" w:cs="Arial"/>
          <w:szCs w:val="28"/>
          <w:lang w:val="uk-UA"/>
        </w:rPr>
        <w:t>кримінальні правопорушення, суб</w:t>
      </w:r>
      <w:r w:rsidR="00200E87" w:rsidRPr="00511005">
        <w:rPr>
          <w:rFonts w:ascii="Arial" w:eastAsia="Calibri" w:hAnsi="Arial" w:cs="Arial"/>
          <w:szCs w:val="28"/>
        </w:rPr>
        <w:t>’</w:t>
      </w:r>
      <w:r w:rsidR="00200E87" w:rsidRPr="00511005">
        <w:rPr>
          <w:rFonts w:ascii="Arial" w:eastAsia="Calibri" w:hAnsi="Arial" w:cs="Arial"/>
          <w:szCs w:val="28"/>
          <w:lang w:val="uk-UA"/>
        </w:rPr>
        <w:t>єкт,</w:t>
      </w:r>
      <w:r w:rsidRPr="00511005">
        <w:rPr>
          <w:rFonts w:ascii="Arial" w:eastAsia="Calibri" w:hAnsi="Arial" w:cs="Arial"/>
          <w:szCs w:val="28"/>
          <w:lang w:val="uk-UA"/>
        </w:rPr>
        <w:t xml:space="preserve"> </w:t>
      </w:r>
      <w:r w:rsidR="00200E87" w:rsidRPr="00511005">
        <w:rPr>
          <w:rFonts w:ascii="Arial" w:eastAsia="Calibri" w:hAnsi="Arial" w:cs="Arial"/>
          <w:szCs w:val="28"/>
          <w:lang w:val="uk-UA"/>
        </w:rPr>
        <w:t xml:space="preserve">охорона, життя особи, захист, кримінальна відповідальність. </w:t>
      </w:r>
    </w:p>
    <w:p w14:paraId="0BA2A35C" w14:textId="0B8F7231"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shd w:val="clear" w:color="auto" w:fill="F7F7F7"/>
          <w:lang w:val="uk-UA"/>
        </w:rPr>
        <w:t xml:space="preserve">Key words: </w:t>
      </w:r>
      <w:r w:rsidR="00200E87" w:rsidRPr="00511005">
        <w:rPr>
          <w:rFonts w:ascii="Arial" w:eastAsia="Calibri" w:hAnsi="Arial" w:cs="Arial"/>
          <w:szCs w:val="28"/>
          <w:shd w:val="clear" w:color="auto" w:fill="F7F7F7"/>
          <w:lang w:val="uk-UA"/>
        </w:rPr>
        <w:t>criminal offenses, subject, protection, life of a person, defense, criminal liability.</w:t>
      </w:r>
    </w:p>
    <w:p w14:paraId="7961BD7C" w14:textId="77777777" w:rsidR="00200E87" w:rsidRPr="00511005" w:rsidRDefault="00200E87" w:rsidP="003A292D">
      <w:pPr>
        <w:spacing w:line="264" w:lineRule="auto"/>
        <w:ind w:firstLine="0"/>
        <w:contextualSpacing/>
        <w:rPr>
          <w:rFonts w:ascii="Arial" w:eastAsia="Calibri" w:hAnsi="Arial" w:cs="Arial"/>
          <w:szCs w:val="28"/>
          <w:lang w:val="en-US"/>
        </w:rPr>
      </w:pPr>
    </w:p>
    <w:p w14:paraId="35AF3FAC" w14:textId="59ECF209" w:rsidR="00200E87" w:rsidRPr="00511005" w:rsidRDefault="007B2628" w:rsidP="003A292D">
      <w:pPr>
        <w:spacing w:line="264" w:lineRule="auto"/>
        <w:ind w:firstLine="0"/>
        <w:contextualSpacing/>
        <w:rPr>
          <w:rFonts w:ascii="Arial" w:eastAsia="Calibri" w:hAnsi="Arial" w:cs="Arial"/>
          <w:i/>
          <w:szCs w:val="28"/>
        </w:rPr>
      </w:pPr>
      <w:r w:rsidRPr="00511005">
        <w:rPr>
          <w:rFonts w:ascii="Arial" w:eastAsia="Calibri" w:hAnsi="Arial" w:cs="Arial"/>
          <w:b/>
          <w:i/>
          <w:szCs w:val="28"/>
        </w:rPr>
        <w:t xml:space="preserve">Науковий керівник: </w:t>
      </w:r>
      <w:r w:rsidR="00200E87" w:rsidRPr="00511005">
        <w:rPr>
          <w:rFonts w:ascii="Arial" w:eastAsia="Calibri" w:hAnsi="Arial" w:cs="Arial"/>
          <w:i/>
          <w:szCs w:val="28"/>
        </w:rPr>
        <w:t>асистент кафедри Павлова О.С.</w:t>
      </w:r>
    </w:p>
    <w:p w14:paraId="1F2A8C9E" w14:textId="77777777" w:rsidR="00200E87" w:rsidRPr="00511005" w:rsidRDefault="00200E87" w:rsidP="003A292D">
      <w:pPr>
        <w:spacing w:line="264" w:lineRule="auto"/>
        <w:ind w:firstLine="0"/>
        <w:contextualSpacing/>
        <w:rPr>
          <w:rFonts w:ascii="Arial" w:eastAsia="Calibri" w:hAnsi="Arial" w:cs="Arial"/>
          <w:szCs w:val="28"/>
        </w:rPr>
      </w:pPr>
    </w:p>
    <w:p w14:paraId="07E5D9CE" w14:textId="77777777" w:rsidR="00200E87" w:rsidRPr="00511005" w:rsidRDefault="00200E87" w:rsidP="003A292D">
      <w:pPr>
        <w:spacing w:line="264" w:lineRule="auto"/>
        <w:ind w:firstLine="0"/>
        <w:jc w:val="center"/>
        <w:rPr>
          <w:rFonts w:ascii="Arial" w:eastAsia="Calibri" w:hAnsi="Arial" w:cs="Arial"/>
          <w:szCs w:val="28"/>
          <w:lang w:val="uk-UA"/>
        </w:rPr>
      </w:pPr>
    </w:p>
    <w:p w14:paraId="17E16032"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b/>
          <w:i/>
          <w:szCs w:val="28"/>
          <w:lang w:val="uk-UA" w:eastAsia="ru-RU" w:bidi="uk-UA"/>
        </w:rPr>
      </w:pPr>
      <w:r w:rsidRPr="00511005">
        <w:rPr>
          <w:rFonts w:ascii="Arial" w:eastAsia="Times New Roman" w:hAnsi="Arial" w:cs="Arial"/>
          <w:b/>
          <w:i/>
          <w:szCs w:val="28"/>
          <w:lang w:val="uk-UA" w:eastAsia="ru-RU" w:bidi="uk-UA"/>
        </w:rPr>
        <w:t xml:space="preserve">Скрипніченко Валерія Євгенівна </w:t>
      </w:r>
    </w:p>
    <w:p w14:paraId="0E0F7C2A" w14:textId="3FCF4165"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031B2257"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301173B"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3E8FCE7"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szCs w:val="28"/>
          <w:lang w:val="uk-UA" w:eastAsia="ru-RU" w:bidi="uk-UA"/>
        </w:rPr>
      </w:pPr>
    </w:p>
    <w:p w14:paraId="6C3AEAF4"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eastAsia="ru-RU" w:bidi="uk-UA"/>
        </w:rPr>
      </w:pPr>
      <w:r w:rsidRPr="00511005">
        <w:rPr>
          <w:rFonts w:ascii="Arial" w:eastAsia="Times New Roman" w:hAnsi="Arial" w:cs="Arial"/>
          <w:b/>
          <w:szCs w:val="28"/>
          <w:lang w:eastAsia="ru-RU" w:bidi="uk-UA"/>
        </w:rPr>
        <w:t>ОСОБЛИВОСТІ СУСПІЛЬНО НЕБЕЗПЕЧНИХ ДІЯНЬ В УМОВАХ ВОЄННОГО СТАНУ</w:t>
      </w:r>
    </w:p>
    <w:p w14:paraId="2B5485F5"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eastAsia="ru-RU" w:bidi="uk-UA"/>
        </w:rPr>
      </w:pPr>
    </w:p>
    <w:p w14:paraId="64A3D075"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eastAsia="ru-RU" w:bidi="uk-UA"/>
        </w:rPr>
      </w:pPr>
      <w:r w:rsidRPr="00511005">
        <w:rPr>
          <w:rFonts w:ascii="Arial" w:eastAsia="Times New Roman" w:hAnsi="Arial" w:cs="Arial"/>
          <w:szCs w:val="28"/>
          <w:lang w:eastAsia="ru-RU" w:bidi="uk-UA"/>
        </w:rPr>
        <w:t>Особливості суспільно небезпечних діянь в умовах воєнного стану є важливою темою в контексті кримінального права та правового регулювання в Україні. Війна, або навіть тимчасове введення воєнного стану, змінює багато аспектів правової системи та визначення того, що можна вважати суспільно небезпечним діянням. Воєнний стан передбачає особливі умови для функціонування держави, у тому числі в частині кримінального правопорушення, покарання та забезпечення національної безпеки.</w:t>
      </w:r>
    </w:p>
    <w:p w14:paraId="7B810B24"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eastAsia="ru-RU" w:bidi="uk-UA"/>
        </w:rPr>
      </w:pPr>
      <w:r w:rsidRPr="00511005">
        <w:rPr>
          <w:rFonts w:ascii="Arial" w:eastAsia="Times New Roman" w:hAnsi="Arial" w:cs="Arial"/>
          <w:szCs w:val="28"/>
          <w:lang w:eastAsia="ru-RU" w:bidi="uk-UA"/>
        </w:rPr>
        <w:lastRenderedPageBreak/>
        <w:t>Однією з ключових особливостей є те, що в умовах воєнного стану зростає ступінь соціальної небезпеки діянь, які у мирний час могли б не мати такої важливості. Воєнний стан передбачає зміну критеріїв суспільної небезпеки, оскільки багато правопорушень, які в нормальних умовах можна вважати менш тяжкими або навіть адміністративними правопорушеннями, під час війни можуть бути кваліфіковані як кримінальні. Внаслідок цього до кримінальної відповідальності можуть притягуватися особи, які в умовах мирного часу залишалися б поза межами правопорушень, таких як, наприклад, порушення обмежень, встановлених для нормальної життєдіяльності населення у воєнний період (наприклад, відсутність необхідних документів під час комендантської години) [2].</w:t>
      </w:r>
    </w:p>
    <w:p w14:paraId="209560D6"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eastAsia="ru-RU" w:bidi="uk-UA"/>
        </w:rPr>
      </w:pPr>
      <w:r w:rsidRPr="00511005">
        <w:rPr>
          <w:rFonts w:ascii="Arial" w:eastAsia="Times New Roman" w:hAnsi="Arial" w:cs="Arial"/>
          <w:szCs w:val="28"/>
          <w:lang w:eastAsia="ru-RU" w:bidi="uk-UA"/>
        </w:rPr>
        <w:t>Законодавчі зміни, запроваджені під час воєнного стану, часто передбачають посилення відповідальності за певні правопорушення, що безпосередньо пов'язані з війною та безпекою країни. Наприклад, однією з основних категорій суспільно небезпечних діянь є ті, що сприяють розповсюдженню дезінформації або підриву морального духу населення. Це можуть бути різноманітні види пропаганди, що пов'язуються з державними та міжнародними інтересами країни під час військових дій. Війна може вивести на перший план нові види правопорушень, зокрема ті, які відображають вплив на моральний стан нації, що включають поширення фейкових новин, зневажання національними символами та інші дії, які мають за мету послабити національну єдність.</w:t>
      </w:r>
    </w:p>
    <w:p w14:paraId="1DB0B5DB" w14:textId="67BAD11D"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iCs/>
          <w:szCs w:val="28"/>
          <w:lang w:eastAsia="ru-RU" w:bidi="uk-UA"/>
        </w:rPr>
      </w:pPr>
      <w:r w:rsidRPr="00511005">
        <w:rPr>
          <w:rFonts w:ascii="Arial" w:eastAsia="Times New Roman" w:hAnsi="Arial" w:cs="Arial"/>
          <w:iCs/>
          <w:szCs w:val="28"/>
          <w:lang w:val="uk-UA" w:eastAsia="ru-RU" w:bidi="uk-UA"/>
        </w:rPr>
        <w:t xml:space="preserve">У період воєнного стану зросла кількість випадків </w:t>
      </w:r>
      <w:r w:rsidRPr="00511005">
        <w:rPr>
          <w:rFonts w:ascii="Arial" w:eastAsia="Times New Roman" w:hAnsi="Arial" w:cs="Arial"/>
          <w:bCs/>
          <w:iCs/>
          <w:szCs w:val="28"/>
          <w:lang w:val="uk-UA" w:eastAsia="ru-RU" w:bidi="uk-UA"/>
        </w:rPr>
        <w:t>інтернет-шахрайства</w:t>
      </w:r>
      <w:r w:rsidRPr="00511005">
        <w:rPr>
          <w:rFonts w:ascii="Arial" w:eastAsia="Times New Roman" w:hAnsi="Arial" w:cs="Arial"/>
          <w:iCs/>
          <w:szCs w:val="28"/>
          <w:lang w:val="uk-UA" w:eastAsia="ru-RU" w:bidi="uk-UA"/>
        </w:rPr>
        <w:t xml:space="preserve">, коли злочинці видають себе за представників благодійних фондів, волонтерських організацій або військових підрозділів з метою збору коштів на потреби ЗСУ, але насправді привласнюють гроші собі. Схема таких протиправних діянь доволі проста: особа створює фейкову сторінку в соціальних мережах, використовуючи фото справжніх бійців, і через банківські реквізити збирає "донати" нібито на дрон для ЗСУ. Після надходження коштів сторінка видаляється. </w:t>
      </w:r>
      <w:r w:rsidRPr="00511005">
        <w:rPr>
          <w:rFonts w:ascii="Arial" w:eastAsia="Times New Roman" w:hAnsi="Arial" w:cs="Arial"/>
          <w:bCs/>
          <w:iCs/>
          <w:szCs w:val="28"/>
          <w:lang w:val="uk-UA" w:eastAsia="ru-RU" w:bidi="uk-UA"/>
        </w:rPr>
        <w:t>Кваліфікувати такі дії варто за</w:t>
      </w:r>
      <w:r w:rsidR="007B2628" w:rsidRPr="00511005">
        <w:rPr>
          <w:rFonts w:ascii="Arial" w:eastAsia="Times New Roman" w:hAnsi="Arial" w:cs="Arial"/>
          <w:bCs/>
          <w:iCs/>
          <w:szCs w:val="28"/>
          <w:lang w:val="uk-UA" w:eastAsia="ru-RU" w:bidi="uk-UA"/>
        </w:rPr>
        <w:t xml:space="preserve"> </w:t>
      </w:r>
      <w:r w:rsidRPr="00511005">
        <w:rPr>
          <w:rFonts w:ascii="Arial" w:eastAsia="Times New Roman" w:hAnsi="Arial" w:cs="Arial"/>
          <w:iCs/>
          <w:szCs w:val="28"/>
          <w:lang w:eastAsia="ru-RU" w:bidi="uk-UA"/>
        </w:rPr>
        <w:t>ч. 3 або ч. 4 ст. 190 КК України – шахрайство, вчинене в умовах воєнного стану або в особливо великих розмірах</w:t>
      </w:r>
      <w:r w:rsidRPr="00511005">
        <w:rPr>
          <w:rFonts w:ascii="Arial" w:eastAsia="Times New Roman" w:hAnsi="Arial" w:cs="Arial"/>
          <w:iCs/>
          <w:szCs w:val="28"/>
          <w:lang w:val="uk-UA" w:eastAsia="ru-RU" w:bidi="uk-UA"/>
        </w:rPr>
        <w:t xml:space="preserve"> (залежно від розміру шкоди)</w:t>
      </w:r>
      <w:r w:rsidRPr="00511005">
        <w:rPr>
          <w:rFonts w:ascii="Arial" w:eastAsia="Times New Roman" w:hAnsi="Arial" w:cs="Arial"/>
          <w:iCs/>
          <w:szCs w:val="28"/>
          <w:lang w:eastAsia="ru-RU" w:bidi="uk-UA"/>
        </w:rPr>
        <w:t>.</w:t>
      </w:r>
    </w:p>
    <w:p w14:paraId="1F3D4A4F"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iCs/>
          <w:szCs w:val="28"/>
          <w:shd w:val="clear" w:color="auto" w:fill="E6E6E6"/>
          <w:lang w:val="uk-UA" w:eastAsia="ru-RU"/>
        </w:rPr>
      </w:pPr>
      <w:r w:rsidRPr="00511005">
        <w:rPr>
          <w:rFonts w:ascii="Arial" w:eastAsia="Times New Roman" w:hAnsi="Arial" w:cs="Arial"/>
          <w:iCs/>
          <w:szCs w:val="28"/>
          <w:lang w:val="uk-UA" w:eastAsia="ru-RU" w:bidi="uk-UA"/>
        </w:rPr>
        <w:t>Іншим прикладом може слугувати в</w:t>
      </w:r>
      <w:r w:rsidRPr="00511005">
        <w:rPr>
          <w:rFonts w:ascii="Arial" w:eastAsia="Times New Roman" w:hAnsi="Arial" w:cs="Arial"/>
          <w:iCs/>
          <w:szCs w:val="28"/>
          <w:lang w:eastAsia="ru-RU" w:bidi="uk-UA"/>
        </w:rPr>
        <w:t xml:space="preserve">ербування </w:t>
      </w:r>
      <w:r w:rsidRPr="00511005">
        <w:rPr>
          <w:rFonts w:ascii="Arial" w:eastAsia="Times New Roman" w:hAnsi="Arial" w:cs="Arial"/>
          <w:iCs/>
          <w:szCs w:val="28"/>
          <w:lang w:val="uk-UA" w:eastAsia="ru-RU" w:bidi="uk-UA"/>
        </w:rPr>
        <w:t xml:space="preserve">української </w:t>
      </w:r>
      <w:r w:rsidRPr="00511005">
        <w:rPr>
          <w:rFonts w:ascii="Arial" w:eastAsia="Times New Roman" w:hAnsi="Arial" w:cs="Arial"/>
          <w:iCs/>
          <w:szCs w:val="28"/>
          <w:lang w:eastAsia="ru-RU" w:bidi="uk-UA"/>
        </w:rPr>
        <w:t xml:space="preserve">молоді спецслужбами </w:t>
      </w:r>
      <w:r w:rsidRPr="00511005">
        <w:rPr>
          <w:rFonts w:ascii="Arial" w:eastAsia="Times New Roman" w:hAnsi="Arial" w:cs="Arial"/>
          <w:iCs/>
          <w:szCs w:val="28"/>
          <w:lang w:val="uk-UA" w:eastAsia="ru-RU" w:bidi="uk-UA"/>
        </w:rPr>
        <w:t xml:space="preserve">рф </w:t>
      </w:r>
      <w:r w:rsidRPr="00511005">
        <w:rPr>
          <w:rFonts w:ascii="Arial" w:eastAsia="Times New Roman" w:hAnsi="Arial" w:cs="Arial"/>
          <w:iCs/>
          <w:szCs w:val="28"/>
          <w:lang w:eastAsia="ru-RU" w:bidi="uk-UA"/>
        </w:rPr>
        <w:t xml:space="preserve">для </w:t>
      </w:r>
      <w:r w:rsidRPr="00511005">
        <w:rPr>
          <w:rFonts w:ascii="Arial" w:eastAsia="Times New Roman" w:hAnsi="Arial" w:cs="Arial"/>
          <w:iCs/>
          <w:szCs w:val="28"/>
          <w:lang w:val="uk-UA" w:eastAsia="ru-RU" w:bidi="uk-UA"/>
        </w:rPr>
        <w:t xml:space="preserve">здійснення </w:t>
      </w:r>
      <w:r w:rsidRPr="00511005">
        <w:rPr>
          <w:rFonts w:ascii="Arial" w:eastAsia="Times New Roman" w:hAnsi="Arial" w:cs="Arial"/>
          <w:iCs/>
          <w:szCs w:val="28"/>
          <w:lang w:eastAsia="ru-RU" w:bidi="uk-UA"/>
        </w:rPr>
        <w:t>диверсій</w:t>
      </w:r>
      <w:r w:rsidRPr="00511005">
        <w:rPr>
          <w:rFonts w:ascii="Arial" w:eastAsia="Times New Roman" w:hAnsi="Arial" w:cs="Arial"/>
          <w:iCs/>
          <w:szCs w:val="28"/>
          <w:lang w:val="uk-UA" w:eastAsia="ru-RU" w:bidi="uk-UA"/>
        </w:rPr>
        <w:t>.</w:t>
      </w:r>
      <w:r w:rsidRPr="00511005">
        <w:rPr>
          <w:rFonts w:ascii="Arial" w:eastAsia="Times New Roman" w:hAnsi="Arial" w:cs="Arial"/>
          <w:bCs/>
          <w:iCs/>
          <w:szCs w:val="28"/>
          <w:bdr w:val="none" w:sz="0" w:space="0" w:color="auto" w:frame="1"/>
          <w:lang w:val="uk-UA" w:eastAsia="uk-UA"/>
        </w:rPr>
        <w:t xml:space="preserve"> Так, н</w:t>
      </w:r>
      <w:r w:rsidRPr="00511005">
        <w:rPr>
          <w:rFonts w:ascii="Arial" w:eastAsia="Times New Roman" w:hAnsi="Arial" w:cs="Arial"/>
          <w:bCs/>
          <w:iCs/>
          <w:szCs w:val="28"/>
          <w:lang w:val="uk-UA" w:eastAsia="ru-RU" w:bidi="uk-UA"/>
        </w:rPr>
        <w:t>еповнолітній житель Миколаївщини підпалював трансформаторні підстанції за завданням росіян і отримував гроші.</w:t>
      </w:r>
      <w:r w:rsidRPr="00511005">
        <w:rPr>
          <w:rFonts w:ascii="Arial" w:eastAsia="Times New Roman" w:hAnsi="Arial" w:cs="Arial"/>
          <w:iCs/>
          <w:szCs w:val="28"/>
          <w:lang w:val="uk-UA" w:eastAsia="ru-RU" w:bidi="uk-UA"/>
        </w:rPr>
        <w:t xml:space="preserve"> Суд визнав його винним, призначив п’ять років ув’язнення, але звільнив від відбування покарання з умовою компенсації завданих збитків.</w:t>
      </w:r>
    </w:p>
    <w:p w14:paraId="0D587193" w14:textId="3D867D6E"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iCs/>
          <w:szCs w:val="28"/>
          <w:lang w:eastAsia="ru-RU" w:bidi="uk-UA"/>
        </w:rPr>
      </w:pPr>
      <w:r w:rsidRPr="00511005">
        <w:rPr>
          <w:rFonts w:ascii="Arial" w:eastAsia="Times New Roman" w:hAnsi="Arial" w:cs="Arial"/>
          <w:iCs/>
          <w:szCs w:val="28"/>
          <w:lang w:val="uk-UA" w:eastAsia="ru-RU" w:bidi="uk-UA"/>
        </w:rPr>
        <w:t>Для прикладу,</w:t>
      </w:r>
      <w:r w:rsidRPr="00511005">
        <w:rPr>
          <w:rFonts w:ascii="Arial" w:eastAsia="Times New Roman" w:hAnsi="Arial" w:cs="Arial"/>
          <w:iCs/>
          <w:szCs w:val="28"/>
          <w:lang w:eastAsia="ru-RU" w:bidi="uk-UA"/>
        </w:rPr>
        <w:t xml:space="preserve"> у вересні 2024 року підліток почав спілкуватися з особою, яку не вдалося встановити, і отримав завдання підпалювати різні об’єкти за винагороду. Він погодився здійснити підпал трансформаторних підстанцій. У жовтні він запросив свою подругу для підпалу трансформатора на </w:t>
      </w:r>
      <w:r w:rsidRPr="00511005">
        <w:rPr>
          <w:rFonts w:ascii="Arial" w:eastAsia="Times New Roman" w:hAnsi="Arial" w:cs="Arial"/>
          <w:iCs/>
          <w:szCs w:val="28"/>
          <w:lang w:eastAsia="ru-RU" w:bidi="uk-UA"/>
        </w:rPr>
        <w:lastRenderedPageBreak/>
        <w:t xml:space="preserve">території Кривоозерської громади, знявши свої дії на телефон. За виконання завдання він отримав 200 USDT на електронний гаманець. Його </w:t>
      </w:r>
      <w:r w:rsidRPr="00511005">
        <w:rPr>
          <w:rFonts w:ascii="Arial" w:eastAsia="Times New Roman" w:hAnsi="Arial" w:cs="Arial"/>
          <w:iCs/>
          <w:szCs w:val="28"/>
          <w:lang w:val="uk-UA" w:eastAsia="ru-RU" w:bidi="uk-UA"/>
        </w:rPr>
        <w:t>дії кваліфіковано за</w:t>
      </w:r>
      <w:r w:rsidR="007B2628" w:rsidRPr="00511005">
        <w:rPr>
          <w:rFonts w:ascii="Arial" w:eastAsia="Times New Roman" w:hAnsi="Arial" w:cs="Arial"/>
          <w:iCs/>
          <w:szCs w:val="28"/>
          <w:lang w:val="uk-UA" w:eastAsia="ru-RU" w:bidi="uk-UA"/>
        </w:rPr>
        <w:t xml:space="preserve"> </w:t>
      </w:r>
      <w:r w:rsidRPr="00511005">
        <w:rPr>
          <w:rFonts w:ascii="Arial" w:eastAsia="Times New Roman" w:hAnsi="Arial" w:cs="Arial"/>
          <w:bCs/>
          <w:iCs/>
          <w:szCs w:val="28"/>
          <w:lang w:eastAsia="ru-RU" w:bidi="uk-UA"/>
        </w:rPr>
        <w:t>ч.2 ст.113 КК України</w:t>
      </w:r>
      <w:r w:rsidRPr="00511005">
        <w:rPr>
          <w:rFonts w:ascii="Arial" w:eastAsia="Times New Roman" w:hAnsi="Arial" w:cs="Arial"/>
          <w:bCs/>
          <w:iCs/>
          <w:szCs w:val="28"/>
          <w:lang w:val="uk-UA" w:eastAsia="ru-RU" w:bidi="uk-UA"/>
        </w:rPr>
        <w:t xml:space="preserve"> (диверсія вчинена в умовах воєнного стану) </w:t>
      </w:r>
      <w:r w:rsidRPr="00511005">
        <w:rPr>
          <w:rFonts w:ascii="Arial" w:eastAsia="Times New Roman" w:hAnsi="Arial" w:cs="Arial"/>
          <w:iCs/>
          <w:szCs w:val="28"/>
          <w:lang w:eastAsia="ru-RU" w:bidi="uk-UA"/>
        </w:rPr>
        <w:t>[4].</w:t>
      </w:r>
    </w:p>
    <w:p w14:paraId="1509C2B6"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iCs/>
          <w:szCs w:val="28"/>
          <w:lang w:val="uk-UA" w:eastAsia="ru-RU" w:bidi="uk-UA"/>
        </w:rPr>
      </w:pPr>
      <w:r w:rsidRPr="00511005">
        <w:rPr>
          <w:rFonts w:ascii="Arial" w:eastAsia="Times New Roman" w:hAnsi="Arial" w:cs="Arial"/>
          <w:iCs/>
          <w:szCs w:val="28"/>
          <w:lang w:val="uk-UA" w:eastAsia="ru-RU" w:bidi="uk-UA"/>
        </w:rPr>
        <w:t>Поширеним явищем під час війни стало</w:t>
      </w:r>
      <w:r w:rsidRPr="00511005">
        <w:rPr>
          <w:rFonts w:ascii="Arial" w:eastAsia="Times New Roman" w:hAnsi="Arial" w:cs="Arial"/>
          <w:iCs/>
          <w:szCs w:val="28"/>
          <w:lang w:eastAsia="ru-RU"/>
        </w:rPr>
        <w:t xml:space="preserve"> </w:t>
      </w:r>
      <w:r w:rsidRPr="00511005">
        <w:rPr>
          <w:rFonts w:ascii="Arial" w:eastAsia="Times New Roman" w:hAnsi="Arial" w:cs="Arial"/>
          <w:iCs/>
          <w:szCs w:val="28"/>
          <w:lang w:val="uk-UA" w:eastAsia="ru-RU" w:bidi="uk-UA"/>
        </w:rPr>
        <w:t>п</w:t>
      </w:r>
      <w:r w:rsidRPr="00511005">
        <w:rPr>
          <w:rFonts w:ascii="Arial" w:eastAsia="Times New Roman" w:hAnsi="Arial" w:cs="Arial"/>
          <w:iCs/>
          <w:szCs w:val="28"/>
          <w:lang w:eastAsia="ru-RU" w:bidi="uk-UA"/>
        </w:rPr>
        <w:t>оширення фейкової інформації про ЗСУ</w:t>
      </w:r>
      <w:r w:rsidRPr="00511005">
        <w:rPr>
          <w:rFonts w:ascii="Arial" w:eastAsia="Times New Roman" w:hAnsi="Arial" w:cs="Arial"/>
          <w:iCs/>
          <w:szCs w:val="28"/>
          <w:lang w:val="uk-UA" w:eastAsia="ru-RU" w:bidi="uk-UA"/>
        </w:rPr>
        <w:t xml:space="preserve">. У соцмережах активно розповсюджується </w:t>
      </w:r>
      <w:r w:rsidRPr="00511005">
        <w:rPr>
          <w:rFonts w:ascii="Arial" w:eastAsia="Times New Roman" w:hAnsi="Arial" w:cs="Arial"/>
          <w:bCs/>
          <w:iCs/>
          <w:szCs w:val="28"/>
          <w:lang w:val="uk-UA" w:eastAsia="ru-RU" w:bidi="uk-UA"/>
        </w:rPr>
        <w:t>дезінформація</w:t>
      </w:r>
      <w:r w:rsidRPr="00511005">
        <w:rPr>
          <w:rFonts w:ascii="Arial" w:eastAsia="Times New Roman" w:hAnsi="Arial" w:cs="Arial"/>
          <w:iCs/>
          <w:szCs w:val="28"/>
          <w:lang w:val="uk-UA" w:eastAsia="ru-RU" w:bidi="uk-UA"/>
        </w:rPr>
        <w:t xml:space="preserve"> щодо діяльності ЗСУ, заклики до припинення спротиву, що може деморалізувати суспільство. Особливо багато таких повідомлень було на початку повномасштабного вторгнення для деморалізації українського суспільства та зменшення супротиву російській окупації. Такі дії як правило кваліфікуються за</w:t>
      </w:r>
      <w:r w:rsidRPr="00511005">
        <w:rPr>
          <w:rFonts w:ascii="Arial" w:eastAsia="Times New Roman" w:hAnsi="Arial" w:cs="Arial"/>
          <w:bCs/>
          <w:iCs/>
          <w:szCs w:val="28"/>
          <w:lang w:val="uk-UA" w:eastAsia="ru-RU" w:bidi="uk-UA"/>
        </w:rPr>
        <w:t xml:space="preserve"> ст. 436-2 КК України – виправдовування збройної агресії, заперечення її або поширення фейків щодо ЗСУ.</w:t>
      </w:r>
    </w:p>
    <w:p w14:paraId="327F7D56"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eastAsia="ru-RU" w:bidi="uk-UA"/>
        </w:rPr>
      </w:pPr>
      <w:r w:rsidRPr="00511005">
        <w:rPr>
          <w:rFonts w:ascii="Arial" w:eastAsia="Times New Roman" w:hAnsi="Arial" w:cs="Arial"/>
          <w:szCs w:val="28"/>
          <w:lang w:val="uk-UA" w:eastAsia="ru-RU" w:bidi="uk-UA"/>
        </w:rPr>
        <w:t xml:space="preserve">Потрібно зазначити, що в умовах воєнного стану часто відбувається посилення кримінальної відповідальності, як за особливо тяжкі злочини, так і за ті, що безпосередньо загрожують національній безпеці. Правопорушення, пов'язані з крадіжками, саботажем та іншими порушеннями, які здатні вплинути на стабільність країни в умовах війни, підлягають жорсткішому покаранню. </w:t>
      </w:r>
      <w:r w:rsidRPr="00511005">
        <w:rPr>
          <w:rFonts w:ascii="Arial" w:eastAsia="Times New Roman" w:hAnsi="Arial" w:cs="Arial"/>
          <w:szCs w:val="28"/>
          <w:lang w:eastAsia="ru-RU" w:bidi="uk-UA"/>
        </w:rPr>
        <w:t>Встановлення нових видів кримінальних санкцій є важливим елементом боротьби з військовими злочинами та захистом цивільного населення від загроз під час воєнного стану [3].</w:t>
      </w:r>
    </w:p>
    <w:p w14:paraId="5FF80F14"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eastAsia="ru-RU" w:bidi="uk-UA"/>
        </w:rPr>
      </w:pPr>
      <w:r w:rsidRPr="00511005">
        <w:rPr>
          <w:rFonts w:ascii="Arial" w:eastAsia="Times New Roman" w:hAnsi="Arial" w:cs="Arial"/>
          <w:szCs w:val="28"/>
          <w:lang w:eastAsia="ru-RU" w:bidi="uk-UA"/>
        </w:rPr>
        <w:t>Ще однією важливою особливістю є зміна підходів до доказування в умовах воєнного стану. Через значне ускладнення доступу до свідчень, документів і фізичних доказів, судова практика може застосовувати інші методи збору доказів, такі як покази, зафіксовані на відео, а також інші новітні технології. Це дозволяє оперативніше і ефективніше з’ясовувати факти та притягувати до відповідальності осіб, що порушують закон у часи війни.</w:t>
      </w:r>
    </w:p>
    <w:p w14:paraId="4A674D01" w14:textId="77777777" w:rsidR="00200E87" w:rsidRPr="00511005" w:rsidRDefault="00200E87" w:rsidP="003A292D">
      <w:pPr>
        <w:widowControl w:val="0"/>
        <w:tabs>
          <w:tab w:val="left" w:pos="7088"/>
        </w:tabs>
        <w:autoSpaceDE w:val="0"/>
        <w:autoSpaceDN w:val="0"/>
        <w:adjustRightInd w:val="0"/>
        <w:spacing w:line="264" w:lineRule="auto"/>
        <w:ind w:firstLine="0"/>
        <w:rPr>
          <w:rFonts w:ascii="Arial" w:eastAsia="Times New Roman" w:hAnsi="Arial" w:cs="Arial"/>
          <w:szCs w:val="28"/>
          <w:lang w:eastAsia="ru-RU" w:bidi="uk-UA"/>
        </w:rPr>
      </w:pPr>
      <w:r w:rsidRPr="00511005">
        <w:rPr>
          <w:rFonts w:ascii="Arial" w:eastAsia="Times New Roman" w:hAnsi="Arial" w:cs="Arial"/>
          <w:szCs w:val="28"/>
          <w:lang w:eastAsia="ru-RU" w:bidi="uk-UA"/>
        </w:rPr>
        <w:t>Таким чином, суспільно небезпечні діяння в умовах воєнного стану мають свої специфічні риси, що обумовлені високим ступенем загрози національній безпеці, змінами в соціальному та правовому середовищі. Зміни в законодавстві, посилення покарання та зміна критеріїв суспільної небезпеки дають змогу ефективно реагувати на нові виклики, що виникають під час військових дій. Підвищення правосвідомості населення, а також адекватні механізми кримінальної відповідальності є необхідними складовими для збереження стабільності та безпеки в країні під час воєнного стану.</w:t>
      </w:r>
    </w:p>
    <w:p w14:paraId="7801F7ED" w14:textId="77777777" w:rsidR="00200E87" w:rsidRPr="00511005" w:rsidRDefault="00200E87" w:rsidP="003A292D">
      <w:pPr>
        <w:widowControl w:val="0"/>
        <w:tabs>
          <w:tab w:val="left" w:pos="7088"/>
        </w:tabs>
        <w:autoSpaceDE w:val="0"/>
        <w:autoSpaceDN w:val="0"/>
        <w:adjustRightInd w:val="0"/>
        <w:spacing w:line="264" w:lineRule="auto"/>
        <w:ind w:firstLine="0"/>
        <w:jc w:val="center"/>
        <w:rPr>
          <w:rFonts w:ascii="Arial" w:eastAsia="Times New Roman" w:hAnsi="Arial" w:cs="Arial"/>
          <w:b/>
          <w:szCs w:val="28"/>
          <w:lang w:eastAsia="ru-RU" w:bidi="uk-UA"/>
        </w:rPr>
      </w:pPr>
    </w:p>
    <w:p w14:paraId="7E9133C2" w14:textId="0925D611" w:rsidR="00200E87" w:rsidRPr="00511005" w:rsidRDefault="007B2628" w:rsidP="007B2628">
      <w:pPr>
        <w:widowControl w:val="0"/>
        <w:tabs>
          <w:tab w:val="left" w:pos="7088"/>
        </w:tabs>
        <w:autoSpaceDE w:val="0"/>
        <w:autoSpaceDN w:val="0"/>
        <w:adjustRightInd w:val="0"/>
        <w:spacing w:line="264" w:lineRule="auto"/>
        <w:ind w:firstLine="0"/>
        <w:jc w:val="center"/>
        <w:rPr>
          <w:rFonts w:ascii="Arial" w:eastAsia="Times New Roman" w:hAnsi="Arial" w:cs="Arial"/>
          <w:b/>
          <w:szCs w:val="28"/>
          <w:lang w:eastAsia="ru-RU" w:bidi="uk-UA"/>
        </w:rPr>
      </w:pPr>
      <w:r w:rsidRPr="00511005">
        <w:rPr>
          <w:rFonts w:ascii="Arial" w:eastAsia="Times New Roman" w:hAnsi="Arial" w:cs="Arial"/>
          <w:b/>
          <w:szCs w:val="28"/>
          <w:lang w:val="uk-UA" w:eastAsia="ru-RU" w:bidi="uk-UA"/>
        </w:rPr>
        <w:t>Список використаних джерел</w:t>
      </w:r>
    </w:p>
    <w:p w14:paraId="237B92A3" w14:textId="77777777" w:rsidR="00200E87" w:rsidRPr="00511005" w:rsidRDefault="00200E87" w:rsidP="003F6A5D">
      <w:pPr>
        <w:widowControl w:val="0"/>
        <w:numPr>
          <w:ilvl w:val="0"/>
          <w:numId w:val="540"/>
        </w:numPr>
        <w:tabs>
          <w:tab w:val="left" w:pos="993"/>
          <w:tab w:val="left" w:pos="7088"/>
        </w:tabs>
        <w:autoSpaceDE w:val="0"/>
        <w:autoSpaceDN w:val="0"/>
        <w:adjustRightInd w:val="0"/>
        <w:spacing w:line="264" w:lineRule="auto"/>
        <w:contextualSpacing/>
        <w:jc w:val="left"/>
        <w:rPr>
          <w:rFonts w:ascii="Arial" w:eastAsia="Times New Roman" w:hAnsi="Arial" w:cs="Arial"/>
          <w:szCs w:val="28"/>
          <w:lang w:eastAsia="ru-RU" w:bidi="uk-UA"/>
        </w:rPr>
      </w:pPr>
      <w:r w:rsidRPr="00511005">
        <w:rPr>
          <w:rFonts w:ascii="Arial" w:eastAsia="Times New Roman" w:hAnsi="Arial" w:cs="Arial"/>
          <w:szCs w:val="28"/>
          <w:lang w:eastAsia="ru-RU" w:bidi="uk-UA"/>
        </w:rPr>
        <w:t>Вартилецька, Інна Анатоліївна, and Ольга Михайлівна Шармар. "Особливості кваліфікації кримінальних правопорушень, вчинених в умовах воєнного стану та особливого періоду." </w:t>
      </w:r>
      <w:r w:rsidRPr="00511005">
        <w:rPr>
          <w:rFonts w:ascii="Arial" w:eastAsia="Times New Roman" w:hAnsi="Arial" w:cs="Arial"/>
          <w:i/>
          <w:iCs/>
          <w:szCs w:val="28"/>
          <w:lang w:eastAsia="ru-RU" w:bidi="uk-UA"/>
        </w:rPr>
        <w:t>Вісник асоціації кримінального права України</w:t>
      </w:r>
      <w:r w:rsidRPr="00511005">
        <w:rPr>
          <w:rFonts w:ascii="Arial" w:eastAsia="Times New Roman" w:hAnsi="Arial" w:cs="Arial"/>
          <w:szCs w:val="28"/>
          <w:lang w:eastAsia="ru-RU" w:bidi="uk-UA"/>
        </w:rPr>
        <w:t> 1.15 (2021): 191-206.</w:t>
      </w:r>
      <w:r w:rsidRPr="00511005">
        <w:rPr>
          <w:rFonts w:ascii="Arial" w:eastAsia="Times New Roman" w:hAnsi="Arial" w:cs="Arial"/>
          <w:szCs w:val="28"/>
          <w:lang w:val="en-US" w:eastAsia="ru-RU" w:bidi="uk-UA"/>
        </w:rPr>
        <w:t>URL</w:t>
      </w:r>
      <w:r w:rsidRPr="00511005">
        <w:rPr>
          <w:rFonts w:ascii="Arial" w:eastAsia="Times New Roman" w:hAnsi="Arial" w:cs="Arial"/>
          <w:szCs w:val="28"/>
          <w:lang w:eastAsia="ru-RU" w:bidi="uk-UA"/>
        </w:rPr>
        <w:t xml:space="preserve">: </w:t>
      </w:r>
      <w:r w:rsidRPr="00511005">
        <w:rPr>
          <w:rFonts w:ascii="Arial" w:eastAsia="Times New Roman" w:hAnsi="Arial" w:cs="Arial"/>
          <w:szCs w:val="28"/>
          <w:lang w:eastAsia="ru-RU" w:bidi="uk-UA"/>
        </w:rPr>
        <w:lastRenderedPageBreak/>
        <w:t>http://vakp.nlu.edu.ua/article/view/233611 (</w:t>
      </w:r>
      <w:r w:rsidRPr="00511005">
        <w:rPr>
          <w:rFonts w:ascii="Arial" w:eastAsia="Times New Roman" w:hAnsi="Arial" w:cs="Arial"/>
          <w:szCs w:val="28"/>
          <w:lang w:val="uk-UA" w:eastAsia="ru-RU" w:bidi="uk-UA"/>
        </w:rPr>
        <w:t>дата звернення: 10.04.2025 року</w:t>
      </w:r>
      <w:r w:rsidRPr="00511005">
        <w:rPr>
          <w:rFonts w:ascii="Arial" w:eastAsia="Times New Roman" w:hAnsi="Arial" w:cs="Arial"/>
          <w:szCs w:val="28"/>
          <w:lang w:eastAsia="ru-RU" w:bidi="uk-UA"/>
        </w:rPr>
        <w:t>)</w:t>
      </w:r>
    </w:p>
    <w:p w14:paraId="56B5461D" w14:textId="77777777" w:rsidR="00200E87" w:rsidRPr="00511005" w:rsidRDefault="00200E87" w:rsidP="003F6A5D">
      <w:pPr>
        <w:widowControl w:val="0"/>
        <w:numPr>
          <w:ilvl w:val="0"/>
          <w:numId w:val="540"/>
        </w:numPr>
        <w:tabs>
          <w:tab w:val="left" w:pos="993"/>
          <w:tab w:val="left" w:pos="7088"/>
        </w:tabs>
        <w:autoSpaceDE w:val="0"/>
        <w:autoSpaceDN w:val="0"/>
        <w:adjustRightInd w:val="0"/>
        <w:spacing w:line="264" w:lineRule="auto"/>
        <w:contextualSpacing/>
        <w:jc w:val="left"/>
        <w:rPr>
          <w:rFonts w:ascii="Arial" w:eastAsia="Times New Roman" w:hAnsi="Arial" w:cs="Arial"/>
          <w:szCs w:val="28"/>
          <w:lang w:eastAsia="ru-RU" w:bidi="uk-UA"/>
        </w:rPr>
      </w:pPr>
      <w:r w:rsidRPr="00511005">
        <w:rPr>
          <w:rFonts w:ascii="Arial" w:eastAsia="Times New Roman" w:hAnsi="Arial" w:cs="Arial"/>
          <w:szCs w:val="28"/>
          <w:lang w:eastAsia="ru-RU" w:bidi="uk-UA"/>
        </w:rPr>
        <w:t>Баулін, Юрій Васильович. "Особливості кримінально-правового регулювання в Україні під час воєнного стану." </w:t>
      </w:r>
      <w:r w:rsidRPr="00511005">
        <w:rPr>
          <w:rFonts w:ascii="Arial" w:eastAsia="Times New Roman" w:hAnsi="Arial" w:cs="Arial"/>
          <w:i/>
          <w:iCs/>
          <w:szCs w:val="28"/>
          <w:lang w:eastAsia="ru-RU" w:bidi="uk-UA"/>
        </w:rPr>
        <w:t>Завдання кримінального права в умовах надзвичайного стану</w:t>
      </w:r>
      <w:r w:rsidRPr="00511005">
        <w:rPr>
          <w:rFonts w:ascii="Arial" w:eastAsia="Times New Roman" w:hAnsi="Arial" w:cs="Arial"/>
          <w:szCs w:val="28"/>
          <w:lang w:eastAsia="ru-RU" w:bidi="uk-UA"/>
        </w:rPr>
        <w:t> (2022): 12-15.</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bidi="uk-UA"/>
        </w:rPr>
        <w:t>URL</w:t>
      </w:r>
      <w:r w:rsidRPr="00511005">
        <w:rPr>
          <w:rFonts w:ascii="Arial" w:eastAsia="Times New Roman" w:hAnsi="Arial" w:cs="Arial"/>
          <w:szCs w:val="28"/>
          <w:lang w:eastAsia="ru-RU" w:bidi="uk-UA"/>
        </w:rPr>
        <w:t xml:space="preserve">: </w:t>
      </w:r>
      <w:hyperlink r:id="rId1891" w:history="1">
        <w:r w:rsidRPr="00511005">
          <w:rPr>
            <w:rFonts w:ascii="Arial" w:eastAsia="Times New Roman" w:hAnsi="Arial" w:cs="Arial"/>
            <w:szCs w:val="28"/>
            <w:lang w:val="en-US" w:eastAsia="ru-RU" w:bidi="uk-UA"/>
          </w:rPr>
          <w:t>https</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dspace</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onua</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edu</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ua</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server</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api</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core</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bitstreams</w:t>
        </w:r>
        <w:r w:rsidRPr="00511005">
          <w:rPr>
            <w:rFonts w:ascii="Arial" w:eastAsia="Times New Roman" w:hAnsi="Arial" w:cs="Arial"/>
            <w:szCs w:val="28"/>
            <w:lang w:eastAsia="ru-RU" w:bidi="uk-UA"/>
          </w:rPr>
          <w:t>/65</w:t>
        </w:r>
        <w:r w:rsidRPr="00511005">
          <w:rPr>
            <w:rFonts w:ascii="Arial" w:eastAsia="Times New Roman" w:hAnsi="Arial" w:cs="Arial"/>
            <w:szCs w:val="28"/>
            <w:lang w:val="en-US" w:eastAsia="ru-RU" w:bidi="uk-UA"/>
          </w:rPr>
          <w:t>cf</w:t>
        </w:r>
        <w:r w:rsidRPr="00511005">
          <w:rPr>
            <w:rFonts w:ascii="Arial" w:eastAsia="Times New Roman" w:hAnsi="Arial" w:cs="Arial"/>
            <w:szCs w:val="28"/>
            <w:lang w:eastAsia="ru-RU" w:bidi="uk-UA"/>
          </w:rPr>
          <w:t>7</w:t>
        </w:r>
        <w:r w:rsidRPr="00511005">
          <w:rPr>
            <w:rFonts w:ascii="Arial" w:eastAsia="Times New Roman" w:hAnsi="Arial" w:cs="Arial"/>
            <w:szCs w:val="28"/>
            <w:lang w:val="en-US" w:eastAsia="ru-RU" w:bidi="uk-UA"/>
          </w:rPr>
          <w:t>ff</w:t>
        </w:r>
        <w:r w:rsidRPr="00511005">
          <w:rPr>
            <w:rFonts w:ascii="Arial" w:eastAsia="Times New Roman" w:hAnsi="Arial" w:cs="Arial"/>
            <w:szCs w:val="28"/>
            <w:lang w:eastAsia="ru-RU" w:bidi="uk-UA"/>
          </w:rPr>
          <w:t>0-2</w:t>
        </w:r>
        <w:r w:rsidRPr="00511005">
          <w:rPr>
            <w:rFonts w:ascii="Arial" w:eastAsia="Times New Roman" w:hAnsi="Arial" w:cs="Arial"/>
            <w:szCs w:val="28"/>
            <w:lang w:val="en-US" w:eastAsia="ru-RU" w:bidi="uk-UA"/>
          </w:rPr>
          <w:t>c</w:t>
        </w:r>
        <w:r w:rsidRPr="00511005">
          <w:rPr>
            <w:rFonts w:ascii="Arial" w:eastAsia="Times New Roman" w:hAnsi="Arial" w:cs="Arial"/>
            <w:szCs w:val="28"/>
            <w:lang w:eastAsia="ru-RU" w:bidi="uk-UA"/>
          </w:rPr>
          <w:t>1</w:t>
        </w:r>
        <w:r w:rsidRPr="00511005">
          <w:rPr>
            <w:rFonts w:ascii="Arial" w:eastAsia="Times New Roman" w:hAnsi="Arial" w:cs="Arial"/>
            <w:szCs w:val="28"/>
            <w:lang w:val="en-US" w:eastAsia="ru-RU" w:bidi="uk-UA"/>
          </w:rPr>
          <w:t>f</w:t>
        </w:r>
        <w:r w:rsidRPr="00511005">
          <w:rPr>
            <w:rFonts w:ascii="Arial" w:eastAsia="Times New Roman" w:hAnsi="Arial" w:cs="Arial"/>
            <w:szCs w:val="28"/>
            <w:lang w:eastAsia="ru-RU" w:bidi="uk-UA"/>
          </w:rPr>
          <w:t>-4</w:t>
        </w:r>
        <w:r w:rsidRPr="00511005">
          <w:rPr>
            <w:rFonts w:ascii="Arial" w:eastAsia="Times New Roman" w:hAnsi="Arial" w:cs="Arial"/>
            <w:szCs w:val="28"/>
            <w:lang w:val="en-US" w:eastAsia="ru-RU" w:bidi="uk-UA"/>
          </w:rPr>
          <w:t>b</w:t>
        </w:r>
        <w:r w:rsidRPr="00511005">
          <w:rPr>
            <w:rFonts w:ascii="Arial" w:eastAsia="Times New Roman" w:hAnsi="Arial" w:cs="Arial"/>
            <w:szCs w:val="28"/>
            <w:lang w:eastAsia="ru-RU" w:bidi="uk-UA"/>
          </w:rPr>
          <w:t>4</w:t>
        </w:r>
        <w:r w:rsidRPr="00511005">
          <w:rPr>
            <w:rFonts w:ascii="Arial" w:eastAsia="Times New Roman" w:hAnsi="Arial" w:cs="Arial"/>
            <w:szCs w:val="28"/>
            <w:lang w:val="en-US" w:eastAsia="ru-RU" w:bidi="uk-UA"/>
          </w:rPr>
          <w:t>e</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bdb</w:t>
        </w:r>
        <w:r w:rsidRPr="00511005">
          <w:rPr>
            <w:rFonts w:ascii="Arial" w:eastAsia="Times New Roman" w:hAnsi="Arial" w:cs="Arial"/>
            <w:szCs w:val="28"/>
            <w:lang w:eastAsia="ru-RU" w:bidi="uk-UA"/>
          </w:rPr>
          <w:t>8-</w:t>
        </w:r>
        <w:r w:rsidRPr="00511005">
          <w:rPr>
            <w:rFonts w:ascii="Arial" w:eastAsia="Times New Roman" w:hAnsi="Arial" w:cs="Arial"/>
            <w:szCs w:val="28"/>
            <w:lang w:val="en-US" w:eastAsia="ru-RU" w:bidi="uk-UA"/>
          </w:rPr>
          <w:t>d</w:t>
        </w:r>
        <w:r w:rsidRPr="00511005">
          <w:rPr>
            <w:rFonts w:ascii="Arial" w:eastAsia="Times New Roman" w:hAnsi="Arial" w:cs="Arial"/>
            <w:szCs w:val="28"/>
            <w:lang w:eastAsia="ru-RU" w:bidi="uk-UA"/>
          </w:rPr>
          <w:t>2123</w:t>
        </w:r>
        <w:r w:rsidRPr="00511005">
          <w:rPr>
            <w:rFonts w:ascii="Arial" w:eastAsia="Times New Roman" w:hAnsi="Arial" w:cs="Arial"/>
            <w:szCs w:val="28"/>
            <w:lang w:val="en-US" w:eastAsia="ru-RU" w:bidi="uk-UA"/>
          </w:rPr>
          <w:t>ee</w:t>
        </w:r>
        <w:r w:rsidRPr="00511005">
          <w:rPr>
            <w:rFonts w:ascii="Arial" w:eastAsia="Times New Roman" w:hAnsi="Arial" w:cs="Arial"/>
            <w:szCs w:val="28"/>
            <w:lang w:eastAsia="ru-RU" w:bidi="uk-UA"/>
          </w:rPr>
          <w:t>4</w:t>
        </w:r>
        <w:r w:rsidRPr="00511005">
          <w:rPr>
            <w:rFonts w:ascii="Arial" w:eastAsia="Times New Roman" w:hAnsi="Arial" w:cs="Arial"/>
            <w:szCs w:val="28"/>
            <w:lang w:val="en-US" w:eastAsia="ru-RU" w:bidi="uk-UA"/>
          </w:rPr>
          <w:t>d</w:t>
        </w:r>
        <w:r w:rsidRPr="00511005">
          <w:rPr>
            <w:rFonts w:ascii="Arial" w:eastAsia="Times New Roman" w:hAnsi="Arial" w:cs="Arial"/>
            <w:szCs w:val="28"/>
            <w:lang w:eastAsia="ru-RU" w:bidi="uk-UA"/>
          </w:rPr>
          <w:t>1</w:t>
        </w:r>
        <w:r w:rsidRPr="00511005">
          <w:rPr>
            <w:rFonts w:ascii="Arial" w:eastAsia="Times New Roman" w:hAnsi="Arial" w:cs="Arial"/>
            <w:szCs w:val="28"/>
            <w:lang w:val="en-US" w:eastAsia="ru-RU" w:bidi="uk-UA"/>
          </w:rPr>
          <w:t>ee</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content</w:t>
        </w:r>
      </w:hyperlink>
      <w:r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eastAsia="ru-RU" w:bidi="uk-UA"/>
        </w:rPr>
        <w:t>(</w:t>
      </w:r>
      <w:r w:rsidRPr="00511005">
        <w:rPr>
          <w:rFonts w:ascii="Arial" w:eastAsia="Times New Roman" w:hAnsi="Arial" w:cs="Arial"/>
          <w:szCs w:val="28"/>
          <w:lang w:val="uk-UA" w:eastAsia="ru-RU" w:bidi="uk-UA"/>
        </w:rPr>
        <w:t>дата звернення: 10.04.2025 року</w:t>
      </w:r>
      <w:r w:rsidRPr="00511005">
        <w:rPr>
          <w:rFonts w:ascii="Arial" w:eastAsia="Times New Roman" w:hAnsi="Arial" w:cs="Arial"/>
          <w:szCs w:val="28"/>
          <w:lang w:eastAsia="ru-RU" w:bidi="uk-UA"/>
        </w:rPr>
        <w:t>)</w:t>
      </w:r>
    </w:p>
    <w:p w14:paraId="034FAAA5" w14:textId="77777777" w:rsidR="00200E87" w:rsidRPr="00511005" w:rsidRDefault="00200E87" w:rsidP="003F6A5D">
      <w:pPr>
        <w:widowControl w:val="0"/>
        <w:numPr>
          <w:ilvl w:val="0"/>
          <w:numId w:val="540"/>
        </w:numPr>
        <w:tabs>
          <w:tab w:val="left" w:pos="993"/>
          <w:tab w:val="left" w:pos="7088"/>
        </w:tabs>
        <w:autoSpaceDE w:val="0"/>
        <w:autoSpaceDN w:val="0"/>
        <w:adjustRightInd w:val="0"/>
        <w:spacing w:line="264" w:lineRule="auto"/>
        <w:contextualSpacing/>
        <w:jc w:val="left"/>
        <w:rPr>
          <w:rFonts w:ascii="Arial" w:eastAsia="Times New Roman" w:hAnsi="Arial" w:cs="Arial"/>
          <w:szCs w:val="28"/>
          <w:lang w:eastAsia="ru-RU" w:bidi="uk-UA"/>
        </w:rPr>
      </w:pPr>
      <w:r w:rsidRPr="00511005">
        <w:rPr>
          <w:rFonts w:ascii="Arial" w:eastAsia="Times New Roman" w:hAnsi="Arial" w:cs="Arial"/>
          <w:szCs w:val="28"/>
          <w:lang w:eastAsia="ru-RU" w:bidi="uk-UA"/>
        </w:rPr>
        <w:t>Мирон, Мирославович Олексюк. "</w:t>
      </w:r>
      <w:r w:rsidRPr="00511005">
        <w:rPr>
          <w:rFonts w:ascii="Arial" w:eastAsia="Times New Roman" w:hAnsi="Arial" w:cs="Arial"/>
          <w:szCs w:val="28"/>
          <w:lang w:val="uk-UA" w:eastAsia="ru-RU" w:bidi="uk-UA"/>
        </w:rPr>
        <w:t>Б</w:t>
      </w:r>
      <w:r w:rsidRPr="00511005">
        <w:rPr>
          <w:rFonts w:ascii="Arial" w:eastAsia="Times New Roman" w:hAnsi="Arial" w:cs="Arial"/>
          <w:szCs w:val="28"/>
          <w:lang w:eastAsia="ru-RU" w:bidi="uk-UA"/>
        </w:rPr>
        <w:t>езпека держави в умовах воєнного стану (характеристики та особливості)." </w:t>
      </w:r>
      <w:r w:rsidRPr="00511005">
        <w:rPr>
          <w:rFonts w:ascii="Arial" w:eastAsia="Times New Roman" w:hAnsi="Arial" w:cs="Arial"/>
          <w:i/>
          <w:iCs/>
          <w:szCs w:val="28"/>
          <w:lang w:eastAsia="ru-RU" w:bidi="uk-UA"/>
        </w:rPr>
        <w:t>Науковий вісник Львівського державного університету внутрішніх справ (серія економічна)</w:t>
      </w:r>
      <w:r w:rsidRPr="00511005">
        <w:rPr>
          <w:rFonts w:ascii="Arial" w:eastAsia="Times New Roman" w:hAnsi="Arial" w:cs="Arial"/>
          <w:szCs w:val="28"/>
          <w:lang w:eastAsia="ru-RU" w:bidi="uk-UA"/>
        </w:rPr>
        <w:t> 2 (2022): 9-15.</w:t>
      </w:r>
      <w:r w:rsidRPr="00511005">
        <w:rPr>
          <w:rFonts w:ascii="Arial" w:eastAsia="Times New Roman" w:hAnsi="Arial" w:cs="Arial"/>
          <w:szCs w:val="28"/>
          <w:lang w:val="en-US" w:eastAsia="ru-RU" w:bidi="uk-UA"/>
        </w:rPr>
        <w:t>URL</w:t>
      </w:r>
      <w:r w:rsidRPr="00511005">
        <w:rPr>
          <w:rFonts w:ascii="Arial" w:eastAsia="Times New Roman" w:hAnsi="Arial" w:cs="Arial"/>
          <w:szCs w:val="28"/>
          <w:lang w:eastAsia="ru-RU" w:bidi="uk-UA"/>
        </w:rPr>
        <w:t xml:space="preserve">: </w:t>
      </w:r>
      <w:r w:rsidRPr="00511005">
        <w:rPr>
          <w:rFonts w:ascii="Arial" w:eastAsia="Times New Roman" w:hAnsi="Arial" w:cs="Arial"/>
          <w:szCs w:val="28"/>
          <w:lang w:val="en-US" w:eastAsia="ru-RU" w:bidi="uk-UA"/>
        </w:rPr>
        <w:t>http</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journals</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lvduvs</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lviv</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ua</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index</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php</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economy</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article</w:t>
      </w:r>
      <w:r w:rsidRPr="00511005">
        <w:rPr>
          <w:rFonts w:ascii="Arial" w:eastAsia="Times New Roman" w:hAnsi="Arial" w:cs="Arial"/>
          <w:szCs w:val="28"/>
          <w:lang w:eastAsia="ru-RU" w:bidi="uk-UA"/>
        </w:rPr>
        <w:t>/</w:t>
      </w:r>
      <w:r w:rsidRPr="00511005">
        <w:rPr>
          <w:rFonts w:ascii="Arial" w:eastAsia="Times New Roman" w:hAnsi="Arial" w:cs="Arial"/>
          <w:szCs w:val="28"/>
          <w:lang w:val="en-US" w:eastAsia="ru-RU" w:bidi="uk-UA"/>
        </w:rPr>
        <w:t>view</w:t>
      </w:r>
      <w:r w:rsidRPr="00511005">
        <w:rPr>
          <w:rFonts w:ascii="Arial" w:eastAsia="Times New Roman" w:hAnsi="Arial" w:cs="Arial"/>
          <w:szCs w:val="28"/>
          <w:lang w:eastAsia="ru-RU" w:bidi="uk-UA"/>
        </w:rPr>
        <w:t>/614</w:t>
      </w:r>
      <w:r w:rsidRPr="00511005">
        <w:rPr>
          <w:rFonts w:ascii="Arial" w:eastAsia="Times New Roman" w:hAnsi="Arial" w:cs="Arial"/>
          <w:szCs w:val="28"/>
          <w:lang w:val="uk-UA" w:eastAsia="ru-RU" w:bidi="uk-UA"/>
        </w:rPr>
        <w:t xml:space="preserve"> (дата звернення: 10.04.2025 року</w:t>
      </w:r>
      <w:r w:rsidRPr="00511005">
        <w:rPr>
          <w:rFonts w:ascii="Arial" w:eastAsia="Times New Roman" w:hAnsi="Arial" w:cs="Arial"/>
          <w:szCs w:val="28"/>
          <w:lang w:eastAsia="ru-RU" w:bidi="uk-UA"/>
        </w:rPr>
        <w:t>)</w:t>
      </w:r>
    </w:p>
    <w:p w14:paraId="225222D5" w14:textId="77777777" w:rsidR="00200E87" w:rsidRPr="00511005" w:rsidRDefault="00200E87" w:rsidP="003F6A5D">
      <w:pPr>
        <w:widowControl w:val="0"/>
        <w:numPr>
          <w:ilvl w:val="0"/>
          <w:numId w:val="540"/>
        </w:numPr>
        <w:tabs>
          <w:tab w:val="left" w:pos="993"/>
          <w:tab w:val="left" w:pos="7088"/>
        </w:tabs>
        <w:autoSpaceDE w:val="0"/>
        <w:autoSpaceDN w:val="0"/>
        <w:adjustRightInd w:val="0"/>
        <w:spacing w:line="264" w:lineRule="auto"/>
        <w:contextualSpacing/>
        <w:jc w:val="left"/>
        <w:rPr>
          <w:rFonts w:ascii="Arial" w:eastAsia="Times New Roman" w:hAnsi="Arial" w:cs="Arial"/>
          <w:szCs w:val="28"/>
          <w:lang w:eastAsia="ru-RU" w:bidi="uk-UA"/>
        </w:rPr>
      </w:pPr>
      <w:r w:rsidRPr="00511005">
        <w:rPr>
          <w:rFonts w:ascii="Arial" w:eastAsia="Times New Roman" w:hAnsi="Arial" w:cs="Arial"/>
          <w:szCs w:val="28"/>
          <w:lang w:eastAsia="ru-RU" w:bidi="uk-UA"/>
        </w:rPr>
        <w:t xml:space="preserve">Підлітка, який підпалив трансформатор за завданням росіян, суд звільнив від покарання. </w:t>
      </w:r>
      <w:r w:rsidRPr="00511005">
        <w:rPr>
          <w:rFonts w:ascii="Arial" w:eastAsia="Times New Roman" w:hAnsi="Arial" w:cs="Arial"/>
          <w:szCs w:val="28"/>
          <w:lang w:val="en-US" w:eastAsia="ru-RU" w:bidi="uk-UA"/>
        </w:rPr>
        <w:t>URL</w:t>
      </w:r>
      <w:r w:rsidRPr="00511005">
        <w:rPr>
          <w:rFonts w:ascii="Arial" w:eastAsia="Times New Roman" w:hAnsi="Arial" w:cs="Arial"/>
          <w:szCs w:val="28"/>
          <w:lang w:eastAsia="ru-RU" w:bidi="uk-UA"/>
        </w:rPr>
        <w:t xml:space="preserve">: </w:t>
      </w:r>
      <w:hyperlink r:id="rId1892" w:history="1">
        <w:r w:rsidRPr="00511005">
          <w:rPr>
            <w:rFonts w:ascii="Arial" w:eastAsia="Times New Roman" w:hAnsi="Arial" w:cs="Arial"/>
            <w:szCs w:val="28"/>
            <w:lang w:val="en-US" w:eastAsia="ru-RU" w:bidi="uk-UA"/>
          </w:rPr>
          <w:t>https</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www</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nikpravda</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com</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ua</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pidlitka</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yakyj</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pidpalyv</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transformator</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za</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zavdannyam</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rosiyan</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sud</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zvilnyv</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vid</w:t>
        </w:r>
        <w:r w:rsidRPr="00511005">
          <w:rPr>
            <w:rFonts w:ascii="Arial" w:eastAsia="Times New Roman" w:hAnsi="Arial" w:cs="Arial"/>
            <w:szCs w:val="28"/>
            <w:lang w:val="uk-UA" w:eastAsia="ru-RU" w:bidi="uk-UA"/>
          </w:rPr>
          <w:t>-</w:t>
        </w:r>
        <w:r w:rsidRPr="00511005">
          <w:rPr>
            <w:rFonts w:ascii="Arial" w:eastAsia="Times New Roman" w:hAnsi="Arial" w:cs="Arial"/>
            <w:szCs w:val="28"/>
            <w:lang w:val="en-US" w:eastAsia="ru-RU" w:bidi="uk-UA"/>
          </w:rPr>
          <w:t>pokarannya</w:t>
        </w:r>
        <w:r w:rsidRPr="00511005">
          <w:rPr>
            <w:rFonts w:ascii="Arial" w:eastAsia="Times New Roman" w:hAnsi="Arial" w:cs="Arial"/>
            <w:szCs w:val="28"/>
            <w:lang w:val="uk-UA" w:eastAsia="ru-RU" w:bidi="uk-UA"/>
          </w:rPr>
          <w:t>/</w:t>
        </w:r>
      </w:hyperlink>
      <w:r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eastAsia="ru-RU" w:bidi="uk-UA"/>
        </w:rPr>
        <w:t>(</w:t>
      </w:r>
      <w:r w:rsidRPr="00511005">
        <w:rPr>
          <w:rFonts w:ascii="Arial" w:eastAsia="Times New Roman" w:hAnsi="Arial" w:cs="Arial"/>
          <w:szCs w:val="28"/>
          <w:lang w:val="uk-UA" w:eastAsia="ru-RU" w:bidi="uk-UA"/>
        </w:rPr>
        <w:t>дата звернення: 10.04.2025 року</w:t>
      </w:r>
      <w:r w:rsidRPr="00511005">
        <w:rPr>
          <w:rFonts w:ascii="Arial" w:eastAsia="Times New Roman" w:hAnsi="Arial" w:cs="Arial"/>
          <w:szCs w:val="28"/>
          <w:lang w:eastAsia="ru-RU" w:bidi="uk-UA"/>
        </w:rPr>
        <w:t>)</w:t>
      </w:r>
    </w:p>
    <w:p w14:paraId="440F0346" w14:textId="77777777" w:rsidR="00200E87" w:rsidRPr="00511005" w:rsidRDefault="00200E87"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szCs w:val="28"/>
          <w:lang w:eastAsia="ru-RU" w:bidi="uk-UA"/>
        </w:rPr>
      </w:pPr>
    </w:p>
    <w:p w14:paraId="0EFD6043" w14:textId="105824AD" w:rsidR="00200E87" w:rsidRPr="00511005" w:rsidRDefault="007B2628" w:rsidP="003A292D">
      <w:pPr>
        <w:widowControl w:val="0"/>
        <w:tabs>
          <w:tab w:val="left" w:pos="0"/>
          <w:tab w:val="left" w:pos="7088"/>
        </w:tabs>
        <w:autoSpaceDE w:val="0"/>
        <w:autoSpaceDN w:val="0"/>
        <w:adjustRightInd w:val="0"/>
        <w:spacing w:line="264" w:lineRule="auto"/>
        <w:ind w:firstLine="0"/>
        <w:rPr>
          <w:rFonts w:ascii="Arial" w:eastAsia="Times New Roman" w:hAnsi="Arial" w:cs="Arial"/>
          <w:szCs w:val="28"/>
          <w:lang w:val="uk-UA" w:eastAsia="ru-RU" w:bidi="uk-UA"/>
        </w:rPr>
      </w:pPr>
      <w:r w:rsidRPr="00511005">
        <w:rPr>
          <w:rFonts w:ascii="Arial" w:eastAsia="Times New Roman" w:hAnsi="Arial" w:cs="Arial"/>
          <w:b/>
          <w:i/>
          <w:szCs w:val="28"/>
          <w:lang w:val="uk-UA" w:eastAsia="ru-RU" w:bidi="uk-UA"/>
        </w:rPr>
        <w:t xml:space="preserve">Ключові слова: </w:t>
      </w:r>
      <w:r w:rsidR="00200E87" w:rsidRPr="00511005">
        <w:rPr>
          <w:rFonts w:ascii="Arial" w:eastAsia="Times New Roman" w:hAnsi="Arial" w:cs="Arial"/>
          <w:szCs w:val="28"/>
          <w:lang w:val="uk-UA" w:eastAsia="ru-RU" w:bidi="uk-UA"/>
        </w:rPr>
        <w:t xml:space="preserve">суспільно небезпечні діяння, воєнний стан, </w:t>
      </w:r>
      <w:r w:rsidR="00200E87" w:rsidRPr="00511005">
        <w:rPr>
          <w:rFonts w:ascii="Arial" w:eastAsia="Times New Roman" w:hAnsi="Arial" w:cs="Arial"/>
          <w:szCs w:val="28"/>
          <w:lang w:val="uk-UA" w:eastAsia="ru-RU"/>
        </w:rPr>
        <w:t>кримінальна відповідальність, безпека населення, правопорушення, бойові дії, законодавчі зміни, національна безпека.</w:t>
      </w:r>
    </w:p>
    <w:p w14:paraId="296296ED" w14:textId="54C202CE" w:rsidR="00200E87" w:rsidRPr="00511005" w:rsidRDefault="007B2628" w:rsidP="003A29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4" w:lineRule="auto"/>
        <w:ind w:firstLine="0"/>
        <w:rPr>
          <w:rFonts w:ascii="Arial" w:eastAsia="Times New Roman" w:hAnsi="Arial" w:cs="Arial"/>
          <w:szCs w:val="28"/>
          <w:lang w:val="en-US" w:eastAsia="ru-RU"/>
        </w:rPr>
      </w:pPr>
      <w:r w:rsidRPr="00511005">
        <w:rPr>
          <w:rFonts w:ascii="Arial" w:eastAsia="Times New Roman" w:hAnsi="Arial" w:cs="Arial"/>
          <w:b/>
          <w:i/>
          <w:szCs w:val="28"/>
          <w:lang w:val="en-US" w:eastAsia="ru-RU" w:bidi="uk-UA"/>
        </w:rPr>
        <w:t xml:space="preserve">Key words: </w:t>
      </w:r>
      <w:r w:rsidR="00200E87" w:rsidRPr="00511005">
        <w:rPr>
          <w:rFonts w:ascii="Arial" w:eastAsia="Times New Roman" w:hAnsi="Arial" w:cs="Arial"/>
          <w:szCs w:val="28"/>
          <w:lang w:val="en" w:eastAsia="ru-RU"/>
        </w:rPr>
        <w:t>socially dangerous acts, martial law, criminal liability, public safety, offenses, hostilities, legislative changes, national security.</w:t>
      </w:r>
    </w:p>
    <w:p w14:paraId="4644B87F" w14:textId="77777777" w:rsidR="00200E87" w:rsidRPr="00511005" w:rsidRDefault="00200E87" w:rsidP="003A292D">
      <w:pPr>
        <w:widowControl w:val="0"/>
        <w:tabs>
          <w:tab w:val="left" w:pos="0"/>
          <w:tab w:val="left" w:pos="7088"/>
        </w:tabs>
        <w:autoSpaceDE w:val="0"/>
        <w:autoSpaceDN w:val="0"/>
        <w:adjustRightInd w:val="0"/>
        <w:spacing w:line="264" w:lineRule="auto"/>
        <w:ind w:firstLine="0"/>
        <w:rPr>
          <w:rFonts w:ascii="Arial" w:eastAsia="Times New Roman" w:hAnsi="Arial" w:cs="Arial"/>
          <w:szCs w:val="28"/>
          <w:lang w:val="uk-UA" w:eastAsia="ru-RU" w:bidi="uk-UA"/>
        </w:rPr>
      </w:pPr>
    </w:p>
    <w:p w14:paraId="5566B508" w14:textId="225D0E66" w:rsidR="00200E87" w:rsidRPr="00511005" w:rsidRDefault="007B2628" w:rsidP="003A292D">
      <w:pPr>
        <w:widowControl w:val="0"/>
        <w:tabs>
          <w:tab w:val="left" w:pos="0"/>
          <w:tab w:val="left" w:pos="7088"/>
        </w:tabs>
        <w:autoSpaceDE w:val="0"/>
        <w:autoSpaceDN w:val="0"/>
        <w:adjustRightInd w:val="0"/>
        <w:spacing w:line="264" w:lineRule="auto"/>
        <w:ind w:firstLine="0"/>
        <w:rPr>
          <w:rFonts w:ascii="Arial" w:eastAsia="Times New Roman" w:hAnsi="Arial" w:cs="Arial"/>
          <w:i/>
          <w:szCs w:val="28"/>
          <w:lang w:val="uk-UA" w:eastAsia="ru-RU" w:bidi="uk-UA"/>
        </w:rPr>
      </w:pPr>
      <w:r w:rsidRPr="00511005">
        <w:rPr>
          <w:rFonts w:ascii="Arial" w:eastAsia="Times New Roman" w:hAnsi="Arial" w:cs="Arial"/>
          <w:b/>
          <w:i/>
          <w:szCs w:val="28"/>
          <w:lang w:val="uk-UA" w:eastAsia="ru-RU" w:bidi="uk-UA"/>
        </w:rPr>
        <w:t xml:space="preserve">Науковий керівник: </w:t>
      </w:r>
      <w:r w:rsidR="00200E87" w:rsidRPr="00511005">
        <w:rPr>
          <w:rFonts w:ascii="Arial" w:eastAsia="Times New Roman" w:hAnsi="Arial" w:cs="Arial"/>
          <w:i/>
          <w:szCs w:val="28"/>
          <w:lang w:val="uk-UA" w:eastAsia="ru-RU" w:bidi="uk-UA"/>
        </w:rPr>
        <w:t>к.ю.н., професор Мирошниченко Н. А.</w:t>
      </w:r>
    </w:p>
    <w:p w14:paraId="603BC607" w14:textId="77777777" w:rsidR="00200E87" w:rsidRPr="00511005" w:rsidRDefault="00200E87" w:rsidP="003A292D">
      <w:pPr>
        <w:widowControl w:val="0"/>
        <w:tabs>
          <w:tab w:val="left" w:pos="993"/>
          <w:tab w:val="left" w:pos="7088"/>
        </w:tabs>
        <w:autoSpaceDE w:val="0"/>
        <w:autoSpaceDN w:val="0"/>
        <w:adjustRightInd w:val="0"/>
        <w:spacing w:line="264" w:lineRule="auto"/>
        <w:ind w:firstLine="0"/>
        <w:contextualSpacing/>
        <w:rPr>
          <w:rFonts w:ascii="Arial" w:eastAsia="Times New Roman" w:hAnsi="Arial" w:cs="Arial"/>
          <w:szCs w:val="28"/>
          <w:lang w:val="uk-UA" w:eastAsia="ru-RU" w:bidi="uk-UA"/>
        </w:rPr>
      </w:pPr>
    </w:p>
    <w:p w14:paraId="5513622E" w14:textId="77777777" w:rsidR="00200E87" w:rsidRPr="00511005" w:rsidRDefault="00200E87" w:rsidP="003A292D">
      <w:pPr>
        <w:spacing w:line="264" w:lineRule="auto"/>
        <w:ind w:firstLine="0"/>
        <w:jc w:val="center"/>
        <w:rPr>
          <w:rFonts w:ascii="Arial" w:eastAsia="Calibri" w:hAnsi="Arial" w:cs="Arial"/>
          <w:szCs w:val="28"/>
          <w:lang w:val="uk-UA"/>
        </w:rPr>
      </w:pPr>
    </w:p>
    <w:p w14:paraId="63AA6E47" w14:textId="77777777" w:rsidR="00200E87" w:rsidRPr="00511005" w:rsidRDefault="00200E87"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Соколов Євгеній Максимович</w:t>
      </w:r>
    </w:p>
    <w:p w14:paraId="1C558564" w14:textId="7603F159" w:rsidR="00200E87" w:rsidRPr="00511005" w:rsidRDefault="00200E87" w:rsidP="003A292D">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 xml:space="preserve">молодший юрист практики корпоративного права юридичної фірми «АНК», </w:t>
      </w:r>
      <w:r w:rsidR="00536AAB" w:rsidRPr="00511005">
        <w:rPr>
          <w:rFonts w:ascii="Arial" w:eastAsia="Calibri" w:hAnsi="Arial" w:cs="Arial"/>
          <w:iCs/>
          <w:szCs w:val="28"/>
          <w:lang w:val="uk-UA"/>
        </w:rPr>
        <w:t xml:space="preserve">студент 2-го курсу </w:t>
      </w:r>
      <w:r w:rsidRPr="00511005">
        <w:rPr>
          <w:rFonts w:ascii="Arial" w:eastAsia="Calibri" w:hAnsi="Arial" w:cs="Arial"/>
          <w:iCs/>
          <w:szCs w:val="28"/>
          <w:lang w:val="uk-UA"/>
        </w:rPr>
        <w:t>факультету цивільної та господарської юстиції</w:t>
      </w:r>
    </w:p>
    <w:p w14:paraId="17EB20E0" w14:textId="67F5520B" w:rsidR="00200E87" w:rsidRPr="00511005" w:rsidRDefault="007B2628" w:rsidP="003A292D">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3258F928" w14:textId="77777777" w:rsidR="00200E87" w:rsidRPr="00511005" w:rsidRDefault="00200E87" w:rsidP="003A292D">
      <w:pPr>
        <w:spacing w:line="264" w:lineRule="auto"/>
        <w:ind w:firstLine="0"/>
        <w:jc w:val="center"/>
        <w:rPr>
          <w:rFonts w:ascii="Arial" w:eastAsia="Calibri" w:hAnsi="Arial" w:cs="Arial"/>
          <w:iCs/>
          <w:szCs w:val="28"/>
          <w:lang w:val="uk-UA"/>
        </w:rPr>
      </w:pPr>
    </w:p>
    <w:p w14:paraId="3BC54668" w14:textId="0886C35D" w:rsidR="00200E87" w:rsidRPr="00511005" w:rsidRDefault="00200E8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ОКРЕМІ ФОРМИ ВЧИНЕННЯ КРИМІНАЛЬНОГО ПРАВОПОРУШЕННЯ, ПЕРЕДБАЧЕНОГО СТАТЕЮ 205-1 КРИМІНАЛЬНОГО КОДЕКСУ УКРАЇНИ</w:t>
      </w:r>
    </w:p>
    <w:p w14:paraId="7B7ED7AB" w14:textId="4BB2ECAF"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Відповідно до відкритих, опублікованих на сайті Державної служби статистики даних станом на 1 січня 2025 року в Україні зареєстровано близько 1 525 085 юридичних осіб різних організаційно-правових форм</w:t>
      </w:r>
      <w:r w:rsidRPr="00511005">
        <w:rPr>
          <w:rFonts w:ascii="Arial" w:eastAsia="Calibri" w:hAnsi="Arial" w:cs="Arial"/>
          <w:szCs w:val="28"/>
        </w:rPr>
        <w:t>[4]</w:t>
      </w:r>
      <w:r w:rsidRPr="00511005">
        <w:rPr>
          <w:rFonts w:ascii="Arial" w:eastAsia="Calibri" w:hAnsi="Arial" w:cs="Arial"/>
          <w:szCs w:val="28"/>
          <w:lang w:val="uk-UA"/>
        </w:rPr>
        <w:t>. Чимало з них не зареєстровано за фактичним місцем знаходження, і їх засновники обирають так звані «адреси масової реєстрації». Відповідно до пункту 5.1 Положення про здійснення установами фінансового моніторингу, затвердженого Постановою Правління Національного банку України 28.07.2020</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 107 «адреса масової реєстрації - адреса, за якою </w:t>
      </w:r>
      <w:r w:rsidRPr="00511005">
        <w:rPr>
          <w:rFonts w:ascii="Arial" w:eastAsia="Calibri" w:hAnsi="Arial" w:cs="Arial"/>
          <w:szCs w:val="28"/>
          <w:lang w:val="uk-UA"/>
        </w:rPr>
        <w:lastRenderedPageBreak/>
        <w:t>зареєстровано більше 50 юридичних осіб, трастів або інших правових утворень»</w:t>
      </w:r>
      <w:r w:rsidRPr="00511005">
        <w:rPr>
          <w:rFonts w:ascii="Arial" w:eastAsia="Calibri" w:hAnsi="Arial" w:cs="Arial"/>
          <w:szCs w:val="28"/>
        </w:rPr>
        <w:t>[5]</w:t>
      </w:r>
      <w:r w:rsidRPr="00511005">
        <w:rPr>
          <w:rFonts w:ascii="Arial" w:eastAsia="Calibri" w:hAnsi="Arial" w:cs="Arial"/>
          <w:szCs w:val="28"/>
          <w:lang w:val="uk-UA"/>
        </w:rPr>
        <w:t>.</w:t>
      </w:r>
    </w:p>
    <w:p w14:paraId="4C24BE78"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Український комплаєнс-проект «Опендатабот», який надає відкритий доступ до даних з державних реєстрів України, зокрема з ЄДРПОУ, повідомляє, що станом на 6 травня 2024 року в Україні за адресами масової реєстрації наразі зареєстровано понад 140 тисяч правових утворень. Так, у місті Києві – 101135, у Харківській області – 8894, в Одеській – 5778[6]. Серед адрес масової реєстрації виділяються і відомі торгівельно-розважальні або бізнес-центри, і житлові будинки, і навіть технічні приміщення вуличних трансформаторів. Зрештою, при поданні заяви щодо державної реєстрації юридичної особи не вимагається надання заявником правовстановлюючих документів, які б підтвердили факт перебування будівлі, адреса якої зазначена в заяві, у власності/користуванні засновників утворюваної юридичної особи. </w:t>
      </w:r>
    </w:p>
    <w:p w14:paraId="38ABEB78"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Такі дії засновників містять, в загальному плані, ознаки кримінального правопорушення, передбаченого статтею 205-1 Кримінального кодексу України (далі – «КК»), а саме - підроблення документів, які подаються для проведення державної реєстрації юридичної особи та фізичних осіб – підприємців (далі – «реєстраційні документи»). У диспозиції згаданої статті: ідеться про внесення неправдивих відомостей до заяви щодо державної реєстрації юридичної особи і умисне її подання до суб’єкта державної реєстрації[1]. </w:t>
      </w:r>
    </w:p>
    <w:p w14:paraId="36752752"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 xml:space="preserve">У цих тезах буде розглянуто таку форму вчинення цього кримінального правопорушення, як використання адреси масової реєстрації, як юридичної. Акцент буде зроблено на визначення ролей суб’єктів при вчиненні таких злочинів у співучасті. </w:t>
      </w:r>
    </w:p>
    <w:p w14:paraId="47724EA1" w14:textId="60A42981"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r>
      <w:r w:rsidRPr="00511005">
        <w:rPr>
          <w:rFonts w:ascii="Arial" w:eastAsia="Calibri" w:hAnsi="Arial" w:cs="Arial"/>
          <w:b/>
          <w:szCs w:val="28"/>
          <w:lang w:val="uk-UA"/>
        </w:rPr>
        <w:t>Об’єктивна сторона та етапи вчинення кримінального правопорушення.</w:t>
      </w:r>
      <w:r w:rsidRPr="00511005">
        <w:rPr>
          <w:rFonts w:ascii="Arial" w:eastAsia="Calibri" w:hAnsi="Arial" w:cs="Arial"/>
          <w:szCs w:val="28"/>
          <w:lang w:val="uk-UA"/>
        </w:rPr>
        <w:t xml:space="preserve"> Об’єктивна сторона кримінального правопорушення, передбаченого ст. 205-1 КК включає в себе два основних діяння: внесення до реєстраційних документів завідомо неправдивих відомостей та подання таких документів до державної реєстрації. Такий висновок випливає із самого змісту згаданої статті[1]. Але, якщо звернутися до процедури державної реєстрації відомостей про юридичну особу, яка зокрема встановлюється Законом України «Про державну реєстрацію юридичних осіб, фізичних осіб - підприємців та громадських формувань» від 15 травня 2003 року№ 755-IV та спеціалізованими законами, які в залежності від організаційно-правової форми встановлюють процедури створення юридичних осіб (наприклад, Закон України «Про товариства з обмеженою та додатковою відповідальністю» від 6 лютого 2018 року № 2275-VIII»), то ми бачимо дещо ширший «ланцюжок» діянь, кожне з яких варте окремої кримінально-правової кваліфікації, та які у сукупності являють собою алгоритм вчинення цього кримінального правопорушення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і виступають його </w:t>
      </w:r>
      <w:r w:rsidRPr="00511005">
        <w:rPr>
          <w:rFonts w:ascii="Arial" w:eastAsia="Calibri" w:hAnsi="Arial" w:cs="Arial"/>
          <w:szCs w:val="28"/>
          <w:lang w:val="uk-UA"/>
        </w:rPr>
        <w:lastRenderedPageBreak/>
        <w:t xml:space="preserve">умовними етапами. Серед них можна виокремити основні: ухвалення рішення про внесення неправдивих відомостей до реєстраційних документів, внесення неправдивих відомостей до реєстраційних документів, подання заповнених реєстраційних документів до суб’єкта державної реєстрації[2, 3]. Додатковим етапом є видача доручення від імені юридичної особи третій особі на вчинення зазначених вище дій. </w:t>
      </w:r>
      <w:r w:rsidRPr="00511005">
        <w:rPr>
          <w:rFonts w:ascii="Arial" w:eastAsia="Calibri" w:hAnsi="Arial" w:cs="Arial"/>
          <w:szCs w:val="28"/>
          <w:lang w:val="uk-UA"/>
        </w:rPr>
        <w:tab/>
        <w:t xml:space="preserve">Якщо мова іде про складну співучасть у вчиненні злочину, то поява такого етапу, як «ухвалення рішення про внесення неправдивих відомостей до реєстраційних документів» дещо спрощує її кваліфікацію і визначення ролей суб’єктів, зокрема надає можливість чітко визначити організатора, яким доцільно вважати засновника (засновників) юридичної особи, який ухвалив відповідне рішення, що підтверджується протоколом загальних зборів учасників або рішенням єдиного учасника юридичної особи. Засновник може виступати і в ролі виконавця на певних етапах кримінального правопорушення, зокрема самостійно вносити неправдиві відомості до реєстраційних документів. Керівник юридичної особи в разі, якщо він є особою відмінною від засновника може виступати як у ролі виконавця, так і у ролі підбурювача, залучаючи до вчинення таких діянь третіх осіб. На прикладі із чітким розподілом ролей це може виглядати наступним чином: засновник, виступаючи у ролі організатора ухвалює рішення про створення юридичної особи, визначаючи відомості, які будуть внесені до реєстраційних документів, а керівник виступаючи у ролі виконавця вносить ці відомості до реєстраційних документів та подає їх до державної реєстрації. Інший приклад – із залученою третьою особою, де третя особа виступає у ролі виконавця, а суб’єкт, що він її залучив – підбурювачем[1]. </w:t>
      </w:r>
    </w:p>
    <w:p w14:paraId="073F482A"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r>
      <w:r w:rsidRPr="00511005">
        <w:rPr>
          <w:rFonts w:ascii="Arial" w:eastAsia="Calibri" w:hAnsi="Arial" w:cs="Arial"/>
          <w:szCs w:val="28"/>
        </w:rPr>
        <w:t>В ц</w:t>
      </w:r>
      <w:r w:rsidRPr="00511005">
        <w:rPr>
          <w:rFonts w:ascii="Arial" w:eastAsia="Calibri" w:hAnsi="Arial" w:cs="Arial"/>
          <w:szCs w:val="28"/>
          <w:lang w:val="uk-UA"/>
        </w:rPr>
        <w:t>і</w:t>
      </w:r>
      <w:r w:rsidRPr="00511005">
        <w:rPr>
          <w:rFonts w:ascii="Arial" w:eastAsia="Calibri" w:hAnsi="Arial" w:cs="Arial"/>
          <w:szCs w:val="28"/>
        </w:rPr>
        <w:t>лому</w:t>
      </w:r>
      <w:r w:rsidRPr="00511005">
        <w:rPr>
          <w:rFonts w:ascii="Arial" w:eastAsia="Calibri" w:hAnsi="Arial" w:cs="Arial"/>
          <w:szCs w:val="28"/>
          <w:lang w:val="uk-UA"/>
        </w:rPr>
        <w:t xml:space="preserve">, моделей вчинення такого кримінального правопорушення може бути безліч, в залежності від них можуть варіюватися ролі співучасників. </w:t>
      </w:r>
    </w:p>
    <w:p w14:paraId="21C02649"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Звичайно, що у переважній більшості випадків вчинення таких кримінальних правопорушень суб’єкти оминають притягнення до кримінальної відповідальності. Багато в чому, на нашу думку, така тенденція викликана масштабами такого явища, як реєстрація за адресами масової реєстрації юридичних особі об’єктивною неможливістю виправити засобами кримінального права, що потрібно завжди враховувати, оцінюючи реальні можливості цього права[7, 70 - 71].</w:t>
      </w:r>
    </w:p>
    <w:p w14:paraId="63898CBE"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ab/>
        <w:t>Задля запобігання таких кримінальних правопорушень вважаємо доцільним встановлення законодавчої вимоги пред’явлення суб’єктові державної реєстрації правовстановлюючих документів на об’єкти нерухомості, за якими реєструється адреса юридичної особи, або документів, що підтверджують право користування об’єктами нерухомості, при реєстрації відомостей про юридичну особу.</w:t>
      </w:r>
    </w:p>
    <w:p w14:paraId="2EE94724" w14:textId="77777777" w:rsidR="00200E87" w:rsidRPr="00511005" w:rsidRDefault="00200E87" w:rsidP="003A292D">
      <w:pPr>
        <w:spacing w:line="264" w:lineRule="auto"/>
        <w:ind w:firstLine="0"/>
        <w:rPr>
          <w:rFonts w:ascii="Arial" w:eastAsia="Calibri" w:hAnsi="Arial" w:cs="Arial"/>
          <w:szCs w:val="28"/>
          <w:lang w:val="uk-UA"/>
        </w:rPr>
      </w:pPr>
    </w:p>
    <w:p w14:paraId="465AFC0E" w14:textId="786C9BFA" w:rsidR="00200E8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lastRenderedPageBreak/>
        <w:t>Список використаних джерел</w:t>
      </w:r>
    </w:p>
    <w:p w14:paraId="2B8485F8" w14:textId="77777777" w:rsidR="00200E87" w:rsidRPr="00511005" w:rsidRDefault="00200E87" w:rsidP="003F6A5D">
      <w:pPr>
        <w:numPr>
          <w:ilvl w:val="0"/>
          <w:numId w:val="54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Кримінальний кодекс України. URL: </w:t>
      </w:r>
      <w:hyperlink r:id="rId1893" w:anchor="Text" w:history="1">
        <w:r w:rsidRPr="00511005">
          <w:rPr>
            <w:rFonts w:ascii="Arial" w:eastAsia="Calibri" w:hAnsi="Arial" w:cs="Arial"/>
            <w:szCs w:val="28"/>
            <w:lang w:val="uk-UA"/>
          </w:rPr>
          <w:t>https://zakon.rada.gov.ua/laws/show/2341-14#Text</w:t>
        </w:r>
      </w:hyperlink>
    </w:p>
    <w:p w14:paraId="16144F9E" w14:textId="77777777" w:rsidR="00200E87" w:rsidRPr="00511005" w:rsidRDefault="00200E87" w:rsidP="003F6A5D">
      <w:pPr>
        <w:numPr>
          <w:ilvl w:val="0"/>
          <w:numId w:val="54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Закон України «Про державну реєстрацію юридичних осіб, фізичних осіб - підприємців та громадських формувань»</w:t>
      </w:r>
      <w:r w:rsidRPr="00511005">
        <w:rPr>
          <w:rFonts w:ascii="Arial" w:eastAsia="Calibri" w:hAnsi="Arial" w:cs="Arial"/>
          <w:szCs w:val="28"/>
          <w:lang w:val="uk-UA"/>
        </w:rPr>
        <w:tab/>
        <w:t xml:space="preserve">від 15 травня 2003 року№ 755-IV. </w:t>
      </w:r>
      <w:r w:rsidRPr="00511005">
        <w:rPr>
          <w:rFonts w:ascii="Arial" w:eastAsia="Calibri" w:hAnsi="Arial" w:cs="Arial"/>
          <w:szCs w:val="28"/>
          <w:lang w:val="en-US"/>
        </w:rPr>
        <w:t xml:space="preserve">URL: </w:t>
      </w:r>
      <w:hyperlink r:id="rId1894" w:anchor="Text" w:history="1">
        <w:r w:rsidRPr="00511005">
          <w:rPr>
            <w:rFonts w:ascii="Arial" w:eastAsia="Calibri" w:hAnsi="Arial" w:cs="Arial"/>
            <w:szCs w:val="28"/>
            <w:lang w:val="en-US"/>
          </w:rPr>
          <w:t>https://zakon.rada.gov.ua/laws/show/755-15#Text</w:t>
        </w:r>
      </w:hyperlink>
    </w:p>
    <w:p w14:paraId="243F0FAE" w14:textId="77777777" w:rsidR="00200E87" w:rsidRPr="00511005" w:rsidRDefault="00200E87" w:rsidP="003F6A5D">
      <w:pPr>
        <w:numPr>
          <w:ilvl w:val="0"/>
          <w:numId w:val="54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Закон України «Про товариства з обмеженою та додатковою відповідальністю» від 6 лютого 2018 року№ 2275-VIII.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895" w:anchor="Text" w:history="1">
        <w:r w:rsidRPr="00511005">
          <w:rPr>
            <w:rFonts w:ascii="Arial" w:eastAsia="Calibri" w:hAnsi="Arial" w:cs="Arial"/>
            <w:szCs w:val="28"/>
            <w:lang w:val="en-US"/>
          </w:rPr>
          <w:t>https</w:t>
        </w:r>
        <w:r w:rsidRPr="00511005">
          <w:rPr>
            <w:rFonts w:ascii="Arial" w:eastAsia="Calibri" w:hAnsi="Arial" w:cs="Arial"/>
            <w:szCs w:val="28"/>
            <w:lang w:val="uk-UA"/>
          </w:rPr>
          <w:t>://</w:t>
        </w:r>
        <w:r w:rsidRPr="00511005">
          <w:rPr>
            <w:rFonts w:ascii="Arial" w:eastAsia="Calibri" w:hAnsi="Arial" w:cs="Arial"/>
            <w:szCs w:val="28"/>
            <w:lang w:val="en-US"/>
          </w:rPr>
          <w:t>zakon</w:t>
        </w:r>
        <w:r w:rsidRPr="00511005">
          <w:rPr>
            <w:rFonts w:ascii="Arial" w:eastAsia="Calibri" w:hAnsi="Arial" w:cs="Arial"/>
            <w:szCs w:val="28"/>
            <w:lang w:val="uk-UA"/>
          </w:rPr>
          <w:t>.</w:t>
        </w:r>
        <w:r w:rsidRPr="00511005">
          <w:rPr>
            <w:rFonts w:ascii="Arial" w:eastAsia="Calibri" w:hAnsi="Arial" w:cs="Arial"/>
            <w:szCs w:val="28"/>
            <w:lang w:val="en-US"/>
          </w:rPr>
          <w:t>rada</w:t>
        </w:r>
        <w:r w:rsidRPr="00511005">
          <w:rPr>
            <w:rFonts w:ascii="Arial" w:eastAsia="Calibri" w:hAnsi="Arial" w:cs="Arial"/>
            <w:szCs w:val="28"/>
            <w:lang w:val="uk-UA"/>
          </w:rPr>
          <w:t>.</w:t>
        </w:r>
        <w:r w:rsidRPr="00511005">
          <w:rPr>
            <w:rFonts w:ascii="Arial" w:eastAsia="Calibri" w:hAnsi="Arial" w:cs="Arial"/>
            <w:szCs w:val="28"/>
            <w:lang w:val="en-US"/>
          </w:rPr>
          <w:t>gov</w:t>
        </w:r>
        <w:r w:rsidRPr="00511005">
          <w:rPr>
            <w:rFonts w:ascii="Arial" w:eastAsia="Calibri" w:hAnsi="Arial" w:cs="Arial"/>
            <w:szCs w:val="28"/>
            <w:lang w:val="uk-UA"/>
          </w:rPr>
          <w:t>.</w:t>
        </w:r>
        <w:r w:rsidRPr="00511005">
          <w:rPr>
            <w:rFonts w:ascii="Arial" w:eastAsia="Calibri" w:hAnsi="Arial" w:cs="Arial"/>
            <w:szCs w:val="28"/>
            <w:lang w:val="en-US"/>
          </w:rPr>
          <w:t>ua</w:t>
        </w:r>
        <w:r w:rsidRPr="00511005">
          <w:rPr>
            <w:rFonts w:ascii="Arial" w:eastAsia="Calibri" w:hAnsi="Arial" w:cs="Arial"/>
            <w:szCs w:val="28"/>
            <w:lang w:val="uk-UA"/>
          </w:rPr>
          <w:t>/</w:t>
        </w:r>
        <w:r w:rsidRPr="00511005">
          <w:rPr>
            <w:rFonts w:ascii="Arial" w:eastAsia="Calibri" w:hAnsi="Arial" w:cs="Arial"/>
            <w:szCs w:val="28"/>
            <w:lang w:val="en-US"/>
          </w:rPr>
          <w:t>laws</w:t>
        </w:r>
        <w:r w:rsidRPr="00511005">
          <w:rPr>
            <w:rFonts w:ascii="Arial" w:eastAsia="Calibri" w:hAnsi="Arial" w:cs="Arial"/>
            <w:szCs w:val="28"/>
            <w:lang w:val="uk-UA"/>
          </w:rPr>
          <w:t>/</w:t>
        </w:r>
        <w:r w:rsidRPr="00511005">
          <w:rPr>
            <w:rFonts w:ascii="Arial" w:eastAsia="Calibri" w:hAnsi="Arial" w:cs="Arial"/>
            <w:szCs w:val="28"/>
            <w:lang w:val="en-US"/>
          </w:rPr>
          <w:t>show</w:t>
        </w:r>
        <w:r w:rsidRPr="00511005">
          <w:rPr>
            <w:rFonts w:ascii="Arial" w:eastAsia="Calibri" w:hAnsi="Arial" w:cs="Arial"/>
            <w:szCs w:val="28"/>
            <w:lang w:val="uk-UA"/>
          </w:rPr>
          <w:t>/2275-19#</w:t>
        </w:r>
        <w:r w:rsidRPr="00511005">
          <w:rPr>
            <w:rFonts w:ascii="Arial" w:eastAsia="Calibri" w:hAnsi="Arial" w:cs="Arial"/>
            <w:szCs w:val="28"/>
            <w:lang w:val="en-US"/>
          </w:rPr>
          <w:t>Text</w:t>
        </w:r>
      </w:hyperlink>
    </w:p>
    <w:p w14:paraId="2249514B" w14:textId="77777777" w:rsidR="00200E87" w:rsidRPr="00511005" w:rsidRDefault="00200E87" w:rsidP="003F6A5D">
      <w:pPr>
        <w:numPr>
          <w:ilvl w:val="0"/>
          <w:numId w:val="54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Офіційний веб-сайт Державної служби статистики України. URL: </w:t>
      </w:r>
      <w:r w:rsidR="005938AD">
        <w:fldChar w:fldCharType="begin"/>
      </w:r>
      <w:r w:rsidR="005938AD" w:rsidRPr="00055389">
        <w:rPr>
          <w:lang w:val="en-US"/>
        </w:rPr>
        <w:instrText xml:space="preserve"> HYPERLINK "https://ukrstat.gov.ua/edrpoy/ukr/EDRPU_2024/ks_opfg/arh_ks_opfg_24.htm" </w:instrText>
      </w:r>
      <w:r w:rsidR="005938AD">
        <w:fldChar w:fldCharType="separate"/>
      </w:r>
      <w:r w:rsidRPr="00511005">
        <w:rPr>
          <w:rFonts w:ascii="Arial" w:eastAsia="Calibri" w:hAnsi="Arial" w:cs="Arial"/>
          <w:szCs w:val="28"/>
          <w:lang w:val="uk-UA"/>
        </w:rPr>
        <w:t>https://ukrstat.gov.ua/edrpoy/ukr/EDRPU_2024/ks_opfg/arh_ks_opfg_24.htm</w:t>
      </w:r>
      <w:r w:rsidR="005938AD">
        <w:rPr>
          <w:rFonts w:ascii="Arial" w:eastAsia="Calibri" w:hAnsi="Arial" w:cs="Arial"/>
          <w:szCs w:val="28"/>
          <w:lang w:val="uk-UA"/>
        </w:rPr>
        <w:fldChar w:fldCharType="end"/>
      </w:r>
    </w:p>
    <w:p w14:paraId="71C05DDE" w14:textId="6C227505" w:rsidR="00200E87" w:rsidRPr="00511005" w:rsidRDefault="00200E87" w:rsidP="003F6A5D">
      <w:pPr>
        <w:numPr>
          <w:ilvl w:val="0"/>
          <w:numId w:val="54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Постанова НБУ «Про затвердження Положення про здійснення установами фінансового моніторингу» від 28.07.2020</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 107. URL: </w:t>
      </w:r>
      <w:hyperlink r:id="rId1896" w:anchor="Text" w:history="1">
        <w:r w:rsidRPr="00511005">
          <w:rPr>
            <w:rFonts w:ascii="Arial" w:eastAsia="Calibri" w:hAnsi="Arial" w:cs="Arial"/>
            <w:szCs w:val="28"/>
            <w:lang w:val="uk-UA"/>
          </w:rPr>
          <w:t>https://zakon.rada.gov.ua/laws/show/v0107500-20#Text</w:t>
        </w:r>
      </w:hyperlink>
    </w:p>
    <w:p w14:paraId="7BDE139E" w14:textId="77777777" w:rsidR="00200E87" w:rsidRPr="00511005" w:rsidRDefault="00200E87" w:rsidP="003F6A5D">
      <w:pPr>
        <w:numPr>
          <w:ilvl w:val="0"/>
          <w:numId w:val="54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Стаття Опендатабот «2 363 компаній зареєстровано за однією адресою». </w:t>
      </w:r>
      <w:r w:rsidRPr="00511005">
        <w:rPr>
          <w:rFonts w:ascii="Arial" w:eastAsia="Calibri" w:hAnsi="Arial" w:cs="Arial"/>
          <w:szCs w:val="28"/>
          <w:lang w:val="en-US"/>
        </w:rPr>
        <w:t>URL</w:t>
      </w:r>
      <w:r w:rsidRPr="00511005">
        <w:rPr>
          <w:rFonts w:ascii="Arial" w:eastAsia="Calibri" w:hAnsi="Arial" w:cs="Arial"/>
          <w:szCs w:val="28"/>
        </w:rPr>
        <w:t xml:space="preserve">: </w:t>
      </w:r>
      <w:hyperlink r:id="rId1897"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opendatabot</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analytics</w:t>
        </w:r>
        <w:r w:rsidRPr="00511005">
          <w:rPr>
            <w:rFonts w:ascii="Arial" w:eastAsia="Calibri" w:hAnsi="Arial" w:cs="Arial"/>
            <w:szCs w:val="28"/>
          </w:rPr>
          <w:t>/</w:t>
        </w:r>
        <w:r w:rsidRPr="00511005">
          <w:rPr>
            <w:rFonts w:ascii="Arial" w:eastAsia="Calibri" w:hAnsi="Arial" w:cs="Arial"/>
            <w:szCs w:val="28"/>
            <w:lang w:val="en-US"/>
          </w:rPr>
          <w:t>business</w:t>
        </w:r>
        <w:r w:rsidRPr="00511005">
          <w:rPr>
            <w:rFonts w:ascii="Arial" w:eastAsia="Calibri" w:hAnsi="Arial" w:cs="Arial"/>
            <w:szCs w:val="28"/>
          </w:rPr>
          <w:t>-</w:t>
        </w:r>
        <w:r w:rsidRPr="00511005">
          <w:rPr>
            <w:rFonts w:ascii="Arial" w:eastAsia="Calibri" w:hAnsi="Arial" w:cs="Arial"/>
            <w:szCs w:val="28"/>
            <w:lang w:val="en-US"/>
          </w:rPr>
          <w:t>mass</w:t>
        </w:r>
        <w:r w:rsidRPr="00511005">
          <w:rPr>
            <w:rFonts w:ascii="Arial" w:eastAsia="Calibri" w:hAnsi="Arial" w:cs="Arial"/>
            <w:szCs w:val="28"/>
          </w:rPr>
          <w:t>-</w:t>
        </w:r>
        <w:r w:rsidRPr="00511005">
          <w:rPr>
            <w:rFonts w:ascii="Arial" w:eastAsia="Calibri" w:hAnsi="Arial" w:cs="Arial"/>
            <w:szCs w:val="28"/>
            <w:lang w:val="en-US"/>
          </w:rPr>
          <w:t>address</w:t>
        </w:r>
      </w:hyperlink>
    </w:p>
    <w:p w14:paraId="11A38BEA" w14:textId="77777777" w:rsidR="00200E87" w:rsidRPr="00511005" w:rsidRDefault="00200E87" w:rsidP="003F6A5D">
      <w:pPr>
        <w:numPr>
          <w:ilvl w:val="0"/>
          <w:numId w:val="54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Є.Л. Стрельцов. Раціональний дискурс про кримінальне право: монографія. Київ, Юрінком Прес, 2024. –468 с. </w:t>
      </w:r>
    </w:p>
    <w:p w14:paraId="4A3B38B2" w14:textId="7AA9234A"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00E87" w:rsidRPr="00511005">
        <w:rPr>
          <w:rFonts w:ascii="Arial" w:eastAsia="Calibri" w:hAnsi="Arial" w:cs="Arial"/>
          <w:szCs w:val="28"/>
          <w:lang w:val="uk-UA"/>
        </w:rPr>
        <w:t xml:space="preserve">кримінальне правопорушення, співучасть, державна реєстрація, юридична особа. </w:t>
      </w:r>
    </w:p>
    <w:p w14:paraId="5CFAD057" w14:textId="742AD232" w:rsidR="00200E87" w:rsidRPr="00511005" w:rsidRDefault="007B2628" w:rsidP="003A292D">
      <w:pPr>
        <w:spacing w:line="264" w:lineRule="auto"/>
        <w:ind w:firstLine="0"/>
        <w:rPr>
          <w:rFonts w:ascii="Arial" w:eastAsia="Calibri" w:hAnsi="Arial" w:cs="Arial"/>
          <w:szCs w:val="28"/>
          <w:shd w:val="clear" w:color="auto" w:fill="F7F7F7"/>
          <w:lang w:val="uk-UA"/>
        </w:rPr>
      </w:pPr>
      <w:r w:rsidRPr="00511005">
        <w:rPr>
          <w:rFonts w:ascii="Arial" w:eastAsia="Calibri" w:hAnsi="Arial" w:cs="Arial"/>
          <w:b/>
          <w:i/>
          <w:szCs w:val="28"/>
          <w:shd w:val="clear" w:color="auto" w:fill="F7F7F7"/>
          <w:lang w:val="uk-UA"/>
        </w:rPr>
        <w:t xml:space="preserve">Key words: </w:t>
      </w:r>
      <w:r w:rsidR="00200E87" w:rsidRPr="00511005">
        <w:rPr>
          <w:rFonts w:ascii="Arial" w:eastAsia="Calibri" w:hAnsi="Arial" w:cs="Arial"/>
          <w:szCs w:val="28"/>
          <w:shd w:val="clear" w:color="auto" w:fill="F7F7F7"/>
          <w:lang w:val="uk-UA"/>
        </w:rPr>
        <w:t>criminal offense, complicity, state.</w:t>
      </w:r>
    </w:p>
    <w:p w14:paraId="1D1784FB" w14:textId="77777777" w:rsidR="00200E87" w:rsidRPr="00511005" w:rsidRDefault="00200E87" w:rsidP="003A292D">
      <w:pPr>
        <w:spacing w:line="264" w:lineRule="auto"/>
        <w:ind w:firstLine="0"/>
        <w:jc w:val="left"/>
        <w:rPr>
          <w:rFonts w:ascii="Arial" w:eastAsia="Calibri" w:hAnsi="Arial" w:cs="Arial"/>
          <w:szCs w:val="28"/>
          <w:shd w:val="clear" w:color="auto" w:fill="F7F7F7"/>
          <w:lang w:val="uk-UA"/>
        </w:rPr>
      </w:pPr>
    </w:p>
    <w:p w14:paraId="2A554FD3" w14:textId="3DB7AA75" w:rsidR="00200E87" w:rsidRPr="00511005" w:rsidRDefault="007B2628" w:rsidP="003A292D">
      <w:pPr>
        <w:spacing w:line="264" w:lineRule="auto"/>
        <w:ind w:firstLine="0"/>
        <w:jc w:val="left"/>
        <w:rPr>
          <w:rFonts w:ascii="Arial" w:eastAsia="Calibri" w:hAnsi="Arial" w:cs="Arial"/>
          <w:i/>
          <w:szCs w:val="28"/>
          <w:shd w:val="clear" w:color="auto" w:fill="F7F7F7"/>
          <w:lang w:val="uk-UA"/>
        </w:rPr>
      </w:pPr>
      <w:r w:rsidRPr="00511005">
        <w:rPr>
          <w:rFonts w:ascii="Arial" w:eastAsia="Calibri" w:hAnsi="Arial" w:cs="Arial"/>
          <w:b/>
          <w:i/>
          <w:szCs w:val="28"/>
          <w:shd w:val="clear" w:color="auto" w:fill="F7F7F7"/>
          <w:lang w:val="uk-UA"/>
        </w:rPr>
        <w:t xml:space="preserve">Науковий керівник: </w:t>
      </w:r>
      <w:r w:rsidR="00200E87" w:rsidRPr="00511005">
        <w:rPr>
          <w:rFonts w:ascii="Arial" w:eastAsia="Calibri" w:hAnsi="Arial" w:cs="Arial"/>
          <w:i/>
          <w:szCs w:val="28"/>
          <w:shd w:val="clear" w:color="auto" w:fill="F7F7F7"/>
          <w:lang w:val="uk-UA"/>
        </w:rPr>
        <w:t>д.ю.н.. професор Стрельцов Є. Л.</w:t>
      </w:r>
    </w:p>
    <w:p w14:paraId="25E425CC" w14:textId="77777777" w:rsidR="00200E87" w:rsidRPr="00511005" w:rsidRDefault="00200E87" w:rsidP="003A292D">
      <w:pPr>
        <w:spacing w:line="264" w:lineRule="auto"/>
        <w:ind w:firstLine="0"/>
        <w:jc w:val="center"/>
        <w:rPr>
          <w:rFonts w:ascii="Arial" w:eastAsia="Calibri" w:hAnsi="Arial" w:cs="Arial"/>
          <w:szCs w:val="28"/>
          <w:lang w:val="uk-UA"/>
        </w:rPr>
      </w:pPr>
    </w:p>
    <w:p w14:paraId="3C8ADC46" w14:textId="77777777" w:rsidR="00200E87" w:rsidRPr="00511005" w:rsidRDefault="00200E87" w:rsidP="003A292D">
      <w:pPr>
        <w:spacing w:line="264" w:lineRule="auto"/>
        <w:ind w:firstLine="0"/>
        <w:jc w:val="center"/>
        <w:rPr>
          <w:rFonts w:ascii="Arial" w:eastAsia="Calibri" w:hAnsi="Arial" w:cs="Arial"/>
          <w:szCs w:val="28"/>
          <w:lang w:val="uk-UA"/>
        </w:rPr>
      </w:pPr>
    </w:p>
    <w:p w14:paraId="3631491D" w14:textId="77777777" w:rsidR="00200E87" w:rsidRPr="00511005" w:rsidRDefault="00200E87" w:rsidP="003A292D">
      <w:pPr>
        <w:widowControl w:val="0"/>
        <w:spacing w:line="264" w:lineRule="auto"/>
        <w:ind w:firstLine="0"/>
        <w:jc w:val="center"/>
        <w:rPr>
          <w:rFonts w:ascii="Arial" w:eastAsia="Calibri" w:hAnsi="Arial" w:cs="Arial"/>
          <w:szCs w:val="28"/>
          <w:lang w:val="uk-UA" w:eastAsia="uk-UA"/>
        </w:rPr>
      </w:pPr>
      <w:r w:rsidRPr="00511005">
        <w:rPr>
          <w:rFonts w:ascii="Arial" w:eastAsia="Times New Roman" w:hAnsi="Arial" w:cs="Arial"/>
          <w:b/>
          <w:i/>
          <w:szCs w:val="28"/>
          <w:shd w:val="clear" w:color="auto" w:fill="FFFFFF"/>
          <w:lang w:val="uk-UA" w:eastAsia="uk-UA"/>
        </w:rPr>
        <w:t>Станков Данило Артемович</w:t>
      </w:r>
      <w:r w:rsidRPr="00511005">
        <w:rPr>
          <w:rFonts w:ascii="Arial" w:eastAsia="Times New Roman" w:hAnsi="Arial" w:cs="Arial"/>
          <w:szCs w:val="28"/>
          <w:shd w:val="clear" w:color="auto" w:fill="FFFFFF"/>
          <w:lang w:val="uk-UA" w:eastAsia="uk-UA"/>
        </w:rPr>
        <w:t> </w:t>
      </w:r>
    </w:p>
    <w:p w14:paraId="4F7D9D90" w14:textId="4EDAE375" w:rsidR="007B2628" w:rsidRPr="00511005" w:rsidRDefault="00536AAB" w:rsidP="003A292D">
      <w:pPr>
        <w:widowControl w:val="0"/>
        <w:spacing w:line="264" w:lineRule="auto"/>
        <w:ind w:firstLine="0"/>
        <w:jc w:val="center"/>
        <w:rPr>
          <w:rFonts w:ascii="Arial" w:eastAsia="Calibri" w:hAnsi="Arial" w:cs="Arial"/>
          <w:szCs w:val="28"/>
          <w:lang w:val="uk-UA" w:eastAsia="uk-UA"/>
        </w:rPr>
      </w:pPr>
      <w:r w:rsidRPr="00511005">
        <w:rPr>
          <w:rFonts w:ascii="Arial" w:eastAsia="Times New Roman" w:hAnsi="Arial" w:cs="Arial"/>
          <w:szCs w:val="28"/>
          <w:shd w:val="clear" w:color="auto" w:fill="FFFFFF"/>
          <w:lang w:val="uk-UA" w:eastAsia="uk-UA"/>
        </w:rPr>
        <w:t xml:space="preserve">студент 3-го курсу </w:t>
      </w:r>
      <w:r w:rsidR="001B7B25" w:rsidRPr="00511005">
        <w:rPr>
          <w:rFonts w:ascii="Arial" w:eastAsia="Times New Roman" w:hAnsi="Arial" w:cs="Arial"/>
          <w:szCs w:val="28"/>
          <w:shd w:val="clear" w:color="auto" w:fill="FFFFFF"/>
          <w:lang w:val="uk-UA" w:eastAsia="uk-UA"/>
        </w:rPr>
        <w:t>факультету судового та міжнародного права</w:t>
      </w:r>
      <w:r w:rsidR="00200E87" w:rsidRPr="00511005">
        <w:rPr>
          <w:rFonts w:ascii="Arial" w:eastAsia="Times New Roman" w:hAnsi="Arial" w:cs="Arial"/>
          <w:szCs w:val="28"/>
          <w:shd w:val="clear" w:color="auto" w:fill="FFFFFF"/>
          <w:lang w:val="uk-UA" w:eastAsia="uk-UA"/>
        </w:rPr>
        <w:t> </w:t>
      </w:r>
      <w:r w:rsidR="00200E87" w:rsidRPr="00511005">
        <w:rPr>
          <w:rFonts w:ascii="Arial" w:eastAsia="Times New Roman" w:hAnsi="Arial" w:cs="Arial"/>
          <w:szCs w:val="28"/>
          <w:shd w:val="clear" w:color="auto" w:fill="FFFFFF"/>
          <w:lang w:val="uk-UA" w:eastAsia="uk-UA"/>
        </w:rPr>
        <w:br/>
      </w:r>
      <w:r w:rsidR="007B2628" w:rsidRPr="00511005">
        <w:rPr>
          <w:rFonts w:ascii="Arial" w:eastAsia="Times New Roman" w:hAnsi="Arial" w:cs="Arial"/>
          <w:szCs w:val="28"/>
          <w:shd w:val="clear" w:color="auto" w:fill="FFFFFF"/>
          <w:lang w:val="uk-UA" w:eastAsia="uk-UA"/>
        </w:rPr>
        <w:t>Національного університету «Одеська юридична академія»</w:t>
      </w:r>
      <w:r w:rsidR="00200E87" w:rsidRPr="00511005">
        <w:rPr>
          <w:rFonts w:ascii="Arial" w:eastAsia="Times New Roman" w:hAnsi="Arial" w:cs="Arial"/>
          <w:szCs w:val="28"/>
          <w:shd w:val="clear" w:color="auto" w:fill="FFFFFF"/>
          <w:lang w:val="uk-UA" w:eastAsia="uk-UA"/>
        </w:rPr>
        <w:t> </w:t>
      </w:r>
    </w:p>
    <w:p w14:paraId="641B9285" w14:textId="3EE76E42" w:rsidR="00200E87" w:rsidRPr="00511005" w:rsidRDefault="00200E87" w:rsidP="003A292D">
      <w:pPr>
        <w:widowControl w:val="0"/>
        <w:spacing w:line="264" w:lineRule="auto"/>
        <w:ind w:firstLine="0"/>
        <w:jc w:val="center"/>
        <w:rPr>
          <w:rFonts w:ascii="Arial" w:eastAsia="Calibri" w:hAnsi="Arial" w:cs="Arial"/>
          <w:szCs w:val="28"/>
          <w:lang w:val="uk-UA" w:eastAsia="uk-UA"/>
        </w:rPr>
      </w:pPr>
    </w:p>
    <w:p w14:paraId="10D0E3C4" w14:textId="77777777" w:rsidR="00200E87" w:rsidRPr="00511005" w:rsidRDefault="00200E87" w:rsidP="003A292D">
      <w:pPr>
        <w:widowControl w:val="0"/>
        <w:spacing w:line="264" w:lineRule="auto"/>
        <w:ind w:firstLine="0"/>
        <w:jc w:val="center"/>
        <w:rPr>
          <w:rFonts w:ascii="Arial" w:eastAsia="Times New Roman" w:hAnsi="Arial" w:cs="Arial"/>
          <w:szCs w:val="28"/>
          <w:shd w:val="clear" w:color="auto" w:fill="FFFFFF"/>
          <w:lang w:val="uk-UA" w:eastAsia="uk-UA"/>
        </w:rPr>
      </w:pPr>
      <w:r w:rsidRPr="00511005">
        <w:rPr>
          <w:rFonts w:ascii="Arial" w:eastAsia="Times New Roman" w:hAnsi="Arial" w:cs="Arial"/>
          <w:b/>
          <w:szCs w:val="28"/>
          <w:shd w:val="clear" w:color="auto" w:fill="FFFFFF"/>
          <w:lang w:val="uk-UA" w:eastAsia="uk-UA"/>
        </w:rPr>
        <w:t>КРИМІНАЛЬНА ВІДПОВІДАЛЬНІСТЬ ЗА НЕЗАКОННЕ ПОЛЮВАННЯ В УМОВАХ ВОЄННОГО СТАНУ</w:t>
      </w:r>
      <w:r w:rsidRPr="00511005">
        <w:rPr>
          <w:rFonts w:ascii="Arial" w:eastAsia="Times New Roman" w:hAnsi="Arial" w:cs="Arial"/>
          <w:szCs w:val="28"/>
          <w:shd w:val="clear" w:color="auto" w:fill="FFFFFF"/>
          <w:lang w:val="uk-UA" w:eastAsia="uk-UA"/>
        </w:rPr>
        <w:t> </w:t>
      </w:r>
    </w:p>
    <w:p w14:paraId="38BE9BD0" w14:textId="77777777" w:rsidR="00200E87" w:rsidRPr="00511005" w:rsidRDefault="00200E87" w:rsidP="003A292D">
      <w:pPr>
        <w:widowControl w:val="0"/>
        <w:spacing w:line="264" w:lineRule="auto"/>
        <w:ind w:firstLine="0"/>
        <w:jc w:val="center"/>
        <w:rPr>
          <w:rFonts w:ascii="Arial" w:eastAsia="Calibri" w:hAnsi="Arial" w:cs="Arial"/>
          <w:szCs w:val="28"/>
          <w:lang w:val="uk-UA" w:eastAsia="uk-UA"/>
        </w:rPr>
      </w:pPr>
    </w:p>
    <w:p w14:paraId="036C4A97" w14:textId="77777777" w:rsidR="00200E87" w:rsidRPr="00511005" w:rsidRDefault="00200E87" w:rsidP="003A292D">
      <w:pPr>
        <w:widowControl w:val="0"/>
        <w:spacing w:line="264" w:lineRule="auto"/>
        <w:ind w:firstLine="0"/>
        <w:rPr>
          <w:rFonts w:ascii="Arial" w:eastAsia="Times New Roman" w:hAnsi="Arial" w:cs="Arial"/>
          <w:szCs w:val="28"/>
          <w:shd w:val="clear" w:color="auto" w:fill="FFFFFF"/>
          <w:lang w:val="uk-UA" w:eastAsia="uk-UA"/>
        </w:rPr>
      </w:pPr>
      <w:r w:rsidRPr="00511005">
        <w:rPr>
          <w:rFonts w:ascii="Arial" w:eastAsia="Times New Roman" w:hAnsi="Arial" w:cs="Arial"/>
          <w:szCs w:val="28"/>
          <w:shd w:val="clear" w:color="auto" w:fill="FFFFFF"/>
          <w:lang w:val="uk-UA" w:eastAsia="uk-UA"/>
        </w:rPr>
        <w:t xml:space="preserve">В умовах воєнного стану, коли країна стикається з серйозними порушеннями національної безпеки, економіки та інфраструктури, питання збереження природних ресурсів, зокрема дикої фауни, набуває особливої актуальності. Військові дії завдають значної шкоди природі, що вже призвело до масової загибелі тварин і птахів через обстріли, пожежі, руйнування природних екосистем [2]. На цьому фоні незаконне полювання стає ще більш небезпечним явищем, оскільки воно не лише поглиблює екологічну кризу, а й порушує правопорядок. Варто зазначити, що звуки пострілів у лісах, степах або біля населених пунктів можуть спричинити паніку серед цивільного населення. Люди, які пережили бойові дії, можуть сприймати такі </w:t>
      </w:r>
      <w:r w:rsidRPr="00511005">
        <w:rPr>
          <w:rFonts w:ascii="Arial" w:eastAsia="Times New Roman" w:hAnsi="Arial" w:cs="Arial"/>
          <w:szCs w:val="28"/>
          <w:shd w:val="clear" w:color="auto" w:fill="FFFFFF"/>
          <w:lang w:val="uk-UA" w:eastAsia="uk-UA"/>
        </w:rPr>
        <w:lastRenderedPageBreak/>
        <w:t>звуки як сигнал про небезпеку, що негативно впливає на їх психологічний стан. Особливо це стосоється регіонів, які були або залишаються в зоні активних бойових дій, де населення вже знаходиться у стані постійного стресу. Саме тому посилення контролю над використанням зброї у цивільних зонах та суворі санкції за незаконне полювання є необхідними заходами для забезпечення безпеки громадян.</w:t>
      </w:r>
      <w:r w:rsidRPr="00511005">
        <w:rPr>
          <w:rFonts w:ascii="Arial" w:eastAsia="Calibri" w:hAnsi="Arial" w:cs="Arial"/>
          <w:szCs w:val="28"/>
          <w:shd w:val="clear" w:color="auto" w:fill="FFFFFF"/>
          <w:lang w:val="uk-UA" w:eastAsia="uk-UA"/>
        </w:rPr>
        <w:t xml:space="preserve"> </w:t>
      </w:r>
      <w:r w:rsidRPr="00511005">
        <w:rPr>
          <w:rFonts w:ascii="Arial" w:eastAsia="Times New Roman" w:hAnsi="Arial" w:cs="Arial"/>
          <w:szCs w:val="28"/>
          <w:shd w:val="clear" w:color="auto" w:fill="FFFFFF"/>
          <w:lang w:val="uk-UA" w:eastAsia="uk-UA"/>
        </w:rPr>
        <w:t>Воєнні дії призводять до маштабних змін у природних екосистемах. Внаслідок бойових дій тварини змушені мігрувати, змінювати середовище проживання або ж гинуть під час обстрілів. Багато видів, які й без того перебували на межі зникнення можуть опинитися під загрозою вимирання. Зокрема, великі території заповідників та природоохоронних зон були зруйновані або стали місцями ведення бойових дій, що призвело до незворотних втрат у біорізноманітті [3]:</w:t>
      </w:r>
    </w:p>
    <w:p w14:paraId="6C763607" w14:textId="77777777" w:rsidR="00200E87" w:rsidRPr="00511005" w:rsidRDefault="00200E87" w:rsidP="003A292D">
      <w:pPr>
        <w:widowControl w:val="0"/>
        <w:spacing w:line="264" w:lineRule="auto"/>
        <w:ind w:firstLine="0"/>
        <w:rPr>
          <w:rFonts w:ascii="Arial" w:eastAsia="Times New Roman" w:hAnsi="Arial" w:cs="Arial"/>
          <w:szCs w:val="28"/>
          <w:shd w:val="clear" w:color="auto" w:fill="FFFFFF"/>
          <w:lang w:val="uk-UA" w:eastAsia="uk-UA"/>
        </w:rPr>
      </w:pPr>
      <w:r w:rsidRPr="00511005">
        <w:rPr>
          <w:rFonts w:ascii="Arial" w:eastAsia="Times New Roman" w:hAnsi="Arial" w:cs="Arial"/>
          <w:szCs w:val="28"/>
          <w:shd w:val="clear" w:color="auto" w:fill="FFFFFF"/>
          <w:lang w:val="uk-UA" w:eastAsia="uk-UA"/>
        </w:rPr>
        <w:t>1.Національний природний парк “Святі Гори” (Донецька область) - значні пошкодження через бойові дії, маштабні лісові пожежі, руйнування інфраструктури, загибель червонокнижних видів .</w:t>
      </w:r>
    </w:p>
    <w:p w14:paraId="0E03AD12" w14:textId="77777777" w:rsidR="00200E87" w:rsidRPr="00511005" w:rsidRDefault="00200E87" w:rsidP="003A292D">
      <w:pPr>
        <w:widowControl w:val="0"/>
        <w:spacing w:line="264" w:lineRule="auto"/>
        <w:ind w:firstLine="0"/>
        <w:rPr>
          <w:rFonts w:ascii="Arial" w:eastAsia="Calibri" w:hAnsi="Arial" w:cs="Arial"/>
          <w:szCs w:val="28"/>
          <w:lang w:val="uk-UA" w:eastAsia="uk-UA"/>
        </w:rPr>
      </w:pPr>
      <w:r w:rsidRPr="00511005">
        <w:rPr>
          <w:rFonts w:ascii="Arial" w:eastAsia="Calibri" w:hAnsi="Arial" w:cs="Arial"/>
          <w:szCs w:val="28"/>
          <w:lang w:val="uk-UA" w:eastAsia="uk-UA"/>
        </w:rPr>
        <w:t>2.Чорнобильський радіаційно-екологічний біосферний заповідник - окупація територій, ризики радіаційного забруднення, неконтрольовані пожежі.</w:t>
      </w:r>
    </w:p>
    <w:p w14:paraId="3E134F33" w14:textId="77777777" w:rsidR="00200E87" w:rsidRPr="00511005" w:rsidRDefault="00200E87" w:rsidP="003A292D">
      <w:pPr>
        <w:widowControl w:val="0"/>
        <w:spacing w:line="264" w:lineRule="auto"/>
        <w:ind w:firstLine="0"/>
        <w:rPr>
          <w:rFonts w:ascii="Arial" w:eastAsia="Calibri" w:hAnsi="Arial" w:cs="Arial"/>
          <w:szCs w:val="28"/>
          <w:lang w:val="uk-UA" w:eastAsia="uk-UA"/>
        </w:rPr>
      </w:pPr>
      <w:r w:rsidRPr="00511005">
        <w:rPr>
          <w:rFonts w:ascii="Arial" w:eastAsia="Calibri" w:hAnsi="Arial" w:cs="Arial"/>
          <w:szCs w:val="28"/>
          <w:lang w:val="uk-UA" w:eastAsia="uk-UA"/>
        </w:rPr>
        <w:t>3.Біосферний заповідник “Асканія Нова” (Херсонська область - порушення роботи через окупацію, відсутність належного догляду за флорою і фауною.</w:t>
      </w:r>
    </w:p>
    <w:p w14:paraId="05D23232" w14:textId="77777777" w:rsidR="00200E87" w:rsidRPr="00511005" w:rsidRDefault="00200E87" w:rsidP="003A292D">
      <w:pPr>
        <w:widowControl w:val="0"/>
        <w:spacing w:line="264" w:lineRule="auto"/>
        <w:ind w:firstLine="0"/>
        <w:rPr>
          <w:rFonts w:ascii="Arial" w:eastAsia="Calibri" w:hAnsi="Arial" w:cs="Arial"/>
          <w:szCs w:val="28"/>
          <w:lang w:val="uk-UA" w:eastAsia="uk-UA"/>
        </w:rPr>
      </w:pPr>
      <w:r w:rsidRPr="00511005">
        <w:rPr>
          <w:rFonts w:ascii="Arial" w:eastAsia="Calibri" w:hAnsi="Arial" w:cs="Arial"/>
          <w:szCs w:val="28"/>
          <w:lang w:val="uk-UA" w:eastAsia="uk-UA"/>
        </w:rPr>
        <w:t>4.Луганський природний заповідник (Луганська область) - знищення степових екосистем внаслідок артобстрілів і пожеж, тривала окупація.</w:t>
      </w:r>
    </w:p>
    <w:p w14:paraId="6BDC5365" w14:textId="77777777" w:rsidR="00200E87" w:rsidRPr="00511005" w:rsidRDefault="00200E87" w:rsidP="003A292D">
      <w:pPr>
        <w:widowControl w:val="0"/>
        <w:spacing w:line="264" w:lineRule="auto"/>
        <w:ind w:firstLine="0"/>
        <w:rPr>
          <w:rFonts w:ascii="Arial" w:eastAsia="Calibri" w:hAnsi="Arial" w:cs="Arial"/>
          <w:szCs w:val="28"/>
          <w:lang w:val="uk-UA" w:eastAsia="uk-UA"/>
        </w:rPr>
      </w:pPr>
      <w:r w:rsidRPr="00511005">
        <w:rPr>
          <w:rFonts w:ascii="Arial" w:eastAsia="Times New Roman" w:hAnsi="Arial" w:cs="Arial"/>
          <w:szCs w:val="28"/>
          <w:shd w:val="clear" w:color="auto" w:fill="FFFFFF"/>
          <w:lang w:val="uk-UA" w:eastAsia="uk-UA"/>
        </w:rPr>
        <w:t>Крім того, у зв’язку з воєнним станом в Україні діє заборона на відвідування лісів у багатьох регіонах, що є важливим заходом для збереження екологічної рівноваги та безпеки населення. Ця заборона пояснюється необхідністю запобігання випадковому потраплянню цивільних осіб в зони бойових дій, а також мінімалізацією ризиків незаконного полювання полювання та вирубки лісів. Крім того, значна частина лісових масивів у прифронтових регіонах є замінованими або містять нерозірвані боєприпаси, що становить серйозну загрозу для життя та здоров’я людей. Випадки вибухів на мінах вже призвели до численних жертв серед цивільного населення. </w:t>
      </w:r>
    </w:p>
    <w:p w14:paraId="7E784279" w14:textId="77777777" w:rsidR="00200E87" w:rsidRPr="00511005" w:rsidRDefault="00200E87" w:rsidP="003A292D">
      <w:pPr>
        <w:widowControl w:val="0"/>
        <w:spacing w:line="264" w:lineRule="auto"/>
        <w:ind w:firstLine="0"/>
        <w:rPr>
          <w:rFonts w:ascii="Arial" w:eastAsia="Times New Roman" w:hAnsi="Arial" w:cs="Arial"/>
          <w:szCs w:val="28"/>
          <w:shd w:val="clear" w:color="auto" w:fill="FFFFFF"/>
          <w:lang w:val="uk-UA" w:eastAsia="uk-UA"/>
        </w:rPr>
      </w:pPr>
      <w:r w:rsidRPr="00511005">
        <w:rPr>
          <w:rFonts w:ascii="Arial" w:eastAsia="Times New Roman" w:hAnsi="Arial" w:cs="Arial"/>
          <w:szCs w:val="28"/>
          <w:shd w:val="clear" w:color="auto" w:fill="FFFFFF"/>
          <w:lang w:val="uk-UA" w:eastAsia="uk-UA"/>
        </w:rPr>
        <w:t>На тлі загального хаосу, спричиненого війною, випадки браконьєрства значно почастішали. Деякі люди вдаються до незаконного полювання заради комерційної вигоди. Відсутність належного контролю з боку державних органів, які змушені зосереджувати зусилля на військових завданнях, лище посилює цю проблему, тому що незаконне полювання не тільки знищує популяцію тварин, але й сприяє розвитку кримінальної діяльності, адже часто пов’язане з нелегальною торгівлею зброєю, хабарництвом та іншими порушеннями закону [2]. </w:t>
      </w:r>
    </w:p>
    <w:p w14:paraId="669B14AA" w14:textId="77777777" w:rsidR="00200E87" w:rsidRPr="00511005" w:rsidRDefault="00200E87" w:rsidP="003A292D">
      <w:pPr>
        <w:widowControl w:val="0"/>
        <w:spacing w:line="264" w:lineRule="auto"/>
        <w:ind w:firstLine="0"/>
        <w:rPr>
          <w:rFonts w:ascii="Arial" w:eastAsia="Times New Roman" w:hAnsi="Arial" w:cs="Arial"/>
          <w:szCs w:val="28"/>
          <w:shd w:val="clear" w:color="auto" w:fill="FFFFFF"/>
          <w:lang w:val="uk-UA" w:eastAsia="uk-UA"/>
        </w:rPr>
      </w:pPr>
      <w:r w:rsidRPr="00511005">
        <w:rPr>
          <w:rFonts w:ascii="Arial" w:eastAsia="Times New Roman" w:hAnsi="Arial" w:cs="Arial"/>
          <w:szCs w:val="28"/>
          <w:shd w:val="clear" w:color="auto" w:fill="FFFFFF"/>
          <w:lang w:val="uk-UA" w:eastAsia="uk-UA"/>
        </w:rPr>
        <w:t xml:space="preserve">Законодавство України передбачає кримінальну відповідальність за незаконне полювання відповідно до статті 248 Кримінального кодексу України [1]. У період воєнного стану дана стаття набуває особливого </w:t>
      </w:r>
      <w:r w:rsidRPr="00511005">
        <w:rPr>
          <w:rFonts w:ascii="Arial" w:eastAsia="Times New Roman" w:hAnsi="Arial" w:cs="Arial"/>
          <w:szCs w:val="28"/>
          <w:shd w:val="clear" w:color="auto" w:fill="FFFFFF"/>
          <w:lang w:val="uk-UA" w:eastAsia="uk-UA"/>
        </w:rPr>
        <w:lastRenderedPageBreak/>
        <w:t>значення, оскільки посилюються заходи контролю та відповідальності за порушення природоохоронного законодавства. Незаконне полювання карається штрафами, громадськими роботами або позбавленням волі, особливо якщо воно призвело до значних екологічних збитків або здійснювалося в заборонених зонах[3,с. 150].</w:t>
      </w:r>
    </w:p>
    <w:p w14:paraId="6674AF92" w14:textId="77777777" w:rsidR="00200E87" w:rsidRPr="00511005" w:rsidRDefault="00200E87" w:rsidP="003A292D">
      <w:pPr>
        <w:widowControl w:val="0"/>
        <w:spacing w:line="264" w:lineRule="auto"/>
        <w:ind w:firstLine="0"/>
        <w:rPr>
          <w:rFonts w:ascii="Arial" w:eastAsia="Times New Roman" w:hAnsi="Arial" w:cs="Arial"/>
          <w:szCs w:val="28"/>
          <w:shd w:val="clear" w:color="auto" w:fill="FFFFFF"/>
          <w:lang w:val="uk-UA" w:eastAsia="uk-UA"/>
        </w:rPr>
      </w:pPr>
      <w:r w:rsidRPr="00511005">
        <w:rPr>
          <w:rFonts w:ascii="Arial" w:eastAsia="Times New Roman" w:hAnsi="Arial" w:cs="Arial"/>
          <w:szCs w:val="28"/>
          <w:shd w:val="clear" w:color="auto" w:fill="FFFFFF"/>
          <w:lang w:val="uk-UA" w:eastAsia="uk-UA"/>
        </w:rPr>
        <w:t>У період воєнного стану введено додаткові обмеження на використання вогнепальної зброї цивільним населенням, що також ускладнює можливість полювання. Однак випадки браконьєрства все одно трапляються, що потребує посилення заходів збоку правоохоронних органів та екологічної інспекції. Враховуючи небезпеку, яку несе незаконне полювання в умовах війни, необхідно запроваджувати жорсткіші санкції, зокрема збільшення термінів громадських робіт та суттєве підвищення штрафів.</w:t>
      </w:r>
    </w:p>
    <w:p w14:paraId="258070DF" w14:textId="77777777" w:rsidR="00200E87" w:rsidRPr="00511005" w:rsidRDefault="00200E87" w:rsidP="003A292D">
      <w:pPr>
        <w:widowControl w:val="0"/>
        <w:spacing w:line="264" w:lineRule="auto"/>
        <w:ind w:firstLine="0"/>
        <w:rPr>
          <w:rFonts w:ascii="Arial" w:eastAsia="Times New Roman" w:hAnsi="Arial" w:cs="Arial"/>
          <w:szCs w:val="28"/>
          <w:shd w:val="clear" w:color="auto" w:fill="FFFFFF"/>
          <w:lang w:val="uk-UA" w:eastAsia="uk-UA"/>
        </w:rPr>
      </w:pPr>
      <w:r w:rsidRPr="00511005">
        <w:rPr>
          <w:rFonts w:ascii="Arial" w:eastAsia="Times New Roman" w:hAnsi="Arial" w:cs="Arial"/>
          <w:szCs w:val="28"/>
          <w:shd w:val="clear" w:color="auto" w:fill="FFFFFF"/>
          <w:lang w:val="uk-UA" w:eastAsia="uk-UA"/>
        </w:rPr>
        <w:t>Для ефективної протидії незаконному полюванню доцільно проводити систематичні рейди, збільшувати кількість мобільних патрулів у лісах та на природоохоронних територіях, а також впроваджувати сучасні засоби моніторингу, зокрема безпілотники (дрони) та камери спостереження. Однак в умовах воєнного стану реалізація таких заходів значно ускладнюється, зважаючи на обмежений доступ до окремих територій, обмеження в русі цивільного населення, а також необхідність погодження з військовими адміністраціями. Проте, за умови координації з відповідними структурами (ЗСУ, ДСНС, Нацполіцією), окремі елементи системи контролю можуть бути впроваджені навіть в умовах воєнного часу. Особливої уваги потребує питання мінної небезпеки та наявності нерозірваних снарядів на територіях, які постраждали від бойових дій. Перед проведенням будь-яких рейдів, патрулювання чи волонтерської діяльності, необхідно здійснювати обов’язкове розмінування відповідними службами. В іншому разі подібні ініціативи можуть створити серйозну загрозу для життя та здоров’я учасників. Отже, заходи з протидії браконьєрству можливі навіть у складних умовах, але лише за суворого дотримання вимог безпеки, взаємодії з державними структурами та попереднього розмінування територій.</w:t>
      </w:r>
    </w:p>
    <w:p w14:paraId="4B76E604" w14:textId="77777777" w:rsidR="00200E87" w:rsidRPr="00511005" w:rsidRDefault="00200E87" w:rsidP="003A292D">
      <w:pPr>
        <w:widowControl w:val="0"/>
        <w:spacing w:line="264" w:lineRule="auto"/>
        <w:ind w:firstLine="0"/>
        <w:rPr>
          <w:rFonts w:ascii="Arial" w:eastAsia="Calibri" w:hAnsi="Arial" w:cs="Arial"/>
          <w:szCs w:val="28"/>
          <w:lang w:val="uk-UA" w:eastAsia="uk-UA"/>
        </w:rPr>
      </w:pPr>
    </w:p>
    <w:p w14:paraId="2B62FA7A" w14:textId="5B6E1E2A" w:rsidR="00200E87" w:rsidRPr="00511005" w:rsidRDefault="007B2628" w:rsidP="007B2628">
      <w:pPr>
        <w:widowControl w:val="0"/>
        <w:spacing w:line="264" w:lineRule="auto"/>
        <w:ind w:firstLine="0"/>
        <w:jc w:val="center"/>
        <w:rPr>
          <w:rFonts w:ascii="Arial" w:eastAsia="Calibri" w:hAnsi="Arial" w:cs="Arial"/>
          <w:szCs w:val="28"/>
          <w:lang w:val="uk-UA" w:eastAsia="uk-UA"/>
        </w:rPr>
      </w:pPr>
      <w:r w:rsidRPr="00511005">
        <w:rPr>
          <w:rFonts w:ascii="Arial" w:eastAsia="Times New Roman" w:hAnsi="Arial" w:cs="Arial"/>
          <w:b/>
          <w:szCs w:val="28"/>
          <w:shd w:val="clear" w:color="auto" w:fill="FFFFFF"/>
          <w:lang w:val="uk-UA" w:eastAsia="uk-UA"/>
        </w:rPr>
        <w:t>Список використаних джерел</w:t>
      </w:r>
      <w:r w:rsidR="00200E87" w:rsidRPr="00511005">
        <w:rPr>
          <w:rFonts w:ascii="Arial" w:eastAsia="Times New Roman" w:hAnsi="Arial" w:cs="Arial"/>
          <w:szCs w:val="28"/>
          <w:shd w:val="clear" w:color="auto" w:fill="FFFFFF"/>
          <w:lang w:val="uk-UA" w:eastAsia="uk-UA"/>
        </w:rPr>
        <w:t> </w:t>
      </w:r>
    </w:p>
    <w:p w14:paraId="0F2FD7B1" w14:textId="77777777" w:rsidR="00200E87" w:rsidRPr="00511005" w:rsidRDefault="00200E87" w:rsidP="003F6A5D">
      <w:pPr>
        <w:widowControl w:val="0"/>
        <w:numPr>
          <w:ilvl w:val="0"/>
          <w:numId w:val="542"/>
        </w:numPr>
        <w:spacing w:line="264" w:lineRule="auto"/>
        <w:contextualSpacing/>
        <w:jc w:val="left"/>
        <w:rPr>
          <w:rFonts w:ascii="Arial" w:eastAsia="Times New Roman" w:hAnsi="Arial" w:cs="Arial"/>
          <w:szCs w:val="28"/>
          <w:shd w:val="clear" w:color="auto" w:fill="FFFFFF"/>
          <w:lang w:val="uk-UA" w:eastAsia="uk-UA"/>
        </w:rPr>
      </w:pPr>
      <w:r w:rsidRPr="00511005">
        <w:rPr>
          <w:rFonts w:ascii="Arial" w:eastAsia="Times New Roman" w:hAnsi="Arial" w:cs="Arial"/>
          <w:szCs w:val="28"/>
          <w:shd w:val="clear" w:color="auto" w:fill="FFFFFF"/>
          <w:lang w:val="uk-UA" w:eastAsia="uk-UA"/>
        </w:rPr>
        <w:t xml:space="preserve">Кримінальний кодекс України від 01.02.2025. </w:t>
      </w:r>
      <w:hyperlink r:id="rId1898" w:anchor="n1661" w:history="1">
        <w:r w:rsidRPr="00511005">
          <w:rPr>
            <w:rFonts w:ascii="Arial" w:eastAsia="Times New Roman" w:hAnsi="Arial" w:cs="Arial"/>
            <w:szCs w:val="28"/>
            <w:shd w:val="clear" w:color="auto" w:fill="FFFFFF"/>
            <w:lang w:val="uk-UA" w:eastAsia="uk-UA"/>
          </w:rPr>
          <w:t>URL:https://zakon.rada.gov.ua/laws/show/2341-14/conv#n1661</w:t>
        </w:r>
      </w:hyperlink>
    </w:p>
    <w:p w14:paraId="39724BB6" w14:textId="77777777" w:rsidR="00200E87" w:rsidRPr="00511005" w:rsidRDefault="00200E87" w:rsidP="003F6A5D">
      <w:pPr>
        <w:widowControl w:val="0"/>
        <w:numPr>
          <w:ilvl w:val="0"/>
          <w:numId w:val="542"/>
        </w:numPr>
        <w:spacing w:line="264" w:lineRule="auto"/>
        <w:contextualSpacing/>
        <w:jc w:val="left"/>
        <w:rPr>
          <w:rFonts w:ascii="Arial" w:eastAsia="Times New Roman" w:hAnsi="Arial" w:cs="Arial"/>
          <w:szCs w:val="28"/>
          <w:shd w:val="clear" w:color="auto" w:fill="FFFFFF"/>
          <w:lang w:val="uk-UA" w:eastAsia="uk-UA"/>
        </w:rPr>
      </w:pPr>
      <w:r w:rsidRPr="00511005">
        <w:rPr>
          <w:rFonts w:ascii="Arial" w:eastAsia="Times New Roman" w:hAnsi="Arial" w:cs="Arial"/>
          <w:szCs w:val="28"/>
          <w:shd w:val="clear" w:color="auto" w:fill="FFFFFF"/>
          <w:lang w:val="uk-UA" w:eastAsia="uk-UA"/>
        </w:rPr>
        <w:t xml:space="preserve">Воєнні фактори впливу на тваринний світ України: поточні та прогнозовані наслідки. URL: </w:t>
      </w:r>
      <w:r w:rsidR="005938AD">
        <w:fldChar w:fldCharType="begin"/>
      </w:r>
      <w:r w:rsidR="005938AD" w:rsidRPr="00055389">
        <w:rPr>
          <w:lang w:val="en-US"/>
        </w:rPr>
        <w:instrText xml:space="preserve"> HYPERLINK "https://www.uahhg.org.ua/voyenni-faktori-vplivu-na-tvarinnij-svit-ukra%D1%97ni-potochni-ta-prognozovani-naslidki/" \h </w:instrText>
      </w:r>
      <w:r w:rsidR="005938AD">
        <w:fldChar w:fldCharType="separate"/>
      </w:r>
      <w:r w:rsidRPr="00511005">
        <w:rPr>
          <w:rFonts w:ascii="Arial" w:eastAsia="Times New Roman" w:hAnsi="Arial" w:cs="Arial"/>
          <w:szCs w:val="28"/>
          <w:shd w:val="clear" w:color="auto" w:fill="FFFFFF"/>
          <w:lang w:val="uk-UA" w:eastAsia="uk-UA"/>
        </w:rPr>
        <w:t>https://www.uahhg.org.ua/voyenni-faktori-vplivu-na-tvarinnij-svit-ukra%D1%97ni-potochni-ta-prognozovani-naslidki/</w:t>
      </w:r>
      <w:r w:rsidR="005938AD">
        <w:rPr>
          <w:rFonts w:ascii="Arial" w:eastAsia="Times New Roman" w:hAnsi="Arial" w:cs="Arial"/>
          <w:szCs w:val="28"/>
          <w:shd w:val="clear" w:color="auto" w:fill="FFFFFF"/>
          <w:lang w:val="uk-UA" w:eastAsia="uk-UA"/>
        </w:rPr>
        <w:fldChar w:fldCharType="end"/>
      </w:r>
      <w:r w:rsidRPr="00511005">
        <w:rPr>
          <w:rFonts w:ascii="Arial" w:eastAsia="Times New Roman" w:hAnsi="Arial" w:cs="Arial"/>
          <w:szCs w:val="28"/>
          <w:shd w:val="clear" w:color="auto" w:fill="FFFFFF"/>
          <w:lang w:val="uk-UA" w:eastAsia="uk-UA"/>
        </w:rPr>
        <w:t> </w:t>
      </w:r>
    </w:p>
    <w:p w14:paraId="70CF579C" w14:textId="77777777" w:rsidR="00200E87" w:rsidRPr="00511005" w:rsidRDefault="00200E87" w:rsidP="003F6A5D">
      <w:pPr>
        <w:widowControl w:val="0"/>
        <w:numPr>
          <w:ilvl w:val="0"/>
          <w:numId w:val="542"/>
        </w:numPr>
        <w:spacing w:line="264" w:lineRule="auto"/>
        <w:contextualSpacing/>
        <w:jc w:val="left"/>
        <w:rPr>
          <w:rFonts w:ascii="Arial" w:eastAsia="Times New Roman" w:hAnsi="Arial" w:cs="Arial"/>
          <w:szCs w:val="28"/>
          <w:shd w:val="clear" w:color="auto" w:fill="FFFFFF"/>
          <w:lang w:val="uk-UA" w:eastAsia="uk-UA"/>
        </w:rPr>
      </w:pPr>
      <w:r w:rsidRPr="00511005">
        <w:rPr>
          <w:rFonts w:ascii="Arial" w:eastAsia="Times New Roman" w:hAnsi="Arial" w:cs="Arial"/>
          <w:szCs w:val="28"/>
          <w:shd w:val="clear" w:color="auto" w:fill="FFFFFF"/>
          <w:lang w:val="uk-UA" w:eastAsia="uk-UA"/>
        </w:rPr>
        <w:t xml:space="preserve">Злочини проти тварин під час війни. URL: </w:t>
      </w:r>
      <w:r w:rsidR="005938AD">
        <w:fldChar w:fldCharType="begin"/>
      </w:r>
      <w:r w:rsidR="005938AD" w:rsidRPr="00055389">
        <w:rPr>
          <w:lang w:val="en-US"/>
        </w:rPr>
        <w:instrText xml:space="preserve"> HYPERLINK "https://justtalk.com.ua/post/zlochini-proti-tvarin-pid-chas-vijni" \h </w:instrText>
      </w:r>
      <w:r w:rsidR="005938AD">
        <w:fldChar w:fldCharType="separate"/>
      </w:r>
      <w:r w:rsidRPr="00511005">
        <w:rPr>
          <w:rFonts w:ascii="Arial" w:eastAsia="Times New Roman" w:hAnsi="Arial" w:cs="Arial"/>
          <w:szCs w:val="28"/>
          <w:shd w:val="clear" w:color="auto" w:fill="FFFFFF"/>
          <w:lang w:val="uk-UA" w:eastAsia="uk-UA"/>
        </w:rPr>
        <w:t>https://justtalk.com.ua/post/zlochini-proti-tvarin-pid-chas-vijni</w:t>
      </w:r>
      <w:r w:rsidR="005938AD">
        <w:rPr>
          <w:rFonts w:ascii="Arial" w:eastAsia="Times New Roman" w:hAnsi="Arial" w:cs="Arial"/>
          <w:szCs w:val="28"/>
          <w:shd w:val="clear" w:color="auto" w:fill="FFFFFF"/>
          <w:lang w:val="uk-UA" w:eastAsia="uk-UA"/>
        </w:rPr>
        <w:fldChar w:fldCharType="end"/>
      </w:r>
      <w:r w:rsidRPr="00511005">
        <w:rPr>
          <w:rFonts w:ascii="Arial" w:eastAsia="Times New Roman" w:hAnsi="Arial" w:cs="Arial"/>
          <w:szCs w:val="28"/>
          <w:shd w:val="clear" w:color="auto" w:fill="FFFFFF"/>
          <w:lang w:val="uk-UA" w:eastAsia="uk-UA"/>
        </w:rPr>
        <w:t> </w:t>
      </w:r>
    </w:p>
    <w:p w14:paraId="5B862F71" w14:textId="77777777" w:rsidR="007B2628" w:rsidRPr="00511005" w:rsidRDefault="00200E87" w:rsidP="003F6A5D">
      <w:pPr>
        <w:widowControl w:val="0"/>
        <w:numPr>
          <w:ilvl w:val="0"/>
          <w:numId w:val="542"/>
        </w:numPr>
        <w:spacing w:line="264" w:lineRule="auto"/>
        <w:contextualSpacing/>
        <w:jc w:val="left"/>
        <w:rPr>
          <w:rFonts w:ascii="Arial" w:eastAsia="Times New Roman" w:hAnsi="Arial" w:cs="Arial"/>
          <w:szCs w:val="28"/>
          <w:shd w:val="clear" w:color="auto" w:fill="FFFFFF"/>
          <w:lang w:val="uk-UA" w:eastAsia="uk-UA"/>
        </w:rPr>
      </w:pPr>
      <w:r w:rsidRPr="00511005">
        <w:rPr>
          <w:rFonts w:ascii="Arial" w:eastAsia="Times New Roman" w:hAnsi="Arial" w:cs="Arial"/>
          <w:szCs w:val="28"/>
          <w:shd w:val="clear" w:color="auto" w:fill="FFFFFF"/>
          <w:lang w:val="uk-UA" w:eastAsia="uk-UA"/>
        </w:rPr>
        <w:t>Сучасні тенденції розвитку криміналістики та кримінального процесу в умовах воєнного стану. URL:https://dspace.univd.edu.ua/server/api/core/bitstreams/b1d35971-ce11-</w:t>
      </w:r>
      <w:r w:rsidRPr="00511005">
        <w:rPr>
          <w:rFonts w:ascii="Arial" w:eastAsia="Times New Roman" w:hAnsi="Arial" w:cs="Arial"/>
          <w:szCs w:val="28"/>
          <w:shd w:val="clear" w:color="auto" w:fill="FFFFFF"/>
          <w:lang w:val="uk-UA" w:eastAsia="uk-UA"/>
        </w:rPr>
        <w:lastRenderedPageBreak/>
        <w:t>46dd-85ac-7fcd40a4d909/content</w:t>
      </w:r>
    </w:p>
    <w:p w14:paraId="6C9772F3" w14:textId="21127102" w:rsidR="00200E87" w:rsidRPr="00511005" w:rsidRDefault="00200E87" w:rsidP="003A292D">
      <w:pPr>
        <w:widowControl w:val="0"/>
        <w:spacing w:line="264" w:lineRule="auto"/>
        <w:ind w:firstLine="0"/>
        <w:rPr>
          <w:rFonts w:ascii="Arial" w:eastAsia="Calibri" w:hAnsi="Arial" w:cs="Arial"/>
          <w:szCs w:val="28"/>
          <w:lang w:val="uk-UA" w:eastAsia="uk-UA"/>
        </w:rPr>
      </w:pPr>
    </w:p>
    <w:p w14:paraId="0921CA85" w14:textId="52A13F5C" w:rsidR="00200E87" w:rsidRPr="00511005" w:rsidRDefault="007B2628" w:rsidP="003A292D">
      <w:pPr>
        <w:widowControl w:val="0"/>
        <w:spacing w:line="264" w:lineRule="auto"/>
        <w:ind w:firstLine="0"/>
        <w:rPr>
          <w:rFonts w:ascii="Arial" w:eastAsia="Calibri" w:hAnsi="Arial" w:cs="Arial"/>
          <w:bCs/>
          <w:szCs w:val="28"/>
          <w:lang w:val="uk-UA" w:eastAsia="uk-UA"/>
        </w:rPr>
      </w:pPr>
      <w:r w:rsidRPr="00511005">
        <w:rPr>
          <w:rFonts w:ascii="Arial" w:eastAsia="Times New Roman" w:hAnsi="Arial" w:cs="Arial"/>
          <w:b/>
          <w:i/>
          <w:szCs w:val="28"/>
          <w:shd w:val="clear" w:color="auto" w:fill="FFFFFF"/>
          <w:lang w:val="uk-UA" w:eastAsia="uk-UA"/>
        </w:rPr>
        <w:t xml:space="preserve">Ключові слова: </w:t>
      </w:r>
      <w:r w:rsidR="00200E87" w:rsidRPr="00511005">
        <w:rPr>
          <w:rFonts w:ascii="Arial" w:eastAsia="Times New Roman" w:hAnsi="Arial" w:cs="Arial"/>
          <w:bCs/>
          <w:szCs w:val="28"/>
          <w:shd w:val="clear" w:color="auto" w:fill="FFFFFF"/>
          <w:lang w:val="uk-UA" w:eastAsia="uk-UA"/>
        </w:rPr>
        <w:t>кримінальні правопорушення проти довкілля, незаконне полювання, незаконне використання зброї, забезпечення безпеки громадян, екологічна криза</w:t>
      </w:r>
    </w:p>
    <w:p w14:paraId="7062F5B4" w14:textId="3EB2D6AC" w:rsidR="00200E87" w:rsidRPr="00511005" w:rsidRDefault="007B2628" w:rsidP="003A292D">
      <w:pPr>
        <w:widowControl w:val="0"/>
        <w:spacing w:line="264" w:lineRule="auto"/>
        <w:ind w:firstLine="0"/>
        <w:rPr>
          <w:rFonts w:ascii="Arial" w:eastAsia="Calibri" w:hAnsi="Arial" w:cs="Arial"/>
          <w:bCs/>
          <w:szCs w:val="28"/>
          <w:lang w:val="uk-UA" w:eastAsia="uk-UA"/>
        </w:rPr>
      </w:pPr>
      <w:r w:rsidRPr="00511005">
        <w:rPr>
          <w:rFonts w:ascii="Arial" w:eastAsia="Times New Roman" w:hAnsi="Arial" w:cs="Arial"/>
          <w:b/>
          <w:i/>
          <w:szCs w:val="28"/>
          <w:shd w:val="clear" w:color="auto" w:fill="FFFFFF"/>
          <w:lang w:val="uk-UA" w:eastAsia="uk-UA"/>
        </w:rPr>
        <w:t xml:space="preserve">Key words: </w:t>
      </w:r>
      <w:r w:rsidR="00200E87" w:rsidRPr="00511005">
        <w:rPr>
          <w:rFonts w:ascii="Arial" w:eastAsia="Times New Roman" w:hAnsi="Arial" w:cs="Arial"/>
          <w:szCs w:val="28"/>
          <w:shd w:val="clear" w:color="auto" w:fill="FFFFFF"/>
          <w:lang w:val="uk-UA" w:eastAsia="uk-UA"/>
        </w:rPr>
        <w:t>criminal offenses against the environment, illegal hunting, illegal use of weapons, ensuring public safety, environmental crisis</w:t>
      </w:r>
      <w:r w:rsidR="00200E87" w:rsidRPr="00511005">
        <w:rPr>
          <w:rFonts w:ascii="Arial" w:eastAsia="Calibri" w:hAnsi="Arial" w:cs="Arial"/>
          <w:bCs/>
          <w:szCs w:val="28"/>
          <w:lang w:val="uk-UA" w:eastAsia="uk-UA"/>
        </w:rPr>
        <w:t>.</w:t>
      </w:r>
    </w:p>
    <w:p w14:paraId="1F78ECBC" w14:textId="77777777" w:rsidR="00200E87" w:rsidRPr="00511005" w:rsidRDefault="00200E87" w:rsidP="003A292D">
      <w:pPr>
        <w:widowControl w:val="0"/>
        <w:spacing w:line="264" w:lineRule="auto"/>
        <w:ind w:firstLine="0"/>
        <w:rPr>
          <w:rFonts w:ascii="Arial" w:eastAsia="Calibri" w:hAnsi="Arial" w:cs="Arial"/>
          <w:bCs/>
          <w:szCs w:val="28"/>
          <w:lang w:val="uk-UA" w:eastAsia="uk-UA"/>
        </w:rPr>
      </w:pPr>
    </w:p>
    <w:p w14:paraId="7D1EA2F6" w14:textId="58A2F574" w:rsidR="00200E87" w:rsidRPr="00511005" w:rsidRDefault="007B2628" w:rsidP="003A292D">
      <w:pPr>
        <w:widowControl w:val="0"/>
        <w:spacing w:line="264" w:lineRule="auto"/>
        <w:ind w:firstLine="0"/>
        <w:rPr>
          <w:rFonts w:ascii="Arial" w:eastAsia="Calibri" w:hAnsi="Arial" w:cs="Arial"/>
          <w:szCs w:val="28"/>
          <w:lang w:eastAsia="uk-UA"/>
        </w:rPr>
      </w:pPr>
      <w:r w:rsidRPr="00511005">
        <w:rPr>
          <w:rFonts w:ascii="Arial" w:eastAsia="Times New Roman" w:hAnsi="Arial" w:cs="Arial"/>
          <w:b/>
          <w:i/>
          <w:szCs w:val="28"/>
          <w:shd w:val="clear" w:color="auto" w:fill="FFFFFF"/>
          <w:lang w:val="uk-UA" w:eastAsia="uk-UA"/>
        </w:rPr>
        <w:t xml:space="preserve">Науковий керівник: </w:t>
      </w:r>
      <w:r w:rsidR="00200E87" w:rsidRPr="00511005">
        <w:rPr>
          <w:rFonts w:ascii="Arial" w:eastAsia="Times New Roman" w:hAnsi="Arial" w:cs="Arial"/>
          <w:i/>
          <w:szCs w:val="28"/>
          <w:shd w:val="clear" w:color="auto" w:fill="FFFFFF"/>
          <w:lang w:val="uk-UA" w:eastAsia="uk-UA"/>
        </w:rPr>
        <w:t>д.ю.н, професор Коломієць Ю.Ю.</w:t>
      </w:r>
      <w:r w:rsidR="00200E87" w:rsidRPr="00511005">
        <w:rPr>
          <w:rFonts w:ascii="Arial" w:eastAsia="Times New Roman" w:hAnsi="Arial" w:cs="Arial"/>
          <w:szCs w:val="28"/>
          <w:shd w:val="clear" w:color="auto" w:fill="FFFFFF"/>
          <w:lang w:val="uk-UA" w:eastAsia="uk-UA"/>
        </w:rPr>
        <w:t> </w:t>
      </w:r>
    </w:p>
    <w:p w14:paraId="1B5EC030" w14:textId="77777777" w:rsidR="00200E87" w:rsidRPr="00511005" w:rsidRDefault="00200E87" w:rsidP="003A292D">
      <w:pPr>
        <w:spacing w:line="264" w:lineRule="auto"/>
        <w:ind w:firstLine="0"/>
        <w:jc w:val="left"/>
        <w:rPr>
          <w:rFonts w:ascii="Arial" w:eastAsia="Calibri" w:hAnsi="Arial" w:cs="Arial"/>
          <w:szCs w:val="28"/>
          <w:lang w:val="uk-UA" w:eastAsia="uk-UA"/>
        </w:rPr>
      </w:pPr>
    </w:p>
    <w:p w14:paraId="7515C824" w14:textId="77777777" w:rsidR="00200E87" w:rsidRPr="00511005" w:rsidRDefault="00200E87" w:rsidP="003A292D">
      <w:pPr>
        <w:spacing w:line="264" w:lineRule="auto"/>
        <w:ind w:firstLine="0"/>
        <w:jc w:val="center"/>
        <w:rPr>
          <w:rFonts w:ascii="Arial" w:eastAsia="Calibri" w:hAnsi="Arial" w:cs="Arial"/>
          <w:szCs w:val="28"/>
          <w:lang w:val="uk-UA"/>
        </w:rPr>
      </w:pPr>
    </w:p>
    <w:p w14:paraId="5FAC0783" w14:textId="77777777" w:rsidR="00200E87" w:rsidRPr="00511005" w:rsidRDefault="00200E87"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i/>
          <w:iCs/>
          <w:szCs w:val="28"/>
          <w:lang w:val="uk-UA" w:eastAsia="uk-UA"/>
        </w:rPr>
        <w:t>Степаненко Руслана Андріївна</w:t>
      </w:r>
    </w:p>
    <w:p w14:paraId="65A915DD" w14:textId="57E3997C" w:rsidR="00200E87"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3-го курсу </w:t>
      </w:r>
      <w:r w:rsidR="001B7B25" w:rsidRPr="00511005">
        <w:rPr>
          <w:rFonts w:ascii="Arial" w:eastAsia="Times New Roman" w:hAnsi="Arial" w:cs="Arial"/>
          <w:szCs w:val="28"/>
          <w:lang w:val="uk-UA" w:eastAsia="uk-UA"/>
        </w:rPr>
        <w:t>факультету судового та міжнародного права</w:t>
      </w:r>
    </w:p>
    <w:p w14:paraId="22B8A0FE" w14:textId="46B4E96A" w:rsidR="00200E87" w:rsidRPr="00511005" w:rsidRDefault="00BE3972"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200504B8" w14:textId="77777777" w:rsidR="00200E87" w:rsidRPr="00511005" w:rsidRDefault="00200E87" w:rsidP="003A292D">
      <w:pPr>
        <w:spacing w:line="264" w:lineRule="auto"/>
        <w:ind w:firstLine="0"/>
        <w:jc w:val="center"/>
        <w:rPr>
          <w:rFonts w:ascii="Arial" w:eastAsia="Calibri" w:hAnsi="Arial" w:cs="Arial"/>
          <w:szCs w:val="28"/>
          <w:lang w:val="uk-UA"/>
        </w:rPr>
      </w:pPr>
    </w:p>
    <w:p w14:paraId="7B92D584" w14:textId="77777777" w:rsidR="00200E87" w:rsidRPr="00511005" w:rsidRDefault="00200E8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КРИМІНАЛЬНА ВІДПОВІДАЛЬНІСТЬ ЗА ДОМАГАННЯ ДИТИНИ ДЛЯ СЕКСУАЛЬНИХ ЦІЛЕЙ</w:t>
      </w:r>
    </w:p>
    <w:p w14:paraId="4B161E84" w14:textId="77777777" w:rsidR="00200E87" w:rsidRPr="00511005" w:rsidRDefault="00200E87" w:rsidP="003A292D">
      <w:pPr>
        <w:spacing w:line="264" w:lineRule="auto"/>
        <w:ind w:firstLine="0"/>
        <w:jc w:val="center"/>
        <w:rPr>
          <w:rFonts w:ascii="Arial" w:eastAsia="Calibri" w:hAnsi="Arial" w:cs="Arial"/>
          <w:b/>
          <w:szCs w:val="28"/>
          <w:lang w:val="uk-UA"/>
        </w:rPr>
      </w:pPr>
    </w:p>
    <w:p w14:paraId="2A9D87A5"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Україна, як держава, що прагне до європейських стандартів у сфері прав людини, активно впроваджує міжнародні норми для захисту найвразливіших верств населення </w:t>
      </w:r>
      <w:r w:rsidRPr="00511005">
        <w:rPr>
          <w:rFonts w:ascii="Arial" w:eastAsia="Calibri" w:hAnsi="Arial" w:cs="Arial"/>
          <w:szCs w:val="28"/>
        </w:rPr>
        <w:t>–</w:t>
      </w:r>
      <w:r w:rsidRPr="00511005">
        <w:rPr>
          <w:rFonts w:ascii="Arial" w:eastAsia="Calibri" w:hAnsi="Arial" w:cs="Arial"/>
          <w:szCs w:val="28"/>
          <w:lang w:val="uk-UA"/>
        </w:rPr>
        <w:t xml:space="preserve"> дітей. </w:t>
      </w:r>
      <w:r w:rsidRPr="00511005">
        <w:rPr>
          <w:rFonts w:ascii="Arial" w:eastAsia="Times New Roman" w:hAnsi="Arial" w:cs="Arial"/>
          <w:szCs w:val="28"/>
          <w:lang w:val="uk-UA"/>
        </w:rPr>
        <w:t xml:space="preserve">Особисто я вважаю, що питання захисту дітей від сексуального насильства повинно бути в пріоритеті не лише на законодавчому рівні, але й у свідомості кожного громадянина. </w:t>
      </w:r>
      <w:r w:rsidRPr="00511005">
        <w:rPr>
          <w:rFonts w:ascii="Arial" w:eastAsia="Calibri" w:hAnsi="Arial" w:cs="Arial"/>
          <w:szCs w:val="28"/>
          <w:lang w:val="uk-UA"/>
        </w:rPr>
        <w:t>В умовах сучасного українського суспільства, яке прагне до інтеграції в європейське правове поле, питання кримінальної відповідальності за домагання дітей для сексуальних цілей набуває особливої актуальності. Однією з основних проблем є недостатня обізнаність суспільства щодо нових законодавчих змін, що ускладнює їх ефективне застосування. Складність доведення злочинів, пов'язаних із домаганням, викликана віковими особливостями жертв, які часто не можуть адекватно сприймати та висловлювати свої переживання. Крім того, дотримання суворих процесуальних норм під час розгляду справ може затягувати судові процедури, що негативно впливає на захист прав потерпілих. Психологічні наслідки для жертв домагань є ще однією важливою проблемою, оскільки діти, які стали жертвами сексуальної експлуатації, часто зазнають серйозних травм, що можуть мати тривалі наслідки для їхнього психічного розвитку. Важливо зазначити, що відсутність системи підтримки для жертв та їхніх родин ускладнює процес реабілітації та соціальної адаптації. Таким чином, ефективне вирішення зазначених проблем є необхідною умовою для забезпечення належного захисту прав дітей в Україні та запобігання сексуальній експлуатації неповнолітніх.</w:t>
      </w:r>
    </w:p>
    <w:p w14:paraId="786988AC"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Одним із ключових кроків у цьому напрямку стало прийняття Закону № 1256-IX від 18 лютого 2021 року, який вніс зміни до деяких законодавчих актів </w:t>
      </w:r>
      <w:r w:rsidRPr="00511005">
        <w:rPr>
          <w:rFonts w:ascii="Arial" w:eastAsia="Calibri" w:hAnsi="Arial" w:cs="Arial"/>
          <w:szCs w:val="28"/>
          <w:lang w:val="uk-UA"/>
        </w:rPr>
        <w:lastRenderedPageBreak/>
        <w:t>України з метою імплементації Конвенції Ради Європи про захист дітей від сексуальної експлуатації та сексуального насильства (Лансаротської конвенції) [1]. Зокрема, до Кримінального кодексу України була додана стаття 156-1, що криміналізує домагання дитини для сексуальних цілей [2]. Положення цієї статті охоплює пропозиції про зустріч, адресовані неповнолітнім особам з боку повнолітніх для здійснення будь-яких форм статевого контакту, розбещеної поведінки чи залучення дитини до виготовлення порнографічної продукції. Обов'язковою ознакою кримінального правопорушення є вчинення суб’єктом хоча б однієї спроби реалізувати зустріч, наприклад, шляхом очікування потерпілої особи у визначеному місці, придбання квитків на її ім’я, замовлення таксі, запрошення сісти в автомобіль, переказу коштів як «передоплати», а також шляхом умовлянь, обіцянок або погроз у місцях перебування дитини, таких як школа чи вулиця (окрім випадків викрадення, де додатково застосовується стаття 146 КК України). Підозра у домаганні до дитини може бути висунута навіть у разі, якщо винна особа не змогла зустрітися з потерпілою особою особисто або за допомогою відеозв'язку, але здійснювала непристойні пропозиції через Інтернет, телефон або за участю посередників. Кожен випадок безпосереднього контакту (зустрічі) повинен перевірятися на предмет наявності складу кримінальних правопорушень проти суспільної моралі, сексуальної свободи та недоторканності дитини, передбачених статтями 152-156, а також статтями 301-1–303 Кримінального кодексу України.</w:t>
      </w:r>
    </w:p>
    <w:p w14:paraId="03AD367C"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судовій практиці під час розгляду справ, пов’язаних із статевими правопорушеннями, особлива увага приділяється суворому дотриманню процесуальних норм. Вимоги законодавства передбачають, що суд повинен ретельно встановити наявність у діях обвинуваченого всіх ознак складу кримінального правопорушення, передбаченого статтею 156-1 Кримінального кодексу України. Вказана правова норма спрямована на забезпечення захисту статевої недоторканості особи, яка є основним безпосереднім об’єктом правової охорони. Поняття статевої недоторканості визначається як правовий стан, що гарантує захист особи від будь-яких сексуальних посягань, особливо щодо осіб, які через вік або психічний стан не здатні усвідомлено розпоряджатися своєю сексуальною свободою. Основним об’єктом кримінального правопорушення є статева недоторканість, що виступає суспільним благом, яке охороняється державою та передбачає заборону на вступ у сексуальні відносини з особами, які не здатні дати згоду внаслідок недосягнення певного віку або через психічні розлади. Додатковим, але обов’язковим об’єктом є забезпечення нормального фізичного, психічного та духовного розвитку дітей, оскільки кримінальне правопорушення не лише посягає на сексуальну </w:t>
      </w:r>
      <w:r w:rsidRPr="00511005">
        <w:rPr>
          <w:rFonts w:ascii="Arial" w:eastAsia="Calibri" w:hAnsi="Arial" w:cs="Arial"/>
          <w:szCs w:val="28"/>
          <w:lang w:val="uk-UA"/>
        </w:rPr>
        <w:lastRenderedPageBreak/>
        <w:t>свободу, але й завдає шкоди формуванню особистості неповнолітнього, що може спричинити серйозні та тривалі психологічні травми [3, с. 428].</w:t>
      </w:r>
    </w:p>
    <w:p w14:paraId="270FDA3C"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Обов’язковою ознакою складу кримінального правопорушення є наявність потерпілого – фізичної особи, яка не досягла 16-річного віку або є малолітньою (до 14 років), як це передбачено частинами першою та третьою статті 156-1 Кримінального кодексу України. Стать, сексуальна орієнтація та гендерна ідентичність потерпілого не впливають на кваліфікацію діяння, адже законодавець виходить із презумпції нездатності неповнолітньої особи до усвідомленого сексуального самовизначення. Кримінальне правопорушення, передбачене статтею 156-1 Кримінального кодексу України, може бути вчинене двома основними способами: пропозиція зустрічі з метою вчинення сексуальних або розпусних дій з особою, яка не досягла 16-річного віку, що може здійснюватися як особисто, так і через мережу Інтернет, зокрема за допомогою месенджерів та соціальних мереж; залучення неповнолітнього до виготовлення порнографічних матеріалів. Для кваліфікації такого правопорушення не є обов’язковим фактичне вчинення сексуального акту – достатньо лише пропозиції або спроби залучення.</w:t>
      </w:r>
    </w:p>
    <w:p w14:paraId="26340990"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Склад кримінального правопорушення має формальний характер. Вважається, що таке правопорушення є закінченим з моменту, коли потерпіла особа отримала пропозицію зустрітися та здійснила хоча б одну дію, спрямовану на реалізацію цієї зустрічі, або була втягнута у процес створення дитячої порнографії. Суб’єктивна сторона даного діяння характеризується наявністю прямого умислу. Обов’язковим елементом суб’єктивної сторони виступає мета, яка має подвійний зміст: досягнення зустрічі з неповнолітньою особою з подальшим її використанням для здійснення інтимних дій або створення порнографічних матеріалів, що містять зображення дитячих геніталій, відвертих сцен чи сексуальної поведінки в реальному чи візуалізованому вигляді. Мотивувальними чинниками можуть виступати прагнення задоволення статевого потягу, приниження честі та гідності потерпілого, демонстрація зневаги до суспільних моральних норм або отримання матеріальної вигоди. Важливо відзначити, що саме наявність сексуальної мети визначає кримінальну природу домагань, спрямованих на дитину. За відсутності такого компоненту, пропозиція зустрічі чи дії, що передують її організації, не набувають суспільно небезпечного значення.</w:t>
      </w:r>
    </w:p>
    <w:p w14:paraId="355FA404"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Під діями «сексуального характеру» розуміються акти, що мають чітко виражену сексуальну конотацію, виключаючи ті, що позбавлені подібного елемента. Розпусні дії, у свою чергу, обов’язково містять сексуальний підтекст і можуть виражатися у формі фізичного чи інтелектуального розбещення. Їх відмінною рисою є відсутність безпосередніх статевих контактів із потерпілим. Відповідно до положень кримінального права та </w:t>
      </w:r>
      <w:r w:rsidRPr="00511005">
        <w:rPr>
          <w:rFonts w:ascii="Arial" w:eastAsia="Calibri" w:hAnsi="Arial" w:cs="Arial"/>
          <w:szCs w:val="28"/>
          <w:lang w:val="uk-UA"/>
        </w:rPr>
        <w:lastRenderedPageBreak/>
        <w:t>тлумачень, наведених у постанові Пленуму Верховного Суду України «Про судову практику у справах про злочини проти статевої свободи та статевої недоторканості особи» від 30 травня 2008 року № 5, фізичне розбещення включає такі дії, як оголення геніталій, їх мацання, навчання онанізму, імітація статевого акту, примушування потерпілих до взаємних сексуальних дій тощо. До інтелектуального розбещення належать цинічні обговорення сексуальних тем із неповнолітньою особою, демонстрація порнографічних матеріалів, фотографування у відвертих позах та інші подібні дії [4].</w:t>
      </w:r>
    </w:p>
    <w:p w14:paraId="31240AF7"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Відповідно до частини першої, пропозиція зустрічі сексуально-розпусного характеру, у тому числі з використанням інформаційно-телекомунікаційних систем або технологій, від особи, яка досягла 18-річного віку, щодо особи будь-якої статі, яка не досягла 16-річного віку, карається обмеженням волі на строк до трьох років або позбавленням волі на такий самий строк із додатковою забороною обіймати певні посади чи займатися визначеною діяльністю на строк до трьох років. Частина друга встановлює кримінальну відповідальність за пропозицію зустрічі сексуально-розпусного характеру від повнолітньої особи стосовно неповнолітньої особи будь-якої статі з метою залучення останньої до створення дитячої порнографії, що передбачає позбавлення волі на строк від двох до п’яти років із забороною обіймати певні посади або займатися визначеною діяльністю до трьох років. У частині третій визначені кваліфікуючі ознаки вказаного кримінального правопорушення, зокрема вчинення його за попередньою змовою групою осіб, повторність дій (якщо винна особа вже вчинила порушення, передбачене частинами першою або другою цієї статті), а також вчинення стосовно малолітньої особи, яка не досягла 14-річного віку. Санкція за такі дії передбачає позбавлення волі на строк від трьох до шести років із додатковим обмеженням права обіймати певні посади або займатися визначеною діяльністю на строк до трьох років [2].</w:t>
      </w:r>
    </w:p>
    <w:p w14:paraId="4EC57395"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Отже, впровадження статті 156-1 КК України охороняє інтереси неповнолітніх, забезпечуючи їхній фізичний і психічний розвиток.</w:t>
      </w:r>
      <w:r w:rsidRPr="00511005">
        <w:rPr>
          <w:rFonts w:ascii="Arial" w:eastAsia="Times New Roman" w:hAnsi="Arial" w:cs="Arial"/>
          <w:szCs w:val="28"/>
          <w:lang w:val="uk-UA"/>
        </w:rPr>
        <w:t xml:space="preserve"> На мою думку, ефективність цього правового механізму значною мірою залежить не лише від досконалості законодавства, а й від реальної практики його застосування. </w:t>
      </w:r>
      <w:r w:rsidRPr="00511005">
        <w:rPr>
          <w:rFonts w:ascii="Arial" w:eastAsia="Calibri" w:hAnsi="Arial" w:cs="Arial"/>
          <w:szCs w:val="28"/>
          <w:lang w:val="uk-UA"/>
        </w:rPr>
        <w:t>Судова практика вимагає ретельного аналізу обставин справи, зокрема встановлення віку потерпілого, способу вчинення кримінального правопорушення та мотивів злочинця. Ефективне застосування цієї норми повинно сприяти запобіганню сексуальній експлуатації дітей та підлітків, що є важливим кроком у захисті прав дитини в Україні.</w:t>
      </w:r>
    </w:p>
    <w:p w14:paraId="07EFEA68" w14:textId="77777777" w:rsidR="00200E87" w:rsidRPr="00511005" w:rsidRDefault="00200E87" w:rsidP="003A292D">
      <w:pPr>
        <w:spacing w:line="264" w:lineRule="auto"/>
        <w:ind w:firstLine="0"/>
        <w:rPr>
          <w:rFonts w:ascii="Arial" w:eastAsia="Calibri" w:hAnsi="Arial" w:cs="Arial"/>
          <w:szCs w:val="28"/>
          <w:lang w:val="uk-UA"/>
        </w:rPr>
      </w:pPr>
    </w:p>
    <w:p w14:paraId="1A005201" w14:textId="444BDFA5" w:rsidR="00200E8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1956A903" w14:textId="77777777" w:rsidR="00200E87" w:rsidRPr="00511005" w:rsidRDefault="00200E87" w:rsidP="003F6A5D">
      <w:pPr>
        <w:numPr>
          <w:ilvl w:val="0"/>
          <w:numId w:val="54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Про внесення змін до деяких законодавчих актів України щодо імплементації Конвенції Ради Європи про захист дітей від сексуальної </w:t>
      </w:r>
      <w:r w:rsidRPr="00511005">
        <w:rPr>
          <w:rFonts w:ascii="Arial" w:eastAsia="Calibri" w:hAnsi="Arial" w:cs="Arial"/>
          <w:szCs w:val="28"/>
          <w:lang w:val="uk-UA"/>
        </w:rPr>
        <w:lastRenderedPageBreak/>
        <w:t>експлуатації та сексуального насильства (Ланцаротської конвенції) : Закон України від 18.02.2021 № 1256-IX : станом на 31 берез. 2023 р. URL: </w:t>
      </w:r>
      <w:hyperlink r:id="rId1899" w:anchor="Text" w:tgtFrame="_blank" w:history="1">
        <w:r w:rsidRPr="00511005">
          <w:rPr>
            <w:rFonts w:ascii="Arial" w:eastAsia="Calibri" w:hAnsi="Arial" w:cs="Arial"/>
            <w:szCs w:val="28"/>
            <w:lang w:val="uk-UA"/>
          </w:rPr>
          <w:t>https://zakon.rada.gov.ua/laws/show/1256-20#Text</w:t>
        </w:r>
      </w:hyperlink>
      <w:r w:rsidRPr="00511005">
        <w:rPr>
          <w:rFonts w:ascii="Arial" w:eastAsia="Calibri" w:hAnsi="Arial" w:cs="Arial"/>
          <w:szCs w:val="28"/>
          <w:lang w:val="uk-UA"/>
        </w:rPr>
        <w:t> (дата звернення: 01.04.2025).</w:t>
      </w:r>
    </w:p>
    <w:p w14:paraId="2C9E97DB" w14:textId="77777777" w:rsidR="00200E87" w:rsidRPr="00511005" w:rsidRDefault="00200E87" w:rsidP="003F6A5D">
      <w:pPr>
        <w:numPr>
          <w:ilvl w:val="0"/>
          <w:numId w:val="54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Кримінальний кодекс України : Кодекс України від 05.04.2001 № 2341-III : станом на 1 лют. 2025 р. URL: </w:t>
      </w:r>
      <w:hyperlink r:id="rId1900" w:anchor="Text" w:tgtFrame="_blank" w:history="1">
        <w:r w:rsidRPr="00511005">
          <w:rPr>
            <w:rFonts w:ascii="Arial" w:eastAsia="Calibri" w:hAnsi="Arial" w:cs="Arial"/>
            <w:szCs w:val="28"/>
            <w:lang w:val="uk-UA"/>
          </w:rPr>
          <w:t>https://zakon.rada.gov.ua/laws/show/2341-14#Text</w:t>
        </w:r>
      </w:hyperlink>
      <w:r w:rsidRPr="00511005">
        <w:rPr>
          <w:rFonts w:ascii="Arial" w:eastAsia="Calibri" w:hAnsi="Arial" w:cs="Arial"/>
          <w:szCs w:val="28"/>
          <w:lang w:val="uk-UA"/>
        </w:rPr>
        <w:t> (дата звернення: 01.04.2025).</w:t>
      </w:r>
    </w:p>
    <w:p w14:paraId="5B347623" w14:textId="77777777" w:rsidR="00200E87" w:rsidRPr="00511005" w:rsidRDefault="00200E87" w:rsidP="003F6A5D">
      <w:pPr>
        <w:numPr>
          <w:ilvl w:val="0"/>
          <w:numId w:val="54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Сенько В. Аналіз складу кримінального правопорушення за ст. 156-1 Кримінального кодексу України. </w:t>
      </w:r>
      <w:r w:rsidRPr="00511005">
        <w:rPr>
          <w:rFonts w:ascii="Arial" w:eastAsia="Calibri" w:hAnsi="Arial" w:cs="Arial"/>
          <w:i/>
          <w:iCs/>
          <w:szCs w:val="28"/>
          <w:lang w:val="uk-UA"/>
        </w:rPr>
        <w:t>Науковий вісник Дніпропетровського державного університету внутрішніх справ</w:t>
      </w:r>
      <w:r w:rsidRPr="00511005">
        <w:rPr>
          <w:rFonts w:ascii="Arial" w:eastAsia="Calibri" w:hAnsi="Arial" w:cs="Arial"/>
          <w:szCs w:val="28"/>
          <w:lang w:val="uk-UA"/>
        </w:rPr>
        <w:t>. 2022. № 4 (119). С. 427–432.</w:t>
      </w:r>
    </w:p>
    <w:p w14:paraId="06A504CB" w14:textId="77777777" w:rsidR="00200E87" w:rsidRPr="00511005" w:rsidRDefault="00200E87" w:rsidP="003F6A5D">
      <w:pPr>
        <w:numPr>
          <w:ilvl w:val="0"/>
          <w:numId w:val="54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Про судову практику у справах про злочини проти статевої свободи та статевої недоторканості особи : Постанова Верхов. Суду України від 30.05.2008 № 5. URL: </w:t>
      </w:r>
      <w:hyperlink r:id="rId1901" w:anchor="Text" w:tgtFrame="_blank" w:history="1">
        <w:r w:rsidRPr="00511005">
          <w:rPr>
            <w:rFonts w:ascii="Arial" w:eastAsia="Calibri" w:hAnsi="Arial" w:cs="Arial"/>
            <w:szCs w:val="28"/>
            <w:lang w:val="uk-UA"/>
          </w:rPr>
          <w:t>https://zakon.rada.gov.ua/laws/show/v0005700-08#Text</w:t>
        </w:r>
      </w:hyperlink>
      <w:r w:rsidRPr="00511005">
        <w:rPr>
          <w:rFonts w:ascii="Arial" w:eastAsia="Calibri" w:hAnsi="Arial" w:cs="Arial"/>
          <w:szCs w:val="28"/>
          <w:lang w:val="uk-UA"/>
        </w:rPr>
        <w:t> (дата звернення: 01.04.2025).</w:t>
      </w:r>
    </w:p>
    <w:p w14:paraId="03B59EB1" w14:textId="77777777" w:rsidR="00200E87" w:rsidRPr="00511005" w:rsidRDefault="00200E87" w:rsidP="003A292D">
      <w:pPr>
        <w:spacing w:line="264" w:lineRule="auto"/>
        <w:ind w:firstLine="0"/>
        <w:rPr>
          <w:rFonts w:ascii="Arial" w:eastAsia="Calibri" w:hAnsi="Arial" w:cs="Arial"/>
          <w:szCs w:val="28"/>
          <w:lang w:val="uk-UA"/>
        </w:rPr>
      </w:pPr>
    </w:p>
    <w:p w14:paraId="69958F97" w14:textId="55C8A1DD" w:rsidR="00200E8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200E87" w:rsidRPr="00511005">
        <w:rPr>
          <w:rFonts w:ascii="Arial" w:eastAsia="Calibri" w:hAnsi="Arial" w:cs="Arial"/>
          <w:szCs w:val="28"/>
          <w:lang w:val="en-US"/>
        </w:rPr>
        <w:t>c</w:t>
      </w:r>
      <w:r w:rsidR="00200E87" w:rsidRPr="00511005">
        <w:rPr>
          <w:rFonts w:ascii="Arial" w:eastAsia="Calibri" w:hAnsi="Arial" w:cs="Arial"/>
          <w:szCs w:val="28"/>
          <w:lang w:val="uk-UA"/>
        </w:rPr>
        <w:t>ексуальна експлуатація, неповнолітні, статева недоторканість, розбещення, Лансаротська конвенція, захист дітей.</w:t>
      </w:r>
    </w:p>
    <w:p w14:paraId="29B282E7" w14:textId="79B654D3" w:rsidR="00200E87" w:rsidRPr="00511005" w:rsidRDefault="007B2628" w:rsidP="003A292D">
      <w:pPr>
        <w:spacing w:line="264" w:lineRule="auto"/>
        <w:ind w:firstLine="0"/>
        <w:rPr>
          <w:rFonts w:ascii="Arial" w:eastAsia="Calibri" w:hAnsi="Arial" w:cs="Arial"/>
          <w:szCs w:val="28"/>
          <w:lang w:val="en-US"/>
        </w:rPr>
      </w:pPr>
      <w:r w:rsidRPr="00511005">
        <w:rPr>
          <w:rFonts w:ascii="Arial" w:eastAsia="Calibri" w:hAnsi="Arial" w:cs="Arial"/>
          <w:b/>
          <w:i/>
          <w:szCs w:val="28"/>
          <w:lang w:val="en-US"/>
        </w:rPr>
        <w:t xml:space="preserve">Key words: </w:t>
      </w:r>
      <w:r w:rsidR="00200E87" w:rsidRPr="00511005">
        <w:rPr>
          <w:rFonts w:ascii="Arial" w:eastAsia="Calibri" w:hAnsi="Arial" w:cs="Arial"/>
          <w:szCs w:val="28"/>
          <w:lang w:val="en-US"/>
        </w:rPr>
        <w:t>sexual exploitation, minors, sexual integrity, abuse, Lanzarote Convention, child protection.</w:t>
      </w:r>
    </w:p>
    <w:p w14:paraId="078E26B1" w14:textId="7CAD7025" w:rsidR="00200E87" w:rsidRPr="00511005" w:rsidRDefault="00C76181" w:rsidP="003A292D">
      <w:pPr>
        <w:spacing w:line="264" w:lineRule="auto"/>
        <w:ind w:firstLine="0"/>
        <w:rPr>
          <w:rFonts w:ascii="Arial" w:eastAsia="Calibri" w:hAnsi="Arial" w:cs="Arial"/>
          <w:b/>
          <w:bCs/>
          <w:i/>
          <w:iCs/>
          <w:szCs w:val="28"/>
          <w:lang w:val="uk-UA"/>
        </w:rPr>
      </w:pPr>
      <w:r w:rsidRPr="00511005">
        <w:rPr>
          <w:rFonts w:ascii="Arial" w:eastAsia="Calibri" w:hAnsi="Arial" w:cs="Arial"/>
          <w:b/>
          <w:i/>
          <w:szCs w:val="28"/>
          <w:lang w:val="uk-UA"/>
        </w:rPr>
        <w:t xml:space="preserve">Науковий керівник: </w:t>
      </w:r>
      <w:r w:rsidR="00200E87" w:rsidRPr="00511005">
        <w:rPr>
          <w:rFonts w:ascii="Arial" w:eastAsia="Calibri" w:hAnsi="Arial" w:cs="Arial"/>
          <w:i/>
          <w:szCs w:val="28"/>
          <w:lang w:val="uk-UA"/>
        </w:rPr>
        <w:t>д.ю.н.</w:t>
      </w:r>
      <w:r>
        <w:rPr>
          <w:rFonts w:ascii="Arial" w:eastAsia="Calibri" w:hAnsi="Arial" w:cs="Arial"/>
          <w:i/>
          <w:szCs w:val="28"/>
          <w:lang w:val="uk-UA"/>
        </w:rPr>
        <w:t>,</w:t>
      </w:r>
      <w:r w:rsidR="007B2628" w:rsidRPr="00511005">
        <w:rPr>
          <w:rFonts w:ascii="Arial" w:eastAsia="Calibri" w:hAnsi="Arial" w:cs="Arial"/>
          <w:i/>
          <w:szCs w:val="28"/>
          <w:lang w:val="uk-UA"/>
        </w:rPr>
        <w:t xml:space="preserve"> </w:t>
      </w:r>
      <w:r w:rsidR="00200E87" w:rsidRPr="00511005">
        <w:rPr>
          <w:rFonts w:ascii="Arial" w:eastAsia="Times New Roman" w:hAnsi="Arial" w:cs="Arial"/>
          <w:i/>
          <w:iCs/>
          <w:szCs w:val="28"/>
          <w:lang w:val="uk-UA"/>
        </w:rPr>
        <w:t>професор Коломієць Ю.Ю.</w:t>
      </w:r>
    </w:p>
    <w:p w14:paraId="736F1975" w14:textId="77777777" w:rsidR="00200E87" w:rsidRPr="00511005" w:rsidRDefault="00200E87" w:rsidP="003A292D">
      <w:pPr>
        <w:spacing w:line="264" w:lineRule="auto"/>
        <w:ind w:firstLine="0"/>
        <w:rPr>
          <w:rFonts w:ascii="Arial" w:eastAsia="Calibri" w:hAnsi="Arial" w:cs="Arial"/>
          <w:b/>
          <w:bCs/>
          <w:szCs w:val="28"/>
          <w:lang w:val="uk-UA"/>
        </w:rPr>
      </w:pPr>
    </w:p>
    <w:p w14:paraId="08309073" w14:textId="77777777" w:rsidR="00200E87" w:rsidRPr="00511005" w:rsidRDefault="00200E87" w:rsidP="003A292D">
      <w:pPr>
        <w:spacing w:line="264" w:lineRule="auto"/>
        <w:ind w:firstLine="0"/>
        <w:rPr>
          <w:rFonts w:ascii="Arial" w:eastAsia="Calibri" w:hAnsi="Arial" w:cs="Arial"/>
          <w:szCs w:val="28"/>
          <w:lang w:val="uk-UA"/>
        </w:rPr>
      </w:pPr>
    </w:p>
    <w:p w14:paraId="76A2AC92" w14:textId="77777777" w:rsidR="00200E87" w:rsidRPr="00511005" w:rsidRDefault="00200E87" w:rsidP="003A292D">
      <w:pPr>
        <w:spacing w:line="264" w:lineRule="auto"/>
        <w:ind w:firstLine="0"/>
        <w:jc w:val="center"/>
        <w:rPr>
          <w:rFonts w:ascii="Arial" w:eastAsia="Calibri" w:hAnsi="Arial" w:cs="Arial"/>
          <w:szCs w:val="28"/>
          <w:lang w:val="uk-UA"/>
        </w:rPr>
      </w:pPr>
      <w:r w:rsidRPr="00511005">
        <w:rPr>
          <w:rFonts w:ascii="Arial" w:eastAsia="Calibri" w:hAnsi="Arial" w:cs="Arial"/>
          <w:b/>
          <w:i/>
          <w:szCs w:val="28"/>
          <w:lang w:val="uk-UA"/>
        </w:rPr>
        <w:t>Тарасова Аліса Вікторівна</w:t>
      </w:r>
    </w:p>
    <w:p w14:paraId="59C35A3E" w14:textId="529B55DB" w:rsidR="00200E8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3-го курсу </w:t>
      </w:r>
      <w:r w:rsidR="001B7B25" w:rsidRPr="00511005">
        <w:rPr>
          <w:rFonts w:ascii="Arial" w:eastAsia="Calibri" w:hAnsi="Arial" w:cs="Arial"/>
          <w:szCs w:val="28"/>
          <w:lang w:val="uk-UA"/>
        </w:rPr>
        <w:t>факультету судового та міжнародного права</w:t>
      </w:r>
    </w:p>
    <w:p w14:paraId="3669EA72" w14:textId="3A0E6023" w:rsidR="00200E8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1853DCCD" w14:textId="77777777" w:rsidR="00200E87" w:rsidRPr="00511005" w:rsidRDefault="00200E87" w:rsidP="003A292D">
      <w:pPr>
        <w:spacing w:line="264" w:lineRule="auto"/>
        <w:ind w:firstLine="0"/>
        <w:jc w:val="center"/>
        <w:rPr>
          <w:rFonts w:ascii="Arial" w:eastAsia="Calibri" w:hAnsi="Arial" w:cs="Arial"/>
          <w:szCs w:val="28"/>
          <w:lang w:val="uk-UA"/>
        </w:rPr>
      </w:pPr>
    </w:p>
    <w:p w14:paraId="644A5F97" w14:textId="77777777" w:rsidR="00200E87" w:rsidRPr="00511005" w:rsidRDefault="00200E8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СЕКСУАЛЬНЕ НАСИЛЬСТВО ЩОДО ЖІНОК В УМОВАХ ВОЄННОГО СТАНУ</w:t>
      </w:r>
    </w:p>
    <w:p w14:paraId="144209C3"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Сексуальне насильство під час війни – це одна з найскладніших і найтрагічніших проблем, яка глибоко впливає на життя людей і порушує їхні основні права. У контексті російсько-української війни, коли Україна стикається з військовим конфліктом і частковою окупацією своїх територій, ця проблема стала особливо актуальною. Окупація призводить до систематичних порушень, де насильство, включаючи сексуальне, використовується як засіб залякування, репресій і демонстрації влади. </w:t>
      </w:r>
    </w:p>
    <w:p w14:paraId="447D3284"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Сексуальне насильство як інструмент війни має глибокі історичні корені. У багатьох конфліктах агресори використовують його як метод руйнування соціального порядку та посилення контролю над населенням. Наприклад, у конфлікті в Боснії та Герцеговині в 1990-х роках десятки тисяч жінок стали жертвами масових зґвалтувань, які були частиною кампанії етнічних чисток </w:t>
      </w:r>
      <w:r w:rsidRPr="00511005">
        <w:rPr>
          <w:rFonts w:ascii="Arial" w:eastAsia="Calibri" w:hAnsi="Arial" w:cs="Arial"/>
          <w:szCs w:val="28"/>
        </w:rPr>
        <w:t>[4, с.3]</w:t>
      </w:r>
      <w:r w:rsidRPr="00511005">
        <w:rPr>
          <w:rFonts w:ascii="Arial" w:eastAsia="Calibri" w:hAnsi="Arial" w:cs="Arial"/>
          <w:szCs w:val="28"/>
          <w:lang w:val="uk-UA"/>
        </w:rPr>
        <w:t xml:space="preserve">. Ці події стали прецедентом для міжнародного кримінального </w:t>
      </w:r>
      <w:r w:rsidRPr="00511005">
        <w:rPr>
          <w:rFonts w:ascii="Arial" w:eastAsia="Calibri" w:hAnsi="Arial" w:cs="Arial"/>
          <w:szCs w:val="28"/>
          <w:lang w:val="uk-UA"/>
        </w:rPr>
        <w:lastRenderedPageBreak/>
        <w:t>переслідування таких злочинів у Гаазькому трибуналі. Подібні приклади показують, наскільки важко забезпечити правосуддя для жертв у реаліях війни, особливо коли злочини мають системний характер.</w:t>
      </w:r>
    </w:p>
    <w:p w14:paraId="1207C008"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Важливо підкреслити, що міжнародне гуманітарне право вважає сексуальне насильство серйозним воєнним злочином, особливо в контексті Женевських конвенцій та Римського статуту Міжнародного кримінального суду. Ці міжнародні документи акцентують увагу на тому, що сексуальне насильство порушує основні принципи гуманності, за що передбачена міжнародна відповідальність</w:t>
      </w:r>
      <w:r w:rsidRPr="00511005">
        <w:rPr>
          <w:rFonts w:ascii="Arial" w:eastAsia="Calibri" w:hAnsi="Arial" w:cs="Arial"/>
          <w:szCs w:val="28"/>
        </w:rPr>
        <w:t>[2, с. 67]</w:t>
      </w:r>
      <w:r w:rsidRPr="00511005">
        <w:rPr>
          <w:rFonts w:ascii="Arial" w:eastAsia="Calibri" w:hAnsi="Arial" w:cs="Arial"/>
          <w:szCs w:val="28"/>
          <w:lang w:val="uk-UA"/>
        </w:rPr>
        <w:t xml:space="preserve">. Також Резолюція 1325 Ради Безпеки ООН підкреслює важливість залучення жінок до миротворчих процесів і забезпечення їхнього захисту під час конфліктів. </w:t>
      </w:r>
    </w:p>
    <w:p w14:paraId="635356BC" w14:textId="77777777" w:rsidR="007B2628"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Водночас, в Україні національне законодавство встановлює кримінальну відповідальність за статеві злочини, скоєні під час війни. Зокрема, Розділ </w:t>
      </w:r>
      <w:r w:rsidRPr="00511005">
        <w:rPr>
          <w:rFonts w:ascii="Arial" w:eastAsia="Calibri" w:hAnsi="Arial" w:cs="Arial"/>
          <w:szCs w:val="28"/>
          <w:lang w:val="en-US"/>
        </w:rPr>
        <w:t>IV</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Кримінального кодексу України має назву «</w:t>
      </w:r>
      <w:r w:rsidRPr="00511005">
        <w:rPr>
          <w:rFonts w:ascii="Arial" w:eastAsia="Calibri" w:hAnsi="Arial" w:cs="Arial"/>
          <w:bCs/>
          <w:szCs w:val="28"/>
          <w:lang w:val="uk-UA"/>
        </w:rPr>
        <w:t>Кримінальні правопорушення проти статевої свободи та статевої недоторканості особи</w:t>
      </w:r>
      <w:r w:rsidRPr="00511005">
        <w:rPr>
          <w:rFonts w:ascii="Arial" w:eastAsia="Calibri" w:hAnsi="Arial" w:cs="Arial"/>
          <w:b/>
          <w:bCs/>
          <w:szCs w:val="28"/>
          <w:lang w:val="uk-UA"/>
        </w:rPr>
        <w:t xml:space="preserve">» </w:t>
      </w:r>
      <w:r w:rsidRPr="00511005">
        <w:rPr>
          <w:rFonts w:ascii="Arial" w:eastAsia="Calibri" w:hAnsi="Arial" w:cs="Arial"/>
          <w:bCs/>
          <w:szCs w:val="28"/>
          <w:lang w:val="uk-UA"/>
        </w:rPr>
        <w:t>де і</w:t>
      </w:r>
      <w:r w:rsidR="007B2628" w:rsidRPr="00511005">
        <w:rPr>
          <w:rFonts w:ascii="Arial" w:eastAsia="Calibri" w:hAnsi="Arial" w:cs="Arial"/>
          <w:bCs/>
          <w:szCs w:val="28"/>
          <w:lang w:val="uk-UA"/>
        </w:rPr>
        <w:t xml:space="preserve"> </w:t>
      </w:r>
      <w:r w:rsidRPr="00511005">
        <w:rPr>
          <w:rFonts w:ascii="Arial" w:eastAsia="Calibri" w:hAnsi="Arial" w:cs="Arial"/>
          <w:szCs w:val="28"/>
          <w:lang w:val="uk-UA"/>
        </w:rPr>
        <w:t>передбачені покарання за сексуальне насильство як злочин проти людяності [1]. Проте, в умовах збройного конфлікту, правозастосування стикається з багатьма викликами: труднощами документування злочинів, недоступністю постраждалих для отримання свідчень та недостатньою координацією між державними й міжнародними органами.</w:t>
      </w:r>
    </w:p>
    <w:p w14:paraId="21AE7D6E" w14:textId="45D6FA76"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Щодо жінок-полонених, то сексуальне насильство не лише порушує їхні права, але й є серйозним нехтуванням міжнародними гуманітарними нормами. Наприклад, правозахисники зафіксували численні випадки систематичних сексуальних знущань над жінками, які утримувалися російськими військовими в підземних приміщеннях для допитів. Ці місця не мають належних умов для утримання, а самі допити супроводжуються фізичним насильством і психологічним тиском. Щоб документувати такі злочини, важливо розвивати спеціалізовані методики, які допоможуть зберегти конфіденційність жертв і забезпечити ефективне.</w:t>
      </w:r>
    </w:p>
    <w:p w14:paraId="3E0E9EBB"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Мешканки окупованих територій є ще однією вразливою групою, яка потребує особливої уваги. Сексуальне насильство на цих територіях часто використовується як системний інструмент залякування, що має на меті послабити опір і підкорити населення. Умови окупації характеризуються відсутністю правового захисту та доступу до державних і міжнародних механізмів підтримки, що значно ускладнює ситуацію. Жінки, які постраждали, зазвичай стикаються зі стигматизацією та соціальною ізоляцією, що ускладнює їхню реабілітацію та звернення за допомогою. У таких умовах важливо залучати громадські організації та міжнародні структури, які можуть надати гуманітарну підтримку та підвищити обізнаність про масштаби проблеми. </w:t>
      </w:r>
    </w:p>
    <w:p w14:paraId="51EC477F"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Один із задокументованих випадків сексуального насильства був представлений правозахисною організацією "Ла Страда – Україна", яка </w:t>
      </w:r>
      <w:r w:rsidRPr="00511005">
        <w:rPr>
          <w:rFonts w:ascii="Arial" w:eastAsia="Calibri" w:hAnsi="Arial" w:cs="Arial"/>
          <w:szCs w:val="28"/>
          <w:lang w:val="uk-UA"/>
        </w:rPr>
        <w:lastRenderedPageBreak/>
        <w:t>зафіксувала випадок групового насильства над жінкою на окупованій території. Окупанти використовували сексуальне насильство як форму покарання її чоловіка, який брав участь у спротиві</w:t>
      </w:r>
      <w:r w:rsidRPr="00511005">
        <w:rPr>
          <w:rFonts w:ascii="Arial" w:eastAsia="Calibri" w:hAnsi="Arial" w:cs="Arial"/>
          <w:szCs w:val="28"/>
        </w:rPr>
        <w:t xml:space="preserve"> [5]</w:t>
      </w:r>
      <w:r w:rsidRPr="00511005">
        <w:rPr>
          <w:rFonts w:ascii="Arial" w:eastAsia="Calibri" w:hAnsi="Arial" w:cs="Arial"/>
          <w:szCs w:val="28"/>
          <w:lang w:val="uk-UA"/>
        </w:rPr>
        <w:t>. Цей злочин не лише залишив глибокі психологічні травми для жертви, але й став свідченням жорстокості, з якою стикаються жінки в таких умовах.</w:t>
      </w:r>
    </w:p>
    <w:p w14:paraId="707FABA0" w14:textId="77777777" w:rsidR="00200E87" w:rsidRPr="00511005" w:rsidRDefault="00200E87"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Соціальні наслідки сексуального насильства виходять далеко за межі особистого досвіду, охоплюючи цілі громади. Це явище руйнує соціальну тканину, підриває довіру між людьми та створює атмосферу страху. Психологічні наслідки можуть бути довготривалими, включаючи посттравматичний стресовий розлад, депресію та соціальну ізоляцію. Щоб подолати ці наслідки, важливо розробити спеціалізовані реабілітаційні програми, які враховують унікальний травматичний досвід жінок у різних умовах. </w:t>
      </w:r>
    </w:p>
    <w:p w14:paraId="6CE806D1"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lang w:val="uk-UA"/>
        </w:rPr>
        <w:t>Розв'язання проблеми сексуального насильства під час воєнного стану вимагає комплексного підходу. Це означає вдосконалення національного законодавства, створення ефективних механізмів для притягнення винних до відповідальності, реалізацію програм соціально-психологічної реабілітації для постраждалих, а також активну міжнародну підтримку. Важливо розуміти, що ця проблема не є локальною – вона має глобальний характер і потребує скоординованих дій на всіх рівнях, щоб захистити права людини та забезпечити справедливість для жертв.</w:t>
      </w:r>
      <w:r w:rsidRPr="00511005">
        <w:rPr>
          <w:rFonts w:ascii="Arial" w:eastAsia="Times New Roman" w:hAnsi="Arial" w:cs="Arial"/>
          <w:szCs w:val="28"/>
          <w:lang w:eastAsia="ru-RU"/>
        </w:rPr>
        <w:t xml:space="preserve"> </w:t>
      </w:r>
    </w:p>
    <w:p w14:paraId="1C5A7D22"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 xml:space="preserve">Незважаючи на наявність у національному законодавстві норм, що передбачають відповідальність за сексуальне насильство (зокрема, у Розділі IV Кримінального кодексу України), в умовах збройного конфлікту постає необхідність </w:t>
      </w:r>
      <w:r w:rsidRPr="00511005">
        <w:rPr>
          <w:rFonts w:ascii="Arial" w:eastAsia="Calibri" w:hAnsi="Arial" w:cs="Arial"/>
          <w:bCs/>
          <w:szCs w:val="28"/>
        </w:rPr>
        <w:t>доповнення Розділу ХХ КК України</w:t>
      </w:r>
      <w:r w:rsidRPr="00511005">
        <w:rPr>
          <w:rFonts w:ascii="Arial" w:eastAsia="Calibri" w:hAnsi="Arial" w:cs="Arial"/>
          <w:szCs w:val="28"/>
        </w:rPr>
        <w:t xml:space="preserve">, який регламентує відповідальність за злочини проти миру, безпеки людства та міжнародного правопорядку. Доцільно запровадити </w:t>
      </w:r>
      <w:r w:rsidRPr="00511005">
        <w:rPr>
          <w:rFonts w:ascii="Arial" w:eastAsia="Calibri" w:hAnsi="Arial" w:cs="Arial"/>
          <w:bCs/>
          <w:szCs w:val="28"/>
        </w:rPr>
        <w:t>окрему статтю, що передбачатиме</w:t>
      </w:r>
      <w:r w:rsidRPr="00511005">
        <w:rPr>
          <w:rFonts w:ascii="Arial" w:eastAsia="Calibri" w:hAnsi="Arial" w:cs="Arial"/>
          <w:b/>
          <w:bCs/>
          <w:szCs w:val="28"/>
        </w:rPr>
        <w:t xml:space="preserve"> </w:t>
      </w:r>
      <w:r w:rsidRPr="00511005">
        <w:rPr>
          <w:rFonts w:ascii="Arial" w:eastAsia="Calibri" w:hAnsi="Arial" w:cs="Arial"/>
          <w:bCs/>
          <w:szCs w:val="28"/>
        </w:rPr>
        <w:t>відповідальність за сексуальне насильство як воєнний злочин</w:t>
      </w:r>
      <w:r w:rsidRPr="00511005">
        <w:rPr>
          <w:rFonts w:ascii="Arial" w:eastAsia="Calibri" w:hAnsi="Arial" w:cs="Arial"/>
          <w:szCs w:val="28"/>
        </w:rPr>
        <w:t>, що дозволить точніше кваліфікувати такі дії в контексті збройної агресії.</w:t>
      </w:r>
    </w:p>
    <w:p w14:paraId="567F48E8" w14:textId="77777777" w:rsidR="00200E87" w:rsidRPr="00511005" w:rsidRDefault="00200E87" w:rsidP="003A292D">
      <w:pPr>
        <w:spacing w:line="264" w:lineRule="auto"/>
        <w:ind w:firstLine="0"/>
        <w:rPr>
          <w:rFonts w:ascii="Arial" w:eastAsia="Calibri" w:hAnsi="Arial" w:cs="Arial"/>
          <w:szCs w:val="28"/>
        </w:rPr>
      </w:pPr>
      <w:r w:rsidRPr="00511005">
        <w:rPr>
          <w:rFonts w:ascii="Arial" w:eastAsia="Calibri" w:hAnsi="Arial" w:cs="Arial"/>
          <w:szCs w:val="28"/>
        </w:rPr>
        <w:t xml:space="preserve">Окремо слід враховувати </w:t>
      </w:r>
      <w:r w:rsidRPr="00511005">
        <w:rPr>
          <w:rFonts w:ascii="Arial" w:eastAsia="Calibri" w:hAnsi="Arial" w:cs="Arial"/>
          <w:bCs/>
          <w:szCs w:val="28"/>
        </w:rPr>
        <w:t>аспект примусової асиміляції</w:t>
      </w:r>
      <w:r w:rsidRPr="00511005">
        <w:rPr>
          <w:rFonts w:ascii="Arial" w:eastAsia="Calibri" w:hAnsi="Arial" w:cs="Arial"/>
          <w:szCs w:val="28"/>
        </w:rPr>
        <w:t>, що проявляється через сексуальні злочини, спрямовані на знищення національної, етнічної чи культурної ідентичності потерпілих. Така практика має ознаки злочину проти людяності та потребує окремого юридичного врегулювання як у національному, так і в міжнародному правовому полі.</w:t>
      </w:r>
    </w:p>
    <w:p w14:paraId="6C1CD807" w14:textId="10008685" w:rsidR="00200E8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29986607" w14:textId="77777777" w:rsidR="00200E87" w:rsidRPr="00511005" w:rsidRDefault="00200E87" w:rsidP="003F6A5D">
      <w:pPr>
        <w:numPr>
          <w:ilvl w:val="0"/>
          <w:numId w:val="544"/>
        </w:numPr>
        <w:spacing w:line="264" w:lineRule="auto"/>
        <w:contextualSpacing/>
        <w:jc w:val="left"/>
        <w:rPr>
          <w:rFonts w:ascii="Arial" w:eastAsia="Calibri" w:hAnsi="Arial" w:cs="Arial"/>
          <w:b/>
          <w:szCs w:val="28"/>
          <w:lang w:val="uk-UA"/>
        </w:rPr>
      </w:pPr>
      <w:r w:rsidRPr="00511005">
        <w:rPr>
          <w:rFonts w:ascii="Arial" w:eastAsia="Calibri" w:hAnsi="Arial" w:cs="Arial"/>
          <w:szCs w:val="28"/>
          <w:lang w:val="uk-UA"/>
        </w:rPr>
        <w:t>Кримінальний кодекс України</w:t>
      </w:r>
      <w:r w:rsidRPr="00511005">
        <w:rPr>
          <w:rFonts w:ascii="Arial" w:eastAsia="Calibri" w:hAnsi="Arial" w:cs="Arial"/>
          <w:szCs w:val="28"/>
        </w:rPr>
        <w:t xml:space="preserve">: </w:t>
      </w:r>
      <w:r w:rsidRPr="00511005">
        <w:rPr>
          <w:rFonts w:ascii="Arial" w:eastAsia="Calibri" w:hAnsi="Arial" w:cs="Arial"/>
          <w:szCs w:val="28"/>
          <w:lang w:val="uk-UA"/>
        </w:rPr>
        <w:t>Закон України від 01.04.2001 р.</w:t>
      </w:r>
      <w:r w:rsidRPr="00511005">
        <w:rPr>
          <w:rFonts w:ascii="Arial" w:eastAsia="Calibri" w:hAnsi="Arial" w:cs="Arial"/>
          <w:szCs w:val="28"/>
        </w:rPr>
        <w:t xml:space="preserve"> </w:t>
      </w:r>
      <w:r w:rsidRPr="00511005">
        <w:rPr>
          <w:rFonts w:ascii="Arial" w:eastAsia="Calibri" w:hAnsi="Arial" w:cs="Arial"/>
          <w:szCs w:val="28"/>
          <w:lang w:val="uk-UA"/>
        </w:rPr>
        <w:t xml:space="preserve">№2341-III </w:t>
      </w:r>
      <w:r w:rsidRPr="00511005">
        <w:rPr>
          <w:rFonts w:ascii="Arial" w:eastAsia="Calibri" w:hAnsi="Arial" w:cs="Arial"/>
          <w:szCs w:val="28"/>
          <w:lang w:val="en-US"/>
        </w:rPr>
        <w:t>URL</w:t>
      </w:r>
      <w:r w:rsidRPr="00511005">
        <w:rPr>
          <w:rFonts w:ascii="Arial" w:eastAsia="Calibri" w:hAnsi="Arial" w:cs="Arial"/>
          <w:szCs w:val="28"/>
        </w:rPr>
        <w:t xml:space="preserve">: </w:t>
      </w:r>
      <w:hyperlink r:id="rId1902" w:anchor="n926" w:history="1">
        <w:r w:rsidRPr="00511005">
          <w:rPr>
            <w:rFonts w:ascii="Arial" w:eastAsia="Calibri" w:hAnsi="Arial" w:cs="Arial"/>
            <w:szCs w:val="28"/>
          </w:rPr>
          <w:t>https://zakon.rada.gov.ua/laws/show/2341-14#n926</w:t>
        </w:r>
      </w:hyperlink>
      <w:r w:rsidRPr="00511005">
        <w:rPr>
          <w:rFonts w:ascii="Arial" w:eastAsia="Calibri" w:hAnsi="Arial" w:cs="Arial"/>
          <w:szCs w:val="28"/>
        </w:rPr>
        <w:t xml:space="preserve"> (</w:t>
      </w:r>
      <w:r w:rsidRPr="00511005">
        <w:rPr>
          <w:rFonts w:ascii="Arial" w:eastAsia="Calibri" w:hAnsi="Arial" w:cs="Arial"/>
          <w:szCs w:val="28"/>
          <w:lang w:val="uk-UA"/>
        </w:rPr>
        <w:t>дата звернення</w:t>
      </w:r>
      <w:r w:rsidRPr="00511005">
        <w:rPr>
          <w:rFonts w:ascii="Arial" w:eastAsia="Calibri" w:hAnsi="Arial" w:cs="Arial"/>
          <w:szCs w:val="28"/>
        </w:rPr>
        <w:t>: 06.04.2025)</w:t>
      </w:r>
    </w:p>
    <w:p w14:paraId="568EDA28" w14:textId="2ADF9552" w:rsidR="00200E87" w:rsidRPr="00511005" w:rsidRDefault="00200E87" w:rsidP="003F6A5D">
      <w:pPr>
        <w:numPr>
          <w:ilvl w:val="0"/>
          <w:numId w:val="544"/>
        </w:numPr>
        <w:spacing w:line="264" w:lineRule="auto"/>
        <w:contextualSpacing/>
        <w:jc w:val="left"/>
        <w:rPr>
          <w:rFonts w:ascii="Arial" w:eastAsia="Calibri" w:hAnsi="Arial" w:cs="Arial"/>
          <w:b/>
          <w:szCs w:val="28"/>
          <w:lang w:val="uk-UA"/>
        </w:rPr>
      </w:pPr>
      <w:r w:rsidRPr="00511005">
        <w:rPr>
          <w:rFonts w:ascii="Arial" w:eastAsia="Calibri" w:hAnsi="Arial" w:cs="Arial"/>
          <w:szCs w:val="28"/>
        </w:rPr>
        <w:t>Женевська Конвенція про поводження з військовополоненими:</w:t>
      </w:r>
      <w:r w:rsidRPr="00511005">
        <w:rPr>
          <w:rFonts w:ascii="Arial" w:eastAsia="Calibri" w:hAnsi="Arial" w:cs="Arial"/>
          <w:szCs w:val="28"/>
          <w:lang w:val="uk-UA"/>
        </w:rPr>
        <w:t xml:space="preserve"> Конвенція Організації Об’єднаних Націй від 12.08.1949 № 995_153</w:t>
      </w:r>
      <w:r w:rsidR="007B2628" w:rsidRPr="00511005">
        <w:rPr>
          <w:rFonts w:ascii="Arial" w:eastAsia="Calibri" w:hAnsi="Arial" w:cs="Arial"/>
          <w:szCs w:val="28"/>
          <w:lang w:val="uk-UA"/>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hyperlink r:id="rId1903" w:anchor="Text" w:history="1">
        <w:r w:rsidRPr="00511005">
          <w:rPr>
            <w:rFonts w:ascii="Arial" w:eastAsia="Calibri" w:hAnsi="Arial" w:cs="Arial"/>
            <w:szCs w:val="28"/>
          </w:rPr>
          <w:t>https://zakon.rada.gov.ua/laws/show/995_153#Text</w:t>
        </w:r>
      </w:hyperlink>
      <w:r w:rsidRPr="00511005">
        <w:rPr>
          <w:rFonts w:ascii="Arial" w:eastAsia="Calibri" w:hAnsi="Arial" w:cs="Arial"/>
          <w:szCs w:val="28"/>
        </w:rPr>
        <w:t xml:space="preserve"> (дата звернення: 06.04.2025)</w:t>
      </w:r>
    </w:p>
    <w:p w14:paraId="4154128A" w14:textId="77777777" w:rsidR="00200E87" w:rsidRPr="00511005" w:rsidRDefault="00200E87" w:rsidP="003F6A5D">
      <w:pPr>
        <w:numPr>
          <w:ilvl w:val="0"/>
          <w:numId w:val="544"/>
        </w:numPr>
        <w:spacing w:line="264" w:lineRule="auto"/>
        <w:contextualSpacing/>
        <w:jc w:val="left"/>
        <w:rPr>
          <w:rFonts w:ascii="Arial" w:eastAsia="Calibri" w:hAnsi="Arial" w:cs="Arial"/>
          <w:b/>
          <w:szCs w:val="28"/>
          <w:lang w:val="uk-UA"/>
        </w:rPr>
      </w:pPr>
      <w:r w:rsidRPr="00511005">
        <w:rPr>
          <w:rFonts w:ascii="Arial" w:eastAsia="Calibri" w:hAnsi="Arial" w:cs="Arial"/>
          <w:szCs w:val="28"/>
        </w:rPr>
        <w:lastRenderedPageBreak/>
        <w:t xml:space="preserve">Римський статут Міжнародного кримінального суду: </w:t>
      </w:r>
      <w:r w:rsidRPr="00511005">
        <w:rPr>
          <w:rFonts w:ascii="Arial" w:eastAsia="Calibri" w:hAnsi="Arial" w:cs="Arial"/>
          <w:szCs w:val="28"/>
          <w:lang w:val="uk-UA"/>
        </w:rPr>
        <w:t xml:space="preserve">Статут Міжнародних судів від 17.07.1998 № 995_588 </w:t>
      </w:r>
      <w:r w:rsidRPr="00511005">
        <w:rPr>
          <w:rFonts w:ascii="Arial" w:eastAsia="Calibri" w:hAnsi="Arial" w:cs="Arial"/>
          <w:szCs w:val="28"/>
          <w:lang w:val="en-US"/>
        </w:rPr>
        <w:t>URL</w:t>
      </w:r>
      <w:r w:rsidRPr="00511005">
        <w:rPr>
          <w:rFonts w:ascii="Arial" w:eastAsia="Calibri" w:hAnsi="Arial" w:cs="Arial"/>
          <w:szCs w:val="28"/>
        </w:rPr>
        <w:t xml:space="preserve">: </w:t>
      </w:r>
      <w:hyperlink r:id="rId1904" w:anchor="Text" w:history="1">
        <w:r w:rsidRPr="00511005">
          <w:rPr>
            <w:rFonts w:ascii="Arial" w:eastAsia="Calibri" w:hAnsi="Arial" w:cs="Arial"/>
            <w:szCs w:val="28"/>
          </w:rPr>
          <w:t>https://zakon.rada.gov.ua/laws/show/995_588#Text</w:t>
        </w:r>
      </w:hyperlink>
      <w:r w:rsidRPr="00511005">
        <w:rPr>
          <w:rFonts w:ascii="Arial" w:eastAsia="Calibri" w:hAnsi="Arial" w:cs="Arial"/>
          <w:szCs w:val="28"/>
        </w:rPr>
        <w:t xml:space="preserve"> ( </w:t>
      </w:r>
      <w:r w:rsidRPr="00511005">
        <w:rPr>
          <w:rFonts w:ascii="Arial" w:eastAsia="Calibri" w:hAnsi="Arial" w:cs="Arial"/>
          <w:szCs w:val="28"/>
          <w:lang w:val="uk-UA"/>
        </w:rPr>
        <w:t>дата звернення</w:t>
      </w:r>
      <w:r w:rsidRPr="00511005">
        <w:rPr>
          <w:rFonts w:ascii="Arial" w:eastAsia="Calibri" w:hAnsi="Arial" w:cs="Arial"/>
          <w:szCs w:val="28"/>
        </w:rPr>
        <w:t>: 06.04.2025)</w:t>
      </w:r>
    </w:p>
    <w:p w14:paraId="51580216" w14:textId="0D66CF98" w:rsidR="00200E87" w:rsidRPr="00511005" w:rsidRDefault="00200E87" w:rsidP="003F6A5D">
      <w:pPr>
        <w:numPr>
          <w:ilvl w:val="0"/>
          <w:numId w:val="544"/>
        </w:numPr>
        <w:spacing w:line="264" w:lineRule="auto"/>
        <w:contextualSpacing/>
        <w:jc w:val="left"/>
        <w:rPr>
          <w:rFonts w:ascii="Arial" w:eastAsia="Calibri" w:hAnsi="Arial" w:cs="Arial"/>
          <w:b/>
          <w:szCs w:val="28"/>
          <w:lang w:val="uk-UA"/>
        </w:rPr>
      </w:pPr>
      <w:r w:rsidRPr="00511005">
        <w:rPr>
          <w:rFonts w:ascii="Arial" w:eastAsia="Calibri" w:hAnsi="Arial" w:cs="Arial"/>
          <w:szCs w:val="28"/>
          <w:lang w:val="uk-UA"/>
        </w:rPr>
        <w:t>Завгородній В., Наумов А. «Шлях до Дейтона»: процес мирного врегулювання військового конфлікту в Боснії та Герцеговині у 1992–1995 роках.</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Сумський історико-архівний журнал. №XXXV. 2020</w:t>
      </w:r>
    </w:p>
    <w:p w14:paraId="3854EA8C" w14:textId="77777777" w:rsidR="00200E87" w:rsidRPr="00511005" w:rsidRDefault="00200E87" w:rsidP="003F6A5D">
      <w:pPr>
        <w:numPr>
          <w:ilvl w:val="0"/>
          <w:numId w:val="544"/>
        </w:numPr>
        <w:spacing w:line="264" w:lineRule="auto"/>
        <w:contextualSpacing/>
        <w:jc w:val="left"/>
        <w:rPr>
          <w:rFonts w:ascii="Arial" w:eastAsia="Calibri" w:hAnsi="Arial" w:cs="Arial"/>
          <w:b/>
          <w:szCs w:val="28"/>
          <w:lang w:val="uk-UA"/>
        </w:rPr>
      </w:pPr>
      <w:r w:rsidRPr="00511005">
        <w:rPr>
          <w:rFonts w:ascii="Arial" w:eastAsia="Calibri" w:hAnsi="Arial" w:cs="Arial"/>
          <w:szCs w:val="28"/>
          <w:lang w:val="uk-UA"/>
        </w:rPr>
        <w:t xml:space="preserve">Ла Страда – Україна. Сексуальне насильство в умовах війни: алгоритм допомоги. </w:t>
      </w:r>
      <w:r w:rsidRPr="00511005">
        <w:rPr>
          <w:rFonts w:ascii="Arial" w:eastAsia="Calibri" w:hAnsi="Arial" w:cs="Arial"/>
          <w:szCs w:val="28"/>
          <w:lang w:val="en-US"/>
        </w:rPr>
        <w:t>URL</w:t>
      </w:r>
      <w:r w:rsidRPr="00511005">
        <w:rPr>
          <w:rFonts w:ascii="Arial" w:eastAsia="Calibri" w:hAnsi="Arial" w:cs="Arial"/>
          <w:szCs w:val="28"/>
        </w:rPr>
        <w:t>:</w:t>
      </w:r>
      <w:r w:rsidRPr="00511005">
        <w:rPr>
          <w:rFonts w:ascii="Arial" w:eastAsia="Calibri" w:hAnsi="Arial" w:cs="Arial"/>
          <w:szCs w:val="28"/>
          <w:lang w:val="uk-UA"/>
        </w:rPr>
        <w:t xml:space="preserve"> </w:t>
      </w:r>
      <w:hyperlink r:id="rId1905" w:history="1">
        <w:r w:rsidRPr="00511005">
          <w:rPr>
            <w:rFonts w:ascii="Arial" w:eastAsia="Calibri" w:hAnsi="Arial" w:cs="Arial"/>
            <w:szCs w:val="28"/>
            <w:lang w:val="uk-UA"/>
          </w:rPr>
          <w:t>https://la-strada.org.ua/articles/seksualne-nasylstvo-v-umovah-vijny-algorytm-dopomogy.html</w:t>
        </w:r>
      </w:hyperlink>
      <w:r w:rsidRPr="00511005">
        <w:rPr>
          <w:rFonts w:ascii="Arial" w:eastAsia="Calibri" w:hAnsi="Arial" w:cs="Arial"/>
          <w:szCs w:val="28"/>
          <w:lang w:val="uk-UA"/>
        </w:rPr>
        <w:t xml:space="preserve"> (дата звернення</w:t>
      </w:r>
      <w:r w:rsidRPr="00511005">
        <w:rPr>
          <w:rFonts w:ascii="Arial" w:eastAsia="Calibri" w:hAnsi="Arial" w:cs="Arial"/>
          <w:szCs w:val="28"/>
        </w:rPr>
        <w:t>: 06.04.2025</w:t>
      </w:r>
      <w:r w:rsidRPr="00511005">
        <w:rPr>
          <w:rFonts w:ascii="Arial" w:eastAsia="Calibri" w:hAnsi="Arial" w:cs="Arial"/>
          <w:szCs w:val="28"/>
          <w:lang w:val="uk-UA"/>
        </w:rPr>
        <w:t>)</w:t>
      </w:r>
    </w:p>
    <w:p w14:paraId="2CB6CD8F" w14:textId="77777777" w:rsidR="00200E87" w:rsidRPr="00511005" w:rsidRDefault="00200E87" w:rsidP="003A292D">
      <w:pPr>
        <w:tabs>
          <w:tab w:val="left" w:pos="2196"/>
        </w:tabs>
        <w:spacing w:line="264" w:lineRule="auto"/>
        <w:ind w:firstLine="0"/>
        <w:rPr>
          <w:rFonts w:ascii="Arial" w:eastAsia="Calibri" w:hAnsi="Arial" w:cs="Arial"/>
          <w:b/>
          <w:szCs w:val="28"/>
        </w:rPr>
      </w:pPr>
    </w:p>
    <w:p w14:paraId="7BF8B279" w14:textId="673CEFAE" w:rsidR="00200E87" w:rsidRPr="00511005" w:rsidRDefault="007B2628" w:rsidP="003A292D">
      <w:pPr>
        <w:tabs>
          <w:tab w:val="left" w:pos="2196"/>
        </w:tabs>
        <w:spacing w:line="264" w:lineRule="auto"/>
        <w:ind w:firstLine="0"/>
        <w:rPr>
          <w:rFonts w:ascii="Arial" w:eastAsia="Calibri" w:hAnsi="Arial" w:cs="Arial"/>
          <w:szCs w:val="28"/>
          <w:lang w:val="uk-UA"/>
        </w:rPr>
      </w:pPr>
      <w:r w:rsidRPr="00511005">
        <w:rPr>
          <w:rFonts w:ascii="Arial" w:eastAsia="Calibri" w:hAnsi="Arial" w:cs="Arial"/>
          <w:b/>
          <w:i/>
          <w:szCs w:val="28"/>
        </w:rPr>
        <w:t xml:space="preserve">Ключові слова: </w:t>
      </w:r>
      <w:r w:rsidR="00200E87" w:rsidRPr="00511005">
        <w:rPr>
          <w:rFonts w:ascii="Arial" w:eastAsia="Calibri" w:hAnsi="Arial" w:cs="Arial"/>
          <w:szCs w:val="28"/>
          <w:lang w:val="uk-UA"/>
        </w:rPr>
        <w:t>війна, окупація, сексуальне насильство, військовополоненні, окуповані території, воєнні злочини, статева свобода, статева недоторканість.</w:t>
      </w:r>
    </w:p>
    <w:p w14:paraId="0EE3CFC2" w14:textId="213ADCF7" w:rsidR="00200E87" w:rsidRPr="00511005" w:rsidRDefault="007B2628" w:rsidP="003A292D">
      <w:pPr>
        <w:tabs>
          <w:tab w:val="left" w:pos="2196"/>
        </w:tabs>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200E87" w:rsidRPr="00511005">
        <w:rPr>
          <w:rFonts w:ascii="Arial" w:eastAsia="Calibri" w:hAnsi="Arial" w:cs="Arial"/>
          <w:szCs w:val="28"/>
          <w:lang w:val="uk-UA"/>
        </w:rPr>
        <w:t>war, occupation, sexual violence, prisoners of war, occupied territories, war crimes, sexual freedom, sexual inviolability.</w:t>
      </w:r>
    </w:p>
    <w:p w14:paraId="54A60C6F" w14:textId="77777777" w:rsidR="00200E87" w:rsidRPr="00511005" w:rsidRDefault="00200E87" w:rsidP="003A292D">
      <w:pPr>
        <w:tabs>
          <w:tab w:val="left" w:pos="2196"/>
        </w:tabs>
        <w:spacing w:line="264" w:lineRule="auto"/>
        <w:ind w:firstLine="0"/>
        <w:rPr>
          <w:rFonts w:ascii="Arial" w:eastAsia="Calibri" w:hAnsi="Arial" w:cs="Arial"/>
          <w:i/>
          <w:szCs w:val="28"/>
          <w:lang w:val="uk-UA"/>
        </w:rPr>
      </w:pPr>
    </w:p>
    <w:p w14:paraId="0137D8B1" w14:textId="26249F71" w:rsidR="00200E87" w:rsidRPr="00511005" w:rsidRDefault="007B2628" w:rsidP="003A292D">
      <w:pPr>
        <w:tabs>
          <w:tab w:val="left" w:pos="2196"/>
        </w:tabs>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200E87" w:rsidRPr="00511005">
        <w:rPr>
          <w:rFonts w:ascii="Arial" w:eastAsia="Calibri" w:hAnsi="Arial" w:cs="Arial"/>
          <w:i/>
          <w:szCs w:val="28"/>
          <w:lang w:val="uk-UA"/>
        </w:rPr>
        <w:t>д.ю.н.,</w:t>
      </w:r>
      <w:r w:rsidRPr="00511005">
        <w:rPr>
          <w:rFonts w:ascii="Arial" w:eastAsia="Calibri" w:hAnsi="Arial" w:cs="Arial"/>
          <w:i/>
          <w:szCs w:val="28"/>
          <w:lang w:val="uk-UA"/>
        </w:rPr>
        <w:t xml:space="preserve"> </w:t>
      </w:r>
      <w:r w:rsidR="00200E87" w:rsidRPr="00511005">
        <w:rPr>
          <w:rFonts w:ascii="Arial" w:eastAsia="Calibri" w:hAnsi="Arial" w:cs="Arial"/>
          <w:i/>
          <w:szCs w:val="28"/>
          <w:lang w:val="uk-UA"/>
        </w:rPr>
        <w:t>професор Коломієць Ю.Ю.</w:t>
      </w:r>
    </w:p>
    <w:p w14:paraId="51425EC8" w14:textId="77777777" w:rsidR="00200E87" w:rsidRPr="00511005" w:rsidRDefault="00200E87" w:rsidP="003A292D">
      <w:pPr>
        <w:spacing w:line="264" w:lineRule="auto"/>
        <w:ind w:firstLine="0"/>
        <w:jc w:val="center"/>
        <w:rPr>
          <w:rFonts w:ascii="Arial" w:eastAsia="Calibri" w:hAnsi="Arial" w:cs="Arial"/>
          <w:szCs w:val="28"/>
          <w:lang w:val="uk-UA"/>
        </w:rPr>
      </w:pPr>
    </w:p>
    <w:p w14:paraId="7A3B0980" w14:textId="77777777" w:rsidR="00200E87" w:rsidRPr="00511005" w:rsidRDefault="00200E87" w:rsidP="003A292D">
      <w:pPr>
        <w:spacing w:line="264" w:lineRule="auto"/>
        <w:ind w:firstLine="0"/>
        <w:jc w:val="center"/>
        <w:rPr>
          <w:rFonts w:ascii="Arial" w:eastAsia="Calibri" w:hAnsi="Arial" w:cs="Arial"/>
          <w:szCs w:val="28"/>
          <w:lang w:val="uk-UA"/>
        </w:rPr>
      </w:pPr>
    </w:p>
    <w:p w14:paraId="45E87474" w14:textId="77777777" w:rsidR="00200E87" w:rsidRPr="00511005" w:rsidRDefault="00200E87"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Тишковець Данило Андрійович</w:t>
      </w:r>
    </w:p>
    <w:p w14:paraId="01C850D9" w14:textId="6593A120" w:rsidR="00200E87" w:rsidRPr="00511005" w:rsidRDefault="00200E87" w:rsidP="003A292D">
      <w:pPr>
        <w:pBdr>
          <w:top w:val="nil"/>
          <w:left w:val="nil"/>
          <w:bottom w:val="nil"/>
          <w:right w:val="nil"/>
          <w:between w:val="nil"/>
        </w:pBd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стyдeнт 2-го кyрсy </w:t>
      </w:r>
      <w:r w:rsidR="00536AAB" w:rsidRPr="00511005">
        <w:rPr>
          <w:rFonts w:ascii="Arial" w:eastAsia="Times New Roman" w:hAnsi="Arial" w:cs="Arial"/>
          <w:szCs w:val="28"/>
          <w:lang w:val="uk-UA"/>
        </w:rPr>
        <w:t>факультету адвокатури та антикорупційної діяльності</w:t>
      </w:r>
      <w:r w:rsidRPr="00511005">
        <w:rPr>
          <w:rFonts w:ascii="Arial" w:eastAsia="Times New Roman" w:hAnsi="Arial" w:cs="Arial"/>
          <w:szCs w:val="28"/>
          <w:lang w:val="uk-UA"/>
        </w:rPr>
        <w:t xml:space="preserve"> </w:t>
      </w:r>
    </w:p>
    <w:p w14:paraId="7CD24BFA" w14:textId="77777777" w:rsidR="00200E87" w:rsidRPr="00511005" w:rsidRDefault="00200E87" w:rsidP="003A292D">
      <w:pPr>
        <w:pBdr>
          <w:top w:val="nil"/>
          <w:left w:val="nil"/>
          <w:bottom w:val="nil"/>
          <w:right w:val="nil"/>
          <w:between w:val="nil"/>
        </w:pBd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Нaцioнaльнoгo yнiвeрситeтy «Oдeськa юридичнa aкaдeмiя»</w:t>
      </w:r>
    </w:p>
    <w:p w14:paraId="2AB9AA0A" w14:textId="77777777" w:rsidR="00200E87" w:rsidRPr="00511005" w:rsidRDefault="00200E87" w:rsidP="003A292D">
      <w:pPr>
        <w:pBdr>
          <w:top w:val="nil"/>
          <w:left w:val="nil"/>
          <w:bottom w:val="nil"/>
          <w:right w:val="nil"/>
          <w:between w:val="nil"/>
        </w:pBd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br/>
        <w:t>ОСОБЛИВОСТІ КРИМІНАЛЬНОЇ ВІДПОВІДАЛЬНОСТІ НЕПОВНОЛІТНІХ</w:t>
      </w:r>
    </w:p>
    <w:p w14:paraId="2FBD018C" w14:textId="77777777" w:rsidR="00200E87" w:rsidRPr="00511005" w:rsidRDefault="00200E87"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Кримінальна відповідальність неповнолітніх є складним і водночас надзвичайно важливим інститутом кримінального права, який вимагає не тільки законодавчої врегульованості, а й глибокої індивідуалізації у правозастосовній практиці. Йдеться про категорію осіб, які ще не досягли повноліття, тобто не сформували остаточної правосвідомості, характеру та здатності повною мірою оцінювати суспільну небезпеку своїх дій. Саме тому в межах кримінального права до неповнолітніх застосовуються спеціальні правила притягнення до відповідальності, особливі умови звільнення від неї, а також альтернативні заходи впливу, орієнтовані на виховання та ресоціалізацію.</w:t>
      </w:r>
    </w:p>
    <w:p w14:paraId="00F12F61" w14:textId="77777777" w:rsidR="00200E87" w:rsidRPr="00511005" w:rsidRDefault="00200E87"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Відповідно до статті 22 Кримінального кодексу України, кримінальна відповідальність, як загальне правило, настає з 16 років. Водночас закон встановлює зниження до 14 років у випадках вчинення особливо тяжких кримінальних правопорушень, таких як умисне вбивство, зґвалтування, розбій тощо </w:t>
      </w:r>
      <w:r w:rsidRPr="00511005">
        <w:rPr>
          <w:rFonts w:ascii="Arial" w:eastAsia="Times New Roman" w:hAnsi="Arial" w:cs="Arial"/>
          <w:szCs w:val="28"/>
          <w:lang w:eastAsia="uk-UA"/>
        </w:rPr>
        <w:t>[1]</w:t>
      </w:r>
      <w:r w:rsidRPr="00511005">
        <w:rPr>
          <w:rFonts w:ascii="Arial" w:eastAsia="Times New Roman" w:hAnsi="Arial" w:cs="Arial"/>
          <w:szCs w:val="28"/>
          <w:lang w:val="uk-UA" w:eastAsia="uk-UA"/>
        </w:rPr>
        <w:t>. Такий підхід забезпечує певний баланс між інтересами суспільства у захисті від небезпечних діянь та розумінням незрілості особи як пом’якшувального чинника.</w:t>
      </w:r>
    </w:p>
    <w:p w14:paraId="3FB355B5" w14:textId="77777777" w:rsidR="00200E87" w:rsidRPr="00511005" w:rsidRDefault="00200E87"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На думку Н.В. Кідіної, не завжди сам факт вчинення кримінального правопорушення неповнолітньою особою вимагає автоматичного застосування кримінально-правових заходів. В окремих випадках, коли правопорушник демонструє високий рівень усвідомлення протиправності вчиненого, щире каяття та відсутність ризику повторного правопорушення, навіть м’яке покарання може виявитися надмірним та юридично недоцільним. У такому разі пріоритет має надаватись саме звільненню від кримінальної відповідальності, адже сама форма впливу держави повинна відповідати не стільки факту кримінального правопорушення, скільки оцінці реальної потреби в застосуванні репресивних заходів [2, с.127].</w:t>
      </w:r>
    </w:p>
    <w:p w14:paraId="5DEBE6CE" w14:textId="77777777" w:rsidR="00200E87" w:rsidRPr="00511005" w:rsidRDefault="00200E87" w:rsidP="003A292D">
      <w:pPr>
        <w:spacing w:line="264" w:lineRule="auto"/>
        <w:ind w:firstLine="0"/>
        <w:contextualSpacing/>
        <w:rPr>
          <w:rFonts w:ascii="Arial" w:eastAsia="Times New Roman" w:hAnsi="Arial" w:cs="Arial"/>
          <w:szCs w:val="28"/>
          <w:lang w:eastAsia="uk-UA"/>
        </w:rPr>
      </w:pPr>
      <w:r w:rsidRPr="00511005">
        <w:rPr>
          <w:rFonts w:ascii="Arial" w:eastAsia="Times New Roman" w:hAnsi="Arial" w:cs="Arial"/>
          <w:szCs w:val="28"/>
          <w:lang w:val="uk-UA" w:eastAsia="uk-UA"/>
        </w:rPr>
        <w:t>Процесуальні особливості провадження щодо неповнолітніх мають вирішальне значення у забезпеченні справедливості та правового захисту неповнолітнього у кримінальному процесі. Відповідно до глави 38 Кримінального процесуального кодексу України (статті 484–499), участь захисника є обов’язковою з моменту затримання, так само як і присутність законного представника (батька, матері, опікуна або іншої уповноваженої особи). Крім того, при проведенні допиту передбачена участь психолога, а самі слідчі дії мають здійснюватися з урахуванням вікових, емоційних і психологічних особливостей неповнолітнього</w:t>
      </w:r>
      <w:r w:rsidRPr="00511005">
        <w:rPr>
          <w:rFonts w:ascii="Arial" w:eastAsia="Times New Roman" w:hAnsi="Arial" w:cs="Arial"/>
          <w:szCs w:val="28"/>
          <w:lang w:eastAsia="uk-UA"/>
        </w:rPr>
        <w:t xml:space="preserve"> [</w:t>
      </w:r>
      <w:r w:rsidRPr="00511005">
        <w:rPr>
          <w:rFonts w:ascii="Arial" w:eastAsia="Times New Roman" w:hAnsi="Arial" w:cs="Arial"/>
          <w:szCs w:val="28"/>
          <w:lang w:val="uk-UA" w:eastAsia="uk-UA"/>
        </w:rPr>
        <w:t>3</w:t>
      </w:r>
      <w:r w:rsidRPr="00511005">
        <w:rPr>
          <w:rFonts w:ascii="Arial" w:eastAsia="Times New Roman" w:hAnsi="Arial" w:cs="Arial"/>
          <w:szCs w:val="28"/>
          <w:lang w:eastAsia="uk-UA"/>
        </w:rPr>
        <w:t>]</w:t>
      </w:r>
      <w:r w:rsidRPr="00511005">
        <w:rPr>
          <w:rFonts w:ascii="Arial" w:eastAsia="Times New Roman" w:hAnsi="Arial" w:cs="Arial"/>
          <w:szCs w:val="28"/>
          <w:lang w:val="uk-UA" w:eastAsia="uk-UA"/>
        </w:rPr>
        <w:t>. Такі гарантії спрямовані на мінімізацію тиску на неповнолітнього та забезпечення її реального залучення до процесу, без перекручення фактів і примусу. Зазначені положення мають не декларативний, а обов’язковий характер і є ключовими у побудові ювенальної моделі кримінального провадження.</w:t>
      </w:r>
    </w:p>
    <w:p w14:paraId="3E026146" w14:textId="77777777" w:rsidR="00200E87" w:rsidRPr="00511005" w:rsidRDefault="00200E87"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Кримінальний кодекс України передбачає декілька шляхів реалізації відповідальності щодо неповнолітніх. Насамперед, це система покарань, яка умовно поділяється на дві групи: 1) покарання, що не пов’язані з ізоляцією від суспільства (штраф, громадські чи виправні роботи), та 2) покарання, що передбачають обмеження або позбавлення волі (арешт, позбавлення волі на певний строк) [2, с. 125]. Законодавець не передбачає можливості застосування до неповнолітніх довічного позбавлення волі, а максимальний строк покарання обмежується 15 роками.</w:t>
      </w:r>
      <w:r w:rsidRPr="00511005">
        <w:rPr>
          <w:rFonts w:ascii="Arial" w:eastAsia="Times New Roman" w:hAnsi="Arial" w:cs="Arial"/>
          <w:szCs w:val="28"/>
          <w:lang w:eastAsia="uk-UA"/>
        </w:rPr>
        <w:t xml:space="preserve"> </w:t>
      </w:r>
      <w:r w:rsidRPr="00511005">
        <w:rPr>
          <w:rFonts w:ascii="Arial" w:eastAsia="Times New Roman" w:hAnsi="Arial" w:cs="Arial"/>
          <w:szCs w:val="28"/>
          <w:lang w:val="uk-UA" w:eastAsia="uk-UA"/>
        </w:rPr>
        <w:t>При цьому, суд має керуватись принципами пропорційності та доцільності, оцінюючи не лише характер і ступінь тяжкості кримінального правопорушення, а й особу правопорушника, умови його життя, рівень розвитку та здатність до виправлення.</w:t>
      </w:r>
    </w:p>
    <w:p w14:paraId="7C5A9E9B" w14:textId="77777777" w:rsidR="00200E87" w:rsidRPr="00511005" w:rsidRDefault="00200E87"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Беззаперечно можна погодитись з думкою Н.В. Кідіної, що сам інститут призначення покарання має подвійну функцію. З одного боку — це захист суспільства і особи від можливої повторної протиправної поведінки, а з іншого — це правовий акт оцінки, який визначає, чи є підстави для застосування тієї чи іншої санкції, і яка з них буде достатньою для досягнення цілей покарання. У цьому контексті надзвичайно важливою є </w:t>
      </w:r>
      <w:r w:rsidRPr="00511005">
        <w:rPr>
          <w:rFonts w:ascii="Arial" w:eastAsia="Times New Roman" w:hAnsi="Arial" w:cs="Arial"/>
          <w:szCs w:val="28"/>
          <w:lang w:val="uk-UA" w:eastAsia="uk-UA"/>
        </w:rPr>
        <w:lastRenderedPageBreak/>
        <w:t>правова чіткість і сувора визначеність, яка дозволяє суду використовувати адекватний інструментарій при ухваленні рішення [2, с.162].</w:t>
      </w:r>
    </w:p>
    <w:p w14:paraId="3B839AE4" w14:textId="149049B7" w:rsidR="00200E87" w:rsidRPr="00511005" w:rsidRDefault="00200E87"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Крім того, важливо розрізняти поняття примусових заходів виховного характеру, які можуть застосовуватись як у межах притягнення до відповідальності, так і в разі звільнення від неї. Згідно зі статтями 97 та 105 КК України, такими заходами є: застереження, обмеження дозвілля, передача під нагляд, відшкодування шкоди, а також направлення до спеціальної навчально-виховної установи </w:t>
      </w:r>
      <w:r w:rsidRPr="00511005">
        <w:rPr>
          <w:rFonts w:ascii="Arial" w:eastAsia="Times New Roman" w:hAnsi="Arial" w:cs="Arial"/>
          <w:szCs w:val="28"/>
          <w:lang w:eastAsia="uk-UA"/>
        </w:rPr>
        <w:t>[1]</w:t>
      </w:r>
      <w:r w:rsidRPr="00511005">
        <w:rPr>
          <w:rFonts w:ascii="Arial" w:eastAsia="Times New Roman" w:hAnsi="Arial" w:cs="Arial"/>
          <w:szCs w:val="28"/>
          <w:lang w:val="uk-UA" w:eastAsia="uk-UA"/>
        </w:rPr>
        <w:t>. Їх метою є не покарання, а створення умов для виправлення та подальшої соціальної адаптації неповнолітнього. Водночас,</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 випадку звільнення від кримінальної відповідальності ці заходи мають носити відчутно інший характер — не як форма реалізації кримінальної відповідальності, а як соціальний вплив, що не включає в себе засудження особи у кримінально-правовому сенсі.</w:t>
      </w:r>
    </w:p>
    <w:p w14:paraId="42D9FCF6" w14:textId="77777777" w:rsidR="00200E87" w:rsidRPr="00511005" w:rsidRDefault="00200E87" w:rsidP="003A292D">
      <w:pPr>
        <w:spacing w:line="264" w:lineRule="auto"/>
        <w:ind w:firstLine="0"/>
        <w:contextualSpacing/>
        <w:rPr>
          <w:rFonts w:ascii="Arial" w:eastAsia="Times New Roman" w:hAnsi="Arial" w:cs="Arial"/>
          <w:szCs w:val="28"/>
          <w:lang w:val="uk-UA" w:eastAsia="uk-UA"/>
        </w:rPr>
      </w:pPr>
      <w:r w:rsidRPr="00511005">
        <w:rPr>
          <w:rFonts w:ascii="Arial" w:eastAsia="Times New Roman" w:hAnsi="Arial" w:cs="Arial"/>
          <w:szCs w:val="28"/>
          <w:lang w:val="uk-UA" w:eastAsia="uk-UA"/>
        </w:rPr>
        <w:t>Окрему увагу у межах кримінального права слід приділяти принципу неминучості покарання, який є важливою складовою запобігання злочинності. Його сутність полягає не у суворості реакції, а в гарантії того, що кожне правопорушення буде виявлене та належним чином юридично оцінене. Особливо у справах щодо неповнолітніх, цей принцип має бути реалізований не в площині суворого репресивного впливу, а в площині безумовної правової реакції — навіть якщо вона виражається у застосуванні м’яких або виховних заходів.</w:t>
      </w:r>
    </w:p>
    <w:p w14:paraId="3FCA44EE" w14:textId="77777777" w:rsidR="00200E87" w:rsidRPr="00511005" w:rsidRDefault="00200E87" w:rsidP="003A292D">
      <w:pPr>
        <w:pBdr>
          <w:top w:val="nil"/>
          <w:left w:val="nil"/>
          <w:bottom w:val="nil"/>
          <w:right w:val="nil"/>
          <w:between w:val="nil"/>
        </w:pBd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У підсумку слід зазначити, що кримінальна відповідальність неповнолітніх у межах національного законодавства реалізується не як механічне копіювання загальних норм, а як окремий, спеціалізований інститут із власними матеріальними та процесуальними особливостями. Його зміст полягає не стільки у покаранні, скільки у пошуку найбільш ефективного способу вплинути на особу, яка в силу віку ще не сформована остаточно. Застосування покарання тут має вторинне значення — на перший план виходять превентивна функція права, реабілітаційний потенціал виховних заходів та необхідність індивідуального підходу.</w:t>
      </w:r>
    </w:p>
    <w:p w14:paraId="4DC336F3" w14:textId="77777777" w:rsidR="00200E87" w:rsidRPr="00511005" w:rsidRDefault="00200E87" w:rsidP="003A292D">
      <w:pPr>
        <w:pBdr>
          <w:top w:val="nil"/>
          <w:left w:val="nil"/>
          <w:bottom w:val="nil"/>
          <w:right w:val="nil"/>
          <w:between w:val="nil"/>
        </w:pBdr>
        <w:spacing w:line="264" w:lineRule="auto"/>
        <w:ind w:firstLine="0"/>
        <w:contextualSpacing/>
        <w:rPr>
          <w:rFonts w:ascii="Arial" w:eastAsia="Calibri" w:hAnsi="Arial" w:cs="Arial"/>
          <w:szCs w:val="28"/>
          <w:lang w:val="uk-UA"/>
        </w:rPr>
      </w:pPr>
    </w:p>
    <w:p w14:paraId="551FF5F9" w14:textId="77777777" w:rsidR="00200E87" w:rsidRPr="00511005" w:rsidRDefault="00200E87" w:rsidP="003A292D">
      <w:pPr>
        <w:pBdr>
          <w:top w:val="nil"/>
          <w:left w:val="nil"/>
          <w:bottom w:val="nil"/>
          <w:right w:val="nil"/>
          <w:between w:val="nil"/>
        </w:pBdr>
        <w:spacing w:line="264" w:lineRule="auto"/>
        <w:ind w:firstLine="0"/>
        <w:contextualSpacing/>
        <w:rPr>
          <w:rFonts w:ascii="Arial" w:eastAsia="Calibri" w:hAnsi="Arial" w:cs="Arial"/>
          <w:szCs w:val="28"/>
          <w:lang w:val="uk-UA"/>
        </w:rPr>
      </w:pPr>
    </w:p>
    <w:p w14:paraId="462C284D" w14:textId="77777777" w:rsidR="00200E87" w:rsidRPr="00511005" w:rsidRDefault="00200E87"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Списoк викoристaних джeрeл</w:t>
      </w:r>
    </w:p>
    <w:p w14:paraId="2712D975" w14:textId="77777777" w:rsidR="00200E87" w:rsidRPr="00511005" w:rsidRDefault="00200E87" w:rsidP="003F6A5D">
      <w:pPr>
        <w:numPr>
          <w:ilvl w:val="0"/>
          <w:numId w:val="545"/>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Кримінальний кодекс України : Закон України від 05.04.2001 № 2341-III : станом на 1 лют. 2025 р. URL: </w:t>
      </w:r>
      <w:hyperlink r:id="rId1906" w:anchor="Text" w:tgtFrame="_blank" w:history="1">
        <w:r w:rsidRPr="00511005">
          <w:rPr>
            <w:rFonts w:ascii="Arial" w:eastAsia="Times New Roman" w:hAnsi="Arial" w:cs="Arial"/>
            <w:szCs w:val="28"/>
            <w:lang w:val="uk-UA" w:eastAsia="uk-UA"/>
          </w:rPr>
          <w:t>https://zakon.rada.gov.ua/laws/show/2341-14#Text</w:t>
        </w:r>
      </w:hyperlink>
      <w:r w:rsidRPr="00511005">
        <w:rPr>
          <w:rFonts w:ascii="Arial" w:eastAsia="Times New Roman" w:hAnsi="Arial" w:cs="Arial"/>
          <w:szCs w:val="28"/>
          <w:lang w:val="uk-UA" w:eastAsia="uk-UA"/>
        </w:rPr>
        <w:t xml:space="preserve"> (дата звернення 10.04.2025).</w:t>
      </w:r>
    </w:p>
    <w:p w14:paraId="192D1BEC" w14:textId="77777777" w:rsidR="00200E87" w:rsidRPr="00511005" w:rsidRDefault="00200E87" w:rsidP="003F6A5D">
      <w:pPr>
        <w:numPr>
          <w:ilvl w:val="0"/>
          <w:numId w:val="545"/>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Кідіна Н. В. Кримінологічні засади індивідуалізації покарання неповнолітніх в Україні : дис. … канд. юр. наук / МВС України Національна Академія Внутрішніх Справ. Київ, 2021. 258 с.</w:t>
      </w:r>
    </w:p>
    <w:p w14:paraId="7294EBF9" w14:textId="77777777" w:rsidR="00200E87" w:rsidRPr="00511005" w:rsidRDefault="00200E87" w:rsidP="003F6A5D">
      <w:pPr>
        <w:numPr>
          <w:ilvl w:val="0"/>
          <w:numId w:val="545"/>
        </w:numPr>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Кримінальний процесуальний кодекс України : Закон України від 13.04.2012 № 4651-VI : станом на 26 груд. 2024 р. URL: </w:t>
      </w:r>
      <w:hyperlink r:id="rId1907" w:anchor="Text" w:tgtFrame="_blank" w:history="1">
        <w:r w:rsidRPr="00511005">
          <w:rPr>
            <w:rFonts w:ascii="Arial" w:eastAsia="Times New Roman" w:hAnsi="Arial" w:cs="Arial"/>
            <w:szCs w:val="28"/>
            <w:lang w:val="uk-UA" w:eastAsia="uk-UA"/>
          </w:rPr>
          <w:t>https://zakon.rada.gov.ua/laws/show/4651-17#Text</w:t>
        </w:r>
      </w:hyperlink>
      <w:r w:rsidRPr="00511005">
        <w:rPr>
          <w:rFonts w:ascii="Arial" w:eastAsia="Times New Roman" w:hAnsi="Arial" w:cs="Arial"/>
          <w:szCs w:val="28"/>
          <w:lang w:val="uk-UA" w:eastAsia="uk-UA"/>
        </w:rPr>
        <w:t xml:space="preserve"> (дата звернення 10.04.2025).</w:t>
      </w:r>
    </w:p>
    <w:p w14:paraId="562D94FC" w14:textId="77777777" w:rsidR="00200E87" w:rsidRPr="00511005" w:rsidRDefault="00200E87" w:rsidP="003A292D">
      <w:pPr>
        <w:spacing w:line="264" w:lineRule="auto"/>
        <w:ind w:firstLine="0"/>
        <w:rPr>
          <w:rFonts w:ascii="Arial" w:eastAsia="Times New Roman" w:hAnsi="Arial" w:cs="Arial"/>
          <w:szCs w:val="28"/>
          <w:lang w:val="uk-UA" w:eastAsia="uk-UA"/>
        </w:rPr>
      </w:pPr>
    </w:p>
    <w:p w14:paraId="2DB9662F" w14:textId="208DEC24" w:rsidR="00200E87" w:rsidRPr="00511005" w:rsidRDefault="007B2628"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200E87" w:rsidRPr="00511005">
        <w:rPr>
          <w:rFonts w:ascii="Arial" w:eastAsia="Times New Roman" w:hAnsi="Arial" w:cs="Arial"/>
          <w:szCs w:val="28"/>
          <w:lang w:val="uk-UA" w:eastAsia="uk-UA"/>
        </w:rPr>
        <w:t>кримінальне право, кримінальне правопорушення, кримінальна відповідальність неповнолітніх, звільнення від кримінальної відповідальності, покарання.</w:t>
      </w:r>
    </w:p>
    <w:p w14:paraId="3C91DC5C" w14:textId="71D21F93" w:rsidR="00200E87" w:rsidRPr="00511005" w:rsidRDefault="007B2628" w:rsidP="003A292D">
      <w:pPr>
        <w:spacing w:line="264" w:lineRule="auto"/>
        <w:ind w:firstLine="0"/>
        <w:jc w:val="left"/>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Key words: </w:t>
      </w:r>
      <w:r w:rsidR="00200E87" w:rsidRPr="00511005">
        <w:rPr>
          <w:rFonts w:ascii="Arial" w:eastAsia="Times New Roman" w:hAnsi="Arial" w:cs="Arial"/>
          <w:szCs w:val="28"/>
          <w:lang w:val="uk-UA" w:eastAsia="uk-UA"/>
        </w:rPr>
        <w:t>criminal law, criminal offense, criminal responsibility of minors, exemption from criminal liability, punishment. переклади</w:t>
      </w:r>
    </w:p>
    <w:p w14:paraId="42BF939B" w14:textId="7956AF3A" w:rsidR="00200E87" w:rsidRPr="00511005" w:rsidRDefault="007B2628" w:rsidP="003A292D">
      <w:pPr>
        <w:spacing w:line="264" w:lineRule="auto"/>
        <w:ind w:firstLine="0"/>
        <w:rPr>
          <w:rFonts w:ascii="Arial" w:eastAsia="Times New Roman" w:hAnsi="Arial" w:cs="Arial"/>
          <w:i/>
          <w:szCs w:val="28"/>
          <w:lang w:val="uk-UA" w:eastAsia="uk-UA"/>
        </w:rPr>
      </w:pPr>
      <w:r w:rsidRPr="00511005">
        <w:rPr>
          <w:rFonts w:ascii="Arial" w:eastAsia="Calibri" w:hAnsi="Arial" w:cs="Arial"/>
          <w:b/>
          <w:bCs/>
          <w:i/>
          <w:szCs w:val="28"/>
          <w:shd w:val="clear" w:color="auto" w:fill="FFFFFF"/>
          <w:lang w:val="uk-UA"/>
        </w:rPr>
        <w:t xml:space="preserve">Науковий керівник: </w:t>
      </w:r>
      <w:r w:rsidR="00200E87" w:rsidRPr="00511005">
        <w:rPr>
          <w:rFonts w:ascii="Arial" w:eastAsia="Calibri" w:hAnsi="Arial" w:cs="Arial"/>
          <w:i/>
          <w:szCs w:val="28"/>
          <w:lang w:val="uk-UA"/>
        </w:rPr>
        <w:t>к. ю. н., доцент Хильченко А.С.</w:t>
      </w:r>
    </w:p>
    <w:p w14:paraId="4A8E8783" w14:textId="77777777" w:rsidR="00200E87" w:rsidRPr="00511005" w:rsidRDefault="00200E87" w:rsidP="003A292D">
      <w:pPr>
        <w:pBdr>
          <w:top w:val="nil"/>
          <w:left w:val="nil"/>
          <w:bottom w:val="nil"/>
          <w:right w:val="nil"/>
          <w:between w:val="nil"/>
        </w:pBdr>
        <w:spacing w:line="264" w:lineRule="auto"/>
        <w:ind w:firstLine="0"/>
        <w:contextualSpacing/>
        <w:rPr>
          <w:rFonts w:ascii="Arial" w:eastAsia="Times New Roman" w:hAnsi="Arial" w:cs="Arial"/>
          <w:szCs w:val="28"/>
          <w:lang w:val="uk-UA"/>
        </w:rPr>
      </w:pPr>
    </w:p>
    <w:p w14:paraId="58F17D23" w14:textId="77777777" w:rsidR="00200E87" w:rsidRPr="00511005" w:rsidRDefault="00200E87" w:rsidP="003A292D">
      <w:pPr>
        <w:spacing w:line="264" w:lineRule="auto"/>
        <w:ind w:firstLine="0"/>
        <w:contextualSpacing/>
        <w:rPr>
          <w:rFonts w:ascii="Arial" w:eastAsia="Calibri" w:hAnsi="Arial" w:cs="Arial"/>
          <w:szCs w:val="28"/>
          <w:lang w:val="uk-UA"/>
        </w:rPr>
      </w:pPr>
    </w:p>
    <w:p w14:paraId="10BEBB32" w14:textId="77777777" w:rsidR="00200E87" w:rsidRPr="00511005" w:rsidRDefault="00200E87" w:rsidP="003A292D">
      <w:pPr>
        <w:pBdr>
          <w:top w:val="nil"/>
          <w:left w:val="nil"/>
          <w:bottom w:val="nil"/>
          <w:right w:val="nil"/>
          <w:between w:val="nil"/>
          <w:bar w:val="nil"/>
        </w:pBdr>
        <w:spacing w:line="264" w:lineRule="auto"/>
        <w:ind w:firstLine="0"/>
        <w:jc w:val="center"/>
        <w:rPr>
          <w:rFonts w:ascii="Arial" w:eastAsia="Times New Roman" w:hAnsi="Arial" w:cs="Arial"/>
          <w:b/>
          <w:bCs/>
          <w:i/>
          <w:iCs/>
          <w:szCs w:val="28"/>
          <w:u w:color="000000"/>
          <w:bdr w:val="nil"/>
          <w:lang w:eastAsia="uk-UA"/>
          <w14:textOutline w14:w="12700" w14:cap="flat" w14:cmpd="sng" w14:algn="ctr">
            <w14:noFill/>
            <w14:prstDash w14:val="solid"/>
            <w14:miter w14:lim="400000"/>
          </w14:textOutline>
        </w:rPr>
      </w:pPr>
      <w:r w:rsidRPr="00511005">
        <w:rPr>
          <w:rFonts w:ascii="Arial" w:eastAsia="Arial Unicode MS" w:hAnsi="Arial" w:cs="Arial"/>
          <w:b/>
          <w:bCs/>
          <w:i/>
          <w:iCs/>
          <w:szCs w:val="28"/>
          <w:u w:color="000000"/>
          <w:bdr w:val="nil"/>
          <w:lang w:eastAsia="uk-UA"/>
          <w14:textOutline w14:w="12700" w14:cap="flat" w14:cmpd="sng" w14:algn="ctr">
            <w14:noFill/>
            <w14:prstDash w14:val="solid"/>
            <w14:miter w14:lim="400000"/>
          </w14:textOutline>
        </w:rPr>
        <w:t>Тучак Олександра Іванівна</w:t>
      </w:r>
    </w:p>
    <w:p w14:paraId="002027E9" w14:textId="66464EFE" w:rsidR="00200E87" w:rsidRPr="00511005" w:rsidRDefault="00536AAB" w:rsidP="003A292D">
      <w:pPr>
        <w:pBdr>
          <w:top w:val="nil"/>
          <w:left w:val="nil"/>
          <w:bottom w:val="nil"/>
          <w:right w:val="nil"/>
          <w:between w:val="nil"/>
          <w:bar w:val="nil"/>
        </w:pBdr>
        <w:spacing w:line="264" w:lineRule="auto"/>
        <w:ind w:firstLine="0"/>
        <w:jc w:val="center"/>
        <w:rPr>
          <w:rFonts w:ascii="Arial" w:eastAsia="Times New Roman" w:hAnsi="Arial" w:cs="Arial"/>
          <w:szCs w:val="28"/>
          <w:u w:color="000000"/>
          <w:bdr w:val="nil"/>
          <w:lang w:eastAsia="uk-UA"/>
          <w14:textOutline w14:w="12700" w14:cap="flat" w14:cmpd="sng" w14:algn="ctr">
            <w14:noFill/>
            <w14:prstDash w14:val="solid"/>
            <w14:miter w14:lim="400000"/>
          </w14:textOutline>
        </w:rPr>
      </w:pPr>
      <w:r w:rsidRPr="00511005">
        <w:rPr>
          <w:rFonts w:ascii="Arial" w:eastAsia="Arial Unicode MS" w:hAnsi="Arial" w:cs="Arial"/>
          <w:szCs w:val="28"/>
          <w:bdr w:val="nil"/>
          <w:lang w:eastAsia="uk-UA"/>
          <w14:textOutline w14:w="12700" w14:cap="flat" w14:cmpd="sng" w14:algn="ctr">
            <w14:noFill/>
            <w14:prstDash w14:val="solid"/>
            <w14:miter w14:lim="400000"/>
          </w14:textOutline>
        </w:rPr>
        <w:t xml:space="preserve">студентка 3-го курсу </w:t>
      </w:r>
      <w:r w:rsidR="007B2628" w:rsidRPr="00511005">
        <w:rPr>
          <w:rFonts w:ascii="Arial" w:eastAsia="Arial Unicode MS" w:hAnsi="Arial" w:cs="Arial"/>
          <w:szCs w:val="28"/>
          <w:bdr w:val="nil"/>
          <w:lang w:eastAsia="uk-UA"/>
          <w14:textOutline w14:w="12700" w14:cap="flat" w14:cmpd="sng" w14:algn="ctr">
            <w14:noFill/>
            <w14:prstDash w14:val="solid"/>
            <w14:miter w14:lim="400000"/>
          </w14:textOutline>
        </w:rPr>
        <w:t>факультету цивільної та господарської юстиції</w:t>
      </w:r>
      <w:r w:rsidR="00200E87"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w:t>
      </w:r>
    </w:p>
    <w:p w14:paraId="6CA7D8B4" w14:textId="706E8846" w:rsidR="00200E87" w:rsidRPr="00511005" w:rsidRDefault="007B2628" w:rsidP="003A292D">
      <w:pPr>
        <w:pBdr>
          <w:top w:val="nil"/>
          <w:left w:val="nil"/>
          <w:bottom w:val="nil"/>
          <w:right w:val="nil"/>
          <w:between w:val="nil"/>
          <w:bar w:val="nil"/>
        </w:pBdr>
        <w:spacing w:line="264" w:lineRule="auto"/>
        <w:ind w:firstLine="0"/>
        <w:jc w:val="center"/>
        <w:rPr>
          <w:rFonts w:ascii="Arial" w:eastAsia="Times New Roman" w:hAnsi="Arial" w:cs="Arial"/>
          <w:szCs w:val="28"/>
          <w:u w:color="000000"/>
          <w:bdr w:val="nil"/>
          <w:lang w:eastAsia="uk-UA"/>
          <w14:textOutline w14:w="12700" w14:cap="flat" w14:cmpd="sng" w14:algn="ctr">
            <w14:noFill/>
            <w14:prstDash w14:val="solid"/>
            <w14:miter w14:lim="400000"/>
          </w14:textOutline>
        </w:rPr>
      </w:pPr>
      <w:r w:rsidRPr="00511005">
        <w:rPr>
          <w:rFonts w:ascii="Arial" w:eastAsia="Arial Unicode MS" w:hAnsi="Arial" w:cs="Arial"/>
          <w:szCs w:val="28"/>
          <w:bdr w:val="nil"/>
          <w:lang w:eastAsia="uk-UA"/>
          <w14:textOutline w14:w="12700" w14:cap="flat" w14:cmpd="sng" w14:algn="ctr">
            <w14:noFill/>
            <w14:prstDash w14:val="solid"/>
            <w14:miter w14:lim="400000"/>
          </w14:textOutline>
        </w:rPr>
        <w:t>Національного університету «Одеська юридична академія»</w:t>
      </w:r>
      <w:r w:rsidR="00200E87"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w:t>
      </w:r>
    </w:p>
    <w:p w14:paraId="7E316108" w14:textId="77777777" w:rsidR="00200E87" w:rsidRPr="00511005" w:rsidRDefault="00200E87" w:rsidP="003A292D">
      <w:pPr>
        <w:pBdr>
          <w:top w:val="nil"/>
          <w:left w:val="nil"/>
          <w:bottom w:val="nil"/>
          <w:right w:val="nil"/>
          <w:between w:val="nil"/>
          <w:bar w:val="nil"/>
        </w:pBdr>
        <w:spacing w:line="264" w:lineRule="auto"/>
        <w:ind w:firstLine="0"/>
        <w:jc w:val="center"/>
        <w:rPr>
          <w:rFonts w:ascii="Arial" w:eastAsia="Times New Roman" w:hAnsi="Arial" w:cs="Arial"/>
          <w:szCs w:val="28"/>
          <w:u w:color="000000"/>
          <w:bdr w:val="nil"/>
          <w:lang w:eastAsia="uk-UA"/>
          <w14:textOutline w14:w="12700" w14:cap="flat" w14:cmpd="sng" w14:algn="ctr">
            <w14:noFill/>
            <w14:prstDash w14:val="solid"/>
            <w14:miter w14:lim="400000"/>
          </w14:textOutline>
        </w:rPr>
      </w:pPr>
    </w:p>
    <w:p w14:paraId="734A729F"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132"/>
        </w:tabs>
        <w:suppressAutoHyphens/>
        <w:spacing w:line="264" w:lineRule="auto"/>
        <w:ind w:firstLine="0"/>
        <w:jc w:val="center"/>
        <w:rPr>
          <w:rFonts w:ascii="Arial" w:eastAsia="Times New Roman" w:hAnsi="Arial" w:cs="Arial"/>
          <w:b/>
          <w:bCs/>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b/>
          <w:bCs/>
          <w:szCs w:val="28"/>
          <w:u w:color="000000"/>
          <w:bdr w:val="nil"/>
          <w:lang w:val="uk-UA" w:eastAsia="uk-UA"/>
          <w14:textOutline w14:w="12700" w14:cap="flat" w14:cmpd="sng" w14:algn="ctr">
            <w14:noFill/>
            <w14:prstDash w14:val="solid"/>
            <w14:miter w14:lim="400000"/>
          </w14:textOutline>
        </w:rPr>
        <w:t xml:space="preserve">КРИМІНАЛЬНО-ПРАВОВА ХАРАКТЕРИСТИКА ШАХРАЙСТВА: ПРОБЛЕМИ КВАЛІФІКАЦІЇ ТА ПРАКТИКА ПРОТИДІЇ В УМОВАХ ВОЄННОГО СТАНУ </w:t>
      </w:r>
    </w:p>
    <w:p w14:paraId="790ED810"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Кримінальні правопорушення проти власності становлять серйозну загрозу для суспільства, оскільки порушують закріплене в Конституції України право громадян на володіння, користування та розпорядження своїм майном. В умовах воєнного стану необхідність захисту цього права значно зростає, адже через зміни у повсякденному житті, зокрема вимушену міграцію, обмежений доступ до майна, втрату концентрації через постійний стрес, виникає більше ризиків його порушення. Ці обставини обумовлюють необхідність посилення кримінально-правової відповідальності за посягання на майнові права громадян під час дії воєнного стану.</w:t>
      </w:r>
    </w:p>
    <w:p w14:paraId="4983D373"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Серед усіх злочинів проти власності особливу увагу слід приділити шахрайству. Аналітичні дані демонструють, що в період воєнного стану кількість кримінальних проваджень, відкритих за фактами шахрайства, суттєво зростає. Наприклад,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у </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2023 року в Україні було зареєстровано рекордну кількість таких проваджень - 82 609,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у </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2024 році - 64 978.</w:t>
      </w:r>
    </w:p>
    <w:p w14:paraId="6153C382"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Відповідно до статті 190 Кримінального кодексу України шахрайство - це заволодіння чужим майном або придбання права на майно шляхом обману чи зловживання довірою. </w:t>
      </w:r>
    </w:p>
    <w:p w14:paraId="65803F2C"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У випадку шахрайства винна особа використовує обман — шляхом надання потерпілому неправдивої інформації або приховування важливих фактів — чи зловживання довірою, що проявляється в недобросовісному використанні довірливого ставлення потерпілого. Метою таких дій є формування у потерпілого переконання в доцільності або необхідності передати майно чи майнові права. Обов’язковою характеристикою </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lastRenderedPageBreak/>
        <w:t>шахрайства виступає те, що потерпілий самостійно, з власної волі передає винній особі майно або право на нього.</w:t>
      </w:r>
    </w:p>
    <w:p w14:paraId="040458E0"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Варто враховувати, що у випадках, коли потерпілий через свій вік, фізичні або психічні вади чи інші обставини не здатен адекватно усвідомлювати зміст, характер і наслідки власних дій або керувати ними, передача ним майна чи майнових прав не може розцінюватися як добровільна.</w:t>
      </w:r>
    </w:p>
    <w:p w14:paraId="35D22D57"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У разі, коли особа отримує чуже майно, свідомо використавши помилку іншої особи, але не спричинивши цю помилку самостійно і не маючи попередньої змови з тим, хто ввів потерпілого в оману, такі дії не можуть кваліфікуватися як шахрайство.</w:t>
      </w:r>
    </w:p>
    <w:p w14:paraId="5B2243A3"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Якщо обман або зловживання довірою використовувалися виключно як засіб для отримання доступу до майна, а саме заволодіння ним здійснювалося таємно або відкрито, такі дії не утворюють складу шахрайства. У такому випадку вчинене слід кваліфікувати як крадіжку, грабіж або розбій — залежно від конкретних обставин.</w:t>
      </w:r>
    </w:p>
    <w:p w14:paraId="4C89A6AC"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Отримання майна з умовою виконати певне зобов’язання може вважатися шахрайством лише за умови, що на момент заволодіння цим майном особа вже мала намір не виконувати обіцяного, а привласнити отримане. Наприклад, якщо особа приймає гроші чи інші цінності нібито для передачі їх посадовцю як хабар, але з самого початку планує залишити їх собі, такі дії підлягають кваліфікації як шахрайство.</w:t>
      </w:r>
    </w:p>
    <w:p w14:paraId="57CBE1E2"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13 липня 2023 року був ухвалений Закон України № </w:t>
      </w:r>
      <w:r w:rsidRPr="00511005">
        <w:rPr>
          <w:rFonts w:ascii="Arial" w:eastAsia="Arial Unicode MS" w:hAnsi="Arial" w:cs="Arial"/>
          <w:szCs w:val="28"/>
          <w:u w:color="000000"/>
          <w:bdr w:val="nil"/>
          <w:lang w:val="da-DK" w:eastAsia="uk-UA"/>
          <w14:textOutline w14:w="12700" w14:cap="flat" w14:cmpd="sng" w14:algn="ctr">
            <w14:noFill/>
            <w14:prstDash w14:val="solid"/>
            <w14:miter w14:lim="400000"/>
          </w14:textOutline>
        </w:rPr>
        <w:t xml:space="preserve">3233-1X </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«Про внесення змін до Кримінального та Кримінального процесуального кодексів України щодо усунення суперечностей у караності кримінальних правопорушень», згідно з яким частина 3 статті 190 КК України була змінена і сформульована наступним чином: 3. Шахрайство, вчинене в умовах воєнного чи надзвичайного стану, що спричинило значну шкоду потерпілому, - карається штрафом від чотирьох тисяч до восьми тисяч неоподатковуваних мінімумів доходів громадян або позбавленням волі на строк від трьох до п’яти років.</w:t>
      </w:r>
    </w:p>
    <w:p w14:paraId="43A58D4B"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Кваліфікуюча ознака «в умовах воєнного або надзвичайного стану» тлумачиться на підставі норм, закріплених у Законі України «Про правовий режим воєнного стану» № 389-VIII від 12 травня 2015 року та Законі України «Про правовий режим надзвичайного стану» №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1550-</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III</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від 16 березня 2000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року</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w:t>
      </w:r>
    </w:p>
    <w:p w14:paraId="412A4931"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Із змісту вищезазначеного закону можна зробити висновок, що воєнний стан — це специфічний правовий режим, що запроваджується на всій території України або в окремих її регіонах у випадку збройної агресії, загрози нападу або посягання на державну незалежність і територіальну цілісність країни. Він передбачає надання розширених повноважень органам державної влади, військовому командуванню, військовим адміністраціям та органам місцевого самоврядування з метою нейтралізації загроз, відбиття збройної агресії та гарантування національної безпеки. У рамках цього режиму також </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lastRenderedPageBreak/>
        <w:t xml:space="preserve">можливе тимчасове обмеження конституційних прав і свобод громадян, а також прав та інтересів юридичних осіб із чітким визначенням строку таких обмежень. На всій території України у звʼязку із збройною агресією РФ воєнний стан був введений указом Президента України «Про введення воєнного стану в Україні» 24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лютого </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2022 року і діє по теперішній час. </w:t>
      </w:r>
    </w:p>
    <w:p w14:paraId="0E46B991"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На практиці протидія шахрайству під час воєнного стану здійснюється шляхом:</w:t>
      </w:r>
    </w:p>
    <w:p w14:paraId="4A499E35"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оперативного реагування на повідомлення громадян про шахрайські дії;</w:t>
      </w:r>
    </w:p>
    <w:p w14:paraId="05472961"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 активного моніторингу інтернет-простору, де з’являється велика кількість шахрайських схем, зокрема пов’язаних із «гуманітарною допомогою»,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«переселенням» або «волонтерством»</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w:t>
      </w:r>
    </w:p>
    <w:p w14:paraId="160B24B7"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посиленої співпраці між правоохоронними органами та банківськими установами для виявлення та блокування сумнівних фінансових транзакцій;</w:t>
      </w:r>
    </w:p>
    <w:p w14:paraId="3DB579C8" w14:textId="77777777" w:rsidR="007B2628" w:rsidRPr="00511005" w:rsidRDefault="00200E87" w:rsidP="003F6A5D">
      <w:pPr>
        <w:numPr>
          <w:ilvl w:val="0"/>
          <w:numId w:val="547"/>
        </w:numPr>
        <w:pBdr>
          <w:top w:val="nil"/>
          <w:left w:val="nil"/>
          <w:bottom w:val="nil"/>
          <w:right w:val="nil"/>
          <w:between w:val="nil"/>
          <w:bar w:val="nil"/>
        </w:pBdr>
        <w:suppressAutoHyphens/>
        <w:spacing w:line="264" w:lineRule="auto"/>
        <w:jc w:val="left"/>
        <w:rPr>
          <w:rFonts w:ascii="Arial" w:eastAsia="Arial Unicode MS"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інформаційно-роз’яснювальної роботи серед населення з метою попередження шахрайства та підвищення рівня правової обізнаності громадян.</w:t>
      </w:r>
    </w:p>
    <w:p w14:paraId="51FFAC2F" w14:textId="0F334A49"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Отже, у період дії воєнного стану в Україні спостерігається суттєве зростання кількості шахрайств, що свідчить про активізацію злочинної діяльності в умовах загальної нестабільності та вразливості населення. Шахрайство, як кримінальне правопорушення проти власності, набуває особливої суспільної небезпеки, оскільки порушує одне з базових конституційних прав — право власності. У зв’язку з цим державою вживаються заходи щодо посилення кримінально-правового реагування, зокрема через внесення змін до законодавства, що передбачають посилену відповідальність за шахрайство, вчинене в умовах воєнного або надзвичайного стану.</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w:t>
      </w:r>
    </w:p>
    <w:p w14:paraId="587D6449"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Аналіз правозастосовчої практики свідчить, що кваліфікація шахрайських дій вимагає чіткого врахування обставин їх вчинення, зокрема способу заволодіння майном, наявності добровільної передачі, а також наміру особи на момент отримання майна. </w:t>
      </w:r>
    </w:p>
    <w:p w14:paraId="5D7D1CDC"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p>
    <w:p w14:paraId="23C903AF" w14:textId="3E0BD058" w:rsidR="00200E87" w:rsidRPr="00511005" w:rsidRDefault="007B2628" w:rsidP="007B2628">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jc w:val="center"/>
        <w:rPr>
          <w:rFonts w:ascii="Arial" w:eastAsia="Times New Roman" w:hAnsi="Arial" w:cs="Arial"/>
          <w:b/>
          <w:bCs/>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b/>
          <w:bCs/>
          <w:szCs w:val="28"/>
          <w:bdr w:val="nil"/>
          <w:lang w:val="uk-UA" w:eastAsia="uk-UA"/>
          <w14:textOutline w14:w="12700" w14:cap="flat" w14:cmpd="sng" w14:algn="ctr">
            <w14:noFill/>
            <w14:prstDash w14:val="solid"/>
            <w14:miter w14:lim="400000"/>
          </w14:textOutline>
        </w:rPr>
        <w:t>Список використаних джерел</w:t>
      </w:r>
    </w:p>
    <w:p w14:paraId="719F094B" w14:textId="77777777" w:rsidR="00200E87" w:rsidRPr="00511005" w:rsidRDefault="00200E87" w:rsidP="003F6A5D">
      <w:pPr>
        <w:numPr>
          <w:ilvl w:val="0"/>
          <w:numId w:val="548"/>
        </w:num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jc w:val="left"/>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Кримінальний кодекс України від 05 квітня 2001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року. </w:t>
      </w:r>
      <w:r w:rsidRPr="00511005">
        <w:rPr>
          <w:rFonts w:ascii="Arial" w:eastAsia="Arial Unicode MS" w:hAnsi="Arial" w:cs="Arial"/>
          <w:szCs w:val="28"/>
          <w:u w:color="000000"/>
          <w:bdr w:val="nil"/>
          <w:lang w:val="pl-PL" w:eastAsia="uk-UA"/>
          <w14:textOutline w14:w="12700" w14:cap="flat" w14:cmpd="sng" w14:algn="ctr">
            <w14:noFill/>
            <w14:prstDash w14:val="solid"/>
            <w14:miter w14:lim="400000"/>
          </w14:textOutline>
        </w:rPr>
        <w:t xml:space="preserve">URL: </w:t>
      </w:r>
      <w:r w:rsidR="005938AD">
        <w:fldChar w:fldCharType="begin"/>
      </w:r>
      <w:r w:rsidR="005938AD" w:rsidRPr="00055389">
        <w:rPr>
          <w:lang w:val="en-US"/>
        </w:rPr>
        <w:instrText xml:space="preserve"> HYPERLINK "https://zakon.rada.gov.ua/laws/show/2341-14" \l "Text" </w:instrText>
      </w:r>
      <w:r w:rsidR="005938AD">
        <w:fldChar w:fldCharType="separate"/>
      </w:r>
      <w:r w:rsidRPr="00511005">
        <w:rPr>
          <w:rFonts w:ascii="Arial" w:eastAsia="Arial Unicode MS" w:hAnsi="Arial" w:cs="Arial"/>
          <w:szCs w:val="28"/>
          <w:u w:color="000000"/>
          <w:bdr w:val="nil"/>
          <w:lang w:val="pl-PL" w:eastAsia="uk-UA"/>
          <w14:textOutline w14:w="12700" w14:cap="flat" w14:cmpd="sng" w14:algn="ctr">
            <w14:noFill/>
            <w14:prstDash w14:val="solid"/>
            <w14:miter w14:lim="400000"/>
          </w14:textOutline>
        </w:rPr>
        <w:t>https://zakon.rada.gov.ua/laws/show/2341-14#Text</w:t>
      </w:r>
      <w:r w:rsidR="005938AD">
        <w:rPr>
          <w:rFonts w:ascii="Arial" w:eastAsia="Arial Unicode MS" w:hAnsi="Arial" w:cs="Arial"/>
          <w:szCs w:val="28"/>
          <w:u w:color="000000"/>
          <w:bdr w:val="nil"/>
          <w:lang w:val="pl-PL" w:eastAsia="uk-UA"/>
          <w14:textOutline w14:w="12700" w14:cap="flat" w14:cmpd="sng" w14:algn="ctr">
            <w14:noFill/>
            <w14:prstDash w14:val="solid"/>
            <w14:miter w14:lim="400000"/>
          </w14:textOutline>
        </w:rPr>
        <w:fldChar w:fldCharType="end"/>
      </w:r>
    </w:p>
    <w:p w14:paraId="7D346F57" w14:textId="77777777" w:rsidR="00200E87" w:rsidRPr="00511005" w:rsidRDefault="00200E87" w:rsidP="003F6A5D">
      <w:pPr>
        <w:numPr>
          <w:ilvl w:val="0"/>
          <w:numId w:val="548"/>
        </w:num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jc w:val="left"/>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Про правовий режим воєнного стану: Закон України від 12 травня 2015 року №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389-</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VIII</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URL</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w:t>
      </w:r>
      <w:hyperlink r:id="rId1908" w:anchor="Text" w:history="1">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https</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zakon</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rada</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gov</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ua</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laws</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show</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/389-19#</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Text</w:t>
        </w:r>
      </w:hyperlink>
    </w:p>
    <w:p w14:paraId="5FA0486D" w14:textId="77777777" w:rsidR="00200E87" w:rsidRPr="00511005" w:rsidRDefault="00200E87" w:rsidP="003F6A5D">
      <w:pPr>
        <w:numPr>
          <w:ilvl w:val="0"/>
          <w:numId w:val="548"/>
        </w:num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jc w:val="left"/>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Про введення воєнного стану в Україні: Указ Президента України від 24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лютого </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2022 року №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64/2022. </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URL</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w:t>
      </w:r>
      <w:hyperlink r:id="rId1909" w:history="1">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https</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zakon</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rada</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gov</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ua</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laws</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show</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/64/2022</w:t>
        </w:r>
      </w:hyperlink>
    </w:p>
    <w:p w14:paraId="23076620" w14:textId="77777777" w:rsidR="00200E87" w:rsidRPr="00511005" w:rsidRDefault="00200E87" w:rsidP="003F6A5D">
      <w:pPr>
        <w:numPr>
          <w:ilvl w:val="0"/>
          <w:numId w:val="548"/>
        </w:num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jc w:val="left"/>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Про внесення змін до Кримінального та Кримінального процесуального кодексів України щодо усунення суперечностей у караності </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lastRenderedPageBreak/>
        <w:t xml:space="preserve">кримінальних правопорушень: Закон України від 13 липня 2023 року №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3233-</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IX</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URL</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w:t>
      </w:r>
      <w:hyperlink r:id="rId1910" w:anchor="Text" w:history="1">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https</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zakon</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rada</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gov</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ua</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laws</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show</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/3233-20#</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Text</w:t>
        </w:r>
      </w:hyperlink>
    </w:p>
    <w:p w14:paraId="6DE59C02" w14:textId="77777777" w:rsidR="00200E87" w:rsidRPr="00511005" w:rsidRDefault="00200E87" w:rsidP="003F6A5D">
      <w:pPr>
        <w:numPr>
          <w:ilvl w:val="0"/>
          <w:numId w:val="548"/>
        </w:num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jc w:val="left"/>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Про судову практику у справах про злочини проти власності: Постанова Пленуму Верховного Суду України від 6 листопада 2009 року №</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10. </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URL</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w:t>
      </w:r>
      <w:hyperlink r:id="rId1911" w:anchor="Text" w:history="1">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https</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zakon</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rada</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gov</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ua</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laws</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show</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v</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0010700-09#</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Text</w:t>
        </w:r>
      </w:hyperlink>
    </w:p>
    <w:p w14:paraId="0AB398EA" w14:textId="77777777" w:rsidR="007B2628" w:rsidRPr="00511005" w:rsidRDefault="00200E87" w:rsidP="003F6A5D">
      <w:pPr>
        <w:numPr>
          <w:ilvl w:val="0"/>
          <w:numId w:val="548"/>
        </w:num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jc w:val="left"/>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Резніченко Г. С. Кримінальна відповідальність за шахрайство вчинене в умовах воєнного стану. Наукові перспективи №4. 2024. С</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1129-1136. </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URL</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w:t>
      </w:r>
      <w:hyperlink r:id="rId1912" w:history="1">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http</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perspectives</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pp</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ua</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index</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php</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np</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article</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view</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/11038/11097</w:t>
        </w:r>
      </w:hyperlink>
    </w:p>
    <w:p w14:paraId="195ED89C" w14:textId="760DCE63" w:rsidR="00200E87" w:rsidRPr="00511005" w:rsidRDefault="00200E87" w:rsidP="003F6A5D">
      <w:pPr>
        <w:numPr>
          <w:ilvl w:val="0"/>
          <w:numId w:val="548"/>
        </w:num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jc w:val="left"/>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Справ про шахрайство поменшало</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 xml:space="preserve"> на </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21% за рік </w:t>
      </w:r>
      <w:r w:rsidRPr="00511005">
        <w:rPr>
          <w:rFonts w:ascii="Arial" w:eastAsia="Arial Unicode MS" w:hAnsi="Arial" w:cs="Arial"/>
          <w:szCs w:val="28"/>
          <w:u w:color="000000"/>
          <w:bdr w:val="nil"/>
          <w:lang w:val="pt-PT"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Електронний ресурс</w:t>
      </w:r>
      <w:r w:rsidRPr="00511005">
        <w:rPr>
          <w:rFonts w:ascii="Arial" w:eastAsia="Arial Unicode MS" w:hAnsi="Arial" w:cs="Arial"/>
          <w:szCs w:val="28"/>
          <w:u w:color="000000"/>
          <w:bdr w:val="nil"/>
          <w:lang w:val="pt-PT" w:eastAsia="uk-UA"/>
          <w14:textOutline w14:w="12700" w14:cap="flat" w14:cmpd="sng" w14:algn="ctr">
            <w14:noFill/>
            <w14:prstDash w14:val="solid"/>
            <w14:miter w14:lim="400000"/>
          </w14:textOutline>
        </w:rPr>
        <w:t>]. URL:</w:t>
      </w:r>
      <w:r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 xml:space="preserve"> </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https</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opendatabot</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ua</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analytics</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w:t>
      </w:r>
      <w:r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fraud</w:t>
      </w:r>
      <w:r w:rsidRPr="00511005">
        <w:rPr>
          <w:rFonts w:ascii="Arial" w:eastAsia="Arial Unicode MS" w:hAnsi="Arial" w:cs="Arial"/>
          <w:szCs w:val="28"/>
          <w:u w:color="000000"/>
          <w:bdr w:val="nil"/>
          <w:lang w:eastAsia="uk-UA"/>
          <w14:textOutline w14:w="12700" w14:cap="flat" w14:cmpd="sng" w14:algn="ctr">
            <w14:noFill/>
            <w14:prstDash w14:val="solid"/>
            <w14:miter w14:lim="400000"/>
          </w14:textOutline>
        </w:rPr>
        <w:t>-2024-12</w:t>
      </w:r>
    </w:p>
    <w:p w14:paraId="66A88554"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Arial Unicode MS" w:hAnsi="Arial" w:cs="Arial"/>
          <w:b/>
          <w:bCs/>
          <w:szCs w:val="28"/>
          <w:u w:color="000000"/>
          <w:bdr w:val="nil"/>
          <w:lang w:val="uk-UA" w:eastAsia="uk-UA"/>
          <w14:textOutline w14:w="12700" w14:cap="flat" w14:cmpd="sng" w14:algn="ctr">
            <w14:noFill/>
            <w14:prstDash w14:val="solid"/>
            <w14:miter w14:lim="400000"/>
          </w14:textOutline>
        </w:rPr>
      </w:pPr>
    </w:p>
    <w:p w14:paraId="6A0FCB3E" w14:textId="0C6D6C10" w:rsidR="00200E87" w:rsidRPr="00511005" w:rsidRDefault="007B2628"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b/>
          <w:bCs/>
          <w:i/>
          <w:szCs w:val="28"/>
          <w:u w:color="000000"/>
          <w:bdr w:val="nil"/>
          <w:lang w:val="uk-UA" w:eastAsia="uk-UA"/>
          <w14:textOutline w14:w="12700" w14:cap="flat" w14:cmpd="sng" w14:algn="ctr">
            <w14:noFill/>
            <w14:prstDash w14:val="solid"/>
            <w14:miter w14:lim="400000"/>
          </w14:textOutline>
        </w:rPr>
        <w:t xml:space="preserve">Ключові слова: </w:t>
      </w:r>
      <w:r w:rsidR="00200E87" w:rsidRPr="00511005">
        <w:rPr>
          <w:rFonts w:ascii="Arial" w:eastAsia="Arial Unicode MS" w:hAnsi="Arial" w:cs="Arial"/>
          <w:szCs w:val="28"/>
          <w:u w:color="000000"/>
          <w:bdr w:val="nil"/>
          <w:lang w:val="uk-UA" w:eastAsia="uk-UA"/>
          <w14:textOutline w14:w="12700" w14:cap="flat" w14:cmpd="sng" w14:algn="ctr">
            <w14:noFill/>
            <w14:prstDash w14:val="solid"/>
            <w14:miter w14:lim="400000"/>
          </w14:textOutline>
        </w:rPr>
        <w:t>шахрайство, право власності, зловживання довірою, воєнний стан.</w:t>
      </w:r>
    </w:p>
    <w:p w14:paraId="7AF500A8" w14:textId="0CC2FC00" w:rsidR="00200E87" w:rsidRPr="00511005" w:rsidRDefault="007B2628"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Times New Roman" w:hAnsi="Arial" w:cs="Arial"/>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b/>
          <w:i/>
          <w:szCs w:val="28"/>
          <w:u w:color="000000"/>
          <w:bdr w:val="nil"/>
          <w:lang w:val="en-US" w:eastAsia="uk-UA"/>
          <w14:textOutline w14:w="12700" w14:cap="flat" w14:cmpd="sng" w14:algn="ctr">
            <w14:noFill/>
            <w14:prstDash w14:val="solid"/>
            <w14:miter w14:lim="400000"/>
          </w14:textOutline>
        </w:rPr>
        <w:t xml:space="preserve">Key words: </w:t>
      </w:r>
      <w:r w:rsidR="00200E87" w:rsidRPr="00511005">
        <w:rPr>
          <w:rFonts w:ascii="Arial" w:eastAsia="Arial Unicode MS" w:hAnsi="Arial" w:cs="Arial"/>
          <w:szCs w:val="28"/>
          <w:u w:color="000000"/>
          <w:bdr w:val="nil"/>
          <w:lang w:val="en-US" w:eastAsia="uk-UA"/>
          <w14:textOutline w14:w="12700" w14:cap="flat" w14:cmpd="sng" w14:algn="ctr">
            <w14:noFill/>
            <w14:prstDash w14:val="solid"/>
            <w14:miter w14:lim="400000"/>
          </w14:textOutline>
        </w:rPr>
        <w:t>fraud, property rights, breach of trust, martial law.</w:t>
      </w:r>
    </w:p>
    <w:p w14:paraId="242725E5" w14:textId="77777777" w:rsidR="00200E87" w:rsidRPr="00511005"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Arial Unicode MS" w:hAnsi="Arial" w:cs="Arial"/>
          <w:i/>
          <w:iCs/>
          <w:szCs w:val="28"/>
          <w:u w:color="000000"/>
          <w:bdr w:val="nil"/>
          <w:lang w:val="uk-UA" w:eastAsia="uk-UA"/>
          <w14:textOutline w14:w="12700" w14:cap="flat" w14:cmpd="sng" w14:algn="ctr">
            <w14:noFill/>
            <w14:prstDash w14:val="solid"/>
            <w14:miter w14:lim="400000"/>
          </w14:textOutline>
        </w:rPr>
      </w:pPr>
    </w:p>
    <w:p w14:paraId="0CE57539" w14:textId="17DEB3C2" w:rsidR="00200E87" w:rsidRDefault="00200E87"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Arial Unicode MS" w:hAnsi="Arial" w:cs="Arial"/>
          <w:i/>
          <w:iCs/>
          <w:szCs w:val="28"/>
          <w:u w:color="000000"/>
          <w:bdr w:val="nil"/>
          <w:lang w:val="uk-UA" w:eastAsia="uk-UA"/>
          <w14:textOutline w14:w="12700" w14:cap="flat" w14:cmpd="sng" w14:algn="ctr">
            <w14:noFill/>
            <w14:prstDash w14:val="solid"/>
            <w14:miter w14:lim="400000"/>
          </w14:textOutline>
        </w:rPr>
      </w:pPr>
      <w:r w:rsidRPr="00511005">
        <w:rPr>
          <w:rFonts w:ascii="Arial" w:eastAsia="Arial Unicode MS" w:hAnsi="Arial" w:cs="Arial"/>
          <w:i/>
          <w:iCs/>
          <w:szCs w:val="28"/>
          <w:u w:color="000000"/>
          <w:bdr w:val="nil"/>
          <w:lang w:val="uk-UA" w:eastAsia="uk-UA"/>
          <w14:textOutline w14:w="12700" w14:cap="flat" w14:cmpd="sng" w14:algn="ctr">
            <w14:noFill/>
            <w14:prstDash w14:val="solid"/>
            <w14:miter w14:lim="400000"/>
          </w14:textOutline>
        </w:rPr>
        <w:t>Науковий керівник: д.ю.н. доцент Степаненко О. В.</w:t>
      </w:r>
    </w:p>
    <w:p w14:paraId="3669E764" w14:textId="77777777" w:rsidR="004A03EB" w:rsidRPr="00511005" w:rsidRDefault="004A03EB" w:rsidP="003A292D">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uppressAutoHyphens/>
        <w:spacing w:line="264" w:lineRule="auto"/>
        <w:ind w:firstLine="0"/>
        <w:rPr>
          <w:rFonts w:ascii="Arial" w:eastAsia="Arial Unicode MS" w:hAnsi="Arial" w:cs="Arial"/>
          <w:szCs w:val="28"/>
          <w:u w:color="000000"/>
          <w:bdr w:val="nil"/>
          <w:lang w:val="uk-UA" w:eastAsia="uk-UA"/>
          <w14:textOutline w14:w="12700" w14:cap="flat" w14:cmpd="sng" w14:algn="ctr">
            <w14:noFill/>
            <w14:prstDash w14:val="solid"/>
            <w14:miter w14:lim="400000"/>
          </w14:textOutline>
        </w:rPr>
      </w:pPr>
    </w:p>
    <w:p w14:paraId="59CEB391" w14:textId="77777777" w:rsidR="00200E87" w:rsidRPr="00511005" w:rsidRDefault="00200E87" w:rsidP="003A292D">
      <w:pPr>
        <w:spacing w:line="264" w:lineRule="auto"/>
        <w:ind w:firstLine="0"/>
        <w:jc w:val="center"/>
        <w:rPr>
          <w:rFonts w:ascii="Arial" w:eastAsia="Times New Roman" w:hAnsi="Arial" w:cs="Arial"/>
          <w:b/>
          <w:bCs/>
          <w:i/>
          <w:szCs w:val="28"/>
          <w:lang w:val="uk-UA"/>
        </w:rPr>
      </w:pPr>
      <w:r w:rsidRPr="00511005">
        <w:rPr>
          <w:rFonts w:ascii="Arial" w:eastAsia="Times New Roman" w:hAnsi="Arial" w:cs="Arial"/>
          <w:b/>
          <w:bCs/>
          <w:i/>
          <w:szCs w:val="28"/>
          <w:lang w:val="uk-UA"/>
        </w:rPr>
        <w:t>Удод Вікторія Володимирівна</w:t>
      </w:r>
    </w:p>
    <w:p w14:paraId="69CBB3CA" w14:textId="3A8C0B88" w:rsidR="00200E87" w:rsidRPr="00511005" w:rsidRDefault="00536AAB" w:rsidP="003A292D">
      <w:pPr>
        <w:spacing w:line="264" w:lineRule="auto"/>
        <w:ind w:firstLine="0"/>
        <w:jc w:val="center"/>
        <w:rPr>
          <w:rFonts w:ascii="Arial" w:eastAsia="Times New Roman" w:hAnsi="Arial" w:cs="Arial"/>
          <w:bCs/>
          <w:szCs w:val="28"/>
          <w:lang w:val="uk-UA"/>
        </w:rPr>
      </w:pPr>
      <w:r w:rsidRPr="00511005">
        <w:rPr>
          <w:rFonts w:ascii="Arial" w:eastAsia="Times New Roman" w:hAnsi="Arial" w:cs="Arial"/>
          <w:bCs/>
          <w:szCs w:val="28"/>
          <w:lang w:val="uk-UA"/>
        </w:rPr>
        <w:t xml:space="preserve">студентка 3-го курсу </w:t>
      </w:r>
      <w:r w:rsidR="001B7B25" w:rsidRPr="00511005">
        <w:rPr>
          <w:rFonts w:ascii="Arial" w:eastAsia="Times New Roman" w:hAnsi="Arial" w:cs="Arial"/>
          <w:bCs/>
          <w:szCs w:val="28"/>
          <w:lang w:val="uk-UA"/>
        </w:rPr>
        <w:t>факультету судового та міжнародного права</w:t>
      </w:r>
      <w:r w:rsidR="00200E87" w:rsidRPr="00511005">
        <w:rPr>
          <w:rFonts w:ascii="Arial" w:eastAsia="Times New Roman" w:hAnsi="Arial" w:cs="Arial"/>
          <w:bCs/>
          <w:szCs w:val="28"/>
          <w:lang w:val="uk-UA"/>
        </w:rPr>
        <w:t xml:space="preserve"> </w:t>
      </w:r>
    </w:p>
    <w:p w14:paraId="46BD3EB9" w14:textId="490D425B" w:rsidR="00200E87" w:rsidRPr="00511005" w:rsidRDefault="007B2628" w:rsidP="003A292D">
      <w:pPr>
        <w:spacing w:line="264" w:lineRule="auto"/>
        <w:ind w:firstLine="0"/>
        <w:jc w:val="center"/>
        <w:rPr>
          <w:rFonts w:ascii="Arial" w:eastAsia="Times New Roman" w:hAnsi="Arial" w:cs="Arial"/>
          <w:bCs/>
          <w:szCs w:val="28"/>
          <w:lang w:val="uk-UA"/>
        </w:rPr>
      </w:pPr>
      <w:r w:rsidRPr="00511005">
        <w:rPr>
          <w:rFonts w:ascii="Arial" w:eastAsia="Times New Roman" w:hAnsi="Arial" w:cs="Arial"/>
          <w:bCs/>
          <w:szCs w:val="28"/>
          <w:lang w:val="uk-UA"/>
        </w:rPr>
        <w:t>Національного університету «Одеська юридична академія»</w:t>
      </w:r>
    </w:p>
    <w:p w14:paraId="651C2016" w14:textId="77777777" w:rsidR="00200E87" w:rsidRPr="00511005" w:rsidRDefault="00200E87" w:rsidP="003A292D">
      <w:pPr>
        <w:spacing w:line="264" w:lineRule="auto"/>
        <w:ind w:firstLine="0"/>
        <w:jc w:val="left"/>
        <w:rPr>
          <w:rFonts w:ascii="Arial" w:eastAsia="Times New Roman" w:hAnsi="Arial" w:cs="Arial"/>
          <w:b/>
          <w:bCs/>
          <w:szCs w:val="28"/>
        </w:rPr>
      </w:pPr>
    </w:p>
    <w:p w14:paraId="0307E6E1" w14:textId="77777777" w:rsidR="00200E87" w:rsidRPr="00511005" w:rsidRDefault="00200E87" w:rsidP="003A292D">
      <w:pPr>
        <w:spacing w:line="264" w:lineRule="auto"/>
        <w:ind w:firstLine="0"/>
        <w:jc w:val="center"/>
        <w:rPr>
          <w:rFonts w:ascii="Arial" w:eastAsia="Times New Roman" w:hAnsi="Arial" w:cs="Arial"/>
          <w:b/>
          <w:bCs/>
          <w:szCs w:val="28"/>
        </w:rPr>
      </w:pPr>
      <w:r w:rsidRPr="00511005">
        <w:rPr>
          <w:rFonts w:ascii="Arial" w:eastAsia="Times New Roman" w:hAnsi="Arial" w:cs="Arial"/>
          <w:b/>
          <w:bCs/>
          <w:szCs w:val="28"/>
        </w:rPr>
        <w:t>ДЕКРИМІНАЛІЗАЦІЯ НЕЗАКОННОГО ПРОВЕДЕННЯ АБОРТУ</w:t>
      </w:r>
    </w:p>
    <w:p w14:paraId="6130F504" w14:textId="77777777" w:rsidR="00200E87" w:rsidRPr="00511005" w:rsidRDefault="00200E87" w:rsidP="003A292D">
      <w:pPr>
        <w:spacing w:line="264" w:lineRule="auto"/>
        <w:ind w:firstLine="0"/>
        <w:rPr>
          <w:rFonts w:ascii="Arial" w:eastAsia="Times New Roman" w:hAnsi="Arial" w:cs="Arial"/>
          <w:szCs w:val="28"/>
          <w:lang w:val="uk-UA"/>
        </w:rPr>
      </w:pPr>
    </w:p>
    <w:p w14:paraId="2E348BE6"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Актуальність теми декриміналізації незаконного проведення аборту обумовлена необхідністю перегляду існуючої практики кримінальної відповідальності за аборти в Україні. Сучасний підхід до цієї проблеми включає врахування прав жінок на здоров'я та репродуктивні права, що важливо в умовах забезпечення рівності та медичної допомоги. Оскільки обмеження прав на аборти можуть призвести до серйозних соціальних і медичних наслідків, ця тема є надзвичайно важливою для громадського обговорення. Зміни в законодавстві повинні враховувати не лише юридичні, а й етичні аспекти захисту прав людини та доступу до безпечних медичних послуг. Зокрема, декриміналізація передбачає перегляд існуючих кримінальних норм, які можуть бути застосовані до осіб, що незаконно виконують аборти. При цьому важливо, щоб медичні процедури проводилися кваліфікованими спеціалістами і в умовах, що гарантують безпеку жінки. Виходячи з міжнародного досвіду, декриміналізація не означає повну відмову від контролю чи регулювання таких процедур, але вона сприяє зменшенню кількості незаконних абортів, які проводяться в небезпечних умовах і часто без належної медичної допомоги [1, c. 45-49].</w:t>
      </w:r>
    </w:p>
    <w:p w14:paraId="30E7C12F"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Водночас, зростаючий рух за декриміналізацію абортів орієнтований на забезпечення високих стандартів медичної допомоги, що базуються на </w:t>
      </w:r>
      <w:r w:rsidRPr="00511005">
        <w:rPr>
          <w:rFonts w:ascii="Arial" w:eastAsia="Times New Roman" w:hAnsi="Arial" w:cs="Arial"/>
          <w:szCs w:val="28"/>
          <w:lang w:val="uk-UA"/>
        </w:rPr>
        <w:lastRenderedPageBreak/>
        <w:t>наукових дослідженнях і практиках безпеки. У контексті цього руху вимагається не лише легалізація абортів, але й розробка чітких медичних протоколів, які б гарантували жінкам доступ до якісної допомоги в межах законодавчих норм. Однак, цей процес також передбачає створення ефективного контролю, щоб уникнути зловживань або невиправданих втручань у репродуктивне здоров'я жінок. Загалом, прагнення до декриміналізації аборту в Україні є частиною сьогодення, спрямованого на підвищення правової свідомості та прав жінок у сфері репродуктивного здоров’я. Це питання є важливим не тільки з медичного, але й з етичного та соціального погляду, оскільки воно торкається основних прав жінок на самовизначення та здоров’я.</w:t>
      </w:r>
    </w:p>
    <w:p w14:paraId="45EAFE9E"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У контексті декриміналізації незаконного проведення аборту в сучасній Україні, варто звернути увагу на чинну норму ст. 134 Кримінального кодексу України, яка передбачає кримінальну відповідальність за проведення аборту або стерилізації з порушенням встановленого законом порядку. Ця стаття покликана захищати життя та здоров’я жінок від непрофесійного чи примусового втручання. Водночас, зростаючі суспільні дискусії та міжнародні тенденції спонукають до переосмислення доцільності криміналізації таких дій у випадках, коли вони не становлять прямої загрози життю жінки. Декриміналізація в цій сфері може сприяти більш відкритому доступу до безпечних медичних послуг, зменшенню стигматизації та посиленню контролю з боку охорони здоров’я замість карального впливу </w:t>
      </w:r>
      <w:r w:rsidRPr="00511005">
        <w:rPr>
          <w:rFonts w:ascii="Arial" w:eastAsia="Times New Roman" w:hAnsi="Arial" w:cs="Arial"/>
          <w:szCs w:val="28"/>
        </w:rPr>
        <w:t xml:space="preserve">[2, </w:t>
      </w:r>
      <w:r w:rsidRPr="00511005">
        <w:rPr>
          <w:rFonts w:ascii="Arial" w:eastAsia="Times New Roman" w:hAnsi="Arial" w:cs="Arial"/>
          <w:szCs w:val="28"/>
          <w:lang w:val="en-US"/>
        </w:rPr>
        <w:t>c</w:t>
      </w:r>
      <w:r w:rsidRPr="00511005">
        <w:rPr>
          <w:rFonts w:ascii="Arial" w:eastAsia="Times New Roman" w:hAnsi="Arial" w:cs="Arial"/>
          <w:szCs w:val="28"/>
        </w:rPr>
        <w:t>. 582-587]</w:t>
      </w:r>
      <w:r w:rsidRPr="00511005">
        <w:rPr>
          <w:rFonts w:ascii="Arial" w:eastAsia="Times New Roman" w:hAnsi="Arial" w:cs="Arial"/>
          <w:szCs w:val="28"/>
          <w:lang w:val="uk-UA"/>
        </w:rPr>
        <w:t>.</w:t>
      </w:r>
    </w:p>
    <w:p w14:paraId="6336C55E"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Водночас чинна редакція статті 134 КК України охоплює як дії осіб без спеціальної медичної освіти, так і порушення з боку фахових медиків, що свідчить про комплексний підхід до захисту репродуктивного здоров’я жінок. Проте в умовах сучасної України все частіше порушується питання про перегляд цієї норми, адже репресивний характер норми може не лише не запобігати незаконним абортам, а й штовхати жінок до небезпечних, підпільних процедур. Аргументи на користь декриміналізації включають потребу в гуманізації кримінального законодавства, визнання права жінки на контроль над власним тілом, а також доцільність перенесення акценту з кримінального переслідування на профілактику, освіту та доступність якісної медичної допомоги.</w:t>
      </w:r>
    </w:p>
    <w:p w14:paraId="473E9C69"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Уявімо ситуацію, у невеликому місті жінка, яка за соціальних причин не могла дозволити собі офіційне проведення аборту в приватній клініці, звернулася до знайомої, яка не має медичної освіти, але «допомагала» іншим у подібних ситуаціях. Внаслідок процедури жінка зазнала важких ускладнень — кровотечі та інфекції, що ледь не коштували їй життя. У результаті, вказане діяння було кваліфіковано за статтею 134 Кримінального кодексу України як незаконне проведення аборту особою, яка не має відповідної медичної освіти та повноважень. Водночас </w:t>
      </w:r>
      <w:r w:rsidRPr="00511005">
        <w:rPr>
          <w:rFonts w:ascii="Arial" w:eastAsia="Times New Roman" w:hAnsi="Arial" w:cs="Arial"/>
          <w:szCs w:val="28"/>
          <w:lang w:val="uk-UA"/>
        </w:rPr>
        <w:lastRenderedPageBreak/>
        <w:t>представники правозахисних організацій акцентували увагу на тому, що в основі подібних правопорушень нерідко лежить не протиправний умисел, спрямований на заподіяння шкоди, а радше системна соціальна проблема – обмежений доступ до якісних, безпечних та доступних за вартістю медичних послуг із переривання вагітності. Окремо вказується на психологічні чинники, зокрема страх жінок перед публічним осудом, стигматизацією та соціальними наслідками, що змушує їх звертатися до осіб без належної кваліфікації. Така практика свідчить про те, що криміналізація самого факту незаконного аборту без урахування обставин, які спонукали жінку до таких дій, не вирішує першопричину проблеми, а навпаки – сприяє зростанню випадків проведення абортів у небезпечних умовах, що значно підвищує ризики для життя та здоров’я жінок</w:t>
      </w:r>
      <w:r w:rsidRPr="00511005">
        <w:rPr>
          <w:rFonts w:ascii="Arial" w:eastAsia="Times New Roman" w:hAnsi="Arial" w:cs="Arial"/>
          <w:szCs w:val="28"/>
        </w:rPr>
        <w:t xml:space="preserve"> [3, </w:t>
      </w:r>
      <w:r w:rsidRPr="00511005">
        <w:rPr>
          <w:rFonts w:ascii="Arial" w:eastAsia="Times New Roman" w:hAnsi="Arial" w:cs="Arial"/>
          <w:szCs w:val="28"/>
          <w:lang w:val="en-US"/>
        </w:rPr>
        <w:t>c</w:t>
      </w:r>
      <w:r w:rsidRPr="00511005">
        <w:rPr>
          <w:rFonts w:ascii="Arial" w:eastAsia="Times New Roman" w:hAnsi="Arial" w:cs="Arial"/>
          <w:szCs w:val="28"/>
        </w:rPr>
        <w:t>. 200-208]</w:t>
      </w:r>
      <w:r w:rsidRPr="00511005">
        <w:rPr>
          <w:rFonts w:ascii="Arial" w:eastAsia="Times New Roman" w:hAnsi="Arial" w:cs="Arial"/>
          <w:szCs w:val="28"/>
          <w:lang w:val="uk-UA"/>
        </w:rPr>
        <w:t>.</w:t>
      </w:r>
    </w:p>
    <w:p w14:paraId="48034C40"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Водночас, слід звернути увагу на те, що чітке розмежування між випадками незаконного аборту та іншими формами кримінально караного посягання на здоров’я або життя вагітної жінки має важливе практичне значення для правильної кваліфікації діяння. Зокрема, у ситуаціях, коли втручання здійснюється особою без відповідної медичної освіти або з порушенням встановлених протоколів, але без наявності прямого умислу на заподіяння тяжкої шкоди здоров’ю, акцент має бути зроблений саме на порушенні правил медичної діяльності (ст. 134 КК України), а не на тілесних ушкодженнях. Такий підхід дозволяє зберегти кримінально-правову пропорційність, адже він враховує як специфіку способу вчинення діяння, так і характер умислу винної особи. Разом із тим, необхідність розмежування різних форм порушення репродуктивних прав жінок вимагає від правозастосовної практики не лише точного дотримання законодавства, а й урахування соціального контексту, в якому відбуваються подібні правопорушення.</w:t>
      </w:r>
    </w:p>
    <w:p w14:paraId="41910080"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 огляду на це, особливої актуальності набуває питання кримінально-правового захисту репродуктивного здоров’я жінок в умовах сучасної України, де доступ до кваліфікованої медичної допомоги, зокрема у сфері акушерства та гінекології, залишається нерівномірним. Випадки, коли жінки вимушені звертатися до некваліфікованих осіб або самостійно вдаються до переривання вагітності через страх осуду, брак інформації чи соціальний тиск, не завжди є проявом прямого умислу, а радше наслідком системних прогалин у сфері охорони здоров’я та просвіти. У таких обставинах криміналізація незаконного аборту за статтею 134 КК України виконує не стільки функцію захисту, скільки чинник стигматизації й маргіналізації постраждалих. Це, у свою чергу, свідчить про потребу вдосконалення не лише кримінального законодавства, а й ширшої соціальної політики, що охоплює питання сексуального й репродуктивного здоров’я, з урахуванням правового підходу, орієнтованого на права людини</w:t>
      </w:r>
      <w:r w:rsidRPr="00511005">
        <w:rPr>
          <w:rFonts w:ascii="Arial" w:eastAsia="Times New Roman" w:hAnsi="Arial" w:cs="Arial"/>
          <w:szCs w:val="28"/>
        </w:rPr>
        <w:t xml:space="preserve"> [4, </w:t>
      </w:r>
      <w:r w:rsidRPr="00511005">
        <w:rPr>
          <w:rFonts w:ascii="Arial" w:eastAsia="Times New Roman" w:hAnsi="Arial" w:cs="Arial"/>
          <w:szCs w:val="28"/>
          <w:lang w:val="en-US"/>
        </w:rPr>
        <w:t>c</w:t>
      </w:r>
      <w:r w:rsidRPr="00511005">
        <w:rPr>
          <w:rFonts w:ascii="Arial" w:eastAsia="Times New Roman" w:hAnsi="Arial" w:cs="Arial"/>
          <w:szCs w:val="28"/>
        </w:rPr>
        <w:t>. 134-139]</w:t>
      </w:r>
      <w:r w:rsidRPr="00511005">
        <w:rPr>
          <w:rFonts w:ascii="Arial" w:eastAsia="Times New Roman" w:hAnsi="Arial" w:cs="Arial"/>
          <w:szCs w:val="28"/>
          <w:lang w:val="uk-UA"/>
        </w:rPr>
        <w:t xml:space="preserve">. </w:t>
      </w:r>
    </w:p>
    <w:p w14:paraId="72CD12C0" w14:textId="77777777" w:rsidR="00200E87" w:rsidRPr="00511005" w:rsidRDefault="00200E8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Отже, на мою думку, питання декриміналізації незаконного аборту в Україні є не лише актуальним, а й критично важливим для забезпечення прав жінок. Діюча криміналізація не вирішує проблему, а навпаки — змушує жінок вдаватися до небезпечних методів переривання вагітності. Я вважаю, що підхід держави має змінитися з карального на превентивний і підтримуючий. Законодавство повинне орієнтуватися на реальні потреби жінок, зокрема на доступ до якісної медичної допомоги, психологічної підтримки та захисту від стигматизації. На моє переконання, держава повинна модернізувати правову політику в цій сфері, визнавши репродуктивне здоров’я невід’ємним правом жінки, а не предметом кримінального переслідування.</w:t>
      </w:r>
    </w:p>
    <w:p w14:paraId="4055514D" w14:textId="77777777" w:rsidR="00200E87" w:rsidRPr="00511005" w:rsidRDefault="00200E87" w:rsidP="003A292D">
      <w:pPr>
        <w:spacing w:line="264" w:lineRule="auto"/>
        <w:ind w:firstLine="0"/>
        <w:rPr>
          <w:rFonts w:ascii="Arial" w:eastAsia="Times New Roman" w:hAnsi="Arial" w:cs="Arial"/>
          <w:i/>
          <w:iCs/>
          <w:szCs w:val="28"/>
          <w:lang w:val="uk-UA"/>
        </w:rPr>
      </w:pPr>
    </w:p>
    <w:p w14:paraId="241CD310" w14:textId="72D2D497" w:rsidR="00200E87"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00D9C95C" w14:textId="77777777" w:rsidR="00200E87" w:rsidRPr="00511005" w:rsidRDefault="00200E87" w:rsidP="003A292D">
      <w:pPr>
        <w:spacing w:line="264" w:lineRule="auto"/>
        <w:ind w:firstLine="0"/>
        <w:jc w:val="center"/>
        <w:rPr>
          <w:rFonts w:ascii="Arial" w:eastAsia="Times New Roman" w:hAnsi="Arial" w:cs="Arial"/>
          <w:b/>
          <w:bCs/>
          <w:i/>
          <w:iCs/>
          <w:szCs w:val="28"/>
          <w:lang w:val="uk-UA"/>
        </w:rPr>
      </w:pPr>
    </w:p>
    <w:p w14:paraId="3E0E78E8" w14:textId="12AF1899" w:rsidR="00200E87" w:rsidRPr="00511005" w:rsidRDefault="00200E87" w:rsidP="003F6A5D">
      <w:pPr>
        <w:numPr>
          <w:ilvl w:val="0"/>
          <w:numId w:val="549"/>
        </w:numPr>
        <w:spacing w:line="264" w:lineRule="auto"/>
        <w:ind w:left="0" w:firstLine="709"/>
        <w:contextualSpacing/>
        <w:jc w:val="left"/>
        <w:rPr>
          <w:rFonts w:ascii="Arial" w:eastAsia="Cambria" w:hAnsi="Arial" w:cs="Arial"/>
          <w:b/>
          <w:bCs/>
          <w:szCs w:val="28"/>
          <w:lang w:val="uk-UA"/>
        </w:rPr>
      </w:pPr>
      <w:r w:rsidRPr="00511005">
        <w:rPr>
          <w:rFonts w:ascii="Arial" w:eastAsia="Cambria" w:hAnsi="Arial" w:cs="Arial"/>
          <w:szCs w:val="28"/>
          <w:lang w:val="uk-UA"/>
        </w:rPr>
        <w:t>Виклики та можливості здобувачів освіти в умовах воєнних реалій: матеріали ІV Всеукраїнської студентської науковопрактичної конференції з міжнародною участю Чернівецького медичного фахового коледжу, 17.04. 2024 / за заг. ред. Ольги СТРИЖАКОВСЬКОЇ, Фрозіни КУЗИК, Тетяни БОЙЧУК, Людмили УКРАЇНЕЦЬ, Людмили АВДІКОВСЬКОЇ.</w:t>
      </w:r>
      <w:r w:rsidR="007B2628" w:rsidRPr="00511005">
        <w:rPr>
          <w:rFonts w:ascii="Arial" w:eastAsia="Cambria" w:hAnsi="Arial" w:cs="Arial"/>
          <w:szCs w:val="28"/>
          <w:lang w:val="uk-UA"/>
        </w:rPr>
        <w:t xml:space="preserve"> </w:t>
      </w:r>
      <w:r w:rsidRPr="00511005">
        <w:rPr>
          <w:rFonts w:ascii="Arial" w:eastAsia="Cambria" w:hAnsi="Arial" w:cs="Arial"/>
          <w:szCs w:val="28"/>
          <w:lang w:val="uk-UA"/>
        </w:rPr>
        <w:t>Чернівці, 2024. 248 с.</w:t>
      </w:r>
    </w:p>
    <w:p w14:paraId="4C4135BF" w14:textId="77777777" w:rsidR="00200E87" w:rsidRPr="00511005" w:rsidRDefault="00200E87" w:rsidP="003F6A5D">
      <w:pPr>
        <w:numPr>
          <w:ilvl w:val="0"/>
          <w:numId w:val="549"/>
        </w:numPr>
        <w:spacing w:line="264" w:lineRule="auto"/>
        <w:ind w:left="0" w:firstLine="709"/>
        <w:contextualSpacing/>
        <w:jc w:val="left"/>
        <w:rPr>
          <w:rFonts w:ascii="Arial" w:eastAsia="Cambria" w:hAnsi="Arial" w:cs="Arial"/>
          <w:b/>
          <w:bCs/>
          <w:szCs w:val="28"/>
          <w:lang w:val="uk-UA"/>
        </w:rPr>
      </w:pPr>
      <w:r w:rsidRPr="00511005">
        <w:rPr>
          <w:rFonts w:ascii="Arial" w:eastAsia="Cambria" w:hAnsi="Arial" w:cs="Arial"/>
          <w:szCs w:val="28"/>
          <w:shd w:val="clear" w:color="auto" w:fill="FFFFFF"/>
          <w:lang w:val="uk-UA"/>
        </w:rPr>
        <w:t xml:space="preserve">Каменський Д.В. Кримінально протиправне порушення порядку проведення аборту: порівняльно-правова складова. </w:t>
      </w:r>
      <w:r w:rsidRPr="00511005">
        <w:rPr>
          <w:rFonts w:ascii="Arial" w:eastAsia="Cambria" w:hAnsi="Arial" w:cs="Arial"/>
          <w:i/>
          <w:iCs/>
          <w:szCs w:val="28"/>
          <w:shd w:val="clear" w:color="auto" w:fill="FFFFFF"/>
          <w:lang w:val="uk-UA"/>
        </w:rPr>
        <w:t>Аналітично-порівняльне правознавство.</w:t>
      </w:r>
      <w:r w:rsidRPr="00511005">
        <w:rPr>
          <w:rFonts w:ascii="Arial" w:eastAsia="Cambria" w:hAnsi="Arial" w:cs="Arial"/>
          <w:szCs w:val="28"/>
          <w:shd w:val="clear" w:color="auto" w:fill="FFFFFF"/>
          <w:lang w:val="uk-UA"/>
        </w:rPr>
        <w:t xml:space="preserve"> 2023. No 6. С. 582–587. DOI: </w:t>
      </w:r>
      <w:hyperlink r:id="rId1913" w:history="1">
        <w:r w:rsidRPr="00511005">
          <w:rPr>
            <w:rFonts w:ascii="Arial" w:eastAsia="Cambria" w:hAnsi="Arial" w:cs="Arial"/>
            <w:szCs w:val="28"/>
            <w:shd w:val="clear" w:color="auto" w:fill="FFFFFF"/>
            <w:lang w:val="uk-UA"/>
          </w:rPr>
          <w:t>https://doi.org/10.24144/2788-6018.2023.06.102</w:t>
        </w:r>
      </w:hyperlink>
      <w:r w:rsidRPr="00511005">
        <w:rPr>
          <w:rFonts w:ascii="Arial" w:eastAsia="Cambria" w:hAnsi="Arial" w:cs="Arial"/>
          <w:szCs w:val="28"/>
          <w:shd w:val="clear" w:color="auto" w:fill="FFFFFF"/>
          <w:lang w:val="uk-UA"/>
        </w:rPr>
        <w:t>.</w:t>
      </w:r>
    </w:p>
    <w:p w14:paraId="7CB7C10A" w14:textId="38AC08BE" w:rsidR="00200E87" w:rsidRPr="00511005" w:rsidRDefault="00200E87" w:rsidP="003F6A5D">
      <w:pPr>
        <w:numPr>
          <w:ilvl w:val="0"/>
          <w:numId w:val="549"/>
        </w:numPr>
        <w:spacing w:line="264" w:lineRule="auto"/>
        <w:ind w:left="0" w:firstLine="709"/>
        <w:contextualSpacing/>
        <w:jc w:val="left"/>
        <w:rPr>
          <w:rFonts w:ascii="Arial" w:eastAsia="Cambria" w:hAnsi="Arial" w:cs="Arial"/>
          <w:b/>
          <w:bCs/>
          <w:szCs w:val="28"/>
          <w:lang w:val="uk-UA"/>
        </w:rPr>
      </w:pPr>
      <w:r w:rsidRPr="00511005">
        <w:rPr>
          <w:rFonts w:ascii="Arial" w:eastAsia="Cambria" w:hAnsi="Arial" w:cs="Arial"/>
          <w:szCs w:val="28"/>
          <w:lang w:val="uk-UA"/>
        </w:rPr>
        <w:t>Center</w:t>
      </w:r>
      <w:r w:rsidR="007B2628" w:rsidRPr="00511005">
        <w:rPr>
          <w:rFonts w:ascii="Arial" w:eastAsia="Cambria" w:hAnsi="Arial" w:cs="Arial"/>
          <w:szCs w:val="28"/>
          <w:lang w:val="uk-UA"/>
        </w:rPr>
        <w:t xml:space="preserve"> </w:t>
      </w:r>
      <w:r w:rsidRPr="00511005">
        <w:rPr>
          <w:rFonts w:ascii="Arial" w:eastAsia="Cambria" w:hAnsi="Arial" w:cs="Arial"/>
          <w:szCs w:val="28"/>
          <w:lang w:val="uk-UA"/>
        </w:rPr>
        <w:t>Commends</w:t>
      </w:r>
      <w:r w:rsidR="007B2628" w:rsidRPr="00511005">
        <w:rPr>
          <w:rFonts w:ascii="Arial" w:eastAsia="Cambria" w:hAnsi="Arial" w:cs="Arial"/>
          <w:szCs w:val="28"/>
          <w:lang w:val="uk-UA"/>
        </w:rPr>
        <w:t xml:space="preserve"> </w:t>
      </w:r>
      <w:r w:rsidRPr="00511005">
        <w:rPr>
          <w:rFonts w:ascii="Arial" w:eastAsia="Cambria" w:hAnsi="Arial" w:cs="Arial"/>
          <w:szCs w:val="28"/>
          <w:lang w:val="uk-UA"/>
        </w:rPr>
        <w:t>WHO’s</w:t>
      </w:r>
      <w:r w:rsidR="007B2628" w:rsidRPr="00511005">
        <w:rPr>
          <w:rFonts w:ascii="Arial" w:eastAsia="Cambria" w:hAnsi="Arial" w:cs="Arial"/>
          <w:szCs w:val="28"/>
          <w:lang w:val="uk-UA"/>
        </w:rPr>
        <w:t xml:space="preserve"> </w:t>
      </w:r>
      <w:r w:rsidRPr="00511005">
        <w:rPr>
          <w:rFonts w:ascii="Arial" w:eastAsia="Cambria" w:hAnsi="Arial" w:cs="Arial"/>
          <w:szCs w:val="28"/>
          <w:lang w:val="uk-UA"/>
        </w:rPr>
        <w:t>New</w:t>
      </w:r>
      <w:r w:rsidR="007B2628" w:rsidRPr="00511005">
        <w:rPr>
          <w:rFonts w:ascii="Arial" w:eastAsia="Cambria" w:hAnsi="Arial" w:cs="Arial"/>
          <w:szCs w:val="28"/>
          <w:lang w:val="uk-UA"/>
        </w:rPr>
        <w:t xml:space="preserve"> </w:t>
      </w:r>
      <w:r w:rsidRPr="00511005">
        <w:rPr>
          <w:rFonts w:ascii="Arial" w:eastAsia="Cambria" w:hAnsi="Arial" w:cs="Arial"/>
          <w:szCs w:val="28"/>
          <w:lang w:val="uk-UA"/>
        </w:rPr>
        <w:t>Abortion</w:t>
      </w:r>
      <w:r w:rsidR="007B2628" w:rsidRPr="00511005">
        <w:rPr>
          <w:rFonts w:ascii="Arial" w:eastAsia="Cambria" w:hAnsi="Arial" w:cs="Arial"/>
          <w:szCs w:val="28"/>
          <w:lang w:val="uk-UA"/>
        </w:rPr>
        <w:t xml:space="preserve"> </w:t>
      </w:r>
      <w:r w:rsidRPr="00511005">
        <w:rPr>
          <w:rFonts w:ascii="Arial" w:eastAsia="Cambria" w:hAnsi="Arial" w:cs="Arial"/>
          <w:szCs w:val="28"/>
          <w:lang w:val="uk-UA"/>
        </w:rPr>
        <w:t>Guideline</w:t>
      </w:r>
      <w:r w:rsidR="007B2628" w:rsidRPr="00511005">
        <w:rPr>
          <w:rFonts w:ascii="Arial" w:eastAsia="Cambria" w:hAnsi="Arial" w:cs="Arial"/>
          <w:szCs w:val="28"/>
          <w:lang w:val="uk-UA"/>
        </w:rPr>
        <w:t xml:space="preserve"> </w:t>
      </w:r>
      <w:r w:rsidRPr="00511005">
        <w:rPr>
          <w:rFonts w:ascii="Arial" w:eastAsia="Cambria" w:hAnsi="Arial" w:cs="Arial"/>
          <w:szCs w:val="28"/>
          <w:lang w:val="uk-UA"/>
        </w:rPr>
        <w:t>for</w:t>
      </w:r>
      <w:r w:rsidR="007B2628" w:rsidRPr="00511005">
        <w:rPr>
          <w:rFonts w:ascii="Arial" w:eastAsia="Cambria" w:hAnsi="Arial" w:cs="Arial"/>
          <w:szCs w:val="28"/>
          <w:lang w:val="uk-UA"/>
        </w:rPr>
        <w:t xml:space="preserve"> </w:t>
      </w:r>
      <w:r w:rsidRPr="00511005">
        <w:rPr>
          <w:rFonts w:ascii="Arial" w:eastAsia="Cambria" w:hAnsi="Arial" w:cs="Arial"/>
          <w:szCs w:val="28"/>
          <w:lang w:val="uk-UA"/>
        </w:rPr>
        <w:t>Quality</w:t>
      </w:r>
      <w:r w:rsidR="007B2628" w:rsidRPr="00511005">
        <w:rPr>
          <w:rFonts w:ascii="Arial" w:eastAsia="Cambria" w:hAnsi="Arial" w:cs="Arial"/>
          <w:szCs w:val="28"/>
          <w:lang w:val="uk-UA"/>
        </w:rPr>
        <w:t xml:space="preserve"> </w:t>
      </w:r>
      <w:r w:rsidRPr="00511005">
        <w:rPr>
          <w:rFonts w:ascii="Arial" w:eastAsia="Cambria" w:hAnsi="Arial" w:cs="Arial"/>
          <w:szCs w:val="28"/>
          <w:lang w:val="uk-UA"/>
        </w:rPr>
        <w:t>Abortion</w:t>
      </w:r>
      <w:r w:rsidR="007B2628" w:rsidRPr="00511005">
        <w:rPr>
          <w:rFonts w:ascii="Arial" w:eastAsia="Cambria" w:hAnsi="Arial" w:cs="Arial"/>
          <w:szCs w:val="28"/>
          <w:lang w:val="uk-UA"/>
        </w:rPr>
        <w:t xml:space="preserve"> </w:t>
      </w:r>
      <w:r w:rsidRPr="00511005">
        <w:rPr>
          <w:rFonts w:ascii="Arial" w:eastAsia="Cambria" w:hAnsi="Arial" w:cs="Arial"/>
          <w:szCs w:val="28"/>
          <w:lang w:val="uk-UA"/>
        </w:rPr>
        <w:t xml:space="preserve">Care Worldwide. Center for Reproductive Rights.Center for Reproductive Rights. URL: </w:t>
      </w:r>
      <w:r w:rsidR="005938AD">
        <w:fldChar w:fldCharType="begin"/>
      </w:r>
      <w:r w:rsidR="005938AD" w:rsidRPr="00055389">
        <w:rPr>
          <w:lang w:val="en-US"/>
        </w:rPr>
        <w:instrText xml:space="preserve"> HYPERLINK "https://re-productiverights.org/who-abortion-care-guideline/" </w:instrText>
      </w:r>
      <w:r w:rsidR="005938AD">
        <w:fldChar w:fldCharType="separate"/>
      </w:r>
      <w:r w:rsidRPr="00511005">
        <w:rPr>
          <w:rFonts w:ascii="Arial" w:eastAsia="Cambria" w:hAnsi="Arial" w:cs="Arial"/>
          <w:szCs w:val="28"/>
          <w:lang w:val="uk-UA"/>
        </w:rPr>
        <w:t>https://re-productiverights.org/who-abortion-care-guideline/</w:t>
      </w:r>
      <w:r w:rsidR="005938AD">
        <w:rPr>
          <w:rFonts w:ascii="Arial" w:eastAsia="Cambria" w:hAnsi="Arial" w:cs="Arial"/>
          <w:szCs w:val="28"/>
          <w:lang w:val="uk-UA"/>
        </w:rPr>
        <w:fldChar w:fldCharType="end"/>
      </w:r>
    </w:p>
    <w:p w14:paraId="3075A8FA" w14:textId="77777777" w:rsidR="00200E87" w:rsidRPr="00511005" w:rsidRDefault="00200E87" w:rsidP="003F6A5D">
      <w:pPr>
        <w:numPr>
          <w:ilvl w:val="0"/>
          <w:numId w:val="549"/>
        </w:numPr>
        <w:spacing w:line="264" w:lineRule="auto"/>
        <w:ind w:left="0" w:firstLine="709"/>
        <w:contextualSpacing/>
        <w:jc w:val="left"/>
        <w:rPr>
          <w:rFonts w:ascii="Arial" w:eastAsia="Cambria" w:hAnsi="Arial" w:cs="Arial"/>
          <w:b/>
          <w:bCs/>
          <w:szCs w:val="28"/>
          <w:lang w:val="uk-UA"/>
        </w:rPr>
      </w:pPr>
      <w:r w:rsidRPr="00511005">
        <w:rPr>
          <w:rFonts w:ascii="Arial" w:eastAsia="Cambria" w:hAnsi="Arial" w:cs="Arial"/>
          <w:szCs w:val="28"/>
          <w:shd w:val="clear" w:color="auto" w:fill="FFFFFF"/>
          <w:lang w:val="uk-UA"/>
        </w:rPr>
        <w:t>Плутицька К. М., Панкратова К. О. Кримінальне право (Особлива частина) : курс лекцій для здобувачів ступеня вищої освіти бакалавра спеціальності «Право» освітньо-професійної програми «Право» : в 2 ч. Запоріжжя : ЗНУ, 2024. Ч. 2. 234 с.</w:t>
      </w:r>
    </w:p>
    <w:p w14:paraId="2CE03A8A" w14:textId="77777777" w:rsidR="00200E87" w:rsidRPr="00511005" w:rsidRDefault="00200E87" w:rsidP="003A292D">
      <w:pPr>
        <w:spacing w:line="264" w:lineRule="auto"/>
        <w:ind w:firstLine="0"/>
        <w:rPr>
          <w:rFonts w:ascii="Arial" w:eastAsia="Times New Roman" w:hAnsi="Arial" w:cs="Arial"/>
          <w:b/>
          <w:bCs/>
          <w:szCs w:val="28"/>
          <w:lang w:val="uk-UA"/>
        </w:rPr>
      </w:pPr>
    </w:p>
    <w:p w14:paraId="3132910E" w14:textId="4A3ADD36" w:rsidR="00200E87"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200E87" w:rsidRPr="00511005">
        <w:rPr>
          <w:rFonts w:ascii="Arial" w:eastAsia="Times New Roman" w:hAnsi="Arial" w:cs="Arial"/>
          <w:szCs w:val="28"/>
          <w:lang w:val="uk-UA"/>
        </w:rPr>
        <w:t>декриміналізація, аборт, права жінок, репродуктивне здоров'я, кримінальна відповідальність, медичні послуги.</w:t>
      </w:r>
    </w:p>
    <w:p w14:paraId="7BF3A684" w14:textId="4ACA825C" w:rsidR="00200E87"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200E87" w:rsidRPr="00511005">
        <w:rPr>
          <w:rFonts w:ascii="Arial" w:eastAsia="Times New Roman" w:hAnsi="Arial" w:cs="Arial"/>
          <w:szCs w:val="28"/>
          <w:lang w:val="uk-UA"/>
        </w:rPr>
        <w:t>decriminalization, abortion, women's rights, reproductive health, criminal responsibility, medical services.</w:t>
      </w:r>
    </w:p>
    <w:p w14:paraId="4D480D63" w14:textId="7F41C605" w:rsidR="00200E87" w:rsidRPr="00511005" w:rsidRDefault="007B2628" w:rsidP="003A292D">
      <w:pPr>
        <w:spacing w:line="264" w:lineRule="auto"/>
        <w:ind w:firstLine="0"/>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200E87" w:rsidRPr="00511005">
        <w:rPr>
          <w:rFonts w:ascii="Arial" w:eastAsia="Times New Roman" w:hAnsi="Arial" w:cs="Arial"/>
          <w:i/>
          <w:szCs w:val="28"/>
          <w:lang w:val="uk-UA"/>
        </w:rPr>
        <w:t>д.ю.н, професор, доцент Коломієць Ю.Ю.</w:t>
      </w:r>
    </w:p>
    <w:p w14:paraId="60367D7C" w14:textId="77777777" w:rsidR="00200E87" w:rsidRPr="00511005" w:rsidRDefault="00200E87" w:rsidP="003A292D">
      <w:pPr>
        <w:spacing w:line="264" w:lineRule="auto"/>
        <w:ind w:firstLine="0"/>
        <w:rPr>
          <w:rFonts w:ascii="Arial" w:eastAsia="Times New Roman" w:hAnsi="Arial" w:cs="Arial"/>
          <w:i/>
          <w:iCs/>
          <w:szCs w:val="28"/>
          <w:lang w:val="uk-UA"/>
        </w:rPr>
      </w:pPr>
    </w:p>
    <w:p w14:paraId="632FEC34" w14:textId="77777777" w:rsidR="004A03EB" w:rsidRDefault="004A03EB">
      <w:pPr>
        <w:spacing w:after="200" w:line="276" w:lineRule="auto"/>
        <w:ind w:firstLine="0"/>
        <w:jc w:val="left"/>
        <w:rPr>
          <w:rFonts w:ascii="Arial" w:eastAsia="Calibri" w:hAnsi="Arial" w:cs="Arial"/>
          <w:b/>
          <w:i/>
          <w:iCs/>
          <w:szCs w:val="28"/>
          <w:lang w:val="uk-UA" w:eastAsia="ru-RU"/>
        </w:rPr>
      </w:pPr>
      <w:r>
        <w:rPr>
          <w:rFonts w:ascii="Arial" w:eastAsia="Calibri" w:hAnsi="Arial" w:cs="Arial"/>
          <w:b/>
          <w:i/>
          <w:iCs/>
          <w:szCs w:val="28"/>
          <w:lang w:val="uk-UA" w:eastAsia="ru-RU"/>
        </w:rPr>
        <w:br w:type="page"/>
      </w:r>
    </w:p>
    <w:p w14:paraId="19DE2C99" w14:textId="55A2D771" w:rsidR="00200E87" w:rsidRPr="00511005" w:rsidRDefault="00200E87" w:rsidP="003A292D">
      <w:pPr>
        <w:spacing w:line="264" w:lineRule="auto"/>
        <w:ind w:firstLine="0"/>
        <w:jc w:val="center"/>
        <w:rPr>
          <w:rFonts w:ascii="Arial" w:eastAsia="Calibri" w:hAnsi="Arial" w:cs="Arial"/>
          <w:b/>
          <w:i/>
          <w:iCs/>
          <w:szCs w:val="28"/>
          <w:lang w:val="uk-UA" w:eastAsia="ru-RU"/>
        </w:rPr>
      </w:pPr>
      <w:r w:rsidRPr="00511005">
        <w:rPr>
          <w:rFonts w:ascii="Arial" w:eastAsia="Calibri" w:hAnsi="Arial" w:cs="Arial"/>
          <w:b/>
          <w:i/>
          <w:iCs/>
          <w:szCs w:val="28"/>
          <w:lang w:val="uk-UA" w:eastAsia="ru-RU"/>
        </w:rPr>
        <w:lastRenderedPageBreak/>
        <w:t>Феденко Максим Олександрович</w:t>
      </w:r>
    </w:p>
    <w:p w14:paraId="7B61BA6D" w14:textId="71C5679C" w:rsidR="00200E87" w:rsidRPr="00511005" w:rsidRDefault="00536AAB" w:rsidP="003A292D">
      <w:pPr>
        <w:spacing w:line="264" w:lineRule="auto"/>
        <w:ind w:firstLine="0"/>
        <w:jc w:val="center"/>
        <w:rPr>
          <w:rFonts w:ascii="Arial" w:eastAsia="Calibri" w:hAnsi="Arial" w:cs="Arial"/>
          <w:iCs/>
          <w:szCs w:val="28"/>
          <w:lang w:val="uk-UA" w:eastAsia="ru-RU"/>
        </w:rPr>
      </w:pPr>
      <w:r w:rsidRPr="00511005">
        <w:rPr>
          <w:rFonts w:ascii="Arial" w:eastAsia="Calibri" w:hAnsi="Arial" w:cs="Arial"/>
          <w:iCs/>
          <w:szCs w:val="28"/>
          <w:lang w:val="uk-UA" w:eastAsia="ru-RU"/>
        </w:rPr>
        <w:t>студент 2-го курсу факультету адвокатури та антикорупційної діяльності</w:t>
      </w:r>
    </w:p>
    <w:p w14:paraId="6F39E76C" w14:textId="1D93390D" w:rsidR="00200E87" w:rsidRPr="00511005" w:rsidRDefault="007B2628" w:rsidP="003A292D">
      <w:pPr>
        <w:spacing w:line="264" w:lineRule="auto"/>
        <w:ind w:firstLine="0"/>
        <w:jc w:val="center"/>
        <w:rPr>
          <w:rFonts w:ascii="Arial" w:eastAsia="Calibri" w:hAnsi="Arial" w:cs="Arial"/>
          <w:iCs/>
          <w:szCs w:val="28"/>
          <w:lang w:val="uk-UA" w:eastAsia="ru-RU"/>
        </w:rPr>
      </w:pPr>
      <w:r w:rsidRPr="00511005">
        <w:rPr>
          <w:rFonts w:ascii="Arial" w:eastAsia="Calibri" w:hAnsi="Arial" w:cs="Arial"/>
          <w:iCs/>
          <w:szCs w:val="28"/>
          <w:lang w:val="uk-UA" w:eastAsia="ru-RU"/>
        </w:rPr>
        <w:t>Національного університету «Одеська юридична академія»</w:t>
      </w:r>
    </w:p>
    <w:p w14:paraId="1B7015F2" w14:textId="77777777" w:rsidR="00200E87" w:rsidRPr="00511005" w:rsidRDefault="00200E87" w:rsidP="003A292D">
      <w:pPr>
        <w:spacing w:line="264" w:lineRule="auto"/>
        <w:ind w:firstLine="0"/>
        <w:jc w:val="center"/>
        <w:rPr>
          <w:rFonts w:ascii="Arial" w:eastAsia="Calibri" w:hAnsi="Arial" w:cs="Arial"/>
          <w:iCs/>
          <w:szCs w:val="28"/>
          <w:lang w:val="uk-UA" w:eastAsia="ru-RU"/>
        </w:rPr>
      </w:pPr>
    </w:p>
    <w:p w14:paraId="36069432" w14:textId="77777777" w:rsidR="00200E87" w:rsidRPr="00511005" w:rsidRDefault="00200E87" w:rsidP="003A292D">
      <w:pPr>
        <w:spacing w:line="264" w:lineRule="auto"/>
        <w:ind w:firstLine="0"/>
        <w:jc w:val="center"/>
        <w:rPr>
          <w:rFonts w:ascii="Arial" w:eastAsia="Calibri" w:hAnsi="Arial" w:cs="Arial"/>
          <w:b/>
          <w:bCs/>
          <w:iCs/>
          <w:szCs w:val="28"/>
          <w:lang w:val="uk-UA" w:eastAsia="ru-RU"/>
        </w:rPr>
      </w:pPr>
      <w:r w:rsidRPr="00511005">
        <w:rPr>
          <w:rFonts w:ascii="Arial" w:eastAsia="Calibri" w:hAnsi="Arial" w:cs="Arial"/>
          <w:b/>
          <w:bCs/>
          <w:iCs/>
          <w:szCs w:val="28"/>
          <w:lang w:val="uk-UA" w:eastAsia="ru-RU"/>
        </w:rPr>
        <w:t>КРИМІНАЛЬНА ВІДПОВІДАЛЬНІСТЬ ЗА КОНТРАБАНДУ ТОВАРІВ</w:t>
      </w:r>
    </w:p>
    <w:p w14:paraId="35700D3E" w14:textId="77777777" w:rsidR="00200E87" w:rsidRPr="00511005" w:rsidRDefault="00200E87" w:rsidP="003A292D">
      <w:pPr>
        <w:tabs>
          <w:tab w:val="left" w:pos="7088"/>
        </w:tabs>
        <w:spacing w:line="264" w:lineRule="auto"/>
        <w:ind w:firstLine="0"/>
        <w:rPr>
          <w:rFonts w:ascii="Arial" w:eastAsia="Calibri" w:hAnsi="Arial" w:cs="Arial"/>
          <w:szCs w:val="28"/>
          <w:lang w:val="uk-UA" w:bidi="uk-UA"/>
        </w:rPr>
      </w:pPr>
      <w:r w:rsidRPr="00511005">
        <w:rPr>
          <w:rFonts w:ascii="Arial" w:eastAsia="Calibri" w:hAnsi="Arial" w:cs="Arial"/>
          <w:szCs w:val="28"/>
          <w:lang w:val="uk-UA" w:bidi="uk-UA"/>
        </w:rPr>
        <w:t>Контрабанда товарів залишається серйозною загрозою для економічної безпеки держави, порушуючи фінансову дисципліну, перешкоджаючи справедливій конкуренції та шкодячи державному бюджету. У зв’язку з оновленням законодавства в сфері кримінального права, а також в умовах воєнного стану, значення ефективного переслідування цього кримінального правопорушення зросло в рази. Саме тому законодавець запровадив окрему статтю 201-3 до Кримінального кодексу України, яка передбачає кримінальну відповідальність за контрабанду товарів як самостійний склад кримінального правопорушення.</w:t>
      </w:r>
    </w:p>
    <w:p w14:paraId="26B8DD84" w14:textId="10D34A70" w:rsidR="00200E87" w:rsidRPr="00511005" w:rsidRDefault="00200E87" w:rsidP="003A292D">
      <w:pPr>
        <w:tabs>
          <w:tab w:val="left" w:pos="7088"/>
        </w:tabs>
        <w:spacing w:line="264" w:lineRule="auto"/>
        <w:ind w:firstLine="0"/>
        <w:rPr>
          <w:rFonts w:ascii="Arial" w:eastAsia="Calibri" w:hAnsi="Arial" w:cs="Arial"/>
          <w:szCs w:val="28"/>
          <w:lang w:val="uk-UA" w:bidi="uk-UA"/>
        </w:rPr>
      </w:pPr>
      <w:r w:rsidRPr="00511005">
        <w:rPr>
          <w:rFonts w:ascii="Arial" w:eastAsia="Calibri" w:hAnsi="Arial" w:cs="Arial"/>
          <w:szCs w:val="28"/>
          <w:lang w:val="uk-UA" w:bidi="uk-UA"/>
        </w:rPr>
        <w:t>У відповідності до положень ст. 201-3 КК України, кримінально караною є контрабанда, тобто переміщення через митний кордон України товарів, що підлягають митному контролю, без митного оформлення або з приховуванням від митного контролю. Предметом кримінального правопорушення цієї статті є товари, які не заборонені до обігу, але підлягають обов’язковому митному контролю та оформленню відповідно до митного законодавства. Йдеться про переміщення товарів, які через дії правопорушника не підлягають належному митному декларуванню або переміщуються з порушенням правил митного законодавства, такі як товари широкого вжитку та товари високовартісного значення (обладнання).</w:t>
      </w:r>
      <w:r w:rsidR="007B2628" w:rsidRPr="00511005">
        <w:rPr>
          <w:rFonts w:ascii="Arial" w:eastAsia="Calibri" w:hAnsi="Arial" w:cs="Arial"/>
          <w:szCs w:val="28"/>
          <w:lang w:val="uk-UA" w:bidi="uk-UA"/>
        </w:rPr>
        <w:t xml:space="preserve"> </w:t>
      </w:r>
      <w:r w:rsidRPr="00511005">
        <w:rPr>
          <w:rFonts w:ascii="Arial" w:eastAsia="Calibri" w:hAnsi="Arial" w:cs="Arial"/>
          <w:szCs w:val="28"/>
          <w:lang w:val="uk-UA" w:bidi="uk-UA"/>
        </w:rPr>
        <w:t>Особливістю цієї статті є те, що вона охоплює не лише дії з товарами широкого вжитку, а й операції з предметами, які можуть мати стратегічне або високовартісне значення.</w:t>
      </w:r>
    </w:p>
    <w:p w14:paraId="1D16CA33" w14:textId="77777777" w:rsidR="00200E87" w:rsidRPr="00511005" w:rsidRDefault="00200E87" w:rsidP="003A292D">
      <w:pPr>
        <w:tabs>
          <w:tab w:val="left" w:pos="7088"/>
        </w:tabs>
        <w:spacing w:line="264" w:lineRule="auto"/>
        <w:ind w:firstLine="0"/>
        <w:rPr>
          <w:rFonts w:ascii="Arial" w:eastAsia="Calibri" w:hAnsi="Arial" w:cs="Arial"/>
          <w:szCs w:val="28"/>
          <w:lang w:val="uk-UA" w:bidi="uk-UA"/>
        </w:rPr>
      </w:pPr>
      <w:r w:rsidRPr="00511005">
        <w:rPr>
          <w:rFonts w:ascii="Arial" w:eastAsia="Calibri" w:hAnsi="Arial" w:cs="Arial"/>
          <w:szCs w:val="28"/>
          <w:lang w:val="uk-UA" w:bidi="uk-UA"/>
        </w:rPr>
        <w:t xml:space="preserve">Кримінальна відповідальність за порушення положень ст. 201-3 настає лише у випадку, якщо дії мали значний суспільний вплив, заподіяли істотну шкоду державним інтересам або були вчинені повторно, групою осіб, із використанням службового становища тощо. Цим кримінальний закон чітко розмежовує дії, які можуть вважатися адміністративним проступком, і ті, що тягнуть за собою кримінальну відповідальність. Суттєве значення мають обставини, пов’язані з приховуванням товарів, використанням підроблених документів або технічних засобів, що перешкоджають виявленню контрабанди [1]. </w:t>
      </w:r>
    </w:p>
    <w:p w14:paraId="0E57D7AE" w14:textId="77777777" w:rsidR="00200E87" w:rsidRPr="00511005" w:rsidRDefault="00200E87" w:rsidP="003A292D">
      <w:pPr>
        <w:tabs>
          <w:tab w:val="left" w:pos="7088"/>
        </w:tabs>
        <w:spacing w:line="264" w:lineRule="auto"/>
        <w:ind w:firstLine="0"/>
        <w:rPr>
          <w:rFonts w:ascii="Arial" w:eastAsia="Calibri" w:hAnsi="Arial" w:cs="Arial"/>
          <w:szCs w:val="28"/>
          <w:lang w:val="uk-UA" w:bidi="uk-UA"/>
        </w:rPr>
      </w:pPr>
      <w:r w:rsidRPr="00511005">
        <w:rPr>
          <w:rFonts w:ascii="Arial" w:eastAsia="Calibri" w:hAnsi="Arial" w:cs="Arial"/>
          <w:szCs w:val="28"/>
          <w:lang w:val="uk-UA" w:bidi="uk-UA"/>
        </w:rPr>
        <w:t xml:space="preserve">Правозастосовча практика вказує, що найчастіше контрабанду виявляють під час перевезення високовартісної електроніки, брендового одягу, прикрас, ліків та інших дефіцитних товарів. Такі дії можуть мати серйозні економічні наслідки, особливо в умовах, коли національна економіка ослаблена війною та потребує максимального залучення митних надходжень. Саме тому в останні роки держава неодноразово підвищувала </w:t>
      </w:r>
      <w:r w:rsidRPr="00511005">
        <w:rPr>
          <w:rFonts w:ascii="Arial" w:eastAsia="Calibri" w:hAnsi="Arial" w:cs="Arial"/>
          <w:szCs w:val="28"/>
          <w:lang w:val="uk-UA" w:bidi="uk-UA"/>
        </w:rPr>
        <w:lastRenderedPageBreak/>
        <w:t xml:space="preserve">штрафи та санкції за контрабанду, впроваджувала нові технічні засоби митного контролю та вдосконалювала міжвідомчу співпрацю. Зокрема, Національна поліція, Служба безпеки України та Державна митна служба активно обмінюються даними та проводять спільні заходи боротьби з тіньовими схемами [2]. </w:t>
      </w:r>
    </w:p>
    <w:p w14:paraId="5AF9D6D2" w14:textId="77777777" w:rsidR="00200E87" w:rsidRPr="00511005" w:rsidRDefault="00200E87" w:rsidP="003A292D">
      <w:pPr>
        <w:tabs>
          <w:tab w:val="left" w:pos="7088"/>
        </w:tabs>
        <w:spacing w:line="264" w:lineRule="auto"/>
        <w:ind w:firstLine="0"/>
        <w:rPr>
          <w:rFonts w:ascii="Arial" w:eastAsia="Calibri" w:hAnsi="Arial" w:cs="Arial"/>
          <w:szCs w:val="28"/>
          <w:lang w:val="uk-UA" w:bidi="uk-UA"/>
        </w:rPr>
      </w:pPr>
      <w:r w:rsidRPr="00511005">
        <w:rPr>
          <w:rFonts w:ascii="Arial" w:eastAsia="Calibri" w:hAnsi="Arial" w:cs="Arial"/>
          <w:szCs w:val="28"/>
          <w:lang w:val="uk-UA" w:bidi="uk-UA"/>
        </w:rPr>
        <w:t>Ще однією важливою правовою проблемою є розмежування понять контрабанди і недекларування товарів. Часто на практиці виникає ситуація, коли суб’єкт, порушивши митні правила, не має умислу на приховування, проте формально його дії можуть бути кваліфіковані як контрабанда. Саме тому в нових редакціях Кримінального кодексу законодавець намагається підкреслити, що умисність є ключовим елементом складу правопорушення. Такий підхід відповідає і міжнародним стандартам, адже відповідно до практики Європейського суду з прав людини, кримінальне переслідування має бути пропорційним та виправданим у кожному конкретному випадку.</w:t>
      </w:r>
    </w:p>
    <w:p w14:paraId="3DB3215D" w14:textId="77777777" w:rsidR="00200E87" w:rsidRPr="00511005" w:rsidRDefault="00200E87" w:rsidP="003A292D">
      <w:pPr>
        <w:tabs>
          <w:tab w:val="left" w:pos="7088"/>
        </w:tabs>
        <w:spacing w:line="264" w:lineRule="auto"/>
        <w:ind w:firstLine="0"/>
        <w:rPr>
          <w:rFonts w:ascii="Arial" w:eastAsia="Calibri" w:hAnsi="Arial" w:cs="Arial"/>
          <w:szCs w:val="28"/>
          <w:lang w:val="uk-UA" w:bidi="uk-UA"/>
        </w:rPr>
      </w:pPr>
      <w:r w:rsidRPr="00511005">
        <w:rPr>
          <w:rFonts w:ascii="Arial" w:eastAsia="Calibri" w:hAnsi="Arial" w:cs="Arial"/>
          <w:szCs w:val="28"/>
          <w:lang w:val="uk-UA" w:bidi="uk-UA"/>
        </w:rPr>
        <w:t xml:space="preserve">У період війни контрабанда набула додаткових ризиків, пов’язаних з переміщенням товарів подвійного призначення, стратегічної сировини або предметів гуманітарної допомоги. У цих умовах будь-яка діяльність, спрямована на незаконне перевезення таких об’єктів, несе потенційну загрозу національній безпеці. Тому державні органи вживають додаткових заходів щодо моніторингу переміщення вантажів, запровадження електронних засобів обліку та кримінального переслідування організованих злочинних груп, які спеціалізуються на контрабандній діяльності [3]. </w:t>
      </w:r>
    </w:p>
    <w:p w14:paraId="1C13B5EB" w14:textId="77777777" w:rsidR="00200E87" w:rsidRPr="00511005" w:rsidRDefault="00200E87" w:rsidP="003A292D">
      <w:pPr>
        <w:tabs>
          <w:tab w:val="left" w:pos="7088"/>
        </w:tabs>
        <w:spacing w:line="264" w:lineRule="auto"/>
        <w:ind w:firstLine="0"/>
        <w:rPr>
          <w:rFonts w:ascii="Arial" w:eastAsia="Calibri" w:hAnsi="Arial" w:cs="Arial"/>
          <w:szCs w:val="28"/>
          <w:lang w:val="uk-UA" w:bidi="uk-UA"/>
        </w:rPr>
      </w:pPr>
      <w:r w:rsidRPr="00511005">
        <w:rPr>
          <w:rFonts w:ascii="Arial" w:eastAsia="Calibri" w:hAnsi="Arial" w:cs="Arial"/>
          <w:szCs w:val="28"/>
          <w:lang w:val="uk-UA" w:bidi="uk-UA"/>
        </w:rPr>
        <w:t>Варто також зазначити, що у 2023 році відбулись значні зміни у кримінальному процесі, що стосуються посилення повноважень правоохоронних органів у сфері економічної безпеки. Було прийнято нові підходи до збору доказової бази у справах про контрабанду, включаючи більш активне використання оперативно-розшукових заходів та міжнародного співробітництва. Крім того, спрощено процедуру передачі доказів до суду, що дозволяє зменшити строк розгляду таких справ і забезпечити оперативну правову реакцію на факти правопорушень.</w:t>
      </w:r>
    </w:p>
    <w:p w14:paraId="3B36B6A3" w14:textId="77777777" w:rsidR="00200E87" w:rsidRPr="00511005" w:rsidRDefault="00200E87" w:rsidP="003A292D">
      <w:pPr>
        <w:tabs>
          <w:tab w:val="left" w:pos="7088"/>
        </w:tabs>
        <w:spacing w:line="264" w:lineRule="auto"/>
        <w:ind w:firstLine="0"/>
        <w:rPr>
          <w:rFonts w:ascii="Arial" w:eastAsia="Calibri" w:hAnsi="Arial" w:cs="Arial"/>
          <w:szCs w:val="28"/>
          <w:lang w:val="uk-UA" w:bidi="uk-UA"/>
        </w:rPr>
      </w:pPr>
      <w:r w:rsidRPr="00511005">
        <w:rPr>
          <w:rFonts w:ascii="Arial" w:eastAsia="Calibri" w:hAnsi="Arial" w:cs="Arial"/>
          <w:b/>
          <w:bCs/>
          <w:szCs w:val="28"/>
          <w:lang w:val="uk-UA" w:bidi="uk-UA"/>
        </w:rPr>
        <w:t>Висновок:</w:t>
      </w:r>
      <w:r w:rsidRPr="00511005">
        <w:rPr>
          <w:rFonts w:ascii="Arial" w:eastAsia="Calibri" w:hAnsi="Arial" w:cs="Arial"/>
          <w:szCs w:val="28"/>
          <w:lang w:val="uk-UA" w:bidi="uk-UA"/>
        </w:rPr>
        <w:t xml:space="preserve"> Отже, кримінальна відповідальність за контрабанду товарів у контексті статті 201-3 КК України є важливим інструментом державного впливу на економічну злочинність. Вона покликана забезпечити законність обігу товарів, захистити митні надходження, а також підвищити ефективність митного контролю. Водночас важливо забезпечити баланс між суворістю покарання та захистом прав добросовісних суб’єктів зовнішньоекономічної діяльності, з урахуванням складних умов воєнного стану.</w:t>
      </w:r>
    </w:p>
    <w:p w14:paraId="3D0962E2" w14:textId="77777777" w:rsidR="00200E87" w:rsidRPr="00511005" w:rsidRDefault="00200E87" w:rsidP="003A292D">
      <w:pPr>
        <w:tabs>
          <w:tab w:val="left" w:pos="7088"/>
        </w:tabs>
        <w:spacing w:line="264" w:lineRule="auto"/>
        <w:ind w:firstLine="0"/>
        <w:rPr>
          <w:rFonts w:ascii="Arial" w:eastAsia="Calibri" w:hAnsi="Arial" w:cs="Arial"/>
          <w:szCs w:val="28"/>
          <w:lang w:val="uk-UA" w:bidi="uk-UA"/>
        </w:rPr>
      </w:pPr>
    </w:p>
    <w:p w14:paraId="2C233F82" w14:textId="77777777" w:rsidR="00200E87" w:rsidRPr="00511005" w:rsidRDefault="00200E87" w:rsidP="003A292D">
      <w:pPr>
        <w:tabs>
          <w:tab w:val="left" w:pos="7088"/>
        </w:tabs>
        <w:spacing w:line="264" w:lineRule="auto"/>
        <w:ind w:firstLine="0"/>
        <w:jc w:val="center"/>
        <w:rPr>
          <w:rFonts w:ascii="Arial" w:eastAsia="Calibri" w:hAnsi="Arial" w:cs="Arial"/>
          <w:b/>
          <w:szCs w:val="28"/>
          <w:lang w:val="uk-UA" w:bidi="uk-UA"/>
        </w:rPr>
      </w:pPr>
      <w:r w:rsidRPr="00511005">
        <w:rPr>
          <w:rFonts w:ascii="Arial" w:eastAsia="Calibri" w:hAnsi="Arial" w:cs="Arial"/>
          <w:b/>
          <w:szCs w:val="28"/>
          <w:lang w:val="en-US" w:bidi="uk-UA"/>
        </w:rPr>
        <w:t>C</w:t>
      </w:r>
      <w:r w:rsidRPr="00511005">
        <w:rPr>
          <w:rFonts w:ascii="Arial" w:eastAsia="Calibri" w:hAnsi="Arial" w:cs="Arial"/>
          <w:b/>
          <w:szCs w:val="28"/>
          <w:lang w:val="uk-UA" w:bidi="uk-UA"/>
        </w:rPr>
        <w:t>писок використаних джерел</w:t>
      </w:r>
    </w:p>
    <w:p w14:paraId="5F483C09" w14:textId="77777777" w:rsidR="00200E87" w:rsidRPr="00511005" w:rsidRDefault="00200E87" w:rsidP="003F6A5D">
      <w:pPr>
        <w:widowControl w:val="0"/>
        <w:numPr>
          <w:ilvl w:val="0"/>
          <w:numId w:val="550"/>
        </w:numPr>
        <w:tabs>
          <w:tab w:val="left" w:pos="1134"/>
          <w:tab w:val="left" w:pos="7088"/>
        </w:tabs>
        <w:autoSpaceDE w:val="0"/>
        <w:autoSpaceDN w:val="0"/>
        <w:adjustRightInd w:val="0"/>
        <w:spacing w:line="264" w:lineRule="auto"/>
        <w:contextualSpacing/>
        <w:jc w:val="left"/>
        <w:rPr>
          <w:rFonts w:ascii="Arial" w:eastAsia="Calibri" w:hAnsi="Arial" w:cs="Arial"/>
          <w:bCs/>
          <w:szCs w:val="28"/>
          <w:lang w:val="uk-UA" w:bidi="uk-UA"/>
        </w:rPr>
      </w:pPr>
      <w:r w:rsidRPr="00511005">
        <w:rPr>
          <w:rFonts w:ascii="Arial" w:eastAsia="Calibri" w:hAnsi="Arial" w:cs="Arial"/>
          <w:bCs/>
          <w:szCs w:val="28"/>
          <w:lang w:val="uk-UA" w:bidi="uk-UA"/>
        </w:rPr>
        <w:t xml:space="preserve">Бєляєв С. В. Проблеми кримінального переслідування контрабанди в Україні. Юридичний вісник України, 2022, № 17. </w:t>
      </w:r>
    </w:p>
    <w:p w14:paraId="71340EFE" w14:textId="77777777" w:rsidR="00200E87" w:rsidRPr="00511005" w:rsidRDefault="00200E87" w:rsidP="003F6A5D">
      <w:pPr>
        <w:widowControl w:val="0"/>
        <w:numPr>
          <w:ilvl w:val="0"/>
          <w:numId w:val="550"/>
        </w:numPr>
        <w:tabs>
          <w:tab w:val="left" w:pos="1134"/>
          <w:tab w:val="left" w:pos="7088"/>
        </w:tabs>
        <w:autoSpaceDE w:val="0"/>
        <w:autoSpaceDN w:val="0"/>
        <w:adjustRightInd w:val="0"/>
        <w:spacing w:line="264" w:lineRule="auto"/>
        <w:contextualSpacing/>
        <w:jc w:val="left"/>
        <w:rPr>
          <w:rFonts w:ascii="Arial" w:eastAsia="Calibri" w:hAnsi="Arial" w:cs="Arial"/>
          <w:bCs/>
          <w:szCs w:val="28"/>
          <w:lang w:val="uk-UA" w:bidi="uk-UA"/>
        </w:rPr>
      </w:pPr>
      <w:r w:rsidRPr="00511005">
        <w:rPr>
          <w:rFonts w:ascii="Arial" w:eastAsia="Calibri" w:hAnsi="Arial" w:cs="Arial"/>
          <w:bCs/>
          <w:szCs w:val="28"/>
          <w:lang w:val="uk-UA" w:bidi="uk-UA"/>
        </w:rPr>
        <w:t xml:space="preserve">Романюк П. П. Контрабанда товарів та міжнародні стандарти боротьби з </w:t>
      </w:r>
      <w:r w:rsidRPr="00511005">
        <w:rPr>
          <w:rFonts w:ascii="Arial" w:eastAsia="Calibri" w:hAnsi="Arial" w:cs="Arial"/>
          <w:bCs/>
          <w:szCs w:val="28"/>
          <w:lang w:val="uk-UA" w:bidi="uk-UA"/>
        </w:rPr>
        <w:lastRenderedPageBreak/>
        <w:t xml:space="preserve">нею. Актуальні проблеми правознавства, 2023, № 2. </w:t>
      </w:r>
    </w:p>
    <w:p w14:paraId="75300B6C" w14:textId="77777777" w:rsidR="00200E87" w:rsidRPr="00511005" w:rsidRDefault="00200E87" w:rsidP="003F6A5D">
      <w:pPr>
        <w:widowControl w:val="0"/>
        <w:numPr>
          <w:ilvl w:val="0"/>
          <w:numId w:val="550"/>
        </w:numPr>
        <w:tabs>
          <w:tab w:val="left" w:pos="1134"/>
          <w:tab w:val="left" w:pos="7088"/>
        </w:tabs>
        <w:autoSpaceDE w:val="0"/>
        <w:autoSpaceDN w:val="0"/>
        <w:adjustRightInd w:val="0"/>
        <w:spacing w:line="264" w:lineRule="auto"/>
        <w:contextualSpacing/>
        <w:jc w:val="left"/>
        <w:rPr>
          <w:rFonts w:ascii="Arial" w:eastAsia="Calibri" w:hAnsi="Arial" w:cs="Arial"/>
          <w:bCs/>
          <w:szCs w:val="28"/>
          <w:lang w:val="uk-UA" w:bidi="uk-UA"/>
        </w:rPr>
      </w:pPr>
      <w:r w:rsidRPr="00511005">
        <w:rPr>
          <w:rFonts w:ascii="Arial" w:eastAsia="Calibri" w:hAnsi="Arial" w:cs="Arial"/>
          <w:bCs/>
          <w:szCs w:val="28"/>
          <w:lang w:val="uk-UA" w:bidi="uk-UA"/>
        </w:rPr>
        <w:t>Іщенко І. О. Кримінальна відповідальність за контрабанду товарів: проблеми кваліфікації. Часопис Академії адвокатури України, 2023, №</w:t>
      </w:r>
    </w:p>
    <w:p w14:paraId="4F3336D4" w14:textId="77777777" w:rsidR="00200E87" w:rsidRPr="00511005" w:rsidRDefault="00200E87" w:rsidP="003F6A5D">
      <w:pPr>
        <w:widowControl w:val="0"/>
        <w:numPr>
          <w:ilvl w:val="0"/>
          <w:numId w:val="550"/>
        </w:numPr>
        <w:tabs>
          <w:tab w:val="left" w:pos="1134"/>
          <w:tab w:val="left" w:pos="7088"/>
        </w:tabs>
        <w:autoSpaceDE w:val="0"/>
        <w:autoSpaceDN w:val="0"/>
        <w:adjustRightInd w:val="0"/>
        <w:spacing w:line="264" w:lineRule="auto"/>
        <w:contextualSpacing/>
        <w:jc w:val="left"/>
        <w:rPr>
          <w:rFonts w:ascii="Arial" w:eastAsia="Calibri" w:hAnsi="Arial" w:cs="Arial"/>
          <w:bCs/>
          <w:szCs w:val="28"/>
          <w:lang w:val="uk-UA" w:bidi="uk-UA"/>
        </w:rPr>
      </w:pPr>
      <w:r w:rsidRPr="00511005">
        <w:rPr>
          <w:rFonts w:ascii="Arial" w:eastAsia="Calibri" w:hAnsi="Arial" w:cs="Arial"/>
          <w:szCs w:val="28"/>
          <w:lang w:val="uk-UA"/>
        </w:rPr>
        <w:t xml:space="preserve">Кримінальний кодекс України : Закон України від 5 квіт. 2001 р. № 2341-III. URL: </w:t>
      </w:r>
      <w:r w:rsidR="005938AD">
        <w:fldChar w:fldCharType="begin"/>
      </w:r>
      <w:r w:rsidR="005938AD" w:rsidRPr="00055389">
        <w:rPr>
          <w:lang w:val="en-US"/>
        </w:rPr>
        <w:instrText xml:space="preserve"> HYPERLINK "https://zakon.rada.gov.ua/laws/show/2341-14" \l "Text" \t "_new" </w:instrText>
      </w:r>
      <w:r w:rsidR="005938AD">
        <w:fldChar w:fldCharType="separate"/>
      </w:r>
      <w:r w:rsidRPr="00511005">
        <w:rPr>
          <w:rFonts w:ascii="Arial" w:eastAsia="Calibri" w:hAnsi="Arial" w:cs="Arial"/>
          <w:szCs w:val="28"/>
          <w:lang w:val="uk-UA"/>
        </w:rPr>
        <w:t>https://zakon.rada.gov.ua/laws/show/2341-14#Text</w:t>
      </w:r>
      <w:r w:rsidR="005938AD">
        <w:rPr>
          <w:rFonts w:ascii="Arial" w:eastAsia="Calibri" w:hAnsi="Arial" w:cs="Arial"/>
          <w:szCs w:val="28"/>
          <w:lang w:val="uk-UA"/>
        </w:rPr>
        <w:fldChar w:fldCharType="end"/>
      </w:r>
      <w:r w:rsidRPr="00511005">
        <w:rPr>
          <w:rFonts w:ascii="Arial" w:eastAsia="Calibri" w:hAnsi="Arial" w:cs="Arial"/>
          <w:szCs w:val="28"/>
          <w:lang w:val="uk-UA"/>
        </w:rPr>
        <w:t xml:space="preserve"> </w:t>
      </w:r>
    </w:p>
    <w:p w14:paraId="7ACB41F2" w14:textId="77777777" w:rsidR="00200E87" w:rsidRPr="00511005" w:rsidRDefault="00200E87" w:rsidP="003A292D">
      <w:pPr>
        <w:widowControl w:val="0"/>
        <w:tabs>
          <w:tab w:val="left" w:pos="1134"/>
          <w:tab w:val="left" w:pos="7088"/>
        </w:tabs>
        <w:autoSpaceDE w:val="0"/>
        <w:autoSpaceDN w:val="0"/>
        <w:adjustRightInd w:val="0"/>
        <w:spacing w:line="264" w:lineRule="auto"/>
        <w:ind w:firstLine="0"/>
        <w:rPr>
          <w:rFonts w:ascii="Arial" w:eastAsia="Calibri" w:hAnsi="Arial" w:cs="Arial"/>
          <w:b/>
          <w:szCs w:val="28"/>
          <w:lang w:val="uk-UA" w:bidi="uk-UA"/>
        </w:rPr>
      </w:pPr>
    </w:p>
    <w:p w14:paraId="62ADE66F" w14:textId="2FB2173A" w:rsidR="00200E87" w:rsidRPr="00511005" w:rsidRDefault="007B2628" w:rsidP="003A292D">
      <w:pPr>
        <w:widowControl w:val="0"/>
        <w:tabs>
          <w:tab w:val="left" w:pos="1134"/>
          <w:tab w:val="left" w:pos="7088"/>
        </w:tabs>
        <w:autoSpaceDE w:val="0"/>
        <w:autoSpaceDN w:val="0"/>
        <w:adjustRightInd w:val="0"/>
        <w:spacing w:line="264" w:lineRule="auto"/>
        <w:ind w:firstLine="0"/>
        <w:rPr>
          <w:rFonts w:ascii="Arial" w:eastAsia="Calibri" w:hAnsi="Arial" w:cs="Arial"/>
          <w:bCs/>
          <w:szCs w:val="28"/>
          <w:lang w:val="uk-UA" w:bidi="uk-UA"/>
        </w:rPr>
      </w:pPr>
      <w:r w:rsidRPr="00511005">
        <w:rPr>
          <w:rFonts w:ascii="Arial" w:eastAsia="Calibri" w:hAnsi="Arial" w:cs="Arial"/>
          <w:b/>
          <w:i/>
          <w:szCs w:val="28"/>
          <w:lang w:val="uk-UA" w:bidi="uk-UA"/>
        </w:rPr>
        <w:t xml:space="preserve">Ключові слова: </w:t>
      </w:r>
      <w:r w:rsidR="00200E87" w:rsidRPr="00511005">
        <w:rPr>
          <w:rFonts w:ascii="Arial" w:eastAsia="Calibri" w:hAnsi="Arial" w:cs="Arial"/>
          <w:bCs/>
          <w:szCs w:val="28"/>
          <w:lang w:val="uk-UA" w:bidi="uk-UA"/>
        </w:rPr>
        <w:t xml:space="preserve">контрабанда, економічна безпека, кримінальна відповідальність, митний контроль, підроблені товари та документи, недекларування. </w:t>
      </w:r>
    </w:p>
    <w:p w14:paraId="446E248A" w14:textId="24401EDD" w:rsidR="00200E87" w:rsidRPr="00511005" w:rsidRDefault="007B2628" w:rsidP="003A292D">
      <w:pPr>
        <w:widowControl w:val="0"/>
        <w:tabs>
          <w:tab w:val="left" w:pos="1134"/>
          <w:tab w:val="left" w:pos="7088"/>
        </w:tabs>
        <w:autoSpaceDE w:val="0"/>
        <w:autoSpaceDN w:val="0"/>
        <w:adjustRightInd w:val="0"/>
        <w:spacing w:line="264" w:lineRule="auto"/>
        <w:ind w:firstLine="0"/>
        <w:rPr>
          <w:rFonts w:ascii="Arial" w:eastAsia="Calibri" w:hAnsi="Arial" w:cs="Arial"/>
          <w:b/>
          <w:bCs/>
          <w:szCs w:val="28"/>
          <w:lang w:val="en-US"/>
        </w:rPr>
      </w:pPr>
      <w:r w:rsidRPr="00511005">
        <w:rPr>
          <w:rFonts w:ascii="Arial" w:eastAsia="Calibri" w:hAnsi="Arial" w:cs="Arial"/>
          <w:b/>
          <w:bCs/>
          <w:i/>
          <w:szCs w:val="28"/>
          <w:lang w:val="en-US"/>
        </w:rPr>
        <w:t xml:space="preserve">Key words: </w:t>
      </w:r>
      <w:r w:rsidR="00200E87" w:rsidRPr="00511005">
        <w:rPr>
          <w:rFonts w:ascii="Arial" w:eastAsia="Calibri" w:hAnsi="Arial" w:cs="Arial"/>
          <w:szCs w:val="28"/>
          <w:lang w:val="en-US"/>
        </w:rPr>
        <w:t>smuggling, economic security, criminal liability, customs control, counterfeit goods and documents, failure to declare.</w:t>
      </w:r>
    </w:p>
    <w:p w14:paraId="507C9168" w14:textId="77777777" w:rsidR="00200E87" w:rsidRPr="00511005" w:rsidRDefault="00200E87" w:rsidP="003A292D">
      <w:pPr>
        <w:spacing w:line="264" w:lineRule="auto"/>
        <w:ind w:firstLine="0"/>
        <w:rPr>
          <w:rFonts w:ascii="Arial" w:eastAsia="Calibri" w:hAnsi="Arial" w:cs="Arial"/>
          <w:i/>
          <w:iCs/>
          <w:szCs w:val="28"/>
          <w:lang w:val="uk-UA"/>
        </w:rPr>
      </w:pPr>
    </w:p>
    <w:p w14:paraId="55E3235D" w14:textId="3CE87382" w:rsidR="00200E87"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200E87" w:rsidRPr="00511005">
        <w:rPr>
          <w:rFonts w:ascii="Arial" w:eastAsia="Calibri" w:hAnsi="Arial" w:cs="Arial"/>
          <w:i/>
          <w:iCs/>
          <w:szCs w:val="28"/>
          <w:lang w:val="uk-UA"/>
        </w:rPr>
        <w:t>к.ю.н., доцент Хильченко А.С.</w:t>
      </w:r>
    </w:p>
    <w:p w14:paraId="3CA41FF6" w14:textId="7F6B031E" w:rsidR="00550C73" w:rsidRPr="00511005" w:rsidRDefault="00550C73" w:rsidP="003A292D">
      <w:pPr>
        <w:spacing w:line="264" w:lineRule="auto"/>
        <w:ind w:firstLine="0"/>
        <w:rPr>
          <w:rFonts w:ascii="Arial" w:eastAsia="Calibri" w:hAnsi="Arial" w:cs="Arial"/>
          <w:i/>
          <w:iCs/>
          <w:szCs w:val="28"/>
          <w:lang w:val="uk-UA"/>
        </w:rPr>
      </w:pPr>
    </w:p>
    <w:p w14:paraId="4763A589" w14:textId="77777777" w:rsidR="00550C73" w:rsidRPr="00511005" w:rsidRDefault="00550C73" w:rsidP="003A292D">
      <w:pPr>
        <w:spacing w:line="264" w:lineRule="auto"/>
        <w:ind w:firstLine="0"/>
        <w:rPr>
          <w:rFonts w:ascii="Arial" w:eastAsia="Calibri" w:hAnsi="Arial" w:cs="Arial"/>
          <w:i/>
          <w:iCs/>
          <w:szCs w:val="28"/>
          <w:lang w:val="uk-UA"/>
        </w:rPr>
      </w:pPr>
    </w:p>
    <w:p w14:paraId="05D085CC" w14:textId="77777777" w:rsidR="00200E87" w:rsidRPr="00511005" w:rsidRDefault="00200E87" w:rsidP="004A03EB">
      <w:pPr>
        <w:spacing w:line="264" w:lineRule="auto"/>
        <w:ind w:right="-2" w:firstLine="0"/>
        <w:jc w:val="center"/>
        <w:rPr>
          <w:rFonts w:ascii="Arial" w:eastAsia="Calibri" w:hAnsi="Arial" w:cs="Arial"/>
          <w:b/>
          <w:i/>
          <w:szCs w:val="28"/>
          <w:lang w:val="uk-UA"/>
        </w:rPr>
      </w:pPr>
      <w:bookmarkStart w:id="217" w:name="_Hlk193635577"/>
      <w:r w:rsidRPr="00511005">
        <w:rPr>
          <w:rFonts w:ascii="Arial" w:eastAsia="Calibri" w:hAnsi="Arial" w:cs="Arial"/>
          <w:b/>
          <w:i/>
          <w:szCs w:val="28"/>
          <w:lang w:val="uk-UA"/>
        </w:rPr>
        <w:t>Черняк Андрій Юрійович</w:t>
      </w:r>
    </w:p>
    <w:bookmarkEnd w:id="217"/>
    <w:p w14:paraId="0D806DC6" w14:textId="62A0F46E"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3-го курсу </w:t>
      </w:r>
    </w:p>
    <w:p w14:paraId="12FFEE25"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F5FB12B"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0A7BDC8" w14:textId="77777777" w:rsidR="00200E87" w:rsidRPr="00511005" w:rsidRDefault="00200E87" w:rsidP="003A292D">
      <w:pPr>
        <w:spacing w:line="264" w:lineRule="auto"/>
        <w:ind w:firstLine="0"/>
        <w:jc w:val="center"/>
        <w:rPr>
          <w:rFonts w:ascii="Arial" w:eastAsia="Calibri" w:hAnsi="Arial" w:cs="Arial"/>
          <w:bCs/>
          <w:i/>
          <w:szCs w:val="28"/>
          <w:lang w:val="uk-UA"/>
        </w:rPr>
      </w:pPr>
    </w:p>
    <w:p w14:paraId="6E2891AC" w14:textId="77777777" w:rsidR="00200E87" w:rsidRPr="00511005" w:rsidRDefault="00200E87" w:rsidP="003A292D">
      <w:pPr>
        <w:spacing w:line="264" w:lineRule="auto"/>
        <w:ind w:firstLine="0"/>
        <w:jc w:val="center"/>
        <w:rPr>
          <w:rFonts w:ascii="Arial" w:eastAsia="Calibri" w:hAnsi="Arial" w:cs="Arial"/>
          <w:b/>
          <w:iCs/>
          <w:szCs w:val="28"/>
          <w:lang w:val="uk-UA"/>
        </w:rPr>
      </w:pPr>
      <w:r w:rsidRPr="00511005">
        <w:rPr>
          <w:rFonts w:ascii="Arial" w:eastAsia="Calibri" w:hAnsi="Arial" w:cs="Arial"/>
          <w:b/>
          <w:iCs/>
          <w:szCs w:val="28"/>
        </w:rPr>
        <w:t>АНТИНАРКОТИЧНА ПОЛІТИКА: МІЖНАРОДНИЙ ДОСВІД ТА МОЖЛИВІСТЬ ВПРОВАДЖЕННЯ В</w:t>
      </w:r>
      <w:r w:rsidRPr="00511005">
        <w:rPr>
          <w:rFonts w:ascii="Arial" w:eastAsia="Calibri" w:hAnsi="Arial" w:cs="Arial"/>
          <w:b/>
          <w:iCs/>
          <w:szCs w:val="28"/>
          <w:lang w:val="uk-UA"/>
        </w:rPr>
        <w:t xml:space="preserve"> УКРАЇНІ</w:t>
      </w:r>
    </w:p>
    <w:p w14:paraId="2569629B" w14:textId="77777777" w:rsidR="00200E87" w:rsidRPr="00511005" w:rsidRDefault="00200E87" w:rsidP="003A292D">
      <w:pPr>
        <w:spacing w:line="264" w:lineRule="auto"/>
        <w:ind w:firstLine="0"/>
        <w:jc w:val="center"/>
        <w:rPr>
          <w:rFonts w:ascii="Arial" w:eastAsia="Calibri" w:hAnsi="Arial" w:cs="Arial"/>
          <w:b/>
          <w:iCs/>
          <w:szCs w:val="28"/>
          <w:lang w:val="uk-UA"/>
        </w:rPr>
      </w:pPr>
    </w:p>
    <w:p w14:paraId="56F8962B" w14:textId="77777777" w:rsidR="00200E87" w:rsidRPr="00511005" w:rsidRDefault="00200E87" w:rsidP="003A292D">
      <w:pPr>
        <w:spacing w:line="264" w:lineRule="auto"/>
        <w:ind w:firstLine="0"/>
        <w:rPr>
          <w:rFonts w:ascii="Arial" w:eastAsia="Calibri" w:hAnsi="Arial" w:cs="Arial"/>
          <w:bCs/>
          <w:szCs w:val="28"/>
          <w:lang w:val="uk-UA"/>
        </w:rPr>
      </w:pPr>
      <w:bookmarkStart w:id="218" w:name="_Hlk194132533"/>
      <w:r w:rsidRPr="00511005">
        <w:rPr>
          <w:rFonts w:ascii="Arial" w:eastAsia="Calibri" w:hAnsi="Arial" w:cs="Arial"/>
          <w:bCs/>
          <w:szCs w:val="28"/>
          <w:lang w:val="uk-UA"/>
        </w:rPr>
        <w:t>Проблема вживання та незаконного обігу наркотичних засобів є однією з найактуальніших у сучасному світі. Традиційні підходи протидії наркотичній злочинності, які ґрунтуються на застосуванні кримінально-правових заходів, піддаються критиці через їхню низьку ефективність. У багатьох європейських країнах спостерігається перехід до альтернативних заходів правового впливу та декриміналізації кримінальних правопорушень у сфері обігу наркотичних засобів. В умовах євроінтеграції в Україні все частіше постає питання про доцільність унаслідування таких практик. Однак, для нашої країни декриміналізація цих правопорушень може стати негативним досвідом.</w:t>
      </w:r>
    </w:p>
    <w:bookmarkEnd w:id="218"/>
    <w:p w14:paraId="19A5E2DD" w14:textId="77777777" w:rsidR="00200E87" w:rsidRPr="00511005" w:rsidRDefault="00200E87" w:rsidP="003A292D">
      <w:pPr>
        <w:spacing w:line="264" w:lineRule="auto"/>
        <w:ind w:firstLine="0"/>
        <w:rPr>
          <w:rFonts w:ascii="Arial" w:eastAsia="Calibri" w:hAnsi="Arial" w:cs="Arial"/>
          <w:b/>
          <w:szCs w:val="28"/>
          <w:lang w:val="uk-UA"/>
        </w:rPr>
      </w:pPr>
      <w:r w:rsidRPr="00511005">
        <w:rPr>
          <w:rFonts w:ascii="Arial" w:eastAsia="Calibri" w:hAnsi="Arial" w:cs="Arial"/>
          <w:bCs/>
          <w:szCs w:val="28"/>
          <w:lang w:val="uk-UA"/>
        </w:rPr>
        <w:t>Найвідомішою моделлю декриміналізції наркотичних засобів є Португальська модель. У 1999 році, країна прийняла революційний закон, який декриміналізовував зберігання, вживання та купівлю наркотиків. Рішення про його прийняття насамперед зумовлювалося катастрофічною ситуацією, пов’язаною з поширенням наркотичних засобів та високим рівнем залежністю від них серед населення.</w:t>
      </w:r>
      <w:r w:rsidRPr="00511005">
        <w:rPr>
          <w:rFonts w:ascii="Arial" w:eastAsia="Calibri" w:hAnsi="Arial" w:cs="Arial"/>
          <w:b/>
          <w:szCs w:val="28"/>
          <w:lang w:val="uk-UA"/>
        </w:rPr>
        <w:t xml:space="preserve"> </w:t>
      </w:r>
      <w:r w:rsidRPr="00511005">
        <w:rPr>
          <w:rFonts w:ascii="Arial" w:eastAsia="Calibri" w:hAnsi="Arial" w:cs="Arial"/>
          <w:bCs/>
          <w:szCs w:val="28"/>
          <w:lang w:val="uk-UA"/>
        </w:rPr>
        <w:t xml:space="preserve">Кожен сотий дорослий португалець страждав від залежності, а смертність від передозування та хвороб, пов’язаних з наркотиками, була надзвичайно високою </w:t>
      </w:r>
      <w:r w:rsidRPr="00511005">
        <w:rPr>
          <w:rFonts w:ascii="Arial" w:eastAsia="Calibri" w:hAnsi="Arial" w:cs="Arial"/>
          <w:bCs/>
          <w:szCs w:val="28"/>
        </w:rPr>
        <w:t>[2, с. 630]</w:t>
      </w:r>
      <w:r w:rsidRPr="00511005">
        <w:rPr>
          <w:rFonts w:ascii="Arial" w:eastAsia="Calibri" w:hAnsi="Arial" w:cs="Arial"/>
          <w:bCs/>
          <w:szCs w:val="28"/>
          <w:lang w:val="uk-UA"/>
        </w:rPr>
        <w:t>.</w:t>
      </w:r>
      <w:r w:rsidRPr="00511005">
        <w:rPr>
          <w:rFonts w:ascii="Arial" w:eastAsia="Calibri" w:hAnsi="Arial" w:cs="Arial"/>
          <w:b/>
          <w:szCs w:val="28"/>
          <w:lang w:val="uk-UA"/>
        </w:rPr>
        <w:t xml:space="preserve"> </w:t>
      </w:r>
      <w:r w:rsidRPr="00511005">
        <w:rPr>
          <w:rFonts w:ascii="Arial" w:eastAsia="Calibri" w:hAnsi="Arial" w:cs="Arial"/>
          <w:bCs/>
          <w:szCs w:val="28"/>
          <w:lang w:val="uk-UA"/>
        </w:rPr>
        <w:t xml:space="preserve">З кожним роком, виходячи з такої ситуації в країні, дедалі більше людей опинялися за </w:t>
      </w:r>
      <w:r w:rsidRPr="00511005">
        <w:rPr>
          <w:rFonts w:ascii="Arial" w:eastAsia="Calibri" w:hAnsi="Arial" w:cs="Arial"/>
          <w:bCs/>
          <w:szCs w:val="28"/>
          <w:lang w:val="uk-UA"/>
        </w:rPr>
        <w:lastRenderedPageBreak/>
        <w:t>ґратами за злочини, які пов'язані з наркотиками. Португальський уряд, усвідомлюючи неефективність правоохоронної системи та каральних заходів, вирішив застосувати більш гуманний та прагматичний підхід до подолання наркозалежності.</w:t>
      </w:r>
    </w:p>
    <w:p w14:paraId="0BFCF9B3"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Прийнятий закон встановлював, що особа, яка була затримана з наркотиками, більше не підлягатиме кримінальній відповідальності, а направлятиметься на лікування та реабілітацію. Виходячи з норм закону, левова частина бюджету спрямовувалася на інвестування програм зі зменшення шкоди: почався обмін шприців та замісна терапія, а також соціальні програми, які спрямовувалися на профілактику та лікування залежності. Наслідками впровадження такої політики стали: зменшення кількості людей, які вживають важкі наркотики, зниження рівня захворюваності на ВІЛ/СНІД та кількості смертей від передозування, а також значне скорочення кількості людей, ув’язнених за злочини, пов’язані з наркотиками [4, с. 630].</w:t>
      </w:r>
    </w:p>
    <w:p w14:paraId="03041176"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Наступною країною, яка завдяки політиці «Federal Office of Public Health» у сфері незаконного обігу наркотиків майже змогла подолати проблему наркотизму, є – Швейцарія.</w:t>
      </w:r>
      <w:r w:rsidRPr="00511005">
        <w:rPr>
          <w:rFonts w:ascii="Arial" w:eastAsia="Calibri" w:hAnsi="Arial" w:cs="Arial"/>
          <w:b/>
          <w:szCs w:val="28"/>
          <w:lang w:val="uk-UA"/>
        </w:rPr>
        <w:t xml:space="preserve"> </w:t>
      </w:r>
      <w:r w:rsidRPr="00511005">
        <w:rPr>
          <w:rFonts w:ascii="Arial" w:eastAsia="Calibri" w:hAnsi="Arial" w:cs="Arial"/>
          <w:bCs/>
          <w:szCs w:val="28"/>
          <w:lang w:val="uk-UA"/>
        </w:rPr>
        <w:t>Її політика базується на чотирьох принципах, які дозволяють охопити всі аспекти запобігання і протидії незаконному обігу наркотичних засобів.</w:t>
      </w:r>
    </w:p>
    <w:p w14:paraId="4E1E8FA4"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1. Принцип профілактики. Швейцарія активно здійснює інвестування в програми профілактики наркозалежності, особливо серед молодого населення. Цей принцип спрямовується на інформування щодо наслідків вживання наркотиків, формування здорового способу життя та розвиток альтернативних форм дозвілля.</w:t>
      </w:r>
    </w:p>
    <w:p w14:paraId="05797421"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 xml:space="preserve">2. Принцип лікування. Він охоплює досить-таки широкий спектр послуг, а саме: лікування від наркозалежності, яке включає в себе терапію, допомогу психологів та реабілітацію. Особливий акцент робиться на індивідуальному підході до кожного пацієнта та створенні сприятливих умов для успішної реінтеграції у повноцінне життя. </w:t>
      </w:r>
    </w:p>
    <w:p w14:paraId="1F68CF89"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 xml:space="preserve">3. Принцип зменшення шкоди від вживання наркотиків шляхом впровадження програм обміну шприців та розширення мережі пунктів, де споживання наркотиків відбувається у безпечних умовах. Ці заходи спрямовані на зниження негативного впливу наркотиків на здоров’я людей і суспільство загалом. </w:t>
      </w:r>
    </w:p>
    <w:p w14:paraId="12EE816E"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4. Принцип зосереджений на правоохоронних заходах, спрямованих на боротьбу з незаконним обігом наркотиків та діяльністю злочинних організацій. Важливо зазначити, що Швейцарія відмовилася від надмірно жорстких покарань за вживання наркотиків, надаючи пріоритет лікуванню та реабілітації. Швейцарська модель протидії наркозлочинності базується на збалансованому підході, який поєднує профілактичні, лікувальні та правоохоронні заходи.</w:t>
      </w:r>
    </w:p>
    <w:p w14:paraId="62E81773"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lastRenderedPageBreak/>
        <w:t>Крім того, Швейцарія активно використовує наукові дослідження для оцінки ефективності своєї політики та постійно адаптує її відповідно до сучасних викликів. Важливу роль у боротьбі з наркозлочинністю відіграє міжнародне співробітництво, що дозволяє країні впроваджувати найкращі світові практики.</w:t>
      </w:r>
    </w:p>
    <w:p w14:paraId="7CD88358"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Досвід Швейцарії демонструє, що комплексний та прагматичний підхід, заснований на наукових дослідженнях і врахуванні інтересів усіх зацікавлених сторін, може дати позитивні результати у сфері протидії наркозлочинності та зменшення шкоди від вживання наркотиків [4, с. 631].</w:t>
      </w:r>
    </w:p>
    <w:p w14:paraId="1933CEBE"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 xml:space="preserve">У самій же Україні Розділ XIII Особливої частини Кримінального кодексу передбачає відповідальність за кримінальні правопорушення, пов’язані з обігом наркотичних засобів, психотропних речовин та їх аналогів. Він є один найбільш застосовуваних у правозастосувальній практиці, що може свідчити про значні масштаби незаконного обігу наркотиків та збільшення попиту на них. Це, у свою чергу, сприяє зростанню інтересу до аналізу причин поширення цих кримінальних правопорушень та можливості їх декриміналазіції в майбутньому. </w:t>
      </w:r>
    </w:p>
    <w:p w14:paraId="738F0797"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У багатьох країнах наркозалежних вважають хворими та застосовують до них лікування й різні заходи реабілітації. В Україні ж, навпаки, спостерігається доволі суворе покарання. Наприклад, ст. 309 КК України «</w:t>
      </w:r>
      <w:r w:rsidRPr="00511005">
        <w:rPr>
          <w:rFonts w:ascii="Arial" w:eastAsia="Calibri" w:hAnsi="Arial" w:cs="Arial"/>
          <w:bCs/>
          <w:szCs w:val="28"/>
          <w:shd w:val="clear" w:color="auto" w:fill="FFFFFF"/>
          <w:lang w:val="uk-UA"/>
        </w:rPr>
        <w:t>Незаконне виробництво, виготовлення, придбання, зберігання, перевезення чи пересилання наркотичних засобів, психотропних речовин або їх аналогів без мети збуту»</w:t>
      </w:r>
      <w:r w:rsidRPr="00511005">
        <w:rPr>
          <w:rFonts w:ascii="Arial" w:eastAsia="Calibri" w:hAnsi="Arial" w:cs="Arial"/>
          <w:bCs/>
          <w:szCs w:val="28"/>
          <w:lang w:val="uk-UA"/>
        </w:rPr>
        <w:t>, передбачає максимальне покарання аж до восьми років позбавлення волі. Окрім того поріг кількості наркотичних засобів, за перевищення якого особа буде підлягати кримінальній відповідальності в Україні набагато нижче, ніж в інших країнах. Наприклад, якщо порівняти марихуану, то в Україні кримінальна відповідальність настає вже при зберігання 5 грамів [1], тоді як в Португалії цей поріг становить 15, а у Швейцарії – 30.</w:t>
      </w:r>
    </w:p>
    <w:p w14:paraId="51233161"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Такий підхід є кардинально неправильним, адже наркозалежні – це хворі люди, а не злочинці. Європейські країни спрямовують свої зусилля не на боротьбу зі споживачами, а безпосередньо з наркобізнесом, усвідомлюючи, що кримінальне переслідування самих споживачів є неефективним. Українські правоохоронці, в свою чергу, нерідко допускають ганебну практику «кришування» наркоторговців та позбавляють волі їхніх клієнтів, спричинюючи зростання тіньового наркобізнесу та поширенню наркоманії в цілому [3, с. 664].</w:t>
      </w:r>
    </w:p>
    <w:p w14:paraId="4E2A2417"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 xml:space="preserve">Виходячи з численних наукових досліджень, також можна стверджувати, що алкоголь, який знаходиться у вільному доступі для повнолітнього населення, несе більш згубний вплив, ніж лекий наркотик, який у певному дозуванні країни Європи вже використовують для того, щоб здійснювати лікування депресії, постравматичного синдрому, епілепсії. </w:t>
      </w:r>
    </w:p>
    <w:p w14:paraId="41B755A1"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lastRenderedPageBreak/>
        <w:t>Посилаючись на статистичні дані Офісу Генеральної прокуратури України за 2020 рік, можна побачити, що близько 1000 випадків домашнього насильства були вчиненні в стані алкогольного сп’яніння, і лише три – із вживанням наркотиків. Крім того, 526 умисних тяжких тілесних ушкоджень були заподіянні під впливом алкогольних напоїв, і лише два – у стані наркотичного сп’яніння. І це ще не все: ДТП, крадіжки, вбивства – найчастіше трапляються саме через вплив алкоголю. Виникає логічне питання: якщо алкоголь є легальним, то чому не можна легалізувати легкий наркотик, особливо враховуючи його потенційні медичні переваги та значно нижчий рівень суспільної загрози? Здійснивши легалізацію,</w:t>
      </w:r>
      <w:r w:rsidRPr="00511005">
        <w:rPr>
          <w:rFonts w:ascii="Arial" w:eastAsia="Calibri" w:hAnsi="Arial" w:cs="Arial"/>
          <w:b/>
          <w:szCs w:val="28"/>
          <w:lang w:val="uk-UA"/>
        </w:rPr>
        <w:t xml:space="preserve"> </w:t>
      </w:r>
      <w:r w:rsidRPr="00511005">
        <w:rPr>
          <w:rFonts w:ascii="Arial" w:eastAsia="Calibri" w:hAnsi="Arial" w:cs="Arial"/>
          <w:bCs/>
          <w:szCs w:val="28"/>
          <w:lang w:val="uk-UA"/>
        </w:rPr>
        <w:t xml:space="preserve">можна буде вивести наркоринок з тіні, зробити прозорий механізм контролю і створити гуманне законодавство щодо тяжко хворих людей </w:t>
      </w:r>
      <w:r w:rsidRPr="00511005">
        <w:rPr>
          <w:rFonts w:ascii="Arial" w:eastAsia="Calibri" w:hAnsi="Arial" w:cs="Arial"/>
          <w:bCs/>
          <w:szCs w:val="28"/>
        </w:rPr>
        <w:t>[3</w:t>
      </w:r>
      <w:r w:rsidRPr="00511005">
        <w:rPr>
          <w:rFonts w:ascii="Arial" w:eastAsia="Calibri" w:hAnsi="Arial" w:cs="Arial"/>
          <w:bCs/>
          <w:szCs w:val="28"/>
          <w:lang w:val="uk-UA"/>
        </w:rPr>
        <w:t>, с. 664</w:t>
      </w:r>
      <w:r w:rsidRPr="00511005">
        <w:rPr>
          <w:rFonts w:ascii="Arial" w:eastAsia="Calibri" w:hAnsi="Arial" w:cs="Arial"/>
          <w:bCs/>
          <w:szCs w:val="28"/>
        </w:rPr>
        <w:t>].</w:t>
      </w:r>
    </w:p>
    <w:p w14:paraId="315CE212" w14:textId="77777777" w:rsidR="00200E87" w:rsidRPr="00511005" w:rsidRDefault="00200E87"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На підставі аналізу вищевикладеного матеріалу можна дійти висновку, що саме легалізація легких наркотиків є доцільним кроком у напрямі гуманізації державної політики щодо обігу наркотичних засобів. Досвід таких країн, як Португалія та Швейцарія, переконливо демонструє, що декриміналізація наркотиків може стати ефективною стратегією боротьби з наркозалежністю, сприяти зниженню рівня захворюваності на імунодефіцитні хвороби, а також розвантажити правоохоронні та пенітенціарні системи. В умовах воєнного стану в Україні, коли ресурси держави максимально сконцентровані на обороні та відновленні, декриміналізація саме легких наркотиів, зокрема канабісу, видається найбільш обгрунтованим кроком. Це дозволить вивести обіг з тіні, створити прозорий механізм контролю за якістю продукції, наповнити бюджет за рахунок оподаткуванн нової галузі, а також зосередити зусилля правоохоронців саме на боротьбі з організованим наркобізнесом. Окрім того, легалізація відкриє нові можливості для медичної та фармацевтичної галузей, сприятиме впровадженню сучасних підходів до лікування низки захворювань та стане вагомим кроком на шляху до гуманізаці українського законодавства у сфері обігу наркотичних засобів. Таким чином легалізація саме легкого наркотику є раціональним, виваженим і своєчасним рішенням, що відповідає як сучасним викликам, так і кращим світовим практикам.</w:t>
      </w:r>
    </w:p>
    <w:p w14:paraId="5359AB8C" w14:textId="77777777" w:rsidR="00200E87" w:rsidRPr="00511005" w:rsidRDefault="00200E87" w:rsidP="003A292D">
      <w:pPr>
        <w:spacing w:line="264" w:lineRule="auto"/>
        <w:ind w:firstLine="0"/>
        <w:rPr>
          <w:rFonts w:ascii="Arial" w:eastAsia="Calibri" w:hAnsi="Arial" w:cs="Arial"/>
          <w:bCs/>
          <w:szCs w:val="28"/>
          <w:lang w:val="uk-UA"/>
        </w:rPr>
      </w:pPr>
    </w:p>
    <w:p w14:paraId="3216FFFD" w14:textId="38F35937" w:rsidR="00200E8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767567E" w14:textId="77777777" w:rsidR="00200E87" w:rsidRPr="00511005" w:rsidRDefault="00200E87" w:rsidP="003F6A5D">
      <w:pPr>
        <w:numPr>
          <w:ilvl w:val="0"/>
          <w:numId w:val="551"/>
        </w:numPr>
        <w:spacing w:line="264" w:lineRule="auto"/>
        <w:contextualSpacing/>
        <w:jc w:val="left"/>
        <w:rPr>
          <w:rFonts w:ascii="Arial" w:eastAsia="Calibri" w:hAnsi="Arial" w:cs="Arial"/>
          <w:bCs/>
          <w:szCs w:val="28"/>
          <w:lang w:val="pl-PL"/>
        </w:rPr>
      </w:pPr>
      <w:r w:rsidRPr="00511005">
        <w:rPr>
          <w:rFonts w:ascii="Arial" w:eastAsia="Calibri" w:hAnsi="Arial" w:cs="Arial"/>
          <w:bCs/>
          <w:szCs w:val="28"/>
          <w:lang w:val="uk-UA"/>
        </w:rPr>
        <w:t>Про затвердження таблиць невеликих, великих та особливо великих розмірів наркотичних засобів, психотропних речовин і прекурсорів, які знаходяться у незаконному обігу</w:t>
      </w:r>
      <w:r w:rsidRPr="00511005">
        <w:rPr>
          <w:rFonts w:ascii="Arial" w:eastAsia="Calibri" w:hAnsi="Arial" w:cs="Arial"/>
          <w:bCs/>
          <w:szCs w:val="28"/>
        </w:rPr>
        <w:t xml:space="preserve">: </w:t>
      </w:r>
      <w:r w:rsidRPr="00511005">
        <w:rPr>
          <w:rFonts w:ascii="Arial" w:eastAsia="Calibri" w:hAnsi="Arial" w:cs="Arial"/>
          <w:bCs/>
          <w:szCs w:val="28"/>
          <w:lang w:val="uk-UA"/>
        </w:rPr>
        <w:t xml:space="preserve">Наказ Міністерства охорони здоров’я від 01 серпня 2000 року №188. </w:t>
      </w:r>
      <w:r w:rsidRPr="00511005">
        <w:rPr>
          <w:rFonts w:ascii="Arial" w:eastAsia="Calibri" w:hAnsi="Arial" w:cs="Arial"/>
          <w:bCs/>
          <w:szCs w:val="28"/>
          <w:lang w:val="pl-PL"/>
        </w:rPr>
        <w:t>URL</w:t>
      </w:r>
      <w:r w:rsidRPr="00511005">
        <w:rPr>
          <w:rFonts w:ascii="Arial" w:eastAsia="Calibri" w:hAnsi="Arial" w:cs="Arial"/>
          <w:bCs/>
          <w:szCs w:val="28"/>
          <w:lang w:val="uk-UA"/>
        </w:rPr>
        <w:t xml:space="preserve">: </w:t>
      </w:r>
      <w:r w:rsidR="005938AD">
        <w:fldChar w:fldCharType="begin"/>
      </w:r>
      <w:r w:rsidR="005938AD" w:rsidRPr="00055389">
        <w:rPr>
          <w:lang w:val="en-US"/>
        </w:rPr>
        <w:instrText xml:space="preserve"> HYPERLINK "https://zakon.rada.gov.ua/laws/show/z0512-00" \l "Text" </w:instrText>
      </w:r>
      <w:r w:rsidR="005938AD">
        <w:fldChar w:fldCharType="separate"/>
      </w:r>
      <w:r w:rsidRPr="00511005">
        <w:rPr>
          <w:rFonts w:ascii="Arial" w:eastAsia="Calibri" w:hAnsi="Arial" w:cs="Arial"/>
          <w:bCs/>
          <w:szCs w:val="28"/>
          <w:lang w:val="uk-UA"/>
        </w:rPr>
        <w:t>https://zakon.rada.gov.ua/laws/show/z0512-00#Text</w:t>
      </w:r>
      <w:r w:rsidR="005938AD">
        <w:rPr>
          <w:rFonts w:ascii="Arial" w:eastAsia="Calibri" w:hAnsi="Arial" w:cs="Arial"/>
          <w:bCs/>
          <w:szCs w:val="28"/>
          <w:lang w:val="uk-UA"/>
        </w:rPr>
        <w:fldChar w:fldCharType="end"/>
      </w:r>
      <w:r w:rsidRPr="00511005">
        <w:rPr>
          <w:rFonts w:ascii="Arial" w:eastAsia="Calibri" w:hAnsi="Arial" w:cs="Arial"/>
          <w:bCs/>
          <w:szCs w:val="28"/>
          <w:lang w:val="pl-PL"/>
        </w:rPr>
        <w:t>.</w:t>
      </w:r>
    </w:p>
    <w:p w14:paraId="7B4E68A4" w14:textId="77777777" w:rsidR="007B2628" w:rsidRPr="00511005" w:rsidRDefault="00200E87" w:rsidP="003F6A5D">
      <w:pPr>
        <w:numPr>
          <w:ilvl w:val="0"/>
          <w:numId w:val="551"/>
        </w:numPr>
        <w:spacing w:line="264" w:lineRule="auto"/>
        <w:contextualSpacing/>
        <w:jc w:val="left"/>
        <w:rPr>
          <w:rFonts w:ascii="Arial" w:eastAsia="Calibri" w:hAnsi="Arial" w:cs="Arial"/>
          <w:bCs/>
          <w:szCs w:val="28"/>
          <w:lang w:val="en-US"/>
        </w:rPr>
      </w:pPr>
      <w:r w:rsidRPr="00511005">
        <w:rPr>
          <w:rFonts w:ascii="Arial" w:eastAsia="Calibri" w:hAnsi="Arial" w:cs="Arial"/>
          <w:bCs/>
          <w:szCs w:val="28"/>
          <w:lang w:val="uk-UA"/>
        </w:rPr>
        <w:t xml:space="preserve">Транснаціональний вимір наркозлочинності в умовах воєнного стану: національна платформа та зарубіжний досвід, Юзікова Н.С., 2024., №10, С. 628–631. </w:t>
      </w:r>
      <w:r w:rsidRPr="00511005">
        <w:rPr>
          <w:rFonts w:ascii="Arial" w:eastAsia="Calibri" w:hAnsi="Arial" w:cs="Arial"/>
          <w:bCs/>
          <w:szCs w:val="28"/>
          <w:lang w:val="en-US"/>
        </w:rPr>
        <w:t>URL</w:t>
      </w:r>
      <w:r w:rsidRPr="00511005">
        <w:rPr>
          <w:rFonts w:ascii="Arial" w:eastAsia="Calibri" w:hAnsi="Arial" w:cs="Arial"/>
          <w:bCs/>
          <w:szCs w:val="28"/>
          <w:lang w:val="uk-UA"/>
        </w:rPr>
        <w:t xml:space="preserve">: </w:t>
      </w:r>
      <w:hyperlink r:id="rId1914" w:history="1">
        <w:r w:rsidRPr="00511005">
          <w:rPr>
            <w:rFonts w:ascii="Arial" w:eastAsia="Calibri" w:hAnsi="Arial" w:cs="Arial"/>
            <w:bCs/>
            <w:szCs w:val="28"/>
            <w:lang w:val="uk-UA"/>
          </w:rPr>
          <w:t>http://lsej.org.ua/10_2024/151.pdf</w:t>
        </w:r>
      </w:hyperlink>
      <w:r w:rsidRPr="00511005">
        <w:rPr>
          <w:rFonts w:ascii="Arial" w:eastAsia="Calibri" w:hAnsi="Arial" w:cs="Arial"/>
          <w:bCs/>
          <w:szCs w:val="28"/>
          <w:lang w:val="uk-UA"/>
        </w:rPr>
        <w:t>.</w:t>
      </w:r>
    </w:p>
    <w:p w14:paraId="1C70375A" w14:textId="14E39EC3" w:rsidR="00200E87" w:rsidRPr="00511005" w:rsidRDefault="00200E87" w:rsidP="003F6A5D">
      <w:pPr>
        <w:numPr>
          <w:ilvl w:val="0"/>
          <w:numId w:val="551"/>
        </w:numPr>
        <w:spacing w:line="264" w:lineRule="auto"/>
        <w:contextualSpacing/>
        <w:jc w:val="left"/>
        <w:rPr>
          <w:rFonts w:ascii="Arial" w:eastAsia="Calibri" w:hAnsi="Arial" w:cs="Arial"/>
          <w:bCs/>
          <w:szCs w:val="28"/>
        </w:rPr>
      </w:pPr>
      <w:r w:rsidRPr="00511005">
        <w:rPr>
          <w:rFonts w:ascii="Arial" w:eastAsia="Calibri" w:hAnsi="Arial" w:cs="Arial"/>
          <w:bCs/>
          <w:szCs w:val="28"/>
          <w:lang w:val="uk-UA"/>
        </w:rPr>
        <w:lastRenderedPageBreak/>
        <w:t xml:space="preserve">Проблема легалізації наркотичних засобів у кримінальному праві України, Грабовська І.С., Зозуля А.О., «Молодий вчений», 2018, с. 663-667 </w:t>
      </w:r>
      <w:r w:rsidRPr="00511005">
        <w:rPr>
          <w:rFonts w:ascii="Arial" w:eastAsia="Calibri" w:hAnsi="Arial" w:cs="Arial"/>
          <w:bCs/>
          <w:szCs w:val="28"/>
          <w:lang w:val="en-US"/>
        </w:rPr>
        <w:t>URL</w:t>
      </w:r>
      <w:r w:rsidRPr="00511005">
        <w:rPr>
          <w:rFonts w:ascii="Arial" w:eastAsia="Calibri" w:hAnsi="Arial" w:cs="Arial"/>
          <w:bCs/>
          <w:szCs w:val="28"/>
          <w:lang w:val="uk-UA"/>
        </w:rPr>
        <w:t xml:space="preserve">: </w:t>
      </w:r>
      <w:hyperlink r:id="rId1915" w:history="1">
        <w:r w:rsidRPr="00511005">
          <w:rPr>
            <w:rFonts w:ascii="Arial" w:eastAsia="Calibri" w:hAnsi="Arial" w:cs="Arial"/>
            <w:bCs/>
            <w:szCs w:val="28"/>
            <w:lang w:val="uk-UA"/>
          </w:rPr>
          <w:t>http://molodyvcheny.in.ua/files/journal/2018/4/153.pdf</w:t>
        </w:r>
      </w:hyperlink>
    </w:p>
    <w:p w14:paraId="1808415A" w14:textId="77777777" w:rsidR="00200E87" w:rsidRPr="00511005" w:rsidRDefault="00200E87" w:rsidP="003A292D">
      <w:pPr>
        <w:spacing w:line="264" w:lineRule="auto"/>
        <w:ind w:firstLine="0"/>
        <w:contextualSpacing/>
        <w:rPr>
          <w:rFonts w:ascii="Arial" w:eastAsia="Calibri" w:hAnsi="Arial" w:cs="Arial"/>
          <w:bCs/>
          <w:szCs w:val="28"/>
        </w:rPr>
      </w:pPr>
    </w:p>
    <w:p w14:paraId="0FBFE261" w14:textId="38EC88BC" w:rsidR="00200E87" w:rsidRPr="00511005" w:rsidRDefault="007B2628" w:rsidP="003A292D">
      <w:pPr>
        <w:spacing w:line="264" w:lineRule="auto"/>
        <w:ind w:firstLine="0"/>
        <w:rPr>
          <w:rFonts w:ascii="Arial" w:eastAsia="Calibri" w:hAnsi="Arial" w:cs="Arial"/>
          <w:bCs/>
          <w:szCs w:val="28"/>
          <w:lang w:val="uk-UA"/>
        </w:rPr>
      </w:pPr>
      <w:r w:rsidRPr="00511005">
        <w:rPr>
          <w:rFonts w:ascii="Arial" w:eastAsia="Calibri" w:hAnsi="Arial" w:cs="Arial"/>
          <w:b/>
          <w:i/>
          <w:szCs w:val="28"/>
          <w:lang w:val="uk-UA"/>
        </w:rPr>
        <w:t xml:space="preserve">Ключові слова: </w:t>
      </w:r>
      <w:r w:rsidR="00200E87" w:rsidRPr="00511005">
        <w:rPr>
          <w:rFonts w:ascii="Arial" w:eastAsia="Calibri" w:hAnsi="Arial" w:cs="Arial"/>
          <w:bCs/>
          <w:szCs w:val="28"/>
          <w:lang w:val="uk-UA"/>
        </w:rPr>
        <w:t>антинаркотична політика, декриміналізація, наркотичні засоби, наркобізнес, наркозлочинність, легалізація вживання наркотичних засобів.</w:t>
      </w:r>
    </w:p>
    <w:p w14:paraId="4F5C5E0E" w14:textId="4CC2D064" w:rsidR="00200E87" w:rsidRPr="00511005" w:rsidRDefault="007B2628" w:rsidP="003A292D">
      <w:pPr>
        <w:spacing w:line="264" w:lineRule="auto"/>
        <w:ind w:firstLine="0"/>
        <w:rPr>
          <w:rFonts w:ascii="Arial" w:eastAsia="Calibri" w:hAnsi="Arial" w:cs="Arial"/>
          <w:b/>
          <w:szCs w:val="28"/>
          <w:lang w:val="uk-UA"/>
        </w:rPr>
      </w:pPr>
      <w:r w:rsidRPr="00511005">
        <w:rPr>
          <w:rFonts w:ascii="Arial" w:eastAsia="Calibri" w:hAnsi="Arial" w:cs="Arial"/>
          <w:b/>
          <w:i/>
          <w:szCs w:val="28"/>
          <w:lang w:val="en-US"/>
        </w:rPr>
        <w:t xml:space="preserve">Key words: </w:t>
      </w:r>
      <w:r w:rsidR="00200E87" w:rsidRPr="00511005">
        <w:rPr>
          <w:rFonts w:ascii="Arial" w:eastAsia="Calibri" w:hAnsi="Arial" w:cs="Arial"/>
          <w:bCs/>
          <w:szCs w:val="28"/>
          <w:lang w:val="uk-UA"/>
        </w:rPr>
        <w:t>anti-drug policy, decriminalization, drugs, drug business, drug crime, legalization of drug use.</w:t>
      </w:r>
    </w:p>
    <w:p w14:paraId="567F3EE3" w14:textId="77777777" w:rsidR="007B2628" w:rsidRPr="00511005" w:rsidRDefault="007B2628" w:rsidP="003A292D">
      <w:pPr>
        <w:spacing w:line="264" w:lineRule="auto"/>
        <w:ind w:firstLine="0"/>
        <w:rPr>
          <w:rFonts w:ascii="Arial" w:eastAsia="Calibri" w:hAnsi="Arial" w:cs="Arial"/>
          <w:b/>
          <w:szCs w:val="28"/>
          <w:lang w:val="uk-UA"/>
        </w:rPr>
      </w:pPr>
    </w:p>
    <w:p w14:paraId="4DD746D8" w14:textId="22B2A93D" w:rsidR="00200E87"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200E87" w:rsidRPr="00511005">
        <w:rPr>
          <w:rFonts w:ascii="Arial" w:eastAsia="Calibri" w:hAnsi="Arial" w:cs="Arial"/>
          <w:i/>
          <w:szCs w:val="28"/>
          <w:lang w:val="uk-UA"/>
        </w:rPr>
        <w:t>д.ю.н., професор Коломієць Ю.Ю.</w:t>
      </w:r>
    </w:p>
    <w:p w14:paraId="56C5990B" w14:textId="77777777" w:rsidR="00200E87" w:rsidRPr="00511005" w:rsidRDefault="00200E87" w:rsidP="003A292D">
      <w:pPr>
        <w:spacing w:line="264" w:lineRule="auto"/>
        <w:ind w:firstLine="0"/>
        <w:jc w:val="center"/>
        <w:rPr>
          <w:rFonts w:ascii="Arial" w:eastAsia="Calibri" w:hAnsi="Arial" w:cs="Arial"/>
          <w:szCs w:val="28"/>
          <w:lang w:val="uk-UA"/>
        </w:rPr>
      </w:pPr>
    </w:p>
    <w:p w14:paraId="59D4FC45" w14:textId="77777777" w:rsidR="00200E87" w:rsidRPr="00511005" w:rsidRDefault="00200E87" w:rsidP="003A292D">
      <w:pPr>
        <w:spacing w:line="264" w:lineRule="auto"/>
        <w:ind w:firstLine="0"/>
        <w:jc w:val="center"/>
        <w:rPr>
          <w:rFonts w:ascii="Arial" w:eastAsia="Calibri" w:hAnsi="Arial" w:cs="Arial"/>
          <w:szCs w:val="28"/>
          <w:lang w:val="uk-UA"/>
        </w:rPr>
      </w:pPr>
    </w:p>
    <w:p w14:paraId="17341B7A" w14:textId="374849A1" w:rsidR="00550C73" w:rsidRPr="00511005" w:rsidRDefault="00200E87"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
          <w:i/>
          <w:szCs w:val="28"/>
        </w:rPr>
        <w:t>Чорногор Ангеліна Олегівна</w:t>
      </w:r>
      <w:r w:rsidRPr="00511005">
        <w:rPr>
          <w:rFonts w:ascii="Arial" w:eastAsia="Times New Roman" w:hAnsi="Arial" w:cs="Arial"/>
          <w:b/>
          <w:szCs w:val="28"/>
        </w:rPr>
        <w:br/>
      </w:r>
      <w:r w:rsidR="00536AAB" w:rsidRPr="00511005">
        <w:rPr>
          <w:rFonts w:ascii="Arial" w:eastAsia="Times New Roman" w:hAnsi="Arial" w:cs="Arial"/>
          <w:szCs w:val="28"/>
          <w:lang w:val="uk-UA" w:eastAsia="uk-UA"/>
        </w:rPr>
        <w:t xml:space="preserve">студентка 2-го курсу </w:t>
      </w:r>
    </w:p>
    <w:p w14:paraId="450EC387"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26FF253"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7860208" w14:textId="7BB043A6" w:rsidR="00200E87" w:rsidRPr="00511005" w:rsidRDefault="00200E87" w:rsidP="00550C73">
      <w:pPr>
        <w:spacing w:line="264" w:lineRule="auto"/>
        <w:ind w:firstLine="0"/>
        <w:contextualSpacing/>
        <w:jc w:val="center"/>
        <w:rPr>
          <w:rFonts w:ascii="Arial" w:eastAsia="Times New Roman" w:hAnsi="Arial" w:cs="Arial"/>
          <w:b/>
          <w:bCs/>
          <w:szCs w:val="28"/>
        </w:rPr>
      </w:pPr>
    </w:p>
    <w:p w14:paraId="0B08BBF6" w14:textId="77777777" w:rsidR="00200E87" w:rsidRPr="00511005" w:rsidRDefault="00200E87" w:rsidP="003A292D">
      <w:pPr>
        <w:spacing w:line="264" w:lineRule="auto"/>
        <w:ind w:firstLine="0"/>
        <w:contextualSpacing/>
        <w:jc w:val="center"/>
        <w:rPr>
          <w:rFonts w:ascii="Arial" w:eastAsia="Times New Roman" w:hAnsi="Arial" w:cs="Arial"/>
          <w:b/>
          <w:bCs/>
          <w:szCs w:val="28"/>
        </w:rPr>
      </w:pPr>
      <w:r w:rsidRPr="00511005">
        <w:rPr>
          <w:rFonts w:ascii="Arial" w:eastAsia="Times New Roman" w:hAnsi="Arial" w:cs="Arial"/>
          <w:b/>
          <w:bCs/>
          <w:szCs w:val="28"/>
        </w:rPr>
        <w:t>КЛАСИФІКАЦІЯ КРИМІНАЛЬНИХ ПРАВОПОРУШЕНЬ ЗА ПРОЕКТОМ НОВОГО КК УКРАЇНИ</w:t>
      </w:r>
    </w:p>
    <w:p w14:paraId="691F71AE" w14:textId="77777777" w:rsidR="00200E87" w:rsidRPr="00511005" w:rsidRDefault="00200E87" w:rsidP="003A292D">
      <w:pPr>
        <w:spacing w:line="264" w:lineRule="auto"/>
        <w:ind w:firstLine="0"/>
        <w:contextualSpacing/>
        <w:jc w:val="center"/>
        <w:rPr>
          <w:rFonts w:ascii="Arial" w:eastAsia="Times New Roman" w:hAnsi="Arial" w:cs="Arial"/>
          <w:b/>
          <w:bCs/>
          <w:szCs w:val="28"/>
        </w:rPr>
      </w:pPr>
    </w:p>
    <w:p w14:paraId="76590B95" w14:textId="77777777" w:rsidR="00200E87" w:rsidRPr="00511005" w:rsidRDefault="00200E87" w:rsidP="003A292D">
      <w:pPr>
        <w:spacing w:line="264" w:lineRule="auto"/>
        <w:ind w:firstLine="0"/>
        <w:contextualSpacing/>
        <w:rPr>
          <w:rFonts w:ascii="Arial" w:eastAsia="Times New Roman" w:hAnsi="Arial" w:cs="Arial"/>
          <w:szCs w:val="28"/>
        </w:rPr>
      </w:pPr>
      <w:r w:rsidRPr="00511005">
        <w:rPr>
          <w:rFonts w:ascii="Arial" w:eastAsia="Times New Roman" w:hAnsi="Arial" w:cs="Arial"/>
          <w:szCs w:val="28"/>
        </w:rPr>
        <w:t xml:space="preserve">Проблематика розмежування класифікації кримінальних правопорушень досліджувалась такими вченими, як д.ю.н. М.І. Хавронюк, Ю.В. Баулін, В.О. Навроцький, Ю.А. Пономаренко та Н.О. Гуторова. Вони наголошують на складності чіткого визначення меж між кримінальними проступками та злочинами, а також між різними ступенями тяжкості злочинів, що ускладнює правозастосування і потребує вдосконалення класифікації. Основною проблемою на мою думку є порушення вимог пропорційності кримінальних покарань церез відсутність більш ширшої класифікації. </w:t>
      </w:r>
    </w:p>
    <w:p w14:paraId="511E3822" w14:textId="6C558B64" w:rsidR="00200E87" w:rsidRPr="00511005" w:rsidRDefault="00200E87" w:rsidP="003A292D">
      <w:pPr>
        <w:spacing w:line="264" w:lineRule="auto"/>
        <w:ind w:firstLine="0"/>
        <w:contextualSpacing/>
        <w:rPr>
          <w:rFonts w:ascii="Arial" w:eastAsia="Times New Roman" w:hAnsi="Arial" w:cs="Arial"/>
          <w:szCs w:val="28"/>
        </w:rPr>
      </w:pPr>
      <w:r w:rsidRPr="00511005">
        <w:rPr>
          <w:rFonts w:ascii="Arial" w:eastAsia="Times New Roman" w:hAnsi="Arial" w:cs="Arial"/>
          <w:szCs w:val="28"/>
        </w:rPr>
        <w:t xml:space="preserve">Стаття 12 чинного Кримінального кодексу України розрізняє два типи кримінальних правопорушень: кримінальні проступки та злочини. Злочини, згідно з пунктом 3 цієї статті, поділяються на нетяжкі, тяжкі та особливо тяжкі. Класифікація цих злочинів здійснюється за двома основними критеріями: покаранням у вигляді штрафу та позбавлення волі. Чинний Кримінальний кодекс України містить порушення принципу пропорційності. Одним з прикладів цього є те, що більшість санкцій не мають домірного характеру. Наприклад, за масове знищення звірів під час незаконного полювання передбачені різні строки покарань залежно від методів, але вони можуть бути менш суворими порівняно з покаранням за необережне вбивство </w:t>
      </w:r>
      <w:proofErr w:type="gramStart"/>
      <w:r w:rsidRPr="00511005">
        <w:rPr>
          <w:rFonts w:ascii="Arial" w:eastAsia="Times New Roman" w:hAnsi="Arial" w:cs="Arial"/>
          <w:szCs w:val="28"/>
        </w:rPr>
        <w:t>людей.[</w:t>
      </w:r>
      <w:proofErr w:type="gramEnd"/>
      <w:r w:rsidRPr="00511005">
        <w:rPr>
          <w:rFonts w:ascii="Arial" w:eastAsia="Times New Roman" w:hAnsi="Arial" w:cs="Arial"/>
          <w:szCs w:val="28"/>
        </w:rPr>
        <w:fldChar w:fldCharType="begin"/>
      </w:r>
      <w:r w:rsidRPr="00511005">
        <w:rPr>
          <w:rFonts w:ascii="Arial" w:eastAsia="Times New Roman" w:hAnsi="Arial" w:cs="Arial"/>
          <w:szCs w:val="28"/>
        </w:rPr>
        <w:instrText xml:space="preserve"> REF _Ref195025234 \r \h </w:instrText>
      </w:r>
      <w:r w:rsidR="008F5AF9" w:rsidRPr="00511005">
        <w:rPr>
          <w:rFonts w:ascii="Arial" w:eastAsia="Times New Roman" w:hAnsi="Arial" w:cs="Arial"/>
          <w:szCs w:val="28"/>
        </w:rPr>
        <w:instrText xml:space="preserve"> \* MERGEFORMAT </w:instrText>
      </w:r>
      <w:r w:rsidRPr="00511005">
        <w:rPr>
          <w:rFonts w:ascii="Arial" w:eastAsia="Times New Roman" w:hAnsi="Arial" w:cs="Arial"/>
          <w:szCs w:val="28"/>
        </w:rPr>
      </w:r>
      <w:r w:rsidRPr="00511005">
        <w:rPr>
          <w:rFonts w:ascii="Arial" w:eastAsia="Times New Roman" w:hAnsi="Arial" w:cs="Arial"/>
          <w:szCs w:val="28"/>
        </w:rPr>
        <w:fldChar w:fldCharType="separate"/>
      </w:r>
      <w:r w:rsidR="006F7CE5">
        <w:rPr>
          <w:rFonts w:ascii="Arial" w:eastAsia="Times New Roman" w:hAnsi="Arial" w:cs="Arial"/>
          <w:szCs w:val="28"/>
        </w:rPr>
        <w:t>1</w:t>
      </w:r>
      <w:r w:rsidRPr="00511005">
        <w:rPr>
          <w:rFonts w:ascii="Arial" w:eastAsia="Times New Roman" w:hAnsi="Arial" w:cs="Arial"/>
          <w:szCs w:val="28"/>
        </w:rPr>
        <w:fldChar w:fldCharType="end"/>
      </w:r>
      <w:r w:rsidRPr="00511005">
        <w:rPr>
          <w:rFonts w:ascii="Arial" w:eastAsia="Times New Roman" w:hAnsi="Arial" w:cs="Arial"/>
          <w:szCs w:val="28"/>
        </w:rPr>
        <w:t>]</w:t>
      </w:r>
    </w:p>
    <w:p w14:paraId="0F5C4480" w14:textId="049FE30F" w:rsidR="00200E87" w:rsidRPr="00511005" w:rsidRDefault="00200E87" w:rsidP="003A292D">
      <w:pPr>
        <w:spacing w:line="264" w:lineRule="auto"/>
        <w:ind w:firstLine="0"/>
        <w:contextualSpacing/>
        <w:rPr>
          <w:rFonts w:ascii="Arial" w:eastAsia="Times New Roman" w:hAnsi="Arial" w:cs="Arial"/>
          <w:szCs w:val="28"/>
        </w:rPr>
      </w:pPr>
      <w:r w:rsidRPr="00511005">
        <w:rPr>
          <w:rFonts w:ascii="Arial" w:eastAsia="Times New Roman" w:hAnsi="Arial" w:cs="Arial"/>
          <w:szCs w:val="28"/>
        </w:rPr>
        <w:t xml:space="preserve">Проєкт нового Кримінального кодексу пропонує класифікацію кримінальних правопорушень за 9 ступенями тяжкості, що деталізує межі між видами </w:t>
      </w:r>
      <w:r w:rsidRPr="00511005">
        <w:rPr>
          <w:rFonts w:ascii="Arial" w:eastAsia="Times New Roman" w:hAnsi="Arial" w:cs="Arial"/>
          <w:szCs w:val="28"/>
        </w:rPr>
        <w:lastRenderedPageBreak/>
        <w:t>правопорушень. Ці ступені включають різні рівні суспільної небезпеки, починаючи від найменш тяжких кримінальних проступків до особливо тяжких злочинів із більш диференційованим підходом до покарань. Ступені тяжкості злочинів визначаються з урахуванням виду шкоди та ознак складу злочину, що змінюють ступінь тяжкості. Умисні злочини мають дев’ять ступенів тяжкості, а необережні — п’ять. Видам шкоди відповідають певні базові ступені тяжкості: істотна шкода — 1 ступінь, значна шкода — 3 ступінь, тяжка шкода — 5 ступінь, особливо тяжка шкода — 7 ступінь, а винятково тяжка шкода — 9 ступінь</w:t>
      </w:r>
      <w:r w:rsidRPr="00511005">
        <w:rPr>
          <w:rFonts w:ascii="Arial" w:eastAsia="Times New Roman" w:hAnsi="Arial" w:cs="Arial"/>
          <w:szCs w:val="28"/>
          <w:lang w:val="uk-UA"/>
        </w:rPr>
        <w:t>.</w:t>
      </w:r>
      <w:r w:rsidRPr="00511005">
        <w:rPr>
          <w:rFonts w:ascii="Arial" w:eastAsia="Times New Roman" w:hAnsi="Arial" w:cs="Arial"/>
          <w:szCs w:val="28"/>
        </w:rPr>
        <w:t>[</w:t>
      </w:r>
      <w:r w:rsidRPr="00511005">
        <w:rPr>
          <w:rFonts w:ascii="Arial" w:eastAsia="Times New Roman" w:hAnsi="Arial" w:cs="Arial"/>
          <w:szCs w:val="28"/>
          <w:lang w:val="en-US"/>
        </w:rPr>
        <w:fldChar w:fldCharType="begin"/>
      </w:r>
      <w:r w:rsidRPr="00511005">
        <w:rPr>
          <w:rFonts w:ascii="Arial" w:eastAsia="Times New Roman" w:hAnsi="Arial" w:cs="Arial"/>
          <w:szCs w:val="28"/>
        </w:rPr>
        <w:instrText xml:space="preserve"> </w:instrText>
      </w:r>
      <w:r w:rsidRPr="00511005">
        <w:rPr>
          <w:rFonts w:ascii="Arial" w:eastAsia="Times New Roman" w:hAnsi="Arial" w:cs="Arial"/>
          <w:szCs w:val="28"/>
          <w:lang w:val="en-US"/>
        </w:rPr>
        <w:instrText>REF</w:instrText>
      </w:r>
      <w:r w:rsidRPr="00511005">
        <w:rPr>
          <w:rFonts w:ascii="Arial" w:eastAsia="Times New Roman" w:hAnsi="Arial" w:cs="Arial"/>
          <w:szCs w:val="28"/>
        </w:rPr>
        <w:instrText xml:space="preserve"> _</w:instrText>
      </w:r>
      <w:r w:rsidRPr="00511005">
        <w:rPr>
          <w:rFonts w:ascii="Arial" w:eastAsia="Times New Roman" w:hAnsi="Arial" w:cs="Arial"/>
          <w:szCs w:val="28"/>
          <w:lang w:val="en-US"/>
        </w:rPr>
        <w:instrText>Ref</w:instrText>
      </w:r>
      <w:r w:rsidRPr="00511005">
        <w:rPr>
          <w:rFonts w:ascii="Arial" w:eastAsia="Times New Roman" w:hAnsi="Arial" w:cs="Arial"/>
          <w:szCs w:val="28"/>
        </w:rPr>
        <w:instrText>195036897 \</w:instrText>
      </w:r>
      <w:r w:rsidRPr="00511005">
        <w:rPr>
          <w:rFonts w:ascii="Arial" w:eastAsia="Times New Roman" w:hAnsi="Arial" w:cs="Arial"/>
          <w:szCs w:val="28"/>
          <w:lang w:val="en-US"/>
        </w:rPr>
        <w:instrText>r</w:instrText>
      </w:r>
      <w:r w:rsidRPr="00511005">
        <w:rPr>
          <w:rFonts w:ascii="Arial" w:eastAsia="Times New Roman" w:hAnsi="Arial" w:cs="Arial"/>
          <w:szCs w:val="28"/>
        </w:rPr>
        <w:instrText xml:space="preserve"> \</w:instrText>
      </w:r>
      <w:r w:rsidRPr="00511005">
        <w:rPr>
          <w:rFonts w:ascii="Arial" w:eastAsia="Times New Roman" w:hAnsi="Arial" w:cs="Arial"/>
          <w:szCs w:val="28"/>
          <w:lang w:val="en-US"/>
        </w:rPr>
        <w:instrText>h</w:instrText>
      </w:r>
      <w:r w:rsidRPr="00511005">
        <w:rPr>
          <w:rFonts w:ascii="Arial" w:eastAsia="Times New Roman" w:hAnsi="Arial" w:cs="Arial"/>
          <w:szCs w:val="28"/>
        </w:rPr>
        <w:instrText xml:space="preserve"> </w:instrText>
      </w:r>
      <w:r w:rsidR="008F5AF9" w:rsidRPr="00511005">
        <w:rPr>
          <w:rFonts w:ascii="Arial" w:eastAsia="Times New Roman" w:hAnsi="Arial" w:cs="Arial"/>
          <w:szCs w:val="28"/>
        </w:rPr>
        <w:instrText xml:space="preserve"> \* </w:instrText>
      </w:r>
      <w:r w:rsidR="008F5AF9" w:rsidRPr="00511005">
        <w:rPr>
          <w:rFonts w:ascii="Arial" w:eastAsia="Times New Roman" w:hAnsi="Arial" w:cs="Arial"/>
          <w:szCs w:val="28"/>
          <w:lang w:val="en-US"/>
        </w:rPr>
        <w:instrText>MERGEFORMAT</w:instrText>
      </w:r>
      <w:r w:rsidR="008F5AF9" w:rsidRPr="00511005">
        <w:rPr>
          <w:rFonts w:ascii="Arial" w:eastAsia="Times New Roman" w:hAnsi="Arial" w:cs="Arial"/>
          <w:szCs w:val="28"/>
        </w:rPr>
        <w:instrText xml:space="preserve"> </w:instrText>
      </w:r>
      <w:r w:rsidRPr="00511005">
        <w:rPr>
          <w:rFonts w:ascii="Arial" w:eastAsia="Times New Roman" w:hAnsi="Arial" w:cs="Arial"/>
          <w:szCs w:val="28"/>
          <w:lang w:val="en-US"/>
        </w:rPr>
      </w:r>
      <w:r w:rsidRPr="00511005">
        <w:rPr>
          <w:rFonts w:ascii="Arial" w:eastAsia="Times New Roman" w:hAnsi="Arial" w:cs="Arial"/>
          <w:szCs w:val="28"/>
          <w:lang w:val="en-US"/>
        </w:rPr>
        <w:fldChar w:fldCharType="separate"/>
      </w:r>
      <w:r w:rsidR="006F7CE5" w:rsidRPr="006F7CE5">
        <w:rPr>
          <w:rFonts w:ascii="Arial" w:eastAsia="Times New Roman" w:hAnsi="Arial" w:cs="Arial"/>
          <w:szCs w:val="28"/>
        </w:rPr>
        <w:t>1</w:t>
      </w:r>
      <w:r w:rsidRPr="00511005">
        <w:rPr>
          <w:rFonts w:ascii="Arial" w:eastAsia="Times New Roman" w:hAnsi="Arial" w:cs="Arial"/>
          <w:szCs w:val="28"/>
          <w:lang w:val="en-US"/>
        </w:rPr>
        <w:fldChar w:fldCharType="end"/>
      </w:r>
      <w:r w:rsidRPr="00511005">
        <w:rPr>
          <w:rFonts w:ascii="Arial" w:eastAsia="Times New Roman" w:hAnsi="Arial" w:cs="Arial"/>
          <w:szCs w:val="28"/>
        </w:rPr>
        <w:t>]</w:t>
      </w:r>
    </w:p>
    <w:p w14:paraId="61BC954D" w14:textId="32DB018D" w:rsidR="00200E87" w:rsidRPr="00511005" w:rsidRDefault="00200E87" w:rsidP="003A292D">
      <w:pPr>
        <w:spacing w:line="264" w:lineRule="auto"/>
        <w:ind w:firstLine="0"/>
        <w:contextualSpacing/>
        <w:rPr>
          <w:rFonts w:ascii="Arial" w:eastAsia="Times New Roman" w:hAnsi="Arial" w:cs="Arial"/>
          <w:szCs w:val="28"/>
        </w:rPr>
      </w:pPr>
      <w:r w:rsidRPr="00511005">
        <w:rPr>
          <w:rFonts w:ascii="Arial" w:eastAsia="Times New Roman" w:hAnsi="Arial" w:cs="Arial"/>
          <w:szCs w:val="28"/>
          <w:lang w:val="uk-UA"/>
        </w:rPr>
        <w:t>Також у</w:t>
      </w:r>
      <w:r w:rsidRPr="00511005">
        <w:rPr>
          <w:rFonts w:ascii="Arial" w:eastAsia="Times New Roman" w:hAnsi="Arial" w:cs="Arial"/>
          <w:szCs w:val="28"/>
        </w:rPr>
        <w:t xml:space="preserve"> рамках нового Кримінального кодексу України поняття «ступінь тяжкості злочину» набуло особливого значення. Воно залежить від трьох основних видів обставинах таких як форма вини, шкода, та ознаки які змінюють базовий ступінь тяжкості. Форма вини передбачає, що злочини можуть бути умисними або необережними. Умисні злочини вважаються загальним правилом, тоді як необережні вказуються окремо у відповідних статтях Особливої частини. Аналогічно, кримінальні проступки можуть бути як умисними, так і необережними, але вони не мають ступенів тяжкості. Наступне шкода, </w:t>
      </w:r>
      <w:r w:rsidRPr="00511005">
        <w:rPr>
          <w:rFonts w:ascii="Arial" w:eastAsia="Times New Roman" w:hAnsi="Arial" w:cs="Arial"/>
          <w:szCs w:val="28"/>
          <w:lang w:val="en-US"/>
        </w:rPr>
        <w:t>c</w:t>
      </w:r>
      <w:r w:rsidRPr="00511005">
        <w:rPr>
          <w:rFonts w:ascii="Arial" w:eastAsia="Times New Roman" w:hAnsi="Arial" w:cs="Arial"/>
          <w:szCs w:val="28"/>
        </w:rPr>
        <w:t xml:space="preserve">причинена </w:t>
      </w:r>
      <w:r w:rsidRPr="00511005">
        <w:rPr>
          <w:rFonts w:ascii="Arial" w:eastAsia="Times New Roman" w:hAnsi="Arial" w:cs="Arial"/>
          <w:szCs w:val="28"/>
          <w:lang w:val="uk-UA"/>
        </w:rPr>
        <w:t>з</w:t>
      </w:r>
      <w:r w:rsidRPr="00511005">
        <w:rPr>
          <w:rFonts w:ascii="Arial" w:eastAsia="Times New Roman" w:hAnsi="Arial" w:cs="Arial"/>
          <w:szCs w:val="28"/>
        </w:rPr>
        <w:t xml:space="preserve">лочином, виділяють п’ять видів шкоди: суттєва, значна, тяжка, особливо тяжка та винятково тяжка. Крім того, існує істотна шкода, яка спричинюється кримінальними проступками і служить межею між ними та злочинами. Ознаки, що змінюють базовий ступінь тяжкості, можуть як знижувати, так і підвищувати ступінь тяжкості злочину. Проєкт передбачає уніфікований підхід до зміни ступеня тяжкості, що відрізняється від чинного законодавства. Тепер вчинення злочину у складі групи осіб чи за наявності інших обтяжуючих ознак призводить до систематичного підвищення ступеня тяжкості </w:t>
      </w:r>
      <w:proofErr w:type="gramStart"/>
      <w:r w:rsidRPr="00511005">
        <w:rPr>
          <w:rFonts w:ascii="Arial" w:eastAsia="Times New Roman" w:hAnsi="Arial" w:cs="Arial"/>
          <w:szCs w:val="28"/>
        </w:rPr>
        <w:t>злочину.[</w:t>
      </w:r>
      <w:proofErr w:type="gramEnd"/>
      <w:r w:rsidRPr="00511005">
        <w:rPr>
          <w:rFonts w:ascii="Arial" w:eastAsia="Times New Roman" w:hAnsi="Arial" w:cs="Arial"/>
          <w:szCs w:val="28"/>
        </w:rPr>
        <w:fldChar w:fldCharType="begin"/>
      </w:r>
      <w:r w:rsidRPr="00511005">
        <w:rPr>
          <w:rFonts w:ascii="Arial" w:eastAsia="Times New Roman" w:hAnsi="Arial" w:cs="Arial"/>
          <w:szCs w:val="28"/>
        </w:rPr>
        <w:instrText xml:space="preserve"> REF _Ref195116211 \r \h </w:instrText>
      </w:r>
      <w:r w:rsidR="008F5AF9" w:rsidRPr="00511005">
        <w:rPr>
          <w:rFonts w:ascii="Arial" w:eastAsia="Times New Roman" w:hAnsi="Arial" w:cs="Arial"/>
          <w:szCs w:val="28"/>
        </w:rPr>
        <w:instrText xml:space="preserve"> \* MERGEFORMAT </w:instrText>
      </w:r>
      <w:r w:rsidRPr="00511005">
        <w:rPr>
          <w:rFonts w:ascii="Arial" w:eastAsia="Times New Roman" w:hAnsi="Arial" w:cs="Arial"/>
          <w:szCs w:val="28"/>
        </w:rPr>
      </w:r>
      <w:r w:rsidRPr="00511005">
        <w:rPr>
          <w:rFonts w:ascii="Arial" w:eastAsia="Times New Roman" w:hAnsi="Arial" w:cs="Arial"/>
          <w:szCs w:val="28"/>
        </w:rPr>
        <w:fldChar w:fldCharType="separate"/>
      </w:r>
      <w:r w:rsidR="006F7CE5">
        <w:rPr>
          <w:rFonts w:ascii="Arial" w:eastAsia="Times New Roman" w:hAnsi="Arial" w:cs="Arial"/>
          <w:szCs w:val="28"/>
        </w:rPr>
        <w:t>1</w:t>
      </w:r>
      <w:r w:rsidRPr="00511005">
        <w:rPr>
          <w:rFonts w:ascii="Arial" w:eastAsia="Times New Roman" w:hAnsi="Arial" w:cs="Arial"/>
          <w:szCs w:val="28"/>
        </w:rPr>
        <w:fldChar w:fldCharType="end"/>
      </w:r>
      <w:r w:rsidRPr="00511005">
        <w:rPr>
          <w:rFonts w:ascii="Arial" w:eastAsia="Times New Roman" w:hAnsi="Arial" w:cs="Arial"/>
          <w:szCs w:val="28"/>
          <w:lang w:val="uk-UA"/>
        </w:rPr>
        <w:t>, с.100</w:t>
      </w:r>
      <w:r w:rsidRPr="00511005">
        <w:rPr>
          <w:rFonts w:ascii="Arial" w:eastAsia="Times New Roman" w:hAnsi="Arial" w:cs="Arial"/>
          <w:szCs w:val="28"/>
        </w:rPr>
        <w:t>]</w:t>
      </w:r>
    </w:p>
    <w:p w14:paraId="1AB88AA9" w14:textId="5E968CC4" w:rsidR="00200E87" w:rsidRPr="00511005" w:rsidRDefault="00200E87"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Переваги нової класифікації полягають у більшій деталізації, що дозволяє точніше оцінювати суспільну небезпеку діяння і призначати адекватні покарання (без порушення пропорційності) Наприклад, розподіл на 9 ступенів дає змогу уникнути надмірної суворості або, навпаки, м’якості покарання за злочини різного ступеня тяжкості. У</w:t>
      </w:r>
      <w:r w:rsidRPr="00511005">
        <w:rPr>
          <w:rFonts w:ascii="Arial" w:eastAsia="Times New Roman" w:hAnsi="Arial" w:cs="Arial"/>
          <w:szCs w:val="28"/>
        </w:rPr>
        <w:t xml:space="preserve"> деяких випадках суди призначали покарання, які були більш суворими, ніж очікувалося, через суперечності у законодавстві щодо класифікації злочинів та покарань. Так, у січні 2018 року Голосіївський районний суд Києва призначив покарання у вигляді двох років позбавлення волі за злочин середньої тяжкості без кваліфікуючих обставин, тоді як у інших випадках з обтяжуючими обставинами покарання було більш м’яким- </w:t>
      </w:r>
      <w:r w:rsidRPr="00511005">
        <w:rPr>
          <w:rFonts w:ascii="Arial" w:eastAsia="Times New Roman" w:hAnsi="Arial" w:cs="Arial"/>
          <w:szCs w:val="28"/>
          <w:lang w:val="uk-UA"/>
        </w:rPr>
        <w:t>це свідчить про, що якби законодавець дав більш детальну класифікацію кримінальних правопорушень призначення покарань було б більш логічним без суперечок. [</w:t>
      </w:r>
      <w:r w:rsidRPr="00511005">
        <w:rPr>
          <w:rFonts w:ascii="Arial" w:eastAsia="Times New Roman" w:hAnsi="Arial" w:cs="Arial"/>
          <w:szCs w:val="28"/>
          <w:lang w:val="en-US"/>
        </w:rPr>
        <w:fldChar w:fldCharType="begin"/>
      </w:r>
      <w:r w:rsidRPr="00511005">
        <w:rPr>
          <w:rFonts w:ascii="Arial" w:eastAsia="Times New Roman" w:hAnsi="Arial" w:cs="Arial"/>
          <w:szCs w:val="28"/>
          <w:lang w:val="uk-UA"/>
        </w:rPr>
        <w:instrText xml:space="preserve"> </w:instrText>
      </w:r>
      <w:r w:rsidRPr="00511005">
        <w:rPr>
          <w:rFonts w:ascii="Arial" w:eastAsia="Times New Roman" w:hAnsi="Arial" w:cs="Arial"/>
          <w:szCs w:val="28"/>
          <w:lang w:val="en-US"/>
        </w:rPr>
        <w:instrText>REF</w:instrText>
      </w:r>
      <w:r w:rsidRPr="00511005">
        <w:rPr>
          <w:rFonts w:ascii="Arial" w:eastAsia="Times New Roman" w:hAnsi="Arial" w:cs="Arial"/>
          <w:szCs w:val="28"/>
          <w:lang w:val="uk-UA"/>
        </w:rPr>
        <w:instrText xml:space="preserve"> _</w:instrText>
      </w:r>
      <w:r w:rsidRPr="00511005">
        <w:rPr>
          <w:rFonts w:ascii="Arial" w:eastAsia="Times New Roman" w:hAnsi="Arial" w:cs="Arial"/>
          <w:szCs w:val="28"/>
          <w:lang w:val="en-US"/>
        </w:rPr>
        <w:instrText>Ref</w:instrText>
      </w:r>
      <w:r w:rsidRPr="00511005">
        <w:rPr>
          <w:rFonts w:ascii="Arial" w:eastAsia="Times New Roman" w:hAnsi="Arial" w:cs="Arial"/>
          <w:szCs w:val="28"/>
          <w:lang w:val="uk-UA"/>
        </w:rPr>
        <w:instrText>195644744 \</w:instrText>
      </w:r>
      <w:r w:rsidRPr="00511005">
        <w:rPr>
          <w:rFonts w:ascii="Arial" w:eastAsia="Times New Roman" w:hAnsi="Arial" w:cs="Arial"/>
          <w:szCs w:val="28"/>
          <w:lang w:val="en-US"/>
        </w:rPr>
        <w:instrText>r</w:instrText>
      </w:r>
      <w:r w:rsidRPr="00511005">
        <w:rPr>
          <w:rFonts w:ascii="Arial" w:eastAsia="Times New Roman" w:hAnsi="Arial" w:cs="Arial"/>
          <w:szCs w:val="28"/>
          <w:lang w:val="uk-UA"/>
        </w:rPr>
        <w:instrText xml:space="preserve"> \</w:instrText>
      </w:r>
      <w:r w:rsidRPr="00511005">
        <w:rPr>
          <w:rFonts w:ascii="Arial" w:eastAsia="Times New Roman" w:hAnsi="Arial" w:cs="Arial"/>
          <w:szCs w:val="28"/>
          <w:lang w:val="en-US"/>
        </w:rPr>
        <w:instrText>h</w:instrText>
      </w:r>
      <w:r w:rsidRPr="00511005">
        <w:rPr>
          <w:rFonts w:ascii="Arial" w:eastAsia="Times New Roman" w:hAnsi="Arial" w:cs="Arial"/>
          <w:szCs w:val="28"/>
          <w:lang w:val="uk-UA"/>
        </w:rPr>
        <w:instrText xml:space="preserve"> </w:instrText>
      </w:r>
      <w:r w:rsidR="008F5AF9" w:rsidRPr="00055389">
        <w:rPr>
          <w:rFonts w:ascii="Arial" w:eastAsia="Times New Roman" w:hAnsi="Arial" w:cs="Arial"/>
          <w:szCs w:val="28"/>
          <w:lang w:val="uk-UA"/>
        </w:rPr>
        <w:instrText xml:space="preserve"> \* </w:instrText>
      </w:r>
      <w:r w:rsidR="008F5AF9" w:rsidRPr="00511005">
        <w:rPr>
          <w:rFonts w:ascii="Arial" w:eastAsia="Times New Roman" w:hAnsi="Arial" w:cs="Arial"/>
          <w:szCs w:val="28"/>
          <w:lang w:val="en-US"/>
        </w:rPr>
        <w:instrText>MERGEFORMAT</w:instrText>
      </w:r>
      <w:r w:rsidR="008F5AF9" w:rsidRPr="00055389">
        <w:rPr>
          <w:rFonts w:ascii="Arial" w:eastAsia="Times New Roman" w:hAnsi="Arial" w:cs="Arial"/>
          <w:szCs w:val="28"/>
          <w:lang w:val="uk-UA"/>
        </w:rPr>
        <w:instrText xml:space="preserve"> </w:instrText>
      </w:r>
      <w:r w:rsidRPr="00511005">
        <w:rPr>
          <w:rFonts w:ascii="Arial" w:eastAsia="Times New Roman" w:hAnsi="Arial" w:cs="Arial"/>
          <w:szCs w:val="28"/>
          <w:lang w:val="en-US"/>
        </w:rPr>
      </w:r>
      <w:r w:rsidRPr="00511005">
        <w:rPr>
          <w:rFonts w:ascii="Arial" w:eastAsia="Times New Roman" w:hAnsi="Arial" w:cs="Arial"/>
          <w:szCs w:val="28"/>
          <w:lang w:val="en-US"/>
        </w:rPr>
        <w:fldChar w:fldCharType="separate"/>
      </w:r>
      <w:r w:rsidR="006F7CE5" w:rsidRPr="006F7CE5">
        <w:rPr>
          <w:rFonts w:ascii="Arial" w:eastAsia="Times New Roman" w:hAnsi="Arial" w:cs="Arial"/>
          <w:szCs w:val="28"/>
          <w:lang w:val="uk-UA"/>
        </w:rPr>
        <w:t>3</w:t>
      </w:r>
      <w:r w:rsidRPr="00511005">
        <w:rPr>
          <w:rFonts w:ascii="Arial" w:eastAsia="Times New Roman" w:hAnsi="Arial" w:cs="Arial"/>
          <w:szCs w:val="28"/>
          <w:lang w:val="en-US"/>
        </w:rPr>
        <w:fldChar w:fldCharType="end"/>
      </w:r>
      <w:r w:rsidRPr="00511005">
        <w:rPr>
          <w:rFonts w:ascii="Arial" w:eastAsia="Times New Roman" w:hAnsi="Arial" w:cs="Arial"/>
          <w:szCs w:val="28"/>
          <w:lang w:val="uk-UA"/>
        </w:rPr>
        <w:t xml:space="preserve">, </w:t>
      </w:r>
      <w:r w:rsidRPr="00511005">
        <w:rPr>
          <w:rFonts w:ascii="Arial" w:eastAsia="Times New Roman" w:hAnsi="Arial" w:cs="Arial"/>
          <w:szCs w:val="28"/>
          <w:lang w:val="en-US"/>
        </w:rPr>
        <w:t>c</w:t>
      </w:r>
      <w:r w:rsidRPr="00511005">
        <w:rPr>
          <w:rFonts w:ascii="Arial" w:eastAsia="Times New Roman" w:hAnsi="Arial" w:cs="Arial"/>
          <w:szCs w:val="28"/>
          <w:lang w:val="uk-UA"/>
        </w:rPr>
        <w:t>.188]</w:t>
      </w:r>
    </w:p>
    <w:p w14:paraId="34AC2726" w14:textId="77777777" w:rsidR="00200E87" w:rsidRPr="00511005" w:rsidRDefault="00200E87"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 xml:space="preserve">Вирішенням даної проблеми є нова система з дев’ятьма ступенями тяжкості злочинів враховує вид і розмір шкоди, а також форму вини, що дозволяє </w:t>
      </w:r>
      <w:r w:rsidRPr="00511005">
        <w:rPr>
          <w:rFonts w:ascii="Arial" w:eastAsia="Times New Roman" w:hAnsi="Arial" w:cs="Arial"/>
          <w:szCs w:val="28"/>
          <w:lang w:val="uk-UA"/>
        </w:rPr>
        <w:lastRenderedPageBreak/>
        <w:t xml:space="preserve">більш точно кваліфікувати злочини та застосовувати відповідні заходи відповідальності. </w:t>
      </w:r>
      <w:r w:rsidRPr="00511005">
        <w:rPr>
          <w:rFonts w:ascii="Arial" w:eastAsia="Times New Roman" w:hAnsi="Arial" w:cs="Arial"/>
          <w:szCs w:val="28"/>
        </w:rPr>
        <w:t>Прикладом є те, що кримінальні проступки, які спричиняють неістотну шкоду, не підлягають такому ж суворому покаранню, як злочини, які спричиняють істотну чи особливо тяжку шкоду. Це дозволяє застосовувати більш м’які покарання за менш небезпечні дії та більш суворі за особливо небезпечні злочини</w:t>
      </w:r>
      <w:r w:rsidRPr="00511005">
        <w:rPr>
          <w:rFonts w:ascii="Arial" w:eastAsia="Times New Roman" w:hAnsi="Arial" w:cs="Arial"/>
          <w:szCs w:val="28"/>
          <w:lang w:val="uk-UA"/>
        </w:rPr>
        <w:t xml:space="preserve">. Дана система класифікації відповідає принципам пропорційності ,так як чим більше критеріїв під які можна підпорядковувати правопорушення, тим більш пропорційне призначається покарання. </w:t>
      </w:r>
    </w:p>
    <w:p w14:paraId="4B66A7A8" w14:textId="1FA1082C" w:rsidR="00200E87" w:rsidRPr="00511005" w:rsidRDefault="00200E87" w:rsidP="003A292D">
      <w:pPr>
        <w:spacing w:line="264" w:lineRule="auto"/>
        <w:ind w:firstLine="0"/>
        <w:contextualSpacing/>
        <w:rPr>
          <w:rFonts w:ascii="Arial" w:eastAsia="Times New Roman" w:hAnsi="Arial" w:cs="Arial"/>
          <w:szCs w:val="28"/>
        </w:rPr>
      </w:pPr>
      <w:r w:rsidRPr="00511005">
        <w:rPr>
          <w:rFonts w:ascii="Arial" w:eastAsia="Times New Roman" w:hAnsi="Arial" w:cs="Arial"/>
          <w:szCs w:val="28"/>
          <w:lang w:val="uk-UA"/>
        </w:rPr>
        <w:t xml:space="preserve">Вчені В.О. Навроцький і Ю.В. Баулін підтримують цю ідею, вказуючи на підвищення ефективності кримінального правосуддя. </w:t>
      </w:r>
      <w:r w:rsidRPr="00511005">
        <w:rPr>
          <w:rFonts w:ascii="Arial" w:eastAsia="Times New Roman" w:hAnsi="Arial" w:cs="Arial"/>
          <w:szCs w:val="28"/>
        </w:rPr>
        <w:t xml:space="preserve">Проте я вважаю, що така деталізація може ускладнити правозастосування, збільшити навантаження на судову систему та вимагати додаткового навчання для правозастосовців- це і буде недоліком даної класифікації. Зі студентської точки зору, нова класифікація є перспективною, але її успішність залежить від практичної реалізації та адаптації системи </w:t>
      </w:r>
      <w:proofErr w:type="gramStart"/>
      <w:r w:rsidRPr="00511005">
        <w:rPr>
          <w:rFonts w:ascii="Arial" w:eastAsia="Times New Roman" w:hAnsi="Arial" w:cs="Arial"/>
          <w:szCs w:val="28"/>
        </w:rPr>
        <w:t>правосуддя.[</w:t>
      </w:r>
      <w:proofErr w:type="gramEnd"/>
      <w:r w:rsidRPr="00511005">
        <w:rPr>
          <w:rFonts w:ascii="Arial" w:eastAsia="Times New Roman" w:hAnsi="Arial" w:cs="Arial"/>
          <w:szCs w:val="28"/>
        </w:rPr>
        <w:fldChar w:fldCharType="begin"/>
      </w:r>
      <w:r w:rsidRPr="00511005">
        <w:rPr>
          <w:rFonts w:ascii="Arial" w:eastAsia="Times New Roman" w:hAnsi="Arial" w:cs="Arial"/>
          <w:szCs w:val="28"/>
        </w:rPr>
        <w:instrText xml:space="preserve"> REF _Ref195644772 \r \h </w:instrText>
      </w:r>
      <w:r w:rsidR="008F5AF9" w:rsidRPr="00511005">
        <w:rPr>
          <w:rFonts w:ascii="Arial" w:eastAsia="Times New Roman" w:hAnsi="Arial" w:cs="Arial"/>
          <w:szCs w:val="28"/>
        </w:rPr>
        <w:instrText xml:space="preserve"> \* MERGEFORMAT </w:instrText>
      </w:r>
      <w:r w:rsidRPr="00511005">
        <w:rPr>
          <w:rFonts w:ascii="Arial" w:eastAsia="Times New Roman" w:hAnsi="Arial" w:cs="Arial"/>
          <w:szCs w:val="28"/>
        </w:rPr>
      </w:r>
      <w:r w:rsidRPr="00511005">
        <w:rPr>
          <w:rFonts w:ascii="Arial" w:eastAsia="Times New Roman" w:hAnsi="Arial" w:cs="Arial"/>
          <w:szCs w:val="28"/>
        </w:rPr>
        <w:fldChar w:fldCharType="separate"/>
      </w:r>
      <w:r w:rsidR="006F7CE5">
        <w:rPr>
          <w:rFonts w:ascii="Arial" w:eastAsia="Times New Roman" w:hAnsi="Arial" w:cs="Arial"/>
          <w:szCs w:val="28"/>
        </w:rPr>
        <w:t>2</w:t>
      </w:r>
      <w:r w:rsidRPr="00511005">
        <w:rPr>
          <w:rFonts w:ascii="Arial" w:eastAsia="Times New Roman" w:hAnsi="Arial" w:cs="Arial"/>
          <w:szCs w:val="28"/>
        </w:rPr>
        <w:fldChar w:fldCharType="end"/>
      </w:r>
      <w:r w:rsidRPr="00511005">
        <w:rPr>
          <w:rFonts w:ascii="Arial" w:eastAsia="Times New Roman" w:hAnsi="Arial" w:cs="Arial"/>
          <w:szCs w:val="28"/>
        </w:rPr>
        <w:t xml:space="preserve">, </w:t>
      </w:r>
      <w:r w:rsidRPr="00511005">
        <w:rPr>
          <w:rFonts w:ascii="Arial" w:eastAsia="Times New Roman" w:hAnsi="Arial" w:cs="Arial"/>
          <w:szCs w:val="28"/>
          <w:lang w:val="en-US"/>
        </w:rPr>
        <w:t>c</w:t>
      </w:r>
      <w:r w:rsidRPr="00511005">
        <w:rPr>
          <w:rFonts w:ascii="Arial" w:eastAsia="Times New Roman" w:hAnsi="Arial" w:cs="Arial"/>
          <w:szCs w:val="28"/>
        </w:rPr>
        <w:t>.101]</w:t>
      </w:r>
    </w:p>
    <w:p w14:paraId="3C3AC37B" w14:textId="77777777" w:rsidR="00200E87" w:rsidRPr="00511005" w:rsidRDefault="00200E87" w:rsidP="003A292D">
      <w:pPr>
        <w:spacing w:line="264" w:lineRule="auto"/>
        <w:ind w:firstLine="0"/>
        <w:contextualSpacing/>
        <w:rPr>
          <w:rFonts w:ascii="Arial" w:eastAsia="Times New Roman" w:hAnsi="Arial" w:cs="Arial"/>
          <w:szCs w:val="28"/>
        </w:rPr>
      </w:pPr>
      <w:r w:rsidRPr="00511005">
        <w:rPr>
          <w:rFonts w:ascii="Arial" w:eastAsia="Times New Roman" w:hAnsi="Arial" w:cs="Arial"/>
          <w:szCs w:val="28"/>
        </w:rPr>
        <w:t>Для вирішення проблеми чіткого розмежування кримінальних правопорушень необхідно удосконалити критерії класифікації, поєднуючи формальні (покарання) та матеріальні (суспільна небезпека, мотиви) ознаки. Важливо також розробити методичні рекомендації для слідчих і суддів, а також забезпечити систематичне навчання правозастосовців щодо нових норм.</w:t>
      </w:r>
    </w:p>
    <w:p w14:paraId="356A0B4B" w14:textId="77777777" w:rsidR="00200E87" w:rsidRPr="00511005" w:rsidRDefault="00200E87" w:rsidP="003A292D">
      <w:pPr>
        <w:spacing w:line="264" w:lineRule="auto"/>
        <w:ind w:firstLine="0"/>
        <w:contextualSpacing/>
        <w:rPr>
          <w:rFonts w:ascii="Arial" w:eastAsia="Times New Roman" w:hAnsi="Arial" w:cs="Arial"/>
          <w:szCs w:val="28"/>
        </w:rPr>
      </w:pPr>
      <w:r w:rsidRPr="00511005">
        <w:rPr>
          <w:rFonts w:ascii="Arial" w:eastAsia="Times New Roman" w:hAnsi="Arial" w:cs="Arial"/>
          <w:szCs w:val="28"/>
        </w:rPr>
        <w:t>Отже, класифікація кримінальних правопорушень за проєктом нового Кримінального кодексу України є кроком уперед у деталізації та гнучкості правового регулювання, що потенційно підвищить ефективність кримінального правосуддя. Водночас необхідно враховувати ризики ускладнення правозастосування та забезпечити належну підготовку фахівців. Як студент, вважаю, що баланс між деталізацією і простотою класифікації є ключовим для ефективної роботи кримінального права, і нова система має бути адаптована з урахуванням практичних потреб правозастосування.</w:t>
      </w:r>
    </w:p>
    <w:p w14:paraId="40400C45" w14:textId="77777777" w:rsidR="00200E87" w:rsidRPr="00511005" w:rsidRDefault="00200E87" w:rsidP="003A292D">
      <w:pPr>
        <w:spacing w:line="264" w:lineRule="auto"/>
        <w:ind w:firstLine="0"/>
        <w:contextualSpacing/>
        <w:rPr>
          <w:rFonts w:ascii="Arial" w:eastAsia="Times New Roman" w:hAnsi="Arial" w:cs="Arial"/>
          <w:szCs w:val="28"/>
        </w:rPr>
      </w:pPr>
    </w:p>
    <w:p w14:paraId="74238C9A" w14:textId="5BB1D2B1" w:rsidR="00200E87" w:rsidRPr="00511005" w:rsidRDefault="007B2628" w:rsidP="007B2628">
      <w:pPr>
        <w:spacing w:line="264" w:lineRule="auto"/>
        <w:ind w:firstLine="0"/>
        <w:contextualSpacing/>
        <w:jc w:val="center"/>
        <w:rPr>
          <w:rFonts w:ascii="Arial" w:eastAsia="Times New Roman" w:hAnsi="Arial" w:cs="Arial"/>
          <w:b/>
          <w:bCs/>
          <w:szCs w:val="28"/>
        </w:rPr>
      </w:pPr>
      <w:r w:rsidRPr="00511005">
        <w:rPr>
          <w:rFonts w:ascii="Arial" w:eastAsia="Times New Roman" w:hAnsi="Arial" w:cs="Arial"/>
          <w:b/>
          <w:bCs/>
          <w:szCs w:val="28"/>
          <w:lang w:val="uk-UA"/>
        </w:rPr>
        <w:t>Список використаних джерел</w:t>
      </w:r>
    </w:p>
    <w:p w14:paraId="12D5F279" w14:textId="77777777" w:rsidR="00200E87" w:rsidRPr="00511005" w:rsidRDefault="00200E87" w:rsidP="003F6A5D">
      <w:pPr>
        <w:numPr>
          <w:ilvl w:val="0"/>
          <w:numId w:val="552"/>
        </w:numPr>
        <w:spacing w:line="264" w:lineRule="auto"/>
        <w:contextualSpacing/>
        <w:jc w:val="left"/>
        <w:rPr>
          <w:rFonts w:ascii="Arial" w:eastAsia="Times New Roman" w:hAnsi="Arial" w:cs="Arial"/>
          <w:szCs w:val="28"/>
        </w:rPr>
      </w:pPr>
      <w:bookmarkStart w:id="219" w:name="_Ref195025234"/>
      <w:r w:rsidRPr="00511005">
        <w:rPr>
          <w:rFonts w:ascii="Arial" w:eastAsia="Times New Roman" w:hAnsi="Arial" w:cs="Arial"/>
          <w:szCs w:val="28"/>
        </w:rPr>
        <w:t xml:space="preserve">Кримінальний кодекс України: Закон України від 05 квітня 2001 року, </w:t>
      </w:r>
      <w:r w:rsidRPr="00511005">
        <w:rPr>
          <w:rFonts w:ascii="Arial" w:eastAsia="Times New Roman" w:hAnsi="Arial" w:cs="Arial"/>
          <w:szCs w:val="28"/>
          <w:lang w:val="en-US"/>
        </w:rPr>
        <w:t>No</w:t>
      </w:r>
      <w:r w:rsidRPr="00511005">
        <w:rPr>
          <w:rFonts w:ascii="Arial" w:eastAsia="Times New Roman" w:hAnsi="Arial" w:cs="Arial"/>
          <w:szCs w:val="28"/>
        </w:rPr>
        <w:t xml:space="preserve"> 2341-ІІІ. </w:t>
      </w:r>
      <w:r w:rsidRPr="00511005">
        <w:rPr>
          <w:rFonts w:ascii="Arial" w:eastAsia="Times New Roman" w:hAnsi="Arial" w:cs="Arial"/>
          <w:szCs w:val="28"/>
          <w:lang w:val="en-US"/>
        </w:rPr>
        <w:t xml:space="preserve">URL: </w:t>
      </w:r>
      <w:hyperlink r:id="rId1916" w:anchor="Text" w:tgtFrame="_blank" w:tooltip="https://zakon.rada.gov.ua/laws/show/2341-14#Text" w:history="1">
        <w:r w:rsidRPr="00511005">
          <w:rPr>
            <w:rFonts w:ascii="Arial" w:eastAsia="Times New Roman" w:hAnsi="Arial" w:cs="Arial"/>
            <w:szCs w:val="28"/>
            <w:lang w:val="en-US"/>
          </w:rPr>
          <w:t>https://zakon.rada.gov.ua/laws/show/2341-14#Text.</w:t>
        </w:r>
      </w:hyperlink>
      <w:bookmarkStart w:id="220" w:name="_Ref195124361"/>
      <w:bookmarkStart w:id="221" w:name="_Ref195036897"/>
      <w:bookmarkStart w:id="222" w:name="_Ref195116211"/>
      <w:bookmarkStart w:id="223" w:name="_Ref195025246"/>
      <w:bookmarkEnd w:id="219"/>
    </w:p>
    <w:p w14:paraId="34C3CF9E" w14:textId="77777777" w:rsidR="00200E87" w:rsidRPr="00511005" w:rsidRDefault="00200E87" w:rsidP="003F6A5D">
      <w:pPr>
        <w:numPr>
          <w:ilvl w:val="0"/>
          <w:numId w:val="552"/>
        </w:numPr>
        <w:spacing w:line="264" w:lineRule="auto"/>
        <w:contextualSpacing/>
        <w:jc w:val="left"/>
        <w:rPr>
          <w:rFonts w:ascii="Arial" w:eastAsia="Times New Roman" w:hAnsi="Arial" w:cs="Arial"/>
          <w:szCs w:val="28"/>
        </w:rPr>
      </w:pPr>
      <w:r w:rsidRPr="00511005">
        <w:rPr>
          <w:rFonts w:ascii="Arial" w:eastAsia="Times New Roman" w:hAnsi="Arial" w:cs="Arial"/>
          <w:szCs w:val="28"/>
        </w:rPr>
        <w:t xml:space="preserve">Проєкт Кримінального кодексу України (контрольний текст станом на 14.09.2023) Електронний ресурс. </w:t>
      </w:r>
      <w:r w:rsidRPr="00511005">
        <w:rPr>
          <w:rFonts w:ascii="Arial" w:eastAsia="Times New Roman" w:hAnsi="Arial" w:cs="Arial"/>
          <w:szCs w:val="28"/>
          <w:lang w:val="en-US"/>
        </w:rPr>
        <w:t>URL</w:t>
      </w:r>
      <w:r w:rsidRPr="00511005">
        <w:rPr>
          <w:rFonts w:ascii="Arial" w:eastAsia="Times New Roman" w:hAnsi="Arial" w:cs="Arial"/>
          <w:szCs w:val="28"/>
        </w:rPr>
        <w:t xml:space="preserve">: </w:t>
      </w:r>
      <w:hyperlink r:id="rId1917" w:tgtFrame="_blank" w:tooltip="https://newcriminalcode.org.ua/upload/media/2023/09/14/kontrolnyj-tekst-proyektu-kk-14-09-2023.pdf" w:history="1">
        <w:r w:rsidRPr="00511005">
          <w:rPr>
            <w:rFonts w:ascii="Arial" w:eastAsia="Times New Roman" w:hAnsi="Arial" w:cs="Arial"/>
            <w:szCs w:val="28"/>
            <w:lang w:val="en-US"/>
          </w:rPr>
          <w:t>https</w:t>
        </w:r>
        <w:r w:rsidRPr="00511005">
          <w:rPr>
            <w:rFonts w:ascii="Arial" w:eastAsia="Times New Roman" w:hAnsi="Arial" w:cs="Arial"/>
            <w:szCs w:val="28"/>
          </w:rPr>
          <w:t>://</w:t>
        </w:r>
        <w:r w:rsidRPr="00511005">
          <w:rPr>
            <w:rFonts w:ascii="Arial" w:eastAsia="Times New Roman" w:hAnsi="Arial" w:cs="Arial"/>
            <w:szCs w:val="28"/>
            <w:lang w:val="en-US"/>
          </w:rPr>
          <w:t>newcriminalcode</w:t>
        </w:r>
        <w:r w:rsidRPr="00511005">
          <w:rPr>
            <w:rFonts w:ascii="Arial" w:eastAsia="Times New Roman" w:hAnsi="Arial" w:cs="Arial"/>
            <w:szCs w:val="28"/>
          </w:rPr>
          <w:t>.</w:t>
        </w:r>
        <w:r w:rsidRPr="00511005">
          <w:rPr>
            <w:rFonts w:ascii="Arial" w:eastAsia="Times New Roman" w:hAnsi="Arial" w:cs="Arial"/>
            <w:szCs w:val="28"/>
            <w:lang w:val="en-US"/>
          </w:rPr>
          <w:t>org</w:t>
        </w:r>
        <w:r w:rsidRPr="00511005">
          <w:rPr>
            <w:rFonts w:ascii="Arial" w:eastAsia="Times New Roman" w:hAnsi="Arial" w:cs="Arial"/>
            <w:szCs w:val="28"/>
          </w:rPr>
          <w:t>.</w:t>
        </w:r>
        <w:r w:rsidRPr="00511005">
          <w:rPr>
            <w:rFonts w:ascii="Arial" w:eastAsia="Times New Roman" w:hAnsi="Arial" w:cs="Arial"/>
            <w:szCs w:val="28"/>
            <w:lang w:val="en-US"/>
          </w:rPr>
          <w:t>ua</w:t>
        </w:r>
        <w:r w:rsidRPr="00511005">
          <w:rPr>
            <w:rFonts w:ascii="Arial" w:eastAsia="Times New Roman" w:hAnsi="Arial" w:cs="Arial"/>
            <w:szCs w:val="28"/>
          </w:rPr>
          <w:t>/</w:t>
        </w:r>
        <w:r w:rsidRPr="00511005">
          <w:rPr>
            <w:rFonts w:ascii="Arial" w:eastAsia="Times New Roman" w:hAnsi="Arial" w:cs="Arial"/>
            <w:szCs w:val="28"/>
            <w:lang w:val="en-US"/>
          </w:rPr>
          <w:t>upload</w:t>
        </w:r>
        <w:r w:rsidRPr="00511005">
          <w:rPr>
            <w:rFonts w:ascii="Arial" w:eastAsia="Times New Roman" w:hAnsi="Arial" w:cs="Arial"/>
            <w:szCs w:val="28"/>
          </w:rPr>
          <w:t>/</w:t>
        </w:r>
        <w:r w:rsidRPr="00511005">
          <w:rPr>
            <w:rFonts w:ascii="Arial" w:eastAsia="Times New Roman" w:hAnsi="Arial" w:cs="Arial"/>
            <w:szCs w:val="28"/>
            <w:lang w:val="en-US"/>
          </w:rPr>
          <w:t>media</w:t>
        </w:r>
        <w:r w:rsidRPr="00511005">
          <w:rPr>
            <w:rFonts w:ascii="Arial" w:eastAsia="Times New Roman" w:hAnsi="Arial" w:cs="Arial"/>
            <w:szCs w:val="28"/>
          </w:rPr>
          <w:t>/2023/09/14/</w:t>
        </w:r>
        <w:r w:rsidRPr="00511005">
          <w:rPr>
            <w:rFonts w:ascii="Arial" w:eastAsia="Times New Roman" w:hAnsi="Arial" w:cs="Arial"/>
            <w:szCs w:val="28"/>
            <w:lang w:val="en-US"/>
          </w:rPr>
          <w:t>kontrolnyj</w:t>
        </w:r>
        <w:r w:rsidRPr="00511005">
          <w:rPr>
            <w:rFonts w:ascii="Arial" w:eastAsia="Times New Roman" w:hAnsi="Arial" w:cs="Arial"/>
            <w:szCs w:val="28"/>
          </w:rPr>
          <w:t>-</w:t>
        </w:r>
        <w:r w:rsidRPr="00511005">
          <w:rPr>
            <w:rFonts w:ascii="Arial" w:eastAsia="Times New Roman" w:hAnsi="Arial" w:cs="Arial"/>
            <w:szCs w:val="28"/>
            <w:lang w:val="en-US"/>
          </w:rPr>
          <w:t>tekst</w:t>
        </w:r>
        <w:r w:rsidRPr="00511005">
          <w:rPr>
            <w:rFonts w:ascii="Arial" w:eastAsia="Times New Roman" w:hAnsi="Arial" w:cs="Arial"/>
            <w:szCs w:val="28"/>
          </w:rPr>
          <w:t>-</w:t>
        </w:r>
        <w:r w:rsidRPr="00511005">
          <w:rPr>
            <w:rFonts w:ascii="Arial" w:eastAsia="Times New Roman" w:hAnsi="Arial" w:cs="Arial"/>
            <w:szCs w:val="28"/>
            <w:lang w:val="en-US"/>
          </w:rPr>
          <w:t>proyektu</w:t>
        </w:r>
        <w:r w:rsidRPr="00511005">
          <w:rPr>
            <w:rFonts w:ascii="Arial" w:eastAsia="Times New Roman" w:hAnsi="Arial" w:cs="Arial"/>
            <w:szCs w:val="28"/>
          </w:rPr>
          <w:t>-</w:t>
        </w:r>
        <w:r w:rsidRPr="00511005">
          <w:rPr>
            <w:rFonts w:ascii="Arial" w:eastAsia="Times New Roman" w:hAnsi="Arial" w:cs="Arial"/>
            <w:szCs w:val="28"/>
            <w:lang w:val="en-US"/>
          </w:rPr>
          <w:t>kk</w:t>
        </w:r>
        <w:r w:rsidRPr="00511005">
          <w:rPr>
            <w:rFonts w:ascii="Arial" w:eastAsia="Times New Roman" w:hAnsi="Arial" w:cs="Arial"/>
            <w:szCs w:val="28"/>
          </w:rPr>
          <w:t>-14-09-2023.</w:t>
        </w:r>
        <w:r w:rsidRPr="00511005">
          <w:rPr>
            <w:rFonts w:ascii="Arial" w:eastAsia="Times New Roman" w:hAnsi="Arial" w:cs="Arial"/>
            <w:szCs w:val="28"/>
            <w:lang w:val="en-US"/>
          </w:rPr>
          <w:t>pdf</w:t>
        </w:r>
      </w:hyperlink>
      <w:r w:rsidRPr="00511005">
        <w:rPr>
          <w:rFonts w:ascii="Arial" w:eastAsia="Times New Roman" w:hAnsi="Arial" w:cs="Arial"/>
          <w:szCs w:val="28"/>
          <w:lang w:val="en-US"/>
        </w:rPr>
        <w:t> </w:t>
      </w:r>
      <w:r w:rsidRPr="00511005">
        <w:rPr>
          <w:rFonts w:ascii="Arial" w:eastAsia="Times New Roman" w:hAnsi="Arial" w:cs="Arial"/>
          <w:szCs w:val="28"/>
        </w:rPr>
        <w:t>(дата звернення: 07.04.2025).</w:t>
      </w:r>
      <w:bookmarkStart w:id="224" w:name="_Ref195644772"/>
      <w:bookmarkEnd w:id="220"/>
    </w:p>
    <w:p w14:paraId="5700BB10" w14:textId="77777777" w:rsidR="00200E87" w:rsidRPr="00511005" w:rsidRDefault="00200E87" w:rsidP="003F6A5D">
      <w:pPr>
        <w:numPr>
          <w:ilvl w:val="0"/>
          <w:numId w:val="552"/>
        </w:numPr>
        <w:spacing w:line="264" w:lineRule="auto"/>
        <w:contextualSpacing/>
        <w:jc w:val="left"/>
        <w:rPr>
          <w:rFonts w:ascii="Arial" w:eastAsia="Times New Roman" w:hAnsi="Arial" w:cs="Arial"/>
          <w:szCs w:val="28"/>
        </w:rPr>
      </w:pPr>
      <w:r w:rsidRPr="00511005">
        <w:rPr>
          <w:rFonts w:ascii="Arial" w:eastAsia="Calibri" w:hAnsi="Arial" w:cs="Arial"/>
          <w:szCs w:val="28"/>
        </w:rPr>
        <w:t xml:space="preserve">Проєкт Кримінального кодексу України. Книга друга «Про кримінальне правопорушення». / Робоча група з питань розвитку кримінального права. Київ, 2023. </w:t>
      </w:r>
      <w:r w:rsidRPr="00511005">
        <w:rPr>
          <w:rFonts w:ascii="Arial" w:eastAsia="Calibri" w:hAnsi="Arial" w:cs="Arial"/>
          <w:szCs w:val="28"/>
          <w:lang w:val="en-US"/>
        </w:rPr>
        <w:t>URL</w:t>
      </w:r>
      <w:r w:rsidRPr="00511005">
        <w:rPr>
          <w:rFonts w:ascii="Arial" w:eastAsia="Calibri" w:hAnsi="Arial" w:cs="Arial"/>
          <w:szCs w:val="28"/>
        </w:rPr>
        <w:t xml:space="preserve">: </w:t>
      </w:r>
      <w:bookmarkEnd w:id="221"/>
      <w:bookmarkEnd w:id="222"/>
      <w:r w:rsidRPr="00511005">
        <w:rPr>
          <w:rFonts w:ascii="Arial" w:eastAsia="Calibri" w:hAnsi="Arial" w:cs="Arial"/>
          <w:szCs w:val="28"/>
          <w:lang w:val="en-US"/>
        </w:rPr>
        <w:lastRenderedPageBreak/>
        <w:fldChar w:fldCharType="begin"/>
      </w:r>
      <w:r w:rsidRPr="00511005">
        <w:rPr>
          <w:rFonts w:ascii="Arial" w:eastAsia="Calibri" w:hAnsi="Arial" w:cs="Arial"/>
          <w:szCs w:val="28"/>
        </w:rPr>
        <w:instrText xml:space="preserve"> </w:instrText>
      </w:r>
      <w:r w:rsidRPr="00511005">
        <w:rPr>
          <w:rFonts w:ascii="Arial" w:eastAsia="Calibri" w:hAnsi="Arial" w:cs="Arial"/>
          <w:szCs w:val="28"/>
          <w:lang w:val="en-US"/>
        </w:rPr>
        <w:instrText>HYPERLINK</w:instrText>
      </w:r>
      <w:r w:rsidRPr="00511005">
        <w:rPr>
          <w:rFonts w:ascii="Arial" w:eastAsia="Calibri" w:hAnsi="Arial" w:cs="Arial"/>
          <w:szCs w:val="28"/>
        </w:rPr>
        <w:instrText xml:space="preserve"> "</w:instrText>
      </w:r>
      <w:r w:rsidRPr="00511005">
        <w:rPr>
          <w:rFonts w:ascii="Arial" w:eastAsia="Calibri" w:hAnsi="Arial" w:cs="Arial"/>
          <w:szCs w:val="28"/>
          <w:lang w:val="en-US"/>
        </w:rPr>
        <w:instrText>https</w:instrText>
      </w:r>
      <w:r w:rsidRPr="00511005">
        <w:rPr>
          <w:rFonts w:ascii="Arial" w:eastAsia="Calibri" w:hAnsi="Arial" w:cs="Arial"/>
          <w:szCs w:val="28"/>
        </w:rPr>
        <w:instrText>://</w:instrText>
      </w:r>
      <w:r w:rsidRPr="00511005">
        <w:rPr>
          <w:rFonts w:ascii="Arial" w:eastAsia="Calibri" w:hAnsi="Arial" w:cs="Arial"/>
          <w:szCs w:val="28"/>
          <w:lang w:val="en-US"/>
        </w:rPr>
        <w:instrText>ekmair</w:instrText>
      </w:r>
      <w:r w:rsidRPr="00511005">
        <w:rPr>
          <w:rFonts w:ascii="Arial" w:eastAsia="Calibri" w:hAnsi="Arial" w:cs="Arial"/>
          <w:szCs w:val="28"/>
        </w:rPr>
        <w:instrText>.</w:instrText>
      </w:r>
      <w:r w:rsidRPr="00511005">
        <w:rPr>
          <w:rFonts w:ascii="Arial" w:eastAsia="Calibri" w:hAnsi="Arial" w:cs="Arial"/>
          <w:szCs w:val="28"/>
          <w:lang w:val="en-US"/>
        </w:rPr>
        <w:instrText>ukma</w:instrText>
      </w:r>
      <w:r w:rsidRPr="00511005">
        <w:rPr>
          <w:rFonts w:ascii="Arial" w:eastAsia="Calibri" w:hAnsi="Arial" w:cs="Arial"/>
          <w:szCs w:val="28"/>
        </w:rPr>
        <w:instrText>.</w:instrText>
      </w:r>
      <w:r w:rsidRPr="00511005">
        <w:rPr>
          <w:rFonts w:ascii="Arial" w:eastAsia="Calibri" w:hAnsi="Arial" w:cs="Arial"/>
          <w:szCs w:val="28"/>
          <w:lang w:val="en-US"/>
        </w:rPr>
        <w:instrText>edu</w:instrText>
      </w:r>
      <w:r w:rsidRPr="00511005">
        <w:rPr>
          <w:rFonts w:ascii="Arial" w:eastAsia="Calibri" w:hAnsi="Arial" w:cs="Arial"/>
          <w:szCs w:val="28"/>
        </w:rPr>
        <w:instrText>.</w:instrText>
      </w:r>
      <w:r w:rsidRPr="00511005">
        <w:rPr>
          <w:rFonts w:ascii="Arial" w:eastAsia="Calibri" w:hAnsi="Arial" w:cs="Arial"/>
          <w:szCs w:val="28"/>
          <w:lang w:val="en-US"/>
        </w:rPr>
        <w:instrText>ua</w:instrText>
      </w:r>
      <w:r w:rsidRPr="00511005">
        <w:rPr>
          <w:rFonts w:ascii="Arial" w:eastAsia="Calibri" w:hAnsi="Arial" w:cs="Arial"/>
          <w:szCs w:val="28"/>
        </w:rPr>
        <w:instrText>/</w:instrText>
      </w:r>
      <w:r w:rsidRPr="00511005">
        <w:rPr>
          <w:rFonts w:ascii="Arial" w:eastAsia="Calibri" w:hAnsi="Arial" w:cs="Arial"/>
          <w:szCs w:val="28"/>
          <w:lang w:val="en-US"/>
        </w:rPr>
        <w:instrText>server</w:instrText>
      </w:r>
      <w:r w:rsidRPr="00511005">
        <w:rPr>
          <w:rFonts w:ascii="Arial" w:eastAsia="Calibri" w:hAnsi="Arial" w:cs="Arial"/>
          <w:szCs w:val="28"/>
        </w:rPr>
        <w:instrText>/</w:instrText>
      </w:r>
      <w:r w:rsidRPr="00511005">
        <w:rPr>
          <w:rFonts w:ascii="Arial" w:eastAsia="Calibri" w:hAnsi="Arial" w:cs="Arial"/>
          <w:szCs w:val="28"/>
          <w:lang w:val="en-US"/>
        </w:rPr>
        <w:instrText>api</w:instrText>
      </w:r>
      <w:r w:rsidRPr="00511005">
        <w:rPr>
          <w:rFonts w:ascii="Arial" w:eastAsia="Calibri" w:hAnsi="Arial" w:cs="Arial"/>
          <w:szCs w:val="28"/>
        </w:rPr>
        <w:instrText>/</w:instrText>
      </w:r>
      <w:r w:rsidRPr="00511005">
        <w:rPr>
          <w:rFonts w:ascii="Arial" w:eastAsia="Calibri" w:hAnsi="Arial" w:cs="Arial"/>
          <w:szCs w:val="28"/>
          <w:lang w:val="en-US"/>
        </w:rPr>
        <w:instrText>core</w:instrText>
      </w:r>
      <w:r w:rsidRPr="00511005">
        <w:rPr>
          <w:rFonts w:ascii="Arial" w:eastAsia="Calibri" w:hAnsi="Arial" w:cs="Arial"/>
          <w:szCs w:val="28"/>
        </w:rPr>
        <w:instrText>/</w:instrText>
      </w:r>
      <w:r w:rsidRPr="00511005">
        <w:rPr>
          <w:rFonts w:ascii="Arial" w:eastAsia="Calibri" w:hAnsi="Arial" w:cs="Arial"/>
          <w:szCs w:val="28"/>
          <w:lang w:val="en-US"/>
        </w:rPr>
        <w:instrText>bitstreams</w:instrText>
      </w:r>
      <w:r w:rsidRPr="00511005">
        <w:rPr>
          <w:rFonts w:ascii="Arial" w:eastAsia="Calibri" w:hAnsi="Arial" w:cs="Arial"/>
          <w:szCs w:val="28"/>
        </w:rPr>
        <w:instrText>/8</w:instrText>
      </w:r>
      <w:r w:rsidRPr="00511005">
        <w:rPr>
          <w:rFonts w:ascii="Arial" w:eastAsia="Calibri" w:hAnsi="Arial" w:cs="Arial"/>
          <w:szCs w:val="28"/>
          <w:lang w:val="en-US"/>
        </w:rPr>
        <w:instrText>ae</w:instrText>
      </w:r>
      <w:r w:rsidRPr="00511005">
        <w:rPr>
          <w:rFonts w:ascii="Arial" w:eastAsia="Calibri" w:hAnsi="Arial" w:cs="Arial"/>
          <w:szCs w:val="28"/>
        </w:rPr>
        <w:instrText>12</w:instrText>
      </w:r>
      <w:r w:rsidRPr="00511005">
        <w:rPr>
          <w:rFonts w:ascii="Arial" w:eastAsia="Calibri" w:hAnsi="Arial" w:cs="Arial"/>
          <w:szCs w:val="28"/>
          <w:lang w:val="en-US"/>
        </w:rPr>
        <w:instrText>feb</w:instrText>
      </w:r>
      <w:r w:rsidRPr="00511005">
        <w:rPr>
          <w:rFonts w:ascii="Arial" w:eastAsia="Calibri" w:hAnsi="Arial" w:cs="Arial"/>
          <w:szCs w:val="28"/>
        </w:rPr>
        <w:instrText>-4971-41</w:instrText>
      </w:r>
      <w:r w:rsidRPr="00511005">
        <w:rPr>
          <w:rFonts w:ascii="Arial" w:eastAsia="Calibri" w:hAnsi="Arial" w:cs="Arial"/>
          <w:szCs w:val="28"/>
          <w:lang w:val="en-US"/>
        </w:rPr>
        <w:instrText>d</w:instrText>
      </w:r>
      <w:r w:rsidRPr="00511005">
        <w:rPr>
          <w:rFonts w:ascii="Arial" w:eastAsia="Calibri" w:hAnsi="Arial" w:cs="Arial"/>
          <w:szCs w:val="28"/>
        </w:rPr>
        <w:instrText>8-85</w:instrText>
      </w:r>
      <w:r w:rsidRPr="00511005">
        <w:rPr>
          <w:rFonts w:ascii="Arial" w:eastAsia="Calibri" w:hAnsi="Arial" w:cs="Arial"/>
          <w:szCs w:val="28"/>
          <w:lang w:val="en-US"/>
        </w:rPr>
        <w:instrText>dd</w:instrText>
      </w:r>
      <w:r w:rsidRPr="00511005">
        <w:rPr>
          <w:rFonts w:ascii="Arial" w:eastAsia="Calibri" w:hAnsi="Arial" w:cs="Arial"/>
          <w:szCs w:val="28"/>
        </w:rPr>
        <w:instrText>-839</w:instrText>
      </w:r>
      <w:r w:rsidRPr="00511005">
        <w:rPr>
          <w:rFonts w:ascii="Arial" w:eastAsia="Calibri" w:hAnsi="Arial" w:cs="Arial"/>
          <w:szCs w:val="28"/>
          <w:lang w:val="en-US"/>
        </w:rPr>
        <w:instrText>b</w:instrText>
      </w:r>
      <w:r w:rsidRPr="00511005">
        <w:rPr>
          <w:rFonts w:ascii="Arial" w:eastAsia="Calibri" w:hAnsi="Arial" w:cs="Arial"/>
          <w:szCs w:val="28"/>
        </w:rPr>
        <w:instrText>2673</w:instrText>
      </w:r>
      <w:r w:rsidRPr="00511005">
        <w:rPr>
          <w:rFonts w:ascii="Arial" w:eastAsia="Calibri" w:hAnsi="Arial" w:cs="Arial"/>
          <w:szCs w:val="28"/>
          <w:lang w:val="en-US"/>
        </w:rPr>
        <w:instrText>bf</w:instrText>
      </w:r>
      <w:r w:rsidRPr="00511005">
        <w:rPr>
          <w:rFonts w:ascii="Arial" w:eastAsia="Calibri" w:hAnsi="Arial" w:cs="Arial"/>
          <w:szCs w:val="28"/>
        </w:rPr>
        <w:instrText>58/</w:instrText>
      </w:r>
      <w:r w:rsidRPr="00511005">
        <w:rPr>
          <w:rFonts w:ascii="Arial" w:eastAsia="Calibri" w:hAnsi="Arial" w:cs="Arial"/>
          <w:szCs w:val="28"/>
          <w:lang w:val="en-US"/>
        </w:rPr>
        <w:instrText>content</w:instrText>
      </w:r>
      <w:r w:rsidRPr="00511005">
        <w:rPr>
          <w:rFonts w:ascii="Arial" w:eastAsia="Calibri" w:hAnsi="Arial" w:cs="Arial"/>
          <w:szCs w:val="28"/>
          <w:lang w:val="uk-UA"/>
        </w:rPr>
        <w:instrText>\\</w:instrText>
      </w:r>
      <w:r w:rsidRPr="00511005">
        <w:rPr>
          <w:rFonts w:ascii="Arial" w:eastAsia="Calibri" w:hAnsi="Arial" w:cs="Arial"/>
          <w:szCs w:val="28"/>
        </w:rPr>
        <w:instrText xml:space="preserve">" </w:instrText>
      </w:r>
      <w:r w:rsidRPr="00511005">
        <w:rPr>
          <w:rFonts w:ascii="Arial" w:eastAsia="Calibri" w:hAnsi="Arial" w:cs="Arial"/>
          <w:szCs w:val="28"/>
          <w:lang w:val="en-US"/>
        </w:rPr>
        <w:fldChar w:fldCharType="separate"/>
      </w:r>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ekmair</w:t>
      </w:r>
      <w:r w:rsidRPr="00511005">
        <w:rPr>
          <w:rFonts w:ascii="Arial" w:eastAsia="Calibri" w:hAnsi="Arial" w:cs="Arial"/>
          <w:szCs w:val="28"/>
        </w:rPr>
        <w:t>.</w:t>
      </w:r>
      <w:r w:rsidRPr="00511005">
        <w:rPr>
          <w:rFonts w:ascii="Arial" w:eastAsia="Calibri" w:hAnsi="Arial" w:cs="Arial"/>
          <w:szCs w:val="28"/>
          <w:lang w:val="en-US"/>
        </w:rPr>
        <w:t>ukma</w:t>
      </w:r>
      <w:r w:rsidRPr="00511005">
        <w:rPr>
          <w:rFonts w:ascii="Arial" w:eastAsia="Calibri" w:hAnsi="Arial" w:cs="Arial"/>
          <w:szCs w:val="28"/>
        </w:rPr>
        <w:t>.</w:t>
      </w:r>
      <w:r w:rsidRPr="00511005">
        <w:rPr>
          <w:rFonts w:ascii="Arial" w:eastAsia="Calibri" w:hAnsi="Arial" w:cs="Arial"/>
          <w:szCs w:val="28"/>
          <w:lang w:val="en-US"/>
        </w:rPr>
        <w:t>edu</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server</w:t>
      </w:r>
      <w:r w:rsidRPr="00511005">
        <w:rPr>
          <w:rFonts w:ascii="Arial" w:eastAsia="Calibri" w:hAnsi="Arial" w:cs="Arial"/>
          <w:szCs w:val="28"/>
        </w:rPr>
        <w:t>/</w:t>
      </w:r>
      <w:r w:rsidRPr="00511005">
        <w:rPr>
          <w:rFonts w:ascii="Arial" w:eastAsia="Calibri" w:hAnsi="Arial" w:cs="Arial"/>
          <w:szCs w:val="28"/>
          <w:lang w:val="en-US"/>
        </w:rPr>
        <w:t>api</w:t>
      </w:r>
      <w:r w:rsidRPr="00511005">
        <w:rPr>
          <w:rFonts w:ascii="Arial" w:eastAsia="Calibri" w:hAnsi="Arial" w:cs="Arial"/>
          <w:szCs w:val="28"/>
        </w:rPr>
        <w:t>/</w:t>
      </w:r>
      <w:r w:rsidRPr="00511005">
        <w:rPr>
          <w:rFonts w:ascii="Arial" w:eastAsia="Calibri" w:hAnsi="Arial" w:cs="Arial"/>
          <w:szCs w:val="28"/>
          <w:lang w:val="en-US"/>
        </w:rPr>
        <w:t>core</w:t>
      </w:r>
      <w:r w:rsidRPr="00511005">
        <w:rPr>
          <w:rFonts w:ascii="Arial" w:eastAsia="Calibri" w:hAnsi="Arial" w:cs="Arial"/>
          <w:szCs w:val="28"/>
        </w:rPr>
        <w:t>/</w:t>
      </w:r>
      <w:r w:rsidRPr="00511005">
        <w:rPr>
          <w:rFonts w:ascii="Arial" w:eastAsia="Calibri" w:hAnsi="Arial" w:cs="Arial"/>
          <w:szCs w:val="28"/>
          <w:lang w:val="en-US"/>
        </w:rPr>
        <w:t>bitstreams</w:t>
      </w:r>
      <w:r w:rsidRPr="00511005">
        <w:rPr>
          <w:rFonts w:ascii="Arial" w:eastAsia="Calibri" w:hAnsi="Arial" w:cs="Arial"/>
          <w:szCs w:val="28"/>
        </w:rPr>
        <w:t>/8</w:t>
      </w:r>
      <w:r w:rsidRPr="00511005">
        <w:rPr>
          <w:rFonts w:ascii="Arial" w:eastAsia="Calibri" w:hAnsi="Arial" w:cs="Arial"/>
          <w:szCs w:val="28"/>
          <w:lang w:val="en-US"/>
        </w:rPr>
        <w:t>ae</w:t>
      </w:r>
      <w:r w:rsidRPr="00511005">
        <w:rPr>
          <w:rFonts w:ascii="Arial" w:eastAsia="Calibri" w:hAnsi="Arial" w:cs="Arial"/>
          <w:szCs w:val="28"/>
        </w:rPr>
        <w:t>12</w:t>
      </w:r>
      <w:r w:rsidRPr="00511005">
        <w:rPr>
          <w:rFonts w:ascii="Arial" w:eastAsia="Calibri" w:hAnsi="Arial" w:cs="Arial"/>
          <w:szCs w:val="28"/>
          <w:lang w:val="en-US"/>
        </w:rPr>
        <w:t>feb</w:t>
      </w:r>
      <w:r w:rsidRPr="00511005">
        <w:rPr>
          <w:rFonts w:ascii="Arial" w:eastAsia="Calibri" w:hAnsi="Arial" w:cs="Arial"/>
          <w:szCs w:val="28"/>
        </w:rPr>
        <w:t>-4971-41</w:t>
      </w:r>
      <w:r w:rsidRPr="00511005">
        <w:rPr>
          <w:rFonts w:ascii="Arial" w:eastAsia="Calibri" w:hAnsi="Arial" w:cs="Arial"/>
          <w:szCs w:val="28"/>
          <w:lang w:val="en-US"/>
        </w:rPr>
        <w:t>d</w:t>
      </w:r>
      <w:r w:rsidRPr="00511005">
        <w:rPr>
          <w:rFonts w:ascii="Arial" w:eastAsia="Calibri" w:hAnsi="Arial" w:cs="Arial"/>
          <w:szCs w:val="28"/>
        </w:rPr>
        <w:t>8-85</w:t>
      </w:r>
      <w:r w:rsidRPr="00511005">
        <w:rPr>
          <w:rFonts w:ascii="Arial" w:eastAsia="Calibri" w:hAnsi="Arial" w:cs="Arial"/>
          <w:szCs w:val="28"/>
          <w:lang w:val="en-US"/>
        </w:rPr>
        <w:t>dd</w:t>
      </w:r>
      <w:r w:rsidRPr="00511005">
        <w:rPr>
          <w:rFonts w:ascii="Arial" w:eastAsia="Calibri" w:hAnsi="Arial" w:cs="Arial"/>
          <w:szCs w:val="28"/>
        </w:rPr>
        <w:t>-839</w:t>
      </w:r>
      <w:r w:rsidRPr="00511005">
        <w:rPr>
          <w:rFonts w:ascii="Arial" w:eastAsia="Calibri" w:hAnsi="Arial" w:cs="Arial"/>
          <w:szCs w:val="28"/>
          <w:lang w:val="en-US"/>
        </w:rPr>
        <w:t>b</w:t>
      </w:r>
      <w:r w:rsidRPr="00511005">
        <w:rPr>
          <w:rFonts w:ascii="Arial" w:eastAsia="Calibri" w:hAnsi="Arial" w:cs="Arial"/>
          <w:szCs w:val="28"/>
        </w:rPr>
        <w:t>2673</w:t>
      </w:r>
      <w:r w:rsidRPr="00511005">
        <w:rPr>
          <w:rFonts w:ascii="Arial" w:eastAsia="Calibri" w:hAnsi="Arial" w:cs="Arial"/>
          <w:szCs w:val="28"/>
          <w:lang w:val="en-US"/>
        </w:rPr>
        <w:t>bf</w:t>
      </w:r>
      <w:r w:rsidRPr="00511005">
        <w:rPr>
          <w:rFonts w:ascii="Arial" w:eastAsia="Calibri" w:hAnsi="Arial" w:cs="Arial"/>
          <w:szCs w:val="28"/>
        </w:rPr>
        <w:t>58/</w:t>
      </w:r>
      <w:r w:rsidRPr="00511005">
        <w:rPr>
          <w:rFonts w:ascii="Arial" w:eastAsia="Calibri" w:hAnsi="Arial" w:cs="Arial"/>
          <w:szCs w:val="28"/>
          <w:lang w:val="en-US"/>
        </w:rPr>
        <w:t>content</w:t>
      </w:r>
      <w:r w:rsidRPr="00511005">
        <w:rPr>
          <w:rFonts w:ascii="Arial" w:eastAsia="Calibri" w:hAnsi="Arial" w:cs="Arial"/>
          <w:szCs w:val="28"/>
          <w:lang w:val="uk-UA"/>
        </w:rPr>
        <w:t>\</w:t>
      </w:r>
      <w:r w:rsidRPr="00511005">
        <w:rPr>
          <w:rFonts w:ascii="Arial" w:eastAsia="Calibri" w:hAnsi="Arial" w:cs="Arial"/>
          <w:szCs w:val="28"/>
          <w:lang w:val="en-US"/>
        </w:rPr>
        <w:fldChar w:fldCharType="end"/>
      </w:r>
      <w:bookmarkStart w:id="225" w:name="_Ref195644744"/>
      <w:bookmarkEnd w:id="224"/>
    </w:p>
    <w:p w14:paraId="52152669" w14:textId="77777777" w:rsidR="00200E87" w:rsidRPr="00511005" w:rsidRDefault="00200E87" w:rsidP="003F6A5D">
      <w:pPr>
        <w:numPr>
          <w:ilvl w:val="0"/>
          <w:numId w:val="552"/>
        </w:numPr>
        <w:spacing w:line="264" w:lineRule="auto"/>
        <w:contextualSpacing/>
        <w:jc w:val="left"/>
        <w:rPr>
          <w:rFonts w:ascii="Arial" w:eastAsia="Times New Roman" w:hAnsi="Arial" w:cs="Arial"/>
          <w:szCs w:val="28"/>
        </w:rPr>
      </w:pPr>
      <w:r w:rsidRPr="00511005">
        <w:rPr>
          <w:rFonts w:ascii="Arial" w:eastAsia="Times New Roman" w:hAnsi="Arial" w:cs="Arial"/>
          <w:szCs w:val="28"/>
        </w:rPr>
        <w:t xml:space="preserve">Обставини, що виключають можливість застосування певних видів покарань канд. юрид. наук: 12.00.08 / Антипов Владислав </w:t>
      </w:r>
      <w:proofErr w:type="gramStart"/>
      <w:r w:rsidRPr="00511005">
        <w:rPr>
          <w:rFonts w:ascii="Arial" w:eastAsia="Times New Roman" w:hAnsi="Arial" w:cs="Arial"/>
          <w:szCs w:val="28"/>
        </w:rPr>
        <w:t>Володимирович ;</w:t>
      </w:r>
      <w:proofErr w:type="gramEnd"/>
      <w:r w:rsidRPr="00511005">
        <w:rPr>
          <w:rFonts w:ascii="Arial" w:eastAsia="Times New Roman" w:hAnsi="Arial" w:cs="Arial"/>
          <w:szCs w:val="28"/>
        </w:rPr>
        <w:t xml:space="preserve"> Національна академія внутрішніх справ України. - К., 2005. - 211 арк.: табл. - арк. 185-198</w:t>
      </w:r>
      <w:bookmarkEnd w:id="225"/>
      <w:r w:rsidRPr="00511005">
        <w:rPr>
          <w:rFonts w:ascii="Arial" w:eastAsia="Times New Roman" w:hAnsi="Arial" w:cs="Arial"/>
          <w:szCs w:val="28"/>
          <w:lang w:val="uk-UA"/>
        </w:rPr>
        <w:t xml:space="preserve"> </w:t>
      </w:r>
    </w:p>
    <w:p w14:paraId="106F5C92" w14:textId="77777777" w:rsidR="00200E87" w:rsidRPr="00511005" w:rsidRDefault="00200E87" w:rsidP="003A292D">
      <w:pPr>
        <w:spacing w:line="264" w:lineRule="auto"/>
        <w:ind w:firstLine="0"/>
        <w:rPr>
          <w:rFonts w:ascii="Arial" w:eastAsia="Times New Roman" w:hAnsi="Arial" w:cs="Arial"/>
          <w:szCs w:val="28"/>
        </w:rPr>
      </w:pPr>
    </w:p>
    <w:bookmarkEnd w:id="223"/>
    <w:p w14:paraId="1B3EF906" w14:textId="5F0ECA91" w:rsidR="00200E87" w:rsidRPr="00511005" w:rsidRDefault="007B2628" w:rsidP="003A292D">
      <w:pPr>
        <w:spacing w:line="264" w:lineRule="auto"/>
        <w:ind w:firstLine="0"/>
        <w:jc w:val="left"/>
        <w:rPr>
          <w:rFonts w:ascii="Arial" w:eastAsia="Calibri" w:hAnsi="Arial" w:cs="Arial"/>
          <w:szCs w:val="28"/>
        </w:rPr>
      </w:pPr>
      <w:r w:rsidRPr="00511005">
        <w:rPr>
          <w:rFonts w:ascii="Arial" w:eastAsia="Calibri" w:hAnsi="Arial" w:cs="Arial"/>
          <w:b/>
          <w:bCs/>
          <w:i/>
          <w:szCs w:val="28"/>
          <w:lang w:val="uk-UA"/>
        </w:rPr>
        <w:t xml:space="preserve">Ключові слова: </w:t>
      </w:r>
      <w:r w:rsidR="00200E87" w:rsidRPr="00511005">
        <w:rPr>
          <w:rFonts w:ascii="Arial" w:eastAsia="Calibri" w:hAnsi="Arial" w:cs="Arial"/>
          <w:szCs w:val="28"/>
        </w:rPr>
        <w:t>кримінальні правопорушення</w:t>
      </w:r>
      <w:r w:rsidR="00200E87" w:rsidRPr="00511005">
        <w:rPr>
          <w:rFonts w:ascii="Arial" w:eastAsia="Calibri" w:hAnsi="Arial" w:cs="Arial"/>
          <w:szCs w:val="28"/>
          <w:lang w:val="uk-UA"/>
        </w:rPr>
        <w:t>,</w:t>
      </w:r>
      <w:r w:rsidR="00200E87" w:rsidRPr="00511005">
        <w:rPr>
          <w:rFonts w:ascii="Arial" w:eastAsia="Calibri" w:hAnsi="Arial" w:cs="Arial"/>
          <w:szCs w:val="28"/>
        </w:rPr>
        <w:t xml:space="preserve"> кримінальні проступки</w:t>
      </w:r>
      <w:r w:rsidR="00200E87" w:rsidRPr="00511005">
        <w:rPr>
          <w:rFonts w:ascii="Arial" w:eastAsia="Calibri" w:hAnsi="Arial" w:cs="Arial"/>
          <w:szCs w:val="28"/>
          <w:lang w:val="uk-UA"/>
        </w:rPr>
        <w:t xml:space="preserve">, </w:t>
      </w:r>
      <w:r w:rsidR="00200E87" w:rsidRPr="00511005">
        <w:rPr>
          <w:rFonts w:ascii="Arial" w:eastAsia="Calibri" w:hAnsi="Arial" w:cs="Arial"/>
          <w:szCs w:val="28"/>
        </w:rPr>
        <w:t>злочини</w:t>
      </w:r>
      <w:r w:rsidR="00200E87" w:rsidRPr="00511005">
        <w:rPr>
          <w:rFonts w:ascii="Arial" w:eastAsia="Calibri" w:hAnsi="Arial" w:cs="Arial"/>
          <w:szCs w:val="28"/>
          <w:lang w:val="uk-UA"/>
        </w:rPr>
        <w:t>,</w:t>
      </w:r>
      <w:r w:rsidR="00200E87" w:rsidRPr="00511005">
        <w:rPr>
          <w:rFonts w:ascii="Arial" w:eastAsia="Calibri" w:hAnsi="Arial" w:cs="Arial"/>
          <w:szCs w:val="28"/>
        </w:rPr>
        <w:t xml:space="preserve"> ступінь тяжкості злочину</w:t>
      </w:r>
      <w:r w:rsidR="00200E87" w:rsidRPr="00511005">
        <w:rPr>
          <w:rFonts w:ascii="Arial" w:eastAsia="Calibri" w:hAnsi="Arial" w:cs="Arial"/>
          <w:szCs w:val="28"/>
          <w:lang w:val="uk-UA"/>
        </w:rPr>
        <w:t xml:space="preserve">, </w:t>
      </w:r>
      <w:r w:rsidR="00200E87" w:rsidRPr="00511005">
        <w:rPr>
          <w:rFonts w:ascii="Arial" w:eastAsia="Calibri" w:hAnsi="Arial" w:cs="Arial"/>
          <w:szCs w:val="28"/>
        </w:rPr>
        <w:t>пропорційність покарань</w:t>
      </w:r>
      <w:r w:rsidR="00200E87" w:rsidRPr="00511005">
        <w:rPr>
          <w:rFonts w:ascii="Arial" w:eastAsia="Calibri" w:hAnsi="Arial" w:cs="Arial"/>
          <w:szCs w:val="28"/>
          <w:lang w:val="uk-UA"/>
        </w:rPr>
        <w:t xml:space="preserve">, </w:t>
      </w:r>
      <w:r w:rsidR="00200E87" w:rsidRPr="00511005">
        <w:rPr>
          <w:rFonts w:ascii="Arial" w:eastAsia="Calibri" w:hAnsi="Arial" w:cs="Arial"/>
          <w:szCs w:val="28"/>
        </w:rPr>
        <w:t>умисні злочини</w:t>
      </w:r>
      <w:r w:rsidR="00200E87" w:rsidRPr="00511005">
        <w:rPr>
          <w:rFonts w:ascii="Arial" w:eastAsia="Calibri" w:hAnsi="Arial" w:cs="Arial"/>
          <w:szCs w:val="28"/>
          <w:lang w:val="uk-UA"/>
        </w:rPr>
        <w:t xml:space="preserve">, </w:t>
      </w:r>
      <w:r w:rsidR="00200E87" w:rsidRPr="00511005">
        <w:rPr>
          <w:rFonts w:ascii="Arial" w:eastAsia="Calibri" w:hAnsi="Arial" w:cs="Arial"/>
          <w:szCs w:val="28"/>
        </w:rPr>
        <w:t>необережні злочини</w:t>
      </w:r>
      <w:r w:rsidR="00200E87" w:rsidRPr="00511005">
        <w:rPr>
          <w:rFonts w:ascii="Arial" w:eastAsia="Calibri" w:hAnsi="Arial" w:cs="Arial"/>
          <w:szCs w:val="28"/>
          <w:lang w:val="uk-UA"/>
        </w:rPr>
        <w:t>,</w:t>
      </w:r>
      <w:r w:rsidR="00200E87" w:rsidRPr="00511005">
        <w:rPr>
          <w:rFonts w:ascii="Arial" w:eastAsia="Calibri" w:hAnsi="Arial" w:cs="Arial"/>
          <w:szCs w:val="28"/>
        </w:rPr>
        <w:t xml:space="preserve"> суспільна небезпека</w:t>
      </w:r>
      <w:r w:rsidR="00200E87" w:rsidRPr="00511005">
        <w:rPr>
          <w:rFonts w:ascii="Arial" w:eastAsia="Calibri" w:hAnsi="Arial" w:cs="Arial"/>
          <w:szCs w:val="28"/>
        </w:rPr>
        <w:br/>
        <w:t>англійською:</w:t>
      </w:r>
      <w:r w:rsidR="00200E87" w:rsidRPr="00511005">
        <w:rPr>
          <w:rFonts w:ascii="Arial" w:eastAsia="Calibri" w:hAnsi="Arial" w:cs="Arial"/>
          <w:szCs w:val="28"/>
        </w:rPr>
        <w:br/>
      </w:r>
      <w:r w:rsidRPr="00511005">
        <w:rPr>
          <w:rFonts w:ascii="Arial" w:eastAsia="Calibri" w:hAnsi="Arial" w:cs="Arial"/>
          <w:b/>
          <w:bCs/>
          <w:i/>
          <w:szCs w:val="28"/>
          <w:lang w:val="uk-UA"/>
        </w:rPr>
        <w:t xml:space="preserve">Key words: </w:t>
      </w:r>
      <w:r w:rsidR="00200E87" w:rsidRPr="00511005">
        <w:rPr>
          <w:rFonts w:ascii="Arial" w:eastAsia="Calibri" w:hAnsi="Arial" w:cs="Arial"/>
          <w:szCs w:val="28"/>
          <w:lang w:val="en-US"/>
        </w:rPr>
        <w:t>criminal</w:t>
      </w:r>
      <w:r w:rsidR="00200E87" w:rsidRPr="00511005">
        <w:rPr>
          <w:rFonts w:ascii="Arial" w:eastAsia="Calibri" w:hAnsi="Arial" w:cs="Arial"/>
          <w:szCs w:val="28"/>
        </w:rPr>
        <w:t xml:space="preserve"> </w:t>
      </w:r>
      <w:r w:rsidR="00200E87" w:rsidRPr="00511005">
        <w:rPr>
          <w:rFonts w:ascii="Arial" w:eastAsia="Calibri" w:hAnsi="Arial" w:cs="Arial"/>
          <w:szCs w:val="28"/>
          <w:lang w:val="en-US"/>
        </w:rPr>
        <w:t>offenses</w:t>
      </w:r>
      <w:r w:rsidR="00200E87" w:rsidRPr="00511005">
        <w:rPr>
          <w:rFonts w:ascii="Arial" w:eastAsia="Calibri" w:hAnsi="Arial" w:cs="Arial"/>
          <w:szCs w:val="28"/>
          <w:lang w:val="uk-UA"/>
        </w:rPr>
        <w:t xml:space="preserve">, </w:t>
      </w:r>
      <w:r w:rsidR="00200E87" w:rsidRPr="00511005">
        <w:rPr>
          <w:rFonts w:ascii="Arial" w:eastAsia="Calibri" w:hAnsi="Arial" w:cs="Arial"/>
          <w:szCs w:val="28"/>
          <w:lang w:val="en-US"/>
        </w:rPr>
        <w:t>criminal</w:t>
      </w:r>
      <w:r w:rsidR="00200E87" w:rsidRPr="00511005">
        <w:rPr>
          <w:rFonts w:ascii="Arial" w:eastAsia="Calibri" w:hAnsi="Arial" w:cs="Arial"/>
          <w:szCs w:val="28"/>
        </w:rPr>
        <w:t xml:space="preserve"> </w:t>
      </w:r>
      <w:r w:rsidR="00200E87" w:rsidRPr="00511005">
        <w:rPr>
          <w:rFonts w:ascii="Arial" w:eastAsia="Calibri" w:hAnsi="Arial" w:cs="Arial"/>
          <w:szCs w:val="28"/>
          <w:lang w:val="en-US"/>
        </w:rPr>
        <w:t>misdemeanors</w:t>
      </w:r>
      <w:r w:rsidR="00200E87" w:rsidRPr="00511005">
        <w:rPr>
          <w:rFonts w:ascii="Arial" w:eastAsia="Calibri" w:hAnsi="Arial" w:cs="Arial"/>
          <w:szCs w:val="28"/>
          <w:lang w:val="uk-UA"/>
        </w:rPr>
        <w:t xml:space="preserve">, </w:t>
      </w:r>
      <w:r w:rsidR="00200E87" w:rsidRPr="00511005">
        <w:rPr>
          <w:rFonts w:ascii="Arial" w:eastAsia="Calibri" w:hAnsi="Arial" w:cs="Arial"/>
          <w:szCs w:val="28"/>
          <w:lang w:val="en-US"/>
        </w:rPr>
        <w:t>crimes</w:t>
      </w:r>
      <w:r w:rsidR="00200E87" w:rsidRPr="00511005">
        <w:rPr>
          <w:rFonts w:ascii="Arial" w:eastAsia="Calibri" w:hAnsi="Arial" w:cs="Arial"/>
          <w:szCs w:val="28"/>
          <w:lang w:val="uk-UA"/>
        </w:rPr>
        <w:t xml:space="preserve">, </w:t>
      </w:r>
      <w:r w:rsidR="00200E87" w:rsidRPr="00511005">
        <w:rPr>
          <w:rFonts w:ascii="Arial" w:eastAsia="Calibri" w:hAnsi="Arial" w:cs="Arial"/>
          <w:szCs w:val="28"/>
          <w:lang w:val="en-US"/>
        </w:rPr>
        <w:t>degree</w:t>
      </w:r>
      <w:r w:rsidR="00200E87" w:rsidRPr="00511005">
        <w:rPr>
          <w:rFonts w:ascii="Arial" w:eastAsia="Calibri" w:hAnsi="Arial" w:cs="Arial"/>
          <w:szCs w:val="28"/>
        </w:rPr>
        <w:t xml:space="preserve"> </w:t>
      </w:r>
      <w:r w:rsidR="00200E87" w:rsidRPr="00511005">
        <w:rPr>
          <w:rFonts w:ascii="Arial" w:eastAsia="Calibri" w:hAnsi="Arial" w:cs="Arial"/>
          <w:szCs w:val="28"/>
          <w:lang w:val="en-US"/>
        </w:rPr>
        <w:t>of</w:t>
      </w:r>
      <w:r w:rsidR="00200E87" w:rsidRPr="00511005">
        <w:rPr>
          <w:rFonts w:ascii="Arial" w:eastAsia="Calibri" w:hAnsi="Arial" w:cs="Arial"/>
          <w:szCs w:val="28"/>
        </w:rPr>
        <w:t xml:space="preserve"> </w:t>
      </w:r>
      <w:r w:rsidR="00200E87" w:rsidRPr="00511005">
        <w:rPr>
          <w:rFonts w:ascii="Arial" w:eastAsia="Calibri" w:hAnsi="Arial" w:cs="Arial"/>
          <w:szCs w:val="28"/>
          <w:lang w:val="en-US"/>
        </w:rPr>
        <w:t>crime</w:t>
      </w:r>
      <w:r w:rsidR="00200E87" w:rsidRPr="00511005">
        <w:rPr>
          <w:rFonts w:ascii="Arial" w:eastAsia="Calibri" w:hAnsi="Arial" w:cs="Arial"/>
          <w:szCs w:val="28"/>
        </w:rPr>
        <w:t xml:space="preserve"> </w:t>
      </w:r>
      <w:r w:rsidR="00200E87" w:rsidRPr="00511005">
        <w:rPr>
          <w:rFonts w:ascii="Arial" w:eastAsia="Calibri" w:hAnsi="Arial" w:cs="Arial"/>
          <w:szCs w:val="28"/>
          <w:lang w:val="en-US"/>
        </w:rPr>
        <w:t>severity</w:t>
      </w:r>
      <w:r w:rsidR="00200E87" w:rsidRPr="00511005">
        <w:rPr>
          <w:rFonts w:ascii="Arial" w:eastAsia="Calibri" w:hAnsi="Arial" w:cs="Arial"/>
          <w:szCs w:val="28"/>
          <w:lang w:val="uk-UA"/>
        </w:rPr>
        <w:t xml:space="preserve">, </w:t>
      </w:r>
      <w:r w:rsidR="00200E87" w:rsidRPr="00511005">
        <w:rPr>
          <w:rFonts w:ascii="Arial" w:eastAsia="Calibri" w:hAnsi="Arial" w:cs="Arial"/>
          <w:szCs w:val="28"/>
          <w:lang w:val="en-US"/>
        </w:rPr>
        <w:t>proportionality</w:t>
      </w:r>
      <w:r w:rsidR="00200E87" w:rsidRPr="00511005">
        <w:rPr>
          <w:rFonts w:ascii="Arial" w:eastAsia="Calibri" w:hAnsi="Arial" w:cs="Arial"/>
          <w:szCs w:val="28"/>
        </w:rPr>
        <w:t xml:space="preserve"> </w:t>
      </w:r>
      <w:r w:rsidR="00200E87" w:rsidRPr="00511005">
        <w:rPr>
          <w:rFonts w:ascii="Arial" w:eastAsia="Calibri" w:hAnsi="Arial" w:cs="Arial"/>
          <w:szCs w:val="28"/>
          <w:lang w:val="en-US"/>
        </w:rPr>
        <w:t>of</w:t>
      </w:r>
      <w:r w:rsidR="00200E87" w:rsidRPr="00511005">
        <w:rPr>
          <w:rFonts w:ascii="Arial" w:eastAsia="Calibri" w:hAnsi="Arial" w:cs="Arial"/>
          <w:szCs w:val="28"/>
        </w:rPr>
        <w:t xml:space="preserve"> </w:t>
      </w:r>
      <w:r w:rsidR="00200E87" w:rsidRPr="00511005">
        <w:rPr>
          <w:rFonts w:ascii="Arial" w:eastAsia="Calibri" w:hAnsi="Arial" w:cs="Arial"/>
          <w:szCs w:val="28"/>
          <w:lang w:val="en-US"/>
        </w:rPr>
        <w:t>punishments</w:t>
      </w:r>
      <w:r w:rsidR="00200E87" w:rsidRPr="00511005">
        <w:rPr>
          <w:rFonts w:ascii="Arial" w:eastAsia="Calibri" w:hAnsi="Arial" w:cs="Arial"/>
          <w:szCs w:val="28"/>
          <w:lang w:val="uk-UA"/>
        </w:rPr>
        <w:t>,</w:t>
      </w:r>
      <w:r w:rsidR="00200E87" w:rsidRPr="00511005">
        <w:rPr>
          <w:rFonts w:ascii="Arial" w:eastAsia="Calibri" w:hAnsi="Arial" w:cs="Arial"/>
          <w:szCs w:val="28"/>
        </w:rPr>
        <w:t xml:space="preserve"> </w:t>
      </w:r>
      <w:r w:rsidR="00200E87" w:rsidRPr="00511005">
        <w:rPr>
          <w:rFonts w:ascii="Arial" w:eastAsia="Calibri" w:hAnsi="Arial" w:cs="Arial"/>
          <w:szCs w:val="28"/>
          <w:lang w:val="en-US"/>
        </w:rPr>
        <w:t>intentional</w:t>
      </w:r>
      <w:r w:rsidR="00200E87" w:rsidRPr="00511005">
        <w:rPr>
          <w:rFonts w:ascii="Arial" w:eastAsia="Calibri" w:hAnsi="Arial" w:cs="Arial"/>
          <w:szCs w:val="28"/>
        </w:rPr>
        <w:t xml:space="preserve"> </w:t>
      </w:r>
      <w:r w:rsidR="00200E87" w:rsidRPr="00511005">
        <w:rPr>
          <w:rFonts w:ascii="Arial" w:eastAsia="Calibri" w:hAnsi="Arial" w:cs="Arial"/>
          <w:szCs w:val="28"/>
          <w:lang w:val="en-US"/>
        </w:rPr>
        <w:t>crimes</w:t>
      </w:r>
      <w:r w:rsidR="00200E87" w:rsidRPr="00511005">
        <w:rPr>
          <w:rFonts w:ascii="Arial" w:eastAsia="Calibri" w:hAnsi="Arial" w:cs="Arial"/>
          <w:szCs w:val="28"/>
          <w:lang w:val="uk-UA"/>
        </w:rPr>
        <w:t xml:space="preserve">, </w:t>
      </w:r>
      <w:r w:rsidR="00200E87" w:rsidRPr="00511005">
        <w:rPr>
          <w:rFonts w:ascii="Arial" w:eastAsia="Calibri" w:hAnsi="Arial" w:cs="Arial"/>
          <w:szCs w:val="28"/>
          <w:lang w:val="en-US"/>
        </w:rPr>
        <w:t>negligent</w:t>
      </w:r>
      <w:r w:rsidR="00200E87" w:rsidRPr="00511005">
        <w:rPr>
          <w:rFonts w:ascii="Arial" w:eastAsia="Calibri" w:hAnsi="Arial" w:cs="Arial"/>
          <w:szCs w:val="28"/>
        </w:rPr>
        <w:t xml:space="preserve"> </w:t>
      </w:r>
      <w:r w:rsidR="00200E87" w:rsidRPr="00511005">
        <w:rPr>
          <w:rFonts w:ascii="Arial" w:eastAsia="Calibri" w:hAnsi="Arial" w:cs="Arial"/>
          <w:szCs w:val="28"/>
          <w:lang w:val="en-US"/>
        </w:rPr>
        <w:t>crimes</w:t>
      </w:r>
      <w:r w:rsidR="00200E87" w:rsidRPr="00511005">
        <w:rPr>
          <w:rFonts w:ascii="Arial" w:eastAsia="Calibri" w:hAnsi="Arial" w:cs="Arial"/>
          <w:szCs w:val="28"/>
          <w:lang w:val="uk-UA"/>
        </w:rPr>
        <w:t xml:space="preserve">, </w:t>
      </w:r>
      <w:r w:rsidR="00200E87" w:rsidRPr="00511005">
        <w:rPr>
          <w:rFonts w:ascii="Arial" w:eastAsia="Calibri" w:hAnsi="Arial" w:cs="Arial"/>
          <w:szCs w:val="28"/>
          <w:lang w:val="en-US"/>
        </w:rPr>
        <w:t>social</w:t>
      </w:r>
      <w:r w:rsidR="00200E87" w:rsidRPr="00511005">
        <w:rPr>
          <w:rFonts w:ascii="Arial" w:eastAsia="Calibri" w:hAnsi="Arial" w:cs="Arial"/>
          <w:szCs w:val="28"/>
        </w:rPr>
        <w:t xml:space="preserve"> </w:t>
      </w:r>
      <w:r w:rsidR="00200E87" w:rsidRPr="00511005">
        <w:rPr>
          <w:rFonts w:ascii="Arial" w:eastAsia="Calibri" w:hAnsi="Arial" w:cs="Arial"/>
          <w:szCs w:val="28"/>
          <w:lang w:val="en-US"/>
        </w:rPr>
        <w:t>danger</w:t>
      </w:r>
    </w:p>
    <w:p w14:paraId="59E4268E" w14:textId="77777777" w:rsidR="00200E87" w:rsidRPr="00511005" w:rsidRDefault="00200E87" w:rsidP="003A292D">
      <w:pPr>
        <w:spacing w:line="264" w:lineRule="auto"/>
        <w:ind w:firstLine="0"/>
        <w:jc w:val="left"/>
        <w:rPr>
          <w:rFonts w:ascii="Arial" w:eastAsia="Calibri" w:hAnsi="Arial" w:cs="Arial"/>
          <w:i/>
          <w:iCs/>
          <w:szCs w:val="28"/>
          <w:lang w:val="uk-UA"/>
        </w:rPr>
      </w:pPr>
    </w:p>
    <w:p w14:paraId="20A80B73" w14:textId="6F5444FE" w:rsidR="00200E87" w:rsidRPr="00511005" w:rsidRDefault="007B2628" w:rsidP="003A292D">
      <w:pPr>
        <w:spacing w:line="264" w:lineRule="auto"/>
        <w:ind w:firstLine="0"/>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200E87" w:rsidRPr="00511005">
        <w:rPr>
          <w:rFonts w:ascii="Arial" w:eastAsia="Calibri" w:hAnsi="Arial" w:cs="Arial"/>
          <w:i/>
          <w:iCs/>
          <w:szCs w:val="28"/>
          <w:lang w:val="uk-UA"/>
        </w:rPr>
        <w:t>к.ю.н., доцент Тімофєєва Л. Ю..</w:t>
      </w:r>
    </w:p>
    <w:p w14:paraId="69CC09E6" w14:textId="77777777" w:rsidR="00200E87" w:rsidRPr="00511005" w:rsidRDefault="00200E87" w:rsidP="003A292D">
      <w:pPr>
        <w:spacing w:line="264" w:lineRule="auto"/>
        <w:ind w:firstLine="0"/>
        <w:rPr>
          <w:rFonts w:ascii="Arial" w:eastAsia="Times New Roman" w:hAnsi="Arial" w:cs="Arial"/>
          <w:szCs w:val="28"/>
          <w:lang w:val="uk-UA"/>
        </w:rPr>
      </w:pPr>
    </w:p>
    <w:p w14:paraId="2F1FD3BC"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730A8DAA" w14:textId="77777777" w:rsidR="003F5D68" w:rsidRPr="00511005" w:rsidRDefault="003F5D68" w:rsidP="003A292D">
      <w:pPr>
        <w:keepNext/>
        <w:suppressAutoHyphens/>
        <w:spacing w:line="264" w:lineRule="auto"/>
        <w:ind w:firstLine="0"/>
        <w:jc w:val="left"/>
        <w:rPr>
          <w:rFonts w:ascii="Arial" w:hAnsi="Arial" w:cs="Arial"/>
          <w:szCs w:val="28"/>
        </w:rPr>
      </w:pPr>
    </w:p>
    <w:p w14:paraId="76E99FB3" w14:textId="2FC06F53" w:rsidR="003F5D68" w:rsidRPr="00511005" w:rsidRDefault="003F5D68" w:rsidP="003A292D">
      <w:pPr>
        <w:pStyle w:val="aa"/>
        <w:spacing w:before="0" w:after="0" w:line="264" w:lineRule="auto"/>
        <w:rPr>
          <w:rFonts w:ascii="Arial" w:hAnsi="Arial" w:cs="Arial"/>
          <w:color w:val="auto"/>
          <w:sz w:val="28"/>
          <w:szCs w:val="28"/>
        </w:rPr>
      </w:pPr>
      <w:bookmarkStart w:id="226" w:name="_Toc208299004"/>
      <w:r w:rsidRPr="00511005">
        <w:rPr>
          <w:rFonts w:ascii="Arial" w:hAnsi="Arial" w:cs="Arial"/>
          <w:color w:val="auto"/>
          <w:sz w:val="28"/>
          <w:szCs w:val="28"/>
        </w:rPr>
        <w:t xml:space="preserve">СЕКЦІЯ </w:t>
      </w:r>
      <w:r w:rsidR="00256A2F" w:rsidRPr="00511005">
        <w:rPr>
          <w:rFonts w:ascii="Arial" w:hAnsi="Arial" w:cs="Arial"/>
          <w:color w:val="auto"/>
          <w:sz w:val="28"/>
          <w:szCs w:val="28"/>
          <w:lang w:val="ru-RU"/>
        </w:rPr>
        <w:t xml:space="preserve">15. ПРОБЛЕМИ </w:t>
      </w:r>
      <w:r w:rsidR="00532C25" w:rsidRPr="00511005">
        <w:rPr>
          <w:rFonts w:ascii="Arial" w:hAnsi="Arial" w:cs="Arial"/>
          <w:color w:val="auto"/>
          <w:sz w:val="28"/>
          <w:szCs w:val="28"/>
        </w:rPr>
        <w:t>КРИМІНАЛІСТИКИ, ДЕТЕКТИВНОЇ ТА ОПЕРАТИВНО-РОЗШУКОВОЇ ДІЯЛЬНОСТІ</w:t>
      </w:r>
      <w:r w:rsidR="00532C25">
        <w:rPr>
          <w:rFonts w:ascii="Arial" w:hAnsi="Arial" w:cs="Arial"/>
          <w:color w:val="auto"/>
          <w:sz w:val="28"/>
          <w:szCs w:val="28"/>
        </w:rPr>
        <w:t>,</w:t>
      </w:r>
      <w:r w:rsidR="00532C25" w:rsidRPr="00511005">
        <w:rPr>
          <w:rFonts w:ascii="Arial" w:hAnsi="Arial" w:cs="Arial"/>
          <w:color w:val="auto"/>
          <w:sz w:val="28"/>
          <w:szCs w:val="28"/>
          <w:lang w:val="ru-RU"/>
        </w:rPr>
        <w:t xml:space="preserve"> </w:t>
      </w:r>
      <w:r w:rsidR="00256A2F" w:rsidRPr="00511005">
        <w:rPr>
          <w:rFonts w:ascii="Arial" w:hAnsi="Arial" w:cs="Arial"/>
          <w:color w:val="auto"/>
          <w:sz w:val="28"/>
          <w:szCs w:val="28"/>
          <w:lang w:val="ru-RU"/>
        </w:rPr>
        <w:t>КРИМІНОЛОГІЇ ТА КРИМІНАЛЬНО-ВИКОНАВЧОГО ПРАВА</w:t>
      </w:r>
      <w:bookmarkEnd w:id="226"/>
      <w:r w:rsidR="00256A2F" w:rsidRPr="00511005">
        <w:rPr>
          <w:rFonts w:ascii="Arial" w:hAnsi="Arial" w:cs="Arial"/>
          <w:color w:val="auto"/>
          <w:sz w:val="28"/>
          <w:szCs w:val="28"/>
        </w:rPr>
        <w:t xml:space="preserve"> </w:t>
      </w:r>
    </w:p>
    <w:p w14:paraId="7BA09A6C" w14:textId="77777777" w:rsidR="003F5D68" w:rsidRPr="00511005" w:rsidRDefault="003F5D68" w:rsidP="003A292D">
      <w:pPr>
        <w:keepNext/>
        <w:spacing w:line="264" w:lineRule="auto"/>
        <w:ind w:firstLine="0"/>
        <w:jc w:val="left"/>
        <w:rPr>
          <w:rFonts w:ascii="Arial" w:hAnsi="Arial" w:cs="Arial"/>
          <w:szCs w:val="28"/>
        </w:rPr>
      </w:pPr>
    </w:p>
    <w:p w14:paraId="7FF1D382" w14:textId="77777777" w:rsidR="00532C25" w:rsidRPr="00511005" w:rsidRDefault="00532C25" w:rsidP="00532C25">
      <w:pPr>
        <w:pStyle w:val="21"/>
      </w:pPr>
      <w:bookmarkStart w:id="227" w:name="_Toc208299005"/>
      <w:r w:rsidRPr="00532C25">
        <w:t xml:space="preserve">Підсекція </w:t>
      </w:r>
      <w:r>
        <w:t>15</w:t>
      </w:r>
      <w:r w:rsidRPr="00532C25">
        <w:t>.1. Сучасні наукові дослідження у сфері криміналістики, детективної та оперативно-розшукової діяльності</w:t>
      </w:r>
      <w:bookmarkEnd w:id="227"/>
      <w:r w:rsidRPr="00532C25">
        <w:br/>
      </w:r>
    </w:p>
    <w:p w14:paraId="7B4C1011" w14:textId="77777777" w:rsidR="00532C25" w:rsidRPr="00511005" w:rsidRDefault="00532C25" w:rsidP="00532C25">
      <w:pPr>
        <w:spacing w:line="264" w:lineRule="auto"/>
        <w:ind w:firstLine="720"/>
        <w:jc w:val="center"/>
        <w:rPr>
          <w:rFonts w:ascii="Arial" w:eastAsia="Calibri" w:hAnsi="Arial" w:cs="Arial"/>
          <w:b/>
          <w:i/>
          <w:iCs/>
          <w:szCs w:val="28"/>
        </w:rPr>
      </w:pPr>
      <w:r w:rsidRPr="00511005">
        <w:rPr>
          <w:rFonts w:ascii="Arial" w:eastAsia="Calibri" w:hAnsi="Arial" w:cs="Arial"/>
          <w:b/>
          <w:i/>
          <w:iCs/>
          <w:szCs w:val="28"/>
        </w:rPr>
        <w:t>Агафонова Анжеліка Вячеславівна</w:t>
      </w:r>
    </w:p>
    <w:p w14:paraId="30116778"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26BB33D9"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6C0C9B8"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D079965" w14:textId="77777777" w:rsidR="00532C25" w:rsidRPr="00511005" w:rsidRDefault="00532C25" w:rsidP="00532C25">
      <w:pPr>
        <w:spacing w:line="264" w:lineRule="auto"/>
        <w:ind w:firstLine="720"/>
        <w:jc w:val="center"/>
        <w:rPr>
          <w:rFonts w:ascii="Arial" w:eastAsia="Calibri" w:hAnsi="Arial" w:cs="Arial"/>
          <w:i/>
          <w:szCs w:val="28"/>
        </w:rPr>
      </w:pPr>
    </w:p>
    <w:p w14:paraId="079493C8"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rPr>
        <w:t>КРИМІНАЛІСТИЧНІ АСПЕКТИ ВИЯВЛЕННЯ ЗАЛИШКІВ ВИБУХОВИХ ПРИСТРОЇВ НА МІСЦІ ТЕРОРИСТИЧНОГО АКТУ</w:t>
      </w:r>
    </w:p>
    <w:p w14:paraId="69F61C32"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Криміналістичне дослідження вибухів відіграє фундаментальну роль у процесі досудового розслідування терористичних актів, оскільки забезпечує здобуття вичерпної інформації про обставини вчинення злочину, механізм дії вибухового пристрою, його походження, а також потенційно причетних осіб.</w:t>
      </w:r>
    </w:p>
    <w:p w14:paraId="21A4A161"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Аналізуючи матеріальні залишки, виявлені на місці події, експерти-криміналісти мають змогу ідентифікувати тип вибухового пристрою – чи був він фабричного виробництва або виготовлений кустарним способом (саморобний вибуховий пристрій), встановити особливості його конструкції, принцип дії, тип і хімічний склад вибухової речовини. Встановлення зазначених параметрів дозволяє відтворити алгоритм виготовлення пристрою, виявити джерела походження його компонентів, а також простежити можливі канали їх надходження. Крім того, у результаті вибуху часто зберігаються мікроскопічні біологічні сліди – фрагменти епітелію, волосся, частинки крові, які можуть міститися на залишках корпусу чи елементах керування пристроєм. Дослідження таких слідів із застосуванням ДНК-аналізу чи дактилоскопії сприяє ідентифікації особи, яка виготовляла, транспортувала або активувала вибуховий механізм. Вилучені елементи конструкції, сліди вибухових речовин, фрагменти пошкоджених об'єктів та траєкторії розльоту уламків формують доказову основу, що дозволяє не лише реконструювати хронологію події, а й обґрунтовано підтверджувати чи спростовувати версії сторін кримінального провадження.</w:t>
      </w:r>
    </w:p>
    <w:p w14:paraId="43CFB957"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Огляд місця події, де стався вибух, є однією з найскладніших слідчих дій, що супроводжується високим рівнем ризику. Ця процедура потребує спеціальної підготовки, залучення висококваліфікованих фахівців, відповідного технічного забезпечення та суворого дотримання заходів безпеки. У зв'язку з потенційною загрозою повторного вибуху або наявності </w:t>
      </w:r>
      <w:r w:rsidRPr="00511005">
        <w:rPr>
          <w:rFonts w:ascii="Arial" w:eastAsia="Times New Roman" w:hAnsi="Arial" w:cs="Arial"/>
          <w:szCs w:val="28"/>
        </w:rPr>
        <w:lastRenderedPageBreak/>
        <w:t>незнешкоджених вибухових пристроїв, безпосередній огляд здійснюється виключно після проведення операцій з розмінування спеціалістами-вибухотехніками. Доступ до зони надзвичайної події дозволений лише визначеному колу осіб, які пройшли належну підготовку. Територія огляду огороджується та перебуває під постійним контролем задля уникнення доступу сторонніх осіб, що може призвести до втрати або спотворення доказової інформації.</w:t>
      </w:r>
    </w:p>
    <w:p w14:paraId="130613CD"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Ключовим етапом огляду є виявлення та фіксація залишків вибухового пристрою. Виявлені фрагменти корпусу – як правило, виготовлені з металу чи пластмаси, залишки детонаторів, елементів живлення та інших конструктивних частин – ретельно досліджуються з метою відтворення технології виготовлення пристрою, а також рівня технічної підготовки виконавця. Значну цінність становлять мікросліди вибухових речовин, які можуть зберігатися на уламках, частинах інфраструктури або на поверхні прилеглих об’єктів. Виявлення таких слідів здійснюється за допомогою реактивів, індикаторів, газоаналізаторів та хроматографічного обладнання. Зібрані матеріали надалі піддаються глибокому лабораторному дослідженню: проводиться якісний і кількісний хімічний аналіз, спектральне вивчення металів, трасологічна, балістична, біологічна експертиза тощо. Це забезпечує виявлення закономірностей у механізмі вибуху, напрямках вибухової хвилі та зон найбільшої деструкції.</w:t>
      </w:r>
    </w:p>
    <w:p w14:paraId="6B32671A"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Фіксація результатів огляду здійснюється з особливою ретельністю: використовується фотозйомка загального вигляду місця події, зокрема – кратера, епіцентру вибуху, розташування уламків, характерних пошкоджень. Зйомка проводиться з різних ракурсів та у різних масштабах, із застосуванням цифрових і тривимірних засобів. Складається детальна план-схема місцевості, яка містить інформацію про орієнтири, положення речових доказів, фрагментів пристрою та інших важливих об’єктів. Усі вилучені матеріали належно пакуються, маркуються із зазначенням часу, місця вилучення, особи, що здійснила вилучення, та передаються для подальшого дослідження згідно з вимогами кримінального процесуального законодавства. Така послідовність дій гарантує цілісність, автентичність і процесуальну допустимість зібраних доказів.</w:t>
      </w:r>
    </w:p>
    <w:p w14:paraId="07AA432A" w14:textId="77777777" w:rsidR="00532C25" w:rsidRPr="00511005" w:rsidRDefault="00532C25" w:rsidP="00532C25">
      <w:pPr>
        <w:spacing w:line="264" w:lineRule="auto"/>
        <w:ind w:firstLine="720"/>
        <w:rPr>
          <w:rFonts w:ascii="Arial" w:eastAsia="Times New Roman" w:hAnsi="Arial" w:cs="Arial"/>
          <w:szCs w:val="28"/>
        </w:rPr>
      </w:pPr>
      <w:proofErr w:type="gramStart"/>
      <w:r w:rsidRPr="00511005">
        <w:rPr>
          <w:rFonts w:ascii="Arial" w:eastAsia="Times New Roman" w:hAnsi="Arial" w:cs="Arial"/>
          <w:szCs w:val="28"/>
        </w:rPr>
        <w:t>У межах</w:t>
      </w:r>
      <w:proofErr w:type="gramEnd"/>
      <w:r w:rsidRPr="00511005">
        <w:rPr>
          <w:rFonts w:ascii="Arial" w:eastAsia="Times New Roman" w:hAnsi="Arial" w:cs="Arial"/>
          <w:szCs w:val="28"/>
        </w:rPr>
        <w:t xml:space="preserve"> кримінального провадження за фактами терористичних актів із використанням вибухових пристроїв задіюється широка міждисциплінарна команда фахівців. Вибухотехніки забезпечують ідентифікацію, вилучення та знешкодження вибухонебезпечних об’єктів, беруть участь у відновленні повної картини механізму вибуху. Хіміки аналізують речовини, що входили </w:t>
      </w:r>
      <w:proofErr w:type="gramStart"/>
      <w:r w:rsidRPr="00511005">
        <w:rPr>
          <w:rFonts w:ascii="Arial" w:eastAsia="Times New Roman" w:hAnsi="Arial" w:cs="Arial"/>
          <w:szCs w:val="28"/>
        </w:rPr>
        <w:t>до складу</w:t>
      </w:r>
      <w:proofErr w:type="gramEnd"/>
      <w:r w:rsidRPr="00511005">
        <w:rPr>
          <w:rFonts w:ascii="Arial" w:eastAsia="Times New Roman" w:hAnsi="Arial" w:cs="Arial"/>
          <w:szCs w:val="28"/>
        </w:rPr>
        <w:t xml:space="preserve"> вибухового пристрою, визначають їхній хімічний профіль, а також можливі джерела надходження. Трасологи досліджують сліди механічної взаємодії, напрямки руху вибухової хвилі, пошкодження, залишені на предметах та одязі. Залучення спеціалістів з досвідом розслідування </w:t>
      </w:r>
      <w:r w:rsidRPr="00511005">
        <w:rPr>
          <w:rFonts w:ascii="Arial" w:eastAsia="Times New Roman" w:hAnsi="Arial" w:cs="Arial"/>
          <w:szCs w:val="28"/>
        </w:rPr>
        <w:lastRenderedPageBreak/>
        <w:t>подібних інцидентів дозволяє глибше дослідити технології виготовлення пристрою, встановити країну-виробника окремих компонентів, відтворити логістику його переміщення.</w:t>
      </w:r>
    </w:p>
    <w:p w14:paraId="29DF5955"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Координація між структурами, які беруть участь у реагуванні на теракти, є невід'ємною складовою ефективного криміналістичного забезпечення. Служба безпеки України здійснює загальне керівництво заходами з протидії тероризму, організовує оперативно-розшукову діяльність і процесуальне супроводження справ. Національна поліція виконує функції охорони місця події, забезпечення слідчих дій та підтримання громадського порядку. Підрозділи ДСНС відповідають за ліквідацію наслідків вибуху, проведення евакуаційних заходів, розбір завалів та надання першої допомоги постраждалим.</w:t>
      </w:r>
    </w:p>
    <w:p w14:paraId="7872D8C2"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Якісне криміналістичне супроводження справи передбачає збирання повного комплексу доказів, які в подальшому можуть бути використані в судовому провадженні. Усі біологічні, механічні, хімічні, електронні сліди зіставляються з інформацією про підозрюваних осіб. Проводяться порівняльні дослідження, включаючи генетичні тести, аналіз відбитків пальців, аналіз пошкоджень тощо. Походження окремих компонентів вибухового пристрою дозволяє відстежити шляхи їх постачання, зафіксувати контактні особи, виявити використані методики активації (механічної, електронної, дистанційної). Такий рівень деталізації дозволяє сформувати обґрунтовану доказову базу щодо участі конкретних осіб у терористичній діяльності.</w:t>
      </w:r>
    </w:p>
    <w:p w14:paraId="68F2843C"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Збір доказів має здійснюватися виключно з дотриманням вимог Кримінального процесуального кодексу України, зокрема положень розділів ІІ, ІІІ, глави 20. Будь-які порушення процедури можуть зумовити визнання доказів недопустимими в суді. Дотримання принципів належності та допустимості доказів, а також процесуальної форми їхнього збирання, маркування, фіксації та зберігання гарантує правову силу доказової бази.</w:t>
      </w:r>
    </w:p>
    <w:p w14:paraId="3AC7D215"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Розслідування злочинів, пов’язаних із використанням вибухових пристроїв у терористичних цілях, становить собою високоризиковий і водночас науково насичений процес, що вимагає поєднання теоретичних знань, практичної підготовки та міжвідомчої взаємодії. Криміналістичне вивчення залишків вибуху безпосередньо впливає на повноту встановлення істини, виявлення винних осіб та реалізацію принципу невідворотності покарання.</w:t>
      </w:r>
    </w:p>
    <w:p w14:paraId="1ED332C4"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Комплексне залучення фахівців різного профілю – вибухотехніків, судових хіміків, трасологів – дозволяє відтворити повну картину події, з високим ступенем достовірності визначити тип, спосіб виготовлення, маршрут транспортування та метод активації вибухового пристрою. Дотримання процесуальних норм при фіксації й обігу доказів виступає гарантією їхньої юридичної сили в подальшому судовому провадженні.</w:t>
      </w:r>
    </w:p>
    <w:p w14:paraId="274F5974"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lastRenderedPageBreak/>
        <w:t>У підсумку, криміналістичний аналіз вибухів виступає критично важливим інструментом протидії тероризму, сприяє забезпеченню національної безпеки та реалізації правосуддя через якісне й об’єктивне розслідування надзвичайно небезпечних злочинів.</w:t>
      </w:r>
    </w:p>
    <w:p w14:paraId="2A277F39" w14:textId="77777777" w:rsidR="00532C25" w:rsidRPr="00511005" w:rsidRDefault="00532C25" w:rsidP="00532C25">
      <w:pPr>
        <w:spacing w:line="264" w:lineRule="auto"/>
        <w:ind w:firstLine="720"/>
        <w:jc w:val="center"/>
        <w:rPr>
          <w:rFonts w:ascii="Arial" w:eastAsia="Times New Roman" w:hAnsi="Arial" w:cs="Arial"/>
          <w:b/>
          <w:szCs w:val="28"/>
        </w:rPr>
      </w:pPr>
    </w:p>
    <w:p w14:paraId="48487D81" w14:textId="77777777" w:rsidR="00532C25" w:rsidRPr="00511005" w:rsidRDefault="00532C25" w:rsidP="00532C25">
      <w:pPr>
        <w:spacing w:line="264" w:lineRule="auto"/>
        <w:ind w:firstLine="720"/>
        <w:jc w:val="center"/>
        <w:rPr>
          <w:rFonts w:ascii="Arial" w:eastAsia="Times New Roman" w:hAnsi="Arial" w:cs="Arial"/>
          <w:b/>
          <w:szCs w:val="28"/>
        </w:rPr>
      </w:pPr>
      <w:r w:rsidRPr="00511005">
        <w:rPr>
          <w:rFonts w:ascii="Arial" w:eastAsia="Times New Roman" w:hAnsi="Arial" w:cs="Arial"/>
          <w:b/>
          <w:szCs w:val="28"/>
          <w:lang w:val="uk-UA"/>
        </w:rPr>
        <w:t>Список використаних джерел</w:t>
      </w:r>
    </w:p>
    <w:p w14:paraId="2003A8DD" w14:textId="77777777" w:rsidR="00532C25" w:rsidRPr="00511005" w:rsidRDefault="00532C25" w:rsidP="003F6A5D">
      <w:pPr>
        <w:numPr>
          <w:ilvl w:val="0"/>
          <w:numId w:val="671"/>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Кримінальний процесуальний кодекс України від 13.04.2013, № 4651-</w:t>
      </w:r>
      <w:proofErr w:type="gramStart"/>
      <w:r w:rsidRPr="00511005">
        <w:rPr>
          <w:rFonts w:ascii="Arial" w:eastAsia="Times New Roman" w:hAnsi="Arial" w:cs="Arial"/>
          <w:szCs w:val="28"/>
          <w:lang w:eastAsia="ru-RU"/>
        </w:rPr>
        <w:t>VI :</w:t>
      </w:r>
      <w:proofErr w:type="gramEnd"/>
      <w:r w:rsidRPr="00511005">
        <w:rPr>
          <w:rFonts w:ascii="Arial" w:eastAsia="Times New Roman" w:hAnsi="Arial" w:cs="Arial"/>
          <w:szCs w:val="28"/>
          <w:lang w:eastAsia="ru-RU"/>
        </w:rPr>
        <w:t xml:space="preserve"> станом на 26.12.2024. URL: </w:t>
      </w:r>
      <w:hyperlink r:id="rId1918" w:anchor="Text" w:history="1">
        <w:r w:rsidRPr="00511005">
          <w:rPr>
            <w:rFonts w:ascii="Arial" w:eastAsia="Times New Roman" w:hAnsi="Arial" w:cs="Arial"/>
            <w:szCs w:val="28"/>
            <w:lang w:eastAsia="ru-RU"/>
          </w:rPr>
          <w:t>https://zakon.rada.gov.ua/laws/show/4651-17#Text</w:t>
        </w:r>
      </w:hyperlink>
      <w:r w:rsidRPr="00511005">
        <w:rPr>
          <w:rFonts w:ascii="Arial" w:eastAsia="Times New Roman" w:hAnsi="Arial" w:cs="Arial"/>
          <w:szCs w:val="28"/>
          <w:lang w:eastAsia="ru-RU"/>
        </w:rPr>
        <w:t>.</w:t>
      </w:r>
    </w:p>
    <w:p w14:paraId="4771E872" w14:textId="77777777" w:rsidR="00532C25" w:rsidRPr="00511005" w:rsidRDefault="00532C25" w:rsidP="003F6A5D">
      <w:pPr>
        <w:numPr>
          <w:ilvl w:val="0"/>
          <w:numId w:val="671"/>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Закон України «Про боротьбу з тероризмом» від 20.03.2003 № 638-</w:t>
      </w:r>
      <w:proofErr w:type="gramStart"/>
      <w:r w:rsidRPr="00511005">
        <w:rPr>
          <w:rFonts w:ascii="Arial" w:eastAsia="Times New Roman" w:hAnsi="Arial" w:cs="Arial"/>
          <w:szCs w:val="28"/>
          <w:lang w:eastAsia="ru-RU"/>
        </w:rPr>
        <w:t>IV :</w:t>
      </w:r>
      <w:proofErr w:type="gramEnd"/>
      <w:r w:rsidRPr="00511005">
        <w:rPr>
          <w:rFonts w:ascii="Arial" w:eastAsia="Times New Roman" w:hAnsi="Arial" w:cs="Arial"/>
          <w:szCs w:val="28"/>
          <w:lang w:eastAsia="ru-RU"/>
        </w:rPr>
        <w:t xml:space="preserve"> станом на 09.01.2025. URL: </w:t>
      </w:r>
      <w:hyperlink r:id="rId1919" w:anchor="Text" w:history="1">
        <w:r w:rsidRPr="00511005">
          <w:rPr>
            <w:rFonts w:ascii="Arial" w:eastAsia="Times New Roman" w:hAnsi="Arial" w:cs="Arial"/>
            <w:szCs w:val="28"/>
            <w:lang w:eastAsia="ru-RU"/>
          </w:rPr>
          <w:t>https://zakon.rada.gov.ua/laws/show/638-15#Text</w:t>
        </w:r>
      </w:hyperlink>
      <w:r w:rsidRPr="00511005">
        <w:rPr>
          <w:rFonts w:ascii="Arial" w:eastAsia="Times New Roman" w:hAnsi="Arial" w:cs="Arial"/>
          <w:szCs w:val="28"/>
          <w:lang w:eastAsia="ru-RU"/>
        </w:rPr>
        <w:t xml:space="preserve"> </w:t>
      </w:r>
    </w:p>
    <w:p w14:paraId="77EF4629" w14:textId="77777777" w:rsidR="00532C25" w:rsidRPr="00511005" w:rsidRDefault="00532C25" w:rsidP="003F6A5D">
      <w:pPr>
        <w:numPr>
          <w:ilvl w:val="0"/>
          <w:numId w:val="671"/>
        </w:numPr>
        <w:spacing w:line="264" w:lineRule="auto"/>
        <w:ind w:left="0" w:firstLine="720"/>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Про затвердження Інструкції з організації взаємодії органів досудового розслідування з іншими органами та підрозділами Національної поліції України в запобіганні кримінальним правопорушенням, їх виявленні та </w:t>
      </w:r>
      <w:proofErr w:type="gramStart"/>
      <w:r w:rsidRPr="00511005">
        <w:rPr>
          <w:rFonts w:ascii="Arial" w:eastAsia="Times New Roman" w:hAnsi="Arial" w:cs="Arial"/>
          <w:szCs w:val="28"/>
          <w:lang w:eastAsia="ru-RU"/>
        </w:rPr>
        <w:t>розслідуванні :</w:t>
      </w:r>
      <w:proofErr w:type="gramEnd"/>
      <w:r w:rsidRPr="00511005">
        <w:rPr>
          <w:rFonts w:ascii="Arial" w:eastAsia="Times New Roman" w:hAnsi="Arial" w:cs="Arial"/>
          <w:szCs w:val="28"/>
          <w:lang w:eastAsia="ru-RU"/>
        </w:rPr>
        <w:t xml:space="preserve"> НАКАЗ від 07.07.2017, № № 575 : станом на 14.08.2024. </w:t>
      </w:r>
      <w:r w:rsidRPr="00511005">
        <w:rPr>
          <w:rFonts w:ascii="Arial" w:eastAsia="Times New Roman" w:hAnsi="Arial" w:cs="Arial"/>
          <w:szCs w:val="28"/>
          <w:lang w:val="pl-PL" w:eastAsia="ru-RU"/>
        </w:rPr>
        <w:t xml:space="preserve">URL: </w:t>
      </w:r>
      <w:r w:rsidR="005938AD">
        <w:fldChar w:fldCharType="begin"/>
      </w:r>
      <w:r w:rsidR="005938AD" w:rsidRPr="00055389">
        <w:rPr>
          <w:lang w:val="en-US"/>
        </w:rPr>
        <w:instrText xml:space="preserve"> HYPERLINK "https://zakon.rada.gov.ua/laws/show/z0937-17" \l "Text" </w:instrText>
      </w:r>
      <w:r w:rsidR="005938AD">
        <w:fldChar w:fldCharType="separate"/>
      </w:r>
      <w:r w:rsidRPr="00511005">
        <w:rPr>
          <w:rFonts w:ascii="Arial" w:eastAsia="Times New Roman" w:hAnsi="Arial" w:cs="Arial"/>
          <w:szCs w:val="28"/>
          <w:lang w:val="pl-PL" w:eastAsia="ru-RU"/>
        </w:rPr>
        <w:t>https://zakon.rada.gov.ua/laws/show/z0937-17#Text</w:t>
      </w:r>
      <w:r w:rsidR="005938AD">
        <w:rPr>
          <w:rFonts w:ascii="Arial" w:eastAsia="Times New Roman" w:hAnsi="Arial" w:cs="Arial"/>
          <w:szCs w:val="28"/>
          <w:lang w:val="pl-PL" w:eastAsia="ru-RU"/>
        </w:rPr>
        <w:fldChar w:fldCharType="end"/>
      </w:r>
      <w:r w:rsidRPr="00511005">
        <w:rPr>
          <w:rFonts w:ascii="Arial" w:eastAsia="Times New Roman" w:hAnsi="Arial" w:cs="Arial"/>
          <w:szCs w:val="28"/>
          <w:lang w:val="pl-PL" w:eastAsia="ru-RU"/>
        </w:rPr>
        <w:t xml:space="preserve">. </w:t>
      </w:r>
    </w:p>
    <w:p w14:paraId="3163908D" w14:textId="77777777" w:rsidR="00532C25" w:rsidRPr="00511005" w:rsidRDefault="00532C25" w:rsidP="003F6A5D">
      <w:pPr>
        <w:numPr>
          <w:ilvl w:val="0"/>
          <w:numId w:val="671"/>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Загальні положення криміналістичної техніки: лекція 2 / ДДУВС. – 2019. –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w:t>
      </w:r>
      <w:hyperlink r:id="rId1920" w:history="1">
        <w:r w:rsidRPr="00511005">
          <w:rPr>
            <w:rFonts w:ascii="Arial" w:eastAsia="Times New Roman" w:hAnsi="Arial" w:cs="Arial"/>
            <w:szCs w:val="28"/>
            <w:lang w:eastAsia="ru-RU"/>
          </w:rPr>
          <w:t>https://dduvs.edu.ua/wp-content/uploads/files/Structure/library/student/lectures/2020/kpd/l2.pdf</w:t>
        </w:r>
      </w:hyperlink>
      <w:r w:rsidRPr="00511005">
        <w:rPr>
          <w:rFonts w:ascii="Arial" w:eastAsia="Times New Roman" w:hAnsi="Arial" w:cs="Arial"/>
          <w:szCs w:val="28"/>
          <w:lang w:eastAsia="ru-RU"/>
        </w:rPr>
        <w:t xml:space="preserve"> </w:t>
      </w:r>
    </w:p>
    <w:p w14:paraId="53AD3C3A" w14:textId="77777777" w:rsidR="00532C25" w:rsidRPr="00511005" w:rsidRDefault="00532C25" w:rsidP="00532C25">
      <w:pPr>
        <w:spacing w:line="264" w:lineRule="auto"/>
        <w:ind w:firstLine="720"/>
        <w:rPr>
          <w:rFonts w:ascii="Arial" w:eastAsia="Times New Roman" w:hAnsi="Arial" w:cs="Arial"/>
          <w:b/>
          <w:i/>
          <w:szCs w:val="28"/>
        </w:rPr>
      </w:pPr>
    </w:p>
    <w:p w14:paraId="37EC5017"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b/>
          <w:i/>
          <w:szCs w:val="28"/>
        </w:rPr>
        <w:t xml:space="preserve">Ключові слова: </w:t>
      </w:r>
      <w:r w:rsidRPr="00511005">
        <w:rPr>
          <w:rFonts w:ascii="Arial" w:eastAsia="Times New Roman" w:hAnsi="Arial" w:cs="Arial"/>
          <w:szCs w:val="28"/>
        </w:rPr>
        <w:t>криміналістика, вибуховий пристрій, огляд місця події, судова експертиза, терористичний акт, докази, вибухотехніка, СБУ, ДНК-експертиза, національна безпека.</w:t>
      </w:r>
    </w:p>
    <w:p w14:paraId="7FC96615"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b/>
          <w:i/>
          <w:szCs w:val="28"/>
          <w:lang w:val="en-US"/>
        </w:rPr>
        <w:t xml:space="preserve">Key words: </w:t>
      </w:r>
      <w:r w:rsidRPr="00511005">
        <w:rPr>
          <w:rFonts w:ascii="Arial" w:eastAsia="Times New Roman" w:hAnsi="Arial" w:cs="Arial"/>
          <w:szCs w:val="28"/>
          <w:lang w:val="en-US"/>
        </w:rPr>
        <w:t>criminalistics, explosive device, crime scene inspection, forensic examination, terrorist act, evidence, bomb disposal, Security Service of Ukraine, DNA analysis, national security.</w:t>
      </w:r>
    </w:p>
    <w:p w14:paraId="6C5E2AC3"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i/>
          <w:iCs/>
          <w:szCs w:val="28"/>
        </w:rPr>
        <w:t>к.ю.н., доцент Гресь Ю.О.</w:t>
      </w:r>
    </w:p>
    <w:p w14:paraId="739B73D9" w14:textId="77777777" w:rsidR="00532C25" w:rsidRPr="00511005" w:rsidRDefault="00532C25" w:rsidP="00532C25">
      <w:pPr>
        <w:spacing w:line="264" w:lineRule="auto"/>
        <w:ind w:firstLine="0"/>
        <w:contextualSpacing/>
        <w:jc w:val="left"/>
        <w:rPr>
          <w:rFonts w:ascii="Arial" w:hAnsi="Arial" w:cs="Arial"/>
          <w:b/>
          <w:i/>
          <w:szCs w:val="28"/>
          <w:lang w:val="uk-UA" w:eastAsia="zh-CN" w:bidi="uk-UA"/>
        </w:rPr>
      </w:pPr>
    </w:p>
    <w:p w14:paraId="2DB83329" w14:textId="77777777" w:rsidR="00532C25" w:rsidRPr="00511005" w:rsidRDefault="00532C25" w:rsidP="00532C25">
      <w:pPr>
        <w:spacing w:line="264" w:lineRule="auto"/>
        <w:ind w:firstLine="720"/>
        <w:contextualSpacing/>
        <w:jc w:val="center"/>
        <w:rPr>
          <w:rFonts w:ascii="Arial" w:hAnsi="Arial" w:cs="Arial"/>
          <w:b/>
          <w:i/>
          <w:szCs w:val="28"/>
          <w:lang w:eastAsia="zh-CN" w:bidi="uk-UA"/>
        </w:rPr>
      </w:pPr>
      <w:r w:rsidRPr="00511005">
        <w:rPr>
          <w:rFonts w:ascii="Arial" w:hAnsi="Arial" w:cs="Arial"/>
          <w:b/>
          <w:i/>
          <w:szCs w:val="28"/>
          <w:lang w:eastAsia="zh-CN" w:bidi="uk-UA"/>
        </w:rPr>
        <w:t>Аістов Вадим Ігорович</w:t>
      </w:r>
    </w:p>
    <w:p w14:paraId="0E8F71F5" w14:textId="77777777" w:rsidR="00532C25" w:rsidRPr="00511005" w:rsidRDefault="00532C25" w:rsidP="00532C25">
      <w:pPr>
        <w:spacing w:line="264" w:lineRule="auto"/>
        <w:ind w:firstLine="720"/>
        <w:contextualSpacing/>
        <w:jc w:val="center"/>
        <w:rPr>
          <w:rFonts w:ascii="Arial" w:hAnsi="Arial" w:cs="Arial"/>
          <w:bCs/>
          <w:iCs/>
          <w:szCs w:val="28"/>
          <w:lang w:eastAsia="zh-CN" w:bidi="uk-UA"/>
        </w:rPr>
      </w:pPr>
      <w:r w:rsidRPr="00511005">
        <w:rPr>
          <w:rFonts w:ascii="Arial" w:hAnsi="Arial" w:cs="Arial"/>
          <w:bCs/>
          <w:iCs/>
          <w:szCs w:val="28"/>
          <w:lang w:eastAsia="zh-CN" w:bidi="uk-UA"/>
        </w:rPr>
        <w:t>студент 1-го курсу магістратури факультету судового та міжнародного права</w:t>
      </w:r>
    </w:p>
    <w:p w14:paraId="3013711D" w14:textId="77777777" w:rsidR="00532C25" w:rsidRPr="00511005" w:rsidRDefault="00532C25" w:rsidP="00532C25">
      <w:pPr>
        <w:spacing w:line="264" w:lineRule="auto"/>
        <w:ind w:firstLine="720"/>
        <w:contextualSpacing/>
        <w:jc w:val="center"/>
        <w:rPr>
          <w:rFonts w:ascii="Arial" w:hAnsi="Arial" w:cs="Arial"/>
          <w:bCs/>
          <w:szCs w:val="28"/>
          <w:lang w:eastAsia="zh-CN"/>
        </w:rPr>
      </w:pPr>
      <w:r w:rsidRPr="00511005">
        <w:rPr>
          <w:rFonts w:ascii="Arial" w:hAnsi="Arial" w:cs="Arial"/>
          <w:bCs/>
          <w:iCs/>
          <w:szCs w:val="28"/>
          <w:lang w:eastAsia="zh-CN" w:bidi="uk-UA"/>
        </w:rPr>
        <w:t>Національного університету «Одеська юридична академія»</w:t>
      </w:r>
    </w:p>
    <w:p w14:paraId="74E72658" w14:textId="77777777" w:rsidR="00532C25" w:rsidRPr="00511005" w:rsidRDefault="00532C25" w:rsidP="00532C25">
      <w:pPr>
        <w:spacing w:line="264" w:lineRule="auto"/>
        <w:ind w:firstLine="720"/>
        <w:contextualSpacing/>
        <w:jc w:val="center"/>
        <w:rPr>
          <w:rFonts w:ascii="Arial" w:hAnsi="Arial" w:cs="Arial"/>
          <w:b/>
          <w:szCs w:val="28"/>
          <w:lang w:eastAsia="zh-CN"/>
        </w:rPr>
      </w:pPr>
    </w:p>
    <w:p w14:paraId="62B702BD" w14:textId="77777777" w:rsidR="00532C25" w:rsidRPr="00511005" w:rsidRDefault="00532C25" w:rsidP="00532C25">
      <w:pPr>
        <w:spacing w:line="264" w:lineRule="auto"/>
        <w:ind w:firstLine="720"/>
        <w:contextualSpacing/>
        <w:jc w:val="center"/>
        <w:rPr>
          <w:rFonts w:ascii="Arial" w:hAnsi="Arial" w:cs="Arial"/>
          <w:b/>
          <w:szCs w:val="28"/>
          <w:lang w:eastAsia="zh-CN"/>
        </w:rPr>
      </w:pPr>
      <w:r w:rsidRPr="00511005">
        <w:rPr>
          <w:rFonts w:ascii="Arial" w:hAnsi="Arial" w:cs="Arial"/>
          <w:b/>
          <w:szCs w:val="28"/>
          <w:lang w:eastAsia="zh-CN"/>
        </w:rPr>
        <w:t>ОСОБЛИВОСТІ ДОСУДОВОГО РОЗСЛІДУВАННЯ ВІЙСЬКОВИХ КРИМІНАЛЬНИХ ПРАВОПОРУШЕНЬ, ВЧИНЕНИХ В УМОВАХ БОЙОВИХ ДІЙ</w:t>
      </w:r>
    </w:p>
    <w:p w14:paraId="21F107C5"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 xml:space="preserve">Сучасні збройні конфлікти супроводжуються значною кількістю військових кримінальних правопорушень, що потребують адекватного правового реагування з боку держави. В умовах повномасштабної агресії проти України проблема ефективного досудового розслідування таких </w:t>
      </w:r>
      <w:r w:rsidRPr="00511005">
        <w:rPr>
          <w:rFonts w:ascii="Arial" w:eastAsia="Calibri" w:hAnsi="Arial" w:cs="Arial"/>
          <w:szCs w:val="28"/>
        </w:rPr>
        <w:lastRenderedPageBreak/>
        <w:t>правопорушень набуває особливого значення. Військові злочини негативно впливають не лише на бойову готовність і моральний дух Збройних Сил України, але й на міжнародний імідж держави та рівень довіри громадськості до механізмів правосуддя.</w:t>
      </w:r>
    </w:p>
    <w:p w14:paraId="36C3D4C1"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Особливості досудового розслідування військових кримінальних правопорушень обумовлені, з одного боку, специфікою самих злочинів, які часто відбуваються у надзвичайно складних умовах бойових дій, а з іншого - необхідністю дотримання гарантій прав людини, навіть у період війни. Право на ефективне розслідування передбачає не лише виявлення й притягнення винних до відповідальності, а й забезпечення процесуальної справедливості для всіх учасників кримінального провадження.</w:t>
      </w:r>
    </w:p>
    <w:p w14:paraId="11C5AED5"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Як справедливо підкреслює Л. П. Медвідь, особливості притягнення до кримінальної відповідальності за військові кримінальні правопорушення зумовлені специфікою проходження військової служби і полягають у застосуванні до військовослужбовців як загальних, так і спеціальних видів покарання [1, с. 122]. Подібної позиції дотримується і М. І. Карпенко, який у своїй науковій роботі зазначає, що суб’єкт військових злочинів у законодавстві більшості країн визначається не лише через положення кримінального кодексу, а й через окремі нормативно-правові акти, що регулюють військову діяльність [2, с. 198].</w:t>
      </w:r>
    </w:p>
    <w:p w14:paraId="67D0D620"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 xml:space="preserve">Відповідно </w:t>
      </w:r>
      <w:proofErr w:type="gramStart"/>
      <w:r w:rsidRPr="00511005">
        <w:rPr>
          <w:rFonts w:ascii="Arial" w:eastAsia="Calibri" w:hAnsi="Arial" w:cs="Arial"/>
          <w:szCs w:val="28"/>
        </w:rPr>
        <w:t>до пункту</w:t>
      </w:r>
      <w:proofErr w:type="gramEnd"/>
      <w:r w:rsidRPr="00511005">
        <w:rPr>
          <w:rFonts w:ascii="Arial" w:eastAsia="Calibri" w:hAnsi="Arial" w:cs="Arial"/>
          <w:szCs w:val="28"/>
        </w:rPr>
        <w:t xml:space="preserve"> 3 частини четвертої статті 216 Кримінального процесуального кодексу України, повноваження щодо проведення досудового розслідування кримінальних правопорушень, які посягають на встановлений порядок проходження військової служби (так званих військових кримінальних правопорушень), надані слідчим органів Державного бюро розслідувань (ДБР) [3]. При цьому із загального переліку виключено розслідування злочинів, передбачених статтею 422 Кримінального кодексу України </w:t>
      </w:r>
    </w:p>
    <w:p w14:paraId="51B38508"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Особливої уваги заслуговує той факт, що більшість складів військових кримінальних правопорушень, передбачених розділом XIX Особливої частини Кримінального кодексу України, містять такі кваліфікуючі ознаки, як вчинення діяння «в умовах воєнного стану», «у бойовій обстановці», «під час бою» або «в районі бойових дій». Це свідчить про їхню підвищену суспільну небезпеку. Зокрема, така характеристика прямо закріплена в спеціально кваліфікованих складах злочинів, передбачених частинами четвертими статей 402, 404, 405, 408, 409, 410, 411, 425, 426 КК України, частиною третьою статей 403, 413, 418, 419, 420, 421, 428 та частиною п'ятою статті 407 та 426¹ Кримінального кодексу України [4].</w:t>
      </w:r>
    </w:p>
    <w:p w14:paraId="6F0363F6"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У сучасних умовах правозахисникам та спеціалістам у галузі захисту прав людини дедалі частіше доводиться здійснювати розслідування фактів військових злочинів без належної підготовки, необхідного досвіду чи повноцінного доступу до інформаційних ресурсів. Через це, навіть за умови </w:t>
      </w:r>
      <w:r w:rsidRPr="00511005">
        <w:rPr>
          <w:rFonts w:ascii="Arial" w:eastAsia="Calibri" w:hAnsi="Arial" w:cs="Arial"/>
          <w:szCs w:val="28"/>
        </w:rPr>
        <w:lastRenderedPageBreak/>
        <w:t>докладених зусиль, докази, які підтверджують факти військових злочинів та пов'язаних із ними порушень прав людини, можуть бути втрачені, знищені або визнані неналежними, що ускладнює процес притягнення винних до відповідальності та досягнення справедливості.</w:t>
      </w:r>
    </w:p>
    <w:p w14:paraId="701ECF52"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Крім того, аналіз військово-кримінального законодавства понад двадцяти країн світу демонструє різноманітність підходів до визначення кола осіб, які перебувають на військовій службі чи виконують військовий обов’язок і можуть нести кримінальну відповідальність за скоєння військових злочинів [2, с. 196].</w:t>
      </w:r>
    </w:p>
    <w:p w14:paraId="69047FD6"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Для мінімізації негативних наслідків існуючих проблем необхідно внести зміни до кримінально-процесуального законодавства України. Зокрема, варто уточнити підслідність органів військової юстиції, формати розслідування військових правопорушень, процесуальну роль командування, терміни досудового розслідування, порядок застосування заходів процесуального примусу та участь захисників, перекладачів, експертів у кримінальному процесі.</w:t>
      </w:r>
    </w:p>
    <w:p w14:paraId="6CA9291A"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Водночас відсутність об’єктивних перешкод для оновлення кримінально-правового регулювання у військовій сфері є очевидною, незважаючи на процес демілітаризації правової доктрини в Україні. Як свідчить практика, а також положення українських та європейських нормативно-правових актів, існують всі передумови для відновлення повноцінної військової юриспруденції [5].</w:t>
      </w:r>
    </w:p>
    <w:p w14:paraId="309ACE05"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Аналіз особливостей досудового розслідування військових кримінальних правопорушень, вчинених в умовах бойових дій, дозволяє дійти низки важливих висновків. По-перше, розслідування таких правопорушень має здійснюватися з урахуванням специфіки військової служби, екстремальних умов ведення бойових дій та психологічного стану військовослужбовців. Саме ці чинники накладають відбиток на організацію збору доказової бази, процесуальне оформлення результатів слідчих дій та оцінку достовірності свідчень.</w:t>
      </w:r>
    </w:p>
    <w:p w14:paraId="3DDE6E28" w14:textId="77777777" w:rsidR="00532C25" w:rsidRPr="00511005" w:rsidRDefault="00532C25" w:rsidP="00532C25">
      <w:pPr>
        <w:spacing w:line="264" w:lineRule="auto"/>
        <w:ind w:firstLine="720"/>
        <w:contextualSpacing/>
        <w:rPr>
          <w:rFonts w:ascii="Arial" w:eastAsia="Calibri" w:hAnsi="Arial" w:cs="Arial"/>
          <w:szCs w:val="28"/>
        </w:rPr>
      </w:pPr>
      <w:proofErr w:type="gramStart"/>
      <w:r w:rsidRPr="00511005">
        <w:rPr>
          <w:rFonts w:ascii="Arial" w:eastAsia="Calibri" w:hAnsi="Arial" w:cs="Arial"/>
          <w:szCs w:val="28"/>
        </w:rPr>
        <w:t>По-друге</w:t>
      </w:r>
      <w:proofErr w:type="gramEnd"/>
      <w:r w:rsidRPr="00511005">
        <w:rPr>
          <w:rFonts w:ascii="Arial" w:eastAsia="Calibri" w:hAnsi="Arial" w:cs="Arial"/>
          <w:szCs w:val="28"/>
        </w:rPr>
        <w:t xml:space="preserve">, ефективне розслідування військових злочинів неможливе без належної спеціалізації правоохоронних органів. У цьому контексті важливу роль відіграють військові прокурори, спеціалізовані слідчі підрозділи та мобільні групи, які мають відповідний досвід та підготовку для роботи </w:t>
      </w:r>
      <w:proofErr w:type="gramStart"/>
      <w:r w:rsidRPr="00511005">
        <w:rPr>
          <w:rFonts w:ascii="Arial" w:eastAsia="Calibri" w:hAnsi="Arial" w:cs="Arial"/>
          <w:szCs w:val="28"/>
        </w:rPr>
        <w:t>у зонах</w:t>
      </w:r>
      <w:proofErr w:type="gramEnd"/>
      <w:r w:rsidRPr="00511005">
        <w:rPr>
          <w:rFonts w:ascii="Arial" w:eastAsia="Calibri" w:hAnsi="Arial" w:cs="Arial"/>
          <w:szCs w:val="28"/>
        </w:rPr>
        <w:t xml:space="preserve"> бойових дій.</w:t>
      </w:r>
    </w:p>
    <w:p w14:paraId="1934D44B"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По-третє, суттєвим викликом залишається проблема належного документування злочинів в умовах обмеженого часу і доступу до місця подій. Тому слід активніше впроваджувати інноваційні технічні засоби фіксації інформації та розробляти адаптовані методичні рекомендації для слідчих і прокурорів.</w:t>
      </w:r>
    </w:p>
    <w:p w14:paraId="1AC0F9F8"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 xml:space="preserve">Таким чином, подальше удосконалення процесуального законодавства, підвищення професійної кваліфікації працівників слідчих </w:t>
      </w:r>
      <w:r w:rsidRPr="00511005">
        <w:rPr>
          <w:rFonts w:ascii="Arial" w:eastAsia="Calibri" w:hAnsi="Arial" w:cs="Arial"/>
          <w:szCs w:val="28"/>
        </w:rPr>
        <w:lastRenderedPageBreak/>
        <w:t>органів та впровадження сучасних технологій є необхідною умовою забезпечення ефективності розслідування військових правопорушень та підтримання принципів справедливості, правопорядку і верховенства права в умовах воєнного стану.</w:t>
      </w:r>
    </w:p>
    <w:p w14:paraId="784265D3" w14:textId="77777777" w:rsidR="00532C25" w:rsidRPr="00511005" w:rsidRDefault="00532C25" w:rsidP="00532C25">
      <w:pPr>
        <w:tabs>
          <w:tab w:val="left" w:pos="7088"/>
        </w:tabs>
        <w:autoSpaceDE w:val="0"/>
        <w:autoSpaceDN w:val="0"/>
        <w:adjustRightInd w:val="0"/>
        <w:spacing w:line="264" w:lineRule="auto"/>
        <w:ind w:firstLine="720"/>
        <w:contextualSpacing/>
        <w:jc w:val="center"/>
        <w:rPr>
          <w:rFonts w:ascii="Arial" w:eastAsia="Times New Roman" w:hAnsi="Arial" w:cs="Arial"/>
          <w:szCs w:val="28"/>
          <w:lang w:val="uk-UA" w:eastAsia="ru-RU" w:bidi="uk-UA"/>
        </w:rPr>
      </w:pPr>
      <w:r w:rsidRPr="00511005">
        <w:rPr>
          <w:rFonts w:ascii="Arial" w:eastAsia="Times New Roman" w:hAnsi="Arial" w:cs="Arial"/>
          <w:b/>
          <w:szCs w:val="28"/>
          <w:lang w:val="uk-UA" w:eastAsia="ru-RU" w:bidi="uk-UA"/>
        </w:rPr>
        <w:t>Список використаних джерел</w:t>
      </w:r>
    </w:p>
    <w:p w14:paraId="26493B7A" w14:textId="77777777" w:rsidR="00532C25" w:rsidRPr="00511005" w:rsidRDefault="00532C25" w:rsidP="003F6A5D">
      <w:pPr>
        <w:numPr>
          <w:ilvl w:val="0"/>
          <w:numId w:val="659"/>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Медвідь Л. П. Особливості кримінальної відповідальності військовослужбовців за вчинення військових кримінальних правопорушень. </w:t>
      </w:r>
      <w:r w:rsidRPr="00511005">
        <w:rPr>
          <w:rFonts w:ascii="Arial" w:eastAsia="Times New Roman" w:hAnsi="Arial" w:cs="Arial"/>
          <w:i/>
          <w:iCs/>
          <w:szCs w:val="28"/>
          <w:lang w:eastAsia="ru-RU"/>
        </w:rPr>
        <w:t>Актуальні проблеми кримінального права</w:t>
      </w:r>
      <w:r w:rsidRPr="00511005">
        <w:rPr>
          <w:rFonts w:ascii="Arial" w:eastAsia="Times New Roman" w:hAnsi="Arial" w:cs="Arial"/>
          <w:szCs w:val="28"/>
          <w:lang w:eastAsia="ru-RU"/>
        </w:rPr>
        <w:t xml:space="preserve">. URL: </w:t>
      </w:r>
      <w:hyperlink r:id="rId1921" w:tgtFrame="_blank" w:history="1">
        <w:r w:rsidRPr="00511005">
          <w:rPr>
            <w:rFonts w:ascii="Arial" w:eastAsia="Times New Roman" w:hAnsi="Arial" w:cs="Arial"/>
            <w:szCs w:val="28"/>
            <w:lang w:eastAsia="ru-RU"/>
          </w:rPr>
          <w:t>https://www.google.com/search?q=http://elar.naiau.kiev.ua/jspui/handle/123456789/20529</w:t>
        </w:r>
      </w:hyperlink>
      <w:r w:rsidRPr="00511005">
        <w:rPr>
          <w:rFonts w:ascii="Arial" w:eastAsia="Times New Roman" w:hAnsi="Arial" w:cs="Arial"/>
          <w:szCs w:val="28"/>
          <w:lang w:eastAsia="ru-RU"/>
        </w:rPr>
        <w:t xml:space="preserve"> </w:t>
      </w:r>
    </w:p>
    <w:p w14:paraId="627B797B" w14:textId="77777777" w:rsidR="00532C25" w:rsidRPr="00511005" w:rsidRDefault="00532C25" w:rsidP="003F6A5D">
      <w:pPr>
        <w:numPr>
          <w:ilvl w:val="0"/>
          <w:numId w:val="659"/>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Карпенко М. І. (2018). Особливості суб’єктів військових злочинів за кримінальним законодавством окремих держав світу. </w:t>
      </w:r>
      <w:r w:rsidRPr="00511005">
        <w:rPr>
          <w:rFonts w:ascii="Arial" w:eastAsia="Times New Roman" w:hAnsi="Arial" w:cs="Arial"/>
          <w:i/>
          <w:iCs/>
          <w:szCs w:val="28"/>
          <w:lang w:eastAsia="ru-RU"/>
        </w:rPr>
        <w:t>Підприємництво, господарство і право</w:t>
      </w:r>
      <w:r w:rsidRPr="00511005">
        <w:rPr>
          <w:rFonts w:ascii="Arial" w:eastAsia="Times New Roman" w:hAnsi="Arial" w:cs="Arial"/>
          <w:i/>
          <w:iCs/>
          <w:szCs w:val="28"/>
          <w:lang w:val="uk-UA" w:eastAsia="ru-RU"/>
        </w:rPr>
        <w:t>.</w:t>
      </w:r>
      <w:r w:rsidRPr="00511005">
        <w:rPr>
          <w:rFonts w:ascii="Arial" w:eastAsia="Times New Roman" w:hAnsi="Arial" w:cs="Arial"/>
          <w:szCs w:val="28"/>
          <w:lang w:eastAsia="ru-RU"/>
        </w:rPr>
        <w:t xml:space="preserve"> 10</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С. </w:t>
      </w:r>
      <w:r w:rsidRPr="00511005">
        <w:rPr>
          <w:rFonts w:ascii="Arial" w:eastAsia="Times New Roman" w:hAnsi="Arial" w:cs="Arial"/>
          <w:szCs w:val="28"/>
          <w:lang w:eastAsia="ru-RU"/>
        </w:rPr>
        <w:t xml:space="preserve">195–199. </w:t>
      </w:r>
    </w:p>
    <w:p w14:paraId="35F04C6F" w14:textId="77777777" w:rsidR="00532C25" w:rsidRPr="00511005" w:rsidRDefault="00532C25" w:rsidP="003F6A5D">
      <w:pPr>
        <w:numPr>
          <w:ilvl w:val="0"/>
          <w:numId w:val="659"/>
        </w:numPr>
        <w:spacing w:line="264" w:lineRule="auto"/>
        <w:ind w:left="0" w:firstLine="720"/>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Кримінальний процесуальний кодекс України: Закон України від 12 квітня 2012 року № 4651-VI. </w:t>
      </w:r>
      <w:r w:rsidRPr="00511005">
        <w:rPr>
          <w:rFonts w:ascii="Arial" w:eastAsia="Times New Roman" w:hAnsi="Arial" w:cs="Arial"/>
          <w:szCs w:val="28"/>
          <w:lang w:val="pl-PL" w:eastAsia="ru-RU"/>
        </w:rPr>
        <w:t xml:space="preserve">URL: </w:t>
      </w:r>
      <w:r w:rsidR="005938AD">
        <w:fldChar w:fldCharType="begin"/>
      </w:r>
      <w:r w:rsidR="005938AD" w:rsidRPr="00055389">
        <w:rPr>
          <w:lang w:val="en-US"/>
        </w:rPr>
        <w:instrText xml:space="preserve"> HYPERLINK "https://www.google.com/search?q=https://zakon.rada.gov.ua/laws/show/4651-17%23Text" \t "_blank" </w:instrText>
      </w:r>
      <w:r w:rsidR="005938AD">
        <w:fldChar w:fldCharType="separate"/>
      </w:r>
      <w:r w:rsidRPr="00511005">
        <w:rPr>
          <w:rFonts w:ascii="Arial" w:eastAsia="Times New Roman" w:hAnsi="Arial" w:cs="Arial"/>
          <w:szCs w:val="28"/>
          <w:lang w:val="pl-PL" w:eastAsia="ru-RU"/>
        </w:rPr>
        <w:t>https://www.google.com/search?q=https://zakon.rada.gov.ua/laws/show/4651-17%23Text</w:t>
      </w:r>
      <w:r w:rsidR="005938AD">
        <w:rPr>
          <w:rFonts w:ascii="Arial" w:eastAsia="Times New Roman" w:hAnsi="Arial" w:cs="Arial"/>
          <w:szCs w:val="28"/>
          <w:lang w:val="pl-PL" w:eastAsia="ru-RU"/>
        </w:rPr>
        <w:fldChar w:fldCharType="end"/>
      </w:r>
      <w:r w:rsidRPr="00511005">
        <w:rPr>
          <w:rFonts w:ascii="Arial" w:eastAsia="Times New Roman" w:hAnsi="Arial" w:cs="Arial"/>
          <w:szCs w:val="28"/>
          <w:lang w:val="pl-PL" w:eastAsia="ru-RU"/>
        </w:rPr>
        <w:t xml:space="preserve"> </w:t>
      </w:r>
    </w:p>
    <w:p w14:paraId="5EB1159D" w14:textId="77777777" w:rsidR="00532C25" w:rsidRPr="00511005" w:rsidRDefault="00532C25" w:rsidP="003F6A5D">
      <w:pPr>
        <w:numPr>
          <w:ilvl w:val="0"/>
          <w:numId w:val="659"/>
        </w:numPr>
        <w:spacing w:line="264" w:lineRule="auto"/>
        <w:ind w:left="0" w:firstLine="720"/>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Кримінальний кодекс України: Закон України від 5 квітня 2001 року № 2341-III. </w:t>
      </w:r>
      <w:r w:rsidRPr="00511005">
        <w:rPr>
          <w:rFonts w:ascii="Arial" w:eastAsia="Times New Roman" w:hAnsi="Arial" w:cs="Arial"/>
          <w:szCs w:val="28"/>
          <w:lang w:val="pl-PL" w:eastAsia="ru-RU"/>
        </w:rPr>
        <w:t xml:space="preserve">URL: </w:t>
      </w:r>
      <w:r w:rsidR="005938AD">
        <w:fldChar w:fldCharType="begin"/>
      </w:r>
      <w:r w:rsidR="005938AD" w:rsidRPr="00055389">
        <w:rPr>
          <w:lang w:val="en-US"/>
        </w:rPr>
        <w:instrText xml:space="preserve"> HYPERLINK "https://www.google.com/search?q=https://zakon.rada.gov.ua/laws/show/2341-14%23Text" \t "_blank" </w:instrText>
      </w:r>
      <w:r w:rsidR="005938AD">
        <w:fldChar w:fldCharType="separate"/>
      </w:r>
      <w:r w:rsidRPr="00511005">
        <w:rPr>
          <w:rFonts w:ascii="Arial" w:eastAsia="Times New Roman" w:hAnsi="Arial" w:cs="Arial"/>
          <w:szCs w:val="28"/>
          <w:lang w:val="pl-PL" w:eastAsia="ru-RU"/>
        </w:rPr>
        <w:t>https://www.google.com/search?q=https://zakon.rada.gov.ua/laws/show/2341-14%23Text</w:t>
      </w:r>
      <w:r w:rsidR="005938AD">
        <w:rPr>
          <w:rFonts w:ascii="Arial" w:eastAsia="Times New Roman" w:hAnsi="Arial" w:cs="Arial"/>
          <w:szCs w:val="28"/>
          <w:lang w:val="pl-PL" w:eastAsia="ru-RU"/>
        </w:rPr>
        <w:fldChar w:fldCharType="end"/>
      </w:r>
      <w:r w:rsidRPr="00511005">
        <w:rPr>
          <w:rFonts w:ascii="Arial" w:eastAsia="Times New Roman" w:hAnsi="Arial" w:cs="Arial"/>
          <w:szCs w:val="28"/>
          <w:lang w:val="pl-PL" w:eastAsia="ru-RU"/>
        </w:rPr>
        <w:t xml:space="preserve"> </w:t>
      </w:r>
    </w:p>
    <w:p w14:paraId="4A971954" w14:textId="77777777" w:rsidR="00532C25" w:rsidRPr="00511005" w:rsidRDefault="00532C25" w:rsidP="003F6A5D">
      <w:pPr>
        <w:numPr>
          <w:ilvl w:val="0"/>
          <w:numId w:val="659"/>
        </w:numPr>
        <w:spacing w:line="264" w:lineRule="auto"/>
        <w:ind w:left="0" w:firstLine="720"/>
        <w:contextualSpacing/>
        <w:jc w:val="left"/>
        <w:rPr>
          <w:rFonts w:ascii="Arial" w:eastAsia="Times New Roman" w:hAnsi="Arial" w:cs="Arial"/>
          <w:szCs w:val="28"/>
          <w:lang w:val="en-US" w:eastAsia="ru-RU"/>
        </w:rPr>
      </w:pPr>
      <w:r w:rsidRPr="00511005">
        <w:rPr>
          <w:rFonts w:ascii="Arial" w:eastAsia="Times New Roman" w:hAnsi="Arial" w:cs="Arial"/>
          <w:szCs w:val="28"/>
          <w:lang w:val="en-US" w:eastAsia="ru-RU"/>
        </w:rPr>
        <w:t xml:space="preserve">Gorinov P., &amp; Mereniuk K. (2022). Military law in Ukraine: future prospects for development. </w:t>
      </w:r>
      <w:r w:rsidRPr="00511005">
        <w:rPr>
          <w:rFonts w:ascii="Arial" w:eastAsia="Times New Roman" w:hAnsi="Arial" w:cs="Arial"/>
          <w:i/>
          <w:iCs/>
          <w:szCs w:val="28"/>
          <w:lang w:val="en-US" w:eastAsia="ru-RU"/>
        </w:rPr>
        <w:t>Futurity Economics &amp; Law</w:t>
      </w:r>
      <w:r w:rsidRPr="00511005">
        <w:rPr>
          <w:rFonts w:ascii="Arial" w:eastAsia="Times New Roman" w:hAnsi="Arial" w:cs="Arial"/>
          <w:szCs w:val="28"/>
          <w:lang w:val="en-US" w:eastAsia="ru-RU"/>
        </w:rPr>
        <w:t xml:space="preserve">, </w:t>
      </w:r>
      <w:r w:rsidRPr="00511005">
        <w:rPr>
          <w:rFonts w:ascii="Arial" w:eastAsia="Times New Roman" w:hAnsi="Arial" w:cs="Arial"/>
          <w:i/>
          <w:iCs/>
          <w:szCs w:val="28"/>
          <w:lang w:val="en-US" w:eastAsia="ru-RU"/>
        </w:rPr>
        <w:t>2</w:t>
      </w:r>
      <w:r w:rsidRPr="00511005">
        <w:rPr>
          <w:rFonts w:ascii="Arial" w:eastAsia="Times New Roman" w:hAnsi="Arial" w:cs="Arial"/>
          <w:szCs w:val="28"/>
          <w:lang w:val="en-US" w:eastAsia="ru-RU"/>
        </w:rPr>
        <w:t xml:space="preserve">(3), 18–27. URL: </w:t>
      </w:r>
      <w:r w:rsidR="005938AD">
        <w:fldChar w:fldCharType="begin"/>
      </w:r>
      <w:r w:rsidR="005938AD" w:rsidRPr="00055389">
        <w:rPr>
          <w:lang w:val="en-US"/>
        </w:rPr>
        <w:instrText xml:space="preserve"> HYPERLINK "https://www.google.com/search?q=https://doi.org/10.57125/FEL.2022.09.25.03" \t "_blank" </w:instrText>
      </w:r>
      <w:r w:rsidR="005938AD">
        <w:fldChar w:fldCharType="separate"/>
      </w:r>
      <w:r w:rsidRPr="00511005">
        <w:rPr>
          <w:rFonts w:ascii="Arial" w:eastAsia="Times New Roman" w:hAnsi="Arial" w:cs="Arial"/>
          <w:szCs w:val="28"/>
          <w:lang w:val="en-US" w:eastAsia="ru-RU"/>
        </w:rPr>
        <w:t>https://www.google.com/search?q=https://doi.org/10.57125/FEL.2022.09.25.03</w:t>
      </w:r>
      <w:r w:rsidR="005938AD">
        <w:rPr>
          <w:rFonts w:ascii="Arial" w:eastAsia="Times New Roman" w:hAnsi="Arial" w:cs="Arial"/>
          <w:szCs w:val="28"/>
          <w:lang w:val="en-US" w:eastAsia="ru-RU"/>
        </w:rPr>
        <w:fldChar w:fldCharType="end"/>
      </w:r>
      <w:r w:rsidRPr="00511005">
        <w:rPr>
          <w:rFonts w:ascii="Arial" w:eastAsia="Times New Roman" w:hAnsi="Arial" w:cs="Arial"/>
          <w:szCs w:val="28"/>
          <w:lang w:val="uk-UA" w:eastAsia="ru-RU"/>
        </w:rPr>
        <w:t xml:space="preserve"> </w:t>
      </w:r>
    </w:p>
    <w:p w14:paraId="21B37792"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b/>
          <w:bCs/>
          <w:szCs w:val="28"/>
          <w:lang w:val="uk-UA" w:eastAsia="ru-RU"/>
        </w:rPr>
      </w:pPr>
    </w:p>
    <w:p w14:paraId="7CFEDD86"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Pr="00511005">
        <w:rPr>
          <w:rFonts w:ascii="Arial" w:eastAsia="Times New Roman" w:hAnsi="Arial" w:cs="Arial"/>
          <w:szCs w:val="28"/>
          <w:lang w:val="uk-UA" w:eastAsia="ru-RU"/>
        </w:rPr>
        <w:t xml:space="preserve">досудове розслідування, військові кримінальні правопорушення, бойові дії, військова юстиція, процесуальні гарантії, військова служба. </w:t>
      </w:r>
    </w:p>
    <w:p w14:paraId="58855471"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szCs w:val="28"/>
          <w:lang w:val="en-US" w:eastAsia="ru-RU"/>
        </w:rPr>
      </w:pPr>
      <w:r w:rsidRPr="00511005">
        <w:rPr>
          <w:rFonts w:ascii="Arial" w:eastAsia="Times New Roman" w:hAnsi="Arial" w:cs="Arial"/>
          <w:b/>
          <w:bCs/>
          <w:i/>
          <w:szCs w:val="28"/>
          <w:lang w:val="uk-UA" w:eastAsia="ru-RU"/>
        </w:rPr>
        <w:t xml:space="preserve">Key words: </w:t>
      </w:r>
      <w:r w:rsidRPr="00511005">
        <w:rPr>
          <w:rFonts w:ascii="Arial" w:eastAsia="Times New Roman" w:hAnsi="Arial" w:cs="Arial"/>
          <w:szCs w:val="28"/>
          <w:lang w:val="uk-UA" w:eastAsia="ru-RU"/>
        </w:rPr>
        <w:t>pre-trial investigation, military criminal offenses, combat operations, military justice, procedural guarantees, military service.</w:t>
      </w:r>
    </w:p>
    <w:p w14:paraId="0E054926" w14:textId="77777777" w:rsidR="00532C25" w:rsidRPr="00511005" w:rsidRDefault="00532C25" w:rsidP="00532C25">
      <w:pPr>
        <w:spacing w:line="264" w:lineRule="auto"/>
        <w:ind w:firstLine="720"/>
        <w:jc w:val="left"/>
        <w:rPr>
          <w:rFonts w:ascii="Arial" w:eastAsia="Calibri" w:hAnsi="Arial" w:cs="Arial"/>
          <w:bCs/>
          <w:i/>
          <w:iCs/>
          <w:kern w:val="2"/>
          <w:szCs w:val="28"/>
          <w:lang w:bidi="uk-UA"/>
          <w14:ligatures w14:val="standardContextual"/>
        </w:rPr>
      </w:pPr>
      <w:r w:rsidRPr="00511005">
        <w:rPr>
          <w:rFonts w:ascii="Arial" w:eastAsia="Calibri" w:hAnsi="Arial" w:cs="Arial"/>
          <w:b/>
          <w:bCs/>
          <w:i/>
          <w:iCs/>
          <w:kern w:val="2"/>
          <w:szCs w:val="28"/>
          <w:lang w:bidi="uk-UA"/>
          <w14:ligatures w14:val="standardContextual"/>
        </w:rPr>
        <w:t xml:space="preserve">Науковий керівник: </w:t>
      </w:r>
      <w:r w:rsidRPr="00511005">
        <w:rPr>
          <w:rFonts w:ascii="Arial" w:eastAsia="Calibri" w:hAnsi="Arial" w:cs="Arial"/>
          <w:bCs/>
          <w:i/>
          <w:iCs/>
          <w:kern w:val="2"/>
          <w:szCs w:val="28"/>
          <w:lang w:bidi="uk-UA"/>
          <w14:ligatures w14:val="standardContextual"/>
        </w:rPr>
        <w:t>к.ю.н., доцент Шершенькова В.А.</w:t>
      </w:r>
    </w:p>
    <w:p w14:paraId="7BD3DEF7" w14:textId="77777777" w:rsidR="00532C25" w:rsidRPr="00511005" w:rsidRDefault="00532C25" w:rsidP="00532C25">
      <w:pPr>
        <w:spacing w:line="264" w:lineRule="auto"/>
        <w:ind w:firstLine="720"/>
        <w:jc w:val="left"/>
        <w:rPr>
          <w:rFonts w:ascii="Arial" w:eastAsia="Calibri" w:hAnsi="Arial" w:cs="Arial"/>
          <w:szCs w:val="28"/>
        </w:rPr>
      </w:pPr>
    </w:p>
    <w:p w14:paraId="0A1D915C" w14:textId="77777777" w:rsidR="00532C25" w:rsidRPr="00511005" w:rsidRDefault="00532C25" w:rsidP="00532C2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720"/>
        <w:jc w:val="center"/>
        <w:rPr>
          <w:rFonts w:ascii="Arial" w:eastAsia="Calibri" w:hAnsi="Arial" w:cs="Arial"/>
          <w:b/>
          <w:bCs/>
          <w:szCs w:val="28"/>
          <w:lang w:val="uk-UA"/>
        </w:rPr>
      </w:pPr>
      <w:r w:rsidRPr="00511005">
        <w:rPr>
          <w:rFonts w:ascii="Arial" w:eastAsia="Calibri" w:hAnsi="Arial" w:cs="Arial"/>
          <w:b/>
          <w:bCs/>
          <w:i/>
          <w:iCs/>
          <w:szCs w:val="28"/>
          <w:lang w:val="uk-UA"/>
        </w:rPr>
        <w:t>Александрова Наталія Сергіївна</w:t>
      </w:r>
      <w:r w:rsidRPr="00511005">
        <w:rPr>
          <w:rFonts w:ascii="Arial" w:eastAsia="Calibri" w:hAnsi="Arial" w:cs="Arial"/>
          <w:b/>
          <w:bCs/>
          <w:szCs w:val="28"/>
          <w:lang w:val="uk-UA"/>
        </w:rPr>
        <w:br/>
      </w:r>
      <w:r w:rsidRPr="00511005">
        <w:rPr>
          <w:rFonts w:ascii="Arial" w:eastAsia="Calibri" w:hAnsi="Arial" w:cs="Arial"/>
          <w:szCs w:val="28"/>
          <w:lang w:val="uk-UA"/>
        </w:rPr>
        <w:t>студентка 1-го курсу магістратури</w:t>
      </w:r>
      <w:r w:rsidRPr="00511005">
        <w:rPr>
          <w:rFonts w:ascii="Arial" w:eastAsia="Calibri" w:hAnsi="Arial" w:cs="Arial"/>
          <w:b/>
          <w:bCs/>
          <w:szCs w:val="28"/>
          <w:lang w:val="uk-UA"/>
        </w:rPr>
        <w:br/>
      </w:r>
      <w:r w:rsidRPr="00511005">
        <w:rPr>
          <w:rFonts w:ascii="Arial" w:eastAsia="Calibri" w:hAnsi="Arial" w:cs="Arial"/>
          <w:szCs w:val="28"/>
          <w:lang w:val="uk-UA"/>
        </w:rPr>
        <w:t>факультету цивільної та господарської юстиції</w:t>
      </w:r>
      <w:r w:rsidRPr="00511005">
        <w:rPr>
          <w:rFonts w:ascii="Arial" w:eastAsia="Calibri" w:hAnsi="Arial" w:cs="Arial"/>
          <w:b/>
          <w:bCs/>
          <w:szCs w:val="28"/>
          <w:lang w:val="uk-UA"/>
        </w:rPr>
        <w:br/>
      </w:r>
      <w:r w:rsidRPr="00511005">
        <w:rPr>
          <w:rFonts w:ascii="Arial" w:eastAsia="Calibri" w:hAnsi="Arial" w:cs="Arial"/>
          <w:szCs w:val="28"/>
          <w:lang w:val="uk-UA"/>
        </w:rPr>
        <w:t>Національного університету «Одеська юридична академія»</w:t>
      </w:r>
    </w:p>
    <w:p w14:paraId="2B5E31FE" w14:textId="77777777" w:rsidR="00532C25" w:rsidRPr="00511005" w:rsidRDefault="00532C25" w:rsidP="00532C25">
      <w:pPr>
        <w:spacing w:line="264" w:lineRule="auto"/>
        <w:ind w:firstLine="720"/>
        <w:jc w:val="center"/>
        <w:rPr>
          <w:rFonts w:ascii="Arial" w:eastAsia="Calibri" w:hAnsi="Arial" w:cs="Arial"/>
          <w:b/>
          <w:bCs/>
          <w:szCs w:val="28"/>
          <w:lang w:val="uk-UA"/>
        </w:rPr>
      </w:pPr>
    </w:p>
    <w:p w14:paraId="57B0A042"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ПРАВОВА КВАЛІФІКАЦІЯ ТА РОЗСЛІДУВАННЯ ВОЄННИХ ЗЛОЧИНІВ РОСІЇ У ВІЙНІ ПРОТИ УКРАЇНИ</w:t>
      </w:r>
    </w:p>
    <w:p w14:paraId="2E00ECA7" w14:textId="77777777" w:rsidR="00532C25" w:rsidRPr="00511005" w:rsidRDefault="00532C25" w:rsidP="00532C25">
      <w:pPr>
        <w:spacing w:line="264" w:lineRule="auto"/>
        <w:ind w:firstLine="720"/>
        <w:jc w:val="center"/>
        <w:rPr>
          <w:rFonts w:ascii="Arial" w:eastAsia="Calibri" w:hAnsi="Arial" w:cs="Arial"/>
          <w:b/>
          <w:bCs/>
          <w:szCs w:val="28"/>
          <w:lang w:val="uk-UA"/>
        </w:rPr>
      </w:pPr>
    </w:p>
    <w:p w14:paraId="748392F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Воєнні злочини є одними з найтяжчих порушень міжнародного гуманітарного права, оскільки вони супроводжуються масовими жертвами, </w:t>
      </w:r>
      <w:r w:rsidRPr="00511005">
        <w:rPr>
          <w:rFonts w:ascii="Arial" w:eastAsia="Calibri" w:hAnsi="Arial" w:cs="Arial"/>
          <w:szCs w:val="28"/>
          <w:lang w:val="uk-UA"/>
        </w:rPr>
        <w:lastRenderedPageBreak/>
        <w:t xml:space="preserve">руйнуванням цивільної інфраструктури та нехтуванням нормами моралі й права. Російська агресія проти України, яка триває з 2014 року та перейшла у повномасштабну війну у 2022 році, супроводжується систематичними воєнними злочинами, що документуються українськими та міжнародними організаціями. </w:t>
      </w:r>
    </w:p>
    <w:p w14:paraId="76AAE95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Згідно з даними правозахисних організацій, у період з 2014 по 2023 рік було зафіксовано понад 50 тисяч потенційних міжнародних злочинів, у тому числі воєнних злочинів та злочинів проти людяності, скоєних Російською Федерацією. Також відповідно до повідомлень Офісу Генерального прокурора України від початку повномасштабної війни по 27 липня 2024 року було зареєстровано 133 тисячі воєнних злочинів росіян.</w:t>
      </w:r>
    </w:p>
    <w:p w14:paraId="15C5E0E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Тому варто зазначити, що а</w:t>
      </w:r>
      <w:r w:rsidRPr="00511005">
        <w:rPr>
          <w:rFonts w:ascii="Arial" w:eastAsia="Times New Roman" w:hAnsi="Arial" w:cs="Arial"/>
          <w:szCs w:val="28"/>
          <w:lang w:val="uk-UA" w:eastAsia="ru-RU"/>
        </w:rPr>
        <w:t>ктуальність даної теми зумовлена масштабністю та систематичністю воєнних злочинів, які вчиняє Російська Федерація на території України, а також необхідністю їхньої належної правової кваліфікації для притягнення винних до відповідальності.</w:t>
      </w:r>
    </w:p>
    <w:p w14:paraId="6351F05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Воєнні злочини, вчинені Російською Федерацією під час агресії проти України, становлять серйозні порушення міжнародного гуманітарного права. У цьому контексті міжнародні правові механізми, такі як Женевські конвенції, Римський статут Міжнародного кримінального суду та національне законодавство України, відіграють ключову роль у визначенні правової оцінки цих злочинів.</w:t>
      </w:r>
    </w:p>
    <w:p w14:paraId="597DD4B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Зокрема, Римський статут Міжнародного кримінального суду у статті 8 визначає воєнні злочини як серйозні порушення Женевських конвенцій [2]. </w:t>
      </w:r>
      <w:r w:rsidRPr="00511005">
        <w:rPr>
          <w:rFonts w:ascii="Arial" w:eastAsia="Times New Roman" w:hAnsi="Arial" w:cs="Arial"/>
          <w:szCs w:val="28"/>
          <w:lang w:val="uk-UA" w:eastAsia="ru-RU"/>
        </w:rPr>
        <w:t>До основних видів воєнних злочинів, які Росія вчиняє на території України, належать:</w:t>
      </w:r>
    </w:p>
    <w:p w14:paraId="4B56DA55" w14:textId="77777777" w:rsidR="00532C25" w:rsidRPr="00511005" w:rsidRDefault="00532C25" w:rsidP="003F6A5D">
      <w:pPr>
        <w:numPr>
          <w:ilvl w:val="0"/>
          <w:numId w:val="660"/>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напади на цивільне населення та об’єкти, умисне знищення житлових будинків, лікарень, шкіл, що суперечить принципу розмежування військових і цивільних цілей;</w:t>
      </w:r>
    </w:p>
    <w:p w14:paraId="5E02C4E5" w14:textId="77777777" w:rsidR="00532C25" w:rsidRPr="00511005" w:rsidRDefault="00532C25" w:rsidP="003F6A5D">
      <w:pPr>
        <w:numPr>
          <w:ilvl w:val="0"/>
          <w:numId w:val="660"/>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убивства, катування та жорстоке поводження з військовополоненими та цивільними – це прямо заборонено Женевськими конвенціями;</w:t>
      </w:r>
    </w:p>
    <w:p w14:paraId="2B48731D" w14:textId="77777777" w:rsidR="00532C25" w:rsidRPr="00511005" w:rsidRDefault="00532C25" w:rsidP="003F6A5D">
      <w:pPr>
        <w:numPr>
          <w:ilvl w:val="0"/>
          <w:numId w:val="660"/>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примусова депортація та викрадення дітей, незаконне переміщення українських громадян на територію Росії;</w:t>
      </w:r>
    </w:p>
    <w:p w14:paraId="1574E4EC" w14:textId="77777777" w:rsidR="00532C25" w:rsidRPr="00511005" w:rsidRDefault="00532C25" w:rsidP="003F6A5D">
      <w:pPr>
        <w:numPr>
          <w:ilvl w:val="0"/>
          <w:numId w:val="660"/>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використання заборонених методів ведення війни, застосування касетних і фосфорних боєприпасів;</w:t>
      </w:r>
    </w:p>
    <w:p w14:paraId="407EECDA" w14:textId="77777777" w:rsidR="00532C25" w:rsidRPr="00511005" w:rsidRDefault="00532C25" w:rsidP="003F6A5D">
      <w:pPr>
        <w:numPr>
          <w:ilvl w:val="0"/>
          <w:numId w:val="660"/>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знищення культурної спадщини, умисні руйнування історичних пам’яток, що є порушенням Гаазької конвенції 1954 року.</w:t>
      </w:r>
    </w:p>
    <w:p w14:paraId="60514D1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Що стосується національного законодавства, то у чинному Кримінальному кодексі України термін «воєнний злочин» або «воєнне кримінальне правопорушення» відсутній. Тому варто зазначити, що воєнний злочин - це винне, суспільно небезпечне, протиправне та каране діяння, що </w:t>
      </w:r>
      <w:r w:rsidRPr="00511005">
        <w:rPr>
          <w:rFonts w:ascii="Arial" w:eastAsia="Calibri" w:hAnsi="Arial" w:cs="Arial"/>
          <w:szCs w:val="28"/>
          <w:lang w:val="uk-UA"/>
        </w:rPr>
        <w:lastRenderedPageBreak/>
        <w:t xml:space="preserve">полягає в порушенні норм міжнародного гуманітарного права, законів і звичаїв війни під час збройного конфлікту [4]. </w:t>
      </w:r>
    </w:p>
    <w:p w14:paraId="2A07931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Правова кваліфікація воєнних злочинів у Кримінальному кодексі України ґрунтується на міжнародних стандартах та передбачає суворе покарання за їх вчинення. Тому воєнні злочини кваліфікуються як особливо тяжкі злочини, що не мають строку давності, а відповідальність за такі злочини може настати як у межах </w:t>
      </w:r>
      <w:r w:rsidRPr="00511005">
        <w:rPr>
          <w:rFonts w:ascii="Arial" w:eastAsia="Calibri" w:hAnsi="Arial" w:cs="Arial"/>
          <w:b/>
          <w:bCs/>
          <w:szCs w:val="28"/>
          <w:lang w:val="uk-UA"/>
        </w:rPr>
        <w:t>національної юрисдикції України</w:t>
      </w:r>
      <w:r w:rsidRPr="00511005">
        <w:rPr>
          <w:rFonts w:ascii="Arial" w:eastAsia="Calibri" w:hAnsi="Arial" w:cs="Arial"/>
          <w:szCs w:val="28"/>
          <w:lang w:val="uk-UA"/>
        </w:rPr>
        <w:t xml:space="preserve">, так і через </w:t>
      </w:r>
      <w:r w:rsidRPr="00511005">
        <w:rPr>
          <w:rFonts w:ascii="Arial" w:eastAsia="Calibri" w:hAnsi="Arial" w:cs="Arial"/>
          <w:b/>
          <w:bCs/>
          <w:szCs w:val="28"/>
          <w:lang w:val="uk-UA"/>
        </w:rPr>
        <w:t>міжнародні судові органи</w:t>
      </w:r>
      <w:r w:rsidRPr="00511005">
        <w:rPr>
          <w:rFonts w:ascii="Arial" w:eastAsia="Calibri" w:hAnsi="Arial" w:cs="Arial"/>
          <w:szCs w:val="28"/>
          <w:lang w:val="uk-UA"/>
        </w:rPr>
        <w:t>, такі як Міжнародний кримінальний суд.</w:t>
      </w:r>
    </w:p>
    <w:p w14:paraId="7FA3DA5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Кримінальний кодекс України визначає чітку систему воєнних злочинів, які включають порушення міжнародного гуманітарного права та норм ведення війни. Основні положення щодо воєнних злочинів містяться у </w:t>
      </w:r>
      <w:r w:rsidRPr="00511005">
        <w:rPr>
          <w:rFonts w:ascii="Arial" w:eastAsia="Calibri" w:hAnsi="Arial" w:cs="Arial"/>
          <w:b/>
          <w:bCs/>
          <w:szCs w:val="28"/>
          <w:lang w:val="uk-UA"/>
        </w:rPr>
        <w:t xml:space="preserve">Розділі XX Кримінального кодексу України – «Злочини проти миру, безпеки людства та міжнародного правопорядку». </w:t>
      </w:r>
      <w:r w:rsidRPr="00511005">
        <w:rPr>
          <w:rFonts w:ascii="Arial" w:eastAsia="Calibri" w:hAnsi="Arial" w:cs="Arial"/>
          <w:szCs w:val="28"/>
          <w:lang w:val="uk-UA"/>
        </w:rPr>
        <w:t>Кожна стаття цього розділу спрямована на забезпечення захисту людства від злочинних діянь під час війни та збройних конфліктів.</w:t>
      </w:r>
    </w:p>
    <w:p w14:paraId="4BFBF96C" w14:textId="77777777" w:rsidR="00532C25" w:rsidRPr="00511005" w:rsidRDefault="00532C25" w:rsidP="00532C25">
      <w:pPr>
        <w:spacing w:line="264" w:lineRule="auto"/>
        <w:ind w:firstLine="720"/>
        <w:rPr>
          <w:rFonts w:ascii="Arial" w:eastAsia="Calibri" w:hAnsi="Arial" w:cs="Arial"/>
          <w:b/>
          <w:bCs/>
          <w:szCs w:val="28"/>
          <w:shd w:val="clear" w:color="auto" w:fill="FFFFFF"/>
          <w:lang w:val="uk-UA"/>
        </w:rPr>
      </w:pPr>
      <w:r w:rsidRPr="00511005">
        <w:rPr>
          <w:rFonts w:ascii="Arial" w:eastAsia="Calibri" w:hAnsi="Arial" w:cs="Arial"/>
          <w:szCs w:val="28"/>
          <w:lang w:val="uk-UA"/>
        </w:rPr>
        <w:t>У національному кримінальному законодавстві</w:t>
      </w:r>
      <w:r w:rsidRPr="00511005">
        <w:rPr>
          <w:rFonts w:ascii="Arial" w:eastAsia="Calibri" w:hAnsi="Arial" w:cs="Arial"/>
          <w:szCs w:val="28"/>
          <w:shd w:val="clear" w:color="auto" w:fill="FFFFFF"/>
          <w:lang w:val="uk-UA"/>
        </w:rPr>
        <w:t xml:space="preserve"> </w:t>
      </w:r>
      <w:r w:rsidRPr="00511005">
        <w:rPr>
          <w:rFonts w:ascii="Arial" w:eastAsia="Calibri" w:hAnsi="Arial" w:cs="Arial"/>
          <w:b/>
          <w:bCs/>
          <w:szCs w:val="28"/>
          <w:lang w:val="uk-UA"/>
        </w:rPr>
        <w:t>України можна виділити систему воєнних злочинів, а саме: мародерство (ст. 432 КК України); н</w:t>
      </w:r>
      <w:r w:rsidRPr="00511005">
        <w:rPr>
          <w:rFonts w:ascii="Arial" w:eastAsia="Calibri" w:hAnsi="Arial" w:cs="Arial"/>
          <w:szCs w:val="28"/>
          <w:shd w:val="clear" w:color="auto" w:fill="FFFFFF"/>
          <w:lang w:val="uk-UA"/>
        </w:rPr>
        <w:t xml:space="preserve">асильство над населенням у районі воєнних дій (ст. 433 КК України); погане поводження з військовополоненими (ст. 434 КК України); незаконне використання символіки Червоного Хреста, Червоного Півмісяця, Червоного Кристала та зловживання нею (ст. 435 КК України); злочин агресії (ст. 437 КК України); воєнні злочини (ст. 438 КК України); застосування зброї масового знищення (ст. 439 КК України) </w:t>
      </w:r>
      <w:r w:rsidRPr="00511005">
        <w:rPr>
          <w:rFonts w:ascii="Arial" w:eastAsia="Calibri" w:hAnsi="Arial" w:cs="Arial"/>
          <w:b/>
          <w:bCs/>
          <w:szCs w:val="28"/>
          <w:lang w:val="uk-UA"/>
        </w:rPr>
        <w:t xml:space="preserve">[1]. </w:t>
      </w:r>
    </w:p>
    <w:p w14:paraId="1C9C7888"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Під час російсько-української війни зафіксовано численні воєнні злочини, що порушують норми міжнародних законів та звичаїв війни. Російські війська здійснювали обстріли житлових районів, шкіл, лікарень та інших об'єктів цивільної інфраструктури. Наприклад, у березні 2025 року внаслідок атаки на військовий шпиталь у Харкові загинули двоє людей, ще 25 отримали поранення. Україна кваліфікувала це як воєнний злочин.</w:t>
      </w:r>
    </w:p>
    <w:p w14:paraId="39C8BA25"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Calibri" w:hAnsi="Arial" w:cs="Arial"/>
          <w:szCs w:val="28"/>
          <w:lang w:val="uk-UA"/>
        </w:rPr>
        <w:t xml:space="preserve">Обстріли цивільної інфраструктури під час збройного конфлікту є грубим порушенням норм міжнародного гуманітарного права та підпадають під кваліфікацію </w:t>
      </w:r>
      <w:r w:rsidRPr="00511005">
        <w:rPr>
          <w:rFonts w:ascii="Arial" w:eastAsia="Calibri" w:hAnsi="Arial" w:cs="Arial"/>
          <w:b/>
          <w:bCs/>
          <w:szCs w:val="28"/>
          <w:lang w:val="uk-UA"/>
        </w:rPr>
        <w:t>воєнних злочинів</w:t>
      </w:r>
      <w:r w:rsidRPr="00511005">
        <w:rPr>
          <w:rFonts w:ascii="Arial" w:eastAsia="Calibri" w:hAnsi="Arial" w:cs="Arial"/>
          <w:szCs w:val="28"/>
          <w:lang w:val="uk-UA"/>
        </w:rPr>
        <w:t xml:space="preserve">, що закріплюється </w:t>
      </w:r>
      <w:r w:rsidRPr="00511005">
        <w:rPr>
          <w:rFonts w:ascii="Arial" w:eastAsia="Times New Roman" w:hAnsi="Arial" w:cs="Arial"/>
          <w:szCs w:val="28"/>
          <w:lang w:val="uk-UA" w:eastAsia="ru-RU"/>
        </w:rPr>
        <w:t xml:space="preserve">Женевською конвенцією про захист цивільного населення під час війни, </w:t>
      </w:r>
      <w:r w:rsidRPr="00511005">
        <w:rPr>
          <w:rFonts w:ascii="Arial" w:eastAsia="Calibri" w:hAnsi="Arial" w:cs="Arial"/>
          <w:szCs w:val="28"/>
          <w:lang w:val="uk-UA"/>
        </w:rPr>
        <w:t>Д</w:t>
      </w:r>
      <w:r w:rsidRPr="00511005">
        <w:rPr>
          <w:rFonts w:ascii="Arial" w:eastAsia="Times New Roman" w:hAnsi="Arial" w:cs="Arial"/>
          <w:szCs w:val="28"/>
          <w:lang w:val="uk-UA" w:eastAsia="ru-RU"/>
        </w:rPr>
        <w:t>одатковим протоколом І до Женевських конвенцій 1977 року, який забороняє невибіркові атаки та напади на об'єкти, що не є військовими цілями та Римським статутом Міжнародного кримінального суду, а саме статтею 8, яка визначає обстріли цивільних об’єктів як воєнні злочини.</w:t>
      </w:r>
    </w:p>
    <w:p w14:paraId="6499F4E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Окрему увагу слід приділити механізмам </w:t>
      </w:r>
      <w:r w:rsidRPr="00511005">
        <w:rPr>
          <w:rFonts w:ascii="Arial" w:eastAsia="Calibri" w:hAnsi="Arial" w:cs="Arial"/>
          <w:b/>
          <w:bCs/>
          <w:szCs w:val="28"/>
          <w:lang w:val="uk-UA"/>
        </w:rPr>
        <w:t>розслідування</w:t>
      </w:r>
      <w:r w:rsidRPr="00511005">
        <w:rPr>
          <w:rFonts w:ascii="Arial" w:eastAsia="Calibri" w:hAnsi="Arial" w:cs="Arial"/>
          <w:szCs w:val="28"/>
          <w:lang w:val="uk-UA"/>
        </w:rPr>
        <w:t xml:space="preserve"> воєнних злочинів. В Україні функціонує Офіс Генерального прокурора, який спільно з правоохоронними органами та міжнародними партнерами </w:t>
      </w:r>
      <w:r w:rsidRPr="00511005">
        <w:rPr>
          <w:rFonts w:ascii="Arial" w:eastAsia="Times New Roman" w:hAnsi="Arial" w:cs="Arial"/>
          <w:szCs w:val="28"/>
          <w:lang w:val="uk-UA" w:eastAsia="ru-RU"/>
        </w:rPr>
        <w:t>–</w:t>
      </w:r>
      <w:r w:rsidRPr="00511005">
        <w:rPr>
          <w:rFonts w:ascii="Arial" w:eastAsia="Calibri" w:hAnsi="Arial" w:cs="Arial"/>
          <w:szCs w:val="28"/>
          <w:lang w:val="uk-UA"/>
        </w:rPr>
        <w:t xml:space="preserve"> такими як Міжнародний кримінальний суд, Організація Об’єднаних Націй, Організація з безпеки і співробітництва в Європі та інші організації з прав людини </w:t>
      </w:r>
      <w:r w:rsidRPr="00511005">
        <w:rPr>
          <w:rFonts w:ascii="Arial" w:eastAsia="Times New Roman" w:hAnsi="Arial" w:cs="Arial"/>
          <w:szCs w:val="28"/>
          <w:lang w:val="uk-UA" w:eastAsia="ru-RU"/>
        </w:rPr>
        <w:t>–</w:t>
      </w:r>
      <w:r w:rsidRPr="00511005">
        <w:rPr>
          <w:rFonts w:ascii="Arial" w:eastAsia="Calibri" w:hAnsi="Arial" w:cs="Arial"/>
          <w:szCs w:val="28"/>
          <w:lang w:val="uk-UA"/>
        </w:rPr>
        <w:t xml:space="preserve"> </w:t>
      </w:r>
      <w:r w:rsidRPr="00511005">
        <w:rPr>
          <w:rFonts w:ascii="Arial" w:eastAsia="Calibri" w:hAnsi="Arial" w:cs="Arial"/>
          <w:szCs w:val="28"/>
          <w:lang w:val="uk-UA"/>
        </w:rPr>
        <w:lastRenderedPageBreak/>
        <w:t>займається документуванням, збором доказів та кримінальним переслідуванням винних. Також активно використовуються мобільні групи з документування злочинів, аналіз супутникових знімків, свідчення очевидців, експертизи та міжнародна правова допомога. Співпраця з Міжнародним кримінальним судом дозволяє відкривати провадження проти вищого керівництва РФ, зокрема щодо злочинів геноциду, депортації дітей та нападів на цивільне населення. Розслідування таких злочинів є не лише юридичною, а й моральною місією, що сприяє утвердженню справедливості.</w:t>
      </w:r>
    </w:p>
    <w:p w14:paraId="01545AF8"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 даними ООН, з серпня 2024 року зафіксовано 79 випадків страти українських військовополонених російськими військами, а ці дії є грубим порушенням Женевських конвенцій. Також до порушень Женевських конвенцій та міжнародних стандартів правосуддя можна віднести показові суди над захопленими українськими військовими, зокрема над бійцями полку «Азов», засуджуючи їх до тривалих термінів ув'язнення за сфабрикованими звинуваченнями. </w:t>
      </w:r>
    </w:p>
    <w:p w14:paraId="1C329FE8"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Тут варто зазначити, яка саме п</w:t>
      </w:r>
      <w:r w:rsidRPr="00511005">
        <w:rPr>
          <w:rFonts w:ascii="Arial" w:eastAsia="Calibri" w:hAnsi="Arial" w:cs="Arial"/>
          <w:szCs w:val="28"/>
          <w:lang w:val="uk-UA"/>
        </w:rPr>
        <w:t>равова кваліфікація факту потрапляння військовослужбовців у полон під час збройного конфлікту</w:t>
      </w:r>
      <w:r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 xml:space="preserve">Факт взяття в полон військовослужбовця під час активних бойових дій в умовах міжнародного збройного конфлікту </w:t>
      </w:r>
      <w:r w:rsidRPr="00511005">
        <w:rPr>
          <w:rFonts w:ascii="Arial" w:eastAsia="Calibri" w:hAnsi="Arial" w:cs="Arial"/>
          <w:b/>
          <w:bCs/>
          <w:szCs w:val="28"/>
          <w:lang w:val="uk-UA"/>
        </w:rPr>
        <w:t>сам по собі не є кримінальним злочином,</w:t>
      </w:r>
      <w:r w:rsidRPr="00511005">
        <w:rPr>
          <w:rFonts w:ascii="Arial" w:eastAsia="Calibri" w:hAnsi="Arial" w:cs="Arial"/>
          <w:szCs w:val="28"/>
          <w:lang w:val="uk-UA"/>
        </w:rPr>
        <w:t xml:space="preserve"> оскільки передбачений нормами міжнародного гуманітарного права, зокрема </w:t>
      </w:r>
      <w:r w:rsidRPr="00511005">
        <w:rPr>
          <w:rFonts w:ascii="Arial" w:eastAsia="Calibri" w:hAnsi="Arial" w:cs="Arial"/>
          <w:b/>
          <w:bCs/>
          <w:szCs w:val="28"/>
          <w:lang w:val="uk-UA"/>
        </w:rPr>
        <w:t>Женевською конвенцією про поводження з військовополоненими від 12 серпня 1949 року.</w:t>
      </w:r>
      <w:r w:rsidRPr="00511005">
        <w:rPr>
          <w:rFonts w:ascii="Arial" w:eastAsia="Calibri" w:hAnsi="Arial" w:cs="Arial"/>
          <w:szCs w:val="28"/>
          <w:lang w:val="uk-UA"/>
        </w:rPr>
        <w:t xml:space="preserve"> </w:t>
      </w:r>
      <w:r w:rsidRPr="00511005">
        <w:rPr>
          <w:rFonts w:ascii="Arial" w:eastAsia="Times New Roman" w:hAnsi="Arial" w:cs="Arial"/>
          <w:szCs w:val="28"/>
          <w:lang w:val="uk-UA" w:eastAsia="ru-RU"/>
        </w:rPr>
        <w:t xml:space="preserve">Потрапляння у полон військовослужбовця в ході бойових дій розглядається як законна частина збройного конфлікту, якщо не супроводжується іншими правопорушеннями, а саме </w:t>
      </w:r>
      <w:r w:rsidRPr="00511005">
        <w:rPr>
          <w:rFonts w:ascii="Arial" w:eastAsia="Calibri" w:hAnsi="Arial" w:cs="Arial"/>
          <w:szCs w:val="28"/>
          <w:lang w:val="uk-UA"/>
        </w:rPr>
        <w:t>з</w:t>
      </w:r>
      <w:r w:rsidRPr="00511005">
        <w:rPr>
          <w:rFonts w:ascii="Arial" w:eastAsia="Times New Roman" w:hAnsi="Arial" w:cs="Arial"/>
          <w:szCs w:val="28"/>
          <w:lang w:val="uk-UA" w:eastAsia="ru-RU"/>
        </w:rPr>
        <w:t xml:space="preserve">а відсутності ознак додаткових кримінально караних дій, таких як вбивства, тортури, жорстоке поводження, примус до зради [3]. </w:t>
      </w:r>
    </w:p>
    <w:p w14:paraId="5D2D4985"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У випадку вчинення суттєвих порушень Женевської конвенції, зокрема: негуманного поводження, катувань, нелюдських умов утримання, примусового вербування або участі в бойових діях проти своєї держави – такі дії мають бути кваліфіковані як воєнні злочини відповідно до статті 438 Кримінального кодексу України – «Воєнні злочини».</w:t>
      </w:r>
    </w:p>
    <w:p w14:paraId="2D6A482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 xml:space="preserve">Російська влада також систематично вивозила українських дітей з окупованих територій до Росії, що є порушенням міжнародного права та прав людини загалом. Ознаками такого злочину є відсутність згоди батьків або законних представників на вивезення, передача дітей на «усиновлення» або «опіку» громадянам РФ, нав’язування російської ідентичності та мови, що є формою культурного знищення, порушення прав дитини, гарантованих Конвенцією ООН про права дитини 1989 року. </w:t>
      </w:r>
      <w:r w:rsidRPr="00511005">
        <w:rPr>
          <w:rFonts w:ascii="Arial" w:eastAsia="Calibri" w:hAnsi="Arial" w:cs="Arial"/>
          <w:szCs w:val="28"/>
          <w:lang w:val="uk-UA"/>
        </w:rPr>
        <w:t xml:space="preserve">Такі дії можуть бути кваліфіковані як </w:t>
      </w:r>
      <w:r w:rsidRPr="00511005">
        <w:rPr>
          <w:rFonts w:ascii="Arial" w:eastAsia="Calibri" w:hAnsi="Arial" w:cs="Arial"/>
          <w:b/>
          <w:bCs/>
          <w:szCs w:val="28"/>
          <w:lang w:val="uk-UA"/>
        </w:rPr>
        <w:t xml:space="preserve">воєнний злочин, злочин проти людяності </w:t>
      </w:r>
      <w:r w:rsidRPr="00511005">
        <w:rPr>
          <w:rFonts w:ascii="Arial" w:eastAsia="Calibri" w:hAnsi="Arial" w:cs="Arial"/>
          <w:szCs w:val="28"/>
          <w:lang w:val="uk-UA"/>
        </w:rPr>
        <w:t xml:space="preserve">та в окремих випадках як </w:t>
      </w:r>
      <w:r w:rsidRPr="00511005">
        <w:rPr>
          <w:rFonts w:ascii="Arial" w:eastAsia="Calibri" w:hAnsi="Arial" w:cs="Arial"/>
          <w:b/>
          <w:bCs/>
          <w:szCs w:val="28"/>
          <w:lang w:val="uk-UA"/>
        </w:rPr>
        <w:t xml:space="preserve">геноцид (усвідомлений намір знищити частину української нації через її дітей, </w:t>
      </w:r>
      <w:r w:rsidRPr="00511005">
        <w:rPr>
          <w:rFonts w:ascii="Arial" w:eastAsia="Calibri" w:hAnsi="Arial" w:cs="Arial"/>
          <w:szCs w:val="28"/>
          <w:lang w:val="uk-UA"/>
        </w:rPr>
        <w:t xml:space="preserve">що повністю підпадає під визначення </w:t>
      </w:r>
      <w:r w:rsidRPr="00511005">
        <w:rPr>
          <w:rFonts w:ascii="Arial" w:eastAsia="Calibri" w:hAnsi="Arial" w:cs="Arial"/>
          <w:b/>
          <w:bCs/>
          <w:szCs w:val="28"/>
          <w:lang w:val="uk-UA"/>
        </w:rPr>
        <w:t xml:space="preserve">геноциду в юридичному сенсі). Міжнародний кримінальний суд </w:t>
      </w:r>
      <w:r w:rsidRPr="00511005">
        <w:rPr>
          <w:rFonts w:ascii="Arial" w:eastAsia="Calibri" w:hAnsi="Arial" w:cs="Arial"/>
          <w:szCs w:val="28"/>
          <w:lang w:val="uk-UA"/>
        </w:rPr>
        <w:t>у березні 2023 року</w:t>
      </w:r>
      <w:r w:rsidRPr="00511005">
        <w:rPr>
          <w:rFonts w:ascii="Arial" w:eastAsia="Calibri" w:hAnsi="Arial" w:cs="Arial"/>
          <w:b/>
          <w:bCs/>
          <w:szCs w:val="28"/>
          <w:lang w:val="uk-UA"/>
        </w:rPr>
        <w:t xml:space="preserve"> </w:t>
      </w:r>
      <w:r w:rsidRPr="00511005">
        <w:rPr>
          <w:rFonts w:ascii="Arial" w:eastAsia="Calibri" w:hAnsi="Arial" w:cs="Arial"/>
          <w:b/>
          <w:bCs/>
          <w:szCs w:val="28"/>
          <w:lang w:val="uk-UA"/>
        </w:rPr>
        <w:lastRenderedPageBreak/>
        <w:t>видав ордер на арешт Володимира Путіна та омбудсмена Марії Львової-Бєлової</w:t>
      </w:r>
      <w:r w:rsidRPr="00511005">
        <w:rPr>
          <w:rFonts w:ascii="Arial" w:eastAsia="Calibri" w:hAnsi="Arial" w:cs="Arial"/>
          <w:szCs w:val="28"/>
          <w:lang w:val="uk-UA"/>
        </w:rPr>
        <w:t xml:space="preserve"> за організацію незаконного вивезення дітей.</w:t>
      </w:r>
    </w:p>
    <w:p w14:paraId="615FA1D7"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Президент Володимир Зеленський заявив, що з початку вторгнення задокументовано понад 183 000 воєнних злочинів, скоєних російськими військами. Україна активно документує ці злочини та співпрацює з міжнародними організаціями для притягнення винних до відповідальності.</w:t>
      </w:r>
    </w:p>
    <w:p w14:paraId="2CD0977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Доцільно зазначити, що в</w:t>
      </w:r>
      <w:r w:rsidRPr="00511005">
        <w:rPr>
          <w:rFonts w:ascii="Arial" w:eastAsia="Calibri" w:hAnsi="Arial" w:cs="Arial"/>
          <w:szCs w:val="28"/>
          <w:lang w:val="uk-UA"/>
        </w:rPr>
        <w:t xml:space="preserve">оєнними злочинцями визнаються особи, які безпосередньо вчинили воєнні злочини, які перераховані в Римському статуті, а також ті злочини, які відповідно визначені в Кримінальному кодексі України. </w:t>
      </w:r>
      <w:r w:rsidRPr="00511005">
        <w:rPr>
          <w:rFonts w:ascii="Arial" w:eastAsia="Times New Roman" w:hAnsi="Arial" w:cs="Arial"/>
          <w:szCs w:val="28"/>
          <w:lang w:val="uk-UA" w:eastAsia="ru-RU"/>
        </w:rPr>
        <w:t xml:space="preserve">Також до воєнних злочинців належать ті особи, які займали керівні посади і мали контроль над підлеглими, знали про можливість вчинення воєнних злочинів їхніми підлеглими або безпосередньо їх вчинення, але не вжили належних заходів для попередження чи припинення таких злочинів. </w:t>
      </w:r>
      <w:r w:rsidRPr="00511005">
        <w:rPr>
          <w:rFonts w:ascii="Arial" w:eastAsia="Calibri" w:hAnsi="Arial" w:cs="Arial"/>
          <w:szCs w:val="28"/>
          <w:lang w:val="uk-UA"/>
        </w:rPr>
        <w:t xml:space="preserve">Тобто командир несе відповідальність за видання злочинного наказу, а підлеглий </w:t>
      </w:r>
      <w:r w:rsidRPr="00511005">
        <w:rPr>
          <w:rFonts w:ascii="Arial" w:eastAsia="Times New Roman" w:hAnsi="Arial" w:cs="Arial"/>
          <w:szCs w:val="28"/>
          <w:lang w:val="uk-UA" w:eastAsia="ru-RU"/>
        </w:rPr>
        <w:t>–</w:t>
      </w:r>
      <w:r w:rsidRPr="00511005">
        <w:rPr>
          <w:rFonts w:ascii="Arial" w:eastAsia="Calibri" w:hAnsi="Arial" w:cs="Arial"/>
          <w:szCs w:val="28"/>
          <w:lang w:val="uk-UA"/>
        </w:rPr>
        <w:t xml:space="preserve"> за виконання цього наказу, якщо його злочинність була очевидною.</w:t>
      </w:r>
    </w:p>
    <w:p w14:paraId="59505CD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shd w:val="clear" w:color="auto" w:fill="FFFFFF"/>
          <w:lang w:val="uk-UA"/>
        </w:rPr>
        <w:t xml:space="preserve">За вчинення воєнних злочинів винні особи несуть кримінальну відповідальність. </w:t>
      </w:r>
      <w:r w:rsidRPr="00511005">
        <w:rPr>
          <w:rFonts w:ascii="Arial" w:eastAsia="Calibri" w:hAnsi="Arial" w:cs="Arial"/>
          <w:szCs w:val="28"/>
          <w:lang w:val="uk-UA"/>
        </w:rPr>
        <w:t>Якщо винні будуть засуджені Міжнародним кримінальним судом, то покаранням для них може бути позбавлення волі на термін до 30 років або довічне ув’язнення. Окрім цього, Міжнародний кримінальний суд має право накладати фінансові санкції, такі як штрафи або конфіскація майна, яке було набуте незаконним шляхом у результаті скоєних злочинів. Важливо зазначити, що суд може зобов'язати компенсувати шкоду потерпілим особам, що дає можливість частково відшкодувати збитки, які були завдані війною. А в Україні, відповідно до національного законодавства за вчинення воєнних злочинів передбачене покарання у вигляді позбавлення волі строком до 15 років, а в разі більш тяжких злочинів – довічне позбавлення волі.</w:t>
      </w:r>
    </w:p>
    <w:p w14:paraId="7B069A6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Отже, правова кваліфікація воєнних злочинів, скоєних Російською Федерацією під час війни проти України, є надзвичайно важливим кроком для забезпечення справедливості та правосуддя. Враховуючи масштаб та систематичність порушень міжнародного гуманітарного права, чітка правова оцінка цих злочинів є необхідною для притягнення винних до відповідальності.</w:t>
      </w:r>
    </w:p>
    <w:p w14:paraId="475ECD71" w14:textId="77777777" w:rsidR="00532C25" w:rsidRPr="00511005" w:rsidRDefault="00532C25" w:rsidP="00532C25">
      <w:pPr>
        <w:spacing w:line="264" w:lineRule="auto"/>
        <w:ind w:firstLine="720"/>
        <w:jc w:val="center"/>
        <w:rPr>
          <w:rFonts w:ascii="Arial" w:eastAsia="Calibri" w:hAnsi="Arial" w:cs="Arial"/>
          <w:b/>
          <w:bCs/>
          <w:i/>
          <w:iCs/>
          <w:szCs w:val="28"/>
          <w:lang w:val="uk-UA"/>
        </w:rPr>
      </w:pPr>
    </w:p>
    <w:p w14:paraId="1AFC487C"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B758E1E" w14:textId="77777777" w:rsidR="00532C25" w:rsidRPr="00511005" w:rsidRDefault="00532C25" w:rsidP="003F6A5D">
      <w:pPr>
        <w:numPr>
          <w:ilvl w:val="0"/>
          <w:numId w:val="66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b/>
          <w:bCs/>
          <w:szCs w:val="28"/>
          <w:lang w:val="uk-UA" w:eastAsia="ru-RU"/>
        </w:rPr>
        <w:t>Кримінальний кодекс України</w:t>
      </w:r>
      <w:r w:rsidRPr="00511005">
        <w:rPr>
          <w:rFonts w:ascii="Arial" w:eastAsia="Times New Roman" w:hAnsi="Arial" w:cs="Arial"/>
          <w:szCs w:val="28"/>
          <w:lang w:val="uk-UA" w:eastAsia="ru-RU"/>
        </w:rPr>
        <w:t xml:space="preserve"> від 5 квітня 2001 року. URL: </w:t>
      </w:r>
      <w:hyperlink r:id="rId1922" w:anchor="Text" w:history="1">
        <w:r w:rsidRPr="00511005">
          <w:rPr>
            <w:rFonts w:ascii="Arial" w:eastAsia="Times New Roman" w:hAnsi="Arial" w:cs="Arial"/>
            <w:szCs w:val="28"/>
            <w:lang w:val="uk-UA" w:eastAsia="ru-RU"/>
          </w:rPr>
          <w:t>https://zakon.rada.gov.ua/laws/show/2341-14#Text</w:t>
        </w:r>
      </w:hyperlink>
      <w:r w:rsidRPr="00511005">
        <w:rPr>
          <w:rFonts w:ascii="Arial" w:eastAsia="Times New Roman" w:hAnsi="Arial" w:cs="Arial"/>
          <w:szCs w:val="28"/>
          <w:lang w:val="uk-UA" w:eastAsia="ru-RU"/>
        </w:rPr>
        <w:t xml:space="preserve"> (дата звернення: 12.04.2025 року). </w:t>
      </w:r>
    </w:p>
    <w:p w14:paraId="47DA0345" w14:textId="77777777" w:rsidR="00532C25" w:rsidRPr="00511005" w:rsidRDefault="00532C25" w:rsidP="003F6A5D">
      <w:pPr>
        <w:numPr>
          <w:ilvl w:val="0"/>
          <w:numId w:val="66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b/>
          <w:bCs/>
          <w:szCs w:val="28"/>
          <w:lang w:val="uk-UA" w:eastAsia="ru-RU"/>
        </w:rPr>
        <w:t xml:space="preserve">Римський статут Міжнародного кримінального суду </w:t>
      </w:r>
      <w:r w:rsidRPr="00511005">
        <w:rPr>
          <w:rFonts w:ascii="Arial" w:eastAsia="Times New Roman" w:hAnsi="Arial" w:cs="Arial"/>
          <w:szCs w:val="28"/>
          <w:lang w:val="uk-UA" w:eastAsia="ru-RU"/>
        </w:rPr>
        <w:t xml:space="preserve">ратифікація від 21.08.2024, підстава - 3909-IX URL: </w:t>
      </w:r>
      <w:hyperlink r:id="rId1923" w:anchor="Text" w:history="1">
        <w:r w:rsidRPr="00511005">
          <w:rPr>
            <w:rFonts w:ascii="Arial" w:eastAsia="Times New Roman" w:hAnsi="Arial" w:cs="Arial"/>
            <w:szCs w:val="28"/>
            <w:lang w:val="uk-UA" w:eastAsia="ru-RU"/>
          </w:rPr>
          <w:t>https://zakon.rada.gov.ua/laws/show/995_588#Text</w:t>
        </w:r>
      </w:hyperlink>
      <w:r w:rsidRPr="00511005">
        <w:rPr>
          <w:rFonts w:ascii="Arial" w:eastAsia="Times New Roman" w:hAnsi="Arial" w:cs="Arial"/>
          <w:szCs w:val="28"/>
          <w:lang w:val="uk-UA" w:eastAsia="ru-RU"/>
        </w:rPr>
        <w:t xml:space="preserve"> (дата звернення: 12.04.2025 року).</w:t>
      </w:r>
    </w:p>
    <w:p w14:paraId="11BC36E6" w14:textId="77777777" w:rsidR="00532C25" w:rsidRPr="00511005" w:rsidRDefault="00532C25" w:rsidP="003F6A5D">
      <w:pPr>
        <w:numPr>
          <w:ilvl w:val="0"/>
          <w:numId w:val="66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b/>
          <w:bCs/>
          <w:szCs w:val="28"/>
          <w:lang w:val="uk-UA" w:eastAsia="ru-RU"/>
        </w:rPr>
        <w:t xml:space="preserve">Розслідування воєнних злочинів і пов’язаних з війною кримінальних правопорушень: кримінально-правові, кримінальні процесуальні та криміналістичні аспекти. </w:t>
      </w:r>
      <w:r w:rsidRPr="00511005">
        <w:rPr>
          <w:rFonts w:ascii="Arial" w:eastAsia="Times New Roman" w:hAnsi="Arial" w:cs="Arial"/>
          <w:szCs w:val="28"/>
          <w:lang w:val="uk-UA" w:eastAsia="ru-RU"/>
        </w:rPr>
        <w:t xml:space="preserve">Науково-практичний посібник. За заг. ред. </w:t>
      </w:r>
      <w:r w:rsidRPr="00511005">
        <w:rPr>
          <w:rFonts w:ascii="Arial" w:eastAsia="Times New Roman" w:hAnsi="Arial" w:cs="Arial"/>
          <w:szCs w:val="28"/>
          <w:lang w:eastAsia="ru-RU"/>
        </w:rPr>
        <w:t>В. В. Сокуренка. Харків: Харків. нац. ун-т внутр. справ, 2024.</w:t>
      </w:r>
      <w:r w:rsidRPr="00511005">
        <w:rPr>
          <w:rFonts w:ascii="Arial" w:eastAsia="Times New Roman" w:hAnsi="Arial" w:cs="Arial"/>
          <w:szCs w:val="28"/>
          <w:lang w:val="uk-UA" w:eastAsia="ru-RU"/>
        </w:rPr>
        <w:t xml:space="preserve"> URL: </w:t>
      </w:r>
      <w:r w:rsidR="005938AD">
        <w:fldChar w:fldCharType="begin"/>
      </w:r>
      <w:r w:rsidR="005938AD" w:rsidRPr="00055389">
        <w:rPr>
          <w:lang w:val="en-US"/>
        </w:rPr>
        <w:instrText xml:space="preserve"> HYPERLINK "https://dspace.lvduvs.edu.ua/bitstream/1234567890/7957/1/%D0%93%D0%9B%D0%9E%D0%92%D0%AE%D0%9A%20Rozsliduvannia%20voiennykh%20zlochyniv%202_KhNUVS_2024%20%282%29.pdf" </w:instrText>
      </w:r>
      <w:r w:rsidR="005938AD">
        <w:fldChar w:fldCharType="separate"/>
      </w:r>
      <w:r w:rsidRPr="00511005">
        <w:rPr>
          <w:rFonts w:ascii="Arial" w:eastAsia="Times New Roman" w:hAnsi="Arial" w:cs="Arial"/>
          <w:szCs w:val="28"/>
          <w:lang w:val="uk-UA" w:eastAsia="ru-RU"/>
        </w:rPr>
        <w:t>https://dspace.lvduvs.edu.ua/bitstream/1234567890/7957/1/%D0%93%D0%9B%D0%9E%D0%92%D0%AE%D0%9A%20Rozsliduvannia%20voiennykh%20zlochyniv%202_KhNUVS_2024%20%282%29.pdf</w:t>
      </w:r>
      <w:r w:rsidR="005938AD">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xml:space="preserve"> </w:t>
      </w:r>
    </w:p>
    <w:p w14:paraId="7C92DE4F" w14:textId="77777777" w:rsidR="00532C25" w:rsidRPr="00511005" w:rsidRDefault="00532C25" w:rsidP="003F6A5D">
      <w:pPr>
        <w:numPr>
          <w:ilvl w:val="0"/>
          <w:numId w:val="66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b/>
          <w:bCs/>
          <w:szCs w:val="28"/>
          <w:lang w:val="uk-UA" w:eastAsia="ru-RU"/>
        </w:rPr>
        <w:t xml:space="preserve">Женевська конвенція про поводження з військовополоненими. </w:t>
      </w:r>
      <w:r w:rsidRPr="00511005">
        <w:rPr>
          <w:rFonts w:ascii="Arial" w:eastAsia="Times New Roman" w:hAnsi="Arial" w:cs="Arial"/>
          <w:szCs w:val="28"/>
          <w:lang w:val="uk-UA" w:eastAsia="ru-RU"/>
        </w:rPr>
        <w:t>URL:</w:t>
      </w:r>
      <w:r w:rsidRPr="00511005">
        <w:rPr>
          <w:rFonts w:ascii="Arial" w:eastAsia="Times New Roman" w:hAnsi="Arial" w:cs="Arial"/>
          <w:b/>
          <w:bCs/>
          <w:szCs w:val="28"/>
          <w:lang w:val="uk-UA" w:eastAsia="ru-RU"/>
        </w:rPr>
        <w:t xml:space="preserve"> </w:t>
      </w:r>
      <w:hyperlink r:id="rId1924" w:anchor="Text" w:history="1">
        <w:r w:rsidRPr="00511005">
          <w:rPr>
            <w:rFonts w:ascii="Arial" w:eastAsia="Times New Roman" w:hAnsi="Arial" w:cs="Arial"/>
            <w:szCs w:val="28"/>
            <w:lang w:val="uk-UA" w:eastAsia="ru-RU"/>
          </w:rPr>
          <w:t>https://zakon.rada.gov.ua/laws/show/995_153#Text</w:t>
        </w:r>
      </w:hyperlink>
      <w:r w:rsidRPr="00511005">
        <w:rPr>
          <w:rFonts w:ascii="Arial" w:eastAsia="Times New Roman" w:hAnsi="Arial" w:cs="Arial"/>
          <w:szCs w:val="28"/>
          <w:lang w:val="uk-UA" w:eastAsia="ru-RU"/>
        </w:rPr>
        <w:t xml:space="preserve"> (дата звернення: 12.04.2025 року).</w:t>
      </w:r>
    </w:p>
    <w:p w14:paraId="296764DA" w14:textId="77777777" w:rsidR="00532C25" w:rsidRPr="00511005" w:rsidRDefault="00532C25" w:rsidP="00532C2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720"/>
        <w:contextualSpacing/>
        <w:rPr>
          <w:rFonts w:ascii="Arial" w:eastAsia="Times New Roman" w:hAnsi="Arial" w:cs="Arial"/>
          <w:szCs w:val="28"/>
          <w:lang w:val="uk-UA" w:eastAsia="ru-RU"/>
        </w:rPr>
      </w:pPr>
    </w:p>
    <w:p w14:paraId="7E94C540" w14:textId="77777777" w:rsidR="00532C25" w:rsidRPr="00511005" w:rsidRDefault="00532C25" w:rsidP="00532C2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72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воєнні злочини, міжнародні злочини, правова кваліфікація, міжнародне гуманітарне право, Римський статут, Женевські конвенції, національне законодавство, відповідальність, страта, військовополонені, депортація, катування, цивільне населення, Міжнародний кримінальний суд.</w:t>
      </w:r>
    </w:p>
    <w:p w14:paraId="2C602216" w14:textId="77777777" w:rsidR="00532C25" w:rsidRPr="00511005" w:rsidRDefault="00532C25" w:rsidP="00532C2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720"/>
        <w:rPr>
          <w:rFonts w:ascii="Arial" w:eastAsia="Calibri" w:hAnsi="Arial" w:cs="Arial"/>
          <w:szCs w:val="28"/>
          <w:lang w:val="uk-UA"/>
        </w:rPr>
      </w:pPr>
      <w:r w:rsidRPr="00511005">
        <w:rPr>
          <w:rFonts w:ascii="Arial" w:eastAsia="Calibri" w:hAnsi="Arial" w:cs="Arial"/>
          <w:b/>
          <w:bCs/>
          <w:i/>
          <w:szCs w:val="28"/>
          <w:lang w:val="uk-UA"/>
        </w:rPr>
        <w:t xml:space="preserve">Key words: </w:t>
      </w:r>
      <w:r w:rsidRPr="00511005">
        <w:rPr>
          <w:rFonts w:ascii="Arial" w:eastAsia="Calibri" w:hAnsi="Arial" w:cs="Arial"/>
          <w:szCs w:val="28"/>
          <w:lang w:val="uk-UA"/>
        </w:rPr>
        <w:t>war crimes, international crimes, legal qualification, international humanitarian law, Rome Statute, Geneva Conventions, national legislation, liability, execution, prisoners of war, deportation, torture, civilians, International Criminal Court.</w:t>
      </w:r>
    </w:p>
    <w:p w14:paraId="7F0866F4" w14:textId="77777777" w:rsidR="00532C25" w:rsidRPr="00511005" w:rsidRDefault="00532C25" w:rsidP="00532C2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72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bookmarkStart w:id="228" w:name="_Hlk197548555"/>
      <w:r w:rsidRPr="00511005">
        <w:rPr>
          <w:rFonts w:ascii="Arial" w:eastAsia="Calibri" w:hAnsi="Arial" w:cs="Arial"/>
          <w:i/>
          <w:iCs/>
          <w:szCs w:val="28"/>
          <w:lang w:val="uk-UA"/>
        </w:rPr>
        <w:t xml:space="preserve">к.ю.н., доцент, </w:t>
      </w:r>
      <w:r w:rsidRPr="00511005">
        <w:rPr>
          <w:rFonts w:ascii="Arial" w:eastAsia="Calibri" w:hAnsi="Arial" w:cs="Arial"/>
          <w:i/>
          <w:iCs/>
          <w:szCs w:val="28"/>
          <w:shd w:val="clear" w:color="auto" w:fill="FFFFFF"/>
          <w:lang w:val="uk-UA"/>
        </w:rPr>
        <w:t>Шершенькова В.А.</w:t>
      </w:r>
      <w:bookmarkEnd w:id="228"/>
    </w:p>
    <w:p w14:paraId="00628AFE" w14:textId="77777777" w:rsidR="00532C25" w:rsidRPr="00511005" w:rsidRDefault="00532C25" w:rsidP="00532C25">
      <w:pPr>
        <w:widowControl w:val="0"/>
        <w:tabs>
          <w:tab w:val="left" w:pos="7088"/>
        </w:tabs>
        <w:autoSpaceDE w:val="0"/>
        <w:autoSpaceDN w:val="0"/>
        <w:adjustRightInd w:val="0"/>
        <w:spacing w:line="264" w:lineRule="auto"/>
        <w:ind w:firstLine="720"/>
        <w:jc w:val="left"/>
        <w:rPr>
          <w:rFonts w:ascii="Arial" w:eastAsia="Times New Roman" w:hAnsi="Arial" w:cs="Arial"/>
          <w:b/>
          <w:bCs/>
          <w:i/>
          <w:iCs/>
          <w:szCs w:val="28"/>
          <w:lang w:val="uk-UA" w:eastAsia="ru-RU"/>
        </w:rPr>
      </w:pPr>
    </w:p>
    <w:p w14:paraId="5F7AD88F" w14:textId="77777777" w:rsidR="00532C25" w:rsidRPr="00511005" w:rsidRDefault="00532C25" w:rsidP="00532C25">
      <w:pPr>
        <w:widowControl w:val="0"/>
        <w:tabs>
          <w:tab w:val="left" w:pos="7088"/>
        </w:tabs>
        <w:autoSpaceDE w:val="0"/>
        <w:autoSpaceDN w:val="0"/>
        <w:adjustRightInd w:val="0"/>
        <w:spacing w:line="264" w:lineRule="auto"/>
        <w:ind w:firstLine="720"/>
        <w:jc w:val="left"/>
        <w:rPr>
          <w:rFonts w:ascii="Arial" w:eastAsia="Times New Roman" w:hAnsi="Arial" w:cs="Arial"/>
          <w:b/>
          <w:bCs/>
          <w:i/>
          <w:iCs/>
          <w:szCs w:val="28"/>
          <w:lang w:val="uk-UA" w:eastAsia="ru-RU"/>
        </w:rPr>
      </w:pPr>
    </w:p>
    <w:p w14:paraId="06D2DF30"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Аношина Вікторія Ігорівна</w:t>
      </w:r>
    </w:p>
    <w:p w14:paraId="62C8F240"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52027BD5"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4557A83"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E49CF28"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bCs/>
          <w:szCs w:val="28"/>
          <w:lang w:eastAsia="ru-RU"/>
        </w:rPr>
      </w:pPr>
    </w:p>
    <w:p w14:paraId="109CE3A9"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eastAsia="ru-RU"/>
        </w:rPr>
        <w:t>ОПЕРАТИВНО-РОЗШУКОВІ ЗАХОДИ ТА НЕГЛАСНІ СЛІДЧІ (РОЗШУКОВІ) ДІЇ: ПРОБЛЕМИ РОЗМЕЖУВАННЯ</w:t>
      </w:r>
    </w:p>
    <w:p w14:paraId="6DD691B9"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Сучасна кримінально-правова політика держави в умовах трансформації правової системи та загострення викликів, пов’язаних зі зростанням рівня організованої злочинності, дедалі більше потребує впровадження ефективних та гнучких правових інструментів. Одним із таких інструментів, який демонструє високу ефективність у практиці виявлення, документування та розслідування кримінальних правопорушень, є інститут негласних слідчих (розшукових) дій. </w:t>
      </w:r>
    </w:p>
    <w:p w14:paraId="5BA16369"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rPr>
      </w:pP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наукового аналізу, присвяченого цій проблематиці, </w:t>
      </w:r>
      <w:r w:rsidRPr="00511005">
        <w:rPr>
          <w:rFonts w:ascii="Arial" w:eastAsia="Times New Roman" w:hAnsi="Arial" w:cs="Arial"/>
          <w:szCs w:val="28"/>
          <w:lang w:eastAsia="ru-RU"/>
        </w:rPr>
        <w:lastRenderedPageBreak/>
        <w:t>дослідники доводять, що ефективна протидія злочинності безпосередньо залежить від здатності слідчих та оперативних працівників застосовувати передбачені законом інструменти у спосіб, який забезпечує баланс між досягненням завдань кримінального провадження та дотриманням прав і свобод людини. Саме тому одним з ключових аспектів теоретичних досліджень стає визначення змістовного та правового співвідношення між категоріями «негласні слідчі (розшукові) дії» та «оперативно-розшукові заходи» [2].</w:t>
      </w:r>
    </w:p>
    <w:p w14:paraId="596FA110"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У науковому середовищі усталюється розуміння, що попри певні спільні характеристики, зокрема в частині використання негласних методів та спеціальних технічних засобів, зазначені дії істотно різняться за юридичними ознаками. По-перше, негласні слідчі (розшукові) дії мають чітко виражену процесуальну природу та здійснюються виключно в межах кримінального провадження. Законодавчо визначено, що для їх проведення необхідна відповідна ухвала слідчого судді, яка слугує гарантією правомірності такого втручання в особисте життя громадян. Основною метою цих дій є отримання доказів, що можуть бути використані у судовому провадженні, або перевірка вже наявних доказів.</w:t>
      </w:r>
    </w:p>
    <w:p w14:paraId="2A82CE90"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Натомість оперативно-розшукові заходи є інструментами, які реалізуються в межах оперативно-розшукової діяльності, що має попереджувальний, контррозвідувальний та інформаційно-аналітичний характер. Ці заходи можуть здійснюватися без санкції суду й навіть поза межами кримінального провадження, тобто в ситуаціях, коли ще не відкрито кримінальне провадження, однак наявні підстави підозрювати підготовку або вчинення злочину. Основною функцією оперативно-розшукової діяльності залишається виявлення, попередження та припинення правопорушень, а також встановлення осіб, які можуть бути причетними до злочинної діяльності.</w:t>
      </w:r>
    </w:p>
    <w:p w14:paraId="773B256E"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Важливе місце у дослідженні займає також питання взаємодії між слідчими органами та оперативними підрозділами. У наукових працях звертається увага, що неузгодженість між цими суб’єктами нерідко призводить до дублювання функцій, процесуальних помилок і навіть порушень прав людини. Надання слідчим правомочностей щодо ініціювання негласних слідчих (розшукових) дій у поєднанні з результатами оперативно-розшукової роботи дозволяє забезпечити злагодженість дій, підвищити якість доказової бази та сприяє підвищенню рівня довіри до правоохоронної системи з боку громадськості.</w:t>
      </w:r>
    </w:p>
    <w:p w14:paraId="3317D2DD"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Ключовим аргументом у науковій дискусії залишається твердження, що чітке розмежування між зазначеними інструментами є необхідним не лише з огляду на ефективність кримінального переслідування, а й з позиції дотримання принципу верховенства права. Умови, за яких можливе законне обмеження права на недоторканність приватного життя, мають бути чітко </w:t>
      </w:r>
      <w:r w:rsidRPr="00511005">
        <w:rPr>
          <w:rFonts w:ascii="Arial" w:eastAsia="Times New Roman" w:hAnsi="Arial" w:cs="Arial"/>
          <w:szCs w:val="28"/>
          <w:lang w:eastAsia="ru-RU"/>
        </w:rPr>
        <w:lastRenderedPageBreak/>
        <w:t>регламентовані, а будь-яке втручання – максимально обґрунтованим, пропорційним та мінімально інвазивним. Саме такий підхід відповідає стандартам Європейського суду з прав людини, який у численних рішеннях наголошує на необхідності дотримання принципу законності при застосуванні спеціальних засобів спостереження та негласного отримання інформації [1].</w:t>
      </w:r>
    </w:p>
    <w:p w14:paraId="34014353"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Разом із тим у науковому аналізі зазначається, що чинне законодавство України містить низку правових колізій та прогалин, які ускладнюють практичне застосування положень про негласні слідчі (розшукові) дії та оперативно-розшукові заходи. Йдеться насамперед про відсутність єдиної термінологічної бази, нечітке окреслення повноважень суб’єктів, відсутність належного процесуального контролю та механізмів правового захисту осіб, щодо яких здійснюється втручання у приватне життя.</w:t>
      </w:r>
    </w:p>
    <w:p w14:paraId="2F80953B"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Розв’язання окреслених проблем вбачається можливим шляхом імплементації кращих європейських практик, удосконалення судового контролю за негласними заходами, впровадження чітких критеріїв обґрунтованості та пропорційності втручання, а також розширення правових гарантій осіб, яких стосуються такі заходи. Не менш важливою є підготовка кадрів для правоохоронних органів, підвищення правової культури та відповідальності у процесі здійснення зазначених дій.</w:t>
      </w:r>
    </w:p>
    <w:p w14:paraId="72E9B63F"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Таким чином, правовий інструментарій у вигляді негласних слідчих (розшукових) дій та оперативно-розшукових заходів є надзвичайно важливим для забезпечення ефективної протидії злочинності в Україні. Разом із тим його застосування потребує ретельного нормативного регулювання, постійного моніторингу практики й узгодження з міжнародними зобов’язаннями держави у сфері прав людини. Забезпечення балансу між потребами правоохоронної системи та захистом особистих прав і свобод повинно стати основним орієнтиром у формуванні правової політики держави на цьому напрямі.</w:t>
      </w:r>
    </w:p>
    <w:p w14:paraId="0B018979"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rPr>
      </w:pPr>
    </w:p>
    <w:p w14:paraId="5503A0BA"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0739DB23" w14:textId="77777777" w:rsidR="00532C25" w:rsidRPr="00511005" w:rsidRDefault="00532C25" w:rsidP="003F6A5D">
      <w:pPr>
        <w:widowControl w:val="0"/>
        <w:numPr>
          <w:ilvl w:val="0"/>
          <w:numId w:val="819"/>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Цимбал П. В., Теслицький А. А. Особливості розмежування негласних слідчих (розшукових) дій та оперативно-розшукових заходів. Європейський правничий часопис. 2024. Вип. 3. С. 69-77 URL: </w:t>
      </w:r>
      <w:hyperlink r:id="rId1925" w:history="1">
        <w:r w:rsidRPr="00511005">
          <w:rPr>
            <w:rFonts w:ascii="Arial" w:eastAsia="Times New Roman" w:hAnsi="Arial" w:cs="Arial"/>
            <w:szCs w:val="28"/>
            <w:lang w:eastAsia="ru-RU"/>
          </w:rPr>
          <w:t>http://dspace.e-u.edu.ua/handle/123456789/611</w:t>
        </w:r>
      </w:hyperlink>
      <w:r w:rsidRPr="00511005">
        <w:rPr>
          <w:rFonts w:ascii="Arial" w:eastAsia="Times New Roman" w:hAnsi="Arial" w:cs="Arial"/>
          <w:szCs w:val="28"/>
          <w:lang w:eastAsia="ru-RU"/>
        </w:rPr>
        <w:t xml:space="preserve"> (дата звернення: 12.04.2025 року)</w:t>
      </w:r>
    </w:p>
    <w:p w14:paraId="51987FD7" w14:textId="77777777" w:rsidR="00532C25" w:rsidRPr="00511005" w:rsidRDefault="00532C25" w:rsidP="003F6A5D">
      <w:pPr>
        <w:widowControl w:val="0"/>
        <w:numPr>
          <w:ilvl w:val="0"/>
          <w:numId w:val="819"/>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Філоненко, С. С., Ільченко О.В. </w:t>
      </w:r>
      <w:r w:rsidRPr="00511005">
        <w:rPr>
          <w:rFonts w:ascii="Arial" w:eastAsia="Times New Roman" w:hAnsi="Arial" w:cs="Arial"/>
          <w:i/>
          <w:iCs/>
          <w:szCs w:val="28"/>
          <w:lang w:eastAsia="ru-RU"/>
        </w:rPr>
        <w:t>Співвідношення оперативно-розшукових заходів та негласних слідчих (розшукових) дій</w:t>
      </w:r>
      <w:r w:rsidRPr="00511005">
        <w:rPr>
          <w:rFonts w:ascii="Arial" w:eastAsia="Times New Roman" w:hAnsi="Arial" w:cs="Arial"/>
          <w:szCs w:val="28"/>
          <w:lang w:eastAsia="ru-RU"/>
        </w:rPr>
        <w:t xml:space="preserve">. Diss. Сумський державний університет, 2020. URL: </w:t>
      </w:r>
      <w:hyperlink r:id="rId1926" w:history="1">
        <w:r w:rsidRPr="00511005">
          <w:rPr>
            <w:rFonts w:ascii="Arial" w:eastAsia="Times New Roman" w:hAnsi="Arial" w:cs="Arial"/>
            <w:szCs w:val="28"/>
            <w:lang w:eastAsia="ru-RU"/>
          </w:rPr>
          <w:t>https://essuir.sumdu.edu.ua/bitstream-download/123456789/78831/1/Filonenko%20_investigation.pdf</w:t>
        </w:r>
      </w:hyperlink>
      <w:r w:rsidRPr="00511005">
        <w:rPr>
          <w:rFonts w:ascii="Arial" w:eastAsia="Times New Roman" w:hAnsi="Arial" w:cs="Arial"/>
          <w:szCs w:val="28"/>
          <w:lang w:eastAsia="ru-RU"/>
        </w:rPr>
        <w:t xml:space="preserve"> (дата звернення: 12.04.2025 року)</w:t>
      </w:r>
    </w:p>
    <w:p w14:paraId="626D48CC" w14:textId="77777777" w:rsidR="00532C25" w:rsidRPr="00511005" w:rsidRDefault="00532C25" w:rsidP="00532C25">
      <w:pPr>
        <w:widowControl w:val="0"/>
        <w:tabs>
          <w:tab w:val="left" w:pos="993"/>
          <w:tab w:val="left" w:pos="7088"/>
        </w:tabs>
        <w:autoSpaceDE w:val="0"/>
        <w:autoSpaceDN w:val="0"/>
        <w:adjustRightInd w:val="0"/>
        <w:spacing w:line="264" w:lineRule="auto"/>
        <w:ind w:firstLine="720"/>
        <w:rPr>
          <w:rFonts w:ascii="Arial" w:eastAsia="Times New Roman" w:hAnsi="Arial" w:cs="Arial"/>
          <w:szCs w:val="28"/>
          <w:lang w:eastAsia="ru-RU"/>
        </w:rPr>
      </w:pPr>
    </w:p>
    <w:p w14:paraId="158EB751" w14:textId="77777777" w:rsidR="00532C25" w:rsidRPr="00511005" w:rsidRDefault="00532C25" w:rsidP="00532C25">
      <w:pPr>
        <w:widowControl w:val="0"/>
        <w:tabs>
          <w:tab w:val="left" w:pos="993"/>
          <w:tab w:val="left" w:pos="7088"/>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eastAsia="ru-RU"/>
        </w:rPr>
        <w:t>негласні слідчі (розшукові) дії, оперативно-розшукові заходи, досудове розслідування, права людини, міжнародні стандарти.</w:t>
      </w:r>
    </w:p>
    <w:p w14:paraId="1F1B65E9" w14:textId="77777777" w:rsidR="00532C25" w:rsidRPr="00511005" w:rsidRDefault="00532C25" w:rsidP="00532C25">
      <w:pPr>
        <w:widowControl w:val="0"/>
        <w:tabs>
          <w:tab w:val="left" w:pos="993"/>
          <w:tab w:val="left" w:pos="7088"/>
        </w:tabs>
        <w:autoSpaceDE w:val="0"/>
        <w:autoSpaceDN w:val="0"/>
        <w:adjustRightInd w:val="0"/>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covert investigative (search) actions, operational-search measures, pre-trial investigation, human rights, international standards.</w:t>
      </w:r>
    </w:p>
    <w:p w14:paraId="79215A0E" w14:textId="77777777" w:rsidR="00532C25" w:rsidRPr="00511005" w:rsidRDefault="00532C25" w:rsidP="00532C25">
      <w:pPr>
        <w:widowControl w:val="0"/>
        <w:tabs>
          <w:tab w:val="left" w:pos="993"/>
          <w:tab w:val="left" w:pos="7088"/>
        </w:tabs>
        <w:autoSpaceDE w:val="0"/>
        <w:autoSpaceDN w:val="0"/>
        <w:adjustRightInd w:val="0"/>
        <w:spacing w:line="264" w:lineRule="auto"/>
        <w:ind w:firstLine="720"/>
        <w:rPr>
          <w:rFonts w:ascii="Arial" w:eastAsia="Times New Roman" w:hAnsi="Arial" w:cs="Arial"/>
          <w:i/>
          <w:iCs/>
          <w:szCs w:val="28"/>
          <w:lang w:val="uk-UA"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eastAsia="ru-RU"/>
        </w:rPr>
        <w:t xml:space="preserve">к.ю.н., доцент </w:t>
      </w:r>
      <w:r w:rsidRPr="00511005">
        <w:rPr>
          <w:rFonts w:ascii="Arial" w:eastAsia="Times New Roman" w:hAnsi="Arial" w:cs="Arial"/>
          <w:i/>
          <w:iCs/>
          <w:szCs w:val="28"/>
          <w:lang w:val="uk-UA" w:eastAsia="ru-RU"/>
        </w:rPr>
        <w:t>Чумак С</w:t>
      </w:r>
      <w:r w:rsidRPr="00511005">
        <w:rPr>
          <w:rFonts w:ascii="Arial" w:eastAsia="Times New Roman" w:hAnsi="Arial" w:cs="Arial"/>
          <w:i/>
          <w:iCs/>
          <w:szCs w:val="28"/>
          <w:lang w:eastAsia="ru-RU"/>
        </w:rPr>
        <w:t>.</w:t>
      </w:r>
      <w:r w:rsidRPr="00511005">
        <w:rPr>
          <w:rFonts w:ascii="Arial" w:eastAsia="Times New Roman" w:hAnsi="Arial" w:cs="Arial"/>
          <w:i/>
          <w:iCs/>
          <w:szCs w:val="28"/>
          <w:lang w:val="uk-UA" w:eastAsia="ru-RU"/>
        </w:rPr>
        <w:t>П.</w:t>
      </w:r>
    </w:p>
    <w:p w14:paraId="0F88D70E" w14:textId="77777777" w:rsidR="00532C25" w:rsidRPr="00511005" w:rsidRDefault="00532C25" w:rsidP="00532C25">
      <w:pPr>
        <w:spacing w:line="264" w:lineRule="auto"/>
        <w:ind w:firstLine="720"/>
        <w:jc w:val="center"/>
        <w:rPr>
          <w:rFonts w:ascii="Arial" w:eastAsia="Calibri" w:hAnsi="Arial" w:cs="Arial"/>
          <w:b/>
          <w:i/>
          <w:szCs w:val="28"/>
          <w:lang w:val="uk-UA"/>
        </w:rPr>
      </w:pPr>
    </w:p>
    <w:p w14:paraId="0FAEF341" w14:textId="77777777" w:rsidR="00532C25" w:rsidRPr="00511005" w:rsidRDefault="00532C25" w:rsidP="00532C25">
      <w:pPr>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Антонюк Софія Любомирівна</w:t>
      </w:r>
    </w:p>
    <w:p w14:paraId="45B6BCCF"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магістратури </w:t>
      </w:r>
    </w:p>
    <w:p w14:paraId="0E7633E2"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 xml:space="preserve">факультету цивільної та господарської юстиції </w:t>
      </w:r>
    </w:p>
    <w:p w14:paraId="67B1210B"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114D88D4" w14:textId="77777777" w:rsidR="00532C25" w:rsidRPr="00511005" w:rsidRDefault="00532C25" w:rsidP="00532C25">
      <w:pPr>
        <w:spacing w:line="264" w:lineRule="auto"/>
        <w:ind w:firstLine="720"/>
        <w:rPr>
          <w:rFonts w:ascii="Arial" w:eastAsia="Calibri" w:hAnsi="Arial" w:cs="Arial"/>
          <w:b/>
          <w:szCs w:val="28"/>
        </w:rPr>
      </w:pPr>
    </w:p>
    <w:p w14:paraId="6686DAB8"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ОСОБЛИВОСТІ ПРИЗНАЧЕННЯ СУДОВИХ ЕКСПЕРТИЗ ПІД ЧАС РОЗСЛІДУВАННЯ ВБИВСТВ, СКОЄНИХ ЗАСУДЖЕНИМИ У ВИПРАВНИХ УСТАНОВАХ</w:t>
      </w:r>
    </w:p>
    <w:p w14:paraId="5E81BD6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Розслідування вбивств, учинених засудженими у виправних установах, має свої особливості й потребує особливої ретельності в проведенні слідчих дій. У в'язничному середовищі характер вбивств часто зумовлений міжособистісними конфліктами, боротьбою за неформальну ієрархію або протистоянням із адміністрацією установи. Особи, що скоюють злочини, вже мають судимість і певний кримінальний досвід, що впливає на їхню поведінку як під час злочину, так і в ході розслідування. Це потребує особливо ретельного підходу до збирання та оцінки доказів.</w:t>
      </w:r>
    </w:p>
    <w:p w14:paraId="324BFC3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Однією з ключових складових такого розслідування є призначення судових експертиз. З огляду на специфіку місця події, де в обмеженому просторі залишаються численні сліди як на потерпілому, так і в навколишньому середовищі, необхідність проведення різних видів експертиз є вкрай високою. Зокрема, невід’ємною частиною розслідування є залучення експерта-судово-медика для огляду тіла потерпілого, встановлення причин смерті та механізму завдання тілесних ушкоджень. Відповідно до статті 242 Кримінального процесуального кодексу України [1], експертиза призначається у випадках, коли для з’ясування обставин, що мають значення для кримінального провадження, необхідні спеціальні знання, зокрема для встановлення причин смерті. Судова експертиза має бути проведена судовими експертами, які внесені до Державного реєстру атестованих судових експертів. Це стосується, зокрема, державних спеціалізованих установ, адже саме там працюють фахівці різних напрямів судової експертизи. Вони володіють необхідною кваліфікацією та використовують обладнання, що відповідає високим стандартам для проведення більшості типів експертних досліджень. Таким чином, грамотне й своєчасне призначення судових експертиз є важливим чинником </w:t>
      </w:r>
      <w:r w:rsidRPr="00511005">
        <w:rPr>
          <w:rFonts w:ascii="Arial" w:eastAsia="Calibri" w:hAnsi="Arial" w:cs="Arial"/>
          <w:szCs w:val="28"/>
          <w:lang w:val="uk-UA"/>
        </w:rPr>
        <w:lastRenderedPageBreak/>
        <w:t>забезпечення повного, об’єктивного й неупередженого розслідування таких злочинів.</w:t>
      </w:r>
    </w:p>
    <w:p w14:paraId="2817EE7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зв’язку з цим слідчий зазвичай призначає комплекс експертиз, що дозволяють всебічно дослідити обставини злочину. Серед них обов’язковими є судово-медична експертиза трупа та експертиза живої особи (переважно підозрюваного). У разі проведення слідчого експерименту необхідною стає судово-медична експертиза за його результатами. Крім того, широко застосовуються комплексні медико-криміналістичні дослідження, молекулярно-генетичні експертизи (експертиза ДНК), судово-біологічні (зокрема імунологічні та цитологічні) експертизи. Для встановлення психічного стану підозрюваного можуть призначатися судово-психіатричні чи судово-психолого-психіатричні експертизи, а також судово-наркологічні дослідження. З метою ідентифікації особи або аналізу слідів застосовуються судово-дактилоскопічна експертиза, трасологічні експертизи (зокрема дослідження слідів ніг чи транспортних засобів), а також експертизи волокон і волокнистих матеріалів. У випадках використання холодної зброї обов'язковим є проведення судово-криміналістичної експертизи відповідних об'єктів.</w:t>
      </w:r>
    </w:p>
    <w:p w14:paraId="3923802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Під час розслідування вбивств у виправних установах надзвичайно важливо призначати широкий спектр судових експертиз. Одним із найінформативніших методів сьогодні є молекулярно-генетична експертиза, яка за допомогою аналізу ДНК визначає особу. Досліджуючи мікросліди біологічного походження – такі як краплі крові, часточки слини, волосся або потожирові виділення – експерти можуть з великою точністю ідентифікувати підозрюваного або потерпілого. ДНК-аналіз вважається найбільш надійним способом встановлення особи, особливо в складних ситуаціях, коли інші докази або відсутні, або знищені.</w:t>
      </w:r>
    </w:p>
    <w:p w14:paraId="21F831D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Крім молекулярно-генетичних досліджень, важливу роль відіграє судово-дактилоскопічна експертиза, що визначає особу за відбитками пальців рук. У виправних установах, де контакт між людьми неминучий, навіть сліди босих ніг чи взуття можуть бути вирішальними доказами. Тому слідчі нерідко призначають трасологічні експертизи, що порівнюють відбитки й дозволяють підтвердити важливі збіги.</w:t>
      </w:r>
    </w:p>
    <w:p w14:paraId="499D88A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Також значення має судово-криміналістична експертиза цілого за частинами, що дозволяє встановити відповідність між окремими предметами чи їх уламками. Наприклад, уламок ножа, знайдений у рані потерпілого, можна порівняти зі зламаним лезом підозрюваного, що значно зміцнює доказову базу. Такі експертизи особливо важливі у випадках, коли знаряддя злочину було пошкоджено або навмисне знищено після вбивства. Судово-криміналістичну експертизу холодної зброї також важливо враховувати. У місцях позбавлення волі часто засуджені використовують звичайні предмети як зброю, включаючи ножі, заточки чи колючо-ріжучі </w:t>
      </w:r>
      <w:r w:rsidRPr="00511005">
        <w:rPr>
          <w:rFonts w:ascii="Arial" w:eastAsia="Calibri" w:hAnsi="Arial" w:cs="Arial"/>
          <w:szCs w:val="28"/>
          <w:lang w:val="uk-UA"/>
        </w:rPr>
        <w:lastRenderedPageBreak/>
        <w:t xml:space="preserve">інструменти. Експерти визначають, чи належить вилучений предмет до холодної зброї та чи могли залишитися сліди на тілі потерпілого саме від нього. Це дозволяє ще точніше реконструювати механізм злочину </w:t>
      </w:r>
      <w:r w:rsidRPr="00511005">
        <w:rPr>
          <w:rFonts w:ascii="Arial" w:eastAsia="Calibri" w:hAnsi="Arial" w:cs="Arial"/>
          <w:szCs w:val="28"/>
        </w:rPr>
        <w:t>[3</w:t>
      </w:r>
      <w:r w:rsidRPr="00511005">
        <w:rPr>
          <w:rFonts w:ascii="Arial" w:eastAsia="Calibri" w:hAnsi="Arial" w:cs="Arial"/>
          <w:szCs w:val="28"/>
          <w:lang w:val="uk-UA"/>
        </w:rPr>
        <w:t>, с. 10</w:t>
      </w:r>
      <w:r w:rsidRPr="00511005">
        <w:rPr>
          <w:rFonts w:ascii="Arial" w:eastAsia="Calibri" w:hAnsi="Arial" w:cs="Arial"/>
          <w:szCs w:val="28"/>
        </w:rPr>
        <w:t>]</w:t>
      </w:r>
      <w:r w:rsidRPr="00511005">
        <w:rPr>
          <w:rFonts w:ascii="Arial" w:eastAsia="Calibri" w:hAnsi="Arial" w:cs="Arial"/>
          <w:szCs w:val="28"/>
          <w:lang w:val="uk-UA"/>
        </w:rPr>
        <w:t>.</w:t>
      </w:r>
    </w:p>
    <w:p w14:paraId="3B9076A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Необхідно правильно визначити послідовність проведення експертиз. Слідчий має планувати їх так, щоб максимально зберегти інформацію з об'єктів дослідження. Наприклад, якщо на рукоятці ножа є сліди крові та відбитки пальців, спочатку потрібно провести судово-цитологічну експертизу крові, враховуючи можливість наявності слідів пальців для їхнього збереження. Лише після цього здійснюється дактилоскопічна експертиза, а вже потім – дослідження самої холодної зброї. Компетентне планування та комплексне застосування судових експертиз дає змогу об'єктивно зібрати докази, відтворити механізм злочину та визначити винуватців. У випадках вбивств у виправних установах, де часто намагаються приховати або спотворити злочини, правильне застосування спеціальних знань є вирішальним для досягнення справедливості.</w:t>
      </w:r>
    </w:p>
    <w:p w14:paraId="3025253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Експертний висновок виступає самостійним джерелом доказів у кримінальному провадженні і часто є єдиним, підвищуючи відповідальність експертів за надання об'єктивного та науково обґрунтованого висновку в межах їхньої компетенції [2, с. 752]. Результати судової експертизи документуються у відповідності до встановленого законом процесуального порядку і оформлюються згідно з вимогами статей 101 та 102 КПК України </w:t>
      </w:r>
      <w:r w:rsidRPr="00511005">
        <w:rPr>
          <w:rFonts w:ascii="Arial" w:eastAsia="Calibri" w:hAnsi="Arial" w:cs="Arial"/>
          <w:szCs w:val="28"/>
        </w:rPr>
        <w:t>[1]</w:t>
      </w:r>
      <w:r w:rsidRPr="00511005">
        <w:rPr>
          <w:rFonts w:ascii="Arial" w:eastAsia="Calibri" w:hAnsi="Arial" w:cs="Arial"/>
          <w:szCs w:val="28"/>
          <w:lang w:val="uk-UA"/>
        </w:rPr>
        <w:t>.</w:t>
      </w:r>
    </w:p>
    <w:p w14:paraId="1C12419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Отже, розслідування вбивств, учинених засудженими у виправних установах, вимагає підвищеної ретельності та комплексного застосування судових експертиз. Враховуючи специфіку закритого середовища та кримінальний досвід фігурантів, особливе значення має правильне планування черговості проведення експертиз для збереження доказів. Молекулярно-генетичні, судово-медичні, трасологічні, дактилоскопічні та криміналістичні експертизи є ключовими інструментами встановлення істини у справі. Грамотне використання спеціальних знань експертів забезпечує повноту, об'єктивність і неупередженість розслідування та сприяє досягненню справедливості.</w:t>
      </w:r>
    </w:p>
    <w:p w14:paraId="036B330C" w14:textId="77777777" w:rsidR="00532C25" w:rsidRPr="00511005" w:rsidRDefault="00532C25" w:rsidP="00532C25">
      <w:pPr>
        <w:spacing w:line="264" w:lineRule="auto"/>
        <w:ind w:firstLine="720"/>
        <w:jc w:val="center"/>
        <w:rPr>
          <w:rFonts w:ascii="Arial" w:eastAsia="Calibri" w:hAnsi="Arial" w:cs="Arial"/>
          <w:b/>
          <w:szCs w:val="28"/>
          <w:lang w:val="uk-UA"/>
        </w:rPr>
      </w:pPr>
    </w:p>
    <w:p w14:paraId="42920A22"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779B8BB8" w14:textId="77777777" w:rsidR="00532C25" w:rsidRPr="00511005" w:rsidRDefault="00532C25" w:rsidP="003F6A5D">
      <w:pPr>
        <w:numPr>
          <w:ilvl w:val="0"/>
          <w:numId w:val="662"/>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Кримінальний процесуальний кодекс України: Закон від 13.04.2012 р. URL: </w:t>
      </w:r>
      <w:hyperlink r:id="rId1927" w:history="1">
        <w:r w:rsidRPr="00511005">
          <w:rPr>
            <w:rFonts w:ascii="Arial" w:eastAsia="Times New Roman" w:hAnsi="Arial" w:cs="Arial"/>
            <w:szCs w:val="28"/>
            <w:lang w:val="uk-UA" w:eastAsia="ru-RU"/>
          </w:rPr>
          <w:t>http://zakon3.rada.gov.ua/laws/show/4651-17</w:t>
        </w:r>
      </w:hyperlink>
      <w:r w:rsidRPr="00511005">
        <w:rPr>
          <w:rFonts w:ascii="Arial" w:eastAsia="Times New Roman" w:hAnsi="Arial" w:cs="Arial"/>
          <w:szCs w:val="28"/>
          <w:lang w:val="uk-UA" w:eastAsia="ru-RU"/>
        </w:rPr>
        <w:t xml:space="preserve"> </w:t>
      </w:r>
    </w:p>
    <w:p w14:paraId="254C1C17" w14:textId="77777777" w:rsidR="00532C25" w:rsidRPr="00511005" w:rsidRDefault="00532C25" w:rsidP="003F6A5D">
      <w:pPr>
        <w:numPr>
          <w:ilvl w:val="0"/>
          <w:numId w:val="662"/>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Гудков, І. І. Особливості призначення та проведення судово-медичної експертизи при розслідуванні вбивств. </w:t>
      </w:r>
      <w:r w:rsidRPr="00511005">
        <w:rPr>
          <w:rFonts w:ascii="Arial" w:eastAsia="Times New Roman" w:hAnsi="Arial" w:cs="Arial"/>
          <w:i/>
          <w:iCs/>
          <w:szCs w:val="28"/>
          <w:lang w:val="uk-UA" w:eastAsia="ru-RU"/>
        </w:rPr>
        <w:t>Юридичний науковий електронний журнал</w:t>
      </w:r>
      <w:r w:rsidRPr="00511005">
        <w:rPr>
          <w:rFonts w:ascii="Arial" w:eastAsia="Times New Roman" w:hAnsi="Arial" w:cs="Arial"/>
          <w:szCs w:val="28"/>
          <w:lang w:val="uk-UA" w:eastAsia="ru-RU"/>
        </w:rPr>
        <w:t xml:space="preserve">. 2023. № 10. С. 750-753. URL: </w:t>
      </w:r>
      <w:hyperlink r:id="rId1928" w:history="1">
        <w:r w:rsidRPr="00511005">
          <w:rPr>
            <w:rFonts w:ascii="Arial" w:eastAsia="Times New Roman" w:hAnsi="Arial" w:cs="Arial"/>
            <w:szCs w:val="28"/>
            <w:lang w:val="uk-UA" w:eastAsia="ru-RU"/>
          </w:rPr>
          <w:t>http://lsej.org.ua/10_2023/182.pdf</w:t>
        </w:r>
      </w:hyperlink>
      <w:r w:rsidRPr="00511005">
        <w:rPr>
          <w:rFonts w:ascii="Arial" w:eastAsia="Times New Roman" w:hAnsi="Arial" w:cs="Arial"/>
          <w:szCs w:val="28"/>
          <w:lang w:val="uk-UA" w:eastAsia="ru-RU"/>
        </w:rPr>
        <w:t xml:space="preserve"> </w:t>
      </w:r>
    </w:p>
    <w:p w14:paraId="73DE56C6" w14:textId="77777777" w:rsidR="00532C25" w:rsidRPr="00511005" w:rsidRDefault="00532C25" w:rsidP="003F6A5D">
      <w:pPr>
        <w:numPr>
          <w:ilvl w:val="0"/>
          <w:numId w:val="662"/>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Кікінчук, В. В., Мішина, К. Г. Призначення судових експертиз при розслідуванні вбивств, учинених засудженими в місцях позбавлення волі. </w:t>
      </w:r>
      <w:r w:rsidRPr="00511005">
        <w:rPr>
          <w:rFonts w:ascii="Arial" w:eastAsia="Times New Roman" w:hAnsi="Arial" w:cs="Arial"/>
          <w:i/>
          <w:iCs/>
          <w:szCs w:val="28"/>
          <w:lang w:val="uk-UA" w:eastAsia="ru-RU"/>
        </w:rPr>
        <w:lastRenderedPageBreak/>
        <w:t>Теоретичні та прикладні проблеми судової експертизи і криміналістики</w:t>
      </w:r>
      <w:r w:rsidRPr="00511005">
        <w:rPr>
          <w:rFonts w:ascii="Arial" w:eastAsia="Times New Roman" w:hAnsi="Arial" w:cs="Arial"/>
          <w:szCs w:val="28"/>
          <w:lang w:val="uk-UA" w:eastAsia="ru-RU"/>
        </w:rPr>
        <w:t xml:space="preserve"> : тези доп. учасників наук.-практ. конф. (Харків, 30 вер. 2022 р.). 2022. С. 9-11. URL: https://library.pp-ss.pro/index.php/ndippsn_202220930/article/view/kikinchuk/pdf</w:t>
      </w:r>
    </w:p>
    <w:p w14:paraId="33B3E184" w14:textId="77777777" w:rsidR="00532C25" w:rsidRPr="00511005" w:rsidRDefault="00532C25" w:rsidP="00532C25">
      <w:pPr>
        <w:spacing w:line="264" w:lineRule="auto"/>
        <w:ind w:firstLine="720"/>
        <w:rPr>
          <w:rFonts w:ascii="Arial" w:eastAsia="Calibri" w:hAnsi="Arial" w:cs="Arial"/>
          <w:b/>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судова експертиза, розслідування вбивств, виправна установа, молекулярно-генетична експертиза, трасологічна експертиза, судово-медичне дослідження</w:t>
      </w:r>
    </w:p>
    <w:p w14:paraId="16DF5AE6" w14:textId="77777777" w:rsidR="00532C25" w:rsidRPr="00511005" w:rsidRDefault="00532C25" w:rsidP="00532C25">
      <w:pPr>
        <w:spacing w:line="264" w:lineRule="auto"/>
        <w:ind w:firstLine="720"/>
        <w:rPr>
          <w:rFonts w:ascii="Arial" w:eastAsia="Calibri" w:hAnsi="Arial" w:cs="Arial"/>
          <w:b/>
          <w:szCs w:val="28"/>
          <w:lang w:val="uk-UA"/>
        </w:rPr>
      </w:pPr>
      <w:r w:rsidRPr="00511005">
        <w:rPr>
          <w:rFonts w:ascii="Arial" w:eastAsia="Calibri" w:hAnsi="Arial" w:cs="Arial"/>
          <w:b/>
          <w:i/>
          <w:szCs w:val="28"/>
          <w:lang w:val="uk-UA"/>
        </w:rPr>
        <w:t xml:space="preserve">Key words: </w:t>
      </w:r>
      <w:r w:rsidRPr="00511005">
        <w:rPr>
          <w:rFonts w:ascii="Arial" w:eastAsia="Calibri" w:hAnsi="Arial" w:cs="Arial"/>
          <w:szCs w:val="28"/>
          <w:lang w:val="uk-UA"/>
        </w:rPr>
        <w:t>forensic examination, murder investigation, correctional facility, molecular genetic expertise, trace evidence examination, forensic medical research</w:t>
      </w:r>
    </w:p>
    <w:p w14:paraId="11AEEA25" w14:textId="77777777" w:rsidR="00532C25" w:rsidRPr="00511005" w:rsidRDefault="00532C25" w:rsidP="00532C25">
      <w:pPr>
        <w:spacing w:line="264" w:lineRule="auto"/>
        <w:ind w:firstLine="72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Pr="00511005">
        <w:rPr>
          <w:rFonts w:ascii="Arial" w:eastAsia="Calibri" w:hAnsi="Arial" w:cs="Arial"/>
          <w:i/>
          <w:iCs/>
          <w:szCs w:val="28"/>
          <w:lang w:val="uk-UA"/>
        </w:rPr>
        <w:t xml:space="preserve">к.ю.н., доцент </w:t>
      </w:r>
      <w:r w:rsidRPr="00511005">
        <w:rPr>
          <w:rFonts w:ascii="Arial" w:eastAsia="Calibri" w:hAnsi="Arial" w:cs="Arial"/>
          <w:i/>
          <w:iCs/>
          <w:szCs w:val="28"/>
          <w:shd w:val="clear" w:color="auto" w:fill="FFFFFF"/>
          <w:lang w:val="uk-UA"/>
        </w:rPr>
        <w:t>Шершенькова В.А.</w:t>
      </w:r>
    </w:p>
    <w:p w14:paraId="7E5956F1" w14:textId="77777777" w:rsidR="00532C25" w:rsidRPr="00511005" w:rsidRDefault="00532C25" w:rsidP="00532C25">
      <w:pPr>
        <w:widowControl w:val="0"/>
        <w:tabs>
          <w:tab w:val="left" w:pos="993"/>
          <w:tab w:val="left" w:pos="7088"/>
        </w:tabs>
        <w:autoSpaceDE w:val="0"/>
        <w:autoSpaceDN w:val="0"/>
        <w:adjustRightInd w:val="0"/>
        <w:spacing w:line="264" w:lineRule="auto"/>
        <w:ind w:firstLine="720"/>
        <w:rPr>
          <w:rFonts w:ascii="Arial" w:eastAsia="Times New Roman" w:hAnsi="Arial" w:cs="Arial"/>
          <w:i/>
          <w:iCs/>
          <w:szCs w:val="28"/>
          <w:lang w:val="uk-UA" w:eastAsia="ru-RU"/>
        </w:rPr>
      </w:pPr>
    </w:p>
    <w:p w14:paraId="44696305" w14:textId="77777777" w:rsidR="00532C25" w:rsidRPr="00511005" w:rsidRDefault="00532C25" w:rsidP="00532C25">
      <w:pPr>
        <w:spacing w:line="264" w:lineRule="auto"/>
        <w:ind w:firstLine="720"/>
        <w:jc w:val="left"/>
        <w:rPr>
          <w:rFonts w:ascii="Arial" w:eastAsia="Calibri" w:hAnsi="Arial" w:cs="Arial"/>
          <w:szCs w:val="28"/>
        </w:rPr>
      </w:pPr>
    </w:p>
    <w:p w14:paraId="1A08A03E" w14:textId="77777777" w:rsidR="00532C25" w:rsidRPr="00511005" w:rsidRDefault="00532C25" w:rsidP="00532C25">
      <w:pPr>
        <w:spacing w:line="264" w:lineRule="auto"/>
        <w:ind w:firstLine="720"/>
        <w:jc w:val="center"/>
        <w:rPr>
          <w:rFonts w:ascii="Arial" w:eastAsia="Calibri" w:hAnsi="Arial" w:cs="Arial"/>
          <w:b/>
          <w:bCs/>
          <w:i/>
          <w:iCs/>
          <w:szCs w:val="28"/>
        </w:rPr>
      </w:pPr>
      <w:r w:rsidRPr="00511005">
        <w:rPr>
          <w:rFonts w:ascii="Arial" w:eastAsia="Calibri" w:hAnsi="Arial" w:cs="Arial"/>
          <w:b/>
          <w:bCs/>
          <w:i/>
          <w:iCs/>
          <w:szCs w:val="28"/>
        </w:rPr>
        <w:t>Аркуша Євгеній Русланович</w:t>
      </w:r>
    </w:p>
    <w:p w14:paraId="57F833CD"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2-го курсу </w:t>
      </w:r>
    </w:p>
    <w:p w14:paraId="67E83209"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1D4790E"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F34FC9B" w14:textId="77777777" w:rsidR="00532C25" w:rsidRPr="00511005" w:rsidRDefault="00532C25" w:rsidP="00532C25">
      <w:pPr>
        <w:spacing w:line="264" w:lineRule="auto"/>
        <w:ind w:firstLine="720"/>
        <w:jc w:val="left"/>
        <w:rPr>
          <w:rFonts w:ascii="Arial" w:eastAsia="Calibri" w:hAnsi="Arial" w:cs="Arial"/>
          <w:szCs w:val="28"/>
        </w:rPr>
      </w:pPr>
    </w:p>
    <w:p w14:paraId="0ECB9D14"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rPr>
        <w:t>РОЛЬ ОПЕРАТИВНО-РОЗШУКОВОЇ ДІЯЛЬНОСТІ У ПРОТИДІЇ ОРГАНІЗОВАНІЙ ЗЛОЧИННОСТІ</w:t>
      </w:r>
    </w:p>
    <w:p w14:paraId="3455C8C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Організована злочинність в Україні існує вже багато років і найбільш поширена у таких напрямах злочинної діяльності як наркобізнес, контрабанда, торгівля людьми, фінансове шахрайство та корупція. Під час воєнного стану її прояви посилились, особливо у вигляді розкрадання гуманітарної допомоги, махінацій із військовим майном, незаконного перетину кордону та підробки документів. Така ситуація потребує активного застосування оперативно-розшукових заходів як одного з основних інструментів протидії організованій злочинності. У цій роботі буде розглянуто завдання, вплив та результат даних заходів.</w:t>
      </w:r>
    </w:p>
    <w:p w14:paraId="5A046331"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Згідно із Законом України «Про оперативно-розшукову діяльність» оперативно-розшукова діяльність (далі - ОРД) – «це система гласних і негласних пошукових та контррозвідувальних заходів, що здійснюються із застосуванням оперативних та оперативно-технічних засобів» [1]. У обраному напрямі дослідження ОРД розглянуто в аспекті своєї спрямованості на протидію організованій злочинності, тому що остання залишається однією із значущих загроз національній безпеці України, підриваючи основи правопорядку, економічного розвитку та демократичного суспільства. Боротися з цим явищем лише шляхом традиційного кримінального переслідування недостатньо, необхідний комплексний підхід, що включає попередження, виявлення та документування злочинної діяльності ще на стадії її підготовки. Саме тому оперативно-розшукова </w:t>
      </w:r>
      <w:r w:rsidRPr="00511005">
        <w:rPr>
          <w:rFonts w:ascii="Arial" w:eastAsia="Calibri" w:hAnsi="Arial" w:cs="Arial"/>
          <w:szCs w:val="28"/>
        </w:rPr>
        <w:lastRenderedPageBreak/>
        <w:t>діяльність залишається дієвим інструментом запобігання та припинення проявів організованої злочинної діяльності.</w:t>
      </w:r>
    </w:p>
    <w:p w14:paraId="755E340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Організована злочинність (далі - ОЗ) – «це сукупність кримінальних правопорушень, які вчиняються стійкими злочинними об’єднаннями, які в свою чергу мають специфічну організаційну структуру та ознаки, визначені на основі загальних правил інституту співучасті» [2, с. 127]. У зв'язку з високим рівнем конспірації, чітким розподілом ролей між учасниками та часто транснаціональним характером діяльності таких угруповань, звичайних слідчих методів недостатньо. Саме тут і втручається оперативно-розшукова діяльність, забезпечуючи ідентифікацію та подальшу нейтралізацію учасників організованих злочинних формувань. Через систему гласних і негласних заходів (таких як, наприклад, зняття інформації з електронних комунікаційних мереж, спостереження за особою річчю або місцем, та ін.), вивчення, аналіз та оцінювання діяльності злочинних організацій, контроль за перебігом злочинних подій, працівники оперативних підрозділів мають змогу збирати докази ще </w:t>
      </w:r>
      <w:proofErr w:type="gramStart"/>
      <w:r w:rsidRPr="00511005">
        <w:rPr>
          <w:rFonts w:ascii="Arial" w:eastAsia="Calibri" w:hAnsi="Arial" w:cs="Arial"/>
          <w:szCs w:val="28"/>
        </w:rPr>
        <w:t>до початку</w:t>
      </w:r>
      <w:proofErr w:type="gramEnd"/>
      <w:r w:rsidRPr="00511005">
        <w:rPr>
          <w:rFonts w:ascii="Arial" w:eastAsia="Calibri" w:hAnsi="Arial" w:cs="Arial"/>
          <w:szCs w:val="28"/>
        </w:rPr>
        <w:t>, на ранніх етапах злочинної діяльності, не допускаючи реалізації злочинного наміру. Якщо ж кримінальні правопорушення вже вчиняються на стабільній/постійній основі певною злочинною організацією, оперативно-розшукові заходи і в цьому разі є невід’ємними для отримання доказів. Вони дозволяють виявити зв’язки між учасниками, встановити структуру злочинного угруповання, джерела фінансування, канали постачання зброї чи наркотиків, а також методи легалізації доходів, одержаних злочинним шляхом. Наостанок, працівники оперативних підрозділів втручаються у хід злочинної події та затримують злочинців.</w:t>
      </w:r>
    </w:p>
    <w:p w14:paraId="39FED99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Одним із найважливіших завдань оперативних підрозділів у таких випадках є організація протидії ОЗ, документування епізодів злочинної діяльності і збирання інформації іншими методами, що допоможе розкрити та встановити повну картину функціонування угруповання. Інформація, зібрана оперативниками, забезпечує повноту та обґрунтованість кримінального провадження на подальших етапах досудового розслідування. </w:t>
      </w:r>
    </w:p>
    <w:p w14:paraId="00EE692D"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Р.С. Яблонський зазначає, що «основними елементами організації протидії ОЗ включає формування організаційної структури суб’єктів протидії, визначення стратегічних і тактичних функцій оперативних підрозділів Нацполіції, збирання та аналіз оперативної інформації, організацію міжвідомчої взаємодії, підбір і навчання кадрів, а також використання сучасних інформаційних технологій та технічних засобів» [5, с. 129-130]. Документування при цьому розуміється як комплексна фіксація діяльності злочинних угруповань, їх учасників. </w:t>
      </w:r>
    </w:p>
    <w:p w14:paraId="5545855D"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Від якості оперативно-розшукової інформації залежить результат кримінального аналізу і, як наслідок, обґрунтування та доцільність </w:t>
      </w:r>
      <w:r w:rsidRPr="00511005">
        <w:rPr>
          <w:rFonts w:ascii="Arial" w:eastAsia="Calibri" w:hAnsi="Arial" w:cs="Arial"/>
          <w:szCs w:val="28"/>
        </w:rPr>
        <w:lastRenderedPageBreak/>
        <w:t>прийнятих управлінських рішень щодо проведення оперативно-розшукових заходів щодо протидії злочинності, тому до такої інформації встановлені певні критерії: вона повинна бути достовірною, адекватною, повною й оптимальною, точною, оперативною (своєчасною), лаконічною, логічною, значущою та цінною. Вона повинна відповідати поставленій меті, бути систематизованою і з новизною [4, с. 198]. Тільки за дотримання зазначених вимог оперативно-розшукова інформація може бути використана як надійна основа для прийняття стратегічних та тактичних рішень у боротьбі з організованою злочинністю.</w:t>
      </w:r>
    </w:p>
    <w:p w14:paraId="671A2C75"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Станом на сьогоднішній день оперативно-розшукова діяльність у сфері протидії організованій злочинності в Україні здійснюється новоствореними та реорганізованими підрозділами Національної поліції, які замінили собою колишні структури, такі як Департамент захисту економіки та спеціальні підрозділи по боротьбі з організованою злочинністю. Таким чином, у 2019 році було створено Департамент стратегічних розслідувань (ДСР), який уповноважений на виявлення, документування та нейтралізацію організованих злочинних груп і злочинних організацій. Діяльність ДСР орієнтована </w:t>
      </w:r>
      <w:proofErr w:type="gramStart"/>
      <w:r w:rsidRPr="00511005">
        <w:rPr>
          <w:rFonts w:ascii="Arial" w:eastAsia="Calibri" w:hAnsi="Arial" w:cs="Arial"/>
          <w:szCs w:val="28"/>
        </w:rPr>
        <w:t>на роботу</w:t>
      </w:r>
      <w:proofErr w:type="gramEnd"/>
      <w:r w:rsidRPr="00511005">
        <w:rPr>
          <w:rFonts w:ascii="Arial" w:eastAsia="Calibri" w:hAnsi="Arial" w:cs="Arial"/>
          <w:szCs w:val="28"/>
        </w:rPr>
        <w:t xml:space="preserve"> з найбільш небезпечними суб’єктами злочинного середовища, зокрема з кримінальними авторитетами, що мають вплив на суспільно значущі сфери. Положення про ДСР закріплює його повноваження у частині протидії злочинності в органах державної влади та місцевого самоврядування, боротьби з корупцією та захисту прав і свобод громадян. </w:t>
      </w:r>
    </w:p>
    <w:p w14:paraId="72286A7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Також до структур, які займаються боротьбою з організованою злочинністю відноситься Кіберполіція. Її діяльність охоплює боротьбу з кіберзлочинністю, зокрема з використанням цифрових платформ для координації та фінансування організованих злочинних схем, торгівлі людьми, наркотиками, зброєю, а також відмивання коштів. Служба безпеки України (СБУ), Бюро економічної безпеки (БЕБ), Національне антикорупційне бюро (НАБУ) також протидіють ОЗ. Ці структури здійснюють оперативно-розшукову діяльність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власної компетенції, що передбачена чинним законодавством. Згідно зі статистикою за 2023 рік, лише ДБР розслідувало 99 кримінальних проваджень щодо злочинів, вчинених організованими злочинними групами чи злочинними організаціями [3].</w:t>
      </w:r>
    </w:p>
    <w:p w14:paraId="1389D2B1"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Отже, організована злочинність в Україні є одним із найнебезпечніших викликів для національної безпеки, особливо в умовах воєнного стану, коли її прояви набули нових форм і масштабів. Виключно слідчі інструменти без взаємодії с ОРД є малоефективними у боротьбі з високо законспірованими, структурованими та транснаціональними злочинними об’єднаннями. Саме тому оперативно-розшукова діяльність виступає тим елементом системи протидії ОЗ, який дозволяє своєчасно виявляти, документувати й запобігати злочинній діяльності ще на етапі її планування.</w:t>
      </w:r>
    </w:p>
    <w:p w14:paraId="29649A42"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lastRenderedPageBreak/>
        <w:t>Успішна реалізація оперативно-розшукових заходів потребує чіткого розуміння структури, методів та ресурсів організованих злочинних формувань, а також високого професіоналізму та належного технічного забезпечення оперативних підрозділів. Роль та значення створених структур Національної поліції, таких як ДСР, Кіберполіція, СБУ, БЕБ, НАБУ, а також інших правоохоронних органів, є критично важливою в побудові комплексної та скоординованої моделі протидії. В умовах стрімкого розвитку цифрових технологій і трансформації злочинного середовища ця діяльність має постійно вдосконалюватися та забезпечуватися відповідним фінансуванням для того, щоб ОРД відповідала встановленим стандартам і забезпечувала належний, ефективний рівень роботи.</w:t>
      </w:r>
    </w:p>
    <w:p w14:paraId="137E942C" w14:textId="77777777" w:rsidR="00532C25" w:rsidRPr="00511005" w:rsidRDefault="00532C25" w:rsidP="00532C25">
      <w:pPr>
        <w:spacing w:line="264" w:lineRule="auto"/>
        <w:ind w:firstLine="720"/>
        <w:jc w:val="center"/>
        <w:rPr>
          <w:rFonts w:ascii="Arial" w:eastAsia="Calibri" w:hAnsi="Arial" w:cs="Arial"/>
          <w:b/>
          <w:bCs/>
          <w:szCs w:val="28"/>
        </w:rPr>
      </w:pPr>
    </w:p>
    <w:p w14:paraId="7A070651"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7A8A4350" w14:textId="77777777" w:rsidR="00532C25" w:rsidRPr="00511005" w:rsidRDefault="00532C25" w:rsidP="003F6A5D">
      <w:pPr>
        <w:keepNext/>
        <w:widowControl w:val="0"/>
        <w:numPr>
          <w:ilvl w:val="0"/>
          <w:numId w:val="651"/>
        </w:numPr>
        <w:spacing w:line="264" w:lineRule="auto"/>
        <w:ind w:left="0" w:firstLine="720"/>
        <w:contextualSpacing/>
        <w:jc w:val="left"/>
        <w:rPr>
          <w:rFonts w:ascii="Arial" w:eastAsia="Times New Roman" w:hAnsi="Arial" w:cs="Arial"/>
          <w:szCs w:val="28"/>
          <w:lang w:eastAsia="ru-RU"/>
        </w:rPr>
      </w:pPr>
      <w:bookmarkStart w:id="229" w:name="_Hlk197014685"/>
      <w:r w:rsidRPr="00511005">
        <w:rPr>
          <w:rFonts w:ascii="Arial" w:eastAsia="Times New Roman" w:hAnsi="Arial" w:cs="Arial"/>
          <w:szCs w:val="28"/>
          <w:lang w:eastAsia="ru-RU"/>
        </w:rPr>
        <w:t xml:space="preserve">Про оперативно-розшукову діяльність: закон України. </w:t>
      </w:r>
      <w:r w:rsidRPr="00511005">
        <w:rPr>
          <w:rFonts w:ascii="Arial" w:eastAsia="Times New Roman" w:hAnsi="Arial" w:cs="Arial"/>
          <w:i/>
          <w:iCs/>
          <w:szCs w:val="28"/>
          <w:lang w:eastAsia="ru-RU"/>
        </w:rPr>
        <w:t xml:space="preserve">Відомості </w:t>
      </w:r>
      <w:proofErr w:type="gramStart"/>
      <w:r w:rsidRPr="00511005">
        <w:rPr>
          <w:rFonts w:ascii="Arial" w:eastAsia="Times New Roman" w:hAnsi="Arial" w:cs="Arial"/>
          <w:i/>
          <w:iCs/>
          <w:szCs w:val="28"/>
          <w:lang w:eastAsia="ru-RU"/>
        </w:rPr>
        <w:t>Верховної</w:t>
      </w:r>
      <w:proofErr w:type="gramEnd"/>
      <w:r w:rsidRPr="00511005">
        <w:rPr>
          <w:rFonts w:ascii="Arial" w:eastAsia="Times New Roman" w:hAnsi="Arial" w:cs="Arial"/>
          <w:i/>
          <w:iCs/>
          <w:szCs w:val="28"/>
          <w:lang w:eastAsia="ru-RU"/>
        </w:rPr>
        <w:t xml:space="preserve"> Ради України.</w:t>
      </w:r>
      <w:r w:rsidRPr="00511005">
        <w:rPr>
          <w:rFonts w:ascii="Arial" w:eastAsia="Times New Roman" w:hAnsi="Arial" w:cs="Arial"/>
          <w:szCs w:val="28"/>
          <w:lang w:eastAsia="ru-RU"/>
        </w:rPr>
        <w:t xml:space="preserve"> 1992. №22. Ст. 303. URL: </w:t>
      </w:r>
      <w:hyperlink r:id="rId1929" w:anchor="Text" w:history="1">
        <w:r w:rsidRPr="00511005">
          <w:rPr>
            <w:rFonts w:ascii="Arial" w:eastAsia="Times New Roman" w:hAnsi="Arial" w:cs="Arial"/>
            <w:szCs w:val="28"/>
            <w:lang w:eastAsia="ru-RU"/>
          </w:rPr>
          <w:t>https://zakon.rada.gov.ua/laws/show/2135-12#Text</w:t>
        </w:r>
      </w:hyperlink>
    </w:p>
    <w:bookmarkEnd w:id="229"/>
    <w:p w14:paraId="254557DD" w14:textId="77777777" w:rsidR="00532C25" w:rsidRPr="00511005" w:rsidRDefault="00532C25" w:rsidP="003F6A5D">
      <w:pPr>
        <w:keepNext/>
        <w:widowControl w:val="0"/>
        <w:numPr>
          <w:ilvl w:val="0"/>
          <w:numId w:val="651"/>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Попович А.О. Організована злочинність в Україні. </w:t>
      </w:r>
      <w:r w:rsidRPr="00511005">
        <w:rPr>
          <w:rFonts w:ascii="Arial" w:eastAsia="Times New Roman" w:hAnsi="Arial" w:cs="Arial"/>
          <w:i/>
          <w:iCs/>
          <w:szCs w:val="28"/>
          <w:lang w:eastAsia="ru-RU"/>
        </w:rPr>
        <w:t>Сучасні підходи боротьби зі злочинністю: погляди молодих вчених:</w:t>
      </w:r>
      <w:r w:rsidRPr="00511005">
        <w:rPr>
          <w:rFonts w:ascii="Arial" w:eastAsia="Times New Roman" w:hAnsi="Arial" w:cs="Arial"/>
          <w:szCs w:val="28"/>
          <w:lang w:eastAsia="ru-RU"/>
        </w:rPr>
        <w:t xml:space="preserve"> збірник. матеріалів Всеукраїнської наукової конференції здобувачів вищої освіти (м. Кривий Ріг, 26 листопада 2021 р.). Кривий Ріг: КННІ ДонДУВС, 2022. С. 127-128.</w:t>
      </w:r>
    </w:p>
    <w:p w14:paraId="7048803D" w14:textId="77777777" w:rsidR="00532C25" w:rsidRPr="00511005" w:rsidRDefault="00532C25" w:rsidP="003F6A5D">
      <w:pPr>
        <w:keepNext/>
        <w:widowControl w:val="0"/>
        <w:numPr>
          <w:ilvl w:val="0"/>
          <w:numId w:val="651"/>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У 2023 році ДБР розслідувало майже 100 кримінальних проваджень стосовно організованих злочинних груп - Державне бюро розслідувань. Офіційний сайт </w:t>
      </w:r>
      <w:r w:rsidRPr="00511005">
        <w:rPr>
          <w:rFonts w:ascii="Arial" w:eastAsia="Times New Roman" w:hAnsi="Arial" w:cs="Arial"/>
          <w:i/>
          <w:iCs/>
          <w:szCs w:val="28"/>
          <w:lang w:eastAsia="ru-RU"/>
        </w:rPr>
        <w:t>Державне бюро розслідувань</w:t>
      </w:r>
      <w:r w:rsidRPr="00511005">
        <w:rPr>
          <w:rFonts w:ascii="Arial" w:eastAsia="Times New Roman" w:hAnsi="Arial" w:cs="Arial"/>
          <w:szCs w:val="28"/>
          <w:lang w:eastAsia="ru-RU"/>
        </w:rPr>
        <w:t>. URL: </w:t>
      </w:r>
      <w:hyperlink r:id="rId1930" w:tgtFrame="_blank" w:history="1">
        <w:r w:rsidRPr="00511005">
          <w:rPr>
            <w:rFonts w:ascii="Arial" w:eastAsia="Times New Roman" w:hAnsi="Arial" w:cs="Arial"/>
            <w:szCs w:val="28"/>
            <w:lang w:eastAsia="ru-RU"/>
          </w:rPr>
          <w:t>https://dbr.gov.ua/news/u-2023-roci-dbr-rozsliduvalo-majzhe-100-kriminalnih-provadzhen-stosovno-organizovanih-zlochinnih-grup</w:t>
        </w:r>
      </w:hyperlink>
      <w:r w:rsidRPr="00511005">
        <w:rPr>
          <w:rFonts w:ascii="Arial" w:eastAsia="Times New Roman" w:hAnsi="Arial" w:cs="Arial"/>
          <w:szCs w:val="28"/>
          <w:lang w:eastAsia="ru-RU"/>
        </w:rPr>
        <w:t>.</w:t>
      </w:r>
    </w:p>
    <w:p w14:paraId="286CA4E4" w14:textId="77777777" w:rsidR="00532C25" w:rsidRPr="00511005" w:rsidRDefault="00532C25" w:rsidP="003F6A5D">
      <w:pPr>
        <w:keepNext/>
        <w:widowControl w:val="0"/>
        <w:numPr>
          <w:ilvl w:val="0"/>
          <w:numId w:val="651"/>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Фаріон О.Б. Алгоритм опрацювання оперативно-розшукової інформації для забезпечення потреб кримінального аналізу злочинної діяльності. </w:t>
      </w:r>
      <w:r w:rsidRPr="00511005">
        <w:rPr>
          <w:rFonts w:ascii="Arial" w:eastAsia="Times New Roman" w:hAnsi="Arial" w:cs="Arial"/>
          <w:i/>
          <w:iCs/>
          <w:szCs w:val="28"/>
          <w:lang w:eastAsia="ru-RU"/>
        </w:rPr>
        <w:t>Збірник наукових праць Національної академії Державної прикордонної служби України. Сер.: Військові та технічні науки.</w:t>
      </w:r>
      <w:r w:rsidRPr="00511005">
        <w:rPr>
          <w:rFonts w:ascii="Arial" w:eastAsia="Times New Roman" w:hAnsi="Arial" w:cs="Arial"/>
          <w:szCs w:val="28"/>
          <w:lang w:eastAsia="ru-RU"/>
        </w:rPr>
        <w:t xml:space="preserve"> 2013. № 1. С. 194-203. URL: </w:t>
      </w:r>
      <w:hyperlink r:id="rId1931" w:history="1">
        <w:r w:rsidRPr="00511005">
          <w:rPr>
            <w:rFonts w:ascii="Arial" w:eastAsia="Times New Roman" w:hAnsi="Arial" w:cs="Arial"/>
            <w:szCs w:val="28"/>
            <w:lang w:eastAsia="ru-RU"/>
          </w:rPr>
          <w:t>http://nbuv.gov.ua/UJRN/znpnapv_vtn_2013_1_20</w:t>
        </w:r>
      </w:hyperlink>
      <w:r w:rsidRPr="00511005">
        <w:rPr>
          <w:rFonts w:ascii="Arial" w:eastAsia="Times New Roman" w:hAnsi="Arial" w:cs="Arial"/>
          <w:szCs w:val="28"/>
          <w:lang w:eastAsia="ru-RU"/>
        </w:rPr>
        <w:t>.</w:t>
      </w:r>
    </w:p>
    <w:p w14:paraId="6AFE74B3" w14:textId="77777777" w:rsidR="00532C25" w:rsidRPr="00511005" w:rsidRDefault="00532C25" w:rsidP="003F6A5D">
      <w:pPr>
        <w:keepNext/>
        <w:widowControl w:val="0"/>
        <w:numPr>
          <w:ilvl w:val="0"/>
          <w:numId w:val="651"/>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Яблонський Р.С. Організаційні засади діяльності оперативних підрозділів національної поліції щодо протидії організованій злочинності. </w:t>
      </w:r>
      <w:r w:rsidRPr="00511005">
        <w:rPr>
          <w:rFonts w:ascii="Arial" w:eastAsia="Times New Roman" w:hAnsi="Arial" w:cs="Arial"/>
          <w:i/>
          <w:iCs/>
          <w:szCs w:val="28"/>
          <w:lang w:eastAsia="ru-RU"/>
        </w:rPr>
        <w:t xml:space="preserve">Протидія організованій злочинності: проблеми теорії та практики: </w:t>
      </w:r>
      <w:r w:rsidRPr="00511005">
        <w:rPr>
          <w:rFonts w:ascii="Arial" w:eastAsia="Times New Roman" w:hAnsi="Arial" w:cs="Arial"/>
          <w:szCs w:val="28"/>
          <w:lang w:eastAsia="ru-RU"/>
        </w:rPr>
        <w:t>матеріали всеукраїнського науково-практичного семінару (м. Дніпро, 09 грудня 2022 р.). Дніпро: Дніпроп. держ. ун-т внутр. справ. 2022. С. 127-131.</w:t>
      </w:r>
    </w:p>
    <w:p w14:paraId="3ECFE7DF" w14:textId="77777777" w:rsidR="00532C25" w:rsidRPr="00511005" w:rsidRDefault="00532C25" w:rsidP="00532C25">
      <w:pPr>
        <w:keepNext/>
        <w:widowControl w:val="0"/>
        <w:spacing w:line="264" w:lineRule="auto"/>
        <w:ind w:firstLine="720"/>
        <w:rPr>
          <w:rFonts w:ascii="Arial" w:eastAsia="Times New Roman" w:hAnsi="Arial" w:cs="Arial"/>
          <w:b/>
          <w:bCs/>
          <w:szCs w:val="28"/>
          <w:lang w:eastAsia="ru-RU"/>
        </w:rPr>
      </w:pPr>
    </w:p>
    <w:p w14:paraId="48FF1EC4" w14:textId="77777777" w:rsidR="00532C25" w:rsidRPr="00511005" w:rsidRDefault="00532C25" w:rsidP="00532C25">
      <w:pPr>
        <w:keepNext/>
        <w:widowControl w:val="0"/>
        <w:spacing w:line="264" w:lineRule="auto"/>
        <w:ind w:firstLine="72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eastAsia="ru-RU"/>
        </w:rPr>
        <w:t>оперативно-розшукова діяльність, організована злочинність, Національна поліція, департамент стратегічних розслідувань, оперативні підрозділи, інформація, воєнний стан.</w:t>
      </w:r>
    </w:p>
    <w:p w14:paraId="7E4C2D5A" w14:textId="77777777" w:rsidR="00532C25" w:rsidRPr="00511005" w:rsidRDefault="00532C25" w:rsidP="00532C25">
      <w:pPr>
        <w:keepNext/>
        <w:widowControl w:val="0"/>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 xml:space="preserve">operational and investigative activities, organized crime, National Police, Department of Strategic Investigations, operational units, </w:t>
      </w:r>
      <w:r w:rsidRPr="00511005">
        <w:rPr>
          <w:rFonts w:ascii="Arial" w:eastAsia="Times New Roman" w:hAnsi="Arial" w:cs="Arial"/>
          <w:szCs w:val="28"/>
          <w:lang w:val="en-US" w:eastAsia="ru-RU"/>
        </w:rPr>
        <w:lastRenderedPageBreak/>
        <w:t>information, martial law.</w:t>
      </w:r>
    </w:p>
    <w:p w14:paraId="4B74C1F7" w14:textId="77777777" w:rsidR="00532C25" w:rsidRPr="00511005" w:rsidRDefault="00532C25" w:rsidP="00532C25">
      <w:pPr>
        <w:keepNext/>
        <w:widowControl w:val="0"/>
        <w:spacing w:line="264" w:lineRule="auto"/>
        <w:ind w:firstLine="720"/>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eastAsia="ru-RU"/>
        </w:rPr>
        <w:t>д.ю.н., завідувач кафедри, професор Аркуша Л.І.</w:t>
      </w:r>
    </w:p>
    <w:p w14:paraId="59420CB3" w14:textId="77777777" w:rsidR="00532C25" w:rsidRPr="00511005" w:rsidRDefault="00532C25" w:rsidP="00532C25">
      <w:pPr>
        <w:spacing w:line="264" w:lineRule="auto"/>
        <w:ind w:firstLine="720"/>
        <w:jc w:val="left"/>
        <w:rPr>
          <w:rFonts w:ascii="Arial" w:eastAsia="Calibri" w:hAnsi="Arial" w:cs="Arial"/>
          <w:szCs w:val="28"/>
        </w:rPr>
      </w:pPr>
    </w:p>
    <w:p w14:paraId="55EE256A" w14:textId="77777777" w:rsidR="00532C25" w:rsidRPr="00511005" w:rsidRDefault="00532C25" w:rsidP="00532C25">
      <w:pPr>
        <w:spacing w:line="264" w:lineRule="auto"/>
        <w:ind w:firstLine="720"/>
        <w:jc w:val="left"/>
        <w:rPr>
          <w:rFonts w:ascii="Arial" w:eastAsia="Calibri" w:hAnsi="Arial" w:cs="Arial"/>
          <w:szCs w:val="28"/>
        </w:rPr>
      </w:pPr>
    </w:p>
    <w:p w14:paraId="2C1E2D0C" w14:textId="77777777" w:rsidR="00532C25" w:rsidRPr="00511005" w:rsidRDefault="00532C25" w:rsidP="00532C25">
      <w:pPr>
        <w:autoSpaceDE w:val="0"/>
        <w:autoSpaceDN w:val="0"/>
        <w:adjustRightInd w:val="0"/>
        <w:spacing w:line="264" w:lineRule="auto"/>
        <w:ind w:right="40" w:firstLine="720"/>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Балик Даша Вікторівна</w:t>
      </w:r>
    </w:p>
    <w:p w14:paraId="1CB30186"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1A4E3531"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55B6587"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E52C5E1"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p>
    <w:p w14:paraId="287E40C6"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eastAsia="ru-RU"/>
        </w:rPr>
        <w:t>ПСИХОЛОГІЧНІ АСПЕКТИ ПРОВЕДЕННЯ СЛІДЧИХ ДІЙ</w:t>
      </w:r>
    </w:p>
    <w:p w14:paraId="0E87C553"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Проведення слідчих дій є багатокомпонентним процесом, що поєднує в собі юридичні, логічні, технічні та психологічні елементи. Психологія у кримінальному провадженні є не лише допоміжною наукою, а й інструментом, який безпосередньо впливає на ефективність збору доказів, достовірність свідчень, формування внутрішньої картини події та загальний хід досудового розслідування. Особливої актуальності набуває вивчення психологічних особливостей окремих слідчих дій, які потребують від слідчого високого рівня емоційної стійкості, аналітичного мислення, навичок комунікації та вміння працювати в умовах стресу.</w:t>
      </w:r>
    </w:p>
    <w:p w14:paraId="09A9A905"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Однією з ключових слідчих дій є огляд місця події. Психологічний аспект цієї дії полягає у процесі сприйняття, аналізу та осмислення обстановки, в якій відбулася подія. Слідчий повинен не лише зафіксувати фізичні сліди (предмети, розташування тіл, сліди крові чи взуття), а й уявити можливу послідовність дій, що передували або стали наслідком злочину. У цьому процесі задіюються когнітивні механізми сприйняття, уваги, пам’яті та мислення. Важливою є здатність до емпіричного спостереження, логічної інтерпретації деталей, порівняння гіпотез і побудови уявної моделі події. Огляд часто проводиться в умовах обмеженого часу, публічності, присутності сторонніх осіб, що створює психологічне навантаження на слідчого та потребує високої емоційної саморегуляції [1].</w:t>
      </w:r>
    </w:p>
    <w:p w14:paraId="4CC5CA35"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Допит – це один із найбільш психологічно насичених етапів слідства, оскільки передбачає безпосередню взаємодію з людиною, яка може бути ворожо налаштована, схвильована або налякана. Основне завдання слідчого – встановити психологічний контакт, знизити рівень напруги й стимулювати допитуваного до надання правдивих свідчень. Психологічна ефективність допиту залежить від уміння діагностувати психічний стан допитуваного, його мотивацію, емоційний фон та тип особистості [2]. Застосування тактичних прийомів (метод активного слухання, метод контрольних запитань, створення довірчої атмосфери) є основою успішного допиту. Допоміжними є й класичні рекомендації соціальних психологів і фахівців з комунікації – наприклад, принципи, описані Д. Карнегі: </w:t>
      </w:r>
      <w:r w:rsidRPr="00511005">
        <w:rPr>
          <w:rFonts w:ascii="Arial" w:eastAsia="Times New Roman" w:hAnsi="Arial" w:cs="Arial"/>
          <w:szCs w:val="28"/>
          <w:lang w:eastAsia="ru-RU"/>
        </w:rPr>
        <w:lastRenderedPageBreak/>
        <w:t>використання імені співрозмовника, заохочення до висловлювань, прояв щирого інтересу до особи [2].</w:t>
      </w:r>
    </w:p>
    <w:p w14:paraId="5AEB1F3B"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Пред’явлення для впізнання як слідча дія базується на когнітивних механізмах пам’яті та сприйняття. Особи, які впізнають підозрюваного або об’єкт, повинні відтворити образ, збережений у пам’яті, а також зіставити його з запропонованими варіантами. Точність упізнання залежить від психологічного стану впізнаючого, умов початкового сприйняття (освітлення, емоційний фон), а також від того, наскільки умови пред’явлення відповідають обстановці первинного контакту з об’єктом. Відомо, що пам’ять є реконструктивною, тобто під час згадування інформація змінюється під впливом нових обставин [3]. Тому важливо забезпечити нейтральну атмосферу, уникати навідних запитань і не демонструвати упереджень.</w:t>
      </w:r>
    </w:p>
    <w:p w14:paraId="0919FB52"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Слідчий експеримент – це відтворення обставин певної події для перевірки показань або встановлення фактичних даних. Психологічна складність цієї дії полягає в необхідності відновити у свідомості учасників ті самі емоції, відчуття та образи, які вони переживали в момент події. Важливо також не допустити повторної травматизації (особливо в делікатних справах, пов’язаних із насильством чи трагедією). Слідчий повинен бути здатний керувати власним емоційним станом і водночас забезпечити психологічний комфорт для учасників. Встановлення причинно-наслідкових зв’язків під час експерименту потребує високої точності, спостережливості та контролю за перебігом події, що неможливо без психологічної підготовки слідчого [3].</w:t>
      </w:r>
    </w:p>
    <w:p w14:paraId="44CB26F2"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Особливу психологічну складність становить обшук, що часто супроводжується конфліктними ситуаціями. Для обшуку характерна напружена атмосфера, де обшукувані сприймають слідчу дію як посягання на особисту гідність або приватне життя [4]. Це викликає сильні емоційні реакції – страх, злість, обурення – які можуть перешкоджати проведенню дії. Слідчий має заздалегідь передбачити подібну реакцію та бути готовим до неї. Йому потрібно чітко дотримуватись плану, зберігати самоконтроль, демонструвати впевненість і водночас повагу до учасників. Такі методи, як імітація мислення обшукуваного (рефлексивне управління), дозволяють визначити ймовірні місця схованок і підвищити результативність обшуку.</w:t>
      </w:r>
    </w:p>
    <w:p w14:paraId="40A1E78F"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Серед універсальних психологічних факторів, що впливають на ефективність будь-якої слідчої дії, можна виділити: рівень професійного мислення слідчого, його стресостійкість, здатність концентрувати увагу, керувати емоціями та адаптуватися до змін обстановки [4]. Особливе значення має також емпатія – здатність розуміти емоційний стан інших осіб, що сприяє кращій комунікації та зменшенню психологічного опору.</w:t>
      </w:r>
    </w:p>
    <w:p w14:paraId="1E3D2408"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Таким чином, психологічні аспекти є невід’ємною частиною організації та проведення слідчих дій. Їхнє ігнорування призводить до помилок у розслідуванні, втрати доказової інформації, зниження ефективності процесу </w:t>
      </w:r>
      <w:r w:rsidRPr="00511005">
        <w:rPr>
          <w:rFonts w:ascii="Arial" w:eastAsia="Times New Roman" w:hAnsi="Arial" w:cs="Arial"/>
          <w:szCs w:val="28"/>
          <w:lang w:eastAsia="ru-RU"/>
        </w:rPr>
        <w:lastRenderedPageBreak/>
        <w:t>доказування. Успішне використання психологічних знань дозволяє слідчому не лише встановити істину у справі, а й зберегти етичні стандарти, забезпечити права учасників процесу та дотримання принципу справедливості в кримінальному провадженні.</w:t>
      </w:r>
    </w:p>
    <w:p w14:paraId="2A9BFA89"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p>
    <w:p w14:paraId="3CE71304"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r w:rsidRPr="00511005">
        <w:rPr>
          <w:rFonts w:ascii="Arial" w:eastAsia="Times New Roman" w:hAnsi="Arial" w:cs="Arial"/>
          <w:b/>
          <w:bCs/>
          <w:szCs w:val="28"/>
          <w:lang w:eastAsia="ru-RU"/>
        </w:rPr>
        <w:t xml:space="preserve"> </w:t>
      </w:r>
    </w:p>
    <w:p w14:paraId="07D1519B"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1. Бандурка, О. М. (ред.). Юридична </w:t>
      </w:r>
      <w:proofErr w:type="gramStart"/>
      <w:r w:rsidRPr="00511005">
        <w:rPr>
          <w:rFonts w:ascii="Arial" w:eastAsia="Times New Roman" w:hAnsi="Arial" w:cs="Arial"/>
          <w:szCs w:val="28"/>
          <w:lang w:eastAsia="ru-RU"/>
        </w:rPr>
        <w:t>психологія :</w:t>
      </w:r>
      <w:proofErr w:type="gramEnd"/>
      <w:r w:rsidRPr="00511005">
        <w:rPr>
          <w:rFonts w:ascii="Arial" w:eastAsia="Times New Roman" w:hAnsi="Arial" w:cs="Arial"/>
          <w:szCs w:val="28"/>
          <w:lang w:eastAsia="ru-RU"/>
        </w:rPr>
        <w:t xml:space="preserve"> підручник. Харків: Майдан, 2018. 684 с. (Харківський національний університет внутрішніх справ).</w:t>
      </w:r>
    </w:p>
    <w:p w14:paraId="04344FE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2. Варій, М. Й. Психологія </w:t>
      </w:r>
      <w:proofErr w:type="gramStart"/>
      <w:r w:rsidRPr="00511005">
        <w:rPr>
          <w:rFonts w:ascii="Arial" w:eastAsia="Times New Roman" w:hAnsi="Arial" w:cs="Arial"/>
          <w:szCs w:val="28"/>
          <w:lang w:eastAsia="ru-RU"/>
        </w:rPr>
        <w:t>особистості :</w:t>
      </w:r>
      <w:proofErr w:type="gramEnd"/>
      <w:r w:rsidRPr="00511005">
        <w:rPr>
          <w:rFonts w:ascii="Arial" w:eastAsia="Times New Roman" w:hAnsi="Arial" w:cs="Arial"/>
          <w:szCs w:val="28"/>
          <w:lang w:eastAsia="ru-RU"/>
        </w:rPr>
        <w:t xml:space="preserve"> навч. посібник. Київ: Центр учб. літ., 2018. 591 с.</w:t>
      </w:r>
    </w:p>
    <w:p w14:paraId="65EAD571"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3. Максименко, С. Д., Медведєв, В. С. Юридична </w:t>
      </w:r>
      <w:proofErr w:type="gramStart"/>
      <w:r w:rsidRPr="00511005">
        <w:rPr>
          <w:rFonts w:ascii="Arial" w:eastAsia="Times New Roman" w:hAnsi="Arial" w:cs="Arial"/>
          <w:szCs w:val="28"/>
          <w:lang w:eastAsia="ru-RU"/>
        </w:rPr>
        <w:t>психологія :</w:t>
      </w:r>
      <w:proofErr w:type="gramEnd"/>
      <w:r w:rsidRPr="00511005">
        <w:rPr>
          <w:rFonts w:ascii="Arial" w:eastAsia="Times New Roman" w:hAnsi="Arial" w:cs="Arial"/>
          <w:szCs w:val="28"/>
          <w:lang w:eastAsia="ru-RU"/>
        </w:rPr>
        <w:t xml:space="preserve"> підручник. Київ: ВД «Слово», 2018. 447 с.</w:t>
      </w:r>
    </w:p>
    <w:p w14:paraId="7D0B3F8A"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4. Шепітько, В. Ю., Коновалова, В. О. Юридична </w:t>
      </w:r>
      <w:proofErr w:type="gramStart"/>
      <w:r w:rsidRPr="00511005">
        <w:rPr>
          <w:rFonts w:ascii="Arial" w:eastAsia="Times New Roman" w:hAnsi="Arial" w:cs="Arial"/>
          <w:szCs w:val="28"/>
          <w:lang w:eastAsia="ru-RU"/>
        </w:rPr>
        <w:t>психологія :</w:t>
      </w:r>
      <w:proofErr w:type="gramEnd"/>
      <w:r w:rsidRPr="00511005">
        <w:rPr>
          <w:rFonts w:ascii="Arial" w:eastAsia="Times New Roman" w:hAnsi="Arial" w:cs="Arial"/>
          <w:szCs w:val="28"/>
          <w:lang w:eastAsia="ru-RU"/>
        </w:rPr>
        <w:t xml:space="preserve"> підручник. Харків: Право, 2019. 295 с.</w:t>
      </w:r>
    </w:p>
    <w:p w14:paraId="33919C20" w14:textId="77777777" w:rsidR="00532C25" w:rsidRPr="00511005" w:rsidRDefault="00532C25" w:rsidP="00532C25">
      <w:pPr>
        <w:autoSpaceDE w:val="0"/>
        <w:autoSpaceDN w:val="0"/>
        <w:adjustRightInd w:val="0"/>
        <w:spacing w:line="264" w:lineRule="auto"/>
        <w:ind w:firstLine="720"/>
        <w:rPr>
          <w:rFonts w:ascii="Arial" w:eastAsia="Times New Roman" w:hAnsi="Arial" w:cs="Arial"/>
          <w:b/>
          <w:bCs/>
          <w:szCs w:val="28"/>
          <w:lang w:eastAsia="ru-RU"/>
        </w:rPr>
      </w:pPr>
    </w:p>
    <w:p w14:paraId="741F4F5D"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eastAsia="ru-RU"/>
        </w:rPr>
        <w:t>психологічні аспекти, слідчі дії, допит, огляд місця події, пред’явлення для впізнання, слідчий експеримент, обшук, комунікація, пам’ять, емоційна стійкість.</w:t>
      </w:r>
    </w:p>
    <w:p w14:paraId="70349785"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psychological aspects, investigative actions, interrogation, crime scene inspection, identification, investigative experiment, search, communication, memory, emotional resilience.</w:t>
      </w:r>
    </w:p>
    <w:p w14:paraId="2CA5C985"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val="uk-UA" w:eastAsia="ru-RU"/>
        </w:rPr>
        <w:t>д</w:t>
      </w:r>
      <w:r w:rsidRPr="00511005">
        <w:rPr>
          <w:rFonts w:ascii="Arial" w:eastAsia="Times New Roman" w:hAnsi="Arial" w:cs="Arial"/>
          <w:i/>
          <w:iCs/>
          <w:szCs w:val="28"/>
          <w:lang w:eastAsia="ru-RU"/>
        </w:rPr>
        <w:t xml:space="preserve">.ю.н., </w:t>
      </w:r>
      <w:r w:rsidRPr="00511005">
        <w:rPr>
          <w:rFonts w:ascii="Arial" w:eastAsia="Times New Roman" w:hAnsi="Arial" w:cs="Arial"/>
          <w:i/>
          <w:iCs/>
          <w:szCs w:val="28"/>
          <w:lang w:val="uk-UA" w:eastAsia="ru-RU"/>
        </w:rPr>
        <w:t>професор</w:t>
      </w:r>
      <w:r w:rsidRPr="00511005">
        <w:rPr>
          <w:rFonts w:ascii="Arial" w:eastAsia="Times New Roman" w:hAnsi="Arial" w:cs="Arial"/>
          <w:i/>
          <w:iCs/>
          <w:szCs w:val="28"/>
          <w:lang w:eastAsia="ru-RU"/>
        </w:rPr>
        <w:t xml:space="preserve"> </w:t>
      </w:r>
      <w:r w:rsidRPr="00511005">
        <w:rPr>
          <w:rFonts w:ascii="Arial" w:eastAsia="Times New Roman" w:hAnsi="Arial" w:cs="Arial"/>
          <w:i/>
          <w:iCs/>
          <w:szCs w:val="28"/>
          <w:lang w:val="uk-UA" w:eastAsia="ru-RU"/>
        </w:rPr>
        <w:t>Тіщенко</w:t>
      </w:r>
      <w:r w:rsidRPr="00511005">
        <w:rPr>
          <w:rFonts w:ascii="Arial" w:eastAsia="Times New Roman" w:hAnsi="Arial" w:cs="Arial"/>
          <w:i/>
          <w:iCs/>
          <w:szCs w:val="28"/>
          <w:lang w:eastAsia="ru-RU"/>
        </w:rPr>
        <w:t xml:space="preserve"> </w:t>
      </w:r>
      <w:r w:rsidRPr="00511005">
        <w:rPr>
          <w:rFonts w:ascii="Arial" w:eastAsia="Times New Roman" w:hAnsi="Arial" w:cs="Arial"/>
          <w:i/>
          <w:iCs/>
          <w:szCs w:val="28"/>
          <w:lang w:val="uk-UA" w:eastAsia="ru-RU"/>
        </w:rPr>
        <w:t>В.В.</w:t>
      </w:r>
      <w:r w:rsidRPr="00511005">
        <w:rPr>
          <w:rFonts w:ascii="Arial" w:eastAsia="Times New Roman" w:hAnsi="Arial" w:cs="Arial"/>
          <w:i/>
          <w:iCs/>
          <w:szCs w:val="28"/>
          <w:lang w:eastAsia="ru-RU"/>
        </w:rPr>
        <w:t xml:space="preserve"> </w:t>
      </w:r>
    </w:p>
    <w:p w14:paraId="6F30C510"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p>
    <w:p w14:paraId="3D04D72C" w14:textId="77777777" w:rsidR="00532C25" w:rsidRPr="00511005" w:rsidRDefault="00532C25" w:rsidP="00532C25">
      <w:pPr>
        <w:tabs>
          <w:tab w:val="left" w:pos="993"/>
        </w:tabs>
        <w:autoSpaceDE w:val="0"/>
        <w:autoSpaceDN w:val="0"/>
        <w:adjustRightInd w:val="0"/>
        <w:spacing w:line="264" w:lineRule="auto"/>
        <w:ind w:firstLine="72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eastAsia="ru-RU"/>
        </w:rPr>
        <w:t>Баранецька Ірина Серг</w:t>
      </w:r>
      <w:r w:rsidRPr="00511005">
        <w:rPr>
          <w:rFonts w:ascii="Arial" w:eastAsia="Times New Roman" w:hAnsi="Arial" w:cs="Arial"/>
          <w:b/>
          <w:bCs/>
          <w:i/>
          <w:iCs/>
          <w:szCs w:val="28"/>
          <w:lang w:val="uk-UA" w:eastAsia="ru-RU"/>
        </w:rPr>
        <w:t>іївна</w:t>
      </w:r>
    </w:p>
    <w:p w14:paraId="7DBF7D3C" w14:textId="77777777" w:rsidR="00532C25" w:rsidRPr="00511005" w:rsidRDefault="00532C25" w:rsidP="00532C25">
      <w:pPr>
        <w:widowControl w:val="0"/>
        <w:autoSpaceDE w:val="0"/>
        <w:autoSpaceDN w:val="0"/>
        <w:adjustRightInd w:val="0"/>
        <w:spacing w:line="264" w:lineRule="auto"/>
        <w:ind w:firstLine="720"/>
        <w:jc w:val="center"/>
        <w:rPr>
          <w:rFonts w:ascii="Arial" w:eastAsia="Times New Roman" w:hAnsi="Arial" w:cs="Arial"/>
          <w:szCs w:val="28"/>
          <w:lang w:eastAsia="ru-RU"/>
        </w:rPr>
      </w:pPr>
      <w:r w:rsidRPr="00511005">
        <w:rPr>
          <w:rFonts w:ascii="Arial" w:eastAsia="Times New Roman" w:hAnsi="Arial" w:cs="Arial"/>
          <w:szCs w:val="28"/>
          <w:lang w:eastAsia="ru-RU"/>
        </w:rPr>
        <w:t>студентка 2-го курсу факультету цивільної та господарської юстиції</w:t>
      </w:r>
    </w:p>
    <w:p w14:paraId="3634673A" w14:textId="77777777" w:rsidR="00532C25" w:rsidRPr="00511005" w:rsidRDefault="00532C25" w:rsidP="00532C25">
      <w:pPr>
        <w:widowControl w:val="0"/>
        <w:autoSpaceDE w:val="0"/>
        <w:autoSpaceDN w:val="0"/>
        <w:adjustRightInd w:val="0"/>
        <w:spacing w:line="264" w:lineRule="auto"/>
        <w:ind w:firstLine="72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368DC70" w14:textId="77777777" w:rsidR="00532C25" w:rsidRPr="00511005" w:rsidRDefault="00532C25" w:rsidP="00532C25">
      <w:pPr>
        <w:tabs>
          <w:tab w:val="left" w:pos="993"/>
        </w:tabs>
        <w:autoSpaceDE w:val="0"/>
        <w:autoSpaceDN w:val="0"/>
        <w:adjustRightInd w:val="0"/>
        <w:spacing w:line="264" w:lineRule="auto"/>
        <w:ind w:firstLine="720"/>
        <w:jc w:val="center"/>
        <w:rPr>
          <w:rFonts w:ascii="Arial" w:eastAsia="Times New Roman" w:hAnsi="Arial" w:cs="Arial"/>
          <w:b/>
          <w:bCs/>
          <w:szCs w:val="28"/>
          <w:lang w:eastAsia="ru-RU"/>
        </w:rPr>
      </w:pPr>
    </w:p>
    <w:p w14:paraId="38DD694A" w14:textId="77777777" w:rsidR="00532C25" w:rsidRPr="00511005" w:rsidRDefault="00532C25" w:rsidP="00532C25">
      <w:pPr>
        <w:tabs>
          <w:tab w:val="left" w:pos="993"/>
        </w:tabs>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eastAsia="ru-RU"/>
        </w:rPr>
        <w:t>ЗАХИСТ ПЕРСОНАЛЬНИХ ДАНИХ ПІД ЧАС БІОМЕТРИЧНОЇ ІДЕНТИФІКАЦІЇ: ВИКЛИКИ ТА ПЕРСПЕКТИВИ</w:t>
      </w:r>
    </w:p>
    <w:p w14:paraId="211D02FE"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Біометрична ідентифікація як метод встановлення особи набуває все більшого поширення в різних сферах суспільного життя: від забезпечення безпеки на державному рівні до повсякденного використання у банківських сервісах, охороні об’єктів, медичному обслуговуванні та навіть у споживчих пристроях. На відміну від традиційних методів аутентифікації, таких як пароль або пластиковий документ, біометричні системи використовують фізіологічні або поведінкові характеристики особи: відбитки пальців, геометрію обличчя, сітківку ока, голос або ж манеру рухів. Однак поряд із зростанням ефективності таких систем виникає чимало правових, етичних та технологічних проблем, головною серед яких є забезпечення захисту персональних даних, що збираються, обробляються та зберігаються у процесі біометричної ідентифікації.</w:t>
      </w:r>
    </w:p>
    <w:p w14:paraId="71088C35"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lastRenderedPageBreak/>
        <w:t>Особливість біометричних даних полягає в тому, що вони є унікальними для кожної людини та незмінними у часі. У разі витоку або компрометації таких даних неможливо просто змінити біометричну характеристику, як це робиться з паролем або ідентифікаційним номером. Ця незмінність підвищує ризики порушення приватності особи та вимагає застосування особливих механізмів захисту. В умовах цифрової трансформації державного управління та стрімкого розвитку штучного інтелекту, саме біометричні технології стають об’єктом особливої уваги з боку правозахисних інституцій і наукової спільноти.</w:t>
      </w:r>
    </w:p>
    <w:p w14:paraId="6FF7C776"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Законодавство України визнає біометричні дані особливими категоріями персональних даних, що підлягають підвищеному рівню захисту. Відповідно до Закону України «Про захист персональних даних», будь-яке збирання, обробка та зберігання таких даних допускається лише за умови наявності чітко визначеної мети, згоди суб’єкта даних або законних підстав, передбачених законодавством [1]. При цьому вимагається дотримання принципів мінімізації даних, обмеження термінів зберігання, прозорості обробки та забезпечення безпеки.</w:t>
      </w:r>
    </w:p>
    <w:p w14:paraId="0FABDD9A"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Одним із найбільш критичних викликів є проблема інформованої згоди. Часто особи, дані яких збираються, не мають достатнього розуміння обсягу, способів та наслідків обробки біометричної інформації. Це створює загрозу маніпуляцій або зловживань з боку операторів баз даних, особливо в умовах недосконалого механізму державного контролю за обробкою персональних даних. Додаткову загрозу становить можливість передачі або об’єднання біометричних даних з іншими базами – комерційними чи державними – що створює передумови для формування так званих профілів особи, з потенційними порушеннями прав на приватність, свободу пересування, свободу висловлювання тощо.</w:t>
      </w:r>
    </w:p>
    <w:p w14:paraId="4F61076E"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Не менш суттєвою проблемою є питання безпеки технічної інфраструктури. Зломи баз біометричних даних, як свідчить міжнародна практика, можуть мати масштабні наслідки: від шахрайства до незаконного стеження. У цьому контексті гостро постає питання про стандарти шифрування, децентралізацію зберігання, використання багаторівневих систем автентифікації та регулярну сертифікацію відповідного програмного забезпечення. Важливо зазначити, що технічні рішення повинні супроводжуватися належним правовим та організаційним супроводом, включно з навчанням персоналу, проведенням аудитів і встановленням чіткої відповідальності за порушення. Так, важливим для держав Європейського союзу є те, що підтверджувати дозвіл на обробку персональних даних можна не з 13, а лише з 16 років. На компанії з європейськими представництвами накладається ряд обмежень. Їм неможна виконувати обмін даними з іншими підрозділами, якщо не виконуються правила по захисту даних. Також неможна передавати інформацію владі </w:t>
      </w:r>
      <w:r w:rsidRPr="00511005">
        <w:rPr>
          <w:rFonts w:ascii="Arial" w:eastAsia="Times New Roman" w:hAnsi="Arial" w:cs="Arial"/>
          <w:szCs w:val="28"/>
          <w:lang w:eastAsia="ru-RU"/>
        </w:rPr>
        <w:lastRenderedPageBreak/>
        <w:t>США та іншим країнам. Слід зазначити, що в ЄС новий GPDR регламент привів до масового переходу інформаційних структур європейських підприємств у хмарні сховища. Для багатьох компаній витрати на відповідність вимогам GDPR у якості оброблювача даних є дуже великими, тому більшість європейських підприємств переводять свої інформаційні системи в хмарні сховища [2, c.241].</w:t>
      </w:r>
    </w:p>
    <w:p w14:paraId="5866E06D"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Важливим аспектом також є питання пропорційності використання біометричних даних. У деяких випадках, як-от у сфері державної безпеки чи кримінального переслідування, використання біометрії може бути виправданим необхідністю і легітимною метою. Проте в інших – наприклад, при доступі до розважального контенту чи звичайних побутових сервісів – застосування біометрії може виглядати надмірним. Тому важливою є побудова правових механізмів оцінки ризиків та переваг кожної конкретної технології, що ґрунтуються на принципах законності, справедливості та необхідності.</w:t>
      </w:r>
    </w:p>
    <w:p w14:paraId="7DBC8ACA"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У європейському правовому полі, зокрема в рамках Загального регламенту ЄС про захист даних (GDPR), встановлено високі стандарти обробки біометричних даних, які поступово впроваджуються і в українське законодавство. Особливу увагу GDPR приділяє принципу «privacy by design», який означає необхідність врахування вимог захисту даних ще на етапі розробки технологій. Подібні підходи вже частково застосовуються в практиці впровадження систем відеоаналітики, ідентифікації в банківській сфері, цифрових паспортів, систем «Smart City» тощо.</w:t>
      </w:r>
    </w:p>
    <w:p w14:paraId="45255561"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Серед технічних рішень, що мають потенціал підвищити рівень захисту персональних біометричних даних, слід відзначити використання хмарних сервісів з обмеженим доступом, реалізацію концепцій edge-computing, коли обробка даних відбувається на пристрої користувача, без передавання до зовнішнього сервера, а також впровадження блокчейн-технологій для реєстрації доступу до даних і забезпечення їх цілісності. Крім того, важливим завданням є стандартизація форматів обміну даними між системами, що дозволяє уникати технічної несумісності та хаотичного дублювання.</w:t>
      </w:r>
    </w:p>
    <w:p w14:paraId="44493697"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В Україні перспективним напрямом визнано створення Єдиного державного реєстру біометричних даних, з урахуванням принципів відкритості, контролю суб’єкта даних, аудиту з боку уповноважених державних органів і незалежних інституцій. Проте такі ініціативи потребують широкого громадського обговорення, юридичної експертизи та посилення міжнародної співпраці – зокрема із </w:t>
      </w:r>
      <w:proofErr w:type="gramStart"/>
      <w:r w:rsidRPr="00511005">
        <w:rPr>
          <w:rFonts w:ascii="Arial" w:eastAsia="Times New Roman" w:hAnsi="Arial" w:cs="Arial"/>
          <w:szCs w:val="28"/>
          <w:lang w:eastAsia="ru-RU"/>
        </w:rPr>
        <w:t>структурами</w:t>
      </w:r>
      <w:proofErr w:type="gramEnd"/>
      <w:r w:rsidRPr="00511005">
        <w:rPr>
          <w:rFonts w:ascii="Arial" w:eastAsia="Times New Roman" w:hAnsi="Arial" w:cs="Arial"/>
          <w:szCs w:val="28"/>
          <w:lang w:eastAsia="ru-RU"/>
        </w:rPr>
        <w:t xml:space="preserve"> Ради Європи, ООН, Інтерполу, Європейського агентства з питань кібербезпеки (ENISA), а також інтеграції в європейські стандарти захисту прав людини [3].</w:t>
      </w:r>
    </w:p>
    <w:p w14:paraId="47C01C37"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Таким чином, проблема захисту персональних даних у сфері біометричної ідентифікації виходить за межі виключно технічного або правового регулювання. Вона є багатовимірною та потребує комплексного </w:t>
      </w:r>
      <w:r w:rsidRPr="00511005">
        <w:rPr>
          <w:rFonts w:ascii="Arial" w:eastAsia="Times New Roman" w:hAnsi="Arial" w:cs="Arial"/>
          <w:szCs w:val="28"/>
          <w:lang w:eastAsia="ru-RU"/>
        </w:rPr>
        <w:lastRenderedPageBreak/>
        <w:t>підходу, що включає правову, організаційну, етичну та технологічну складові. Необхідно забезпечити баланс між інноваційністю та безпекою, між потребами суспільства у надійній ідентифікації та повагою до приватного життя громадян. Розроблення ефективних механізмів захисту біометричних даних є запорукою не лише безпеки особи, але й довіри до держави, її цифрових сервісів і технологій майбутнього.</w:t>
      </w:r>
    </w:p>
    <w:p w14:paraId="30075042"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b/>
          <w:bCs/>
          <w:szCs w:val="28"/>
          <w:lang w:eastAsia="ru-RU"/>
        </w:rPr>
      </w:pPr>
    </w:p>
    <w:p w14:paraId="239ECB7F"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eastAsia="ru-RU"/>
        </w:rPr>
        <w:t>Cписок використаних джерел</w:t>
      </w:r>
    </w:p>
    <w:p w14:paraId="1DF1809C" w14:textId="77777777" w:rsidR="00532C25" w:rsidRPr="00511005" w:rsidRDefault="00532C25" w:rsidP="003F6A5D">
      <w:pPr>
        <w:widowControl w:val="0"/>
        <w:numPr>
          <w:ilvl w:val="0"/>
          <w:numId w:val="607"/>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захист персональних </w:t>
      </w:r>
      <w:proofErr w:type="gramStart"/>
      <w:r w:rsidRPr="00511005">
        <w:rPr>
          <w:rFonts w:ascii="Arial" w:eastAsia="Times New Roman" w:hAnsi="Arial" w:cs="Arial"/>
          <w:szCs w:val="28"/>
          <w:lang w:eastAsia="ru-RU"/>
        </w:rPr>
        <w:t>даних :</w:t>
      </w:r>
      <w:proofErr w:type="gramEnd"/>
      <w:r w:rsidRPr="00511005">
        <w:rPr>
          <w:rFonts w:ascii="Arial" w:eastAsia="Times New Roman" w:hAnsi="Arial" w:cs="Arial"/>
          <w:szCs w:val="28"/>
          <w:lang w:eastAsia="ru-RU"/>
        </w:rPr>
        <w:t xml:space="preserve"> Закон України від 1 червня 2010 року № 2297-VI. URL: </w:t>
      </w:r>
      <w:hyperlink r:id="rId1932" w:anchor="Text" w:history="1">
        <w:r w:rsidRPr="00511005">
          <w:rPr>
            <w:rFonts w:ascii="Arial" w:eastAsia="Times New Roman" w:hAnsi="Arial" w:cs="Arial"/>
            <w:szCs w:val="28"/>
            <w:lang w:eastAsia="ru-RU"/>
          </w:rPr>
          <w:t>https://zakon.rada.gov.ua/laws/show/2297-17#Text</w:t>
        </w:r>
      </w:hyperlink>
      <w:r w:rsidRPr="00511005">
        <w:rPr>
          <w:rFonts w:ascii="Arial" w:eastAsia="Times New Roman" w:hAnsi="Arial" w:cs="Arial"/>
          <w:szCs w:val="28"/>
          <w:lang w:eastAsia="ru-RU"/>
        </w:rPr>
        <w:t xml:space="preserve"> (дата звернення: 19.04.2025)</w:t>
      </w:r>
    </w:p>
    <w:p w14:paraId="54DFA05C" w14:textId="77777777" w:rsidR="00532C25" w:rsidRPr="00511005" w:rsidRDefault="00532C25" w:rsidP="003F6A5D">
      <w:pPr>
        <w:widowControl w:val="0"/>
        <w:numPr>
          <w:ilvl w:val="0"/>
          <w:numId w:val="607"/>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shd w:val="clear" w:color="auto" w:fill="FFFFFF"/>
          <w:lang w:eastAsia="ru-RU"/>
        </w:rPr>
        <w:t xml:space="preserve">Рибальченко Л., Косиченко О. Актуальність питання захисту персональних даних. Верховенство права: доктрина і практика в умовах сучасних світових </w:t>
      </w:r>
      <w:proofErr w:type="gramStart"/>
      <w:r w:rsidRPr="00511005">
        <w:rPr>
          <w:rFonts w:ascii="Arial" w:eastAsia="Times New Roman" w:hAnsi="Arial" w:cs="Arial"/>
          <w:szCs w:val="28"/>
          <w:shd w:val="clear" w:color="auto" w:fill="FFFFFF"/>
          <w:lang w:eastAsia="ru-RU"/>
        </w:rPr>
        <w:t>викликів :</w:t>
      </w:r>
      <w:proofErr w:type="gramEnd"/>
      <w:r w:rsidRPr="00511005">
        <w:rPr>
          <w:rFonts w:ascii="Arial" w:eastAsia="Times New Roman" w:hAnsi="Arial" w:cs="Arial"/>
          <w:szCs w:val="28"/>
          <w:shd w:val="clear" w:color="auto" w:fill="FFFFFF"/>
          <w:lang w:eastAsia="ru-RU"/>
        </w:rPr>
        <w:t xml:space="preserve"> матеріали Міжнар. наук.- практ. конф. (м. Дніпро, 28 лют. 2023 р.). </w:t>
      </w:r>
      <w:proofErr w:type="gramStart"/>
      <w:r w:rsidRPr="00511005">
        <w:rPr>
          <w:rFonts w:ascii="Arial" w:eastAsia="Times New Roman" w:hAnsi="Arial" w:cs="Arial"/>
          <w:szCs w:val="28"/>
          <w:shd w:val="clear" w:color="auto" w:fill="FFFFFF"/>
          <w:lang w:eastAsia="ru-RU"/>
        </w:rPr>
        <w:t>Дніпро :</w:t>
      </w:r>
      <w:proofErr w:type="gramEnd"/>
      <w:r w:rsidRPr="00511005">
        <w:rPr>
          <w:rFonts w:ascii="Arial" w:eastAsia="Times New Roman" w:hAnsi="Arial" w:cs="Arial"/>
          <w:szCs w:val="28"/>
          <w:shd w:val="clear" w:color="auto" w:fill="FFFFFF"/>
          <w:lang w:eastAsia="ru-RU"/>
        </w:rPr>
        <w:t xml:space="preserve"> ДДУВС, 2023. С. 240-242. </w:t>
      </w:r>
      <w:r w:rsidRPr="00511005">
        <w:rPr>
          <w:rFonts w:ascii="Arial" w:eastAsia="Times New Roman" w:hAnsi="Arial" w:cs="Arial"/>
          <w:szCs w:val="28"/>
          <w:lang w:eastAsia="ru-RU"/>
        </w:rPr>
        <w:t xml:space="preserve">URL: </w:t>
      </w:r>
      <w:hyperlink r:id="rId1933" w:history="1">
        <w:r w:rsidRPr="00511005">
          <w:rPr>
            <w:rFonts w:ascii="Arial" w:eastAsia="Times New Roman" w:hAnsi="Arial" w:cs="Arial"/>
            <w:szCs w:val="28"/>
            <w:lang w:eastAsia="ru-RU"/>
          </w:rPr>
          <w:t>https://er.dduvs.edu.ua/handle/123456789/11829</w:t>
        </w:r>
      </w:hyperlink>
      <w:r w:rsidRPr="00511005">
        <w:rPr>
          <w:rFonts w:ascii="Arial" w:eastAsia="Times New Roman" w:hAnsi="Arial" w:cs="Arial"/>
          <w:szCs w:val="28"/>
          <w:lang w:eastAsia="ru-RU"/>
        </w:rPr>
        <w:t xml:space="preserve"> (дата звернення: 19.04.2025)</w:t>
      </w:r>
    </w:p>
    <w:p w14:paraId="2217D266" w14:textId="77777777" w:rsidR="00532C25" w:rsidRPr="00511005" w:rsidRDefault="00532C25" w:rsidP="003F6A5D">
      <w:pPr>
        <w:widowControl w:val="0"/>
        <w:numPr>
          <w:ilvl w:val="0"/>
          <w:numId w:val="607"/>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Мартинова А. М Адміністративно-правове забезпечення обігу та захисту біометричних персональних </w:t>
      </w:r>
      <w:proofErr w:type="gramStart"/>
      <w:r w:rsidRPr="00511005">
        <w:rPr>
          <w:rFonts w:ascii="Arial" w:eastAsia="Times New Roman" w:hAnsi="Arial" w:cs="Arial"/>
          <w:szCs w:val="28"/>
          <w:lang w:eastAsia="ru-RU"/>
        </w:rPr>
        <w:t>даних :</w:t>
      </w:r>
      <w:proofErr w:type="gramEnd"/>
      <w:r w:rsidRPr="00511005">
        <w:rPr>
          <w:rFonts w:ascii="Arial" w:eastAsia="Times New Roman" w:hAnsi="Arial" w:cs="Arial"/>
          <w:szCs w:val="28"/>
          <w:lang w:eastAsia="ru-RU"/>
        </w:rPr>
        <w:t xml:space="preserve"> дис. … д-ра </w:t>
      </w:r>
      <w:proofErr w:type="gramStart"/>
      <w:r w:rsidRPr="00511005">
        <w:rPr>
          <w:rFonts w:ascii="Arial" w:eastAsia="Times New Roman" w:hAnsi="Arial" w:cs="Arial"/>
          <w:szCs w:val="28"/>
          <w:lang w:eastAsia="ru-RU"/>
        </w:rPr>
        <w:t>філософії :</w:t>
      </w:r>
      <w:proofErr w:type="gramEnd"/>
      <w:r w:rsidRPr="00511005">
        <w:rPr>
          <w:rFonts w:ascii="Arial" w:eastAsia="Times New Roman" w:hAnsi="Arial" w:cs="Arial"/>
          <w:szCs w:val="28"/>
          <w:lang w:eastAsia="ru-RU"/>
        </w:rPr>
        <w:t xml:space="preserve"> 081 право. Київ, 2022. 166 с. URL: </w:t>
      </w:r>
      <w:hyperlink r:id="rId1934" w:tgtFrame="_blank" w:history="1">
        <w:r w:rsidRPr="00511005">
          <w:rPr>
            <w:rFonts w:ascii="Arial" w:eastAsia="Times New Roman" w:hAnsi="Arial" w:cs="Arial"/>
            <w:szCs w:val="28"/>
            <w:lang w:eastAsia="ru-RU"/>
          </w:rPr>
          <w:t>https://ir.library.knu.ua/handle/123456789/2263</w:t>
        </w:r>
      </w:hyperlink>
      <w:r w:rsidRPr="00511005">
        <w:rPr>
          <w:rFonts w:ascii="Arial" w:eastAsia="Times New Roman" w:hAnsi="Arial" w:cs="Arial"/>
          <w:szCs w:val="28"/>
          <w:lang w:eastAsia="ru-RU"/>
        </w:rPr>
        <w:t xml:space="preserve"> (дата звернення: 19.04.2025)</w:t>
      </w:r>
    </w:p>
    <w:p w14:paraId="06EF58E4" w14:textId="77777777" w:rsidR="00532C25" w:rsidRPr="00511005" w:rsidRDefault="00532C25" w:rsidP="00532C25">
      <w:pPr>
        <w:widowControl w:val="0"/>
        <w:tabs>
          <w:tab w:val="left" w:pos="993"/>
          <w:tab w:val="left" w:pos="7088"/>
        </w:tabs>
        <w:autoSpaceDE w:val="0"/>
        <w:autoSpaceDN w:val="0"/>
        <w:adjustRightInd w:val="0"/>
        <w:spacing w:line="264" w:lineRule="auto"/>
        <w:ind w:firstLine="720"/>
        <w:contextualSpacing/>
        <w:rPr>
          <w:rFonts w:ascii="Arial" w:eastAsia="Times New Roman" w:hAnsi="Arial" w:cs="Arial"/>
          <w:szCs w:val="28"/>
          <w:lang w:eastAsia="ru-RU"/>
        </w:rPr>
      </w:pPr>
    </w:p>
    <w:p w14:paraId="2731E165"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eastAsia="ru-RU"/>
        </w:rPr>
        <w:t>біометрія, персональні дані, ідентифікація, цифрова безпека, правовий захист.</w:t>
      </w:r>
    </w:p>
    <w:p w14:paraId="3FA0ACDE"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biometrics, personal data, identification, digital security, legal protection.</w:t>
      </w:r>
    </w:p>
    <w:p w14:paraId="12149DF0" w14:textId="77777777" w:rsidR="00532C25" w:rsidRPr="00511005" w:rsidRDefault="00532C25" w:rsidP="00532C25">
      <w:pPr>
        <w:widowControl w:val="0"/>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eastAsia="ru-RU"/>
        </w:rPr>
        <w:t xml:space="preserve">д.ю.н., професор Цехан </w:t>
      </w:r>
      <w:r w:rsidRPr="00511005">
        <w:rPr>
          <w:rFonts w:ascii="Arial" w:eastAsia="Times New Roman" w:hAnsi="Arial" w:cs="Arial"/>
          <w:i/>
          <w:iCs/>
          <w:szCs w:val="28"/>
          <w:lang w:val="uk-UA" w:eastAsia="ru-RU"/>
        </w:rPr>
        <w:t>Д.М</w:t>
      </w:r>
      <w:r w:rsidRPr="00511005">
        <w:rPr>
          <w:rFonts w:ascii="Arial" w:eastAsia="Times New Roman" w:hAnsi="Arial" w:cs="Arial"/>
          <w:i/>
          <w:iCs/>
          <w:szCs w:val="28"/>
          <w:lang w:eastAsia="ru-RU"/>
        </w:rPr>
        <w:t>.</w:t>
      </w:r>
    </w:p>
    <w:p w14:paraId="3BFBB922" w14:textId="77777777" w:rsidR="00532C25" w:rsidRPr="00511005" w:rsidRDefault="00532C25" w:rsidP="00532C25">
      <w:pPr>
        <w:widowControl w:val="0"/>
        <w:autoSpaceDE w:val="0"/>
        <w:autoSpaceDN w:val="0"/>
        <w:adjustRightInd w:val="0"/>
        <w:spacing w:line="264" w:lineRule="auto"/>
        <w:ind w:firstLine="720"/>
        <w:rPr>
          <w:rFonts w:ascii="Arial" w:eastAsia="Times New Roman" w:hAnsi="Arial" w:cs="Arial"/>
          <w:szCs w:val="28"/>
          <w:lang w:eastAsia="ru-RU"/>
        </w:rPr>
      </w:pPr>
    </w:p>
    <w:p w14:paraId="42FA28FD" w14:textId="77777777" w:rsidR="00532C25" w:rsidRPr="00511005" w:rsidRDefault="00532C25" w:rsidP="00532C25">
      <w:pPr>
        <w:spacing w:line="264" w:lineRule="auto"/>
        <w:ind w:firstLine="0"/>
        <w:jc w:val="center"/>
        <w:rPr>
          <w:rFonts w:ascii="Arial" w:eastAsia="Calibri" w:hAnsi="Arial" w:cs="Arial"/>
          <w:b/>
          <w:bCs/>
          <w:i/>
          <w:iCs/>
          <w:szCs w:val="28"/>
        </w:rPr>
      </w:pPr>
      <w:r w:rsidRPr="00511005">
        <w:rPr>
          <w:rFonts w:ascii="Arial" w:eastAsia="Calibri" w:hAnsi="Arial" w:cs="Arial"/>
          <w:b/>
          <w:bCs/>
          <w:i/>
          <w:iCs/>
          <w:szCs w:val="28"/>
        </w:rPr>
        <w:t>Безгінова Тетяна Сергіївна</w:t>
      </w:r>
    </w:p>
    <w:p w14:paraId="1203515F"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24556CB9"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C38CC6C"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A07358F" w14:textId="77777777" w:rsidR="00532C25" w:rsidRPr="00511005" w:rsidRDefault="00532C25" w:rsidP="00532C25">
      <w:pPr>
        <w:spacing w:line="264" w:lineRule="auto"/>
        <w:jc w:val="center"/>
        <w:rPr>
          <w:rFonts w:ascii="Arial" w:eastAsia="Calibri" w:hAnsi="Arial" w:cs="Arial"/>
          <w:b/>
          <w:bCs/>
          <w:szCs w:val="28"/>
        </w:rPr>
      </w:pPr>
    </w:p>
    <w:p w14:paraId="719E7F32" w14:textId="77777777" w:rsidR="00532C25" w:rsidRPr="00511005" w:rsidRDefault="00532C25" w:rsidP="00532C25">
      <w:pPr>
        <w:spacing w:line="264" w:lineRule="auto"/>
        <w:jc w:val="center"/>
        <w:rPr>
          <w:rFonts w:ascii="Arial" w:eastAsia="Calibri" w:hAnsi="Arial" w:cs="Arial"/>
          <w:b/>
          <w:bCs/>
          <w:szCs w:val="28"/>
        </w:rPr>
      </w:pPr>
      <w:r w:rsidRPr="00511005">
        <w:rPr>
          <w:rFonts w:ascii="Arial" w:eastAsia="Calibri" w:hAnsi="Arial" w:cs="Arial"/>
          <w:b/>
          <w:bCs/>
          <w:szCs w:val="28"/>
        </w:rPr>
        <w:t>ІННОВАЦІЙНІ ТЕХНОЛОГІЇ 3D-СКАНУВАННЯ В СУЧАСНІЙ КРИМІНАЛІСТИЦІ</w:t>
      </w:r>
    </w:p>
    <w:p w14:paraId="68828F9B"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Сьогодні, коли криміналістика активно модернізується, особливо важливо впроваджувати нові технології, які дозволяють фіксувати обстановку на місці злочину з максимальною точністю. Одним із таких рішень є 3D-сканування – технологія, яка відкриває нові можливості у збереженні доказової бази та її подальшому аналізі [2]. Це не просто новація – це якісно інший підхід до відтворення реальності злочинного середовища, який змінює саму суть судової реконструкції [5, с.160].</w:t>
      </w:r>
    </w:p>
    <w:p w14:paraId="73CC239E"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lastRenderedPageBreak/>
        <w:t xml:space="preserve">Тривимірне сканування дає змогу створити детальну цифрову копію місця події, що є важливим для фіксації всіх слідів без викривлень чи втрат. Цей метод не тільки зберігає просторову інформацію, але й дозволяє повернутися до аналізу </w:t>
      </w:r>
      <w:proofErr w:type="gramStart"/>
      <w:r w:rsidRPr="00511005">
        <w:rPr>
          <w:rFonts w:ascii="Arial" w:eastAsia="Calibri" w:hAnsi="Arial" w:cs="Arial"/>
          <w:szCs w:val="28"/>
        </w:rPr>
        <w:t>в будь</w:t>
      </w:r>
      <w:proofErr w:type="gramEnd"/>
      <w:r w:rsidRPr="00511005">
        <w:rPr>
          <w:rFonts w:ascii="Arial" w:eastAsia="Calibri" w:hAnsi="Arial" w:cs="Arial"/>
          <w:szCs w:val="28"/>
        </w:rPr>
        <w:t xml:space="preserve">-який момент, уже після завершення слідчих дій. На мою думку, така технологія повинна стати обовʼязковим елементом сучасної слідчої практики, особливо у складних справах, де кожна дрібниця може мати вирішальне значення. Крім того, 3D-моделі допомагають краще донести інформацію </w:t>
      </w:r>
      <w:proofErr w:type="gramStart"/>
      <w:r w:rsidRPr="00511005">
        <w:rPr>
          <w:rFonts w:ascii="Arial" w:eastAsia="Calibri" w:hAnsi="Arial" w:cs="Arial"/>
          <w:szCs w:val="28"/>
        </w:rPr>
        <w:t>до суду</w:t>
      </w:r>
      <w:proofErr w:type="gramEnd"/>
      <w:r w:rsidRPr="00511005">
        <w:rPr>
          <w:rFonts w:ascii="Arial" w:eastAsia="Calibri" w:hAnsi="Arial" w:cs="Arial"/>
          <w:szCs w:val="28"/>
        </w:rPr>
        <w:t xml:space="preserve"> чи присяжних, оскільки візуалізація має набагато сильніший ефект, ніж опис на словах. Це особливо важливо, коли йдеться про складні сцени – наприклад, стрілянину або ДТП, де важко уявити реальну динаміку без графічної реконструкції [1, с. 284]. Впровадження цієї технології – це логічний крок уперед у розвитку цифрової криміналістики, і Україна має не пасти задніх у цьому напрямку. Слід розглядати 3D-сканування не як допоміжний інструмент, а як повноцінну методику збору та збереження доказової інформації.</w:t>
      </w:r>
    </w:p>
    <w:p w14:paraId="797F5D54"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3D-сканування дає змогу зберегти «застиглий» вигляд місця події, що критично важливо, коли обстановка змінюється або докази зникають. Сучасні сканери, як-от FARO [4] або Leica, фіксують навіть найдрібніші деталі – сліди, розміщення обʼєктів, кути огляду, розміри, що суттєво знижує людський фактор у процесі фіксації. Згідно зі ст. 99 Кримінального процесуального кодексу України, електронні носії можуть бути повноцінними джерелами доказів [3], а отже, 3D-моделі мають повне право бути представленими у суді. Це означає, що використання цієї технології є не лише доцільним, а й цілком законним, і її результати мають юридичну силу. Окрім того, сканування скорочує час на фіксацію місця події та знижує навантаження на слідчі групи, дозволяючи більше зосередитися на аналітичній роботі. У майбутньому технологія може бути інтегрована з іншими цифровими системами, як-от автоматичне розпізнавання обʼєктів, що ще більше посилить її потенціал.</w:t>
      </w:r>
    </w:p>
    <w:p w14:paraId="262C6650"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 xml:space="preserve">Наприклад, у Великобританії поліція активно використовує 3D-сканери при розслідуванні резонансних злочинів і ДТП – це допомагає відновити повну картину подій </w:t>
      </w:r>
      <w:proofErr w:type="gramStart"/>
      <w:r w:rsidRPr="00511005">
        <w:rPr>
          <w:rFonts w:ascii="Arial" w:eastAsia="Calibri" w:hAnsi="Arial" w:cs="Arial"/>
          <w:szCs w:val="28"/>
        </w:rPr>
        <w:t>для суду</w:t>
      </w:r>
      <w:proofErr w:type="gramEnd"/>
      <w:r w:rsidRPr="00511005">
        <w:rPr>
          <w:rFonts w:ascii="Arial" w:eastAsia="Calibri" w:hAnsi="Arial" w:cs="Arial"/>
          <w:szCs w:val="28"/>
        </w:rPr>
        <w:t xml:space="preserve">. У Німеччині завдяки тривимірній реконструкції вдалося зняти обвинувачення з підозрюваного: шлях кулі вказав на те, що він не міг бути стрільцем. В Україні вже були випадки, коли 3D-моделювання допомагало точно визначити, хто винен у ДТП, базуючись на реконструкції траєкторії руху авто. У справі, повʼязаній із резонансною аварією у Києві, сканер дозволив точно виміряти кут удару і встановити справжню швидкість транспортного засобу. </w:t>
      </w:r>
    </w:p>
    <w:p w14:paraId="105DDC37"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 xml:space="preserve">Крім ДТП, технологія активно застосовується в розслідуваннях убивств, коли потрібно точно визначити позицію тіла, зброї чи інших предметів у просторі. Такі приклади доводять, що ця технологія вже не є фантастикою – вона реально працює, і її ефективність підтверджена </w:t>
      </w:r>
      <w:r w:rsidRPr="00511005">
        <w:rPr>
          <w:rFonts w:ascii="Arial" w:eastAsia="Calibri" w:hAnsi="Arial" w:cs="Arial"/>
          <w:szCs w:val="28"/>
        </w:rPr>
        <w:lastRenderedPageBreak/>
        <w:t>практикою. Вона не лише допомагає зібрати докази, а й робить правосуддя більш зрозумілим та прозорим для всіх учасників процесу.</w:t>
      </w:r>
    </w:p>
    <w:p w14:paraId="7BD5D297"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У підсумку можна сказати, що 3D-сканування дає змогу значно підвищити якість та точність криміналістичних досліджень. Його використання має вагоме практичне значення – як для досудового розслідування, так і для подання доказів у суді. Методика дозволяє уникати втрати інформації та дає змогу кілька разів «повертатися» на місце події, не виходячи з кабінету експерта. Це ще один крок у напрямку цифровізації кримінального процесу, якого вже давно потребує українська правоохоронна система.</w:t>
      </w:r>
    </w:p>
    <w:p w14:paraId="54FCD5ED" w14:textId="77777777" w:rsidR="00532C25" w:rsidRPr="00511005" w:rsidRDefault="00532C25" w:rsidP="00532C25">
      <w:pPr>
        <w:spacing w:line="264" w:lineRule="auto"/>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02A7D4AC" w14:textId="77777777" w:rsidR="00532C25" w:rsidRPr="00511005" w:rsidRDefault="00532C25" w:rsidP="003F6A5D">
      <w:pPr>
        <w:numPr>
          <w:ilvl w:val="0"/>
          <w:numId w:val="672"/>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Баранчук В. 3D сканування як спосіб фіксації на місці злочину: переваги й недоліки. </w:t>
      </w:r>
      <w:r w:rsidRPr="00511005">
        <w:rPr>
          <w:rFonts w:ascii="Arial" w:eastAsia="Times New Roman" w:hAnsi="Arial" w:cs="Arial"/>
          <w:i/>
          <w:iCs/>
          <w:szCs w:val="28"/>
          <w:lang w:eastAsia="ru-RU"/>
        </w:rPr>
        <w:t>Юридичний бюлетень.</w:t>
      </w:r>
      <w:r w:rsidRPr="00511005">
        <w:rPr>
          <w:rFonts w:ascii="Arial" w:eastAsia="Times New Roman" w:hAnsi="Arial" w:cs="Arial"/>
          <w:szCs w:val="28"/>
          <w:lang w:eastAsia="ru-RU"/>
        </w:rPr>
        <w:t xml:space="preserve"> 2020. Вип.16. С. 280-286.</w:t>
      </w:r>
    </w:p>
    <w:p w14:paraId="7B96695A" w14:textId="77777777" w:rsidR="00532C25" w:rsidRPr="00511005" w:rsidRDefault="00532C25" w:rsidP="003F6A5D">
      <w:pPr>
        <w:numPr>
          <w:ilvl w:val="0"/>
          <w:numId w:val="672"/>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Дуфенюк О. Новітні технології у практиці досудового розслідування на прикладі використання 3D-сканерів та смартфонів під час огляду місця події. </w:t>
      </w:r>
      <w:r w:rsidRPr="00511005">
        <w:rPr>
          <w:rFonts w:ascii="Arial" w:eastAsia="Times New Roman" w:hAnsi="Arial" w:cs="Arial"/>
          <w:i/>
          <w:iCs/>
          <w:szCs w:val="28"/>
          <w:lang w:eastAsia="ru-RU"/>
        </w:rPr>
        <w:t>Науковий вісник Львівського державного університету внутрішніх справ. Серія «Юридична».</w:t>
      </w:r>
      <w:r w:rsidRPr="00511005">
        <w:rPr>
          <w:rFonts w:ascii="Arial" w:eastAsia="Times New Roman" w:hAnsi="Arial" w:cs="Arial"/>
          <w:szCs w:val="28"/>
          <w:lang w:eastAsia="ru-RU"/>
        </w:rPr>
        <w:t xml:space="preserve"> 2014. № 2. С. 302-306.</w:t>
      </w:r>
    </w:p>
    <w:p w14:paraId="54549B9B" w14:textId="77777777" w:rsidR="00532C25" w:rsidRPr="00511005" w:rsidRDefault="00532C25" w:rsidP="003F6A5D">
      <w:pPr>
        <w:numPr>
          <w:ilvl w:val="0"/>
          <w:numId w:val="672"/>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Кримінальний процесуальний кодекс України: Закон України від 13.04.2012 року №4651-VI.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https://zakon.rada.gov.ua/laws/show/4651-17#n2339</w:t>
      </w:r>
    </w:p>
    <w:p w14:paraId="4CE26818" w14:textId="77777777" w:rsidR="00532C25" w:rsidRPr="00511005" w:rsidRDefault="00532C25" w:rsidP="003F6A5D">
      <w:pPr>
        <w:numPr>
          <w:ilvl w:val="0"/>
          <w:numId w:val="672"/>
        </w:numPr>
        <w:spacing w:line="264" w:lineRule="auto"/>
        <w:ind w:left="0" w:firstLine="709"/>
        <w:contextualSpacing/>
        <w:jc w:val="left"/>
        <w:rPr>
          <w:rFonts w:ascii="Arial" w:eastAsia="Times New Roman" w:hAnsi="Arial" w:cs="Arial"/>
          <w:szCs w:val="28"/>
          <w:lang w:val="en-US" w:eastAsia="ru-RU"/>
        </w:rPr>
      </w:pPr>
      <w:r w:rsidRPr="00511005">
        <w:rPr>
          <w:rFonts w:ascii="Arial" w:eastAsia="Times New Roman" w:hAnsi="Arial" w:cs="Arial"/>
          <w:szCs w:val="28"/>
          <w:lang w:eastAsia="ru-RU"/>
        </w:rPr>
        <w:t>Офіційний</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сайт</w:t>
      </w:r>
      <w:r w:rsidRPr="00511005">
        <w:rPr>
          <w:rFonts w:ascii="Arial" w:eastAsia="Times New Roman" w:hAnsi="Arial" w:cs="Arial"/>
          <w:szCs w:val="28"/>
          <w:lang w:val="en-US" w:eastAsia="ru-RU"/>
        </w:rPr>
        <w:t xml:space="preserve"> FARO Technologies. URL: https://www.faro.com</w:t>
      </w:r>
    </w:p>
    <w:p w14:paraId="24C031F1" w14:textId="77777777" w:rsidR="00532C25" w:rsidRPr="00511005" w:rsidRDefault="00532C25" w:rsidP="003F6A5D">
      <w:pPr>
        <w:numPr>
          <w:ilvl w:val="0"/>
          <w:numId w:val="672"/>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Терешкевич А. Застосування методу 3D-сканування обʼєктів в експертній службі МВС України. </w:t>
      </w:r>
      <w:r w:rsidRPr="00511005">
        <w:rPr>
          <w:rFonts w:ascii="Arial" w:eastAsia="Times New Roman" w:hAnsi="Arial" w:cs="Arial"/>
          <w:i/>
          <w:iCs/>
          <w:szCs w:val="28"/>
          <w:lang w:eastAsia="ru-RU"/>
        </w:rPr>
        <w:t>Криміналістичний вісник.</w:t>
      </w:r>
      <w:r w:rsidRPr="00511005">
        <w:rPr>
          <w:rFonts w:ascii="Arial" w:eastAsia="Times New Roman" w:hAnsi="Arial" w:cs="Arial"/>
          <w:szCs w:val="28"/>
          <w:lang w:eastAsia="ru-RU"/>
        </w:rPr>
        <w:t xml:space="preserve"> 2014. № 2 (22) C. 158-160.</w:t>
      </w:r>
    </w:p>
    <w:p w14:paraId="7C48C07D"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b/>
          <w:bCs/>
          <w:szCs w:val="28"/>
          <w:lang w:eastAsia="ru-RU"/>
        </w:rPr>
      </w:pPr>
    </w:p>
    <w:p w14:paraId="0E0D88BA"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val="uk-UA" w:eastAsia="ru-RU"/>
        </w:rPr>
        <w:t>3D-сканування, техніко-криміналістичні методи, інформаційні технології, досудове розслідування</w:t>
      </w:r>
      <w:r w:rsidRPr="00511005">
        <w:rPr>
          <w:rFonts w:ascii="Arial" w:eastAsia="Times New Roman" w:hAnsi="Arial" w:cs="Arial"/>
          <w:szCs w:val="28"/>
          <w:lang w:eastAsia="ru-RU"/>
        </w:rPr>
        <w:t>.</w:t>
      </w:r>
    </w:p>
    <w:p w14:paraId="3843113A" w14:textId="77777777" w:rsidR="00532C25" w:rsidRPr="00511005" w:rsidRDefault="00532C25" w:rsidP="00532C25">
      <w:pPr>
        <w:tabs>
          <w:tab w:val="left" w:pos="993"/>
        </w:tabs>
        <w:autoSpaceDE w:val="0"/>
        <w:autoSpaceDN w:val="0"/>
        <w:adjustRightInd w:val="0"/>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3D scanning, forensic techniques, information technology, pre-trial investigation.</w:t>
      </w:r>
    </w:p>
    <w:p w14:paraId="7FF8A6BF" w14:textId="77777777" w:rsidR="00532C25" w:rsidRPr="00511005" w:rsidRDefault="00532C25" w:rsidP="00532C25">
      <w:pPr>
        <w:tabs>
          <w:tab w:val="left" w:pos="993"/>
        </w:tabs>
        <w:autoSpaceDE w:val="0"/>
        <w:autoSpaceDN w:val="0"/>
        <w:adjustRightInd w:val="0"/>
        <w:spacing w:line="264" w:lineRule="auto"/>
        <w:ind w:firstLine="720"/>
        <w:rPr>
          <w:rFonts w:ascii="Arial" w:eastAsia="Calibri" w:hAnsi="Arial" w:cs="Arial"/>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i/>
          <w:iCs/>
          <w:szCs w:val="28"/>
        </w:rPr>
        <w:t>к.ю.н., доц. Гресь Ю. О.</w:t>
      </w:r>
    </w:p>
    <w:p w14:paraId="0121F4F0" w14:textId="77777777" w:rsidR="00532C25" w:rsidRPr="00511005" w:rsidRDefault="00532C25" w:rsidP="00532C25">
      <w:pPr>
        <w:widowControl w:val="0"/>
        <w:tabs>
          <w:tab w:val="left" w:pos="993"/>
          <w:tab w:val="left" w:pos="7088"/>
        </w:tabs>
        <w:autoSpaceDE w:val="0"/>
        <w:autoSpaceDN w:val="0"/>
        <w:adjustRightInd w:val="0"/>
        <w:spacing w:line="264" w:lineRule="auto"/>
        <w:ind w:firstLine="720"/>
        <w:contextualSpacing/>
        <w:rPr>
          <w:rFonts w:ascii="Arial" w:eastAsia="Times New Roman" w:hAnsi="Arial" w:cs="Arial"/>
          <w:szCs w:val="28"/>
          <w:lang w:eastAsia="ru-RU"/>
        </w:rPr>
      </w:pPr>
    </w:p>
    <w:p w14:paraId="0EBE3EEE" w14:textId="77777777" w:rsidR="00532C25" w:rsidRPr="00511005" w:rsidRDefault="00532C25" w:rsidP="00532C25">
      <w:pPr>
        <w:widowControl w:val="0"/>
        <w:tabs>
          <w:tab w:val="left" w:pos="993"/>
          <w:tab w:val="left" w:pos="7088"/>
        </w:tabs>
        <w:autoSpaceDE w:val="0"/>
        <w:autoSpaceDN w:val="0"/>
        <w:adjustRightInd w:val="0"/>
        <w:spacing w:line="264" w:lineRule="auto"/>
        <w:ind w:firstLine="720"/>
        <w:contextualSpacing/>
        <w:rPr>
          <w:rFonts w:ascii="Arial" w:eastAsia="Times New Roman" w:hAnsi="Arial" w:cs="Arial"/>
          <w:szCs w:val="28"/>
          <w:lang w:eastAsia="ru-RU"/>
        </w:rPr>
      </w:pPr>
    </w:p>
    <w:p w14:paraId="3380FC97" w14:textId="77777777" w:rsidR="00532C25" w:rsidRPr="00511005" w:rsidRDefault="00532C25" w:rsidP="00532C25">
      <w:pPr>
        <w:autoSpaceDE w:val="0"/>
        <w:autoSpaceDN w:val="0"/>
        <w:adjustRightInd w:val="0"/>
        <w:spacing w:line="264" w:lineRule="auto"/>
        <w:ind w:firstLine="720"/>
        <w:jc w:val="center"/>
        <w:rPr>
          <w:rFonts w:ascii="Arial" w:eastAsia="Calibri" w:hAnsi="Arial" w:cs="Arial"/>
          <w:b/>
          <w:bCs/>
          <w:i/>
          <w:iCs/>
          <w:szCs w:val="28"/>
        </w:rPr>
      </w:pPr>
      <w:r w:rsidRPr="00511005">
        <w:rPr>
          <w:rFonts w:ascii="Arial" w:eastAsia="Calibri" w:hAnsi="Arial" w:cs="Arial"/>
          <w:b/>
          <w:bCs/>
          <w:i/>
          <w:iCs/>
          <w:szCs w:val="28"/>
        </w:rPr>
        <w:t>Білошкурський Микола Миколайович</w:t>
      </w:r>
    </w:p>
    <w:p w14:paraId="766700CF" w14:textId="77777777" w:rsidR="00532C25" w:rsidRPr="00511005" w:rsidRDefault="00532C25" w:rsidP="00532C25">
      <w:pPr>
        <w:autoSpaceDE w:val="0"/>
        <w:autoSpaceDN w:val="0"/>
        <w:adjustRightInd w:val="0"/>
        <w:spacing w:line="264" w:lineRule="auto"/>
        <w:ind w:firstLine="720"/>
        <w:jc w:val="center"/>
        <w:rPr>
          <w:rFonts w:ascii="Arial" w:eastAsia="Calibri" w:hAnsi="Arial" w:cs="Arial"/>
          <w:szCs w:val="28"/>
        </w:rPr>
      </w:pPr>
      <w:r w:rsidRPr="00511005">
        <w:rPr>
          <w:rFonts w:ascii="Arial" w:eastAsia="Calibri" w:hAnsi="Arial" w:cs="Arial"/>
          <w:szCs w:val="28"/>
        </w:rPr>
        <w:t>студент 2-го курсу факультету цивільної та господарської юстиції Національного університету «Одеська юридична академія»</w:t>
      </w:r>
    </w:p>
    <w:p w14:paraId="6897067C" w14:textId="77777777" w:rsidR="00532C25" w:rsidRPr="00511005" w:rsidRDefault="00532C25" w:rsidP="00532C25">
      <w:pPr>
        <w:autoSpaceDE w:val="0"/>
        <w:autoSpaceDN w:val="0"/>
        <w:adjustRightInd w:val="0"/>
        <w:spacing w:line="264" w:lineRule="auto"/>
        <w:ind w:firstLine="720"/>
        <w:jc w:val="center"/>
        <w:rPr>
          <w:rFonts w:ascii="Arial" w:eastAsia="Calibri" w:hAnsi="Arial" w:cs="Arial"/>
          <w:szCs w:val="28"/>
        </w:rPr>
      </w:pPr>
    </w:p>
    <w:p w14:paraId="04E0C042" w14:textId="77777777" w:rsidR="00532C25" w:rsidRPr="00511005" w:rsidRDefault="00532C25" w:rsidP="00532C25">
      <w:pPr>
        <w:autoSpaceDE w:val="0"/>
        <w:autoSpaceDN w:val="0"/>
        <w:adjustRightInd w:val="0"/>
        <w:spacing w:line="264" w:lineRule="auto"/>
        <w:ind w:firstLine="720"/>
        <w:jc w:val="center"/>
        <w:rPr>
          <w:rFonts w:ascii="Arial" w:eastAsia="Calibri" w:hAnsi="Arial" w:cs="Arial"/>
          <w:b/>
          <w:bCs/>
          <w:szCs w:val="28"/>
        </w:rPr>
      </w:pPr>
      <w:r w:rsidRPr="00511005">
        <w:rPr>
          <w:rFonts w:ascii="Arial" w:eastAsia="Calibri" w:hAnsi="Arial" w:cs="Arial"/>
          <w:b/>
          <w:bCs/>
          <w:szCs w:val="28"/>
        </w:rPr>
        <w:t>ІДЕНТИФІКАЦІЯ ОСОБИ, ЩО ВЧИНЯЄ КОРУПЦІЙНІ ПРАВОПОРУШЕННЯ: ТЕОРЕТИЧНІ ТА ПРАКТИЧНІ АСПЕКТИ</w:t>
      </w:r>
    </w:p>
    <w:p w14:paraId="3D3C4518"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rPr>
      </w:pPr>
      <w:r w:rsidRPr="00511005">
        <w:rPr>
          <w:rFonts w:ascii="Arial" w:eastAsia="Calibri" w:hAnsi="Arial" w:cs="Arial"/>
          <w:szCs w:val="28"/>
        </w:rPr>
        <w:t xml:space="preserve">Нині запобігання та протидія корупційним правопорушенням є однією із складових державної політики України, про це свідчать, у тому числі, законодавчі ініціативи [1]. Також на необхідність боротьби з корупцією вказують європейські партнери нашої держави, Європейська комісія </w:t>
      </w:r>
      <w:r w:rsidRPr="00511005">
        <w:rPr>
          <w:rFonts w:ascii="Arial" w:eastAsia="Calibri" w:hAnsi="Arial" w:cs="Arial"/>
          <w:szCs w:val="28"/>
        </w:rPr>
        <w:lastRenderedPageBreak/>
        <w:t>виокремила сім порад для вступу України до Європейського Союзу (ЄС), серед яких, і боротьба з корупцією [2]. Більше того, в умовах повномасштабного вторгнення Російської Федерації на суверенну територію України, корупція в оборонній сфері ще й опосередковано підсилює позиції ворога. Саме тому, у звʼязку з нормотворчими та євроінтеграційними процесами нашої держави, а також у звʼязку з воєнним станом, особливої актуальності набувають питання притягнення осіб, винних у корупційних правопорушеннях, до відповідальності.</w:t>
      </w:r>
    </w:p>
    <w:p w14:paraId="4C338E7F"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rPr>
      </w:pPr>
      <w:r w:rsidRPr="00511005">
        <w:rPr>
          <w:rFonts w:ascii="Arial" w:eastAsia="Calibri" w:hAnsi="Arial" w:cs="Arial"/>
          <w:szCs w:val="28"/>
        </w:rPr>
        <w:t>На нашу думку, одним з найефективніших шляхів боротьби з корупційними правопорушеннями є вдосконалення антикорупційного законодавства, усунення прогалин та уникнення неоднозначності в трактуванні норм, а також налагодження механізмів притягнення винних до відповідальності [3, с. 18]. Проте очевидно, що важливим фактором є також невідворотність покарання за корупційні правопорушення та застосування справедливих і адекватних санкцій. Н. Серьогіна й А. Мазалов підтримують таку точку зору, підкреслюючи, що невідворотність покарань за корупційні злочини і розробка суворих санкцій є ефективними заходами протидіяти корупції в цілому та в оборонній сфері зокрема [4, с. 54–55].</w:t>
      </w:r>
    </w:p>
    <w:p w14:paraId="70EE83BD"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rPr>
      </w:pPr>
      <w:r w:rsidRPr="00511005">
        <w:rPr>
          <w:rFonts w:ascii="Arial" w:eastAsia="Calibri" w:hAnsi="Arial" w:cs="Arial"/>
          <w:szCs w:val="28"/>
        </w:rPr>
        <w:t>Проте, в сучасних умовах питання невідворотності покарання для корупціонерів стоїть досить гостро. Для притягнення винних у корупційних правопорушеннях до відповідальності, їх необхідно встановити, а це не завжди можливо. Як зазначає О. Шостко, переважна більшість порушників антикорупційних норм законодавства залишається невиявленими, а принцип невідворотності покарання часто не спрацьовує, що породжує у корупціонерів почуття безкарності та заохочує до подальшого вчинення подібних правопорушень [5, с. 203]. Зважаючи на це, нині особливої актуальності набуває дослідження теоретичних та практичних проблем, з якими часто стикаються правоохоронні органи під час ідентифікації особи, яка вчинила корупційне правопорушення.</w:t>
      </w:r>
    </w:p>
    <w:p w14:paraId="0940CF31"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rPr>
      </w:pPr>
      <w:r w:rsidRPr="00511005">
        <w:rPr>
          <w:rFonts w:ascii="Arial" w:eastAsia="Calibri" w:hAnsi="Arial" w:cs="Arial"/>
          <w:szCs w:val="28"/>
        </w:rPr>
        <w:t>Серед теоретичних проблем ідентифікації особи корупціонера можна виділити, як на це вказує О. Резнікова, широкий законодавчий перелік корупційних злочинів, через що суб’єктний склад названої групи кримінальних правопорушень є вельми різноманітним, що і зумовлює складнощі криміналістичного дослідження [6, с.235].</w:t>
      </w:r>
    </w:p>
    <w:p w14:paraId="16594313"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rPr>
      </w:pPr>
      <w:r w:rsidRPr="00511005">
        <w:rPr>
          <w:rFonts w:ascii="Arial" w:eastAsia="Calibri" w:hAnsi="Arial" w:cs="Arial"/>
          <w:szCs w:val="28"/>
        </w:rPr>
        <w:t xml:space="preserve">Однією із очевидних проблем на практиці можуть бути посередники між отримувачем неправомірної вигоди та особою, що її надає. Так, замість корупціонера хабар може вимагати та отримувати особа, яка знаходить в підпорядкуванні такого, або яка наближена до нього. Наприклад, на практиці часто трапляються випадки, коли неправомірну вигоду за укладення необхідного підсудному рішення отримує не сам суддя, який є організатором схеми та буде виносите відповідне рішення, а його помічник [7]. У такому разі, якщо всі незаконні дії, починаючи від комунікації з особою, що надає </w:t>
      </w:r>
      <w:r w:rsidRPr="00511005">
        <w:rPr>
          <w:rFonts w:ascii="Arial" w:eastAsia="Calibri" w:hAnsi="Arial" w:cs="Arial"/>
          <w:szCs w:val="28"/>
        </w:rPr>
        <w:lastRenderedPageBreak/>
        <w:t>неправомірну вигоду, та закінчуючи безпосереднім фізичним отриманням неправомірної вигоди здійснює посередник – ідентифікувати особу справжнього організатора корупційної схеми та притягнути його до відповідальності важко.</w:t>
      </w:r>
    </w:p>
    <w:p w14:paraId="796EF32F"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rPr>
      </w:pPr>
      <w:r w:rsidRPr="00511005">
        <w:rPr>
          <w:rFonts w:ascii="Arial" w:eastAsia="Calibri" w:hAnsi="Arial" w:cs="Arial"/>
          <w:szCs w:val="28"/>
        </w:rPr>
        <w:t xml:space="preserve">У випадках, коли особа вчиняє корупційне правопорушення безпосередньо, універсальним засобом ідентифікації цієї особи є проведення негласних слідчих (розшукових) дій. (т. з. НС(Р)Д). У такому разі, шляхом встановлення аудіо-, відеоконтролю незаконні дії особи документуються і, відповідно, надалі такі записи можуть бути використані для ідентифікації особи корупціонера. Для цього можуть виконуватися портретна чи фоноскопічна (експертиза матеріалів і засобів відео-, звукозапису) експертизи. </w:t>
      </w:r>
    </w:p>
    <w:p w14:paraId="307456A0"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rPr>
      </w:pPr>
      <w:r w:rsidRPr="00511005">
        <w:rPr>
          <w:rFonts w:ascii="Arial" w:eastAsia="Calibri" w:hAnsi="Arial" w:cs="Arial"/>
          <w:szCs w:val="28"/>
        </w:rPr>
        <w:t>Після затримання ж особи, яку підозрюють у вчиненні корупційного правопорушення, з ціллю встановити відповідність між особою затриманим і особою, яка вчинила це правопорушення, одним із можливих варіантів є огляд електронного носія, зокрема, телефону, чи іншої техніки, яка в межах затримання чи обшуку підозрюваного була вилучена. Подібний огляд може проводитися з ціллю встановити, наприклад, чи дійсно номер мобільного телефону, чи аккаунт в месенджері, через які здійснювалось спілкування між особою, що отримала неправомірну вигоду та особою, яка її надавала, належить затриманому. При чому, як зазначають Д. Цехан та А. Мурашко, дуже часто особи мають профілі в декількох соціальних мережах, при цьому використовують таке саме або схоже ім’я, тому маючи певні вихідні дані (наприклад, логін, ім’я користувача тощо) можна спробувати знайти інші профілі особи [8, с. 482]. У випадках з особами, які вчинили корупційне правопорушення, їх основний логін, імʼя користувача чи фото в соціальних мережах можуть не збігатися з тим профілем, через який здійснювалась комунікація з особою, що надавала неправомірну вигоду. Тому без наявності доступу до електронного носія, зокрема, телефону чи подібної техніки цієї особи, повʼязати її з конкретним профілем у соціальних мережах, через який вчинялись незаконні корупційні дії, складно. Також не слід виключати можливість ідентифікувати особу шляхом проведення допиту. Під час допиту підозрюваний і сам може підтвердити, що є тією людиною, з якою його особу порівнюють.</w:t>
      </w:r>
    </w:p>
    <w:p w14:paraId="7A2BF809"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rPr>
      </w:pPr>
      <w:r w:rsidRPr="00511005">
        <w:rPr>
          <w:rFonts w:ascii="Arial" w:eastAsia="Calibri" w:hAnsi="Arial" w:cs="Arial"/>
          <w:szCs w:val="28"/>
        </w:rPr>
        <w:t xml:space="preserve">Підсумовуючи, вважаємо за доцільне зазначити, що в умовах євроінтеграційних процесів України та в умовах воєнного стану важливим є дотримання принципу невідворотності покарання за корупційні правопорушення. Для цього необхідно ідентифікувати особу корупціонера, з чим як в теорії, так і на практиці можуть виникати деякі труднощі. Зокрема, проблемним є широкий законодавчий перелік корупційних злочинів, що у свою чергу створює широке субʼєктне коло осіб, що можуть вчинювати злочинні посягання окресленого типу. Також на практиці серйозною </w:t>
      </w:r>
      <w:r w:rsidRPr="00511005">
        <w:rPr>
          <w:rFonts w:ascii="Arial" w:eastAsia="Calibri" w:hAnsi="Arial" w:cs="Arial"/>
          <w:szCs w:val="28"/>
        </w:rPr>
        <w:lastRenderedPageBreak/>
        <w:t xml:space="preserve">проблемою для ідентифікації особи корупціонера може бути наявність посередника, який здійснює комунікацію з особою, яка надає неправомірну вигоду, а також отримує її. Якщо ж корупційне правопорушення особа здійснює безпосередньо, то у такому випадку універсальним способом ідентифікації цієї особи є проведення НС(Р)Д, шляхом здійснення відео- чи аудіоконтролю, з подальшим проведенням відповідних судових експертиз. Також важливим елементом ідентифікації особи, що вчинила корупційне правопорушення, в умовах, коли особа підозрюваного вже є відомою і необхідно порівняти цих двох осіб, є огляд електронного носія затриманого чи безпосередньо допит такого. </w:t>
      </w:r>
    </w:p>
    <w:p w14:paraId="03D76F27"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rPr>
      </w:pPr>
    </w:p>
    <w:p w14:paraId="7ACFE4A2" w14:textId="77777777" w:rsidR="00532C25" w:rsidRPr="00511005" w:rsidRDefault="00532C25" w:rsidP="00532C25">
      <w:pPr>
        <w:autoSpaceDE w:val="0"/>
        <w:autoSpaceDN w:val="0"/>
        <w:adjustRightInd w:val="0"/>
        <w:spacing w:line="264" w:lineRule="auto"/>
        <w:ind w:firstLine="72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14832745" w14:textId="77777777" w:rsidR="00532C25" w:rsidRPr="00511005" w:rsidRDefault="00532C25" w:rsidP="003F6A5D">
      <w:pPr>
        <w:numPr>
          <w:ilvl w:val="0"/>
          <w:numId w:val="608"/>
        </w:numPr>
        <w:autoSpaceDE w:val="0"/>
        <w:autoSpaceDN w:val="0"/>
        <w:adjustRightInd w:val="0"/>
        <w:spacing w:line="264" w:lineRule="auto"/>
        <w:ind w:left="0" w:firstLine="720"/>
        <w:contextualSpacing/>
        <w:jc w:val="left"/>
        <w:rPr>
          <w:rFonts w:ascii="Arial" w:eastAsia="Calibri" w:hAnsi="Arial" w:cs="Arial"/>
          <w:szCs w:val="28"/>
          <w:lang w:val="pl-PL"/>
        </w:rPr>
      </w:pPr>
      <w:r w:rsidRPr="00511005">
        <w:rPr>
          <w:rFonts w:ascii="Arial" w:eastAsia="Calibri" w:hAnsi="Arial" w:cs="Arial"/>
          <w:szCs w:val="28"/>
        </w:rPr>
        <w:t xml:space="preserve">Про затвердження Державної антикорупційної програми на 2023–2025 </w:t>
      </w:r>
      <w:proofErr w:type="gramStart"/>
      <w:r w:rsidRPr="00511005">
        <w:rPr>
          <w:rFonts w:ascii="Arial" w:eastAsia="Calibri" w:hAnsi="Arial" w:cs="Arial"/>
          <w:szCs w:val="28"/>
        </w:rPr>
        <w:t>роки :</w:t>
      </w:r>
      <w:proofErr w:type="gramEnd"/>
      <w:r w:rsidRPr="00511005">
        <w:rPr>
          <w:rFonts w:ascii="Arial" w:eastAsia="Calibri" w:hAnsi="Arial" w:cs="Arial"/>
          <w:szCs w:val="28"/>
        </w:rPr>
        <w:t xml:space="preserve"> Постанова Кабінет Міністрів України від 4 березня 2023 р. № 220. </w:t>
      </w:r>
      <w:r w:rsidRPr="00511005">
        <w:rPr>
          <w:rFonts w:ascii="Arial" w:eastAsia="Calibri" w:hAnsi="Arial" w:cs="Arial"/>
          <w:szCs w:val="28"/>
          <w:lang w:val="pl-PL"/>
        </w:rPr>
        <w:t xml:space="preserve">URL: </w:t>
      </w:r>
      <w:r w:rsidR="005938AD">
        <w:fldChar w:fldCharType="begin"/>
      </w:r>
      <w:r w:rsidR="005938AD" w:rsidRPr="00055389">
        <w:rPr>
          <w:lang w:val="en-US"/>
        </w:rPr>
        <w:instrText xml:space="preserve"> HYPERLINK "https://zakon.rada.gov.ua/laws/show/220-2023-%D0%BF" \l "Text" </w:instrText>
      </w:r>
      <w:r w:rsidR="005938AD">
        <w:fldChar w:fldCharType="separate"/>
      </w:r>
      <w:r w:rsidRPr="00511005">
        <w:rPr>
          <w:rFonts w:ascii="Arial" w:eastAsia="Calibri" w:hAnsi="Arial" w:cs="Arial"/>
          <w:szCs w:val="28"/>
          <w:lang w:val="pl-PL"/>
        </w:rPr>
        <w:t>https://zakon.rada.gov.ua/laws/show/220-2023-%D0%BF#Text</w:t>
      </w:r>
      <w:r w:rsidR="005938AD">
        <w:rPr>
          <w:rFonts w:ascii="Arial" w:eastAsia="Calibri" w:hAnsi="Arial" w:cs="Arial"/>
          <w:szCs w:val="28"/>
          <w:lang w:val="pl-PL"/>
        </w:rPr>
        <w:fldChar w:fldCharType="end"/>
      </w:r>
    </w:p>
    <w:p w14:paraId="068644D5" w14:textId="77777777" w:rsidR="00532C25" w:rsidRPr="00511005" w:rsidRDefault="00532C25" w:rsidP="003F6A5D">
      <w:pPr>
        <w:numPr>
          <w:ilvl w:val="0"/>
          <w:numId w:val="608"/>
        </w:numPr>
        <w:autoSpaceDE w:val="0"/>
        <w:autoSpaceDN w:val="0"/>
        <w:adjustRightInd w:val="0"/>
        <w:spacing w:line="264" w:lineRule="auto"/>
        <w:ind w:left="0" w:firstLine="720"/>
        <w:contextualSpacing/>
        <w:jc w:val="left"/>
        <w:rPr>
          <w:rFonts w:ascii="Arial" w:eastAsia="Calibri" w:hAnsi="Arial" w:cs="Arial"/>
          <w:szCs w:val="28"/>
          <w:lang w:val="en-US"/>
        </w:rPr>
      </w:pPr>
      <w:r w:rsidRPr="00511005">
        <w:rPr>
          <w:rFonts w:ascii="Arial" w:eastAsia="Calibri" w:hAnsi="Arial" w:cs="Arial"/>
          <w:szCs w:val="28"/>
          <w:lang w:val="en-US"/>
        </w:rPr>
        <w:t xml:space="preserve">Press and information team of the Delegation to Ukraine. </w:t>
      </w:r>
      <w:r w:rsidRPr="00511005">
        <w:rPr>
          <w:rFonts w:ascii="Arial" w:eastAsia="Calibri" w:hAnsi="Arial" w:cs="Arial"/>
          <w:szCs w:val="28"/>
        </w:rPr>
        <w:t xml:space="preserve">Рекомендації Європейської Комісії щодо статусу України на членство в ЄС. </w:t>
      </w:r>
      <w:r w:rsidRPr="00511005">
        <w:rPr>
          <w:rFonts w:ascii="Arial" w:eastAsia="Calibri" w:hAnsi="Arial" w:cs="Arial"/>
          <w:szCs w:val="28"/>
          <w:lang w:val="en-US"/>
        </w:rPr>
        <w:t xml:space="preserve">Delegation of the European Union to Ukraine. 17.06.2022. URL: </w:t>
      </w:r>
      <w:r w:rsidR="005938AD">
        <w:fldChar w:fldCharType="begin"/>
      </w:r>
      <w:r w:rsidR="005938AD" w:rsidRPr="00055389">
        <w:rPr>
          <w:lang w:val="en-US"/>
        </w:rPr>
        <w:instrText xml:space="preserve"> HYPERLINK "https://www.eeas.europa.eu/node/415005_en?s=232" </w:instrText>
      </w:r>
      <w:r w:rsidR="005938AD">
        <w:fldChar w:fldCharType="separate"/>
      </w:r>
      <w:r w:rsidRPr="00511005">
        <w:rPr>
          <w:rFonts w:ascii="Arial" w:eastAsia="Calibri" w:hAnsi="Arial" w:cs="Arial"/>
          <w:szCs w:val="28"/>
          <w:lang w:val="en-US"/>
        </w:rPr>
        <w:t>https://www.eeas.europa.eu/node/415005_en?s=232</w:t>
      </w:r>
      <w:r w:rsidR="005938AD">
        <w:rPr>
          <w:rFonts w:ascii="Arial" w:eastAsia="Calibri" w:hAnsi="Arial" w:cs="Arial"/>
          <w:szCs w:val="28"/>
          <w:lang w:val="en-US"/>
        </w:rPr>
        <w:fldChar w:fldCharType="end"/>
      </w:r>
    </w:p>
    <w:p w14:paraId="680B4CC9" w14:textId="77777777" w:rsidR="00532C25" w:rsidRPr="00511005" w:rsidRDefault="00532C25" w:rsidP="003F6A5D">
      <w:pPr>
        <w:numPr>
          <w:ilvl w:val="0"/>
          <w:numId w:val="608"/>
        </w:numPr>
        <w:autoSpaceDE w:val="0"/>
        <w:autoSpaceDN w:val="0"/>
        <w:adjustRightInd w:val="0"/>
        <w:spacing w:line="264" w:lineRule="auto"/>
        <w:ind w:left="0" w:firstLine="720"/>
        <w:contextualSpacing/>
        <w:jc w:val="left"/>
        <w:rPr>
          <w:rFonts w:ascii="Arial" w:eastAsia="Calibri" w:hAnsi="Arial" w:cs="Arial"/>
          <w:szCs w:val="28"/>
        </w:rPr>
      </w:pPr>
      <w:r w:rsidRPr="00511005">
        <w:rPr>
          <w:rFonts w:ascii="Arial" w:eastAsia="Calibri" w:hAnsi="Arial" w:cs="Arial"/>
          <w:szCs w:val="28"/>
        </w:rPr>
        <w:t xml:space="preserve">Давидова І. В., Білошкурський М. М. Договір дарування як спосіб уникнути покарання за корупційні злочини. </w:t>
      </w:r>
      <w:r w:rsidRPr="00511005">
        <w:rPr>
          <w:rFonts w:ascii="Arial" w:eastAsia="Calibri" w:hAnsi="Arial" w:cs="Arial"/>
          <w:i/>
          <w:iCs/>
          <w:szCs w:val="28"/>
        </w:rPr>
        <w:t>Часопис цивілістики</w:t>
      </w:r>
      <w:r w:rsidRPr="00511005">
        <w:rPr>
          <w:rFonts w:ascii="Arial" w:eastAsia="Calibri" w:hAnsi="Arial" w:cs="Arial"/>
          <w:szCs w:val="28"/>
        </w:rPr>
        <w:t xml:space="preserve">. 2023. Вип. 50. С. 18. DOI: </w:t>
      </w:r>
      <w:hyperlink r:id="rId1935" w:history="1">
        <w:r w:rsidRPr="00511005">
          <w:rPr>
            <w:rFonts w:ascii="Arial" w:eastAsia="Calibri" w:hAnsi="Arial" w:cs="Arial"/>
            <w:szCs w:val="28"/>
          </w:rPr>
          <w:t>https://doi.org/10.32782/chc.v050.2023.3</w:t>
        </w:r>
      </w:hyperlink>
    </w:p>
    <w:p w14:paraId="148D97B5" w14:textId="77777777" w:rsidR="00532C25" w:rsidRPr="00511005" w:rsidRDefault="00532C25" w:rsidP="003F6A5D">
      <w:pPr>
        <w:numPr>
          <w:ilvl w:val="0"/>
          <w:numId w:val="608"/>
        </w:numPr>
        <w:autoSpaceDE w:val="0"/>
        <w:autoSpaceDN w:val="0"/>
        <w:adjustRightInd w:val="0"/>
        <w:spacing w:line="264" w:lineRule="auto"/>
        <w:ind w:left="0" w:firstLine="720"/>
        <w:contextualSpacing/>
        <w:jc w:val="left"/>
        <w:rPr>
          <w:rFonts w:ascii="Arial" w:eastAsia="Calibri" w:hAnsi="Arial" w:cs="Arial"/>
          <w:szCs w:val="28"/>
        </w:rPr>
      </w:pPr>
      <w:r w:rsidRPr="00511005">
        <w:rPr>
          <w:rFonts w:ascii="Arial" w:eastAsia="Calibri" w:hAnsi="Arial" w:cs="Arial"/>
          <w:szCs w:val="28"/>
        </w:rPr>
        <w:t xml:space="preserve">Серьогіна Н. О., Мазалов А. М. Шляхи зменшення корупційних ризиків у військових операціях з урахуванням міжнародного досвіду ведення бойових дій. </w:t>
      </w:r>
      <w:r w:rsidRPr="00511005">
        <w:rPr>
          <w:rFonts w:ascii="Arial" w:eastAsia="Calibri" w:hAnsi="Arial" w:cs="Arial"/>
          <w:i/>
          <w:iCs/>
          <w:szCs w:val="28"/>
        </w:rPr>
        <w:t>Таврійський науковий вісник. Серія: Публічне управління та адміністрування</w:t>
      </w:r>
      <w:r w:rsidRPr="00511005">
        <w:rPr>
          <w:rFonts w:ascii="Arial" w:eastAsia="Calibri" w:hAnsi="Arial" w:cs="Arial"/>
          <w:szCs w:val="28"/>
        </w:rPr>
        <w:t xml:space="preserve">. 2024. № 2. С. 54–55. DOI: </w:t>
      </w:r>
      <w:hyperlink r:id="rId1936" w:history="1">
        <w:r w:rsidRPr="00511005">
          <w:rPr>
            <w:rFonts w:ascii="Arial" w:eastAsia="Calibri" w:hAnsi="Arial" w:cs="Arial"/>
            <w:szCs w:val="28"/>
          </w:rPr>
          <w:t>https://doi.org/10.32782/tnv-pub.2024.2.7</w:t>
        </w:r>
      </w:hyperlink>
    </w:p>
    <w:p w14:paraId="1701C8AF" w14:textId="77777777" w:rsidR="00532C25" w:rsidRPr="00511005" w:rsidRDefault="00532C25" w:rsidP="003F6A5D">
      <w:pPr>
        <w:numPr>
          <w:ilvl w:val="0"/>
          <w:numId w:val="608"/>
        </w:numPr>
        <w:autoSpaceDE w:val="0"/>
        <w:autoSpaceDN w:val="0"/>
        <w:adjustRightInd w:val="0"/>
        <w:spacing w:line="264" w:lineRule="auto"/>
        <w:ind w:left="0" w:firstLine="720"/>
        <w:contextualSpacing/>
        <w:jc w:val="left"/>
        <w:rPr>
          <w:rFonts w:ascii="Arial" w:eastAsia="Calibri" w:hAnsi="Arial" w:cs="Arial"/>
          <w:szCs w:val="28"/>
        </w:rPr>
      </w:pPr>
      <w:r w:rsidRPr="00511005">
        <w:rPr>
          <w:rFonts w:ascii="Arial" w:eastAsia="Calibri" w:hAnsi="Arial" w:cs="Arial"/>
          <w:szCs w:val="28"/>
        </w:rPr>
        <w:t xml:space="preserve">Шостко О. Ю. Типологія осіб, які вчиняють корупційні злочини. </w:t>
      </w:r>
      <w:r w:rsidRPr="00511005">
        <w:rPr>
          <w:rFonts w:ascii="Arial" w:eastAsia="Calibri" w:hAnsi="Arial" w:cs="Arial"/>
          <w:i/>
          <w:iCs/>
          <w:szCs w:val="28"/>
        </w:rPr>
        <w:t xml:space="preserve">Транскордонна співпраця: проблеми та шляхи їх </w:t>
      </w:r>
      <w:proofErr w:type="gramStart"/>
      <w:r w:rsidRPr="00511005">
        <w:rPr>
          <w:rFonts w:ascii="Arial" w:eastAsia="Calibri" w:hAnsi="Arial" w:cs="Arial"/>
          <w:i/>
          <w:iCs/>
          <w:szCs w:val="28"/>
        </w:rPr>
        <w:t>вирішення</w:t>
      </w:r>
      <w:r w:rsidRPr="00511005">
        <w:rPr>
          <w:rFonts w:ascii="Arial" w:eastAsia="Calibri" w:hAnsi="Arial" w:cs="Arial"/>
          <w:szCs w:val="28"/>
        </w:rPr>
        <w:t xml:space="preserve"> :</w:t>
      </w:r>
      <w:proofErr w:type="gramEnd"/>
      <w:r w:rsidRPr="00511005">
        <w:rPr>
          <w:rFonts w:ascii="Arial" w:eastAsia="Calibri" w:hAnsi="Arial" w:cs="Arial"/>
          <w:szCs w:val="28"/>
        </w:rPr>
        <w:t xml:space="preserve"> матеріали ІІ Регіон. круглого столу (м. Одеса, 28–29 верес. 2017 р.). Київ, 2017. С. 203–205. URL: </w:t>
      </w:r>
      <w:hyperlink r:id="rId1937" w:history="1">
        <w:r w:rsidRPr="00511005">
          <w:rPr>
            <w:rFonts w:ascii="Arial" w:eastAsia="Calibri" w:hAnsi="Arial" w:cs="Arial"/>
            <w:szCs w:val="28"/>
          </w:rPr>
          <w:t>https://dspace.nlu.edu.ua/handle/123456789/14805</w:t>
        </w:r>
      </w:hyperlink>
    </w:p>
    <w:p w14:paraId="3A7C9174" w14:textId="77777777" w:rsidR="00532C25" w:rsidRPr="00511005" w:rsidRDefault="00532C25" w:rsidP="003F6A5D">
      <w:pPr>
        <w:numPr>
          <w:ilvl w:val="0"/>
          <w:numId w:val="608"/>
        </w:numPr>
        <w:autoSpaceDE w:val="0"/>
        <w:autoSpaceDN w:val="0"/>
        <w:adjustRightInd w:val="0"/>
        <w:spacing w:line="264" w:lineRule="auto"/>
        <w:ind w:left="0" w:firstLine="720"/>
        <w:contextualSpacing/>
        <w:jc w:val="left"/>
        <w:rPr>
          <w:rFonts w:ascii="Arial" w:eastAsia="Calibri" w:hAnsi="Arial" w:cs="Arial"/>
          <w:szCs w:val="28"/>
        </w:rPr>
      </w:pPr>
      <w:r w:rsidRPr="00511005">
        <w:rPr>
          <w:rFonts w:ascii="Arial" w:eastAsia="Calibri" w:hAnsi="Arial" w:cs="Arial"/>
          <w:szCs w:val="28"/>
        </w:rPr>
        <w:t xml:space="preserve">Резнікова О. І. Криміналістичне дослідження особи корупціонера: напрями використання гомологічних даних. </w:t>
      </w:r>
      <w:r w:rsidRPr="00511005">
        <w:rPr>
          <w:rFonts w:ascii="Arial" w:eastAsia="Calibri" w:hAnsi="Arial" w:cs="Arial"/>
          <w:i/>
          <w:iCs/>
          <w:szCs w:val="28"/>
        </w:rPr>
        <w:t>Вісник Національної академії правових наук України</w:t>
      </w:r>
      <w:r w:rsidRPr="00511005">
        <w:rPr>
          <w:rFonts w:ascii="Arial" w:eastAsia="Calibri" w:hAnsi="Arial" w:cs="Arial"/>
          <w:szCs w:val="28"/>
        </w:rPr>
        <w:t xml:space="preserve">. 2016. № 3. С. 229–242. URL: </w:t>
      </w:r>
      <w:hyperlink r:id="rId1938" w:history="1">
        <w:r w:rsidRPr="00511005">
          <w:rPr>
            <w:rFonts w:ascii="Arial" w:eastAsia="Calibri" w:hAnsi="Arial" w:cs="Arial"/>
            <w:szCs w:val="28"/>
          </w:rPr>
          <w:t>http://nbuv.gov.ua/UJRN/vapny_2016_3_33</w:t>
        </w:r>
      </w:hyperlink>
    </w:p>
    <w:p w14:paraId="57E4EB9A" w14:textId="77777777" w:rsidR="00532C25" w:rsidRPr="00511005" w:rsidRDefault="00532C25" w:rsidP="003F6A5D">
      <w:pPr>
        <w:numPr>
          <w:ilvl w:val="0"/>
          <w:numId w:val="608"/>
        </w:numPr>
        <w:autoSpaceDE w:val="0"/>
        <w:autoSpaceDN w:val="0"/>
        <w:adjustRightInd w:val="0"/>
        <w:spacing w:line="264" w:lineRule="auto"/>
        <w:ind w:left="0" w:firstLine="720"/>
        <w:contextualSpacing/>
        <w:jc w:val="left"/>
        <w:rPr>
          <w:rFonts w:ascii="Arial" w:eastAsia="Calibri" w:hAnsi="Arial" w:cs="Arial"/>
          <w:szCs w:val="28"/>
        </w:rPr>
      </w:pPr>
      <w:r w:rsidRPr="00511005">
        <w:rPr>
          <w:rFonts w:ascii="Arial" w:eastAsia="Calibri" w:hAnsi="Arial" w:cs="Arial"/>
          <w:szCs w:val="28"/>
        </w:rPr>
        <w:t xml:space="preserve">В Одесі на хабарі погоріли суддя та його помічник. </w:t>
      </w:r>
      <w:r w:rsidRPr="00511005">
        <w:rPr>
          <w:rFonts w:ascii="Arial" w:eastAsia="Calibri" w:hAnsi="Arial" w:cs="Arial"/>
          <w:i/>
          <w:iCs/>
          <w:szCs w:val="28"/>
        </w:rPr>
        <w:t>Подробиці-ТВ</w:t>
      </w:r>
      <w:r w:rsidRPr="00511005">
        <w:rPr>
          <w:rFonts w:ascii="Arial" w:eastAsia="Calibri" w:hAnsi="Arial" w:cs="Arial"/>
          <w:szCs w:val="28"/>
        </w:rPr>
        <w:t xml:space="preserve">. URL: </w:t>
      </w:r>
      <w:hyperlink r:id="rId1939" w:history="1">
        <w:r w:rsidRPr="00511005">
          <w:rPr>
            <w:rFonts w:ascii="Arial" w:eastAsia="Calibri" w:hAnsi="Arial" w:cs="Arial"/>
            <w:szCs w:val="28"/>
          </w:rPr>
          <w:t>https://podrobnosti.ua/2023180-v-odes-na-habar-pogorli-suddja-ta-jogo-pomchnik.html</w:t>
        </w:r>
      </w:hyperlink>
    </w:p>
    <w:p w14:paraId="042F5255" w14:textId="77777777" w:rsidR="00532C25" w:rsidRPr="00511005" w:rsidRDefault="00532C25" w:rsidP="003F6A5D">
      <w:pPr>
        <w:numPr>
          <w:ilvl w:val="0"/>
          <w:numId w:val="608"/>
        </w:numPr>
        <w:autoSpaceDE w:val="0"/>
        <w:autoSpaceDN w:val="0"/>
        <w:adjustRightInd w:val="0"/>
        <w:spacing w:line="264" w:lineRule="auto"/>
        <w:ind w:left="0" w:firstLine="720"/>
        <w:contextualSpacing/>
        <w:jc w:val="left"/>
        <w:rPr>
          <w:rFonts w:ascii="Arial" w:eastAsia="Calibri" w:hAnsi="Arial" w:cs="Arial"/>
          <w:szCs w:val="28"/>
        </w:rPr>
      </w:pPr>
      <w:r w:rsidRPr="00511005">
        <w:rPr>
          <w:rFonts w:ascii="Arial" w:eastAsia="Calibri" w:hAnsi="Arial" w:cs="Arial"/>
          <w:szCs w:val="28"/>
        </w:rPr>
        <w:t xml:space="preserve">Цехан Д. М., Мурашко А. С. Використання соціальних медіа для вирішення ідентифікаційних завдань під час виявлення та розслідування злочинів, пов’язаних із державною зрадою. </w:t>
      </w:r>
      <w:r w:rsidRPr="00511005">
        <w:rPr>
          <w:rFonts w:ascii="Arial" w:eastAsia="Calibri" w:hAnsi="Arial" w:cs="Arial"/>
          <w:i/>
          <w:iCs/>
          <w:szCs w:val="28"/>
        </w:rPr>
        <w:t xml:space="preserve">Юридичний науковий </w:t>
      </w:r>
      <w:r w:rsidRPr="00511005">
        <w:rPr>
          <w:rFonts w:ascii="Arial" w:eastAsia="Calibri" w:hAnsi="Arial" w:cs="Arial"/>
          <w:i/>
          <w:iCs/>
          <w:szCs w:val="28"/>
        </w:rPr>
        <w:lastRenderedPageBreak/>
        <w:t>електронний журнал</w:t>
      </w:r>
      <w:r w:rsidRPr="00511005">
        <w:rPr>
          <w:rFonts w:ascii="Arial" w:eastAsia="Calibri" w:hAnsi="Arial" w:cs="Arial"/>
          <w:szCs w:val="28"/>
        </w:rPr>
        <w:t xml:space="preserve">. 2024. Вип. 2. С. 481–483. DOI: </w:t>
      </w:r>
      <w:hyperlink r:id="rId1940" w:history="1">
        <w:r w:rsidRPr="00511005">
          <w:rPr>
            <w:rFonts w:ascii="Arial" w:eastAsia="Calibri" w:hAnsi="Arial" w:cs="Arial"/>
            <w:szCs w:val="28"/>
          </w:rPr>
          <w:t>https://doi.org/10.32782/2524-0374/2024-2/119</w:t>
        </w:r>
      </w:hyperlink>
      <w:r w:rsidRPr="00511005">
        <w:rPr>
          <w:rFonts w:ascii="Arial" w:eastAsia="Calibri" w:hAnsi="Arial" w:cs="Arial"/>
          <w:szCs w:val="28"/>
        </w:rPr>
        <w:t xml:space="preserve"> </w:t>
      </w:r>
    </w:p>
    <w:p w14:paraId="26764320"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rPr>
      </w:pPr>
    </w:p>
    <w:p w14:paraId="21F9D79A"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rPr>
      </w:pPr>
      <w:r w:rsidRPr="00511005">
        <w:rPr>
          <w:rFonts w:ascii="Arial" w:eastAsia="Calibri" w:hAnsi="Arial" w:cs="Arial"/>
          <w:b/>
          <w:bCs/>
          <w:i/>
          <w:szCs w:val="28"/>
        </w:rPr>
        <w:t xml:space="preserve">Ключові слова: </w:t>
      </w:r>
      <w:r w:rsidRPr="00511005">
        <w:rPr>
          <w:rFonts w:ascii="Arial" w:eastAsia="Calibri" w:hAnsi="Arial" w:cs="Arial"/>
          <w:szCs w:val="28"/>
        </w:rPr>
        <w:t>експертиза, ідентифікація особи, корупція, корупційне правопорушення, притягнення до відповідальності.</w:t>
      </w:r>
    </w:p>
    <w:p w14:paraId="08D0F289" w14:textId="77777777" w:rsidR="00532C25" w:rsidRPr="00511005" w:rsidRDefault="00532C25" w:rsidP="00532C25">
      <w:pPr>
        <w:autoSpaceDE w:val="0"/>
        <w:autoSpaceDN w:val="0"/>
        <w:adjustRightInd w:val="0"/>
        <w:spacing w:line="264" w:lineRule="auto"/>
        <w:ind w:firstLine="720"/>
        <w:rPr>
          <w:rFonts w:ascii="Arial" w:eastAsia="Calibri" w:hAnsi="Arial" w:cs="Arial"/>
          <w:szCs w:val="28"/>
          <w:lang w:val="en-US"/>
        </w:rPr>
      </w:pPr>
      <w:r w:rsidRPr="00511005">
        <w:rPr>
          <w:rFonts w:ascii="Arial" w:eastAsia="Calibri" w:hAnsi="Arial" w:cs="Arial"/>
          <w:b/>
          <w:bCs/>
          <w:i/>
          <w:szCs w:val="28"/>
          <w:lang w:val="en-US"/>
        </w:rPr>
        <w:t xml:space="preserve">Key words: </w:t>
      </w:r>
      <w:r w:rsidRPr="00511005">
        <w:rPr>
          <w:rFonts w:ascii="Arial" w:eastAsia="Calibri" w:hAnsi="Arial" w:cs="Arial"/>
          <w:szCs w:val="28"/>
          <w:lang w:val="en-US"/>
        </w:rPr>
        <w:t>expertise, identification, corruption, corruption offense, prosecution.</w:t>
      </w:r>
    </w:p>
    <w:p w14:paraId="52F51F1A" w14:textId="77777777" w:rsidR="00532C25" w:rsidRPr="00511005" w:rsidRDefault="00532C25" w:rsidP="00532C25">
      <w:pPr>
        <w:autoSpaceDE w:val="0"/>
        <w:autoSpaceDN w:val="0"/>
        <w:adjustRightInd w:val="0"/>
        <w:spacing w:line="264" w:lineRule="auto"/>
        <w:ind w:firstLine="720"/>
        <w:rPr>
          <w:rFonts w:ascii="Arial" w:eastAsia="Calibri" w:hAnsi="Arial" w:cs="Arial"/>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i/>
          <w:iCs/>
          <w:szCs w:val="28"/>
        </w:rPr>
        <w:t>асистент Мурашко А</w:t>
      </w:r>
      <w:r w:rsidRPr="00511005">
        <w:rPr>
          <w:rFonts w:ascii="Arial" w:eastAsia="Calibri" w:hAnsi="Arial" w:cs="Arial"/>
          <w:i/>
          <w:iCs/>
          <w:szCs w:val="28"/>
          <w:lang w:val="uk-UA"/>
        </w:rPr>
        <w:t>.С</w:t>
      </w:r>
      <w:r w:rsidRPr="00511005">
        <w:rPr>
          <w:rFonts w:ascii="Arial" w:eastAsia="Calibri" w:hAnsi="Arial" w:cs="Arial"/>
          <w:i/>
          <w:iCs/>
          <w:szCs w:val="28"/>
        </w:rPr>
        <w:t>.</w:t>
      </w:r>
    </w:p>
    <w:p w14:paraId="20B6FE2A" w14:textId="77777777" w:rsidR="00532C25" w:rsidRPr="00511005" w:rsidRDefault="00532C25" w:rsidP="00532C25">
      <w:pPr>
        <w:spacing w:line="264" w:lineRule="auto"/>
        <w:ind w:firstLine="0"/>
        <w:jc w:val="left"/>
        <w:rPr>
          <w:rFonts w:ascii="Arial" w:eastAsia="Calibri" w:hAnsi="Arial" w:cs="Arial"/>
          <w:b/>
          <w:bCs/>
          <w:i/>
          <w:iCs/>
          <w:szCs w:val="28"/>
        </w:rPr>
      </w:pPr>
    </w:p>
    <w:p w14:paraId="2741634E" w14:textId="77777777" w:rsidR="00532C25" w:rsidRPr="00511005" w:rsidRDefault="00532C25" w:rsidP="00532C25">
      <w:pPr>
        <w:spacing w:line="264" w:lineRule="auto"/>
        <w:ind w:firstLine="720"/>
        <w:jc w:val="center"/>
        <w:rPr>
          <w:rFonts w:ascii="Arial" w:eastAsia="Times New Roman" w:hAnsi="Arial" w:cs="Arial"/>
          <w:b/>
          <w:bCs/>
          <w:i/>
          <w:iCs/>
          <w:szCs w:val="28"/>
        </w:rPr>
      </w:pPr>
    </w:p>
    <w:p w14:paraId="128B7D35" w14:textId="77777777" w:rsidR="00532C25" w:rsidRPr="00511005" w:rsidRDefault="00532C25" w:rsidP="00532C25">
      <w:pPr>
        <w:spacing w:line="264" w:lineRule="auto"/>
        <w:ind w:firstLine="720"/>
        <w:jc w:val="center"/>
        <w:rPr>
          <w:rFonts w:ascii="Arial" w:eastAsia="Times New Roman" w:hAnsi="Arial" w:cs="Arial"/>
          <w:b/>
          <w:bCs/>
          <w:i/>
          <w:iCs/>
          <w:szCs w:val="28"/>
        </w:rPr>
      </w:pPr>
      <w:r w:rsidRPr="00511005">
        <w:rPr>
          <w:rFonts w:ascii="Arial" w:eastAsia="Times New Roman" w:hAnsi="Arial" w:cs="Arial"/>
          <w:b/>
          <w:bCs/>
          <w:i/>
          <w:iCs/>
          <w:szCs w:val="28"/>
        </w:rPr>
        <w:t>Бойко Альона Сергіївна</w:t>
      </w:r>
    </w:p>
    <w:p w14:paraId="0C4F13E1" w14:textId="77777777" w:rsidR="00532C25" w:rsidRPr="00511005" w:rsidRDefault="00532C25" w:rsidP="00532C25">
      <w:pPr>
        <w:spacing w:line="264" w:lineRule="auto"/>
        <w:ind w:firstLine="720"/>
        <w:jc w:val="center"/>
        <w:rPr>
          <w:rFonts w:ascii="Arial" w:eastAsia="Times New Roman" w:hAnsi="Arial" w:cs="Arial"/>
          <w:szCs w:val="28"/>
        </w:rPr>
      </w:pPr>
      <w:r w:rsidRPr="00511005">
        <w:rPr>
          <w:rFonts w:ascii="Arial" w:eastAsia="Times New Roman" w:hAnsi="Arial" w:cs="Arial"/>
          <w:szCs w:val="28"/>
          <w:lang w:val="uk-UA"/>
        </w:rPr>
        <w:t>студентка 1-го курсу магістратури</w:t>
      </w:r>
      <w:r w:rsidRPr="00511005">
        <w:rPr>
          <w:rFonts w:ascii="Arial" w:eastAsia="Times New Roman" w:hAnsi="Arial" w:cs="Arial"/>
          <w:szCs w:val="28"/>
        </w:rPr>
        <w:t xml:space="preserve"> факультету </w:t>
      </w:r>
    </w:p>
    <w:p w14:paraId="50BA4600" w14:textId="77777777" w:rsidR="00532C25" w:rsidRPr="00511005" w:rsidRDefault="00532C25" w:rsidP="00532C25">
      <w:pPr>
        <w:spacing w:line="264" w:lineRule="auto"/>
        <w:ind w:firstLine="720"/>
        <w:jc w:val="center"/>
        <w:rPr>
          <w:rFonts w:ascii="Arial" w:eastAsia="Times New Roman" w:hAnsi="Arial" w:cs="Arial"/>
          <w:szCs w:val="28"/>
        </w:rPr>
      </w:pPr>
      <w:r w:rsidRPr="00511005">
        <w:rPr>
          <w:rFonts w:ascii="Arial" w:eastAsia="Times New Roman" w:hAnsi="Arial" w:cs="Arial"/>
          <w:szCs w:val="28"/>
        </w:rPr>
        <w:t>цивільної та господарської</w:t>
      </w:r>
      <w:r w:rsidRPr="00511005">
        <w:rPr>
          <w:rFonts w:ascii="Arial" w:eastAsia="Times New Roman" w:hAnsi="Arial" w:cs="Arial"/>
          <w:szCs w:val="28"/>
          <w:lang w:val="uk-UA"/>
        </w:rPr>
        <w:t xml:space="preserve"> </w:t>
      </w:r>
      <w:r w:rsidRPr="00511005">
        <w:rPr>
          <w:rFonts w:ascii="Arial" w:eastAsia="Times New Roman" w:hAnsi="Arial" w:cs="Arial"/>
          <w:szCs w:val="28"/>
        </w:rPr>
        <w:t xml:space="preserve">юстиції </w:t>
      </w:r>
    </w:p>
    <w:p w14:paraId="151C4EBC" w14:textId="77777777" w:rsidR="00532C25" w:rsidRPr="00511005" w:rsidRDefault="00532C25" w:rsidP="00532C25">
      <w:pPr>
        <w:spacing w:line="264" w:lineRule="auto"/>
        <w:ind w:firstLine="720"/>
        <w:jc w:val="center"/>
        <w:rPr>
          <w:rFonts w:ascii="Arial" w:eastAsia="Times New Roman" w:hAnsi="Arial" w:cs="Arial"/>
          <w:szCs w:val="28"/>
        </w:rPr>
      </w:pPr>
      <w:r w:rsidRPr="00511005">
        <w:rPr>
          <w:rFonts w:ascii="Arial" w:eastAsia="Times New Roman" w:hAnsi="Arial" w:cs="Arial"/>
          <w:szCs w:val="28"/>
        </w:rPr>
        <w:t>Національного університету «Одеська юридична академія»</w:t>
      </w:r>
    </w:p>
    <w:p w14:paraId="7A0548E0" w14:textId="77777777" w:rsidR="00532C25" w:rsidRPr="00511005" w:rsidRDefault="00532C25" w:rsidP="00532C25">
      <w:pPr>
        <w:spacing w:line="264" w:lineRule="auto"/>
        <w:ind w:firstLine="720"/>
        <w:jc w:val="center"/>
        <w:rPr>
          <w:rFonts w:ascii="Arial" w:eastAsia="Times New Roman" w:hAnsi="Arial" w:cs="Arial"/>
          <w:b/>
          <w:bCs/>
          <w:i/>
          <w:iCs/>
          <w:szCs w:val="28"/>
        </w:rPr>
      </w:pPr>
    </w:p>
    <w:p w14:paraId="37C9BDA0"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rPr>
        <w:t>ВИКОРИСТАННЯ OSINT МЕТОДІВ ПІД ЧАС РОЗСЛІДУВАННЯ ВОЄННИХ ЗЛОЧИНІВ В УКРАЇНІ</w:t>
      </w:r>
    </w:p>
    <w:p w14:paraId="517C6D8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Повномасштабна збройна агресія Російської Федерації проти України призвела до масових порушень норм міжнародного гуманітарного права, численних фактів воєнних злочинів, зокрема умисних вбивств цивільного населення, катувань, зґвалтувань, обстрілів об’єктів критичної інфраструктури. В умовах збройного конфлікту, особливо на тимчасово окупованих територіях, класичні методи збору доказів часто є неможливими через обмеження доступу, ризик для слідчих та знищення слідів злочину. У такій ситуації все більшої ваги набувають інструменти OSINT (Open Source Intelligence) - розвідки на основі відкритих джерел. OSINT став не лише допоміжним методом, а й повноцінним криміналістичним інструментом, який дозволяє фіксувати події, ідентифікувати осіб, встановлювати хронологію та географію вчинення злочинів.</w:t>
      </w:r>
    </w:p>
    <w:p w14:paraId="2D82BC0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OSINT (Open Source Intelligence) - це розвідка з відкритих джерел, що передбачає збір, аналіз та використання інформації, доступної публічно. До таких джерел належать фото- та відеоінформація, супутникові знімки, дописи в соціальних мережах, онлайн-форуми, публічні бази даних, журналістські розслідування, офіційні вебсайти, новинні портали, метадані цифрових файлів та інші електронні сліди [1, c. 7]. У контексті криміналістики, особливо під час розслідування воєнних злочинів, OSINT набуває особливого значення як джерело доказової інформації в умовах обмеженого фізичного доступу до місця події. За допомогою OSINT можна виявити й верифікувати інформацію про події, що мають ознаки воєнних злочинів, а також встановити місце, час, спосіб і знаряддя вчинення злочину. Крім того, за допомогою відкритих джерел аналітики та слідчі можуть ідентифікувати ймовірних підозрюваних і жертв, виявити свідків, визначити </w:t>
      </w:r>
      <w:r w:rsidRPr="00511005">
        <w:rPr>
          <w:rFonts w:ascii="Arial" w:eastAsia="Calibri" w:hAnsi="Arial" w:cs="Arial"/>
          <w:szCs w:val="28"/>
        </w:rPr>
        <w:lastRenderedPageBreak/>
        <w:t>маршрут переміщення військової техніки або особового складу, встановити зв’язок між окремими епізодами. Таким чином, OSINT виступає ефективним криміналістичним інструментом, що забезпечує оперативний доступ до значного масиву цифрових даних, які можуть бути використані як джерело доказів у кримінальному провадженні.</w:t>
      </w:r>
    </w:p>
    <w:p w14:paraId="0B74D056"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OSINT охоплює процеси збору, реєстрації, обліку та аналізу інформації з відкритих джерел, включаючи її аналітичну й синтетичну обробку, подальше зберігання, розповсюдження, захист інформації та представлення результатів дослідження. Після проходження етапів аналітичної обробки така інформація може перетворюватися на цінні знання, які, за умови відповідності вимогам законодавства, можуть підлягати обмеженню в доступі або бути засекреченими, якщо не входять до категорії відомостей, що не підлягають державній таємниці. У сукупності ці дії дозволяють формувати надійну доказову базу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про воєнні злочини, навіть у разі неможливості фізичного доступу до місця події.</w:t>
      </w:r>
    </w:p>
    <w:p w14:paraId="1B691AA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Практичне застосування методів OSINT під час розслідування воєнних злочинів в Україні демонструє їхню високу ефективність у фіксації, документуванні та підтвердженні злочинних дій навіть у випадках, коли фізичний доступ до місця події відсутній або обмежений. Яскравим прикладом є розслідування масових убивств мирного населення в місті Буча Київської області. Завдяки співпраці OSINT-спільноти - таких організацій, як Bellingcat, Mediazona, DFRLab, український проєкт The Reckoning Project - вдалося зібрати великий обсяг візуальних матеріалів, які підтвердили факт присутності російських військових у період, коли були зафіксовані вбивства цивільних. Проведено геолокацію фото й відео тіл на вулицях міста, проаналізовано супутникові знімки, що зафіксували тіла загиблих ще до виходу російських військ, а також зіставлено ці дані з повідомленнями очевидців.</w:t>
      </w:r>
    </w:p>
    <w:p w14:paraId="2A30675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Методи OSINT є основним інструментом збору інформації </w:t>
      </w:r>
      <w:proofErr w:type="gramStart"/>
      <w:r w:rsidRPr="00511005">
        <w:rPr>
          <w:rFonts w:ascii="Arial" w:eastAsia="Calibri" w:hAnsi="Arial" w:cs="Arial"/>
          <w:szCs w:val="28"/>
        </w:rPr>
        <w:t>для центру</w:t>
      </w:r>
      <w:proofErr w:type="gramEnd"/>
      <w:r w:rsidRPr="00511005">
        <w:rPr>
          <w:rFonts w:ascii="Arial" w:eastAsia="Calibri" w:hAnsi="Arial" w:cs="Arial"/>
          <w:szCs w:val="28"/>
        </w:rPr>
        <w:t xml:space="preserve"> «Миротворець», який оприлюднює персональні дані учасників незаконних збройних формувань та російських військовослужбовців, що беруть участь у бойових діях на території України [2]. OSINT займає важливе місце в діяльності розвідувальних служб, зокрема Пентагону та британської розвідки. Ще у 2002 році документи НАТО свідчили, що частка інформації, здобутої з відкритих джерел, становила 10-20%. Водночас практика використання OSINT має давню історію: ще під час Другої світової війни основними джерелами розвідданих були газети, радіо та телебачення. </w:t>
      </w:r>
      <w:proofErr w:type="gramStart"/>
      <w:r w:rsidRPr="00511005">
        <w:rPr>
          <w:rFonts w:ascii="Arial" w:eastAsia="Calibri" w:hAnsi="Arial" w:cs="Arial"/>
          <w:szCs w:val="28"/>
        </w:rPr>
        <w:t>У наш час</w:t>
      </w:r>
      <w:proofErr w:type="gramEnd"/>
      <w:r w:rsidRPr="00511005">
        <w:rPr>
          <w:rFonts w:ascii="Arial" w:eastAsia="Calibri" w:hAnsi="Arial" w:cs="Arial"/>
          <w:szCs w:val="28"/>
        </w:rPr>
        <w:t xml:space="preserve"> цей процес значно ускладнився і модернізувався, а частка відкритої інформації у структурі розвідданих Пентагону та Великобританії досягає вже 80% [3, c. 38-41].</w:t>
      </w:r>
    </w:p>
    <w:p w14:paraId="1DF932F3"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Аналітики та журналісти за допомогою відкритих джерел, таких як TikTok, VK та Telegram, ідентифікували російських військових, порівнюючи </w:t>
      </w:r>
      <w:r w:rsidRPr="00511005">
        <w:rPr>
          <w:rFonts w:ascii="Arial" w:eastAsia="Calibri" w:hAnsi="Arial" w:cs="Arial"/>
          <w:szCs w:val="28"/>
        </w:rPr>
        <w:lastRenderedPageBreak/>
        <w:t>фото та відео з їхнім місцезнаходженням, уніформою, шевронами та обличчями. Це дозволило підтвердити участь конкретних підрозділів у злочинах проти цивільних осіб. Також українські OSINT-аналітики встановили особу льотчика, який наводив ракети з території Білорусі.</w:t>
      </w:r>
    </w:p>
    <w:p w14:paraId="7C244C8C"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Одночасно діяльність наших OSINT-спеціалістів включає розшук колаборантів, збір інформації про підприємства, що знаходяться під контролем російської держави на території України, а також виявлення присутності російської агентури та інших подібних елементів на нашій території [4, c, </w:t>
      </w:r>
      <w:proofErr w:type="gramStart"/>
      <w:r w:rsidRPr="00511005">
        <w:rPr>
          <w:rFonts w:ascii="Arial" w:eastAsia="Calibri" w:hAnsi="Arial" w:cs="Arial"/>
          <w:szCs w:val="28"/>
        </w:rPr>
        <w:t>206 ]</w:t>
      </w:r>
      <w:proofErr w:type="gramEnd"/>
      <w:r w:rsidRPr="00511005">
        <w:rPr>
          <w:rFonts w:ascii="Arial" w:eastAsia="Calibri" w:hAnsi="Arial" w:cs="Arial"/>
          <w:szCs w:val="28"/>
        </w:rPr>
        <w:t>.</w:t>
      </w:r>
    </w:p>
    <w:p w14:paraId="17998083"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Геоверифікація використовувалася при аналізі обстрілів і авіаударів по цивільній інфраструктурі в Маріуполі, Харкові та Чернігові. Організації, як Amnesty International і Human Rights Watch, а також незалежні OSINT-аналітики, фіксували координати ударів, тип озброєння та верифікували відео за погодними умовами і звуками. Супутникові знімки Maxar підтвердили авіаудар по театру в Маріуполі, на якому було написано «ДЕТИ», що стало частиною розслідувань в Україні та на міжнародному рівні.</w:t>
      </w:r>
    </w:p>
    <w:p w14:paraId="76E3D98F"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Проте застосування OSINT у розслідуванні воєнних злочинів в Україні супроводжується низкою криміналістичних викликів, що вимагають належної професійної відповіді. Одним із головних викликів є поширення фейкових матеріалів, зокрема використання технологій deepfake та навмисних змін метаданих цифрових файлів. Такі маніпуляції можуть ускладнювати процес верифікації інформації, дезорієнтувати слідство або створити підстави для дискредитації зібраних доказів. Це зумовлює необхідність впровадження спеціалізованої цифрової експертизи, здатної виявляти ознаки монтажу, штучного генерування контенту чи зміни технічних параметрів файлів.</w:t>
      </w:r>
    </w:p>
    <w:p w14:paraId="1E1E371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Однією з окремих загроз під час проведення OSINT-розслідування є ймовірність розкриття особи слідчого, дізнавача або прокурора, які здійснюють збір та аналіз інформації з відкритих джерел. В умовах гібридної війни та зростаючої активності ворожих спецслужб така деанонімізація може призвести до серйозних наслідків - від кібератак, психологічного тиску, переслідування чи шантажу до прямої фізичної загрози. Отже, надійний захист особистості фахівців, які працюють з OSINT-інформацією, є ключовою передумовою безпечного та результативного розслідування воєнних злочинів.</w:t>
      </w:r>
    </w:p>
    <w:p w14:paraId="083435D1"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Використання OSINT-методів під час розслідування воєнних злочинів в Україні стикається з проблемою відсутності чіткого законодавчого регулювання. Статті 84 та 86 КПК України визначає допустимі джерела доказів, проте не деталізує порядок роботи з відкритими джерелами, що створює ризик визнання таких доказів недопустимими в суді [5]. Водночас залишається невизначеним процесуальний статус OSINT як елементу слідчої або розшукової діяльності, а також відсутній нормативний захист </w:t>
      </w:r>
      <w:r w:rsidRPr="00511005">
        <w:rPr>
          <w:rFonts w:ascii="Arial" w:eastAsia="Calibri" w:hAnsi="Arial" w:cs="Arial"/>
          <w:szCs w:val="28"/>
        </w:rPr>
        <w:lastRenderedPageBreak/>
        <w:t>слідчих і прокурорів від деанонімізації. Для вирішення цих проблем необхідно інституціоналізувати OSINT через впровадження чітких протоколів, внутрішніх інструкцій для Офісу Генерального прокурора, СБУ та ДБР, а також забезпечити професійну підготовку фахівців у цій сфері.</w:t>
      </w:r>
    </w:p>
    <w:p w14:paraId="560138D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Отже, методи OSINT сьогодні стали невіддільною частиною криміналістичного інструментарію у розслідуванні воєнних злочинів, що вчиняються в умовах збройного конфлікту в Україні. Вони дозволяють оперативно фіксувати події, ідентифікувати учасників, встановлювати обставини вчинення злочинів навіть за відсутності фізичного доступу до місця події. Проте ефективність OSINT-розслідувань значною мірою залежить від належної підготовки аналітиків, технічного оснащення, співпраці з міжнародними партнерами, а також від законодавчої та методичної інтеграції таких підходів у національну кримінальну юстицію. Подальший розвиток у цьому напрямі є критично важливим для забезпечення невідворотності покарання та зміцнення системи доказування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про воєнні злочини.</w:t>
      </w:r>
    </w:p>
    <w:p w14:paraId="07EE6680" w14:textId="77777777" w:rsidR="00532C25" w:rsidRPr="00511005" w:rsidRDefault="00532C25" w:rsidP="00532C25">
      <w:pPr>
        <w:spacing w:line="264" w:lineRule="auto"/>
        <w:ind w:firstLine="720"/>
        <w:rPr>
          <w:rFonts w:ascii="Arial" w:eastAsia="Calibri" w:hAnsi="Arial" w:cs="Arial"/>
          <w:b/>
          <w:bCs/>
          <w:szCs w:val="28"/>
        </w:rPr>
      </w:pPr>
    </w:p>
    <w:p w14:paraId="5FDF0089"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09245EEA"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1. Торбас О. О. OSINT при розслідуванні кримінальних </w:t>
      </w:r>
      <w:proofErr w:type="gramStart"/>
      <w:r w:rsidRPr="00511005">
        <w:rPr>
          <w:rFonts w:ascii="Arial" w:eastAsia="Calibri" w:hAnsi="Arial" w:cs="Arial"/>
          <w:szCs w:val="28"/>
        </w:rPr>
        <w:t>правопорушень :</w:t>
      </w:r>
      <w:proofErr w:type="gramEnd"/>
      <w:r w:rsidRPr="00511005">
        <w:rPr>
          <w:rFonts w:ascii="Arial" w:eastAsia="Calibri" w:hAnsi="Arial" w:cs="Arial"/>
          <w:szCs w:val="28"/>
        </w:rPr>
        <w:t xml:space="preserve"> підручник. Одеса: Юридика, 2024. 180 с. </w:t>
      </w:r>
      <w:r w:rsidRPr="00511005">
        <w:rPr>
          <w:rFonts w:ascii="Arial" w:eastAsia="Calibri" w:hAnsi="Arial" w:cs="Arial"/>
          <w:szCs w:val="28"/>
          <w:lang w:val="en-US"/>
        </w:rPr>
        <w:t>URL</w:t>
      </w:r>
      <w:r w:rsidRPr="00511005">
        <w:rPr>
          <w:rFonts w:ascii="Arial" w:eastAsia="Calibri" w:hAnsi="Arial" w:cs="Arial"/>
          <w:szCs w:val="28"/>
        </w:rPr>
        <w:t>: https://dspace.onua.edu.ua/server/api/core/bitstreams/106c5467-2afb-4055-a0fb-3a500102db9c/content</w:t>
      </w:r>
    </w:p>
    <w:p w14:paraId="5359F400" w14:textId="77777777" w:rsidR="00532C25" w:rsidRPr="00511005" w:rsidRDefault="00532C25" w:rsidP="00532C25">
      <w:pPr>
        <w:spacing w:line="264" w:lineRule="auto"/>
        <w:ind w:firstLine="720"/>
        <w:rPr>
          <w:rFonts w:ascii="Arial" w:eastAsia="Calibri" w:hAnsi="Arial" w:cs="Arial"/>
          <w:szCs w:val="28"/>
          <w:lang w:val="pl-PL"/>
        </w:rPr>
      </w:pPr>
      <w:r w:rsidRPr="00511005">
        <w:rPr>
          <w:rFonts w:ascii="Arial" w:eastAsia="Calibri" w:hAnsi="Arial" w:cs="Arial"/>
          <w:szCs w:val="28"/>
        </w:rPr>
        <w:t xml:space="preserve">2. Білобров А., Клімушин П. Використання технологій OSINT для отмимання інформації. </w:t>
      </w:r>
      <w:r w:rsidRPr="00511005">
        <w:rPr>
          <w:rFonts w:ascii="Arial" w:eastAsia="Calibri" w:hAnsi="Arial" w:cs="Arial"/>
          <w:szCs w:val="28"/>
          <w:lang w:val="pl-PL"/>
        </w:rPr>
        <w:t>URL: https://www.univd.edu.ua/general/publishing/konf/27_05_2020/pdf/39.pdf</w:t>
      </w:r>
    </w:p>
    <w:p w14:paraId="3CF2784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3. Жарков Я. М., Васильєв А. О. Наукові підходи щодо визначення суті розвідки з відкритих джерел. Вісн. Київ. нац. ун-ту імені Тараса Шевченка. Військово-спец. науки. 2013. Вип. 30. 38-41 с. </w:t>
      </w:r>
    </w:p>
    <w:p w14:paraId="3CFDBC59" w14:textId="77777777" w:rsidR="00532C25" w:rsidRPr="00511005" w:rsidRDefault="00532C25" w:rsidP="00532C25">
      <w:pPr>
        <w:spacing w:line="264" w:lineRule="auto"/>
        <w:ind w:firstLine="720"/>
        <w:rPr>
          <w:rFonts w:ascii="Arial" w:eastAsia="Calibri" w:hAnsi="Arial" w:cs="Arial"/>
          <w:szCs w:val="28"/>
          <w:lang w:val="pl-PL"/>
        </w:rPr>
      </w:pPr>
      <w:r w:rsidRPr="00511005">
        <w:rPr>
          <w:rFonts w:ascii="Arial" w:eastAsia="Calibri" w:hAnsi="Arial" w:cs="Arial"/>
          <w:szCs w:val="28"/>
        </w:rPr>
        <w:t xml:space="preserve">4. Калугін В. Ю., Сіфоров О. І. Використання osint у встановленні фактів воєнних злочинів та особи воєнних злочинців. Воєнний стан: теоретико-праксеологічні проблеми юриспруденції: колективна монографія. Львів -Торунь: Liha-Pres, 2024. </w:t>
      </w:r>
      <w:r w:rsidRPr="00511005">
        <w:rPr>
          <w:rFonts w:ascii="Arial" w:eastAsia="Calibri" w:hAnsi="Arial" w:cs="Arial"/>
          <w:szCs w:val="28"/>
          <w:lang w:val="pl-PL"/>
        </w:rPr>
        <w:t xml:space="preserve">206 </w:t>
      </w:r>
      <w:r w:rsidRPr="00511005">
        <w:rPr>
          <w:rFonts w:ascii="Arial" w:eastAsia="Calibri" w:hAnsi="Arial" w:cs="Arial"/>
          <w:szCs w:val="28"/>
        </w:rPr>
        <w:t>с</w:t>
      </w:r>
      <w:r w:rsidRPr="00511005">
        <w:rPr>
          <w:rFonts w:ascii="Arial" w:eastAsia="Calibri" w:hAnsi="Arial" w:cs="Arial"/>
          <w:szCs w:val="28"/>
          <w:lang w:val="pl-PL"/>
        </w:rPr>
        <w:t xml:space="preserve">. URL: </w:t>
      </w:r>
      <w:r w:rsidR="005938AD">
        <w:fldChar w:fldCharType="begin"/>
      </w:r>
      <w:r w:rsidR="005938AD" w:rsidRPr="00055389">
        <w:rPr>
          <w:lang w:val="en-US"/>
        </w:rPr>
        <w:instrText xml:space="preserve"> HYPERLINK "http://catalog.liha-pres.eu/index.php/liha-pres/catalog/view/329/9677/21905-1" </w:instrText>
      </w:r>
      <w:r w:rsidR="005938AD">
        <w:fldChar w:fldCharType="separate"/>
      </w:r>
      <w:r w:rsidRPr="00511005">
        <w:rPr>
          <w:rFonts w:ascii="Arial" w:eastAsia="Calibri" w:hAnsi="Arial" w:cs="Arial"/>
          <w:szCs w:val="28"/>
          <w:lang w:val="pl-PL"/>
        </w:rPr>
        <w:t>http://catalog.liha-pres.eu/index.php/liha-pres/catalog/view/329/9677/21905-1</w:t>
      </w:r>
      <w:r w:rsidR="005938AD">
        <w:rPr>
          <w:rFonts w:ascii="Arial" w:eastAsia="Calibri" w:hAnsi="Arial" w:cs="Arial"/>
          <w:szCs w:val="28"/>
          <w:lang w:val="pl-PL"/>
        </w:rPr>
        <w:fldChar w:fldCharType="end"/>
      </w:r>
      <w:r w:rsidRPr="00511005">
        <w:rPr>
          <w:rFonts w:ascii="Arial" w:eastAsia="Calibri" w:hAnsi="Arial" w:cs="Arial"/>
          <w:szCs w:val="28"/>
          <w:lang w:val="pl-PL"/>
        </w:rPr>
        <w:t xml:space="preserve"> </w:t>
      </w:r>
    </w:p>
    <w:p w14:paraId="6D2F79C5"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5. Кримінальний процесуальний кодекс України: Закон України від 26.12.2024 № 4651-VI. Ст. 84-86. URL: </w:t>
      </w:r>
      <w:hyperlink r:id="rId1941" w:anchor="Text" w:history="1">
        <w:r w:rsidRPr="00511005">
          <w:rPr>
            <w:rFonts w:ascii="Arial" w:eastAsia="Calibri" w:hAnsi="Arial" w:cs="Arial"/>
            <w:szCs w:val="28"/>
          </w:rPr>
          <w:t>https://zakon.rada.gov.ua/laws/show/4651-17#Text</w:t>
        </w:r>
      </w:hyperlink>
      <w:r w:rsidRPr="00511005">
        <w:rPr>
          <w:rFonts w:ascii="Arial" w:eastAsia="Calibri" w:hAnsi="Arial" w:cs="Arial"/>
          <w:szCs w:val="28"/>
        </w:rPr>
        <w:t xml:space="preserve"> (дата звернення: 03.05.2025).</w:t>
      </w:r>
    </w:p>
    <w:p w14:paraId="515F79CB" w14:textId="77777777" w:rsidR="00532C25" w:rsidRPr="00511005" w:rsidRDefault="00532C25" w:rsidP="00532C25">
      <w:pPr>
        <w:spacing w:line="264" w:lineRule="auto"/>
        <w:ind w:firstLine="720"/>
        <w:rPr>
          <w:rFonts w:ascii="Arial" w:eastAsia="Calibri" w:hAnsi="Arial" w:cs="Arial"/>
          <w:szCs w:val="28"/>
        </w:rPr>
      </w:pPr>
    </w:p>
    <w:p w14:paraId="56D04B11"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b/>
          <w:bCs/>
          <w:i/>
          <w:szCs w:val="28"/>
        </w:rPr>
        <w:t xml:space="preserve">Ключові слова: </w:t>
      </w:r>
      <w:r w:rsidRPr="00511005">
        <w:rPr>
          <w:rFonts w:ascii="Arial" w:eastAsia="Calibri" w:hAnsi="Arial" w:cs="Arial"/>
          <w:szCs w:val="28"/>
        </w:rPr>
        <w:t>OSINT, воєнні злочини, розслідування, цифрові докази, Україна, відкриті джерела, слідча діяльність, прокурорська діяльність, деанонімізація, інформаційна безпека.</w:t>
      </w:r>
    </w:p>
    <w:p w14:paraId="0FDCC1B7" w14:textId="77777777" w:rsidR="00532C25" w:rsidRPr="00511005" w:rsidRDefault="00532C25" w:rsidP="00532C25">
      <w:pPr>
        <w:spacing w:line="264" w:lineRule="auto"/>
        <w:ind w:firstLine="720"/>
        <w:rPr>
          <w:rFonts w:ascii="Arial" w:eastAsia="Calibri" w:hAnsi="Arial" w:cs="Arial"/>
          <w:szCs w:val="28"/>
          <w:lang w:val="en-US"/>
        </w:rPr>
      </w:pPr>
      <w:r w:rsidRPr="00511005">
        <w:rPr>
          <w:rFonts w:ascii="Arial" w:eastAsia="Calibri" w:hAnsi="Arial" w:cs="Arial"/>
          <w:b/>
          <w:bCs/>
          <w:i/>
          <w:szCs w:val="28"/>
          <w:lang w:val="en-US"/>
        </w:rPr>
        <w:lastRenderedPageBreak/>
        <w:t xml:space="preserve">Key words: </w:t>
      </w:r>
      <w:r w:rsidRPr="00511005">
        <w:rPr>
          <w:rFonts w:ascii="Arial" w:eastAsia="Calibri" w:hAnsi="Arial" w:cs="Arial"/>
          <w:szCs w:val="28"/>
          <w:lang w:val="en-US"/>
        </w:rPr>
        <w:t>OSINT, war crimes, investigation, digital evidence, criminal procedure, Ukraine, open sources, investigative activity, prosecutorial activity, de-anonymization, information security.</w:t>
      </w:r>
    </w:p>
    <w:p w14:paraId="23004A98"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i/>
          <w:iCs/>
          <w:szCs w:val="28"/>
        </w:rPr>
        <w:t>к.ю.н., доцент, Шершенькова В.А.</w:t>
      </w:r>
    </w:p>
    <w:p w14:paraId="5D3A7D23" w14:textId="77777777" w:rsidR="00532C25" w:rsidRPr="00511005" w:rsidRDefault="00532C25" w:rsidP="00532C25">
      <w:pPr>
        <w:spacing w:line="264" w:lineRule="auto"/>
        <w:ind w:firstLine="720"/>
        <w:jc w:val="left"/>
        <w:rPr>
          <w:rFonts w:ascii="Arial" w:eastAsia="Times New Roman" w:hAnsi="Arial" w:cs="Arial"/>
          <w:b/>
          <w:bCs/>
          <w:i/>
          <w:iCs/>
          <w:szCs w:val="28"/>
        </w:rPr>
      </w:pPr>
    </w:p>
    <w:p w14:paraId="27DF9257" w14:textId="77777777" w:rsidR="00532C25" w:rsidRPr="00511005" w:rsidRDefault="00532C25" w:rsidP="00532C25">
      <w:pPr>
        <w:spacing w:line="264" w:lineRule="auto"/>
        <w:ind w:firstLine="720"/>
        <w:jc w:val="center"/>
        <w:rPr>
          <w:rFonts w:ascii="Arial" w:eastAsia="Calibri" w:hAnsi="Arial" w:cs="Arial"/>
          <w:b/>
          <w:bCs/>
          <w:i/>
          <w:iCs/>
          <w:szCs w:val="28"/>
        </w:rPr>
      </w:pPr>
      <w:r w:rsidRPr="00511005">
        <w:rPr>
          <w:rFonts w:ascii="Arial" w:eastAsia="Calibri" w:hAnsi="Arial" w:cs="Arial"/>
          <w:b/>
          <w:bCs/>
          <w:i/>
          <w:iCs/>
          <w:szCs w:val="28"/>
        </w:rPr>
        <w:t>Бойченко Ірина Олександрівна</w:t>
      </w:r>
    </w:p>
    <w:p w14:paraId="46FDD94A"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1385C2E1"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D91E0CC"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069A849" w14:textId="77777777" w:rsidR="00532C25" w:rsidRPr="00511005" w:rsidRDefault="00532C25" w:rsidP="00532C25">
      <w:pPr>
        <w:spacing w:line="264" w:lineRule="auto"/>
        <w:ind w:firstLine="720"/>
        <w:jc w:val="center"/>
        <w:rPr>
          <w:rFonts w:ascii="Arial" w:eastAsia="Calibri" w:hAnsi="Arial" w:cs="Arial"/>
          <w:szCs w:val="28"/>
        </w:rPr>
      </w:pPr>
    </w:p>
    <w:p w14:paraId="6069B882"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rPr>
        <w:t>ПСИХОЛОГІЧНИЙ ПОРТРЕТ ЗЛОЧИНЦЯ</w:t>
      </w:r>
    </w:p>
    <w:p w14:paraId="52D831B6"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У сучасних умовах розвитку правової держави та інтеграції України до європейського правового простору особливого значення набуває якісне вдосконалення кримінального процесу, в тому числі через використання психологічних знань у діяльності правоохоронних органів. Одним із важливих інструментів є формування психологічного портрету злочинця – як ефективного засобу розкриття злочинів та попередження кримінальних правопорушень.</w:t>
      </w:r>
    </w:p>
    <w:p w14:paraId="4AF7EED4"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szCs w:val="28"/>
        </w:rPr>
        <w:t>Достатньо часто через нестачу доказів під час розслідування правоохоронні органи зіштовхуються з необхідністю визначення мотивів вчинення правопорушень. Актуальність цієї теми полягає в тому, що в багатьох випадках для затримання злочинця не вистачає матеріальних слідів або ж вони відсутні чи малопридатні, особливо при розслідуванні злочинів із прихованими мотивами. Оскільки саме прихована мотивація є ключовим фактором, який формує потреби особистості, і водночас залишається недоступною для оточення та не афішується в соціумі, її складно ідентифікувати без психодіагностичних методів. У зв’язку з цим ефективним інструментом для слідства стає метод психологічного портретування злочинця, який ґрунтується на загальнотеоретичних принципах та практичних матеріалах щодо розслідувань правопорушень із невизначеним підозрюваним. Основна особливість цього методу полягає в тому, що портрет створюється на основі пошуково-реконструктивного підходу, аналізуючи поведінкові сліди події. Його результатом є визначення психологічно важливих характеристик невстановленої особи, що вчинила злочин. [1, с. 122]</w:t>
      </w:r>
    </w:p>
    <w:p w14:paraId="24922172"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Застосування психологічного портрету дозволяє не лише підвищити ефективність слідчих дій, а й глибше зрозуміти мотивацію злочинної поведінки, що особливо важливо в умовах цифровізації та розвитку нових форм злочинної діяльності, таких як кіберзлочинність. [2, с.139-141]</w:t>
      </w:r>
    </w:p>
    <w:p w14:paraId="1519D182"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Формування психологічного портрета злочинця є ключовим елементом в розслідуванні кримінальних правопорушень та профілактиці рецидивів. В умовах сучасної України, зокрема на тлі війни, соціальної </w:t>
      </w:r>
      <w:r w:rsidRPr="00511005">
        <w:rPr>
          <w:rFonts w:ascii="Arial" w:eastAsia="Calibri" w:hAnsi="Arial" w:cs="Arial"/>
          <w:szCs w:val="28"/>
        </w:rPr>
        <w:lastRenderedPageBreak/>
        <w:t xml:space="preserve">нестабільності та економічної кризи, зростає кількість тяжких злочинів, включаючи вбивства. </w:t>
      </w:r>
    </w:p>
    <w:p w14:paraId="1A871975"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Психологічний портрет злочинця – це систематизований комплекс відомостей про особистість правопорушника, що враховує вербальну та невербальну поведінку, мотивацію, соціальне оточення та інші чинники. </w:t>
      </w:r>
      <w:r w:rsidRPr="00511005">
        <w:rPr>
          <w:rFonts w:ascii="Arial" w:eastAsia="Calibri" w:hAnsi="Arial" w:cs="Arial"/>
          <w:szCs w:val="28"/>
        </w:rPr>
        <w:t xml:space="preserve">Психологічний портрет розглядається як інструмент у слідчій діяльності, особливо у випадках, коли слідство не має конкретних підозрюваних або доказів. Його мета – побудувати узагальнений образ злочинця, орієнтований на особистісні, поведінкові та соціально-психологічні характеристики. Такий портрет допомагає звузити коло підозрюваних, визначити мотив злочину, розробити тактику допиту чи затримання, прогнозувати майбутні дії злочинця. Науковці В. </w:t>
      </w:r>
      <w:r w:rsidRPr="00511005">
        <w:rPr>
          <w:rFonts w:ascii="Arial" w:eastAsia="Times New Roman" w:hAnsi="Arial" w:cs="Arial"/>
          <w:szCs w:val="28"/>
        </w:rPr>
        <w:t xml:space="preserve">Дембіцька, О. Коваль у своїх напрацюваннях </w:t>
      </w:r>
      <w:r w:rsidRPr="00511005">
        <w:rPr>
          <w:rFonts w:ascii="Arial" w:eastAsia="Calibri" w:hAnsi="Arial" w:cs="Arial"/>
          <w:szCs w:val="28"/>
        </w:rPr>
        <w:t>виділяють п’ять ключових етапів побудови психологічного портрету:</w:t>
      </w:r>
    </w:p>
    <w:p w14:paraId="4BE85DF1" w14:textId="77777777" w:rsidR="00532C25" w:rsidRPr="00511005" w:rsidRDefault="00532C25" w:rsidP="003F6A5D">
      <w:pPr>
        <w:numPr>
          <w:ilvl w:val="0"/>
          <w:numId w:val="645"/>
        </w:numPr>
        <w:spacing w:line="264" w:lineRule="auto"/>
        <w:ind w:left="0" w:firstLine="720"/>
        <w:contextualSpacing/>
        <w:jc w:val="left"/>
        <w:rPr>
          <w:rFonts w:ascii="Arial" w:eastAsia="Times New Roman" w:hAnsi="Arial" w:cs="Arial"/>
          <w:szCs w:val="28"/>
        </w:rPr>
      </w:pPr>
      <w:r w:rsidRPr="00511005">
        <w:rPr>
          <w:rFonts w:ascii="Arial" w:eastAsia="Calibri" w:hAnsi="Arial" w:cs="Arial"/>
          <w:szCs w:val="28"/>
        </w:rPr>
        <w:t>Типологічний аналіз злочину – аналізується природа і сутність правопорушення, з’ясовується, до якого типу належить злочинець (організований/дезорганізований, афективний/раціональний тощо).</w:t>
      </w:r>
    </w:p>
    <w:p w14:paraId="2C68C87C" w14:textId="77777777" w:rsidR="00532C25" w:rsidRPr="00511005" w:rsidRDefault="00532C25" w:rsidP="003F6A5D">
      <w:pPr>
        <w:numPr>
          <w:ilvl w:val="0"/>
          <w:numId w:val="645"/>
        </w:numPr>
        <w:spacing w:line="264" w:lineRule="auto"/>
        <w:ind w:left="0" w:firstLine="720"/>
        <w:contextualSpacing/>
        <w:jc w:val="left"/>
        <w:rPr>
          <w:rFonts w:ascii="Arial" w:eastAsia="Times New Roman" w:hAnsi="Arial" w:cs="Arial"/>
          <w:szCs w:val="28"/>
        </w:rPr>
      </w:pPr>
      <w:r w:rsidRPr="00511005">
        <w:rPr>
          <w:rFonts w:ascii="Arial" w:eastAsia="Calibri" w:hAnsi="Arial" w:cs="Arial"/>
          <w:szCs w:val="28"/>
        </w:rPr>
        <w:t>Аналіз місця злочину – виявлення слідів поведінки, специфіки дій злочинця.</w:t>
      </w:r>
    </w:p>
    <w:p w14:paraId="4AE00008" w14:textId="77777777" w:rsidR="00532C25" w:rsidRPr="00511005" w:rsidRDefault="00532C25" w:rsidP="003F6A5D">
      <w:pPr>
        <w:numPr>
          <w:ilvl w:val="0"/>
          <w:numId w:val="645"/>
        </w:numPr>
        <w:spacing w:line="264" w:lineRule="auto"/>
        <w:ind w:left="0" w:firstLine="720"/>
        <w:contextualSpacing/>
        <w:jc w:val="left"/>
        <w:rPr>
          <w:rFonts w:ascii="Arial" w:eastAsia="Times New Roman" w:hAnsi="Arial" w:cs="Arial"/>
          <w:szCs w:val="28"/>
        </w:rPr>
      </w:pPr>
      <w:r w:rsidRPr="00511005">
        <w:rPr>
          <w:rFonts w:ascii="Arial" w:eastAsia="Calibri" w:hAnsi="Arial" w:cs="Arial"/>
          <w:szCs w:val="28"/>
        </w:rPr>
        <w:t>Поглиблене вивчення близького оточення, занять та хоббі підозрюваного та жертви – аналіз соціального оточення жертви, її стилю життя, знайомств і можливих мотивів у контексті взаємодії з підозрюваним.</w:t>
      </w:r>
    </w:p>
    <w:p w14:paraId="0E6E1B96" w14:textId="77777777" w:rsidR="00532C25" w:rsidRPr="00511005" w:rsidRDefault="00532C25" w:rsidP="003F6A5D">
      <w:pPr>
        <w:numPr>
          <w:ilvl w:val="0"/>
          <w:numId w:val="645"/>
        </w:numPr>
        <w:spacing w:line="264" w:lineRule="auto"/>
        <w:ind w:left="0" w:firstLine="720"/>
        <w:contextualSpacing/>
        <w:jc w:val="left"/>
        <w:rPr>
          <w:rFonts w:ascii="Arial" w:eastAsia="Times New Roman" w:hAnsi="Arial" w:cs="Arial"/>
          <w:szCs w:val="28"/>
        </w:rPr>
      </w:pPr>
      <w:r w:rsidRPr="00511005">
        <w:rPr>
          <w:rFonts w:ascii="Arial" w:eastAsia="Calibri" w:hAnsi="Arial" w:cs="Arial"/>
          <w:szCs w:val="28"/>
        </w:rPr>
        <w:t>Встановлення мотиву – визначення психологічних і соціальних чинників, що спонукали до злочину.</w:t>
      </w:r>
    </w:p>
    <w:p w14:paraId="3124F374" w14:textId="77777777" w:rsidR="00532C25" w:rsidRPr="00511005" w:rsidRDefault="00532C25" w:rsidP="003F6A5D">
      <w:pPr>
        <w:numPr>
          <w:ilvl w:val="0"/>
          <w:numId w:val="645"/>
        </w:numPr>
        <w:spacing w:line="264" w:lineRule="auto"/>
        <w:ind w:left="0" w:firstLine="720"/>
        <w:contextualSpacing/>
        <w:jc w:val="left"/>
        <w:rPr>
          <w:rFonts w:ascii="Arial" w:eastAsia="Times New Roman" w:hAnsi="Arial" w:cs="Arial"/>
          <w:szCs w:val="28"/>
        </w:rPr>
      </w:pPr>
      <w:r w:rsidRPr="00511005">
        <w:rPr>
          <w:rFonts w:ascii="Arial" w:eastAsia="Calibri" w:hAnsi="Arial" w:cs="Arial"/>
          <w:szCs w:val="28"/>
        </w:rPr>
        <w:t>Побудова узагальненого опису</w:t>
      </w:r>
      <w:r w:rsidRPr="00511005">
        <w:rPr>
          <w:rFonts w:ascii="Arial" w:eastAsia="Calibri" w:hAnsi="Arial" w:cs="Arial"/>
          <w:szCs w:val="28"/>
          <w:lang w:val="uk-UA"/>
        </w:rPr>
        <w:t xml:space="preserve"> </w:t>
      </w:r>
      <w:r w:rsidRPr="00511005">
        <w:rPr>
          <w:rFonts w:ascii="Arial" w:eastAsia="Calibri" w:hAnsi="Arial" w:cs="Arial"/>
          <w:szCs w:val="28"/>
        </w:rPr>
        <w:t>злочинця – формування переліку можливих характеристик правопорушника на основі зовнішніх поведінкових проявів його імовірнісної психологічної сутності. [3, с. 250-251]</w:t>
      </w:r>
    </w:p>
    <w:p w14:paraId="719C7830"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Times New Roman" w:hAnsi="Arial" w:cs="Arial"/>
          <w:szCs w:val="28"/>
        </w:rPr>
        <w:t>Уперше спробу скласти психологічний портрет злочинця здійснив Д. Брассел у 1957 році на основі матеріалів справи Матескі, відомого як «божевільний бомбист». У подальшому метод створення психологічного портрету було застосовано при розслідуванні справ Михасевича, відповідального за 33 вбивства, та Чикатила, на рахунку якого 53 жертви.</w:t>
      </w:r>
      <w:r w:rsidRPr="00511005">
        <w:rPr>
          <w:rFonts w:ascii="Arial" w:eastAsia="Calibri" w:hAnsi="Arial" w:cs="Arial"/>
          <w:szCs w:val="28"/>
        </w:rPr>
        <w:t xml:space="preserve"> [4, с. 133]</w:t>
      </w:r>
    </w:p>
    <w:p w14:paraId="1ABBBB7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Під час створення психологічного портрету злочинця одразу випливає загальна картина злочинної події, а саме місцезнаходження жертви, наявність деяких деталей та доказів, які вказуватимуть на певну послідовність дій злочинця, його поведінку до та після вчинення злочину, на основі цього формуються висновки про те, чи мотивувався злочинець на момент вчинення правопорушення. [5]</w:t>
      </w:r>
    </w:p>
    <w:p w14:paraId="2F1422D8"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Вважаємо, що формування психологічного портрету злочинця є важливим інструментом у діяльності правоохоронних органів та потребує міждисциплінарного підходу з використанням знань психології, </w:t>
      </w:r>
      <w:r w:rsidRPr="00511005">
        <w:rPr>
          <w:rFonts w:ascii="Arial" w:eastAsia="Times New Roman" w:hAnsi="Arial" w:cs="Arial"/>
          <w:szCs w:val="28"/>
        </w:rPr>
        <w:lastRenderedPageBreak/>
        <w:t>криміналістики та соціології. Але варто зауважити, що психологічний портрет не ідентифікує</w:t>
      </w:r>
      <w:r w:rsidRPr="00511005">
        <w:rPr>
          <w:rFonts w:ascii="Arial" w:eastAsia="Times New Roman" w:hAnsi="Arial" w:cs="Arial"/>
          <w:b/>
          <w:bCs/>
          <w:szCs w:val="28"/>
        </w:rPr>
        <w:t xml:space="preserve"> </w:t>
      </w:r>
      <w:r w:rsidRPr="00511005">
        <w:rPr>
          <w:rFonts w:ascii="Arial" w:eastAsia="Times New Roman" w:hAnsi="Arial" w:cs="Arial"/>
          <w:szCs w:val="28"/>
        </w:rPr>
        <w:t>конкретну особу, а лише оперує ймовірними характеристиками. Тобто він є допоміжним засобом у слідчому процесі і має доповнювати, а не замінювати інші форми доказування.</w:t>
      </w:r>
    </w:p>
    <w:p w14:paraId="3289850C"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Times New Roman" w:hAnsi="Arial" w:cs="Arial"/>
          <w:szCs w:val="28"/>
        </w:rPr>
        <w:t xml:space="preserve">Кримінальне процесуальне законодавство України не містить чітких норм з приводу створення та використання психологічних портретів правопорушників. Втім, повністю відмовлятись від цього інструменту в діяльності правоохоронних органів було б хибним кроком, навіть з огляду на складність процедури або нестачу спеціалістів. Попри те, що такі портрети не вважаються доказами у кримінальних провадженнях, вони можуть бути корисними у процесі збору доказів, а також під час проведення слідчих та процесуальних дій для встановлення осіб, причетних до злочину. </w:t>
      </w:r>
      <w:proofErr w:type="gramStart"/>
      <w:r w:rsidRPr="00511005">
        <w:rPr>
          <w:rFonts w:ascii="Arial" w:eastAsia="Times New Roman" w:hAnsi="Arial" w:cs="Arial"/>
          <w:szCs w:val="28"/>
        </w:rPr>
        <w:t>За умов</w:t>
      </w:r>
      <w:proofErr w:type="gramEnd"/>
      <w:r w:rsidRPr="00511005">
        <w:rPr>
          <w:rFonts w:ascii="Arial" w:eastAsia="Times New Roman" w:hAnsi="Arial" w:cs="Arial"/>
          <w:szCs w:val="28"/>
        </w:rPr>
        <w:t xml:space="preserve"> браку інформації, портрет дозволяє звузити коло підозрюваних, уточнити певні версії та перевірити ті гіпотези, що виникають лише за його наявності. Відповідно, коли кримінальне правопорушення вчинене в умовах неочевидності, метод складання психологічного портрету правопорушника є дуже доречним, його ефективність полягає в тому, що, аналізуючи матеріали кримінального провадження, експерт формує ймовірний портрет злочинця з урахуванням особливостей його психіки, зовнішності, професійних навичок, способу життя та інтересів. Таким чином, психологічний портрет виступає відправною точкою в розслідуванні, сприяючи підвищенню ефективності викриття злочинців. [6, с. 222]</w:t>
      </w:r>
    </w:p>
    <w:p w14:paraId="60C1E943"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Психологічний портрет злочинця в Україні формується під впливом комплексу особистісних та соціальних чинників. Розуміння внутрішнього світу вбивці, його мотивації та поведінкових особливостей дозволяє більш ефективно прогнозувати злочинну поведінку та впроваджувати профілактичні заходи. Одними з важливих завдань психологічного портрету є ідентифікація злочинця та виявлення закономірностей у вчиненні злочинів. Застосування психологічного портрету дозволяє підвищити ефективність розслідування, попередити повторні правопорушення та забезпечити глибше розуміння мотивації злочинної поведінки в умовах сучасної України. Ефективність задіяння психологічного портрету підтверджується як у розкритті традиційних злочинів, так і у новітніх формах кримінальної діяльності. Подальший розвиток цієї методики потребує адаптації до сучасних умов та тісної співпраці правоохоронних органів з психологами та аналітиками.</w:t>
      </w:r>
    </w:p>
    <w:p w14:paraId="0A1E8942" w14:textId="77777777" w:rsidR="00532C25" w:rsidRPr="00511005" w:rsidRDefault="00532C25" w:rsidP="00532C25">
      <w:pPr>
        <w:spacing w:line="264" w:lineRule="auto"/>
        <w:ind w:firstLine="0"/>
        <w:rPr>
          <w:rFonts w:ascii="Arial" w:eastAsia="Times New Roman" w:hAnsi="Arial" w:cs="Arial"/>
          <w:szCs w:val="28"/>
        </w:rPr>
      </w:pPr>
    </w:p>
    <w:p w14:paraId="50845B41" w14:textId="77777777" w:rsidR="00532C25" w:rsidRPr="00511005" w:rsidRDefault="00532C25" w:rsidP="00532C25">
      <w:pPr>
        <w:spacing w:line="264" w:lineRule="auto"/>
        <w:ind w:firstLine="720"/>
        <w:jc w:val="center"/>
        <w:rPr>
          <w:rFonts w:ascii="Arial" w:eastAsia="Times New Roman" w:hAnsi="Arial" w:cs="Arial"/>
          <w:b/>
          <w:bCs/>
          <w:szCs w:val="28"/>
        </w:rPr>
      </w:pPr>
      <w:r w:rsidRPr="00511005">
        <w:rPr>
          <w:rFonts w:ascii="Arial" w:eastAsia="Times New Roman" w:hAnsi="Arial" w:cs="Arial"/>
          <w:b/>
          <w:bCs/>
          <w:szCs w:val="28"/>
          <w:lang w:val="uk-UA"/>
        </w:rPr>
        <w:t>Список використаних джерел</w:t>
      </w:r>
    </w:p>
    <w:p w14:paraId="00ADA1E3" w14:textId="77777777" w:rsidR="00532C25" w:rsidRPr="00511005" w:rsidRDefault="00532C25" w:rsidP="00532C25">
      <w:pPr>
        <w:spacing w:line="264" w:lineRule="auto"/>
        <w:ind w:firstLine="720"/>
        <w:rPr>
          <w:rFonts w:ascii="Arial" w:eastAsia="Times New Roman" w:hAnsi="Arial" w:cs="Arial"/>
          <w:szCs w:val="28"/>
          <w:shd w:val="clear" w:color="auto" w:fill="FFFFFF"/>
        </w:rPr>
      </w:pPr>
      <w:r w:rsidRPr="00511005">
        <w:rPr>
          <w:rFonts w:ascii="Arial" w:eastAsia="Times New Roman" w:hAnsi="Arial" w:cs="Arial"/>
          <w:szCs w:val="28"/>
        </w:rPr>
        <w:t xml:space="preserve">1. </w:t>
      </w:r>
      <w:r w:rsidRPr="00511005">
        <w:rPr>
          <w:rFonts w:ascii="Arial" w:eastAsia="Times New Roman" w:hAnsi="Arial" w:cs="Arial"/>
          <w:szCs w:val="28"/>
          <w:shd w:val="clear" w:color="auto" w:fill="FFFFFF"/>
        </w:rPr>
        <w:t xml:space="preserve">Короход Я. Д. Впровадження методу складання психологічного портрета злочинця у правоохоронній діяльності України / Я. Д. Короход // Особистість та суспільство в цифрову еру: психологічний вимір (до 25-річчя Національного університету «Одеська юридична академія» та 175-річчя </w:t>
      </w:r>
      <w:r w:rsidRPr="00511005">
        <w:rPr>
          <w:rFonts w:ascii="Arial" w:eastAsia="Times New Roman" w:hAnsi="Arial" w:cs="Arial"/>
          <w:szCs w:val="28"/>
          <w:shd w:val="clear" w:color="auto" w:fill="FFFFFF"/>
        </w:rPr>
        <w:lastRenderedPageBreak/>
        <w:t>Одеської школи права</w:t>
      </w:r>
      <w:proofErr w:type="gramStart"/>
      <w:r w:rsidRPr="00511005">
        <w:rPr>
          <w:rFonts w:ascii="Arial" w:eastAsia="Times New Roman" w:hAnsi="Arial" w:cs="Arial"/>
          <w:szCs w:val="28"/>
          <w:shd w:val="clear" w:color="auto" w:fill="FFFFFF"/>
        </w:rPr>
        <w:t>) :</w:t>
      </w:r>
      <w:proofErr w:type="gramEnd"/>
      <w:r w:rsidRPr="00511005">
        <w:rPr>
          <w:rFonts w:ascii="Arial" w:eastAsia="Times New Roman" w:hAnsi="Arial" w:cs="Arial"/>
          <w:szCs w:val="28"/>
          <w:shd w:val="clear" w:color="auto" w:fill="FFFFFF"/>
        </w:rPr>
        <w:t xml:space="preserve"> матеріали ІІІ Міжнар. наук.-практ. конф. (м. Одеса, 24 черв. 2022 р.) [Електронний ресурс] / Нац. ун-т «Одес. юрид. акад.», </w:t>
      </w:r>
      <w:proofErr w:type="gramStart"/>
      <w:r w:rsidRPr="00511005">
        <w:rPr>
          <w:rFonts w:ascii="Arial" w:eastAsia="Times New Roman" w:hAnsi="Arial" w:cs="Arial"/>
          <w:szCs w:val="28"/>
          <w:shd w:val="clear" w:color="auto" w:fill="FFFFFF"/>
        </w:rPr>
        <w:t>каф-ра</w:t>
      </w:r>
      <w:proofErr w:type="gramEnd"/>
      <w:r w:rsidRPr="00511005">
        <w:rPr>
          <w:rFonts w:ascii="Arial" w:eastAsia="Times New Roman" w:hAnsi="Arial" w:cs="Arial"/>
          <w:szCs w:val="28"/>
          <w:shd w:val="clear" w:color="auto" w:fill="FFFFFF"/>
        </w:rPr>
        <w:t xml:space="preserve"> психології. – Одеса: Національний університет «Одеська юридична академія», 2022. – С.122-124. – Режим доступу: </w:t>
      </w:r>
      <w:hyperlink r:id="rId1942" w:history="1">
        <w:r w:rsidRPr="00511005">
          <w:rPr>
            <w:rFonts w:ascii="Arial" w:eastAsia="Times New Roman" w:hAnsi="Arial" w:cs="Arial"/>
            <w:szCs w:val="28"/>
            <w:shd w:val="clear" w:color="auto" w:fill="FFFFFF"/>
          </w:rPr>
          <w:t>https://dspace.onua.edu.ua/server/api/core/bitstreams/cb74582e-f14f-4149-a8fd-4267fe810f81/content</w:t>
        </w:r>
      </w:hyperlink>
    </w:p>
    <w:p w14:paraId="202829B4"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shd w:val="clear" w:color="auto" w:fill="FFFFFF"/>
        </w:rPr>
        <w:t>2. Пєдан С. Є. «Психологічний портрет особистості злочинця».</w:t>
      </w:r>
      <w:r w:rsidRPr="00511005">
        <w:rPr>
          <w:rFonts w:ascii="Arial" w:eastAsia="Calibri" w:hAnsi="Arial" w:cs="Arial"/>
          <w:szCs w:val="28"/>
        </w:rPr>
        <w:t xml:space="preserve"> </w:t>
      </w:r>
      <w:r w:rsidRPr="00511005">
        <w:rPr>
          <w:rFonts w:ascii="Arial" w:eastAsia="Times New Roman" w:hAnsi="Arial" w:cs="Arial"/>
          <w:szCs w:val="28"/>
          <w:shd w:val="clear" w:color="auto" w:fill="FFFFFF"/>
        </w:rPr>
        <w:t xml:space="preserve">Актуальні напрями практичної психології і психотерапії: збірник матеріалів VIII Міжнародної науково- практичної конференції молодих вчених, студентів та аспірантів (м. Харків, ХНУВС, 16 грудня 2020 року). С. 138-141. Режим доступу: </w:t>
      </w:r>
      <w:hyperlink r:id="rId1943" w:history="1">
        <w:r w:rsidRPr="00511005">
          <w:rPr>
            <w:rFonts w:ascii="Arial" w:eastAsia="Times New Roman" w:hAnsi="Arial" w:cs="Arial"/>
            <w:szCs w:val="28"/>
            <w:shd w:val="clear" w:color="auto" w:fill="FFFFFF"/>
          </w:rPr>
          <w:t>https://dspace.univd.edu.ua/server/api/core/bitstreams/3ddabcfc-2e33-4e35-9eee-7e1c87a482c3/content</w:t>
        </w:r>
      </w:hyperlink>
    </w:p>
    <w:p w14:paraId="3FD4A69F"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3. </w:t>
      </w:r>
      <w:r w:rsidRPr="00511005">
        <w:rPr>
          <w:rFonts w:ascii="Arial" w:eastAsia="Times New Roman" w:hAnsi="Arial" w:cs="Arial"/>
          <w:szCs w:val="28"/>
          <w:shd w:val="clear" w:color="auto" w:fill="FFFFFF"/>
        </w:rPr>
        <w:t>Дембіцька В. В. Психологічний портрет злочинця</w:t>
      </w:r>
      <w:r w:rsidRPr="00511005">
        <w:rPr>
          <w:rFonts w:ascii="Arial" w:eastAsia="Times New Roman" w:hAnsi="Arial" w:cs="Arial"/>
          <w:szCs w:val="28"/>
          <w:shd w:val="clear" w:color="auto" w:fill="FFFFFF"/>
          <w:lang w:val="uk-UA"/>
        </w:rPr>
        <w:t>.</w:t>
      </w:r>
      <w:r w:rsidRPr="00511005">
        <w:rPr>
          <w:rFonts w:ascii="Arial" w:eastAsia="Times New Roman" w:hAnsi="Arial" w:cs="Arial"/>
          <w:szCs w:val="28"/>
          <w:shd w:val="clear" w:color="auto" w:fill="FFFFFF"/>
        </w:rPr>
        <w:t xml:space="preserve"> Економічний і соціальний розвиток України в ХХІ </w:t>
      </w:r>
      <w:proofErr w:type="gramStart"/>
      <w:r w:rsidRPr="00511005">
        <w:rPr>
          <w:rFonts w:ascii="Arial" w:eastAsia="Times New Roman" w:hAnsi="Arial" w:cs="Arial"/>
          <w:szCs w:val="28"/>
          <w:shd w:val="clear" w:color="auto" w:fill="FFFFFF"/>
        </w:rPr>
        <w:t>столітті :</w:t>
      </w:r>
      <w:proofErr w:type="gramEnd"/>
      <w:r w:rsidRPr="00511005">
        <w:rPr>
          <w:rFonts w:ascii="Arial" w:eastAsia="Times New Roman" w:hAnsi="Arial" w:cs="Arial"/>
          <w:szCs w:val="28"/>
          <w:shd w:val="clear" w:color="auto" w:fill="FFFFFF"/>
        </w:rPr>
        <w:t xml:space="preserve"> національна візія та виклики глобалізації : зб. тез доп. П’ятнадцятої Ювілейної Міжнар. наук.-практ. конф. молодих вчених [м. Тернопіль, 29-30 берез. 2018 р.] / редкол</w:t>
      </w:r>
      <w:proofErr w:type="gramStart"/>
      <w:r w:rsidRPr="00511005">
        <w:rPr>
          <w:rFonts w:ascii="Arial" w:eastAsia="Times New Roman" w:hAnsi="Arial" w:cs="Arial"/>
          <w:szCs w:val="28"/>
          <w:shd w:val="clear" w:color="auto" w:fill="FFFFFF"/>
        </w:rPr>
        <w:t>. :</w:t>
      </w:r>
      <w:proofErr w:type="gramEnd"/>
      <w:r w:rsidRPr="00511005">
        <w:rPr>
          <w:rFonts w:ascii="Arial" w:eastAsia="Times New Roman" w:hAnsi="Arial" w:cs="Arial"/>
          <w:szCs w:val="28"/>
          <w:shd w:val="clear" w:color="auto" w:fill="FFFFFF"/>
        </w:rPr>
        <w:t xml:space="preserve"> Л. П. Амбрик, О. В. Борисяк, М. М. Брик [та ін.] ; відп. за вип. В. О. Онищук. </w:t>
      </w:r>
      <w:proofErr w:type="gramStart"/>
      <w:r w:rsidRPr="00511005">
        <w:rPr>
          <w:rFonts w:ascii="Arial" w:eastAsia="Times New Roman" w:hAnsi="Arial" w:cs="Arial"/>
          <w:szCs w:val="28"/>
          <w:shd w:val="clear" w:color="auto" w:fill="FFFFFF"/>
        </w:rPr>
        <w:t>Тернопіль :</w:t>
      </w:r>
      <w:proofErr w:type="gramEnd"/>
      <w:r w:rsidRPr="00511005">
        <w:rPr>
          <w:rFonts w:ascii="Arial" w:eastAsia="Times New Roman" w:hAnsi="Arial" w:cs="Arial"/>
          <w:szCs w:val="28"/>
          <w:shd w:val="clear" w:color="auto" w:fill="FFFFFF"/>
        </w:rPr>
        <w:t xml:space="preserve"> ТНЕУ, 2018. С. 250-253. Режим доступу: </w:t>
      </w:r>
      <w:hyperlink r:id="rId1944" w:history="1">
        <w:r w:rsidRPr="00511005">
          <w:rPr>
            <w:rFonts w:ascii="Arial" w:eastAsia="Times New Roman" w:hAnsi="Arial" w:cs="Arial"/>
            <w:szCs w:val="28"/>
            <w:shd w:val="clear" w:color="auto" w:fill="FFFFFF"/>
          </w:rPr>
          <w:t>http://dspace.tneu.edu.ua/handle/316497/28195</w:t>
        </w:r>
      </w:hyperlink>
    </w:p>
    <w:p w14:paraId="5C090AFF"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Calibri" w:hAnsi="Arial" w:cs="Arial"/>
          <w:szCs w:val="28"/>
        </w:rPr>
        <w:t>4. Григорчук О. Ю. «Використання психологічного портрету злочинця у розслідуванні злочинів». Сучасне кримінальне провадження України: доктрина, нормативна регламентація та практика функціонування: Збірник матеріалів Всеукраїнської науково-практичної конференції. (м. Одеса, 17 квітня 2015 р.) / відп. ред. Ю.П. Аленін. Одеса: Національний університет «Одеська юридична академія», 2015. С. 133.</w:t>
      </w:r>
    </w:p>
    <w:p w14:paraId="61F7CA14"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5. Кримінальна психологія. Лекція 4. /Луганський державний університет</w:t>
      </w:r>
      <w:r w:rsidRPr="00511005">
        <w:rPr>
          <w:rFonts w:ascii="Arial" w:eastAsia="Times New Roman" w:hAnsi="Arial" w:cs="Arial"/>
          <w:szCs w:val="28"/>
          <w:lang w:val="uk-UA"/>
        </w:rPr>
        <w:t xml:space="preserve"> </w:t>
      </w:r>
      <w:r w:rsidRPr="00511005">
        <w:rPr>
          <w:rFonts w:ascii="Arial" w:eastAsia="Times New Roman" w:hAnsi="Arial" w:cs="Arial"/>
          <w:szCs w:val="28"/>
        </w:rPr>
        <w:t xml:space="preserve">внутрішніх справ ім. Е.А. Дідоренко. Режим доступу: </w:t>
      </w:r>
      <w:hyperlink r:id="rId1945" w:history="1">
        <w:r w:rsidRPr="00511005">
          <w:rPr>
            <w:rFonts w:ascii="Arial" w:eastAsia="Times New Roman" w:hAnsi="Arial" w:cs="Arial"/>
            <w:szCs w:val="28"/>
          </w:rPr>
          <w:t>https://studfile.net/preview/5287383/page:3/</w:t>
        </w:r>
      </w:hyperlink>
    </w:p>
    <w:p w14:paraId="7A103B40"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6. Симоненко Т. В. «Психологічний портрет особи злочинця». Науковий керівник Жерн Н. А. «Держава і право: проблеми становлення і стратегія розвитку»: Матеріали міжнародної науково-практичної конференції, м. Ужгород, 15-16 листопада 2013 р. – Херсон: Видавничий дім «Гельветика», 2013. С. 222.</w:t>
      </w:r>
    </w:p>
    <w:p w14:paraId="5BBE0C38" w14:textId="77777777" w:rsidR="00532C25" w:rsidRPr="00511005" w:rsidRDefault="00532C25" w:rsidP="00532C25">
      <w:pPr>
        <w:spacing w:line="264" w:lineRule="auto"/>
        <w:ind w:firstLine="720"/>
        <w:jc w:val="left"/>
        <w:rPr>
          <w:rFonts w:ascii="Arial" w:eastAsia="Times New Roman" w:hAnsi="Arial" w:cs="Arial"/>
          <w:szCs w:val="28"/>
        </w:rPr>
      </w:pPr>
    </w:p>
    <w:p w14:paraId="24E7B7DB" w14:textId="77777777" w:rsidR="00532C25" w:rsidRPr="00511005" w:rsidRDefault="00532C25" w:rsidP="00532C25">
      <w:pPr>
        <w:spacing w:line="264" w:lineRule="auto"/>
        <w:ind w:firstLine="720"/>
        <w:jc w:val="left"/>
        <w:rPr>
          <w:rFonts w:ascii="Arial" w:eastAsia="Times New Roman" w:hAnsi="Arial" w:cs="Arial"/>
          <w:szCs w:val="28"/>
        </w:rPr>
      </w:pPr>
      <w:r w:rsidRPr="00511005">
        <w:rPr>
          <w:rFonts w:ascii="Arial" w:eastAsia="Times New Roman" w:hAnsi="Arial" w:cs="Arial"/>
          <w:b/>
          <w:bCs/>
          <w:i/>
          <w:szCs w:val="28"/>
        </w:rPr>
        <w:t xml:space="preserve">Ключові слова: </w:t>
      </w:r>
      <w:r w:rsidRPr="00511005">
        <w:rPr>
          <w:rFonts w:ascii="Arial" w:eastAsia="Calibri" w:hAnsi="Arial" w:cs="Arial"/>
          <w:szCs w:val="28"/>
        </w:rPr>
        <w:t>психологічний портрет</w:t>
      </w:r>
      <w:r w:rsidRPr="00511005">
        <w:rPr>
          <w:rFonts w:ascii="Arial" w:eastAsia="Times New Roman" w:hAnsi="Arial" w:cs="Arial"/>
          <w:szCs w:val="28"/>
        </w:rPr>
        <w:t xml:space="preserve">, </w:t>
      </w:r>
      <w:r w:rsidRPr="00511005">
        <w:rPr>
          <w:rFonts w:ascii="Arial" w:eastAsia="Calibri" w:hAnsi="Arial" w:cs="Arial"/>
          <w:szCs w:val="28"/>
        </w:rPr>
        <w:t>злочинець, мотивація, правоохоронні органи, розслідування, кримінальне правопорушення, правопорушник, поведінка, метод портретування, соціальні чинники, ідентифікація.</w:t>
      </w:r>
    </w:p>
    <w:p w14:paraId="68851B88" w14:textId="77777777" w:rsidR="00532C25" w:rsidRPr="00511005" w:rsidRDefault="00532C25" w:rsidP="00532C25">
      <w:pPr>
        <w:spacing w:line="264" w:lineRule="auto"/>
        <w:ind w:firstLine="720"/>
        <w:jc w:val="left"/>
        <w:rPr>
          <w:rFonts w:ascii="Arial" w:eastAsia="Times New Roman" w:hAnsi="Arial" w:cs="Arial"/>
          <w:szCs w:val="28"/>
          <w:lang w:val="en-US"/>
        </w:rPr>
      </w:pPr>
      <w:r w:rsidRPr="00511005">
        <w:rPr>
          <w:rFonts w:ascii="Arial" w:eastAsia="Times New Roman" w:hAnsi="Arial" w:cs="Arial"/>
          <w:b/>
          <w:bCs/>
          <w:i/>
          <w:szCs w:val="28"/>
          <w:lang w:val="en-GB"/>
        </w:rPr>
        <w:t xml:space="preserve">Key words: </w:t>
      </w:r>
      <w:r w:rsidRPr="00511005">
        <w:rPr>
          <w:rFonts w:ascii="Arial" w:eastAsia="Times New Roman" w:hAnsi="Arial" w:cs="Arial"/>
          <w:szCs w:val="28"/>
          <w:lang w:val="en-US"/>
        </w:rPr>
        <w:t xml:space="preserve">psychological profile, offender, motivation, law enforcement agencies, investigation, criminal </w:t>
      </w:r>
      <w:proofErr w:type="gramStart"/>
      <w:r w:rsidRPr="00511005">
        <w:rPr>
          <w:rFonts w:ascii="Arial" w:eastAsia="Times New Roman" w:hAnsi="Arial" w:cs="Arial"/>
          <w:szCs w:val="28"/>
          <w:lang w:val="en-US"/>
        </w:rPr>
        <w:t>offense,</w:t>
      </w:r>
      <w:r w:rsidRPr="00511005">
        <w:rPr>
          <w:rFonts w:ascii="Arial" w:eastAsia="Times New Roman" w:hAnsi="Arial" w:cs="Arial"/>
          <w:szCs w:val="28"/>
          <w:lang w:val="en-GB"/>
        </w:rPr>
        <w:t>offender</w:t>
      </w:r>
      <w:proofErr w:type="gramEnd"/>
      <w:r w:rsidRPr="00511005">
        <w:rPr>
          <w:rFonts w:ascii="Arial" w:eastAsia="Times New Roman" w:hAnsi="Arial" w:cs="Arial"/>
          <w:szCs w:val="28"/>
          <w:lang w:val="en-GB"/>
        </w:rPr>
        <w:t>,</w:t>
      </w:r>
      <w:r w:rsidRPr="00511005">
        <w:rPr>
          <w:rFonts w:ascii="Arial" w:eastAsia="Times New Roman" w:hAnsi="Arial" w:cs="Arial"/>
          <w:szCs w:val="28"/>
          <w:lang w:val="en-US"/>
        </w:rPr>
        <w:t xml:space="preserve"> behavior, profiling method, social factors, identification</w:t>
      </w:r>
      <w:r w:rsidRPr="00511005">
        <w:rPr>
          <w:rFonts w:ascii="Arial" w:eastAsia="Times New Roman" w:hAnsi="Arial" w:cs="Arial"/>
          <w:szCs w:val="28"/>
          <w:lang w:val="en-GB"/>
        </w:rPr>
        <w:t>.</w:t>
      </w:r>
    </w:p>
    <w:p w14:paraId="557E1B7A" w14:textId="77777777" w:rsidR="00532C25" w:rsidRPr="00511005" w:rsidRDefault="00532C25" w:rsidP="00532C25">
      <w:pPr>
        <w:spacing w:line="264" w:lineRule="auto"/>
        <w:ind w:firstLine="720"/>
        <w:jc w:val="left"/>
        <w:rPr>
          <w:rFonts w:ascii="Arial" w:eastAsia="Times New Roman" w:hAnsi="Arial" w:cs="Arial"/>
          <w:i/>
          <w:iCs/>
          <w:szCs w:val="28"/>
        </w:rPr>
      </w:pPr>
      <w:r w:rsidRPr="00511005">
        <w:rPr>
          <w:rFonts w:ascii="Arial" w:eastAsia="Times New Roman" w:hAnsi="Arial" w:cs="Arial"/>
          <w:b/>
          <w:i/>
          <w:iCs/>
          <w:szCs w:val="28"/>
        </w:rPr>
        <w:lastRenderedPageBreak/>
        <w:t xml:space="preserve">Науковий керівник: </w:t>
      </w:r>
      <w:r w:rsidRPr="00511005">
        <w:rPr>
          <w:rFonts w:ascii="Arial" w:eastAsia="Times New Roman" w:hAnsi="Arial" w:cs="Arial"/>
          <w:i/>
          <w:iCs/>
          <w:szCs w:val="28"/>
        </w:rPr>
        <w:t>к. ю. н.</w:t>
      </w:r>
      <w:r w:rsidRPr="00511005">
        <w:rPr>
          <w:rFonts w:ascii="Arial" w:eastAsia="Times New Roman" w:hAnsi="Arial" w:cs="Arial"/>
          <w:i/>
          <w:iCs/>
          <w:szCs w:val="28"/>
          <w:lang w:val="uk-UA"/>
        </w:rPr>
        <w:t>, доцент</w:t>
      </w:r>
      <w:r w:rsidRPr="00511005">
        <w:rPr>
          <w:rFonts w:ascii="Arial" w:eastAsia="Times New Roman" w:hAnsi="Arial" w:cs="Arial"/>
          <w:i/>
          <w:iCs/>
          <w:szCs w:val="28"/>
        </w:rPr>
        <w:t xml:space="preserve"> Чіпко Н. В. </w:t>
      </w:r>
    </w:p>
    <w:p w14:paraId="61F106D0" w14:textId="77777777" w:rsidR="00532C25" w:rsidRPr="00511005" w:rsidRDefault="00532C25" w:rsidP="00532C25">
      <w:pPr>
        <w:spacing w:line="264" w:lineRule="auto"/>
        <w:ind w:firstLine="720"/>
        <w:jc w:val="left"/>
        <w:rPr>
          <w:rFonts w:ascii="Arial" w:eastAsia="Calibri" w:hAnsi="Arial" w:cs="Arial"/>
          <w:szCs w:val="28"/>
        </w:rPr>
      </w:pPr>
    </w:p>
    <w:p w14:paraId="769F3E30"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Вініченко Юлія Дмитрівна</w:t>
      </w:r>
    </w:p>
    <w:p w14:paraId="5621B577"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663B8426"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449918E"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561AFB4" w14:textId="77777777" w:rsidR="00532C25" w:rsidRPr="00511005" w:rsidRDefault="00532C25" w:rsidP="00532C25">
      <w:pPr>
        <w:spacing w:line="264" w:lineRule="auto"/>
        <w:ind w:firstLine="720"/>
        <w:jc w:val="center"/>
        <w:rPr>
          <w:rFonts w:ascii="Arial" w:eastAsia="Calibri" w:hAnsi="Arial" w:cs="Arial"/>
          <w:b/>
          <w:bCs/>
          <w:szCs w:val="28"/>
          <w:lang w:val="uk-UA"/>
        </w:rPr>
      </w:pPr>
    </w:p>
    <w:p w14:paraId="6F9E724A"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ДОСЛІДЖЕННЯ КІБЕРПРОСТОРУ У РОБОТІ ОПЕРАТИВНИХ ПІДРОЗДІЛІВ ПРАВООХОРОННИХ ОРГАНІВ</w:t>
      </w:r>
    </w:p>
    <w:p w14:paraId="2C93824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На сьогодні новітні технології набирають шалених обертів в усіх сферах людської діяльності, де доступ до будь-якої необхідної нам інформації знаходиться на відстані одного кліку. </w:t>
      </w:r>
    </w:p>
    <w:p w14:paraId="31F9F8A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Також не можна не погодитись з міркуваннями науковців, що інтернет-простір – це досить специфічне явище, яке є одночасно і суспільно корисним, і таким, що тягне за собою велику шкоду, що залежить окремо від кожного користувача інтернет-простору від цілей його використання, рівня обізнаності щодо користування та рівня знань. </w:t>
      </w:r>
    </w:p>
    <w:p w14:paraId="5DC5A34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Суспільство активно використовує комп’ютерні технології в повсякденному житті як в правомірних цілях, так і в злочинній діяльності. І якщо на початку розвитку комп’ютерного простору користувачі були особи, які мали великий обсяг знань у відповідній сфері, то сьогодні можна спостерігати велику кількість пересічних людей, які не мають достатньо знань у сфері інтернет-простору для його безпечного та ефективного використання.</w:t>
      </w:r>
    </w:p>
    <w:p w14:paraId="02155E2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Звідси випливає, що зростає значна кількість осіб, які мають надто високий рівень здібносте та умінь у сфері комп’ютерних технологій, але використовують їх у неправомірних цілях. </w:t>
      </w:r>
    </w:p>
    <w:p w14:paraId="08CA51C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У зв’язку з наведеними обставинами правоохоронні органи не залишаються осторонь, а досить активно використовують кіберпростір для виявлення й припинення кіберзлочинності та злочинності загалом. </w:t>
      </w:r>
    </w:p>
    <w:p w14:paraId="54AFA43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Отже, ефективна боротьба зі злочинністю в сучасних умовах передбачає постійне удосконалення оперативно-розшукової діяльності. Тому своєчасне виявлення, припинення та розкриття кримінальних правопорушень ґрунтується на необхідності використання новітніх технологій, методів і засобів пошуку та використання оперативно-розшукової інформації.</w:t>
      </w:r>
    </w:p>
    <w:p w14:paraId="713CDFC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Не можна не погодитися з думкою А. І. Дороніної, яка стверджує, що «застосування мережі Інтернет оперативними підрозділами правоохоронних органів є запорукою успіху при боротьбі зі злочинністю».</w:t>
      </w:r>
    </w:p>
    <w:p w14:paraId="4761396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Кіберпростір – це абстрактне середовище (віртуальний простір), який не пов'язаний з фізичним місцезнаходженням, де взаємодіють різноманітні цифрові пристрої, програмне забезпечення та мережі. Він надає можливість </w:t>
      </w:r>
      <w:r w:rsidRPr="00511005">
        <w:rPr>
          <w:rFonts w:ascii="Arial" w:eastAsia="Calibri" w:hAnsi="Arial" w:cs="Arial"/>
          <w:szCs w:val="28"/>
          <w:lang w:val="uk-UA"/>
        </w:rPr>
        <w:lastRenderedPageBreak/>
        <w:t>обмінюватися інформацією, спілкуватися та реалізовувати суспільні відносини в мережі Інтернет [1].</w:t>
      </w:r>
    </w:p>
    <w:p w14:paraId="77E4A83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Оперативно-розшукова інформація має відповідати таким основним вимогам: точність, достовірність, актуальність, повнота, лаконічність, логічність викладу, послідовність, доказовість, відповідність рівня надходження та використання оперативно-розшукової інформації для прийняття рішень [2, с. 175-176]. </w:t>
      </w:r>
    </w:p>
    <w:p w14:paraId="1A15565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Актуальними напрямками вважаються використання в інтересах оперативно-розшукової діяльності різних інформаційних систем, а саме баз даних, які існують в мережі Інтернет задля швидкого пошуку конкретної інформації, про особу або об’єкт. </w:t>
      </w:r>
    </w:p>
    <w:p w14:paraId="3F9E08D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Наприклад, використання інформації, яка розміщена на персональних сторінках у соціальних мережах, де в свою чергу особи викладають таку особисту інформацію, як: біографічні дані, дані про близьких осіб, захоплення, фото, відео та іншу оперативно значущу інформацію.</w:t>
      </w:r>
    </w:p>
    <w:p w14:paraId="2CC70E8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Одним із найрозповсюджених напрямів пошуку оперативно-розшукової інформації є моніторинг відкритих джерел інформації, яка розміщена у кіберпросторі. Моніторинг оперативними підрозділами соціальних сайтів у мережі Інтернет надає можливість перевіряти наявні відомості про конкретну особу, отримати її фотографії, прослідити зв’язки (родинні, дружні, злочинні), встановити місце перебування. Функціонування таких мереж дає можливість здійснення прямої взаємодії з конкретною особою та виявлення її зав’язків з іншими особами [3, с. 148-149].</w:t>
      </w:r>
    </w:p>
    <w:p w14:paraId="6B844D3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До таких джерел відносять:</w:t>
      </w:r>
    </w:p>
    <w:p w14:paraId="4D943052" w14:textId="77777777" w:rsidR="00532C25" w:rsidRPr="00511005" w:rsidRDefault="00532C25" w:rsidP="003F6A5D">
      <w:pPr>
        <w:numPr>
          <w:ilvl w:val="0"/>
          <w:numId w:val="673"/>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Сайти державних органів державної влади та місцевого самоврядування; </w:t>
      </w:r>
    </w:p>
    <w:p w14:paraId="490E89BD" w14:textId="77777777" w:rsidR="00532C25" w:rsidRPr="00511005" w:rsidRDefault="00532C25" w:rsidP="003F6A5D">
      <w:pPr>
        <w:numPr>
          <w:ilvl w:val="0"/>
          <w:numId w:val="673"/>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Державні реєстри, зокрема Єдиний державний реєстри осіб, які вичинили корупційні правопорушення, Єдиний реєстр юридичних осіб, фізичних осіб-підприємців та громадських формувань, тощо;</w:t>
      </w:r>
    </w:p>
    <w:p w14:paraId="4DC6EA3B" w14:textId="77777777" w:rsidR="00532C25" w:rsidRPr="00511005" w:rsidRDefault="00532C25" w:rsidP="003F6A5D">
      <w:pPr>
        <w:numPr>
          <w:ilvl w:val="0"/>
          <w:numId w:val="673"/>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Сторінки осіб у соціальних мережах;</w:t>
      </w:r>
    </w:p>
    <w:p w14:paraId="6314B9B7" w14:textId="77777777" w:rsidR="00532C25" w:rsidRPr="00511005" w:rsidRDefault="00532C25" w:rsidP="003F6A5D">
      <w:pPr>
        <w:numPr>
          <w:ilvl w:val="0"/>
          <w:numId w:val="673"/>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Публікації в електронних засобах масової інформації; </w:t>
      </w:r>
    </w:p>
    <w:p w14:paraId="2D258AFB" w14:textId="77777777" w:rsidR="00532C25" w:rsidRPr="00511005" w:rsidRDefault="00532C25" w:rsidP="003F6A5D">
      <w:pPr>
        <w:numPr>
          <w:ilvl w:val="0"/>
          <w:numId w:val="673"/>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Ресурси для розповсюдження відеоконтенту;</w:t>
      </w:r>
    </w:p>
    <w:p w14:paraId="14518F6F" w14:textId="77777777" w:rsidR="00532C25" w:rsidRPr="00511005" w:rsidRDefault="00532C25" w:rsidP="003F6A5D">
      <w:pPr>
        <w:numPr>
          <w:ilvl w:val="0"/>
          <w:numId w:val="673"/>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Сайти, які призначенні для отримання інформації про місцезнаходження особи. </w:t>
      </w:r>
    </w:p>
    <w:p w14:paraId="17F85D6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Поширення використання платформи </w:t>
      </w:r>
      <w:r w:rsidRPr="00511005">
        <w:rPr>
          <w:rFonts w:ascii="Arial" w:eastAsia="Calibri" w:hAnsi="Arial" w:cs="Arial"/>
          <w:szCs w:val="28"/>
          <w:lang w:val="en-US"/>
        </w:rPr>
        <w:t>Darknet</w:t>
      </w:r>
      <w:r w:rsidRPr="00511005">
        <w:rPr>
          <w:rFonts w:ascii="Arial" w:eastAsia="Calibri" w:hAnsi="Arial" w:cs="Arial"/>
          <w:szCs w:val="28"/>
          <w:lang w:val="uk-UA"/>
        </w:rPr>
        <w:t xml:space="preserve"> для вчинення ряду кримінальних правопорушень, які вичиняються шляхом використання криптографічних елементів та вчиняється анонімно. </w:t>
      </w:r>
    </w:p>
    <w:p w14:paraId="2E242E9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Даркнет, або «темний інтернет» (з англ.</w:t>
      </w:r>
      <w:r w:rsidRPr="00511005">
        <w:rPr>
          <w:rFonts w:ascii="Arial" w:eastAsia="Calibri" w:hAnsi="Arial" w:cs="Arial"/>
          <w:szCs w:val="28"/>
        </w:rPr>
        <w:t xml:space="preserve"> </w:t>
      </w:r>
      <w:r w:rsidRPr="00511005">
        <w:rPr>
          <w:rFonts w:ascii="Arial" w:eastAsia="Calibri" w:hAnsi="Arial" w:cs="Arial"/>
          <w:szCs w:val="28"/>
          <w:lang w:val="en-US"/>
        </w:rPr>
        <w:t>Darknet</w:t>
      </w:r>
      <w:r w:rsidRPr="00511005">
        <w:rPr>
          <w:rFonts w:ascii="Arial" w:eastAsia="Calibri" w:hAnsi="Arial" w:cs="Arial"/>
          <w:szCs w:val="28"/>
          <w:lang w:val="uk-UA"/>
        </w:rPr>
        <w:t xml:space="preserve">) – це анонімна, нерегульована і нікому не підконтрольна інтернет-платформа. Доступ до зазначеної мережі є обмеженим, його не можуть використовувати звичайні користувачі, адже доступ до такої мережі може бути відкритий лише для </w:t>
      </w:r>
      <w:r w:rsidRPr="00511005">
        <w:rPr>
          <w:rFonts w:ascii="Arial" w:eastAsia="Calibri" w:hAnsi="Arial" w:cs="Arial"/>
          <w:szCs w:val="28"/>
          <w:lang w:val="uk-UA"/>
        </w:rPr>
        <w:lastRenderedPageBreak/>
        <w:t>окремих груп людей, які використовують спеціальні програмне забезпечення та авторизацію [5].</w:t>
      </w:r>
    </w:p>
    <w:p w14:paraId="3D1BCEC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Більшість вважають, що </w:t>
      </w:r>
      <w:r w:rsidRPr="00511005">
        <w:rPr>
          <w:rFonts w:ascii="Arial" w:eastAsia="Calibri" w:hAnsi="Arial" w:cs="Arial"/>
          <w:szCs w:val="28"/>
          <w:lang w:val="en-US"/>
        </w:rPr>
        <w:t>Darknet</w:t>
      </w:r>
      <w:r w:rsidRPr="00511005">
        <w:rPr>
          <w:rFonts w:ascii="Arial" w:eastAsia="Calibri" w:hAnsi="Arial" w:cs="Arial"/>
          <w:szCs w:val="28"/>
          <w:lang w:val="uk-UA"/>
        </w:rPr>
        <w:t xml:space="preserve"> використовується тільки злочинцями, але це хибна думка, зокрема правоохоронні органи використовують зазначену мережу задля виявлення злочинів.</w:t>
      </w:r>
    </w:p>
    <w:p w14:paraId="6ED7F75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До створення Департаменту кримінального аналізу у складі Національної поліції, підрозділи карного розшуку та інші підрозділи, які є уповноваженими здійснювати оперативно-розшукову діяльність, використовували мережу </w:t>
      </w:r>
      <w:r w:rsidRPr="00511005">
        <w:rPr>
          <w:rFonts w:ascii="Arial" w:eastAsia="Calibri" w:hAnsi="Arial" w:cs="Arial"/>
          <w:szCs w:val="28"/>
          <w:lang w:val="en-US"/>
        </w:rPr>
        <w:t>Darknet</w:t>
      </w:r>
      <w:r w:rsidRPr="00511005">
        <w:rPr>
          <w:rFonts w:ascii="Arial" w:eastAsia="Calibri" w:hAnsi="Arial" w:cs="Arial"/>
          <w:szCs w:val="28"/>
          <w:lang w:val="uk-UA"/>
        </w:rPr>
        <w:t xml:space="preserve"> у свій роботі для збирання, отримання та аналізу необхідної інформації для розкриття злочинів [6, с. 134]. </w:t>
      </w:r>
    </w:p>
    <w:p w14:paraId="6E39938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Одним з методів оперативних підрозділів для збору інформації є розвідка відкритих джерел. Такий метод, ще має назву </w:t>
      </w:r>
      <w:r w:rsidRPr="00511005">
        <w:rPr>
          <w:rFonts w:ascii="Arial" w:eastAsia="Calibri" w:hAnsi="Arial" w:cs="Arial"/>
          <w:szCs w:val="28"/>
          <w:lang w:val="en-US"/>
        </w:rPr>
        <w:t>Open</w:t>
      </w:r>
      <w:r w:rsidRPr="00511005">
        <w:rPr>
          <w:rFonts w:ascii="Arial" w:eastAsia="Calibri" w:hAnsi="Arial" w:cs="Arial"/>
          <w:szCs w:val="28"/>
          <w:lang w:val="uk-UA"/>
        </w:rPr>
        <w:t xml:space="preserve"> </w:t>
      </w:r>
      <w:r w:rsidRPr="00511005">
        <w:rPr>
          <w:rFonts w:ascii="Arial" w:eastAsia="Calibri" w:hAnsi="Arial" w:cs="Arial"/>
          <w:szCs w:val="28"/>
          <w:lang w:val="en-US"/>
        </w:rPr>
        <w:t>source</w:t>
      </w:r>
      <w:r w:rsidRPr="00511005">
        <w:rPr>
          <w:rFonts w:ascii="Arial" w:eastAsia="Calibri" w:hAnsi="Arial" w:cs="Arial"/>
          <w:szCs w:val="28"/>
          <w:lang w:val="uk-UA"/>
        </w:rPr>
        <w:t xml:space="preserve"> </w:t>
      </w:r>
      <w:r w:rsidRPr="00511005">
        <w:rPr>
          <w:rFonts w:ascii="Arial" w:eastAsia="Calibri" w:hAnsi="Arial" w:cs="Arial"/>
          <w:szCs w:val="28"/>
          <w:lang w:val="en-US"/>
        </w:rPr>
        <w:t>intelligence</w:t>
      </w:r>
      <w:r w:rsidRPr="00511005">
        <w:rPr>
          <w:rFonts w:ascii="Arial" w:eastAsia="Calibri" w:hAnsi="Arial" w:cs="Arial"/>
          <w:szCs w:val="28"/>
          <w:lang w:val="uk-UA"/>
        </w:rPr>
        <w:t xml:space="preserve">. </w:t>
      </w:r>
      <w:r w:rsidRPr="00511005">
        <w:rPr>
          <w:rFonts w:ascii="Arial" w:eastAsia="Calibri" w:hAnsi="Arial" w:cs="Arial"/>
          <w:szCs w:val="28"/>
          <w:lang w:val="en-US"/>
        </w:rPr>
        <w:t>OSINT</w:t>
      </w:r>
      <w:r w:rsidRPr="00511005">
        <w:rPr>
          <w:rFonts w:ascii="Arial" w:eastAsia="Calibri" w:hAnsi="Arial" w:cs="Arial"/>
          <w:szCs w:val="28"/>
          <w:lang w:val="uk-UA"/>
        </w:rPr>
        <w:t xml:space="preserve"> (</w:t>
      </w:r>
      <w:r w:rsidRPr="00511005">
        <w:rPr>
          <w:rFonts w:ascii="Arial" w:eastAsia="Calibri" w:hAnsi="Arial" w:cs="Arial"/>
          <w:szCs w:val="28"/>
          <w:lang w:val="en-US"/>
        </w:rPr>
        <w:t>Open</w:t>
      </w:r>
      <w:r w:rsidRPr="00511005">
        <w:rPr>
          <w:rFonts w:ascii="Arial" w:eastAsia="Calibri" w:hAnsi="Arial" w:cs="Arial"/>
          <w:szCs w:val="28"/>
          <w:lang w:val="uk-UA"/>
        </w:rPr>
        <w:t xml:space="preserve"> </w:t>
      </w:r>
      <w:r w:rsidRPr="00511005">
        <w:rPr>
          <w:rFonts w:ascii="Arial" w:eastAsia="Calibri" w:hAnsi="Arial" w:cs="Arial"/>
          <w:szCs w:val="28"/>
          <w:lang w:val="en-US"/>
        </w:rPr>
        <w:t>source</w:t>
      </w:r>
      <w:r w:rsidRPr="00511005">
        <w:rPr>
          <w:rFonts w:ascii="Arial" w:eastAsia="Calibri" w:hAnsi="Arial" w:cs="Arial"/>
          <w:szCs w:val="28"/>
          <w:lang w:val="uk-UA"/>
        </w:rPr>
        <w:t xml:space="preserve"> </w:t>
      </w:r>
      <w:r w:rsidRPr="00511005">
        <w:rPr>
          <w:rFonts w:ascii="Arial" w:eastAsia="Calibri" w:hAnsi="Arial" w:cs="Arial"/>
          <w:szCs w:val="28"/>
          <w:lang w:val="en-US"/>
        </w:rPr>
        <w:t>intelligence</w:t>
      </w:r>
      <w:r w:rsidRPr="00511005">
        <w:rPr>
          <w:rFonts w:ascii="Arial" w:eastAsia="Calibri" w:hAnsi="Arial" w:cs="Arial"/>
          <w:szCs w:val="28"/>
          <w:lang w:val="uk-UA"/>
        </w:rPr>
        <w:t xml:space="preserve">) – це одна з розвідувальних дисциплін, яка була розроблена для пошуку, вибірки та збору інформації, отриманої із загально доступних джерел та виконання її аналізу. На сьогодення </w:t>
      </w:r>
      <w:r w:rsidRPr="00511005">
        <w:rPr>
          <w:rFonts w:ascii="Arial" w:eastAsia="Calibri" w:hAnsi="Arial" w:cs="Arial"/>
          <w:szCs w:val="28"/>
          <w:lang w:val="en-US"/>
        </w:rPr>
        <w:t>OS</w:t>
      </w:r>
      <w:r w:rsidRPr="00511005">
        <w:rPr>
          <w:rFonts w:ascii="Arial" w:eastAsia="Calibri" w:hAnsi="Arial" w:cs="Arial"/>
          <w:szCs w:val="28"/>
          <w:lang w:val="en-AU"/>
        </w:rPr>
        <w:t>I</w:t>
      </w:r>
      <w:r w:rsidRPr="00511005">
        <w:rPr>
          <w:rFonts w:ascii="Arial" w:eastAsia="Calibri" w:hAnsi="Arial" w:cs="Arial"/>
          <w:szCs w:val="28"/>
          <w:lang w:val="en-US"/>
        </w:rPr>
        <w:t>NT</w:t>
      </w:r>
      <w:r w:rsidRPr="00511005">
        <w:rPr>
          <w:rFonts w:ascii="Arial" w:eastAsia="Calibri" w:hAnsi="Arial" w:cs="Arial"/>
          <w:szCs w:val="28"/>
          <w:lang w:val="uk-UA"/>
        </w:rPr>
        <w:t xml:space="preserve"> є невід’ємною складовою сучасної практики збору інформації, доказів та фіксації злочинів. Його специфічною особливістю є можливість оперативного виявлення фактів та візуалізації подій у складних обставинах, де стандартні методи збору інформації обмежуються та стають небезпечними. Це потужний інструмент, який допомагає оперативним підрозділам швидко та якісно ідентифікувати злочинця. </w:t>
      </w:r>
    </w:p>
    <w:p w14:paraId="31DDC63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Програмно-технологічні рішення </w:t>
      </w:r>
      <w:r w:rsidRPr="00511005">
        <w:rPr>
          <w:rFonts w:ascii="Arial" w:eastAsia="Calibri" w:hAnsi="Arial" w:cs="Arial"/>
          <w:szCs w:val="28"/>
          <w:lang w:val="en-US"/>
        </w:rPr>
        <w:t>OS</w:t>
      </w:r>
      <w:r w:rsidRPr="00511005">
        <w:rPr>
          <w:rFonts w:ascii="Arial" w:eastAsia="Calibri" w:hAnsi="Arial" w:cs="Arial"/>
          <w:szCs w:val="28"/>
          <w:lang w:val="en-AU"/>
        </w:rPr>
        <w:t>I</w:t>
      </w:r>
      <w:r w:rsidRPr="00511005">
        <w:rPr>
          <w:rFonts w:ascii="Arial" w:eastAsia="Calibri" w:hAnsi="Arial" w:cs="Arial"/>
          <w:szCs w:val="28"/>
          <w:lang w:val="en-US"/>
        </w:rPr>
        <w:t>NT</w:t>
      </w:r>
      <w:r w:rsidRPr="00511005">
        <w:rPr>
          <w:rFonts w:ascii="Arial" w:eastAsia="Calibri" w:hAnsi="Arial" w:cs="Arial"/>
          <w:szCs w:val="28"/>
          <w:lang w:val="uk-UA"/>
        </w:rPr>
        <w:t xml:space="preserve">, забезпечують: </w:t>
      </w:r>
    </w:p>
    <w:p w14:paraId="2409DE8F" w14:textId="77777777" w:rsidR="00532C25" w:rsidRPr="00511005" w:rsidRDefault="00532C25" w:rsidP="003F6A5D">
      <w:pPr>
        <w:numPr>
          <w:ilvl w:val="0"/>
          <w:numId w:val="673"/>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Збір та аналіз інформації із соціальних мереж, таких як </w:t>
      </w:r>
      <w:r w:rsidRPr="00511005">
        <w:rPr>
          <w:rFonts w:ascii="Arial" w:eastAsia="Times New Roman" w:hAnsi="Arial" w:cs="Arial"/>
          <w:szCs w:val="28"/>
          <w:lang w:val="en-US" w:eastAsia="ru-RU"/>
        </w:rPr>
        <w:t>Facebook</w:t>
      </w:r>
      <w:r w:rsidRPr="00511005">
        <w:rPr>
          <w:rFonts w:ascii="Arial" w:eastAsia="Times New Roman" w:hAnsi="Arial" w:cs="Arial"/>
          <w:szCs w:val="28"/>
          <w:lang w:val="uk-UA" w:eastAsia="ru-RU"/>
        </w:rPr>
        <w:t xml:space="preserve"> або </w:t>
      </w:r>
      <w:r w:rsidRPr="00511005">
        <w:rPr>
          <w:rFonts w:ascii="Arial" w:eastAsia="Times New Roman" w:hAnsi="Arial" w:cs="Arial"/>
          <w:szCs w:val="28"/>
          <w:lang w:val="en-US" w:eastAsia="ru-RU"/>
        </w:rPr>
        <w:t>YouTube</w:t>
      </w:r>
      <w:r w:rsidRPr="00511005">
        <w:rPr>
          <w:rFonts w:ascii="Arial" w:eastAsia="Times New Roman" w:hAnsi="Arial" w:cs="Arial"/>
          <w:szCs w:val="28"/>
          <w:lang w:val="uk-UA" w:eastAsia="ru-RU"/>
        </w:rPr>
        <w:t>;</w:t>
      </w:r>
    </w:p>
    <w:p w14:paraId="29ABDEBB" w14:textId="77777777" w:rsidR="00532C25" w:rsidRPr="00511005" w:rsidRDefault="00532C25" w:rsidP="003F6A5D">
      <w:pPr>
        <w:numPr>
          <w:ilvl w:val="0"/>
          <w:numId w:val="673"/>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Оцінка достовірності інформації;</w:t>
      </w:r>
    </w:p>
    <w:p w14:paraId="418C6A0D" w14:textId="77777777" w:rsidR="00532C25" w:rsidRPr="00511005" w:rsidRDefault="00532C25" w:rsidP="003F6A5D">
      <w:pPr>
        <w:numPr>
          <w:ilvl w:val="0"/>
          <w:numId w:val="673"/>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Моніторинг та розпізнавання ідентичності в мережі Інтернет;</w:t>
      </w:r>
    </w:p>
    <w:p w14:paraId="42CD3E74" w14:textId="77777777" w:rsidR="00532C25" w:rsidRPr="00511005" w:rsidRDefault="00532C25" w:rsidP="003F6A5D">
      <w:pPr>
        <w:numPr>
          <w:ilvl w:val="0"/>
          <w:numId w:val="673"/>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Робота з даними, отриманими з невідомого вебпростору [4, с. 82].</w:t>
      </w:r>
    </w:p>
    <w:p w14:paraId="56E1B7C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ab/>
        <w:t xml:space="preserve">Особливістю використання зазначених мереж є виконання проникнення оперативного співробітника до злочинної спільноти із легендою. Онлайн-робота оперативних підрозділів несе величезну користь та ефективність викриття злочинців, а також припинення суспільно небезпечних посягань. Таким чином поліція має можливість проникати в простір онлайн-злочинності для отримання доказі, які будуть мати величезне значення в процесі переслідування та відстеження анонімних користувачів даркнету, задля викриття та зупинення протиправних дій. </w:t>
      </w:r>
    </w:p>
    <w:p w14:paraId="2C549D7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Отже, можемо зробити висновок, що в умовах популяризації та розвитку інформаційних технологій кіберпростір, а саме його темна сторона – </w:t>
      </w:r>
      <w:r w:rsidRPr="00511005">
        <w:rPr>
          <w:rFonts w:ascii="Arial" w:eastAsia="Calibri" w:hAnsi="Arial" w:cs="Arial"/>
          <w:szCs w:val="28"/>
          <w:lang w:val="en-US"/>
        </w:rPr>
        <w:t>Darknet</w:t>
      </w:r>
      <w:r w:rsidRPr="00511005">
        <w:rPr>
          <w:rFonts w:ascii="Arial" w:eastAsia="Calibri" w:hAnsi="Arial" w:cs="Arial"/>
          <w:szCs w:val="28"/>
          <w:lang w:val="uk-UA"/>
        </w:rPr>
        <w:t xml:space="preserve">, набирає значних обертів для здійснення злочинних діянь. Оперативно-розшукові підрозділи активно вивчають на використовують зазначені мережі для ефективного спостереження, виявлення та нейтралізації протиправної активності осіб. </w:t>
      </w:r>
    </w:p>
    <w:p w14:paraId="4528E8D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 xml:space="preserve">Тому, моніторинг зазначених джерел дає можливість знаходити інформацію, яку в подальшому можна використовувати для розкриття та припинення кримінальних правопорушень. Зокрема можна отримати таку інформацію: данні про зв’язки особи, яка має у собі оперативний інтерес; інтереси особи; її місцезнаходження та інше. </w:t>
      </w:r>
    </w:p>
    <w:p w14:paraId="4D7881ED" w14:textId="77777777" w:rsidR="00532C25" w:rsidRPr="00511005" w:rsidRDefault="00532C25" w:rsidP="00532C25">
      <w:pPr>
        <w:spacing w:line="264" w:lineRule="auto"/>
        <w:ind w:firstLine="720"/>
        <w:rPr>
          <w:rFonts w:ascii="Arial" w:eastAsia="Calibri" w:hAnsi="Arial" w:cs="Arial"/>
          <w:szCs w:val="28"/>
          <w:lang w:val="uk-UA"/>
        </w:rPr>
      </w:pPr>
    </w:p>
    <w:p w14:paraId="231D3F6F"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3417531A" w14:textId="77777777" w:rsidR="00532C25" w:rsidRPr="00511005" w:rsidRDefault="00532C25" w:rsidP="00532C25">
      <w:pPr>
        <w:spacing w:line="264" w:lineRule="auto"/>
        <w:ind w:firstLine="720"/>
        <w:rPr>
          <w:rFonts w:ascii="Arial" w:eastAsia="Calibri" w:hAnsi="Arial" w:cs="Arial"/>
          <w:b/>
          <w:bCs/>
          <w:szCs w:val="28"/>
          <w:lang w:val="uk-UA"/>
        </w:rPr>
      </w:pPr>
      <w:r w:rsidRPr="00511005">
        <w:rPr>
          <w:rFonts w:ascii="Arial" w:eastAsia="Calibri" w:hAnsi="Arial" w:cs="Arial"/>
          <w:szCs w:val="28"/>
          <w:lang w:val="uk-UA"/>
        </w:rPr>
        <w:t>1. Про основні засади забезпечення кібербезпеки України: Закон України № 2163-VIII від 5 жовтня 2017 року. URL: https://zakon.rada.gov.ua/laws/show/2163-19.</w:t>
      </w:r>
    </w:p>
    <w:p w14:paraId="7DDBD4B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2. Білецький В. Інформаційне забезпечення оперативно-розшукової діяльності у прикордонній сфері. </w:t>
      </w:r>
      <w:r w:rsidRPr="00511005">
        <w:rPr>
          <w:rFonts w:ascii="Arial" w:eastAsia="Calibri" w:hAnsi="Arial" w:cs="Arial"/>
          <w:i/>
          <w:iCs/>
          <w:szCs w:val="28"/>
          <w:lang w:val="uk-UA"/>
        </w:rPr>
        <w:t xml:space="preserve">Публічне управління: теорія та практика. Серія Держава та суспільство. </w:t>
      </w:r>
      <w:r w:rsidRPr="00511005">
        <w:rPr>
          <w:rFonts w:ascii="Arial" w:eastAsia="Calibri" w:hAnsi="Arial" w:cs="Arial"/>
          <w:szCs w:val="28"/>
          <w:lang w:val="uk-UA"/>
        </w:rPr>
        <w:t>2013. № 2/14. С. 174-178.</w:t>
      </w:r>
    </w:p>
    <w:p w14:paraId="757DAE7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3. Мовчан А. В. Інформаційно-аналітична робота в оперативно-розшуковій діяльності Національної поліції: навч. посібник / А. В. Мов-чан. Львів: ЛьвДУВС, 2017. 244 с.</w:t>
      </w:r>
    </w:p>
    <w:p w14:paraId="719A76C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4. Минько О. В. Використання технологій OSINT для отримання розвідувальної інформації. </w:t>
      </w:r>
      <w:r w:rsidRPr="00511005">
        <w:rPr>
          <w:rFonts w:ascii="Arial" w:eastAsia="Calibri" w:hAnsi="Arial" w:cs="Arial"/>
          <w:i/>
          <w:iCs/>
          <w:szCs w:val="28"/>
          <w:lang w:val="uk-UA"/>
        </w:rPr>
        <w:t>Системи управління, навігації та зв'язку</w:t>
      </w:r>
      <w:r w:rsidRPr="00511005">
        <w:rPr>
          <w:rFonts w:ascii="Arial" w:eastAsia="Calibri" w:hAnsi="Arial" w:cs="Arial"/>
          <w:szCs w:val="28"/>
          <w:lang w:val="uk-UA"/>
        </w:rPr>
        <w:t>. 2016. Вип. 4. С. 81-84.</w:t>
      </w:r>
    </w:p>
    <w:p w14:paraId="4DCB73A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5. Визначення Darknet. Techopedia: URL://www.techopedia.com/definition/2395/darknet. веб-сайт. URL:</w:t>
      </w:r>
    </w:p>
    <w:p w14:paraId="1120B2E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6. Худенко Д.М. Особливості використання кримінальним аналітиком Darknet (на прикладі Національної поліції України). Актуальні питання оперативно-розшукової протидії злочинам: матеріали Всеукраїнського круглого столу (серед здобувачів вищої освіти) Донецьк: ДДУВС, 2020. С. 133-136.</w:t>
      </w:r>
    </w:p>
    <w:p w14:paraId="2E7BE43E" w14:textId="77777777" w:rsidR="00532C25" w:rsidRPr="00511005" w:rsidRDefault="00532C25" w:rsidP="00532C25">
      <w:pPr>
        <w:spacing w:line="264" w:lineRule="auto"/>
        <w:ind w:firstLine="720"/>
        <w:rPr>
          <w:rFonts w:ascii="Arial" w:eastAsia="Calibri" w:hAnsi="Arial" w:cs="Arial"/>
          <w:szCs w:val="28"/>
          <w:lang w:val="uk-UA"/>
        </w:rPr>
      </w:pPr>
    </w:p>
    <w:p w14:paraId="61EFEB5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кіберпростір, Мережа Інтернет, оперативні підрозділи, оперативно-розшукова діяльність, інформація, виявлення, припинення, отримання, протиправні діяння, збір.</w:t>
      </w:r>
    </w:p>
    <w:p w14:paraId="4C23AFF6" w14:textId="77777777" w:rsidR="00532C25" w:rsidRPr="00511005" w:rsidRDefault="00532C25" w:rsidP="00532C25">
      <w:pPr>
        <w:spacing w:line="264" w:lineRule="auto"/>
        <w:ind w:firstLine="720"/>
        <w:rPr>
          <w:rFonts w:ascii="Arial" w:eastAsia="Calibri" w:hAnsi="Arial" w:cs="Arial"/>
          <w:szCs w:val="28"/>
          <w:lang w:val="en-US"/>
        </w:rPr>
      </w:pPr>
      <w:r w:rsidRPr="00511005">
        <w:rPr>
          <w:rFonts w:ascii="Arial" w:eastAsia="Calibri" w:hAnsi="Arial" w:cs="Arial"/>
          <w:b/>
          <w:bCs/>
          <w:i/>
          <w:szCs w:val="28"/>
          <w:lang w:val="en"/>
        </w:rPr>
        <w:t xml:space="preserve">Key words: </w:t>
      </w:r>
      <w:r w:rsidRPr="00511005">
        <w:rPr>
          <w:rFonts w:ascii="Arial" w:eastAsia="Calibri" w:hAnsi="Arial" w:cs="Arial"/>
          <w:szCs w:val="28"/>
          <w:lang w:val="en"/>
        </w:rPr>
        <w:t>cyberspace, Internet, operational units, operational and investigative activities, information, detection, termination, receipt, illegal acts, collection.</w:t>
      </w:r>
    </w:p>
    <w:p w14:paraId="10223DEC" w14:textId="77777777" w:rsidR="00532C25" w:rsidRPr="00511005" w:rsidRDefault="00532C25" w:rsidP="00532C25">
      <w:pPr>
        <w:spacing w:line="264" w:lineRule="auto"/>
        <w:ind w:firstLine="72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 xml:space="preserve">к.ю.н., доцент Гресь Ю.О. </w:t>
      </w:r>
    </w:p>
    <w:p w14:paraId="0CAE3A23" w14:textId="77777777" w:rsidR="00532C25" w:rsidRPr="00511005" w:rsidRDefault="00532C25" w:rsidP="00532C25">
      <w:pPr>
        <w:spacing w:line="264" w:lineRule="auto"/>
        <w:ind w:firstLine="720"/>
        <w:jc w:val="left"/>
        <w:rPr>
          <w:rFonts w:ascii="Arial" w:eastAsia="Calibri" w:hAnsi="Arial" w:cs="Arial"/>
          <w:szCs w:val="28"/>
        </w:rPr>
      </w:pPr>
    </w:p>
    <w:p w14:paraId="12F91B6C" w14:textId="77777777" w:rsidR="00532C25" w:rsidRPr="00511005" w:rsidRDefault="00532C25" w:rsidP="00532C25">
      <w:pPr>
        <w:spacing w:line="264" w:lineRule="auto"/>
        <w:ind w:firstLine="720"/>
        <w:jc w:val="left"/>
        <w:rPr>
          <w:rFonts w:ascii="Arial" w:eastAsia="Calibri" w:hAnsi="Arial" w:cs="Arial"/>
          <w:szCs w:val="28"/>
        </w:rPr>
      </w:pPr>
    </w:p>
    <w:p w14:paraId="799DB561" w14:textId="77777777" w:rsidR="00532C25" w:rsidRPr="00511005" w:rsidRDefault="00532C25" w:rsidP="00532C25">
      <w:pPr>
        <w:spacing w:line="264" w:lineRule="auto"/>
        <w:ind w:firstLine="720"/>
        <w:jc w:val="center"/>
        <w:rPr>
          <w:rFonts w:ascii="Arial" w:eastAsia="Times New Roman" w:hAnsi="Arial" w:cs="Arial"/>
          <w:szCs w:val="28"/>
        </w:rPr>
      </w:pPr>
      <w:r w:rsidRPr="00511005">
        <w:rPr>
          <w:rFonts w:ascii="Arial" w:eastAsia="Times New Roman" w:hAnsi="Arial" w:cs="Arial"/>
          <w:b/>
          <w:bCs/>
          <w:i/>
          <w:iCs/>
          <w:szCs w:val="28"/>
        </w:rPr>
        <w:t>Гордієнко Валерія Сергіївна</w:t>
      </w:r>
    </w:p>
    <w:p w14:paraId="32443E74" w14:textId="77777777" w:rsidR="00532C25" w:rsidRPr="00511005" w:rsidRDefault="00532C25" w:rsidP="00532C25">
      <w:pPr>
        <w:spacing w:line="264" w:lineRule="auto"/>
        <w:ind w:firstLine="720"/>
        <w:jc w:val="center"/>
        <w:rPr>
          <w:rFonts w:ascii="Arial" w:eastAsia="Times New Roman" w:hAnsi="Arial" w:cs="Arial"/>
          <w:szCs w:val="28"/>
        </w:rPr>
      </w:pPr>
      <w:r w:rsidRPr="00511005">
        <w:rPr>
          <w:rFonts w:ascii="Arial" w:eastAsia="Times New Roman" w:hAnsi="Arial" w:cs="Arial"/>
          <w:szCs w:val="28"/>
        </w:rPr>
        <w:t xml:space="preserve">студентка 2-го курсу факультету адвокатури </w:t>
      </w:r>
    </w:p>
    <w:p w14:paraId="7F1CB77C" w14:textId="77777777" w:rsidR="00532C25" w:rsidRPr="00511005" w:rsidRDefault="00532C25" w:rsidP="00532C25">
      <w:pPr>
        <w:spacing w:line="264" w:lineRule="auto"/>
        <w:ind w:firstLine="720"/>
        <w:jc w:val="center"/>
        <w:rPr>
          <w:rFonts w:ascii="Arial" w:eastAsia="Times New Roman" w:hAnsi="Arial" w:cs="Arial"/>
          <w:szCs w:val="28"/>
        </w:rPr>
      </w:pPr>
      <w:r w:rsidRPr="00511005">
        <w:rPr>
          <w:rFonts w:ascii="Arial" w:eastAsia="Times New Roman" w:hAnsi="Arial" w:cs="Arial"/>
          <w:szCs w:val="28"/>
        </w:rPr>
        <w:t>та антикорупційної діяльності</w:t>
      </w:r>
    </w:p>
    <w:p w14:paraId="0BB81DF7" w14:textId="77777777" w:rsidR="00532C25" w:rsidRPr="00511005" w:rsidRDefault="00532C25" w:rsidP="00532C25">
      <w:pPr>
        <w:spacing w:line="264" w:lineRule="auto"/>
        <w:ind w:firstLine="720"/>
        <w:jc w:val="center"/>
        <w:rPr>
          <w:rFonts w:ascii="Arial" w:eastAsia="Times New Roman" w:hAnsi="Arial" w:cs="Arial"/>
          <w:szCs w:val="28"/>
          <w:lang w:val="uk-UA"/>
        </w:rPr>
      </w:pPr>
      <w:r w:rsidRPr="00511005">
        <w:rPr>
          <w:rFonts w:ascii="Arial" w:eastAsia="Times New Roman" w:hAnsi="Arial" w:cs="Arial"/>
          <w:szCs w:val="28"/>
        </w:rPr>
        <w:t>Національного університету «Одеська юридична академія»</w:t>
      </w:r>
    </w:p>
    <w:p w14:paraId="31624168" w14:textId="77777777" w:rsidR="00532C25" w:rsidRPr="00511005" w:rsidRDefault="00532C25" w:rsidP="00532C25">
      <w:pPr>
        <w:spacing w:line="264" w:lineRule="auto"/>
        <w:ind w:firstLine="720"/>
        <w:jc w:val="center"/>
        <w:rPr>
          <w:rFonts w:ascii="Arial" w:eastAsia="Times New Roman" w:hAnsi="Arial" w:cs="Arial"/>
          <w:szCs w:val="28"/>
        </w:rPr>
      </w:pPr>
    </w:p>
    <w:p w14:paraId="217400DC" w14:textId="77777777" w:rsidR="00532C25" w:rsidRPr="00511005" w:rsidRDefault="00532C25" w:rsidP="00532C25">
      <w:pPr>
        <w:spacing w:line="264" w:lineRule="auto"/>
        <w:ind w:firstLine="720"/>
        <w:jc w:val="center"/>
        <w:rPr>
          <w:rFonts w:ascii="Arial" w:eastAsia="Times New Roman" w:hAnsi="Arial" w:cs="Arial"/>
          <w:b/>
          <w:bCs/>
          <w:szCs w:val="28"/>
        </w:rPr>
      </w:pPr>
      <w:r w:rsidRPr="00511005">
        <w:rPr>
          <w:rFonts w:ascii="Arial" w:eastAsia="Times New Roman" w:hAnsi="Arial" w:cs="Arial"/>
          <w:b/>
          <w:bCs/>
          <w:szCs w:val="28"/>
        </w:rPr>
        <w:t xml:space="preserve">ЗАСТОСУВАННЯ ПОЛІГРАФА У РОЗСЛІДУВАННІ </w:t>
      </w:r>
    </w:p>
    <w:p w14:paraId="7A51B5BC" w14:textId="77777777" w:rsidR="00532C25" w:rsidRPr="00511005" w:rsidRDefault="00532C25" w:rsidP="00532C25">
      <w:pPr>
        <w:spacing w:line="264" w:lineRule="auto"/>
        <w:ind w:firstLine="720"/>
        <w:jc w:val="center"/>
        <w:rPr>
          <w:rFonts w:ascii="Arial" w:eastAsia="Times New Roman" w:hAnsi="Arial" w:cs="Arial"/>
          <w:b/>
          <w:bCs/>
          <w:szCs w:val="28"/>
        </w:rPr>
      </w:pPr>
      <w:r w:rsidRPr="00511005">
        <w:rPr>
          <w:rFonts w:ascii="Arial" w:eastAsia="Times New Roman" w:hAnsi="Arial" w:cs="Arial"/>
          <w:b/>
          <w:bCs/>
          <w:szCs w:val="28"/>
        </w:rPr>
        <w:lastRenderedPageBreak/>
        <w:t>КОРУПЦІЙНИХ ПРАВОПОРУШЕНЬ</w:t>
      </w:r>
    </w:p>
    <w:p w14:paraId="2BB5E7E2"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Поліграф являє собою спеціалізований технічний пристрій, здатний одночасно фіксувати різні фізіологічні реакції людини. Його відкрите застосування спрямоване на реєстрацію психофізіологічних змін, що виникають у відповідь на певні стимули. Принцип роботи поліграфа полягає у перетворенні фізіологічних показників активності опитуваного в електричні сигнали, які потім відображаються графічно у вигляді кривих на поліграмах [1, с.6</w:t>
      </w:r>
      <w:proofErr w:type="gramStart"/>
      <w:r w:rsidRPr="00511005">
        <w:rPr>
          <w:rFonts w:ascii="Arial" w:eastAsia="Times New Roman" w:hAnsi="Arial" w:cs="Arial"/>
          <w:szCs w:val="28"/>
        </w:rPr>
        <w:t>] .</w:t>
      </w:r>
      <w:proofErr w:type="gramEnd"/>
      <w:r w:rsidRPr="00511005">
        <w:rPr>
          <w:rFonts w:ascii="Arial" w:eastAsia="Times New Roman" w:hAnsi="Arial" w:cs="Arial"/>
          <w:szCs w:val="28"/>
        </w:rPr>
        <w:t xml:space="preserve"> </w:t>
      </w:r>
    </w:p>
    <w:p w14:paraId="7C8D82DE"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Він, будучи високоточним науково-технічним інструментом відкритого застосування, може розглядатися як дієвий засіб у боротьбі з корупцією, що становить серйозну загрозу для українського суспільства. Тому обґрунтованість використання поліграфа в роботі органів державної влади для виявлення корупційних дій як на рівні системи, так і серед окремих посадових осіб, є очевидною. Використання цього методу надає нові шляхи для здобуття важливих відомостей, проте одночасно постають питання стосовно його дієвості, законності та моральних аспектів.</w:t>
      </w:r>
    </w:p>
    <w:p w14:paraId="5BE28093"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Times New Roman" w:hAnsi="Arial" w:cs="Arial"/>
          <w:szCs w:val="28"/>
        </w:rPr>
        <w:t>Однією з головних позитивних сторін застосування поліграфа при розслідуванні корупційних правопорушень є здатність отримати попередні дані про можливу участь особи у незаконних діях. Коли звичайні способи розслідування не дають результатів або недостатньо прямих доказів, поліграф може допомогти визначити коло осіб, що підозрюються, виявити тих, хто приховує значущу інформацію, або підтвердити чи спростувати їхні показання.</w:t>
      </w:r>
    </w:p>
    <w:p w14:paraId="1B6B600C"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Times New Roman" w:hAnsi="Arial" w:cs="Arial"/>
          <w:szCs w:val="28"/>
        </w:rPr>
        <w:t>При опитуванні на поліграфі службової особи питання про корупцію здатні викликати неконтрольовані фізіологічні та психологічні зміни в її організмі.</w:t>
      </w:r>
    </w:p>
    <w:p w14:paraId="01505B45"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Звісно, ці реакції будуть різними залежно від того, як ця особа ставиться до хабарництва та інших корупційних дій. Якщо людина абсолютно впевнена у законності своїх дій і не відчуває сорому чи інших переживань, пов'язаних з протиправною поведінкою, її психофізіологічні реакції будуть малопомітними. Це суттєво ускладнить встановлення причетності конкретного посадовця до корупційних дій. Проте, повний контроль над емоціями рідко буває абсолютним, а суспільне виховання з дитинства формує у людини розуміння добра і зла, правильної поведінки та відповідального виконання обов'язків. Саме це виховання закладає певні страхи перед корупцією, які знаходять відображення у її психофізіологічному стані.</w:t>
      </w:r>
    </w:p>
    <w:p w14:paraId="02CA0E4F"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Попри можливі вигоди, використання поліграфа в розслідуванні корупційних діянь супроводжується низкою значних обмежень. Найважливішим з них є неможливість абсолютно точно гарантувати достовірність отриманих даних. Психофізіологічні зміни можуть бути зумовлені не лише брехнею, а й такими факторами, як нервове напруження, </w:t>
      </w:r>
      <w:r w:rsidRPr="00511005">
        <w:rPr>
          <w:rFonts w:ascii="Arial" w:eastAsia="Times New Roman" w:hAnsi="Arial" w:cs="Arial"/>
          <w:szCs w:val="28"/>
        </w:rPr>
        <w:lastRenderedPageBreak/>
        <w:t>тривога, фізичне самопочуття особи або спроби протидії дослідженню. З цієї причини результати тестування на поліграфі не можуть слугувати беззаперечним доказом провини та потребують підтвердження іншими зібраними матеріалами справи.</w:t>
      </w:r>
    </w:p>
    <w:p w14:paraId="1C938E92"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Важливим аспектом є також правовий статус поліграфа. В Україні та багатьох інших країнах його результати не мають сили повноцінного доказу в суді, а використовуються лише як орієнтир для слідчих дій, не будучи самостійною підставою для обвинувачення. Це вимагає обов'язкового забезпечення прав людини та отримання вільної згоди на проходження дослідження, оскільки будь-який примус робить результати недійсними.</w:t>
      </w:r>
    </w:p>
    <w:p w14:paraId="63D139E9"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Водночас, не менш важливими є етичні міркування щодо застосування поліграфа. Питання збереження таємниці отриманої інформації, запобігання її зловживанню, а також потенційний психологічний вплив на досліджуваного є ключовими. Тому існує нагальна потреба у розробці чітких етичних правил та протоколів проведення досліджень на поліграфі, що гарантують повагу до прав і гідності особистості.</w:t>
      </w:r>
    </w:p>
    <w:p w14:paraId="6CA77A0B"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Таким чином, поліграф у розслідуванні корупційних правопорушень є скоріше помічником, ніж головним інструментом слідства. Його користь зростає при комплексному підході, разом з аналізом документів, допитами та іншими заходами. Щоб поліграф працював максимально ефективно, потрібні чіткі закони, кваліфіковані фахівці та повага до прав людини. У підсумку, обдумане застосування поліграфа може допомогти у боротьбі з корупцією, наближаючи до істини та покращуючи якість розслідувань.</w:t>
      </w:r>
    </w:p>
    <w:p w14:paraId="7001EAC9" w14:textId="77777777" w:rsidR="00532C25" w:rsidRPr="00511005" w:rsidRDefault="00532C25" w:rsidP="00532C25">
      <w:pPr>
        <w:spacing w:line="264" w:lineRule="auto"/>
        <w:ind w:firstLine="720"/>
        <w:rPr>
          <w:rFonts w:ascii="Arial" w:eastAsia="Times New Roman" w:hAnsi="Arial" w:cs="Arial"/>
          <w:szCs w:val="28"/>
        </w:rPr>
      </w:pPr>
    </w:p>
    <w:p w14:paraId="1499055A" w14:textId="77777777" w:rsidR="00532C25" w:rsidRPr="00511005" w:rsidRDefault="00532C25" w:rsidP="00532C25">
      <w:pPr>
        <w:spacing w:line="264" w:lineRule="auto"/>
        <w:ind w:firstLine="720"/>
        <w:jc w:val="center"/>
        <w:rPr>
          <w:rFonts w:ascii="Arial" w:eastAsia="Times New Roman" w:hAnsi="Arial" w:cs="Arial"/>
          <w:szCs w:val="28"/>
        </w:rPr>
      </w:pPr>
      <w:r w:rsidRPr="00511005">
        <w:rPr>
          <w:rFonts w:ascii="Arial" w:eastAsia="Times New Roman" w:hAnsi="Arial" w:cs="Arial"/>
          <w:b/>
          <w:bCs/>
          <w:szCs w:val="28"/>
          <w:lang w:val="uk-UA"/>
        </w:rPr>
        <w:t>Список використаних джерел</w:t>
      </w:r>
    </w:p>
    <w:p w14:paraId="4D6F0990"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1. Мотлях О. І. Психофізіологічні дослідження з використанням поліграфа в практиці розслідування </w:t>
      </w:r>
      <w:proofErr w:type="gramStart"/>
      <w:r w:rsidRPr="00511005">
        <w:rPr>
          <w:rFonts w:ascii="Arial" w:eastAsia="Times New Roman" w:hAnsi="Arial" w:cs="Arial"/>
          <w:szCs w:val="28"/>
        </w:rPr>
        <w:t>злочинів :</w:t>
      </w:r>
      <w:proofErr w:type="gramEnd"/>
      <w:r w:rsidRPr="00511005">
        <w:rPr>
          <w:rFonts w:ascii="Arial" w:eastAsia="Times New Roman" w:hAnsi="Arial" w:cs="Arial"/>
          <w:szCs w:val="28"/>
        </w:rPr>
        <w:t xml:space="preserve"> метод. рек. / О. І. Мотлях, В. Л. Костюк, Д. В. Куценко. - </w:t>
      </w:r>
      <w:proofErr w:type="gramStart"/>
      <w:r w:rsidRPr="00511005">
        <w:rPr>
          <w:rFonts w:ascii="Arial" w:eastAsia="Times New Roman" w:hAnsi="Arial" w:cs="Arial"/>
          <w:szCs w:val="28"/>
        </w:rPr>
        <w:t>Київ :</w:t>
      </w:r>
      <w:proofErr w:type="gramEnd"/>
      <w:r w:rsidRPr="00511005">
        <w:rPr>
          <w:rFonts w:ascii="Arial" w:eastAsia="Times New Roman" w:hAnsi="Arial" w:cs="Arial"/>
          <w:szCs w:val="28"/>
        </w:rPr>
        <w:t xml:space="preserve"> Освіта України, 2016. - 73 с </w:t>
      </w:r>
    </w:p>
    <w:p w14:paraId="37CEB82C" w14:textId="77777777" w:rsidR="00532C25" w:rsidRPr="00511005" w:rsidRDefault="00532C25" w:rsidP="00532C25">
      <w:pPr>
        <w:spacing w:line="264" w:lineRule="auto"/>
        <w:ind w:firstLine="720"/>
        <w:rPr>
          <w:rFonts w:ascii="Arial" w:eastAsia="Times New Roman" w:hAnsi="Arial" w:cs="Arial"/>
          <w:szCs w:val="28"/>
        </w:rPr>
      </w:pPr>
    </w:p>
    <w:p w14:paraId="107C482E"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b/>
          <w:bCs/>
          <w:i/>
          <w:szCs w:val="28"/>
        </w:rPr>
        <w:t xml:space="preserve">Ключові слова: </w:t>
      </w:r>
      <w:r w:rsidRPr="00511005">
        <w:rPr>
          <w:rFonts w:ascii="Arial" w:eastAsia="Times New Roman" w:hAnsi="Arial" w:cs="Arial"/>
          <w:szCs w:val="28"/>
        </w:rPr>
        <w:t>поліграф, корупційні правопорушення, корупція, розслідування, психофізіологічні реакції</w:t>
      </w:r>
    </w:p>
    <w:p w14:paraId="0AE9B82C"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b/>
          <w:bCs/>
          <w:i/>
          <w:szCs w:val="28"/>
          <w:lang w:val="en-US"/>
        </w:rPr>
        <w:t xml:space="preserve">Key words: </w:t>
      </w:r>
      <w:r w:rsidRPr="00511005">
        <w:rPr>
          <w:rFonts w:ascii="Arial" w:eastAsia="Times New Roman" w:hAnsi="Arial" w:cs="Arial"/>
          <w:szCs w:val="28"/>
          <w:lang w:val="en-US"/>
        </w:rPr>
        <w:t>polygraph, corruption offenses, corruption, investigation, psychophysiological reactions</w:t>
      </w:r>
    </w:p>
    <w:p w14:paraId="434B30F3" w14:textId="77777777" w:rsidR="00532C25" w:rsidRPr="00511005" w:rsidRDefault="00532C25" w:rsidP="00532C25">
      <w:pPr>
        <w:spacing w:line="264" w:lineRule="auto"/>
        <w:ind w:firstLine="720"/>
        <w:rPr>
          <w:rFonts w:ascii="Arial" w:eastAsia="Times New Roman" w:hAnsi="Arial" w:cs="Arial"/>
          <w:i/>
          <w:iCs/>
          <w:szCs w:val="28"/>
        </w:rPr>
      </w:pPr>
      <w:r w:rsidRPr="00511005">
        <w:rPr>
          <w:rFonts w:ascii="Arial" w:eastAsia="Times New Roman" w:hAnsi="Arial" w:cs="Arial"/>
          <w:b/>
          <w:i/>
          <w:iCs/>
          <w:szCs w:val="28"/>
        </w:rPr>
        <w:t xml:space="preserve">Науковий керівник: </w:t>
      </w:r>
      <w:r w:rsidRPr="00511005">
        <w:rPr>
          <w:rFonts w:ascii="Arial" w:eastAsia="Times New Roman" w:hAnsi="Arial" w:cs="Arial"/>
          <w:i/>
          <w:iCs/>
          <w:szCs w:val="28"/>
        </w:rPr>
        <w:t>доктор філософії</w:t>
      </w:r>
      <w:r w:rsidRPr="00511005">
        <w:rPr>
          <w:rFonts w:ascii="Arial" w:eastAsia="Times New Roman" w:hAnsi="Arial" w:cs="Arial"/>
          <w:i/>
          <w:iCs/>
          <w:szCs w:val="28"/>
          <w:lang w:val="uk-UA"/>
        </w:rPr>
        <w:t>, доцент</w:t>
      </w:r>
      <w:r w:rsidRPr="00511005">
        <w:rPr>
          <w:rFonts w:ascii="Arial" w:eastAsia="Times New Roman" w:hAnsi="Arial" w:cs="Arial"/>
          <w:i/>
          <w:iCs/>
          <w:szCs w:val="28"/>
        </w:rPr>
        <w:t xml:space="preserve"> Чернов О.В.</w:t>
      </w:r>
    </w:p>
    <w:p w14:paraId="36A1A043" w14:textId="77777777" w:rsidR="00532C25" w:rsidRPr="00511005" w:rsidRDefault="00532C25" w:rsidP="00532C25">
      <w:pPr>
        <w:spacing w:line="264" w:lineRule="auto"/>
        <w:ind w:firstLine="720"/>
        <w:jc w:val="left"/>
        <w:rPr>
          <w:rFonts w:ascii="Arial" w:eastAsia="Calibri" w:hAnsi="Arial" w:cs="Arial"/>
          <w:szCs w:val="28"/>
        </w:rPr>
      </w:pPr>
    </w:p>
    <w:p w14:paraId="718DF6D7" w14:textId="77777777" w:rsidR="00532C25" w:rsidRPr="00511005" w:rsidRDefault="00532C25" w:rsidP="00532C25">
      <w:pPr>
        <w:spacing w:line="264" w:lineRule="auto"/>
        <w:ind w:firstLine="720"/>
        <w:jc w:val="center"/>
        <w:rPr>
          <w:rFonts w:ascii="Arial" w:eastAsia="Times New Roman" w:hAnsi="Arial" w:cs="Arial"/>
          <w:b/>
          <w:bCs/>
          <w:szCs w:val="28"/>
        </w:rPr>
      </w:pPr>
    </w:p>
    <w:p w14:paraId="6E438166" w14:textId="77777777" w:rsidR="00532C25" w:rsidRPr="00511005" w:rsidRDefault="00532C25" w:rsidP="00532C25">
      <w:pPr>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Данилов Денис Олегович</w:t>
      </w:r>
    </w:p>
    <w:p w14:paraId="2EC82A7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2-го курсу </w:t>
      </w:r>
    </w:p>
    <w:p w14:paraId="50117C7B"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9E15A71"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5578022" w14:textId="77777777" w:rsidR="00532C25" w:rsidRPr="00511005" w:rsidRDefault="00532C25" w:rsidP="00532C25">
      <w:pPr>
        <w:spacing w:line="264" w:lineRule="auto"/>
        <w:ind w:firstLine="720"/>
        <w:jc w:val="center"/>
        <w:rPr>
          <w:rFonts w:ascii="Arial" w:eastAsia="Calibri" w:hAnsi="Arial" w:cs="Arial"/>
          <w:szCs w:val="28"/>
          <w:lang w:val="uk-UA"/>
        </w:rPr>
      </w:pPr>
    </w:p>
    <w:p w14:paraId="68DB8572"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lastRenderedPageBreak/>
        <w:t>КРИМІНАЛІСТИЧНЕ ЗАБЕЗПЕЧЕННЯ БОРОТЬБИ ЗІ ЗЛОЧИННІСТЮ: ВИКЛИКИ ВОЄННОГО ЧАСУ</w:t>
      </w:r>
    </w:p>
    <w:p w14:paraId="489B523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24 лютого 2022 року розпочалося масштабне вторгнення рф на територію України. Протягом останніх років значно змінилася орієнтованість криміналістичних досліджень та досліджень у сфері теорії оперативно-розшукової діяльності. Це пов’язано з низкою нових, унікальних для особового складу правоохоронців мирного часу випадків, що потребували як кардинально іншого погляду на вирішення, так і нових засобів та рішень. Війна продемонструвала, що будь-якої будівлі, чи то відділку поліції, чи то ТРЦ, чи навіть звичайного житлового масиву може не стати за лічені хвилини. Це змусило правоохоронців перейти на новий метод зберігання та обробки інформації – цифровий. Але це був лише початок великого шляху: глобалізація протидії кіберзлочинам, використання цифрових технологій для ідентифікації особи, заходи щодо розслідування військових злочинів проти цивільного населення, адаптація міжнародного досвіду до внутрішньодержавної стратегії оперативно-розшукової діяльності [1]. Саме цим аспектам присвячена тема нашої доповіді, аналіз застосування вищеперерахованих методів буде проводитися на прикладі розслідуванні злочинів у Бучі та кібератак на енергетичну інфраструктуру України</w:t>
      </w:r>
    </w:p>
    <w:p w14:paraId="09AEB04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Розслідування злочинів у Бучі стало серйозним викликом для всієї правоохоронної системи України, як технічно, так і морально. Сотні вбитих життів були перед очами щохвилини, але найстрашніше те, що з кожним просуванням слідчо-оперативних груп хоча б на 100-200 метрів, трупів цивільних ставало все більше. Для повного і неупередженого розслідування, слідчим та працівникам оперативних підрозділів доводилося поєднувати як традиційні методи криміналістики, так і сучасні цифрові технології. Найбільш важливим аспектом документальної фіксації злочинів стало активне використання аерофотозйомки за допомогою дронів та супутників компанії </w:t>
      </w:r>
      <w:r w:rsidRPr="00511005">
        <w:rPr>
          <w:rFonts w:ascii="Arial" w:eastAsia="Calibri" w:hAnsi="Arial" w:cs="Arial"/>
          <w:szCs w:val="28"/>
          <w:lang w:val="en-US"/>
        </w:rPr>
        <w:t>Maxar</w:t>
      </w:r>
      <w:r w:rsidRPr="00511005">
        <w:rPr>
          <w:rFonts w:ascii="Arial" w:eastAsia="Calibri" w:hAnsi="Arial" w:cs="Arial"/>
          <w:szCs w:val="28"/>
          <w:lang w:val="uk-UA"/>
        </w:rPr>
        <w:t xml:space="preserve"> [2,3]. Ці засоби дозволили задокументувати факти масових поховань та руйнації житлових кварталів.</w:t>
      </w:r>
    </w:p>
    <w:p w14:paraId="0DAC42A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Не менш важливу роль відіграла технологія 3</w:t>
      </w:r>
      <w:r w:rsidRPr="00511005">
        <w:rPr>
          <w:rFonts w:ascii="Arial" w:eastAsia="Calibri" w:hAnsi="Arial" w:cs="Arial"/>
          <w:szCs w:val="28"/>
          <w:lang w:val="en-US"/>
        </w:rPr>
        <w:t>D</w:t>
      </w:r>
      <w:r w:rsidRPr="00511005">
        <w:rPr>
          <w:rFonts w:ascii="Arial" w:eastAsia="Calibri" w:hAnsi="Arial" w:cs="Arial"/>
          <w:szCs w:val="28"/>
          <w:lang w:val="uk-UA"/>
        </w:rPr>
        <w:t xml:space="preserve">-реконструкції місць злочинів, яка дозволила відтворити пошкоджені чи зруйновані ділянки місцевості для повноцінного аналізу тогочасних подій у різних обставинах [2]. Окрім українських спеціалістів у розслідуванні брали участь фахівці Міжнародного кримінального суду та інші незалежні групи, такі як </w:t>
      </w:r>
      <w:r w:rsidRPr="00511005">
        <w:rPr>
          <w:rFonts w:ascii="Arial" w:eastAsia="Calibri" w:hAnsi="Arial" w:cs="Arial"/>
          <w:szCs w:val="28"/>
          <w:lang w:val="en-US"/>
        </w:rPr>
        <w:t>Bellingcat</w:t>
      </w:r>
      <w:r w:rsidRPr="00511005">
        <w:rPr>
          <w:rFonts w:ascii="Arial" w:eastAsia="Calibri" w:hAnsi="Arial" w:cs="Arial"/>
          <w:szCs w:val="28"/>
          <w:lang w:val="uk-UA"/>
        </w:rPr>
        <w:t xml:space="preserve">, що допомагали ідентифікувати підрозділи збройних сил росії, причетних до вчинення злочинів [4]. </w:t>
      </w:r>
    </w:p>
    <w:p w14:paraId="2486758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За цей період було значно розширено та вдосконалено методи судово-медичної експертизи: за підтримки міжнародних організацій, було проведено ДНК-профілювання жертв, так як суто візуальний метод було просто неможливо використовувати для розпізнання осіб за виявленими тілами, а засоби трасологічного аналізу дозволили встановити достовірні </w:t>
      </w:r>
      <w:r w:rsidRPr="00511005">
        <w:rPr>
          <w:rFonts w:ascii="Arial" w:eastAsia="Calibri" w:hAnsi="Arial" w:cs="Arial"/>
          <w:szCs w:val="28"/>
          <w:lang w:val="uk-UA"/>
        </w:rPr>
        <w:lastRenderedPageBreak/>
        <w:t>маршрути пересування ворожої бронетехніки, і, в подальшому, повністю встановити обставини вчинення кожного вбивства, починаючи від пересування до місця злочину, закінчуючи моментом його безпосереднього вчинення.</w:t>
      </w:r>
    </w:p>
    <w:p w14:paraId="5557D35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Щодо кібератак на енергетику, можна зазначити, що даний напрямок ще більше посилив співробітництво між Україною та західними партнерами. Їх активність припала на кінець 2022 – початок 2023 років, коли групи російських хакерів запустили у ПЗ віруси </w:t>
      </w:r>
      <w:r w:rsidRPr="00511005">
        <w:rPr>
          <w:rFonts w:ascii="Arial" w:eastAsia="Calibri" w:hAnsi="Arial" w:cs="Arial"/>
          <w:szCs w:val="28"/>
          <w:lang w:val="en-US"/>
        </w:rPr>
        <w:t>Industroyer</w:t>
      </w:r>
      <w:r w:rsidRPr="00511005">
        <w:rPr>
          <w:rFonts w:ascii="Arial" w:eastAsia="Calibri" w:hAnsi="Arial" w:cs="Arial"/>
          <w:szCs w:val="28"/>
          <w:lang w:val="uk-UA"/>
        </w:rPr>
        <w:t xml:space="preserve">2 та </w:t>
      </w:r>
      <w:r w:rsidRPr="00511005">
        <w:rPr>
          <w:rFonts w:ascii="Arial" w:eastAsia="Calibri" w:hAnsi="Arial" w:cs="Arial"/>
          <w:szCs w:val="28"/>
          <w:lang w:val="en-US"/>
        </w:rPr>
        <w:t>Sandworm</w:t>
      </w:r>
      <w:r w:rsidRPr="00511005">
        <w:rPr>
          <w:rFonts w:ascii="Arial" w:eastAsia="Calibri" w:hAnsi="Arial" w:cs="Arial"/>
          <w:szCs w:val="28"/>
          <w:lang w:val="uk-UA"/>
        </w:rPr>
        <w:t xml:space="preserve"> з метою саботажу у системі енергетичних об’єктів [5]. Також відносно «Укренерго» не одноразово було застосовано фішинг-атаки, що вкотре підкреслює високий технологічний рівень противника. Ця проблема потребувала комплексного рішення, і наші спеціалісти його знайшли: група </w:t>
      </w:r>
      <w:r w:rsidRPr="00511005">
        <w:rPr>
          <w:rFonts w:ascii="Arial" w:eastAsia="Calibri" w:hAnsi="Arial" w:cs="Arial"/>
          <w:szCs w:val="28"/>
          <w:lang w:val="en-US"/>
        </w:rPr>
        <w:t>CERT</w:t>
      </w:r>
      <w:r w:rsidRPr="00511005">
        <w:rPr>
          <w:rFonts w:ascii="Arial" w:eastAsia="Calibri" w:hAnsi="Arial" w:cs="Arial"/>
          <w:szCs w:val="28"/>
          <w:lang w:val="uk-UA"/>
        </w:rPr>
        <w:t>-</w:t>
      </w:r>
      <w:r w:rsidRPr="00511005">
        <w:rPr>
          <w:rFonts w:ascii="Arial" w:eastAsia="Calibri" w:hAnsi="Arial" w:cs="Arial"/>
          <w:szCs w:val="28"/>
          <w:lang w:val="en-US"/>
        </w:rPr>
        <w:t>UA</w:t>
      </w:r>
      <w:r w:rsidRPr="00511005">
        <w:rPr>
          <w:rFonts w:ascii="Arial" w:eastAsia="Calibri" w:hAnsi="Arial" w:cs="Arial"/>
          <w:szCs w:val="28"/>
          <w:lang w:val="uk-UA"/>
        </w:rPr>
        <w:t xml:space="preserve"> провела аналіз та декомпіляцію шкідливих програм, вивчаючи методи їх проникнення у систему та загальний функціонал, і в процесі вивчення змогли вийти на </w:t>
      </w:r>
      <w:r w:rsidRPr="00511005">
        <w:rPr>
          <w:rFonts w:ascii="Arial" w:eastAsia="Calibri" w:hAnsi="Arial" w:cs="Arial"/>
          <w:szCs w:val="28"/>
          <w:lang w:val="en-US"/>
        </w:rPr>
        <w:t>IP</w:t>
      </w:r>
      <w:r w:rsidRPr="00511005">
        <w:rPr>
          <w:rFonts w:ascii="Arial" w:eastAsia="Calibri" w:hAnsi="Arial" w:cs="Arial"/>
          <w:szCs w:val="28"/>
          <w:lang w:val="uk-UA"/>
        </w:rPr>
        <w:t>-адресу хакерської групи ГРУ рф.</w:t>
      </w:r>
    </w:p>
    <w:p w14:paraId="2552E6B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Це стало справжнім уроком про те, як треба ставитися до кібербезпеки, та послугувало мотивацією для створення окремої структури, що буде розробляти, використовувати та покращувати засоби кіберкриміналістики. Станом на сьогодні, ці повноваження належать до спеціалізованого кіберштабу при СБУ, що працює в тісній кореляції з </w:t>
      </w:r>
      <w:r w:rsidRPr="00511005">
        <w:rPr>
          <w:rFonts w:ascii="Arial" w:eastAsia="Calibri" w:hAnsi="Arial" w:cs="Arial"/>
          <w:szCs w:val="28"/>
          <w:lang w:val="en-US"/>
        </w:rPr>
        <w:t>Cyber</w:t>
      </w:r>
      <w:r w:rsidRPr="00511005">
        <w:rPr>
          <w:rFonts w:ascii="Arial" w:eastAsia="Calibri" w:hAnsi="Arial" w:cs="Arial"/>
          <w:szCs w:val="28"/>
          <w:lang w:val="uk-UA"/>
        </w:rPr>
        <w:t xml:space="preserve"> </w:t>
      </w:r>
      <w:r w:rsidRPr="00511005">
        <w:rPr>
          <w:rFonts w:ascii="Arial" w:eastAsia="Calibri" w:hAnsi="Arial" w:cs="Arial"/>
          <w:szCs w:val="28"/>
          <w:lang w:val="en-US"/>
        </w:rPr>
        <w:t>Rapid</w:t>
      </w:r>
      <w:r w:rsidRPr="00511005">
        <w:rPr>
          <w:rFonts w:ascii="Arial" w:eastAsia="Calibri" w:hAnsi="Arial" w:cs="Arial"/>
          <w:szCs w:val="28"/>
          <w:lang w:val="uk-UA"/>
        </w:rPr>
        <w:t xml:space="preserve"> </w:t>
      </w:r>
      <w:r w:rsidRPr="00511005">
        <w:rPr>
          <w:rFonts w:ascii="Arial" w:eastAsia="Calibri" w:hAnsi="Arial" w:cs="Arial"/>
          <w:szCs w:val="28"/>
          <w:lang w:val="en-US"/>
        </w:rPr>
        <w:t>Response</w:t>
      </w:r>
      <w:r w:rsidRPr="00511005">
        <w:rPr>
          <w:rFonts w:ascii="Arial" w:eastAsia="Calibri" w:hAnsi="Arial" w:cs="Arial"/>
          <w:szCs w:val="28"/>
          <w:lang w:val="uk-UA"/>
        </w:rPr>
        <w:t xml:space="preserve"> </w:t>
      </w:r>
      <w:r w:rsidRPr="00511005">
        <w:rPr>
          <w:rFonts w:ascii="Arial" w:eastAsia="Calibri" w:hAnsi="Arial" w:cs="Arial"/>
          <w:szCs w:val="28"/>
          <w:lang w:val="en-US"/>
        </w:rPr>
        <w:t>Team</w:t>
      </w:r>
      <w:r w:rsidRPr="00511005">
        <w:rPr>
          <w:rFonts w:ascii="Arial" w:eastAsia="Calibri" w:hAnsi="Arial" w:cs="Arial"/>
          <w:szCs w:val="28"/>
          <w:lang w:val="uk-UA"/>
        </w:rPr>
        <w:t xml:space="preserve"> – свого роду «кіберспецназ» НАТО. За період співпраці було розроблено та вжито низку заходів щодо посилення захисту кіберпростору в Україні, а партнери, в свою чергу, отримали безцінний досвід кіберпротидії у реальних, бойових умовах.</w:t>
      </w:r>
    </w:p>
    <w:p w14:paraId="786A43A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Підбиваючи підсумки можна зазначити, що у воєнний період сучасні цифрові технології вийшли на кардинально інший рівень, у тому числі, у сфері криміналістики та оперативно-розшукової діяльності. Розслідування кожного злочину стало по справжньому унікальним в контексті поєднання як вже відомих та старих методів, так і новітніх засобів, про які ще донедавна ніхто навіть і не здогадувався. Україна фактично стала полігоном для випробувань нових методів криміналістики, що в подальшому буде мати велике значення як для науки, так і для практичного застосування, а перші наслідки можна бачити вже сьогодні. На нашу думку, нові види злочинів будуть з’являтися, адже злочинці це люди, а людям властиво навчатися та еволюціонувати. Тому криміналісти мають не зупинятися на досягнутому, а лише покращувати здобуті надбання, щоб в подальшому всі види злочинної діяльності розкривалися максимально швидко, а суспільство існувало з розумінням – будь-яке зло буде знайдено та покарано.</w:t>
      </w:r>
    </w:p>
    <w:p w14:paraId="1FB29F49" w14:textId="77777777" w:rsidR="00532C25" w:rsidRPr="00511005" w:rsidRDefault="00532C25" w:rsidP="00532C25">
      <w:pPr>
        <w:spacing w:line="264" w:lineRule="auto"/>
        <w:ind w:firstLine="720"/>
        <w:jc w:val="left"/>
        <w:rPr>
          <w:rFonts w:ascii="Arial" w:eastAsia="Calibri" w:hAnsi="Arial" w:cs="Arial"/>
          <w:szCs w:val="28"/>
          <w:lang w:val="uk-UA"/>
        </w:rPr>
      </w:pPr>
    </w:p>
    <w:p w14:paraId="229574C9"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5AADFE83"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1.</w:t>
      </w:r>
      <w:r w:rsidRPr="00511005">
        <w:rPr>
          <w:rFonts w:ascii="Arial" w:eastAsia="Calibri" w:hAnsi="Arial" w:cs="Arial"/>
          <w:szCs w:val="28"/>
        </w:rPr>
        <w:t xml:space="preserve"> Криміналістика: сучасні методи розслідування: монографія / за ред. І.І. Коваленка. Київ: Видавничий дім «Юридична книга», 2022. 456 с.</w:t>
      </w:r>
    </w:p>
    <w:p w14:paraId="6009C9F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lastRenderedPageBreak/>
        <w:t>2.</w:t>
      </w:r>
      <w:r w:rsidRPr="00511005">
        <w:rPr>
          <w:rFonts w:ascii="Arial" w:eastAsia="Calibri" w:hAnsi="Arial" w:cs="Arial"/>
          <w:szCs w:val="28"/>
        </w:rPr>
        <w:t xml:space="preserve"> Доповідь Міжнародного кримінального суду щодо ситуації в Україні (ICC-01/22)</w:t>
      </w:r>
      <w:r w:rsidRPr="00511005">
        <w:rPr>
          <w:rFonts w:ascii="Arial" w:eastAsia="Calibri" w:hAnsi="Arial" w:cs="Arial"/>
          <w:szCs w:val="28"/>
          <w:lang w:val="uk-UA"/>
        </w:rPr>
        <w:t>.</w:t>
      </w:r>
      <w:r w:rsidRPr="00511005">
        <w:rPr>
          <w:rFonts w:ascii="Arial" w:eastAsia="Calibri" w:hAnsi="Arial" w:cs="Arial"/>
          <w:szCs w:val="28"/>
        </w:rPr>
        <w:t xml:space="preserve"> Офіційний сайт МКС. 2023.</w:t>
      </w:r>
    </w:p>
    <w:p w14:paraId="72961BE3"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3.</w:t>
      </w:r>
      <w:r w:rsidRPr="00511005">
        <w:rPr>
          <w:rFonts w:ascii="Arial" w:eastAsia="Calibri" w:hAnsi="Arial" w:cs="Arial"/>
          <w:szCs w:val="28"/>
        </w:rPr>
        <w:t xml:space="preserve"> Офіційний сайт Державного бюро розслідувань України. URL: </w:t>
      </w:r>
      <w:hyperlink r:id="rId1946" w:history="1">
        <w:r w:rsidRPr="00511005">
          <w:rPr>
            <w:rFonts w:ascii="Arial" w:eastAsia="Calibri" w:hAnsi="Arial" w:cs="Arial"/>
            <w:szCs w:val="28"/>
          </w:rPr>
          <w:t>https://dbr.gov.ua</w:t>
        </w:r>
      </w:hyperlink>
    </w:p>
    <w:p w14:paraId="03B8C9C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4.</w:t>
      </w:r>
      <w:r w:rsidRPr="00511005">
        <w:rPr>
          <w:rFonts w:ascii="Arial" w:eastAsia="Calibri" w:hAnsi="Arial" w:cs="Arial"/>
          <w:szCs w:val="28"/>
        </w:rPr>
        <w:t xml:space="preserve"> Петренко О.В. Сучасні виклики цифрової криміналістики в умовах війни</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i/>
          <w:iCs/>
          <w:szCs w:val="28"/>
        </w:rPr>
        <w:t>Вісник Національної академі</w:t>
      </w:r>
      <w:r w:rsidRPr="00511005">
        <w:rPr>
          <w:rFonts w:ascii="Arial" w:eastAsia="Calibri" w:hAnsi="Arial" w:cs="Arial"/>
          <w:i/>
          <w:iCs/>
          <w:szCs w:val="28"/>
          <w:lang w:val="uk-UA"/>
        </w:rPr>
        <w:t>ї</w:t>
      </w:r>
      <w:r w:rsidRPr="00511005">
        <w:rPr>
          <w:rFonts w:ascii="Arial" w:eastAsia="Calibri" w:hAnsi="Arial" w:cs="Arial"/>
          <w:i/>
          <w:iCs/>
          <w:szCs w:val="28"/>
        </w:rPr>
        <w:t xml:space="preserve"> правових наук України</w:t>
      </w:r>
      <w:r w:rsidRPr="00511005">
        <w:rPr>
          <w:rFonts w:ascii="Arial" w:eastAsia="Calibri" w:hAnsi="Arial" w:cs="Arial"/>
          <w:szCs w:val="28"/>
        </w:rPr>
        <w:t>. 2023. № 2(45). С. 78-92.</w:t>
      </w:r>
    </w:p>
    <w:p w14:paraId="6321A9F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5.</w:t>
      </w:r>
      <w:r w:rsidRPr="00511005">
        <w:rPr>
          <w:rFonts w:ascii="Arial" w:eastAsia="Calibri" w:hAnsi="Arial" w:cs="Arial"/>
          <w:szCs w:val="28"/>
        </w:rPr>
        <w:t xml:space="preserve"> Росі</w:t>
      </w:r>
      <w:r w:rsidRPr="00511005">
        <w:rPr>
          <w:rFonts w:ascii="Arial" w:eastAsia="Calibri" w:hAnsi="Arial" w:cs="Arial"/>
          <w:szCs w:val="28"/>
          <w:lang w:val="uk-UA"/>
        </w:rPr>
        <w:t>й</w:t>
      </w:r>
      <w:r w:rsidRPr="00511005">
        <w:rPr>
          <w:rFonts w:ascii="Arial" w:eastAsia="Calibri" w:hAnsi="Arial" w:cs="Arial"/>
          <w:szCs w:val="28"/>
        </w:rPr>
        <w:t>ські хакери Sandworm уже кілька разів зламували укра</w:t>
      </w:r>
      <w:r w:rsidRPr="00511005">
        <w:rPr>
          <w:rFonts w:ascii="Arial" w:eastAsia="Calibri" w:hAnsi="Arial" w:cs="Arial"/>
          <w:szCs w:val="28"/>
          <w:lang w:val="uk-UA"/>
        </w:rPr>
        <w:t>ї</w:t>
      </w:r>
      <w:r w:rsidRPr="00511005">
        <w:rPr>
          <w:rFonts w:ascii="Arial" w:eastAsia="Calibri" w:hAnsi="Arial" w:cs="Arial"/>
          <w:szCs w:val="28"/>
        </w:rPr>
        <w:t>нські електромережі. У 2022-му кібератаку поєднали з ракетними ударами</w:t>
      </w:r>
      <w:r w:rsidRPr="00511005">
        <w:rPr>
          <w:rFonts w:ascii="Arial" w:eastAsia="Calibri" w:hAnsi="Arial" w:cs="Arial"/>
          <w:szCs w:val="28"/>
          <w:lang w:val="uk-UA"/>
        </w:rPr>
        <w:t xml:space="preserve">. Як змінилася тактика російських хакерів після 24 лютого. </w:t>
      </w:r>
      <w:r w:rsidRPr="00511005">
        <w:rPr>
          <w:rFonts w:ascii="Arial" w:eastAsia="Calibri" w:hAnsi="Arial" w:cs="Arial"/>
          <w:szCs w:val="28"/>
          <w:lang w:val="en-US"/>
        </w:rPr>
        <w:t>Dev</w:t>
      </w:r>
      <w:r w:rsidRPr="00511005">
        <w:rPr>
          <w:rFonts w:ascii="Arial" w:eastAsia="Calibri" w:hAnsi="Arial" w:cs="Arial"/>
          <w:szCs w:val="28"/>
          <w:lang w:val="uk-UA"/>
        </w:rPr>
        <w:t>.</w:t>
      </w:r>
      <w:r w:rsidRPr="00511005">
        <w:rPr>
          <w:rFonts w:ascii="Arial" w:eastAsia="Calibri" w:hAnsi="Arial" w:cs="Arial"/>
          <w:szCs w:val="28"/>
          <w:lang w:val="en-US"/>
        </w:rPr>
        <w:t>ua</w:t>
      </w:r>
      <w:r w:rsidRPr="00511005">
        <w:rPr>
          <w:rFonts w:ascii="Arial" w:eastAsia="Calibri" w:hAnsi="Arial" w:cs="Arial"/>
          <w:szCs w:val="28"/>
          <w:lang w:val="uk-UA"/>
        </w:rPr>
        <w:t xml:space="preserve">: вебсайт. Допис від 9 листопада 2023. </w:t>
      </w:r>
      <w:r w:rsidRPr="00511005">
        <w:rPr>
          <w:rFonts w:ascii="Arial" w:eastAsia="Calibri" w:hAnsi="Arial" w:cs="Arial"/>
          <w:szCs w:val="28"/>
          <w:lang w:val="en-US"/>
        </w:rPr>
        <w:t>URL</w:t>
      </w:r>
      <w:r w:rsidRPr="00511005">
        <w:rPr>
          <w:rFonts w:ascii="Arial" w:eastAsia="Calibri" w:hAnsi="Arial" w:cs="Arial"/>
          <w:szCs w:val="28"/>
        </w:rPr>
        <w:t xml:space="preserve">: </w:t>
      </w:r>
      <w:hyperlink r:id="rId1947"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dev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news</w:t>
        </w:r>
        <w:r w:rsidRPr="00511005">
          <w:rPr>
            <w:rFonts w:ascii="Arial" w:eastAsia="Calibri" w:hAnsi="Arial" w:cs="Arial"/>
            <w:szCs w:val="28"/>
          </w:rPr>
          <w:t>/</w:t>
        </w:r>
        <w:r w:rsidRPr="00511005">
          <w:rPr>
            <w:rFonts w:ascii="Arial" w:eastAsia="Calibri" w:hAnsi="Arial" w:cs="Arial"/>
            <w:szCs w:val="28"/>
            <w:lang w:val="en-US"/>
          </w:rPr>
          <w:t>rosiiski</w:t>
        </w:r>
        <w:r w:rsidRPr="00511005">
          <w:rPr>
            <w:rFonts w:ascii="Arial" w:eastAsia="Calibri" w:hAnsi="Arial" w:cs="Arial"/>
            <w:szCs w:val="28"/>
          </w:rPr>
          <w:t>-</w:t>
        </w:r>
        <w:r w:rsidRPr="00511005">
          <w:rPr>
            <w:rFonts w:ascii="Arial" w:eastAsia="Calibri" w:hAnsi="Arial" w:cs="Arial"/>
            <w:szCs w:val="28"/>
            <w:lang w:val="en-US"/>
          </w:rPr>
          <w:t>khakery</w:t>
        </w:r>
        <w:r w:rsidRPr="00511005">
          <w:rPr>
            <w:rFonts w:ascii="Arial" w:eastAsia="Calibri" w:hAnsi="Arial" w:cs="Arial"/>
            <w:szCs w:val="28"/>
          </w:rPr>
          <w:t>-</w:t>
        </w:r>
        <w:r w:rsidRPr="00511005">
          <w:rPr>
            <w:rFonts w:ascii="Arial" w:eastAsia="Calibri" w:hAnsi="Arial" w:cs="Arial"/>
            <w:szCs w:val="28"/>
            <w:lang w:val="en-US"/>
          </w:rPr>
          <w:t>sandworm</w:t>
        </w:r>
        <w:r w:rsidRPr="00511005">
          <w:rPr>
            <w:rFonts w:ascii="Arial" w:eastAsia="Calibri" w:hAnsi="Arial" w:cs="Arial"/>
            <w:szCs w:val="28"/>
          </w:rPr>
          <w:t>-</w:t>
        </w:r>
        <w:r w:rsidRPr="00511005">
          <w:rPr>
            <w:rFonts w:ascii="Arial" w:eastAsia="Calibri" w:hAnsi="Arial" w:cs="Arial"/>
            <w:szCs w:val="28"/>
            <w:lang w:val="en-US"/>
          </w:rPr>
          <w:t>vzhe</w:t>
        </w:r>
        <w:r w:rsidRPr="00511005">
          <w:rPr>
            <w:rFonts w:ascii="Arial" w:eastAsia="Calibri" w:hAnsi="Arial" w:cs="Arial"/>
            <w:szCs w:val="28"/>
          </w:rPr>
          <w:t>-</w:t>
        </w:r>
        <w:r w:rsidRPr="00511005">
          <w:rPr>
            <w:rFonts w:ascii="Arial" w:eastAsia="Calibri" w:hAnsi="Arial" w:cs="Arial"/>
            <w:szCs w:val="28"/>
            <w:lang w:val="en-US"/>
          </w:rPr>
          <w:t>kilka</w:t>
        </w:r>
        <w:r w:rsidRPr="00511005">
          <w:rPr>
            <w:rFonts w:ascii="Arial" w:eastAsia="Calibri" w:hAnsi="Arial" w:cs="Arial"/>
            <w:szCs w:val="28"/>
          </w:rPr>
          <w:t>-</w:t>
        </w:r>
        <w:r w:rsidRPr="00511005">
          <w:rPr>
            <w:rFonts w:ascii="Arial" w:eastAsia="Calibri" w:hAnsi="Arial" w:cs="Arial"/>
            <w:szCs w:val="28"/>
            <w:lang w:val="en-US"/>
          </w:rPr>
          <w:t>raziv</w:t>
        </w:r>
        <w:r w:rsidRPr="00511005">
          <w:rPr>
            <w:rFonts w:ascii="Arial" w:eastAsia="Calibri" w:hAnsi="Arial" w:cs="Arial"/>
            <w:szCs w:val="28"/>
          </w:rPr>
          <w:t>-</w:t>
        </w:r>
        <w:r w:rsidRPr="00511005">
          <w:rPr>
            <w:rFonts w:ascii="Arial" w:eastAsia="Calibri" w:hAnsi="Arial" w:cs="Arial"/>
            <w:szCs w:val="28"/>
            <w:lang w:val="en-US"/>
          </w:rPr>
          <w:t>zlamuvaly</w:t>
        </w:r>
        <w:r w:rsidRPr="00511005">
          <w:rPr>
            <w:rFonts w:ascii="Arial" w:eastAsia="Calibri" w:hAnsi="Arial" w:cs="Arial"/>
            <w:szCs w:val="28"/>
          </w:rPr>
          <w:t>-</w:t>
        </w:r>
        <w:r w:rsidRPr="00511005">
          <w:rPr>
            <w:rFonts w:ascii="Arial" w:eastAsia="Calibri" w:hAnsi="Arial" w:cs="Arial"/>
            <w:szCs w:val="28"/>
            <w:lang w:val="en-US"/>
          </w:rPr>
          <w:t>ukrainski</w:t>
        </w:r>
        <w:r w:rsidRPr="00511005">
          <w:rPr>
            <w:rFonts w:ascii="Arial" w:eastAsia="Calibri" w:hAnsi="Arial" w:cs="Arial"/>
            <w:szCs w:val="28"/>
          </w:rPr>
          <w:t>-</w:t>
        </w:r>
        <w:r w:rsidRPr="00511005">
          <w:rPr>
            <w:rFonts w:ascii="Arial" w:eastAsia="Calibri" w:hAnsi="Arial" w:cs="Arial"/>
            <w:szCs w:val="28"/>
            <w:lang w:val="en-US"/>
          </w:rPr>
          <w:t>elektromerezhi</w:t>
        </w:r>
        <w:r w:rsidRPr="00511005">
          <w:rPr>
            <w:rFonts w:ascii="Arial" w:eastAsia="Calibri" w:hAnsi="Arial" w:cs="Arial"/>
            <w:szCs w:val="28"/>
          </w:rPr>
          <w:t>-</w:t>
        </w:r>
        <w:r w:rsidRPr="00511005">
          <w:rPr>
            <w:rFonts w:ascii="Arial" w:eastAsia="Calibri" w:hAnsi="Arial" w:cs="Arial"/>
            <w:szCs w:val="28"/>
            <w:lang w:val="en-US"/>
          </w:rPr>
          <w:t>v</w:t>
        </w:r>
        <w:r w:rsidRPr="00511005">
          <w:rPr>
            <w:rFonts w:ascii="Arial" w:eastAsia="Calibri" w:hAnsi="Arial" w:cs="Arial"/>
            <w:szCs w:val="28"/>
          </w:rPr>
          <w:t>-2022-</w:t>
        </w:r>
        <w:r w:rsidRPr="00511005">
          <w:rPr>
            <w:rFonts w:ascii="Arial" w:eastAsia="Calibri" w:hAnsi="Arial" w:cs="Arial"/>
            <w:szCs w:val="28"/>
            <w:lang w:val="en-US"/>
          </w:rPr>
          <w:t>mu</w:t>
        </w:r>
        <w:r w:rsidRPr="00511005">
          <w:rPr>
            <w:rFonts w:ascii="Arial" w:eastAsia="Calibri" w:hAnsi="Arial" w:cs="Arial"/>
            <w:szCs w:val="28"/>
          </w:rPr>
          <w:t>-</w:t>
        </w:r>
        <w:r w:rsidRPr="00511005">
          <w:rPr>
            <w:rFonts w:ascii="Arial" w:eastAsia="Calibri" w:hAnsi="Arial" w:cs="Arial"/>
            <w:szCs w:val="28"/>
            <w:lang w:val="en-US"/>
          </w:rPr>
          <w:t>kiberataku</w:t>
        </w:r>
        <w:r w:rsidRPr="00511005">
          <w:rPr>
            <w:rFonts w:ascii="Arial" w:eastAsia="Calibri" w:hAnsi="Arial" w:cs="Arial"/>
            <w:szCs w:val="28"/>
          </w:rPr>
          <w:t>-</w:t>
        </w:r>
        <w:r w:rsidRPr="00511005">
          <w:rPr>
            <w:rFonts w:ascii="Arial" w:eastAsia="Calibri" w:hAnsi="Arial" w:cs="Arial"/>
            <w:szCs w:val="28"/>
            <w:lang w:val="en-US"/>
          </w:rPr>
          <w:t>poiednaly</w:t>
        </w:r>
        <w:r w:rsidRPr="00511005">
          <w:rPr>
            <w:rFonts w:ascii="Arial" w:eastAsia="Calibri" w:hAnsi="Arial" w:cs="Arial"/>
            <w:szCs w:val="28"/>
          </w:rPr>
          <w:t>-</w:t>
        </w:r>
        <w:r w:rsidRPr="00511005">
          <w:rPr>
            <w:rFonts w:ascii="Arial" w:eastAsia="Calibri" w:hAnsi="Arial" w:cs="Arial"/>
            <w:szCs w:val="28"/>
            <w:lang w:val="en-US"/>
          </w:rPr>
          <w:t>z</w:t>
        </w:r>
        <w:r w:rsidRPr="00511005">
          <w:rPr>
            <w:rFonts w:ascii="Arial" w:eastAsia="Calibri" w:hAnsi="Arial" w:cs="Arial"/>
            <w:szCs w:val="28"/>
          </w:rPr>
          <w:t>-</w:t>
        </w:r>
        <w:r w:rsidRPr="00511005">
          <w:rPr>
            <w:rFonts w:ascii="Arial" w:eastAsia="Calibri" w:hAnsi="Arial" w:cs="Arial"/>
            <w:szCs w:val="28"/>
            <w:lang w:val="en-US"/>
          </w:rPr>
          <w:t>raketnymy</w:t>
        </w:r>
        <w:r w:rsidRPr="00511005">
          <w:rPr>
            <w:rFonts w:ascii="Arial" w:eastAsia="Calibri" w:hAnsi="Arial" w:cs="Arial"/>
            <w:szCs w:val="28"/>
          </w:rPr>
          <w:t>-</w:t>
        </w:r>
        <w:r w:rsidRPr="00511005">
          <w:rPr>
            <w:rFonts w:ascii="Arial" w:eastAsia="Calibri" w:hAnsi="Arial" w:cs="Arial"/>
            <w:szCs w:val="28"/>
            <w:lang w:val="en-US"/>
          </w:rPr>
          <w:t>udaramy</w:t>
        </w:r>
      </w:hyperlink>
      <w:r w:rsidRPr="00511005">
        <w:rPr>
          <w:rFonts w:ascii="Arial" w:eastAsia="Calibri" w:hAnsi="Arial" w:cs="Arial"/>
          <w:szCs w:val="28"/>
          <w:lang w:val="uk-UA"/>
        </w:rPr>
        <w:t xml:space="preserve"> </w:t>
      </w:r>
    </w:p>
    <w:p w14:paraId="1D814371" w14:textId="77777777" w:rsidR="00532C25" w:rsidRPr="00511005" w:rsidRDefault="00532C25" w:rsidP="00532C25">
      <w:pPr>
        <w:spacing w:line="264" w:lineRule="auto"/>
        <w:ind w:firstLine="720"/>
        <w:jc w:val="left"/>
        <w:rPr>
          <w:rFonts w:ascii="Arial" w:eastAsia="Calibri" w:hAnsi="Arial" w:cs="Arial"/>
          <w:szCs w:val="28"/>
          <w:lang w:val="uk-UA"/>
        </w:rPr>
      </w:pPr>
    </w:p>
    <w:p w14:paraId="03050512" w14:textId="77777777" w:rsidR="00532C25" w:rsidRPr="00511005" w:rsidRDefault="00532C25" w:rsidP="00532C25">
      <w:pPr>
        <w:spacing w:line="264" w:lineRule="auto"/>
        <w:ind w:firstLine="720"/>
        <w:jc w:val="left"/>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криміналістика, оперативно-розшукова діяльність, кібербезпека, техніко-криміналістичні засоби, військові злочини, розслідування.</w:t>
      </w:r>
    </w:p>
    <w:p w14:paraId="72A02DCC" w14:textId="77777777" w:rsidR="00532C25" w:rsidRPr="00511005" w:rsidRDefault="00532C25" w:rsidP="00532C25">
      <w:pPr>
        <w:spacing w:line="264" w:lineRule="auto"/>
        <w:ind w:firstLine="720"/>
        <w:jc w:val="left"/>
        <w:rPr>
          <w:rFonts w:ascii="Arial" w:eastAsia="Calibri" w:hAnsi="Arial" w:cs="Arial"/>
          <w:szCs w:val="28"/>
          <w:lang w:val="en-US"/>
        </w:rPr>
      </w:pPr>
      <w:r w:rsidRPr="00511005">
        <w:rPr>
          <w:rFonts w:ascii="Arial" w:eastAsia="Calibri" w:hAnsi="Arial" w:cs="Arial"/>
          <w:b/>
          <w:i/>
          <w:szCs w:val="28"/>
          <w:lang w:val="en"/>
        </w:rPr>
        <w:t xml:space="preserve">Key words: </w:t>
      </w:r>
      <w:r w:rsidRPr="00511005">
        <w:rPr>
          <w:rFonts w:ascii="Arial" w:eastAsia="Calibri" w:hAnsi="Arial" w:cs="Arial"/>
          <w:szCs w:val="28"/>
          <w:lang w:val="en"/>
        </w:rPr>
        <w:t>forensics, operational and investigative activities, cybersecurity, technical and forensic tools, war crimes, investigations.</w:t>
      </w:r>
    </w:p>
    <w:p w14:paraId="0609D60A" w14:textId="77777777" w:rsidR="00532C25" w:rsidRPr="00511005" w:rsidRDefault="00532C25" w:rsidP="00532C25">
      <w:pPr>
        <w:spacing w:line="264" w:lineRule="auto"/>
        <w:ind w:firstLine="720"/>
        <w:jc w:val="left"/>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Pr="00511005">
        <w:rPr>
          <w:rFonts w:ascii="Arial" w:eastAsia="Calibri" w:hAnsi="Arial" w:cs="Arial"/>
          <w:i/>
          <w:szCs w:val="28"/>
          <w:lang w:val="uk-UA"/>
        </w:rPr>
        <w:t>к.ю.н., доцент Гресь Ю.О.</w:t>
      </w:r>
    </w:p>
    <w:p w14:paraId="4264E977" w14:textId="77777777" w:rsidR="00532C25" w:rsidRPr="00511005" w:rsidRDefault="00532C25" w:rsidP="00532C25">
      <w:pPr>
        <w:spacing w:line="264" w:lineRule="auto"/>
        <w:ind w:firstLine="0"/>
        <w:jc w:val="left"/>
        <w:rPr>
          <w:rFonts w:ascii="Arial" w:eastAsia="Times New Roman" w:hAnsi="Arial" w:cs="Arial"/>
          <w:b/>
          <w:bCs/>
          <w:szCs w:val="28"/>
        </w:rPr>
      </w:pPr>
    </w:p>
    <w:p w14:paraId="345D5E09" w14:textId="77777777" w:rsidR="00532C25" w:rsidRPr="00511005" w:rsidRDefault="00532C25" w:rsidP="00532C25">
      <w:pPr>
        <w:tabs>
          <w:tab w:val="left" w:pos="7088"/>
        </w:tabs>
        <w:spacing w:line="264" w:lineRule="auto"/>
        <w:ind w:firstLine="0"/>
        <w:jc w:val="center"/>
        <w:rPr>
          <w:rFonts w:ascii="Arial" w:eastAsia="Calibri" w:hAnsi="Arial" w:cs="Arial"/>
          <w:b/>
          <w:i/>
          <w:iCs/>
          <w:szCs w:val="28"/>
          <w:lang w:val="uk-UA" w:bidi="uk-UA"/>
        </w:rPr>
      </w:pPr>
      <w:r w:rsidRPr="00511005">
        <w:rPr>
          <w:rFonts w:ascii="Arial" w:eastAsia="Calibri" w:hAnsi="Arial" w:cs="Arial"/>
          <w:b/>
          <w:i/>
          <w:iCs/>
          <w:szCs w:val="28"/>
          <w:lang w:bidi="uk-UA"/>
        </w:rPr>
        <w:t>Дедюх Софія</w:t>
      </w:r>
      <w:r w:rsidRPr="00511005">
        <w:rPr>
          <w:rFonts w:ascii="Arial" w:eastAsia="Calibri" w:hAnsi="Arial" w:cs="Arial"/>
          <w:b/>
          <w:i/>
          <w:iCs/>
          <w:szCs w:val="28"/>
          <w:lang w:val="uk-UA" w:bidi="uk-UA"/>
        </w:rPr>
        <w:t xml:space="preserve"> Володимирівна</w:t>
      </w:r>
    </w:p>
    <w:p w14:paraId="7CED5702" w14:textId="77777777" w:rsidR="00532C25" w:rsidRPr="00511005" w:rsidRDefault="00532C25" w:rsidP="00532C25">
      <w:pPr>
        <w:spacing w:line="264" w:lineRule="auto"/>
        <w:ind w:firstLine="720"/>
        <w:jc w:val="center"/>
        <w:rPr>
          <w:rFonts w:ascii="Arial" w:eastAsia="Calibri" w:hAnsi="Arial" w:cs="Arial"/>
          <w:iCs/>
          <w:szCs w:val="28"/>
        </w:rPr>
      </w:pPr>
      <w:r w:rsidRPr="00511005">
        <w:rPr>
          <w:rFonts w:ascii="Arial" w:eastAsia="Calibri" w:hAnsi="Arial" w:cs="Arial"/>
          <w:iCs/>
          <w:szCs w:val="28"/>
        </w:rPr>
        <w:t>студентка 2-го курсу факультету цивільної та господарської юстиції</w:t>
      </w:r>
    </w:p>
    <w:p w14:paraId="382FDC77" w14:textId="77777777" w:rsidR="00532C25" w:rsidRPr="00511005" w:rsidRDefault="00532C25" w:rsidP="00532C25">
      <w:pPr>
        <w:spacing w:line="264" w:lineRule="auto"/>
        <w:ind w:firstLine="720"/>
        <w:jc w:val="center"/>
        <w:rPr>
          <w:rFonts w:ascii="Arial" w:eastAsia="Calibri" w:hAnsi="Arial" w:cs="Arial"/>
          <w:iCs/>
          <w:szCs w:val="28"/>
        </w:rPr>
      </w:pPr>
      <w:r w:rsidRPr="00511005">
        <w:rPr>
          <w:rFonts w:ascii="Arial" w:eastAsia="Calibri" w:hAnsi="Arial" w:cs="Arial"/>
          <w:iCs/>
          <w:szCs w:val="28"/>
        </w:rPr>
        <w:t>Національного університету «Одеська юридична академія»</w:t>
      </w:r>
    </w:p>
    <w:p w14:paraId="1F299B12" w14:textId="77777777" w:rsidR="00532C25" w:rsidRPr="00511005" w:rsidRDefault="00532C25" w:rsidP="00532C25">
      <w:pPr>
        <w:tabs>
          <w:tab w:val="left" w:pos="7088"/>
        </w:tabs>
        <w:spacing w:line="264" w:lineRule="auto"/>
        <w:ind w:firstLine="0"/>
        <w:jc w:val="center"/>
        <w:rPr>
          <w:rFonts w:ascii="Arial" w:eastAsia="Calibri" w:hAnsi="Arial" w:cs="Arial"/>
          <w:b/>
          <w:szCs w:val="28"/>
          <w:lang w:bidi="uk-UA"/>
        </w:rPr>
      </w:pPr>
    </w:p>
    <w:p w14:paraId="1A2ED337" w14:textId="77777777" w:rsidR="00532C25" w:rsidRPr="00511005" w:rsidRDefault="00532C25" w:rsidP="00532C25">
      <w:pPr>
        <w:tabs>
          <w:tab w:val="left" w:pos="7088"/>
        </w:tabs>
        <w:spacing w:line="264" w:lineRule="auto"/>
        <w:ind w:firstLine="0"/>
        <w:jc w:val="center"/>
        <w:rPr>
          <w:rFonts w:ascii="Arial" w:eastAsia="Calibri" w:hAnsi="Arial" w:cs="Arial"/>
          <w:b/>
          <w:szCs w:val="28"/>
          <w:lang w:bidi="uk-UA"/>
        </w:rPr>
      </w:pPr>
      <w:r w:rsidRPr="00511005">
        <w:rPr>
          <w:rFonts w:ascii="Arial" w:eastAsia="Calibri" w:hAnsi="Arial" w:cs="Arial"/>
          <w:b/>
          <w:szCs w:val="28"/>
          <w:lang w:bidi="uk-UA"/>
        </w:rPr>
        <w:t>ІДЕНТИФІКАЦІЯ НЕВПІЗНАНИХ ТІЛ В УМОВАХ ВІЙНИ: СУДОВО-МЕДИЧНІ ТА ДНК-ДОСЛІДЖЕННЯ</w:t>
      </w:r>
    </w:p>
    <w:p w14:paraId="11699803" w14:textId="77777777" w:rsidR="00532C25" w:rsidRPr="00511005" w:rsidRDefault="00532C25" w:rsidP="00532C25">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В умовах воєнного стану і масштабних збройних конфліктів особливої актуальності набуває питання ідентифікації невпізнаних тіл загиблих. Збройна агресія, що супроводжується масовими втратами серед військовослужбовців і цивільного населення, створює надзвичайні виклики для системи судово-медичної експертизи, криміналістики та ідентифікаційних процедур загалом. Ідентифікація тіл у таких обставинах має не лише юридичне, але й глибоке гуманітарне значення, оскільки дозволяє встановити істину, повернути ім’я загиблим, реалізувати право родичів на гідне прощання, а також забезпечити належний облік втрат і притягнення винних до відповідальності.</w:t>
      </w:r>
    </w:p>
    <w:p w14:paraId="1AF952F4" w14:textId="77777777" w:rsidR="00532C25" w:rsidRPr="00511005" w:rsidRDefault="00532C25" w:rsidP="00532C25">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 xml:space="preserve">Основу процесу ідентифікації невпізнаних тіл складають судово-медичні експертизи, до яких залучаються фахівці різних галузей – судові медики, антропологи, криміналісти, генетики. Військові дії часто призводять до тяжких ушкоджень тіл, що значно ускладнює або унеможливлює візуальне впізнання. У таких випадках особливу роль відіграє використання </w:t>
      </w:r>
      <w:r w:rsidRPr="00511005">
        <w:rPr>
          <w:rFonts w:ascii="Arial" w:eastAsia="Calibri" w:hAnsi="Arial" w:cs="Arial"/>
          <w:bCs/>
          <w:szCs w:val="28"/>
          <w:lang w:val="uk-UA" w:bidi="uk-UA"/>
        </w:rPr>
        <w:lastRenderedPageBreak/>
        <w:t>сучасних методів судово-медичної діагностики, зокрема огляду залишків одягу, наявності особливих тілесних прикмет, татуювань, протезів, медичних імплантів, а також вивчення стоматологічного статусу. Однак за значної деструкції тіл традиційні методи часто виявляються недостатніми, що потребує застосування молекулярно-генетичних досліджень.</w:t>
      </w:r>
    </w:p>
    <w:p w14:paraId="69F02664" w14:textId="77777777" w:rsidR="00532C25" w:rsidRPr="00511005" w:rsidRDefault="00532C25" w:rsidP="00532C25">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ДНК-ідентифікація є найбільш достовірним методом встановлення особи, особливо у випадках, коли інші способи не дали результату. Методика ґрунтується на порівнянні профілю ДНК, виділеного з фрагментів тіла, з генетичними зразками родичів або з раніше внесеними в базу біологічними даними осіб, що вважалися зниклими безвісти. За умови правильної організації процесу – збору зразків, лабораторного аналізу, збереження даних – ДНК-ідентифікація дозволяє з високою точністю встановити особу навіть через роки після смерті, за умови збереження біологічного матеріалу [3].</w:t>
      </w:r>
    </w:p>
    <w:p w14:paraId="3CFDBCAB" w14:textId="77777777" w:rsidR="00532C25" w:rsidRPr="00511005" w:rsidRDefault="00532C25" w:rsidP="00532C25">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Важливу роль у цьому процесі відіграє створення та ведення національних ДНК-реєстрів. В Україні, з огляду на масштаб війни, виникла нагальна потреба у централізованій базі генетичних профілів осіб, що зникли безвісти, а також зразків від їхніх родичів. Забезпечення юридичного регулювання збору, обробки та захисту генетичної інформації є надзвичайно важливим для гарантування прав і свобод громадян та уникнення зловживань. У цьому контексті важливо, щоб збір біологічних зразків відбувався добровільно, з поінформованої згоди осіб, із дотриманням етичних стандартів та конфіденційності.</w:t>
      </w:r>
    </w:p>
    <w:p w14:paraId="6D3BCD00" w14:textId="77777777" w:rsidR="00532C25" w:rsidRPr="00511005" w:rsidRDefault="00532C25" w:rsidP="00532C25">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Законодавча база України у сфері судово-медичної ідентифікації поступово адаптується до реалій воєнного часу. Зокрема, зміни до законів «Про судову експертизу»</w:t>
      </w:r>
      <w:r w:rsidRPr="00511005">
        <w:rPr>
          <w:rFonts w:ascii="Arial" w:eastAsia="Calibri" w:hAnsi="Arial" w:cs="Arial"/>
          <w:bCs/>
          <w:szCs w:val="28"/>
          <w:lang w:bidi="uk-UA"/>
        </w:rPr>
        <w:t>[2]</w:t>
      </w:r>
      <w:r w:rsidRPr="00511005">
        <w:rPr>
          <w:rFonts w:ascii="Arial" w:eastAsia="Calibri" w:hAnsi="Arial" w:cs="Arial"/>
          <w:bCs/>
          <w:szCs w:val="28"/>
          <w:lang w:val="uk-UA" w:bidi="uk-UA"/>
        </w:rPr>
        <w:t>, «Про захист персональних даних», а також положення Кримінального процесуального кодексу України та законодавства про військову службу створюють нормативне підґрунтя для організації процесу ідентифікації</w:t>
      </w:r>
      <w:r w:rsidRPr="00511005">
        <w:rPr>
          <w:rFonts w:ascii="Arial" w:eastAsia="Calibri" w:hAnsi="Arial" w:cs="Arial"/>
          <w:bCs/>
          <w:szCs w:val="28"/>
          <w:lang w:bidi="uk-UA"/>
        </w:rPr>
        <w:t xml:space="preserve"> [1]</w:t>
      </w:r>
      <w:r w:rsidRPr="00511005">
        <w:rPr>
          <w:rFonts w:ascii="Arial" w:eastAsia="Calibri" w:hAnsi="Arial" w:cs="Arial"/>
          <w:bCs/>
          <w:szCs w:val="28"/>
          <w:lang w:val="uk-UA" w:bidi="uk-UA"/>
        </w:rPr>
        <w:t>. Разом з тим, існує низка викликів, серед яких варто відзначити недостатню матеріально-технічну базу судово-медичних установ, нестачу підготовлених спеціалістів, труднощі з транспортуванням тіл із зони бойових дій, а також обмеженість доступу до місць масових поховань, що залишаються на окупованих територіях.</w:t>
      </w:r>
    </w:p>
    <w:p w14:paraId="2A3473E2" w14:textId="77777777" w:rsidR="00532C25" w:rsidRPr="00511005" w:rsidRDefault="00532C25" w:rsidP="00532C25">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Ідентифікація невпізнаних тіл є не лише питанням науки, а й прав людини. Згідно з міжнародним гуманітарним правом, держави зобов’язані здійснювати розшук зниклих безвісти осіб, фіксувати факти смерті та вживати всіх можливих заходів для встановлення особи загиблого. Ці норми закріплені, зокрема, в Женевських конвенціях та Додаткових протоколах до них. Міжнародні організації, такі як Міжнародний Комітет Червоного Хреста, відіграють активну роль у наданні допомоги у створенні баз даних, координації з родинами зниклих осіб та наданні технічної підтримки для проведення ідентифікаційних заходів.</w:t>
      </w:r>
    </w:p>
    <w:p w14:paraId="394E7ABF" w14:textId="77777777" w:rsidR="00532C25" w:rsidRPr="00511005" w:rsidRDefault="00532C25" w:rsidP="00532C25">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lastRenderedPageBreak/>
        <w:t>У цьому контексті важливою є міжвідомча співпраця: взаємодія правоохоронних органів, судово-медичних бюро, військових підрозділів, органів місцевої влади, громадських організацій та міжнародних інституцій. Без належної координації й інтеграції зусиль створюються ризики повторних поховань без ідентифікації, втрата важливої інформації, плутанина у веденні обліку зниклих та померлих. Саме тому держава має приділяти особливу увагу не лише технічним аспектам, а й формуванню загальної системи, яка дозволить ефективно реагувати на виклики, пов’язані з масовими смертями внаслідок війни.</w:t>
      </w:r>
    </w:p>
    <w:p w14:paraId="12C7BC78" w14:textId="77777777" w:rsidR="00532C25" w:rsidRPr="00511005" w:rsidRDefault="00532C25" w:rsidP="00532C25">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Окремого розгляду заслуговує гуманітарна складова процесу ідентифікації. Родини загиблих часто опиняються в стані невизначеності, що призводить до тяжких психологічних наслідків. ДНК-ідентифікація дозволяє надати родичам офіційну інформацію про долю їхніх близьких, що є необхідною умовою для реалізації права на поховання, отримання соціальних гарантій та завершення процесу психологічного переживання втрати. Забезпечення прозорої, чутливої до емоційних потреб родин комунікації з боку держави і відповідальних служб є елементом поваги до гідності людини та частиною належного державного управління у сфері захисту прав людини під час війни [4].</w:t>
      </w:r>
    </w:p>
    <w:p w14:paraId="1395FB39" w14:textId="77777777" w:rsidR="00532C25" w:rsidRPr="00511005" w:rsidRDefault="00532C25" w:rsidP="00532C25">
      <w:pPr>
        <w:tabs>
          <w:tab w:val="left" w:pos="7088"/>
        </w:tabs>
        <w:spacing w:line="264" w:lineRule="auto"/>
        <w:rPr>
          <w:rFonts w:ascii="Arial" w:eastAsia="Calibri" w:hAnsi="Arial" w:cs="Arial"/>
          <w:bCs/>
          <w:szCs w:val="28"/>
          <w:lang w:val="uk-UA" w:bidi="uk-UA"/>
        </w:rPr>
      </w:pPr>
      <w:r w:rsidRPr="00511005">
        <w:rPr>
          <w:rFonts w:ascii="Arial" w:eastAsia="Calibri" w:hAnsi="Arial" w:cs="Arial"/>
          <w:bCs/>
          <w:szCs w:val="28"/>
          <w:lang w:val="uk-UA" w:bidi="uk-UA"/>
        </w:rPr>
        <w:t>Отже, ідентифікація невпізнаних тіл у воєнний час є багатовимірним процесом, що вимагає поєднання наукового підходу, сучасних технологій, правової регламентації та гуманітарного підходу. Український досвід, який формується в умовах повномасштабної війни, показує як наявні досягнення у сфері судово-медичної науки, так і структурні проблеми, що потребують комплексного вирішення. В подальшому надзвичайно важливим є зміцнення інституційної спроможності судово-медичних служб, розвиток єдиних баз ДНК-даних, підвищення кваліфікації фахівців, а також забезпечення належного правового і етичного супроводу цього процесу. Лише за таких умов можна гарантувати, що кожна жертва буде гідно ідентифікована, а її родина – поінформована та підтримана.</w:t>
      </w:r>
    </w:p>
    <w:p w14:paraId="7BD372F3" w14:textId="77777777" w:rsidR="00532C25" w:rsidRPr="00511005" w:rsidRDefault="00532C25" w:rsidP="00532C25">
      <w:pPr>
        <w:spacing w:line="264" w:lineRule="auto"/>
        <w:ind w:firstLine="0"/>
        <w:jc w:val="left"/>
        <w:rPr>
          <w:rFonts w:ascii="Arial" w:eastAsia="Calibri" w:hAnsi="Arial" w:cs="Arial"/>
          <w:b/>
          <w:szCs w:val="28"/>
          <w:lang w:val="uk-UA" w:bidi="uk-UA"/>
        </w:rPr>
      </w:pPr>
    </w:p>
    <w:p w14:paraId="79EDCBC9" w14:textId="77777777" w:rsidR="00532C25" w:rsidRPr="00511005" w:rsidRDefault="00532C25" w:rsidP="00532C25">
      <w:pPr>
        <w:tabs>
          <w:tab w:val="left" w:pos="7088"/>
        </w:tabs>
        <w:spacing w:line="264" w:lineRule="auto"/>
        <w:jc w:val="center"/>
        <w:rPr>
          <w:rFonts w:ascii="Arial" w:eastAsia="Calibri" w:hAnsi="Arial" w:cs="Arial"/>
          <w:b/>
          <w:szCs w:val="28"/>
          <w:lang w:val="uk-UA" w:bidi="uk-UA"/>
        </w:rPr>
      </w:pPr>
      <w:r w:rsidRPr="00511005">
        <w:rPr>
          <w:rFonts w:ascii="Arial" w:eastAsia="Calibri" w:hAnsi="Arial" w:cs="Arial"/>
          <w:b/>
          <w:szCs w:val="28"/>
          <w:lang w:val="en-US" w:bidi="uk-UA"/>
        </w:rPr>
        <w:t>C</w:t>
      </w:r>
      <w:r w:rsidRPr="00511005">
        <w:rPr>
          <w:rFonts w:ascii="Arial" w:eastAsia="Calibri" w:hAnsi="Arial" w:cs="Arial"/>
          <w:b/>
          <w:szCs w:val="28"/>
          <w:lang w:val="uk-UA" w:bidi="uk-UA"/>
        </w:rPr>
        <w:t>писок використаних джерел:</w:t>
      </w:r>
    </w:p>
    <w:p w14:paraId="32AFD36F" w14:textId="77777777" w:rsidR="00532C25" w:rsidRPr="00511005" w:rsidRDefault="00532C25" w:rsidP="003F6A5D">
      <w:pPr>
        <w:widowControl w:val="0"/>
        <w:numPr>
          <w:ilvl w:val="0"/>
          <w:numId w:val="815"/>
        </w:numPr>
        <w:tabs>
          <w:tab w:val="left" w:pos="993"/>
        </w:tabs>
        <w:autoSpaceDE w:val="0"/>
        <w:autoSpaceDN w:val="0"/>
        <w:adjustRightInd w:val="0"/>
        <w:spacing w:line="264" w:lineRule="auto"/>
        <w:ind w:left="0" w:firstLine="709"/>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Кримінальний процесуальний кодекс України від 13 квітня 2012 року № 4651-VI. URL: https://zakon.rada.gov.ua/laws/show/4651-17#Text (дата звернення: 18 квітня 2025 р.).</w:t>
      </w:r>
    </w:p>
    <w:p w14:paraId="1E4F1514" w14:textId="77777777" w:rsidR="00532C25" w:rsidRPr="00511005" w:rsidRDefault="00532C25" w:rsidP="003F6A5D">
      <w:pPr>
        <w:widowControl w:val="0"/>
        <w:numPr>
          <w:ilvl w:val="0"/>
          <w:numId w:val="815"/>
        </w:numPr>
        <w:tabs>
          <w:tab w:val="left" w:pos="993"/>
        </w:tabs>
        <w:autoSpaceDE w:val="0"/>
        <w:autoSpaceDN w:val="0"/>
        <w:adjustRightInd w:val="0"/>
        <w:spacing w:line="264" w:lineRule="auto"/>
        <w:ind w:left="0" w:firstLine="709"/>
        <w:contextualSpacing/>
        <w:jc w:val="left"/>
        <w:rPr>
          <w:rFonts w:ascii="Arial" w:eastAsia="Times New Roman" w:hAnsi="Arial" w:cs="Arial"/>
          <w:bCs/>
          <w:szCs w:val="28"/>
          <w:lang w:val="uk-UA" w:eastAsia="ru-RU"/>
        </w:rPr>
      </w:pPr>
      <w:r w:rsidRPr="00511005">
        <w:rPr>
          <w:rFonts w:ascii="Arial" w:eastAsia="Times New Roman" w:hAnsi="Arial" w:cs="Arial"/>
          <w:bCs/>
          <w:szCs w:val="28"/>
          <w:lang w:val="uk-UA" w:eastAsia="ru-RU"/>
        </w:rPr>
        <w:t>Про судову експертизу: Закон України від 25 лютого 1994 року № 4038-XII. URL: https://zakon.rada.gov.ua/laws/show/4038-12#Text (дата звернення: 18 квітня 2025 р.).</w:t>
      </w:r>
    </w:p>
    <w:p w14:paraId="5AE86C3E" w14:textId="77777777" w:rsidR="00532C25" w:rsidRPr="00511005" w:rsidRDefault="00532C25" w:rsidP="003F6A5D">
      <w:pPr>
        <w:widowControl w:val="0"/>
        <w:numPr>
          <w:ilvl w:val="0"/>
          <w:numId w:val="815"/>
        </w:numPr>
        <w:tabs>
          <w:tab w:val="left" w:pos="993"/>
        </w:tabs>
        <w:autoSpaceDE w:val="0"/>
        <w:autoSpaceDN w:val="0"/>
        <w:adjustRightInd w:val="0"/>
        <w:spacing w:line="264" w:lineRule="auto"/>
        <w:ind w:left="0" w:firstLine="709"/>
        <w:contextualSpacing/>
        <w:jc w:val="left"/>
        <w:rPr>
          <w:rFonts w:ascii="Arial" w:eastAsia="Times New Roman" w:hAnsi="Arial" w:cs="Arial"/>
          <w:bCs/>
          <w:szCs w:val="28"/>
          <w:lang w:val="uk-UA" w:eastAsia="ru-RU"/>
        </w:rPr>
      </w:pPr>
      <w:r w:rsidRPr="00511005">
        <w:rPr>
          <w:rFonts w:ascii="Arial" w:eastAsia="Times New Roman" w:hAnsi="Arial" w:cs="Arial"/>
          <w:bCs/>
          <w:szCs w:val="28"/>
          <w:lang w:eastAsia="ru-RU" w:bidi="uk-UA"/>
        </w:rPr>
        <w:t>Мішалов, В. Д., Войченко</w:t>
      </w:r>
      <w:r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eastAsia="ru-RU" w:bidi="uk-UA"/>
        </w:rPr>
        <w:t>В. В.</w:t>
      </w:r>
      <w:r w:rsidRPr="00511005">
        <w:rPr>
          <w:rFonts w:ascii="Arial" w:eastAsia="Times New Roman" w:hAnsi="Arial" w:cs="Arial"/>
          <w:bCs/>
          <w:szCs w:val="28"/>
          <w:lang w:val="uk-UA" w:eastAsia="ru-RU" w:bidi="uk-UA"/>
        </w:rPr>
        <w:t>,</w:t>
      </w:r>
      <w:r w:rsidRPr="00511005">
        <w:rPr>
          <w:rFonts w:ascii="Arial" w:eastAsia="Times New Roman" w:hAnsi="Arial" w:cs="Arial"/>
          <w:bCs/>
          <w:szCs w:val="28"/>
          <w:lang w:eastAsia="ru-RU" w:bidi="uk-UA"/>
        </w:rPr>
        <w:t xml:space="preserve"> Козлов</w:t>
      </w:r>
      <w:r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eastAsia="ru-RU" w:bidi="uk-UA"/>
        </w:rPr>
        <w:t>С. В. Комплексний підхід проведення ідентифікації тіл загиблих осіб в умовах збройного конфлікту. 2022.</w:t>
      </w:r>
      <w:r w:rsidRPr="00511005">
        <w:rPr>
          <w:rFonts w:ascii="Arial" w:eastAsia="Times New Roman" w:hAnsi="Arial" w:cs="Arial"/>
          <w:bCs/>
          <w:szCs w:val="28"/>
          <w:lang w:val="uk-UA" w:eastAsia="ru-RU" w:bidi="uk-UA"/>
        </w:rPr>
        <w:t xml:space="preserve"> </w:t>
      </w:r>
      <w:r w:rsidRPr="00511005">
        <w:rPr>
          <w:rFonts w:ascii="Arial" w:eastAsia="Times New Roman" w:hAnsi="Arial" w:cs="Arial"/>
          <w:bCs/>
          <w:szCs w:val="28"/>
          <w:lang w:val="uk-UA" w:eastAsia="ru-RU"/>
        </w:rPr>
        <w:t>URL: http://ir.nuozu.edu.ua:8080/bitstream/lib/4370/1/2022.3.14.pdf (дата звернення: 18 квітня 2025 р.).</w:t>
      </w:r>
    </w:p>
    <w:p w14:paraId="218D6768" w14:textId="77777777" w:rsidR="00532C25" w:rsidRPr="00511005" w:rsidRDefault="00532C25" w:rsidP="003F6A5D">
      <w:pPr>
        <w:widowControl w:val="0"/>
        <w:numPr>
          <w:ilvl w:val="0"/>
          <w:numId w:val="815"/>
        </w:numPr>
        <w:tabs>
          <w:tab w:val="left" w:pos="993"/>
        </w:tabs>
        <w:autoSpaceDE w:val="0"/>
        <w:autoSpaceDN w:val="0"/>
        <w:adjustRightInd w:val="0"/>
        <w:spacing w:line="264" w:lineRule="auto"/>
        <w:ind w:left="0" w:firstLine="709"/>
        <w:contextualSpacing/>
        <w:jc w:val="left"/>
        <w:rPr>
          <w:rFonts w:ascii="Arial" w:eastAsia="Times New Roman" w:hAnsi="Arial" w:cs="Arial"/>
          <w:bCs/>
          <w:szCs w:val="28"/>
          <w:lang w:val="uk-UA" w:eastAsia="ru-RU"/>
        </w:rPr>
      </w:pPr>
      <w:r w:rsidRPr="00511005">
        <w:rPr>
          <w:rFonts w:ascii="Arial" w:eastAsia="Times New Roman" w:hAnsi="Arial" w:cs="Arial"/>
          <w:bCs/>
          <w:szCs w:val="28"/>
          <w:lang w:eastAsia="ru-RU"/>
        </w:rPr>
        <w:lastRenderedPageBreak/>
        <w:t xml:space="preserve">Хомишак, О. І., Дуфенюк, О. М. </w:t>
      </w:r>
      <w:r w:rsidRPr="00511005">
        <w:rPr>
          <w:rFonts w:ascii="Arial" w:eastAsia="Times New Roman" w:hAnsi="Arial" w:cs="Arial"/>
          <w:bCs/>
          <w:szCs w:val="28"/>
          <w:lang w:val="uk-UA" w:eastAsia="ru-RU"/>
        </w:rPr>
        <w:t>П</w:t>
      </w:r>
      <w:r w:rsidRPr="00511005">
        <w:rPr>
          <w:rFonts w:ascii="Arial" w:eastAsia="Times New Roman" w:hAnsi="Arial" w:cs="Arial"/>
          <w:bCs/>
          <w:szCs w:val="28"/>
          <w:lang w:eastAsia="ru-RU"/>
        </w:rPr>
        <w:t xml:space="preserve">рактика </w:t>
      </w:r>
      <w:r w:rsidRPr="00511005">
        <w:rPr>
          <w:rFonts w:ascii="Arial" w:eastAsia="Times New Roman" w:hAnsi="Arial" w:cs="Arial"/>
          <w:bCs/>
          <w:szCs w:val="28"/>
          <w:lang w:val="uk-UA" w:eastAsia="ru-RU"/>
        </w:rPr>
        <w:t>ДНК</w:t>
      </w:r>
      <w:r w:rsidRPr="00511005">
        <w:rPr>
          <w:rFonts w:ascii="Arial" w:eastAsia="Times New Roman" w:hAnsi="Arial" w:cs="Arial"/>
          <w:bCs/>
          <w:szCs w:val="28"/>
          <w:lang w:eastAsia="ru-RU"/>
        </w:rPr>
        <w:t>-досліджень під час документування воєнних злочинів.</w:t>
      </w:r>
      <w:r w:rsidRPr="00511005">
        <w:rPr>
          <w:rFonts w:ascii="Arial" w:eastAsia="Times New Roman" w:hAnsi="Arial" w:cs="Arial"/>
          <w:bCs/>
          <w:szCs w:val="28"/>
          <w:lang w:val="uk-UA" w:eastAsia="ru-RU"/>
        </w:rPr>
        <w:t xml:space="preserve"> 2024 URL:</w:t>
      </w:r>
      <w:r w:rsidRPr="00511005">
        <w:rPr>
          <w:rFonts w:ascii="Arial" w:eastAsia="Times New Roman" w:hAnsi="Arial" w:cs="Arial"/>
          <w:szCs w:val="28"/>
          <w:lang w:eastAsia="ru-RU"/>
        </w:rPr>
        <w:t xml:space="preserve"> </w:t>
      </w:r>
      <w:hyperlink r:id="rId1948" w:history="1">
        <w:r w:rsidRPr="00511005">
          <w:rPr>
            <w:rFonts w:ascii="Arial" w:eastAsia="Times New Roman" w:hAnsi="Arial" w:cs="Arial"/>
            <w:bCs/>
            <w:szCs w:val="28"/>
            <w:lang w:val="uk-UA" w:eastAsia="ru-RU"/>
          </w:rPr>
          <w:t>https://elar.navs.edu.ua/server/api/core/bitstreams/f82b2822-d51e-4857-95f3-681441b18aef/content</w:t>
        </w:r>
      </w:hyperlink>
      <w:r w:rsidRPr="00511005">
        <w:rPr>
          <w:rFonts w:ascii="Arial" w:eastAsia="Times New Roman" w:hAnsi="Arial" w:cs="Arial"/>
          <w:bCs/>
          <w:szCs w:val="28"/>
          <w:lang w:val="uk-UA" w:eastAsia="ru-RU"/>
        </w:rPr>
        <w:t xml:space="preserve"> (дата звернення: 18 квітня 2025 р.).</w:t>
      </w:r>
    </w:p>
    <w:p w14:paraId="48C4D54D"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i/>
          <w:iCs/>
          <w:szCs w:val="28"/>
          <w:lang w:val="uk-UA" w:eastAsia="ru-RU"/>
        </w:rPr>
      </w:pPr>
    </w:p>
    <w:p w14:paraId="4237C09E"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i/>
          <w:iCs/>
          <w:szCs w:val="28"/>
          <w:lang w:val="uk-UA" w:eastAsia="ru-RU"/>
        </w:rPr>
      </w:pPr>
      <w:r w:rsidRPr="00511005">
        <w:rPr>
          <w:rFonts w:ascii="Arial" w:eastAsia="Times New Roman" w:hAnsi="Arial" w:cs="Arial"/>
          <w:b/>
          <w:bCs/>
          <w:i/>
          <w:iCs/>
          <w:szCs w:val="28"/>
          <w:lang w:val="uk-UA" w:eastAsia="ru-RU"/>
        </w:rPr>
        <w:t xml:space="preserve">Ключові слова: </w:t>
      </w:r>
      <w:r w:rsidRPr="00511005">
        <w:rPr>
          <w:rFonts w:ascii="Arial" w:eastAsia="Times New Roman" w:hAnsi="Arial" w:cs="Arial"/>
          <w:i/>
          <w:iCs/>
          <w:szCs w:val="28"/>
          <w:lang w:val="uk-UA" w:eastAsia="ru-RU"/>
        </w:rPr>
        <w:t xml:space="preserve">ідентифікація, ДНК-ідентифікація, криміналістичні методи, розслідування, спеціальні знання. </w:t>
      </w:r>
    </w:p>
    <w:p w14:paraId="6FE53879"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val="uk-UA" w:eastAsia="ru-RU"/>
        </w:rPr>
      </w:pPr>
      <w:r w:rsidRPr="00511005">
        <w:rPr>
          <w:rFonts w:ascii="Arial" w:eastAsia="Times New Roman" w:hAnsi="Arial" w:cs="Arial"/>
          <w:b/>
          <w:bCs/>
          <w:i/>
          <w:iCs/>
          <w:szCs w:val="28"/>
          <w:lang w:val="en-GB" w:eastAsia="ru-RU"/>
        </w:rPr>
        <w:t xml:space="preserve">Key words: </w:t>
      </w:r>
      <w:r w:rsidRPr="00511005">
        <w:rPr>
          <w:rFonts w:ascii="Arial" w:eastAsia="Times New Roman" w:hAnsi="Arial" w:cs="Arial"/>
          <w:szCs w:val="28"/>
          <w:lang w:val="en-US" w:eastAsia="ru-RU"/>
        </w:rPr>
        <w:t>identification, DNA identification, forensic methods, investigation, special knowledge.</w:t>
      </w:r>
    </w:p>
    <w:p w14:paraId="47B47A4F"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val="uk-UA" w:eastAsia="ru-RU"/>
        </w:rPr>
      </w:pPr>
      <w:r w:rsidRPr="00511005">
        <w:rPr>
          <w:rFonts w:ascii="Arial" w:eastAsia="Times New Roman" w:hAnsi="Arial" w:cs="Arial"/>
          <w:b/>
          <w:i/>
          <w:iCs/>
          <w:szCs w:val="28"/>
          <w:lang w:val="uk-UA" w:eastAsia="ru-RU"/>
        </w:rPr>
        <w:t xml:space="preserve">Науковий керівник: </w:t>
      </w:r>
      <w:r w:rsidRPr="00511005">
        <w:rPr>
          <w:rFonts w:ascii="Arial" w:eastAsia="Times New Roman" w:hAnsi="Arial" w:cs="Arial"/>
          <w:i/>
          <w:iCs/>
          <w:szCs w:val="28"/>
          <w:lang w:val="uk-UA" w:eastAsia="ru-RU"/>
        </w:rPr>
        <w:t>к.ю.н.</w:t>
      </w:r>
      <w:r w:rsidRPr="00511005">
        <w:rPr>
          <w:rFonts w:ascii="Arial" w:eastAsia="Times New Roman" w:hAnsi="Arial" w:cs="Arial"/>
          <w:i/>
          <w:iCs/>
          <w:szCs w:val="28"/>
          <w:lang w:eastAsia="ru-RU"/>
        </w:rPr>
        <w:t>,</w:t>
      </w:r>
      <w:r w:rsidRPr="00511005">
        <w:rPr>
          <w:rFonts w:ascii="Arial" w:eastAsia="Times New Roman" w:hAnsi="Arial" w:cs="Arial"/>
          <w:i/>
          <w:iCs/>
          <w:szCs w:val="28"/>
          <w:lang w:val="uk-UA" w:eastAsia="ru-RU"/>
        </w:rPr>
        <w:t xml:space="preserve"> доцент Гресь Ю.О.</w:t>
      </w:r>
    </w:p>
    <w:p w14:paraId="71C50861" w14:textId="77777777" w:rsidR="00532C25" w:rsidRPr="00511005" w:rsidRDefault="00532C25" w:rsidP="00532C25">
      <w:pPr>
        <w:spacing w:line="264" w:lineRule="auto"/>
        <w:ind w:firstLine="0"/>
        <w:jc w:val="left"/>
        <w:rPr>
          <w:rFonts w:ascii="Arial" w:eastAsia="Times New Roman" w:hAnsi="Arial" w:cs="Arial"/>
          <w:b/>
          <w:bCs/>
          <w:szCs w:val="28"/>
          <w:lang w:val="uk-UA"/>
        </w:rPr>
      </w:pPr>
    </w:p>
    <w:p w14:paraId="2EDF6FB8" w14:textId="77777777" w:rsidR="00532C25" w:rsidRPr="00511005" w:rsidRDefault="00532C25" w:rsidP="00532C25">
      <w:pPr>
        <w:spacing w:line="264" w:lineRule="auto"/>
        <w:ind w:firstLine="0"/>
        <w:jc w:val="left"/>
        <w:rPr>
          <w:rFonts w:ascii="Arial" w:eastAsia="Times New Roman" w:hAnsi="Arial" w:cs="Arial"/>
          <w:b/>
          <w:bCs/>
          <w:szCs w:val="28"/>
        </w:rPr>
      </w:pPr>
    </w:p>
    <w:p w14:paraId="4CCDB0B2" w14:textId="77777777" w:rsidR="00532C25" w:rsidRPr="00511005" w:rsidRDefault="00532C25" w:rsidP="00532C25">
      <w:pPr>
        <w:spacing w:line="264" w:lineRule="auto"/>
        <w:ind w:firstLine="72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Дзюбчик Єлізавєта Віталіївна</w:t>
      </w:r>
    </w:p>
    <w:p w14:paraId="0A00881D"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51728625"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1910977"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424F3C6" w14:textId="77777777" w:rsidR="00532C25" w:rsidRPr="00511005" w:rsidRDefault="00532C25" w:rsidP="00532C25">
      <w:pPr>
        <w:spacing w:line="264" w:lineRule="auto"/>
        <w:ind w:firstLine="720"/>
        <w:jc w:val="center"/>
        <w:rPr>
          <w:rFonts w:ascii="Arial" w:eastAsia="Times New Roman" w:hAnsi="Arial" w:cs="Arial"/>
          <w:b/>
          <w:bCs/>
          <w:szCs w:val="28"/>
        </w:rPr>
      </w:pPr>
    </w:p>
    <w:p w14:paraId="38A8A8BB" w14:textId="77777777" w:rsidR="00532C25" w:rsidRPr="00511005" w:rsidRDefault="00532C25" w:rsidP="00532C25">
      <w:pPr>
        <w:spacing w:line="264" w:lineRule="auto"/>
        <w:ind w:firstLine="720"/>
        <w:jc w:val="center"/>
        <w:rPr>
          <w:rFonts w:ascii="Arial" w:eastAsia="Times New Roman" w:hAnsi="Arial" w:cs="Arial"/>
          <w:b/>
          <w:bCs/>
          <w:szCs w:val="28"/>
        </w:rPr>
      </w:pPr>
      <w:r w:rsidRPr="00511005">
        <w:rPr>
          <w:rFonts w:ascii="Arial" w:eastAsia="Times New Roman" w:hAnsi="Arial" w:cs="Arial"/>
          <w:b/>
          <w:bCs/>
          <w:szCs w:val="28"/>
        </w:rPr>
        <w:t>СУЧАСНІ МЕТОДИ ДНК-АНАЛІЗУ В РОЗКРИТТІ «ХОЛОДНИХ СПРАВ»</w:t>
      </w:r>
    </w:p>
    <w:p w14:paraId="395DD172"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Розкриття «холодних справ» залишається серйозним викликом для правоохоронних органів, з огляду на обмеженість доказової бази та технологічні можливості минулих років. Розвиток ДНК-технологій відкрив нові шляхи для перегляду таких справ.</w:t>
      </w:r>
    </w:p>
    <w:p w14:paraId="5F38CF24"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ДНК-експертиза за останні десятиліття зазнала істотної трансформації: з допоміжного інструмента вона стала провідним методом ідентифікації. Одним із найпоширеніших методів є аналіз коротких тандемних повторів (STR), який дозволяє ідентифікувати особу навіть за дуже малими зразками. На думку А.С. Повх та С.М. Романчук, справжній прорив відбувся із запровадженням у практику мікросателітних маркерів - STR-локустів (Short Tandem Repeats), які стали набагато ефективнішими для криміналістичних задач. STR-аналіз відзначається високою точністю навіть у випадках, коли біологічні сліди зазнали сильного зовнішнього впливу - перебували тривалий час у воді, снігу, ґрунті або піддавалися температурним коливанням і діям хімічних речовин.[1, с.64-65]</w:t>
      </w:r>
    </w:p>
    <w:p w14:paraId="216F71EB"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Такі умови часто призводять до часткової або повної деградації ДНК, що значно ускладнює процес дослідження. Однак саме STR-маркери демонструють вищу стійкість у деградованих зразках завдяки своїй короткій структурі. Тому вони й сьогодні залишаються основою для створення баз даних ДНК, які активно використовуються для розкриття «холодних справ». Ці технології мають стати невід’ємною частиною комплексного підходу до криміналістичного аналізу, адже саме генетичний слід часто стає останньою </w:t>
      </w:r>
      <w:r w:rsidRPr="00511005">
        <w:rPr>
          <w:rFonts w:ascii="Arial" w:eastAsia="Times New Roman" w:hAnsi="Arial" w:cs="Arial"/>
          <w:szCs w:val="28"/>
          <w:lang w:val="uk-UA"/>
        </w:rPr>
        <w:lastRenderedPageBreak/>
        <w:t>надією на встановлення істини у складних та застарілих кримінальних справах.</w:t>
      </w:r>
    </w:p>
    <w:p w14:paraId="4B72160B"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Наступний метод - аналіз мітохондріальна ДНК, використовується, у випадках, коли зразки деградовані або занадто старі, який успішно передається по материнській лінії.</w:t>
      </w:r>
    </w:p>
    <w:p w14:paraId="72C47D62"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Р.Л. Степанюк, у свою чергу, вказує те, що цінність даного методу полягає у здатності встановлювати родинні зв’язки по материнській лінії, що відкриває додаткові можливості для ідентифікації особи. Особливо актуальним цей метод є у випадках, коли ядерна ДНК втрачена через вплив зовнішнього середовища і проведення STR-аналізу стає неможливим. Йдеться, зокрема, про сильно деградовані зразки, до прикладу: рештки після пожеж, кісткові залишки або волосся без фолікула. Завдяки тому, що мітохондріальна ДНК зберігається у великій кількості копій у кожній клітині, її частіше вдається виділити навіть за несприятливих умов.[2, с. 66]</w:t>
      </w:r>
    </w:p>
    <w:p w14:paraId="770B0D30"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Також є ще метод ДНК-аналізу, який використовують при розкритті «холодних справ» - через генеалогічний пошук. </w:t>
      </w:r>
    </w:p>
    <w:p w14:paraId="7E05DC8D"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Знаковим прикладом використання даного ДНК-аналізу стала справа «Golden State Killer», розкрита у 2018 році.</w:t>
      </w:r>
    </w:p>
    <w:p w14:paraId="41EAFFA3"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«ДеАнджело уникав арешту понад три десятиліття, але слідчі використали нові судово-медичні методи, щоб ідентифікувати його у 2018 році . Використовуючи ДНК з місць злочину, вони знайшли далекого родича в базі даних ДНК генеалогічного веб-сайту, а потім простежили генеалогічне дерево до ДеАнджело. Вони підтвердили його особу за допомогою зразків ДНК з дверей його автомобіля та викинутої тканини» [3].</w:t>
      </w:r>
    </w:p>
    <w:p w14:paraId="6F5DF823"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Аналогічні методи були застосовані в Україні для повторного аналізу справ про серійні вбивства 1990-х років. У деяких випадках новий аналіз виявив помилки первинної експертизи, що дозволило зняти обвинувачення з невинних осіб. Ці приклади підтверджують значний доказовий потенціал сучасної ДНК-експертизи. При цьому особливо цінною є її здатність встановлювати особу навіть через родинні зв’язки. Ця інформація може бути вирішальною в справах, де інші слідчі методи вичерпані.</w:t>
      </w:r>
    </w:p>
    <w:p w14:paraId="03055473"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Сучасні досягнення у сфері молекулярно-генетичної експертизи значною мірою змінили підхід до розслідування «холодних справ», відкривши нові можливості для відновлення справедливості. Застосування STR-аналізу, аналізу мітохондріальної ДНК та генеалогічного пошуку дозволяє здійснювати точну ідентифікацію особи навіть у складних умовах деградації біоматеріалу. Висока чутливість та доказова надійність цих методів стали підґрунтям для перегляду старих справ, у тому числі помилково засуджених осіб. </w:t>
      </w:r>
    </w:p>
    <w:p w14:paraId="7E856B75" w14:textId="77777777" w:rsidR="00532C25" w:rsidRPr="00511005" w:rsidRDefault="00532C25" w:rsidP="00532C25">
      <w:pPr>
        <w:spacing w:line="264" w:lineRule="auto"/>
        <w:ind w:firstLine="720"/>
        <w:jc w:val="center"/>
        <w:rPr>
          <w:rFonts w:ascii="Arial" w:eastAsia="Times New Roman" w:hAnsi="Arial" w:cs="Arial"/>
          <w:b/>
          <w:bCs/>
          <w:szCs w:val="28"/>
          <w:lang w:val="uk-UA"/>
        </w:rPr>
      </w:pPr>
    </w:p>
    <w:p w14:paraId="5F7863BC" w14:textId="77777777" w:rsidR="00532C25" w:rsidRPr="00511005" w:rsidRDefault="00532C25" w:rsidP="00532C25">
      <w:pPr>
        <w:spacing w:line="264" w:lineRule="auto"/>
        <w:ind w:firstLine="72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28971A5C"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lastRenderedPageBreak/>
        <w:t>1. А.С. Повх, Романчук С.М. Валідація методу фрагментного аналізу STR-локусів із використанням набору реактивів АmpFlSTR® IDENTIFILER® PLUS для проведення реакції ампліфікації // Криміналістичний вісник. - 2019. - №1(31) - С. 63-79</w:t>
      </w:r>
    </w:p>
    <w:p w14:paraId="47DB06F3"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2. Степанюк Р.Л. Криміналістичний ДНК-аналіз: стан і перспективи розвитку в Україні // Теорія та практика судової експертизи і криміналістики. - 2021. - №3(25) - С. 60-80</w:t>
      </w:r>
    </w:p>
    <w:p w14:paraId="38A675B7"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3. 74-Year-Old ‘Golden State Killer’ Joseph DeAngelo Pleads Guilty to 13 Murders and Rapes, Gets 11 Life Sentences // Death Penalty Information Center Jul. - 07, 2020 | Updated on Mar 14, 2025</w:t>
      </w:r>
    </w:p>
    <w:p w14:paraId="64FEB45C" w14:textId="77777777" w:rsidR="00532C25" w:rsidRPr="00511005" w:rsidRDefault="00532C25" w:rsidP="00532C25">
      <w:pPr>
        <w:spacing w:line="264" w:lineRule="auto"/>
        <w:ind w:firstLine="720"/>
        <w:rPr>
          <w:rFonts w:ascii="Arial" w:eastAsia="Times New Roman" w:hAnsi="Arial" w:cs="Arial"/>
          <w:b/>
          <w:bCs/>
          <w:szCs w:val="28"/>
          <w:lang w:val="uk-UA"/>
        </w:rPr>
      </w:pPr>
    </w:p>
    <w:p w14:paraId="1A5A272F"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Pr="00511005">
        <w:rPr>
          <w:rFonts w:ascii="Arial" w:eastAsia="Times New Roman" w:hAnsi="Arial" w:cs="Arial"/>
          <w:szCs w:val="28"/>
          <w:lang w:val="uk-UA"/>
        </w:rPr>
        <w:t>«холодні справи», ДНК-експетиза, STR-аналіз, мітохондріальна ДНК, генеалогічний пошук, ідентифікація особи,деградовані зразки, розслідування злочинів, «Golden State Killer».</w:t>
      </w:r>
    </w:p>
    <w:p w14:paraId="0F9DEFEC"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Pr="00511005">
        <w:rPr>
          <w:rFonts w:ascii="Arial" w:eastAsia="Times New Roman" w:hAnsi="Arial" w:cs="Arial"/>
          <w:szCs w:val="28"/>
          <w:lang w:val="uk-UA"/>
        </w:rPr>
        <w:t>«cold cases», DNA examination, STR analysis, mitochondrial DNA, genealogical search, personal identification, degraded samples, crime investigation, «Golden State Killer».</w:t>
      </w:r>
    </w:p>
    <w:p w14:paraId="3909ECE7" w14:textId="77777777" w:rsidR="00532C25" w:rsidRPr="00511005" w:rsidRDefault="00532C25" w:rsidP="00532C25">
      <w:pPr>
        <w:spacing w:line="264" w:lineRule="auto"/>
        <w:ind w:firstLine="72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Pr="00511005">
        <w:rPr>
          <w:rFonts w:ascii="Arial" w:eastAsia="Times New Roman" w:hAnsi="Arial" w:cs="Arial"/>
          <w:i/>
          <w:iCs/>
          <w:szCs w:val="28"/>
          <w:lang w:val="uk-UA"/>
        </w:rPr>
        <w:t>к.ю.н., доцент Колодіна А.С.</w:t>
      </w:r>
    </w:p>
    <w:p w14:paraId="4CD22E49" w14:textId="77777777" w:rsidR="00532C25" w:rsidRPr="00511005" w:rsidRDefault="00532C25" w:rsidP="00532C25">
      <w:pPr>
        <w:keepNext/>
        <w:spacing w:line="264" w:lineRule="auto"/>
        <w:ind w:firstLine="720"/>
        <w:jc w:val="center"/>
        <w:rPr>
          <w:rFonts w:ascii="Arial" w:eastAsia="Calibri" w:hAnsi="Arial" w:cs="Arial"/>
          <w:b/>
          <w:i/>
          <w:szCs w:val="28"/>
          <w:lang w:val="uk-UA"/>
        </w:rPr>
      </w:pPr>
    </w:p>
    <w:p w14:paraId="36469497" w14:textId="77777777" w:rsidR="00532C25" w:rsidRPr="00511005" w:rsidRDefault="00532C25" w:rsidP="00532C25">
      <w:pPr>
        <w:keepNext/>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Дідух Анастасія Сергіївна</w:t>
      </w:r>
    </w:p>
    <w:p w14:paraId="4CBF382D"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3-го курсу факультету судового та міжнародного права</w:t>
      </w:r>
      <w:r w:rsidRPr="00511005">
        <w:rPr>
          <w:rFonts w:ascii="Arial" w:eastAsia="Calibri" w:hAnsi="Arial" w:cs="Arial"/>
          <w:szCs w:val="28"/>
          <w:lang w:val="uk-UA"/>
        </w:rPr>
        <w:br/>
        <w:t>Національного університету «Одеська юридична академія»</w:t>
      </w:r>
    </w:p>
    <w:p w14:paraId="5EDAEF96" w14:textId="77777777" w:rsidR="00532C25" w:rsidRPr="00511005" w:rsidRDefault="00532C25" w:rsidP="00532C25">
      <w:pPr>
        <w:tabs>
          <w:tab w:val="left" w:pos="7088"/>
        </w:tabs>
        <w:spacing w:line="264" w:lineRule="auto"/>
        <w:ind w:firstLine="720"/>
        <w:jc w:val="center"/>
        <w:rPr>
          <w:rFonts w:ascii="Arial" w:eastAsia="Calibri" w:hAnsi="Arial" w:cs="Arial"/>
          <w:b/>
          <w:szCs w:val="28"/>
          <w:lang w:val="uk-UA" w:bidi="uk-UA"/>
        </w:rPr>
      </w:pPr>
    </w:p>
    <w:p w14:paraId="10263426" w14:textId="77777777" w:rsidR="00532C25" w:rsidRPr="00511005" w:rsidRDefault="00532C25" w:rsidP="00532C25">
      <w:pPr>
        <w:tabs>
          <w:tab w:val="left" w:pos="7088"/>
        </w:tabs>
        <w:spacing w:line="264" w:lineRule="auto"/>
        <w:ind w:firstLine="720"/>
        <w:jc w:val="center"/>
        <w:rPr>
          <w:rFonts w:ascii="Arial" w:eastAsia="Calibri" w:hAnsi="Arial" w:cs="Arial"/>
          <w:b/>
          <w:szCs w:val="28"/>
          <w:lang w:val="uk-UA" w:bidi="uk-UA"/>
        </w:rPr>
      </w:pPr>
      <w:r w:rsidRPr="00511005">
        <w:rPr>
          <w:rFonts w:ascii="Arial" w:eastAsia="Calibri" w:hAnsi="Arial" w:cs="Arial"/>
          <w:b/>
          <w:szCs w:val="28"/>
          <w:lang w:val="uk-UA" w:bidi="uk-UA"/>
        </w:rPr>
        <w:t>ЕТИЧНІ АСПЕКТИ ВИКОРИСТАННЯ ПОЛІГРАФА</w:t>
      </w:r>
    </w:p>
    <w:p w14:paraId="24AB4370"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Поліграф, який багато хто знає як «детектор брехні», вже давно викликає суперечки серед юристів, психологів і звичайних людей. У деяких країнах його все частіше використовують при прийомі на роботу, під час розслідувань або для перевірки правдивості інформації. Проте питання, чи етично це – досі залишається важливим. Воно викликає багато складних питань: як не порушити права людини, як гарантувати добровільну участь, як не допустити зловживань і як бути впевненим у точності результатів.</w:t>
      </w:r>
    </w:p>
    <w:p w14:paraId="5946EAEA"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 xml:space="preserve">Однією з головних проблем є питання </w:t>
      </w:r>
      <w:bookmarkStart w:id="230" w:name="_Hlk196750804"/>
      <w:r w:rsidRPr="00511005">
        <w:rPr>
          <w:rFonts w:ascii="Arial" w:eastAsia="Calibri" w:hAnsi="Arial" w:cs="Arial"/>
          <w:szCs w:val="28"/>
          <w:lang w:val="uk-UA" w:bidi="uk-UA"/>
        </w:rPr>
        <w:t xml:space="preserve">добровільності проходження </w:t>
      </w:r>
      <w:bookmarkEnd w:id="230"/>
      <w:r w:rsidRPr="00511005">
        <w:rPr>
          <w:rFonts w:ascii="Arial" w:eastAsia="Calibri" w:hAnsi="Arial" w:cs="Arial"/>
          <w:szCs w:val="28"/>
          <w:lang w:val="uk-UA" w:bidi="uk-UA"/>
        </w:rPr>
        <w:t>поліграфа. В теорії така процедура має здійснюватися за повною і усвідомленою згодою особи. Проте в реальній практиці ця вимога часто порушується: кандидатів на роботу або співробітників змушують погоджуватися на тестування під загрозою втрати кар'єрних перспектив чи навіть роботи. Виникає ситуація так званої «вимушеної добровільності», яка суперечить фундаментальним принципам етики, закріпленим у міжнародних документах, зокрема в Загальній декларації прав людини. Під натиском обставин особа може погодитися на процедуру, хоча насправді не бажає цього, що ставить під сумнів справжність її згоди.</w:t>
      </w:r>
    </w:p>
    <w:p w14:paraId="10AEFAF0"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lastRenderedPageBreak/>
        <w:t xml:space="preserve">Іншою важливою етичною проблемою є </w:t>
      </w:r>
      <w:bookmarkStart w:id="231" w:name="_Hlk196750733"/>
      <w:r w:rsidRPr="00511005">
        <w:rPr>
          <w:rFonts w:ascii="Arial" w:eastAsia="Calibri" w:hAnsi="Arial" w:cs="Arial"/>
          <w:szCs w:val="28"/>
          <w:lang w:val="uk-UA" w:bidi="uk-UA"/>
        </w:rPr>
        <w:t>конфіденційність</w:t>
      </w:r>
      <w:bookmarkEnd w:id="231"/>
      <w:r w:rsidRPr="00511005">
        <w:rPr>
          <w:rFonts w:ascii="Arial" w:eastAsia="Calibri" w:hAnsi="Arial" w:cs="Arial"/>
          <w:szCs w:val="28"/>
          <w:lang w:val="uk-UA" w:bidi="uk-UA"/>
        </w:rPr>
        <w:t xml:space="preserve"> результатів обстеження на поліграфі. Отримана інформація часто стосується приватного життя людини, її особистих переконань, переживань і навіть таких аспектів, що не мають прямого стосунку до поставленого питання. Незважаючи на законодавчі обмеження щодо використання персональних даних, ризики витоку інформації залишаються високими [1, c.9]. Порушення конфіденційності може завдати істотної шкоди репутації особи, вплинути на її психоемоційний стан і навіть спричинити соціальну стигматизацію. Етичні стандарти вимагають жорсткого обмеження використання інформації, отриманої за допомогою поліграфа, виключно в межах попередньо визначених цілей.</w:t>
      </w:r>
    </w:p>
    <w:p w14:paraId="23DD7A31"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 xml:space="preserve">Додатково потрібно враховувати </w:t>
      </w:r>
      <w:bookmarkStart w:id="232" w:name="_Hlk196750852"/>
      <w:r w:rsidRPr="00511005">
        <w:rPr>
          <w:rFonts w:ascii="Arial" w:eastAsia="Calibri" w:hAnsi="Arial" w:cs="Arial"/>
          <w:szCs w:val="28"/>
          <w:lang w:val="uk-UA" w:bidi="uk-UA"/>
        </w:rPr>
        <w:t>наукову обґрунтованість методики поліграфування.</w:t>
      </w:r>
      <w:bookmarkEnd w:id="232"/>
      <w:r w:rsidRPr="00511005">
        <w:rPr>
          <w:rFonts w:ascii="Arial" w:eastAsia="Calibri" w:hAnsi="Arial" w:cs="Arial"/>
          <w:szCs w:val="28"/>
          <w:lang w:val="uk-UA" w:bidi="uk-UA"/>
        </w:rPr>
        <w:t xml:space="preserve"> Хоча поліграфологія базується на вимірюванні фізіологічних реакцій організму, таких як зміни частоти серцевих скорочень, дихання чи електропровідності шкіри, ці показники можуть бути викликані не лише неправдою, але й тривогою, страхом або іншими емоційними станами. Наукові дослідження, проведені у різних юрисдикціях, доводять, що поліграф не може гарантувати стовідсоткової достовірності результатів. Така невизначеність створює серйозні етичні ризики, особливо коли рішення про працевлаштування, просування по службі або навіть притягнення до кримінальної відповідальності ухвалюються, спираючись на дані поліграфа.</w:t>
      </w:r>
    </w:p>
    <w:p w14:paraId="02A57BB4"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rPr>
        <w:t xml:space="preserve">Важливо також звернути увагу на те, як поліграф може вплинути на психіку людини. Процедура проходження тесту часто є виснажливою і може викликати сильні емоції. Люди бояться, що поліграф помилково покаже неправду, хвилюються через можливі наслідки і відчувають тиск з боку того, хто проводить тест. Це все може викликати сильний стрес, а іноді навіть призводити до психологічних проблем – як тимчасових, так і довготривалих. Відомі випадки, коли після тестування люди потребували допомоги психолога через тривогу чи депресивні стани. Тому перед використанням поліграфа дуже важливо добре обдумати, чи дійсно він необхідний у кожній конкретній ситуації </w:t>
      </w:r>
      <w:r w:rsidRPr="00511005">
        <w:rPr>
          <w:rFonts w:ascii="Arial" w:eastAsia="Calibri" w:hAnsi="Arial" w:cs="Arial"/>
          <w:szCs w:val="28"/>
          <w:lang w:val="uk-UA" w:bidi="uk-UA"/>
        </w:rPr>
        <w:t xml:space="preserve">[2, c.193]. </w:t>
      </w:r>
    </w:p>
    <w:p w14:paraId="218749F6"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 xml:space="preserve">Варто звернути увагу на проблему </w:t>
      </w:r>
      <w:bookmarkStart w:id="233" w:name="_Hlk196751235"/>
      <w:r w:rsidRPr="00511005">
        <w:rPr>
          <w:rFonts w:ascii="Arial" w:eastAsia="Calibri" w:hAnsi="Arial" w:cs="Arial"/>
          <w:szCs w:val="28"/>
          <w:lang w:val="uk-UA" w:bidi="uk-UA"/>
        </w:rPr>
        <w:t>професійної підготовки фахівців</w:t>
      </w:r>
      <w:bookmarkEnd w:id="233"/>
      <w:r w:rsidRPr="00511005">
        <w:rPr>
          <w:rFonts w:ascii="Arial" w:eastAsia="Calibri" w:hAnsi="Arial" w:cs="Arial"/>
          <w:szCs w:val="28"/>
          <w:lang w:val="uk-UA" w:bidi="uk-UA"/>
        </w:rPr>
        <w:t xml:space="preserve">, які проводять тестування на поліграфі. Недостатній рівень підготовки або </w:t>
      </w:r>
      <w:bookmarkStart w:id="234" w:name="_Hlk196751099"/>
      <w:r w:rsidRPr="00511005">
        <w:rPr>
          <w:rFonts w:ascii="Arial" w:eastAsia="Calibri" w:hAnsi="Arial" w:cs="Arial"/>
          <w:szCs w:val="28"/>
          <w:lang w:val="uk-UA" w:bidi="uk-UA"/>
        </w:rPr>
        <w:t xml:space="preserve">етичної свідомості </w:t>
      </w:r>
      <w:bookmarkEnd w:id="234"/>
      <w:r w:rsidRPr="00511005">
        <w:rPr>
          <w:rFonts w:ascii="Arial" w:eastAsia="Calibri" w:hAnsi="Arial" w:cs="Arial"/>
          <w:szCs w:val="28"/>
          <w:lang w:val="uk-UA" w:bidi="uk-UA"/>
        </w:rPr>
        <w:t xml:space="preserve">інтерв'юерів може призвести до упередженого </w:t>
      </w:r>
      <w:bookmarkStart w:id="235" w:name="_Hlk196750923"/>
      <w:r w:rsidRPr="00511005">
        <w:rPr>
          <w:rFonts w:ascii="Arial" w:eastAsia="Calibri" w:hAnsi="Arial" w:cs="Arial"/>
          <w:szCs w:val="28"/>
          <w:lang w:val="uk-UA" w:bidi="uk-UA"/>
        </w:rPr>
        <w:t>трактування результатів</w:t>
      </w:r>
      <w:bookmarkEnd w:id="235"/>
      <w:r w:rsidRPr="00511005">
        <w:rPr>
          <w:rFonts w:ascii="Arial" w:eastAsia="Calibri" w:hAnsi="Arial" w:cs="Arial"/>
          <w:szCs w:val="28"/>
          <w:lang w:val="uk-UA" w:bidi="uk-UA"/>
        </w:rPr>
        <w:t>, психологічного тиску на особу або інших зловживань. Етичні принципи вимагають, щоб поліграфологи дотримувалися високих стандартів об'єктивності, неупередженості та поваги до гідності випробуваного.</w:t>
      </w:r>
    </w:p>
    <w:p w14:paraId="5E2D243B"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Законодавче регулювання використання поліграфа істотно різниться в різних країнах, що також має важливі етичні наслідки. У Сполучених Штатах Америки, наприклад, діє Закон про захист працівників від використання поліграфа (</w:t>
      </w:r>
      <w:r w:rsidRPr="00511005">
        <w:rPr>
          <w:rFonts w:ascii="Arial" w:eastAsia="Calibri" w:hAnsi="Arial" w:cs="Arial"/>
          <w:szCs w:val="28"/>
          <w:lang w:val="en-US" w:bidi="uk-UA"/>
        </w:rPr>
        <w:t>Employee</w:t>
      </w:r>
      <w:r w:rsidRPr="00511005">
        <w:rPr>
          <w:rFonts w:ascii="Arial" w:eastAsia="Calibri" w:hAnsi="Arial" w:cs="Arial"/>
          <w:szCs w:val="28"/>
          <w:lang w:val="uk-UA" w:bidi="uk-UA"/>
        </w:rPr>
        <w:t xml:space="preserve"> </w:t>
      </w:r>
      <w:r w:rsidRPr="00511005">
        <w:rPr>
          <w:rFonts w:ascii="Arial" w:eastAsia="Calibri" w:hAnsi="Arial" w:cs="Arial"/>
          <w:szCs w:val="28"/>
          <w:lang w:val="en-US" w:bidi="uk-UA"/>
        </w:rPr>
        <w:t>Polygraph</w:t>
      </w:r>
      <w:r w:rsidRPr="00511005">
        <w:rPr>
          <w:rFonts w:ascii="Arial" w:eastAsia="Calibri" w:hAnsi="Arial" w:cs="Arial"/>
          <w:szCs w:val="28"/>
          <w:lang w:val="uk-UA" w:bidi="uk-UA"/>
        </w:rPr>
        <w:t xml:space="preserve"> </w:t>
      </w:r>
      <w:r w:rsidRPr="00511005">
        <w:rPr>
          <w:rFonts w:ascii="Arial" w:eastAsia="Calibri" w:hAnsi="Arial" w:cs="Arial"/>
          <w:szCs w:val="28"/>
          <w:lang w:val="en-US" w:bidi="uk-UA"/>
        </w:rPr>
        <w:t>Protection</w:t>
      </w:r>
      <w:r w:rsidRPr="00511005">
        <w:rPr>
          <w:rFonts w:ascii="Arial" w:eastAsia="Calibri" w:hAnsi="Arial" w:cs="Arial"/>
          <w:szCs w:val="28"/>
          <w:lang w:val="uk-UA" w:bidi="uk-UA"/>
        </w:rPr>
        <w:t xml:space="preserve"> </w:t>
      </w:r>
      <w:r w:rsidRPr="00511005">
        <w:rPr>
          <w:rFonts w:ascii="Arial" w:eastAsia="Calibri" w:hAnsi="Arial" w:cs="Arial"/>
          <w:szCs w:val="28"/>
          <w:lang w:val="en-US" w:bidi="uk-UA"/>
        </w:rPr>
        <w:t>Act</w:t>
      </w:r>
      <w:r w:rsidRPr="00511005">
        <w:rPr>
          <w:rFonts w:ascii="Arial" w:eastAsia="Calibri" w:hAnsi="Arial" w:cs="Arial"/>
          <w:szCs w:val="28"/>
          <w:lang w:val="uk-UA" w:bidi="uk-UA"/>
        </w:rPr>
        <w:t xml:space="preserve">), який значно обмежує </w:t>
      </w:r>
      <w:r w:rsidRPr="00511005">
        <w:rPr>
          <w:rFonts w:ascii="Arial" w:eastAsia="Calibri" w:hAnsi="Arial" w:cs="Arial"/>
          <w:szCs w:val="28"/>
          <w:lang w:val="uk-UA" w:bidi="uk-UA"/>
        </w:rPr>
        <w:lastRenderedPageBreak/>
        <w:t>можливості застосування поліграфа у сфері працевлаштування, захищаючи права працівників. Водночас у ряді інших держав поліграф використовується широко й практично без законодавчих обмежень, що створює додаткові ризики зловживань і порушення етичних стандартів.</w:t>
      </w:r>
    </w:p>
    <w:p w14:paraId="04D3CF51"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У контексті кримінального процесу використання поліграфа викликає особливі суперечки. Деякі юрисдикції визнають результати поліграфічного дослідження як допоміжний доказ, тоді як інші повністю відмовляються від їх врахування, посилаючись на сумнівну надійність та можливість маніпуляцій. Питання допустимості поліграфа в судовому процесі прямо пов'язане з етичними принципами справедливого судового розгляду, презумпції невинуватості та права на захист. Будь-яке рішення, засноване на недостовірних або неправильно інтерпретованих даних, може призвести до тяжких наслідків для особи, включаючи неправомірне засудження або дискримінацію.</w:t>
      </w:r>
    </w:p>
    <w:p w14:paraId="4CC50EC5"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Особливу увагу варто приділити і культурним аспектам використання поліграфа. У різних культурах ставлення до брехні, правди і процесу з'ясування істини має суттєві відмінності. Те, що в одній культурі може сприйматися як нормальне емоційне реагування, в іншій розцінюється як ознака обману. Такий контекст ускладнює інтерпретацію фізіологічних реакцій і вимагає від поліграфолога високого рівня міжкультурної компетентності. Ігнорування цих нюансів може призвести до неправильних висновків і порушення прав особи [3, c.30].</w:t>
      </w:r>
    </w:p>
    <w:p w14:paraId="3ED48C2F"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З урахуванням усього сказаного, можна виділити кілька головних правил, яких слід дотримуватись під час використання поліграфа. По-перше, людина має проходити тестування лише добровільно і з повним розумінням, на що вона погоджується. По-друге, вся інформація, отримана під час перевірки, має залишатися конфіденційною. По-третє, результати тесту можна використовувати лише для конкретної мети, заради якої він проводився. Важливо також, щоб поліграфологи були добре підготовлені й мали високий рівень професійних знань. Крім того, потрібно враховувати індивідуальні особливості людини – її культуру, соціальне середовище й психологічний стан. І нарешті, усе це має відбуватися згідно із законом та міжнародними стандартами з прав людини.</w:t>
      </w:r>
    </w:p>
    <w:p w14:paraId="7B12C122"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rPr>
        <w:t>Варто усвідомлювати, що навіть при суворому дотриманні всіх встановлених норм та процедур, поліграф не гарантує об’єктивної та беззаперечної істини. Його слід розглядати не як основний доказ, а як допоміжний метод, який може підтримати або доповнити інші форми збору інформації. Важливо, щоб застосування поліграфа здійснювалося з максимальною обережністю, з урахуванням усіх можливих похибок, інтерпретаційних труднощів і людського чинника.</w:t>
      </w:r>
      <w:r w:rsidRPr="00511005">
        <w:rPr>
          <w:rFonts w:ascii="Arial" w:eastAsia="Calibri" w:hAnsi="Arial" w:cs="Arial"/>
          <w:szCs w:val="28"/>
          <w:lang w:val="uk-UA" w:bidi="uk-UA"/>
        </w:rPr>
        <w:t xml:space="preserve"> </w:t>
      </w:r>
      <w:r w:rsidRPr="00511005">
        <w:rPr>
          <w:rFonts w:ascii="Arial" w:eastAsia="Calibri" w:hAnsi="Arial" w:cs="Arial"/>
          <w:szCs w:val="28"/>
          <w:lang w:val="uk-UA"/>
        </w:rPr>
        <w:t xml:space="preserve">У цьому контексті особливу роль відіграють професійні стандарти й етичні норми, закріплені в кодексах поліграфологів. Наприклад, Американська асоціація </w:t>
      </w:r>
      <w:r w:rsidRPr="00511005">
        <w:rPr>
          <w:rFonts w:ascii="Arial" w:eastAsia="Calibri" w:hAnsi="Arial" w:cs="Arial"/>
          <w:szCs w:val="28"/>
          <w:lang w:val="uk-UA"/>
        </w:rPr>
        <w:lastRenderedPageBreak/>
        <w:t>поліграфологів та подібні фахові об’єднання встановлюють чіткі правила, що спрямовані на захист гідності, прав та інтересів осіб, яких тестують. Ці правила забороняють використання поліграфа як засобу тиску чи примусу, підкреслюють важливість добровільної згоди, а також вимагають конфіденційності та професіоналізму під час проведення досліджень.</w:t>
      </w:r>
    </w:p>
    <w:p w14:paraId="1988424B"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rPr>
        <w:t>У практичному плані можна розглянути приклади використання поліграфа під час службових розслідувань у державних установах. Часто працівників змушують проходити перевірку через підозри в порушеннях або витоку інформації. У таких випадках поліграф із засобу встановлення правди легко перетворюється на інструмент психологічного тиску або навіть репресій. Навіть коли тестування формально є добровільним, тиск може бути настільки сильним, що люди погоджуються на нього всупереч своїм бажанням.</w:t>
      </w:r>
      <w:r w:rsidRPr="00511005">
        <w:rPr>
          <w:rFonts w:ascii="Arial" w:eastAsia="Calibri" w:hAnsi="Arial" w:cs="Arial"/>
          <w:szCs w:val="28"/>
          <w:lang w:val="uk-UA" w:bidi="uk-UA"/>
        </w:rPr>
        <w:t xml:space="preserve"> </w:t>
      </w:r>
      <w:r w:rsidRPr="00511005">
        <w:rPr>
          <w:rFonts w:ascii="Arial" w:eastAsia="Calibri" w:hAnsi="Arial" w:cs="Arial"/>
          <w:szCs w:val="28"/>
          <w:lang w:val="uk-UA"/>
        </w:rPr>
        <w:t>Ще один приклад – використання поліграфа у приватних компаніях, особливо під час найму працівників у сфері безпеки. Тут теж трапляються ситуації, коли результати тесту стають підставою для відмови у роботі, при цьому людині не дають змоги дізнатися про деталі або оскаржити висновки. Це порушує принципи справедливості та відкритості.</w:t>
      </w:r>
    </w:p>
    <w:p w14:paraId="1B64045A"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Зважаючи на численні етичні виклики, дедалі більше експертів наполягають на необхідності розробки чітких, обов'язкових до виконання етичних стандартів використання поліграфа, закріплених на законодавчому рівні. Такі стандарти мають передбачати не лише гарантії добровільності й конфіденційності, а й механізми контролю за діями поліграфологів, можливість незалежного оскарження результатів і обов'язкову професійну сертифікацію фахівців.</w:t>
      </w:r>
    </w:p>
    <w:p w14:paraId="6707A0A6"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Таким чином, питання етичності використання поліграфа є багатогранним і вимагає комплексного підходу, що поєднує правові, психологічні, культурні та професійні аспекти. Використання поліграфа має бути обмежене чіткими рамками, зорієнтованими на максимальний захист прав і свобод людини, із врахуванням усіх ризиків і недоліків цього методу. Лише за таких умов поліграф може бути корисним допоміжним інструментом, що сприяє з'ясуванню істини, не порушуючи при цьому етичних норм і прав людини.</w:t>
      </w:r>
    </w:p>
    <w:p w14:paraId="2AAAE3BC"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p>
    <w:p w14:paraId="78EF7E8E" w14:textId="77777777" w:rsidR="00532C25" w:rsidRPr="00511005" w:rsidRDefault="00532C25" w:rsidP="00532C25">
      <w:pPr>
        <w:tabs>
          <w:tab w:val="left" w:pos="7088"/>
        </w:tabs>
        <w:spacing w:line="264" w:lineRule="auto"/>
        <w:ind w:firstLine="720"/>
        <w:jc w:val="center"/>
        <w:rPr>
          <w:rFonts w:ascii="Arial" w:eastAsia="Calibri" w:hAnsi="Arial" w:cs="Arial"/>
          <w:b/>
          <w:szCs w:val="28"/>
          <w:lang w:val="uk-UA" w:bidi="uk-UA"/>
        </w:rPr>
      </w:pPr>
      <w:r w:rsidRPr="00511005">
        <w:rPr>
          <w:rFonts w:ascii="Arial" w:eastAsia="Calibri" w:hAnsi="Arial" w:cs="Arial"/>
          <w:b/>
          <w:szCs w:val="28"/>
          <w:lang w:val="uk-UA" w:bidi="uk-UA"/>
        </w:rPr>
        <w:t>Список використаних джерел</w:t>
      </w:r>
    </w:p>
    <w:p w14:paraId="16D716EF" w14:textId="77777777" w:rsidR="00532C25" w:rsidRPr="00511005" w:rsidRDefault="00532C25" w:rsidP="003F6A5D">
      <w:pPr>
        <w:widowControl w:val="0"/>
        <w:numPr>
          <w:ilvl w:val="0"/>
          <w:numId w:val="646"/>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val="uk-UA" w:eastAsia="ru-RU" w:bidi="uk-UA"/>
        </w:rPr>
      </w:pPr>
      <w:r w:rsidRPr="00511005">
        <w:rPr>
          <w:rFonts w:ascii="Arial" w:eastAsia="Times New Roman" w:hAnsi="Arial" w:cs="Arial"/>
          <w:b/>
          <w:bCs/>
          <w:szCs w:val="28"/>
          <w:lang w:val="uk-UA" w:eastAsia="ru-RU"/>
        </w:rPr>
        <w:t>Мотлях О. І.</w:t>
      </w:r>
      <w:r w:rsidRPr="00511005">
        <w:rPr>
          <w:rFonts w:ascii="Arial" w:eastAsia="Times New Roman" w:hAnsi="Arial" w:cs="Arial"/>
          <w:szCs w:val="28"/>
          <w:lang w:val="uk-UA" w:eastAsia="ru-RU"/>
        </w:rPr>
        <w:t xml:space="preserve"> Морально-етичні засади в діяльності спеціаліста-поліграфолога. </w:t>
      </w:r>
      <w:r w:rsidRPr="00511005">
        <w:rPr>
          <w:rFonts w:ascii="Arial" w:eastAsia="Times New Roman" w:hAnsi="Arial" w:cs="Arial"/>
          <w:i/>
          <w:iCs/>
          <w:szCs w:val="28"/>
          <w:lang w:val="uk-UA" w:eastAsia="ru-RU"/>
        </w:rPr>
        <w:t xml:space="preserve">Юридичний часопис Національної академії внутрішніх справ. </w:t>
      </w:r>
      <w:r w:rsidRPr="00511005">
        <w:rPr>
          <w:rFonts w:ascii="Arial" w:eastAsia="Times New Roman" w:hAnsi="Arial" w:cs="Arial"/>
          <w:szCs w:val="28"/>
          <w:lang w:val="uk-UA" w:eastAsia="ru-RU"/>
        </w:rPr>
        <w:t xml:space="preserve">2021. Том 11, № 1. С. 7–14. URL: </w:t>
      </w:r>
      <w:hyperlink r:id="rId1949" w:tgtFrame="_new" w:history="1">
        <w:r w:rsidRPr="00511005">
          <w:rPr>
            <w:rFonts w:ascii="Arial" w:eastAsia="Times New Roman" w:hAnsi="Arial" w:cs="Arial"/>
            <w:szCs w:val="28"/>
            <w:lang w:val="uk-UA" w:eastAsia="ru-RU"/>
          </w:rPr>
          <w:t>https://lawjournal.com.ua/uk/journals/tom-11-1-2021/moralno-etichni-zasadi-v-diyalnosti-spetsialista-poligrafologa</w:t>
        </w:r>
      </w:hyperlink>
      <w:r w:rsidRPr="00511005">
        <w:rPr>
          <w:rFonts w:ascii="Arial" w:eastAsia="Times New Roman" w:hAnsi="Arial" w:cs="Arial"/>
          <w:szCs w:val="28"/>
          <w:lang w:val="uk-UA" w:eastAsia="ru-RU"/>
        </w:rPr>
        <w:t xml:space="preserve"> (дата звернення: 28.04.2025)</w:t>
      </w:r>
    </w:p>
    <w:p w14:paraId="5497805A" w14:textId="77777777" w:rsidR="00532C25" w:rsidRPr="00511005" w:rsidRDefault="00532C25" w:rsidP="003F6A5D">
      <w:pPr>
        <w:widowControl w:val="0"/>
        <w:numPr>
          <w:ilvl w:val="0"/>
          <w:numId w:val="646"/>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val="uk-UA" w:eastAsia="ru-RU" w:bidi="uk-UA"/>
        </w:rPr>
      </w:pPr>
      <w:r w:rsidRPr="00511005">
        <w:rPr>
          <w:rFonts w:ascii="Arial" w:eastAsia="Times New Roman" w:hAnsi="Arial" w:cs="Arial"/>
          <w:b/>
          <w:bCs/>
          <w:szCs w:val="28"/>
          <w:lang w:val="uk-UA" w:eastAsia="ru-RU"/>
        </w:rPr>
        <w:t>Маріна Ю.</w:t>
      </w:r>
      <w:r w:rsidRPr="00511005">
        <w:rPr>
          <w:rFonts w:ascii="Arial" w:eastAsia="Times New Roman" w:hAnsi="Arial" w:cs="Arial"/>
          <w:szCs w:val="28"/>
          <w:lang w:val="uk-UA" w:eastAsia="ru-RU"/>
        </w:rPr>
        <w:t xml:space="preserve"> Деякі особливості застосування поліграфа у кримінальному провадженні в Україні та світі. </w:t>
      </w:r>
      <w:r w:rsidRPr="00511005">
        <w:rPr>
          <w:rFonts w:ascii="Arial" w:eastAsia="Times New Roman" w:hAnsi="Arial" w:cs="Arial"/>
          <w:i/>
          <w:iCs/>
          <w:szCs w:val="28"/>
          <w:lang w:val="uk-UA" w:eastAsia="ru-RU"/>
        </w:rPr>
        <w:t>Науковий вісник Дніпровського державного університету внутрішніх справ</w:t>
      </w:r>
      <w:r w:rsidRPr="00511005">
        <w:rPr>
          <w:rFonts w:ascii="Arial" w:eastAsia="Times New Roman" w:hAnsi="Arial" w:cs="Arial"/>
          <w:szCs w:val="28"/>
          <w:lang w:val="uk-UA" w:eastAsia="ru-RU"/>
        </w:rPr>
        <w:t xml:space="preserve">. 2023. № 4. С. </w:t>
      </w:r>
      <w:r w:rsidRPr="00511005">
        <w:rPr>
          <w:rFonts w:ascii="Arial" w:eastAsia="Times New Roman" w:hAnsi="Arial" w:cs="Arial"/>
          <w:szCs w:val="28"/>
          <w:lang w:val="uk-UA" w:eastAsia="ru-RU"/>
        </w:rPr>
        <w:lastRenderedPageBreak/>
        <w:t xml:space="preserve">191–194. URL: </w:t>
      </w:r>
      <w:hyperlink r:id="rId1950" w:tgtFrame="_new" w:history="1">
        <w:r w:rsidRPr="00511005">
          <w:rPr>
            <w:rFonts w:ascii="Arial" w:eastAsia="Times New Roman" w:hAnsi="Arial" w:cs="Arial"/>
            <w:szCs w:val="28"/>
            <w:lang w:val="uk-UA" w:eastAsia="ru-RU"/>
          </w:rPr>
          <w:t>https://visnik.dduvs.edu.ua/index.php/visnyk/article/view/528</w:t>
        </w:r>
      </w:hyperlink>
      <w:r w:rsidRPr="00511005">
        <w:rPr>
          <w:rFonts w:ascii="Arial" w:eastAsia="Times New Roman" w:hAnsi="Arial" w:cs="Arial"/>
          <w:szCs w:val="28"/>
          <w:lang w:val="uk-UA" w:eastAsia="ru-RU"/>
        </w:rPr>
        <w:t xml:space="preserve"> (дата звернення: 28.04.2025)</w:t>
      </w:r>
    </w:p>
    <w:p w14:paraId="5323D902" w14:textId="77777777" w:rsidR="00532C25" w:rsidRPr="00511005" w:rsidRDefault="00532C25" w:rsidP="003F6A5D">
      <w:pPr>
        <w:widowControl w:val="0"/>
        <w:numPr>
          <w:ilvl w:val="0"/>
          <w:numId w:val="646"/>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val="uk-UA" w:eastAsia="ru-RU" w:bidi="uk-UA"/>
        </w:rPr>
      </w:pPr>
      <w:r w:rsidRPr="00511005">
        <w:rPr>
          <w:rFonts w:ascii="Arial" w:eastAsia="Times New Roman" w:hAnsi="Arial" w:cs="Arial"/>
          <w:b/>
          <w:bCs/>
          <w:szCs w:val="28"/>
          <w:lang w:val="uk-UA" w:eastAsia="ru-RU"/>
        </w:rPr>
        <w:t>Мотлях О. І.</w:t>
      </w:r>
      <w:r w:rsidRPr="00511005">
        <w:rPr>
          <w:rFonts w:ascii="Arial" w:eastAsia="Times New Roman" w:hAnsi="Arial" w:cs="Arial"/>
          <w:szCs w:val="28"/>
          <w:lang w:val="uk-UA" w:eastAsia="ru-RU"/>
        </w:rPr>
        <w:t xml:space="preserve"> Правова регламентація діяльності, пов’язаної з використанням поліграфа в Україні. </w:t>
      </w:r>
      <w:r w:rsidRPr="00511005">
        <w:rPr>
          <w:rFonts w:ascii="Arial" w:eastAsia="Times New Roman" w:hAnsi="Arial" w:cs="Arial"/>
          <w:i/>
          <w:iCs/>
          <w:szCs w:val="28"/>
          <w:lang w:val="uk-UA" w:eastAsia="ru-RU"/>
        </w:rPr>
        <w:t>Актуальні питання теорії та практики використання поліграфа</w:t>
      </w:r>
      <w:r w:rsidRPr="00511005">
        <w:rPr>
          <w:rFonts w:ascii="Arial" w:eastAsia="Times New Roman" w:hAnsi="Arial" w:cs="Arial"/>
          <w:szCs w:val="28"/>
          <w:lang w:val="uk-UA" w:eastAsia="ru-RU"/>
        </w:rPr>
        <w:t xml:space="preserve">: збірка статей / за заг. ред. В. О. Шаповалова. Київ: Освіта України, 2016. С. 28–34. URL: </w:t>
      </w:r>
      <w:hyperlink r:id="rId1951" w:tgtFrame="_new" w:history="1">
        <w:r w:rsidRPr="00511005">
          <w:rPr>
            <w:rFonts w:ascii="Arial" w:eastAsia="Times New Roman" w:hAnsi="Arial" w:cs="Arial"/>
            <w:szCs w:val="28"/>
            <w:lang w:val="uk-UA" w:eastAsia="ru-RU"/>
          </w:rPr>
          <w:t>https://kp-ua.com/motlyah-o-pravova-reglamentatsiya-diyalnosti-pov-yazanoyi-z-vykorystannyam-poligrafa-v-ukrayini/</w:t>
        </w:r>
      </w:hyperlink>
      <w:r w:rsidRPr="00511005">
        <w:rPr>
          <w:rFonts w:ascii="Arial" w:eastAsia="Times New Roman" w:hAnsi="Arial" w:cs="Arial"/>
          <w:szCs w:val="28"/>
          <w:lang w:val="uk-UA" w:eastAsia="ru-RU"/>
        </w:rPr>
        <w:t xml:space="preserve"> (дата звернення: 28.04.2025)</w:t>
      </w:r>
    </w:p>
    <w:p w14:paraId="2148F32D" w14:textId="77777777" w:rsidR="00532C25" w:rsidRPr="00511005" w:rsidRDefault="00532C25" w:rsidP="00532C25">
      <w:pPr>
        <w:tabs>
          <w:tab w:val="left" w:pos="993"/>
          <w:tab w:val="left" w:pos="7088"/>
        </w:tabs>
        <w:spacing w:line="264" w:lineRule="auto"/>
        <w:ind w:firstLine="720"/>
        <w:rPr>
          <w:rFonts w:ascii="Arial" w:eastAsia="Calibri" w:hAnsi="Arial" w:cs="Arial"/>
          <w:b/>
          <w:i/>
          <w:iCs/>
          <w:szCs w:val="28"/>
          <w:lang w:val="uk-UA" w:bidi="uk-UA"/>
        </w:rPr>
      </w:pPr>
    </w:p>
    <w:p w14:paraId="06A5C9D6" w14:textId="77777777" w:rsidR="00532C25" w:rsidRPr="00511005" w:rsidRDefault="00532C25" w:rsidP="00532C25">
      <w:pPr>
        <w:tabs>
          <w:tab w:val="left" w:pos="993"/>
          <w:tab w:val="left" w:pos="7088"/>
        </w:tabs>
        <w:spacing w:line="264" w:lineRule="auto"/>
        <w:ind w:firstLine="720"/>
        <w:rPr>
          <w:rFonts w:ascii="Arial" w:eastAsia="Calibri" w:hAnsi="Arial" w:cs="Arial"/>
          <w:i/>
          <w:iCs/>
          <w:szCs w:val="28"/>
          <w:lang w:val="uk-UA" w:bidi="uk-UA"/>
        </w:rPr>
      </w:pPr>
      <w:r w:rsidRPr="00511005">
        <w:rPr>
          <w:rFonts w:ascii="Arial" w:eastAsia="Calibri" w:hAnsi="Arial" w:cs="Arial"/>
          <w:b/>
          <w:i/>
          <w:iCs/>
          <w:szCs w:val="28"/>
          <w:lang w:val="uk-UA" w:bidi="uk-UA"/>
        </w:rPr>
        <w:t xml:space="preserve">Ключові слова: </w:t>
      </w:r>
      <w:r w:rsidRPr="00511005">
        <w:rPr>
          <w:rFonts w:ascii="Arial" w:eastAsia="Calibri" w:hAnsi="Arial" w:cs="Arial"/>
          <w:bCs/>
          <w:i/>
          <w:iCs/>
          <w:szCs w:val="28"/>
          <w:lang w:val="uk-UA" w:bidi="uk-UA"/>
        </w:rPr>
        <w:t xml:space="preserve">етичні аспекти, </w:t>
      </w:r>
      <w:r w:rsidRPr="00511005">
        <w:rPr>
          <w:rFonts w:ascii="Arial" w:eastAsia="Calibri" w:hAnsi="Arial" w:cs="Arial"/>
          <w:i/>
          <w:iCs/>
          <w:szCs w:val="28"/>
          <w:lang w:val="uk-UA" w:bidi="uk-UA"/>
        </w:rPr>
        <w:t>конфіденційність результатів, добровільність проходження,</w:t>
      </w:r>
      <w:r w:rsidRPr="00511005">
        <w:rPr>
          <w:rFonts w:ascii="Arial" w:eastAsia="Calibri" w:hAnsi="Arial" w:cs="Arial"/>
          <w:i/>
          <w:iCs/>
          <w:szCs w:val="28"/>
          <w:lang w:val="uk-UA"/>
        </w:rPr>
        <w:t xml:space="preserve"> </w:t>
      </w:r>
      <w:r w:rsidRPr="00511005">
        <w:rPr>
          <w:rFonts w:ascii="Arial" w:eastAsia="Calibri" w:hAnsi="Arial" w:cs="Arial"/>
          <w:i/>
          <w:iCs/>
          <w:szCs w:val="28"/>
          <w:lang w:val="uk-UA" w:bidi="uk-UA"/>
        </w:rPr>
        <w:t>наукова обґрунтованість методики поліграфування,</w:t>
      </w:r>
      <w:r w:rsidRPr="00511005">
        <w:rPr>
          <w:rFonts w:ascii="Arial" w:eastAsia="Calibri" w:hAnsi="Arial" w:cs="Arial"/>
          <w:i/>
          <w:iCs/>
          <w:szCs w:val="28"/>
          <w:lang w:val="uk-UA"/>
        </w:rPr>
        <w:t xml:space="preserve"> </w:t>
      </w:r>
      <w:r w:rsidRPr="00511005">
        <w:rPr>
          <w:rFonts w:ascii="Arial" w:eastAsia="Calibri" w:hAnsi="Arial" w:cs="Arial"/>
          <w:i/>
          <w:iCs/>
          <w:szCs w:val="28"/>
          <w:lang w:val="uk-UA" w:bidi="uk-UA"/>
        </w:rPr>
        <w:t>трактування результатів службових розслідувань, допоміжний результат, етична свідомості, професійна підготовка поліграфологів.</w:t>
      </w:r>
    </w:p>
    <w:p w14:paraId="213CCAF8" w14:textId="77777777" w:rsidR="00532C25" w:rsidRPr="00511005" w:rsidRDefault="00532C25" w:rsidP="00532C25">
      <w:pPr>
        <w:tabs>
          <w:tab w:val="left" w:pos="993"/>
          <w:tab w:val="left" w:pos="7088"/>
        </w:tabs>
        <w:spacing w:line="264" w:lineRule="auto"/>
        <w:ind w:firstLine="720"/>
        <w:rPr>
          <w:rFonts w:ascii="Arial" w:eastAsia="Calibri" w:hAnsi="Arial" w:cs="Arial"/>
          <w:bCs/>
          <w:i/>
          <w:iCs/>
          <w:szCs w:val="28"/>
          <w:lang w:val="uk-UA" w:bidi="uk-UA"/>
        </w:rPr>
      </w:pPr>
      <w:r w:rsidRPr="00511005">
        <w:rPr>
          <w:rFonts w:ascii="Arial" w:eastAsia="Calibri" w:hAnsi="Arial" w:cs="Arial"/>
          <w:b/>
          <w:i/>
          <w:iCs/>
          <w:szCs w:val="28"/>
          <w:lang w:val="en-US" w:bidi="uk-UA"/>
        </w:rPr>
        <w:t xml:space="preserve">Key words: </w:t>
      </w:r>
      <w:r w:rsidRPr="00511005">
        <w:rPr>
          <w:rFonts w:ascii="Arial" w:eastAsia="Calibri" w:hAnsi="Arial" w:cs="Arial"/>
          <w:bCs/>
          <w:i/>
          <w:iCs/>
          <w:szCs w:val="28"/>
          <w:lang w:val="en-US" w:bidi="uk-UA"/>
        </w:rPr>
        <w:t>ethical aspects, confidentiality of results, voluntariness of polygraph examination, scientific validity of polygraph examination methodology, interpretation of results of internal investigations, auxiliary results, ethical awareness, professional training of polygraph examiners</w:t>
      </w:r>
      <w:r w:rsidRPr="00511005">
        <w:rPr>
          <w:rFonts w:ascii="Arial" w:eastAsia="Calibri" w:hAnsi="Arial" w:cs="Arial"/>
          <w:bCs/>
          <w:i/>
          <w:iCs/>
          <w:szCs w:val="28"/>
          <w:lang w:val="uk-UA" w:bidi="uk-UA"/>
        </w:rPr>
        <w:t>.</w:t>
      </w:r>
    </w:p>
    <w:p w14:paraId="344356B9" w14:textId="77777777" w:rsidR="00532C25" w:rsidRPr="00511005" w:rsidRDefault="00532C25" w:rsidP="00532C25">
      <w:pPr>
        <w:tabs>
          <w:tab w:val="left" w:pos="993"/>
          <w:tab w:val="left" w:pos="7088"/>
        </w:tabs>
        <w:spacing w:line="264" w:lineRule="auto"/>
        <w:ind w:firstLine="720"/>
        <w:rPr>
          <w:rFonts w:ascii="Arial" w:eastAsia="Calibri" w:hAnsi="Arial" w:cs="Arial"/>
          <w:bCs/>
          <w:i/>
          <w:iCs/>
          <w:szCs w:val="28"/>
          <w:lang w:val="uk-UA" w:bidi="uk-UA"/>
        </w:rPr>
      </w:pPr>
    </w:p>
    <w:p w14:paraId="1662CDC1" w14:textId="77777777" w:rsidR="00532C25" w:rsidRPr="00511005" w:rsidRDefault="00532C25" w:rsidP="00532C25">
      <w:pPr>
        <w:tabs>
          <w:tab w:val="left" w:pos="993"/>
          <w:tab w:val="left" w:pos="7088"/>
        </w:tabs>
        <w:spacing w:line="264" w:lineRule="auto"/>
        <w:ind w:firstLine="720"/>
        <w:rPr>
          <w:rFonts w:ascii="Arial" w:eastAsia="Calibri" w:hAnsi="Arial" w:cs="Arial"/>
          <w:bCs/>
          <w:i/>
          <w:iCs/>
          <w:szCs w:val="28"/>
          <w:lang w:val="uk-UA" w:bidi="uk-UA"/>
        </w:rPr>
      </w:pPr>
      <w:r w:rsidRPr="00511005">
        <w:rPr>
          <w:rFonts w:ascii="Arial" w:eastAsia="Calibri" w:hAnsi="Arial" w:cs="Arial"/>
          <w:b/>
          <w:bCs/>
          <w:i/>
          <w:iCs/>
          <w:szCs w:val="28"/>
          <w:lang w:val="uk-UA" w:bidi="uk-UA"/>
        </w:rPr>
        <w:t xml:space="preserve">Науковий керівник: </w:t>
      </w:r>
      <w:r w:rsidRPr="00511005">
        <w:rPr>
          <w:rFonts w:ascii="Arial" w:eastAsia="Calibri" w:hAnsi="Arial" w:cs="Arial"/>
          <w:bCs/>
          <w:i/>
          <w:iCs/>
          <w:szCs w:val="28"/>
          <w:lang w:val="uk-UA" w:bidi="uk-UA"/>
        </w:rPr>
        <w:t>доктор філософії, доцент Чернов О. В.</w:t>
      </w:r>
    </w:p>
    <w:p w14:paraId="677C10B8"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val="uk-UA" w:eastAsia="ru-RU"/>
        </w:rPr>
      </w:pPr>
    </w:p>
    <w:p w14:paraId="1D9A581C" w14:textId="77777777" w:rsidR="00532C25" w:rsidRPr="00511005" w:rsidRDefault="00532C25" w:rsidP="00532C25">
      <w:pPr>
        <w:spacing w:line="264" w:lineRule="auto"/>
        <w:ind w:firstLine="720"/>
        <w:jc w:val="left"/>
        <w:rPr>
          <w:rFonts w:ascii="Arial" w:eastAsia="Calibri" w:hAnsi="Arial" w:cs="Arial"/>
          <w:szCs w:val="28"/>
        </w:rPr>
      </w:pPr>
    </w:p>
    <w:p w14:paraId="4532E7EA"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 xml:space="preserve">Драмарецька Дарина Євгеніївна, </w:t>
      </w:r>
    </w:p>
    <w:p w14:paraId="4CF7C942"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Дамбровська Карина Володимирівна</w:t>
      </w:r>
    </w:p>
    <w:p w14:paraId="58F0CD3B"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студентки 3</w:t>
      </w:r>
      <w:r w:rsidRPr="00511005">
        <w:rPr>
          <w:rFonts w:ascii="Arial" w:eastAsia="Times New Roman" w:hAnsi="Arial" w:cs="Arial"/>
          <w:bCs/>
          <w:iCs/>
          <w:szCs w:val="28"/>
          <w:lang w:val="uk-UA" w:eastAsia="ru-RU"/>
        </w:rPr>
        <w:t xml:space="preserve">-го курсу </w:t>
      </w:r>
    </w:p>
    <w:p w14:paraId="28FE2BA0"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9DC4EC6"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3C6DDDE" w14:textId="77777777" w:rsidR="00532C25" w:rsidRPr="00511005" w:rsidRDefault="00532C25" w:rsidP="00532C25">
      <w:pPr>
        <w:spacing w:line="264" w:lineRule="auto"/>
        <w:ind w:firstLine="720"/>
        <w:jc w:val="center"/>
        <w:rPr>
          <w:rFonts w:ascii="Arial" w:eastAsia="Calibri" w:hAnsi="Arial" w:cs="Arial"/>
          <w:b/>
          <w:bCs/>
          <w:szCs w:val="28"/>
          <w:lang w:val="uk-UA"/>
        </w:rPr>
      </w:pPr>
    </w:p>
    <w:p w14:paraId="0F3A629F"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ЕФЕКТИВНІСТЬ ДЕЯКИХ ЗАХОДІВ ОПЕРАТИВНО-РОЗШУКОВОЇ ДІЯЛЬНОСТІ ЯК ПРОТИДІЯ НЕЗАКОННОМУ ОБІГУ НАРКОТИЧНИХ ЗАСОБІВ</w:t>
      </w:r>
    </w:p>
    <w:p w14:paraId="4DE6207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Незаконний обіг наркотичних засобів, психотропних речовин і прекурсорів становить серйозну загрозу для національної безпеки, громадського здоров'я та соціальної стабільності України. Для ефективної протидії цьому явищу держава застосовує комплекс оперативно-розшукових заходів, які регламентуються чинним законодавством. </w:t>
      </w:r>
    </w:p>
    <w:p w14:paraId="1079342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Одним із ключових методів виявлення каналів незаконного обігу наркотиків є контрольована поставка. Відповідно до статті 4 Закону України «Про заходи протидії незаконному обігу наркотичних засобів, психотропних речовин і прекурсорів та зловживанню ними», контрольована поставка дозволяє під наглядом відповідних органів здійснювати ввезення, вивезення або транзит наркотичних засобів з метою ідентифікації джерел та учасників </w:t>
      </w:r>
      <w:r w:rsidRPr="00511005">
        <w:rPr>
          <w:rFonts w:ascii="Arial" w:eastAsia="Calibri" w:hAnsi="Arial" w:cs="Arial"/>
          <w:szCs w:val="28"/>
          <w:lang w:val="uk-UA"/>
        </w:rPr>
        <w:lastRenderedPageBreak/>
        <w:t>незаконної діяльності [2]. Цей метод застосовується як на міжнародному рівні за домовленістю з іноземними органами, так і в межах території України.</w:t>
      </w:r>
    </w:p>
    <w:p w14:paraId="14D18BD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Іншим важливим заходом є оперативна закупка, яка передбачає придбання наркотичних засобів уповноваженими особами для збору доказів протиправної діяльності. Згідно зі статтею 5 вищезазначеного закону, підстави та порядок проведення оперативної закупки визначаються Законом України «Про оперативно-розшукову діяльність» та «Кримінальним процесуальним кодексом України» [3, 4]. Така закупка дозволяє документувати факти незаконного збуту наркотиків і притягати винних до відповідальності [4].</w:t>
      </w:r>
    </w:p>
    <w:p w14:paraId="45EF67C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Для усунення матеріальної бази наркозлочинності застосовується конфіскація наркотичних засобів, психотропних речовин, прекурсорів та обладнання, що використовуються для їх незаконного виготовлення. Відповідно до статті 6 Закону України «Про заходи протидії незаконному обігу наркотичних засобів, психотропних речовин і прекурсорів та зловживанню ними», ці предмети підлягають конфіскації та знищенню в установленому порядку, що запобігає їх повторному потраплянню в незаконний обіг [2].</w:t>
      </w:r>
    </w:p>
    <w:p w14:paraId="0C6C92D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Правоохоронні органи мають повноваження здійснювати огляд транспортних засобів, вантажів і особистих речей громадян з метою виявлення та вилучення незаконних наркотичних засобів. Ці заходи спрямовані на припинення перевезення та розповсюдження наркотиків і є важливим елементом «оперативно-розшукової діяльності» [5].</w:t>
      </w:r>
    </w:p>
    <w:p w14:paraId="3C48E96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випадках, коли в закладах масового перебування громадян виявляються факти вживання чи збуту наркотичних засобів, законодавство передбачає можливість зупинення або припинення діяльності таких закладів [2]. Це сприяє ліквідації осередків наркозлочинності та захисту громадян від негативного впливу.</w:t>
      </w:r>
    </w:p>
    <w:p w14:paraId="542F55A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Незаконне вирощування наркотиковмісних рослин є джерелом сировини для виготовлення наркотиків. Законодавство України передбачає заходи протидії такому культивуванню, включаючи виявлення та знищення незаконних посівів, а також притягнення винних осіб до відповідальності [2].</w:t>
      </w:r>
    </w:p>
    <w:p w14:paraId="36F5F92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За особами, звільненими з місць позбавлення волі, які відбували покарання за злочини, пов'язані з незаконним обігом наркотиків, може встановлюватися адміністративний нагляд. Це регулюється Законом України «Про адміністративний нагляд за особами, звільненими з місць позбавлення волі» [6]. Це дозволяє контролювати їх поведінку та запобігати рецидиву злочинної діяльності.</w:t>
      </w:r>
    </w:p>
    <w:p w14:paraId="156529D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Важливим напрямом є виявлення осіб, які незаконно вживають наркотичні засоби, та їх направлення на медичний огляд, обстеження та лікування. Законодавство передбачає як добровільне, так і примусове </w:t>
      </w:r>
      <w:r w:rsidRPr="00511005">
        <w:rPr>
          <w:rFonts w:ascii="Arial" w:eastAsia="Calibri" w:hAnsi="Arial" w:cs="Arial"/>
          <w:szCs w:val="28"/>
          <w:lang w:val="uk-UA"/>
        </w:rPr>
        <w:lastRenderedPageBreak/>
        <w:t>лікування осіб, хворих на наркоманію, що закріплено в Законі України «Основи законодавства України про охорону здоров'я» [8]. Це сприяє зниженню рівня наркозалежності в суспільстві.</w:t>
      </w:r>
    </w:p>
    <w:p w14:paraId="6501CAB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Україна активно співпрацює з міжнародними організаціями та правоохоронними органами інших держав у сфері протидії наркозлочинності. Це регламентується Законом України «Про міжнародні договори України» [7]. Співпраця включає обмін інформацією, спільні операції та участь у міжнародних програмах, спрямованих на боротьбу з незаконним обігом наркотиків.</w:t>
      </w:r>
    </w:p>
    <w:p w14:paraId="10CA59C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Оцінка ефективності оперативно-розшукових заходів є складним завданням, оскільки результати можуть бути виміряні як кількісними показниками (кількість вилучених наркотиків, затриманих осіб), так і якісними змінами (зниження рівня наркозлочинності, покращення ситуації з наркозалежністю). Важливою є комплексність підходу, що поєднує правоохоронні заходи з профілактикою, реабілітацією та соціальною підтримкою.</w:t>
      </w:r>
    </w:p>
    <w:p w14:paraId="3DE3AAF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Протидія незаконному обігу наркотичних засобів в Україні базується на системі оперативно-розшукових заходів, закріплених у чинному законодавстві [1]. Ефективність цих заходів залежить від їх належного застосування, координації між правоохоронними органами та міжнародного співробітництва. Водночас, для досягнення стійких результатів необхідно поєднувати силові методи з профілактичними та реабілітаційними програмами, спрямованими на зниження попиту на наркотики та підтримку осіб, які постраждали від наркозалежності.</w:t>
      </w:r>
    </w:p>
    <w:p w14:paraId="6223C1D7" w14:textId="77777777" w:rsidR="00532C25" w:rsidRPr="00511005" w:rsidRDefault="00532C25" w:rsidP="00532C25">
      <w:pPr>
        <w:spacing w:line="264" w:lineRule="auto"/>
        <w:ind w:firstLine="720"/>
        <w:rPr>
          <w:rFonts w:ascii="Arial" w:eastAsia="Calibri" w:hAnsi="Arial" w:cs="Arial"/>
          <w:szCs w:val="28"/>
          <w:lang w:val="uk-UA"/>
        </w:rPr>
      </w:pPr>
    </w:p>
    <w:p w14:paraId="10D040B5"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204F0CF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1. </w:t>
      </w:r>
      <w:r w:rsidRPr="00511005">
        <w:rPr>
          <w:rFonts w:ascii="Arial" w:eastAsia="Calibri" w:hAnsi="Arial" w:cs="Arial"/>
          <w:szCs w:val="28"/>
        </w:rPr>
        <w:t xml:space="preserve">Конституція </w:t>
      </w:r>
      <w:proofErr w:type="gramStart"/>
      <w:r w:rsidRPr="00511005">
        <w:rPr>
          <w:rFonts w:ascii="Arial" w:eastAsia="Calibri" w:hAnsi="Arial" w:cs="Arial"/>
          <w:szCs w:val="28"/>
        </w:rPr>
        <w:t>України :</w:t>
      </w:r>
      <w:proofErr w:type="gramEnd"/>
      <w:r w:rsidRPr="00511005">
        <w:rPr>
          <w:rFonts w:ascii="Arial" w:eastAsia="Calibri" w:hAnsi="Arial" w:cs="Arial"/>
          <w:szCs w:val="28"/>
        </w:rPr>
        <w:t xml:space="preserve"> Конституція України; Верховна Рада України від 28.06.1996 № 254к/96-ВР // База даних «Законодавство України» / Верховна Рада України. </w:t>
      </w:r>
      <w:r w:rsidRPr="00511005">
        <w:rPr>
          <w:rFonts w:ascii="Arial" w:eastAsia="Calibri" w:hAnsi="Arial" w:cs="Arial"/>
          <w:szCs w:val="28"/>
          <w:lang w:val="pl-PL"/>
        </w:rPr>
        <w:t xml:space="preserve">URL: </w:t>
      </w:r>
      <w:r w:rsidR="005938AD">
        <w:fldChar w:fldCharType="begin"/>
      </w:r>
      <w:r w:rsidR="005938AD" w:rsidRPr="00055389">
        <w:rPr>
          <w:lang w:val="en-US"/>
        </w:rPr>
        <w:instrText xml:space="preserve"> HYPERLINK "https://zakon.rada.gov.ua/go/254%D0%BA/96-%D0%B2%D1%80" </w:instrText>
      </w:r>
      <w:r w:rsidR="005938AD">
        <w:fldChar w:fldCharType="separate"/>
      </w:r>
      <w:r w:rsidRPr="00511005">
        <w:rPr>
          <w:rFonts w:ascii="Arial" w:eastAsia="Calibri" w:hAnsi="Arial" w:cs="Arial"/>
          <w:szCs w:val="28"/>
          <w:lang w:val="pl-PL"/>
        </w:rPr>
        <w:t>https://zakon.rada.gov.ua/go/254%D0%BA/96-%D0%B2%D1%80</w:t>
      </w:r>
      <w:r w:rsidR="005938AD">
        <w:rPr>
          <w:rFonts w:ascii="Arial" w:eastAsia="Calibri" w:hAnsi="Arial" w:cs="Arial"/>
          <w:szCs w:val="28"/>
          <w:lang w:val="pl-PL"/>
        </w:rPr>
        <w:fldChar w:fldCharType="end"/>
      </w:r>
    </w:p>
    <w:p w14:paraId="13B01AF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2. Про заходи протидії незаконному обігу наркотичних засобів, психотропних речовин і прекурсорів та зловживанню ними : Закон України від 15.02.1995 № 62/95-ВР // База даних «Законодавство України» / Верховна Рада України. URL: https://zakon.rada.gov.ua/go/62/95-%D0%B2%D1%80 </w:t>
      </w:r>
    </w:p>
    <w:p w14:paraId="66077661"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 xml:space="preserve">3. Про оперативно-розшукову діяльність : Закон України від 18.02.1992 № 2135-XII // База даних «Законодавство України» / Верховна Рада України. URL: https://zakon.rada.gov.ua/go/2135-12 </w:t>
      </w:r>
    </w:p>
    <w:p w14:paraId="475562B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 xml:space="preserve">4. Кримінальний процесуальний кодекс України : Кодекс України; Закон, Кодекс від 13.04.2012 № 4651-VI // База даних «Законодавство України» / Верховна Рада України. URL: https://zakon.rada.gov.ua/go/4651-17 </w:t>
      </w:r>
    </w:p>
    <w:p w14:paraId="31B913D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 xml:space="preserve">5. Про Національну поліцію : Закон України від 02.07.2015 № 580-VIII // База даних «Законодавство України» / Верховна Рада України. URL: https://zakon.rada.gov.ua/go/580-19 </w:t>
      </w:r>
    </w:p>
    <w:p w14:paraId="243C227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6. Про адміністративний нагляд за особами, звільненими з місць позбавлення волі : Закон України від 01.12.1994 № 264/94-ВР // База даних «Законодавство України» / Верховна Рада України. URL: https://zakon.rada.gov.ua/go/264/94-%D0%B2%D1%80 </w:t>
      </w:r>
    </w:p>
    <w:p w14:paraId="3203CC0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7. Про міжнародні договори України : Закон України від 29.06.2004 № 1906-IV // База даних «Законодавство України» / Верховна Рада України. URL: https://zakon.rada.gov.ua/go/1906-15 </w:t>
      </w:r>
    </w:p>
    <w:p w14:paraId="56B738B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8. Основи законодавства України про охорону здоров'я : Закон України від 19.11.1992 № 2801-XII // База даних «Законодавство України» / Верховна Рада України. URL: https://zakon.rada.gov.ua/go/2801-12 </w:t>
      </w:r>
    </w:p>
    <w:p w14:paraId="4E073D83" w14:textId="77777777" w:rsidR="00532C25" w:rsidRPr="00511005" w:rsidRDefault="00532C25" w:rsidP="00532C25">
      <w:pPr>
        <w:spacing w:line="264" w:lineRule="auto"/>
        <w:ind w:firstLine="720"/>
        <w:rPr>
          <w:rFonts w:ascii="Arial" w:eastAsia="Calibri" w:hAnsi="Arial" w:cs="Arial"/>
          <w:szCs w:val="28"/>
          <w:lang w:val="uk-UA"/>
        </w:rPr>
      </w:pPr>
    </w:p>
    <w:p w14:paraId="06CFA88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незаконний обіг наркотиків, психотропні речовини, прекурсори, оперативно-розшукові заходи, контрольована поставка, оперативна закупка, конфіскація, правоохоронні органи, міжнародне співробітництво, національна безпека, знищення посівів, законодавство України, профілактика, реабілітація, кримінальна відповідальність</w:t>
      </w:r>
    </w:p>
    <w:p w14:paraId="6781FA8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lang w:val="en-US"/>
        </w:rPr>
        <w:t xml:space="preserve">Key words: </w:t>
      </w:r>
      <w:r w:rsidRPr="00511005">
        <w:rPr>
          <w:rFonts w:ascii="Arial" w:eastAsia="Calibri" w:hAnsi="Arial" w:cs="Arial"/>
          <w:szCs w:val="28"/>
          <w:lang w:val="en-US"/>
        </w:rPr>
        <w:t>illicit drug trafficking, psychotropic substances, precursors, operational and investigative measures, controlled delivery, operational procurement, confiscation, law enforcement agencies, international cooperation, national security, destruction of crops, legislation of Ukraine, prevention, rehabilitation, criminal liability</w:t>
      </w:r>
    </w:p>
    <w:p w14:paraId="00749D3B" w14:textId="77777777" w:rsidR="00532C25" w:rsidRPr="00511005" w:rsidRDefault="00532C25" w:rsidP="00532C25">
      <w:pPr>
        <w:spacing w:line="264" w:lineRule="auto"/>
        <w:ind w:firstLine="72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доктор філософії Чернов О.В.</w:t>
      </w:r>
    </w:p>
    <w:p w14:paraId="14C09CE7"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val="uk-UA" w:eastAsia="ru-RU"/>
        </w:rPr>
      </w:pPr>
    </w:p>
    <w:p w14:paraId="3C5013CD"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eastAsia="ru-RU"/>
        </w:rPr>
      </w:pPr>
    </w:p>
    <w:p w14:paraId="67146232"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Дяченко Олена Олександрівна</w:t>
      </w:r>
    </w:p>
    <w:p w14:paraId="1407FBAC"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114EB15B"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2F6A88F"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BAD27C7"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i/>
          <w:iCs/>
          <w:szCs w:val="28"/>
          <w:lang w:eastAsia="ru-RU"/>
        </w:rPr>
      </w:pPr>
    </w:p>
    <w:p w14:paraId="5CDBCF1D"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eastAsia="ru-RU"/>
        </w:rPr>
        <w:t>ОСОБЛИВОСТІ РОЗСЛІДУВАННЯ ДЕЯКИХ ВИДІВ ШАХРАЙСТВ В МЕРЕЖІ ІНТЕРНЕТ</w:t>
      </w:r>
    </w:p>
    <w:p w14:paraId="77A572D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Суспільство безперервно розвивається, з ним розвиваються й технології, які створювались з ціллю облегшити людське життя, надати більший арсенал для винаходів, розвитку та можливостей як суспільства загалом, так й окремих індивидів. Коли у другій половині ХХ століття загалу стало відомо про мережу «Інтернет» - це стало сенсацією, люди були шоковані таким винаходом та такою можливістю, це дійсно було щось нереальне та невідоме, що спричинило фурор. Проте, нажаль, те, що нещодавно люди сприймали як чудо - наразі є ще одним засобом для </w:t>
      </w:r>
      <w:r w:rsidRPr="00511005">
        <w:rPr>
          <w:rFonts w:ascii="Arial" w:eastAsia="Times New Roman" w:hAnsi="Arial" w:cs="Arial"/>
          <w:szCs w:val="28"/>
          <w:lang w:eastAsia="ru-RU"/>
        </w:rPr>
        <w:lastRenderedPageBreak/>
        <w:t xml:space="preserve">кримінальних діянь, зокрема й шахрайство, особливо зараз, коли всі знайомі з можливостями мережі Інтернету, коли люди не уявляють свого життя без нього, є ті, хто використовує ці можливості за для вчинення шахрайських дій, оскільки з появою Інтернета з’явилось безліч соціальних мереж, платформ, площадок для продажу, тобто безліч місць, де є безліч можливостей для різних форм комунікації у мережі. Шахрайство є кримінально караним діянням, про це свідчить ст. 190 Кримінального кодексу України [5]. Загалом, існує дійсно велика кількість видів шахрайств в мережі Інтернет проте, найпоширеними, на думку вчених є: фішинг, схема «ідеальна дівчина», різноманітні схеми шахрайства з банківськими картками, підроблений вірус» [1, с. 448]. </w:t>
      </w:r>
    </w:p>
    <w:p w14:paraId="21344E45"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Фішингом є компʼютерна атака, що передає людям повідомлення, що на меті має обманним шляхом змусити людину власноруч передати необхідні дані та виконати дії, в яких заінтересована вина особа [2, с. 230]. Під схемою «ідеальна дівчина» слід розуміти розповсюджений вид шахрайств, що використовується у соціальних мережах та платформах для знайомств через мережу, де використовуються фейкові дані, такі як голос, відео з зображенням людини, тобто винний через спілкування з жертвою встановлює довірливи стосунки та надає жертві бажаного співрозмовника, виконує всі дії, що необхідні для маніпулювання в майбутньому, з метою того, щоб жертва добровільно відправляля свої власні кошти, оплачувала подарунки тощо. Щодо схем з банківськими картами, то у цьому випалку, жертва отримує повідомлення з посиланням, яке направляє на сайт або додаток з підробленим відомим інтерфейсом Інтернет-банку або іншої платформи, з проханням уточнити свої дані, або ввести дані картки для того, що б на неї могли начебто відправити кошти (у випадку з платформою для продажів). Підроблений вірус використовується коли жертва у мережі заходить на сторонній сайт, або відкриває стороннє посилання й на екрані з’являється повідомлення, що комп’ютер заражено й необхідно видалити віруси, а для того потрібно надати доступ до конфіденційної інформації стосовно відомостей про особу. В моменти таких дій, зловмисник залишає сліди, й хоча вони є лише віртуальними, проте є однією з центральних фігур розслідування цього діяння, цифрова «слідова картина» залишається після кожного діяння у мережі. Я. Найдьон у своїй праці «Поняття та класифікація віртуальних слідів кіберзлочинів» визначила, що віртуальні сліди - це електронні сигнали, які залишаються в цифровій пам’яті електронних пристосувань, що зберігаються та передаються за допомогою визначеного алгоритму і мають значення при криміналістичному розслідуванні [3, с. 304]. Основним віртуальним слідом, що залишається при розслідуванні деяких видів шахрайств в мережі Інтернет є інформація з доменної системи, тобто IP-адреси, оскільки вона дає змогу відслідкувати місцезнаходження комп’ютера, з якого було відправлено повідомлення, а у свою чергу, </w:t>
      </w:r>
      <w:r w:rsidRPr="00511005">
        <w:rPr>
          <w:rFonts w:ascii="Arial" w:eastAsia="Times New Roman" w:hAnsi="Arial" w:cs="Arial"/>
          <w:szCs w:val="28"/>
          <w:lang w:eastAsia="ru-RU"/>
        </w:rPr>
        <w:lastRenderedPageBreak/>
        <w:t>комп’ютер та фізичні носії інформації, оперативні пристрої та інші складові комп’ютерної системи вже зберігають на собі матеріальні сліди, такі як відбитки та інші біологічні сліди, а також такі цифрові сліди як особисті дані, електронні листи, СМС-повідомлення з можливими учасниками, інформація, яка вказує на підготовку та засоби вчинення кримінальних дій та інші сліди, що вказують на особу (осіб) злочинця, оскільки вищезазначені види шахрайств спрямовані на отримання коштів від жертви, а переказ коштів через різноманітні платіжні системи завжди містить дані «відправник - отримувач», не є виключенням й платежі за допомогою криптовалют, оскільки кожен криптогаманець має свою унікальну адресу, що містить дані. Здебільшого місцями вчинення злочину є місце проживання, робоче місце, заклади харчування, а також інші місця, в яких є доступ загального використання WI-FI.</w:t>
      </w:r>
    </w:p>
    <w:p w14:paraId="6EAB79B7"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У розслідуванні вищезазначених кримінальних правопорушень необхідно використання слідчих (розшукових) та негласних слідчих (розшукових) дій, таких як обшук, огляд предметів, використаних під час вчинення злочину, допити потерпілого та підозрюваного, зняття інформації з технічних каналів зв’язку, зняття інформації з електронних інформаційних систем тощо. Також, у розслідуванні є необхідним призначення певних видів судових експертиз: комп’ютерно-технічної, товарознавчої, дактилоскопічної, економічної та інших, відповідно до вчинених дій. [4, c. 34].</w:t>
      </w:r>
    </w:p>
    <w:p w14:paraId="43695AB7"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Отже, з розвитком технологій та, зокрема, мережі Інтернет, зросли й можливості злодіїв у цій сфері, вони зловживають довірою та необізнаністю людей, з метою отримання обманним шляхом вигоди, використовуючи різні види шахрайства, проте все одно залишають сліди - матеріальні та віртуальні, які є неодмінно важливими під час розслідування, оскільки не дивлячись на специфіку таких злочинів, проведення слідчих (розшукових) та негласних слідчих (розшукових) дій, експертиз відіграє важливу роль та допомагає встановити особу злочинця та також запобігти злочинним діям. Також, для зменшення випадків шахрайства у мережі Інтернет, слід підвищити обізнаність суспільства, фільтрацію та блокування шкідливих сайтів та підвищити перевірку осіб, що вчиняють підозрілі дії, оскільки кількість випадків шахрайства зростає, особливо, під час воєнного стану в країні.</w:t>
      </w:r>
    </w:p>
    <w:p w14:paraId="3BC9F46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p>
    <w:p w14:paraId="4DB2BA2F"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eastAsia="ru-RU"/>
        </w:rPr>
        <w:t xml:space="preserve">Список </w:t>
      </w:r>
      <w:r>
        <w:rPr>
          <w:rFonts w:ascii="Arial" w:eastAsia="Times New Roman" w:hAnsi="Arial" w:cs="Arial"/>
          <w:b/>
          <w:bCs/>
          <w:szCs w:val="28"/>
          <w:lang w:eastAsia="ru-RU"/>
        </w:rPr>
        <w:t>використаних джерел</w:t>
      </w:r>
    </w:p>
    <w:p w14:paraId="5C9D8CF1" w14:textId="77777777" w:rsidR="00532C25" w:rsidRPr="00511005" w:rsidRDefault="00532C25" w:rsidP="003F6A5D">
      <w:pPr>
        <w:numPr>
          <w:ilvl w:val="0"/>
          <w:numId w:val="609"/>
        </w:numPr>
        <w:autoSpaceDE w:val="0"/>
        <w:autoSpaceDN w:val="0"/>
        <w:adjustRightInd w:val="0"/>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 xml:space="preserve">Демидов З.Г., Колмик О.О. Фішинг - як шахрайство у мережі. </w:t>
      </w:r>
      <w:r w:rsidRPr="00511005">
        <w:rPr>
          <w:rFonts w:ascii="Arial" w:eastAsia="Times New Roman" w:hAnsi="Arial" w:cs="Arial"/>
          <w:szCs w:val="28"/>
          <w:lang w:val="en-US" w:eastAsia="ru-RU"/>
        </w:rPr>
        <w:t xml:space="preserve">Study of modern problems of civilization, 2020. </w:t>
      </w:r>
      <w:r w:rsidRPr="00511005">
        <w:rPr>
          <w:rFonts w:ascii="Arial" w:eastAsia="Times New Roman" w:hAnsi="Arial" w:cs="Arial"/>
          <w:szCs w:val="28"/>
          <w:lang w:eastAsia="ru-RU"/>
        </w:rPr>
        <w:t xml:space="preserve">С. 448–450. </w:t>
      </w:r>
    </w:p>
    <w:p w14:paraId="2334DAA9" w14:textId="77777777" w:rsidR="00532C25" w:rsidRPr="00511005" w:rsidRDefault="00532C25" w:rsidP="003F6A5D">
      <w:pPr>
        <w:numPr>
          <w:ilvl w:val="0"/>
          <w:numId w:val="609"/>
        </w:numPr>
        <w:autoSpaceDE w:val="0"/>
        <w:autoSpaceDN w:val="0"/>
        <w:adjustRightInd w:val="0"/>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Сабадаш В.П. Фішинг як найбільш розвинений вид шахрайства в інтернеті. Університетські наукові записи. 2006. № 1 (17). С. 230-131.</w:t>
      </w:r>
    </w:p>
    <w:p w14:paraId="3DB54875" w14:textId="77777777" w:rsidR="00532C25" w:rsidRPr="00511005" w:rsidRDefault="00532C25" w:rsidP="003F6A5D">
      <w:pPr>
        <w:numPr>
          <w:ilvl w:val="0"/>
          <w:numId w:val="609"/>
        </w:numPr>
        <w:autoSpaceDE w:val="0"/>
        <w:autoSpaceDN w:val="0"/>
        <w:adjustRightInd w:val="0"/>
        <w:spacing w:line="264" w:lineRule="auto"/>
        <w:jc w:val="left"/>
        <w:rPr>
          <w:rFonts w:ascii="Arial" w:eastAsia="Times New Roman" w:hAnsi="Arial" w:cs="Arial"/>
          <w:szCs w:val="28"/>
          <w:lang w:eastAsia="ru-RU"/>
        </w:rPr>
      </w:pPr>
      <w:r w:rsidRPr="00511005">
        <w:rPr>
          <w:rFonts w:ascii="Arial" w:eastAsia="Times New Roman" w:hAnsi="Arial" w:cs="Arial"/>
          <w:szCs w:val="28"/>
          <w:shd w:val="clear" w:color="auto" w:fill="FFFFFF"/>
          <w:lang w:eastAsia="ru-RU"/>
        </w:rPr>
        <w:lastRenderedPageBreak/>
        <w:t>Найдьон Я. Поняття та класифікація віртуальних слідів кіберзлочинів. /</w:t>
      </w:r>
      <w:r w:rsidRPr="00511005">
        <w:rPr>
          <w:rFonts w:ascii="Arial" w:eastAsia="Times New Roman" w:hAnsi="Arial" w:cs="Arial"/>
          <w:szCs w:val="28"/>
          <w:lang w:eastAsia="ru-RU"/>
        </w:rPr>
        <w:t>Підприємництво, господарство і право</w:t>
      </w:r>
      <w:r w:rsidRPr="00511005">
        <w:rPr>
          <w:rFonts w:ascii="Arial" w:eastAsia="Times New Roman" w:hAnsi="Arial" w:cs="Arial"/>
          <w:szCs w:val="28"/>
          <w:shd w:val="clear" w:color="auto" w:fill="FFFFFF"/>
          <w:lang w:eastAsia="ru-RU"/>
        </w:rPr>
        <w:t xml:space="preserve">. 2019. № </w:t>
      </w:r>
      <w:r w:rsidRPr="00511005">
        <w:rPr>
          <w:rFonts w:ascii="Arial" w:eastAsia="Times New Roman" w:hAnsi="Arial" w:cs="Arial"/>
          <w:szCs w:val="28"/>
          <w:lang w:eastAsia="ru-RU"/>
        </w:rPr>
        <w:t xml:space="preserve">5. С. </w:t>
      </w:r>
      <w:r w:rsidRPr="00511005">
        <w:rPr>
          <w:rFonts w:ascii="Arial" w:eastAsia="Times New Roman" w:hAnsi="Arial" w:cs="Arial"/>
          <w:szCs w:val="28"/>
          <w:shd w:val="clear" w:color="auto" w:fill="FFFFFF"/>
          <w:lang w:eastAsia="ru-RU"/>
        </w:rPr>
        <w:t>304-307.</w:t>
      </w:r>
    </w:p>
    <w:p w14:paraId="6EA979C8" w14:textId="77777777" w:rsidR="00532C25" w:rsidRPr="00511005" w:rsidRDefault="00532C25" w:rsidP="003F6A5D">
      <w:pPr>
        <w:numPr>
          <w:ilvl w:val="0"/>
          <w:numId w:val="609"/>
        </w:numPr>
        <w:autoSpaceDE w:val="0"/>
        <w:autoSpaceDN w:val="0"/>
        <w:adjustRightInd w:val="0"/>
        <w:spacing w:line="264" w:lineRule="auto"/>
        <w:jc w:val="left"/>
        <w:rPr>
          <w:rFonts w:ascii="Arial" w:eastAsia="Times New Roman" w:hAnsi="Arial" w:cs="Arial"/>
          <w:szCs w:val="28"/>
          <w:lang w:eastAsia="ru-RU"/>
        </w:rPr>
      </w:pPr>
      <w:r w:rsidRPr="00511005">
        <w:rPr>
          <w:rFonts w:ascii="Arial" w:eastAsia="Times New Roman" w:hAnsi="Arial" w:cs="Arial"/>
          <w:szCs w:val="28"/>
          <w:shd w:val="clear" w:color="auto" w:fill="FFFFFF"/>
          <w:lang w:eastAsia="ru-RU"/>
        </w:rPr>
        <w:t>Гринько Л. П. Фішинг як спосіб вчинення шахрайства у мережі інтернет. /</w:t>
      </w:r>
      <w:r w:rsidRPr="00511005">
        <w:rPr>
          <w:rFonts w:ascii="Arial" w:eastAsia="Times New Roman" w:hAnsi="Arial" w:cs="Arial"/>
          <w:szCs w:val="28"/>
          <w:lang w:eastAsia="ru-RU"/>
        </w:rPr>
        <w:t>Полтавський правовий часопис</w:t>
      </w:r>
      <w:r w:rsidRPr="00511005">
        <w:rPr>
          <w:rFonts w:ascii="Arial" w:eastAsia="Times New Roman" w:hAnsi="Arial" w:cs="Arial"/>
          <w:szCs w:val="28"/>
          <w:shd w:val="clear" w:color="auto" w:fill="FFFFFF"/>
          <w:lang w:eastAsia="ru-RU"/>
        </w:rPr>
        <w:t>, 2022. (4). С. 34.</w:t>
      </w:r>
    </w:p>
    <w:p w14:paraId="76B1E038" w14:textId="77777777" w:rsidR="00532C25" w:rsidRPr="00511005" w:rsidRDefault="00532C25" w:rsidP="003F6A5D">
      <w:pPr>
        <w:numPr>
          <w:ilvl w:val="0"/>
          <w:numId w:val="609"/>
        </w:numPr>
        <w:autoSpaceDE w:val="0"/>
        <w:autoSpaceDN w:val="0"/>
        <w:adjustRightInd w:val="0"/>
        <w:spacing w:line="264" w:lineRule="auto"/>
        <w:jc w:val="left"/>
        <w:rPr>
          <w:rFonts w:ascii="Arial" w:eastAsia="Times New Roman" w:hAnsi="Arial" w:cs="Arial"/>
          <w:szCs w:val="28"/>
          <w:lang w:eastAsia="ru-RU"/>
        </w:rPr>
      </w:pPr>
      <w:r w:rsidRPr="00511005">
        <w:rPr>
          <w:rFonts w:ascii="Arial" w:eastAsia="Times New Roman" w:hAnsi="Arial" w:cs="Arial"/>
          <w:szCs w:val="28"/>
          <w:lang w:eastAsia="ru-RU"/>
        </w:rPr>
        <w:t>Кримінальний кодекс України: від 05.04.2001</w:t>
      </w:r>
      <w:r w:rsidRPr="00511005">
        <w:rPr>
          <w:rFonts w:ascii="Arial" w:eastAsia="Times New Roman" w:hAnsi="Arial" w:cs="Arial"/>
          <w:szCs w:val="28"/>
          <w:shd w:val="clear" w:color="auto" w:fill="FFFFFF"/>
          <w:lang w:eastAsia="ru-RU"/>
        </w:rPr>
        <w:t> № </w:t>
      </w:r>
      <w:r w:rsidRPr="00511005">
        <w:rPr>
          <w:rFonts w:ascii="Arial" w:eastAsia="Times New Roman" w:hAnsi="Arial" w:cs="Arial"/>
          <w:szCs w:val="28"/>
          <w:lang w:eastAsia="ru-RU"/>
        </w:rPr>
        <w:t xml:space="preserve">2341-III. Редакція від 01.02.2025 URL: </w:t>
      </w:r>
      <w:hyperlink r:id="rId1952" w:anchor="Text" w:history="1">
        <w:r w:rsidRPr="00511005">
          <w:rPr>
            <w:rFonts w:ascii="Arial" w:eastAsia="Times New Roman" w:hAnsi="Arial" w:cs="Arial"/>
            <w:szCs w:val="28"/>
            <w:lang w:eastAsia="ru-RU"/>
          </w:rPr>
          <w:t>https://zakon.rada.gov.ua/laws/show/2341-14#Text</w:t>
        </w:r>
      </w:hyperlink>
      <w:r w:rsidRPr="00511005">
        <w:rPr>
          <w:rFonts w:ascii="Arial" w:eastAsia="Times New Roman" w:hAnsi="Arial" w:cs="Arial"/>
          <w:szCs w:val="28"/>
          <w:lang w:eastAsia="ru-RU"/>
        </w:rPr>
        <w:t xml:space="preserve"> (дата звернення 10.04.2025).</w:t>
      </w:r>
    </w:p>
    <w:p w14:paraId="20F3BA35"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eastAsia="ru-RU"/>
        </w:rPr>
      </w:pPr>
    </w:p>
    <w:p w14:paraId="413B5274"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eastAsia="ru-RU"/>
        </w:rPr>
        <w:t>шахрайство, фішинг, шахрайство в мережі Інтернет, технології, експертиза, вірус, Інтернет платформа, віртуальні сліди, електронні носії.</w:t>
      </w:r>
    </w:p>
    <w:p w14:paraId="1BD705C2"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fraud, phishing, Internet fraud, technology, expertise, virus, Internet platform, virtual traces, electronic media.</w:t>
      </w:r>
    </w:p>
    <w:p w14:paraId="2304A03F"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eastAsia="ru-RU"/>
        </w:rPr>
        <w:t>к.ю.н. доцент Чіпко Н.В.</w:t>
      </w:r>
    </w:p>
    <w:p w14:paraId="03845048"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eastAsia="ru-RU"/>
        </w:rPr>
      </w:pPr>
    </w:p>
    <w:p w14:paraId="060880E6"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eastAsia="ru-RU"/>
        </w:rPr>
      </w:pPr>
    </w:p>
    <w:p w14:paraId="0F45A783"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Єйникова Валерія Вікторівна</w:t>
      </w:r>
    </w:p>
    <w:p w14:paraId="7E3809A7"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46D74D4B"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CBD1960"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D835DA2"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p>
    <w:p w14:paraId="03ABB698"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eastAsia="ru-RU"/>
        </w:rPr>
        <w:t>ВИКОРИСТАННЯ ДНК-АНАЛІЗУ В КРИМІНАЛІСТИЦІ</w:t>
      </w:r>
    </w:p>
    <w:p w14:paraId="6D88952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У сучасних умовах стрімкого розвитку науки та технологій ДНК-аналіз посідає одне з центральних місць у криміналістиці як високоточний інструмент ідентифікації особи. Його застосування стало важливою складовою доказової бази в розслідуванні злочинів, зокрема в справах про вбивства, сексуальних злочинах, встановлення батьківства, ідентифікацію невідомих тіл тощо. Завдяки здатності виявляти найменші сліди біологічного матеріалу, метод ДНК-аналізу значно підвищив ефективність кримінального провадження.</w:t>
      </w:r>
    </w:p>
    <w:p w14:paraId="2BCF9C6A"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Кожна клітина людини містить ядро з хромосомами – комплексами ДНК і білків. ДНК відповідає за зберігання та передавання генетичної інформації. Ядерна ДНК складається з 23 пар хромосом, успадкованих від батьків, і саме вона найчастіше досліджується у криміналістиці. Окрім ядерної, існує й мітохондріальна ДНК (мтДНК), яка зберігається в мітохондріях. Вона менша за розміром, але краще зберігається у зруйнованих слідах. Аналіз мтДНК корисний, коли ядерна ДНК деградована або коли відсутні родичі для прямого порівняння. Проте мтДНК не є унікальною, адже передається лише по материнській лінії. [1]</w:t>
      </w:r>
    </w:p>
    <w:p w14:paraId="56B069D8"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Аналіз ДНК дає змогу ідентифікувати людину за біологічними слідами, порівнюючи її генетичні ознаки в окремих ділянках ДНК. </w:t>
      </w:r>
    </w:p>
    <w:p w14:paraId="48D96D6B"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lastRenderedPageBreak/>
        <w:t>У криміналістичному контексті можна виділити кілька основних методів ДНК-аналізу, які поділяються на традиційні та новітні. Традиційні методи включають STR-профілювання на автосомних локусах ДНК, аналіз STR-локусів на Y-хромосомі та дослідження мітохондріальної ДНК (мтДНК). Ці методи вже давно застосовуються на практиці в судово-експертній діяльності, де перші два базуються на STR-аналізі, а третій – на SNP-аналізі.</w:t>
      </w:r>
    </w:p>
    <w:p w14:paraId="58477591"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eastAsia="ru-RU"/>
        </w:rPr>
        <w:t>Новітні методи, хоча й поступово вводяться в криміналістичну практику, мають обмежену застосовність через правові, етичні та методичні питання. До них належать: фенотипування ДНК, пошук родичів через ДНК-бази даних, швидке тестування ДНК-профілю та використання платформ наступного покоління для секвенування (NGS) для вирішення складних завдань. Більшість з цих методів використовують технологію SNP-аналізу, що розширює можливості, але точність результатів ще потребує вдосконалення</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w:t>
      </w:r>
    </w:p>
    <w:p w14:paraId="48761165"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Ідентифікація особи за генетичним профілем стала революцією у криміналістиці. Сьогодні завдяки штучному інтелекту з’явилась можливість прогнозувати зовнішність людини за її ДНК – це називається ДНК-фенотипування. Цей новітній метод дозволяє передбачити такі ознаки, як вік, колір шкіри, очей, волосся, а також біогеографічне походження. Його ефективність залежить від точності передбачень та поширеності відповідних ознак у регіоні скоєння злочину. Рідкісні риси можуть дати більше корисної інформації для розслідування. Попри перспективність, метод потребує великої кількості ДНК-предикторів, що перевищує технічні можливості сучасної криміналістики. Типовий процес включає: збір зразка, ампліфікацію, секвенування, аналіз та створення фоторобота.</w:t>
      </w:r>
    </w:p>
    <w:p w14:paraId="748621B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У 2008 році компанія Parabon NanoLabs почала розробку цієї технології, а вже в 2012 році отримала грант на її дослідження. Хоча є приклади успішного застосування, експерти попереджають про ризик хибних результатів, які можуть призвести до звинувачення невинної особи. Окрім технічних викликів, існують також етичні та правові проблеми – особливо щодо конфіденційності, можливості дискримінації та расової упередженості. Через це фенотипування наразі дозволено лише у кількох країнах ЄС, з обмеженнями. В Україні ж законодавство зосереджене на захисті персональних даних і забороняє дискримінацію за чутливими ознаками.</w:t>
      </w:r>
    </w:p>
    <w:p w14:paraId="58C92587"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Таким чином, ДНК-фенотипування має великий потенціал для криміналістики, але потребує подальшого вдосконалення, етичного врегулювання та законодавчого підґрунтя. [3]</w:t>
      </w:r>
    </w:p>
    <w:p w14:paraId="37B18C2D"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Якщо говорити про пошук родичів через ДНК-бази даних, то з початку війни 2022 року в Україні зросла кількість звернень щодо зниклих безвісти осіб і знайдених невідомих поховань, що спричинило необхідність ідентифікації тіл. Для пошуку зниклих слід подати заяву до Національної </w:t>
      </w:r>
      <w:r w:rsidRPr="00511005">
        <w:rPr>
          <w:rFonts w:ascii="Arial" w:eastAsia="Times New Roman" w:hAnsi="Arial" w:cs="Arial"/>
          <w:szCs w:val="28"/>
          <w:lang w:eastAsia="ru-RU"/>
        </w:rPr>
        <w:lastRenderedPageBreak/>
        <w:t xml:space="preserve">поліції. Після цього слідчий призначає експертизу для виділення ДНК-профілю. ДНК-аналіз дозволяє зіставити інформацію про останки та ДНК зниклої особи. </w:t>
      </w:r>
    </w:p>
    <w:p w14:paraId="315B75E9"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Зразки беруть у батьків чи дітей зниклих за їхньою згодою на обробку персональних даних. Біоматеріали для аналізу можуть включати кров, слину або епітелій з ротової порожнини. У випадку загибелі зразки зазвичай беруть із кісток, які зазнали мінімального впливу зовнішніх чинників. Процедуру проводить судово-медичний експерт. У разі відсутності батьків або дітей проводять пряму ідентифікацію за особистими речами загиблого, такими як одяг чи зубна щітка, хоча точність таких результатів може залежати від тривалості використання цих предметів.</w:t>
      </w:r>
    </w:p>
    <w:p w14:paraId="1CC74423"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Результати оформляються у вигляді висновку, який передається до єдиної бази централізованого обліку генетичних ознак людини при Державному науково-дослідному експертно-криміналістичному центрі МВС України. Там створюється ДНК-профіль, що автоматично порівнюється з профілями родичів.</w:t>
      </w:r>
    </w:p>
    <w:p w14:paraId="238DBA0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Порядок ведення бази генетичних ознак регулюється наказом МВС і Законом України «Про державну реєстрацію геномної інформації людини», який визначає обов'язкову реєстрацію генетичної інформації про невпізнані трупи та зниклих осіб. [4]</w:t>
      </w:r>
    </w:p>
    <w:p w14:paraId="0F273534"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Варто зазначити, що на теренах України на практиці вже давно функціонують генно-молекулярні лабораторії. Генно-молекулярні лабораторії – це наукові та медичні установи, що спеціалізуються на вивченні ДНК, РНК, генів і молекулярних механізмів, які лежать в основі життя. Їх діяльність охоплює широкий спектр напрямків: від фундаментальної науки до прикладних досліджень у медицині, фармації, сільському господарстві та криміналістиці. Ключовими напрямками таких лабораторій є генетичне секвенування, генотипування і аналіз поліморфізмів, криміналістична ДНК-експертиза, діагностика інфекційних захворювань, біотехнології та ГМО, дослідження генетики людини. </w:t>
      </w:r>
    </w:p>
    <w:p w14:paraId="6E30D35F"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З криміналістичної точки зору генно-молекулярні лабораторії використовують для ідентифікації особи за ДНК, для порівняльної ДНК-експертизи, для роботи з мікрослідками (навіть слід поту на комірці, мікроскопічна крапля крові чи один волосок можуть дати профіль ДНК), для встановлення спорідненості, в таких лабораторіях є навіть генетичні бази даних. У генно-молекулярних лабораторіях присутня велика кількість обладнання: PCR-термоцикли, секвенатори нового покоління, центрифуги, мікроскопи, біобезпекові бокси, ПЛР-аналізатори, електрофорезні камери, автоматичні екстрактори ДНК, та, звісно ж, ДНК-бази даних. Генно-молекулярні лабораторії працюють як в університетах, науково-дослідних інститутах, лікарнях, медичних діагностичних центрах, біотехнологічних та </w:t>
      </w:r>
      <w:r w:rsidRPr="00511005">
        <w:rPr>
          <w:rFonts w:ascii="Arial" w:eastAsia="Times New Roman" w:hAnsi="Arial" w:cs="Arial"/>
          <w:szCs w:val="28"/>
          <w:lang w:eastAsia="ru-RU"/>
        </w:rPr>
        <w:lastRenderedPageBreak/>
        <w:t>фармацевтичних компаніях, так і в НДЕКЦ при МВС України, в науково-дослідному інституті спеціальної техніки та судових експертиз СБУ.</w:t>
      </w:r>
    </w:p>
    <w:p w14:paraId="6229C84A"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Отже, у сучасній криміналістиці генно-молекулярні лабораторії стали невід’ємною частиною системи правосуддя, адже саме ДНК-аналіз сьогодні є одним із найнадійніших методів ідентифікації особи. Розвиток технологій дозволив здійснювати експертизу навіть за мізерною кількістю або сильно пошкодженим біоматеріалом, що суттєво підвищило ефективність розслідувань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xml:space="preserve"> про вбивства, сексуальні злочини, зникнення осіб та масові трагедії.</w:t>
      </w:r>
    </w:p>
    <w:p w14:paraId="77F5A48F"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Традиційні методи, як-от STR-аналіз, продовжують залишатися основою експертної практики, водночас упровадження новітніх технологій – фенотипування, пошук родичів через ДНК-бази даних, секвенування нового покоління – відкриває нові горизонти для криміналістики, попри супутні етичні та правові виклики.</w:t>
      </w:r>
    </w:p>
    <w:p w14:paraId="25B6EE73"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Особливого значення ДНК-експертиза набуває в умовах воєнних конфліктів, коли необхідно оперативно і точно ідентифікувати невідомі тіла та зниклих безвісти осіб. Саме в таких ситуаціях потужність та оснащеність генно-молекулярних лабораторій, їх інтеграція в національні ДНК-реєстри, а також міждисциплінарна співпраця експертів, медиків і правоохоронців дають змогу зберігати людську гідність, забезпечувати справедливість і наближати істину.</w:t>
      </w:r>
    </w:p>
    <w:p w14:paraId="75E665D9"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Таким чином, генно-молекулярна експертиза не лише модернізувала криміналістичні інструменти, а й стала символом нової епохи в кримінальному правосудді – точного, доказового та гуманного.</w:t>
      </w:r>
    </w:p>
    <w:p w14:paraId="22DE3F41"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p>
    <w:p w14:paraId="432D592F"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3DC33F3C" w14:textId="77777777" w:rsidR="00532C25" w:rsidRPr="00511005" w:rsidRDefault="00532C25" w:rsidP="003F6A5D">
      <w:pPr>
        <w:numPr>
          <w:ilvl w:val="0"/>
          <w:numId w:val="610"/>
        </w:numPr>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Криміналістичне дослідження </w:t>
      </w:r>
      <w:proofErr w:type="gramStart"/>
      <w:r w:rsidRPr="00511005">
        <w:rPr>
          <w:rFonts w:ascii="Arial" w:eastAsia="Times New Roman" w:hAnsi="Arial" w:cs="Arial"/>
          <w:szCs w:val="28"/>
          <w:lang w:eastAsia="ru-RU"/>
        </w:rPr>
        <w:t>ДНК :</w:t>
      </w:r>
      <w:proofErr w:type="gramEnd"/>
      <w:r w:rsidRPr="00511005">
        <w:rPr>
          <w:rFonts w:ascii="Arial" w:eastAsia="Times New Roman" w:hAnsi="Arial" w:cs="Arial"/>
          <w:szCs w:val="28"/>
          <w:lang w:eastAsia="ru-RU"/>
        </w:rPr>
        <w:t xml:space="preserve"> технології та можливості : навч. посіб. / М-во внутр. справ України ; Харків. нац. ун-т внутр. справ; Харків. н.-д. експерт.-криміналіст. центр [Р. Л. Степанюк, С. І. Перлін, В. В. Кікінчук та ін.]. Вид. 2-ге, переробл. та допов. Харків, 2022. 120 с. URL: </w:t>
      </w:r>
      <w:hyperlink r:id="rId1953" w:history="1">
        <w:r w:rsidRPr="00511005">
          <w:rPr>
            <w:rFonts w:ascii="Arial" w:eastAsia="Times New Roman" w:hAnsi="Arial" w:cs="Arial"/>
            <w:szCs w:val="28"/>
            <w:lang w:eastAsia="ru-RU"/>
          </w:rPr>
          <w:t>https://files.znu.edu.ua/files/Bibliobooks/Inshi71/0052071.pdf</w:t>
        </w:r>
      </w:hyperlink>
    </w:p>
    <w:p w14:paraId="065DAE80" w14:textId="77777777" w:rsidR="00532C25" w:rsidRPr="00511005" w:rsidRDefault="00532C25" w:rsidP="003F6A5D">
      <w:pPr>
        <w:numPr>
          <w:ilvl w:val="0"/>
          <w:numId w:val="610"/>
        </w:numPr>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Степанюк Р. Криміналістичний ДНК-аналіз: стан і перспективи розвитку в Україні. 2021. </w:t>
      </w:r>
      <w:bookmarkStart w:id="236" w:name="_Hlk195997935"/>
      <w:r w:rsidRPr="00511005">
        <w:rPr>
          <w:rFonts w:ascii="Arial" w:eastAsia="Times New Roman" w:hAnsi="Arial" w:cs="Arial"/>
          <w:szCs w:val="28"/>
          <w:lang w:eastAsia="ru-RU"/>
        </w:rPr>
        <w:t xml:space="preserve">URL: </w:t>
      </w:r>
      <w:bookmarkEnd w:id="236"/>
      <w:r w:rsidRPr="00511005">
        <w:rPr>
          <w:rFonts w:ascii="Arial" w:eastAsia="Times New Roman" w:hAnsi="Arial" w:cs="Arial"/>
          <w:szCs w:val="28"/>
          <w:lang w:eastAsia="ru-RU"/>
        </w:rPr>
        <w:fldChar w:fldCharType="begin"/>
      </w:r>
      <w:r w:rsidRPr="00511005">
        <w:rPr>
          <w:rFonts w:ascii="Arial" w:eastAsia="Times New Roman" w:hAnsi="Arial" w:cs="Arial"/>
          <w:szCs w:val="28"/>
          <w:lang w:eastAsia="ru-RU"/>
        </w:rPr>
        <w:instrText xml:space="preserve"> HYPERLINK "file:///C:\\Users\\%D0%BA%D0%BE%D1%80%D0%B8%D1%81%D1%82%D1%83%D0%B2%D0%B0%D1%87\\Downloads\\500-Article%20Text-1015-1-10-20220629%20(1).pdf" </w:instrText>
      </w:r>
      <w:r w:rsidRPr="00511005">
        <w:rPr>
          <w:rFonts w:ascii="Arial" w:eastAsia="Times New Roman" w:hAnsi="Arial" w:cs="Arial"/>
          <w:szCs w:val="28"/>
          <w:lang w:eastAsia="ru-RU"/>
        </w:rPr>
        <w:fldChar w:fldCharType="separate"/>
      </w:r>
      <w:r w:rsidRPr="00511005">
        <w:rPr>
          <w:rFonts w:ascii="Arial" w:eastAsia="Times New Roman" w:hAnsi="Arial" w:cs="Arial"/>
          <w:szCs w:val="28"/>
          <w:lang w:eastAsia="ru-RU"/>
        </w:rPr>
        <w:t>500-Article Text-1015-1-10-20220629 (1).pdf</w:t>
      </w:r>
      <w:r w:rsidRPr="00511005">
        <w:rPr>
          <w:rFonts w:ascii="Arial" w:eastAsia="Times New Roman" w:hAnsi="Arial" w:cs="Arial"/>
          <w:szCs w:val="28"/>
          <w:lang w:eastAsia="ru-RU"/>
        </w:rPr>
        <w:fldChar w:fldCharType="end"/>
      </w:r>
    </w:p>
    <w:p w14:paraId="52FC25D6" w14:textId="77777777" w:rsidR="00532C25" w:rsidRPr="00511005" w:rsidRDefault="00532C25" w:rsidP="003F6A5D">
      <w:pPr>
        <w:numPr>
          <w:ilvl w:val="0"/>
          <w:numId w:val="610"/>
        </w:numPr>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Козар Ю. Судово-медичне фенотипування ДНК для ідентифікації злочинців. Клінічна та експериментальна патологія. 2024. Т.23, №2 (88). С. 100-108. URL: </w:t>
      </w:r>
      <w:hyperlink r:id="rId1954" w:history="1">
        <w:r w:rsidRPr="00511005">
          <w:rPr>
            <w:rFonts w:ascii="Arial" w:eastAsia="Times New Roman" w:hAnsi="Arial" w:cs="Arial"/>
            <w:szCs w:val="28"/>
            <w:lang w:eastAsia="ru-RU"/>
          </w:rPr>
          <w:t>http://cep.bsmu.edu.ua/article/view/310441</w:t>
        </w:r>
      </w:hyperlink>
    </w:p>
    <w:p w14:paraId="2E446B91" w14:textId="77777777" w:rsidR="00532C25" w:rsidRPr="00511005" w:rsidRDefault="00532C25" w:rsidP="003F6A5D">
      <w:pPr>
        <w:numPr>
          <w:ilvl w:val="0"/>
          <w:numId w:val="610"/>
        </w:numPr>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Як за допомогою ДНК-експертизи знайти загиблих та зниклих безвісти рідних? URL: </w:t>
      </w:r>
      <w:hyperlink r:id="rId1955" w:anchor="bottom-form" w:history="1">
        <w:r w:rsidRPr="00511005">
          <w:rPr>
            <w:rFonts w:ascii="Arial" w:eastAsia="Times New Roman" w:hAnsi="Arial" w:cs="Arial"/>
            <w:szCs w:val="28"/>
            <w:lang w:eastAsia="ru-RU"/>
          </w:rPr>
          <w:t>https://www.pereselenci.kh.ua/?p=3795#bottom-form</w:t>
        </w:r>
      </w:hyperlink>
      <w:r w:rsidRPr="00511005">
        <w:rPr>
          <w:rFonts w:ascii="Arial" w:eastAsia="Times New Roman" w:hAnsi="Arial" w:cs="Arial"/>
          <w:szCs w:val="28"/>
          <w:lang w:eastAsia="ru-RU"/>
        </w:rPr>
        <w:t xml:space="preserve"> (дата звернення: 20.04.2025).</w:t>
      </w:r>
    </w:p>
    <w:p w14:paraId="11DF77F0"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szCs w:val="28"/>
          <w:lang w:eastAsia="ru-RU"/>
        </w:rPr>
      </w:pPr>
    </w:p>
    <w:p w14:paraId="4508F8FF"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eastAsia="ru-RU"/>
        </w:rPr>
        <w:t xml:space="preserve">ДНК-аналіз, криміналістика, ідентифікація особи, генно-молекулярна експертиза, STR-аналіз, ядерна ДНК, мітохондріальна </w:t>
      </w:r>
      <w:r w:rsidRPr="00511005">
        <w:rPr>
          <w:rFonts w:ascii="Arial" w:eastAsia="Times New Roman" w:hAnsi="Arial" w:cs="Arial"/>
          <w:szCs w:val="28"/>
          <w:lang w:eastAsia="ru-RU"/>
        </w:rPr>
        <w:lastRenderedPageBreak/>
        <w:t>ДНК, секвенування нового покоління, ДНК-фенотипування, SNP-аналіз, ДНК-база даних, зниклі безвісти, конфіденційність, правові аспекти, генетичний профіль.</w:t>
      </w:r>
    </w:p>
    <w:p w14:paraId="04451B11"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DNA analysis, forensic science, personal identification, genetic-molecular examination, STR analysis, nuclear DNA, mitochondrial DNA, next-generation sequencing, DNA phenotyping, SNP analysis, DNA database, missing persons, confidentiality, legal aspects, genetic profile.</w:t>
      </w:r>
    </w:p>
    <w:p w14:paraId="6A2C1924"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eastAsia="ru-RU"/>
        </w:rPr>
        <w:t xml:space="preserve">доцент, к.ю.н. Колодіна А.С. </w:t>
      </w:r>
    </w:p>
    <w:p w14:paraId="38CD5C3C"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szCs w:val="28"/>
          <w:lang w:eastAsia="ru-RU"/>
        </w:rPr>
      </w:pPr>
    </w:p>
    <w:p w14:paraId="395841B0" w14:textId="77777777" w:rsidR="00532C25" w:rsidRPr="00511005" w:rsidRDefault="00532C25" w:rsidP="00532C25">
      <w:pPr>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Єренкевич Єгор Ігорович</w:t>
      </w:r>
    </w:p>
    <w:p w14:paraId="09DCD941" w14:textId="77777777" w:rsidR="00532C25" w:rsidRPr="00511005" w:rsidRDefault="00532C25" w:rsidP="00532C25">
      <w:pPr>
        <w:spacing w:line="264" w:lineRule="auto"/>
        <w:ind w:firstLine="720"/>
        <w:jc w:val="center"/>
        <w:rPr>
          <w:rFonts w:ascii="Arial" w:eastAsia="Calibri" w:hAnsi="Arial" w:cs="Arial"/>
          <w:iCs/>
          <w:szCs w:val="28"/>
          <w:lang w:val="uk-UA"/>
        </w:rPr>
      </w:pPr>
      <w:r w:rsidRPr="00511005">
        <w:rPr>
          <w:rFonts w:ascii="Arial" w:eastAsia="Calibri" w:hAnsi="Arial" w:cs="Arial"/>
          <w:iCs/>
          <w:szCs w:val="28"/>
          <w:lang w:val="uk-UA"/>
        </w:rPr>
        <w:t>студент 2-го курсу факультету цивільної та господарської юстиції</w:t>
      </w:r>
    </w:p>
    <w:p w14:paraId="78873DB2" w14:textId="77777777" w:rsidR="00532C25" w:rsidRPr="00511005" w:rsidRDefault="00532C25" w:rsidP="00532C25">
      <w:pPr>
        <w:spacing w:line="264" w:lineRule="auto"/>
        <w:ind w:firstLine="720"/>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7756C082" w14:textId="77777777" w:rsidR="00532C25" w:rsidRPr="00511005" w:rsidRDefault="00532C25" w:rsidP="00532C25">
      <w:pPr>
        <w:spacing w:line="264" w:lineRule="auto"/>
        <w:ind w:firstLine="720"/>
        <w:rPr>
          <w:rFonts w:ascii="Arial" w:eastAsia="Calibri" w:hAnsi="Arial" w:cs="Arial"/>
          <w:b/>
          <w:i/>
          <w:szCs w:val="28"/>
        </w:rPr>
      </w:pPr>
    </w:p>
    <w:p w14:paraId="56243C54"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rPr>
        <w:t>П</w:t>
      </w:r>
      <w:r w:rsidRPr="00511005">
        <w:rPr>
          <w:rFonts w:ascii="Arial" w:eastAsia="Calibri" w:hAnsi="Arial" w:cs="Arial"/>
          <w:b/>
          <w:szCs w:val="28"/>
          <w:lang w:val="uk-UA"/>
        </w:rPr>
        <w:t xml:space="preserve">ЕРЕВАГИ ТА НЕДОЛІКИ ВИКОРИСТАННЯ ВІДБИТКІВ </w:t>
      </w:r>
    </w:p>
    <w:p w14:paraId="472B3B28"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 xml:space="preserve">ПАЛЬЦІВ ДЛЯ ІДЕНТИФІКАЦІЇ ОСОБИ </w:t>
      </w:r>
    </w:p>
    <w:p w14:paraId="608942C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Одним із найдавніших способів ідентифікації особи є дактилоскопія, яка як метод реєстрації відбитків пальців обох рук вперше була впроваджена у Великій Британії в 1895 році. У Російській імперії дактилоскопічну реєстрацію почали застосовувати з 1907 року тільки у в'язницях, а з 1908 року вона стала поширеною у всіх поліцейських управліннях. Перша дактилоскопічна експертиза в Російській Імперії була проведена в листопаді 1909 року у Варшаві під час розслідування справи про вбивство вдови Вашкевич. Понад сто років метод дослідження відбитків пальців довів свою ефективність і нині визнаний важливим методом гомеоскопії [2, с. 104].</w:t>
      </w:r>
    </w:p>
    <w:p w14:paraId="0CD4811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Ця галузь трасології займається вивченням закономірностей будови папілярних візерунків для криміналістичної ідентифікації осіб, а також їхньої реєстрації і пошуку злочинців. Дактилоскопічні експертизи, які становлять значну частину судових досліджень, залишаються найпоширенішим видом спеціальних досліджень. Це пояснюється тим, що пошук і вилучення відбитків пальців рук є однією з перших дій криміналістів на місці події. Відбитки пальців рук надають цінну криміналістичну інформацію, включаючи дані про особу, яка їх залишила, про час та особливості механізму утворення слідів, а також анатомічні та функціональні ознаки певної людини [2, с. 104].</w:t>
      </w:r>
    </w:p>
    <w:p w14:paraId="4F687E2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Варто підкреслити, що дактилоскопіювання і сканування значно різняться. Традиційне дактилоскопіювання зосереджується на отриманні відбитків пальців і долонь на паперових носіях. У випадку зі скануванням, зазвичай зберігається лише інформація про основні характерні точки відбитка, а не повне зображення папілярного узору. Це робить майже неможливим відновлення повного зображення відбитка пальця з такої </w:t>
      </w:r>
      <w:r w:rsidRPr="00511005">
        <w:rPr>
          <w:rFonts w:ascii="Arial" w:eastAsia="Calibri" w:hAnsi="Arial" w:cs="Arial"/>
          <w:szCs w:val="28"/>
          <w:lang w:val="uk-UA"/>
        </w:rPr>
        <w:lastRenderedPageBreak/>
        <w:t>інформації. Це оперативність стала ключовим фактором для широкого впровадження сканування відбитків серед цивільного населення.</w:t>
      </w:r>
    </w:p>
    <w:p w14:paraId="76BBBC1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більшості сучасних систем біометричної ідентифікації скановані відбитки пальців та інші ідентифікатори не зберігаються у вигляді оригінальних зображень. Як тільки зображення потрапляє в комп'ютер, воно перетворюється за допомогою спеціального програмного забезпечення на код або шаблон. Більшість індивідуальних біометричних показників зберігаються на серверах у такому цифровому форматі, що унеможливлює їх відновлення до початкового вигляду.</w:t>
      </w:r>
    </w:p>
    <w:p w14:paraId="1B2B7AC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Ототожнити цифровий модуль з конкретним відбитком можливо лише завдяки використанню спеціальних алгоритмів. Це означає, що для кожної системи біометричної технології необхідно знати та застосовувати відповідний алгоритм. Таким чином, тільки за допомогою унікального програмно-математичного алгоритму, характерного для певної системи, можна виявити, чи є біометричні параметри, такі як пальці, долоні, обличчя, райдужна оболонка ока або голос, однаковими або різними.</w:t>
      </w:r>
    </w:p>
    <w:p w14:paraId="6E10DAC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Серед широкого спектра біометричних продуктів на світовому ринку систем ідентифікації найбільш популярними є автоматизовані системи розпізнавання відбитків пальців (Automated Fingerprint Identification System, AFIS). Сканування відбитка пальця є найстарішим методом серед усіх наявних біометричних технологій, що робить його найбільш поширеним.</w:t>
      </w:r>
    </w:p>
    <w:p w14:paraId="17A726D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До основних переваг використання відбитків пальців для ідентифікації особи слід віднести їхню високу достовірність</w:t>
      </w:r>
      <w:r w:rsidRPr="00511005">
        <w:rPr>
          <w:rFonts w:ascii="Arial" w:eastAsia="Calibri" w:hAnsi="Arial" w:cs="Arial"/>
          <w:szCs w:val="28"/>
          <w:lang w:val="uk-UA"/>
        </w:rPr>
        <w:t xml:space="preserve"> [3, с. 3]. </w:t>
      </w:r>
      <w:r w:rsidRPr="00511005">
        <w:rPr>
          <w:rFonts w:ascii="Arial" w:eastAsia="Calibri" w:hAnsi="Arial" w:cs="Arial"/>
          <w:szCs w:val="28"/>
        </w:rPr>
        <w:t>Статистичні показники точності цього методу значно перевищують показники способів ідентифікації за обличчям, голосом чи підписом, що робить дактилоскопію одним із найнадійніших засобів встановлення особи. Унікальність візерунків папілярних ліній на пальцях забезпечує можливість точного розрізнення навіть між однояйцевими близнюками, у яких інші біометричні ознаки можуть бути майже ідентичними. Крім того, відбитки пальців залишаються незмінними протягом усього життя людини, що дозволяє використовувати їх для довгострокової ідентифікації. Завдяки простоті збору відбитків, їх широкому застосуванню в криміналістиці, системах безпеки та верифікації особистості в цифрових середовищах дактилоскопія зарекомендувала себе як ефективний та практичний інструмент у багатьох сферах суспільного життя.</w:t>
      </w:r>
    </w:p>
    <w:p w14:paraId="0289F8D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Також важливою перевагою є низька вартість пристроїв, які сканують зображення відбитків пальців. Завдяки цьому дактилоскопічні системи доступні для широкого застосування як у криміналістиці, так і в різних сферах безпеки. Крім того, процедура сканування є доволі простою і не вимагає складних технічних знань чи тривалої підготовки персоналу, що сприяє оперативності та ефективності використання цього способу ідентифікації [3, с. 3].</w:t>
      </w:r>
    </w:p>
    <w:p w14:paraId="021B6DA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Водночас метод має і певні недоліки. Зокрема, папілярний візерунок відбитка пальця дуже легко пошкодити навіть дрібними подряпинами чи порізами, що ускладнює або унеможливлює проведення ідентифікації. Іншою проблемою є недостатня захищеність від підробки: поширення технологій створення копій відбитків підвищує ризик фальсифікацій [3, с. 3]. Крім того, загальні недоліки дактилоскопії включають залежність якості ідентифікації від стану відбитків (забруднення, стирання, старіння шкіри), що може впливати на достовірність результатів навіть за використання сучасних автоматизованих систем обробки даних.</w:t>
      </w:r>
    </w:p>
    <w:p w14:paraId="714A5F9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На сьогоднішній день криміналістична наука активно розвивається, продовжуючи вдосконалення і розширення списку біометричних ідентифікаторів. Ці дані включаються до бази правоохоронних органів України. Перспективи включають додавання інформації про райдужні оболонки очей, відбитки долонь і ступенів, а також дані про голос людини до вже наявних відбитків пальців і ДНК [1, с. 227].</w:t>
      </w:r>
    </w:p>
    <w:p w14:paraId="4D41C5A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Підсумовуючи, можна сказати, що використання відбитка пальця для ідентифікації особи є одним із найзручніших та відносно недорогих методів серед усіх сучасних біометричних способів. Шанс помилки при розпізнаванні користувача значно менший порівняно з іншими біометричними методами і лише трохи поступається технології ідентифікації за райдужкою ока (метод ДНК не враховується, оскільки наразі він здебільшого використовується лише у разі експертиз). Останнім часом почали надходити повідомлення про те, що метод ідентифікації за малюнком вен долоні або пальця може бути точнішим. Проте цей метод поки що не набрав широкого використання у світі і здебільшого застосовується в банківській сфері Японії.</w:t>
      </w:r>
    </w:p>
    <w:p w14:paraId="6F481A2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Таким чином, незважаючи на наявні обмеження, дактилоскопія залишається одним із ключових методів криміналістичної ідентифікації завдяки своїй високій точності, доступності та простоті застосування. Успішне використання цього методу потребує урахування як його переваг, так і потенційних ризиків, а також постійного вдосконалення технічних засобів і методик для підвищення надійності і безпеки проведення експертиз.</w:t>
      </w:r>
    </w:p>
    <w:p w14:paraId="3C1FB0B1" w14:textId="77777777" w:rsidR="00532C25" w:rsidRPr="00511005" w:rsidRDefault="00532C25" w:rsidP="00532C25">
      <w:pPr>
        <w:spacing w:line="264" w:lineRule="auto"/>
        <w:ind w:firstLine="720"/>
        <w:jc w:val="center"/>
        <w:rPr>
          <w:rFonts w:ascii="Arial" w:eastAsia="Calibri" w:hAnsi="Arial" w:cs="Arial"/>
          <w:b/>
          <w:szCs w:val="28"/>
          <w:lang w:val="uk-UA"/>
        </w:rPr>
      </w:pPr>
    </w:p>
    <w:p w14:paraId="26CA596F"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BD5B6B7" w14:textId="77777777" w:rsidR="00532C25" w:rsidRPr="00511005" w:rsidRDefault="00532C25" w:rsidP="003F6A5D">
      <w:pPr>
        <w:numPr>
          <w:ilvl w:val="0"/>
          <w:numId w:val="637"/>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Лазебний, А. М. Значення дактилоскопії у криміналістиці на сучасному етапі. </w:t>
      </w:r>
      <w:r w:rsidRPr="00511005">
        <w:rPr>
          <w:rFonts w:ascii="Arial" w:eastAsia="Times New Roman" w:hAnsi="Arial" w:cs="Arial"/>
          <w:i/>
          <w:iCs/>
          <w:szCs w:val="28"/>
          <w:lang w:val="uk-UA" w:eastAsia="ru-RU"/>
        </w:rPr>
        <w:t>Ірпінський юридичний часопис</w:t>
      </w:r>
      <w:r w:rsidRPr="00511005">
        <w:rPr>
          <w:rFonts w:ascii="Arial" w:eastAsia="Times New Roman" w:hAnsi="Arial" w:cs="Arial"/>
          <w:szCs w:val="28"/>
          <w:lang w:val="uk-UA" w:eastAsia="ru-RU"/>
        </w:rPr>
        <w:t xml:space="preserve">. 2023. №1(8), 222–229. </w:t>
      </w:r>
      <w:hyperlink r:id="rId1956" w:history="1">
        <w:r w:rsidRPr="00511005">
          <w:rPr>
            <w:rFonts w:ascii="Arial" w:eastAsia="Times New Roman" w:hAnsi="Arial" w:cs="Arial"/>
            <w:szCs w:val="28"/>
            <w:lang w:val="uk-UA" w:eastAsia="ru-RU"/>
          </w:rPr>
          <w:t>https://doi.org/10.33244/2617-4154-1(8)-2022-222-229</w:t>
        </w:r>
      </w:hyperlink>
      <w:r w:rsidRPr="00511005">
        <w:rPr>
          <w:rFonts w:ascii="Arial" w:eastAsia="Times New Roman" w:hAnsi="Arial" w:cs="Arial"/>
          <w:szCs w:val="28"/>
          <w:lang w:val="uk-UA" w:eastAsia="ru-RU"/>
        </w:rPr>
        <w:t xml:space="preserve"> </w:t>
      </w:r>
    </w:p>
    <w:p w14:paraId="10CF5796" w14:textId="77777777" w:rsidR="00532C25" w:rsidRPr="00511005" w:rsidRDefault="00532C25" w:rsidP="003F6A5D">
      <w:pPr>
        <w:numPr>
          <w:ilvl w:val="0"/>
          <w:numId w:val="637"/>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Надурак В. В. Новітні методи криміналістичної ідентифікації: дактилоскопія </w:t>
      </w:r>
      <w:r w:rsidRPr="00511005">
        <w:rPr>
          <w:rFonts w:ascii="Arial" w:eastAsia="Times New Roman" w:hAnsi="Arial" w:cs="Arial"/>
          <w:szCs w:val="28"/>
          <w:lang w:val="en-US" w:eastAsia="ru-RU"/>
        </w:rPr>
        <w:t>vs</w:t>
      </w:r>
      <w:r w:rsidRPr="00511005">
        <w:rPr>
          <w:rFonts w:ascii="Arial" w:eastAsia="Times New Roman" w:hAnsi="Arial" w:cs="Arial"/>
          <w:szCs w:val="28"/>
          <w:lang w:val="uk-UA" w:eastAsia="ru-RU"/>
        </w:rPr>
        <w:t xml:space="preserve"> ДНК. </w:t>
      </w:r>
      <w:r w:rsidRPr="00511005">
        <w:rPr>
          <w:rFonts w:ascii="Arial" w:eastAsia="Times New Roman" w:hAnsi="Arial" w:cs="Arial"/>
          <w:i/>
          <w:iCs/>
          <w:szCs w:val="28"/>
          <w:lang w:val="uk-UA" w:eastAsia="ru-RU"/>
        </w:rPr>
        <w:t>Процесуальне та криміналістичне забезпечення досудового розслідування:</w:t>
      </w:r>
      <w:r w:rsidRPr="00511005">
        <w:rPr>
          <w:rFonts w:ascii="Arial" w:eastAsia="Times New Roman" w:hAnsi="Arial" w:cs="Arial"/>
          <w:szCs w:val="28"/>
          <w:lang w:val="uk-UA" w:eastAsia="ru-RU"/>
        </w:rPr>
        <w:t xml:space="preserve"> тези доповідей учасників науково-практичного семінару (26 листопада 2021 року) / упоряд. </w:t>
      </w:r>
      <w:r w:rsidRPr="00511005">
        <w:rPr>
          <w:rFonts w:ascii="Arial" w:eastAsia="Times New Roman" w:hAnsi="Arial" w:cs="Arial"/>
          <w:szCs w:val="28"/>
          <w:lang w:eastAsia="ru-RU"/>
        </w:rPr>
        <w:t>А. Я. Хитра. Львів: ЛьвДУВС, 2021. С. 104–107.</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957" w:anchor="page=104" w:history="1">
        <w:r w:rsidRPr="00511005">
          <w:rPr>
            <w:rFonts w:ascii="Arial" w:eastAsia="Times New Roman" w:hAnsi="Arial" w:cs="Arial"/>
            <w:szCs w:val="28"/>
            <w:lang w:val="uk-UA" w:eastAsia="ru-RU"/>
          </w:rPr>
          <w:t>https://dspace.lvduvs.edu.ua/bitstream/1234567890/4151/1/26_11_2021.pdf#page=104</w:t>
        </w:r>
      </w:hyperlink>
    </w:p>
    <w:p w14:paraId="7D5FC571" w14:textId="77777777" w:rsidR="00532C25" w:rsidRPr="00511005" w:rsidRDefault="00532C25" w:rsidP="003F6A5D">
      <w:pPr>
        <w:numPr>
          <w:ilvl w:val="0"/>
          <w:numId w:val="637"/>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Новіцький Г. М., Злепко С. М., Коваль Л. Г., Криворучко І. О. Аналіз помилок ідентифікації й шляхи підвищення точності систем біометричної ідентифікації. </w:t>
      </w:r>
      <w:r w:rsidRPr="00511005">
        <w:rPr>
          <w:rFonts w:ascii="Arial" w:eastAsia="Times New Roman" w:hAnsi="Arial" w:cs="Arial"/>
          <w:i/>
          <w:iCs/>
          <w:szCs w:val="28"/>
          <w:lang w:val="uk-UA" w:eastAsia="ru-RU"/>
        </w:rPr>
        <w:t>Наукові праці Вінницького національного технічного університету.</w:t>
      </w:r>
      <w:r w:rsidRPr="00511005">
        <w:rPr>
          <w:rFonts w:ascii="Arial" w:eastAsia="Times New Roman" w:hAnsi="Arial" w:cs="Arial"/>
          <w:szCs w:val="28"/>
          <w:lang w:val="uk-UA" w:eastAsia="ru-RU"/>
        </w:rPr>
        <w:t xml:space="preserve"> Вінниця, 2020. № 2(1). С. 1–10. </w:t>
      </w:r>
    </w:p>
    <w:p w14:paraId="5E2689D8" w14:textId="77777777" w:rsidR="00532C25" w:rsidRPr="00511005" w:rsidRDefault="00532C25" w:rsidP="00532C25">
      <w:pPr>
        <w:spacing w:line="264" w:lineRule="auto"/>
        <w:ind w:firstLine="720"/>
        <w:rPr>
          <w:rFonts w:ascii="Arial" w:eastAsia="Calibri" w:hAnsi="Arial" w:cs="Arial"/>
          <w:b/>
          <w:szCs w:val="28"/>
          <w:lang w:val="uk-UA"/>
        </w:rPr>
      </w:pPr>
    </w:p>
    <w:p w14:paraId="0782FECF" w14:textId="77777777" w:rsidR="00532C25" w:rsidRPr="00511005" w:rsidRDefault="00532C25" w:rsidP="00532C25">
      <w:pPr>
        <w:spacing w:line="264" w:lineRule="auto"/>
        <w:ind w:firstLine="720"/>
        <w:rPr>
          <w:rFonts w:ascii="Arial" w:eastAsia="Calibri" w:hAnsi="Arial" w:cs="Arial"/>
          <w:b/>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дактилоскопія, ідентифікація особи, відбитки пальців, біометрія, криміналістика, безпека.</w:t>
      </w:r>
    </w:p>
    <w:p w14:paraId="47760EC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en-US"/>
        </w:rPr>
        <w:t xml:space="preserve">Key words: </w:t>
      </w:r>
      <w:r w:rsidRPr="00511005">
        <w:rPr>
          <w:rFonts w:ascii="Arial" w:eastAsia="Calibri" w:hAnsi="Arial" w:cs="Arial"/>
          <w:szCs w:val="28"/>
          <w:lang w:val="uk-UA"/>
        </w:rPr>
        <w:t>dactyloscopy, personal identification, fingerprints, biometrics, criminalistics, security.</w:t>
      </w:r>
    </w:p>
    <w:p w14:paraId="172208B8" w14:textId="77777777" w:rsidR="00532C25" w:rsidRPr="00511005" w:rsidRDefault="00532C25" w:rsidP="00532C25">
      <w:pPr>
        <w:spacing w:line="264" w:lineRule="auto"/>
        <w:ind w:firstLine="720"/>
        <w:rPr>
          <w:rFonts w:ascii="Arial" w:eastAsia="Times New Roman" w:hAnsi="Arial" w:cs="Arial"/>
          <w:i/>
          <w:iCs/>
          <w:szCs w:val="28"/>
        </w:rPr>
      </w:pPr>
      <w:r w:rsidRPr="00511005">
        <w:rPr>
          <w:rFonts w:ascii="Arial" w:eastAsia="Times New Roman" w:hAnsi="Arial" w:cs="Arial"/>
          <w:b/>
          <w:i/>
          <w:szCs w:val="28"/>
        </w:rPr>
        <w:t xml:space="preserve">Науковий керівник: </w:t>
      </w:r>
      <w:r w:rsidRPr="00511005">
        <w:rPr>
          <w:rFonts w:ascii="Arial" w:eastAsia="Times New Roman" w:hAnsi="Arial" w:cs="Arial"/>
          <w:i/>
          <w:iCs/>
          <w:szCs w:val="28"/>
        </w:rPr>
        <w:t>д.ю.н., професор Цехан Д.М.</w:t>
      </w:r>
    </w:p>
    <w:p w14:paraId="0FB52A34" w14:textId="77777777" w:rsidR="00532C25" w:rsidRPr="00511005" w:rsidRDefault="00532C25" w:rsidP="00532C25">
      <w:pPr>
        <w:keepNext/>
        <w:widowControl w:val="0"/>
        <w:autoSpaceDE w:val="0"/>
        <w:autoSpaceDN w:val="0"/>
        <w:adjustRightInd w:val="0"/>
        <w:spacing w:line="264" w:lineRule="auto"/>
        <w:ind w:firstLine="720"/>
        <w:jc w:val="center"/>
        <w:rPr>
          <w:rFonts w:ascii="Arial" w:eastAsia="Times New Roman" w:hAnsi="Arial" w:cs="Arial"/>
          <w:b/>
          <w:i/>
          <w:szCs w:val="28"/>
          <w:lang w:val="uk-UA" w:eastAsia="ru-RU"/>
        </w:rPr>
      </w:pPr>
    </w:p>
    <w:p w14:paraId="3420B893" w14:textId="77777777" w:rsidR="00532C25" w:rsidRPr="00511005" w:rsidRDefault="00532C25" w:rsidP="00532C25">
      <w:pPr>
        <w:keepNext/>
        <w:widowControl w:val="0"/>
        <w:autoSpaceDE w:val="0"/>
        <w:autoSpaceDN w:val="0"/>
        <w:adjustRightInd w:val="0"/>
        <w:spacing w:line="264" w:lineRule="auto"/>
        <w:ind w:firstLine="72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Жилка Анастасія Миколаївна</w:t>
      </w:r>
    </w:p>
    <w:p w14:paraId="6655B545" w14:textId="77777777" w:rsidR="00532C25" w:rsidRPr="00511005" w:rsidRDefault="00532C25" w:rsidP="00532C25">
      <w:pPr>
        <w:widowControl w:val="0"/>
        <w:autoSpaceDE w:val="0"/>
        <w:autoSpaceDN w:val="0"/>
        <w:adjustRightInd w:val="0"/>
        <w:spacing w:line="264" w:lineRule="auto"/>
        <w:ind w:firstLine="72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1-го курсу магістратури факультету судового та міжнародного права</w:t>
      </w:r>
      <w:r w:rsidRPr="00511005">
        <w:rPr>
          <w:rFonts w:ascii="Arial" w:eastAsia="Times New Roman" w:hAnsi="Arial" w:cs="Arial"/>
          <w:szCs w:val="28"/>
          <w:lang w:val="uk-UA" w:eastAsia="ru-RU"/>
        </w:rPr>
        <w:br/>
        <w:t>Національного університету «Одеська юридична академія»</w:t>
      </w:r>
    </w:p>
    <w:p w14:paraId="0117F80E"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i/>
          <w:iCs/>
          <w:szCs w:val="28"/>
          <w:lang w:val="uk-UA" w:eastAsia="ru-RU" w:bidi="uk-UA"/>
        </w:rPr>
      </w:pPr>
    </w:p>
    <w:p w14:paraId="0F93D85A"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szCs w:val="28"/>
          <w:lang w:val="uk-UA" w:eastAsia="ru-RU" w:bidi="uk-UA"/>
        </w:rPr>
      </w:pPr>
      <w:r w:rsidRPr="00511005">
        <w:rPr>
          <w:rFonts w:ascii="Arial" w:eastAsia="Times New Roman" w:hAnsi="Arial" w:cs="Arial"/>
          <w:b/>
          <w:szCs w:val="28"/>
          <w:lang w:val="uk-UA" w:eastAsia="ru-RU" w:bidi="uk-UA"/>
        </w:rPr>
        <w:t>КРИМІНАЛЬНО-ПРАВОВІ АСПЕКТИ ЗАСТОСУВАННЯ ТОРТУР ТА ЖОРСТОКОГО ПОВОДЖЕННЯ З ВІЙСЬКОВОПОЛОНЕНИМИ ТА ЦИВІЛЬНИМИ ОСОБАМИ НА ОКУПОВАНИХ ТЕРИТОРІЯХ</w:t>
      </w:r>
    </w:p>
    <w:p w14:paraId="35DFAF11"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Застосування катувань та жорстокого поводження з військовополоненими та цивільними особами на тимчасово окупованих територіях є однією з найсерйозніших проблем сучасного міжнародного гуманітарного права та кримінального права. Це питання набуло особливої актуальності в умовах збройних конфліктів, де порушення прав людини, зокрема катування та інші форми жорстокого поводження, часто стають інструментом ведення війни. Право на недоторканність особистої гідності та заборона катувань закріплені в численних міжнародних документах, зокрема в Європейській конвенції з прав людини та Конвенції проти катувань ООН, однак навіть ці норми часто не виконуються на практиці. З огляду на це, важливо проаналізувати кримінально-правові аспекти відповідальності за катування в Україні в контексті міжнародних стандартів і порівняти застосування цих норм у національному та міжнародному праві.</w:t>
      </w:r>
    </w:p>
    <w:p w14:paraId="614BF142"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Однією з основних міжнародних угод, яка забороняє катування, є Конвенція проти катувань та інших жорстоких, нелюдських або принизливих видів поводження чи покарання, прийнята Генеральною Асамблеєю ООН у 1984 році. Вона визначає катування як будь-який акт, за допомогою якого заподіюється сильний фізичний або психічний біль з метою отримання інформації чи примусити особу до дії, а також як покарання за діяння, вчинені цією особою [2]. За цією Конвенцією, кожна держава зобов'язана забезпечити ефективні механізми протидії катуванням і покаранню осіб, які </w:t>
      </w:r>
      <w:r w:rsidRPr="00511005">
        <w:rPr>
          <w:rFonts w:ascii="Arial" w:eastAsia="Times New Roman" w:hAnsi="Arial" w:cs="Arial"/>
          <w:bCs/>
          <w:szCs w:val="28"/>
          <w:lang w:val="uk-UA" w:eastAsia="ru-RU" w:bidi="uk-UA"/>
        </w:rPr>
        <w:lastRenderedPageBreak/>
        <w:t>вчинили такі злочини. Однак на практиці такі зобов’язання часто порушуються, що особливо помітно в умовах збройних конфліктів, коли порушення прав людини набувають масового характеру.</w:t>
      </w:r>
    </w:p>
    <w:p w14:paraId="39735D79"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В Україні кримінальна відповідальність за катування визначена Кримінальним кодексом України, зокрема в статті 127. Згідно з цією нормою, катуванням визнається умисне заподіяння болю або страждань іншій людині, що зумовлені її особистою належністю до певної групи або призначені для досягнення інших незаконних цілей. Важливо, що стаття 127 не лише криміналізує сам факт катування, але й передбачає відповідальність за його застосування органами державної влади або іншими особами, що користуються владою або довірою суспільства. Таким чином, застосування катувань є серйозним кримінальним правопорушенням, що передбачає відповідальність до 10 років позбавлення волі [3]. Особливу увагу слід звернути на те, що відповідно до статті 28 Конституції України, жоден орган державної влади або посадова особа не має права застосовувати катування чи інші форми жорстокого поводження.</w:t>
      </w:r>
    </w:p>
    <w:p w14:paraId="19D5C566"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Міжнародне право, зокрема міжнародне гуманітарне право, також забороняє катування військовополонених та цивільних осіб на окупованих територіях. Жоден з міжнародних актів не дозволяє застосовувати катування або жорстоке поводження під будь-яким приводом. Наприклад, Женевські конвенції 1949 року та їх додаткові протоколи, що є основою міжнародного гуманітарного права, категорично забороняють катування військовополонених та цивільних осіб, а також вимагають забезпечення їхніх прав у разі військового конфлікту. Стаття 3 спільних положень до всіх чотирьох Женевських конвенцій забороняє будь-які акти насильства або жорстокого поводження, зокрема катування, щодо осіб, які не беруть участі у бойових діях [1].</w:t>
      </w:r>
    </w:p>
    <w:p w14:paraId="390296BF"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На відміну від міжнародних актів, національна практика часто стикається з труднощами у забезпеченні ефективної боротьби з катуваннями, особливо у випадках, пов’язаних із діяльністю органів державної влади або військових сил на окупованих територіях. Оскільки держави часто не виконують свої міжнародні зобов’язання, механізми захисту прав людини залишаються неналежними або недостатньо дієвими. В Україні кримінальні справи щодо катувань можуть бути відкриті на основі показів потерпілих, свідчень свідків або матеріалів, що підтверджують факт порушення прав людини. Однак проблема полягає в тому, що у випадках, коли йдеться про порушення прав військовополонених або цивільних осіб на тимчасово окупованих територіях, факти катувань часто залишаються без належного розслідування або покарання через складнощі доступу до територій і обмеження в здійсненні правосуддя в умовах війни.</w:t>
      </w:r>
    </w:p>
    <w:p w14:paraId="335DFC2C"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На практиці, хоча національні закони, зокрема кримінальний кодекс </w:t>
      </w:r>
      <w:r w:rsidRPr="00511005">
        <w:rPr>
          <w:rFonts w:ascii="Arial" w:eastAsia="Times New Roman" w:hAnsi="Arial" w:cs="Arial"/>
          <w:bCs/>
          <w:szCs w:val="28"/>
          <w:lang w:val="uk-UA" w:eastAsia="ru-RU" w:bidi="uk-UA"/>
        </w:rPr>
        <w:lastRenderedPageBreak/>
        <w:t>України, і встановлюють відповідальність за катування, боротьба з цією проблемою вимагає постійного вдосконалення правових норм, а також посилення механізмів їхнього застосування. Важливу роль у цьому процесі відіграють міжнародні суди, зокрема Європейський суд з прав людини, який надає тлумачення норм міжнародного права та зобов'язує держави здійснювати ефективне розслідування випадків катувань [4].</w:t>
      </w:r>
    </w:p>
    <w:p w14:paraId="379FF535"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Висновуючи, можна стверджувати, що питання відповідальності за катування та жорстоке поводження з військовополоненими і цивільними особами є однією з найбільш актуальних проблем у міжнародному праві та національному кримінальному законодавстві України. Міжнародні конвенції, зокрема Конвенція проти катувань та Женевські конвенції, встановлюють чіткі заборони на застосування катувань і жорстокого поводження, однак реалізація цих норм на практиці стикається з численними бар'єрами. В Україні кримінальне законодавство також передбачає відповідальність за катування, проте національні суди часто стикаються з проблемами доведення таких фактів, особливо у випадках, пов’язаних із збройними конфліктами та окупацією територій. Усі ці аспекти свідчать про необхідність удосконалення як національного, так і міжнародного правозастосування для забезпечення ефективного захисту прав людини та протидії катуванням.</w:t>
      </w:r>
    </w:p>
    <w:p w14:paraId="0E8EC833"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bCs/>
          <w:szCs w:val="28"/>
          <w:lang w:val="uk-UA" w:eastAsia="ru-RU" w:bidi="uk-UA"/>
        </w:rPr>
      </w:pPr>
    </w:p>
    <w:p w14:paraId="16A30D1E" w14:textId="77777777" w:rsidR="00532C25" w:rsidRPr="00511005" w:rsidRDefault="00532C25" w:rsidP="00532C25">
      <w:pPr>
        <w:spacing w:line="264" w:lineRule="auto"/>
        <w:ind w:firstLine="720"/>
        <w:jc w:val="center"/>
        <w:rPr>
          <w:rFonts w:ascii="Arial" w:eastAsia="Times New Roman" w:hAnsi="Arial" w:cs="Arial"/>
          <w:b/>
          <w:szCs w:val="28"/>
          <w:lang w:val="uk-UA" w:eastAsia="ru-RU" w:bidi="uk-UA"/>
        </w:rPr>
      </w:pPr>
      <w:r w:rsidRPr="00511005">
        <w:rPr>
          <w:rFonts w:ascii="Arial" w:eastAsia="Times New Roman" w:hAnsi="Arial" w:cs="Arial"/>
          <w:b/>
          <w:szCs w:val="28"/>
          <w:lang w:val="uk-UA" w:eastAsia="ru-RU" w:bidi="uk-UA"/>
        </w:rPr>
        <w:t>Cписок використаних джерел</w:t>
      </w:r>
    </w:p>
    <w:p w14:paraId="083B0168" w14:textId="77777777" w:rsidR="00532C25" w:rsidRPr="00511005" w:rsidRDefault="00532C25" w:rsidP="003F6A5D">
      <w:pPr>
        <w:widowControl w:val="0"/>
        <w:numPr>
          <w:ilvl w:val="0"/>
          <w:numId w:val="815"/>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Женевська конвенція про захист цивільного населення під час війни від 12 серпня 1949 року URL: </w:t>
      </w:r>
      <w:hyperlink r:id="rId1958" w:anchor="Text" w:history="1">
        <w:r w:rsidRPr="00511005">
          <w:rPr>
            <w:rFonts w:ascii="Arial" w:eastAsia="Times New Roman" w:hAnsi="Arial" w:cs="Arial"/>
            <w:bCs/>
            <w:szCs w:val="28"/>
            <w:lang w:val="uk-UA" w:eastAsia="ru-RU" w:bidi="uk-UA"/>
          </w:rPr>
          <w:t>https://zakon.rada.gov.ua/laws/show/995_154#Text</w:t>
        </w:r>
      </w:hyperlink>
      <w:r w:rsidRPr="00511005">
        <w:rPr>
          <w:rFonts w:ascii="Arial" w:eastAsia="Times New Roman" w:hAnsi="Arial" w:cs="Arial"/>
          <w:bCs/>
          <w:szCs w:val="28"/>
          <w:lang w:val="uk-UA" w:eastAsia="ru-RU" w:bidi="uk-UA"/>
        </w:rPr>
        <w:t xml:space="preserve"> </w:t>
      </w:r>
    </w:p>
    <w:p w14:paraId="5AB1AD86" w14:textId="77777777" w:rsidR="00532C25" w:rsidRPr="00511005" w:rsidRDefault="00532C25" w:rsidP="003F6A5D">
      <w:pPr>
        <w:widowControl w:val="0"/>
        <w:numPr>
          <w:ilvl w:val="0"/>
          <w:numId w:val="815"/>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Конвенція ООН проти катувань та інших жорстоких, нелюдських або принизливих видів поводження чи покарання 1984 р. URL: </w:t>
      </w:r>
      <w:hyperlink r:id="rId1959" w:anchor="Text" w:history="1">
        <w:r w:rsidRPr="00511005">
          <w:rPr>
            <w:rFonts w:ascii="Arial" w:eastAsia="Times New Roman" w:hAnsi="Arial" w:cs="Arial"/>
            <w:bCs/>
            <w:szCs w:val="28"/>
            <w:lang w:val="uk-UA" w:eastAsia="ru-RU" w:bidi="uk-UA"/>
          </w:rPr>
          <w:t>https://zakon.rada.gov.ua/laws/show/995_085#Text</w:t>
        </w:r>
      </w:hyperlink>
      <w:r w:rsidRPr="00511005">
        <w:rPr>
          <w:rFonts w:ascii="Arial" w:eastAsia="Times New Roman" w:hAnsi="Arial" w:cs="Arial"/>
          <w:bCs/>
          <w:szCs w:val="28"/>
          <w:lang w:val="uk-UA" w:eastAsia="ru-RU" w:bidi="uk-UA"/>
        </w:rPr>
        <w:t xml:space="preserve"> </w:t>
      </w:r>
    </w:p>
    <w:p w14:paraId="6D5AD71A" w14:textId="77777777" w:rsidR="00532C25" w:rsidRPr="00511005" w:rsidRDefault="00532C25" w:rsidP="003F6A5D">
      <w:pPr>
        <w:widowControl w:val="0"/>
        <w:numPr>
          <w:ilvl w:val="0"/>
          <w:numId w:val="815"/>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Кримінальний кодекс України. Відомості Верховної Ради України (ВВР), 2001, № 25-26, ст.131 URL: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zakon</w:instrText>
      </w:r>
      <w:r w:rsidR="005938AD" w:rsidRPr="00055389">
        <w:rPr>
          <w:lang w:val="uk-UA"/>
        </w:rPr>
        <w:instrText>.</w:instrText>
      </w:r>
      <w:r w:rsidR="005938AD">
        <w:instrText>rada</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laws</w:instrText>
      </w:r>
      <w:r w:rsidR="005938AD" w:rsidRPr="00055389">
        <w:rPr>
          <w:lang w:val="uk-UA"/>
        </w:rPr>
        <w:instrText>/</w:instrText>
      </w:r>
      <w:r w:rsidR="005938AD">
        <w:instrText>show</w:instrText>
      </w:r>
      <w:r w:rsidR="005938AD" w:rsidRPr="00055389">
        <w:rPr>
          <w:lang w:val="uk-UA"/>
        </w:rPr>
        <w:instrText>/2341-14" \</w:instrText>
      </w:r>
      <w:r w:rsidR="005938AD">
        <w:instrText>l</w:instrText>
      </w:r>
      <w:r w:rsidR="005938AD" w:rsidRPr="00055389">
        <w:rPr>
          <w:lang w:val="uk-UA"/>
        </w:rPr>
        <w:instrText xml:space="preserve"> "</w:instrText>
      </w:r>
      <w:r w:rsidR="005938AD">
        <w:instrText>Text</w:instrText>
      </w:r>
      <w:r w:rsidR="005938AD" w:rsidRPr="00055389">
        <w:rPr>
          <w:lang w:val="uk-UA"/>
        </w:rPr>
        <w:instrText xml:space="preserve">" </w:instrText>
      </w:r>
      <w:r w:rsidR="005938AD">
        <w:fldChar w:fldCharType="separate"/>
      </w:r>
      <w:r w:rsidRPr="00511005">
        <w:rPr>
          <w:rFonts w:ascii="Arial" w:eastAsia="Times New Roman" w:hAnsi="Arial" w:cs="Arial"/>
          <w:bCs/>
          <w:szCs w:val="28"/>
          <w:lang w:val="uk-UA" w:eastAsia="ru-RU" w:bidi="uk-UA"/>
        </w:rPr>
        <w:t>https://zakon.rada.gov.ua/laws/show/2341-14#Text</w:t>
      </w:r>
      <w:r w:rsidR="005938AD">
        <w:rPr>
          <w:rFonts w:ascii="Arial" w:eastAsia="Times New Roman" w:hAnsi="Arial" w:cs="Arial"/>
          <w:bCs/>
          <w:szCs w:val="28"/>
          <w:lang w:val="uk-UA" w:eastAsia="ru-RU" w:bidi="uk-UA"/>
        </w:rPr>
        <w:fldChar w:fldCharType="end"/>
      </w:r>
      <w:r w:rsidRPr="00511005">
        <w:rPr>
          <w:rFonts w:ascii="Arial" w:eastAsia="Times New Roman" w:hAnsi="Arial" w:cs="Arial"/>
          <w:bCs/>
          <w:szCs w:val="28"/>
          <w:lang w:val="uk-UA" w:eastAsia="ru-RU" w:bidi="uk-UA"/>
        </w:rPr>
        <w:t xml:space="preserve"> </w:t>
      </w:r>
    </w:p>
    <w:p w14:paraId="50FAF016" w14:textId="77777777" w:rsidR="00532C25" w:rsidRPr="00511005" w:rsidRDefault="00532C25" w:rsidP="003F6A5D">
      <w:pPr>
        <w:widowControl w:val="0"/>
        <w:numPr>
          <w:ilvl w:val="0"/>
          <w:numId w:val="815"/>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Зубанський М. К. Особливості кримінально-правової кваліфікації суспільно небезпечного діяння як порушення законів та звичаїв війни. </w:t>
      </w:r>
      <w:r w:rsidRPr="00511005">
        <w:rPr>
          <w:rFonts w:ascii="Arial" w:eastAsia="Times New Roman" w:hAnsi="Arial" w:cs="Arial"/>
          <w:bCs/>
          <w:i/>
          <w:iCs/>
          <w:szCs w:val="28"/>
          <w:lang w:val="uk-UA" w:eastAsia="ru-RU" w:bidi="uk-UA"/>
        </w:rPr>
        <w:t>Міжнародний науковий журнал «Інтернаука»</w:t>
      </w:r>
      <w:r w:rsidRPr="00511005">
        <w:rPr>
          <w:rFonts w:ascii="Arial" w:eastAsia="Times New Roman" w:hAnsi="Arial" w:cs="Arial"/>
          <w:bCs/>
          <w:szCs w:val="28"/>
          <w:lang w:val="uk-UA" w:eastAsia="ru-RU" w:bidi="uk-UA"/>
        </w:rPr>
        <w:t xml:space="preserve">. Серія: «Юридичні науки». 2023. № 10. URL: </w:t>
      </w:r>
      <w:hyperlink r:id="rId1960" w:history="1">
        <w:r w:rsidRPr="00511005">
          <w:rPr>
            <w:rFonts w:ascii="Arial" w:eastAsia="Times New Roman" w:hAnsi="Arial" w:cs="Arial"/>
            <w:bCs/>
            <w:szCs w:val="28"/>
            <w:lang w:val="uk-UA" w:eastAsia="ru-RU" w:bidi="uk-UA"/>
          </w:rPr>
          <w:t>https://www.inter-nauka.com/uploads/public/17004624837350.pdf</w:t>
        </w:r>
      </w:hyperlink>
      <w:r w:rsidRPr="00511005">
        <w:rPr>
          <w:rFonts w:ascii="Arial" w:eastAsia="Times New Roman" w:hAnsi="Arial" w:cs="Arial"/>
          <w:bCs/>
          <w:szCs w:val="28"/>
          <w:lang w:val="uk-UA" w:eastAsia="ru-RU" w:bidi="uk-UA"/>
        </w:rPr>
        <w:t xml:space="preserve"> </w:t>
      </w:r>
    </w:p>
    <w:p w14:paraId="45D96EB5" w14:textId="77777777" w:rsidR="00532C25" w:rsidRPr="00511005" w:rsidRDefault="00532C25" w:rsidP="00532C25">
      <w:pPr>
        <w:widowControl w:val="0"/>
        <w:autoSpaceDE w:val="0"/>
        <w:autoSpaceDN w:val="0"/>
        <w:adjustRightInd w:val="0"/>
        <w:spacing w:line="264" w:lineRule="auto"/>
        <w:ind w:firstLine="720"/>
        <w:jc w:val="left"/>
        <w:rPr>
          <w:rFonts w:ascii="Arial" w:eastAsia="Times New Roman" w:hAnsi="Arial" w:cs="Arial"/>
          <w:szCs w:val="28"/>
          <w:lang w:val="uk-UA" w:eastAsia="ru-RU"/>
        </w:rPr>
      </w:pPr>
    </w:p>
    <w:p w14:paraId="4178F31D" w14:textId="77777777" w:rsidR="00532C25" w:rsidRPr="00511005" w:rsidRDefault="00532C25" w:rsidP="00532C25">
      <w:pPr>
        <w:keepNext/>
        <w:widowControl w:val="0"/>
        <w:autoSpaceDE w:val="0"/>
        <w:autoSpaceDN w:val="0"/>
        <w:adjustRightInd w:val="0"/>
        <w:spacing w:line="264" w:lineRule="auto"/>
        <w:ind w:firstLine="72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Pr="00511005">
        <w:rPr>
          <w:rFonts w:ascii="Arial" w:eastAsia="Times New Roman" w:hAnsi="Arial" w:cs="Arial"/>
          <w:szCs w:val="28"/>
          <w:lang w:val="uk-UA" w:eastAsia="ru-RU"/>
        </w:rPr>
        <w:t>війна, військовополонені, тортури, права людини, катування.</w:t>
      </w:r>
    </w:p>
    <w:p w14:paraId="581385D0" w14:textId="77777777" w:rsidR="00532C25" w:rsidRPr="00511005" w:rsidRDefault="00532C25" w:rsidP="00532C25">
      <w:pPr>
        <w:keepNext/>
        <w:widowControl w:val="0"/>
        <w:autoSpaceDE w:val="0"/>
        <w:autoSpaceDN w:val="0"/>
        <w:adjustRightInd w:val="0"/>
        <w:spacing w:line="264" w:lineRule="auto"/>
        <w:ind w:firstLine="720"/>
        <w:rPr>
          <w:rFonts w:ascii="Arial" w:eastAsia="Times New Roman" w:hAnsi="Arial" w:cs="Arial"/>
          <w:bCs/>
          <w:szCs w:val="28"/>
          <w:lang w:val="en-US" w:eastAsia="ru-RU"/>
        </w:rPr>
      </w:pPr>
      <w:r w:rsidRPr="00511005">
        <w:rPr>
          <w:rFonts w:ascii="Arial" w:eastAsia="Times New Roman" w:hAnsi="Arial" w:cs="Arial"/>
          <w:b/>
          <w:i/>
          <w:szCs w:val="28"/>
          <w:lang w:val="en-US" w:eastAsia="ru-RU"/>
        </w:rPr>
        <w:t xml:space="preserve">Key words: </w:t>
      </w:r>
      <w:r w:rsidRPr="00511005">
        <w:rPr>
          <w:rFonts w:ascii="Arial" w:eastAsia="Times New Roman" w:hAnsi="Arial" w:cs="Arial"/>
          <w:bCs/>
          <w:szCs w:val="28"/>
          <w:lang w:val="en-US" w:eastAsia="ru-RU"/>
        </w:rPr>
        <w:t xml:space="preserve">war, prisoners of war, torture, human rights, torture </w:t>
      </w:r>
    </w:p>
    <w:p w14:paraId="00015415" w14:textId="77777777" w:rsidR="00532C25" w:rsidRPr="00511005" w:rsidRDefault="00532C25" w:rsidP="00532C25">
      <w:pPr>
        <w:keepNext/>
        <w:widowControl w:val="0"/>
        <w:autoSpaceDE w:val="0"/>
        <w:autoSpaceDN w:val="0"/>
        <w:adjustRightInd w:val="0"/>
        <w:spacing w:line="264" w:lineRule="auto"/>
        <w:ind w:firstLine="720"/>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Pr="00511005">
        <w:rPr>
          <w:rFonts w:ascii="Arial" w:eastAsia="Times New Roman" w:hAnsi="Arial" w:cs="Arial"/>
          <w:bCs/>
          <w:i/>
          <w:iCs/>
          <w:szCs w:val="28"/>
          <w:lang w:val="uk-UA" w:eastAsia="ru-RU"/>
        </w:rPr>
        <w:t>к.ю.н., доцент Шершенькова В.А.</w:t>
      </w:r>
    </w:p>
    <w:p w14:paraId="4E036319" w14:textId="77777777" w:rsidR="00532C25" w:rsidRPr="00511005" w:rsidRDefault="00532C25" w:rsidP="00532C25">
      <w:pPr>
        <w:autoSpaceDE w:val="0"/>
        <w:autoSpaceDN w:val="0"/>
        <w:adjustRightInd w:val="0"/>
        <w:spacing w:line="264" w:lineRule="auto"/>
        <w:ind w:firstLine="0"/>
        <w:contextualSpacing/>
        <w:rPr>
          <w:rFonts w:ascii="Arial" w:eastAsia="Times New Roman" w:hAnsi="Arial" w:cs="Arial"/>
          <w:szCs w:val="28"/>
          <w:lang w:eastAsia="ru-RU"/>
        </w:rPr>
      </w:pPr>
    </w:p>
    <w:p w14:paraId="72FD9C22" w14:textId="77777777" w:rsidR="00532C25" w:rsidRPr="00511005" w:rsidRDefault="00532C25" w:rsidP="00532C25">
      <w:pPr>
        <w:suppressAutoHyphens/>
        <w:autoSpaceDE w:val="0"/>
        <w:autoSpaceDN w:val="0"/>
        <w:adjustRightInd w:val="0"/>
        <w:spacing w:line="264" w:lineRule="auto"/>
        <w:ind w:right="1134" w:firstLine="720"/>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Жужуян Кристина Євгенівна</w:t>
      </w:r>
    </w:p>
    <w:p w14:paraId="065BBB31"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lastRenderedPageBreak/>
        <w:t xml:space="preserve">студентка 3-го курсу </w:t>
      </w:r>
    </w:p>
    <w:p w14:paraId="0828FD9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794C1C7"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0DAACD0" w14:textId="77777777" w:rsidR="00532C25" w:rsidRPr="00511005" w:rsidRDefault="00532C25" w:rsidP="00532C25">
      <w:pPr>
        <w:suppressAutoHyphens/>
        <w:autoSpaceDE w:val="0"/>
        <w:autoSpaceDN w:val="0"/>
        <w:adjustRightInd w:val="0"/>
        <w:spacing w:line="264" w:lineRule="auto"/>
        <w:ind w:firstLine="720"/>
        <w:jc w:val="center"/>
        <w:rPr>
          <w:rFonts w:ascii="Arial" w:eastAsia="Times New Roman" w:hAnsi="Arial" w:cs="Arial"/>
          <w:b/>
          <w:bCs/>
          <w:szCs w:val="28"/>
          <w:lang w:eastAsia="ru-RU"/>
        </w:rPr>
      </w:pPr>
    </w:p>
    <w:p w14:paraId="30245FE9" w14:textId="77777777" w:rsidR="00532C25" w:rsidRPr="00511005" w:rsidRDefault="00532C25" w:rsidP="00532C25">
      <w:pPr>
        <w:suppressAutoHyphens/>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eastAsia="ru-RU"/>
        </w:rPr>
        <w:t>ТИПОВІ ПИТАННЯ, ЯКІ ВИРІШУЄ СУДОВО-БАЛІСТИЧНА ЕКСПЕРТИЗА</w:t>
      </w:r>
    </w:p>
    <w:p w14:paraId="7E8037E5"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Сучасна ситуація в Україні, зумовлена повномасшатабною війною, спричинила стрімке поширення нелегальної вогенапальної зброї серед населення. Це, своєю чергою, сприяє різкому зростанню рівня злочинності із її використанням. Подібні умови створюють серйозні виклики для правоохоронної системи та зумовлюють необхідність ефективного розслідування кримінальних правопорушень, зокрема таких як бандитизм, розбій. Важливу роль у цьому процесі відіграє судово-балістична експертиза, яка дає змогу встановити походження, технічні характеристики та обставини за яких використовувалася зброя. Саме це й зумовлює актуальність досліджуваної теми.</w:t>
      </w:r>
    </w:p>
    <w:p w14:paraId="17ED4C9F"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Для аналізу типових питань, які вирішує судово-балістична експертиза, передусім слід з’ясувати сутність поняття судової балістики, оскільки експертиза є її складовою частиною і спирається на її наукові положення під час вирішення практичних завдань.</w:t>
      </w:r>
    </w:p>
    <w:p w14:paraId="05A13021"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Судова балістика - розділ криміналістичного зброєзнавства, що вивчає вогнепальну зброю, боєприпаси і закономірності пострілу, розробляє засоби й прийоми збирання і дослідження цих обʼєктів, слідів і обставин їх застосування для виявлення, розкриття, розслідування і попередження злочинів.[1]</w:t>
      </w:r>
    </w:p>
    <w:p w14:paraId="13C01697"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Як уже зазначалося, такий вид експертизи є складовою судової балістики, яка являє собою спеціальне експертне дослідження, що проводиться у встановленому законом порядку та завершується безпосереднім складанням висновку. У ньому з посиланням на наукові дані, обгрунтовуються фактичні відомості про вогнепальну зброю, боєприпаси до неї та сліди їх застосування. </w:t>
      </w:r>
    </w:p>
    <w:p w14:paraId="4B2F65F6"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Експертові з урахуванням характеру питання надаються: зброя, усі патрони, гільзи, кулі, шрот, пижі, які приєднані до справи як речові докази, порівняльні матеріали, предмети зі слідами пострілу.</w:t>
      </w:r>
    </w:p>
    <w:p w14:paraId="746776AA"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b/>
          <w:bCs/>
          <w:szCs w:val="28"/>
          <w:lang w:eastAsia="ru-RU"/>
        </w:rPr>
      </w:pPr>
      <w:bookmarkStart w:id="237" w:name="n483"/>
      <w:bookmarkEnd w:id="237"/>
      <w:r w:rsidRPr="00511005">
        <w:rPr>
          <w:rFonts w:ascii="Arial" w:eastAsia="Times New Roman" w:hAnsi="Arial" w:cs="Arial"/>
          <w:szCs w:val="28"/>
          <w:lang w:eastAsia="ru-RU"/>
        </w:rPr>
        <w:t>Усі надані об'єкти повинні мати на упаковці або на прикріплених до них бирках індивідуальні позначки (найменування, кількість, місця виявлення, наприклад: «шрот, що вилучений з трупа A., 4 шротини»). На предметах з пошкодженнями мають бути орієнтувальні позначки (зовнішній, внутрішній бік; верх, низ тощо).[2]</w:t>
      </w:r>
    </w:p>
    <w:p w14:paraId="404051F7"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Перехід до розгляду типових питань передбачає зазначення, що саме слідчий, як сторона обвинувачення, формулює та постановляє їх перед </w:t>
      </w:r>
      <w:r w:rsidRPr="00511005">
        <w:rPr>
          <w:rFonts w:ascii="Arial" w:eastAsia="Times New Roman" w:hAnsi="Arial" w:cs="Arial"/>
          <w:szCs w:val="28"/>
          <w:lang w:eastAsia="ru-RU"/>
        </w:rPr>
        <w:lastRenderedPageBreak/>
        <w:t>експертом-криміналістом, який, маючи відповідно кваліфікацію, надає на них відповіді.</w:t>
      </w:r>
    </w:p>
    <w:p w14:paraId="7E955475"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Важливо, щоб питання, які ставить слідчий, не виходили за межі компетенції експерта та його спеціальних знань. Вони повинні бути сформульовані з чіткою структурою та в логічній послідовності і не повинні містити в собі двозначного характеру. Перелік питань повинен бути повним з тим, щоб висновок судового експерта носив вичерпний характер, а також недоцільно формулювати перед судовим експертом такі питання, які при сучасному стані науки апріорі не можуть бути вирішені.[3]</w:t>
      </w:r>
    </w:p>
    <w:p w14:paraId="41D603A4"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На практиці під час дослідження об’єктів судово-балістичної експертизи перед експертом ставляться питання, які мають ідентифікаційний й неідентифікаційний (діагностичний) характер. [4 с.189]</w:t>
      </w:r>
    </w:p>
    <w:p w14:paraId="4A567D39"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Ідентифікаційні питання орієнтовані на встановлення об’єктивної тотожності – зокрема, чи пов'язаний той чи інший слід (куля, гільза) із контрокретною одиницею зброї.</w:t>
      </w:r>
    </w:p>
    <w:p w14:paraId="730EDAF5"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Відтак можна навести приклади характерних типових ідентифікаційних питань:</w:t>
      </w:r>
    </w:p>
    <w:p w14:paraId="1BF2CE62"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1. Чи була дана куля (гільза) випущена з конкретної одиниці зброї? 2. Чи залишилися сліди на гільзі саме від цього затвора, ствола, бойка тощо? 3. Чи мають набої/кулі/гільзи спільне джерело походження (одна партія, один виробник)? 4. Чи є відновлений номер на зброї її </w:t>
      </w:r>
      <w:proofErr w:type="gramStart"/>
      <w:r w:rsidRPr="00511005">
        <w:rPr>
          <w:rFonts w:ascii="Arial" w:eastAsia="Times New Roman" w:hAnsi="Arial" w:cs="Arial"/>
          <w:szCs w:val="28"/>
          <w:lang w:eastAsia="ru-RU"/>
        </w:rPr>
        <w:t>оригінальним?[</w:t>
      </w:r>
      <w:proofErr w:type="gramEnd"/>
      <w:r w:rsidRPr="00511005">
        <w:rPr>
          <w:rFonts w:ascii="Arial" w:eastAsia="Times New Roman" w:hAnsi="Arial" w:cs="Arial"/>
          <w:szCs w:val="28"/>
          <w:lang w:eastAsia="ru-RU"/>
        </w:rPr>
        <w:t>3 с.189]</w:t>
      </w:r>
    </w:p>
    <w:p w14:paraId="4CE4564D"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А от діагностичні питання, на відміну від </w:t>
      </w:r>
      <w:proofErr w:type="gramStart"/>
      <w:r w:rsidRPr="00511005">
        <w:rPr>
          <w:rFonts w:ascii="Arial" w:eastAsia="Times New Roman" w:hAnsi="Arial" w:cs="Arial"/>
          <w:szCs w:val="28"/>
          <w:lang w:eastAsia="ru-RU"/>
        </w:rPr>
        <w:t>ідентифікаційних ,</w:t>
      </w:r>
      <w:proofErr w:type="gramEnd"/>
      <w:r w:rsidRPr="00511005">
        <w:rPr>
          <w:rFonts w:ascii="Arial" w:eastAsia="Times New Roman" w:hAnsi="Arial" w:cs="Arial"/>
          <w:szCs w:val="28"/>
          <w:lang w:eastAsia="ru-RU"/>
        </w:rPr>
        <w:t xml:space="preserve"> спрямовані на дослідження фізичних та функціональних характеристик об’єкта, а також на встановлення обставин його застосування. </w:t>
      </w:r>
    </w:p>
    <w:p w14:paraId="6ECF937F" w14:textId="77777777" w:rsidR="00532C25" w:rsidRPr="00511005" w:rsidRDefault="00532C25" w:rsidP="00532C2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До діагностичних належать, зокрема, такі запитання:</w:t>
      </w:r>
    </w:p>
    <w:p w14:paraId="2C5A72F0" w14:textId="77777777" w:rsidR="00532C25" w:rsidRPr="00511005" w:rsidRDefault="00532C25" w:rsidP="00532C2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1. Чи є поданий на дослідження предмет вогнепальною зброєю? 2. Чи придатна дана зброя для стрільби? 3. З якого виду, системи, моделі зброї була випущена куля або гільза? 4. Який калібр зброї або набоїв? 5. З якої відстані здійснено постріл? 6. Чи міг постріл бути випадковим? 7. Який був напрямок пострілу? 8. Чи є на одязі (предметі) сліди пострілу з близької відстані (наприклад, копоть, сліди пороху</w:t>
      </w:r>
      <w:proofErr w:type="gramStart"/>
      <w:r w:rsidRPr="00511005">
        <w:rPr>
          <w:rFonts w:ascii="Arial" w:eastAsia="Times New Roman" w:hAnsi="Arial" w:cs="Arial"/>
          <w:szCs w:val="28"/>
          <w:lang w:eastAsia="ru-RU"/>
        </w:rPr>
        <w:t>)?[</w:t>
      </w:r>
      <w:proofErr w:type="gramEnd"/>
      <w:r w:rsidRPr="00511005">
        <w:rPr>
          <w:rFonts w:ascii="Arial" w:eastAsia="Times New Roman" w:hAnsi="Arial" w:cs="Arial"/>
          <w:szCs w:val="28"/>
          <w:lang w:eastAsia="ru-RU"/>
        </w:rPr>
        <w:t>4 с.189]</w:t>
      </w:r>
    </w:p>
    <w:p w14:paraId="24F82826" w14:textId="77777777" w:rsidR="00532C25" w:rsidRPr="00511005" w:rsidRDefault="00532C25" w:rsidP="00532C2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На підставі наведених питань, можна побачити, що діагностичні питання спрямовані на вивчення технічних характеристик, функціональності зброї, механізму пострілу та обставин його здійснення - вони дозволяють встановити, що саме сталося, як це відбулося та за яких умов. Натомість ідентифікаційні питання мають чітку мету - визначити тотожність об’єктів: наприклад, чи саме з цієї зброї була випущена куля або гільза, чи належать набої конкретному типу або виробникові. Таким чином, діагностика забезпечує глибоке розуміння процесу, тоді як ідентифікація дає змогу встановити зв’язок між окремими об’єктами, що є особливо важливим для формування доказової бази у кримінальному провадженні.</w:t>
      </w:r>
    </w:p>
    <w:p w14:paraId="5F28EDCE"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Таким чином, судово-балістична експертиза, хоча й є вузькоспеціалізованим видом дослідження, про те відіграє надзвичайно важливу роль у кримінальному провадженні. Завдяки застосуванню спеціальних знань та методик, вона сприяє встановленню істини </w:t>
      </w:r>
      <w:proofErr w:type="gramStart"/>
      <w:r w:rsidRPr="00511005">
        <w:rPr>
          <w:rFonts w:ascii="Arial" w:eastAsia="Times New Roman" w:hAnsi="Arial" w:cs="Arial"/>
          <w:szCs w:val="28"/>
          <w:lang w:eastAsia="ru-RU"/>
        </w:rPr>
        <w:t>у справах</w:t>
      </w:r>
      <w:proofErr w:type="gramEnd"/>
      <w:r w:rsidRPr="00511005">
        <w:rPr>
          <w:rFonts w:ascii="Arial" w:eastAsia="Times New Roman" w:hAnsi="Arial" w:cs="Arial"/>
          <w:szCs w:val="28"/>
          <w:lang w:eastAsia="ru-RU"/>
        </w:rPr>
        <w:t>, пов’язаних із застосуванням вогнепальної зброї.</w:t>
      </w:r>
    </w:p>
    <w:p w14:paraId="4037D3EC" w14:textId="77777777" w:rsidR="00532C25" w:rsidRPr="00511005" w:rsidRDefault="00532C25" w:rsidP="00532C25">
      <w:pPr>
        <w:suppressAutoHyphens/>
        <w:autoSpaceDE w:val="0"/>
        <w:autoSpaceDN w:val="0"/>
        <w:adjustRightInd w:val="0"/>
        <w:spacing w:line="264" w:lineRule="auto"/>
        <w:ind w:firstLine="720"/>
        <w:rPr>
          <w:rFonts w:ascii="Arial" w:eastAsia="Times New Roman" w:hAnsi="Arial" w:cs="Arial"/>
          <w:szCs w:val="28"/>
          <w:lang w:eastAsia="ru-RU"/>
        </w:rPr>
      </w:pPr>
    </w:p>
    <w:p w14:paraId="38C9E7A4" w14:textId="77777777" w:rsidR="00532C25" w:rsidRPr="00511005" w:rsidRDefault="00532C25" w:rsidP="00532C25">
      <w:pPr>
        <w:suppressAutoHyphens/>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34C84F6D"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pl-PL" w:eastAsia="ru-RU"/>
        </w:rPr>
      </w:pPr>
      <w:r w:rsidRPr="00511005">
        <w:rPr>
          <w:rFonts w:ascii="Arial" w:eastAsia="Times New Roman" w:hAnsi="Arial" w:cs="Arial"/>
          <w:szCs w:val="28"/>
          <w:lang w:eastAsia="ru-RU"/>
        </w:rPr>
        <w:t xml:space="preserve">1. Криміналістика : навч.-метод. посіб. для підготовки здобувачів вищої освіти ступеня «бакалавр» на ф-ті прокурат. та слідства (кримінал. юстиції) НУ «Одес. юрид. академія», галузь знань 08 «Право», спец. 081 «Право» / Л. І. Аркуша, В. В. Тіщенко, Ю. О. Гресь [та ін.] ; НУ «ОЮА». – 5-те вид., випр. і доп. – </w:t>
      </w:r>
      <w:proofErr w:type="gramStart"/>
      <w:r w:rsidRPr="00511005">
        <w:rPr>
          <w:rFonts w:ascii="Arial" w:eastAsia="Times New Roman" w:hAnsi="Arial" w:cs="Arial"/>
          <w:szCs w:val="28"/>
          <w:lang w:eastAsia="ru-RU"/>
        </w:rPr>
        <w:t>Одеса :</w:t>
      </w:r>
      <w:proofErr w:type="gramEnd"/>
      <w:r w:rsidRPr="00511005">
        <w:rPr>
          <w:rFonts w:ascii="Arial" w:eastAsia="Times New Roman" w:hAnsi="Arial" w:cs="Arial"/>
          <w:szCs w:val="28"/>
          <w:lang w:eastAsia="ru-RU"/>
        </w:rPr>
        <w:t xml:space="preserve"> Фенікс, 2024. – 286с. </w:t>
      </w:r>
      <w:r w:rsidRPr="00511005">
        <w:rPr>
          <w:rFonts w:ascii="Arial" w:eastAsia="Times New Roman" w:hAnsi="Arial" w:cs="Arial"/>
          <w:szCs w:val="28"/>
          <w:lang w:val="pl-PL" w:eastAsia="ru-RU"/>
        </w:rPr>
        <w:t xml:space="preserve">URL: </w:t>
      </w:r>
      <w:r w:rsidR="005938AD">
        <w:fldChar w:fldCharType="begin"/>
      </w:r>
      <w:r w:rsidR="005938AD" w:rsidRPr="00055389">
        <w:rPr>
          <w:lang w:val="en-US"/>
        </w:rPr>
        <w:instrText xml:space="preserve"> HYPERLINK "https://dspace.onua.edu.ua/items/953c0708-6fba-40d5-a907-a26c8a14ea1e" </w:instrText>
      </w:r>
      <w:r w:rsidR="005938AD">
        <w:fldChar w:fldCharType="separate"/>
      </w:r>
      <w:r w:rsidRPr="00511005">
        <w:rPr>
          <w:rFonts w:ascii="Arial" w:eastAsia="Times New Roman" w:hAnsi="Arial" w:cs="Arial"/>
          <w:szCs w:val="28"/>
          <w:lang w:val="pl-PL" w:eastAsia="ru-RU"/>
        </w:rPr>
        <w:t>https://dspace.onua.edu.ua/items/953c0708-6fba-40d5-a907-a26c8a14ea1e</w:t>
      </w:r>
      <w:r w:rsidR="005938AD">
        <w:rPr>
          <w:rFonts w:ascii="Arial" w:eastAsia="Times New Roman" w:hAnsi="Arial" w:cs="Arial"/>
          <w:szCs w:val="28"/>
          <w:lang w:val="pl-PL" w:eastAsia="ru-RU"/>
        </w:rPr>
        <w:fldChar w:fldCharType="end"/>
      </w:r>
    </w:p>
    <w:p w14:paraId="039BE211"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pl-PL" w:eastAsia="ru-RU"/>
        </w:rPr>
      </w:pPr>
      <w:r w:rsidRPr="00511005">
        <w:rPr>
          <w:rFonts w:ascii="Arial" w:eastAsia="Times New Roman" w:hAnsi="Arial" w:cs="Arial"/>
          <w:szCs w:val="28"/>
          <w:lang w:val="pl-PL" w:eastAsia="ru-RU"/>
        </w:rPr>
        <w:t>2.</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Про</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затвердження</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Інструкції</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про</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призначення</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та</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проведення</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судових</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експертиз</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та</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експертних</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досліджень</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та</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Науково</w:t>
      </w:r>
      <w:r w:rsidRPr="00511005">
        <w:rPr>
          <w:rFonts w:ascii="Arial" w:eastAsia="Times New Roman" w:hAnsi="Arial" w:cs="Arial"/>
          <w:szCs w:val="28"/>
          <w:shd w:val="clear" w:color="auto" w:fill="FFFFFF"/>
          <w:lang w:val="pl-PL" w:eastAsia="ru-RU"/>
        </w:rPr>
        <w:t>-</w:t>
      </w:r>
      <w:r w:rsidRPr="00511005">
        <w:rPr>
          <w:rFonts w:ascii="Arial" w:eastAsia="Times New Roman" w:hAnsi="Arial" w:cs="Arial"/>
          <w:szCs w:val="28"/>
          <w:shd w:val="clear" w:color="auto" w:fill="FFFFFF"/>
          <w:lang w:eastAsia="ru-RU"/>
        </w:rPr>
        <w:t>методичних</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рекомендацій</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з</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питань</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підготовки</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та</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призначення</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судових</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експертиз</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та</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експертних</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досліджень</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Наказ</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Міністерства</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юстиції</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України</w:t>
      </w:r>
      <w:r w:rsidRPr="00511005">
        <w:rPr>
          <w:rFonts w:ascii="Arial" w:eastAsia="Times New Roman" w:hAnsi="Arial" w:cs="Arial"/>
          <w:szCs w:val="28"/>
          <w:shd w:val="clear" w:color="auto" w:fill="FFFFFF"/>
          <w:lang w:val="pl-PL" w:eastAsia="ru-RU"/>
        </w:rPr>
        <w:t xml:space="preserve"> </w:t>
      </w:r>
      <w:r w:rsidRPr="00511005">
        <w:rPr>
          <w:rFonts w:ascii="Arial" w:eastAsia="Times New Roman" w:hAnsi="Arial" w:cs="Arial"/>
          <w:szCs w:val="28"/>
          <w:shd w:val="clear" w:color="auto" w:fill="FFFFFF"/>
          <w:lang w:eastAsia="ru-RU"/>
        </w:rPr>
        <w:t>від</w:t>
      </w:r>
      <w:r w:rsidRPr="00511005">
        <w:rPr>
          <w:rFonts w:ascii="Arial" w:eastAsia="Times New Roman" w:hAnsi="Arial" w:cs="Arial"/>
          <w:szCs w:val="28"/>
          <w:shd w:val="clear" w:color="auto" w:fill="FFFFFF"/>
          <w:lang w:val="pl-PL" w:eastAsia="ru-RU"/>
        </w:rPr>
        <w:t xml:space="preserve"> 08.10.1998 </w:t>
      </w:r>
      <w:r w:rsidRPr="00511005">
        <w:rPr>
          <w:rFonts w:ascii="Arial" w:eastAsia="Times New Roman" w:hAnsi="Arial" w:cs="Arial"/>
          <w:szCs w:val="28"/>
          <w:shd w:val="clear" w:color="auto" w:fill="FFFFFF"/>
          <w:lang w:eastAsia="ru-RU"/>
        </w:rPr>
        <w:t>року</w:t>
      </w:r>
      <w:r w:rsidRPr="00511005">
        <w:rPr>
          <w:rFonts w:ascii="Arial" w:eastAsia="Times New Roman" w:hAnsi="Arial" w:cs="Arial"/>
          <w:szCs w:val="28"/>
          <w:shd w:val="clear" w:color="auto" w:fill="FFFFFF"/>
          <w:lang w:val="pl-PL" w:eastAsia="ru-RU"/>
        </w:rPr>
        <w:t xml:space="preserve"> № 53/5 URL: </w:t>
      </w:r>
      <w:r w:rsidR="005938AD">
        <w:fldChar w:fldCharType="begin"/>
      </w:r>
      <w:r w:rsidR="005938AD" w:rsidRPr="00055389">
        <w:rPr>
          <w:lang w:val="pl-PL"/>
        </w:rPr>
        <w:instrText xml:space="preserve"> HYPERLINK "https://zakon.rada.gov.ua/laws/show/z0705-98" \l "Text" </w:instrText>
      </w:r>
      <w:r w:rsidR="005938AD">
        <w:fldChar w:fldCharType="separate"/>
      </w:r>
      <w:r w:rsidRPr="00511005">
        <w:rPr>
          <w:rFonts w:ascii="Arial" w:eastAsia="Times New Roman" w:hAnsi="Arial" w:cs="Arial"/>
          <w:szCs w:val="28"/>
          <w:lang w:val="pl-PL" w:eastAsia="ru-RU"/>
        </w:rPr>
        <w:t>https://zakon.rada.gov.ua/laws/show/z0705-98#Text</w:t>
      </w:r>
      <w:r w:rsidR="005938AD">
        <w:rPr>
          <w:rFonts w:ascii="Arial" w:eastAsia="Times New Roman" w:hAnsi="Arial" w:cs="Arial"/>
          <w:szCs w:val="28"/>
          <w:lang w:val="pl-PL" w:eastAsia="ru-RU"/>
        </w:rPr>
        <w:fldChar w:fldCharType="end"/>
      </w:r>
    </w:p>
    <w:p w14:paraId="0E3C5502"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3. Теоретичні і практичні основи призначення та проведення судових </w:t>
      </w:r>
      <w:proofErr w:type="gramStart"/>
      <w:r w:rsidRPr="00511005">
        <w:rPr>
          <w:rFonts w:ascii="Arial" w:eastAsia="Times New Roman" w:hAnsi="Arial" w:cs="Arial"/>
          <w:szCs w:val="28"/>
          <w:lang w:eastAsia="ru-RU"/>
        </w:rPr>
        <w:t>експертиз :</w:t>
      </w:r>
      <w:proofErr w:type="gramEnd"/>
      <w:r w:rsidRPr="00511005">
        <w:rPr>
          <w:rFonts w:ascii="Arial" w:eastAsia="Times New Roman" w:hAnsi="Arial" w:cs="Arial"/>
          <w:szCs w:val="28"/>
          <w:lang w:eastAsia="ru-RU"/>
        </w:rPr>
        <w:t xml:space="preserve"> навчально-методичний посібник / М. М. Шульга, В. М. Плахотіна, С. П. Чумак ; за заг. ред. В. В. Тіщенка. – </w:t>
      </w:r>
      <w:proofErr w:type="gramStart"/>
      <w:r w:rsidRPr="00511005">
        <w:rPr>
          <w:rFonts w:ascii="Arial" w:eastAsia="Times New Roman" w:hAnsi="Arial" w:cs="Arial"/>
          <w:szCs w:val="28"/>
          <w:lang w:eastAsia="ru-RU"/>
        </w:rPr>
        <w:t>Одеса :</w:t>
      </w:r>
      <w:proofErr w:type="gramEnd"/>
      <w:r w:rsidRPr="00511005">
        <w:rPr>
          <w:rFonts w:ascii="Arial" w:eastAsia="Times New Roman" w:hAnsi="Arial" w:cs="Arial"/>
          <w:szCs w:val="28"/>
          <w:lang w:eastAsia="ru-RU"/>
        </w:rPr>
        <w:t xml:space="preserve"> Фенікс, 2012. – 153 с.</w:t>
      </w:r>
    </w:p>
    <w:p w14:paraId="3B95F55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4. Криміналістика: підручник / За ред. В.В. Тіщенка. – Одеса: Видавничий дім «Гельветика», 2017. – 556 с. </w:t>
      </w:r>
    </w:p>
    <w:p w14:paraId="02F296C7" w14:textId="77777777" w:rsidR="00532C25" w:rsidRPr="00511005" w:rsidRDefault="00532C25" w:rsidP="00532C25">
      <w:pPr>
        <w:autoSpaceDE w:val="0"/>
        <w:autoSpaceDN w:val="0"/>
        <w:adjustRightInd w:val="0"/>
        <w:spacing w:line="264" w:lineRule="auto"/>
        <w:ind w:firstLine="720"/>
        <w:rPr>
          <w:rFonts w:ascii="Arial" w:eastAsia="Times New Roman" w:hAnsi="Arial" w:cs="Arial"/>
          <w:b/>
          <w:bCs/>
          <w:szCs w:val="28"/>
          <w:lang w:eastAsia="ru-RU"/>
        </w:rPr>
      </w:pPr>
    </w:p>
    <w:p w14:paraId="2F8F074B"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eastAsia="ru-RU"/>
        </w:rPr>
        <w:t>питання, експертиза, зброя, дослідження</w:t>
      </w:r>
    </w:p>
    <w:p w14:paraId="1D17882A"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question, expertise, weapon, research</w:t>
      </w:r>
    </w:p>
    <w:p w14:paraId="2ACF7B6A"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eastAsia="ru-RU"/>
        </w:rPr>
        <w:t>к.ю.н., доцент Колодіна А.С.</w:t>
      </w:r>
    </w:p>
    <w:p w14:paraId="74BE6846"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b/>
          <w:bCs/>
          <w:i/>
          <w:iCs/>
          <w:szCs w:val="28"/>
          <w:lang w:eastAsia="ru-RU"/>
        </w:rPr>
      </w:pPr>
    </w:p>
    <w:p w14:paraId="47B32C4E" w14:textId="77777777" w:rsidR="00532C25" w:rsidRPr="00511005" w:rsidRDefault="00532C25" w:rsidP="00532C25">
      <w:pPr>
        <w:spacing w:line="264" w:lineRule="auto"/>
        <w:ind w:firstLine="720"/>
        <w:jc w:val="center"/>
        <w:rPr>
          <w:rFonts w:ascii="Arial" w:eastAsia="Times New Roman" w:hAnsi="Arial" w:cs="Arial"/>
          <w:b/>
          <w:bCs/>
          <w:i/>
          <w:iCs/>
          <w:szCs w:val="28"/>
          <w:lang w:val="uk-UA" w:eastAsia="ru-RU"/>
        </w:rPr>
      </w:pPr>
    </w:p>
    <w:p w14:paraId="3FB79550" w14:textId="77777777" w:rsidR="00532C25" w:rsidRPr="00511005" w:rsidRDefault="00532C25" w:rsidP="00532C25">
      <w:pPr>
        <w:spacing w:line="264" w:lineRule="auto"/>
        <w:ind w:firstLine="72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Жуман Софія Вікторівна</w:t>
      </w:r>
    </w:p>
    <w:p w14:paraId="00E7E3E6"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2-го курсу факультету цивільної та господарської юстиції</w:t>
      </w:r>
    </w:p>
    <w:p w14:paraId="5B1EAD1E"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42E44B70" w14:textId="77777777" w:rsidR="00532C25" w:rsidRPr="00511005" w:rsidRDefault="00532C25" w:rsidP="00532C25">
      <w:pPr>
        <w:spacing w:line="264" w:lineRule="auto"/>
        <w:ind w:firstLine="720"/>
        <w:jc w:val="center"/>
        <w:rPr>
          <w:rFonts w:ascii="Arial" w:eastAsia="Calibri" w:hAnsi="Arial" w:cs="Arial"/>
          <w:i/>
          <w:iCs/>
          <w:szCs w:val="28"/>
          <w:lang w:val="uk-UA"/>
        </w:rPr>
      </w:pPr>
    </w:p>
    <w:p w14:paraId="4B2EF070"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ВИКОРИСТАННЯ ОДОРОЛОГІЧНОЇ ІНФОРМАЦІЇ ПІД ЧАС РОЗСЛІДУВАННЯ КРИМІНАЛЬНИХ ПРАВОПОРУШЕНЬ</w:t>
      </w:r>
    </w:p>
    <w:p w14:paraId="62CACFFA"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У сучасних умовах правопорушники дедалі частіше вживають заходів для маскування своєї особи. Вони використовують рукавички, головні убори, закривають обличчя від камер відеоспостереження та фізично знищують сліди своєї присутності на місці злочину.</w:t>
      </w:r>
      <w:r w:rsidRPr="00511005">
        <w:rPr>
          <w:rFonts w:ascii="Arial" w:eastAsia="Times New Roman" w:hAnsi="Arial" w:cs="Arial"/>
          <w:szCs w:val="28"/>
          <w:lang w:eastAsia="ru-RU"/>
        </w:rPr>
        <w:t xml:space="preserve"> </w:t>
      </w:r>
      <w:r w:rsidRPr="00511005">
        <w:rPr>
          <w:rFonts w:ascii="Arial" w:eastAsia="Times New Roman" w:hAnsi="Arial" w:cs="Arial"/>
          <w:bCs/>
          <w:iCs/>
          <w:szCs w:val="28"/>
          <w:lang w:val="uk-UA" w:eastAsia="ru-RU"/>
        </w:rPr>
        <w:t>Попри це, у більшості випадків на місці події залишається малопомітна, але надзвичайно інформативна ознака – запах особи, яка вчинила злочин.</w:t>
      </w:r>
    </w:p>
    <w:p w14:paraId="19999B1D"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Небагато вчених займалися проблемами криміналістичного запаху </w:t>
      </w:r>
      <w:r w:rsidRPr="00511005">
        <w:rPr>
          <w:rFonts w:ascii="Arial" w:eastAsia="Times New Roman" w:hAnsi="Arial" w:cs="Arial"/>
          <w:bCs/>
          <w:iCs/>
          <w:szCs w:val="28"/>
          <w:lang w:val="uk-UA" w:eastAsia="ru-RU"/>
        </w:rPr>
        <w:lastRenderedPageBreak/>
        <w:t xml:space="preserve">при розкритті злочинів. Більшість досліджень присвячені питанням того, як спеціальні собаки виявляють сліди запаху на місці події, як переслідувати злочинця та як за допомогою службових собак виявляти різні предмети, заборонені для вільного обігу. Досліджувалися також питання пошуку зниклих безвісти, трупів, вибухівки за допомогою спеціальних собак, було підкреслено роль належним чином навчених собак у розслідуванні підпалів, розшуку втікачів, виявленні валюти, тютюну та зброї та боротьбі з браконьєрством. </w:t>
      </w:r>
    </w:p>
    <w:p w14:paraId="34E07397"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Одорологія</w:t>
      </w:r>
      <w:r w:rsidRPr="00511005">
        <w:rPr>
          <w:rFonts w:ascii="Arial" w:eastAsia="Times New Roman" w:hAnsi="Arial" w:cs="Arial"/>
          <w:b/>
          <w:bCs/>
          <w:i/>
          <w:iCs/>
          <w:szCs w:val="28"/>
          <w:lang w:val="uk-UA" w:eastAsia="ru-RU"/>
        </w:rPr>
        <w:t xml:space="preserve"> – </w:t>
      </w:r>
      <w:r w:rsidRPr="00511005">
        <w:rPr>
          <w:rFonts w:ascii="Arial" w:eastAsia="Times New Roman" w:hAnsi="Arial" w:cs="Arial"/>
          <w:bCs/>
          <w:iCs/>
          <w:szCs w:val="28"/>
          <w:lang w:val="uk-UA" w:eastAsia="ru-RU"/>
        </w:rPr>
        <w:t>напрям у криміналістичній техніці, що охоплює вивчення механізмів утворення запахових слідів, особливостей їх виявлення, фіксації та практичного застосування під час розслідування кримінальних злочинів [1].</w:t>
      </w:r>
    </w:p>
    <w:p w14:paraId="21BF2958"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З погляду фізики, запаховий слід – це сукупність молекул речовин, які перебувають у газоподібному стані. Його виникнення зумовлене процесом переходу часток з твердого або рідкого стану в газоподібне. Молекули, які відокремлюються від тіла, змішуються з повітрям і створюють характерну для об'єкта запахову хмару.</w:t>
      </w:r>
    </w:p>
    <w:p w14:paraId="3DA1E55E"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Наукові дослідження стверджують, що в закритому приміщенні запахові сліди людини можуть зберігатися протягом значного проміжку часу – до 24 годин. Навіть короткочасне перебування особи (близько 15–30 хвилин) у невеликому приміщенні площею спричиняє утворення стійкого запахового фону. У відкритому середовищі за відсутності вітру молекули запаху в сліді, залишеному на відкритому ґрунті, зберігаються до 20 годин. Тривалість збереження залежить від багатьох чинників, зокрема властивостей поверхні, вологості, температури й інтенсивності початкового контакту. Найкраще утримують молекули матеріали з пористою чи волокнистою структурою: вовняні тканини, деревина, вологий ґрунт, трава та сніг. Натомість поверхні зі слабкими адсорбційними властивостями (гладкий метал, асфальт, каміння) менш ефективні для збереження запаху.</w:t>
      </w:r>
    </w:p>
    <w:p w14:paraId="06E91D2C"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Запахову інформацію аналізують за допомогою двох основних методів – кінологічного (з використанням нюху собак) та інструментального (із застосуванням спеціалізованих приладів – ольфактронів).</w:t>
      </w:r>
    </w:p>
    <w:p w14:paraId="3810C22E"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У кінологічній практиці ключовим елементом аналізу є нюховий апарат службової собаки. При правильному проведенні дослідження службова собака здатна абстрагуватись від численних зовнішніх та внутрішніх факторів і точно реагувати на індивідуальні запахові профілі осіб.</w:t>
      </w:r>
      <w:r w:rsidRPr="00511005">
        <w:rPr>
          <w:rFonts w:ascii="Arial" w:eastAsia="Times New Roman" w:hAnsi="Arial" w:cs="Arial"/>
          <w:szCs w:val="28"/>
          <w:lang w:val="uk-UA" w:eastAsia="ru-RU"/>
        </w:rPr>
        <w:t xml:space="preserve"> </w:t>
      </w:r>
      <w:r w:rsidRPr="00511005">
        <w:rPr>
          <w:rFonts w:ascii="Arial" w:eastAsia="Times New Roman" w:hAnsi="Arial" w:cs="Arial"/>
          <w:bCs/>
          <w:iCs/>
          <w:szCs w:val="28"/>
          <w:lang w:val="uk-UA" w:eastAsia="ru-RU"/>
        </w:rPr>
        <w:t>У сучасній практиці кримінального провадження службові собаки активно залучаються до пошуку слідів одразу після вчинення злочину, коли ще можливо працювати по так званих «гарячих слідах». Це – сфера оперативної одорології. Поряд із цим активно використовується і лабораторна форма аналізу – одорологічна експертиза, що дозволяє точно дослідити індивідуальні ознаки запаху в контрольованих умовах.</w:t>
      </w:r>
    </w:p>
    <w:p w14:paraId="75F62417"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lastRenderedPageBreak/>
        <w:t xml:space="preserve">Інструментальна одорологія базується на використанні фізико-хімічних приладів, які виявляють і фіксують складові пахучих речовин. Такі прилади дозволяють створювати так звані ольфактрограми – графічне відображення спектру летючих сполук. Для зберігання зразків запаху тривалий час застосовуються адсорбційні прилади. Найефективнішим сорбентом вважається активоване вугілля типу АГ-1, здатне утримувати зразки без втрати властивостей упродовж двох років. Цей матеріал є основним елементом приладів збору запаху, зокрема пристрою «Шершень». </w:t>
      </w:r>
    </w:p>
    <w:p w14:paraId="7ED38E32" w14:textId="77777777" w:rsidR="00532C25" w:rsidRPr="00511005" w:rsidRDefault="00532C25" w:rsidP="00532C25">
      <w:pPr>
        <w:widowControl w:val="0"/>
        <w:spacing w:line="264" w:lineRule="auto"/>
        <w:ind w:firstLine="720"/>
        <w:contextualSpacing/>
        <w:rPr>
          <w:rFonts w:ascii="Arial" w:eastAsia="Times New Roman" w:hAnsi="Arial" w:cs="Arial"/>
          <w:szCs w:val="28"/>
          <w:lang w:val="uk-UA" w:eastAsia="ru-RU"/>
        </w:rPr>
      </w:pPr>
      <w:r w:rsidRPr="00511005">
        <w:rPr>
          <w:rFonts w:ascii="Arial" w:eastAsia="Times New Roman" w:hAnsi="Arial" w:cs="Arial"/>
          <w:bCs/>
          <w:iCs/>
          <w:szCs w:val="28"/>
          <w:lang w:val="uk-UA" w:eastAsia="ru-RU"/>
        </w:rPr>
        <w:t>Окремим напрямом криміналістичної одорології є консервування зібраних запахів із місця події для подальшої ідентифікації особи. Зібрані зразки використовуються при перевірці за допомогою службових собак, які здійснюють порівняння запахових слідів із речами осіб, що перевіряються.</w:t>
      </w:r>
      <w:r w:rsidRPr="00511005">
        <w:rPr>
          <w:rFonts w:ascii="Arial" w:eastAsia="Times New Roman" w:hAnsi="Arial" w:cs="Arial"/>
          <w:szCs w:val="28"/>
          <w:lang w:val="uk-UA" w:eastAsia="ru-RU"/>
        </w:rPr>
        <w:t xml:space="preserve"> </w:t>
      </w:r>
    </w:p>
    <w:p w14:paraId="15032082"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Лабораторні дослідження запахових слідів є важливим джерелом ідентифікаційної інформації. Правильно відібрані та збережені зразки можуть зберігатися в спеціальних умовах понад 10–12 років, зберігаючи свою цінність. Особливо стійкими є сліди крові. </w:t>
      </w:r>
    </w:p>
    <w:p w14:paraId="3402D6F2"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Процедура вилучення запахових слідів може здійснюватися як у рамках офіційних слідчих чи судових дій, так і під час додаткових, неформальних або допоміжних заходів. Зразки запаху можуть бути отримані як безпосередньо на місці події слідчим чи залученим спеціалістом, так і під час підготовчих етапів експертного дослідження – експертом у лабораторних умовах.</w:t>
      </w:r>
    </w:p>
    <w:p w14:paraId="6BFCD2D6"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У разі прибуття слідчо-оперативної групи з кінологом на місце ймовірного злочину першочерговим завданням є застосування собаки-детектора для виявлення запахових слідів, які могли залишитися на навколишніх об’єктах або у просторі. До потенційних джерел таких слідів можуть належати як сліди рук чи ніг, так і предмети, які могли бути у контакті зі злочинцем – знаряддя вчинення правопорушення, залишені речі тощо.</w:t>
      </w:r>
      <w:r w:rsidRPr="00511005">
        <w:rPr>
          <w:rFonts w:ascii="Arial" w:eastAsia="Times New Roman" w:hAnsi="Arial" w:cs="Arial"/>
          <w:szCs w:val="28"/>
          <w:lang w:eastAsia="ru-RU"/>
        </w:rPr>
        <w:t xml:space="preserve"> </w:t>
      </w:r>
      <w:r w:rsidRPr="00511005">
        <w:rPr>
          <w:rFonts w:ascii="Arial" w:eastAsia="Times New Roman" w:hAnsi="Arial" w:cs="Arial"/>
          <w:bCs/>
          <w:iCs/>
          <w:szCs w:val="28"/>
          <w:lang w:val="uk-UA" w:eastAsia="ru-RU"/>
        </w:rPr>
        <w:t xml:space="preserve">Усі дії, пов’язані з переміщенням кінолога та використанням собаки-детектора, мають бути задокументовані в офіційному протоколі огляду місця події. Після завершення цього етапу здійснюється цілеспрямоване збирання запахових слідів шляхом накладання спеціальних уніфікованих носіїв на об'єкти, які потенційно містять ці сліди (зокрема, відбитки, предмети побуту, одяг тощо). </w:t>
      </w:r>
    </w:p>
    <w:p w14:paraId="5D313C2C"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Варто, однак, брати до уваги ризик помилок, пов’язаних із тим, що окремі предмети могли раніше перебувати у контакті з іншими особами. Якість і достовірність отриманих результатів значною мірою залежать від дотримання певних організаційно-технічних вимог. Зокрема, обов’язковим є попереднє знезараження обладнання, контроль за відсутністю у персоналу сторонніх запахів (таких як запах тютюну, парфумів, медикаментів, нафтопродуктів), використання одноразових стерильних рукавичок при </w:t>
      </w:r>
      <w:r w:rsidRPr="00511005">
        <w:rPr>
          <w:rFonts w:ascii="Arial" w:eastAsia="Times New Roman" w:hAnsi="Arial" w:cs="Arial"/>
          <w:bCs/>
          <w:iCs/>
          <w:szCs w:val="28"/>
          <w:lang w:val="uk-UA" w:eastAsia="ru-RU"/>
        </w:rPr>
        <w:lastRenderedPageBreak/>
        <w:t>роботі із зразками, а також фіксація і аналіз фонових запахів середовища, в якому проводиться збір. Тільки за умови точного дотримання цих вимог можна говорити про надійність та допустимість одорологічних доказів у межах кримінального провадження</w:t>
      </w:r>
    </w:p>
    <w:p w14:paraId="44DE5B7F"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Для роботи зі зразками на місці події використовується спеціалізований комплект – так звана одорологічна валіза. До її складу входять стерильні скляні ємкості з герметичними кришками, носії у вигляді бавовняних тканин різного розміру, скляні банки для зберігання зразків до повного висихання, алюмінієва фольга, пінцети, скальпелі, рулони поліетилену, мотузка, маркери, а також інші допоміжні інструменти, необхідні для стерильного збирання та пакування запахової інформації.</w:t>
      </w:r>
    </w:p>
    <w:p w14:paraId="2168E61D"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У науковій практиці відпрацьовано типовий алгоритм відбору запахової інформації з поверхонь, що можуть утримувати сліди запаху людини. Процедура збирання запахових слідів здійснюється шляхом прикладання стерильного абсорбуючого матеріалу – переважно фланелевих або марлевих серветок – до поверхні предмета, що потенційно містить слід. Так, абсорбент у вигляді стерильної фланелевої або марлевої серветки виймають з герметичної ємності та обережно розміщують на поверхні, де ймовірно знаходиться запаховий слід, наприклад, на ручці дверей. З метою створення сприятливих умов для поглинання летких молекул, поверх серветки накладають поліетиленовий пакет, краї якого щільно фіксують до предмета за допомогою клейкої стрічки або лейкопластиру. Це дозволяє створити ізольований простір, в якому покращується випаровування речовин і, відповідно, їх поглинання тканиною. Після завершення експозиції серветку знімають з об’єкта за допомогою стерильного інструменту (пінцета) та поміщають у спеціальну контейнерну тару, що герметично закривається. До неї прикріплюється інформаційна бирка із зазначенням обставин відбору: місця, дати, методу, осіб, які здійснювали фіксацію, а також типу використаного методу (безпосереднє прикладання чи вакуумне вилучення за допомогою спеціалізованого пристрою). Усі ці дії супроводжуються підписами слідчого, понятого та інших уповноважених осіб для забезпечення процесуальної чистоти процедур [2].</w:t>
      </w:r>
    </w:p>
    <w:p w14:paraId="5050AB3E" w14:textId="77777777" w:rsidR="00532C25" w:rsidRPr="00511005" w:rsidRDefault="00532C25" w:rsidP="00532C25">
      <w:pPr>
        <w:widowControl w:val="0"/>
        <w:spacing w:line="264" w:lineRule="auto"/>
        <w:ind w:firstLine="720"/>
        <w:contextualSpacing/>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Отже, запах людини є унікальним і залишається стабільним протягом усього її життя, не зважаючи навіть на використання косметичних засобів чи парфумерії.</w:t>
      </w:r>
      <w:r w:rsidRPr="00511005">
        <w:rPr>
          <w:rFonts w:ascii="Arial" w:eastAsia="Times New Roman" w:hAnsi="Arial" w:cs="Arial"/>
          <w:szCs w:val="28"/>
          <w:lang w:eastAsia="ru-RU"/>
        </w:rPr>
        <w:t xml:space="preserve"> </w:t>
      </w:r>
      <w:r w:rsidRPr="00511005">
        <w:rPr>
          <w:rFonts w:ascii="Arial" w:eastAsia="Times New Roman" w:hAnsi="Arial" w:cs="Arial"/>
          <w:bCs/>
          <w:iCs/>
          <w:szCs w:val="28"/>
          <w:lang w:val="uk-UA" w:eastAsia="ru-RU"/>
        </w:rPr>
        <w:t>У випадках, коли інші сліди на місці злочину відсутні, одорологічна експертиза іноді виступає єдиним джерелом доказової інформації, здатної допомогти у встановленні істини у справі. Таким чином, вона відіграє важливу роль у процесі досудового розслідування та судового розгляду кримінальних правопорушень.</w:t>
      </w:r>
    </w:p>
    <w:p w14:paraId="41C65904" w14:textId="77777777" w:rsidR="00532C25" w:rsidRPr="00511005" w:rsidRDefault="00532C25" w:rsidP="00532C25">
      <w:pPr>
        <w:widowControl w:val="0"/>
        <w:spacing w:line="264" w:lineRule="auto"/>
        <w:ind w:firstLine="720"/>
        <w:contextualSpacing/>
        <w:jc w:val="center"/>
        <w:rPr>
          <w:rFonts w:ascii="Arial" w:eastAsia="Times New Roman" w:hAnsi="Arial" w:cs="Arial"/>
          <w:b/>
          <w:bCs/>
          <w:szCs w:val="28"/>
          <w:lang w:val="uk-UA" w:eastAsia="ru-RU"/>
        </w:rPr>
      </w:pPr>
    </w:p>
    <w:p w14:paraId="7151D314" w14:textId="77777777" w:rsidR="00532C25" w:rsidRPr="00511005" w:rsidRDefault="00532C25" w:rsidP="00532C25">
      <w:pPr>
        <w:widowControl w:val="0"/>
        <w:spacing w:line="264" w:lineRule="auto"/>
        <w:ind w:firstLine="720"/>
        <w:contextualSpacing/>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6B1BA44B" w14:textId="77777777" w:rsidR="00532C25" w:rsidRPr="00511005" w:rsidRDefault="00532C25" w:rsidP="003F6A5D">
      <w:pPr>
        <w:widowControl w:val="0"/>
        <w:numPr>
          <w:ilvl w:val="0"/>
          <w:numId w:val="658"/>
        </w:numPr>
        <w:spacing w:line="264" w:lineRule="auto"/>
        <w:ind w:left="0" w:firstLine="720"/>
        <w:contextualSpacing/>
        <w:jc w:val="left"/>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 xml:space="preserve">Одорологія у криміналістиці : метод. рекомендації / А. В. </w:t>
      </w:r>
      <w:r w:rsidRPr="00511005">
        <w:rPr>
          <w:rFonts w:ascii="Arial" w:eastAsia="Times New Roman" w:hAnsi="Arial" w:cs="Arial"/>
          <w:bCs/>
          <w:iCs/>
          <w:szCs w:val="28"/>
          <w:lang w:val="uk-UA" w:eastAsia="ru-RU"/>
        </w:rPr>
        <w:lastRenderedPageBreak/>
        <w:t>Кофанов, О. Л. Кобилянський, П. Д. Біленчук. Київ, 2010. 52 с.</w:t>
      </w:r>
    </w:p>
    <w:p w14:paraId="1E7ABF2B" w14:textId="77777777" w:rsidR="00532C25" w:rsidRPr="00511005" w:rsidRDefault="00532C25" w:rsidP="003F6A5D">
      <w:pPr>
        <w:widowControl w:val="0"/>
        <w:numPr>
          <w:ilvl w:val="0"/>
          <w:numId w:val="658"/>
        </w:numPr>
        <w:spacing w:line="264" w:lineRule="auto"/>
        <w:ind w:left="0" w:firstLine="720"/>
        <w:contextualSpacing/>
        <w:jc w:val="left"/>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Yusupov V., Vaško A. Forensic olfaction employment for solving crimes. Law Journal of the National Academy of Internal Affairs. 2024. Vol. 14, No. 1. P. 19–30. DOI: 10.56215/naia-chasopis/1.2024.19 (дата звернення: 25.04.2025).</w:t>
      </w:r>
    </w:p>
    <w:p w14:paraId="66049A14" w14:textId="77777777" w:rsidR="00532C25" w:rsidRPr="00511005" w:rsidRDefault="00532C25" w:rsidP="00532C25">
      <w:pPr>
        <w:spacing w:line="264" w:lineRule="auto"/>
        <w:ind w:firstLine="720"/>
        <w:jc w:val="left"/>
        <w:rPr>
          <w:rFonts w:ascii="Arial" w:eastAsia="Calibri" w:hAnsi="Arial" w:cs="Arial"/>
          <w:szCs w:val="28"/>
          <w:lang w:val="uk-UA" w:bidi="prs-AF"/>
        </w:rPr>
      </w:pPr>
    </w:p>
    <w:p w14:paraId="5997D9B7" w14:textId="77777777" w:rsidR="00532C25" w:rsidRPr="00511005" w:rsidRDefault="00532C25" w:rsidP="00532C25">
      <w:pPr>
        <w:spacing w:line="264" w:lineRule="auto"/>
        <w:ind w:firstLine="720"/>
        <w:rPr>
          <w:rFonts w:ascii="Arial" w:eastAsia="Calibri" w:hAnsi="Arial" w:cs="Arial"/>
          <w:szCs w:val="28"/>
          <w:lang w:val="uk-UA" w:bidi="prs-AF"/>
        </w:rPr>
      </w:pPr>
      <w:r w:rsidRPr="00511005">
        <w:rPr>
          <w:rFonts w:ascii="Arial" w:eastAsia="Calibri" w:hAnsi="Arial" w:cs="Arial"/>
          <w:b/>
          <w:bCs/>
          <w:i/>
          <w:szCs w:val="28"/>
          <w:lang w:val="uk-UA" w:bidi="prs-AF"/>
        </w:rPr>
        <w:t xml:space="preserve">Ключові слова: </w:t>
      </w:r>
      <w:r w:rsidRPr="00511005">
        <w:rPr>
          <w:rFonts w:ascii="Arial" w:eastAsia="Calibri" w:hAnsi="Arial" w:cs="Arial"/>
          <w:szCs w:val="28"/>
          <w:lang w:val="uk-UA" w:bidi="prs-AF"/>
        </w:rPr>
        <w:t xml:space="preserve">одорологія, запаховий слід, службові собаки, експертиза, докази, нюх, злочин, криміналістика. </w:t>
      </w:r>
    </w:p>
    <w:p w14:paraId="31882343" w14:textId="77777777" w:rsidR="00532C25" w:rsidRPr="00511005" w:rsidRDefault="00532C25" w:rsidP="00532C25">
      <w:pPr>
        <w:spacing w:line="264" w:lineRule="auto"/>
        <w:ind w:firstLine="720"/>
        <w:rPr>
          <w:rFonts w:ascii="Arial" w:eastAsia="Calibri" w:hAnsi="Arial" w:cs="Arial"/>
          <w:szCs w:val="28"/>
          <w:lang w:val="uk-UA" w:bidi="prs-AF"/>
        </w:rPr>
      </w:pPr>
      <w:r w:rsidRPr="00511005">
        <w:rPr>
          <w:rFonts w:ascii="Arial" w:eastAsia="Calibri" w:hAnsi="Arial" w:cs="Arial"/>
          <w:b/>
          <w:bCs/>
          <w:i/>
          <w:szCs w:val="28"/>
          <w:lang w:val="uk-UA" w:bidi="prs-AF"/>
        </w:rPr>
        <w:t xml:space="preserve">Key words: </w:t>
      </w:r>
      <w:r w:rsidRPr="00511005">
        <w:rPr>
          <w:rFonts w:ascii="Arial" w:eastAsia="Calibri" w:hAnsi="Arial" w:cs="Arial"/>
          <w:szCs w:val="28"/>
          <w:lang w:val="uk-UA" w:bidi="prs-AF"/>
        </w:rPr>
        <w:t>odorology, odor trace, scent detection dogs, forensic examination, evidence, scent, crime, criminalistics.</w:t>
      </w:r>
    </w:p>
    <w:p w14:paraId="4EBD9CC0" w14:textId="77777777" w:rsidR="00532C25" w:rsidRPr="00511005" w:rsidRDefault="00532C25" w:rsidP="00532C25">
      <w:pPr>
        <w:keepNext/>
        <w:widowControl w:val="0"/>
        <w:spacing w:line="264" w:lineRule="auto"/>
        <w:ind w:firstLine="720"/>
        <w:rPr>
          <w:rFonts w:ascii="Arial" w:eastAsia="Calibri" w:hAnsi="Arial" w:cs="Arial"/>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i/>
          <w:iCs/>
          <w:szCs w:val="28"/>
        </w:rPr>
        <w:t>д.ю.н., завідувач кафедри, професор Аркуша Л.І.</w:t>
      </w:r>
    </w:p>
    <w:p w14:paraId="5B3362AA"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b/>
          <w:bCs/>
          <w:i/>
          <w:iCs/>
          <w:szCs w:val="28"/>
          <w:lang w:val="uk-UA" w:eastAsia="ru-RU"/>
        </w:rPr>
      </w:pPr>
    </w:p>
    <w:p w14:paraId="5D5D09B2"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eastAsia="ru-RU"/>
        </w:rPr>
      </w:pPr>
    </w:p>
    <w:p w14:paraId="5549C7C1"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Забудько Анастасія Сергіївна</w:t>
      </w:r>
    </w:p>
    <w:p w14:paraId="0A812C01"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szCs w:val="28"/>
          <w:lang w:eastAsia="ru-RU"/>
        </w:rPr>
      </w:pPr>
      <w:r w:rsidRPr="00511005">
        <w:rPr>
          <w:rFonts w:ascii="Arial" w:eastAsia="Times New Roman" w:hAnsi="Arial" w:cs="Arial"/>
          <w:szCs w:val="28"/>
          <w:lang w:eastAsia="ru-RU"/>
        </w:rPr>
        <w:t>студентка 2-го курсу факультету цивільної та господарської юстиції Національного університету «Одеська юридична академія»</w:t>
      </w:r>
    </w:p>
    <w:p w14:paraId="1881E3A1" w14:textId="77777777" w:rsidR="00532C25" w:rsidRPr="00511005" w:rsidRDefault="00532C25" w:rsidP="00532C25">
      <w:pPr>
        <w:autoSpaceDE w:val="0"/>
        <w:autoSpaceDN w:val="0"/>
        <w:adjustRightInd w:val="0"/>
        <w:spacing w:line="264" w:lineRule="auto"/>
        <w:ind w:firstLine="720"/>
        <w:jc w:val="right"/>
        <w:rPr>
          <w:rFonts w:ascii="Arial" w:eastAsia="Times New Roman" w:hAnsi="Arial" w:cs="Arial"/>
          <w:b/>
          <w:bCs/>
          <w:szCs w:val="28"/>
          <w:lang w:eastAsia="ru-RU"/>
        </w:rPr>
      </w:pPr>
    </w:p>
    <w:p w14:paraId="4A0652FB"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eastAsia="ru-RU"/>
        </w:rPr>
        <w:t>ПРОБЛЕМИ ТЕОРІЇ ТА ПРАКТИКИ ВИКОРИСТАННЯ ІДЕНТИФІКАЦІЇ ОСОБИ ЗА ДОПОМОГОЮ ГОЛОСУ</w:t>
      </w:r>
    </w:p>
    <w:p w14:paraId="6FAA4990"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Наразі в період стрімкого розвитку інформаційних технологій та технологічного прогресу перевагу серед методів встановлення невідомої особи набувають біометричні методи ідентифікації. В межах нашого наукового пошуку пропонуємо зупинити свою увагу на питанні дослідження проблемних питань використання голосової біометрії - технології для створення біометричних голосових зліпків осіб, що дозволяє ідентифікувати особу за сукупністю унікальних характеристик голосу. Саме ця біометрія є ефективною та зручною у використанні. Уперше термін «біометрія» з’явився близько 1980 р. В енциклопедії сучасної України існує таке тлумачення терміна «біометрія» (від «біо» і «метрія») – наука про застосування методів математичної статистики для вивчення явищ життя [1]. Вона наглядно використовується в банківській сфері, службах підтримки, системах безпеки, «розумних» домівках тощо. Перший міжнародний патент на систему ідентифікації за голосом був поданий у 1983 р. дослідницьким телекомунікаційним центром CSELT (Італійська Республіка) за авторством Michele Cavazza та Alberto Ciaramella. У травні 2013 р. банківські підрозділи Barclays почали використовувати систему ідентифікації клієнтів по телефону протягом перших 30 секунд звичайної розмови. Система була розроблена кампанією Nuance. Сьогодні відомі такі розробники систем ідентифікації за голосом: Nuance, США; Nok Nok Labs; VoiceVault, американська компанія з центром досліджень та розробок у Сполученому Королівстві Великої Британії та Північної Ірландії; Sensory, Inc, Сполучені Штати Америки. Загально визнаним лідером ринку є компанія Nuance, їх </w:t>
      </w:r>
      <w:r w:rsidRPr="00511005">
        <w:rPr>
          <w:rFonts w:ascii="Arial" w:eastAsia="Times New Roman" w:hAnsi="Arial" w:cs="Arial"/>
          <w:szCs w:val="28"/>
          <w:lang w:eastAsia="ru-RU"/>
        </w:rPr>
        <w:lastRenderedPageBreak/>
        <w:t>рішення використовує «Аерофлот», розпізнавання мовлення Siri (Speech Interpretation and Recognition Interface) – персональний помічник та система питання-відповідь, розроблена для iOS. Цей додаток використовує обробку природного мовлення, щоб відповідати на запитання і давати рекомендації. Siri пристосовується до кожного користувача індивідуально, вивчаючи його переваги протягом тривалого часу. Однак оскільки голос особи може змінюватись залежно від ряду чинників, даний метод не є абсолютно точним [2].</w:t>
      </w:r>
    </w:p>
    <w:p w14:paraId="72D5061B"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Попри всі переваги голосової біометрії існують і проблеми теорії та практики використання ідентифікації особи за допомогою голосу, а саме: підробка голосу (наприклад, за допомогою дипфейків), вплив зовнішніх факторів (шум, емоційний стан користувача, хвороби) на якість розпізнавання. Також постають етичні питання щодо збереження приватності та згоди на обробку біометричних даних. Саме конфіденційність є нагальною проблемою використання голосової біометрії з-поміж всіх інших проблем. Для того, щоб дана технологія працювала ефективно та не мала недоліків, необхідно з’ясувати деталі цих проблем та знайти їх вирішення. </w:t>
      </w:r>
    </w:p>
    <w:p w14:paraId="7158301E"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Пропонуємо більш докладно дослідити зазначені нами вище проблемні питання дослідження голосу. Так, щодо підробки голосу варто зазначити, що Найчастіше це відбувається за допомогою діпфейків, які є досить небезпечним явищем – з їхньою допомогою можна приписати відомому артисту або політику висловлювання, якого він ніколи не робив. Були також прецеденти, за яких зловмисник дзвонив жертві і голосом друга просив терміново переказати гроші у зв’язку з якоюсь надзвичайною ситуацією [2]. Наразі досить поширеним стало використання штучного інтелекту, саме за допомогою нього зловмисники можуть легко підробити голос і зайти </w:t>
      </w:r>
      <w:proofErr w:type="gramStart"/>
      <w:r w:rsidRPr="00511005">
        <w:rPr>
          <w:rFonts w:ascii="Arial" w:eastAsia="Times New Roman" w:hAnsi="Arial" w:cs="Arial"/>
          <w:szCs w:val="28"/>
          <w:lang w:eastAsia="ru-RU"/>
        </w:rPr>
        <w:t>в будь</w:t>
      </w:r>
      <w:proofErr w:type="gramEnd"/>
      <w:r w:rsidRPr="00511005">
        <w:rPr>
          <w:rFonts w:ascii="Arial" w:eastAsia="Times New Roman" w:hAnsi="Arial" w:cs="Arial"/>
          <w:szCs w:val="28"/>
          <w:lang w:eastAsia="ru-RU"/>
        </w:rPr>
        <w:t xml:space="preserve">-яку систему за допомогою ідентифікації особи за голосом. Тому нагальним питанням залишається вирішення проблеми боротьби з діпфейками. Тобто це повинні бути такі системи, які б змогли побороти штучний інтелект, що є вкрай важким завданням. Але доцент кафедри комп’ютерних наук та інженерії Вашингтонського університету в Сент-Луїсі Нін Чжан запропонував технологію, яка значно ускладнює створення голосових діпфейків. Принцип роботи алгоритму AntiFake полягає у формуванні умов, за яких системі ШІ виявляється набагато складніше зчитувати ключові характеристики голосу під час запису розмови реальної людини. «В інструменті використовується техніка змагального ШІ, яку спочатку застосовували кіберзлочинці, але тепер ми спрямували її проти них. Ми трохи спотворюємо записаний аудіосигнал, створюючи збурення рівно тою мірою, щоб для людини він звучав так само, а для ШІ – зовсім інакше», – прокоментував свій проєкт пан Чжан. Це означає, що під час спроби створити діпфейк на основі зміненого у такий спосіб запису згенерований ШІ голос не буде схожий на голос людини у зразку. Як </w:t>
      </w:r>
      <w:r w:rsidRPr="00511005">
        <w:rPr>
          <w:rFonts w:ascii="Arial" w:eastAsia="Times New Roman" w:hAnsi="Arial" w:cs="Arial"/>
          <w:szCs w:val="28"/>
          <w:lang w:eastAsia="ru-RU"/>
        </w:rPr>
        <w:lastRenderedPageBreak/>
        <w:t>показали проведені випробування, алгоритм AntiFake на 95% ефективний для запобігання синтезу переконливих діпфейків. «Що буде з голосовими ШІ-технологіями далі, я не знаю – нові інструменти та функції розробляються постійно, – але все ж таки вважаю, що наша стратегія використання техніки противника проти нього самого так і залишиться ефективною», – підсумував автор проєкту [3].</w:t>
      </w:r>
    </w:p>
    <w:p w14:paraId="5F3AE7E8"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Другою проблемою є вплив зовнішніх факторів (шум, емоційний стан користувача, хвороби) на якість розпізнавання голосу. Щодо шуму, то це може бути – шум на вулиці, розмови інших людей, проїзд транспорту та інші технічні звуки. Саме шум знижує точність ідентифікації особи за допомогою голосу. Водночас до зовнішніх факторів належить емоційний стан користувача – злість, радість, смуток, стрес, збудження. Адже всі ці емоції змінюють голос користувача і тому це заважає точно розпізнати особу за допомогою голосу. Варто відзначити, що, наприклад, на тон голосу може впливати багато факторів, таких як хвороба, хрипота, втома, закладеність носу тощо, вказані фактори за певних умов можуть ускладнювати процес ідентифікації. </w:t>
      </w:r>
    </w:p>
    <w:p w14:paraId="71DF969B"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Вважаємо за доцільне в межах піднятої проблематики розглянути питання етичної складової використання голосової ідентифікації. Наразі через недосвідченість населення та недостатню поінформованість щодо використання новітніх технологій, діяльність яких базується на використанні голосових характеристик постає нагальна потреба в проведенні додаткових інформаційних заходів задля підвищення такої поінформованості, оскільки більшість осіб не усвідомлюють, що надають згоду на обробку своїх даних під час згоди на використання голосової ідентифікації у різноманітних додатках. А у разі витоку біометричних даних, особа може стати жертвою ідентифікаційного шахрайства, адже на відміну від пароля, голос неможливо «змінити на інший».</w:t>
      </w:r>
    </w:p>
    <w:p w14:paraId="29A1A4A8"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Щодо вирішення даних проблем теорії та практики використання ідентифікації особи за допомого голосу (голосова біометрія) важливо визначити основні шляхи. По-перше, це використання шумозахищених мікрофонів. Необхідно також розробити моделі, які будуть адаптивні до голосових змін користувача. Треба розробити цілу систему для обов’язкового отримання явно вираженої згоди на обробку біометричних даних, тобто для того, щоб користувачі усвідомлювали, що надають згоду на обробку своїх даних. Також необхідно встановити прозору політику зберігання та видалення голосових даних. Важливо забезпечити розробку механізмів для боротьби з діпфейками. Надважливим є введення етичної відповідальності розробників та організацій, які впроваджують дані технології. Ця відповідальність має бути на одному рівні з технологічною безпекою. Тому, щоб голосова біометрія могла бути безпечною та ефективно застосована у використанні, необхідне комплексне поєднання </w:t>
      </w:r>
      <w:r w:rsidRPr="00511005">
        <w:rPr>
          <w:rFonts w:ascii="Arial" w:eastAsia="Times New Roman" w:hAnsi="Arial" w:cs="Arial"/>
          <w:szCs w:val="28"/>
          <w:lang w:eastAsia="ru-RU"/>
        </w:rPr>
        <w:lastRenderedPageBreak/>
        <w:t xml:space="preserve">технологічного удосконалення, етичної відповідальності та законодавчої чіткості. </w:t>
      </w:r>
    </w:p>
    <w:p w14:paraId="39368DAF"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p>
    <w:p w14:paraId="7CE64571"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2902FC35" w14:textId="77777777" w:rsidR="00532C25" w:rsidRPr="00511005" w:rsidRDefault="00532C25" w:rsidP="003F6A5D">
      <w:pPr>
        <w:numPr>
          <w:ilvl w:val="0"/>
          <w:numId w:val="611"/>
        </w:numPr>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Енциклопедія сучасної України. </w:t>
      </w:r>
      <w:proofErr w:type="gramStart"/>
      <w:r w:rsidRPr="00511005">
        <w:rPr>
          <w:rFonts w:ascii="Arial" w:eastAsia="Times New Roman" w:hAnsi="Arial" w:cs="Arial"/>
          <w:szCs w:val="28"/>
          <w:lang w:eastAsia="ru-RU"/>
        </w:rPr>
        <w:t>URL :</w:t>
      </w:r>
      <w:proofErr w:type="gramEnd"/>
      <w:r w:rsidRPr="00511005">
        <w:rPr>
          <w:rFonts w:ascii="Arial" w:hAnsi="Arial" w:cs="Arial"/>
          <w:szCs w:val="28"/>
        </w:rPr>
        <w:fldChar w:fldCharType="begin"/>
      </w:r>
      <w:r w:rsidRPr="00511005">
        <w:rPr>
          <w:rFonts w:ascii="Arial" w:hAnsi="Arial" w:cs="Arial"/>
          <w:szCs w:val="28"/>
        </w:rPr>
        <w:instrText xml:space="preserve"> HYPERLINK "http://esu.com.ua/search_articles.php?id=35327" </w:instrText>
      </w:r>
      <w:r w:rsidRPr="00511005">
        <w:rPr>
          <w:rFonts w:ascii="Arial" w:hAnsi="Arial" w:cs="Arial"/>
          <w:szCs w:val="28"/>
        </w:rPr>
        <w:fldChar w:fldCharType="separate"/>
      </w:r>
      <w:r w:rsidRPr="00511005">
        <w:rPr>
          <w:rFonts w:ascii="Arial" w:eastAsia="Times New Roman" w:hAnsi="Arial" w:cs="Arial"/>
          <w:szCs w:val="28"/>
          <w:lang w:eastAsia="ru-RU"/>
        </w:rPr>
        <w:t>http://esu.com.ua/search_articles.php?id=35327</w:t>
      </w:r>
      <w:r w:rsidRPr="00511005">
        <w:rPr>
          <w:rFonts w:ascii="Arial" w:eastAsia="Times New Roman" w:hAnsi="Arial" w:cs="Arial"/>
          <w:szCs w:val="28"/>
          <w:lang w:eastAsia="ru-RU"/>
        </w:rPr>
        <w:fldChar w:fldCharType="end"/>
      </w:r>
      <w:r w:rsidRPr="00511005">
        <w:rPr>
          <w:rFonts w:ascii="Arial" w:eastAsia="Times New Roman" w:hAnsi="Arial" w:cs="Arial"/>
          <w:szCs w:val="28"/>
          <w:lang w:eastAsia="ru-RU"/>
        </w:rPr>
        <w:t xml:space="preserve">. </w:t>
      </w:r>
    </w:p>
    <w:p w14:paraId="72925657" w14:textId="77777777" w:rsidR="00532C25" w:rsidRPr="00511005" w:rsidRDefault="00532C25" w:rsidP="003F6A5D">
      <w:pPr>
        <w:numPr>
          <w:ilvl w:val="0"/>
          <w:numId w:val="611"/>
        </w:numPr>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Луценко Х. В., Нікулін К. В. Голосова ідентифікація диктора як один із сучасних біометричних методів ідентифікації особи. URL: </w:t>
      </w:r>
      <w:hyperlink r:id="rId1961" w:history="1">
        <w:r w:rsidRPr="00511005">
          <w:rPr>
            <w:rFonts w:ascii="Arial" w:eastAsia="Times New Roman" w:hAnsi="Arial" w:cs="Arial"/>
            <w:szCs w:val="28"/>
            <w:lang w:eastAsia="ru-RU"/>
          </w:rPr>
          <w:t>file:///C:/Users/user/Downloads/277-Article%20Text-514-1-10-20200402.pdf</w:t>
        </w:r>
      </w:hyperlink>
      <w:r w:rsidRPr="00511005">
        <w:rPr>
          <w:rFonts w:ascii="Arial" w:eastAsia="Times New Roman" w:hAnsi="Arial" w:cs="Arial"/>
          <w:szCs w:val="28"/>
          <w:lang w:eastAsia="ru-RU"/>
        </w:rPr>
        <w:t xml:space="preserve"> </w:t>
      </w:r>
    </w:p>
    <w:p w14:paraId="730746AE" w14:textId="77777777" w:rsidR="00532C25" w:rsidRPr="00511005" w:rsidRDefault="00532C25" w:rsidP="003F6A5D">
      <w:pPr>
        <w:numPr>
          <w:ilvl w:val="0"/>
          <w:numId w:val="611"/>
        </w:numPr>
        <w:autoSpaceDE w:val="0"/>
        <w:autoSpaceDN w:val="0"/>
        <w:adjustRightInd w:val="0"/>
        <w:spacing w:line="264" w:lineRule="auto"/>
        <w:ind w:left="0" w:firstLine="720"/>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Root Nation. Новини IT. Розроблено систему захисту голосу від створення діпфейків. </w:t>
      </w:r>
      <w:r w:rsidRPr="00511005">
        <w:rPr>
          <w:rFonts w:ascii="Arial" w:eastAsia="Times New Roman" w:hAnsi="Arial" w:cs="Arial"/>
          <w:szCs w:val="28"/>
          <w:lang w:val="pl-PL" w:eastAsia="ru-RU"/>
        </w:rPr>
        <w:t xml:space="preserve">URL: </w:t>
      </w:r>
      <w:r w:rsidR="005938AD">
        <w:fldChar w:fldCharType="begin"/>
      </w:r>
      <w:r w:rsidR="005938AD" w:rsidRPr="00055389">
        <w:rPr>
          <w:lang w:val="en-US"/>
        </w:rPr>
        <w:instrText xml:space="preserve"> HYPERLINK "https://root-nation.com/ua/news-ua/it-news-ua/ua-antifake-voice-deepfake-protection/" </w:instrText>
      </w:r>
      <w:r w:rsidR="005938AD">
        <w:fldChar w:fldCharType="separate"/>
      </w:r>
      <w:r w:rsidRPr="00511005">
        <w:rPr>
          <w:rFonts w:ascii="Arial" w:eastAsia="Times New Roman" w:hAnsi="Arial" w:cs="Arial"/>
          <w:szCs w:val="28"/>
          <w:lang w:val="pl-PL" w:eastAsia="ru-RU"/>
        </w:rPr>
        <w:t>https://root-nation.com/ua/news-ua/it-news-ua/ua-antifake-voice-deepfake-protection/</w:t>
      </w:r>
      <w:r w:rsidR="005938AD">
        <w:rPr>
          <w:rFonts w:ascii="Arial" w:eastAsia="Times New Roman" w:hAnsi="Arial" w:cs="Arial"/>
          <w:szCs w:val="28"/>
          <w:lang w:val="pl-PL" w:eastAsia="ru-RU"/>
        </w:rPr>
        <w:fldChar w:fldCharType="end"/>
      </w:r>
      <w:r w:rsidRPr="00511005">
        <w:rPr>
          <w:rFonts w:ascii="Arial" w:eastAsia="Times New Roman" w:hAnsi="Arial" w:cs="Arial"/>
          <w:szCs w:val="28"/>
          <w:lang w:val="pl-PL" w:eastAsia="ru-RU"/>
        </w:rPr>
        <w:t xml:space="preserve"> </w:t>
      </w:r>
    </w:p>
    <w:p w14:paraId="792F83CF" w14:textId="77777777" w:rsidR="00532C25" w:rsidRPr="00511005" w:rsidRDefault="00532C25" w:rsidP="00532C25">
      <w:pPr>
        <w:autoSpaceDE w:val="0"/>
        <w:autoSpaceDN w:val="0"/>
        <w:adjustRightInd w:val="0"/>
        <w:spacing w:line="264" w:lineRule="auto"/>
        <w:ind w:firstLine="720"/>
        <w:rPr>
          <w:rFonts w:ascii="Arial" w:eastAsia="Times New Roman" w:hAnsi="Arial" w:cs="Arial"/>
          <w:b/>
          <w:bCs/>
          <w:szCs w:val="28"/>
          <w:lang w:val="pl-PL" w:eastAsia="ru-RU"/>
        </w:rPr>
      </w:pPr>
    </w:p>
    <w:p w14:paraId="2EE08D1E"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eastAsia="ru-RU"/>
        </w:rPr>
        <w:t>ідентифікація, ідентифікація особи за допомогою голосу.</w:t>
      </w:r>
    </w:p>
    <w:p w14:paraId="7792878B"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identification, voice recognition.</w:t>
      </w:r>
    </w:p>
    <w:p w14:paraId="4B66E2EC" w14:textId="77777777" w:rsidR="00532C25" w:rsidRPr="00055389"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eastAsia="ru-RU"/>
        </w:rPr>
        <w:t>асистент</w:t>
      </w:r>
      <w:r w:rsidRPr="00055389">
        <w:rPr>
          <w:rFonts w:ascii="Arial" w:eastAsia="Times New Roman" w:hAnsi="Arial" w:cs="Arial"/>
          <w:i/>
          <w:iCs/>
          <w:szCs w:val="28"/>
          <w:lang w:eastAsia="ru-RU"/>
        </w:rPr>
        <w:t xml:space="preserve"> </w:t>
      </w:r>
      <w:r w:rsidRPr="00511005">
        <w:rPr>
          <w:rFonts w:ascii="Arial" w:eastAsia="Times New Roman" w:hAnsi="Arial" w:cs="Arial"/>
          <w:i/>
          <w:iCs/>
          <w:szCs w:val="28"/>
          <w:lang w:eastAsia="ru-RU"/>
        </w:rPr>
        <w:t>Мурашко</w:t>
      </w:r>
      <w:r w:rsidRPr="00055389">
        <w:rPr>
          <w:rFonts w:ascii="Arial" w:eastAsia="Times New Roman" w:hAnsi="Arial" w:cs="Arial"/>
          <w:i/>
          <w:iCs/>
          <w:szCs w:val="28"/>
          <w:lang w:eastAsia="ru-RU"/>
        </w:rPr>
        <w:t xml:space="preserve"> </w:t>
      </w:r>
      <w:r w:rsidRPr="00511005">
        <w:rPr>
          <w:rFonts w:ascii="Arial" w:eastAsia="Times New Roman" w:hAnsi="Arial" w:cs="Arial"/>
          <w:i/>
          <w:iCs/>
          <w:szCs w:val="28"/>
          <w:lang w:eastAsia="ru-RU"/>
        </w:rPr>
        <w:t>А</w:t>
      </w:r>
      <w:r w:rsidRPr="00511005">
        <w:rPr>
          <w:rFonts w:ascii="Arial" w:eastAsia="Times New Roman" w:hAnsi="Arial" w:cs="Arial"/>
          <w:i/>
          <w:iCs/>
          <w:szCs w:val="28"/>
          <w:lang w:val="uk-UA" w:eastAsia="ru-RU"/>
        </w:rPr>
        <w:t>.С</w:t>
      </w:r>
      <w:r w:rsidRPr="00055389">
        <w:rPr>
          <w:rFonts w:ascii="Arial" w:eastAsia="Times New Roman" w:hAnsi="Arial" w:cs="Arial"/>
          <w:i/>
          <w:iCs/>
          <w:szCs w:val="28"/>
          <w:lang w:eastAsia="ru-RU"/>
        </w:rPr>
        <w:t>.</w:t>
      </w:r>
    </w:p>
    <w:p w14:paraId="451C424A" w14:textId="77777777" w:rsidR="00532C25" w:rsidRPr="00055389" w:rsidRDefault="00532C25" w:rsidP="00532C25">
      <w:pPr>
        <w:autoSpaceDE w:val="0"/>
        <w:autoSpaceDN w:val="0"/>
        <w:adjustRightInd w:val="0"/>
        <w:spacing w:line="264" w:lineRule="auto"/>
        <w:ind w:firstLine="720"/>
        <w:rPr>
          <w:rFonts w:ascii="Arial" w:eastAsia="Times New Roman" w:hAnsi="Arial" w:cs="Arial"/>
          <w:szCs w:val="28"/>
          <w:lang w:eastAsia="ru-RU"/>
        </w:rPr>
      </w:pPr>
    </w:p>
    <w:p w14:paraId="6827E074"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Загребнюк Дар’я Михайлівна</w:t>
      </w:r>
    </w:p>
    <w:p w14:paraId="5CDABE98"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1-го курсу магістратури факультету судового та міжнародного права</w:t>
      </w:r>
    </w:p>
    <w:p w14:paraId="4ECEC21B"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6CF96D6F" w14:textId="77777777" w:rsidR="00532C25" w:rsidRPr="00511005" w:rsidRDefault="00532C25" w:rsidP="00532C25">
      <w:pPr>
        <w:spacing w:line="264" w:lineRule="auto"/>
        <w:ind w:firstLine="720"/>
        <w:jc w:val="left"/>
        <w:rPr>
          <w:rFonts w:ascii="Arial" w:eastAsia="Calibri" w:hAnsi="Arial" w:cs="Arial"/>
          <w:szCs w:val="28"/>
          <w:lang w:val="uk-UA"/>
        </w:rPr>
      </w:pPr>
    </w:p>
    <w:p w14:paraId="37E81D2E"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ЩОДО РОЗСЛІДУВАННЯ КРИМІНАЛЬНИХ ПРАВОПОРУШЕНЬ ПРОТИ КУЛЬТУРНИХ ЦІННОСТЕЙ В УМОВАХ ЗБРОЙНОГО КОНФЛІКТУ</w:t>
      </w:r>
    </w:p>
    <w:p w14:paraId="5EB4503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Повномасштабна агресія рф проти України призвела до безпрецедентних масштабів руйнування об’єктів культурної спадщини. Пошкодження та знищення пам’яток культури стали не лише наслідком бойових дій, але й цілеспрямованою стратегією ворога, що підпадає під ознаки воєнних злочинів відповідно до норм міжнародного гуманітарного права. У цьому контексті особливої важливості набувають питання кваліфікації таких діянь як кримінальних правопорушень та забезпечення їх належного розслідування.</w:t>
      </w:r>
    </w:p>
    <w:p w14:paraId="46772EE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Належна правова оцінка злочинів проти культурної спадщини неможлива без аналізу нормативно-правової бази, що регулює захист культурних цінностей в період збройних конфліктів. Основним нормативним документом на міжнародному рівні є Гаазька конвенція про захист культурних цінностей у разі збройного конфлікту 1954 та протоколи до неї. Разом ці три договори забезпечують детальну міжнародно-правову базу для захисту культурних цінностей під час збройних конфліктів, включаючи воєнну окупацію</w:t>
      </w:r>
      <w:r w:rsidRPr="00511005">
        <w:rPr>
          <w:rFonts w:ascii="Arial" w:eastAsia="Calibri" w:hAnsi="Arial" w:cs="Arial"/>
          <w:szCs w:val="28"/>
        </w:rPr>
        <w:t xml:space="preserve"> [1]</w:t>
      </w:r>
      <w:r w:rsidRPr="00511005">
        <w:rPr>
          <w:rFonts w:ascii="Arial" w:eastAsia="Calibri" w:hAnsi="Arial" w:cs="Arial"/>
          <w:szCs w:val="28"/>
          <w:lang w:val="uk-UA"/>
        </w:rPr>
        <w:t xml:space="preserve">. </w:t>
      </w:r>
    </w:p>
    <w:p w14:paraId="654ECEE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В законодавстві України відсутня окрема норма щодо захисту культурних цінностей в умовах збройного конфлікту, однак положення статті 438 Кримінального кодексу України, яка передбачає кримінальну відповідальність за порушення законів і звичаїв війни, може застосовуватися до кваліфікації відповідних злочинів.</w:t>
      </w:r>
    </w:p>
    <w:p w14:paraId="1B6420E1"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При кваліфікації кримінальних правопорушень пов’язаних з пошкодженням або знищенням культурних цінностей, в першу чергу необхідно звернути увагу, чи має об’єкт правопорушення статус культурної цінності. Гаазька конвенція 1954 року надає визначення культурних цінностей через наведений перелік об’єктів, які підпадають під особливу охорону. На практиці таке широке визначення, означає, що всі об’єкти, які охороняються згідно з національним законодавством як культурні цінності, повинні мати захист за міжнародним гуманітарним правом</w:t>
      </w:r>
      <w:r w:rsidRPr="00511005">
        <w:rPr>
          <w:rFonts w:ascii="Arial" w:eastAsia="Calibri" w:hAnsi="Arial" w:cs="Arial"/>
          <w:szCs w:val="28"/>
        </w:rPr>
        <w:t xml:space="preserve"> [2].</w:t>
      </w:r>
    </w:p>
    <w:p w14:paraId="6B4E0A9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Слід звернути увагу, що сам по собі процес розслідування злочинів проти культурних цінностей супроводжується значними викликами, які пов’язані з умовами збройного конфлікту. До таких проблем можна віднести складність проведення розслідування в районах бойових дій, ризик втрати доказової бази, а також за певних обставин обмежений доступ до місця вчинення злочинів.</w:t>
      </w:r>
    </w:p>
    <w:p w14:paraId="2BFA0FB0"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В таких умовах особливого значення у процесі кваліфікації та розслідування злочинів проти культурних цінностей, відіграє правильне та вчасне документування фактів руйнувань. Зокрема, фіксація вчинених кримінальних правопорушень має включати в себе фото- та відеозйомку пошкоджених об’єктів, складання актів обстеження об’єктів, збирання свідчень очевидців, а також за можливості використання супутникових знімків. При цьому при здійсненні такого документування, важливо дотримуватися міжнародних стандартів, аби надалі зібрані докази могли бути використанні у подальших судових процесах</w:t>
      </w:r>
      <w:r w:rsidRPr="00511005">
        <w:rPr>
          <w:rFonts w:ascii="Arial" w:eastAsia="Calibri" w:hAnsi="Arial" w:cs="Arial"/>
          <w:szCs w:val="28"/>
        </w:rPr>
        <w:t xml:space="preserve"> [2].</w:t>
      </w:r>
    </w:p>
    <w:p w14:paraId="3338A71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Також, у контексті ефективного розслідування фактів пошкодження об’єктів культурної цінності особливе значення набуває взаємодія з міжнародними організаціями, правоохоронними органами інших держав та іншими структурами, які можуть мати інформацію про викрадені або пошкоджені культурні цінності. Така співпраця дозволить розширити можливості щодо пошуку та повернення об’єктів, які мають культурну цінність.</w:t>
      </w:r>
    </w:p>
    <w:p w14:paraId="1F6EA9C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Враховуючи особливості кваліфікації та розслідування злочинів спрямованих проти культурних цінностей в умовах збройного конфлікту, варто звернути увагу на міжнародні механізми притягнення до кримінальної відповідальності.</w:t>
      </w:r>
    </w:p>
    <w:p w14:paraId="7374B06D"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 xml:space="preserve">У цьому контексті, окремо, слід розглянути питання кваліфікації знищення або пошкодження культурних цінностей за Римським статутом Міжнародного кримінального суду. Зокрема, за ним такі кримінальні </w:t>
      </w:r>
      <w:r w:rsidRPr="00511005">
        <w:rPr>
          <w:rFonts w:ascii="Arial" w:eastAsia="Calibri" w:hAnsi="Arial" w:cs="Arial"/>
          <w:szCs w:val="28"/>
          <w:lang w:val="uk-UA"/>
        </w:rPr>
        <w:lastRenderedPageBreak/>
        <w:t>правопорушення кваліфікуються як різновид воєнних злочинів. Водночас Офіс Прокурора МКС у своїй політиці щодо культурної спадщини наголошує, що акти проти культурних цінностей також можуть бути складовою частиною інших злочинів проти людяності</w:t>
      </w:r>
      <w:r w:rsidRPr="00511005">
        <w:rPr>
          <w:rFonts w:ascii="Arial" w:eastAsia="Calibri" w:hAnsi="Arial" w:cs="Arial"/>
          <w:szCs w:val="28"/>
        </w:rPr>
        <w:t xml:space="preserve"> [2]. </w:t>
      </w:r>
    </w:p>
    <w:p w14:paraId="5EA1441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Однак, незважаючи на важливість захисту культурних цінностей, практика з розгляду Судом таких злочинів, обмежується лише однією справою – Аль Махді. За результатами цієї справи можна зробити висновок, що МКС тлумачить порушення відповідних положень Римського статуту як напад на захищений об’єкт, що призводить до його повного або часткового руйнування</w:t>
      </w:r>
      <w:r w:rsidRPr="00511005">
        <w:rPr>
          <w:rFonts w:ascii="Arial" w:eastAsia="Calibri" w:hAnsi="Arial" w:cs="Arial"/>
          <w:szCs w:val="28"/>
        </w:rPr>
        <w:t xml:space="preserve"> [3]</w:t>
      </w:r>
      <w:r w:rsidRPr="00511005">
        <w:rPr>
          <w:rFonts w:ascii="Arial" w:eastAsia="Calibri" w:hAnsi="Arial" w:cs="Arial"/>
          <w:szCs w:val="28"/>
          <w:lang w:val="uk-UA"/>
        </w:rPr>
        <w:t>. Зокрема, у цьому випадку Суд кваліфікував дії, які були пов’язані з умисним керуванням нападів на релігійні та історичні будівлі, саме як воєнний злочин [4].</w:t>
      </w:r>
    </w:p>
    <w:p w14:paraId="6BBD7E1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Отже, враховуючи масштаб руйнувань, спричинених агресією, та зростаючу роль культурної спадщини як частини національної ідентичності, належні кваліфікація та розслідування кримінальних правопорушень, пов’язаних зі знищенням або пошкодженням культурних цінностей в умовах збройного конфлікту, набувають особливого значення в умовах сьогодення. </w:t>
      </w:r>
    </w:p>
    <w:p w14:paraId="5F9C3058" w14:textId="77777777" w:rsidR="00532C25" w:rsidRPr="00511005" w:rsidRDefault="00532C25" w:rsidP="00532C25">
      <w:pPr>
        <w:spacing w:line="264" w:lineRule="auto"/>
        <w:ind w:firstLine="720"/>
        <w:rPr>
          <w:rFonts w:ascii="Arial" w:eastAsia="Calibri" w:hAnsi="Arial" w:cs="Arial"/>
          <w:szCs w:val="28"/>
          <w:lang w:val="uk-UA"/>
        </w:rPr>
      </w:pPr>
    </w:p>
    <w:p w14:paraId="05F78C18"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04C62C5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1. Захист культурних цінностей: військові настанови. Париж : UNESCO, 2016. 120 с. URL: </w:t>
      </w:r>
      <w:hyperlink r:id="rId1962" w:tgtFrame="_blank" w:history="1">
        <w:r w:rsidRPr="00511005">
          <w:rPr>
            <w:rFonts w:ascii="Arial" w:eastAsia="Calibri" w:hAnsi="Arial" w:cs="Arial"/>
            <w:szCs w:val="28"/>
            <w:lang w:val="uk-UA"/>
          </w:rPr>
          <w:t>https://unesdoc.unesco.org/ark:/48223/pf0000388298</w:t>
        </w:r>
      </w:hyperlink>
    </w:p>
    <w:p w14:paraId="419EF0B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2. Коваль Д., Слободянюк М. Посібник з документування руйнувань та пошкоджень культурних цінностей внаслідок збройного конфлікту. 2023. 20 с. URL: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truth</w:instrText>
      </w:r>
      <w:r w:rsidR="005938AD" w:rsidRPr="00055389">
        <w:rPr>
          <w:lang w:val="uk-UA"/>
        </w:rPr>
        <w:instrText>-</w:instrText>
      </w:r>
      <w:r w:rsidR="005938AD">
        <w:instrText>hounds</w:instrText>
      </w:r>
      <w:r w:rsidR="005938AD" w:rsidRPr="00055389">
        <w:rPr>
          <w:lang w:val="uk-UA"/>
        </w:rPr>
        <w:instrText>.</w:instrText>
      </w:r>
      <w:r w:rsidR="005938AD">
        <w:instrText>org</w:instrText>
      </w:r>
      <w:r w:rsidR="005938AD" w:rsidRPr="00055389">
        <w:rPr>
          <w:lang w:val="uk-UA"/>
        </w:rPr>
        <w:instrText>/</w:instrText>
      </w:r>
      <w:r w:rsidR="005938AD">
        <w:instrText>wp</w:instrText>
      </w:r>
      <w:r w:rsidR="005938AD" w:rsidRPr="00055389">
        <w:rPr>
          <w:lang w:val="uk-UA"/>
        </w:rPr>
        <w:instrText>-</w:instrText>
      </w:r>
      <w:r w:rsidR="005938AD">
        <w:instrText>content</w:instrText>
      </w:r>
      <w:r w:rsidR="005938AD" w:rsidRPr="00055389">
        <w:rPr>
          <w:lang w:val="uk-UA"/>
        </w:rPr>
        <w:instrText>/</w:instrText>
      </w:r>
      <w:r w:rsidR="005938AD">
        <w:instrText>uploads</w:instrText>
      </w:r>
      <w:r w:rsidR="005938AD" w:rsidRPr="00055389">
        <w:rPr>
          <w:lang w:val="uk-UA"/>
        </w:rPr>
        <w:instrText>/2022/11/</w:instrText>
      </w:r>
      <w:r w:rsidR="005938AD">
        <w:instrText>yak</w:instrText>
      </w:r>
      <w:r w:rsidR="005938AD" w:rsidRPr="00055389">
        <w:rPr>
          <w:lang w:val="uk-UA"/>
        </w:rPr>
        <w:instrText>-</w:instrText>
      </w:r>
      <w:r w:rsidR="005938AD">
        <w:instrText>pravylno</w:instrText>
      </w:r>
      <w:r w:rsidR="005938AD" w:rsidRPr="00055389">
        <w:rPr>
          <w:lang w:val="uk-UA"/>
        </w:rPr>
        <w:instrText>-</w:instrText>
      </w:r>
      <w:r w:rsidR="005938AD">
        <w:instrText>dokumentuvaty</w:instrText>
      </w:r>
      <w:r w:rsidR="005938AD" w:rsidRPr="00055389">
        <w:rPr>
          <w:lang w:val="uk-UA"/>
        </w:rPr>
        <w:instrText>-</w:instrText>
      </w:r>
      <w:r w:rsidR="005938AD">
        <w:instrText>rujnuvannya</w:instrText>
      </w:r>
      <w:r w:rsidR="005938AD" w:rsidRPr="00055389">
        <w:rPr>
          <w:lang w:val="uk-UA"/>
        </w:rPr>
        <w:instrText>-</w:instrText>
      </w:r>
      <w:r w:rsidR="005938AD">
        <w:instrText>kulturnyh</w:instrText>
      </w:r>
      <w:r w:rsidR="005938AD" w:rsidRPr="00055389">
        <w:rPr>
          <w:lang w:val="uk-UA"/>
        </w:rPr>
        <w:instrText>-</w:instrText>
      </w:r>
      <w:r w:rsidR="005938AD">
        <w:instrText>czinnostej</w:instrText>
      </w:r>
      <w:r w:rsidR="005938AD" w:rsidRPr="00055389">
        <w:rPr>
          <w:lang w:val="uk-UA"/>
        </w:rPr>
        <w:instrText>.</w:instrText>
      </w:r>
      <w:r w:rsidR="005938AD">
        <w:instrText>pdf</w:instrText>
      </w:r>
      <w:r w:rsidR="005938AD" w:rsidRPr="00055389">
        <w:rPr>
          <w:lang w:val="uk-UA"/>
        </w:rPr>
        <w:instrText>" \</w:instrText>
      </w:r>
      <w:r w:rsidR="005938AD">
        <w:instrText>t</w:instrText>
      </w:r>
      <w:r w:rsidR="005938AD" w:rsidRPr="00055389">
        <w:rPr>
          <w:lang w:val="uk-UA"/>
        </w:rPr>
        <w:instrText xml:space="preserve"> "_</w:instrText>
      </w:r>
      <w:r w:rsidR="005938AD">
        <w:instrText>blank</w:instrText>
      </w:r>
      <w:r w:rsidR="005938AD" w:rsidRPr="00055389">
        <w:rPr>
          <w:lang w:val="uk-UA"/>
        </w:rPr>
        <w:instrText xml:space="preserve">" </w:instrText>
      </w:r>
      <w:r w:rsidR="005938AD">
        <w:fldChar w:fldCharType="separate"/>
      </w:r>
      <w:r w:rsidRPr="00511005">
        <w:rPr>
          <w:rFonts w:ascii="Arial" w:eastAsia="Calibri" w:hAnsi="Arial" w:cs="Arial"/>
          <w:szCs w:val="28"/>
          <w:lang w:val="uk-UA"/>
        </w:rPr>
        <w:t>https://truth-hounds.org/wp-content/uploads/2022/11/yak-pravylno-dokumentuvaty-rujnuvannya-kulturnyh-czinnostej.pdf</w:t>
      </w:r>
      <w:r w:rsidR="005938AD">
        <w:rPr>
          <w:rFonts w:ascii="Arial" w:eastAsia="Calibri" w:hAnsi="Arial" w:cs="Arial"/>
          <w:szCs w:val="28"/>
          <w:lang w:val="uk-UA"/>
        </w:rPr>
        <w:fldChar w:fldCharType="end"/>
      </w:r>
    </w:p>
    <w:p w14:paraId="0985C61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3. Андреюк Є., Бусол К., Коваль Д. Міжнародні механізми захисту культурних цінностей на окупованих територіях. Київ, 2019. 38 с. URL: </w:t>
      </w:r>
      <w:hyperlink r:id="rId1963" w:tgtFrame="_blank" w:history="1">
        <w:r w:rsidRPr="00511005">
          <w:rPr>
            <w:rFonts w:ascii="Arial" w:eastAsia="Calibri" w:hAnsi="Arial" w:cs="Arial"/>
            <w:szCs w:val="28"/>
            <w:lang w:val="uk-UA"/>
          </w:rPr>
          <w:t>https://ciss.org.ua/files/site/page_file/tfileebfe6a91d8d87c5afa890071ac5c037b.pdf</w:t>
        </w:r>
      </w:hyperlink>
      <w:r w:rsidRPr="00511005">
        <w:rPr>
          <w:rFonts w:ascii="Arial" w:eastAsia="Calibri" w:hAnsi="Arial" w:cs="Arial"/>
          <w:szCs w:val="28"/>
          <w:lang w:val="uk-UA"/>
        </w:rPr>
        <w:t xml:space="preserve"> </w:t>
      </w:r>
    </w:p>
    <w:p w14:paraId="6C0E4FB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4. Міжнародний кримінальний суд. Справа: Прокурор проти Ахмада аль-Факі аль-Махді . </w:t>
      </w:r>
      <w:r w:rsidRPr="00511005">
        <w:rPr>
          <w:rFonts w:ascii="Arial" w:eastAsia="Calibri" w:hAnsi="Arial" w:cs="Arial"/>
          <w:szCs w:val="28"/>
          <w:lang w:val="en-US"/>
        </w:rPr>
        <w:t>URL</w:t>
      </w:r>
      <w:r w:rsidRPr="00511005">
        <w:rPr>
          <w:rFonts w:ascii="Arial" w:eastAsia="Calibri" w:hAnsi="Arial" w:cs="Arial"/>
          <w:szCs w:val="28"/>
          <w:lang w:val="uk-UA"/>
        </w:rPr>
        <w:t xml:space="preserve">: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www</w:instrText>
      </w:r>
      <w:r w:rsidR="005938AD" w:rsidRPr="00055389">
        <w:rPr>
          <w:lang w:val="uk-UA"/>
        </w:rPr>
        <w:instrText>.</w:instrText>
      </w:r>
      <w:r w:rsidR="005938AD">
        <w:instrText>icc</w:instrText>
      </w:r>
      <w:r w:rsidR="005938AD" w:rsidRPr="00055389">
        <w:rPr>
          <w:lang w:val="uk-UA"/>
        </w:rPr>
        <w:instrText>-</w:instrText>
      </w:r>
      <w:r w:rsidR="005938AD">
        <w:instrText>cpi</w:instrText>
      </w:r>
      <w:r w:rsidR="005938AD" w:rsidRPr="00055389">
        <w:rPr>
          <w:lang w:val="uk-UA"/>
        </w:rPr>
        <w:instrText>.</w:instrText>
      </w:r>
      <w:r w:rsidR="005938AD">
        <w:instrText>int</w:instrText>
      </w:r>
      <w:r w:rsidR="005938AD" w:rsidRPr="00055389">
        <w:rPr>
          <w:lang w:val="uk-UA"/>
        </w:rPr>
        <w:instrText>/</w:instrText>
      </w:r>
      <w:r w:rsidR="005938AD">
        <w:instrText>mali</w:instrText>
      </w:r>
      <w:r w:rsidR="005938AD" w:rsidRPr="00055389">
        <w:rPr>
          <w:lang w:val="uk-UA"/>
        </w:rPr>
        <w:instrText>/</w:instrText>
      </w:r>
      <w:r w:rsidR="005938AD">
        <w:instrText>al</w:instrText>
      </w:r>
      <w:r w:rsidR="005938AD" w:rsidRPr="00055389">
        <w:rPr>
          <w:lang w:val="uk-UA"/>
        </w:rPr>
        <w:instrText>-</w:instrText>
      </w:r>
      <w:r w:rsidR="005938AD">
        <w:instrText>mahdi</w:instrText>
      </w:r>
      <w:r w:rsidR="005938AD" w:rsidRPr="00055389">
        <w:rPr>
          <w:lang w:val="uk-UA"/>
        </w:rPr>
        <w:instrText xml:space="preserve">" </w:instrText>
      </w:r>
      <w:r w:rsidR="005938AD">
        <w:fldChar w:fldCharType="separate"/>
      </w:r>
      <w:r w:rsidRPr="00511005">
        <w:rPr>
          <w:rFonts w:ascii="Arial" w:eastAsia="Calibri" w:hAnsi="Arial" w:cs="Arial"/>
          <w:szCs w:val="28"/>
          <w:lang w:val="uk-UA"/>
        </w:rPr>
        <w:t>https://www.icc-cpi.int/mali/al-mahdi</w:t>
      </w:r>
      <w:r w:rsidR="005938AD">
        <w:rPr>
          <w:rFonts w:ascii="Arial" w:eastAsia="Calibri" w:hAnsi="Arial" w:cs="Arial"/>
          <w:szCs w:val="28"/>
          <w:lang w:val="uk-UA"/>
        </w:rPr>
        <w:fldChar w:fldCharType="end"/>
      </w:r>
      <w:r w:rsidRPr="00511005">
        <w:rPr>
          <w:rFonts w:ascii="Arial" w:eastAsia="Calibri" w:hAnsi="Arial" w:cs="Arial"/>
          <w:szCs w:val="28"/>
          <w:lang w:val="uk-UA"/>
        </w:rPr>
        <w:t xml:space="preserve"> </w:t>
      </w:r>
    </w:p>
    <w:p w14:paraId="7C1582CF" w14:textId="77777777" w:rsidR="00532C25" w:rsidRPr="00511005" w:rsidRDefault="00532C25" w:rsidP="00532C25">
      <w:pPr>
        <w:spacing w:line="264" w:lineRule="auto"/>
        <w:ind w:firstLine="720"/>
        <w:rPr>
          <w:rFonts w:ascii="Arial" w:eastAsia="Calibri" w:hAnsi="Arial" w:cs="Arial"/>
          <w:szCs w:val="28"/>
          <w:lang w:val="uk-UA"/>
        </w:rPr>
      </w:pPr>
    </w:p>
    <w:p w14:paraId="6048434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культурні цінності, збройний конфлікт, воєнні злочини, розслідування, кваліфікація, відповідальність.</w:t>
      </w:r>
    </w:p>
    <w:p w14:paraId="4F4A9D70" w14:textId="77777777" w:rsidR="00532C25" w:rsidRPr="00511005" w:rsidRDefault="00532C25" w:rsidP="00532C25">
      <w:pPr>
        <w:spacing w:line="264" w:lineRule="auto"/>
        <w:ind w:firstLine="720"/>
        <w:rPr>
          <w:rFonts w:ascii="Arial" w:eastAsia="Calibri" w:hAnsi="Arial" w:cs="Arial"/>
          <w:b/>
          <w:szCs w:val="28"/>
          <w:lang w:val="uk-UA"/>
        </w:rPr>
      </w:pPr>
      <w:r w:rsidRPr="00511005">
        <w:rPr>
          <w:rFonts w:ascii="Arial" w:eastAsia="Calibri" w:hAnsi="Arial" w:cs="Arial"/>
          <w:b/>
          <w:i/>
          <w:szCs w:val="28"/>
          <w:lang w:val="en-US"/>
        </w:rPr>
        <w:t xml:space="preserve">Key words: </w:t>
      </w:r>
      <w:r w:rsidRPr="00511005">
        <w:rPr>
          <w:rFonts w:ascii="Arial" w:eastAsia="Calibri" w:hAnsi="Arial" w:cs="Arial"/>
          <w:szCs w:val="28"/>
          <w:lang w:val="en-US"/>
        </w:rPr>
        <w:t>cultural values, armed conflict, war crimes, investigation, qualification, responsibility.</w:t>
      </w:r>
    </w:p>
    <w:p w14:paraId="7C86C1ED" w14:textId="77777777" w:rsidR="00532C25" w:rsidRPr="00511005" w:rsidRDefault="00532C25" w:rsidP="00532C25">
      <w:pPr>
        <w:keepNext/>
        <w:spacing w:line="264" w:lineRule="auto"/>
        <w:ind w:firstLine="72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i/>
          <w:iCs/>
          <w:szCs w:val="28"/>
          <w:lang w:val="uk-UA"/>
        </w:rPr>
        <w:t>к.ю.н., доцент Шершенькова В.А.</w:t>
      </w:r>
    </w:p>
    <w:p w14:paraId="58CAA50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uk-UA" w:eastAsia="ru-RU"/>
        </w:rPr>
      </w:pPr>
    </w:p>
    <w:p w14:paraId="712A9240" w14:textId="77777777" w:rsidR="00532C25" w:rsidRPr="00511005" w:rsidRDefault="00532C25" w:rsidP="00532C25">
      <w:pPr>
        <w:tabs>
          <w:tab w:val="left" w:pos="-1985"/>
        </w:tabs>
        <w:autoSpaceDE w:val="0"/>
        <w:autoSpaceDN w:val="0"/>
        <w:adjustRightInd w:val="0"/>
        <w:spacing w:line="264" w:lineRule="auto"/>
        <w:ind w:firstLine="720"/>
        <w:jc w:val="center"/>
        <w:rPr>
          <w:rFonts w:ascii="Arial" w:eastAsia="Times New Roman" w:hAnsi="Arial" w:cs="Arial"/>
          <w:b/>
          <w:bCs/>
          <w:i/>
          <w:iCs/>
          <w:szCs w:val="28"/>
          <w:lang w:eastAsia="ru-RU"/>
        </w:rPr>
      </w:pPr>
    </w:p>
    <w:p w14:paraId="093999BD" w14:textId="77777777" w:rsidR="00532C25" w:rsidRPr="00511005" w:rsidRDefault="00532C25" w:rsidP="00532C25">
      <w:pPr>
        <w:tabs>
          <w:tab w:val="left" w:pos="-1985"/>
        </w:tabs>
        <w:autoSpaceDE w:val="0"/>
        <w:autoSpaceDN w:val="0"/>
        <w:adjustRightInd w:val="0"/>
        <w:spacing w:line="264" w:lineRule="auto"/>
        <w:ind w:firstLine="720"/>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Задорожна Єлізавета Володимирівна</w:t>
      </w:r>
    </w:p>
    <w:p w14:paraId="01CB9E23"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7B7E5A36"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957BDFC"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lastRenderedPageBreak/>
        <w:t>Національного університету «Одеська юридична академія»</w:t>
      </w:r>
    </w:p>
    <w:p w14:paraId="76203A65" w14:textId="77777777" w:rsidR="00532C25" w:rsidRPr="00511005" w:rsidRDefault="00532C25" w:rsidP="00532C25">
      <w:pPr>
        <w:tabs>
          <w:tab w:val="left" w:pos="-1985"/>
        </w:tabs>
        <w:autoSpaceDE w:val="0"/>
        <w:autoSpaceDN w:val="0"/>
        <w:adjustRightInd w:val="0"/>
        <w:spacing w:line="264" w:lineRule="auto"/>
        <w:ind w:firstLine="720"/>
        <w:jc w:val="center"/>
        <w:rPr>
          <w:rFonts w:ascii="Arial" w:eastAsia="Times New Roman" w:hAnsi="Arial" w:cs="Arial"/>
          <w:b/>
          <w:bCs/>
          <w:szCs w:val="28"/>
          <w:lang w:eastAsia="ru-RU"/>
        </w:rPr>
      </w:pPr>
    </w:p>
    <w:p w14:paraId="4D6D2A54" w14:textId="77777777" w:rsidR="00532C25" w:rsidRPr="00511005" w:rsidRDefault="00532C25" w:rsidP="00532C25">
      <w:pPr>
        <w:tabs>
          <w:tab w:val="left" w:pos="-1985"/>
        </w:tabs>
        <w:autoSpaceDE w:val="0"/>
        <w:autoSpaceDN w:val="0"/>
        <w:adjustRightInd w:val="0"/>
        <w:spacing w:line="264" w:lineRule="auto"/>
        <w:ind w:firstLine="720"/>
        <w:jc w:val="center"/>
        <w:rPr>
          <w:rFonts w:ascii="Arial" w:eastAsia="Times New Roman" w:hAnsi="Arial" w:cs="Arial"/>
          <w:szCs w:val="28"/>
          <w:lang w:eastAsia="ru-RU"/>
        </w:rPr>
      </w:pPr>
      <w:r w:rsidRPr="00511005">
        <w:rPr>
          <w:rFonts w:ascii="Arial" w:eastAsia="Times New Roman" w:hAnsi="Arial" w:cs="Arial"/>
          <w:b/>
          <w:bCs/>
          <w:szCs w:val="28"/>
          <w:lang w:eastAsia="ru-RU"/>
        </w:rPr>
        <w:t>РОЛЬ СЛІДЧИХ ВЕРСІЙ У ВИКРИТТІ КОРУПЦІЙНИХ СХЕМ У ДЕРЖАВНОМУ СЕКТОРІ</w:t>
      </w:r>
    </w:p>
    <w:p w14:paraId="6FFDB93F" w14:textId="77777777" w:rsidR="00532C25" w:rsidRPr="00511005" w:rsidRDefault="00532C25" w:rsidP="00532C25">
      <w:pPr>
        <w:tabs>
          <w:tab w:val="left" w:pos="-1985"/>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b/>
          <w:bCs/>
          <w:szCs w:val="28"/>
          <w:lang w:eastAsia="ru-RU"/>
        </w:rPr>
        <w:t>Актуальність дослідження</w:t>
      </w:r>
      <w:r w:rsidRPr="00511005">
        <w:rPr>
          <w:rFonts w:ascii="Arial" w:eastAsia="Times New Roman" w:hAnsi="Arial" w:cs="Arial"/>
          <w:szCs w:val="28"/>
          <w:lang w:eastAsia="ru-RU"/>
        </w:rPr>
        <w:t xml:space="preserve">. Системна корупція у державному секторі становить одну з найбільших загроз </w:t>
      </w:r>
      <w:proofErr w:type="gramStart"/>
      <w:r w:rsidRPr="00511005">
        <w:rPr>
          <w:rFonts w:ascii="Arial" w:eastAsia="Times New Roman" w:hAnsi="Arial" w:cs="Arial"/>
          <w:szCs w:val="28"/>
          <w:lang w:eastAsia="ru-RU"/>
        </w:rPr>
        <w:t>для правопорядку</w:t>
      </w:r>
      <w:proofErr w:type="gramEnd"/>
      <w:r w:rsidRPr="00511005">
        <w:rPr>
          <w:rFonts w:ascii="Arial" w:eastAsia="Times New Roman" w:hAnsi="Arial" w:cs="Arial"/>
          <w:szCs w:val="28"/>
          <w:lang w:eastAsia="ru-RU"/>
        </w:rPr>
        <w:t>, соціальної справедливості та ефективності управління публічними ресурсами. В умовах високої латентності таких злочинів та їх багаторівневої організації особливої ваги набуває формування обґрунтованих слідчих версій як інструменту виявлення прихованих причинно-наслідкових зв’язків, учасників протиправних дій, механізмів вчинення корупційних правопорушень. Впровадження криміналістично вивірених підходів до побудови версій дозволяє не лише скоротити час розслідування, а й значно підвищити ефективність процесу викриття корупційних схем, у тому числі з використанням аналітичних та електронних засобів.</w:t>
      </w:r>
    </w:p>
    <w:p w14:paraId="73B892D4" w14:textId="77777777" w:rsidR="00532C25" w:rsidRPr="00511005" w:rsidRDefault="00532C25" w:rsidP="00532C25">
      <w:pPr>
        <w:keepNext/>
        <w:tabs>
          <w:tab w:val="left" w:pos="4836"/>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Побудова дієвого механізму виявлення та розкриття корупційних правопорушень у сфері державного управління неможлива без належного вдосконалення кримінального законодавства України, особливо у частині його гармонізації з міжнародно-правовими нормами, зокрема положеннями Кримінальної конвенції про боротьбу з корупцією. Так, із прийняттям Закону України від 07.04.2011 № 3207-VI Кримінальний кодекс України був доповнений статтею 368-2, що передбачає кримінальну відповідальність за незаконне збагачення, однак норма неодноразово зазнавала змін (від 18.04.2013 № 221-VII; від 18.04.2013 № 222-VII; від 14.10.2014 № 1698-VII; від 12.02.2015 № 198-VIII; від 10.11.2015 № 770-VIII) [5,с.6]. </w:t>
      </w:r>
    </w:p>
    <w:p w14:paraId="0AE5D36B" w14:textId="77777777" w:rsidR="00532C25" w:rsidRPr="00511005" w:rsidRDefault="00532C25" w:rsidP="00532C25">
      <w:pPr>
        <w:keepNext/>
        <w:tabs>
          <w:tab w:val="left" w:pos="4836"/>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З урахуванням специфіки злочинів корупційного характеру, які часто мають складну організаційну структуру та охоплюють коло службових осіб, що займають відповідальне становище, слідчі версії набувають особливої ваги у криміналістичному забезпеченні розслідування. Їх формування слугує основою для визначення логіки подальших слідчих дій, дозволяє впорядкувати наявні матеріали, побудувати припущення щодо ролі кожного з фігурантів, а також з’ясувати взаємозв’язки між подіями, що стали предметом досудового розслідування. У випадках протидії злочинам, пов’язаним з корупційними схемами, значну роль відіграє використання цифрових технологій – як у візуалізації грошових потоків, так і в ідентифікації зв’язків між суб’єктами злочину, що дозволяє набагато швидше та точніше виявити приховану структуру протиправної діяльності [4].</w:t>
      </w:r>
    </w:p>
    <w:p w14:paraId="2DEC61DA"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криміналістичного забезпечення розслідування корупційних правопорушень надзвичайно важливим є рівень наповненості та якість доступу до релевантної інформації, що безпосередньо впливає на ефективність діяльності слідчих, детективів та прокурорів на етапах виявлення, фіксації, аналізу й оцінки доказів. Саме криміналістично значуща </w:t>
      </w:r>
      <w:r w:rsidRPr="00511005">
        <w:rPr>
          <w:rFonts w:ascii="Arial" w:eastAsia="Times New Roman" w:hAnsi="Arial" w:cs="Arial"/>
          <w:szCs w:val="28"/>
          <w:lang w:eastAsia="ru-RU"/>
        </w:rPr>
        <w:lastRenderedPageBreak/>
        <w:t xml:space="preserve">інформація дозволяє цим суб’єктам досудового розслідування обґрунтовано ухвалювати процесуальні рішення та грамотно організовувати тактичні дії. Джерелами таких відомостей виступають сучасні автоматизовані інформаційні системи, що акумулюють узагальнені відомості про вже розслідувані корупційні злочини, типові способи їх вчинення, характеристики осіб, причетних до правопорушень, та криміналістичні моделі розслідування. Інформаційні технології відкривають слідчим нові можливості в частині швидкого доступу до систематизованих знань, оперативного виділення з масиву інформації ключових елементів, визначення найдоцільніших напрямів розслідування та вибору тактичних комбінацій у відповідних слідчих ситуаціях. З огляду на це, перспективним напрямом розвитку інформаційного забезпечення досудового розслідування корупційних злочинів вбачається створення спеціалізованої автоматизованої консультативної системи, умовно названої «Протидія корупції». Її функціональна база має спиратися на криміналістичну класифікацію типових схем корупційної діяльності, систематизованих за ознаками механізму вчинення злочину, характером предмета посягання, сумою неправомірної вигоди, специфікою службового становища особи та умовами, що сприяли реалізації злочинного наміру. Структурно така система повинна включати ресурсний і консультативний блоки. Перший з них акумулює дані про характерні риси корупційних правопорушень – від галузі суспільних відносин, </w:t>
      </w: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яких було вчинено злочин, до конкретних слідів, що залишаються після його реалізації. Крім того, передбачено формування переліку корупціогенних посад, типових сфер підвищеного ризику, а також нормативного забезпечення, яким має керуватись слідчий у конкретному провадженні. Консультативний блок, своєю чергою, покликаний надавати алгоритми дій залежно від типових слідчих ситуацій, що дозволяє суттєво оптимізувати процес розслідування, підвищуючи його доказову якість та криміналістичну </w:t>
      </w:r>
      <w:proofErr w:type="gramStart"/>
      <w:r w:rsidRPr="00511005">
        <w:rPr>
          <w:rFonts w:ascii="Arial" w:eastAsia="Times New Roman" w:hAnsi="Arial" w:cs="Arial"/>
          <w:szCs w:val="28"/>
          <w:lang w:eastAsia="ru-RU"/>
        </w:rPr>
        <w:t>обґрунтованість[</w:t>
      </w:r>
      <w:proofErr w:type="gramEnd"/>
      <w:r w:rsidRPr="00511005">
        <w:rPr>
          <w:rFonts w:ascii="Arial" w:eastAsia="Times New Roman" w:hAnsi="Arial" w:cs="Arial"/>
          <w:szCs w:val="28"/>
          <w:lang w:eastAsia="ru-RU"/>
        </w:rPr>
        <w:t>1, с. 20–22].</w:t>
      </w:r>
    </w:p>
    <w:p w14:paraId="6072A197" w14:textId="77777777" w:rsidR="00532C25" w:rsidRPr="00511005" w:rsidRDefault="00532C25" w:rsidP="00532C25">
      <w:pPr>
        <w:keepNext/>
        <w:tabs>
          <w:tab w:val="left" w:pos="4836"/>
        </w:tabs>
        <w:autoSpaceDE w:val="0"/>
        <w:autoSpaceDN w:val="0"/>
        <w:adjustRightInd w:val="0"/>
        <w:spacing w:line="264" w:lineRule="auto"/>
        <w:ind w:firstLine="720"/>
        <w:rPr>
          <w:rFonts w:ascii="Arial" w:eastAsia="Times New Roman" w:hAnsi="Arial" w:cs="Arial"/>
          <w:szCs w:val="28"/>
          <w:lang w:eastAsia="ru-RU"/>
        </w:rPr>
      </w:pPr>
      <w:proofErr w:type="gramStart"/>
      <w:r w:rsidRPr="00511005">
        <w:rPr>
          <w:rFonts w:ascii="Arial" w:eastAsia="Times New Roman" w:hAnsi="Arial" w:cs="Arial"/>
          <w:szCs w:val="28"/>
          <w:lang w:eastAsia="ru-RU"/>
        </w:rPr>
        <w:t>У межах</w:t>
      </w:r>
      <w:proofErr w:type="gramEnd"/>
      <w:r w:rsidRPr="00511005">
        <w:rPr>
          <w:rFonts w:ascii="Arial" w:eastAsia="Times New Roman" w:hAnsi="Arial" w:cs="Arial"/>
          <w:szCs w:val="28"/>
          <w:lang w:eastAsia="ru-RU"/>
        </w:rPr>
        <w:t xml:space="preserve"> сучасної криміналістики також важливим інструментом підвищення ефективності досудового розслідування, зокрема у справах про корупційні кримінальні правопорушення, є впровадження електронних систем управління кримінальними провадженнями. Система «іКейс», яка запроваджена в Україні з грудня 2021 року, виконує ключову функцію в частині криміналістичного забезпечення слідчої діяльності. Завдяки електронній формі зберігання великого обсягу матеріалів кримінального провадження, автоматизації створення процесуальних документів і забезпеченню доступу до них усім учасникам кримінального процесу, «іКейс» значно підвищує рівень інформаційної організованості, документального супроводу та доказового забезпечення [4]. У криміналістичному аспекті така система виконує низку важливих функцій: </w:t>
      </w:r>
      <w:r w:rsidRPr="00511005">
        <w:rPr>
          <w:rFonts w:ascii="Arial" w:eastAsia="Times New Roman" w:hAnsi="Arial" w:cs="Arial"/>
          <w:szCs w:val="28"/>
          <w:lang w:eastAsia="ru-RU"/>
        </w:rPr>
        <w:lastRenderedPageBreak/>
        <w:t>зменшує ризик втрати матеріалів, оптимізує їх логістичне переміщення, забезпечує прозорість хронології слідчих дій, підвищує точність контролю за дотриманням процесуальних строків і сприяє оперативному формуванню доказової бази. Зменшення витрат на матеріальне забезпечення (папір, пальне, транспортні ресурси) також позитивно впливає на організаційний бік розслідування, дозволяючи зосередити ресурси на тактичних завданнях [3].</w:t>
      </w:r>
    </w:p>
    <w:p w14:paraId="28ADFCF1" w14:textId="77777777" w:rsidR="00532C25" w:rsidRPr="00511005" w:rsidRDefault="00532C25" w:rsidP="00532C25">
      <w:pPr>
        <w:keepNext/>
        <w:tabs>
          <w:tab w:val="left" w:pos="4836"/>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Практична ефективність криміналістичного супроводу </w:t>
      </w:r>
      <w:proofErr w:type="gramStart"/>
      <w:r w:rsidRPr="00511005">
        <w:rPr>
          <w:rFonts w:ascii="Arial" w:eastAsia="Times New Roman" w:hAnsi="Arial" w:cs="Arial"/>
          <w:szCs w:val="28"/>
          <w:lang w:eastAsia="ru-RU"/>
        </w:rPr>
        <w:t>у рамках</w:t>
      </w:r>
      <w:proofErr w:type="gramEnd"/>
      <w:r w:rsidRPr="00511005">
        <w:rPr>
          <w:rFonts w:ascii="Arial" w:eastAsia="Times New Roman" w:hAnsi="Arial" w:cs="Arial"/>
          <w:szCs w:val="28"/>
          <w:lang w:eastAsia="ru-RU"/>
        </w:rPr>
        <w:t xml:space="preserve"> електронного досудового розслідування підтверджується статистикою: у першому півріччі 2023 року детективами НАБУ спільно з прокурорами САП було притягнуто до відповідальності 137 осіб, а обвинувальні акти стосовно 147 фігурантів направлені до суду. Серед розкритих злочинів – документально зафіксоване затримання заступника Міністра розвитку громад, територій та інфраструктури під час отримання неправомірної вигоди у розмірі 400 тис. доларів США, а також викриття організованої групи у Фонді держмайна України, яка незаконно заволоділа понад 500 млн грн бюджетних коштів [2]. </w:t>
      </w:r>
    </w:p>
    <w:p w14:paraId="35CD7049" w14:textId="77777777" w:rsidR="00532C25" w:rsidRPr="00511005" w:rsidRDefault="00532C25" w:rsidP="00532C25">
      <w:pPr>
        <w:keepNext/>
        <w:tabs>
          <w:tab w:val="left" w:pos="4836"/>
        </w:tabs>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Отже,</w:t>
      </w:r>
      <w:r w:rsidRPr="00511005">
        <w:rPr>
          <w:rFonts w:ascii="Arial" w:eastAsia="Times New Roman" w:hAnsi="Arial" w:cs="Arial"/>
          <w:b/>
          <w:bCs/>
          <w:szCs w:val="28"/>
          <w:lang w:eastAsia="ru-RU"/>
        </w:rPr>
        <w:t xml:space="preserve"> </w:t>
      </w:r>
      <w:r w:rsidRPr="00511005">
        <w:rPr>
          <w:rFonts w:ascii="Arial" w:eastAsia="Times New Roman" w:hAnsi="Arial" w:cs="Arial"/>
          <w:szCs w:val="28"/>
          <w:lang w:eastAsia="ru-RU"/>
        </w:rPr>
        <w:t>ефективне використання слідчих версій у поєднанні з сучасними цифровими та аналітичними інструментами значно підвищує результативність розслідувань корупційних схем у державному секторі. Це сприяє не лише викриттю та притягненню до відповідальності винних осіб, але й запобіганню подібним злочинам у майбутньому.</w:t>
      </w:r>
    </w:p>
    <w:p w14:paraId="255965FB" w14:textId="77777777" w:rsidR="00532C25" w:rsidRPr="00511005" w:rsidRDefault="00532C25" w:rsidP="00532C25">
      <w:pPr>
        <w:keepNext/>
        <w:tabs>
          <w:tab w:val="left" w:pos="4836"/>
        </w:tabs>
        <w:autoSpaceDE w:val="0"/>
        <w:autoSpaceDN w:val="0"/>
        <w:adjustRightInd w:val="0"/>
        <w:spacing w:line="264" w:lineRule="auto"/>
        <w:ind w:firstLine="720"/>
        <w:rPr>
          <w:rFonts w:ascii="Arial" w:eastAsia="Times New Roman" w:hAnsi="Arial" w:cs="Arial"/>
          <w:szCs w:val="28"/>
          <w:lang w:eastAsia="ru-RU"/>
        </w:rPr>
      </w:pPr>
    </w:p>
    <w:p w14:paraId="71AA1045" w14:textId="77777777" w:rsidR="00532C25" w:rsidRPr="00511005" w:rsidRDefault="00532C25" w:rsidP="00532C25">
      <w:pPr>
        <w:keepNext/>
        <w:tabs>
          <w:tab w:val="left" w:pos="4836"/>
        </w:tabs>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243F08DA" w14:textId="77777777" w:rsidR="00532C25" w:rsidRPr="00511005" w:rsidRDefault="00532C25" w:rsidP="003F6A5D">
      <w:pPr>
        <w:numPr>
          <w:ilvl w:val="0"/>
          <w:numId w:val="612"/>
        </w:numPr>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Журавель В. А., Павлюк Н. В., Резнікова О. І. Поняття та засоби криміналістичного забезпечення розслідування корупційних злочинів. Питання боротьби зі </w:t>
      </w:r>
      <w:proofErr w:type="gramStart"/>
      <w:r w:rsidRPr="00511005">
        <w:rPr>
          <w:rFonts w:ascii="Arial" w:eastAsia="Times New Roman" w:hAnsi="Arial" w:cs="Arial"/>
          <w:szCs w:val="28"/>
          <w:lang w:eastAsia="ru-RU"/>
        </w:rPr>
        <w:t>злочинністю :</w:t>
      </w:r>
      <w:proofErr w:type="gramEnd"/>
      <w:r w:rsidRPr="00511005">
        <w:rPr>
          <w:rFonts w:ascii="Arial" w:eastAsia="Times New Roman" w:hAnsi="Arial" w:cs="Arial"/>
          <w:szCs w:val="28"/>
          <w:lang w:eastAsia="ru-RU"/>
        </w:rPr>
        <w:t xml:space="preserve"> зб. наук. пр. / редкол.: В. І. Борисов та ін. – </w:t>
      </w:r>
      <w:proofErr w:type="gramStart"/>
      <w:r w:rsidRPr="00511005">
        <w:rPr>
          <w:rFonts w:ascii="Arial" w:eastAsia="Times New Roman" w:hAnsi="Arial" w:cs="Arial"/>
          <w:szCs w:val="28"/>
          <w:lang w:eastAsia="ru-RU"/>
        </w:rPr>
        <w:t>Харків :</w:t>
      </w:r>
      <w:proofErr w:type="gramEnd"/>
      <w:r w:rsidRPr="00511005">
        <w:rPr>
          <w:rFonts w:ascii="Arial" w:eastAsia="Times New Roman" w:hAnsi="Arial" w:cs="Arial"/>
          <w:szCs w:val="28"/>
          <w:lang w:eastAsia="ru-RU"/>
        </w:rPr>
        <w:t xml:space="preserve"> Право, 2016. – С. 13–30.</w:t>
      </w:r>
    </w:p>
    <w:p w14:paraId="21434852" w14:textId="77777777" w:rsidR="00532C25" w:rsidRPr="00511005" w:rsidRDefault="00532C25" w:rsidP="003F6A5D">
      <w:pPr>
        <w:numPr>
          <w:ilvl w:val="0"/>
          <w:numId w:val="612"/>
        </w:numPr>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НАБУ і САП продовжили боротьбу з внутрішнім ворогом – корупцією. Національне антикорупційне бюро України – 2023. – URL: </w:t>
      </w:r>
      <w:hyperlink r:id="rId1964" w:tgtFrame="_new" w:history="1">
        <w:r w:rsidRPr="00511005">
          <w:rPr>
            <w:rFonts w:ascii="Arial" w:eastAsia="Times New Roman" w:hAnsi="Arial" w:cs="Arial"/>
            <w:szCs w:val="28"/>
            <w:lang w:eastAsia="ru-RU"/>
          </w:rPr>
          <w:t>https://reports.nabu.gov.ua/archive/nabu-report-first-half-2023/investigations-1-2023</w:t>
        </w:r>
      </w:hyperlink>
    </w:p>
    <w:p w14:paraId="2D3A4350" w14:textId="77777777" w:rsidR="00532C25" w:rsidRPr="00511005" w:rsidRDefault="00532C25" w:rsidP="003F6A5D">
      <w:pPr>
        <w:numPr>
          <w:ilvl w:val="0"/>
          <w:numId w:val="612"/>
        </w:numPr>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Національне агентство з питань запобігання корупції. Чотири роки НАЗК 2.0: стратегічний аналіз корупційних ризиків – 2024. – URL: </w:t>
      </w:r>
      <w:hyperlink r:id="rId1965" w:tgtFrame="_new" w:history="1">
        <w:r w:rsidRPr="00511005">
          <w:rPr>
            <w:rFonts w:ascii="Arial" w:eastAsia="Times New Roman" w:hAnsi="Arial" w:cs="Arial"/>
            <w:szCs w:val="28"/>
            <w:lang w:eastAsia="ru-RU"/>
          </w:rPr>
          <w:t>https://nazk.gov.ua/uk/antykoruptsijna-polityka/chotyry-roky-nazk-2-0-strategichnyy-analiz-koruptsiynyh-ryzykiv/</w:t>
        </w:r>
      </w:hyperlink>
      <w:r w:rsidRPr="00511005">
        <w:rPr>
          <w:rFonts w:ascii="Arial" w:eastAsia="Times New Roman" w:hAnsi="Arial" w:cs="Arial"/>
          <w:szCs w:val="28"/>
          <w:lang w:eastAsia="ru-RU"/>
        </w:rPr>
        <w:t xml:space="preserve"> </w:t>
      </w:r>
    </w:p>
    <w:p w14:paraId="2F351F84" w14:textId="77777777" w:rsidR="00532C25" w:rsidRPr="00511005" w:rsidRDefault="00532C25" w:rsidP="003F6A5D">
      <w:pPr>
        <w:numPr>
          <w:ilvl w:val="0"/>
          <w:numId w:val="612"/>
        </w:numPr>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Національне антикорупційне бюро України. Цифровізація 2023– URL: </w:t>
      </w:r>
      <w:hyperlink r:id="rId1966" w:tgtFrame="_new" w:history="1">
        <w:r w:rsidRPr="00511005">
          <w:rPr>
            <w:rFonts w:ascii="Arial" w:eastAsia="Times New Roman" w:hAnsi="Arial" w:cs="Arial"/>
            <w:szCs w:val="28"/>
            <w:lang w:eastAsia="ru-RU"/>
          </w:rPr>
          <w:t>https://reports.nabu.gov.ua/archive/nabu-report-second-half-2023/digitalization-1/</w:t>
        </w:r>
      </w:hyperlink>
      <w:r w:rsidRPr="00511005">
        <w:rPr>
          <w:rFonts w:ascii="Arial" w:eastAsia="Times New Roman" w:hAnsi="Arial" w:cs="Arial"/>
          <w:szCs w:val="28"/>
          <w:lang w:eastAsia="ru-RU"/>
        </w:rPr>
        <w:t xml:space="preserve"> </w:t>
      </w:r>
    </w:p>
    <w:p w14:paraId="2406E16C" w14:textId="77777777" w:rsidR="00532C25" w:rsidRPr="00511005" w:rsidRDefault="00532C25" w:rsidP="003F6A5D">
      <w:pPr>
        <w:numPr>
          <w:ilvl w:val="0"/>
          <w:numId w:val="612"/>
        </w:numPr>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Шепітько В. Ю., Шевчук В. М., Білоус В. В., Керик Л. І. Система заходів протидії незаконному збагаченню в сучасних умовах. Теорія та практика судової експертизи і криміналістики. – 2016. – Вип. 16. – С. 5–16.</w:t>
      </w:r>
    </w:p>
    <w:p w14:paraId="3702B73D" w14:textId="77777777" w:rsidR="00532C25" w:rsidRPr="00511005" w:rsidRDefault="00532C25" w:rsidP="00532C25">
      <w:pPr>
        <w:keepNext/>
        <w:autoSpaceDE w:val="0"/>
        <w:autoSpaceDN w:val="0"/>
        <w:adjustRightInd w:val="0"/>
        <w:spacing w:line="264" w:lineRule="auto"/>
        <w:ind w:firstLine="720"/>
        <w:rPr>
          <w:rFonts w:ascii="Arial" w:eastAsia="Times New Roman" w:hAnsi="Arial" w:cs="Arial"/>
          <w:b/>
          <w:bCs/>
          <w:szCs w:val="28"/>
          <w:lang w:eastAsia="ru-RU"/>
        </w:rPr>
      </w:pPr>
    </w:p>
    <w:p w14:paraId="7E3C722D" w14:textId="77777777" w:rsidR="00532C25" w:rsidRPr="00511005" w:rsidRDefault="00532C25" w:rsidP="00532C25">
      <w:pPr>
        <w:keepNext/>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eastAsia="ru-RU"/>
        </w:rPr>
        <w:t>слідча версія, корупційні схеми, досудове розслідування, державний сектор, криміналістика, викриття злочинів, тактика слідства.</w:t>
      </w:r>
    </w:p>
    <w:p w14:paraId="6FF53270"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investigative version, corruption schemes, pre-trial investigation, public sector, criminalistics, crime detection, investigation tactics.</w:t>
      </w:r>
    </w:p>
    <w:p w14:paraId="2C9CE9E6" w14:textId="77777777" w:rsidR="00532C25" w:rsidRPr="00511005" w:rsidRDefault="00532C25" w:rsidP="00532C25">
      <w:pPr>
        <w:keepNext/>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eastAsia="ru-RU"/>
        </w:rPr>
        <w:t xml:space="preserve">к.ю.н., доцент Колодіна А.С. </w:t>
      </w:r>
    </w:p>
    <w:p w14:paraId="1AC5F619" w14:textId="77777777" w:rsidR="00532C25" w:rsidRPr="00511005" w:rsidRDefault="00532C25" w:rsidP="00532C25">
      <w:pPr>
        <w:spacing w:line="264" w:lineRule="auto"/>
        <w:ind w:firstLine="720"/>
        <w:jc w:val="center"/>
        <w:rPr>
          <w:rFonts w:ascii="Arial" w:eastAsia="Calibri" w:hAnsi="Arial" w:cs="Arial"/>
          <w:szCs w:val="28"/>
          <w:lang w:val="uk-UA"/>
        </w:rPr>
      </w:pPr>
    </w:p>
    <w:p w14:paraId="377ED2E2" w14:textId="77777777" w:rsidR="00532C25" w:rsidRPr="00511005" w:rsidRDefault="00532C25" w:rsidP="00532C25">
      <w:pPr>
        <w:spacing w:line="264" w:lineRule="auto"/>
        <w:ind w:firstLine="720"/>
        <w:jc w:val="center"/>
        <w:rPr>
          <w:rFonts w:ascii="Arial" w:eastAsia="Calibri" w:hAnsi="Arial" w:cs="Arial"/>
          <w:b/>
          <w:bCs/>
          <w:i/>
          <w:iCs/>
          <w:szCs w:val="28"/>
          <w:lang w:val="uk-UA"/>
        </w:rPr>
      </w:pPr>
    </w:p>
    <w:p w14:paraId="176CEB9D"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Заторська Діана Віталіївна</w:t>
      </w:r>
    </w:p>
    <w:p w14:paraId="4897B2C3"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7EB1BCAD"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3A030E3"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38027A4" w14:textId="77777777" w:rsidR="00532C25" w:rsidRPr="00511005" w:rsidRDefault="00532C25" w:rsidP="00532C25">
      <w:pPr>
        <w:spacing w:line="264" w:lineRule="auto"/>
        <w:ind w:firstLine="720"/>
        <w:jc w:val="center"/>
        <w:rPr>
          <w:rFonts w:ascii="Arial" w:eastAsia="Calibri" w:hAnsi="Arial" w:cs="Arial"/>
          <w:szCs w:val="28"/>
          <w:lang w:val="uk-UA"/>
        </w:rPr>
      </w:pPr>
    </w:p>
    <w:p w14:paraId="567D9ABD" w14:textId="77777777" w:rsidR="00532C25" w:rsidRPr="00511005" w:rsidRDefault="00532C25" w:rsidP="00532C25">
      <w:pPr>
        <w:keepNext/>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СЛІДИ ВЗУТТЯ ЯК ДЖЕРЕЛО КРИМІНАЛІСТИЧНОЇ ІНФОРМАЦІЇ: СУЧАСНІ ПІДХОДИ ДО ДОСЛІДЖЕННЯ</w:t>
      </w:r>
    </w:p>
    <w:p w14:paraId="2BA62E89" w14:textId="77777777" w:rsidR="00532C25" w:rsidRPr="00511005" w:rsidRDefault="00532C25" w:rsidP="00532C25">
      <w:pPr>
        <w:keepNext/>
        <w:spacing w:line="264" w:lineRule="auto"/>
        <w:ind w:firstLine="720"/>
        <w:rPr>
          <w:rFonts w:ascii="Arial" w:eastAsia="Calibri" w:hAnsi="Arial" w:cs="Arial"/>
          <w:szCs w:val="28"/>
          <w:lang w:val="uk-UA"/>
        </w:rPr>
      </w:pPr>
      <w:r w:rsidRPr="00511005">
        <w:rPr>
          <w:rFonts w:ascii="Arial" w:eastAsia="Calibri" w:hAnsi="Arial" w:cs="Arial"/>
          <w:b/>
          <w:szCs w:val="28"/>
          <w:lang w:val="uk-UA"/>
        </w:rPr>
        <w:t>Актуальність дослідження</w:t>
      </w:r>
      <w:r w:rsidRPr="00511005">
        <w:rPr>
          <w:rFonts w:ascii="Arial" w:eastAsia="Calibri" w:hAnsi="Arial" w:cs="Arial"/>
          <w:szCs w:val="28"/>
          <w:lang w:val="uk-UA"/>
        </w:rPr>
        <w:t xml:space="preserve"> зумовлена необхідністю удосконалення методів виявлення, фіксації та дослідження цих об'єктів у контексті сучасних викликів криміналістичної практики. Умови змінного злочинного середовища, поява нових технологій у виготовленні взуття, а також стрімкий розвиток цифрових інструментів, зокрема 3</w:t>
      </w:r>
      <w:r w:rsidRPr="00511005">
        <w:rPr>
          <w:rFonts w:ascii="Arial" w:eastAsia="Calibri" w:hAnsi="Arial" w:cs="Arial"/>
          <w:szCs w:val="28"/>
        </w:rPr>
        <w:t>D</w:t>
      </w:r>
      <w:r w:rsidRPr="00511005">
        <w:rPr>
          <w:rFonts w:ascii="Arial" w:eastAsia="Calibri" w:hAnsi="Arial" w:cs="Arial"/>
          <w:szCs w:val="28"/>
          <w:lang w:val="uk-UA"/>
        </w:rPr>
        <w:t>-сканування та комп’ютерного моделювання, вимагають перегляду традиційних підходів до аналізу слідової інформації. Сліди взуття залишаються одним із найпоширеніших видів слідів, що виявляються на місцях подій, і мають вагоме значення для ідентифікації злочинців, встановлення обставин правопорушення, а також для реконструкції механізму події.</w:t>
      </w:r>
    </w:p>
    <w:p w14:paraId="21540A80" w14:textId="77777777" w:rsidR="00532C25" w:rsidRPr="00511005" w:rsidRDefault="00532C25" w:rsidP="00532C25">
      <w:pPr>
        <w:keepNext/>
        <w:spacing w:line="264" w:lineRule="auto"/>
        <w:ind w:firstLine="720"/>
        <w:rPr>
          <w:rFonts w:ascii="Arial" w:eastAsia="Calibri" w:hAnsi="Arial" w:cs="Arial"/>
          <w:szCs w:val="28"/>
        </w:rPr>
      </w:pPr>
      <w:r w:rsidRPr="00511005">
        <w:rPr>
          <w:rFonts w:ascii="Arial" w:eastAsia="Calibri" w:hAnsi="Arial" w:cs="Arial"/>
          <w:szCs w:val="28"/>
          <w:lang w:val="uk-UA"/>
        </w:rPr>
        <w:t xml:space="preserve">У сучасних умовах розвитку криміналістичної науки особливу цінність становить зосереджена увага на вивченні слідів ніг та взуття людини, адже саме вони є одними з найпоширеніших джерел речової інформації, що можуть виступати ефективними доказами у процесі розслідування кримінальних правопорушень. </w:t>
      </w:r>
      <w:r w:rsidRPr="00511005">
        <w:rPr>
          <w:rFonts w:ascii="Arial" w:eastAsia="Calibri" w:hAnsi="Arial" w:cs="Arial"/>
          <w:szCs w:val="28"/>
        </w:rPr>
        <w:t xml:space="preserve">Ці сліди досить часто виявляють безпосередньо на місцях подій, на знаряддях злочину, а іноді й на тілах самих жертв або правопорушників [1, с.261]. </w:t>
      </w:r>
    </w:p>
    <w:p w14:paraId="302383FA"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Сліди взуття мають здатність зберігатися на різних поверхнях, незалежно від того, йдеться про природне середовище, типу лісу чи ґрунтової дороги, або ж про урбанізований простір – будинки, під’їзди, сходові клітки. Вони можуть бути розташовані як безпосередньо на місці вчинення злочину, так і на певній відстані від нього, що відкриває можливість для простеження траєкторії руху особи.</w:t>
      </w:r>
      <w:r w:rsidRPr="00511005">
        <w:rPr>
          <w:rFonts w:ascii="Arial" w:eastAsia="Calibri" w:hAnsi="Arial" w:cs="Arial"/>
          <w:szCs w:val="28"/>
          <w:lang w:val="uk-UA"/>
        </w:rPr>
        <w:t xml:space="preserve"> Формування таких слідів відбувається внаслідок ходьби, бігу, стояння, стрибків – тобто в результаті найрізноманітніших видів рухової активності. Саме тому їхній аналіз дозволяє не лише встановити механізм вчинення дії, а й оцінити певні </w:t>
      </w:r>
      <w:r w:rsidRPr="00511005">
        <w:rPr>
          <w:rFonts w:ascii="Arial" w:eastAsia="Calibri" w:hAnsi="Arial" w:cs="Arial"/>
          <w:szCs w:val="28"/>
          <w:lang w:val="uk-UA"/>
        </w:rPr>
        <w:lastRenderedPageBreak/>
        <w:t xml:space="preserve">індивідуальні особливості правопорушника: вагу, зріст, особливості ходи чи навіть стан здоров’я [2, с. 102]. </w:t>
      </w:r>
      <w:r w:rsidRPr="00511005">
        <w:rPr>
          <w:rFonts w:ascii="Arial" w:eastAsia="Calibri" w:hAnsi="Arial" w:cs="Arial"/>
          <w:szCs w:val="28"/>
        </w:rPr>
        <w:t>У певних ситуаціях, навіть якщо взуття не залишило чітких слідів, воно саме по собі може бути речовим доказом – наприклад, коли злочинець залишає власне взуття на місці події, а натомість одягає чуже. За такою парою взуття можна встановити індивідуальні сліди стопи, положення пальців, форму склепіння, характерні відмітини щиколоток, а також запахові сліди, що в сукупності формують унікальний слідовий комплекс [</w:t>
      </w:r>
      <w:proofErr w:type="gramStart"/>
      <w:r w:rsidRPr="00511005">
        <w:rPr>
          <w:rFonts w:ascii="Arial" w:eastAsia="Calibri" w:hAnsi="Arial" w:cs="Arial"/>
          <w:szCs w:val="28"/>
        </w:rPr>
        <w:t>1</w:t>
      </w:r>
      <w:r w:rsidRPr="00511005">
        <w:rPr>
          <w:rFonts w:ascii="Arial" w:eastAsia="Calibri" w:hAnsi="Arial" w:cs="Arial"/>
          <w:szCs w:val="28"/>
          <w:lang w:val="uk-UA"/>
        </w:rPr>
        <w:t>,с.</w:t>
      </w:r>
      <w:proofErr w:type="gramEnd"/>
      <w:r w:rsidRPr="00511005">
        <w:rPr>
          <w:rFonts w:ascii="Arial" w:eastAsia="Calibri" w:hAnsi="Arial" w:cs="Arial"/>
          <w:szCs w:val="28"/>
          <w:lang w:val="uk-UA"/>
        </w:rPr>
        <w:t>264</w:t>
      </w:r>
      <w:r w:rsidRPr="00511005">
        <w:rPr>
          <w:rFonts w:ascii="Arial" w:eastAsia="Calibri" w:hAnsi="Arial" w:cs="Arial"/>
          <w:szCs w:val="28"/>
        </w:rPr>
        <w:t>].</w:t>
      </w:r>
    </w:p>
    <w:p w14:paraId="5D8ADF7E" w14:textId="77777777" w:rsidR="00532C25" w:rsidRPr="00511005" w:rsidRDefault="00532C25" w:rsidP="00532C25">
      <w:pPr>
        <w:keepNext/>
        <w:spacing w:line="264" w:lineRule="auto"/>
        <w:ind w:firstLine="720"/>
        <w:rPr>
          <w:rFonts w:ascii="Arial" w:eastAsia="Calibri" w:hAnsi="Arial" w:cs="Arial"/>
          <w:szCs w:val="28"/>
        </w:rPr>
      </w:pPr>
      <w:proofErr w:type="gramStart"/>
      <w:r w:rsidRPr="00511005">
        <w:rPr>
          <w:rFonts w:ascii="Arial" w:eastAsia="Calibri" w:hAnsi="Arial" w:cs="Arial"/>
          <w:szCs w:val="28"/>
        </w:rPr>
        <w:t>У наш час</w:t>
      </w:r>
      <w:proofErr w:type="gramEnd"/>
      <w:r w:rsidRPr="00511005">
        <w:rPr>
          <w:rFonts w:ascii="Arial" w:eastAsia="Calibri" w:hAnsi="Arial" w:cs="Arial"/>
          <w:szCs w:val="28"/>
        </w:rPr>
        <w:t xml:space="preserve"> сучасні наукові підходи та технологічні інновації відкрили нові горизонти у сфері криміналістичного дослідження слідів взуття, істотно розширивши можливості їх фіксації, аналізу та подальшої ідентифікації. Традиційні способи, як-от виготовлення гіпсових зліпків, хоча й залишаються в арсеналі експертів, поступово втрачають свою актуальність через низку суттєвих недоліків. Насамперед ідеться про ризики деформації або часткового знищення об'єкта під час зняття зліпка, а також про обмежену здатність точно передати дрібні елементи рельєфу. На цьому тлі особливої ваги набуває застосування безконтактних методів, зокрема 3D-сканування. Завдяки використанню високоточних пристроїв – таких як лазерні сканери Artec Leo і Artec Space Spider – фахівці можуть отримати максимально детальне цифрове відтворення сліду, що зберігає об’ємну структуру та найдрібніші особливості поверхні. Таке сканування дає змогу не лише зафіксувати доказ з високою точністю, а й зберігати його у цифровому вигляді для подальших експертиз, моделювання чи порівняння [</w:t>
      </w:r>
      <w:proofErr w:type="gramStart"/>
      <w:r w:rsidRPr="00511005">
        <w:rPr>
          <w:rFonts w:ascii="Arial" w:eastAsia="Calibri" w:hAnsi="Arial" w:cs="Arial"/>
          <w:szCs w:val="28"/>
        </w:rPr>
        <w:t>3</w:t>
      </w:r>
      <w:r w:rsidRPr="00511005">
        <w:rPr>
          <w:rFonts w:ascii="Arial" w:eastAsia="Calibri" w:hAnsi="Arial" w:cs="Arial"/>
          <w:szCs w:val="28"/>
          <w:lang w:val="uk-UA"/>
        </w:rPr>
        <w:t>,с.</w:t>
      </w:r>
      <w:proofErr w:type="gramEnd"/>
      <w:r w:rsidRPr="00511005">
        <w:rPr>
          <w:rFonts w:ascii="Arial" w:eastAsia="Calibri" w:hAnsi="Arial" w:cs="Arial"/>
          <w:szCs w:val="28"/>
          <w:lang w:val="uk-UA"/>
        </w:rPr>
        <w:t>471</w:t>
      </w:r>
      <w:r w:rsidRPr="00511005">
        <w:rPr>
          <w:rFonts w:ascii="Arial" w:eastAsia="Calibri" w:hAnsi="Arial" w:cs="Arial"/>
          <w:szCs w:val="28"/>
        </w:rPr>
        <w:t>].</w:t>
      </w:r>
    </w:p>
    <w:p w14:paraId="33ACBE2A" w14:textId="77777777" w:rsidR="00532C25" w:rsidRPr="00511005" w:rsidRDefault="00532C25" w:rsidP="00532C25">
      <w:pPr>
        <w:keepNext/>
        <w:spacing w:line="264" w:lineRule="auto"/>
        <w:ind w:firstLine="720"/>
        <w:rPr>
          <w:rFonts w:ascii="Arial" w:eastAsia="Calibri" w:hAnsi="Arial" w:cs="Arial"/>
          <w:szCs w:val="28"/>
          <w:lang w:val="uk-UA"/>
        </w:rPr>
      </w:pPr>
      <w:r w:rsidRPr="00511005">
        <w:rPr>
          <w:rFonts w:ascii="Arial" w:eastAsia="Calibri" w:hAnsi="Arial" w:cs="Arial"/>
          <w:szCs w:val="28"/>
        </w:rPr>
        <w:t>Крім того, важливу роль у процесі фіксації слідів взуття відіграє фотографування, яке залишається одним із найпоширеніших і доступних методів документування. Однак, попри свою розповсюдженість, фотографічна фіксація має низку обмежень, що можуть суттєво вплинути на якість зібраного матеріалу. Зокрема, недотримання базових вимог судової фотографії – таких як вибір неправильного ракурсу, спотворення перспективи або недостатній рівень освітлення – нерідко призводить до втрати цінної інформації про просторові та морфологічні характеристики сліду. Подібні похибки можуть ускладнити або навіть зробити неможливим проведення повноцінної трасологічної експертизи, що своєю чергою негативно впливає на процес ідентифікації взуття й особи, яка його носила [</w:t>
      </w:r>
      <w:proofErr w:type="gramStart"/>
      <w:r w:rsidRPr="00511005">
        <w:rPr>
          <w:rFonts w:ascii="Arial" w:eastAsia="Calibri" w:hAnsi="Arial" w:cs="Arial"/>
          <w:szCs w:val="28"/>
        </w:rPr>
        <w:t>4</w:t>
      </w:r>
      <w:r w:rsidRPr="00511005">
        <w:rPr>
          <w:rFonts w:ascii="Arial" w:eastAsia="Calibri" w:hAnsi="Arial" w:cs="Arial"/>
          <w:szCs w:val="28"/>
          <w:lang w:val="uk-UA"/>
        </w:rPr>
        <w:t>,с.</w:t>
      </w:r>
      <w:proofErr w:type="gramEnd"/>
      <w:r w:rsidRPr="00511005">
        <w:rPr>
          <w:rFonts w:ascii="Arial" w:eastAsia="Calibri" w:hAnsi="Arial" w:cs="Arial"/>
          <w:szCs w:val="28"/>
          <w:lang w:val="uk-UA"/>
        </w:rPr>
        <w:t>338</w:t>
      </w:r>
      <w:r w:rsidRPr="00511005">
        <w:rPr>
          <w:rFonts w:ascii="Arial" w:eastAsia="Calibri" w:hAnsi="Arial" w:cs="Arial"/>
          <w:szCs w:val="28"/>
        </w:rPr>
        <w:t>]</w:t>
      </w:r>
      <w:r w:rsidRPr="00511005">
        <w:rPr>
          <w:rFonts w:ascii="Arial" w:eastAsia="Calibri" w:hAnsi="Arial" w:cs="Arial"/>
          <w:szCs w:val="28"/>
          <w:lang w:val="uk-UA"/>
        </w:rPr>
        <w:t>.</w:t>
      </w:r>
    </w:p>
    <w:p w14:paraId="05081F7D" w14:textId="77777777" w:rsidR="00532C25" w:rsidRPr="00511005" w:rsidRDefault="00532C25" w:rsidP="00532C25">
      <w:pPr>
        <w:keepNext/>
        <w:spacing w:line="264" w:lineRule="auto"/>
        <w:ind w:firstLine="720"/>
        <w:rPr>
          <w:rFonts w:ascii="Arial" w:eastAsia="Calibri" w:hAnsi="Arial" w:cs="Arial"/>
          <w:szCs w:val="28"/>
        </w:rPr>
      </w:pPr>
      <w:r w:rsidRPr="00511005">
        <w:rPr>
          <w:rFonts w:ascii="Arial" w:eastAsia="Calibri" w:hAnsi="Arial" w:cs="Arial"/>
          <w:szCs w:val="28"/>
          <w:lang w:val="uk-UA"/>
        </w:rPr>
        <w:t>Особливу увагу привертає використання багатоміткових згорткових нейронних мереж (</w:t>
      </w:r>
      <w:r w:rsidRPr="00511005">
        <w:rPr>
          <w:rFonts w:ascii="Arial" w:eastAsia="Calibri" w:hAnsi="Arial" w:cs="Arial"/>
          <w:szCs w:val="28"/>
        </w:rPr>
        <w:t>CNN</w:t>
      </w:r>
      <w:r w:rsidRPr="00511005">
        <w:rPr>
          <w:rFonts w:ascii="Arial" w:eastAsia="Calibri" w:hAnsi="Arial" w:cs="Arial"/>
          <w:szCs w:val="28"/>
          <w:lang w:val="uk-UA"/>
        </w:rPr>
        <w:t xml:space="preserve">), які здатні ефективно обробляти великі обсяги зображень слідів, автоматично виокремлюючи та класифікуючи характерні риси їх структури. </w:t>
      </w:r>
      <w:r w:rsidRPr="00511005">
        <w:rPr>
          <w:rFonts w:ascii="Arial" w:eastAsia="Calibri" w:hAnsi="Arial" w:cs="Arial"/>
          <w:szCs w:val="28"/>
        </w:rPr>
        <w:t xml:space="preserve">Такий підхід не лише скорочує час, необхідний для ідентифікації взуття, а й мінімізує людський чинник, знижуючи ризик похибок при проведенні експертиз. Завдяки своїй здатності до самообучення та високої точності в обробці візуальних даних, нейромережі відкривають нові </w:t>
      </w:r>
      <w:r w:rsidRPr="00511005">
        <w:rPr>
          <w:rFonts w:ascii="Arial" w:eastAsia="Calibri" w:hAnsi="Arial" w:cs="Arial"/>
          <w:szCs w:val="28"/>
        </w:rPr>
        <w:lastRenderedPageBreak/>
        <w:t>перспективи для цифрової трасології, значно підвищуючи ефективність криміналістичних досліджень [</w:t>
      </w:r>
      <w:proofErr w:type="gramStart"/>
      <w:r w:rsidRPr="00511005">
        <w:rPr>
          <w:rFonts w:ascii="Arial" w:eastAsia="Calibri" w:hAnsi="Arial" w:cs="Arial"/>
          <w:szCs w:val="28"/>
        </w:rPr>
        <w:t>5</w:t>
      </w:r>
      <w:r w:rsidRPr="00511005">
        <w:rPr>
          <w:rFonts w:ascii="Arial" w:eastAsia="Calibri" w:hAnsi="Arial" w:cs="Arial"/>
          <w:szCs w:val="28"/>
          <w:lang w:val="uk-UA"/>
        </w:rPr>
        <w:t>,с.</w:t>
      </w:r>
      <w:proofErr w:type="gramEnd"/>
      <w:r w:rsidRPr="00511005">
        <w:rPr>
          <w:rFonts w:ascii="Arial" w:eastAsia="Calibri" w:hAnsi="Arial" w:cs="Arial"/>
          <w:szCs w:val="28"/>
          <w:lang w:val="uk-UA"/>
        </w:rPr>
        <w:t>2-7</w:t>
      </w:r>
      <w:r w:rsidRPr="00511005">
        <w:rPr>
          <w:rFonts w:ascii="Arial" w:eastAsia="Calibri" w:hAnsi="Arial" w:cs="Arial"/>
          <w:szCs w:val="28"/>
        </w:rPr>
        <w:t>].</w:t>
      </w:r>
    </w:p>
    <w:p w14:paraId="23ACA3CD" w14:textId="77777777" w:rsidR="00532C25" w:rsidRPr="00511005" w:rsidRDefault="00532C25" w:rsidP="00532C25">
      <w:pPr>
        <w:keepNext/>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Отже, </w:t>
      </w:r>
      <w:r w:rsidRPr="00511005">
        <w:rPr>
          <w:rFonts w:ascii="Arial" w:eastAsia="Calibri" w:hAnsi="Arial" w:cs="Arial"/>
          <w:szCs w:val="28"/>
        </w:rPr>
        <w:t>Сучасні технології та методики значно підвищили ефективність фіксації та аналізу слідів взуття у криміналістиці. Використання 3D-сканування, дотримання методичних рекомендацій при фотографуванні та застосування методів глибокого навчання сприяють більш точній ідентифікації та підвищенню якості експертиз.</w:t>
      </w:r>
    </w:p>
    <w:p w14:paraId="3114BB74" w14:textId="77777777" w:rsidR="00532C25" w:rsidRPr="00511005" w:rsidRDefault="00532C25" w:rsidP="00532C25">
      <w:pPr>
        <w:keepNext/>
        <w:tabs>
          <w:tab w:val="left" w:pos="4836"/>
        </w:tabs>
        <w:spacing w:line="264" w:lineRule="auto"/>
        <w:ind w:firstLine="720"/>
        <w:jc w:val="center"/>
        <w:rPr>
          <w:rFonts w:ascii="Arial" w:eastAsia="Calibri" w:hAnsi="Arial" w:cs="Arial"/>
          <w:b/>
          <w:szCs w:val="28"/>
          <w:lang w:val="uk-UA"/>
        </w:rPr>
      </w:pPr>
    </w:p>
    <w:p w14:paraId="03680BAA" w14:textId="77777777" w:rsidR="00532C25" w:rsidRPr="00511005" w:rsidRDefault="00532C25" w:rsidP="00532C25">
      <w:pPr>
        <w:keepNext/>
        <w:tabs>
          <w:tab w:val="left" w:pos="4836"/>
        </w:tabs>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499426EA" w14:textId="77777777" w:rsidR="00532C25" w:rsidRPr="00511005" w:rsidRDefault="00532C25" w:rsidP="003F6A5D">
      <w:pPr>
        <w:numPr>
          <w:ilvl w:val="0"/>
          <w:numId w:val="632"/>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Колонська В. М. Сліди рук і ніг у криміналістиці. </w:t>
      </w:r>
      <w:r w:rsidRPr="00511005">
        <w:rPr>
          <w:rFonts w:ascii="Arial" w:eastAsia="Times New Roman" w:hAnsi="Arial" w:cs="Arial"/>
          <w:i/>
          <w:iCs/>
          <w:szCs w:val="28"/>
          <w:lang w:eastAsia="ru-RU"/>
        </w:rPr>
        <w:t>V</w:t>
      </w:r>
      <w:r w:rsidRPr="00511005">
        <w:rPr>
          <w:rFonts w:ascii="Arial" w:eastAsia="Times New Roman" w:hAnsi="Arial" w:cs="Arial"/>
          <w:i/>
          <w:iCs/>
          <w:szCs w:val="28"/>
          <w:lang w:val="uk-UA" w:eastAsia="ru-RU"/>
        </w:rPr>
        <w:t xml:space="preserve">ІІ Міжнародний молодіжний науковий юридичний </w:t>
      </w:r>
      <w:proofErr w:type="gramStart"/>
      <w:r w:rsidRPr="00511005">
        <w:rPr>
          <w:rFonts w:ascii="Arial" w:eastAsia="Times New Roman" w:hAnsi="Arial" w:cs="Arial"/>
          <w:i/>
          <w:iCs/>
          <w:szCs w:val="28"/>
          <w:lang w:val="uk-UA" w:eastAsia="ru-RU"/>
        </w:rPr>
        <w:t>форум</w:t>
      </w:r>
      <w:r w:rsidRPr="00511005">
        <w:rPr>
          <w:rFonts w:ascii="Arial" w:eastAsia="Times New Roman" w:hAnsi="Arial" w:cs="Arial"/>
          <w:szCs w:val="28"/>
          <w:lang w:val="uk-UA" w:eastAsia="ru-RU"/>
        </w:rPr>
        <w:t xml:space="preserve"> :</w:t>
      </w:r>
      <w:proofErr w:type="gramEnd"/>
      <w:r w:rsidRPr="00511005">
        <w:rPr>
          <w:rFonts w:ascii="Arial" w:eastAsia="Times New Roman" w:hAnsi="Arial" w:cs="Arial"/>
          <w:szCs w:val="28"/>
          <w:lang w:val="uk-UA" w:eastAsia="ru-RU"/>
        </w:rPr>
        <w:t xml:space="preserve"> матеріали форуму (м. Київ, Національний авіаційний університет, 16–17 травня 2024 р.). С. 261–264.</w:t>
      </w:r>
    </w:p>
    <w:p w14:paraId="53A5B4A6" w14:textId="77777777" w:rsidR="00532C25" w:rsidRPr="00511005" w:rsidRDefault="00532C25" w:rsidP="003F6A5D">
      <w:pPr>
        <w:numPr>
          <w:ilvl w:val="0"/>
          <w:numId w:val="632"/>
        </w:numPr>
        <w:spacing w:line="264" w:lineRule="auto"/>
        <w:ind w:left="0" w:firstLine="720"/>
        <w:contextualSpacing/>
        <w:jc w:val="left"/>
        <w:rPr>
          <w:rFonts w:ascii="Arial" w:eastAsia="Times New Roman" w:hAnsi="Arial" w:cs="Arial"/>
          <w:szCs w:val="28"/>
          <w:lang w:eastAsia="ru-RU"/>
        </w:rPr>
      </w:pPr>
      <w:proofErr w:type="gramStart"/>
      <w:r w:rsidRPr="00511005">
        <w:rPr>
          <w:rFonts w:ascii="Arial" w:eastAsia="Times New Roman" w:hAnsi="Arial" w:cs="Arial"/>
          <w:szCs w:val="28"/>
          <w:lang w:eastAsia="ru-RU"/>
        </w:rPr>
        <w:t>Криміналістика :</w:t>
      </w:r>
      <w:proofErr w:type="gramEnd"/>
      <w:r w:rsidRPr="00511005">
        <w:rPr>
          <w:rFonts w:ascii="Arial" w:eastAsia="Times New Roman" w:hAnsi="Arial" w:cs="Arial"/>
          <w:szCs w:val="28"/>
          <w:lang w:eastAsia="ru-RU"/>
        </w:rPr>
        <w:t xml:space="preserve"> підручник / [Пясковський В. В., Чорноус Ю. М., Іщенко А. В., Алєксєєв О. О. та ін.] ; за ред. О. О. Алєксєєва. </w:t>
      </w:r>
      <w:proofErr w:type="gramStart"/>
      <w:r w:rsidRPr="00511005">
        <w:rPr>
          <w:rFonts w:ascii="Arial" w:eastAsia="Times New Roman" w:hAnsi="Arial" w:cs="Arial"/>
          <w:szCs w:val="28"/>
          <w:lang w:eastAsia="ru-RU"/>
        </w:rPr>
        <w:t>Київ :</w:t>
      </w:r>
      <w:proofErr w:type="gramEnd"/>
      <w:r w:rsidRPr="00511005">
        <w:rPr>
          <w:rFonts w:ascii="Arial" w:eastAsia="Times New Roman" w:hAnsi="Arial" w:cs="Arial"/>
          <w:szCs w:val="28"/>
          <w:lang w:eastAsia="ru-RU"/>
        </w:rPr>
        <w:t xml:space="preserve"> Центр учбової літератури, 2015. С. 101–106.</w:t>
      </w:r>
    </w:p>
    <w:p w14:paraId="171035C0" w14:textId="77777777" w:rsidR="00532C25" w:rsidRPr="00511005" w:rsidRDefault="00532C25" w:rsidP="003F6A5D">
      <w:pPr>
        <w:numPr>
          <w:ilvl w:val="0"/>
          <w:numId w:val="632"/>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Коваленко А. В. Фіксація та дослідження об’ємних слідів взуття з використанням технологій 3D сканування</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Криміналістика і судова експертиза.</w:t>
      </w:r>
      <w:r w:rsidRPr="00511005">
        <w:rPr>
          <w:rFonts w:ascii="Arial" w:eastAsia="Times New Roman" w:hAnsi="Arial" w:cs="Arial"/>
          <w:szCs w:val="28"/>
          <w:lang w:eastAsia="ru-RU"/>
        </w:rPr>
        <w:t xml:space="preserve"> 2022. Вип. 67. С. 465–472.</w:t>
      </w:r>
    </w:p>
    <w:p w14:paraId="63EABA60" w14:textId="77777777" w:rsidR="00532C25" w:rsidRPr="00511005" w:rsidRDefault="00532C25" w:rsidP="003F6A5D">
      <w:pPr>
        <w:numPr>
          <w:ilvl w:val="0"/>
          <w:numId w:val="632"/>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Стрілець С. О., Піскунова Ю. Є. Проблемні питання трасологічної експертизи слідів низу підошви взуття, що надійшли на дослідження на фотозображеннях</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Молодий вчений.</w:t>
      </w:r>
      <w:r w:rsidRPr="00511005">
        <w:rPr>
          <w:rFonts w:ascii="Arial" w:eastAsia="Times New Roman" w:hAnsi="Arial" w:cs="Arial"/>
          <w:szCs w:val="28"/>
          <w:lang w:eastAsia="ru-RU"/>
        </w:rPr>
        <w:t xml:space="preserve"> 2021. № 11 (99). С. 336–339.</w:t>
      </w:r>
    </w:p>
    <w:p w14:paraId="3EFCD47C" w14:textId="77777777" w:rsidR="00532C25" w:rsidRPr="00511005" w:rsidRDefault="00532C25" w:rsidP="003F6A5D">
      <w:pPr>
        <w:numPr>
          <w:ilvl w:val="0"/>
          <w:numId w:val="632"/>
        </w:numPr>
        <w:spacing w:line="264" w:lineRule="auto"/>
        <w:ind w:left="0" w:firstLine="720"/>
        <w:contextualSpacing/>
        <w:jc w:val="left"/>
        <w:rPr>
          <w:rFonts w:ascii="Arial" w:eastAsia="Times New Roman" w:hAnsi="Arial" w:cs="Arial"/>
          <w:szCs w:val="28"/>
          <w:lang w:val="en-US" w:eastAsia="ru-RU"/>
        </w:rPr>
      </w:pPr>
      <w:r w:rsidRPr="00511005">
        <w:rPr>
          <w:rFonts w:ascii="Arial" w:eastAsia="Times New Roman" w:hAnsi="Arial" w:cs="Arial"/>
          <w:szCs w:val="28"/>
          <w:lang w:val="en-US" w:eastAsia="ru-RU"/>
        </w:rPr>
        <w:t>Budka M., Ashraf A. W.-U., Bennett M. Deep multilabel CNN for forensic footwear impression descriptor identification</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 xml:space="preserve">2021. URL: </w:t>
      </w:r>
      <w:hyperlink r:id="rId1967" w:tgtFrame="_new" w:history="1">
        <w:r w:rsidRPr="00511005">
          <w:rPr>
            <w:rFonts w:ascii="Arial" w:eastAsia="Times New Roman" w:hAnsi="Arial" w:cs="Arial"/>
            <w:szCs w:val="28"/>
            <w:lang w:val="en-US" w:eastAsia="ru-RU"/>
          </w:rPr>
          <w:t>https://arxiv.org/pdf/2102.05090</w:t>
        </w:r>
      </w:hyperlink>
    </w:p>
    <w:p w14:paraId="04706A33" w14:textId="77777777" w:rsidR="00532C25" w:rsidRPr="00511005" w:rsidRDefault="00532C25" w:rsidP="00532C25">
      <w:pPr>
        <w:keepNext/>
        <w:spacing w:line="264" w:lineRule="auto"/>
        <w:ind w:firstLine="720"/>
        <w:rPr>
          <w:rFonts w:ascii="Arial" w:eastAsia="Calibri" w:hAnsi="Arial" w:cs="Arial"/>
          <w:b/>
          <w:szCs w:val="28"/>
          <w:lang w:val="uk-UA"/>
        </w:rPr>
      </w:pPr>
    </w:p>
    <w:p w14:paraId="67A6CF23" w14:textId="77777777" w:rsidR="00532C25" w:rsidRPr="00511005" w:rsidRDefault="00532C25" w:rsidP="00532C25">
      <w:pPr>
        <w:keepNext/>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сліди взуття, криміналістика, трасологія, 3</w:t>
      </w:r>
      <w:r w:rsidRPr="00511005">
        <w:rPr>
          <w:rFonts w:ascii="Arial" w:eastAsia="Calibri" w:hAnsi="Arial" w:cs="Arial"/>
          <w:szCs w:val="28"/>
        </w:rPr>
        <w:t>D</w:t>
      </w:r>
      <w:r w:rsidRPr="00511005">
        <w:rPr>
          <w:rFonts w:ascii="Arial" w:eastAsia="Calibri" w:hAnsi="Arial" w:cs="Arial"/>
          <w:szCs w:val="28"/>
          <w:lang w:val="uk-UA"/>
        </w:rPr>
        <w:t xml:space="preserve">-сканування, ідентифікація, судова експертиза, глибоке навчання, </w:t>
      </w:r>
      <w:r w:rsidRPr="00511005">
        <w:rPr>
          <w:rFonts w:ascii="Arial" w:eastAsia="Calibri" w:hAnsi="Arial" w:cs="Arial"/>
          <w:szCs w:val="28"/>
        </w:rPr>
        <w:t>CNN</w:t>
      </w:r>
      <w:r w:rsidRPr="00511005">
        <w:rPr>
          <w:rFonts w:ascii="Arial" w:eastAsia="Calibri" w:hAnsi="Arial" w:cs="Arial"/>
          <w:szCs w:val="28"/>
          <w:lang w:val="uk-UA"/>
        </w:rPr>
        <w:t>, доказування, фотозйомка.</w:t>
      </w:r>
    </w:p>
    <w:p w14:paraId="05655CCB" w14:textId="77777777" w:rsidR="00532C25" w:rsidRPr="00511005" w:rsidRDefault="00532C25" w:rsidP="00532C25">
      <w:pPr>
        <w:keepNext/>
        <w:spacing w:line="264" w:lineRule="auto"/>
        <w:ind w:firstLine="720"/>
        <w:rPr>
          <w:rFonts w:ascii="Arial" w:eastAsia="Calibri" w:hAnsi="Arial" w:cs="Arial"/>
          <w:szCs w:val="28"/>
          <w:lang w:val="en-US"/>
        </w:rPr>
      </w:pPr>
      <w:r w:rsidRPr="00511005">
        <w:rPr>
          <w:rFonts w:ascii="Arial" w:eastAsia="Calibri" w:hAnsi="Arial" w:cs="Arial"/>
          <w:b/>
          <w:i/>
          <w:szCs w:val="28"/>
          <w:lang w:val="en-US"/>
        </w:rPr>
        <w:t xml:space="preserve">Key words: </w:t>
      </w:r>
      <w:r w:rsidRPr="00511005">
        <w:rPr>
          <w:rFonts w:ascii="Arial" w:eastAsia="Calibri" w:hAnsi="Arial" w:cs="Arial"/>
          <w:szCs w:val="28"/>
          <w:lang w:val="en-US"/>
        </w:rPr>
        <w:t>footwear impressions, criminalistics, trace evidence, 3D scanning, identification, forensic examination, deep learning, CNN, evidence, photography.</w:t>
      </w:r>
    </w:p>
    <w:p w14:paraId="1CA57A84" w14:textId="77777777" w:rsidR="00532C25" w:rsidRPr="00511005" w:rsidRDefault="00532C25" w:rsidP="00532C25">
      <w:pPr>
        <w:keepNext/>
        <w:spacing w:line="264" w:lineRule="auto"/>
        <w:ind w:firstLine="72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i/>
          <w:iCs/>
          <w:szCs w:val="28"/>
          <w:lang w:val="uk-UA"/>
        </w:rPr>
        <w:t xml:space="preserve">к.ю.н., доцент Колодіна А.С. </w:t>
      </w:r>
    </w:p>
    <w:p w14:paraId="1359D839" w14:textId="77777777" w:rsidR="00532C25" w:rsidRPr="00511005" w:rsidRDefault="00532C25" w:rsidP="00532C25">
      <w:pPr>
        <w:spacing w:line="264" w:lineRule="auto"/>
        <w:ind w:firstLine="720"/>
        <w:jc w:val="center"/>
        <w:rPr>
          <w:rFonts w:ascii="Arial" w:eastAsia="Calibri" w:hAnsi="Arial" w:cs="Arial"/>
          <w:b/>
          <w:i/>
          <w:szCs w:val="28"/>
        </w:rPr>
      </w:pPr>
    </w:p>
    <w:p w14:paraId="78C8B402" w14:textId="77777777" w:rsidR="00532C25" w:rsidRPr="00511005" w:rsidRDefault="00532C25" w:rsidP="00532C25">
      <w:pPr>
        <w:spacing w:line="264" w:lineRule="auto"/>
        <w:ind w:right="-694" w:firstLine="0"/>
        <w:jc w:val="left"/>
        <w:rPr>
          <w:rFonts w:ascii="Arial" w:eastAsia="Calibri" w:hAnsi="Arial" w:cs="Arial"/>
          <w:b/>
          <w:szCs w:val="28"/>
        </w:rPr>
      </w:pPr>
    </w:p>
    <w:p w14:paraId="46AE9E7F" w14:textId="77777777" w:rsidR="00532C25" w:rsidRPr="00511005" w:rsidRDefault="00532C25" w:rsidP="00532C25">
      <w:pPr>
        <w:spacing w:line="264" w:lineRule="auto"/>
        <w:jc w:val="center"/>
        <w:rPr>
          <w:rFonts w:ascii="Arial" w:eastAsia="Calibri" w:hAnsi="Arial" w:cs="Arial"/>
          <w:b/>
          <w:i/>
          <w:iCs/>
          <w:szCs w:val="28"/>
        </w:rPr>
      </w:pPr>
      <w:r w:rsidRPr="00511005">
        <w:rPr>
          <w:rFonts w:ascii="Arial" w:eastAsia="Calibri" w:hAnsi="Arial" w:cs="Arial"/>
          <w:b/>
          <w:i/>
          <w:iCs/>
          <w:szCs w:val="28"/>
        </w:rPr>
        <w:t>Іванова Єкатєріна Володимирівна</w:t>
      </w:r>
    </w:p>
    <w:p w14:paraId="34034C06"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7D884C81"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0EBF842"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79FDE82" w14:textId="77777777" w:rsidR="00532C25" w:rsidRPr="00511005" w:rsidRDefault="00532C25" w:rsidP="00532C25">
      <w:pPr>
        <w:spacing w:line="264" w:lineRule="auto"/>
        <w:jc w:val="center"/>
        <w:rPr>
          <w:rFonts w:ascii="Arial" w:eastAsia="Calibri" w:hAnsi="Arial" w:cs="Arial"/>
          <w:b/>
          <w:szCs w:val="28"/>
          <w:lang w:val="uk-UA"/>
        </w:rPr>
      </w:pPr>
    </w:p>
    <w:p w14:paraId="3B27F5AC" w14:textId="77777777" w:rsidR="00532C25" w:rsidRPr="00511005" w:rsidRDefault="00532C25" w:rsidP="00532C25">
      <w:pPr>
        <w:spacing w:line="264" w:lineRule="auto"/>
        <w:jc w:val="center"/>
        <w:rPr>
          <w:rFonts w:ascii="Arial" w:eastAsia="Calibri" w:hAnsi="Arial" w:cs="Arial"/>
          <w:b/>
          <w:szCs w:val="28"/>
        </w:rPr>
      </w:pPr>
      <w:r w:rsidRPr="00511005">
        <w:rPr>
          <w:rFonts w:ascii="Arial" w:eastAsia="Calibri" w:hAnsi="Arial" w:cs="Arial"/>
          <w:b/>
          <w:szCs w:val="28"/>
        </w:rPr>
        <w:t>ОПЕРАТИВНО-РОЗШУКОВА ДІЯЛЬНІСТЬ В УМОВАХ ВОЄННОГО СТАНУ: ОСОБЛИВОСТІ ПРАВОВОГО РЕГУЛЮВАННЯ</w:t>
      </w:r>
    </w:p>
    <w:p w14:paraId="0708962A"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lastRenderedPageBreak/>
        <w:t>Оперативно-розшукова діяльність (ОРД) є важливим інструментом у забезпеченні національної безпеки та правопорядку в Україні. В умовах воєнного стану, який оголошується на території країни у разі загрози зовнішньої агресії або збройного конфлікту, діяльність правоохоронних органів набуває особливої значущості. Воєнний стан вимагає від державних органів особливої мобілізації ресурсів, а також змін в правовому регулюванні їх діяльності. Оперативно-розшукова діяльність в таких умовах стає ключовим елементом захисту держави від внутрішніх та зовнішніх загроз.</w:t>
      </w:r>
    </w:p>
    <w:p w14:paraId="6F757217"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t>Правове регулювання оперативно-розшукової діяльності визначається рядом законодавчих актів, які мають на меті забезпечити безпеку громадян, захист державної таємниці, попередження злочинів та забезпечення правопорядку. Особливо важливими є зміни та доповнення до законодавства, що вводяться під час воєнного стану, оскільки вони повинні відповідати виключним умовам воєнного часу, коли загроза національній безпеці є особливо високою</w:t>
      </w:r>
      <w:r w:rsidRPr="00511005">
        <w:rPr>
          <w:rFonts w:ascii="Arial" w:eastAsia="Calibri" w:hAnsi="Arial" w:cs="Arial"/>
          <w:szCs w:val="28"/>
        </w:rPr>
        <w:t xml:space="preserve"> [</w:t>
      </w:r>
      <w:proofErr w:type="gramStart"/>
      <w:r w:rsidRPr="00511005">
        <w:rPr>
          <w:rFonts w:ascii="Arial" w:eastAsia="Calibri" w:hAnsi="Arial" w:cs="Arial"/>
          <w:szCs w:val="28"/>
        </w:rPr>
        <w:t>1,</w:t>
      </w:r>
      <w:r w:rsidRPr="00511005">
        <w:rPr>
          <w:rFonts w:ascii="Arial" w:eastAsia="Calibri" w:hAnsi="Arial" w:cs="Arial"/>
          <w:szCs w:val="28"/>
          <w:lang w:val="en-US"/>
        </w:rPr>
        <w:t>c</w:t>
      </w:r>
      <w:r w:rsidRPr="00511005">
        <w:rPr>
          <w:rFonts w:ascii="Arial" w:eastAsia="Calibri" w:hAnsi="Arial" w:cs="Arial"/>
          <w:szCs w:val="28"/>
        </w:rPr>
        <w:t>.</w:t>
      </w:r>
      <w:proofErr w:type="gramEnd"/>
      <w:r w:rsidRPr="00511005">
        <w:rPr>
          <w:rFonts w:ascii="Arial" w:eastAsia="Calibri" w:hAnsi="Arial" w:cs="Arial"/>
          <w:szCs w:val="28"/>
        </w:rPr>
        <w:t>15]</w:t>
      </w:r>
      <w:r w:rsidRPr="00511005">
        <w:rPr>
          <w:rFonts w:ascii="Arial" w:eastAsia="Calibri" w:hAnsi="Arial" w:cs="Arial"/>
          <w:szCs w:val="28"/>
          <w:lang w:eastAsia="uk-UA"/>
        </w:rPr>
        <w:t>.</w:t>
      </w:r>
    </w:p>
    <w:p w14:paraId="07A6DC56"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t>ОРД включає в себе комплекс заходів, спрямованих на попередження, розкриття та розслідування злочинів, а також на виявлення осіб, які можуть бути пов'язані з протиправною діяльністю. У цей процес включаються різні органи, зокрема правоохоронні та розвідувальні структури, що повинні діяти у відповідності до законодавства, однак під час воєнного стану виникають певні специфічні правові механізми, що надають органам державної влади більш широкі повноваження для реалізації оперативно-розшукової діяльності.</w:t>
      </w:r>
    </w:p>
    <w:p w14:paraId="275F8C03"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t xml:space="preserve">Основним документом, що регулює оперативно-розшукову діяльність в Україні, є Закон України «Про оперативно-розшукову діяльність», прийнятий 18 лютого 1992 року. Цей закон встановлює порядок проведення оперативно-розшукових заходів, регулює діяльність правоохоронних органів, визначає правовий статус учасників процесу та гарантії прав людини. Однак у зв'язку з оголошенням воєнного стану цей закон зазнає доповнень і змін, які дозволяють правоохоронним органам застосовувати більш жорсткі методи боротьби з правопорушниками, а також розширюють повноваження щодо збору інформації та моніторингу </w:t>
      </w:r>
      <w:proofErr w:type="gramStart"/>
      <w:r w:rsidRPr="00511005">
        <w:rPr>
          <w:rFonts w:ascii="Arial" w:eastAsia="Calibri" w:hAnsi="Arial" w:cs="Arial"/>
          <w:szCs w:val="28"/>
          <w:lang w:eastAsia="uk-UA"/>
        </w:rPr>
        <w:t>безпеки</w:t>
      </w:r>
      <w:r w:rsidRPr="00511005">
        <w:rPr>
          <w:rFonts w:ascii="Arial" w:eastAsia="Calibri" w:hAnsi="Arial" w:cs="Arial"/>
          <w:szCs w:val="28"/>
        </w:rPr>
        <w:t>[</w:t>
      </w:r>
      <w:proofErr w:type="gramEnd"/>
      <w:r w:rsidRPr="00511005">
        <w:rPr>
          <w:rFonts w:ascii="Arial" w:eastAsia="Calibri" w:hAnsi="Arial" w:cs="Arial"/>
          <w:szCs w:val="28"/>
        </w:rPr>
        <w:t>2]</w:t>
      </w:r>
      <w:r w:rsidRPr="00511005">
        <w:rPr>
          <w:rFonts w:ascii="Arial" w:eastAsia="Calibri" w:hAnsi="Arial" w:cs="Arial"/>
          <w:szCs w:val="28"/>
          <w:lang w:eastAsia="uk-UA"/>
        </w:rPr>
        <w:t>.</w:t>
      </w:r>
    </w:p>
    <w:p w14:paraId="178B0E7B"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t xml:space="preserve">Одним з найбільш значущих аспектів правового регулювання ОРД в умовах воєнного стану є можливість оперативного втручання правоохоронних органів у приватне життя громадян. Воєнний стан дозволяє органам влади застосовувати методи, які в умовах мирного часу були б заборонені, зокрема, проводити розшукові заходи без попереднього отримання судового рішення. Це включає в себе можливість прослуховування телефонних розмов, спостереження за підозрюваними особами, а також вилучення документів і предметів без судового дозволу, якщо це необхідно для забезпечення національної безпеки </w:t>
      </w:r>
      <w:r w:rsidRPr="00511005">
        <w:rPr>
          <w:rFonts w:ascii="Arial" w:eastAsia="Calibri" w:hAnsi="Arial" w:cs="Arial"/>
          <w:szCs w:val="28"/>
        </w:rPr>
        <w:t>[</w:t>
      </w:r>
      <w:proofErr w:type="gramStart"/>
      <w:r w:rsidRPr="00511005">
        <w:rPr>
          <w:rFonts w:ascii="Arial" w:eastAsia="Calibri" w:hAnsi="Arial" w:cs="Arial"/>
          <w:szCs w:val="28"/>
        </w:rPr>
        <w:t>3,</w:t>
      </w:r>
      <w:r w:rsidRPr="00511005">
        <w:rPr>
          <w:rFonts w:ascii="Arial" w:eastAsia="Calibri" w:hAnsi="Arial" w:cs="Arial"/>
          <w:szCs w:val="28"/>
          <w:lang w:val="en-US"/>
        </w:rPr>
        <w:t>c</w:t>
      </w:r>
      <w:r w:rsidRPr="00511005">
        <w:rPr>
          <w:rFonts w:ascii="Arial" w:eastAsia="Calibri" w:hAnsi="Arial" w:cs="Arial"/>
          <w:szCs w:val="28"/>
        </w:rPr>
        <w:t>.</w:t>
      </w:r>
      <w:proofErr w:type="gramEnd"/>
      <w:r w:rsidRPr="00511005">
        <w:rPr>
          <w:rFonts w:ascii="Arial" w:eastAsia="Calibri" w:hAnsi="Arial" w:cs="Arial"/>
          <w:szCs w:val="28"/>
        </w:rPr>
        <w:t>44]</w:t>
      </w:r>
      <w:r w:rsidRPr="00511005">
        <w:rPr>
          <w:rFonts w:ascii="Arial" w:eastAsia="Calibri" w:hAnsi="Arial" w:cs="Arial"/>
          <w:szCs w:val="28"/>
          <w:lang w:eastAsia="uk-UA"/>
        </w:rPr>
        <w:t>.</w:t>
      </w:r>
    </w:p>
    <w:p w14:paraId="4CB751C9"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lastRenderedPageBreak/>
        <w:t>Незважаючи на ці значні розширення прав правоохоронних органів, важливим є забезпечення балансу між безпекою держави та захистом прав людини. Під час воєнного стану велика увага повинна приділятися тому, щоб ці заходи не порушували основні права громадян, що є запорукою демократичного устрою України. Існує необхідність здійснення контролю за діяльністю правоохоронних органів, щоб уникнути зловживань і порушень прав людини.</w:t>
      </w:r>
    </w:p>
    <w:p w14:paraId="2FC96257"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t>В умовах воєнного стану оперативно-розшукова діяльність стикається з цілим рядом проблем та викликів. Однією з основних проблем є необхідність швидкої адаптації правоохоронних органів до нових умов. Бойові дії, а також значне збільшення загроз з боку агресора можуть значно ускладнити розкриття злочинів та боротьбу з терористичними загрозами. Це вимагає оперативного втручання, спрощення деяких процедур та залучення додаткових ресурсів</w:t>
      </w:r>
      <w:r w:rsidRPr="00511005">
        <w:rPr>
          <w:rFonts w:ascii="Arial" w:eastAsia="Calibri" w:hAnsi="Arial" w:cs="Arial"/>
          <w:szCs w:val="28"/>
        </w:rPr>
        <w:t>[</w:t>
      </w:r>
      <w:proofErr w:type="gramStart"/>
      <w:r w:rsidRPr="00511005">
        <w:rPr>
          <w:rFonts w:ascii="Arial" w:eastAsia="Calibri" w:hAnsi="Arial" w:cs="Arial"/>
          <w:szCs w:val="28"/>
        </w:rPr>
        <w:t>4,</w:t>
      </w:r>
      <w:r w:rsidRPr="00511005">
        <w:rPr>
          <w:rFonts w:ascii="Arial" w:eastAsia="Calibri" w:hAnsi="Arial" w:cs="Arial"/>
          <w:szCs w:val="28"/>
          <w:lang w:val="en-US"/>
        </w:rPr>
        <w:t>c</w:t>
      </w:r>
      <w:r w:rsidRPr="00511005">
        <w:rPr>
          <w:rFonts w:ascii="Arial" w:eastAsia="Calibri" w:hAnsi="Arial" w:cs="Arial"/>
          <w:szCs w:val="28"/>
        </w:rPr>
        <w:t>.</w:t>
      </w:r>
      <w:proofErr w:type="gramEnd"/>
      <w:r w:rsidRPr="00511005">
        <w:rPr>
          <w:rFonts w:ascii="Arial" w:eastAsia="Calibri" w:hAnsi="Arial" w:cs="Arial"/>
          <w:szCs w:val="28"/>
        </w:rPr>
        <w:t>10]</w:t>
      </w:r>
      <w:r w:rsidRPr="00511005">
        <w:rPr>
          <w:rFonts w:ascii="Arial" w:eastAsia="Calibri" w:hAnsi="Arial" w:cs="Arial"/>
          <w:szCs w:val="28"/>
          <w:lang w:eastAsia="uk-UA"/>
        </w:rPr>
        <w:t>.</w:t>
      </w:r>
    </w:p>
    <w:p w14:paraId="5BCE60AC"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t xml:space="preserve">Одним з найбільших викликів є необхідність мобілізації людських і матеріальних ресурсів для забезпечення безпеки в умовах збройного конфлікту. Багато правоохоронних органів на початковому етапі воєнного стану можуть зазнати дефіциту в персоналі через мобілізацію чи втрати серед особового складу. Це вимагає своєчасного підвищення кваліфікації співробітників, підготовки нових кадрів і удосконалення матеріально-технічного забезпечення. Без належної підготовки правоохоронні органи можуть не впоратися з величезним обсягом роботи, що призведе до невиконання їх основних </w:t>
      </w:r>
      <w:proofErr w:type="gramStart"/>
      <w:r w:rsidRPr="00511005">
        <w:rPr>
          <w:rFonts w:ascii="Arial" w:eastAsia="Calibri" w:hAnsi="Arial" w:cs="Arial"/>
          <w:szCs w:val="28"/>
          <w:lang w:eastAsia="uk-UA"/>
        </w:rPr>
        <w:t>завдань</w:t>
      </w:r>
      <w:r w:rsidRPr="00511005">
        <w:rPr>
          <w:rFonts w:ascii="Arial" w:eastAsia="Calibri" w:hAnsi="Arial" w:cs="Arial"/>
          <w:szCs w:val="28"/>
        </w:rPr>
        <w:t>[</w:t>
      </w:r>
      <w:proofErr w:type="gramEnd"/>
      <w:r w:rsidRPr="00511005">
        <w:rPr>
          <w:rFonts w:ascii="Arial" w:eastAsia="Calibri" w:hAnsi="Arial" w:cs="Arial"/>
          <w:szCs w:val="28"/>
        </w:rPr>
        <w:t>2]</w:t>
      </w:r>
      <w:r w:rsidRPr="00511005">
        <w:rPr>
          <w:rFonts w:ascii="Arial" w:eastAsia="Calibri" w:hAnsi="Arial" w:cs="Arial"/>
          <w:szCs w:val="28"/>
          <w:lang w:eastAsia="uk-UA"/>
        </w:rPr>
        <w:t>.</w:t>
      </w:r>
    </w:p>
    <w:p w14:paraId="175F81C0"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t>Ще одним викликом є необхідність швидкої адаптації законодавства до умов воєнного часу. Правоохоронні органи повинні мати можливість оперативно реагувати на нові загрози, зокрема, на діяльність терористичних груп та організацій, що можуть намагатися скористатися ситуацією для здійснення протиправної діяльності. Законодавство повинно забезпечити правоохоронцям необхідні повноваження для негайного втручання, при цьому, однак, не порушуючи прав і свобод громадян.</w:t>
      </w:r>
    </w:p>
    <w:p w14:paraId="46015F5E"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t xml:space="preserve">Оперативно-розшукова діяльність в умовах воєнного стану є одним з основних інструментів боротьби з тероризмом, диверсіями та іншими загрозами національній безпеці. Вона дозволяє вчасно виявляти потенційні загрози, знешкоджувати ворожі елементи та забезпечувати безпеку важливих державних об'єктів. В умовах воєнного часу роль ОРД зростає, оскільки вона дозволяє своєчасно виявляти не тільки традиційні злочини, але й нові загрози, які можуть виникнути через зовнішній вплив </w:t>
      </w:r>
      <w:r w:rsidRPr="00511005">
        <w:rPr>
          <w:rFonts w:ascii="Arial" w:eastAsia="Calibri" w:hAnsi="Arial" w:cs="Arial"/>
          <w:szCs w:val="28"/>
        </w:rPr>
        <w:t>[</w:t>
      </w:r>
      <w:proofErr w:type="gramStart"/>
      <w:r w:rsidRPr="00511005">
        <w:rPr>
          <w:rFonts w:ascii="Arial" w:eastAsia="Calibri" w:hAnsi="Arial" w:cs="Arial"/>
          <w:szCs w:val="28"/>
        </w:rPr>
        <w:t>4,</w:t>
      </w:r>
      <w:r w:rsidRPr="00511005">
        <w:rPr>
          <w:rFonts w:ascii="Arial" w:eastAsia="Calibri" w:hAnsi="Arial" w:cs="Arial"/>
          <w:szCs w:val="28"/>
          <w:lang w:val="en-US"/>
        </w:rPr>
        <w:t>c</w:t>
      </w:r>
      <w:r w:rsidRPr="00511005">
        <w:rPr>
          <w:rFonts w:ascii="Arial" w:eastAsia="Calibri" w:hAnsi="Arial" w:cs="Arial"/>
          <w:szCs w:val="28"/>
        </w:rPr>
        <w:t>.</w:t>
      </w:r>
      <w:proofErr w:type="gramEnd"/>
      <w:r w:rsidRPr="00511005">
        <w:rPr>
          <w:rFonts w:ascii="Arial" w:eastAsia="Calibri" w:hAnsi="Arial" w:cs="Arial"/>
          <w:szCs w:val="28"/>
        </w:rPr>
        <w:t>33]</w:t>
      </w:r>
      <w:r w:rsidRPr="00511005">
        <w:rPr>
          <w:rFonts w:ascii="Arial" w:eastAsia="Calibri" w:hAnsi="Arial" w:cs="Arial"/>
          <w:szCs w:val="28"/>
          <w:lang w:eastAsia="uk-UA"/>
        </w:rPr>
        <w:t>.</w:t>
      </w:r>
    </w:p>
    <w:p w14:paraId="3DB470F7"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t xml:space="preserve">Одним з важливих аспектів оперативно-розшукової діяльності є те, що під час воєнного стану правоохоронці можуть застосовувати додаткові методи розслідування, включаючи співпрацю з міжнародними розвідувальними службами. Це дає можливість оперативно обмінюватися </w:t>
      </w:r>
      <w:r w:rsidRPr="00511005">
        <w:rPr>
          <w:rFonts w:ascii="Arial" w:eastAsia="Calibri" w:hAnsi="Arial" w:cs="Arial"/>
          <w:szCs w:val="28"/>
          <w:lang w:eastAsia="uk-UA"/>
        </w:rPr>
        <w:lastRenderedPageBreak/>
        <w:t>інформацією, отримувати додаткові дані для розслідувань та запобігати новим загрозам.</w:t>
      </w:r>
    </w:p>
    <w:p w14:paraId="4E5E8913"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t xml:space="preserve">Застосування високотехнологічних методів збору інформації, таких як прослуховування, відеоспостереження та інші інструменти, стає ще важливішим в умовах воєнного стану. Оскільки воєнні дії можуть порушити нормальний хід розслідувань, саме новітні технології дають змогу оперативно реагувати на загрози та запобігати ескалації ситуації </w:t>
      </w:r>
      <w:r w:rsidRPr="00511005">
        <w:rPr>
          <w:rFonts w:ascii="Arial" w:eastAsia="Calibri" w:hAnsi="Arial" w:cs="Arial"/>
          <w:szCs w:val="28"/>
        </w:rPr>
        <w:t>[3,</w:t>
      </w:r>
      <w:r w:rsidRPr="00511005">
        <w:rPr>
          <w:rFonts w:ascii="Arial" w:eastAsia="Calibri" w:hAnsi="Arial" w:cs="Arial"/>
          <w:szCs w:val="28"/>
          <w:lang w:val="uk-UA"/>
        </w:rPr>
        <w:t xml:space="preserve"> </w:t>
      </w:r>
      <w:r w:rsidRPr="00511005">
        <w:rPr>
          <w:rFonts w:ascii="Arial" w:eastAsia="Calibri" w:hAnsi="Arial" w:cs="Arial"/>
          <w:szCs w:val="28"/>
          <w:lang w:val="en-US"/>
        </w:rPr>
        <w:t>c</w:t>
      </w:r>
      <w:r w:rsidRPr="00511005">
        <w:rPr>
          <w:rFonts w:ascii="Arial" w:eastAsia="Calibri" w:hAnsi="Arial" w:cs="Arial"/>
          <w:szCs w:val="28"/>
        </w:rPr>
        <w:t>.22]</w:t>
      </w:r>
      <w:r w:rsidRPr="00511005">
        <w:rPr>
          <w:rFonts w:ascii="Arial" w:eastAsia="Calibri" w:hAnsi="Arial" w:cs="Arial"/>
          <w:szCs w:val="28"/>
          <w:lang w:eastAsia="uk-UA"/>
        </w:rPr>
        <w:t>.</w:t>
      </w:r>
    </w:p>
    <w:p w14:paraId="1BBD7379" w14:textId="77777777" w:rsidR="00532C25" w:rsidRPr="00511005" w:rsidRDefault="00532C25" w:rsidP="00532C25">
      <w:pPr>
        <w:spacing w:line="264" w:lineRule="auto"/>
        <w:rPr>
          <w:rFonts w:ascii="Arial" w:eastAsia="Calibri" w:hAnsi="Arial" w:cs="Arial"/>
          <w:szCs w:val="28"/>
          <w:lang w:eastAsia="uk-UA"/>
        </w:rPr>
      </w:pPr>
      <w:r w:rsidRPr="00511005">
        <w:rPr>
          <w:rFonts w:ascii="Arial" w:eastAsia="Calibri" w:hAnsi="Arial" w:cs="Arial"/>
          <w:szCs w:val="28"/>
          <w:lang w:eastAsia="uk-UA"/>
        </w:rPr>
        <w:t>Оперативно-розшукова діяльність в Україні в умовах воєнного стану має потенціал для подальшого розвитку та вдосконалення. Важливим напрямом є підвищення кваліфікації правоохоронців, використання сучасних технологій та методів розслідування. Також необхідно приділяти увагу удосконаленню законодавства, зокрема, щодо правового регулювання застосування спеціальних заходів у боротьбі з тероризмом та диверсіями. Перспективи розвитку ОРД полягають у створенні більш ефективної системи взаємодії між різними правоохоронними та розвідувальними структурами, а також у розширенні можливостей для міжнародної співпраці у боротьбі з загрозами національній безпеці.</w:t>
      </w:r>
    </w:p>
    <w:p w14:paraId="4E03AD11" w14:textId="77777777" w:rsidR="00532C25" w:rsidRPr="00511005" w:rsidRDefault="00532C25" w:rsidP="00532C25">
      <w:pPr>
        <w:spacing w:line="264" w:lineRule="auto"/>
        <w:ind w:firstLine="0"/>
        <w:rPr>
          <w:rFonts w:ascii="Arial" w:eastAsia="Calibri" w:hAnsi="Arial" w:cs="Arial"/>
          <w:szCs w:val="28"/>
          <w:lang w:eastAsia="uk-UA"/>
        </w:rPr>
      </w:pPr>
    </w:p>
    <w:p w14:paraId="7E134348" w14:textId="77777777" w:rsidR="00532C25" w:rsidRPr="00511005" w:rsidRDefault="00532C25" w:rsidP="00532C25">
      <w:pPr>
        <w:spacing w:line="264" w:lineRule="auto"/>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440926C1" w14:textId="77777777" w:rsidR="00532C25" w:rsidRPr="00511005" w:rsidRDefault="00532C25" w:rsidP="003F6A5D">
      <w:pPr>
        <w:numPr>
          <w:ilvl w:val="0"/>
          <w:numId w:val="674"/>
        </w:numPr>
        <w:spacing w:line="264" w:lineRule="auto"/>
        <w:ind w:left="0" w:firstLine="357"/>
        <w:contextualSpacing/>
        <w:jc w:val="left"/>
        <w:rPr>
          <w:rFonts w:ascii="Arial" w:eastAsia="Times New Roman" w:hAnsi="Arial" w:cs="Arial"/>
          <w:szCs w:val="28"/>
          <w:lang w:eastAsia="uk-UA"/>
        </w:rPr>
      </w:pPr>
      <w:r w:rsidRPr="00511005">
        <w:rPr>
          <w:rFonts w:ascii="Arial" w:eastAsia="Times New Roman" w:hAnsi="Arial" w:cs="Arial"/>
          <w:szCs w:val="28"/>
          <w:lang w:eastAsia="uk-UA"/>
        </w:rPr>
        <w:t>Засоби оперативно-розшукової діяльності ОВС (лекція) / Дрозд Ю. В., Телійчук В. Г. та ін. Кіровоград: Кір.ЮІ НУВС України, 2004. 19 с.</w:t>
      </w:r>
    </w:p>
    <w:p w14:paraId="2E208EDC" w14:textId="77777777" w:rsidR="00532C25" w:rsidRPr="00511005" w:rsidRDefault="00532C25" w:rsidP="003F6A5D">
      <w:pPr>
        <w:numPr>
          <w:ilvl w:val="0"/>
          <w:numId w:val="674"/>
        </w:numPr>
        <w:spacing w:line="264" w:lineRule="auto"/>
        <w:ind w:left="0" w:firstLine="357"/>
        <w:contextualSpacing/>
        <w:jc w:val="left"/>
        <w:rPr>
          <w:rFonts w:ascii="Arial" w:eastAsia="Times New Roman" w:hAnsi="Arial" w:cs="Arial"/>
          <w:szCs w:val="28"/>
          <w:lang w:eastAsia="uk-UA"/>
        </w:rPr>
      </w:pPr>
      <w:r w:rsidRPr="00511005">
        <w:rPr>
          <w:rFonts w:ascii="Arial" w:eastAsia="Times New Roman" w:hAnsi="Arial" w:cs="Arial"/>
          <w:szCs w:val="28"/>
          <w:lang w:eastAsia="uk-UA"/>
        </w:rPr>
        <w:t xml:space="preserve">Пеньков С. В. Класифікація засобів оперативно-розшукової діяльності. </w:t>
      </w:r>
      <w:r w:rsidRPr="00511005">
        <w:rPr>
          <w:rFonts w:ascii="Arial" w:eastAsia="Times New Roman" w:hAnsi="Arial" w:cs="Arial"/>
          <w:i/>
          <w:iCs/>
          <w:szCs w:val="28"/>
          <w:lang w:eastAsia="uk-UA"/>
        </w:rPr>
        <w:t>Форум права</w:t>
      </w:r>
      <w:r w:rsidRPr="00511005">
        <w:rPr>
          <w:rFonts w:ascii="Arial" w:eastAsia="Times New Roman" w:hAnsi="Arial" w:cs="Arial"/>
          <w:szCs w:val="28"/>
          <w:lang w:eastAsia="uk-UA"/>
        </w:rPr>
        <w:t xml:space="preserve">. 2016. №3. С. 199-202. </w:t>
      </w:r>
      <w:r w:rsidRPr="00511005">
        <w:rPr>
          <w:rFonts w:ascii="Arial" w:eastAsia="Times New Roman" w:hAnsi="Arial" w:cs="Arial"/>
          <w:szCs w:val="28"/>
          <w:lang w:val="en-US" w:eastAsia="uk-UA"/>
        </w:rPr>
        <w:t>URL</w:t>
      </w:r>
      <w:r w:rsidRPr="00511005">
        <w:rPr>
          <w:rFonts w:ascii="Arial" w:eastAsia="Times New Roman" w:hAnsi="Arial" w:cs="Arial"/>
          <w:szCs w:val="28"/>
          <w:lang w:eastAsia="uk-UA"/>
        </w:rPr>
        <w:t>: https://dspace.univd.edu.ua/xmlui/bitstream/handle/123456789/1231/klasifikaciya_zasobiv_operativno_rozshuk.pdf?sequence=2</w:t>
      </w:r>
    </w:p>
    <w:p w14:paraId="3215521C" w14:textId="77777777" w:rsidR="00532C25" w:rsidRPr="00511005" w:rsidRDefault="00532C25" w:rsidP="003F6A5D">
      <w:pPr>
        <w:numPr>
          <w:ilvl w:val="0"/>
          <w:numId w:val="674"/>
        </w:numPr>
        <w:spacing w:line="264" w:lineRule="auto"/>
        <w:ind w:left="0" w:firstLine="357"/>
        <w:contextualSpacing/>
        <w:jc w:val="left"/>
        <w:rPr>
          <w:rFonts w:ascii="Arial" w:eastAsia="Times New Roman" w:hAnsi="Arial" w:cs="Arial"/>
          <w:szCs w:val="28"/>
          <w:lang w:eastAsia="uk-UA"/>
        </w:rPr>
      </w:pPr>
      <w:r w:rsidRPr="00511005">
        <w:rPr>
          <w:rFonts w:ascii="Arial" w:eastAsia="Times New Roman" w:hAnsi="Arial" w:cs="Arial"/>
          <w:szCs w:val="28"/>
          <w:lang w:eastAsia="uk-UA"/>
        </w:rPr>
        <w:t xml:space="preserve">Скулиш Є. Д. Кримінальний процесуальний кодекс України 2012 року - імпульс оновлення оперативно-розшукової діяльності. </w:t>
      </w:r>
      <w:r w:rsidRPr="00511005">
        <w:rPr>
          <w:rFonts w:ascii="Arial" w:eastAsia="Times New Roman" w:hAnsi="Arial" w:cs="Arial"/>
          <w:i/>
          <w:iCs/>
          <w:szCs w:val="28"/>
          <w:lang w:eastAsia="uk-UA"/>
        </w:rPr>
        <w:t>Оперативно-розшукова діяльність ОВС</w:t>
      </w:r>
      <w:r w:rsidRPr="00511005">
        <w:rPr>
          <w:rFonts w:ascii="Arial" w:eastAsia="Times New Roman" w:hAnsi="Arial" w:cs="Arial"/>
          <w:szCs w:val="28"/>
          <w:lang w:eastAsia="uk-UA"/>
        </w:rPr>
        <w:t>: проблеми теорії та практики: матеріали Всеукр. наук.-практ. конф. (м. Дніпропетровськ, 21 вересня 2012 р.). Дніпропетровськ: ДДУВС, 2012. С. 186-189.</w:t>
      </w:r>
    </w:p>
    <w:p w14:paraId="76FBBAE2" w14:textId="77777777" w:rsidR="00532C25" w:rsidRPr="00511005" w:rsidRDefault="00532C25" w:rsidP="003F6A5D">
      <w:pPr>
        <w:numPr>
          <w:ilvl w:val="0"/>
          <w:numId w:val="674"/>
        </w:numPr>
        <w:spacing w:line="264" w:lineRule="auto"/>
        <w:ind w:left="0" w:firstLine="357"/>
        <w:contextualSpacing/>
        <w:jc w:val="left"/>
        <w:rPr>
          <w:rFonts w:ascii="Arial" w:eastAsia="Times New Roman" w:hAnsi="Arial" w:cs="Arial"/>
          <w:szCs w:val="28"/>
          <w:lang w:eastAsia="uk-UA"/>
        </w:rPr>
      </w:pPr>
      <w:r w:rsidRPr="00511005">
        <w:rPr>
          <w:rFonts w:ascii="Arial" w:eastAsia="Times New Roman" w:hAnsi="Arial" w:cs="Arial"/>
          <w:szCs w:val="28"/>
          <w:lang w:eastAsia="uk-UA"/>
        </w:rPr>
        <w:t>Чернєй В. В., Гусарєв С. Д., Чернявський С. С. та ін. Актуальні питання та перспективи використання оперативно-розшукових засобів у розкритті злочинів в умовах воєнного стану: матеріали міжвідом. наук.-практ. конф. (Київ, 30 березня 2023 р.) / редкол.: В. В. Чернєй, С. Д. Гусарєв, С. С. Чернявський та ін. Київ: Нац. акад. внутр. справ, 2023. 294 с.</w:t>
      </w:r>
    </w:p>
    <w:p w14:paraId="323D7194"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b/>
          <w:bCs/>
          <w:i/>
          <w:iCs/>
          <w:szCs w:val="28"/>
          <w:lang w:val="uk-UA" w:eastAsia="ru-RU"/>
        </w:rPr>
      </w:pPr>
    </w:p>
    <w:p w14:paraId="7A3B0FCE"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i/>
          <w:iCs/>
          <w:szCs w:val="28"/>
          <w:lang w:eastAsia="ru-RU"/>
        </w:rPr>
      </w:pPr>
      <w:r w:rsidRPr="00511005">
        <w:rPr>
          <w:rFonts w:ascii="Arial" w:eastAsia="Times New Roman" w:hAnsi="Arial" w:cs="Arial"/>
          <w:b/>
          <w:bCs/>
          <w:i/>
          <w:iCs/>
          <w:szCs w:val="28"/>
          <w:lang w:val="uk-UA" w:eastAsia="ru-RU"/>
        </w:rPr>
        <w:t xml:space="preserve">Ключові слова: </w:t>
      </w:r>
      <w:r w:rsidRPr="00511005">
        <w:rPr>
          <w:rFonts w:ascii="Arial" w:eastAsia="Times New Roman" w:hAnsi="Arial" w:cs="Arial"/>
          <w:i/>
          <w:iCs/>
          <w:szCs w:val="28"/>
          <w:lang w:val="uk-UA" w:eastAsia="ru-RU"/>
        </w:rPr>
        <w:t xml:space="preserve">оперативно-розшукова діяльність, воєнний стан, правове регулювання, оперативні підрозділи. </w:t>
      </w:r>
    </w:p>
    <w:p w14:paraId="46DA5842"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val="uk-UA" w:eastAsia="ru-RU"/>
        </w:rPr>
      </w:pPr>
      <w:r w:rsidRPr="00511005">
        <w:rPr>
          <w:rFonts w:ascii="Arial" w:eastAsia="Times New Roman" w:hAnsi="Arial" w:cs="Arial"/>
          <w:b/>
          <w:bCs/>
          <w:i/>
          <w:iCs/>
          <w:szCs w:val="28"/>
          <w:lang w:val="en-GB" w:eastAsia="ru-RU"/>
        </w:rPr>
        <w:t xml:space="preserve">Key words: </w:t>
      </w:r>
      <w:r w:rsidRPr="00511005">
        <w:rPr>
          <w:rFonts w:ascii="Arial" w:eastAsia="Times New Roman" w:hAnsi="Arial" w:cs="Arial"/>
          <w:szCs w:val="28"/>
          <w:lang w:val="en-US" w:eastAsia="ru-RU"/>
        </w:rPr>
        <w:t xml:space="preserve">operational and investigative activities, martial law, legal regulation, operational </w:t>
      </w:r>
      <w:proofErr w:type="gramStart"/>
      <w:r w:rsidRPr="00511005">
        <w:rPr>
          <w:rFonts w:ascii="Arial" w:eastAsia="Times New Roman" w:hAnsi="Arial" w:cs="Arial"/>
          <w:szCs w:val="28"/>
          <w:lang w:val="en-US" w:eastAsia="ru-RU"/>
        </w:rPr>
        <w:t>units.knowledge</w:t>
      </w:r>
      <w:proofErr w:type="gramEnd"/>
      <w:r w:rsidRPr="00511005">
        <w:rPr>
          <w:rFonts w:ascii="Arial" w:eastAsia="Times New Roman" w:hAnsi="Arial" w:cs="Arial"/>
          <w:szCs w:val="28"/>
          <w:lang w:val="en-US" w:eastAsia="ru-RU"/>
        </w:rPr>
        <w:t>.</w:t>
      </w:r>
    </w:p>
    <w:p w14:paraId="4178B0B8"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val="uk-UA" w:eastAsia="ru-RU"/>
        </w:rPr>
      </w:pPr>
      <w:r w:rsidRPr="00511005">
        <w:rPr>
          <w:rFonts w:ascii="Arial" w:eastAsia="Times New Roman" w:hAnsi="Arial" w:cs="Arial"/>
          <w:b/>
          <w:i/>
          <w:iCs/>
          <w:szCs w:val="28"/>
          <w:lang w:val="uk-UA" w:eastAsia="ru-RU"/>
        </w:rPr>
        <w:t xml:space="preserve">Науковий керівник: </w:t>
      </w:r>
      <w:r w:rsidRPr="00511005">
        <w:rPr>
          <w:rFonts w:ascii="Arial" w:eastAsia="Times New Roman" w:hAnsi="Arial" w:cs="Arial"/>
          <w:i/>
          <w:iCs/>
          <w:szCs w:val="28"/>
          <w:lang w:val="uk-UA" w:eastAsia="ru-RU"/>
        </w:rPr>
        <w:t>к.ю.н.</w:t>
      </w:r>
      <w:r w:rsidRPr="00511005">
        <w:rPr>
          <w:rFonts w:ascii="Arial" w:eastAsia="Times New Roman" w:hAnsi="Arial" w:cs="Arial"/>
          <w:i/>
          <w:iCs/>
          <w:szCs w:val="28"/>
          <w:lang w:eastAsia="ru-RU"/>
        </w:rPr>
        <w:t>,</w:t>
      </w:r>
      <w:r w:rsidRPr="00511005">
        <w:rPr>
          <w:rFonts w:ascii="Arial" w:eastAsia="Times New Roman" w:hAnsi="Arial" w:cs="Arial"/>
          <w:i/>
          <w:iCs/>
          <w:szCs w:val="28"/>
          <w:lang w:val="uk-UA" w:eastAsia="ru-RU"/>
        </w:rPr>
        <w:t xml:space="preserve"> доцент Гресь Ю.О.</w:t>
      </w:r>
    </w:p>
    <w:p w14:paraId="4E206D64" w14:textId="77777777" w:rsidR="00532C25" w:rsidRPr="00511005" w:rsidRDefault="00532C25" w:rsidP="00532C25">
      <w:pPr>
        <w:spacing w:line="264" w:lineRule="auto"/>
        <w:ind w:firstLine="720"/>
        <w:jc w:val="center"/>
        <w:rPr>
          <w:rFonts w:ascii="Arial" w:eastAsia="Calibri" w:hAnsi="Arial" w:cs="Arial"/>
          <w:b/>
          <w:i/>
          <w:szCs w:val="28"/>
        </w:rPr>
      </w:pPr>
    </w:p>
    <w:p w14:paraId="4D117A68" w14:textId="77777777" w:rsidR="00532C25" w:rsidRPr="00511005" w:rsidRDefault="00532C25" w:rsidP="00532C25">
      <w:pPr>
        <w:spacing w:line="264" w:lineRule="auto"/>
        <w:ind w:firstLine="720"/>
        <w:jc w:val="center"/>
        <w:rPr>
          <w:rFonts w:ascii="Arial" w:eastAsia="Calibri" w:hAnsi="Arial" w:cs="Arial"/>
          <w:b/>
          <w:i/>
          <w:szCs w:val="28"/>
        </w:rPr>
      </w:pPr>
      <w:r w:rsidRPr="00511005">
        <w:rPr>
          <w:rFonts w:ascii="Arial" w:eastAsia="Calibri" w:hAnsi="Arial" w:cs="Arial"/>
          <w:b/>
          <w:i/>
          <w:szCs w:val="28"/>
        </w:rPr>
        <w:lastRenderedPageBreak/>
        <w:t>Іващенко Анна Романівна</w:t>
      </w:r>
    </w:p>
    <w:p w14:paraId="3291C2E5" w14:textId="77777777" w:rsidR="00532C25" w:rsidRPr="00511005" w:rsidRDefault="00532C25" w:rsidP="00532C25">
      <w:pPr>
        <w:spacing w:line="264" w:lineRule="auto"/>
        <w:ind w:firstLine="720"/>
        <w:jc w:val="center"/>
        <w:rPr>
          <w:rFonts w:ascii="Arial" w:eastAsia="Calibri" w:hAnsi="Arial" w:cs="Arial"/>
          <w:iCs/>
          <w:szCs w:val="28"/>
        </w:rPr>
      </w:pPr>
      <w:r w:rsidRPr="00511005">
        <w:rPr>
          <w:rFonts w:ascii="Arial" w:eastAsia="Calibri" w:hAnsi="Arial" w:cs="Arial"/>
          <w:iCs/>
          <w:szCs w:val="28"/>
        </w:rPr>
        <w:t>студентка 2-го курсу факультету цивільної та господарської юстиції</w:t>
      </w:r>
    </w:p>
    <w:p w14:paraId="1CEEA03D" w14:textId="77777777" w:rsidR="00532C25" w:rsidRPr="00511005" w:rsidRDefault="00532C25" w:rsidP="00532C25">
      <w:pPr>
        <w:spacing w:line="264" w:lineRule="auto"/>
        <w:ind w:firstLine="720"/>
        <w:jc w:val="center"/>
        <w:rPr>
          <w:rFonts w:ascii="Arial" w:eastAsia="Calibri" w:hAnsi="Arial" w:cs="Arial"/>
          <w:iCs/>
          <w:szCs w:val="28"/>
        </w:rPr>
      </w:pPr>
      <w:r w:rsidRPr="00511005">
        <w:rPr>
          <w:rFonts w:ascii="Arial" w:eastAsia="Calibri" w:hAnsi="Arial" w:cs="Arial"/>
          <w:iCs/>
          <w:szCs w:val="28"/>
        </w:rPr>
        <w:t>Національного університету «Одеська юридична академія»</w:t>
      </w:r>
    </w:p>
    <w:p w14:paraId="0985FDDC" w14:textId="77777777" w:rsidR="00532C25" w:rsidRPr="00511005" w:rsidRDefault="00532C25" w:rsidP="00532C25">
      <w:pPr>
        <w:spacing w:line="264" w:lineRule="auto"/>
        <w:ind w:firstLine="720"/>
        <w:jc w:val="center"/>
        <w:rPr>
          <w:rFonts w:ascii="Arial" w:eastAsia="Calibri" w:hAnsi="Arial" w:cs="Arial"/>
          <w:iCs/>
          <w:szCs w:val="28"/>
        </w:rPr>
      </w:pPr>
    </w:p>
    <w:p w14:paraId="74688F26"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rPr>
        <w:t>РОЛЬ СЛОВЕСНОГО ПОРТРЕТА У ДОСУДОВОМУ РОЗСЛІДУВАННІ</w:t>
      </w:r>
    </w:p>
    <w:p w14:paraId="6A48A7C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Словесний портрет є достатньо важливим методом, який використовується під час досудового розслідування, що дозволяє слідчим мати візуальне уявлення про особу, спираючись на свідчення очевидців, сприяє швидкій ідентифікації особи та пришвидшує пошук особи.</w:t>
      </w:r>
    </w:p>
    <w:p w14:paraId="00596A9E"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Словесний портрет – це система опису особи за антропологічними ознаками з метою її ідентифікації. Першочергово засновником словесного портрета вважається французький криміналіст Альфонс Бертильйон, згодом дана система була спрощена та удосконалена німецьким та швецьким криміналістом, судовим експертом Рудольфом Рейссом.</w:t>
      </w:r>
    </w:p>
    <w:p w14:paraId="015BE36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Перш за все, словесний портрет допомагає звузити коло підозрюваних, що дає змогу органам досудового розслідування більш оперативно працювати за умови обмеженого часу розслідування. Словесний портрет може значно вплинути на хід розслідування та допомогти у пошуку особи, за відсутності належних фото, відеозаписів або фізичних доказів.</w:t>
      </w:r>
    </w:p>
    <w:p w14:paraId="3D2F9C25"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Словесний портрет є необхідним у багатьох ситуаціях. Наприклад, словесний портрет стає важливим, коли співробітникам правоохоронних органів потрібно розшукати правопорушника, зниклу безвісти особу тощо. Також доволі важливе значення словесний портрет має і під час перевірки документів, які засвідчують особу, аби порівняти зображення на документах та саму особу, яка їх пред'явила.</w:t>
      </w:r>
    </w:p>
    <w:p w14:paraId="6686025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Cловесний портрет можливо використовувати для порівняння осіб, які мають кримінальне минуле з базами даних для того, щоб швидше ідентифікувати злочинця у випадку повторного вчинення нею протиправного діяння.</w:t>
      </w:r>
    </w:p>
    <w:p w14:paraId="3E154416"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Важливим фактором для результативного складання словесного портрета є врахування психологічних аспектів сприйняття свідками інформації з огляду на той факт, що пам'ять може бути ненадійним джерелом і спогади можуть відрізнятися від того, що бачила особа насправді. Тому під час роботи зі свідками необхідно забезпечити їх певними комфортними умовами та використовувати методи, які допомагають їм зосередитись на деталях опису і уникнути хибних спогадів.</w:t>
      </w:r>
    </w:p>
    <w:p w14:paraId="50E1D07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Механізм складання словесного портрета базується на таких основних принципах, як повнота та систематичність опису.</w:t>
      </w:r>
    </w:p>
    <w:p w14:paraId="0207423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Під повнотою розуміється деталізований опис ознак зовнішності особи, необхідний для складання більш точного словесного портрета. </w:t>
      </w:r>
      <w:r w:rsidRPr="00511005">
        <w:rPr>
          <w:rFonts w:ascii="Arial" w:eastAsia="Calibri" w:hAnsi="Arial" w:cs="Arial"/>
          <w:szCs w:val="28"/>
        </w:rPr>
        <w:lastRenderedPageBreak/>
        <w:t xml:space="preserve">Систематичність опису передбачає певну систему, особливий порядок опису елементів ознак особи. Даний принцип використовується як для опису загального образу, так і для опису окремих елементів зовнішності особи. За загальним механізмом послідовність опису елементів зовнішності людини ґрунтується на правилі під назвою «зверху вниз». </w:t>
      </w:r>
    </w:p>
    <w:p w14:paraId="6B8421C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Таким чином, очевидці мають змогу детально описати зовнішні ознаки підозрюваного: його зріст, вік, стать, статуру, волосяний покрив голови і т.д. Загалом система елементів і ознак зовнішності людини складає певну систему, яка має такі складові:</w:t>
      </w:r>
    </w:p>
    <w:p w14:paraId="4710BB6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rPr>
        <w:t>1) загально-фізичні елементи (вік, стать, статура)</w:t>
      </w:r>
      <w:r w:rsidRPr="00511005">
        <w:rPr>
          <w:rFonts w:ascii="Arial" w:eastAsia="Calibri" w:hAnsi="Arial" w:cs="Arial"/>
          <w:szCs w:val="28"/>
          <w:lang w:val="uk-UA"/>
        </w:rPr>
        <w:t>;</w:t>
      </w:r>
    </w:p>
    <w:p w14:paraId="67F2C67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rPr>
        <w:t>2) анатомічні елементи (голова, фігура, обличчя, волосся, брови, очі)</w:t>
      </w:r>
      <w:r w:rsidRPr="00511005">
        <w:rPr>
          <w:rFonts w:ascii="Arial" w:eastAsia="Calibri" w:hAnsi="Arial" w:cs="Arial"/>
          <w:szCs w:val="28"/>
          <w:lang w:val="uk-UA"/>
        </w:rPr>
        <w:t>;</w:t>
      </w:r>
    </w:p>
    <w:p w14:paraId="67B4D83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rPr>
        <w:t>3) функціональні елементи (хода, жестикуляція, постава, міміка, мова)</w:t>
      </w:r>
      <w:r w:rsidRPr="00511005">
        <w:rPr>
          <w:rFonts w:ascii="Arial" w:eastAsia="Calibri" w:hAnsi="Arial" w:cs="Arial"/>
          <w:szCs w:val="28"/>
          <w:lang w:val="uk-UA"/>
        </w:rPr>
        <w:t>;</w:t>
      </w:r>
    </w:p>
    <w:p w14:paraId="1FD6872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rPr>
        <w:t>4) одяг, прикраси</w:t>
      </w:r>
      <w:r w:rsidRPr="00511005">
        <w:rPr>
          <w:rFonts w:ascii="Arial" w:eastAsia="Calibri" w:hAnsi="Arial" w:cs="Arial"/>
          <w:szCs w:val="28"/>
          <w:lang w:val="uk-UA"/>
        </w:rPr>
        <w:t>.</w:t>
      </w:r>
    </w:p>
    <w:p w14:paraId="040C85BE"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Кожен з вказаних елементів має певні критерії, за якими здійснюється їх опис. Так, наприклад, обличчя можна описати за типом та формою. Ніс можливо відрізнити за глибиною перенісся або шириною, також за формою кінчика, за носовою перегородкою. Цікавим є опис очей особи, під час якого є важливими такі деталі, як колір, положення очної впадини, форма, розріз. Також під час опису очей слід звернути увагу на таку особливість, як носіння окулярів, що може допомогти звузити коло підозрюваних під час розслідування.</w:t>
      </w:r>
    </w:p>
    <w:p w14:paraId="6F738CEF"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Сукупність перелічених складових дає можливість найбільш влучно ідентифікувати особу. Чим більше деталей про елементи зовнішності особи відомо, тим простіше буде встановити потрібну особу. Адже інколи і одна невелика деталь може дуже допомогти розслідуванню. Тому варто зібрати якомога більше даних про елементи зовнішності особи, якщо це є можливим і таким</w:t>
      </w:r>
      <w:r w:rsidRPr="00511005">
        <w:rPr>
          <w:rFonts w:ascii="Arial" w:eastAsia="Calibri" w:hAnsi="Arial" w:cs="Arial"/>
          <w:szCs w:val="28"/>
          <w:lang w:val="uk-UA"/>
        </w:rPr>
        <w:t xml:space="preserve"> </w:t>
      </w:r>
      <w:r w:rsidRPr="00511005">
        <w:rPr>
          <w:rFonts w:ascii="Arial" w:eastAsia="Calibri" w:hAnsi="Arial" w:cs="Arial"/>
          <w:szCs w:val="28"/>
        </w:rPr>
        <w:t>чином</w:t>
      </w:r>
      <w:r w:rsidRPr="00511005">
        <w:rPr>
          <w:rFonts w:ascii="Arial" w:eastAsia="Calibri" w:hAnsi="Arial" w:cs="Arial"/>
          <w:szCs w:val="28"/>
          <w:lang w:val="uk-UA"/>
        </w:rPr>
        <w:t xml:space="preserve"> </w:t>
      </w:r>
      <w:r w:rsidRPr="00511005">
        <w:rPr>
          <w:rFonts w:ascii="Arial" w:eastAsia="Calibri" w:hAnsi="Arial" w:cs="Arial"/>
          <w:szCs w:val="28"/>
        </w:rPr>
        <w:t>трохи</w:t>
      </w:r>
      <w:r w:rsidRPr="00511005">
        <w:rPr>
          <w:rFonts w:ascii="Arial" w:eastAsia="Calibri" w:hAnsi="Arial" w:cs="Arial"/>
          <w:szCs w:val="28"/>
          <w:lang w:val="uk-UA"/>
        </w:rPr>
        <w:t xml:space="preserve"> </w:t>
      </w:r>
      <w:r w:rsidRPr="00511005">
        <w:rPr>
          <w:rFonts w:ascii="Arial" w:eastAsia="Calibri" w:hAnsi="Arial" w:cs="Arial"/>
          <w:szCs w:val="28"/>
        </w:rPr>
        <w:t>полегшити</w:t>
      </w:r>
      <w:r w:rsidRPr="00511005">
        <w:rPr>
          <w:rFonts w:ascii="Arial" w:eastAsia="Calibri" w:hAnsi="Arial" w:cs="Arial"/>
          <w:szCs w:val="28"/>
          <w:lang w:val="uk-UA"/>
        </w:rPr>
        <w:t xml:space="preserve"> </w:t>
      </w:r>
      <w:r w:rsidRPr="00511005">
        <w:rPr>
          <w:rFonts w:ascii="Arial" w:eastAsia="Calibri" w:hAnsi="Arial" w:cs="Arial"/>
          <w:szCs w:val="28"/>
        </w:rPr>
        <w:t>процес</w:t>
      </w:r>
      <w:r w:rsidRPr="00511005">
        <w:rPr>
          <w:rFonts w:ascii="Arial" w:eastAsia="Calibri" w:hAnsi="Arial" w:cs="Arial"/>
          <w:szCs w:val="28"/>
          <w:lang w:val="uk-UA"/>
        </w:rPr>
        <w:t xml:space="preserve"> </w:t>
      </w:r>
      <w:r w:rsidRPr="00511005">
        <w:rPr>
          <w:rFonts w:ascii="Arial" w:eastAsia="Calibri" w:hAnsi="Arial" w:cs="Arial"/>
          <w:szCs w:val="28"/>
        </w:rPr>
        <w:t>ідентифікації</w:t>
      </w:r>
      <w:r w:rsidRPr="00511005">
        <w:rPr>
          <w:rFonts w:ascii="Arial" w:eastAsia="Calibri" w:hAnsi="Arial" w:cs="Arial"/>
          <w:szCs w:val="28"/>
          <w:lang w:val="uk-UA"/>
        </w:rPr>
        <w:t xml:space="preserve"> </w:t>
      </w:r>
      <w:r w:rsidRPr="00511005">
        <w:rPr>
          <w:rFonts w:ascii="Arial" w:eastAsia="Calibri" w:hAnsi="Arial" w:cs="Arial"/>
          <w:szCs w:val="28"/>
        </w:rPr>
        <w:t>осіб.</w:t>
      </w:r>
    </w:p>
    <w:p w14:paraId="3EF28E8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Отже, словесний портрет є важливим інструментом у досудовому розслідуванні, який допомагає ідентифікувати особу у різних випадках, в тому числі і розшук підозрюваного. Словесний портрет, як сучасний метод ідентифікації особи у поєднанні з новітніми приладами та технологіями може дати ефективний результат та значно полегшити процес розслідування. Таким чином словесний портрет є важливим та актуальним для здійснення ідентифікації під час ведення досудового розслідування.</w:t>
      </w:r>
    </w:p>
    <w:p w14:paraId="7A52CBD9" w14:textId="77777777" w:rsidR="00532C25" w:rsidRPr="00511005" w:rsidRDefault="00532C25" w:rsidP="00532C25">
      <w:pPr>
        <w:spacing w:line="264" w:lineRule="auto"/>
        <w:ind w:firstLine="720"/>
        <w:rPr>
          <w:rFonts w:ascii="Arial" w:eastAsia="Calibri" w:hAnsi="Arial" w:cs="Arial"/>
          <w:szCs w:val="28"/>
        </w:rPr>
      </w:pPr>
    </w:p>
    <w:p w14:paraId="556338DE"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b/>
          <w:i/>
          <w:iCs/>
          <w:szCs w:val="28"/>
        </w:rPr>
        <w:t xml:space="preserve">Ключові слова: </w:t>
      </w:r>
      <w:r w:rsidRPr="00511005">
        <w:rPr>
          <w:rFonts w:ascii="Arial" w:eastAsia="Calibri" w:hAnsi="Arial" w:cs="Arial"/>
          <w:i/>
          <w:iCs/>
          <w:szCs w:val="28"/>
        </w:rPr>
        <w:t>особа, словесний портрет, елементи зовнішності, досудове розслідування, ідентифікація.</w:t>
      </w:r>
    </w:p>
    <w:p w14:paraId="5A89925C" w14:textId="77777777" w:rsidR="00532C25" w:rsidRPr="00511005" w:rsidRDefault="00532C25" w:rsidP="00532C25">
      <w:pPr>
        <w:spacing w:line="264" w:lineRule="auto"/>
        <w:ind w:firstLine="720"/>
        <w:rPr>
          <w:rFonts w:ascii="Arial" w:eastAsia="Calibri" w:hAnsi="Arial" w:cs="Arial"/>
          <w:i/>
          <w:iCs/>
          <w:szCs w:val="28"/>
          <w:lang w:val="en-US"/>
        </w:rPr>
      </w:pPr>
      <w:r w:rsidRPr="00511005">
        <w:rPr>
          <w:rFonts w:ascii="Arial" w:eastAsia="Calibri" w:hAnsi="Arial" w:cs="Arial"/>
          <w:b/>
          <w:i/>
          <w:iCs/>
          <w:szCs w:val="28"/>
          <w:lang w:val="en-US"/>
        </w:rPr>
        <w:t xml:space="preserve">Key words: </w:t>
      </w:r>
      <w:r w:rsidRPr="00511005">
        <w:rPr>
          <w:rFonts w:ascii="Arial" w:eastAsia="Calibri" w:hAnsi="Arial" w:cs="Arial"/>
          <w:i/>
          <w:iCs/>
          <w:szCs w:val="28"/>
          <w:lang w:val="en-US"/>
        </w:rPr>
        <w:t>person, verbal portrait, elements of appearance, pe-trial investigation, identification.</w:t>
      </w:r>
    </w:p>
    <w:p w14:paraId="6AC0BAF8"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i/>
          <w:iCs/>
          <w:szCs w:val="28"/>
        </w:rPr>
        <w:t>асистент Мурашко А.С.</w:t>
      </w:r>
    </w:p>
    <w:p w14:paraId="7ED1BD57" w14:textId="77777777" w:rsidR="00532C25" w:rsidRPr="00511005" w:rsidRDefault="00532C25" w:rsidP="00532C25">
      <w:pPr>
        <w:spacing w:line="264" w:lineRule="auto"/>
        <w:ind w:firstLine="720"/>
        <w:jc w:val="left"/>
        <w:rPr>
          <w:rFonts w:ascii="Arial" w:eastAsia="Calibri" w:hAnsi="Arial" w:cs="Arial"/>
          <w:szCs w:val="28"/>
          <w:lang w:val="uk-UA"/>
        </w:rPr>
      </w:pPr>
    </w:p>
    <w:p w14:paraId="4F59BF78" w14:textId="77777777" w:rsidR="00532C25" w:rsidRPr="00511005" w:rsidRDefault="00532C25" w:rsidP="00532C25">
      <w:pPr>
        <w:spacing w:line="264" w:lineRule="auto"/>
        <w:ind w:firstLine="720"/>
        <w:jc w:val="center"/>
        <w:rPr>
          <w:rFonts w:ascii="Arial" w:eastAsia="Calibri" w:hAnsi="Arial" w:cs="Arial"/>
          <w:szCs w:val="28"/>
          <w:lang w:val="uk-UA"/>
        </w:rPr>
      </w:pPr>
    </w:p>
    <w:p w14:paraId="41134B04" w14:textId="77777777" w:rsidR="00532C25" w:rsidRPr="00511005" w:rsidRDefault="00532C25" w:rsidP="00532C25">
      <w:pPr>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lastRenderedPageBreak/>
        <w:t>Калиш Лілія Юріївна</w:t>
      </w:r>
    </w:p>
    <w:p w14:paraId="1C31ABED"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389D63E9"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90EC00F"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5EAADD5" w14:textId="77777777" w:rsidR="00532C25" w:rsidRPr="00511005" w:rsidRDefault="00532C25" w:rsidP="00532C25">
      <w:pPr>
        <w:spacing w:line="264" w:lineRule="auto"/>
        <w:ind w:firstLine="720"/>
        <w:jc w:val="center"/>
        <w:rPr>
          <w:rFonts w:ascii="Arial" w:eastAsia="Calibri" w:hAnsi="Arial" w:cs="Arial"/>
          <w:b/>
          <w:szCs w:val="28"/>
          <w:lang w:val="uk-UA"/>
        </w:rPr>
      </w:pPr>
    </w:p>
    <w:p w14:paraId="671B8890"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ФІШИНГ ЯК СПОСІБ ВЧИНЕННЯ ШАХРАЙСТВА</w:t>
      </w:r>
    </w:p>
    <w:p w14:paraId="2652E16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сучасному світі комп’ютерна мережа стала невід’ємною частиною повсякденного життя. Інтернет охоплює майже всі сфери людської діяльності, пропонуючи широкий спектр інформаційних ресурсів і послуг. Однак активне використання цифрових технологій спричинило й негативні наслідки – зокрема, зростання кількості злочинів у кіберпросторі (кіберзлочинів), серед яких особливе місце займає кібершахрайство. Згідно з ч. 1 ст. 190 Кримінального кодексу України, шахрайством визнається: «…</w:t>
      </w:r>
      <w:r w:rsidRPr="00511005">
        <w:rPr>
          <w:rFonts w:ascii="Arial" w:eastAsia="Calibri" w:hAnsi="Arial" w:cs="Arial"/>
          <w:szCs w:val="28"/>
        </w:rPr>
        <w:t xml:space="preserve"> </w:t>
      </w:r>
      <w:r w:rsidRPr="00511005">
        <w:rPr>
          <w:rFonts w:ascii="Arial" w:eastAsia="Calibri" w:hAnsi="Arial" w:cs="Arial"/>
          <w:szCs w:val="28"/>
          <w:lang w:val="uk-UA"/>
        </w:rPr>
        <w:t>заволодіння чужим майном або придбання права на майно шляхом обману чи зловживання довірою</w:t>
      </w:r>
      <w:r w:rsidRPr="00511005">
        <w:rPr>
          <w:rFonts w:ascii="Arial" w:eastAsia="Calibri" w:hAnsi="Arial" w:cs="Arial"/>
          <w:szCs w:val="28"/>
        </w:rPr>
        <w:t xml:space="preserve"> </w:t>
      </w:r>
      <w:r w:rsidRPr="00511005">
        <w:rPr>
          <w:rFonts w:ascii="Arial" w:eastAsia="Calibri" w:hAnsi="Arial" w:cs="Arial"/>
          <w:szCs w:val="28"/>
          <w:lang w:val="uk-UA"/>
        </w:rPr>
        <w:t xml:space="preserve">…» [1]. Кібершахрайство від даного терміну відрізняється лише тим, що воно вчиняється безпосередньо у мережі Інтернет із використанням спеціальних комп’ютерних пристроїв та програмного забезпечення. </w:t>
      </w:r>
    </w:p>
    <w:p w14:paraId="549D947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Існують думки, що фішинг є однією з найпоширеніших і водночас найбільш загрозливих форм кібершахрайства. Як різновид шахрайства він з</w:t>
      </w:r>
      <w:r w:rsidRPr="00511005">
        <w:rPr>
          <w:rFonts w:ascii="Arial" w:eastAsia="Calibri" w:hAnsi="Arial" w:cs="Arial"/>
          <w:szCs w:val="28"/>
        </w:rPr>
        <w:t>’</w:t>
      </w:r>
      <w:r w:rsidRPr="00511005">
        <w:rPr>
          <w:rFonts w:ascii="Arial" w:eastAsia="Calibri" w:hAnsi="Arial" w:cs="Arial"/>
          <w:szCs w:val="28"/>
          <w:lang w:val="uk-UA"/>
        </w:rPr>
        <w:t>явився на початку 1990-х років, що є цілком закономірним явищем у період активного розвитку інтернет-технологій. Перша фішингова атака відбулася у 1995 році. Зловмисники намагалися отримати дійсні облікові дані, зв’язуючись із жертвами через AOL Instant Messenger (AIM) – програму обміну повідомленнями, що представлена американською медіа компанією AOL. Шахраї видавали себе за працівників компанії AOL, що начебто перевіряють паролі. Саме в групах новин Usenet, присвячених інструменту AOHell, який автоматизував такий спосіб обману, вперше з’явився термін «фішинг» – і згодом він прижився [5, с. 21]. Назва «фішинг» є омофоном англійського слова «fishing» (рибалка), що символізує схожість методів – зловмисник, як рибалка, «виловлює» конфіденційну інформацію, використовуючи обманливі засоби.</w:t>
      </w:r>
    </w:p>
    <w:p w14:paraId="3C54881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У своїх наукових працях Цимбалюк Я.О. описує фішинг як тип комп’ютерної атаки, що полягає у надсиланні повідомлень із використанням методів соціальної інженерії через електронні засоби комунікації з метою спонукати людину до дій, вигідних для зловмисника. [5, с. 71]. На думку Думчикова С. А. та Лукічова В. В. фішинг є розповсюдженим методом соціальної інженерії, коли зловмисник, вводячи людину в оману, прикидається іншою особою або достовірним ресурсом. [3, с. 24]. Отже, фішинг – це вид кібершахрайства, при якому зловмисник обманом змушує людину розкрити особисту інформацію (наприклад, паролі або дані </w:t>
      </w:r>
      <w:r w:rsidRPr="00511005">
        <w:rPr>
          <w:rFonts w:ascii="Arial" w:eastAsia="Calibri" w:hAnsi="Arial" w:cs="Arial"/>
          <w:szCs w:val="28"/>
          <w:lang w:val="uk-UA"/>
        </w:rPr>
        <w:lastRenderedPageBreak/>
        <w:t>банківської картки), найчастіше видаючи себе за знайому людину або відому компанію.</w:t>
      </w:r>
    </w:p>
    <w:p w14:paraId="11F5E0C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Ми згодні з думкою багатьох науковців, які виділяють такі три основні способи фішингу:</w:t>
      </w:r>
    </w:p>
    <w:p w14:paraId="20BD06E4" w14:textId="77777777" w:rsidR="00532C25" w:rsidRPr="00511005" w:rsidRDefault="00532C25" w:rsidP="003F6A5D">
      <w:pPr>
        <w:numPr>
          <w:ilvl w:val="0"/>
          <w:numId w:val="627"/>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Фішинг за допомогою електронної пошти – є одним з найдавніших способів. Він полягає в надсиланні жертві електронного листа у виді офіційного повідомлення від надійної компанії з проханням надати певну інформацію у відповідь. Наприклад, користувачу може надійти електронний лист, що імітує офіційне повідомлення від банку, з проханням підтвердити номер свого рахунку.</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Якщо користувач виконує прохання зловмисника, той отримує вигоду, а жертва втрачає доступ до своїх облікових записів або банківської картки. У подальшому викрадені дані можуть бути продані на чорному ринку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4, с. 229</w:t>
      </w:r>
      <w:r w:rsidRPr="00511005">
        <w:rPr>
          <w:rFonts w:ascii="Arial" w:eastAsia="Times New Roman" w:hAnsi="Arial" w:cs="Arial"/>
          <w:szCs w:val="28"/>
          <w:lang w:eastAsia="ru-RU"/>
        </w:rPr>
        <w:t>].</w:t>
      </w:r>
    </w:p>
    <w:p w14:paraId="0EBE0F14" w14:textId="77777777" w:rsidR="00532C25" w:rsidRPr="00511005" w:rsidRDefault="00532C25" w:rsidP="003F6A5D">
      <w:pPr>
        <w:numPr>
          <w:ilvl w:val="0"/>
          <w:numId w:val="627"/>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Фішинговий веб-сайт – сайт, який вводить користувача в оману та збирає дані платіжних карток, прикриваючись пропозицією фіктивних послуг. Фішингові веб-сайти працюють за доволі простою схемою: вони копіюють зовнішній вигляд, зміст і функції справжніх вебресурсів, таких як сайти банків, інтернет-магазинів чи платіжних систем. Нічого не підозрюючи, користувач вводить свої особисті дані – наприклад, логін, пароль чи платіжну інформацію – у підроблену форму. Уся ця інформація миттєво опиняється у зловмисників, які можуть використати її для крадіжки коштів, оформлення кредитів або інших незаконних дій.</w:t>
      </w:r>
    </w:p>
    <w:p w14:paraId="2C553939" w14:textId="77777777" w:rsidR="00532C25" w:rsidRPr="00511005" w:rsidRDefault="00532C25" w:rsidP="003F6A5D">
      <w:pPr>
        <w:numPr>
          <w:ilvl w:val="0"/>
          <w:numId w:val="627"/>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Фішингове повідомлення є також поширеним видом даного кіберзлочину. Для отримання даних облікових записів зловмисники використовують телефонні дзвінки та SMS. Спочатку вони надсилають користувачам повідомлення, в якому повідомляють про блокування їх облікового запису. Наприклад, користувач може отримати </w:t>
      </w:r>
      <w:r w:rsidRPr="00511005">
        <w:rPr>
          <w:rFonts w:ascii="Arial" w:eastAsia="Times New Roman" w:hAnsi="Arial" w:cs="Arial"/>
          <w:szCs w:val="28"/>
          <w:lang w:eastAsia="ru-RU"/>
        </w:rPr>
        <w:t>SMS</w:t>
      </w:r>
      <w:r w:rsidRPr="00511005">
        <w:rPr>
          <w:rFonts w:ascii="Arial" w:eastAsia="Times New Roman" w:hAnsi="Arial" w:cs="Arial"/>
          <w:szCs w:val="28"/>
          <w:lang w:val="uk-UA" w:eastAsia="ru-RU"/>
        </w:rPr>
        <w:t>, яке виглядає як офіційний меседж від банку, де стверджується, що обліковий запис було заблоковано через підозрілу активність. Шахраями надається контактний номер телефону або посилання на фальшивий веб-сайт, який імітує офіційну сторінку банку. Користувач, вірячи в реальність ситуації, може зателефонувати або перейти на підроблений сайт, де йому запропонують ввести свої персональні дані (логін, пароль, реквізити платіжних карток), що дає змогу зловмисникам викрасти ці відомості та здійснити несанкціоновані фінансові операції [5, с. 72].</w:t>
      </w:r>
    </w:p>
    <w:p w14:paraId="5C811A1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висновку</w:t>
      </w:r>
      <w:r w:rsidRPr="00511005">
        <w:rPr>
          <w:rFonts w:ascii="Arial" w:eastAsia="Calibri" w:hAnsi="Arial" w:cs="Arial"/>
          <w:b/>
          <w:szCs w:val="28"/>
          <w:lang w:val="uk-UA"/>
        </w:rPr>
        <w:t xml:space="preserve"> </w:t>
      </w:r>
      <w:r w:rsidRPr="00511005">
        <w:rPr>
          <w:rFonts w:ascii="Arial" w:eastAsia="Calibri" w:hAnsi="Arial" w:cs="Arial"/>
          <w:szCs w:val="28"/>
          <w:lang w:val="uk-UA"/>
        </w:rPr>
        <w:t xml:space="preserve">варто зазначити, що фішинг є однією з найбільш поширених та небезпечних форм кіберзлочинності, який полягає в здійсненні атак, що базуються на соціальній інженерії, для обману користувачів та викрадення особистої інформації. Зокрема, зловмисники можуть використовувати підроблені електронні листи, фейкові веб-сайти, телефонні дзвінки та </w:t>
      </w:r>
      <w:r w:rsidRPr="00511005">
        <w:rPr>
          <w:rFonts w:ascii="Arial" w:eastAsia="Calibri" w:hAnsi="Arial" w:cs="Arial"/>
          <w:szCs w:val="28"/>
        </w:rPr>
        <w:t>SMS</w:t>
      </w:r>
      <w:r w:rsidRPr="00511005">
        <w:rPr>
          <w:rFonts w:ascii="Arial" w:eastAsia="Calibri" w:hAnsi="Arial" w:cs="Arial"/>
          <w:szCs w:val="28"/>
          <w:lang w:val="uk-UA"/>
        </w:rPr>
        <w:t xml:space="preserve"> для набуття доступу до облікових записів, платіжних реквізитів та іншої персональної інформації. Оскільки методи </w:t>
      </w:r>
      <w:r w:rsidRPr="00511005">
        <w:rPr>
          <w:rFonts w:ascii="Arial" w:eastAsia="Calibri" w:hAnsi="Arial" w:cs="Arial"/>
          <w:szCs w:val="28"/>
          <w:lang w:val="uk-UA"/>
        </w:rPr>
        <w:lastRenderedPageBreak/>
        <w:t xml:space="preserve">фішингу постійно вдосконалюються та адаптуються до змін суспільних потреб, необхідно вживати комплексних заходів безпеки та підвищувати рівень обізнаності користувачів із ризиками, пов’язаними з цією категорією шахрайства. </w:t>
      </w:r>
    </w:p>
    <w:p w14:paraId="5FD200A0" w14:textId="77777777" w:rsidR="00532C25" w:rsidRPr="00511005" w:rsidRDefault="00532C25" w:rsidP="00532C25">
      <w:pPr>
        <w:spacing w:line="264" w:lineRule="auto"/>
        <w:ind w:firstLine="720"/>
        <w:jc w:val="center"/>
        <w:rPr>
          <w:rFonts w:ascii="Arial" w:eastAsia="Calibri" w:hAnsi="Arial" w:cs="Arial"/>
          <w:b/>
          <w:szCs w:val="28"/>
          <w:lang w:val="uk-UA"/>
        </w:rPr>
      </w:pPr>
    </w:p>
    <w:p w14:paraId="166EDD09"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b/>
          <w:szCs w:val="28"/>
          <w:lang w:val="uk-UA"/>
        </w:rPr>
        <w:t>Список використаних джерел</w:t>
      </w:r>
    </w:p>
    <w:p w14:paraId="36224CC1" w14:textId="77777777" w:rsidR="00532C25" w:rsidRPr="00511005" w:rsidRDefault="00532C25" w:rsidP="003F6A5D">
      <w:pPr>
        <w:numPr>
          <w:ilvl w:val="0"/>
          <w:numId w:val="626"/>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Кримінальний кодекс </w:t>
      </w:r>
      <w:proofErr w:type="gramStart"/>
      <w:r w:rsidRPr="00511005">
        <w:rPr>
          <w:rFonts w:ascii="Arial" w:eastAsia="Times New Roman" w:hAnsi="Arial" w:cs="Arial"/>
          <w:szCs w:val="28"/>
          <w:lang w:eastAsia="ru-RU"/>
        </w:rPr>
        <w:t>України :</w:t>
      </w:r>
      <w:proofErr w:type="gramEnd"/>
      <w:r w:rsidRPr="00511005">
        <w:rPr>
          <w:rFonts w:ascii="Arial" w:eastAsia="Times New Roman" w:hAnsi="Arial" w:cs="Arial"/>
          <w:szCs w:val="28"/>
          <w:lang w:eastAsia="ru-RU"/>
        </w:rPr>
        <w:t xml:space="preserve"> Закон України від 05.04.2001 р. № 2314-ІІІ. /</w:t>
      </w:r>
      <w:r w:rsidRPr="00511005">
        <w:rPr>
          <w:rFonts w:ascii="Arial" w:eastAsia="Times New Roman" w:hAnsi="Arial" w:cs="Arial"/>
          <w:i/>
          <w:szCs w:val="28"/>
          <w:lang w:eastAsia="ru-RU"/>
        </w:rPr>
        <w:t>Верховна Рада України</w:t>
      </w:r>
      <w:r w:rsidRPr="00511005">
        <w:rPr>
          <w:rFonts w:ascii="Arial" w:eastAsia="Times New Roman" w:hAnsi="Arial" w:cs="Arial"/>
          <w:szCs w:val="28"/>
          <w:lang w:eastAsia="ru-RU"/>
        </w:rPr>
        <w:t xml:space="preserve">. URL: https://zakon.rada.gov.ua/laws/show/2341- 14#Text </w:t>
      </w:r>
      <w:r w:rsidRPr="00511005">
        <w:rPr>
          <w:rFonts w:ascii="Arial" w:eastAsia="Times New Roman" w:hAnsi="Arial" w:cs="Arial"/>
          <w:szCs w:val="28"/>
          <w:lang w:val="uk-UA" w:eastAsia="ru-RU"/>
        </w:rPr>
        <w:t>(дата звернення: 07.04.2025).</w:t>
      </w:r>
    </w:p>
    <w:p w14:paraId="5CE76194" w14:textId="77777777" w:rsidR="00532C25" w:rsidRPr="00511005" w:rsidRDefault="00532C25" w:rsidP="003F6A5D">
      <w:pPr>
        <w:numPr>
          <w:ilvl w:val="0"/>
          <w:numId w:val="626"/>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shd w:val="clear" w:color="auto" w:fill="FFFFFF"/>
          <w:lang w:eastAsia="ru-RU"/>
        </w:rPr>
        <w:t>Гринько Л. П. Фішинг як спосіб вчинення шахрайства у мережі інтернет. </w:t>
      </w:r>
      <w:r w:rsidRPr="00511005">
        <w:rPr>
          <w:rFonts w:ascii="Arial" w:eastAsia="Times New Roman" w:hAnsi="Arial" w:cs="Arial"/>
          <w:szCs w:val="28"/>
          <w:shd w:val="clear" w:color="auto" w:fill="FFFFFF"/>
          <w:lang w:val="uk-UA" w:eastAsia="ru-RU"/>
        </w:rPr>
        <w:t>/</w:t>
      </w:r>
      <w:r w:rsidRPr="00511005">
        <w:rPr>
          <w:rFonts w:ascii="Arial" w:eastAsia="Times New Roman" w:hAnsi="Arial" w:cs="Arial"/>
          <w:iCs/>
          <w:szCs w:val="28"/>
          <w:shd w:val="clear" w:color="auto" w:fill="FFFFFF"/>
          <w:lang w:eastAsia="ru-RU"/>
        </w:rPr>
        <w:t>Полтавський правовий часопис</w:t>
      </w:r>
      <w:r w:rsidRPr="00511005">
        <w:rPr>
          <w:rFonts w:ascii="Arial" w:eastAsia="Times New Roman" w:hAnsi="Arial" w:cs="Arial"/>
          <w:szCs w:val="28"/>
          <w:shd w:val="clear" w:color="auto" w:fill="FFFFFF"/>
          <w:lang w:eastAsia="ru-RU"/>
        </w:rPr>
        <w:t>. 2022, № 4. С. 16-39.</w:t>
      </w:r>
    </w:p>
    <w:p w14:paraId="33973FF6" w14:textId="77777777" w:rsidR="00532C25" w:rsidRPr="00511005" w:rsidRDefault="00532C25" w:rsidP="003F6A5D">
      <w:pPr>
        <w:numPr>
          <w:ilvl w:val="0"/>
          <w:numId w:val="626"/>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Думчиков С. А., В. В. Лукічов. Виявлення фішингових інформаційних ресурсів.</w:t>
      </w:r>
      <w:r w:rsidRPr="00511005">
        <w:rPr>
          <w:rFonts w:ascii="Arial" w:eastAsia="Times New Roman" w:hAnsi="Arial" w:cs="Arial"/>
          <w:szCs w:val="28"/>
          <w:shd w:val="clear" w:color="auto" w:fill="FFFFFF"/>
          <w:lang w:val="uk-UA" w:eastAsia="ru-RU"/>
        </w:rPr>
        <w:t xml:space="preserve"> //Матеріали Міжнародної наукової інтернет-конференції «Інформаційне суспільство: технологічні, економічні та технічні аспекти становлення».</w:t>
      </w:r>
      <w:r w:rsidRPr="00511005">
        <w:rPr>
          <w:rFonts w:ascii="Arial" w:eastAsia="Times New Roman" w:hAnsi="Arial" w:cs="Arial"/>
          <w:szCs w:val="28"/>
          <w:lang w:val="uk-UA" w:eastAsia="ru-RU"/>
        </w:rPr>
        <w:t xml:space="preserve"> Громадська організація» Наукова спільнота», 2021. С. 24-26.</w:t>
      </w:r>
    </w:p>
    <w:p w14:paraId="4C7D8800" w14:textId="77777777" w:rsidR="00532C25" w:rsidRPr="00511005" w:rsidRDefault="00532C25" w:rsidP="003F6A5D">
      <w:pPr>
        <w:numPr>
          <w:ilvl w:val="0"/>
          <w:numId w:val="626"/>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Сабадаш В. П. Фішинг як найбільш розвинений вид шахрайства в Інтернеті. </w:t>
      </w:r>
      <w:r w:rsidRPr="00511005">
        <w:rPr>
          <w:rFonts w:ascii="Arial" w:eastAsia="Times New Roman" w:hAnsi="Arial" w:cs="Arial"/>
          <w:szCs w:val="28"/>
          <w:shd w:val="clear" w:color="auto" w:fill="F9F9F9"/>
          <w:lang w:val="uk-UA" w:eastAsia="ru-RU"/>
        </w:rPr>
        <w:t>/ В. П. Сабадаш //</w:t>
      </w:r>
      <w:r w:rsidRPr="00511005">
        <w:rPr>
          <w:rFonts w:ascii="Arial" w:eastAsia="Times New Roman" w:hAnsi="Arial" w:cs="Arial"/>
          <w:szCs w:val="28"/>
          <w:shd w:val="clear" w:color="auto" w:fill="F9F9F9"/>
          <w:lang w:eastAsia="ru-RU"/>
        </w:rPr>
        <w:t> </w:t>
      </w:r>
      <w:r w:rsidRPr="00511005">
        <w:rPr>
          <w:rFonts w:ascii="Arial" w:eastAsia="Times New Roman" w:hAnsi="Arial" w:cs="Arial"/>
          <w:szCs w:val="28"/>
          <w:lang w:val="uk-UA" w:eastAsia="ru-RU"/>
        </w:rPr>
        <w:t>Університетські наукові записки, 2006. № 1 (17). С. 228-233.</w:t>
      </w:r>
    </w:p>
    <w:p w14:paraId="06D7345B" w14:textId="77777777" w:rsidR="00532C25" w:rsidRPr="00511005" w:rsidRDefault="00532C25" w:rsidP="003F6A5D">
      <w:pPr>
        <w:numPr>
          <w:ilvl w:val="0"/>
          <w:numId w:val="626"/>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Цимбалюк Я. А. Особливості фішингу. // «Математичні методи, моделі та інформаційні технології в управлінні. /[Електронний ресурс] : тези доповідей </w:t>
      </w:r>
      <w:r w:rsidRPr="00511005">
        <w:rPr>
          <w:rFonts w:ascii="Arial" w:eastAsia="Times New Roman" w:hAnsi="Arial" w:cs="Arial"/>
          <w:szCs w:val="28"/>
          <w:lang w:eastAsia="ru-RU"/>
        </w:rPr>
        <w:t>V</w:t>
      </w:r>
      <w:r w:rsidRPr="00511005">
        <w:rPr>
          <w:rFonts w:ascii="Arial" w:eastAsia="Times New Roman" w:hAnsi="Arial" w:cs="Arial"/>
          <w:szCs w:val="28"/>
          <w:lang w:val="uk-UA" w:eastAsia="ru-RU"/>
        </w:rPr>
        <w:t xml:space="preserve"> студентської вузівської наукової конференції (м. Вінниця, 9 листопада 2020 р.). – Вінниця : ВТЕІ КНТЕУ, 2020. – 145 с. С. 71-74.</w:t>
      </w:r>
    </w:p>
    <w:p w14:paraId="09003E0F" w14:textId="77777777" w:rsidR="00532C25" w:rsidRPr="00511005" w:rsidRDefault="00532C25" w:rsidP="00532C25">
      <w:pPr>
        <w:spacing w:line="264" w:lineRule="auto"/>
        <w:ind w:firstLine="720"/>
        <w:rPr>
          <w:rFonts w:ascii="Arial" w:eastAsia="Calibri" w:hAnsi="Arial" w:cs="Arial"/>
          <w:b/>
          <w:szCs w:val="28"/>
          <w:lang w:val="uk-UA"/>
        </w:rPr>
      </w:pPr>
    </w:p>
    <w:p w14:paraId="6959855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фішинг, кіберзлочинність, шахрайство, обман, електронна пошта, веб-сайт, повідомлення.</w:t>
      </w:r>
    </w:p>
    <w:p w14:paraId="2A5E184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Key words: </w:t>
      </w:r>
      <w:r w:rsidRPr="00511005">
        <w:rPr>
          <w:rFonts w:ascii="Arial" w:eastAsia="Calibri" w:hAnsi="Arial" w:cs="Arial"/>
          <w:szCs w:val="28"/>
          <w:lang w:val="uk-UA"/>
        </w:rPr>
        <w:t>phishing, cybercrime, fraud, deception, email, website, message.</w:t>
      </w:r>
    </w:p>
    <w:p w14:paraId="76D721CE" w14:textId="77777777" w:rsidR="00532C25" w:rsidRPr="00511005" w:rsidRDefault="00532C25" w:rsidP="00532C25">
      <w:pPr>
        <w:spacing w:line="264" w:lineRule="auto"/>
        <w:ind w:firstLine="72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Pr="00511005">
        <w:rPr>
          <w:rFonts w:ascii="Arial" w:eastAsia="Calibri" w:hAnsi="Arial" w:cs="Arial"/>
          <w:i/>
          <w:szCs w:val="28"/>
          <w:lang w:val="uk-UA"/>
        </w:rPr>
        <w:t>к.ю.н., доцент Чіпко Н.В.</w:t>
      </w:r>
    </w:p>
    <w:p w14:paraId="3638C1E4" w14:textId="77777777" w:rsidR="00532C25" w:rsidRPr="00511005" w:rsidRDefault="00532C25" w:rsidP="00532C25">
      <w:pPr>
        <w:spacing w:line="264" w:lineRule="auto"/>
        <w:ind w:firstLine="720"/>
        <w:jc w:val="center"/>
        <w:rPr>
          <w:rFonts w:ascii="Arial" w:eastAsia="Calibri" w:hAnsi="Arial" w:cs="Arial"/>
          <w:b/>
          <w:i/>
          <w:iCs/>
          <w:szCs w:val="28"/>
          <w:lang w:val="uk-UA"/>
        </w:rPr>
      </w:pPr>
    </w:p>
    <w:p w14:paraId="3A730A97" w14:textId="77777777" w:rsidR="00532C25" w:rsidRPr="00511005" w:rsidRDefault="00532C25" w:rsidP="00532C25">
      <w:pPr>
        <w:spacing w:line="264" w:lineRule="auto"/>
        <w:ind w:firstLine="720"/>
        <w:jc w:val="center"/>
        <w:rPr>
          <w:rFonts w:ascii="Arial" w:eastAsia="Calibri" w:hAnsi="Arial" w:cs="Arial"/>
          <w:b/>
          <w:i/>
          <w:iCs/>
          <w:szCs w:val="28"/>
          <w:lang w:val="uk-UA"/>
        </w:rPr>
      </w:pPr>
      <w:r w:rsidRPr="00511005">
        <w:rPr>
          <w:rFonts w:ascii="Arial" w:eastAsia="Calibri" w:hAnsi="Arial" w:cs="Arial"/>
          <w:b/>
          <w:i/>
          <w:iCs/>
          <w:szCs w:val="28"/>
          <w:lang w:val="uk-UA"/>
        </w:rPr>
        <w:t>Калова Вікторія Сергіївна</w:t>
      </w:r>
    </w:p>
    <w:p w14:paraId="6A6A169F" w14:textId="77777777" w:rsidR="00532C25" w:rsidRPr="00511005" w:rsidRDefault="00532C25" w:rsidP="00532C25">
      <w:pPr>
        <w:spacing w:line="264" w:lineRule="auto"/>
        <w:ind w:firstLine="720"/>
        <w:jc w:val="center"/>
        <w:rPr>
          <w:rFonts w:ascii="Arial" w:eastAsia="Calibri" w:hAnsi="Arial" w:cs="Arial"/>
          <w:bCs/>
          <w:szCs w:val="28"/>
          <w:lang w:val="uk-UA"/>
        </w:rPr>
      </w:pPr>
      <w:r w:rsidRPr="00511005">
        <w:rPr>
          <w:rFonts w:ascii="Arial" w:eastAsia="Calibri" w:hAnsi="Arial" w:cs="Arial"/>
          <w:bCs/>
          <w:szCs w:val="28"/>
          <w:lang w:val="uk-UA"/>
        </w:rPr>
        <w:t>студентка 2-го курсу факультету цивільної та господарської юстиції Національного університету «Одеська юридична академія»</w:t>
      </w:r>
    </w:p>
    <w:p w14:paraId="02F2D4D1" w14:textId="77777777" w:rsidR="00532C25" w:rsidRPr="00511005" w:rsidRDefault="00532C25" w:rsidP="00532C25">
      <w:pPr>
        <w:spacing w:line="264" w:lineRule="auto"/>
        <w:ind w:firstLine="720"/>
        <w:jc w:val="center"/>
        <w:rPr>
          <w:rFonts w:ascii="Arial" w:eastAsia="Calibri" w:hAnsi="Arial" w:cs="Arial"/>
          <w:bCs/>
          <w:i/>
          <w:iCs/>
          <w:szCs w:val="28"/>
          <w:lang w:val="uk-UA"/>
        </w:rPr>
      </w:pPr>
    </w:p>
    <w:p w14:paraId="38DAFD7D"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rPr>
        <w:t>РОЛЬ ЦИФРОВОЇ ІНФОРМАЦІЇ ПІД ЧАС ВСТАНОВЛЕННЯ НЕВІДОМОЇ ОСОБИ</w:t>
      </w:r>
    </w:p>
    <w:p w14:paraId="443B7AA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Сучасні технології значно змінили підходи до встановлення невідомих осіб у різних сферах життя. Відсутність інформації про людину, яка вчиняла правопорушення або була причетна до іншої діяльності, стала меншою проблемою завдяки швидкому розвитку цифрових технологій. Від цих технологій, таких як біометричні дані, електронна пошта, соціальні мережі </w:t>
      </w:r>
      <w:r w:rsidRPr="00511005">
        <w:rPr>
          <w:rFonts w:ascii="Arial" w:eastAsia="Calibri" w:hAnsi="Arial" w:cs="Arial"/>
          <w:szCs w:val="28"/>
        </w:rPr>
        <w:lastRenderedPageBreak/>
        <w:t>та інші джерела, все більше залежить результативність кримінальних розслідувань, виявлення зниклих осіб та розв'язання юридичних питань.</w:t>
      </w:r>
    </w:p>
    <w:p w14:paraId="38DD4C22"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Україна зараз переживає важкий етап у своїй історії, знову відстоюючи свою незалежність і борючись не лише за свою свободу, а й за свободу всього цивілізованого світу, підтверджуючи свою приналежність до європейської спільноти. У цей період постають важливі виклики, пов'язані з розвитком України як правової, демократичної держави, що відповідає європейським стандартам. Особливу важливість набувають питання адаптації та приведення національного законодавства у відповідність до міжнародних норм і стандартів [3]. </w:t>
      </w:r>
    </w:p>
    <w:p w14:paraId="1CBE8AAC"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Сучасні методи встановлення особи, що використовують цифрові дані, можна поділити на кілька основних категорій [2]:</w:t>
      </w:r>
    </w:p>
    <w:p w14:paraId="54DAA58D" w14:textId="77777777" w:rsidR="00532C25" w:rsidRPr="00511005" w:rsidRDefault="00532C25" w:rsidP="003F6A5D">
      <w:pPr>
        <w:numPr>
          <w:ilvl w:val="0"/>
          <w:numId w:val="641"/>
        </w:numPr>
        <w:spacing w:line="264" w:lineRule="auto"/>
        <w:ind w:left="0" w:firstLine="720"/>
        <w:jc w:val="left"/>
        <w:rPr>
          <w:rFonts w:ascii="Arial" w:eastAsia="Times New Roman" w:hAnsi="Arial" w:cs="Arial"/>
          <w:szCs w:val="28"/>
        </w:rPr>
      </w:pPr>
      <w:r w:rsidRPr="00511005">
        <w:rPr>
          <w:rFonts w:ascii="Arial" w:eastAsia="Times New Roman" w:hAnsi="Arial" w:cs="Arial"/>
          <w:b/>
          <w:bCs/>
          <w:szCs w:val="28"/>
        </w:rPr>
        <w:t>Біометрія</w:t>
      </w:r>
      <w:r w:rsidRPr="00511005">
        <w:rPr>
          <w:rFonts w:ascii="Arial" w:eastAsia="Times New Roman" w:hAnsi="Arial" w:cs="Arial"/>
          <w:szCs w:val="28"/>
        </w:rPr>
        <w:t>: використання унікальних фізичних ознак, таких як відбитки пальців, сітківка ока або обличчя, є одними з найбільш точних способів ідентифікації. Біометричні технології значно покращили ефективність встановлення особи, навіть коли традиційні методи, такі як документи, виявляються недійсними або відсутніми.</w:t>
      </w:r>
    </w:p>
    <w:p w14:paraId="630DED7C" w14:textId="77777777" w:rsidR="00532C25" w:rsidRPr="00511005" w:rsidRDefault="00532C25" w:rsidP="003F6A5D">
      <w:pPr>
        <w:numPr>
          <w:ilvl w:val="0"/>
          <w:numId w:val="641"/>
        </w:numPr>
        <w:spacing w:line="264" w:lineRule="auto"/>
        <w:ind w:left="0" w:firstLine="720"/>
        <w:jc w:val="left"/>
        <w:rPr>
          <w:rFonts w:ascii="Arial" w:eastAsia="Times New Roman" w:hAnsi="Arial" w:cs="Arial"/>
          <w:szCs w:val="28"/>
        </w:rPr>
      </w:pPr>
      <w:r w:rsidRPr="00511005">
        <w:rPr>
          <w:rFonts w:ascii="Arial" w:eastAsia="Times New Roman" w:hAnsi="Arial" w:cs="Arial"/>
          <w:b/>
          <w:bCs/>
          <w:szCs w:val="28"/>
        </w:rPr>
        <w:t>Аналіз даних з соціальних мереж</w:t>
      </w:r>
      <w:r w:rsidRPr="00511005">
        <w:rPr>
          <w:rFonts w:ascii="Arial" w:eastAsia="Times New Roman" w:hAnsi="Arial" w:cs="Arial"/>
          <w:szCs w:val="28"/>
        </w:rPr>
        <w:t>: цифрові сліди, які люди залишають на платформах соціальних медіа, мають величезний потенціал для ідентифікації осіб. Вивчення публікацій, фотографій, геотегів може допомогти зібрати інформацію про місцезнаходження та зв'язки з іншими особами.</w:t>
      </w:r>
    </w:p>
    <w:p w14:paraId="285C9107" w14:textId="77777777" w:rsidR="00532C25" w:rsidRPr="00511005" w:rsidRDefault="00532C25" w:rsidP="003F6A5D">
      <w:pPr>
        <w:numPr>
          <w:ilvl w:val="0"/>
          <w:numId w:val="641"/>
        </w:numPr>
        <w:spacing w:line="264" w:lineRule="auto"/>
        <w:ind w:left="0" w:firstLine="720"/>
        <w:jc w:val="left"/>
        <w:rPr>
          <w:rFonts w:ascii="Arial" w:eastAsia="Times New Roman" w:hAnsi="Arial" w:cs="Arial"/>
          <w:szCs w:val="28"/>
        </w:rPr>
      </w:pPr>
      <w:r w:rsidRPr="00511005">
        <w:rPr>
          <w:rFonts w:ascii="Arial" w:eastAsia="Times New Roman" w:hAnsi="Arial" w:cs="Arial"/>
          <w:b/>
          <w:bCs/>
          <w:szCs w:val="28"/>
        </w:rPr>
        <w:t>GPS-трекінг та мобільні дані</w:t>
      </w:r>
      <w:r w:rsidRPr="00511005">
        <w:rPr>
          <w:rFonts w:ascii="Arial" w:eastAsia="Times New Roman" w:hAnsi="Arial" w:cs="Arial"/>
          <w:szCs w:val="28"/>
        </w:rPr>
        <w:t>: сьогодні мобільні телефони майже завжди мають вбудовані GPS-пристрої, що дозволяє відслідковувати місцезнаходження особи. Це може бути корисним як в криміналістичних, так і в цивільних випадках.</w:t>
      </w:r>
    </w:p>
    <w:p w14:paraId="0234915D" w14:textId="77777777" w:rsidR="00532C25" w:rsidRPr="00511005" w:rsidRDefault="00532C25" w:rsidP="003F6A5D">
      <w:pPr>
        <w:numPr>
          <w:ilvl w:val="0"/>
          <w:numId w:val="641"/>
        </w:numPr>
        <w:spacing w:line="264" w:lineRule="auto"/>
        <w:ind w:left="0" w:firstLine="720"/>
        <w:jc w:val="left"/>
        <w:rPr>
          <w:rFonts w:ascii="Arial" w:eastAsia="Times New Roman" w:hAnsi="Arial" w:cs="Arial"/>
          <w:szCs w:val="28"/>
        </w:rPr>
      </w:pPr>
      <w:r w:rsidRPr="00511005">
        <w:rPr>
          <w:rFonts w:ascii="Arial" w:eastAsia="Times New Roman" w:hAnsi="Arial" w:cs="Arial"/>
          <w:b/>
          <w:bCs/>
          <w:szCs w:val="28"/>
        </w:rPr>
        <w:t>Великі дані та аналітика</w:t>
      </w:r>
      <w:r w:rsidRPr="00511005">
        <w:rPr>
          <w:rFonts w:ascii="Arial" w:eastAsia="Times New Roman" w:hAnsi="Arial" w:cs="Arial"/>
          <w:szCs w:val="28"/>
        </w:rPr>
        <w:t>: використання великих даних дозволяє досліджувати масиви інформації, що надходять з різних джерел. Завдяки технологіям машинного навчання та штучного інтелекту можна отримати унікальні інсайти, які допомагають у встановленні особи або зв'язків між людьми.</w:t>
      </w:r>
    </w:p>
    <w:p w14:paraId="35B94BC4"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Незважаючи </w:t>
      </w:r>
      <w:proofErr w:type="gramStart"/>
      <w:r w:rsidRPr="00511005">
        <w:rPr>
          <w:rFonts w:ascii="Arial" w:eastAsia="Times New Roman" w:hAnsi="Arial" w:cs="Arial"/>
          <w:szCs w:val="28"/>
        </w:rPr>
        <w:t>на велику</w:t>
      </w:r>
      <w:proofErr w:type="gramEnd"/>
      <w:r w:rsidRPr="00511005">
        <w:rPr>
          <w:rFonts w:ascii="Arial" w:eastAsia="Times New Roman" w:hAnsi="Arial" w:cs="Arial"/>
          <w:szCs w:val="28"/>
        </w:rPr>
        <w:t xml:space="preserve"> ефективність цифрових технологій для встановлення осіб, їх використання викликає низку етичних та правових питань. Перш за все, це стосується конфіденційності даних, захисту особистої інформації та дотримання прав людини. Використання біометрії, GPS-трекінгу або даних з соціальних мереж без належного дозволу може порушувати право на приватність.</w:t>
      </w:r>
    </w:p>
    <w:p w14:paraId="209C73C7"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Законодавчі ініціативи, що регулюють використання цифрових технологій у кримінальних розслідуваннях, повинні забезпечувати баланс між правами людини та необхідністю забезпечення безпеки та правопорядку. У цьому контексті важливим є встановлення чітких критеріїв для збору та використання цифрової інформації.</w:t>
      </w:r>
    </w:p>
    <w:p w14:paraId="2D124E0B"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lastRenderedPageBreak/>
        <w:t xml:space="preserve">Сучасна цифрова криміналістика стала критично важливим інструментом для ефективного судового розгляду справ, пов'язаних з кримінальними правопорушеннями, скоєними у віртуальному середовищі. Оскільки злочини, вчинені за допомогою Інтернету, постійно зростають, з'являється все більша потреба в застосуванні спеціалізованих методів для їх розслідування. Особливо важливо правильно відрізняти цифрові сліди від електронних доказів, оскільки перші є метаданими – даними, що описують інші дані. Ці сліди супроводжують електронні документи, які використовуються як докази, надаючи детальну інформацію про автора, час і дату створення, зміни, переміщення та навіть видалення даних [1]. </w:t>
      </w:r>
    </w:p>
    <w:p w14:paraId="3248D10A"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Дослідження цифрових слідів вимагає не лише глибоких експертних знань, а й використання спеціалізованого програмного забезпечення для коректного збору, аналізу та інтерпретації даних. Одним із ключових аспектів є також належне правове регулювання процесу дослідження та використання електронних доказів і цифрових слідів у криміналістиці та кримінальному процесі, що потребує відповідної законодавчої бази. Оскільки цифрові сліди мають специфічні характеристики, важливо залучати кваліфікованих криміналістів до проведення слідчих дій, під час яких ці сліди можуть бути виявлені. Адже неправильне вилучення або обробка цифрових даних може призвести до їх пошкодження або навіть повного знищення, що значно ускладнить подальше їх використання в судовому процесі. Більш того, деякі цифрові сліди можуть бути недоступні безпосередньо під час судового розгляду, тому їх необхідно розшифровувати та відтворювати в звичній графічній, текстовій чи звуковій формі, що буде детально представлено у висновку експерта. [4].</w:t>
      </w:r>
    </w:p>
    <w:p w14:paraId="2E884CB1"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Отже, цифрові технології стали важливим інструментом у процесі встановлення невідомої особи. Вони значно покращили ефективність кримінальних розслідувань та допомогли органам правопорядку вирішувати складні завдання, що виникають у контексті ідентифікації осіб. Проте ці технології також потребують ретельного регулювання з боку держави для забезпечення дотримання прав людини та захисту конфіденційності інформації.</w:t>
      </w:r>
    </w:p>
    <w:p w14:paraId="3DF2F6E5"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У подальшому розвиток штучного інтелекту та машинного навчання відкриває нові горизонти для використання цифрової інформації у криміналістиці та інших сферах, однак для цього необхідно постійно вдосконалювати законодавчі та етичні норми.</w:t>
      </w:r>
    </w:p>
    <w:p w14:paraId="2CF68BCE" w14:textId="77777777" w:rsidR="00532C25" w:rsidRPr="00511005" w:rsidRDefault="00532C25" w:rsidP="00532C25">
      <w:pPr>
        <w:spacing w:line="264" w:lineRule="auto"/>
        <w:ind w:firstLine="720"/>
        <w:jc w:val="center"/>
        <w:rPr>
          <w:rFonts w:ascii="Arial" w:eastAsia="Calibri" w:hAnsi="Arial" w:cs="Arial"/>
          <w:b/>
          <w:szCs w:val="28"/>
        </w:rPr>
      </w:pPr>
    </w:p>
    <w:p w14:paraId="095E24CC"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lang w:val="uk-UA"/>
        </w:rPr>
        <w:t>Список використаних джерел</w:t>
      </w:r>
    </w:p>
    <w:p w14:paraId="7BB65A1B" w14:textId="77777777" w:rsidR="00532C25" w:rsidRPr="00511005" w:rsidRDefault="00532C25" w:rsidP="003F6A5D">
      <w:pPr>
        <w:numPr>
          <w:ilvl w:val="0"/>
          <w:numId w:val="642"/>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Степанюк Р.Л., Лапта С.П. Новітні зарубіжні розробки та перспективні дослідження у галузі технікокриміналістичного забезпечення протидії злочинності. </w:t>
      </w:r>
      <w:r w:rsidRPr="00511005">
        <w:rPr>
          <w:rFonts w:ascii="Arial" w:eastAsia="Times New Roman" w:hAnsi="Arial" w:cs="Arial"/>
          <w:i/>
          <w:iCs/>
          <w:szCs w:val="28"/>
          <w:lang w:eastAsia="ru-RU"/>
        </w:rPr>
        <w:t>Право і Безпека</w:t>
      </w:r>
      <w:r w:rsidRPr="00511005">
        <w:rPr>
          <w:rFonts w:ascii="Arial" w:eastAsia="Times New Roman" w:hAnsi="Arial" w:cs="Arial"/>
          <w:szCs w:val="28"/>
          <w:lang w:eastAsia="ru-RU"/>
        </w:rPr>
        <w:t xml:space="preserve">. 2017. Випуск № 2. 96‒101 с. URL: </w:t>
      </w:r>
      <w:r w:rsidRPr="00511005">
        <w:rPr>
          <w:rFonts w:ascii="Arial" w:eastAsia="Times New Roman" w:hAnsi="Arial" w:cs="Arial"/>
          <w:szCs w:val="28"/>
          <w:lang w:eastAsia="ru-RU"/>
        </w:rPr>
        <w:lastRenderedPageBreak/>
        <w:t>https://dspace.univd.edu.ua/server/api/core/bitstreams/d4aeb293-4384-4489-885b-9fafc14dac0e/content</w:t>
      </w:r>
    </w:p>
    <w:p w14:paraId="1DABC043" w14:textId="77777777" w:rsidR="00532C25" w:rsidRPr="00511005" w:rsidRDefault="00532C25" w:rsidP="003F6A5D">
      <w:pPr>
        <w:numPr>
          <w:ilvl w:val="0"/>
          <w:numId w:val="642"/>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Шевчук В. М. Інновації у криміналістичній техніці: сучасні можливості й проблеми застосування. </w:t>
      </w:r>
      <w:r w:rsidRPr="00511005">
        <w:rPr>
          <w:rFonts w:ascii="Arial" w:eastAsia="Times New Roman" w:hAnsi="Arial" w:cs="Arial"/>
          <w:i/>
          <w:iCs/>
          <w:szCs w:val="28"/>
          <w:lang w:eastAsia="ru-RU"/>
        </w:rPr>
        <w:t>Науковий вісник Міжнародного гуманітарного університету. Сер.: Юриспруденція</w:t>
      </w:r>
      <w:r w:rsidRPr="00511005">
        <w:rPr>
          <w:rFonts w:ascii="Arial" w:eastAsia="Times New Roman" w:hAnsi="Arial" w:cs="Arial"/>
          <w:szCs w:val="28"/>
          <w:lang w:eastAsia="ru-RU"/>
        </w:rPr>
        <w:t>. 2020. № 43. С. 146–151.</w:t>
      </w:r>
    </w:p>
    <w:p w14:paraId="60FB86F5" w14:textId="77777777" w:rsidR="00532C25" w:rsidRPr="00511005" w:rsidRDefault="00532C25" w:rsidP="003F6A5D">
      <w:pPr>
        <w:numPr>
          <w:ilvl w:val="0"/>
          <w:numId w:val="642"/>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Хижняк Є. С. Віртуальні сліди: поняття та ознаки. </w:t>
      </w:r>
      <w:r w:rsidRPr="00511005">
        <w:rPr>
          <w:rFonts w:ascii="Arial" w:eastAsia="Times New Roman" w:hAnsi="Arial" w:cs="Arial"/>
          <w:i/>
          <w:iCs/>
          <w:szCs w:val="28"/>
          <w:lang w:eastAsia="ru-RU"/>
        </w:rPr>
        <w:t xml:space="preserve">Правове життя сучасної </w:t>
      </w:r>
      <w:proofErr w:type="gramStart"/>
      <w:r w:rsidRPr="00511005">
        <w:rPr>
          <w:rFonts w:ascii="Arial" w:eastAsia="Times New Roman" w:hAnsi="Arial" w:cs="Arial"/>
          <w:i/>
          <w:iCs/>
          <w:szCs w:val="28"/>
          <w:lang w:eastAsia="ru-RU"/>
        </w:rPr>
        <w:t xml:space="preserve">України </w:t>
      </w:r>
      <w:r w:rsidRPr="00511005">
        <w:rPr>
          <w:rFonts w:ascii="Arial" w:eastAsia="Times New Roman" w:hAnsi="Arial" w:cs="Arial"/>
          <w:szCs w:val="28"/>
          <w:lang w:eastAsia="ru-RU"/>
        </w:rPr>
        <w:t>:</w:t>
      </w:r>
      <w:proofErr w:type="gramEnd"/>
      <w:r w:rsidRPr="00511005">
        <w:rPr>
          <w:rFonts w:ascii="Arial" w:eastAsia="Times New Roman" w:hAnsi="Arial" w:cs="Arial"/>
          <w:szCs w:val="28"/>
          <w:lang w:eastAsia="ru-RU"/>
        </w:rPr>
        <w:t xml:space="preserve"> у 2 т. : матер. Міжнар. наук.-практ. конф., (м. Одеса, 17 трав. 2019 р.). </w:t>
      </w:r>
      <w:proofErr w:type="gramStart"/>
      <w:r w:rsidRPr="00511005">
        <w:rPr>
          <w:rFonts w:ascii="Arial" w:eastAsia="Times New Roman" w:hAnsi="Arial" w:cs="Arial"/>
          <w:szCs w:val="28"/>
          <w:lang w:eastAsia="ru-RU"/>
        </w:rPr>
        <w:t>Одеса :</w:t>
      </w:r>
      <w:proofErr w:type="gramEnd"/>
      <w:r w:rsidRPr="00511005">
        <w:rPr>
          <w:rFonts w:ascii="Arial" w:eastAsia="Times New Roman" w:hAnsi="Arial" w:cs="Arial"/>
          <w:szCs w:val="28"/>
          <w:lang w:eastAsia="ru-RU"/>
        </w:rPr>
        <w:t xml:space="preserve"> ВД «Гельветика», 2019. Т. 2. С. 422–425.</w:t>
      </w:r>
    </w:p>
    <w:p w14:paraId="2C753CD2" w14:textId="77777777" w:rsidR="00532C25" w:rsidRPr="00511005" w:rsidRDefault="00532C25" w:rsidP="003F6A5D">
      <w:pPr>
        <w:numPr>
          <w:ilvl w:val="0"/>
          <w:numId w:val="642"/>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Шевчук В. М. Цифрова криміналістика: формування та роль у забезпеченні безпекового середовища України. </w:t>
      </w:r>
      <w:r w:rsidRPr="00511005">
        <w:rPr>
          <w:rFonts w:ascii="Arial" w:eastAsia="Times New Roman" w:hAnsi="Arial" w:cs="Arial"/>
          <w:i/>
          <w:iCs/>
          <w:szCs w:val="28"/>
          <w:lang w:eastAsia="ru-RU"/>
        </w:rPr>
        <w:t xml:space="preserve">Нова архітектура безпекового середовища </w:t>
      </w:r>
      <w:proofErr w:type="gramStart"/>
      <w:r w:rsidRPr="00511005">
        <w:rPr>
          <w:rFonts w:ascii="Arial" w:eastAsia="Times New Roman" w:hAnsi="Arial" w:cs="Arial"/>
          <w:i/>
          <w:iCs/>
          <w:szCs w:val="28"/>
          <w:lang w:eastAsia="ru-RU"/>
        </w:rPr>
        <w:t xml:space="preserve">України </w:t>
      </w:r>
      <w:r w:rsidRPr="00511005">
        <w:rPr>
          <w:rFonts w:ascii="Arial" w:eastAsia="Times New Roman" w:hAnsi="Arial" w:cs="Arial"/>
          <w:szCs w:val="28"/>
          <w:lang w:eastAsia="ru-RU"/>
        </w:rPr>
        <w:t>:</w:t>
      </w:r>
      <w:proofErr w:type="gramEnd"/>
      <w:r w:rsidRPr="00511005">
        <w:rPr>
          <w:rFonts w:ascii="Arial" w:eastAsia="Times New Roman" w:hAnsi="Arial" w:cs="Arial"/>
          <w:szCs w:val="28"/>
          <w:lang w:eastAsia="ru-RU"/>
        </w:rPr>
        <w:t xml:space="preserve"> зб. тез всеукр. наук.-практ. конф., (м. Харків, 23 грудня 2022 р.). Харків: Юрайт, 2022. С. 146–150.</w:t>
      </w:r>
    </w:p>
    <w:p w14:paraId="28AB19A2" w14:textId="77777777" w:rsidR="00532C25" w:rsidRPr="00511005" w:rsidRDefault="00532C25" w:rsidP="00532C25">
      <w:pPr>
        <w:spacing w:line="264" w:lineRule="auto"/>
        <w:ind w:right="-143" w:firstLine="720"/>
        <w:contextualSpacing/>
        <w:rPr>
          <w:rFonts w:ascii="Arial" w:eastAsia="Calibri" w:hAnsi="Arial" w:cs="Arial"/>
          <w:b/>
          <w:iCs/>
          <w:szCs w:val="28"/>
        </w:rPr>
      </w:pPr>
    </w:p>
    <w:p w14:paraId="4703316B" w14:textId="77777777" w:rsidR="00532C25" w:rsidRPr="00511005" w:rsidRDefault="00532C25" w:rsidP="00532C25">
      <w:pPr>
        <w:spacing w:line="264" w:lineRule="auto"/>
        <w:ind w:right="-143" w:firstLine="720"/>
        <w:contextualSpacing/>
        <w:rPr>
          <w:rFonts w:ascii="Arial" w:eastAsia="Calibri" w:hAnsi="Arial" w:cs="Arial"/>
          <w:iCs/>
          <w:szCs w:val="28"/>
        </w:rPr>
      </w:pPr>
      <w:r w:rsidRPr="00511005">
        <w:rPr>
          <w:rFonts w:ascii="Arial" w:eastAsia="Calibri" w:hAnsi="Arial" w:cs="Arial"/>
          <w:b/>
          <w:i/>
          <w:iCs/>
          <w:szCs w:val="28"/>
        </w:rPr>
        <w:t xml:space="preserve">Ключові слова: </w:t>
      </w:r>
      <w:r w:rsidRPr="00511005">
        <w:rPr>
          <w:rFonts w:ascii="Arial" w:eastAsia="Calibri" w:hAnsi="Arial" w:cs="Arial"/>
          <w:iCs/>
          <w:szCs w:val="28"/>
        </w:rPr>
        <w:t>цифрова інформація, встановлення особи, ідентифікація особи, біометричні дані, цифрова ідентичність, бази даних, інформаційні технології, відеоспостереження</w:t>
      </w:r>
    </w:p>
    <w:p w14:paraId="608BC058" w14:textId="77777777" w:rsidR="00532C25" w:rsidRPr="00511005" w:rsidRDefault="00532C25" w:rsidP="00532C25">
      <w:pPr>
        <w:spacing w:line="264" w:lineRule="auto"/>
        <w:ind w:right="-143" w:firstLine="720"/>
        <w:contextualSpacing/>
        <w:rPr>
          <w:rFonts w:ascii="Arial" w:eastAsia="Calibri" w:hAnsi="Arial" w:cs="Arial"/>
          <w:iCs/>
          <w:szCs w:val="28"/>
          <w:lang w:val="en-US"/>
        </w:rPr>
      </w:pPr>
      <w:r w:rsidRPr="00511005">
        <w:rPr>
          <w:rFonts w:ascii="Arial" w:eastAsia="Calibri" w:hAnsi="Arial" w:cs="Arial"/>
          <w:b/>
          <w:i/>
          <w:iCs/>
          <w:szCs w:val="28"/>
          <w:lang w:val="en-US"/>
        </w:rPr>
        <w:t xml:space="preserve">Key words: </w:t>
      </w:r>
      <w:r w:rsidRPr="00511005">
        <w:rPr>
          <w:rFonts w:ascii="Arial" w:eastAsia="Calibri" w:hAnsi="Arial" w:cs="Arial"/>
          <w:iCs/>
          <w:szCs w:val="28"/>
          <w:lang w:val="en-US"/>
        </w:rPr>
        <w:t>digital information, identification, personal identification, biometric data, digital identity, databases, information technology, video surveillance</w:t>
      </w:r>
    </w:p>
    <w:p w14:paraId="6C5ECE14" w14:textId="77777777" w:rsidR="00532C25" w:rsidRPr="00511005" w:rsidRDefault="00532C25" w:rsidP="00532C25">
      <w:pPr>
        <w:spacing w:line="264" w:lineRule="auto"/>
        <w:ind w:right="-143" w:firstLine="720"/>
        <w:contextualSpacing/>
        <w:rPr>
          <w:rFonts w:ascii="Arial" w:eastAsia="Calibri" w:hAnsi="Arial" w:cs="Arial"/>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i/>
          <w:iCs/>
          <w:szCs w:val="28"/>
        </w:rPr>
        <w:t>д.ю.н., професор Цехан Д.М.</w:t>
      </w:r>
    </w:p>
    <w:p w14:paraId="0C14B481" w14:textId="77777777" w:rsidR="00532C25" w:rsidRPr="00511005" w:rsidRDefault="00532C25" w:rsidP="00532C25">
      <w:pPr>
        <w:autoSpaceDE w:val="0"/>
        <w:autoSpaceDN w:val="0"/>
        <w:adjustRightInd w:val="0"/>
        <w:spacing w:line="264" w:lineRule="auto"/>
        <w:ind w:right="-143" w:firstLine="720"/>
        <w:contextualSpacing/>
        <w:rPr>
          <w:rFonts w:ascii="Arial" w:eastAsia="Times New Roman" w:hAnsi="Arial" w:cs="Arial"/>
          <w:szCs w:val="28"/>
          <w:lang w:eastAsia="ru-RU"/>
        </w:rPr>
      </w:pPr>
    </w:p>
    <w:p w14:paraId="115D673F" w14:textId="77777777" w:rsidR="00532C25" w:rsidRPr="00511005" w:rsidRDefault="00532C25" w:rsidP="00532C25">
      <w:pPr>
        <w:keepNext/>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Капітоненко Ангеліна Сергіївна</w:t>
      </w:r>
    </w:p>
    <w:p w14:paraId="474EA012"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1-го курсу факультету цивільної та господарської юстиції</w:t>
      </w:r>
      <w:r w:rsidRPr="00511005">
        <w:rPr>
          <w:rFonts w:ascii="Arial" w:eastAsia="Calibri" w:hAnsi="Arial" w:cs="Arial"/>
          <w:szCs w:val="28"/>
          <w:lang w:val="uk-UA"/>
        </w:rPr>
        <w:br/>
        <w:t>Національного університету «Одеська юридична академія»</w:t>
      </w:r>
    </w:p>
    <w:p w14:paraId="2E5FB79E" w14:textId="77777777" w:rsidR="00532C25" w:rsidRPr="00511005" w:rsidRDefault="00532C25" w:rsidP="00532C25">
      <w:pPr>
        <w:spacing w:line="264" w:lineRule="auto"/>
        <w:ind w:firstLine="720"/>
        <w:rPr>
          <w:rFonts w:ascii="Arial" w:eastAsia="Calibri" w:hAnsi="Arial" w:cs="Arial"/>
          <w:szCs w:val="28"/>
          <w:lang w:val="uk-UA"/>
        </w:rPr>
      </w:pPr>
    </w:p>
    <w:p w14:paraId="29140383" w14:textId="77777777" w:rsidR="00532C25" w:rsidRPr="00511005" w:rsidRDefault="00532C25" w:rsidP="00532C25">
      <w:pPr>
        <w:spacing w:line="264" w:lineRule="auto"/>
        <w:ind w:right="-284" w:firstLine="720"/>
        <w:jc w:val="center"/>
        <w:rPr>
          <w:rFonts w:ascii="Arial" w:eastAsia="Calibri" w:hAnsi="Arial" w:cs="Arial"/>
          <w:b/>
          <w:bCs/>
          <w:szCs w:val="28"/>
          <w:lang w:val="uk-UA"/>
        </w:rPr>
      </w:pPr>
      <w:r w:rsidRPr="00511005">
        <w:rPr>
          <w:rFonts w:ascii="Arial" w:eastAsia="Calibri" w:hAnsi="Arial" w:cs="Arial"/>
          <w:b/>
          <w:bCs/>
          <w:szCs w:val="28"/>
        </w:rPr>
        <w:t>П</w:t>
      </w:r>
      <w:r w:rsidRPr="00511005">
        <w:rPr>
          <w:rFonts w:ascii="Arial" w:eastAsia="Calibri" w:hAnsi="Arial" w:cs="Arial"/>
          <w:b/>
          <w:bCs/>
          <w:szCs w:val="28"/>
          <w:lang w:val="uk-UA"/>
        </w:rPr>
        <w:t>РОБЛЕМА</w:t>
      </w:r>
      <w:r w:rsidRPr="00511005">
        <w:rPr>
          <w:rFonts w:ascii="Arial" w:eastAsia="Calibri" w:hAnsi="Arial" w:cs="Arial"/>
          <w:b/>
          <w:bCs/>
          <w:szCs w:val="28"/>
        </w:rPr>
        <w:t xml:space="preserve"> </w:t>
      </w:r>
      <w:r w:rsidRPr="00511005">
        <w:rPr>
          <w:rFonts w:ascii="Arial" w:eastAsia="Calibri" w:hAnsi="Arial" w:cs="Arial"/>
          <w:b/>
          <w:bCs/>
          <w:szCs w:val="28"/>
          <w:lang w:val="uk-UA"/>
        </w:rPr>
        <w:t>ДОКАЗУВАННЯ</w:t>
      </w:r>
      <w:r w:rsidRPr="00511005">
        <w:rPr>
          <w:rFonts w:ascii="Arial" w:eastAsia="Calibri" w:hAnsi="Arial" w:cs="Arial"/>
          <w:b/>
          <w:bCs/>
          <w:szCs w:val="28"/>
        </w:rPr>
        <w:t xml:space="preserve"> </w:t>
      </w:r>
      <w:r w:rsidRPr="00511005">
        <w:rPr>
          <w:rFonts w:ascii="Arial" w:eastAsia="Calibri" w:hAnsi="Arial" w:cs="Arial"/>
          <w:b/>
          <w:bCs/>
          <w:szCs w:val="28"/>
          <w:lang w:val="uk-UA"/>
        </w:rPr>
        <w:t>У</w:t>
      </w:r>
      <w:r w:rsidRPr="00511005">
        <w:rPr>
          <w:rFonts w:ascii="Arial" w:eastAsia="Calibri" w:hAnsi="Arial" w:cs="Arial"/>
          <w:b/>
          <w:bCs/>
          <w:szCs w:val="28"/>
        </w:rPr>
        <w:t xml:space="preserve"> </w:t>
      </w:r>
      <w:r w:rsidRPr="00511005">
        <w:rPr>
          <w:rFonts w:ascii="Arial" w:eastAsia="Calibri" w:hAnsi="Arial" w:cs="Arial"/>
          <w:b/>
          <w:bCs/>
          <w:szCs w:val="28"/>
          <w:lang w:val="uk-UA"/>
        </w:rPr>
        <w:t>СПРАВАХ</w:t>
      </w:r>
      <w:r w:rsidRPr="00511005">
        <w:rPr>
          <w:rFonts w:ascii="Arial" w:eastAsia="Calibri" w:hAnsi="Arial" w:cs="Arial"/>
          <w:b/>
          <w:bCs/>
          <w:szCs w:val="28"/>
        </w:rPr>
        <w:t xml:space="preserve"> </w:t>
      </w:r>
      <w:r w:rsidRPr="00511005">
        <w:rPr>
          <w:rFonts w:ascii="Arial" w:eastAsia="Calibri" w:hAnsi="Arial" w:cs="Arial"/>
          <w:b/>
          <w:bCs/>
          <w:szCs w:val="28"/>
          <w:lang w:val="uk-UA"/>
        </w:rPr>
        <w:t>ПРО</w:t>
      </w:r>
      <w:r w:rsidRPr="00511005">
        <w:rPr>
          <w:rFonts w:ascii="Arial" w:eastAsia="Calibri" w:hAnsi="Arial" w:cs="Arial"/>
          <w:b/>
          <w:bCs/>
          <w:szCs w:val="28"/>
        </w:rPr>
        <w:t xml:space="preserve"> </w:t>
      </w:r>
      <w:r w:rsidRPr="00511005">
        <w:rPr>
          <w:rFonts w:ascii="Arial" w:eastAsia="Calibri" w:hAnsi="Arial" w:cs="Arial"/>
          <w:b/>
          <w:bCs/>
          <w:szCs w:val="28"/>
          <w:lang w:val="uk-UA"/>
        </w:rPr>
        <w:t>ВОЄННІ</w:t>
      </w:r>
      <w:r w:rsidRPr="00511005">
        <w:rPr>
          <w:rFonts w:ascii="Arial" w:eastAsia="Calibri" w:hAnsi="Arial" w:cs="Arial"/>
          <w:b/>
          <w:bCs/>
          <w:szCs w:val="28"/>
        </w:rPr>
        <w:t xml:space="preserve"> </w:t>
      </w:r>
      <w:r w:rsidRPr="00511005">
        <w:rPr>
          <w:rFonts w:ascii="Arial" w:eastAsia="Calibri" w:hAnsi="Arial" w:cs="Arial"/>
          <w:b/>
          <w:bCs/>
          <w:szCs w:val="28"/>
          <w:lang w:val="uk-UA"/>
        </w:rPr>
        <w:t>ЗЛОЧИНИ</w:t>
      </w:r>
    </w:p>
    <w:p w14:paraId="7FD78DA1" w14:textId="77777777" w:rsidR="00532C25" w:rsidRPr="00511005" w:rsidRDefault="00532C25" w:rsidP="00532C25">
      <w:pPr>
        <w:spacing w:line="264" w:lineRule="auto"/>
        <w:ind w:right="-284" w:firstLine="720"/>
        <w:rPr>
          <w:rFonts w:ascii="Arial" w:eastAsia="Calibri" w:hAnsi="Arial" w:cs="Arial"/>
          <w:szCs w:val="28"/>
          <w:lang w:val="uk-UA"/>
        </w:rPr>
      </w:pPr>
      <w:r w:rsidRPr="00511005">
        <w:rPr>
          <w:rFonts w:ascii="Arial" w:eastAsia="Calibri" w:hAnsi="Arial" w:cs="Arial"/>
          <w:szCs w:val="28"/>
          <w:lang w:val="uk-UA"/>
        </w:rPr>
        <w:t>Доведення військових злочинів одна з ключових проблем сучасної криміналістики, що набуває особливої актуальності в умовах активних збройних конфліктів. Зокрема, це було зумовлено російсько-українською війною та повномаштабним вторгненням Росії в 2022 р. Фіксація та доказування фактів злочинів проти цивільного населення й військовополонених стали пріоритетними завданнями для українських правоохоронних органів і міжнародних судових інституцій.</w:t>
      </w:r>
    </w:p>
    <w:p w14:paraId="0B615FEA" w14:textId="77777777" w:rsidR="00532C25" w:rsidRPr="00511005" w:rsidRDefault="00532C25" w:rsidP="00532C25">
      <w:pPr>
        <w:spacing w:line="264" w:lineRule="auto"/>
        <w:ind w:right="-284" w:firstLine="720"/>
        <w:rPr>
          <w:rFonts w:ascii="Arial" w:eastAsia="Calibri" w:hAnsi="Arial" w:cs="Arial"/>
          <w:szCs w:val="28"/>
        </w:rPr>
      </w:pPr>
      <w:r w:rsidRPr="00511005">
        <w:rPr>
          <w:rFonts w:ascii="Arial" w:eastAsia="Calibri" w:hAnsi="Arial" w:cs="Arial"/>
          <w:szCs w:val="28"/>
        </w:rPr>
        <w:t xml:space="preserve">Основна проблема полягає в адаптації традиційних методів збирання, аналізу та оцінки доказів до специфічних умов бойових дій. По-перше, матеріальні докази часто знищуються або стають недоступними через інтенсивність бойових дій, що ускладнює їх документування та збереження. </w:t>
      </w:r>
      <w:proofErr w:type="gramStart"/>
      <w:r w:rsidRPr="00511005">
        <w:rPr>
          <w:rFonts w:ascii="Arial" w:eastAsia="Calibri" w:hAnsi="Arial" w:cs="Arial"/>
          <w:szCs w:val="28"/>
        </w:rPr>
        <w:t>По-друге</w:t>
      </w:r>
      <w:proofErr w:type="gramEnd"/>
      <w:r w:rsidRPr="00511005">
        <w:rPr>
          <w:rFonts w:ascii="Arial" w:eastAsia="Calibri" w:hAnsi="Arial" w:cs="Arial"/>
          <w:szCs w:val="28"/>
        </w:rPr>
        <w:t xml:space="preserve">, свідки, включаючи жертв і очевидців, зазнають психологічних травм, залякування або фізичного тиску, що впливає на якість і достовірність їхніх показань. По-третє, високі стандарти доказування, встановлені національним законодавством та міжнародними інституціями, вимагають розробки </w:t>
      </w:r>
      <w:r w:rsidRPr="00511005">
        <w:rPr>
          <w:rFonts w:ascii="Arial" w:eastAsia="Calibri" w:hAnsi="Arial" w:cs="Arial"/>
          <w:szCs w:val="28"/>
        </w:rPr>
        <w:lastRenderedPageBreak/>
        <w:t>спеціалізованих криміналістичних підходів, здатних забезпечити обґрунтованість доказової бази в умовах воєнного часу.</w:t>
      </w:r>
    </w:p>
    <w:p w14:paraId="31A94264" w14:textId="77777777" w:rsidR="00532C25" w:rsidRPr="00511005" w:rsidRDefault="00532C25" w:rsidP="00532C25">
      <w:pPr>
        <w:spacing w:line="264" w:lineRule="auto"/>
        <w:ind w:right="-284" w:firstLine="720"/>
        <w:rPr>
          <w:rFonts w:ascii="Arial" w:eastAsia="Calibri" w:hAnsi="Arial" w:cs="Arial"/>
          <w:szCs w:val="28"/>
          <w:lang w:val="uk-UA"/>
        </w:rPr>
      </w:pPr>
      <w:r w:rsidRPr="00511005">
        <w:rPr>
          <w:rFonts w:ascii="Arial" w:eastAsia="Calibri" w:hAnsi="Arial" w:cs="Arial"/>
          <w:szCs w:val="28"/>
        </w:rPr>
        <w:t xml:space="preserve">Проблематика доказування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про військові злочини стала предметом дослідження низки українських вчених-правників. Серед провідних дослідників варто відзначити. Юхно О., доктора юридичних наук, який зосередив увагу на встановленні меж доказування та організації збору доказів у складних умовах бойових дій. У той же час Глобенко Г., Бондаренко О., Савчук Т., Четвертак Д. </w:t>
      </w:r>
      <w:r w:rsidRPr="00511005">
        <w:rPr>
          <w:rFonts w:ascii="Arial" w:eastAsia="Calibri" w:hAnsi="Arial" w:cs="Arial"/>
          <w:szCs w:val="28"/>
          <w:lang w:val="uk-UA"/>
        </w:rPr>
        <w:t>–</w:t>
      </w:r>
      <w:r w:rsidRPr="00511005">
        <w:rPr>
          <w:rFonts w:ascii="Arial" w:eastAsia="Calibri" w:hAnsi="Arial" w:cs="Arial"/>
          <w:szCs w:val="28"/>
        </w:rPr>
        <w:t xml:space="preserve"> у своїх працях надали криміналістичні характеристики військових злочинів, а також висвітлили специфіку роботи слідчих на територіях, охоплених бойовими діями, окупацією. Важливий внесок у розвиток криміналістичного підходу до доказування військових злочинів зробили й інші дослідники, зокрема Оржинська Е., спрямувала свій науковий доробок на формування окремої галузі криміналістики </w:t>
      </w:r>
      <w:r w:rsidRPr="00511005">
        <w:rPr>
          <w:rFonts w:ascii="Arial" w:eastAsia="Calibri" w:hAnsi="Arial" w:cs="Arial"/>
          <w:szCs w:val="28"/>
          <w:lang w:val="uk-UA"/>
        </w:rPr>
        <w:t>–</w:t>
      </w:r>
      <w:r w:rsidRPr="00511005">
        <w:rPr>
          <w:rFonts w:ascii="Arial" w:eastAsia="Calibri" w:hAnsi="Arial" w:cs="Arial"/>
          <w:szCs w:val="28"/>
        </w:rPr>
        <w:t xml:space="preserve"> воєнної криміналістики, що враховує специфіку документування в умовах воєнного стану. </w:t>
      </w:r>
    </w:p>
    <w:p w14:paraId="4564BA83" w14:textId="77777777" w:rsidR="00532C25" w:rsidRPr="00511005" w:rsidRDefault="00532C25" w:rsidP="00532C25">
      <w:pPr>
        <w:spacing w:line="264" w:lineRule="auto"/>
        <w:ind w:right="-284" w:firstLine="720"/>
        <w:rPr>
          <w:rFonts w:ascii="Arial" w:eastAsia="Calibri" w:hAnsi="Arial" w:cs="Arial"/>
          <w:szCs w:val="28"/>
        </w:rPr>
      </w:pPr>
      <w:r w:rsidRPr="00511005">
        <w:rPr>
          <w:rFonts w:ascii="Arial" w:eastAsia="Calibri" w:hAnsi="Arial" w:cs="Arial"/>
          <w:szCs w:val="28"/>
        </w:rPr>
        <w:t xml:space="preserve">Незважаючи на величезний теоретичний вклад українських науковців у дослідження проблематики доказування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про військові злочини з криміналістичного підходу, питання залишається недостатньо вивченим, що зумовлено низкою академічних і практичних обмежень. Більшість праць, фокусуються на окремих аспектах </w:t>
      </w:r>
      <w:r w:rsidRPr="00511005">
        <w:rPr>
          <w:rFonts w:ascii="Arial" w:eastAsia="Calibri" w:hAnsi="Arial" w:cs="Arial"/>
          <w:szCs w:val="28"/>
          <w:lang w:val="uk-UA"/>
        </w:rPr>
        <w:t>–</w:t>
      </w:r>
      <w:r w:rsidRPr="00511005">
        <w:rPr>
          <w:rFonts w:ascii="Arial" w:eastAsia="Calibri" w:hAnsi="Arial" w:cs="Arial"/>
          <w:szCs w:val="28"/>
        </w:rPr>
        <w:t xml:space="preserve"> процесуальних, криміналістичних чи організаційних без створення комплексної теоретичної моделі доказування в умовах збройного конфлікту. Подібне призводить до фрагментарності «наукового знання», що ускладнює формування цілісного спеціального-юридичного методологічного підходу. Також було запропоновано концепцію воєнної криміналістики як окремої підгалузі, її теоретичні засади залишаються на початковій стадії розробки. Відсутність емпіричних даних та узагальнених практик документування військових злочинів обмежує можливість вдосконалення цієї концепції. Таким чином, існуючі дослідження закладають важливу основу для розуміння проблематики, їхня обмежена комплексність, недостатня емпірична база, слабка інтеграція сучасних технологій та міждисциплінарних підходів свідчать про необхідність подальшого академічного осмислення та поглибленого вивчення доказування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про військові злочини.</w:t>
      </w:r>
    </w:p>
    <w:p w14:paraId="445418AB" w14:textId="77777777" w:rsidR="00532C25" w:rsidRPr="00511005" w:rsidRDefault="00532C25" w:rsidP="00532C25">
      <w:pPr>
        <w:spacing w:line="264" w:lineRule="auto"/>
        <w:ind w:right="-284" w:firstLine="720"/>
        <w:rPr>
          <w:rFonts w:ascii="Arial" w:eastAsia="Calibri" w:hAnsi="Arial" w:cs="Arial"/>
          <w:szCs w:val="28"/>
        </w:rPr>
      </w:pPr>
      <w:r w:rsidRPr="00511005">
        <w:rPr>
          <w:rFonts w:ascii="Arial" w:eastAsia="Calibri" w:hAnsi="Arial" w:cs="Arial"/>
          <w:szCs w:val="28"/>
        </w:rPr>
        <w:t xml:space="preserve">Проблеми доказування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про військові злочини ускладнюється через несприятливі умови для проведення слідчих дій. Локації військових злочинів нерідко зазнають руйнації спричинених війною, що призводить до втрати матеріальних доказів. Особливою проблемою є посилення переслідування свідків і потерпілих, що знижує їхню готовність до співпраці зі слідством. Як зазначено в настановах щодо розслідування порушень міжнародного гуманітарного права, «У деяких системах жертви або їхні найближчі родичі можуть бути стороною кримінального провадження, в інших вони можуть брати участь як свідки. Участь жертв або їхніх найближчих </w:t>
      </w:r>
      <w:r w:rsidRPr="00511005">
        <w:rPr>
          <w:rFonts w:ascii="Arial" w:eastAsia="Calibri" w:hAnsi="Arial" w:cs="Arial"/>
          <w:szCs w:val="28"/>
        </w:rPr>
        <w:lastRenderedPageBreak/>
        <w:t>родичів може бути особливо делікатною в умовах збройного конфлікту через можливі складні відносини між державою та цивільним населенням, проблеми безпеки та інші фактори» [1, c. 31]. Подібні фактори вимагають розробки адаптивних підходів до збору й аналізу доказової бази в умовах збройного конфлікту.</w:t>
      </w:r>
    </w:p>
    <w:p w14:paraId="6943333B" w14:textId="77777777" w:rsidR="00532C25" w:rsidRPr="00511005" w:rsidRDefault="00532C25" w:rsidP="00532C25">
      <w:pPr>
        <w:spacing w:line="264" w:lineRule="auto"/>
        <w:ind w:right="-284" w:firstLine="720"/>
        <w:rPr>
          <w:rFonts w:ascii="Arial" w:eastAsia="Calibri" w:hAnsi="Arial" w:cs="Arial"/>
          <w:szCs w:val="28"/>
        </w:rPr>
      </w:pPr>
      <w:r w:rsidRPr="00511005">
        <w:rPr>
          <w:rFonts w:ascii="Arial" w:eastAsia="Calibri" w:hAnsi="Arial" w:cs="Arial"/>
          <w:szCs w:val="28"/>
        </w:rPr>
        <w:t>У той же час, міжнародні рекомендації Guidelines on IHL Investigations акцентують необхідність незалежності й неупередженості розслідування, а також його оперативності і повноти. Так, незалежний статус слідчої групи підвищує довіру до результатів, а своєчасне документування фактів війни (зазвичай «за гарячим слідом») гарантує збереження доказів. Відповідно до цих стандартів, розвідку місць злочинів слід проводити негайно, приділяючи увагу фіксації усіх можливих слідів і подій на місці злочину.</w:t>
      </w:r>
    </w:p>
    <w:p w14:paraId="521159D7" w14:textId="77777777" w:rsidR="00532C25" w:rsidRPr="00511005" w:rsidRDefault="00532C25" w:rsidP="00532C25">
      <w:pPr>
        <w:spacing w:line="264" w:lineRule="auto"/>
        <w:ind w:right="-284" w:firstLine="720"/>
        <w:rPr>
          <w:rFonts w:ascii="Arial" w:eastAsia="Calibri" w:hAnsi="Arial" w:cs="Arial"/>
          <w:szCs w:val="28"/>
        </w:rPr>
      </w:pPr>
      <w:r w:rsidRPr="00511005">
        <w:rPr>
          <w:rFonts w:ascii="Arial" w:eastAsia="Calibri" w:hAnsi="Arial" w:cs="Arial"/>
          <w:szCs w:val="28"/>
        </w:rPr>
        <w:t xml:space="preserve">У зоні бойових дій збір доказів відбувається під загрозою для слідчих. Вони використовують наявні можливості фіксації від фотографування та відеозйомку місць злочину до збирання речей та відбитків, маркування слідів й негайне опитування свідків у безпечному місці. Важливими в цьому контексті постають цифрові технологі, знімки з безпілотників і супутників фіксують руйнування об’єктів, дрони мають можливість відтворювати картину подій, метадані фотокадрів і відео допомагають встановити час і місце інцидентів. </w:t>
      </w:r>
    </w:p>
    <w:p w14:paraId="7EB06D29" w14:textId="77777777" w:rsidR="00532C25" w:rsidRPr="00511005" w:rsidRDefault="00532C25" w:rsidP="00532C25">
      <w:pPr>
        <w:spacing w:line="264" w:lineRule="auto"/>
        <w:ind w:right="-284" w:firstLine="720"/>
        <w:rPr>
          <w:rFonts w:ascii="Arial" w:eastAsia="Calibri" w:hAnsi="Arial" w:cs="Arial"/>
          <w:szCs w:val="28"/>
        </w:rPr>
      </w:pPr>
      <w:r w:rsidRPr="00511005">
        <w:rPr>
          <w:rFonts w:ascii="Arial" w:eastAsia="Calibri" w:hAnsi="Arial" w:cs="Arial"/>
          <w:szCs w:val="28"/>
        </w:rPr>
        <w:t>Військове командування агресора може цілеспрямовано знищувати сліди – спалювати тіла, викидати матеріали потенційного злочину на звалище. Міжнародні норми прямо забороняють такі дії: МКС кваліфікує «знищення, спотворення або втручання у збирання доказів» як злочин проти правосуддя [2, c. 51]. Утім, довести винуватість за це складно, якщо сам доказ відсутній. Досвід трибуналів підтверджує гнучкість доказових стандартів. Статут Трибуналу щодо Югославії дозволяв прокурору спиратися на будь-які надійні докази. Так, у справі Блашича Суд першої інстанції наголосив: «Камери не зв’язані національними правилами доказування… Камера може допускати будь-які релевантні докази з доказовою силою», а допускати непрямі свідчення дозволено, оскільки саме суд робить висновок про їхню вагомість [4]. Аналогічні положення містяться в правилах Трибуналу щодо Руанди та інших конфліктів.</w:t>
      </w:r>
    </w:p>
    <w:p w14:paraId="5158B8DA" w14:textId="77777777" w:rsidR="00532C25" w:rsidRPr="00511005" w:rsidRDefault="00532C25" w:rsidP="00532C25">
      <w:pPr>
        <w:spacing w:line="264" w:lineRule="auto"/>
        <w:ind w:right="-284" w:firstLine="720"/>
        <w:rPr>
          <w:rFonts w:ascii="Arial" w:eastAsia="Calibri" w:hAnsi="Arial" w:cs="Arial"/>
          <w:szCs w:val="28"/>
        </w:rPr>
      </w:pPr>
      <w:r w:rsidRPr="00511005">
        <w:rPr>
          <w:rFonts w:ascii="Arial" w:eastAsia="Calibri" w:hAnsi="Arial" w:cs="Arial"/>
          <w:szCs w:val="28"/>
        </w:rPr>
        <w:t xml:space="preserve">Українська правова система активно використовує міжнародні напрацювання доказування. Після 2014 року Україна сприяла розслідуванню МКС і самоініціювала розгляд низки військових злочинів у Національному бюро розслідувань та ГПУ. Особливо це стосується злочинів, пов’язаних із повномасштабним вторгненням РФ з 24 лютого 2022 р. Наприклад, у березні 2023 р. МКС видав ордери на арешт високопоставлених представників РФ за депортацію українських дітей, зазначивши, що існують «достатні підстави вважати» їх відповідальними за злочини на території України [3]. Подібне свідчить, що міжнародна спільнота розглядає факти воєнних злочинів в Україні у призмі Римського статуту й очікує від українських слідчих аналогічної </w:t>
      </w:r>
      <w:r w:rsidRPr="00511005">
        <w:rPr>
          <w:rFonts w:ascii="Arial" w:eastAsia="Calibri" w:hAnsi="Arial" w:cs="Arial"/>
          <w:szCs w:val="28"/>
        </w:rPr>
        <w:lastRenderedPageBreak/>
        <w:t>ретельності.</w:t>
      </w:r>
      <w:r w:rsidRPr="00511005">
        <w:rPr>
          <w:rFonts w:ascii="Arial" w:eastAsia="Calibri" w:hAnsi="Arial" w:cs="Arial"/>
          <w:szCs w:val="28"/>
          <w:lang w:val="uk-UA"/>
        </w:rPr>
        <w:t xml:space="preserve"> </w:t>
      </w:r>
      <w:r w:rsidRPr="00511005">
        <w:rPr>
          <w:rFonts w:ascii="Arial" w:eastAsia="Calibri" w:hAnsi="Arial" w:cs="Arial"/>
          <w:szCs w:val="28"/>
        </w:rPr>
        <w:t xml:space="preserve">Особливістю війни в Україні є широке використання відкритих джерел інформації. Волонтери та журналісти документують воєнні злочини за допомогою смартфонів, безпілотників і соцмереж, що доповнює офіційні розслідування. </w:t>
      </w:r>
      <w:r w:rsidRPr="00511005">
        <w:rPr>
          <w:rFonts w:ascii="Arial" w:eastAsia="Calibri" w:hAnsi="Arial" w:cs="Arial"/>
          <w:szCs w:val="28"/>
          <w:lang w:val="uk-UA"/>
        </w:rPr>
        <w:t>Вказані</w:t>
      </w:r>
      <w:r w:rsidRPr="00511005">
        <w:rPr>
          <w:rFonts w:ascii="Arial" w:eastAsia="Calibri" w:hAnsi="Arial" w:cs="Arial"/>
          <w:szCs w:val="28"/>
        </w:rPr>
        <w:t xml:space="preserve"> дані ретельно перевіряють за допомогою криміналістичних методів (геолокація кадрів, перевірка хеш-суми, аналіз метаданих фото тощо), що відображає тенденцію до імплементації інновацій у правосудді за військових конфліктів.</w:t>
      </w:r>
    </w:p>
    <w:p w14:paraId="53B85FE1" w14:textId="77777777" w:rsidR="00532C25" w:rsidRPr="00511005" w:rsidRDefault="00532C25" w:rsidP="00532C25">
      <w:pPr>
        <w:spacing w:line="264" w:lineRule="auto"/>
        <w:ind w:right="-284" w:firstLine="720"/>
        <w:rPr>
          <w:rFonts w:ascii="Arial" w:eastAsia="Calibri" w:hAnsi="Arial" w:cs="Arial"/>
          <w:szCs w:val="28"/>
        </w:rPr>
      </w:pPr>
      <w:r w:rsidRPr="00511005">
        <w:rPr>
          <w:rFonts w:ascii="Arial" w:eastAsia="Calibri" w:hAnsi="Arial" w:cs="Arial"/>
          <w:szCs w:val="28"/>
        </w:rPr>
        <w:t xml:space="preserve">Сучасна криміналістика пропонує низку спеціальних методів, які корисні у таких справах, як-от судово-медична експертиза, адже проведення повноцінної аутопсії тіл жертв дає можливість встановити характер поранень та причину смерті​. За необхідності проводять ексгумацію тіл з могил для відновлення обставин загибелі. Також важливим є ДНК-аналіз, а саме ідентифікація загиблих і розпізнавання жертв серед знайдених залишків. Немаловажними виділяють балістичні дослідження, аналіз типу та залишків боєприпасів (калібр, марка зброї) за уламками снарядів чи гільз, Також документування місця злочину, а саме слідча зйомка та фотозйомка з різних ракурсів, 3D-сканування об’єктів. Всі матеріали нумеруються і долучаються до справи як докази. Практикується експертиза цифрових даних, тобто вилучення і аналіз вмісту мобільних телефонів, радіоперехоплень, супутникових знімків. Наприклад, за відео з місця злочину спеціалісти визначають точні координати локації та час події. Достатню увагу приділяють і психологічним </w:t>
      </w:r>
      <w:proofErr w:type="gramStart"/>
      <w:r w:rsidRPr="00511005">
        <w:rPr>
          <w:rFonts w:ascii="Arial" w:eastAsia="Calibri" w:hAnsi="Arial" w:cs="Arial"/>
          <w:szCs w:val="28"/>
        </w:rPr>
        <w:t>методам ,</w:t>
      </w:r>
      <w:proofErr w:type="gramEnd"/>
      <w:r w:rsidRPr="00511005">
        <w:rPr>
          <w:rFonts w:ascii="Arial" w:eastAsia="Calibri" w:hAnsi="Arial" w:cs="Arial"/>
          <w:szCs w:val="28"/>
        </w:rPr>
        <w:t xml:space="preserve"> таким як допити потерпілих, що проводяться з урахуванням їхнього емоційного стану (так званий trauma-informed interviewing) а експерти допомагають відновити пам’ять жертв і зменшити негативний вплив повторних допитів. Для врегулювання всього вищезазначенного використовують міжнародні методичні рекомендації «Стамбульського протоколу» для жертв тортур для документування слідів насильства над людьми.</w:t>
      </w:r>
    </w:p>
    <w:p w14:paraId="63432F06" w14:textId="77777777" w:rsidR="00532C25" w:rsidRPr="00511005" w:rsidRDefault="00532C25" w:rsidP="00532C25">
      <w:pPr>
        <w:spacing w:line="264" w:lineRule="auto"/>
        <w:ind w:right="-284" w:firstLine="720"/>
        <w:rPr>
          <w:rFonts w:ascii="Arial" w:eastAsia="Calibri" w:hAnsi="Arial" w:cs="Arial"/>
          <w:szCs w:val="28"/>
        </w:rPr>
      </w:pPr>
      <w:r w:rsidRPr="00511005">
        <w:rPr>
          <w:rFonts w:ascii="Arial" w:eastAsia="Calibri" w:hAnsi="Arial" w:cs="Arial"/>
          <w:szCs w:val="28"/>
        </w:rPr>
        <w:t xml:space="preserve">Доказування військових злочинів вимагає поєднання ретельності криміналістичного підходу і гнучкості процесуальних стандартів. У сучасних конфліктах слідчі змушені працювати в екстремальних умовах, проте міжнародний досвід та розвиток технічних засобів дають можливість документувати більшість злочинів задовго </w:t>
      </w:r>
      <w:proofErr w:type="gramStart"/>
      <w:r w:rsidRPr="00511005">
        <w:rPr>
          <w:rFonts w:ascii="Arial" w:eastAsia="Calibri" w:hAnsi="Arial" w:cs="Arial"/>
          <w:szCs w:val="28"/>
        </w:rPr>
        <w:t>до початку</w:t>
      </w:r>
      <w:proofErr w:type="gramEnd"/>
      <w:r w:rsidRPr="00511005">
        <w:rPr>
          <w:rFonts w:ascii="Arial" w:eastAsia="Calibri" w:hAnsi="Arial" w:cs="Arial"/>
          <w:szCs w:val="28"/>
        </w:rPr>
        <w:t xml:space="preserve"> судових процесів. Застосування міжнародних стандартів (Римського статуту та процедур Трибуналів) допомагає створити у суді систему доведення, що враховує специфіку воєнних дій​. Водночас удосконалення криміналістичних методів підвищує шанси на отримання надійних доказів. Застосування в українській практиці як цих методів, так і міжнародних стандартів свідчить про інтеграцію нашої правової системи у загальні принципи доведення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про військові злочини. </w:t>
      </w:r>
    </w:p>
    <w:p w14:paraId="236FF5CA" w14:textId="77777777" w:rsidR="00532C25" w:rsidRPr="00511005" w:rsidRDefault="00532C25" w:rsidP="00532C25">
      <w:pPr>
        <w:spacing w:line="264" w:lineRule="auto"/>
        <w:ind w:right="-284" w:firstLine="72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1934FC7C" w14:textId="77777777" w:rsidR="00532C25" w:rsidRPr="00511005" w:rsidRDefault="00532C25" w:rsidP="003F6A5D">
      <w:pPr>
        <w:numPr>
          <w:ilvl w:val="0"/>
          <w:numId w:val="669"/>
        </w:numPr>
        <w:spacing w:line="264" w:lineRule="auto"/>
        <w:ind w:left="0" w:right="-284"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Женевська академія міжнародного гуманітарного права та прав людини. Настанови щодо розслідування порушень міжнародного </w:t>
      </w:r>
      <w:r w:rsidRPr="00511005">
        <w:rPr>
          <w:rFonts w:ascii="Arial" w:eastAsia="Times New Roman" w:hAnsi="Arial" w:cs="Arial"/>
          <w:szCs w:val="28"/>
          <w:lang w:eastAsia="ru-RU"/>
        </w:rPr>
        <w:lastRenderedPageBreak/>
        <w:t xml:space="preserve">гуманітарного права: право, політика та належна практика. Женева, 2019. URL: </w:t>
      </w:r>
      <w:hyperlink r:id="rId1968" w:tgtFrame="_new" w:history="1">
        <w:r w:rsidRPr="00511005">
          <w:rPr>
            <w:rFonts w:ascii="Arial" w:eastAsia="Times New Roman" w:hAnsi="Arial" w:cs="Arial"/>
            <w:szCs w:val="28"/>
            <w:lang w:eastAsia="ru-RU"/>
          </w:rPr>
          <w:t>https://www.geneva-academy.ch/joomlatools-files/docman-files/Guidelines%20on%20Investigating%20Violations%20of%20IHL.pdf</w:t>
        </w:r>
      </w:hyperlink>
      <w:r w:rsidRPr="00511005">
        <w:rPr>
          <w:rFonts w:ascii="Arial" w:eastAsia="Times New Roman" w:hAnsi="Arial" w:cs="Arial"/>
          <w:szCs w:val="28"/>
          <w:lang w:eastAsia="ru-RU"/>
        </w:rPr>
        <w:t xml:space="preserve"> (дата звернення: 01.04.2025).</w:t>
      </w:r>
    </w:p>
    <w:p w14:paraId="20C6DA12" w14:textId="77777777" w:rsidR="00532C25" w:rsidRPr="00511005" w:rsidRDefault="00532C25" w:rsidP="003F6A5D">
      <w:pPr>
        <w:numPr>
          <w:ilvl w:val="0"/>
          <w:numId w:val="669"/>
        </w:numPr>
        <w:spacing w:line="264" w:lineRule="auto"/>
        <w:ind w:left="0" w:right="-284"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Римський статут Міжнародного кримінального суду. Гаага, 1998 (оновлено 2024). URL: </w:t>
      </w:r>
      <w:hyperlink r:id="rId1969" w:tgtFrame="_new" w:history="1">
        <w:r w:rsidRPr="00511005">
          <w:rPr>
            <w:rFonts w:ascii="Arial" w:eastAsia="Times New Roman" w:hAnsi="Arial" w:cs="Arial"/>
            <w:szCs w:val="28"/>
            <w:lang w:eastAsia="ru-RU"/>
          </w:rPr>
          <w:t>https://www.icc-cpi.int/sites/default/files/2024-05/Rome-Statute-eng.pdf</w:t>
        </w:r>
      </w:hyperlink>
      <w:r w:rsidRPr="00511005">
        <w:rPr>
          <w:rFonts w:ascii="Arial" w:eastAsia="Times New Roman" w:hAnsi="Arial" w:cs="Arial"/>
          <w:szCs w:val="28"/>
          <w:lang w:eastAsia="ru-RU"/>
        </w:rPr>
        <w:t xml:space="preserve"> (дата звернення: 01.04.2025).</w:t>
      </w:r>
    </w:p>
    <w:p w14:paraId="07A8A0C9" w14:textId="77777777" w:rsidR="00532C25" w:rsidRPr="00511005" w:rsidRDefault="00532C25" w:rsidP="003F6A5D">
      <w:pPr>
        <w:numPr>
          <w:ilvl w:val="0"/>
          <w:numId w:val="669"/>
        </w:numPr>
        <w:spacing w:line="264" w:lineRule="auto"/>
        <w:ind w:left="0" w:right="-284"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Міжнародний кримінальний суд. Ситуація в Україні: судді МКС видали ордери на арешт Володимира Володимировича Путіна та Марії Олексіївни Львової-Бєлової. Гаага, 17 березня 2023. URL: </w:t>
      </w:r>
      <w:hyperlink r:id="rId1970" w:tgtFrame="_new" w:history="1">
        <w:r w:rsidRPr="00511005">
          <w:rPr>
            <w:rFonts w:ascii="Arial" w:eastAsia="Times New Roman" w:hAnsi="Arial" w:cs="Arial"/>
            <w:szCs w:val="28"/>
            <w:lang w:eastAsia="ru-RU"/>
          </w:rPr>
          <w:t>https://www.icc-cpi.int/news/situation-ukraine-icc-judges-issue-arrest-warrants-against-vladimir-vladimirovich-putin-and</w:t>
        </w:r>
      </w:hyperlink>
      <w:r w:rsidRPr="00511005">
        <w:rPr>
          <w:rFonts w:ascii="Arial" w:eastAsia="Times New Roman" w:hAnsi="Arial" w:cs="Arial"/>
          <w:szCs w:val="28"/>
          <w:lang w:eastAsia="ru-RU"/>
        </w:rPr>
        <w:t xml:space="preserve"> (дата звернення: 01.04.2025).</w:t>
      </w:r>
    </w:p>
    <w:p w14:paraId="6B2CF3FE" w14:textId="77777777" w:rsidR="00532C25" w:rsidRPr="00511005" w:rsidRDefault="00532C25" w:rsidP="003F6A5D">
      <w:pPr>
        <w:numPr>
          <w:ilvl w:val="0"/>
          <w:numId w:val="669"/>
        </w:numPr>
        <w:spacing w:line="264" w:lineRule="auto"/>
        <w:ind w:left="0" w:right="-284"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Міжнародний кримінальний трибунал щодо колишньої Югославії. Справа Блашкіча: заперечення захисту щодо прийняття чуток відхилено. Гаага, 1998. URL: </w:t>
      </w:r>
      <w:hyperlink r:id="rId1971" w:tgtFrame="_new" w:history="1">
        <w:r w:rsidRPr="00511005">
          <w:rPr>
            <w:rFonts w:ascii="Arial" w:eastAsia="Times New Roman" w:hAnsi="Arial" w:cs="Arial"/>
            <w:szCs w:val="28"/>
            <w:lang w:eastAsia="ru-RU"/>
          </w:rPr>
          <w:t>https://www.icty.org/en/press/blaskic-case-defence-objection-admission-hearsay-rejected</w:t>
        </w:r>
      </w:hyperlink>
      <w:r w:rsidRPr="00511005">
        <w:rPr>
          <w:rFonts w:ascii="Arial" w:eastAsia="Times New Roman" w:hAnsi="Arial" w:cs="Arial"/>
          <w:szCs w:val="28"/>
          <w:lang w:eastAsia="ru-RU"/>
        </w:rPr>
        <w:t xml:space="preserve"> (дата звернення: 01.04.2025).</w:t>
      </w:r>
    </w:p>
    <w:p w14:paraId="36994139"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Calibri" w:hAnsi="Arial" w:cs="Arial"/>
          <w:b/>
          <w:bCs/>
          <w:i/>
          <w:szCs w:val="28"/>
        </w:rPr>
        <w:t xml:space="preserve">Ключові слова: </w:t>
      </w:r>
      <w:r w:rsidRPr="00511005">
        <w:rPr>
          <w:rFonts w:ascii="Arial" w:eastAsia="Times New Roman" w:hAnsi="Arial" w:cs="Arial"/>
          <w:szCs w:val="28"/>
        </w:rPr>
        <w:t>доказування</w:t>
      </w:r>
      <w:r w:rsidRPr="00511005">
        <w:rPr>
          <w:rFonts w:ascii="Arial" w:eastAsia="Times New Roman" w:hAnsi="Arial" w:cs="Arial"/>
          <w:szCs w:val="28"/>
          <w:lang w:val="uk-UA"/>
        </w:rPr>
        <w:t xml:space="preserve">, </w:t>
      </w:r>
      <w:r w:rsidRPr="00511005">
        <w:rPr>
          <w:rFonts w:ascii="Arial" w:eastAsia="Times New Roman" w:hAnsi="Arial" w:cs="Arial"/>
          <w:szCs w:val="28"/>
        </w:rPr>
        <w:t>воєнні злочини</w:t>
      </w:r>
      <w:r w:rsidRPr="00511005">
        <w:rPr>
          <w:rFonts w:ascii="Arial" w:eastAsia="Times New Roman" w:hAnsi="Arial" w:cs="Arial"/>
          <w:szCs w:val="28"/>
          <w:lang w:val="uk-UA"/>
        </w:rPr>
        <w:t xml:space="preserve">, </w:t>
      </w:r>
      <w:r w:rsidRPr="00511005">
        <w:rPr>
          <w:rFonts w:ascii="Arial" w:eastAsia="Times New Roman" w:hAnsi="Arial" w:cs="Arial"/>
          <w:szCs w:val="28"/>
        </w:rPr>
        <w:t>Римський статут</w:t>
      </w:r>
      <w:r w:rsidRPr="00511005">
        <w:rPr>
          <w:rFonts w:ascii="Arial" w:eastAsia="Times New Roman" w:hAnsi="Arial" w:cs="Arial"/>
          <w:szCs w:val="28"/>
          <w:lang w:val="uk-UA"/>
        </w:rPr>
        <w:t xml:space="preserve">, </w:t>
      </w:r>
      <w:r w:rsidRPr="00511005">
        <w:rPr>
          <w:rFonts w:ascii="Arial" w:eastAsia="Times New Roman" w:hAnsi="Arial" w:cs="Arial"/>
          <w:szCs w:val="28"/>
        </w:rPr>
        <w:t>воєнна криміналістика</w:t>
      </w:r>
      <w:r w:rsidRPr="00511005">
        <w:rPr>
          <w:rFonts w:ascii="Arial" w:eastAsia="Times New Roman" w:hAnsi="Arial" w:cs="Arial"/>
          <w:szCs w:val="28"/>
          <w:lang w:val="uk-UA"/>
        </w:rPr>
        <w:t xml:space="preserve">, </w:t>
      </w:r>
      <w:r w:rsidRPr="00511005">
        <w:rPr>
          <w:rFonts w:ascii="Arial" w:eastAsia="Times New Roman" w:hAnsi="Arial" w:cs="Arial"/>
          <w:szCs w:val="28"/>
        </w:rPr>
        <w:t>документування злочинів</w:t>
      </w:r>
    </w:p>
    <w:p w14:paraId="3067FB8E"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Calibri" w:hAnsi="Arial" w:cs="Arial"/>
          <w:b/>
          <w:bCs/>
          <w:i/>
          <w:szCs w:val="28"/>
          <w:lang w:val="en-US"/>
        </w:rPr>
        <w:t xml:space="preserve">Key words: </w:t>
      </w:r>
      <w:r w:rsidRPr="00511005">
        <w:rPr>
          <w:rFonts w:ascii="Arial" w:eastAsia="Calibri" w:hAnsi="Arial" w:cs="Arial"/>
          <w:szCs w:val="28"/>
          <w:lang w:val="en-US"/>
        </w:rPr>
        <w:t>evidence, war crimes, Rome Statute, war crimes, war crimes forensics, documentation of crimes</w:t>
      </w:r>
    </w:p>
    <w:p w14:paraId="202A33E1" w14:textId="77777777" w:rsidR="00532C25" w:rsidRPr="00511005" w:rsidRDefault="00532C25" w:rsidP="00532C25">
      <w:pPr>
        <w:tabs>
          <w:tab w:val="left" w:pos="993"/>
          <w:tab w:val="left" w:pos="7088"/>
        </w:tabs>
        <w:spacing w:line="264" w:lineRule="auto"/>
        <w:ind w:firstLine="720"/>
        <w:rPr>
          <w:rFonts w:ascii="Arial" w:eastAsia="Calibri" w:hAnsi="Arial" w:cs="Arial"/>
          <w:bCs/>
          <w:i/>
          <w:szCs w:val="28"/>
          <w:lang w:val="uk-UA" w:bidi="uk-UA"/>
        </w:rPr>
      </w:pPr>
      <w:r w:rsidRPr="00511005">
        <w:rPr>
          <w:rFonts w:ascii="Arial" w:eastAsia="Calibri" w:hAnsi="Arial" w:cs="Arial"/>
          <w:b/>
          <w:bCs/>
          <w:i/>
          <w:iCs/>
          <w:szCs w:val="28"/>
          <w:lang w:val="uk-UA" w:bidi="uk-UA"/>
        </w:rPr>
        <w:t xml:space="preserve">Науковий керівник: </w:t>
      </w:r>
      <w:r w:rsidRPr="00511005">
        <w:rPr>
          <w:rFonts w:ascii="Arial" w:eastAsia="Calibri" w:hAnsi="Arial" w:cs="Arial"/>
          <w:bCs/>
          <w:i/>
          <w:iCs/>
          <w:szCs w:val="28"/>
          <w:lang w:val="uk-UA" w:bidi="uk-UA"/>
        </w:rPr>
        <w:t>к.ю.н., доцент Шершенькова В.А.</w:t>
      </w:r>
    </w:p>
    <w:p w14:paraId="0E15088C" w14:textId="77777777" w:rsidR="00532C25" w:rsidRPr="00511005" w:rsidRDefault="00532C25" w:rsidP="00532C25">
      <w:pPr>
        <w:spacing w:line="264" w:lineRule="auto"/>
        <w:ind w:firstLine="720"/>
        <w:jc w:val="left"/>
        <w:rPr>
          <w:rFonts w:ascii="Arial" w:eastAsia="Calibri" w:hAnsi="Arial" w:cs="Arial"/>
          <w:szCs w:val="28"/>
          <w:lang w:val="uk-UA"/>
        </w:rPr>
      </w:pPr>
    </w:p>
    <w:p w14:paraId="57F5931D" w14:textId="77777777" w:rsidR="00532C25" w:rsidRPr="00511005" w:rsidRDefault="00532C25" w:rsidP="00532C25">
      <w:pPr>
        <w:spacing w:line="264" w:lineRule="auto"/>
        <w:ind w:firstLine="720"/>
        <w:jc w:val="center"/>
        <w:rPr>
          <w:rFonts w:ascii="Arial" w:eastAsia="Calibri" w:hAnsi="Arial" w:cs="Arial"/>
          <w:b/>
          <w:bCs/>
          <w:i/>
          <w:szCs w:val="28"/>
        </w:rPr>
      </w:pPr>
      <w:r w:rsidRPr="00511005">
        <w:rPr>
          <w:rFonts w:ascii="Arial" w:eastAsia="Calibri" w:hAnsi="Arial" w:cs="Arial"/>
          <w:b/>
          <w:bCs/>
          <w:i/>
          <w:noProof/>
          <w:szCs w:val="28"/>
          <w:lang w:val="uk-UA"/>
        </w:rPr>
        <w:t>Карасава Катерина Павлівна</w:t>
      </w:r>
    </w:p>
    <w:p w14:paraId="0319987B"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07FB4B1A"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E7CE290"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80C8F0A" w14:textId="77777777" w:rsidR="00532C25" w:rsidRPr="00511005" w:rsidRDefault="00532C25" w:rsidP="00532C25">
      <w:pPr>
        <w:spacing w:line="264" w:lineRule="auto"/>
        <w:ind w:firstLine="720"/>
        <w:jc w:val="center"/>
        <w:rPr>
          <w:rFonts w:ascii="Arial" w:eastAsia="Calibri" w:hAnsi="Arial" w:cs="Arial"/>
          <w:iCs/>
          <w:szCs w:val="28"/>
          <w:lang w:val="uk-UA"/>
        </w:rPr>
      </w:pPr>
    </w:p>
    <w:p w14:paraId="04D829EF"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СЛІДЧІ СИТУАЦІЇ ПОЧАТКОВОГО ЕТАПУ РОЗСЛІДУВАННЯ ВБИВСТВ НА ЗАМОВЛЕННЯ</w:t>
      </w:r>
    </w:p>
    <w:p w14:paraId="73CD6B3F"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Слідча ситуація представляє собою оцінену слідчим комбінацію інформаційних, процесуальних, тактичних, психологічних та організаційних умов, у яких проводиться досудове розслідування на певний момент часу. Вона формує цілісну динамічну систему, яка безперервно трансформується під дією різноманітних факторів. Серед них науковці виділяють об'єктивні фактори - незалежні від учасників розслідування обставини, що спричиняють зміни в ситуації, та суб'єктивні фактори - обставини, що виникають внаслідок дій та поведінки учасників процесу розслідування чи інших осіб, які мають відношення до кримінального провадження в тому чи іншому статусі.</w:t>
      </w:r>
    </w:p>
    <w:p w14:paraId="2A983D49"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Аналіз слідчої практики розслідування вбивств на замовлення дозволяє виділити декілька ключових слідчих ситуацій на початковому етапі розслідування, правильна ідентифікація яких має вирішальне значення для </w:t>
      </w:r>
      <w:r w:rsidRPr="00511005">
        <w:rPr>
          <w:rFonts w:ascii="Arial" w:eastAsia="Calibri" w:hAnsi="Arial" w:cs="Arial"/>
          <w:noProof/>
          <w:szCs w:val="28"/>
          <w:lang w:val="uk-UA"/>
        </w:rPr>
        <w:lastRenderedPageBreak/>
        <w:t xml:space="preserve">формулювання обґрунтованих слідчих версій та розробки ефективного плану розслідування. Систематизація багаторічного досвіду правоохоронних органів у розкритті таких злочинів демонструє, що серед різноманіття обставин вчинення вбивств на замовлення можна виокремити найбільш характерні типові ситуації, які потребують специфічного підходу до організації слідчих (розшукових) дій та оперативно-розшукових заходів, а саме: </w:t>
      </w:r>
    </w:p>
    <w:p w14:paraId="2D73D47D"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1) Виявлення на місці злочину тіла вбитого, що обіймав керівну посаду в бізнесі, одразу ж вказує на високу ймовірність професійного мотиву. Специфіка підприємницької діяльності, з її конкуренцією та фінансовими ризиками, робить цю сферу особливо вразливою до конфліктів, що можуть мати фатальні наслідки. Тому слідчим необхідно зосередитися на детальному вивченні ділових зв'язків загиблого, його фінансових операцій, можливих конфліктів з партнерами, конкурентами або іншими зацікавленими сторонами. Також важливо перевірити наявність боргів, судових спорів або зв'язків з кримінальними колами. Цей комплексний підхід допоможе виявити можливі мотиви злочину та окреслити коло підозрюваних.</w:t>
      </w:r>
    </w:p>
    <w:p w14:paraId="4FAB9760"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2) Виявлення на місці злочину тіла невстановленої особи з очевидними ознаками насильницької смерті, що настала безпосередньо на місці події, вказує на ретельно спланований злочин. Характер нанесених тілесних ушкоджень, таких як зв'язування жертви, удари ззаду, використання зашморгу та застосування засобів, що ускладнюють ідентифікацію, свідчить про попередню підготовку до вбивства. Це дозволяє припустити, що злочинці заздалегідь визначили час, місце та спосіб вчинення злочину, а також вжили заходів для обмеження опору жертви та приховування її особи [1, с. 247].</w:t>
      </w:r>
    </w:p>
    <w:p w14:paraId="04DB2129"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3) Виявлення тіла невстановленої особи з ознаками насильницької смерті, що сталося не на місці виявлення, свідчить про навмисне приховування злочину. Огляд місця, де було знайдено тіло, виявляє ознаки спроб ускладнити його виявлення. Застосування спеціальних методів для ускладнення ідентифікації загиблого вказує на цілеспрямовані дії з метою приховати особу жертви та ускладнити подальше розслідування. Ця обставина вимагає особливої уваги слідства, оскільки свідчить про ретельно спланований злочин та намір злочинців уникнути відповідальності [2, с. 335].</w:t>
      </w:r>
    </w:p>
    <w:p w14:paraId="6593C8DB"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Розслідування вбивств на замовлення вимагає системного підходу, що враховує специфіку таких кримінальних правопорушень. Ефективність розслідування залежить від здатності слідчих адаптуватися до динамічних слідчих ситуацій, які виникають у процесі збору доказів та аналізу обставин. </w:t>
      </w:r>
    </w:p>
    <w:p w14:paraId="718D64C7"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Ми згодні з думкою деяких науковців, які виділяють п'ять ключових напрямків, що є основою для успішного розслідування зазначених кримінальних правопорушень:</w:t>
      </w:r>
    </w:p>
    <w:p w14:paraId="586023B9"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lastRenderedPageBreak/>
        <w:t>1. Коли надходить повідомлення про умисне вбивство, вчинене невідомими особами, які втекли з місця злочину, розслідування розпочинається з місця події та встановлення особи загиблого. Поступово слідство розширюється, охоплюючи можливі мотиви злочину та пошук замовника. Від замовника слідчі переходять до виявлення безпосередніх виконавців та інших співучасників. Для цього проводяться опитування свідків, оперативні заходи з пошуку злочинців «за гарячими слідами», залучаються службові собаки та інші необхідні слідчі дії;</w:t>
      </w:r>
    </w:p>
    <w:p w14:paraId="7B474CBD"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2. Якщо повідомлення стосується вбивства, де виконавці вже встановлені, то розслідування починається з їх затримання. Далі слідство рухається до встановлення обставин злочину, потім - до мотивів вбивства та особи замовника. Також встановлюються інші співучасники. Для цього проводяться необхідні слідчі дії, такі як особистий обшук, освідування та допит підозрюваного, а також призначаються відповідні судові експертизи;</w:t>
      </w:r>
    </w:p>
    <w:p w14:paraId="7957FB5F"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3. У випадку виявлення неочевидного вбивства з використанням зброї або вибухових пристроїв, залишених на місці події, розслідування розпочинається з детального аналізу знайдених речових доказів. Від цього етапу слідство переходить до встановлення мотивів злочину, пошуку можливих виконавців та, зрештою, до виявлення замовника. Для цього необхідно негайно вилучити зброю або вибухові пристрої, призначити відповідні експертизи та перевірити зброю за криміналістичними базами даних;</w:t>
      </w:r>
    </w:p>
    <w:p w14:paraId="3F537083"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4. У випадку появи у особи значної суми грошей або цінностей, що викликає обґрунтовані підозри щодо її причетності до злочинної діяльності, розслідування починається з встановлення джерела походження цих коштів. Далі слідство рухається до виявлення можливого замовника злочину, встановлення обставин вбивства та виявлення інших співучасників;</w:t>
      </w:r>
    </w:p>
    <w:p w14:paraId="7F1014F2"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5. У випадку повідомлення про підготовку вбивства на замовлення або добровільного зізнання потенційного виконавця, розслідування починається з аналізу обставин, що вказують на підготовку злочину. Далі слідство встановлює осіб, причетних до підготовки, та переходить до виявлення замовника та інших співучасників [3].</w:t>
      </w:r>
    </w:p>
    <w:p w14:paraId="2700936F"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Розслідування вбивств на замовлення є складним процесом, що вимагає ретельного аналізу та адаптації до мінливих слідчих ситуацій. Ефективність розкриття таких злочинів залежить від здатності слідчих швидко реагувати на нові обставини та змінювати стратегію розслідування. Успіх у розкритті таких злочинів досягається за допомогою комплексного підходу, що включає в себе використання сучасних криміналістичних методів, оперативно-розшукових заходів та аналітичної роботи. Важливою складовою є також міжвідомча співпраця та обмін інформацією з іншими правоохоронними органами.</w:t>
      </w:r>
    </w:p>
    <w:p w14:paraId="5C24C531" w14:textId="77777777" w:rsidR="00532C25" w:rsidRPr="00511005" w:rsidRDefault="00532C25" w:rsidP="00532C25">
      <w:pPr>
        <w:spacing w:line="264" w:lineRule="auto"/>
        <w:ind w:firstLine="720"/>
        <w:rPr>
          <w:rFonts w:ascii="Arial" w:eastAsia="Calibri" w:hAnsi="Arial" w:cs="Arial"/>
          <w:noProof/>
          <w:szCs w:val="28"/>
          <w:lang w:val="uk-UA"/>
        </w:rPr>
      </w:pPr>
    </w:p>
    <w:p w14:paraId="09ADC7AA" w14:textId="77777777" w:rsidR="00532C25" w:rsidRPr="00511005" w:rsidRDefault="00532C25" w:rsidP="00532C25">
      <w:pPr>
        <w:spacing w:line="264" w:lineRule="auto"/>
        <w:ind w:firstLine="720"/>
        <w:jc w:val="center"/>
        <w:rPr>
          <w:rFonts w:ascii="Arial" w:eastAsia="Calibri" w:hAnsi="Arial" w:cs="Arial"/>
          <w:b/>
          <w:noProof/>
          <w:szCs w:val="28"/>
          <w:lang w:val="uk-UA"/>
        </w:rPr>
      </w:pPr>
      <w:r w:rsidRPr="00511005">
        <w:rPr>
          <w:rFonts w:ascii="Arial" w:eastAsia="Calibri" w:hAnsi="Arial" w:cs="Arial"/>
          <w:b/>
          <w:noProof/>
          <w:szCs w:val="28"/>
          <w:lang w:val="uk-UA"/>
        </w:rPr>
        <w:t>Список використаних джерел</w:t>
      </w:r>
    </w:p>
    <w:p w14:paraId="6AD17695"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1. Криміналістика: підручник /за ред. В. Ю. Шепітька. 2-ге вид., переробл. і допов. Київ. </w:t>
      </w:r>
      <w:r w:rsidRPr="00511005">
        <w:rPr>
          <w:rFonts w:ascii="Arial" w:eastAsia="Calibri" w:hAnsi="Arial" w:cs="Arial"/>
          <w:i/>
          <w:iCs/>
          <w:noProof/>
          <w:szCs w:val="28"/>
          <w:lang w:val="uk-UA"/>
        </w:rPr>
        <w:t>Концерн «Видавничий Дім «Ін Юре»</w:t>
      </w:r>
      <w:r w:rsidRPr="00511005">
        <w:rPr>
          <w:rFonts w:ascii="Arial" w:eastAsia="Calibri" w:hAnsi="Arial" w:cs="Arial"/>
          <w:noProof/>
          <w:szCs w:val="28"/>
          <w:lang w:val="uk-UA"/>
        </w:rPr>
        <w:t xml:space="preserve">, 2004. 728 с. </w:t>
      </w:r>
      <w:hyperlink r:id="rId1972" w:history="1">
        <w:r w:rsidRPr="00511005">
          <w:rPr>
            <w:rFonts w:ascii="Arial" w:eastAsia="Calibri" w:hAnsi="Arial" w:cs="Arial"/>
            <w:noProof/>
            <w:szCs w:val="28"/>
          </w:rPr>
          <w:t>URL</w:t>
        </w:r>
        <w:r w:rsidRPr="00511005">
          <w:rPr>
            <w:rFonts w:ascii="Arial" w:eastAsia="Calibri" w:hAnsi="Arial" w:cs="Arial"/>
            <w:noProof/>
            <w:szCs w:val="28"/>
            <w:lang w:val="uk-UA"/>
          </w:rPr>
          <w:t>:https://library.nlu.edu.ua/POLN_TEXT/KNIGI/1_DISKI/KRIM/html/contents.htm</w:t>
        </w:r>
      </w:hyperlink>
    </w:p>
    <w:p w14:paraId="00BF2A51"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2. Маркусь В.О. Криміналістика. Курс лекцій. Навчальний посіб. Київ. Кондор, 2007. 558 с. </w:t>
      </w:r>
      <w:r w:rsidRPr="00511005">
        <w:rPr>
          <w:rFonts w:ascii="Arial" w:eastAsia="Calibri" w:hAnsi="Arial" w:cs="Arial"/>
          <w:noProof/>
          <w:szCs w:val="28"/>
        </w:rPr>
        <w:t>URL</w:t>
      </w:r>
      <w:r w:rsidRPr="00511005">
        <w:rPr>
          <w:rFonts w:ascii="Arial" w:eastAsia="Calibri" w:hAnsi="Arial" w:cs="Arial"/>
          <w:noProof/>
          <w:szCs w:val="28"/>
          <w:lang w:val="uk-UA"/>
        </w:rPr>
        <w:t>:https://library.nlu.edu.ua/POLN_TEXT/KNIGI/KONDOR1/CD/KRIMINALISTIKA2007.pdf</w:t>
      </w:r>
    </w:p>
    <w:p w14:paraId="40C72664"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3. Шульга А. О. Основи методики розслідування вбивств на замовлення. </w:t>
      </w:r>
      <w:r w:rsidRPr="00511005">
        <w:rPr>
          <w:rFonts w:ascii="Arial" w:eastAsia="Calibri" w:hAnsi="Arial" w:cs="Arial"/>
          <w:szCs w:val="28"/>
          <w:lang w:val="uk-UA"/>
        </w:rPr>
        <w:t xml:space="preserve">автореф. дис. канд. юрид. наук: 12.00.09 /А.О.Шульга ; Нац. акад. внутр. справ України. Київ, 2003. 20 с. </w:t>
      </w:r>
      <w:proofErr w:type="gramStart"/>
      <w:r w:rsidRPr="00511005">
        <w:rPr>
          <w:rFonts w:ascii="Arial" w:eastAsia="Calibri" w:hAnsi="Arial" w:cs="Arial"/>
          <w:szCs w:val="28"/>
        </w:rPr>
        <w:t>URL:http://www.irbis-nbuv.gov.ua/aref/20081124030049</w:t>
      </w:r>
      <w:proofErr w:type="gramEnd"/>
      <w:r w:rsidRPr="00511005">
        <w:rPr>
          <w:rFonts w:ascii="Arial" w:eastAsia="Calibri" w:hAnsi="Arial" w:cs="Arial"/>
          <w:szCs w:val="28"/>
          <w:lang w:val="uk-UA"/>
        </w:rPr>
        <w:t xml:space="preserve"> </w:t>
      </w:r>
    </w:p>
    <w:p w14:paraId="33189050" w14:textId="77777777" w:rsidR="00532C25" w:rsidRPr="00511005" w:rsidRDefault="00532C25" w:rsidP="00532C25">
      <w:pPr>
        <w:spacing w:line="264" w:lineRule="auto"/>
        <w:ind w:firstLine="720"/>
        <w:rPr>
          <w:rFonts w:ascii="Arial" w:eastAsia="Calibri" w:hAnsi="Arial" w:cs="Arial"/>
          <w:noProof/>
          <w:szCs w:val="28"/>
          <w:lang w:val="uk-UA"/>
        </w:rPr>
      </w:pPr>
    </w:p>
    <w:p w14:paraId="50652507" w14:textId="77777777" w:rsidR="00532C25" w:rsidRPr="00511005" w:rsidRDefault="00532C25" w:rsidP="00532C25">
      <w:pPr>
        <w:spacing w:line="264" w:lineRule="auto"/>
        <w:ind w:firstLine="72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Pr="00511005">
        <w:rPr>
          <w:rFonts w:ascii="Arial" w:eastAsia="Times New Roman" w:hAnsi="Arial" w:cs="Arial"/>
          <w:szCs w:val="28"/>
          <w:lang w:val="uk-UA" w:eastAsia="uk-UA"/>
        </w:rPr>
        <w:t>слідчі ситуації, розслідування, вбивство на замовлення, етап.</w:t>
      </w:r>
    </w:p>
    <w:p w14:paraId="534A60D2" w14:textId="77777777" w:rsidR="00532C25" w:rsidRPr="00511005" w:rsidRDefault="00532C25" w:rsidP="00532C25">
      <w:pPr>
        <w:spacing w:line="264" w:lineRule="auto"/>
        <w:ind w:firstLine="720"/>
        <w:rPr>
          <w:rFonts w:ascii="Arial" w:eastAsia="Times New Roman" w:hAnsi="Arial" w:cs="Arial"/>
          <w:szCs w:val="28"/>
          <w:lang w:val="en-US" w:eastAsia="uk-UA"/>
        </w:rPr>
      </w:pPr>
      <w:r w:rsidRPr="00511005">
        <w:rPr>
          <w:rFonts w:ascii="Arial" w:eastAsia="Times New Roman" w:hAnsi="Arial" w:cs="Arial"/>
          <w:b/>
          <w:bCs/>
          <w:i/>
          <w:szCs w:val="28"/>
          <w:lang w:val="en-US" w:eastAsia="uk-UA"/>
        </w:rPr>
        <w:t xml:space="preserve">Key words: </w:t>
      </w:r>
      <w:r w:rsidRPr="00511005">
        <w:rPr>
          <w:rFonts w:ascii="Arial" w:eastAsia="Times New Roman" w:hAnsi="Arial" w:cs="Arial"/>
          <w:szCs w:val="28"/>
          <w:lang w:val="en-US" w:eastAsia="uk-UA"/>
        </w:rPr>
        <w:t>investigative situations, investigation, contract killing, stage.</w:t>
      </w:r>
    </w:p>
    <w:p w14:paraId="67714BFA" w14:textId="77777777" w:rsidR="00532C25" w:rsidRPr="00511005" w:rsidRDefault="00532C25" w:rsidP="00532C25">
      <w:pPr>
        <w:spacing w:line="264" w:lineRule="auto"/>
        <w:ind w:firstLine="72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bCs/>
          <w:i/>
          <w:iCs/>
          <w:szCs w:val="28"/>
          <w:lang w:val="uk-UA"/>
        </w:rPr>
        <w:t>доктор філософії, доцент Чернов О.В.</w:t>
      </w:r>
    </w:p>
    <w:p w14:paraId="007CA10C" w14:textId="77777777" w:rsidR="00532C25" w:rsidRPr="00511005" w:rsidRDefault="00532C25" w:rsidP="00532C25">
      <w:pPr>
        <w:spacing w:line="264" w:lineRule="auto"/>
        <w:ind w:firstLine="720"/>
        <w:jc w:val="left"/>
        <w:rPr>
          <w:rFonts w:ascii="Arial" w:eastAsia="Calibri" w:hAnsi="Arial" w:cs="Arial"/>
          <w:szCs w:val="28"/>
        </w:rPr>
      </w:pPr>
    </w:p>
    <w:p w14:paraId="483AFA10" w14:textId="77777777" w:rsidR="00532C25" w:rsidRPr="00511005" w:rsidRDefault="00532C25" w:rsidP="00532C25">
      <w:pPr>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Кисляк Вероніка Олександрівна</w:t>
      </w:r>
    </w:p>
    <w:p w14:paraId="19981434" w14:textId="77777777" w:rsidR="00532C25" w:rsidRPr="00511005" w:rsidRDefault="00532C25" w:rsidP="00532C25">
      <w:pPr>
        <w:spacing w:line="264" w:lineRule="auto"/>
        <w:ind w:firstLine="720"/>
        <w:jc w:val="center"/>
        <w:rPr>
          <w:rFonts w:ascii="Arial" w:eastAsia="Calibri" w:hAnsi="Arial" w:cs="Arial"/>
          <w:szCs w:val="28"/>
          <w:lang w:val="uk-UA"/>
        </w:rPr>
      </w:pPr>
    </w:p>
    <w:p w14:paraId="7A4BCC67"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48ED907E"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CCCFC07"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EED729B" w14:textId="77777777" w:rsidR="00532C25" w:rsidRPr="00511005" w:rsidRDefault="00532C25" w:rsidP="00532C25">
      <w:pPr>
        <w:spacing w:line="264" w:lineRule="auto"/>
        <w:ind w:firstLine="720"/>
        <w:jc w:val="center"/>
        <w:rPr>
          <w:rFonts w:ascii="Arial" w:eastAsia="Calibri" w:hAnsi="Arial" w:cs="Arial"/>
          <w:b/>
          <w:bCs/>
          <w:szCs w:val="28"/>
        </w:rPr>
      </w:pPr>
    </w:p>
    <w:p w14:paraId="36528AE3"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rPr>
        <w:t>ПСИХОЛОГІЧНІ ОСОБЛИВОСТІ ПРОВЕДЕННЯ ОБШУКУ</w:t>
      </w:r>
    </w:p>
    <w:p w14:paraId="17A6F37E"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Проведення обшуку є однією з найвідповідальніших і психологічно напружених процесуальних дій у кримінальному провадженні. Воно потребує не лише дотримання юридичних норм, але й розуміння психологічного стану учасників процесу. Під час обшуку правоохоронці стикаються з емоційним опором, тривожністю, агресією або замкнутістю з боку осіб, у яких проводиться дана слідча дія. Відтак, успішність обшуку значною мірою залежить від вміння слідчого чи оперативного працівника враховувати психічні реакції людей, оперативно оцінювати ситуацію та зберігати професійну витримку. Саме тому психологічний принцип набуває особливого значення в практиці сучасного кримінального судочинства [1].</w:t>
      </w:r>
    </w:p>
    <w:p w14:paraId="7AD7F81F"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 xml:space="preserve">Актуальність дослідження психологічних особливостей проведення обшуку обумовлена зростаючим значенням гуманістичних підходів у правозастосовній діяльності. В умовах розвитку правової держави та підвищеної уваги до прав людини важливо забезпечити не лише ефективність слідчих дій, але й дотримання психологічного комфорту та </w:t>
      </w:r>
      <w:r w:rsidRPr="00511005">
        <w:rPr>
          <w:rFonts w:ascii="Arial" w:eastAsia="Calibri" w:hAnsi="Arial" w:cs="Arial"/>
          <w:szCs w:val="28"/>
        </w:rPr>
        <w:lastRenderedPageBreak/>
        <w:t>мінімізацію психотравматичних наслідків для громадян. Недооцінка психологічних чинників під час обшуку може призвести до конфліктів, дестабілізації ситуації, викривлення доказової бази, а в окремих випадках – до порушення прав і свобод особи. Тому вивчення психологічних механізмів, які діють у процесі обшуку, є важливим як для удосконалення професійної підготовки правоохоронців, так і для забезпечення справедливого та законного кримінального провадження [3].</w:t>
      </w:r>
    </w:p>
    <w:p w14:paraId="4A56A4D0"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Обшук як одна з процесуальних дій у кримінальному провадженні супроводжується високим рівнем емоційної напруги для всіх учасників. Його специфіка полягає в тому, що він проводиться в умовах обмеженого часу, непередбачуваності поведінки осіб, залучених до процесу, і часто в атмосфері конфлікту чи недовіри. Усе це зумовлює потребу в глибокому розумінні психологічних процесів, що відбуваються під час обшуку, як з боку слідчого чи оперативника, так і з боку особи, в якої проводиться обшук [2].</w:t>
      </w:r>
    </w:p>
    <w:p w14:paraId="78FD9A99"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На психологічному рівні обшук є вторгненням у приватний простір людини. Житло, робоче місце чи інше особисте середовище мають глибокий емоційний зв’язок із внутрішнім світом особи. Коли правоохоронці вриваються у цей простір – навіть за наявності законних підстав – особа сприймає це як акт агресії, що активує захисні механізми психіки. У таких ситуаціях часто проявляються емоції страху, гніву, обурення, іноді – апатії або істерики. Наприклад, під час обшуку в приватному будинку підприємця, який підозрювався у фінансових махінаціях, власник відреагував не відкритим спротивом, а глибоким мовчанням і фізичним дистанціюванням, демонструючи пасивний психологічний опір. Така поведінка може вводити слідчих в оману, ускладнюючи об'єктивну оцінку ситуації [4].</w:t>
      </w:r>
    </w:p>
    <w:p w14:paraId="3420D406"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Окремої уваги заслуговує психологічна підготовка самого слідчого. Від нього вимагається здатність зберігати холоднокровність, контролювати емоції, бути уважним до деталей і невербальних сигналів. Надмірна емоційна включеність, агресивність або зневага до почуттів людей можуть не лише зруйнувати довіру до слідчого, але й поставити під сумнів законність дій. У практиці трапляються випадки, коли невміння правоохоронців налагодити конструктивну комунікацію під час обшуку призводить до ескалації конфлікту. Один із яскравих прикладів – ситуація, коли під час обшуку в офісі адвокатської контори слідчий в агресивній формі забороняв присутність представника адвокатського самоврядування, що викликало гостру негативну реакцію працівників і перетворило процедуру в конфліктне протистояння.</w:t>
      </w:r>
    </w:p>
    <w:p w14:paraId="6A72A825"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 xml:space="preserve">Люди з високим рівнем тривожності, акцентуйованими рисами характеру або психічними захворюваннями можуть реагувати на процедуру надзвичайно гостро. У таких випадках необхідна присутність психолога або медичного працівника. Наприклад, у ході обшуку у жінки похилого віку, підозрюваної в приховуванні підозрюваного родича, та виявила явні ознаки </w:t>
      </w:r>
      <w:r w:rsidRPr="00511005">
        <w:rPr>
          <w:rFonts w:ascii="Arial" w:eastAsia="Calibri" w:hAnsi="Arial" w:cs="Arial"/>
          <w:szCs w:val="28"/>
        </w:rPr>
        <w:lastRenderedPageBreak/>
        <w:t>панічної атаки, що потребувало тимчасового припинення слідчих дій та втручання лікарів.</w:t>
      </w:r>
    </w:p>
    <w:p w14:paraId="4BA97599"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Значну роль у перебігу обшуку відіграє комунікативна компетентність. Слідчому важливо вміти донести правову мету своїх дій, пояснити порядок процедури, надати особі можливість відчути хоча б мінімальний контроль над ситуацією. Використання спокійного тону, дотримання субординації та етичних норм не тільки знижує напруження, але й сприяє встановленню мінімального рівня співпраці. Важливим психологічним інструментом є здатність прогнозувати поведінку людини за її реакціями. Наприклад, коли підозрюваний уникає зорового контакту, нервово жестикулює або уникає відповідей, це може свідчити про приховування важливої інформації або психологічну дезорієнтацію. Водночас надмірна демонстрація спокою теж може бути оборонною реакцією [5].</w:t>
      </w:r>
    </w:p>
    <w:p w14:paraId="3F114679"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 xml:space="preserve">У процесі обшуку важливе вміння правильно взаємодіяти з іншими учасниками – понятими, адвокатами, родичами. Всі вони є емоційно включеними у ситуацію і можуть сприяти або перешкоджати нормальному ходу слідчих дій. Психологічна гнучкість працівників правоохоронних органів, емпатія та здатність </w:t>
      </w:r>
      <w:proofErr w:type="gramStart"/>
      <w:r w:rsidRPr="00511005">
        <w:rPr>
          <w:rFonts w:ascii="Arial" w:eastAsia="Calibri" w:hAnsi="Arial" w:cs="Arial"/>
          <w:szCs w:val="28"/>
        </w:rPr>
        <w:t>до самоконтролю</w:t>
      </w:r>
      <w:proofErr w:type="gramEnd"/>
      <w:r w:rsidRPr="00511005">
        <w:rPr>
          <w:rFonts w:ascii="Arial" w:eastAsia="Calibri" w:hAnsi="Arial" w:cs="Arial"/>
          <w:szCs w:val="28"/>
        </w:rPr>
        <w:t xml:space="preserve"> дозволяють уникнути ескалації, зберегти професійний імідж та підвищити ефективність досудового розслідування.</w:t>
      </w:r>
    </w:p>
    <w:p w14:paraId="14C96C46"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 xml:space="preserve">Отже, успішне проведення обшуку вимагає від правоохоронців не тільки знання правових норм, але й глибоких психологічних знань. Інтеграція психології </w:t>
      </w:r>
      <w:proofErr w:type="gramStart"/>
      <w:r w:rsidRPr="00511005">
        <w:rPr>
          <w:rFonts w:ascii="Arial" w:eastAsia="Calibri" w:hAnsi="Arial" w:cs="Arial"/>
          <w:szCs w:val="28"/>
        </w:rPr>
        <w:t>у практику</w:t>
      </w:r>
      <w:proofErr w:type="gramEnd"/>
      <w:r w:rsidRPr="00511005">
        <w:rPr>
          <w:rFonts w:ascii="Arial" w:eastAsia="Calibri" w:hAnsi="Arial" w:cs="Arial"/>
          <w:szCs w:val="28"/>
        </w:rPr>
        <w:t xml:space="preserve"> кримінального провадження дозволяє не лише підвищити ефективність роботи слідчих, а й мінімізувати психологічні травми осіб, дії щодо яких здійснюються. У майбутньому доцільно запровадити спеціалізовану психологічну підготовку для працівників правоохоронних органів, що включатиме тренінги з комунікації, профілактики стресу та методів деескалації конфліктів. Адже там, де є люди – завжди є емоції, а де є емоції – необхідне вміння з ними працювати.</w:t>
      </w:r>
    </w:p>
    <w:p w14:paraId="0E4B6484" w14:textId="77777777" w:rsidR="00532C25" w:rsidRPr="00511005" w:rsidRDefault="00532C25" w:rsidP="00532C25">
      <w:pPr>
        <w:spacing w:line="264" w:lineRule="auto"/>
        <w:ind w:firstLine="720"/>
        <w:contextualSpacing/>
        <w:rPr>
          <w:rFonts w:ascii="Arial" w:eastAsia="Calibri" w:hAnsi="Arial" w:cs="Arial"/>
          <w:szCs w:val="28"/>
        </w:rPr>
      </w:pPr>
    </w:p>
    <w:p w14:paraId="7D5BE06F" w14:textId="77777777" w:rsidR="00532C25" w:rsidRPr="00511005" w:rsidRDefault="00532C25" w:rsidP="00532C25">
      <w:pPr>
        <w:spacing w:line="264" w:lineRule="auto"/>
        <w:ind w:firstLine="720"/>
        <w:contextualSpacing/>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48BE0347" w14:textId="77777777" w:rsidR="00532C25" w:rsidRPr="00511005" w:rsidRDefault="00532C25" w:rsidP="003F6A5D">
      <w:pPr>
        <w:numPr>
          <w:ilvl w:val="0"/>
          <w:numId w:val="613"/>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Літвінова І.Ф., Лобай Д.М. Особливості проведення обшуку або огляду житла чи іншого володіння особи в умовах воєнного стану в Україні. Київ, 2022.</w:t>
      </w:r>
    </w:p>
    <w:p w14:paraId="3C90857F" w14:textId="77777777" w:rsidR="00532C25" w:rsidRPr="00511005" w:rsidRDefault="00532C25" w:rsidP="003F6A5D">
      <w:pPr>
        <w:numPr>
          <w:ilvl w:val="0"/>
          <w:numId w:val="613"/>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Солдатенко О., Кияниця В. Особливості проведення обшуку в умовах воєнного стану. Дніпро, 2022.</w:t>
      </w:r>
    </w:p>
    <w:p w14:paraId="0F5E36A7" w14:textId="77777777" w:rsidR="00532C25" w:rsidRPr="00511005" w:rsidRDefault="00532C25" w:rsidP="003F6A5D">
      <w:pPr>
        <w:numPr>
          <w:ilvl w:val="0"/>
          <w:numId w:val="613"/>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Черниченко І.В., Мацола А.А. Особливості проведення слідчих (розшукових) дій в умовах воєнного стану. Ужгород, 2023.</w:t>
      </w:r>
    </w:p>
    <w:p w14:paraId="2C634C28" w14:textId="77777777" w:rsidR="00532C25" w:rsidRPr="00511005" w:rsidRDefault="00532C25" w:rsidP="003F6A5D">
      <w:pPr>
        <w:numPr>
          <w:ilvl w:val="0"/>
          <w:numId w:val="613"/>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Переверзєва С.Д. Особливості проведення обшуку в умовах воєнного стану в Україні. Харків, 2022.</w:t>
      </w:r>
    </w:p>
    <w:p w14:paraId="786D69CD" w14:textId="77777777" w:rsidR="00532C25" w:rsidRPr="00511005" w:rsidRDefault="00532C25" w:rsidP="003F6A5D">
      <w:pPr>
        <w:numPr>
          <w:ilvl w:val="0"/>
          <w:numId w:val="613"/>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Стеценко Р.В. Особливості проведення обшуку при розслідуванні незаконного поводження з наркотичними речовинами. Дніпро, 2020.</w:t>
      </w:r>
    </w:p>
    <w:p w14:paraId="1880E46C" w14:textId="77777777" w:rsidR="00532C25" w:rsidRPr="00511005" w:rsidRDefault="00532C25" w:rsidP="00532C25">
      <w:pPr>
        <w:spacing w:line="264" w:lineRule="auto"/>
        <w:ind w:firstLine="0"/>
        <w:contextualSpacing/>
        <w:rPr>
          <w:rFonts w:ascii="Arial" w:eastAsia="Calibri" w:hAnsi="Arial" w:cs="Arial"/>
          <w:b/>
          <w:bCs/>
          <w:szCs w:val="28"/>
        </w:rPr>
      </w:pPr>
    </w:p>
    <w:p w14:paraId="23C7BBF5"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b/>
          <w:bCs/>
          <w:i/>
          <w:szCs w:val="28"/>
        </w:rPr>
        <w:t xml:space="preserve">Ключові слова: </w:t>
      </w:r>
      <w:r w:rsidRPr="00511005">
        <w:rPr>
          <w:rFonts w:ascii="Arial" w:eastAsia="Calibri" w:hAnsi="Arial" w:cs="Arial"/>
          <w:szCs w:val="28"/>
        </w:rPr>
        <w:t>психологія обшуку, емоційний стан, слідчі дії, стрес, поведінка під час обшуку, комунікативні навички, правоохоронці, психологічна реакція, конфлікт, досудове розслідування.</w:t>
      </w:r>
    </w:p>
    <w:p w14:paraId="40826CBD" w14:textId="77777777" w:rsidR="00532C25" w:rsidRPr="00511005" w:rsidRDefault="00532C25" w:rsidP="00532C25">
      <w:pPr>
        <w:spacing w:line="264" w:lineRule="auto"/>
        <w:ind w:firstLine="720"/>
        <w:contextualSpacing/>
        <w:rPr>
          <w:rFonts w:ascii="Arial" w:eastAsia="Calibri" w:hAnsi="Arial" w:cs="Arial"/>
          <w:szCs w:val="28"/>
          <w:lang w:val="en-US"/>
        </w:rPr>
      </w:pPr>
      <w:r w:rsidRPr="00511005">
        <w:rPr>
          <w:rFonts w:ascii="Arial" w:eastAsia="Calibri" w:hAnsi="Arial" w:cs="Arial"/>
          <w:b/>
          <w:bCs/>
          <w:i/>
          <w:szCs w:val="28"/>
          <w:lang w:val="en-US"/>
        </w:rPr>
        <w:t xml:space="preserve">Key words: </w:t>
      </w:r>
      <w:r w:rsidRPr="00511005">
        <w:rPr>
          <w:rFonts w:ascii="Arial" w:eastAsia="Calibri" w:hAnsi="Arial" w:cs="Arial"/>
          <w:szCs w:val="28"/>
          <w:lang w:val="en-US"/>
        </w:rPr>
        <w:t>search psychology, emotional state, investigative actions, stress, behavior during search, communication skills, law enforcement officers, psychological reaction, conflict, pre-trial investigation.</w:t>
      </w:r>
    </w:p>
    <w:p w14:paraId="6692541E" w14:textId="77777777" w:rsidR="00532C25" w:rsidRPr="00511005" w:rsidRDefault="00532C25" w:rsidP="00532C25">
      <w:pPr>
        <w:spacing w:line="264" w:lineRule="auto"/>
        <w:ind w:firstLine="720"/>
        <w:contextualSpacing/>
        <w:rPr>
          <w:rFonts w:ascii="Arial" w:eastAsia="Calibri" w:hAnsi="Arial" w:cs="Arial"/>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i/>
          <w:iCs/>
          <w:szCs w:val="28"/>
        </w:rPr>
        <w:t>к.ю.н., доцент Колодіна А.С.</w:t>
      </w:r>
    </w:p>
    <w:p w14:paraId="16B1EB5A" w14:textId="77777777" w:rsidR="00532C25" w:rsidRPr="00511005" w:rsidRDefault="00532C25" w:rsidP="00532C25">
      <w:pPr>
        <w:spacing w:line="264" w:lineRule="auto"/>
        <w:ind w:firstLine="720"/>
        <w:contextualSpacing/>
        <w:rPr>
          <w:rFonts w:ascii="Arial" w:eastAsia="Calibri" w:hAnsi="Arial" w:cs="Arial"/>
          <w:szCs w:val="28"/>
        </w:rPr>
      </w:pPr>
    </w:p>
    <w:p w14:paraId="429E971D" w14:textId="77777777" w:rsidR="00532C25" w:rsidRPr="00511005" w:rsidRDefault="00532C25" w:rsidP="00532C25">
      <w:pPr>
        <w:spacing w:line="264" w:lineRule="auto"/>
        <w:ind w:firstLine="720"/>
        <w:contextualSpacing/>
        <w:jc w:val="center"/>
        <w:rPr>
          <w:rFonts w:ascii="Arial" w:eastAsia="Calibri" w:hAnsi="Arial" w:cs="Arial"/>
          <w:szCs w:val="28"/>
        </w:rPr>
      </w:pPr>
    </w:p>
    <w:p w14:paraId="59180EF2"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Козинна Владислава Олександрівна</w:t>
      </w:r>
    </w:p>
    <w:p w14:paraId="0B024AD6"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71FD9CF3"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97B12BC"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18A84E5" w14:textId="77777777" w:rsidR="00532C25" w:rsidRPr="00511005" w:rsidRDefault="00532C25" w:rsidP="00532C25">
      <w:pPr>
        <w:spacing w:line="264" w:lineRule="auto"/>
        <w:ind w:firstLine="720"/>
        <w:jc w:val="center"/>
        <w:rPr>
          <w:rFonts w:ascii="Arial" w:eastAsia="Calibri" w:hAnsi="Arial" w:cs="Arial"/>
          <w:b/>
          <w:bCs/>
          <w:szCs w:val="28"/>
        </w:rPr>
      </w:pPr>
    </w:p>
    <w:p w14:paraId="6A1933C9"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rPr>
        <w:t>ОГЛЯД МІСЦЯ ПОДІЇ ПРИ УМИСНОМУ ВБИВСТВІ: КРИМІНАЛІСТИЧНІЙ АСПЕКТ</w:t>
      </w:r>
    </w:p>
    <w:p w14:paraId="63E483C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Актуальність дослідження. В умовах сучасних кримінальних правопорушень, особливо у випадках умисного вбивства, огляд місця події є незамінним етапом розслідування, оскільки дає змогу не лише зафіксувати матеріальні сліди злочину, а й реконструювати обстановку та механізм вчинення правопорушення. Враховуючи різноманітні фактори, такі як зміни в обстановці на місці події, складність збереження слідів у екстремальних умовах (наприклад, під час бойових дій), важливість своєчасного та обґрунтованого проведення огляду зростає.</w:t>
      </w:r>
    </w:p>
    <w:p w14:paraId="509F65D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Огляд місця події при умисному вбивстві є важливою слідчою (розшуковою) дією, що здійснюється відповідно до вимог статей 13, ч. 3 ст. 213, ст. 237 Кримінального процесуального кодексу України, а також інших відповідних норм законодавства. Метою цього процесу є виявлення і фіксація відомостей, що стосуються обставин злочину. Для досягнення ефективних результатів слідчого огляду важливими є принципи криміналістичної тактики, серед яких визначальними є своєчасність, об’єктивність, повнота, плановість, активність та обов’язкове використання спеціальних знань і методів пізнання. Успішність огляду місця події безпосередньо впливає на можливість встановлення основних юридично значущих фактів, які повинні бути визначені в ході кримінального провадження, таких як час, місце і спосіб вчинення правопорушення, завдані збитки, а також осіб, причетних до злочину [3,с.177]. </w:t>
      </w:r>
    </w:p>
    <w:p w14:paraId="0E13DEE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rPr>
        <w:lastRenderedPageBreak/>
        <w:t>Залучення криміналіста до процесу розслідування умисного вбивства дозволяє слідчому детальніше відтворити механізм та обставини скоєння злочину при аналізі місця події. Криміналісти здійснюють кілька ключових напрямів діяльності, зокрема:</w:t>
      </w:r>
    </w:p>
    <w:p w14:paraId="2B5BE571" w14:textId="77777777" w:rsidR="00532C25" w:rsidRPr="00511005" w:rsidRDefault="00532C25" w:rsidP="003F6A5D">
      <w:pPr>
        <w:numPr>
          <w:ilvl w:val="0"/>
          <w:numId w:val="616"/>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дослідження матеріальних слідів, залишених на місці злочину;</w:t>
      </w:r>
    </w:p>
    <w:p w14:paraId="7F7DF47E" w14:textId="77777777" w:rsidR="00532C25" w:rsidRPr="00511005" w:rsidRDefault="00532C25" w:rsidP="003F6A5D">
      <w:pPr>
        <w:numPr>
          <w:ilvl w:val="0"/>
          <w:numId w:val="616"/>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вивчення біологічних слідів, виявлених на місці події;</w:t>
      </w:r>
    </w:p>
    <w:p w14:paraId="1E197AD0" w14:textId="77777777" w:rsidR="00532C25" w:rsidRPr="00511005" w:rsidRDefault="00532C25" w:rsidP="003F6A5D">
      <w:pPr>
        <w:numPr>
          <w:ilvl w:val="0"/>
          <w:numId w:val="616"/>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аналіз слідів використання вогнепальної зброї;</w:t>
      </w:r>
    </w:p>
    <w:p w14:paraId="52894CE9" w14:textId="77777777" w:rsidR="00532C25" w:rsidRPr="00511005" w:rsidRDefault="00532C25" w:rsidP="003F6A5D">
      <w:pPr>
        <w:numPr>
          <w:ilvl w:val="0"/>
          <w:numId w:val="616"/>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дослідження слідів застосування холодної зброї;</w:t>
      </w:r>
    </w:p>
    <w:p w14:paraId="78586E31" w14:textId="77777777" w:rsidR="00532C25" w:rsidRPr="00511005" w:rsidRDefault="00532C25" w:rsidP="003F6A5D">
      <w:pPr>
        <w:numPr>
          <w:ilvl w:val="0"/>
          <w:numId w:val="616"/>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аналіз слідів, що свідчать про асфіксію при вбивствах.</w:t>
      </w:r>
    </w:p>
    <w:p w14:paraId="73884F0D"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Дослідження матеріальних слідів є важливою складовою розслідування, адже вони дозволяють встановити чіткі факти щодо обставин злочину. Серед таких слідів можна виділити:</w:t>
      </w:r>
    </w:p>
    <w:p w14:paraId="4F4D8C4D" w14:textId="77777777" w:rsidR="00532C25" w:rsidRPr="00511005" w:rsidRDefault="00532C25" w:rsidP="003F6A5D">
      <w:pPr>
        <w:numPr>
          <w:ilvl w:val="0"/>
          <w:numId w:val="617"/>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Сліди людини (відбитки пальців, сліди взуття, волосся тощо), що допомагають формулювати версії про осіб, причетних до вбивства, і надають інформацію про їх стать, зрост, вік, фізичний стан, а також індивідуальні прикмети;</w:t>
      </w:r>
    </w:p>
    <w:p w14:paraId="6D0C3312" w14:textId="77777777" w:rsidR="00532C25" w:rsidRPr="00511005" w:rsidRDefault="00532C25" w:rsidP="003F6A5D">
      <w:pPr>
        <w:numPr>
          <w:ilvl w:val="0"/>
          <w:numId w:val="617"/>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Сліди транспортних засобів, що дають змогу визначити марку та модель транспорту, його напрямок руху та можливі ушкодження потерпілого;</w:t>
      </w:r>
    </w:p>
    <w:p w14:paraId="08103639" w14:textId="77777777" w:rsidR="00532C25" w:rsidRPr="00511005" w:rsidRDefault="00532C25" w:rsidP="003F6A5D">
      <w:pPr>
        <w:numPr>
          <w:ilvl w:val="0"/>
          <w:numId w:val="617"/>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Сліди знарядь та інструментів, що використовувалися для вбивства, дозволяють зробити висновки про механізм злочину та ідентифікувати можливі характеристики злочинця;</w:t>
      </w:r>
    </w:p>
    <w:p w14:paraId="70FCE5C5" w14:textId="77777777" w:rsidR="00532C25" w:rsidRPr="00511005" w:rsidRDefault="00532C25" w:rsidP="003F6A5D">
      <w:pPr>
        <w:numPr>
          <w:ilvl w:val="0"/>
          <w:numId w:val="617"/>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Сліди взаємодії з навколишнім середовищем, такими як погодні умови або матеріальні об'єкти, що допомагають у відтворенні повної картини події та її обставин [5,с.240].</w:t>
      </w:r>
    </w:p>
    <w:p w14:paraId="3107B83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Огляд місця події є важливим етапом розслідування, оскільки він дає змогу виявити ознаки умисного вбивства, особливо в ситуаціях, коли відомо лише місце та час вчинення злочину, а інформація про труп або його точне місцезнаходження відсутня. Зволікання з прибуттям на місце події може призвести до серйозних негативних наслідків, таких як зміна обстановки, спотворення або втрата слідів злочину, а також поява нових слідів і матеріальних об'єктів, які можуть відвести слідчого від істинної картини події. Важливо також зазначити, що огляд місця події дозволяє сформулювати та обґрунтувати слідчі версії, вибрати стратегію розслідування і визначити подальший напрямок розслідувальних дій. Саме тому законодавець дозволяє проводити огляд місця події ще до внесення відомостей до Єдиного реєстру досудових розслідувань [2, с. 273].</w:t>
      </w:r>
    </w:p>
    <w:p w14:paraId="103212EF"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Збереження обстановки на місці події при умисному вбивстві може бути ускладнене змінами погодних умов та часу доби. Тому ефективність встановлення та фіксації доказів залежить від кількох ключових факторів:</w:t>
      </w:r>
    </w:p>
    <w:p w14:paraId="6C0D1A36" w14:textId="77777777" w:rsidR="00532C25" w:rsidRPr="00511005" w:rsidRDefault="00532C25" w:rsidP="003F6A5D">
      <w:pPr>
        <w:numPr>
          <w:ilvl w:val="0"/>
          <w:numId w:val="615"/>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належної підготовки до слідчої дії, що включає детальний план огляду;</w:t>
      </w:r>
    </w:p>
    <w:p w14:paraId="4DB37D15" w14:textId="77777777" w:rsidR="00532C25" w:rsidRPr="00511005" w:rsidRDefault="00532C25" w:rsidP="003F6A5D">
      <w:pPr>
        <w:numPr>
          <w:ilvl w:val="0"/>
          <w:numId w:val="615"/>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lastRenderedPageBreak/>
        <w:t>високого рівня професіоналізму слідчого, здатного застосувати криміналістичну тактику з урахуванням специфіки умисного вбивства, зокрема в умовах бойових дій;</w:t>
      </w:r>
    </w:p>
    <w:p w14:paraId="79D26505" w14:textId="77777777" w:rsidR="00532C25" w:rsidRPr="00511005" w:rsidRDefault="00532C25" w:rsidP="003F6A5D">
      <w:pPr>
        <w:numPr>
          <w:ilvl w:val="0"/>
          <w:numId w:val="615"/>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здатності слідчого організувати ефективну співпрацю з іншими учасниками слідчих дій, враховуючи психологічні аспекти роботи кожного члена слідчо-оперативної групи. Зважаючи на ці фактори, слід надавати перевагу слідчим з досвідом у розслідуванні умисних вбивств, оскільки для успішного огляду місця події важливим є застосування аналізу аналогій та обґрунтованих умовиводів [4, с. 222].</w:t>
      </w:r>
    </w:p>
    <w:p w14:paraId="177A5B3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випадках умисного вбивства, коли слідчий огляд місця події проводиться в умовах надзвичайних ситуацій або воєнного стану, завдання ускладнюється через підвищену небезпеку та обмеженість ресурсів. Для ефективного проведення криміналістичного огляду в таких обставинах необхідно вжити додаткових заходів безпеки для учасників слідчих дій та використовувати спеціалізоване обладнання, яке дозволить здійснити ретельний огляд місця події навіть у найбільш екстремальних умовах [3, с. 180].</w:t>
      </w:r>
    </w:p>
    <w:p w14:paraId="4C0A241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Отже, ефективне проведення огляду місця події при розслідуванні умисних вбивств вимагає чіткої організації, залучення кваліфікованих спеціалістів та використання сучасних технічних засобів. Огляд місця події при умисному вбивстві є ключовим етапом у процесі розслідування, що безпосередньо впливає на встановлення обставин злочину та визначення правопорушника. Важливими аспектами цього процесу є своєчасність, об’єктивність і повнота, а також ретельне застосування криміналістичних методів і технік. Залучення криміналіста дозволяє точніше реконструювати механізм вчинення злочину через аналіз матеріальних і біологічних слідів, а також слідів застосування зброї. </w:t>
      </w:r>
    </w:p>
    <w:p w14:paraId="3C189C9E" w14:textId="77777777" w:rsidR="00532C25" w:rsidRPr="00511005" w:rsidRDefault="00532C25" w:rsidP="00532C25">
      <w:pPr>
        <w:spacing w:line="264" w:lineRule="auto"/>
        <w:ind w:firstLine="720"/>
        <w:jc w:val="center"/>
        <w:rPr>
          <w:rFonts w:ascii="Arial" w:eastAsia="Calibri" w:hAnsi="Arial" w:cs="Arial"/>
          <w:b/>
          <w:bCs/>
          <w:i/>
          <w:iCs/>
          <w:szCs w:val="28"/>
          <w:lang w:val="uk-UA"/>
        </w:rPr>
      </w:pPr>
    </w:p>
    <w:p w14:paraId="173D2DB2" w14:textId="77777777" w:rsidR="00532C25" w:rsidRPr="00511005" w:rsidRDefault="00532C25" w:rsidP="00532C25">
      <w:pPr>
        <w:autoSpaceDE w:val="0"/>
        <w:autoSpaceDN w:val="0"/>
        <w:adjustRightInd w:val="0"/>
        <w:spacing w:line="264" w:lineRule="auto"/>
        <w:ind w:left="720" w:firstLine="0"/>
        <w:contextualSpacing/>
        <w:jc w:val="center"/>
        <w:rPr>
          <w:rFonts w:ascii="Arial" w:eastAsia="Times New Roman" w:hAnsi="Arial" w:cs="Arial"/>
          <w:b/>
          <w:bCs/>
          <w:szCs w:val="28"/>
          <w:lang w:eastAsia="ru-RU"/>
        </w:rPr>
      </w:pPr>
      <w:r w:rsidRPr="00511005">
        <w:rPr>
          <w:rFonts w:ascii="Arial" w:eastAsia="Times New Roman" w:hAnsi="Arial" w:cs="Arial"/>
          <w:b/>
          <w:bCs/>
          <w:szCs w:val="28"/>
          <w:lang w:val="uk-UA" w:eastAsia="ru-RU"/>
        </w:rPr>
        <w:t>Список використаних джерел</w:t>
      </w:r>
    </w:p>
    <w:p w14:paraId="210EC668" w14:textId="77777777" w:rsidR="00532C25" w:rsidRPr="00511005" w:rsidRDefault="00532C25" w:rsidP="003F6A5D">
      <w:pPr>
        <w:numPr>
          <w:ilvl w:val="0"/>
          <w:numId w:val="614"/>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bCs/>
          <w:szCs w:val="28"/>
          <w:lang w:val="uk-UA" w:eastAsia="ru-RU"/>
        </w:rPr>
        <w:t>Кримінальний процесуальний кодекс України від 13.04.2012 № 4651-VI</w:t>
      </w:r>
      <w:r w:rsidRPr="00511005">
        <w:rPr>
          <w:rFonts w:ascii="Arial" w:eastAsia="Times New Roman" w:hAnsi="Arial" w:cs="Arial"/>
          <w:szCs w:val="28"/>
          <w:lang w:val="uk-UA" w:eastAsia="ru-RU"/>
        </w:rPr>
        <w:t>. URL: https://zakon.rada.gov.ua/laws/show/4651-17#Text</w:t>
      </w:r>
    </w:p>
    <w:p w14:paraId="4EDE34DC" w14:textId="77777777" w:rsidR="00532C25" w:rsidRPr="00511005" w:rsidRDefault="00532C25" w:rsidP="003F6A5D">
      <w:pPr>
        <w:numPr>
          <w:ilvl w:val="0"/>
          <w:numId w:val="614"/>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Антипов В.І. Кримінальний кодекс України в контексті міжнародного права та практики Європейського суду з прав людини: правові норми, судова практика, науково-практичний коментар. Харків: Право, 2019. С. 268–281.</w:t>
      </w:r>
    </w:p>
    <w:p w14:paraId="3D9EB4CA" w14:textId="77777777" w:rsidR="00532C25" w:rsidRPr="00511005" w:rsidRDefault="00532C25" w:rsidP="003F6A5D">
      <w:pPr>
        <w:numPr>
          <w:ilvl w:val="0"/>
          <w:numId w:val="614"/>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Баулін О.Г. Особливості проведення огляду місця події у надзвичайних ситуаціях та умовах воєнного стану. </w:t>
      </w:r>
      <w:r w:rsidRPr="00511005">
        <w:rPr>
          <w:rFonts w:ascii="Arial" w:eastAsia="Times New Roman" w:hAnsi="Arial" w:cs="Arial"/>
          <w:i/>
          <w:iCs/>
          <w:szCs w:val="28"/>
          <w:lang w:val="uk-UA" w:eastAsia="ru-RU"/>
        </w:rPr>
        <w:t>Криміналістика і судова експертиза</w:t>
      </w:r>
      <w:r w:rsidRPr="00511005">
        <w:rPr>
          <w:rFonts w:ascii="Arial" w:eastAsia="Times New Roman" w:hAnsi="Arial" w:cs="Arial"/>
          <w:szCs w:val="28"/>
          <w:lang w:val="uk-UA" w:eastAsia="ru-RU"/>
        </w:rPr>
        <w:t>. Випуск 69, 2024. С. 176-184.</w:t>
      </w:r>
    </w:p>
    <w:p w14:paraId="0C8A6D32" w14:textId="77777777" w:rsidR="00532C25" w:rsidRPr="00511005" w:rsidRDefault="00532C25" w:rsidP="003F6A5D">
      <w:pPr>
        <w:numPr>
          <w:ilvl w:val="0"/>
          <w:numId w:val="614"/>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Сиводєд І.С. Огляд місця події як невідкладна слідча дія при розслідуванні умисних вбивств військовослужбовців у період проведення бойових дій. </w:t>
      </w:r>
      <w:r w:rsidRPr="00511005">
        <w:rPr>
          <w:rFonts w:ascii="Arial" w:eastAsia="Times New Roman" w:hAnsi="Arial" w:cs="Arial"/>
          <w:i/>
          <w:iCs/>
          <w:szCs w:val="28"/>
          <w:lang w:val="uk-UA" w:eastAsia="ru-RU"/>
        </w:rPr>
        <w:t>Право і суспільство</w:t>
      </w:r>
      <w:r w:rsidRPr="00511005">
        <w:rPr>
          <w:rFonts w:ascii="Arial" w:eastAsia="Times New Roman" w:hAnsi="Arial" w:cs="Arial"/>
          <w:szCs w:val="28"/>
          <w:lang w:val="uk-UA" w:eastAsia="ru-RU"/>
        </w:rPr>
        <w:t>, 2020, № 6. С. 219-225.</w:t>
      </w:r>
    </w:p>
    <w:p w14:paraId="358BD967" w14:textId="77777777" w:rsidR="00532C25" w:rsidRPr="00511005" w:rsidRDefault="00532C25" w:rsidP="003F6A5D">
      <w:pPr>
        <w:numPr>
          <w:ilvl w:val="0"/>
          <w:numId w:val="614"/>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Чернов О.В. Особливості та специфіка використання спеціальних знань на початковому етапі розслідування умисних убивств працівників правоохоронного органу, вчинених у зв’язку з виконанням службових обов’язків. </w:t>
      </w:r>
      <w:r w:rsidRPr="00511005">
        <w:rPr>
          <w:rFonts w:ascii="Arial" w:eastAsia="Times New Roman" w:hAnsi="Arial" w:cs="Arial"/>
          <w:i/>
          <w:iCs/>
          <w:szCs w:val="28"/>
          <w:lang w:val="uk-UA" w:eastAsia="ru-RU"/>
        </w:rPr>
        <w:t>Теоретичні та практичні аспекти забезпечення національної безпеки</w:t>
      </w:r>
      <w:r w:rsidRPr="00511005">
        <w:rPr>
          <w:rFonts w:ascii="Arial" w:eastAsia="Times New Roman" w:hAnsi="Arial" w:cs="Arial"/>
          <w:szCs w:val="28"/>
          <w:lang w:val="uk-UA" w:eastAsia="ru-RU"/>
        </w:rPr>
        <w:t>, 2022. С. 238-243.</w:t>
      </w:r>
    </w:p>
    <w:p w14:paraId="51200DC6" w14:textId="77777777" w:rsidR="00532C25" w:rsidRPr="00511005" w:rsidRDefault="00532C25" w:rsidP="00532C25">
      <w:pPr>
        <w:spacing w:line="264" w:lineRule="auto"/>
        <w:ind w:firstLine="720"/>
        <w:rPr>
          <w:rFonts w:ascii="Arial" w:eastAsia="Times New Roman" w:hAnsi="Arial" w:cs="Arial"/>
          <w:szCs w:val="28"/>
          <w:lang w:val="uk-UA"/>
        </w:rPr>
      </w:pPr>
    </w:p>
    <w:p w14:paraId="55BD3819" w14:textId="77777777" w:rsidR="00532C25" w:rsidRPr="00511005" w:rsidRDefault="00532C25" w:rsidP="00532C25">
      <w:pPr>
        <w:spacing w:line="264" w:lineRule="auto"/>
        <w:ind w:firstLine="720"/>
        <w:rPr>
          <w:rFonts w:ascii="Arial" w:eastAsia="Times New Roman" w:hAnsi="Arial" w:cs="Arial"/>
          <w:i/>
          <w:szCs w:val="28"/>
          <w:lang w:val="uk-UA"/>
        </w:rPr>
      </w:pPr>
      <w:r w:rsidRPr="00511005">
        <w:rPr>
          <w:rFonts w:ascii="Arial" w:eastAsia="Times New Roman" w:hAnsi="Arial" w:cs="Arial"/>
          <w:b/>
          <w:i/>
          <w:szCs w:val="28"/>
          <w:lang w:val="uk-UA"/>
        </w:rPr>
        <w:t xml:space="preserve">Ключові слова: </w:t>
      </w:r>
      <w:r w:rsidRPr="00511005">
        <w:rPr>
          <w:rFonts w:ascii="Arial" w:eastAsia="Times New Roman" w:hAnsi="Arial" w:cs="Arial"/>
          <w:i/>
          <w:szCs w:val="28"/>
          <w:lang w:val="uk-UA"/>
        </w:rPr>
        <w:t>огляд місця події, умисне вбивство, розслідування, криміналістична тактика, сліди, обстановка, слідчі дії.</w:t>
      </w:r>
    </w:p>
    <w:p w14:paraId="571E08BF" w14:textId="77777777" w:rsidR="00532C25" w:rsidRPr="00511005" w:rsidRDefault="00532C25" w:rsidP="00532C25">
      <w:pPr>
        <w:spacing w:line="264" w:lineRule="auto"/>
        <w:ind w:firstLine="720"/>
        <w:rPr>
          <w:rFonts w:ascii="Arial" w:eastAsia="Times New Roman" w:hAnsi="Arial" w:cs="Arial"/>
          <w:i/>
          <w:szCs w:val="28"/>
          <w:lang w:val="uk-UA"/>
        </w:rPr>
      </w:pPr>
      <w:r w:rsidRPr="00511005">
        <w:rPr>
          <w:rFonts w:ascii="Arial" w:eastAsia="Times New Roman" w:hAnsi="Arial" w:cs="Arial"/>
          <w:b/>
          <w:i/>
          <w:szCs w:val="28"/>
          <w:lang w:val="uk-UA"/>
        </w:rPr>
        <w:t xml:space="preserve">Key words: </w:t>
      </w:r>
      <w:r w:rsidRPr="00511005">
        <w:rPr>
          <w:rFonts w:ascii="Arial" w:eastAsia="Times New Roman" w:hAnsi="Arial" w:cs="Arial"/>
          <w:i/>
          <w:szCs w:val="28"/>
          <w:lang w:val="uk-UA"/>
        </w:rPr>
        <w:t>inspection of the scene, premeditated murder, investigation, forensic tactics, traces, situation, investigative actions.</w:t>
      </w:r>
    </w:p>
    <w:p w14:paraId="36427648" w14:textId="77777777" w:rsidR="00532C25" w:rsidRPr="00511005" w:rsidRDefault="00532C25" w:rsidP="00532C25">
      <w:pPr>
        <w:spacing w:line="264" w:lineRule="auto"/>
        <w:ind w:firstLine="720"/>
        <w:jc w:val="left"/>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Pr="00511005">
        <w:rPr>
          <w:rFonts w:ascii="Arial" w:eastAsia="Calibri" w:hAnsi="Arial" w:cs="Arial"/>
          <w:i/>
          <w:szCs w:val="28"/>
          <w:lang w:val="uk-UA"/>
        </w:rPr>
        <w:t>к.ю.н., доцент Колодіна А.С.</w:t>
      </w:r>
    </w:p>
    <w:p w14:paraId="2EC07B67" w14:textId="77777777" w:rsidR="00532C25" w:rsidRPr="00511005" w:rsidRDefault="00532C25" w:rsidP="00532C25">
      <w:pPr>
        <w:spacing w:line="264" w:lineRule="auto"/>
        <w:ind w:firstLine="720"/>
        <w:jc w:val="left"/>
        <w:rPr>
          <w:rFonts w:ascii="Arial" w:eastAsia="Calibri" w:hAnsi="Arial" w:cs="Arial"/>
          <w:szCs w:val="28"/>
          <w:lang w:val="uk-UA"/>
        </w:rPr>
      </w:pPr>
    </w:p>
    <w:p w14:paraId="294AF0B1" w14:textId="77777777" w:rsidR="00532C25" w:rsidRPr="00511005" w:rsidRDefault="00532C25" w:rsidP="00532C25">
      <w:pPr>
        <w:spacing w:line="264" w:lineRule="auto"/>
        <w:ind w:right="510" w:firstLine="720"/>
        <w:jc w:val="center"/>
        <w:rPr>
          <w:rFonts w:ascii="Arial" w:eastAsia="Times New Roman" w:hAnsi="Arial" w:cs="Arial"/>
          <w:b/>
          <w:bCs/>
          <w:i/>
          <w:iCs/>
          <w:szCs w:val="28"/>
          <w:lang w:val="uk-UA" w:eastAsia="en-GB"/>
        </w:rPr>
      </w:pPr>
      <w:r w:rsidRPr="00511005">
        <w:rPr>
          <w:rFonts w:ascii="Arial" w:eastAsia="Times New Roman" w:hAnsi="Arial" w:cs="Arial"/>
          <w:b/>
          <w:bCs/>
          <w:i/>
          <w:iCs/>
          <w:szCs w:val="28"/>
          <w:lang w:val="uk-UA" w:eastAsia="en-GB"/>
        </w:rPr>
        <w:t>Конончук Маргаріта Віталіївна</w:t>
      </w:r>
    </w:p>
    <w:p w14:paraId="3B007AB6" w14:textId="77777777" w:rsidR="00532C25" w:rsidRPr="00511005" w:rsidRDefault="00532C25" w:rsidP="00532C25">
      <w:pPr>
        <w:spacing w:line="264" w:lineRule="auto"/>
        <w:ind w:right="510" w:firstLine="720"/>
        <w:jc w:val="center"/>
        <w:rPr>
          <w:rFonts w:ascii="Arial" w:eastAsia="Times New Roman" w:hAnsi="Arial" w:cs="Arial"/>
          <w:bCs/>
          <w:szCs w:val="28"/>
          <w:lang w:val="uk-UA" w:eastAsia="en-GB"/>
        </w:rPr>
      </w:pPr>
      <w:r w:rsidRPr="00511005">
        <w:rPr>
          <w:rFonts w:ascii="Arial" w:eastAsia="Times New Roman" w:hAnsi="Arial" w:cs="Arial"/>
          <w:bCs/>
          <w:szCs w:val="28"/>
          <w:lang w:val="uk-UA" w:eastAsia="en-GB"/>
        </w:rPr>
        <w:t xml:space="preserve">студентка 1-го курсу магістратури </w:t>
      </w:r>
    </w:p>
    <w:p w14:paraId="1C706BBD" w14:textId="77777777" w:rsidR="00532C25" w:rsidRPr="00511005" w:rsidRDefault="00532C25" w:rsidP="00532C25">
      <w:pPr>
        <w:spacing w:line="264" w:lineRule="auto"/>
        <w:ind w:right="510" w:firstLine="720"/>
        <w:jc w:val="center"/>
        <w:rPr>
          <w:rFonts w:ascii="Arial" w:eastAsia="Times New Roman" w:hAnsi="Arial" w:cs="Arial"/>
          <w:bCs/>
          <w:szCs w:val="28"/>
          <w:lang w:val="uk-UA" w:eastAsia="en-GB"/>
        </w:rPr>
      </w:pPr>
      <w:r w:rsidRPr="00511005">
        <w:rPr>
          <w:rFonts w:ascii="Arial" w:eastAsia="Times New Roman" w:hAnsi="Arial" w:cs="Arial"/>
          <w:bCs/>
          <w:szCs w:val="28"/>
          <w:lang w:val="uk-UA" w:eastAsia="en-GB"/>
        </w:rPr>
        <w:t>факультету адвокатури та антикорупційної діяльності Національного університету «Одеська юридична академія»</w:t>
      </w:r>
    </w:p>
    <w:p w14:paraId="1FE20069" w14:textId="77777777" w:rsidR="00532C25" w:rsidRPr="00511005" w:rsidRDefault="00532C25" w:rsidP="00532C25">
      <w:pPr>
        <w:spacing w:line="264" w:lineRule="auto"/>
        <w:ind w:right="510" w:firstLine="720"/>
        <w:jc w:val="center"/>
        <w:rPr>
          <w:rFonts w:ascii="Arial" w:eastAsia="Times New Roman" w:hAnsi="Arial" w:cs="Arial"/>
          <w:b/>
          <w:bCs/>
          <w:szCs w:val="28"/>
          <w:lang w:val="uk-UA" w:eastAsia="en-GB"/>
        </w:rPr>
      </w:pPr>
    </w:p>
    <w:p w14:paraId="3C369250" w14:textId="77777777" w:rsidR="00532C25" w:rsidRPr="00511005" w:rsidRDefault="00532C25" w:rsidP="00532C25">
      <w:pPr>
        <w:spacing w:line="264" w:lineRule="auto"/>
        <w:ind w:firstLine="720"/>
        <w:jc w:val="center"/>
        <w:rPr>
          <w:rFonts w:ascii="Arial" w:eastAsia="Calibri" w:hAnsi="Arial" w:cs="Arial"/>
          <w:b/>
          <w:bCs/>
          <w:szCs w:val="28"/>
          <w:lang w:val="uk-UA"/>
          <w14:ligatures w14:val="standardContextual"/>
        </w:rPr>
      </w:pPr>
      <w:r w:rsidRPr="00511005">
        <w:rPr>
          <w:rFonts w:ascii="Arial" w:eastAsia="Calibri" w:hAnsi="Arial" w:cs="Arial"/>
          <w:b/>
          <w:bCs/>
          <w:szCs w:val="28"/>
          <w:lang w:val="uk-UA"/>
          <w14:ligatures w14:val="standardContextual"/>
        </w:rPr>
        <w:t>РОЛЬ КРИМІНАЛІСТИЧНОЇ ФОТОГРАФІЇ ТА ВІДЕОАНАЛІЗУ ПІД ЧАС РОЗСЛІДУВАННЯ ЗЛОЧИНІВ ПРОТИ ЛЮДЯНОСТІ В УКРАЇНІ</w:t>
      </w:r>
    </w:p>
    <w:p w14:paraId="1497DC8F"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Calibri" w:hAnsi="Arial" w:cs="Arial"/>
          <w:kern w:val="2"/>
          <w:szCs w:val="28"/>
          <w:lang w:val="uk-UA"/>
          <w14:ligatures w14:val="standardContextual"/>
        </w:rPr>
        <w:t>У сучасних умовах збройної агресії та масових порушень прав людини, особливої ваги набуває дослідження ролі криміналістичної фотографії та відеоаналізу під час розслідування злочинів проти людяності. Ці інструменти дозволяють не лише документувати докази із високим ступенем достовірності, а й здійснювати об'єктивну реконструкцію подій. Їх використання є важливим кроком до встановлення істини, забезпечення справедливості та притягнення винних до відповідальності на національному й міжнародному рівнях.</w:t>
      </w:r>
    </w:p>
    <w:p w14:paraId="20F51718"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 xml:space="preserve">Так, після звільнення Бучі світ уперше побачив орто-знімки тіл мирних мешканців із зав’язаними руками, зроблені слідчими Нацполіції, а супутникові кадри Maxar довели, що вони пролежали на вулиці понад десять днів, - аргумент, який спростував російську версію подій. Відтоді українські прокурори, Міжнародний кримінальний суд і комісія ООН збирають тисячі зображень: від фото ексгумацій в Ізюмі до відео з дронів над вкритими вирвами полями Донбасу. </w:t>
      </w:r>
    </w:p>
    <w:p w14:paraId="7583AF95"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Розвиток цієї практики засвідчує дві ключові тенденції: повернення до судової фотографії, що фіксує сцени злочину у високій роздільності, та стрімке впровадження алгоритмічного відеоаналізу й OSINT-геолокації, які перетворюють аматорські ролики на переконливі речові докази. У підсумку саме зображення стали тією ланкою, що поєднує польову роботу криміналістів, аналітику розвідки з відкритих джерел і процесуальні критерії міжнародного судочинства, створюючи нову парадигму доведення масових злочинів.</w:t>
      </w:r>
    </w:p>
    <w:p w14:paraId="57F3EC5A"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lastRenderedPageBreak/>
        <w:t xml:space="preserve">Законодавча рамка, у якій візуальні дані переходять у статус повноцінних доказів, складається з трьох взаємопов’язаних рівнів. Перший - український Кримінальний кодекс, де ст. 442 визначає злочини проти людяності й дозволяє використовувати будь-які «технічні засоби фіксації» [1]; другий - юрисдикція МКС, що 17 березня 2023 р. видала ордери на арешт Путіна та Львової-Белової за депортацію дітей, спираючись, серед іншого, на цифрові фото й відео, передані Офісом генпрокурорa [2]; третій - робота Незалежної комісії ООН, яка у своїх звітах за 2023–2024 рр. спеціально наголошує на ролі камер спостереження та мобільних телефонів для встановлення «типових схем катувань» [3]. </w:t>
      </w:r>
    </w:p>
    <w:p w14:paraId="43BF1109"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Усі три інститути приймають Берклійський протокол як мінімальний стандарт для цифрової доказової бази, що передбачає обов’язковий запис метаданих, подвійне зберігання файлів і публічну методику верифікації [4]. Ця гармонізація дає українським прокурорам інструментарій, який приймається у міжнародних судах.</w:t>
      </w:r>
    </w:p>
    <w:p w14:paraId="13FD6608"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На практиці перш</w:t>
      </w:r>
      <w:r w:rsidRPr="00511005">
        <w:rPr>
          <w:rFonts w:ascii="Arial" w:eastAsia="Times New Roman" w:hAnsi="Arial" w:cs="Arial"/>
          <w:szCs w:val="28"/>
          <w:lang w:eastAsia="en-GB"/>
        </w:rPr>
        <w:t>ою</w:t>
      </w:r>
      <w:r w:rsidRPr="00511005">
        <w:rPr>
          <w:rFonts w:ascii="Arial" w:eastAsia="Times New Roman" w:hAnsi="Arial" w:cs="Arial"/>
          <w:szCs w:val="28"/>
          <w:lang w:val="uk-UA" w:eastAsia="en-GB"/>
        </w:rPr>
        <w:t xml:space="preserve"> залишається традиційна криміналістична фотографія. Після деокупації Бучі групи слідчих фіксували всі тіла у чотирьох ракурсах із масштабними лінійками; розвороти вулиць знімали методом панорами, щоби можна було зшити фотоплан; усі знімки одразу копіювали на захищений сервер. Відповідна схема спрацювала вдруге в Ізюмі: дрони ДСНС створили ортофотоплан лісового масиву, а наземні кадри з нумерацією могил дали основу для 3-D-моделі місця масового поховання</w:t>
      </w:r>
      <w:r w:rsidRPr="00511005">
        <w:rPr>
          <w:rFonts w:ascii="Arial" w:eastAsia="Times New Roman" w:hAnsi="Arial" w:cs="Arial"/>
          <w:szCs w:val="28"/>
          <w:lang w:eastAsia="en-GB"/>
        </w:rPr>
        <w:t xml:space="preserve">. </w:t>
      </w:r>
      <w:r w:rsidRPr="00511005">
        <w:rPr>
          <w:rFonts w:ascii="Arial" w:eastAsia="Times New Roman" w:hAnsi="Arial" w:cs="Arial"/>
          <w:szCs w:val="28"/>
          <w:lang w:val="uk-UA" w:eastAsia="en-GB"/>
        </w:rPr>
        <w:t>Така візуальна «карта злочину» дозволила побачити розташування тіл у просторі, а експертам-балістам обчислити траєкторії куль. Уся ця інформація нині доступна у спільному реєстрі воєнних злочинів, розгорнутому за підтримки Palantir: платформа інтегрує фото, відео, показання та супутникові дані в єдиному графі даних.</w:t>
      </w:r>
    </w:p>
    <w:p w14:paraId="7B3FF9A0"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 xml:space="preserve">Другий елемент - відеодоказ, значно ширший за масштаби класичних криміналістичних дій. За підрахунками Bellingcat, лише у перший рік вторгнення було опубліковано понад 150 000 відео, що містять потенційні воєнні злочини [5]. Зразком став випадок обстрілу вінницького вокзалу: відео з Telegram за лічені хвилини геолокували завдяки характерній вежі водокачки, а дані камер спостереження зі станції підтвердили точний час прильоту; ці кадри потім увійшли до матеріалів кримінального провадження. </w:t>
      </w:r>
    </w:p>
    <w:p w14:paraId="60585C38"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 xml:space="preserve">Третім рівнем стала інституційна інтеграція OSINT-спільноти з офіційним слідством. У 2023 р. Офіс Генпрокурора уклав меморандум із міжнародною некомерційною організацією Mnemonic: активісти на власних серверах роблять копії TikTok-, Telegram- та YouTube-роликів, щоб уникнути їх видалення, а потім передають метадані державним органам. Цей «архів майбутнього Нюрнберга» вже містить понад два мільйони відфільтрованих записів. Власне, поєднання наземних фото, аматорських роликів і супутника стало підставою для ордера МКС щодо викрадення українських дітей: кадри </w:t>
      </w:r>
      <w:r w:rsidRPr="00511005">
        <w:rPr>
          <w:rFonts w:ascii="Arial" w:eastAsia="Times New Roman" w:hAnsi="Arial" w:cs="Arial"/>
          <w:szCs w:val="28"/>
          <w:lang w:val="uk-UA" w:eastAsia="en-GB"/>
        </w:rPr>
        <w:lastRenderedPageBreak/>
        <w:t>депортації з окупованих міст співставили з фотографіями дітей уже в російських санаторіях - cукупність фактів, яку прокурори визнали достатньою для висунення звинувачення.</w:t>
      </w:r>
    </w:p>
    <w:p w14:paraId="38D6BC2B"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Та попри значні досягнення, система доведення злочинів проти людяності залишається вразливою. Перша проблема - масштаб даних: слідчим доводиться щодня переглядати терабайти фото та віде. Друга проблема – діпфейки. Третя проблема - правовий вакуум. Чинний КПК України поки що не містить норм про хмарні дані та цифровий ланцюг збереження. Четверта проблема - безпека волонтерів-документаторів, витік метаданих може наражати їх на переслідування та репресії, а отже, потрібні протоколи «відкладеного завантаження» й широке впровадження псевдонімізації.</w:t>
      </w:r>
    </w:p>
    <w:p w14:paraId="20FD7FB6"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Отже, роль криміналістичної фотографії та відеоаналізу в розслідуванні злочинів проти людяності в Україні є надзвичайно значущою і багатовимірною. Саме візуальні докази - від ортофотопланів Бучі та Ізюму до геолокованих аматорських відео - стали інструментами викриття злочинних схем та формування повноцінної доказової бази для національних і міжнародних судів. Вони не лише фіксують об’єктивну реальність, а й інтегруються в сучасні цифрові платформи розслідування, формуючи нову криміналістичну парадигму. Водночас на тлі зростання обсягів даних, появи діпфейків і недосконалості процесуального законодавства, постає потреба в модернізації нормативної бази та впровадженні технологій, що забезпечують автентичність і безпеку цифрових доказів. У цілому український досвід демонструє унікальну модель цифрової доказовості, релевантну для глобальної системи правосуддя.</w:t>
      </w:r>
    </w:p>
    <w:p w14:paraId="38192489" w14:textId="77777777" w:rsidR="00532C25" w:rsidRPr="00511005" w:rsidRDefault="00532C25" w:rsidP="00532C25">
      <w:pPr>
        <w:spacing w:line="264" w:lineRule="auto"/>
        <w:ind w:firstLine="720"/>
        <w:rPr>
          <w:rFonts w:ascii="Arial" w:eastAsia="Times New Roman" w:hAnsi="Arial" w:cs="Arial"/>
          <w:szCs w:val="28"/>
          <w:lang w:val="uk-UA" w:eastAsia="en-GB"/>
        </w:rPr>
      </w:pPr>
    </w:p>
    <w:p w14:paraId="379B772F" w14:textId="77777777" w:rsidR="00532C25" w:rsidRPr="00511005" w:rsidRDefault="00532C25" w:rsidP="00532C25">
      <w:pPr>
        <w:spacing w:line="264" w:lineRule="auto"/>
        <w:ind w:firstLine="72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Список використаних джерел</w:t>
      </w:r>
    </w:p>
    <w:p w14:paraId="623810A0"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 xml:space="preserve">1. </w:t>
      </w:r>
      <w:hyperlink r:id="rId1973" w:history="1">
        <w:r w:rsidRPr="00511005">
          <w:rPr>
            <w:rFonts w:ascii="Arial" w:eastAsia="Times New Roman" w:hAnsi="Arial" w:cs="Arial"/>
            <w:szCs w:val="28"/>
            <w:lang w:val="uk-UA" w:eastAsia="en-GB"/>
          </w:rPr>
          <w:t>Кримінальний кодекс: Закон України</w:t>
        </w:r>
      </w:hyperlink>
      <w:r w:rsidRPr="00511005">
        <w:rPr>
          <w:rFonts w:ascii="Arial" w:eastAsia="Times New Roman" w:hAnsi="Arial" w:cs="Arial"/>
          <w:szCs w:val="28"/>
          <w:lang w:val="uk-UA" w:eastAsia="en-GB"/>
        </w:rPr>
        <w:t xml:space="preserve"> від 05.04.2001 р. U</w:t>
      </w:r>
      <w:r w:rsidRPr="00511005">
        <w:rPr>
          <w:rFonts w:ascii="Arial" w:eastAsia="Times New Roman" w:hAnsi="Arial" w:cs="Arial"/>
          <w:szCs w:val="28"/>
          <w:lang w:val="en-US" w:eastAsia="en-GB"/>
        </w:rPr>
        <w:t>RL</w:t>
      </w:r>
      <w:r w:rsidRPr="00511005">
        <w:rPr>
          <w:rFonts w:ascii="Arial" w:eastAsia="Times New Roman" w:hAnsi="Arial" w:cs="Arial"/>
          <w:szCs w:val="28"/>
          <w:lang w:eastAsia="en-GB"/>
        </w:rPr>
        <w:t>:</w:t>
      </w:r>
      <w:r w:rsidRPr="00511005">
        <w:rPr>
          <w:rFonts w:ascii="Arial" w:eastAsia="Times New Roman" w:hAnsi="Arial" w:cs="Arial"/>
          <w:szCs w:val="28"/>
          <w:lang w:val="uk-UA" w:eastAsia="en-GB"/>
        </w:rPr>
        <w:t xml:space="preserve"> https://zakon.rada.gov.ua/laws/show/2341-14#Text</w:t>
      </w:r>
    </w:p>
    <w:p w14:paraId="1BE2C011"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2. Situation in Ukraine: ICC judges issue arrest warrants against Vladimir Vladimirovich Putin and Maria Alekseyevna Lvova-Belova. 17 March 2023. U</w:t>
      </w:r>
      <w:r w:rsidRPr="00511005">
        <w:rPr>
          <w:rFonts w:ascii="Arial" w:eastAsia="Times New Roman" w:hAnsi="Arial" w:cs="Arial"/>
          <w:szCs w:val="28"/>
          <w:lang w:val="en-US" w:eastAsia="en-GB"/>
        </w:rPr>
        <w:t>RL</w:t>
      </w:r>
      <w:r w:rsidRPr="00511005">
        <w:rPr>
          <w:rFonts w:ascii="Arial" w:eastAsia="Times New Roman" w:hAnsi="Arial" w:cs="Arial"/>
          <w:szCs w:val="28"/>
          <w:lang w:eastAsia="en-GB"/>
        </w:rPr>
        <w:t>:</w:t>
      </w:r>
      <w:r w:rsidRPr="00511005">
        <w:rPr>
          <w:rFonts w:ascii="Arial" w:eastAsia="Times New Roman" w:hAnsi="Arial" w:cs="Arial"/>
          <w:szCs w:val="28"/>
          <w:lang w:val="uk-UA" w:eastAsia="en-GB"/>
        </w:rPr>
        <w:t xml:space="preserve"> </w:t>
      </w:r>
      <w:hyperlink r:id="rId1974" w:history="1">
        <w:r w:rsidRPr="00511005">
          <w:rPr>
            <w:rFonts w:ascii="Arial" w:eastAsia="Times New Roman" w:hAnsi="Arial" w:cs="Arial"/>
            <w:szCs w:val="28"/>
            <w:lang w:val="uk-UA" w:eastAsia="en-GB"/>
          </w:rPr>
          <w:t>https://www.icc-cpi.int/news/situation-ukraine-icc-judges-issue-arrest-warrants-against-vladimir-vladimirovich-putin-and?utm_source=chatgpt.com</w:t>
        </w:r>
      </w:hyperlink>
      <w:r w:rsidRPr="00511005">
        <w:rPr>
          <w:rFonts w:ascii="Arial" w:eastAsia="Times New Roman" w:hAnsi="Arial" w:cs="Arial"/>
          <w:szCs w:val="28"/>
          <w:lang w:val="uk-UA" w:eastAsia="en-GB"/>
        </w:rPr>
        <w:t xml:space="preserve"> (дата звернення: 25.04.2025)</w:t>
      </w:r>
    </w:p>
    <w:p w14:paraId="64EEFBE7"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3. UN Commission of Inquiry on Ukraine finds additional evidence of common patterns of torture by Russian authorities. 23 September 2024</w:t>
      </w:r>
      <w:r w:rsidRPr="00511005">
        <w:rPr>
          <w:rFonts w:ascii="Arial" w:eastAsia="Times New Roman" w:hAnsi="Arial" w:cs="Arial"/>
          <w:szCs w:val="28"/>
          <w:lang w:val="en-US" w:eastAsia="en-GB"/>
        </w:rPr>
        <w:t xml:space="preserve">. </w:t>
      </w:r>
      <w:r w:rsidRPr="00511005">
        <w:rPr>
          <w:rFonts w:ascii="Arial" w:eastAsia="Times New Roman" w:hAnsi="Arial" w:cs="Arial"/>
          <w:szCs w:val="28"/>
          <w:lang w:val="uk-UA" w:eastAsia="en-GB"/>
        </w:rPr>
        <w:t>U</w:t>
      </w:r>
      <w:r w:rsidRPr="00511005">
        <w:rPr>
          <w:rFonts w:ascii="Arial" w:eastAsia="Times New Roman" w:hAnsi="Arial" w:cs="Arial"/>
          <w:szCs w:val="28"/>
          <w:lang w:val="en-US" w:eastAsia="en-GB"/>
        </w:rPr>
        <w:t xml:space="preserve">RL: </w:t>
      </w:r>
      <w:r w:rsidR="005938AD">
        <w:fldChar w:fldCharType="begin"/>
      </w:r>
      <w:r w:rsidR="005938AD" w:rsidRPr="00055389">
        <w:rPr>
          <w:lang w:val="en-US"/>
        </w:rPr>
        <w:instrText xml:space="preserve"> HYPERLINK "https://www.ohchr.org/en/press-releases/2024/09/un-com</w:instrText>
      </w:r>
      <w:r w:rsidR="005938AD" w:rsidRPr="00055389">
        <w:rPr>
          <w:lang w:val="en-US"/>
        </w:rPr>
        <w:instrText xml:space="preserve">mission-inquiry-ukraine-finds-additional-evidence-common-patterns?utm_source=chatgpt.com" </w:instrText>
      </w:r>
      <w:r w:rsidR="005938AD">
        <w:fldChar w:fldCharType="separate"/>
      </w:r>
      <w:r w:rsidRPr="00511005">
        <w:rPr>
          <w:rFonts w:ascii="Arial" w:eastAsia="Times New Roman" w:hAnsi="Arial" w:cs="Arial"/>
          <w:szCs w:val="28"/>
          <w:lang w:val="en-US" w:eastAsia="en-GB"/>
        </w:rPr>
        <w:t>https://www.ohchr.org/en/press-releases/2024/09/un-commission-inquiry-ukraine-finds-additional-evidence-common-patterns?utm_source=chatgpt.com</w:t>
      </w:r>
      <w:r w:rsidR="005938AD">
        <w:rPr>
          <w:rFonts w:ascii="Arial" w:eastAsia="Times New Roman" w:hAnsi="Arial" w:cs="Arial"/>
          <w:szCs w:val="28"/>
          <w:lang w:val="en-US" w:eastAsia="en-GB"/>
        </w:rPr>
        <w:fldChar w:fldCharType="end"/>
      </w:r>
      <w:r w:rsidRPr="00511005">
        <w:rPr>
          <w:rFonts w:ascii="Arial" w:eastAsia="Times New Roman" w:hAnsi="Arial" w:cs="Arial"/>
          <w:szCs w:val="28"/>
          <w:lang w:val="en-US" w:eastAsia="en-GB"/>
        </w:rPr>
        <w:t xml:space="preserve"> </w:t>
      </w:r>
      <w:r w:rsidRPr="00511005">
        <w:rPr>
          <w:rFonts w:ascii="Arial" w:eastAsia="Times New Roman" w:hAnsi="Arial" w:cs="Arial"/>
          <w:szCs w:val="28"/>
          <w:lang w:val="uk-UA" w:eastAsia="en-GB"/>
        </w:rPr>
        <w:t>(дата звернення: 25.04.2025)</w:t>
      </w:r>
    </w:p>
    <w:p w14:paraId="3F42C1CE"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lastRenderedPageBreak/>
        <w:t>4. Berkeley Protocol on Digital Open Source Investigations. December 2, 2020. U</w:t>
      </w:r>
      <w:r w:rsidRPr="00511005">
        <w:rPr>
          <w:rFonts w:ascii="Arial" w:eastAsia="Times New Roman" w:hAnsi="Arial" w:cs="Arial"/>
          <w:szCs w:val="28"/>
          <w:lang w:val="en-US" w:eastAsia="en-GB"/>
        </w:rPr>
        <w:t xml:space="preserve">RL: </w:t>
      </w:r>
      <w:r w:rsidR="005938AD">
        <w:fldChar w:fldCharType="begin"/>
      </w:r>
      <w:r w:rsidR="005938AD" w:rsidRPr="00055389">
        <w:rPr>
          <w:lang w:val="en-US"/>
        </w:rPr>
        <w:instrText xml:space="preserve"> HYPERLINK "https://humanrights.berkeley.edu/publications/berkeley-protocol-on-digital-open-source-investigations/" </w:instrText>
      </w:r>
      <w:r w:rsidR="005938AD">
        <w:fldChar w:fldCharType="separate"/>
      </w:r>
      <w:r w:rsidRPr="00511005">
        <w:rPr>
          <w:rFonts w:ascii="Arial" w:eastAsia="Times New Roman" w:hAnsi="Arial" w:cs="Arial"/>
          <w:szCs w:val="28"/>
          <w:lang w:val="en-US" w:eastAsia="en-GB"/>
        </w:rPr>
        <w:t>https://humanrights.berkeley.edu/publications/berkeley-protocol-on-digital-open-source-investigations/</w:t>
      </w:r>
      <w:r w:rsidR="005938AD">
        <w:rPr>
          <w:rFonts w:ascii="Arial" w:eastAsia="Times New Roman" w:hAnsi="Arial" w:cs="Arial"/>
          <w:szCs w:val="28"/>
          <w:lang w:val="en-US" w:eastAsia="en-GB"/>
        </w:rPr>
        <w:fldChar w:fldCharType="end"/>
      </w:r>
      <w:r w:rsidRPr="00511005">
        <w:rPr>
          <w:rFonts w:ascii="Arial" w:eastAsia="Times New Roman" w:hAnsi="Arial" w:cs="Arial"/>
          <w:szCs w:val="28"/>
          <w:lang w:val="en-US" w:eastAsia="en-GB"/>
        </w:rPr>
        <w:t xml:space="preserve"> </w:t>
      </w:r>
      <w:r w:rsidRPr="00511005">
        <w:rPr>
          <w:rFonts w:ascii="Arial" w:eastAsia="Times New Roman" w:hAnsi="Arial" w:cs="Arial"/>
          <w:szCs w:val="28"/>
          <w:lang w:val="uk-UA" w:eastAsia="en-GB"/>
        </w:rPr>
        <w:t>(дата звернення: 25.04.2025)</w:t>
      </w:r>
    </w:p>
    <w:p w14:paraId="7F11E375" w14:textId="77777777" w:rsidR="00532C25" w:rsidRPr="00511005" w:rsidRDefault="00532C25" w:rsidP="00532C25">
      <w:pPr>
        <w:spacing w:line="264" w:lineRule="auto"/>
        <w:ind w:firstLine="720"/>
        <w:rPr>
          <w:rFonts w:ascii="Arial" w:eastAsia="Calibri" w:hAnsi="Arial" w:cs="Arial"/>
          <w:kern w:val="2"/>
          <w:szCs w:val="28"/>
          <w:lang w:val="uk-UA"/>
          <w14:ligatures w14:val="standardContextual"/>
        </w:rPr>
      </w:pPr>
      <w:r w:rsidRPr="00511005">
        <w:rPr>
          <w:rFonts w:ascii="Arial" w:eastAsia="Times New Roman" w:hAnsi="Arial" w:cs="Arial"/>
          <w:szCs w:val="28"/>
          <w:lang w:val="uk-UA" w:eastAsia="en-GB"/>
        </w:rPr>
        <w:t>5. Як Bellingcat збирає та архівує цифрові докази воєнних злочинів в Україні. 22 Лютого, 2023. U</w:t>
      </w:r>
      <w:r w:rsidRPr="00511005">
        <w:rPr>
          <w:rFonts w:ascii="Arial" w:eastAsia="Times New Roman" w:hAnsi="Arial" w:cs="Arial"/>
          <w:szCs w:val="28"/>
          <w:lang w:val="en-US" w:eastAsia="en-GB"/>
        </w:rPr>
        <w:t>RL</w:t>
      </w:r>
      <w:r w:rsidRPr="00511005">
        <w:rPr>
          <w:rFonts w:ascii="Arial" w:eastAsia="Times New Roman" w:hAnsi="Arial" w:cs="Arial"/>
          <w:szCs w:val="28"/>
          <w:lang w:eastAsia="en-GB"/>
        </w:rPr>
        <w:t xml:space="preserve">: </w:t>
      </w:r>
      <w:hyperlink r:id="rId1975" w:history="1">
        <w:r w:rsidRPr="00511005">
          <w:rPr>
            <w:rFonts w:ascii="Arial" w:eastAsia="Times New Roman" w:hAnsi="Arial" w:cs="Arial"/>
            <w:szCs w:val="28"/>
            <w:lang w:eastAsia="en-GB"/>
          </w:rPr>
          <w:t>https://mediamaker.me/yak-bellingcat-zbyraye-ta-arhivuye-czyfrovi-dokazy-voyennyh-zlochyniv-v-ukrayini-1346/</w:t>
        </w:r>
      </w:hyperlink>
      <w:r w:rsidRPr="00511005">
        <w:rPr>
          <w:rFonts w:ascii="Arial" w:eastAsia="Times New Roman" w:hAnsi="Arial" w:cs="Arial"/>
          <w:szCs w:val="28"/>
          <w:lang w:eastAsia="en-GB"/>
        </w:rPr>
        <w:t xml:space="preserve"> </w:t>
      </w:r>
      <w:r w:rsidRPr="00511005">
        <w:rPr>
          <w:rFonts w:ascii="Arial" w:eastAsia="Times New Roman" w:hAnsi="Arial" w:cs="Arial"/>
          <w:szCs w:val="28"/>
          <w:lang w:val="uk-UA" w:eastAsia="en-GB"/>
        </w:rPr>
        <w:t>(дата звернення: 26.04.2025)</w:t>
      </w:r>
    </w:p>
    <w:p w14:paraId="6C5007B9" w14:textId="77777777" w:rsidR="00532C25" w:rsidRPr="00511005" w:rsidRDefault="00532C25" w:rsidP="00532C25">
      <w:pPr>
        <w:spacing w:line="264" w:lineRule="auto"/>
        <w:ind w:firstLine="720"/>
        <w:jc w:val="left"/>
        <w:rPr>
          <w:rFonts w:ascii="Arial" w:eastAsia="Calibri" w:hAnsi="Arial" w:cs="Arial"/>
          <w:b/>
          <w:bCs/>
          <w:kern w:val="2"/>
          <w:szCs w:val="28"/>
          <w:lang w:val="uk-UA"/>
          <w14:ligatures w14:val="standardContextual"/>
        </w:rPr>
      </w:pPr>
    </w:p>
    <w:p w14:paraId="554526BD"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Calibri" w:hAnsi="Arial" w:cs="Arial"/>
          <w:b/>
          <w:bCs/>
          <w:i/>
          <w:kern w:val="2"/>
          <w:szCs w:val="28"/>
          <w:lang w:val="uk-UA"/>
          <w14:ligatures w14:val="standardContextual"/>
        </w:rPr>
        <w:t xml:space="preserve">Ключові слова: </w:t>
      </w:r>
      <w:r w:rsidRPr="00511005">
        <w:rPr>
          <w:rFonts w:ascii="Arial" w:eastAsia="Calibri" w:hAnsi="Arial" w:cs="Arial"/>
          <w:kern w:val="2"/>
          <w:szCs w:val="28"/>
          <w:lang w:val="uk-UA"/>
          <w14:ligatures w14:val="standardContextual"/>
        </w:rPr>
        <w:t xml:space="preserve">криміналістичні дії, </w:t>
      </w:r>
      <w:r w:rsidRPr="00511005">
        <w:rPr>
          <w:rFonts w:ascii="Arial" w:eastAsia="Times New Roman" w:hAnsi="Arial" w:cs="Arial"/>
          <w:szCs w:val="28"/>
          <w:lang w:val="uk-UA" w:eastAsia="en-GB"/>
        </w:rPr>
        <w:t>криміналістичне фото, відеоаналіз, OSINT-дані, метадані, злочини проти людяності</w:t>
      </w:r>
    </w:p>
    <w:p w14:paraId="58EBF51A"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b/>
          <w:bCs/>
          <w:i/>
          <w:szCs w:val="28"/>
          <w:lang w:val="en-US" w:eastAsia="en-GB"/>
        </w:rPr>
        <w:t xml:space="preserve">Key words: </w:t>
      </w:r>
      <w:r w:rsidRPr="00511005">
        <w:rPr>
          <w:rFonts w:ascii="Arial" w:eastAsia="Times New Roman" w:hAnsi="Arial" w:cs="Arial"/>
          <w:szCs w:val="28"/>
          <w:lang w:val="uk-UA" w:eastAsia="en-GB"/>
        </w:rPr>
        <w:t>forensic actions, forensic photography, video analysis, OSINT data, metadata, crimes against humanity</w:t>
      </w:r>
    </w:p>
    <w:p w14:paraId="6F26DB7B" w14:textId="77777777" w:rsidR="00532C25" w:rsidRPr="00511005" w:rsidRDefault="00532C25" w:rsidP="00532C25">
      <w:pPr>
        <w:spacing w:line="264" w:lineRule="auto"/>
        <w:ind w:right="510" w:firstLine="720"/>
        <w:rPr>
          <w:rFonts w:ascii="Arial" w:eastAsia="Times New Roman" w:hAnsi="Arial" w:cs="Arial"/>
          <w:bCs/>
          <w:i/>
          <w:iCs/>
          <w:szCs w:val="28"/>
          <w:lang w:val="uk-UA" w:eastAsia="en-GB"/>
        </w:rPr>
      </w:pPr>
      <w:r w:rsidRPr="00511005">
        <w:rPr>
          <w:rFonts w:ascii="Arial" w:eastAsia="Times New Roman" w:hAnsi="Arial" w:cs="Arial"/>
          <w:b/>
          <w:i/>
          <w:iCs/>
          <w:szCs w:val="28"/>
          <w:lang w:val="uk-UA" w:eastAsia="en-GB"/>
        </w:rPr>
        <w:t xml:space="preserve">Науковий керівник: </w:t>
      </w:r>
      <w:r w:rsidRPr="00511005">
        <w:rPr>
          <w:rFonts w:ascii="Arial" w:eastAsia="Times New Roman" w:hAnsi="Arial" w:cs="Arial"/>
          <w:bCs/>
          <w:i/>
          <w:iCs/>
          <w:szCs w:val="28"/>
          <w:lang w:val="uk-UA" w:eastAsia="en-GB"/>
        </w:rPr>
        <w:t>к.ю.н., доцент Шершенькова В.А.</w:t>
      </w:r>
    </w:p>
    <w:p w14:paraId="40BEF33F" w14:textId="77777777" w:rsidR="00532C25" w:rsidRPr="00511005" w:rsidRDefault="00532C25" w:rsidP="00532C25">
      <w:pPr>
        <w:spacing w:line="264" w:lineRule="auto"/>
        <w:ind w:right="510" w:firstLine="720"/>
        <w:rPr>
          <w:rFonts w:ascii="Arial" w:eastAsia="Times New Roman" w:hAnsi="Arial" w:cs="Arial"/>
          <w:bCs/>
          <w:i/>
          <w:iCs/>
          <w:szCs w:val="28"/>
          <w:lang w:val="uk-UA" w:eastAsia="en-GB"/>
        </w:rPr>
      </w:pPr>
    </w:p>
    <w:p w14:paraId="78869193" w14:textId="77777777" w:rsidR="00532C25" w:rsidRPr="00511005" w:rsidRDefault="00532C25" w:rsidP="00532C25">
      <w:pPr>
        <w:spacing w:line="264" w:lineRule="auto"/>
        <w:ind w:right="510" w:firstLine="720"/>
        <w:rPr>
          <w:rFonts w:ascii="Arial" w:eastAsia="Times New Roman" w:hAnsi="Arial" w:cs="Arial"/>
          <w:szCs w:val="28"/>
          <w:lang w:val="uk-UA" w:eastAsia="en-GB"/>
        </w:rPr>
      </w:pPr>
    </w:p>
    <w:p w14:paraId="5D8B9E80" w14:textId="77777777" w:rsidR="00532C25" w:rsidRPr="00511005" w:rsidRDefault="00532C25" w:rsidP="00532C25">
      <w:pPr>
        <w:spacing w:line="264" w:lineRule="auto"/>
        <w:ind w:firstLine="0"/>
        <w:jc w:val="center"/>
        <w:rPr>
          <w:rFonts w:ascii="Arial" w:eastAsia="Calibri" w:hAnsi="Arial" w:cs="Arial"/>
          <w:b/>
          <w:bCs/>
          <w:i/>
          <w:iCs/>
          <w:szCs w:val="28"/>
        </w:rPr>
      </w:pPr>
      <w:r w:rsidRPr="00511005">
        <w:rPr>
          <w:rFonts w:ascii="Arial" w:eastAsia="Calibri" w:hAnsi="Arial" w:cs="Arial"/>
          <w:b/>
          <w:bCs/>
          <w:i/>
          <w:iCs/>
          <w:szCs w:val="28"/>
        </w:rPr>
        <w:t>Короленко Максим Віталійович</w:t>
      </w:r>
    </w:p>
    <w:p w14:paraId="504C7622"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2-го курсу </w:t>
      </w:r>
    </w:p>
    <w:p w14:paraId="205CC3D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1D16ED0"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A94F062" w14:textId="77777777" w:rsidR="00532C25" w:rsidRPr="00511005" w:rsidRDefault="00532C25" w:rsidP="00532C25">
      <w:pPr>
        <w:spacing w:line="264" w:lineRule="auto"/>
        <w:ind w:firstLine="0"/>
        <w:jc w:val="center"/>
        <w:rPr>
          <w:rFonts w:ascii="Arial" w:eastAsia="Calibri" w:hAnsi="Arial" w:cs="Arial"/>
          <w:i/>
          <w:iCs/>
          <w:szCs w:val="28"/>
        </w:rPr>
      </w:pPr>
    </w:p>
    <w:p w14:paraId="3ED6E31A" w14:textId="77777777" w:rsidR="00532C25" w:rsidRPr="00511005" w:rsidRDefault="00532C25" w:rsidP="00532C25">
      <w:pPr>
        <w:spacing w:line="264" w:lineRule="auto"/>
        <w:ind w:firstLine="0"/>
        <w:jc w:val="center"/>
        <w:rPr>
          <w:rFonts w:ascii="Arial" w:eastAsia="Calibri" w:hAnsi="Arial" w:cs="Arial"/>
          <w:b/>
          <w:bCs/>
          <w:szCs w:val="28"/>
        </w:rPr>
      </w:pPr>
      <w:r w:rsidRPr="00511005">
        <w:rPr>
          <w:rFonts w:ascii="Arial" w:eastAsia="Calibri" w:hAnsi="Arial" w:cs="Arial"/>
          <w:b/>
          <w:bCs/>
          <w:szCs w:val="28"/>
        </w:rPr>
        <w:t>КОНФІДЕНЦІЙНЕ СПІВРОБІТНИЦТВО: ПОНЯТТЯ ТА ЗНАЧЕННЯ ПІД ЧАС ВОЄННОГО СТАНУ</w:t>
      </w:r>
    </w:p>
    <w:p w14:paraId="54D32DE4"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Використання конфіденційного співробітництва та розбудова агентурної мережі завжди було притаманне людству. Зокрема на даний час можемо побачити використання такого співробітництва під час війни України з РФ. Отже є потреба дослідити використання конфіденційного співробітництва сторонами українсько-російської війни.</w:t>
      </w:r>
    </w:p>
    <w:p w14:paraId="44946EAD"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 xml:space="preserve">Так, </w:t>
      </w:r>
      <w:proofErr w:type="gramStart"/>
      <w:r w:rsidRPr="00511005">
        <w:rPr>
          <w:rFonts w:ascii="Arial" w:eastAsia="Calibri" w:hAnsi="Arial" w:cs="Arial"/>
          <w:szCs w:val="28"/>
        </w:rPr>
        <w:t>для початку</w:t>
      </w:r>
      <w:proofErr w:type="gramEnd"/>
      <w:r w:rsidRPr="00511005">
        <w:rPr>
          <w:rFonts w:ascii="Arial" w:eastAsia="Calibri" w:hAnsi="Arial" w:cs="Arial"/>
          <w:szCs w:val="28"/>
        </w:rPr>
        <w:t xml:space="preserve"> слід з’ясувати зміст конфіденційного співробітництва. </w:t>
      </w:r>
    </w:p>
    <w:p w14:paraId="0D66BD70"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Під час проведення оперативно-розшукової заходів, розслідування кримінальних правопорушень працівники відповідних уповноважених правоохоронних органів можуть користуватись допомогою конфідентів, тобто використовувати конфіденційне співробітництво у своїй діяльності.</w:t>
      </w:r>
    </w:p>
    <w:p w14:paraId="397E3C51"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 xml:space="preserve">Поняття конфіденційного співробітництва нажаль в законодавстві не надано. Так, якщо звертатись до Закону України «Про оперативно-розшукову діяльність» та Кримінального процесуального кодексу України, то можна побачити, що законодавець визначає лише можливість (право) оперативних підрозділів та слідчих використовувати конфіденційне співробітництво. </w:t>
      </w:r>
    </w:p>
    <w:p w14:paraId="3ADCC5F8"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Отже конфіденційне співробітництво можна визначити як можливість оперативного працівника, слідчого, іншого уповноваженого органу негласно співпрацювати з громадянами, що сприяють їх діяльності, на конфіденційній основі.</w:t>
      </w:r>
    </w:p>
    <w:p w14:paraId="42A38D11"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lastRenderedPageBreak/>
        <w:t>Метою ж конфіденційного співробітництва є отримання інформації. Дана інформація може бути використана для підготовки та проведення суб’єктами оперативно-розшукової діяльності оперативно-розшукових заходів, що в свою чергу буде спрямована на збір доказів кримінальної протиправної діяльності, які будуть в подальшому використані в кримінальному провадженні і суді.</w:t>
      </w:r>
    </w:p>
    <w:p w14:paraId="17679414"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При цьому, відповідно до ст.11 Закону України про «Оперативно-розшукову діяльність»: «За бажанням осіб їх співробітництво з оперативним підрозділом може бути оформлено письмовою угодою з гарантуванням конфіденційності співробітництва. Угоду про сприяння оперативним підрозділам в оперативно-розшуковій діяльності може бути укладено з дієздатною особою. Порядок укладання угоди визначається Кабінетом Міністрів України» [1].</w:t>
      </w:r>
    </w:p>
    <w:p w14:paraId="7BA88101"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Важливим є те, що конфіденційне співробітництво не має ґрунтуватись на примусі. Дійсно залучення особи до конфіденційного співробітництва може відбуватись за допомогою примусу, але ефективність такого співробітництва та його майбутнє (подальше) продовження з уповноваженим суб’єктом ставиться під сумнів. Тому конфіденту необхідна певна мотивація. Так, у такої особи може бути звичайна жага до боротьби зі злочинністю, або ж у такої особи можуть бути гарні стосунки зі співробітником певного органу, або ж особа може залучатись до співробітництва на конфіденційній основі за матеріальну вигоду. І таким чином, особливо, на нашу думку, в останньому випадку, особа буде більш зацікавлена у співробітництві у подальшій перспективі.</w:t>
      </w:r>
    </w:p>
    <w:p w14:paraId="0A69F6FB"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Хоча також слід враховувати, що відповідно до ст. 11 Закону України «Про оперативно-розшукову діяльність» таких осіб як адвокатів, нотаріусів, медичних працівників, священнослужителів, журналістів залучати до виконання оперативно-розшукових завдань заборонено, адже їх професійна діяльність пов’язана з збереженням професійної таємниці [1].</w:t>
      </w:r>
    </w:p>
    <w:p w14:paraId="1E34B927"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При цьому, були випадки, коли такі особи певним чином залучались до такого співробітництва. Так, наприклад, в 2018 році Одеським територіальним управлінням НАБУ була проведена зустріч з так званими журналістами-розслідувачами. Так, зокрема, на цій зустрічі було сумісного обговорено «ефективні інструменти викриття корупції і домовленості про запровадження чіткого механізму подальшої співпраці» [2].</w:t>
      </w:r>
    </w:p>
    <w:p w14:paraId="67AFC8F5"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 xml:space="preserve">Щодо залучення осіб до конфіденційного співробітництва під час війни, то це є важливим на сьогоднішній час питанням, адже спецслужбами певної держави для виконання різних завдань можуть залучатись громадяни іншої (ворожої, для першої) держави. Хоча також можна стверджувати, що це може відбуватись не лише під час війни. </w:t>
      </w:r>
    </w:p>
    <w:p w14:paraId="5DBD5D42"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lastRenderedPageBreak/>
        <w:t>Отже таку ситуацію ми можемо побачити на сьогоднішній час під час війни України з РФ, а саме коли спец. служби РФ або Білорусі залучають громадян нашої держави до конфіденційного співробітництва.</w:t>
      </w:r>
    </w:p>
    <w:p w14:paraId="44AF894A"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Так, можемо навести, зокрема, декілька видів такого залучення до конфіденційного співробітництва.</w:t>
      </w:r>
    </w:p>
    <w:p w14:paraId="1D32AD55"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I. Першим прикладом є випадок, коли ще у липні 2022 року ФСБ РФ запропонували конфіденційне співробітництво громадянину України. Цей громадянин в свою чергу залучив також свого знайомого, який родом з м. Харкова. Останній же в свою чергу залучив також свого знайомого з м. Дружківка [3]. Таким чином ці двоє розбудовували агентурну мережу з метою збору розвідувальних даних про місцезнаходження наших захисників: вишукування локації особового складу, блокпостів, укріпрайонів і вогневих позицій українських військовослужбовців, місця зосередження техніки. Також вони повідомляли про наслідки обстрілів для корегування вогню [3]. Так, їх було засуджено до 15 років ув’язнення.</w:t>
      </w:r>
    </w:p>
    <w:p w14:paraId="3C305A5D"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 xml:space="preserve">II. Другим прикладом є випадок, коли «жителька Кіровоградщини, яка вибралася з окупованого Маріуполя, передавала росіянам дані про українські оборонні підприємства, щоб потім окупанти могли завдавати по них ракетні удари» [4]. Так, громадянку України за її словами було завербовано російськими спецслужбами під час перетину українського кордону, підписавши з нею угоду про конфіденційне співробітництво [4]. За таке співробітництво вона отримувала майнову вигоду, загалом отримавши 150 тис. грн. [4]. </w:t>
      </w:r>
    </w:p>
    <w:p w14:paraId="26077C60"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lang w:val="en-US"/>
        </w:rPr>
        <w:t>III</w:t>
      </w:r>
      <w:r w:rsidRPr="00511005">
        <w:rPr>
          <w:rFonts w:ascii="Arial" w:eastAsia="Calibri" w:hAnsi="Arial" w:cs="Arial"/>
          <w:szCs w:val="28"/>
        </w:rPr>
        <w:t>. Також слід зауважити, що залучення осіб спецслужбами до конфіденційного співробітництва під час війни РФ з Україною відбувається не лише спецслужбами РФ. Так, відповідно до російських новин «громадянка РФ встановила через телеграм з спецслужбами України контакт і в подальшому співпрацювала з ними. Її завданнями були: збирання і передавання відомостей про діяльність ЗС РФ на території Севастополя» [5].</w:t>
      </w:r>
    </w:p>
    <w:p w14:paraId="083B3982"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Також цікавим є той факт, що спецслужби вербують не лише повнолітніх, дієздатних осіб, а й дітей. Так, «один учень одеської школи звернувся до інспектора служби освітньої безпеки після того, як у месенджері отримав небезпечну пропозицію — за гроші вчинити підпал об’єктів критичної інфраструктури, автомобілів ТЦК та вивести з ладу релейні шафи залізниці» [6].</w:t>
      </w:r>
    </w:p>
    <w:p w14:paraId="6319E067"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Отже можна побачити, що під час війни громадяни двох сторін конфлікту залучаються до конфіденційного співробітництва спецслужбами держав, з метою збирання розвідувальних даних.</w:t>
      </w:r>
    </w:p>
    <w:p w14:paraId="72C2C7C0"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Також згідно з інформацією з новин можна зробити висновок, що до такої співпраці люди залучаються як очно (при перетині кордонів), так і дистанційно (за допомогою різних месенджерів тощо).</w:t>
      </w:r>
    </w:p>
    <w:p w14:paraId="35760604"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lastRenderedPageBreak/>
        <w:t>Під такий вплив спецслужб можуть попадати навіть діти, через їх необережність при використанні різних месенджерів та через їх бажання заробити «легкі» гроші.</w:t>
      </w:r>
    </w:p>
    <w:p w14:paraId="0BD18546"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rPr>
        <w:t>Також відповідно до російських новин можна побачити, що до такої співпраці залучаються не лише громадяни нашої країни для співпраці з російськими спецслужбами, а й громадяни РФ для співпраці з українськими спецслужбами.</w:t>
      </w:r>
    </w:p>
    <w:p w14:paraId="7FF27C48" w14:textId="77777777" w:rsidR="00532C25" w:rsidRPr="00511005" w:rsidRDefault="00532C25" w:rsidP="00532C25">
      <w:pPr>
        <w:spacing w:line="264" w:lineRule="auto"/>
        <w:ind w:firstLine="0"/>
        <w:rPr>
          <w:rFonts w:ascii="Arial" w:eastAsia="Calibri" w:hAnsi="Arial" w:cs="Arial"/>
          <w:szCs w:val="28"/>
        </w:rPr>
      </w:pPr>
    </w:p>
    <w:p w14:paraId="1496DCA8" w14:textId="77777777" w:rsidR="00532C25" w:rsidRPr="00511005" w:rsidRDefault="00532C25" w:rsidP="00532C25">
      <w:pPr>
        <w:keepNext/>
        <w:widowControl w:val="0"/>
        <w:spacing w:line="264" w:lineRule="auto"/>
        <w:ind w:firstLine="0"/>
        <w:jc w:val="center"/>
        <w:rPr>
          <w:rFonts w:ascii="Arial" w:eastAsia="Calibri" w:hAnsi="Arial" w:cs="Arial"/>
          <w:b/>
          <w:iCs/>
          <w:szCs w:val="28"/>
        </w:rPr>
      </w:pPr>
      <w:r w:rsidRPr="00511005">
        <w:rPr>
          <w:rFonts w:ascii="Arial" w:eastAsia="Calibri" w:hAnsi="Arial" w:cs="Arial"/>
          <w:b/>
          <w:iCs/>
          <w:szCs w:val="28"/>
          <w:lang w:val="uk-UA"/>
        </w:rPr>
        <w:t>Список використаних джерел</w:t>
      </w:r>
    </w:p>
    <w:p w14:paraId="7A9BCE4D" w14:textId="77777777" w:rsidR="00532C25" w:rsidRPr="00511005" w:rsidRDefault="00532C25" w:rsidP="003F6A5D">
      <w:pPr>
        <w:numPr>
          <w:ilvl w:val="0"/>
          <w:numId w:val="675"/>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оперативно-розшукову </w:t>
      </w:r>
      <w:proofErr w:type="gramStart"/>
      <w:r w:rsidRPr="00511005">
        <w:rPr>
          <w:rFonts w:ascii="Arial" w:eastAsia="Times New Roman" w:hAnsi="Arial" w:cs="Arial"/>
          <w:szCs w:val="28"/>
          <w:lang w:eastAsia="ru-RU"/>
        </w:rPr>
        <w:t>діяльність :</w:t>
      </w:r>
      <w:proofErr w:type="gramEnd"/>
      <w:r w:rsidRPr="00511005">
        <w:rPr>
          <w:rFonts w:ascii="Arial" w:eastAsia="Times New Roman" w:hAnsi="Arial" w:cs="Arial"/>
          <w:szCs w:val="28"/>
          <w:lang w:eastAsia="ru-RU"/>
        </w:rPr>
        <w:t xml:space="preserve"> Закон України від 18.02.1992 № 2135-XII. URL.: </w:t>
      </w:r>
      <w:hyperlink r:id="rId1976" w:anchor="Text" w:history="1">
        <w:r w:rsidRPr="00511005">
          <w:rPr>
            <w:rFonts w:ascii="Arial" w:eastAsia="Times New Roman" w:hAnsi="Arial" w:cs="Arial"/>
            <w:szCs w:val="28"/>
            <w:lang w:eastAsia="ru-RU"/>
          </w:rPr>
          <w:t>https://zakon.rada.gov.ua/laws/show/2135-12#Text</w:t>
        </w:r>
      </w:hyperlink>
      <w:r w:rsidRPr="00511005">
        <w:rPr>
          <w:rFonts w:ascii="Arial" w:eastAsia="Times New Roman" w:hAnsi="Arial" w:cs="Arial"/>
          <w:szCs w:val="28"/>
          <w:lang w:eastAsia="ru-RU"/>
        </w:rPr>
        <w:t xml:space="preserve"> </w:t>
      </w:r>
    </w:p>
    <w:p w14:paraId="464665CB" w14:textId="77777777" w:rsidR="00532C25" w:rsidRPr="00511005" w:rsidRDefault="00532C25" w:rsidP="003F6A5D">
      <w:pPr>
        <w:numPr>
          <w:ilvl w:val="0"/>
          <w:numId w:val="675"/>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Детективи НАБУ та громадські детективи не дають корупції шансу – директор ОдТУ. </w:t>
      </w:r>
      <w:r w:rsidRPr="00511005">
        <w:rPr>
          <w:rFonts w:ascii="Arial" w:eastAsia="Times New Roman" w:hAnsi="Arial" w:cs="Arial"/>
          <w:i/>
          <w:iCs/>
          <w:szCs w:val="28"/>
          <w:lang w:eastAsia="ru-RU"/>
        </w:rPr>
        <w:t>НАБУ</w:t>
      </w:r>
      <w:r w:rsidRPr="00511005">
        <w:rPr>
          <w:rFonts w:ascii="Arial" w:eastAsia="Times New Roman" w:hAnsi="Arial" w:cs="Arial"/>
          <w:szCs w:val="28"/>
          <w:lang w:eastAsia="ru-RU"/>
        </w:rPr>
        <w:t xml:space="preserve">. URL : </w:t>
      </w:r>
      <w:hyperlink r:id="rId1977" w:history="1">
        <w:r w:rsidRPr="00511005">
          <w:rPr>
            <w:rFonts w:ascii="Arial" w:eastAsia="Times New Roman" w:hAnsi="Arial" w:cs="Arial"/>
            <w:szCs w:val="28"/>
            <w:lang w:eastAsia="ru-RU"/>
          </w:rPr>
          <w:t>https://nabu.gov.ua/news/novyny-detektyvy-nabu-ta-gromadski-detektyvy-ne-dayut-korupciyi-shansu-dyrektor-odtu/</w:t>
        </w:r>
      </w:hyperlink>
      <w:r w:rsidRPr="00511005">
        <w:rPr>
          <w:rFonts w:ascii="Arial" w:eastAsia="Times New Roman" w:hAnsi="Arial" w:cs="Arial"/>
          <w:szCs w:val="28"/>
          <w:lang w:eastAsia="ru-RU"/>
        </w:rPr>
        <w:t xml:space="preserve"> (дата звернення: 06.04.2025)</w:t>
      </w:r>
    </w:p>
    <w:p w14:paraId="15BC0679" w14:textId="77777777" w:rsidR="00532C25" w:rsidRPr="00511005" w:rsidRDefault="00532C25" w:rsidP="003F6A5D">
      <w:pPr>
        <w:numPr>
          <w:ilvl w:val="0"/>
          <w:numId w:val="675"/>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Засуджено до 15 років ув’язнення двох учасників агентурної мережі, які допомагали фсб рф наводити удари по ЗСУ на Донеччині. </w:t>
      </w:r>
      <w:r w:rsidRPr="00511005">
        <w:rPr>
          <w:rFonts w:ascii="Arial" w:eastAsia="Times New Roman" w:hAnsi="Arial" w:cs="Arial"/>
          <w:i/>
          <w:iCs/>
          <w:szCs w:val="28"/>
          <w:lang w:eastAsia="ru-RU"/>
        </w:rPr>
        <w:t>Донецька обласна прокуратура</w:t>
      </w:r>
      <w:r w:rsidRPr="00511005">
        <w:rPr>
          <w:rFonts w:ascii="Arial" w:eastAsia="Times New Roman" w:hAnsi="Arial" w:cs="Arial"/>
          <w:szCs w:val="28"/>
          <w:lang w:eastAsia="ru-RU"/>
        </w:rPr>
        <w:t>. URL: </w:t>
      </w:r>
      <w:r w:rsidRPr="00511005">
        <w:rPr>
          <w:rFonts w:ascii="Arial" w:eastAsia="Times New Roman" w:hAnsi="Arial" w:cs="Arial"/>
          <w:szCs w:val="28"/>
          <w:lang w:eastAsia="ru-RU"/>
        </w:rPr>
        <w:br/>
      </w:r>
      <w:hyperlink r:id="rId1978" w:history="1">
        <w:r w:rsidRPr="00511005">
          <w:rPr>
            <w:rFonts w:ascii="Arial" w:eastAsia="Times New Roman" w:hAnsi="Arial" w:cs="Arial"/>
            <w:szCs w:val="28"/>
            <w:lang w:eastAsia="ru-RU"/>
          </w:rPr>
          <w:t>https://don.gp.gov.ua/ua/news.html?_m=publications&amp;amp;_t=rec&amp;amp;id=377390&amp;amp;fp=130&amp;amp;s=print</w:t>
        </w:r>
      </w:hyperlink>
      <w:r w:rsidRPr="00511005">
        <w:rPr>
          <w:rFonts w:ascii="Arial" w:eastAsia="Times New Roman" w:hAnsi="Arial" w:cs="Arial"/>
          <w:szCs w:val="28"/>
          <w:lang w:eastAsia="ru-RU"/>
        </w:rPr>
        <w:t> (дата звернення: 06.04.2025).</w:t>
      </w:r>
    </w:p>
    <w:p w14:paraId="69510EBF" w14:textId="77777777" w:rsidR="00532C25" w:rsidRPr="00511005" w:rsidRDefault="00532C25" w:rsidP="003F6A5D">
      <w:pPr>
        <w:numPr>
          <w:ilvl w:val="0"/>
          <w:numId w:val="675"/>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Довічне отримала 22-річна навідниця російських ракет на оборонні підприємства Кіровоградщини. </w:t>
      </w:r>
      <w:r w:rsidRPr="00511005">
        <w:rPr>
          <w:rFonts w:ascii="Arial" w:eastAsia="Times New Roman" w:hAnsi="Arial" w:cs="Arial"/>
          <w:i/>
          <w:iCs/>
          <w:szCs w:val="28"/>
          <w:lang w:eastAsia="ru-RU"/>
        </w:rPr>
        <w:t>hromadske.</w:t>
      </w:r>
      <w:r w:rsidRPr="00511005">
        <w:rPr>
          <w:rFonts w:ascii="Arial" w:eastAsia="Times New Roman" w:hAnsi="Arial" w:cs="Arial"/>
          <w:szCs w:val="28"/>
          <w:lang w:eastAsia="ru-RU"/>
        </w:rPr>
        <w:t xml:space="preserve"> URL: </w:t>
      </w:r>
      <w:hyperlink r:id="rId1979" w:history="1">
        <w:r w:rsidRPr="00511005">
          <w:rPr>
            <w:rFonts w:ascii="Arial" w:eastAsia="Times New Roman" w:hAnsi="Arial" w:cs="Arial"/>
            <w:szCs w:val="28"/>
            <w:lang w:eastAsia="ru-RU"/>
          </w:rPr>
          <w:t>https://hromadske.ua/posts/dovichne-otrimala-22-richna-navidnicya-rosijskih-raket-na-oboronni-pidpriyemstva-kirovogradshini</w:t>
        </w:r>
      </w:hyperlink>
      <w:r w:rsidRPr="00511005">
        <w:rPr>
          <w:rFonts w:ascii="Arial" w:eastAsia="Times New Roman" w:hAnsi="Arial" w:cs="Arial"/>
          <w:szCs w:val="28"/>
          <w:lang w:eastAsia="ru-RU"/>
        </w:rPr>
        <w:t xml:space="preserve"> (дата звернення: 06.04.2025).</w:t>
      </w:r>
    </w:p>
    <w:p w14:paraId="65AF9777" w14:textId="77777777" w:rsidR="00532C25" w:rsidRPr="00511005" w:rsidRDefault="00532C25" w:rsidP="003F6A5D">
      <w:pPr>
        <w:numPr>
          <w:ilvl w:val="0"/>
          <w:numId w:val="675"/>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У Севастополі місцевій жительці залишили без змін вирок за "співпрацю зі спецслужбами України". </w:t>
      </w:r>
      <w:r w:rsidRPr="00511005">
        <w:rPr>
          <w:rFonts w:ascii="Arial" w:eastAsia="Times New Roman" w:hAnsi="Arial" w:cs="Arial"/>
          <w:i/>
          <w:iCs/>
          <w:szCs w:val="28"/>
          <w:lang w:eastAsia="ru-RU"/>
        </w:rPr>
        <w:t>СУСПІЛЬНЕ КРИМ</w:t>
      </w:r>
      <w:r w:rsidRPr="00511005">
        <w:rPr>
          <w:rFonts w:ascii="Arial" w:eastAsia="Times New Roman" w:hAnsi="Arial" w:cs="Arial"/>
          <w:szCs w:val="28"/>
          <w:lang w:eastAsia="ru-RU"/>
        </w:rPr>
        <w:t>. URL: </w:t>
      </w:r>
      <w:hyperlink r:id="rId1980" w:tgtFrame="_blank" w:history="1">
        <w:r w:rsidRPr="00511005">
          <w:rPr>
            <w:rFonts w:ascii="Arial" w:eastAsia="Times New Roman" w:hAnsi="Arial" w:cs="Arial"/>
            <w:szCs w:val="28"/>
            <w:lang w:eastAsia="ru-RU"/>
          </w:rPr>
          <w:t>https://suspilne.media/crimea/944843-u-sevastopoli-miscevu-zitelku-zasudili-do-53-rokiv-uvaznenna-za-spivpracu-zi-specsluzbami-ukraini/</w:t>
        </w:r>
      </w:hyperlink>
      <w:r w:rsidRPr="00511005">
        <w:rPr>
          <w:rFonts w:ascii="Arial" w:eastAsia="Times New Roman" w:hAnsi="Arial" w:cs="Arial"/>
          <w:szCs w:val="28"/>
          <w:lang w:eastAsia="ru-RU"/>
        </w:rPr>
        <w:t> (дата звернення: 06.04.2025).</w:t>
      </w:r>
    </w:p>
    <w:p w14:paraId="1C52A785" w14:textId="77777777" w:rsidR="00532C25" w:rsidRPr="00511005" w:rsidRDefault="00532C25" w:rsidP="003F6A5D">
      <w:pPr>
        <w:numPr>
          <w:ilvl w:val="0"/>
          <w:numId w:val="675"/>
        </w:numPr>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eastAsia="ru-RU"/>
        </w:rPr>
        <w:t>Спецслужби рф намагалися завербувати ще одного одеського підлітка Більше читайте тут: https://bessarabiainform.com/2025/04/spetssluzhby-rf-namahalysya-zaverbuvaty-sche-odnoho-odeskoho-pidlitka/. </w:t>
      </w:r>
      <w:r w:rsidRPr="00511005">
        <w:rPr>
          <w:rFonts w:ascii="Arial" w:eastAsia="Times New Roman" w:hAnsi="Arial" w:cs="Arial"/>
          <w:i/>
          <w:iCs/>
          <w:szCs w:val="28"/>
          <w:lang w:eastAsia="ru-RU"/>
        </w:rPr>
        <w:t>БЕССАРАБІЯ INFORM</w:t>
      </w:r>
      <w:r w:rsidRPr="00511005">
        <w:rPr>
          <w:rFonts w:ascii="Arial" w:eastAsia="Times New Roman" w:hAnsi="Arial" w:cs="Arial"/>
          <w:szCs w:val="28"/>
          <w:lang w:eastAsia="ru-RU"/>
        </w:rPr>
        <w:t>. URL: </w:t>
      </w:r>
      <w:hyperlink r:id="rId1981" w:tgtFrame="_blank" w:history="1">
        <w:r w:rsidRPr="00511005">
          <w:rPr>
            <w:rFonts w:ascii="Arial" w:eastAsia="Times New Roman" w:hAnsi="Arial" w:cs="Arial"/>
            <w:szCs w:val="28"/>
            <w:lang w:eastAsia="ru-RU"/>
          </w:rPr>
          <w:t>https://bessarabiainform.com/2025/04/spetssluzhby-rf-namahalysya-zaverbuvaty-sche-odnoho-odeskoho-pidlitka/</w:t>
        </w:r>
      </w:hyperlink>
      <w:r w:rsidRPr="00511005">
        <w:rPr>
          <w:rFonts w:ascii="Arial" w:eastAsia="Times New Roman" w:hAnsi="Arial" w:cs="Arial"/>
          <w:szCs w:val="28"/>
          <w:lang w:eastAsia="ru-RU"/>
        </w:rPr>
        <w:t> (дата звернення: 06.04.2025).</w:t>
      </w:r>
    </w:p>
    <w:p w14:paraId="29F15363" w14:textId="77777777" w:rsidR="00532C25" w:rsidRPr="00511005" w:rsidRDefault="00532C25" w:rsidP="00532C25">
      <w:pPr>
        <w:autoSpaceDE w:val="0"/>
        <w:autoSpaceDN w:val="0"/>
        <w:adjustRightInd w:val="0"/>
        <w:spacing w:line="264" w:lineRule="auto"/>
        <w:ind w:left="709" w:firstLine="0"/>
        <w:contextualSpacing/>
        <w:rPr>
          <w:rFonts w:ascii="Arial" w:eastAsia="Times New Roman" w:hAnsi="Arial" w:cs="Arial"/>
          <w:szCs w:val="28"/>
          <w:lang w:eastAsia="ru-RU"/>
        </w:rPr>
      </w:pPr>
    </w:p>
    <w:p w14:paraId="2A18CE0A"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b/>
          <w:i/>
          <w:szCs w:val="28"/>
        </w:rPr>
        <w:t xml:space="preserve">Ключові слова: </w:t>
      </w:r>
      <w:r w:rsidRPr="00511005">
        <w:rPr>
          <w:rFonts w:ascii="Arial" w:eastAsia="Calibri" w:hAnsi="Arial" w:cs="Arial"/>
          <w:szCs w:val="28"/>
        </w:rPr>
        <w:t>війна, воєнний стан, оперативно-розшукова діяльність, конфіденційне співробітництво.</w:t>
      </w:r>
    </w:p>
    <w:p w14:paraId="14A51DA4" w14:textId="77777777" w:rsidR="00532C25" w:rsidRPr="00511005" w:rsidRDefault="00532C25" w:rsidP="00532C25">
      <w:pPr>
        <w:spacing w:line="264" w:lineRule="auto"/>
        <w:rPr>
          <w:rFonts w:ascii="Arial" w:eastAsia="Calibri" w:hAnsi="Arial" w:cs="Arial"/>
          <w:szCs w:val="28"/>
          <w:lang w:val="en-US"/>
        </w:rPr>
      </w:pPr>
      <w:r w:rsidRPr="00511005">
        <w:rPr>
          <w:rFonts w:ascii="Arial" w:eastAsia="Calibri" w:hAnsi="Arial" w:cs="Arial"/>
          <w:b/>
          <w:bCs/>
          <w:i/>
          <w:szCs w:val="28"/>
          <w:lang w:val="en-US"/>
        </w:rPr>
        <w:t xml:space="preserve">Key words: </w:t>
      </w:r>
      <w:r w:rsidRPr="00511005">
        <w:rPr>
          <w:rFonts w:ascii="Arial" w:eastAsia="Calibri" w:hAnsi="Arial" w:cs="Arial"/>
          <w:szCs w:val="28"/>
          <w:lang w:val="en-US"/>
        </w:rPr>
        <w:t>war, martial law, operational-search activity, confidential cooperation.</w:t>
      </w:r>
    </w:p>
    <w:p w14:paraId="1D6EE569" w14:textId="77777777" w:rsidR="00532C25" w:rsidRPr="00511005" w:rsidRDefault="00532C25" w:rsidP="00532C25">
      <w:pPr>
        <w:spacing w:line="264" w:lineRule="auto"/>
        <w:rPr>
          <w:rFonts w:ascii="Arial" w:eastAsia="Calibri" w:hAnsi="Arial" w:cs="Arial"/>
          <w:i/>
          <w:iCs/>
          <w:szCs w:val="28"/>
        </w:rPr>
      </w:pPr>
      <w:r w:rsidRPr="00511005">
        <w:rPr>
          <w:rFonts w:ascii="Arial" w:eastAsia="Calibri" w:hAnsi="Arial" w:cs="Arial"/>
          <w:b/>
          <w:i/>
          <w:iCs/>
          <w:szCs w:val="28"/>
        </w:rPr>
        <w:lastRenderedPageBreak/>
        <w:t xml:space="preserve">Науковий керівник: </w:t>
      </w:r>
      <w:r w:rsidRPr="00511005">
        <w:rPr>
          <w:rFonts w:ascii="Arial" w:eastAsia="Calibri" w:hAnsi="Arial" w:cs="Arial"/>
          <w:i/>
          <w:iCs/>
          <w:szCs w:val="28"/>
        </w:rPr>
        <w:t>к.ю.н., доц., Гресь Ю.О.</w:t>
      </w:r>
    </w:p>
    <w:p w14:paraId="4263B5E6" w14:textId="77777777" w:rsidR="00532C25" w:rsidRPr="00511005" w:rsidRDefault="00532C25" w:rsidP="00532C25">
      <w:pPr>
        <w:spacing w:line="264" w:lineRule="auto"/>
        <w:ind w:firstLine="720"/>
        <w:jc w:val="left"/>
        <w:rPr>
          <w:rFonts w:ascii="Arial" w:eastAsia="Calibri" w:hAnsi="Arial" w:cs="Arial"/>
          <w:szCs w:val="28"/>
        </w:rPr>
      </w:pPr>
    </w:p>
    <w:p w14:paraId="064620B5" w14:textId="77777777" w:rsidR="00532C25" w:rsidRPr="00511005" w:rsidRDefault="00532C25" w:rsidP="00532C25">
      <w:pPr>
        <w:spacing w:line="264" w:lineRule="auto"/>
        <w:ind w:firstLine="720"/>
        <w:jc w:val="left"/>
        <w:rPr>
          <w:rFonts w:ascii="Arial" w:eastAsia="Calibri" w:hAnsi="Arial" w:cs="Arial"/>
          <w:szCs w:val="28"/>
          <w:lang w:val="uk-UA"/>
        </w:rPr>
      </w:pPr>
    </w:p>
    <w:p w14:paraId="4B6185A9" w14:textId="77777777" w:rsidR="00532C25" w:rsidRPr="00511005" w:rsidRDefault="00532C25" w:rsidP="00532C25">
      <w:pPr>
        <w:keepNext/>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Костенко Олександр Сергійович</w:t>
      </w:r>
    </w:p>
    <w:p w14:paraId="7751904A" w14:textId="77777777" w:rsidR="00532C25" w:rsidRPr="00511005" w:rsidRDefault="00532C25" w:rsidP="00532C25">
      <w:pPr>
        <w:spacing w:line="264" w:lineRule="auto"/>
        <w:ind w:firstLine="720"/>
        <w:jc w:val="center"/>
        <w:rPr>
          <w:rFonts w:ascii="Arial" w:eastAsia="Calibri" w:hAnsi="Arial" w:cs="Arial"/>
          <w:iCs/>
          <w:szCs w:val="28"/>
          <w:lang w:val="uk-UA"/>
        </w:rPr>
      </w:pPr>
      <w:r w:rsidRPr="00511005">
        <w:rPr>
          <w:rFonts w:ascii="Arial" w:eastAsia="Calibri" w:hAnsi="Arial" w:cs="Arial"/>
          <w:iCs/>
          <w:szCs w:val="28"/>
          <w:lang w:val="uk-UA"/>
        </w:rPr>
        <w:t>студент 2-го курсу факультету цивільної та господарської юстиції</w:t>
      </w:r>
      <w:r w:rsidRPr="00511005">
        <w:rPr>
          <w:rFonts w:ascii="Arial" w:eastAsia="Calibri" w:hAnsi="Arial" w:cs="Arial"/>
          <w:iCs/>
          <w:szCs w:val="28"/>
          <w:lang w:val="uk-UA"/>
        </w:rPr>
        <w:br/>
        <w:t>Національного університету «Одеська юридична академія»</w:t>
      </w:r>
    </w:p>
    <w:p w14:paraId="0F19564E" w14:textId="77777777" w:rsidR="00532C25" w:rsidRPr="00511005" w:rsidRDefault="00532C25" w:rsidP="00532C25">
      <w:pPr>
        <w:spacing w:line="264" w:lineRule="auto"/>
        <w:ind w:firstLine="720"/>
        <w:jc w:val="center"/>
        <w:rPr>
          <w:rFonts w:ascii="Arial" w:eastAsia="Calibri" w:hAnsi="Arial" w:cs="Arial"/>
          <w:i/>
          <w:szCs w:val="28"/>
          <w:lang w:val="uk-UA"/>
        </w:rPr>
      </w:pPr>
    </w:p>
    <w:p w14:paraId="5A10A5B5"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ВИКОРИСТАННЯ ВІДЕОАНАЛІТИКИ В ІДЕНТИФІКАЦІЇ УЧАСНИКІВ ДОРОЖНЬО-ТРАНСПОРТНИХ ПРИГОД</w:t>
      </w:r>
    </w:p>
    <w:p w14:paraId="4BB1F38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Стрімка глобалізація та розвиток інформаційних технологій спонукають до неухильного розвитку та удосконалення вже існуючих систем виявлення та фіксації вчинюваних протиправних діянь. В межах нашої наукового роботи пропонуємо зупинити увагу на дослідженні питання використання відеоаналітики для ідентифікації учасників дорожньо-транспортних пригод (надалі - ДТП), оскільки статистика говорить про неухильне зростання кількості епізодів їхнього вчинення.</w:t>
      </w:r>
    </w:p>
    <w:p w14:paraId="04D7AB8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Для подальшого розкриття сутності відеоаналітики, на наш погляд, насамперед необхідним є визначення цього поняття, оскільки дефініція дозволяє окреслити межі застосування технології, її функціональне призначення та потенціал у відповідній сфері. Махницький О. В., Мирошниченко В. О., Кочеткова І. Б. у межах дослідження, присвяченого використанню відеоаналітики в діяльності Національної поліції, зазначають, що відеоаналітіка – це програмний алгоритм, який дозволяє швидко та якісно обробляти відеодані й звільнити оператора від рутинної роботи стеження за безліччю камер для виявлення порушень [1, с. 4]. На наш погляд, відеоаналітику доцільно розглядати не лише як програмний інструмент, а як комплекс технічних заходів, що включає в себе впровадження, налаштування та використання програмних алгоритмів для автоматизованої обробки відеоданих. </w:t>
      </w:r>
    </w:p>
    <w:p w14:paraId="60DB2F3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Виходячи з останньої дефініції відеоаналітики як комплексу технічних заходів в контексті ідентифікації учасників ДТП, передбачається не тільки автоматизована обробка відеоданих, а й створення комплексної системи моніторингу, яка забезпечує оперативне реагування на дорожні інциденти та підвищує точність розслідування ДТП. У цьому контексті американська ініціатива з імплементації відеоаналітичних технологій </w:t>
      </w:r>
      <w:r w:rsidRPr="00511005">
        <w:rPr>
          <w:rFonts w:ascii="Arial" w:eastAsia="Calibri" w:hAnsi="Arial" w:cs="Arial"/>
          <w:szCs w:val="28"/>
          <w:lang w:val="en-US"/>
        </w:rPr>
        <w:t>Vision</w:t>
      </w:r>
      <w:r w:rsidRPr="00511005">
        <w:rPr>
          <w:rFonts w:ascii="Arial" w:eastAsia="Calibri" w:hAnsi="Arial" w:cs="Arial"/>
          <w:szCs w:val="28"/>
          <w:lang w:val="uk-UA"/>
        </w:rPr>
        <w:t xml:space="preserve"> </w:t>
      </w:r>
      <w:r w:rsidRPr="00511005">
        <w:rPr>
          <w:rFonts w:ascii="Arial" w:eastAsia="Calibri" w:hAnsi="Arial" w:cs="Arial"/>
          <w:szCs w:val="28"/>
          <w:lang w:val="en-US"/>
        </w:rPr>
        <w:t>Zero</w:t>
      </w:r>
      <w:r w:rsidRPr="00511005">
        <w:rPr>
          <w:rFonts w:ascii="Arial" w:eastAsia="Calibri" w:hAnsi="Arial" w:cs="Arial"/>
          <w:szCs w:val="28"/>
          <w:lang w:val="uk-UA"/>
        </w:rPr>
        <w:t xml:space="preserve">, орієнтуючись на максимальне зниження смертності та серйозних травм на дорогах, використовує інтегровану систему відеоаналітики для ефективної ідентифікації учасників ДТП, що дозволяє не лише автоматизовано обробляти відеодані, але й створювати комплексну платформу для моніторингу та аналізу аварійних ситуацій у реальному часі. Зокрема, досвід застосування відеоаналітичних технологій в рамках ініціативи Vision Zero на перехрестях Блафф-Спрінгс Роуд та Східного Вільям Кеннон Драйв в місті </w:t>
      </w:r>
      <w:r w:rsidRPr="00511005">
        <w:rPr>
          <w:rFonts w:ascii="Arial" w:eastAsia="Calibri" w:hAnsi="Arial" w:cs="Arial"/>
          <w:szCs w:val="28"/>
          <w:lang w:val="uk-UA"/>
        </w:rPr>
        <w:lastRenderedPageBreak/>
        <w:t>Остін продемонстрував високий рівень ефективності автоматизованої обробки відеоданих для оцінки аварійних ситуацій та розробки заходів з підвищення дорожньої безпеки. На цих перехрестях було виявлено основні проблеми, серед яких виокремили конфлікти між пішоходами та транспортними засобами, а також ситуації зіткнень між автомобілями, що рухаються по різних напрямках. Даний підхід дозволяє не лише ідентифікувати ключові джерела небезпеки на дорожніх ділянках, але й розробити ефективні стратегії для їх майбутнього усунення [3].</w:t>
      </w:r>
    </w:p>
    <w:p w14:paraId="53AED8B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контексті національних реалій застосування відеоаналітики для ідентифікації ДТП, варто зазначити, що станом на зараз в Україні цей напрямок лише набирає популярності. Так, нещодавно в Україні були значно розширені муніципальні програми «Безпечне місто», які є важливою складовою в контексті покращення безпеки дорожнього руху та загальної криміногенної ситуації в містах. Ці програми передбачають впровадження комплексних систем відеоспостереження, що дають змогу моніторингу як дорожніх ситуацій, так і громадського порядку. В рамках цієї ініціативи вже використовуються сучасні технології відеоаналітики для автоматичного виявлення порушень правил дорожнього руху, таких як перевищення швидкості, проїзд на червоне світло, а також для ідентифікації учасників ДТП у разі дорожньо-транспортних пригод. Система «Безпечне місто» не потребує реклами і з цифровою реальністю цієї концепції сьогодні можна зустрітись не тільки в мегаполісах, а й в багатьох містах України. Наявність вуличного освітлення, регульовані світлофори, камери спостереження - все це складається в одну систему, яка дає відчути себе захищеним поза домом.</w:t>
      </w:r>
    </w:p>
    <w:p w14:paraId="75BC19B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«Безпечне місто» - це комплекс інноваційних рішень, що забезпечує відеофіксацію транспортного та пішохідного трафіку, дозволяє здійснювати моніторинг та управління діяльністю комунальних служб, поліції та ДСНС у населеному пункті. Це проєкт, покликаний забезпечити спокій і комфорт для мешканців та гостей населених пунктів. Щороку на системи відеоспостереження витрачають великі кошти, і це дійсно виправдано. Саме ця концепція довела свою ефективність на думку як місцевих жителів, так і представників правоохоронних органів та місцевої влади, яка формує безпекову політику в громадах [2]. </w:t>
      </w:r>
    </w:p>
    <w:p w14:paraId="4C32DD9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Підсумовуючи результати вищесказаного, впровадження відеоаналітики для ідентифікації учасників дорожньо-транспортних пригод є стратегічно важливим кроком у забезпеченні безпеки дорожнього руху та підвищенні ефективності розслідувань ДТП. В умовах швидкого розвитку цифрових технологій, відеоаналітика стає незамінним інструментом для оперативного реагування на дорожні інциденти, автоматизованої обробки відеоматеріалів та створення інтегрованих систем моніторингу. Такі системи дозволяють не лише швидко виявляти порушення, але й своєчасно </w:t>
      </w:r>
      <w:r w:rsidRPr="00511005">
        <w:rPr>
          <w:rFonts w:ascii="Arial" w:eastAsia="Calibri" w:hAnsi="Arial" w:cs="Arial"/>
          <w:szCs w:val="28"/>
          <w:lang w:val="uk-UA"/>
        </w:rPr>
        <w:lastRenderedPageBreak/>
        <w:t>реагувати на них, знижуючи ризики дорожніх аварій та покращуючи загальний стан безпеки на дорогах.</w:t>
      </w:r>
    </w:p>
    <w:p w14:paraId="566BC38B" w14:textId="77777777" w:rsidR="00532C25" w:rsidRPr="00511005" w:rsidRDefault="00532C25" w:rsidP="00532C25">
      <w:pPr>
        <w:spacing w:line="264" w:lineRule="auto"/>
        <w:ind w:firstLine="720"/>
        <w:rPr>
          <w:rFonts w:ascii="Arial" w:eastAsia="Calibri" w:hAnsi="Arial" w:cs="Arial"/>
          <w:b/>
          <w:szCs w:val="28"/>
          <w:lang w:val="uk-UA"/>
        </w:rPr>
      </w:pPr>
    </w:p>
    <w:p w14:paraId="7F399597"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5F2CC9D9" w14:textId="77777777" w:rsidR="00532C25" w:rsidRPr="00511005" w:rsidRDefault="00532C25" w:rsidP="003F6A5D">
      <w:pPr>
        <w:numPr>
          <w:ilvl w:val="0"/>
          <w:numId w:val="618"/>
        </w:numPr>
        <w:spacing w:line="264" w:lineRule="auto"/>
        <w:ind w:left="0" w:firstLine="720"/>
        <w:contextualSpacing/>
        <w:jc w:val="left"/>
        <w:rPr>
          <w:rFonts w:ascii="Arial" w:eastAsia="Times New Roman" w:hAnsi="Arial" w:cs="Arial"/>
          <w:szCs w:val="28"/>
          <w:lang w:eastAsia="uk-UA"/>
        </w:rPr>
      </w:pPr>
      <w:r w:rsidRPr="00511005">
        <w:rPr>
          <w:rFonts w:ascii="Arial" w:eastAsia="Times New Roman" w:hAnsi="Arial" w:cs="Arial"/>
          <w:szCs w:val="28"/>
          <w:lang w:val="uk-UA" w:eastAsia="uk-UA"/>
        </w:rPr>
        <w:t xml:space="preserve">Мирошниченко В. О., Махницький О. В., Кочеткова І. Б. Використання відеоаналітики у роботі Національної поліції: методичні рекомендації. Дніпро: ДДУВС, 2020. </w:t>
      </w:r>
      <w:r w:rsidRPr="00511005">
        <w:rPr>
          <w:rFonts w:ascii="Arial" w:eastAsia="Times New Roman" w:hAnsi="Arial" w:cs="Arial"/>
          <w:szCs w:val="28"/>
          <w:lang w:eastAsia="uk-UA"/>
        </w:rPr>
        <w:t>34 с.</w:t>
      </w:r>
    </w:p>
    <w:p w14:paraId="54487DBF" w14:textId="77777777" w:rsidR="00532C25" w:rsidRPr="00511005" w:rsidRDefault="00532C25" w:rsidP="003F6A5D">
      <w:pPr>
        <w:numPr>
          <w:ilvl w:val="0"/>
          <w:numId w:val="618"/>
        </w:numPr>
        <w:spacing w:line="264" w:lineRule="auto"/>
        <w:ind w:left="0" w:firstLine="720"/>
        <w:contextualSpacing/>
        <w:jc w:val="left"/>
        <w:rPr>
          <w:rFonts w:ascii="Arial" w:eastAsia="Times New Roman" w:hAnsi="Arial" w:cs="Arial"/>
          <w:szCs w:val="28"/>
          <w:lang w:eastAsia="uk-UA"/>
        </w:rPr>
      </w:pPr>
      <w:r w:rsidRPr="00511005">
        <w:rPr>
          <w:rFonts w:ascii="Arial" w:eastAsia="Times New Roman" w:hAnsi="Arial" w:cs="Arial"/>
          <w:szCs w:val="28"/>
          <w:lang w:eastAsia="uk-UA"/>
        </w:rPr>
        <w:t xml:space="preserve">Система «Безпечне місто»: інноваційні рішення, які дбають про безпеку. </w:t>
      </w:r>
      <w:r w:rsidRPr="00511005">
        <w:rPr>
          <w:rFonts w:ascii="Arial" w:eastAsia="Times New Roman" w:hAnsi="Arial" w:cs="Arial"/>
          <w:szCs w:val="28"/>
          <w:lang w:val="en-US" w:eastAsia="uk-UA"/>
        </w:rPr>
        <w:t>URL</w:t>
      </w:r>
      <w:r w:rsidRPr="00511005">
        <w:rPr>
          <w:rFonts w:ascii="Arial" w:eastAsia="Times New Roman" w:hAnsi="Arial" w:cs="Arial"/>
          <w:szCs w:val="28"/>
          <w:lang w:eastAsia="uk-UA"/>
        </w:rPr>
        <w:t xml:space="preserve">: </w:t>
      </w:r>
      <w:hyperlink r:id="rId1982" w:tgtFrame="_new" w:history="1">
        <w:r w:rsidRPr="00511005">
          <w:rPr>
            <w:rFonts w:ascii="Arial" w:eastAsia="Times New Roman" w:hAnsi="Arial" w:cs="Arial"/>
            <w:szCs w:val="28"/>
            <w:lang w:eastAsia="uk-UA"/>
          </w:rPr>
          <w:t>https://i-lug.gov.ua/news/sistema_%C2%ABbezpechne_misto%C2%BB_-_innovacijni_rishennja_jaki_dbajut_pro_bezpeku</w:t>
        </w:r>
      </w:hyperlink>
      <w:r w:rsidRPr="00511005">
        <w:rPr>
          <w:rFonts w:ascii="Arial" w:eastAsia="Times New Roman" w:hAnsi="Arial" w:cs="Arial"/>
          <w:szCs w:val="28"/>
          <w:lang w:eastAsia="uk-UA"/>
        </w:rPr>
        <w:t xml:space="preserve"> [Дата звернення: 12.04.2025].</w:t>
      </w:r>
    </w:p>
    <w:p w14:paraId="7C0CE226" w14:textId="77777777" w:rsidR="00532C25" w:rsidRPr="00511005" w:rsidRDefault="00532C25" w:rsidP="003F6A5D">
      <w:pPr>
        <w:numPr>
          <w:ilvl w:val="0"/>
          <w:numId w:val="618"/>
        </w:numPr>
        <w:spacing w:line="264" w:lineRule="auto"/>
        <w:ind w:left="0" w:firstLine="720"/>
        <w:contextualSpacing/>
        <w:jc w:val="left"/>
        <w:rPr>
          <w:rFonts w:ascii="Arial" w:eastAsia="Times New Roman" w:hAnsi="Arial" w:cs="Arial"/>
          <w:szCs w:val="28"/>
          <w:lang w:eastAsia="uk-UA"/>
        </w:rPr>
      </w:pPr>
      <w:r w:rsidRPr="00511005">
        <w:rPr>
          <w:rFonts w:ascii="Arial" w:eastAsia="Times New Roman" w:hAnsi="Arial" w:cs="Arial"/>
          <w:szCs w:val="28"/>
          <w:lang w:val="en-US" w:eastAsia="uk-UA"/>
        </w:rPr>
        <w:t>StoryMaps. Vision Zero: Using Video Analytics for Traffic Safety. URL</w:t>
      </w:r>
      <w:r w:rsidRPr="00511005">
        <w:rPr>
          <w:rFonts w:ascii="Arial" w:eastAsia="Times New Roman" w:hAnsi="Arial" w:cs="Arial"/>
          <w:szCs w:val="28"/>
          <w:lang w:eastAsia="uk-UA"/>
        </w:rPr>
        <w:t xml:space="preserve">: </w:t>
      </w:r>
      <w:hyperlink r:id="rId1983" w:tgtFrame="_new" w:history="1">
        <w:r w:rsidRPr="00511005">
          <w:rPr>
            <w:rFonts w:ascii="Arial" w:eastAsia="Times New Roman" w:hAnsi="Arial" w:cs="Arial"/>
            <w:szCs w:val="28"/>
            <w:lang w:eastAsia="uk-UA"/>
          </w:rPr>
          <w:t>https://storymaps.arcgis.com/stories/3f2ec9571b704124aeacb0345c5bedf9</w:t>
        </w:r>
      </w:hyperlink>
      <w:r w:rsidRPr="00511005">
        <w:rPr>
          <w:rFonts w:ascii="Arial" w:eastAsia="Times New Roman" w:hAnsi="Arial" w:cs="Arial"/>
          <w:szCs w:val="28"/>
          <w:lang w:eastAsia="uk-UA"/>
        </w:rPr>
        <w:t>.</w:t>
      </w:r>
    </w:p>
    <w:p w14:paraId="154CBCE0" w14:textId="77777777" w:rsidR="00532C25" w:rsidRPr="00511005" w:rsidRDefault="00532C25" w:rsidP="00532C25">
      <w:pPr>
        <w:spacing w:line="264" w:lineRule="auto"/>
        <w:ind w:left="720" w:firstLine="0"/>
        <w:contextualSpacing/>
        <w:rPr>
          <w:rFonts w:ascii="Arial" w:eastAsia="Times New Roman" w:hAnsi="Arial" w:cs="Arial"/>
          <w:szCs w:val="28"/>
          <w:lang w:eastAsia="uk-UA"/>
        </w:rPr>
      </w:pPr>
    </w:p>
    <w:p w14:paraId="3BF69499" w14:textId="77777777" w:rsidR="00532C25" w:rsidRPr="00511005" w:rsidRDefault="00532C25" w:rsidP="00532C25">
      <w:pPr>
        <w:keepNext/>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відеоаналітика, ідентифікація учасників ДТП, безпека дорожнього руху, відеоспостереження, автоматизована обробка відеоданих, система моніторингу, Vision Zero, дорожні інциденти, аварійні ситуації, муніципальні програми, «Безпечне місто», порушення правил дорожнього руху, технології відеоаналітики, ефективність розслідувань ДТП.</w:t>
      </w:r>
    </w:p>
    <w:p w14:paraId="7DAF8666" w14:textId="77777777" w:rsidR="00532C25" w:rsidRPr="00511005" w:rsidRDefault="00532C25" w:rsidP="00532C25">
      <w:pPr>
        <w:keepNext/>
        <w:spacing w:line="264" w:lineRule="auto"/>
        <w:ind w:firstLine="720"/>
        <w:rPr>
          <w:rFonts w:ascii="Arial" w:eastAsia="Calibri" w:hAnsi="Arial" w:cs="Arial"/>
          <w:bCs/>
          <w:szCs w:val="28"/>
          <w:lang w:val="en-US"/>
        </w:rPr>
      </w:pPr>
      <w:r w:rsidRPr="00511005">
        <w:rPr>
          <w:rFonts w:ascii="Arial" w:eastAsia="Calibri" w:hAnsi="Arial" w:cs="Arial"/>
          <w:b/>
          <w:i/>
          <w:szCs w:val="28"/>
          <w:lang w:val="en-US"/>
        </w:rPr>
        <w:t xml:space="preserve">Key words: </w:t>
      </w:r>
      <w:r w:rsidRPr="00511005">
        <w:rPr>
          <w:rFonts w:ascii="Arial" w:eastAsia="Calibri" w:hAnsi="Arial" w:cs="Arial"/>
          <w:bCs/>
          <w:szCs w:val="28"/>
          <w:lang w:val="en-US"/>
        </w:rPr>
        <w:t>video analytics, identification of road traffic participants, road safety, video surveillance, automated video data processing, monitoring system, Vision Zero, traffic incidents, accident situations, municipal programs, «Safe City», traffic violations, video analytics technologies, effectiveness of accident investigations.</w:t>
      </w:r>
    </w:p>
    <w:p w14:paraId="51C3E892" w14:textId="77777777" w:rsidR="00532C25" w:rsidRPr="00511005" w:rsidRDefault="00532C25" w:rsidP="00532C25">
      <w:pPr>
        <w:spacing w:line="264" w:lineRule="auto"/>
        <w:ind w:firstLine="72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i/>
          <w:iCs/>
          <w:szCs w:val="28"/>
          <w:lang w:val="uk-UA"/>
        </w:rPr>
        <w:t>асистент Мурашко А.С.</w:t>
      </w:r>
    </w:p>
    <w:p w14:paraId="63BE0A12" w14:textId="77777777" w:rsidR="00532C25" w:rsidRPr="00511005" w:rsidRDefault="00532C25" w:rsidP="00532C25">
      <w:pPr>
        <w:spacing w:line="264" w:lineRule="auto"/>
        <w:ind w:firstLine="720"/>
        <w:rPr>
          <w:rFonts w:ascii="Arial" w:eastAsia="Calibri" w:hAnsi="Arial" w:cs="Arial"/>
          <w:bCs/>
          <w:i/>
          <w:iCs/>
          <w:szCs w:val="28"/>
          <w:lang w:val="uk-UA"/>
        </w:rPr>
      </w:pPr>
    </w:p>
    <w:p w14:paraId="0C953700" w14:textId="77777777" w:rsidR="00532C25" w:rsidRPr="00511005" w:rsidRDefault="00532C25" w:rsidP="00532C25">
      <w:pPr>
        <w:spacing w:line="264" w:lineRule="auto"/>
        <w:ind w:firstLine="720"/>
        <w:jc w:val="center"/>
        <w:rPr>
          <w:rFonts w:ascii="Arial" w:eastAsia="Calibri" w:hAnsi="Arial" w:cs="Arial"/>
          <w:b/>
          <w:bCs/>
          <w:i/>
          <w:iCs/>
          <w:szCs w:val="28"/>
        </w:rPr>
      </w:pPr>
      <w:r w:rsidRPr="00511005">
        <w:rPr>
          <w:rFonts w:ascii="Arial" w:eastAsia="Calibri" w:hAnsi="Arial" w:cs="Arial"/>
          <w:b/>
          <w:bCs/>
          <w:i/>
          <w:iCs/>
          <w:szCs w:val="28"/>
        </w:rPr>
        <w:t>Костюк Олександр Олегович</w:t>
      </w:r>
    </w:p>
    <w:p w14:paraId="536BA209"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2-го курсу </w:t>
      </w:r>
    </w:p>
    <w:p w14:paraId="63342575"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28DF2D0"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AA8F252" w14:textId="77777777" w:rsidR="00532C25" w:rsidRPr="00511005" w:rsidRDefault="00532C25" w:rsidP="00532C25">
      <w:pPr>
        <w:spacing w:line="264" w:lineRule="auto"/>
        <w:ind w:firstLine="720"/>
        <w:jc w:val="center"/>
        <w:rPr>
          <w:rFonts w:ascii="Arial" w:eastAsia="Calibri" w:hAnsi="Arial" w:cs="Arial"/>
          <w:i/>
          <w:iCs/>
          <w:szCs w:val="28"/>
        </w:rPr>
      </w:pPr>
    </w:p>
    <w:p w14:paraId="3E652F0C"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rPr>
        <w:t>ВИКОРИСТАННЯ НЕГЛАСНИХ СЛІДЧИХ (РОЗШУКОВИХ) ДІЙ У КРИМІНАЛЬНОМУ ПРОЦЕСІ</w:t>
      </w:r>
    </w:p>
    <w:p w14:paraId="4ACAB18E"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Як відомо, негласні слідчі (розшукові) дії, далі – НС(Р)Д, відіграють важливу роль у кримінальному судочинстві. Кримінальний процесуальний кодекс України значно розширив інструменти збору доказів у кримінальному процесі, закріпивши загальну процедуру проведення НС(Р)Д. Водночас, негласні способи отримання відомостей про злочин можуть бути не тільки дієвим способом доказування, але й інструментом обмеження прав, свобод </w:t>
      </w:r>
      <w:r w:rsidRPr="00511005">
        <w:rPr>
          <w:rFonts w:ascii="Arial" w:eastAsia="Calibri" w:hAnsi="Arial" w:cs="Arial"/>
          <w:szCs w:val="28"/>
        </w:rPr>
        <w:lastRenderedPageBreak/>
        <w:t>та легітимних інтересів осіб, котрі беруть участь у кримінальному процесі. У звʼязку із цим дослідження НС(Р)Д як засобів доказування у провадженнях щодо тяжких та особливо тяжких кримінальних правопорушень потребує постійного вдосконалення та визначення належності доказів у кримінальному процесі.</w:t>
      </w:r>
    </w:p>
    <w:p w14:paraId="5D0A7864"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Проведення НС(Р)Д в рамках досудового розслідування пов’язане із з втручанням у приватне життя особи та обмеження її певних конституційних прав. У зв’язку з цим запровадження інституту негласних слідчих (розшукових) дій у системі положень Кримінального процесуального кодексу України (далі – КПК України) є важливим як з точки зору об’єктивної необхідності посилення контролю за законністю такого обмеження, так і з позиції приведення національного кримінального судочинства до європейських стандарті у контексті дотримання прав і свобод людини та громадянина. Таким чином, з одного боку було розширено інструментарій правоохоронних органів щодо збору доказів, а з іншого – передбачено чіткий механізм контролю за діяльністю правоохоронців, що повʼязана із порушенням певних конституційних прав людини.</w:t>
      </w:r>
    </w:p>
    <w:p w14:paraId="75B96C11"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Законодавець визначає НС(Р)Д як «різновид слідчих (розшукових) дій, відомості про факт та методи проведення яких не підлягають розголошенню, за винятком випадків, передбачених цим Кодексом» [1].</w:t>
      </w:r>
    </w:p>
    <w:p w14:paraId="6573BCEA"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Є.Д Скулиш, акцентуючи увагу на звʼязку оперативно-розшукових заходів та інсититуту НС(Р)Д, зазначає, що «основним функціональним призначенням НС(Р)Д в оновленій системі кримінального процесу України є забезпечення оптимальних шляхів використання у кримінально-процесуальному провадженні інформації, здобутої із використанням негласних сил та засобів, якими послуговується оперативно-розшукова діяльність» [2, с.16]</w:t>
      </w:r>
    </w:p>
    <w:p w14:paraId="242336D9"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У ч. 1 ст. 256 КПК України зазначено, що результати НС(Р)Д, в тому числі протоколи, аудіо- та відеозаписи, фотознімки, речові докази й документи, можуть бути використані у доказуванні на рівних умовах з іншими доказами. Доказування згідно зі ст. 91 КПК України полягає у зборі, перевірці та оцінюванні доказів для з’ясування обставин, що мають значення для кримінального провадження [1].</w:t>
      </w:r>
    </w:p>
    <w:p w14:paraId="75FBF480"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Докази вважаються прийнятними, якщо їх було здобуто з дотриманням закону. Належність доказів визначається їхньою спроможністю встановлювати фактичні обставини, що підлягають доказуванню. Основним джерелом доказів у кримінальному процесі є протоколи НС(Р)Д, що містять інформацію, отриману під час їх проведення. Однак використання таких доказів потребує дотримання певних процедур та забезпечення їхньої належності.</w:t>
      </w:r>
    </w:p>
    <w:p w14:paraId="5DDFD240"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Як зазначає М.Є. Шумило, «на докази покладається функція бути знаковим (знаннєвим) замінником певного фрагменту реконструйованої </w:t>
      </w:r>
      <w:r w:rsidRPr="00511005">
        <w:rPr>
          <w:rFonts w:ascii="Arial" w:eastAsia="Calibri" w:hAnsi="Arial" w:cs="Arial"/>
          <w:szCs w:val="28"/>
        </w:rPr>
        <w:lastRenderedPageBreak/>
        <w:t>розслідуванням події минулого, з допомогою яких встановлюються інші – шукані факти і обставини (factum probandum) предмета доказування» [3, с.102].</w:t>
      </w:r>
    </w:p>
    <w:p w14:paraId="6E91D5E9"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На рівні судової практики Верховний Суд встановив, що документи, котрі стали правовою підставою для проведення НС(Р)Д (клопотання слідчого, прокурора, ухвали слідчого судді), повинні бути розсекречені та надані стороні захисту відповідно до ст. 290 КПК України для забезпечення допустимості доказів.</w:t>
      </w:r>
    </w:p>
    <w:p w14:paraId="6BC844BA"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Ключовим аспектом застосування НС(Р)Д у кримінальному процесі є питання провокації злочину. У ст. 271 КПК зазначено, що під час контролю за вчиненням злочину не допускається провокування особи до його вчинення. У разі виявлення ознак підбурювання, такі докази можуть бути визнані недопустимими, що підтверджується практикою Європейського суду з прав людини.</w:t>
      </w:r>
    </w:p>
    <w:p w14:paraId="7D0181C9"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Таким чином, застосування результатів НС(Р)Д у кримінальному процесі вимагає вдосконалення механізмів їх застосування та правового регулювання. Відсутність єдиної судової практики щодо належності доказів, здобутих у результаті НС(Р)Д, створює правову невизначеність, яку необхідно усунути через законодавчі зміни та судові роз’яснення.</w:t>
      </w:r>
    </w:p>
    <w:p w14:paraId="3DDD03B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До особливостей НС(Р)Д, які істотно вирізняють їх з-поміж інших слідчих (розшукових) дій, належить: специфіка процедури їх санкціонування, особливі методи їх проведення, які не підлягають розголошенню, порядок використання у кримінальному провадженні інформації, здобутої за результатами їх проведення. </w:t>
      </w:r>
    </w:p>
    <w:p w14:paraId="62E45B85"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Отже, НС(Р)Д є невідʼємною частиною засобів доказування у кримінальному провадженні, особливо під час розслідування тяжких і особливо тяжких злочинів, а також злочинів, що повʼязані з організованою злочинністю, корупцією, тероризмом та іншими серйозними правопорушеннями. Їхнє застосування виправдане потребою збирати докази в ситуаціях, коли інші процесуальні методи не є достатньо ефективними або взагалі непридатні.</w:t>
      </w:r>
    </w:p>
    <w:p w14:paraId="6D97E790"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Разом з цим, зважаючи на те, що НС(Р)Д по своїй природі є втручанням у конституційні права та свободи людини – зокрема, у право на недоторканність приватного життя, таємницю листування, телефонних розмов, – їхнє використання має відбуватися виключно в рамках, визначених законом, з урахуванням принципів законності, змагальності, пропорційності та судового контролю.</w:t>
      </w:r>
    </w:p>
    <w:p w14:paraId="779B6EE1"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Ці дії повинні бути санкціоновані слідчим суддею, із чітким визначенням підстав, об'єктів і строків їхнього проведення, що гарантує баланс між завданням кримінального провадження та захистом прав людини. Надмірне або неправомірне застосування НСРД може призвести </w:t>
      </w:r>
      <w:r w:rsidRPr="00511005">
        <w:rPr>
          <w:rFonts w:ascii="Arial" w:eastAsia="Calibri" w:hAnsi="Arial" w:cs="Arial"/>
          <w:szCs w:val="28"/>
        </w:rPr>
        <w:lastRenderedPageBreak/>
        <w:t>до порушення прав особи та стати підставою для визнання здобутих доказів неприйнятними.</w:t>
      </w:r>
    </w:p>
    <w:p w14:paraId="20F9996A"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Таким чином, підтримуючи доцільність і ефективність негласних слідчих (розшукових) дій у кримінальному процесі, необхідно підкреслити важливість їхнього чіткого правового регулювання, належного процесуального контролю та уникнення зловживань у цій сфері. Попри значний практичний досвід підрозділів правоохоронних органів із використання НС(Р)Д для отримання важливої доказової інформації, на практиці все ще існують проблеми, повʼязані з неоднозначністю використання судами підходів до визнання таких доказів належними та допустимими.</w:t>
      </w:r>
    </w:p>
    <w:p w14:paraId="227F2BBC" w14:textId="77777777" w:rsidR="00532C25" w:rsidRPr="00511005" w:rsidRDefault="00532C25" w:rsidP="00532C25">
      <w:pPr>
        <w:spacing w:line="264" w:lineRule="auto"/>
        <w:ind w:firstLine="720"/>
        <w:jc w:val="left"/>
        <w:rPr>
          <w:rFonts w:ascii="Arial" w:eastAsia="Calibri" w:hAnsi="Arial" w:cs="Arial"/>
          <w:szCs w:val="28"/>
        </w:rPr>
      </w:pPr>
    </w:p>
    <w:p w14:paraId="03BD95EE"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1B2D7BA4" w14:textId="77777777" w:rsidR="00532C25" w:rsidRPr="00511005" w:rsidRDefault="00532C25" w:rsidP="00532C25">
      <w:pPr>
        <w:spacing w:line="264" w:lineRule="auto"/>
        <w:ind w:firstLine="720"/>
        <w:jc w:val="left"/>
        <w:rPr>
          <w:rFonts w:ascii="Arial" w:eastAsia="Calibri" w:hAnsi="Arial" w:cs="Arial"/>
          <w:szCs w:val="28"/>
        </w:rPr>
      </w:pPr>
      <w:r w:rsidRPr="00511005">
        <w:rPr>
          <w:rFonts w:ascii="Arial" w:eastAsia="Calibri" w:hAnsi="Arial" w:cs="Arial"/>
          <w:szCs w:val="28"/>
        </w:rPr>
        <w:t xml:space="preserve">1. Кримінальний процесуальний кодекс України від 11.09.2020 року № 4651-VI. Відомості Верховної Ради України (ВВР), 2013, № 9-10, № 11-12, № 13, ст. 88. </w:t>
      </w:r>
      <w:proofErr w:type="gramStart"/>
      <w:r w:rsidRPr="00511005">
        <w:rPr>
          <w:rFonts w:ascii="Arial" w:eastAsia="Calibri" w:hAnsi="Arial" w:cs="Arial"/>
          <w:szCs w:val="28"/>
        </w:rPr>
        <w:t>URL :</w:t>
      </w:r>
      <w:proofErr w:type="gramEnd"/>
      <w:r w:rsidRPr="00511005">
        <w:rPr>
          <w:rFonts w:ascii="Arial" w:eastAsia="Calibri" w:hAnsi="Arial" w:cs="Arial"/>
          <w:szCs w:val="28"/>
        </w:rPr>
        <w:t xml:space="preserve"> https://zakon.rada.gov.ua/laws/show/4651-17# Text </w:t>
      </w:r>
    </w:p>
    <w:p w14:paraId="3AED148D" w14:textId="77777777" w:rsidR="00532C25" w:rsidRPr="00511005" w:rsidRDefault="00532C25" w:rsidP="00532C25">
      <w:pPr>
        <w:spacing w:line="264" w:lineRule="auto"/>
        <w:ind w:firstLine="720"/>
        <w:jc w:val="left"/>
        <w:rPr>
          <w:rFonts w:ascii="Arial" w:eastAsia="Calibri" w:hAnsi="Arial" w:cs="Arial"/>
          <w:szCs w:val="28"/>
        </w:rPr>
      </w:pPr>
      <w:r w:rsidRPr="00511005">
        <w:rPr>
          <w:rFonts w:ascii="Arial" w:eastAsia="Calibri" w:hAnsi="Arial" w:cs="Arial"/>
          <w:szCs w:val="28"/>
        </w:rPr>
        <w:t xml:space="preserve">2. Скулиш Є. Д. Негласні слідчі (розшукові) дії за кримінально-процесуальним законодавством України. </w:t>
      </w:r>
      <w:r w:rsidRPr="00511005">
        <w:rPr>
          <w:rFonts w:ascii="Arial" w:eastAsia="Calibri" w:hAnsi="Arial" w:cs="Arial"/>
          <w:i/>
          <w:iCs/>
          <w:szCs w:val="28"/>
        </w:rPr>
        <w:t>Вісник Національної академії прокуратури України</w:t>
      </w:r>
      <w:r w:rsidRPr="00511005">
        <w:rPr>
          <w:rFonts w:ascii="Arial" w:eastAsia="Calibri" w:hAnsi="Arial" w:cs="Arial"/>
          <w:szCs w:val="28"/>
        </w:rPr>
        <w:t xml:space="preserve">. 2012. № 2. С. 15-23. </w:t>
      </w:r>
      <w:r w:rsidRPr="00511005">
        <w:rPr>
          <w:rFonts w:ascii="Arial" w:eastAsia="Calibri" w:hAnsi="Arial" w:cs="Arial"/>
          <w:szCs w:val="28"/>
          <w:lang w:val="en-US"/>
        </w:rPr>
        <w:t>URL</w:t>
      </w:r>
      <w:r w:rsidRPr="00511005">
        <w:rPr>
          <w:rFonts w:ascii="Arial" w:eastAsia="Calibri" w:hAnsi="Arial" w:cs="Arial"/>
          <w:szCs w:val="28"/>
        </w:rPr>
        <w:t>: http://nbuv.gov.ua/UJRN/Vnapu_2012_2_5</w:t>
      </w:r>
    </w:p>
    <w:p w14:paraId="343A3420" w14:textId="77777777" w:rsidR="00532C25" w:rsidRPr="00511005" w:rsidRDefault="00532C25" w:rsidP="00532C25">
      <w:pPr>
        <w:spacing w:line="264" w:lineRule="auto"/>
        <w:ind w:firstLine="720"/>
        <w:jc w:val="left"/>
        <w:rPr>
          <w:rFonts w:ascii="Arial" w:eastAsia="Calibri" w:hAnsi="Arial" w:cs="Arial"/>
          <w:szCs w:val="28"/>
        </w:rPr>
      </w:pPr>
      <w:r w:rsidRPr="00511005">
        <w:rPr>
          <w:rFonts w:ascii="Arial" w:eastAsia="Calibri" w:hAnsi="Arial" w:cs="Arial"/>
          <w:szCs w:val="28"/>
        </w:rPr>
        <w:t xml:space="preserve">3. Шумило М.Є. Вагомість доказів у кримінальному процесі. </w:t>
      </w:r>
      <w:r w:rsidRPr="00511005">
        <w:rPr>
          <w:rFonts w:ascii="Arial" w:eastAsia="Calibri" w:hAnsi="Arial" w:cs="Arial"/>
          <w:i/>
          <w:iCs/>
          <w:szCs w:val="28"/>
        </w:rPr>
        <w:t xml:space="preserve">Вісник Національної академії правових наук України. </w:t>
      </w:r>
      <w:r w:rsidRPr="00511005">
        <w:rPr>
          <w:rFonts w:ascii="Arial" w:eastAsia="Calibri" w:hAnsi="Arial" w:cs="Arial"/>
          <w:szCs w:val="28"/>
        </w:rPr>
        <w:t>2021</w:t>
      </w:r>
      <w:r w:rsidRPr="00511005">
        <w:rPr>
          <w:rFonts w:ascii="Arial" w:eastAsia="Calibri" w:hAnsi="Arial" w:cs="Arial"/>
          <w:i/>
          <w:iCs/>
          <w:szCs w:val="28"/>
        </w:rPr>
        <w:t xml:space="preserve">. </w:t>
      </w:r>
      <w:r w:rsidRPr="00511005">
        <w:rPr>
          <w:rFonts w:ascii="Arial" w:eastAsia="Calibri" w:hAnsi="Arial" w:cs="Arial"/>
          <w:szCs w:val="28"/>
        </w:rPr>
        <w:t>Вип. № 4. С. 95–104.</w:t>
      </w:r>
    </w:p>
    <w:p w14:paraId="37EE6D5E" w14:textId="77777777" w:rsidR="00532C25" w:rsidRPr="00511005" w:rsidRDefault="00532C25" w:rsidP="00532C25">
      <w:pPr>
        <w:spacing w:line="264" w:lineRule="auto"/>
        <w:ind w:firstLine="720"/>
        <w:jc w:val="left"/>
        <w:rPr>
          <w:rFonts w:ascii="Arial" w:eastAsia="Calibri" w:hAnsi="Arial" w:cs="Arial"/>
          <w:szCs w:val="28"/>
        </w:rPr>
      </w:pPr>
    </w:p>
    <w:p w14:paraId="50E67C66"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b/>
          <w:bCs/>
          <w:i/>
          <w:szCs w:val="28"/>
        </w:rPr>
        <w:t xml:space="preserve">Ключові слова: </w:t>
      </w:r>
      <w:r w:rsidRPr="00511005">
        <w:rPr>
          <w:rFonts w:ascii="Arial" w:eastAsia="Calibri" w:hAnsi="Arial" w:cs="Arial"/>
          <w:szCs w:val="28"/>
        </w:rPr>
        <w:t>слідчі (розшукові) дії, негласні слідчі (розшукові) дії, доказування, допустимість доказів, належність доказів, кримінальне правопорушення, досудове розслідування, оперативно-розшукова діяльність, захист прав людини.</w:t>
      </w:r>
    </w:p>
    <w:p w14:paraId="353F394F" w14:textId="77777777" w:rsidR="00532C25" w:rsidRPr="00055389" w:rsidRDefault="00532C25" w:rsidP="00532C25">
      <w:pPr>
        <w:spacing w:line="264" w:lineRule="auto"/>
        <w:ind w:firstLine="720"/>
        <w:jc w:val="left"/>
        <w:rPr>
          <w:rFonts w:ascii="Arial" w:eastAsia="Calibri" w:hAnsi="Arial" w:cs="Arial"/>
          <w:b/>
          <w:bCs/>
          <w:szCs w:val="28"/>
          <w:lang w:val="en-US"/>
        </w:rPr>
      </w:pPr>
      <w:r w:rsidRPr="00055389">
        <w:rPr>
          <w:rFonts w:ascii="Arial" w:eastAsia="Calibri" w:hAnsi="Arial" w:cs="Arial"/>
          <w:b/>
          <w:bCs/>
          <w:i/>
          <w:szCs w:val="28"/>
          <w:lang w:val="en-US"/>
        </w:rPr>
        <w:t xml:space="preserve">Key words: </w:t>
      </w:r>
      <w:r w:rsidRPr="00055389">
        <w:rPr>
          <w:rFonts w:ascii="Arial" w:eastAsia="Calibri" w:hAnsi="Arial" w:cs="Arial"/>
          <w:szCs w:val="28"/>
          <w:lang w:val="en-US"/>
        </w:rPr>
        <w:t>investigative (search) actions, covert investigative (search) actions, evidence, admissibility of evidence, relevance of evidence, criminal offense, pre-trial investigation, operational-search activities, protection of human rights.</w:t>
      </w:r>
    </w:p>
    <w:p w14:paraId="558666E3" w14:textId="77777777" w:rsidR="00532C25" w:rsidRPr="00511005" w:rsidRDefault="00532C25" w:rsidP="00532C25">
      <w:pPr>
        <w:spacing w:line="264" w:lineRule="auto"/>
        <w:ind w:firstLine="720"/>
        <w:jc w:val="left"/>
        <w:rPr>
          <w:rFonts w:ascii="Arial" w:eastAsia="Calibri" w:hAnsi="Arial" w:cs="Arial"/>
          <w:bCs/>
          <w:i/>
          <w:iCs/>
          <w:szCs w:val="28"/>
        </w:rPr>
      </w:pPr>
      <w:r w:rsidRPr="00511005">
        <w:rPr>
          <w:rFonts w:ascii="Arial" w:eastAsia="Calibri" w:hAnsi="Arial" w:cs="Arial"/>
          <w:b/>
          <w:bCs/>
          <w:i/>
          <w:iCs/>
          <w:szCs w:val="28"/>
        </w:rPr>
        <w:t xml:space="preserve">Науковий керівник: </w:t>
      </w:r>
      <w:r w:rsidRPr="00511005">
        <w:rPr>
          <w:rFonts w:ascii="Arial" w:eastAsia="Calibri" w:hAnsi="Arial" w:cs="Arial"/>
          <w:bCs/>
          <w:i/>
          <w:iCs/>
          <w:szCs w:val="28"/>
          <w:lang w:val="uk-UA"/>
        </w:rPr>
        <w:t>д</w:t>
      </w:r>
      <w:r w:rsidRPr="00511005">
        <w:rPr>
          <w:rFonts w:ascii="Arial" w:eastAsia="Calibri" w:hAnsi="Arial" w:cs="Arial"/>
          <w:bCs/>
          <w:i/>
          <w:iCs/>
          <w:szCs w:val="28"/>
        </w:rPr>
        <w:t>.ю.</w:t>
      </w:r>
      <w:r w:rsidRPr="00511005">
        <w:rPr>
          <w:rFonts w:ascii="Arial" w:eastAsia="Calibri" w:hAnsi="Arial" w:cs="Arial"/>
          <w:i/>
          <w:iCs/>
          <w:szCs w:val="28"/>
        </w:rPr>
        <w:t xml:space="preserve">н., </w:t>
      </w:r>
      <w:r w:rsidRPr="00511005">
        <w:rPr>
          <w:rFonts w:ascii="Arial" w:eastAsia="Calibri" w:hAnsi="Arial" w:cs="Arial"/>
          <w:i/>
          <w:iCs/>
          <w:szCs w:val="28"/>
          <w:lang w:val="uk-UA"/>
        </w:rPr>
        <w:t>профксор</w:t>
      </w:r>
      <w:r w:rsidRPr="00511005">
        <w:rPr>
          <w:rFonts w:ascii="Arial" w:eastAsia="Calibri" w:hAnsi="Arial" w:cs="Arial"/>
          <w:i/>
          <w:iCs/>
          <w:szCs w:val="28"/>
        </w:rPr>
        <w:t xml:space="preserve"> </w:t>
      </w:r>
      <w:r w:rsidRPr="00511005">
        <w:rPr>
          <w:rFonts w:ascii="Arial" w:eastAsia="Calibri" w:hAnsi="Arial" w:cs="Arial"/>
          <w:i/>
          <w:iCs/>
          <w:szCs w:val="28"/>
          <w:lang w:val="uk-UA"/>
        </w:rPr>
        <w:t>Аркуша Л.І</w:t>
      </w:r>
      <w:r w:rsidRPr="00511005">
        <w:rPr>
          <w:rFonts w:ascii="Arial" w:eastAsia="Calibri" w:hAnsi="Arial" w:cs="Arial"/>
          <w:i/>
          <w:iCs/>
          <w:szCs w:val="28"/>
        </w:rPr>
        <w:t>.</w:t>
      </w:r>
    </w:p>
    <w:p w14:paraId="2025EE7B" w14:textId="77777777" w:rsidR="00532C25" w:rsidRPr="00511005" w:rsidRDefault="00532C25" w:rsidP="00532C25">
      <w:pPr>
        <w:spacing w:line="264" w:lineRule="auto"/>
        <w:ind w:firstLine="720"/>
        <w:rPr>
          <w:rFonts w:ascii="Arial" w:eastAsia="Calibri" w:hAnsi="Arial" w:cs="Arial"/>
          <w:bCs/>
          <w:i/>
          <w:iCs/>
          <w:szCs w:val="28"/>
          <w:lang w:val="uk-UA"/>
        </w:rPr>
      </w:pPr>
    </w:p>
    <w:p w14:paraId="6A3A9A41" w14:textId="77777777" w:rsidR="00532C25" w:rsidRPr="00511005" w:rsidRDefault="00532C25" w:rsidP="00532C25">
      <w:pPr>
        <w:spacing w:line="264" w:lineRule="auto"/>
        <w:ind w:firstLine="720"/>
        <w:rPr>
          <w:rFonts w:ascii="Arial" w:eastAsia="Calibri" w:hAnsi="Arial" w:cs="Arial"/>
          <w:bCs/>
          <w:i/>
          <w:iCs/>
          <w:szCs w:val="28"/>
          <w:lang w:val="uk-UA"/>
        </w:rPr>
      </w:pPr>
    </w:p>
    <w:p w14:paraId="653CAAF1" w14:textId="77777777" w:rsidR="00532C25" w:rsidRPr="00511005" w:rsidRDefault="00532C25" w:rsidP="00532C25">
      <w:pPr>
        <w:keepNext/>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Красюн Анастасія Сергіївна</w:t>
      </w:r>
    </w:p>
    <w:p w14:paraId="6376DF01"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1-го курсу магістратури факультету адвокатури та антикорупційної діяльності</w:t>
      </w:r>
      <w:r w:rsidRPr="00511005">
        <w:rPr>
          <w:rFonts w:ascii="Arial" w:eastAsia="Calibri" w:hAnsi="Arial" w:cs="Arial"/>
          <w:szCs w:val="28"/>
          <w:lang w:val="uk-UA"/>
        </w:rPr>
        <w:br/>
        <w:t>Національного університету «Одеська юридична академія»</w:t>
      </w:r>
    </w:p>
    <w:p w14:paraId="62560214" w14:textId="77777777" w:rsidR="00532C25" w:rsidRPr="00511005" w:rsidRDefault="00532C25" w:rsidP="00532C25">
      <w:pPr>
        <w:spacing w:line="264" w:lineRule="auto"/>
        <w:ind w:firstLine="720"/>
        <w:jc w:val="center"/>
        <w:rPr>
          <w:rFonts w:ascii="Arial" w:eastAsia="Calibri" w:hAnsi="Arial" w:cs="Arial"/>
          <w:b/>
          <w:szCs w:val="28"/>
          <w:lang w:val="uk-UA"/>
        </w:rPr>
      </w:pPr>
    </w:p>
    <w:p w14:paraId="189A9581"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rPr>
        <w:t>ВИКОРИСТАННЯ ШТУЧНОГО ІНТЕЛЕКТУ У КРИМІНАЛІСТИЦІ: ПЕРСПЕКТИВИ ТА РИЗИКИ ДЛЯ ЗАБЕЗПЕЧЕННЯ ПРАВ ЛЮДИНИ</w:t>
      </w:r>
    </w:p>
    <w:p w14:paraId="7D66405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lastRenderedPageBreak/>
        <w:t xml:space="preserve">У ХХІ столітті технології штучного інтелекту (ШІ) дедалі активніше впроваджуються </w:t>
      </w:r>
      <w:proofErr w:type="gramStart"/>
      <w:r w:rsidRPr="00511005">
        <w:rPr>
          <w:rFonts w:ascii="Arial" w:eastAsia="Calibri" w:hAnsi="Arial" w:cs="Arial"/>
          <w:szCs w:val="28"/>
        </w:rPr>
        <w:t>у сферу</w:t>
      </w:r>
      <w:proofErr w:type="gramEnd"/>
      <w:r w:rsidRPr="00511005">
        <w:rPr>
          <w:rFonts w:ascii="Arial" w:eastAsia="Calibri" w:hAnsi="Arial" w:cs="Arial"/>
          <w:szCs w:val="28"/>
        </w:rPr>
        <w:t xml:space="preserve"> криміналістики, змінюючи підходи до розслідування злочинів, збору доказів та прогнозування злочинної поведінки. Сучасний розвиток технологій та стрімкий прогрес у галузі штучного інтелекту відкривають безліч можливостей у сфері криміналістики. Окрім забезпечення належної технічної бази для використання алгоритмів штучного інтелекту в кримінальному провадженні України, важливо також запроваджувати ефективне та якісне нормативне регулювання застосування таких технологій у сфері кримінального правосуддя [1, c. 558]. Використання новітніх технологій, таких як штучний інтелект, сприятиме більш ефективному розкриттю злочинів та забезпеченню вищої ефективності криміналістичних досліджень [2, с. 610]. Використання ШІ відкриває значні перспективи для підвищення ефективності криміналістичних досліджень, проте одночасно породжує серйозні виклики у контексті забезпечення прав людини, насамперед права на справедливий суд, право на захист, право на приватність та презумпцію невинуватості.</w:t>
      </w:r>
    </w:p>
    <w:p w14:paraId="56BF3893"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Юхно О. дослідив проблематику використання сучасних технологій та штучного інтелекту у криміналістиці, експертній діяльності й досудовому розслідуванні. Він говорить про те, що штучний інтелект стає визначальним чинником розвитку цифрової економіки </w:t>
      </w:r>
      <w:proofErr w:type="gramStart"/>
      <w:r w:rsidRPr="00511005">
        <w:rPr>
          <w:rFonts w:ascii="Arial" w:eastAsia="Calibri" w:hAnsi="Arial" w:cs="Arial"/>
          <w:szCs w:val="28"/>
        </w:rPr>
        <w:t>в будь</w:t>
      </w:r>
      <w:proofErr w:type="gramEnd"/>
      <w:r w:rsidRPr="00511005">
        <w:rPr>
          <w:rFonts w:ascii="Arial" w:eastAsia="Calibri" w:hAnsi="Arial" w:cs="Arial"/>
          <w:szCs w:val="28"/>
        </w:rPr>
        <w:t>-якій державі. Водночас його застосування пов'язане з потенційними загрозами, які викликають серйозні питання і потребують правового забезпечення безпечного функціонування таких систем. Окрім цього, автор акцентує увагу на етичних і правових викликах, пов'язаних із використанням штучного інтелекту, які досі залишаються недостатньо вивченими. Також можемо погодитись з ученим щодо актуальності проблеми формування понятійного апарату штучного інтелекту як необхідного елементу регулювання нових сфер діяльності [3, c. 53].</w:t>
      </w:r>
    </w:p>
    <w:p w14:paraId="00EA39B2"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У цьому контексті виникає необхідність ретельного аналізу можливостей і ризиків, які супроводжують інтеграцію штучного інтелекту в криміналістичну практику.</w:t>
      </w:r>
    </w:p>
    <w:p w14:paraId="34B4106C"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Times New Roman" w:hAnsi="Arial" w:cs="Arial"/>
          <w:szCs w:val="28"/>
        </w:rPr>
        <w:t>Впровадження ШІ у криміналістиці має низку беззаперечних переваг. Серед основних напрямів використання можна виділити:</w:t>
      </w:r>
    </w:p>
    <w:p w14:paraId="7AE6BFE5" w14:textId="77777777" w:rsidR="00532C25" w:rsidRPr="00511005" w:rsidRDefault="00532C25" w:rsidP="003F6A5D">
      <w:pPr>
        <w:numPr>
          <w:ilvl w:val="0"/>
          <w:numId w:val="664"/>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автоматизоване розпізнавання образів (відбитків пальців, облич, номерних знаків);</w:t>
      </w:r>
    </w:p>
    <w:p w14:paraId="015CB689" w14:textId="77777777" w:rsidR="00532C25" w:rsidRPr="00511005" w:rsidRDefault="00532C25" w:rsidP="003F6A5D">
      <w:pPr>
        <w:numPr>
          <w:ilvl w:val="0"/>
          <w:numId w:val="664"/>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обробку великих масивів інформації для виявлення закономірностей та аномалій;</w:t>
      </w:r>
    </w:p>
    <w:p w14:paraId="5CD344B7" w14:textId="77777777" w:rsidR="00532C25" w:rsidRPr="00511005" w:rsidRDefault="00532C25" w:rsidP="003F6A5D">
      <w:pPr>
        <w:numPr>
          <w:ilvl w:val="0"/>
          <w:numId w:val="664"/>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побудову криміналістичних профілів осіб на основі аналізу поведінкових характеристик;</w:t>
      </w:r>
    </w:p>
    <w:p w14:paraId="2FFFFAFF" w14:textId="77777777" w:rsidR="00532C25" w:rsidRPr="00511005" w:rsidRDefault="00532C25" w:rsidP="003F6A5D">
      <w:pPr>
        <w:numPr>
          <w:ilvl w:val="0"/>
          <w:numId w:val="664"/>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прогнозування ризиків вчинення злочинів за допомогою предиктивної аналітики.</w:t>
      </w:r>
    </w:p>
    <w:p w14:paraId="0A4CD7C4"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lastRenderedPageBreak/>
        <w:t>Наприклад, сучасні системи на базі машинного навчання вже сьогодні здатні за лічені хвилини проаналізувати сотні тисяч кримінальних справ для пошуку спільних рис чи особливостей модусу операнді злочинців.</w:t>
      </w:r>
    </w:p>
    <w:p w14:paraId="40FE267C"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На думку українських дослідників, використання ШІ дозволяє зменшити вплив суб'єктивного людського фактору на процес розслідування, підвищуючи об'єктивність і неупередженість криміналістичних висновків.</w:t>
      </w:r>
    </w:p>
    <w:p w14:paraId="71174A4C"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Більше того, застосування інтелектуальних систем може значно прискорити прийняття рішень у невідкладних ситуаціях, що особливо важливо у випадках терористичних загроз, масових заворушень або катастроф.</w:t>
      </w:r>
    </w:p>
    <w:p w14:paraId="258A2AFD"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Попри очевидні переваги, використання ШІ у криміналістиці пов'язане з рядом серйозних ризиків. </w:t>
      </w:r>
    </w:p>
    <w:p w14:paraId="409FFC9C"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1. Упередженість алгоритмів – алгоритми ШІ здатні відтворювати упередження, притаманні даним, на яких вони навчаються. Невірно підібрані або викривлені дані можуть призвести до дискримінації за ознаками раси, статі, національності або соціального статусу. Таким чином, замість підвищення справедливості кримінального судочинства існує небезпека посилення існуючих нерівностей. </w:t>
      </w:r>
    </w:p>
    <w:p w14:paraId="54AAB833"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2. Загроза праву на приватність – технології розпізнавання облич, стеження за пересуванням осіб, аналіз цифрових слідів без належного судового контролю можуть суттєво обмежити право на приватність, гарантоване Конституцією України та міжнародними актами. Відсутність чітких обмежень щодо використання таких технологій створює умови для зловживань з боку правоохоронних органів, що може призвести до надмірного втручання в особисте життя громадян. </w:t>
      </w:r>
    </w:p>
    <w:p w14:paraId="346959F7"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3. Проблема відповідальності – використання автономних систем у криміналістиці ставить питання: хто нестиме відповідальність у випадку помилки ШІ? Досі в українському правовому полі немає чіткої відповіді на це питання. Неправомірне покладення відповідальності на алгоритм або відсутність механізму апеляції рішень, ухвалених із застосуванням ШІ, суперечить основним принципам справедливого судочинства. </w:t>
      </w:r>
    </w:p>
    <w:p w14:paraId="48AD1F9D"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4. Загроза презумпції невинуватості – автоматичні системи ризикують створити «цифровий профіль» особи як потенційного правопорушника без достатніх доказів вини, що прямо порушує принцип презумпції невинуватості.</w:t>
      </w:r>
    </w:p>
    <w:p w14:paraId="34A29D6E"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З огляду на викладене, ми можемо наголосити на критичній необхідності розробки чітких нормативно-правових актів щодо використання штучного інтелекту в криміналістиці.</w:t>
      </w:r>
    </w:p>
    <w:p w14:paraId="5D7E652B"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Такий нормативно-правовий акт має включати: вимоги до валідації алгоритмів та обов'язкове тестування на упередженість; запровадження механізмів судового та громадського контролю за використанням технологій ШІ; забезпечення права особи на ознайомлення з принципами роботи </w:t>
      </w:r>
      <w:r w:rsidRPr="00511005">
        <w:rPr>
          <w:rFonts w:ascii="Arial" w:eastAsia="Times New Roman" w:hAnsi="Arial" w:cs="Arial"/>
          <w:szCs w:val="28"/>
        </w:rPr>
        <w:lastRenderedPageBreak/>
        <w:t>алгоритмів та можливість оскарження рішень, ухвалених із їх застосуванням; обов'язковий захист персональних даних відповідно до європейських стандартів (GDPR).</w:t>
      </w:r>
    </w:p>
    <w:p w14:paraId="54FC0527"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Правове регулювання повинно гарантувати баланс між інтересами держави в боротьбі зі злочинністю та захистом основоположних прав людини.</w:t>
      </w:r>
    </w:p>
    <w:p w14:paraId="635E7D89"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Отже, використання штучного інтелекту в криміналістиці має величезний потенціал для розвитку сучасних правоохоронних практик. Проте без належного нормативного регулювання і належного захисту прав людини ці технології можуть стати джерелом нових загроз. Пріоритетом має стати не тільки впровадження технологій, але й створення таких умов, за яких права людини будуть безумовно дотримані, а застосування ШІ – прозорим, контрольованим та справедливим процесом.</w:t>
      </w:r>
    </w:p>
    <w:p w14:paraId="3B02DED7" w14:textId="77777777" w:rsidR="00532C25" w:rsidRPr="00511005" w:rsidRDefault="00532C25" w:rsidP="00532C25">
      <w:pPr>
        <w:spacing w:line="264" w:lineRule="auto"/>
        <w:ind w:firstLine="720"/>
        <w:jc w:val="center"/>
        <w:rPr>
          <w:rFonts w:ascii="Arial" w:eastAsia="Calibri" w:hAnsi="Arial" w:cs="Arial"/>
          <w:b/>
          <w:szCs w:val="28"/>
          <w:shd w:val="clear" w:color="auto" w:fill="FFFFFF"/>
        </w:rPr>
      </w:pPr>
    </w:p>
    <w:p w14:paraId="782BB16C" w14:textId="77777777" w:rsidR="00532C25" w:rsidRPr="00511005" w:rsidRDefault="00532C25" w:rsidP="00532C25">
      <w:pPr>
        <w:spacing w:line="264" w:lineRule="auto"/>
        <w:ind w:firstLine="720"/>
        <w:jc w:val="center"/>
        <w:rPr>
          <w:rFonts w:ascii="Arial" w:eastAsia="Calibri" w:hAnsi="Arial" w:cs="Arial"/>
          <w:b/>
          <w:szCs w:val="28"/>
          <w:shd w:val="clear" w:color="auto" w:fill="FFFFFF"/>
        </w:rPr>
      </w:pPr>
      <w:r w:rsidRPr="00511005">
        <w:rPr>
          <w:rFonts w:ascii="Arial" w:eastAsia="Calibri" w:hAnsi="Arial" w:cs="Arial"/>
          <w:b/>
          <w:szCs w:val="28"/>
          <w:shd w:val="clear" w:color="auto" w:fill="FFFFFF"/>
          <w:lang w:val="uk-UA"/>
        </w:rPr>
        <w:t>Список використаних джерел</w:t>
      </w:r>
    </w:p>
    <w:p w14:paraId="3F427BD6" w14:textId="77777777" w:rsidR="00532C25" w:rsidRPr="00511005" w:rsidRDefault="00532C25" w:rsidP="003F6A5D">
      <w:pPr>
        <w:numPr>
          <w:ilvl w:val="0"/>
          <w:numId w:val="663"/>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Колодіна А.C., Чіпко Н.В. П</w:t>
      </w:r>
      <w:r w:rsidRPr="00511005">
        <w:rPr>
          <w:rFonts w:ascii="Arial" w:eastAsia="Times New Roman" w:hAnsi="Arial" w:cs="Arial"/>
          <w:b/>
          <w:bCs/>
          <w:szCs w:val="28"/>
          <w:lang w:eastAsia="ru-RU"/>
        </w:rPr>
        <w:t xml:space="preserve">роблемні питання використання новітніх технологій та штучного інтелекту в криміналістиці. </w:t>
      </w:r>
      <w:r w:rsidRPr="00511005">
        <w:rPr>
          <w:rFonts w:ascii="Arial" w:eastAsia="Times New Roman" w:hAnsi="Arial" w:cs="Arial"/>
          <w:i/>
          <w:szCs w:val="28"/>
          <w:lang w:eastAsia="ru-RU"/>
        </w:rPr>
        <w:t>Юридичний науковий електронний журнал.</w:t>
      </w:r>
      <w:r w:rsidRPr="00511005">
        <w:rPr>
          <w:rFonts w:ascii="Arial" w:eastAsia="Times New Roman" w:hAnsi="Arial" w:cs="Arial"/>
          <w:szCs w:val="28"/>
          <w:lang w:eastAsia="ru-RU"/>
        </w:rPr>
        <w:t xml:space="preserve"> 2024. Вип. 1.</w:t>
      </w:r>
      <w:r w:rsidRPr="00511005">
        <w:rPr>
          <w:rFonts w:ascii="Arial" w:eastAsia="Times New Roman" w:hAnsi="Arial" w:cs="Arial"/>
          <w:b/>
          <w:bCs/>
          <w:szCs w:val="28"/>
          <w:lang w:eastAsia="ru-RU"/>
        </w:rPr>
        <w:t xml:space="preserve"> С. 610-612. URL: </w:t>
      </w:r>
      <w:hyperlink r:id="rId1984" w:history="1">
        <w:r w:rsidRPr="00511005">
          <w:rPr>
            <w:rFonts w:ascii="Arial" w:eastAsia="Times New Roman" w:hAnsi="Arial" w:cs="Arial"/>
            <w:szCs w:val="28"/>
            <w:lang w:eastAsia="ru-RU"/>
          </w:rPr>
          <w:t>http://www.lsej.org.ua/1_2024/147.pdf</w:t>
        </w:r>
      </w:hyperlink>
    </w:p>
    <w:p w14:paraId="7495A777" w14:textId="77777777" w:rsidR="00532C25" w:rsidRPr="00511005" w:rsidRDefault="00532C25" w:rsidP="003F6A5D">
      <w:pPr>
        <w:numPr>
          <w:ilvl w:val="0"/>
          <w:numId w:val="663"/>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Демура М.І., Клепка Д.І. Перспективи застосування штучного інтелекту у галузі кримінального судочинства. </w:t>
      </w:r>
      <w:r w:rsidRPr="00511005">
        <w:rPr>
          <w:rFonts w:ascii="Arial" w:eastAsia="Times New Roman" w:hAnsi="Arial" w:cs="Arial"/>
          <w:i/>
          <w:szCs w:val="28"/>
          <w:lang w:eastAsia="ru-RU"/>
        </w:rPr>
        <w:t xml:space="preserve">Юридичний науковий електронний журнал. </w:t>
      </w:r>
      <w:r w:rsidRPr="00511005">
        <w:rPr>
          <w:rFonts w:ascii="Arial" w:eastAsia="Times New Roman" w:hAnsi="Arial" w:cs="Arial"/>
          <w:szCs w:val="28"/>
          <w:lang w:eastAsia="ru-RU"/>
        </w:rPr>
        <w:t>2022. Вип. 5. С. 554–558.</w:t>
      </w:r>
      <w:r w:rsidRPr="00511005">
        <w:rPr>
          <w:rFonts w:ascii="Arial" w:eastAsia="Times New Roman" w:hAnsi="Arial" w:cs="Arial"/>
          <w:b/>
          <w:bCs/>
          <w:szCs w:val="28"/>
          <w:lang w:eastAsia="ru-RU"/>
        </w:rPr>
        <w:t xml:space="preserve"> URL: </w:t>
      </w:r>
      <w:hyperlink r:id="rId1985" w:history="1">
        <w:r w:rsidRPr="00511005">
          <w:rPr>
            <w:rFonts w:ascii="Arial" w:eastAsia="Times New Roman" w:hAnsi="Arial" w:cs="Arial"/>
            <w:szCs w:val="28"/>
            <w:lang w:eastAsia="ru-RU"/>
          </w:rPr>
          <w:t>http://lsej.org.ua/5_2022/133.pdf</w:t>
        </w:r>
      </w:hyperlink>
    </w:p>
    <w:p w14:paraId="2C46818F" w14:textId="77777777" w:rsidR="00532C25" w:rsidRPr="00511005" w:rsidRDefault="00532C25" w:rsidP="003F6A5D">
      <w:pPr>
        <w:numPr>
          <w:ilvl w:val="0"/>
          <w:numId w:val="663"/>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Юхно О. Генезис і проблемні питання використання новітніх технологій та штучного інтелекту в криміналістиці, експертній діяльності та досудовому розслідуванні</w:t>
      </w:r>
      <w:r w:rsidRPr="00511005">
        <w:rPr>
          <w:rFonts w:ascii="Arial" w:eastAsia="Times New Roman" w:hAnsi="Arial" w:cs="Arial"/>
          <w:i/>
          <w:szCs w:val="28"/>
          <w:lang w:eastAsia="ru-RU"/>
        </w:rPr>
        <w:t>. Теорія та практика судової експертизи і криміналістики</w:t>
      </w:r>
      <w:r w:rsidRPr="00511005">
        <w:rPr>
          <w:rFonts w:ascii="Arial" w:eastAsia="Times New Roman" w:hAnsi="Arial" w:cs="Arial"/>
          <w:szCs w:val="28"/>
          <w:lang w:eastAsia="ru-RU"/>
        </w:rPr>
        <w:t xml:space="preserve">. 2021. Випуск 3 (25). C. 40–59.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1986"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khrife</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journal</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org</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index</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php</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journal</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article</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download</w:t>
        </w:r>
        <w:r w:rsidRPr="00511005">
          <w:rPr>
            <w:rFonts w:ascii="Arial" w:eastAsia="Times New Roman" w:hAnsi="Arial" w:cs="Arial"/>
            <w:szCs w:val="28"/>
            <w:lang w:eastAsia="ru-RU"/>
          </w:rPr>
          <w:t>/499/545</w:t>
        </w:r>
      </w:hyperlink>
    </w:p>
    <w:p w14:paraId="27E51235" w14:textId="77777777" w:rsidR="00532C25" w:rsidRPr="00511005" w:rsidRDefault="00532C25" w:rsidP="00532C25">
      <w:pPr>
        <w:spacing w:line="264" w:lineRule="auto"/>
        <w:ind w:left="720" w:firstLine="0"/>
        <w:contextualSpacing/>
        <w:rPr>
          <w:rFonts w:ascii="Arial" w:eastAsia="Times New Roman" w:hAnsi="Arial" w:cs="Arial"/>
          <w:szCs w:val="28"/>
          <w:lang w:eastAsia="ru-RU"/>
        </w:rPr>
      </w:pPr>
    </w:p>
    <w:p w14:paraId="19F84B21" w14:textId="77777777" w:rsidR="00532C25" w:rsidRPr="00511005" w:rsidRDefault="00532C25" w:rsidP="00532C25">
      <w:pPr>
        <w:keepNext/>
        <w:spacing w:line="264" w:lineRule="auto"/>
        <w:ind w:firstLine="720"/>
        <w:rPr>
          <w:rFonts w:ascii="Arial" w:eastAsia="Calibri" w:hAnsi="Arial" w:cs="Arial"/>
          <w:szCs w:val="28"/>
        </w:rPr>
      </w:pPr>
      <w:r w:rsidRPr="00511005">
        <w:rPr>
          <w:rFonts w:ascii="Arial" w:eastAsia="Calibri" w:hAnsi="Arial" w:cs="Arial"/>
          <w:b/>
          <w:i/>
          <w:szCs w:val="28"/>
        </w:rPr>
        <w:t xml:space="preserve">Ключові слова: </w:t>
      </w:r>
      <w:r w:rsidRPr="00511005">
        <w:rPr>
          <w:rFonts w:ascii="Arial" w:eastAsia="Calibri" w:hAnsi="Arial" w:cs="Arial"/>
          <w:szCs w:val="28"/>
        </w:rPr>
        <w:t>штучний інтелект, криміналістика, права людини, упередженість алгоритмів, право на приватність, презумпція невинуватості, кримінальне судочинство, нормативне регулювання.</w:t>
      </w:r>
    </w:p>
    <w:p w14:paraId="6566FC97" w14:textId="77777777" w:rsidR="00532C25" w:rsidRPr="00511005" w:rsidRDefault="00532C25" w:rsidP="00532C25">
      <w:pPr>
        <w:keepNext/>
        <w:spacing w:line="264" w:lineRule="auto"/>
        <w:ind w:firstLine="720"/>
        <w:rPr>
          <w:rFonts w:ascii="Arial" w:eastAsia="Calibri" w:hAnsi="Arial" w:cs="Arial"/>
          <w:bCs/>
          <w:szCs w:val="28"/>
          <w:lang w:val="en-US"/>
        </w:rPr>
      </w:pPr>
      <w:r w:rsidRPr="00511005">
        <w:rPr>
          <w:rFonts w:ascii="Arial" w:eastAsia="Calibri" w:hAnsi="Arial" w:cs="Arial"/>
          <w:b/>
          <w:i/>
          <w:szCs w:val="28"/>
          <w:lang w:val="en-US"/>
        </w:rPr>
        <w:t xml:space="preserve">Key words: </w:t>
      </w:r>
      <w:r w:rsidRPr="00511005">
        <w:rPr>
          <w:rFonts w:ascii="Arial" w:eastAsia="Calibri" w:hAnsi="Arial" w:cs="Arial"/>
          <w:bCs/>
          <w:szCs w:val="28"/>
        </w:rPr>
        <w:t>а</w:t>
      </w:r>
      <w:r w:rsidRPr="00511005">
        <w:rPr>
          <w:rFonts w:ascii="Arial" w:eastAsia="Calibri" w:hAnsi="Arial" w:cs="Arial"/>
          <w:szCs w:val="28"/>
          <w:lang w:val="en-US"/>
        </w:rPr>
        <w:t>rtificial intelligence, criminalistics, human rights, algorithmic bias, right to privacy, presumption of innocence, criminal proceedings, legal regulation</w:t>
      </w:r>
    </w:p>
    <w:p w14:paraId="3AF51143" w14:textId="77777777" w:rsidR="00532C25" w:rsidRPr="00511005" w:rsidRDefault="00532C25" w:rsidP="00532C25">
      <w:pPr>
        <w:spacing w:line="264" w:lineRule="auto"/>
        <w:ind w:right="510" w:firstLine="720"/>
        <w:rPr>
          <w:rFonts w:ascii="Arial" w:eastAsia="Calibri" w:hAnsi="Arial" w:cs="Arial"/>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bCs/>
          <w:i/>
          <w:iCs/>
          <w:szCs w:val="28"/>
        </w:rPr>
        <w:t>к.ю.н., доцент Шершенькова В.А.</w:t>
      </w:r>
    </w:p>
    <w:p w14:paraId="66A3FA19" w14:textId="77777777" w:rsidR="00532C25" w:rsidRPr="00511005" w:rsidRDefault="00532C25" w:rsidP="00532C25">
      <w:pPr>
        <w:spacing w:line="264" w:lineRule="auto"/>
        <w:ind w:firstLine="720"/>
        <w:rPr>
          <w:rFonts w:ascii="Arial" w:eastAsia="Calibri" w:hAnsi="Arial" w:cs="Arial"/>
          <w:b/>
          <w:iCs/>
          <w:szCs w:val="28"/>
        </w:rPr>
      </w:pPr>
    </w:p>
    <w:p w14:paraId="3BBE8B37"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Times New Roman" w:hAnsi="Arial" w:cs="Arial"/>
          <w:b/>
          <w:bCs/>
          <w:i/>
          <w:iCs/>
          <w:kern w:val="32"/>
          <w:szCs w:val="28"/>
          <w:lang w:val="uk-UA" w:eastAsia="zh-CN"/>
        </w:rPr>
        <w:t>Кузюк Юліана Володимирівна</w:t>
      </w:r>
    </w:p>
    <w:p w14:paraId="17EF99AB"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5DE7030C"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26CB99B"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0192569" w14:textId="77777777" w:rsidR="00532C25" w:rsidRPr="00511005" w:rsidRDefault="00532C25" w:rsidP="00532C25">
      <w:pPr>
        <w:spacing w:line="264" w:lineRule="auto"/>
        <w:ind w:firstLine="720"/>
        <w:jc w:val="left"/>
        <w:rPr>
          <w:rFonts w:ascii="Arial" w:eastAsia="Calibri" w:hAnsi="Arial" w:cs="Arial"/>
          <w:szCs w:val="28"/>
          <w:lang w:val="uk-UA"/>
        </w:rPr>
      </w:pPr>
    </w:p>
    <w:p w14:paraId="7FBCE62A"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rPr>
        <w:lastRenderedPageBreak/>
        <w:t xml:space="preserve">ДО ПИТАННЯ СЛІДЧИХ СИТУАЦІЙ ПРИ РОЗСЛІДУВАННІ </w:t>
      </w:r>
      <w:r w:rsidRPr="00511005">
        <w:rPr>
          <w:rFonts w:ascii="Arial" w:eastAsia="Calibri" w:hAnsi="Arial" w:cs="Arial"/>
          <w:b/>
          <w:bCs/>
          <w:szCs w:val="28"/>
          <w:lang w:val="uk-UA"/>
        </w:rPr>
        <w:t>КРИМІНАЛЬНИХ ПОЖЕЖ</w:t>
      </w:r>
    </w:p>
    <w:p w14:paraId="0CD6D2DF" w14:textId="77777777" w:rsidR="00532C25" w:rsidRPr="00511005" w:rsidRDefault="00532C25" w:rsidP="00532C25">
      <w:pPr>
        <w:spacing w:line="264" w:lineRule="auto"/>
        <w:ind w:firstLine="720"/>
        <w:jc w:val="center"/>
        <w:rPr>
          <w:rFonts w:ascii="Arial" w:eastAsia="Calibri" w:hAnsi="Arial" w:cs="Arial"/>
          <w:b/>
          <w:bCs/>
          <w:szCs w:val="28"/>
          <w:lang w:val="uk-UA"/>
        </w:rPr>
      </w:pPr>
    </w:p>
    <w:p w14:paraId="286460F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Пожежі на нинішньому етапі розвитку нашої держави – це серйозна загальнодержавна проблема. Від стану пожежної охорони залежить збереження усіх видів матеріальних цінностей в українських областях, життя та здоров’я українців, відтак і розквіт та добробут нашої країни. З огляду на це, привернення уваги фахівців різних галузей знань, зокрема істориків, до проблем вогнеборчої справи у минулі часи в нашій державі, на наш погляд, має важливе суспільне та державне значення. Дослідження системи пожежної охорони в Україні як складової державної політики цивільної безпеки громадян у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zakon</w:instrText>
      </w:r>
      <w:r w:rsidR="005938AD" w:rsidRPr="00055389">
        <w:rPr>
          <w:lang w:val="uk-UA"/>
        </w:rPr>
        <w:instrText>.</w:instrText>
      </w:r>
      <w:r w:rsidR="005938AD">
        <w:instrText>rada</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laws</w:instrText>
      </w:r>
      <w:r w:rsidR="005938AD" w:rsidRPr="00055389">
        <w:rPr>
          <w:lang w:val="uk-UA"/>
        </w:rPr>
        <w:instrText>/</w:instrText>
      </w:r>
      <w:r w:rsidR="005938AD">
        <w:instrText>show</w:instrText>
      </w:r>
      <w:r w:rsidR="005938AD" w:rsidRPr="00055389">
        <w:rPr>
          <w:lang w:val="uk-UA"/>
        </w:rPr>
        <w:instrText>/64/2022" \</w:instrText>
      </w:r>
      <w:r w:rsidR="005938AD">
        <w:instrText>l</w:instrText>
      </w:r>
      <w:r w:rsidR="005938AD" w:rsidRPr="00055389">
        <w:rPr>
          <w:lang w:val="uk-UA"/>
        </w:rPr>
        <w:instrText xml:space="preserve"> "</w:instrText>
      </w:r>
      <w:r w:rsidR="005938AD">
        <w:instrText>Text</w:instrText>
      </w:r>
      <w:r w:rsidR="005938AD" w:rsidRPr="00055389">
        <w:rPr>
          <w:lang w:val="uk-UA"/>
        </w:rPr>
        <w:instrText xml:space="preserve">" </w:instrText>
      </w:r>
      <w:r w:rsidR="005938AD">
        <w:fldChar w:fldCharType="separate"/>
      </w:r>
      <w:r w:rsidRPr="00511005">
        <w:rPr>
          <w:rFonts w:ascii="Arial" w:eastAsia="Calibri" w:hAnsi="Arial" w:cs="Arial"/>
          <w:szCs w:val="28"/>
          <w:lang w:val="uk-UA"/>
        </w:rPr>
        <w:t>воєнний період</w:t>
      </w:r>
      <w:r w:rsidR="005938AD">
        <w:rPr>
          <w:rFonts w:ascii="Arial" w:eastAsia="Calibri" w:hAnsi="Arial" w:cs="Arial"/>
          <w:szCs w:val="28"/>
          <w:lang w:val="uk-UA"/>
        </w:rPr>
        <w:fldChar w:fldCharType="end"/>
      </w:r>
      <w:r w:rsidRPr="00511005">
        <w:rPr>
          <w:rFonts w:ascii="Arial" w:eastAsia="Calibri" w:hAnsi="Arial" w:cs="Arial"/>
          <w:szCs w:val="28"/>
          <w:lang w:val="uk-UA"/>
        </w:rPr>
        <w:t xml:space="preserve"> є, безперечно, актуальним. Проблеми розслідування пожеж були об'єктом уваги таких науковців та практиків як Р. В. Климась, Т.О. Коршикова, Д. Я. Матвійчук, С. Є. Монастирецький, А. В. Одинець, М. М. Піксасов, Л. А. Шрамко. Метою в цій роботі ми вважаємо конкретизацію слідчих ситуацій кримінальних пожеж.</w:t>
      </w:r>
    </w:p>
    <w:p w14:paraId="2DE9E20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Підпали та інші злочинні дії, пов’язані з вогнем, завдають шкоди економіці, майну, життю та здоров’ю громадян. Основним завданням розслідування цих злочинів є з’ясування всіх обставин, пов’язаних із виникненням пожежі, встановлення причин та винних у виникненні пожежі. На відміну від стихійних пожеж, пожежі, що виникають як злочинні суспільно небезпечні дії (кримінальні пожежі), є наслідком умисних дій людей (підпалів) або злочинних дій, які порушують вимоги пожежної безпеки, встановлені законодавством. В наслідок узагальнення наукової літератури та ознайомлення із даними реєстру судових рішень та відкритих джерел інформації про факти вчинення кримінальних пожеж такі пожежі можна розділити на дві категорії.</w:t>
      </w:r>
    </w:p>
    <w:p w14:paraId="009082F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Перша категорія – це пожежа внаслідок підпалу, під яким ми розуміємо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zakon</w:instrText>
      </w:r>
      <w:r w:rsidR="005938AD" w:rsidRPr="00055389">
        <w:rPr>
          <w:lang w:val="uk-UA"/>
        </w:rPr>
        <w:instrText>.</w:instrText>
      </w:r>
      <w:r w:rsidR="005938AD">
        <w:instrText>rada</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laws</w:instrText>
      </w:r>
      <w:r w:rsidR="005938AD" w:rsidRPr="00055389">
        <w:rPr>
          <w:lang w:val="uk-UA"/>
        </w:rPr>
        <w:instrText>/</w:instrText>
      </w:r>
      <w:r w:rsidR="005938AD">
        <w:instrText>show</w:instrText>
      </w:r>
      <w:r w:rsidR="005938AD" w:rsidRPr="00055389">
        <w:rPr>
          <w:lang w:val="uk-UA"/>
        </w:rPr>
        <w:instrText>/2341-14" \</w:instrText>
      </w:r>
      <w:r w:rsidR="005938AD">
        <w:instrText>l</w:instrText>
      </w:r>
      <w:r w:rsidR="005938AD" w:rsidRPr="00055389">
        <w:rPr>
          <w:lang w:val="uk-UA"/>
        </w:rPr>
        <w:instrText xml:space="preserve"> "</w:instrText>
      </w:r>
      <w:r w:rsidR="005938AD">
        <w:instrText>Text</w:instrText>
      </w:r>
      <w:r w:rsidR="005938AD" w:rsidRPr="00055389">
        <w:rPr>
          <w:lang w:val="uk-UA"/>
        </w:rPr>
        <w:instrText xml:space="preserve">" </w:instrText>
      </w:r>
      <w:r w:rsidR="005938AD">
        <w:fldChar w:fldCharType="separate"/>
      </w:r>
      <w:r w:rsidRPr="00511005">
        <w:rPr>
          <w:rFonts w:ascii="Arial" w:eastAsia="Calibri" w:hAnsi="Arial" w:cs="Arial"/>
          <w:szCs w:val="28"/>
          <w:lang w:val="uk-UA"/>
        </w:rPr>
        <w:t>умисне знищення або пошкодження чужого майна шляхом підпалу, що заподіяло шкоду в великих розмірах (передбачено ч. 2 ст. 194 КК України</w:t>
      </w:r>
      <w:r w:rsidR="005938AD">
        <w:rPr>
          <w:rFonts w:ascii="Arial" w:eastAsia="Calibri" w:hAnsi="Arial" w:cs="Arial"/>
          <w:szCs w:val="28"/>
          <w:lang w:val="uk-UA"/>
        </w:rPr>
        <w:fldChar w:fldCharType="end"/>
      </w:r>
      <w:r w:rsidRPr="00511005">
        <w:rPr>
          <w:rFonts w:ascii="Arial" w:eastAsia="Calibri" w:hAnsi="Arial" w:cs="Arial"/>
          <w:szCs w:val="28"/>
          <w:lang w:val="uk-UA"/>
        </w:rPr>
        <w:t>). Першопричини таких кримінальних підпалів є приховування раніше вчиненого злочину чи іншого випадку (вбивство на дому, крадіжка тощо), створення ситуації, що спонукає інших до вчинення злочинів, розправа з власниками майна та іншими особами, діяльність яких пов’язана з підпалами об’єктів (через сварки, порушення прав тощо), залякування потерпілих і вимагання хабара, отримання страхового внеску, нову квартиру та багато інших.</w:t>
      </w:r>
    </w:p>
    <w:p w14:paraId="42FC99C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Друга категорія – це пожежа, що виникла внаслідок порушення встановлених законодавством вимог пожежної безпеки, у тому числі необережне поводження з вогнем (передбачена </w:t>
      </w:r>
      <w:hyperlink r:id="rId1987" w:anchor="Text" w:history="1">
        <w:r w:rsidRPr="00511005">
          <w:rPr>
            <w:rFonts w:ascii="Arial" w:eastAsia="Calibri" w:hAnsi="Arial" w:cs="Arial"/>
            <w:szCs w:val="28"/>
            <w:lang w:val="uk-UA"/>
          </w:rPr>
          <w:t xml:space="preserve"> ст. 270 КК України</w:t>
        </w:r>
      </w:hyperlink>
      <w:r w:rsidRPr="00511005">
        <w:rPr>
          <w:rFonts w:ascii="Arial" w:eastAsia="Calibri" w:hAnsi="Arial" w:cs="Arial"/>
          <w:szCs w:val="28"/>
          <w:lang w:val="uk-UA"/>
        </w:rPr>
        <w:t xml:space="preserve">). Першопричини пожежі можуть бути різні, наприклад, при створенні умов, що сприяють самозайманню; при використанні спеціального обладнання; при </w:t>
      </w:r>
      <w:r w:rsidRPr="00511005">
        <w:rPr>
          <w:rFonts w:ascii="Arial" w:eastAsia="Calibri" w:hAnsi="Arial" w:cs="Arial"/>
          <w:szCs w:val="28"/>
          <w:lang w:val="uk-UA"/>
        </w:rPr>
        <w:lastRenderedPageBreak/>
        <w:t>зберіганні легкозаймистих речовин; при порушенні правил пожежної безпеки.</w:t>
      </w:r>
    </w:p>
    <w:p w14:paraId="6FA3C6D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До порушень правил пожежної безпеки можна віднести: використання приладів, обладнання, установок, обладнаних засобами протипожежного захисту; роботу опалювального, освітлювального та іншого обладнання; порушення правил зберігання, транспортування та виробництва різних видів легкозаймистих товарів і матеріалів; використання відкритого вогню для інженерних робіт.</w:t>
      </w:r>
    </w:p>
    <w:p w14:paraId="7910658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Якщо говорити про ступінь складності в розслідуванні визначених вище категорій кримінальних пожеж, то можна звернутись до категорії рівень пожежі, зокрема в спеціальній літературі пишуть про такі рівні складності: А як горіння твердої речовини (A1 – з розпадом; А2 – без розпаду);Б – горіння рідких речовин (B1 – легко розчинний у воді; В2 – нерозчинний у воді); В – горіння газоподібних речовин (побутовий газ, водень, пропан); Г2 – горіння металу; E – електрообладнання для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zakon</w:instrText>
      </w:r>
      <w:r w:rsidR="005938AD" w:rsidRPr="00055389">
        <w:rPr>
          <w:lang w:val="uk-UA"/>
        </w:rPr>
        <w:instrText>.</w:instrText>
      </w:r>
      <w:r w:rsidR="005938AD">
        <w:instrText>rada</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laws</w:instrText>
      </w:r>
      <w:r w:rsidR="005938AD" w:rsidRPr="00055389">
        <w:rPr>
          <w:lang w:val="uk-UA"/>
        </w:rPr>
        <w:instrText>/</w:instrText>
      </w:r>
      <w:r w:rsidR="005938AD">
        <w:instrText>show</w:instrText>
      </w:r>
      <w:r w:rsidR="005938AD" w:rsidRPr="00055389">
        <w:rPr>
          <w:lang w:val="uk-UA"/>
        </w:rPr>
        <w:instrText>/</w:instrText>
      </w:r>
      <w:r w:rsidR="005938AD">
        <w:instrText>z</w:instrText>
      </w:r>
      <w:r w:rsidR="005938AD" w:rsidRPr="00055389">
        <w:rPr>
          <w:lang w:val="uk-UA"/>
        </w:rPr>
        <w:instrText>0998-17" \</w:instrText>
      </w:r>
      <w:r w:rsidR="005938AD">
        <w:instrText>l</w:instrText>
      </w:r>
      <w:r w:rsidR="005938AD" w:rsidRPr="00055389">
        <w:rPr>
          <w:lang w:val="uk-UA"/>
        </w:rPr>
        <w:instrText xml:space="preserve"> "</w:instrText>
      </w:r>
      <w:r w:rsidR="005938AD">
        <w:instrText>Text</w:instrText>
      </w:r>
      <w:r w:rsidR="005938AD" w:rsidRPr="00055389">
        <w:rPr>
          <w:lang w:val="uk-UA"/>
        </w:rPr>
        <w:instrText xml:space="preserve">" </w:instrText>
      </w:r>
      <w:r w:rsidR="005938AD">
        <w:fldChar w:fldCharType="separate"/>
      </w:r>
      <w:r w:rsidRPr="00511005">
        <w:rPr>
          <w:rFonts w:ascii="Arial" w:eastAsia="Calibri" w:hAnsi="Arial" w:cs="Arial"/>
          <w:szCs w:val="28"/>
          <w:lang w:val="uk-UA"/>
        </w:rPr>
        <w:t>спалювання</w:t>
      </w:r>
      <w:r w:rsidR="005938AD">
        <w:rPr>
          <w:rFonts w:ascii="Arial" w:eastAsia="Calibri" w:hAnsi="Arial" w:cs="Arial"/>
          <w:szCs w:val="28"/>
          <w:lang w:val="uk-UA"/>
        </w:rPr>
        <w:fldChar w:fldCharType="end"/>
      </w:r>
      <w:r w:rsidRPr="00511005">
        <w:rPr>
          <w:rFonts w:ascii="Arial" w:eastAsia="Calibri" w:hAnsi="Arial" w:cs="Arial"/>
          <w:szCs w:val="28"/>
          <w:lang w:val="uk-UA"/>
        </w:rPr>
        <w:t xml:space="preserve"> [1].</w:t>
      </w:r>
    </w:p>
    <w:p w14:paraId="0514894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Окремо слідчі ситуації підпалу розрізняються за основними типовими способами підпалів, які найчастіше використовуються злочинцями, зокрема на використання легкозаймистих речовин; використання спеціального обладнання; створення умов, що сприяють самозайманню; порушення правил пожежної безпеки.</w:t>
      </w:r>
    </w:p>
    <w:p w14:paraId="7FE3EF90" w14:textId="77777777" w:rsidR="00532C25" w:rsidRPr="00511005" w:rsidRDefault="005938AD" w:rsidP="00532C25">
      <w:pPr>
        <w:spacing w:line="264" w:lineRule="auto"/>
        <w:ind w:firstLine="720"/>
        <w:rPr>
          <w:rFonts w:ascii="Arial" w:eastAsia="Calibri" w:hAnsi="Arial" w:cs="Arial"/>
          <w:szCs w:val="28"/>
          <w:lang w:val="uk-UA"/>
        </w:rPr>
      </w:pPr>
      <w:r>
        <w:fldChar w:fldCharType="begin"/>
      </w:r>
      <w:r w:rsidRPr="00055389">
        <w:rPr>
          <w:lang w:val="uk-UA"/>
        </w:rPr>
        <w:instrText xml:space="preserve"> </w:instrText>
      </w:r>
      <w:r>
        <w:instrText>HYP</w:instrText>
      </w:r>
      <w:r>
        <w:instrText>ERLINK</w:instrText>
      </w:r>
      <w:r w:rsidRPr="00055389">
        <w:rPr>
          <w:lang w:val="uk-UA"/>
        </w:rPr>
        <w:instrText xml:space="preserve"> "</w:instrText>
      </w:r>
      <w:r>
        <w:instrText>https</w:instrText>
      </w:r>
      <w:r w:rsidRPr="00055389">
        <w:rPr>
          <w:lang w:val="uk-UA"/>
        </w:rPr>
        <w:instrText>://</w:instrText>
      </w:r>
      <w:r>
        <w:instrText>zakon</w:instrText>
      </w:r>
      <w:r w:rsidRPr="00055389">
        <w:rPr>
          <w:lang w:val="uk-UA"/>
        </w:rPr>
        <w:instrText>.</w:instrText>
      </w:r>
      <w:r>
        <w:instrText>rada</w:instrText>
      </w:r>
      <w:r w:rsidRPr="00055389">
        <w:rPr>
          <w:lang w:val="uk-UA"/>
        </w:rPr>
        <w:instrText>.</w:instrText>
      </w:r>
      <w:r>
        <w:instrText>gov</w:instrText>
      </w:r>
      <w:r w:rsidRPr="00055389">
        <w:rPr>
          <w:lang w:val="uk-UA"/>
        </w:rPr>
        <w:instrText>.</w:instrText>
      </w:r>
      <w:r>
        <w:instrText>ua</w:instrText>
      </w:r>
      <w:r w:rsidRPr="00055389">
        <w:rPr>
          <w:lang w:val="uk-UA"/>
        </w:rPr>
        <w:instrText>/</w:instrText>
      </w:r>
      <w:r>
        <w:instrText>laws</w:instrText>
      </w:r>
      <w:r w:rsidRPr="00055389">
        <w:rPr>
          <w:lang w:val="uk-UA"/>
        </w:rPr>
        <w:instrText>/</w:instrText>
      </w:r>
      <w:r>
        <w:instrText>show</w:instrText>
      </w:r>
      <w:r w:rsidRPr="00055389">
        <w:rPr>
          <w:lang w:val="uk-UA"/>
        </w:rPr>
        <w:instrText>/4651-17?</w:instrText>
      </w:r>
      <w:r>
        <w:instrText>find</w:instrText>
      </w:r>
      <w:r w:rsidRPr="00055389">
        <w:rPr>
          <w:lang w:val="uk-UA"/>
        </w:rPr>
        <w:instrText>=1&amp;</w:instrText>
      </w:r>
      <w:r>
        <w:instrText>text</w:instrText>
      </w:r>
      <w:r w:rsidRPr="00055389">
        <w:rPr>
          <w:lang w:val="uk-UA"/>
        </w:rPr>
        <w:instrText>=%</w:instrText>
      </w:r>
      <w:r>
        <w:instrText>D</w:instrText>
      </w:r>
      <w:r w:rsidRPr="00055389">
        <w:rPr>
          <w:lang w:val="uk-UA"/>
        </w:rPr>
        <w:instrText>0%</w:instrText>
      </w:r>
      <w:r>
        <w:instrText>BF</w:instrText>
      </w:r>
      <w:r w:rsidRPr="00055389">
        <w:rPr>
          <w:lang w:val="uk-UA"/>
        </w:rPr>
        <w:instrText>%</w:instrText>
      </w:r>
      <w:r>
        <w:instrText>D</w:instrText>
      </w:r>
      <w:r w:rsidRPr="00055389">
        <w:rPr>
          <w:lang w:val="uk-UA"/>
        </w:rPr>
        <w:instrText>0%</w:instrText>
      </w:r>
      <w:r>
        <w:instrText>BE</w:instrText>
      </w:r>
      <w:r w:rsidRPr="00055389">
        <w:rPr>
          <w:lang w:val="uk-UA"/>
        </w:rPr>
        <w:instrText>%</w:instrText>
      </w:r>
      <w:r>
        <w:instrText>D</w:instrText>
      </w:r>
      <w:r w:rsidRPr="00055389">
        <w:rPr>
          <w:lang w:val="uk-UA"/>
        </w:rPr>
        <w:instrText>0%</w:instrText>
      </w:r>
      <w:r>
        <w:instrText>B</w:instrText>
      </w:r>
      <w:r w:rsidRPr="00055389">
        <w:rPr>
          <w:lang w:val="uk-UA"/>
        </w:rPr>
        <w:instrText>6%</w:instrText>
      </w:r>
      <w:r>
        <w:instrText>D</w:instrText>
      </w:r>
      <w:r w:rsidRPr="00055389">
        <w:rPr>
          <w:lang w:val="uk-UA"/>
        </w:rPr>
        <w:instrText>0%</w:instrText>
      </w:r>
      <w:r>
        <w:instrText>B</w:instrText>
      </w:r>
      <w:r w:rsidRPr="00055389">
        <w:rPr>
          <w:lang w:val="uk-UA"/>
        </w:rPr>
        <w:instrText>5%</w:instrText>
      </w:r>
      <w:r>
        <w:instrText>D</w:instrText>
      </w:r>
      <w:r w:rsidRPr="00055389">
        <w:rPr>
          <w:lang w:val="uk-UA"/>
        </w:rPr>
        <w:instrText>0%</w:instrText>
      </w:r>
      <w:r>
        <w:instrText>B</w:instrText>
      </w:r>
      <w:r w:rsidRPr="00055389">
        <w:rPr>
          <w:lang w:val="uk-UA"/>
        </w:rPr>
        <w:instrText>6" \</w:instrText>
      </w:r>
      <w:r>
        <w:instrText>l</w:instrText>
      </w:r>
      <w:r w:rsidRPr="00055389">
        <w:rPr>
          <w:lang w:val="uk-UA"/>
        </w:rPr>
        <w:instrText xml:space="preserve"> "</w:instrText>
      </w:r>
      <w:r>
        <w:instrText>n</w:instrText>
      </w:r>
      <w:r w:rsidRPr="00055389">
        <w:rPr>
          <w:lang w:val="uk-UA"/>
        </w:rPr>
        <w:instrText xml:space="preserve">1111" </w:instrText>
      </w:r>
      <w:r>
        <w:fldChar w:fldCharType="separate"/>
      </w:r>
      <w:r w:rsidR="00532C25" w:rsidRPr="00511005">
        <w:rPr>
          <w:rFonts w:ascii="Arial" w:eastAsia="Calibri" w:hAnsi="Arial" w:cs="Arial"/>
          <w:szCs w:val="28"/>
          <w:lang w:val="uk-UA"/>
        </w:rPr>
        <w:t>Розслідування кримінальних проваджень про умисне знищення або пошкодження майна</w:t>
      </w:r>
      <w:r>
        <w:rPr>
          <w:rFonts w:ascii="Arial" w:eastAsia="Calibri" w:hAnsi="Arial" w:cs="Arial"/>
          <w:szCs w:val="28"/>
          <w:lang w:val="uk-UA"/>
        </w:rPr>
        <w:fldChar w:fldCharType="end"/>
      </w:r>
      <w:r w:rsidR="00532C25" w:rsidRPr="00511005">
        <w:rPr>
          <w:rFonts w:ascii="Arial" w:eastAsia="Calibri" w:hAnsi="Arial" w:cs="Arial"/>
          <w:szCs w:val="28"/>
          <w:lang w:val="uk-UA"/>
        </w:rPr>
        <w:t xml:space="preserve">, наприклад, про підпал та порушення вимог законодавства про пожежну безпеку, ускладнюється не тільки тим, що дія вогнем може знищити різні сліди, що містять інформацію про пожежу, а також й створити об’єктивні причини для в подальшому ідентифікації предмета злочинного посягання, складно визначити характеристики, атрибути та розміри майна, яке було пошкоджено або знищено у пожежі. </w:t>
      </w:r>
    </w:p>
    <w:p w14:paraId="666A680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Отже, п</w:t>
      </w:r>
      <w:r w:rsidRPr="00511005">
        <w:rPr>
          <w:rFonts w:ascii="Arial" w:eastAsia="Times New Roman" w:hAnsi="Arial" w:cs="Arial"/>
          <w:szCs w:val="28"/>
        </w:rPr>
        <w:t>ідпали та інші злочини, пов'язані з пожежами, спричиняють значні збитки господарству, майну, життю та здоров'ю громадян. Слідчі ситуації кримінальних пожеж класифікуються на два види: пожежі, що виникають у результаті підпалу, та пожежі, що стають наслідком порушень пожежної безпеки. Всі практичні аспекти розслідвання вказаної категорії злочинів будуть зумовлені причинами безпосчередньою кримінальної пожежи</w:t>
      </w:r>
      <w:r w:rsidRPr="00511005">
        <w:rPr>
          <w:rFonts w:ascii="Arial" w:eastAsia="Times New Roman" w:hAnsi="Arial" w:cs="Arial"/>
          <w:szCs w:val="28"/>
          <w:lang w:val="uk-UA"/>
        </w:rPr>
        <w:t>.</w:t>
      </w:r>
    </w:p>
    <w:p w14:paraId="1B2623DF"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213AEC7E" w14:textId="77777777" w:rsidR="00532C25" w:rsidRPr="00511005" w:rsidRDefault="00532C25" w:rsidP="003F6A5D">
      <w:pPr>
        <w:numPr>
          <w:ilvl w:val="0"/>
          <w:numId w:val="619"/>
        </w:numPr>
        <w:spacing w:line="264" w:lineRule="auto"/>
        <w:jc w:val="left"/>
        <w:rPr>
          <w:rFonts w:ascii="Arial" w:hAnsi="Arial" w:cs="Arial"/>
          <w:szCs w:val="28"/>
          <w:lang w:val="uk-UA" w:eastAsia="zh-CN"/>
        </w:rPr>
      </w:pPr>
      <w:r w:rsidRPr="00511005">
        <w:rPr>
          <w:rFonts w:ascii="Arial" w:hAnsi="Arial" w:cs="Arial"/>
          <w:szCs w:val="28"/>
          <w:lang w:val="uk-UA" w:eastAsia="zh-CN"/>
        </w:rPr>
        <w:t>Про затвердження Порядку спільних дій Національної поліції України, Державної служби України з надзвичайних ситуацій та Експертної служби Міністерства внутрішніх справ України під час проведення огляду місця пожежі, виявлення, припинення, попередження та розслідування кримінальних правопорушень та інших подій, пов'язаних з пожежами</w:t>
      </w:r>
      <w:r w:rsidRPr="00511005">
        <w:rPr>
          <w:rFonts w:ascii="Arial" w:hAnsi="Arial" w:cs="Arial"/>
          <w:szCs w:val="28"/>
          <w:lang w:val="en-US" w:eastAsia="zh-CN"/>
        </w:rPr>
        <w:t> </w:t>
      </w:r>
      <w:r w:rsidRPr="00511005">
        <w:rPr>
          <w:rFonts w:ascii="Arial" w:hAnsi="Arial" w:cs="Arial"/>
          <w:szCs w:val="28"/>
          <w:lang w:val="uk-UA" w:eastAsia="zh-CN"/>
        </w:rPr>
        <w:t xml:space="preserve">: </w:t>
      </w:r>
      <w:r w:rsidRPr="00511005">
        <w:rPr>
          <w:rFonts w:ascii="Arial" w:hAnsi="Arial" w:cs="Arial"/>
          <w:szCs w:val="28"/>
          <w:lang w:val="uk-UA" w:eastAsia="zh-CN"/>
        </w:rPr>
        <w:lastRenderedPageBreak/>
        <w:t>Наказ М-ва внутр. справ України від 24.07.2017 №</w:t>
      </w:r>
      <w:r w:rsidRPr="00511005">
        <w:rPr>
          <w:rFonts w:ascii="Arial" w:hAnsi="Arial" w:cs="Arial"/>
          <w:szCs w:val="28"/>
          <w:lang w:val="en-US" w:eastAsia="zh-CN"/>
        </w:rPr>
        <w:t> </w:t>
      </w:r>
      <w:r w:rsidRPr="00511005">
        <w:rPr>
          <w:rFonts w:ascii="Arial" w:hAnsi="Arial" w:cs="Arial"/>
          <w:szCs w:val="28"/>
          <w:lang w:val="uk-UA" w:eastAsia="zh-CN"/>
        </w:rPr>
        <w:t>621</w:t>
      </w:r>
      <w:r w:rsidRPr="00511005">
        <w:rPr>
          <w:rFonts w:ascii="Arial" w:hAnsi="Arial" w:cs="Arial"/>
          <w:szCs w:val="28"/>
          <w:lang w:val="en-US" w:eastAsia="zh-CN"/>
        </w:rPr>
        <w:t> </w:t>
      </w:r>
      <w:r w:rsidRPr="00511005">
        <w:rPr>
          <w:rFonts w:ascii="Arial" w:hAnsi="Arial" w:cs="Arial"/>
          <w:szCs w:val="28"/>
          <w:lang w:val="uk-UA" w:eastAsia="zh-CN"/>
        </w:rPr>
        <w:t>: станом на 11</w:t>
      </w:r>
      <w:r w:rsidRPr="00511005">
        <w:rPr>
          <w:rFonts w:ascii="Arial" w:hAnsi="Arial" w:cs="Arial"/>
          <w:szCs w:val="28"/>
          <w:lang w:val="en-US" w:eastAsia="zh-CN"/>
        </w:rPr>
        <w:t> </w:t>
      </w:r>
      <w:r w:rsidRPr="00511005">
        <w:rPr>
          <w:rFonts w:ascii="Arial" w:hAnsi="Arial" w:cs="Arial"/>
          <w:szCs w:val="28"/>
          <w:lang w:val="uk-UA" w:eastAsia="zh-CN"/>
        </w:rPr>
        <w:t>берез. 2024</w:t>
      </w:r>
      <w:r w:rsidRPr="00511005">
        <w:rPr>
          <w:rFonts w:ascii="Arial" w:hAnsi="Arial" w:cs="Arial"/>
          <w:szCs w:val="28"/>
          <w:lang w:val="en-US" w:eastAsia="zh-CN"/>
        </w:rPr>
        <w:t> </w:t>
      </w:r>
      <w:r w:rsidRPr="00511005">
        <w:rPr>
          <w:rFonts w:ascii="Arial" w:hAnsi="Arial" w:cs="Arial"/>
          <w:szCs w:val="28"/>
          <w:lang w:val="uk-UA" w:eastAsia="zh-CN"/>
        </w:rPr>
        <w:t xml:space="preserve">р. </w:t>
      </w:r>
      <w:r w:rsidRPr="00511005">
        <w:rPr>
          <w:rFonts w:ascii="Arial" w:hAnsi="Arial" w:cs="Arial"/>
          <w:szCs w:val="28"/>
          <w:lang w:val="en-US" w:eastAsia="zh-CN"/>
        </w:rPr>
        <w:t>URL</w:t>
      </w:r>
      <w:r w:rsidRPr="00511005">
        <w:rPr>
          <w:rFonts w:ascii="Arial" w:hAnsi="Arial" w:cs="Arial"/>
          <w:szCs w:val="28"/>
          <w:lang w:val="uk-UA" w:eastAsia="zh-CN"/>
        </w:rPr>
        <w:t>:</w:t>
      </w:r>
      <w:r w:rsidRPr="00511005">
        <w:rPr>
          <w:rFonts w:ascii="Arial" w:hAnsi="Arial" w:cs="Arial"/>
          <w:szCs w:val="28"/>
          <w:lang w:val="en-US" w:eastAsia="zh-CN"/>
        </w:rPr>
        <w:t>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zakon</w:instrText>
      </w:r>
      <w:r w:rsidR="005938AD" w:rsidRPr="00055389">
        <w:rPr>
          <w:lang w:val="uk-UA"/>
        </w:rPr>
        <w:instrText>.</w:instrText>
      </w:r>
      <w:r w:rsidR="005938AD">
        <w:instrText>rada</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laws</w:instrText>
      </w:r>
      <w:r w:rsidR="005938AD" w:rsidRPr="00055389">
        <w:rPr>
          <w:lang w:val="uk-UA"/>
        </w:rPr>
        <w:instrText>/</w:instrText>
      </w:r>
      <w:r w:rsidR="005938AD">
        <w:instrText>show</w:instrText>
      </w:r>
      <w:r w:rsidR="005938AD" w:rsidRPr="00055389">
        <w:rPr>
          <w:lang w:val="uk-UA"/>
        </w:rPr>
        <w:instrText>/</w:instrText>
      </w:r>
      <w:r w:rsidR="005938AD">
        <w:instrText>z</w:instrText>
      </w:r>
      <w:r w:rsidR="005938AD" w:rsidRPr="00055389">
        <w:rPr>
          <w:lang w:val="uk-UA"/>
        </w:rPr>
        <w:instrText>0998-17" \</w:instrText>
      </w:r>
      <w:r w:rsidR="005938AD">
        <w:instrText>l</w:instrText>
      </w:r>
      <w:r w:rsidR="005938AD" w:rsidRPr="00055389">
        <w:rPr>
          <w:lang w:val="uk-UA"/>
        </w:rPr>
        <w:instrText xml:space="preserve"> "</w:instrText>
      </w:r>
      <w:r w:rsidR="005938AD">
        <w:instrText>Text</w:instrText>
      </w:r>
      <w:r w:rsidR="005938AD" w:rsidRPr="00055389">
        <w:rPr>
          <w:lang w:val="uk-UA"/>
        </w:rPr>
        <w:instrText>" \</w:instrText>
      </w:r>
      <w:r w:rsidR="005938AD">
        <w:instrText>t</w:instrText>
      </w:r>
      <w:r w:rsidR="005938AD" w:rsidRPr="00055389">
        <w:rPr>
          <w:lang w:val="uk-UA"/>
        </w:rPr>
        <w:instrText xml:space="preserve"> "</w:instrText>
      </w:r>
      <w:r w:rsidR="005938AD">
        <w:instrText>https</w:instrText>
      </w:r>
      <w:r w:rsidR="005938AD" w:rsidRPr="00055389">
        <w:rPr>
          <w:lang w:val="uk-UA"/>
        </w:rPr>
        <w:instrText>://</w:instrText>
      </w:r>
      <w:r w:rsidR="005938AD">
        <w:instrText>www</w:instrText>
      </w:r>
      <w:r w:rsidR="005938AD" w:rsidRPr="00055389">
        <w:rPr>
          <w:lang w:val="uk-UA"/>
        </w:rPr>
        <w:instrText>.</w:instrText>
      </w:r>
      <w:r w:rsidR="005938AD">
        <w:instrText>grafia</w:instrText>
      </w:r>
      <w:r w:rsidR="005938AD">
        <w:instrText>ti</w:instrText>
      </w:r>
      <w:r w:rsidR="005938AD" w:rsidRPr="00055389">
        <w:rPr>
          <w:lang w:val="uk-UA"/>
        </w:rPr>
        <w:instrText>.</w:instrText>
      </w:r>
      <w:r w:rsidR="005938AD">
        <w:instrText>com</w:instrText>
      </w:r>
      <w:r w:rsidR="005938AD" w:rsidRPr="00055389">
        <w:rPr>
          <w:lang w:val="uk-UA"/>
        </w:rPr>
        <w:instrText>/</w:instrText>
      </w:r>
      <w:r w:rsidR="005938AD">
        <w:instrText>uk</w:instrText>
      </w:r>
      <w:r w:rsidR="005938AD" w:rsidRPr="00055389">
        <w:rPr>
          <w:lang w:val="uk-UA"/>
        </w:rPr>
        <w:instrText>/_</w:instrText>
      </w:r>
      <w:r w:rsidR="005938AD">
        <w:instrText>blank</w:instrText>
      </w:r>
      <w:r w:rsidR="005938AD" w:rsidRPr="00055389">
        <w:rPr>
          <w:lang w:val="uk-UA"/>
        </w:rPr>
        <w:instrText xml:space="preserve">" </w:instrText>
      </w:r>
      <w:r w:rsidR="005938AD">
        <w:fldChar w:fldCharType="separate"/>
      </w:r>
      <w:r w:rsidRPr="00511005">
        <w:rPr>
          <w:rFonts w:ascii="Arial" w:hAnsi="Arial" w:cs="Arial"/>
          <w:szCs w:val="28"/>
          <w:lang w:val="en-US" w:eastAsia="zh-CN"/>
        </w:rPr>
        <w:t>https</w:t>
      </w:r>
      <w:r w:rsidRPr="00511005">
        <w:rPr>
          <w:rFonts w:ascii="Arial" w:hAnsi="Arial" w:cs="Arial"/>
          <w:szCs w:val="28"/>
          <w:lang w:val="uk-UA" w:eastAsia="zh-CN"/>
        </w:rPr>
        <w:t>://</w:t>
      </w:r>
      <w:r w:rsidRPr="00511005">
        <w:rPr>
          <w:rFonts w:ascii="Arial" w:hAnsi="Arial" w:cs="Arial"/>
          <w:szCs w:val="28"/>
          <w:lang w:val="en-US" w:eastAsia="zh-CN"/>
        </w:rPr>
        <w:t>zakon</w:t>
      </w:r>
      <w:r w:rsidRPr="00511005">
        <w:rPr>
          <w:rFonts w:ascii="Arial" w:hAnsi="Arial" w:cs="Arial"/>
          <w:szCs w:val="28"/>
          <w:lang w:val="uk-UA" w:eastAsia="zh-CN"/>
        </w:rPr>
        <w:t>.</w:t>
      </w:r>
      <w:r w:rsidRPr="00511005">
        <w:rPr>
          <w:rFonts w:ascii="Arial" w:hAnsi="Arial" w:cs="Arial"/>
          <w:szCs w:val="28"/>
          <w:lang w:val="en-US" w:eastAsia="zh-CN"/>
        </w:rPr>
        <w:t>rada</w:t>
      </w:r>
      <w:r w:rsidRPr="00511005">
        <w:rPr>
          <w:rFonts w:ascii="Arial" w:hAnsi="Arial" w:cs="Arial"/>
          <w:szCs w:val="28"/>
          <w:lang w:val="uk-UA" w:eastAsia="zh-CN"/>
        </w:rPr>
        <w:t>.</w:t>
      </w:r>
      <w:r w:rsidRPr="00511005">
        <w:rPr>
          <w:rFonts w:ascii="Arial" w:hAnsi="Arial" w:cs="Arial"/>
          <w:szCs w:val="28"/>
          <w:lang w:val="en-US" w:eastAsia="zh-CN"/>
        </w:rPr>
        <w:t>gov</w:t>
      </w:r>
      <w:r w:rsidRPr="00511005">
        <w:rPr>
          <w:rFonts w:ascii="Arial" w:hAnsi="Arial" w:cs="Arial"/>
          <w:szCs w:val="28"/>
          <w:lang w:val="uk-UA" w:eastAsia="zh-CN"/>
        </w:rPr>
        <w:t>.</w:t>
      </w:r>
      <w:r w:rsidRPr="00511005">
        <w:rPr>
          <w:rFonts w:ascii="Arial" w:hAnsi="Arial" w:cs="Arial"/>
          <w:szCs w:val="28"/>
          <w:lang w:val="en-US" w:eastAsia="zh-CN"/>
        </w:rPr>
        <w:t>ua</w:t>
      </w:r>
      <w:r w:rsidRPr="00511005">
        <w:rPr>
          <w:rFonts w:ascii="Arial" w:hAnsi="Arial" w:cs="Arial"/>
          <w:szCs w:val="28"/>
          <w:lang w:val="uk-UA" w:eastAsia="zh-CN"/>
        </w:rPr>
        <w:t>/</w:t>
      </w:r>
      <w:r w:rsidRPr="00511005">
        <w:rPr>
          <w:rFonts w:ascii="Arial" w:hAnsi="Arial" w:cs="Arial"/>
          <w:szCs w:val="28"/>
          <w:lang w:val="en-US" w:eastAsia="zh-CN"/>
        </w:rPr>
        <w:t>laws</w:t>
      </w:r>
      <w:r w:rsidRPr="00511005">
        <w:rPr>
          <w:rFonts w:ascii="Arial" w:hAnsi="Arial" w:cs="Arial"/>
          <w:szCs w:val="28"/>
          <w:lang w:val="uk-UA" w:eastAsia="zh-CN"/>
        </w:rPr>
        <w:t>/</w:t>
      </w:r>
      <w:r w:rsidRPr="00511005">
        <w:rPr>
          <w:rFonts w:ascii="Arial" w:hAnsi="Arial" w:cs="Arial"/>
          <w:szCs w:val="28"/>
          <w:lang w:val="en-US" w:eastAsia="zh-CN"/>
        </w:rPr>
        <w:t>show</w:t>
      </w:r>
      <w:r w:rsidRPr="00511005">
        <w:rPr>
          <w:rFonts w:ascii="Arial" w:hAnsi="Arial" w:cs="Arial"/>
          <w:szCs w:val="28"/>
          <w:lang w:val="uk-UA" w:eastAsia="zh-CN"/>
        </w:rPr>
        <w:t>/</w:t>
      </w:r>
      <w:r w:rsidRPr="00511005">
        <w:rPr>
          <w:rFonts w:ascii="Arial" w:hAnsi="Arial" w:cs="Arial"/>
          <w:szCs w:val="28"/>
          <w:lang w:val="en-US" w:eastAsia="zh-CN"/>
        </w:rPr>
        <w:t>z</w:t>
      </w:r>
      <w:r w:rsidRPr="00511005">
        <w:rPr>
          <w:rFonts w:ascii="Arial" w:hAnsi="Arial" w:cs="Arial"/>
          <w:szCs w:val="28"/>
          <w:lang w:val="uk-UA" w:eastAsia="zh-CN"/>
        </w:rPr>
        <w:t>0998-17#</w:t>
      </w:r>
      <w:r w:rsidRPr="00511005">
        <w:rPr>
          <w:rFonts w:ascii="Arial" w:hAnsi="Arial" w:cs="Arial"/>
          <w:szCs w:val="28"/>
          <w:lang w:val="en-US" w:eastAsia="zh-CN"/>
        </w:rPr>
        <w:t>Text</w:t>
      </w:r>
      <w:r w:rsidR="005938AD">
        <w:rPr>
          <w:rFonts w:ascii="Arial" w:hAnsi="Arial" w:cs="Arial"/>
          <w:szCs w:val="28"/>
          <w:lang w:val="en-US" w:eastAsia="zh-CN"/>
        </w:rPr>
        <w:fldChar w:fldCharType="end"/>
      </w:r>
      <w:r w:rsidRPr="00511005">
        <w:rPr>
          <w:rFonts w:ascii="Arial" w:hAnsi="Arial" w:cs="Arial"/>
          <w:szCs w:val="28"/>
          <w:lang w:val="uk-UA" w:eastAsia="zh-CN"/>
        </w:rPr>
        <w:t>.</w:t>
      </w:r>
      <w:r w:rsidRPr="00511005">
        <w:rPr>
          <w:rFonts w:ascii="Arial" w:hAnsi="Arial" w:cs="Arial"/>
          <w:szCs w:val="28"/>
          <w:lang w:val="en-US" w:eastAsia="zh-CN"/>
        </w:rPr>
        <w:t> </w:t>
      </w:r>
    </w:p>
    <w:p w14:paraId="6C8F6660" w14:textId="77777777" w:rsidR="00532C25" w:rsidRPr="00511005" w:rsidRDefault="00532C25" w:rsidP="00532C25">
      <w:pPr>
        <w:spacing w:line="264" w:lineRule="auto"/>
        <w:ind w:firstLine="720"/>
        <w:rPr>
          <w:rFonts w:ascii="Arial" w:eastAsia="Calibri" w:hAnsi="Arial" w:cs="Arial"/>
          <w:szCs w:val="28"/>
          <w:lang w:val="uk-UA"/>
        </w:rPr>
      </w:pPr>
    </w:p>
    <w:p w14:paraId="5457717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злочин, пожежа, підпал, порушення, речовина, знищення.</w:t>
      </w:r>
    </w:p>
    <w:p w14:paraId="39A83D4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lang w:val="uk-UA"/>
        </w:rPr>
        <w:t xml:space="preserve">Key words: </w:t>
      </w:r>
      <w:r w:rsidRPr="00511005">
        <w:rPr>
          <w:rFonts w:ascii="Arial" w:eastAsia="Calibri" w:hAnsi="Arial" w:cs="Arial"/>
          <w:szCs w:val="28"/>
          <w:lang w:val="uk-UA"/>
        </w:rPr>
        <w:t>crime, fire, arson, violation, substance, destruction.</w:t>
      </w:r>
    </w:p>
    <w:p w14:paraId="06442B09" w14:textId="77777777" w:rsidR="00532C25" w:rsidRPr="00511005" w:rsidRDefault="00532C25" w:rsidP="00532C25">
      <w:pPr>
        <w:spacing w:line="264" w:lineRule="auto"/>
        <w:ind w:firstLine="72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д.ю.н., професор Самойленко О.А.</w:t>
      </w:r>
    </w:p>
    <w:p w14:paraId="0033A202" w14:textId="77777777" w:rsidR="00532C25" w:rsidRPr="00511005" w:rsidRDefault="00532C25" w:rsidP="00532C25">
      <w:pPr>
        <w:spacing w:line="264" w:lineRule="auto"/>
        <w:ind w:firstLine="720"/>
        <w:rPr>
          <w:rFonts w:ascii="Arial" w:eastAsia="Calibri" w:hAnsi="Arial" w:cs="Arial"/>
          <w:b/>
          <w:iCs/>
          <w:szCs w:val="28"/>
        </w:rPr>
      </w:pPr>
    </w:p>
    <w:p w14:paraId="57DAE0DF" w14:textId="77777777" w:rsidR="00532C25" w:rsidRPr="00511005" w:rsidRDefault="00532C25" w:rsidP="00532C25">
      <w:pPr>
        <w:tabs>
          <w:tab w:val="left" w:pos="3060"/>
        </w:tabs>
        <w:spacing w:line="264" w:lineRule="auto"/>
        <w:ind w:firstLine="72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Кукуріка Ілона Олександрівна</w:t>
      </w:r>
    </w:p>
    <w:p w14:paraId="02F1A30F"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0B09225C"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877E7D5"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B05C0FE" w14:textId="77777777" w:rsidR="00532C25" w:rsidRPr="00511005" w:rsidRDefault="00532C25" w:rsidP="00532C25">
      <w:pPr>
        <w:tabs>
          <w:tab w:val="left" w:pos="3060"/>
        </w:tabs>
        <w:spacing w:line="264" w:lineRule="auto"/>
        <w:ind w:firstLine="720"/>
        <w:jc w:val="center"/>
        <w:rPr>
          <w:rFonts w:ascii="Arial" w:eastAsia="Times New Roman" w:hAnsi="Arial" w:cs="Arial"/>
          <w:bCs/>
          <w:i/>
          <w:iCs/>
          <w:szCs w:val="28"/>
          <w:lang w:val="uk-UA"/>
        </w:rPr>
      </w:pPr>
    </w:p>
    <w:p w14:paraId="16C9AD1D"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ТАКТИЧНІ ОСОБЛИВОСТІ ОБШУКУ КОМП’ЮТЕРНИХ ЗАСОБІВ</w:t>
      </w:r>
    </w:p>
    <w:p w14:paraId="5202E70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сучасному кримінальному процесі обшук комп'ютерних засобів набуває особливого значення, оскільки електронна інформація часто є ключовим джерелом доказів. З огляду на стрімкий розвиток інформаційних технологій та зростання кількості кримінальних проваджень, пов'язаних із використанням комп'ютерної техніки, питання правового регулювання та тактики проведення таких обшуків набувають особливої актуальності.</w:t>
      </w:r>
    </w:p>
    <w:p w14:paraId="5466124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Ця слідча (розшукова) дія спрямована на примусове обстеження комп’ютерної техніки та електронної інформації, що можуть бути використані для встановлення обставин вчинення кримінального правопорушення.</w:t>
      </w:r>
    </w:p>
    <w:p w14:paraId="6AD7BE4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Відповідно до Кримінального процесуального кодексу України, обшук проводиться з метою виявлення інформації про обставини вчинення кримінального правопорушення, відшукання знаряддя злочину або майна, здобутого в результаті його вчинення, а також встановлення місцезнаходження розшукуваних осіб (ст. 234 КПК України).</w:t>
      </w:r>
    </w:p>
    <w:p w14:paraId="71AB822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Перед проведенням обшуку комп'ютерних засобів необхідно ретельно підготуватися, враховуючи специфіку електронних доказів та можливі ризики їх втрати або пошкодження. Зокрема, слід: </w:t>
      </w:r>
    </w:p>
    <w:p w14:paraId="5BAC322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1) забезпечити безперебійне електроживлення під час обшуку, адже раптове вимкнення комп'ютерної техніки може призвести до втрати важливої інформації;</w:t>
      </w:r>
    </w:p>
    <w:p w14:paraId="780E1B3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2) обмежити доступ сторонніх осіб: під час обшуку слід обмежити присутність сторонніх осіб у приміщенні, де він проводиться, щоб уникнути можливого втручання або знищення інформації;</w:t>
      </w:r>
    </w:p>
    <w:p w14:paraId="5036637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3) використовувати спеціалізоване обладнання: для копіювання та аналізу даних необхідно застосовувати спеціалізоване обладнання та програмне забезпечення, яке дозволяє зберегти цілісність та достовірність електронних доказів </w:t>
      </w:r>
      <w:r w:rsidRPr="00511005">
        <w:rPr>
          <w:rFonts w:ascii="Arial" w:eastAsia="Calibri" w:hAnsi="Arial" w:cs="Arial"/>
          <w:szCs w:val="28"/>
          <w:shd w:val="clear" w:color="auto" w:fill="FFFFFF"/>
          <w:lang w:val="uk-UA"/>
        </w:rPr>
        <w:t>[25, с. 153].</w:t>
      </w:r>
    </w:p>
    <w:p w14:paraId="5192DAD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Залучення спеціалістів у галузі інформаційних технологій є важливим аспектом під час обшуку комп'ютерних засобів. Вчені зазначають, що участь фахівців сприяє ефективному виявленню та фіксації електронних доказів, а також забезпечує правильне поводження з комп'ютерною технікою для запобігання втраті інформації.</w:t>
      </w:r>
    </w:p>
    <w:p w14:paraId="09E1772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Використання сучасних техніко-криміналістичних засобів дозволяє ефективно виявляти, фіксувати та аналізувати електронні докази. Зокрема, застосування спеціалізованого програмного забезпечення сприяє створенню точних копій жорстких дисків, відновленню видалених файлів та виявленню прихованої інформації.</w:t>
      </w:r>
    </w:p>
    <w:p w14:paraId="29A56E0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Під час обшуку комп'ютерних засобів важливо дотримуватися встановлених процедур вилучення та документування електронних доказів:</w:t>
      </w:r>
    </w:p>
    <w:p w14:paraId="4A7B18B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1) створення копій даних: у випадках, коли фізичне вилучення комп'ютерної техніки неможливе або недоцільне, необхідно створювати повні копії жорстких дисків або інших носіїв інформації. Це дозволяє зберегти дані для подальшого аналізу без вилучення оригінального обладнання.</w:t>
      </w:r>
    </w:p>
    <w:p w14:paraId="6F6F652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2) окреме пакування компонентів: кожен пристрій та сполучні кабелі слід упакувати окремо, забезпечивши їхню ідентифікацію та збереження.</w:t>
      </w:r>
    </w:p>
    <w:p w14:paraId="1F88E9C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3) ідентифікація обладнання: оскільки на більшості комп'ютерів відсутні заводські або серійні номери, ідентифікацію можна проводити за номерами на жорсткому диску, дисководах, магнітних носіях і материнській платі.</w:t>
      </w:r>
    </w:p>
    <w:p w14:paraId="627E4CE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4) документування процесу: усі дії під час обшуку та вилучення електронних доказів мають бути детально задокументовані в протоколі обшуку із зазначенням залучених спеціалістів та використаних технічних засобів.</w:t>
      </w:r>
    </w:p>
    <w:p w14:paraId="2258A47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Виявлення необхідної інформації в комп'ютерних середовищах може займати значний проміжок часу, від кількох годин до декількох діб. У випадках, коли транспортування або демонтаж обладнання неможливі, постає завдання копіювання інформаційних ресурсів та програмного забезпечення на магнітні носії. Це може включати створення повних образів окремих комп'ютерів або накопичувачів. Таким чином, для виконання пошукових операцій та дублювання даних необхідно чітке попереднє планування часу </w:t>
      </w:r>
      <w:r w:rsidRPr="00511005">
        <w:rPr>
          <w:rFonts w:ascii="Arial" w:eastAsia="Calibri" w:hAnsi="Arial" w:cs="Arial"/>
          <w:szCs w:val="28"/>
          <w:shd w:val="clear" w:color="auto" w:fill="FFFFFF"/>
        </w:rPr>
        <w:t>[2, с.185].</w:t>
      </w:r>
    </w:p>
    <w:p w14:paraId="3DAB2B3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У випадку обмеженої кількості комп’ютерних засобів в об’єкті перевірки або за наявності експертних розбіжностей щодо можливості дослідження цифрової інформації після ізоляції лише системних блоків, вважається за доцільне здійснити вилучення всіх комп’ютерів. Дана процедура вимагає попереднього відключення живлення кожного пристрою та його індивідуального пакування разом зі сполучними кабелями. Незважаючи на значну фінансову цінність комп’ютерів, на більшості з них відсутні фабричні </w:t>
      </w:r>
      <w:r w:rsidRPr="00511005">
        <w:rPr>
          <w:rFonts w:ascii="Arial" w:eastAsia="Calibri" w:hAnsi="Arial" w:cs="Arial"/>
          <w:szCs w:val="28"/>
          <w:lang w:val="uk-UA"/>
        </w:rPr>
        <w:lastRenderedPageBreak/>
        <w:t>або серійні ідентифікатори, що істотно ускладнює процес їхнього пошуку та встановлення автентичності. Проте, відповідна ідентифікаційна інформація, як правило, міститься на жорсткому диску, дисководах, магнітних носіях та материнській платі. Враховуючи їхню ключову функціональну роль та високу вартість, ідентифікацію комп’ютерів можливо здійснювати на основі зазначених компонентів.</w:t>
      </w:r>
    </w:p>
    <w:p w14:paraId="6AA50A8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Процесуальна дія, пов'язана з обшуком комп'ютерних засобів, є відносно новим явищем у правовій практиці України. Її становлення та впровадження супроводжуються низкою проблем, що є типовим для нових правових інститутів.</w:t>
      </w:r>
    </w:p>
    <w:p w14:paraId="5892F14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Однією з проблем правового регулювання обшуку комп’ютерних засобів є недостатня нормативна конкретизація процедури обшуку комп’ютерних засобів у КПК України, що призводить до неоднозначного трактування дій слідчого та прокурора, оскільки чинне законодавство хоч і передбачає можливість проведення обшуку, але не містить чіткої регламентації специфічних аспектів, таких як способи вилучення, копіювання, шифрування та ідентифікації пристроїв і носіїв інформації.</w:t>
      </w:r>
    </w:p>
    <w:p w14:paraId="183F2F2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Для вирішення зазначених проблем необхідно:</w:t>
      </w:r>
    </w:p>
    <w:p w14:paraId="4AFF9B8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1) підвищувати кваліфікацію слідчих у сфері інформаційних технологій та залучати кваліфікованих спеціалістів під час проведення обшуків комп'ютерних засобів;</w:t>
      </w:r>
    </w:p>
    <w:p w14:paraId="4AFEF0D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2) розробити та впровадити детальні методичні рекомендації щодо проведення обшуків комп'ютерних засобів з урахуванням сучасних технологічних реалій.;</w:t>
      </w:r>
    </w:p>
    <w:p w14:paraId="3169938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3) забезпечити суворе дотримання процесуальних норм та прав осіб, залучених до таких процесуальних дій.</w:t>
      </w:r>
    </w:p>
    <w:p w14:paraId="3A4CDFA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Незважаючи на наявні проблеми, зумовлені відносною новизною процесуальної дії, пов'язаної з обшуком комп'ютерних засобів, її перспективи є беззаперечними. В умовах стрімкої цифровізації суспільства та зростання кількості злочинів, що вчиняються з використанням комп'ютерних технологій, ефективне виявлення, фіксація та аналіз цифрових доказів набувають критичного значення для здійснення правосуддя.</w:t>
      </w:r>
    </w:p>
    <w:p w14:paraId="322D0C6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Тому обшук комп'ютерних засобів, за умови його належного правового регулювання та кваліфікованого застосування, є потужним інструментом у боротьбі зі злочинністю в кіберпросторі та забезпеченні невідворотності покарання.</w:t>
      </w:r>
    </w:p>
    <w:p w14:paraId="05423D4A" w14:textId="77777777" w:rsidR="00532C25" w:rsidRPr="00511005" w:rsidRDefault="00532C25" w:rsidP="00532C25">
      <w:pPr>
        <w:spacing w:line="264" w:lineRule="auto"/>
        <w:ind w:firstLine="720"/>
        <w:jc w:val="center"/>
        <w:rPr>
          <w:rFonts w:ascii="Arial" w:eastAsia="Calibri" w:hAnsi="Arial" w:cs="Arial"/>
          <w:b/>
          <w:bCs/>
          <w:szCs w:val="28"/>
          <w:lang w:val="uk-UA"/>
        </w:rPr>
      </w:pPr>
    </w:p>
    <w:p w14:paraId="5936003F"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07B44BDA" w14:textId="77777777" w:rsidR="00532C25" w:rsidRPr="00511005" w:rsidRDefault="00532C25" w:rsidP="003F6A5D">
      <w:pPr>
        <w:numPr>
          <w:ilvl w:val="0"/>
          <w:numId w:val="620"/>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Кримінальний процесуальний кодекс України: Закон України від 13 квіт. 2012 р. № 4651-VI. Верховна Рада України. URL: </w:t>
      </w:r>
      <w:hyperlink r:id="rId1988" w:history="1">
        <w:r w:rsidRPr="00511005">
          <w:rPr>
            <w:rFonts w:ascii="Arial" w:eastAsia="Times New Roman" w:hAnsi="Arial" w:cs="Arial"/>
            <w:szCs w:val="28"/>
            <w:lang w:eastAsia="ru-RU"/>
          </w:rPr>
          <w:t>http://zakon2.rada.gov.ua/laws/show/4651-172</w:t>
        </w:r>
      </w:hyperlink>
      <w:r w:rsidRPr="00511005">
        <w:rPr>
          <w:rFonts w:ascii="Arial" w:eastAsia="Times New Roman" w:hAnsi="Arial" w:cs="Arial"/>
          <w:szCs w:val="28"/>
          <w:lang w:eastAsia="ru-RU"/>
        </w:rPr>
        <w:t>.</w:t>
      </w:r>
    </w:p>
    <w:p w14:paraId="2ACEB14E" w14:textId="77777777" w:rsidR="00532C25" w:rsidRPr="00511005" w:rsidRDefault="00532C25" w:rsidP="003F6A5D">
      <w:pPr>
        <w:numPr>
          <w:ilvl w:val="0"/>
          <w:numId w:val="620"/>
        </w:numPr>
        <w:spacing w:line="264" w:lineRule="auto"/>
        <w:ind w:left="0" w:firstLine="720"/>
        <w:contextualSpacing/>
        <w:jc w:val="left"/>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eastAsia="ru-RU"/>
        </w:rPr>
        <w:lastRenderedPageBreak/>
        <w:t xml:space="preserve">Комп’ютерна злочинність: навч. посіб. / П.Д.Біленчук, Б.В.Романюк, В.С. Цимбалюк та ін. Київ. </w:t>
      </w:r>
      <w:r w:rsidRPr="00511005">
        <w:rPr>
          <w:rFonts w:ascii="Arial" w:eastAsia="Times New Roman" w:hAnsi="Arial" w:cs="Arial"/>
          <w:i/>
          <w:szCs w:val="28"/>
          <w:shd w:val="clear" w:color="auto" w:fill="FFFFFF"/>
          <w:lang w:eastAsia="ru-RU"/>
        </w:rPr>
        <w:t>Атіка,</w:t>
      </w:r>
      <w:r w:rsidRPr="00511005">
        <w:rPr>
          <w:rFonts w:ascii="Arial" w:eastAsia="Times New Roman" w:hAnsi="Arial" w:cs="Arial"/>
          <w:szCs w:val="28"/>
          <w:shd w:val="clear" w:color="auto" w:fill="FFFFFF"/>
          <w:lang w:eastAsia="ru-RU"/>
        </w:rPr>
        <w:t xml:space="preserve"> 2002. 240 с.</w:t>
      </w:r>
    </w:p>
    <w:p w14:paraId="5674BF46" w14:textId="77777777" w:rsidR="00532C25" w:rsidRPr="00511005" w:rsidRDefault="00532C25" w:rsidP="003F6A5D">
      <w:pPr>
        <w:numPr>
          <w:ilvl w:val="0"/>
          <w:numId w:val="620"/>
        </w:numPr>
        <w:spacing w:line="264" w:lineRule="auto"/>
        <w:ind w:left="0" w:firstLine="720"/>
        <w:contextualSpacing/>
        <w:jc w:val="left"/>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eastAsia="ru-RU"/>
        </w:rPr>
        <w:t xml:space="preserve">Теплицький Б.Б. Застосування техніко-криміналістичних засобів при проведенні обшуку під час розслідування злочинів у сфері використання комп’ютерів, систем та комп’ютерних мереж і мереж електрозв’язку. </w:t>
      </w:r>
      <w:r w:rsidRPr="00511005">
        <w:rPr>
          <w:rFonts w:ascii="Arial" w:eastAsia="Times New Roman" w:hAnsi="Arial" w:cs="Arial"/>
          <w:i/>
          <w:szCs w:val="28"/>
          <w:shd w:val="clear" w:color="auto" w:fill="FFFFFF"/>
          <w:lang w:eastAsia="ru-RU"/>
        </w:rPr>
        <w:t>Юридична наука</w:t>
      </w:r>
      <w:r w:rsidRPr="00511005">
        <w:rPr>
          <w:rFonts w:ascii="Arial" w:eastAsia="Times New Roman" w:hAnsi="Arial" w:cs="Arial"/>
          <w:szCs w:val="28"/>
          <w:shd w:val="clear" w:color="auto" w:fill="FFFFFF"/>
          <w:lang w:eastAsia="ru-RU"/>
        </w:rPr>
        <w:t>. 2020. № 5</w:t>
      </w:r>
      <w:r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eastAsia="ru-RU"/>
        </w:rPr>
        <w:t>(107). Том 2</w:t>
      </w:r>
      <w:r w:rsidRPr="00511005">
        <w:rPr>
          <w:rFonts w:ascii="Arial" w:eastAsia="Times New Roman" w:hAnsi="Arial" w:cs="Arial"/>
          <w:szCs w:val="28"/>
          <w:shd w:val="clear" w:color="auto" w:fill="FFFFFF"/>
          <w:lang w:val="uk-UA" w:eastAsia="ru-RU"/>
        </w:rPr>
        <w:t>.</w:t>
      </w:r>
      <w:r w:rsidRPr="00511005">
        <w:rPr>
          <w:rFonts w:ascii="Arial" w:eastAsia="Times New Roman" w:hAnsi="Arial" w:cs="Arial"/>
          <w:szCs w:val="28"/>
          <w:shd w:val="clear" w:color="auto" w:fill="FFFFFF"/>
          <w:lang w:eastAsia="ru-RU"/>
        </w:rPr>
        <w:t xml:space="preserve"> С. 151-157.</w:t>
      </w:r>
    </w:p>
    <w:p w14:paraId="57DAB446"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szCs w:val="28"/>
          <w:shd w:val="clear" w:color="auto" w:fill="FFFFFF"/>
          <w:lang w:eastAsia="ru-RU"/>
        </w:rPr>
      </w:pPr>
    </w:p>
    <w:p w14:paraId="7C42C515" w14:textId="77777777" w:rsidR="00532C25" w:rsidRPr="00511005" w:rsidRDefault="00532C25" w:rsidP="00532C25">
      <w:pPr>
        <w:spacing w:line="264" w:lineRule="auto"/>
        <w:ind w:firstLine="720"/>
        <w:rPr>
          <w:rFonts w:ascii="Arial" w:eastAsia="Calibri" w:hAnsi="Arial" w:cs="Arial"/>
          <w:szCs w:val="28"/>
          <w:shd w:val="clear" w:color="auto" w:fill="FFFFFF"/>
          <w:lang w:val="uk-UA"/>
        </w:rPr>
      </w:pPr>
      <w:r w:rsidRPr="00511005">
        <w:rPr>
          <w:rFonts w:ascii="Arial" w:eastAsia="Calibri" w:hAnsi="Arial" w:cs="Arial"/>
          <w:b/>
          <w:bCs/>
          <w:i/>
          <w:szCs w:val="28"/>
          <w:shd w:val="clear" w:color="auto" w:fill="FFFFFF"/>
          <w:lang w:val="uk-UA"/>
        </w:rPr>
        <w:t xml:space="preserve">Ключові слова: </w:t>
      </w:r>
      <w:r w:rsidRPr="00511005">
        <w:rPr>
          <w:rFonts w:ascii="Arial" w:eastAsia="Calibri" w:hAnsi="Arial" w:cs="Arial"/>
          <w:szCs w:val="28"/>
          <w:shd w:val="clear" w:color="auto" w:fill="FFFFFF"/>
          <w:lang w:val="uk-UA"/>
        </w:rPr>
        <w:t>обшук, комп’ютерні засоби, електронні докази, кримінальний процес, цифрова інформація, процесуальні дії, інформаційні технології.</w:t>
      </w:r>
    </w:p>
    <w:p w14:paraId="288FA6CC" w14:textId="77777777" w:rsidR="00532C25" w:rsidRPr="00511005" w:rsidRDefault="00532C25" w:rsidP="00532C25">
      <w:pPr>
        <w:spacing w:line="264" w:lineRule="auto"/>
        <w:ind w:firstLine="720"/>
        <w:rPr>
          <w:rFonts w:ascii="Arial" w:eastAsia="Calibri" w:hAnsi="Arial" w:cs="Arial"/>
          <w:szCs w:val="28"/>
          <w:shd w:val="clear" w:color="auto" w:fill="FFFFFF"/>
          <w:lang w:val="en-US"/>
        </w:rPr>
      </w:pPr>
      <w:r w:rsidRPr="00511005">
        <w:rPr>
          <w:rFonts w:ascii="Arial" w:eastAsia="Calibri" w:hAnsi="Arial" w:cs="Arial"/>
          <w:b/>
          <w:bCs/>
          <w:i/>
          <w:szCs w:val="28"/>
          <w:shd w:val="clear" w:color="auto" w:fill="FFFFFF"/>
          <w:lang w:val="en-US"/>
        </w:rPr>
        <w:t xml:space="preserve">Key words: </w:t>
      </w:r>
      <w:r w:rsidRPr="00511005">
        <w:rPr>
          <w:rFonts w:ascii="Arial" w:eastAsia="Calibri" w:hAnsi="Arial" w:cs="Arial"/>
          <w:szCs w:val="28"/>
          <w:shd w:val="clear" w:color="auto" w:fill="FFFFFF"/>
          <w:lang w:val="en-US"/>
        </w:rPr>
        <w:t>search, computer devices, electronic evidence, criminal procedure, digital information, procedural actions, information technology.</w:t>
      </w:r>
    </w:p>
    <w:p w14:paraId="29FEB6CE" w14:textId="77777777" w:rsidR="00532C25" w:rsidRPr="00511005" w:rsidRDefault="00532C25" w:rsidP="00532C25">
      <w:pPr>
        <w:tabs>
          <w:tab w:val="left" w:pos="3060"/>
        </w:tabs>
        <w:spacing w:line="264" w:lineRule="auto"/>
        <w:ind w:firstLine="720"/>
        <w:jc w:val="left"/>
        <w:rPr>
          <w:rFonts w:ascii="Arial" w:eastAsia="Times New Roman" w:hAnsi="Arial" w:cs="Arial"/>
          <w:bCs/>
          <w:i/>
          <w:iCs/>
          <w:szCs w:val="28"/>
          <w:lang w:val="uk-UA"/>
        </w:rPr>
      </w:pPr>
      <w:r w:rsidRPr="00511005">
        <w:rPr>
          <w:rFonts w:ascii="Arial" w:eastAsia="Times New Roman" w:hAnsi="Arial" w:cs="Arial"/>
          <w:b/>
          <w:bCs/>
          <w:i/>
          <w:iCs/>
          <w:szCs w:val="28"/>
          <w:lang w:val="uk-UA"/>
        </w:rPr>
        <w:t xml:space="preserve">Науковий керівник: </w:t>
      </w:r>
      <w:r w:rsidRPr="00511005">
        <w:rPr>
          <w:rFonts w:ascii="Arial" w:eastAsia="Times New Roman" w:hAnsi="Arial" w:cs="Arial"/>
          <w:bCs/>
          <w:i/>
          <w:iCs/>
          <w:szCs w:val="28"/>
          <w:lang w:val="uk-UA"/>
        </w:rPr>
        <w:t>к.ю.н., доцент Чіпко Н.В .</w:t>
      </w:r>
    </w:p>
    <w:p w14:paraId="2BB7B662" w14:textId="77777777" w:rsidR="00532C25" w:rsidRPr="00511005" w:rsidRDefault="00532C25" w:rsidP="00532C25">
      <w:pPr>
        <w:tabs>
          <w:tab w:val="left" w:pos="3060"/>
        </w:tabs>
        <w:spacing w:line="264" w:lineRule="auto"/>
        <w:ind w:firstLine="720"/>
        <w:jc w:val="left"/>
        <w:rPr>
          <w:rFonts w:ascii="Arial" w:eastAsia="Times New Roman" w:hAnsi="Arial" w:cs="Arial"/>
          <w:bCs/>
          <w:i/>
          <w:iCs/>
          <w:szCs w:val="28"/>
          <w:lang w:val="uk-UA"/>
        </w:rPr>
      </w:pPr>
    </w:p>
    <w:p w14:paraId="41DC9442" w14:textId="77777777" w:rsidR="00532C25" w:rsidRPr="00511005" w:rsidRDefault="00532C25" w:rsidP="00532C25">
      <w:pPr>
        <w:spacing w:line="264" w:lineRule="auto"/>
        <w:ind w:firstLine="720"/>
        <w:jc w:val="center"/>
        <w:rPr>
          <w:rFonts w:ascii="Arial" w:eastAsia="Calibri" w:hAnsi="Arial" w:cs="Arial"/>
          <w:b/>
          <w:i/>
          <w:szCs w:val="28"/>
        </w:rPr>
      </w:pPr>
      <w:r w:rsidRPr="00511005">
        <w:rPr>
          <w:rFonts w:ascii="Arial" w:eastAsia="Calibri" w:hAnsi="Arial" w:cs="Arial"/>
          <w:b/>
          <w:i/>
          <w:szCs w:val="28"/>
        </w:rPr>
        <w:t>Кутас Ангеліна Павлівна</w:t>
      </w:r>
    </w:p>
    <w:p w14:paraId="46308CD4"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szCs w:val="28"/>
        </w:rPr>
        <w:t>студентка 3-го курсу факультету судового та міжнародного права</w:t>
      </w:r>
    </w:p>
    <w:p w14:paraId="4F978D96"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041F94E7" w14:textId="77777777" w:rsidR="00532C25" w:rsidRPr="00511005" w:rsidRDefault="00532C25" w:rsidP="00532C25">
      <w:pPr>
        <w:spacing w:line="264" w:lineRule="auto"/>
        <w:ind w:firstLine="720"/>
        <w:jc w:val="left"/>
        <w:rPr>
          <w:rFonts w:ascii="Arial" w:eastAsia="Times New Roman" w:hAnsi="Arial" w:cs="Arial"/>
          <w:b/>
          <w:bCs/>
          <w:szCs w:val="28"/>
          <w:lang w:eastAsia="uk-UA"/>
        </w:rPr>
      </w:pPr>
    </w:p>
    <w:p w14:paraId="4AA01A7D" w14:textId="77777777" w:rsidR="00532C25" w:rsidRPr="00511005" w:rsidRDefault="00532C25" w:rsidP="00532C25">
      <w:pPr>
        <w:spacing w:line="264" w:lineRule="auto"/>
        <w:ind w:firstLine="720"/>
        <w:jc w:val="center"/>
        <w:rPr>
          <w:rFonts w:ascii="Arial" w:eastAsia="Times New Roman" w:hAnsi="Arial" w:cs="Arial"/>
          <w:b/>
          <w:bCs/>
          <w:szCs w:val="28"/>
          <w:lang w:eastAsia="uk-UA"/>
        </w:rPr>
      </w:pPr>
      <w:r w:rsidRPr="00511005">
        <w:rPr>
          <w:rFonts w:ascii="Arial" w:eastAsia="Times New Roman" w:hAnsi="Arial" w:cs="Arial"/>
          <w:b/>
          <w:bCs/>
          <w:szCs w:val="28"/>
          <w:lang w:eastAsia="uk-UA"/>
        </w:rPr>
        <w:t>МІКРОМІМІКА ЯК ІНДИКАТОР ПРИХОВАНИХ ЕМОЦІЙ</w:t>
      </w:r>
    </w:p>
    <w:p w14:paraId="7B250C91" w14:textId="77777777" w:rsidR="00532C25" w:rsidRPr="00511005" w:rsidRDefault="00532C25" w:rsidP="00532C25">
      <w:pPr>
        <w:spacing w:line="264" w:lineRule="auto"/>
        <w:ind w:firstLine="720"/>
        <w:rPr>
          <w:rFonts w:ascii="Arial" w:hAnsi="Arial" w:cs="Arial"/>
          <w:i/>
          <w:szCs w:val="28"/>
          <w:shd w:val="clear" w:color="auto" w:fill="FFFFFF"/>
          <w:lang w:eastAsia="zh-CN"/>
        </w:rPr>
      </w:pPr>
      <w:r w:rsidRPr="00511005">
        <w:rPr>
          <w:rFonts w:ascii="Arial" w:hAnsi="Arial" w:cs="Arial"/>
          <w:szCs w:val="28"/>
          <w:lang w:eastAsia="zh-CN"/>
        </w:rPr>
        <w:t xml:space="preserve">Емоції є невід'ємною складовою людської психіки, впливаючи на когнітивні процеси, поведінку та соціальну взаємодію. У процесі комунікації люди часто вдаються до свідомого контролю своїх емоційних проявів, що ускладнює розпізнавання їхнього істинного емоційного </w:t>
      </w:r>
      <w:proofErr w:type="gramStart"/>
      <w:r w:rsidRPr="00511005">
        <w:rPr>
          <w:rFonts w:ascii="Arial" w:hAnsi="Arial" w:cs="Arial"/>
          <w:szCs w:val="28"/>
          <w:lang w:eastAsia="zh-CN"/>
        </w:rPr>
        <w:t>стану .</w:t>
      </w:r>
      <w:proofErr w:type="gramEnd"/>
      <w:r w:rsidRPr="00511005">
        <w:rPr>
          <w:rFonts w:ascii="Arial" w:hAnsi="Arial" w:cs="Arial"/>
          <w:szCs w:val="28"/>
          <w:lang w:eastAsia="zh-CN"/>
        </w:rPr>
        <w:t xml:space="preserve"> Міміка або вираз обличчя (ВО) є надзвичайно ефективним і універсальним способом комунікації, що відображає психічний стан, наміри та установки людини. Одним з видів виділяють мікровирази (МВ), які проявляються за певних умов. Мікровирази – це швидкі, тривалістю менше ніж пів секунди, та ледь помітні рухи обличчя, що з'являються в умовах сильного стресу, коли людина намагається приховати свої істинні емоції [1].</w:t>
      </w:r>
    </w:p>
    <w:p w14:paraId="57600ABD" w14:textId="77777777" w:rsidR="00532C25" w:rsidRPr="00511005" w:rsidRDefault="00532C25" w:rsidP="00532C25">
      <w:pPr>
        <w:spacing w:line="264" w:lineRule="auto"/>
        <w:ind w:firstLine="720"/>
        <w:rPr>
          <w:rFonts w:ascii="Arial" w:eastAsia="Times New Roman" w:hAnsi="Arial" w:cs="Arial"/>
          <w:szCs w:val="28"/>
          <w:lang w:eastAsia="uk-UA"/>
        </w:rPr>
      </w:pPr>
      <w:r w:rsidRPr="00511005">
        <w:rPr>
          <w:rFonts w:ascii="Arial" w:eastAsia="Times New Roman" w:hAnsi="Arial" w:cs="Arial"/>
          <w:szCs w:val="28"/>
          <w:lang w:eastAsia="uk-UA"/>
        </w:rPr>
        <w:t>Нейрофізіологічні основи мікроміміки пов'язують її з активацією підкіркових структур мозку, зокрема лімбічної системи, яка відповідає за емоційні реакції, що є менш підконтрольними свідомому впливу кори головного мозку. Це зумовлює мимовільний та автентичний характер мікромімічних виразів, роблячи їх цінним індикатором справжніх емоцій, особливо в ситуаціях, коли людина намагається їх приховати або фальсифікувати [2].</w:t>
      </w:r>
    </w:p>
    <w:p w14:paraId="1A88DC70" w14:textId="77777777" w:rsidR="00532C25" w:rsidRPr="00511005" w:rsidRDefault="00532C25" w:rsidP="00532C25">
      <w:pPr>
        <w:spacing w:line="264" w:lineRule="auto"/>
        <w:ind w:firstLine="720"/>
        <w:rPr>
          <w:rFonts w:ascii="Arial" w:hAnsi="Arial" w:cs="Arial"/>
          <w:szCs w:val="28"/>
          <w:lang w:eastAsia="zh-CN"/>
        </w:rPr>
      </w:pPr>
      <w:r w:rsidRPr="00511005">
        <w:rPr>
          <w:rFonts w:ascii="Arial" w:hAnsi="Arial" w:cs="Arial"/>
          <w:szCs w:val="28"/>
          <w:lang w:eastAsia="zh-CN"/>
        </w:rPr>
        <w:t>Розуміння мікромімічних реакцій є важливим для ефективної комунікації, зокрема у сферах, де точність інтерпретації емоцій є критичною, таких як психологічне консультування, правоохоронна діяльність та бізнес-переговори, проходження перевірки на комп’ютерному поліграфі.</w:t>
      </w:r>
    </w:p>
    <w:p w14:paraId="0F7D7E1F" w14:textId="77777777" w:rsidR="00532C25" w:rsidRPr="00511005" w:rsidRDefault="00532C25" w:rsidP="00532C25">
      <w:pPr>
        <w:spacing w:line="264" w:lineRule="auto"/>
        <w:ind w:firstLine="720"/>
        <w:rPr>
          <w:rFonts w:ascii="Arial" w:hAnsi="Arial" w:cs="Arial"/>
          <w:szCs w:val="28"/>
          <w:lang w:eastAsia="zh-CN"/>
        </w:rPr>
      </w:pPr>
      <w:r w:rsidRPr="00511005">
        <w:rPr>
          <w:rFonts w:ascii="Arial" w:hAnsi="Arial" w:cs="Arial"/>
          <w:szCs w:val="28"/>
          <w:lang w:eastAsia="zh-CN"/>
        </w:rPr>
        <w:t xml:space="preserve">Концепція мікроміміки була вперше детально описана Полом Екманом та Уоллесом Фрізеном у 1960-х роках. Їхні дослідження показали, що навіть </w:t>
      </w:r>
      <w:r w:rsidRPr="00511005">
        <w:rPr>
          <w:rFonts w:ascii="Arial" w:hAnsi="Arial" w:cs="Arial"/>
          <w:szCs w:val="28"/>
          <w:lang w:eastAsia="zh-CN"/>
        </w:rPr>
        <w:lastRenderedPageBreak/>
        <w:t>коли люди намагаються приховати свої емоції, їхні справжні почуття можуть прослизати у вигляді короткочасних мікромімічних виразів, які відображають базові емоції, такі як гнів, страх, смуток, щастя, відраза та здивування.</w:t>
      </w:r>
    </w:p>
    <w:p w14:paraId="5C5C1F09" w14:textId="77777777" w:rsidR="00532C25" w:rsidRPr="00511005" w:rsidRDefault="00532C25" w:rsidP="00532C25">
      <w:pPr>
        <w:spacing w:line="264" w:lineRule="auto"/>
        <w:ind w:firstLine="720"/>
        <w:rPr>
          <w:rFonts w:ascii="Arial" w:hAnsi="Arial" w:cs="Arial"/>
          <w:szCs w:val="28"/>
          <w:lang w:eastAsia="zh-CN"/>
        </w:rPr>
      </w:pPr>
      <w:r w:rsidRPr="00511005">
        <w:rPr>
          <w:rFonts w:ascii="Arial" w:hAnsi="Arial" w:cs="Arial"/>
          <w:szCs w:val="28"/>
          <w:lang w:eastAsia="zh-CN"/>
        </w:rPr>
        <w:t xml:space="preserve">Пізніше, у 1970-1980-х роках науковці ініціювали та почали розвивати дослідження, спрямовані на встановлення кореляцій між проявами мікровиразів та актом обману. Емпіричні дані, отримані в ході цих досліджень, свідчили про статистично значущу тенденцію до підвищеної частотності мікровиразів у суб'єктів, які надавали неправдиву інформацію, порівняно з контрольною групою, яка повідомляла правдиві відомості. Крім того, якісний аналіз зафіксованих мікровиразів часто вказував на наявність негативних афективних станів, таких як фрустрація, тривожність (що може проявлятися як страх викриття) або емоційна неприязнь (відраза </w:t>
      </w:r>
      <w:proofErr w:type="gramStart"/>
      <w:r w:rsidRPr="00511005">
        <w:rPr>
          <w:rFonts w:ascii="Arial" w:hAnsi="Arial" w:cs="Arial"/>
          <w:szCs w:val="28"/>
          <w:lang w:eastAsia="zh-CN"/>
        </w:rPr>
        <w:t>до акту</w:t>
      </w:r>
      <w:proofErr w:type="gramEnd"/>
      <w:r w:rsidRPr="00511005">
        <w:rPr>
          <w:rFonts w:ascii="Arial" w:hAnsi="Arial" w:cs="Arial"/>
          <w:szCs w:val="28"/>
          <w:lang w:eastAsia="zh-CN"/>
        </w:rPr>
        <w:t xml:space="preserve"> обману або об'єкта брехні) [3].</w:t>
      </w:r>
    </w:p>
    <w:p w14:paraId="551F89D0" w14:textId="77777777" w:rsidR="00532C25" w:rsidRPr="00511005" w:rsidRDefault="00532C25" w:rsidP="00532C25">
      <w:pPr>
        <w:spacing w:line="264" w:lineRule="auto"/>
        <w:ind w:firstLine="720"/>
        <w:rPr>
          <w:rFonts w:ascii="Arial" w:hAnsi="Arial" w:cs="Arial"/>
          <w:szCs w:val="28"/>
          <w:lang w:eastAsia="zh-CN"/>
        </w:rPr>
      </w:pPr>
      <w:r w:rsidRPr="00511005">
        <w:rPr>
          <w:rFonts w:ascii="Arial" w:hAnsi="Arial" w:cs="Arial"/>
          <w:szCs w:val="28"/>
          <w:lang w:eastAsia="zh-CN"/>
        </w:rPr>
        <w:t>Як відомо, поліграфічне дослідження ґрунтується на фіксації мимовільних фізіологічних реакцій організму у відповідь на психологічний стрес, пов'язаний з обманом. Однак, окрім цих фізіологічних змін, мікроміміка як невербальний сигнал, може надавати цінну інформацію про емоційний стан опитуваного. Хоча поліграф безпосередньо не фіксує мімічні реакції, спостережливість та підготовленість поліграфолога до виявлення мікровиразів може стати важливим допоміжним інструментом. Помічені під час тестування негативні мікровирази, що збігаються з фізіологічними реакціями на ключові питання, можуть підсилити підозру в наданні неправдивої інформації.</w:t>
      </w:r>
    </w:p>
    <w:p w14:paraId="35F6DFD5" w14:textId="77777777" w:rsidR="00532C25" w:rsidRPr="00511005" w:rsidRDefault="00532C25" w:rsidP="00532C25">
      <w:pPr>
        <w:spacing w:line="264" w:lineRule="auto"/>
        <w:ind w:firstLine="720"/>
        <w:rPr>
          <w:rFonts w:ascii="Arial" w:hAnsi="Arial" w:cs="Arial"/>
          <w:szCs w:val="28"/>
          <w:lang w:eastAsia="zh-CN"/>
        </w:rPr>
      </w:pPr>
      <w:r w:rsidRPr="00511005">
        <w:rPr>
          <w:rFonts w:ascii="Arial" w:hAnsi="Arial" w:cs="Arial"/>
          <w:szCs w:val="28"/>
          <w:lang w:eastAsia="zh-CN"/>
        </w:rPr>
        <w:t>Зафіксовані під час тестування мікровирази можуть слугувати орієнтиром для подальшої пост-тестової бесіди. Звернення уваги на емоційно значущі моменти, які відобразилися в мікроміміці, може допомогти встановити психологічний контакт з опитуваним та сприяти отриманню правдивої інформації або зізнання.</w:t>
      </w:r>
    </w:p>
    <w:p w14:paraId="5AF5BE1A" w14:textId="77777777" w:rsidR="00532C25" w:rsidRPr="00511005" w:rsidRDefault="00532C25" w:rsidP="00532C25">
      <w:pPr>
        <w:spacing w:line="264" w:lineRule="auto"/>
        <w:ind w:firstLine="720"/>
        <w:rPr>
          <w:rFonts w:ascii="Arial" w:hAnsi="Arial" w:cs="Arial"/>
          <w:szCs w:val="28"/>
          <w:lang w:eastAsia="zh-CN"/>
        </w:rPr>
      </w:pPr>
      <w:r w:rsidRPr="00511005">
        <w:rPr>
          <w:rFonts w:ascii="Arial" w:hAnsi="Arial" w:cs="Arial"/>
          <w:szCs w:val="28"/>
          <w:lang w:eastAsia="zh-CN"/>
        </w:rPr>
        <w:t>Інтерпретація мікровиразів що вимагає спеціальної підготовки та значного досвіду. Самі по собі мікровирази не є беззаперечним доказом обману, оскільки можуть бути викликані різними емоційними станами. Тому, їх слід розглядати лише як один з елементів комплексної оцінки, поряд з аналізом фізіологічних даних та іншою інформацією у справі.</w:t>
      </w:r>
    </w:p>
    <w:p w14:paraId="208ACF7A" w14:textId="77777777" w:rsidR="00532C25" w:rsidRPr="00511005" w:rsidRDefault="00532C25" w:rsidP="00532C25">
      <w:pPr>
        <w:spacing w:line="264" w:lineRule="auto"/>
        <w:ind w:firstLine="720"/>
        <w:rPr>
          <w:rFonts w:ascii="Arial" w:hAnsi="Arial" w:cs="Arial"/>
          <w:szCs w:val="28"/>
          <w:lang w:eastAsia="zh-CN"/>
        </w:rPr>
      </w:pPr>
      <w:r w:rsidRPr="00511005">
        <w:rPr>
          <w:rFonts w:ascii="Arial" w:hAnsi="Arial" w:cs="Arial"/>
          <w:szCs w:val="28"/>
          <w:lang w:eastAsia="zh-CN"/>
        </w:rPr>
        <w:t>Вибір алгоритму машинного навчання для аналізу мікромімічних виразів є нетривіальним завданням, що визначається низкою ключових аспектів. Серед них особливе значення мають: специфіка емоційного сигналу, який необхідно ідентифікувати, об'єм та структура наявних даних для навчання моделі, а також вимоги до точності кінцевого результату.</w:t>
      </w:r>
    </w:p>
    <w:p w14:paraId="0846419B" w14:textId="77777777" w:rsidR="00532C25" w:rsidRPr="00511005" w:rsidRDefault="00532C25" w:rsidP="00532C25">
      <w:pPr>
        <w:spacing w:line="264" w:lineRule="auto"/>
        <w:ind w:firstLine="720"/>
        <w:rPr>
          <w:rFonts w:ascii="Arial" w:hAnsi="Arial" w:cs="Arial"/>
          <w:szCs w:val="28"/>
          <w:lang w:eastAsia="zh-CN"/>
        </w:rPr>
      </w:pPr>
      <w:r w:rsidRPr="00511005">
        <w:rPr>
          <w:rFonts w:ascii="Arial" w:hAnsi="Arial" w:cs="Arial"/>
          <w:szCs w:val="28"/>
          <w:lang w:eastAsia="zh-CN"/>
        </w:rPr>
        <w:t xml:space="preserve">Традиційні методи виявлення мікроміміки значною мірою покладаються на візуальну спостережливість та експертну підготовку. Проте, розвиток технологій відкриває нові можливості для об'єктивізації та кількісної оцінки цих ледь помітних емоційних сигналів. Однією з таких </w:t>
      </w:r>
      <w:r w:rsidRPr="00511005">
        <w:rPr>
          <w:rFonts w:ascii="Arial" w:hAnsi="Arial" w:cs="Arial"/>
          <w:szCs w:val="28"/>
          <w:lang w:eastAsia="zh-CN"/>
        </w:rPr>
        <w:lastRenderedPageBreak/>
        <w:t>технологій є АйДетект (</w:t>
      </w:r>
      <w:r w:rsidRPr="00511005">
        <w:rPr>
          <w:rFonts w:ascii="Arial" w:hAnsi="Arial" w:cs="Arial"/>
          <w:szCs w:val="28"/>
          <w:lang w:val="en-US" w:eastAsia="zh-CN"/>
        </w:rPr>
        <w:t>EyeDetect</w:t>
      </w:r>
      <w:r w:rsidRPr="00511005">
        <w:rPr>
          <w:rFonts w:ascii="Arial" w:hAnsi="Arial" w:cs="Arial"/>
          <w:szCs w:val="28"/>
          <w:lang w:eastAsia="zh-CN"/>
        </w:rPr>
        <w:t>) – система, що аналізує рухи очей для виявлення обману. Хоча її основне призначення не пов'язане безпосередньо з мікромімікою, висока точність відстеження окуломоторної активності може мати значний потенціал для дослідження зв'язку між рухами очей та швидкоплинними емоційними виразами обличчя [1].</w:t>
      </w:r>
    </w:p>
    <w:p w14:paraId="0A4F9953" w14:textId="77777777" w:rsidR="00532C25" w:rsidRPr="00511005" w:rsidRDefault="00532C25" w:rsidP="00532C25">
      <w:pPr>
        <w:spacing w:line="264" w:lineRule="auto"/>
        <w:ind w:firstLine="720"/>
        <w:rPr>
          <w:rFonts w:ascii="Arial" w:eastAsia="Times New Roman" w:hAnsi="Arial" w:cs="Arial"/>
          <w:szCs w:val="28"/>
          <w:lang w:eastAsia="uk-UA"/>
        </w:rPr>
      </w:pPr>
      <w:r w:rsidRPr="00511005">
        <w:rPr>
          <w:rFonts w:ascii="Arial" w:eastAsia="Calibri" w:hAnsi="Arial" w:cs="Arial"/>
          <w:szCs w:val="28"/>
        </w:rPr>
        <w:t>Система використовує інфрачервону камеру для запису рухів очей, щосекунди фіксуючи до 60 різних показників мимовільної поведінки, таких як зміна діаметра зіниць, моргання, рухи очей та фіксація погляду. Після завершення відеозапису спеціальне програмне забезпечення обробляє дані і вже менш ніж за п’ять хвилин визначає, чи має людина психологічну схильність приховувати інформацію. Технологія EyeDetect дозволяє проводити тести тривалістю 15 хвилин («Порівняння спрямованої брехні») або 30 хвилин («Тест порівняння кількох проблем») [1].</w:t>
      </w:r>
    </w:p>
    <w:p w14:paraId="2AB9B99B" w14:textId="77777777" w:rsidR="00532C25" w:rsidRPr="00511005" w:rsidRDefault="00532C25" w:rsidP="00532C25">
      <w:pPr>
        <w:spacing w:line="264" w:lineRule="auto"/>
        <w:ind w:firstLine="720"/>
        <w:rPr>
          <w:rFonts w:ascii="Arial" w:eastAsia="Times New Roman" w:hAnsi="Arial" w:cs="Arial"/>
          <w:szCs w:val="28"/>
          <w:lang w:eastAsia="uk-UA"/>
        </w:rPr>
      </w:pPr>
      <w:r w:rsidRPr="00511005">
        <w:rPr>
          <w:rFonts w:ascii="Arial" w:eastAsia="Times New Roman" w:hAnsi="Arial" w:cs="Arial"/>
          <w:szCs w:val="28"/>
          <w:lang w:eastAsia="uk-UA"/>
        </w:rPr>
        <w:t>Інтенсивність емоційної реакції може відображатися як у виразності міміки, так і в змінах окуломоторних параметрів. АйДетект може надавати кількісні дані про ці зміни, що потенційно дозволить об'єктивно оцінювати силу прихованої емоції, що проявляється через мікроміміку.</w:t>
      </w:r>
    </w:p>
    <w:p w14:paraId="3212287B" w14:textId="77777777" w:rsidR="00532C25" w:rsidRPr="00511005" w:rsidRDefault="00532C25" w:rsidP="00532C25">
      <w:pPr>
        <w:spacing w:line="264" w:lineRule="auto"/>
        <w:ind w:firstLine="720"/>
        <w:rPr>
          <w:rFonts w:ascii="Arial" w:eastAsia="Times New Roman" w:hAnsi="Arial" w:cs="Arial"/>
          <w:szCs w:val="28"/>
          <w:lang w:eastAsia="uk-UA"/>
        </w:rPr>
      </w:pPr>
      <w:r w:rsidRPr="00511005">
        <w:rPr>
          <w:rFonts w:ascii="Arial" w:eastAsia="Times New Roman" w:hAnsi="Arial" w:cs="Arial"/>
          <w:szCs w:val="28"/>
          <w:lang w:eastAsia="uk-UA"/>
        </w:rPr>
        <w:t xml:space="preserve">Аналізуючи такі параметри, як частота моргання, час фіксації погляду, розширення зіниць та інші окуломоторні показники, алгоритми АйДетект оцінюють рівень когнітивного навантаження та емоційного збудження, які можуть бути пов'язані з </w:t>
      </w:r>
      <w:proofErr w:type="gramStart"/>
      <w:r w:rsidRPr="00511005">
        <w:rPr>
          <w:rFonts w:ascii="Arial" w:eastAsia="Times New Roman" w:hAnsi="Arial" w:cs="Arial"/>
          <w:szCs w:val="28"/>
          <w:lang w:eastAsia="uk-UA"/>
        </w:rPr>
        <w:t>обманом..</w:t>
      </w:r>
      <w:proofErr w:type="gramEnd"/>
      <w:r w:rsidRPr="00511005">
        <w:rPr>
          <w:rFonts w:ascii="Arial" w:eastAsia="Times New Roman" w:hAnsi="Arial" w:cs="Arial"/>
          <w:szCs w:val="28"/>
          <w:lang w:eastAsia="uk-UA"/>
        </w:rPr>
        <w:t xml:space="preserve"> </w:t>
      </w:r>
    </w:p>
    <w:p w14:paraId="7DA7C0DC" w14:textId="77777777" w:rsidR="00532C25" w:rsidRPr="00511005" w:rsidRDefault="00532C25" w:rsidP="00532C25">
      <w:pPr>
        <w:spacing w:line="264" w:lineRule="auto"/>
        <w:ind w:firstLine="720"/>
        <w:rPr>
          <w:rFonts w:ascii="Arial" w:eastAsia="Times New Roman" w:hAnsi="Arial" w:cs="Arial"/>
          <w:szCs w:val="28"/>
          <w:lang w:eastAsia="uk-UA"/>
        </w:rPr>
      </w:pPr>
      <w:r w:rsidRPr="00511005">
        <w:rPr>
          <w:rFonts w:ascii="Arial" w:eastAsia="Times New Roman" w:hAnsi="Arial" w:cs="Arial"/>
          <w:szCs w:val="28"/>
          <w:lang w:eastAsia="uk-UA"/>
        </w:rPr>
        <w:t>Мікроміміка відкриває нові можливості для підвищення точності поліграфологічного дослідження. Поліграф фіксує фізіологічні зміни організму (ритм дихання, серцебиття, шкірну провідність) у відповідь на стрес чи брехню. Але людина може навчитися певною мірою контролювати ці реакції або маскувати хвилювання. Натомість мікровирази обличчя практично неможливо повністю контролювати.</w:t>
      </w:r>
    </w:p>
    <w:p w14:paraId="279EB162" w14:textId="77777777" w:rsidR="00532C25" w:rsidRPr="00511005" w:rsidRDefault="00532C25" w:rsidP="00532C25">
      <w:pPr>
        <w:spacing w:line="264" w:lineRule="auto"/>
        <w:ind w:firstLine="720"/>
        <w:rPr>
          <w:rFonts w:ascii="Arial" w:eastAsia="Times New Roman" w:hAnsi="Arial" w:cs="Arial"/>
          <w:szCs w:val="28"/>
          <w:lang w:eastAsia="uk-UA"/>
        </w:rPr>
      </w:pPr>
      <w:r w:rsidRPr="00511005">
        <w:rPr>
          <w:rFonts w:ascii="Arial" w:eastAsia="Times New Roman" w:hAnsi="Arial" w:cs="Arial"/>
          <w:szCs w:val="28"/>
          <w:lang w:eastAsia="uk-UA"/>
        </w:rPr>
        <w:t xml:space="preserve">Відстеження мікроміміки під час поліграфічного тестування дає можливість </w:t>
      </w:r>
      <w:r w:rsidRPr="00511005">
        <w:rPr>
          <w:rFonts w:ascii="Arial" w:eastAsia="Times New Roman" w:hAnsi="Arial" w:cs="Arial"/>
          <w:bCs/>
          <w:szCs w:val="28"/>
          <w:lang w:eastAsia="uk-UA"/>
        </w:rPr>
        <w:t>доповнювати фізіологічні дані</w:t>
      </w:r>
      <w:r w:rsidRPr="00511005">
        <w:rPr>
          <w:rFonts w:ascii="Arial" w:eastAsia="Times New Roman" w:hAnsi="Arial" w:cs="Arial"/>
          <w:szCs w:val="28"/>
          <w:lang w:eastAsia="uk-UA"/>
        </w:rPr>
        <w:t xml:space="preserve">, що особливо важливо у випадках слабких або суперечливих поліграфічних реакцій, </w:t>
      </w:r>
      <w:r w:rsidRPr="00511005">
        <w:rPr>
          <w:rFonts w:ascii="Arial" w:eastAsia="Times New Roman" w:hAnsi="Arial" w:cs="Arial"/>
          <w:bCs/>
          <w:szCs w:val="28"/>
          <w:lang w:eastAsia="uk-UA"/>
        </w:rPr>
        <w:t>виявляти моменти найбільшого психологічного напруження</w:t>
      </w:r>
      <w:r w:rsidRPr="00511005">
        <w:rPr>
          <w:rFonts w:ascii="Arial" w:eastAsia="Times New Roman" w:hAnsi="Arial" w:cs="Arial"/>
          <w:szCs w:val="28"/>
          <w:lang w:eastAsia="uk-UA"/>
        </w:rPr>
        <w:t>, щоб правильно будувати подальшу бесіду та уточнюючі запитання.</w:t>
      </w:r>
    </w:p>
    <w:p w14:paraId="0E07C104" w14:textId="77777777" w:rsidR="00532C25" w:rsidRPr="00511005" w:rsidRDefault="00532C25" w:rsidP="00532C25">
      <w:pPr>
        <w:spacing w:line="264" w:lineRule="auto"/>
        <w:ind w:firstLine="720"/>
        <w:rPr>
          <w:rFonts w:ascii="Arial" w:eastAsia="Times New Roman" w:hAnsi="Arial" w:cs="Arial"/>
          <w:szCs w:val="28"/>
          <w:lang w:eastAsia="uk-UA"/>
        </w:rPr>
      </w:pPr>
      <w:r w:rsidRPr="00511005">
        <w:rPr>
          <w:rFonts w:ascii="Arial" w:eastAsia="Times New Roman" w:hAnsi="Arial" w:cs="Arial"/>
          <w:szCs w:val="28"/>
          <w:lang w:eastAsia="uk-UA"/>
        </w:rPr>
        <w:t xml:space="preserve">Використання новітніх технологій, таких як EyeDetect, які фіксують рухи очей і зміни зіниць, дозволяє об'єктивно вимірювати емоційне збудження, що також може вказувати на спробу обману. </w:t>
      </w:r>
      <w:r w:rsidRPr="00511005">
        <w:rPr>
          <w:rFonts w:ascii="Arial" w:eastAsia="Times New Roman" w:hAnsi="Arial" w:cs="Arial"/>
          <w:bCs/>
          <w:szCs w:val="28"/>
          <w:lang w:eastAsia="uk-UA"/>
        </w:rPr>
        <w:t>Мікроміміка слугує додатковим інструментом</w:t>
      </w:r>
      <w:r w:rsidRPr="00511005">
        <w:rPr>
          <w:rFonts w:ascii="Arial" w:eastAsia="Times New Roman" w:hAnsi="Arial" w:cs="Arial"/>
          <w:szCs w:val="28"/>
          <w:lang w:eastAsia="uk-UA"/>
        </w:rPr>
        <w:t>, який допомагає глибше зрозуміти психологічний стан людини і підвищити ефективність поліграфічного обстеження.</w:t>
      </w:r>
    </w:p>
    <w:p w14:paraId="5A8463B5" w14:textId="77777777" w:rsidR="00532C25" w:rsidRPr="00511005" w:rsidRDefault="00532C25" w:rsidP="00532C25">
      <w:pPr>
        <w:shd w:val="clear" w:color="auto" w:fill="FFFFFF"/>
        <w:spacing w:line="264" w:lineRule="auto"/>
        <w:ind w:firstLine="720"/>
        <w:jc w:val="center"/>
        <w:rPr>
          <w:rFonts w:ascii="Arial" w:eastAsia="Times New Roman" w:hAnsi="Arial" w:cs="Arial"/>
          <w:b/>
          <w:szCs w:val="28"/>
          <w:shd w:val="clear" w:color="auto" w:fill="FFFFFF"/>
          <w:lang w:val="uk-UA" w:eastAsia="uk-UA"/>
        </w:rPr>
      </w:pPr>
    </w:p>
    <w:p w14:paraId="23F20BDE" w14:textId="77777777" w:rsidR="00532C25" w:rsidRPr="00511005" w:rsidRDefault="00532C25" w:rsidP="00532C25">
      <w:pPr>
        <w:shd w:val="clear" w:color="auto" w:fill="FFFFFF"/>
        <w:spacing w:line="264" w:lineRule="auto"/>
        <w:ind w:firstLine="720"/>
        <w:jc w:val="center"/>
        <w:rPr>
          <w:rFonts w:ascii="Arial" w:eastAsia="Times New Roman" w:hAnsi="Arial" w:cs="Arial"/>
          <w:b/>
          <w:szCs w:val="28"/>
          <w:shd w:val="clear" w:color="auto" w:fill="FFFFFF"/>
          <w:lang w:val="uk-UA" w:eastAsia="uk-UA"/>
        </w:rPr>
      </w:pPr>
      <w:r w:rsidRPr="00511005">
        <w:rPr>
          <w:rFonts w:ascii="Arial" w:eastAsia="Times New Roman" w:hAnsi="Arial" w:cs="Arial"/>
          <w:b/>
          <w:szCs w:val="28"/>
          <w:shd w:val="clear" w:color="auto" w:fill="FFFFFF"/>
          <w:lang w:val="uk-UA" w:eastAsia="uk-UA"/>
        </w:rPr>
        <w:t>Список використаних джерел</w:t>
      </w:r>
    </w:p>
    <w:p w14:paraId="17BE19D2" w14:textId="77777777" w:rsidR="00532C25" w:rsidRPr="00511005" w:rsidRDefault="00532C25" w:rsidP="00532C25">
      <w:pPr>
        <w:spacing w:line="264" w:lineRule="auto"/>
        <w:ind w:firstLine="720"/>
        <w:rPr>
          <w:rFonts w:ascii="Arial" w:hAnsi="Arial" w:cs="Arial"/>
          <w:szCs w:val="28"/>
          <w:lang w:eastAsia="zh-CN"/>
        </w:rPr>
      </w:pPr>
      <w:r w:rsidRPr="00511005">
        <w:rPr>
          <w:rFonts w:ascii="Arial" w:hAnsi="Arial" w:cs="Arial"/>
          <w:szCs w:val="28"/>
          <w:lang w:val="uk-UA" w:eastAsia="zh-CN"/>
        </w:rPr>
        <w:t xml:space="preserve">1. Сучасна технологія - поліграф </w:t>
      </w:r>
      <w:r w:rsidRPr="00511005">
        <w:rPr>
          <w:rFonts w:ascii="Arial" w:hAnsi="Arial" w:cs="Arial"/>
          <w:szCs w:val="28"/>
          <w:lang w:val="en-US" w:eastAsia="zh-CN"/>
        </w:rPr>
        <w:t>EyeDetect</w:t>
      </w:r>
      <w:r w:rsidRPr="00511005">
        <w:rPr>
          <w:rFonts w:ascii="Arial" w:hAnsi="Arial" w:cs="Arial"/>
          <w:szCs w:val="28"/>
          <w:lang w:val="uk-UA" w:eastAsia="zh-CN"/>
        </w:rPr>
        <w:t xml:space="preserve"> впевнено лідирує у світі як найбільш надійна технологія виявлення прихованої інформації (неправди, обману).</w:t>
      </w:r>
      <w:r w:rsidRPr="00511005">
        <w:rPr>
          <w:rFonts w:ascii="Arial" w:hAnsi="Arial" w:cs="Arial"/>
          <w:szCs w:val="28"/>
          <w:lang w:val="en-US" w:eastAsia="zh-CN"/>
        </w:rPr>
        <w:t> </w:t>
      </w:r>
      <w:r w:rsidRPr="00511005">
        <w:rPr>
          <w:rFonts w:ascii="Arial" w:hAnsi="Arial" w:cs="Arial"/>
          <w:i/>
          <w:iCs/>
          <w:szCs w:val="28"/>
          <w:lang w:eastAsia="zh-CN"/>
        </w:rPr>
        <w:t xml:space="preserve">Головна – Науковий </w:t>
      </w:r>
      <w:r w:rsidRPr="00511005">
        <w:rPr>
          <w:rFonts w:ascii="Arial" w:hAnsi="Arial" w:cs="Arial"/>
          <w:i/>
          <w:iCs/>
          <w:szCs w:val="28"/>
          <w:lang w:val="en-US" w:eastAsia="zh-CN"/>
        </w:rPr>
        <w:t>online</w:t>
      </w:r>
      <w:r w:rsidRPr="00511005">
        <w:rPr>
          <w:rFonts w:ascii="Arial" w:hAnsi="Arial" w:cs="Arial"/>
          <w:i/>
          <w:iCs/>
          <w:szCs w:val="28"/>
          <w:lang w:eastAsia="zh-CN"/>
        </w:rPr>
        <w:t xml:space="preserve"> журнал «Судово-психологічна </w:t>
      </w:r>
      <w:r w:rsidRPr="00511005">
        <w:rPr>
          <w:rFonts w:ascii="Arial" w:hAnsi="Arial" w:cs="Arial"/>
          <w:i/>
          <w:iCs/>
          <w:szCs w:val="28"/>
          <w:lang w:eastAsia="zh-CN"/>
        </w:rPr>
        <w:lastRenderedPageBreak/>
        <w:t>експертиза»</w:t>
      </w:r>
      <w:r w:rsidRPr="00511005">
        <w:rPr>
          <w:rFonts w:ascii="Arial" w:hAnsi="Arial" w:cs="Arial"/>
          <w:szCs w:val="28"/>
          <w:lang w:eastAsia="zh-CN"/>
        </w:rPr>
        <w:t xml:space="preserve">. </w:t>
      </w:r>
      <w:r w:rsidRPr="00511005">
        <w:rPr>
          <w:rFonts w:ascii="Arial" w:hAnsi="Arial" w:cs="Arial"/>
          <w:szCs w:val="28"/>
          <w:lang w:val="en-US" w:eastAsia="zh-CN"/>
        </w:rPr>
        <w:t>URL</w:t>
      </w:r>
      <w:r w:rsidRPr="00511005">
        <w:rPr>
          <w:rFonts w:ascii="Arial" w:hAnsi="Arial" w:cs="Arial"/>
          <w:szCs w:val="28"/>
          <w:lang w:eastAsia="zh-CN"/>
        </w:rPr>
        <w:t>:</w:t>
      </w:r>
      <w:r w:rsidRPr="00511005">
        <w:rPr>
          <w:rFonts w:ascii="Arial" w:hAnsi="Arial" w:cs="Arial"/>
          <w:szCs w:val="28"/>
          <w:lang w:val="en-US" w:eastAsia="zh-CN"/>
        </w:rPr>
        <w:t> </w:t>
      </w:r>
      <w:hyperlink r:id="rId1989" w:tgtFrame="_blank"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expertize</w:t>
        </w:r>
        <w:r w:rsidRPr="00511005">
          <w:rPr>
            <w:rFonts w:ascii="Arial" w:hAnsi="Arial" w:cs="Arial"/>
            <w:szCs w:val="28"/>
            <w:lang w:eastAsia="zh-CN"/>
          </w:rPr>
          <w:t>-</w:t>
        </w:r>
        <w:r w:rsidRPr="00511005">
          <w:rPr>
            <w:rFonts w:ascii="Arial" w:hAnsi="Arial" w:cs="Arial"/>
            <w:szCs w:val="28"/>
            <w:lang w:val="en-US" w:eastAsia="zh-CN"/>
          </w:rPr>
          <w:t>journal</w:t>
        </w:r>
        <w:r w:rsidRPr="00511005">
          <w:rPr>
            <w:rFonts w:ascii="Arial" w:hAnsi="Arial" w:cs="Arial"/>
            <w:szCs w:val="28"/>
            <w:lang w:eastAsia="zh-CN"/>
          </w:rPr>
          <w:t>.</w:t>
        </w:r>
        <w:r w:rsidRPr="00511005">
          <w:rPr>
            <w:rFonts w:ascii="Arial" w:hAnsi="Arial" w:cs="Arial"/>
            <w:szCs w:val="28"/>
            <w:lang w:val="en-US" w:eastAsia="zh-CN"/>
          </w:rPr>
          <w:t>org</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all</w:t>
        </w:r>
        <w:r w:rsidRPr="00511005">
          <w:rPr>
            <w:rFonts w:ascii="Arial" w:hAnsi="Arial" w:cs="Arial"/>
            <w:szCs w:val="28"/>
            <w:lang w:eastAsia="zh-CN"/>
          </w:rPr>
          <w:t>-</w:t>
        </w:r>
        <w:r w:rsidRPr="00511005">
          <w:rPr>
            <w:rFonts w:ascii="Arial" w:hAnsi="Arial" w:cs="Arial"/>
            <w:szCs w:val="28"/>
            <w:lang w:val="en-US" w:eastAsia="zh-CN"/>
          </w:rPr>
          <w:t>news</w:t>
        </w:r>
        <w:r w:rsidRPr="00511005">
          <w:rPr>
            <w:rFonts w:ascii="Arial" w:hAnsi="Arial" w:cs="Arial"/>
            <w:szCs w:val="28"/>
            <w:lang w:eastAsia="zh-CN"/>
          </w:rPr>
          <w:t>/7034-</w:t>
        </w:r>
        <w:r w:rsidRPr="00511005">
          <w:rPr>
            <w:rFonts w:ascii="Arial" w:hAnsi="Arial" w:cs="Arial"/>
            <w:szCs w:val="28"/>
            <w:lang w:val="en-US" w:eastAsia="zh-CN"/>
          </w:rPr>
          <w:t>suchasna</w:t>
        </w:r>
        <w:r w:rsidRPr="00511005">
          <w:rPr>
            <w:rFonts w:ascii="Arial" w:hAnsi="Arial" w:cs="Arial"/>
            <w:szCs w:val="28"/>
            <w:lang w:eastAsia="zh-CN"/>
          </w:rPr>
          <w:t>-</w:t>
        </w:r>
        <w:r w:rsidRPr="00511005">
          <w:rPr>
            <w:rFonts w:ascii="Arial" w:hAnsi="Arial" w:cs="Arial"/>
            <w:szCs w:val="28"/>
            <w:lang w:val="en-US" w:eastAsia="zh-CN"/>
          </w:rPr>
          <w:t>tekhnologiya</w:t>
        </w:r>
        <w:r w:rsidRPr="00511005">
          <w:rPr>
            <w:rFonts w:ascii="Arial" w:hAnsi="Arial" w:cs="Arial"/>
            <w:szCs w:val="28"/>
            <w:lang w:eastAsia="zh-CN"/>
          </w:rPr>
          <w:t>-</w:t>
        </w:r>
        <w:r w:rsidRPr="00511005">
          <w:rPr>
            <w:rFonts w:ascii="Arial" w:hAnsi="Arial" w:cs="Arial"/>
            <w:szCs w:val="28"/>
            <w:lang w:val="en-US" w:eastAsia="zh-CN"/>
          </w:rPr>
          <w:t>poligraf</w:t>
        </w:r>
        <w:r w:rsidRPr="00511005">
          <w:rPr>
            <w:rFonts w:ascii="Arial" w:hAnsi="Arial" w:cs="Arial"/>
            <w:szCs w:val="28"/>
            <w:lang w:eastAsia="zh-CN"/>
          </w:rPr>
          <w:t>-</w:t>
        </w:r>
        <w:r w:rsidRPr="00511005">
          <w:rPr>
            <w:rFonts w:ascii="Arial" w:hAnsi="Arial" w:cs="Arial"/>
            <w:szCs w:val="28"/>
            <w:lang w:val="en-US" w:eastAsia="zh-CN"/>
          </w:rPr>
          <w:t>eyedetect</w:t>
        </w:r>
        <w:r w:rsidRPr="00511005">
          <w:rPr>
            <w:rFonts w:ascii="Arial" w:hAnsi="Arial" w:cs="Arial"/>
            <w:szCs w:val="28"/>
            <w:lang w:eastAsia="zh-CN"/>
          </w:rPr>
          <w:t>-</w:t>
        </w:r>
        <w:r w:rsidRPr="00511005">
          <w:rPr>
            <w:rFonts w:ascii="Arial" w:hAnsi="Arial" w:cs="Arial"/>
            <w:szCs w:val="28"/>
            <w:lang w:val="en-US" w:eastAsia="zh-CN"/>
          </w:rPr>
          <w:t>vpevneno</w:t>
        </w:r>
        <w:r w:rsidRPr="00511005">
          <w:rPr>
            <w:rFonts w:ascii="Arial" w:hAnsi="Arial" w:cs="Arial"/>
            <w:szCs w:val="28"/>
            <w:lang w:eastAsia="zh-CN"/>
          </w:rPr>
          <w:t>-</w:t>
        </w:r>
        <w:r w:rsidRPr="00511005">
          <w:rPr>
            <w:rFonts w:ascii="Arial" w:hAnsi="Arial" w:cs="Arial"/>
            <w:szCs w:val="28"/>
            <w:lang w:val="en-US" w:eastAsia="zh-CN"/>
          </w:rPr>
          <w:t>lidirue</w:t>
        </w:r>
        <w:r w:rsidRPr="00511005">
          <w:rPr>
            <w:rFonts w:ascii="Arial" w:hAnsi="Arial" w:cs="Arial"/>
            <w:szCs w:val="28"/>
            <w:lang w:eastAsia="zh-CN"/>
          </w:rPr>
          <w:t>-</w:t>
        </w:r>
        <w:r w:rsidRPr="00511005">
          <w:rPr>
            <w:rFonts w:ascii="Arial" w:hAnsi="Arial" w:cs="Arial"/>
            <w:szCs w:val="28"/>
            <w:lang w:val="en-US" w:eastAsia="zh-CN"/>
          </w:rPr>
          <w:t>u</w:t>
        </w:r>
        <w:r w:rsidRPr="00511005">
          <w:rPr>
            <w:rFonts w:ascii="Arial" w:hAnsi="Arial" w:cs="Arial"/>
            <w:szCs w:val="28"/>
            <w:lang w:eastAsia="zh-CN"/>
          </w:rPr>
          <w:t>-</w:t>
        </w:r>
        <w:r w:rsidRPr="00511005">
          <w:rPr>
            <w:rFonts w:ascii="Arial" w:hAnsi="Arial" w:cs="Arial"/>
            <w:szCs w:val="28"/>
            <w:lang w:val="en-US" w:eastAsia="zh-CN"/>
          </w:rPr>
          <w:t>sviti</w:t>
        </w:r>
        <w:r w:rsidRPr="00511005">
          <w:rPr>
            <w:rFonts w:ascii="Arial" w:hAnsi="Arial" w:cs="Arial"/>
            <w:szCs w:val="28"/>
            <w:lang w:eastAsia="zh-CN"/>
          </w:rPr>
          <w:t>-</w:t>
        </w:r>
        <w:r w:rsidRPr="00511005">
          <w:rPr>
            <w:rFonts w:ascii="Arial" w:hAnsi="Arial" w:cs="Arial"/>
            <w:szCs w:val="28"/>
            <w:lang w:val="en-US" w:eastAsia="zh-CN"/>
          </w:rPr>
          <w:t>yak</w:t>
        </w:r>
        <w:r w:rsidRPr="00511005">
          <w:rPr>
            <w:rFonts w:ascii="Arial" w:hAnsi="Arial" w:cs="Arial"/>
            <w:szCs w:val="28"/>
            <w:lang w:eastAsia="zh-CN"/>
          </w:rPr>
          <w:t>-</w:t>
        </w:r>
        <w:r w:rsidRPr="00511005">
          <w:rPr>
            <w:rFonts w:ascii="Arial" w:hAnsi="Arial" w:cs="Arial"/>
            <w:szCs w:val="28"/>
            <w:lang w:val="en-US" w:eastAsia="zh-CN"/>
          </w:rPr>
          <w:t>najbilsh</w:t>
        </w:r>
        <w:r w:rsidRPr="00511005">
          <w:rPr>
            <w:rFonts w:ascii="Arial" w:hAnsi="Arial" w:cs="Arial"/>
            <w:szCs w:val="28"/>
            <w:lang w:eastAsia="zh-CN"/>
          </w:rPr>
          <w:t>-</w:t>
        </w:r>
        <w:r w:rsidRPr="00511005">
          <w:rPr>
            <w:rFonts w:ascii="Arial" w:hAnsi="Arial" w:cs="Arial"/>
            <w:szCs w:val="28"/>
            <w:lang w:val="en-US" w:eastAsia="zh-CN"/>
          </w:rPr>
          <w:t>nadijna</w:t>
        </w:r>
        <w:r w:rsidRPr="00511005">
          <w:rPr>
            <w:rFonts w:ascii="Arial" w:hAnsi="Arial" w:cs="Arial"/>
            <w:szCs w:val="28"/>
            <w:lang w:eastAsia="zh-CN"/>
          </w:rPr>
          <w:t>-</w:t>
        </w:r>
        <w:r w:rsidRPr="00511005">
          <w:rPr>
            <w:rFonts w:ascii="Arial" w:hAnsi="Arial" w:cs="Arial"/>
            <w:szCs w:val="28"/>
            <w:lang w:val="en-US" w:eastAsia="zh-CN"/>
          </w:rPr>
          <w:t>tekhnologiya</w:t>
        </w:r>
        <w:r w:rsidRPr="00511005">
          <w:rPr>
            <w:rFonts w:ascii="Arial" w:hAnsi="Arial" w:cs="Arial"/>
            <w:szCs w:val="28"/>
            <w:lang w:eastAsia="zh-CN"/>
          </w:rPr>
          <w:t>-</w:t>
        </w:r>
        <w:r w:rsidRPr="00511005">
          <w:rPr>
            <w:rFonts w:ascii="Arial" w:hAnsi="Arial" w:cs="Arial"/>
            <w:szCs w:val="28"/>
            <w:lang w:val="en-US" w:eastAsia="zh-CN"/>
          </w:rPr>
          <w:t>viyavlennya</w:t>
        </w:r>
        <w:r w:rsidRPr="00511005">
          <w:rPr>
            <w:rFonts w:ascii="Arial" w:hAnsi="Arial" w:cs="Arial"/>
            <w:szCs w:val="28"/>
            <w:lang w:eastAsia="zh-CN"/>
          </w:rPr>
          <w:t>-</w:t>
        </w:r>
        <w:r w:rsidRPr="00511005">
          <w:rPr>
            <w:rFonts w:ascii="Arial" w:hAnsi="Arial" w:cs="Arial"/>
            <w:szCs w:val="28"/>
            <w:lang w:val="en-US" w:eastAsia="zh-CN"/>
          </w:rPr>
          <w:t>prikhovanoji</w:t>
        </w:r>
        <w:r w:rsidRPr="00511005">
          <w:rPr>
            <w:rFonts w:ascii="Arial" w:hAnsi="Arial" w:cs="Arial"/>
            <w:szCs w:val="28"/>
            <w:lang w:eastAsia="zh-CN"/>
          </w:rPr>
          <w:t>-</w:t>
        </w:r>
        <w:r w:rsidRPr="00511005">
          <w:rPr>
            <w:rFonts w:ascii="Arial" w:hAnsi="Arial" w:cs="Arial"/>
            <w:szCs w:val="28"/>
            <w:lang w:val="en-US" w:eastAsia="zh-CN"/>
          </w:rPr>
          <w:t>informatsiji</w:t>
        </w:r>
        <w:r w:rsidRPr="00511005">
          <w:rPr>
            <w:rFonts w:ascii="Arial" w:hAnsi="Arial" w:cs="Arial"/>
            <w:szCs w:val="28"/>
            <w:lang w:eastAsia="zh-CN"/>
          </w:rPr>
          <w:t>-</w:t>
        </w:r>
        <w:r w:rsidRPr="00511005">
          <w:rPr>
            <w:rFonts w:ascii="Arial" w:hAnsi="Arial" w:cs="Arial"/>
            <w:szCs w:val="28"/>
            <w:lang w:val="en-US" w:eastAsia="zh-CN"/>
          </w:rPr>
          <w:t>nepravdi</w:t>
        </w:r>
        <w:r w:rsidRPr="00511005">
          <w:rPr>
            <w:rFonts w:ascii="Arial" w:hAnsi="Arial" w:cs="Arial"/>
            <w:szCs w:val="28"/>
            <w:lang w:eastAsia="zh-CN"/>
          </w:rPr>
          <w:t>-</w:t>
        </w:r>
        <w:r w:rsidRPr="00511005">
          <w:rPr>
            <w:rFonts w:ascii="Arial" w:hAnsi="Arial" w:cs="Arial"/>
            <w:szCs w:val="28"/>
            <w:lang w:val="en-US" w:eastAsia="zh-CN"/>
          </w:rPr>
          <w:t>obmanu</w:t>
        </w:r>
      </w:hyperlink>
      <w:r w:rsidRPr="00511005">
        <w:rPr>
          <w:rFonts w:ascii="Arial" w:hAnsi="Arial" w:cs="Arial"/>
          <w:szCs w:val="28"/>
          <w:lang w:val="en-US" w:eastAsia="zh-CN"/>
        </w:rPr>
        <w:t> </w:t>
      </w:r>
      <w:r w:rsidRPr="00511005">
        <w:rPr>
          <w:rFonts w:ascii="Arial" w:hAnsi="Arial" w:cs="Arial"/>
          <w:szCs w:val="28"/>
          <w:lang w:eastAsia="zh-CN"/>
        </w:rPr>
        <w:t>(дата звернення: 27.04.2025).</w:t>
      </w:r>
    </w:p>
    <w:p w14:paraId="72F13C6B" w14:textId="77777777" w:rsidR="00532C25" w:rsidRPr="00511005" w:rsidRDefault="00532C25" w:rsidP="00532C25">
      <w:pPr>
        <w:spacing w:line="264" w:lineRule="auto"/>
        <w:ind w:firstLine="720"/>
        <w:rPr>
          <w:rFonts w:ascii="Arial" w:hAnsi="Arial" w:cs="Arial"/>
          <w:szCs w:val="28"/>
          <w:lang w:val="en-US" w:eastAsia="zh-CN"/>
        </w:rPr>
      </w:pPr>
      <w:r w:rsidRPr="00511005">
        <w:rPr>
          <w:rFonts w:ascii="Arial" w:hAnsi="Arial" w:cs="Arial"/>
          <w:szCs w:val="28"/>
          <w:lang w:eastAsia="zh-CN"/>
        </w:rPr>
        <w:t>2. Яремченко</w:t>
      </w:r>
      <w:r w:rsidRPr="00511005">
        <w:rPr>
          <w:rFonts w:ascii="Arial" w:hAnsi="Arial" w:cs="Arial"/>
          <w:szCs w:val="28"/>
          <w:lang w:val="en-US" w:eastAsia="zh-CN"/>
        </w:rPr>
        <w:t> </w:t>
      </w:r>
      <w:r w:rsidRPr="00511005">
        <w:rPr>
          <w:rFonts w:ascii="Arial" w:hAnsi="Arial" w:cs="Arial"/>
          <w:szCs w:val="28"/>
          <w:lang w:eastAsia="zh-CN"/>
        </w:rPr>
        <w:t>О., Пукач</w:t>
      </w:r>
      <w:r w:rsidRPr="00511005">
        <w:rPr>
          <w:rFonts w:ascii="Arial" w:hAnsi="Arial" w:cs="Arial"/>
          <w:szCs w:val="28"/>
          <w:lang w:val="en-US" w:eastAsia="zh-CN"/>
        </w:rPr>
        <w:t> </w:t>
      </w:r>
      <w:r w:rsidRPr="00511005">
        <w:rPr>
          <w:rFonts w:ascii="Arial" w:hAnsi="Arial" w:cs="Arial"/>
          <w:szCs w:val="28"/>
          <w:lang w:eastAsia="zh-CN"/>
        </w:rPr>
        <w:t>П. Вдосконалення методу розпізнавання прихованих емоцій на базі нейронних мереж.</w:t>
      </w:r>
      <w:r w:rsidRPr="00511005">
        <w:rPr>
          <w:rFonts w:ascii="Arial" w:hAnsi="Arial" w:cs="Arial"/>
          <w:szCs w:val="28"/>
          <w:lang w:val="en-US" w:eastAsia="zh-CN"/>
        </w:rPr>
        <w:t> </w:t>
      </w:r>
      <w:r w:rsidRPr="00511005">
        <w:rPr>
          <w:rFonts w:ascii="Arial" w:hAnsi="Arial" w:cs="Arial"/>
          <w:i/>
          <w:iCs/>
          <w:szCs w:val="28"/>
          <w:lang w:val="en-US" w:eastAsia="zh-CN"/>
        </w:rPr>
        <w:t>Український журнал інформаційних технологій</w:t>
      </w:r>
      <w:r w:rsidRPr="00511005">
        <w:rPr>
          <w:rFonts w:ascii="Arial" w:hAnsi="Arial" w:cs="Arial"/>
          <w:szCs w:val="28"/>
          <w:lang w:val="en-US" w:eastAsia="zh-CN"/>
        </w:rPr>
        <w:t>. 2024. № 6. С. 58–64.</w:t>
      </w:r>
    </w:p>
    <w:p w14:paraId="2BA7B861" w14:textId="77777777" w:rsidR="00532C25" w:rsidRPr="00511005" w:rsidRDefault="00532C25" w:rsidP="00532C25">
      <w:pPr>
        <w:spacing w:line="264" w:lineRule="auto"/>
        <w:ind w:firstLine="720"/>
        <w:rPr>
          <w:rFonts w:ascii="Arial" w:hAnsi="Arial" w:cs="Arial"/>
          <w:szCs w:val="28"/>
          <w:lang w:val="en-US" w:eastAsia="zh-CN"/>
        </w:rPr>
      </w:pPr>
      <w:r w:rsidRPr="00511005">
        <w:rPr>
          <w:rFonts w:ascii="Arial" w:hAnsi="Arial" w:cs="Arial"/>
          <w:szCs w:val="28"/>
          <w:lang w:val="en-US" w:eastAsia="zh-CN"/>
        </w:rPr>
        <w:t>3. Яремченко О., Пукач П. Розробка та порівняльний аналіз алгоритмів розпізнавання мікроміміки для аналізу людини за допомогою емоційного ші. </w:t>
      </w:r>
      <w:r w:rsidRPr="00511005">
        <w:rPr>
          <w:rFonts w:ascii="Arial" w:hAnsi="Arial" w:cs="Arial"/>
          <w:i/>
          <w:iCs/>
          <w:szCs w:val="28"/>
          <w:lang w:val="en-US" w:eastAsia="zh-CN"/>
        </w:rPr>
        <w:t>Технічні науки</w:t>
      </w:r>
      <w:r w:rsidRPr="00511005">
        <w:rPr>
          <w:rFonts w:ascii="Arial" w:hAnsi="Arial" w:cs="Arial"/>
          <w:szCs w:val="28"/>
          <w:lang w:val="en-US" w:eastAsia="zh-CN"/>
        </w:rPr>
        <w:t>. 2023. Т. 1, № 2. С. 329–337.</w:t>
      </w:r>
    </w:p>
    <w:p w14:paraId="5C591D1B" w14:textId="77777777" w:rsidR="00532C25" w:rsidRPr="00511005" w:rsidRDefault="00532C25" w:rsidP="00532C25">
      <w:pPr>
        <w:spacing w:line="264" w:lineRule="auto"/>
        <w:ind w:firstLine="720"/>
        <w:rPr>
          <w:rFonts w:ascii="Arial" w:hAnsi="Arial" w:cs="Arial"/>
          <w:b/>
          <w:bCs/>
          <w:iCs/>
          <w:szCs w:val="28"/>
          <w:lang w:val="en-US" w:eastAsia="zh-CN"/>
        </w:rPr>
      </w:pPr>
    </w:p>
    <w:p w14:paraId="61BE73AB" w14:textId="77777777" w:rsidR="00532C25" w:rsidRPr="00511005" w:rsidRDefault="00532C25" w:rsidP="00532C25">
      <w:pPr>
        <w:spacing w:line="264" w:lineRule="auto"/>
        <w:ind w:firstLine="720"/>
        <w:rPr>
          <w:rFonts w:ascii="Arial" w:hAnsi="Arial" w:cs="Arial"/>
          <w:szCs w:val="28"/>
          <w:lang w:val="en-US" w:eastAsia="zh-CN"/>
        </w:rPr>
      </w:pPr>
      <w:r w:rsidRPr="00511005">
        <w:rPr>
          <w:rFonts w:ascii="Arial" w:hAnsi="Arial" w:cs="Arial"/>
          <w:b/>
          <w:bCs/>
          <w:i/>
          <w:iCs/>
          <w:szCs w:val="28"/>
          <w:lang w:val="en-US" w:eastAsia="zh-CN"/>
        </w:rPr>
        <w:t xml:space="preserve">Ключові слова: </w:t>
      </w:r>
      <w:r w:rsidRPr="00511005">
        <w:rPr>
          <w:rFonts w:ascii="Arial" w:hAnsi="Arial" w:cs="Arial"/>
          <w:szCs w:val="28"/>
          <w:lang w:val="en-US" w:eastAsia="zh-CN"/>
        </w:rPr>
        <w:t>мікроміміка, приховані емоції, невербальна комунікація, розпізнавання емоцій, АйДетект, рухи очей, виявлення обману, психофізіологія.</w:t>
      </w:r>
    </w:p>
    <w:p w14:paraId="62683F4F" w14:textId="77777777" w:rsidR="00532C25" w:rsidRPr="00511005" w:rsidRDefault="00532C25" w:rsidP="00532C25">
      <w:pPr>
        <w:spacing w:line="264" w:lineRule="auto"/>
        <w:ind w:firstLine="720"/>
        <w:rPr>
          <w:rFonts w:ascii="Arial" w:hAnsi="Arial" w:cs="Arial"/>
          <w:szCs w:val="28"/>
          <w:lang w:val="en-US" w:eastAsia="zh-CN"/>
        </w:rPr>
      </w:pPr>
      <w:r w:rsidRPr="00511005">
        <w:rPr>
          <w:rFonts w:ascii="Arial" w:hAnsi="Arial" w:cs="Arial"/>
          <w:b/>
          <w:i/>
          <w:iCs/>
          <w:szCs w:val="28"/>
          <w:lang w:val="en-US" w:eastAsia="zh-CN"/>
        </w:rPr>
        <w:t xml:space="preserve">Key words: </w:t>
      </w:r>
      <w:r w:rsidRPr="00511005">
        <w:rPr>
          <w:rFonts w:ascii="Arial" w:hAnsi="Arial" w:cs="Arial"/>
          <w:szCs w:val="28"/>
          <w:lang w:val="en-US" w:eastAsia="zh-CN"/>
        </w:rPr>
        <w:t>micromimicry, hidden emotions, nonverbal communication, emotion recognition, iDetect, eye movements, deception detection, psychophysiology.</w:t>
      </w:r>
    </w:p>
    <w:p w14:paraId="5451B1E2" w14:textId="77777777" w:rsidR="00532C25" w:rsidRPr="00511005" w:rsidRDefault="00532C25" w:rsidP="00532C25">
      <w:pPr>
        <w:spacing w:line="264" w:lineRule="auto"/>
        <w:ind w:firstLine="720"/>
        <w:rPr>
          <w:rFonts w:ascii="Arial" w:hAnsi="Arial" w:cs="Arial"/>
          <w:i/>
          <w:iCs/>
          <w:szCs w:val="28"/>
          <w:lang w:eastAsia="zh-CN"/>
        </w:rPr>
      </w:pPr>
      <w:r w:rsidRPr="00511005">
        <w:rPr>
          <w:rFonts w:ascii="Arial" w:hAnsi="Arial" w:cs="Arial"/>
          <w:b/>
          <w:i/>
          <w:iCs/>
          <w:szCs w:val="28"/>
          <w:lang w:eastAsia="zh-CN"/>
        </w:rPr>
        <w:t xml:space="preserve">Науковий керівник: </w:t>
      </w:r>
      <w:r w:rsidRPr="00511005">
        <w:rPr>
          <w:rFonts w:ascii="Arial" w:hAnsi="Arial" w:cs="Arial"/>
          <w:i/>
          <w:iCs/>
          <w:szCs w:val="28"/>
          <w:lang w:eastAsia="zh-CN"/>
        </w:rPr>
        <w:t>доктор філософії, доцент Чернов О.В.</w:t>
      </w:r>
    </w:p>
    <w:p w14:paraId="5D22126D" w14:textId="77777777" w:rsidR="00532C25" w:rsidRPr="00511005" w:rsidRDefault="00532C25" w:rsidP="00532C25">
      <w:pPr>
        <w:spacing w:line="264" w:lineRule="auto"/>
        <w:ind w:firstLine="720"/>
        <w:jc w:val="center"/>
        <w:rPr>
          <w:rFonts w:ascii="Arial" w:eastAsia="Calibri" w:hAnsi="Arial" w:cs="Arial"/>
          <w:b/>
          <w:i/>
          <w:szCs w:val="28"/>
          <w:lang w:val="uk-UA"/>
        </w:rPr>
      </w:pPr>
    </w:p>
    <w:p w14:paraId="7F29CBF1" w14:textId="77777777" w:rsidR="00532C25" w:rsidRPr="00511005" w:rsidRDefault="00532C25" w:rsidP="00532C25">
      <w:pPr>
        <w:spacing w:line="264" w:lineRule="auto"/>
        <w:ind w:firstLine="720"/>
        <w:jc w:val="center"/>
        <w:rPr>
          <w:rFonts w:ascii="Arial" w:eastAsia="Calibri" w:hAnsi="Arial" w:cs="Arial"/>
          <w:b/>
          <w:i/>
          <w:szCs w:val="28"/>
          <w:lang w:val="uk-UA"/>
        </w:rPr>
      </w:pPr>
    </w:p>
    <w:p w14:paraId="0181CF6C"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b/>
          <w:i/>
          <w:szCs w:val="28"/>
          <w:lang w:val="uk-UA"/>
        </w:rPr>
        <w:t>Кушнір Олександр Олександрович</w:t>
      </w:r>
    </w:p>
    <w:p w14:paraId="6BFF00E1"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 xml:space="preserve">студент 2-го курсу факультету цивільної та господарської юстиції </w:t>
      </w:r>
    </w:p>
    <w:p w14:paraId="30D19CBE"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747704B4" w14:textId="77777777" w:rsidR="00532C25" w:rsidRPr="00511005" w:rsidRDefault="00532C25" w:rsidP="00532C25">
      <w:pPr>
        <w:spacing w:line="264" w:lineRule="auto"/>
        <w:ind w:firstLine="720"/>
        <w:rPr>
          <w:rFonts w:ascii="Arial" w:eastAsia="Calibri" w:hAnsi="Arial" w:cs="Arial"/>
          <w:b/>
          <w:szCs w:val="28"/>
        </w:rPr>
      </w:pPr>
    </w:p>
    <w:p w14:paraId="14FC6BDF"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rPr>
        <w:t>П</w:t>
      </w:r>
      <w:r w:rsidRPr="00511005">
        <w:rPr>
          <w:rFonts w:ascii="Arial" w:eastAsia="Calibri" w:hAnsi="Arial" w:cs="Arial"/>
          <w:b/>
          <w:szCs w:val="28"/>
          <w:lang w:val="uk-UA"/>
        </w:rPr>
        <w:t xml:space="preserve">РОБЛЕМНІ ПИТАННЯ ВИКОРИСТАННЯ ДНК-АНАЛІЗУ </w:t>
      </w:r>
    </w:p>
    <w:p w14:paraId="32C314DE"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ПІД ЧАС ІДЕНТИФІКАЦІЇ</w:t>
      </w:r>
    </w:p>
    <w:p w14:paraId="01044DB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Людина в матеріальному світі має багато характеристик, які дозволяють її ідентифікувати: сліди рук, ніг, зубів та інші частини тіла містять різну інформацію, включаючи дактилоскопічні, трасологічні та одорологічні дані, що відображають специфіку об'єкта, який їх залишив. В деяких ситуаціях ці сліди можуть бути непридатними для дактилоскопічного або трасологічного аналізу через різні обставини. Проте вони містять інформацію про біологічні особливості людини. Цю інформацію несуть будь-які виділення організму, частинки шкіри, волосся тощо, які залишаються на місці злочину, а також трупи чи їх фрагменти.</w:t>
      </w:r>
    </w:p>
    <w:p w14:paraId="1D26EAE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На початковому етапі застосування методу генотипоскопічної ідентифікації були деякі обмеження, зокрема те, що для аналізу підходили лише зразки біологічного походження (кров, сперма, волосся, кісткові тканини), які зберегли молекули ДНК. Зараз активно впроваджується метод, що дозволяє аналізувати навіть невеликі фрагменти пошкоджених молекул ДНК. Це сприяло вирішенню однієї з перешкод для практичного використання методу в судово-медичній і криміналістичній практиці, а саме </w:t>
      </w:r>
      <w:r w:rsidRPr="00511005">
        <w:rPr>
          <w:rFonts w:ascii="Arial" w:eastAsia="Calibri" w:hAnsi="Arial" w:cs="Arial"/>
          <w:szCs w:val="28"/>
          <w:lang w:val="uk-UA"/>
        </w:rPr>
        <w:lastRenderedPageBreak/>
        <w:t xml:space="preserve">обмеження у якості та об'ємі матеріалу, необхідного для проведення ефективного дослідження </w:t>
      </w:r>
      <w:r w:rsidRPr="00511005">
        <w:rPr>
          <w:rFonts w:ascii="Arial" w:eastAsia="Calibri" w:hAnsi="Arial" w:cs="Arial"/>
          <w:szCs w:val="28"/>
        </w:rPr>
        <w:t>[</w:t>
      </w:r>
      <w:r w:rsidRPr="00511005">
        <w:rPr>
          <w:rFonts w:ascii="Arial" w:eastAsia="Calibri" w:hAnsi="Arial" w:cs="Arial"/>
          <w:szCs w:val="28"/>
          <w:lang w:val="uk-UA"/>
        </w:rPr>
        <w:t>2, с. 39</w:t>
      </w:r>
      <w:r w:rsidRPr="00511005">
        <w:rPr>
          <w:rFonts w:ascii="Arial" w:eastAsia="Calibri" w:hAnsi="Arial" w:cs="Arial"/>
          <w:szCs w:val="28"/>
        </w:rPr>
        <w:t>]</w:t>
      </w:r>
      <w:r w:rsidRPr="00511005">
        <w:rPr>
          <w:rFonts w:ascii="Arial" w:eastAsia="Calibri" w:hAnsi="Arial" w:cs="Arial"/>
          <w:szCs w:val="28"/>
          <w:lang w:val="uk-UA"/>
        </w:rPr>
        <w:t>.</w:t>
      </w:r>
    </w:p>
    <w:p w14:paraId="790E964D"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 xml:space="preserve">У сучасних умовах молекулярно-генетичні методи дослідження, зокрема ДНК-аналіз, набули особливого значення у сфері ідентифікації осіб. </w:t>
      </w:r>
      <w:r w:rsidRPr="00511005">
        <w:rPr>
          <w:rFonts w:ascii="Arial" w:eastAsia="Calibri" w:hAnsi="Arial" w:cs="Arial"/>
          <w:szCs w:val="28"/>
        </w:rPr>
        <w:t>З огляду на складність обставин, за яких здійснюється ідентифікація, особливо в умовах збройних конфліктів та масових катастроф, результати ДНК-експертизи часто є вирішальними для встановлення особи загиблого. Однак, незважаючи на високий рівень розвитку молекулярної генетики, практичне використання ДНК-аналізу супроводжується рядом суттєвих проблем.</w:t>
      </w:r>
    </w:p>
    <w:p w14:paraId="3FA9136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rPr>
        <w:t>Одним із головних чинників, що ускладнюють процес ідентифікації</w:t>
      </w:r>
      <w:r w:rsidRPr="00511005">
        <w:rPr>
          <w:rFonts w:ascii="Arial" w:eastAsia="Calibri" w:hAnsi="Arial" w:cs="Arial"/>
          <w:szCs w:val="28"/>
          <w:lang w:val="uk-UA"/>
        </w:rPr>
        <w:t xml:space="preserve"> в сучасних умовах</w:t>
      </w:r>
      <w:r w:rsidRPr="00511005">
        <w:rPr>
          <w:rFonts w:ascii="Arial" w:eastAsia="Calibri" w:hAnsi="Arial" w:cs="Arial"/>
          <w:szCs w:val="28"/>
        </w:rPr>
        <w:t>, є незадовільний стан біологічних зразків. У випадках, коли йдеться про ідентифікацію загиблих внаслідок збройної агресії, експерти часто мають справу з фрагментованими, обвугленими або розкладеними останками, що істотно ускладнює або навіть унеможливлює виділення якісної ДНК.</w:t>
      </w:r>
      <w:r w:rsidRPr="00511005">
        <w:rPr>
          <w:rFonts w:ascii="Arial" w:eastAsia="Calibri" w:hAnsi="Arial" w:cs="Arial"/>
          <w:szCs w:val="28"/>
          <w:lang w:val="uk-UA"/>
        </w:rPr>
        <w:t xml:space="preserve"> Основним типом матеріалу при цьому є переважно залишки кісток і зубів загиблих [1, с. 21].</w:t>
      </w:r>
      <w:r w:rsidRPr="00511005">
        <w:rPr>
          <w:rFonts w:ascii="Arial" w:eastAsia="Calibri" w:hAnsi="Arial" w:cs="Arial"/>
          <w:szCs w:val="28"/>
        </w:rPr>
        <w:t xml:space="preserve"> </w:t>
      </w:r>
      <w:r w:rsidRPr="00511005">
        <w:rPr>
          <w:rFonts w:ascii="Arial" w:eastAsia="Calibri" w:hAnsi="Arial" w:cs="Arial"/>
          <w:szCs w:val="28"/>
          <w:lang w:val="uk-UA"/>
        </w:rPr>
        <w:t xml:space="preserve">Один із потенційних ознак локальної ділянки, де може бути збережена ДНК, є наявність на поверхні кістки ділянок із розвитком поверхневого грибного міцелію, що здебільшого проявляється у вигляді слабкого білого нальоту. Це надає можливість виявити матеріал, який містить ДНК, і отримати ДНК-профілі з обгорілих кісток людських останків [1, с. 23]. </w:t>
      </w:r>
    </w:p>
    <w:p w14:paraId="545934C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Одним із важливих аспектів застосування ДНК-аналізу є використання інформаційних баз даних ДНК-профілів, які формуються правоохоронними органами. Перевірка ДНК-профілів, виділених із біологічних слідів, вилучених на місцях нерозкритих злочинів, за такими базами може відігравати важливу роль у встановленні особи. Разом із тим результати подібної ідентифікації мають оцінюватися в сукупності з іншими доказами, оскільки існують певні біологічні обставини, що можуть ускладнити однозначну інтерпретацію даних. </w:t>
      </w:r>
    </w:p>
    <w:p w14:paraId="7D4B57A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Зокрема, в практиці зафіксовано випадки виявлення наявності у людини двох різних ДНК-профілів. Таке явище, відоме як химеризм, може виникати, зокрема, після трансплантації кісткового мозку, коли донорська ДНК частково або повністю замінює власну ДНК реципієнта у кровотворній системі. У подібних випадках аналіз різних біологічних зразків від однієї особи (наприклад, крові, волосся або епітеліальних клітин) може давати суперечливі результати. Це створює суттєві ризики для правильності ідентифікації особи на основі молекулярно-генетичних досліджень і вимагає особливої обережності при інтерпретації таких результатів. Ця проблема привернула увагу наукової спільноти й була предметом обговорення на зустрічі Американського товариства генетики людини (American Society of Human Genetics, ASHG) [2, с. 40].</w:t>
      </w:r>
    </w:p>
    <w:p w14:paraId="4E6F01A1"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lastRenderedPageBreak/>
        <w:t>Не менш актуальними є етичні та правові аспекти використання ДНК-даних. Питання захисту персональної інформації, законності збору, обробки і зберігання генетичних даних постають із особливою гостротою. Використання ДНК-інформації повинно супроводжуватися забезпеченням належної інформованої згоди осіб або їхніх законних представників, а також гарантуванням захисту даних від несанкціонованого доступу.</w:t>
      </w:r>
    </w:p>
    <w:p w14:paraId="139E547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rPr>
        <w:t>Проблему ідентифікації особи за біологічними слідами фактично вирішено завдяки впровадженню такої унікальної методики молекулярної генетики, як полімеразна ланцюгова реакція. Це дозволяє досліджувати не тільки первинний біоматеріал, направлений на аналіз, але й значно збільшити його кількість, що фактично дає змогу вивчати матеріал навіть однієї клітини. ДНК-аналіз стає все більш важливим засобом у боротьбі зі злочинністю. Він не тільки дає інформацію про осіб, які фігурують у розслідуванні, але й на початкових етапах розслідування сприяє пошуку злочинця завдяки базі даних ДНК [</w:t>
      </w:r>
      <w:r w:rsidRPr="00511005">
        <w:rPr>
          <w:rFonts w:ascii="Arial" w:eastAsia="Calibri" w:hAnsi="Arial" w:cs="Arial"/>
          <w:szCs w:val="28"/>
          <w:lang w:val="uk-UA"/>
        </w:rPr>
        <w:t>3, с. 248</w:t>
      </w:r>
      <w:r w:rsidRPr="00511005">
        <w:rPr>
          <w:rFonts w:ascii="Arial" w:eastAsia="Calibri" w:hAnsi="Arial" w:cs="Arial"/>
          <w:szCs w:val="28"/>
        </w:rPr>
        <w:t>]</w:t>
      </w:r>
      <w:r w:rsidRPr="00511005">
        <w:rPr>
          <w:rFonts w:ascii="Arial" w:eastAsia="Calibri" w:hAnsi="Arial" w:cs="Arial"/>
          <w:szCs w:val="28"/>
          <w:lang w:val="uk-UA"/>
        </w:rPr>
        <w:t>.</w:t>
      </w:r>
    </w:p>
    <w:p w14:paraId="3C1BC81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Отже, ДНК-аналіз є надзвичайно потужним і ефективним інструментом для ідентифікації особи, особливо в складних умовах, таких як наслідки збройних конфліктів або масових катастроф. Завдяки стрімкому розвитку молекулярної генетики та впровадженню новітніх технологій стало можливим отримувати ДНК-профілі навіть із мінімальних або пошкоджених біологічних матеріалів. </w:t>
      </w:r>
    </w:p>
    <w:p w14:paraId="10D869F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Водночас практичне використання ДНК-аналізу супроводжується низкою проблем, серед яких – погана якість зразків, явища химеризму, можливість отримання суперечливих результатів, а також етичні та правові питання щодо захисту генетичної інформації. Тому при застосуванні результатів ДНК-досліджень у криміналістиці та судовій практиці необхідно дотримуватися принципу всебічної оцінки доказів, враховуючи можливі біологічні особливості та забезпечуючи надійний захист персональних даних. Комплексний підхід до використання ДНК-аналізу підвищує його ефективність і сприяє справедливому здійсненню правосуддя.</w:t>
      </w:r>
    </w:p>
    <w:p w14:paraId="5966A889" w14:textId="77777777" w:rsidR="00532C25" w:rsidRPr="00511005" w:rsidRDefault="00532C25" w:rsidP="00532C25">
      <w:pPr>
        <w:spacing w:line="264" w:lineRule="auto"/>
        <w:ind w:firstLine="720"/>
        <w:rPr>
          <w:rFonts w:ascii="Arial" w:eastAsia="Calibri" w:hAnsi="Arial" w:cs="Arial"/>
          <w:szCs w:val="28"/>
          <w:lang w:val="uk-UA"/>
        </w:rPr>
      </w:pPr>
    </w:p>
    <w:p w14:paraId="525C6E41"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EFE8F53" w14:textId="77777777" w:rsidR="00532C25" w:rsidRPr="00511005" w:rsidRDefault="00532C25" w:rsidP="003F6A5D">
      <w:pPr>
        <w:numPr>
          <w:ilvl w:val="0"/>
          <w:numId w:val="640"/>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Костіков І. Ю., Марійко В. В., Щербакова Ю. В., Мартиненко С. В., Сірівля А. І., Сандалович Б. О., Аббасов Р. Г. Молекулярно-генетична ідентифікація осіб, загиблих під час російської збройної агресії проти України: успіхи та проблеми. </w:t>
      </w:r>
      <w:r w:rsidRPr="00511005">
        <w:rPr>
          <w:rFonts w:ascii="Arial" w:eastAsia="Times New Roman" w:hAnsi="Arial" w:cs="Arial"/>
          <w:i/>
          <w:iCs/>
          <w:szCs w:val="28"/>
          <w:lang w:val="uk-UA" w:eastAsia="ru-RU"/>
        </w:rPr>
        <w:t>Криміналістичний вісник.</w:t>
      </w:r>
      <w:r w:rsidRPr="00511005">
        <w:rPr>
          <w:rFonts w:ascii="Arial" w:eastAsia="Times New Roman" w:hAnsi="Arial" w:cs="Arial"/>
          <w:szCs w:val="28"/>
          <w:lang w:val="uk-UA" w:eastAsia="ru-RU"/>
        </w:rPr>
        <w:t xml:space="preserve"> 2023. № 1. Т. 39. С. 10‒28. </w:t>
      </w:r>
      <w:r w:rsidRPr="00511005">
        <w:rPr>
          <w:rFonts w:ascii="Arial" w:eastAsia="Times New Roman" w:hAnsi="Arial" w:cs="Arial"/>
          <w:szCs w:val="28"/>
          <w:lang w:eastAsia="ru-RU"/>
        </w:rPr>
        <w:t>DOI</w:t>
      </w:r>
      <w:r w:rsidRPr="00511005">
        <w:rPr>
          <w:rFonts w:ascii="Arial" w:eastAsia="Times New Roman" w:hAnsi="Arial" w:cs="Arial"/>
          <w:szCs w:val="28"/>
          <w:lang w:val="uk-UA" w:eastAsia="ru-RU"/>
        </w:rPr>
        <w:t xml:space="preserve">: 10.37025/1992-4437/2023-39-1-10.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elar</w:instrText>
      </w:r>
      <w:r w:rsidR="005938AD" w:rsidRPr="00055389">
        <w:rPr>
          <w:lang w:val="uk-UA"/>
        </w:rPr>
        <w:instrText>.</w:instrText>
      </w:r>
      <w:r w:rsidR="005938AD">
        <w:instrText>navs</w:instrText>
      </w:r>
      <w:r w:rsidR="005938AD" w:rsidRPr="00055389">
        <w:rPr>
          <w:lang w:val="uk-UA"/>
        </w:rPr>
        <w:instrText>.</w:instrText>
      </w:r>
      <w:r w:rsidR="005938AD">
        <w:instrText>edu</w:instrText>
      </w:r>
      <w:r w:rsidR="005938AD" w:rsidRPr="00055389">
        <w:rPr>
          <w:lang w:val="uk-UA"/>
        </w:rPr>
        <w:instrText>.</w:instrText>
      </w:r>
      <w:r w:rsidR="005938AD">
        <w:instrText>ua</w:instrText>
      </w:r>
      <w:r w:rsidR="005938AD" w:rsidRPr="00055389">
        <w:rPr>
          <w:lang w:val="uk-UA"/>
        </w:rPr>
        <w:instrText>/</w:instrText>
      </w:r>
      <w:r w:rsidR="005938AD">
        <w:instrText>jspui</w:instrText>
      </w:r>
      <w:r w:rsidR="005938AD" w:rsidRPr="00055389">
        <w:rPr>
          <w:lang w:val="uk-UA"/>
        </w:rPr>
        <w:instrText>/</w:instrText>
      </w:r>
      <w:r w:rsidR="005938AD">
        <w:instrText>handle</w:instrText>
      </w:r>
      <w:r w:rsidR="005938AD" w:rsidRPr="00055389">
        <w:rPr>
          <w:lang w:val="uk-UA"/>
        </w:rPr>
        <w:instrText xml:space="preserve">/123456789/24184" </w:instrText>
      </w:r>
      <w:r w:rsidR="005938AD">
        <w:fldChar w:fldCharType="separate"/>
      </w:r>
      <w:r w:rsidRPr="00511005">
        <w:rPr>
          <w:rFonts w:ascii="Arial" w:eastAsia="Times New Roman" w:hAnsi="Arial" w:cs="Arial"/>
          <w:szCs w:val="28"/>
          <w:lang w:val="en-US" w:eastAsia="ru-RU"/>
        </w:rPr>
        <w:t>https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elar</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navs</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edu</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jspui</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handle</w:t>
      </w:r>
      <w:r w:rsidRPr="00511005">
        <w:rPr>
          <w:rFonts w:ascii="Arial" w:eastAsia="Times New Roman" w:hAnsi="Arial" w:cs="Arial"/>
          <w:szCs w:val="28"/>
          <w:lang w:val="uk-UA" w:eastAsia="ru-RU"/>
        </w:rPr>
        <w:t>/123456789/24184</w:t>
      </w:r>
      <w:r w:rsidR="005938AD">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xml:space="preserve"> </w:t>
      </w:r>
    </w:p>
    <w:p w14:paraId="46CD4994" w14:textId="77777777" w:rsidR="00532C25" w:rsidRPr="00511005" w:rsidRDefault="00532C25" w:rsidP="003F6A5D">
      <w:pPr>
        <w:numPr>
          <w:ilvl w:val="0"/>
          <w:numId w:val="640"/>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Лук’янчиков Є. Д. Використання ДНК-аналізу у кримінальному провадженні. </w:t>
      </w:r>
      <w:r w:rsidRPr="00511005">
        <w:rPr>
          <w:rFonts w:ascii="Arial" w:eastAsia="Times New Roman" w:hAnsi="Arial" w:cs="Arial"/>
          <w:i/>
          <w:iCs/>
          <w:szCs w:val="28"/>
          <w:lang w:eastAsia="ru-RU"/>
        </w:rPr>
        <w:t xml:space="preserve">Сучасні криміналістичні експертизи в розслідуванні </w:t>
      </w:r>
      <w:proofErr w:type="gramStart"/>
      <w:r w:rsidRPr="00511005">
        <w:rPr>
          <w:rFonts w:ascii="Arial" w:eastAsia="Times New Roman" w:hAnsi="Arial" w:cs="Arial"/>
          <w:i/>
          <w:iCs/>
          <w:szCs w:val="28"/>
          <w:lang w:eastAsia="ru-RU"/>
        </w:rPr>
        <w:t>злочинів</w:t>
      </w:r>
      <w:r w:rsidRPr="00511005">
        <w:rPr>
          <w:rFonts w:ascii="Arial" w:eastAsia="Times New Roman" w:hAnsi="Arial" w:cs="Arial"/>
          <w:szCs w:val="28"/>
          <w:lang w:eastAsia="ru-RU"/>
        </w:rPr>
        <w:t xml:space="preserve"> :</w:t>
      </w:r>
      <w:proofErr w:type="gramEnd"/>
      <w:r w:rsidRPr="00511005">
        <w:rPr>
          <w:rFonts w:ascii="Arial" w:eastAsia="Times New Roman" w:hAnsi="Arial" w:cs="Arial"/>
          <w:szCs w:val="28"/>
          <w:lang w:eastAsia="ru-RU"/>
        </w:rPr>
        <w:t xml:space="preserve"> матеріали круглого столу (</w:t>
      </w:r>
      <w:r w:rsidRPr="00511005">
        <w:rPr>
          <w:rFonts w:ascii="Arial" w:eastAsia="Times New Roman" w:hAnsi="Arial" w:cs="Arial"/>
          <w:szCs w:val="28"/>
          <w:lang w:val="uk-UA" w:eastAsia="ru-RU"/>
        </w:rPr>
        <w:t xml:space="preserve">м. </w:t>
      </w:r>
      <w:r w:rsidRPr="00511005">
        <w:rPr>
          <w:rFonts w:ascii="Arial" w:eastAsia="Times New Roman" w:hAnsi="Arial" w:cs="Arial"/>
          <w:szCs w:val="28"/>
          <w:lang w:eastAsia="ru-RU"/>
        </w:rPr>
        <w:t xml:space="preserve">Київ, 25 лют. 2015 р.). </w:t>
      </w:r>
      <w:proofErr w:type="gramStart"/>
      <w:r w:rsidRPr="00511005">
        <w:rPr>
          <w:rFonts w:ascii="Arial" w:eastAsia="Times New Roman" w:hAnsi="Arial" w:cs="Arial"/>
          <w:szCs w:val="28"/>
          <w:lang w:eastAsia="ru-RU"/>
        </w:rPr>
        <w:t>Київ :</w:t>
      </w:r>
      <w:proofErr w:type="gramEnd"/>
      <w:r w:rsidRPr="00511005">
        <w:rPr>
          <w:rFonts w:ascii="Arial" w:eastAsia="Times New Roman" w:hAnsi="Arial" w:cs="Arial"/>
          <w:szCs w:val="28"/>
          <w:lang w:eastAsia="ru-RU"/>
        </w:rPr>
        <w:t xml:space="preserve"> НАВС, 2015. С. </w:t>
      </w:r>
      <w:r w:rsidRPr="00511005">
        <w:rPr>
          <w:rFonts w:ascii="Arial" w:eastAsia="Times New Roman" w:hAnsi="Arial" w:cs="Arial"/>
          <w:szCs w:val="28"/>
          <w:lang w:eastAsia="ru-RU"/>
        </w:rPr>
        <w:lastRenderedPageBreak/>
        <w:t>38–42</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1990" w:history="1">
        <w:r w:rsidRPr="00511005">
          <w:rPr>
            <w:rFonts w:ascii="Arial" w:eastAsia="Times New Roman" w:hAnsi="Arial" w:cs="Arial"/>
            <w:szCs w:val="28"/>
            <w:lang w:val="uk-UA" w:eastAsia="ru-RU"/>
          </w:rPr>
          <w:t>https://elar.navs.edu.ua/server/api/core/bitstreams/64369c95-4c26-4fa7-b610-06ad4bb8a14f/content</w:t>
        </w:r>
      </w:hyperlink>
      <w:r w:rsidRPr="00511005">
        <w:rPr>
          <w:rFonts w:ascii="Arial" w:eastAsia="Times New Roman" w:hAnsi="Arial" w:cs="Arial"/>
          <w:szCs w:val="28"/>
          <w:lang w:val="uk-UA" w:eastAsia="ru-RU"/>
        </w:rPr>
        <w:t xml:space="preserve"> </w:t>
      </w:r>
    </w:p>
    <w:p w14:paraId="4C8C9838" w14:textId="77777777" w:rsidR="00532C25" w:rsidRPr="00511005" w:rsidRDefault="00532C25" w:rsidP="003F6A5D">
      <w:pPr>
        <w:numPr>
          <w:ilvl w:val="0"/>
          <w:numId w:val="640"/>
        </w:numPr>
        <w:spacing w:line="264" w:lineRule="auto"/>
        <w:ind w:left="0" w:firstLine="720"/>
        <w:contextualSpacing/>
        <w:jc w:val="left"/>
        <w:rPr>
          <w:rFonts w:ascii="Arial" w:eastAsia="Times New Roman" w:hAnsi="Arial" w:cs="Arial"/>
          <w:szCs w:val="28"/>
          <w:lang w:val="en-US" w:eastAsia="ru-RU"/>
        </w:rPr>
      </w:pPr>
      <w:r w:rsidRPr="00511005">
        <w:rPr>
          <w:rFonts w:ascii="Arial" w:eastAsia="Times New Roman" w:hAnsi="Arial" w:cs="Arial"/>
          <w:szCs w:val="28"/>
          <w:lang w:eastAsia="ru-RU"/>
        </w:rPr>
        <w:t xml:space="preserve">Мудрецька, Г. В., Цикова, О. В. Проблеми використання даних ДНК аналізу під час розслідування злочинів. </w:t>
      </w:r>
      <w:r w:rsidRPr="00511005">
        <w:rPr>
          <w:rFonts w:ascii="Arial" w:eastAsia="Times New Roman" w:hAnsi="Arial" w:cs="Arial"/>
          <w:i/>
          <w:iCs/>
          <w:szCs w:val="28"/>
          <w:lang w:eastAsia="ru-RU"/>
        </w:rPr>
        <w:t>Науковий вісник Ужгородського національного університету. Сер.</w:t>
      </w:r>
      <w:r w:rsidRPr="00511005">
        <w:rPr>
          <w:rFonts w:ascii="Arial" w:eastAsia="Times New Roman" w:hAnsi="Arial" w:cs="Arial"/>
          <w:i/>
          <w:iCs/>
          <w:szCs w:val="28"/>
          <w:lang w:val="en-US" w:eastAsia="ru-RU"/>
        </w:rPr>
        <w:t>: Право</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2014. </w:t>
      </w:r>
      <w:r w:rsidRPr="00511005">
        <w:rPr>
          <w:rFonts w:ascii="Arial" w:eastAsia="Times New Roman" w:hAnsi="Arial" w:cs="Arial"/>
          <w:szCs w:val="28"/>
          <w:lang w:val="uk-UA" w:eastAsia="ru-RU"/>
        </w:rPr>
        <w:t>Вип.</w:t>
      </w:r>
      <w:r w:rsidRPr="00511005">
        <w:rPr>
          <w:rFonts w:ascii="Arial" w:eastAsia="Times New Roman" w:hAnsi="Arial" w:cs="Arial"/>
          <w:szCs w:val="28"/>
          <w:lang w:val="en-US" w:eastAsia="ru-RU"/>
        </w:rPr>
        <w:t>26</w:t>
      </w:r>
      <w:r w:rsidRPr="00511005">
        <w:rPr>
          <w:rFonts w:ascii="Arial" w:eastAsia="Times New Roman" w:hAnsi="Arial" w:cs="Arial"/>
          <w:szCs w:val="28"/>
          <w:lang w:val="uk-UA" w:eastAsia="ru-RU"/>
        </w:rPr>
        <w:t>.</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val="uk-UA" w:eastAsia="ru-RU"/>
        </w:rPr>
        <w:t>С.</w:t>
      </w:r>
      <w:r w:rsidRPr="00511005">
        <w:rPr>
          <w:rFonts w:ascii="Arial" w:eastAsia="Times New Roman" w:hAnsi="Arial" w:cs="Arial"/>
          <w:szCs w:val="28"/>
          <w:lang w:val="en-US" w:eastAsia="ru-RU"/>
        </w:rPr>
        <w:t>246-249.</w:t>
      </w:r>
      <w:r w:rsidRPr="00511005">
        <w:rPr>
          <w:rFonts w:ascii="Arial" w:eastAsia="Times New Roman" w:hAnsi="Arial" w:cs="Arial"/>
          <w:szCs w:val="28"/>
          <w:lang w:val="uk-UA" w:eastAsia="ru-RU"/>
        </w:rPr>
        <w:t xml:space="preserve"> </w:t>
      </w:r>
    </w:p>
    <w:p w14:paraId="48B873EF" w14:textId="77777777" w:rsidR="00532C25" w:rsidRPr="00511005" w:rsidRDefault="00532C25" w:rsidP="00532C25">
      <w:pPr>
        <w:spacing w:line="264" w:lineRule="auto"/>
        <w:ind w:firstLine="720"/>
        <w:rPr>
          <w:rFonts w:ascii="Arial" w:eastAsia="Calibri" w:hAnsi="Arial" w:cs="Arial"/>
          <w:b/>
          <w:szCs w:val="28"/>
          <w:lang w:val="uk-UA"/>
        </w:rPr>
      </w:pPr>
    </w:p>
    <w:p w14:paraId="67447EA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ДНК-аналіз, ідентифікація особи, біологічні сліди, молекулярна генетика, химеризм, полімеразна ланцюгова реакція.</w:t>
      </w:r>
    </w:p>
    <w:p w14:paraId="49BAA20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en-US"/>
        </w:rPr>
        <w:t xml:space="preserve">Key words: </w:t>
      </w:r>
      <w:r w:rsidRPr="00511005">
        <w:rPr>
          <w:rFonts w:ascii="Arial" w:eastAsia="Calibri" w:hAnsi="Arial" w:cs="Arial"/>
          <w:szCs w:val="28"/>
          <w:lang w:val="uk-UA"/>
        </w:rPr>
        <w:t>DNA analysis, personal identification, biological traces, molecular genetics, chimerism, polymerase chain reaction.</w:t>
      </w:r>
    </w:p>
    <w:p w14:paraId="17E7DC70"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b/>
          <w:i/>
          <w:szCs w:val="28"/>
        </w:rPr>
        <w:t xml:space="preserve">Науковий керівник: </w:t>
      </w:r>
      <w:r w:rsidRPr="00511005">
        <w:rPr>
          <w:rFonts w:ascii="Arial" w:eastAsia="Times New Roman" w:hAnsi="Arial" w:cs="Arial"/>
          <w:i/>
          <w:iCs/>
          <w:szCs w:val="28"/>
        </w:rPr>
        <w:t>д.ю.н., професор Цехан Д.М.</w:t>
      </w:r>
    </w:p>
    <w:p w14:paraId="35007700" w14:textId="77777777" w:rsidR="00532C25" w:rsidRPr="00511005" w:rsidRDefault="00532C25" w:rsidP="00532C25">
      <w:pPr>
        <w:spacing w:line="264" w:lineRule="auto"/>
        <w:ind w:firstLine="720"/>
        <w:jc w:val="left"/>
        <w:rPr>
          <w:rFonts w:ascii="Arial" w:eastAsia="Times New Roman" w:hAnsi="Arial" w:cs="Arial"/>
          <w:szCs w:val="28"/>
        </w:rPr>
      </w:pPr>
    </w:p>
    <w:p w14:paraId="6DE20B52" w14:textId="77777777" w:rsidR="00532C25" w:rsidRPr="00511005" w:rsidRDefault="00532C25" w:rsidP="00532C25">
      <w:pPr>
        <w:spacing w:line="264" w:lineRule="auto"/>
        <w:ind w:right="2" w:firstLine="720"/>
        <w:jc w:val="center"/>
        <w:rPr>
          <w:rFonts w:ascii="Arial" w:eastAsia="Calibri" w:hAnsi="Arial" w:cs="Arial"/>
          <w:szCs w:val="28"/>
          <w:lang w:val="uk-UA"/>
        </w:rPr>
      </w:pPr>
      <w:r w:rsidRPr="00511005">
        <w:rPr>
          <w:rFonts w:ascii="Arial" w:eastAsia="Calibri" w:hAnsi="Arial" w:cs="Arial"/>
          <w:b/>
          <w:i/>
          <w:szCs w:val="28"/>
          <w:lang w:val="uk-UA"/>
        </w:rPr>
        <w:t xml:space="preserve">Лазареско Аліна Іванівна </w:t>
      </w:r>
    </w:p>
    <w:p w14:paraId="13D93E34"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szCs w:val="28"/>
        </w:rPr>
        <w:t>студентка 3-го курсу ф</w:t>
      </w:r>
      <w:r w:rsidRPr="00511005">
        <w:rPr>
          <w:rFonts w:ascii="Arial" w:eastAsia="Calibri" w:hAnsi="Arial" w:cs="Arial"/>
          <w:szCs w:val="28"/>
          <w:lang w:val="en-GB"/>
        </w:rPr>
        <w:t>a</w:t>
      </w:r>
      <w:r w:rsidRPr="00511005">
        <w:rPr>
          <w:rFonts w:ascii="Arial" w:eastAsia="Calibri" w:hAnsi="Arial" w:cs="Arial"/>
          <w:szCs w:val="28"/>
          <w:lang w:val="uk-UA"/>
        </w:rPr>
        <w:t>культету</w:t>
      </w:r>
      <w:r w:rsidRPr="00511005">
        <w:rPr>
          <w:rFonts w:ascii="Arial" w:eastAsia="Calibri" w:hAnsi="Arial" w:cs="Arial"/>
          <w:szCs w:val="28"/>
        </w:rPr>
        <w:t xml:space="preserve"> судового та міжн</w:t>
      </w:r>
      <w:r w:rsidRPr="00511005">
        <w:rPr>
          <w:rFonts w:ascii="Arial" w:eastAsia="Calibri" w:hAnsi="Arial" w:cs="Arial"/>
          <w:szCs w:val="28"/>
          <w:lang w:val="en-GB"/>
        </w:rPr>
        <w:t>a</w:t>
      </w:r>
      <w:r w:rsidRPr="00511005">
        <w:rPr>
          <w:rFonts w:ascii="Arial" w:eastAsia="Calibri" w:hAnsi="Arial" w:cs="Arial"/>
          <w:szCs w:val="28"/>
          <w:lang w:val="uk-UA"/>
        </w:rPr>
        <w:t xml:space="preserve">родного </w:t>
      </w:r>
      <w:r w:rsidRPr="00511005">
        <w:rPr>
          <w:rFonts w:ascii="Arial" w:eastAsia="Calibri" w:hAnsi="Arial" w:cs="Arial"/>
          <w:szCs w:val="28"/>
        </w:rPr>
        <w:t>прав</w:t>
      </w:r>
      <w:r w:rsidRPr="00511005">
        <w:rPr>
          <w:rFonts w:ascii="Arial" w:eastAsia="Calibri" w:hAnsi="Arial" w:cs="Arial"/>
          <w:szCs w:val="28"/>
          <w:lang w:val="en-GB"/>
        </w:rPr>
        <w:t>a</w:t>
      </w:r>
    </w:p>
    <w:p w14:paraId="10341CA5"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rPr>
        <w:t>Нa</w:t>
      </w:r>
      <w:r w:rsidRPr="00511005">
        <w:rPr>
          <w:rFonts w:ascii="Arial" w:eastAsia="Calibri" w:hAnsi="Arial" w:cs="Arial"/>
          <w:szCs w:val="28"/>
          <w:lang w:val="uk-UA"/>
        </w:rPr>
        <w:t xml:space="preserve">ціонального </w:t>
      </w:r>
      <w:r w:rsidRPr="00511005">
        <w:rPr>
          <w:rFonts w:ascii="Arial" w:eastAsia="Calibri" w:hAnsi="Arial" w:cs="Arial"/>
          <w:szCs w:val="28"/>
        </w:rPr>
        <w:t>університету «Одеська юридична академія»</w:t>
      </w:r>
    </w:p>
    <w:p w14:paraId="3A3BB1EB" w14:textId="77777777" w:rsidR="00532C25" w:rsidRPr="00511005" w:rsidRDefault="00532C25" w:rsidP="00532C25">
      <w:pPr>
        <w:spacing w:line="264" w:lineRule="auto"/>
        <w:ind w:firstLine="720"/>
        <w:jc w:val="left"/>
        <w:rPr>
          <w:rFonts w:ascii="Arial" w:eastAsia="Calibri" w:hAnsi="Arial" w:cs="Arial"/>
          <w:i/>
          <w:iCs/>
          <w:szCs w:val="28"/>
        </w:rPr>
      </w:pPr>
    </w:p>
    <w:p w14:paraId="1F256541" w14:textId="77777777" w:rsidR="00532C25" w:rsidRPr="00511005" w:rsidRDefault="00532C25" w:rsidP="00532C25">
      <w:pPr>
        <w:spacing w:line="264" w:lineRule="auto"/>
        <w:ind w:right="564" w:firstLine="720"/>
        <w:jc w:val="center"/>
        <w:rPr>
          <w:rFonts w:ascii="Arial" w:eastAsia="Calibri" w:hAnsi="Arial" w:cs="Arial"/>
          <w:b/>
          <w:szCs w:val="28"/>
          <w:lang w:val="uk-UA"/>
        </w:rPr>
      </w:pPr>
      <w:r w:rsidRPr="00511005">
        <w:rPr>
          <w:rFonts w:ascii="Arial" w:eastAsia="Calibri" w:hAnsi="Arial" w:cs="Arial"/>
          <w:b/>
          <w:szCs w:val="28"/>
          <w:lang w:val="uk-UA"/>
        </w:rPr>
        <w:t>ВИКОРИСТАННЯ ПОЛІГРАФА В КРИМІНАЛЬНИХ РОСЛІДУВАННЯХ: ПОРІВНЯННЯ ПРАКТИКИ УКРАЇНИ ТА АНГЛІЇ</w:t>
      </w:r>
    </w:p>
    <w:p w14:paraId="78AA4321"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i/>
          <w:iCs/>
          <w:szCs w:val="28"/>
          <w:lang w:val="uk-UA" w:eastAsia="ru-RU"/>
        </w:rPr>
        <w:t>Використання поліграфа в кримінальних розслідуваннях стало одним із засобів перевірки правдивості показань осіб, причетних до злочинів, проте підходи до його застосування значно відрізняються в Україні та Англії. В Україні поліграф офіційно визнаний як метод судово-експертного дослідження, регламентований З</w:t>
      </w:r>
      <w:r w:rsidRPr="00511005">
        <w:rPr>
          <w:rFonts w:ascii="Arial" w:eastAsia="Times New Roman" w:hAnsi="Arial" w:cs="Arial"/>
          <w:i/>
          <w:iCs/>
          <w:szCs w:val="28"/>
          <w:lang w:val="en-GB" w:eastAsia="ru-RU"/>
        </w:rPr>
        <w:t>a</w:t>
      </w:r>
      <w:r w:rsidRPr="00511005">
        <w:rPr>
          <w:rFonts w:ascii="Arial" w:eastAsia="Times New Roman" w:hAnsi="Arial" w:cs="Arial"/>
          <w:i/>
          <w:iCs/>
          <w:szCs w:val="28"/>
          <w:lang w:val="uk-UA" w:eastAsia="ru-RU"/>
        </w:rPr>
        <w:t>коном України «Про судову експертизу» т</w:t>
      </w:r>
      <w:r w:rsidRPr="00511005">
        <w:rPr>
          <w:rFonts w:ascii="Arial" w:eastAsia="Times New Roman" w:hAnsi="Arial" w:cs="Arial"/>
          <w:i/>
          <w:iCs/>
          <w:szCs w:val="28"/>
          <w:lang w:val="en-GB" w:eastAsia="ru-RU"/>
        </w:rPr>
        <w:t>a</w:t>
      </w:r>
      <w:r w:rsidRPr="00511005">
        <w:rPr>
          <w:rFonts w:ascii="Arial" w:eastAsia="Times New Roman" w:hAnsi="Arial" w:cs="Arial"/>
          <w:i/>
          <w:iCs/>
          <w:szCs w:val="28"/>
          <w:lang w:val="uk-UA" w:eastAsia="ru-RU"/>
        </w:rPr>
        <w:t xml:space="preserve"> низкою підзаконних актів, які встановлюють порядок і умови його використання. </w:t>
      </w:r>
      <w:r w:rsidRPr="00511005">
        <w:rPr>
          <w:rFonts w:ascii="Arial" w:eastAsia="Times New Roman" w:hAnsi="Arial" w:cs="Arial"/>
          <w:i/>
          <w:iCs/>
          <w:szCs w:val="28"/>
          <w:lang w:eastAsia="ru-RU"/>
        </w:rPr>
        <w:t>Зокрема, як інструмент психофізіологічного дослідження поліграф може бути застосований під час проведення судової експертизи, відповідно до статті 8 Закону «Про судову експертизу» [3]. Основним документом для слідчих в Україні є Пост</w:t>
      </w:r>
      <w:r w:rsidRPr="00511005">
        <w:rPr>
          <w:rFonts w:ascii="Arial" w:eastAsia="Times New Roman" w:hAnsi="Arial" w:cs="Arial"/>
          <w:i/>
          <w:iCs/>
          <w:szCs w:val="28"/>
          <w:lang w:val="en-GB" w:eastAsia="ru-RU"/>
        </w:rPr>
        <w:t>a</w:t>
      </w:r>
      <w:r w:rsidRPr="00511005">
        <w:rPr>
          <w:rFonts w:ascii="Arial" w:eastAsia="Times New Roman" w:hAnsi="Arial" w:cs="Arial"/>
          <w:i/>
          <w:iCs/>
          <w:szCs w:val="28"/>
          <w:lang w:eastAsia="ru-RU"/>
        </w:rPr>
        <w:t>нова К</w:t>
      </w:r>
      <w:r w:rsidRPr="00511005">
        <w:rPr>
          <w:rFonts w:ascii="Arial" w:eastAsia="Times New Roman" w:hAnsi="Arial" w:cs="Arial"/>
          <w:i/>
          <w:iCs/>
          <w:szCs w:val="28"/>
          <w:lang w:val="en-GB" w:eastAsia="ru-RU"/>
        </w:rPr>
        <w:t>a</w:t>
      </w:r>
      <w:r w:rsidRPr="00511005">
        <w:rPr>
          <w:rFonts w:ascii="Arial" w:eastAsia="Times New Roman" w:hAnsi="Arial" w:cs="Arial"/>
          <w:i/>
          <w:iCs/>
          <w:szCs w:val="28"/>
          <w:lang w:eastAsia="ru-RU"/>
        </w:rPr>
        <w:t>бінету Міністрів України від 11 травня 2017 р. № 449 «Про затвердження Порядку проведення психофізіологічного дослідження із застосуванням полігр</w:t>
      </w:r>
      <w:r w:rsidRPr="00511005">
        <w:rPr>
          <w:rFonts w:ascii="Arial" w:eastAsia="Times New Roman" w:hAnsi="Arial" w:cs="Arial"/>
          <w:i/>
          <w:iCs/>
          <w:szCs w:val="28"/>
          <w:lang w:val="en-GB" w:eastAsia="ru-RU"/>
        </w:rPr>
        <w:t>a</w:t>
      </w:r>
      <w:r w:rsidRPr="00511005">
        <w:rPr>
          <w:rFonts w:ascii="Arial" w:eastAsia="Times New Roman" w:hAnsi="Arial" w:cs="Arial"/>
          <w:i/>
          <w:iCs/>
          <w:szCs w:val="28"/>
          <w:lang w:eastAsia="ru-RU"/>
        </w:rPr>
        <w:t>ф</w:t>
      </w:r>
      <w:r w:rsidRPr="00511005">
        <w:rPr>
          <w:rFonts w:ascii="Arial" w:eastAsia="Times New Roman" w:hAnsi="Arial" w:cs="Arial"/>
          <w:i/>
          <w:iCs/>
          <w:szCs w:val="28"/>
          <w:lang w:val="en-GB" w:eastAsia="ru-RU"/>
        </w:rPr>
        <w:t>a</w:t>
      </w:r>
      <w:r w:rsidRPr="00511005">
        <w:rPr>
          <w:rFonts w:ascii="Arial" w:eastAsia="Times New Roman" w:hAnsi="Arial" w:cs="Arial"/>
          <w:i/>
          <w:iCs/>
          <w:szCs w:val="28"/>
          <w:lang w:eastAsia="ru-RU"/>
        </w:rPr>
        <w:t xml:space="preserve"> у Державному бюро розслідувань» [1</w:t>
      </w:r>
      <w:proofErr w:type="gramStart"/>
      <w:r w:rsidRPr="00511005">
        <w:rPr>
          <w:rFonts w:ascii="Arial" w:eastAsia="Times New Roman" w:hAnsi="Arial" w:cs="Arial"/>
          <w:i/>
          <w:iCs/>
          <w:szCs w:val="28"/>
          <w:lang w:eastAsia="ru-RU"/>
        </w:rPr>
        <w:t>],яка</w:t>
      </w:r>
      <w:proofErr w:type="gramEnd"/>
      <w:r w:rsidRPr="00511005">
        <w:rPr>
          <w:rFonts w:ascii="Arial" w:eastAsia="Times New Roman" w:hAnsi="Arial" w:cs="Arial"/>
          <w:i/>
          <w:iCs/>
          <w:szCs w:val="28"/>
          <w:lang w:eastAsia="ru-RU"/>
        </w:rPr>
        <w:t xml:space="preserve"> визначає коло уповноважених осіб, умови проведення дослідження, вимоги до оснащення та кваліфікації експертів. З метою вдосконалення процедури Кабмін вніс зміни до цього Порядку постановою від 6 жовтня 2021 р. № 1044 [5</w:t>
      </w:r>
      <w:proofErr w:type="gramStart"/>
      <w:r w:rsidRPr="00511005">
        <w:rPr>
          <w:rFonts w:ascii="Arial" w:eastAsia="Times New Roman" w:hAnsi="Arial" w:cs="Arial"/>
          <w:i/>
          <w:iCs/>
          <w:szCs w:val="28"/>
          <w:lang w:eastAsia="ru-RU"/>
        </w:rPr>
        <w:t>].Для</w:t>
      </w:r>
      <w:proofErr w:type="gramEnd"/>
      <w:r w:rsidRPr="00511005">
        <w:rPr>
          <w:rFonts w:ascii="Arial" w:eastAsia="Times New Roman" w:hAnsi="Arial" w:cs="Arial"/>
          <w:i/>
          <w:iCs/>
          <w:szCs w:val="28"/>
          <w:lang w:eastAsia="ru-RU"/>
        </w:rPr>
        <w:t xml:space="preserve"> прикордонників і працівників Державного бюро розслідувань поліграф є інструментом першочергової перевірки достовірності інформації офіцерів та інших осіб, які проходять спеціальну перевірку (але слід зазначити про добровільність такої перевірки).</w:t>
      </w:r>
    </w:p>
    <w:p w14:paraId="36DE44FF"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i/>
          <w:iCs/>
          <w:szCs w:val="28"/>
          <w:lang w:eastAsia="ru-RU"/>
        </w:rPr>
        <w:t xml:space="preserve">У грудні 2023 р. Управління державної охорони затвердило власний Наказ № 1070, який встановив аналогічний Порядок для визначення доброчесності військовослужбовців та працівників цього органу [2]. Усі </w:t>
      </w:r>
      <w:r w:rsidRPr="00511005">
        <w:rPr>
          <w:rFonts w:ascii="Arial" w:eastAsia="Times New Roman" w:hAnsi="Arial" w:cs="Arial"/>
          <w:i/>
          <w:iCs/>
          <w:szCs w:val="28"/>
          <w:lang w:eastAsia="ru-RU"/>
        </w:rPr>
        <w:lastRenderedPageBreak/>
        <w:t>процедури проводяться виключно за наявності добровільної письмової згоди досліджуваної особи, з дотриманням етичних норм і гарантій. Результати обробляються експертом і оформлюються довідкою, що є частиною матеріалів кримінального провадження, не можуть самі по собі слугувати підставою для висунення обвинувачення [1,2]. Окремо для прокурорів діє Інструкція про порядок проведення психофізіологічного дослідження із застосуванням полігр</w:t>
      </w:r>
      <w:r w:rsidRPr="00511005">
        <w:rPr>
          <w:rFonts w:ascii="Arial" w:eastAsia="Times New Roman" w:hAnsi="Arial" w:cs="Arial"/>
          <w:i/>
          <w:iCs/>
          <w:szCs w:val="28"/>
          <w:lang w:val="en-GB" w:eastAsia="ru-RU"/>
        </w:rPr>
        <w:t>a</w:t>
      </w:r>
      <w:r w:rsidRPr="00511005">
        <w:rPr>
          <w:rFonts w:ascii="Arial" w:eastAsia="Times New Roman" w:hAnsi="Arial" w:cs="Arial"/>
          <w:i/>
          <w:iCs/>
          <w:szCs w:val="28"/>
          <w:lang w:eastAsia="ru-RU"/>
        </w:rPr>
        <w:t>ф</w:t>
      </w:r>
      <w:r w:rsidRPr="00511005">
        <w:rPr>
          <w:rFonts w:ascii="Arial" w:eastAsia="Times New Roman" w:hAnsi="Arial" w:cs="Arial"/>
          <w:i/>
          <w:iCs/>
          <w:szCs w:val="28"/>
          <w:lang w:val="en-GB" w:eastAsia="ru-RU"/>
        </w:rPr>
        <w:t>a</w:t>
      </w:r>
      <w:r w:rsidRPr="00511005">
        <w:rPr>
          <w:rFonts w:ascii="Arial" w:eastAsia="Times New Roman" w:hAnsi="Arial" w:cs="Arial"/>
          <w:i/>
          <w:iCs/>
          <w:szCs w:val="28"/>
          <w:lang w:eastAsia="ru-RU"/>
        </w:rPr>
        <w:t xml:space="preserve"> в орг</w:t>
      </w:r>
      <w:r w:rsidRPr="00511005">
        <w:rPr>
          <w:rFonts w:ascii="Arial" w:eastAsia="Times New Roman" w:hAnsi="Arial" w:cs="Arial"/>
          <w:i/>
          <w:iCs/>
          <w:szCs w:val="28"/>
          <w:lang w:val="en-GB" w:eastAsia="ru-RU"/>
        </w:rPr>
        <w:t>a</w:t>
      </w:r>
      <w:r w:rsidRPr="00511005">
        <w:rPr>
          <w:rFonts w:ascii="Arial" w:eastAsia="Times New Roman" w:hAnsi="Arial" w:cs="Arial"/>
          <w:i/>
          <w:iCs/>
          <w:szCs w:val="28"/>
          <w:lang w:eastAsia="ru-RU"/>
        </w:rPr>
        <w:t>н</w:t>
      </w:r>
      <w:r w:rsidRPr="00511005">
        <w:rPr>
          <w:rFonts w:ascii="Arial" w:eastAsia="Times New Roman" w:hAnsi="Arial" w:cs="Arial"/>
          <w:i/>
          <w:iCs/>
          <w:szCs w:val="28"/>
          <w:lang w:val="en-GB" w:eastAsia="ru-RU"/>
        </w:rPr>
        <w:t>a</w:t>
      </w:r>
      <w:r w:rsidRPr="00511005">
        <w:rPr>
          <w:rFonts w:ascii="Arial" w:eastAsia="Times New Roman" w:hAnsi="Arial" w:cs="Arial"/>
          <w:i/>
          <w:iCs/>
          <w:szCs w:val="28"/>
          <w:lang w:eastAsia="ru-RU"/>
        </w:rPr>
        <w:t>х прокуратури, затверджена наказом Генеральної прокуратури, яка також вимагає згоди потерпілого та обвинуваченого на дослідження [6].</w:t>
      </w:r>
    </w:p>
    <w:p w14:paraId="0809B5CB"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i/>
          <w:iCs/>
          <w:szCs w:val="28"/>
          <w:lang w:eastAsia="ru-RU"/>
        </w:rPr>
        <w:t>Натомість у Англії поліграф здебільшого використовується у виконанні покарань та нагляду за певними категоріями засуджених, а не на стадії досудового слідства. Відповідно до Section 28 Offender Management Act 2007, поліцейська влада може включити до ліцензійних умов осіб, засуджених за тяжкі сексуальні злочини, обов’язкове проходження регулярних поліграфних сесій [6]. Section 29 визначає обов’язки засудженого під час проведення таких сесій, а Section 30 забороняє використання результатів поліграфа як доказів у суді [7, 8]. Поліграфні тести у Probation Service стали обов’язковими з 2014 р. для високоризикових сексуальних правопорушників, а з 2021 р. – і для осіб, засуджених за терористичні злочини [9]. Остання редакція «Polygraph examination policy framework», оновлена 25 червня 2024 р., деталізує процедуру і критерії відбору осіб, котрі підлягають тестуванню [10</w:t>
      </w:r>
      <w:proofErr w:type="gramStart"/>
      <w:r w:rsidRPr="00511005">
        <w:rPr>
          <w:rFonts w:ascii="Arial" w:eastAsia="Times New Roman" w:hAnsi="Arial" w:cs="Arial"/>
          <w:i/>
          <w:iCs/>
          <w:szCs w:val="28"/>
          <w:lang w:eastAsia="ru-RU"/>
        </w:rPr>
        <w:t>].Дані</w:t>
      </w:r>
      <w:proofErr w:type="gramEnd"/>
      <w:r w:rsidRPr="00511005">
        <w:rPr>
          <w:rFonts w:ascii="Arial" w:eastAsia="Times New Roman" w:hAnsi="Arial" w:cs="Arial"/>
          <w:i/>
          <w:iCs/>
          <w:szCs w:val="28"/>
          <w:lang w:eastAsia="ru-RU"/>
        </w:rPr>
        <w:t xml:space="preserve"> заходи мають на меті запобігти повторній злочинності через моніторинг динамічних ризиків (наприклад, вживання алкоголю або контакт з забороненими особами) та коригування індивідуальних планів управління ризиком.</w:t>
      </w:r>
    </w:p>
    <w:p w14:paraId="778FE756"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i/>
          <w:iCs/>
          <w:szCs w:val="28"/>
          <w:lang w:eastAsia="ru-RU"/>
        </w:rPr>
        <w:t>Поліграф у правоохоронних органах Англії застосовується виключно як інструмент після винесення вироку. Поліцейські експерименти з добровільним тестуванням підозрюваних у справах про сексуальні злочини проти дітей почалися у 2007–2008 рр., але залишаються добровільними і не закріплені у законі як обов’язкові [12</w:t>
      </w:r>
      <w:proofErr w:type="gramStart"/>
      <w:r w:rsidRPr="00511005">
        <w:rPr>
          <w:rFonts w:ascii="Arial" w:eastAsia="Times New Roman" w:hAnsi="Arial" w:cs="Arial"/>
          <w:i/>
          <w:iCs/>
          <w:szCs w:val="28"/>
          <w:lang w:eastAsia="ru-RU"/>
        </w:rPr>
        <w:t>].При</w:t>
      </w:r>
      <w:proofErr w:type="gramEnd"/>
      <w:r w:rsidRPr="00511005">
        <w:rPr>
          <w:rFonts w:ascii="Arial" w:eastAsia="Times New Roman" w:hAnsi="Arial" w:cs="Arial"/>
          <w:i/>
          <w:iCs/>
          <w:szCs w:val="28"/>
          <w:lang w:eastAsia="ru-RU"/>
        </w:rPr>
        <w:t xml:space="preserve"> відмові від проходження тести не можуть використовуватися як підстава для затримання або посилення покарання.</w:t>
      </w:r>
    </w:p>
    <w:p w14:paraId="66AAD017"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i/>
          <w:iCs/>
          <w:szCs w:val="28"/>
          <w:lang w:eastAsia="ru-RU"/>
        </w:rPr>
        <w:t xml:space="preserve">Порівнюючи практики, можна виокремити такі ключові відмінності. По-перше, в Україні поліграфні дослідження інтегровані в досудове слідство як один із засобів збору доказів в рамках експертизи, але обов’язковість їх проведення не передбачена – дослідження можливе лише за згодою учасників [1, 2]. Водночас, у Англії поліграф використовується винятково в контексті нагляду за засудженими й не слугує інструментом з’ясування істини на стадії досудового розслідування [6, 10]. По-друге, українське законодавство визначає психофізіологічну експертизу із використанням поліграфу, керуючись положеннями Закону «Про судову </w:t>
      </w:r>
      <w:r w:rsidRPr="00511005">
        <w:rPr>
          <w:rFonts w:ascii="Arial" w:eastAsia="Times New Roman" w:hAnsi="Arial" w:cs="Arial"/>
          <w:i/>
          <w:iCs/>
          <w:szCs w:val="28"/>
          <w:lang w:eastAsia="ru-RU"/>
        </w:rPr>
        <w:lastRenderedPageBreak/>
        <w:t>експертизу» і підзаконних актів [3</w:t>
      </w:r>
      <w:proofErr w:type="gramStart"/>
      <w:r w:rsidRPr="00511005">
        <w:rPr>
          <w:rFonts w:ascii="Arial" w:eastAsia="Times New Roman" w:hAnsi="Arial" w:cs="Arial"/>
          <w:i/>
          <w:iCs/>
          <w:szCs w:val="28"/>
          <w:lang w:eastAsia="ru-RU"/>
        </w:rPr>
        <w:t>],тоді</w:t>
      </w:r>
      <w:proofErr w:type="gramEnd"/>
      <w:r w:rsidRPr="00511005">
        <w:rPr>
          <w:rFonts w:ascii="Arial" w:eastAsia="Times New Roman" w:hAnsi="Arial" w:cs="Arial"/>
          <w:i/>
          <w:iCs/>
          <w:szCs w:val="28"/>
          <w:lang w:eastAsia="ru-RU"/>
        </w:rPr>
        <w:t xml:space="preserve"> як у Великій Британії нормативна база сформована законом про виконання покарань – Offender Management Act 2007 – і внутрішніми політика</w:t>
      </w:r>
      <w:r w:rsidRPr="00511005">
        <w:rPr>
          <w:rFonts w:ascii="Arial" w:eastAsia="Times New Roman" w:hAnsi="Arial" w:cs="Arial"/>
          <w:i/>
          <w:iCs/>
          <w:szCs w:val="28"/>
          <w:lang w:eastAsia="ru-RU"/>
        </w:rPr>
        <w:softHyphen/>
      </w:r>
      <w:r w:rsidRPr="00511005">
        <w:rPr>
          <w:rFonts w:ascii="Arial" w:eastAsia="Times New Roman" w:hAnsi="Arial" w:cs="Arial"/>
          <w:i/>
          <w:iCs/>
          <w:szCs w:val="28"/>
          <w:lang w:eastAsia="ru-RU"/>
        </w:rPr>
        <w:softHyphen/>
        <w:t>ми Міністерства юстиції та HM Prison and Probation Service [10]. По-третє, результати застосування поліграфа в Україні можуть бути долучені до матеріалів кримінального провадження як складова висновку експерту, тоді як в Англії вони є конфіденційними даними для працівників пробації і не можуть виступати доказом у суді [8].</w:t>
      </w:r>
    </w:p>
    <w:p w14:paraId="41FDFA51"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i/>
          <w:iCs/>
          <w:szCs w:val="28"/>
          <w:lang w:eastAsia="ru-RU"/>
        </w:rPr>
        <w:t>Загалом, правоохоронні органи в Україні застосовують поліграф як інструмент під час проведення відповідної експертизи, задля встановлення додаткових фактів, а в Англії – як засіб контролю та корекції поведінки осіб після винесення судового вироку.</w:t>
      </w:r>
    </w:p>
    <w:p w14:paraId="4778C7D9"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Обидві системи визнають обмежену надійність поліграфа та обов’язковість дотримання прав людини: в Україні – через вимогу згоди та етичні стандарти, закріплені у законодавчих та підзаконних актах, в Англії – через неможливість використовувати результати як доказ та задекларовані протоколи якості.</w:t>
      </w:r>
    </w:p>
    <w:p w14:paraId="7F97A22D"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i/>
          <w:iCs/>
          <w:szCs w:val="28"/>
          <w:lang w:eastAsia="ru-RU"/>
        </w:rPr>
        <w:t>Розвиток інституту поліграфа в Україні потребує уніфікації норм між різними органами та чіткого законодавчого закріплення правового статусу результатів застосування поліграфологічних досліджень.</w:t>
      </w:r>
    </w:p>
    <w:p w14:paraId="77358A16" w14:textId="77777777" w:rsidR="00532C25" w:rsidRPr="00511005" w:rsidRDefault="00532C25" w:rsidP="00532C25">
      <w:pPr>
        <w:spacing w:line="264" w:lineRule="auto"/>
        <w:ind w:firstLine="720"/>
        <w:jc w:val="center"/>
        <w:rPr>
          <w:rFonts w:ascii="Arial" w:eastAsia="Calibri" w:hAnsi="Arial" w:cs="Arial"/>
          <w:b/>
          <w:szCs w:val="28"/>
        </w:rPr>
      </w:pPr>
    </w:p>
    <w:p w14:paraId="5BFF6401" w14:textId="77777777" w:rsidR="00532C25" w:rsidRPr="00511005" w:rsidRDefault="00532C25" w:rsidP="00532C25">
      <w:pPr>
        <w:spacing w:line="264" w:lineRule="auto"/>
        <w:ind w:firstLine="720"/>
        <w:jc w:val="center"/>
        <w:rPr>
          <w:rFonts w:ascii="Arial" w:eastAsia="Calibri" w:hAnsi="Arial" w:cs="Arial"/>
          <w:szCs w:val="28"/>
          <w:lang w:val="en-GB"/>
        </w:rPr>
      </w:pPr>
      <w:r w:rsidRPr="00511005">
        <w:rPr>
          <w:rFonts w:ascii="Arial" w:eastAsia="Calibri" w:hAnsi="Arial" w:cs="Arial"/>
          <w:b/>
          <w:szCs w:val="28"/>
          <w:lang w:val="uk-UA"/>
        </w:rPr>
        <w:t>Список використаних джерел</w:t>
      </w:r>
      <w:r w:rsidRPr="00511005">
        <w:rPr>
          <w:rFonts w:ascii="Arial" w:eastAsia="Calibri" w:hAnsi="Arial" w:cs="Arial"/>
          <w:b/>
          <w:szCs w:val="28"/>
        </w:rPr>
        <w:t xml:space="preserve"> </w:t>
      </w:r>
    </w:p>
    <w:p w14:paraId="6FAC577F" w14:textId="77777777" w:rsidR="00532C25" w:rsidRPr="00511005" w:rsidRDefault="00532C25" w:rsidP="003F6A5D">
      <w:pPr>
        <w:numPr>
          <w:ilvl w:val="0"/>
          <w:numId w:val="653"/>
        </w:numPr>
        <w:tabs>
          <w:tab w:val="num" w:pos="360"/>
          <w:tab w:val="left" w:pos="993"/>
        </w:tabs>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Про</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затвердження</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Порядку</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проведення</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психофізіологічного</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дослідження</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із</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застосуванням</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поліграфа</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у</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Державному</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бюро</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розслідувань</w:t>
      </w:r>
      <w:r w:rsidRPr="00511005">
        <w:rPr>
          <w:rFonts w:ascii="Arial" w:eastAsia="Times New Roman" w:hAnsi="Arial" w:cs="Arial"/>
          <w:szCs w:val="28"/>
          <w:lang w:val="en-GB" w:eastAsia="ru-RU"/>
        </w:rPr>
        <w:t>:</w:t>
      </w:r>
      <w:r w:rsidRPr="00511005">
        <w:rPr>
          <w:rFonts w:ascii="Arial" w:eastAsia="Calibri" w:hAnsi="Arial" w:cs="Arial"/>
          <w:szCs w:val="28"/>
          <w:lang w:val="en-GB" w:eastAsia="ru-RU"/>
        </w:rPr>
        <w:t xml:space="preserve"> </w:t>
      </w:r>
      <w:r w:rsidRPr="00511005">
        <w:rPr>
          <w:rFonts w:ascii="Arial" w:eastAsia="Times New Roman" w:hAnsi="Arial" w:cs="Arial"/>
          <w:szCs w:val="28"/>
          <w:lang w:eastAsia="ru-RU"/>
        </w:rPr>
        <w:t>постанова</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Кабінету</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Міністрів</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України</w:t>
      </w:r>
      <w:r w:rsidRPr="00511005">
        <w:rPr>
          <w:rFonts w:ascii="Arial" w:eastAsia="Times New Roman" w:hAnsi="Arial" w:cs="Arial"/>
          <w:szCs w:val="28"/>
          <w:lang w:val="en-GB" w:eastAsia="ru-RU"/>
        </w:rPr>
        <w:t xml:space="preserve"> </w:t>
      </w:r>
      <w:r w:rsidRPr="00511005">
        <w:rPr>
          <w:rFonts w:ascii="Arial" w:eastAsia="Times New Roman" w:hAnsi="Arial" w:cs="Arial"/>
          <w:szCs w:val="28"/>
          <w:lang w:eastAsia="ru-RU"/>
        </w:rPr>
        <w:t>від</w:t>
      </w:r>
      <w:r w:rsidRPr="00511005">
        <w:rPr>
          <w:rFonts w:ascii="Arial" w:eastAsia="Times New Roman" w:hAnsi="Arial" w:cs="Arial"/>
          <w:szCs w:val="28"/>
          <w:lang w:val="en-GB" w:eastAsia="ru-RU"/>
        </w:rPr>
        <w:t xml:space="preserve"> 11 </w:t>
      </w:r>
      <w:r w:rsidRPr="00511005">
        <w:rPr>
          <w:rFonts w:ascii="Arial" w:eastAsia="Times New Roman" w:hAnsi="Arial" w:cs="Arial"/>
          <w:szCs w:val="28"/>
          <w:lang w:eastAsia="ru-RU"/>
        </w:rPr>
        <w:t>травня</w:t>
      </w:r>
      <w:r w:rsidRPr="00511005">
        <w:rPr>
          <w:rFonts w:ascii="Arial" w:eastAsia="Times New Roman" w:hAnsi="Arial" w:cs="Arial"/>
          <w:szCs w:val="28"/>
          <w:lang w:val="en-GB" w:eastAsia="ru-RU"/>
        </w:rPr>
        <w:t xml:space="preserve"> 2017 </w:t>
      </w:r>
      <w:r w:rsidRPr="00511005">
        <w:rPr>
          <w:rFonts w:ascii="Arial" w:eastAsia="Times New Roman" w:hAnsi="Arial" w:cs="Arial"/>
          <w:szCs w:val="28"/>
          <w:lang w:eastAsia="ru-RU"/>
        </w:rPr>
        <w:t>р</w:t>
      </w:r>
      <w:r w:rsidRPr="00511005">
        <w:rPr>
          <w:rFonts w:ascii="Arial" w:eastAsia="Times New Roman" w:hAnsi="Arial" w:cs="Arial"/>
          <w:szCs w:val="28"/>
          <w:lang w:val="en-GB" w:eastAsia="ru-RU"/>
        </w:rPr>
        <w:t xml:space="preserve">. № 449.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1991" w:anchor="Text" w:history="1">
        <w:r w:rsidRPr="00511005">
          <w:rPr>
            <w:rFonts w:ascii="Arial" w:eastAsia="Times New Roman" w:hAnsi="Arial" w:cs="Arial"/>
            <w:szCs w:val="28"/>
            <w:lang w:eastAsia="ru-RU"/>
          </w:rPr>
          <w:t>https://zakon.rada.gov.ua/laws/show/449-2017-п#Text</w:t>
        </w:r>
      </w:hyperlink>
      <w:r w:rsidRPr="00511005">
        <w:rPr>
          <w:rFonts w:ascii="Arial" w:eastAsia="Times New Roman" w:hAnsi="Arial" w:cs="Arial"/>
          <w:szCs w:val="28"/>
          <w:lang w:eastAsia="ru-RU"/>
        </w:rPr>
        <w:t xml:space="preserve"> (дата звернення: 29.04.2025).</w:t>
      </w:r>
    </w:p>
    <w:p w14:paraId="41A59ADF" w14:textId="77777777" w:rsidR="00532C25" w:rsidRPr="00511005" w:rsidRDefault="00532C25" w:rsidP="003F6A5D">
      <w:pPr>
        <w:numPr>
          <w:ilvl w:val="0"/>
          <w:numId w:val="653"/>
        </w:numPr>
        <w:tabs>
          <w:tab w:val="num" w:pos="360"/>
          <w:tab w:val="left" w:pos="993"/>
        </w:tabs>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затвердження Порядку проведення психофізіологічного дослідження із застосуванням поліграфа в Управлінні державної охорони України: наказ Управління державної охорони України від 02.12.2023 р. № 1070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1992" w:anchor="Text" w:history="1">
        <w:r w:rsidRPr="00511005">
          <w:rPr>
            <w:rFonts w:ascii="Arial" w:eastAsia="Times New Roman" w:hAnsi="Arial" w:cs="Arial"/>
            <w:szCs w:val="28"/>
            <w:lang w:val="uk-UA" w:eastAsia="uk-UA"/>
          </w:rPr>
          <w:t>https://zakon.rada.gov.ua/laws/show/z0090-24#Text</w:t>
        </w:r>
      </w:hyperlink>
      <w:r w:rsidRPr="00511005">
        <w:rPr>
          <w:rFonts w:ascii="Arial" w:eastAsia="Times New Roman" w:hAnsi="Arial" w:cs="Arial"/>
          <w:szCs w:val="28"/>
          <w:lang w:val="uk-UA" w:eastAsia="uk-UA"/>
        </w:rPr>
        <w:t xml:space="preserve"> (дата звернення: 29.04.2025).</w:t>
      </w:r>
    </w:p>
    <w:p w14:paraId="0933410B" w14:textId="77777777" w:rsidR="00532C25" w:rsidRPr="00511005" w:rsidRDefault="00532C25" w:rsidP="003F6A5D">
      <w:pPr>
        <w:numPr>
          <w:ilvl w:val="0"/>
          <w:numId w:val="653"/>
        </w:numPr>
        <w:tabs>
          <w:tab w:val="num" w:pos="360"/>
          <w:tab w:val="left" w:pos="993"/>
        </w:tabs>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судову експертизу: закон України (3235-VI). </w:t>
      </w:r>
      <w:r w:rsidRPr="00511005">
        <w:rPr>
          <w:rFonts w:ascii="Arial" w:eastAsia="Calibri" w:hAnsi="Arial" w:cs="Arial"/>
          <w:szCs w:val="28"/>
          <w:lang w:val="en-US"/>
        </w:rPr>
        <w:t>URL</w:t>
      </w:r>
      <w:r w:rsidRPr="00511005">
        <w:rPr>
          <w:rFonts w:ascii="Arial" w:eastAsia="Calibri" w:hAnsi="Arial" w:cs="Arial"/>
          <w:szCs w:val="28"/>
        </w:rPr>
        <w:t>:</w:t>
      </w:r>
      <w:r w:rsidRPr="00511005">
        <w:rPr>
          <w:rFonts w:ascii="Arial" w:eastAsia="Calibri" w:hAnsi="Arial" w:cs="Arial"/>
          <w:szCs w:val="28"/>
          <w:lang w:val="uk-UA"/>
        </w:rPr>
        <w:t xml:space="preserve"> https://zakon.rada.gov.ua/laws/show/4038-12#Text </w:t>
      </w:r>
      <w:r w:rsidRPr="00511005">
        <w:rPr>
          <w:rFonts w:ascii="Arial" w:eastAsia="Times New Roman" w:hAnsi="Arial" w:cs="Arial"/>
          <w:szCs w:val="28"/>
          <w:lang w:val="uk-UA" w:eastAsia="uk-UA"/>
        </w:rPr>
        <w:t>(дата звернення: 29.04.2025).</w:t>
      </w:r>
    </w:p>
    <w:p w14:paraId="0E530948" w14:textId="77777777" w:rsidR="00532C25" w:rsidRPr="00511005" w:rsidRDefault="00532C25" w:rsidP="003F6A5D">
      <w:pPr>
        <w:numPr>
          <w:ilvl w:val="0"/>
          <w:numId w:val="653"/>
        </w:numPr>
        <w:tabs>
          <w:tab w:val="num" w:pos="360"/>
          <w:tab w:val="left" w:pos="993"/>
        </w:tabs>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затвердження Порядку проведення психофізіологічного дослідження із застосуванням поліграфа під час проведення спеціальної перевірки іноземців та осіб без громадянства: постанова Кабінету Міністрів України від 11 лютого 2025 р. № 146. </w:t>
      </w:r>
      <w:r w:rsidRPr="00511005">
        <w:rPr>
          <w:rFonts w:ascii="Arial" w:eastAsia="Calibri" w:hAnsi="Arial" w:cs="Arial"/>
          <w:szCs w:val="28"/>
          <w:lang w:val="en-US"/>
        </w:rPr>
        <w:t>URL</w:t>
      </w:r>
      <w:r w:rsidRPr="00511005">
        <w:rPr>
          <w:rFonts w:ascii="Arial" w:eastAsia="Calibri" w:hAnsi="Arial" w:cs="Arial"/>
          <w:szCs w:val="28"/>
        </w:rPr>
        <w:t>:</w:t>
      </w:r>
      <w:r w:rsidRPr="00511005">
        <w:rPr>
          <w:rFonts w:ascii="Arial" w:eastAsia="Calibri" w:hAnsi="Arial" w:cs="Arial"/>
          <w:szCs w:val="28"/>
          <w:lang w:val="uk-UA"/>
        </w:rPr>
        <w:t xml:space="preserve"> </w:t>
      </w:r>
      <w:hyperlink r:id="rId1993" w:anchor="Text" w:history="1">
        <w:r w:rsidRPr="00511005">
          <w:rPr>
            <w:rFonts w:ascii="Arial" w:eastAsia="Calibri" w:hAnsi="Arial" w:cs="Arial"/>
            <w:szCs w:val="28"/>
            <w:lang w:val="uk-UA"/>
          </w:rPr>
          <w:t>https://zakon.rada.gov.ua/laws/show/146-2025-п#Text</w:t>
        </w:r>
      </w:hyperlink>
      <w:r w:rsidRPr="00511005">
        <w:rPr>
          <w:rFonts w:ascii="Arial" w:eastAsia="Calibri" w:hAnsi="Arial" w:cs="Arial"/>
          <w:szCs w:val="28"/>
          <w:lang w:val="uk-UA"/>
        </w:rPr>
        <w:t xml:space="preserve"> </w:t>
      </w:r>
      <w:r w:rsidRPr="00511005">
        <w:rPr>
          <w:rFonts w:ascii="Arial" w:eastAsia="Times New Roman" w:hAnsi="Arial" w:cs="Arial"/>
          <w:szCs w:val="28"/>
          <w:lang w:val="uk-UA" w:eastAsia="uk-UA"/>
        </w:rPr>
        <w:t>(дата звернення: 29.04.2025).</w:t>
      </w:r>
    </w:p>
    <w:p w14:paraId="2297D12C" w14:textId="77777777" w:rsidR="00532C25" w:rsidRPr="00511005" w:rsidRDefault="00532C25" w:rsidP="003F6A5D">
      <w:pPr>
        <w:numPr>
          <w:ilvl w:val="0"/>
          <w:numId w:val="653"/>
        </w:numPr>
        <w:tabs>
          <w:tab w:val="num" w:pos="360"/>
          <w:tab w:val="left" w:pos="993"/>
        </w:tabs>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 внесення змін до Порядку проведення психофізіологічного дослідження із застосуванням поліграфа у Державному бюро розслідувань: </w:t>
      </w:r>
      <w:r w:rsidRPr="00511005">
        <w:rPr>
          <w:rFonts w:ascii="Arial" w:eastAsia="Times New Roman" w:hAnsi="Arial" w:cs="Arial"/>
          <w:szCs w:val="28"/>
          <w:lang w:val="uk-UA" w:eastAsia="uk-UA"/>
        </w:rPr>
        <w:lastRenderedPageBreak/>
        <w:t xml:space="preserve">постанова Кабінету Міністрів України від 06.10.2021 р. № 1044. </w:t>
      </w:r>
      <w:r w:rsidRPr="00511005">
        <w:rPr>
          <w:rFonts w:ascii="Arial" w:eastAsia="Calibri" w:hAnsi="Arial" w:cs="Arial"/>
          <w:szCs w:val="28"/>
          <w:lang w:val="en-US"/>
        </w:rPr>
        <w:t>URL</w:t>
      </w:r>
      <w:r w:rsidRPr="00511005">
        <w:rPr>
          <w:rFonts w:ascii="Arial" w:eastAsia="Calibri" w:hAnsi="Arial" w:cs="Arial"/>
          <w:szCs w:val="28"/>
        </w:rPr>
        <w:t>:</w:t>
      </w:r>
      <w:r w:rsidRPr="00511005">
        <w:rPr>
          <w:rFonts w:ascii="Arial" w:eastAsia="Times New Roman" w:hAnsi="Arial" w:cs="Arial"/>
          <w:szCs w:val="28"/>
          <w:lang w:val="uk-UA" w:eastAsia="uk-UA"/>
        </w:rPr>
        <w:t xml:space="preserve"> </w:t>
      </w:r>
      <w:hyperlink r:id="rId1994" w:anchor="Text" w:history="1">
        <w:r w:rsidRPr="00511005">
          <w:rPr>
            <w:rFonts w:ascii="Arial" w:eastAsia="Times New Roman" w:hAnsi="Arial" w:cs="Arial"/>
            <w:szCs w:val="28"/>
            <w:lang w:val="uk-UA" w:eastAsia="uk-UA"/>
          </w:rPr>
          <w:t>https://zakon.rada.gov.ua/laws/show/1044-2021-п#Text</w:t>
        </w:r>
      </w:hyperlink>
      <w:r w:rsidRPr="00511005">
        <w:rPr>
          <w:rFonts w:ascii="Arial" w:eastAsia="Times New Roman" w:hAnsi="Arial" w:cs="Arial"/>
          <w:szCs w:val="28"/>
          <w:lang w:val="uk-UA" w:eastAsia="uk-UA"/>
        </w:rPr>
        <w:t xml:space="preserve"> (дата звернення: 29.04.2025).</w:t>
      </w:r>
    </w:p>
    <w:p w14:paraId="3540396F" w14:textId="77777777" w:rsidR="00532C25" w:rsidRPr="00511005" w:rsidRDefault="00532C25" w:rsidP="003F6A5D">
      <w:pPr>
        <w:numPr>
          <w:ilvl w:val="0"/>
          <w:numId w:val="653"/>
        </w:numPr>
        <w:tabs>
          <w:tab w:val="num" w:pos="360"/>
          <w:tab w:val="left" w:pos="993"/>
        </w:tabs>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Offender Management Act 2007 – s. 28, s. 29 (licence conditions for polygraph sessions) </w:t>
      </w:r>
      <w:r w:rsidRPr="00511005">
        <w:rPr>
          <w:rFonts w:ascii="Arial" w:eastAsia="Calibri" w:hAnsi="Arial" w:cs="Arial"/>
          <w:szCs w:val="28"/>
          <w:lang w:val="en-US"/>
        </w:rPr>
        <w:t xml:space="preserve">URL: </w:t>
      </w:r>
      <w:r w:rsidR="005938AD">
        <w:fldChar w:fldCharType="begin"/>
      </w:r>
      <w:r w:rsidR="005938AD" w:rsidRPr="00055389">
        <w:rPr>
          <w:lang w:val="en-US"/>
        </w:rPr>
        <w:instrText xml:space="preserve"> HYPERLINK "https://www.legislation.gov.uk/" </w:instrText>
      </w:r>
      <w:r w:rsidR="005938AD">
        <w:fldChar w:fldCharType="separate"/>
      </w:r>
      <w:r w:rsidRPr="00511005">
        <w:rPr>
          <w:rFonts w:ascii="Arial" w:eastAsia="Times New Roman" w:hAnsi="Arial" w:cs="Arial"/>
          <w:szCs w:val="28"/>
          <w:lang w:val="uk-UA" w:eastAsia="uk-UA"/>
        </w:rPr>
        <w:t>https://www.legislation.gov.uk/</w:t>
      </w:r>
      <w:r w:rsidR="005938AD">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 xml:space="preserve"> дата звернення: 29.04.2025).</w:t>
      </w:r>
    </w:p>
    <w:p w14:paraId="7BE836DB" w14:textId="77777777" w:rsidR="00532C25" w:rsidRPr="00511005" w:rsidRDefault="00532C25" w:rsidP="003F6A5D">
      <w:pPr>
        <w:numPr>
          <w:ilvl w:val="0"/>
          <w:numId w:val="653"/>
        </w:numPr>
        <w:tabs>
          <w:tab w:val="num" w:pos="360"/>
          <w:tab w:val="left" w:pos="993"/>
        </w:tabs>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Offender Management Act 2007 – s. 30 (inadmissibility of polygraph evidence) </w:t>
      </w:r>
      <w:r w:rsidRPr="00511005">
        <w:rPr>
          <w:rFonts w:ascii="Arial" w:eastAsia="Calibri" w:hAnsi="Arial" w:cs="Arial"/>
          <w:szCs w:val="28"/>
          <w:lang w:val="en-US"/>
        </w:rPr>
        <w:t>URL:</w:t>
      </w:r>
      <w:r w:rsidRPr="00511005">
        <w:rPr>
          <w:rFonts w:ascii="Arial" w:eastAsia="Times New Roman" w:hAnsi="Arial" w:cs="Arial"/>
          <w:szCs w:val="28"/>
          <w:lang w:val="uk-UA" w:eastAsia="uk-UA"/>
        </w:rPr>
        <w:t xml:space="preserve"> </w:t>
      </w:r>
      <w:r w:rsidR="005938AD">
        <w:fldChar w:fldCharType="begin"/>
      </w:r>
      <w:r w:rsidR="005938AD" w:rsidRPr="00055389">
        <w:rPr>
          <w:lang w:val="en-US"/>
        </w:rPr>
        <w:instrText xml:space="preserve"> HYPERLINK "https://www.legislation.gov.uk" </w:instrText>
      </w:r>
      <w:r w:rsidR="005938AD">
        <w:fldChar w:fldCharType="separate"/>
      </w:r>
      <w:r w:rsidRPr="00511005">
        <w:rPr>
          <w:rFonts w:ascii="Arial" w:eastAsia="Times New Roman" w:hAnsi="Arial" w:cs="Arial"/>
          <w:szCs w:val="28"/>
          <w:lang w:val="uk-UA" w:eastAsia="uk-UA"/>
        </w:rPr>
        <w:t>https://www.legislation.gov.uk</w:t>
      </w:r>
      <w:r w:rsidR="005938AD">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 xml:space="preserve"> (дата звернення: 29.04.2025).</w:t>
      </w:r>
    </w:p>
    <w:p w14:paraId="168D601B" w14:textId="77777777" w:rsidR="00532C25" w:rsidRPr="00511005" w:rsidRDefault="00532C25" w:rsidP="003F6A5D">
      <w:pPr>
        <w:numPr>
          <w:ilvl w:val="0"/>
          <w:numId w:val="653"/>
        </w:numPr>
        <w:tabs>
          <w:tab w:val="num" w:pos="360"/>
          <w:tab w:val="left" w:pos="993"/>
        </w:tabs>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Polygraph examination policy framework. Ministry of Justice and HM Prison and Probation Service. 25 June 2024. GOV.UK </w:t>
      </w:r>
      <w:r w:rsidRPr="00511005">
        <w:rPr>
          <w:rFonts w:ascii="Arial" w:eastAsia="Calibri" w:hAnsi="Arial" w:cs="Arial"/>
          <w:szCs w:val="28"/>
          <w:lang w:val="en-US"/>
        </w:rPr>
        <w:t>URL</w:t>
      </w:r>
      <w:r w:rsidRPr="00511005">
        <w:rPr>
          <w:rFonts w:ascii="Arial" w:eastAsia="Calibri" w:hAnsi="Arial" w:cs="Arial"/>
          <w:szCs w:val="28"/>
          <w:lang w:val="uk-UA"/>
        </w:rPr>
        <w:t>:</w:t>
      </w:r>
      <w:r w:rsidRPr="00511005">
        <w:rPr>
          <w:rFonts w:ascii="Arial" w:eastAsia="Times New Roman" w:hAnsi="Arial" w:cs="Arial"/>
          <w:szCs w:val="28"/>
          <w:lang w:val="uk-UA" w:eastAsia="uk-UA"/>
        </w:rPr>
        <w:t xml:space="preserve">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www</w:instrText>
      </w:r>
      <w:r w:rsidR="005938AD" w:rsidRPr="00055389">
        <w:rPr>
          <w:lang w:val="uk-UA"/>
        </w:rPr>
        <w:instrText>.</w:instrText>
      </w:r>
      <w:r w:rsidR="005938AD">
        <w:instrText>gov</w:instrText>
      </w:r>
      <w:r w:rsidR="005938AD" w:rsidRPr="00055389">
        <w:rPr>
          <w:lang w:val="uk-UA"/>
        </w:rPr>
        <w:instrText>.</w:instrText>
      </w:r>
      <w:r w:rsidR="005938AD">
        <w:instrText>uk</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eastAsia="uk-UA"/>
        </w:rPr>
        <w:t>https://www.gov.uk/</w:t>
      </w:r>
      <w:r w:rsidR="005938AD">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 xml:space="preserve"> (дата звернення: 29.04.2025).</w:t>
      </w:r>
    </w:p>
    <w:p w14:paraId="48AC98B1" w14:textId="77777777" w:rsidR="00532C25" w:rsidRPr="00511005" w:rsidRDefault="00532C25" w:rsidP="003F6A5D">
      <w:pPr>
        <w:numPr>
          <w:ilvl w:val="0"/>
          <w:numId w:val="653"/>
        </w:numPr>
        <w:tabs>
          <w:tab w:val="num" w:pos="360"/>
          <w:tab w:val="left" w:pos="993"/>
        </w:tabs>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Mandatory polygraph tests factsheet. GOV.UK. 2023. </w:t>
      </w:r>
      <w:r w:rsidRPr="00511005">
        <w:rPr>
          <w:rFonts w:ascii="Arial" w:eastAsia="Times New Roman" w:hAnsi="Arial" w:cs="Arial"/>
          <w:szCs w:val="28"/>
          <w:lang w:val="en-GB" w:eastAsia="uk-UA"/>
        </w:rPr>
        <w:t>URL</w:t>
      </w:r>
      <w:r w:rsidRPr="00511005">
        <w:rPr>
          <w:rFonts w:ascii="Arial" w:eastAsia="Times New Roman" w:hAnsi="Arial" w:cs="Arial"/>
          <w:szCs w:val="28"/>
          <w:lang w:val="uk-UA" w:eastAsia="uk-UA"/>
        </w:rPr>
        <w:t xml:space="preserve">: </w:t>
      </w:r>
      <w:hyperlink r:id="rId1995" w:history="1">
        <w:r w:rsidRPr="00511005">
          <w:rPr>
            <w:rFonts w:ascii="Arial" w:eastAsia="Times New Roman" w:hAnsi="Arial" w:cs="Arial"/>
            <w:szCs w:val="28"/>
            <w:lang w:val="en-GB" w:eastAsia="uk-UA"/>
          </w:rPr>
          <w:t>https</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www</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gov</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uk</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government</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publications</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domestic</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abuse</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bill</w:t>
        </w:r>
        <w:r w:rsidRPr="00511005">
          <w:rPr>
            <w:rFonts w:ascii="Arial" w:eastAsia="Times New Roman" w:hAnsi="Arial" w:cs="Arial"/>
            <w:szCs w:val="28"/>
            <w:lang w:val="uk-UA" w:eastAsia="uk-UA"/>
          </w:rPr>
          <w:t>-2020-</w:t>
        </w:r>
        <w:r w:rsidRPr="00511005">
          <w:rPr>
            <w:rFonts w:ascii="Arial" w:eastAsia="Times New Roman" w:hAnsi="Arial" w:cs="Arial"/>
            <w:szCs w:val="28"/>
            <w:lang w:val="en-GB" w:eastAsia="uk-UA"/>
          </w:rPr>
          <w:t>factsheets</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mandatory</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polygraph</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tests</w:t>
        </w:r>
        <w:r w:rsidRPr="00511005">
          <w:rPr>
            <w:rFonts w:ascii="Arial" w:eastAsia="Times New Roman" w:hAnsi="Arial" w:cs="Arial"/>
            <w:szCs w:val="28"/>
            <w:lang w:val="uk-UA" w:eastAsia="uk-UA"/>
          </w:rPr>
          <w:t>-</w:t>
        </w:r>
        <w:r w:rsidRPr="00511005">
          <w:rPr>
            <w:rFonts w:ascii="Arial" w:eastAsia="Times New Roman" w:hAnsi="Arial" w:cs="Arial"/>
            <w:szCs w:val="28"/>
            <w:lang w:val="en-GB" w:eastAsia="uk-UA"/>
          </w:rPr>
          <w:t>factsheet</w:t>
        </w:r>
      </w:hyperlink>
      <w:r w:rsidRPr="00511005">
        <w:rPr>
          <w:rFonts w:ascii="Arial" w:eastAsia="Times New Roman" w:hAnsi="Arial" w:cs="Arial"/>
          <w:szCs w:val="28"/>
          <w:lang w:val="uk-UA" w:eastAsia="uk-UA"/>
        </w:rPr>
        <w:t xml:space="preserve"> (дата звернення: 29.04.2025).</w:t>
      </w:r>
    </w:p>
    <w:p w14:paraId="206A9093" w14:textId="77777777" w:rsidR="00532C25" w:rsidRPr="00511005" w:rsidRDefault="00532C25" w:rsidP="003F6A5D">
      <w:pPr>
        <w:numPr>
          <w:ilvl w:val="0"/>
          <w:numId w:val="653"/>
        </w:numPr>
        <w:tabs>
          <w:tab w:val="num" w:pos="360"/>
          <w:tab w:val="left" w:pos="993"/>
        </w:tabs>
        <w:spacing w:line="264" w:lineRule="auto"/>
        <w:ind w:left="0" w:firstLine="72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Use Of Polygraph Tests During The Pre-Charge Investigation Stage. Olliers LLP. 2023. </w:t>
      </w:r>
      <w:r w:rsidRPr="00511005">
        <w:rPr>
          <w:rFonts w:ascii="Arial" w:eastAsia="Times New Roman" w:hAnsi="Arial" w:cs="Arial"/>
          <w:szCs w:val="28"/>
          <w:lang w:val="en-GB" w:eastAsia="uk-UA"/>
        </w:rPr>
        <w:t xml:space="preserve">URL: </w:t>
      </w:r>
      <w:r w:rsidR="005938AD">
        <w:fldChar w:fldCharType="begin"/>
      </w:r>
      <w:r w:rsidR="005938AD" w:rsidRPr="00055389">
        <w:rPr>
          <w:lang w:val="en-US"/>
        </w:rPr>
        <w:instrText xml:space="preserve"> HYPERLINK "https://www.olliers.com/news/polygraph-use-during-pre-charge-investigation" </w:instrText>
      </w:r>
      <w:r w:rsidR="005938AD">
        <w:fldChar w:fldCharType="separate"/>
      </w:r>
      <w:r w:rsidRPr="00511005">
        <w:rPr>
          <w:rFonts w:ascii="Arial" w:eastAsia="Times New Roman" w:hAnsi="Arial" w:cs="Arial"/>
          <w:szCs w:val="28"/>
          <w:lang w:val="en-GB" w:eastAsia="uk-UA"/>
        </w:rPr>
        <w:t>https://www.olliers.com/news/polygraph-use-during-pre-charge-investigation</w:t>
      </w:r>
      <w:r w:rsidR="005938AD">
        <w:rPr>
          <w:rFonts w:ascii="Arial" w:eastAsia="Times New Roman" w:hAnsi="Arial" w:cs="Arial"/>
          <w:szCs w:val="28"/>
          <w:lang w:val="en-GB" w:eastAsia="uk-UA"/>
        </w:rPr>
        <w:fldChar w:fldCharType="end"/>
      </w:r>
      <w:r w:rsidRPr="00511005">
        <w:rPr>
          <w:rFonts w:ascii="Arial" w:eastAsia="Times New Roman" w:hAnsi="Arial" w:cs="Arial"/>
          <w:szCs w:val="28"/>
          <w:lang w:val="en-GB" w:eastAsia="uk-UA"/>
        </w:rPr>
        <w:t xml:space="preserve"> </w:t>
      </w:r>
      <w:r w:rsidRPr="00511005">
        <w:rPr>
          <w:rFonts w:ascii="Arial" w:eastAsia="Times New Roman" w:hAnsi="Arial" w:cs="Arial"/>
          <w:szCs w:val="28"/>
          <w:lang w:val="uk-UA" w:eastAsia="uk-UA"/>
        </w:rPr>
        <w:t>(дата звернення: 29.04.2025).</w:t>
      </w:r>
    </w:p>
    <w:p w14:paraId="33391BD0"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b/>
          <w:bCs/>
          <w:szCs w:val="28"/>
          <w:lang w:val="en-US" w:eastAsia="ru-RU"/>
        </w:rPr>
      </w:pPr>
    </w:p>
    <w:p w14:paraId="30ECCE2F"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i/>
          <w:iCs/>
          <w:szCs w:val="28"/>
          <w:lang w:eastAsia="ru-RU"/>
        </w:rPr>
        <w:t>поліграф, кримінальні розслідування, Україна, Англія, експертиза, законодавство, доказ.</w:t>
      </w:r>
    </w:p>
    <w:p w14:paraId="07AEAFD4"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val="en-US" w:eastAsia="ru-RU"/>
        </w:rPr>
      </w:pPr>
      <w:r w:rsidRPr="00511005">
        <w:rPr>
          <w:rFonts w:ascii="Arial" w:eastAsia="Times New Roman" w:hAnsi="Arial" w:cs="Arial"/>
          <w:b/>
          <w:bCs/>
          <w:i/>
          <w:iCs/>
          <w:szCs w:val="28"/>
          <w:lang w:val="en-US" w:eastAsia="ru-RU"/>
        </w:rPr>
        <w:t xml:space="preserve">Key words: </w:t>
      </w:r>
      <w:r w:rsidRPr="00511005">
        <w:rPr>
          <w:rFonts w:ascii="Arial" w:eastAsia="Times New Roman" w:hAnsi="Arial" w:cs="Arial"/>
          <w:i/>
          <w:iCs/>
          <w:szCs w:val="28"/>
          <w:lang w:val="en-US" w:eastAsia="ru-RU"/>
        </w:rPr>
        <w:t>polygraph, criminal investigations, Ukraine, England, examination, legislation, evidence.</w:t>
      </w:r>
    </w:p>
    <w:p w14:paraId="539C07D2" w14:textId="77777777" w:rsidR="00532C25" w:rsidRPr="00511005" w:rsidRDefault="00532C25" w:rsidP="00532C25">
      <w:pPr>
        <w:keepNext/>
        <w:widowControl w:val="0"/>
        <w:spacing w:line="264" w:lineRule="auto"/>
        <w:ind w:firstLine="720"/>
        <w:jc w:val="left"/>
        <w:rPr>
          <w:rFonts w:ascii="Arial" w:eastAsia="Calibri" w:hAnsi="Arial" w:cs="Arial"/>
          <w:i/>
          <w:iCs/>
          <w:szCs w:val="28"/>
          <w:lang w:eastAsia="ru-RU"/>
        </w:rPr>
      </w:pPr>
      <w:r w:rsidRPr="00511005">
        <w:rPr>
          <w:rFonts w:ascii="Arial" w:eastAsia="Calibri" w:hAnsi="Arial" w:cs="Arial"/>
          <w:b/>
          <w:i/>
          <w:iCs/>
          <w:szCs w:val="28"/>
          <w:lang w:eastAsia="ru-RU"/>
        </w:rPr>
        <w:t xml:space="preserve">Науковий керівник: </w:t>
      </w:r>
      <w:r w:rsidRPr="00511005">
        <w:rPr>
          <w:rFonts w:ascii="Arial" w:eastAsia="Calibri" w:hAnsi="Arial" w:cs="Arial"/>
          <w:i/>
          <w:iCs/>
          <w:szCs w:val="28"/>
          <w:lang w:val="uk-UA"/>
        </w:rPr>
        <w:t>к.ю.н., доцент Загородній І.В.</w:t>
      </w:r>
    </w:p>
    <w:p w14:paraId="23E4D8C9"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i/>
          <w:iCs/>
          <w:szCs w:val="28"/>
          <w:lang w:eastAsia="ru-RU"/>
        </w:rPr>
      </w:pPr>
    </w:p>
    <w:p w14:paraId="1D5D542A"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i/>
          <w:iCs/>
          <w:szCs w:val="28"/>
          <w:lang w:eastAsia="ru-RU"/>
        </w:rPr>
      </w:pPr>
    </w:p>
    <w:p w14:paraId="20728B21"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i/>
          <w:iCs/>
          <w:szCs w:val="28"/>
          <w:lang w:val="uk-UA" w:eastAsia="ru-RU" w:bidi="uk-UA"/>
        </w:rPr>
      </w:pPr>
      <w:r w:rsidRPr="00511005">
        <w:rPr>
          <w:rFonts w:ascii="Arial" w:eastAsia="Times New Roman" w:hAnsi="Arial" w:cs="Arial"/>
          <w:b/>
          <w:i/>
          <w:iCs/>
          <w:szCs w:val="28"/>
          <w:lang w:val="uk-UA" w:eastAsia="ru-RU" w:bidi="uk-UA"/>
        </w:rPr>
        <w:t>Левенець Аріана Миколаївна</w:t>
      </w:r>
    </w:p>
    <w:p w14:paraId="6550297B"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4F54523D"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0E3BFFB"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C48E782"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Cs/>
          <w:szCs w:val="28"/>
          <w:lang w:val="uk-UA" w:eastAsia="ru-RU" w:bidi="uk-UA"/>
        </w:rPr>
      </w:pPr>
    </w:p>
    <w:p w14:paraId="43E652A6"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szCs w:val="28"/>
          <w:lang w:val="uk-UA" w:eastAsia="ru-RU" w:bidi="uk-UA"/>
        </w:rPr>
      </w:pPr>
      <w:r w:rsidRPr="00511005">
        <w:rPr>
          <w:rFonts w:ascii="Arial" w:eastAsia="Times New Roman" w:hAnsi="Arial" w:cs="Arial"/>
          <w:b/>
          <w:szCs w:val="28"/>
          <w:lang w:eastAsia="ru-RU" w:bidi="uk-UA"/>
        </w:rPr>
        <w:t>ПРОБЛЕМИ ВЗАЄМОДІЇ СЛІДЧОГО З ОПЕРАТИВНИМИ ПІДРОЗДІЛАМИ ПРИ РОЗСЛІДУВАНН</w:t>
      </w:r>
      <w:r w:rsidRPr="00511005">
        <w:rPr>
          <w:rFonts w:ascii="Arial" w:eastAsia="Times New Roman" w:hAnsi="Arial" w:cs="Arial"/>
          <w:b/>
          <w:szCs w:val="28"/>
          <w:lang w:val="uk-UA" w:eastAsia="ru-RU" w:bidi="uk-UA"/>
        </w:rPr>
        <w:t>І</w:t>
      </w:r>
      <w:r w:rsidRPr="00511005">
        <w:rPr>
          <w:rFonts w:ascii="Arial" w:eastAsia="Times New Roman" w:hAnsi="Arial" w:cs="Arial"/>
          <w:b/>
          <w:szCs w:val="28"/>
          <w:lang w:eastAsia="ru-RU" w:bidi="uk-UA"/>
        </w:rPr>
        <w:t xml:space="preserve"> ВБИВСТ</w:t>
      </w:r>
      <w:r w:rsidRPr="00511005">
        <w:rPr>
          <w:rFonts w:ascii="Arial" w:eastAsia="Times New Roman" w:hAnsi="Arial" w:cs="Arial"/>
          <w:b/>
          <w:szCs w:val="28"/>
          <w:lang w:val="uk-UA" w:eastAsia="ru-RU" w:bidi="uk-UA"/>
        </w:rPr>
        <w:t>В</w:t>
      </w:r>
    </w:p>
    <w:p w14:paraId="75FD7DD9"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Розслідування умисних вбивств належить до надскладних завдань криміналістики, адже встановлення деталей підготовки та вчинення таких діянь, а також ідентифікація осіб, які до них причетні, вимагає швидкої та скоординованої мобілізації значних ресурсів як оперативних підрозділів, так і органів досудового слідства.</w:t>
      </w:r>
    </w:p>
    <w:p w14:paraId="18D1DBFB"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Характер співпраці слідчого з оперативними підрозділами Національної поліції, а також з іншими відповідальними структурами, відзначається складністю та варіативністю, що унеможливлює її однозначну класифікацію. Така особливість змушує науковців, які займаються дослідженням проблематики взаємодії в межах кримінального </w:t>
      </w:r>
      <w:r w:rsidRPr="00511005">
        <w:rPr>
          <w:rFonts w:ascii="Arial" w:eastAsia="Times New Roman" w:hAnsi="Arial" w:cs="Arial"/>
          <w:szCs w:val="28"/>
          <w:lang w:val="uk-UA" w:eastAsia="ru-RU" w:bidi="uk-UA"/>
        </w:rPr>
        <w:lastRenderedPageBreak/>
        <w:t>провадження, розмежовувати її за різними критеріями, включаючи форми та види. Аналіз наукових джерел свідчить про наявність різних підходів до визначення структури цієї взаємодії, що, своєю чергою, вказує на відсутність єдиної позиції у науковому середовищі [2].</w:t>
      </w:r>
    </w:p>
    <w:p w14:paraId="45F0E042"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До об'єктивних чинників, які визначають характер взаємодії між слідчим та оперативним підрозділом у кримінальних провадженнях, пов’язаних із підготовкою та вчиненням умисного вбивства, належать кілька ключових елементів. </w:t>
      </w:r>
    </w:p>
    <w:p w14:paraId="44D82708"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По-перше, важливу роль відіграють норми чинного законодавства, що встановлюють межі компетенції та регламентують механізми співпраці між цими суб’єктами під час виявлення та фіксації фактів підготовки або замаху на злочин. </w:t>
      </w:r>
    </w:p>
    <w:p w14:paraId="335E3CB1"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bidi="uk-UA"/>
        </w:rPr>
      </w:pPr>
      <w:proofErr w:type="gramStart"/>
      <w:r w:rsidRPr="00511005">
        <w:rPr>
          <w:rFonts w:ascii="Arial" w:eastAsia="Times New Roman" w:hAnsi="Arial" w:cs="Arial"/>
          <w:szCs w:val="28"/>
          <w:lang w:eastAsia="ru-RU" w:bidi="uk-UA"/>
        </w:rPr>
        <w:t>По-друге</w:t>
      </w:r>
      <w:proofErr w:type="gramEnd"/>
      <w:r w:rsidRPr="00511005">
        <w:rPr>
          <w:rFonts w:ascii="Arial" w:eastAsia="Times New Roman" w:hAnsi="Arial" w:cs="Arial"/>
          <w:szCs w:val="28"/>
          <w:lang w:eastAsia="ru-RU" w:bidi="uk-UA"/>
        </w:rPr>
        <w:t xml:space="preserve">, значущим є обсяг та якість наявної на конкретний момент оперативної інформації, її достовірність і перспективність для використання при ухваленні рішень в межах оперативно-розшукових справ, організації заходів оперативного реагування, а також подальшого доведення у кримінальному процесі. </w:t>
      </w:r>
    </w:p>
    <w:p w14:paraId="414B2386"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bidi="uk-UA"/>
        </w:rPr>
      </w:pPr>
      <w:r w:rsidRPr="00511005">
        <w:rPr>
          <w:rFonts w:ascii="Arial" w:eastAsia="Times New Roman" w:hAnsi="Arial" w:cs="Arial"/>
          <w:szCs w:val="28"/>
          <w:lang w:eastAsia="ru-RU" w:bidi="uk-UA"/>
        </w:rPr>
        <w:t xml:space="preserve">По-третє, ефективність взаємодії значною мірою залежить від організаційного рівня та матеріально-технічного забезпечення оперативного підрозділу, зокрема – його спроможності належним чином задокументувати протиправну діяльність осіб, які підлягають перевірці. </w:t>
      </w:r>
    </w:p>
    <w:p w14:paraId="7A9EA19F"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bidi="uk-UA"/>
        </w:rPr>
      </w:pPr>
      <w:r w:rsidRPr="00511005">
        <w:rPr>
          <w:rFonts w:ascii="Arial" w:eastAsia="Times New Roman" w:hAnsi="Arial" w:cs="Arial"/>
          <w:szCs w:val="28"/>
          <w:lang w:eastAsia="ru-RU" w:bidi="uk-UA"/>
        </w:rPr>
        <w:t>До суб’єктивних чинників, що впливають на ефективність взаємодії між слідчими та працівниками оперативних підрозділів під час розслідування готування чи замаху на умисне вбивство, слід віднести персональний склад залучених фахівців. Значення мають їхні професійні навички, досвід практичної роботи, зокрема у сфері документування тяжких злочинів, а також здатність до ефективної комунікації в умовах оперативного реагування. Важливим чинником також є індивідуальні характеристики об’єкта оперативного інтересу, тобто особи або групи осіб, стосовно яких здійснюються відповідні дії. У цьому контексті враховуються психологічні риси, набутий професійний і кримінальний досвід, соціальні зв’язки та інші особливості, які можуть впливати на поведінку суб’єкта та ускладнювати або, навпаки, полегшувати процес здобуття доказів і документування протиправної діяльності. [1].</w:t>
      </w:r>
    </w:p>
    <w:p w14:paraId="32AB37B7"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Суттєвий вплив на організацію ефективної взаємодії між слідчим і працівниками оперативного підрозділу має також неформальна площина професійних взаємовідносин, що виникає між ними та їхніми керівниками. Наявність взаємної довіри, партнерського ставлення та розуміння значення спільної мети створює сприятливі умови для відкритого обміну оперативною інформацією. Саме такий рівень комунікації є передумовою своєчасного визначення меж достатності отриманих результатів оперативно-розшукової діяльності для прийняття рішення про внесення відповідних даних до </w:t>
      </w:r>
      <w:r w:rsidRPr="00511005">
        <w:rPr>
          <w:rFonts w:ascii="Arial" w:eastAsia="Times New Roman" w:hAnsi="Arial" w:cs="Arial"/>
          <w:szCs w:val="28"/>
          <w:lang w:val="uk-UA" w:eastAsia="ru-RU" w:bidi="uk-UA"/>
        </w:rPr>
        <w:lastRenderedPageBreak/>
        <w:t>Єдиного державного реєстру досудових розслідувань, а також для подальшого їх використання у процесі доказування під час кримінального провадження.</w:t>
      </w:r>
    </w:p>
    <w:p w14:paraId="6D853122"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Взаємодія слідчого з оперативними підрозділами у кримінальних провадженнях про розслідування вбивств є ключовим елементом ефективного розкриття цих тяжких злочинів. Умисні вбивства відносяться до категорії кримінальних правопорушень, розслідування яких вимагає максимальної концентрації ресурсів оперативних підрозділів та органів досудового слідства в стислі терміни.</w:t>
      </w:r>
    </w:p>
    <w:p w14:paraId="29BAD466"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bidi="uk-UA"/>
        </w:rPr>
      </w:pPr>
      <w:r w:rsidRPr="00511005">
        <w:rPr>
          <w:rFonts w:ascii="Arial" w:eastAsia="Times New Roman" w:hAnsi="Arial" w:cs="Arial"/>
          <w:szCs w:val="28"/>
          <w:lang w:eastAsia="ru-RU" w:bidi="uk-UA"/>
        </w:rPr>
        <w:t>Модель організації взаємодії між слідчим та оперативними підрозділами формується на двох рівнях: стратегічному та тактичному. На стратегічному рівні завдання полягають у створенні нормативно-правової бази, кадровому забезпеченні, матеріально-технічній підтримці та підвищенні кваліфікації фахівців, які спеціалізуються на розслідуванні вбивств. Важливу роль тут відіграють керівники оперативних і слідчих підрозділів, які повинні забезпечувати координацію дій, розробку методичних рекомендацій та проведення тренінгів для відпрацювання алгоритмів дій у типових ситуаціях.</w:t>
      </w:r>
    </w:p>
    <w:p w14:paraId="7F730805"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bidi="uk-UA"/>
        </w:rPr>
      </w:pPr>
      <w:r w:rsidRPr="00511005">
        <w:rPr>
          <w:rFonts w:ascii="Arial" w:eastAsia="Times New Roman" w:hAnsi="Arial" w:cs="Arial"/>
          <w:szCs w:val="28"/>
          <w:lang w:eastAsia="ru-RU" w:bidi="uk-UA"/>
        </w:rPr>
        <w:t xml:space="preserve">Тактичний рівень передбачає безпосередню організацію взаємодії під час розслідування конкретних кримінальних </w:t>
      </w:r>
      <w:r w:rsidRPr="00511005">
        <w:rPr>
          <w:rFonts w:ascii="Arial" w:eastAsia="Times New Roman" w:hAnsi="Arial" w:cs="Arial"/>
          <w:szCs w:val="28"/>
          <w:lang w:val="uk-UA" w:eastAsia="ru-RU" w:bidi="uk-UA"/>
        </w:rPr>
        <w:t>проваджень</w:t>
      </w:r>
      <w:r w:rsidRPr="00511005">
        <w:rPr>
          <w:rFonts w:ascii="Arial" w:eastAsia="Times New Roman" w:hAnsi="Arial" w:cs="Arial"/>
          <w:szCs w:val="28"/>
          <w:lang w:eastAsia="ru-RU" w:bidi="uk-UA"/>
        </w:rPr>
        <w:t xml:space="preserve">. Керівник оперативного підрозділу організовує спільні наради та планування дій. Слідчий, у свою чергу, надає методичну допомогу, допомагає оцінити достатність доказів </w:t>
      </w:r>
      <w:r w:rsidRPr="00511005">
        <w:rPr>
          <w:rFonts w:ascii="Arial" w:eastAsia="Times New Roman" w:hAnsi="Arial" w:cs="Arial"/>
          <w:szCs w:val="28"/>
          <w:lang w:val="uk-UA" w:eastAsia="ru-RU" w:bidi="uk-UA"/>
        </w:rPr>
        <w:t xml:space="preserve">до вікриття кримінального провадження </w:t>
      </w:r>
      <w:r w:rsidRPr="00511005">
        <w:rPr>
          <w:rFonts w:ascii="Arial" w:eastAsia="Times New Roman" w:hAnsi="Arial" w:cs="Arial"/>
          <w:szCs w:val="28"/>
          <w:lang w:eastAsia="ru-RU" w:bidi="uk-UA"/>
        </w:rPr>
        <w:t>та забезпечує їхнє процесуальне оформлення.</w:t>
      </w:r>
    </w:p>
    <w:p w14:paraId="7B07A624"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bidi="uk-UA"/>
        </w:rPr>
      </w:pPr>
      <w:r w:rsidRPr="00511005">
        <w:rPr>
          <w:rFonts w:ascii="Arial" w:eastAsia="Times New Roman" w:hAnsi="Arial" w:cs="Arial"/>
          <w:szCs w:val="28"/>
          <w:lang w:eastAsia="ru-RU" w:bidi="uk-UA"/>
        </w:rPr>
        <w:t xml:space="preserve">Ключовим чинником успішної взаємодії є довіра та відкритість у обміні інформацією між оперативниками і слідчими. Без цього неможливо оперативно реагувати на загрози, фіксувати злочинні дії та забезпечувати їхнє подальше досудове розслідування. Оптимальним вважається залучення слідчого на ранніх етапах оперативної розробки, що дозволяє своєчасно припинити злочинні дії та зафіксувати їх </w:t>
      </w:r>
      <w:proofErr w:type="gramStart"/>
      <w:r w:rsidRPr="00511005">
        <w:rPr>
          <w:rFonts w:ascii="Arial" w:eastAsia="Times New Roman" w:hAnsi="Arial" w:cs="Arial"/>
          <w:szCs w:val="28"/>
          <w:lang w:eastAsia="ru-RU" w:bidi="uk-UA"/>
        </w:rPr>
        <w:t>у рамках</w:t>
      </w:r>
      <w:proofErr w:type="gramEnd"/>
      <w:r w:rsidRPr="00511005">
        <w:rPr>
          <w:rFonts w:ascii="Arial" w:eastAsia="Times New Roman" w:hAnsi="Arial" w:cs="Arial"/>
          <w:szCs w:val="28"/>
          <w:lang w:eastAsia="ru-RU" w:bidi="uk-UA"/>
        </w:rPr>
        <w:t xml:space="preserve"> кримінального провадження.</w:t>
      </w:r>
    </w:p>
    <w:p w14:paraId="6F7DBCDE"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eastAsia="ru-RU" w:bidi="uk-UA"/>
        </w:rPr>
      </w:pPr>
      <w:r w:rsidRPr="00511005">
        <w:rPr>
          <w:rFonts w:ascii="Arial" w:eastAsia="Times New Roman" w:hAnsi="Arial" w:cs="Arial"/>
          <w:szCs w:val="28"/>
          <w:lang w:eastAsia="ru-RU" w:bidi="uk-UA"/>
        </w:rPr>
        <w:t xml:space="preserve">Таким чином, ефективна взаємодія слідчого з оперативними підрозділами </w:t>
      </w:r>
      <w:r w:rsidRPr="00511005">
        <w:rPr>
          <w:rFonts w:ascii="Arial" w:eastAsia="Times New Roman" w:hAnsi="Arial" w:cs="Arial"/>
          <w:szCs w:val="28"/>
          <w:lang w:val="uk-UA" w:eastAsia="ru-RU" w:bidi="uk-UA"/>
        </w:rPr>
        <w:t xml:space="preserve">при розслідуванні вбивств </w:t>
      </w:r>
      <w:r w:rsidRPr="00511005">
        <w:rPr>
          <w:rFonts w:ascii="Arial" w:eastAsia="Times New Roman" w:hAnsi="Arial" w:cs="Arial"/>
          <w:szCs w:val="28"/>
          <w:lang w:eastAsia="ru-RU" w:bidi="uk-UA"/>
        </w:rPr>
        <w:t xml:space="preserve">ґрунтується на чіткій стратегії управління, відпрацьованих тактичних алгоритмах дій, професійній підготовці фахівців та налагодженій системі комунікації. Лише комплексний підхід до організації цієї взаємодії дозволяє забезпечити оперативне </w:t>
      </w:r>
      <w:r w:rsidRPr="00511005">
        <w:rPr>
          <w:rFonts w:ascii="Arial" w:eastAsia="Times New Roman" w:hAnsi="Arial" w:cs="Arial"/>
          <w:szCs w:val="28"/>
          <w:lang w:val="uk-UA" w:eastAsia="ru-RU" w:bidi="uk-UA"/>
        </w:rPr>
        <w:t>розкри</w:t>
      </w:r>
      <w:r w:rsidRPr="00511005">
        <w:rPr>
          <w:rFonts w:ascii="Arial" w:eastAsia="Times New Roman" w:hAnsi="Arial" w:cs="Arial"/>
          <w:szCs w:val="28"/>
          <w:lang w:eastAsia="ru-RU" w:bidi="uk-UA"/>
        </w:rPr>
        <w:t>ття злочинів, зібрати достатню доказову базу та притягнути винних до відповідальності.</w:t>
      </w:r>
    </w:p>
    <w:p w14:paraId="45C39259"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szCs w:val="28"/>
          <w:lang w:eastAsia="ru-RU" w:bidi="uk-UA"/>
        </w:rPr>
      </w:pPr>
    </w:p>
    <w:p w14:paraId="7AD24A5A"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szCs w:val="28"/>
          <w:lang w:eastAsia="ru-RU" w:bidi="uk-UA"/>
        </w:rPr>
      </w:pPr>
      <w:r w:rsidRPr="00511005">
        <w:rPr>
          <w:rFonts w:ascii="Arial" w:eastAsia="Times New Roman" w:hAnsi="Arial" w:cs="Arial"/>
          <w:b/>
          <w:szCs w:val="28"/>
          <w:lang w:val="uk-UA" w:eastAsia="ru-RU" w:bidi="uk-UA"/>
        </w:rPr>
        <w:t>Список використаних джерел</w:t>
      </w:r>
    </w:p>
    <w:p w14:paraId="707B5FB8" w14:textId="77777777" w:rsidR="00532C25" w:rsidRPr="00511005" w:rsidRDefault="00532C25" w:rsidP="003F6A5D">
      <w:pPr>
        <w:widowControl w:val="0"/>
        <w:numPr>
          <w:ilvl w:val="0"/>
          <w:numId w:val="670"/>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eastAsia="ru-RU" w:bidi="uk-UA"/>
        </w:rPr>
      </w:pPr>
      <w:r w:rsidRPr="00511005">
        <w:rPr>
          <w:rFonts w:ascii="Arial" w:eastAsia="Times New Roman" w:hAnsi="Arial" w:cs="Arial"/>
          <w:szCs w:val="28"/>
          <w:lang w:eastAsia="ru-RU" w:bidi="uk-UA"/>
        </w:rPr>
        <w:t xml:space="preserve">Сабанюк Т. Р. Моделі організації взаємодії слідчого та оперативних підрозділів при виявленні в результаті здійснення оперативно-розшукової </w:t>
      </w:r>
      <w:r w:rsidRPr="00511005">
        <w:rPr>
          <w:rFonts w:ascii="Arial" w:eastAsia="Times New Roman" w:hAnsi="Arial" w:cs="Arial"/>
          <w:szCs w:val="28"/>
          <w:lang w:eastAsia="ru-RU" w:bidi="uk-UA"/>
        </w:rPr>
        <w:lastRenderedPageBreak/>
        <w:t xml:space="preserve">діяльності готування до вчинення, вчинення умисного вбивства. </w:t>
      </w:r>
      <w:r w:rsidRPr="00511005">
        <w:rPr>
          <w:rFonts w:ascii="Arial" w:eastAsia="Times New Roman" w:hAnsi="Arial" w:cs="Arial"/>
          <w:i/>
          <w:iCs/>
          <w:szCs w:val="28"/>
          <w:lang w:eastAsia="ru-RU" w:bidi="uk-UA"/>
        </w:rPr>
        <w:t>Юридичний науковий електронний журнал.</w:t>
      </w:r>
      <w:r w:rsidRPr="00511005">
        <w:rPr>
          <w:rFonts w:ascii="Arial" w:eastAsia="Times New Roman" w:hAnsi="Arial" w:cs="Arial"/>
          <w:szCs w:val="28"/>
          <w:lang w:eastAsia="ru-RU" w:bidi="uk-UA"/>
        </w:rPr>
        <w:t xml:space="preserve"> 2023. №10. С. 573–576. </w:t>
      </w:r>
      <w:r w:rsidRPr="00511005">
        <w:rPr>
          <w:rFonts w:ascii="Arial" w:eastAsia="Times New Roman" w:hAnsi="Arial" w:cs="Arial"/>
          <w:szCs w:val="28"/>
          <w:lang w:val="en-US" w:eastAsia="ru-RU" w:bidi="uk-UA"/>
        </w:rPr>
        <w:t>URL</w:t>
      </w:r>
      <w:r w:rsidRPr="00511005">
        <w:rPr>
          <w:rFonts w:ascii="Arial" w:eastAsia="Times New Roman" w:hAnsi="Arial" w:cs="Arial"/>
          <w:szCs w:val="28"/>
          <w:lang w:eastAsia="ru-RU" w:bidi="uk-UA"/>
        </w:rPr>
        <w:t xml:space="preserve">: </w:t>
      </w:r>
      <w:hyperlink r:id="rId1996" w:history="1">
        <w:r w:rsidRPr="00511005">
          <w:rPr>
            <w:rFonts w:ascii="Arial" w:eastAsia="Times New Roman" w:hAnsi="Arial" w:cs="Arial"/>
            <w:szCs w:val="28"/>
            <w:lang w:eastAsia="ru-RU" w:bidi="uk-UA"/>
          </w:rPr>
          <w:t>http://www.lsej.org.ua/10_2023/138.pdf</w:t>
        </w:r>
      </w:hyperlink>
      <w:r w:rsidRPr="00511005">
        <w:rPr>
          <w:rFonts w:ascii="Arial" w:eastAsia="Times New Roman" w:hAnsi="Arial" w:cs="Arial"/>
          <w:szCs w:val="28"/>
          <w:lang w:eastAsia="ru-RU" w:bidi="uk-UA"/>
        </w:rPr>
        <w:t xml:space="preserve"> (дата звернення: 10.04.2025 року)</w:t>
      </w:r>
    </w:p>
    <w:p w14:paraId="48140DF4" w14:textId="77777777" w:rsidR="00532C25" w:rsidRPr="00511005" w:rsidRDefault="00532C25" w:rsidP="003F6A5D">
      <w:pPr>
        <w:widowControl w:val="0"/>
        <w:numPr>
          <w:ilvl w:val="0"/>
          <w:numId w:val="670"/>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eastAsia="ru-RU" w:bidi="uk-UA"/>
        </w:rPr>
      </w:pPr>
      <w:r w:rsidRPr="00511005">
        <w:rPr>
          <w:rFonts w:ascii="Arial" w:eastAsia="Times New Roman" w:hAnsi="Arial" w:cs="Arial"/>
          <w:szCs w:val="28"/>
          <w:lang w:eastAsia="ru-RU" w:bidi="uk-UA"/>
        </w:rPr>
        <w:t xml:space="preserve">Борисенко М. В. Види та форми взаємодії слідчого з посадовими особами та підрозділами органів Національної поліції. </w:t>
      </w:r>
      <w:r w:rsidRPr="00511005">
        <w:rPr>
          <w:rFonts w:ascii="Arial" w:eastAsia="Times New Roman" w:hAnsi="Arial" w:cs="Arial"/>
          <w:i/>
          <w:iCs/>
          <w:szCs w:val="28"/>
          <w:lang w:eastAsia="ru-RU" w:bidi="uk-UA"/>
        </w:rPr>
        <w:t>Knowledge. Education.</w:t>
      </w:r>
      <w:r w:rsidRPr="00511005">
        <w:rPr>
          <w:rFonts w:ascii="Arial" w:eastAsia="Times New Roman" w:hAnsi="Arial" w:cs="Arial"/>
          <w:szCs w:val="28"/>
          <w:lang w:eastAsia="ru-RU" w:bidi="uk-UA"/>
        </w:rPr>
        <w:t xml:space="preserve"> </w:t>
      </w:r>
      <w:r w:rsidRPr="00511005">
        <w:rPr>
          <w:rFonts w:ascii="Arial" w:eastAsia="Times New Roman" w:hAnsi="Arial" w:cs="Arial"/>
          <w:i/>
          <w:iCs/>
          <w:szCs w:val="28"/>
          <w:lang w:eastAsia="ru-RU" w:bidi="uk-UA"/>
        </w:rPr>
        <w:t>Law. Management.</w:t>
      </w:r>
      <w:r w:rsidRPr="00511005">
        <w:rPr>
          <w:rFonts w:ascii="Arial" w:eastAsia="Times New Roman" w:hAnsi="Arial" w:cs="Arial"/>
          <w:szCs w:val="28"/>
          <w:lang w:eastAsia="ru-RU" w:bidi="uk-UA"/>
        </w:rPr>
        <w:t xml:space="preserve"> 2020. № 3 (31). С. 124–129.</w:t>
      </w:r>
    </w:p>
    <w:p w14:paraId="44682A13" w14:textId="77777777" w:rsidR="00532C25" w:rsidRPr="00511005" w:rsidRDefault="00532C25" w:rsidP="00532C25">
      <w:pPr>
        <w:spacing w:line="264" w:lineRule="auto"/>
        <w:ind w:firstLine="720"/>
        <w:jc w:val="left"/>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Pr="00511005">
        <w:rPr>
          <w:rFonts w:ascii="Arial" w:eastAsia="Times New Roman" w:hAnsi="Arial" w:cs="Arial"/>
          <w:szCs w:val="28"/>
          <w:lang w:val="uk-UA" w:eastAsia="uk-UA"/>
        </w:rPr>
        <w:t>взаємодія, оперативні підрозділи, слідчі, розслідування, тактика, модель, вбивство.</w:t>
      </w:r>
    </w:p>
    <w:p w14:paraId="6B22EBF9" w14:textId="77777777" w:rsidR="00532C25" w:rsidRPr="00511005" w:rsidRDefault="00532C25" w:rsidP="00532C25">
      <w:pPr>
        <w:spacing w:line="264" w:lineRule="auto"/>
        <w:ind w:firstLine="720"/>
        <w:jc w:val="left"/>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Key words: </w:t>
      </w:r>
      <w:r w:rsidRPr="00511005">
        <w:rPr>
          <w:rFonts w:ascii="Arial" w:eastAsia="Times New Roman" w:hAnsi="Arial" w:cs="Arial"/>
          <w:szCs w:val="28"/>
          <w:lang w:val="uk-UA" w:eastAsia="uk-UA"/>
        </w:rPr>
        <w:t>interaction, operational units, investigators, investigation, tactics, model, murder..</w:t>
      </w:r>
    </w:p>
    <w:p w14:paraId="35C39DD4" w14:textId="77777777" w:rsidR="00532C25" w:rsidRPr="00511005" w:rsidRDefault="00532C25" w:rsidP="00532C25">
      <w:pPr>
        <w:keepNext/>
        <w:widowControl w:val="0"/>
        <w:autoSpaceDE w:val="0"/>
        <w:autoSpaceDN w:val="0"/>
        <w:adjustRightInd w:val="0"/>
        <w:spacing w:line="264" w:lineRule="auto"/>
        <w:ind w:firstLine="720"/>
        <w:jc w:val="left"/>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eastAsia="ru-RU"/>
        </w:rPr>
        <w:t>д.ю.н., завідувач кафедри, професор Аркуша Л.І.</w:t>
      </w:r>
    </w:p>
    <w:p w14:paraId="2C8A96EC" w14:textId="77777777" w:rsidR="00532C25" w:rsidRPr="00511005" w:rsidRDefault="00532C25" w:rsidP="00532C25">
      <w:pPr>
        <w:spacing w:line="264" w:lineRule="auto"/>
        <w:ind w:firstLine="0"/>
        <w:jc w:val="left"/>
        <w:rPr>
          <w:rFonts w:ascii="Arial" w:eastAsia="Times New Roman" w:hAnsi="Arial" w:cs="Arial"/>
          <w:b/>
          <w:bCs/>
          <w:i/>
          <w:iCs/>
          <w:szCs w:val="28"/>
          <w:lang w:val="uk-UA"/>
        </w:rPr>
      </w:pPr>
    </w:p>
    <w:p w14:paraId="5BCCAB75" w14:textId="77777777" w:rsidR="00532C25" w:rsidRPr="00511005" w:rsidRDefault="00532C25" w:rsidP="00532C25">
      <w:pPr>
        <w:spacing w:line="264" w:lineRule="auto"/>
        <w:ind w:firstLine="720"/>
        <w:jc w:val="center"/>
        <w:rPr>
          <w:rFonts w:ascii="Arial" w:eastAsia="Calibri" w:hAnsi="Arial" w:cs="Arial"/>
          <w:i/>
          <w:iCs/>
          <w:szCs w:val="28"/>
          <w:lang w:val="uk-UA"/>
        </w:rPr>
      </w:pPr>
      <w:r w:rsidRPr="00511005">
        <w:rPr>
          <w:rFonts w:ascii="Arial" w:eastAsia="Calibri" w:hAnsi="Arial" w:cs="Arial"/>
          <w:b/>
          <w:i/>
          <w:iCs/>
          <w:szCs w:val="28"/>
          <w:lang w:val="uk-UA"/>
        </w:rPr>
        <w:t>Леонова Вікторія Миколаївна</w:t>
      </w:r>
    </w:p>
    <w:p w14:paraId="55DA8B88"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2-го курсу факультету цивільної та господарської юстиції</w:t>
      </w:r>
    </w:p>
    <w:p w14:paraId="3C27CD0E"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DF25419" w14:textId="77777777" w:rsidR="00532C25" w:rsidRPr="00511005" w:rsidRDefault="00532C25" w:rsidP="00532C25">
      <w:pPr>
        <w:spacing w:line="264" w:lineRule="auto"/>
        <w:ind w:firstLine="720"/>
        <w:jc w:val="center"/>
        <w:rPr>
          <w:rFonts w:ascii="Arial" w:eastAsia="Calibri" w:hAnsi="Arial" w:cs="Arial"/>
          <w:szCs w:val="28"/>
        </w:rPr>
      </w:pPr>
    </w:p>
    <w:p w14:paraId="34911DE5"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b/>
          <w:szCs w:val="28"/>
        </w:rPr>
        <w:t xml:space="preserve">СУЧАСНІ МЕТОДИ ІДЕНТИФІКАЦІЇ </w:t>
      </w:r>
      <w:r w:rsidRPr="00511005">
        <w:rPr>
          <w:rFonts w:ascii="Arial" w:eastAsia="Calibri" w:hAnsi="Arial" w:cs="Arial"/>
          <w:b/>
          <w:szCs w:val="28"/>
          <w:lang w:val="uk-UA"/>
        </w:rPr>
        <w:t>ОСОБИ ЗА</w:t>
      </w:r>
      <w:r w:rsidRPr="00511005">
        <w:rPr>
          <w:rFonts w:ascii="Arial" w:eastAsia="Calibri" w:hAnsi="Arial" w:cs="Arial"/>
          <w:b/>
          <w:szCs w:val="28"/>
        </w:rPr>
        <w:t xml:space="preserve"> ДНК-ПРОФІЛЕМ: ПРОБЛЕМИ ТА ПЕРСПЕКТИВИ</w:t>
      </w:r>
    </w:p>
    <w:p w14:paraId="3E34B9BA"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Ідентифікація особи за ДНК-профілем стала революційним досягненням у криміналістиці, медицині, міграційних процесах і навіть приватному секторі. Завдяки високій точності аналізу ДНК сьогодні можна встановити особу навіть за мінімальними біологічними слідами. Проте поряд із безперечними перевагами ця сфера стикається з низкою викликів, серед яких – правові, етичні та технічні проблеми.</w:t>
      </w:r>
    </w:p>
    <w:p w14:paraId="07C5DEC1"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Високу ефективність ДНК-аналізу у розкритті та розслідуванні злочинів підтверджено багаторічною практикою. Проте помилки, що іноді виникали у процесі правозастосування, були зумовлені не недосконалістю експертних методик, а суб’єктивними чинниками, зокрема неправильним трактуванням результатів ДНК-аналізу при дослідженні незначної кількості слідового матеріалу. Це часто пов’язано з ризиком контамінації (забруднення) слідів або непрямим перенесенням ДНК, особливо при дослідженні контактних слідів. [</w:t>
      </w:r>
      <w:r w:rsidRPr="00511005">
        <w:rPr>
          <w:rFonts w:ascii="Arial" w:eastAsia="Calibri" w:hAnsi="Arial" w:cs="Arial"/>
          <w:szCs w:val="28"/>
          <w:lang w:val="uk-UA"/>
        </w:rPr>
        <w:t>1, с. 156</w:t>
      </w:r>
      <w:r w:rsidRPr="00511005">
        <w:rPr>
          <w:rFonts w:ascii="Arial" w:eastAsia="Calibri" w:hAnsi="Arial" w:cs="Arial"/>
          <w:szCs w:val="28"/>
        </w:rPr>
        <w:t>].</w:t>
      </w:r>
    </w:p>
    <w:p w14:paraId="4CFF3ED8" w14:textId="77777777" w:rsidR="00532C25" w:rsidRPr="00511005" w:rsidRDefault="00532C25" w:rsidP="00532C25">
      <w:pPr>
        <w:spacing w:line="264" w:lineRule="auto"/>
        <w:ind w:firstLine="720"/>
        <w:rPr>
          <w:rFonts w:ascii="Arial" w:eastAsia="Calibri" w:hAnsi="Arial" w:cs="Arial"/>
          <w:szCs w:val="28"/>
        </w:rPr>
      </w:pPr>
      <w:proofErr w:type="gramStart"/>
      <w:r w:rsidRPr="00511005">
        <w:rPr>
          <w:rFonts w:ascii="Arial" w:eastAsia="Calibri" w:hAnsi="Arial" w:cs="Arial"/>
          <w:szCs w:val="28"/>
        </w:rPr>
        <w:t>У роботах</w:t>
      </w:r>
      <w:proofErr w:type="gramEnd"/>
      <w:r w:rsidRPr="00511005">
        <w:rPr>
          <w:rFonts w:ascii="Arial" w:eastAsia="Calibri" w:hAnsi="Arial" w:cs="Arial"/>
          <w:szCs w:val="28"/>
        </w:rPr>
        <w:t xml:space="preserve"> також аналізуються типові причини помилок у доказуванні, спричинені неправильним тлумаченням результатів ДНК-досліджень, та пропонуються шляхи їх подолання. Наголошується, що докази, отримані за допомогою ДНК-аналізу, слід завжди критично оцінювати й використовувати передусім як інструмент для підтвердження інших доказів у конкретних справах.</w:t>
      </w:r>
    </w:p>
    <w:p w14:paraId="771ACF2A"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Для криміналістичних цілей можна виділити кілька основних методів ДНК-аналізу та напрямів їх застосування, серед яких три вважаються традиційними, а решта – інноваційними.</w:t>
      </w:r>
    </w:p>
    <w:p w14:paraId="5A8A7145"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lastRenderedPageBreak/>
        <w:t>До традиційних методів відносять STR-профілювання за автосомними локусами, аналіз STR-локусів Y-хромосоми та дослідження мітохондріальної ДНК (мтДНК). Ці технології широко впроваджені у судово-експертну практику різних країн і успішно пройшли перевірку часом. Перші два методи базуються на STR-аналізі, тоді як третій – на аналізі SNP. [</w:t>
      </w:r>
      <w:r w:rsidRPr="00511005">
        <w:rPr>
          <w:rFonts w:ascii="Arial" w:eastAsia="Calibri" w:hAnsi="Arial" w:cs="Arial"/>
          <w:szCs w:val="28"/>
          <w:lang w:val="uk-UA"/>
        </w:rPr>
        <w:t>2, с. 65</w:t>
      </w:r>
      <w:r w:rsidRPr="00511005">
        <w:rPr>
          <w:rFonts w:ascii="Arial" w:eastAsia="Calibri" w:hAnsi="Arial" w:cs="Arial"/>
          <w:szCs w:val="28"/>
        </w:rPr>
        <w:t>].</w:t>
      </w:r>
    </w:p>
    <w:p w14:paraId="0C285D61"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Серед новітніх методів використовуються інструменти, створені відносно недавно і ще не настільки поширені, як класичні технології. Хоча їх поступово інтегрують у криміналістику, вони супроводжуються значними правовими, етичними й методичними обмеженнями. </w:t>
      </w:r>
      <w:r w:rsidRPr="00511005">
        <w:rPr>
          <w:rFonts w:ascii="Arial" w:eastAsia="Calibri" w:hAnsi="Arial" w:cs="Arial"/>
          <w:szCs w:val="28"/>
          <w:lang w:val="uk-UA"/>
        </w:rPr>
        <w:t xml:space="preserve">Адже великою проблемою у практичному застосуванні даних методів є відсутність належного нормативно-правового регулювання. </w:t>
      </w:r>
      <w:r w:rsidRPr="00511005">
        <w:rPr>
          <w:rFonts w:ascii="Arial" w:eastAsia="Calibri" w:hAnsi="Arial" w:cs="Arial"/>
          <w:szCs w:val="28"/>
        </w:rPr>
        <w:t>[3, с. 96].</w:t>
      </w:r>
    </w:p>
    <w:p w14:paraId="039308A4"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До інноваційних підходів належать ДНК-фенотипування, встановлення родинних зв’язків через ДНК-бази даних, експрес-тестування для отримання ДНК-профілю та використання сучасних платформ секвенування нового покоління (Next-Generation Sequencing, NGS) для вирішення складних задач ДНК-експертизи. Більшість цих методик засновані на технології SNP-аналізу. Вони значно розширили можливості судового ДНК-аналізу, але водночас ще не забезпечують належного рівня точності результатів [2, </w:t>
      </w:r>
      <w:r w:rsidRPr="00511005">
        <w:rPr>
          <w:rFonts w:ascii="Arial" w:eastAsia="Calibri" w:hAnsi="Arial" w:cs="Arial"/>
          <w:szCs w:val="28"/>
          <w:lang w:val="uk-UA"/>
        </w:rPr>
        <w:t>с. 65</w:t>
      </w:r>
      <w:r w:rsidRPr="00511005">
        <w:rPr>
          <w:rFonts w:ascii="Arial" w:eastAsia="Calibri" w:hAnsi="Arial" w:cs="Arial"/>
          <w:szCs w:val="28"/>
        </w:rPr>
        <w:t>].</w:t>
      </w:r>
    </w:p>
    <w:p w14:paraId="3ABF2A1C"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bCs/>
          <w:szCs w:val="28"/>
        </w:rPr>
        <w:t>Проблеми сучасної ДНК-ідентифікації:</w:t>
      </w:r>
    </w:p>
    <w:p w14:paraId="52BF464B" w14:textId="77777777" w:rsidR="00532C25" w:rsidRPr="00511005" w:rsidRDefault="00532C25" w:rsidP="003F6A5D">
      <w:pPr>
        <w:numPr>
          <w:ilvl w:val="0"/>
          <w:numId w:val="622"/>
        </w:numPr>
        <w:suppressAutoHyphens/>
        <w:spacing w:line="264" w:lineRule="auto"/>
        <w:ind w:left="0" w:firstLine="720"/>
        <w:jc w:val="left"/>
        <w:rPr>
          <w:rFonts w:ascii="Arial" w:eastAsia="Calibri" w:hAnsi="Arial" w:cs="Arial"/>
          <w:szCs w:val="28"/>
        </w:rPr>
      </w:pPr>
      <w:r w:rsidRPr="00511005">
        <w:rPr>
          <w:rFonts w:ascii="Arial" w:eastAsia="Calibri" w:hAnsi="Arial" w:cs="Arial"/>
          <w:bCs/>
          <w:szCs w:val="28"/>
        </w:rPr>
        <w:t>Помилки в лабораторії, що включають з</w:t>
      </w:r>
      <w:r w:rsidRPr="00511005">
        <w:rPr>
          <w:rFonts w:ascii="Arial" w:eastAsia="Calibri" w:hAnsi="Arial" w:cs="Arial"/>
          <w:szCs w:val="28"/>
        </w:rPr>
        <w:t xml:space="preserve">абруднення зразків </w:t>
      </w:r>
      <w:r w:rsidRPr="00511005">
        <w:rPr>
          <w:rFonts w:ascii="Arial" w:eastAsia="Calibri" w:hAnsi="Arial" w:cs="Arial"/>
          <w:szCs w:val="28"/>
          <w:lang w:val="uk-UA"/>
        </w:rPr>
        <w:t xml:space="preserve">та </w:t>
      </w:r>
      <w:r w:rsidRPr="00511005">
        <w:rPr>
          <w:rFonts w:ascii="Arial" w:eastAsia="Calibri" w:hAnsi="Arial" w:cs="Arial"/>
          <w:szCs w:val="28"/>
        </w:rPr>
        <w:t>неправильн</w:t>
      </w:r>
      <w:r w:rsidRPr="00511005">
        <w:rPr>
          <w:rFonts w:ascii="Arial" w:eastAsia="Calibri" w:hAnsi="Arial" w:cs="Arial"/>
          <w:szCs w:val="28"/>
          <w:lang w:val="uk-UA"/>
        </w:rPr>
        <w:t>у</w:t>
      </w:r>
      <w:r w:rsidRPr="00511005">
        <w:rPr>
          <w:rFonts w:ascii="Arial" w:eastAsia="Calibri" w:hAnsi="Arial" w:cs="Arial"/>
          <w:szCs w:val="28"/>
        </w:rPr>
        <w:t xml:space="preserve"> інтерпретаці</w:t>
      </w:r>
      <w:r w:rsidRPr="00511005">
        <w:rPr>
          <w:rFonts w:ascii="Arial" w:eastAsia="Calibri" w:hAnsi="Arial" w:cs="Arial"/>
          <w:szCs w:val="28"/>
          <w:lang w:val="uk-UA"/>
        </w:rPr>
        <w:t>ю</w:t>
      </w:r>
      <w:r w:rsidRPr="00511005">
        <w:rPr>
          <w:rFonts w:ascii="Arial" w:eastAsia="Calibri" w:hAnsi="Arial" w:cs="Arial"/>
          <w:szCs w:val="28"/>
        </w:rPr>
        <w:t xml:space="preserve"> результатів.</w:t>
      </w:r>
    </w:p>
    <w:p w14:paraId="0EF88816" w14:textId="77777777" w:rsidR="00532C25" w:rsidRPr="00511005" w:rsidRDefault="00532C25" w:rsidP="003F6A5D">
      <w:pPr>
        <w:numPr>
          <w:ilvl w:val="0"/>
          <w:numId w:val="622"/>
        </w:numPr>
        <w:suppressAutoHyphens/>
        <w:spacing w:line="264" w:lineRule="auto"/>
        <w:ind w:left="0" w:firstLine="720"/>
        <w:jc w:val="left"/>
        <w:rPr>
          <w:rFonts w:ascii="Arial" w:eastAsia="Calibri" w:hAnsi="Arial" w:cs="Arial"/>
          <w:szCs w:val="28"/>
        </w:rPr>
      </w:pPr>
      <w:r w:rsidRPr="00511005">
        <w:rPr>
          <w:rFonts w:ascii="Arial" w:eastAsia="Calibri" w:hAnsi="Arial" w:cs="Arial"/>
          <w:bCs/>
          <w:szCs w:val="28"/>
        </w:rPr>
        <w:t>Правові труднощі, а саме н</w:t>
      </w:r>
      <w:r w:rsidRPr="00511005">
        <w:rPr>
          <w:rFonts w:ascii="Arial" w:eastAsia="Calibri" w:hAnsi="Arial" w:cs="Arial"/>
          <w:szCs w:val="28"/>
        </w:rPr>
        <w:t xml:space="preserve">едостатня регламентація використання ДНК-даних у законодавстві </w:t>
      </w:r>
      <w:r w:rsidRPr="00511005">
        <w:rPr>
          <w:rFonts w:ascii="Arial" w:eastAsia="Calibri" w:hAnsi="Arial" w:cs="Arial"/>
          <w:szCs w:val="28"/>
          <w:lang w:val="uk-UA"/>
        </w:rPr>
        <w:t>України</w:t>
      </w:r>
      <w:r w:rsidRPr="00511005">
        <w:rPr>
          <w:rFonts w:ascii="Arial" w:eastAsia="Calibri" w:hAnsi="Arial" w:cs="Arial"/>
          <w:szCs w:val="28"/>
        </w:rPr>
        <w:t>.</w:t>
      </w:r>
    </w:p>
    <w:p w14:paraId="6F89697D" w14:textId="77777777" w:rsidR="00532C25" w:rsidRPr="00511005" w:rsidRDefault="00532C25" w:rsidP="003F6A5D">
      <w:pPr>
        <w:numPr>
          <w:ilvl w:val="0"/>
          <w:numId w:val="622"/>
        </w:numPr>
        <w:suppressAutoHyphens/>
        <w:spacing w:line="264" w:lineRule="auto"/>
        <w:ind w:left="0" w:firstLine="720"/>
        <w:jc w:val="left"/>
        <w:rPr>
          <w:rFonts w:ascii="Arial" w:eastAsia="Calibri" w:hAnsi="Arial" w:cs="Arial"/>
          <w:szCs w:val="28"/>
        </w:rPr>
      </w:pPr>
      <w:r w:rsidRPr="00511005">
        <w:rPr>
          <w:rFonts w:ascii="Arial" w:eastAsia="Calibri" w:hAnsi="Arial" w:cs="Arial"/>
          <w:bCs/>
          <w:szCs w:val="28"/>
        </w:rPr>
        <w:t xml:space="preserve">Етичні </w:t>
      </w:r>
      <w:r w:rsidRPr="00511005">
        <w:rPr>
          <w:rFonts w:ascii="Arial" w:eastAsia="Calibri" w:hAnsi="Arial" w:cs="Arial"/>
          <w:bCs/>
          <w:szCs w:val="28"/>
          <w:lang w:val="uk-UA"/>
        </w:rPr>
        <w:t>виклики – з</w:t>
      </w:r>
      <w:r w:rsidRPr="00511005">
        <w:rPr>
          <w:rFonts w:ascii="Arial" w:eastAsia="Calibri" w:hAnsi="Arial" w:cs="Arial"/>
          <w:szCs w:val="28"/>
          <w:lang w:val="uk-UA"/>
        </w:rPr>
        <w:t>агроза</w:t>
      </w:r>
      <w:r w:rsidRPr="00511005">
        <w:rPr>
          <w:rFonts w:ascii="Arial" w:eastAsia="Calibri" w:hAnsi="Arial" w:cs="Arial"/>
          <w:szCs w:val="28"/>
        </w:rPr>
        <w:t xml:space="preserve"> конфіденційності персональних даних </w:t>
      </w:r>
      <w:r w:rsidRPr="00511005">
        <w:rPr>
          <w:rFonts w:ascii="Arial" w:eastAsia="Calibri" w:hAnsi="Arial" w:cs="Arial"/>
          <w:szCs w:val="28"/>
          <w:lang w:val="uk-UA"/>
        </w:rPr>
        <w:t xml:space="preserve">та </w:t>
      </w:r>
      <w:r w:rsidRPr="00511005">
        <w:rPr>
          <w:rFonts w:ascii="Arial" w:eastAsia="Calibri" w:hAnsi="Arial" w:cs="Arial"/>
          <w:szCs w:val="28"/>
        </w:rPr>
        <w:t>питання інформованої згоди.</w:t>
      </w:r>
    </w:p>
    <w:p w14:paraId="05A0D4C7" w14:textId="77777777" w:rsidR="00532C25" w:rsidRPr="00511005" w:rsidRDefault="00532C25" w:rsidP="003F6A5D">
      <w:pPr>
        <w:numPr>
          <w:ilvl w:val="0"/>
          <w:numId w:val="622"/>
        </w:numPr>
        <w:suppressAutoHyphens/>
        <w:spacing w:line="264" w:lineRule="auto"/>
        <w:ind w:left="0" w:firstLine="720"/>
        <w:jc w:val="left"/>
        <w:rPr>
          <w:rFonts w:ascii="Arial" w:eastAsia="Calibri" w:hAnsi="Arial" w:cs="Arial"/>
          <w:szCs w:val="28"/>
        </w:rPr>
      </w:pPr>
      <w:r w:rsidRPr="00511005">
        <w:rPr>
          <w:rFonts w:ascii="Arial" w:eastAsia="Calibri" w:hAnsi="Arial" w:cs="Arial"/>
          <w:bCs/>
          <w:szCs w:val="28"/>
        </w:rPr>
        <w:t xml:space="preserve">Технічні обмеження, </w:t>
      </w:r>
      <w:r w:rsidRPr="00511005">
        <w:rPr>
          <w:rFonts w:ascii="Arial" w:eastAsia="Calibri" w:hAnsi="Arial" w:cs="Arial"/>
          <w:bCs/>
          <w:szCs w:val="28"/>
          <w:lang w:val="uk-UA"/>
        </w:rPr>
        <w:t>що полягають у н</w:t>
      </w:r>
      <w:r w:rsidRPr="00511005">
        <w:rPr>
          <w:rFonts w:ascii="Arial" w:eastAsia="Calibri" w:hAnsi="Arial" w:cs="Arial"/>
          <w:szCs w:val="28"/>
        </w:rPr>
        <w:t>еможлив</w:t>
      </w:r>
      <w:r w:rsidRPr="00511005">
        <w:rPr>
          <w:rFonts w:ascii="Arial" w:eastAsia="Calibri" w:hAnsi="Arial" w:cs="Arial"/>
          <w:szCs w:val="28"/>
          <w:lang w:val="uk-UA"/>
        </w:rPr>
        <w:t>ості</w:t>
      </w:r>
      <w:r w:rsidRPr="00511005">
        <w:rPr>
          <w:rFonts w:ascii="Arial" w:eastAsia="Calibri" w:hAnsi="Arial" w:cs="Arial"/>
          <w:szCs w:val="28"/>
        </w:rPr>
        <w:t xml:space="preserve"> однозначної ідентифікації при змішаних зразках або деградації ДНК.</w:t>
      </w:r>
    </w:p>
    <w:p w14:paraId="060F8D38" w14:textId="77777777" w:rsidR="00532C25" w:rsidRPr="00511005" w:rsidRDefault="00532C25" w:rsidP="003F6A5D">
      <w:pPr>
        <w:numPr>
          <w:ilvl w:val="0"/>
          <w:numId w:val="622"/>
        </w:numPr>
        <w:suppressAutoHyphens/>
        <w:spacing w:line="264" w:lineRule="auto"/>
        <w:ind w:left="0" w:firstLine="720"/>
        <w:jc w:val="left"/>
        <w:rPr>
          <w:rFonts w:ascii="Arial" w:eastAsia="Calibri" w:hAnsi="Arial" w:cs="Arial"/>
          <w:szCs w:val="28"/>
        </w:rPr>
      </w:pPr>
      <w:r w:rsidRPr="00511005">
        <w:rPr>
          <w:rFonts w:ascii="Arial" w:eastAsia="Calibri" w:hAnsi="Arial" w:cs="Arial"/>
          <w:bCs/>
          <w:szCs w:val="28"/>
        </w:rPr>
        <w:t>Ризик дискримінації та в</w:t>
      </w:r>
      <w:r w:rsidRPr="00511005">
        <w:rPr>
          <w:rFonts w:ascii="Arial" w:eastAsia="Calibri" w:hAnsi="Arial" w:cs="Arial"/>
          <w:szCs w:val="28"/>
        </w:rPr>
        <w:t>икористання ДНК-профілювання для порушення прав людини (наприклад, етнічне профілювання).</w:t>
      </w:r>
    </w:p>
    <w:p w14:paraId="1DA9564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bCs/>
          <w:szCs w:val="28"/>
        </w:rPr>
        <w:t>Перспективи розвитку</w:t>
      </w:r>
      <w:r w:rsidRPr="00511005">
        <w:rPr>
          <w:rFonts w:ascii="Arial" w:eastAsia="Calibri" w:hAnsi="Arial" w:cs="Arial"/>
          <w:bCs/>
          <w:szCs w:val="28"/>
          <w:lang w:val="en-US"/>
        </w:rPr>
        <w:t>:</w:t>
      </w:r>
    </w:p>
    <w:p w14:paraId="04603086" w14:textId="77777777" w:rsidR="00532C25" w:rsidRPr="00511005" w:rsidRDefault="00532C25" w:rsidP="003F6A5D">
      <w:pPr>
        <w:numPr>
          <w:ilvl w:val="0"/>
          <w:numId w:val="623"/>
        </w:numPr>
        <w:suppressAutoHyphens/>
        <w:spacing w:line="264" w:lineRule="auto"/>
        <w:ind w:left="0" w:firstLine="720"/>
        <w:jc w:val="left"/>
        <w:rPr>
          <w:rFonts w:ascii="Arial" w:eastAsia="Calibri" w:hAnsi="Arial" w:cs="Arial"/>
          <w:szCs w:val="28"/>
        </w:rPr>
      </w:pPr>
      <w:r w:rsidRPr="00511005">
        <w:rPr>
          <w:rFonts w:ascii="Arial" w:eastAsia="Calibri" w:hAnsi="Arial" w:cs="Arial"/>
          <w:bCs/>
          <w:szCs w:val="28"/>
        </w:rPr>
        <w:t>Автоматизація процесів за допомогою в</w:t>
      </w:r>
      <w:r w:rsidRPr="00511005">
        <w:rPr>
          <w:rFonts w:ascii="Arial" w:eastAsia="Calibri" w:hAnsi="Arial" w:cs="Arial"/>
          <w:szCs w:val="28"/>
        </w:rPr>
        <w:t>икористання штучного інтелекту для аналізу ДНК і мінімізації людського фактора.</w:t>
      </w:r>
    </w:p>
    <w:p w14:paraId="79323DC6" w14:textId="77777777" w:rsidR="00532C25" w:rsidRPr="00511005" w:rsidRDefault="00532C25" w:rsidP="003F6A5D">
      <w:pPr>
        <w:numPr>
          <w:ilvl w:val="0"/>
          <w:numId w:val="623"/>
        </w:numPr>
        <w:suppressAutoHyphens/>
        <w:spacing w:line="264" w:lineRule="auto"/>
        <w:ind w:left="0" w:firstLine="720"/>
        <w:jc w:val="left"/>
        <w:rPr>
          <w:rFonts w:ascii="Arial" w:eastAsia="Calibri" w:hAnsi="Arial" w:cs="Arial"/>
          <w:szCs w:val="28"/>
        </w:rPr>
      </w:pPr>
      <w:r w:rsidRPr="00511005">
        <w:rPr>
          <w:rFonts w:ascii="Arial" w:eastAsia="Calibri" w:hAnsi="Arial" w:cs="Arial"/>
          <w:bCs/>
          <w:szCs w:val="28"/>
        </w:rPr>
        <w:t xml:space="preserve">Покращення технологій </w:t>
      </w:r>
      <w:r w:rsidRPr="00511005">
        <w:rPr>
          <w:rFonts w:ascii="Arial" w:eastAsia="Calibri" w:hAnsi="Arial" w:cs="Arial"/>
          <w:bCs/>
          <w:szCs w:val="28"/>
          <w:lang w:val="uk-UA"/>
        </w:rPr>
        <w:t>секвенування – ш</w:t>
      </w:r>
      <w:r w:rsidRPr="00511005">
        <w:rPr>
          <w:rFonts w:ascii="Arial" w:eastAsia="Calibri" w:hAnsi="Arial" w:cs="Arial"/>
          <w:szCs w:val="28"/>
          <w:lang w:val="uk-UA"/>
        </w:rPr>
        <w:t>видше</w:t>
      </w:r>
      <w:r w:rsidRPr="00511005">
        <w:rPr>
          <w:rFonts w:ascii="Arial" w:eastAsia="Calibri" w:hAnsi="Arial" w:cs="Arial"/>
          <w:szCs w:val="28"/>
        </w:rPr>
        <w:t xml:space="preserve"> і дешевше секвенування дозволить масово використовувати повногеномний аналіз.</w:t>
      </w:r>
    </w:p>
    <w:p w14:paraId="1778BE82" w14:textId="77777777" w:rsidR="00532C25" w:rsidRPr="00511005" w:rsidRDefault="00532C25" w:rsidP="003F6A5D">
      <w:pPr>
        <w:numPr>
          <w:ilvl w:val="0"/>
          <w:numId w:val="623"/>
        </w:numPr>
        <w:suppressAutoHyphens/>
        <w:spacing w:line="264" w:lineRule="auto"/>
        <w:ind w:left="0" w:firstLine="720"/>
        <w:jc w:val="left"/>
        <w:rPr>
          <w:rFonts w:ascii="Arial" w:eastAsia="Calibri" w:hAnsi="Arial" w:cs="Arial"/>
          <w:szCs w:val="28"/>
        </w:rPr>
      </w:pPr>
      <w:r w:rsidRPr="00511005">
        <w:rPr>
          <w:rFonts w:ascii="Arial" w:eastAsia="Calibri" w:hAnsi="Arial" w:cs="Arial"/>
          <w:bCs/>
          <w:szCs w:val="28"/>
        </w:rPr>
        <w:t xml:space="preserve">Розвиток глобальних ДНК-баз даних </w:t>
      </w:r>
      <w:r w:rsidRPr="00511005">
        <w:rPr>
          <w:rFonts w:ascii="Arial" w:eastAsia="Calibri" w:hAnsi="Arial" w:cs="Arial"/>
          <w:bCs/>
          <w:szCs w:val="28"/>
          <w:lang w:val="uk-UA"/>
        </w:rPr>
        <w:t>та м</w:t>
      </w:r>
      <w:r w:rsidRPr="00511005">
        <w:rPr>
          <w:rFonts w:ascii="Arial" w:eastAsia="Calibri" w:hAnsi="Arial" w:cs="Arial"/>
          <w:szCs w:val="28"/>
        </w:rPr>
        <w:t>іжнародне співробітництво для розкриття злочинів і пошуку зниклих осіб.</w:t>
      </w:r>
    </w:p>
    <w:p w14:paraId="0E313228" w14:textId="77777777" w:rsidR="00532C25" w:rsidRPr="00511005" w:rsidRDefault="00532C25" w:rsidP="003F6A5D">
      <w:pPr>
        <w:numPr>
          <w:ilvl w:val="0"/>
          <w:numId w:val="623"/>
        </w:numPr>
        <w:suppressAutoHyphens/>
        <w:spacing w:line="264" w:lineRule="auto"/>
        <w:ind w:left="0" w:firstLine="720"/>
        <w:jc w:val="left"/>
        <w:rPr>
          <w:rFonts w:ascii="Arial" w:eastAsia="Calibri" w:hAnsi="Arial" w:cs="Arial"/>
          <w:szCs w:val="28"/>
        </w:rPr>
      </w:pPr>
      <w:r w:rsidRPr="00511005">
        <w:rPr>
          <w:rFonts w:ascii="Arial" w:eastAsia="Calibri" w:hAnsi="Arial" w:cs="Arial"/>
          <w:bCs/>
          <w:szCs w:val="28"/>
        </w:rPr>
        <w:t>Підвищення захисту персональних даних шляхом в</w:t>
      </w:r>
      <w:r w:rsidRPr="00511005">
        <w:rPr>
          <w:rFonts w:ascii="Arial" w:eastAsia="Calibri" w:hAnsi="Arial" w:cs="Arial"/>
          <w:szCs w:val="28"/>
        </w:rPr>
        <w:t>ведення суворих стандартів і законів для захисту генетичної інформації.</w:t>
      </w:r>
    </w:p>
    <w:p w14:paraId="105DF376" w14:textId="77777777" w:rsidR="00532C25" w:rsidRPr="00511005" w:rsidRDefault="00532C25" w:rsidP="003F6A5D">
      <w:pPr>
        <w:numPr>
          <w:ilvl w:val="0"/>
          <w:numId w:val="623"/>
        </w:numPr>
        <w:suppressAutoHyphens/>
        <w:spacing w:line="264" w:lineRule="auto"/>
        <w:ind w:left="0" w:firstLine="720"/>
        <w:jc w:val="left"/>
        <w:rPr>
          <w:rFonts w:ascii="Arial" w:eastAsia="Calibri" w:hAnsi="Arial" w:cs="Arial"/>
          <w:szCs w:val="28"/>
        </w:rPr>
      </w:pPr>
      <w:r w:rsidRPr="00511005">
        <w:rPr>
          <w:rFonts w:ascii="Arial" w:eastAsia="Calibri" w:hAnsi="Arial" w:cs="Arial"/>
          <w:szCs w:val="28"/>
        </w:rPr>
        <w:t xml:space="preserve">Розширення меж застосування ДНК-ідентифікації за межі судової практики </w:t>
      </w:r>
      <w:r w:rsidRPr="00511005">
        <w:rPr>
          <w:rFonts w:ascii="Arial" w:eastAsia="Calibri" w:hAnsi="Arial" w:cs="Arial"/>
          <w:szCs w:val="28"/>
          <w:lang w:val="uk-UA"/>
        </w:rPr>
        <w:t>та в</w:t>
      </w:r>
      <w:r w:rsidRPr="00511005">
        <w:rPr>
          <w:rFonts w:ascii="Arial" w:eastAsia="Calibri" w:hAnsi="Arial" w:cs="Arial"/>
          <w:bCs/>
          <w:szCs w:val="28"/>
          <w:lang w:val="uk-UA"/>
        </w:rPr>
        <w:t>икористання в медицині й археології</w:t>
      </w:r>
      <w:r w:rsidRPr="00511005">
        <w:rPr>
          <w:rFonts w:ascii="Arial" w:eastAsia="Calibri" w:hAnsi="Arial" w:cs="Arial"/>
          <w:bCs/>
          <w:szCs w:val="28"/>
        </w:rPr>
        <w:t xml:space="preserve"> </w:t>
      </w:r>
    </w:p>
    <w:p w14:paraId="7F51C1EA"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lastRenderedPageBreak/>
        <w:t>Отже, сучасні методи ДНК-ідентифікації відкривають унікальні можливості для встановлення особи, однак паралельно постають значущі юридичні, етичні та технічні виклики. Успішний розвиток цієї сфери залежить від балансу між технічним прогресом і дотриманням прав людини. Перспективи ДНК-ідентифікації виглядають багатообіцяючими за умови впровадження інновацій і належного правового регулювання.</w:t>
      </w:r>
    </w:p>
    <w:p w14:paraId="7E893C38" w14:textId="77777777" w:rsidR="00532C25" w:rsidRPr="00511005" w:rsidRDefault="00532C25" w:rsidP="00532C25">
      <w:pPr>
        <w:spacing w:line="264" w:lineRule="auto"/>
        <w:ind w:firstLine="720"/>
        <w:rPr>
          <w:rFonts w:ascii="Arial" w:eastAsia="Calibri" w:hAnsi="Arial" w:cs="Arial"/>
          <w:szCs w:val="28"/>
        </w:rPr>
      </w:pPr>
    </w:p>
    <w:p w14:paraId="71D82741"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b/>
          <w:szCs w:val="28"/>
          <w:lang w:val="uk-UA"/>
        </w:rPr>
        <w:t>Список використаних джерел</w:t>
      </w:r>
    </w:p>
    <w:p w14:paraId="0C66CCA5" w14:textId="77777777" w:rsidR="00532C25" w:rsidRPr="00511005" w:rsidRDefault="00532C25" w:rsidP="003F6A5D">
      <w:pPr>
        <w:numPr>
          <w:ilvl w:val="0"/>
          <w:numId w:val="621"/>
        </w:numPr>
        <w:suppressAutoHyphens/>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val="uk-UA" w:eastAsia="ru-RU"/>
        </w:rPr>
        <w:t>Возна О. Використання ДНК-аналізу та інших сучасних методів і технологій у кримінальному судочинстві. Криміналістика і судова медицина в умовах викликів та глобальних загроз: зб. матеріалів міжнар. наук.-практ. конф. 2024. С. 155-159.</w:t>
      </w:r>
    </w:p>
    <w:p w14:paraId="5EC59C4C" w14:textId="77777777" w:rsidR="00532C25" w:rsidRPr="00511005" w:rsidRDefault="00532C25" w:rsidP="003F6A5D">
      <w:pPr>
        <w:numPr>
          <w:ilvl w:val="0"/>
          <w:numId w:val="621"/>
        </w:numPr>
        <w:suppressAutoHyphens/>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val="uk-UA" w:eastAsia="ru-RU"/>
        </w:rPr>
        <w:t>Степанюк Р. Криміналістичний ДНК-аналіз: стан і перспективи розвитку в Україні. Теорія та практика судової експертизи і криміналістики: зб. наук. пр. 2021. Вип. 3 (25). С. 6-80</w:t>
      </w:r>
    </w:p>
    <w:p w14:paraId="5E09FEF4" w14:textId="77777777" w:rsidR="00532C25" w:rsidRPr="00511005" w:rsidRDefault="00532C25" w:rsidP="003F6A5D">
      <w:pPr>
        <w:numPr>
          <w:ilvl w:val="0"/>
          <w:numId w:val="621"/>
        </w:numPr>
        <w:suppressAutoHyphens/>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Степанюк Р., Перл</w:t>
      </w:r>
      <w:r w:rsidRPr="00511005">
        <w:rPr>
          <w:rFonts w:ascii="Arial" w:eastAsia="Times New Roman" w:hAnsi="Arial" w:cs="Arial"/>
          <w:szCs w:val="28"/>
          <w:lang w:val="uk-UA" w:eastAsia="ru-RU"/>
        </w:rPr>
        <w:t xml:space="preserve">ін С. Дослідження ДНК як галузь криміналістичної техніки: проблеми функціонування та напрями розвитку. Право і Безпека: наук. журн. 2020. Вип. 2 (77). С. 93-99 </w:t>
      </w:r>
    </w:p>
    <w:p w14:paraId="4086AD55"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szCs w:val="28"/>
          <w:lang w:eastAsia="ru-RU"/>
        </w:rPr>
      </w:pPr>
    </w:p>
    <w:p w14:paraId="09B475CA"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szCs w:val="28"/>
          <w:lang w:eastAsia="ru-RU"/>
        </w:rPr>
      </w:pPr>
      <w:r w:rsidRPr="00511005">
        <w:rPr>
          <w:rFonts w:ascii="Arial" w:eastAsia="Times New Roman" w:hAnsi="Arial" w:cs="Arial"/>
          <w:b/>
          <w:bCs/>
          <w:i/>
          <w:szCs w:val="28"/>
          <w:lang w:val="uk-UA" w:eastAsia="ru-RU"/>
        </w:rPr>
        <w:t xml:space="preserve">Ключові слова: </w:t>
      </w:r>
      <w:r w:rsidRPr="00511005">
        <w:rPr>
          <w:rFonts w:ascii="Arial" w:eastAsia="Times New Roman" w:hAnsi="Arial" w:cs="Arial"/>
          <w:szCs w:val="28"/>
          <w:lang w:val="uk-UA" w:eastAsia="ru-RU"/>
        </w:rPr>
        <w:t>ідентифікація, ДНК-профіль, криміналістика, аналіз ДНК, сліди, докази, метод, судова експертиза, секвенування, технологія.</w:t>
      </w:r>
    </w:p>
    <w:p w14:paraId="6B178D0A"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identification, DNA-profile, criminalistics, DNA analysis, traces, evidence, method, forensic science, sequencing, technology.</w:t>
      </w:r>
    </w:p>
    <w:p w14:paraId="018A9D7E"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szCs w:val="28"/>
          <w:lang w:eastAsia="ru-RU"/>
        </w:rPr>
      </w:pPr>
      <w:r w:rsidRPr="00511005">
        <w:rPr>
          <w:rFonts w:ascii="Arial" w:eastAsia="Times New Roman" w:hAnsi="Arial" w:cs="Arial"/>
          <w:b/>
          <w:i/>
          <w:iCs/>
          <w:szCs w:val="28"/>
          <w:lang w:val="uk-UA" w:eastAsia="ru-RU"/>
        </w:rPr>
        <w:t xml:space="preserve">Науковий керівник: </w:t>
      </w:r>
      <w:r w:rsidRPr="00511005">
        <w:rPr>
          <w:rFonts w:ascii="Arial" w:eastAsia="Times New Roman" w:hAnsi="Arial" w:cs="Arial"/>
          <w:i/>
          <w:iCs/>
          <w:szCs w:val="28"/>
          <w:lang w:val="uk-UA" w:eastAsia="ru-RU"/>
        </w:rPr>
        <w:t>д.ю.н., професор Самойленко О.А.</w:t>
      </w:r>
    </w:p>
    <w:p w14:paraId="3DC88AC5" w14:textId="77777777" w:rsidR="00532C25" w:rsidRPr="00511005" w:rsidRDefault="00532C25" w:rsidP="00532C25">
      <w:pPr>
        <w:spacing w:line="264" w:lineRule="auto"/>
        <w:ind w:firstLine="720"/>
        <w:jc w:val="left"/>
        <w:rPr>
          <w:rFonts w:ascii="Arial" w:eastAsia="Calibri" w:hAnsi="Arial" w:cs="Arial"/>
          <w:szCs w:val="28"/>
        </w:rPr>
      </w:pPr>
    </w:p>
    <w:p w14:paraId="5180708C" w14:textId="77777777" w:rsidR="00532C25" w:rsidRPr="00511005" w:rsidRDefault="00532C25" w:rsidP="00532C25">
      <w:pPr>
        <w:tabs>
          <w:tab w:val="left" w:pos="7088"/>
        </w:tabs>
        <w:spacing w:line="264" w:lineRule="auto"/>
        <w:ind w:firstLine="0"/>
        <w:jc w:val="center"/>
        <w:rPr>
          <w:rFonts w:ascii="Arial" w:eastAsia="Calibri" w:hAnsi="Arial" w:cs="Arial"/>
          <w:b/>
          <w:i/>
          <w:szCs w:val="28"/>
          <w:lang w:val="uk-UA" w:bidi="uk-UA"/>
        </w:rPr>
      </w:pPr>
      <w:r w:rsidRPr="00511005">
        <w:rPr>
          <w:rFonts w:ascii="Arial" w:eastAsia="Calibri" w:hAnsi="Arial" w:cs="Arial"/>
          <w:b/>
          <w:i/>
          <w:szCs w:val="28"/>
          <w:lang w:val="uk-UA" w:bidi="uk-UA"/>
        </w:rPr>
        <w:t>Лисенко Дар’я Станіславівна</w:t>
      </w:r>
    </w:p>
    <w:p w14:paraId="476A8D0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5DB0AA58"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D83CE47"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48D719B" w14:textId="77777777" w:rsidR="00532C25" w:rsidRPr="00511005" w:rsidRDefault="00532C25" w:rsidP="00532C25">
      <w:pPr>
        <w:tabs>
          <w:tab w:val="left" w:pos="7088"/>
        </w:tabs>
        <w:spacing w:line="264" w:lineRule="auto"/>
        <w:ind w:firstLine="0"/>
        <w:jc w:val="center"/>
        <w:rPr>
          <w:rFonts w:ascii="Arial" w:eastAsia="Calibri" w:hAnsi="Arial" w:cs="Arial"/>
          <w:b/>
          <w:szCs w:val="28"/>
        </w:rPr>
      </w:pPr>
    </w:p>
    <w:p w14:paraId="614C0BCB" w14:textId="77777777" w:rsidR="00532C25" w:rsidRPr="00511005" w:rsidRDefault="00532C25" w:rsidP="00532C25">
      <w:pPr>
        <w:tabs>
          <w:tab w:val="left" w:pos="7088"/>
        </w:tabs>
        <w:spacing w:line="264" w:lineRule="auto"/>
        <w:ind w:firstLine="720"/>
        <w:jc w:val="center"/>
        <w:rPr>
          <w:rFonts w:ascii="Arial" w:eastAsia="Calibri" w:hAnsi="Arial" w:cs="Arial"/>
          <w:b/>
          <w:szCs w:val="28"/>
          <w:lang w:val="uk-UA"/>
        </w:rPr>
      </w:pPr>
      <w:r w:rsidRPr="00511005">
        <w:rPr>
          <w:rFonts w:ascii="Arial" w:eastAsia="Calibri" w:hAnsi="Arial" w:cs="Arial"/>
          <w:b/>
          <w:szCs w:val="28"/>
        </w:rPr>
        <w:t xml:space="preserve">ПСИХОЛОГІЧНІ ОСОБЛИВОСТІ ДОПИТУ НЕПОВНОЛІТНІХ </w:t>
      </w:r>
    </w:p>
    <w:p w14:paraId="3D6D4556"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Неповнолітні особи є найбільш ураженою ланкою суспільства. У цьому віці активно формується ментальна та психічна складова людини. Тому не дивним є відчуття підвищеної емоційності, нестабільності в поведінці, нав’язування певних авторитетів у цієї категорії осіб.</w:t>
      </w:r>
    </w:p>
    <w:p w14:paraId="2409BEDF"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Також не можна лишити поза увагою воєнний стан в країні, який виступає черговим подразником для свідомості всіх громадян. Окрім цього складна соціально - економічна ситуація в Україні стає черговою причиною для розвитку та насадження злочинності серед неповнолітніх. Беручи до уваги статистику, можна сказати що тенденція розвитку злочинності серед неповнолітніх значно молодшає.</w:t>
      </w:r>
    </w:p>
    <w:p w14:paraId="24EC478E" w14:textId="77777777" w:rsidR="00532C25" w:rsidRPr="00511005" w:rsidRDefault="00532C25" w:rsidP="00532C25">
      <w:pPr>
        <w:tabs>
          <w:tab w:val="left" w:pos="7088"/>
        </w:tabs>
        <w:spacing w:line="264" w:lineRule="auto"/>
        <w:ind w:firstLine="720"/>
        <w:rPr>
          <w:rFonts w:ascii="Arial" w:eastAsia="Calibri" w:hAnsi="Arial" w:cs="Arial"/>
          <w:szCs w:val="28"/>
        </w:rPr>
      </w:pPr>
      <w:r w:rsidRPr="00511005">
        <w:rPr>
          <w:rFonts w:ascii="Arial" w:eastAsia="Calibri" w:hAnsi="Arial" w:cs="Arial"/>
          <w:szCs w:val="28"/>
          <w:lang w:val="uk-UA"/>
        </w:rPr>
        <w:lastRenderedPageBreak/>
        <w:t>Ця проблема не є новою в юридичній літературі. Серед вчених, які досліджували питання психологічних особливостей неповнолітніх та психологічні причини вчинення ними злочинів є такі : П.Д. Біленчук, М.М. Бабаєв, М.А. Алемаксін. [3,с.156]</w:t>
      </w:r>
      <w:r w:rsidRPr="00511005">
        <w:rPr>
          <w:rFonts w:ascii="Arial" w:eastAsia="Calibri" w:hAnsi="Arial" w:cs="Arial"/>
          <w:szCs w:val="28"/>
        </w:rPr>
        <w:t>.</w:t>
      </w:r>
    </w:p>
    <w:p w14:paraId="1781E48F"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Розкриття та розслідування злочинів є досить складною частиною роботи правоохоронних органів, адже виконуються вони у чіткому та прямому підпорядкуванні законодавству України, як нормам Конституції, кримінально - процесуальному законодавству так й іншим нормативно – правовим актам. Відповідно до цього розробляються рекомендації щодо проведення тих чи інших слідчих дій з використанням певних науково - технічих засобів. Всі можливі вказівки та рекомендації поліпшують роботу слідчих та оперативних працівників. Та окрім базових знань, спеціалісти мають бути обізнаними і в сфері психології, особливо що стосується спеціальних психологічних знань у сфері дитячої, юнацької, вікової психології.</w:t>
      </w:r>
    </w:p>
    <w:p w14:paraId="6D2A10D9"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rPr>
        <w:t>У якій би процесуальній ролі не перебував неповнолітній — свідка, потерпілого чи обвинуваченого — його поведінка під час допиту, а також зміст, форма та достовірність наданих показань у ході здійснення оперативно-розшукових заходів, спрямованих на протидію злочинності, насамперед залежатимуть від вікових і гендерних особливостей, психічного стану та соціального становища</w:t>
      </w:r>
      <w:r w:rsidRPr="00511005">
        <w:rPr>
          <w:rFonts w:ascii="Arial" w:eastAsia="Calibri" w:hAnsi="Arial" w:cs="Arial"/>
          <w:szCs w:val="28"/>
          <w:lang w:val="uk-UA"/>
        </w:rPr>
        <w:t xml:space="preserve"> [</w:t>
      </w:r>
      <w:proofErr w:type="gramStart"/>
      <w:r w:rsidRPr="00511005">
        <w:rPr>
          <w:rFonts w:ascii="Arial" w:eastAsia="Calibri" w:hAnsi="Arial" w:cs="Arial"/>
          <w:szCs w:val="28"/>
          <w:lang w:val="uk-UA"/>
        </w:rPr>
        <w:t>3,с.</w:t>
      </w:r>
      <w:proofErr w:type="gramEnd"/>
      <w:r w:rsidRPr="00511005">
        <w:rPr>
          <w:rFonts w:ascii="Arial" w:eastAsia="Calibri" w:hAnsi="Arial" w:cs="Arial"/>
          <w:szCs w:val="28"/>
          <w:lang w:val="uk-UA"/>
        </w:rPr>
        <w:t>158].</w:t>
      </w:r>
    </w:p>
    <w:p w14:paraId="01D538F1"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А.С. Сабуров наголошує, що навіть у ранньому віці (до трьох років) діти вже здатні сприймати людей, їхні дії та різноманітні об’єкти, особливо ті, що вирізняються яскравістю або незвичністю. </w:t>
      </w:r>
      <w:r w:rsidRPr="00511005">
        <w:rPr>
          <w:rFonts w:ascii="Arial" w:eastAsia="Calibri" w:hAnsi="Arial" w:cs="Arial"/>
          <w:szCs w:val="28"/>
        </w:rPr>
        <w:t>Варто зважати на те, що, описуючи предмети чи явища, дитина часто використовує порівняння, які можуть бути неточними або відносними. Дошкільнята та молодші школярі зазвичай оперують узагальненими поняттями (наприклад, «великий – малий», «старий – молодий»). Під час допиту це потрібно враховувати. Залежно від обставин доцільно спочатку пояснити дитині мету розмови, а потім використати наочні засоби — схеми, фотографії чи інші візуальні матеріали [</w:t>
      </w:r>
      <w:r w:rsidRPr="00511005">
        <w:rPr>
          <w:rFonts w:ascii="Arial" w:eastAsia="Calibri" w:hAnsi="Arial" w:cs="Arial"/>
          <w:szCs w:val="28"/>
          <w:lang w:val="uk-UA"/>
        </w:rPr>
        <w:t>4</w:t>
      </w:r>
      <w:r w:rsidRPr="00511005">
        <w:rPr>
          <w:rFonts w:ascii="Arial" w:eastAsia="Calibri" w:hAnsi="Arial" w:cs="Arial"/>
          <w:szCs w:val="28"/>
        </w:rPr>
        <w:t>].</w:t>
      </w:r>
    </w:p>
    <w:p w14:paraId="6BF61C70"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Робота з неповнолітніми є набагато складнішою, ніж робота з повністю сформованою особистістю. Адже характерною рисою людей підліткового віку є легка маніпуляція та певною мірою навіювання з боку інших зацікавлених у цьому осіб. Комунікабельні діти можуть легко йти на контакт, тим самим створюючи сприятливі умови для стороннього впливу. В результаті чого свідок (неповнолітній) вже може розповідати зазделегіть підготовану інформацію, а не те, що він бачив на власні очі чи чув. Але таку інформацію досить легко визначити, оскільки вона є не такою зв’язною, схематичною та завченою. </w:t>
      </w:r>
    </w:p>
    <w:p w14:paraId="5BADD8F1"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Під час допиту слід враховувати і вікові категорії осіб, адже до прикладу у дітей віком 7-10 років відбуваються зміни у їх свідомості, мові, </w:t>
      </w:r>
      <w:r w:rsidRPr="00511005">
        <w:rPr>
          <w:rFonts w:ascii="Arial" w:eastAsia="Calibri" w:hAnsi="Arial" w:cs="Arial"/>
          <w:szCs w:val="28"/>
          <w:lang w:val="uk-UA"/>
        </w:rPr>
        <w:lastRenderedPageBreak/>
        <w:t xml:space="preserve">мисленні, та формуюються знання щодо хронології подій, логічної розповіді з більшою деталізацією. </w:t>
      </w:r>
    </w:p>
    <w:p w14:paraId="376887D1"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У віці 11-15 років значно розширюється пізнавальні інтереси, зростає самосвідомість, прагнення до самостійності, загострюються окремі риси характеру, а саме: надмірна самовпевненість, самолюбство, емоційна нестійкість та ін. [3,с.159].</w:t>
      </w:r>
    </w:p>
    <w:p w14:paraId="402F36D7"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Особливий вік, а саме 14 років, знижений вік кримінальної відповідальності, який знайшов своє відображення у ст.22 Кримінального Кодексу України, де зазначена категорія злочинів, відповідальність за які настає у 14-річному віці. Такими злочинами є : умисне вбивство, умисне тяжке тілесне ушкодження, бандитизм, крадіжка, грабіж, сексуальне насильство, умисне знищення або пошкодження майна та інші.</w:t>
      </w:r>
    </w:p>
    <w:p w14:paraId="6E57AEBE"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rPr>
        <w:t>З урахуванням зазначених особливостей науковці дійшли висновку, що тривалість допиту неповнолітніх залежить не лише від завдань, поставлених перед правоохоронними органами, а насамперед — від вікових та індивідуально-психологічних характеристик допитуваної дитини.</w:t>
      </w:r>
      <w:r w:rsidRPr="00511005">
        <w:rPr>
          <w:rFonts w:ascii="Arial" w:eastAsia="Calibri" w:hAnsi="Arial" w:cs="Arial"/>
          <w:szCs w:val="28"/>
          <w:lang w:val="uk-UA"/>
        </w:rPr>
        <w:t xml:space="preserve"> [4, с. 85].</w:t>
      </w:r>
    </w:p>
    <w:p w14:paraId="34D7AAA8"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Також варто звертати увагу і на гендерні особливості під час допиту. Інформація для дівчат та хлопців має подаватися з певними відмінностями.</w:t>
      </w:r>
    </w:p>
    <w:p w14:paraId="50BABDC8"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rPr>
        <w:t>Що стосується хлопців, то їх в білішій мірі цікавить сам результат допиту, а не процес. Їхня увага спрямована на логіку, факти та взаємозв’язок. Також психологи підкреслюють, що вони є поганими слухачами, їх увагу можна привернути максимум на 1-2 хвилини, далі їх інтерес до розмови гасне. Зовсім інша ситуація з дівчатами, вони є більш емоційними особистостями, тому говорячи про такі подразники як родина, хлопці, діти та побут є більша вірогідність отримати якусь реакцію. На відміну від хлопців, є кращими слухачами.</w:t>
      </w:r>
    </w:p>
    <w:p w14:paraId="270F77D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Ще на думку вчених варто звертати увагу на фізичний стан допитуваної особи, адже він напряму пов’язаний із психічним станом. Звісно, під час допиту важко зробити якісь висновки щодо стану особи, навіть із наявністю медичної освіти та все – таки, це можливо виявити ґрунтуючись на власних спостереженнях під час того ж допиту.</w:t>
      </w:r>
    </w:p>
    <w:p w14:paraId="1774AF2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висновку можна зазначити, що без знань психології слідчому чи прокурору буде важко дізнатись потрібну інформацію під час допиту неповнолітнього. Крім того, вважаю обов’язковим під час проведення допиту залучати відповідних фахівців – психологів, для проведення такого допиту, що передбачено діючим законодавством.</w:t>
      </w:r>
    </w:p>
    <w:p w14:paraId="727001F2" w14:textId="77777777" w:rsidR="00532C25" w:rsidRPr="00511005" w:rsidRDefault="00532C25" w:rsidP="00532C25">
      <w:pPr>
        <w:spacing w:line="264" w:lineRule="auto"/>
        <w:ind w:firstLine="720"/>
        <w:jc w:val="center"/>
        <w:rPr>
          <w:rFonts w:ascii="Arial" w:eastAsia="Calibri" w:hAnsi="Arial" w:cs="Arial"/>
          <w:b/>
          <w:szCs w:val="28"/>
          <w:lang w:val="uk-UA"/>
        </w:rPr>
      </w:pPr>
    </w:p>
    <w:p w14:paraId="4E078325"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113F0161" w14:textId="77777777" w:rsidR="00532C25" w:rsidRPr="00511005" w:rsidRDefault="005938AD" w:rsidP="003F6A5D">
      <w:pPr>
        <w:widowControl w:val="0"/>
        <w:numPr>
          <w:ilvl w:val="0"/>
          <w:numId w:val="676"/>
        </w:numPr>
        <w:autoSpaceDE w:val="0"/>
        <w:autoSpaceDN w:val="0"/>
        <w:adjustRightInd w:val="0"/>
        <w:spacing w:line="264" w:lineRule="auto"/>
        <w:ind w:left="0" w:firstLine="720"/>
        <w:contextualSpacing/>
        <w:jc w:val="left"/>
        <w:rPr>
          <w:rFonts w:ascii="Arial" w:eastAsia="Times New Roman" w:hAnsi="Arial" w:cs="Arial"/>
          <w:szCs w:val="28"/>
          <w:lang w:val="uk-UA" w:eastAsia="ru-RU"/>
        </w:rPr>
      </w:pPr>
      <w:hyperlink r:id="rId1997" w:history="1">
        <w:r w:rsidR="00532C25" w:rsidRPr="00511005">
          <w:rPr>
            <w:rFonts w:ascii="Arial" w:eastAsia="Calibri" w:hAnsi="Arial" w:cs="Arial"/>
            <w:kern w:val="2"/>
            <w:szCs w:val="28"/>
            <w:lang w:val="uk-UA"/>
          </w:rPr>
          <w:t>Кримінальний кодекс України</w:t>
        </w:r>
      </w:hyperlink>
      <w:r w:rsidR="00532C25" w:rsidRPr="00511005">
        <w:rPr>
          <w:rFonts w:ascii="Arial" w:eastAsia="Times New Roman" w:hAnsi="Arial" w:cs="Arial"/>
          <w:szCs w:val="28"/>
          <w:lang w:val="uk-UA" w:eastAsia="ru-RU"/>
        </w:rPr>
        <w:t xml:space="preserve"> </w:t>
      </w:r>
      <w:r w:rsidR="00532C25" w:rsidRPr="00511005">
        <w:rPr>
          <w:rFonts w:ascii="Arial" w:eastAsia="Calibri" w:hAnsi="Arial" w:cs="Arial"/>
          <w:kern w:val="2"/>
          <w:szCs w:val="28"/>
          <w:lang w:val="uk-UA"/>
        </w:rPr>
        <w:t>від</w:t>
      </w:r>
      <w:r w:rsidR="00532C25" w:rsidRPr="00511005">
        <w:rPr>
          <w:rFonts w:ascii="Arial" w:eastAsia="Times New Roman" w:hAnsi="Arial" w:cs="Arial"/>
          <w:szCs w:val="28"/>
          <w:lang w:val="uk-UA" w:eastAsia="ru-RU"/>
        </w:rPr>
        <w:t xml:space="preserve"> </w:t>
      </w:r>
      <w:r w:rsidR="00532C25" w:rsidRPr="00511005">
        <w:rPr>
          <w:rFonts w:ascii="Arial" w:eastAsia="Calibri" w:hAnsi="Arial" w:cs="Arial"/>
          <w:kern w:val="2"/>
          <w:szCs w:val="28"/>
          <w:lang w:val="uk-UA"/>
        </w:rPr>
        <w:t>05.04.2001</w:t>
      </w:r>
      <w:r w:rsidR="00532C25" w:rsidRPr="00511005">
        <w:rPr>
          <w:rFonts w:ascii="Arial" w:eastAsia="Times New Roman" w:hAnsi="Arial" w:cs="Arial"/>
          <w:szCs w:val="28"/>
          <w:lang w:val="uk-UA" w:eastAsia="ru-RU"/>
        </w:rPr>
        <w:t xml:space="preserve"> </w:t>
      </w:r>
      <w:r w:rsidR="00532C25" w:rsidRPr="00511005">
        <w:rPr>
          <w:rFonts w:ascii="Arial" w:eastAsia="Calibri" w:hAnsi="Arial" w:cs="Arial"/>
          <w:kern w:val="2"/>
          <w:szCs w:val="28"/>
          <w:lang w:val="uk-UA"/>
        </w:rPr>
        <w:t>№</w:t>
      </w:r>
      <w:r w:rsidR="00532C25" w:rsidRPr="00511005">
        <w:rPr>
          <w:rFonts w:ascii="Arial" w:eastAsia="Times New Roman" w:hAnsi="Arial" w:cs="Arial"/>
          <w:szCs w:val="28"/>
          <w:lang w:val="uk-UA" w:eastAsia="ru-RU"/>
        </w:rPr>
        <w:t xml:space="preserve"> </w:t>
      </w:r>
      <w:r w:rsidR="00532C25" w:rsidRPr="00511005">
        <w:rPr>
          <w:rFonts w:ascii="Arial" w:eastAsia="Calibri" w:hAnsi="Arial" w:cs="Arial"/>
          <w:kern w:val="2"/>
          <w:szCs w:val="28"/>
          <w:lang w:val="uk-UA"/>
        </w:rPr>
        <w:t>2341-III</w:t>
      </w:r>
      <w:r w:rsidR="00532C25" w:rsidRPr="00511005">
        <w:rPr>
          <w:rFonts w:ascii="Arial" w:eastAsia="Times New Roman" w:hAnsi="Arial" w:cs="Arial"/>
          <w:szCs w:val="28"/>
          <w:lang w:val="uk-UA" w:eastAsia="ru-RU"/>
        </w:rPr>
        <w:t xml:space="preserve">. </w:t>
      </w:r>
      <w:r w:rsidR="00532C25" w:rsidRPr="00511005">
        <w:rPr>
          <w:rFonts w:ascii="Arial" w:eastAsia="Times New Roman" w:hAnsi="Arial" w:cs="Arial"/>
          <w:i/>
          <w:iCs/>
          <w:szCs w:val="28"/>
          <w:lang w:val="uk-UA" w:eastAsia="ru-RU"/>
        </w:rPr>
        <w:t>Відомості Верховної Ради України (ВВР)</w:t>
      </w:r>
      <w:r w:rsidR="00532C25" w:rsidRPr="00511005">
        <w:rPr>
          <w:rFonts w:ascii="Arial" w:eastAsia="Times New Roman" w:hAnsi="Arial" w:cs="Arial"/>
          <w:szCs w:val="28"/>
          <w:lang w:val="uk-UA" w:eastAsia="ru-RU"/>
        </w:rPr>
        <w:t xml:space="preserve">, 2001, № 25-26, ст.131. </w:t>
      </w:r>
      <w:r w:rsidR="00532C25" w:rsidRPr="00511005">
        <w:rPr>
          <w:rFonts w:ascii="Arial" w:eastAsia="Times New Roman" w:hAnsi="Arial" w:cs="Arial"/>
          <w:szCs w:val="28"/>
          <w:lang w:val="en-US" w:eastAsia="ru-RU"/>
        </w:rPr>
        <w:t>URL</w:t>
      </w:r>
      <w:r w:rsidR="00532C25" w:rsidRPr="00511005">
        <w:rPr>
          <w:rFonts w:ascii="Arial" w:eastAsia="Times New Roman" w:hAnsi="Arial" w:cs="Arial"/>
          <w:szCs w:val="28"/>
          <w:lang w:val="uk-UA" w:eastAsia="ru-RU"/>
        </w:rPr>
        <w:t xml:space="preserve">: </w:t>
      </w:r>
      <w:hyperlink r:id="rId1998" w:history="1">
        <w:r w:rsidR="00532C25" w:rsidRPr="00511005">
          <w:rPr>
            <w:rFonts w:ascii="Arial" w:eastAsia="Times New Roman" w:hAnsi="Arial" w:cs="Arial"/>
            <w:szCs w:val="28"/>
            <w:lang w:val="uk-UA" w:eastAsia="ru-RU"/>
          </w:rPr>
          <w:t>https://zakon.rada.gov.ua/laws/show/2341-14#n100</w:t>
        </w:r>
      </w:hyperlink>
      <w:r w:rsidR="00532C25" w:rsidRPr="00511005">
        <w:rPr>
          <w:rFonts w:ascii="Arial" w:eastAsia="Times New Roman" w:hAnsi="Arial" w:cs="Arial"/>
          <w:szCs w:val="28"/>
          <w:lang w:val="uk-UA" w:eastAsia="ru-RU"/>
        </w:rPr>
        <w:t xml:space="preserve"> (дата </w:t>
      </w:r>
      <w:proofErr w:type="gramStart"/>
      <w:r w:rsidR="00532C25" w:rsidRPr="00511005">
        <w:rPr>
          <w:rFonts w:ascii="Arial" w:eastAsia="Times New Roman" w:hAnsi="Arial" w:cs="Arial"/>
          <w:szCs w:val="28"/>
          <w:lang w:val="uk-UA" w:eastAsia="ru-RU"/>
        </w:rPr>
        <w:t>звернення :</w:t>
      </w:r>
      <w:proofErr w:type="gramEnd"/>
      <w:r w:rsidR="00532C25" w:rsidRPr="00511005">
        <w:rPr>
          <w:rFonts w:ascii="Arial" w:eastAsia="Times New Roman" w:hAnsi="Arial" w:cs="Arial"/>
          <w:szCs w:val="28"/>
          <w:lang w:val="uk-UA" w:eastAsia="ru-RU"/>
        </w:rPr>
        <w:t xml:space="preserve"> 16.04.2025)</w:t>
      </w:r>
    </w:p>
    <w:p w14:paraId="39249F09" w14:textId="77777777" w:rsidR="00532C25" w:rsidRPr="00511005" w:rsidRDefault="00532C25" w:rsidP="003F6A5D">
      <w:pPr>
        <w:widowControl w:val="0"/>
        <w:numPr>
          <w:ilvl w:val="0"/>
          <w:numId w:val="676"/>
        </w:numPr>
        <w:autoSpaceDE w:val="0"/>
        <w:autoSpaceDN w:val="0"/>
        <w:adjustRightInd w:val="0"/>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Про оперативно - розшукову діяльність : Закон України від 18.02.1992 № 2135- ХІІ. </w:t>
      </w:r>
      <w:r w:rsidRPr="00511005">
        <w:rPr>
          <w:rFonts w:ascii="Arial" w:eastAsia="Times New Roman" w:hAnsi="Arial" w:cs="Arial"/>
          <w:i/>
          <w:szCs w:val="28"/>
          <w:lang w:val="uk-UA" w:eastAsia="ru-RU"/>
        </w:rPr>
        <w:t xml:space="preserve">Відомості Верховної Ради України (ВВР), </w:t>
      </w:r>
      <w:r w:rsidRPr="00511005">
        <w:rPr>
          <w:rFonts w:ascii="Arial" w:eastAsia="Times New Roman" w:hAnsi="Arial" w:cs="Arial"/>
          <w:szCs w:val="28"/>
          <w:lang w:val="uk-UA" w:eastAsia="ru-RU"/>
        </w:rPr>
        <w:t xml:space="preserve">1992, №22, ст.303.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zakon</w:instrText>
      </w:r>
      <w:r w:rsidR="005938AD" w:rsidRPr="00055389">
        <w:rPr>
          <w:lang w:val="uk-UA"/>
        </w:rPr>
        <w:instrText>.</w:instrText>
      </w:r>
      <w:r w:rsidR="005938AD">
        <w:instrText>rada</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laws</w:instrText>
      </w:r>
      <w:r w:rsidR="005938AD" w:rsidRPr="00055389">
        <w:rPr>
          <w:lang w:val="uk-UA"/>
        </w:rPr>
        <w:instrText>/</w:instrText>
      </w:r>
      <w:r w:rsidR="005938AD">
        <w:instrText>show</w:instrText>
      </w:r>
      <w:r w:rsidR="005938AD" w:rsidRPr="00055389">
        <w:rPr>
          <w:lang w:val="uk-UA"/>
        </w:rPr>
        <w:instrText>/2135-12%23</w:instrText>
      </w:r>
      <w:r w:rsidR="005938AD">
        <w:instrText>Text</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eastAsia="ru-RU"/>
        </w:rPr>
        <w:t>https://zakon.rada.gov.ua/laws/show/2135-12#Text</w:t>
      </w:r>
      <w:r w:rsidR="005938AD">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xml:space="preserve"> (дата звернення: 16.04.2025)</w:t>
      </w:r>
    </w:p>
    <w:p w14:paraId="4CF5E9F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3. Ковальчук З.Я. Психологічні особливості допиту неповнолітніх у процесі проведення оперативно – розшукових дій. </w:t>
      </w:r>
      <w:r w:rsidRPr="00511005">
        <w:rPr>
          <w:rFonts w:ascii="Arial" w:eastAsia="Calibri" w:hAnsi="Arial" w:cs="Arial"/>
          <w:i/>
          <w:iCs/>
          <w:szCs w:val="28"/>
          <w:lang w:val="uk-UA"/>
        </w:rPr>
        <w:t>Науковий вісник Львівського державного університету внутрішніх справ.</w:t>
      </w:r>
      <w:r w:rsidRPr="00511005">
        <w:rPr>
          <w:rFonts w:ascii="Arial" w:eastAsia="Calibri" w:hAnsi="Arial" w:cs="Arial"/>
          <w:szCs w:val="28"/>
          <w:lang w:val="uk-UA"/>
        </w:rPr>
        <w:t xml:space="preserve"> 2010. 456с.</w:t>
      </w:r>
    </w:p>
    <w:p w14:paraId="111DB6C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4. </w:t>
      </w:r>
      <w:r w:rsidRPr="00511005">
        <w:rPr>
          <w:rFonts w:ascii="Arial" w:eastAsia="Calibri" w:hAnsi="Arial" w:cs="Arial"/>
          <w:szCs w:val="28"/>
        </w:rPr>
        <w:t>Сабуров А.С. Юридична психологія: навчальний посібник для студентів юрид. вузів та факультетів</w:t>
      </w:r>
      <w:r w:rsidRPr="00511005">
        <w:rPr>
          <w:rFonts w:ascii="Arial" w:eastAsia="Calibri" w:hAnsi="Arial" w:cs="Arial"/>
          <w:szCs w:val="28"/>
          <w:lang w:val="uk-UA"/>
        </w:rPr>
        <w:t xml:space="preserve">. </w:t>
      </w:r>
      <w:r w:rsidRPr="00511005">
        <w:rPr>
          <w:rFonts w:ascii="Arial" w:eastAsia="Calibri" w:hAnsi="Arial" w:cs="Arial"/>
          <w:szCs w:val="28"/>
        </w:rPr>
        <w:t>К.: ТП Пресс, 2003. 208 с.</w:t>
      </w:r>
    </w:p>
    <w:p w14:paraId="3BFA7292" w14:textId="77777777" w:rsidR="00532C25" w:rsidRPr="00511005" w:rsidRDefault="00532C25" w:rsidP="00532C25">
      <w:pPr>
        <w:spacing w:line="264" w:lineRule="auto"/>
        <w:ind w:firstLine="720"/>
        <w:rPr>
          <w:rFonts w:ascii="Arial" w:eastAsia="Calibri" w:hAnsi="Arial" w:cs="Arial"/>
          <w:szCs w:val="28"/>
          <w:lang w:val="uk-UA"/>
        </w:rPr>
      </w:pPr>
    </w:p>
    <w:p w14:paraId="120A294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szCs w:val="28"/>
          <w:lang w:val="uk-UA"/>
        </w:rPr>
        <w:t xml:space="preserve">Ключові слова: </w:t>
      </w:r>
      <w:r w:rsidRPr="00511005">
        <w:rPr>
          <w:rFonts w:ascii="Arial" w:eastAsia="Calibri" w:hAnsi="Arial" w:cs="Arial"/>
          <w:szCs w:val="28"/>
          <w:lang w:val="uk-UA"/>
        </w:rPr>
        <w:t>допит, неповнолітній, вік, вплив, слідчий.</w:t>
      </w:r>
    </w:p>
    <w:p w14:paraId="2ADF35C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Key words: </w:t>
      </w:r>
      <w:r w:rsidRPr="00511005">
        <w:rPr>
          <w:rFonts w:ascii="Arial" w:eastAsia="Calibri" w:hAnsi="Arial" w:cs="Arial"/>
          <w:szCs w:val="28"/>
          <w:lang w:val="uk-UA"/>
        </w:rPr>
        <w:t>interrogation, minor, age, influence, investigator.</w:t>
      </w:r>
    </w:p>
    <w:p w14:paraId="501F061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д.ю.н., завідувач кафедри, професор Аркуша Л.І.</w:t>
      </w:r>
    </w:p>
    <w:p w14:paraId="513937F5" w14:textId="77777777" w:rsidR="00532C25" w:rsidRPr="00511005" w:rsidRDefault="00532C25" w:rsidP="00532C25">
      <w:pPr>
        <w:spacing w:line="264" w:lineRule="auto"/>
        <w:ind w:firstLine="720"/>
        <w:jc w:val="center"/>
        <w:rPr>
          <w:rFonts w:ascii="Arial" w:eastAsia="Calibri" w:hAnsi="Arial" w:cs="Arial"/>
          <w:b/>
          <w:i/>
          <w:szCs w:val="28"/>
        </w:rPr>
      </w:pPr>
    </w:p>
    <w:p w14:paraId="1B24942A" w14:textId="77777777" w:rsidR="00532C25" w:rsidRPr="00511005" w:rsidRDefault="00532C25" w:rsidP="00532C25">
      <w:pPr>
        <w:spacing w:line="264" w:lineRule="auto"/>
        <w:ind w:firstLine="720"/>
        <w:jc w:val="center"/>
        <w:rPr>
          <w:rFonts w:ascii="Arial" w:eastAsia="Calibri" w:hAnsi="Arial" w:cs="Arial"/>
          <w:b/>
          <w:i/>
          <w:szCs w:val="28"/>
        </w:rPr>
      </w:pPr>
      <w:r w:rsidRPr="00511005">
        <w:rPr>
          <w:rFonts w:ascii="Arial" w:eastAsia="Calibri" w:hAnsi="Arial" w:cs="Arial"/>
          <w:b/>
          <w:i/>
          <w:szCs w:val="28"/>
        </w:rPr>
        <w:t>Макарук Софія Сергіївна</w:t>
      </w:r>
    </w:p>
    <w:p w14:paraId="6554C0C9"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7F74BB5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C437D54"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42BC414" w14:textId="77777777" w:rsidR="00532C25" w:rsidRPr="00511005" w:rsidRDefault="00532C25" w:rsidP="00532C25">
      <w:pPr>
        <w:spacing w:line="264" w:lineRule="auto"/>
        <w:ind w:firstLine="720"/>
        <w:jc w:val="left"/>
        <w:rPr>
          <w:rFonts w:ascii="Arial" w:eastAsia="Calibri" w:hAnsi="Arial" w:cs="Arial"/>
          <w:i/>
          <w:iCs/>
          <w:szCs w:val="28"/>
        </w:rPr>
      </w:pPr>
    </w:p>
    <w:p w14:paraId="1E0DEE76"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rPr>
        <w:t>КРИМІНАЛІСТИЧНА КЛАСИФІКАЦІЯ СПОСОБІВ ПРИХОВУВАННЯ ВБИВСТВ</w:t>
      </w:r>
    </w:p>
    <w:p w14:paraId="1781EB61" w14:textId="77777777" w:rsidR="00532C25" w:rsidRPr="00511005" w:rsidRDefault="00532C25" w:rsidP="00532C25">
      <w:pPr>
        <w:keepNext/>
        <w:tabs>
          <w:tab w:val="left" w:pos="4836"/>
        </w:tabs>
        <w:spacing w:line="264" w:lineRule="auto"/>
        <w:ind w:firstLine="720"/>
        <w:rPr>
          <w:rFonts w:ascii="Arial" w:eastAsia="Calibri" w:hAnsi="Arial" w:cs="Arial"/>
          <w:szCs w:val="28"/>
        </w:rPr>
      </w:pPr>
      <w:r w:rsidRPr="00511005">
        <w:rPr>
          <w:rFonts w:ascii="Arial" w:eastAsia="Calibri" w:hAnsi="Arial" w:cs="Arial"/>
          <w:szCs w:val="28"/>
        </w:rPr>
        <w:t xml:space="preserve">Актуальність дослідження способів приховування злочинів обумовлена їх значущістю в контексті ефективності кримінального розслідування. Злочинці часто використовують різноманітні методи маскування, що можуть стати серйозною перепоною для встановлення істини. </w:t>
      </w:r>
    </w:p>
    <w:p w14:paraId="6E2F98CA" w14:textId="77777777" w:rsidR="00532C25" w:rsidRPr="00511005" w:rsidRDefault="00532C25" w:rsidP="00532C25">
      <w:pPr>
        <w:keepNext/>
        <w:tabs>
          <w:tab w:val="left" w:pos="4836"/>
        </w:tabs>
        <w:spacing w:line="264" w:lineRule="auto"/>
        <w:ind w:firstLine="720"/>
        <w:rPr>
          <w:rFonts w:ascii="Arial" w:eastAsia="Calibri" w:hAnsi="Arial" w:cs="Arial"/>
          <w:szCs w:val="28"/>
        </w:rPr>
      </w:pP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криміналістичної науки питання приховування злочинів, зокрема умисних убивств, набуває особливої ваги, оскільки саме дії з маскування, спотворення або знищення інформації часто істотно ускладнюють виявлення істини та притягнення винних до відповідальності. У цьому контексті варто звернутися до осмислення самого поняття приховування, яке в теорії криміналістики розглядається не просто як спроба «сховати» наслідки злочину, а як системна, свідома і заздалегідь спланована діяльність, що має на меті виведення об’єктивної інформації з поля зору правоохоронних органів. На думку В.М. Карагодіна, приховування слід розуміти як дії щодо збереження у таємниці або цілковитого утаювання фактів, предметів чи явищ, які можуть мати значення для встановлення істини у кримінальному </w:t>
      </w:r>
      <w:proofErr w:type="gramStart"/>
      <w:r w:rsidRPr="00511005">
        <w:rPr>
          <w:rFonts w:ascii="Arial" w:eastAsia="Calibri" w:hAnsi="Arial" w:cs="Arial"/>
          <w:szCs w:val="28"/>
        </w:rPr>
        <w:t>провадженні .</w:t>
      </w:r>
      <w:proofErr w:type="gramEnd"/>
      <w:r w:rsidRPr="00511005">
        <w:rPr>
          <w:rFonts w:ascii="Arial" w:eastAsia="Calibri" w:hAnsi="Arial" w:cs="Arial"/>
          <w:szCs w:val="28"/>
        </w:rPr>
        <w:t xml:space="preserve"> Це означає, що будь-який спосіб маскування слідів або знищення доказів – не випадковий, а підпорядкований єдиній меті: завадити об’єктивному розслідуванню [</w:t>
      </w:r>
      <w:proofErr w:type="gramStart"/>
      <w:r w:rsidRPr="00511005">
        <w:rPr>
          <w:rFonts w:ascii="Arial" w:eastAsia="Calibri" w:hAnsi="Arial" w:cs="Arial"/>
          <w:szCs w:val="28"/>
        </w:rPr>
        <w:t>1,с.</w:t>
      </w:r>
      <w:proofErr w:type="gramEnd"/>
      <w:r w:rsidRPr="00511005">
        <w:rPr>
          <w:rFonts w:ascii="Arial" w:eastAsia="Calibri" w:hAnsi="Arial" w:cs="Arial"/>
          <w:szCs w:val="28"/>
        </w:rPr>
        <w:t>223].</w:t>
      </w:r>
    </w:p>
    <w:p w14:paraId="33057232" w14:textId="77777777" w:rsidR="00532C25" w:rsidRPr="00511005" w:rsidRDefault="00532C25" w:rsidP="00532C25">
      <w:pPr>
        <w:keepNext/>
        <w:tabs>
          <w:tab w:val="left" w:pos="4836"/>
        </w:tabs>
        <w:spacing w:line="264" w:lineRule="auto"/>
        <w:ind w:firstLine="720"/>
        <w:rPr>
          <w:rFonts w:ascii="Arial" w:eastAsia="Calibri" w:hAnsi="Arial" w:cs="Arial"/>
          <w:szCs w:val="28"/>
        </w:rPr>
      </w:pPr>
      <w:r w:rsidRPr="00511005">
        <w:rPr>
          <w:rFonts w:ascii="Arial" w:eastAsia="Calibri" w:hAnsi="Arial" w:cs="Arial"/>
          <w:szCs w:val="28"/>
        </w:rPr>
        <w:t xml:space="preserve">М. Лузгін, у свою чергу, вказує, що приховування передбачає спотворення дійсності, тобто створення ілюзорного уявлення про події або </w:t>
      </w:r>
      <w:r w:rsidRPr="00511005">
        <w:rPr>
          <w:rFonts w:ascii="Arial" w:eastAsia="Calibri" w:hAnsi="Arial" w:cs="Arial"/>
          <w:szCs w:val="28"/>
        </w:rPr>
        <w:lastRenderedPageBreak/>
        <w:t>їх перебіг, що унеможливлює встановлення причинно-наслідкових зв’язків між діями злочинця та фактом правопорушення. У цьому аспекті приховування розглядається не як одинична дія, а як цілісний поведінковий комплекс – форма активної протидії процесу досудового розслідування. Відповідно до криміналістичної класифікації, приховування злочинів охоплює різні напрями, серед яких варто виокремити: фізичне приховування тіл потерпілих або слідів злочину; навмисне знищення речових доказів; використання фальшивих документів для створення хибної картини події; інсценування нещасного випадку; вплив на свідків або учасників процесу шляхом шантажу, підкупу або погроз [</w:t>
      </w:r>
      <w:proofErr w:type="gramStart"/>
      <w:r w:rsidRPr="00511005">
        <w:rPr>
          <w:rFonts w:ascii="Arial" w:eastAsia="Calibri" w:hAnsi="Arial" w:cs="Arial"/>
          <w:szCs w:val="28"/>
        </w:rPr>
        <w:t>1,с.</w:t>
      </w:r>
      <w:proofErr w:type="gramEnd"/>
      <w:r w:rsidRPr="00511005">
        <w:rPr>
          <w:rFonts w:ascii="Arial" w:eastAsia="Calibri" w:hAnsi="Arial" w:cs="Arial"/>
          <w:szCs w:val="28"/>
        </w:rPr>
        <w:t>223].</w:t>
      </w:r>
    </w:p>
    <w:p w14:paraId="72FAC8E5" w14:textId="77777777" w:rsidR="00532C25" w:rsidRPr="00511005" w:rsidRDefault="00532C25" w:rsidP="00532C25">
      <w:pPr>
        <w:keepNext/>
        <w:tabs>
          <w:tab w:val="left" w:pos="4836"/>
        </w:tabs>
        <w:spacing w:line="264" w:lineRule="auto"/>
        <w:ind w:firstLine="720"/>
        <w:rPr>
          <w:rFonts w:ascii="Arial" w:eastAsia="Calibri" w:hAnsi="Arial" w:cs="Arial"/>
          <w:szCs w:val="28"/>
        </w:rPr>
      </w:pPr>
      <w:r w:rsidRPr="00511005">
        <w:rPr>
          <w:rFonts w:ascii="Arial" w:eastAsia="Calibri" w:hAnsi="Arial" w:cs="Arial"/>
          <w:szCs w:val="28"/>
        </w:rPr>
        <w:t>У сучасному розумінні приховування розглядається як повноцінна форма опору з боку злочинця, що охоплює не лише дії після вчинення злочину, але й часто включає підготовчі етапи – зокрема планування шляхів знищення доказів або введення в оману правоохоронних органів. Ці дії є складовою криміналістично значущих моделей поведінки, які мають бути враховані під час розслідування. Водночас варто зазначити, що наявність чіткої класифікації способів приховування злочинів дозволяє не тільки систематизувати подібні дії, але й вибудовувати ефективні алгоритми дій слідчого з урахуванням типових схем протидії. Це, своєю чергою, сприяє підвищенню результативності процесу розслідування та зменшенню ризиків втрати доказової інформації [</w:t>
      </w:r>
      <w:proofErr w:type="gramStart"/>
      <w:r w:rsidRPr="00511005">
        <w:rPr>
          <w:rFonts w:ascii="Arial" w:eastAsia="Calibri" w:hAnsi="Arial" w:cs="Arial"/>
          <w:szCs w:val="28"/>
        </w:rPr>
        <w:t>1,с.</w:t>
      </w:r>
      <w:proofErr w:type="gramEnd"/>
      <w:r w:rsidRPr="00511005">
        <w:rPr>
          <w:rFonts w:ascii="Arial" w:eastAsia="Calibri" w:hAnsi="Arial" w:cs="Arial"/>
          <w:szCs w:val="28"/>
        </w:rPr>
        <w:t>223].</w:t>
      </w:r>
    </w:p>
    <w:p w14:paraId="19F9E624"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Приховування злочинів вважається важливим етапом, що суттєво ускладнює розслідування та забезпечує необхідну таємність для злочинців. Основними методами приховування є дії, які спрямовані на збереження в таємниці особи злочинця, слідів злочину, знарядь вчинення правопорушень, а також здобутих злочинним шляхом речей і майна. Окрім того, ці дії можуть включати легалізацію (відмивання) коштів і майна, що були отримані незаконним шляхом. На більш практичному рівні такі дії можуть бути виражені в забезпеченні схованки для злочинця, наданні йому транспортних засобів, зміні зовнішнього вигляду або ж створенні підроблених документів. Ці способи значно ускладнюють пошук і затримання злочинця, що робить їх важливими елементами криміналістичної діяльності.</w:t>
      </w:r>
    </w:p>
    <w:p w14:paraId="22FEAAC0"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Водночас, з точки зору криміналістичної класифікації, способи приховування злочинів, зокрема відповідно до статті 396 Кримінального кодексу України, можуть бути значно різноманітнішими. Серед найбільш поширених форм – надання неправдивих показань, включаючи створення фальшивого алібі, а також переміщення або знищення інформаційних носіїв, які можуть слугувати доказами у справі. Іншими способами є знищення або приховування знарядь злочину, а також різноманітні об’єкти, що безпосередньо мають відношення до скоєного правопорушення. Всі ці методи мають свою специфіку та можуть бути класифіковані за різними ознаками в рамках криміналістичного дослідження. Потреба в </w:t>
      </w:r>
      <w:r w:rsidRPr="00511005">
        <w:rPr>
          <w:rFonts w:ascii="Arial" w:eastAsia="Calibri" w:hAnsi="Arial" w:cs="Arial"/>
          <w:szCs w:val="28"/>
        </w:rPr>
        <w:lastRenderedPageBreak/>
        <w:t>систематизації цих методів є очевидною, адже правильна класифікація дозволяє організувати роботу слідчих, структуровано підходити до вирішення питання розслідування та виявлення прихованих злочинів. Класифікація виступає як важливий інструмент, який дозволяє упорядкувати типи злочинних дій і зробити процес виявлення злочинців більш ефективним. Вона включає не лише формальні групування, а й специфікацію дій, що мають криміналістичну значущість. М.С. Уткін у своїй класифікації пропонує поділ на кілька категорій за етапами злочинної діяльності: найкваліфікованіші (повно структурні), які охоплюють всі етапи, від підготовки до приховування злочину; менш кваліфіковані, що включають лише підготовку та вчинення злочину або ж його вчинення та приховування. Окрім того, виділяються некваліфіковані або спрощені способи, що складаються лише з дій, спрямованих на безпосереднє вчинення злочину. Така класифікація є важливим інструментом для правильної оцінки кожного випадку і врахування всіх необхідних аспектів під час криміналістичного розслідування [</w:t>
      </w:r>
      <w:proofErr w:type="gramStart"/>
      <w:r w:rsidRPr="00511005">
        <w:rPr>
          <w:rFonts w:ascii="Arial" w:eastAsia="Calibri" w:hAnsi="Arial" w:cs="Arial"/>
          <w:szCs w:val="28"/>
        </w:rPr>
        <w:t>2,с.</w:t>
      </w:r>
      <w:proofErr w:type="gramEnd"/>
      <w:r w:rsidRPr="00511005">
        <w:rPr>
          <w:rFonts w:ascii="Arial" w:eastAsia="Calibri" w:hAnsi="Arial" w:cs="Arial"/>
          <w:szCs w:val="28"/>
        </w:rPr>
        <w:t>317].</w:t>
      </w:r>
    </w:p>
    <w:p w14:paraId="1EE96005"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Отже, у сучасній криміналістиці приховування злочинів, зокрема умисних убивств, є складним і важливим етапом розслідування, що значно ускладнює процес виявлення злочинців і доказів. Системне планування і виконання дій щодо маскування, знищення доказів або спотворення фактів сприяють підвищенню ефективності протидії розслідуванню. </w:t>
      </w:r>
    </w:p>
    <w:p w14:paraId="7A15523D" w14:textId="77777777" w:rsidR="00532C25" w:rsidRPr="00511005" w:rsidRDefault="00532C25" w:rsidP="00532C25">
      <w:pPr>
        <w:keepNext/>
        <w:tabs>
          <w:tab w:val="left" w:pos="4836"/>
        </w:tabs>
        <w:spacing w:line="264" w:lineRule="auto"/>
        <w:ind w:firstLine="720"/>
        <w:jc w:val="center"/>
        <w:rPr>
          <w:rFonts w:ascii="Arial" w:eastAsia="Calibri" w:hAnsi="Arial" w:cs="Arial"/>
          <w:b/>
          <w:szCs w:val="28"/>
        </w:rPr>
      </w:pPr>
    </w:p>
    <w:p w14:paraId="1F00F7BB" w14:textId="77777777" w:rsidR="00532C25" w:rsidRPr="00511005" w:rsidRDefault="00532C25" w:rsidP="00532C25">
      <w:pPr>
        <w:keepNext/>
        <w:tabs>
          <w:tab w:val="left" w:pos="4836"/>
        </w:tabs>
        <w:spacing w:line="264" w:lineRule="auto"/>
        <w:ind w:firstLine="720"/>
        <w:jc w:val="center"/>
        <w:rPr>
          <w:rFonts w:ascii="Arial" w:eastAsia="Calibri" w:hAnsi="Arial" w:cs="Arial"/>
          <w:b/>
          <w:szCs w:val="28"/>
        </w:rPr>
      </w:pPr>
      <w:r w:rsidRPr="00511005">
        <w:rPr>
          <w:rFonts w:ascii="Arial" w:eastAsia="Calibri" w:hAnsi="Arial" w:cs="Arial"/>
          <w:b/>
          <w:szCs w:val="28"/>
          <w:lang w:val="uk-UA"/>
        </w:rPr>
        <w:t>Список використаних джерел</w:t>
      </w:r>
    </w:p>
    <w:p w14:paraId="032C874C" w14:textId="77777777" w:rsidR="00532C25" w:rsidRPr="00511005" w:rsidRDefault="00532C25" w:rsidP="003F6A5D">
      <w:pPr>
        <w:numPr>
          <w:ilvl w:val="0"/>
          <w:numId w:val="624"/>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Павлюк О.С. Криміналістична характеристика способів приховування вбивств осіб похилого віку та одиоких осіб, пов’язаних із заволодінням їхнім майном // Право і суспільство. – 2017. – № 2. – С. 222-227.</w:t>
      </w:r>
    </w:p>
    <w:p w14:paraId="5E4F113A" w14:textId="77777777" w:rsidR="00532C25" w:rsidRPr="00511005" w:rsidRDefault="00532C25" w:rsidP="003F6A5D">
      <w:pPr>
        <w:numPr>
          <w:ilvl w:val="0"/>
          <w:numId w:val="624"/>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Четвертак Д.Ю. Криміналістична характеристика типових способів вчинення приховування злочинів // Право і суспільство. – 2015. – № 2. – С. 314-320.</w:t>
      </w:r>
    </w:p>
    <w:p w14:paraId="1A54B4C4" w14:textId="77777777" w:rsidR="00532C25" w:rsidRPr="00511005" w:rsidRDefault="00532C25" w:rsidP="00532C25">
      <w:pPr>
        <w:keepNext/>
        <w:tabs>
          <w:tab w:val="left" w:pos="4836"/>
        </w:tabs>
        <w:spacing w:line="264" w:lineRule="auto"/>
        <w:ind w:firstLine="720"/>
        <w:jc w:val="center"/>
        <w:rPr>
          <w:rFonts w:ascii="Arial" w:eastAsia="Calibri" w:hAnsi="Arial" w:cs="Arial"/>
          <w:szCs w:val="28"/>
        </w:rPr>
      </w:pPr>
    </w:p>
    <w:p w14:paraId="3EA793C0" w14:textId="77777777" w:rsidR="00532C25" w:rsidRPr="00511005" w:rsidRDefault="00532C25" w:rsidP="00532C25">
      <w:pPr>
        <w:keepNext/>
        <w:spacing w:line="264" w:lineRule="auto"/>
        <w:ind w:firstLine="720"/>
        <w:rPr>
          <w:rFonts w:ascii="Arial" w:eastAsia="Calibri" w:hAnsi="Arial" w:cs="Arial"/>
          <w:szCs w:val="28"/>
        </w:rPr>
      </w:pPr>
      <w:r w:rsidRPr="00511005">
        <w:rPr>
          <w:rFonts w:ascii="Arial" w:eastAsia="Calibri" w:hAnsi="Arial" w:cs="Arial"/>
          <w:b/>
          <w:i/>
          <w:szCs w:val="28"/>
        </w:rPr>
        <w:t xml:space="preserve">Ключові слова: </w:t>
      </w:r>
      <w:r w:rsidRPr="00511005">
        <w:rPr>
          <w:rFonts w:ascii="Arial" w:eastAsia="Calibri" w:hAnsi="Arial" w:cs="Arial"/>
          <w:szCs w:val="28"/>
        </w:rPr>
        <w:t>криміналістична характеристика, способи приховування злочинів, типи злочинів, вбивства, заволодіння майном, правопорушення.</w:t>
      </w:r>
    </w:p>
    <w:p w14:paraId="3DDC10B4" w14:textId="77777777" w:rsidR="00532C25" w:rsidRPr="00511005" w:rsidRDefault="00532C25" w:rsidP="00532C25">
      <w:pPr>
        <w:keepNext/>
        <w:spacing w:line="264" w:lineRule="auto"/>
        <w:ind w:firstLine="720"/>
        <w:rPr>
          <w:rFonts w:ascii="Arial" w:eastAsia="Calibri" w:hAnsi="Arial" w:cs="Arial"/>
          <w:szCs w:val="28"/>
          <w:lang w:val="en-US"/>
        </w:rPr>
      </w:pPr>
      <w:r w:rsidRPr="00511005">
        <w:rPr>
          <w:rFonts w:ascii="Arial" w:eastAsia="Calibri" w:hAnsi="Arial" w:cs="Arial"/>
          <w:b/>
          <w:i/>
          <w:szCs w:val="28"/>
          <w:lang w:val="en-US"/>
        </w:rPr>
        <w:t xml:space="preserve">Key words: </w:t>
      </w:r>
      <w:r w:rsidRPr="00511005">
        <w:rPr>
          <w:rFonts w:ascii="Arial" w:eastAsia="Calibri" w:hAnsi="Arial" w:cs="Arial"/>
          <w:bCs/>
          <w:szCs w:val="28"/>
          <w:lang w:val="en-US"/>
        </w:rPr>
        <w:t>forensic characteristics, methods of concealing crimes, types of crimes, murders, property theft, offenses.</w:t>
      </w:r>
    </w:p>
    <w:p w14:paraId="3E79AF12" w14:textId="77777777" w:rsidR="00532C25" w:rsidRPr="00511005" w:rsidRDefault="00532C25" w:rsidP="00532C25">
      <w:pPr>
        <w:keepNext/>
        <w:spacing w:line="264" w:lineRule="auto"/>
        <w:ind w:firstLine="720"/>
        <w:rPr>
          <w:rFonts w:ascii="Arial" w:eastAsia="Calibri" w:hAnsi="Arial" w:cs="Arial"/>
          <w:bCs/>
          <w:i/>
          <w:iCs/>
          <w:szCs w:val="28"/>
          <w:lang w:val="uk-UA"/>
        </w:rPr>
      </w:pPr>
      <w:r w:rsidRPr="00511005">
        <w:rPr>
          <w:rFonts w:ascii="Arial" w:eastAsia="Calibri" w:hAnsi="Arial" w:cs="Arial"/>
          <w:b/>
          <w:bCs/>
          <w:i/>
          <w:iCs/>
          <w:szCs w:val="28"/>
        </w:rPr>
        <w:t xml:space="preserve">Науковий керівник: </w:t>
      </w:r>
      <w:r w:rsidRPr="00511005">
        <w:rPr>
          <w:rFonts w:ascii="Arial" w:eastAsia="Calibri" w:hAnsi="Arial" w:cs="Arial"/>
          <w:bCs/>
          <w:i/>
          <w:iCs/>
          <w:szCs w:val="28"/>
        </w:rPr>
        <w:t xml:space="preserve">к.ю.н., доцент </w:t>
      </w:r>
      <w:r w:rsidRPr="00511005">
        <w:rPr>
          <w:rFonts w:ascii="Arial" w:eastAsia="Calibri" w:hAnsi="Arial" w:cs="Arial"/>
          <w:bCs/>
          <w:i/>
          <w:iCs/>
          <w:szCs w:val="28"/>
          <w:lang w:val="uk-UA"/>
        </w:rPr>
        <w:t>Чумак</w:t>
      </w:r>
      <w:r w:rsidRPr="00511005">
        <w:rPr>
          <w:rFonts w:ascii="Arial" w:eastAsia="Calibri" w:hAnsi="Arial" w:cs="Arial"/>
          <w:bCs/>
          <w:i/>
          <w:iCs/>
          <w:szCs w:val="28"/>
        </w:rPr>
        <w:t xml:space="preserve"> С.</w:t>
      </w:r>
      <w:r w:rsidRPr="00511005">
        <w:rPr>
          <w:rFonts w:ascii="Arial" w:eastAsia="Calibri" w:hAnsi="Arial" w:cs="Arial"/>
          <w:bCs/>
          <w:i/>
          <w:iCs/>
          <w:szCs w:val="28"/>
          <w:lang w:val="uk-UA"/>
        </w:rPr>
        <w:t>П.</w:t>
      </w:r>
    </w:p>
    <w:p w14:paraId="5D3E0BAC" w14:textId="77777777" w:rsidR="00532C25" w:rsidRPr="00511005" w:rsidRDefault="00532C25" w:rsidP="00532C25">
      <w:pPr>
        <w:spacing w:line="264" w:lineRule="auto"/>
        <w:ind w:firstLine="720"/>
        <w:jc w:val="center"/>
        <w:rPr>
          <w:rFonts w:ascii="Arial" w:eastAsia="Times New Roman" w:hAnsi="Arial" w:cs="Arial"/>
          <w:b/>
          <w:bCs/>
          <w:i/>
          <w:iCs/>
          <w:szCs w:val="28"/>
        </w:rPr>
      </w:pPr>
    </w:p>
    <w:p w14:paraId="30529FED" w14:textId="77777777" w:rsidR="00532C25" w:rsidRPr="00511005" w:rsidRDefault="00532C25" w:rsidP="00532C25">
      <w:pPr>
        <w:spacing w:line="264" w:lineRule="auto"/>
        <w:ind w:firstLine="720"/>
        <w:jc w:val="center"/>
        <w:rPr>
          <w:rFonts w:ascii="Arial" w:eastAsia="Times New Roman" w:hAnsi="Arial" w:cs="Arial"/>
          <w:b/>
          <w:bCs/>
          <w:i/>
          <w:iCs/>
          <w:szCs w:val="28"/>
        </w:rPr>
      </w:pPr>
      <w:r w:rsidRPr="00511005">
        <w:rPr>
          <w:rFonts w:ascii="Arial" w:eastAsia="Times New Roman" w:hAnsi="Arial" w:cs="Arial"/>
          <w:b/>
          <w:bCs/>
          <w:i/>
          <w:iCs/>
          <w:szCs w:val="28"/>
        </w:rPr>
        <w:t>Манів Надія Романівна</w:t>
      </w:r>
    </w:p>
    <w:p w14:paraId="6CCE03CA" w14:textId="77777777" w:rsidR="00532C25" w:rsidRPr="00511005" w:rsidRDefault="00532C25" w:rsidP="00532C25">
      <w:pPr>
        <w:spacing w:line="264" w:lineRule="auto"/>
        <w:ind w:firstLine="720"/>
        <w:jc w:val="center"/>
        <w:rPr>
          <w:rFonts w:ascii="Arial" w:eastAsia="Times New Roman" w:hAnsi="Arial" w:cs="Arial"/>
          <w:szCs w:val="28"/>
        </w:rPr>
      </w:pPr>
      <w:r w:rsidRPr="00511005">
        <w:rPr>
          <w:rFonts w:ascii="Arial" w:eastAsia="Times New Roman" w:hAnsi="Arial" w:cs="Arial"/>
          <w:szCs w:val="28"/>
        </w:rPr>
        <w:t xml:space="preserve">студентка 1-го курсу магістратури факультету судового та міжнародного права </w:t>
      </w:r>
    </w:p>
    <w:p w14:paraId="36743B2B" w14:textId="77777777" w:rsidR="00532C25" w:rsidRPr="00511005" w:rsidRDefault="00532C25" w:rsidP="00532C25">
      <w:pPr>
        <w:spacing w:line="264" w:lineRule="auto"/>
        <w:ind w:firstLine="720"/>
        <w:jc w:val="center"/>
        <w:rPr>
          <w:rFonts w:ascii="Arial" w:eastAsia="Times New Roman" w:hAnsi="Arial" w:cs="Arial"/>
          <w:szCs w:val="28"/>
        </w:rPr>
      </w:pPr>
      <w:r w:rsidRPr="00511005">
        <w:rPr>
          <w:rFonts w:ascii="Arial" w:eastAsia="Times New Roman" w:hAnsi="Arial" w:cs="Arial"/>
          <w:szCs w:val="28"/>
        </w:rPr>
        <w:t>Національного університету «Одеська юридична академія»</w:t>
      </w:r>
    </w:p>
    <w:p w14:paraId="240EB1EC" w14:textId="77777777" w:rsidR="00532C25" w:rsidRPr="00511005" w:rsidRDefault="00532C25" w:rsidP="00532C25">
      <w:pPr>
        <w:spacing w:line="264" w:lineRule="auto"/>
        <w:ind w:firstLine="720"/>
        <w:jc w:val="center"/>
        <w:rPr>
          <w:rFonts w:ascii="Arial" w:eastAsia="Times New Roman" w:hAnsi="Arial" w:cs="Arial"/>
          <w:szCs w:val="28"/>
        </w:rPr>
      </w:pPr>
    </w:p>
    <w:p w14:paraId="62CC6148" w14:textId="77777777" w:rsidR="00532C25" w:rsidRPr="00511005" w:rsidRDefault="00532C25" w:rsidP="00532C25">
      <w:pPr>
        <w:spacing w:line="264" w:lineRule="auto"/>
        <w:ind w:firstLine="720"/>
        <w:jc w:val="center"/>
        <w:rPr>
          <w:rFonts w:ascii="Arial" w:eastAsia="Times New Roman" w:hAnsi="Arial" w:cs="Arial"/>
          <w:b/>
          <w:bCs/>
          <w:szCs w:val="28"/>
        </w:rPr>
      </w:pPr>
      <w:r w:rsidRPr="00511005">
        <w:rPr>
          <w:rFonts w:ascii="Arial" w:eastAsia="Times New Roman" w:hAnsi="Arial" w:cs="Arial"/>
          <w:b/>
          <w:bCs/>
          <w:szCs w:val="28"/>
        </w:rPr>
        <w:t>ОСОБЛИВОСТІ КРИМІНАЛІСТИЧНОГО ВІДБОРУ ДНК-ЗРАЗКІВ У ВІЙСЬКОВОСЛУЖБОВЦІВ В УМОВАХ ПРАВОВОГО РЕЖИМУ ВОЄННОГО СТАНУ</w:t>
      </w:r>
    </w:p>
    <w:p w14:paraId="55BCE9FC"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Розпочате 24 лютого 2022 року повномасштабне вторгнення Російської Федерації суттєво змінило всі сферах суспільного життя українців. Унаслідок широкомасштабних бойових дій уздовж понад дві тисячі кілометрів лінії бойового зіткнення, масованих обстрілів українських міст і сіл, зокрема із застосуванням забороненого міжнародними конвенціями озброєння, численних випадків захоплення в полон військовослужбовців ЗСУ, примусового виселення та викрадення мирного населення на тимчасово окупованих територіях, а також вчинення інших злочинів з боку держави-агресора – особливої важливості набули питання, пов’язані з пошуком і встановленням осіб, зниклих безвісти, процесом виявлення та вилучення тіл загиблих осіб – як військових, так і цивільних, ідентифікації їхніх останків та низка інших питань.</w:t>
      </w:r>
    </w:p>
    <w:p w14:paraId="4B6958CA" w14:textId="77777777" w:rsidR="00532C25" w:rsidRPr="00511005" w:rsidRDefault="00532C25" w:rsidP="00532C25">
      <w:pPr>
        <w:spacing w:line="264" w:lineRule="auto"/>
        <w:ind w:firstLine="720"/>
        <w:rPr>
          <w:rFonts w:ascii="Arial" w:eastAsia="Times New Roman" w:hAnsi="Arial" w:cs="Arial"/>
          <w:szCs w:val="28"/>
        </w:rPr>
      </w:pPr>
      <w:proofErr w:type="gramStart"/>
      <w:r w:rsidRPr="00511005">
        <w:rPr>
          <w:rFonts w:ascii="Arial" w:eastAsia="Times New Roman" w:hAnsi="Arial" w:cs="Arial"/>
          <w:szCs w:val="28"/>
        </w:rPr>
        <w:t>На початку</w:t>
      </w:r>
      <w:proofErr w:type="gramEnd"/>
      <w:r w:rsidRPr="00511005">
        <w:rPr>
          <w:rFonts w:ascii="Arial" w:eastAsia="Times New Roman" w:hAnsi="Arial" w:cs="Arial"/>
          <w:szCs w:val="28"/>
        </w:rPr>
        <w:t xml:space="preserve"> війни 2014 року в Міністерстві оборони України та Генеральному штабі ЗСУ не було ані спеціалістів-пошуковців, ані спеціалізованих підрозділів чи експертно-медичних служб, здатних допомогти в процедурі ідентифікації останків невідомих загиблих або зниклих безвісти з числа військових. Внаслідок цього керівництво Збройних сил України змушене було звертатися за допомогою до організацій з досвідом у цій сфері, зокрема до Бюро Центрального агентства Міжнародного Комітету Червоного Хреста з розшуку для міжнародного збройного конфлікту в Україні (Бюро ЦАР). Бюро ЦАР збирає, збирає та передає інформацію про долю та місцезнаходження осіб, як військових, так і цивільних, які опинилися в полоні у противника. Окрім того, у співпраці з мережею делегацій МКЧХ та Національних товариств Червоного Хреста й Червоного Півмісяця, накопичення допомагає родинам, розлученим через збройний конфлікт, знайти зниклих безвісти рідних.</w:t>
      </w:r>
    </w:p>
    <w:p w14:paraId="23801AF8"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У вересні 2015 року було створено відділ пошукової роботи, а також розпочав діяльність Гуманітарний проєкт «Евакуація-200», що опікувався розшуком і вивезенням тіл загиблих. Відповідно до доручення Головнокомандувача Збройних сил України, в 2022 році, у підрозділах цивільно-військового співробітництва, які здійснюють транспортування тіл полеглих захисників, цей проєкт було реформовано в Гуманітарний проєкт «На щиті». </w:t>
      </w:r>
    </w:p>
    <w:p w14:paraId="049770EB"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Важливим і практичним кроком </w:t>
      </w:r>
      <w:proofErr w:type="gramStart"/>
      <w:r w:rsidRPr="00511005">
        <w:rPr>
          <w:rFonts w:ascii="Arial" w:eastAsia="Times New Roman" w:hAnsi="Arial" w:cs="Arial"/>
          <w:szCs w:val="28"/>
        </w:rPr>
        <w:t>на шляху</w:t>
      </w:r>
      <w:proofErr w:type="gramEnd"/>
      <w:r w:rsidRPr="00511005">
        <w:rPr>
          <w:rFonts w:ascii="Arial" w:eastAsia="Times New Roman" w:hAnsi="Arial" w:cs="Arial"/>
          <w:szCs w:val="28"/>
        </w:rPr>
        <w:t xml:space="preserve"> до вирішення питань, пов’язаних із розшуком осіб, що зникли безвісти за особливих обставин, а також ведення їх обліку та забезпечення соціального захисту, стало ухвалення 14 квітня 2022 року Верховною Радою України Закону №2191-IX. Цим актом було внесено зміни до Закону України «Про правовий статус осіб, </w:t>
      </w:r>
      <w:r w:rsidRPr="00511005">
        <w:rPr>
          <w:rFonts w:ascii="Arial" w:eastAsia="Times New Roman" w:hAnsi="Arial" w:cs="Arial"/>
          <w:szCs w:val="28"/>
        </w:rPr>
        <w:lastRenderedPageBreak/>
        <w:t>зниклих безвісти» та низки інших нормативно-правових документів з метою вдосконалення механізмів правового регулювання в цій сфері.</w:t>
      </w:r>
    </w:p>
    <w:p w14:paraId="40D38C29"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Наступним важливим рішенням </w:t>
      </w:r>
      <w:proofErr w:type="gramStart"/>
      <w:r w:rsidRPr="00511005">
        <w:rPr>
          <w:rFonts w:ascii="Arial" w:eastAsia="Times New Roman" w:hAnsi="Arial" w:cs="Arial"/>
          <w:szCs w:val="28"/>
        </w:rPr>
        <w:t>Верховної</w:t>
      </w:r>
      <w:proofErr w:type="gramEnd"/>
      <w:r w:rsidRPr="00511005">
        <w:rPr>
          <w:rFonts w:ascii="Arial" w:eastAsia="Times New Roman" w:hAnsi="Arial" w:cs="Arial"/>
          <w:szCs w:val="28"/>
        </w:rPr>
        <w:t xml:space="preserve"> Ради України стало ухвалення 9 липня 2022 року Закону України «Про державну реєстрацію геномної інформації людини» (№ 2391-IX), вкрай актуальним та важливим як в умовах повномасштабних бойових дій, так і в часи мирного життя. Згідно із Законом, геномна інформація людини – це дані про її генетичні характеристики, зокрема, ДНК-профілі. Обробка такої інформації охоплює будь-які дії чи сукупність дій, зокрема: збирання, накопичення, реєстрацію, оновлення, зберігання, пошук, використання та передача знеособлених персональних даних, які стосуються особи, а також їхнє знищення в майбутньому [1].</w:t>
      </w:r>
    </w:p>
    <w:p w14:paraId="0EB4E1D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Times New Roman" w:hAnsi="Arial" w:cs="Arial"/>
          <w:szCs w:val="28"/>
        </w:rPr>
        <w:t>Згідно з цим Законом в Україні передбачено як обов’язкову та і добровільну державну реєстрацію геномної інформації. Стаття 8 Закону визначає спеціальний порядок обов’язкового збирання біологічних зразків під час дії воєнного стану для осіб з числа військовослужбовців, поліцейських, осіб рядового та начальницького складу служби цивільного захисту, та для учасників добровольчих формувань територіальних громад [1]. Такий підхід забезпечує можливість у разі потреби здійснити молекулярно-генетичну експертизу загиблих осіб, що дає змогу їхнім родинам одержати тіла для подальшого поховання. Витрати на відбір біологічних зразків для цієї категорії осіб покривається за рахунок коштів державного та місцевих бюджетів.</w:t>
      </w:r>
    </w:p>
    <w:p w14:paraId="4C4943AF"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Засоби (системи), які застосовуються для відбору біологічного матеріалу, повинні відповідати вимогам національного стандарту ДСТУ ISO 18385:2019 «Мінімізація ризику забруднення продукції, використовуваної для збирання, зберігання, аналізування біологічного матеріалу в криміналістичних цілях, ДНК людини» та гарантувати їх тривале зберігання. Строк зберігання відібраного біологічного матеріалу не має перевищувати термін, встановлений виробником засобів (систем) для їхнього відбору. У якості біологічного матеріалу використовується зразок букального епітелію людини, що відбирається нетравмуючим неінвазивним методом. Військовослужбовці здійснюють процедуру самостійно під наглядом уповноваженої особи, яка призначається командиром (начальником) відповідної військової частини, установи або закладу [1].</w:t>
      </w:r>
    </w:p>
    <w:p w14:paraId="31B66219"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Уповноважені особи, відповідальні за процес відбору біологічного матеріалу, виконують такі завдання: </w:t>
      </w:r>
    </w:p>
    <w:p w14:paraId="3CDE2489" w14:textId="77777777" w:rsidR="00532C25" w:rsidRPr="00511005" w:rsidRDefault="00532C25" w:rsidP="003F6A5D">
      <w:pPr>
        <w:numPr>
          <w:ilvl w:val="0"/>
          <w:numId w:val="666"/>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забезпечують військовослужбовців необхідними витратними матеріалами, зокрема засобами (системами) для відбору зразків, паперовими конвертами для пакування та шаблонами реєстраційних карток; </w:t>
      </w:r>
    </w:p>
    <w:p w14:paraId="312C723D" w14:textId="77777777" w:rsidR="00532C25" w:rsidRPr="00511005" w:rsidRDefault="00532C25" w:rsidP="003F6A5D">
      <w:pPr>
        <w:numPr>
          <w:ilvl w:val="0"/>
          <w:numId w:val="666"/>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надають методичну підтримку під час самостійного відбору біологічного матеріалу; </w:t>
      </w:r>
    </w:p>
    <w:p w14:paraId="1127592B" w14:textId="77777777" w:rsidR="00532C25" w:rsidRPr="00511005" w:rsidRDefault="00532C25" w:rsidP="003F6A5D">
      <w:pPr>
        <w:numPr>
          <w:ilvl w:val="0"/>
          <w:numId w:val="666"/>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ведуть облік відібраних зразків; </w:t>
      </w:r>
    </w:p>
    <w:p w14:paraId="2D947348" w14:textId="77777777" w:rsidR="00532C25" w:rsidRPr="00511005" w:rsidRDefault="00532C25" w:rsidP="003F6A5D">
      <w:pPr>
        <w:numPr>
          <w:ilvl w:val="0"/>
          <w:numId w:val="666"/>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здійснюють їх зберігання відповідно до встановлених вимог [2, ст. 52].</w:t>
      </w:r>
    </w:p>
    <w:p w14:paraId="33174E86"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У разі потреби, після завершення встановленого терміну зберігання, біологічний матеріал підлягає повторному відбору [1]. </w:t>
      </w:r>
    </w:p>
    <w:p w14:paraId="202C3B74"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Біологічний матеріал, відібраний у військовослужбовців, може бути використаний виключно в межах, визначених кримінальним процесуальним законодавством України, і лише у випадках, коли виникає потреба в розшуку зниклих безвісти осіб або в ідентифікації трупів тіл, останків чи фрагментів людського тіла [1].</w:t>
      </w:r>
    </w:p>
    <w:p w14:paraId="5BF1A3A3"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Процес державної реєстрації геномної інформації військовослужбовців в Україні має відбуватися у кілька етапів:</w:t>
      </w:r>
    </w:p>
    <w:p w14:paraId="601F7D87" w14:textId="77777777" w:rsidR="00532C25" w:rsidRPr="00511005" w:rsidRDefault="00532C25" w:rsidP="003F6A5D">
      <w:pPr>
        <w:numPr>
          <w:ilvl w:val="0"/>
          <w:numId w:val="665"/>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збирання та зберігання біологічного матеріалу;</w:t>
      </w:r>
    </w:p>
    <w:p w14:paraId="331F91AA" w14:textId="77777777" w:rsidR="00532C25" w:rsidRPr="00511005" w:rsidRDefault="00532C25" w:rsidP="003F6A5D">
      <w:pPr>
        <w:numPr>
          <w:ilvl w:val="0"/>
          <w:numId w:val="665"/>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проведення молекулярно-генетичної експертизи цього матеріалу;</w:t>
      </w:r>
    </w:p>
    <w:p w14:paraId="5D23F6A1" w14:textId="77777777" w:rsidR="00532C25" w:rsidRPr="00511005" w:rsidRDefault="00532C25" w:rsidP="003F6A5D">
      <w:pPr>
        <w:numPr>
          <w:ilvl w:val="0"/>
          <w:numId w:val="665"/>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внесення відповідної інформації до Електронного реєстру геномної інформації людини, який адмініструє Міністерство внутрішніх справ України.</w:t>
      </w:r>
    </w:p>
    <w:p w14:paraId="47B97074"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Слід підкреслити, що дані військовослужбовців не вносяться до реєстру безпосередньо відразу. Вони зберігаються в особовій справі, реєструються, і лише у разі потреби можуть бути вилучені для молекулярно-генетичної експертизи для ідентифікації [3, с. 85].</w:t>
      </w:r>
    </w:p>
    <w:p w14:paraId="301BF68C"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З початком повномасштабного вторгнення Російської Федерації в Україну країна зіткнулася з масовими порушеннями прав людини, серед яких – проблема ідентифікації загиблих та зниклих безвісти військовослужбовців. У таких умовах прийняття Закону України «Про державну реєстрацію геномної інформації людини» та розробка Порядку відбору і зберігання біологічного матеріалу у військовослужбовців Збройних сил України стало необхідним кроком для належного вирішення цих питань. Цей закон та порядок дозволяють здійснювати ідентифікацію особи на основі облікованого біологічного матеріалу, який був відібраний у військовослужбовців за спеціальною процедурою, замість того, щоб покладатися лише на пошук родичів чи близьких осіб, що вимагає додаткових витрат часу і ресурсів. Це особливо важливо оскільки багато загиблих військовослужбовців не мають живих родичів. У зв’язку з цим, введення обов’язкового відбору біологічних зразків у осіб з числа військових під час дії воєнного стану дає можливість у разі необхідності здійснити молекулярно-генетичну експертизу для точного встановлення особи загиблого. Це має велике значення для родин загиблих, адже дає змогу отримати останки своїх близьких для належного поховання.</w:t>
      </w:r>
    </w:p>
    <w:p w14:paraId="3BCE1B9F" w14:textId="77777777" w:rsidR="00532C25" w:rsidRPr="00511005" w:rsidRDefault="00532C25" w:rsidP="00532C25">
      <w:pPr>
        <w:spacing w:line="264" w:lineRule="auto"/>
        <w:ind w:firstLine="720"/>
        <w:jc w:val="left"/>
        <w:rPr>
          <w:rFonts w:ascii="Arial" w:eastAsia="Times New Roman" w:hAnsi="Arial" w:cs="Arial"/>
          <w:b/>
          <w:bCs/>
          <w:szCs w:val="28"/>
        </w:rPr>
      </w:pPr>
    </w:p>
    <w:p w14:paraId="6D067687" w14:textId="77777777" w:rsidR="00532C25" w:rsidRPr="00511005" w:rsidRDefault="00532C25" w:rsidP="00532C25">
      <w:pPr>
        <w:spacing w:line="264" w:lineRule="auto"/>
        <w:ind w:firstLine="720"/>
        <w:jc w:val="center"/>
        <w:rPr>
          <w:rFonts w:ascii="Arial" w:eastAsia="Times New Roman" w:hAnsi="Arial" w:cs="Arial"/>
          <w:b/>
          <w:bCs/>
          <w:szCs w:val="28"/>
        </w:rPr>
      </w:pPr>
      <w:r w:rsidRPr="00511005">
        <w:rPr>
          <w:rFonts w:ascii="Arial" w:eastAsia="Times New Roman" w:hAnsi="Arial" w:cs="Arial"/>
          <w:b/>
          <w:bCs/>
          <w:szCs w:val="28"/>
          <w:lang w:val="uk-UA"/>
        </w:rPr>
        <w:t>Список використаних джерел</w:t>
      </w:r>
    </w:p>
    <w:p w14:paraId="2BFE1C18" w14:textId="77777777" w:rsidR="00532C25" w:rsidRPr="00511005" w:rsidRDefault="00532C25" w:rsidP="003F6A5D">
      <w:pPr>
        <w:numPr>
          <w:ilvl w:val="0"/>
          <w:numId w:val="667"/>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державну реєстрацію геномної інформації людини: Закон України від 09.07.2022 № 2391-IX URL: </w:t>
      </w:r>
      <w:hyperlink r:id="rId1999" w:anchor="Text">
        <w:r w:rsidRPr="00511005">
          <w:rPr>
            <w:rFonts w:ascii="Arial" w:eastAsia="Times New Roman" w:hAnsi="Arial" w:cs="Arial"/>
            <w:szCs w:val="28"/>
            <w:lang w:eastAsia="ru-RU"/>
          </w:rPr>
          <w:t>https://zakon.rada.gov.ua/laws/show/2391-20#Text</w:t>
        </w:r>
      </w:hyperlink>
      <w:r w:rsidRPr="00511005">
        <w:rPr>
          <w:rFonts w:ascii="Arial" w:eastAsia="Times New Roman" w:hAnsi="Arial" w:cs="Arial"/>
          <w:szCs w:val="28"/>
          <w:lang w:eastAsia="ru-RU"/>
        </w:rPr>
        <w:t xml:space="preserve"> (дата звернення: 29.04.2025).</w:t>
      </w:r>
    </w:p>
    <w:p w14:paraId="4E8892B8" w14:textId="77777777" w:rsidR="00532C25" w:rsidRPr="00511005" w:rsidRDefault="00532C25" w:rsidP="003F6A5D">
      <w:pPr>
        <w:numPr>
          <w:ilvl w:val="0"/>
          <w:numId w:val="667"/>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Котляренко Л.Т., Жеребак В.С., Виклюк М.Р. Особливості відібрання ДНК-матеріалу у військовослужбовців в умовах воєнного стану. </w:t>
      </w:r>
      <w:r w:rsidRPr="00511005">
        <w:rPr>
          <w:rFonts w:ascii="Arial" w:eastAsia="Times New Roman" w:hAnsi="Arial" w:cs="Arial"/>
          <w:i/>
          <w:iCs/>
          <w:szCs w:val="28"/>
          <w:lang w:eastAsia="ru-RU"/>
        </w:rPr>
        <w:t xml:space="preserve">Судова експертиза в умовах воєнного стану: Проблеми теорії та практики: </w:t>
      </w:r>
      <w:r w:rsidRPr="00511005">
        <w:rPr>
          <w:rFonts w:ascii="Arial" w:eastAsia="Times New Roman" w:hAnsi="Arial" w:cs="Arial"/>
          <w:szCs w:val="28"/>
          <w:lang w:eastAsia="ru-RU"/>
        </w:rPr>
        <w:t xml:space="preserve">матеріали І всеукр. наук.-практ. конф., м. Вінниця, 29 лютого 2024 року. Вінниця: ТВОРИ, 2024. С. 49-53 </w:t>
      </w:r>
    </w:p>
    <w:p w14:paraId="68717A0D" w14:textId="77777777" w:rsidR="00532C25" w:rsidRPr="00511005" w:rsidRDefault="00532C25" w:rsidP="003F6A5D">
      <w:pPr>
        <w:numPr>
          <w:ilvl w:val="0"/>
          <w:numId w:val="667"/>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Котляренко Л.Т., Жеребко В.С. Геномна інформація (ДНК) військово службовців в умовах воєнного стану. </w:t>
      </w:r>
      <w:r w:rsidRPr="00511005">
        <w:rPr>
          <w:rFonts w:ascii="Arial" w:eastAsia="Times New Roman" w:hAnsi="Arial" w:cs="Arial"/>
          <w:i/>
          <w:iCs/>
          <w:szCs w:val="28"/>
          <w:lang w:eastAsia="ru-RU"/>
        </w:rPr>
        <w:t>Актуальні питання та перспективи використання оперативно-розшукових засобів у розкритті злочинів в умовах воєнного стану</w:t>
      </w:r>
      <w:r w:rsidRPr="00511005">
        <w:rPr>
          <w:rFonts w:ascii="Arial" w:eastAsia="Times New Roman" w:hAnsi="Arial" w:cs="Arial"/>
          <w:szCs w:val="28"/>
          <w:lang w:eastAsia="ru-RU"/>
        </w:rPr>
        <w:t xml:space="preserve">: матер. міжвідомч. наук.-практ. конф., м. Київ, 30 березня 2023 року. Київ, 2023. С. 19-22 </w:t>
      </w:r>
    </w:p>
    <w:p w14:paraId="6464436D" w14:textId="77777777" w:rsidR="00532C25" w:rsidRPr="00511005" w:rsidRDefault="00532C25" w:rsidP="00532C25">
      <w:pPr>
        <w:spacing w:line="264" w:lineRule="auto"/>
        <w:ind w:firstLine="720"/>
        <w:rPr>
          <w:rFonts w:ascii="Arial" w:eastAsia="Times New Roman" w:hAnsi="Arial" w:cs="Arial"/>
          <w:b/>
          <w:bCs/>
          <w:i/>
          <w:iCs/>
          <w:szCs w:val="28"/>
        </w:rPr>
      </w:pPr>
    </w:p>
    <w:p w14:paraId="757B8C5A" w14:textId="77777777" w:rsidR="00532C25" w:rsidRPr="00511005" w:rsidRDefault="00532C25" w:rsidP="00532C25">
      <w:pPr>
        <w:spacing w:line="264" w:lineRule="auto"/>
        <w:ind w:firstLine="720"/>
        <w:rPr>
          <w:rFonts w:ascii="Arial" w:eastAsia="Times New Roman" w:hAnsi="Arial" w:cs="Arial"/>
          <w:b/>
          <w:bCs/>
          <w:i/>
          <w:iCs/>
          <w:szCs w:val="28"/>
        </w:rPr>
      </w:pPr>
    </w:p>
    <w:p w14:paraId="1FC45E25"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b/>
          <w:bCs/>
          <w:i/>
          <w:szCs w:val="28"/>
        </w:rPr>
        <w:t xml:space="preserve">Ключові слова: </w:t>
      </w:r>
      <w:r w:rsidRPr="00511005">
        <w:rPr>
          <w:rFonts w:ascii="Arial" w:eastAsia="Times New Roman" w:hAnsi="Arial" w:cs="Arial"/>
          <w:szCs w:val="28"/>
        </w:rPr>
        <w:t>геномна інформація, відбір біологічних зразків, молекулярно-генетичної експертиза, військовослужбовець, режим воєнного стану</w:t>
      </w:r>
    </w:p>
    <w:p w14:paraId="4B5C7840"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b/>
          <w:bCs/>
          <w:i/>
          <w:szCs w:val="28"/>
          <w:lang w:val="en-US"/>
        </w:rPr>
        <w:t xml:space="preserve">Key words: </w:t>
      </w:r>
      <w:r w:rsidRPr="00511005">
        <w:rPr>
          <w:rFonts w:ascii="Arial" w:eastAsia="Times New Roman" w:hAnsi="Arial" w:cs="Arial"/>
          <w:szCs w:val="28"/>
          <w:lang w:val="en-US"/>
        </w:rPr>
        <w:t>genomic information, biological sample collection, molecular genetic examination, military personnel, martial law regime</w:t>
      </w:r>
    </w:p>
    <w:p w14:paraId="357DFBAE" w14:textId="77777777" w:rsidR="00532C25" w:rsidRPr="00511005" w:rsidRDefault="00532C25" w:rsidP="00532C25">
      <w:pPr>
        <w:spacing w:line="264" w:lineRule="auto"/>
        <w:ind w:firstLine="720"/>
        <w:rPr>
          <w:rFonts w:ascii="Arial" w:eastAsia="Times New Roman" w:hAnsi="Arial" w:cs="Arial"/>
          <w:i/>
          <w:iCs/>
          <w:szCs w:val="28"/>
        </w:rPr>
      </w:pPr>
      <w:r w:rsidRPr="00511005">
        <w:rPr>
          <w:rFonts w:ascii="Arial" w:eastAsia="Times New Roman" w:hAnsi="Arial" w:cs="Arial"/>
          <w:b/>
          <w:i/>
          <w:iCs/>
          <w:szCs w:val="28"/>
        </w:rPr>
        <w:t xml:space="preserve">Науковий керівник: </w:t>
      </w:r>
      <w:r w:rsidRPr="00511005">
        <w:rPr>
          <w:rFonts w:ascii="Arial" w:eastAsia="Times New Roman" w:hAnsi="Arial" w:cs="Arial"/>
          <w:bCs/>
          <w:i/>
          <w:iCs/>
          <w:szCs w:val="28"/>
        </w:rPr>
        <w:t>к.ю.н., доцент Шершенькова В.А.</w:t>
      </w:r>
    </w:p>
    <w:p w14:paraId="3D2D002D" w14:textId="77777777" w:rsidR="00532C25" w:rsidRPr="00511005" w:rsidRDefault="00532C25" w:rsidP="00532C25">
      <w:pPr>
        <w:spacing w:line="264" w:lineRule="auto"/>
        <w:ind w:firstLine="720"/>
        <w:rPr>
          <w:rFonts w:ascii="Arial" w:eastAsia="Times New Roman" w:hAnsi="Arial" w:cs="Arial"/>
          <w:i/>
          <w:iCs/>
          <w:szCs w:val="28"/>
        </w:rPr>
      </w:pPr>
    </w:p>
    <w:p w14:paraId="026CA082" w14:textId="77777777" w:rsidR="00532C25" w:rsidRPr="00511005" w:rsidRDefault="00532C25" w:rsidP="00532C25">
      <w:pPr>
        <w:spacing w:line="264" w:lineRule="auto"/>
        <w:ind w:firstLine="720"/>
        <w:jc w:val="center"/>
        <w:rPr>
          <w:rFonts w:ascii="Arial" w:eastAsia="Calibri" w:hAnsi="Arial" w:cs="Arial"/>
          <w:b/>
          <w:bCs/>
          <w:i/>
          <w:iCs/>
          <w:noProof/>
          <w:szCs w:val="28"/>
        </w:rPr>
      </w:pPr>
    </w:p>
    <w:p w14:paraId="1C564CC2" w14:textId="77777777" w:rsidR="00532C25" w:rsidRPr="00511005" w:rsidRDefault="00532C25" w:rsidP="00532C25">
      <w:pPr>
        <w:spacing w:line="264" w:lineRule="auto"/>
        <w:ind w:firstLine="720"/>
        <w:jc w:val="center"/>
        <w:rPr>
          <w:rFonts w:ascii="Arial" w:eastAsia="Calibri" w:hAnsi="Arial" w:cs="Arial"/>
          <w:b/>
          <w:bCs/>
          <w:i/>
          <w:iCs/>
          <w:noProof/>
          <w:szCs w:val="28"/>
          <w:lang w:val="uk-UA"/>
        </w:rPr>
      </w:pPr>
    </w:p>
    <w:p w14:paraId="35CB646E"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 xml:space="preserve">Марковська Анна Сергіївна </w:t>
      </w:r>
    </w:p>
    <w:p w14:paraId="56D8920C"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4D67B82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F10187E"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7886454" w14:textId="77777777" w:rsidR="00532C25" w:rsidRPr="00511005" w:rsidRDefault="00532C25" w:rsidP="00532C25">
      <w:pPr>
        <w:spacing w:line="264" w:lineRule="auto"/>
        <w:ind w:firstLine="720"/>
        <w:jc w:val="center"/>
        <w:rPr>
          <w:rFonts w:ascii="Arial" w:eastAsia="Calibri" w:hAnsi="Arial" w:cs="Arial"/>
          <w:b/>
          <w:bCs/>
          <w:szCs w:val="28"/>
          <w:lang w:val="uk-UA"/>
        </w:rPr>
      </w:pPr>
    </w:p>
    <w:p w14:paraId="567DBA17"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РОЛЬ КРИМІНАЛІСТИЧНИХ ТЕХНОЛОГІЙ У ЗАБЕЗПЕЧЕННІ ЕФЕКТИВНОГО РОЗСЛІДУВАННЯ ЗЛОЧИНІВ</w:t>
      </w:r>
    </w:p>
    <w:p w14:paraId="3058DA73" w14:textId="77777777" w:rsidR="00532C25" w:rsidRPr="00511005" w:rsidRDefault="00532C25" w:rsidP="00532C25">
      <w:pPr>
        <w:spacing w:line="264" w:lineRule="auto"/>
        <w:ind w:firstLine="720"/>
        <w:rPr>
          <w:rFonts w:ascii="Arial" w:eastAsia="Calibri" w:hAnsi="Arial" w:cs="Arial"/>
          <w:szCs w:val="28"/>
          <w:lang w:val="uk-UA"/>
        </w:rPr>
      </w:pPr>
    </w:p>
    <w:p w14:paraId="5BC13C4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 xml:space="preserve">У сучасному світі криміналістика є однією з ключових галузей знань, що активно розвивається та широко застосовується в практиці розкриття й розслідування злочинів. Такий розвиток цілком закономірний, оскільки сьогодення вимагає ефективного впровадження новітніх криміналістичних технологій для забезпечення неупередженого правосуддя. Проте, попри активне використання криміналістики, слідчі органи України досі </w:t>
      </w:r>
      <w:r w:rsidRPr="00511005">
        <w:rPr>
          <w:rFonts w:ascii="Arial" w:eastAsia="Times New Roman" w:hAnsi="Arial" w:cs="Arial"/>
          <w:szCs w:val="28"/>
          <w:lang w:val="uk-UA" w:eastAsia="ru-RU"/>
        </w:rPr>
        <w:lastRenderedPageBreak/>
        <w:t>зіштовхуються з низкою труднощів у процесі розслідування кримінальних правопорушень.</w:t>
      </w:r>
    </w:p>
    <w:p w14:paraId="1F333D9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Сліди крові на асфальті, уламки розбитого скла чи мовчазні свідки – усе це може стати цінними доказами, які допомагають розкрити правду. Але чи завжди ці докази ведуть до істини? Чи не допускаються помилки, які стають на заваді правосуддю? Чому вони виникають?</w:t>
      </w:r>
    </w:p>
    <w:p w14:paraId="0BCEF87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Насамперед слід розуміти, що криміналістика пройшла довгий шлях – від простого виявлення слідів злочину до складної аналітичної експертизи, яка охоплює як традиційні методи, так і високотехнологічні рішення. На перший погляд, здається, що проблем із розслідуванням злочинів бути не повинно, однак на практиці це далеко не так.</w:t>
      </w:r>
    </w:p>
    <w:p w14:paraId="1E1DC31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Протягом усієї історії людства існували злочини, розслідування яких було особливо складним. На сьогоднішній день однією з головних проблем є злочини, вчинені в умовах воєнного стану. Згідно зі статистикою, спостерігається зростання кількості грабежів, крадіжок, нанесення тілесних ушкоджень, а також воєнних злочинів.</w:t>
      </w:r>
    </w:p>
    <w:p w14:paraId="76D14FF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Значний виклик становлять кіберзлочини, а також правопорушення, пов’язані з корупцією. Кожен тип злочину потребує специфічного підходу до розслідування, залучення фахівців у різних галузях, а також технічного забезпечення.</w:t>
      </w:r>
    </w:p>
    <w:p w14:paraId="56F5D36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Розслідування злочинів потребує не лише високої кваліфікації слідчих, а й наявності сучасної бази для збору та обробки інформації. Одним із ключових аспектів є ефективна взаємодія правоохоронних органів не лише в межах країни, а й на міжнародному рівні.</w:t>
      </w:r>
    </w:p>
    <w:p w14:paraId="2FBC0F6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Окремої уваги заслуговує використання криміналістичних знань при дослідженні слідів ДНК. Особливо це актуально для територій, що постраждали внаслідок бойових дій або тимчасово окуповані. Тут важливо вміти не лише правильно відібрати біологічний матеріал, але й мати технічні можливості для його оперативного аналізу. Необхідні мобільні лабораторії, доступ до баз даних військовослужбовців, а також кваліфіковані експерти-біологи.</w:t>
      </w:r>
    </w:p>
    <w:p w14:paraId="5CA8AFD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Після ракетних обстрілів або артилерійських атак на місці події часто виявляють залишки снарядів. Для їхнього дослідження застосовуються знання з судової балістики. Від точності та повноти дослідження залежить не лише подальше слідство, але й результат розгляду справи у суді. Неналежно зібрані або інтерпретовані докази можуть призвести до виправдання підозрюваного, навіть у випадках вчинення воєнних злочинів.</w:t>
      </w:r>
    </w:p>
    <w:p w14:paraId="4E6EFD3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Серед найбільших викликів – кіберзлочинність, боротьба з якою потребує принципово нових методів розслідування. На цьому наголошував, зокрема, Сердюк М.О., вказуючи на необхідність не лише аналізу спеціальної літератури, але й узагальнення практики методик розслідування окремих видів злочинів, а також розробки нових підходів [1].</w:t>
      </w:r>
    </w:p>
    <w:p w14:paraId="12F4D13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lastRenderedPageBreak/>
        <w:t>Варто згадати і думку С.В. Обшалова, який підкреслював, що успіх боротьби зі злочинністю безпосередньо залежить від ефективного використання оперативно-розшукових заходів та слідчих дій, які повинні мати належне правове регулювання [2].</w:t>
      </w:r>
    </w:p>
    <w:p w14:paraId="550BFC1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Злочинність постійно еволюціонує. Злочинці вигадують нові методи, схеми та інструменти, що дозволяють їм діяти швидко, ефективно і без залишення слідів. Тому завдання криміналістики – не тільки йти в ногу з часом, але й випереджати злочинців на крок.</w:t>
      </w:r>
    </w:p>
    <w:p w14:paraId="47D2932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Проблеми, які постають перед правоохоронними органами, особливо в умовах війни, є надзвичайно складними. Водночас ці виклики лише підсилюють розуміння важливості криміналістики для забезпечення правопорядку. Громадськість все активніше долучається до процесів виявлення злочинів, передачі інформації та навіть допомоги міжнародним фахівцям у зборі доказів.</w:t>
      </w:r>
    </w:p>
    <w:p w14:paraId="74655EF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Оскільки злочини можуть мати як національний, так і міжнародний характер, їх ефективне попередження можливе лише за умови широкого залучення ресурсів, знань та співпраці на всіх рівнях. З кожним днем удосконалюються методи оперативно-розшукової діяльності, криміналістичних досліджень, що зосереджуються на головному – захисті честі, гідності й прав людини.</w:t>
      </w:r>
    </w:p>
    <w:p w14:paraId="6FF840D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eastAsia="ru-RU"/>
        </w:rPr>
        <w:t>Саме тому так важливо, щоб населення довіряло правоохоронним органам і підтримувало їх діяльність. І хоча подолати всі проблеми швидко не вдасться, впевнено можна сказати: зміни вже відбуваються, і зусилля, що докладаються сьогодні, дадуть результат у майбутньому.</w:t>
      </w:r>
    </w:p>
    <w:p w14:paraId="21DBF9D5" w14:textId="77777777" w:rsidR="00532C25" w:rsidRPr="00511005" w:rsidRDefault="00532C25" w:rsidP="00532C25">
      <w:pPr>
        <w:spacing w:line="264" w:lineRule="auto"/>
        <w:ind w:firstLine="720"/>
        <w:rPr>
          <w:rFonts w:ascii="Arial" w:eastAsia="Calibri" w:hAnsi="Arial" w:cs="Arial"/>
          <w:szCs w:val="28"/>
          <w:lang w:val="uk-UA"/>
        </w:rPr>
      </w:pPr>
    </w:p>
    <w:p w14:paraId="0F0C1AC0"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 xml:space="preserve">Список використаних джерел </w:t>
      </w:r>
    </w:p>
    <w:p w14:paraId="5E6AFE55" w14:textId="77777777" w:rsidR="00532C25" w:rsidRPr="00511005" w:rsidRDefault="00532C25" w:rsidP="00532C25">
      <w:pPr>
        <w:spacing w:line="264" w:lineRule="auto"/>
        <w:ind w:firstLine="720"/>
        <w:rPr>
          <w:rFonts w:ascii="Arial" w:eastAsia="Calibri" w:hAnsi="Arial" w:cs="Arial"/>
          <w:b/>
          <w:bCs/>
          <w:szCs w:val="28"/>
          <w:lang w:val="uk-UA"/>
        </w:rPr>
      </w:pPr>
      <w:r w:rsidRPr="00511005">
        <w:rPr>
          <w:rFonts w:ascii="Arial" w:eastAsia="Calibri" w:hAnsi="Arial" w:cs="Arial"/>
          <w:szCs w:val="28"/>
          <w:lang w:val="uk-UA"/>
        </w:rPr>
        <w:t xml:space="preserve">1. </w:t>
      </w:r>
      <w:r w:rsidRPr="00511005">
        <w:rPr>
          <w:rFonts w:ascii="Arial" w:eastAsia="Calibri" w:hAnsi="Arial" w:cs="Arial"/>
          <w:szCs w:val="28"/>
          <w:shd w:val="clear" w:color="auto" w:fill="FFFFFF"/>
          <w:lang w:val="uk-UA"/>
        </w:rPr>
        <w:t>Обшалов С.В. Проблемні питання щодо організації оперативно-розшукового забезпечення кримінального судочинства. Актуальні проблеми розслідування злочинів в сучасних умовах: матеріали Всеукраїнської наук.- практ. конференції з нагоди святкування 10-річчя факультету підготовки фахівців для підрозділів слідства (Дніпропетровськ, 24 вересня 2015 р.). Дніпропетровськ : Дніпроп. держ. ун-т внутр. справ, 2015, 112 с. С. 3–5.</w:t>
      </w:r>
    </w:p>
    <w:p w14:paraId="49ABE0C4" w14:textId="77777777" w:rsidR="00532C25" w:rsidRPr="00511005" w:rsidRDefault="00532C25" w:rsidP="00532C25">
      <w:pPr>
        <w:spacing w:line="264" w:lineRule="auto"/>
        <w:ind w:firstLine="720"/>
        <w:rPr>
          <w:rFonts w:ascii="Arial" w:eastAsia="Calibri" w:hAnsi="Arial" w:cs="Arial"/>
          <w:b/>
          <w:bCs/>
          <w:szCs w:val="28"/>
          <w:lang w:val="uk-UA"/>
        </w:rPr>
      </w:pPr>
      <w:r w:rsidRPr="00511005">
        <w:rPr>
          <w:rFonts w:ascii="Arial" w:eastAsia="Calibri" w:hAnsi="Arial" w:cs="Arial"/>
          <w:szCs w:val="28"/>
          <w:lang w:val="uk-UA"/>
        </w:rPr>
        <w:t xml:space="preserve">2. Сердюк М. О. «Актуальні проблеми розслідування злочинів у сучасних умовах», Галицькі студії: Юридичні науки, №3, 2023. URL: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doi</w:instrText>
      </w:r>
      <w:r w:rsidR="005938AD" w:rsidRPr="00055389">
        <w:rPr>
          <w:lang w:val="uk-UA"/>
        </w:rPr>
        <w:instrText>.</w:instrText>
      </w:r>
      <w:r w:rsidR="005938AD">
        <w:instrText>org</w:instrText>
      </w:r>
      <w:r w:rsidR="005938AD" w:rsidRPr="00055389">
        <w:rPr>
          <w:lang w:val="uk-UA"/>
        </w:rPr>
        <w:instrText>/10.32782/</w:instrText>
      </w:r>
      <w:r w:rsidR="005938AD">
        <w:instrText>galician</w:instrText>
      </w:r>
      <w:r w:rsidR="005938AD" w:rsidRPr="00055389">
        <w:rPr>
          <w:lang w:val="uk-UA"/>
        </w:rPr>
        <w:instrText>_</w:instrText>
      </w:r>
      <w:r w:rsidR="005938AD">
        <w:instrText>studies</w:instrText>
      </w:r>
      <w:r w:rsidR="005938AD" w:rsidRPr="00055389">
        <w:rPr>
          <w:lang w:val="uk-UA"/>
        </w:rPr>
        <w:instrText>/</w:instrText>
      </w:r>
      <w:r w:rsidR="005938AD">
        <w:instrText>law</w:instrText>
      </w:r>
      <w:r w:rsidR="005938AD" w:rsidRPr="00055389">
        <w:rPr>
          <w:lang w:val="uk-UA"/>
        </w:rPr>
        <w:instrText xml:space="preserve">-2023-3-9" </w:instrText>
      </w:r>
      <w:r w:rsidR="005938AD">
        <w:fldChar w:fldCharType="separate"/>
      </w:r>
      <w:r w:rsidRPr="00511005">
        <w:rPr>
          <w:rFonts w:ascii="Arial" w:eastAsia="Calibri" w:hAnsi="Arial" w:cs="Arial"/>
          <w:szCs w:val="28"/>
          <w:lang w:val="uk-UA"/>
        </w:rPr>
        <w:t>https://doi.org/10.32782/galician_studies/law-2023-3-9</w:t>
      </w:r>
      <w:r w:rsidR="005938AD">
        <w:rPr>
          <w:rFonts w:ascii="Arial" w:eastAsia="Calibri" w:hAnsi="Arial" w:cs="Arial"/>
          <w:szCs w:val="28"/>
          <w:lang w:val="uk-UA"/>
        </w:rPr>
        <w:fldChar w:fldCharType="end"/>
      </w:r>
      <w:r w:rsidRPr="00511005">
        <w:rPr>
          <w:rFonts w:ascii="Arial" w:eastAsia="Calibri" w:hAnsi="Arial" w:cs="Arial"/>
          <w:b/>
          <w:bCs/>
          <w:szCs w:val="28"/>
          <w:lang w:val="uk-UA"/>
        </w:rPr>
        <w:t xml:space="preserve"> </w:t>
      </w:r>
    </w:p>
    <w:p w14:paraId="61DA8988" w14:textId="77777777" w:rsidR="00532C25" w:rsidRPr="00511005" w:rsidRDefault="00532C25" w:rsidP="00532C25">
      <w:pPr>
        <w:spacing w:line="264" w:lineRule="auto"/>
        <w:ind w:firstLine="720"/>
        <w:rPr>
          <w:rFonts w:ascii="Arial" w:eastAsia="Calibri" w:hAnsi="Arial" w:cs="Arial"/>
          <w:b/>
          <w:bCs/>
          <w:szCs w:val="28"/>
          <w:lang w:val="uk-UA"/>
        </w:rPr>
      </w:pPr>
    </w:p>
    <w:p w14:paraId="17DB0771" w14:textId="77777777" w:rsidR="00532C25" w:rsidRPr="00511005" w:rsidRDefault="00532C25" w:rsidP="00532C25">
      <w:pPr>
        <w:spacing w:line="264" w:lineRule="auto"/>
        <w:ind w:firstLine="720"/>
        <w:rPr>
          <w:rFonts w:ascii="Arial" w:eastAsia="Calibri" w:hAnsi="Arial" w:cs="Arial"/>
          <w:b/>
          <w:bCs/>
          <w:szCs w:val="28"/>
          <w:lang w:val="uk-UA"/>
        </w:rPr>
      </w:pPr>
      <w:r w:rsidRPr="00511005">
        <w:rPr>
          <w:rFonts w:ascii="Arial" w:eastAsia="Calibri" w:hAnsi="Arial" w:cs="Arial"/>
          <w:b/>
          <w:bCs/>
          <w:szCs w:val="28"/>
          <w:lang w:val="uk-UA"/>
        </w:rPr>
        <w:t xml:space="preserve">Ключові слова: </w:t>
      </w:r>
      <w:r w:rsidRPr="00511005">
        <w:rPr>
          <w:rFonts w:ascii="Arial" w:eastAsia="Calibri" w:hAnsi="Arial" w:cs="Arial"/>
          <w:szCs w:val="28"/>
          <w:lang w:val="uk-UA"/>
        </w:rPr>
        <w:t>злочини, наука, криміналістика, шахраї,</w:t>
      </w:r>
      <w:r w:rsidRPr="00511005">
        <w:rPr>
          <w:rFonts w:ascii="Arial" w:eastAsia="Calibri" w:hAnsi="Arial" w:cs="Arial"/>
          <w:b/>
          <w:bCs/>
          <w:szCs w:val="28"/>
          <w:lang w:val="uk-UA"/>
        </w:rPr>
        <w:t xml:space="preserve"> </w:t>
      </w:r>
      <w:r w:rsidRPr="00511005">
        <w:rPr>
          <w:rFonts w:ascii="Arial" w:eastAsia="Calibri" w:hAnsi="Arial" w:cs="Arial"/>
          <w:szCs w:val="28"/>
          <w:lang w:val="uk-UA"/>
        </w:rPr>
        <w:t>корупція.</w:t>
      </w:r>
    </w:p>
    <w:p w14:paraId="48B9362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lang w:val="en-US"/>
        </w:rPr>
        <w:t xml:space="preserve">Key words: </w:t>
      </w:r>
      <w:r w:rsidRPr="00511005">
        <w:rPr>
          <w:rFonts w:ascii="Arial" w:eastAsia="Calibri" w:hAnsi="Arial" w:cs="Arial"/>
          <w:szCs w:val="28"/>
          <w:lang w:val="en-US"/>
        </w:rPr>
        <w:t>crimes, science, criminalistics, cheat, corruption.</w:t>
      </w:r>
    </w:p>
    <w:p w14:paraId="045EF6D9" w14:textId="77777777" w:rsidR="00532C25" w:rsidRPr="00511005" w:rsidRDefault="00532C25" w:rsidP="00532C25">
      <w:pPr>
        <w:spacing w:line="264" w:lineRule="auto"/>
        <w:ind w:firstLine="720"/>
        <w:rPr>
          <w:rFonts w:ascii="Arial" w:eastAsia="Calibri" w:hAnsi="Arial" w:cs="Arial"/>
          <w:b/>
          <w:bCs/>
          <w:i/>
          <w:iCs/>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доктор філософії, доцент Чернов О.В.</w:t>
      </w:r>
    </w:p>
    <w:p w14:paraId="4A30884C" w14:textId="77777777" w:rsidR="00532C25" w:rsidRPr="00511005" w:rsidRDefault="00532C25" w:rsidP="00532C25">
      <w:pPr>
        <w:spacing w:line="264" w:lineRule="auto"/>
        <w:ind w:firstLine="720"/>
        <w:jc w:val="center"/>
        <w:rPr>
          <w:rFonts w:ascii="Arial" w:eastAsia="Calibri" w:hAnsi="Arial" w:cs="Arial"/>
          <w:b/>
          <w:bCs/>
          <w:i/>
          <w:iCs/>
          <w:szCs w:val="28"/>
        </w:rPr>
      </w:pPr>
    </w:p>
    <w:p w14:paraId="42E99E8E" w14:textId="77777777" w:rsidR="00532C25" w:rsidRPr="00511005" w:rsidRDefault="00532C25" w:rsidP="00532C25">
      <w:pPr>
        <w:spacing w:line="264" w:lineRule="auto"/>
        <w:ind w:firstLine="720"/>
        <w:jc w:val="center"/>
        <w:rPr>
          <w:rFonts w:ascii="Arial" w:eastAsia="Calibri" w:hAnsi="Arial" w:cs="Arial"/>
          <w:b/>
          <w:bCs/>
          <w:i/>
          <w:iCs/>
          <w:szCs w:val="28"/>
        </w:rPr>
      </w:pPr>
    </w:p>
    <w:p w14:paraId="17748A5A" w14:textId="77777777" w:rsidR="00532C25" w:rsidRPr="00511005" w:rsidRDefault="00532C25" w:rsidP="00532C25">
      <w:pPr>
        <w:spacing w:line="264" w:lineRule="auto"/>
        <w:ind w:firstLine="720"/>
        <w:jc w:val="center"/>
        <w:rPr>
          <w:rFonts w:ascii="Arial" w:eastAsia="Calibri" w:hAnsi="Arial" w:cs="Arial"/>
          <w:b/>
          <w:bCs/>
          <w:i/>
          <w:iCs/>
          <w:szCs w:val="28"/>
        </w:rPr>
      </w:pPr>
      <w:r w:rsidRPr="00511005">
        <w:rPr>
          <w:rFonts w:ascii="Arial" w:eastAsia="Calibri" w:hAnsi="Arial" w:cs="Arial"/>
          <w:b/>
          <w:bCs/>
          <w:i/>
          <w:iCs/>
          <w:szCs w:val="28"/>
        </w:rPr>
        <w:t>Могильна Вєроніка Борисівна</w:t>
      </w:r>
    </w:p>
    <w:p w14:paraId="6CEC4D39"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rPr>
        <w:lastRenderedPageBreak/>
        <w:t>студентка 2-го курсу факультету цивільної та господарської юстиції</w:t>
      </w:r>
    </w:p>
    <w:p w14:paraId="405B7C31"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10B840A4" w14:textId="77777777" w:rsidR="00532C25" w:rsidRPr="00511005" w:rsidRDefault="00532C25" w:rsidP="00532C25">
      <w:pPr>
        <w:spacing w:line="264" w:lineRule="auto"/>
        <w:ind w:firstLine="720"/>
        <w:jc w:val="center"/>
        <w:rPr>
          <w:rFonts w:ascii="Arial" w:eastAsia="Calibri" w:hAnsi="Arial" w:cs="Arial"/>
          <w:szCs w:val="28"/>
        </w:rPr>
      </w:pPr>
    </w:p>
    <w:p w14:paraId="07948915"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rPr>
        <w:t>ВИКОРИСТАННЯ БІОМЕТРІЇ В БАНКІВСЬКИХ СИСТЕМАХ ТА ЕЛЕКТРОННІЙ КОМЕРЦІЇ: КРИМІНАЛІСТИЧНИЙ АСПЕКТ</w:t>
      </w:r>
    </w:p>
    <w:p w14:paraId="685B9244"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У сучасних умовах цифровізації економіки та фінансових відносин використання біометричних технологій у банківських системах та електронній комерції стає одним із ключових інструментів для забезпечення ідентифікації та автентифікації суб'єктів. Біометричні дані – відбитки пальців, малюнки райдужної оболонки ока, геометрія обличчя, голосові характеристики та інші фізіологічні або поведінкові ознаки – унікальні для кожної особи та, відповідно, потенційно підвищують рівень безпеки фінансових операцій. </w:t>
      </w:r>
    </w:p>
    <w:p w14:paraId="1C0717E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Проте варто визнати, що одночасно із технічним прогресом виникають нові ризики та загрози, які мають не лише технологічний, а насамперед правовий і криміналістичний характер. Викрадення, несанкціоноване використання або підробка біометричних даних може мати тяжкі наслідки, оскільки на відміну від паролів або токенів, біометричні ідентифікатори неможливо змінити. З огляду на це, проблема законодавчого регулювання обігу біометричної інформації та забезпечення її криміналістичного захисту набуває особливої актуальності.</w:t>
      </w:r>
    </w:p>
    <w:p w14:paraId="572D4459"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Законодавче поле України, зокрема Закон України «Про захист персональних даних», прямо визначає біометричні дані як особливу категорію персональної інформації, яка потребує спеціального режиму обробки. Відповідно до міжнародних актів, зокрема Загального регламенту захисту даних (GDPR), встановлюються підвищені вимоги до збору, зберігання, обробки і передачі біометричних даних, а також запроваджується принцип пропорційності та мінімізації даних [1]. </w:t>
      </w:r>
    </w:p>
    <w:p w14:paraId="7EA3EA16"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Варто зазначити, що правозастосовна практика показує, що діючі норми нерідко залишаються декларативними та не супроводжуються належними механізмами відповідальності й захисту. У цій площині особливого значення набуває роль криміналістичної науки, яка повинна забезпечити не лише методичне супроводження розслідування злочинів, пов’язаних із неправомірним використанням біометрії, а й формування доказової бази відповідно до процесуальних стандартів.</w:t>
      </w:r>
    </w:p>
    <w:p w14:paraId="71585370"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З точки зору криміналістики, біометричні дані можуть бути як об'єктом злочинного посягання (незаконний збір, обробка, зберігання чи передача третім особам), так і джерелом інформації для розкриття злочинів. Особливу увагу слід приділяти методикам виявлення, фіксації, вилучення та дослідження біометричних слідів. </w:t>
      </w:r>
    </w:p>
    <w:p w14:paraId="6485DCD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В умовах дистанційного вчинення злочинів у банківській сфері й електронній комерції (зокрема фішинг, шахрайство із використанням </w:t>
      </w:r>
      <w:r w:rsidRPr="00511005">
        <w:rPr>
          <w:rFonts w:ascii="Arial" w:eastAsia="Calibri" w:hAnsi="Arial" w:cs="Arial"/>
          <w:szCs w:val="28"/>
        </w:rPr>
        <w:lastRenderedPageBreak/>
        <w:t>підроблених облікових записів, маніпулювання системами автентифікації) виникає необхідність в удосконаленні криміналістичних підходів до аналізу цифрових доказів, у тому числі із залученням спеціалізованих технічних знань у галузі штучного інтелекту та кібербезпеки. Збирання біометричних доказів повинно здійснюватися відповідно до процесуальних норм, з дотриманням вимог щодо допустимості, достовірності, належності та достатності доказів, що має бути чітко закріплено на рівні кримінального процесуального законодавства [2, с. 227].</w:t>
      </w:r>
    </w:p>
    <w:p w14:paraId="7E76B06C"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Незважаючи на численні переваги біометричних систем, їхнє широке застосування без належного контролю породжує ризики криміналізації процесів ідентифікації. Можливість створення підроблених біометричних даних (так званих «presentation attacks», наприклад, за допомогою 3D-масок, синтетичних відбитків чи модифікованих аудіозаписів голосу) вимагає розроблення спеціалізованих криміналістичних методик виявлення такого втручання. Злочинні посягання на біометричні системи, особливо в контексті фінансової діяльності, повинні кваліфікуватися за окремими складами злочинів із передбаченням специфічних обтяжуючих обставин, пов'язаних із масштабами заподіяної шкоди та характером використаних технологій [2, </w:t>
      </w:r>
      <w:r w:rsidRPr="00511005">
        <w:rPr>
          <w:rFonts w:ascii="Arial" w:eastAsia="Calibri" w:hAnsi="Arial" w:cs="Arial"/>
          <w:szCs w:val="28"/>
          <w:lang w:val="en-US"/>
        </w:rPr>
        <w:t>c</w:t>
      </w:r>
      <w:r w:rsidRPr="00511005">
        <w:rPr>
          <w:rFonts w:ascii="Arial" w:eastAsia="Calibri" w:hAnsi="Arial" w:cs="Arial"/>
          <w:szCs w:val="28"/>
        </w:rPr>
        <w:t>. 231].</w:t>
      </w:r>
    </w:p>
    <w:p w14:paraId="2A5B0A89"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Важливо також наголосити на потребі формування національних стандартів безпечної експлуатації біометричних систем у банківській сфері та електронній комерції, що включають обов'язкові вимоги до криптографічного захисту даних, політик збереження інформації, механізмів анонімізації та псевдонімізації. Ці стандарти мають бути імплементовані через відповідні нормативно-правові акти, з урахуванням міжнародних зобов'язань України та передового світового досвіду. Зі свого боку, криміналістична наука має пропонувати чіткі критерії оцінки безпечності біометричних технологій для забезпечення правового захисту як самих систем, так і користувачів, що довіряють їм свої персональні дані [3, </w:t>
      </w:r>
      <w:r w:rsidRPr="00511005">
        <w:rPr>
          <w:rFonts w:ascii="Arial" w:eastAsia="Calibri" w:hAnsi="Arial" w:cs="Arial"/>
          <w:szCs w:val="28"/>
          <w:lang w:val="en-US"/>
        </w:rPr>
        <w:t>c</w:t>
      </w:r>
      <w:r w:rsidRPr="00511005">
        <w:rPr>
          <w:rFonts w:ascii="Arial" w:eastAsia="Calibri" w:hAnsi="Arial" w:cs="Arial"/>
          <w:szCs w:val="28"/>
        </w:rPr>
        <w:t>. 142].</w:t>
      </w:r>
    </w:p>
    <w:p w14:paraId="01AFE172"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Таким чином, використання біометрії в банківських системах та електронній комерції вимагає комплексного законодавчого врегулювання і посилення криміналістичної експертизи даного процесу. Лише поєднання ефективних правових механізмів захисту, спеціалізованих криміналістичних методик та високого рівня цифрової грамотності учасників ринку дозволить забезпечити реальний захист прав громадян і бізнесу в умовах стрімкого розвитку цифрових технологій.</w:t>
      </w:r>
    </w:p>
    <w:p w14:paraId="53688451" w14:textId="77777777" w:rsidR="00532C25" w:rsidRPr="00511005" w:rsidRDefault="00532C25" w:rsidP="00532C25">
      <w:pPr>
        <w:spacing w:line="264" w:lineRule="auto"/>
        <w:ind w:firstLine="720"/>
        <w:jc w:val="center"/>
        <w:rPr>
          <w:rFonts w:ascii="Arial" w:eastAsia="Calibri" w:hAnsi="Arial" w:cs="Arial"/>
          <w:b/>
          <w:bCs/>
          <w:szCs w:val="28"/>
        </w:rPr>
      </w:pPr>
    </w:p>
    <w:p w14:paraId="6BA8F037" w14:textId="77777777" w:rsidR="00532C25" w:rsidRPr="00511005" w:rsidRDefault="00532C25" w:rsidP="00532C25">
      <w:pPr>
        <w:spacing w:line="264" w:lineRule="auto"/>
        <w:ind w:firstLine="720"/>
        <w:jc w:val="center"/>
        <w:rPr>
          <w:rFonts w:ascii="Arial" w:eastAsia="Calibri" w:hAnsi="Arial" w:cs="Arial"/>
          <w:b/>
          <w:bCs/>
          <w:szCs w:val="28"/>
          <w:lang w:val="en-US"/>
        </w:rPr>
      </w:pPr>
      <w:r w:rsidRPr="00511005">
        <w:rPr>
          <w:rFonts w:ascii="Arial" w:eastAsia="Calibri" w:hAnsi="Arial" w:cs="Arial"/>
          <w:b/>
          <w:bCs/>
          <w:szCs w:val="28"/>
          <w:lang w:val="uk-UA"/>
        </w:rPr>
        <w:t>Список використаних джерел</w:t>
      </w:r>
    </w:p>
    <w:p w14:paraId="4B146830" w14:textId="77777777" w:rsidR="00532C25" w:rsidRPr="00511005" w:rsidRDefault="00532C25" w:rsidP="003F6A5D">
      <w:pPr>
        <w:numPr>
          <w:ilvl w:val="0"/>
          <w:numId w:val="654"/>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захист персональних даних: Закон України від 01.06.2010 № 2297-VI.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2000" w:anchor="Text"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zakon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rada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gov</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laws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show</w:t>
        </w:r>
        <w:r w:rsidRPr="00511005">
          <w:rPr>
            <w:rFonts w:ascii="Arial" w:eastAsia="Times New Roman" w:hAnsi="Arial" w:cs="Arial"/>
            <w:szCs w:val="28"/>
            <w:lang w:eastAsia="ru-RU"/>
          </w:rPr>
          <w:t>/2297-17#</w:t>
        </w:r>
        <w:r w:rsidRPr="00511005">
          <w:rPr>
            <w:rFonts w:ascii="Arial" w:eastAsia="Times New Roman" w:hAnsi="Arial" w:cs="Arial"/>
            <w:szCs w:val="28"/>
            <w:lang w:val="en-US" w:eastAsia="ru-RU"/>
          </w:rPr>
          <w:t>Text</w:t>
        </w:r>
      </w:hyperlink>
      <w:r w:rsidRPr="00511005">
        <w:rPr>
          <w:rFonts w:ascii="Arial" w:eastAsia="Times New Roman" w:hAnsi="Arial" w:cs="Arial"/>
          <w:szCs w:val="28"/>
          <w:lang w:eastAsia="ru-RU"/>
        </w:rPr>
        <w:t xml:space="preserve"> (дата звернення: 26.04.2025 р.)</w:t>
      </w:r>
    </w:p>
    <w:p w14:paraId="68EDDD2A" w14:textId="77777777" w:rsidR="00532C25" w:rsidRPr="00511005" w:rsidRDefault="00532C25" w:rsidP="003F6A5D">
      <w:pPr>
        <w:numPr>
          <w:ilvl w:val="0"/>
          <w:numId w:val="654"/>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Біометричні технології в ХХІ столітті та їх використання правоохоронними органами: посібник. 2-ге вид., доп. / В. П. Захаров, В. І. Рудешко. Львів: ЛьвДУВС, 2015. </w:t>
      </w:r>
      <w:r w:rsidRPr="00511005">
        <w:rPr>
          <w:rFonts w:ascii="Arial" w:eastAsia="Times New Roman" w:hAnsi="Arial" w:cs="Arial"/>
          <w:szCs w:val="28"/>
          <w:lang w:val="en-US" w:eastAsia="ru-RU"/>
        </w:rPr>
        <w:t>492 с.</w:t>
      </w:r>
    </w:p>
    <w:p w14:paraId="084A8B66" w14:textId="77777777" w:rsidR="00532C25" w:rsidRPr="00511005" w:rsidRDefault="00532C25" w:rsidP="003F6A5D">
      <w:pPr>
        <w:numPr>
          <w:ilvl w:val="0"/>
          <w:numId w:val="654"/>
        </w:numPr>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 xml:space="preserve">Удовиченко О.А. Функціонування регіонального дактилоскопічного обліку в Науководослідному експертно-криміналістичному центрі при ГУМВС України в Харківській області. </w:t>
      </w:r>
      <w:r w:rsidRPr="00511005">
        <w:rPr>
          <w:rFonts w:ascii="Arial" w:eastAsia="Times New Roman" w:hAnsi="Arial" w:cs="Arial"/>
          <w:i/>
          <w:iCs/>
          <w:szCs w:val="28"/>
          <w:lang w:eastAsia="ru-RU"/>
        </w:rPr>
        <w:t>Криміналістичний вісник.</w:t>
      </w:r>
      <w:r w:rsidRPr="00511005">
        <w:rPr>
          <w:rFonts w:ascii="Arial" w:eastAsia="Times New Roman" w:hAnsi="Arial" w:cs="Arial"/>
          <w:szCs w:val="28"/>
          <w:lang w:eastAsia="ru-RU"/>
        </w:rPr>
        <w:t xml:space="preserve"> 2010. № 2. С. 140-144.</w:t>
      </w:r>
    </w:p>
    <w:p w14:paraId="2ED27430"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en-US" w:eastAsia="ru-RU"/>
        </w:rPr>
      </w:pPr>
    </w:p>
    <w:p w14:paraId="5AC02EC0"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eastAsia="ru-RU"/>
        </w:rPr>
        <w:t>Ключові</w:t>
      </w:r>
      <w:r w:rsidRPr="00055389">
        <w:rPr>
          <w:rFonts w:ascii="Arial" w:eastAsia="Times New Roman" w:hAnsi="Arial" w:cs="Arial"/>
          <w:b/>
          <w:bCs/>
          <w:i/>
          <w:szCs w:val="28"/>
          <w:lang w:val="en-US" w:eastAsia="ru-RU"/>
        </w:rPr>
        <w:t xml:space="preserve"> </w:t>
      </w:r>
      <w:r w:rsidRPr="00511005">
        <w:rPr>
          <w:rFonts w:ascii="Arial" w:eastAsia="Times New Roman" w:hAnsi="Arial" w:cs="Arial"/>
          <w:b/>
          <w:bCs/>
          <w:i/>
          <w:szCs w:val="28"/>
          <w:lang w:eastAsia="ru-RU"/>
        </w:rPr>
        <w:t>слова</w:t>
      </w:r>
      <w:r w:rsidRPr="00055389">
        <w:rPr>
          <w:rFonts w:ascii="Arial" w:eastAsia="Times New Roman" w:hAnsi="Arial" w:cs="Arial"/>
          <w:b/>
          <w:bCs/>
          <w:i/>
          <w:szCs w:val="28"/>
          <w:lang w:val="en-US" w:eastAsia="ru-RU"/>
        </w:rPr>
        <w:t xml:space="preserve">: </w:t>
      </w:r>
      <w:r w:rsidRPr="00511005">
        <w:rPr>
          <w:rFonts w:ascii="Arial" w:eastAsia="Times New Roman" w:hAnsi="Arial" w:cs="Arial"/>
          <w:szCs w:val="28"/>
          <w:lang w:eastAsia="ru-RU"/>
        </w:rPr>
        <w:t>біометричні</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дані</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біометрія</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ідентифікація</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автентифікація</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банківська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система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електронні</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комерція</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криміналістика</w:t>
      </w:r>
      <w:r w:rsidRPr="00511005">
        <w:rPr>
          <w:rFonts w:ascii="Arial" w:eastAsia="Times New Roman" w:hAnsi="Arial" w:cs="Arial"/>
          <w:szCs w:val="28"/>
          <w:lang w:val="en-US" w:eastAsia="ru-RU"/>
        </w:rPr>
        <w:t>.</w:t>
      </w:r>
    </w:p>
    <w:p w14:paraId="19CE695F"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biometric data, biometrics, identification, authentication, banking system, e-commerce, forensics.</w:t>
      </w:r>
    </w:p>
    <w:p w14:paraId="1EAD3163" w14:textId="77777777" w:rsidR="00532C25" w:rsidRPr="00511005" w:rsidRDefault="00532C25" w:rsidP="00532C25">
      <w:pPr>
        <w:keepNext/>
        <w:widowControl w:val="0"/>
        <w:spacing w:line="264" w:lineRule="auto"/>
        <w:ind w:firstLine="720"/>
        <w:rPr>
          <w:rFonts w:ascii="Arial" w:eastAsia="Times New Roman" w:hAnsi="Arial" w:cs="Arial"/>
          <w:i/>
          <w:iCs/>
          <w:szCs w:val="28"/>
          <w:lang w:eastAsia="ru-RU"/>
        </w:rPr>
      </w:pPr>
      <w:r w:rsidRPr="00511005">
        <w:rPr>
          <w:rFonts w:ascii="Arial" w:eastAsia="Calibri" w:hAnsi="Arial" w:cs="Arial"/>
          <w:b/>
          <w:i/>
          <w:iCs/>
          <w:szCs w:val="28"/>
        </w:rPr>
        <w:t xml:space="preserve">Науковий керівник: </w:t>
      </w:r>
      <w:r w:rsidRPr="00511005">
        <w:rPr>
          <w:rFonts w:ascii="Arial" w:eastAsia="Times New Roman" w:hAnsi="Arial" w:cs="Arial"/>
          <w:i/>
          <w:iCs/>
          <w:szCs w:val="28"/>
          <w:lang w:eastAsia="ru-RU"/>
        </w:rPr>
        <w:t>д.ю.н., завідувач кафедри, професор Аркуша Л.І.</w:t>
      </w:r>
    </w:p>
    <w:p w14:paraId="754C6E91"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p>
    <w:p w14:paraId="103A9515" w14:textId="77777777" w:rsidR="00532C25" w:rsidRPr="00511005" w:rsidRDefault="00532C25" w:rsidP="00532C25">
      <w:pPr>
        <w:spacing w:line="264" w:lineRule="auto"/>
        <w:ind w:firstLine="720"/>
        <w:jc w:val="center"/>
        <w:rPr>
          <w:rFonts w:ascii="Arial" w:eastAsia="Calibri" w:hAnsi="Arial" w:cs="Arial"/>
          <w:szCs w:val="28"/>
          <w:lang w:val="uk-UA"/>
        </w:rPr>
      </w:pPr>
    </w:p>
    <w:p w14:paraId="32760964"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Мурашева Катерина Віталіївна</w:t>
      </w:r>
    </w:p>
    <w:p w14:paraId="75531518" w14:textId="77777777" w:rsidR="00532C25" w:rsidRPr="00511005" w:rsidRDefault="00532C25" w:rsidP="00532C25">
      <w:pPr>
        <w:spacing w:line="264" w:lineRule="auto"/>
        <w:ind w:firstLine="720"/>
        <w:jc w:val="center"/>
        <w:rPr>
          <w:rFonts w:ascii="Arial" w:eastAsia="Calibri" w:hAnsi="Arial" w:cs="Arial"/>
          <w:szCs w:val="28"/>
          <w:lang w:val="uk-UA"/>
        </w:rPr>
      </w:pPr>
      <w:bookmarkStart w:id="238" w:name="_Hlk197628098"/>
      <w:r w:rsidRPr="00511005">
        <w:rPr>
          <w:rFonts w:ascii="Arial" w:eastAsia="Calibri" w:hAnsi="Arial" w:cs="Arial"/>
          <w:szCs w:val="28"/>
          <w:lang w:val="uk-UA"/>
        </w:rPr>
        <w:t>студентка 2-го курсу факультету цивільної та господарської юстиції</w:t>
      </w:r>
    </w:p>
    <w:p w14:paraId="0F5D3CC6"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06F11F92" w14:textId="77777777" w:rsidR="00532C25" w:rsidRPr="00511005" w:rsidRDefault="00532C25" w:rsidP="00532C25">
      <w:pPr>
        <w:spacing w:line="264" w:lineRule="auto"/>
        <w:ind w:firstLine="720"/>
        <w:jc w:val="left"/>
        <w:rPr>
          <w:rFonts w:ascii="Arial" w:eastAsia="Segoe UI" w:hAnsi="Arial" w:cs="Arial"/>
          <w:b/>
          <w:szCs w:val="28"/>
          <w:shd w:val="clear" w:color="auto" w:fill="FFFFFF"/>
          <w:lang w:eastAsia="zh-CN"/>
        </w:rPr>
      </w:pPr>
    </w:p>
    <w:p w14:paraId="6B54DAE2" w14:textId="77777777" w:rsidR="00532C25" w:rsidRPr="00511005" w:rsidRDefault="00532C25" w:rsidP="00532C25">
      <w:pPr>
        <w:spacing w:line="264" w:lineRule="auto"/>
        <w:ind w:firstLine="720"/>
        <w:jc w:val="center"/>
        <w:rPr>
          <w:rFonts w:ascii="Arial" w:eastAsia="Segoe UI" w:hAnsi="Arial" w:cs="Arial"/>
          <w:b/>
          <w:szCs w:val="28"/>
          <w:shd w:val="clear" w:color="auto" w:fill="FFFFFF"/>
          <w:lang w:eastAsia="zh-CN"/>
        </w:rPr>
      </w:pPr>
      <w:r w:rsidRPr="00511005">
        <w:rPr>
          <w:rFonts w:ascii="Arial" w:eastAsia="Segoe UI" w:hAnsi="Arial" w:cs="Arial"/>
          <w:b/>
          <w:bCs/>
          <w:szCs w:val="28"/>
          <w:shd w:val="clear" w:color="auto" w:fill="FFFFFF"/>
          <w:lang w:eastAsia="zh-CN"/>
        </w:rPr>
        <w:t>ІДЕНТИФІКАЦІЯ ОСОБИ ШЛЯХОМ ДНК-АНАЛІЗУ: МОЖЛИВОСТІ ТА ПРАВОВІ АСПЕКТИ ВИКОРИСТАННЯ</w:t>
      </w:r>
    </w:p>
    <w:p w14:paraId="315E0EC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Сучасна наука використовує низку методів шляхом ДНК-аналізу, зокрема: PCR (полімеразна ланцюгова реакція) – дозволяє багаторазово копіювати окремі фрагменти ДНК для подальшого аналізу; RFLP (аналіз довжини рестрикційних фрагментів) – один із перших методів генетичної ідентифікації, що базується на варіаціях у довжині фрагментів ДНК; STR-аналіз (дослідження коротких повторів) – найбільш поширений метод у криміналістиці, який досліджує повторювані ділянки ДНК, що сильно варіюються в людей. Технології постійно вдосконалюються: з’являються портативні ДНК-аналізатори, системи високопродуктивного секвенування (NGS), цифрові бази ДНК-даних тощо.</w:t>
      </w:r>
    </w:p>
    <w:p w14:paraId="006AD4A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ДНК містить нейтральну генетичну інформацію, яка формується через унікальні генетичні характеристики. Дезоксирибонуклеїнова кислота (ДНК) – це природний біополімер, що знаходиться у ядрах клітин усіх живих істот. У поєднанні з білками вона формує речовину, з якої складаються хромосоми. ДНК виступає ключовим носієм генетичних даних, а її окремі сегменти відповідають за гени. Ця молекула складається з двох полінуклеотидних ланцюжків, що утворюють спіраль, закручену один навколо одного. Ланцюжки побудовані з великої кількості мономерів чотирьох видів – нуклеотидів, які визначаються однією з чотирьох азотистих основ: аденіном, гуаніном, цитозином чи тиміном [5]</w:t>
      </w:r>
    </w:p>
    <w:p w14:paraId="1D6D8A2D" w14:textId="77777777" w:rsidR="00532C25" w:rsidRPr="00511005" w:rsidRDefault="00532C25" w:rsidP="00532C25">
      <w:pPr>
        <w:spacing w:line="264" w:lineRule="auto"/>
        <w:ind w:firstLine="720"/>
        <w:rPr>
          <w:rFonts w:ascii="Arial" w:eastAsia="Calibri" w:hAnsi="Arial" w:cs="Arial"/>
          <w:i/>
          <w:iCs/>
          <w:szCs w:val="28"/>
          <w:lang w:val="uk-UA"/>
        </w:rPr>
      </w:pPr>
      <w:r w:rsidRPr="00511005">
        <w:rPr>
          <w:rFonts w:ascii="Arial" w:eastAsia="Calibri" w:hAnsi="Arial" w:cs="Arial"/>
          <w:i/>
          <w:iCs/>
          <w:szCs w:val="28"/>
          <w:lang w:val="uk-UA"/>
        </w:rPr>
        <w:t xml:space="preserve">Можливості використання ДНК для ідентифікації особи: </w:t>
      </w:r>
    </w:p>
    <w:p w14:paraId="0E5AA2F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 xml:space="preserve">1.Ідентифікація загиблих (у тому числі у воєнний час). Однією з важливих функцій ДНК-ідентифікації є встановлення особи померлого у випадках, коли інші методи (наприклад, візуальна ідентифікація або дактилоскопія) неможливі. Це особливо актуально в умовах воєнного стану, при катастрофах, масових захороненнях або терористичних актах. В Україні, починаючи з 2014 року, ДНК-ідентифікація широко використовується для встановлення особи загиблих військових та цивільних. Біологічні зразки порівнюють з ДНК родичів або з наявними базами даних. </w:t>
      </w:r>
    </w:p>
    <w:p w14:paraId="462A88B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2.Розкриття злочинів за біологічними слідами ДНК-аналіз відіграє ключову роль у кримінальному судочинстві. Сліди крові, слини, волосся чи епітелію, залишені на місці події, можуть бути джерелом ДНК-профілю злочинця. Завдяки створенню ДНК-баз (наприклад, CODIS у США) правоохоронні органи можуть швидко ідентифікувати підозрюваних, навіть якщо минуло багато років. У кримінальних справах ДНК-аналіз є об’єктивним доказом і часто вирішальним у встановленні вини або невинуватості особи. </w:t>
      </w:r>
    </w:p>
    <w:p w14:paraId="68CB2E9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3.Встановлення родинних зв’язків ДНК-експертиза дозволяє з високою точністю встановити ступінь родинних зв’язків між людьми: батьківство, материнство, спорідненість у другому та третьому поколіннях. Це часто використовується у справах про аліменти; у спадкових спорах; при усиновленні та опіці; при ідентифікації дітей, втрачених унаслідок воєнних дій або катастроф. </w:t>
      </w:r>
    </w:p>
    <w:p w14:paraId="55C7BDE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4.Використання в міграційних, паспортних та інших державних процедурах. У ряді країн ДНК-тести застосовуються в зазначених процесах для підтвердження родинних зв’язків, необхідних для надання статусу біженця або возз’єднання сім’ї. </w:t>
      </w:r>
    </w:p>
    <w:p w14:paraId="6ACE5A8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Деякі держави розглядають можливість використання ДНК-ідентифікації у паспортизації, біометричних документах або для захисту від шахрайства. Водночас це викликає питання щодо захисту персональних генетичних даних і прав людини. Цікаво розглянути це питання на практиці такої країни, як США. У Сполучених Штатах Америки немає загального федерального законодавства, яке регулювало б питання збору та використання біометричних даних. Це питання вирішується на рівні штатів та окремих місцевостей. Деякі регіони, як-от Сан-Франциско, Сомервіль і Окленд, запровадили заборону на використання технології розпізнавання обличчя, зокрема органами поліції. Такі заходи покликані захистити конфіденційність громадян та уникнути потенційної дискримінації. Деякі штати, наприклад Каліфорнія, Іллінойс і Техас, прийняли закони, які передбачають особливий порядок захисту біометричної інформації, як-от Закон штату Іллінойс «Про конфіденційність біометричних даних (BIPA)», що зобов’язує отримувати письмову згоду на збір таких даних. [4]</w:t>
      </w:r>
    </w:p>
    <w:p w14:paraId="0974E68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i/>
          <w:iCs/>
          <w:szCs w:val="28"/>
          <w:lang w:val="uk-UA"/>
        </w:rPr>
        <w:t>Правові аспекти використання ДНК-інформації.</w:t>
      </w:r>
      <w:r w:rsidRPr="00511005">
        <w:rPr>
          <w:rFonts w:ascii="Arial" w:eastAsia="Calibri" w:hAnsi="Arial" w:cs="Arial"/>
          <w:szCs w:val="28"/>
          <w:lang w:val="uk-UA"/>
        </w:rPr>
        <w:t xml:space="preserve"> </w:t>
      </w:r>
    </w:p>
    <w:p w14:paraId="64BCCD7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 xml:space="preserve">Національне законодавство України у сфері ДНК-ідентифікації розглядає правове регулювання ДНК-ідентифікації-через норми кримінального, цивільного, адміністративного законодавства, а також підзаконні акти. Основні положення можна знайти у: Кримінальному процесуальному кодексі України – щодо проведення судово-медичних та молекулярно-генетичних експертиз; Законі України «Про Національну поліцію», де зазначено право поліції збирати біологічні зразки; Законі України «Про судову експертизу» – регулює статус експертів та умови проведення експертиз; Законі України «Про захист персональних даних», що застосовується до ДНК-інформації як до чутливої персональної інформації [2]. </w:t>
      </w:r>
    </w:p>
    <w:p w14:paraId="3A22405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Використання ДНК-даних має відповідати міжнародним стандартам прав людини. Так, Конвенція про захист прав людини і основоположних свобод (ЄСПЛ) – гарантує право на приватне життя (стаття 8); Регламент ЄС GDPR (General Data Protection Regulation) – визнає генетичні дані як особливо чутливу категорію персональних даних, вимагаючи спеціального захисту та добровільної згоди на обробку; Міжнародна декларація ЮНЕСКО про геном людини і права людини – визначає біоетичні межі використання генетичної інформації.</w:t>
      </w:r>
    </w:p>
    <w:p w14:paraId="4F0A3C3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країнах ЄС, США, Канаді створено спеціалізовані законодавчі акти, що регулюють як створення ДНК-баз, так і доступ до них правоохоронних органів. Застосування ДНК-ідентифікації підвищує ефективність правоохоронних і слідчих органів, однак воно не повинно порушувати основоположні права людини. Проблемними залишаються питання добровільності надання зразків; збереження та захисту ДНК-даних; обмеження доступу до генетичної інформації третіх осіб (наприклад, страхових компаній або роботодавців).</w:t>
      </w:r>
    </w:p>
    <w:p w14:paraId="56B4ED2F" w14:textId="77777777" w:rsidR="00532C25" w:rsidRPr="00511005" w:rsidRDefault="00532C25" w:rsidP="00532C25">
      <w:pPr>
        <w:spacing w:line="264" w:lineRule="auto"/>
        <w:ind w:firstLine="720"/>
        <w:rPr>
          <w:rFonts w:ascii="Arial" w:eastAsia="Calibri" w:hAnsi="Arial" w:cs="Arial"/>
          <w:i/>
          <w:iCs/>
          <w:szCs w:val="28"/>
          <w:lang w:val="uk-UA"/>
        </w:rPr>
      </w:pPr>
      <w:r w:rsidRPr="00511005">
        <w:rPr>
          <w:rFonts w:ascii="Arial" w:eastAsia="Calibri" w:hAnsi="Arial" w:cs="Arial"/>
          <w:i/>
          <w:iCs/>
          <w:szCs w:val="28"/>
          <w:lang w:val="uk-UA"/>
        </w:rPr>
        <w:t xml:space="preserve">Проблеми та ризики, що пов’язані з використанням ДНК-даних, захист персональних даних та біоетичні аспекти. </w:t>
      </w:r>
    </w:p>
    <w:p w14:paraId="75FC10C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Генетична інформація є надзвичайно чутливими персональними даними, адже вона містить не лише інформацію про саму особу, а й про її родичів. Витік або несанкціонований доступ до ДНК-даних може призвести до дискримінації, стигматизації або порушення права на приватне життя [3]. До біоетичних ризиків входять використання генетичної інформації без інформованої згоди; комерціалізація ДНК (наприклад, продаж даних генетичними лабораторіями); генетичне профілювання – наприклад, для виявлення «ризикованих» осіб на основі спадкових схильностей. У кримінальному процесі, відповідно до законодавства, можливо примусове відібрання біологічного зразка (за рішенням суду або слідчого з дозволу прокурора). Однак це викликає низку юридичних і моральних запитань: чи є така процедура порушенням права на фізичну недоторканність? чи може особа відмовитись і що тягне така відмова? чи є законними подібні дії під </w:t>
      </w:r>
      <w:r w:rsidRPr="00511005">
        <w:rPr>
          <w:rFonts w:ascii="Arial" w:eastAsia="Calibri" w:hAnsi="Arial" w:cs="Arial"/>
          <w:szCs w:val="28"/>
          <w:lang w:val="uk-UA"/>
        </w:rPr>
        <w:lastRenderedPageBreak/>
        <w:t xml:space="preserve">час досудового слідства або у випадках щодо неповнолітніх? Європейський суд з прав людини в ряді рішень визнавав, що примусове збирання ДНК має бути обґрунтованим, пропорційним та проводитись за чітко визначеною процедурою. Попри високу точність ДНК-аналізу, існує людський і технічний фактор. </w:t>
      </w:r>
    </w:p>
    <w:p w14:paraId="621D2B1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i/>
          <w:iCs/>
          <w:szCs w:val="28"/>
          <w:lang w:val="uk-UA"/>
        </w:rPr>
        <w:t>Потенційні проблеми-помилки під час забору чи транспортування зразків ДНК</w:t>
      </w:r>
      <w:r w:rsidRPr="00511005">
        <w:rPr>
          <w:rFonts w:ascii="Arial" w:eastAsia="Calibri" w:hAnsi="Arial" w:cs="Arial"/>
          <w:szCs w:val="28"/>
          <w:lang w:val="uk-UA"/>
        </w:rPr>
        <w:t xml:space="preserve"> - це контамінація (змішування зразків) в лабораторії; неправильна інтерпретація результатів експертом; свідоме підтасування або підробка доказів.</w:t>
      </w:r>
    </w:p>
    <w:p w14:paraId="140AE83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деяких країнах були прецеденти, коли невинні особи були засуджені через помилки в ДНК-експертизі. Ці ризики вимагають: чітких стандартів проведення експертиз; акредитації лабораторій; незалежного контролю за діяльністю експертів.</w:t>
      </w:r>
    </w:p>
    <w:p w14:paraId="017AB40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Відсутність єдиного спеціалізованого закону про ДНК-ентифікацію створює правові прогалини, особливо в питаннях-процедур зберігання та обробки генетичних даних; підстав для примусового забору зразків; доступу до ДНК-інформації; тривалості зберігання біологічних матеріалів. Це призводить до неоднозначного застосування норм та потенційного порушення прав людини.</w:t>
      </w:r>
    </w:p>
    <w:p w14:paraId="5B58958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Але, опрацювавши КПК, можна зробити деякі висновки, що у Кримінальному процесуальному кодексі України є статті, які можуть стосуватися використання ДНК-ідентифікації. Наприклад, стаття 298-1 визначає процесуальні джерела доказів, включаючи результати медичних досліджень та висновки спеціалістів та Розділ III охоплює досудове розслідування, де можуть бути використані біологічні матеріали як джерело доказів [1]</w:t>
      </w:r>
    </w:p>
    <w:p w14:paraId="706C5B7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З метою забезпечення балансу між потребами держави та правами людини, доцільно закріпити законодавчо принцип добровільності, з чіткими винятками; запровадити систему інформованої згоди на збір і обробку ДНК-даних (особливо в цивільних та адміністративних справах); визначити перелік суб’єктів, які можуть здійснювати доступ до ДНК-інформації; передбачити механізми судового захисту у випадку незаконного збору чи використання генетичних даних; створити незалежний орган контролю за обробкою ДНК-інформації (аналогічно до наглядових органів у сфері персональних даних у ЄС).</w:t>
      </w:r>
    </w:p>
    <w:p w14:paraId="07FDD53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Створення єдиного державного ДНК-реєстру є актуальним кроком, особливо в умовах війни та необхідності ідентифікації загиблих.</w:t>
      </w:r>
    </w:p>
    <w:p w14:paraId="2FE9C24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i/>
          <w:iCs/>
          <w:szCs w:val="28"/>
          <w:lang w:val="uk-UA"/>
        </w:rPr>
        <w:t>Переваги</w:t>
      </w:r>
      <w:r w:rsidRPr="00511005">
        <w:rPr>
          <w:rFonts w:ascii="Arial" w:eastAsia="Calibri" w:hAnsi="Arial" w:cs="Arial"/>
          <w:szCs w:val="28"/>
          <w:lang w:val="uk-UA"/>
        </w:rPr>
        <w:t xml:space="preserve">: оперативна ідентифікація осіб (у кримінальних, цивільних та воєнних справах); спрощення процедур при пошуку зниклих безвісти; підвищення ефективності правоохоронних органів). </w:t>
      </w:r>
    </w:p>
    <w:p w14:paraId="35CDE33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i/>
          <w:iCs/>
          <w:szCs w:val="28"/>
          <w:lang w:val="uk-UA"/>
        </w:rPr>
        <w:lastRenderedPageBreak/>
        <w:t>Ризики:</w:t>
      </w:r>
      <w:r w:rsidRPr="00511005">
        <w:rPr>
          <w:rFonts w:ascii="Arial" w:eastAsia="Calibri" w:hAnsi="Arial" w:cs="Arial"/>
          <w:szCs w:val="28"/>
          <w:lang w:val="uk-UA"/>
        </w:rPr>
        <w:t xml:space="preserve"> порушення права на приватність у разі недостатнього захисту даних; зловживання з боку силових структур; відсутність належного нагляду й контролю за доступом до реєстру).</w:t>
      </w:r>
    </w:p>
    <w:p w14:paraId="3692D09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i/>
          <w:iCs/>
          <w:szCs w:val="28"/>
          <w:lang w:val="uk-UA"/>
        </w:rPr>
        <w:t>Для мінімізації ризиків необхідно:</w:t>
      </w:r>
      <w:r w:rsidRPr="00511005">
        <w:rPr>
          <w:rFonts w:ascii="Arial" w:eastAsia="Calibri" w:hAnsi="Arial" w:cs="Arial"/>
          <w:szCs w:val="28"/>
          <w:lang w:val="uk-UA"/>
        </w:rPr>
        <w:t xml:space="preserve"> чітко врегулювати категорії осіб, щодо яких збирається ДНК-інформація; захистити реєстр сучасними кібербезпековими рішеннями; передбачити відповідальність за несанкціоноване використання або розголошення даних.</w:t>
      </w:r>
    </w:p>
    <w:p w14:paraId="3959AE6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Підбиваючи підсумки можна зазначити що: ДНК-ідентифікація є потужним інструментом у встановленні особи та має широке застосування в кримінальному правосудді, медицині, пошуку зниклих безвісти, а також у родинних і міграційних справах. Разом із цим, широке використання ДНК-технологій потребує належного правового регулювання для гарантування безпеки, точності, а головне - дотримання прав людини. Сучасне законодавство України в цій сфері є недостатньо системним і не враховує викликів, пов’язаних з технологічним розвитком, зокрема питань захисту персональних генетичних даних та запобігання зловживанням. При цьому для правозастосовної практики доцільним є розробити та ухвалити спеціальний закон про ДНК-ідентифікацію, який комплексно регулюватиме збір, обробку, зберігання та використання ДНК-даних. Також доцільним є передбачити чіткі процесуальні гарантії щодо добровільності, інформованої згоди, права на доступ до власних даних та можливості їх видалення, запровадити єдиний державний ДНК-реєстр із жорсткими правилами доступу, кіберзахистом та незалежним контролем, встановити відповідальність за незаконне використання, витік або фальсифікацію ДНК-інформації.</w:t>
      </w:r>
    </w:p>
    <w:p w14:paraId="4084E5C2" w14:textId="77777777" w:rsidR="00532C25" w:rsidRPr="00511005" w:rsidRDefault="00532C25" w:rsidP="00532C25">
      <w:pPr>
        <w:spacing w:line="264" w:lineRule="auto"/>
        <w:ind w:firstLine="720"/>
        <w:jc w:val="center"/>
        <w:rPr>
          <w:rFonts w:ascii="Arial" w:eastAsia="Calibri" w:hAnsi="Arial" w:cs="Arial"/>
          <w:b/>
          <w:bCs/>
          <w:szCs w:val="28"/>
          <w:lang w:val="uk-UA"/>
        </w:rPr>
      </w:pPr>
    </w:p>
    <w:p w14:paraId="456F27BB"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4540C1F" w14:textId="77777777" w:rsidR="00532C25" w:rsidRPr="00511005" w:rsidRDefault="00532C25" w:rsidP="003F6A5D">
      <w:pPr>
        <w:numPr>
          <w:ilvl w:val="0"/>
          <w:numId w:val="655"/>
        </w:numPr>
        <w:tabs>
          <w:tab w:val="left" w:pos="0"/>
        </w:tabs>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Кримінальний процесуальний кодекс України: кодекс України № 4651-VI від 13.04.2012. URL: </w:t>
      </w:r>
      <w:hyperlink r:id="rId2001" w:anchor="Text" w:tgtFrame="_blank" w:history="1">
        <w:r w:rsidRPr="00511005">
          <w:rPr>
            <w:rFonts w:ascii="Arial" w:eastAsia="Times New Roman" w:hAnsi="Arial" w:cs="Arial"/>
            <w:szCs w:val="28"/>
            <w:lang w:val="uk-UA" w:eastAsia="ru-RU"/>
          </w:rPr>
          <w:t>https://zakon.rada.gov.ua/laws/show/4651-17#Text</w:t>
        </w:r>
      </w:hyperlink>
      <w:r w:rsidRPr="00511005">
        <w:rPr>
          <w:rFonts w:ascii="Arial" w:eastAsia="Times New Roman" w:hAnsi="Arial" w:cs="Arial"/>
          <w:szCs w:val="28"/>
          <w:lang w:val="uk-UA" w:eastAsia="ru-RU"/>
        </w:rPr>
        <w:t>.</w:t>
      </w:r>
    </w:p>
    <w:p w14:paraId="3761DD46" w14:textId="77777777" w:rsidR="00532C25" w:rsidRPr="00511005" w:rsidRDefault="00532C25" w:rsidP="003F6A5D">
      <w:pPr>
        <w:numPr>
          <w:ilvl w:val="0"/>
          <w:numId w:val="655"/>
        </w:numPr>
        <w:tabs>
          <w:tab w:val="left" w:pos="0"/>
        </w:tabs>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Про захист персональних даних: закон України від 01.06.2010 № 2297-VI : станом на 18 січ. 2025 р. URL: </w:t>
      </w:r>
      <w:hyperlink r:id="rId2002" w:anchor="Text" w:tgtFrame="_blank" w:history="1">
        <w:r w:rsidRPr="00511005">
          <w:rPr>
            <w:rFonts w:ascii="Arial" w:eastAsia="Times New Roman" w:hAnsi="Arial" w:cs="Arial"/>
            <w:szCs w:val="28"/>
            <w:lang w:val="uk-UA" w:eastAsia="ru-RU"/>
          </w:rPr>
          <w:t>https://zakon.rada.gov.ua/laws/show/2297-17#Text</w:t>
        </w:r>
      </w:hyperlink>
      <w:r w:rsidRPr="00511005">
        <w:rPr>
          <w:rFonts w:ascii="Arial" w:eastAsia="Times New Roman" w:hAnsi="Arial" w:cs="Arial"/>
          <w:szCs w:val="28"/>
          <w:lang w:val="uk-UA" w:eastAsia="ru-RU"/>
        </w:rPr>
        <w:t> .</w:t>
      </w:r>
    </w:p>
    <w:p w14:paraId="4072A25E" w14:textId="77777777" w:rsidR="00532C25" w:rsidRPr="00511005" w:rsidRDefault="00532C25" w:rsidP="003F6A5D">
      <w:pPr>
        <w:numPr>
          <w:ilvl w:val="0"/>
          <w:numId w:val="655"/>
        </w:numPr>
        <w:tabs>
          <w:tab w:val="left" w:pos="0"/>
        </w:tabs>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Гаращук В. М. Правові проблеми ідентифікації особи за допомогою біометричних та генетичних технологій</w:t>
      </w:r>
      <w:r w:rsidRPr="00511005">
        <w:rPr>
          <w:rFonts w:ascii="Arial" w:eastAsia="Times New Roman" w:hAnsi="Arial" w:cs="Arial"/>
          <w:i/>
          <w:iCs/>
          <w:szCs w:val="28"/>
          <w:lang w:val="uk-UA" w:eastAsia="ru-RU"/>
        </w:rPr>
        <w:t>. Проблеми законності.</w:t>
      </w:r>
      <w:r w:rsidRPr="00511005">
        <w:rPr>
          <w:rFonts w:ascii="Arial" w:eastAsia="Times New Roman" w:hAnsi="Arial" w:cs="Arial"/>
          <w:szCs w:val="28"/>
          <w:lang w:val="uk-UA" w:eastAsia="ru-RU"/>
        </w:rPr>
        <w:t xml:space="preserve"> 2021. № 153. С. 83–94.</w:t>
      </w:r>
    </w:p>
    <w:p w14:paraId="08CBC51F" w14:textId="77777777" w:rsidR="00532C25" w:rsidRPr="00511005" w:rsidRDefault="00532C25" w:rsidP="003F6A5D">
      <w:pPr>
        <w:numPr>
          <w:ilvl w:val="0"/>
          <w:numId w:val="655"/>
        </w:numPr>
        <w:tabs>
          <w:tab w:val="left" w:pos="0"/>
        </w:tabs>
        <w:spacing w:line="264" w:lineRule="auto"/>
        <w:ind w:left="0" w:firstLine="720"/>
        <w:contextualSpacing/>
        <w:jc w:val="left"/>
        <w:rPr>
          <w:rFonts w:ascii="Arial" w:eastAsia="Times New Roman" w:hAnsi="Arial" w:cs="Arial"/>
          <w:szCs w:val="28"/>
          <w:lang w:val="uk-UA" w:eastAsia="ru-RU"/>
        </w:rPr>
      </w:pPr>
      <w:r w:rsidRPr="00511005">
        <w:rPr>
          <w:rFonts w:ascii="Arial" w:hAnsi="Arial" w:cs="Arial"/>
          <w:szCs w:val="28"/>
          <w:lang w:val="uk-UA" w:eastAsia="ru-RU"/>
        </w:rPr>
        <w:t>Біометричні дані: збір і захист у Європі, США та Україні - Юридична Газета. </w:t>
      </w:r>
      <w:r w:rsidRPr="00511005">
        <w:rPr>
          <w:rFonts w:ascii="Arial" w:hAnsi="Arial" w:cs="Arial"/>
          <w:i/>
          <w:iCs/>
          <w:szCs w:val="28"/>
          <w:lang w:val="uk-UA" w:eastAsia="ru-RU"/>
        </w:rPr>
        <w:t>Юридична газета – онлайн версія</w:t>
      </w:r>
      <w:r w:rsidRPr="00511005">
        <w:rPr>
          <w:rFonts w:ascii="Arial" w:hAnsi="Arial" w:cs="Arial"/>
          <w:szCs w:val="28"/>
          <w:lang w:val="uk-UA" w:eastAsia="ru-RU"/>
        </w:rPr>
        <w:t>. URL: </w:t>
      </w:r>
      <w:hyperlink r:id="rId2003" w:tgtFrame="https://www.grafiati.com/uk/_blank" w:history="1">
        <w:r w:rsidRPr="00511005">
          <w:rPr>
            <w:rFonts w:ascii="Arial" w:hAnsi="Arial" w:cs="Arial"/>
            <w:szCs w:val="28"/>
            <w:lang w:val="uk-UA" w:eastAsia="ru-RU"/>
          </w:rPr>
          <w:t>https://yur-gazeta.com/publications/practice/inshe/biometrichni-dani-zbir-i-zahist-u-evropi-ssha-ta-ukrayini.html</w:t>
        </w:r>
      </w:hyperlink>
      <w:r w:rsidRPr="00511005">
        <w:rPr>
          <w:rFonts w:ascii="Arial" w:hAnsi="Arial" w:cs="Arial"/>
          <w:szCs w:val="28"/>
          <w:lang w:val="uk-UA" w:eastAsia="ru-RU"/>
        </w:rPr>
        <w:t> </w:t>
      </w:r>
    </w:p>
    <w:p w14:paraId="0C55E8FE" w14:textId="77777777" w:rsidR="00532C25" w:rsidRPr="00511005" w:rsidRDefault="00532C25" w:rsidP="003F6A5D">
      <w:pPr>
        <w:numPr>
          <w:ilvl w:val="0"/>
          <w:numId w:val="655"/>
        </w:numPr>
        <w:tabs>
          <w:tab w:val="left" w:pos="0"/>
        </w:tabs>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Ідентифікація за ДНК - 4ua.co.ua. URL: </w:t>
      </w:r>
      <w:hyperlink r:id="rId2004" w:tgtFrame="https://www.grafiati.com/uk/_blank" w:history="1">
        <w:r w:rsidRPr="00511005">
          <w:rPr>
            <w:rFonts w:ascii="Arial" w:hAnsi="Arial" w:cs="Arial"/>
            <w:szCs w:val="28"/>
            <w:lang w:val="uk-UA" w:eastAsia="ru-RU"/>
          </w:rPr>
          <w:t>http://4ua.co.ua/pravo/kriminalistika/identifikatsiya-dnk.html</w:t>
        </w:r>
      </w:hyperlink>
    </w:p>
    <w:p w14:paraId="56D80AA0" w14:textId="77777777" w:rsidR="00532C25" w:rsidRPr="00511005" w:rsidRDefault="00532C25" w:rsidP="00532C25">
      <w:pPr>
        <w:spacing w:line="264" w:lineRule="auto"/>
        <w:ind w:firstLine="720"/>
        <w:jc w:val="left"/>
        <w:rPr>
          <w:rFonts w:ascii="Arial" w:hAnsi="Arial" w:cs="Arial"/>
          <w:szCs w:val="28"/>
          <w:lang w:val="uk-UA"/>
        </w:rPr>
      </w:pPr>
    </w:p>
    <w:p w14:paraId="391C785D" w14:textId="77777777" w:rsidR="00532C25" w:rsidRPr="00511005" w:rsidRDefault="00532C25" w:rsidP="00532C25">
      <w:pPr>
        <w:spacing w:line="264" w:lineRule="auto"/>
        <w:ind w:firstLine="720"/>
        <w:jc w:val="left"/>
        <w:rPr>
          <w:rFonts w:ascii="Arial" w:hAnsi="Arial" w:cs="Arial"/>
          <w:szCs w:val="28"/>
          <w:lang w:val="uk-UA"/>
        </w:rPr>
      </w:pPr>
      <w:r w:rsidRPr="00511005">
        <w:rPr>
          <w:rFonts w:ascii="Arial" w:hAnsi="Arial" w:cs="Arial"/>
          <w:b/>
          <w:bCs/>
          <w:i/>
          <w:szCs w:val="28"/>
          <w:lang w:val="uk-UA"/>
        </w:rPr>
        <w:t xml:space="preserve">Ключові слова: </w:t>
      </w:r>
      <w:r w:rsidRPr="00511005">
        <w:rPr>
          <w:rFonts w:ascii="Arial" w:hAnsi="Arial" w:cs="Arial"/>
          <w:szCs w:val="28"/>
          <w:lang w:val="uk-UA"/>
        </w:rPr>
        <w:t>ідентифікація, ДНК, ДНК-аналіз.</w:t>
      </w:r>
    </w:p>
    <w:p w14:paraId="14425244" w14:textId="77777777" w:rsidR="00532C25" w:rsidRPr="00511005" w:rsidRDefault="00532C25" w:rsidP="00532C25">
      <w:pPr>
        <w:spacing w:line="264" w:lineRule="auto"/>
        <w:ind w:firstLine="720"/>
        <w:jc w:val="left"/>
        <w:rPr>
          <w:rFonts w:ascii="Arial" w:eastAsia="Calibri" w:hAnsi="Arial" w:cs="Arial"/>
          <w:szCs w:val="28"/>
          <w:lang w:val="uk-UA"/>
        </w:rPr>
      </w:pPr>
      <w:r w:rsidRPr="00511005">
        <w:rPr>
          <w:rFonts w:ascii="Arial" w:eastAsia="Calibri" w:hAnsi="Arial" w:cs="Arial"/>
          <w:b/>
          <w:bCs/>
          <w:i/>
          <w:szCs w:val="28"/>
          <w:lang w:val="uk-UA"/>
        </w:rPr>
        <w:t xml:space="preserve">Key words: </w:t>
      </w:r>
      <w:r w:rsidRPr="00511005">
        <w:rPr>
          <w:rFonts w:ascii="Arial" w:eastAsia="Calibri" w:hAnsi="Arial" w:cs="Arial"/>
          <w:szCs w:val="28"/>
          <w:lang w:val="uk-UA"/>
        </w:rPr>
        <w:t>identification, DNA, DNA analysis.</w:t>
      </w:r>
    </w:p>
    <w:p w14:paraId="4F5AC34F" w14:textId="259F75B2" w:rsidR="00532C25" w:rsidRPr="00511005" w:rsidRDefault="00532C25" w:rsidP="00532C25">
      <w:pPr>
        <w:keepNext/>
        <w:widowControl w:val="0"/>
        <w:spacing w:line="264" w:lineRule="auto"/>
        <w:ind w:firstLine="720"/>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д.ю.н., завідувач кафедри, професор Аркуша Л.І.</w:t>
      </w:r>
      <w:bookmarkEnd w:id="238"/>
    </w:p>
    <w:p w14:paraId="680387E9" w14:textId="77777777" w:rsidR="00532C25" w:rsidRPr="00511005" w:rsidRDefault="00532C25" w:rsidP="00532C25">
      <w:pPr>
        <w:spacing w:line="264" w:lineRule="auto"/>
        <w:ind w:firstLine="0"/>
        <w:jc w:val="left"/>
        <w:rPr>
          <w:rFonts w:ascii="Arial" w:eastAsia="Calibri" w:hAnsi="Arial" w:cs="Arial"/>
          <w:b/>
          <w:bCs/>
          <w:szCs w:val="28"/>
          <w:lang w:val="uk-UA"/>
        </w:rPr>
      </w:pPr>
    </w:p>
    <w:p w14:paraId="6A81EA28" w14:textId="77777777" w:rsidR="00532C25" w:rsidRPr="00511005" w:rsidRDefault="00532C25" w:rsidP="00532C25">
      <w:pPr>
        <w:spacing w:line="264" w:lineRule="auto"/>
        <w:ind w:firstLine="720"/>
        <w:jc w:val="left"/>
        <w:rPr>
          <w:rFonts w:ascii="Arial" w:eastAsia="Calibri" w:hAnsi="Arial" w:cs="Arial"/>
          <w:b/>
          <w:bCs/>
          <w:i/>
          <w:iCs/>
          <w:noProof/>
          <w:szCs w:val="28"/>
          <w:lang w:val="uk-UA"/>
        </w:rPr>
      </w:pPr>
    </w:p>
    <w:p w14:paraId="1500EBAF" w14:textId="77777777" w:rsidR="00532C25" w:rsidRPr="00511005" w:rsidRDefault="00532C25" w:rsidP="00532C25">
      <w:pPr>
        <w:spacing w:line="264" w:lineRule="auto"/>
        <w:ind w:firstLine="720"/>
        <w:jc w:val="center"/>
        <w:rPr>
          <w:rFonts w:ascii="Arial" w:eastAsia="Calibri" w:hAnsi="Arial" w:cs="Arial"/>
          <w:b/>
          <w:bCs/>
          <w:i/>
          <w:iCs/>
          <w:noProof/>
          <w:szCs w:val="28"/>
          <w:lang w:val="uk-UA"/>
        </w:rPr>
      </w:pPr>
      <w:r w:rsidRPr="00511005">
        <w:rPr>
          <w:rFonts w:ascii="Arial" w:eastAsia="Calibri" w:hAnsi="Arial" w:cs="Arial"/>
          <w:b/>
          <w:bCs/>
          <w:i/>
          <w:iCs/>
          <w:noProof/>
          <w:szCs w:val="28"/>
          <w:lang w:val="uk-UA"/>
        </w:rPr>
        <w:t>Наєнко Олексій Русланович</w:t>
      </w:r>
    </w:p>
    <w:p w14:paraId="5F5E424F"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3-го курсу </w:t>
      </w:r>
    </w:p>
    <w:p w14:paraId="3E22B135"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3F5164B"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C65257E" w14:textId="77777777" w:rsidR="00532C25" w:rsidRPr="00511005" w:rsidRDefault="00532C25" w:rsidP="00532C25">
      <w:pPr>
        <w:spacing w:line="264" w:lineRule="auto"/>
        <w:ind w:firstLine="720"/>
        <w:jc w:val="center"/>
        <w:rPr>
          <w:rFonts w:ascii="Arial" w:eastAsia="Calibri" w:hAnsi="Arial" w:cs="Arial"/>
          <w:szCs w:val="28"/>
          <w:lang w:val="uk-UA"/>
        </w:rPr>
      </w:pPr>
    </w:p>
    <w:p w14:paraId="4F5C4257"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ОСОБЛИВОСТІ ОГЛЯДУ МІСЦЯ ПОДІЇ ПРИ РОЗСЛІДУВАННІ ВБИВСТВ, ВЧИНЕНИХ НЕПОВНОЛІТНІМИ</w:t>
      </w:r>
    </w:p>
    <w:p w14:paraId="2169EF48" w14:textId="77777777" w:rsidR="00532C25" w:rsidRPr="00511005" w:rsidRDefault="00532C25" w:rsidP="00532C25">
      <w:pPr>
        <w:spacing w:line="264" w:lineRule="auto"/>
        <w:ind w:firstLine="720"/>
        <w:jc w:val="center"/>
        <w:rPr>
          <w:rFonts w:ascii="Arial" w:eastAsia="Calibri" w:hAnsi="Arial" w:cs="Arial"/>
          <w:b/>
          <w:szCs w:val="28"/>
          <w:lang w:val="uk-UA"/>
        </w:rPr>
      </w:pPr>
    </w:p>
    <w:p w14:paraId="780D514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кримінальному провадженні щодо умисного позбавлення життя, вчиненого особою, яка не досягла повноліття, процес огляду місця події набуває не лише доказового, а й глибоко аналітичного значення. На цьому етапі слідчий не лише фіксує матеріальні сліди кримінального правопорушення, а й вивчає обставини, що можуть пролити світло на мотиви і спосіб вчинення злочинних дій. Особливість таких кримінальних проваджень полягає у необхідності врахування вікової психології особи, яка, попри свій кримінальний статус, ще не досягла повної соціальної та правової зрілості. Зазначена обставина змушує розглядати огляд місця події не лише як технічну процедуру, а як багатокомпонентну слідчу (розшукову) дію, що передбачає адаптацію методики до специфіки поведінки неповнолітніх.</w:t>
      </w:r>
    </w:p>
    <w:p w14:paraId="31F5075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Положення Кримінального процесуального кодексу України передбачають, що «будь-яка слідча дія за участі осіб молодшого віку має здійснюватися з урахуванням їхніх прав і гарантій, які обумовлюються особливим процесуальним статусом» [1]. Зокрема, обов’язковою є участь психолога чи педагога у разі проведення дій, що прямо чи опосередковано зачіпають дитину. Це правило стосується і тих ситуацій, коли неповнолітній не є підозрюваним, а виступає свідком чи потерпілим. Під час безпосереднього огляду місцевості чи приміщення, де відбулося вбивство, необхідно забезпечити збереження психоемоційного стану неповнолітнього, не допустити його повторної травматизації, а також уникати дій, які можуть викликати страх або напруження.</w:t>
      </w:r>
    </w:p>
    <w:p w14:paraId="20282F2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Під час дослідження місця події у кримінальних провадженнях, де йдеться про вбивство, вчинене неповнолітнім, надзвичайно важливою є оцінка не лише безпосередньо криміналістичних слідів, а й загального контексту – соціального, побутового та психологічного. Неповнолітній як суб’єкт злочину рідко діє за чітко спланованою схемою, тому обстановка </w:t>
      </w:r>
      <w:r w:rsidRPr="00511005">
        <w:rPr>
          <w:rFonts w:ascii="Arial" w:eastAsia="Calibri" w:hAnsi="Arial" w:cs="Arial"/>
          <w:szCs w:val="28"/>
          <w:lang w:val="uk-UA"/>
        </w:rPr>
        <w:lastRenderedPageBreak/>
        <w:t>місця події часто зберігає ознаки афективного стану, імпульсивності або навіть хаотичності поведінки. Ці особливості мають бути враховані слідчим, адже дозволяють сформувати первинну версію про психологічний стан підозрюваного під час вчинення злочину. Саме тому при огляді доцільно залучати спеціаліста-психолога або експерта, здатного дати попередню оцінку поведінкових проявів, зафіксованих у середовищі, де відбувалася подія.</w:t>
      </w:r>
    </w:p>
    <w:p w14:paraId="40A6107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випадках, коли вбивство вчинено у приміщенні, особливо житловому, в якому проживає неповнолітній, слід звертати увагу на умови, у яких перебувала особа до моменту злочину. Побутовий безлад, наявність агресивного контенту серед особистих речей, щоденники, малюнки чи записи можуть дати уявлення про внутрішній стан дитини. Крім того, огляд має включати й цифрове середовище – смартфони, комп’ютери, планшети, у яких можуть зберігатися докази переписки, пошуків, переглядів матеріалів, що мали вплив на формування мотиву. З урахуванням сучасної реальності, де цифровий слід є невід’ємною частиною поведінки підлітків, нехтувати такими джерелами інформації є серйозною помилкою.</w:t>
      </w:r>
    </w:p>
    <w:p w14:paraId="3DD24D2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Нормативна база дозволяє проводити огляд за участі спеціалістів у сфері ІТ, якщо є обґрунтована потреба у вилученні або фіксації цифрової інформації [1]. У разі сумнівів щодо законності доступу до електронних пристроїв чи хмарних сховищ, слід забезпечити дотримання процедури, передбаченої процесуальним законом, оскільки недопустимість доказу може зруйнувати побудову всієї доказової бази. Особливо це стосується кримінальних правопорушень, де є підозри, що неповнолітній контактував із іншими особами онлайн або потрапив під негативний вплив спільнот чи окремих осіб, які підштовхнули до вчинення злочину. Ми згодні з думкою М. В. Салтевського, який зазначав, що «дослідження цифрових слідів у кримінальних провадженнях за участю неповнолітніх є одним із новітніх напрямів криміналістики, який потребує спеціальної підготовки слідчих і тісної взаємодії з технічними експертами» [3].</w:t>
      </w:r>
    </w:p>
    <w:p w14:paraId="47E73D5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Огляд місця події також має здійснюватися з урахуванням того, що неповнолітні не завжди вміють ретельно приховувати сліди своїх дій. Слідчий має уважно аналізувати будь-які невідповідності, порушення загального порядку в приміщенні або на вулиці, наявність об'єктів, які не мають логічного місця у просторі. Часто злочинці такого віку діють на емоціях, не усвідомлюючи повністю наслідки своїх вчинків, і тому залишають сліди, які для дорослого злочинця виглядали б очевидними. У зв’язку з цим огляд має бути не тільки ґрунтовним, а й творчим – слідчий повинен не просто зафіксувати наявне, а й уміти побачити нетипове, приховане або символічне. Як наголошує О. М. Колесніченко, у випадках участі неповнолітніх у тяжких злочинах «поведінкові прояви часто вказують на </w:t>
      </w:r>
      <w:r w:rsidRPr="00511005">
        <w:rPr>
          <w:rFonts w:ascii="Arial" w:eastAsia="Calibri" w:hAnsi="Arial" w:cs="Arial"/>
          <w:szCs w:val="28"/>
          <w:lang w:val="uk-UA"/>
        </w:rPr>
        <w:lastRenderedPageBreak/>
        <w:t>переважання афекту над раціональним контролем, що відображається у залишених на місці події слідах» [2].</w:t>
      </w:r>
    </w:p>
    <w:p w14:paraId="0D2920D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Додаткової уваги вимагає взаємодія з особою, яка є підозрюваною у вчиненні вбивства, під час огляду місця події. У разі, якщо неповнолітній погодився бути присутнім при огляді або був доставлений для участі у слідчій дії, необхідно суворо дотримуватись норм етичного поводження, не допускати тиску, звинувачень або провокативних запитань. Визначальним є створення умов, за яких неповнолітній не відчуває загрози або надмірного психологічного тиску. У таких випадках важливою є також участь законного представника дитини або захисника, що є прямою вимогою кримінального процесуального законодавства [1].</w:t>
      </w:r>
    </w:p>
    <w:p w14:paraId="7DDD1FE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Окремо слід зауважити, що при документуванні результатів огляду у кримінальних провадженнях, де фігурує неповнолітній, важливо зберігати об’єктивність викладення та уникати висновків, які не підкріплені конкретними доказами. Уся інформація має бути зафіксована з максимальною точністю, без використання суб’єктивних оцінок або формулювань, які можуть бути трактовані як припущення. Фотографування, відеофіксація, схеми, плани мають бути оформлені у повному обсязі, адже саме ці матеріали у подальшому стають основою для відтворення обстановки злочину, проведення експертиз, формування судового дослідження.</w:t>
      </w:r>
    </w:p>
    <w:p w14:paraId="271DFEA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Таким чином, огляд місця події у кримінальних провадженнях щодо вбивств, вчинених неповнолітніми, є надзвичайно важливою процесуальною дією, що поєднує в собі елементи криміналістичного аналізу, психологічного підходу та глибокого знання вікових особливостей суб’єкта. Виконання цієї дії з дотриманням вимог законодавства та етичних норм дає змогу не лише зібрати повноцінний доказовий матеріал, а й гарантувати дотримання прав дитини, що має ключове значення для правової системи демократичної держави.</w:t>
      </w:r>
    </w:p>
    <w:p w14:paraId="44BEC10E" w14:textId="77777777" w:rsidR="00532C25" w:rsidRPr="00511005" w:rsidRDefault="00532C25" w:rsidP="00532C25">
      <w:pPr>
        <w:spacing w:line="264" w:lineRule="auto"/>
        <w:ind w:firstLine="720"/>
        <w:jc w:val="left"/>
        <w:rPr>
          <w:rFonts w:ascii="Arial" w:eastAsia="Calibri" w:hAnsi="Arial" w:cs="Arial"/>
          <w:b/>
          <w:szCs w:val="28"/>
          <w:lang w:val="uk-UA"/>
        </w:rPr>
      </w:pPr>
      <w:bookmarkStart w:id="239" w:name="_Toc163061335"/>
    </w:p>
    <w:p w14:paraId="65010A01"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bookmarkEnd w:id="239"/>
    </w:p>
    <w:p w14:paraId="73E9B2F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1. Кримінальний процесуальний кодекс України: Закон України від 13.04.2012 р. № 4651-VI [Електронний ресурс]. </w:t>
      </w:r>
      <w:r w:rsidRPr="00511005">
        <w:rPr>
          <w:rFonts w:ascii="Arial" w:eastAsia="Calibri" w:hAnsi="Arial" w:cs="Arial"/>
          <w:szCs w:val="28"/>
          <w:lang w:val="en-US"/>
        </w:rPr>
        <w:t>URL</w:t>
      </w:r>
      <w:r w:rsidRPr="00511005">
        <w:rPr>
          <w:rFonts w:ascii="Arial" w:eastAsia="Calibri" w:hAnsi="Arial" w:cs="Arial"/>
          <w:szCs w:val="28"/>
          <w:lang w:val="uk-UA"/>
        </w:rPr>
        <w:t>: https://zakon.rada.gov.ua/laws/show/4651-17. (дата звернення: 04.04.2025).</w:t>
      </w:r>
    </w:p>
    <w:p w14:paraId="6784599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2. Колесніченко О. М. Криміналістика: Підручник / О. М. Колесніченко. Київ: Юрінком Інтер, 2020. 512 с.</w:t>
      </w:r>
    </w:p>
    <w:p w14:paraId="5B6DF35C" w14:textId="77777777" w:rsidR="00532C25" w:rsidRPr="00511005" w:rsidRDefault="00532C25" w:rsidP="00532C25">
      <w:pPr>
        <w:spacing w:line="264" w:lineRule="auto"/>
        <w:ind w:firstLine="720"/>
        <w:rPr>
          <w:rFonts w:ascii="Arial" w:eastAsia="Calibri" w:hAnsi="Arial" w:cs="Arial"/>
          <w:i/>
          <w:iCs/>
          <w:noProof/>
          <w:szCs w:val="28"/>
          <w:lang w:val="uk-UA"/>
        </w:rPr>
      </w:pPr>
      <w:r w:rsidRPr="00511005">
        <w:rPr>
          <w:rFonts w:ascii="Arial" w:eastAsia="Calibri" w:hAnsi="Arial" w:cs="Arial"/>
          <w:szCs w:val="28"/>
          <w:lang w:val="uk-UA"/>
        </w:rPr>
        <w:t>3. Салтевський М. В. Криміналістика: сучасні напрями розвитку / М. В. Салтевський. Харків: Право, 2021. 336 с.</w:t>
      </w:r>
      <w:r w:rsidRPr="00511005">
        <w:rPr>
          <w:rFonts w:ascii="Arial" w:eastAsia="Calibri" w:hAnsi="Arial" w:cs="Arial"/>
          <w:i/>
          <w:iCs/>
          <w:noProof/>
          <w:szCs w:val="28"/>
          <w:lang w:val="uk-UA"/>
        </w:rPr>
        <w:t xml:space="preserve"> </w:t>
      </w:r>
    </w:p>
    <w:p w14:paraId="241DF3C7" w14:textId="77777777" w:rsidR="00532C25" w:rsidRPr="00511005" w:rsidRDefault="00532C25" w:rsidP="00532C25">
      <w:pPr>
        <w:spacing w:line="264" w:lineRule="auto"/>
        <w:ind w:firstLine="720"/>
        <w:rPr>
          <w:rFonts w:ascii="Arial" w:eastAsia="Calibri" w:hAnsi="Arial" w:cs="Arial"/>
          <w:i/>
          <w:iCs/>
          <w:noProof/>
          <w:szCs w:val="28"/>
          <w:lang w:val="uk-UA"/>
        </w:rPr>
      </w:pPr>
    </w:p>
    <w:p w14:paraId="2C1DED97" w14:textId="77777777" w:rsidR="00532C25" w:rsidRPr="00511005" w:rsidRDefault="00532C25" w:rsidP="00532C25">
      <w:pPr>
        <w:spacing w:line="264" w:lineRule="auto"/>
        <w:ind w:firstLine="720"/>
        <w:rPr>
          <w:rFonts w:ascii="Arial" w:eastAsia="Calibri" w:hAnsi="Arial" w:cs="Arial"/>
          <w:i/>
          <w:iCs/>
          <w:noProof/>
          <w:szCs w:val="28"/>
          <w:lang w:val="uk-UA"/>
        </w:rPr>
      </w:pPr>
      <w:r w:rsidRPr="00511005">
        <w:rPr>
          <w:rFonts w:ascii="Arial" w:eastAsia="Calibri" w:hAnsi="Arial" w:cs="Arial"/>
          <w:b/>
          <w:i/>
          <w:iCs/>
          <w:noProof/>
          <w:szCs w:val="28"/>
          <w:lang w:val="uk-UA"/>
        </w:rPr>
        <w:t xml:space="preserve">Ключові слова: </w:t>
      </w:r>
      <w:r w:rsidRPr="00511005">
        <w:rPr>
          <w:rFonts w:ascii="Arial" w:eastAsia="Calibri" w:hAnsi="Arial" w:cs="Arial"/>
          <w:iCs/>
          <w:noProof/>
          <w:szCs w:val="28"/>
          <w:lang w:val="uk-UA"/>
        </w:rPr>
        <w:t>криміналістика, неповнолітні, вбивство, огляд місця події, слідчі дії, цифрові докази, психологія, права дитини.</w:t>
      </w:r>
    </w:p>
    <w:p w14:paraId="13307A99" w14:textId="77777777" w:rsidR="00532C25" w:rsidRPr="00511005" w:rsidRDefault="00532C25" w:rsidP="00532C25">
      <w:pPr>
        <w:spacing w:line="264" w:lineRule="auto"/>
        <w:ind w:firstLine="720"/>
        <w:rPr>
          <w:rFonts w:ascii="Arial" w:eastAsia="Calibri" w:hAnsi="Arial" w:cs="Arial"/>
          <w:i/>
          <w:iCs/>
          <w:noProof/>
          <w:szCs w:val="28"/>
          <w:lang w:val="uk-UA"/>
        </w:rPr>
      </w:pPr>
      <w:r w:rsidRPr="00511005">
        <w:rPr>
          <w:rFonts w:ascii="Arial" w:eastAsia="Calibri" w:hAnsi="Arial" w:cs="Arial"/>
          <w:b/>
          <w:i/>
          <w:iCs/>
          <w:noProof/>
          <w:szCs w:val="28"/>
          <w:lang w:val="uk-UA"/>
        </w:rPr>
        <w:lastRenderedPageBreak/>
        <w:t xml:space="preserve">Key words: </w:t>
      </w:r>
      <w:r w:rsidRPr="00511005">
        <w:rPr>
          <w:rFonts w:ascii="Arial" w:eastAsia="Calibri" w:hAnsi="Arial" w:cs="Arial"/>
          <w:iCs/>
          <w:noProof/>
          <w:szCs w:val="28"/>
          <w:lang w:val="uk-UA"/>
        </w:rPr>
        <w:t>criminalistics, juveniles, murder, crime scene examination, investigative actions, digital evidence, psychology, children's rights.</w:t>
      </w:r>
    </w:p>
    <w:p w14:paraId="45DBF0A9" w14:textId="77777777" w:rsidR="00532C25" w:rsidRPr="00511005" w:rsidRDefault="00532C25" w:rsidP="00532C25">
      <w:pPr>
        <w:spacing w:line="264" w:lineRule="auto"/>
        <w:ind w:firstLine="720"/>
        <w:rPr>
          <w:rFonts w:ascii="Arial" w:eastAsia="Calibri" w:hAnsi="Arial" w:cs="Arial"/>
          <w:i/>
          <w:iCs/>
          <w:noProof/>
          <w:szCs w:val="28"/>
          <w:lang w:val="uk-UA"/>
        </w:rPr>
      </w:pPr>
      <w:r w:rsidRPr="00511005">
        <w:rPr>
          <w:rFonts w:ascii="Arial" w:eastAsia="Calibri" w:hAnsi="Arial" w:cs="Arial"/>
          <w:b/>
          <w:i/>
          <w:iCs/>
          <w:noProof/>
          <w:szCs w:val="28"/>
          <w:lang w:val="uk-UA"/>
        </w:rPr>
        <w:t xml:space="preserve">Науковий керівник: </w:t>
      </w:r>
      <w:r w:rsidRPr="00511005">
        <w:rPr>
          <w:rFonts w:ascii="Arial" w:eastAsia="Calibri" w:hAnsi="Arial" w:cs="Arial"/>
          <w:i/>
          <w:iCs/>
          <w:noProof/>
          <w:szCs w:val="28"/>
          <w:lang w:val="uk-UA"/>
        </w:rPr>
        <w:t>к.ю.н., доцент Загородній І.В.</w:t>
      </w:r>
    </w:p>
    <w:p w14:paraId="21AC5C43" w14:textId="77777777" w:rsidR="00532C25" w:rsidRPr="00511005" w:rsidRDefault="00532C25" w:rsidP="00532C25">
      <w:pPr>
        <w:keepNext/>
        <w:spacing w:line="264" w:lineRule="auto"/>
        <w:ind w:firstLine="720"/>
        <w:rPr>
          <w:rFonts w:ascii="Arial" w:eastAsia="Calibri" w:hAnsi="Arial" w:cs="Arial"/>
          <w:bCs/>
          <w:i/>
          <w:iCs/>
          <w:szCs w:val="28"/>
          <w:lang w:val="uk-UA"/>
        </w:rPr>
      </w:pPr>
    </w:p>
    <w:p w14:paraId="6C5C3A26" w14:textId="77777777" w:rsidR="00532C25" w:rsidRPr="00511005" w:rsidRDefault="00532C25" w:rsidP="00532C25">
      <w:pPr>
        <w:spacing w:line="264" w:lineRule="auto"/>
        <w:ind w:firstLine="720"/>
        <w:jc w:val="center"/>
        <w:rPr>
          <w:rFonts w:ascii="Arial" w:eastAsia="Times New Roman" w:hAnsi="Arial" w:cs="Arial"/>
          <w:b/>
          <w:bCs/>
          <w:i/>
          <w:szCs w:val="28"/>
        </w:rPr>
      </w:pPr>
      <w:r w:rsidRPr="00511005">
        <w:rPr>
          <w:rFonts w:ascii="Arial" w:eastAsia="Times New Roman" w:hAnsi="Arial" w:cs="Arial"/>
          <w:b/>
          <w:bCs/>
          <w:i/>
          <w:szCs w:val="28"/>
        </w:rPr>
        <w:t xml:space="preserve">Нейкова Єлізавета Сергіївна </w:t>
      </w:r>
    </w:p>
    <w:p w14:paraId="292FAC68"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24F5DB23"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6E4A0E4"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BFCEFC5" w14:textId="77777777" w:rsidR="00532C25" w:rsidRPr="00511005" w:rsidRDefault="00532C25" w:rsidP="00532C25">
      <w:pPr>
        <w:spacing w:line="264" w:lineRule="auto"/>
        <w:ind w:firstLine="720"/>
        <w:jc w:val="left"/>
        <w:rPr>
          <w:rFonts w:ascii="Arial" w:eastAsia="Times New Roman" w:hAnsi="Arial" w:cs="Arial"/>
          <w:iCs/>
          <w:szCs w:val="28"/>
        </w:rPr>
      </w:pPr>
    </w:p>
    <w:p w14:paraId="0187211A" w14:textId="77777777" w:rsidR="00532C25" w:rsidRPr="00511005" w:rsidRDefault="00532C25" w:rsidP="00532C25">
      <w:pPr>
        <w:spacing w:line="264" w:lineRule="auto"/>
        <w:ind w:firstLine="720"/>
        <w:jc w:val="center"/>
        <w:rPr>
          <w:rFonts w:ascii="Arial" w:eastAsia="Times New Roman" w:hAnsi="Arial" w:cs="Arial"/>
          <w:b/>
          <w:szCs w:val="28"/>
        </w:rPr>
      </w:pPr>
      <w:r w:rsidRPr="00511005">
        <w:rPr>
          <w:rFonts w:ascii="Arial" w:eastAsia="Times New Roman" w:hAnsi="Arial" w:cs="Arial"/>
          <w:b/>
          <w:szCs w:val="28"/>
        </w:rPr>
        <w:t>ХАРАКТЕРИСТИКА ПРЕДМЕТУ ЗЛОЧИННОГО ПОСЯГАННЯ ПРИ РОЗСЛІДУВАННІ КРАДІЖОК, ЩО ВЧИНЯЮТЬСЯ У ГРОМАДСЬКИХ МІСЦЯХ</w:t>
      </w:r>
    </w:p>
    <w:p w14:paraId="380D8F54"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Термін «крадіжка» охоплює широкий спектр кримінальних правопорушень, що відрізняються за предметом злочину, методами здійснення і приховування, а також місцем вчинення. З огляду на це можна виділити такі категорії:</w:t>
      </w:r>
    </w:p>
    <w:p w14:paraId="7B405BC9"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1) крадіжки з різних приміщень, таких як магазини, кіоски, склади, готелі, санаторії, гардеробні, гуртожитки, квартири, будинки, дачі тощо;</w:t>
      </w:r>
    </w:p>
    <w:p w14:paraId="6F0E2441"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2) крадіжки майна з виробничих цехів, підприємств агропромислового комплексу, комунального господарства, будівельних майданчиків, а також крадіжки вантажів із транспортних засобів на залізничному, річковому, морському та авіаційному транспорті;</w:t>
      </w:r>
    </w:p>
    <w:p w14:paraId="0C91C3BC"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3) крадіжки особистих речей громадян на вокзалах, в купе поїздів та інших подібних місцях;</w:t>
      </w:r>
    </w:p>
    <w:p w14:paraId="4F0EA8FC"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4) кишенькові крадіжки, зокрема на ринках чи в громадському транспорті;</w:t>
      </w:r>
    </w:p>
    <w:p w14:paraId="0075B367"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5) крадіжки транспортних засобів, таких як автомобілі, мотоцикли, мопеди тощо. [2, с.158]</w:t>
      </w:r>
    </w:p>
    <w:p w14:paraId="3E702074"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Таємний характер крадіжок визначає вибір оптимального часу для їх здійснення. Наприклад, крадіжки з магазинів або комор зазвичай відбуваються ввечері чи вночі, у святкові або вихідні дні. Багато кишенькових крадіжок вчиняються вранці та ввечері, у години «пік», коли в місті, в громадському транспорті, магазинах, на ринках та в інших людних місцях складаються сприятливі умови для таких дій.</w:t>
      </w:r>
    </w:p>
    <w:p w14:paraId="6E99D828"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Особливе місце серед елементів криміналістичної характеристики крадіжок займають відомості про предмет злочинного посягання.</w:t>
      </w:r>
    </w:p>
    <w:p w14:paraId="1F066FEB"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Предмет злочинного посягання має вирішальне значення в криміналістичній характеристиці крадіжок, оскільки його ознаки мають специфічне кримінально-правове значення. Вони впливають на обґрунтування кримінальної відповідальності, кваліфікацію злочину, а також на можливості виявлення механізмів завдання майнової шкоди та </w:t>
      </w:r>
      <w:r w:rsidRPr="00511005">
        <w:rPr>
          <w:rFonts w:ascii="Arial" w:eastAsia="Times New Roman" w:hAnsi="Arial" w:cs="Arial"/>
          <w:szCs w:val="28"/>
        </w:rPr>
        <w:lastRenderedPageBreak/>
        <w:t>визначення розміру збитків. Відмінність предмета злочину від предмета посягання полягає в тому, що останній завжди має матеріальний характер.</w:t>
      </w:r>
    </w:p>
    <w:p w14:paraId="550047BD"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Деякі вчені вважають, що предмет злочинного посягання охоплює матеріальні речі, втручання на які відображає посягання на певні суспільні відносини. [3, с. 55]</w:t>
      </w:r>
    </w:p>
    <w:p w14:paraId="06CCEE70"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Законодавство визначає, що майно, яке є предметом злочинів проти власності, включає матеріальні речі з особливими фізичними, економічними та юридичними характеристиками, що важливі для ідентифікації злочинця та організації пошуку викраденого майна. [1] Тому криміналістичний підхід до аналізу предмета крадіжки зосереджується на його відмінних ознаках, що допомагають відрізняти його від інших подібних речей. </w:t>
      </w:r>
    </w:p>
    <w:p w14:paraId="7EE3EAD1"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Аналіз предмета злочинного посягання також важливий для ідентифікації злочинця. Науковець А. П. Шеремет вважає, що даний елемент криміналістичної характеристики допомагає визначити знання злочинцем призначення та властивостей предмета, його вартості, спеціальних характеристик, а також виявити мету злочину та доступ до предмета, який можуть мати лише обмежені особи. [4, с. 343]</w:t>
      </w:r>
    </w:p>
    <w:p w14:paraId="08B4539B"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Дослідження судової та слідчої практики показують, що найчастіше об'єктами крадіжок є грошові кошти, ювелірні вироби, мобільні телефони, ноутбуки, портативна електроніка та інші речі з невеликою вагою і розмірами. В сучасних умовах злочинці обирають предмети, які не тільки мають матеріальну цінність, але й легко збуваються та не мають чітких ідентифікаційних ознак, що ускладнює їх повернення власнику.</w:t>
      </w:r>
    </w:p>
    <w:p w14:paraId="08F82892"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До крадіжок можуть належати різні транспортні засоби, такі як автомобілі, мотоцикли, мопеди, а також їх окремі компоненти та деталі, які підлягають демонтажу (наприклад, двигун, шасі, колеса, магнітофон і так далі). У сфері комунальних послуг крадіжки часто стосуються таких предметів, як електролічильники, колективні телевізійні антени, ліфтові механізми та інші подібні речі. Щорічно зростає кількість крадіжок вогнепальної зброї та вибухових речовин з військових складів, частин та сховищ.</w:t>
      </w:r>
    </w:p>
    <w:p w14:paraId="3339128D"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Визначення предмета крадіжки під час розслідування конкретного кримінального правопорушення допомагає встановити інші його елементи, такі як характеристику злочинця, обстановку вчинення злочину тощо. Наприклад, орієнтованість злочинця на місці крадіжки, швидкість та цілеспрямованість дій при виборі схованок і відборі цінних речей свідчать про те, що злочинець добре обізнаний про місцезнаходження об'єктів, які його цікавлять. Викрадення автомобілів, крадіжки апаратури, електролічильників, телевізійних кабелів та антен часто вчиняють особи, які мають спеціалізовані професійно-технічні знання та навички.</w:t>
      </w:r>
    </w:p>
    <w:p w14:paraId="2F8976D4" w14:textId="77777777" w:rsidR="00532C25" w:rsidRPr="00511005" w:rsidRDefault="00532C25" w:rsidP="00532C25">
      <w:pPr>
        <w:spacing w:line="264" w:lineRule="auto"/>
        <w:ind w:firstLine="720"/>
        <w:rPr>
          <w:rFonts w:ascii="Arial" w:eastAsia="Times New Roman" w:hAnsi="Arial" w:cs="Arial"/>
          <w:szCs w:val="28"/>
        </w:rPr>
      </w:pPr>
      <w:bookmarkStart w:id="240" w:name="_heading=h.kg1vq798wu3f" w:colFirst="0" w:colLast="0"/>
      <w:bookmarkEnd w:id="240"/>
      <w:r w:rsidRPr="00511005">
        <w:rPr>
          <w:rFonts w:ascii="Arial" w:eastAsia="Times New Roman" w:hAnsi="Arial" w:cs="Arial"/>
          <w:szCs w:val="28"/>
        </w:rPr>
        <w:t xml:space="preserve">Таким чином, аналіз предмета злочинного посягання є важливим елементом криміналістичної характеристики крадіжки, оскільки він </w:t>
      </w:r>
      <w:r w:rsidRPr="00511005">
        <w:rPr>
          <w:rFonts w:ascii="Arial" w:eastAsia="Times New Roman" w:hAnsi="Arial" w:cs="Arial"/>
          <w:szCs w:val="28"/>
        </w:rPr>
        <w:lastRenderedPageBreak/>
        <w:t>допомагає встановити логічні зв'язки між різними складовими злочину, такими як знаряддя злочину, особа злочинця, методи вчинення та шляхи реалізації викраденого.</w:t>
      </w:r>
    </w:p>
    <w:p w14:paraId="47A0610E" w14:textId="77777777" w:rsidR="00532C25" w:rsidRPr="00511005" w:rsidRDefault="00532C25" w:rsidP="00532C25">
      <w:pPr>
        <w:spacing w:line="264" w:lineRule="auto"/>
        <w:ind w:firstLine="720"/>
        <w:rPr>
          <w:rFonts w:ascii="Arial" w:eastAsia="Times New Roman" w:hAnsi="Arial" w:cs="Arial"/>
          <w:szCs w:val="28"/>
        </w:rPr>
      </w:pPr>
      <w:bookmarkStart w:id="241" w:name="_heading=h.8zuatc7z7rpz" w:colFirst="0" w:colLast="0"/>
      <w:bookmarkEnd w:id="241"/>
    </w:p>
    <w:p w14:paraId="6EB83F35" w14:textId="77777777" w:rsidR="00532C25" w:rsidRPr="00511005" w:rsidRDefault="00532C25" w:rsidP="00532C25">
      <w:pPr>
        <w:spacing w:line="264" w:lineRule="auto"/>
        <w:ind w:firstLine="720"/>
        <w:jc w:val="center"/>
        <w:rPr>
          <w:rFonts w:ascii="Arial" w:eastAsia="Times New Roman" w:hAnsi="Arial" w:cs="Arial"/>
          <w:b/>
          <w:szCs w:val="28"/>
        </w:rPr>
      </w:pPr>
      <w:r w:rsidRPr="00511005">
        <w:rPr>
          <w:rFonts w:ascii="Arial" w:eastAsia="Times New Roman" w:hAnsi="Arial" w:cs="Arial"/>
          <w:b/>
          <w:szCs w:val="28"/>
          <w:lang w:val="uk-UA"/>
        </w:rPr>
        <w:t>Список використаних джерел</w:t>
      </w:r>
    </w:p>
    <w:p w14:paraId="2D5DCE63" w14:textId="77777777" w:rsidR="00532C25" w:rsidRPr="00511005" w:rsidRDefault="00532C25" w:rsidP="003F6A5D">
      <w:pPr>
        <w:numPr>
          <w:ilvl w:val="0"/>
          <w:numId w:val="643"/>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 xml:space="preserve">Кримінальний кодекс України. Закон від 05.04.2001 р. №2341-III. (Редакція станом на 01.02.2025). URL: </w:t>
      </w:r>
      <w:hyperlink r:id="rId2005" w:anchor="Text">
        <w:r w:rsidRPr="00511005">
          <w:rPr>
            <w:rFonts w:ascii="Arial" w:eastAsia="Times New Roman" w:hAnsi="Arial" w:cs="Arial"/>
            <w:szCs w:val="28"/>
          </w:rPr>
          <w:t>https://zakon.rada.gov.ua/laws/show/2341-14#Text</w:t>
        </w:r>
      </w:hyperlink>
    </w:p>
    <w:p w14:paraId="02C388CE" w14:textId="77777777" w:rsidR="00532C25" w:rsidRPr="00511005" w:rsidRDefault="00532C25" w:rsidP="003F6A5D">
      <w:pPr>
        <w:numPr>
          <w:ilvl w:val="0"/>
          <w:numId w:val="643"/>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Тіщенко В. В., Подобний О. О. Криміналістика : навчально-методичний посібник / Тіщенко В. В., Подобний О. О. Одеса : Видавництво «Юридика», 2022. 236 с. С. 157 - 159.</w:t>
      </w:r>
    </w:p>
    <w:p w14:paraId="2263FC56" w14:textId="77777777" w:rsidR="00532C25" w:rsidRPr="00511005" w:rsidRDefault="00532C25" w:rsidP="003F6A5D">
      <w:pPr>
        <w:numPr>
          <w:ilvl w:val="0"/>
          <w:numId w:val="643"/>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Криміналістика: підручник. /за ред. В. Ю. Шепітька. 2-ге вид., переробл. і доповн. Київ: Ін Юре, 2010. 496 с.</w:t>
      </w:r>
    </w:p>
    <w:p w14:paraId="70D43D3E" w14:textId="77777777" w:rsidR="00532C25" w:rsidRPr="00511005" w:rsidRDefault="00532C25" w:rsidP="003F6A5D">
      <w:pPr>
        <w:numPr>
          <w:ilvl w:val="0"/>
          <w:numId w:val="643"/>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 xml:space="preserve">Шеремет А. П. </w:t>
      </w:r>
      <w:proofErr w:type="gramStart"/>
      <w:r w:rsidRPr="00511005">
        <w:rPr>
          <w:rFonts w:ascii="Arial" w:eastAsia="Times New Roman" w:hAnsi="Arial" w:cs="Arial"/>
          <w:szCs w:val="28"/>
        </w:rPr>
        <w:t>Криміналістика :</w:t>
      </w:r>
      <w:proofErr w:type="gramEnd"/>
      <w:r w:rsidRPr="00511005">
        <w:rPr>
          <w:rFonts w:ascii="Arial" w:eastAsia="Times New Roman" w:hAnsi="Arial" w:cs="Arial"/>
          <w:szCs w:val="28"/>
        </w:rPr>
        <w:t xml:space="preserve"> навч. посіб. 2-ге вид. Київ: Центр навч. літ., 2009. 472 с.</w:t>
      </w:r>
    </w:p>
    <w:p w14:paraId="193E67BD" w14:textId="77777777" w:rsidR="00532C25" w:rsidRPr="00511005" w:rsidRDefault="00532C25" w:rsidP="00532C25">
      <w:pPr>
        <w:spacing w:line="264" w:lineRule="auto"/>
        <w:ind w:firstLine="720"/>
        <w:jc w:val="left"/>
        <w:rPr>
          <w:rFonts w:ascii="Arial" w:eastAsia="Times New Roman" w:hAnsi="Arial" w:cs="Arial"/>
          <w:szCs w:val="28"/>
        </w:rPr>
      </w:pPr>
    </w:p>
    <w:p w14:paraId="0A1E8D03"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b/>
          <w:i/>
          <w:szCs w:val="28"/>
        </w:rPr>
        <w:t xml:space="preserve">Ключові слова: </w:t>
      </w:r>
      <w:r w:rsidRPr="00511005">
        <w:rPr>
          <w:rFonts w:ascii="Arial" w:eastAsia="Times New Roman" w:hAnsi="Arial" w:cs="Arial"/>
          <w:szCs w:val="28"/>
        </w:rPr>
        <w:t>крадіжка, предмет злочинного посягання, злочин, кишенькові крадіжки.</w:t>
      </w:r>
    </w:p>
    <w:p w14:paraId="51146D47"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b/>
          <w:i/>
          <w:szCs w:val="28"/>
          <w:lang w:val="en-US"/>
        </w:rPr>
        <w:t xml:space="preserve">Key words: </w:t>
      </w:r>
      <w:r w:rsidRPr="00511005">
        <w:rPr>
          <w:rFonts w:ascii="Arial" w:eastAsia="Times New Roman" w:hAnsi="Arial" w:cs="Arial"/>
          <w:szCs w:val="28"/>
          <w:lang w:val="en-US"/>
        </w:rPr>
        <w:t>theft, object of the criminal offense, crime, pickpocketing.</w:t>
      </w:r>
    </w:p>
    <w:p w14:paraId="17B117AF" w14:textId="77777777" w:rsidR="00532C25" w:rsidRPr="00511005" w:rsidRDefault="00532C25" w:rsidP="00532C25">
      <w:pPr>
        <w:spacing w:line="264" w:lineRule="auto"/>
        <w:ind w:firstLine="720"/>
        <w:rPr>
          <w:rFonts w:ascii="Arial" w:eastAsia="Times New Roman" w:hAnsi="Arial" w:cs="Arial"/>
          <w:i/>
          <w:szCs w:val="28"/>
        </w:rPr>
      </w:pPr>
      <w:r w:rsidRPr="00511005">
        <w:rPr>
          <w:rFonts w:ascii="Arial" w:eastAsia="Times New Roman" w:hAnsi="Arial" w:cs="Arial"/>
          <w:b/>
          <w:i/>
          <w:szCs w:val="28"/>
        </w:rPr>
        <w:t xml:space="preserve">Науковий керівник: </w:t>
      </w:r>
      <w:r w:rsidRPr="00511005">
        <w:rPr>
          <w:rFonts w:ascii="Arial" w:eastAsia="Times New Roman" w:hAnsi="Arial" w:cs="Arial"/>
          <w:i/>
          <w:szCs w:val="28"/>
        </w:rPr>
        <w:t xml:space="preserve">к.ю.н., доцент </w:t>
      </w:r>
      <w:r w:rsidRPr="00511005">
        <w:rPr>
          <w:rFonts w:ascii="Arial" w:eastAsia="Times New Roman" w:hAnsi="Arial" w:cs="Arial"/>
          <w:i/>
          <w:szCs w:val="28"/>
          <w:lang w:val="uk-UA"/>
        </w:rPr>
        <w:t>Чумак С.П</w:t>
      </w:r>
      <w:r w:rsidRPr="00511005">
        <w:rPr>
          <w:rFonts w:ascii="Arial" w:eastAsia="Times New Roman" w:hAnsi="Arial" w:cs="Arial"/>
          <w:i/>
          <w:szCs w:val="28"/>
        </w:rPr>
        <w:t>.</w:t>
      </w:r>
    </w:p>
    <w:p w14:paraId="7FE654B6" w14:textId="77777777" w:rsidR="00532C25" w:rsidRPr="00511005" w:rsidRDefault="00532C25" w:rsidP="00532C25">
      <w:pPr>
        <w:spacing w:line="264" w:lineRule="auto"/>
        <w:ind w:firstLine="720"/>
        <w:jc w:val="left"/>
        <w:rPr>
          <w:rFonts w:ascii="Arial" w:eastAsia="Calibri" w:hAnsi="Arial" w:cs="Arial"/>
          <w:b/>
          <w:szCs w:val="28"/>
        </w:rPr>
      </w:pPr>
    </w:p>
    <w:p w14:paraId="424CB68A" w14:textId="77777777" w:rsidR="00532C25" w:rsidRPr="00511005" w:rsidRDefault="00532C25" w:rsidP="00532C25">
      <w:pPr>
        <w:spacing w:line="264" w:lineRule="auto"/>
        <w:ind w:firstLine="720"/>
        <w:jc w:val="left"/>
        <w:rPr>
          <w:rFonts w:ascii="Arial" w:eastAsia="Calibri" w:hAnsi="Arial" w:cs="Arial"/>
          <w:b/>
          <w:szCs w:val="28"/>
        </w:rPr>
      </w:pPr>
    </w:p>
    <w:p w14:paraId="14039FAE" w14:textId="77777777" w:rsidR="00532C25" w:rsidRPr="00511005" w:rsidRDefault="00532C25" w:rsidP="00532C25">
      <w:pPr>
        <w:spacing w:line="264" w:lineRule="auto"/>
        <w:ind w:firstLine="720"/>
        <w:jc w:val="center"/>
        <w:rPr>
          <w:rFonts w:ascii="Arial" w:eastAsia="Calibri" w:hAnsi="Arial" w:cs="Arial"/>
          <w:b/>
          <w:i/>
          <w:szCs w:val="28"/>
          <w:lang w:val="uk-UA"/>
        </w:rPr>
      </w:pPr>
      <w:r w:rsidRPr="00511005">
        <w:rPr>
          <w:rFonts w:ascii="Arial" w:eastAsia="Calibri" w:hAnsi="Arial" w:cs="Arial"/>
          <w:b/>
          <w:i/>
          <w:szCs w:val="28"/>
        </w:rPr>
        <w:t>Новак Юл</w:t>
      </w:r>
      <w:r w:rsidRPr="00511005">
        <w:rPr>
          <w:rFonts w:ascii="Arial" w:eastAsia="Calibri" w:hAnsi="Arial" w:cs="Arial"/>
          <w:b/>
          <w:i/>
          <w:szCs w:val="28"/>
          <w:lang w:val="uk-UA"/>
        </w:rPr>
        <w:t>і</w:t>
      </w:r>
      <w:r w:rsidRPr="00511005">
        <w:rPr>
          <w:rFonts w:ascii="Arial" w:eastAsia="Calibri" w:hAnsi="Arial" w:cs="Arial"/>
          <w:b/>
          <w:i/>
          <w:szCs w:val="28"/>
        </w:rPr>
        <w:t xml:space="preserve">я </w:t>
      </w:r>
      <w:r w:rsidRPr="00511005">
        <w:rPr>
          <w:rFonts w:ascii="Arial" w:eastAsia="Calibri" w:hAnsi="Arial" w:cs="Arial"/>
          <w:b/>
          <w:i/>
          <w:szCs w:val="28"/>
          <w:lang w:val="uk-UA"/>
        </w:rPr>
        <w:t>І</w:t>
      </w:r>
      <w:r w:rsidRPr="00511005">
        <w:rPr>
          <w:rFonts w:ascii="Arial" w:eastAsia="Calibri" w:hAnsi="Arial" w:cs="Arial"/>
          <w:b/>
          <w:i/>
          <w:szCs w:val="28"/>
        </w:rPr>
        <w:t>ван</w:t>
      </w:r>
      <w:r w:rsidRPr="00511005">
        <w:rPr>
          <w:rFonts w:ascii="Arial" w:eastAsia="Calibri" w:hAnsi="Arial" w:cs="Arial"/>
          <w:b/>
          <w:i/>
          <w:szCs w:val="28"/>
          <w:lang w:val="uk-UA"/>
        </w:rPr>
        <w:t>і</w:t>
      </w:r>
      <w:r w:rsidRPr="00511005">
        <w:rPr>
          <w:rFonts w:ascii="Arial" w:eastAsia="Calibri" w:hAnsi="Arial" w:cs="Arial"/>
          <w:b/>
          <w:i/>
          <w:szCs w:val="28"/>
        </w:rPr>
        <w:t xml:space="preserve">вна </w:t>
      </w:r>
    </w:p>
    <w:p w14:paraId="6A119DFD"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 xml:space="preserve">студентка 1-го курсу магістратури факультету судового та міжнародного права </w:t>
      </w:r>
    </w:p>
    <w:p w14:paraId="40E6F390"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771AB06E" w14:textId="77777777" w:rsidR="00532C25" w:rsidRPr="00511005" w:rsidRDefault="00532C25" w:rsidP="00532C25">
      <w:pPr>
        <w:spacing w:line="264" w:lineRule="auto"/>
        <w:ind w:firstLine="720"/>
        <w:jc w:val="left"/>
        <w:rPr>
          <w:rFonts w:ascii="Arial" w:eastAsia="Calibri" w:hAnsi="Arial" w:cs="Arial"/>
          <w:szCs w:val="28"/>
          <w:lang w:val="uk-UA"/>
        </w:rPr>
      </w:pPr>
    </w:p>
    <w:p w14:paraId="55EF52FD"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ЗНАЧЕННЯ СПЕЦІАЛЬНИХ ЗНАНЬ СУДДІ У КРИМІНАЛЬНИХ ПРОВАДЖЕННЯХ ЩОДО ВІЙСЬКОВОСЛУЖБОВЦВ</w:t>
      </w:r>
    </w:p>
    <w:p w14:paraId="594F847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Незалежна і всеосяжна система правосуддя є основою будь-якої демократії, символом верховенства права. Судова ефективність країни є проявом її здатності забезпечувати національну безпеку і, в цілому, позиції в міжнародних відносинах. Для України, яка зараз бере участь у бурхливому конфлікті, приведення її системи військового правосуддя у відповідність з міжнародними стандартами виходить за рамки правової необхідності і стає стратегічним імперативом.</w:t>
      </w:r>
    </w:p>
    <w:p w14:paraId="5A99607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Історія української військової юстиції відзначається неодноразовими спробами реформування, які мали різний ступінь успішності. Однак, з початком повномасштабного вторгнення почали проявлятися слабкі сторони цієї системи. Війна, як правило, призводить до розширення повноважень виконавчої влади й обмеження особистих прав і свобод, тому судова гілка влади стає основним гарантом прав людини. Повідомлення про </w:t>
      </w:r>
      <w:r w:rsidRPr="00511005">
        <w:rPr>
          <w:rFonts w:ascii="Arial" w:eastAsia="Calibri" w:hAnsi="Arial" w:cs="Arial"/>
          <w:szCs w:val="28"/>
          <w:lang w:val="uk-UA"/>
        </w:rPr>
        <w:lastRenderedPageBreak/>
        <w:t>порушення прав військових стали гострою проблемою та викликом для української влади. Відсутність структурованої системи військової юстиції підриває не тільки дисципліну та ефективність Збройних Сил, але й довіру суспільства до військових як інституції. Це також створює додаткові бар</w:t>
      </w:r>
      <w:r w:rsidRPr="00511005">
        <w:rPr>
          <w:rFonts w:ascii="Arial" w:eastAsia="Calibri" w:hAnsi="Arial" w:cs="Arial"/>
          <w:szCs w:val="28"/>
        </w:rPr>
        <w:t>’</w:t>
      </w:r>
      <w:r w:rsidRPr="00511005">
        <w:rPr>
          <w:rFonts w:ascii="Arial" w:eastAsia="Calibri" w:hAnsi="Arial" w:cs="Arial"/>
          <w:szCs w:val="28"/>
          <w:lang w:val="uk-UA"/>
        </w:rPr>
        <w:t xml:space="preserve">єри на шляху України до інтеграції в НАТО. </w:t>
      </w:r>
    </w:p>
    <w:p w14:paraId="49164E2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Згідно з Єдиним звітом про кримінальні правопорушення, оприлюдненим Офісом Генерального прокурора за 2024 рік, в Україні було зареєстровано 93 900 кримінальних правопорушень, проти встановленого порядку несення військової служби (військові кримінальні правопорушення). Така значна цифра свідчить про серйозні виклики у сфері військової дисципліни та потребу в системних рішеннях для зміцнення правопорядку в лавах Збройних сил </w:t>
      </w:r>
      <w:r w:rsidRPr="00511005">
        <w:rPr>
          <w:rFonts w:ascii="Arial" w:eastAsia="Calibri" w:hAnsi="Arial" w:cs="Arial"/>
          <w:szCs w:val="28"/>
        </w:rPr>
        <w:t>[1]</w:t>
      </w:r>
      <w:r w:rsidRPr="00511005">
        <w:rPr>
          <w:rFonts w:ascii="Arial" w:eastAsia="Calibri" w:hAnsi="Arial" w:cs="Arial"/>
          <w:szCs w:val="28"/>
          <w:lang w:val="uk-UA"/>
        </w:rPr>
        <w:t xml:space="preserve">. </w:t>
      </w:r>
    </w:p>
    <w:p w14:paraId="77C2273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У правовому полі України спостерігається суттєве збільшення кількості військових судових справ. Зокрема, за даними Верховного Суду у 2024 році судами за різні кримінальні правопорушення було засуджено 6 532 військовослужбовця (у 2023 році - 5 339, у 2022 році – 2 138 військовослужбовців), що становить 10,6% від загальної кількості осіб, засуджених у 2024 році в Україні. Загалом за три роки з моменту повномасштабного вторгнення засуджено до різних видів покарання 14 009 військовослужбовців </w:t>
      </w:r>
      <w:r w:rsidRPr="00511005">
        <w:rPr>
          <w:rFonts w:ascii="Arial" w:eastAsia="Calibri" w:hAnsi="Arial" w:cs="Arial"/>
          <w:szCs w:val="28"/>
        </w:rPr>
        <w:t>[</w:t>
      </w:r>
      <w:r w:rsidRPr="00511005">
        <w:rPr>
          <w:rFonts w:ascii="Arial" w:eastAsia="Calibri" w:hAnsi="Arial" w:cs="Arial"/>
          <w:szCs w:val="28"/>
          <w:lang w:val="uk-UA"/>
        </w:rPr>
        <w:t>2</w:t>
      </w:r>
      <w:r w:rsidRPr="00511005">
        <w:rPr>
          <w:rFonts w:ascii="Arial" w:eastAsia="Calibri" w:hAnsi="Arial" w:cs="Arial"/>
          <w:szCs w:val="28"/>
        </w:rPr>
        <w:t>].</w:t>
      </w:r>
    </w:p>
    <w:p w14:paraId="6E66F6B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Цифри свідчать про наявність в загальних судах особливої категорії справ, для вирішення яких необхідні суб’єкти зі спеціальними знаннями в галузі військового права, а також досвід служби та роботи в умовах військової організації. Такими суб’єктами можуть і повинні стати військові судді, які стануть гарантом захисту прав і свобод військовослужбовців.</w:t>
      </w:r>
    </w:p>
    <w:p w14:paraId="7F12C76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Доцільність впровадження військових судів в Україні підтримує Вища рада правосуддя, як головний орган суддівського управління. Більш того, на території України таке впровадження не буде радикальним нововведенням, адже з початку незалежності і до 2010 року функціонували військові суди. Причиною їх ліквідації було визначено значне скорочення кількості справ через різке зменшення чисельності ЗСУ. </w:t>
      </w:r>
    </w:p>
    <w:p w14:paraId="0E79ACC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Наразі, відсутність у більшості суддів загальної юрисдикції досвіду військової служби призводить до недостатнього розуміння специфіки військових правовідносин, військових статутів та умов служби. В умовах шаленого судового навантаження на діючих суддів, може страждати якість розгляду військових судових справ, адже ці справи часто пов’язані зі складними питаннями військового права, бойовими умовами, статутними обов’язками та морально-психологічними викликами, характерними для воєнного стану і бойових дій. Загальні суди, не маючи достатнього часу для вивчення особливостей військових правовідносин, відповідного досвіду або ж знань про такі особливості, можуть неправильно витлумачити ці аспекти, що буде мати свої наслідки для людей і для боєздатності держави.</w:t>
      </w:r>
    </w:p>
    <w:p w14:paraId="6CE6958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З огляду на вищезазначене, спеціальні знання, якими володітимуть військові судді забезпечить кваліфіковане і справедливе здійснення кримінального судочинства. Такі судді будуть здатні: 1) глибше зрозуміти специфіку правовідносин у військовому середовищі, врахувавши принципи підпорядкування, порядок проходження служби, бойову дисципліну; 2) адекватно оцінити обставини скоєння правопорушень в умовах бойових дій чи надзвичайних ситуацій; 3) врахувати стресові фактори, вплив обстановки; 4) встановити причинно-наслідкові зв’язки між діями військовослужбовців і наслідками правопорушень; 5) забезпечити справедливу правову оцінку дій військовослужбовців, виходячи не лише за формальними ознаками, а й з практичних реалій військової служби. Завдяки цьому забезпечується баланс між вимогами дисципліни та необхідністю дотримання прав людини навіть у найскладніших умовах.</w:t>
      </w:r>
    </w:p>
    <w:p w14:paraId="6503353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Особливої ваги ці знання набувають під час розгляду справ, пов’язаних із бойовими діями, коли необхідно відрізнити правомірне виконання наказу від злочинного перевищення повноважень, оцінити правові межі прийняття рішень у стресових умовах або під загрозою життю. У таких випадках саме військовий суддя зі спеціальними знаннями здатен встановити істину з урахуванням всієї повноти обставин.</w:t>
      </w:r>
    </w:p>
    <w:p w14:paraId="471D121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Доречно підкреслити, що реалізація запропонованих змін буде повністю коригуватися із схожим інститутом у зарубіжних державах. Наприклад, у Польщі військовими суддями можуть бути тільки професійні військовослужбовці. У Франції військова юстиція частково інтегрована у загальну судову систему, але справи щодо військовослужбовців розглядаються суддями, які спеціалізуються на військовому праві. Склад військово-польових, військово-морських і військово-повітряних судів у Греції формується з числа співробітників юридичної служби збройних сил, на яких поширюються відповідні гарантії незалежності. </w:t>
      </w:r>
      <w:r w:rsidRPr="00511005">
        <w:rPr>
          <w:rFonts w:ascii="Arial" w:eastAsia="Calibri" w:hAnsi="Arial" w:cs="Arial"/>
          <w:szCs w:val="28"/>
        </w:rPr>
        <w:t>[3</w:t>
      </w:r>
      <w:r w:rsidRPr="00511005">
        <w:rPr>
          <w:rFonts w:ascii="Arial" w:eastAsia="Calibri" w:hAnsi="Arial" w:cs="Arial"/>
          <w:szCs w:val="28"/>
          <w:lang w:val="uk-UA"/>
        </w:rPr>
        <w:t>, с. 72</w:t>
      </w:r>
      <w:r w:rsidRPr="00511005">
        <w:rPr>
          <w:rFonts w:ascii="Arial" w:eastAsia="Calibri" w:hAnsi="Arial" w:cs="Arial"/>
          <w:szCs w:val="28"/>
        </w:rPr>
        <w:t>]</w:t>
      </w:r>
      <w:r w:rsidRPr="00511005">
        <w:rPr>
          <w:rFonts w:ascii="Arial" w:eastAsia="Calibri" w:hAnsi="Arial" w:cs="Arial"/>
          <w:szCs w:val="28"/>
          <w:lang w:val="uk-UA"/>
        </w:rPr>
        <w:t xml:space="preserve">. </w:t>
      </w:r>
    </w:p>
    <w:p w14:paraId="414BBC0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Водночас, на наше переконання, важливим при відновленні військових судів необхідно не дати підстав стверджувати, що військові судді мають особливий статус. Вони повинні дотримуватися таких міжнародних принципів правосуддя, як: принцип діяльності на основі закону, принцип незалежності та безсторонності. Так, для забезпечення неупередженості, судді мають діяти незалежно від військового командування і не перебувати у його підпорядкуванні. </w:t>
      </w:r>
    </w:p>
    <w:p w14:paraId="1179DAF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У рішенні у справі «Фіндлі проти Сполученого Королівства» від 25.02.1997 року Європейський суд з прав людини (далі – ЄСПЛ) зазначив, що при оцінці незалежності суду слід враховувати, зокрема, порядок його призначення, тривалість перебування на посаді, наявність гарантій захисту від зовнішнього впливу. Стосовно принципу неупередженості у цьому ж рішенні ЄСПЛ вказав на два її аспекти цієї вимоги: «по-перше, суд має бути суб’єктивно вільним від особистих упереджень або симпатій, а по-друге – </w:t>
      </w:r>
      <w:r w:rsidRPr="00511005">
        <w:rPr>
          <w:rFonts w:ascii="Arial" w:eastAsia="Calibri" w:hAnsi="Arial" w:cs="Arial"/>
          <w:szCs w:val="28"/>
          <w:lang w:val="uk-UA"/>
        </w:rPr>
        <w:lastRenderedPageBreak/>
        <w:t>об’єктивно безстороннім, тобто не викликати жодних обґрунтованих сумнівів у своїй неупередженості» [4].</w:t>
      </w:r>
    </w:p>
    <w:p w14:paraId="0AD2484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Таким чином, відновлення інституту військових судів із залученням фахівців, які володіють спеціальними знаннями, сприятиме не лише глибшому розумінні правових реалій військової служби, а й стане важливим криміналістичним інструментом, що сприяє всебічному аналізу доказів та запобіганню судовим помилкам. У складних і нестандартних ситуаціях, характерних для умов військової служби чи бойових дій, саме військові судді зможуть гарантувати якість розгляду кримінальних проваджень щодо військовослужбовців, баланс між військовою дисципліною та правами людини, а також утвердження довіри до судової системи.</w:t>
      </w:r>
    </w:p>
    <w:p w14:paraId="402C23D0" w14:textId="77777777" w:rsidR="00532C25" w:rsidRPr="00511005" w:rsidRDefault="00532C25" w:rsidP="00532C25">
      <w:pPr>
        <w:spacing w:line="264" w:lineRule="auto"/>
        <w:ind w:firstLine="720"/>
        <w:rPr>
          <w:rFonts w:ascii="Arial" w:eastAsia="Calibri" w:hAnsi="Arial" w:cs="Arial"/>
          <w:szCs w:val="28"/>
          <w:lang w:val="uk-UA"/>
        </w:rPr>
      </w:pPr>
    </w:p>
    <w:p w14:paraId="7866AFBC"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1670C2F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1. Єдиний звіт про кримінальні правопорушення за січень-грудень 2024 року: Офіс Генерального прокурора URL: https://old.gp.gov.ua/ua/file_downloader.html?_m=fslib&amp;_t=fsfile&amp;_c=download&amp;file_id=260042</w:t>
      </w:r>
    </w:p>
    <w:p w14:paraId="7EF39D4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2. Хрипун В. « Як і за що судили українських військових у 2024 році: статистика Верховного Суду»: Судово-юридична газета. URL: https://sud.ua/uk/news/publication/327381-kak-i-za-chto-sudili-ukrainskikh-voennykh-v-2024-godu-otchet-verkhovnogo-suda </w:t>
      </w:r>
    </w:p>
    <w:p w14:paraId="62E64F37" w14:textId="77777777" w:rsidR="00532C25" w:rsidRPr="00511005" w:rsidRDefault="00532C25" w:rsidP="00532C25">
      <w:pPr>
        <w:tabs>
          <w:tab w:val="left" w:pos="1560"/>
        </w:tabs>
        <w:spacing w:line="264" w:lineRule="auto"/>
        <w:ind w:firstLine="720"/>
        <w:rPr>
          <w:rFonts w:ascii="Arial" w:eastAsia="Calibri" w:hAnsi="Arial" w:cs="Arial"/>
          <w:szCs w:val="28"/>
        </w:rPr>
      </w:pPr>
      <w:r w:rsidRPr="00511005">
        <w:rPr>
          <w:rFonts w:ascii="Arial" w:eastAsia="Calibri" w:hAnsi="Arial" w:cs="Arial"/>
          <w:szCs w:val="28"/>
          <w:lang w:val="uk-UA"/>
        </w:rPr>
        <w:t xml:space="preserve">3. Полегенька О., Сидоров Є. Військовий суд: міжнародні стандарти правосуддя та кадрове забезпечення. </w:t>
      </w:r>
      <w:r w:rsidRPr="00511005">
        <w:rPr>
          <w:rFonts w:ascii="Arial" w:eastAsia="Calibri" w:hAnsi="Arial" w:cs="Arial"/>
          <w:i/>
          <w:szCs w:val="28"/>
          <w:lang w:val="uk-UA"/>
        </w:rPr>
        <w:t>Слово національної школи суддів України</w:t>
      </w:r>
      <w:r w:rsidRPr="00511005">
        <w:rPr>
          <w:rFonts w:ascii="Arial" w:eastAsia="Calibri" w:hAnsi="Arial" w:cs="Arial"/>
          <w:szCs w:val="28"/>
          <w:lang w:val="uk-UA"/>
        </w:rPr>
        <w:t xml:space="preserve"> № 3 (20) 2017.</w:t>
      </w:r>
    </w:p>
    <w:p w14:paraId="3879CC5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URL:https://slovo.nsj.gov.ua/images/pdf/2017_3_20/Sydorov%20Polegenka.%20Viyskoviy%20sud.pdf</w:t>
      </w:r>
    </w:p>
    <w:p w14:paraId="33A02960" w14:textId="77777777" w:rsidR="00532C25" w:rsidRPr="00511005" w:rsidRDefault="00532C25" w:rsidP="00532C25">
      <w:pPr>
        <w:spacing w:line="264" w:lineRule="auto"/>
        <w:ind w:firstLine="720"/>
        <w:rPr>
          <w:rFonts w:ascii="Arial" w:eastAsia="Calibri" w:hAnsi="Arial" w:cs="Arial"/>
          <w:szCs w:val="28"/>
          <w:lang w:val="pl-PL"/>
        </w:rPr>
      </w:pPr>
      <w:r w:rsidRPr="00511005">
        <w:rPr>
          <w:rFonts w:ascii="Arial" w:eastAsia="Calibri" w:hAnsi="Arial" w:cs="Arial"/>
          <w:szCs w:val="28"/>
          <w:lang w:val="uk-UA"/>
        </w:rPr>
        <w:t>3. Справа «Фіндлі проти Сполученого Королівства» (Заява № 41087/98)</w:t>
      </w:r>
      <w:r w:rsidRPr="00511005">
        <w:rPr>
          <w:rFonts w:ascii="Arial" w:eastAsia="Calibri" w:hAnsi="Arial" w:cs="Arial"/>
          <w:szCs w:val="28"/>
        </w:rPr>
        <w:t xml:space="preserve">: </w:t>
      </w:r>
      <w:r w:rsidRPr="00511005">
        <w:rPr>
          <w:rFonts w:ascii="Arial" w:eastAsia="Calibri" w:hAnsi="Arial" w:cs="Arial"/>
          <w:szCs w:val="28"/>
          <w:lang w:val="uk-UA"/>
        </w:rPr>
        <w:t>Європейський суд з прав людини, 25 лютого 1997.</w:t>
      </w:r>
      <w:r w:rsidRPr="00511005">
        <w:rPr>
          <w:rFonts w:ascii="Arial" w:eastAsia="Calibri" w:hAnsi="Arial" w:cs="Arial"/>
          <w:szCs w:val="28"/>
        </w:rPr>
        <w:t xml:space="preserve"> </w:t>
      </w:r>
      <w:r w:rsidRPr="00511005">
        <w:rPr>
          <w:rFonts w:ascii="Arial" w:eastAsia="Calibri" w:hAnsi="Arial" w:cs="Arial"/>
          <w:szCs w:val="28"/>
          <w:lang w:val="uk-UA"/>
        </w:rPr>
        <w:t>URL:</w:t>
      </w:r>
      <w:r w:rsidRPr="00511005">
        <w:rPr>
          <w:rFonts w:ascii="Arial" w:eastAsia="Calibri" w:hAnsi="Arial" w:cs="Arial"/>
          <w:szCs w:val="28"/>
          <w:lang w:val="pl-PL"/>
        </w:rPr>
        <w:t xml:space="preserve"> </w:t>
      </w:r>
      <w:r w:rsidRPr="00511005">
        <w:rPr>
          <w:rFonts w:ascii="Arial" w:eastAsia="Calibri" w:hAnsi="Arial" w:cs="Arial"/>
          <w:szCs w:val="28"/>
          <w:lang w:val="uk-UA"/>
        </w:rPr>
        <w:t>https://hudoc.echr.coe.int/app/conversion/pdf/?library=ECHR&amp;id=001-100729&amp;filename=CASE%20OF%20FINDLAY%20v.%20THE%20UNITED%20KINGDOM%20-%20%5BRussian%20Translation%5D.pdf</w:t>
      </w:r>
    </w:p>
    <w:p w14:paraId="22601B92" w14:textId="77777777" w:rsidR="00532C25" w:rsidRPr="00511005" w:rsidRDefault="00532C25" w:rsidP="00532C25">
      <w:pPr>
        <w:spacing w:line="264" w:lineRule="auto"/>
        <w:ind w:firstLine="720"/>
        <w:rPr>
          <w:rFonts w:ascii="Arial" w:eastAsia="Calibri" w:hAnsi="Arial" w:cs="Arial"/>
          <w:b/>
          <w:szCs w:val="28"/>
          <w:lang w:val="uk-UA"/>
        </w:rPr>
      </w:pPr>
    </w:p>
    <w:p w14:paraId="5C0E85C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 xml:space="preserve">спеціальні знання, військовий суддя, військова юстиція, військовослужбовці, кримінальне провадження, права людини. </w:t>
      </w:r>
    </w:p>
    <w:p w14:paraId="342E358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Key words: </w:t>
      </w:r>
      <w:r w:rsidRPr="00511005">
        <w:rPr>
          <w:rFonts w:ascii="Arial" w:eastAsia="Calibri" w:hAnsi="Arial" w:cs="Arial"/>
          <w:szCs w:val="28"/>
          <w:lang w:val="uk-UA"/>
        </w:rPr>
        <w:t xml:space="preserve">special knowledge, </w:t>
      </w:r>
      <w:r w:rsidRPr="00511005">
        <w:rPr>
          <w:rFonts w:ascii="Arial" w:eastAsia="Calibri" w:hAnsi="Arial" w:cs="Arial"/>
          <w:szCs w:val="28"/>
          <w:lang w:val="en-US"/>
        </w:rPr>
        <w:t>m</w:t>
      </w:r>
      <w:r w:rsidRPr="00511005">
        <w:rPr>
          <w:rFonts w:ascii="Arial" w:eastAsia="Calibri" w:hAnsi="Arial" w:cs="Arial"/>
          <w:szCs w:val="28"/>
          <w:lang w:val="uk-UA"/>
        </w:rPr>
        <w:t xml:space="preserve">ilitary judge, </w:t>
      </w:r>
      <w:r w:rsidRPr="00511005">
        <w:rPr>
          <w:rFonts w:ascii="Arial" w:eastAsia="Calibri" w:hAnsi="Arial" w:cs="Arial"/>
          <w:szCs w:val="28"/>
          <w:lang w:val="en-US"/>
        </w:rPr>
        <w:t>m</w:t>
      </w:r>
      <w:r w:rsidRPr="00511005">
        <w:rPr>
          <w:rFonts w:ascii="Arial" w:eastAsia="Calibri" w:hAnsi="Arial" w:cs="Arial"/>
          <w:szCs w:val="28"/>
          <w:lang w:val="uk-UA"/>
        </w:rPr>
        <w:t xml:space="preserve">ilitary justice, military personnel, </w:t>
      </w:r>
      <w:r w:rsidRPr="00511005">
        <w:rPr>
          <w:rFonts w:ascii="Arial" w:eastAsia="Calibri" w:hAnsi="Arial" w:cs="Arial"/>
          <w:szCs w:val="28"/>
          <w:lang w:val="en-US"/>
        </w:rPr>
        <w:t>c</w:t>
      </w:r>
      <w:r w:rsidRPr="00511005">
        <w:rPr>
          <w:rFonts w:ascii="Arial" w:eastAsia="Calibri" w:hAnsi="Arial" w:cs="Arial"/>
          <w:szCs w:val="28"/>
          <w:lang w:val="uk-UA"/>
        </w:rPr>
        <w:t>riminal proceedings</w:t>
      </w:r>
      <w:r w:rsidRPr="00511005">
        <w:rPr>
          <w:rFonts w:ascii="Arial" w:eastAsia="Calibri" w:hAnsi="Arial" w:cs="Arial"/>
          <w:szCs w:val="28"/>
          <w:lang w:val="en-US"/>
        </w:rPr>
        <w:t>,</w:t>
      </w:r>
      <w:r w:rsidRPr="00511005">
        <w:rPr>
          <w:rFonts w:ascii="Arial" w:eastAsia="Calibri" w:hAnsi="Arial" w:cs="Arial"/>
          <w:szCs w:val="28"/>
          <w:lang w:val="uk-UA"/>
        </w:rPr>
        <w:t xml:space="preserve"> human rights.</w:t>
      </w:r>
    </w:p>
    <w:p w14:paraId="6BC82B8C" w14:textId="77777777" w:rsidR="00532C25" w:rsidRPr="00511005" w:rsidRDefault="00532C25" w:rsidP="00532C25">
      <w:pPr>
        <w:spacing w:line="264" w:lineRule="auto"/>
        <w:ind w:firstLine="720"/>
        <w:rPr>
          <w:rFonts w:ascii="Arial" w:eastAsia="Calibri" w:hAnsi="Arial" w:cs="Arial"/>
          <w:i/>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bCs/>
          <w:i/>
          <w:iCs/>
          <w:szCs w:val="28"/>
          <w:lang w:val="uk-UA"/>
        </w:rPr>
        <w:t>к.ю.н., доцент Шершенькова В.А.</w:t>
      </w:r>
    </w:p>
    <w:p w14:paraId="793B79D7" w14:textId="77777777" w:rsidR="00532C25" w:rsidRPr="00511005" w:rsidRDefault="00532C25" w:rsidP="00532C25">
      <w:pPr>
        <w:spacing w:line="264" w:lineRule="auto"/>
        <w:ind w:firstLine="720"/>
        <w:rPr>
          <w:rFonts w:ascii="Arial" w:eastAsia="Calibri" w:hAnsi="Arial" w:cs="Arial"/>
          <w:i/>
          <w:szCs w:val="28"/>
          <w:lang w:val="uk-UA"/>
        </w:rPr>
      </w:pPr>
    </w:p>
    <w:p w14:paraId="79BE212B" w14:textId="77777777" w:rsidR="00532C25" w:rsidRPr="00511005" w:rsidRDefault="00532C25" w:rsidP="00532C25">
      <w:pPr>
        <w:spacing w:line="264" w:lineRule="auto"/>
        <w:ind w:firstLine="720"/>
        <w:jc w:val="left"/>
        <w:rPr>
          <w:rFonts w:ascii="Arial" w:eastAsia="Calibri" w:hAnsi="Arial" w:cs="Arial"/>
          <w:b/>
          <w:bCs/>
          <w:i/>
          <w:iCs/>
          <w:szCs w:val="28"/>
        </w:rPr>
      </w:pPr>
    </w:p>
    <w:p w14:paraId="0E0B5666" w14:textId="77777777" w:rsidR="00532C25" w:rsidRPr="00511005" w:rsidRDefault="00532C25" w:rsidP="00532C25">
      <w:pPr>
        <w:spacing w:line="264" w:lineRule="auto"/>
        <w:ind w:firstLine="720"/>
        <w:jc w:val="center"/>
        <w:rPr>
          <w:rFonts w:ascii="Arial" w:eastAsia="Calibri" w:hAnsi="Arial" w:cs="Arial"/>
          <w:b/>
          <w:bCs/>
          <w:i/>
          <w:iCs/>
          <w:szCs w:val="28"/>
        </w:rPr>
      </w:pPr>
      <w:r w:rsidRPr="00511005">
        <w:rPr>
          <w:rFonts w:ascii="Arial" w:eastAsia="Calibri" w:hAnsi="Arial" w:cs="Arial"/>
          <w:b/>
          <w:bCs/>
          <w:i/>
          <w:iCs/>
          <w:szCs w:val="28"/>
        </w:rPr>
        <w:t>Обуховська Дарʼя Вікторівна</w:t>
      </w:r>
    </w:p>
    <w:p w14:paraId="63FE508F"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szCs w:val="28"/>
          <w:lang w:val="uk-UA"/>
        </w:rPr>
        <w:t xml:space="preserve">студентка 3-го курсу </w:t>
      </w:r>
      <w:r w:rsidRPr="00511005">
        <w:rPr>
          <w:rFonts w:ascii="Arial" w:eastAsia="Calibri" w:hAnsi="Arial" w:cs="Arial"/>
          <w:szCs w:val="28"/>
        </w:rPr>
        <w:t xml:space="preserve">факультету права та масових комунікацій </w:t>
      </w:r>
    </w:p>
    <w:p w14:paraId="2E655F0F"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szCs w:val="28"/>
        </w:rPr>
        <w:t>Харківського національного університету внутрішніх справ</w:t>
      </w:r>
    </w:p>
    <w:p w14:paraId="01FC8584" w14:textId="77777777" w:rsidR="00532C25" w:rsidRPr="00511005" w:rsidRDefault="00532C25" w:rsidP="00532C25">
      <w:pPr>
        <w:spacing w:line="264" w:lineRule="auto"/>
        <w:ind w:left="720" w:firstLine="0"/>
        <w:jc w:val="center"/>
        <w:rPr>
          <w:rFonts w:ascii="Arial" w:eastAsia="Times New Roman" w:hAnsi="Arial" w:cs="Arial"/>
          <w:szCs w:val="28"/>
          <w:lang w:val="uk-UA" w:eastAsia="uk-UA"/>
        </w:rPr>
      </w:pPr>
      <w:r w:rsidRPr="00511005">
        <w:rPr>
          <w:rFonts w:ascii="Arial" w:eastAsia="Times New Roman" w:hAnsi="Arial" w:cs="Arial"/>
          <w:b/>
          <w:bCs/>
          <w:i/>
          <w:iCs/>
          <w:szCs w:val="28"/>
          <w:lang w:val="uk-UA" w:eastAsia="uk-UA"/>
        </w:rPr>
        <w:lastRenderedPageBreak/>
        <w:t>Якубик Юлія Русланівна</w:t>
      </w:r>
    </w:p>
    <w:p w14:paraId="4F9ABBDE"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7E262636"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894F269"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5246550" w14:textId="77777777" w:rsidR="00532C25" w:rsidRPr="00511005" w:rsidRDefault="00532C25" w:rsidP="00532C25">
      <w:pPr>
        <w:spacing w:line="264" w:lineRule="auto"/>
        <w:ind w:firstLine="0"/>
        <w:jc w:val="left"/>
        <w:rPr>
          <w:rFonts w:ascii="Arial" w:eastAsia="Calibri" w:hAnsi="Arial" w:cs="Arial"/>
          <w:i/>
          <w:iCs/>
          <w:szCs w:val="28"/>
        </w:rPr>
      </w:pPr>
    </w:p>
    <w:p w14:paraId="004F6643" w14:textId="77777777" w:rsidR="00532C25" w:rsidRPr="00511005" w:rsidRDefault="00532C25" w:rsidP="00532C25">
      <w:pPr>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ОБСТАВИНИ, ЩО ПІДЛЯГАЮТЬ ВСТАНОВЛЕННЮ ПРИ РОЗСЛІДУВАННІ КРИМІНАЛЬНИХ ПРАВОПОРУШЕНЬ</w:t>
      </w:r>
    </w:p>
    <w:p w14:paraId="0112D4A9" w14:textId="77777777" w:rsidR="00532C25" w:rsidRPr="00511005" w:rsidRDefault="00532C25" w:rsidP="00532C25">
      <w:pPr>
        <w:spacing w:line="264" w:lineRule="auto"/>
        <w:ind w:firstLine="525"/>
        <w:rPr>
          <w:rFonts w:ascii="Arial" w:eastAsia="Times New Roman" w:hAnsi="Arial" w:cs="Arial"/>
          <w:szCs w:val="28"/>
        </w:rPr>
      </w:pPr>
      <w:r w:rsidRPr="00511005">
        <w:rPr>
          <w:rFonts w:ascii="Arial" w:eastAsia="Times New Roman" w:hAnsi="Arial" w:cs="Arial"/>
          <w:szCs w:val="28"/>
          <w:lang w:val="uk-UA"/>
        </w:rPr>
        <w:t xml:space="preserve">Обставини, що підлягають встановленню, є ключовою категорією криміналістичної науки, яка визначає процес збору, аналізу та оцінки інформації, необхідної для з’ясування фактів кримінального правопорушення. </w:t>
      </w:r>
      <w:r w:rsidRPr="00511005">
        <w:rPr>
          <w:rFonts w:ascii="Arial" w:eastAsia="Times New Roman" w:hAnsi="Arial" w:cs="Arial"/>
          <w:szCs w:val="28"/>
        </w:rPr>
        <w:t>Вони включають обставини, що характеризують сам злочин (місце, час, спосіб вчинення), особу злочинця (мотиви, цілі), а також причинно-наслідкові зв’язки події. Встановлення цих фактів забезпечується методами криміналістики, такими як допити, експертизи, аналіз доказів, що сприяє правильній кваліфікації злочину та справедливому судовому рішенню.</w:t>
      </w:r>
    </w:p>
    <w:p w14:paraId="4A751357" w14:textId="77777777" w:rsidR="00532C25" w:rsidRPr="00511005" w:rsidRDefault="00532C25" w:rsidP="00532C25">
      <w:pPr>
        <w:spacing w:line="264" w:lineRule="auto"/>
        <w:ind w:firstLine="525"/>
        <w:rPr>
          <w:rFonts w:ascii="Arial" w:eastAsia="Times New Roman" w:hAnsi="Arial" w:cs="Arial"/>
          <w:szCs w:val="28"/>
        </w:rPr>
      </w:pPr>
      <w:r w:rsidRPr="00511005">
        <w:rPr>
          <w:rFonts w:ascii="Arial" w:eastAsia="Calibri" w:hAnsi="Arial" w:cs="Arial"/>
          <w:szCs w:val="28"/>
        </w:rPr>
        <w:t>Загалом, обставини, що підлягають встановленню, можна поділити на кілька основних груп, кожна з яких виконує важливу роль у процесі розслідування кримінальних правопорушень. Перша група обставин стосується фактів, які безпосередньо характеризують сам злочин. Це включає в себе місце і час вчинення правопорушення, а також спосіб його здійснення. Важливо визначити, чи був злочин спланований, чи він стався в результаті спонтанних дій. Місце вчинення злочину може дати важливі підказки, наприклад, чи було це місце приватним чи публічним, а також його зв'язок з особою злочинця.</w:t>
      </w:r>
    </w:p>
    <w:p w14:paraId="0873BE72" w14:textId="77777777" w:rsidR="00532C25" w:rsidRPr="00511005" w:rsidRDefault="00532C25" w:rsidP="00532C25">
      <w:pPr>
        <w:spacing w:line="264" w:lineRule="auto"/>
        <w:ind w:firstLine="525"/>
        <w:rPr>
          <w:rFonts w:ascii="Arial" w:eastAsia="Times New Roman" w:hAnsi="Arial" w:cs="Arial"/>
          <w:szCs w:val="28"/>
        </w:rPr>
      </w:pPr>
      <w:r w:rsidRPr="00511005">
        <w:rPr>
          <w:rFonts w:ascii="Arial" w:eastAsia="Calibri" w:hAnsi="Arial" w:cs="Arial"/>
          <w:szCs w:val="28"/>
        </w:rPr>
        <w:t>Друга група обставин включає деталі, що дозволяють з'ясувати особу злочинця, його мотиви і мету вчинення злочину. Це має велике значення для встановлення причин, що призвели до правопорушення. Мотиви можуть бути різними - від фінансових вигод до особистих конфліктів, а мета може свідчити про рівень запланованості злочину. Розуміння мотивів допомагає слідству встановити не лише факт вчинення злочину, а й його обставини, які можуть вплинути на кваліфікацію діяння, зокрема, на визначення наявності умислу або необережності.</w:t>
      </w:r>
    </w:p>
    <w:p w14:paraId="5B5DDF4C" w14:textId="77777777" w:rsidR="00532C25" w:rsidRPr="00511005" w:rsidRDefault="00532C25" w:rsidP="00532C25">
      <w:pPr>
        <w:spacing w:line="264" w:lineRule="auto"/>
        <w:ind w:firstLine="525"/>
        <w:rPr>
          <w:rFonts w:ascii="Arial" w:eastAsia="Times New Roman" w:hAnsi="Arial" w:cs="Arial"/>
          <w:szCs w:val="28"/>
          <w:lang w:val="uk-UA"/>
        </w:rPr>
      </w:pPr>
      <w:r w:rsidRPr="00511005">
        <w:rPr>
          <w:rFonts w:ascii="Arial" w:eastAsia="Calibri" w:hAnsi="Arial" w:cs="Arial"/>
          <w:szCs w:val="28"/>
        </w:rPr>
        <w:t xml:space="preserve">Третя група - це факти, що мають значення для розвитку події, її причин та наслідків. Вони дозволяють побудувати ланцюг подій, що вели до скоєння злочину, та визначити, яким чином злочин вплинув на потерпілих і суспільство в цілому. </w:t>
      </w:r>
      <w:proofErr w:type="gramStart"/>
      <w:r w:rsidRPr="00511005">
        <w:rPr>
          <w:rFonts w:ascii="Arial" w:eastAsia="Calibri" w:hAnsi="Arial" w:cs="Arial"/>
          <w:szCs w:val="28"/>
        </w:rPr>
        <w:t>Для прикладу</w:t>
      </w:r>
      <w:proofErr w:type="gramEnd"/>
      <w:r w:rsidRPr="00511005">
        <w:rPr>
          <w:rFonts w:ascii="Arial" w:eastAsia="Calibri" w:hAnsi="Arial" w:cs="Arial"/>
          <w:szCs w:val="28"/>
        </w:rPr>
        <w:t>, у провадженні про вбивство важливо встановити, чи існували попередні конфлікти між потерпілим і підозрюваним, які могли вплинути на вчинення злочину [1, с.71]</w:t>
      </w:r>
      <w:r w:rsidRPr="00511005">
        <w:rPr>
          <w:rFonts w:ascii="Arial" w:eastAsia="Calibri" w:hAnsi="Arial" w:cs="Arial"/>
          <w:szCs w:val="28"/>
          <w:lang w:val="uk-UA"/>
        </w:rPr>
        <w:t>.</w:t>
      </w:r>
    </w:p>
    <w:p w14:paraId="3B4C562E" w14:textId="77777777" w:rsidR="00532C25" w:rsidRPr="00511005" w:rsidRDefault="00532C25" w:rsidP="00532C25">
      <w:pPr>
        <w:spacing w:line="264" w:lineRule="auto"/>
        <w:ind w:firstLine="525"/>
        <w:rPr>
          <w:rFonts w:ascii="Arial" w:eastAsia="Times New Roman" w:hAnsi="Arial" w:cs="Arial"/>
          <w:szCs w:val="28"/>
        </w:rPr>
      </w:pPr>
      <w:r w:rsidRPr="00511005">
        <w:rPr>
          <w:rFonts w:ascii="Arial" w:eastAsia="Calibri" w:hAnsi="Arial" w:cs="Arial"/>
          <w:szCs w:val="28"/>
        </w:rPr>
        <w:t xml:space="preserve">Збір та аналіз цих обставин є основою для побудови чіткої картини події та для прийняття правового рішення, а також для визначення, чи існують достатні підстави для обвинувачення конкретної особи. Встановлення таких </w:t>
      </w:r>
      <w:r w:rsidRPr="00511005">
        <w:rPr>
          <w:rFonts w:ascii="Arial" w:eastAsia="Calibri" w:hAnsi="Arial" w:cs="Arial"/>
          <w:szCs w:val="28"/>
        </w:rPr>
        <w:lastRenderedPageBreak/>
        <w:t>обставин є необхідним для того, щоб забезпечити справедливість і відповідальність згідно з кримінальним законодавством.</w:t>
      </w:r>
    </w:p>
    <w:p w14:paraId="7A92E7F1" w14:textId="77777777" w:rsidR="00532C25" w:rsidRPr="00511005" w:rsidRDefault="00532C25" w:rsidP="00532C25">
      <w:pPr>
        <w:spacing w:line="264" w:lineRule="auto"/>
        <w:ind w:firstLine="525"/>
        <w:rPr>
          <w:rFonts w:ascii="Arial" w:eastAsia="Times New Roman" w:hAnsi="Arial" w:cs="Arial"/>
          <w:szCs w:val="28"/>
        </w:rPr>
      </w:pPr>
      <w:r w:rsidRPr="00511005">
        <w:rPr>
          <w:rFonts w:ascii="Arial" w:eastAsia="Calibri" w:hAnsi="Arial" w:cs="Arial"/>
          <w:szCs w:val="28"/>
        </w:rPr>
        <w:t>Значення обставин, що підлягають встановленню, полягає у визначенні причинно-наслідкових зв'язків між різними елементами події, що відбувається. Це дозволяє не тільки з'ясувати, як і в яких умовах відбувався злочин, але й встановити, чи є достатні підстави для притягнення конкретної особи до кримінальної відповідальності. Наприклад, якщо виявлені обставини доводять, що особа діяла з умислом чи на основі попереднього плану, це може суттєво вплинути на оцінку її поведінки в рамках кримінального процесу [2, c. 591].</w:t>
      </w:r>
    </w:p>
    <w:p w14:paraId="70D90275" w14:textId="77777777" w:rsidR="00532C25" w:rsidRPr="00511005" w:rsidRDefault="00532C25" w:rsidP="00532C25">
      <w:pPr>
        <w:spacing w:line="264" w:lineRule="auto"/>
        <w:ind w:firstLine="525"/>
        <w:rPr>
          <w:rFonts w:ascii="Arial" w:eastAsia="Times New Roman" w:hAnsi="Arial" w:cs="Arial"/>
          <w:szCs w:val="28"/>
        </w:rPr>
      </w:pPr>
      <w:r w:rsidRPr="00511005">
        <w:rPr>
          <w:rFonts w:ascii="Arial" w:eastAsia="Times New Roman" w:hAnsi="Arial" w:cs="Arial"/>
          <w:szCs w:val="28"/>
        </w:rPr>
        <w:t>Співвідношення обставин, що підлягають встановленню, та обставин, що підлягають доказуванню, полягає в тому, що перші визначають фактичні дані, які необхідно з’ясувати в процесі розслідування (час, місце, спосіб вчинення злочину, мотиви тощо), тоді як другі охоплюють юридично значущі факти, які мають бути підтверджені доказами у кримінальному провадженні. Встановлення обставин є початковим етапом розслідування, що формує основу для висунення версій, а доказування - це їх перевірка, оцінка та підтвердження на підставі доказів, що забезпечує обґрунтованість висновків та справедливість судового рішення.</w:t>
      </w:r>
    </w:p>
    <w:p w14:paraId="504030B9" w14:textId="77777777" w:rsidR="00532C25" w:rsidRPr="00511005" w:rsidRDefault="00532C25" w:rsidP="00532C25">
      <w:pPr>
        <w:spacing w:line="264" w:lineRule="auto"/>
        <w:ind w:firstLine="525"/>
        <w:rPr>
          <w:rFonts w:ascii="Arial" w:eastAsia="Times New Roman" w:hAnsi="Arial" w:cs="Arial"/>
          <w:szCs w:val="28"/>
        </w:rPr>
      </w:pPr>
      <w:r w:rsidRPr="00511005">
        <w:rPr>
          <w:rFonts w:ascii="Arial" w:eastAsia="Calibri" w:hAnsi="Arial" w:cs="Arial"/>
          <w:szCs w:val="28"/>
        </w:rPr>
        <w:t>Обставини, що підлягають встановленню, є основою для побудови версій та постановки тактичних завдань у ході кримінального розслідування. Вони визначають, які факти потрібно з'ясувати, якими методами і інструментами здійснювати збирання доказів, а також допомагають вірно спрямувати слідчі дії. Адже від точного визначення обставин залежить, як буде організовано розслідування, а також яку стратегію слідчий обере для досягнення своїх цілей.</w:t>
      </w:r>
    </w:p>
    <w:p w14:paraId="499A0A8A" w14:textId="77777777" w:rsidR="00532C25" w:rsidRPr="00511005" w:rsidRDefault="00532C25" w:rsidP="00532C25">
      <w:pPr>
        <w:spacing w:line="264" w:lineRule="auto"/>
        <w:ind w:firstLine="525"/>
        <w:rPr>
          <w:rFonts w:ascii="Arial" w:eastAsia="Times New Roman" w:hAnsi="Arial" w:cs="Arial"/>
          <w:szCs w:val="28"/>
        </w:rPr>
      </w:pPr>
      <w:r w:rsidRPr="00511005">
        <w:rPr>
          <w:rFonts w:ascii="Arial" w:eastAsia="Calibri" w:hAnsi="Arial" w:cs="Arial"/>
          <w:szCs w:val="28"/>
        </w:rPr>
        <w:t>Версія в кримінальному розслідуванні - це попереднє припущення, яке ґрунтується на наявних фактах та обставинах, що підлягають встановленню, і яке в подальшому перевіряється через збирання доказів. Встановлення цих обставин дозволяє слідчому побудувати різні варіанти розвитку події, які потребують подальшої перевірки [3, c. 118].</w:t>
      </w:r>
    </w:p>
    <w:p w14:paraId="35932819" w14:textId="77777777" w:rsidR="00532C25" w:rsidRPr="00511005" w:rsidRDefault="00532C25" w:rsidP="00532C25">
      <w:pPr>
        <w:spacing w:line="264" w:lineRule="auto"/>
        <w:ind w:firstLine="525"/>
        <w:rPr>
          <w:rFonts w:ascii="Arial" w:eastAsia="Times New Roman" w:hAnsi="Arial" w:cs="Arial"/>
          <w:szCs w:val="28"/>
        </w:rPr>
      </w:pPr>
      <w:r w:rsidRPr="00511005">
        <w:rPr>
          <w:rFonts w:ascii="Arial" w:eastAsia="Times New Roman" w:hAnsi="Arial" w:cs="Arial"/>
          <w:szCs w:val="28"/>
        </w:rPr>
        <w:t>Обставини, що підлягають встановленню, є фундаментом кримінального розслідування, оскільки вони визначають межі та напрямок слідчих дій. Це комплекс фактів, необхідних для всебічного та об'єктивного з'ясування обставин злочину, від яких залежить не лише встановлення вини особи, а й правильна кваліфікація діяння.</w:t>
      </w:r>
    </w:p>
    <w:p w14:paraId="69762A5C" w14:textId="77777777" w:rsidR="00532C25" w:rsidRPr="00511005" w:rsidRDefault="00532C25" w:rsidP="00532C25">
      <w:pPr>
        <w:spacing w:line="264" w:lineRule="auto"/>
        <w:ind w:firstLine="525"/>
        <w:rPr>
          <w:rFonts w:ascii="Arial" w:eastAsia="Times New Roman" w:hAnsi="Arial" w:cs="Arial"/>
          <w:szCs w:val="28"/>
        </w:rPr>
      </w:pPr>
      <w:r w:rsidRPr="00511005">
        <w:rPr>
          <w:rFonts w:ascii="Arial" w:eastAsia="Times New Roman" w:hAnsi="Arial" w:cs="Arial"/>
          <w:szCs w:val="28"/>
        </w:rPr>
        <w:t>Від повноти та якості встановлення обставин залежить законність та обґрунтованість судового рішення, а також забезпечення прав та інтересів потерпілих.</w:t>
      </w:r>
    </w:p>
    <w:p w14:paraId="7543FF1C" w14:textId="77777777" w:rsidR="00532C25" w:rsidRPr="00511005" w:rsidRDefault="00532C25" w:rsidP="00532C25">
      <w:pPr>
        <w:spacing w:line="264" w:lineRule="auto"/>
        <w:ind w:firstLine="0"/>
        <w:rPr>
          <w:rFonts w:ascii="Arial" w:eastAsia="Times New Roman" w:hAnsi="Arial" w:cs="Arial"/>
          <w:szCs w:val="28"/>
        </w:rPr>
      </w:pPr>
    </w:p>
    <w:p w14:paraId="4C9EC065" w14:textId="77777777" w:rsidR="00532C25" w:rsidRPr="00511005" w:rsidRDefault="00532C25" w:rsidP="003F6A5D">
      <w:pPr>
        <w:numPr>
          <w:ilvl w:val="0"/>
          <w:numId w:val="608"/>
        </w:numPr>
        <w:spacing w:line="264" w:lineRule="auto"/>
        <w:ind w:left="0" w:firstLine="72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0147B9D6"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lastRenderedPageBreak/>
        <w:t>1.</w:t>
      </w:r>
      <w:r w:rsidRPr="00511005">
        <w:rPr>
          <w:rFonts w:ascii="Arial" w:eastAsia="Times New Roman" w:hAnsi="Arial" w:cs="Arial"/>
          <w:szCs w:val="28"/>
          <w:lang w:eastAsia="ru-RU"/>
        </w:rPr>
        <w:t xml:space="preserve"> Погорецький М.А. Теорія відбиття та її значення для пізнання обставин злочину. Юрид. психологія та педагогіка: наук. журнал. К.: Київ. нац. ун-т внутр. справ, 2010. № 1(7). С. 71</w:t>
      </w:r>
    </w:p>
    <w:p w14:paraId="37B103B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2. Криміналістика в слайдах. В. І. Галаган, Ж. В. Удовенко, В. А. Шкелебей, Т.П. Яцик. </w:t>
      </w:r>
      <w:proofErr w:type="gramStart"/>
      <w:r w:rsidRPr="00511005">
        <w:rPr>
          <w:rFonts w:ascii="Arial" w:eastAsia="Times New Roman" w:hAnsi="Arial" w:cs="Arial"/>
          <w:szCs w:val="28"/>
          <w:lang w:eastAsia="ru-RU"/>
        </w:rPr>
        <w:t>Київ :</w:t>
      </w:r>
      <w:proofErr w:type="gramEnd"/>
      <w:r w:rsidRPr="00511005">
        <w:rPr>
          <w:rFonts w:ascii="Arial" w:eastAsia="Times New Roman" w:hAnsi="Arial" w:cs="Arial"/>
          <w:szCs w:val="28"/>
          <w:lang w:eastAsia="ru-RU"/>
        </w:rPr>
        <w:t xml:space="preserve"> НаУКМА, 2021.1090 с.</w:t>
      </w:r>
    </w:p>
    <w:p w14:paraId="1CE91798" w14:textId="77777777" w:rsidR="00532C25" w:rsidRPr="00511005" w:rsidRDefault="00532C25" w:rsidP="00532C25">
      <w:pPr>
        <w:tabs>
          <w:tab w:val="left" w:pos="426"/>
          <w:tab w:val="left" w:pos="851"/>
          <w:tab w:val="left" w:pos="993"/>
          <w:tab w:val="left" w:pos="1134"/>
        </w:tabs>
        <w:spacing w:line="264" w:lineRule="auto"/>
        <w:ind w:firstLine="720"/>
        <w:rPr>
          <w:rFonts w:ascii="Arial" w:eastAsia="Calibri" w:hAnsi="Arial" w:cs="Arial"/>
          <w:szCs w:val="28"/>
        </w:rPr>
      </w:pPr>
      <w:r w:rsidRPr="00511005">
        <w:rPr>
          <w:rFonts w:ascii="Arial" w:eastAsia="Times New Roman" w:hAnsi="Arial" w:cs="Arial"/>
          <w:szCs w:val="28"/>
        </w:rPr>
        <w:t>3.</w:t>
      </w:r>
      <w:r w:rsidRPr="00511005">
        <w:rPr>
          <w:rFonts w:ascii="Arial" w:eastAsia="Calibri" w:hAnsi="Arial" w:cs="Arial"/>
          <w:szCs w:val="28"/>
        </w:rPr>
        <w:t xml:space="preserve"> </w:t>
      </w:r>
      <w:r w:rsidRPr="00511005">
        <w:rPr>
          <w:rFonts w:ascii="Arial" w:eastAsia="Times New Roman" w:hAnsi="Arial" w:cs="Arial"/>
          <w:szCs w:val="28"/>
          <w:shd w:val="clear" w:color="auto" w:fill="FFFFFF"/>
        </w:rPr>
        <w:t>Жерж, Н. А., and М. Є. Дирдін. "Слідчі ситуації та типові криміналістичні версії щодо особи злочинця при розслідуванні окремих насильницьких злочинів." </w:t>
      </w:r>
      <w:r w:rsidRPr="00511005">
        <w:rPr>
          <w:rFonts w:ascii="Arial" w:eastAsia="Times New Roman" w:hAnsi="Arial" w:cs="Arial"/>
          <w:i/>
          <w:iCs/>
          <w:szCs w:val="28"/>
        </w:rPr>
        <w:t>Науковий вісник Ужгородського національного університету. Серія: Право</w:t>
      </w:r>
      <w:r w:rsidRPr="00511005">
        <w:rPr>
          <w:rFonts w:ascii="Arial" w:eastAsia="Times New Roman" w:hAnsi="Arial" w:cs="Arial"/>
          <w:szCs w:val="28"/>
          <w:shd w:val="clear" w:color="auto" w:fill="FFFFFF"/>
        </w:rPr>
        <w:t> 32 (3) (2015): 117-121.</w:t>
      </w:r>
    </w:p>
    <w:p w14:paraId="353AEE6C" w14:textId="77777777" w:rsidR="00532C25" w:rsidRPr="00511005" w:rsidRDefault="00532C25" w:rsidP="00532C25">
      <w:pPr>
        <w:autoSpaceDE w:val="0"/>
        <w:autoSpaceDN w:val="0"/>
        <w:adjustRightInd w:val="0"/>
        <w:spacing w:line="264" w:lineRule="auto"/>
        <w:ind w:firstLine="720"/>
        <w:rPr>
          <w:rFonts w:ascii="Arial" w:eastAsia="Times New Roman" w:hAnsi="Arial" w:cs="Arial"/>
          <w:b/>
          <w:bCs/>
          <w:szCs w:val="28"/>
          <w:lang w:eastAsia="ru-RU"/>
        </w:rPr>
      </w:pPr>
    </w:p>
    <w:p w14:paraId="30D974A9" w14:textId="77777777" w:rsidR="00532C25" w:rsidRPr="00511005" w:rsidRDefault="00532C25" w:rsidP="00532C25">
      <w:pPr>
        <w:spacing w:line="264" w:lineRule="auto"/>
        <w:ind w:firstLine="72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Pr="00511005">
        <w:rPr>
          <w:rFonts w:ascii="Arial" w:eastAsia="Times New Roman" w:hAnsi="Arial" w:cs="Arial"/>
          <w:szCs w:val="28"/>
          <w:lang w:val="uk-UA" w:eastAsia="uk-UA"/>
        </w:rPr>
        <w:t>обставини, що підлягають встановленню, кримінальне правопорушення, злочин , злочинець, розслідування , версії .</w:t>
      </w:r>
    </w:p>
    <w:p w14:paraId="215D3F8D" w14:textId="77777777" w:rsidR="00532C25" w:rsidRPr="00511005" w:rsidRDefault="00532C25" w:rsidP="00532C25">
      <w:pPr>
        <w:spacing w:line="264" w:lineRule="auto"/>
        <w:ind w:firstLine="720"/>
        <w:rPr>
          <w:rFonts w:ascii="Arial" w:eastAsia="Times New Roman" w:hAnsi="Arial" w:cs="Arial"/>
          <w:szCs w:val="28"/>
          <w:lang w:val="en-GB" w:eastAsia="uk-UA"/>
        </w:rPr>
      </w:pPr>
      <w:r w:rsidRPr="00511005">
        <w:rPr>
          <w:rFonts w:ascii="Arial" w:eastAsia="Times New Roman" w:hAnsi="Arial" w:cs="Arial"/>
          <w:b/>
          <w:bCs/>
          <w:i/>
          <w:szCs w:val="28"/>
          <w:lang w:val="uk-UA" w:eastAsia="uk-UA"/>
        </w:rPr>
        <w:t xml:space="preserve">Key words: </w:t>
      </w:r>
      <w:r w:rsidRPr="00511005">
        <w:rPr>
          <w:rFonts w:ascii="Arial" w:eastAsia="Times New Roman" w:hAnsi="Arial" w:cs="Arial"/>
          <w:szCs w:val="28"/>
          <w:lang w:val="en-GB" w:eastAsia="uk-UA"/>
        </w:rPr>
        <w:t>c</w:t>
      </w:r>
      <w:r w:rsidRPr="00511005">
        <w:rPr>
          <w:rFonts w:ascii="Arial" w:eastAsia="Times New Roman" w:hAnsi="Arial" w:cs="Arial"/>
          <w:szCs w:val="28"/>
          <w:lang w:val="uk-UA" w:eastAsia="uk-UA"/>
        </w:rPr>
        <w:t>ircumstances to be established, criminal offense, crime, criminal, investigation, versions</w:t>
      </w:r>
      <w:r w:rsidRPr="00511005">
        <w:rPr>
          <w:rFonts w:ascii="Arial" w:eastAsia="Times New Roman" w:hAnsi="Arial" w:cs="Arial"/>
          <w:szCs w:val="28"/>
          <w:lang w:val="en-GB" w:eastAsia="uk-UA"/>
        </w:rPr>
        <w:t>.</w:t>
      </w:r>
    </w:p>
    <w:p w14:paraId="115BDAFE" w14:textId="77777777" w:rsidR="00532C25" w:rsidRPr="00511005" w:rsidRDefault="00532C25" w:rsidP="00532C25">
      <w:pPr>
        <w:spacing w:line="264" w:lineRule="auto"/>
        <w:ind w:firstLine="720"/>
        <w:jc w:val="left"/>
        <w:rPr>
          <w:rFonts w:ascii="Arial" w:eastAsia="Calibri" w:hAnsi="Arial" w:cs="Arial"/>
          <w:szCs w:val="28"/>
        </w:rPr>
      </w:pPr>
      <w:r w:rsidRPr="00511005">
        <w:rPr>
          <w:rFonts w:ascii="Arial" w:eastAsia="Calibri" w:hAnsi="Arial" w:cs="Arial"/>
          <w:b/>
          <w:i/>
          <w:iCs/>
          <w:szCs w:val="28"/>
        </w:rPr>
        <w:t xml:space="preserve">Науковий керівник: </w:t>
      </w:r>
      <w:r w:rsidRPr="00511005">
        <w:rPr>
          <w:rFonts w:ascii="Arial" w:eastAsia="Calibri" w:hAnsi="Arial" w:cs="Arial"/>
          <w:bCs/>
          <w:i/>
          <w:iCs/>
          <w:szCs w:val="28"/>
        </w:rPr>
        <w:t>к.ю.н., доцент Гресь Ю.О.</w:t>
      </w:r>
    </w:p>
    <w:p w14:paraId="0BED02CA" w14:textId="77777777" w:rsidR="00532C25" w:rsidRPr="00511005" w:rsidRDefault="00532C25" w:rsidP="00532C25">
      <w:pPr>
        <w:spacing w:line="264" w:lineRule="auto"/>
        <w:ind w:firstLine="720"/>
        <w:jc w:val="left"/>
        <w:rPr>
          <w:rFonts w:ascii="Arial" w:eastAsia="Calibri" w:hAnsi="Arial" w:cs="Arial"/>
          <w:b/>
          <w:szCs w:val="28"/>
        </w:rPr>
      </w:pPr>
    </w:p>
    <w:p w14:paraId="1E90C1EC"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i/>
          <w:szCs w:val="28"/>
          <w:lang w:val="uk-UA" w:eastAsia="ru-RU" w:bidi="uk-UA"/>
        </w:rPr>
      </w:pPr>
    </w:p>
    <w:p w14:paraId="326C399A"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i/>
          <w:szCs w:val="28"/>
          <w:lang w:val="uk-UA" w:eastAsia="ru-RU" w:bidi="uk-UA"/>
        </w:rPr>
      </w:pPr>
      <w:r w:rsidRPr="00511005">
        <w:rPr>
          <w:rFonts w:ascii="Arial" w:eastAsia="Times New Roman" w:hAnsi="Arial" w:cs="Arial"/>
          <w:b/>
          <w:i/>
          <w:szCs w:val="28"/>
          <w:lang w:val="uk-UA" w:eastAsia="ru-RU" w:bidi="uk-UA"/>
        </w:rPr>
        <w:t>Оглу Рані Володимирівна</w:t>
      </w:r>
    </w:p>
    <w:p w14:paraId="7CEA8BA1"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iCs/>
          <w:szCs w:val="28"/>
          <w:lang w:val="uk-UA" w:eastAsia="ru-RU" w:bidi="uk-UA"/>
        </w:rPr>
      </w:pPr>
      <w:r w:rsidRPr="00511005">
        <w:rPr>
          <w:rFonts w:ascii="Arial" w:eastAsia="Times New Roman" w:hAnsi="Arial" w:cs="Arial"/>
          <w:iCs/>
          <w:szCs w:val="28"/>
          <w:lang w:val="uk-UA" w:eastAsia="ru-RU" w:bidi="uk-UA"/>
        </w:rPr>
        <w:t xml:space="preserve">студентка 1-го курсу магістратури факультету судового та міжнародного права </w:t>
      </w:r>
    </w:p>
    <w:p w14:paraId="4CFB92A7"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iCs/>
          <w:szCs w:val="28"/>
          <w:lang w:val="uk-UA" w:eastAsia="ru-RU" w:bidi="uk-UA"/>
        </w:rPr>
      </w:pPr>
      <w:r w:rsidRPr="00511005">
        <w:rPr>
          <w:rFonts w:ascii="Arial" w:eastAsia="Times New Roman" w:hAnsi="Arial" w:cs="Arial"/>
          <w:iCs/>
          <w:szCs w:val="28"/>
          <w:lang w:val="uk-UA" w:eastAsia="ru-RU" w:bidi="uk-UA"/>
        </w:rPr>
        <w:t>Національного університету «Одеська юридична академія»</w:t>
      </w:r>
    </w:p>
    <w:p w14:paraId="6A35F18C"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i/>
          <w:szCs w:val="28"/>
          <w:lang w:val="uk-UA" w:eastAsia="ru-RU" w:bidi="uk-UA"/>
        </w:rPr>
      </w:pPr>
    </w:p>
    <w:p w14:paraId="328082BE"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b/>
          <w:szCs w:val="28"/>
          <w:lang w:val="uk-UA" w:eastAsia="ru-RU" w:bidi="uk-UA"/>
        </w:rPr>
      </w:pPr>
      <w:r w:rsidRPr="00511005">
        <w:rPr>
          <w:rFonts w:ascii="Arial" w:eastAsia="Times New Roman" w:hAnsi="Arial" w:cs="Arial"/>
          <w:b/>
          <w:szCs w:val="28"/>
          <w:lang w:val="uk-UA" w:eastAsia="ru-RU" w:bidi="uk-UA"/>
        </w:rPr>
        <w:t>СПІВРОБІТНИЦТВО З МІЖНАРОДНИМИ СУДОВИМИ ІНСТИТУЦІЯМИ У РОЗСЛІДУВАННІ ВІЙСЬКОВИХ ЗЛОЧИНІВ</w:t>
      </w:r>
    </w:p>
    <w:p w14:paraId="072488AC"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Російська агресія на території України активізувала питання співпраці та координації зусиль нашої держави з іншими державами на рівні міжнародних судових установ та організацій задля забезпечення прав та інтересів у кримінальному процесі. Таке співробітництво є важливим для забезпечення швидкого та повного збирання доказів вчинення на території України міжнародних злочинів, можливостей для подальшого використання їх у судових процесах, та загалом для забезпечення прав та інтересів учасників кримінального провадження [1, с. 547]. Особливої актуальності ця тема набула для України після початку широкомасштабної збройної агресії Російської Федерації у 2022 році, внаслідок якої тисячі цивільних осіб стали жертвами порушень міжнародного права, включаючи воєнні злочини, злочини проти людяності та можливі акти геноциду. У такій ситуації співпраця з міжнародними судовими інституціями стає критично важливою для встановлення істини, притягнення винних до відповідальності та захисту прав постраждалих </w:t>
      </w:r>
    </w:p>
    <w:p w14:paraId="1F9BD334"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Однією з ключових інституцій у цій сфері є Міжнародний кримінальний суд (МКС), створений Римським статутом 1998 року. Хоча Україна не є повноцінною державою-учасницею Статуту, вона визнала юрисдикцію МКС </w:t>
      </w:r>
      <w:r w:rsidRPr="00511005">
        <w:rPr>
          <w:rFonts w:ascii="Arial" w:eastAsia="Times New Roman" w:hAnsi="Arial" w:cs="Arial"/>
          <w:szCs w:val="28"/>
          <w:lang w:val="uk-UA" w:eastAsia="ru-RU" w:bidi="uk-UA"/>
        </w:rPr>
        <w:lastRenderedPageBreak/>
        <w:t>щодо злочинів, скоєних на її території після 2014 року, що дозволяє суду проводити розслідування. У березні 2023 року МКС видав ордер на арешт президента Росії Володимира Путіна у справі про незаконну депортацію українських дітей, що стало історичним прецедентом і яскравим прикладом міжнародної судової взаємодії.</w:t>
      </w:r>
    </w:p>
    <w:p w14:paraId="38022584"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Крім МКС, Україна активно співпрацює з Європейським судом з прав людини (ЄСПЛ), який хоча і не є кримінальною інституцією, однак розглядає справи про порушення прав людини, включаючи ті, що сталися внаслідок збройного конфлікту. Українські державні органи, зокрема Офіс Генерального прокурора, Міністерство юстиції та Національна поліція, щоденно фіксують докази воєнних злочинів для подальшої передачі до міжнародних партнерів і використання в судових процесах. У 2023 році в Україні запрацював Об’єднаний центр з розслідування воєнних злочинів, який функціонує у тісній координації з МКС, Євроюстом, Інтерполом та іншими структурами.</w:t>
      </w:r>
    </w:p>
    <w:p w14:paraId="45661890"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На рівні нормативно-правового забезпечення Україна здійснює важливі кроки для гармонізації національного законодавства з міжнародними стандартами. Зокрема, Верховна Рада України у 2021 році ухвалила закон про внесення змін до Кримінального кодексу щодо воєнних злочинів, який розширив категорії діянь, що визнаються злочинами проти основ міжнародного гуманітарного права, та передбачив більш чіткі механізми їх розслідування. Водночас залишається проблема імплементації норм Римського статуту до національного законодавства в повному обсязі, що є передумовою для повноцінної інтеграції у систему міжнародного кримінального правосуддя. 25 серпня 2024 року України ратифікувала Римський статут. Однак до кінцевої ратифікації та імплементації Римського статуту до національного законодавства необхідно усунення законодавчих колізій, які пов’язані з Висновком КСУ, шляхом внесення змін в низку національних нормативно-правових актів, чітке визначення та розмежування національної юрисдикції та юрисдикції МКС в розрізі воєнних та інших міжнародних злочинів, які вчиняються на території України [2, с. 536].</w:t>
      </w:r>
    </w:p>
    <w:p w14:paraId="78C91D75"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Надзвичайно важливою є також роль міжнародної спільноти у наданні технічної, експертної та ресурсної підтримки українським слідчим і прокурорам. Багато країн ЄС, а також США, Канада, Велика Британія направили своїх експертів і допомагають в зборі доказів, роботі судово-медичних груп, створенні баз даних та цифровій фіксації злочинів. Завдяки такій співпраці вдалося задокументувати тисячі випадків вбивств, тортур, сексуального насильства, руйнувань цивільної інфраструктури, які можуть стати доказами в міжнародних кримінальних провадженнях.</w:t>
      </w:r>
    </w:p>
    <w:p w14:paraId="567C06D7"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Таким чином, співробітництво з міжнародними судовими інституціями є невід’ємною складовою розслідування воєнних злочинів, скоєних на </w:t>
      </w:r>
      <w:r w:rsidRPr="00511005">
        <w:rPr>
          <w:rFonts w:ascii="Arial" w:eastAsia="Times New Roman" w:hAnsi="Arial" w:cs="Arial"/>
          <w:szCs w:val="28"/>
          <w:lang w:val="uk-UA" w:eastAsia="ru-RU" w:bidi="uk-UA"/>
        </w:rPr>
        <w:lastRenderedPageBreak/>
        <w:t>території України. Його ефективність базується на політичній волі держави, правовій сумісності внутрішнього законодавства з міжнародними стандартами та широкій підтримці міжнародної спільноти. Це співробітництво не лише сприяє покаранню винних, але й формує основу для відновлення справедливості, гарантування не повторення таких злочинів у майбутньому та зміцнення міжнародного правопорядку.</w:t>
      </w:r>
    </w:p>
    <w:p w14:paraId="6F1F5153"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p>
    <w:p w14:paraId="1F7FDA96" w14:textId="77777777" w:rsidR="00532C25" w:rsidRPr="00511005" w:rsidRDefault="00532C25" w:rsidP="00532C25">
      <w:pPr>
        <w:widowControl w:val="0"/>
        <w:tabs>
          <w:tab w:val="left" w:pos="7088"/>
        </w:tabs>
        <w:autoSpaceDE w:val="0"/>
        <w:autoSpaceDN w:val="0"/>
        <w:adjustRightInd w:val="0"/>
        <w:spacing w:line="264" w:lineRule="auto"/>
        <w:ind w:firstLine="720"/>
        <w:jc w:val="center"/>
        <w:rPr>
          <w:rFonts w:ascii="Arial" w:eastAsia="Times New Roman" w:hAnsi="Arial" w:cs="Arial"/>
          <w:szCs w:val="28"/>
          <w:lang w:val="uk-UA" w:eastAsia="ru-RU" w:bidi="uk-UA"/>
        </w:rPr>
      </w:pPr>
      <w:r w:rsidRPr="00511005">
        <w:rPr>
          <w:rFonts w:ascii="Arial" w:eastAsia="Times New Roman" w:hAnsi="Arial" w:cs="Arial"/>
          <w:b/>
          <w:bCs/>
          <w:szCs w:val="28"/>
          <w:lang w:val="uk-UA" w:eastAsia="ru-RU" w:bidi="uk-UA"/>
        </w:rPr>
        <w:t>Список використаних джерел</w:t>
      </w:r>
    </w:p>
    <w:p w14:paraId="06F162AB" w14:textId="77777777" w:rsidR="00532C25" w:rsidRPr="00511005" w:rsidRDefault="00532C25" w:rsidP="003F6A5D">
      <w:pPr>
        <w:widowControl w:val="0"/>
        <w:numPr>
          <w:ilvl w:val="0"/>
          <w:numId w:val="668"/>
        </w:numPr>
        <w:tabs>
          <w:tab w:val="left" w:pos="1080"/>
        </w:tabs>
        <w:autoSpaceDE w:val="0"/>
        <w:autoSpaceDN w:val="0"/>
        <w:adjustRightInd w:val="0"/>
        <w:spacing w:line="264" w:lineRule="auto"/>
        <w:ind w:left="0" w:firstLine="720"/>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Ляховецький С. О. Кримінально-процесуальні основи співробітництва України з міжнародними судовими установами. </w:t>
      </w:r>
      <w:r w:rsidRPr="00511005">
        <w:rPr>
          <w:rFonts w:ascii="Arial" w:eastAsia="Times New Roman" w:hAnsi="Arial" w:cs="Arial"/>
          <w:i/>
          <w:szCs w:val="28"/>
          <w:lang w:val="uk-UA" w:eastAsia="ru-RU" w:bidi="uk-UA"/>
        </w:rPr>
        <w:t>Юридичний науковий електронний журнал</w:t>
      </w:r>
      <w:r w:rsidRPr="00511005">
        <w:rPr>
          <w:rFonts w:ascii="Arial" w:eastAsia="Times New Roman" w:hAnsi="Arial" w:cs="Arial"/>
          <w:szCs w:val="28"/>
          <w:lang w:val="uk-UA" w:eastAsia="ru-RU" w:bidi="uk-UA"/>
        </w:rPr>
        <w:t>. 2023. № 1. С. 547-549.</w:t>
      </w:r>
      <w:r w:rsidRPr="00511005">
        <w:rPr>
          <w:rFonts w:ascii="Arial" w:eastAsia="Times New Roman" w:hAnsi="Arial" w:cs="Arial"/>
          <w:szCs w:val="28"/>
          <w:lang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bidi="uk-UA"/>
        </w:rPr>
        <w:t>http://www.lsej.org.ua/11_2023/134.pdf</w:t>
      </w:r>
    </w:p>
    <w:p w14:paraId="7562FA1B" w14:textId="77777777" w:rsidR="00532C25" w:rsidRPr="00511005" w:rsidRDefault="00532C25" w:rsidP="003F6A5D">
      <w:pPr>
        <w:widowControl w:val="0"/>
        <w:numPr>
          <w:ilvl w:val="0"/>
          <w:numId w:val="668"/>
        </w:numPr>
        <w:tabs>
          <w:tab w:val="left" w:pos="1080"/>
        </w:tabs>
        <w:autoSpaceDE w:val="0"/>
        <w:autoSpaceDN w:val="0"/>
        <w:adjustRightInd w:val="0"/>
        <w:spacing w:line="264" w:lineRule="auto"/>
        <w:ind w:left="0" w:firstLine="720"/>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Тимофєєв А. О. Проблемні аспекти імплементації Римського Статуту Міжнародного кримінального суду в Україні.</w:t>
      </w:r>
      <w:r w:rsidRPr="00511005">
        <w:rPr>
          <w:rFonts w:ascii="Arial" w:eastAsia="Times New Roman" w:hAnsi="Arial" w:cs="Arial"/>
          <w:szCs w:val="28"/>
          <w:lang w:eastAsia="ru-RU"/>
        </w:rPr>
        <w:t xml:space="preserve"> </w:t>
      </w:r>
      <w:r w:rsidRPr="00511005">
        <w:rPr>
          <w:rFonts w:ascii="Arial" w:eastAsia="Times New Roman" w:hAnsi="Arial" w:cs="Arial"/>
          <w:i/>
          <w:szCs w:val="28"/>
          <w:lang w:val="uk-UA" w:eastAsia="ru-RU" w:bidi="uk-UA"/>
        </w:rPr>
        <w:t xml:space="preserve">Юридичний науковий електронний журнал. </w:t>
      </w:r>
      <w:r w:rsidRPr="00511005">
        <w:rPr>
          <w:rFonts w:ascii="Arial" w:eastAsia="Times New Roman" w:hAnsi="Arial" w:cs="Arial"/>
          <w:szCs w:val="28"/>
          <w:lang w:val="uk-UA" w:eastAsia="ru-RU" w:bidi="uk-UA"/>
        </w:rPr>
        <w:t xml:space="preserve">2024. № 10. С. 534-536.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bidi="uk-UA"/>
        </w:rPr>
        <w:t>http://lsej.org.ua/10_2024/126.pdf</w:t>
      </w:r>
    </w:p>
    <w:p w14:paraId="7121E2A7"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p>
    <w:p w14:paraId="3C0122D2"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uk-UA" w:eastAsia="ru-RU" w:bidi="uk-UA"/>
        </w:rPr>
      </w:pPr>
      <w:r w:rsidRPr="00511005">
        <w:rPr>
          <w:rFonts w:ascii="Arial" w:eastAsia="Times New Roman" w:hAnsi="Arial" w:cs="Arial"/>
          <w:b/>
          <w:i/>
          <w:iCs/>
          <w:szCs w:val="28"/>
          <w:lang w:val="uk-UA" w:eastAsia="ru-RU" w:bidi="uk-UA"/>
        </w:rPr>
        <w:t xml:space="preserve">Ключові слова: </w:t>
      </w:r>
      <w:r w:rsidRPr="00511005">
        <w:rPr>
          <w:rFonts w:ascii="Arial" w:eastAsia="Times New Roman" w:hAnsi="Arial" w:cs="Arial"/>
          <w:szCs w:val="28"/>
          <w:lang w:val="uk-UA" w:eastAsia="ru-RU" w:bidi="uk-UA"/>
        </w:rPr>
        <w:t>міжнародне співробітництво, міжнародна підтримка, гармонізація законодавства, воєнні злочини, збройна агресія, міжнародна спільнота.</w:t>
      </w:r>
    </w:p>
    <w:p w14:paraId="12A19966" w14:textId="77777777" w:rsidR="00532C25" w:rsidRPr="00511005" w:rsidRDefault="00532C25" w:rsidP="00532C25">
      <w:pPr>
        <w:widowControl w:val="0"/>
        <w:tabs>
          <w:tab w:val="left" w:pos="7088"/>
        </w:tabs>
        <w:autoSpaceDE w:val="0"/>
        <w:autoSpaceDN w:val="0"/>
        <w:adjustRightInd w:val="0"/>
        <w:spacing w:line="264" w:lineRule="auto"/>
        <w:ind w:firstLine="720"/>
        <w:rPr>
          <w:rFonts w:ascii="Arial" w:eastAsia="Times New Roman" w:hAnsi="Arial" w:cs="Arial"/>
          <w:szCs w:val="28"/>
          <w:lang w:val="en-US" w:eastAsia="ru-RU" w:bidi="uk-UA"/>
        </w:rPr>
      </w:pPr>
      <w:r w:rsidRPr="00511005">
        <w:rPr>
          <w:rFonts w:ascii="Arial" w:eastAsia="Times New Roman" w:hAnsi="Arial" w:cs="Arial"/>
          <w:b/>
          <w:i/>
          <w:iCs/>
          <w:szCs w:val="28"/>
          <w:lang w:val="en-US" w:eastAsia="ru-RU" w:bidi="uk-UA"/>
        </w:rPr>
        <w:t xml:space="preserve">Key words: </w:t>
      </w:r>
      <w:r w:rsidRPr="00511005">
        <w:rPr>
          <w:rFonts w:ascii="Arial" w:eastAsia="Times New Roman" w:hAnsi="Arial" w:cs="Arial"/>
          <w:szCs w:val="28"/>
          <w:lang w:val="en-US" w:eastAsia="ru-RU" w:bidi="uk-UA"/>
        </w:rPr>
        <w:t>international cooperation, international support, harmonization of legislation, war crimes, armed aggression, international community.</w:t>
      </w:r>
    </w:p>
    <w:p w14:paraId="5C869FFD" w14:textId="77777777" w:rsidR="00532C25" w:rsidRPr="00511005" w:rsidRDefault="00532C25" w:rsidP="00532C25">
      <w:pPr>
        <w:widowControl w:val="0"/>
        <w:tabs>
          <w:tab w:val="left" w:pos="993"/>
          <w:tab w:val="left" w:pos="7088"/>
        </w:tabs>
        <w:autoSpaceDE w:val="0"/>
        <w:autoSpaceDN w:val="0"/>
        <w:adjustRightInd w:val="0"/>
        <w:spacing w:line="264" w:lineRule="auto"/>
        <w:ind w:firstLine="720"/>
        <w:rPr>
          <w:rFonts w:ascii="Arial" w:eastAsia="Times New Roman" w:hAnsi="Arial" w:cs="Arial"/>
          <w:bCs/>
          <w:i/>
          <w:szCs w:val="28"/>
          <w:lang w:val="uk-UA" w:eastAsia="ru-RU" w:bidi="uk-UA"/>
        </w:rPr>
      </w:pPr>
      <w:r w:rsidRPr="00511005">
        <w:rPr>
          <w:rFonts w:ascii="Arial" w:eastAsia="Times New Roman" w:hAnsi="Arial" w:cs="Arial"/>
          <w:b/>
          <w:bCs/>
          <w:i/>
          <w:iCs/>
          <w:szCs w:val="28"/>
          <w:lang w:val="uk-UA" w:eastAsia="ru-RU" w:bidi="uk-UA"/>
        </w:rPr>
        <w:t xml:space="preserve">Науковий керівник: </w:t>
      </w:r>
      <w:r w:rsidRPr="00511005">
        <w:rPr>
          <w:rFonts w:ascii="Arial" w:eastAsia="Times New Roman" w:hAnsi="Arial" w:cs="Arial"/>
          <w:bCs/>
          <w:i/>
          <w:iCs/>
          <w:szCs w:val="28"/>
          <w:lang w:val="uk-UA" w:eastAsia="ru-RU" w:bidi="uk-UA"/>
        </w:rPr>
        <w:t>к.ю.н., доцент Шершенькова В.А.</w:t>
      </w:r>
    </w:p>
    <w:p w14:paraId="33B4A71F" w14:textId="77777777" w:rsidR="00532C25" w:rsidRPr="00511005" w:rsidRDefault="00532C25" w:rsidP="00532C25">
      <w:pPr>
        <w:widowControl w:val="0"/>
        <w:tabs>
          <w:tab w:val="left" w:pos="993"/>
          <w:tab w:val="left" w:pos="7088"/>
        </w:tabs>
        <w:autoSpaceDE w:val="0"/>
        <w:autoSpaceDN w:val="0"/>
        <w:adjustRightInd w:val="0"/>
        <w:spacing w:line="264" w:lineRule="auto"/>
        <w:ind w:firstLine="720"/>
        <w:rPr>
          <w:rFonts w:ascii="Arial" w:eastAsia="Times New Roman" w:hAnsi="Arial" w:cs="Arial"/>
          <w:bCs/>
          <w:szCs w:val="28"/>
          <w:lang w:val="uk-UA" w:eastAsia="ru-RU" w:bidi="uk-UA"/>
        </w:rPr>
      </w:pPr>
    </w:p>
    <w:p w14:paraId="347C0D8E" w14:textId="77777777" w:rsidR="00532C25" w:rsidRPr="00511005" w:rsidRDefault="00532C25" w:rsidP="00532C25">
      <w:pPr>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Омельченко Анна Сергіївна</w:t>
      </w:r>
    </w:p>
    <w:p w14:paraId="1620CA65"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1-го курсу магістратури факультету судового та міжнародного права</w:t>
      </w:r>
    </w:p>
    <w:p w14:paraId="030134F3"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605900DA" w14:textId="77777777" w:rsidR="00532C25" w:rsidRPr="00511005" w:rsidRDefault="00532C25" w:rsidP="00532C25">
      <w:pPr>
        <w:spacing w:line="264" w:lineRule="auto"/>
        <w:ind w:firstLine="720"/>
        <w:jc w:val="center"/>
        <w:rPr>
          <w:rFonts w:ascii="Arial" w:eastAsia="Calibri" w:hAnsi="Arial" w:cs="Arial"/>
          <w:b/>
          <w:szCs w:val="28"/>
          <w:lang w:val="uk-UA"/>
        </w:rPr>
      </w:pPr>
    </w:p>
    <w:p w14:paraId="51829C57" w14:textId="77777777" w:rsidR="00532C25" w:rsidRPr="00511005" w:rsidRDefault="00532C25" w:rsidP="00532C25">
      <w:pPr>
        <w:spacing w:line="264" w:lineRule="auto"/>
        <w:ind w:firstLine="720"/>
        <w:jc w:val="center"/>
        <w:rPr>
          <w:rFonts w:ascii="Arial" w:eastAsia="Calibri" w:hAnsi="Arial" w:cs="Arial"/>
          <w:b/>
          <w:caps/>
          <w:szCs w:val="28"/>
          <w:lang w:val="uk-UA"/>
        </w:rPr>
      </w:pPr>
      <w:r w:rsidRPr="00511005">
        <w:rPr>
          <w:rFonts w:ascii="Arial" w:eastAsia="Calibri" w:hAnsi="Arial" w:cs="Arial"/>
          <w:b/>
          <w:caps/>
          <w:szCs w:val="28"/>
          <w:lang w:val="uk-UA"/>
        </w:rPr>
        <w:t>Ухилення від мобілізації та військової служби: проблеми кваліфікації та досудового розслідування</w:t>
      </w:r>
    </w:p>
    <w:p w14:paraId="1AB48AB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Відповідно до статті 17 Конституції України, «захист державного суверенітету і територіальної цілісності України, забезпечення її економічної та інформаційної безпеки є найважливішими функціями держави, справою всього Українського народу» [1]. Цей конституційний припис набув особливого значення в умовах повномасштабної військової агресії Російської Федерації проти України. Мобілізаційна система, призов, військовий облік та загальна підготовка до захисту держави стали невід’ємними елементами механізму забезпечення національної безпеки. Серед особливо резонансних тем останніх років залишається ухилення громадян від обов’язку захищати Батьківщину. ЗМІ регулярно повідомляють про факти незаконного перетину кордону, використання підроблених </w:t>
      </w:r>
      <w:r w:rsidRPr="00511005">
        <w:rPr>
          <w:rFonts w:ascii="Arial" w:eastAsia="Calibri" w:hAnsi="Arial" w:cs="Arial"/>
          <w:szCs w:val="28"/>
          <w:lang w:val="uk-UA"/>
        </w:rPr>
        <w:lastRenderedPageBreak/>
        <w:t>документів або інші дії, спрямовані на уникнення призову. Суспільство реагує на це неоднозначно: від емпатії до жорсткого засудження, що лише підкреслює напругу довкола проблеми.</w:t>
      </w:r>
    </w:p>
    <w:p w14:paraId="1B3AC23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Постійні зміни законодавства, посилення санкцій, запровадження нових процедур призову на військову службу свідчать про спробу держави впорядкувати цю сферу. Водночас з 2014 року почастішали випадки порушення проваджень за ст. 336 Кримінального кодексу України – «Ухилення від призову за мобілізацією». У зв’язку з цим питання правильної правової кваліфікації таких дій та ефективного проведення досудового розслідування є особливо актуальним.</w:t>
      </w:r>
    </w:p>
    <w:p w14:paraId="383A4845" w14:textId="77777777" w:rsidR="00532C25" w:rsidRPr="00511005" w:rsidRDefault="00532C25" w:rsidP="00532C25">
      <w:pPr>
        <w:spacing w:line="264" w:lineRule="auto"/>
        <w:ind w:firstLine="720"/>
        <w:rPr>
          <w:rFonts w:ascii="Arial" w:eastAsia="Calibri" w:hAnsi="Arial" w:cs="Arial"/>
          <w:iCs/>
          <w:szCs w:val="28"/>
          <w:lang w:val="uk-UA"/>
        </w:rPr>
      </w:pPr>
      <w:r w:rsidRPr="00511005">
        <w:rPr>
          <w:rFonts w:ascii="Arial" w:eastAsia="Calibri" w:hAnsi="Arial" w:cs="Arial"/>
          <w:szCs w:val="28"/>
          <w:lang w:val="uk-UA"/>
        </w:rPr>
        <w:t xml:space="preserve">У чинній редакції норма ст. 336 КК України є стислою і передбачає: </w:t>
      </w:r>
      <w:r w:rsidRPr="00511005">
        <w:rPr>
          <w:rFonts w:ascii="Arial" w:eastAsia="Calibri" w:hAnsi="Arial" w:cs="Arial"/>
          <w:iCs/>
          <w:szCs w:val="28"/>
          <w:lang w:val="uk-UA"/>
        </w:rPr>
        <w:t>«Ухилення від призову на військову службу під час мобілізації, на особливий період, на військову службу за призовом осіб із числа резервістів в особливий період – карається позбавленням волі на строк від трьох до п’яти років» [3]</w:t>
      </w:r>
      <w:r w:rsidRPr="00511005">
        <w:rPr>
          <w:rFonts w:ascii="Arial" w:eastAsia="Calibri" w:hAnsi="Arial" w:cs="Arial"/>
          <w:szCs w:val="28"/>
          <w:lang w:val="uk-UA"/>
        </w:rPr>
        <w:t>. Аналізуючи її, можна виокремити чотири елементи складу злочину. Об’єктом виступають суспільні відносини, що забезпечують належне функціонування Збройних Сил України в умовах особливого періоду, а також порядок організації оборони держави. Додатковим обов’язковим об’єктом є встановлений правопорядок комплектування української армії (інших формувань) [7, с. 7].</w:t>
      </w:r>
    </w:p>
    <w:p w14:paraId="2EF35C0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Об’єктивна сторона має формальний характер – злочин вважається закінченим із моменту виникнення факту ухилення, незалежно від тривалості. Ухилення може проявлятися як у діях (наприклад, використання фальшивих медичних довідок), так і в бездіяльності (неявка до ТЦК та СП без поважних причин). Такий злочин є триваючим – тобто стан ухилення триває до моменту добровільної явки або затримання. Також, об'єктивна сторона характеризується тим, що даний злочин може вчинятись як шляхом дії, так і бездіяльності [5, с. 10].</w:t>
      </w:r>
    </w:p>
    <w:p w14:paraId="491F488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Суб’єкт злочину – спеціальний: військовозобов’язана особа, що є осудною та досягла відповідного віку. Це можуть бути як чоловіки, так і жінки, якщо останні мають медичну або споріднену військову спеціальність, придатні за віком і станом здоров’я.</w:t>
      </w:r>
    </w:p>
    <w:p w14:paraId="502E027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Слід враховувати положення ст. 23 Закону України «Про мобілізаційну підготовку та мобілізацію» [4], яка визначає категорії громадян, що мають право на відстрочку – це важливий фактор при кваліфікації діяння.</w:t>
      </w:r>
    </w:p>
    <w:p w14:paraId="102060A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Стадія досудового розслідування відіграє ключову роль у кримінальному провадженні щодо ухилення від мобілізації, адже саме на цьому збираються докази, визначається коло осіб, причетних до правопорушення, а також формуються підстави для подальшого судового розгляду. Проте у процесі розслідування таких злочинів виникає низка актуальних і системних проблем.</w:t>
      </w:r>
    </w:p>
    <w:p w14:paraId="4528919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Насамперед, слід зазначити, що типовою є проблема доведення прямого умислу особи на ухилення. Досить часто слідству важко підтвердити, що обвинувачений свідомо не з’явився до територіального центру комплектування, а не мав на це об’єктивних причин, наприклад, через стан здоров’я або неналежне повідомлення. При цьому, згідно з пунктом 3 частини першої статті 91 КПК України, доказуванню підлягає «форма вини, мотив та мета вчинення кримінального правопорушення» [2], що зобов’язує слідчого зосередитися не лише на фіксації самого факту ухилення, а й на збиранні доказів, які підтверджують наявність прямого умислу особи. Водночас складнощів додає той факт, що повістки нерідко не вручаються офіційно або не фіксується факт ознайомлення з ними особи, що створює підстави для сумнівів у правовій кваліфікації. Це суперечить частині першій статті 137 КПК України, яка зобов’язує забезпечити належне повідомлення особи про виклик, зокрема із зазначенням дати, часу, місця, найменування органу, до якого викликається особа, а також правових наслідків неявки без поважних причин [2].</w:t>
      </w:r>
    </w:p>
    <w:p w14:paraId="40669DD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Також значні ускладнення виникають у випадках, коли особи змінюють місце проживання, виїжджають за кордон або навмисно переховуються від органів державної влади. Це унеможливлює проведення необхідних процесуальних дій, зокрема допиту, вручення повідомлення про підозру чи обрання запобіжного заходу. Крім того, органи досудового розслідування часто діють формально: кримінальні провадження відкриваються лише на підставі рапортів працівників ТЦК або інших письмових звернень без попередньої перевірки обставин, що свідчить про поверхневий підхід до правозастосування.</w:t>
      </w:r>
    </w:p>
    <w:p w14:paraId="3BC2BD6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Ще однією серйозною проблемою є порушення прав підозрюваних. У ряді випадків запобіжні заходи, зокрема тримання під вартою, застосовуються без належного обґрунтування, що суперечить принципам змагальності процесу та презумпції невинуватості. З боку захисту регулярно висуваються аргументи про недостатність доказів, що підтверджують наявність умислу або належність особи до категорії військовозобов’язаних.</w:t>
      </w:r>
    </w:p>
    <w:p w14:paraId="38E86F3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Крім того, слід відзначити технічні та організаційні труднощі, з якими стикаються слідчі органи. Низький рівень цифровізації обліку військовозобов’язаних осіб, відсутність єдиної електронної бази мобілізаційного ресурсу та недостатня координація між ТЦК, Національною поліцією, СБУ та прикордонною службою значно знижують ефективність розслідувань. Це ускладнює обмін інформацією та своєчасне реагування на виявлення ухилянтів.</w:t>
      </w:r>
    </w:p>
    <w:p w14:paraId="47FF21D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У судовій практиці спостерігається проблема кваліфікації дій осіб, які сприяють ухиленню від призову. Наприклад, створення каналів у месенджерах для розміщення інформації про вручення повісток або складання завідомо неправдивих офіційних документів може бути </w:t>
      </w:r>
      <w:r w:rsidRPr="00511005">
        <w:rPr>
          <w:rFonts w:ascii="Arial" w:eastAsia="Calibri" w:hAnsi="Arial" w:cs="Arial"/>
          <w:szCs w:val="28"/>
          <w:lang w:val="uk-UA"/>
        </w:rPr>
        <w:lastRenderedPageBreak/>
        <w:t xml:space="preserve">кваліфіковано за ст. 114-1 КК України як перешкоджання законній діяльності Збройних Сил України. Однак такі дії можуть також підпадати під ст. 336 КК України як співучасть в ухиленні від призову [6]. </w:t>
      </w:r>
    </w:p>
    <w:p w14:paraId="21C209E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Окремо варто вказати на складність у правовому розмежуванні складів злочинів. На практиці виникає чимало питань щодо того, як правильно кваліфікувати дії особи: як ухилення від мобілізації (ст. 336 ККУ), як самовільне залишення військової частини (ст. 407 ККУ) чи як дезертирство (ст. 408 ККУ). Нечіткість законодавчих формулювань ускладнює точну правову оцінку та нерідко призводить до оскарження обвинувачення у судовому порядку.</w:t>
      </w:r>
    </w:p>
    <w:p w14:paraId="2C03944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Отже, ефективне розслідування злочинів, пов’язаних з ухиленням від мобілізації, потребує системного підходу, як у частині законодавчого вдосконалення, так і в забезпеченні належної координації між усіма залученими органами.</w:t>
      </w:r>
    </w:p>
    <w:p w14:paraId="205B3C36" w14:textId="77777777" w:rsidR="00532C25" w:rsidRPr="00511005" w:rsidRDefault="00532C25" w:rsidP="00532C25">
      <w:pPr>
        <w:spacing w:line="264" w:lineRule="auto"/>
        <w:ind w:firstLine="720"/>
        <w:jc w:val="center"/>
        <w:rPr>
          <w:rFonts w:ascii="Arial" w:eastAsia="Calibri" w:hAnsi="Arial" w:cs="Arial"/>
          <w:b/>
          <w:szCs w:val="28"/>
          <w:lang w:val="uk-UA"/>
        </w:rPr>
      </w:pPr>
    </w:p>
    <w:p w14:paraId="672198BD"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0EED828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1. Конституція України: Закон України від 28 червня 1996 р. URL:</w:t>
      </w:r>
      <w:r w:rsidRPr="00511005">
        <w:rPr>
          <w:rFonts w:ascii="Arial" w:eastAsia="Calibri" w:hAnsi="Arial" w:cs="Arial"/>
          <w:szCs w:val="28"/>
        </w:rPr>
        <w:t xml:space="preserve"> </w:t>
      </w:r>
      <w:r w:rsidRPr="00511005">
        <w:rPr>
          <w:rFonts w:ascii="Arial" w:eastAsia="Calibri" w:hAnsi="Arial" w:cs="Arial"/>
          <w:szCs w:val="28"/>
          <w:lang w:val="uk-UA"/>
        </w:rPr>
        <w:t>https://zakon.rada.gov.ua/laws/show/254%D0%BA/96-%D0%B2%D1%80#Text</w:t>
      </w:r>
    </w:p>
    <w:p w14:paraId="48B6005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2. Кримінальний процесуальний кодекс України: Закон України від 13.04.2012 р. URL: </w:t>
      </w:r>
      <w:hyperlink r:id="rId2006" w:history="1">
        <w:r w:rsidRPr="00511005">
          <w:rPr>
            <w:rFonts w:ascii="Arial" w:eastAsia="Calibri" w:hAnsi="Arial" w:cs="Arial"/>
            <w:szCs w:val="28"/>
            <w:lang w:val="uk-UA"/>
          </w:rPr>
          <w:t>https://zakon.rada.gov.ua/go/4651-17</w:t>
        </w:r>
      </w:hyperlink>
      <w:r w:rsidRPr="00511005">
        <w:rPr>
          <w:rFonts w:ascii="Arial" w:eastAsia="Calibri" w:hAnsi="Arial" w:cs="Arial"/>
          <w:szCs w:val="28"/>
          <w:lang w:val="uk-UA"/>
        </w:rPr>
        <w:t xml:space="preserve"> (дата звернення: 29.04.2025).</w:t>
      </w:r>
    </w:p>
    <w:p w14:paraId="0936D38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3. Кримінальний кодекс України: Закон України від 05.04.2001 р. URL: https://zakon.rada.gov.ua/laws/show/2341-14#n2335 (дата звернення: 29.04.2025).</w:t>
      </w:r>
    </w:p>
    <w:p w14:paraId="175DD36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4. Про мобілізаційну підготовку та мобілізацію: Закон України від 21 жовтня 1993 р. URL: https://zakon.rada.gov.ua/laws/show/3543-12#Text (дата звернення: 27.04.2025).</w:t>
      </w:r>
    </w:p>
    <w:p w14:paraId="0584362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5. Александрова А. Ю. Кримінальна відповідальність за ухилення від призову за мобілізацією: автореф. дис. … канд. юрид. наук: 12.00.08. Дніпро, 2018. 19 с. URL: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dduvs</w:instrText>
      </w:r>
      <w:r w:rsidR="005938AD" w:rsidRPr="00055389">
        <w:rPr>
          <w:lang w:val="uk-UA"/>
        </w:rPr>
        <w:instrText>.</w:instrText>
      </w:r>
      <w:r w:rsidR="005938AD">
        <w:instrText>edu</w:instrText>
      </w:r>
      <w:r w:rsidR="005938AD" w:rsidRPr="00055389">
        <w:rPr>
          <w:lang w:val="uk-UA"/>
        </w:rPr>
        <w:instrText>.</w:instrText>
      </w:r>
      <w:r w:rsidR="005938AD">
        <w:instrText>ua</w:instrText>
      </w:r>
      <w:r w:rsidR="005938AD" w:rsidRPr="00055389">
        <w:rPr>
          <w:lang w:val="uk-UA"/>
        </w:rPr>
        <w:instrText>/</w:instrText>
      </w:r>
      <w:r w:rsidR="005938AD">
        <w:instrText>wp</w:instrText>
      </w:r>
      <w:r w:rsidR="005938AD" w:rsidRPr="00055389">
        <w:rPr>
          <w:lang w:val="uk-UA"/>
        </w:rPr>
        <w:instrText>-</w:instrText>
      </w:r>
      <w:r w:rsidR="005938AD">
        <w:instrText>content</w:instrText>
      </w:r>
      <w:r w:rsidR="005938AD" w:rsidRPr="00055389">
        <w:rPr>
          <w:lang w:val="uk-UA"/>
        </w:rPr>
        <w:instrText>/</w:instrText>
      </w:r>
      <w:r w:rsidR="005938AD">
        <w:instrText>uploads</w:instrText>
      </w:r>
      <w:r w:rsidR="005938AD" w:rsidRPr="00055389">
        <w:rPr>
          <w:lang w:val="uk-UA"/>
        </w:rPr>
        <w:instrText>/</w:instrText>
      </w:r>
      <w:r w:rsidR="005938AD">
        <w:instrText>files</w:instrText>
      </w:r>
      <w:r w:rsidR="005938AD" w:rsidRPr="00055389">
        <w:rPr>
          <w:lang w:val="uk-UA"/>
        </w:rPr>
        <w:instrText>/</w:instrText>
      </w:r>
      <w:r w:rsidR="005938AD">
        <w:instrText>Structure</w:instrText>
      </w:r>
      <w:r w:rsidR="005938AD" w:rsidRPr="00055389">
        <w:rPr>
          <w:lang w:val="uk-UA"/>
        </w:rPr>
        <w:instrText>/</w:instrText>
      </w:r>
      <w:r w:rsidR="005938AD">
        <w:instrText>science</w:instrText>
      </w:r>
      <w:r w:rsidR="005938AD" w:rsidRPr="00055389">
        <w:rPr>
          <w:lang w:val="uk-UA"/>
        </w:rPr>
        <w:instrText>/</w:instrText>
      </w:r>
      <w:r w:rsidR="005938AD">
        <w:instrText>rada</w:instrText>
      </w:r>
      <w:r w:rsidR="005938AD" w:rsidRPr="00055389">
        <w:rPr>
          <w:lang w:val="uk-UA"/>
        </w:rPr>
        <w:instrText>/</w:instrText>
      </w:r>
      <w:r w:rsidR="005938AD">
        <w:instrText>k</w:instrText>
      </w:r>
      <w:r w:rsidR="005938AD" w:rsidRPr="00055389">
        <w:rPr>
          <w:lang w:val="uk-UA"/>
        </w:rPr>
        <w:instrText>2/</w:instrText>
      </w:r>
      <w:r w:rsidR="005938AD">
        <w:instrText>auto</w:instrText>
      </w:r>
      <w:r w:rsidR="005938AD" w:rsidRPr="00055389">
        <w:rPr>
          <w:lang w:val="uk-UA"/>
        </w:rPr>
        <w:instrText>/6/1.</w:instrText>
      </w:r>
      <w:r w:rsidR="005938AD">
        <w:instrText>pdf</w:instrText>
      </w:r>
      <w:r w:rsidR="005938AD" w:rsidRPr="00055389">
        <w:rPr>
          <w:lang w:val="uk-UA"/>
        </w:rPr>
        <w:instrText xml:space="preserve">" </w:instrText>
      </w:r>
      <w:r w:rsidR="005938AD">
        <w:fldChar w:fldCharType="separate"/>
      </w:r>
      <w:r w:rsidRPr="00511005">
        <w:rPr>
          <w:rFonts w:ascii="Arial" w:eastAsia="Calibri" w:hAnsi="Arial" w:cs="Arial"/>
          <w:szCs w:val="28"/>
          <w:lang w:val="uk-UA"/>
        </w:rPr>
        <w:t>https://dduvs.edu.ua/wp-content/uploads/files/Structure/science/rada/k2/auto/6/1.pdf</w:t>
      </w:r>
      <w:r w:rsidR="005938AD">
        <w:rPr>
          <w:rFonts w:ascii="Arial" w:eastAsia="Calibri" w:hAnsi="Arial" w:cs="Arial"/>
          <w:szCs w:val="28"/>
          <w:lang w:val="uk-UA"/>
        </w:rPr>
        <w:fldChar w:fldCharType="end"/>
      </w:r>
      <w:r w:rsidRPr="00511005">
        <w:rPr>
          <w:rFonts w:ascii="Arial" w:eastAsia="Calibri" w:hAnsi="Arial" w:cs="Arial"/>
          <w:szCs w:val="28"/>
          <w:lang w:val="uk-UA"/>
        </w:rPr>
        <w:t xml:space="preserve"> </w:t>
      </w:r>
    </w:p>
    <w:p w14:paraId="3C1ECCFD" w14:textId="77777777" w:rsidR="00532C25" w:rsidRPr="00511005" w:rsidRDefault="00532C25" w:rsidP="00532C25">
      <w:pPr>
        <w:spacing w:line="264" w:lineRule="auto"/>
        <w:ind w:firstLine="720"/>
        <w:rPr>
          <w:rFonts w:ascii="Arial" w:eastAsia="Calibri" w:hAnsi="Arial" w:cs="Arial"/>
          <w:bCs/>
          <w:szCs w:val="28"/>
          <w:lang w:val="uk-UA"/>
        </w:rPr>
      </w:pPr>
      <w:r w:rsidRPr="00511005">
        <w:rPr>
          <w:rFonts w:ascii="Arial" w:eastAsia="Calibri" w:hAnsi="Arial" w:cs="Arial"/>
          <w:szCs w:val="28"/>
          <w:lang w:val="uk-UA"/>
        </w:rPr>
        <w:t xml:space="preserve">6. Стецюк С.С. </w:t>
      </w:r>
      <w:r w:rsidRPr="00511005">
        <w:rPr>
          <w:rFonts w:ascii="Arial" w:eastAsia="Calibri" w:hAnsi="Arial" w:cs="Arial"/>
          <w:bCs/>
          <w:szCs w:val="28"/>
          <w:lang w:val="uk-UA"/>
        </w:rPr>
        <w:t xml:space="preserve">Перешкоджання законній діяльності Збройних Сил України та інших військових формувань VS співучасть в ухиленні від призову на військову службу під час мобілізації: проблеми кваліфікації в судовій практиці. </w:t>
      </w:r>
      <w:r w:rsidRPr="00511005">
        <w:rPr>
          <w:rFonts w:ascii="Arial" w:eastAsia="Calibri" w:hAnsi="Arial" w:cs="Arial"/>
          <w:bCs/>
          <w:i/>
          <w:szCs w:val="28"/>
          <w:lang w:val="uk-UA"/>
        </w:rPr>
        <w:t>Аналітично-порівняльне правознавство</w:t>
      </w:r>
      <w:r w:rsidRPr="00511005">
        <w:rPr>
          <w:rFonts w:ascii="Arial" w:eastAsia="Calibri" w:hAnsi="Arial" w:cs="Arial"/>
          <w:bCs/>
          <w:szCs w:val="28"/>
          <w:lang w:val="uk-UA"/>
        </w:rPr>
        <w:t>. 2024. № 5. С. 757-764.</w:t>
      </w:r>
      <w:r w:rsidRPr="00511005">
        <w:rPr>
          <w:rFonts w:ascii="Arial" w:eastAsia="Calibri" w:hAnsi="Arial" w:cs="Arial"/>
          <w:szCs w:val="28"/>
          <w:lang w:val="uk-UA"/>
        </w:rPr>
        <w:t xml:space="preserve"> URL: </w:t>
      </w:r>
      <w:r w:rsidRPr="00511005">
        <w:rPr>
          <w:rFonts w:ascii="Arial" w:eastAsia="Calibri" w:hAnsi="Arial" w:cs="Arial"/>
          <w:bCs/>
          <w:szCs w:val="28"/>
          <w:lang w:val="uk-UA"/>
        </w:rPr>
        <w:t>http://journal-app.uzhnu.edu.ua/article/view/313166/304201</w:t>
      </w:r>
    </w:p>
    <w:p w14:paraId="04AAD6B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7. Ухилення від призову за мобілізацією / укл.: І. М. Коропатнік, М. А. Микитюк, О. О. Павлюк, С. В. Пєтков. Київ: ВД «Професіонал», 2023. 486 с. URL: </w:t>
      </w:r>
      <w:hyperlink r:id="rId2007" w:history="1">
        <w:r w:rsidRPr="00511005">
          <w:rPr>
            <w:rFonts w:ascii="Arial" w:eastAsia="Calibri" w:hAnsi="Arial" w:cs="Arial"/>
            <w:szCs w:val="28"/>
            <w:lang w:val="uk-UA"/>
          </w:rPr>
          <w:t>https://jurkniga.ua/contents/ukhilennya-vid-prizovu-za-mobilizatsiieyu_1.pdf?srsltid=AfmBOopd-mTzL2GHLdoFPMsoZRVGtctVqY0RMOQ-IqU9cKrvRRiWUR9S</w:t>
        </w:r>
      </w:hyperlink>
    </w:p>
    <w:p w14:paraId="28FACA12" w14:textId="77777777" w:rsidR="00532C25" w:rsidRPr="00511005" w:rsidRDefault="00532C25" w:rsidP="00532C25">
      <w:pPr>
        <w:spacing w:line="264" w:lineRule="auto"/>
        <w:ind w:firstLine="720"/>
        <w:rPr>
          <w:rFonts w:ascii="Arial" w:eastAsia="Calibri" w:hAnsi="Arial" w:cs="Arial"/>
          <w:b/>
          <w:szCs w:val="28"/>
          <w:lang w:val="uk-UA"/>
        </w:rPr>
      </w:pPr>
    </w:p>
    <w:p w14:paraId="3826EDD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lastRenderedPageBreak/>
        <w:t xml:space="preserve">Ключові слова: </w:t>
      </w:r>
      <w:r w:rsidRPr="00511005">
        <w:rPr>
          <w:rFonts w:ascii="Arial" w:eastAsia="Calibri" w:hAnsi="Arial" w:cs="Arial"/>
          <w:szCs w:val="28"/>
          <w:lang w:val="uk-UA"/>
        </w:rPr>
        <w:t>мобілізація, військова служба, призов, досудове розслідування.</w:t>
      </w:r>
    </w:p>
    <w:p w14:paraId="487FB1D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Key words: </w:t>
      </w:r>
      <w:r w:rsidRPr="00511005">
        <w:rPr>
          <w:rFonts w:ascii="Arial" w:eastAsia="Calibri" w:hAnsi="Arial" w:cs="Arial"/>
          <w:szCs w:val="28"/>
          <w:lang w:val="uk-UA"/>
        </w:rPr>
        <w:t>mobilization, military service, draft, pre-trial investigation.</w:t>
      </w:r>
    </w:p>
    <w:p w14:paraId="65D56ECC" w14:textId="77777777" w:rsidR="00532C25" w:rsidRPr="00511005" w:rsidRDefault="00532C25" w:rsidP="00532C25">
      <w:pPr>
        <w:keepNext/>
        <w:spacing w:line="264" w:lineRule="auto"/>
        <w:ind w:firstLine="720"/>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Pr="00511005">
        <w:rPr>
          <w:rFonts w:ascii="Arial" w:eastAsia="Times New Roman" w:hAnsi="Arial" w:cs="Arial"/>
          <w:bCs/>
          <w:i/>
          <w:iCs/>
          <w:szCs w:val="28"/>
          <w:lang w:val="uk-UA" w:eastAsia="ru-RU"/>
        </w:rPr>
        <w:t>к.ю.н., доцент Шершенькова В.А.</w:t>
      </w:r>
    </w:p>
    <w:p w14:paraId="48087A13" w14:textId="77777777" w:rsidR="00532C25" w:rsidRPr="00511005" w:rsidRDefault="00532C25" w:rsidP="00532C25">
      <w:pPr>
        <w:spacing w:line="264" w:lineRule="auto"/>
        <w:ind w:firstLine="720"/>
        <w:jc w:val="left"/>
        <w:rPr>
          <w:rFonts w:ascii="Arial" w:eastAsia="Times New Roman" w:hAnsi="Arial" w:cs="Arial"/>
          <w:bCs/>
          <w:i/>
          <w:iCs/>
          <w:szCs w:val="28"/>
          <w:lang w:val="uk-UA" w:eastAsia="ru-RU"/>
        </w:rPr>
      </w:pPr>
    </w:p>
    <w:p w14:paraId="08400F4F" w14:textId="77777777" w:rsidR="00532C25" w:rsidRPr="00511005" w:rsidRDefault="00532C25" w:rsidP="00532C25">
      <w:pPr>
        <w:tabs>
          <w:tab w:val="left" w:pos="7088"/>
        </w:tabs>
        <w:spacing w:line="264" w:lineRule="auto"/>
        <w:ind w:firstLine="0"/>
        <w:jc w:val="center"/>
        <w:rPr>
          <w:rFonts w:ascii="Arial" w:eastAsia="Calibri" w:hAnsi="Arial" w:cs="Arial"/>
          <w:b/>
          <w:i/>
          <w:iCs/>
          <w:szCs w:val="28"/>
          <w:shd w:val="clear" w:color="auto" w:fill="FFFFFF"/>
          <w:lang w:val="uk-UA"/>
        </w:rPr>
      </w:pPr>
      <w:r w:rsidRPr="00511005">
        <w:rPr>
          <w:rFonts w:ascii="Arial" w:eastAsia="Calibri" w:hAnsi="Arial" w:cs="Arial"/>
          <w:b/>
          <w:i/>
          <w:iCs/>
          <w:szCs w:val="28"/>
          <w:shd w:val="clear" w:color="auto" w:fill="FFFFFF"/>
          <w:lang w:val="uk-UA"/>
        </w:rPr>
        <w:t>Островська Валерія Геннадіївна</w:t>
      </w:r>
    </w:p>
    <w:p w14:paraId="1C980C76"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1022DEA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4C3EFE7"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BD73ED9" w14:textId="77777777" w:rsidR="00532C25" w:rsidRPr="00511005" w:rsidRDefault="00532C25" w:rsidP="00532C25">
      <w:pPr>
        <w:tabs>
          <w:tab w:val="left" w:pos="7088"/>
        </w:tabs>
        <w:spacing w:line="264" w:lineRule="auto"/>
        <w:ind w:firstLine="0"/>
        <w:jc w:val="center"/>
        <w:rPr>
          <w:rFonts w:ascii="Arial" w:eastAsia="Calibri" w:hAnsi="Arial" w:cs="Arial"/>
          <w:b/>
          <w:szCs w:val="28"/>
          <w:shd w:val="clear" w:color="auto" w:fill="FFFFFF"/>
          <w:lang w:val="uk-UA"/>
        </w:rPr>
      </w:pPr>
    </w:p>
    <w:p w14:paraId="5B92BAB6" w14:textId="77777777" w:rsidR="00532C25" w:rsidRPr="00511005" w:rsidRDefault="00532C25" w:rsidP="00532C25">
      <w:pPr>
        <w:tabs>
          <w:tab w:val="left" w:pos="7088"/>
        </w:tabs>
        <w:spacing w:line="264" w:lineRule="auto"/>
        <w:ind w:firstLine="0"/>
        <w:jc w:val="center"/>
        <w:rPr>
          <w:rFonts w:ascii="Arial" w:eastAsia="Calibri" w:hAnsi="Arial" w:cs="Arial"/>
          <w:b/>
          <w:szCs w:val="28"/>
          <w:shd w:val="clear" w:color="auto" w:fill="FFFFFF"/>
          <w:lang w:val="uk-UA"/>
        </w:rPr>
      </w:pPr>
      <w:r w:rsidRPr="00511005">
        <w:rPr>
          <w:rFonts w:ascii="Arial" w:eastAsia="Calibri" w:hAnsi="Arial" w:cs="Arial"/>
          <w:b/>
          <w:szCs w:val="28"/>
          <w:shd w:val="clear" w:color="auto" w:fill="FFFFFF"/>
          <w:lang w:val="uk-UA"/>
        </w:rPr>
        <w:t>ЗАСТОСУВАННЯ OSINT-МЕТОДІВ У ВИКРИТТІ ВОЄННИХ ЗЛОЧИНІВ</w:t>
      </w:r>
    </w:p>
    <w:p w14:paraId="2711B495"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OSINT (Open Source Intelligence) – це метод збору та аналізу інформації з відкритих джерел, що включає в себе широкий спектр ресурсів, таких як Інтернет, публікації в засобах масової інформації, офіційні документи, соціальні медіа та інші доступні матеріали. Цей тип інтелектуальної діяльності набув особливої важливості в контексті сучасних безпекових викликів, оскільки відкриті джерела містять величезну кількість даних, що можуть бути використані для отримання критично важливої інформації про різні аспекти подій, включаючи військові конфлікти та порушення міжнародного права. Зокрема, OSINT може допомогти у виявленні та аналізі фактів, що стосуються воєнних злочинів, шляхом використання даних, які є доступними для громадськості.</w:t>
      </w:r>
    </w:p>
    <w:p w14:paraId="6D497126"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Принцип роботи OSINT полягає в тому, щоб за допомогою методів аналізу відкритої інформації на різних платформах та з різних джерел збирати релевантні дані. Це включає як вивчення текстів, так і відео, зображень та інших мультимедійних матеріалів, що можуть містити важливі докази. Важливою рисою OSINT є доступність джерел, що дозволяє будь-яким користувачам без спеціального дозволу або доступу до закритих баз даних отримувати інформацію, яка може бути використана для дослідження й аналізу. До основних інструментів для збору OSINT відносяться пошукові системи, спеціалізовані інструменти для аналізу даних у соціальних мережах, платформи для обробки зображень та відео, а також різні ресурси, що дозволяють відслідковувати географічне положення об'єктів на основі публічно доступних даних.</w:t>
      </w:r>
    </w:p>
    <w:p w14:paraId="3586A169"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 xml:space="preserve">Основними методами збору та аналізу OSINT є відкритий пошук в Інтернеті, моніторинг соціальних мереж, аналіз метаданих, а також використання географічних інформаційних систем (ГІС). Зокрема, відкритий пошук є базовим методом, що включає в себе пошук через загальнодоступні пошукові системи та доступ до веб-сайтів, публічних архівів і державних баз даних. Однак найбільш актуальним у контексті дослідження воєнних злочинів є моніторинг соціальних мереж, оскільки саме ці платформи часто стають місцем для публікації та обміну інформацією, яка має безпосереднє </w:t>
      </w:r>
      <w:r w:rsidRPr="00511005">
        <w:rPr>
          <w:rFonts w:ascii="Arial" w:eastAsia="Calibri" w:hAnsi="Arial" w:cs="Arial"/>
          <w:szCs w:val="28"/>
          <w:lang w:val="uk-UA"/>
        </w:rPr>
        <w:lastRenderedPageBreak/>
        <w:t>значення для міжнародного права і правосуддя. Наприклад, публікації в соціальних мережах можуть містити інформацію про факти, пов'язані з порушеннями гуманітарного права, війною та правами людини, що вимагають оперативного реагування з боку міжнародних організацій.</w:t>
      </w:r>
    </w:p>
    <w:p w14:paraId="08EB147C"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Моніторинг соціальних мереж має низку специфічних особливостей. Однією з ключових є необхідність врахування контексту публікацій та можливої маніпуляції інформацією. Багато користувачів інтернету можуть публікувати зображення, відео та новини, що не завжди мають достовірність. Тому важливим завданням у процесі аналізу є верифікація джерел та перевірка правдивості отриманої інформації. Це передбачає використання інструментів для аналізу метаданих файлів, перевірки координат геолокації, а також використання програмних засобів для порівняння та пошуку схожих контентів в інших джерелах [1].</w:t>
      </w:r>
    </w:p>
    <w:p w14:paraId="3D7D9CA2"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Географічні інформаційні системи також займають важливе місце в зборі та аналізі OSINT. Завдяки можливості відслідковувати конкретне місце розташування подій, а також використанню даних з супутників, ГІС дозволяють точно визначити координати місць, де відбуваються важливі події, такі як військові операції, атаки або руйнування, що можуть бути частиною воєнних злочинів. Зібрані дані дозволяють створювати карти для подальшого аналізу та доповідей, що можуть бути використані в судових справах або міжнародних розслідуваннях.</w:t>
      </w:r>
    </w:p>
    <w:p w14:paraId="16EEC68D"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Використання OSINT також дозволяє за допомогою спеціалізованих програмних продуктів і технологій здійснювати автоматичний збір даних, аналіз текстів і відео, що особливо важливо для швидкої реакції в умовах гібридних воєн та конфліктів. Оскільки воєнні злочини можуть здійснюватися в різних частинах світу і в різних формах, оперативний доступ до відкритих джерел дозволяє ефективно реагувати на виклики, що виникають під час активних бойових дій. Крім того, завдяки розвитку технологій, таких як штучний інтелект, аналіз даних став більш швидким і точним, що дозволяє здійснювати моніторинг у реальному часі.</w:t>
      </w:r>
    </w:p>
    <w:p w14:paraId="6143BE93"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Важливим аспектом є і правова сторона застосування OSINT. Оскільки збір інформації через відкриті джерела відбувається в межах доступних для громадськості ресурсів, важливо враховувати питання конфіденційності та прав людини. Інформація, отримана за допомогою OSINT, може бути використана для підтримки розслідувань міжнародними судами, правозахисними організаціями, а також державними органами для притягнення до відповідальності осіб, що скоїли воєнні злочини. Однак цей процес потребує чітких правових стандартів щодо верифікації даних та їх використання в судових розслідуваннях, щоб уникнути маніпуляцій чи підробок [3].</w:t>
      </w:r>
    </w:p>
    <w:p w14:paraId="7EF305CF"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 xml:space="preserve">Методи OSINT є надзвичайно важливими для викриття воєнних злочинів, оскільки вони дозволяють працювати з великими обсягами даних, </w:t>
      </w:r>
      <w:r w:rsidRPr="00511005">
        <w:rPr>
          <w:rFonts w:ascii="Arial" w:eastAsia="Calibri" w:hAnsi="Arial" w:cs="Arial"/>
          <w:szCs w:val="28"/>
          <w:lang w:val="uk-UA"/>
        </w:rPr>
        <w:lastRenderedPageBreak/>
        <w:t>отриманих з відкритих джерел. Однак, як і у будь-якому правовому контексті, необхідно забезпечити правову чистоту процесу збору та використання цих даних, щоб вони могли бути прийняті як доказ в міжнародних судах і сприяти встановленню справедливості.</w:t>
      </w:r>
    </w:p>
    <w:p w14:paraId="4C32D26E"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Використання методів OSINT для викриття воєнних злочинів є одним із ключових інструментів у сучасному розслідуванні порушень міжнародного гуманітарного права. Воєнні злочини, такі як вбивства мирних жителів, застосування заборонених видів зброї, знищення цивільної інфраструктури, можуть бути засвідчені за допомогою відкритих джерел, що дозволяє документувати злочини в реальному часі, здійснювати моніторинг і проводити ретельний аналіз для виявлення порушників та збору доказів.</w:t>
      </w:r>
    </w:p>
    <w:p w14:paraId="54BFA618"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Одним із основних аспектів застосування OSINT є можливість використовувати відкриті джерела інформації для збору доказів, які можуть бути використані в судових розслідуваннях, а також для підвищення прозорості й об'єктивності. Відкриті джерела включають в себе соціальні мережі, публікації в інтернет-ЗМІ, зображення та відео, що публікуються під час або після конфлікту. Завдяки цьому, OSINT дозволяє отримувати інформацію, яку в іншому випадку було б важко здобути за допомогою традиційних методів розслідування. У контексті воєнних злочинів, особливо під час конфліктів з використанням гібридних методів ведення війни, інформація, отримана через ці джерела, є неоціненною для виявлення злочинних дій.</w:t>
      </w:r>
    </w:p>
    <w:p w14:paraId="5753C248"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Одним з прикладів застосування OSINT для викриття воєнних злочинів є вивчення фотографій та відео, що публікуються на платформах соціальних медіа. Після будь-яких військових операцій або нападів на цивільні об'єкти, свідки можуть публікувати фотографії або відеозаписи, що фіксують самі події або наслідки цих нападів. Використовуючи методи аналізу таких матеріалів, можна визначити точні координати, дату та час події, а також виявити тип і характер руйнувань, що можуть свідчити про порушення гуманітарного права. Наприклад, в результаті таких розслідувань можна виявити, що була використана заборонена зброя, або що цивільні об'єкти були спеціально знищені, що є класичними ознаками воєнного злочину [2].</w:t>
      </w:r>
    </w:p>
    <w:p w14:paraId="43511CA6"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Застосування технологій для верифікації матеріалів є ключовим етапом у використанні OSINT в контексті воєнних злочинів. Верифікація даних допомагає уникнути маніпуляцій і фальшування інформації, що є особливо важливим у випадку відкритих джерел, де може бути значна кількість неправдивих або спотворених повідомлень. Верифікація включає перевірку метаданих зображень, таких як дата і час зйомки, географічне положення, а також порівняння з іншими джерелами інформації. Цей процес допомагає визначити, чи є конкретне зображення або відео автентичним і чи можна його використовувати в якості доказу в судових справах.</w:t>
      </w:r>
    </w:p>
    <w:p w14:paraId="19C4D3A4"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lastRenderedPageBreak/>
        <w:t>Ще одним важливим аспектом є використання географічних інформаційних систем (ГІС) для визначення точного місця події. ГІС дозволяють поєднувати дані з відкритих джерел, зокрема з супутникових зображень, для створення карт, що надають чітке уявлення про розташування воєнних дій, а також допомагають визначити ступінь руйнувань і наслідки військових операцій. Використовуючи ці інструменти, можна точно відстежити пересування військ, застосування зброї та інші дії, які можуть бути ознаками воєнних злочинів. Наприклад, за допомогою супутникових знімків можна виявити, чи були цивільні об'єкти, такі як лікарні або школи, цілеспрямовано зруйновані, що є явним порушенням міжнародних норм.</w:t>
      </w:r>
    </w:p>
    <w:p w14:paraId="2EF7EB0F"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Особливо важливою є роль соціальних мереж, таких як Twitter, Facebook, Instagram, у зборі даних, що можуть бути використані для викриття воєнних злочинів. В умовах конфлікту люди часто діляться свідченнями і публікують інформацію про те, що відбувається в їхніх регіонах, і ця інформація може бути важливою для документування фактів воєнних злочинів. Вони можуть публікувати відео та фото, що фіксують наслідки військових атак, знищення цивільних об'єктів або незаконне поводження з військовополоненими. Завдяки цим даним, можна збирати цінні докази для міжнародних правозахисних організацій і судів [5].</w:t>
      </w:r>
    </w:p>
    <w:p w14:paraId="780165ED"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Особливо значущими є також інтерпретація та аналіз контексту повідомлень у соціальних мережах, що потребує знання культурних та регіональних особливостей. Завдяки цьому можна зрозуміти, які саме дії були вчинені, і чи є вони частиною плану щодо порушення міжнародних норм. Наприклад, у певних випадках публікації в соціальних мережах можуть вказувати на систематичні дії, спрямовані на знищення культурних або релігійних груп, що є порушенням Конвенції про запобігання геноциду.</w:t>
      </w:r>
    </w:p>
    <w:p w14:paraId="68B0403D"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Іншим методом збору OSINT є використання даних з відкритих баз даних та публічних звітів від міжнародних організацій, таких як ООН, Міжнародний Комітет Червоного Хреста або правозахисні організації. Ці організації регулярно публікують звіти про порушення прав людини та гуманітарного права під час конфліктів, що можуть бути важливими джерелами для встановлення фактів воєнних злочинів. Оскільки ці звіти часто підготовлені на основі ґрунтовних досліджень і перевірених даних, вони можуть бути використані для підтримки розслідувань або в якості доказів у міжнародних судах.</w:t>
      </w:r>
    </w:p>
    <w:p w14:paraId="4C9D49D6"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 xml:space="preserve">Застосування методів OSINT дозволяє здійснювати ефективний моніторинг і документування воєнних злочинів, навіть у ситуаціях, коли традиційні методи розслідування обмежені через бойові дії або недоступність до зони конфлікту. Завдяки тому, що інформація з відкритих джерел доступна в реальному часі, організації та держави можуть оперативно реагувати на порушення прав людини, залучати міжнародні </w:t>
      </w:r>
      <w:r w:rsidRPr="00511005">
        <w:rPr>
          <w:rFonts w:ascii="Arial" w:eastAsia="Calibri" w:hAnsi="Arial" w:cs="Arial"/>
          <w:szCs w:val="28"/>
          <w:lang w:val="uk-UA"/>
        </w:rPr>
        <w:lastRenderedPageBreak/>
        <w:t>організації до процесу розслідування і, в разі необхідності, використовувати ці дані в юридичних процесах, щоб забезпечити правосуддя.</w:t>
      </w:r>
    </w:p>
    <w:p w14:paraId="4926833D" w14:textId="77777777" w:rsidR="00532C25" w:rsidRPr="00511005" w:rsidRDefault="00532C25" w:rsidP="00532C25">
      <w:pPr>
        <w:tabs>
          <w:tab w:val="left" w:pos="7088"/>
        </w:tabs>
        <w:spacing w:line="264" w:lineRule="auto"/>
        <w:rPr>
          <w:rFonts w:ascii="Arial" w:eastAsia="Calibri" w:hAnsi="Arial" w:cs="Arial"/>
          <w:szCs w:val="28"/>
          <w:lang w:val="uk-UA"/>
        </w:rPr>
      </w:pPr>
      <w:r w:rsidRPr="00511005">
        <w:rPr>
          <w:rFonts w:ascii="Arial" w:eastAsia="Calibri" w:hAnsi="Arial" w:cs="Arial"/>
          <w:szCs w:val="28"/>
          <w:lang w:val="uk-UA"/>
        </w:rPr>
        <w:t>Отже, використання OSINT-методів у викритті воєнних злочинів є потужним інструментом для збору доказів, перевірки фактів та документування порушень міжнародного права. Застосування цих методів вимагає уважності та дотримання правових норм, адже правильне трактування отриманих даних є запорукою їхнього ефективного використання в судових процесах і міжнародних розслідуваннях.</w:t>
      </w:r>
    </w:p>
    <w:p w14:paraId="65859599" w14:textId="77777777" w:rsidR="00532C25" w:rsidRPr="00511005" w:rsidRDefault="00532C25" w:rsidP="00532C25">
      <w:pPr>
        <w:spacing w:line="264" w:lineRule="auto"/>
        <w:ind w:firstLine="0"/>
        <w:jc w:val="center"/>
        <w:rPr>
          <w:rFonts w:ascii="Arial" w:eastAsia="Calibri" w:hAnsi="Arial" w:cs="Arial"/>
          <w:b/>
          <w:szCs w:val="28"/>
          <w:lang w:val="uk-UA" w:bidi="uk-UA"/>
        </w:rPr>
      </w:pPr>
    </w:p>
    <w:p w14:paraId="50C8F1A3" w14:textId="77777777" w:rsidR="00532C25" w:rsidRPr="00511005" w:rsidRDefault="00532C25" w:rsidP="00532C25">
      <w:pPr>
        <w:spacing w:line="264" w:lineRule="auto"/>
        <w:ind w:firstLine="0"/>
        <w:jc w:val="center"/>
        <w:rPr>
          <w:rFonts w:ascii="Arial" w:eastAsia="Calibri" w:hAnsi="Arial" w:cs="Arial"/>
          <w:b/>
          <w:szCs w:val="28"/>
          <w:lang w:val="uk-UA" w:bidi="uk-UA"/>
        </w:rPr>
      </w:pPr>
      <w:r w:rsidRPr="00511005">
        <w:rPr>
          <w:rFonts w:ascii="Arial" w:eastAsia="Calibri" w:hAnsi="Arial" w:cs="Arial"/>
          <w:b/>
          <w:szCs w:val="28"/>
          <w:lang w:val="uk-UA" w:bidi="uk-UA"/>
        </w:rPr>
        <w:t>Список використаних джерел</w:t>
      </w:r>
    </w:p>
    <w:p w14:paraId="47EAD900" w14:textId="77777777" w:rsidR="00532C25" w:rsidRPr="00511005" w:rsidRDefault="00532C25" w:rsidP="003F6A5D">
      <w:pPr>
        <w:widowControl w:val="0"/>
        <w:numPr>
          <w:ilvl w:val="0"/>
          <w:numId w:val="677"/>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
          <w:szCs w:val="28"/>
          <w:lang w:val="uk-UA" w:eastAsia="ru-RU"/>
        </w:rPr>
      </w:pPr>
      <w:r w:rsidRPr="00511005">
        <w:rPr>
          <w:rFonts w:ascii="Arial" w:eastAsia="Times New Roman" w:hAnsi="Arial" w:cs="Arial"/>
          <w:bCs/>
          <w:szCs w:val="28"/>
          <w:lang w:val="uk-UA" w:eastAsia="ru-RU" w:bidi="uk-UA"/>
        </w:rPr>
        <w:t xml:space="preserve">Торбас О. О. OSINT при розслідуванні кримінальних правопорушень : підручник. Одеса, 2024. 180 с. URL: </w:t>
      </w:r>
      <w:hyperlink r:id="rId2008" w:history="1">
        <w:r w:rsidRPr="00511005">
          <w:rPr>
            <w:rFonts w:ascii="Arial" w:eastAsia="Times New Roman" w:hAnsi="Arial" w:cs="Arial"/>
            <w:bCs/>
            <w:szCs w:val="28"/>
            <w:lang w:val="uk-UA" w:eastAsia="ru-RU" w:bidi="uk-UA"/>
          </w:rPr>
          <w:t>https://hdl.handle.net/11300/27740</w:t>
        </w:r>
      </w:hyperlink>
      <w:r w:rsidRPr="00511005">
        <w:rPr>
          <w:rFonts w:ascii="Arial" w:eastAsia="Times New Roman" w:hAnsi="Arial" w:cs="Arial"/>
          <w:bCs/>
          <w:szCs w:val="28"/>
          <w:lang w:val="uk-UA" w:eastAsia="ru-RU" w:bidi="uk-UA"/>
        </w:rPr>
        <w:t xml:space="preserve"> (дата звернення 25.04.2025 року)</w:t>
      </w:r>
    </w:p>
    <w:p w14:paraId="1793A63A" w14:textId="77777777" w:rsidR="00532C25" w:rsidRPr="00511005" w:rsidRDefault="00532C25" w:rsidP="003F6A5D">
      <w:pPr>
        <w:widowControl w:val="0"/>
        <w:numPr>
          <w:ilvl w:val="0"/>
          <w:numId w:val="677"/>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
          <w:szCs w:val="28"/>
          <w:lang w:val="uk-UA" w:eastAsia="ru-RU"/>
        </w:rPr>
      </w:pPr>
      <w:r w:rsidRPr="00511005">
        <w:rPr>
          <w:rFonts w:ascii="Arial" w:eastAsia="Times New Roman" w:hAnsi="Arial" w:cs="Arial"/>
          <w:szCs w:val="28"/>
          <w:lang w:val="uk-UA" w:eastAsia="ru-RU"/>
        </w:rPr>
        <w:t>Рябцева, Д. О. OSINT як засіб боротьби в російсько-українській війні. Протидія кіберзлочинності та торгівлі людьми : зб. матеріалів міжнар. наук.-практ. конф. (м. Вінниця, 31 трав. 2023 р.) / МВС України, Харків. нац. ун-т внутр. справ, Наук. парк «Наука та безпека». Вінниця : ХНУВС, 2023. С. 155-157.</w:t>
      </w:r>
      <w:r w:rsidRPr="00511005">
        <w:rPr>
          <w:rFonts w:ascii="Arial" w:eastAsia="Times New Roman" w:hAnsi="Arial" w:cs="Arial"/>
          <w:bCs/>
          <w:szCs w:val="28"/>
          <w:lang w:val="uk-UA" w:eastAsia="ru-RU" w:bidi="uk-UA"/>
        </w:rPr>
        <w:t xml:space="preserve"> URL:</w:t>
      </w:r>
      <w:r w:rsidRPr="00511005">
        <w:rPr>
          <w:rFonts w:ascii="Arial" w:eastAsia="Times New Roman" w:hAnsi="Arial" w:cs="Arial"/>
          <w:szCs w:val="28"/>
          <w:lang w:val="uk-UA" w:eastAsia="ru-RU"/>
        </w:rPr>
        <w:t xml:space="preserve"> </w:t>
      </w:r>
      <w:hyperlink r:id="rId2009" w:tgtFrame="_blank" w:history="1">
        <w:r w:rsidRPr="00511005">
          <w:rPr>
            <w:rFonts w:ascii="Arial" w:eastAsia="Times New Roman" w:hAnsi="Arial" w:cs="Arial"/>
            <w:szCs w:val="28"/>
            <w:shd w:val="clear" w:color="auto" w:fill="FFFFFF"/>
            <w:lang w:val="uk-UA" w:eastAsia="ru-RU"/>
          </w:rPr>
          <w:t>https://dspace.univd.edu.ua/handle/123456789/17514</w:t>
        </w:r>
      </w:hyperlink>
      <w:r w:rsidRPr="00511005">
        <w:rPr>
          <w:rFonts w:ascii="Arial" w:eastAsia="Times New Roman" w:hAnsi="Arial" w:cs="Arial"/>
          <w:szCs w:val="28"/>
          <w:lang w:val="uk-UA" w:eastAsia="ru-RU"/>
        </w:rPr>
        <w:t xml:space="preserve"> </w:t>
      </w:r>
      <w:r w:rsidRPr="00511005">
        <w:rPr>
          <w:rFonts w:ascii="Arial" w:eastAsia="Times New Roman" w:hAnsi="Arial" w:cs="Arial"/>
          <w:bCs/>
          <w:szCs w:val="28"/>
          <w:lang w:val="uk-UA" w:eastAsia="ru-RU" w:bidi="uk-UA"/>
        </w:rPr>
        <w:t>(дата звернення 25.04.2025 року)</w:t>
      </w:r>
    </w:p>
    <w:p w14:paraId="165CAEA7" w14:textId="77777777" w:rsidR="00532C25" w:rsidRPr="00511005" w:rsidRDefault="00532C25" w:rsidP="003F6A5D">
      <w:pPr>
        <w:widowControl w:val="0"/>
        <w:numPr>
          <w:ilvl w:val="0"/>
          <w:numId w:val="677"/>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
          <w:szCs w:val="28"/>
          <w:lang w:val="uk-UA" w:eastAsia="ru-RU"/>
        </w:rPr>
      </w:pPr>
      <w:r w:rsidRPr="00511005">
        <w:rPr>
          <w:rFonts w:ascii="Arial" w:eastAsia="Times New Roman" w:hAnsi="Arial" w:cs="Arial"/>
          <w:b/>
          <w:bCs/>
          <w:szCs w:val="28"/>
          <w:lang w:val="uk-UA" w:eastAsia="ru-RU"/>
        </w:rPr>
        <w:t xml:space="preserve">Калугін В.Ю., Сіфоров О.І. </w:t>
      </w:r>
      <w:r w:rsidRPr="00511005">
        <w:rPr>
          <w:rFonts w:ascii="Arial" w:eastAsia="Times New Roman" w:hAnsi="Arial" w:cs="Arial"/>
          <w:szCs w:val="28"/>
          <w:lang w:val="uk-UA" w:eastAsia="ru-RU"/>
        </w:rPr>
        <w:t>Використання OSINT у встановленні фактів воєнних злочинів та особи воєнних злочинців. «Воєнний стан: теоретико-праксеологічні проблеми юриспруденції», 2024.</w:t>
      </w:r>
      <w:r w:rsidRPr="00511005">
        <w:rPr>
          <w:rFonts w:ascii="Arial" w:eastAsia="Times New Roman" w:hAnsi="Arial" w:cs="Arial"/>
          <w:szCs w:val="28"/>
          <w:lang w:val="uk-UA" w:eastAsia="ru-RU"/>
        </w:rPr>
        <w:br/>
        <w:t xml:space="preserve">С. 202–225. DOI: 10.36059/978-966-397-421-7-10 </w:t>
      </w:r>
      <w:r w:rsidRPr="00511005">
        <w:rPr>
          <w:rFonts w:ascii="Arial" w:eastAsia="Times New Roman" w:hAnsi="Arial" w:cs="Arial"/>
          <w:bCs/>
          <w:szCs w:val="28"/>
          <w:lang w:val="uk-UA" w:eastAsia="ru-RU" w:bidi="uk-UA"/>
        </w:rPr>
        <w:t>(дата звернення 25.04.2025 року)</w:t>
      </w:r>
    </w:p>
    <w:p w14:paraId="7CA4FD41" w14:textId="77777777" w:rsidR="00532C25" w:rsidRPr="00511005" w:rsidRDefault="00532C25" w:rsidP="003F6A5D">
      <w:pPr>
        <w:widowControl w:val="0"/>
        <w:numPr>
          <w:ilvl w:val="0"/>
          <w:numId w:val="677"/>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
          <w:szCs w:val="28"/>
          <w:lang w:val="uk-UA" w:eastAsia="ru-RU"/>
        </w:rPr>
      </w:pPr>
      <w:r w:rsidRPr="00511005">
        <w:rPr>
          <w:rFonts w:ascii="Arial" w:eastAsia="Times New Roman" w:hAnsi="Arial" w:cs="Arial"/>
          <w:szCs w:val="28"/>
          <w:lang w:val="uk-UA" w:eastAsia="ru-RU"/>
        </w:rPr>
        <w:t>Омарова К.Ч., Литвиненко О.Г. Використання osint під час розслідування кримінальних правопорушень. З</w:t>
      </w:r>
      <w:r w:rsidRPr="00511005">
        <w:rPr>
          <w:rFonts w:ascii="Arial" w:eastAsia="Times New Roman" w:hAnsi="Arial" w:cs="Arial"/>
          <w:i/>
          <w:iCs/>
          <w:szCs w:val="28"/>
          <w:lang w:val="uk-UA" w:eastAsia="ru-RU"/>
        </w:rPr>
        <w:t>бірник матеріалів</w:t>
      </w:r>
      <w:r w:rsidRPr="00511005">
        <w:rPr>
          <w:rFonts w:ascii="Arial" w:eastAsia="Times New Roman" w:hAnsi="Arial" w:cs="Arial"/>
          <w:szCs w:val="28"/>
          <w:lang w:val="uk-UA" w:eastAsia="ru-RU"/>
        </w:rPr>
        <w:t xml:space="preserve"> (2023): 366. </w:t>
      </w:r>
      <w:r w:rsidRPr="00511005">
        <w:rPr>
          <w:rFonts w:ascii="Arial" w:eastAsia="Times New Roman" w:hAnsi="Arial" w:cs="Arial"/>
          <w:bCs/>
          <w:szCs w:val="28"/>
          <w:lang w:val="uk-UA" w:eastAsia="ru-RU" w:bidi="uk-UA"/>
        </w:rPr>
        <w:t>URL:</w:t>
      </w:r>
      <w:r w:rsidRPr="00511005">
        <w:rPr>
          <w:rFonts w:ascii="Arial" w:eastAsia="Times New Roman" w:hAnsi="Arial" w:cs="Arial"/>
          <w:szCs w:val="28"/>
          <w:lang w:val="uk-UA" w:eastAsia="ru-RU"/>
        </w:rPr>
        <w:t xml:space="preserve"> </w:t>
      </w:r>
      <w:hyperlink r:id="rId2010" w:history="1">
        <w:r w:rsidRPr="00511005">
          <w:rPr>
            <w:rFonts w:ascii="Arial" w:eastAsia="Times New Roman" w:hAnsi="Arial" w:cs="Arial"/>
            <w:bCs/>
            <w:szCs w:val="28"/>
            <w:lang w:val="uk-UA" w:eastAsia="ru-RU" w:bidi="uk-UA"/>
          </w:rPr>
          <w:t>https://surl.li/rufjfm</w:t>
        </w:r>
      </w:hyperlink>
      <w:r w:rsidRPr="00511005">
        <w:rPr>
          <w:rFonts w:ascii="Arial" w:eastAsia="Times New Roman" w:hAnsi="Arial" w:cs="Arial"/>
          <w:bCs/>
          <w:szCs w:val="28"/>
          <w:lang w:val="uk-UA" w:eastAsia="ru-RU" w:bidi="uk-UA"/>
        </w:rPr>
        <w:t xml:space="preserve"> (дата звернення 25.04.2025 року)</w:t>
      </w:r>
    </w:p>
    <w:p w14:paraId="6094967B" w14:textId="77777777" w:rsidR="00532C25" w:rsidRPr="00511005" w:rsidRDefault="00532C25" w:rsidP="003F6A5D">
      <w:pPr>
        <w:widowControl w:val="0"/>
        <w:numPr>
          <w:ilvl w:val="0"/>
          <w:numId w:val="677"/>
        </w:numPr>
        <w:tabs>
          <w:tab w:val="left" w:pos="993"/>
          <w:tab w:val="left" w:pos="7088"/>
        </w:tabs>
        <w:autoSpaceDE w:val="0"/>
        <w:autoSpaceDN w:val="0"/>
        <w:adjustRightInd w:val="0"/>
        <w:spacing w:line="264" w:lineRule="auto"/>
        <w:ind w:left="0" w:firstLine="709"/>
        <w:contextualSpacing/>
        <w:jc w:val="left"/>
        <w:rPr>
          <w:rFonts w:ascii="Arial" w:eastAsia="Times New Roman" w:hAnsi="Arial" w:cs="Arial"/>
          <w:b/>
          <w:szCs w:val="28"/>
          <w:lang w:val="uk-UA" w:eastAsia="ru-RU"/>
        </w:rPr>
      </w:pPr>
      <w:r w:rsidRPr="00511005">
        <w:rPr>
          <w:rFonts w:ascii="Arial" w:eastAsia="Times New Roman" w:hAnsi="Arial" w:cs="Arial"/>
          <w:szCs w:val="28"/>
          <w:lang w:val="uk-UA" w:eastAsia="ru-RU"/>
        </w:rPr>
        <w:t>Калінніков, О. В. (2024, June). Перспективи подальшого використання OSINT у кримінальному провадженні. In </w:t>
      </w:r>
      <w:r w:rsidRPr="00511005">
        <w:rPr>
          <w:rFonts w:ascii="Arial" w:eastAsia="Times New Roman" w:hAnsi="Arial" w:cs="Arial"/>
          <w:i/>
          <w:iCs/>
          <w:szCs w:val="28"/>
          <w:lang w:val="uk-UA" w:eastAsia="ru-RU"/>
        </w:rPr>
        <w:t>The 24th International scientific and practical conference “Technologies of scientists and implementation of modern methods”(June 18–21, 2024) Copenhagen, Denmark. International Science Group. 2024. 431 p.</w:t>
      </w:r>
      <w:r w:rsidRPr="00511005">
        <w:rPr>
          <w:rFonts w:ascii="Arial" w:eastAsia="Times New Roman" w:hAnsi="Arial" w:cs="Arial"/>
          <w:szCs w:val="28"/>
          <w:lang w:val="uk-UA" w:eastAsia="ru-RU"/>
        </w:rPr>
        <w:t xml:space="preserve"> (p. 124). </w:t>
      </w:r>
      <w:r w:rsidRPr="00511005">
        <w:rPr>
          <w:rFonts w:ascii="Arial" w:eastAsia="Times New Roman" w:hAnsi="Arial" w:cs="Arial"/>
          <w:bCs/>
          <w:szCs w:val="28"/>
          <w:lang w:val="uk-UA" w:eastAsia="ru-RU" w:bidi="uk-UA"/>
        </w:rPr>
        <w:t>URL:</w:t>
      </w:r>
      <w:r w:rsidRPr="00511005">
        <w:rPr>
          <w:rFonts w:ascii="Arial" w:eastAsia="Times New Roman" w:hAnsi="Arial" w:cs="Arial"/>
          <w:szCs w:val="28"/>
          <w:lang w:val="uk-UA" w:eastAsia="ru-RU"/>
        </w:rPr>
        <w:t xml:space="preserve"> </w:t>
      </w:r>
      <w:r w:rsidR="005938AD">
        <w:fldChar w:fldCharType="begin"/>
      </w:r>
      <w:r w:rsidR="005938AD" w:rsidRPr="00055389">
        <w:rPr>
          <w:lang w:val="en-US"/>
        </w:rPr>
        <w:instrText xml:space="preserve"> HY</w:instrText>
      </w:r>
      <w:r w:rsidR="005938AD" w:rsidRPr="00055389">
        <w:rPr>
          <w:lang w:val="en-US"/>
        </w:rPr>
        <w:instrText xml:space="preserve">PERLINK "https://surl.li/huahdh" </w:instrText>
      </w:r>
      <w:r w:rsidR="005938AD">
        <w:fldChar w:fldCharType="separate"/>
      </w:r>
      <w:r w:rsidRPr="00511005">
        <w:rPr>
          <w:rFonts w:ascii="Arial" w:eastAsia="Times New Roman" w:hAnsi="Arial" w:cs="Arial"/>
          <w:bCs/>
          <w:szCs w:val="28"/>
          <w:lang w:val="uk-UA" w:eastAsia="ru-RU" w:bidi="uk-UA"/>
        </w:rPr>
        <w:t>https://surl.li/huahdh</w:t>
      </w:r>
      <w:r w:rsidR="005938AD">
        <w:rPr>
          <w:rFonts w:ascii="Arial" w:eastAsia="Times New Roman" w:hAnsi="Arial" w:cs="Arial"/>
          <w:bCs/>
          <w:szCs w:val="28"/>
          <w:lang w:val="uk-UA" w:eastAsia="ru-RU" w:bidi="uk-UA"/>
        </w:rPr>
        <w:fldChar w:fldCharType="end"/>
      </w:r>
      <w:r w:rsidRPr="00511005">
        <w:rPr>
          <w:rFonts w:ascii="Arial" w:eastAsia="Times New Roman" w:hAnsi="Arial" w:cs="Arial"/>
          <w:bCs/>
          <w:szCs w:val="28"/>
          <w:lang w:val="uk-UA" w:eastAsia="ru-RU" w:bidi="uk-UA"/>
        </w:rPr>
        <w:t xml:space="preserve"> (дата звернення 25.04.2025 року)</w:t>
      </w:r>
    </w:p>
    <w:p w14:paraId="3F5DCDDE" w14:textId="77777777" w:rsidR="00532C25" w:rsidRPr="00511005" w:rsidRDefault="00532C25" w:rsidP="00532C25">
      <w:pPr>
        <w:tabs>
          <w:tab w:val="left" w:pos="993"/>
          <w:tab w:val="left" w:pos="7088"/>
        </w:tabs>
        <w:spacing w:line="264" w:lineRule="auto"/>
        <w:rPr>
          <w:rFonts w:ascii="Arial" w:eastAsia="Calibri" w:hAnsi="Arial" w:cs="Arial"/>
          <w:b/>
          <w:szCs w:val="28"/>
          <w:lang w:val="uk-UA"/>
        </w:rPr>
      </w:pPr>
    </w:p>
    <w:p w14:paraId="0CAF87AE" w14:textId="77777777" w:rsidR="00532C25" w:rsidRPr="00511005" w:rsidRDefault="00532C25" w:rsidP="00532C25">
      <w:pPr>
        <w:tabs>
          <w:tab w:val="left" w:pos="993"/>
          <w:tab w:val="left" w:pos="7088"/>
        </w:tabs>
        <w:spacing w:line="264" w:lineRule="auto"/>
        <w:rPr>
          <w:rFonts w:ascii="Arial" w:eastAsia="Calibri" w:hAnsi="Arial" w:cs="Arial"/>
          <w:b/>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OSINT, воєнні злочини, розслідування, відкриті джерела інформації, правоохоронні органи, доказування воєнних злочинів, цифрові технології, правовий захист, міжнародне право, збір інформації, злочини проти людства, аналітика, доказова база, міжнародна безпека.</w:t>
      </w:r>
    </w:p>
    <w:p w14:paraId="44F4E35F" w14:textId="77777777" w:rsidR="00532C25" w:rsidRPr="00511005" w:rsidRDefault="00532C25" w:rsidP="00532C25">
      <w:pPr>
        <w:tabs>
          <w:tab w:val="left" w:pos="993"/>
          <w:tab w:val="left" w:pos="7088"/>
        </w:tabs>
        <w:spacing w:line="264" w:lineRule="auto"/>
        <w:rPr>
          <w:rFonts w:ascii="Arial" w:eastAsia="Calibri" w:hAnsi="Arial" w:cs="Arial"/>
          <w:szCs w:val="28"/>
          <w:lang w:val="uk-UA"/>
        </w:rPr>
      </w:pPr>
      <w:r w:rsidRPr="00511005">
        <w:rPr>
          <w:rFonts w:ascii="Arial" w:eastAsia="Calibri" w:hAnsi="Arial" w:cs="Arial"/>
          <w:b/>
          <w:i/>
          <w:szCs w:val="28"/>
          <w:lang w:val="uk-UA"/>
        </w:rPr>
        <w:t xml:space="preserve">Key words: </w:t>
      </w:r>
      <w:r w:rsidRPr="00511005">
        <w:rPr>
          <w:rFonts w:ascii="Arial" w:eastAsia="Calibri" w:hAnsi="Arial" w:cs="Arial"/>
          <w:szCs w:val="28"/>
          <w:lang w:val="uk-UA"/>
        </w:rPr>
        <w:t>OSINT, war crimes, investigation, open source information, law enforcement agencies, war crimes prosecution, digital technologies, legal protection, international law, information collection, crimes against humanity, analytics, evidentiary base, international security.</w:t>
      </w:r>
    </w:p>
    <w:p w14:paraId="01C38018" w14:textId="77777777" w:rsidR="00532C25" w:rsidRPr="00511005" w:rsidRDefault="00532C25" w:rsidP="00532C25">
      <w:pPr>
        <w:tabs>
          <w:tab w:val="left" w:pos="993"/>
          <w:tab w:val="left" w:pos="7088"/>
        </w:tabs>
        <w:spacing w:line="264" w:lineRule="auto"/>
        <w:rPr>
          <w:rFonts w:ascii="Arial" w:eastAsia="Calibri" w:hAnsi="Arial" w:cs="Arial"/>
          <w:i/>
          <w:iCs/>
          <w:szCs w:val="28"/>
          <w:lang w:val="uk-UA" w:bidi="uk-UA"/>
        </w:rPr>
      </w:pPr>
      <w:r w:rsidRPr="00511005">
        <w:rPr>
          <w:rFonts w:ascii="Arial" w:eastAsia="Calibri" w:hAnsi="Arial" w:cs="Arial"/>
          <w:b/>
          <w:i/>
          <w:iCs/>
          <w:szCs w:val="28"/>
          <w:lang w:val="uk-UA"/>
        </w:rPr>
        <w:lastRenderedPageBreak/>
        <w:t xml:space="preserve">Науковий керівник: </w:t>
      </w:r>
      <w:r w:rsidRPr="00511005">
        <w:rPr>
          <w:rFonts w:ascii="Arial" w:eastAsia="Calibri" w:hAnsi="Arial" w:cs="Arial"/>
          <w:i/>
          <w:iCs/>
          <w:szCs w:val="28"/>
          <w:lang w:val="uk-UA"/>
        </w:rPr>
        <w:t>к.ю.н., доцент Загородній І.В.</w:t>
      </w:r>
    </w:p>
    <w:p w14:paraId="4415BE42" w14:textId="77777777" w:rsidR="00532C25" w:rsidRPr="00511005" w:rsidRDefault="00532C25" w:rsidP="00532C25">
      <w:pPr>
        <w:spacing w:line="264" w:lineRule="auto"/>
        <w:ind w:firstLine="720"/>
        <w:jc w:val="left"/>
        <w:rPr>
          <w:rFonts w:ascii="Arial" w:eastAsia="Calibri" w:hAnsi="Arial" w:cs="Arial"/>
          <w:b/>
          <w:szCs w:val="28"/>
          <w:lang w:val="uk-UA"/>
        </w:rPr>
      </w:pPr>
    </w:p>
    <w:p w14:paraId="1130C3E5" w14:textId="77777777" w:rsidR="00532C25" w:rsidRPr="00511005" w:rsidRDefault="00532C25" w:rsidP="00532C25">
      <w:pPr>
        <w:spacing w:line="264" w:lineRule="auto"/>
        <w:ind w:firstLine="720"/>
        <w:jc w:val="center"/>
        <w:rPr>
          <w:rFonts w:ascii="Arial" w:eastAsia="Calibri" w:hAnsi="Arial" w:cs="Arial"/>
          <w:b/>
          <w:i/>
          <w:iCs/>
          <w:szCs w:val="28"/>
          <w:lang w:val="uk-UA"/>
        </w:rPr>
      </w:pPr>
      <w:r w:rsidRPr="00511005">
        <w:rPr>
          <w:rFonts w:ascii="Arial" w:eastAsia="Calibri" w:hAnsi="Arial" w:cs="Arial"/>
          <w:b/>
          <w:i/>
          <w:iCs/>
          <w:szCs w:val="28"/>
          <w:lang w:val="uk-UA"/>
        </w:rPr>
        <w:t>Перехода Єлізавєта Олександрівна</w:t>
      </w:r>
    </w:p>
    <w:p w14:paraId="16D7F179"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2-го курсу факультету цивільної та господарської юстиції</w:t>
      </w:r>
    </w:p>
    <w:p w14:paraId="75577B28"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81CA352" w14:textId="77777777" w:rsidR="00532C25" w:rsidRPr="00511005" w:rsidRDefault="00532C25" w:rsidP="00532C25">
      <w:pPr>
        <w:spacing w:line="264" w:lineRule="auto"/>
        <w:ind w:firstLine="720"/>
        <w:jc w:val="center"/>
        <w:rPr>
          <w:rFonts w:ascii="Arial" w:eastAsia="Calibri" w:hAnsi="Arial" w:cs="Arial"/>
          <w:b/>
          <w:szCs w:val="28"/>
          <w:lang w:val="uk-UA"/>
        </w:rPr>
      </w:pPr>
    </w:p>
    <w:p w14:paraId="3DB248F2"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rPr>
        <w:t>ПРОБЛЕМИ ІДЕНТИФІКАЦІЇ ОСОБИ ЗА БІОМЕТРИЧНИМИ ДАНИМИ</w:t>
      </w:r>
    </w:p>
    <w:p w14:paraId="7BA542AD"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Сучасні інформаційні технології суттєво вплинули на способи ідентифікації особи. Біометрична ідентифікація, яка базується на унікальних фізичних та поведінкових характеристиках людини, сьогодні широко використовується в системах безпеки, банківській сфері, охороні державного кордону та в електронному урядуванні. Однак</w:t>
      </w:r>
      <w:r w:rsidRPr="00511005">
        <w:rPr>
          <w:rFonts w:ascii="Arial" w:eastAsia="Calibri" w:hAnsi="Arial" w:cs="Arial"/>
          <w:szCs w:val="28"/>
          <w:lang w:val="uk-UA"/>
        </w:rPr>
        <w:t>,</w:t>
      </w:r>
      <w:r w:rsidRPr="00511005">
        <w:rPr>
          <w:rFonts w:ascii="Arial" w:eastAsia="Calibri" w:hAnsi="Arial" w:cs="Arial"/>
          <w:szCs w:val="28"/>
        </w:rPr>
        <w:t xml:space="preserve"> попри очевидні переваги біометричних методів, їх застосування породжує низку серйозних проблем, пов’язаних як з технологічними обмеженнями, так і з етичними, правовими та соціальними аспектами.</w:t>
      </w:r>
    </w:p>
    <w:p w14:paraId="0DFBF41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rPr>
        <w:t>Біометрія являє собою технологію ідентифікації особи, що будується на використанні фізіологічних параметрів суб'єкта (відбитки пальців, райдужна оболонка ока, геометрія обличчя та ін.).</w:t>
      </w:r>
      <w:r w:rsidRPr="00511005">
        <w:rPr>
          <w:rFonts w:ascii="Arial" w:eastAsia="Calibri" w:hAnsi="Arial" w:cs="Arial"/>
          <w:szCs w:val="28"/>
          <w:lang w:val="uk-UA"/>
        </w:rPr>
        <w:t xml:space="preserve"> [3].</w:t>
      </w:r>
    </w:p>
    <w:p w14:paraId="15CFD8F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Особливість ідентифікації за біометричними параметрами базується на їх винятковості. Ймовірність того, що знайдуться дві людини з однаковими ознаками, дуже мала (наприклад, ймовірність того, що в двох різних людей на однакових пальцях однієї руки збігатимуться відбитки пальців, рівна 1/24 млн, тобто практично є нульовою).</w:t>
      </w:r>
    </w:p>
    <w:p w14:paraId="61C367E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Процес ідентифікації включає</w:t>
      </w:r>
      <w:r w:rsidRPr="00511005">
        <w:rPr>
          <w:rFonts w:ascii="Arial" w:eastAsia="Calibri" w:hAnsi="Arial" w:cs="Arial"/>
          <w:szCs w:val="28"/>
          <w:lang w:val="en-US"/>
        </w:rPr>
        <w:t xml:space="preserve"> [</w:t>
      </w:r>
      <w:r w:rsidRPr="00511005">
        <w:rPr>
          <w:rFonts w:ascii="Arial" w:eastAsia="Calibri" w:hAnsi="Arial" w:cs="Arial"/>
          <w:szCs w:val="28"/>
          <w:lang w:val="uk-UA"/>
        </w:rPr>
        <w:t>2</w:t>
      </w:r>
      <w:r w:rsidRPr="00511005">
        <w:rPr>
          <w:rFonts w:ascii="Arial" w:eastAsia="Calibri" w:hAnsi="Arial" w:cs="Arial"/>
          <w:szCs w:val="28"/>
          <w:lang w:val="en-US"/>
        </w:rPr>
        <w:t>]</w:t>
      </w:r>
      <w:r w:rsidRPr="00511005">
        <w:rPr>
          <w:rFonts w:ascii="Arial" w:eastAsia="Calibri" w:hAnsi="Arial" w:cs="Arial"/>
          <w:szCs w:val="28"/>
          <w:lang w:val="uk-UA"/>
        </w:rPr>
        <w:t>:</w:t>
      </w:r>
    </w:p>
    <w:p w14:paraId="2076D407" w14:textId="77777777" w:rsidR="00532C25" w:rsidRPr="00511005" w:rsidRDefault="00532C25" w:rsidP="003F6A5D">
      <w:pPr>
        <w:numPr>
          <w:ilvl w:val="0"/>
          <w:numId w:val="647"/>
        </w:numPr>
        <w:spacing w:line="264" w:lineRule="auto"/>
        <w:ind w:left="0" w:firstLine="720"/>
        <w:jc w:val="left"/>
        <w:rPr>
          <w:rFonts w:ascii="Arial" w:eastAsia="Calibri" w:hAnsi="Arial" w:cs="Arial"/>
          <w:szCs w:val="28"/>
          <w:lang w:val="uk-UA"/>
        </w:rPr>
      </w:pPr>
      <w:r w:rsidRPr="00511005">
        <w:rPr>
          <w:rFonts w:ascii="Arial" w:eastAsia="Calibri" w:hAnsi="Arial" w:cs="Arial"/>
          <w:szCs w:val="28"/>
          <w:lang w:val="uk-UA"/>
        </w:rPr>
        <w:t>реєстрацію біометричних даних;</w:t>
      </w:r>
    </w:p>
    <w:p w14:paraId="09B0DDB9" w14:textId="77777777" w:rsidR="00532C25" w:rsidRPr="00511005" w:rsidRDefault="00532C25" w:rsidP="003F6A5D">
      <w:pPr>
        <w:numPr>
          <w:ilvl w:val="0"/>
          <w:numId w:val="647"/>
        </w:numPr>
        <w:spacing w:line="264" w:lineRule="auto"/>
        <w:ind w:left="0" w:firstLine="720"/>
        <w:jc w:val="left"/>
        <w:rPr>
          <w:rFonts w:ascii="Arial" w:eastAsia="Calibri" w:hAnsi="Arial" w:cs="Arial"/>
          <w:szCs w:val="28"/>
          <w:lang w:val="uk-UA"/>
        </w:rPr>
      </w:pPr>
      <w:r w:rsidRPr="00511005">
        <w:rPr>
          <w:rFonts w:ascii="Arial" w:eastAsia="Calibri" w:hAnsi="Arial" w:cs="Arial"/>
          <w:szCs w:val="28"/>
          <w:lang w:val="uk-UA"/>
        </w:rPr>
        <w:t>їх збереження у базі даних;</w:t>
      </w:r>
    </w:p>
    <w:p w14:paraId="6136B921" w14:textId="77777777" w:rsidR="00532C25" w:rsidRPr="00511005" w:rsidRDefault="00532C25" w:rsidP="003F6A5D">
      <w:pPr>
        <w:numPr>
          <w:ilvl w:val="0"/>
          <w:numId w:val="647"/>
        </w:numPr>
        <w:spacing w:line="264" w:lineRule="auto"/>
        <w:ind w:left="0" w:firstLine="720"/>
        <w:jc w:val="left"/>
        <w:rPr>
          <w:rFonts w:ascii="Arial" w:eastAsia="Calibri" w:hAnsi="Arial" w:cs="Arial"/>
          <w:szCs w:val="28"/>
          <w:lang w:val="uk-UA"/>
        </w:rPr>
      </w:pPr>
      <w:r w:rsidRPr="00511005">
        <w:rPr>
          <w:rFonts w:ascii="Arial" w:eastAsia="Calibri" w:hAnsi="Arial" w:cs="Arial"/>
          <w:szCs w:val="28"/>
          <w:lang w:val="uk-UA"/>
        </w:rPr>
        <w:t>порівняння нових даних із тими, що зберігаються;</w:t>
      </w:r>
    </w:p>
    <w:p w14:paraId="0B69064D" w14:textId="77777777" w:rsidR="00532C25" w:rsidRPr="00511005" w:rsidRDefault="00532C25" w:rsidP="003F6A5D">
      <w:pPr>
        <w:numPr>
          <w:ilvl w:val="0"/>
          <w:numId w:val="647"/>
        </w:numPr>
        <w:spacing w:line="264" w:lineRule="auto"/>
        <w:ind w:left="0" w:firstLine="720"/>
        <w:jc w:val="left"/>
        <w:rPr>
          <w:rFonts w:ascii="Arial" w:eastAsia="Calibri" w:hAnsi="Arial" w:cs="Arial"/>
          <w:szCs w:val="28"/>
          <w:lang w:val="uk-UA"/>
        </w:rPr>
      </w:pPr>
      <w:r w:rsidRPr="00511005">
        <w:rPr>
          <w:rFonts w:ascii="Arial" w:eastAsia="Calibri" w:hAnsi="Arial" w:cs="Arial"/>
          <w:szCs w:val="28"/>
          <w:lang w:val="uk-UA"/>
        </w:rPr>
        <w:t>прийняття рішення про збіг або невідповідність.</w:t>
      </w:r>
    </w:p>
    <w:p w14:paraId="57236D3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Попри високий рівень точності, біометричні системи не є безпомилковими. Вони схильні до помилок двох типів:</w:t>
      </w:r>
    </w:p>
    <w:p w14:paraId="0522E959" w14:textId="77777777" w:rsidR="00532C25" w:rsidRPr="00511005" w:rsidRDefault="00532C25" w:rsidP="003F6A5D">
      <w:pPr>
        <w:numPr>
          <w:ilvl w:val="0"/>
          <w:numId w:val="648"/>
        </w:numPr>
        <w:spacing w:line="264" w:lineRule="auto"/>
        <w:ind w:left="0" w:firstLine="720"/>
        <w:jc w:val="left"/>
        <w:rPr>
          <w:rFonts w:ascii="Arial" w:eastAsia="Calibri" w:hAnsi="Arial" w:cs="Arial"/>
          <w:szCs w:val="28"/>
          <w:lang w:val="uk-UA"/>
        </w:rPr>
      </w:pPr>
      <w:r w:rsidRPr="00511005">
        <w:rPr>
          <w:rFonts w:ascii="Arial" w:eastAsia="Calibri" w:hAnsi="Arial" w:cs="Arial"/>
          <w:bCs/>
          <w:szCs w:val="28"/>
          <w:lang w:val="uk-UA"/>
        </w:rPr>
        <w:t>False Acceptance Rate (FAR)</w:t>
      </w:r>
      <w:r w:rsidRPr="00511005">
        <w:rPr>
          <w:rFonts w:ascii="Arial" w:eastAsia="Calibri" w:hAnsi="Arial" w:cs="Arial"/>
          <w:szCs w:val="28"/>
          <w:lang w:val="uk-UA"/>
        </w:rPr>
        <w:t xml:space="preserve"> – неправильне прийняття сторонньої особи за власника даних.</w:t>
      </w:r>
    </w:p>
    <w:p w14:paraId="275EBE8B" w14:textId="77777777" w:rsidR="00532C25" w:rsidRPr="00511005" w:rsidRDefault="00532C25" w:rsidP="003F6A5D">
      <w:pPr>
        <w:numPr>
          <w:ilvl w:val="0"/>
          <w:numId w:val="648"/>
        </w:numPr>
        <w:spacing w:line="264" w:lineRule="auto"/>
        <w:ind w:left="0" w:firstLine="720"/>
        <w:jc w:val="left"/>
        <w:rPr>
          <w:rFonts w:ascii="Arial" w:eastAsia="Calibri" w:hAnsi="Arial" w:cs="Arial"/>
          <w:szCs w:val="28"/>
          <w:lang w:val="uk-UA"/>
        </w:rPr>
      </w:pPr>
      <w:r w:rsidRPr="00511005">
        <w:rPr>
          <w:rFonts w:ascii="Arial" w:eastAsia="Calibri" w:hAnsi="Arial" w:cs="Arial"/>
          <w:bCs/>
          <w:szCs w:val="28"/>
          <w:lang w:val="uk-UA"/>
        </w:rPr>
        <w:t>False Rejection Rate</w:t>
      </w:r>
      <w:r w:rsidRPr="00511005">
        <w:rPr>
          <w:rFonts w:ascii="Arial" w:eastAsia="Calibri" w:hAnsi="Arial" w:cs="Arial"/>
          <w:b/>
          <w:bCs/>
          <w:szCs w:val="28"/>
          <w:lang w:val="uk-UA"/>
        </w:rPr>
        <w:t xml:space="preserve"> </w:t>
      </w:r>
      <w:r w:rsidRPr="00511005">
        <w:rPr>
          <w:rFonts w:ascii="Arial" w:eastAsia="Calibri" w:hAnsi="Arial" w:cs="Arial"/>
          <w:bCs/>
          <w:szCs w:val="28"/>
          <w:lang w:val="uk-UA"/>
        </w:rPr>
        <w:t>(FRR)</w:t>
      </w:r>
      <w:r w:rsidRPr="00511005">
        <w:rPr>
          <w:rFonts w:ascii="Arial" w:eastAsia="Calibri" w:hAnsi="Arial" w:cs="Arial"/>
          <w:szCs w:val="28"/>
          <w:lang w:val="uk-UA"/>
        </w:rPr>
        <w:t xml:space="preserve"> – відмова у визнанні автентичного користувача.</w:t>
      </w:r>
    </w:p>
    <w:p w14:paraId="78C0B1B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Фактори, що знижують ефективність ідентифікації:</w:t>
      </w:r>
    </w:p>
    <w:p w14:paraId="136E7D72" w14:textId="77777777" w:rsidR="00532C25" w:rsidRPr="00511005" w:rsidRDefault="00532C25" w:rsidP="003F6A5D">
      <w:pPr>
        <w:numPr>
          <w:ilvl w:val="0"/>
          <w:numId w:val="649"/>
        </w:numPr>
        <w:spacing w:line="264" w:lineRule="auto"/>
        <w:ind w:left="0" w:firstLine="720"/>
        <w:jc w:val="left"/>
        <w:rPr>
          <w:rFonts w:ascii="Arial" w:eastAsia="Calibri" w:hAnsi="Arial" w:cs="Arial"/>
          <w:szCs w:val="28"/>
          <w:lang w:val="uk-UA"/>
        </w:rPr>
      </w:pPr>
      <w:r w:rsidRPr="00511005">
        <w:rPr>
          <w:rFonts w:ascii="Arial" w:eastAsia="Calibri" w:hAnsi="Arial" w:cs="Arial"/>
          <w:szCs w:val="28"/>
          <w:lang w:val="uk-UA"/>
        </w:rPr>
        <w:t>фізичні зміни (травми, старіння, пластичні операції);</w:t>
      </w:r>
    </w:p>
    <w:p w14:paraId="10CF284D" w14:textId="77777777" w:rsidR="00532C25" w:rsidRPr="00511005" w:rsidRDefault="00532C25" w:rsidP="003F6A5D">
      <w:pPr>
        <w:numPr>
          <w:ilvl w:val="0"/>
          <w:numId w:val="649"/>
        </w:numPr>
        <w:spacing w:line="264" w:lineRule="auto"/>
        <w:ind w:left="0" w:firstLine="720"/>
        <w:jc w:val="left"/>
        <w:rPr>
          <w:rFonts w:ascii="Arial" w:eastAsia="Calibri" w:hAnsi="Arial" w:cs="Arial"/>
          <w:szCs w:val="28"/>
          <w:lang w:val="uk-UA"/>
        </w:rPr>
      </w:pPr>
      <w:r w:rsidRPr="00511005">
        <w:rPr>
          <w:rFonts w:ascii="Arial" w:eastAsia="Calibri" w:hAnsi="Arial" w:cs="Arial"/>
          <w:szCs w:val="28"/>
          <w:lang w:val="uk-UA"/>
        </w:rPr>
        <w:t>неякісні або застарілі датчики;</w:t>
      </w:r>
    </w:p>
    <w:p w14:paraId="7649DA0D" w14:textId="77777777" w:rsidR="00532C25" w:rsidRPr="00511005" w:rsidRDefault="00532C25" w:rsidP="003F6A5D">
      <w:pPr>
        <w:numPr>
          <w:ilvl w:val="0"/>
          <w:numId w:val="649"/>
        </w:numPr>
        <w:spacing w:line="264" w:lineRule="auto"/>
        <w:ind w:left="0" w:firstLine="720"/>
        <w:jc w:val="left"/>
        <w:rPr>
          <w:rFonts w:ascii="Arial" w:eastAsia="Calibri" w:hAnsi="Arial" w:cs="Arial"/>
          <w:szCs w:val="28"/>
          <w:lang w:val="uk-UA"/>
        </w:rPr>
      </w:pPr>
      <w:r w:rsidRPr="00511005">
        <w:rPr>
          <w:rFonts w:ascii="Arial" w:eastAsia="Calibri" w:hAnsi="Arial" w:cs="Arial"/>
          <w:szCs w:val="28"/>
          <w:lang w:val="uk-UA"/>
        </w:rPr>
        <w:t>вплив зовнішніх умов (освітлення, вологість).</w:t>
      </w:r>
    </w:p>
    <w:p w14:paraId="0A3F1AE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Біометрична інформація є надзвичайно чутливою. Її компрометація або викрадення матиме незворотні наслідки, оскільки, на відміну від пароля, </w:t>
      </w:r>
      <w:r w:rsidRPr="00511005">
        <w:rPr>
          <w:rFonts w:ascii="Arial" w:eastAsia="Calibri" w:hAnsi="Arial" w:cs="Arial"/>
          <w:szCs w:val="28"/>
          <w:lang w:val="uk-UA"/>
        </w:rPr>
        <w:lastRenderedPageBreak/>
        <w:t>відбиток пальця або сітківку ока неможливо змінити. Слабкий захист баз біометричних даних створює ризик масових витоків інформації.</w:t>
      </w:r>
    </w:p>
    <w:p w14:paraId="31F73B2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Біометричні системи часто працюють без належної інформованої згоди користувачів. Масове використання технологій розпізнавання обличчя у громадських місцях призводить до стеження за громадянами без їх відома, що порушує права людини на приватність.</w:t>
      </w:r>
    </w:p>
    <w:p w14:paraId="74A5F67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Дослідження виявили, що біометричні алгоритми можуть демонструвати упередженість залежно від расових, етнічних або вікових особливостей осіб, що призводить до нерівного ставлення у процесі ідентифікації.</w:t>
      </w:r>
    </w:p>
    <w:p w14:paraId="1DED8AF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В багатьох країнах законодавство щодо використання біометричних даних залишається фрагментарним або недостатньо чітким. Відсутність єдиних міжнародних стандартів ускладнює захист прав людини та розвиток технологій.</w:t>
      </w:r>
    </w:p>
    <w:p w14:paraId="3CF86405" w14:textId="77777777" w:rsidR="00532C25" w:rsidRPr="00511005" w:rsidRDefault="00532C25" w:rsidP="00532C25">
      <w:pPr>
        <w:spacing w:line="264" w:lineRule="auto"/>
        <w:ind w:firstLine="720"/>
        <w:rPr>
          <w:rFonts w:ascii="Arial" w:eastAsia="Calibri" w:hAnsi="Arial" w:cs="Arial"/>
          <w:bCs/>
          <w:szCs w:val="28"/>
          <w:lang w:val="uk-UA"/>
        </w:rPr>
      </w:pPr>
      <w:r w:rsidRPr="00511005">
        <w:rPr>
          <w:rFonts w:ascii="Arial" w:eastAsia="Calibri" w:hAnsi="Arial" w:cs="Arial"/>
          <w:bCs/>
          <w:szCs w:val="28"/>
          <w:lang w:val="uk-UA"/>
        </w:rPr>
        <w:t>Шляхи вирішення проблем</w:t>
      </w:r>
      <w:r w:rsidRPr="00511005">
        <w:rPr>
          <w:rFonts w:ascii="Arial" w:eastAsia="Calibri" w:hAnsi="Arial" w:cs="Arial"/>
          <w:bCs/>
          <w:szCs w:val="28"/>
          <w:lang w:val="en-US"/>
        </w:rPr>
        <w:t xml:space="preserve"> [</w:t>
      </w:r>
      <w:r w:rsidRPr="00511005">
        <w:rPr>
          <w:rFonts w:ascii="Arial" w:eastAsia="Calibri" w:hAnsi="Arial" w:cs="Arial"/>
          <w:bCs/>
          <w:szCs w:val="28"/>
          <w:lang w:val="uk-UA"/>
        </w:rPr>
        <w:t>1</w:t>
      </w:r>
      <w:r w:rsidRPr="00511005">
        <w:rPr>
          <w:rFonts w:ascii="Arial" w:eastAsia="Calibri" w:hAnsi="Arial" w:cs="Arial"/>
          <w:bCs/>
          <w:szCs w:val="28"/>
          <w:lang w:val="en-US"/>
        </w:rPr>
        <w:t>]</w:t>
      </w:r>
      <w:r w:rsidRPr="00511005">
        <w:rPr>
          <w:rFonts w:ascii="Arial" w:eastAsia="Calibri" w:hAnsi="Arial" w:cs="Arial"/>
          <w:bCs/>
          <w:szCs w:val="28"/>
          <w:lang w:val="uk-UA"/>
        </w:rPr>
        <w:t>:</w:t>
      </w:r>
    </w:p>
    <w:p w14:paraId="2021E232" w14:textId="77777777" w:rsidR="00532C25" w:rsidRPr="00511005" w:rsidRDefault="00532C25" w:rsidP="003F6A5D">
      <w:pPr>
        <w:numPr>
          <w:ilvl w:val="0"/>
          <w:numId w:val="650"/>
        </w:numPr>
        <w:tabs>
          <w:tab w:val="num" w:pos="1418"/>
        </w:tabs>
        <w:spacing w:line="264" w:lineRule="auto"/>
        <w:ind w:left="0" w:firstLine="720"/>
        <w:jc w:val="left"/>
        <w:rPr>
          <w:rFonts w:ascii="Arial" w:eastAsia="Calibri" w:hAnsi="Arial" w:cs="Arial"/>
          <w:szCs w:val="28"/>
          <w:lang w:val="uk-UA"/>
        </w:rPr>
      </w:pPr>
      <w:r w:rsidRPr="00511005">
        <w:rPr>
          <w:rFonts w:ascii="Arial" w:eastAsia="Calibri" w:hAnsi="Arial" w:cs="Arial"/>
          <w:bCs/>
          <w:szCs w:val="28"/>
          <w:lang w:val="uk-UA"/>
        </w:rPr>
        <w:t>Удосконалення технологій</w:t>
      </w:r>
      <w:r w:rsidRPr="00511005">
        <w:rPr>
          <w:rFonts w:ascii="Arial" w:eastAsia="Calibri" w:hAnsi="Arial" w:cs="Arial"/>
          <w:szCs w:val="28"/>
          <w:lang w:val="uk-UA"/>
        </w:rPr>
        <w:t>: розробка мультибіометричних систем, що поєднують кілька ознак одночасно для підвищення точності ідентифікації.</w:t>
      </w:r>
    </w:p>
    <w:p w14:paraId="4EEF4B7D" w14:textId="77777777" w:rsidR="00532C25" w:rsidRPr="00511005" w:rsidRDefault="00532C25" w:rsidP="003F6A5D">
      <w:pPr>
        <w:numPr>
          <w:ilvl w:val="0"/>
          <w:numId w:val="650"/>
        </w:numPr>
        <w:tabs>
          <w:tab w:val="num" w:pos="1418"/>
        </w:tabs>
        <w:spacing w:line="264" w:lineRule="auto"/>
        <w:ind w:left="0" w:firstLine="720"/>
        <w:jc w:val="left"/>
        <w:rPr>
          <w:rFonts w:ascii="Arial" w:eastAsia="Calibri" w:hAnsi="Arial" w:cs="Arial"/>
          <w:szCs w:val="28"/>
          <w:lang w:val="uk-UA"/>
        </w:rPr>
      </w:pPr>
      <w:r w:rsidRPr="00511005">
        <w:rPr>
          <w:rFonts w:ascii="Arial" w:eastAsia="Calibri" w:hAnsi="Arial" w:cs="Arial"/>
          <w:bCs/>
          <w:szCs w:val="28"/>
          <w:lang w:val="uk-UA"/>
        </w:rPr>
        <w:t>Посилення захисту даних</w:t>
      </w:r>
      <w:r w:rsidRPr="00511005">
        <w:rPr>
          <w:rFonts w:ascii="Arial" w:eastAsia="Calibri" w:hAnsi="Arial" w:cs="Arial"/>
          <w:szCs w:val="28"/>
          <w:lang w:val="uk-UA"/>
        </w:rPr>
        <w:t>: впровадження методів шифрування, токенізації біометричних даних, використання децентралізованих баз даних.</w:t>
      </w:r>
    </w:p>
    <w:p w14:paraId="4D2FE482" w14:textId="77777777" w:rsidR="00532C25" w:rsidRPr="00511005" w:rsidRDefault="00532C25" w:rsidP="003F6A5D">
      <w:pPr>
        <w:numPr>
          <w:ilvl w:val="0"/>
          <w:numId w:val="650"/>
        </w:numPr>
        <w:tabs>
          <w:tab w:val="num" w:pos="1418"/>
        </w:tabs>
        <w:spacing w:line="264" w:lineRule="auto"/>
        <w:ind w:left="0" w:firstLine="720"/>
        <w:jc w:val="left"/>
        <w:rPr>
          <w:rFonts w:ascii="Arial" w:eastAsia="Calibri" w:hAnsi="Arial" w:cs="Arial"/>
          <w:szCs w:val="28"/>
          <w:lang w:val="uk-UA"/>
        </w:rPr>
      </w:pPr>
      <w:r w:rsidRPr="00511005">
        <w:rPr>
          <w:rFonts w:ascii="Arial" w:eastAsia="Calibri" w:hAnsi="Arial" w:cs="Arial"/>
          <w:bCs/>
          <w:szCs w:val="28"/>
          <w:lang w:val="uk-UA"/>
        </w:rPr>
        <w:t>Законодавчі ініціативи</w:t>
      </w:r>
      <w:r w:rsidRPr="00511005">
        <w:rPr>
          <w:rFonts w:ascii="Arial" w:eastAsia="Calibri" w:hAnsi="Arial" w:cs="Arial"/>
          <w:szCs w:val="28"/>
          <w:lang w:val="uk-UA"/>
        </w:rPr>
        <w:t>: ухвалення спеціальних законів, які регламентують збір, зберігання та обробку біометричної інформації, включаючи вимоги до інформованої згоди.</w:t>
      </w:r>
    </w:p>
    <w:p w14:paraId="415E30DC" w14:textId="77777777" w:rsidR="00532C25" w:rsidRPr="00511005" w:rsidRDefault="00532C25" w:rsidP="003F6A5D">
      <w:pPr>
        <w:numPr>
          <w:ilvl w:val="0"/>
          <w:numId w:val="650"/>
        </w:numPr>
        <w:tabs>
          <w:tab w:val="num" w:pos="1418"/>
        </w:tabs>
        <w:spacing w:line="264" w:lineRule="auto"/>
        <w:ind w:left="0" w:firstLine="720"/>
        <w:jc w:val="left"/>
        <w:rPr>
          <w:rFonts w:ascii="Arial" w:eastAsia="Calibri" w:hAnsi="Arial" w:cs="Arial"/>
          <w:szCs w:val="28"/>
          <w:lang w:val="uk-UA"/>
        </w:rPr>
      </w:pPr>
      <w:r w:rsidRPr="00511005">
        <w:rPr>
          <w:rFonts w:ascii="Arial" w:eastAsia="Calibri" w:hAnsi="Arial" w:cs="Arial"/>
          <w:bCs/>
          <w:szCs w:val="28"/>
          <w:lang w:val="uk-UA"/>
        </w:rPr>
        <w:t>Контроль за використанням</w:t>
      </w:r>
      <w:r w:rsidRPr="00511005">
        <w:rPr>
          <w:rFonts w:ascii="Arial" w:eastAsia="Calibri" w:hAnsi="Arial" w:cs="Arial"/>
          <w:szCs w:val="28"/>
          <w:lang w:val="uk-UA"/>
        </w:rPr>
        <w:t>: запровадження механізмів незалежного нагляду за використанням біометричних технологій, зокрема через органи захисту даних.</w:t>
      </w:r>
    </w:p>
    <w:p w14:paraId="55853566" w14:textId="77777777" w:rsidR="00532C25" w:rsidRPr="00511005" w:rsidRDefault="00532C25" w:rsidP="003F6A5D">
      <w:pPr>
        <w:numPr>
          <w:ilvl w:val="0"/>
          <w:numId w:val="650"/>
        </w:numPr>
        <w:tabs>
          <w:tab w:val="num" w:pos="1418"/>
        </w:tabs>
        <w:spacing w:line="264" w:lineRule="auto"/>
        <w:ind w:left="0" w:firstLine="720"/>
        <w:jc w:val="left"/>
        <w:rPr>
          <w:rFonts w:ascii="Arial" w:eastAsia="Calibri" w:hAnsi="Arial" w:cs="Arial"/>
          <w:szCs w:val="28"/>
          <w:lang w:val="uk-UA"/>
        </w:rPr>
      </w:pPr>
      <w:r w:rsidRPr="00511005">
        <w:rPr>
          <w:rFonts w:ascii="Arial" w:eastAsia="Calibri" w:hAnsi="Arial" w:cs="Arial"/>
          <w:bCs/>
          <w:szCs w:val="28"/>
          <w:lang w:val="uk-UA"/>
        </w:rPr>
        <w:t>Аудит алгоритмів</w:t>
      </w:r>
      <w:r w:rsidRPr="00511005">
        <w:rPr>
          <w:rFonts w:ascii="Arial" w:eastAsia="Calibri" w:hAnsi="Arial" w:cs="Arial"/>
          <w:szCs w:val="28"/>
          <w:lang w:val="uk-UA"/>
        </w:rPr>
        <w:t>: регулярне тестування систем на предмет упередженості та забезпечення їх справедливості та інклюзивності.</w:t>
      </w:r>
    </w:p>
    <w:p w14:paraId="725E5CD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rPr>
        <w:t xml:space="preserve">Отже, </w:t>
      </w:r>
      <w:r w:rsidRPr="00511005">
        <w:rPr>
          <w:rFonts w:ascii="Arial" w:eastAsia="Calibri" w:hAnsi="Arial" w:cs="Arial"/>
          <w:szCs w:val="28"/>
          <w:lang w:val="uk-UA"/>
        </w:rPr>
        <w:t>ідентифікація особи за біометричними даними є перспективним напрямом розвитку сучасних технологій, який сприяє підвищенню рівня безпеки та зручності користувачів. Водночас її широке застосування супроводжується низкою технологічних, етичних і правових викликів. Для мінімізації ризиків необхідна комплексна стратегія, що об'єднує технічне вдосконалення, правове регулювання та захист основоположних прав людини. Лише за умови дотримання балансу між інноваціями і правами особи біометричні технології можуть стати надійним і безпечним інструментом у майбутньому.</w:t>
      </w:r>
    </w:p>
    <w:p w14:paraId="291CE606" w14:textId="77777777" w:rsidR="00532C25" w:rsidRPr="00511005" w:rsidRDefault="00532C25" w:rsidP="00532C25">
      <w:pPr>
        <w:spacing w:line="264" w:lineRule="auto"/>
        <w:ind w:firstLine="720"/>
        <w:rPr>
          <w:rFonts w:ascii="Arial" w:eastAsia="Calibri" w:hAnsi="Arial" w:cs="Arial"/>
          <w:szCs w:val="28"/>
          <w:lang w:val="uk-UA"/>
        </w:rPr>
      </w:pPr>
    </w:p>
    <w:p w14:paraId="54B12AF4"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2BC9A404" w14:textId="77777777" w:rsidR="00532C25" w:rsidRPr="00511005" w:rsidRDefault="00532C25" w:rsidP="003F6A5D">
      <w:pPr>
        <w:numPr>
          <w:ilvl w:val="0"/>
          <w:numId w:val="835"/>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Бідюк, П. Сучасні методи біометричної ідентифікації / Петро Бідюк, Володимир Бондарчук // Правове, нормативне та метрологічне </w:t>
      </w:r>
      <w:r w:rsidRPr="00511005">
        <w:rPr>
          <w:rFonts w:ascii="Arial" w:eastAsia="Times New Roman" w:hAnsi="Arial" w:cs="Arial"/>
          <w:szCs w:val="28"/>
          <w:lang w:val="uk-UA" w:eastAsia="ru-RU"/>
        </w:rPr>
        <w:lastRenderedPageBreak/>
        <w:t>забезпечення системи захисту інформації в Україні : науково-технічний збірник. – 2009. – 137-146 с.</w:t>
      </w:r>
    </w:p>
    <w:p w14:paraId="71A5EAF7" w14:textId="77777777" w:rsidR="00532C25" w:rsidRPr="00511005" w:rsidRDefault="00532C25" w:rsidP="003F6A5D">
      <w:pPr>
        <w:numPr>
          <w:ilvl w:val="0"/>
          <w:numId w:val="835"/>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Прудник А.М. Біометричні методи захисту інформації / А.М. Прудник, Г.А. В. Рощупкін. – Норка : БГУІР, 2014. – 123 с.</w:t>
      </w:r>
    </w:p>
    <w:p w14:paraId="05340ACF" w14:textId="77777777" w:rsidR="00532C25" w:rsidRPr="00511005" w:rsidRDefault="00532C25" w:rsidP="003F6A5D">
      <w:pPr>
        <w:numPr>
          <w:ilvl w:val="0"/>
          <w:numId w:val="835"/>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eastAsia="ru-RU"/>
        </w:rPr>
        <w:t>Терещенко В. Застосування біометричних систем аутентифікації особи</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w:t>
      </w:r>
      <w:r w:rsidRPr="00511005">
        <w:rPr>
          <w:rFonts w:ascii="Arial" w:eastAsia="Times New Roman" w:hAnsi="Arial" w:cs="Arial"/>
          <w:iCs/>
          <w:szCs w:val="28"/>
          <w:lang w:eastAsia="ru-RU"/>
        </w:rPr>
        <w:t>Електронний репозитарій Національної академії внутрішніх справ</w:t>
      </w:r>
      <w:r w:rsidRPr="00511005">
        <w:rPr>
          <w:rFonts w:ascii="Arial" w:eastAsia="Times New Roman" w:hAnsi="Arial" w:cs="Arial"/>
          <w:szCs w:val="28"/>
          <w:lang w:eastAsia="ru-RU"/>
        </w:rPr>
        <w:t>, Україна, Київ,</w:t>
      </w:r>
      <w:r w:rsidRPr="00511005">
        <w:rPr>
          <w:rFonts w:ascii="Arial" w:eastAsia="Times New Roman" w:hAnsi="Arial" w:cs="Arial"/>
          <w:szCs w:val="28"/>
          <w:lang w:val="uk-UA" w:eastAsia="ru-RU"/>
        </w:rPr>
        <w:t>2018 - 1 с.</w:t>
      </w:r>
    </w:p>
    <w:p w14:paraId="388F4B17" w14:textId="77777777" w:rsidR="00532C25" w:rsidRPr="00511005" w:rsidRDefault="00532C25" w:rsidP="00532C25">
      <w:pPr>
        <w:spacing w:line="264" w:lineRule="auto"/>
        <w:ind w:firstLine="720"/>
        <w:rPr>
          <w:rFonts w:ascii="Arial" w:eastAsia="Calibri" w:hAnsi="Arial" w:cs="Arial"/>
          <w:b/>
          <w:szCs w:val="28"/>
          <w:lang w:val="uk-UA"/>
        </w:rPr>
      </w:pPr>
    </w:p>
    <w:p w14:paraId="6C408B6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ідентифікація, ідентифікація особи за біометричними даними.</w:t>
      </w:r>
    </w:p>
    <w:p w14:paraId="03316E74" w14:textId="77777777" w:rsidR="00532C25" w:rsidRPr="00511005" w:rsidRDefault="00532C25" w:rsidP="00532C25">
      <w:pPr>
        <w:spacing w:line="264" w:lineRule="auto"/>
        <w:ind w:firstLine="720"/>
        <w:rPr>
          <w:rFonts w:ascii="Arial" w:eastAsia="Calibri" w:hAnsi="Arial" w:cs="Arial"/>
          <w:bCs/>
          <w:szCs w:val="28"/>
          <w:lang w:val="en-US"/>
        </w:rPr>
      </w:pPr>
      <w:r w:rsidRPr="00511005">
        <w:rPr>
          <w:rFonts w:ascii="Arial" w:eastAsia="Calibri" w:hAnsi="Arial" w:cs="Arial"/>
          <w:b/>
          <w:i/>
          <w:szCs w:val="28"/>
          <w:lang w:val="en-US"/>
        </w:rPr>
        <w:t xml:space="preserve">Key words: </w:t>
      </w:r>
      <w:r w:rsidRPr="00511005">
        <w:rPr>
          <w:rFonts w:ascii="Arial" w:eastAsia="Calibri" w:hAnsi="Arial" w:cs="Arial"/>
          <w:bCs/>
          <w:szCs w:val="28"/>
          <w:lang w:val="en-US"/>
        </w:rPr>
        <w:t>identification, personal identification using biometric data.</w:t>
      </w:r>
    </w:p>
    <w:p w14:paraId="1A66FEE2" w14:textId="77777777" w:rsidR="00532C25" w:rsidRPr="00511005" w:rsidRDefault="00532C25" w:rsidP="00532C25">
      <w:pPr>
        <w:spacing w:line="264" w:lineRule="auto"/>
        <w:ind w:firstLine="72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i/>
          <w:iCs/>
          <w:szCs w:val="28"/>
          <w:lang w:val="uk-UA"/>
        </w:rPr>
        <w:t>асистент Мурашко А.С.</w:t>
      </w:r>
    </w:p>
    <w:p w14:paraId="7C4CD40E" w14:textId="77777777" w:rsidR="00532C25" w:rsidRPr="00511005" w:rsidRDefault="00532C25" w:rsidP="00532C25">
      <w:pPr>
        <w:spacing w:line="264" w:lineRule="auto"/>
        <w:ind w:firstLine="720"/>
        <w:rPr>
          <w:rFonts w:ascii="Arial" w:eastAsia="Calibri" w:hAnsi="Arial" w:cs="Arial"/>
          <w:szCs w:val="28"/>
          <w:lang w:val="uk-UA"/>
        </w:rPr>
      </w:pPr>
    </w:p>
    <w:p w14:paraId="2A701785" w14:textId="77777777" w:rsidR="00532C25" w:rsidRPr="00511005" w:rsidRDefault="00532C25" w:rsidP="00532C25">
      <w:pPr>
        <w:spacing w:line="264" w:lineRule="auto"/>
        <w:ind w:firstLine="720"/>
        <w:jc w:val="left"/>
        <w:rPr>
          <w:rFonts w:ascii="Arial" w:eastAsia="Calibri" w:hAnsi="Arial" w:cs="Arial"/>
          <w:b/>
          <w:szCs w:val="28"/>
          <w:lang w:val="uk-UA"/>
        </w:rPr>
      </w:pPr>
    </w:p>
    <w:p w14:paraId="29431BAA" w14:textId="77777777" w:rsidR="00532C25" w:rsidRPr="00511005" w:rsidRDefault="00532C25" w:rsidP="00532C25">
      <w:pPr>
        <w:spacing w:line="264" w:lineRule="auto"/>
        <w:ind w:firstLine="720"/>
        <w:jc w:val="center"/>
        <w:rPr>
          <w:rFonts w:ascii="Arial" w:eastAsia="Calibri" w:hAnsi="Arial" w:cs="Arial"/>
          <w:b/>
          <w:i/>
          <w:szCs w:val="28"/>
          <w:lang w:val="uk-UA"/>
        </w:rPr>
      </w:pPr>
      <w:r w:rsidRPr="00511005">
        <w:rPr>
          <w:rFonts w:ascii="Arial" w:eastAsia="Calibri" w:hAnsi="Arial" w:cs="Arial"/>
          <w:b/>
          <w:i/>
          <w:szCs w:val="28"/>
        </w:rPr>
        <w:t xml:space="preserve">Плачинда </w:t>
      </w:r>
      <w:r w:rsidRPr="00511005">
        <w:rPr>
          <w:rFonts w:ascii="Arial" w:eastAsia="Calibri" w:hAnsi="Arial" w:cs="Arial"/>
          <w:b/>
          <w:i/>
          <w:szCs w:val="28"/>
          <w:lang w:val="uk-UA"/>
        </w:rPr>
        <w:t>Анастасія Павлівна</w:t>
      </w:r>
    </w:p>
    <w:p w14:paraId="0E891424"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2-го курсу факультету адвокатури та антикорупційної діяльності Національного університету «Одеська юридична академія»</w:t>
      </w:r>
    </w:p>
    <w:p w14:paraId="3BD65237" w14:textId="77777777" w:rsidR="00532C25" w:rsidRPr="00511005" w:rsidRDefault="00532C25" w:rsidP="00532C25">
      <w:pPr>
        <w:spacing w:line="264" w:lineRule="auto"/>
        <w:ind w:firstLine="720"/>
        <w:jc w:val="center"/>
        <w:rPr>
          <w:rFonts w:ascii="Arial" w:eastAsia="Calibri" w:hAnsi="Arial" w:cs="Arial"/>
          <w:szCs w:val="28"/>
          <w:lang w:val="uk-UA"/>
        </w:rPr>
      </w:pPr>
    </w:p>
    <w:p w14:paraId="281CD71B"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ПРАВОВІ АСПЕКТИ ЗАСТОСУВАННЯ ПОЛІГРАФУ В УКРАЇНІ: ВИКЛИКИ ПРАКТИКИ ТА ШЛЯХИ ВДОСКОНАЛЕННЯ ЗАКОНОДАВСТВА</w:t>
      </w:r>
    </w:p>
    <w:p w14:paraId="7574F974"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У період стрімких змін, які переживає Україна у процесі утвердження принципів правової держави, виникає об'єктивна потреба у вдосконаленні механізмів пошуку істини у судових і позасудових процедурах. Одним із таких інструментів є поліграф – технічний пристрій, здатний реєструвати фізіологічні реакції людини, що виникають у відповідь на поставлені запитання. Його використання має на меті допомогти встановити істину в умовах, коли традиційні методи збору доказів можуть бути недостатніми.</w:t>
      </w:r>
    </w:p>
    <w:p w14:paraId="2392BE65"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Поліграф, або як його часто називають, «детектор брехні», в українській правозастосовній практиці на сьогодні займає радше допоміжне місце. Його потенціал викликає велику зацікавленість серед правоохоронних органів, приватного сектору, науковців та суспільства загалом. Проте відсутність чітких законодавчих орієнтирів щодо використання поліграфа створює серйозні ризики як для прав суб'єктів тестування, так і для достовірності отриманих результатів. Незважаючи на численні позитивні приклади використання поліграфічних досліджень, в українській науковій та правозастосовній практиці триває полеміка щодо їх доказової цінності, допустимості у судових процесах та відповідності принципам захисту прав людини. Конституція України гарантує кожному громадянину право на свободу та особисту недоторканність, забороняє примус до самозвинувачення та гарантує захист персональних даних. Тому застосування поліграфа без добровільної згоди особи може суперечити основоположним засадам національного права. Водночас світовий досвід </w:t>
      </w:r>
      <w:r w:rsidRPr="00511005">
        <w:rPr>
          <w:rFonts w:ascii="Arial" w:eastAsia="Times New Roman" w:hAnsi="Arial" w:cs="Arial"/>
          <w:szCs w:val="28"/>
          <w:lang w:val="uk-UA" w:eastAsia="ru-RU"/>
        </w:rPr>
        <w:lastRenderedPageBreak/>
        <w:t>доводить: правильно нормативно врегульоване використання поліграфа може бути потужним інструментом забезпечення справедливості. У США поліграф широко використовується в рамках кадрового добору, розслідувань та контролю за умовно звільненими особами. У Великій Британії поліграф застосовується в пенітенціарній системі для запобігання повторним злочинам. При цьому всюди дотримується принцип добровільності та чіткої регламентації процедури тестування. В українських реаліях важливо забезпечити баланс між потребою суспільства у правді та необхідністю захисту конституційних прав і свобод громадян. Тому комплексне дослідження правових аспектів застосування поліграфа є надзвичайно актуальним.</w:t>
      </w:r>
    </w:p>
    <w:p w14:paraId="4F9EE7DB"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Calibri" w:hAnsi="Arial" w:cs="Arial"/>
          <w:szCs w:val="28"/>
          <w:lang w:val="uk-UA"/>
        </w:rPr>
        <w:t xml:space="preserve">В Україні поліграфологічна діяльність регулюється низкою нормативних актів, однак спеціального закону, який би комплексно визначав правові засади її здійснення, досі не прийнято. Згідно з проектом Закону України «Про поліграфологічну діяльність», запропонованим народним депутатом А.В. Журжієм, поліграфологічна діяльність визначається як проведення психофізіологічних опитувань з використанням поліграфа, аналіз отриманих даних та підготовка висновків [1]. Проте цей законопроект залишається на стадії розгляду, що свідчить про брак політичної волі для врегулювання цього питання. Національна асоціація поліграфологів України (НАПУ) зазначає, що поліграфні дослідження поділяються на два типи: стандартні перевірки (тести) та психологічні експертизи в рамках судових процесів [2, с. 13]. Перші застосовуються для кадрового відбору, розслідування правопорушень чи вирішення приватних питань, тоді як другі мають доказове значення в кримінальному, цивільному чи адміністративному процесі. Важливо, що поліграфні дослідження не належать до медичної практики і не потребують ліцензування, що полегшує їх застосування, але водночас створює ризик зловживань через відсутність чітких стандартів. Конституція України встановлює фундаментальні принципи, які стосуються застосування поліграфа. Зокрема, стаття 28 забороняє піддавати особу науковим чи іншим дослідженням без її добровільної згоди [3]. Це положення є ключовим для поліграфологічних досліджень, оскільки вони проводяться виключно за письмовою згодою особи. У правоохоронній сфері застосування поліграфа регулюється окремими нормативними актами. Наприклад, стаття 26 Закону України «Про Державне бюро розслідувань» передбачає можливість проведення психофізіологічного дослідження із застосуванням поліграфа для кандидатів на посади. Аналогічне положення міститься в статті 24 Закону України «Про Бюро економічної безпеки України». Наказ Міністерства внутрішніх справ України №920 від 13.11.2017 затверджує Інструкцію про порядок використання поліграфів у Національній поліції. Порядок проведення психологічних експертиз із застосуванням поліграфа </w:t>
      </w:r>
      <w:r w:rsidRPr="00511005">
        <w:rPr>
          <w:rFonts w:ascii="Arial" w:eastAsia="Calibri" w:hAnsi="Arial" w:cs="Arial"/>
          <w:szCs w:val="28"/>
          <w:lang w:val="uk-UA"/>
        </w:rPr>
        <w:lastRenderedPageBreak/>
        <w:t>регулюється Законом України «Про судову експертизу» та Наказом Міністерства юстиції України №53/5 від 08.10.1998. Згідно з пунктом 6.8 Інструкції, затвердженої цим наказом, поліграф може використовуватися для отримання орієнтовної інформації, зокрема щодо правдивості наданих особою даних чи її уявлень про певну подію. Проте чинне кримінально-процесуальне законодавство не передбачає використання результатів поліграфічного дослідження як прямого доказу, що створює правову колізію.</w:t>
      </w:r>
    </w:p>
    <w:p w14:paraId="1E319B1F"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Незважаючи на значний потенціал поліграфічних досліджень для розслідування злочинів і кадрового добору, в Україні існує низка суттєвих правових проблем, що ускладнюють повноцінне використання поліграфа у правозастосовній діяльності. Однією з ключових проблем є відсутність нормативного врегулювання допустимості результатів поліграфа як доказу в кримінальному процесі. Кримінальний процесуальний кодекс України не містить прямої вказівки на результати поліграфа серед джерел доказів, що створює неоднозначність судової практики та ускладнює оцінку таких матеріалів у кримінальних справах. Судова практика застосування поліграфа в Україні демонструє обережний підхід. Згідно з аналізом, підготовленим Національною асоціацією поліграфологів України, суди іноді враховують результати поліграфа як додатковий доказ, що допомагає оцінити достовірність показань сторін. Так, у низці судових рішень результати тестування приймалися як допоміжний елемент доказування у справах про хабарництво та службові злочини, особливо коли поліграфічні дані підтверджували або спростовували версії сторін. Водночас через відсутність чітких законодавчих норм суди часто відмовляються брати до уваги такі результати, посилаючись на відсутність процесуальної регламентації.</w:t>
      </w:r>
    </w:p>
    <w:p w14:paraId="7018B094"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Для вирішення зазначених проблем необхідно внести зміни до Кримінального процесуального кодексу України, зокрема доповнити статтю 84 вказівкою на можливість використання результатів поліграфа за умов дотримання добровільності та проведення тестування сертифікованим фахівцем. Також доцільним є ухвалення окремого закону «Про поліграфічні дослідження», який би визначив порядок проходження тестування, умови використання результатів у кримінальному, цивільному та адміністративному процесах, а також вимоги до фахової підготовки поліграфологів. Крім того, важливим кроком є впровадження державної сертифікації поліграфологів, розробка єдиних методик проведення тестувань і створення електронного реєстру поліграфологів, що відповідають встановленим вимогам. Лише за умови чіткої нормативної бази можна буде ефективно використовувати результати поліграфа у судовому процесі без ризику порушення прав людини та з дотриманням принципів належного судочинства. Таким чином, вдосконалення правового регулювання застосування поліграфа в Україні є необхідною умовою для </w:t>
      </w:r>
      <w:r w:rsidRPr="00511005">
        <w:rPr>
          <w:rFonts w:ascii="Arial" w:eastAsia="Times New Roman" w:hAnsi="Arial" w:cs="Arial"/>
          <w:szCs w:val="28"/>
          <w:lang w:val="uk-UA" w:eastAsia="ru-RU"/>
        </w:rPr>
        <w:lastRenderedPageBreak/>
        <w:t>забезпечення справедливого, ефективного та правового судочинства в умовах сучасних викликів.</w:t>
      </w:r>
    </w:p>
    <w:p w14:paraId="7E3B0011"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Calibri" w:hAnsi="Arial" w:cs="Arial"/>
          <w:szCs w:val="28"/>
          <w:lang w:val="uk-UA"/>
        </w:rPr>
        <w:t>Отже, застосування поліграфа в Україні на сьогодні перебуває на стадії формування належної правової основи та процесуальної практики. Відсутність законодавчого врегулювання порядку використання результатів поліграфічного дослідження, а також неоднозначність судової практики свідчать про необхідність комплексного підходу до вирішення цієї проблеми. Аналіз судових рішень підтверджує можливість врахування результатів поліграфа як допоміжного доказу, проте остаточне рішення залежить від внутрішнього переконання суду та наявності інших доказів у справі. Вдосконалення правового регулювання повинно включати закріплення процедури добровільного проходження тестування та доповнення Кримінального процесуального кодексу України відповідними положеннями. Реалізація запропонованих змін сприятиме підвищенню ефективності розслідувань, забезпеченню прав людини та укріпленню довіри до правової системи України.</w:t>
      </w:r>
    </w:p>
    <w:p w14:paraId="387E985E" w14:textId="77777777" w:rsidR="00532C25" w:rsidRPr="00511005" w:rsidRDefault="00532C25" w:rsidP="00532C25">
      <w:pPr>
        <w:spacing w:line="264" w:lineRule="auto"/>
        <w:ind w:firstLine="720"/>
        <w:jc w:val="center"/>
        <w:rPr>
          <w:rFonts w:ascii="Arial" w:eastAsia="Times New Roman" w:hAnsi="Arial" w:cs="Arial"/>
          <w:b/>
          <w:szCs w:val="28"/>
          <w:lang w:val="uk-UA" w:eastAsia="ru-RU"/>
        </w:rPr>
      </w:pPr>
    </w:p>
    <w:p w14:paraId="6BA8224A" w14:textId="77777777" w:rsidR="00532C25" w:rsidRPr="00511005" w:rsidRDefault="00532C25" w:rsidP="00532C25">
      <w:pPr>
        <w:spacing w:line="264" w:lineRule="auto"/>
        <w:ind w:firstLine="72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2C38706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1. Проект Закону України про поліграфологічну діяльність: Проект Закону України від 04 березня 2016 р. № 4094-1 // Офіційний вебпортал Верховної Ради України. – Електронний ресурс. – </w:t>
      </w:r>
      <w:r w:rsidRPr="00511005">
        <w:rPr>
          <w:rFonts w:ascii="Arial" w:eastAsia="Calibri" w:hAnsi="Arial" w:cs="Arial"/>
          <w:szCs w:val="28"/>
        </w:rPr>
        <w:t>URL</w:t>
      </w:r>
      <w:r w:rsidRPr="00511005">
        <w:rPr>
          <w:rFonts w:ascii="Arial" w:eastAsia="Calibri" w:hAnsi="Arial" w:cs="Arial"/>
          <w:szCs w:val="28"/>
          <w:lang w:val="uk-UA"/>
        </w:rPr>
        <w:t xml:space="preserve">: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itd</w:instrText>
      </w:r>
      <w:r w:rsidR="005938AD" w:rsidRPr="00055389">
        <w:rPr>
          <w:lang w:val="uk-UA"/>
        </w:rPr>
        <w:instrText>.</w:instrText>
      </w:r>
      <w:r w:rsidR="005938AD">
        <w:instrText>rada</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billInfo</w:instrText>
      </w:r>
      <w:r w:rsidR="005938AD" w:rsidRPr="00055389">
        <w:rPr>
          <w:lang w:val="uk-UA"/>
        </w:rPr>
        <w:instrText>/</w:instrText>
      </w:r>
      <w:r w:rsidR="005938AD">
        <w:instrText>Bills</w:instrText>
      </w:r>
      <w:r w:rsidR="005938AD" w:rsidRPr="00055389">
        <w:rPr>
          <w:lang w:val="uk-UA"/>
        </w:rPr>
        <w:instrText>/</w:instrText>
      </w:r>
      <w:r w:rsidR="005938AD">
        <w:instrText>Card</w:instrText>
      </w:r>
      <w:r w:rsidR="005938AD" w:rsidRPr="00055389">
        <w:rPr>
          <w:lang w:val="uk-UA"/>
        </w:rPr>
        <w:instrText xml:space="preserve">/38106" </w:instrText>
      </w:r>
      <w:r w:rsidR="005938AD">
        <w:fldChar w:fldCharType="separate"/>
      </w:r>
      <w:r w:rsidRPr="00511005">
        <w:rPr>
          <w:rFonts w:ascii="Arial" w:eastAsia="Calibri" w:hAnsi="Arial" w:cs="Arial"/>
          <w:szCs w:val="28"/>
        </w:rPr>
        <w:t>https</w:t>
      </w:r>
      <w:r w:rsidRPr="00511005">
        <w:rPr>
          <w:rFonts w:ascii="Arial" w:eastAsia="Calibri" w:hAnsi="Arial" w:cs="Arial"/>
          <w:szCs w:val="28"/>
          <w:lang w:val="uk-UA"/>
        </w:rPr>
        <w:t>://</w:t>
      </w:r>
      <w:r w:rsidRPr="00511005">
        <w:rPr>
          <w:rFonts w:ascii="Arial" w:eastAsia="Calibri" w:hAnsi="Arial" w:cs="Arial"/>
          <w:szCs w:val="28"/>
        </w:rPr>
        <w:t>itd</w:t>
      </w:r>
      <w:r w:rsidRPr="00511005">
        <w:rPr>
          <w:rFonts w:ascii="Arial" w:eastAsia="Calibri" w:hAnsi="Arial" w:cs="Arial"/>
          <w:szCs w:val="28"/>
          <w:lang w:val="uk-UA"/>
        </w:rPr>
        <w:t>.</w:t>
      </w:r>
      <w:r w:rsidRPr="00511005">
        <w:rPr>
          <w:rFonts w:ascii="Arial" w:eastAsia="Calibri" w:hAnsi="Arial" w:cs="Arial"/>
          <w:szCs w:val="28"/>
        </w:rPr>
        <w:t>rada</w:t>
      </w:r>
      <w:r w:rsidRPr="00511005">
        <w:rPr>
          <w:rFonts w:ascii="Arial" w:eastAsia="Calibri" w:hAnsi="Arial" w:cs="Arial"/>
          <w:szCs w:val="28"/>
          <w:lang w:val="uk-UA"/>
        </w:rPr>
        <w:t>.</w:t>
      </w:r>
      <w:r w:rsidRPr="00511005">
        <w:rPr>
          <w:rFonts w:ascii="Arial" w:eastAsia="Calibri" w:hAnsi="Arial" w:cs="Arial"/>
          <w:szCs w:val="28"/>
        </w:rPr>
        <w:t>gov</w:t>
      </w:r>
      <w:r w:rsidRPr="00511005">
        <w:rPr>
          <w:rFonts w:ascii="Arial" w:eastAsia="Calibri" w:hAnsi="Arial" w:cs="Arial"/>
          <w:szCs w:val="28"/>
          <w:lang w:val="uk-UA"/>
        </w:rPr>
        <w:t>.</w:t>
      </w:r>
      <w:r w:rsidRPr="00511005">
        <w:rPr>
          <w:rFonts w:ascii="Arial" w:eastAsia="Calibri" w:hAnsi="Arial" w:cs="Arial"/>
          <w:szCs w:val="28"/>
        </w:rPr>
        <w:t>ua</w:t>
      </w:r>
      <w:r w:rsidRPr="00511005">
        <w:rPr>
          <w:rFonts w:ascii="Arial" w:eastAsia="Calibri" w:hAnsi="Arial" w:cs="Arial"/>
          <w:szCs w:val="28"/>
          <w:lang w:val="uk-UA"/>
        </w:rPr>
        <w:t>/</w:t>
      </w:r>
      <w:r w:rsidRPr="00511005">
        <w:rPr>
          <w:rFonts w:ascii="Arial" w:eastAsia="Calibri" w:hAnsi="Arial" w:cs="Arial"/>
          <w:szCs w:val="28"/>
        </w:rPr>
        <w:t>billInfo</w:t>
      </w:r>
      <w:r w:rsidRPr="00511005">
        <w:rPr>
          <w:rFonts w:ascii="Arial" w:eastAsia="Calibri" w:hAnsi="Arial" w:cs="Arial"/>
          <w:szCs w:val="28"/>
          <w:lang w:val="uk-UA"/>
        </w:rPr>
        <w:t>/</w:t>
      </w:r>
      <w:r w:rsidRPr="00511005">
        <w:rPr>
          <w:rFonts w:ascii="Arial" w:eastAsia="Calibri" w:hAnsi="Arial" w:cs="Arial"/>
          <w:szCs w:val="28"/>
        </w:rPr>
        <w:t>Bills</w:t>
      </w:r>
      <w:r w:rsidRPr="00511005">
        <w:rPr>
          <w:rFonts w:ascii="Arial" w:eastAsia="Calibri" w:hAnsi="Arial" w:cs="Arial"/>
          <w:szCs w:val="28"/>
          <w:lang w:val="uk-UA"/>
        </w:rPr>
        <w:t>/</w:t>
      </w:r>
      <w:r w:rsidRPr="00511005">
        <w:rPr>
          <w:rFonts w:ascii="Arial" w:eastAsia="Calibri" w:hAnsi="Arial" w:cs="Arial"/>
          <w:szCs w:val="28"/>
        </w:rPr>
        <w:t>Card</w:t>
      </w:r>
      <w:r w:rsidRPr="00511005">
        <w:rPr>
          <w:rFonts w:ascii="Arial" w:eastAsia="Calibri" w:hAnsi="Arial" w:cs="Arial"/>
          <w:szCs w:val="28"/>
          <w:lang w:val="uk-UA"/>
        </w:rPr>
        <w:t>/38106</w:t>
      </w:r>
      <w:r w:rsidR="005938AD">
        <w:rPr>
          <w:rFonts w:ascii="Arial" w:eastAsia="Calibri" w:hAnsi="Arial" w:cs="Arial"/>
          <w:szCs w:val="28"/>
          <w:lang w:val="uk-UA"/>
        </w:rPr>
        <w:fldChar w:fldCharType="end"/>
      </w:r>
    </w:p>
    <w:p w14:paraId="0C3D4BFB"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2. Презентація Національної асоціації поліграфологів України (НАПУ). – 2025. – 25 с.</w:t>
      </w:r>
    </w:p>
    <w:p w14:paraId="26989BE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3. Конституція України від</w:t>
      </w:r>
      <w:r w:rsidRPr="00511005">
        <w:rPr>
          <w:rFonts w:ascii="Arial" w:eastAsia="Calibri" w:hAnsi="Arial" w:cs="Arial"/>
          <w:szCs w:val="28"/>
        </w:rPr>
        <w:t xml:space="preserve"> 28.06.1996 року. – URL: </w:t>
      </w:r>
      <w:hyperlink r:id="rId2011" w:anchor="Text" w:history="1">
        <w:r w:rsidRPr="00511005">
          <w:rPr>
            <w:rFonts w:ascii="Arial" w:eastAsia="Calibri" w:hAnsi="Arial" w:cs="Arial"/>
            <w:szCs w:val="28"/>
          </w:rPr>
          <w:t>https://zakon.rada.gov.ua/laws/show/254%D0%BA/96-%D0%B2%D1%80#Text</w:t>
        </w:r>
      </w:hyperlink>
    </w:p>
    <w:p w14:paraId="47A0A2FC" w14:textId="77777777" w:rsidR="00532C25" w:rsidRPr="00511005" w:rsidRDefault="00532C25" w:rsidP="00532C25">
      <w:pPr>
        <w:spacing w:line="264" w:lineRule="auto"/>
        <w:ind w:firstLine="720"/>
        <w:rPr>
          <w:rFonts w:ascii="Arial" w:eastAsia="Calibri" w:hAnsi="Arial" w:cs="Arial"/>
          <w:szCs w:val="28"/>
          <w:lang w:val="uk-UA"/>
        </w:rPr>
      </w:pPr>
    </w:p>
    <w:p w14:paraId="789989BD"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Pr="00511005">
        <w:rPr>
          <w:rFonts w:ascii="Arial" w:eastAsia="Times New Roman" w:hAnsi="Arial" w:cs="Arial"/>
          <w:szCs w:val="28"/>
          <w:lang w:val="uk-UA" w:eastAsia="ru-RU"/>
        </w:rPr>
        <w:t>поліграф, поліграфологічна діяльність, докази, Кримінальний процесуальний кодекс України, добровільна згода, права людини, судова практика, нормативне регулювання, законодавча невизначеність, Національна асоціація поліграфологів України.</w:t>
      </w:r>
    </w:p>
    <w:p w14:paraId="354622F4" w14:textId="77777777" w:rsidR="00532C25" w:rsidRPr="00511005" w:rsidRDefault="00532C25" w:rsidP="00532C25">
      <w:pPr>
        <w:spacing w:line="264" w:lineRule="auto"/>
        <w:ind w:firstLine="720"/>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polygraph, polygraphological activity, evidence, Criminal Procedure Code of Ukraine, voluntary consent, human rights, judicial practice, regulatory framework, legislative uncertainty, National Association of Polygraphologists of Ukraine.</w:t>
      </w:r>
    </w:p>
    <w:p w14:paraId="5EB7B7E4" w14:textId="77777777" w:rsidR="00532C25" w:rsidRPr="00511005" w:rsidRDefault="00532C25" w:rsidP="00532C25">
      <w:pPr>
        <w:spacing w:line="264" w:lineRule="auto"/>
        <w:ind w:firstLine="720"/>
        <w:rPr>
          <w:rFonts w:ascii="Arial" w:hAnsi="Arial" w:cs="Arial"/>
          <w:i/>
          <w:szCs w:val="28"/>
          <w:lang w:val="uk-UA" w:eastAsia="zh-CN"/>
        </w:rPr>
      </w:pPr>
      <w:r w:rsidRPr="00511005">
        <w:rPr>
          <w:rFonts w:ascii="Arial" w:hAnsi="Arial" w:cs="Arial"/>
          <w:b/>
          <w:i/>
          <w:szCs w:val="28"/>
          <w:lang w:val="uk-UA" w:eastAsia="zh-CN"/>
        </w:rPr>
        <w:t xml:space="preserve">Науковий керівник: </w:t>
      </w:r>
      <w:r w:rsidRPr="00511005">
        <w:rPr>
          <w:rFonts w:ascii="Arial" w:hAnsi="Arial" w:cs="Arial"/>
          <w:i/>
          <w:iCs/>
          <w:szCs w:val="28"/>
          <w:lang w:val="uk-UA" w:eastAsia="zh-CN"/>
        </w:rPr>
        <w:t>доктор філософії</w:t>
      </w:r>
      <w:r w:rsidRPr="00511005">
        <w:rPr>
          <w:rFonts w:ascii="Arial" w:hAnsi="Arial" w:cs="Arial"/>
          <w:i/>
          <w:szCs w:val="28"/>
          <w:lang w:val="uk-UA" w:eastAsia="zh-CN"/>
        </w:rPr>
        <w:t xml:space="preserve"> Чернов О.В.</w:t>
      </w:r>
    </w:p>
    <w:p w14:paraId="49168A15" w14:textId="77777777" w:rsidR="00532C25" w:rsidRPr="00511005" w:rsidRDefault="00532C25" w:rsidP="00532C25">
      <w:pPr>
        <w:spacing w:line="264" w:lineRule="auto"/>
        <w:ind w:firstLine="720"/>
        <w:rPr>
          <w:rFonts w:ascii="Arial" w:eastAsia="Times New Roman" w:hAnsi="Arial" w:cs="Arial"/>
          <w:szCs w:val="28"/>
          <w:lang w:val="uk-UA" w:eastAsia="ru-RU"/>
        </w:rPr>
      </w:pPr>
    </w:p>
    <w:p w14:paraId="00BC22D2" w14:textId="77777777" w:rsidR="00532C25" w:rsidRPr="00511005" w:rsidRDefault="00532C25" w:rsidP="00532C25">
      <w:pPr>
        <w:spacing w:line="264" w:lineRule="auto"/>
        <w:ind w:firstLine="720"/>
        <w:jc w:val="left"/>
        <w:rPr>
          <w:rFonts w:ascii="Arial" w:eastAsia="Calibri" w:hAnsi="Arial" w:cs="Arial"/>
          <w:b/>
          <w:szCs w:val="28"/>
          <w:lang w:val="uk-UA"/>
        </w:rPr>
      </w:pPr>
    </w:p>
    <w:p w14:paraId="4C9087F0" w14:textId="77777777" w:rsidR="00532C25" w:rsidRPr="00511005" w:rsidRDefault="00532C25" w:rsidP="00532C25">
      <w:pPr>
        <w:spacing w:line="264" w:lineRule="auto"/>
        <w:ind w:firstLine="720"/>
        <w:jc w:val="center"/>
        <w:rPr>
          <w:rFonts w:ascii="Arial" w:eastAsia="Calibri" w:hAnsi="Arial" w:cs="Arial"/>
          <w:b/>
          <w:bCs/>
          <w:i/>
          <w:szCs w:val="28"/>
        </w:rPr>
      </w:pPr>
    </w:p>
    <w:p w14:paraId="5FBBDE20" w14:textId="77777777" w:rsidR="00532C25" w:rsidRPr="00511005" w:rsidRDefault="00532C25" w:rsidP="00532C25">
      <w:pPr>
        <w:spacing w:line="264" w:lineRule="auto"/>
        <w:ind w:firstLine="720"/>
        <w:jc w:val="center"/>
        <w:rPr>
          <w:rFonts w:ascii="Arial" w:eastAsia="Calibri" w:hAnsi="Arial" w:cs="Arial"/>
          <w:b/>
          <w:bCs/>
          <w:i/>
          <w:szCs w:val="28"/>
        </w:rPr>
      </w:pPr>
      <w:r w:rsidRPr="00511005">
        <w:rPr>
          <w:rFonts w:ascii="Arial" w:eastAsia="Calibri" w:hAnsi="Arial" w:cs="Arial"/>
          <w:b/>
          <w:bCs/>
          <w:i/>
          <w:szCs w:val="28"/>
        </w:rPr>
        <w:t>Плішко Діана Василівна</w:t>
      </w:r>
    </w:p>
    <w:p w14:paraId="4545520F"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0F69DA86"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AF10EAF"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lastRenderedPageBreak/>
        <w:t>Національного університету «Одеська юридична академія»</w:t>
      </w:r>
    </w:p>
    <w:p w14:paraId="3CCD3EC5" w14:textId="77777777" w:rsidR="00532C25" w:rsidRPr="00511005" w:rsidRDefault="00532C25" w:rsidP="00532C25">
      <w:pPr>
        <w:spacing w:line="264" w:lineRule="auto"/>
        <w:ind w:firstLine="720"/>
        <w:jc w:val="center"/>
        <w:rPr>
          <w:rFonts w:ascii="Arial" w:eastAsia="Calibri" w:hAnsi="Arial" w:cs="Arial"/>
          <w:b/>
          <w:szCs w:val="28"/>
        </w:rPr>
      </w:pPr>
    </w:p>
    <w:p w14:paraId="28EDD453"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rPr>
        <w:t>ПОЧАТКОВИЙ ЕТАП РОЗСЛІДУВАННЯ В СИТУАЦІЇ РАПТОВОГО ЗНИКНЕННЯ ПЕВНОЇ ОСОБИ</w:t>
      </w:r>
    </w:p>
    <w:p w14:paraId="46F735F0" w14:textId="77777777" w:rsidR="00532C25" w:rsidRPr="00511005" w:rsidRDefault="00532C25" w:rsidP="00532C25">
      <w:pPr>
        <w:spacing w:line="264" w:lineRule="auto"/>
        <w:ind w:firstLine="720"/>
        <w:rPr>
          <w:rFonts w:ascii="Arial" w:eastAsia="Calibri" w:hAnsi="Arial" w:cs="Arial"/>
          <w:b/>
          <w:szCs w:val="28"/>
        </w:rPr>
      </w:pPr>
      <w:r w:rsidRPr="00511005">
        <w:rPr>
          <w:rFonts w:ascii="Arial" w:eastAsia="Calibri" w:hAnsi="Arial" w:cs="Arial"/>
          <w:szCs w:val="28"/>
        </w:rPr>
        <w:t>Актуальність дослідження.</w:t>
      </w:r>
      <w:r w:rsidRPr="00511005">
        <w:rPr>
          <w:rFonts w:ascii="Arial" w:eastAsia="Calibri" w:hAnsi="Arial" w:cs="Arial"/>
          <w:b/>
          <w:szCs w:val="28"/>
        </w:rPr>
        <w:t xml:space="preserve"> </w:t>
      </w:r>
      <w:r w:rsidRPr="00511005">
        <w:rPr>
          <w:rFonts w:ascii="Arial" w:eastAsia="Calibri" w:hAnsi="Arial" w:cs="Arial"/>
          <w:szCs w:val="28"/>
        </w:rPr>
        <w:t>Початковий етап розслідування у випадках раптового зникнення особи має велике значення для ефективного пошуку та встановлення істини щодо її долі. У сучасних умовах зростання кількості таких випадків, зокрема на тлі воєнного конфлікту, внутрішніх переміщень та зростаючої соціальної нестабільності, правоохоронні органи мають діяти максимально оперативно та професійно. Саме на початковому етапі закладається основа для побудови слідчих версій, збору доказової бази та виявлення можливих ознак злочину. Зволікання або помилки на цьому етапі можуть призвести до втрати цінної інформації, ускладнення розслідування або навіть неможливості врятувати людину.</w:t>
      </w:r>
    </w:p>
    <w:p w14:paraId="14DD2476"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У сучасних умовах трансформації українського суспільства, яка супроводжується нестабільністю в соціальній, економічній та політичній сферах, спостерігається помітне ускладнення криміногенної ситуації. Одним із її тривожних проявів є збільшення кількості випадків раптового зникнення людей. Такий характер подій, зокрема в ситуаціях, коли особа перестає виходити на зв'язок без попередніх ознак небезпеки або конфлікту, створює особливо напружену атмосферу як у суспільстві загалом, так і серед близького оточення зниклої особи. Науковці та практики звертають увагу на те, що з кожним роком спостерігається не просто статистичне зростання таких випадків, а й ускладнення механізмів їх розслідування, особливо на початковому етапі [</w:t>
      </w:r>
      <w:proofErr w:type="gramStart"/>
      <w:r w:rsidRPr="00511005">
        <w:rPr>
          <w:rFonts w:ascii="Arial" w:eastAsia="Calibri" w:hAnsi="Arial" w:cs="Arial"/>
          <w:szCs w:val="28"/>
        </w:rPr>
        <w:t>1,с.</w:t>
      </w:r>
      <w:proofErr w:type="gramEnd"/>
      <w:r w:rsidRPr="00511005">
        <w:rPr>
          <w:rFonts w:ascii="Arial" w:eastAsia="Calibri" w:hAnsi="Arial" w:cs="Arial"/>
          <w:szCs w:val="28"/>
        </w:rPr>
        <w:t>198].</w:t>
      </w:r>
    </w:p>
    <w:p w14:paraId="02CC8868" w14:textId="77777777" w:rsidR="00532C25" w:rsidRPr="00511005" w:rsidRDefault="00532C25" w:rsidP="00532C25">
      <w:pPr>
        <w:spacing w:line="264" w:lineRule="auto"/>
        <w:ind w:firstLine="720"/>
        <w:rPr>
          <w:rFonts w:ascii="Arial" w:eastAsia="Calibri" w:hAnsi="Arial" w:cs="Arial"/>
          <w:szCs w:val="28"/>
        </w:rPr>
      </w:pP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нормативно-правового поля питання раптового зникнення особи отримало чіткіше окреслення лише у 2018 році, коли було прийнято Закон України «Про правовий статус осіб, зниклих безвісти». Саме цей документ уперше надав офіційне визначення поняття «особа, яка зникла безвісти». Згідно з положеннями зазначеного закону, до осіб, які вважаються зниклими безвісти, належать фізичні особи, щодо яких відсутня інформація про їхнє місцеперебування на момент звернення заявника із відповідною заявою. При цьому юридичне оформлення статусу такої особи передбачено як через подання заяви до уповноважених органів, так і </w:t>
      </w:r>
      <w:proofErr w:type="gramStart"/>
      <w:r w:rsidRPr="00511005">
        <w:rPr>
          <w:rFonts w:ascii="Arial" w:eastAsia="Calibri" w:hAnsi="Arial" w:cs="Arial"/>
          <w:szCs w:val="28"/>
        </w:rPr>
        <w:t>в порядку</w:t>
      </w:r>
      <w:proofErr w:type="gramEnd"/>
      <w:r w:rsidRPr="00511005">
        <w:rPr>
          <w:rFonts w:ascii="Arial" w:eastAsia="Calibri" w:hAnsi="Arial" w:cs="Arial"/>
          <w:szCs w:val="28"/>
        </w:rPr>
        <w:t xml:space="preserve"> судового провадження [2].</w:t>
      </w:r>
    </w:p>
    <w:p w14:paraId="7B99A07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Слід зауважити, що саме раптовий характер зникнення особи створює додаткові труднощі на старті досудового розслідування, оскільки правоохоронні органи часто стикаються з дефіцитом інформації, який унеможливлює швидке встановлення навіть базових версій події. Водночас, розслідування такого типу подій має здійснюватися з чітким дотриманням положень Кримінального процесуального кодексу України, особливо в частині забезпечення прав людини. Наприклад, відповідно до ст. 18 КПК </w:t>
      </w:r>
      <w:r w:rsidRPr="00511005">
        <w:rPr>
          <w:rFonts w:ascii="Arial" w:eastAsia="Calibri" w:hAnsi="Arial" w:cs="Arial"/>
          <w:szCs w:val="28"/>
        </w:rPr>
        <w:lastRenderedPageBreak/>
        <w:t>України, у процесі досудового розслідування забороняється змушувати особу визнавати свою провину або давати показання проти себе чи членів своєї сім’ї, що є важливим гарантом недопущення порушень у разі, коли особу вважають зниклою, але вона фактично може переховуватися за власною ініціативою [3].​</w:t>
      </w:r>
    </w:p>
    <w:p w14:paraId="4FAE1F9E"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Крім базових положень національного законодавства, важливо звертати увагу й на міжнародні стандарти, які формують рамки належної правозастосовної практики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пов’язаних із раптовим зникненням осіб. Так, відповідно до статті 2 Європейської конвенції з прав людини, держава зобов’язана не тільки гарантувати право кожного на життя, але й забезпечувати ефективне, неупереджене та швидке розслідування кожного випадку, коли є обґрунтовані підстави вважати, що особа могла зникнути за обставин, які загрожують її життю. Це накладає на правоохоронні органи держави зобов’язання діяти максимально оперативно, незалежно та фахово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компетенції [4]</w:t>
      </w:r>
    </w:p>
    <w:p w14:paraId="65FFE343"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Calibri" w:hAnsi="Arial" w:cs="Arial"/>
          <w:szCs w:val="28"/>
        </w:rPr>
        <w:t xml:space="preserve">На початковому етапі розслідування, коли ситуація ще не набрала визначених обрисів і більшість обставин лишається невідомою або суперечливою, особливо важливо закласти якісний фундамент для подальших слідчих дій. У центрі уваги цього етапу мають бути дії, спрямовані на якомога повніше та швидше збирання інформації, необхідної для формування первинних слідчих версій. Передусім ідеться про оперативний збір базових відомостей щодо зниклої особи – її анкетних даних, звичних маршрутів пересування, соціальних зв’язків, психоемоційного стану, а також подій або обставин, які могли б передувати зникненню. Окремо слід провести огляд місця, де особу бачили востаннє, приділяючи особливу увагу виявленню потенційно важливих слідів чи об'єктів, що могли бути залишені внаслідок насильницьких дій чи панічного стану зниклого. </w:t>
      </w:r>
      <w:r w:rsidRPr="00511005">
        <w:rPr>
          <w:rFonts w:ascii="Arial" w:eastAsia="Times New Roman" w:hAnsi="Arial" w:cs="Arial"/>
          <w:szCs w:val="28"/>
        </w:rPr>
        <w:t xml:space="preserve">Не менш важливим завданням є допит осіб із близького кола зниклого – родичів, друзів, колег. Саме їхні свідчення нерідко стають початковими дороговказами для розуміння можливих причин або механізму зникнення. Під час проведення таких допитів варто зосередитися не лише на фактах останньої зустрічі чи контакту, але й на загальному психоемоційному стані особи, її планах, поведінкових змінах, конфліктах чи загрозах з боку інших осіб. Також доцільно з'ясовувати наявність будь-яких попереджень, натяків або змін у звичному ритмі життя. Одночасно із цим, слідчий має встановити й опрацювати кілька робочих версій щодо характеру події. Це можуть бути припущення про самостійний відхід особи з побутових або психологічних причин, втечу від загрози, а також, що особливо важливо – версія про можливе скоєння злочину, зокрема незаконне позбавлення волі чи викрадення. Кожна з версій має бути не просто сформульована, але й перевірена шляхом практичних дій: опитувань, вилучення відео з камер спостереження, аналізу телефонних з’єднань тощо. Такий підхід дозволяє </w:t>
      </w:r>
      <w:r w:rsidRPr="00511005">
        <w:rPr>
          <w:rFonts w:ascii="Arial" w:eastAsia="Times New Roman" w:hAnsi="Arial" w:cs="Arial"/>
          <w:szCs w:val="28"/>
        </w:rPr>
        <w:lastRenderedPageBreak/>
        <w:t>не втратити критично важливий час і водночас дотриматися як внутрішніх правових норм, так і міжнародних зобов’язань України у сфері прав людини [</w:t>
      </w:r>
      <w:proofErr w:type="gramStart"/>
      <w:r w:rsidRPr="00511005">
        <w:rPr>
          <w:rFonts w:ascii="Arial" w:eastAsia="Times New Roman" w:hAnsi="Arial" w:cs="Arial"/>
          <w:szCs w:val="28"/>
        </w:rPr>
        <w:t>5,с.</w:t>
      </w:r>
      <w:proofErr w:type="gramEnd"/>
      <w:r w:rsidRPr="00511005">
        <w:rPr>
          <w:rFonts w:ascii="Arial" w:eastAsia="Times New Roman" w:hAnsi="Arial" w:cs="Arial"/>
          <w:szCs w:val="28"/>
        </w:rPr>
        <w:t>55].</w:t>
      </w:r>
    </w:p>
    <w:p w14:paraId="24BE6CA4"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У ході розслідування раптового зникнення особи правоохоронці можуть стикатися з різноманітними слідчими ситуаціями, які відрізняються за складністю, ступенем невизначеності та характером отриманої інформації. Кожен конкретний випадок диктує необхідність індивідуального підходу, з урахуванням як наявних обставин, так і можливих ризиків для життя чи здоров’я зниклої особи. Однією з найпоширеніших і водночас найскладніших є ситуація повної відсутності будь-якої достовірної інформації щодо місцеперебування людини та обставин, за яких відбулося зникнення. У подібних випадках першочергово активізуються оперативно-розшукові заходи, зокрема аналіз дзвінків та повідомлень, які фіксувалися з телефону зниклого, вивчення записів із камер відеоспостереження у критичних точках (остання локація, можливі маршрути пересування), а також організація широкого кола опитувань осіб, які могли мати хоч якусь дотичність до події або особи. Застосування технологічних засобів аналізу даних дає змогу, у випадку відсутності прямих доказів, виявити хоча б орієнтовний вектор руху слідства. Інша поширена слідча ситуація виникає тоді, коли з’являються свідчення, які прямо або опосередковано вказують на можливе вчинення злочину. У такому разі необхідно негайно переходити до активної фази слідчих дій: проводити санкціоновані обшуки, здійснювати виїмку речей та документів, а також фіксувати всі потенційно релевантні сліди. У цьому контексті особливо важливою є оперативність – навіть незначне зволікання може призвести до втрати доказів або унеможливити виявлення винних осіб. Окремим напрямом слідчої роботи виступає ситуація, коли є підстави припускати, що особа зникла добровільно, з власної ініціативи, наприклад, у зв’язку з психологічними чи побутовими труднощами. Тут необхідно більш детально аналізувати соціально-психологічний контекст життя людини, її внутрішній стан, коло спілкування, наявність конфліктів, ознак депресивного або кризового стану. Важливу роль відіграє також вивчення цифрових слідів: пошукові запити, переписки в месенджерах, активність у соціальних мережах. Практика свідчить, що зникнення особи зазвичай вкладається в один із типових сценаріїв. Серед найпоширеніших ситуацій: людина пішла з дому і не повернулася; поїхала у відрядження чи на тимчасову роботу й зникла; залишила місце перебування разом з іншими особами; зникла по дорозі до визначеного пункту призначення; виїхала, дісталася до місця призначення, однак додому не повернулася. Особливу тривогу викликають випадки зникнення дітей, зокрема, коли вони виходять на прогулянку і не повертаються. Не менш складні випадки стосуються військовослужбовців або цивільних осіб, які опинилися в зоні бойових дій, зокрема в районі проведення </w:t>
      </w:r>
      <w:r w:rsidRPr="00511005">
        <w:rPr>
          <w:rFonts w:ascii="Arial" w:eastAsia="Calibri" w:hAnsi="Arial" w:cs="Arial"/>
          <w:szCs w:val="28"/>
        </w:rPr>
        <w:lastRenderedPageBreak/>
        <w:t>Антитерористичної операції або в зоні активного конфлікту. Такі зникнення часто пов’язані з надзвичайними обставинами – загибеллю, пораненням або захопленням у полон, що суттєво ускладнює пошукові заходи та потребує залучення військової та спеціальної інформації [</w:t>
      </w:r>
      <w:proofErr w:type="gramStart"/>
      <w:r w:rsidRPr="00511005">
        <w:rPr>
          <w:rFonts w:ascii="Arial" w:eastAsia="Calibri" w:hAnsi="Arial" w:cs="Arial"/>
          <w:szCs w:val="28"/>
        </w:rPr>
        <w:t>6,с.</w:t>
      </w:r>
      <w:proofErr w:type="gramEnd"/>
      <w:r w:rsidRPr="00511005">
        <w:rPr>
          <w:rFonts w:ascii="Arial" w:eastAsia="Calibri" w:hAnsi="Arial" w:cs="Arial"/>
          <w:szCs w:val="28"/>
        </w:rPr>
        <w:t>141].</w:t>
      </w:r>
    </w:p>
    <w:p w14:paraId="385A8740"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Отже, </w:t>
      </w:r>
      <w:r w:rsidRPr="00511005">
        <w:rPr>
          <w:rFonts w:ascii="Arial" w:eastAsia="Calibri" w:hAnsi="Arial" w:cs="Arial"/>
          <w:szCs w:val="28"/>
        </w:rPr>
        <w:t xml:space="preserve">початковий етап розслідування раптового зникнення особи є критично важливим для успішного встановлення її місцезнаходження та з'ясування обставин зникнення. </w:t>
      </w:r>
    </w:p>
    <w:p w14:paraId="04037A85" w14:textId="77777777" w:rsidR="00532C25" w:rsidRPr="00511005" w:rsidRDefault="00532C25" w:rsidP="00532C25">
      <w:pPr>
        <w:keepNext/>
        <w:tabs>
          <w:tab w:val="left" w:pos="4836"/>
        </w:tabs>
        <w:spacing w:line="264" w:lineRule="auto"/>
        <w:ind w:firstLine="720"/>
        <w:jc w:val="center"/>
        <w:rPr>
          <w:rFonts w:ascii="Arial" w:eastAsia="Calibri" w:hAnsi="Arial" w:cs="Arial"/>
          <w:b/>
          <w:szCs w:val="28"/>
        </w:rPr>
      </w:pPr>
    </w:p>
    <w:p w14:paraId="147FF2BF" w14:textId="77777777" w:rsidR="00532C25" w:rsidRPr="00511005" w:rsidRDefault="00532C25" w:rsidP="00532C25">
      <w:pPr>
        <w:keepNext/>
        <w:tabs>
          <w:tab w:val="left" w:pos="4836"/>
        </w:tabs>
        <w:spacing w:line="264" w:lineRule="auto"/>
        <w:ind w:firstLine="720"/>
        <w:jc w:val="center"/>
        <w:rPr>
          <w:rFonts w:ascii="Arial" w:eastAsia="Calibri" w:hAnsi="Arial" w:cs="Arial"/>
          <w:b/>
          <w:szCs w:val="28"/>
        </w:rPr>
      </w:pPr>
      <w:r w:rsidRPr="00511005">
        <w:rPr>
          <w:rFonts w:ascii="Arial" w:eastAsia="Calibri" w:hAnsi="Arial" w:cs="Arial"/>
          <w:b/>
          <w:szCs w:val="28"/>
          <w:lang w:val="uk-UA"/>
        </w:rPr>
        <w:t>Список використаних джерел</w:t>
      </w:r>
    </w:p>
    <w:p w14:paraId="0B90463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b/>
          <w:bCs/>
          <w:szCs w:val="28"/>
        </w:rPr>
        <w:t>1.</w:t>
      </w:r>
      <w:r w:rsidRPr="00511005">
        <w:rPr>
          <w:rFonts w:ascii="Arial" w:eastAsia="Calibri" w:hAnsi="Arial" w:cs="Arial"/>
          <w:szCs w:val="28"/>
        </w:rPr>
        <w:t xml:space="preserve"> Бурлака В. В. Особливості розслідування незаконного позбавлення волі або викрадення людини в умовах неочевидності / В. В. Бурлака // </w:t>
      </w:r>
      <w:r w:rsidRPr="00511005">
        <w:rPr>
          <w:rFonts w:ascii="Arial" w:eastAsia="Calibri" w:hAnsi="Arial" w:cs="Arial"/>
          <w:i/>
          <w:iCs/>
          <w:szCs w:val="28"/>
        </w:rPr>
        <w:t>Науковий вісник Херсонського державного університету. Серія: Юридичні науки</w:t>
      </w:r>
      <w:r w:rsidRPr="00511005">
        <w:rPr>
          <w:rFonts w:ascii="Arial" w:eastAsia="Calibri" w:hAnsi="Arial" w:cs="Arial"/>
          <w:szCs w:val="28"/>
        </w:rPr>
        <w:t>. – 2016. – Вип. 4. – С. 198–202.</w:t>
      </w:r>
    </w:p>
    <w:p w14:paraId="38E30BC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b/>
          <w:bCs/>
          <w:szCs w:val="28"/>
        </w:rPr>
        <w:t>2.</w:t>
      </w:r>
      <w:r w:rsidRPr="00511005">
        <w:rPr>
          <w:rFonts w:ascii="Arial" w:eastAsia="Calibri" w:hAnsi="Arial" w:cs="Arial"/>
          <w:szCs w:val="28"/>
        </w:rPr>
        <w:t xml:space="preserve"> Про правовий статус осіб, зниклих безвісти за особливих </w:t>
      </w:r>
      <w:proofErr w:type="gramStart"/>
      <w:r w:rsidRPr="00511005">
        <w:rPr>
          <w:rFonts w:ascii="Arial" w:eastAsia="Calibri" w:hAnsi="Arial" w:cs="Arial"/>
          <w:szCs w:val="28"/>
        </w:rPr>
        <w:t>обставин :</w:t>
      </w:r>
      <w:proofErr w:type="gramEnd"/>
      <w:r w:rsidRPr="00511005">
        <w:rPr>
          <w:rFonts w:ascii="Arial" w:eastAsia="Calibri" w:hAnsi="Arial" w:cs="Arial"/>
          <w:szCs w:val="28"/>
        </w:rPr>
        <w:t xml:space="preserve"> Закон України від 12.07.2018 № 2505-VIII // </w:t>
      </w:r>
      <w:r w:rsidRPr="00511005">
        <w:rPr>
          <w:rFonts w:ascii="Arial" w:eastAsia="Calibri" w:hAnsi="Arial" w:cs="Arial"/>
          <w:i/>
          <w:iCs/>
          <w:szCs w:val="28"/>
        </w:rPr>
        <w:t>Відомості Верховної Ради України (ВВР)</w:t>
      </w:r>
      <w:r w:rsidRPr="00511005">
        <w:rPr>
          <w:rFonts w:ascii="Arial" w:eastAsia="Calibri" w:hAnsi="Arial" w:cs="Arial"/>
          <w:szCs w:val="28"/>
        </w:rPr>
        <w:t xml:space="preserve">. – 2018. – № 38. – Ст. 280. – URL: </w:t>
      </w:r>
      <w:hyperlink r:id="rId2012" w:anchor="Text" w:tgtFrame="_new" w:history="1">
        <w:r w:rsidRPr="00511005">
          <w:rPr>
            <w:rFonts w:ascii="Arial" w:eastAsia="Calibri" w:hAnsi="Arial" w:cs="Arial"/>
            <w:szCs w:val="28"/>
          </w:rPr>
          <w:t>https://zakon.rada.gov.ua/laws/show/2505-19#Text</w:t>
        </w:r>
      </w:hyperlink>
      <w:r w:rsidRPr="00511005">
        <w:rPr>
          <w:rFonts w:ascii="Arial" w:eastAsia="Calibri" w:hAnsi="Arial" w:cs="Arial"/>
          <w:szCs w:val="28"/>
        </w:rPr>
        <w:t xml:space="preserve"> (дата звернення: 14.04.2025).</w:t>
      </w:r>
    </w:p>
    <w:p w14:paraId="794833B9"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b/>
          <w:bCs/>
          <w:szCs w:val="28"/>
        </w:rPr>
        <w:t>3.</w:t>
      </w:r>
      <w:r w:rsidRPr="00511005">
        <w:rPr>
          <w:rFonts w:ascii="Arial" w:eastAsia="Calibri" w:hAnsi="Arial" w:cs="Arial"/>
          <w:szCs w:val="28"/>
        </w:rPr>
        <w:t xml:space="preserve"> Кримінальний процесуальний кодекс </w:t>
      </w:r>
      <w:proofErr w:type="gramStart"/>
      <w:r w:rsidRPr="00511005">
        <w:rPr>
          <w:rFonts w:ascii="Arial" w:eastAsia="Calibri" w:hAnsi="Arial" w:cs="Arial"/>
          <w:szCs w:val="28"/>
        </w:rPr>
        <w:t>України :</w:t>
      </w:r>
      <w:proofErr w:type="gramEnd"/>
      <w:r w:rsidRPr="00511005">
        <w:rPr>
          <w:rFonts w:ascii="Arial" w:eastAsia="Calibri" w:hAnsi="Arial" w:cs="Arial"/>
          <w:szCs w:val="28"/>
        </w:rPr>
        <w:t xml:space="preserve"> Закон України від 13.04.2012 № 4651-VI // </w:t>
      </w:r>
      <w:r w:rsidRPr="00511005">
        <w:rPr>
          <w:rFonts w:ascii="Arial" w:eastAsia="Calibri" w:hAnsi="Arial" w:cs="Arial"/>
          <w:i/>
          <w:iCs/>
          <w:szCs w:val="28"/>
        </w:rPr>
        <w:t>Відомості Верховної Ради України (ВВР)</w:t>
      </w:r>
      <w:r w:rsidRPr="00511005">
        <w:rPr>
          <w:rFonts w:ascii="Arial" w:eastAsia="Calibri" w:hAnsi="Arial" w:cs="Arial"/>
          <w:szCs w:val="28"/>
        </w:rPr>
        <w:t xml:space="preserve">. – 2013. – № 9–10, № 11–12, № 13. – Ст. 88. – URL: </w:t>
      </w:r>
      <w:hyperlink r:id="rId2013" w:anchor="Text" w:tgtFrame="_new" w:history="1">
        <w:r w:rsidRPr="00511005">
          <w:rPr>
            <w:rFonts w:ascii="Arial" w:eastAsia="Calibri" w:hAnsi="Arial" w:cs="Arial"/>
            <w:szCs w:val="28"/>
          </w:rPr>
          <w:t>https://zakon.rada.gov.ua/laws/show/4651-17#Text</w:t>
        </w:r>
      </w:hyperlink>
      <w:r w:rsidRPr="00511005">
        <w:rPr>
          <w:rFonts w:ascii="Arial" w:eastAsia="Calibri" w:hAnsi="Arial" w:cs="Arial"/>
          <w:szCs w:val="28"/>
        </w:rPr>
        <w:t xml:space="preserve"> (дата звернення: 14.04.2025).</w:t>
      </w:r>
    </w:p>
    <w:p w14:paraId="61F53D43"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b/>
          <w:bCs/>
          <w:szCs w:val="28"/>
        </w:rPr>
        <w:t>4.</w:t>
      </w:r>
      <w:r w:rsidRPr="00511005">
        <w:rPr>
          <w:rFonts w:ascii="Arial" w:eastAsia="Calibri" w:hAnsi="Arial" w:cs="Arial"/>
          <w:szCs w:val="28"/>
        </w:rPr>
        <w:t xml:space="preserve"> Посібник зі статті 2 Європейської конвенції з прав людини. – 2024. – 68 с. – URL: </w:t>
      </w:r>
      <w:hyperlink r:id="rId2014" w:tgtFrame="_new" w:history="1">
        <w:r w:rsidRPr="00511005">
          <w:rPr>
            <w:rFonts w:ascii="Arial" w:eastAsia="Calibri" w:hAnsi="Arial" w:cs="Arial"/>
            <w:szCs w:val="28"/>
          </w:rPr>
          <w:t>https://ks.echr.coe.int/documents/d/echr-ks/guide_art_2_ukr</w:t>
        </w:r>
      </w:hyperlink>
      <w:r w:rsidRPr="00511005">
        <w:rPr>
          <w:rFonts w:ascii="Arial" w:eastAsia="Calibri" w:hAnsi="Arial" w:cs="Arial"/>
          <w:szCs w:val="28"/>
        </w:rPr>
        <w:t xml:space="preserve"> (дата звернення: 14.04.2025).</w:t>
      </w:r>
    </w:p>
    <w:p w14:paraId="183C1353"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b/>
          <w:bCs/>
          <w:szCs w:val="28"/>
        </w:rPr>
        <w:t>5.</w:t>
      </w:r>
      <w:r w:rsidRPr="00511005">
        <w:rPr>
          <w:rFonts w:ascii="Arial" w:eastAsia="Calibri" w:hAnsi="Arial" w:cs="Arial"/>
          <w:szCs w:val="28"/>
        </w:rPr>
        <w:t xml:space="preserve"> Войтович Є. М., Киричук Б. С., Багатко А. С. Особливості проведення слідчих (розшукових) дій під час розслідування випадків насильницького зникнення людини / Є. М. Войтович, Б. С. Киричук, А. С. Багатко // </w:t>
      </w:r>
      <w:r w:rsidRPr="00511005">
        <w:rPr>
          <w:rFonts w:ascii="Arial" w:eastAsia="Calibri" w:hAnsi="Arial" w:cs="Arial"/>
          <w:i/>
          <w:iCs/>
          <w:szCs w:val="28"/>
        </w:rPr>
        <w:t>Науковий вісник Ужгородського національного університету. Серія: Право</w:t>
      </w:r>
      <w:r w:rsidRPr="00511005">
        <w:rPr>
          <w:rFonts w:ascii="Arial" w:eastAsia="Calibri" w:hAnsi="Arial" w:cs="Arial"/>
          <w:szCs w:val="28"/>
        </w:rPr>
        <w:t>. – 2024. – Вип. 80. – С. 55–61.</w:t>
      </w:r>
    </w:p>
    <w:p w14:paraId="53BE24C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b/>
          <w:bCs/>
          <w:szCs w:val="28"/>
        </w:rPr>
        <w:t>6.</w:t>
      </w:r>
      <w:r w:rsidRPr="00511005">
        <w:rPr>
          <w:rFonts w:ascii="Arial" w:eastAsia="Calibri" w:hAnsi="Arial" w:cs="Arial"/>
          <w:szCs w:val="28"/>
        </w:rPr>
        <w:t xml:space="preserve"> Мазурок О. Я. Ситуаційний підхід у розслідуванні злочинів, пов’язаних із безвісним зникненням особи / О. Я. Мазурок // </w:t>
      </w:r>
      <w:r w:rsidRPr="00511005">
        <w:rPr>
          <w:rFonts w:ascii="Arial" w:eastAsia="Calibri" w:hAnsi="Arial" w:cs="Arial"/>
          <w:i/>
          <w:iCs/>
          <w:szCs w:val="28"/>
        </w:rPr>
        <w:t>Науковий вісник Міжнародного гуманітарного університету. Серія: Юриспруденція</w:t>
      </w:r>
      <w:r w:rsidRPr="00511005">
        <w:rPr>
          <w:rFonts w:ascii="Arial" w:eastAsia="Calibri" w:hAnsi="Arial" w:cs="Arial"/>
          <w:szCs w:val="28"/>
        </w:rPr>
        <w:t>. – 2015. – № 17, т. 2. – С. 139–142</w:t>
      </w:r>
    </w:p>
    <w:p w14:paraId="4095C707" w14:textId="77777777" w:rsidR="00532C25" w:rsidRPr="00511005" w:rsidRDefault="00532C25" w:rsidP="00532C25">
      <w:pPr>
        <w:keepNext/>
        <w:spacing w:line="264" w:lineRule="auto"/>
        <w:ind w:firstLine="720"/>
        <w:rPr>
          <w:rFonts w:ascii="Arial" w:eastAsia="Calibri" w:hAnsi="Arial" w:cs="Arial"/>
          <w:b/>
          <w:szCs w:val="28"/>
        </w:rPr>
      </w:pPr>
    </w:p>
    <w:p w14:paraId="4D011E20" w14:textId="77777777" w:rsidR="00532C25" w:rsidRPr="00511005" w:rsidRDefault="00532C25" w:rsidP="00532C25">
      <w:pPr>
        <w:keepNext/>
        <w:spacing w:line="264" w:lineRule="auto"/>
        <w:ind w:firstLine="720"/>
        <w:rPr>
          <w:rFonts w:ascii="Arial" w:eastAsia="Calibri" w:hAnsi="Arial" w:cs="Arial"/>
          <w:szCs w:val="28"/>
        </w:rPr>
      </w:pPr>
      <w:r w:rsidRPr="00511005">
        <w:rPr>
          <w:rFonts w:ascii="Arial" w:eastAsia="Calibri" w:hAnsi="Arial" w:cs="Arial"/>
          <w:b/>
          <w:i/>
          <w:szCs w:val="28"/>
        </w:rPr>
        <w:t xml:space="preserve">Ключові слова: </w:t>
      </w:r>
      <w:r w:rsidRPr="00511005">
        <w:rPr>
          <w:rFonts w:ascii="Arial" w:eastAsia="Calibri" w:hAnsi="Arial" w:cs="Arial"/>
          <w:szCs w:val="28"/>
        </w:rPr>
        <w:t>зникнення особи, початковий етап, розслідування, оперативно-розшукові заходи, докази, слідчі дії, правоохоронні органи.</w:t>
      </w:r>
    </w:p>
    <w:p w14:paraId="3EED8F83" w14:textId="77777777" w:rsidR="00532C25" w:rsidRPr="00511005" w:rsidRDefault="00532C25" w:rsidP="00532C25">
      <w:pPr>
        <w:keepNext/>
        <w:spacing w:line="264" w:lineRule="auto"/>
        <w:ind w:firstLine="720"/>
        <w:rPr>
          <w:rFonts w:ascii="Arial" w:eastAsia="Calibri" w:hAnsi="Arial" w:cs="Arial"/>
          <w:szCs w:val="28"/>
          <w:lang w:val="en-US"/>
        </w:rPr>
      </w:pPr>
      <w:r w:rsidRPr="00511005">
        <w:rPr>
          <w:rFonts w:ascii="Arial" w:eastAsia="Calibri" w:hAnsi="Arial" w:cs="Arial"/>
          <w:b/>
          <w:i/>
          <w:szCs w:val="28"/>
          <w:lang w:val="en-US"/>
        </w:rPr>
        <w:t xml:space="preserve">Key words: </w:t>
      </w:r>
      <w:r w:rsidRPr="00511005">
        <w:rPr>
          <w:rFonts w:ascii="Arial" w:eastAsia="Calibri" w:hAnsi="Arial" w:cs="Arial"/>
          <w:szCs w:val="28"/>
          <w:lang w:val="en-US"/>
        </w:rPr>
        <w:t>disappearance of a person, initial stage, investigation, operational search measures, evidence, investigative actions, law enforcement authorities.</w:t>
      </w:r>
    </w:p>
    <w:p w14:paraId="3AA75EEB" w14:textId="77777777" w:rsidR="00532C25" w:rsidRPr="00511005" w:rsidRDefault="00532C25" w:rsidP="00532C25">
      <w:pPr>
        <w:keepNext/>
        <w:spacing w:line="264" w:lineRule="auto"/>
        <w:ind w:firstLine="720"/>
        <w:rPr>
          <w:rFonts w:ascii="Arial" w:eastAsia="Calibri" w:hAnsi="Arial" w:cs="Arial"/>
          <w:bCs/>
          <w:i/>
          <w:iCs/>
          <w:szCs w:val="28"/>
          <w:lang w:val="uk-UA"/>
        </w:rPr>
      </w:pPr>
      <w:r w:rsidRPr="00511005">
        <w:rPr>
          <w:rFonts w:ascii="Arial" w:eastAsia="Calibri" w:hAnsi="Arial" w:cs="Arial"/>
          <w:b/>
          <w:bCs/>
          <w:i/>
          <w:iCs/>
          <w:szCs w:val="28"/>
        </w:rPr>
        <w:t xml:space="preserve">Науковий керівник: </w:t>
      </w:r>
      <w:r w:rsidRPr="00511005">
        <w:rPr>
          <w:rFonts w:ascii="Arial" w:eastAsia="Calibri" w:hAnsi="Arial" w:cs="Arial"/>
          <w:bCs/>
          <w:i/>
          <w:iCs/>
          <w:szCs w:val="28"/>
        </w:rPr>
        <w:t>к.ю.н., доц</w:t>
      </w:r>
      <w:r w:rsidRPr="00511005">
        <w:rPr>
          <w:rFonts w:ascii="Arial" w:eastAsia="Calibri" w:hAnsi="Arial" w:cs="Arial"/>
          <w:bCs/>
          <w:i/>
          <w:iCs/>
          <w:szCs w:val="28"/>
          <w:lang w:val="uk-UA"/>
        </w:rPr>
        <w:t>ент</w:t>
      </w:r>
      <w:r w:rsidRPr="00511005">
        <w:rPr>
          <w:rFonts w:ascii="Arial" w:eastAsia="Calibri" w:hAnsi="Arial" w:cs="Arial"/>
          <w:bCs/>
          <w:i/>
          <w:iCs/>
          <w:szCs w:val="28"/>
        </w:rPr>
        <w:t xml:space="preserve"> Колодін</w:t>
      </w:r>
      <w:r w:rsidRPr="00511005">
        <w:rPr>
          <w:rFonts w:ascii="Arial" w:eastAsia="Calibri" w:hAnsi="Arial" w:cs="Arial"/>
          <w:bCs/>
          <w:i/>
          <w:iCs/>
          <w:szCs w:val="28"/>
          <w:lang w:val="uk-UA"/>
        </w:rPr>
        <w:t>а</w:t>
      </w:r>
      <w:r w:rsidRPr="00511005">
        <w:rPr>
          <w:rFonts w:ascii="Arial" w:eastAsia="Calibri" w:hAnsi="Arial" w:cs="Arial"/>
          <w:bCs/>
          <w:i/>
          <w:iCs/>
          <w:szCs w:val="28"/>
        </w:rPr>
        <w:t xml:space="preserve"> </w:t>
      </w:r>
      <w:r w:rsidRPr="00511005">
        <w:rPr>
          <w:rFonts w:ascii="Arial" w:eastAsia="Calibri" w:hAnsi="Arial" w:cs="Arial"/>
          <w:bCs/>
          <w:i/>
          <w:iCs/>
          <w:szCs w:val="28"/>
          <w:lang w:val="uk-UA"/>
        </w:rPr>
        <w:t>А.С.</w:t>
      </w:r>
    </w:p>
    <w:p w14:paraId="41F13E67" w14:textId="77777777" w:rsidR="00532C25" w:rsidRPr="00511005" w:rsidRDefault="00532C25" w:rsidP="00532C25">
      <w:pPr>
        <w:spacing w:line="264" w:lineRule="auto"/>
        <w:ind w:firstLine="720"/>
        <w:jc w:val="center"/>
        <w:rPr>
          <w:rFonts w:ascii="Arial" w:eastAsia="Calibri" w:hAnsi="Arial" w:cs="Arial"/>
          <w:b/>
          <w:szCs w:val="28"/>
        </w:rPr>
      </w:pPr>
    </w:p>
    <w:p w14:paraId="5EF3D7DF" w14:textId="77777777" w:rsidR="00532C25" w:rsidRPr="00511005" w:rsidRDefault="00532C25" w:rsidP="00532C25">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Полігова Анастасія Олегівна</w:t>
      </w:r>
    </w:p>
    <w:p w14:paraId="4BAD79C7"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5925931F"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189DF36"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144D103" w14:textId="77777777" w:rsidR="00532C25" w:rsidRPr="00511005" w:rsidRDefault="00532C25" w:rsidP="00532C25">
      <w:pPr>
        <w:spacing w:line="264" w:lineRule="auto"/>
        <w:ind w:firstLine="0"/>
        <w:jc w:val="center"/>
        <w:rPr>
          <w:rFonts w:ascii="Arial" w:eastAsia="Calibri" w:hAnsi="Arial" w:cs="Arial"/>
          <w:i/>
          <w:szCs w:val="28"/>
          <w:lang w:val="uk-UA"/>
        </w:rPr>
      </w:pPr>
    </w:p>
    <w:p w14:paraId="78135B58" w14:textId="77777777" w:rsidR="00532C25" w:rsidRPr="00511005" w:rsidRDefault="00532C25" w:rsidP="00532C25">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ПСИХОЛОГІЧНІ ОСНОВИ ДІЯЛЬНОСТІ ПРАЦІВНИКІВ ОПЕРАТИВНИХ ПІДРОЗДІЛІВ</w:t>
      </w:r>
    </w:p>
    <w:p w14:paraId="19A43788"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Діяльність оперативних співробітників є однією з найбільш складних і відповідальних у системі правоохоронних органів. Вона повʼязана з високим рівнем психологічного навантаження, необхідністю швидко ухвалювати рішення в екстремальних умовах, взаємодіяти з різними категоріями громадян, а також протистояти стресовим та конфліктним ситуаціям. Саме тому психологічна підготовка та стійкість є ключовими факторами ефективності оперативно-розшукової діяльності.</w:t>
      </w:r>
    </w:p>
    <w:p w14:paraId="4BF319EC"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Психологічні особливості оперативної діяльності включають в себе здатність до спостереження, аналітичне мислення, емоційну стабільність, уміння зберігати професійну таємницю, витримку, а також навички міжособистісної комунікації. Розуміння та розвиток цих якостей сприяє не лише підвищенню результативності оперативної роботи, але й збереженню психологічного здоровʼя самих працівників.</w:t>
      </w:r>
    </w:p>
    <w:p w14:paraId="48365172"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Мета нашої доповіді – висвітлити основні психологічні аспекти, що визначають ефективність діяльності оперативних співробітників.</w:t>
      </w:r>
    </w:p>
    <w:p w14:paraId="66DF4CAA"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У сучасних умовах зростаючих вимог до якості оперативно-розшукової діяльності особливого значення набуває вивчення психологічних чинників, що впливають на професійну ефективність співробітників оперативних підрозділів. Діяльність в умовах підвищеного ризику, психологічного навантаження та постійної готовності до дій в екстремальних ситуаціях висуває до особистості оперативника низку вимог, повʼязаних передусім із його психологічною підготовленістю. </w:t>
      </w:r>
      <w:bookmarkStart w:id="242" w:name="_Hlk195465292"/>
    </w:p>
    <w:bookmarkEnd w:id="242"/>
    <w:p w14:paraId="1F8D1630"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lang w:val="uk-UA"/>
        </w:rPr>
        <w:t>Одним із ключових чинників є психологічна стійкість. Цей показник характеризує здатність особи зберігати працездатність і раціональність у поведінці за умов емоційного напруження, тиску чи небезпеки. Працівник, який володіє такою якістю, здатен зосереджено діяти навіть у критичних ситуаціях, приймаючи виважені рішення.</w:t>
      </w:r>
      <w:r w:rsidRPr="00511005">
        <w:rPr>
          <w:rFonts w:ascii="Arial" w:eastAsia="Calibri" w:hAnsi="Arial" w:cs="Arial"/>
          <w:szCs w:val="28"/>
        </w:rPr>
        <w:t xml:space="preserve"> [1, </w:t>
      </w:r>
      <w:r w:rsidRPr="00511005">
        <w:rPr>
          <w:rFonts w:ascii="Arial" w:eastAsia="Calibri" w:hAnsi="Arial" w:cs="Arial"/>
          <w:szCs w:val="28"/>
          <w:lang w:val="en-US"/>
        </w:rPr>
        <w:t>c</w:t>
      </w:r>
      <w:r w:rsidRPr="00511005">
        <w:rPr>
          <w:rFonts w:ascii="Arial" w:eastAsia="Calibri" w:hAnsi="Arial" w:cs="Arial"/>
          <w:szCs w:val="28"/>
        </w:rPr>
        <w:t>. 117].</w:t>
      </w:r>
    </w:p>
    <w:p w14:paraId="0298EFA8"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Важливу роль у професійній діяльності відіграє емоційна врівноваженість, що проявляється в умінні контролювати емоційні реакції, уникати імпульсивності та конфліктності, водночас зберігаючи здатність до емпатії. Збереження внутрішньої гармонії дозволяє оперативнику ефективно взаємодіяти з різними категоріями осіб — як у конфліктних, так і в нейтральних умовах.</w:t>
      </w:r>
    </w:p>
    <w:p w14:paraId="402EA6B2"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lang w:val="uk-UA"/>
        </w:rPr>
        <w:t>Не менш значущим аспектом є розвинуте аналітичне мислення, яке забезпечує оперативну обробку інформації, аналіз поведінки обʼєктів спостереження, визначення причинно-наслідкових звʼязків та прогнозування розвитку ситуації. Таке мислення є основою для прийняття тактичних рішень і побудови ефективних стратегій у процесі розслідування.</w:t>
      </w:r>
      <w:r w:rsidRPr="00511005">
        <w:rPr>
          <w:rFonts w:ascii="Arial" w:eastAsia="Calibri" w:hAnsi="Arial" w:cs="Arial"/>
          <w:szCs w:val="28"/>
        </w:rPr>
        <w:t xml:space="preserve"> [2, </w:t>
      </w:r>
      <w:r w:rsidRPr="00511005">
        <w:rPr>
          <w:rFonts w:ascii="Arial" w:eastAsia="Calibri" w:hAnsi="Arial" w:cs="Arial"/>
          <w:szCs w:val="28"/>
          <w:lang w:val="en-US"/>
        </w:rPr>
        <w:t>c</w:t>
      </w:r>
      <w:r w:rsidRPr="00511005">
        <w:rPr>
          <w:rFonts w:ascii="Arial" w:eastAsia="Calibri" w:hAnsi="Arial" w:cs="Arial"/>
          <w:szCs w:val="28"/>
        </w:rPr>
        <w:t>. 104-107].</w:t>
      </w:r>
    </w:p>
    <w:p w14:paraId="58BDCA04"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Спостережливість і добре розвинена памʼять – це ті психологічні характеристики, які дозволяють оперативному співробітнику зберігати в полі уваги значну кількість деталей, важливих для подальшого аналізу. Вони є незамінними у процесі візуального та вербального спостереження, що становить основу багатьох елементів оперативної діяльності.</w:t>
      </w:r>
    </w:p>
    <w:p w14:paraId="03FBD3A6"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Особливу увагу слід приділити комунікативній компетентності, яка передбачає володіння навичками ефективного спілкування, здатність налагоджувати контакт, викликати довіру та вести конструктивний діалог. Ці навички особливо важливі у роботі з агентурою, свідками та підозрюваними.</w:t>
      </w:r>
    </w:p>
    <w:p w14:paraId="6EF332C3"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Крім того, професійна ефективність значною мірою залежить від внутрішньої мотивації, яка базується на усвідомленні соціальної значущості діяльності, відчутті відповідальності за безпеку суспільства та бажанні виконувати службові обовʼязки на високому рівні.</w:t>
      </w:r>
    </w:p>
    <w:p w14:paraId="02EF4A2C"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Завершальним, але не менш важливим чинником є етична зрілість. Вона полягає у здатності діяти відповідно до норм моралі, зберігаючи професійну етику навіть у складних і неоднозначних обставинах, що сприяє формуванню позитивного іміджу правоохоронця та підтриманню довіри до нього з боку громадськості. [3, </w:t>
      </w:r>
      <w:r w:rsidRPr="00511005">
        <w:rPr>
          <w:rFonts w:ascii="Arial" w:eastAsia="Calibri" w:hAnsi="Arial" w:cs="Arial"/>
          <w:szCs w:val="28"/>
          <w:lang w:val="en-US"/>
        </w:rPr>
        <w:t>c</w:t>
      </w:r>
      <w:r w:rsidRPr="00511005">
        <w:rPr>
          <w:rFonts w:ascii="Arial" w:eastAsia="Calibri" w:hAnsi="Arial" w:cs="Arial"/>
          <w:szCs w:val="28"/>
          <w:lang w:val="uk-UA"/>
        </w:rPr>
        <w:t>. 19-22].</w:t>
      </w:r>
    </w:p>
    <w:p w14:paraId="30FD19AE"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Психологічна складова є невідʼємною частиною професійної підготовки оперативних співробітників, що зумовлюється специфікою їхньої службової діяльності. Оперативно-розшукова робота передбачає високий рівень психоемоційного навантаження, необхідність ухвалення рішень у нестандартних ситуаціях, часті контакти з людьми, які перебувають у складних соціально-психологічних умовах.</w:t>
      </w:r>
    </w:p>
    <w:p w14:paraId="78CEFBAE"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Аналіз основних психологічних характеристик оперативного співробітника дозволяє стверджувати, що його ефективність визначається не лише професійними знаннями та навичками, але й рівнем психологічної стійкості, аналітичного мислення, комунікативної компетентності, емоційної врівноваженості, мотивації та етичної зрілості.</w:t>
      </w:r>
    </w:p>
    <w:p w14:paraId="379A4064" w14:textId="77777777" w:rsidR="00532C25" w:rsidRPr="00511005" w:rsidRDefault="00532C25" w:rsidP="00532C25">
      <w:pPr>
        <w:spacing w:line="264" w:lineRule="auto"/>
        <w:rPr>
          <w:rFonts w:ascii="Arial" w:eastAsia="Calibri" w:hAnsi="Arial" w:cs="Arial"/>
          <w:szCs w:val="28"/>
        </w:rPr>
      </w:pPr>
      <w:r w:rsidRPr="00511005">
        <w:rPr>
          <w:rFonts w:ascii="Arial" w:eastAsia="Calibri" w:hAnsi="Arial" w:cs="Arial"/>
          <w:szCs w:val="28"/>
          <w:lang w:val="uk-UA"/>
        </w:rPr>
        <w:t xml:space="preserve">У контексті підвищення якості діяльності правоохоронних органів важливо забезпечити належну психологічну підготовку оперативних кадрів, </w:t>
      </w:r>
      <w:r w:rsidRPr="00511005">
        <w:rPr>
          <w:rFonts w:ascii="Arial" w:eastAsia="Calibri" w:hAnsi="Arial" w:cs="Arial"/>
          <w:szCs w:val="28"/>
          <w:lang w:val="uk-UA"/>
        </w:rPr>
        <w:lastRenderedPageBreak/>
        <w:t>що має реалізовуватись як на етапі відбору, так і в процесі безперервного професійного навчання. Формування й розвиток психологічних якостей мають бути системними та адаптованими до реальних умов служби.</w:t>
      </w:r>
      <w:r w:rsidRPr="00511005">
        <w:rPr>
          <w:rFonts w:ascii="Arial" w:eastAsia="Calibri" w:hAnsi="Arial" w:cs="Arial"/>
          <w:szCs w:val="28"/>
        </w:rPr>
        <w:t xml:space="preserve"> [4, </w:t>
      </w:r>
      <w:r w:rsidRPr="00511005">
        <w:rPr>
          <w:rFonts w:ascii="Arial" w:eastAsia="Calibri" w:hAnsi="Arial" w:cs="Arial"/>
          <w:szCs w:val="28"/>
          <w:lang w:val="en-US"/>
        </w:rPr>
        <w:t>c</w:t>
      </w:r>
      <w:r w:rsidRPr="00511005">
        <w:rPr>
          <w:rFonts w:ascii="Arial" w:eastAsia="Calibri" w:hAnsi="Arial" w:cs="Arial"/>
          <w:szCs w:val="28"/>
        </w:rPr>
        <w:t>. 116-117].</w:t>
      </w:r>
    </w:p>
    <w:p w14:paraId="33A511AC"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Таким чином, усвідомлення значущості психологічної підготовки та її інтеграція в систему професійного становлення оперативних співробітників є запорукою не лише ефективного виконання покладених обовʼязків, а й збереження їхнього психічного здоровʼя та професійного довголіття.</w:t>
      </w:r>
    </w:p>
    <w:p w14:paraId="5EA3C90D" w14:textId="77777777" w:rsidR="00532C25" w:rsidRPr="00511005" w:rsidRDefault="00532C25" w:rsidP="00532C25">
      <w:pPr>
        <w:spacing w:line="264" w:lineRule="auto"/>
        <w:rPr>
          <w:rFonts w:ascii="Arial" w:eastAsia="Calibri" w:hAnsi="Arial" w:cs="Arial"/>
          <w:szCs w:val="28"/>
          <w:lang w:val="uk-UA"/>
        </w:rPr>
      </w:pPr>
    </w:p>
    <w:p w14:paraId="4C64E232" w14:textId="77777777" w:rsidR="00532C25" w:rsidRPr="00511005" w:rsidRDefault="00532C25" w:rsidP="00532C25">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5467646"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1.</w:t>
      </w:r>
      <w:r w:rsidRPr="00511005">
        <w:rPr>
          <w:rFonts w:ascii="Arial" w:eastAsia="Calibri" w:hAnsi="Arial" w:cs="Arial"/>
          <w:szCs w:val="28"/>
          <w:lang w:val="uk-UA"/>
        </w:rPr>
        <w:tab/>
        <w:t>Волошина О.В. Особистісні детермінанти формування суб’єктивних стратегій розвитку керівників органів внутрішніх справ. Юридична психологія та педагогіка. 2013. № 1. С.117-127.</w:t>
      </w:r>
    </w:p>
    <w:p w14:paraId="0B343AAB"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URL:https://elar.navs.edu.ua/server/api/core/bitstreams/7ff458eb-2e91-4ff8-b190-58a28e57fe58/content </w:t>
      </w:r>
    </w:p>
    <w:p w14:paraId="6DBB606D"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2.</w:t>
      </w:r>
      <w:r w:rsidRPr="00511005">
        <w:rPr>
          <w:rFonts w:ascii="Arial" w:eastAsia="Calibri" w:hAnsi="Arial" w:cs="Arial"/>
          <w:szCs w:val="28"/>
          <w:lang w:val="uk-UA"/>
        </w:rPr>
        <w:tab/>
        <w:t xml:space="preserve">Дєніжна С.О., Сова М.О. Психологічна підготовка працівників правоохоронних органів до професійної діяльності в екстремальних ситуаціях. Проблеми сучасної психології. 2016. Вип. 32. С. 99-115. </w:t>
      </w:r>
    </w:p>
    <w:p w14:paraId="486F192D"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URL:https://journals.indexcopernicus.com/api/file/viewByFileId/910218.pdf </w:t>
      </w:r>
    </w:p>
    <w:p w14:paraId="6925BC9F"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3.</w:t>
      </w:r>
      <w:r w:rsidRPr="00511005">
        <w:rPr>
          <w:rFonts w:ascii="Arial" w:eastAsia="Calibri" w:hAnsi="Arial" w:cs="Arial"/>
          <w:szCs w:val="28"/>
          <w:lang w:val="uk-UA"/>
        </w:rPr>
        <w:tab/>
        <w:t xml:space="preserve">Психологічні особливості комунікації в діяльності оперативного працівника поліції: методичні рекомендації / Я.М. Когут, О.М. Борисюк, Ю.Ц. Жидецький, Н.М. Калька, Н.О. Пряхіна, О.Й. Хомин. Львів: ЛьвДУВС, 2019. 112 с. URL: https://dspace.lvduvs.edu.ua/bitstream/1234567890/2885/1/%D0%BF%D1%81%D0%B8%D1%85%D0%BE%D0%BB%D0%BE%D0%B3%D1%96%D1%87%D0%BD%D1%96%20%D0%BE%D1%81%D0%BE%D0%B1%D0%BB%D0%B8%D0%B2%D0%BE%D1%81%D1%82%D1%96-%20%D1%80%D0%B5%D0%BA%D0%BE%D0%BC%D0%B5%D0%BD%D0%B4%D0%B0%D1%86%D1%96%D1%97.pdf </w:t>
      </w:r>
    </w:p>
    <w:p w14:paraId="67C20177"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4.</w:t>
      </w:r>
      <w:r w:rsidRPr="00511005">
        <w:rPr>
          <w:rFonts w:ascii="Arial" w:eastAsia="Calibri" w:hAnsi="Arial" w:cs="Arial"/>
          <w:szCs w:val="28"/>
          <w:lang w:val="uk-UA"/>
        </w:rPr>
        <w:tab/>
        <w:t>Чорноус Ю.М., Васюта Ю.В. Психологічна й організаційно-тактична характеристика діяльності спільних слідчих груп під час розслідування кримінальних правопорушень. Юридична психологія : науковий журнал. 2022. № 2 (31). С. 113-121.</w:t>
      </w:r>
    </w:p>
    <w:p w14:paraId="18BF2D0A" w14:textId="77777777" w:rsidR="00532C25" w:rsidRPr="00511005" w:rsidRDefault="00532C25" w:rsidP="00532C25">
      <w:pPr>
        <w:spacing w:line="264" w:lineRule="auto"/>
        <w:jc w:val="left"/>
        <w:rPr>
          <w:rFonts w:ascii="Arial" w:eastAsia="Calibri" w:hAnsi="Arial" w:cs="Arial"/>
          <w:b/>
          <w:bCs/>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діяльність оперативних працівників, психологічні основи, психологічні якості, професійна ефективність.</w:t>
      </w:r>
    </w:p>
    <w:p w14:paraId="792FA74E" w14:textId="77777777" w:rsidR="00532C25" w:rsidRPr="00511005" w:rsidRDefault="00532C25" w:rsidP="00532C25">
      <w:pPr>
        <w:spacing w:line="264" w:lineRule="auto"/>
        <w:jc w:val="left"/>
        <w:rPr>
          <w:rFonts w:ascii="Arial" w:eastAsia="Calibri" w:hAnsi="Arial" w:cs="Arial"/>
          <w:szCs w:val="28"/>
          <w:lang w:val="uk-UA"/>
        </w:rPr>
      </w:pPr>
      <w:r w:rsidRPr="00511005">
        <w:rPr>
          <w:rFonts w:ascii="Arial" w:eastAsia="Calibri" w:hAnsi="Arial" w:cs="Arial"/>
          <w:b/>
          <w:bCs/>
          <w:i/>
          <w:szCs w:val="28"/>
          <w:lang w:val="uk-UA"/>
        </w:rPr>
        <w:t xml:space="preserve">Key words: </w:t>
      </w:r>
      <w:r w:rsidRPr="00511005">
        <w:rPr>
          <w:rFonts w:ascii="Arial" w:eastAsia="Calibri" w:hAnsi="Arial" w:cs="Arial"/>
          <w:szCs w:val="28"/>
          <w:lang w:val="uk-UA"/>
        </w:rPr>
        <w:t>activity of operational employees, psychological foundations, psychological qualities, professional efficiency.</w:t>
      </w:r>
    </w:p>
    <w:p w14:paraId="343250E6" w14:textId="77777777" w:rsidR="00532C25" w:rsidRPr="00511005" w:rsidRDefault="00532C25" w:rsidP="00532C25">
      <w:pPr>
        <w:spacing w:line="264" w:lineRule="auto"/>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к.ю.н., доцент Гресь Ю.О.</w:t>
      </w:r>
    </w:p>
    <w:p w14:paraId="0956613F" w14:textId="77777777" w:rsidR="00532C25" w:rsidRPr="00511005" w:rsidRDefault="00532C25" w:rsidP="00532C25">
      <w:pPr>
        <w:spacing w:line="264" w:lineRule="auto"/>
        <w:ind w:firstLine="720"/>
        <w:jc w:val="center"/>
        <w:rPr>
          <w:rFonts w:ascii="Arial" w:eastAsia="Calibri" w:hAnsi="Arial" w:cs="Arial"/>
          <w:b/>
          <w:bCs/>
          <w:i/>
          <w:iCs/>
          <w:szCs w:val="28"/>
          <w:lang w:val="uk-UA"/>
        </w:rPr>
      </w:pPr>
    </w:p>
    <w:p w14:paraId="51DD719F"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Поплавська Аміна Сергіївна</w:t>
      </w:r>
    </w:p>
    <w:p w14:paraId="375CC265"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7C9A6A2A"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AE7C66B"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lastRenderedPageBreak/>
        <w:t>Національного університету «Одеська юридична академія»</w:t>
      </w:r>
    </w:p>
    <w:p w14:paraId="38B3C5C5" w14:textId="77777777" w:rsidR="00532C25" w:rsidRPr="00511005" w:rsidRDefault="00532C25" w:rsidP="00532C25">
      <w:pPr>
        <w:spacing w:line="264" w:lineRule="auto"/>
        <w:ind w:firstLine="720"/>
        <w:jc w:val="center"/>
        <w:rPr>
          <w:rFonts w:ascii="Arial" w:eastAsia="Calibri" w:hAnsi="Arial" w:cs="Arial"/>
          <w:i/>
          <w:iCs/>
          <w:szCs w:val="28"/>
          <w:lang w:val="uk-UA"/>
        </w:rPr>
      </w:pPr>
    </w:p>
    <w:p w14:paraId="63B6FAAB"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ТАКТИЧНІ ПРИЙОМИ, ЩО ВИКОРИСТОВУЮТЬСЯ СЛІДЧИМ ПІД ЧАС ОГЛЯДУ МІСЦЯ ПОДІЇ ЗА НАЯВНОСТІ ТРУПА</w:t>
      </w:r>
    </w:p>
    <w:p w14:paraId="7DBB65BB"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Місце події у провадженнях про вбивство – це територія або приміщення, де було вчинено кримінальне правопорушення та виявлено труп, а також території чи приміщення, що прилягають, де можуть бути знайдені сліди та об’єкти, пов’язані зі злочином. Якщо вбивство сталось в одному місці, а сліди знайшли в іншому, то маємо і місце злочину, і місце події. </w:t>
      </w:r>
    </w:p>
    <w:p w14:paraId="193AC18E"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Процедура огляду трупа на місці його виявлення є одним із фундаментальних етапів розслідування кримінальних правопорушень. Тіло померлої особи є центральним об'єктом, що визначає характер місця події. Огляд трупа повинен здійснюватися безпосередньо на місці, де його виявлено, оскільки будь-яке переміщення тіла призводить до порушення цілісності інформації, що міститься у взаємозв'язку між обставинами місця події, положенням тіла, наявними трупними змінами та іншими релевантними факторами.</w:t>
      </w:r>
    </w:p>
    <w:p w14:paraId="7E20198F"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Огляд тіла слідчий, або ж прокурор, проводить за обов’язковою участю судово-медичного експерта, або, у випадку його відсутності, лікаря (згідно з ч. 1 ст. 238 Кримінального процесуального кодексу України). Після проведеного огляду, тіло направляють на обов’язкову судово-медичну експертизу, для визначення причини смерті (як це передбачено ч. 3 ст. 238 КПК України) </w:t>
      </w: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w:t>
      </w:r>
    </w:p>
    <w:p w14:paraId="30816CE6"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Огляд трупа включає в себе дві стадії – загальне і детальне дослідження. Хід і результати огляду трупа зазначаються у протоколі огляду місця події та протоколі огляду трупа. При огляді трупа безпосередньо зазначається: поза трупа, його положення на місці події, зовнішніх характеристик та положення, зокрема взаємного розташування різних частин тіла відносно одна одної.</w:t>
      </w:r>
    </w:p>
    <w:p w14:paraId="703B8766"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Позиція тіла визначається відносно найближчих нерухомих орієнтирів – дверей, стін, дороги, дерев, будівель тощо. Знаряддя, що викликало смерть, оглядають під час огляду тільки тоді, коли воно механічно пов’язане з тілом (петля на шиї померлого, ніж, що стирчить з тіла трупа та інше). Такий огляд проводиться перед зніманням одягу та його інспектуванням, щоб запобігти зміні положення чи стану знаряддя. При роботі з вузлами варто зберігати їх цілісність, здійснюючи розріз матеріалу петлі на віддаленій від вузла ділянці. Наступним кроком є дослідження поверхні, на якій розміщувалось тіло</w:t>
      </w:r>
      <w:r w:rsidRPr="00511005">
        <w:rPr>
          <w:rFonts w:ascii="Arial" w:eastAsia="Calibri" w:hAnsi="Arial" w:cs="Arial"/>
          <w:szCs w:val="28"/>
          <w:lang w:val="uk-UA"/>
        </w:rPr>
        <w:t xml:space="preserve"> [2, с. 111].</w:t>
      </w:r>
    </w:p>
    <w:p w14:paraId="36C637B6"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Для досягнення цього необхідно обережно підняти та відсунути тіло. Забороняється волочити чи перевертати його, оскільки предмети під ним можуть бути цінними доказами для слідства та допомогти визначити факт </w:t>
      </w:r>
      <w:r w:rsidRPr="00511005">
        <w:rPr>
          <w:rFonts w:ascii="Arial" w:eastAsia="Times New Roman" w:hAnsi="Arial" w:cs="Arial"/>
          <w:szCs w:val="28"/>
          <w:lang w:val="uk-UA" w:eastAsia="ru-RU"/>
        </w:rPr>
        <w:lastRenderedPageBreak/>
        <w:t>переміщення і зміни позиції тіла. Локалізація та особливості трупних плям є основними індикаторами зміни положення тіла на місці злочину. Варто зазначити, що трупні плями здатні зникати з однієї частини тіла та формуватися на іншій лише впродовж початкових 6-8 годин після настання смерті.</w:t>
      </w:r>
    </w:p>
    <w:p w14:paraId="6D540B12"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Після 10-12 годин посмертного періоду трупні плями перестають повністю зникати, демонструючи лише часткове переміщення, а через добу після смерті їхнє розташування стає незмінним. На тілі залишаються бліді відбитки або рельєфні сліди від предметів, на яких воно розташоване, що виникають через стискання кровоносних судин. Важливо детально вивчити поверхню під тілом – чи то підлогу, ґрунт чи інші об'єкти – та порівняти ці елементи з відповідними відбитками, виявленими на шкірі померлого</w:t>
      </w:r>
      <w:r w:rsidRPr="00511005">
        <w:rPr>
          <w:rFonts w:ascii="Arial" w:eastAsia="Calibri" w:hAnsi="Arial" w:cs="Arial"/>
          <w:szCs w:val="28"/>
          <w:lang w:val="uk-UA"/>
        </w:rPr>
        <w:t xml:space="preserve"> </w:t>
      </w:r>
      <w:bookmarkStart w:id="243" w:name="_Hlk195643962"/>
      <w:r w:rsidRPr="00511005">
        <w:rPr>
          <w:rFonts w:ascii="Arial" w:eastAsia="Times New Roman" w:hAnsi="Arial" w:cs="Arial"/>
          <w:szCs w:val="28"/>
          <w:lang w:val="uk-UA" w:eastAsia="ru-RU"/>
        </w:rPr>
        <w:t>[2, с. 111].</w:t>
      </w:r>
    </w:p>
    <w:bookmarkEnd w:id="243"/>
    <w:p w14:paraId="4C399618"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У ситуації, коли форма виявлених на ложі трупа об’єктів відрізняється від слідів на тілі, це може вказувати на перенесення.</w:t>
      </w:r>
    </w:p>
    <w:p w14:paraId="583FE791"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Як зазначає науковець</w:t>
      </w:r>
      <w:r w:rsidRPr="00511005">
        <w:rPr>
          <w:rFonts w:ascii="Arial" w:eastAsia="Calibri" w:hAnsi="Arial" w:cs="Arial"/>
          <w:szCs w:val="28"/>
        </w:rPr>
        <w:t xml:space="preserve"> </w:t>
      </w:r>
      <w:r w:rsidRPr="00511005">
        <w:rPr>
          <w:rFonts w:ascii="Arial" w:eastAsia="Times New Roman" w:hAnsi="Arial" w:cs="Arial"/>
          <w:szCs w:val="28"/>
          <w:lang w:val="uk-UA" w:eastAsia="ru-RU"/>
        </w:rPr>
        <w:t>Копча В. В. по завершенні зовнішнього обстеження з тіла знімають одяг. Огляд кожного елемента гардеробу відбувається як індивідуально, так і в контексті всього комплекту. Під час перевірки одягу встановлюють: відповідність його розмірів параметрам тіла, комплектність усіх елементів, вміст кишень та інших відділень, наявність забруднень і плям (з фіксацією їхніх габаритів, розташування, глибини проникнення в тканину, кольору, вологості), наявні пошкодження (їхню природу, розміри, форму, характерні ознаки походження), присутність маркувань та їх вид, наявність запаху, співвідношення якості верхнього та нижнього одягу. Огляд власне тіла проводиться в найбільш раціональній послідовності.</w:t>
      </w:r>
      <w:r w:rsidRPr="00511005">
        <w:rPr>
          <w:rFonts w:ascii="Arial" w:eastAsia="Calibri" w:hAnsi="Arial" w:cs="Arial"/>
          <w:szCs w:val="28"/>
          <w:lang w:val="uk-UA"/>
        </w:rPr>
        <w:t xml:space="preserve"> </w:t>
      </w:r>
      <w:bookmarkStart w:id="244" w:name="_Hlk195644127"/>
      <w:r w:rsidRPr="00511005">
        <w:rPr>
          <w:rFonts w:ascii="Arial" w:eastAsia="Calibri" w:hAnsi="Arial" w:cs="Arial"/>
          <w:szCs w:val="28"/>
          <w:lang w:val="uk-UA"/>
        </w:rPr>
        <w:t>[2, с. 111]</w:t>
      </w:r>
    </w:p>
    <w:bookmarkEnd w:id="244"/>
    <w:p w14:paraId="26A37F24"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Для фіксації доказової бази важливе фотографування тіла. З цією метою проводяться оглядові та орієнтуючі зйомки з багатьох ракурсів. Крім того, робляться вузлові та детальні фотографії, які фіксують положення тіла, його зовнішність, всі тілесні ушкодження, стан одягу, взаємне розташування з іншими об'єктами, а також вигляд і місце знаходження всіх значущих для розслідування предметів і слідів, виявлених на місці події. Переважним є використання цифрових фотоапаратів.</w:t>
      </w:r>
      <w:r w:rsidRPr="00511005">
        <w:rPr>
          <w:rFonts w:ascii="Arial" w:eastAsia="Calibri" w:hAnsi="Arial" w:cs="Arial"/>
          <w:szCs w:val="28"/>
          <w:lang w:val="uk-UA"/>
        </w:rPr>
        <w:t xml:space="preserve"> </w:t>
      </w:r>
    </w:p>
    <w:p w14:paraId="69515D45"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Times New Roman" w:hAnsi="Arial" w:cs="Arial"/>
          <w:szCs w:val="28"/>
          <w:lang w:val="uk-UA" w:eastAsia="ru-RU"/>
        </w:rPr>
        <w:t>При проведенні огляду місця події обов'язковим є використання спеціалізованих карт-таблиць, які визначають алгоритм дій учасників слідчої групи та перелік слідів, що підлягають виявленню та вилученню. Дослідження найбільш важливих об'єктів на місці події рекомендується здійснювати із застосуванням спеціальних матричних структур. Сліди, що мають найвищий доказовий потенціал, підлягають розширеному опису з використанням стандартизованої моделі. Критерієм повноти зібраної інформації є співвідношення кількості отриманих відповідей до загальної кількості питань, сформульованих у ході огляду.</w:t>
      </w:r>
    </w:p>
    <w:p w14:paraId="71740E0F" w14:textId="77777777" w:rsidR="00532C25" w:rsidRPr="00511005" w:rsidRDefault="00532C25" w:rsidP="00532C25">
      <w:pPr>
        <w:shd w:val="clear" w:color="auto" w:fill="FFFFFF"/>
        <w:spacing w:line="264" w:lineRule="auto"/>
        <w:ind w:firstLine="720"/>
        <w:rPr>
          <w:rFonts w:ascii="Arial" w:eastAsia="Times New Roman" w:hAnsi="Arial" w:cs="Arial"/>
          <w:szCs w:val="28"/>
          <w:lang w:val="uk-UA" w:eastAsia="ru-RU"/>
        </w:rPr>
      </w:pPr>
      <w:r w:rsidRPr="00511005">
        <w:rPr>
          <w:rFonts w:ascii="Arial" w:eastAsia="Calibri" w:hAnsi="Arial" w:cs="Arial"/>
          <w:szCs w:val="28"/>
        </w:rPr>
        <w:lastRenderedPageBreak/>
        <w:t xml:space="preserve">Це дозволяє об'єктивно оцінити результати застосування методу будь-яким учасником кримінального провадження, сформулювати висновки для вирішення важливих питань, пов'язаних зі слідчими </w:t>
      </w:r>
      <w:r w:rsidRPr="00511005">
        <w:rPr>
          <w:rFonts w:ascii="Arial" w:eastAsia="Calibri" w:hAnsi="Arial" w:cs="Arial"/>
          <w:szCs w:val="28"/>
          <w:lang w:val="uk-UA"/>
        </w:rPr>
        <w:t xml:space="preserve">(розшуковими) </w:t>
      </w:r>
      <w:r w:rsidRPr="00511005">
        <w:rPr>
          <w:rFonts w:ascii="Arial" w:eastAsia="Calibri" w:hAnsi="Arial" w:cs="Arial"/>
          <w:szCs w:val="28"/>
        </w:rPr>
        <w:t>діями. Особливо враховуючи, що слідчий керує розслідуванням для всебічного, повного та об'єктивного встановлення обставин, що викривають підозрювану особу.</w:t>
      </w:r>
    </w:p>
    <w:p w14:paraId="0C4C482B" w14:textId="77777777" w:rsidR="00532C25" w:rsidRPr="00511005" w:rsidRDefault="00532C25" w:rsidP="00532C25">
      <w:pPr>
        <w:spacing w:line="264" w:lineRule="auto"/>
        <w:ind w:firstLine="720"/>
        <w:rPr>
          <w:rFonts w:ascii="Arial" w:eastAsia="Calibri" w:hAnsi="Arial" w:cs="Arial"/>
          <w:szCs w:val="28"/>
          <w:lang w:val="uk-UA"/>
        </w:rPr>
      </w:pPr>
    </w:p>
    <w:p w14:paraId="657950B1"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Times New Roman" w:hAnsi="Arial" w:cs="Arial"/>
          <w:b/>
          <w:szCs w:val="28"/>
          <w:lang w:val="uk-UA"/>
        </w:rPr>
        <w:t>Список використаних джерел</w:t>
      </w:r>
    </w:p>
    <w:p w14:paraId="7A19838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1. Кримінальний процесуальний кодекс України.</w:t>
      </w:r>
      <w:r w:rsidRPr="00511005">
        <w:rPr>
          <w:rFonts w:ascii="Arial" w:eastAsia="Times New Roman" w:hAnsi="Arial" w:cs="Arial"/>
          <w:szCs w:val="28"/>
        </w:rPr>
        <w:t xml:space="preserve"> </w:t>
      </w:r>
      <w:r w:rsidRPr="00511005">
        <w:rPr>
          <w:rFonts w:ascii="Arial" w:eastAsia="Times New Roman" w:hAnsi="Arial" w:cs="Arial"/>
          <w:i/>
          <w:iCs/>
          <w:szCs w:val="28"/>
        </w:rPr>
        <w:t>Закон</w:t>
      </w:r>
      <w:r w:rsidRPr="00511005">
        <w:rPr>
          <w:rFonts w:ascii="Arial" w:eastAsia="Times New Roman" w:hAnsi="Arial" w:cs="Arial"/>
          <w:i/>
          <w:szCs w:val="28"/>
          <w:shd w:val="clear" w:color="auto" w:fill="F5F5F5"/>
        </w:rPr>
        <w:t> </w:t>
      </w:r>
      <w:r w:rsidRPr="00511005">
        <w:rPr>
          <w:rFonts w:ascii="Arial" w:eastAsia="Times New Roman" w:hAnsi="Arial" w:cs="Arial"/>
          <w:szCs w:val="28"/>
          <w:shd w:val="clear" w:color="auto" w:fill="F5F5F5"/>
        </w:rPr>
        <w:t>від </w:t>
      </w:r>
      <w:r w:rsidRPr="00511005">
        <w:rPr>
          <w:rFonts w:ascii="Arial" w:eastAsia="Times New Roman" w:hAnsi="Arial" w:cs="Arial"/>
          <w:szCs w:val="28"/>
        </w:rPr>
        <w:t>13.04.20</w:t>
      </w:r>
      <w:r w:rsidRPr="00511005">
        <w:rPr>
          <w:rFonts w:ascii="Arial" w:eastAsia="Times New Roman" w:hAnsi="Arial" w:cs="Arial"/>
          <w:szCs w:val="28"/>
          <w:lang w:val="uk-UA"/>
        </w:rPr>
        <w:t>12 р.</w:t>
      </w:r>
      <w:r w:rsidRPr="00511005">
        <w:rPr>
          <w:rFonts w:ascii="Arial" w:eastAsia="Times New Roman" w:hAnsi="Arial" w:cs="Arial"/>
          <w:szCs w:val="28"/>
          <w:shd w:val="clear" w:color="auto" w:fill="F5F5F5"/>
        </w:rPr>
        <w:t> № </w:t>
      </w:r>
      <w:r w:rsidRPr="00511005">
        <w:rPr>
          <w:rFonts w:ascii="Arial" w:eastAsia="Times New Roman" w:hAnsi="Arial" w:cs="Arial"/>
          <w:b/>
          <w:bCs/>
          <w:szCs w:val="28"/>
        </w:rPr>
        <w:t>4651</w:t>
      </w:r>
      <w:r w:rsidRPr="00511005">
        <w:rPr>
          <w:rFonts w:ascii="Arial" w:eastAsia="Times New Roman" w:hAnsi="Arial" w:cs="Arial"/>
          <w:b/>
          <w:bCs/>
          <w:szCs w:val="28"/>
          <w:lang w:val="uk-UA"/>
        </w:rPr>
        <w:t xml:space="preserve">- </w:t>
      </w:r>
      <w:r w:rsidRPr="00511005">
        <w:rPr>
          <w:rFonts w:ascii="Arial" w:eastAsia="Times New Roman" w:hAnsi="Arial" w:cs="Arial"/>
          <w:b/>
          <w:bCs/>
          <w:szCs w:val="28"/>
        </w:rPr>
        <w:t>VI</w:t>
      </w:r>
      <w:r w:rsidRPr="00511005">
        <w:rPr>
          <w:rFonts w:ascii="Arial" w:eastAsia="Times New Roman" w:hAnsi="Arial" w:cs="Arial"/>
          <w:b/>
          <w:bCs/>
          <w:szCs w:val="28"/>
          <w:lang w:val="uk-UA"/>
        </w:rPr>
        <w:t>.</w:t>
      </w:r>
      <w:r w:rsidRPr="00511005">
        <w:rPr>
          <w:rFonts w:ascii="Arial" w:eastAsia="Times New Roman" w:hAnsi="Arial" w:cs="Arial"/>
          <w:b/>
          <w:bCs/>
          <w:szCs w:val="28"/>
        </w:rPr>
        <w:t xml:space="preserve"> (</w:t>
      </w:r>
      <w:r w:rsidRPr="00511005">
        <w:rPr>
          <w:rFonts w:ascii="Arial" w:eastAsia="Calibri" w:hAnsi="Arial" w:cs="Arial"/>
          <w:szCs w:val="28"/>
        </w:rPr>
        <w:t>Редакція станом на 04.12.2024).</w:t>
      </w:r>
      <w:r w:rsidRPr="00511005">
        <w:rPr>
          <w:rFonts w:ascii="Arial" w:eastAsia="Calibri" w:hAnsi="Arial" w:cs="Arial"/>
          <w:szCs w:val="28"/>
          <w:lang w:val="uk-UA"/>
        </w:rPr>
        <w:t xml:space="preserve"> URL: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w:instrText>
      </w:r>
      <w:r w:rsidR="005938AD" w:rsidRPr="00055389">
        <w:rPr>
          <w:lang w:val="uk-UA"/>
        </w:rPr>
        <w:instrText>://</w:instrText>
      </w:r>
      <w:r w:rsidR="005938AD">
        <w:instrText>zakon</w:instrText>
      </w:r>
      <w:r w:rsidR="005938AD" w:rsidRPr="00055389">
        <w:rPr>
          <w:lang w:val="uk-UA"/>
        </w:rPr>
        <w:instrText>2.</w:instrText>
      </w:r>
      <w:r w:rsidR="005938AD">
        <w:instrText>rada</w:instrText>
      </w:r>
      <w:r w:rsidR="005938AD" w:rsidRPr="00055389">
        <w:rPr>
          <w:lang w:val="uk-UA"/>
        </w:rPr>
        <w:instrText>.</w:instrText>
      </w:r>
      <w:r w:rsidR="005938AD">
        <w:instrText>gov</w:instrText>
      </w:r>
      <w:r w:rsidR="005938AD" w:rsidRPr="00055389">
        <w:rPr>
          <w:lang w:val="uk-UA"/>
        </w:rPr>
        <w:instrText>.</w:instrText>
      </w:r>
      <w:r w:rsidR="005938AD">
        <w:instrText>ua</w:instrText>
      </w:r>
      <w:r w:rsidR="005938AD" w:rsidRPr="00055389">
        <w:rPr>
          <w:lang w:val="uk-UA"/>
        </w:rPr>
        <w:instrText>/</w:instrText>
      </w:r>
      <w:r w:rsidR="005938AD">
        <w:instrText>laws</w:instrText>
      </w:r>
      <w:r w:rsidR="005938AD" w:rsidRPr="00055389">
        <w:rPr>
          <w:lang w:val="uk-UA"/>
        </w:rPr>
        <w:instrText>/</w:instrText>
      </w:r>
      <w:r w:rsidR="005938AD">
        <w:instrText>show</w:instrText>
      </w:r>
      <w:r w:rsidR="005938AD" w:rsidRPr="00055389">
        <w:rPr>
          <w:lang w:val="uk-UA"/>
        </w:rPr>
        <w:instrText xml:space="preserve">/4651-17" </w:instrText>
      </w:r>
      <w:r w:rsidR="005938AD">
        <w:fldChar w:fldCharType="separate"/>
      </w:r>
      <w:r w:rsidRPr="00511005">
        <w:rPr>
          <w:rFonts w:ascii="Arial" w:eastAsia="Calibri" w:hAnsi="Arial" w:cs="Arial"/>
          <w:szCs w:val="28"/>
          <w:lang w:val="uk-UA"/>
        </w:rPr>
        <w:t>http://zakon2.rada.gov.ua/laws/show/4651-17</w:t>
      </w:r>
      <w:r w:rsidR="005938AD">
        <w:rPr>
          <w:rFonts w:ascii="Arial" w:eastAsia="Calibri" w:hAnsi="Arial" w:cs="Arial"/>
          <w:szCs w:val="28"/>
          <w:lang w:val="uk-UA"/>
        </w:rPr>
        <w:fldChar w:fldCharType="end"/>
      </w:r>
      <w:bookmarkStart w:id="245" w:name="_Hlk195644075"/>
      <w:bookmarkStart w:id="246" w:name="_Hlk195643939"/>
    </w:p>
    <w:p w14:paraId="3FD8654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shd w:val="clear" w:color="auto" w:fill="FFFFFF"/>
          <w:lang w:val="uk-UA"/>
        </w:rPr>
        <w:t>2. Копча, В. В</w:t>
      </w:r>
      <w:bookmarkEnd w:id="245"/>
      <w:r w:rsidRPr="00511005">
        <w:rPr>
          <w:rFonts w:ascii="Arial" w:eastAsia="Calibri" w:hAnsi="Arial" w:cs="Arial"/>
          <w:szCs w:val="28"/>
          <w:shd w:val="clear" w:color="auto" w:fill="FFFFFF"/>
          <w:lang w:val="uk-UA"/>
        </w:rPr>
        <w:t>. Тактика слідчого огляду [Текст] / В. В. Копча, Н. В. Копча // Науковий вісник Ужгородського Національного університету : серія: Право / гол.ред. Ю.М. Бисага. – Ужгород : Видавничий дім «Гельветика», 2018. – Т. 2. – Вип. 48.</w:t>
      </w:r>
      <w:bookmarkEnd w:id="246"/>
      <w:r w:rsidRPr="00511005">
        <w:rPr>
          <w:rFonts w:ascii="Arial" w:eastAsia="Calibri" w:hAnsi="Arial" w:cs="Arial"/>
          <w:szCs w:val="28"/>
          <w:shd w:val="clear" w:color="auto" w:fill="FFFFFF"/>
          <w:lang w:val="uk-UA"/>
        </w:rPr>
        <w:t xml:space="preserve"> – с. 110-111.</w:t>
      </w:r>
    </w:p>
    <w:p w14:paraId="6BB14EE5" w14:textId="77777777" w:rsidR="00532C25" w:rsidRPr="00511005" w:rsidRDefault="00532C25" w:rsidP="00532C25">
      <w:pPr>
        <w:spacing w:line="264" w:lineRule="auto"/>
        <w:ind w:firstLine="720"/>
        <w:jc w:val="left"/>
        <w:rPr>
          <w:rFonts w:ascii="Arial" w:eastAsia="Calibri" w:hAnsi="Arial" w:cs="Arial"/>
          <w:szCs w:val="28"/>
          <w:lang w:val="uk-UA"/>
        </w:rPr>
      </w:pPr>
    </w:p>
    <w:p w14:paraId="0C2C90B2" w14:textId="77777777" w:rsidR="00532C25" w:rsidRPr="00511005" w:rsidRDefault="00532C25" w:rsidP="00532C25">
      <w:pPr>
        <w:spacing w:line="264" w:lineRule="auto"/>
        <w:ind w:firstLine="72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Pr="00511005">
        <w:rPr>
          <w:rFonts w:ascii="Arial" w:eastAsia="Times New Roman" w:hAnsi="Arial" w:cs="Arial"/>
          <w:szCs w:val="28"/>
          <w:lang w:val="uk-UA" w:eastAsia="uk-UA"/>
        </w:rPr>
        <w:t>огляд місця події, огляд трупа, слідчі розшукові дії, слідчий, труп, фіксація.</w:t>
      </w:r>
    </w:p>
    <w:p w14:paraId="24B7A68D" w14:textId="77777777" w:rsidR="00532C25" w:rsidRPr="00511005" w:rsidRDefault="00532C25" w:rsidP="00532C25">
      <w:pPr>
        <w:spacing w:line="264" w:lineRule="auto"/>
        <w:ind w:firstLine="720"/>
        <w:rPr>
          <w:rFonts w:ascii="Arial" w:eastAsia="Times New Roman" w:hAnsi="Arial" w:cs="Arial"/>
          <w:szCs w:val="28"/>
          <w:lang w:val="uk-UA" w:eastAsia="uk-UA"/>
        </w:rPr>
      </w:pPr>
      <w:r w:rsidRPr="00511005">
        <w:rPr>
          <w:rFonts w:ascii="Arial" w:eastAsia="Times New Roman" w:hAnsi="Arial" w:cs="Arial"/>
          <w:b/>
          <w:bCs/>
          <w:i/>
          <w:szCs w:val="28"/>
          <w:lang w:val="en-US" w:eastAsia="uk-UA"/>
        </w:rPr>
        <w:t xml:space="preserve">Key words: </w:t>
      </w:r>
      <w:r w:rsidRPr="00511005">
        <w:rPr>
          <w:rFonts w:ascii="Arial" w:eastAsia="Times New Roman" w:hAnsi="Arial" w:cs="Arial"/>
          <w:szCs w:val="28"/>
          <w:lang w:val="en-US" w:eastAsia="uk-UA"/>
        </w:rPr>
        <w:t>inspection</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of</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the</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scene</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inspection</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of</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the</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corpse</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investigative</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search</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actions</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investigator</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corpse</w:t>
      </w:r>
      <w:r w:rsidRPr="00511005">
        <w:rPr>
          <w:rFonts w:ascii="Arial" w:eastAsia="Times New Roman" w:hAnsi="Arial" w:cs="Arial"/>
          <w:szCs w:val="28"/>
          <w:lang w:val="uk-UA" w:eastAsia="uk-UA"/>
        </w:rPr>
        <w:t xml:space="preserve">, </w:t>
      </w:r>
      <w:r w:rsidRPr="00511005">
        <w:rPr>
          <w:rFonts w:ascii="Arial" w:eastAsia="Times New Roman" w:hAnsi="Arial" w:cs="Arial"/>
          <w:szCs w:val="28"/>
          <w:lang w:val="en-US" w:eastAsia="uk-UA"/>
        </w:rPr>
        <w:t>fixation</w:t>
      </w:r>
      <w:r w:rsidRPr="00511005">
        <w:rPr>
          <w:rFonts w:ascii="Arial" w:eastAsia="Times New Roman" w:hAnsi="Arial" w:cs="Arial"/>
          <w:szCs w:val="28"/>
          <w:lang w:val="uk-UA" w:eastAsia="uk-UA"/>
        </w:rPr>
        <w:t>.</w:t>
      </w:r>
    </w:p>
    <w:p w14:paraId="347D374E" w14:textId="77777777" w:rsidR="00532C25" w:rsidRPr="00511005" w:rsidRDefault="00532C25" w:rsidP="00532C25">
      <w:pPr>
        <w:spacing w:line="264" w:lineRule="auto"/>
        <w:ind w:firstLine="720"/>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Pr="00511005">
        <w:rPr>
          <w:rFonts w:ascii="Arial" w:eastAsia="Times New Roman" w:hAnsi="Arial" w:cs="Arial"/>
          <w:bCs/>
          <w:i/>
          <w:iCs/>
          <w:szCs w:val="28"/>
          <w:lang w:val="uk-UA" w:eastAsia="uk-UA"/>
        </w:rPr>
        <w:t>доктор філософії, доцент Чернов О.В.</w:t>
      </w:r>
    </w:p>
    <w:p w14:paraId="42BF7B22" w14:textId="77777777" w:rsidR="00532C25" w:rsidRPr="00511005" w:rsidRDefault="00532C25" w:rsidP="00532C25">
      <w:pPr>
        <w:spacing w:line="264" w:lineRule="auto"/>
        <w:ind w:firstLine="720"/>
        <w:jc w:val="left"/>
        <w:rPr>
          <w:rFonts w:ascii="Arial" w:eastAsia="Times New Roman" w:hAnsi="Arial" w:cs="Arial"/>
          <w:b/>
          <w:szCs w:val="28"/>
          <w:lang w:val="uk-UA"/>
        </w:rPr>
      </w:pPr>
    </w:p>
    <w:p w14:paraId="46E3B259" w14:textId="77777777" w:rsidR="00532C25" w:rsidRPr="00511005" w:rsidRDefault="00532C25" w:rsidP="00532C25">
      <w:pPr>
        <w:spacing w:line="264" w:lineRule="auto"/>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Попова Вiта Iгорiвна</w:t>
      </w:r>
    </w:p>
    <w:p w14:paraId="283DE8DC"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6A1B024E"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93467FE"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A864633" w14:textId="77777777" w:rsidR="00532C25" w:rsidRPr="00511005" w:rsidRDefault="00532C25" w:rsidP="00532C25">
      <w:pPr>
        <w:spacing w:line="264" w:lineRule="auto"/>
        <w:rPr>
          <w:rFonts w:ascii="Arial" w:eastAsia="Times New Roman" w:hAnsi="Arial" w:cs="Arial"/>
          <w:szCs w:val="28"/>
          <w:lang w:val="uk-UA" w:eastAsia="ru-RU"/>
        </w:rPr>
      </w:pPr>
    </w:p>
    <w:p w14:paraId="6C4004F1" w14:textId="77777777" w:rsidR="00532C25" w:rsidRPr="00511005" w:rsidRDefault="00532C25" w:rsidP="00532C25">
      <w:pPr>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ІННОВАЦІЙНІ ТЕХНОЛОГІЇ ІДЕНТИФІКАЦІЇ ОСОБИ У ПРАКТИЦІ БОРОТЬБИ ЗІ ЗЛОЧИННІСТЮ</w:t>
      </w:r>
    </w:p>
    <w:p w14:paraId="6F0A7966"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Вважаємо, що як і на даний час так і взагалі актуальною темою залишається використання сучасних досягнень науки та техніки у боротьбі зі злочинністю. Треба зазначити, що за роки повномасштабної війни загальна кількість злочинів в Україні зросла. Сучасний світ розвивається в усіх напрямках, як розвиваються і нові схеми для вчинення злочинів, а новітні технології і наукові досягнення допомагають правоохоронцям ефективніше протидіяти злочинцям та розслідувати кримінальні правопорушення.</w:t>
      </w:r>
    </w:p>
    <w:p w14:paraId="7FE034F6"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Для підвищення ефективності розслідування злочинів та ідентифікації осіб використовуються біометричні дані (відбитки пальців, ДНК, сітківка ока і тд.). Наприклад, система автоматичного розпізнавання відбитків пальців (САРВП) активно використовується правоохоронними органами, зокрема поліцією, з метою встановлення особи. Застосування біометричних даних у </w:t>
      </w:r>
      <w:r w:rsidRPr="00511005">
        <w:rPr>
          <w:rFonts w:ascii="Arial" w:eastAsia="Times New Roman" w:hAnsi="Arial" w:cs="Arial"/>
          <w:szCs w:val="28"/>
          <w:lang w:val="uk-UA" w:eastAsia="ru-RU"/>
        </w:rPr>
        <w:lastRenderedPageBreak/>
        <w:t>роботі поліції переважно полягає у фіксації відбитків пальців підозрюваних та осіб, причетних до вчинення злочинів, з подальшим проведенням біометричної ідентифікації. Така ідентифікація передбачає порівняння конкретного зразка відбитків пальців із наявними у базі даних, а також зі слідами, виявленими на місці вчинення злочину [1].</w:t>
      </w:r>
    </w:p>
    <w:p w14:paraId="575CCBC2"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Прикладом новітніх технічних засобів у галузі дактилоскопії</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програма EVISCAN, розроблена у Німеччині </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 Це інноваційна високотехнологічна робоча станція, яка дозволяє експертам-криміналістам по всьому світу виявляти, вдосконалювати та зберігати в цифровому вигляді скриті відбитки пальців та скриті сліди. EVISCAN отримує скриті відбитки пальців без фізичного контакту чи використання хімічних речовин. Інноваційна система об’єднує в собі нову технологію детекторів та програмне забезпечення для обробки зображень і тим самим є надійним і ефективним методом для обробки речових доказів.</w:t>
      </w:r>
    </w:p>
    <w:p w14:paraId="1E01BE33"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 EVISCAN криміналісти можуть ретельно досліджувати об’єкти і одночасно зберігати можливість застосування інших методів виявлення. Таким чином, з одного сліду може бути отримано більше інформації, що збільшує шанси для ідентифікації особистості.</w:t>
      </w:r>
    </w:p>
    <w:p w14:paraId="43EA7382"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Спираючись на сучасні наукові досягнення та розроблені методики, молекулярно-генетичний аналіз ДНК у наш час, за оцінкою Національної академії наук США, визнано «найбільш надійним і актуальним інструментом серед усіх судово-експертних технологій». До числа інноваційних підходів у криміналістичному ДНК-аналізі, що поступово впроваджуються в сферу судової генетики, належать методи секвенування нового покоління, включаючи ДНК-фенотипування та біогеографічне тестування. Окрім того, в ряді зарубіжних країн активно застосовуються технології родинного пошуку ДНК-профілів у базах даних. Можливості ДНК-аналізу також охоплюють вирішення додаткових завдань, зокрема визначення статі за біологічними слідами, а також прогнозування зовнішніх ознак людини на основі генетичної інформації.</w:t>
      </w:r>
    </w:p>
    <w:p w14:paraId="145E18EC"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Новітні методи полягають у використанні інструментів, які винайдено порівняно нещодавно. До них належать: ДНК-фенотипування, пошук родичів за базами даних ДНК, швидке тестування на ДНК-профіль і застосування новітніх платформ секвенування наступного покоління</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для вирішення складних завдань криміналістичного ДНК-аналізу. Більшість цих методів засновано на технології SNP-аналізу [3]. Цей метод молекулярної генетики революціонізував процес розслідування злочинів, надавши слідчим можливість з неймовірною точністю ідентифікувати особу, встановлювати родинні зв’язки та аналізувати найдрібніші біологічні сліди на місці злочину. Також встановлювати особу за частковими залишками (наприклад, кістками), реконструювати події злочину на основі розташування біологічних слідів, визначати належність знайдених речових доказів , підтверджувати </w:t>
      </w:r>
      <w:r w:rsidRPr="00511005">
        <w:rPr>
          <w:rFonts w:ascii="Arial" w:eastAsia="Times New Roman" w:hAnsi="Arial" w:cs="Arial"/>
          <w:szCs w:val="28"/>
          <w:lang w:val="uk-UA" w:eastAsia="ru-RU"/>
        </w:rPr>
        <w:lastRenderedPageBreak/>
        <w:t>або спростовувати звинувачення у</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сексуальному насильстві. Очищення невинних від підозр у скоєнні злочину, перегляд старих справ з використанням нових методів ДНК-аналізу, запобігання судовим помилкам через неправильну ідентифікацію, аналіз складних біологічних зразків, також підвищує актуальність ДНК-аналізу.</w:t>
      </w:r>
    </w:p>
    <w:p w14:paraId="78EECF47"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 ідентифікації за біометричними даними також належить система розпізнавання обличчя — це технологія, яка дозволяє ідентифікувати особу за цифровим зображенням, порівнюючи риси обличчя з тими, що зберігаються у відповідній базі даних. Серед основних переваг її використання — підвищення безпеки (виявлення злочинців, запобігання крадіжкам у торговельних закладах тощо), зручність, економія часу та легкість у застосуванні. У правоохоронній сфері обличчя особи виступає важливим ідентифікатором для перевірки особи. Такі системи зазвичай охоплюють широкомасштабний моніторинг, збір, збереження, аналіз персональних конфіденційних даних та їхнє використання, що іноді відбувається без наявності достатніх підстав або підозри у вчиненні кримінального правопорушення [4].</w:t>
      </w:r>
    </w:p>
    <w:p w14:paraId="7C92C3CF"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контексті воєнного стану Україна почала впроваджувати технологію розпізнавання обличчя Clearview AI (розробка американської компанії), яка використовується з метою протидії збройній агресії з боку Російської Федерації та ідентифікації осіб, причетних до воєнних злочинів.</w:t>
      </w:r>
    </w:p>
    <w:p w14:paraId="256EE77E" w14:textId="77777777" w:rsidR="00532C25" w:rsidRPr="00511005" w:rsidRDefault="00532C25" w:rsidP="00532C25">
      <w:pPr>
        <w:spacing w:line="264" w:lineRule="auto"/>
        <w:rPr>
          <w:rFonts w:ascii="Arial" w:eastAsia="Times New Roman" w:hAnsi="Arial" w:cs="Arial"/>
          <w:szCs w:val="28"/>
          <w:lang w:eastAsia="ru-RU"/>
        </w:rPr>
      </w:pPr>
      <w:r w:rsidRPr="00055389">
        <w:rPr>
          <w:rFonts w:ascii="Arial" w:eastAsia="Times New Roman" w:hAnsi="Arial" w:cs="Arial"/>
          <w:szCs w:val="28"/>
          <w:lang w:val="uk-UA" w:eastAsia="ru-RU"/>
        </w:rPr>
        <w:t xml:space="preserve">Застосування безпілотних літальних апаратів (БПЛА) в оперативно-розшуковій діяльності набуває дедалі більшого значення як ефективний інструмент, що сприяє підвищенню результативності роботи правоохоронних органів. Дрони дають змогу здійснювати збір інформації безпосередньо на місці подій із мінімальним ризиком для життя та здоров’я співробітників, а також забезпечують можливість оперативного спостереження за значними за площею територіями. </w:t>
      </w:r>
      <w:r w:rsidRPr="00511005">
        <w:rPr>
          <w:rFonts w:ascii="Arial" w:eastAsia="Times New Roman" w:hAnsi="Arial" w:cs="Arial"/>
          <w:szCs w:val="28"/>
          <w:lang w:eastAsia="ru-RU"/>
        </w:rPr>
        <w:t>Як зазначає В. В. Баранчук, використання БПЛА суттєво знижує рівень небезпеки для оперативників, зокрема під час проведення дій у складних міських умовах або на важкодоступній місцевості [5].</w:t>
      </w:r>
    </w:p>
    <w:p w14:paraId="2AB39A07" w14:textId="77777777" w:rsidR="00532C25" w:rsidRPr="00511005" w:rsidRDefault="00532C25" w:rsidP="00532C25">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Завдяки своїм технічним можливостям, дрони відкривають нові перспективи у сфері кримінального розслідування — вони здатні швидко та якісно документувати події за допомогою фото- й відеофіксації. У тих випадках, коли свідчення очевидців можуть бути неточними, упередженими або суперечливими, матеріали, зафіксовані безпілотниками, відіграють важливу роль у підтвердженні чи спростуванні заявлених версій, сприяючи підвищенню об’єктивності досудового розслідування та судового розгляду.</w:t>
      </w:r>
    </w:p>
    <w:p w14:paraId="4728BC6F" w14:textId="77777777" w:rsidR="00532C25" w:rsidRPr="00511005" w:rsidRDefault="00532C25" w:rsidP="00532C25">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Особливо ефективними дрони є у ситуаціях, коли існує ризик втрати або знищення доказів. Наприклад, під час фіксації обстановки на відкритій місцевості чи у приміщеннях, де можливі зміни внаслідок дій осіб або природних чинників, БПЛА дозволяють оперативно зафіксувати кожну </w:t>
      </w:r>
      <w:r w:rsidRPr="00511005">
        <w:rPr>
          <w:rFonts w:ascii="Arial" w:eastAsia="Times New Roman" w:hAnsi="Arial" w:cs="Arial"/>
          <w:szCs w:val="28"/>
          <w:lang w:eastAsia="ru-RU"/>
        </w:rPr>
        <w:lastRenderedPageBreak/>
        <w:t>деталь інциденту. Це забезпечує можливість детального аналізу всіх зафіксованих елементів, які згодом можуть бути пошкоджені, змінені або повністю знищені. Таким чином, миттєва фіксація слідів і обстановки на місці події дозволяє зберегти цінну інформацію, яка може виявитися ключовою для розслідування.</w:t>
      </w:r>
    </w:p>
    <w:p w14:paraId="00D1C984"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необхідно звернути увагу на можливість виявлення місця розташування та переміщення мобільного пристрою, зазвичай за допомогою GPS або даних стільникового звʼязку. Трекер – це спеціалізований інструмент, який дає змогу відслідковувати джерела трафіку для програми. Він фіксує, звідки надходять установки, збирає дані про походження користувачів і може формувати звіти щодо їхньої активності всередині застосунку.</w:t>
      </w:r>
    </w:p>
    <w:p w14:paraId="0B2C829B"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У підсумку варто зазначити, що впровадження сучасних технологій та наукових досягнень має значний потенціал для підвищення ефективності правоохоронної діяльності та розкриття злочинів. Водночас існує низка викликів, пов’язаних з їх застосуванням. Насамперед, для ефективного використання таких технологій необхідна відповідна підготовка персоналу та розвиток технічної інфраструктури. Відсутність достатньої кількості висококваліфікованих спеціалістів, які не лише володіють навичками управління технічними засобами, а й здатні якісно аналізувати отриману інформацію для потреб слідства, може істотно ускладнити процес. Крім того, впровадження технологій потребує значних фінансових ресурсів, спрямованих на навчання кадрів та оновлення матеріально-технічної бази правоохоронних органів. Окреме занепокоєння викликає питання дотримання прав людини, зокрема ризик порушення приватності громадян. З метою мінімізації таких ризиків необхідно запровадити чітке правове регулювання, яке б забезпечувало прозорість, законність і підзвітність у застосуванні технологій правоохоронцями.</w:t>
      </w:r>
    </w:p>
    <w:p w14:paraId="459B29E2" w14:textId="77777777" w:rsidR="00532C25" w:rsidRPr="00511005" w:rsidRDefault="00532C25" w:rsidP="00532C25">
      <w:pPr>
        <w:spacing w:line="264" w:lineRule="auto"/>
        <w:rPr>
          <w:rFonts w:ascii="Arial" w:eastAsia="Times New Roman" w:hAnsi="Arial" w:cs="Arial"/>
          <w:szCs w:val="28"/>
          <w:lang w:val="uk-UA" w:eastAsia="ru-RU"/>
        </w:rPr>
      </w:pPr>
    </w:p>
    <w:p w14:paraId="6CA2A392" w14:textId="77777777" w:rsidR="00532C25" w:rsidRPr="00511005" w:rsidRDefault="00532C25" w:rsidP="00532C25">
      <w:pPr>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3669FFBE"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 Роз’яснення щодо системи автоматичного розпізнавання відбитків пальців. </w:t>
      </w:r>
      <w:r w:rsidRPr="00511005">
        <w:rPr>
          <w:rFonts w:ascii="Arial" w:eastAsia="Times New Roman" w:hAnsi="Arial" w:cs="Arial"/>
          <w:i/>
          <w:iCs/>
          <w:szCs w:val="28"/>
          <w:lang w:val="uk-UA" w:eastAsia="ru-RU"/>
        </w:rPr>
        <w:t>EUAM Ukraine: вебсайт</w:t>
      </w:r>
      <w:r w:rsidRPr="00511005">
        <w:rPr>
          <w:rFonts w:ascii="Arial" w:eastAsia="Times New Roman" w:hAnsi="Arial" w:cs="Arial"/>
          <w:szCs w:val="28"/>
          <w:lang w:val="uk-UA" w:eastAsia="ru-RU"/>
        </w:rPr>
        <w:t xml:space="preserve">. Допис від 6 грудня 2020 року.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www</w:instrText>
      </w:r>
      <w:r w:rsidR="005938AD" w:rsidRPr="00055389">
        <w:rPr>
          <w:lang w:val="uk-UA"/>
        </w:rPr>
        <w:instrText>.</w:instrText>
      </w:r>
      <w:r w:rsidR="005938AD">
        <w:instrText>euam</w:instrText>
      </w:r>
      <w:r w:rsidR="005938AD" w:rsidRPr="00055389">
        <w:rPr>
          <w:lang w:val="uk-UA"/>
        </w:rPr>
        <w:instrText>-</w:instrText>
      </w:r>
      <w:r w:rsidR="005938AD">
        <w:instrText>ukraine</w:instrText>
      </w:r>
      <w:r w:rsidR="005938AD" w:rsidRPr="00055389">
        <w:rPr>
          <w:lang w:val="uk-UA"/>
        </w:rPr>
        <w:instrText>.</w:instrText>
      </w:r>
      <w:r w:rsidR="005938AD">
        <w:instrText>eu</w:instrText>
      </w:r>
      <w:r w:rsidR="005938AD" w:rsidRPr="00055389">
        <w:rPr>
          <w:lang w:val="uk-UA"/>
        </w:rPr>
        <w:instrText>/</w:instrText>
      </w:r>
      <w:r w:rsidR="005938AD">
        <w:instrText>ua</w:instrText>
      </w:r>
      <w:r w:rsidR="005938AD" w:rsidRPr="00055389">
        <w:rPr>
          <w:lang w:val="uk-UA"/>
        </w:rPr>
        <w:instrText>/</w:instrText>
      </w:r>
      <w:r w:rsidR="005938AD">
        <w:instrText>news</w:instrText>
      </w:r>
      <w:r w:rsidR="005938AD" w:rsidRPr="00055389">
        <w:rPr>
          <w:lang w:val="uk-UA"/>
        </w:rPr>
        <w:instrText>/</w:instrText>
      </w:r>
      <w:r w:rsidR="005938AD">
        <w:instrText>opinion</w:instrText>
      </w:r>
      <w:r w:rsidR="005938AD" w:rsidRPr="00055389">
        <w:rPr>
          <w:lang w:val="uk-UA"/>
        </w:rPr>
        <w:instrText>/</w:instrText>
      </w:r>
      <w:r w:rsidR="005938AD">
        <w:instrText>explanation</w:instrText>
      </w:r>
      <w:r w:rsidR="005938AD" w:rsidRPr="00055389">
        <w:rPr>
          <w:lang w:val="uk-UA"/>
        </w:rPr>
        <w:instrText>-</w:instrText>
      </w:r>
      <w:r w:rsidR="005938AD">
        <w:instrText>on</w:instrText>
      </w:r>
      <w:r w:rsidR="005938AD" w:rsidRPr="00055389">
        <w:rPr>
          <w:lang w:val="uk-UA"/>
        </w:rPr>
        <w:instrText>-</w:instrText>
      </w:r>
      <w:r w:rsidR="005938AD">
        <w:instrText>automated</w:instrText>
      </w:r>
      <w:r w:rsidR="005938AD" w:rsidRPr="00055389">
        <w:rPr>
          <w:lang w:val="uk-UA"/>
        </w:rPr>
        <w:instrText>-</w:instrText>
      </w:r>
      <w:r w:rsidR="005938AD">
        <w:instrText>fingerprints</w:instrText>
      </w:r>
      <w:r w:rsidR="005938AD" w:rsidRPr="00055389">
        <w:rPr>
          <w:lang w:val="uk-UA"/>
        </w:rPr>
        <w:instrText>-</w:instrText>
      </w:r>
      <w:r w:rsidR="005938AD">
        <w:instrText>identification</w:instrText>
      </w:r>
      <w:r w:rsidR="005938AD" w:rsidRPr="00055389">
        <w:rPr>
          <w:lang w:val="uk-UA"/>
        </w:rPr>
        <w:instrText>-</w:instrText>
      </w:r>
      <w:r w:rsidR="005938AD">
        <w:instrText>system</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eastAsia="ru-RU"/>
        </w:rPr>
        <w:t>https://www.euam-ukraine.eu/ua/news/opinion/explanation-on-automated-fingerprints-identification-system/</w:t>
      </w:r>
      <w:r w:rsidR="005938AD">
        <w:rPr>
          <w:rFonts w:ascii="Arial" w:eastAsia="Times New Roman" w:hAnsi="Arial" w:cs="Arial"/>
          <w:szCs w:val="28"/>
          <w:lang w:val="uk-UA" w:eastAsia="ru-RU"/>
        </w:rPr>
        <w:fldChar w:fldCharType="end"/>
      </w:r>
    </w:p>
    <w:p w14:paraId="1B84DE7D"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2. Савін В.С. Технічні засоби сучасної криміналістики. </w:t>
      </w:r>
      <w:r w:rsidRPr="00511005">
        <w:rPr>
          <w:rFonts w:ascii="Arial" w:eastAsia="Times New Roman" w:hAnsi="Arial" w:cs="Arial"/>
          <w:i/>
          <w:iCs/>
          <w:szCs w:val="28"/>
          <w:lang w:val="uk-UA" w:eastAsia="ru-RU"/>
        </w:rPr>
        <w:t>Наука онлайн: Міжнародний електронний науковий журнал</w:t>
      </w:r>
      <w:r w:rsidRPr="00511005">
        <w:rPr>
          <w:rFonts w:ascii="Arial" w:eastAsia="Times New Roman" w:hAnsi="Arial" w:cs="Arial"/>
          <w:szCs w:val="28"/>
          <w:lang w:val="uk-UA" w:eastAsia="ru-RU"/>
        </w:rPr>
        <w:t xml:space="preserve">. 2024. №11. </w:t>
      </w:r>
      <w:hyperlink r:id="rId2015" w:history="1">
        <w:r w:rsidRPr="00511005">
          <w:rPr>
            <w:rFonts w:ascii="Arial" w:eastAsia="Times New Roman" w:hAnsi="Arial" w:cs="Arial"/>
            <w:szCs w:val="28"/>
            <w:lang w:val="uk-UA" w:eastAsia="ru-RU"/>
          </w:rPr>
          <w:t>https://nauka-online.com/publications/jurisprudence/2024/11/04-22/</w:t>
        </w:r>
      </w:hyperlink>
    </w:p>
    <w:p w14:paraId="5358194E"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3.Степанюк Р.Л. Криміналістичний ДНК-аналіз: стан і перспективи розвитку в Україні. </w:t>
      </w:r>
      <w:r w:rsidRPr="00511005">
        <w:rPr>
          <w:rFonts w:ascii="Arial" w:eastAsia="Times New Roman" w:hAnsi="Arial" w:cs="Arial"/>
          <w:i/>
          <w:iCs/>
          <w:szCs w:val="28"/>
          <w:lang w:val="uk-UA" w:eastAsia="ru-RU"/>
        </w:rPr>
        <w:t>Теорія та практика судової експертизи і криміналістики</w:t>
      </w:r>
      <w:r w:rsidRPr="00511005">
        <w:rPr>
          <w:rFonts w:ascii="Arial" w:eastAsia="Times New Roman" w:hAnsi="Arial" w:cs="Arial"/>
          <w:szCs w:val="28"/>
          <w:lang w:val="uk-UA" w:eastAsia="ru-RU"/>
        </w:rPr>
        <w:t xml:space="preserve">. 2021. Вип. 3. С. 60-80.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2016" w:history="1">
        <w:r w:rsidRPr="00511005">
          <w:rPr>
            <w:rFonts w:ascii="Arial" w:eastAsia="Times New Roman" w:hAnsi="Arial" w:cs="Arial"/>
            <w:szCs w:val="28"/>
            <w:lang w:val="uk-UA" w:eastAsia="ru-RU"/>
          </w:rPr>
          <w:t>http://nbuv.gov.ua/UJRN/Tpsek_2021_3_7</w:t>
        </w:r>
      </w:hyperlink>
    </w:p>
    <w:p w14:paraId="75CFB281"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lastRenderedPageBreak/>
        <w:t>4.</w:t>
      </w:r>
      <w:r w:rsidRPr="00511005">
        <w:rPr>
          <w:rFonts w:ascii="Arial" w:eastAsia="Times New Roman" w:hAnsi="Arial" w:cs="Arial"/>
          <w:szCs w:val="28"/>
          <w:lang w:val="uk-UA" w:eastAsia="ru-RU"/>
        </w:rPr>
        <w:t xml:space="preserve"> Система розпізнавання обличчя: правові аспекти використання в Україні та в ЄС. </w:t>
      </w:r>
      <w:r w:rsidRPr="00511005">
        <w:rPr>
          <w:rFonts w:ascii="Arial" w:eastAsia="Times New Roman" w:hAnsi="Arial" w:cs="Arial"/>
          <w:i/>
          <w:iCs/>
          <w:szCs w:val="28"/>
          <w:lang w:val="uk-UA" w:eastAsia="ru-RU"/>
        </w:rPr>
        <w:t>Українська Гельсінська спілка з прав людини: вебсайт.</w:t>
      </w:r>
      <w:r w:rsidRPr="00511005">
        <w:rPr>
          <w:rFonts w:ascii="Arial" w:eastAsia="Times New Roman" w:hAnsi="Arial" w:cs="Arial"/>
          <w:szCs w:val="28"/>
          <w:lang w:val="uk-UA" w:eastAsia="ru-RU"/>
        </w:rPr>
        <w:t xml:space="preserve"> Допис від 10 жовтеня 2023 року. </w:t>
      </w:r>
      <w:r w:rsidRPr="00511005">
        <w:rPr>
          <w:rFonts w:ascii="Arial" w:eastAsia="Times New Roman" w:hAnsi="Arial" w:cs="Arial"/>
          <w:szCs w:val="28"/>
          <w:lang w:val="pl-PL" w:eastAsia="ru-RU"/>
        </w:rPr>
        <w:t>URL</w:t>
      </w:r>
      <w:r w:rsidRPr="00511005">
        <w:rPr>
          <w:rFonts w:ascii="Arial" w:eastAsia="Times New Roman" w:hAnsi="Arial" w:cs="Arial"/>
          <w:szCs w:val="28"/>
          <w:lang w:val="uk-UA" w:eastAsia="ru-RU"/>
        </w:rPr>
        <w:t xml:space="preserve">: </w:t>
      </w:r>
      <w:r w:rsidR="005938AD">
        <w:fldChar w:fldCharType="begin"/>
      </w:r>
      <w:r w:rsidR="005938AD" w:rsidRPr="00055389">
        <w:rPr>
          <w:lang w:val="en-US"/>
        </w:rPr>
        <w:instrText xml:space="preserve"> HYPERLINK "https://www.helsinki.org.ua/articles/systema-rozpiznavannia-ob</w:instrText>
      </w:r>
      <w:r w:rsidR="005938AD" w:rsidRPr="00055389">
        <w:rPr>
          <w:lang w:val="en-US"/>
        </w:rPr>
        <w:instrText xml:space="preserve">lychchia-pravovi-aspekty-vykorystannia-v-ukraini-ta-v-yes/" </w:instrText>
      </w:r>
      <w:r w:rsidR="005938AD">
        <w:fldChar w:fldCharType="separate"/>
      </w:r>
      <w:r w:rsidRPr="00511005">
        <w:rPr>
          <w:rFonts w:ascii="Arial" w:eastAsia="Times New Roman" w:hAnsi="Arial" w:cs="Arial"/>
          <w:szCs w:val="28"/>
          <w:lang w:val="uk-UA" w:eastAsia="ru-RU"/>
        </w:rPr>
        <w:t>https://www.helsinki.org.ua/articles/systema-rozpiznavannia-oblychchia-pravovi-aspekty-vykorystannia-v-ukraini-ta-v-yes/</w:t>
      </w:r>
      <w:r w:rsidR="005938AD">
        <w:rPr>
          <w:rFonts w:ascii="Arial" w:eastAsia="Times New Roman" w:hAnsi="Arial" w:cs="Arial"/>
          <w:szCs w:val="28"/>
          <w:lang w:val="uk-UA" w:eastAsia="ru-RU"/>
        </w:rPr>
        <w:fldChar w:fldCharType="end"/>
      </w:r>
    </w:p>
    <w:p w14:paraId="3BFFF1A7"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5. Баранчук В.В. Використання сучасних технологій у процесі розслідування злочинів. </w:t>
      </w:r>
      <w:r w:rsidRPr="00511005">
        <w:rPr>
          <w:rFonts w:ascii="Arial" w:eastAsia="Times New Roman" w:hAnsi="Arial" w:cs="Arial"/>
          <w:i/>
          <w:iCs/>
          <w:szCs w:val="28"/>
          <w:lang w:val="uk-UA" w:eastAsia="ru-RU"/>
        </w:rPr>
        <w:t>Юридичний бюлетень</w:t>
      </w:r>
      <w:r w:rsidRPr="00511005">
        <w:rPr>
          <w:rFonts w:ascii="Arial" w:eastAsia="Times New Roman" w:hAnsi="Arial" w:cs="Arial"/>
          <w:szCs w:val="28"/>
          <w:lang w:val="uk-UA" w:eastAsia="ru-RU"/>
        </w:rPr>
        <w:t xml:space="preserve">. 2020. Вип. 16. URL: </w:t>
      </w:r>
      <w:hyperlink r:id="rId2017" w:history="1">
        <w:r w:rsidRPr="00511005">
          <w:rPr>
            <w:rFonts w:ascii="Arial" w:eastAsia="Times New Roman" w:hAnsi="Arial" w:cs="Arial"/>
            <w:szCs w:val="28"/>
            <w:lang w:val="uk-UA" w:eastAsia="ru-RU"/>
          </w:rPr>
          <w:t>http://www.lawbulletin.oduvs.od.ua/archive/2020/16/38.pdf</w:t>
        </w:r>
      </w:hyperlink>
      <w:r w:rsidRPr="00511005">
        <w:rPr>
          <w:rFonts w:ascii="Arial" w:eastAsia="Times New Roman" w:hAnsi="Arial" w:cs="Arial"/>
          <w:szCs w:val="28"/>
          <w:lang w:val="uk-UA" w:eastAsia="ru-RU"/>
        </w:rPr>
        <w:t xml:space="preserve"> </w:t>
      </w:r>
    </w:p>
    <w:p w14:paraId="64E677FF" w14:textId="77777777" w:rsidR="00532C25" w:rsidRPr="00511005" w:rsidRDefault="00532C25" w:rsidP="00532C25">
      <w:pPr>
        <w:spacing w:line="264" w:lineRule="auto"/>
        <w:rPr>
          <w:rFonts w:ascii="Arial" w:eastAsia="Times New Roman" w:hAnsi="Arial" w:cs="Arial"/>
          <w:szCs w:val="28"/>
          <w:lang w:val="uk-UA" w:eastAsia="ru-RU"/>
        </w:rPr>
      </w:pPr>
    </w:p>
    <w:p w14:paraId="789653CA" w14:textId="77777777" w:rsidR="00532C25" w:rsidRPr="00511005" w:rsidRDefault="00532C25" w:rsidP="00532C25">
      <w:pPr>
        <w:spacing w:line="264" w:lineRule="auto"/>
        <w:rPr>
          <w:rFonts w:ascii="Arial" w:eastAsia="Calibri" w:hAnsi="Arial" w:cs="Arial"/>
          <w:b/>
          <w:bCs/>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криміналістична ідентифікація, ідентифікація особи, техніко-риміналістичні засоби, ДНК-профіль, БПЛА.</w:t>
      </w:r>
    </w:p>
    <w:p w14:paraId="3A196AA3" w14:textId="77777777" w:rsidR="00532C25" w:rsidRPr="00511005" w:rsidRDefault="00532C25" w:rsidP="00532C25">
      <w:pPr>
        <w:spacing w:line="264" w:lineRule="auto"/>
        <w:jc w:val="left"/>
        <w:rPr>
          <w:rFonts w:ascii="Arial" w:eastAsia="Calibri" w:hAnsi="Arial" w:cs="Arial"/>
          <w:szCs w:val="28"/>
          <w:lang w:val="uk-UA"/>
        </w:rPr>
      </w:pPr>
      <w:r w:rsidRPr="00511005">
        <w:rPr>
          <w:rFonts w:ascii="Arial" w:eastAsia="Calibri" w:hAnsi="Arial" w:cs="Arial"/>
          <w:b/>
          <w:bCs/>
          <w:i/>
          <w:szCs w:val="28"/>
          <w:lang w:val="uk-UA"/>
        </w:rPr>
        <w:t xml:space="preserve">Key words: </w:t>
      </w:r>
      <w:r w:rsidRPr="00511005">
        <w:rPr>
          <w:rFonts w:ascii="Arial" w:eastAsia="Calibri" w:hAnsi="Arial" w:cs="Arial"/>
          <w:szCs w:val="28"/>
          <w:lang w:val="uk-UA"/>
        </w:rPr>
        <w:t>forensic identification, personal identification, forensic tools, DNA profile, UAV.</w:t>
      </w:r>
    </w:p>
    <w:p w14:paraId="7C1CCB99" w14:textId="77777777" w:rsidR="00532C25" w:rsidRPr="00511005" w:rsidRDefault="00532C25" w:rsidP="00532C25">
      <w:pPr>
        <w:spacing w:line="264" w:lineRule="auto"/>
        <w:jc w:val="left"/>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к.ю.н., доцент Гресь Ю.О.</w:t>
      </w:r>
    </w:p>
    <w:p w14:paraId="77BBAB5C" w14:textId="77777777" w:rsidR="00532C25" w:rsidRPr="00511005" w:rsidRDefault="00532C25" w:rsidP="00532C25">
      <w:pPr>
        <w:spacing w:line="264" w:lineRule="auto"/>
        <w:ind w:firstLine="720"/>
        <w:jc w:val="left"/>
        <w:rPr>
          <w:rFonts w:ascii="Arial" w:eastAsia="Calibri" w:hAnsi="Arial" w:cs="Arial"/>
          <w:b/>
          <w:bCs/>
          <w:szCs w:val="28"/>
          <w:shd w:val="clear" w:color="auto" w:fill="FFFFFF"/>
          <w:lang w:val="uk-UA"/>
        </w:rPr>
      </w:pPr>
    </w:p>
    <w:p w14:paraId="75A9CF25" w14:textId="77777777" w:rsidR="00532C25" w:rsidRPr="00511005" w:rsidRDefault="00532C25" w:rsidP="00532C25">
      <w:pPr>
        <w:spacing w:line="264" w:lineRule="auto"/>
        <w:ind w:firstLine="720"/>
        <w:jc w:val="center"/>
        <w:rPr>
          <w:rFonts w:ascii="Arial" w:eastAsia="Calibri" w:hAnsi="Arial" w:cs="Arial"/>
          <w:b/>
          <w:bCs/>
          <w:szCs w:val="28"/>
          <w:shd w:val="clear" w:color="auto" w:fill="FFFFFF"/>
          <w:lang w:val="uk-UA"/>
        </w:rPr>
      </w:pPr>
    </w:p>
    <w:p w14:paraId="0E7CBFD9" w14:textId="77777777" w:rsidR="00532C25" w:rsidRPr="00511005" w:rsidRDefault="00532C25" w:rsidP="00532C25">
      <w:pPr>
        <w:spacing w:line="264" w:lineRule="auto"/>
        <w:ind w:firstLine="720"/>
        <w:jc w:val="center"/>
        <w:rPr>
          <w:rFonts w:ascii="Arial" w:eastAsia="Calibri" w:hAnsi="Arial" w:cs="Arial"/>
          <w:b/>
          <w:bCs/>
          <w:i/>
          <w:iCs/>
          <w:szCs w:val="28"/>
          <w:shd w:val="clear" w:color="auto" w:fill="FFFFFF"/>
          <w:lang w:val="uk-UA"/>
        </w:rPr>
      </w:pPr>
      <w:r w:rsidRPr="00511005">
        <w:rPr>
          <w:rFonts w:ascii="Arial" w:eastAsia="Calibri" w:hAnsi="Arial" w:cs="Arial"/>
          <w:b/>
          <w:bCs/>
          <w:i/>
          <w:iCs/>
          <w:szCs w:val="28"/>
          <w:shd w:val="clear" w:color="auto" w:fill="FFFFFF"/>
          <w:lang w:val="uk-UA"/>
        </w:rPr>
        <w:t>Похиляк Мар’яна Дмитрівна</w:t>
      </w:r>
    </w:p>
    <w:p w14:paraId="62D88F9E"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290A8B8C"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49849F6"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15A1C83" w14:textId="77777777" w:rsidR="00532C25" w:rsidRPr="00511005" w:rsidRDefault="00532C25" w:rsidP="00532C25">
      <w:pPr>
        <w:spacing w:line="264" w:lineRule="auto"/>
        <w:ind w:firstLineChars="50" w:firstLine="140"/>
        <w:jc w:val="center"/>
        <w:rPr>
          <w:rFonts w:ascii="Arial" w:eastAsia="Calibri" w:hAnsi="Arial" w:cs="Arial"/>
          <w:iCs/>
          <w:szCs w:val="28"/>
          <w:shd w:val="clear" w:color="auto" w:fill="FFFFFF"/>
          <w:lang w:val="uk-UA"/>
        </w:rPr>
      </w:pPr>
    </w:p>
    <w:p w14:paraId="6904A5A1" w14:textId="77777777" w:rsidR="00532C25" w:rsidRPr="00511005" w:rsidRDefault="00532C25" w:rsidP="00532C25">
      <w:pPr>
        <w:spacing w:line="264" w:lineRule="auto"/>
        <w:ind w:firstLine="720"/>
        <w:jc w:val="center"/>
        <w:rPr>
          <w:rFonts w:ascii="Arial" w:eastAsia="Times New Roman" w:hAnsi="Arial" w:cs="Arial"/>
          <w:b/>
          <w:szCs w:val="28"/>
          <w:lang w:val="uk-UA"/>
        </w:rPr>
      </w:pPr>
      <w:r w:rsidRPr="00511005">
        <w:rPr>
          <w:rFonts w:ascii="Arial" w:eastAsia="Times New Roman" w:hAnsi="Arial" w:cs="Arial"/>
          <w:b/>
          <w:szCs w:val="28"/>
          <w:lang w:val="uk-UA"/>
        </w:rPr>
        <w:t>ПСИХОЛОГІЧНІ ОСОБЛИВОСТІ ДІЯЛЬНОСТІ СЛІДЧОГО ПІД ЧАС ОГЛЯДУ МІСЦЯ ПОДІЇ</w:t>
      </w:r>
    </w:p>
    <w:p w14:paraId="7252FBBC"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Огляд місця події є однією з першочергових і найважливіших слідчих (розшукових) дій, оскільки саме під час його проведення формується первинна інформація про кримінальне правопорушення. Успішність цього процесу значною мірою залежить не лише від фахових знань та навичок слідчого, а й від його психологічної підготовки, здатності концентрувати увагу, аналізувати інформацію та прогнозувати розвиток подій.</w:t>
      </w:r>
    </w:p>
    <w:p w14:paraId="74904ADD"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Психологічні аспекти діяльності слідчого під час огляду місця події включають сприйняття та інтерпретацію обстановки, рівень спостережливості, здатність керувати власним психоемоційним станом та протидіяти впливу стресових факторів.</w:t>
      </w:r>
    </w:p>
    <w:p w14:paraId="5E94EBF5"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Сприйняття місця події є одним із ключових етапів у процесі розслідування, оскільки воно формує базу для побудови моделі злочину. Використовуючи знання криміналістики, слідчий визначає об’єкти, які можуть містити докази, аналізує характер їх розташування та просторові взаємозв’язки [1, с. 87-88]. Для формування цілісної картини події необхідно послідовно вирішувати низку аналітичних завдань, таких як встановлення місця та часу злочину, виявлення шляхів проникнення злочинця, визначення кількості причетних осіб та їх дій.</w:t>
      </w:r>
    </w:p>
    <w:p w14:paraId="122CF098"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lastRenderedPageBreak/>
        <w:t>Відповідно важливою професійною якістю слідчого є його спостережливість, у структурі якої виділяють компонент почуттєвий та особистісний. Власне якраз почуттєвим компонентом є діяльність органів чуття, а саме нюху, зору, дотику та слуху [2, с. 6].</w:t>
      </w:r>
    </w:p>
    <w:p w14:paraId="6116C1D8"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Спостережливість є однією з найважливіших професійних якостей слідчого, оскільки вона забезпечує ефективне виявлення, фіксацію та аналіз доказової інформації. У процесі огляду місця події вона реалізується через такі методи:</w:t>
      </w:r>
    </w:p>
    <w:p w14:paraId="41177860"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за</w:t>
      </w:r>
      <w:r w:rsidRPr="00511005">
        <w:rPr>
          <w:rFonts w:ascii="Arial" w:eastAsia="Times New Roman" w:hAnsi="Arial" w:cs="Arial"/>
          <w:bCs/>
          <w:szCs w:val="28"/>
          <w:lang w:val="uk-UA"/>
        </w:rPr>
        <w:t>безпечення інтенсивності спостереження</w:t>
      </w:r>
      <w:r w:rsidRPr="00511005">
        <w:rPr>
          <w:rFonts w:ascii="Arial" w:eastAsia="Times New Roman" w:hAnsi="Arial" w:cs="Arial"/>
          <w:szCs w:val="28"/>
          <w:lang w:val="uk-UA"/>
        </w:rPr>
        <w:t xml:space="preserve"> – концентрація уваги виключно на досліджуваному об'єкті;</w:t>
      </w:r>
    </w:p>
    <w:p w14:paraId="3C71CCD9"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с</w:t>
      </w:r>
      <w:r w:rsidRPr="00511005">
        <w:rPr>
          <w:rFonts w:ascii="Arial" w:eastAsia="Times New Roman" w:hAnsi="Arial" w:cs="Arial"/>
          <w:bCs/>
          <w:szCs w:val="28"/>
          <w:lang w:val="uk-UA"/>
        </w:rPr>
        <w:t>амостимулювання уваги</w:t>
      </w:r>
      <w:r w:rsidRPr="00511005">
        <w:rPr>
          <w:rFonts w:ascii="Arial" w:eastAsia="Times New Roman" w:hAnsi="Arial" w:cs="Arial"/>
          <w:szCs w:val="28"/>
          <w:lang w:val="uk-UA"/>
        </w:rPr>
        <w:t xml:space="preserve"> – посилення концентрації за рахунок усвідомлення важливості виконуваних завдань;</w:t>
      </w:r>
    </w:p>
    <w:p w14:paraId="74CC6FBB"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п</w:t>
      </w:r>
      <w:r w:rsidRPr="00511005">
        <w:rPr>
          <w:rFonts w:ascii="Arial" w:eastAsia="Times New Roman" w:hAnsi="Arial" w:cs="Arial"/>
          <w:bCs/>
          <w:szCs w:val="28"/>
          <w:lang w:val="uk-UA"/>
        </w:rPr>
        <w:t>ильність та вольове напруження</w:t>
      </w:r>
      <w:r w:rsidRPr="00511005">
        <w:rPr>
          <w:rFonts w:ascii="Arial" w:eastAsia="Times New Roman" w:hAnsi="Arial" w:cs="Arial"/>
          <w:szCs w:val="28"/>
          <w:lang w:val="uk-UA"/>
        </w:rPr>
        <w:t xml:space="preserve"> – детальний аналіз усіх елементів обстановки, навіть найменших деталей, які можуть мати доказове значення;</w:t>
      </w:r>
    </w:p>
    <w:p w14:paraId="61E73D09"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ф</w:t>
      </w:r>
      <w:r w:rsidRPr="00511005">
        <w:rPr>
          <w:rFonts w:ascii="Arial" w:eastAsia="Times New Roman" w:hAnsi="Arial" w:cs="Arial"/>
          <w:bCs/>
          <w:szCs w:val="28"/>
          <w:lang w:val="uk-UA"/>
        </w:rPr>
        <w:t>ормулювання цілей та завдань спостереження</w:t>
      </w:r>
      <w:r w:rsidRPr="00511005">
        <w:rPr>
          <w:rFonts w:ascii="Arial" w:eastAsia="Times New Roman" w:hAnsi="Arial" w:cs="Arial"/>
          <w:szCs w:val="28"/>
          <w:lang w:val="uk-UA"/>
        </w:rPr>
        <w:t xml:space="preserve"> – чітке розуміння того, яку інформацію необхідно отримати;</w:t>
      </w:r>
    </w:p>
    <w:p w14:paraId="7F1D75E1"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с</w:t>
      </w:r>
      <w:r w:rsidRPr="00511005">
        <w:rPr>
          <w:rFonts w:ascii="Arial" w:eastAsia="Times New Roman" w:hAnsi="Arial" w:cs="Arial"/>
          <w:bCs/>
          <w:szCs w:val="28"/>
          <w:lang w:val="uk-UA"/>
        </w:rPr>
        <w:t>истематичний підхід до вивчення обстановки</w:t>
      </w:r>
      <w:r w:rsidRPr="00511005">
        <w:rPr>
          <w:rFonts w:ascii="Arial" w:eastAsia="Times New Roman" w:hAnsi="Arial" w:cs="Arial"/>
          <w:szCs w:val="28"/>
          <w:lang w:val="uk-UA"/>
        </w:rPr>
        <w:t xml:space="preserve"> – врахування зовнішніх умов (пора доби, погодні фактори тощо);</w:t>
      </w:r>
    </w:p>
    <w:p w14:paraId="2840435B"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м</w:t>
      </w:r>
      <w:r w:rsidRPr="00511005">
        <w:rPr>
          <w:rFonts w:ascii="Arial" w:eastAsia="Times New Roman" w:hAnsi="Arial" w:cs="Arial"/>
          <w:bCs/>
          <w:szCs w:val="28"/>
          <w:lang w:val="uk-UA"/>
        </w:rPr>
        <w:t>оделювання поведінки злочинця</w:t>
      </w:r>
      <w:r w:rsidRPr="00511005">
        <w:rPr>
          <w:rFonts w:ascii="Arial" w:eastAsia="Times New Roman" w:hAnsi="Arial" w:cs="Arial"/>
          <w:szCs w:val="28"/>
          <w:lang w:val="uk-UA"/>
        </w:rPr>
        <w:t xml:space="preserve"> – уявне відтворення його дій для розуміння мотивів та сценарію події.</w:t>
      </w:r>
    </w:p>
    <w:p w14:paraId="4464D565"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Застосування цих прийомів дозволяє значно підвищити ефективність спостереження та уникнути втрати важливої інформації.</w:t>
      </w:r>
    </w:p>
    <w:p w14:paraId="6B5B6DA3"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Поведінка злочинця залишає відбиток на обстановці місця події, що може дати уявлення про його особистісні характеристики. Наприклад, спосіб пересування може вказувати на професійну діяльність особи: люди, які займаються фізичною працею, мають характерну ходу з широкою постановкою ніг, тоді як спортсмени чи танцівники демонструють специфічні рухові особливості.</w:t>
      </w:r>
    </w:p>
    <w:p w14:paraId="2D8A0046"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Оцінка слідів на місці події також може допомогти у визначенні психоемоційного стану злочинця. Якщо сліди розташовані рівномірно, це може свідчити про його спокійний емоційний стан, тоді як хаотичність пересування або раптові зміни напряму руху можуть вказувати на нервозність чи страх. Особливої уваги заслуговує характер завданих потерпілому ушкоджень – значна кількість непотрібних або невмотивованих поранень може бути ознакою агресії чи психопатологічного стану злочинця.</w:t>
      </w:r>
    </w:p>
    <w:p w14:paraId="2239533A"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Знання психологічних особливостей особи правопорушника сприяє створенню його соціально-психологічного портрету, що може бути використане для його подальшого розшуку.</w:t>
      </w:r>
    </w:p>
    <w:p w14:paraId="0C3A8ABA"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Стрес є невід’ємною частиною у роботі слідчого, зокрема під час огляду місця події.</w:t>
      </w:r>
    </w:p>
    <w:p w14:paraId="3CE8ACF4"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Г. Сельє виділив три етапи реакції на стрес [3, с. 33]: </w:t>
      </w:r>
    </w:p>
    <w:p w14:paraId="453FED00"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lastRenderedPageBreak/>
        <w:t>-тривоги- організм стикається з деякими подразнюючими чинниками середовища та намагається пристосуватися до них.</w:t>
      </w:r>
    </w:p>
    <w:p w14:paraId="4073E31B"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-резистентності (адаптації)- відбувається пристосування до нових процесів.</w:t>
      </w:r>
    </w:p>
    <w:p w14:paraId="38DC4EF0"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виснаження- якщо стресор продовжує діяти довгий час, то відбувається зниження гормональних ресурсів і зрив систем адаптації.</w:t>
      </w:r>
    </w:p>
    <w:p w14:paraId="76CD15A4"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Умови проведення огляду місця події можуть значно впливати на емоційний стан слідчого, особливо якщо він не має достатнього досвіду або не володіє навичками емоційної саморегуляції. До негативних психологічних факторів, що можуть знижувати ефективність роботи, належать: внутрішній конфлікт, розгубленість, невпевненість у своїх діях.</w:t>
      </w:r>
    </w:p>
    <w:p w14:paraId="34C42738"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Висока емоційна стійкість та здатність управляти власним психологічним станом є важливими характеристиками слідчого. Психологічна підготовка допомагає підвищити рівень уваги, працездатність, відповідальність та критичне мислення, що, у свою чергу, покращує якість слідчих дій.</w:t>
      </w:r>
    </w:p>
    <w:p w14:paraId="642165E2"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Ефективність огляду місця події безпосередньо залежить від психологічної підготовки слідчого, його вміння застосовувати спостережливість, критичне мислення та аналітичні здібності. Психологічні особливості процесу сприйняття та аналізу інформації впливають на якість збору доказів та формування загальної картини злочину.</w:t>
      </w:r>
    </w:p>
    <w:p w14:paraId="704E876F"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Отже, вміння протидіяти впливу стресових факторів, раціонально керувати своєю увагою та мисленням, а також використовувати психологічні знання для аналізу особистості злочинця є важливими складовими успішної діяльності слідчого. Саме поєднання професійних навичок і психологічної стійкості дозволяє забезпечити результативність слідчих дій та підвищити ефективність</w:t>
      </w:r>
    </w:p>
    <w:p w14:paraId="0FAEA297" w14:textId="77777777" w:rsidR="00532C25" w:rsidRPr="00511005" w:rsidRDefault="00532C25" w:rsidP="00532C25">
      <w:pPr>
        <w:spacing w:line="264" w:lineRule="auto"/>
        <w:ind w:firstLine="720"/>
        <w:rPr>
          <w:rFonts w:ascii="Arial" w:eastAsia="Times New Roman" w:hAnsi="Arial" w:cs="Arial"/>
          <w:szCs w:val="28"/>
          <w:lang w:val="uk-UA"/>
        </w:rPr>
      </w:pPr>
    </w:p>
    <w:p w14:paraId="39A038AC" w14:textId="77777777" w:rsidR="00532C25" w:rsidRPr="00511005" w:rsidRDefault="00532C25" w:rsidP="00532C25">
      <w:pPr>
        <w:spacing w:line="264" w:lineRule="auto"/>
        <w:ind w:firstLine="720"/>
        <w:jc w:val="center"/>
        <w:rPr>
          <w:rFonts w:ascii="Arial" w:eastAsia="Times New Roman" w:hAnsi="Arial" w:cs="Arial"/>
          <w:szCs w:val="28"/>
          <w:lang w:val="uk-UA"/>
        </w:rPr>
      </w:pPr>
      <w:r w:rsidRPr="00511005">
        <w:rPr>
          <w:rFonts w:ascii="Arial" w:eastAsia="Times New Roman" w:hAnsi="Arial" w:cs="Arial"/>
          <w:b/>
          <w:szCs w:val="28"/>
          <w:lang w:val="uk-UA"/>
        </w:rPr>
        <w:t>Список використаних джерел</w:t>
      </w:r>
    </w:p>
    <w:p w14:paraId="52AAF2B4"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1. Коновалова В. О., Шепітько В. Ю. Юридична психологія: підручник. 2-ге вид., перероб. і доп. Харків: Право, 2008. 240 с.</w:t>
      </w:r>
    </w:p>
    <w:p w14:paraId="032DC387"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2.</w:t>
      </w:r>
      <w:r w:rsidRPr="00511005">
        <w:rPr>
          <w:rFonts w:ascii="Arial" w:eastAsia="Calibri" w:hAnsi="Arial" w:cs="Arial"/>
          <w:szCs w:val="28"/>
          <w:lang w:val="uk-UA"/>
        </w:rPr>
        <w:t xml:space="preserve"> </w:t>
      </w:r>
      <w:r w:rsidRPr="00511005">
        <w:rPr>
          <w:rFonts w:ascii="Arial" w:eastAsia="Times New Roman" w:hAnsi="Arial" w:cs="Arial"/>
          <w:szCs w:val="28"/>
          <w:lang w:val="uk-UA"/>
        </w:rPr>
        <w:t xml:space="preserve">Дільна З. Ф. Психологічні особливості діяльності слідчого під час огляду місця події. Часопис Національного університету «Острозька академія». Серія «Право». 2020. № 1(21). С.1-14. </w:t>
      </w:r>
      <w:r w:rsidRPr="00511005">
        <w:rPr>
          <w:rFonts w:ascii="Arial" w:eastAsia="Times New Roman" w:hAnsi="Arial" w:cs="Arial"/>
          <w:szCs w:val="28"/>
          <w:lang w:val="en-US"/>
        </w:rPr>
        <w:t>URL</w:t>
      </w:r>
      <w:r w:rsidRPr="00511005">
        <w:rPr>
          <w:rFonts w:ascii="Arial" w:eastAsia="Times New Roman" w:hAnsi="Arial" w:cs="Arial"/>
          <w:szCs w:val="28"/>
          <w:lang w:val="uk-UA"/>
        </w:rPr>
        <w:t>: https://dspace.lvduvs.edu.ua/bitstream/1234567890/3365/1/дільна.pdf</w:t>
      </w:r>
    </w:p>
    <w:p w14:paraId="0DB2C73F"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3.</w:t>
      </w:r>
      <w:r w:rsidRPr="00511005">
        <w:rPr>
          <w:rFonts w:ascii="Arial" w:eastAsia="Calibri" w:hAnsi="Arial" w:cs="Arial"/>
          <w:szCs w:val="28"/>
          <w:shd w:val="clear" w:color="auto" w:fill="FFFFFF"/>
          <w:lang w:val="uk-UA"/>
        </w:rPr>
        <w:t xml:space="preserve"> </w:t>
      </w:r>
      <w:r w:rsidRPr="00511005">
        <w:rPr>
          <w:rFonts w:ascii="Arial" w:eastAsia="Times New Roman" w:hAnsi="Arial" w:cs="Arial"/>
          <w:szCs w:val="28"/>
          <w:lang w:val="uk-UA"/>
        </w:rPr>
        <w:t>Психологія стресу: підручник / Л. Б. Наугольник. – Львів: Львівський державний університет внутрішніх справ, 2015. 324 с.</w:t>
      </w:r>
    </w:p>
    <w:p w14:paraId="1E926E05" w14:textId="77777777" w:rsidR="00532C25" w:rsidRPr="00511005" w:rsidRDefault="00532C25" w:rsidP="00532C25">
      <w:pPr>
        <w:spacing w:line="264" w:lineRule="auto"/>
        <w:ind w:firstLine="720"/>
        <w:rPr>
          <w:rFonts w:ascii="Arial" w:eastAsia="Times New Roman" w:hAnsi="Arial" w:cs="Arial"/>
          <w:szCs w:val="28"/>
          <w:lang w:val="uk-UA"/>
        </w:rPr>
      </w:pPr>
    </w:p>
    <w:p w14:paraId="72936DC9" w14:textId="77777777" w:rsidR="00532C25" w:rsidRPr="00511005" w:rsidRDefault="00532C25" w:rsidP="00532C25">
      <w:pPr>
        <w:spacing w:line="264" w:lineRule="auto"/>
        <w:rPr>
          <w:rFonts w:ascii="Arial" w:eastAsia="Calibri" w:hAnsi="Arial" w:cs="Arial"/>
          <w:b/>
          <w:bCs/>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огляд, слідчі дії, тактичні прийоми, психологія слідчих дій.</w:t>
      </w:r>
    </w:p>
    <w:p w14:paraId="1CE7AC29" w14:textId="77777777" w:rsidR="00532C25" w:rsidRPr="00511005" w:rsidRDefault="00532C25" w:rsidP="00532C25">
      <w:pPr>
        <w:spacing w:line="264" w:lineRule="auto"/>
        <w:jc w:val="left"/>
        <w:rPr>
          <w:rFonts w:ascii="Arial" w:eastAsia="Calibri" w:hAnsi="Arial" w:cs="Arial"/>
          <w:szCs w:val="28"/>
          <w:lang w:val="uk-UA"/>
        </w:rPr>
      </w:pPr>
      <w:r w:rsidRPr="00511005">
        <w:rPr>
          <w:rFonts w:ascii="Arial" w:eastAsia="Calibri" w:hAnsi="Arial" w:cs="Arial"/>
          <w:b/>
          <w:bCs/>
          <w:i/>
          <w:szCs w:val="28"/>
          <w:lang w:val="uk-UA"/>
        </w:rPr>
        <w:t xml:space="preserve">Key words: </w:t>
      </w:r>
      <w:r w:rsidRPr="00511005">
        <w:rPr>
          <w:rFonts w:ascii="Arial" w:eastAsia="Calibri" w:hAnsi="Arial" w:cs="Arial"/>
          <w:szCs w:val="28"/>
          <w:lang w:val="uk-UA"/>
        </w:rPr>
        <w:t>огляд, слідчі дії, тактичні прийоми, психологія слідчих дій.</w:t>
      </w:r>
    </w:p>
    <w:p w14:paraId="7EC46959" w14:textId="77777777" w:rsidR="00532C25" w:rsidRPr="00511005" w:rsidRDefault="00532C25" w:rsidP="00532C25">
      <w:pPr>
        <w:spacing w:line="264" w:lineRule="auto"/>
        <w:ind w:firstLine="720"/>
        <w:jc w:val="left"/>
        <w:rPr>
          <w:rFonts w:ascii="Arial" w:eastAsia="Calibri" w:hAnsi="Arial" w:cs="Arial"/>
          <w:i/>
          <w:szCs w:val="28"/>
          <w:shd w:val="clear" w:color="auto" w:fill="FFFFFF"/>
          <w:lang w:val="uk-UA"/>
        </w:rPr>
      </w:pPr>
      <w:r w:rsidRPr="00511005">
        <w:rPr>
          <w:rFonts w:ascii="Arial" w:eastAsia="Calibri" w:hAnsi="Arial" w:cs="Arial"/>
          <w:b/>
          <w:bCs/>
          <w:i/>
          <w:szCs w:val="28"/>
          <w:shd w:val="clear" w:color="auto" w:fill="FFFFFF"/>
          <w:lang w:val="uk-UA"/>
        </w:rPr>
        <w:t>Науковий керівник: к.ю.н., доц. Загородній І.В.</w:t>
      </w:r>
    </w:p>
    <w:p w14:paraId="500A6DF9" w14:textId="77777777" w:rsidR="00532C25" w:rsidRPr="00511005" w:rsidRDefault="00532C25" w:rsidP="00532C25">
      <w:pPr>
        <w:spacing w:line="264" w:lineRule="auto"/>
        <w:ind w:firstLine="720"/>
        <w:jc w:val="left"/>
        <w:rPr>
          <w:rFonts w:ascii="Arial" w:eastAsia="Times New Roman" w:hAnsi="Arial" w:cs="Arial"/>
          <w:szCs w:val="28"/>
          <w:lang w:val="uk-UA"/>
        </w:rPr>
      </w:pPr>
    </w:p>
    <w:p w14:paraId="3B29C000" w14:textId="77777777" w:rsidR="00532C25" w:rsidRPr="00511005" w:rsidRDefault="00532C25" w:rsidP="00532C25">
      <w:pPr>
        <w:spacing w:line="264" w:lineRule="auto"/>
        <w:ind w:firstLine="720"/>
        <w:jc w:val="left"/>
        <w:rPr>
          <w:rFonts w:ascii="Arial" w:eastAsia="Calibri" w:hAnsi="Arial" w:cs="Arial"/>
          <w:b/>
          <w:bCs/>
          <w:szCs w:val="28"/>
          <w:shd w:val="clear" w:color="auto" w:fill="FFFFFF"/>
          <w:lang w:val="uk-UA"/>
        </w:rPr>
      </w:pPr>
    </w:p>
    <w:p w14:paraId="4BB791F9" w14:textId="77777777" w:rsidR="00532C25" w:rsidRPr="00511005" w:rsidRDefault="00532C25" w:rsidP="00532C25">
      <w:pPr>
        <w:spacing w:line="264" w:lineRule="auto"/>
        <w:ind w:firstLine="720"/>
        <w:jc w:val="center"/>
        <w:rPr>
          <w:rFonts w:ascii="Arial" w:eastAsia="Calibri" w:hAnsi="Arial" w:cs="Arial"/>
          <w:b/>
          <w:bCs/>
          <w:i/>
          <w:iCs/>
          <w:szCs w:val="28"/>
          <w:shd w:val="clear" w:color="auto" w:fill="FFFFFF"/>
          <w:lang w:val="uk-UA"/>
        </w:rPr>
      </w:pPr>
      <w:r w:rsidRPr="00511005">
        <w:rPr>
          <w:rFonts w:ascii="Arial" w:eastAsia="Calibri" w:hAnsi="Arial" w:cs="Arial"/>
          <w:b/>
          <w:bCs/>
          <w:i/>
          <w:iCs/>
          <w:szCs w:val="28"/>
          <w:shd w:val="clear" w:color="auto" w:fill="FFFFFF"/>
          <w:lang w:val="uk-UA"/>
        </w:rPr>
        <w:t>Продан Дарʼя Дмитрівна</w:t>
      </w:r>
    </w:p>
    <w:p w14:paraId="5C67CC5B"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1517A32A"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6DB4F82"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686127B" w14:textId="77777777" w:rsidR="00532C25" w:rsidRPr="00511005" w:rsidRDefault="00532C25" w:rsidP="00532C25">
      <w:pPr>
        <w:spacing w:line="264" w:lineRule="auto"/>
        <w:ind w:firstLine="720"/>
        <w:jc w:val="center"/>
        <w:rPr>
          <w:rFonts w:ascii="Arial" w:eastAsia="Calibri" w:hAnsi="Arial" w:cs="Arial"/>
          <w:bCs/>
          <w:i/>
          <w:szCs w:val="28"/>
          <w:shd w:val="clear" w:color="auto" w:fill="FFFFFF"/>
          <w:lang w:val="uk-UA"/>
        </w:rPr>
      </w:pPr>
    </w:p>
    <w:p w14:paraId="407FD3DF" w14:textId="77777777" w:rsidR="00532C25" w:rsidRPr="00511005" w:rsidRDefault="00532C25" w:rsidP="00532C25">
      <w:pPr>
        <w:spacing w:line="264" w:lineRule="auto"/>
        <w:ind w:firstLine="720"/>
        <w:jc w:val="center"/>
        <w:rPr>
          <w:rFonts w:ascii="Arial" w:eastAsia="Times New Roman" w:hAnsi="Arial" w:cs="Arial"/>
          <w:b/>
          <w:szCs w:val="28"/>
          <w:lang w:val="uk-UA"/>
        </w:rPr>
      </w:pPr>
      <w:r w:rsidRPr="00511005">
        <w:rPr>
          <w:rFonts w:ascii="Arial" w:eastAsia="Times New Roman" w:hAnsi="Arial" w:cs="Arial"/>
          <w:b/>
          <w:szCs w:val="28"/>
          <w:lang w:val="uk-UA"/>
        </w:rPr>
        <w:t>АНАЛІЗ УСПІШНИХ КОНТРТЕРОРИСТИЧНИХ ОПЕРАЦІЙ: МІЖНАРОДНИЙ ДОСВІД</w:t>
      </w:r>
    </w:p>
    <w:p w14:paraId="02EFEE07"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В умовах війни проти РФ ефективна боротьба з терористичними загрозами та радикалізацією неможлива без активної міжнародної співпраці, яка є ключовим елементом у протидії організованим радикальним угрупованням. Тому в рамках дослідження потрібно проаналізувати контртерористичні операції, які проводилися в світі. </w:t>
      </w:r>
    </w:p>
    <w:p w14:paraId="498B381E"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В першу чергу потрібно зазначити, що до основних передумов виникнення тероризму належать такі явища, як сепаратистські настрої, екстремістська ідеологія, маніпулятивна політизація міжнаціональних та релігійних конфліктів, загострення соціальних протистоянь та поширення ідеології ненависті. Важливу роль у цьому процесі відіграють транснаціональні терористичні угруповання, діяльність яких має дестабілізуючий вплив на безпекову ситуацію в різних регіонах. З огляду на це, протидія терористичній діяльності неможлива без застосування відповідних юридичних механізмів, зокрема кримінальної відповідальності [1, с. 69].</w:t>
      </w:r>
    </w:p>
    <w:p w14:paraId="7CF4ABDE"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На сьогодні одним із ключових нормативних документів у сфері контртерористичних заходів є Глобальна контртерористична стратегія ООН [2]. Вона підкреслює, що саме держави несуть першочергову відповідальність за її реалізацію, а також за вжиття заходів щодо запобігання тероризму та насильницькому екстремізму. Стратегія визначає тероризм як неприпустиме явище в будь-якому його прояві та передбачає конкретні дії з боку держав-членів, які охоплюють широкий спектр заходів – від посилення національного потенціалу у сфері боротьби з терористичними загрозами до забезпечення ефективної координації дій у межах Організації Об’єднаних Націй [2].</w:t>
      </w:r>
    </w:p>
    <w:p w14:paraId="517253BE"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Крім того, потрібно зазначити, що важливим міжнародним документом, який визначає правові засади протидії тероризму, є Резолюція Ради Безпеки ООН 1373, що містить конкретні вимоги щодо протидії фінансуванню терористичних організацій і боротьби з радикальними рухами [3]. Крім того, значну роль у міжнародній системі протидії тероризму відіграють регіональні угоди та конвенції, зокрема Європейська конвенція про боротьбу з тероризмом [4].</w:t>
      </w:r>
    </w:p>
    <w:p w14:paraId="2A036FAD"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lastRenderedPageBreak/>
        <w:t>На національному рівні боротьба з тероризмом регулюється відповідними законодавчими актами. В Україні такими документами є Закон України «Про боротьбу з тероризмом» [5] та Концепція боротьби з тероризмом [6].</w:t>
      </w:r>
    </w:p>
    <w:p w14:paraId="60DFF68B"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Ефективне міжнародне співробітництво у сфері боротьби з тероризмом реалізується за кількома ключовими напрямами:</w:t>
      </w:r>
    </w:p>
    <w:p w14:paraId="0B022344"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о</w:t>
      </w:r>
      <w:r w:rsidRPr="00511005">
        <w:rPr>
          <w:rFonts w:ascii="Arial" w:eastAsia="Times New Roman" w:hAnsi="Arial" w:cs="Arial"/>
          <w:bCs/>
          <w:szCs w:val="28"/>
          <w:lang w:val="uk-UA"/>
        </w:rPr>
        <w:t>бмін інформацією, а саме</w:t>
      </w:r>
      <w:r w:rsidRPr="00511005">
        <w:rPr>
          <w:rFonts w:ascii="Arial" w:eastAsia="Times New Roman" w:hAnsi="Arial" w:cs="Arial"/>
          <w:szCs w:val="28"/>
          <w:lang w:val="uk-UA"/>
        </w:rPr>
        <w:t xml:space="preserve"> оперативними даними між правоохоронними органами різних країн сприяє ідентифікації радикальних осіб та угруповань, що діють на міжнародному рівні. Аналіз транзакцій, підозрілих переміщень осіб, комунікацій та інших факторів дозволяє створювати цілісну картину загроз та оперативно реагувати на них. Обмін інформацією включає передавання даних про екстремістські угруповання, фінансові операції, можливі маршрути пересування терористів, а також використання новітніх технологій для моніторингу загроз. Важливими аспектами такого співробітництва є дотримання стандартів захисту персональних даних та прав людини;</w:t>
      </w:r>
    </w:p>
    <w:p w14:paraId="6C0FA957"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с</w:t>
      </w:r>
      <w:r w:rsidRPr="00511005">
        <w:rPr>
          <w:rFonts w:ascii="Arial" w:eastAsia="Times New Roman" w:hAnsi="Arial" w:cs="Arial"/>
          <w:bCs/>
          <w:szCs w:val="28"/>
          <w:lang w:val="uk-UA"/>
        </w:rPr>
        <w:t>пільні операції та координація зусиль, а саме у</w:t>
      </w:r>
      <w:r w:rsidRPr="00511005">
        <w:rPr>
          <w:rFonts w:ascii="Arial" w:eastAsia="Times New Roman" w:hAnsi="Arial" w:cs="Arial"/>
          <w:szCs w:val="28"/>
          <w:lang w:val="uk-UA"/>
        </w:rPr>
        <w:t>часть правоохоронних органів різних країн у спільних контртерористичних операціях підвищує ефективність боротьби з терористичними мережами. Завдяки координації дій вдається виявляти зв’язки між терористичними осередками та їх керівниками, що дозволяє попереджати напади й нейтралізувати загрози. Важливою умовою успішних операцій є дотримання міжнародного законодавства, включаючи процедури екстрадиції підозрюваних;</w:t>
      </w:r>
    </w:p>
    <w:p w14:paraId="2FE04CF1"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п</w:t>
      </w:r>
      <w:r w:rsidRPr="00511005">
        <w:rPr>
          <w:rFonts w:ascii="Arial" w:eastAsia="Times New Roman" w:hAnsi="Arial" w:cs="Arial"/>
          <w:bCs/>
          <w:szCs w:val="28"/>
          <w:lang w:val="uk-UA"/>
        </w:rPr>
        <w:t>ідготовка та навчання спеціалістів.</w:t>
      </w:r>
      <w:r w:rsidRPr="00511005">
        <w:rPr>
          <w:rFonts w:ascii="Arial" w:eastAsia="Times New Roman" w:hAnsi="Arial" w:cs="Arial"/>
          <w:szCs w:val="28"/>
          <w:lang w:val="uk-UA"/>
        </w:rPr>
        <w:t xml:space="preserve"> Так, Підвищення кваліфікації правоохоронців та аналітиків є одним із ключових компонентів протидії радикальним групам. Діяльність таких організацій, як Міжнародний центр боротьби з тероризмом, Міжнародна асоціація керівників поліції та Управління ООН з наркотиків і злочинності, спрямована на вдосконалення знань і навичок фахівців у сфері контртерористичної діяльності;</w:t>
      </w:r>
    </w:p>
    <w:p w14:paraId="4AF48767"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м</w:t>
      </w:r>
      <w:r w:rsidRPr="00511005">
        <w:rPr>
          <w:rFonts w:ascii="Arial" w:eastAsia="Times New Roman" w:hAnsi="Arial" w:cs="Arial"/>
          <w:bCs/>
          <w:szCs w:val="28"/>
          <w:lang w:val="uk-UA"/>
        </w:rPr>
        <w:t>оніторинг та аналітика.</w:t>
      </w:r>
      <w:r w:rsidRPr="00511005">
        <w:rPr>
          <w:rFonts w:ascii="Arial" w:eastAsia="Times New Roman" w:hAnsi="Arial" w:cs="Arial"/>
          <w:szCs w:val="28"/>
          <w:lang w:val="uk-UA"/>
        </w:rPr>
        <w:t xml:space="preserve"> Наприклад, систематичний аналіз тенденцій радикалізації дозволяє прогнозувати можливі загрози та розробляти ефективні механізми їх нейтралізації. Розвідка, кібермоніторинг та соціологічні дослідження є основними методами аналізу радикальних процесів у суспільстві;</w:t>
      </w:r>
    </w:p>
    <w:p w14:paraId="21FB49B2"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 </w:t>
      </w:r>
      <w:r w:rsidRPr="00511005">
        <w:rPr>
          <w:rFonts w:ascii="Arial" w:eastAsia="Times New Roman" w:hAnsi="Arial" w:cs="Arial"/>
          <w:bCs/>
          <w:szCs w:val="28"/>
          <w:lang w:val="uk-UA"/>
        </w:rPr>
        <w:t>глобальна координація зусиль; о</w:t>
      </w:r>
      <w:r w:rsidRPr="00511005">
        <w:rPr>
          <w:rFonts w:ascii="Arial" w:eastAsia="Times New Roman" w:hAnsi="Arial" w:cs="Arial"/>
          <w:szCs w:val="28"/>
          <w:lang w:val="uk-UA"/>
        </w:rPr>
        <w:t>скільки радикальні угруповання часто мають транскордонний характер, міжнародна взаємодія є визначальним фактором їхньої нейтралізації. Координація між країнами дозволяє обмінюватися інформацією, розробляти спільні стратегії та діяти на випередження. Особливу роль у цьому відіграє Європейський Союз, механізми якого можуть бути інтегровані в систему безпеки України.</w:t>
      </w:r>
    </w:p>
    <w:p w14:paraId="4046EBE2"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Однією з ключових ініціатив ЄС у цій сфері є </w:t>
      </w:r>
      <w:r w:rsidRPr="00511005">
        <w:rPr>
          <w:rFonts w:ascii="Arial" w:eastAsia="Times New Roman" w:hAnsi="Arial" w:cs="Arial"/>
          <w:bCs/>
          <w:szCs w:val="28"/>
          <w:lang w:val="uk-UA"/>
        </w:rPr>
        <w:t>Мережа уваги до процесів радикалізації</w:t>
      </w:r>
      <w:r w:rsidRPr="00511005">
        <w:rPr>
          <w:rFonts w:ascii="Arial" w:eastAsia="Times New Roman" w:hAnsi="Arial" w:cs="Arial"/>
          <w:szCs w:val="28"/>
          <w:lang w:val="uk-UA"/>
        </w:rPr>
        <w:t xml:space="preserve">, заснована у 2011 році. Вона сприяє обміну досвідом та </w:t>
      </w:r>
      <w:r w:rsidRPr="00511005">
        <w:rPr>
          <w:rFonts w:ascii="Arial" w:eastAsia="Times New Roman" w:hAnsi="Arial" w:cs="Arial"/>
          <w:szCs w:val="28"/>
          <w:lang w:val="uk-UA"/>
        </w:rPr>
        <w:lastRenderedPageBreak/>
        <w:t>знаннями між представниками різних галузей, зокрема правоохоронцями, освітянами, соціальними працівниками та дослідниками, що працюють над запобіганням радикалізації [7].</w:t>
      </w:r>
    </w:p>
    <w:p w14:paraId="7BD41C1B"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Таким чином, ефективна боротьба з тероризмом в умовах війни проти Росії вимагає потужної міжнародної співпраці, яка повинна включати обмін інформацією, спільні операції та координацію зусиль між різними країнами. Правовий механізм боротьби з тероризмом має бути комплексним, і важливу роль у цьому процесі відіграють міжнародні документи, такі як Глобальна контртерористична стратегія ООН та Резолюція Ради Безпеки ООН. Регіональні угоди, зокрема Європейська конвенція про боротьбу з тероризмом, сприяють зміцненню правових засад для ефективної боротьби з терористичними загрозами. Важливими напрямами є також підготовка спеціалістів, моніторинг радикалізаційних процесів та глобальна координація зусиль. Для протидії радикалізації та терористичним загрозам необхідно комплексно використовувати міжнародний досвід і вдосконалювати національні механізми боротьби з тероризмом. На нашу думку, цей досвід може бути корисним для протидії терористичним загрозам в Україні і після перемоги у війні.</w:t>
      </w:r>
    </w:p>
    <w:p w14:paraId="1347444D" w14:textId="77777777" w:rsidR="00532C25" w:rsidRPr="00511005" w:rsidRDefault="00532C25" w:rsidP="00532C25">
      <w:pPr>
        <w:spacing w:line="264" w:lineRule="auto"/>
        <w:ind w:firstLine="720"/>
        <w:rPr>
          <w:rFonts w:ascii="Arial" w:eastAsia="Times New Roman" w:hAnsi="Arial" w:cs="Arial"/>
          <w:szCs w:val="28"/>
          <w:lang w:val="uk-UA"/>
        </w:rPr>
      </w:pPr>
    </w:p>
    <w:p w14:paraId="301407A1" w14:textId="77777777" w:rsidR="00532C25" w:rsidRPr="00511005" w:rsidRDefault="00532C25" w:rsidP="00532C25">
      <w:pPr>
        <w:spacing w:line="264" w:lineRule="auto"/>
        <w:ind w:firstLine="720"/>
        <w:jc w:val="center"/>
        <w:rPr>
          <w:rFonts w:ascii="Arial" w:eastAsia="Times New Roman" w:hAnsi="Arial" w:cs="Arial"/>
          <w:szCs w:val="28"/>
          <w:lang w:val="uk-UA"/>
        </w:rPr>
      </w:pPr>
      <w:r w:rsidRPr="00511005">
        <w:rPr>
          <w:rFonts w:ascii="Arial" w:eastAsia="Times New Roman" w:hAnsi="Arial" w:cs="Arial"/>
          <w:b/>
          <w:szCs w:val="28"/>
          <w:lang w:val="uk-UA"/>
        </w:rPr>
        <w:t>Список використаних джерел</w:t>
      </w:r>
    </w:p>
    <w:p w14:paraId="0B75742C"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1. </w:t>
      </w:r>
      <w:r w:rsidRPr="00511005">
        <w:rPr>
          <w:rFonts w:ascii="Arial" w:eastAsia="Times New Roman" w:hAnsi="Arial" w:cs="Arial"/>
          <w:szCs w:val="28"/>
        </w:rPr>
        <w:t>Кириченко О.В., Чорний О.М., Шамара О.В. Протидія терористичним актам в Україні: кримінально-правові та кримінологічні засади: монографія. Дніпро</w:t>
      </w:r>
      <w:r w:rsidRPr="00511005">
        <w:rPr>
          <w:rFonts w:ascii="Arial" w:eastAsia="Times New Roman" w:hAnsi="Arial" w:cs="Arial"/>
          <w:szCs w:val="28"/>
          <w:lang w:val="en-US"/>
        </w:rPr>
        <w:t xml:space="preserve">: </w:t>
      </w:r>
      <w:r w:rsidRPr="00511005">
        <w:rPr>
          <w:rFonts w:ascii="Arial" w:eastAsia="Times New Roman" w:hAnsi="Arial" w:cs="Arial"/>
          <w:szCs w:val="28"/>
        </w:rPr>
        <w:t>ВНПЗ</w:t>
      </w:r>
      <w:r w:rsidRPr="00511005">
        <w:rPr>
          <w:rFonts w:ascii="Arial" w:eastAsia="Times New Roman" w:hAnsi="Arial" w:cs="Arial"/>
          <w:szCs w:val="28"/>
          <w:lang w:val="en-US"/>
        </w:rPr>
        <w:t xml:space="preserve"> «</w:t>
      </w:r>
      <w:r w:rsidRPr="00511005">
        <w:rPr>
          <w:rFonts w:ascii="Arial" w:eastAsia="Times New Roman" w:hAnsi="Arial" w:cs="Arial"/>
          <w:szCs w:val="28"/>
        </w:rPr>
        <w:t>ДГУ</w:t>
      </w:r>
      <w:r w:rsidRPr="00511005">
        <w:rPr>
          <w:rFonts w:ascii="Arial" w:eastAsia="Times New Roman" w:hAnsi="Arial" w:cs="Arial"/>
          <w:szCs w:val="28"/>
          <w:lang w:val="en-US"/>
        </w:rPr>
        <w:t xml:space="preserve">»; </w:t>
      </w:r>
      <w:r w:rsidRPr="00511005">
        <w:rPr>
          <w:rFonts w:ascii="Arial" w:eastAsia="Times New Roman" w:hAnsi="Arial" w:cs="Arial"/>
          <w:szCs w:val="28"/>
        </w:rPr>
        <w:t>ЛІРА</w:t>
      </w:r>
      <w:r w:rsidRPr="00511005">
        <w:rPr>
          <w:rFonts w:ascii="Arial" w:eastAsia="Times New Roman" w:hAnsi="Arial" w:cs="Arial"/>
          <w:szCs w:val="28"/>
          <w:lang w:val="en-US"/>
        </w:rPr>
        <w:t xml:space="preserve">, 2022. 180 </w:t>
      </w:r>
      <w:r w:rsidRPr="00511005">
        <w:rPr>
          <w:rFonts w:ascii="Arial" w:eastAsia="Times New Roman" w:hAnsi="Arial" w:cs="Arial"/>
          <w:szCs w:val="28"/>
        </w:rPr>
        <w:t>с</w:t>
      </w:r>
      <w:r w:rsidRPr="00511005">
        <w:rPr>
          <w:rFonts w:ascii="Arial" w:eastAsia="Times New Roman" w:hAnsi="Arial" w:cs="Arial"/>
          <w:szCs w:val="28"/>
          <w:lang w:val="en-US"/>
        </w:rPr>
        <w:t>.</w:t>
      </w:r>
    </w:p>
    <w:p w14:paraId="33F676CE"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2. </w:t>
      </w:r>
      <w:r w:rsidRPr="00511005">
        <w:rPr>
          <w:rFonts w:ascii="Arial" w:eastAsia="Times New Roman" w:hAnsi="Arial" w:cs="Arial"/>
          <w:szCs w:val="28"/>
          <w:lang w:val="en-US"/>
        </w:rPr>
        <w:t>United Nations Global Counter-Terrorism Strategy. United Nations. URL</w:t>
      </w:r>
      <w:r w:rsidRPr="00511005">
        <w:rPr>
          <w:rFonts w:ascii="Arial" w:eastAsia="Times New Roman" w:hAnsi="Arial" w:cs="Arial"/>
          <w:szCs w:val="28"/>
          <w:lang w:val="uk-UA"/>
        </w:rPr>
        <w:t>: </w:t>
      </w:r>
      <w:r w:rsidR="005938AD">
        <w:fldChar w:fldCharType="begin"/>
      </w:r>
      <w:r w:rsidR="005938AD" w:rsidRPr="00055389">
        <w:rPr>
          <w:lang w:val="en-US"/>
        </w:rPr>
        <w:instrText xml:space="preserve"> HYPERLINK "https://www.un.org/counterterrorism/un-global-counter-terrorism-strategy" </w:instrText>
      </w:r>
      <w:r w:rsidR="005938AD">
        <w:fldChar w:fldCharType="separate"/>
      </w:r>
      <w:r w:rsidRPr="00511005">
        <w:rPr>
          <w:rFonts w:ascii="Arial" w:eastAsia="Times New Roman" w:hAnsi="Arial" w:cs="Arial"/>
          <w:szCs w:val="28"/>
          <w:lang w:val="uk-UA"/>
        </w:rPr>
        <w:t>https://www.un.org/counterterrorism/un-global-counter-terrorism-strategy</w:t>
      </w:r>
      <w:r w:rsidR="005938AD">
        <w:rPr>
          <w:rFonts w:ascii="Arial" w:eastAsia="Times New Roman" w:hAnsi="Arial" w:cs="Arial"/>
          <w:szCs w:val="28"/>
          <w:lang w:val="uk-UA"/>
        </w:rPr>
        <w:fldChar w:fldCharType="end"/>
      </w:r>
      <w:r w:rsidRPr="00511005">
        <w:rPr>
          <w:rFonts w:ascii="Arial" w:eastAsia="Times New Roman" w:hAnsi="Arial" w:cs="Arial"/>
          <w:szCs w:val="28"/>
          <w:lang w:val="uk-UA"/>
        </w:rPr>
        <w:t xml:space="preserve"> </w:t>
      </w:r>
    </w:p>
    <w:p w14:paraId="113886DE"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3. United Nations Security Council. Resolution 1373. 2001. </w:t>
      </w:r>
      <w:r w:rsidRPr="00511005">
        <w:rPr>
          <w:rFonts w:ascii="Arial" w:eastAsia="Times New Roman" w:hAnsi="Arial" w:cs="Arial"/>
          <w:szCs w:val="28"/>
          <w:lang w:val="en-US"/>
        </w:rPr>
        <w:t>URL</w:t>
      </w:r>
      <w:r w:rsidRPr="00511005">
        <w:rPr>
          <w:rFonts w:ascii="Arial" w:eastAsia="Times New Roman" w:hAnsi="Arial" w:cs="Arial"/>
          <w:szCs w:val="28"/>
          <w:lang w:val="uk-UA"/>
        </w:rPr>
        <w:t>: </w:t>
      </w:r>
      <w:r w:rsidR="005938AD">
        <w:fldChar w:fldCharType="begin"/>
      </w:r>
      <w:r w:rsidR="005938AD" w:rsidRPr="00055389">
        <w:rPr>
          <w:lang w:val="uk-UA"/>
        </w:rPr>
        <w:instrText xml:space="preserve"> </w:instrText>
      </w:r>
      <w:r w:rsidR="005938AD">
        <w:instrText>HYPERLINK</w:instrText>
      </w:r>
      <w:r w:rsidR="005938AD" w:rsidRPr="00055389">
        <w:rPr>
          <w:lang w:val="uk-UA"/>
        </w:rPr>
        <w:instrText xml:space="preserve"> "</w:instrText>
      </w:r>
      <w:r w:rsidR="005938AD">
        <w:instrText>https</w:instrText>
      </w:r>
      <w:r w:rsidR="005938AD" w:rsidRPr="00055389">
        <w:rPr>
          <w:lang w:val="uk-UA"/>
        </w:rPr>
        <w:instrText>://</w:instrText>
      </w:r>
      <w:r w:rsidR="005938AD">
        <w:instrText>digitallibrary</w:instrText>
      </w:r>
      <w:r w:rsidR="005938AD" w:rsidRPr="00055389">
        <w:rPr>
          <w:lang w:val="uk-UA"/>
        </w:rPr>
        <w:instrText>.</w:instrText>
      </w:r>
      <w:r w:rsidR="005938AD">
        <w:instrText>un</w:instrText>
      </w:r>
      <w:r w:rsidR="005938AD" w:rsidRPr="00055389">
        <w:rPr>
          <w:lang w:val="uk-UA"/>
        </w:rPr>
        <w:instrText>.</w:instrText>
      </w:r>
      <w:r w:rsidR="005938AD">
        <w:instrText>org</w:instrText>
      </w:r>
      <w:r w:rsidR="005938AD" w:rsidRPr="00055389">
        <w:rPr>
          <w:lang w:val="uk-UA"/>
        </w:rPr>
        <w:instrText>/</w:instrText>
      </w:r>
      <w:r w:rsidR="005938AD">
        <w:instrText>record</w:instrText>
      </w:r>
      <w:r w:rsidR="005938AD" w:rsidRPr="00055389">
        <w:rPr>
          <w:lang w:val="uk-UA"/>
        </w:rPr>
        <w:instrText>/449020?</w:instrText>
      </w:r>
      <w:r w:rsidR="005938AD">
        <w:instrText>v</w:instrText>
      </w:r>
      <w:r w:rsidR="005938AD" w:rsidRPr="00055389">
        <w:rPr>
          <w:lang w:val="uk-UA"/>
        </w:rPr>
        <w:instrText>=</w:instrText>
      </w:r>
      <w:r w:rsidR="005938AD">
        <w:instrText>pdf</w:instrText>
      </w:r>
      <w:r w:rsidR="005938AD" w:rsidRPr="00055389">
        <w:rPr>
          <w:lang w:val="uk-UA"/>
        </w:rPr>
        <w:instrText xml:space="preserve">" </w:instrText>
      </w:r>
      <w:r w:rsidR="005938AD">
        <w:fldChar w:fldCharType="separate"/>
      </w:r>
      <w:r w:rsidRPr="00511005">
        <w:rPr>
          <w:rFonts w:ascii="Arial" w:eastAsia="Times New Roman" w:hAnsi="Arial" w:cs="Arial"/>
          <w:szCs w:val="28"/>
          <w:lang w:val="uk-UA"/>
        </w:rPr>
        <w:t>https://digitallibrary.un.org/record/449020?v=pdf</w:t>
      </w:r>
      <w:r w:rsidR="005938AD">
        <w:rPr>
          <w:rFonts w:ascii="Arial" w:eastAsia="Times New Roman" w:hAnsi="Arial" w:cs="Arial"/>
          <w:szCs w:val="28"/>
          <w:lang w:val="uk-UA"/>
        </w:rPr>
        <w:fldChar w:fldCharType="end"/>
      </w:r>
      <w:r w:rsidRPr="00511005">
        <w:rPr>
          <w:rFonts w:ascii="Arial" w:eastAsia="Times New Roman" w:hAnsi="Arial" w:cs="Arial"/>
          <w:szCs w:val="28"/>
          <w:lang w:val="uk-UA"/>
        </w:rPr>
        <w:t xml:space="preserve"> </w:t>
      </w:r>
    </w:p>
    <w:p w14:paraId="409AB7CF"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4. Європейська конвенція про боротьбу з тероризмом від 27.01.1977. </w:t>
      </w:r>
      <w:r w:rsidRPr="00511005">
        <w:rPr>
          <w:rFonts w:ascii="Arial" w:eastAsia="Times New Roman" w:hAnsi="Arial" w:cs="Arial"/>
          <w:szCs w:val="28"/>
          <w:lang w:val="en-US"/>
        </w:rPr>
        <w:t>URL</w:t>
      </w:r>
      <w:r w:rsidRPr="00511005">
        <w:rPr>
          <w:rFonts w:ascii="Arial" w:eastAsia="Times New Roman" w:hAnsi="Arial" w:cs="Arial"/>
          <w:szCs w:val="28"/>
          <w:lang w:val="uk-UA"/>
        </w:rPr>
        <w:t>: </w:t>
      </w:r>
      <w:hyperlink r:id="rId2018" w:anchor="Text" w:history="1">
        <w:r w:rsidRPr="00511005">
          <w:rPr>
            <w:rFonts w:ascii="Arial" w:eastAsia="Times New Roman" w:hAnsi="Arial" w:cs="Arial"/>
            <w:szCs w:val="28"/>
            <w:lang w:val="uk-UA"/>
          </w:rPr>
          <w:t>https://zakon.rada.gov.ua/laws/show/994_331#Text</w:t>
        </w:r>
      </w:hyperlink>
      <w:r w:rsidRPr="00511005">
        <w:rPr>
          <w:rFonts w:ascii="Arial" w:eastAsia="Times New Roman" w:hAnsi="Arial" w:cs="Arial"/>
          <w:szCs w:val="28"/>
          <w:lang w:val="uk-UA"/>
        </w:rPr>
        <w:t xml:space="preserve"> </w:t>
      </w:r>
    </w:p>
    <w:p w14:paraId="0A8A4CC8"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5. Про боротьбу з тероризмом: Закон України від 20.03.2003 № 638-IV. Відомості Верховної Ради України (ВВР), 2003, № 25, ст. 180. </w:t>
      </w:r>
      <w:r w:rsidRPr="00511005">
        <w:rPr>
          <w:rFonts w:ascii="Arial" w:eastAsia="Times New Roman" w:hAnsi="Arial" w:cs="Arial"/>
          <w:szCs w:val="28"/>
          <w:lang w:val="en-US"/>
        </w:rPr>
        <w:t>URL</w:t>
      </w:r>
      <w:r w:rsidRPr="00511005">
        <w:rPr>
          <w:rFonts w:ascii="Arial" w:eastAsia="Times New Roman" w:hAnsi="Arial" w:cs="Arial"/>
          <w:szCs w:val="28"/>
          <w:lang w:val="uk-UA"/>
        </w:rPr>
        <w:t>: </w:t>
      </w:r>
      <w:hyperlink r:id="rId2019" w:anchor="Text" w:history="1">
        <w:r w:rsidRPr="00511005">
          <w:rPr>
            <w:rFonts w:ascii="Arial" w:eastAsia="Times New Roman" w:hAnsi="Arial" w:cs="Arial"/>
            <w:szCs w:val="28"/>
            <w:lang w:val="uk-UA"/>
          </w:rPr>
          <w:t>https://zakon.rada.gov.ua/laws/show/638-15#Text</w:t>
        </w:r>
      </w:hyperlink>
      <w:r w:rsidRPr="00511005">
        <w:rPr>
          <w:rFonts w:ascii="Arial" w:eastAsia="Times New Roman" w:hAnsi="Arial" w:cs="Arial"/>
          <w:szCs w:val="28"/>
          <w:lang w:val="uk-UA"/>
        </w:rPr>
        <w:t xml:space="preserve"> </w:t>
      </w:r>
    </w:p>
    <w:p w14:paraId="76B03A31"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6. Про Концепцію боротьби з тероризмом в Україні: Указ Президента України від 05.03.2019 № 53/2019. </w:t>
      </w:r>
      <w:r w:rsidRPr="00511005">
        <w:rPr>
          <w:rFonts w:ascii="Arial" w:eastAsia="Times New Roman" w:hAnsi="Arial" w:cs="Arial"/>
          <w:szCs w:val="28"/>
          <w:lang w:val="en-US"/>
        </w:rPr>
        <w:t>URL</w:t>
      </w:r>
      <w:r w:rsidRPr="00511005">
        <w:rPr>
          <w:rFonts w:ascii="Arial" w:eastAsia="Times New Roman" w:hAnsi="Arial" w:cs="Arial"/>
          <w:szCs w:val="28"/>
          <w:lang w:val="uk-UA"/>
        </w:rPr>
        <w:t>: </w:t>
      </w:r>
      <w:hyperlink r:id="rId2020" w:anchor="Text" w:history="1">
        <w:r w:rsidRPr="00511005">
          <w:rPr>
            <w:rFonts w:ascii="Arial" w:eastAsia="Times New Roman" w:hAnsi="Arial" w:cs="Arial"/>
            <w:szCs w:val="28"/>
            <w:lang w:val="uk-UA"/>
          </w:rPr>
          <w:t>https://zakon.rada.gov.ua/laws/show/53/2019#Text</w:t>
        </w:r>
      </w:hyperlink>
      <w:r w:rsidRPr="00511005">
        <w:rPr>
          <w:rFonts w:ascii="Arial" w:eastAsia="Times New Roman" w:hAnsi="Arial" w:cs="Arial"/>
          <w:szCs w:val="28"/>
          <w:lang w:val="uk-UA"/>
        </w:rPr>
        <w:t xml:space="preserve"> </w:t>
      </w:r>
    </w:p>
    <w:p w14:paraId="61B56A14"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7. Тарасюк Т. Впровадження превентивних практик протидії радикалізації в Україні: потенціал та приклади партнерської інфраструктури. Фонд «Демократичні ініціативи» ім. Ілька Кучерів. 12.09.2023. </w:t>
      </w:r>
      <w:r w:rsidRPr="00511005">
        <w:rPr>
          <w:rFonts w:ascii="Arial" w:eastAsia="Times New Roman" w:hAnsi="Arial" w:cs="Arial"/>
          <w:szCs w:val="28"/>
          <w:lang w:val="en-US"/>
        </w:rPr>
        <w:t>URL</w:t>
      </w:r>
      <w:r w:rsidRPr="00511005">
        <w:rPr>
          <w:rFonts w:ascii="Arial" w:eastAsia="Times New Roman" w:hAnsi="Arial" w:cs="Arial"/>
          <w:szCs w:val="28"/>
          <w:lang w:val="uk-UA"/>
        </w:rPr>
        <w:t>: </w:t>
      </w:r>
      <w:hyperlink r:id="rId2021" w:history="1">
        <w:r w:rsidRPr="00511005">
          <w:rPr>
            <w:rFonts w:ascii="Arial" w:eastAsia="Times New Roman" w:hAnsi="Arial" w:cs="Arial"/>
            <w:szCs w:val="28"/>
            <w:lang w:val="uk-UA"/>
          </w:rPr>
          <w:t>https://dif.org.ua/article/vprovadzhennya-preventivnikh-praktik-protidii-radikalizatsii-v-ukraini-potentsial-ta-prikladi-partnerskoi-infrastrukturi</w:t>
        </w:r>
      </w:hyperlink>
      <w:r w:rsidRPr="00511005">
        <w:rPr>
          <w:rFonts w:ascii="Arial" w:eastAsia="Times New Roman" w:hAnsi="Arial" w:cs="Arial"/>
          <w:szCs w:val="28"/>
          <w:lang w:val="uk-UA"/>
        </w:rPr>
        <w:t xml:space="preserve"> </w:t>
      </w:r>
    </w:p>
    <w:p w14:paraId="07B359E9" w14:textId="77777777" w:rsidR="00532C25" w:rsidRPr="00511005" w:rsidRDefault="00532C25" w:rsidP="00532C25">
      <w:pPr>
        <w:spacing w:line="264" w:lineRule="auto"/>
        <w:ind w:firstLine="720"/>
        <w:jc w:val="left"/>
        <w:rPr>
          <w:rFonts w:ascii="Arial" w:eastAsia="Calibri" w:hAnsi="Arial" w:cs="Arial"/>
          <w:i/>
          <w:szCs w:val="28"/>
          <w:shd w:val="clear" w:color="auto" w:fill="FFFFFF"/>
        </w:rPr>
      </w:pPr>
    </w:p>
    <w:p w14:paraId="068CEE8E" w14:textId="77777777" w:rsidR="00532C25" w:rsidRPr="00511005" w:rsidRDefault="00532C25" w:rsidP="00532C25">
      <w:pPr>
        <w:spacing w:line="264" w:lineRule="auto"/>
        <w:rPr>
          <w:rFonts w:ascii="Arial" w:eastAsia="Calibri" w:hAnsi="Arial" w:cs="Arial"/>
          <w:b/>
          <w:bCs/>
          <w:szCs w:val="28"/>
          <w:lang w:val="uk-UA"/>
        </w:rPr>
      </w:pPr>
      <w:r w:rsidRPr="00511005">
        <w:rPr>
          <w:rFonts w:ascii="Arial" w:eastAsia="Calibri" w:hAnsi="Arial" w:cs="Arial"/>
          <w:b/>
          <w:bCs/>
          <w:i/>
          <w:szCs w:val="28"/>
          <w:lang w:val="uk-UA"/>
        </w:rPr>
        <w:lastRenderedPageBreak/>
        <w:t xml:space="preserve">Ключові слова: </w:t>
      </w:r>
      <w:r w:rsidRPr="00511005">
        <w:rPr>
          <w:rFonts w:ascii="Arial" w:eastAsia="Calibri" w:hAnsi="Arial" w:cs="Arial"/>
          <w:szCs w:val="28"/>
          <w:lang w:val="uk-UA"/>
        </w:rPr>
        <w:t>тактична операція, спеціальна операція, тероризм, антитерористична діяльність, міжнародне співробітництво.</w:t>
      </w:r>
    </w:p>
    <w:p w14:paraId="67A865D2" w14:textId="77777777" w:rsidR="00532C25" w:rsidRPr="00511005" w:rsidRDefault="00532C25" w:rsidP="00532C25">
      <w:pPr>
        <w:spacing w:line="264" w:lineRule="auto"/>
        <w:jc w:val="left"/>
        <w:rPr>
          <w:rFonts w:ascii="Arial" w:eastAsia="Calibri" w:hAnsi="Arial" w:cs="Arial"/>
          <w:szCs w:val="28"/>
          <w:lang w:val="uk-UA"/>
        </w:rPr>
      </w:pPr>
      <w:r w:rsidRPr="00511005">
        <w:rPr>
          <w:rFonts w:ascii="Arial" w:eastAsia="Calibri" w:hAnsi="Arial" w:cs="Arial"/>
          <w:b/>
          <w:bCs/>
          <w:i/>
          <w:szCs w:val="28"/>
          <w:lang w:val="uk-UA"/>
        </w:rPr>
        <w:t xml:space="preserve">Key words: </w:t>
      </w:r>
      <w:r w:rsidRPr="00511005">
        <w:rPr>
          <w:rFonts w:ascii="Arial" w:eastAsia="Calibri" w:hAnsi="Arial" w:cs="Arial"/>
          <w:szCs w:val="28"/>
          <w:lang w:val="uk-UA"/>
        </w:rPr>
        <w:t>tactical operation, special operation, terrorism, anti-terrorist activity, international cooperation.</w:t>
      </w:r>
    </w:p>
    <w:p w14:paraId="425717E2" w14:textId="77777777" w:rsidR="00532C25" w:rsidRPr="00511005" w:rsidRDefault="00532C25" w:rsidP="00532C25">
      <w:pPr>
        <w:spacing w:line="264" w:lineRule="auto"/>
        <w:ind w:firstLine="720"/>
        <w:jc w:val="left"/>
        <w:rPr>
          <w:rFonts w:ascii="Arial" w:eastAsia="Calibri" w:hAnsi="Arial" w:cs="Arial"/>
          <w:i/>
          <w:szCs w:val="28"/>
          <w:shd w:val="clear" w:color="auto" w:fill="FFFFFF"/>
          <w:lang w:val="uk-UA"/>
        </w:rPr>
      </w:pPr>
      <w:r w:rsidRPr="00511005">
        <w:rPr>
          <w:rFonts w:ascii="Arial" w:eastAsia="Calibri" w:hAnsi="Arial" w:cs="Arial"/>
          <w:b/>
          <w:bCs/>
          <w:i/>
          <w:szCs w:val="28"/>
          <w:shd w:val="clear" w:color="auto" w:fill="FFFFFF"/>
          <w:lang w:val="uk-UA"/>
        </w:rPr>
        <w:t>Науковий керівник: к.ю.н., доцент Гресь Ю.О.</w:t>
      </w:r>
    </w:p>
    <w:p w14:paraId="223C16D7" w14:textId="77777777" w:rsidR="00532C25" w:rsidRPr="00511005" w:rsidRDefault="00532C25" w:rsidP="00532C25">
      <w:pPr>
        <w:spacing w:line="264" w:lineRule="auto"/>
        <w:ind w:firstLine="720"/>
        <w:jc w:val="center"/>
        <w:rPr>
          <w:rFonts w:ascii="Arial" w:eastAsia="Times New Roman" w:hAnsi="Arial" w:cs="Arial"/>
          <w:b/>
          <w:bCs/>
          <w:szCs w:val="28"/>
          <w:lang w:val="uk-UA" w:eastAsia="ru-RU"/>
        </w:rPr>
      </w:pPr>
    </w:p>
    <w:p w14:paraId="7644F27F" w14:textId="77777777" w:rsidR="00532C25" w:rsidRPr="00511005" w:rsidRDefault="00532C25" w:rsidP="00532C25">
      <w:pPr>
        <w:spacing w:line="264" w:lineRule="auto"/>
        <w:ind w:firstLine="72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 xml:space="preserve">Райлян Світлана Василівна </w:t>
      </w:r>
    </w:p>
    <w:p w14:paraId="4E17DB69"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04492CEE"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64D5B84"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0BC7B24" w14:textId="77777777" w:rsidR="00532C25" w:rsidRPr="00511005" w:rsidRDefault="00532C25" w:rsidP="00532C25">
      <w:pPr>
        <w:spacing w:line="264" w:lineRule="auto"/>
        <w:ind w:firstLine="720"/>
        <w:jc w:val="left"/>
        <w:rPr>
          <w:rFonts w:ascii="Arial" w:eastAsia="Calibri" w:hAnsi="Arial" w:cs="Arial"/>
          <w:b/>
          <w:bCs/>
          <w:szCs w:val="28"/>
          <w:lang w:val="uk-UA"/>
        </w:rPr>
      </w:pPr>
    </w:p>
    <w:p w14:paraId="39CD0A04"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КРИМІНАЛІСТИЧНА КЛАСИФІКАЦІЯ КРИМІНАЛЬНИХ ПРАВОПОРУШЕНЬ ТА ЇЇ ЗНАЧЕННЯ У РОЗСЛІДУВАННІ</w:t>
      </w:r>
    </w:p>
    <w:p w14:paraId="0A06118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Актуальність теми зумовлена зростаючою складністю злочинної діяльності, зміною її форм та способів вчинення у сучасних умовах. В умовах високої динаміки злочинності, коли злочинці активно використовують технічні засоби, діють організовано та нерідко міжрегіонально, слідчим потрібен чіткий інструмент для орієнтації в обставинах злочину, а також для планування ефективних дій із його розкриття. Криміналістична класифікація відіграє в цьому процесі ключову роль, адже дозволяє структурувати інформацію, ідентифікувати характерні ознаки кримінальних правопорушень та визначати найбільш доцільні методики їх розслідування. Її застосування сприяє оптимізації дій правоохоронців, забезпечує методичну послідовність та знижує ризик втрати доказів на ранніх етапах досудового розслідування.</w:t>
      </w:r>
    </w:p>
    <w:p w14:paraId="25DBF66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межах криміналістичного забезпечення досудового розслідування особлива увага приділяється розробці ефективної системи класифікації кримінальних правопорушень, оскільки вона відіграє ключову роль у правильному виборі тактики розслідування та визначенні найдоцільніших слідчих (розшукових) дій. Традиційно у криміналістиці використовували класифікаційні підходи, що спиралися на кримінально-правові норми, закріплені в законодавстві. Проте у науковому середовищі сформувався окремий напрямок, орієнтований на розробку суто криміналістичної класифікації, яка враховує не лише юридичні ознаки, а й особливості механізму вчинення злочину, слідової інформації, поведінки суб’єкта та обставин події. У межах цієї системи структурно виділяються такі елементи як клас, рід, вид та група, кожен з яких містить як спільні, так і специфічні ознаки. Наприклад, вид кримінального правопорушення об’єднує загальні риси, характерні як для всього роду, так і для конкретної групи, що належить до цього виду. При цьому група виділяється вже за деталізованими ознаками, які дозволяють більш точно прогнозувати характер злочину та передбачувану слідову картину [2, с.70].</w:t>
      </w:r>
    </w:p>
    <w:p w14:paraId="0287F53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Окремо заслуговує на увагу підхід, запропонований Гусєвою В.О. та Поповим В.Ю., які розробили модель класифікації кримінальних правопорушень, пов’язаних із протиправним впливом на представників органів державної влади. Автори пропонують ураховувати низку змістовних критеріїв: спосіб втручання, хронологію формування умислу та його реалізацію, вид насильства, що застосовувався, характер зовнішнього прояву злочинних дій, правовий статус потерпілого, кількість учасників злочину, а також особливості мотиваційної сфери. Загалом, застосування такої класифікації у розслідуванні дає змогу не лише швидше зорієнтуватися у типології злочину, а й цілеспрямовано використовувати криміналістичні методики збору доказів, що суттєво підвищує ефективність слідчої роботи [3, с.218].</w:t>
      </w:r>
    </w:p>
    <w:p w14:paraId="34D793ED"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Криміналістична класифікація кримінальних правопорушень відіграє надзвичайно важливу роль у процесі розслідування, адже застосовується на всіх його етапах і забезпечує раціональну організацію діяльності слідчого. Саме через таку класифікацію досягається методична, тактична й технічна впорядкованість дій під час встановлення істини у кримінальному провадженні. На початку досудового розслідування класифікація виступає своєрідним орієнтиром для подальшого аналізу, дозволяючи не тільки структуризувати наявні дані про правопорушення, а й сприяти вдосконаленню знань щодо механізмів їх вчинення та специфіки протидії злочинності загалом [1, с.151–152].</w:t>
      </w:r>
    </w:p>
    <w:p w14:paraId="4D52CD7B"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З практичної точки зору, криміналістична класифікація дає змогу чітко упорядковувати інформацію про різні категорії злочинів та їх характерні риси. Така систематизація є особливо значущою в процесі встановлення особи правопорушника, оскільки застосування ним тих чи інших знарядь або засобів свідчить про наявність певних професійних навичок, технічних знань або доступу до спеціалізованого обладнання. Наприклад, використання при зломі металорізального інструменту або виявлення ствола саморобної вогнепальної зброї вказує не лише на рівень підготовки злочинця, а й на можливі умови виготовлення таких засобів. Аналіз практичних матеріалів засвідчує, що найбільша частка насильницьких злочинів скоюється із застосуванням холодної зброї чи предметів, які використовуються як знаряддя нападу. На цьому етапі особливої уваги набуває своєчасність та повнота огляду місця події, адже саме тут накопичується криміналістично значуща інформація, залишена потерпілим, ймовірним злочинцем або іншими учасниками події. Несвоєчасне виявлення злочину чи затримка з його документуванням ускладнює доступ до первинних слідів, що може негативно вплинути на результат розслідування загалом [1, с.153].</w:t>
      </w:r>
    </w:p>
    <w:p w14:paraId="7CA1C51E"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Окрім цього, криміналістична класифікація правопорушень створює підґрунтя для формування спеціалізованих методик розслідування. Для кожного виду злочинної діяльності характерні свої слідові картини, й </w:t>
      </w:r>
      <w:r w:rsidRPr="00511005">
        <w:rPr>
          <w:rFonts w:ascii="Arial" w:eastAsia="Times New Roman" w:hAnsi="Arial" w:cs="Arial"/>
          <w:szCs w:val="28"/>
          <w:lang w:val="uk-UA"/>
        </w:rPr>
        <w:lastRenderedPageBreak/>
        <w:t>інформація про їх особливості обов’язково фіксується в методичних рекомендаціях. Це дозволяє як у теоретичній площині, так і на практиці зосереджувати зусилля на пошуку типових слідів і визначати найбільш імовірні місця їх локалізації. Такий підхід суттєво підвищує ефективність збору доказової бази [1, с.153].</w:t>
      </w:r>
    </w:p>
    <w:p w14:paraId="6513FD24"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Класифікація також допомагає передбачити найбільш ймовірні слідчі ситуації та обрати оптимальну тактику реагування на них. Ускладнення структури злочинів, зростання кількості багатоепізодних або міжрегіональних проваджень зумовлює потребу в тісній координації між різними підрозділами правоохоронних органів. У цьому контексті єдині підходи до класифікації правопорушень забезпечують ефективну взаємодію, оперативне обмінювання інформацією та послідовне впровадження тактичних і методичних рішень у межах конкретного розслідування. Таким чином, криміналістична класифікація не є суто теоретичним інструментом, а виконує практично орієнтовану функцію – вона полегшує адаптацію методів слідчої діяльності до особливостей конкретного злочину, сприяє виявленню закономірностей злочинної поведінки та значною мірою впливає на досягнення результативності у сфері кримінального провадження [1, с.155].</w:t>
      </w:r>
    </w:p>
    <w:p w14:paraId="4AE347F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Отже, криміналістична класифікація кримінальних правопорушень є необхідною для ефективного розслідування та попередження злочинів. Вона сприяє глибшому розумінню механізму вчинення правопорушень та розробці дієвих методів їх розкриття.</w:t>
      </w:r>
    </w:p>
    <w:p w14:paraId="0C4D7CB2" w14:textId="77777777" w:rsidR="00532C25" w:rsidRPr="00511005" w:rsidRDefault="00532C25" w:rsidP="00532C25">
      <w:pPr>
        <w:spacing w:line="264" w:lineRule="auto"/>
        <w:ind w:firstLine="720"/>
        <w:rPr>
          <w:rFonts w:ascii="Arial" w:eastAsia="Calibri" w:hAnsi="Arial" w:cs="Arial"/>
          <w:szCs w:val="28"/>
          <w:lang w:val="uk-UA"/>
        </w:rPr>
      </w:pPr>
    </w:p>
    <w:p w14:paraId="13B56C98"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3213B1FA" w14:textId="77777777" w:rsidR="00532C25" w:rsidRPr="00511005" w:rsidRDefault="00532C25" w:rsidP="003F6A5D">
      <w:pPr>
        <w:numPr>
          <w:ilvl w:val="0"/>
          <w:numId w:val="639"/>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Гусєва В. Криміналістична класифікація злочинів: сучасний стан наукового забезпечення та перспективи подальших досліджень // </w:t>
      </w:r>
      <w:r w:rsidRPr="00511005">
        <w:rPr>
          <w:rFonts w:ascii="Arial" w:eastAsia="Times New Roman" w:hAnsi="Arial" w:cs="Arial"/>
          <w:i/>
          <w:iCs/>
          <w:szCs w:val="28"/>
          <w:lang w:val="uk-UA" w:eastAsia="ru-RU"/>
        </w:rPr>
        <w:t>National Law Journal: Theory and Practice</w:t>
      </w:r>
      <w:r w:rsidRPr="00511005">
        <w:rPr>
          <w:rFonts w:ascii="Arial" w:eastAsia="Times New Roman" w:hAnsi="Arial" w:cs="Arial"/>
          <w:szCs w:val="28"/>
          <w:lang w:val="uk-UA" w:eastAsia="ru-RU"/>
        </w:rPr>
        <w:t xml:space="preserve">. 2019. С. 151–156. URL: </w:t>
      </w:r>
      <w:hyperlink r:id="rId2022" w:history="1">
        <w:r w:rsidRPr="00511005">
          <w:rPr>
            <w:rFonts w:ascii="Arial" w:eastAsia="Times New Roman" w:hAnsi="Arial" w:cs="Arial"/>
            <w:szCs w:val="28"/>
            <w:lang w:val="uk-UA" w:eastAsia="ru-RU"/>
          </w:rPr>
          <w:t>https://ibn.idsi.md/sites/default/files/imag_file/151-156_5.pdf</w:t>
        </w:r>
      </w:hyperlink>
      <w:r w:rsidRPr="00511005">
        <w:rPr>
          <w:rFonts w:ascii="Arial" w:eastAsia="Times New Roman" w:hAnsi="Arial" w:cs="Arial"/>
          <w:szCs w:val="28"/>
          <w:lang w:val="uk-UA" w:eastAsia="ru-RU"/>
        </w:rPr>
        <w:t xml:space="preserve"> (дата звернення: 07.04.2025).</w:t>
      </w:r>
    </w:p>
    <w:p w14:paraId="389F847C" w14:textId="77777777" w:rsidR="00532C25" w:rsidRPr="00511005" w:rsidRDefault="00532C25" w:rsidP="003F6A5D">
      <w:pPr>
        <w:numPr>
          <w:ilvl w:val="0"/>
          <w:numId w:val="639"/>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Гусєва В. О. Криміналістична класифікація злочинів: наукове та практичне значення // </w:t>
      </w:r>
      <w:r w:rsidRPr="00511005">
        <w:rPr>
          <w:rFonts w:ascii="Arial" w:eastAsia="Times New Roman" w:hAnsi="Arial" w:cs="Arial"/>
          <w:i/>
          <w:iCs/>
          <w:szCs w:val="28"/>
          <w:lang w:val="uk-UA" w:eastAsia="ru-RU"/>
        </w:rPr>
        <w:t>Правові горизонти</w:t>
      </w:r>
      <w:r w:rsidRPr="00511005">
        <w:rPr>
          <w:rFonts w:ascii="Arial" w:eastAsia="Times New Roman" w:hAnsi="Arial" w:cs="Arial"/>
          <w:szCs w:val="28"/>
          <w:lang w:val="uk-UA" w:eastAsia="ru-RU"/>
        </w:rPr>
        <w:t xml:space="preserve">. 2019. С. 69–75. URL: </w:t>
      </w:r>
      <w:hyperlink r:id="rId2023" w:tgtFrame="_new" w:history="1">
        <w:r w:rsidRPr="00511005">
          <w:rPr>
            <w:rFonts w:ascii="Arial" w:eastAsia="Times New Roman" w:hAnsi="Arial" w:cs="Arial"/>
            <w:szCs w:val="28"/>
            <w:lang w:val="uk-UA" w:eastAsia="ru-RU"/>
          </w:rPr>
          <w:t>https://essuir.sumdu.edu.ua/bitstream-download/123456789/74592/1/Husieva_kryminalistychna_klasyfikatsiia.pdf</w:t>
        </w:r>
      </w:hyperlink>
      <w:r w:rsidRPr="00511005">
        <w:rPr>
          <w:rFonts w:ascii="Arial" w:eastAsia="Times New Roman" w:hAnsi="Arial" w:cs="Arial"/>
          <w:szCs w:val="28"/>
          <w:lang w:val="uk-UA" w:eastAsia="ru-RU"/>
        </w:rPr>
        <w:t xml:space="preserve"> (дата звернення: 07.04.2025).</w:t>
      </w:r>
    </w:p>
    <w:p w14:paraId="5AAA5985" w14:textId="77777777" w:rsidR="00532C25" w:rsidRPr="00511005" w:rsidRDefault="00532C25" w:rsidP="003F6A5D">
      <w:pPr>
        <w:numPr>
          <w:ilvl w:val="0"/>
          <w:numId w:val="639"/>
        </w:numPr>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Гусєва В. О., Попов В. Ю. Криміналістична класифікація кримінальних правопорушень, пов’язаних із втручанням у діяльність представників органів державної влади // </w:t>
      </w:r>
      <w:r w:rsidRPr="00511005">
        <w:rPr>
          <w:rFonts w:ascii="Arial" w:eastAsia="Times New Roman" w:hAnsi="Arial" w:cs="Arial"/>
          <w:i/>
          <w:iCs/>
          <w:szCs w:val="28"/>
          <w:lang w:val="uk-UA" w:eastAsia="ru-RU"/>
        </w:rPr>
        <w:t>Вісник Луганського навчально-наукового інституту імені Е.О. Дідоренка</w:t>
      </w:r>
      <w:r w:rsidRPr="00511005">
        <w:rPr>
          <w:rFonts w:ascii="Arial" w:eastAsia="Times New Roman" w:hAnsi="Arial" w:cs="Arial"/>
          <w:szCs w:val="28"/>
          <w:lang w:val="uk-UA" w:eastAsia="ru-RU"/>
        </w:rPr>
        <w:t xml:space="preserve">. 2024. С. 217–226. DOI: </w:t>
      </w:r>
      <w:hyperlink r:id="rId2024" w:tgtFrame="_new" w:history="1">
        <w:r w:rsidRPr="00511005">
          <w:rPr>
            <w:rFonts w:ascii="Arial" w:eastAsia="Times New Roman" w:hAnsi="Arial" w:cs="Arial"/>
            <w:szCs w:val="28"/>
            <w:lang w:val="uk-UA" w:eastAsia="ru-RU"/>
          </w:rPr>
          <w:t>https://doi.org/10.32782/2786-9156.107.3.217-226</w:t>
        </w:r>
      </w:hyperlink>
      <w:r w:rsidRPr="00511005">
        <w:rPr>
          <w:rFonts w:ascii="Arial" w:eastAsia="Times New Roman" w:hAnsi="Arial" w:cs="Arial"/>
          <w:szCs w:val="28"/>
          <w:lang w:val="uk-UA" w:eastAsia="ru-RU"/>
        </w:rPr>
        <w:t xml:space="preserve"> (дата звернення: 07.04.2025).</w:t>
      </w:r>
    </w:p>
    <w:p w14:paraId="5439204D" w14:textId="77777777" w:rsidR="00532C25" w:rsidRPr="00511005" w:rsidRDefault="00532C25" w:rsidP="00532C25">
      <w:pPr>
        <w:spacing w:line="264" w:lineRule="auto"/>
        <w:ind w:firstLine="720"/>
        <w:rPr>
          <w:rFonts w:ascii="Arial" w:eastAsia="Calibri" w:hAnsi="Arial" w:cs="Arial"/>
          <w:b/>
          <w:szCs w:val="28"/>
          <w:lang w:val="uk-UA"/>
        </w:rPr>
      </w:pPr>
    </w:p>
    <w:p w14:paraId="2E9913C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uk-UA"/>
        </w:rPr>
        <w:lastRenderedPageBreak/>
        <w:t xml:space="preserve">Ключові слова: </w:t>
      </w:r>
      <w:r w:rsidRPr="00511005">
        <w:rPr>
          <w:rFonts w:ascii="Arial" w:eastAsia="Calibri" w:hAnsi="Arial" w:cs="Arial"/>
          <w:szCs w:val="28"/>
          <w:lang w:val="uk-UA"/>
        </w:rPr>
        <w:t>криміналістична класифікація, кримінальні правопорушення, механізм вчинення злочину, методики розслідування, тактика слідства.</w:t>
      </w:r>
    </w:p>
    <w:p w14:paraId="419858B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i/>
          <w:szCs w:val="28"/>
          <w:lang w:val="en-US"/>
        </w:rPr>
        <w:t xml:space="preserve">Key words: </w:t>
      </w:r>
      <w:r w:rsidRPr="00511005">
        <w:rPr>
          <w:rFonts w:ascii="Arial" w:eastAsia="Calibri" w:hAnsi="Arial" w:cs="Arial"/>
          <w:szCs w:val="28"/>
          <w:lang w:val="en-US"/>
        </w:rPr>
        <w:t>forensic classification, criminal offenses, mechanism of crime, investigation methods, investigation tactics</w:t>
      </w:r>
      <w:r w:rsidRPr="00511005">
        <w:rPr>
          <w:rFonts w:ascii="Arial" w:eastAsia="Calibri" w:hAnsi="Arial" w:cs="Arial"/>
          <w:szCs w:val="28"/>
          <w:lang w:val="uk-UA"/>
        </w:rPr>
        <w:t>.</w:t>
      </w:r>
    </w:p>
    <w:p w14:paraId="0C8F35E7" w14:textId="77777777" w:rsidR="00532C25" w:rsidRPr="00511005" w:rsidRDefault="00532C25" w:rsidP="00532C25">
      <w:pPr>
        <w:spacing w:line="264" w:lineRule="auto"/>
        <w:ind w:firstLine="72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доктор філософії, доцент Чернов О.В.</w:t>
      </w:r>
    </w:p>
    <w:p w14:paraId="6D1389D9" w14:textId="77777777" w:rsidR="00532C25" w:rsidRPr="00511005" w:rsidRDefault="00532C25" w:rsidP="00532C25">
      <w:pPr>
        <w:spacing w:line="264" w:lineRule="auto"/>
        <w:ind w:firstLine="720"/>
        <w:rPr>
          <w:rFonts w:ascii="Arial" w:eastAsia="Calibri" w:hAnsi="Arial" w:cs="Arial"/>
          <w:i/>
          <w:iCs/>
          <w:szCs w:val="28"/>
          <w:lang w:val="uk-UA"/>
        </w:rPr>
      </w:pPr>
    </w:p>
    <w:p w14:paraId="219C4D1C" w14:textId="77777777" w:rsidR="00532C25" w:rsidRPr="00511005" w:rsidRDefault="00532C25" w:rsidP="00532C25">
      <w:pPr>
        <w:spacing w:line="264" w:lineRule="auto"/>
        <w:ind w:firstLine="720"/>
        <w:jc w:val="center"/>
        <w:rPr>
          <w:rFonts w:ascii="Arial" w:eastAsia="Calibri" w:hAnsi="Arial" w:cs="Arial"/>
          <w:b/>
          <w:i/>
          <w:iCs/>
          <w:szCs w:val="28"/>
          <w:lang w:val="uk-UA" w:bidi="uk-UA"/>
        </w:rPr>
      </w:pPr>
      <w:r w:rsidRPr="00511005">
        <w:rPr>
          <w:rFonts w:ascii="Arial" w:eastAsia="Calibri" w:hAnsi="Arial" w:cs="Arial"/>
          <w:b/>
          <w:i/>
          <w:iCs/>
          <w:szCs w:val="28"/>
          <w:lang w:val="uk-UA" w:bidi="uk-UA"/>
        </w:rPr>
        <w:t xml:space="preserve">Рева Меланія Сергіївна </w:t>
      </w:r>
    </w:p>
    <w:p w14:paraId="0446E7A5"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 xml:space="preserve">студентка 2-го курсу факультету цивільної та господарської юстиції </w:t>
      </w:r>
    </w:p>
    <w:p w14:paraId="2F314875"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szCs w:val="28"/>
          <w:lang w:val="uk-UA"/>
        </w:rPr>
        <w:t>Національного університету «Одеська юридична академія»</w:t>
      </w:r>
    </w:p>
    <w:p w14:paraId="10B58E18" w14:textId="77777777" w:rsidR="00532C25" w:rsidRPr="00511005" w:rsidRDefault="00532C25" w:rsidP="00532C25">
      <w:pPr>
        <w:spacing w:line="264" w:lineRule="auto"/>
        <w:ind w:firstLine="720"/>
        <w:jc w:val="center"/>
        <w:rPr>
          <w:rFonts w:ascii="Arial" w:eastAsia="Calibri" w:hAnsi="Arial" w:cs="Arial"/>
          <w:b/>
          <w:szCs w:val="28"/>
          <w:lang w:bidi="uk-UA"/>
        </w:rPr>
      </w:pPr>
    </w:p>
    <w:p w14:paraId="2018DD2D" w14:textId="77777777" w:rsidR="00532C25" w:rsidRPr="00511005" w:rsidRDefault="00532C25" w:rsidP="00532C25">
      <w:pPr>
        <w:spacing w:line="264" w:lineRule="auto"/>
        <w:ind w:firstLine="720"/>
        <w:jc w:val="center"/>
        <w:rPr>
          <w:rFonts w:ascii="Arial" w:eastAsia="Calibri" w:hAnsi="Arial" w:cs="Arial"/>
          <w:b/>
          <w:szCs w:val="28"/>
          <w:lang w:val="uk-UA" w:bidi="uk-UA"/>
        </w:rPr>
      </w:pPr>
      <w:r w:rsidRPr="00511005">
        <w:rPr>
          <w:rFonts w:ascii="Arial" w:eastAsia="Calibri" w:hAnsi="Arial" w:cs="Arial"/>
          <w:b/>
          <w:szCs w:val="28"/>
          <w:lang w:val="uk-UA" w:bidi="uk-UA"/>
        </w:rPr>
        <w:t>ФОТОГРАФІЧНА ІДЕНТИФІКАЦІЯ: МОЖЛИВОСТІ ТА ОБМЕЖЕННЯ</w:t>
      </w:r>
    </w:p>
    <w:p w14:paraId="74E9D27F" w14:textId="77777777" w:rsidR="00532C25" w:rsidRPr="00511005" w:rsidRDefault="00532C25" w:rsidP="00532C25">
      <w:pPr>
        <w:tabs>
          <w:tab w:val="left" w:pos="993"/>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Фотографічна ідентифікація посідає важливе місце в системі криміналістичних засобів, що використовуються в процесі розкриття та розслідування кримінальних правопорушень. Як один із напрямів криміналістичної ідентифікації, вона ґрунтується на використанні зображень об’єктів з метою встановлення їх тотожності, особливостей, просторового розташування або участі у вчиненні кримінального правопорушення. Завдяки стрімкому розвитку цифрових технологій фотографія набула ще більшого значення в криміналістиці, проте з цим розвитком актуалізувалися і питання щодо її достовірності, технічної маніпулятивності та правомірності використання як доказу в кримінальному провадженні.</w:t>
      </w:r>
    </w:p>
    <w:p w14:paraId="493D5975" w14:textId="77777777" w:rsidR="00532C25" w:rsidRPr="00511005" w:rsidRDefault="00532C25" w:rsidP="00532C25">
      <w:pPr>
        <w:tabs>
          <w:tab w:val="left" w:pos="993"/>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 xml:space="preserve">Фотографічна ідентифікація може здійснюватися за двома основними напрямами: перший – це встановлення тотожності особи за фотознімками (наприклад, під час впізнання за фотографією); другий – це зіставлення предметів, слідів або обстановки місця події з їхнім відображенням на фотоматеріалах. У цьому процесі особливу роль відіграють питання точності відтворення зображення, збереження його первісної форми, а також дотримання методологічних принципів криміналістичної фотографії. У рамках сучасного процесу доказування фотографічна інформація може набути значення як безпосередній доказ (коли містить сам факт кримінального правопорушення або його наслідків), так і джерело додаткової аналітичної інформації для інших криміналістичних досліджень [4, </w:t>
      </w:r>
      <w:r w:rsidRPr="00511005">
        <w:rPr>
          <w:rFonts w:ascii="Arial" w:eastAsia="Calibri" w:hAnsi="Arial" w:cs="Arial"/>
          <w:szCs w:val="28"/>
          <w:lang w:val="en-US" w:bidi="uk-UA"/>
        </w:rPr>
        <w:t>c</w:t>
      </w:r>
      <w:r w:rsidRPr="00511005">
        <w:rPr>
          <w:rFonts w:ascii="Arial" w:eastAsia="Calibri" w:hAnsi="Arial" w:cs="Arial"/>
          <w:szCs w:val="28"/>
          <w:lang w:val="uk-UA" w:bidi="uk-UA"/>
        </w:rPr>
        <w:t>.221].</w:t>
      </w:r>
    </w:p>
    <w:p w14:paraId="519DB924" w14:textId="77777777" w:rsidR="00532C25" w:rsidRPr="00511005" w:rsidRDefault="00532C25" w:rsidP="00532C25">
      <w:pPr>
        <w:tabs>
          <w:tab w:val="left" w:pos="993"/>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 xml:space="preserve">Можливості фотографічної ідентифікації надзвичайно широкі. По-перше, вона дозволяє фіксувати ознаки об’єкта, які з часом можуть бути втрачені або змінені, що є особливо актуальним у випадках знищення доказів, підчищення слідів або втручання у місце події. По-друге, цифрові технології забезпечують високу якість зображень, можливість масштабування, кольорової корекції, тривимірного відтворення зображень, а також автоматичного порівняння зображень за допомогою алгоритмів штучного інтелекту. Ці технологічні досягнення значно підвищують </w:t>
      </w:r>
      <w:r w:rsidRPr="00511005">
        <w:rPr>
          <w:rFonts w:ascii="Arial" w:eastAsia="Calibri" w:hAnsi="Arial" w:cs="Arial"/>
          <w:szCs w:val="28"/>
          <w:lang w:val="uk-UA" w:bidi="uk-UA"/>
        </w:rPr>
        <w:lastRenderedPageBreak/>
        <w:t>ефективність експертних досліджень, прискорюють обробку інформації та мінімізують вплив людського чинника. По-третє, фотографії можуть бути використані для порівняльного аналізу – наприклад, для встановлення відповідності між виявленими слідами на місці події та конкретними об’єктами або особами, що підозрюються у вчиненні правопорушення</w:t>
      </w:r>
      <w:r w:rsidRPr="00511005">
        <w:rPr>
          <w:rFonts w:ascii="Arial" w:eastAsia="Calibri" w:hAnsi="Arial" w:cs="Arial"/>
          <w:szCs w:val="28"/>
          <w:lang w:bidi="uk-UA"/>
        </w:rPr>
        <w:t xml:space="preserve"> [3, </w:t>
      </w:r>
      <w:r w:rsidRPr="00511005">
        <w:rPr>
          <w:rFonts w:ascii="Arial" w:eastAsia="Calibri" w:hAnsi="Arial" w:cs="Arial"/>
          <w:szCs w:val="28"/>
          <w:lang w:val="en-US" w:bidi="uk-UA"/>
        </w:rPr>
        <w:t>c</w:t>
      </w:r>
      <w:r w:rsidRPr="00511005">
        <w:rPr>
          <w:rFonts w:ascii="Arial" w:eastAsia="Calibri" w:hAnsi="Arial" w:cs="Arial"/>
          <w:szCs w:val="28"/>
          <w:lang w:bidi="uk-UA"/>
        </w:rPr>
        <w:t>.120]</w:t>
      </w:r>
      <w:r w:rsidRPr="00511005">
        <w:rPr>
          <w:rFonts w:ascii="Arial" w:eastAsia="Calibri" w:hAnsi="Arial" w:cs="Arial"/>
          <w:szCs w:val="28"/>
          <w:lang w:val="uk-UA" w:bidi="uk-UA"/>
        </w:rPr>
        <w:t>.</w:t>
      </w:r>
    </w:p>
    <w:p w14:paraId="2AD4798A" w14:textId="77777777" w:rsidR="00532C25" w:rsidRPr="00511005" w:rsidRDefault="00532C25" w:rsidP="00532C25">
      <w:pPr>
        <w:tabs>
          <w:tab w:val="left" w:pos="993"/>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Однак, незважаючи на очевидні переваги, фотографічна ідентифікація має низку об’єктивних обмежень, що зумовлені як технічними, так і правовими чинниками. Одним із головних обмежень є залежність достовірності результатів від якості первинного зображення. Розмиті, затемнені, переекспоновані або навмисно змінені фотографії унеможливлюють отримання точних результатів. Більше того, навіть найсучасніші програмні засоби не можуть завжди компенсувати втрату ключової інформації, що міститься у візуальному ряді. Наступним обмеженням є можливість маніпулювання зображенням, що набуває дедалі більшої актуальності в умовах легкого доступу до графічних редакторів. Цифрові зображення можуть бути змінені, змонтовані або сфальсифіковані, що ставить під сумнів їхню автентичність як доказу.</w:t>
      </w:r>
    </w:p>
    <w:p w14:paraId="34476658" w14:textId="77777777" w:rsidR="00532C25" w:rsidRPr="00511005" w:rsidRDefault="00532C25" w:rsidP="00532C25">
      <w:pPr>
        <w:tabs>
          <w:tab w:val="left" w:pos="993"/>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Не менш важливим є і правовий аспект застосування фотографічної ідентифікації в кримінальному процесі. Відповідно до чинного кримінального процесуального законодавства України, зокрема положень ст. 99 КПК України, фотографії можуть бути використані як речові докази, якщо вони відображають обставини, що мають значення для кримінального провадження</w:t>
      </w:r>
      <w:r w:rsidRPr="00511005">
        <w:rPr>
          <w:rFonts w:ascii="Arial" w:eastAsia="Calibri" w:hAnsi="Arial" w:cs="Arial"/>
          <w:szCs w:val="28"/>
          <w:lang w:bidi="uk-UA"/>
        </w:rPr>
        <w:t xml:space="preserve"> [1]</w:t>
      </w:r>
      <w:r w:rsidRPr="00511005">
        <w:rPr>
          <w:rFonts w:ascii="Arial" w:eastAsia="Calibri" w:hAnsi="Arial" w:cs="Arial"/>
          <w:szCs w:val="28"/>
          <w:lang w:val="uk-UA" w:bidi="uk-UA"/>
        </w:rPr>
        <w:t xml:space="preserve">. При цьому обов’язковою умовою є дотримання вимог щодо належного процесуального оформлення фотографування, забезпечення безперервного ланцюга зберігання, засвідчення автентичності зображення, а також можливості перевірки та оцінки такого доказу судом. </w:t>
      </w:r>
    </w:p>
    <w:p w14:paraId="322E1530" w14:textId="77777777" w:rsidR="00532C25" w:rsidRPr="00511005" w:rsidRDefault="00532C25" w:rsidP="00532C25">
      <w:pPr>
        <w:tabs>
          <w:tab w:val="left" w:pos="993"/>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Важливим є й питання психологічного сприйняття візуальної інформації особами, що беруть участь у кримінальному процесі. У процесі впізнання за фотознімком слід враховувати суб’єктивність людського сприйняття, особливо за умов стресу, недостатнього освітлення або інших обставин, що ускладнюють точне запам’ятовування зовнішності. Ризик хибного впізнання є високим, якщо фотографії не відповідають встановленим стандартам або використовуються некоректно (наприклад, у групі осіб, що не мають очевидної схожості з підозрюваним). Таким чином, фотографічна ідентифікація потребує чіткого регламентування процедур і професійного підходу на кожному етапі.</w:t>
      </w:r>
    </w:p>
    <w:p w14:paraId="2CEF9666" w14:textId="77777777" w:rsidR="00532C25" w:rsidRPr="00511005" w:rsidRDefault="00532C25" w:rsidP="00532C25">
      <w:pPr>
        <w:tabs>
          <w:tab w:val="left" w:pos="993"/>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 xml:space="preserve">Значне місце у розвитку можливостей фотографічної ідентифікації займають новітні технології відеоспостереження, включаючи системи розпізнавання обличчя на базі нейронних мереж. З одного боку, це дозволяє автоматизувати пошук осіб у базах даних, ідентифікувати підозрюваних у реальному часі, підвищити ефективність правоохоронних заходів. З іншого </w:t>
      </w:r>
      <w:r w:rsidRPr="00511005">
        <w:rPr>
          <w:rFonts w:ascii="Arial" w:eastAsia="Calibri" w:hAnsi="Arial" w:cs="Arial"/>
          <w:szCs w:val="28"/>
          <w:lang w:val="uk-UA" w:bidi="uk-UA"/>
        </w:rPr>
        <w:lastRenderedPageBreak/>
        <w:t>боку, виникають серйозні виклики в частині захисту персональних даних, законності використання систем спостереження та допустимості отриманої інформації як доказу у кримінальному провадженні. Важливо, щоб застосування таких систем було врегульоване спеціальними нормативно-правовими актами, які б забезпечували баланс між правом особи на приватність та потребами кримінального правосуддя.</w:t>
      </w:r>
    </w:p>
    <w:p w14:paraId="7E699739" w14:textId="77777777" w:rsidR="00532C25" w:rsidRPr="00511005" w:rsidRDefault="00532C25" w:rsidP="00532C25">
      <w:pPr>
        <w:tabs>
          <w:tab w:val="left" w:pos="993"/>
        </w:tabs>
        <w:spacing w:line="264" w:lineRule="auto"/>
        <w:ind w:firstLine="720"/>
        <w:rPr>
          <w:rFonts w:ascii="Arial" w:eastAsia="Calibri" w:hAnsi="Arial" w:cs="Arial"/>
          <w:szCs w:val="28"/>
          <w:lang w:val="uk-UA" w:bidi="uk-UA"/>
        </w:rPr>
      </w:pPr>
      <w:r w:rsidRPr="00511005">
        <w:rPr>
          <w:rFonts w:ascii="Arial" w:eastAsia="Calibri" w:hAnsi="Arial" w:cs="Arial"/>
          <w:szCs w:val="28"/>
          <w:lang w:val="uk-UA" w:bidi="uk-UA"/>
        </w:rPr>
        <w:t xml:space="preserve">Визначальним чинником ефективності фотографічної ідентифікації є її використання в комплексі з іншими криміналістичними методами, зокрема трасологією, балістикою, дактилоскопією, портретною експертизою тощо. Лише поєднання декількох незалежних джерел ідентифікаційної інформації дозволяє сформувати цілісну та достовірну картину події, що є необхідною умовою законного та обґрунтованого висновку. Варто також зазначити, що у криміналістичній науці триває дискусія щодо меж використання фотографічної ідентифікації як засобу доказування: одні науковці розглядають її як допоміжний інструмент, інші – як повноцінне джерело доказів, здатне виступати основою для прийняття процесуальних рішень [2, </w:t>
      </w:r>
      <w:r w:rsidRPr="00511005">
        <w:rPr>
          <w:rFonts w:ascii="Arial" w:eastAsia="Calibri" w:hAnsi="Arial" w:cs="Arial"/>
          <w:szCs w:val="28"/>
          <w:lang w:val="en-US" w:bidi="uk-UA"/>
        </w:rPr>
        <w:t>c</w:t>
      </w:r>
      <w:r w:rsidRPr="00511005">
        <w:rPr>
          <w:rFonts w:ascii="Arial" w:eastAsia="Calibri" w:hAnsi="Arial" w:cs="Arial"/>
          <w:szCs w:val="28"/>
          <w:lang w:val="uk-UA" w:bidi="uk-UA"/>
        </w:rPr>
        <w:t>.251]. Така дискусія обумовлена, зокрема, різним ставленням до стандартів доведеності у кримінальному процесі, а також рівнем розвитку експертної техніки в різних регіонах.</w:t>
      </w:r>
    </w:p>
    <w:p w14:paraId="33DB738C" w14:textId="77777777" w:rsidR="00532C25" w:rsidRPr="00511005" w:rsidRDefault="00532C25" w:rsidP="00532C25">
      <w:pPr>
        <w:tabs>
          <w:tab w:val="left" w:pos="993"/>
        </w:tabs>
        <w:spacing w:line="264" w:lineRule="auto"/>
        <w:ind w:firstLine="720"/>
        <w:rPr>
          <w:rFonts w:ascii="Arial" w:eastAsia="Calibri" w:hAnsi="Arial" w:cs="Arial"/>
          <w:b/>
          <w:szCs w:val="28"/>
          <w:lang w:bidi="uk-UA"/>
        </w:rPr>
      </w:pPr>
      <w:r w:rsidRPr="00511005">
        <w:rPr>
          <w:rFonts w:ascii="Arial" w:eastAsia="Calibri" w:hAnsi="Arial" w:cs="Arial"/>
          <w:szCs w:val="28"/>
          <w:lang w:val="uk-UA" w:bidi="uk-UA"/>
        </w:rPr>
        <w:t xml:space="preserve">Отже, можна зробити висновок, що фотографічна ідентифікація є важливим інструментом сучасної криміналістики, який значно розширює можливості встановлення об’єктивної істини у кримінальному процесі. Її ефективність значною мірою залежить від якості технічних засобів, кваліфікації осіб, що здійснюють фіксацію та аналіз зображень, а також правової урегульованості процедур застосування. Водночас вона не може бути універсальним або самодостатнім способом доведення, а повинна розглядатися у сукупності з іншими засобами доказування. </w:t>
      </w:r>
    </w:p>
    <w:p w14:paraId="04EC95DC" w14:textId="77777777" w:rsidR="00532C25" w:rsidRPr="00511005" w:rsidRDefault="00532C25" w:rsidP="00532C25">
      <w:pPr>
        <w:tabs>
          <w:tab w:val="left" w:pos="7088"/>
        </w:tabs>
        <w:spacing w:line="264" w:lineRule="auto"/>
        <w:ind w:firstLine="720"/>
        <w:jc w:val="center"/>
        <w:rPr>
          <w:rFonts w:ascii="Arial" w:eastAsia="Calibri" w:hAnsi="Arial" w:cs="Arial"/>
          <w:b/>
          <w:szCs w:val="28"/>
          <w:lang w:val="uk-UA" w:bidi="uk-UA"/>
        </w:rPr>
      </w:pPr>
    </w:p>
    <w:p w14:paraId="033DBDCA" w14:textId="77777777" w:rsidR="00532C25" w:rsidRPr="00511005" w:rsidRDefault="00532C25" w:rsidP="00532C25">
      <w:pPr>
        <w:tabs>
          <w:tab w:val="left" w:pos="7088"/>
        </w:tabs>
        <w:spacing w:line="264" w:lineRule="auto"/>
        <w:ind w:firstLine="720"/>
        <w:jc w:val="center"/>
        <w:rPr>
          <w:rFonts w:ascii="Arial" w:eastAsia="Calibri" w:hAnsi="Arial" w:cs="Arial"/>
          <w:b/>
          <w:szCs w:val="28"/>
          <w:lang w:val="uk-UA" w:bidi="uk-UA"/>
        </w:rPr>
      </w:pPr>
      <w:r w:rsidRPr="00511005">
        <w:rPr>
          <w:rFonts w:ascii="Arial" w:eastAsia="Calibri" w:hAnsi="Arial" w:cs="Arial"/>
          <w:b/>
          <w:szCs w:val="28"/>
          <w:lang w:val="uk-UA" w:bidi="uk-UA"/>
        </w:rPr>
        <w:t>Список використаних джерел</w:t>
      </w:r>
    </w:p>
    <w:p w14:paraId="72A6AFF1" w14:textId="77777777" w:rsidR="00532C25" w:rsidRPr="00511005" w:rsidRDefault="00532C25" w:rsidP="003F6A5D">
      <w:pPr>
        <w:widowControl w:val="0"/>
        <w:numPr>
          <w:ilvl w:val="0"/>
          <w:numId w:val="678"/>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val="uk-UA" w:eastAsia="ru-RU" w:bidi="uk-UA"/>
        </w:rPr>
      </w:pPr>
      <w:r w:rsidRPr="00511005">
        <w:rPr>
          <w:rFonts w:ascii="Arial" w:eastAsia="Times New Roman" w:hAnsi="Arial" w:cs="Arial"/>
          <w:szCs w:val="28"/>
          <w:lang w:val="uk-UA" w:eastAsia="ru-RU" w:bidi="uk-UA"/>
        </w:rPr>
        <w:t xml:space="preserve">Кримінальний процесуальний кодекс України. Закон України № </w:t>
      </w:r>
      <w:r w:rsidRPr="00511005">
        <w:rPr>
          <w:rFonts w:ascii="Arial" w:eastAsia="Times New Roman" w:hAnsi="Arial" w:cs="Arial"/>
          <w:szCs w:val="28"/>
          <w:lang w:eastAsia="ru-RU" w:bidi="uk-UA"/>
        </w:rPr>
        <w:t>4651-VI</w:t>
      </w:r>
      <w:r w:rsidRPr="00511005">
        <w:rPr>
          <w:rFonts w:ascii="Arial" w:eastAsia="Times New Roman" w:hAnsi="Arial" w:cs="Arial"/>
          <w:szCs w:val="28"/>
          <w:lang w:val="uk-UA" w:eastAsia="ru-RU" w:bidi="uk-UA"/>
        </w:rPr>
        <w:t xml:space="preserve"> від 13.04.2012 року. URL: </w:t>
      </w:r>
      <w:hyperlink r:id="rId2025" w:anchor="Text" w:history="1">
        <w:r w:rsidRPr="00511005">
          <w:rPr>
            <w:rFonts w:ascii="Arial" w:eastAsia="Times New Roman" w:hAnsi="Arial" w:cs="Arial"/>
            <w:szCs w:val="28"/>
            <w:lang w:val="uk-UA" w:eastAsia="ru-RU" w:bidi="uk-UA"/>
          </w:rPr>
          <w:t>https://zakon.rada.gov.ua/laws/show/4651-17#Text</w:t>
        </w:r>
      </w:hyperlink>
      <w:r w:rsidRPr="00511005">
        <w:rPr>
          <w:rFonts w:ascii="Arial" w:eastAsia="Times New Roman" w:hAnsi="Arial" w:cs="Arial"/>
          <w:szCs w:val="28"/>
          <w:lang w:val="uk-UA" w:eastAsia="ru-RU" w:bidi="uk-UA"/>
        </w:rPr>
        <w:t xml:space="preserve"> </w:t>
      </w:r>
      <w:r w:rsidRPr="00511005">
        <w:rPr>
          <w:rFonts w:ascii="Arial" w:eastAsia="Times New Roman" w:hAnsi="Arial" w:cs="Arial"/>
          <w:szCs w:val="28"/>
          <w:lang w:eastAsia="ru-RU"/>
        </w:rPr>
        <w:t>(дата звернення: 19.04.2025)</w:t>
      </w:r>
    </w:p>
    <w:p w14:paraId="7FB8AE47" w14:textId="77777777" w:rsidR="00532C25" w:rsidRPr="00511005" w:rsidRDefault="00532C25" w:rsidP="003F6A5D">
      <w:pPr>
        <w:widowControl w:val="0"/>
        <w:numPr>
          <w:ilvl w:val="0"/>
          <w:numId w:val="678"/>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b/>
          <w:bCs/>
          <w:szCs w:val="28"/>
          <w:lang w:eastAsia="ru-RU"/>
        </w:rPr>
        <w:t>Лозова С. М., Стрілець С. О.</w:t>
      </w:r>
      <w:r w:rsidRPr="00511005">
        <w:rPr>
          <w:rFonts w:ascii="Arial" w:eastAsia="Times New Roman" w:hAnsi="Arial" w:cs="Arial"/>
          <w:szCs w:val="28"/>
          <w:lang w:eastAsia="ru-RU"/>
        </w:rPr>
        <w:t xml:space="preserve"> Окремі методи судово-експертної фотографії. </w:t>
      </w:r>
      <w:r w:rsidRPr="00511005">
        <w:rPr>
          <w:rFonts w:ascii="Arial" w:eastAsia="Times New Roman" w:hAnsi="Arial" w:cs="Arial"/>
          <w:i/>
          <w:iCs/>
          <w:szCs w:val="28"/>
          <w:lang w:eastAsia="ru-RU"/>
        </w:rPr>
        <w:t>Сучасні тенденції розвитку криміналістики та кримінального процесу в умовах воєнного стану:</w:t>
      </w:r>
      <w:r w:rsidRPr="00511005">
        <w:rPr>
          <w:rFonts w:ascii="Arial" w:eastAsia="Times New Roman" w:hAnsi="Arial" w:cs="Arial"/>
          <w:szCs w:val="28"/>
          <w:lang w:eastAsia="ru-RU"/>
        </w:rPr>
        <w:t xml:space="preserve"> тези доп. </w:t>
      </w:r>
      <w:r w:rsidRPr="00511005">
        <w:rPr>
          <w:rFonts w:ascii="Arial" w:eastAsia="Times New Roman" w:hAnsi="Arial" w:cs="Arial"/>
          <w:szCs w:val="28"/>
          <w:lang w:val="uk-UA" w:eastAsia="ru-RU"/>
        </w:rPr>
        <w:t>м</w:t>
      </w:r>
      <w:r w:rsidRPr="00511005">
        <w:rPr>
          <w:rFonts w:ascii="Arial" w:eastAsia="Times New Roman" w:hAnsi="Arial" w:cs="Arial"/>
          <w:szCs w:val="28"/>
          <w:lang w:eastAsia="ru-RU"/>
        </w:rPr>
        <w:t xml:space="preserve">іжнар. наук.-практ. конф. (м. Харків, 25 листоп. 2022 р.). Харків: ХНУВС, 2022. С. 249–252. URL: </w:t>
      </w:r>
      <w:hyperlink r:id="rId2026" w:tgtFrame="_blank" w:history="1">
        <w:r w:rsidRPr="00511005">
          <w:rPr>
            <w:rFonts w:ascii="Arial" w:eastAsia="Times New Roman" w:hAnsi="Arial" w:cs="Arial"/>
            <w:szCs w:val="28"/>
            <w:lang w:eastAsia="ru-RU"/>
          </w:rPr>
          <w:t>http://dspace.univd.edu.ua/xmlui/handle/123456789/14971</w:t>
        </w:r>
      </w:hyperlink>
      <w:r w:rsidRPr="00511005">
        <w:rPr>
          <w:rFonts w:ascii="Arial" w:eastAsia="Times New Roman" w:hAnsi="Arial" w:cs="Arial"/>
          <w:szCs w:val="28"/>
          <w:lang w:eastAsia="ru-RU"/>
        </w:rPr>
        <w:t xml:space="preserve"> (дата звернення: 19.04.2025)</w:t>
      </w:r>
    </w:p>
    <w:p w14:paraId="6B02E921" w14:textId="77777777" w:rsidR="00532C25" w:rsidRPr="00511005" w:rsidRDefault="00532C25" w:rsidP="003F6A5D">
      <w:pPr>
        <w:widowControl w:val="0"/>
        <w:numPr>
          <w:ilvl w:val="0"/>
          <w:numId w:val="678"/>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b/>
          <w:bCs/>
          <w:szCs w:val="28"/>
          <w:lang w:eastAsia="ru-RU"/>
        </w:rPr>
        <w:t>Кавєріна Т. П., Кривонос М. В.</w:t>
      </w:r>
      <w:r w:rsidRPr="00511005">
        <w:rPr>
          <w:rFonts w:ascii="Arial" w:eastAsia="Times New Roman" w:hAnsi="Arial" w:cs="Arial"/>
          <w:szCs w:val="28"/>
          <w:lang w:eastAsia="ru-RU"/>
        </w:rPr>
        <w:t xml:space="preserve"> Хибність ідентифікації загиблої особи поза візуальним впізнанням в межах досудового розслідування: проблемні питання та правові наслідки. </w:t>
      </w:r>
      <w:r w:rsidRPr="00511005">
        <w:rPr>
          <w:rFonts w:ascii="Arial" w:eastAsia="Times New Roman" w:hAnsi="Arial" w:cs="Arial"/>
          <w:i/>
          <w:iCs/>
          <w:szCs w:val="28"/>
          <w:lang w:eastAsia="ru-RU"/>
        </w:rPr>
        <w:t>Науково-інформаційний вісник</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2023</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 16(28)</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С. 117–125.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2027"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surl</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li</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nrjuqo</w:t>
        </w:r>
      </w:hyperlink>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(дата звернення: </w:t>
      </w:r>
      <w:r w:rsidRPr="00511005">
        <w:rPr>
          <w:rFonts w:ascii="Arial" w:eastAsia="Times New Roman" w:hAnsi="Arial" w:cs="Arial"/>
          <w:szCs w:val="28"/>
          <w:lang w:eastAsia="ru-RU"/>
        </w:rPr>
        <w:lastRenderedPageBreak/>
        <w:t>19.04.2025)</w:t>
      </w:r>
    </w:p>
    <w:p w14:paraId="69B68342" w14:textId="77777777" w:rsidR="00532C25" w:rsidRPr="00511005" w:rsidRDefault="00532C25" w:rsidP="003F6A5D">
      <w:pPr>
        <w:widowControl w:val="0"/>
        <w:numPr>
          <w:ilvl w:val="0"/>
          <w:numId w:val="678"/>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Дідківська, Г. В., Педан В. І. О</w:t>
      </w:r>
      <w:r w:rsidRPr="00511005">
        <w:rPr>
          <w:rFonts w:ascii="Arial" w:eastAsia="Times New Roman" w:hAnsi="Arial" w:cs="Arial"/>
          <w:szCs w:val="28"/>
          <w:lang w:eastAsia="ru-RU"/>
        </w:rPr>
        <w:t>кремі аспекти розвитку нових методик у криміналістиці. </w:t>
      </w:r>
      <w:r w:rsidRPr="00511005">
        <w:rPr>
          <w:rFonts w:ascii="Arial" w:eastAsia="Times New Roman" w:hAnsi="Arial" w:cs="Arial"/>
          <w:i/>
          <w:iCs/>
          <w:szCs w:val="28"/>
          <w:lang w:eastAsia="ru-RU"/>
        </w:rPr>
        <w:t>Ірпінський юридичний часопис</w:t>
      </w:r>
      <w:r w:rsidRPr="00511005">
        <w:rPr>
          <w:rFonts w:ascii="Arial" w:eastAsia="Times New Roman" w:hAnsi="Arial" w:cs="Arial"/>
          <w:i/>
          <w:iCs/>
          <w:szCs w:val="28"/>
          <w:lang w:val="uk-UA" w:eastAsia="ru-RU"/>
        </w:rPr>
        <w:t>.</w:t>
      </w:r>
      <w:r w:rsidRPr="00511005">
        <w:rPr>
          <w:rFonts w:ascii="Arial" w:eastAsia="Times New Roman" w:hAnsi="Arial" w:cs="Arial"/>
          <w:szCs w:val="28"/>
          <w:lang w:eastAsia="ru-RU"/>
        </w:rPr>
        <w:t> 1 (10)</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(2023)</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С. </w:t>
      </w:r>
      <w:r w:rsidRPr="00511005">
        <w:rPr>
          <w:rFonts w:ascii="Arial" w:eastAsia="Times New Roman" w:hAnsi="Arial" w:cs="Arial"/>
          <w:szCs w:val="28"/>
          <w:lang w:eastAsia="ru-RU"/>
        </w:rPr>
        <w:t>219-225.</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2028"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ojs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dpu</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edu</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index</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php</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irplegchr</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article</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view</w:t>
        </w:r>
        <w:r w:rsidRPr="00511005">
          <w:rPr>
            <w:rFonts w:ascii="Arial" w:eastAsia="Times New Roman" w:hAnsi="Arial" w:cs="Arial"/>
            <w:szCs w:val="28"/>
            <w:lang w:eastAsia="ru-RU"/>
          </w:rPr>
          <w:t>/78</w:t>
        </w:r>
      </w:hyperlink>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(дата звернення: 19.04.2025)</w:t>
      </w:r>
    </w:p>
    <w:p w14:paraId="19D666F3" w14:textId="77777777" w:rsidR="00532C25" w:rsidRPr="00511005" w:rsidRDefault="00532C25" w:rsidP="00532C25">
      <w:pPr>
        <w:tabs>
          <w:tab w:val="left" w:pos="993"/>
          <w:tab w:val="left" w:pos="7088"/>
        </w:tabs>
        <w:autoSpaceDE w:val="0"/>
        <w:autoSpaceDN w:val="0"/>
        <w:adjustRightInd w:val="0"/>
        <w:spacing w:line="264" w:lineRule="auto"/>
        <w:ind w:firstLine="720"/>
        <w:contextualSpacing/>
        <w:rPr>
          <w:rFonts w:ascii="Arial" w:eastAsia="Times New Roman" w:hAnsi="Arial" w:cs="Arial"/>
          <w:b/>
          <w:szCs w:val="28"/>
          <w:lang w:eastAsia="ru-RU"/>
        </w:rPr>
      </w:pPr>
    </w:p>
    <w:p w14:paraId="5138484D" w14:textId="77777777" w:rsidR="00532C25" w:rsidRPr="00511005" w:rsidRDefault="00532C25" w:rsidP="00532C25">
      <w:pPr>
        <w:tabs>
          <w:tab w:val="left" w:pos="993"/>
          <w:tab w:val="left" w:pos="7088"/>
        </w:tabs>
        <w:autoSpaceDE w:val="0"/>
        <w:autoSpaceDN w:val="0"/>
        <w:adjustRightInd w:val="0"/>
        <w:spacing w:line="264" w:lineRule="auto"/>
        <w:ind w:firstLine="720"/>
        <w:contextualSpacing/>
        <w:rPr>
          <w:rFonts w:ascii="Arial" w:eastAsia="Times New Roman" w:hAnsi="Arial" w:cs="Arial"/>
          <w:b/>
          <w:szCs w:val="28"/>
          <w:lang w:val="uk-UA" w:eastAsia="ru-RU"/>
        </w:rPr>
      </w:pPr>
      <w:r w:rsidRPr="00511005">
        <w:rPr>
          <w:rFonts w:ascii="Arial" w:eastAsia="Times New Roman" w:hAnsi="Arial" w:cs="Arial"/>
          <w:b/>
          <w:i/>
          <w:szCs w:val="28"/>
          <w:lang w:eastAsia="ru-RU"/>
        </w:rPr>
        <w:t xml:space="preserve">Ключові слова: </w:t>
      </w:r>
      <w:r w:rsidRPr="00511005">
        <w:rPr>
          <w:rFonts w:ascii="Arial" w:eastAsia="Times New Roman" w:hAnsi="Arial" w:cs="Arial"/>
          <w:szCs w:val="28"/>
          <w:lang w:eastAsia="ru-RU"/>
        </w:rPr>
        <w:t>фотографічна ідентифікація, криміналістика, ідентифікація особи, фотозображення, докази, обмеження</w:t>
      </w:r>
      <w:r w:rsidRPr="00511005">
        <w:rPr>
          <w:rFonts w:ascii="Arial" w:eastAsia="Times New Roman" w:hAnsi="Arial" w:cs="Arial"/>
          <w:szCs w:val="28"/>
          <w:lang w:val="uk-UA" w:eastAsia="ru-RU"/>
        </w:rPr>
        <w:t>.</w:t>
      </w:r>
    </w:p>
    <w:p w14:paraId="773A8B82" w14:textId="77777777" w:rsidR="00532C25" w:rsidRPr="00511005" w:rsidRDefault="00532C25" w:rsidP="00532C25">
      <w:pPr>
        <w:tabs>
          <w:tab w:val="left" w:pos="993"/>
          <w:tab w:val="left" w:pos="7088"/>
        </w:tabs>
        <w:autoSpaceDE w:val="0"/>
        <w:autoSpaceDN w:val="0"/>
        <w:adjustRightInd w:val="0"/>
        <w:spacing w:line="264" w:lineRule="auto"/>
        <w:ind w:firstLine="720"/>
        <w:contextualSpacing/>
        <w:rPr>
          <w:rFonts w:ascii="Arial" w:eastAsia="Times New Roman" w:hAnsi="Arial" w:cs="Arial"/>
          <w:szCs w:val="28"/>
          <w:lang w:val="uk-UA" w:eastAsia="ru-RU"/>
        </w:rPr>
      </w:pPr>
      <w:r w:rsidRPr="00511005">
        <w:rPr>
          <w:rFonts w:ascii="Arial" w:eastAsia="Times New Roman" w:hAnsi="Arial" w:cs="Arial"/>
          <w:b/>
          <w:i/>
          <w:szCs w:val="28"/>
          <w:lang w:val="en-US" w:eastAsia="ru-RU"/>
        </w:rPr>
        <w:t xml:space="preserve">Key words: </w:t>
      </w:r>
      <w:r w:rsidRPr="00511005">
        <w:rPr>
          <w:rFonts w:ascii="Arial" w:eastAsia="Times New Roman" w:hAnsi="Arial" w:cs="Arial"/>
          <w:szCs w:val="28"/>
          <w:lang w:val="en-US" w:eastAsia="ru-RU"/>
        </w:rPr>
        <w:t>photographic identification, forensic science, person identification, photo images, evidence, limitations</w:t>
      </w:r>
      <w:r w:rsidRPr="00511005">
        <w:rPr>
          <w:rFonts w:ascii="Arial" w:eastAsia="Times New Roman" w:hAnsi="Arial" w:cs="Arial"/>
          <w:szCs w:val="28"/>
          <w:lang w:val="uk-UA" w:eastAsia="ru-RU"/>
        </w:rPr>
        <w:t>.</w:t>
      </w:r>
    </w:p>
    <w:p w14:paraId="1C06FCC1" w14:textId="77777777" w:rsidR="00532C25" w:rsidRPr="00511005" w:rsidRDefault="00532C25" w:rsidP="00532C25">
      <w:pPr>
        <w:keepNext/>
        <w:spacing w:line="264" w:lineRule="auto"/>
        <w:ind w:firstLine="720"/>
        <w:rPr>
          <w:rFonts w:ascii="Arial" w:eastAsia="Calibri" w:hAnsi="Arial" w:cs="Arial"/>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i/>
          <w:iCs/>
          <w:szCs w:val="28"/>
        </w:rPr>
        <w:t>д.ю.н., завідувач кафедри, професор Аркуша Л.І.</w:t>
      </w:r>
    </w:p>
    <w:p w14:paraId="531B3BC6" w14:textId="77777777" w:rsidR="00532C25" w:rsidRPr="00511005" w:rsidRDefault="00532C25" w:rsidP="00532C25">
      <w:pPr>
        <w:tabs>
          <w:tab w:val="left" w:pos="993"/>
          <w:tab w:val="left" w:pos="7088"/>
        </w:tabs>
        <w:autoSpaceDE w:val="0"/>
        <w:autoSpaceDN w:val="0"/>
        <w:adjustRightInd w:val="0"/>
        <w:spacing w:line="264" w:lineRule="auto"/>
        <w:ind w:firstLine="720"/>
        <w:contextualSpacing/>
        <w:rPr>
          <w:rFonts w:ascii="Arial" w:eastAsia="Times New Roman" w:hAnsi="Arial" w:cs="Arial"/>
          <w:szCs w:val="28"/>
          <w:lang w:eastAsia="ru-RU" w:bidi="uk-UA"/>
        </w:rPr>
      </w:pPr>
    </w:p>
    <w:p w14:paraId="56D0F598" w14:textId="77777777" w:rsidR="00532C25" w:rsidRPr="00511005" w:rsidRDefault="00532C25" w:rsidP="00532C25">
      <w:pPr>
        <w:spacing w:line="264" w:lineRule="auto"/>
        <w:ind w:firstLine="720"/>
        <w:jc w:val="center"/>
        <w:rPr>
          <w:rFonts w:ascii="Arial" w:eastAsia="Times New Roman" w:hAnsi="Arial" w:cs="Arial"/>
          <w:b/>
          <w:bCs/>
          <w:i/>
          <w:iCs/>
          <w:szCs w:val="28"/>
        </w:rPr>
      </w:pPr>
    </w:p>
    <w:p w14:paraId="296A99D1" w14:textId="77777777" w:rsidR="00532C25" w:rsidRPr="00511005" w:rsidRDefault="00532C25" w:rsidP="00532C25">
      <w:pPr>
        <w:spacing w:line="264" w:lineRule="auto"/>
        <w:ind w:firstLine="720"/>
        <w:jc w:val="center"/>
        <w:rPr>
          <w:rFonts w:ascii="Arial" w:eastAsia="Times New Roman" w:hAnsi="Arial" w:cs="Arial"/>
          <w:szCs w:val="28"/>
          <w:lang w:val="uk-UA"/>
        </w:rPr>
      </w:pPr>
      <w:r w:rsidRPr="00511005">
        <w:rPr>
          <w:rFonts w:ascii="Arial" w:eastAsia="Times New Roman" w:hAnsi="Arial" w:cs="Arial"/>
          <w:b/>
          <w:bCs/>
          <w:i/>
          <w:iCs/>
          <w:szCs w:val="28"/>
          <w:lang w:val="uk-UA"/>
        </w:rPr>
        <w:t>Ринкун Марія Володимирівна</w:t>
      </w:r>
    </w:p>
    <w:p w14:paraId="799BB958" w14:textId="77777777" w:rsidR="00532C25" w:rsidRPr="00511005" w:rsidRDefault="00532C25" w:rsidP="00532C25">
      <w:pPr>
        <w:spacing w:line="264" w:lineRule="auto"/>
        <w:ind w:firstLine="72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3-го курсу факультету судового та міжнародного права Національного університету «Одеська юридична академія» </w:t>
      </w:r>
    </w:p>
    <w:p w14:paraId="66225DAD" w14:textId="77777777" w:rsidR="00532C25" w:rsidRPr="00511005" w:rsidRDefault="00532C25" w:rsidP="00532C25">
      <w:pPr>
        <w:spacing w:line="264" w:lineRule="auto"/>
        <w:ind w:firstLine="720"/>
        <w:jc w:val="center"/>
        <w:rPr>
          <w:rFonts w:ascii="Arial" w:eastAsia="Times New Roman" w:hAnsi="Arial" w:cs="Arial"/>
          <w:szCs w:val="28"/>
          <w:lang w:val="uk-UA"/>
        </w:rPr>
      </w:pPr>
    </w:p>
    <w:p w14:paraId="4F70A7AA" w14:textId="77777777" w:rsidR="00532C25" w:rsidRPr="00511005" w:rsidRDefault="00532C25" w:rsidP="00532C25">
      <w:pPr>
        <w:spacing w:line="264" w:lineRule="auto"/>
        <w:ind w:firstLine="720"/>
        <w:jc w:val="center"/>
        <w:rPr>
          <w:rFonts w:ascii="Arial" w:eastAsia="Times New Roman" w:hAnsi="Arial" w:cs="Arial"/>
          <w:b/>
          <w:bCs/>
          <w:szCs w:val="28"/>
          <w:lang w:val="uk-UA"/>
        </w:rPr>
      </w:pPr>
      <w:r w:rsidRPr="00511005">
        <w:rPr>
          <w:rFonts w:ascii="Arial" w:eastAsia="Times New Roman" w:hAnsi="Arial" w:cs="Arial"/>
          <w:b/>
          <w:bCs/>
          <w:szCs w:val="28"/>
        </w:rPr>
        <w:t>АНАЛІЗ РІШЕННЯ ЄВРОПЕЙСЬКОГО СУДУ З ПРАВ ЛЮДИНИ У СПРАВІ «JELLOH V. GERMANY» (2006) ЩОДО ВИКОРИСТАННЯ ПОЛІГРАФУ В КРИМІНАЛЬНОМУ ПРОЦЕСІ</w:t>
      </w:r>
    </w:p>
    <w:p w14:paraId="2FDCFB3A"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Поліграфологічне дослідження є одним із методів психофізіологічної експертизи, що застосовується для оцінки достовірності інформації, наданої особою, шляхом фіксації фізіологічних змін організму в результаті певних психоемоційних реакцій. Метод заснований на реєстрації параметрів, таких як частота серцевих скорочень, артеріальний тиск, дихання та електрична провідність шкіри, які можуть змінюватися під впливом стресових або емоційних реакцій на запитання, що ставляться. Однак, незважаючи на широку популярність використання поліграфу в кримінальних розслідуваннях, його застосування як доказового інструменту викликає численні правові, етичні та наукові суперечки.</w:t>
      </w:r>
    </w:p>
    <w:p w14:paraId="4B9EAB1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rPr>
        <w:t>Особливий інтерес становить питання правового статусу результатів поліграфічних досліджень у контексті кримінального процесу, зокрема в аспекті їх допустимості як доказів у судовому розгляді. Сумнівність у точності та надійності поліграфа ставить під питання його здатність бути достатнім доказовим інструментом, здатним впливати на рішення суду.</w:t>
      </w:r>
    </w:p>
    <w:p w14:paraId="2115CAE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Times New Roman" w:hAnsi="Arial" w:cs="Arial"/>
          <w:szCs w:val="28"/>
          <w:lang w:val="uk-UA"/>
        </w:rPr>
        <w:t>У цьому контексті рішення Європейського суду з прав людини у справі Jalloh v. Germany (2006) має важливе значення для формулювання правової позиції щодо використання результатів поліграфічних тестувань як доказів у кримінальних справах. Суд розглядав питання, чи є застосування поліграфа порушенням прав людини, зокрема права на недоторканність особистого життя та права на справедливий судовий процес.</w:t>
      </w:r>
    </w:p>
    <w:p w14:paraId="5C16A376"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lastRenderedPageBreak/>
        <w:t>У кримінальному процесі питання використання результатів поліграфічних тестів як доказів часто розглядається з урахуванням їхньої наукової обґрунтованості та достовірності. Існують серйозні сумніви щодо здатності поліграфа надавати точні й об'єктивні результати, оскільки фізіологічні реакції на стрес можуть бути викликані не лише брехнею, а й іншими факторами, такими як тривога, нервозність чи страх. Тому важливою проблемою є питання правової допустимості результатів поліграфічних тестувань як доказів у судовому процесі, оскільки їх надійність і точність можуть бути поставлені під сумнів, що ставить під загрозу забезпечення правосуддя. У багатьох країнах, зокрема в США, застосування поліграфа в кримінальних провадженнях регулюється спеціальними нормами. Наприклад, заборонено використовувати результати тестів на поліграфі як доказ у суді без згоди обвинуваченого, що, в свою чергу, викликає питання про добровільність участі у таких процедурах і їх правовий статус. Водночас, у деяких юрисдикціях поліграф може бути використаний як допоміжний інструмент при проведенні розслідувань, однак результати не можуть бути прийняті як основний доказ [1].</w:t>
      </w:r>
    </w:p>
    <w:p w14:paraId="6B89DD00"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Times New Roman" w:hAnsi="Arial" w:cs="Arial"/>
          <w:szCs w:val="28"/>
          <w:lang w:val="uk-UA"/>
        </w:rPr>
        <w:t xml:space="preserve">Особливу увагу до питання використання поліграфа в кримінальних процесах привертає справа Jalloh v. Germany, яку розглядав Європейський суд з прав людини. У цьому випадку йшлося про застосування поліграфа до обвинуваченого в рамках кримінального процесу в Німеччині. Особа була піддана поліграфічному тестуванню без попереднього погодження, що, на думку захисту, становило порушення її прав, зокрема права на недоторканність особистого життя і права на справедливий судовий процес [2]. ЄСПЛ у своєму рішенні наголосив на важливості захисту особистих прав під час кримінального розслідування, зокрема права на свободу від примусу до участі в доказових процедурах, таких як поліграфічне тестування. Суд зазначив, що використання поліграфа може бути допустимим лише в умовах, коли особа не піддається психологічному чи фізичному тиску, і коли результат тесту не стає єдиним вирішальним доказом у справі. Водночас, в рішення ЄСПЛ зазначено, що застосування таких методів повинно відповідати принципу пропорційності та бути обґрунтованим необхідністю в конкретному випадку [2]. У своїй постанові ЄСПЛ вказав, що застосування поліграфологічного тесту без явної згоди обвинуваченого може порушувати принципи, закріплені в Європейській конвенції з прав людини, зокрема права на свободу від жорстокого, нелюдського чи принижуючого ставлення (стаття 3) та права на справедливий суд (стаття 6). ЄСПЛ звернув увагу на те, що результат поліграфа не є безперечним і може бути викривлений через психологічні реакції підозрюваного. Відповідно, використання результатів таких тестів як основних доказів в судовому процесі є неприпустимим, якщо не можна забезпечити повну прозорість та добровільність участі особи в процесі тестування. У контексті цього рішення ЄСПЛ визначив, що хоча </w:t>
      </w:r>
      <w:r w:rsidRPr="00511005">
        <w:rPr>
          <w:rFonts w:ascii="Arial" w:eastAsia="Times New Roman" w:hAnsi="Arial" w:cs="Arial"/>
          <w:szCs w:val="28"/>
          <w:lang w:val="uk-UA"/>
        </w:rPr>
        <w:lastRenderedPageBreak/>
        <w:t>поліграф може бути використаний як додатковий інструмент у кримінальних розслідуваннях, його результати не можуть вважатися достатнім доказом для прийняття судового рішення. Суд також підкреслив необхідність застосування чітких правових норм для регулювання використання таких методів з огляду на забезпечення прав людини</w:t>
      </w:r>
      <w:r w:rsidRPr="00511005">
        <w:rPr>
          <w:rFonts w:ascii="Arial" w:eastAsia="Times New Roman" w:hAnsi="Arial" w:cs="Arial"/>
          <w:szCs w:val="28"/>
        </w:rPr>
        <w:t xml:space="preserve"> [2].</w:t>
      </w:r>
    </w:p>
    <w:p w14:paraId="22F041DD"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Тим не менш рішення ЄСПЛ у справі Jalloh v. Germany є важливим етапом у розвитку правових стандартів щодо використання психофізіологічних методів, зокрема поліграфічного тестування, в кримінальному процесі. Це рішення підтверджує, що застосування такого методу повинно відбуватися в межах закону та з урахуванням прав людини, зокрема права на недоторканність особистого життя та права на справедливий судовий процес. Використання результатів поліграфа як доказів не повинно бути автоматичним, а має підлягати ретельній перевірці на відповідність вимогам законності та правової обґрунтованості.</w:t>
      </w:r>
    </w:p>
    <w:p w14:paraId="761B6E4F" w14:textId="77777777" w:rsidR="00532C25" w:rsidRPr="00511005" w:rsidRDefault="00532C25" w:rsidP="00532C25">
      <w:pPr>
        <w:spacing w:line="264" w:lineRule="auto"/>
        <w:ind w:firstLine="720"/>
        <w:rPr>
          <w:rFonts w:ascii="Arial" w:eastAsia="Times New Roman" w:hAnsi="Arial" w:cs="Arial"/>
          <w:szCs w:val="28"/>
        </w:rPr>
      </w:pPr>
    </w:p>
    <w:p w14:paraId="1563C14A" w14:textId="77777777" w:rsidR="00532C25" w:rsidRPr="00511005" w:rsidRDefault="00532C25" w:rsidP="00532C25">
      <w:pPr>
        <w:spacing w:line="264" w:lineRule="auto"/>
        <w:ind w:firstLine="72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2EFAFFA3"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uk-UA"/>
        </w:rPr>
        <w:t>1.</w:t>
      </w:r>
      <w:r w:rsidRPr="00511005">
        <w:rPr>
          <w:rFonts w:ascii="Arial" w:eastAsia="Times New Roman" w:hAnsi="Arial" w:cs="Arial"/>
          <w:szCs w:val="28"/>
          <w:lang w:val="en-US"/>
        </w:rPr>
        <w:t xml:space="preserve"> United States v. Scheffer, 523 U.S. 303 (1998). Retrieved from https://www.law.cornell.edu/supremecourt/text/523/303.</w:t>
      </w:r>
    </w:p>
    <w:p w14:paraId="6E2DDC31"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uk-UA"/>
        </w:rPr>
        <w:t xml:space="preserve">2. </w:t>
      </w:r>
      <w:r w:rsidRPr="00511005">
        <w:rPr>
          <w:rFonts w:ascii="Arial" w:eastAsia="Times New Roman" w:hAnsi="Arial" w:cs="Arial"/>
          <w:szCs w:val="28"/>
          <w:lang w:val="en-US"/>
        </w:rPr>
        <w:t xml:space="preserve">Jalloh v. Germany, Application No. 54810/00, Judgment of 11 July 2006, Європейський суд з прав людини, </w:t>
      </w:r>
      <w:r w:rsidR="005938AD">
        <w:fldChar w:fldCharType="begin"/>
      </w:r>
      <w:r w:rsidR="005938AD" w:rsidRPr="00055389">
        <w:rPr>
          <w:lang w:val="en-US"/>
        </w:rPr>
        <w:instrText xml:space="preserve"> HYPERLINK "https://hudoc.echr.coe.int" \h </w:instrText>
      </w:r>
      <w:r w:rsidR="005938AD">
        <w:fldChar w:fldCharType="separate"/>
      </w:r>
      <w:r w:rsidRPr="00511005">
        <w:rPr>
          <w:rFonts w:ascii="Arial" w:eastAsia="Times New Roman" w:hAnsi="Arial" w:cs="Arial"/>
          <w:szCs w:val="28"/>
          <w:lang w:val="en-US"/>
        </w:rPr>
        <w:t>https://hudoc.echr.coe.int</w:t>
      </w:r>
      <w:r w:rsidR="005938AD">
        <w:rPr>
          <w:rFonts w:ascii="Arial" w:eastAsia="Times New Roman" w:hAnsi="Arial" w:cs="Arial"/>
          <w:szCs w:val="28"/>
          <w:lang w:val="en-US"/>
        </w:rPr>
        <w:fldChar w:fldCharType="end"/>
      </w:r>
      <w:r w:rsidRPr="00511005">
        <w:rPr>
          <w:rFonts w:ascii="Arial" w:eastAsia="Times New Roman" w:hAnsi="Arial" w:cs="Arial"/>
          <w:szCs w:val="28"/>
          <w:lang w:val="en-US"/>
        </w:rPr>
        <w:t>.</w:t>
      </w:r>
    </w:p>
    <w:p w14:paraId="706524AE"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uk-UA"/>
        </w:rPr>
        <w:t xml:space="preserve">3. </w:t>
      </w:r>
      <w:r w:rsidRPr="00511005">
        <w:rPr>
          <w:rFonts w:ascii="Arial" w:eastAsia="Times New Roman" w:hAnsi="Arial" w:cs="Arial"/>
          <w:szCs w:val="28"/>
          <w:lang w:val="en-US"/>
        </w:rPr>
        <w:t>Walker, D., &amp; Young, J. (2015). The Use of Polygraph Testing in Criminal Investigations. Oxford University Press.</w:t>
      </w:r>
    </w:p>
    <w:p w14:paraId="733D222A" w14:textId="77777777" w:rsidR="00532C25" w:rsidRPr="00511005" w:rsidRDefault="00532C25" w:rsidP="00532C25">
      <w:pPr>
        <w:spacing w:line="264" w:lineRule="auto"/>
        <w:ind w:firstLine="720"/>
        <w:rPr>
          <w:rFonts w:ascii="Arial" w:eastAsia="Times New Roman" w:hAnsi="Arial" w:cs="Arial"/>
          <w:szCs w:val="28"/>
          <w:lang w:val="uk-UA"/>
        </w:rPr>
      </w:pPr>
    </w:p>
    <w:p w14:paraId="0B54A850"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Pr="00511005">
        <w:rPr>
          <w:rFonts w:ascii="Arial" w:eastAsia="Times New Roman" w:hAnsi="Arial" w:cs="Arial"/>
          <w:szCs w:val="28"/>
          <w:lang w:val="uk-UA"/>
        </w:rPr>
        <w:t xml:space="preserve">поліграф, ЄСПЛ, кримінальний процес, доказ, психофізіологія, права людини, поліграфологічний тест. </w:t>
      </w:r>
    </w:p>
    <w:p w14:paraId="49C9ACB3" w14:textId="77777777" w:rsidR="00532C25" w:rsidRPr="00511005" w:rsidRDefault="00532C25" w:rsidP="00532C25">
      <w:pPr>
        <w:spacing w:line="264" w:lineRule="auto"/>
        <w:ind w:firstLine="720"/>
        <w:rPr>
          <w:rFonts w:ascii="Arial" w:eastAsia="Times New Roman" w:hAnsi="Arial" w:cs="Arial"/>
          <w:szCs w:val="28"/>
          <w:lang w:val="uk-UA"/>
        </w:rPr>
      </w:pPr>
      <w:r w:rsidRPr="00511005">
        <w:rPr>
          <w:rFonts w:ascii="Arial" w:eastAsia="Times New Roman" w:hAnsi="Arial" w:cs="Arial"/>
          <w:b/>
          <w:bCs/>
          <w:i/>
          <w:szCs w:val="28"/>
          <w:lang w:val="en-US"/>
        </w:rPr>
        <w:t xml:space="preserve">Key words: </w:t>
      </w:r>
      <w:r w:rsidRPr="00511005">
        <w:rPr>
          <w:rFonts w:ascii="Arial" w:eastAsia="Times New Roman" w:hAnsi="Arial" w:cs="Arial"/>
          <w:szCs w:val="28"/>
          <w:lang w:val="en-US"/>
        </w:rPr>
        <w:t>polygraph, ECHR, criminal procedure, evidence, psychophysiology, human rights, polygraph test.</w:t>
      </w:r>
    </w:p>
    <w:p w14:paraId="58F32C3D" w14:textId="77777777" w:rsidR="00532C25" w:rsidRPr="00511005" w:rsidRDefault="00532C25" w:rsidP="00532C25">
      <w:pPr>
        <w:spacing w:line="264" w:lineRule="auto"/>
        <w:ind w:firstLine="72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Pr="00511005">
        <w:rPr>
          <w:rFonts w:ascii="Arial" w:eastAsia="Times New Roman" w:hAnsi="Arial" w:cs="Arial"/>
          <w:i/>
          <w:iCs/>
          <w:szCs w:val="28"/>
          <w:lang w:val="uk-UA"/>
        </w:rPr>
        <w:t>доктор філософії, доцент Чернов О.В.</w:t>
      </w:r>
    </w:p>
    <w:p w14:paraId="03F4F881" w14:textId="77777777" w:rsidR="00532C25" w:rsidRPr="00511005" w:rsidRDefault="00532C25" w:rsidP="00532C25">
      <w:pPr>
        <w:spacing w:line="264" w:lineRule="auto"/>
        <w:ind w:firstLine="720"/>
        <w:jc w:val="left"/>
        <w:rPr>
          <w:rFonts w:ascii="Arial" w:eastAsia="Calibri" w:hAnsi="Arial" w:cs="Arial"/>
          <w:szCs w:val="28"/>
          <w:lang w:val="uk-UA"/>
        </w:rPr>
      </w:pPr>
    </w:p>
    <w:p w14:paraId="67EE2642" w14:textId="77777777" w:rsidR="00532C25" w:rsidRPr="00511005" w:rsidRDefault="00532C25" w:rsidP="00532C25">
      <w:pPr>
        <w:tabs>
          <w:tab w:val="left" w:pos="7088"/>
        </w:tabs>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bidi="uk-UA"/>
        </w:rPr>
        <w:t>Рисюк Анна Юріївна</w:t>
      </w:r>
    </w:p>
    <w:p w14:paraId="363E9110" w14:textId="77777777" w:rsidR="00532C25" w:rsidRPr="00511005" w:rsidRDefault="00532C25" w:rsidP="00532C25">
      <w:pPr>
        <w:tabs>
          <w:tab w:val="left" w:pos="7088"/>
        </w:tabs>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bidi="uk-UA"/>
        </w:rPr>
        <w:t>студентка 2-го курсу факультету цивільної та господарської юстиції</w:t>
      </w:r>
    </w:p>
    <w:p w14:paraId="194FD98C" w14:textId="77777777" w:rsidR="00532C25" w:rsidRPr="00511005" w:rsidRDefault="00532C25" w:rsidP="00532C25">
      <w:pPr>
        <w:tabs>
          <w:tab w:val="left" w:pos="7088"/>
        </w:tabs>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bidi="uk-UA"/>
        </w:rPr>
        <w:t>Національного університету «Одеська юридична академія»</w:t>
      </w:r>
    </w:p>
    <w:p w14:paraId="27599552" w14:textId="77777777" w:rsidR="00532C25" w:rsidRPr="00511005" w:rsidRDefault="00532C25" w:rsidP="00532C25">
      <w:pPr>
        <w:tabs>
          <w:tab w:val="left" w:pos="7088"/>
        </w:tabs>
        <w:spacing w:line="264" w:lineRule="auto"/>
        <w:ind w:firstLine="720"/>
        <w:jc w:val="center"/>
        <w:rPr>
          <w:rFonts w:ascii="Arial" w:eastAsia="Calibri" w:hAnsi="Arial" w:cs="Arial"/>
          <w:szCs w:val="28"/>
          <w:lang w:bidi="uk-UA"/>
        </w:rPr>
      </w:pPr>
    </w:p>
    <w:p w14:paraId="32C22CE0" w14:textId="77777777" w:rsidR="00532C25" w:rsidRPr="00511005" w:rsidRDefault="00532C25" w:rsidP="00532C25">
      <w:pPr>
        <w:tabs>
          <w:tab w:val="left" w:pos="7088"/>
        </w:tabs>
        <w:spacing w:line="264" w:lineRule="auto"/>
        <w:ind w:firstLine="720"/>
        <w:jc w:val="center"/>
        <w:rPr>
          <w:rFonts w:ascii="Arial" w:eastAsia="Calibri" w:hAnsi="Arial" w:cs="Arial"/>
          <w:szCs w:val="28"/>
        </w:rPr>
      </w:pPr>
      <w:r w:rsidRPr="00511005">
        <w:rPr>
          <w:rFonts w:ascii="Arial" w:eastAsia="Calibri" w:hAnsi="Arial" w:cs="Arial"/>
          <w:b/>
          <w:szCs w:val="28"/>
          <w:lang w:bidi="uk-UA"/>
        </w:rPr>
        <w:t>ПСИХОЛОГІЧНІ АСПЕКТИ КРИМІНАЛІСТИЧНОГО ДОПИТУ</w:t>
      </w:r>
    </w:p>
    <w:p w14:paraId="5E406F28" w14:textId="77777777" w:rsidR="00532C25" w:rsidRPr="00511005" w:rsidRDefault="00532C25" w:rsidP="00532C25">
      <w:pPr>
        <w:tabs>
          <w:tab w:val="left" w:pos="7088"/>
        </w:tabs>
        <w:spacing w:line="264" w:lineRule="auto"/>
        <w:ind w:firstLine="720"/>
        <w:rPr>
          <w:rFonts w:ascii="Arial" w:eastAsia="Calibri" w:hAnsi="Arial" w:cs="Arial"/>
          <w:szCs w:val="28"/>
        </w:rPr>
      </w:pPr>
      <w:r w:rsidRPr="00511005">
        <w:rPr>
          <w:rFonts w:ascii="Arial" w:eastAsia="Calibri" w:hAnsi="Arial" w:cs="Arial"/>
          <w:szCs w:val="28"/>
          <w:lang w:val="uk-UA" w:bidi="uk-UA"/>
        </w:rPr>
        <w:t>Криміналістичний допит – це одна з центральних слідчих дій, яка відіграє важливу роль у встановленні істини у кримінальному провадженні. Його ефективність залежить не лише від правових знань слідчого чи прокурора, а й значною мірою – від уміння використовувати психологічні прийоми, враховувати індивідуально-психологічні особливості допитуваної особи, дотримуватись етичних меж впливу на її поведінку. Таким чином, психологія є невіддільною частиною криміналістики, зокрема в сфері допиту.</w:t>
      </w:r>
    </w:p>
    <w:p w14:paraId="68F52CF1"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bidi="uk-UA"/>
        </w:rPr>
        <w:lastRenderedPageBreak/>
        <w:t>Допит – це форма отримання інформації шляхом комунікативного контакту між слідчим (або іншою уповноваженою особою) та особою, яка володіє відомостями, що мають значення для кримінального провадження. Ця дія вимагає чіткого врахування факторів психологічного впливу, серед яких – емоційний стан допитуваного, його рівень тривожності, мотивація, схильність до правдивості або ухилення від відповідей [1].</w:t>
      </w:r>
    </w:p>
    <w:p w14:paraId="20CA0A78" w14:textId="77777777" w:rsidR="00532C25" w:rsidRPr="00511005" w:rsidRDefault="00532C25" w:rsidP="00532C25">
      <w:pPr>
        <w:tabs>
          <w:tab w:val="left" w:pos="7088"/>
        </w:tabs>
        <w:spacing w:line="264" w:lineRule="auto"/>
        <w:ind w:firstLine="720"/>
        <w:rPr>
          <w:rFonts w:ascii="Arial" w:eastAsia="Calibri" w:hAnsi="Arial" w:cs="Arial"/>
          <w:szCs w:val="28"/>
        </w:rPr>
      </w:pPr>
      <w:r w:rsidRPr="00511005">
        <w:rPr>
          <w:rFonts w:ascii="Arial" w:eastAsia="Calibri" w:hAnsi="Arial" w:cs="Arial"/>
          <w:szCs w:val="28"/>
          <w:lang w:val="uk-UA" w:bidi="uk-UA"/>
        </w:rPr>
        <w:t xml:space="preserve">Одним з основних психологічних чинників, які впливають на успішність допиту, є </w:t>
      </w:r>
      <w:r w:rsidRPr="00511005">
        <w:rPr>
          <w:rFonts w:ascii="Arial" w:eastAsia="Calibri" w:hAnsi="Arial" w:cs="Arial"/>
          <w:bCs/>
          <w:szCs w:val="28"/>
          <w:lang w:val="uk-UA" w:bidi="uk-UA"/>
        </w:rPr>
        <w:t>установлення психологічного контакту</w:t>
      </w:r>
      <w:r w:rsidRPr="00511005">
        <w:rPr>
          <w:rFonts w:ascii="Arial" w:eastAsia="Calibri" w:hAnsi="Arial" w:cs="Arial"/>
          <w:szCs w:val="28"/>
          <w:lang w:val="uk-UA" w:bidi="uk-UA"/>
        </w:rPr>
        <w:t xml:space="preserve"> між слідчим і допитуваним. Без довіри, відкритості й комунікативної готовності допитуваної особи ефективне отримання достовірної інформації є практично неможливим. Слідчий повинен проявити емпатію, ввічливість, терплячість, але водночас тримати психологічну ініціативу. Контакт встановлюється через мову тіла, інтонації, коректні запитання і уникнення надмірного тиску.</w:t>
      </w:r>
    </w:p>
    <w:p w14:paraId="02006D2C" w14:textId="77777777" w:rsidR="00532C25" w:rsidRPr="00511005" w:rsidRDefault="00532C25" w:rsidP="00532C25">
      <w:pPr>
        <w:tabs>
          <w:tab w:val="left" w:pos="7088"/>
        </w:tabs>
        <w:spacing w:line="264" w:lineRule="auto"/>
        <w:ind w:firstLine="720"/>
        <w:rPr>
          <w:rFonts w:ascii="Arial" w:eastAsia="Calibri" w:hAnsi="Arial" w:cs="Arial"/>
          <w:szCs w:val="28"/>
        </w:rPr>
      </w:pPr>
      <w:r w:rsidRPr="00511005">
        <w:rPr>
          <w:rFonts w:ascii="Arial" w:eastAsia="Calibri" w:hAnsi="Arial" w:cs="Arial"/>
          <w:szCs w:val="28"/>
          <w:lang w:val="uk-UA" w:bidi="uk-UA"/>
        </w:rPr>
        <w:t xml:space="preserve">Неможливо не згадати про </w:t>
      </w:r>
      <w:r w:rsidRPr="00511005">
        <w:rPr>
          <w:rFonts w:ascii="Arial" w:eastAsia="Calibri" w:hAnsi="Arial" w:cs="Arial"/>
          <w:bCs/>
          <w:szCs w:val="28"/>
          <w:lang w:val="uk-UA" w:bidi="uk-UA"/>
        </w:rPr>
        <w:t>мотиваційні фактори</w:t>
      </w:r>
      <w:r w:rsidRPr="00511005">
        <w:rPr>
          <w:rFonts w:ascii="Arial" w:eastAsia="Calibri" w:hAnsi="Arial" w:cs="Arial"/>
          <w:szCs w:val="28"/>
          <w:lang w:val="uk-UA" w:bidi="uk-UA"/>
        </w:rPr>
        <w:t>, які спонукають особу до співпраці або, навпаки, до приховування істини. Психологічна модель допитуваної особи допомагає зрозуміти, які саме аргументи можуть вплинути на її поведінку. Наприклад, свідка може спонукати бажання допомогти, відчуття громадянського обов’язку або страх перед відповідальністю за приховування фактів. Обвинуваченого ж, навпаки, можуть мотивувати почуття провини, сподівання на пом’якшення покарання або прагнення виправдати себе перед близькими.</w:t>
      </w:r>
    </w:p>
    <w:p w14:paraId="6568E0B6" w14:textId="77777777" w:rsidR="00532C25" w:rsidRPr="00511005" w:rsidRDefault="00532C25" w:rsidP="00532C25">
      <w:pPr>
        <w:tabs>
          <w:tab w:val="left" w:pos="7088"/>
        </w:tabs>
        <w:spacing w:line="264" w:lineRule="auto"/>
        <w:ind w:firstLine="720"/>
        <w:rPr>
          <w:rFonts w:ascii="Arial" w:eastAsia="Calibri" w:hAnsi="Arial" w:cs="Arial"/>
          <w:szCs w:val="28"/>
        </w:rPr>
      </w:pPr>
      <w:r w:rsidRPr="00511005">
        <w:rPr>
          <w:rFonts w:ascii="Arial" w:eastAsia="Calibri" w:hAnsi="Arial" w:cs="Arial"/>
          <w:szCs w:val="28"/>
          <w:lang w:val="uk-UA" w:bidi="uk-UA"/>
        </w:rPr>
        <w:t xml:space="preserve">Значну роль відіграє також </w:t>
      </w:r>
      <w:r w:rsidRPr="00511005">
        <w:rPr>
          <w:rFonts w:ascii="Arial" w:eastAsia="Calibri" w:hAnsi="Arial" w:cs="Arial"/>
          <w:bCs/>
          <w:szCs w:val="28"/>
          <w:lang w:val="uk-UA" w:bidi="uk-UA"/>
        </w:rPr>
        <w:t>емоційна саморегуляція слідчого</w:t>
      </w:r>
      <w:r w:rsidRPr="00511005">
        <w:rPr>
          <w:rFonts w:ascii="Arial" w:eastAsia="Calibri" w:hAnsi="Arial" w:cs="Arial"/>
          <w:szCs w:val="28"/>
          <w:lang w:val="uk-UA" w:bidi="uk-UA"/>
        </w:rPr>
        <w:t>. Уміння зберігати холоднокровність, уникати емоційних конфліктів із підозрюваним або свідком – критично важливе. Агресивна, звинувачувальна манера ведення допиту, навіть якщо вона не переходить межі законності, здатна викликати в допитуваного психологічну блокаду, що призведе до неповноти або викривлення наданої інформації. Особливо це стосується вразливих осіб, таких як неповнолітні або особи з посттравматичним досвідом.</w:t>
      </w:r>
    </w:p>
    <w:p w14:paraId="03819B03" w14:textId="77777777" w:rsidR="00532C25" w:rsidRPr="00511005" w:rsidRDefault="00532C25" w:rsidP="00532C25">
      <w:pPr>
        <w:tabs>
          <w:tab w:val="left" w:pos="7088"/>
        </w:tabs>
        <w:spacing w:line="264" w:lineRule="auto"/>
        <w:ind w:firstLine="720"/>
        <w:rPr>
          <w:rFonts w:ascii="Arial" w:eastAsia="Calibri" w:hAnsi="Arial" w:cs="Arial"/>
          <w:szCs w:val="28"/>
        </w:rPr>
      </w:pPr>
      <w:r w:rsidRPr="00511005">
        <w:rPr>
          <w:rFonts w:ascii="Arial" w:eastAsia="Calibri" w:hAnsi="Arial" w:cs="Arial"/>
          <w:szCs w:val="28"/>
          <w:lang w:val="uk-UA" w:bidi="uk-UA"/>
        </w:rPr>
        <w:t xml:space="preserve">Крім того, слід враховувати </w:t>
      </w:r>
      <w:r w:rsidRPr="00511005">
        <w:rPr>
          <w:rFonts w:ascii="Arial" w:eastAsia="Calibri" w:hAnsi="Arial" w:cs="Arial"/>
          <w:bCs/>
          <w:szCs w:val="28"/>
          <w:lang w:val="uk-UA" w:bidi="uk-UA"/>
        </w:rPr>
        <w:t>типи психологічного реагування</w:t>
      </w:r>
      <w:r w:rsidRPr="00511005">
        <w:rPr>
          <w:rFonts w:ascii="Arial" w:eastAsia="Calibri" w:hAnsi="Arial" w:cs="Arial"/>
          <w:szCs w:val="28"/>
          <w:lang w:val="uk-UA" w:bidi="uk-UA"/>
        </w:rPr>
        <w:t>: деякі особи в умовах допиту демонструють активну протидію, інші – пасивність або готовність погоджуватися з будь-якими твердженнями слідчого. У зв’язку з цим важливо адаптувати тактику допиту залежно від психотипу людини: агресивних осіб потрібно «заземлювати», пасивних – стимулювати, а занадто поступливих – перевіряти на правдивість через уточнюючі запитання [3].</w:t>
      </w:r>
    </w:p>
    <w:p w14:paraId="1E2473FF" w14:textId="77777777" w:rsidR="00532C25" w:rsidRPr="00511005" w:rsidRDefault="00532C25" w:rsidP="00532C25">
      <w:pPr>
        <w:tabs>
          <w:tab w:val="left" w:pos="7088"/>
        </w:tabs>
        <w:spacing w:line="264" w:lineRule="auto"/>
        <w:ind w:firstLine="720"/>
        <w:rPr>
          <w:rFonts w:ascii="Arial" w:eastAsia="Calibri" w:hAnsi="Arial" w:cs="Arial"/>
          <w:szCs w:val="28"/>
        </w:rPr>
      </w:pPr>
      <w:r w:rsidRPr="00511005">
        <w:rPr>
          <w:rFonts w:ascii="Arial" w:eastAsia="Calibri" w:hAnsi="Arial" w:cs="Arial"/>
          <w:szCs w:val="28"/>
          <w:lang w:val="uk-UA" w:bidi="uk-UA"/>
        </w:rPr>
        <w:t xml:space="preserve">Успішний допит також вимагає </w:t>
      </w:r>
      <w:r w:rsidRPr="00511005">
        <w:rPr>
          <w:rFonts w:ascii="Arial" w:eastAsia="Calibri" w:hAnsi="Arial" w:cs="Arial"/>
          <w:bCs/>
          <w:szCs w:val="28"/>
          <w:lang w:val="uk-UA" w:bidi="uk-UA"/>
        </w:rPr>
        <w:t>знання механізмів пам’яті та сприйняття</w:t>
      </w:r>
      <w:r w:rsidRPr="00511005">
        <w:rPr>
          <w:rFonts w:ascii="Arial" w:eastAsia="Calibri" w:hAnsi="Arial" w:cs="Arial"/>
          <w:szCs w:val="28"/>
          <w:lang w:val="uk-UA" w:bidi="uk-UA"/>
        </w:rPr>
        <w:t>. Людська пам’ять не є ідеальним записом подій – вона селективна, піддається впливу емоцій, часу, зовнішніх установок. Тому допит слід проводити з використанням уточнюючих питань, але без навіювання або тиску. Інакше є ризик сформувати у свідка «помилкові спогади», які будуть визнані недопустимими доказами.</w:t>
      </w:r>
    </w:p>
    <w:p w14:paraId="7782B00F" w14:textId="77777777" w:rsidR="00532C25" w:rsidRPr="00511005" w:rsidRDefault="00532C25" w:rsidP="00532C25">
      <w:pPr>
        <w:tabs>
          <w:tab w:val="left" w:pos="7088"/>
        </w:tabs>
        <w:spacing w:line="264" w:lineRule="auto"/>
        <w:ind w:firstLine="720"/>
        <w:rPr>
          <w:rFonts w:ascii="Arial" w:eastAsia="Calibri" w:hAnsi="Arial" w:cs="Arial"/>
          <w:szCs w:val="28"/>
        </w:rPr>
      </w:pPr>
      <w:r w:rsidRPr="00511005">
        <w:rPr>
          <w:rFonts w:ascii="Arial" w:eastAsia="Calibri" w:hAnsi="Arial" w:cs="Arial"/>
          <w:szCs w:val="28"/>
          <w:lang w:val="uk-UA" w:bidi="uk-UA"/>
        </w:rPr>
        <w:lastRenderedPageBreak/>
        <w:t xml:space="preserve">Важливою частиною підготовки до допиту є також </w:t>
      </w:r>
      <w:r w:rsidRPr="00511005">
        <w:rPr>
          <w:rFonts w:ascii="Arial" w:eastAsia="Calibri" w:hAnsi="Arial" w:cs="Arial"/>
          <w:bCs/>
          <w:szCs w:val="28"/>
          <w:lang w:val="uk-UA" w:bidi="uk-UA"/>
        </w:rPr>
        <w:t>аналіз невербальної поведінки</w:t>
      </w:r>
      <w:r w:rsidRPr="00511005">
        <w:rPr>
          <w:rFonts w:ascii="Arial" w:eastAsia="Calibri" w:hAnsi="Arial" w:cs="Arial"/>
          <w:szCs w:val="28"/>
          <w:lang w:val="uk-UA" w:bidi="uk-UA"/>
        </w:rPr>
        <w:t xml:space="preserve"> допитуваної особи. Психологи вказують, що жести, міміка, положення тіла, інтонації можуть свідчити про емоційний стан, щирість або небажання розкривати правду. Проте ці ознаки не можуть бути підставою для однозначних висновків, оскільки часто мають індивідуальне забарвлення. Але вони є корисним інструментом для слідчого, який використовує їх для коригування тактики допиту в режимі реального часу.</w:t>
      </w:r>
    </w:p>
    <w:p w14:paraId="6BA93904" w14:textId="77777777" w:rsidR="00532C25" w:rsidRPr="00511005" w:rsidRDefault="00532C25" w:rsidP="00532C25">
      <w:pPr>
        <w:tabs>
          <w:tab w:val="left" w:pos="7088"/>
        </w:tabs>
        <w:spacing w:line="264" w:lineRule="auto"/>
        <w:ind w:firstLine="720"/>
        <w:rPr>
          <w:rFonts w:ascii="Arial" w:eastAsia="Calibri" w:hAnsi="Arial" w:cs="Arial"/>
          <w:szCs w:val="28"/>
        </w:rPr>
      </w:pPr>
      <w:r w:rsidRPr="00511005">
        <w:rPr>
          <w:rFonts w:ascii="Arial" w:eastAsia="Calibri" w:hAnsi="Arial" w:cs="Arial"/>
          <w:szCs w:val="28"/>
          <w:lang w:val="uk-UA" w:bidi="uk-UA"/>
        </w:rPr>
        <w:t xml:space="preserve">Сучасна криміналістика визнає ефективність </w:t>
      </w:r>
      <w:r w:rsidRPr="00511005">
        <w:rPr>
          <w:rFonts w:ascii="Arial" w:eastAsia="Calibri" w:hAnsi="Arial" w:cs="Arial"/>
          <w:bCs/>
          <w:szCs w:val="28"/>
          <w:lang w:val="uk-UA" w:bidi="uk-UA"/>
        </w:rPr>
        <w:t>когнітивного допиту</w:t>
      </w:r>
      <w:r w:rsidRPr="00511005">
        <w:rPr>
          <w:rFonts w:ascii="Arial" w:eastAsia="Calibri" w:hAnsi="Arial" w:cs="Arial"/>
          <w:szCs w:val="28"/>
          <w:lang w:val="uk-UA" w:bidi="uk-UA"/>
        </w:rPr>
        <w:t>, який полягає у створенні таких умов, що сприяють спонтанному та повному згадуванню подій. Такий підхід передбачає використання візуалізації, переказ події в зворотному порядку, опис емоційних реакцій. Ця методика базується на нейропсихологічних дослідженнях і довела свою ефективність, зокрема в роботі з дітьми, жертвами насильства та особами, які перебувають у шоковому стані</w:t>
      </w:r>
      <w:r w:rsidRPr="00511005">
        <w:rPr>
          <w:rFonts w:ascii="Arial" w:eastAsia="Calibri" w:hAnsi="Arial" w:cs="Arial"/>
          <w:szCs w:val="28"/>
          <w:lang w:bidi="uk-UA"/>
        </w:rPr>
        <w:t xml:space="preserve"> [2]</w:t>
      </w:r>
      <w:r w:rsidRPr="00511005">
        <w:rPr>
          <w:rFonts w:ascii="Arial" w:eastAsia="Calibri" w:hAnsi="Arial" w:cs="Arial"/>
          <w:szCs w:val="28"/>
          <w:lang w:val="uk-UA" w:bidi="uk-UA"/>
        </w:rPr>
        <w:t>.</w:t>
      </w:r>
    </w:p>
    <w:p w14:paraId="55FD3B2C" w14:textId="77777777" w:rsidR="00532C25" w:rsidRPr="00511005" w:rsidRDefault="00532C25" w:rsidP="00532C25">
      <w:pPr>
        <w:tabs>
          <w:tab w:val="left" w:pos="7088"/>
        </w:tabs>
        <w:spacing w:line="264" w:lineRule="auto"/>
        <w:ind w:firstLine="720"/>
        <w:rPr>
          <w:rFonts w:ascii="Arial" w:eastAsia="Calibri" w:hAnsi="Arial" w:cs="Arial"/>
          <w:szCs w:val="28"/>
        </w:rPr>
      </w:pPr>
      <w:r w:rsidRPr="00511005">
        <w:rPr>
          <w:rFonts w:ascii="Arial" w:eastAsia="Calibri" w:hAnsi="Arial" w:cs="Arial"/>
          <w:szCs w:val="28"/>
          <w:lang w:val="uk-UA" w:bidi="uk-UA"/>
        </w:rPr>
        <w:t>Також необхідно зазначити, що психологічні аспекти допиту мають важливе етичне обґрунтування. Недопустимо використовувати методи психологічного насильства, шантажу, тиску чи обману. Такі дії не лише суперечать принципам правосуддя, а й знижують цінність здобутих доказів. Крім того, вони можуть викликати глибокі психологічні травми у допитуваної особи. Тому особливу увагу слід приділяти дотриманню моральних меж у ході слідчих дій.</w:t>
      </w:r>
    </w:p>
    <w:p w14:paraId="6ED3F666" w14:textId="77777777" w:rsidR="00532C25" w:rsidRPr="00511005" w:rsidRDefault="00532C25" w:rsidP="00532C25">
      <w:pPr>
        <w:tabs>
          <w:tab w:val="left" w:pos="7088"/>
        </w:tabs>
        <w:spacing w:line="264" w:lineRule="auto"/>
        <w:ind w:firstLine="720"/>
        <w:rPr>
          <w:rFonts w:ascii="Arial" w:eastAsia="Calibri" w:hAnsi="Arial" w:cs="Arial"/>
          <w:szCs w:val="28"/>
          <w:lang w:val="uk-UA"/>
        </w:rPr>
      </w:pPr>
      <w:r w:rsidRPr="00511005">
        <w:rPr>
          <w:rFonts w:ascii="Arial" w:eastAsia="Calibri" w:hAnsi="Arial" w:cs="Arial"/>
          <w:szCs w:val="28"/>
          <w:lang w:val="uk-UA" w:bidi="uk-UA"/>
        </w:rPr>
        <w:t>Отже, психологічні аспекти криміналістичного допиту виступають ключовим чинником його результативності. Їхнє ігнорування не лише ускладнює встановлення істини у справі, а й створює ризики порушення прав людини. Успішний допит – це результат не тільки юридичної підготовки, а й глибокого розуміння природи людської поведінки, емоцій, мотивації та пам’яті. Саме тому співпраця між криміналістами та психологами має залишатися одним з пріоритетів у підготовці сучасних слідчих і прокурорів.</w:t>
      </w:r>
    </w:p>
    <w:p w14:paraId="54A0AB14" w14:textId="77777777" w:rsidR="00532C25" w:rsidRPr="00511005" w:rsidRDefault="00532C25" w:rsidP="00532C25">
      <w:pPr>
        <w:tabs>
          <w:tab w:val="left" w:pos="7088"/>
        </w:tabs>
        <w:spacing w:line="264" w:lineRule="auto"/>
        <w:ind w:firstLine="720"/>
        <w:jc w:val="center"/>
        <w:rPr>
          <w:rFonts w:ascii="Arial" w:eastAsia="Calibri" w:hAnsi="Arial" w:cs="Arial"/>
          <w:b/>
          <w:szCs w:val="28"/>
          <w:lang w:val="uk-UA" w:bidi="uk-UA"/>
        </w:rPr>
      </w:pPr>
    </w:p>
    <w:p w14:paraId="32CFFA34" w14:textId="77777777" w:rsidR="00532C25" w:rsidRPr="00511005" w:rsidRDefault="00532C25" w:rsidP="00532C25">
      <w:pPr>
        <w:tabs>
          <w:tab w:val="left" w:pos="7088"/>
        </w:tabs>
        <w:spacing w:line="264" w:lineRule="auto"/>
        <w:ind w:firstLine="720"/>
        <w:jc w:val="center"/>
        <w:rPr>
          <w:rFonts w:ascii="Arial" w:eastAsia="Calibri" w:hAnsi="Arial" w:cs="Arial"/>
          <w:szCs w:val="28"/>
        </w:rPr>
      </w:pPr>
      <w:r w:rsidRPr="00511005">
        <w:rPr>
          <w:rFonts w:ascii="Arial" w:eastAsia="Calibri" w:hAnsi="Arial" w:cs="Arial"/>
          <w:b/>
          <w:szCs w:val="28"/>
          <w:lang w:val="uk-UA" w:bidi="uk-UA"/>
        </w:rPr>
        <w:t>Список використаних джерел</w:t>
      </w:r>
    </w:p>
    <w:p w14:paraId="6FBE71DB" w14:textId="77777777" w:rsidR="00532C25" w:rsidRPr="00511005" w:rsidRDefault="00532C25" w:rsidP="003F6A5D">
      <w:pPr>
        <w:widowControl w:val="0"/>
        <w:numPr>
          <w:ilvl w:val="0"/>
          <w:numId w:val="625"/>
        </w:numPr>
        <w:tabs>
          <w:tab w:val="left" w:pos="993"/>
          <w:tab w:val="left" w:pos="7088"/>
        </w:tabs>
        <w:suppressAutoHyphens/>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val="uk-UA" w:eastAsia="ru-RU" w:bidi="uk-UA"/>
        </w:rPr>
        <w:t>Шумило Н. О. Психологія допиту: навч. посібник. Київ: Алерта, 2021.</w:t>
      </w:r>
    </w:p>
    <w:p w14:paraId="7822DE02" w14:textId="77777777" w:rsidR="00532C25" w:rsidRPr="00511005" w:rsidRDefault="00532C25" w:rsidP="003F6A5D">
      <w:pPr>
        <w:widowControl w:val="0"/>
        <w:numPr>
          <w:ilvl w:val="0"/>
          <w:numId w:val="625"/>
        </w:numPr>
        <w:tabs>
          <w:tab w:val="left" w:pos="993"/>
          <w:tab w:val="left" w:pos="7088"/>
        </w:tabs>
        <w:suppressAutoHyphens/>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val="uk-UA" w:eastAsia="ru-RU" w:bidi="uk-UA"/>
        </w:rPr>
        <w:t>Козьяков С. А., Волобуєв О. В. Психологія у кримінальному процесі. Київ: Юрінком Інтер, 2019.</w:t>
      </w:r>
    </w:p>
    <w:p w14:paraId="6CABF1E1" w14:textId="77777777" w:rsidR="00532C25" w:rsidRPr="00511005" w:rsidRDefault="00532C25" w:rsidP="003F6A5D">
      <w:pPr>
        <w:widowControl w:val="0"/>
        <w:numPr>
          <w:ilvl w:val="0"/>
          <w:numId w:val="625"/>
        </w:numPr>
        <w:tabs>
          <w:tab w:val="left" w:pos="993"/>
          <w:tab w:val="left" w:pos="7088"/>
        </w:tabs>
        <w:suppressAutoHyphens/>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val="uk-UA" w:eastAsia="ru-RU" w:bidi="uk-UA"/>
        </w:rPr>
        <w:t>Платонов К. К. Структура і розвиток особистості. Київ: Либідь, 2020.</w:t>
      </w:r>
    </w:p>
    <w:p w14:paraId="1B6B2805" w14:textId="77777777" w:rsidR="00532C25" w:rsidRPr="00511005" w:rsidRDefault="00532C25" w:rsidP="00532C25">
      <w:pPr>
        <w:tabs>
          <w:tab w:val="left" w:pos="993"/>
          <w:tab w:val="left" w:pos="7088"/>
        </w:tabs>
        <w:autoSpaceDE w:val="0"/>
        <w:autoSpaceDN w:val="0"/>
        <w:adjustRightInd w:val="0"/>
        <w:spacing w:line="264" w:lineRule="auto"/>
        <w:ind w:firstLine="720"/>
        <w:contextualSpacing/>
        <w:rPr>
          <w:rFonts w:ascii="Arial" w:eastAsia="Times New Roman" w:hAnsi="Arial" w:cs="Arial"/>
          <w:szCs w:val="28"/>
          <w:lang w:val="uk-UA" w:eastAsia="ru-RU" w:bidi="uk-UA"/>
        </w:rPr>
      </w:pPr>
    </w:p>
    <w:p w14:paraId="78EB1537" w14:textId="77777777" w:rsidR="00532C25" w:rsidRPr="00511005" w:rsidRDefault="00532C25" w:rsidP="00532C25">
      <w:pPr>
        <w:tabs>
          <w:tab w:val="left" w:pos="993"/>
          <w:tab w:val="left" w:pos="7088"/>
        </w:tabs>
        <w:autoSpaceDE w:val="0"/>
        <w:autoSpaceDN w:val="0"/>
        <w:adjustRightInd w:val="0"/>
        <w:spacing w:line="264" w:lineRule="auto"/>
        <w:ind w:firstLine="720"/>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bidi="uk-UA"/>
        </w:rPr>
        <w:t xml:space="preserve">Ключові слова: </w:t>
      </w:r>
      <w:r w:rsidRPr="00511005">
        <w:rPr>
          <w:rFonts w:ascii="Arial" w:eastAsia="Times New Roman" w:hAnsi="Arial" w:cs="Arial"/>
          <w:szCs w:val="28"/>
          <w:lang w:val="uk-UA" w:eastAsia="ru-RU" w:bidi="uk-UA"/>
        </w:rPr>
        <w:t>допит, слідча дія, психологічний вплив, інформація, аналіз поведінки, емоції, психологічний прийом, чинники, мотивація, пам’ять.</w:t>
      </w:r>
    </w:p>
    <w:p w14:paraId="6D99D12B" w14:textId="77777777" w:rsidR="00532C25" w:rsidRPr="00511005" w:rsidRDefault="00532C25" w:rsidP="00532C25">
      <w:pPr>
        <w:tabs>
          <w:tab w:val="left" w:pos="993"/>
          <w:tab w:val="left" w:pos="7088"/>
        </w:tabs>
        <w:autoSpaceDE w:val="0"/>
        <w:autoSpaceDN w:val="0"/>
        <w:adjustRightInd w:val="0"/>
        <w:spacing w:line="264" w:lineRule="auto"/>
        <w:ind w:firstLine="720"/>
        <w:contextualSpacing/>
        <w:rPr>
          <w:rFonts w:ascii="Arial" w:eastAsia="Times New Roman" w:hAnsi="Arial" w:cs="Arial"/>
          <w:szCs w:val="28"/>
          <w:lang w:val="en-US" w:eastAsia="ru-RU"/>
        </w:rPr>
      </w:pPr>
      <w:r w:rsidRPr="00511005">
        <w:rPr>
          <w:rFonts w:ascii="Arial" w:eastAsia="Times New Roman" w:hAnsi="Arial" w:cs="Arial"/>
          <w:b/>
          <w:bCs/>
          <w:i/>
          <w:szCs w:val="28"/>
          <w:lang w:val="en-US" w:eastAsia="ru-RU" w:bidi="uk-UA"/>
        </w:rPr>
        <w:t xml:space="preserve">Key words: </w:t>
      </w:r>
      <w:r w:rsidRPr="00511005">
        <w:rPr>
          <w:rFonts w:ascii="Arial" w:eastAsia="Times New Roman" w:hAnsi="Arial" w:cs="Arial"/>
          <w:szCs w:val="28"/>
          <w:lang w:val="en-US" w:eastAsia="ru-RU" w:bidi="uk-UA"/>
        </w:rPr>
        <w:t>interrogation, investigative action, psychological influence, information, behavior analysis, emotions, psychological technique, factors, motivation, memory.</w:t>
      </w:r>
    </w:p>
    <w:p w14:paraId="40FA57EE" w14:textId="77777777" w:rsidR="00532C25" w:rsidRPr="00511005" w:rsidRDefault="00532C25" w:rsidP="00532C25">
      <w:pPr>
        <w:tabs>
          <w:tab w:val="left" w:pos="993"/>
          <w:tab w:val="left" w:pos="7088"/>
        </w:tabs>
        <w:autoSpaceDE w:val="0"/>
        <w:autoSpaceDN w:val="0"/>
        <w:adjustRightInd w:val="0"/>
        <w:spacing w:line="264" w:lineRule="auto"/>
        <w:ind w:firstLine="720"/>
        <w:contextualSpacing/>
        <w:rPr>
          <w:rFonts w:ascii="Arial" w:eastAsia="Times New Roman" w:hAnsi="Arial" w:cs="Arial"/>
          <w:i/>
          <w:iCs/>
          <w:szCs w:val="28"/>
          <w:lang w:eastAsia="ru-RU"/>
        </w:rPr>
      </w:pPr>
      <w:r w:rsidRPr="00511005">
        <w:rPr>
          <w:rFonts w:ascii="Arial" w:eastAsia="Times New Roman" w:hAnsi="Arial" w:cs="Arial"/>
          <w:b/>
          <w:i/>
          <w:iCs/>
          <w:szCs w:val="28"/>
          <w:lang w:val="uk-UA" w:eastAsia="ru-RU" w:bidi="uk-UA"/>
        </w:rPr>
        <w:lastRenderedPageBreak/>
        <w:t xml:space="preserve">Науковий керівник: </w:t>
      </w:r>
      <w:r w:rsidRPr="00511005">
        <w:rPr>
          <w:rFonts w:ascii="Arial" w:eastAsia="Times New Roman" w:hAnsi="Arial" w:cs="Arial"/>
          <w:i/>
          <w:iCs/>
          <w:szCs w:val="28"/>
          <w:lang w:val="uk-UA" w:eastAsia="ru-RU" w:bidi="uk-UA"/>
        </w:rPr>
        <w:t>д.ю.н, професор Самойленко О.А.</w:t>
      </w:r>
    </w:p>
    <w:p w14:paraId="5F0C224C" w14:textId="77777777" w:rsidR="00532C25" w:rsidRPr="00511005" w:rsidRDefault="00532C25" w:rsidP="00532C25">
      <w:pPr>
        <w:spacing w:line="264" w:lineRule="auto"/>
        <w:ind w:firstLine="720"/>
        <w:jc w:val="left"/>
        <w:rPr>
          <w:rFonts w:ascii="Arial" w:eastAsia="Calibri" w:hAnsi="Arial" w:cs="Arial"/>
          <w:szCs w:val="28"/>
          <w:lang w:val="uk-UA"/>
        </w:rPr>
      </w:pPr>
    </w:p>
    <w:p w14:paraId="6F8C9978" w14:textId="77777777" w:rsidR="00532C25" w:rsidRPr="00511005" w:rsidRDefault="00532C25" w:rsidP="00532C25">
      <w:pPr>
        <w:spacing w:line="264" w:lineRule="auto"/>
        <w:ind w:firstLine="720"/>
        <w:jc w:val="left"/>
        <w:rPr>
          <w:rFonts w:ascii="Arial" w:eastAsia="Calibri" w:hAnsi="Arial" w:cs="Arial"/>
          <w:szCs w:val="28"/>
          <w:lang w:val="uk-UA"/>
        </w:rPr>
      </w:pPr>
    </w:p>
    <w:p w14:paraId="7FE884F4" w14:textId="77777777" w:rsidR="00532C25" w:rsidRPr="00511005" w:rsidRDefault="00532C25" w:rsidP="00532C25">
      <w:pPr>
        <w:spacing w:line="264" w:lineRule="auto"/>
        <w:ind w:firstLine="0"/>
        <w:jc w:val="center"/>
        <w:rPr>
          <w:rFonts w:ascii="Arial" w:eastAsia="Calibri" w:hAnsi="Arial" w:cs="Arial"/>
          <w:b/>
          <w:i/>
          <w:iCs/>
          <w:szCs w:val="28"/>
        </w:rPr>
      </w:pPr>
      <w:r w:rsidRPr="00511005">
        <w:rPr>
          <w:rFonts w:ascii="Arial" w:eastAsia="Calibri" w:hAnsi="Arial" w:cs="Arial"/>
          <w:b/>
          <w:i/>
          <w:iCs/>
          <w:szCs w:val="28"/>
          <w:lang w:val="uk-UA"/>
        </w:rPr>
        <w:t>Рогожа Валерія Василівна</w:t>
      </w:r>
    </w:p>
    <w:p w14:paraId="1641884B"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6B165E4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42B394F"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942670A" w14:textId="77777777" w:rsidR="00532C25" w:rsidRPr="00511005" w:rsidRDefault="00532C25" w:rsidP="00532C25">
      <w:pPr>
        <w:spacing w:line="264" w:lineRule="auto"/>
        <w:ind w:firstLine="0"/>
        <w:jc w:val="center"/>
        <w:rPr>
          <w:rFonts w:ascii="Arial" w:eastAsia="Calibri" w:hAnsi="Arial" w:cs="Arial"/>
          <w:iCs/>
          <w:szCs w:val="28"/>
          <w:lang w:val="uk-UA"/>
        </w:rPr>
      </w:pPr>
    </w:p>
    <w:p w14:paraId="2377AE38" w14:textId="77777777" w:rsidR="00532C25" w:rsidRPr="00511005" w:rsidRDefault="00532C25" w:rsidP="00532C25">
      <w:pPr>
        <w:spacing w:line="264" w:lineRule="auto"/>
        <w:ind w:firstLine="0"/>
        <w:jc w:val="center"/>
        <w:rPr>
          <w:rFonts w:ascii="Arial" w:eastAsia="Calibri" w:hAnsi="Arial" w:cs="Arial"/>
          <w:iCs/>
          <w:szCs w:val="28"/>
        </w:rPr>
      </w:pPr>
      <w:r w:rsidRPr="00511005">
        <w:rPr>
          <w:rFonts w:ascii="Arial" w:eastAsia="Times New Roman" w:hAnsi="Arial" w:cs="Arial"/>
          <w:b/>
          <w:bCs/>
          <w:szCs w:val="28"/>
          <w:lang w:val="uk-UA" w:eastAsia="uk-UA"/>
        </w:rPr>
        <w:t>ВИКОРИСТАННЯ МОЖЛИВОСТЕЙ ОПЕРАТИВНО-РОЗШУКОВОЇ ДІЯЛЬНОСТІ ПРИ ВИЯВЛЕННІ КОРУПЦІЙНИХ КРИМІНАЛЬНИХ ПРАВОПОРУШЕНЬ</w:t>
      </w:r>
    </w:p>
    <w:p w14:paraId="41636E0A"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Корупція – це негативне суспільне явище, що впливає на функціонування держави у цілому, окремих її інститутів, а також життя кожної окремої особи. Надання та отримання неправомірної вигоди, зловживання службовим становищем, розкрадання бюджету не лише посягає на охоронювані законом суспільні відносини, але й опосередковано спричиняє негативні наслідки, що проявляються у різних сфер суспільного життя. Зокрема, саме корупційна злочинність є однією із причин, що породжує існування поганих доріг, недобудованих лікарень, несправедливого суду, зниження якості освіти. Але держава у особі правоохоронних органів веде активну боротьбу із таким негативним явищем, як корупція. Один із важливих засобів попередження, виявлення та припинення корупційних правопорушень виступає </w:t>
      </w:r>
      <w:r w:rsidRPr="00511005">
        <w:rPr>
          <w:rFonts w:ascii="Arial" w:eastAsia="Times New Roman" w:hAnsi="Arial" w:cs="Arial"/>
          <w:bCs/>
          <w:szCs w:val="28"/>
          <w:lang w:val="uk-UA" w:eastAsia="uk-UA"/>
        </w:rPr>
        <w:t>оперативно-розшукова діяльність (ОРД)</w:t>
      </w:r>
      <w:r w:rsidRPr="00511005">
        <w:rPr>
          <w:rFonts w:ascii="Arial" w:eastAsia="Times New Roman" w:hAnsi="Arial" w:cs="Arial"/>
          <w:szCs w:val="28"/>
          <w:lang w:val="uk-UA" w:eastAsia="uk-UA"/>
        </w:rPr>
        <w:t xml:space="preserve"> як робота спеціальних підрозділів правоохоронних органів, які працюють «в тін». </w:t>
      </w:r>
    </w:p>
    <w:p w14:paraId="1E814B5A"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Оперативно-розшукова діяльність</w:t>
      </w:r>
      <w:r w:rsidRPr="00511005">
        <w:rPr>
          <w:rFonts w:ascii="Arial" w:eastAsia="Times New Roman" w:hAnsi="Arial" w:cs="Arial"/>
          <w:szCs w:val="28"/>
          <w:lang w:val="uk-UA" w:eastAsia="uk-UA"/>
        </w:rPr>
        <w:t xml:space="preserve"> – це комплекс дій, які дозволяють правоохоронцям </w:t>
      </w:r>
      <w:r w:rsidRPr="00511005">
        <w:rPr>
          <w:rFonts w:ascii="Arial" w:eastAsia="Times New Roman" w:hAnsi="Arial" w:cs="Arial"/>
          <w:bCs/>
          <w:szCs w:val="28"/>
          <w:lang w:val="uk-UA" w:eastAsia="uk-UA"/>
        </w:rPr>
        <w:t>виявляти корупціонерів ще до того, як вони встигають завдати шкоди охоронюваним законом правовідносинам</w:t>
      </w:r>
      <w:r w:rsidRPr="00511005">
        <w:rPr>
          <w:rFonts w:ascii="Arial" w:eastAsia="Times New Roman" w:hAnsi="Arial" w:cs="Arial"/>
          <w:szCs w:val="28"/>
          <w:lang w:val="uk-UA" w:eastAsia="uk-UA"/>
        </w:rPr>
        <w:t xml:space="preserve">, або зібрати необхідну інформацію про вчинені ними правопорушення, що дозволить притягнути їх до кримінальної відповідальності. Застосування засобів та методів оперативно-розшукової діяльності дозволяють ефективно протидіяти корупційній діяльності. Зокрема, були викриті </w:t>
      </w:r>
      <w:r w:rsidRPr="00511005">
        <w:rPr>
          <w:rFonts w:ascii="Arial" w:eastAsia="Times New Roman" w:hAnsi="Arial" w:cs="Arial"/>
          <w:bCs/>
          <w:szCs w:val="28"/>
          <w:lang w:val="uk-UA" w:eastAsia="uk-UA"/>
        </w:rPr>
        <w:t>судді, які торгували рішеннями</w:t>
      </w:r>
      <w:r w:rsidRPr="00511005">
        <w:rPr>
          <w:rFonts w:ascii="Arial" w:eastAsia="Times New Roman" w:hAnsi="Arial" w:cs="Arial"/>
          <w:szCs w:val="28"/>
          <w:lang w:val="uk-UA" w:eastAsia="uk-UA"/>
        </w:rPr>
        <w:t xml:space="preserve">, митники, які «прикривали» контрабанду, </w:t>
      </w:r>
      <w:r w:rsidRPr="00511005">
        <w:rPr>
          <w:rFonts w:ascii="Arial" w:eastAsia="Times New Roman" w:hAnsi="Arial" w:cs="Arial"/>
          <w:bCs/>
          <w:szCs w:val="28"/>
          <w:lang w:val="uk-UA" w:eastAsia="uk-UA"/>
        </w:rPr>
        <w:t>чиновники, що продавали державні посади</w:t>
      </w:r>
      <w:r w:rsidRPr="00511005">
        <w:rPr>
          <w:rFonts w:ascii="Arial" w:eastAsia="Times New Roman" w:hAnsi="Arial" w:cs="Arial"/>
          <w:szCs w:val="28"/>
          <w:lang w:val="uk-UA" w:eastAsia="uk-UA"/>
        </w:rPr>
        <w:t xml:space="preserve">. Виявлено </w:t>
      </w:r>
      <w:r w:rsidRPr="00511005">
        <w:rPr>
          <w:rFonts w:ascii="Arial" w:eastAsia="Times New Roman" w:hAnsi="Arial" w:cs="Arial"/>
          <w:bCs/>
          <w:szCs w:val="28"/>
          <w:lang w:val="uk-UA" w:eastAsia="uk-UA"/>
        </w:rPr>
        <w:t>сотні мільйонів гривень збитків</w:t>
      </w:r>
      <w:r w:rsidRPr="00511005">
        <w:rPr>
          <w:rFonts w:ascii="Arial" w:eastAsia="Times New Roman" w:hAnsi="Arial" w:cs="Arial"/>
          <w:szCs w:val="28"/>
          <w:lang w:val="uk-UA" w:eastAsia="uk-UA"/>
        </w:rPr>
        <w:t xml:space="preserve">, яких вдалося уникнути завдяки своєчасному втручанню працівників оперативних підрозділів </w:t>
      </w:r>
      <w:r w:rsidRPr="00511005">
        <w:rPr>
          <w:rFonts w:ascii="Arial" w:eastAsia="Calibri" w:hAnsi="Arial" w:cs="Arial"/>
          <w:szCs w:val="28"/>
          <w:lang w:val="uk-UA"/>
        </w:rPr>
        <w:t>[2]</w:t>
      </w:r>
      <w:r w:rsidRPr="00511005">
        <w:rPr>
          <w:rFonts w:ascii="Arial" w:eastAsia="Times New Roman" w:hAnsi="Arial" w:cs="Arial"/>
          <w:szCs w:val="28"/>
          <w:lang w:val="uk-UA" w:eastAsia="uk-UA"/>
        </w:rPr>
        <w:t>.</w:t>
      </w:r>
    </w:p>
    <w:p w14:paraId="61348DBD" w14:textId="77777777" w:rsidR="00532C25" w:rsidRPr="00511005" w:rsidRDefault="00532C25" w:rsidP="00532C25">
      <w:pPr>
        <w:spacing w:line="264" w:lineRule="auto"/>
        <w:rPr>
          <w:rFonts w:ascii="Arial" w:eastAsia="Times New Roman" w:hAnsi="Arial" w:cs="Arial"/>
          <w:bCs/>
          <w:szCs w:val="28"/>
          <w:lang w:val="uk-UA" w:eastAsia="uk-UA"/>
        </w:rPr>
      </w:pPr>
      <w:r w:rsidRPr="00511005">
        <w:rPr>
          <w:rFonts w:ascii="Arial" w:eastAsia="Times New Roman" w:hAnsi="Arial" w:cs="Arial"/>
          <w:bCs/>
          <w:szCs w:val="28"/>
          <w:lang w:val="uk-UA" w:eastAsia="uk-UA"/>
        </w:rPr>
        <w:t>Але в рамках здійснення оперативно-розшукової діяльності існує ряд проблемних питань, що безпосередньо впливають на ефективність та результативність її здійснення, зокрема наступні:</w:t>
      </w:r>
    </w:p>
    <w:p w14:paraId="382E87E4"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 xml:space="preserve">1. Недосконале технічне забезпечення оперативних підрозділів. </w:t>
      </w:r>
      <w:r w:rsidRPr="00511005">
        <w:rPr>
          <w:rFonts w:ascii="Arial" w:eastAsia="Times New Roman" w:hAnsi="Arial" w:cs="Arial"/>
          <w:szCs w:val="28"/>
          <w:lang w:val="uk-UA" w:eastAsia="uk-UA"/>
        </w:rPr>
        <w:t xml:space="preserve">ОРД – це робота, яка потребує сучасного обладнання, але часто у працівників </w:t>
      </w:r>
      <w:r w:rsidRPr="00511005">
        <w:rPr>
          <w:rFonts w:ascii="Arial" w:eastAsia="Times New Roman" w:hAnsi="Arial" w:cs="Arial"/>
          <w:szCs w:val="28"/>
          <w:lang w:val="uk-UA" w:eastAsia="uk-UA"/>
        </w:rPr>
        <w:lastRenderedPageBreak/>
        <w:t>немає якісної техніки для фіксації, стеження, дослідження здобутої інформації;</w:t>
      </w:r>
    </w:p>
    <w:p w14:paraId="6C2015CF"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 xml:space="preserve">2. Високі ризики витоку інформації. </w:t>
      </w:r>
      <w:r w:rsidRPr="00511005">
        <w:rPr>
          <w:rFonts w:ascii="Arial" w:eastAsia="Times New Roman" w:hAnsi="Arial" w:cs="Arial"/>
          <w:szCs w:val="28"/>
          <w:lang w:val="uk-UA" w:eastAsia="uk-UA"/>
        </w:rPr>
        <w:t>На жаль, корупція є і серед тих, хто з нею бореться. Іноді зловмисники дізнаються про здійснення щодо них оперативно-розшукових заходів заздалегідь;</w:t>
      </w:r>
    </w:p>
    <w:p w14:paraId="25F19A31"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 xml:space="preserve">3. Слабка координація. </w:t>
      </w:r>
      <w:r w:rsidRPr="00511005">
        <w:rPr>
          <w:rFonts w:ascii="Arial" w:eastAsia="Times New Roman" w:hAnsi="Arial" w:cs="Arial"/>
          <w:szCs w:val="28"/>
          <w:lang w:val="uk-UA" w:eastAsia="uk-UA"/>
        </w:rPr>
        <w:t>Між різними антикорупційними органами часто немає злагодженої роботи. НАБУ, СБУ, ДБР і поліція іноді не діляться інформацією, а працюють паралельно – і це знижує ефективність їх роботи та призводить до марної витрати ресурсу, який міг би бути використаний для попередження, виявлення та розслідування інших корупційних правопорушень;</w:t>
      </w:r>
    </w:p>
    <w:p w14:paraId="40B5042C"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 xml:space="preserve">4. Недовіра суспільства. </w:t>
      </w:r>
      <w:r w:rsidRPr="00511005">
        <w:rPr>
          <w:rFonts w:ascii="Arial" w:eastAsia="Times New Roman" w:hAnsi="Arial" w:cs="Arial"/>
          <w:szCs w:val="28"/>
          <w:lang w:val="uk-UA" w:eastAsia="uk-UA"/>
        </w:rPr>
        <w:t xml:space="preserve">Громадськість та ЗМІ часто демонструють недовіру до роботи правоохоронних органів у даній сфері </w:t>
      </w:r>
      <w:r w:rsidRPr="00511005">
        <w:rPr>
          <w:rFonts w:ascii="Arial" w:eastAsia="Calibri" w:hAnsi="Arial" w:cs="Arial"/>
          <w:szCs w:val="28"/>
          <w:lang w:val="uk-UA"/>
        </w:rPr>
        <w:t>[1]</w:t>
      </w:r>
      <w:r w:rsidRPr="00511005">
        <w:rPr>
          <w:rFonts w:ascii="Arial" w:eastAsia="Times New Roman" w:hAnsi="Arial" w:cs="Arial"/>
          <w:szCs w:val="28"/>
          <w:lang w:val="uk-UA" w:eastAsia="uk-UA"/>
        </w:rPr>
        <w:t>.</w:t>
      </w:r>
    </w:p>
    <w:p w14:paraId="7B6DD290"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 xml:space="preserve">Попри зазначені проблеми, </w:t>
      </w:r>
      <w:r w:rsidRPr="00511005">
        <w:rPr>
          <w:rFonts w:ascii="Arial" w:eastAsia="Times New Roman" w:hAnsi="Arial" w:cs="Arial"/>
          <w:szCs w:val="28"/>
          <w:lang w:val="uk-UA" w:eastAsia="uk-UA"/>
        </w:rPr>
        <w:t xml:space="preserve">ОРД, тим не менш, є важливим засобом боротьби із корупцією. Успішність її здійснення залежить не лише від технічного забезпечення відповідних підрозділів правоохоронних органів і законодавства, але й від </w:t>
      </w:r>
      <w:r w:rsidRPr="00511005">
        <w:rPr>
          <w:rFonts w:ascii="Arial" w:eastAsia="Times New Roman" w:hAnsi="Arial" w:cs="Arial"/>
          <w:bCs/>
          <w:szCs w:val="28"/>
          <w:lang w:val="uk-UA" w:eastAsia="uk-UA"/>
        </w:rPr>
        <w:t>підтримки суспільства</w:t>
      </w:r>
      <w:r w:rsidRPr="00511005">
        <w:rPr>
          <w:rFonts w:ascii="Arial" w:eastAsia="Times New Roman" w:hAnsi="Arial" w:cs="Arial"/>
          <w:szCs w:val="28"/>
          <w:lang w:val="uk-UA" w:eastAsia="uk-UA"/>
        </w:rPr>
        <w:t xml:space="preserve">. </w:t>
      </w:r>
    </w:p>
    <w:p w14:paraId="3F33E290"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результаті проведеного аналізу особливостей оперативно-розшукової діяльності (ОРД) у боротьбі з корупцією можна зробити низку важливих висновків. По-перше, ОРД є ефективним інструментом у виявленні, попередженні та припиненні корупційних правопорушень. Завдяки застосуванню спеціальних методів, таких як агентурна робота, прослуховування, спостереження, а також використання технічних засобів, правоохоронні органи мають можливість оперативно виявляти корупційні схеми та зловживання на всіх етапах їхнього існування.</w:t>
      </w:r>
    </w:p>
    <w:p w14:paraId="448778B7"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По-друге, важливим елементом ефективності ОРД є здатність правоохоронних органів не лише викривати факти корупції, а й забезпечувати надійні докази для подальшого судового переслідування. Це сприяє успішному притягненню до відповідальності корупціонерів та забезпеченню правосуддя. Однак для досягнення цих результатів необхідно, щоб усі оперативно-розшукові заходи здійснювались з дотриманням чинного законодавства, прав людини та етичних норм.</w:t>
      </w:r>
    </w:p>
    <w:p w14:paraId="1C2EEC7C"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По-третє, важливою складовою ефективності ОРД є її превентивний потенціал. Виявлення корупційних схем на ранніх етапах дозволяє не тільки припинити злочинну діяльність, але й значно знизити ймовірність виникнення нових корупційних випадків. Таким чином, ОРД відіграє значну роль у формуванні антикорупційної культури та забезпеченні прозорості в державних установах.</w:t>
      </w:r>
    </w:p>
    <w:p w14:paraId="4F330905" w14:textId="77777777" w:rsidR="00532C25" w:rsidRPr="00511005" w:rsidRDefault="00532C25" w:rsidP="00532C25">
      <w:pPr>
        <w:spacing w:line="264" w:lineRule="auto"/>
        <w:rPr>
          <w:rFonts w:ascii="Arial" w:eastAsia="Times New Roman" w:hAnsi="Arial" w:cs="Arial"/>
          <w:szCs w:val="28"/>
          <w:lang w:val="uk-UA" w:eastAsia="uk-UA"/>
        </w:rPr>
      </w:pPr>
    </w:p>
    <w:p w14:paraId="73EDD297" w14:textId="77777777" w:rsidR="00532C25" w:rsidRPr="00511005" w:rsidRDefault="00532C25" w:rsidP="00532C25">
      <w:pPr>
        <w:tabs>
          <w:tab w:val="left" w:pos="3768"/>
        </w:tabs>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05B4D987" w14:textId="77777777" w:rsidR="00532C25" w:rsidRPr="00511005" w:rsidRDefault="00532C25" w:rsidP="003F6A5D">
      <w:pPr>
        <w:numPr>
          <w:ilvl w:val="0"/>
          <w:numId w:val="679"/>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Демченко В. О. Оперативно-розшукова діяльність в умовах сучасних загроз. Київ: Юридична думка, 2017. 280 c.</w:t>
      </w:r>
    </w:p>
    <w:p w14:paraId="0609CE76" w14:textId="77777777" w:rsidR="00532C25" w:rsidRPr="00511005" w:rsidRDefault="00532C25" w:rsidP="003F6A5D">
      <w:pPr>
        <w:numPr>
          <w:ilvl w:val="0"/>
          <w:numId w:val="679"/>
        </w:numPr>
        <w:spacing w:line="264" w:lineRule="auto"/>
        <w:ind w:left="0" w:firstLine="709"/>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Ковальчук Т. М. Боротьба з корупцією в правоохоронних органах: проблеми та перспективи. Одеса: Фенікс, 2014. 200 c.</w:t>
      </w:r>
    </w:p>
    <w:p w14:paraId="4142441B" w14:textId="77777777" w:rsidR="00532C25" w:rsidRPr="00511005" w:rsidRDefault="00532C25" w:rsidP="00532C25">
      <w:pPr>
        <w:tabs>
          <w:tab w:val="left" w:pos="993"/>
          <w:tab w:val="left" w:pos="7088"/>
        </w:tabs>
        <w:spacing w:line="264" w:lineRule="auto"/>
        <w:ind w:firstLine="706"/>
        <w:rPr>
          <w:rFonts w:ascii="Arial" w:eastAsia="Calibri" w:hAnsi="Arial" w:cs="Arial"/>
          <w:b/>
          <w:szCs w:val="28"/>
          <w:lang w:val="uk-UA"/>
        </w:rPr>
      </w:pPr>
    </w:p>
    <w:p w14:paraId="263BA557" w14:textId="77777777" w:rsidR="00532C25" w:rsidRPr="00511005" w:rsidRDefault="00532C25" w:rsidP="00532C25">
      <w:pPr>
        <w:tabs>
          <w:tab w:val="left" w:pos="993"/>
          <w:tab w:val="left" w:pos="7088"/>
        </w:tabs>
        <w:spacing w:line="264" w:lineRule="auto"/>
        <w:ind w:firstLine="706"/>
        <w:rPr>
          <w:rFonts w:ascii="Arial" w:eastAsia="Calibri" w:hAnsi="Arial" w:cs="Arial"/>
          <w:b/>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оперативно-розшукова діяльність, корупція, неправомірна вигода, протидія корупційній злочинності, взаємодія.</w:t>
      </w:r>
    </w:p>
    <w:p w14:paraId="5942B2CD" w14:textId="77777777" w:rsidR="00532C25" w:rsidRPr="00511005" w:rsidRDefault="00532C25" w:rsidP="00532C25">
      <w:pPr>
        <w:tabs>
          <w:tab w:val="left" w:pos="993"/>
          <w:tab w:val="left" w:pos="7088"/>
        </w:tabs>
        <w:spacing w:line="264" w:lineRule="auto"/>
        <w:ind w:firstLine="706"/>
        <w:rPr>
          <w:rFonts w:ascii="Arial" w:eastAsia="Calibri" w:hAnsi="Arial" w:cs="Arial"/>
          <w:szCs w:val="28"/>
          <w:lang w:val="uk-UA"/>
        </w:rPr>
      </w:pPr>
      <w:r w:rsidRPr="00511005">
        <w:rPr>
          <w:rFonts w:ascii="Arial" w:eastAsia="Calibri" w:hAnsi="Arial" w:cs="Arial"/>
          <w:b/>
          <w:i/>
          <w:szCs w:val="28"/>
          <w:lang w:val="uk-UA"/>
        </w:rPr>
        <w:t xml:space="preserve">Key words: </w:t>
      </w:r>
      <w:r w:rsidRPr="00511005">
        <w:rPr>
          <w:rFonts w:ascii="Arial" w:eastAsia="Calibri" w:hAnsi="Arial" w:cs="Arial"/>
          <w:szCs w:val="28"/>
          <w:lang w:val="uk-UA"/>
        </w:rPr>
        <w:t>operational and investigative activities, corruption, illicit gain, combating corruption crime, interaction.</w:t>
      </w:r>
    </w:p>
    <w:p w14:paraId="6ED24527" w14:textId="77777777" w:rsidR="00532C25" w:rsidRPr="00511005" w:rsidRDefault="00532C25" w:rsidP="00532C25">
      <w:pPr>
        <w:tabs>
          <w:tab w:val="left" w:pos="993"/>
          <w:tab w:val="left" w:pos="7088"/>
        </w:tabs>
        <w:spacing w:line="264" w:lineRule="auto"/>
        <w:ind w:firstLine="706"/>
        <w:rPr>
          <w:rFonts w:ascii="Arial" w:eastAsia="Calibri" w:hAnsi="Arial" w:cs="Arial"/>
          <w:szCs w:val="28"/>
          <w:lang w:val="uk-UA"/>
        </w:rPr>
      </w:pPr>
      <w:r w:rsidRPr="00511005">
        <w:rPr>
          <w:rFonts w:ascii="Arial" w:eastAsia="Calibri" w:hAnsi="Arial" w:cs="Arial"/>
          <w:b/>
          <w:i/>
          <w:szCs w:val="28"/>
          <w:lang w:val="uk-UA"/>
        </w:rPr>
        <w:t xml:space="preserve">Науковий керівник: </w:t>
      </w:r>
      <w:r w:rsidRPr="00511005">
        <w:rPr>
          <w:rFonts w:ascii="Arial" w:eastAsia="Calibri" w:hAnsi="Arial" w:cs="Arial"/>
          <w:i/>
          <w:szCs w:val="28"/>
          <w:lang w:val="uk-UA"/>
        </w:rPr>
        <w:t xml:space="preserve">д.ю.н., професор </w:t>
      </w:r>
      <w:r w:rsidRPr="00511005">
        <w:rPr>
          <w:rFonts w:ascii="Arial" w:eastAsia="Calibri" w:hAnsi="Arial" w:cs="Arial"/>
          <w:bCs/>
          <w:i/>
          <w:szCs w:val="28"/>
          <w:shd w:val="clear" w:color="auto" w:fill="FFFFFF"/>
          <w:lang w:val="uk-UA"/>
        </w:rPr>
        <w:t>Тіщенко В.В.</w:t>
      </w:r>
    </w:p>
    <w:p w14:paraId="13B3CB7A" w14:textId="77777777" w:rsidR="00532C25" w:rsidRPr="00511005" w:rsidRDefault="00532C25" w:rsidP="00532C25">
      <w:pPr>
        <w:spacing w:line="264" w:lineRule="auto"/>
        <w:ind w:firstLine="720"/>
        <w:jc w:val="left"/>
        <w:rPr>
          <w:rFonts w:ascii="Arial" w:eastAsia="Calibri" w:hAnsi="Arial" w:cs="Arial"/>
          <w:szCs w:val="28"/>
          <w:lang w:val="uk-UA"/>
        </w:rPr>
      </w:pPr>
    </w:p>
    <w:p w14:paraId="7391C6C8" w14:textId="77777777" w:rsidR="00532C25" w:rsidRPr="00511005" w:rsidRDefault="00532C25" w:rsidP="00532C25">
      <w:pPr>
        <w:tabs>
          <w:tab w:val="left" w:pos="7088"/>
        </w:tabs>
        <w:spacing w:line="264" w:lineRule="auto"/>
        <w:ind w:firstLine="720"/>
        <w:jc w:val="center"/>
        <w:rPr>
          <w:rFonts w:ascii="Arial" w:eastAsia="Calibri" w:hAnsi="Arial" w:cs="Arial"/>
          <w:b/>
          <w:i/>
          <w:iCs/>
          <w:szCs w:val="28"/>
          <w:lang w:val="uk-UA" w:bidi="uk-UA"/>
        </w:rPr>
      </w:pPr>
      <w:r w:rsidRPr="00511005">
        <w:rPr>
          <w:rFonts w:ascii="Arial" w:eastAsia="Calibri" w:hAnsi="Arial" w:cs="Arial"/>
          <w:b/>
          <w:i/>
          <w:iCs/>
          <w:szCs w:val="28"/>
          <w:lang w:val="uk-UA" w:bidi="uk-UA"/>
        </w:rPr>
        <w:t>Родрігес Лілія Фаб’янівна</w:t>
      </w:r>
    </w:p>
    <w:p w14:paraId="3A83E117"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705F01B3"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7D121C6"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D095236" w14:textId="77777777" w:rsidR="00532C25" w:rsidRPr="00511005" w:rsidRDefault="00532C25" w:rsidP="00532C25">
      <w:pPr>
        <w:tabs>
          <w:tab w:val="left" w:pos="7088"/>
        </w:tabs>
        <w:spacing w:line="264" w:lineRule="auto"/>
        <w:ind w:firstLine="720"/>
        <w:jc w:val="left"/>
        <w:rPr>
          <w:rFonts w:ascii="Arial" w:eastAsia="Calibri" w:hAnsi="Arial" w:cs="Arial"/>
          <w:bCs/>
          <w:szCs w:val="28"/>
          <w:lang w:val="uk-UA" w:bidi="uk-UA"/>
        </w:rPr>
      </w:pPr>
    </w:p>
    <w:p w14:paraId="69A3E50A" w14:textId="77777777" w:rsidR="00532C25" w:rsidRPr="00511005" w:rsidRDefault="00532C25" w:rsidP="00532C25">
      <w:pPr>
        <w:tabs>
          <w:tab w:val="left" w:pos="7088"/>
        </w:tabs>
        <w:spacing w:line="264" w:lineRule="auto"/>
        <w:ind w:firstLine="720"/>
        <w:jc w:val="center"/>
        <w:rPr>
          <w:rFonts w:ascii="Arial" w:eastAsia="Calibri" w:hAnsi="Arial" w:cs="Arial"/>
          <w:b/>
          <w:szCs w:val="28"/>
          <w:lang w:val="uk-UA" w:bidi="uk-UA"/>
        </w:rPr>
      </w:pPr>
      <w:r w:rsidRPr="00511005">
        <w:rPr>
          <w:rFonts w:ascii="Arial" w:eastAsia="Calibri" w:hAnsi="Arial" w:cs="Arial"/>
          <w:b/>
          <w:szCs w:val="28"/>
          <w:lang w:val="uk-UA" w:bidi="uk-UA"/>
        </w:rPr>
        <w:t>ДОСЛІДЖЕННЯ ПОЧЕРКУ ОСОБИ ЯК ОБʼЄКТА ІДЕНТИФІКАЦІЇ</w:t>
      </w:r>
    </w:p>
    <w:p w14:paraId="4F96A18D"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Ідентифікація особи за почерком є однією з найважливіших галузей криміналістики, що поєднує в собі елементи графології, лінгвістики, психології та судової експертизи. Почерк як прояв індивідуальності має унікальні ознаки, які можуть бути використані для встановлення особи автора рукописного документа. Незважаючи на наукову складність процесу, ідентифікація особи за почерком є поширеним засобом доказування у кримінальному судочинстві, особливо у справах, пов’язаних із підробкою документів, вимаганням, анонімними погрозами, листами або іншими видами письмового сліду злочину.</w:t>
      </w:r>
    </w:p>
    <w:p w14:paraId="60C06DCB"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 xml:space="preserve">Почерк вважається психомоторною навичкою, яка формується під впливом комплексу фізіологічних, психологічних, освітніх і соціокультурних факторів. З моменту засвоєння навичок письма особа поступово формує свій власний графічний стиль, який із часом стабілізується. Хоча зовнішній вигляд почерку може частково змінюватися під впливом віку, хвороб, емоційного стану чи навмисного маскування, загальні закономірності залишаються досить сталими. Це дозволяє використовувати почерк як об’єкт ідентифікації [2, </w:t>
      </w:r>
      <w:r w:rsidRPr="00511005">
        <w:rPr>
          <w:rFonts w:ascii="Arial" w:eastAsia="Calibri" w:hAnsi="Arial" w:cs="Arial"/>
          <w:bCs/>
          <w:szCs w:val="28"/>
          <w:lang w:val="en-US" w:bidi="uk-UA"/>
        </w:rPr>
        <w:t>c</w:t>
      </w:r>
      <w:r w:rsidRPr="00511005">
        <w:rPr>
          <w:rFonts w:ascii="Arial" w:eastAsia="Calibri" w:hAnsi="Arial" w:cs="Arial"/>
          <w:bCs/>
          <w:szCs w:val="28"/>
          <w:lang w:val="uk-UA" w:bidi="uk-UA"/>
        </w:rPr>
        <w:t>.155].</w:t>
      </w:r>
    </w:p>
    <w:p w14:paraId="51410134"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З наукової точки зору, почерк розглядається як сукупність графічних елементів, що проявляються у формі, розмірах, нахилі, тиску, з’єднаннях букв та інших характеристиках. Кожен з цих елементів розглядається експертом як ідентифікаційна ознака. Усі ознаки поділяються на загальні (такі як розмір почерку, нахил, ритм, інтервали між словами й літерами) та приватні (наприклад, форма окремих літер, способи їх з'єднання, наявність індивідуальних деформацій, скорочень, нахилів тощо). Комплексне дослідження цих ознак дозволяє експерту зробити висновок щодо ймовірного авторства того чи іншого рукописного документа.</w:t>
      </w:r>
    </w:p>
    <w:p w14:paraId="45D7F66A"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lastRenderedPageBreak/>
        <w:t>Застосування почеркознавчої експертизи в кримінальному процесі передбачає кілька етапів: підготовчий (збір зразків почерку – як експериментальних, так і вільних), аналітичний (вивчення характеристик почерку, виявлення сталих ознак) і порівняльний (зіставлення ознак об'єкта дослідження із зразками). Ефективність експертизи значною мірою залежить від якості отриманих зразків: чим більше об’єму вільного письма доступно для дослідження, тим вища точність і надійність висновків.</w:t>
      </w:r>
    </w:p>
    <w:p w14:paraId="09152823"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Необхідно зазначити, що почеркознавча експертиза базується не лише на емпіричних спостереженнях, а й на глибокій науковій методології, що включає математичну оцінку ознак, комп’ютерне моделювання та використання спеціалізованого програмного забезпечення. Новітні технології значно підвищили точність аналізу, дозволяючи автоматизовано обробляти великі об’єми графічної інформації. Разом з тим, людський фактор – досвід, професіоналізм і спостережливість експерта – продовжує залишатися критично важливим у цьому процесі</w:t>
      </w:r>
      <w:r w:rsidRPr="00511005">
        <w:rPr>
          <w:rFonts w:ascii="Arial" w:eastAsia="Calibri" w:hAnsi="Arial" w:cs="Arial"/>
          <w:bCs/>
          <w:szCs w:val="28"/>
          <w:lang w:bidi="uk-UA"/>
        </w:rPr>
        <w:t xml:space="preserve"> [1]</w:t>
      </w:r>
      <w:r w:rsidRPr="00511005">
        <w:rPr>
          <w:rFonts w:ascii="Arial" w:eastAsia="Calibri" w:hAnsi="Arial" w:cs="Arial"/>
          <w:bCs/>
          <w:szCs w:val="28"/>
          <w:lang w:val="uk-UA" w:bidi="uk-UA"/>
        </w:rPr>
        <w:t>.</w:t>
      </w:r>
    </w:p>
    <w:p w14:paraId="0BB18236"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Нерідко в практиці виникають ситуації, коли особа намагається навмисно змінити або підробити почерк з метою приховування авторства. У таких випадках експерт має справу з маскувальним або імітаційним почерком, що потребує більш глибокого і тонкого аналізу. Маскування проявляється в зміні нахилу, розміру, форми літер, а також у використанні невластивого для особи способу написання. Однак навіть за умов маскування залишаються певні мікроскопічні елементи, які складно підробити – це ритм письма, ступінь тиску, мікровібрації руки під час письма, які й дозволяють встановити істинного автора.</w:t>
      </w:r>
    </w:p>
    <w:p w14:paraId="33DD0DA3"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Однією з актуальних проблем у сфері ідентифікації за почерком є вплив емоційного стану на письмову діяльність. Стрес, страх, втома або агресія можуть суттєво змінити звичний стиль письма, що ускладнює ідентифікацію. Крім того, у зв’язку з цифровізацією та активним використанням друкованого тексту почеркова активність у сучасного громадянина значно зменшилася, що може негативно впливати на формування стабільних ознак. Особливо складно ідентифікувати особу, якщо вона залишила лише короткі записи або написи, які не дають повної картини її графічного стилю.</w:t>
      </w:r>
    </w:p>
    <w:p w14:paraId="4260ECA6"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Проте, незважаючи на певні труднощі, почерк залишається одним із ключових біометричних індикаторів особи. Його унікальність, психологічна зумовленість і відносна сталість дозволяють використовувати почеркознавчі дослідження в криміналістиці не лише для встановлення авторства, але й для аналізу стану особи в момент написання тексту. Наприклад, зміни у ритмі, перервах між словами, хаотичному написанні можуть свідчити про психоемоційний стан, що також має доказове значення в судовому процесі.</w:t>
      </w:r>
    </w:p>
    <w:p w14:paraId="1B636C41"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 xml:space="preserve">Значну роль у розвитку ідентифікації особи за почерком відіграють міждисциплінарні підходи, які об'єднують методи психолінгвістики, </w:t>
      </w:r>
      <w:r w:rsidRPr="00511005">
        <w:rPr>
          <w:rFonts w:ascii="Arial" w:eastAsia="Calibri" w:hAnsi="Arial" w:cs="Arial"/>
          <w:bCs/>
          <w:szCs w:val="28"/>
          <w:lang w:val="uk-UA" w:bidi="uk-UA"/>
        </w:rPr>
        <w:lastRenderedPageBreak/>
        <w:t xml:space="preserve">нейропсихології, криміналістичної експертизи та інформаційних технологій. Зокрема, психолінгвістичні аспекти дозволяють виявити зв’язок між мовними конструкціями та почерковими особливостями, а нейропсихологічні – пояснити відхилення в письмі як наслідок органічних або функціональних порушень центральної нервової системи. Комплексне застосування цих знань забезпечує більш обґрунтовані експертні висновки та дозволяє охопити ширший спектр питань, пов’язаних із особистістю автора [3, </w:t>
      </w:r>
      <w:r w:rsidRPr="00511005">
        <w:rPr>
          <w:rFonts w:ascii="Arial" w:eastAsia="Calibri" w:hAnsi="Arial" w:cs="Arial"/>
          <w:bCs/>
          <w:szCs w:val="28"/>
          <w:lang w:val="en-US" w:bidi="uk-UA"/>
        </w:rPr>
        <w:t>c</w:t>
      </w:r>
      <w:r w:rsidRPr="00511005">
        <w:rPr>
          <w:rFonts w:ascii="Arial" w:eastAsia="Calibri" w:hAnsi="Arial" w:cs="Arial"/>
          <w:bCs/>
          <w:szCs w:val="28"/>
          <w:lang w:val="uk-UA" w:bidi="uk-UA"/>
        </w:rPr>
        <w:t>.325].</w:t>
      </w:r>
    </w:p>
    <w:p w14:paraId="503CCC2F"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Варто також відзначити, що ідентифікація особи за почерком має вагоме значення не лише в кримінальному, але й у цивільному судочинстві. Визначення авторства заповітів, боргових розписок, підписів на контрактах тощо часто є ключовим у встановленні правових наслідків певної поведінки. У цьому контексті точність і неупередженість експертного дослідження набувають особливої цінності.</w:t>
      </w:r>
    </w:p>
    <w:p w14:paraId="4772075B"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Підсумовуючи викладене, слід наголосити, що ідентифікація особи за почерком є складним, багатогранним процесом, який потребує високого рівня професіоналізму, глибоких знань і точних методів. Попри виклики, пов’язані з розвитком цифрових технологій, почерк залишається важливим елементом криміналістичного інструментарію. Його використання у практиці правозастосування не втрачає актуальності, особливо в контексті справ, де йдеться про встановлення справжнього авторства документів. У зв’язку з цим особливої уваги потребує вдосконалення методик дослідження, розвиток міждисциплінарних підходів та підвищення рівня професійної підготовки експертів у галузі криміналістики. Це дозволить забезпечити ефективне функціонування системи правосуддя й водночас підвищить рівень довіри суспільства до результатів почеркознавчої експертизи як надійного засобу встановлення істини у кримінальних та цивільних справах.</w:t>
      </w:r>
    </w:p>
    <w:p w14:paraId="7C91178E" w14:textId="77777777" w:rsidR="00532C25" w:rsidRPr="00511005" w:rsidRDefault="00532C25" w:rsidP="00532C25">
      <w:pPr>
        <w:spacing w:line="264" w:lineRule="auto"/>
        <w:ind w:firstLine="720"/>
        <w:rPr>
          <w:rFonts w:ascii="Arial" w:eastAsia="Calibri" w:hAnsi="Arial" w:cs="Arial"/>
          <w:szCs w:val="28"/>
          <w:lang w:val="uk-UA" w:bidi="uk-UA"/>
        </w:rPr>
      </w:pPr>
    </w:p>
    <w:p w14:paraId="65419932" w14:textId="77777777" w:rsidR="00532C25" w:rsidRPr="00511005" w:rsidRDefault="00532C25" w:rsidP="00532C25">
      <w:pPr>
        <w:tabs>
          <w:tab w:val="left" w:pos="7088"/>
        </w:tabs>
        <w:spacing w:line="264" w:lineRule="auto"/>
        <w:ind w:firstLine="720"/>
        <w:jc w:val="center"/>
        <w:rPr>
          <w:rFonts w:ascii="Arial" w:eastAsia="Calibri" w:hAnsi="Arial" w:cs="Arial"/>
          <w:b/>
          <w:szCs w:val="28"/>
          <w:lang w:val="uk-UA" w:bidi="uk-UA"/>
        </w:rPr>
      </w:pPr>
      <w:r w:rsidRPr="00511005">
        <w:rPr>
          <w:rFonts w:ascii="Arial" w:eastAsia="Calibri" w:hAnsi="Arial" w:cs="Arial"/>
          <w:b/>
          <w:szCs w:val="28"/>
          <w:lang w:val="en-US" w:bidi="uk-UA"/>
        </w:rPr>
        <w:t>C</w:t>
      </w:r>
      <w:r w:rsidRPr="00511005">
        <w:rPr>
          <w:rFonts w:ascii="Arial" w:eastAsia="Calibri" w:hAnsi="Arial" w:cs="Arial"/>
          <w:b/>
          <w:szCs w:val="28"/>
          <w:lang w:val="uk-UA" w:bidi="uk-UA"/>
        </w:rPr>
        <w:t>писок використаних джерел</w:t>
      </w:r>
    </w:p>
    <w:p w14:paraId="209F01AF" w14:textId="77777777" w:rsidR="00532C25" w:rsidRPr="00511005" w:rsidRDefault="00532C25" w:rsidP="003F6A5D">
      <w:pPr>
        <w:widowControl w:val="0"/>
        <w:numPr>
          <w:ilvl w:val="0"/>
          <w:numId w:val="680"/>
        </w:numPr>
        <w:tabs>
          <w:tab w:val="left" w:pos="720"/>
          <w:tab w:val="left" w:pos="7088"/>
        </w:tabs>
        <w:autoSpaceDE w:val="0"/>
        <w:autoSpaceDN w:val="0"/>
        <w:adjustRightInd w:val="0"/>
        <w:spacing w:line="264" w:lineRule="auto"/>
        <w:ind w:left="0" w:firstLine="36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eastAsia="ru-RU" w:bidi="uk-UA"/>
        </w:rPr>
        <w:t xml:space="preserve">Іванов О. О., Науменко С. В., Брюхань С. В. Оцінювання ідентифікаційних ознак почерку за різних форм висновку експерта. </w:t>
      </w:r>
      <w:r w:rsidRPr="00511005">
        <w:rPr>
          <w:rFonts w:ascii="Arial" w:eastAsia="Times New Roman" w:hAnsi="Arial" w:cs="Arial"/>
          <w:bCs/>
          <w:i/>
          <w:iCs/>
          <w:szCs w:val="28"/>
          <w:lang w:eastAsia="ru-RU" w:bidi="uk-UA"/>
        </w:rPr>
        <w:t>Криміналістика і судова експертиза</w:t>
      </w:r>
      <w:r w:rsidRPr="00511005">
        <w:rPr>
          <w:rFonts w:ascii="Arial" w:eastAsia="Times New Roman" w:hAnsi="Arial" w:cs="Arial"/>
          <w:bCs/>
          <w:szCs w:val="28"/>
          <w:lang w:eastAsia="ru-RU" w:bidi="uk-UA"/>
        </w:rPr>
        <w:t xml:space="preserve">, 2021, № 3. URL: </w:t>
      </w:r>
      <w:hyperlink r:id="rId2029" w:tgtFrame="_new" w:history="1">
        <w:r w:rsidRPr="00511005">
          <w:rPr>
            <w:rFonts w:ascii="Arial" w:eastAsia="Times New Roman" w:hAnsi="Arial" w:cs="Arial"/>
            <w:bCs/>
            <w:szCs w:val="28"/>
            <w:lang w:eastAsia="ru-RU" w:bidi="uk-UA"/>
          </w:rPr>
          <w:t>https://khrife-journal.org/index.php/journal/article/download/502/548</w:t>
        </w:r>
      </w:hyperlink>
      <w:r w:rsidRPr="00511005">
        <w:rPr>
          <w:rFonts w:ascii="Arial" w:eastAsia="Times New Roman" w:hAnsi="Arial" w:cs="Arial"/>
          <w:bCs/>
          <w:szCs w:val="28"/>
          <w:lang w:eastAsia="ru-RU" w:bidi="uk-UA"/>
        </w:rPr>
        <w:t xml:space="preserve"> (дата звернення: 20.04.2025)</w:t>
      </w:r>
    </w:p>
    <w:p w14:paraId="0F106D58" w14:textId="77777777" w:rsidR="00532C25" w:rsidRPr="00511005" w:rsidRDefault="00532C25" w:rsidP="003F6A5D">
      <w:pPr>
        <w:widowControl w:val="0"/>
        <w:numPr>
          <w:ilvl w:val="0"/>
          <w:numId w:val="680"/>
        </w:numPr>
        <w:tabs>
          <w:tab w:val="left" w:pos="720"/>
          <w:tab w:val="left" w:pos="7088"/>
        </w:tabs>
        <w:autoSpaceDE w:val="0"/>
        <w:autoSpaceDN w:val="0"/>
        <w:adjustRightInd w:val="0"/>
        <w:spacing w:line="264" w:lineRule="auto"/>
        <w:ind w:left="0" w:firstLine="36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eastAsia="ru-RU" w:bidi="uk-UA"/>
        </w:rPr>
        <w:t>Кофанов А. В., Кобилянський О. Л., Кузьмічов Я. В., Удовенко Ж. В., Хільченко С. В. Криміналістика: питання і відповіді. Навч. посіб. – Київ: Центр учбової літератури, 2011. 280 с.</w:t>
      </w:r>
      <w:r w:rsidRPr="00511005">
        <w:rPr>
          <w:rFonts w:ascii="Arial" w:eastAsia="Times New Roman" w:hAnsi="Arial" w:cs="Arial"/>
          <w:bCs/>
          <w:szCs w:val="28"/>
          <w:lang w:val="uk-UA" w:eastAsia="ru-RU" w:bidi="uk-UA"/>
        </w:rPr>
        <w:t xml:space="preserve"> </w:t>
      </w:r>
      <w:r w:rsidRPr="00511005">
        <w:rPr>
          <w:rFonts w:ascii="Arial" w:eastAsia="Times New Roman" w:hAnsi="Arial" w:cs="Arial"/>
          <w:szCs w:val="28"/>
          <w:lang w:eastAsia="ru-RU"/>
        </w:rPr>
        <w:t xml:space="preserve">URL: </w:t>
      </w:r>
      <w:hyperlink r:id="rId2030" w:tgtFrame="_new" w:history="1">
        <w:r w:rsidRPr="00511005">
          <w:rPr>
            <w:rFonts w:ascii="Arial" w:eastAsia="Times New Roman" w:hAnsi="Arial" w:cs="Arial"/>
            <w:szCs w:val="28"/>
            <w:lang w:eastAsia="ru-RU"/>
          </w:rPr>
          <w:t>https://chtyvo.org.ua/authors/Udovenko_Zhanna/Kryminalistyka_pytannja_i_vidpovidi.pdf</w:t>
        </w:r>
      </w:hyperlink>
      <w:r w:rsidRPr="00511005">
        <w:rPr>
          <w:rFonts w:ascii="Arial" w:eastAsia="Times New Roman" w:hAnsi="Arial" w:cs="Arial"/>
          <w:szCs w:val="28"/>
          <w:lang w:eastAsia="ru-RU"/>
        </w:rPr>
        <w:t xml:space="preserve"> (дата звернення: 20.04.2025)</w:t>
      </w:r>
    </w:p>
    <w:p w14:paraId="043F897C" w14:textId="77777777" w:rsidR="00532C25" w:rsidRPr="00511005" w:rsidRDefault="00532C25" w:rsidP="003F6A5D">
      <w:pPr>
        <w:widowControl w:val="0"/>
        <w:numPr>
          <w:ilvl w:val="0"/>
          <w:numId w:val="680"/>
        </w:numPr>
        <w:tabs>
          <w:tab w:val="left" w:pos="720"/>
          <w:tab w:val="left" w:pos="7088"/>
        </w:tabs>
        <w:autoSpaceDE w:val="0"/>
        <w:autoSpaceDN w:val="0"/>
        <w:adjustRightInd w:val="0"/>
        <w:spacing w:line="264" w:lineRule="auto"/>
        <w:ind w:left="0" w:firstLine="36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eastAsia="ru-RU" w:bidi="uk-UA"/>
        </w:rPr>
        <w:t xml:space="preserve">Патик А. А., Патик Л. Л. Вимоги до зразків для порівняльного дослідження, що надаються для ідентифікації особи за почерком. </w:t>
      </w:r>
      <w:r w:rsidRPr="00511005">
        <w:rPr>
          <w:rFonts w:ascii="Arial" w:eastAsia="Times New Roman" w:hAnsi="Arial" w:cs="Arial"/>
          <w:bCs/>
          <w:i/>
          <w:iCs/>
          <w:szCs w:val="28"/>
          <w:lang w:eastAsia="ru-RU" w:bidi="uk-UA"/>
        </w:rPr>
        <w:t>Теорія та практика судово-експертної діяльності.</w:t>
      </w:r>
      <w:r w:rsidRPr="00511005">
        <w:rPr>
          <w:rFonts w:ascii="Arial" w:eastAsia="Times New Roman" w:hAnsi="Arial" w:cs="Arial"/>
          <w:bCs/>
          <w:szCs w:val="28"/>
          <w:lang w:eastAsia="ru-RU" w:bidi="uk-UA"/>
        </w:rPr>
        <w:t xml:space="preserve"> 2019. С. 324–327. URL: </w:t>
      </w:r>
      <w:r w:rsidRPr="00511005">
        <w:rPr>
          <w:rFonts w:ascii="Arial" w:eastAsia="Times New Roman" w:hAnsi="Arial" w:cs="Arial"/>
          <w:bCs/>
          <w:szCs w:val="28"/>
          <w:lang w:eastAsia="ru-RU" w:bidi="uk-UA"/>
        </w:rPr>
        <w:lastRenderedPageBreak/>
        <w:t>http://elar.naiau.kiev.ua/jspui/handle/123456789/15883 (дата звернення: 20.04.2025)</w:t>
      </w:r>
    </w:p>
    <w:p w14:paraId="148A1C96" w14:textId="77777777" w:rsidR="00532C25" w:rsidRPr="00511005" w:rsidRDefault="00532C25" w:rsidP="00532C25">
      <w:pPr>
        <w:spacing w:line="264" w:lineRule="auto"/>
        <w:ind w:firstLine="720"/>
        <w:rPr>
          <w:rFonts w:ascii="Arial" w:eastAsia="Calibri" w:hAnsi="Arial" w:cs="Arial"/>
          <w:b/>
          <w:szCs w:val="28"/>
          <w:lang w:val="uk-UA" w:bidi="uk-UA"/>
        </w:rPr>
      </w:pPr>
    </w:p>
    <w:p w14:paraId="1177655C" w14:textId="77777777" w:rsidR="00532C25" w:rsidRPr="00511005" w:rsidRDefault="00532C25" w:rsidP="00532C25">
      <w:pPr>
        <w:spacing w:line="264" w:lineRule="auto"/>
        <w:ind w:firstLine="720"/>
        <w:rPr>
          <w:rFonts w:ascii="Arial" w:eastAsia="Calibri" w:hAnsi="Arial" w:cs="Arial"/>
          <w:szCs w:val="28"/>
          <w:lang w:val="uk-UA" w:bidi="uk-UA"/>
        </w:rPr>
      </w:pPr>
      <w:r w:rsidRPr="00511005">
        <w:rPr>
          <w:rFonts w:ascii="Arial" w:eastAsia="Calibri" w:hAnsi="Arial" w:cs="Arial"/>
          <w:b/>
          <w:i/>
          <w:szCs w:val="28"/>
          <w:lang w:val="uk-UA" w:bidi="uk-UA"/>
        </w:rPr>
        <w:t xml:space="preserve">Ключові слова: </w:t>
      </w:r>
      <w:r w:rsidRPr="00511005">
        <w:rPr>
          <w:rFonts w:ascii="Arial" w:eastAsia="Calibri" w:hAnsi="Arial" w:cs="Arial"/>
          <w:szCs w:val="28"/>
          <w:lang w:val="uk-UA" w:bidi="uk-UA"/>
        </w:rPr>
        <w:t>почеркознавча експертиза, криміналістика, ідентифікація особи, письмові зразки, індивідуальні ознаки почерку, експертне дослідження, судова експертиза.</w:t>
      </w:r>
    </w:p>
    <w:p w14:paraId="2C783D1C" w14:textId="77777777" w:rsidR="00532C25" w:rsidRPr="00511005" w:rsidRDefault="00532C25" w:rsidP="00532C25">
      <w:pPr>
        <w:spacing w:line="264" w:lineRule="auto"/>
        <w:ind w:firstLine="720"/>
        <w:rPr>
          <w:rFonts w:ascii="Arial" w:eastAsia="Calibri" w:hAnsi="Arial" w:cs="Arial"/>
          <w:szCs w:val="28"/>
          <w:lang w:val="uk-UA" w:bidi="uk-UA"/>
        </w:rPr>
      </w:pPr>
      <w:r w:rsidRPr="00511005">
        <w:rPr>
          <w:rFonts w:ascii="Arial" w:eastAsia="Calibri" w:hAnsi="Arial" w:cs="Arial"/>
          <w:b/>
          <w:bCs/>
          <w:i/>
          <w:szCs w:val="28"/>
          <w:lang w:val="uk-UA" w:bidi="uk-UA"/>
        </w:rPr>
        <w:t xml:space="preserve">Key words: </w:t>
      </w:r>
      <w:r w:rsidRPr="00511005">
        <w:rPr>
          <w:rFonts w:ascii="Arial" w:eastAsia="Calibri" w:hAnsi="Arial" w:cs="Arial"/>
          <w:szCs w:val="28"/>
          <w:lang w:val="uk-UA" w:bidi="uk-UA"/>
        </w:rPr>
        <w:t>handwriting examination, forensics, personal identification, written samples, individual handwriting features, expert research, forensic examination.</w:t>
      </w:r>
    </w:p>
    <w:p w14:paraId="1BCD27FA" w14:textId="77777777" w:rsidR="00532C25" w:rsidRPr="00511005" w:rsidRDefault="00532C25" w:rsidP="00532C25">
      <w:pPr>
        <w:tabs>
          <w:tab w:val="left" w:pos="993"/>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
          <w:i/>
          <w:iCs/>
          <w:szCs w:val="28"/>
        </w:rPr>
        <w:t xml:space="preserve">Науковий керівник: </w:t>
      </w:r>
      <w:r w:rsidRPr="00511005">
        <w:rPr>
          <w:rFonts w:ascii="Arial" w:eastAsia="Calibri" w:hAnsi="Arial" w:cs="Arial"/>
          <w:i/>
          <w:iCs/>
          <w:szCs w:val="28"/>
        </w:rPr>
        <w:t>д.ю.н., професор</w:t>
      </w:r>
      <w:r w:rsidRPr="00511005">
        <w:rPr>
          <w:rFonts w:ascii="Arial" w:eastAsia="Calibri" w:hAnsi="Arial" w:cs="Arial"/>
          <w:i/>
          <w:iCs/>
          <w:szCs w:val="28"/>
          <w:lang w:val="uk-UA"/>
        </w:rPr>
        <w:t xml:space="preserve"> </w:t>
      </w:r>
      <w:r w:rsidRPr="00511005">
        <w:rPr>
          <w:rFonts w:ascii="Arial" w:eastAsia="Calibri" w:hAnsi="Arial" w:cs="Arial"/>
          <w:i/>
          <w:iCs/>
          <w:szCs w:val="28"/>
        </w:rPr>
        <w:t>Цехан Д.М.</w:t>
      </w:r>
    </w:p>
    <w:p w14:paraId="28835C44" w14:textId="77777777" w:rsidR="00532C25" w:rsidRPr="00511005" w:rsidRDefault="00532C25" w:rsidP="00532C25">
      <w:pPr>
        <w:tabs>
          <w:tab w:val="left" w:pos="7088"/>
        </w:tabs>
        <w:spacing w:line="264" w:lineRule="auto"/>
        <w:ind w:firstLine="720"/>
        <w:jc w:val="left"/>
        <w:rPr>
          <w:rFonts w:ascii="Arial" w:eastAsia="Calibri" w:hAnsi="Arial" w:cs="Arial"/>
          <w:b/>
          <w:bCs/>
          <w:i/>
          <w:iCs/>
          <w:szCs w:val="28"/>
          <w:lang w:val="uk-UA" w:bidi="uk-UA"/>
        </w:rPr>
      </w:pPr>
    </w:p>
    <w:p w14:paraId="52776A41" w14:textId="77777777" w:rsidR="00532C25" w:rsidRPr="00511005" w:rsidRDefault="00532C25" w:rsidP="00532C25">
      <w:pPr>
        <w:tabs>
          <w:tab w:val="left" w:pos="7088"/>
        </w:tabs>
        <w:spacing w:line="264" w:lineRule="auto"/>
        <w:ind w:firstLine="720"/>
        <w:rPr>
          <w:rFonts w:ascii="Arial" w:eastAsia="Calibri" w:hAnsi="Arial" w:cs="Arial"/>
          <w:szCs w:val="28"/>
          <w:lang w:val="uk-UA" w:bidi="uk-UA"/>
        </w:rPr>
      </w:pPr>
    </w:p>
    <w:p w14:paraId="4A341961" w14:textId="77777777" w:rsidR="00532C25" w:rsidRPr="00511005" w:rsidRDefault="00532C25" w:rsidP="00532C25">
      <w:pPr>
        <w:spacing w:line="264" w:lineRule="auto"/>
        <w:ind w:firstLine="720"/>
        <w:jc w:val="center"/>
        <w:rPr>
          <w:rFonts w:ascii="Arial" w:eastAsia="Calibri" w:hAnsi="Arial" w:cs="Arial"/>
          <w:b/>
          <w:bCs/>
          <w:i/>
          <w:szCs w:val="28"/>
        </w:rPr>
      </w:pPr>
      <w:r w:rsidRPr="00511005">
        <w:rPr>
          <w:rFonts w:ascii="Arial" w:eastAsia="Calibri" w:hAnsi="Arial" w:cs="Arial"/>
          <w:b/>
          <w:bCs/>
          <w:i/>
          <w:szCs w:val="28"/>
        </w:rPr>
        <w:t>Руденко Вікторія Вікторівна</w:t>
      </w:r>
    </w:p>
    <w:p w14:paraId="4BBE68F1"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62CCC30F"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4640AA9"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CF9EB08" w14:textId="77777777" w:rsidR="00532C25" w:rsidRPr="00511005" w:rsidRDefault="00532C25" w:rsidP="00532C25">
      <w:pPr>
        <w:spacing w:line="264" w:lineRule="auto"/>
        <w:ind w:firstLine="720"/>
        <w:jc w:val="center"/>
        <w:rPr>
          <w:rFonts w:ascii="Arial" w:eastAsia="Calibri" w:hAnsi="Arial" w:cs="Arial"/>
          <w:szCs w:val="28"/>
        </w:rPr>
      </w:pPr>
    </w:p>
    <w:p w14:paraId="4ABA727D"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rPr>
        <w:t>ТАКТИЧНА ОПЕРАЦІЯ «РОЗШУК ЗЛОЧИНЦЯ ПРИ РОЗСЛІДУВАННІ КРАДІЖОК ТРАНСПОРТНИХ ЗАСОБІВ»</w:t>
      </w:r>
    </w:p>
    <w:p w14:paraId="6DC7047E"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Тактична операція в криміналістиці являє собою комплекс взаємопов'язаних слідчих (розшукових) дій та оперативно-розшукових заходів, які проводяться за єдиним планом і спрямовані на досягнення конкретної мети у розслідуванні певного виду злочину або окремої слідчої ситуації. Це цілеспрямована діяльність слідчого та інших учасників кримінального провадження, що ґрунтується на криміналістичних рекомендаціях, тактичних прийомах та врахуванні особливостей конкретного кримінального правопорушення. Тактична операція спрямована на досягнення конкретної проміжної мети в процесі розслідування. </w:t>
      </w:r>
      <w:r w:rsidRPr="00511005">
        <w:rPr>
          <w:rFonts w:ascii="Arial" w:eastAsia="Calibri" w:hAnsi="Arial" w:cs="Arial"/>
          <w:szCs w:val="28"/>
        </w:rPr>
        <w:tab/>
        <w:t>У</w:t>
      </w:r>
      <w:r w:rsidRPr="00511005">
        <w:rPr>
          <w:rFonts w:ascii="Arial" w:eastAsia="Calibri" w:hAnsi="Arial" w:cs="Arial"/>
          <w:szCs w:val="28"/>
          <w:lang w:val="uk-UA"/>
        </w:rPr>
        <w:t xml:space="preserve"> </w:t>
      </w:r>
      <w:r w:rsidRPr="00511005">
        <w:rPr>
          <w:rFonts w:ascii="Arial" w:eastAsia="Calibri" w:hAnsi="Arial" w:cs="Arial"/>
          <w:szCs w:val="28"/>
        </w:rPr>
        <w:t>практиці</w:t>
      </w:r>
      <w:r w:rsidRPr="00511005">
        <w:rPr>
          <w:rFonts w:ascii="Arial" w:eastAsia="Calibri" w:hAnsi="Arial" w:cs="Arial"/>
          <w:szCs w:val="28"/>
          <w:lang w:val="uk-UA"/>
        </w:rPr>
        <w:t xml:space="preserve"> </w:t>
      </w:r>
      <w:r w:rsidRPr="00511005">
        <w:rPr>
          <w:rFonts w:ascii="Arial" w:eastAsia="Calibri" w:hAnsi="Arial" w:cs="Arial"/>
          <w:szCs w:val="28"/>
        </w:rPr>
        <w:t xml:space="preserve">розслідування різних видів злочинів застосовуються різноманітні тактичні операції, серед яких: встановлення осіб, які були очевидцями події; забезпечення відшкодування завданих матеріальних збитків; робота з документами, що мають значення для розслідування; здійснення розшуку особи, яка вчинила злочин; встановлення особи невпізнаного трупа; забезпечення збереження та недоторканності доказів, а також інші операції, спрямовані на вирішення окремих завдань розслідування кримінальних правопорушень. Тактика окремих слідчих (розшукових) дій передбачає застосування тактичних правил і прийомів а) при підготовці слідчої (розшукової) дії; б) у ході її проведення; в) фіксації її ходу і результатів; г) оцінювання результатів, визначення їх доказового значення та необхідності подальшої перевірки. Тактична операція – комплекс слідчих (розшукових) та інших процесуальних дій, оперативних-розшукових, організаційних та інших заходів, які </w:t>
      </w:r>
      <w:r w:rsidRPr="00511005">
        <w:rPr>
          <w:rFonts w:ascii="Arial" w:eastAsia="Calibri" w:hAnsi="Arial" w:cs="Arial"/>
          <w:szCs w:val="28"/>
        </w:rPr>
        <w:lastRenderedPageBreak/>
        <w:t>проводяться за узгодженим планом та спрямовані на вирішення конкретного завдання під час розслідування</w:t>
      </w:r>
      <w:r w:rsidRPr="00511005">
        <w:rPr>
          <w:rFonts w:ascii="Arial" w:eastAsia="Times New Roman" w:hAnsi="Arial" w:cs="Arial"/>
          <w:spacing w:val="9"/>
          <w:szCs w:val="28"/>
          <w:lang w:eastAsia="uk-UA"/>
        </w:rPr>
        <w:t xml:space="preserve"> [3, с. 87,88].</w:t>
      </w:r>
    </w:p>
    <w:p w14:paraId="070442DF" w14:textId="77777777" w:rsidR="00532C25" w:rsidRPr="00511005" w:rsidRDefault="00532C25" w:rsidP="00532C25">
      <w:pPr>
        <w:spacing w:line="264" w:lineRule="auto"/>
        <w:ind w:firstLine="720"/>
        <w:rPr>
          <w:rFonts w:ascii="Arial" w:eastAsia="Calibri" w:hAnsi="Arial" w:cs="Arial"/>
          <w:spacing w:val="9"/>
          <w:szCs w:val="28"/>
          <w:shd w:val="clear" w:color="auto" w:fill="FFFFFF"/>
        </w:rPr>
      </w:pPr>
      <w:r w:rsidRPr="00511005">
        <w:rPr>
          <w:rFonts w:ascii="Arial" w:eastAsia="Times New Roman" w:hAnsi="Arial" w:cs="Arial"/>
          <w:spacing w:val="9"/>
          <w:szCs w:val="28"/>
          <w:lang w:eastAsia="uk-UA"/>
        </w:rPr>
        <w:t xml:space="preserve">Таким чином </w:t>
      </w:r>
      <w:r w:rsidRPr="00511005">
        <w:rPr>
          <w:rFonts w:ascii="Arial" w:eastAsia="Calibri" w:hAnsi="Arial" w:cs="Arial"/>
          <w:szCs w:val="28"/>
        </w:rPr>
        <w:t>тактична операція в розслідуванні кримінальних правопорушень являє собою спланований комплекс взаємопов'язаних слідчих, негласних слідчих (розшукових), дій, а також оперативно-розшукових, організаційно-технічних та інших необхідних заходів, що проводяться з метою ефективного вирішення конкретного практичного завдання в рамках кримінального провадження.</w:t>
      </w:r>
    </w:p>
    <w:p w14:paraId="49862A7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Характерними прикладами тактичних операцій є встановлення співучасників кримінального правопорушення, з’ясування каналів збуту викраденого майна та ін. У методиці розслідування корисливих злочинів типовою тактичною операцією є «Пошук майна»; при розслідуванні економічних злочинів важливе місце має тактична операція «Документ». При розслідуванні загальнокримінальних злочинів застосовується тактична операція «Затримання на місці вчинення кримінального правопорушення», яка спрямована на оперативне встановлення обставин злочину, виявлення його слідів та осіб, причетних до його вчинення. Проведення будь-якої тактичної операції вимагає попереднього розроблення детального плану, який обов'язково узгоджується із загальною стратегією розслідування кримінального провадження.</w:t>
      </w:r>
    </w:p>
    <w:p w14:paraId="3B18260B" w14:textId="77777777" w:rsidR="00532C25" w:rsidRPr="00511005" w:rsidRDefault="00532C25" w:rsidP="00532C25">
      <w:pPr>
        <w:spacing w:line="264" w:lineRule="auto"/>
        <w:ind w:firstLine="720"/>
        <w:rPr>
          <w:rFonts w:ascii="Arial" w:eastAsia="Times New Roman" w:hAnsi="Arial" w:cs="Arial"/>
          <w:szCs w:val="28"/>
          <w:lang w:eastAsia="uk-UA"/>
        </w:rPr>
      </w:pPr>
      <w:r w:rsidRPr="00511005">
        <w:rPr>
          <w:rFonts w:ascii="Arial" w:eastAsia="Calibri" w:hAnsi="Arial" w:cs="Arial"/>
          <w:szCs w:val="28"/>
        </w:rPr>
        <w:t>Тактична операція починається із планування, яке включає в себе аналіз ситуації, визначення основних напрямків дій, підбір необхідних сил і засобів, а також чітке розподілення ролей між співробітниками правоохоронних органів, прокуратури, спеціальних підрозділів та інших задіяних органів. Операція передбачає координацію роботи різних</w:t>
      </w:r>
      <w:r w:rsidRPr="00511005">
        <w:rPr>
          <w:rFonts w:ascii="Arial" w:eastAsia="Times New Roman" w:hAnsi="Arial" w:cs="Arial"/>
          <w:szCs w:val="28"/>
          <w:lang w:eastAsia="uk-UA"/>
        </w:rPr>
        <w:t xml:space="preserve"> підрозділів, включаючи оперативно-розшукові заходи, криміналістичні дослідження, а також правову оцінку зібраних доказів.</w:t>
      </w:r>
    </w:p>
    <w:p w14:paraId="287855C7" w14:textId="77777777" w:rsidR="00532C25" w:rsidRPr="00511005" w:rsidRDefault="00532C25" w:rsidP="00532C25">
      <w:pPr>
        <w:spacing w:line="264" w:lineRule="auto"/>
        <w:ind w:firstLine="720"/>
        <w:rPr>
          <w:rFonts w:ascii="Arial" w:eastAsia="Times New Roman" w:hAnsi="Arial" w:cs="Arial"/>
          <w:szCs w:val="28"/>
          <w:lang w:eastAsia="uk-UA"/>
        </w:rPr>
      </w:pPr>
      <w:r w:rsidRPr="00511005">
        <w:rPr>
          <w:rFonts w:ascii="Arial" w:eastAsia="Times New Roman" w:hAnsi="Arial" w:cs="Arial"/>
          <w:szCs w:val="28"/>
          <w:lang w:eastAsia="uk-UA"/>
        </w:rPr>
        <w:t>Розслідування крадіжок транспортних засобів зазвичай вимагає глибокого аналізу обставин злочину та пошуку зловмисників за допомогою різних тактичних прийомів, перегляд записів відеоспостереження, а також аналіз даних про угоди з транспортними засобами. Важливим елементом є ретельне вивчення місця вчинення злочину та збору доказів, які можуть бути використані для ідентифікації злочинців. Технології та технічні засоби, такі як мобільні технології, бази даних транспортних засобів та інформація про продажі, а також системи розпізнавання номерних знаків, є незамінними інструментами для оперативного пошуку зловмисників.</w:t>
      </w:r>
    </w:p>
    <w:p w14:paraId="2B7F8EB5" w14:textId="77777777" w:rsidR="00532C25" w:rsidRPr="00511005" w:rsidRDefault="00532C25" w:rsidP="00532C25">
      <w:pPr>
        <w:spacing w:line="264" w:lineRule="auto"/>
        <w:ind w:firstLine="720"/>
        <w:rPr>
          <w:rFonts w:ascii="Arial" w:eastAsia="Times New Roman" w:hAnsi="Arial" w:cs="Arial"/>
          <w:szCs w:val="28"/>
          <w:lang w:eastAsia="uk-UA"/>
        </w:rPr>
      </w:pPr>
      <w:r w:rsidRPr="00511005">
        <w:rPr>
          <w:rFonts w:ascii="Arial" w:eastAsia="Times New Roman" w:hAnsi="Arial" w:cs="Arial"/>
          <w:szCs w:val="28"/>
          <w:lang w:eastAsia="uk-UA"/>
        </w:rPr>
        <w:t xml:space="preserve">Крім того, важливим етапом тактичної операції є оперативна робота з підозрюваними та свідками. Під час розслідування співробітники правоохоронних органів повинні використовувати різноманітні методи допитів, а також застосовувати психологічні прийоми для отримання необхідних свідчень. Також здійснюється оцінка можливих мотивацій злочинців, що дозволяє спрогнозувати їх подальші дії і розробити стратегію </w:t>
      </w:r>
      <w:r w:rsidRPr="00511005">
        <w:rPr>
          <w:rFonts w:ascii="Arial" w:eastAsia="Times New Roman" w:hAnsi="Arial" w:cs="Arial"/>
          <w:szCs w:val="28"/>
          <w:lang w:eastAsia="uk-UA"/>
        </w:rPr>
        <w:lastRenderedPageBreak/>
        <w:t>для затримання. Аналізування мережі скупників крадених автомобілів і розкриття кримінальних груп, що займаються цими злочинами, є не менш важливим етапом. Часто крадіжки транспортних засобів є частиною більш складної злочинної схеми, яка включає перепродаж машин через нелегальні канали. Виявлення таких схем потребує глибокої аналітичної роботи та встановлення зв'язків між різними злочинцями.</w:t>
      </w:r>
    </w:p>
    <w:p w14:paraId="5792804E" w14:textId="77777777" w:rsidR="00532C25" w:rsidRPr="00511005" w:rsidRDefault="00532C25" w:rsidP="00532C25">
      <w:pPr>
        <w:spacing w:line="264" w:lineRule="auto"/>
        <w:ind w:firstLine="720"/>
        <w:rPr>
          <w:rFonts w:ascii="Arial" w:eastAsia="Times New Roman" w:hAnsi="Arial" w:cs="Arial"/>
          <w:szCs w:val="28"/>
          <w:lang w:eastAsia="uk-UA"/>
        </w:rPr>
      </w:pPr>
      <w:r w:rsidRPr="00511005">
        <w:rPr>
          <w:rFonts w:ascii="Arial" w:eastAsia="Times New Roman" w:hAnsi="Arial" w:cs="Arial"/>
          <w:szCs w:val="28"/>
          <w:lang w:eastAsia="uk-UA"/>
        </w:rPr>
        <w:t>Тактична операція також вимагає постійного моніторингу та оцінки її ефективності. Для цього правоохоронці повинні зібрати і проаналізувати результати проведених заходів, визначити, які методи виявилися найбільш результативними, а також провести коригування стратегії для досягнення кращих результатів. Окрім того, важливою складовою є і правова сторона – збір доказів повинен бути здійснений відповідно до вимог законодавства, щоб уникнути їх недопустимості у суді. У результаті, успішна реалізація тактичної операції «Розшук злочинця при розслідуванні крадіжок транспортних засобів» залежить від високої професійності правоохоронців, використання сучасних технологій, ефективної координації дій між різними органами та системного підходу до вирішення поставлених задач. Зокрема, важливими є як превентивні заходи для попередження злочинів, так і ефективні дії на етапі розслідування та розшуку зловмисників, що в кінцевому підсумку повинно призвести до розкриття злочинів і забезпечення правопорядку.</w:t>
      </w:r>
    </w:p>
    <w:p w14:paraId="2A512646"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Поряд із заходами з перевірки стандартних версій для виявлення осіб, причетних до злочину, та встановлення інформації про них, слідчо-оперативна група має проводити комплекс розшукових дій для встановлення місць, де може перебувати викрадений транспортний засіб.</w:t>
      </w:r>
    </w:p>
    <w:p w14:paraId="06362187"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За дорученням слідчого, оперативні працівники здійснюють наступні оперативно-розшукові заходи:</w:t>
      </w:r>
    </w:p>
    <w:p w14:paraId="65B0E034"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а) пошук викрадених речей поблизу місця крадіжки, тобто обстеження території;</w:t>
      </w:r>
    </w:p>
    <w:p w14:paraId="4D961284"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б) розшук викраденого майна в комісійних, скупних магазинах, ломбардах, ремонтних майстернях, на ринках тощо; </w:t>
      </w:r>
    </w:p>
    <w:p w14:paraId="115133D0"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в) здійснюють спостереження в районі скоєння крадіжки, звертаючи увагу на підозрілу поведінку, а також проводять збір інформації серед місцевих жителів; </w:t>
      </w:r>
    </w:p>
    <w:p w14:paraId="733D6E94"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г) пошук інших свідків події, що розслідується» [5, с. 79].</w:t>
      </w:r>
    </w:p>
    <w:p w14:paraId="16C81090"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Варто додати, що «корисна інформація – це та, важлива інформація, яка характеризує як злочин в цілому, так і окремі його обставини, зокрема дані про особу злочинця» [2, с. 92]. </w:t>
      </w:r>
    </w:p>
    <w:p w14:paraId="14303444"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На основі аналізу здобутих даних, негайно починається переслідування підозрюваного (групи осіб) по «гарячих слідах». Проводяться тактичні дії: «Розшук злочинця», «Затримання на місці», «Пошук викраденого», «Встановлення свідків» [4, с. 637]. </w:t>
      </w:r>
    </w:p>
    <w:p w14:paraId="1851C0EA"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lastRenderedPageBreak/>
        <w:t>Таким чином, зміст тактичної операції охоплює визначення цілей, вибір методів і засобів розслідування, а також організацію взаємодії між різними службами. Важливим аспектом є адаптація тактичних заходів до конкретних обставин справи, що дозволяє ефективно реагувати на зміни ситуації. Дана операція в криміналістиці є важливим етапом у розслідуванні злочинів, що включає в себе комплекс заходів, спрямованих на збір, аналіз та оцінку доказів з метою розкриття кримінальних правопорушень. Вона передбачає чітке планування дій слідчих, оперативних працівників та інших учасників процесу, що дозволяє оптимізувати використання ресурсів і зменшити ризики, а також є ключовим інструментом для забезпечення правосуддя.</w:t>
      </w:r>
    </w:p>
    <w:p w14:paraId="13628AEE" w14:textId="77777777" w:rsidR="00532C25" w:rsidRPr="00511005" w:rsidRDefault="00532C25" w:rsidP="00532C25">
      <w:pPr>
        <w:spacing w:line="264" w:lineRule="auto"/>
        <w:ind w:firstLine="720"/>
        <w:jc w:val="center"/>
        <w:rPr>
          <w:rFonts w:ascii="Arial" w:eastAsia="Calibri" w:hAnsi="Arial" w:cs="Arial"/>
          <w:b/>
          <w:szCs w:val="28"/>
        </w:rPr>
      </w:pPr>
    </w:p>
    <w:p w14:paraId="46788F99"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1A29B0D5" w14:textId="77777777" w:rsidR="00532C25" w:rsidRPr="00511005" w:rsidRDefault="00532C25" w:rsidP="003F6A5D">
      <w:pPr>
        <w:widowControl w:val="0"/>
        <w:numPr>
          <w:ilvl w:val="0"/>
          <w:numId w:val="628"/>
        </w:numPr>
        <w:autoSpaceDE w:val="0"/>
        <w:autoSpaceDN w:val="0"/>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Дрозд Д. І. Розслідування крадіжок з автотранспортних засобів: дис. … канд. юрид. наук. 12.00.09. Київ, 2019. 237 с.</w:t>
      </w:r>
    </w:p>
    <w:p w14:paraId="4C71A376" w14:textId="77777777" w:rsidR="00532C25" w:rsidRPr="00511005" w:rsidRDefault="00532C25" w:rsidP="003F6A5D">
      <w:pPr>
        <w:widowControl w:val="0"/>
        <w:numPr>
          <w:ilvl w:val="0"/>
          <w:numId w:val="628"/>
        </w:numPr>
        <w:autoSpaceDE w:val="0"/>
        <w:autoSpaceDN w:val="0"/>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 xml:space="preserve">Криміналістика : навч.-метод. посіб. для підготовки здобувачів вищої освіти ступеня «бакалавр» на ф-ті прокурат. та слідства (кримінал. юстиції) НУ «Одес. юрид. академія», галузь знань 08 «Право», спец. 081 «Право» / Л. І. Аркуша, В. В. Тіщенко, Ю. О. Гресь [та ін.] ; Нац. ун-т «Одес. юрид. академія». 5-те вид., випр. і доп. </w:t>
      </w:r>
      <w:proofErr w:type="gramStart"/>
      <w:r w:rsidRPr="00511005">
        <w:rPr>
          <w:rFonts w:ascii="Arial" w:eastAsia="Times New Roman" w:hAnsi="Arial" w:cs="Arial"/>
          <w:szCs w:val="28"/>
          <w:lang w:eastAsia="ru-RU"/>
        </w:rPr>
        <w:t>Одеса :</w:t>
      </w:r>
      <w:proofErr w:type="gramEnd"/>
      <w:r w:rsidRPr="00511005">
        <w:rPr>
          <w:rFonts w:ascii="Arial" w:eastAsia="Times New Roman" w:hAnsi="Arial" w:cs="Arial"/>
          <w:szCs w:val="28"/>
          <w:lang w:eastAsia="ru-RU"/>
        </w:rPr>
        <w:t xml:space="preserve"> Фенікс, 2024. 286 с.</w:t>
      </w:r>
    </w:p>
    <w:p w14:paraId="3E98B5AB" w14:textId="77777777" w:rsidR="00532C25" w:rsidRPr="00511005" w:rsidRDefault="00532C25" w:rsidP="003F6A5D">
      <w:pPr>
        <w:widowControl w:val="0"/>
        <w:numPr>
          <w:ilvl w:val="0"/>
          <w:numId w:val="628"/>
        </w:numPr>
        <w:autoSpaceDE w:val="0"/>
        <w:autoSpaceDN w:val="0"/>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Криміналістика. підручник / В.В. Пясковський, Ю.М. Чорноус, А.В. Самодін та ін.; за заг. ред. В.В. Пясковського. 2</w:t>
      </w:r>
      <w:r w:rsidRPr="00511005">
        <w:rPr>
          <w:rFonts w:ascii="Arial" w:eastAsia="Times New Roman" w:hAnsi="Arial" w:cs="Arial"/>
          <w:szCs w:val="28"/>
          <w:lang w:eastAsia="ru-RU"/>
        </w:rPr>
        <w:noBreakHyphen/>
        <w:t xml:space="preserve">ге вид., перероб. і допов. Харків. </w:t>
      </w:r>
      <w:r w:rsidRPr="00511005">
        <w:rPr>
          <w:rFonts w:ascii="Arial" w:eastAsia="Times New Roman" w:hAnsi="Arial" w:cs="Arial"/>
          <w:i/>
          <w:szCs w:val="28"/>
          <w:lang w:eastAsia="ru-RU"/>
        </w:rPr>
        <w:t>Право</w:t>
      </w:r>
      <w:r w:rsidRPr="00511005">
        <w:rPr>
          <w:rFonts w:ascii="Arial" w:eastAsia="Times New Roman" w:hAnsi="Arial" w:cs="Arial"/>
          <w:szCs w:val="28"/>
          <w:lang w:eastAsia="ru-RU"/>
        </w:rPr>
        <w:t>, 2020. 752 с.</w:t>
      </w:r>
    </w:p>
    <w:p w14:paraId="037E25C2" w14:textId="77777777" w:rsidR="00532C25" w:rsidRPr="00511005" w:rsidRDefault="00532C25" w:rsidP="003F6A5D">
      <w:pPr>
        <w:widowControl w:val="0"/>
        <w:numPr>
          <w:ilvl w:val="0"/>
          <w:numId w:val="628"/>
        </w:numPr>
        <w:autoSpaceDE w:val="0"/>
        <w:autoSpaceDN w:val="0"/>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Пазинич Т. А. Криміналістична характеристика шахрайств та основні положенні їх розслідування: дис…канд. юрид. наук: 12.00.09. Харків, 2006. 211 с.</w:t>
      </w:r>
    </w:p>
    <w:p w14:paraId="197B45A4" w14:textId="77777777" w:rsidR="00532C25" w:rsidRPr="00511005" w:rsidRDefault="00532C25" w:rsidP="00532C25">
      <w:pPr>
        <w:autoSpaceDE w:val="0"/>
        <w:autoSpaceDN w:val="0"/>
        <w:adjustRightInd w:val="0"/>
        <w:spacing w:line="264" w:lineRule="auto"/>
        <w:ind w:firstLine="720"/>
        <w:contextualSpacing/>
        <w:jc w:val="left"/>
        <w:rPr>
          <w:rFonts w:ascii="Arial" w:eastAsia="Times New Roman" w:hAnsi="Arial" w:cs="Arial"/>
          <w:i/>
          <w:szCs w:val="28"/>
          <w:lang w:eastAsia="ru-RU"/>
        </w:rPr>
      </w:pPr>
    </w:p>
    <w:p w14:paraId="292B66F7" w14:textId="77777777" w:rsidR="00532C25" w:rsidRPr="00511005" w:rsidRDefault="00532C25" w:rsidP="00532C25">
      <w:pPr>
        <w:autoSpaceDE w:val="0"/>
        <w:autoSpaceDN w:val="0"/>
        <w:adjustRightInd w:val="0"/>
        <w:spacing w:line="264" w:lineRule="auto"/>
        <w:ind w:firstLine="720"/>
        <w:contextualSpacing/>
        <w:jc w:val="left"/>
        <w:rPr>
          <w:rFonts w:ascii="Arial" w:eastAsia="Times New Roman" w:hAnsi="Arial" w:cs="Arial"/>
          <w:szCs w:val="28"/>
          <w:lang w:eastAsia="ru-RU"/>
        </w:rPr>
      </w:pPr>
      <w:r w:rsidRPr="00511005">
        <w:rPr>
          <w:rFonts w:ascii="Arial" w:eastAsia="Times New Roman" w:hAnsi="Arial" w:cs="Arial"/>
          <w:b/>
          <w:i/>
          <w:szCs w:val="28"/>
          <w:lang w:eastAsia="ru-RU"/>
        </w:rPr>
        <w:t xml:space="preserve">Ключові слова: </w:t>
      </w:r>
      <w:r w:rsidRPr="00511005">
        <w:rPr>
          <w:rFonts w:ascii="Arial" w:eastAsia="Times New Roman" w:hAnsi="Arial" w:cs="Arial"/>
          <w:szCs w:val="28"/>
          <w:lang w:eastAsia="ru-RU"/>
        </w:rPr>
        <w:t>тактична операція, слідчі (розшукові) дії, розслідування, розшук злочинця, оперативно-розшукові заходи, крадіжка, засоби.</w:t>
      </w:r>
    </w:p>
    <w:p w14:paraId="0119E907" w14:textId="77777777" w:rsidR="00532C25" w:rsidRPr="00511005" w:rsidRDefault="00532C25" w:rsidP="00532C25">
      <w:pPr>
        <w:autoSpaceDE w:val="0"/>
        <w:autoSpaceDN w:val="0"/>
        <w:adjustRightInd w:val="0"/>
        <w:spacing w:line="264" w:lineRule="auto"/>
        <w:ind w:firstLine="720"/>
        <w:contextualSpacing/>
        <w:jc w:val="left"/>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Pr="00511005">
        <w:rPr>
          <w:rFonts w:ascii="Arial" w:eastAsia="Times New Roman" w:hAnsi="Arial" w:cs="Arial"/>
          <w:szCs w:val="28"/>
          <w:lang w:val="en-US" w:eastAsia="ru-RU"/>
        </w:rPr>
        <w:t>tactical operation, investigative (search) actions, investigation, search for a criminal, operational-search measures, theft, means.</w:t>
      </w:r>
    </w:p>
    <w:p w14:paraId="5A0D561B" w14:textId="223F92E4" w:rsidR="00532C25" w:rsidRPr="00511005" w:rsidRDefault="003F50AD" w:rsidP="00532C25">
      <w:pPr>
        <w:autoSpaceDE w:val="0"/>
        <w:autoSpaceDN w:val="0"/>
        <w:adjustRightInd w:val="0"/>
        <w:spacing w:line="264" w:lineRule="auto"/>
        <w:ind w:firstLine="720"/>
        <w:contextualSpacing/>
        <w:jc w:val="left"/>
        <w:rPr>
          <w:rFonts w:ascii="Arial" w:eastAsia="Times New Roman" w:hAnsi="Arial" w:cs="Arial"/>
          <w:i/>
          <w:szCs w:val="28"/>
          <w:lang w:eastAsia="ru-RU"/>
        </w:rPr>
      </w:pPr>
      <w:r w:rsidRPr="00511005">
        <w:rPr>
          <w:rFonts w:ascii="Arial" w:eastAsia="Calibri" w:hAnsi="Arial" w:cs="Arial"/>
          <w:b/>
          <w:i/>
          <w:szCs w:val="28"/>
          <w:lang w:val="uk-UA"/>
        </w:rPr>
        <w:t xml:space="preserve">Науковий керівник: </w:t>
      </w:r>
      <w:r w:rsidR="00532C25" w:rsidRPr="00511005">
        <w:rPr>
          <w:rFonts w:ascii="Arial" w:eastAsia="Times New Roman" w:hAnsi="Arial" w:cs="Arial"/>
          <w:i/>
          <w:szCs w:val="28"/>
          <w:lang w:eastAsia="ru-RU"/>
        </w:rPr>
        <w:t>к.ю.н.</w:t>
      </w:r>
      <w:r w:rsidR="00532C25" w:rsidRPr="00511005">
        <w:rPr>
          <w:rFonts w:ascii="Arial" w:eastAsia="Times New Roman" w:hAnsi="Arial" w:cs="Arial"/>
          <w:i/>
          <w:szCs w:val="28"/>
          <w:lang w:val="uk-UA" w:eastAsia="ru-RU"/>
        </w:rPr>
        <w:t>,</w:t>
      </w:r>
      <w:r w:rsidR="00532C25" w:rsidRPr="00511005">
        <w:rPr>
          <w:rFonts w:ascii="Arial" w:eastAsia="Times New Roman" w:hAnsi="Arial" w:cs="Arial"/>
          <w:i/>
          <w:szCs w:val="28"/>
          <w:lang w:eastAsia="ru-RU"/>
        </w:rPr>
        <w:t xml:space="preserve"> доцент Чіпко Н.В.</w:t>
      </w:r>
    </w:p>
    <w:p w14:paraId="4CAD3C3A" w14:textId="77777777" w:rsidR="00532C25" w:rsidRPr="00511005" w:rsidRDefault="00532C25" w:rsidP="00532C25">
      <w:pPr>
        <w:autoSpaceDE w:val="0"/>
        <w:autoSpaceDN w:val="0"/>
        <w:adjustRightInd w:val="0"/>
        <w:spacing w:line="264" w:lineRule="auto"/>
        <w:ind w:firstLine="720"/>
        <w:contextualSpacing/>
        <w:jc w:val="left"/>
        <w:rPr>
          <w:rFonts w:ascii="Arial" w:eastAsia="Times New Roman" w:hAnsi="Arial" w:cs="Arial"/>
          <w:i/>
          <w:szCs w:val="28"/>
          <w:lang w:eastAsia="ru-RU"/>
        </w:rPr>
      </w:pPr>
    </w:p>
    <w:p w14:paraId="2CEC4A06" w14:textId="77777777" w:rsidR="00532C25" w:rsidRPr="00511005" w:rsidRDefault="00532C25" w:rsidP="00532C25">
      <w:pPr>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Самохвал Аліна Віталіївна</w:t>
      </w:r>
    </w:p>
    <w:p w14:paraId="7FE0908F"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3-го курсу факультету судового та міжнародного права</w:t>
      </w:r>
    </w:p>
    <w:p w14:paraId="6516A99F"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176135A" w14:textId="77777777" w:rsidR="00532C25" w:rsidRPr="00511005" w:rsidRDefault="00532C25" w:rsidP="00532C25">
      <w:pPr>
        <w:spacing w:line="264" w:lineRule="auto"/>
        <w:ind w:firstLine="720"/>
        <w:jc w:val="center"/>
        <w:rPr>
          <w:rFonts w:ascii="Arial" w:eastAsia="Calibri" w:hAnsi="Arial" w:cs="Arial"/>
          <w:szCs w:val="28"/>
          <w:lang w:val="uk-UA"/>
        </w:rPr>
      </w:pPr>
    </w:p>
    <w:p w14:paraId="19D12E54"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ПСИХОЛОГІЧНИЙ ВПЛИВ ПРОХОДЖЕННЯ ПОЛІГРАФА НА ОСОБУ</w:t>
      </w:r>
    </w:p>
    <w:p w14:paraId="08EAFCB3"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У сучасній Україні використання поліграфа стало поширеним інструментом </w:t>
      </w:r>
      <w:proofErr w:type="gramStart"/>
      <w:r w:rsidRPr="00511005">
        <w:rPr>
          <w:rFonts w:ascii="Arial" w:eastAsia="Times New Roman" w:hAnsi="Arial" w:cs="Arial"/>
          <w:i/>
          <w:iCs/>
          <w:szCs w:val="28"/>
          <w:lang w:eastAsia="ru-RU"/>
        </w:rPr>
        <w:t>у сферах</w:t>
      </w:r>
      <w:proofErr w:type="gramEnd"/>
      <w:r w:rsidRPr="00511005">
        <w:rPr>
          <w:rFonts w:ascii="Arial" w:eastAsia="Times New Roman" w:hAnsi="Arial" w:cs="Arial"/>
          <w:i/>
          <w:iCs/>
          <w:szCs w:val="28"/>
          <w:lang w:eastAsia="ru-RU"/>
        </w:rPr>
        <w:t xml:space="preserve"> правоохоронної діяльності, кадрового відбору та </w:t>
      </w:r>
      <w:r w:rsidRPr="00511005">
        <w:rPr>
          <w:rFonts w:ascii="Arial" w:eastAsia="Times New Roman" w:hAnsi="Arial" w:cs="Arial"/>
          <w:i/>
          <w:iCs/>
          <w:szCs w:val="28"/>
          <w:lang w:eastAsia="ru-RU"/>
        </w:rPr>
        <w:lastRenderedPageBreak/>
        <w:t>судової експертизи. Однак, поряд із технічними аспектами, важливо розглядати психологічний вплив цієї процедури на особу.</w:t>
      </w:r>
    </w:p>
    <w:p w14:paraId="39ED0AA3"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Застосування поліграфа в Україні ґрунтується на положеннях Конституції України, трудового законодавства та інших нормативно-правових актів. Зокрема, стаття 28 Конституції України зазначає, що жодна особа не може бути піддана медичним, науковим чи іншим дослідженням без її добровільної згоди. Використання поліграфа підпадає під категорію «інших досліджень». Крім того, стаття 32 Конституції України забороняє збирання, зберігання, використання та поширення конфіденційної інформації про особу без її згоди [5]. Отже, проведення поліграфного дослідження можливе лише за наявності письмової згоди особи.</w:t>
      </w:r>
    </w:p>
    <w:p w14:paraId="55BDDE1D"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Процедура проходження поліграфа включає кілька етапів: передтестову бесіду, тестування та аналіз результатів. Передтестова бесіда має на меті зменшити тривожність та встановити довіру між експертом та обстежуваним. Проте, навіть на цьому етапі може виникати психологічний дискомфорт, пов’язаний із усвідомленням серйозності процедури та можливих наслідків [1, с. 3]. </w:t>
      </w:r>
    </w:p>
    <w:p w14:paraId="6FFEE2A3"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Під час самого тестування особа може відчувати підвищену тривожність, страх перед можливістю помилкового результату або недовіру до методики. Ці емоції можуть впливати на фізіологічні показники, що реєструються поліграфом, і, відповідно, на інтерпретацію результатів [2, с. 5]. Особливо це стосується осіб з підвищеним рівнем тривожності або тих, хто має негативний досвід взаємодії з правоохоронними органами.</w:t>
      </w:r>
    </w:p>
    <w:p w14:paraId="20497AD5"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Психологічні дослідження свідчать, що особи з підвищеним рівнем тривожності та низькою стресостійкістю частіше вдаються до неправди. Водночас зв’язок між рівнем інтелекту та схильністю до брехні не встановлено [5].</w:t>
      </w:r>
    </w:p>
    <w:p w14:paraId="3DF9FB58"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Так, деякі поліграфологи під час проведення дослідження створюють для досліджуваного умови ізоляції – закривають вікна шторами, зачиняють двері, здійснюють звукоізоляцію приміщення тощо. Безперечно, важливо, щоб досліджуваний не відволікався на зовнішні шуми і зосереджувався на запитаннях поліграфолога. Проте, надмірна ізоляція також може впливати на результати дослідження, адже досліджуваний має перебувати в максимально наближених до звичних життєвих умовах [6</w:t>
      </w:r>
      <w:proofErr w:type="gramStart"/>
      <w:r w:rsidRPr="00511005">
        <w:rPr>
          <w:rFonts w:ascii="Arial" w:eastAsia="Times New Roman" w:hAnsi="Arial" w:cs="Arial"/>
          <w:szCs w:val="28"/>
          <w:lang w:eastAsia="ru-RU"/>
        </w:rPr>
        <w:t>] .</w:t>
      </w:r>
      <w:proofErr w:type="gramEnd"/>
    </w:p>
    <w:p w14:paraId="3A2C4120"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Здатність поліграфолога оцінити психологічний стан особи, що проходить дослідження, є необхідною умовою успішного проведення поліграфологічної перевірки. Безперечно, володіння психологічними знаннями значно підвищує ефективність роботи фахівця. Досвідчений поліграфолог часто може сформувати психологічний портрет досліджуваного ще </w:t>
      </w:r>
      <w:proofErr w:type="gramStart"/>
      <w:r w:rsidRPr="00511005">
        <w:rPr>
          <w:rFonts w:ascii="Arial" w:eastAsia="Times New Roman" w:hAnsi="Arial" w:cs="Arial"/>
          <w:szCs w:val="28"/>
          <w:lang w:eastAsia="ru-RU"/>
        </w:rPr>
        <w:t>до початку</w:t>
      </w:r>
      <w:proofErr w:type="gramEnd"/>
      <w:r w:rsidRPr="00511005">
        <w:rPr>
          <w:rFonts w:ascii="Arial" w:eastAsia="Times New Roman" w:hAnsi="Arial" w:cs="Arial"/>
          <w:szCs w:val="28"/>
          <w:lang w:eastAsia="ru-RU"/>
        </w:rPr>
        <w:t xml:space="preserve"> основної процедури.</w:t>
      </w:r>
    </w:p>
    <w:p w14:paraId="4ECB4084"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lastRenderedPageBreak/>
        <w:t xml:space="preserve">Людина зазвичай переконана, що поліграф здатен виявити її неправдиву інформацію. У таких обставинах спостереження за поведінкою досліджуваного дозволяє отримати більш повне уявлення про ситуацію. Поліграфологу не слід покладатися виключно на результати психофізіологічного тестування. Важливо ще </w:t>
      </w:r>
      <w:proofErr w:type="gramStart"/>
      <w:r w:rsidRPr="00511005">
        <w:rPr>
          <w:rFonts w:ascii="Arial" w:eastAsia="Times New Roman" w:hAnsi="Arial" w:cs="Arial"/>
          <w:szCs w:val="28"/>
          <w:lang w:eastAsia="ru-RU"/>
        </w:rPr>
        <w:t>до початку</w:t>
      </w:r>
      <w:proofErr w:type="gramEnd"/>
      <w:r w:rsidRPr="00511005">
        <w:rPr>
          <w:rFonts w:ascii="Arial" w:eastAsia="Times New Roman" w:hAnsi="Arial" w:cs="Arial"/>
          <w:szCs w:val="28"/>
          <w:lang w:eastAsia="ru-RU"/>
        </w:rPr>
        <w:t xml:space="preserve"> дослідження з’ясувати, чи не відчуває досліджуваний образу через недовіру або рекомендацію пройти перевірку на поліграфі. У подібних випадках особа з почуттям образи, як правило, прагне захистити себе, довести свою правоту та невинність.</w:t>
      </w:r>
    </w:p>
    <w:p w14:paraId="6676E443"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Дослідження також вказують на те, що фізіологічний стан обстежуваного, зокрема втома, недосипання або вживання певних медикаментів, може впливати на результати тестування. Це підкреслює необхідність ретельної підготовки та врахування індивідуальних особливостей кожної особи перед проведенням поліграфного дослідження [3, с. 4].</w:t>
      </w:r>
    </w:p>
    <w:p w14:paraId="7A1FD626"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Законодавче регулювання використання поліграфа в Україні ще не є достатньо чітким. Хоча існують нормативні акти, що регламентують використання поліграфа в окремих структурах, загального закону, який би визначав правовий статус та процедури використання поліграфа, наразі немає. Це створює певну правову невизначеність та може впливати на психологічний стан обстежуваних осіб, які не впевнені у своїх правах та захисті [4, с. 2].</w:t>
      </w:r>
    </w:p>
    <w:p w14:paraId="32675AA7"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 xml:space="preserve">Отже, </w:t>
      </w:r>
      <w:r w:rsidRPr="00511005">
        <w:rPr>
          <w:rFonts w:ascii="Arial" w:eastAsia="Times New Roman" w:hAnsi="Arial" w:cs="Arial"/>
          <w:i/>
          <w:iCs/>
          <w:szCs w:val="28"/>
          <w:lang w:eastAsia="ru-RU"/>
        </w:rPr>
        <w:t>використання поліграфа в Україні потребує більш чіткого законодавчого врегулювання та стандартизації процедур. Особливу увагу слід приділяти психологічній підготовці обстежуваних осіб та врахуванню їхніх індивідуальних особливостей. Тільки за таких умов поліграф може бути ефективним інструментом, який не завдає шкоди психічному здоров’ю особи.</w:t>
      </w:r>
    </w:p>
    <w:p w14:paraId="420D9368" w14:textId="77777777" w:rsidR="00532C25" w:rsidRPr="00511005" w:rsidRDefault="00532C25" w:rsidP="00532C25">
      <w:pPr>
        <w:spacing w:line="264" w:lineRule="auto"/>
        <w:ind w:firstLine="720"/>
        <w:jc w:val="left"/>
        <w:rPr>
          <w:rFonts w:ascii="Arial" w:eastAsia="Times New Roman" w:hAnsi="Arial" w:cs="Arial"/>
          <w:szCs w:val="28"/>
          <w:lang w:val="uk-UA" w:eastAsia="uk-UA"/>
        </w:rPr>
      </w:pPr>
    </w:p>
    <w:p w14:paraId="1DDCD559"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3BF185A2"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szCs w:val="28"/>
          <w:lang w:eastAsia="ru-RU"/>
        </w:rPr>
        <w:t>1. Психофізіологічні дослідження із застосуванням поліграфа. </w:t>
      </w:r>
      <w:r w:rsidRPr="00511005">
        <w:rPr>
          <w:rFonts w:ascii="Arial" w:eastAsia="Times New Roman" w:hAnsi="Arial" w:cs="Arial"/>
          <w:i/>
          <w:iCs/>
          <w:szCs w:val="28"/>
          <w:lang w:eastAsia="ru-RU"/>
        </w:rPr>
        <w:t>Київський науково-дослідний інститут судових експертиз Міністерства юстиції України</w:t>
      </w:r>
      <w:r w:rsidRPr="00511005">
        <w:rPr>
          <w:rFonts w:ascii="Arial" w:eastAsia="Times New Roman" w:hAnsi="Arial" w:cs="Arial"/>
          <w:szCs w:val="28"/>
          <w:lang w:eastAsia="ru-RU"/>
        </w:rPr>
        <w:t>. URL: </w:t>
      </w:r>
      <w:hyperlink r:id="rId2031" w:tgtFrame="_blank" w:history="1">
        <w:r w:rsidRPr="00511005">
          <w:rPr>
            <w:rFonts w:ascii="Arial" w:eastAsia="Times New Roman" w:hAnsi="Arial" w:cs="Arial"/>
            <w:szCs w:val="28"/>
            <w:lang w:eastAsia="ru-RU"/>
          </w:rPr>
          <w:t>https://kndise.gov.ua/psyhofiziologichni-doslidzhennya-iz-zastosuvannyam-poligrafa/</w:t>
        </w:r>
      </w:hyperlink>
      <w:r w:rsidRPr="00511005">
        <w:rPr>
          <w:rFonts w:ascii="Arial" w:eastAsia="Times New Roman" w:hAnsi="Arial" w:cs="Arial"/>
          <w:szCs w:val="28"/>
          <w:lang w:eastAsia="ru-RU"/>
        </w:rPr>
        <w:t> (дата звернення: 30.04.2025).</w:t>
      </w:r>
      <w:r w:rsidRPr="00511005">
        <w:rPr>
          <w:rFonts w:ascii="Arial" w:eastAsia="Times New Roman" w:hAnsi="Arial" w:cs="Arial"/>
          <w:i/>
          <w:iCs/>
          <w:szCs w:val="28"/>
          <w:lang w:eastAsia="ru-RU"/>
        </w:rPr>
        <w:t xml:space="preserve"> </w:t>
      </w:r>
    </w:p>
    <w:p w14:paraId="3BA06A93"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szCs w:val="28"/>
          <w:lang w:eastAsia="ru-RU"/>
        </w:rPr>
        <w:t>2. Палій</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Л., Бедан</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В. Вплив загального фізіологічного стану досліджуваного на результати тестування з використанням поліграфа.</w:t>
      </w:r>
      <w:r w:rsidRPr="00511005">
        <w:rPr>
          <w:rFonts w:ascii="Arial" w:eastAsia="Times New Roman" w:hAnsi="Arial" w:cs="Arial"/>
          <w:szCs w:val="28"/>
          <w:lang w:val="uk-UA" w:eastAsia="ru-RU"/>
        </w:rPr>
        <w:t xml:space="preserve"> </w:t>
      </w:r>
      <w:r w:rsidRPr="00511005">
        <w:rPr>
          <w:rFonts w:ascii="Arial" w:eastAsia="Times New Roman" w:hAnsi="Arial" w:cs="Arial"/>
          <w:i/>
          <w:iCs/>
          <w:szCs w:val="28"/>
          <w:lang w:eastAsia="ru-RU"/>
        </w:rPr>
        <w:t>Експертиза. Дослідження. Практика</w:t>
      </w:r>
      <w:r w:rsidRPr="00511005">
        <w:rPr>
          <w:rFonts w:ascii="Arial" w:eastAsia="Times New Roman" w:hAnsi="Arial" w:cs="Arial"/>
          <w:szCs w:val="28"/>
          <w:lang w:eastAsia="ru-RU"/>
        </w:rPr>
        <w:t>. 2021. № 3. С. 5.</w:t>
      </w:r>
      <w:r w:rsidRPr="00511005">
        <w:rPr>
          <w:rFonts w:ascii="Arial" w:eastAsia="Times New Roman" w:hAnsi="Arial" w:cs="Arial"/>
          <w:i/>
          <w:iCs/>
          <w:szCs w:val="28"/>
          <w:lang w:eastAsia="ru-RU"/>
        </w:rPr>
        <w:t xml:space="preserve"> </w:t>
      </w:r>
    </w:p>
    <w:p w14:paraId="14255143"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3. Луцюк А.М. Вивчення особистісних особливостей тестованого в процесі поліграфологічного обстеження. Експертиза. Дослідження. Практика. 2021. № 2. С. 4. </w:t>
      </w:r>
    </w:p>
    <w:p w14:paraId="76AB323B" w14:textId="77777777" w:rsidR="00532C25" w:rsidRPr="00511005" w:rsidRDefault="00532C25" w:rsidP="00532C25">
      <w:pPr>
        <w:autoSpaceDE w:val="0"/>
        <w:autoSpaceDN w:val="0"/>
        <w:adjustRightInd w:val="0"/>
        <w:spacing w:line="264" w:lineRule="auto"/>
        <w:ind w:firstLine="720"/>
        <w:rPr>
          <w:rFonts w:ascii="Arial" w:eastAsia="Times New Roman" w:hAnsi="Arial" w:cs="Arial"/>
          <w:i/>
          <w:iCs/>
          <w:szCs w:val="28"/>
          <w:lang w:eastAsia="ru-RU"/>
        </w:rPr>
      </w:pPr>
      <w:r w:rsidRPr="00511005">
        <w:rPr>
          <w:rFonts w:ascii="Arial" w:eastAsia="Times New Roman" w:hAnsi="Arial" w:cs="Arial"/>
          <w:i/>
          <w:iCs/>
          <w:szCs w:val="28"/>
          <w:lang w:eastAsia="ru-RU"/>
        </w:rPr>
        <w:t xml:space="preserve">4. Пріоритетні напрями розвитку поліграфологічної діяльності в Україні. Психологія та педагогіка. 2023. № 1. С. 2. </w:t>
      </w:r>
    </w:p>
    <w:p w14:paraId="20B2F8C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lastRenderedPageBreak/>
        <w:t>5. Конституція України: від 28.06.1996 № 254к/96-</w:t>
      </w:r>
      <w:proofErr w:type="gramStart"/>
      <w:r w:rsidRPr="00511005">
        <w:rPr>
          <w:rFonts w:ascii="Arial" w:eastAsia="Times New Roman" w:hAnsi="Arial" w:cs="Arial"/>
          <w:szCs w:val="28"/>
          <w:lang w:eastAsia="ru-RU"/>
        </w:rPr>
        <w:t>ВР :</w:t>
      </w:r>
      <w:proofErr w:type="gramEnd"/>
      <w:r w:rsidRPr="00511005">
        <w:rPr>
          <w:rFonts w:ascii="Arial" w:eastAsia="Times New Roman" w:hAnsi="Arial" w:cs="Arial"/>
          <w:szCs w:val="28"/>
          <w:lang w:eastAsia="ru-RU"/>
        </w:rPr>
        <w:t xml:space="preserve"> станом на 1 січ. 2020 р. URL: </w:t>
      </w:r>
      <w:hyperlink r:id="rId2032" w:anchor="Text" w:tgtFrame="_blank" w:history="1">
        <w:r w:rsidRPr="00511005">
          <w:rPr>
            <w:rFonts w:ascii="Arial" w:eastAsia="Times New Roman" w:hAnsi="Arial" w:cs="Arial"/>
            <w:szCs w:val="28"/>
            <w:lang w:eastAsia="ru-RU"/>
          </w:rPr>
          <w:t>https://zakon.rada.gov.ua/laws/show/254к/96-вр#Text</w:t>
        </w:r>
      </w:hyperlink>
      <w:r w:rsidRPr="00511005">
        <w:rPr>
          <w:rFonts w:ascii="Arial" w:eastAsia="Times New Roman" w:hAnsi="Arial" w:cs="Arial"/>
          <w:szCs w:val="28"/>
          <w:lang w:eastAsia="ru-RU"/>
        </w:rPr>
        <w:t> (дата звернення: 30.04.2025).</w:t>
      </w:r>
    </w:p>
    <w:p w14:paraId="0CFF6B3A"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6. Мул</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С. А. Проблеми застосування поліграфологічних досліджень. </w:t>
      </w:r>
      <w:r w:rsidRPr="00511005">
        <w:rPr>
          <w:rFonts w:ascii="Arial" w:eastAsia="Times New Roman" w:hAnsi="Arial" w:cs="Arial"/>
          <w:i/>
          <w:iCs/>
          <w:szCs w:val="28"/>
          <w:lang w:eastAsia="ru-RU"/>
        </w:rPr>
        <w:t>Психологічний часопис</w:t>
      </w:r>
      <w:r w:rsidRPr="00511005">
        <w:rPr>
          <w:rFonts w:ascii="Arial" w:eastAsia="Times New Roman" w:hAnsi="Arial" w:cs="Arial"/>
          <w:szCs w:val="28"/>
          <w:lang w:eastAsia="ru-RU"/>
        </w:rPr>
        <w:t>. 2017. 25 черв. С. 87–97. URL: </w:t>
      </w:r>
      <w:hyperlink r:id="rId2033" w:tgtFrame="_blank" w:history="1">
        <w:r w:rsidRPr="00511005">
          <w:rPr>
            <w:rFonts w:ascii="Arial" w:eastAsia="Times New Roman" w:hAnsi="Arial" w:cs="Arial"/>
            <w:szCs w:val="28"/>
            <w:lang w:eastAsia="ru-RU"/>
          </w:rPr>
          <w:t>https://apsijournal.com</w:t>
        </w:r>
      </w:hyperlink>
      <w:r w:rsidRPr="00511005">
        <w:rPr>
          <w:rFonts w:ascii="Arial" w:eastAsia="Times New Roman" w:hAnsi="Arial" w:cs="Arial"/>
          <w:szCs w:val="28"/>
          <w:lang w:eastAsia="ru-RU"/>
        </w:rPr>
        <w:t> (дата звернення: 30.04.2025).</w:t>
      </w:r>
    </w:p>
    <w:p w14:paraId="3DC13DA1" w14:textId="77777777" w:rsidR="00532C25" w:rsidRPr="00511005" w:rsidRDefault="00532C25" w:rsidP="00532C25">
      <w:pPr>
        <w:spacing w:line="264" w:lineRule="auto"/>
        <w:ind w:firstLine="720"/>
        <w:jc w:val="left"/>
        <w:rPr>
          <w:rFonts w:ascii="Arial" w:eastAsia="Calibri" w:hAnsi="Arial" w:cs="Arial"/>
          <w:szCs w:val="28"/>
          <w:lang w:val="uk-UA"/>
        </w:rPr>
      </w:pPr>
    </w:p>
    <w:p w14:paraId="39660DC0" w14:textId="77777777" w:rsidR="00532C25" w:rsidRPr="00511005" w:rsidRDefault="00532C25" w:rsidP="00532C25">
      <w:pPr>
        <w:spacing w:line="264" w:lineRule="auto"/>
        <w:ind w:firstLine="720"/>
        <w:jc w:val="left"/>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поліграф, детектор брехні, психологія, стрес, тривожність, психологічний вплив.</w:t>
      </w:r>
    </w:p>
    <w:p w14:paraId="1B2A4470" w14:textId="77777777" w:rsidR="00532C25" w:rsidRPr="00511005" w:rsidRDefault="00532C25" w:rsidP="00532C25">
      <w:pPr>
        <w:spacing w:line="264" w:lineRule="auto"/>
        <w:ind w:firstLine="720"/>
        <w:jc w:val="left"/>
        <w:rPr>
          <w:rFonts w:ascii="Arial" w:eastAsia="Calibri" w:hAnsi="Arial" w:cs="Arial"/>
          <w:szCs w:val="28"/>
          <w:lang w:val="uk-UA"/>
        </w:rPr>
      </w:pPr>
      <w:r w:rsidRPr="00511005">
        <w:rPr>
          <w:rFonts w:ascii="Arial" w:eastAsia="Calibri" w:hAnsi="Arial" w:cs="Arial"/>
          <w:b/>
          <w:i/>
          <w:szCs w:val="28"/>
          <w:lang w:val="en-US"/>
        </w:rPr>
        <w:t xml:space="preserve">Key words: </w:t>
      </w:r>
      <w:r w:rsidRPr="00511005">
        <w:rPr>
          <w:rFonts w:ascii="Arial" w:eastAsia="Calibri" w:hAnsi="Arial" w:cs="Arial"/>
          <w:szCs w:val="28"/>
          <w:lang w:val="en-US"/>
        </w:rPr>
        <w:t>Polygraph</w:t>
      </w:r>
      <w:r w:rsidRPr="00511005">
        <w:rPr>
          <w:rFonts w:ascii="Arial" w:eastAsia="Calibri" w:hAnsi="Arial" w:cs="Arial"/>
          <w:szCs w:val="28"/>
          <w:lang w:val="uk-UA"/>
        </w:rPr>
        <w:t xml:space="preserve">, </w:t>
      </w:r>
      <w:r w:rsidRPr="00511005">
        <w:rPr>
          <w:rFonts w:ascii="Arial" w:eastAsia="Calibri" w:hAnsi="Arial" w:cs="Arial"/>
          <w:szCs w:val="28"/>
          <w:lang w:val="en-US"/>
        </w:rPr>
        <w:t>lie</w:t>
      </w:r>
      <w:r w:rsidRPr="00511005">
        <w:rPr>
          <w:rFonts w:ascii="Arial" w:eastAsia="Calibri" w:hAnsi="Arial" w:cs="Arial"/>
          <w:szCs w:val="28"/>
          <w:lang w:val="uk-UA"/>
        </w:rPr>
        <w:t xml:space="preserve"> </w:t>
      </w:r>
      <w:r w:rsidRPr="00511005">
        <w:rPr>
          <w:rFonts w:ascii="Arial" w:eastAsia="Calibri" w:hAnsi="Arial" w:cs="Arial"/>
          <w:szCs w:val="28"/>
          <w:lang w:val="en-US"/>
        </w:rPr>
        <w:t>detector</w:t>
      </w:r>
      <w:r w:rsidRPr="00511005">
        <w:rPr>
          <w:rFonts w:ascii="Arial" w:eastAsia="Calibri" w:hAnsi="Arial" w:cs="Arial"/>
          <w:szCs w:val="28"/>
          <w:lang w:val="uk-UA"/>
        </w:rPr>
        <w:t xml:space="preserve">, </w:t>
      </w:r>
      <w:r w:rsidRPr="00511005">
        <w:rPr>
          <w:rFonts w:ascii="Arial" w:eastAsia="Calibri" w:hAnsi="Arial" w:cs="Arial"/>
          <w:szCs w:val="28"/>
          <w:lang w:val="en-US"/>
        </w:rPr>
        <w:t>psychology</w:t>
      </w:r>
      <w:r w:rsidRPr="00511005">
        <w:rPr>
          <w:rFonts w:ascii="Arial" w:eastAsia="Calibri" w:hAnsi="Arial" w:cs="Arial"/>
          <w:szCs w:val="28"/>
          <w:lang w:val="uk-UA"/>
        </w:rPr>
        <w:t xml:space="preserve">, </w:t>
      </w:r>
      <w:r w:rsidRPr="00511005">
        <w:rPr>
          <w:rFonts w:ascii="Arial" w:eastAsia="Calibri" w:hAnsi="Arial" w:cs="Arial"/>
          <w:szCs w:val="28"/>
          <w:lang w:val="en-US"/>
        </w:rPr>
        <w:t>stress</w:t>
      </w:r>
      <w:r w:rsidRPr="00511005">
        <w:rPr>
          <w:rFonts w:ascii="Arial" w:eastAsia="Calibri" w:hAnsi="Arial" w:cs="Arial"/>
          <w:szCs w:val="28"/>
          <w:lang w:val="uk-UA"/>
        </w:rPr>
        <w:t xml:space="preserve">, </w:t>
      </w:r>
      <w:r w:rsidRPr="00511005">
        <w:rPr>
          <w:rFonts w:ascii="Arial" w:eastAsia="Calibri" w:hAnsi="Arial" w:cs="Arial"/>
          <w:szCs w:val="28"/>
          <w:lang w:val="en-US"/>
        </w:rPr>
        <w:t>anxiety</w:t>
      </w:r>
      <w:r w:rsidRPr="00511005">
        <w:rPr>
          <w:rFonts w:ascii="Arial" w:eastAsia="Calibri" w:hAnsi="Arial" w:cs="Arial"/>
          <w:szCs w:val="28"/>
          <w:lang w:val="uk-UA"/>
        </w:rPr>
        <w:t xml:space="preserve">, </w:t>
      </w:r>
      <w:r w:rsidRPr="00511005">
        <w:rPr>
          <w:rFonts w:ascii="Arial" w:eastAsia="Calibri" w:hAnsi="Arial" w:cs="Arial"/>
          <w:szCs w:val="28"/>
          <w:lang w:val="en-US"/>
        </w:rPr>
        <w:t>psychological</w:t>
      </w:r>
      <w:r w:rsidRPr="00511005">
        <w:rPr>
          <w:rFonts w:ascii="Arial" w:eastAsia="Calibri" w:hAnsi="Arial" w:cs="Arial"/>
          <w:szCs w:val="28"/>
          <w:lang w:val="uk-UA"/>
        </w:rPr>
        <w:t xml:space="preserve"> </w:t>
      </w:r>
      <w:r w:rsidRPr="00511005">
        <w:rPr>
          <w:rFonts w:ascii="Arial" w:eastAsia="Calibri" w:hAnsi="Arial" w:cs="Arial"/>
          <w:szCs w:val="28"/>
          <w:lang w:val="en-US"/>
        </w:rPr>
        <w:t>impact</w:t>
      </w:r>
      <w:r w:rsidRPr="00511005">
        <w:rPr>
          <w:rFonts w:ascii="Arial" w:eastAsia="Calibri" w:hAnsi="Arial" w:cs="Arial"/>
          <w:szCs w:val="28"/>
          <w:lang w:val="uk-UA"/>
        </w:rPr>
        <w:t>.</w:t>
      </w:r>
    </w:p>
    <w:p w14:paraId="3F902D51" w14:textId="77777777" w:rsidR="00532C25" w:rsidRPr="00511005" w:rsidRDefault="00532C25" w:rsidP="00532C25">
      <w:pPr>
        <w:spacing w:line="264" w:lineRule="auto"/>
        <w:ind w:firstLine="720"/>
        <w:jc w:val="left"/>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Pr="00511005">
        <w:rPr>
          <w:rFonts w:ascii="Arial" w:eastAsia="Calibri" w:hAnsi="Arial" w:cs="Arial"/>
          <w:i/>
          <w:szCs w:val="28"/>
          <w:lang w:val="uk-UA"/>
        </w:rPr>
        <w:t>доктор філософії, доцент Чернов О. В.</w:t>
      </w:r>
    </w:p>
    <w:p w14:paraId="192751D9" w14:textId="77777777" w:rsidR="00532C25" w:rsidRPr="00511005" w:rsidRDefault="00532C25" w:rsidP="00532C25">
      <w:pPr>
        <w:tabs>
          <w:tab w:val="left" w:pos="7088"/>
        </w:tabs>
        <w:spacing w:line="264" w:lineRule="auto"/>
        <w:ind w:firstLine="720"/>
        <w:jc w:val="center"/>
        <w:rPr>
          <w:rFonts w:ascii="Arial" w:eastAsia="Calibri" w:hAnsi="Arial" w:cs="Arial"/>
          <w:b/>
          <w:i/>
          <w:szCs w:val="28"/>
          <w:lang w:val="uk-UA" w:bidi="uk-UA"/>
        </w:rPr>
      </w:pPr>
    </w:p>
    <w:p w14:paraId="147BA802" w14:textId="77777777" w:rsidR="00532C25" w:rsidRPr="00511005" w:rsidRDefault="00532C25" w:rsidP="00532C25">
      <w:pPr>
        <w:tabs>
          <w:tab w:val="left" w:pos="7088"/>
        </w:tabs>
        <w:spacing w:line="264" w:lineRule="auto"/>
        <w:ind w:firstLine="720"/>
        <w:jc w:val="center"/>
        <w:rPr>
          <w:rFonts w:ascii="Arial" w:eastAsia="Calibri" w:hAnsi="Arial" w:cs="Arial"/>
          <w:b/>
          <w:i/>
          <w:szCs w:val="28"/>
          <w:lang w:val="uk-UA" w:bidi="uk-UA"/>
        </w:rPr>
      </w:pPr>
    </w:p>
    <w:p w14:paraId="66E914B7" w14:textId="77777777" w:rsidR="00532C25" w:rsidRPr="00511005" w:rsidRDefault="00532C25" w:rsidP="00532C25">
      <w:pPr>
        <w:tabs>
          <w:tab w:val="left" w:pos="7088"/>
        </w:tabs>
        <w:spacing w:line="264" w:lineRule="auto"/>
        <w:ind w:firstLine="720"/>
        <w:jc w:val="center"/>
        <w:rPr>
          <w:rFonts w:ascii="Arial" w:eastAsia="Calibri" w:hAnsi="Arial" w:cs="Arial"/>
          <w:b/>
          <w:i/>
          <w:szCs w:val="28"/>
          <w:lang w:val="uk-UA" w:bidi="uk-UA"/>
        </w:rPr>
      </w:pPr>
      <w:r w:rsidRPr="00511005">
        <w:rPr>
          <w:rFonts w:ascii="Arial" w:eastAsia="Calibri" w:hAnsi="Arial" w:cs="Arial"/>
          <w:b/>
          <w:i/>
          <w:szCs w:val="28"/>
          <w:lang w:val="uk-UA" w:bidi="uk-UA"/>
        </w:rPr>
        <w:t>Сергієнко Анна Сергіївна</w:t>
      </w:r>
    </w:p>
    <w:p w14:paraId="16CC8EF8" w14:textId="77777777" w:rsidR="00532C25" w:rsidRPr="00511005" w:rsidRDefault="00532C25" w:rsidP="00532C25">
      <w:pPr>
        <w:tabs>
          <w:tab w:val="left" w:pos="7088"/>
        </w:tabs>
        <w:spacing w:line="264" w:lineRule="auto"/>
        <w:ind w:firstLine="720"/>
        <w:jc w:val="center"/>
        <w:rPr>
          <w:rFonts w:ascii="Arial" w:eastAsia="Calibri" w:hAnsi="Arial" w:cs="Arial"/>
          <w:szCs w:val="28"/>
          <w:lang w:val="uk-UA" w:bidi="uk-UA"/>
        </w:rPr>
      </w:pPr>
      <w:r w:rsidRPr="00511005">
        <w:rPr>
          <w:rFonts w:ascii="Arial" w:eastAsia="Calibri" w:hAnsi="Arial" w:cs="Arial"/>
          <w:szCs w:val="28"/>
          <w:lang w:val="uk-UA" w:bidi="uk-UA"/>
        </w:rPr>
        <w:t>студентка 2-го курсу факультету цивільної та господарської юстиції Національного університету «Одеська юридична академія»</w:t>
      </w:r>
    </w:p>
    <w:p w14:paraId="40957571" w14:textId="77777777" w:rsidR="00532C25" w:rsidRPr="00511005" w:rsidRDefault="00532C25" w:rsidP="00532C25">
      <w:pPr>
        <w:tabs>
          <w:tab w:val="left" w:pos="7088"/>
        </w:tabs>
        <w:spacing w:line="264" w:lineRule="auto"/>
        <w:ind w:firstLine="720"/>
        <w:jc w:val="left"/>
        <w:rPr>
          <w:rFonts w:ascii="Arial" w:eastAsia="Calibri" w:hAnsi="Arial" w:cs="Arial"/>
          <w:b/>
          <w:szCs w:val="28"/>
          <w:lang w:val="uk-UA" w:bidi="uk-UA"/>
        </w:rPr>
      </w:pPr>
    </w:p>
    <w:p w14:paraId="40C7567A" w14:textId="77777777" w:rsidR="00532C25" w:rsidRPr="00511005" w:rsidRDefault="00532C25" w:rsidP="00532C25">
      <w:pPr>
        <w:tabs>
          <w:tab w:val="left" w:pos="7088"/>
        </w:tabs>
        <w:spacing w:line="264" w:lineRule="auto"/>
        <w:ind w:firstLine="720"/>
        <w:jc w:val="center"/>
        <w:rPr>
          <w:rFonts w:ascii="Arial" w:eastAsia="Calibri" w:hAnsi="Arial" w:cs="Arial"/>
          <w:b/>
          <w:szCs w:val="28"/>
          <w:lang w:val="uk-UA" w:bidi="uk-UA"/>
        </w:rPr>
      </w:pPr>
      <w:r w:rsidRPr="00511005">
        <w:rPr>
          <w:rFonts w:ascii="Arial" w:eastAsia="Calibri" w:hAnsi="Arial" w:cs="Arial"/>
          <w:b/>
          <w:szCs w:val="28"/>
          <w:lang w:val="uk-UA" w:bidi="uk-UA"/>
        </w:rPr>
        <w:t>ОЧІ ГОВОРЯТЬ БІЛЬШЕ НІЖ ЗНАЄМО: ІДЕНТИФІКАЦІЯ ОСОБИ ЗА РАЙДУЖКОЮ ОКА</w:t>
      </w:r>
    </w:p>
    <w:p w14:paraId="3A4D6BC6"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Ідентифікація особи завжди була однією з ключових потреб у сфері безпеки, як на національному, так і на глобальному рівні. Сучасний світ стикається з дедалі складнішими викликами у боротьбі з тероризмом, кібератаками, незаконною міграцією та іншими загрозами, що потребують надійних та швидких методів розпізнавання особи. Однією з найбільш точних і перспективних біометричних технологій є ідентифікація за райдужною оболонкою ока. Її переваги полягають у надзвичайній індивідуальності та стабільності цього анатомічного елемента протягом життя людини.</w:t>
      </w:r>
    </w:p>
    <w:p w14:paraId="472C6285"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Райдужка ока – це унікальна текстура, яка формується ще в дитячому віці і залишається практично незмінною до кінця життя. Унікальність райдужної оболонки полягає в поєднанні характерних рис, таких як розгалуження судин, кольорові вкраплення, крипти та інші мікроструктури, які неможливо повторити навіть серед однояйцевих близнюків. Це робить метод ідентифікації за райдужкою надзвичайно точним і придатним для використання в системах безпеки, контролю доступу, в прикордонних службах, правоохоронних органах, банківській сфері та навіть у сфері охорони здоров’я.</w:t>
      </w:r>
    </w:p>
    <w:p w14:paraId="0CCC6F1F"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 xml:space="preserve">У контексті воєнного часу, зокрема в умовах повномасштабної війни в Україні, технологія ідентифікації за райдужною оболонкою набуває особливого значення. У зв’язку з постійними бойовими діями, евакуацією населення, переміщенням мільйонів осіб, складністю ідентифікації загиблих </w:t>
      </w:r>
      <w:r w:rsidRPr="00511005">
        <w:rPr>
          <w:rFonts w:ascii="Arial" w:eastAsia="Calibri" w:hAnsi="Arial" w:cs="Arial"/>
          <w:bCs/>
          <w:szCs w:val="28"/>
          <w:lang w:val="uk-UA" w:bidi="uk-UA"/>
        </w:rPr>
        <w:lastRenderedPageBreak/>
        <w:t>або важкопоранених осіб – виникає потреба в ефективних методах розпізнавання, які працюють навіть у складних обставинах. При цьому методи, що базуються на відбитках пальців чи обличчі, можуть виявитися менш ефективними через пошкодження тіла чи обличчя. Саме тому застосування біометричних сканерів райдужної оболонки є перспективним напрямком для Збройних Сил України, поліції, ДСНС та інших структур.</w:t>
      </w:r>
    </w:p>
    <w:p w14:paraId="19CFB3D5"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Подібно до відбитку пальця малюнок райдужної оболонки ока є унікальною характеристикою людини, а метод встановлення особистості за цим біометричним параметром, за думкою експертів, перевершує в надійності звичну дактилоскопію. Для того, щоб зафіксувати малюнок на райдужці потрібна фотокамера з високим розширенням. Отримане зображення збільшується і перетворюється в унікальний код який присвоюється людині. Малюнок райдужки який остаточно формується на другому році життя дитини, практично не змінюється протягом життя, якщо людина не отримує травм і не страждає від серйозних офтальмологічних патологій. В той же самий час, папілярний малюнок відбитку пальця вразливий до змін навіть в результаті дрібних побутових ушкоджень – опіків, або порізів, що робить цей метод ідентифікації менш ефективним ніж аналіз райдужної оболонки [2, c.52].</w:t>
      </w:r>
    </w:p>
    <w:p w14:paraId="5032B55D"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Особливо актуальною є розробка мобільних пристроїв для польових умов – компактних сканерів райдужки, які можна використовувати в місцях масового скупчення людей, на блокпостах, під час евакуації або для ідентифікації жертв катастроф. Українські розробники спільно з міжнародними партнерами вже працюють над інтеграцією біометричних технологій у військову сферу, про що свідчать експерименти, проведені в рамках системи «Армія SOS».</w:t>
      </w:r>
    </w:p>
    <w:p w14:paraId="44649976"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Втім, широке використання таких технологій несе в собі і ряд ризиків, які стосуються порушення прав людини, конфіденційності персональних даних та можливої централізації біометричної інформації. Законодавче регулювання у цій сфері потребує удосконалення та узгодження з міжнародними стандартами, зокрема Конвенцією Ради Європи №108 про захист осіб у зв’язку з автоматизованою обробкою персональних даних. В Україні правове регулювання біометричної ідентифікації досі залишається фрагментарним і не охоплює окремі аспекти, пов’язані з використанням новітніх технологій у воєнний та післявоєнний період [1].</w:t>
      </w:r>
    </w:p>
    <w:p w14:paraId="62601430"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Проблемним залишається і питання технічного забезпечення: сканери райдужки потребують стабільного енергозабезпечення, високоточного програмного забезпечення та відповідної підготовки персоналу. Крім того, в умовах бойових дій важливо забезпечити захист зібраної біометричної інформації від кібератак або незаконного використання. У цьому контексті роль Державної служби спеціального зв’язку та захисту інформації України значно зростає.</w:t>
      </w:r>
    </w:p>
    <w:p w14:paraId="1AF36ADA"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lastRenderedPageBreak/>
        <w:t>Не менш важливим є питання соціального сприйняття. Громадяни часто насторожено ставляться до збирання біометричних даних, побоюючись тотального контролю з боку держави. Тому важливо проводити роз’яснювальну роботу, забезпечити прозорість процедур збору та використання таких даних, а також дотримання принципів добровільності, правомірності та мінімізації.</w:t>
      </w:r>
    </w:p>
    <w:p w14:paraId="0756F8E0" w14:textId="77777777" w:rsidR="00532C25" w:rsidRPr="00511005" w:rsidRDefault="00532C25" w:rsidP="00532C25">
      <w:pPr>
        <w:tabs>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Cs/>
          <w:szCs w:val="28"/>
          <w:lang w:val="uk-UA" w:bidi="uk-UA"/>
        </w:rPr>
        <w:t>Таким чином, ідентифікація за райдужною оболонкою ока – це не лише технічна інновація, а й важливий інструмент забезпечення безпеки держави, особливо в умовах війни. Її ефективне використання може сприяти оперативній ідентифікації осіб, захисту прав громадян, розкриттю злочинів, а також гуманітарній місії щодо встановлення осіб загиблих. Усе це свідчить про необхідність продовження досліджень, розвитку технічної бази та вдосконалення нормативно-правового регулювання в цій сфері.</w:t>
      </w:r>
    </w:p>
    <w:p w14:paraId="2E966E63" w14:textId="77777777" w:rsidR="00532C25" w:rsidRPr="00511005" w:rsidRDefault="00532C25" w:rsidP="00532C25">
      <w:pPr>
        <w:spacing w:line="264" w:lineRule="auto"/>
        <w:ind w:firstLine="720"/>
        <w:jc w:val="left"/>
        <w:rPr>
          <w:rFonts w:ascii="Arial" w:eastAsia="Calibri" w:hAnsi="Arial" w:cs="Arial"/>
          <w:b/>
          <w:szCs w:val="28"/>
          <w:lang w:val="uk-UA" w:bidi="uk-UA"/>
        </w:rPr>
      </w:pPr>
    </w:p>
    <w:p w14:paraId="5C158A9A" w14:textId="77777777" w:rsidR="00532C25" w:rsidRPr="00511005" w:rsidRDefault="00532C25" w:rsidP="00532C25">
      <w:pPr>
        <w:tabs>
          <w:tab w:val="left" w:pos="7088"/>
        </w:tabs>
        <w:spacing w:line="264" w:lineRule="auto"/>
        <w:ind w:firstLine="720"/>
        <w:jc w:val="center"/>
        <w:rPr>
          <w:rFonts w:ascii="Arial" w:eastAsia="Calibri" w:hAnsi="Arial" w:cs="Arial"/>
          <w:b/>
          <w:szCs w:val="28"/>
          <w:lang w:val="uk-UA" w:bidi="uk-UA"/>
        </w:rPr>
      </w:pPr>
      <w:r w:rsidRPr="00511005">
        <w:rPr>
          <w:rFonts w:ascii="Arial" w:eastAsia="Calibri" w:hAnsi="Arial" w:cs="Arial"/>
          <w:b/>
          <w:szCs w:val="28"/>
          <w:lang w:val="uk-UA" w:bidi="uk-UA"/>
        </w:rPr>
        <w:t>Cписок використаних джерел</w:t>
      </w:r>
    </w:p>
    <w:p w14:paraId="41733074" w14:textId="77777777" w:rsidR="00532C25" w:rsidRPr="00511005" w:rsidRDefault="00532C25" w:rsidP="003F6A5D">
      <w:pPr>
        <w:widowControl w:val="0"/>
        <w:numPr>
          <w:ilvl w:val="0"/>
          <w:numId w:val="681"/>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bCs/>
          <w:szCs w:val="28"/>
          <w:lang w:val="uk-UA" w:eastAsia="ru-RU" w:bidi="uk-UA"/>
        </w:rPr>
      </w:pPr>
      <w:r w:rsidRPr="00511005">
        <w:rPr>
          <w:rFonts w:ascii="Arial" w:eastAsia="Times New Roman" w:hAnsi="Arial" w:cs="Arial"/>
          <w:b/>
          <w:bCs/>
          <w:szCs w:val="28"/>
          <w:lang w:val="uk-UA" w:eastAsia="ru-RU"/>
        </w:rPr>
        <w:t>Конвенція про захист осіб у зв'язку з автоматизованою обробкою персональних даних.</w:t>
      </w:r>
      <w:r w:rsidRPr="00511005">
        <w:rPr>
          <w:rFonts w:ascii="Arial" w:eastAsia="Times New Roman" w:hAnsi="Arial" w:cs="Arial"/>
          <w:szCs w:val="28"/>
          <w:lang w:val="uk-UA" w:eastAsia="ru-RU"/>
        </w:rPr>
        <w:t xml:space="preserve"> Прийнята в Страсбурзі 28 січня 1981 року.</w:t>
      </w:r>
      <w:r w:rsidRPr="00511005">
        <w:rPr>
          <w:rFonts w:ascii="Arial" w:eastAsia="Times New Roman" w:hAnsi="Arial" w:cs="Arial"/>
          <w:szCs w:val="28"/>
          <w:lang w:val="uk-UA" w:eastAsia="ru-RU"/>
        </w:rPr>
        <w:br/>
        <w:t>URL: https://zakon.rada.gov.ua/laws/show/994_364 (дата звернення: 20.04.2025)</w:t>
      </w:r>
      <w:r w:rsidRPr="00511005">
        <w:rPr>
          <w:rFonts w:ascii="Arial" w:eastAsia="Times New Roman" w:hAnsi="Arial" w:cs="Arial"/>
          <w:bCs/>
          <w:szCs w:val="28"/>
          <w:lang w:val="uk-UA" w:eastAsia="ru-RU" w:bidi="uk-UA"/>
        </w:rPr>
        <w:t xml:space="preserve"> </w:t>
      </w:r>
    </w:p>
    <w:p w14:paraId="7B16AB4D" w14:textId="77777777" w:rsidR="00532C25" w:rsidRPr="00511005" w:rsidRDefault="00532C25" w:rsidP="003F6A5D">
      <w:pPr>
        <w:widowControl w:val="0"/>
        <w:numPr>
          <w:ilvl w:val="0"/>
          <w:numId w:val="681"/>
        </w:numPr>
        <w:tabs>
          <w:tab w:val="left" w:pos="993"/>
          <w:tab w:val="left" w:pos="7088"/>
        </w:tabs>
        <w:autoSpaceDE w:val="0"/>
        <w:autoSpaceDN w:val="0"/>
        <w:adjustRightInd w:val="0"/>
        <w:spacing w:line="264" w:lineRule="auto"/>
        <w:ind w:left="0" w:firstLine="720"/>
        <w:contextualSpacing/>
        <w:jc w:val="left"/>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Курченко О.А. Зубик Л.В. Щебланін Ю.М. Аналіз застосування біометричних технологій в забезпеченні інформаційної безпеки. </w:t>
      </w:r>
      <w:r w:rsidRPr="00511005">
        <w:rPr>
          <w:rFonts w:ascii="Arial" w:eastAsia="Times New Roman" w:hAnsi="Arial" w:cs="Arial"/>
          <w:bCs/>
          <w:i/>
          <w:iCs/>
          <w:szCs w:val="28"/>
          <w:lang w:val="uk-UA" w:eastAsia="ru-RU" w:bidi="uk-UA"/>
        </w:rPr>
        <w:t>Olga Timofeeva</w:t>
      </w:r>
      <w:r w:rsidRPr="00511005">
        <w:rPr>
          <w:rFonts w:ascii="Arial" w:eastAsia="Times New Roman" w:hAnsi="Arial" w:cs="Arial"/>
          <w:bCs/>
          <w:szCs w:val="28"/>
          <w:lang w:val="uk-UA" w:eastAsia="ru-RU" w:bidi="uk-UA"/>
        </w:rPr>
        <w:t xml:space="preserve"> (2023): 52. </w:t>
      </w:r>
      <w:r w:rsidRPr="00511005">
        <w:rPr>
          <w:rFonts w:ascii="Arial" w:eastAsia="Times New Roman" w:hAnsi="Arial" w:cs="Arial"/>
          <w:szCs w:val="28"/>
          <w:lang w:val="uk-UA" w:eastAsia="ru-RU"/>
        </w:rPr>
        <w:t xml:space="preserve">URL: </w:t>
      </w:r>
      <w:r w:rsidR="005938AD">
        <w:fldChar w:fldCharType="begin"/>
      </w:r>
      <w:r w:rsidR="005938AD" w:rsidRPr="00C2797E">
        <w:rPr>
          <w:lang w:val="uk-UA"/>
        </w:rPr>
        <w:instrText xml:space="preserve"> </w:instrText>
      </w:r>
      <w:r w:rsidR="005938AD">
        <w:instrText>HYPERLINK</w:instrText>
      </w:r>
      <w:r w:rsidR="005938AD" w:rsidRPr="00C2797E">
        <w:rPr>
          <w:lang w:val="uk-UA"/>
        </w:rPr>
        <w:instrText xml:space="preserve"> "</w:instrText>
      </w:r>
      <w:r w:rsidR="005938AD">
        <w:instrText>https</w:instrText>
      </w:r>
      <w:r w:rsidR="005938AD" w:rsidRPr="00C2797E">
        <w:rPr>
          <w:lang w:val="uk-UA"/>
        </w:rPr>
        <w:instrText>://</w:instrText>
      </w:r>
      <w:r w:rsidR="005938AD">
        <w:instrText>intersci</w:instrText>
      </w:r>
      <w:r w:rsidR="005938AD" w:rsidRPr="00C2797E">
        <w:rPr>
          <w:lang w:val="uk-UA"/>
        </w:rPr>
        <w:instrText>.</w:instrText>
      </w:r>
      <w:r w:rsidR="005938AD">
        <w:instrText>eu</w:instrText>
      </w:r>
      <w:r w:rsidR="005938AD" w:rsidRPr="00C2797E">
        <w:rPr>
          <w:lang w:val="uk-UA"/>
        </w:rPr>
        <w:instrText>/</w:instrText>
      </w:r>
      <w:r w:rsidR="005938AD">
        <w:instrText>wp</w:instrText>
      </w:r>
      <w:r w:rsidR="005938AD" w:rsidRPr="00C2797E">
        <w:rPr>
          <w:lang w:val="uk-UA"/>
        </w:rPr>
        <w:instrText>-</w:instrText>
      </w:r>
      <w:r w:rsidR="005938AD">
        <w:instrText>content</w:instrText>
      </w:r>
      <w:r w:rsidR="005938AD" w:rsidRPr="00C2797E">
        <w:rPr>
          <w:lang w:val="uk-UA"/>
        </w:rPr>
        <w:instrText>/</w:instrText>
      </w:r>
      <w:r w:rsidR="005938AD">
        <w:instrText>uploads</w:instrText>
      </w:r>
      <w:r w:rsidR="005938AD" w:rsidRPr="00C2797E">
        <w:rPr>
          <w:lang w:val="uk-UA"/>
        </w:rPr>
        <w:instrText>/2023/04/</w:instrText>
      </w:r>
      <w:r w:rsidR="005938AD">
        <w:instrText>Principles</w:instrText>
      </w:r>
      <w:r w:rsidR="005938AD" w:rsidRPr="00C2797E">
        <w:rPr>
          <w:lang w:val="uk-UA"/>
        </w:rPr>
        <w:instrText>-</w:instrText>
      </w:r>
      <w:r w:rsidR="005938AD">
        <w:instrText>of</w:instrText>
      </w:r>
      <w:r w:rsidR="005938AD" w:rsidRPr="00C2797E">
        <w:rPr>
          <w:lang w:val="uk-UA"/>
        </w:rPr>
        <w:instrText>-</w:instrText>
      </w:r>
      <w:r w:rsidR="005938AD">
        <w:instrText>science</w:instrText>
      </w:r>
      <w:r w:rsidR="005938AD" w:rsidRPr="00C2797E">
        <w:rPr>
          <w:lang w:val="uk-UA"/>
        </w:rPr>
        <w:instrText>.-</w:instrText>
      </w:r>
      <w:r w:rsidR="005938AD">
        <w:instrText>Ideals</w:instrText>
      </w:r>
      <w:r w:rsidR="005938AD" w:rsidRPr="00C2797E">
        <w:rPr>
          <w:lang w:val="uk-UA"/>
        </w:rPr>
        <w:instrText>-</w:instrText>
      </w:r>
      <w:r w:rsidR="005938AD">
        <w:instrText>norms</w:instrText>
      </w:r>
      <w:r w:rsidR="005938AD" w:rsidRPr="00C2797E">
        <w:rPr>
          <w:lang w:val="uk-UA"/>
        </w:rPr>
        <w:instrText>-</w:instrText>
      </w:r>
      <w:r w:rsidR="005938AD">
        <w:instrText>values</w:instrText>
      </w:r>
      <w:r w:rsidR="005938AD" w:rsidRPr="00C2797E">
        <w:rPr>
          <w:lang w:val="uk-UA"/>
        </w:rPr>
        <w:instrText>-</w:instrText>
      </w:r>
      <w:r w:rsidR="005938AD">
        <w:instrText>in</w:instrText>
      </w:r>
      <w:r w:rsidR="005938AD" w:rsidRPr="00C2797E">
        <w:rPr>
          <w:lang w:val="uk-UA"/>
        </w:rPr>
        <w:instrText>-</w:instrText>
      </w:r>
      <w:r w:rsidR="005938AD">
        <w:instrText>science</w:instrText>
      </w:r>
      <w:r w:rsidR="005938AD" w:rsidRPr="00C2797E">
        <w:rPr>
          <w:lang w:val="uk-UA"/>
        </w:rPr>
        <w:instrText>-</w:instrText>
      </w:r>
      <w:r w:rsidR="005938AD">
        <w:instrText>and</w:instrText>
      </w:r>
      <w:r w:rsidR="005938AD" w:rsidRPr="00C2797E">
        <w:rPr>
          <w:lang w:val="uk-UA"/>
        </w:rPr>
        <w:instrText>-</w:instrText>
      </w:r>
      <w:r w:rsidR="005938AD">
        <w:instrText>style</w:instrText>
      </w:r>
      <w:r w:rsidR="005938AD" w:rsidRPr="00C2797E">
        <w:rPr>
          <w:lang w:val="uk-UA"/>
        </w:rPr>
        <w:instrText>-</w:instrText>
      </w:r>
      <w:r w:rsidR="005938AD">
        <w:instrText>of</w:instrText>
      </w:r>
      <w:r w:rsidR="005938AD" w:rsidRPr="00C2797E">
        <w:rPr>
          <w:lang w:val="uk-UA"/>
        </w:rPr>
        <w:instrText>-</w:instrText>
      </w:r>
      <w:r w:rsidR="005938AD">
        <w:instrText>scientific</w:instrText>
      </w:r>
      <w:r w:rsidR="005938AD" w:rsidRPr="00C2797E">
        <w:rPr>
          <w:lang w:val="uk-UA"/>
        </w:rPr>
        <w:instrText>-</w:instrText>
      </w:r>
      <w:r w:rsidR="005938AD">
        <w:instrText>thinking</w:instrText>
      </w:r>
      <w:r w:rsidR="005938AD" w:rsidRPr="00C2797E">
        <w:rPr>
          <w:lang w:val="uk-UA"/>
        </w:rPr>
        <w:instrText>.</w:instrText>
      </w:r>
      <w:r w:rsidR="005938AD">
        <w:instrText>pdf</w:instrText>
      </w:r>
      <w:r w:rsidR="005938AD" w:rsidRPr="00C2797E">
        <w:rPr>
          <w:lang w:val="uk-UA"/>
        </w:rPr>
        <w:instrText>" \</w:instrText>
      </w:r>
      <w:r w:rsidR="005938AD">
        <w:instrText>l</w:instrText>
      </w:r>
      <w:r w:rsidR="005938AD" w:rsidRPr="00C2797E">
        <w:rPr>
          <w:lang w:val="uk-UA"/>
        </w:rPr>
        <w:instrText xml:space="preserve"> "</w:instrText>
      </w:r>
      <w:r w:rsidR="005938AD">
        <w:instrText>page</w:instrText>
      </w:r>
      <w:r w:rsidR="005938AD" w:rsidRPr="00C2797E">
        <w:rPr>
          <w:lang w:val="uk-UA"/>
        </w:rPr>
        <w:instrText xml:space="preserve">=53" </w:instrText>
      </w:r>
      <w:r w:rsidR="005938AD">
        <w:fldChar w:fldCharType="separate"/>
      </w:r>
      <w:r w:rsidRPr="00511005">
        <w:rPr>
          <w:rFonts w:ascii="Arial" w:eastAsia="Times New Roman" w:hAnsi="Arial" w:cs="Arial"/>
          <w:bCs/>
          <w:szCs w:val="28"/>
          <w:lang w:val="uk-UA" w:eastAsia="ru-RU" w:bidi="uk-UA"/>
        </w:rPr>
        <w:t>https://intersci.eu/wp-content/uploads/2023/04/Principles-of-science.-Ideals-norms-values-in-science-and-style-of-scientific-thinking.pdf#page=53</w:t>
      </w:r>
      <w:r w:rsidR="005938AD">
        <w:rPr>
          <w:rFonts w:ascii="Arial" w:eastAsia="Times New Roman" w:hAnsi="Arial" w:cs="Arial"/>
          <w:bCs/>
          <w:szCs w:val="28"/>
          <w:lang w:val="uk-UA" w:eastAsia="ru-RU" w:bidi="uk-UA"/>
        </w:rPr>
        <w:fldChar w:fldCharType="end"/>
      </w:r>
      <w:r w:rsidRPr="00511005">
        <w:rPr>
          <w:rFonts w:ascii="Arial" w:eastAsia="Times New Roman" w:hAnsi="Arial" w:cs="Arial"/>
          <w:bCs/>
          <w:szCs w:val="28"/>
          <w:lang w:val="uk-UA" w:eastAsia="ru-RU" w:bidi="uk-UA"/>
        </w:rPr>
        <w:t xml:space="preserve"> </w:t>
      </w:r>
      <w:r w:rsidRPr="00511005">
        <w:rPr>
          <w:rFonts w:ascii="Arial" w:eastAsia="Times New Roman" w:hAnsi="Arial" w:cs="Arial"/>
          <w:szCs w:val="28"/>
          <w:lang w:val="uk-UA" w:eastAsia="ru-RU"/>
        </w:rPr>
        <w:t>(дата звернення: 20.04.2025)</w:t>
      </w:r>
    </w:p>
    <w:p w14:paraId="2FB6AF05" w14:textId="77777777" w:rsidR="00532C25" w:rsidRPr="00511005" w:rsidRDefault="00532C25" w:rsidP="00532C25">
      <w:pPr>
        <w:tabs>
          <w:tab w:val="left" w:pos="993"/>
          <w:tab w:val="left" w:pos="7088"/>
        </w:tabs>
        <w:spacing w:line="264" w:lineRule="auto"/>
        <w:ind w:firstLine="720"/>
        <w:rPr>
          <w:rFonts w:ascii="Arial" w:eastAsia="Calibri" w:hAnsi="Arial" w:cs="Arial"/>
          <w:bCs/>
          <w:szCs w:val="28"/>
          <w:lang w:val="uk-UA" w:bidi="uk-UA"/>
        </w:rPr>
      </w:pPr>
    </w:p>
    <w:p w14:paraId="0E652B03" w14:textId="77777777" w:rsidR="00532C25" w:rsidRPr="00511005" w:rsidRDefault="00532C25" w:rsidP="00532C25">
      <w:pPr>
        <w:tabs>
          <w:tab w:val="left" w:pos="993"/>
          <w:tab w:val="left" w:pos="7088"/>
        </w:tabs>
        <w:spacing w:line="264" w:lineRule="auto"/>
        <w:ind w:firstLine="720"/>
        <w:rPr>
          <w:rFonts w:ascii="Arial" w:eastAsia="Calibri" w:hAnsi="Arial" w:cs="Arial"/>
          <w:bCs/>
          <w:szCs w:val="28"/>
          <w:lang w:val="uk-UA" w:bidi="uk-UA"/>
        </w:rPr>
      </w:pPr>
      <w:r w:rsidRPr="00511005">
        <w:rPr>
          <w:rFonts w:ascii="Arial" w:eastAsia="Calibri" w:hAnsi="Arial" w:cs="Arial"/>
          <w:b/>
          <w:bCs/>
          <w:i/>
          <w:szCs w:val="28"/>
          <w:lang w:val="uk-UA" w:bidi="uk-UA"/>
        </w:rPr>
        <w:t xml:space="preserve">Ключові слова: </w:t>
      </w:r>
      <w:r w:rsidRPr="00511005">
        <w:rPr>
          <w:rFonts w:ascii="Arial" w:eastAsia="Calibri" w:hAnsi="Arial" w:cs="Arial"/>
          <w:bCs/>
          <w:szCs w:val="28"/>
          <w:lang w:val="uk-UA" w:bidi="uk-UA"/>
        </w:rPr>
        <w:t>безпека, тероризм, кібератака, міграція, розпізнання особи, райдужка ока, прикордонна служба, правоохоронні органи, евакуація, воєнний час, ідентифікація, біометричні сканери</w:t>
      </w:r>
    </w:p>
    <w:p w14:paraId="5A2FBD8C" w14:textId="77777777" w:rsidR="00532C25" w:rsidRPr="00511005" w:rsidRDefault="00532C25" w:rsidP="00532C25">
      <w:pPr>
        <w:tabs>
          <w:tab w:val="left" w:pos="993"/>
          <w:tab w:val="left" w:pos="7088"/>
        </w:tabs>
        <w:spacing w:line="264" w:lineRule="auto"/>
        <w:ind w:firstLine="720"/>
        <w:rPr>
          <w:rFonts w:ascii="Arial" w:eastAsia="Calibri" w:hAnsi="Arial" w:cs="Arial"/>
          <w:bCs/>
          <w:szCs w:val="28"/>
          <w:lang w:val="en-US" w:bidi="uk-UA"/>
        </w:rPr>
      </w:pPr>
      <w:r w:rsidRPr="00511005">
        <w:rPr>
          <w:rFonts w:ascii="Arial" w:eastAsia="Calibri" w:hAnsi="Arial" w:cs="Arial"/>
          <w:b/>
          <w:i/>
          <w:szCs w:val="28"/>
          <w:lang w:val="en-US"/>
        </w:rPr>
        <w:t xml:space="preserve">Key words: </w:t>
      </w:r>
      <w:r w:rsidRPr="00511005">
        <w:rPr>
          <w:rFonts w:ascii="Arial" w:eastAsia="Calibri" w:hAnsi="Arial" w:cs="Arial"/>
          <w:szCs w:val="28"/>
          <w:lang w:val="en-US"/>
        </w:rPr>
        <w:t>security, terrorism, cyberattack, migration, facial recognition, iris, border service, law enforcement, evacuation, wartime, identification, biometric scanners</w:t>
      </w:r>
    </w:p>
    <w:p w14:paraId="74878B2F" w14:textId="77777777" w:rsidR="00532C25" w:rsidRPr="00511005" w:rsidRDefault="00532C25" w:rsidP="00532C25">
      <w:pPr>
        <w:tabs>
          <w:tab w:val="left" w:pos="993"/>
          <w:tab w:val="left" w:pos="7088"/>
        </w:tabs>
        <w:spacing w:line="264" w:lineRule="auto"/>
        <w:ind w:firstLine="720"/>
        <w:rPr>
          <w:rFonts w:ascii="Arial" w:eastAsia="Calibri" w:hAnsi="Arial" w:cs="Arial"/>
          <w:i/>
          <w:szCs w:val="28"/>
          <w:lang w:val="uk-UA"/>
        </w:rPr>
      </w:pPr>
      <w:r w:rsidRPr="00511005">
        <w:rPr>
          <w:rFonts w:ascii="Arial" w:eastAsia="Calibri" w:hAnsi="Arial" w:cs="Arial"/>
          <w:b/>
          <w:bCs/>
          <w:i/>
          <w:szCs w:val="28"/>
          <w:lang w:val="uk-UA" w:bidi="uk-UA"/>
        </w:rPr>
        <w:t xml:space="preserve">Науковий керівник: </w:t>
      </w:r>
      <w:r w:rsidRPr="00511005">
        <w:rPr>
          <w:rFonts w:ascii="Arial" w:eastAsia="Calibri" w:hAnsi="Arial" w:cs="Arial"/>
          <w:i/>
          <w:szCs w:val="28"/>
          <w:lang w:val="uk-UA"/>
        </w:rPr>
        <w:t>д.ю.н., професор Тіщенко В.В.</w:t>
      </w:r>
    </w:p>
    <w:p w14:paraId="0EF3766D" w14:textId="77777777" w:rsidR="00532C25" w:rsidRPr="00511005" w:rsidRDefault="00532C25" w:rsidP="00532C25">
      <w:pPr>
        <w:spacing w:line="264" w:lineRule="auto"/>
        <w:ind w:firstLine="720"/>
        <w:jc w:val="center"/>
        <w:rPr>
          <w:rFonts w:ascii="Arial" w:eastAsia="Calibri" w:hAnsi="Arial" w:cs="Arial"/>
          <w:b/>
          <w:i/>
          <w:szCs w:val="28"/>
          <w:lang w:val="uk-UA"/>
        </w:rPr>
      </w:pPr>
    </w:p>
    <w:p w14:paraId="2D12D9E3" w14:textId="77777777" w:rsidR="00532C25" w:rsidRPr="00511005" w:rsidRDefault="00532C25" w:rsidP="00532C25">
      <w:pPr>
        <w:spacing w:line="264" w:lineRule="auto"/>
        <w:ind w:firstLine="720"/>
        <w:jc w:val="center"/>
        <w:rPr>
          <w:rFonts w:ascii="Arial" w:eastAsia="Calibri" w:hAnsi="Arial" w:cs="Arial"/>
          <w:b/>
          <w:i/>
          <w:szCs w:val="28"/>
          <w:lang w:val="uk-UA"/>
        </w:rPr>
      </w:pPr>
      <w:r w:rsidRPr="00511005">
        <w:rPr>
          <w:rFonts w:ascii="Arial" w:eastAsia="Calibri" w:hAnsi="Arial" w:cs="Arial"/>
          <w:b/>
          <w:i/>
          <w:szCs w:val="28"/>
          <w:lang w:val="uk-UA"/>
        </w:rPr>
        <w:t>Станков Данило Артемович</w:t>
      </w:r>
    </w:p>
    <w:p w14:paraId="473DAC56" w14:textId="77777777" w:rsidR="00532C25" w:rsidRPr="00511005" w:rsidRDefault="00532C25" w:rsidP="00532C25">
      <w:pPr>
        <w:spacing w:line="264" w:lineRule="auto"/>
        <w:ind w:firstLine="720"/>
        <w:jc w:val="center"/>
        <w:rPr>
          <w:rFonts w:ascii="Arial" w:eastAsia="Calibri" w:hAnsi="Arial" w:cs="Arial"/>
          <w:iCs/>
          <w:szCs w:val="28"/>
          <w:lang w:val="uk-UA"/>
        </w:rPr>
      </w:pPr>
      <w:r w:rsidRPr="00511005">
        <w:rPr>
          <w:rFonts w:ascii="Arial" w:eastAsia="Calibri" w:hAnsi="Arial" w:cs="Arial"/>
          <w:iCs/>
          <w:szCs w:val="28"/>
          <w:lang w:val="uk-UA"/>
        </w:rPr>
        <w:t>студент 3-го курсу факультету судового та міжнародного права</w:t>
      </w:r>
    </w:p>
    <w:p w14:paraId="2409350A" w14:textId="77777777" w:rsidR="00532C25" w:rsidRPr="00511005" w:rsidRDefault="00532C25" w:rsidP="00532C25">
      <w:pPr>
        <w:spacing w:line="264" w:lineRule="auto"/>
        <w:ind w:firstLine="720"/>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1044734A" w14:textId="77777777" w:rsidR="00532C25" w:rsidRPr="00511005" w:rsidRDefault="00532C25" w:rsidP="00532C25">
      <w:pPr>
        <w:spacing w:line="264" w:lineRule="auto"/>
        <w:ind w:firstLine="720"/>
        <w:jc w:val="center"/>
        <w:rPr>
          <w:rFonts w:ascii="Arial" w:eastAsia="Calibri" w:hAnsi="Arial" w:cs="Arial"/>
          <w:b/>
          <w:szCs w:val="28"/>
        </w:rPr>
      </w:pPr>
    </w:p>
    <w:p w14:paraId="2D078945"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ПОЛІГРАФ ЯК ІНСТРУМЕНТ РОЗСЛІДУВАННЯ КРИМІНАЛЬНИХ ПРАВОПОРУШЕНЬ У СФЕРІ СЛУЖБОВОЇ ДІЯЛЬНОСТІ</w:t>
      </w:r>
    </w:p>
    <w:p w14:paraId="1529D610" w14:textId="77777777" w:rsidR="00532C25" w:rsidRPr="00511005" w:rsidRDefault="00532C25" w:rsidP="00532C25">
      <w:pPr>
        <w:spacing w:line="264" w:lineRule="auto"/>
        <w:ind w:firstLine="720"/>
        <w:rPr>
          <w:rFonts w:ascii="Arial" w:hAnsi="Arial" w:cs="Arial"/>
          <w:szCs w:val="28"/>
          <w:lang w:val="uk-UA" w:eastAsia="zh-CN"/>
        </w:rPr>
      </w:pPr>
      <w:r w:rsidRPr="00511005">
        <w:rPr>
          <w:rFonts w:ascii="Arial" w:hAnsi="Arial" w:cs="Arial"/>
          <w:szCs w:val="28"/>
          <w:lang w:val="uk-UA" w:eastAsia="zh-CN"/>
        </w:rPr>
        <w:t xml:space="preserve">У сучасній практиці розслідування окремих видів кримінальних правопорушень зростає потреба в інструментах, які дозволяють ефективно </w:t>
      </w:r>
      <w:r w:rsidRPr="00511005">
        <w:rPr>
          <w:rFonts w:ascii="Arial" w:hAnsi="Arial" w:cs="Arial"/>
          <w:szCs w:val="28"/>
          <w:lang w:val="uk-UA" w:eastAsia="zh-CN"/>
        </w:rPr>
        <w:lastRenderedPageBreak/>
        <w:t>забезпечувати внутрішній контроль, протидіяти службовим зловживанням та формувати довірливе середовище в колективі. Одним із таких засобів є поліграф – апаратно-програмний комплекс, що фіксує фізіологічні реакції людини під час відповідей на певні запитання. Його головною метою в контексті службових розслідувань є не пошук прямих доказів вини, а виявлення прихованої інформації та встановлення достовірності наданих пояснень.</w:t>
      </w:r>
    </w:p>
    <w:p w14:paraId="0105EDEC" w14:textId="77777777" w:rsidR="00532C25" w:rsidRPr="00511005" w:rsidRDefault="00532C25" w:rsidP="00532C25">
      <w:pPr>
        <w:spacing w:line="264" w:lineRule="auto"/>
        <w:ind w:firstLine="720"/>
        <w:rPr>
          <w:rFonts w:ascii="Arial" w:hAnsi="Arial" w:cs="Arial"/>
          <w:szCs w:val="28"/>
          <w:lang w:val="uk-UA" w:eastAsia="zh-CN"/>
        </w:rPr>
      </w:pPr>
      <w:r w:rsidRPr="00511005">
        <w:rPr>
          <w:rFonts w:ascii="Arial" w:hAnsi="Arial" w:cs="Arial"/>
          <w:szCs w:val="28"/>
          <w:lang w:val="uk-UA" w:eastAsia="zh-CN"/>
        </w:rPr>
        <w:t>Практичне застосування поліграфа в розслідуваннях конкретних кримінальних правопорушень пов’язано передусім з потребою оперативного з’ясування обставин інцидентів, коли відсутні очевидні докази або свідчення. Особливо це актуально для внутрішніх розслідувань у корпоративному секторі, державних структурах, правоохоронних органах, а також у сфері, де працюють із конфіденційними даними або фінансовими ресурсами. За таких умов швидкість реагування та можливість виявлення потенційних порушників мають критичне значення [2].</w:t>
      </w:r>
    </w:p>
    <w:p w14:paraId="5B851C7F" w14:textId="77777777" w:rsidR="00532C25" w:rsidRPr="00511005" w:rsidRDefault="00532C25" w:rsidP="00532C25">
      <w:pPr>
        <w:spacing w:line="264" w:lineRule="auto"/>
        <w:ind w:firstLine="720"/>
        <w:rPr>
          <w:rFonts w:ascii="Arial" w:hAnsi="Arial" w:cs="Arial"/>
          <w:szCs w:val="28"/>
          <w:lang w:val="uk-UA" w:eastAsia="zh-CN"/>
        </w:rPr>
      </w:pPr>
      <w:r w:rsidRPr="00511005">
        <w:rPr>
          <w:rFonts w:ascii="Arial" w:hAnsi="Arial" w:cs="Arial"/>
          <w:szCs w:val="28"/>
          <w:lang w:val="uk-UA" w:eastAsia="zh-CN"/>
        </w:rPr>
        <w:t>Використання поліграфа дозволяє значно звузити коло осіб, які можуть бути причетні до кримінального правопорушення, виключити невинних з-під підозри або, навпаки, підтвердити необхідність подальшої перевірки щодо конкретної особи. Наприклад, якщо зникли документи або було виявлено факти махінацій, проведення тестування серед співробітників відповідного підрозділу допомагає окреслити найбільш імовірний напрям для подальшого аналізу.</w:t>
      </w:r>
    </w:p>
    <w:p w14:paraId="1CA322F6" w14:textId="77777777" w:rsidR="00532C25" w:rsidRPr="00511005" w:rsidRDefault="00532C25" w:rsidP="00532C25">
      <w:pPr>
        <w:spacing w:line="264" w:lineRule="auto"/>
        <w:ind w:firstLine="720"/>
        <w:rPr>
          <w:rFonts w:ascii="Arial" w:hAnsi="Arial" w:cs="Arial"/>
          <w:szCs w:val="28"/>
          <w:lang w:val="uk-UA" w:eastAsia="zh-CN"/>
        </w:rPr>
      </w:pPr>
      <w:r w:rsidRPr="00511005">
        <w:rPr>
          <w:rFonts w:ascii="Arial" w:hAnsi="Arial" w:cs="Arial"/>
          <w:szCs w:val="28"/>
          <w:lang w:val="uk-UA" w:eastAsia="zh-CN"/>
        </w:rPr>
        <w:t>Варто підкреслити, що поліграф не визначає винуватість особи у правовому сенсі. Його результати – це орієнтовні дані, які мають допоміжний характер і не є підставою для прийняття процесуальних рішень. Однак у практичному сенсі ці результати можуть бути надзвичайно цінними для прийняття управлінських рішень, у тому числі щодо зміни доступу до інформації, проведення додаткових аудитів або тимчасового усунення працівника.</w:t>
      </w:r>
    </w:p>
    <w:p w14:paraId="3980E8BF" w14:textId="77777777" w:rsidR="00532C25" w:rsidRPr="00511005" w:rsidRDefault="00532C25" w:rsidP="00532C25">
      <w:pPr>
        <w:spacing w:line="264" w:lineRule="auto"/>
        <w:ind w:firstLine="720"/>
        <w:rPr>
          <w:rFonts w:ascii="Arial" w:hAnsi="Arial" w:cs="Arial"/>
          <w:szCs w:val="28"/>
          <w:lang w:val="uk-UA" w:eastAsia="zh-CN"/>
        </w:rPr>
      </w:pPr>
      <w:r w:rsidRPr="00511005">
        <w:rPr>
          <w:rFonts w:ascii="Arial" w:hAnsi="Arial" w:cs="Arial"/>
          <w:szCs w:val="28"/>
          <w:lang w:val="uk-UA" w:eastAsia="zh-CN"/>
        </w:rPr>
        <w:t>У службових розслідуваннях, де часто виникають етичні дилеми або де інформація передається неофіційними каналами, поліграф виступає як засіб об’єктивізації процесу. Людський фактор, міжособистісні конфлікти або корпоративна культура замовчування можуть спотворювати хід такого розслідування. У цьому контексті поліграф сприяє зниженню суб’єктивності й посиленню доказової бази для подальших дій.</w:t>
      </w:r>
    </w:p>
    <w:p w14:paraId="216DB5C4" w14:textId="77777777" w:rsidR="00532C25" w:rsidRPr="00511005" w:rsidRDefault="00532C25" w:rsidP="00532C25">
      <w:pPr>
        <w:spacing w:line="264" w:lineRule="auto"/>
        <w:ind w:firstLine="720"/>
        <w:rPr>
          <w:rFonts w:ascii="Arial" w:hAnsi="Arial" w:cs="Arial"/>
          <w:szCs w:val="28"/>
          <w:lang w:val="uk-UA" w:eastAsia="zh-CN"/>
        </w:rPr>
      </w:pPr>
      <w:r w:rsidRPr="00511005">
        <w:rPr>
          <w:rFonts w:ascii="Arial" w:hAnsi="Arial" w:cs="Arial"/>
          <w:szCs w:val="28"/>
          <w:lang w:val="uk-UA" w:eastAsia="zh-CN"/>
        </w:rPr>
        <w:t xml:space="preserve">Однак важливо пам’ятати про правові рамки використання поліграфа. В Україні проходження тестування можливе лише на добровільній основі, після ознайомлення особи з її правами. Особи, які відмовляються від тестування, не можуть бути покарані або дискриміновані за таке рішення, хоча сама відмова може викликати інтерес з боку служби безпеки чи керівництва. Тому надзвичайно важливо забезпечити відкриту комунікацію </w:t>
      </w:r>
      <w:r w:rsidRPr="00511005">
        <w:rPr>
          <w:rFonts w:ascii="Arial" w:hAnsi="Arial" w:cs="Arial"/>
          <w:szCs w:val="28"/>
          <w:lang w:val="uk-UA" w:eastAsia="zh-CN"/>
        </w:rPr>
        <w:lastRenderedPageBreak/>
        <w:t>та пояснити працівникам, що мета поліграфа – не покарання, а з’ясування істини та запобігання конфліктам [3].</w:t>
      </w:r>
    </w:p>
    <w:p w14:paraId="08E2D388" w14:textId="77777777" w:rsidR="00532C25" w:rsidRPr="00511005" w:rsidRDefault="00532C25" w:rsidP="00532C25">
      <w:pPr>
        <w:spacing w:line="264" w:lineRule="auto"/>
        <w:ind w:firstLine="720"/>
        <w:rPr>
          <w:rFonts w:ascii="Arial" w:hAnsi="Arial" w:cs="Arial"/>
          <w:szCs w:val="28"/>
          <w:lang w:val="uk-UA" w:eastAsia="zh-CN"/>
        </w:rPr>
      </w:pPr>
      <w:r w:rsidRPr="00511005">
        <w:rPr>
          <w:rFonts w:ascii="Arial" w:hAnsi="Arial" w:cs="Arial"/>
          <w:szCs w:val="28"/>
          <w:lang w:val="uk-UA" w:eastAsia="zh-CN"/>
        </w:rPr>
        <w:t>Ефективність використання поліграфа залежить не лише від якості обладнання, а й від рівня підготовки фахівця-поліграфолога. Його завдання – не лише провести тестування, а й підготувати особу до процедури, сформулювати запитання таким чином, щоб уникнути двозначностей, правильно інтерпретувати отримані реакції. Усе це потребує високого рівня етики, тактовності та досвіду.</w:t>
      </w:r>
    </w:p>
    <w:p w14:paraId="00D9CC25" w14:textId="77777777" w:rsidR="00532C25" w:rsidRPr="00511005" w:rsidRDefault="00532C25" w:rsidP="00532C25">
      <w:pPr>
        <w:spacing w:line="264" w:lineRule="auto"/>
        <w:ind w:firstLine="720"/>
        <w:rPr>
          <w:rFonts w:ascii="Arial" w:hAnsi="Arial" w:cs="Arial"/>
          <w:szCs w:val="28"/>
          <w:lang w:val="uk-UA" w:eastAsia="zh-CN"/>
        </w:rPr>
      </w:pPr>
      <w:r w:rsidRPr="00511005">
        <w:rPr>
          <w:rFonts w:ascii="Arial" w:hAnsi="Arial" w:cs="Arial"/>
          <w:szCs w:val="28"/>
          <w:lang w:val="uk-UA" w:eastAsia="zh-CN"/>
        </w:rPr>
        <w:t>Особливу роль поліграф відіграє у тих випадках, коли йдеться про значні/резонансні посадові зловживання або втрату довіри до керівного складу. В таких умовах необхідно не лише виявити порушення, а й зберегти авторитет управлінської вертикалі. Поліграф у таких випадках дозволяє сформувати неупереджену позицію, що ґрунтується на об’єктивних показниках, а не лише на припущеннях чи внутрішніх конфліктах.</w:t>
      </w:r>
    </w:p>
    <w:p w14:paraId="3E7962B6" w14:textId="77777777" w:rsidR="00532C25" w:rsidRPr="00511005" w:rsidRDefault="00532C25" w:rsidP="00532C25">
      <w:pPr>
        <w:spacing w:line="264" w:lineRule="auto"/>
        <w:ind w:firstLine="720"/>
        <w:rPr>
          <w:rFonts w:ascii="Arial" w:hAnsi="Arial" w:cs="Arial"/>
          <w:szCs w:val="28"/>
          <w:lang w:val="uk-UA" w:eastAsia="zh-CN"/>
        </w:rPr>
      </w:pPr>
      <w:r w:rsidRPr="00511005">
        <w:rPr>
          <w:rFonts w:ascii="Arial" w:hAnsi="Arial" w:cs="Arial"/>
          <w:szCs w:val="28"/>
          <w:lang w:val="uk-UA" w:eastAsia="zh-CN"/>
        </w:rPr>
        <w:t>Також доцільним є застосування поліграфа в процесі відбору кадрів на відповідальні посади, де можливі ризики корупції, саботажу, недобросовісної поведінки або зв’язків із третіми сторонами. Регулярне тестування працівників із доступом до важливої інформації або ресурсів може бути частиною політики внутрішньої безпеки. Воно формує атмосферу відповідальності та чесності, де кожен розуміє, що приховати серйозні порушення майже неможливо [1].</w:t>
      </w:r>
    </w:p>
    <w:p w14:paraId="51CCAD98" w14:textId="77777777" w:rsidR="00532C25" w:rsidRPr="00511005" w:rsidRDefault="00532C25" w:rsidP="00532C25">
      <w:pPr>
        <w:spacing w:line="264" w:lineRule="auto"/>
        <w:ind w:firstLine="720"/>
        <w:jc w:val="center"/>
        <w:rPr>
          <w:rFonts w:ascii="Arial" w:eastAsia="Calibri" w:hAnsi="Arial" w:cs="Arial"/>
          <w:b/>
          <w:szCs w:val="28"/>
          <w:lang w:val="uk-UA"/>
        </w:rPr>
      </w:pPr>
    </w:p>
    <w:p w14:paraId="342C7E7B" w14:textId="77777777" w:rsidR="00532C25" w:rsidRPr="00511005" w:rsidRDefault="00532C25" w:rsidP="00532C25">
      <w:pPr>
        <w:spacing w:line="264" w:lineRule="auto"/>
        <w:ind w:firstLine="720"/>
        <w:jc w:val="center"/>
        <w:rPr>
          <w:rFonts w:ascii="Arial" w:eastAsia="Calibri" w:hAnsi="Arial" w:cs="Arial"/>
          <w:b/>
          <w:szCs w:val="28"/>
          <w:lang w:val="uk-UA"/>
        </w:rPr>
      </w:pPr>
      <w:r w:rsidRPr="00511005">
        <w:rPr>
          <w:rFonts w:ascii="Arial" w:eastAsia="Calibri" w:hAnsi="Arial" w:cs="Arial"/>
          <w:b/>
          <w:szCs w:val="28"/>
          <w:lang w:val="uk-UA"/>
        </w:rPr>
        <w:t xml:space="preserve">Список використаних джерел </w:t>
      </w:r>
    </w:p>
    <w:p w14:paraId="29FCFB7E" w14:textId="77777777" w:rsidR="00532C25" w:rsidRPr="00511005" w:rsidRDefault="00532C25" w:rsidP="003F6A5D">
      <w:pPr>
        <w:numPr>
          <w:ilvl w:val="0"/>
          <w:numId w:val="656"/>
        </w:numPr>
        <w:spacing w:line="264" w:lineRule="auto"/>
        <w:ind w:left="0" w:firstLine="720"/>
        <w:contextualSpacing/>
        <w:jc w:val="left"/>
        <w:rPr>
          <w:rFonts w:ascii="Arial" w:eastAsia="Times New Roman" w:hAnsi="Arial" w:cs="Arial"/>
          <w:iCs/>
          <w:szCs w:val="28"/>
          <w:lang w:val="uk-UA" w:eastAsia="ru-RU"/>
        </w:rPr>
      </w:pPr>
      <w:r w:rsidRPr="00511005">
        <w:rPr>
          <w:rFonts w:ascii="Arial" w:hAnsi="Arial" w:cs="Arial"/>
          <w:b/>
          <w:bCs/>
          <w:szCs w:val="28"/>
          <w:lang w:val="uk-UA" w:eastAsia="ru-RU"/>
        </w:rPr>
        <w:t>Lawis Group.</w:t>
      </w:r>
      <w:r w:rsidRPr="00511005">
        <w:rPr>
          <w:rFonts w:ascii="Arial" w:hAnsi="Arial" w:cs="Arial"/>
          <w:szCs w:val="28"/>
          <w:lang w:val="uk-UA" w:eastAsia="ru-RU"/>
        </w:rPr>
        <w:t xml:space="preserve"> Правові аспекти використання поліграфа в Україні. URL: </w:t>
      </w:r>
      <w:r w:rsidRPr="00511005">
        <w:rPr>
          <w:rFonts w:ascii="Arial" w:eastAsia="Times New Roman" w:hAnsi="Arial" w:cs="Arial"/>
          <w:szCs w:val="28"/>
          <w:lang w:val="uk-UA" w:eastAsia="ru-RU"/>
        </w:rPr>
        <w:t>https://lawis.group/pravovi-aspekty-vykorystannya-poligrafa-v-ukrayini/</w:t>
      </w:r>
    </w:p>
    <w:p w14:paraId="6948DD33" w14:textId="77777777" w:rsidR="00532C25" w:rsidRPr="00511005" w:rsidRDefault="00532C25" w:rsidP="003F6A5D">
      <w:pPr>
        <w:numPr>
          <w:ilvl w:val="0"/>
          <w:numId w:val="656"/>
        </w:numPr>
        <w:spacing w:line="264" w:lineRule="auto"/>
        <w:ind w:left="0" w:firstLine="720"/>
        <w:contextualSpacing/>
        <w:jc w:val="left"/>
        <w:rPr>
          <w:rFonts w:ascii="Arial" w:eastAsia="Times New Roman" w:hAnsi="Arial" w:cs="Arial"/>
          <w:iCs/>
          <w:szCs w:val="28"/>
          <w:lang w:val="uk-UA" w:eastAsia="ru-RU"/>
        </w:rPr>
      </w:pPr>
      <w:r w:rsidRPr="00511005">
        <w:rPr>
          <w:rFonts w:ascii="Arial" w:hAnsi="Arial" w:cs="Arial"/>
          <w:b/>
          <w:bCs/>
          <w:szCs w:val="28"/>
          <w:lang w:val="uk-UA" w:eastAsia="ru-RU"/>
        </w:rPr>
        <w:t>Гончарова О.В.</w:t>
      </w:r>
      <w:r w:rsidRPr="00511005">
        <w:rPr>
          <w:rFonts w:ascii="Arial" w:hAnsi="Arial" w:cs="Arial"/>
          <w:szCs w:val="28"/>
          <w:lang w:val="uk-UA" w:eastAsia="ru-RU"/>
        </w:rPr>
        <w:t xml:space="preserve"> Застосування поліграфа в службах безпеки приватних підприємств. </w:t>
      </w:r>
      <w:r w:rsidRPr="00511005">
        <w:rPr>
          <w:rFonts w:ascii="Arial" w:hAnsi="Arial" w:cs="Arial"/>
          <w:i/>
          <w:iCs/>
          <w:szCs w:val="28"/>
          <w:lang w:val="uk-UA" w:eastAsia="ru-RU"/>
        </w:rPr>
        <w:t>Колегія Поліграфологів України.</w:t>
      </w:r>
      <w:r w:rsidRPr="00511005">
        <w:rPr>
          <w:rFonts w:ascii="Arial" w:hAnsi="Arial" w:cs="Arial"/>
          <w:szCs w:val="28"/>
          <w:lang w:val="uk-UA" w:eastAsia="ru-RU"/>
        </w:rPr>
        <w:t xml:space="preserve"> URL: </w:t>
      </w:r>
      <w:r w:rsidR="005938AD">
        <w:fldChar w:fldCharType="begin"/>
      </w:r>
      <w:r w:rsidR="005938AD" w:rsidRPr="00C2797E">
        <w:rPr>
          <w:lang w:val="uk-UA"/>
        </w:rPr>
        <w:instrText xml:space="preserve"> </w:instrText>
      </w:r>
      <w:r w:rsidR="005938AD">
        <w:instrText>HYPERLINK</w:instrText>
      </w:r>
      <w:r w:rsidR="005938AD" w:rsidRPr="00C2797E">
        <w:rPr>
          <w:lang w:val="uk-UA"/>
        </w:rPr>
        <w:instrText xml:space="preserve"> "</w:instrText>
      </w:r>
      <w:r w:rsidR="005938AD">
        <w:instrText>https</w:instrText>
      </w:r>
      <w:r w:rsidR="005938AD" w:rsidRPr="00C2797E">
        <w:rPr>
          <w:lang w:val="uk-UA"/>
        </w:rPr>
        <w:instrText>://</w:instrText>
      </w:r>
      <w:r w:rsidR="005938AD">
        <w:instrText>kp</w:instrText>
      </w:r>
      <w:r w:rsidR="005938AD" w:rsidRPr="00C2797E">
        <w:rPr>
          <w:lang w:val="uk-UA"/>
        </w:rPr>
        <w:instrText>-</w:instrText>
      </w:r>
      <w:r w:rsidR="005938AD">
        <w:instrText>ua</w:instrText>
      </w:r>
      <w:r w:rsidR="005938AD" w:rsidRPr="00C2797E">
        <w:rPr>
          <w:lang w:val="uk-UA"/>
        </w:rPr>
        <w:instrText>.</w:instrText>
      </w:r>
      <w:r w:rsidR="005938AD">
        <w:instrText>com</w:instrText>
      </w:r>
      <w:r w:rsidR="005938AD" w:rsidRPr="00C2797E">
        <w:rPr>
          <w:lang w:val="uk-UA"/>
        </w:rPr>
        <w:instrText>/</w:instrText>
      </w:r>
      <w:r w:rsidR="005938AD">
        <w:instrText>goncharova</w:instrText>
      </w:r>
      <w:r w:rsidR="005938AD" w:rsidRPr="00C2797E">
        <w:rPr>
          <w:lang w:val="uk-UA"/>
        </w:rPr>
        <w:instrText>-</w:instrText>
      </w:r>
      <w:r w:rsidR="005938AD">
        <w:instrText>o</w:instrText>
      </w:r>
      <w:r w:rsidR="005938AD" w:rsidRPr="00C2797E">
        <w:rPr>
          <w:lang w:val="uk-UA"/>
        </w:rPr>
        <w:instrText>-</w:instrText>
      </w:r>
      <w:r w:rsidR="005938AD">
        <w:instrText>v</w:instrText>
      </w:r>
      <w:r w:rsidR="005938AD" w:rsidRPr="00C2797E">
        <w:rPr>
          <w:lang w:val="uk-UA"/>
        </w:rPr>
        <w:instrText>-</w:instrText>
      </w:r>
      <w:r w:rsidR="005938AD">
        <w:instrText>zastosuvannya</w:instrText>
      </w:r>
      <w:r w:rsidR="005938AD" w:rsidRPr="00C2797E">
        <w:rPr>
          <w:lang w:val="uk-UA"/>
        </w:rPr>
        <w:instrText>-</w:instrText>
      </w:r>
      <w:r w:rsidR="005938AD">
        <w:instrText>poligrafa</w:instrText>
      </w:r>
      <w:r w:rsidR="005938AD" w:rsidRPr="00C2797E">
        <w:rPr>
          <w:lang w:val="uk-UA"/>
        </w:rPr>
        <w:instrText>-</w:instrText>
      </w:r>
      <w:r w:rsidR="005938AD">
        <w:instrText>v</w:instrText>
      </w:r>
      <w:r w:rsidR="005938AD" w:rsidRPr="00C2797E">
        <w:rPr>
          <w:lang w:val="uk-UA"/>
        </w:rPr>
        <w:instrText>-</w:instrText>
      </w:r>
      <w:r w:rsidR="005938AD">
        <w:instrText>sluzhbah</w:instrText>
      </w:r>
      <w:r w:rsidR="005938AD" w:rsidRPr="00C2797E">
        <w:rPr>
          <w:lang w:val="uk-UA"/>
        </w:rPr>
        <w:instrText>-</w:instrText>
      </w:r>
      <w:r w:rsidR="005938AD">
        <w:instrText>bezpeky</w:instrText>
      </w:r>
      <w:r w:rsidR="005938AD" w:rsidRPr="00C2797E">
        <w:rPr>
          <w:lang w:val="uk-UA"/>
        </w:rPr>
        <w:instrText>-</w:instrText>
      </w:r>
      <w:r w:rsidR="005938AD">
        <w:instrText>pryvatnyh</w:instrText>
      </w:r>
      <w:r w:rsidR="005938AD" w:rsidRPr="00C2797E">
        <w:rPr>
          <w:lang w:val="uk-UA"/>
        </w:rPr>
        <w:instrText>-</w:instrText>
      </w:r>
      <w:r w:rsidR="005938AD">
        <w:instrText>pidpryyemstv</w:instrText>
      </w:r>
      <w:r w:rsidR="005938AD" w:rsidRPr="00C2797E">
        <w:rPr>
          <w:lang w:val="uk-UA"/>
        </w:rPr>
        <w:instrText>/" \</w:instrText>
      </w:r>
      <w:r w:rsidR="005938AD">
        <w:instrText>t</w:instrText>
      </w:r>
      <w:r w:rsidR="005938AD" w:rsidRPr="00C2797E">
        <w:rPr>
          <w:lang w:val="uk-UA"/>
        </w:rPr>
        <w:instrText xml:space="preserve"> "_</w:instrText>
      </w:r>
      <w:r w:rsidR="005938AD">
        <w:instrText>new</w:instrText>
      </w:r>
      <w:r w:rsidR="005938AD" w:rsidRPr="00C2797E">
        <w:rPr>
          <w:lang w:val="uk-UA"/>
        </w:rPr>
        <w:instrText xml:space="preserve">" </w:instrText>
      </w:r>
      <w:r w:rsidR="005938AD">
        <w:fldChar w:fldCharType="separate"/>
      </w:r>
      <w:r w:rsidRPr="00511005">
        <w:rPr>
          <w:rFonts w:ascii="Arial" w:hAnsi="Arial" w:cs="Arial"/>
          <w:szCs w:val="28"/>
          <w:lang w:val="uk-UA" w:eastAsia="ru-RU"/>
        </w:rPr>
        <w:t>https://kp-ua.com/goncharova-o-v-zastosuvannya-poligrafa-v-sluzhbah-bezpeky-pryvatnyh-pidpryyemstv/</w:t>
      </w:r>
      <w:r w:rsidR="005938AD">
        <w:rPr>
          <w:rFonts w:ascii="Arial" w:hAnsi="Arial" w:cs="Arial"/>
          <w:szCs w:val="28"/>
          <w:lang w:val="uk-UA" w:eastAsia="ru-RU"/>
        </w:rPr>
        <w:fldChar w:fldCharType="end"/>
      </w:r>
    </w:p>
    <w:p w14:paraId="2B5AD1DC" w14:textId="77777777" w:rsidR="00532C25" w:rsidRPr="00511005" w:rsidRDefault="00532C25" w:rsidP="003F6A5D">
      <w:pPr>
        <w:numPr>
          <w:ilvl w:val="0"/>
          <w:numId w:val="656"/>
        </w:numPr>
        <w:spacing w:line="264" w:lineRule="auto"/>
        <w:ind w:left="0" w:firstLine="720"/>
        <w:contextualSpacing/>
        <w:jc w:val="left"/>
        <w:rPr>
          <w:rFonts w:ascii="Arial" w:eastAsia="Times New Roman" w:hAnsi="Arial" w:cs="Arial"/>
          <w:szCs w:val="28"/>
          <w:lang w:val="uk-UA" w:eastAsia="ru-RU"/>
        </w:rPr>
      </w:pPr>
      <w:r w:rsidRPr="00511005">
        <w:rPr>
          <w:rFonts w:ascii="Arial" w:hAnsi="Arial" w:cs="Arial"/>
          <w:b/>
          <w:bCs/>
          <w:szCs w:val="28"/>
          <w:lang w:val="uk-UA" w:eastAsia="ru-RU"/>
        </w:rPr>
        <w:t>Назаров О.А.</w:t>
      </w:r>
      <w:r w:rsidRPr="00511005">
        <w:rPr>
          <w:rFonts w:ascii="Arial" w:hAnsi="Arial" w:cs="Arial"/>
          <w:szCs w:val="28"/>
          <w:lang w:val="uk-UA" w:eastAsia="ru-RU"/>
        </w:rPr>
        <w:t xml:space="preserve"> Проблемні питання використання поліграфа в діяльності органів внутрішніх справ України щодо протидії злочинам. </w:t>
      </w:r>
      <w:r w:rsidRPr="00511005">
        <w:rPr>
          <w:rFonts w:ascii="Arial" w:hAnsi="Arial" w:cs="Arial"/>
          <w:i/>
          <w:iCs/>
          <w:szCs w:val="28"/>
          <w:lang w:val="uk-UA" w:eastAsia="ru-RU"/>
        </w:rPr>
        <w:t>Колегія Поліграфологів України.</w:t>
      </w:r>
      <w:r w:rsidRPr="00511005">
        <w:rPr>
          <w:rFonts w:ascii="Arial" w:hAnsi="Arial" w:cs="Arial"/>
          <w:szCs w:val="28"/>
          <w:lang w:val="uk-UA" w:eastAsia="ru-RU"/>
        </w:rPr>
        <w:t xml:space="preserve"> URL: </w:t>
      </w:r>
      <w:r w:rsidRPr="00511005">
        <w:rPr>
          <w:rFonts w:ascii="Arial" w:eastAsia="Times New Roman" w:hAnsi="Arial" w:cs="Arial"/>
          <w:szCs w:val="28"/>
          <w:lang w:val="uk-UA" w:eastAsia="ru-RU"/>
        </w:rPr>
        <w:t>https://kp-ua.com/nazarov-o-problemni-pytannya-vykorystannya-poligrafa-v-diyalnosti-organiv-vnutrishnih-sprav-ukrayiny-shhodo-protydiyi-zlochynam/</w:t>
      </w:r>
    </w:p>
    <w:p w14:paraId="5631A0B7" w14:textId="77777777" w:rsidR="00532C25" w:rsidRPr="00511005" w:rsidRDefault="00532C25" w:rsidP="00532C25">
      <w:pPr>
        <w:spacing w:line="264" w:lineRule="auto"/>
        <w:ind w:firstLine="720"/>
        <w:rPr>
          <w:rFonts w:ascii="Arial" w:eastAsia="Calibri" w:hAnsi="Arial" w:cs="Arial"/>
          <w:szCs w:val="28"/>
          <w:lang w:val="uk-UA"/>
        </w:rPr>
      </w:pPr>
    </w:p>
    <w:p w14:paraId="48EF645F" w14:textId="77777777" w:rsidR="00532C25" w:rsidRPr="00511005" w:rsidRDefault="00532C25" w:rsidP="00532C25">
      <w:pPr>
        <w:keepNext/>
        <w:widowControl w:val="0"/>
        <w:spacing w:line="264" w:lineRule="auto"/>
        <w:ind w:firstLine="72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Pr="00511005">
        <w:rPr>
          <w:rFonts w:ascii="Arial" w:eastAsia="Times New Roman" w:hAnsi="Arial" w:cs="Arial"/>
          <w:szCs w:val="28"/>
          <w:lang w:val="uk-UA"/>
        </w:rPr>
        <w:t>поліграф, поліграфолог, розслідування, кримінальне правопорушення, сфера службової діяльності.</w:t>
      </w:r>
    </w:p>
    <w:p w14:paraId="22EA6CD3" w14:textId="77777777" w:rsidR="00532C25" w:rsidRPr="00511005" w:rsidRDefault="00532C25" w:rsidP="00532C25">
      <w:pPr>
        <w:keepNext/>
        <w:widowControl w:val="0"/>
        <w:spacing w:line="264" w:lineRule="auto"/>
        <w:ind w:firstLine="720"/>
        <w:rPr>
          <w:rFonts w:ascii="Arial" w:eastAsia="Times New Roman" w:hAnsi="Arial" w:cs="Arial"/>
          <w:szCs w:val="28"/>
          <w:lang w:val="en-US"/>
        </w:rPr>
      </w:pPr>
      <w:r w:rsidRPr="00511005">
        <w:rPr>
          <w:rFonts w:ascii="Arial" w:eastAsia="Times New Roman" w:hAnsi="Arial" w:cs="Arial"/>
          <w:b/>
          <w:bCs/>
          <w:i/>
          <w:szCs w:val="28"/>
          <w:lang w:val="en-US"/>
        </w:rPr>
        <w:t xml:space="preserve">Key words: </w:t>
      </w:r>
      <w:r w:rsidRPr="00511005">
        <w:rPr>
          <w:rFonts w:ascii="Arial" w:eastAsia="Times New Roman" w:hAnsi="Arial" w:cs="Arial"/>
          <w:szCs w:val="28"/>
          <w:lang w:val="en-US"/>
        </w:rPr>
        <w:t>polygraph, polygraph examiner, investigation, criminal offence, area of service.</w:t>
      </w:r>
    </w:p>
    <w:p w14:paraId="165DAC1A" w14:textId="4013334B" w:rsidR="00532C25" w:rsidRPr="00511005" w:rsidRDefault="00C76181" w:rsidP="00532C25">
      <w:pPr>
        <w:keepNext/>
        <w:widowControl w:val="0"/>
        <w:spacing w:line="264" w:lineRule="auto"/>
        <w:ind w:firstLine="720"/>
        <w:rPr>
          <w:rFonts w:ascii="Arial" w:eastAsia="Times New Roman" w:hAnsi="Arial" w:cs="Arial"/>
          <w:i/>
          <w:iCs/>
          <w:szCs w:val="28"/>
        </w:rPr>
      </w:pPr>
      <w:r w:rsidRPr="00511005">
        <w:rPr>
          <w:rFonts w:ascii="Arial" w:eastAsia="Calibri" w:hAnsi="Arial" w:cs="Arial"/>
          <w:b/>
          <w:i/>
          <w:szCs w:val="28"/>
          <w:lang w:val="uk-UA"/>
        </w:rPr>
        <w:t xml:space="preserve">Науковий керівник: </w:t>
      </w:r>
      <w:r w:rsidR="00532C25" w:rsidRPr="00511005">
        <w:rPr>
          <w:rFonts w:ascii="Arial" w:eastAsia="Times New Roman" w:hAnsi="Arial" w:cs="Arial"/>
          <w:i/>
          <w:iCs/>
          <w:szCs w:val="28"/>
        </w:rPr>
        <w:t>д.ю.н., завідувач кафедри, професор Аркуша Л.І.</w:t>
      </w:r>
    </w:p>
    <w:p w14:paraId="22A025EF" w14:textId="77777777" w:rsidR="00532C25" w:rsidRPr="00511005" w:rsidRDefault="00532C25" w:rsidP="00532C25">
      <w:pPr>
        <w:spacing w:line="264" w:lineRule="auto"/>
        <w:ind w:firstLine="720"/>
        <w:rPr>
          <w:rFonts w:ascii="Arial" w:eastAsia="Calibri" w:hAnsi="Arial" w:cs="Arial"/>
          <w:b/>
          <w:szCs w:val="28"/>
        </w:rPr>
      </w:pPr>
    </w:p>
    <w:p w14:paraId="74DBF60C"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b/>
          <w:i/>
          <w:szCs w:val="28"/>
        </w:rPr>
        <w:lastRenderedPageBreak/>
        <w:t>Тарасова Аліса Вікторівна</w:t>
      </w:r>
    </w:p>
    <w:p w14:paraId="357B1B5A"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szCs w:val="28"/>
        </w:rPr>
        <w:t>студентка 3-го курсу факультету судового та міжнародного права</w:t>
      </w:r>
    </w:p>
    <w:p w14:paraId="4ED5223D"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618F5021" w14:textId="77777777" w:rsidR="00532C25" w:rsidRPr="00511005" w:rsidRDefault="00532C25" w:rsidP="00532C25">
      <w:pPr>
        <w:spacing w:line="264" w:lineRule="auto"/>
        <w:ind w:firstLine="720"/>
        <w:jc w:val="center"/>
        <w:rPr>
          <w:rFonts w:ascii="Arial" w:eastAsia="Calibri" w:hAnsi="Arial" w:cs="Arial"/>
          <w:szCs w:val="28"/>
        </w:rPr>
      </w:pPr>
    </w:p>
    <w:p w14:paraId="5201F740" w14:textId="77777777" w:rsidR="00532C25" w:rsidRPr="00511005" w:rsidRDefault="00532C25" w:rsidP="00532C25">
      <w:pPr>
        <w:spacing w:line="264" w:lineRule="auto"/>
        <w:ind w:firstLine="720"/>
        <w:contextualSpacing/>
        <w:jc w:val="center"/>
        <w:rPr>
          <w:rFonts w:ascii="Arial" w:eastAsia="Times New Roman" w:hAnsi="Arial" w:cs="Arial"/>
          <w:b/>
          <w:szCs w:val="28"/>
          <w:lang w:eastAsia="ru-RU"/>
        </w:rPr>
      </w:pPr>
      <w:r w:rsidRPr="00511005">
        <w:rPr>
          <w:rFonts w:ascii="Arial" w:eastAsia="Times New Roman" w:hAnsi="Arial" w:cs="Arial"/>
          <w:b/>
          <w:szCs w:val="28"/>
          <w:lang w:eastAsia="ru-RU"/>
        </w:rPr>
        <w:t>КОЛИ ПОЛІГРАФ ПОМИЛИВСЯ: РОЗБІР СПРАВ, ДЕ ТЕСТ «ВИПРАВДАВ» ВБИВЦЮ</w:t>
      </w:r>
    </w:p>
    <w:p w14:paraId="3077365B" w14:textId="77777777" w:rsidR="00532C25" w:rsidRPr="00511005" w:rsidRDefault="00532C25" w:rsidP="00532C25">
      <w:pPr>
        <w:spacing w:line="264" w:lineRule="auto"/>
        <w:ind w:firstLine="720"/>
        <w:contextualSpacing/>
        <w:rPr>
          <w:rFonts w:ascii="Arial" w:eastAsia="Times New Roman" w:hAnsi="Arial" w:cs="Arial"/>
          <w:szCs w:val="28"/>
          <w:lang w:eastAsia="ru-RU"/>
        </w:rPr>
      </w:pPr>
      <w:r w:rsidRPr="00511005">
        <w:rPr>
          <w:rFonts w:ascii="Arial" w:eastAsia="Times New Roman" w:hAnsi="Arial" w:cs="Arial"/>
          <w:szCs w:val="28"/>
          <w:lang w:eastAsia="ru-RU"/>
        </w:rPr>
        <w:t>Поліграф, або так званий «детектор брехні», тривалий час вважається цінним інструментом у криміналістиці та практиці досудового слідства. Його призначення полягає у фіксації фізіологічних реакцій людини на певні запитання, які дозволяють зробити висновки про правдивість відповідей. Утім, важливо розуміти, що поліграф не визначає саму брехню як таку – він фіксує реакції організму, які інтерпретує поліграфолог [2]. Тобто, йдеться не про об’єктивну істину, а про ймовірнісну оцінку на основі даних про зміну пульсу, дихання, тиску, електропровідності шкіри тощо. У більшості випадків такий підхід виправданий. Проте трапляються винятки – зокрема ті, де поліграф виявляється неспроможним виявити брехню, дозволяючи злочинцям, включно із серійними вбивцями, уникнути підозри на критичному етапі розслідування [1, c. 84].</w:t>
      </w:r>
    </w:p>
    <w:p w14:paraId="686D0E4F" w14:textId="77777777" w:rsidR="00532C25" w:rsidRPr="00511005" w:rsidRDefault="00532C25" w:rsidP="00532C25">
      <w:pPr>
        <w:spacing w:line="264" w:lineRule="auto"/>
        <w:ind w:firstLine="720"/>
        <w:contextualSpacing/>
        <w:rPr>
          <w:rFonts w:ascii="Arial" w:eastAsia="Times New Roman" w:hAnsi="Arial" w:cs="Arial"/>
          <w:szCs w:val="28"/>
          <w:lang w:eastAsia="ru-RU"/>
        </w:rPr>
      </w:pPr>
      <w:r w:rsidRPr="00511005">
        <w:rPr>
          <w:rFonts w:ascii="Arial" w:eastAsia="Times New Roman" w:hAnsi="Arial" w:cs="Arial"/>
          <w:szCs w:val="28"/>
          <w:lang w:eastAsia="ru-RU"/>
        </w:rPr>
        <w:t>Яскравим прикладом такого випадку є справа Гарі Ріджвея, більш відомого як «Убивця із Зеленої ріки». Цей чоловік у 1980–1990-х роках вбив щонайменше 49 жінок у штаті Вашингтон, США. На початковому етапі розслідування Ріджвей проходив тестування на поліграфі, результати якого не виявили жодних підозрілих ознак [4]. На підставі цього його виключили зі списку підозрюваних, що суттєво затягнуло процес встановлення істини. Лише через майже два десятиліття, завдяки розвитку ДНК-експертизи, його причетність до масових убивств була доведена остаточно. Цей випадок виявив критичну слабкість поліграфа: якщо особа не відчуває страху, провини або тривоги, її реакції не відрізняються від реакцій щирої людини. Саме цим і користуються психопати, до яких належав Ріджвей, – особи, позбавлені емоційної емпатії, сорому чи сумління [5, c.27].</w:t>
      </w:r>
    </w:p>
    <w:p w14:paraId="3ACAD0F4" w14:textId="77777777" w:rsidR="00532C25" w:rsidRPr="00511005" w:rsidRDefault="00532C25" w:rsidP="00532C25">
      <w:pPr>
        <w:spacing w:line="264" w:lineRule="auto"/>
        <w:ind w:firstLine="720"/>
        <w:contextualSpacing/>
        <w:rPr>
          <w:rFonts w:ascii="Arial" w:eastAsia="Times New Roman" w:hAnsi="Arial" w:cs="Arial"/>
          <w:szCs w:val="28"/>
          <w:lang w:eastAsia="ru-RU"/>
        </w:rPr>
      </w:pPr>
      <w:r w:rsidRPr="00511005">
        <w:rPr>
          <w:rFonts w:ascii="Arial" w:eastAsia="Times New Roman" w:hAnsi="Arial" w:cs="Arial"/>
          <w:szCs w:val="28"/>
          <w:lang w:eastAsia="ru-RU"/>
        </w:rPr>
        <w:t>Схожий випадок стався і в Канаді з військовослужбовцем Расселом Вільямсом. Цей офіцер мав зразкову репутацію та обіймав керівну посаду у ВПС Канади, коли виявилося, що він ґвалтував і вбивав жінок, не викликаючи жодних підозр у своєму оточенні. Під час розслідування Вільямс добровільно погодився на співпрацю з правоохоронцями, включно з проходженням тестів на поліграфі. На подив слідчих, результати були невиразними або «чистими» [3]. Пізніше поліція зібрала вагомі речові докази, які довели його причетність до злочинів, а він сам зізнався. Вільямс виявився прикладом того типу злочинця, який володіє винятковим самоконтролем, що унеможливлює точну діагностику поліграфом [5, c.144].</w:t>
      </w:r>
    </w:p>
    <w:p w14:paraId="11BEFBD5" w14:textId="77777777" w:rsidR="00532C25" w:rsidRPr="00511005" w:rsidRDefault="00532C25" w:rsidP="00532C25">
      <w:pPr>
        <w:spacing w:line="264" w:lineRule="auto"/>
        <w:ind w:firstLine="720"/>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Ці приклади доповнює постать Джеффрі Дамера – «Мілуокського канібала», який убив 17 чоловіків і хлопців у США. Хоча на момент арешту у </w:t>
      </w:r>
      <w:r w:rsidRPr="00511005">
        <w:rPr>
          <w:rFonts w:ascii="Arial" w:eastAsia="Times New Roman" w:hAnsi="Arial" w:cs="Arial"/>
          <w:szCs w:val="28"/>
          <w:lang w:eastAsia="ru-RU"/>
        </w:rPr>
        <w:lastRenderedPageBreak/>
        <w:t>1991 році поліграф Дамеру не проводили систематично, його психіатричний портрет вказує на те, що тестування дало б неефективні або хибно позитивні результати. Під час слідства було встановлено, що він мав серйозні психічні відхилення, включно з некрофілією та розладами емоційного спектру [5, c.96]. У таких умовах очікувати типових фізіологічних реакцій на брехню марно, бо вбивця не сприймає свої дії як такі, що викликають внутрішній конфлікт або тривогу.</w:t>
      </w:r>
    </w:p>
    <w:p w14:paraId="66CFD007" w14:textId="77777777" w:rsidR="00532C25" w:rsidRPr="00511005" w:rsidRDefault="00532C25" w:rsidP="00532C25">
      <w:pPr>
        <w:spacing w:line="264" w:lineRule="auto"/>
        <w:ind w:firstLine="720"/>
        <w:contextualSpacing/>
        <w:rPr>
          <w:rFonts w:ascii="Arial" w:eastAsia="Times New Roman" w:hAnsi="Arial" w:cs="Arial"/>
          <w:szCs w:val="28"/>
          <w:lang w:eastAsia="ru-RU"/>
        </w:rPr>
      </w:pPr>
      <w:r w:rsidRPr="00511005">
        <w:rPr>
          <w:rFonts w:ascii="Arial" w:eastAsia="Times New Roman" w:hAnsi="Arial" w:cs="Arial"/>
          <w:szCs w:val="28"/>
          <w:lang w:eastAsia="ru-RU"/>
        </w:rPr>
        <w:t>Причини хибних результатів поліграфа можна умовно поділити на кілька груп. Передусім – це психопатія та емоційна дисоціація, коли суб’єкт не має здатності до глибокого емоційного реагування на неправду [5, c.20]. Для поліграфа, що працює виключно з реакціями тіла, така емоційна «пустка» означає, що прилад не вловить жодних ознак брехні, навіть якщо вона очевидна. Другою проблемою є технічні обмеження методики: некоректне формулювання запитань, недотримання процедури, помилки в інтерпретації результатів. Людський фактор також відіграє свою роль, особливо коли поліграфолог необ’єктивний або недостатньо досвідчений у роботі з атиповими особистостями. Нарешті, зловмисники інколи свідомо готуються до тестування: тренують дихання, вживають заспокійливі, вивчають методи нейтралізації реакцій [3].</w:t>
      </w:r>
    </w:p>
    <w:p w14:paraId="4D6C787B" w14:textId="77777777" w:rsidR="00532C25" w:rsidRPr="00511005" w:rsidRDefault="00532C25" w:rsidP="00532C25">
      <w:pPr>
        <w:spacing w:line="264" w:lineRule="auto"/>
        <w:ind w:firstLine="720"/>
        <w:contextualSpacing/>
        <w:rPr>
          <w:rFonts w:ascii="Arial" w:eastAsia="Times New Roman" w:hAnsi="Arial" w:cs="Arial"/>
          <w:szCs w:val="28"/>
          <w:lang w:eastAsia="ru-RU"/>
        </w:rPr>
      </w:pPr>
      <w:r w:rsidRPr="00511005">
        <w:rPr>
          <w:rFonts w:ascii="Arial" w:eastAsia="Times New Roman" w:hAnsi="Arial" w:cs="Arial"/>
          <w:szCs w:val="28"/>
          <w:lang w:eastAsia="ru-RU"/>
        </w:rPr>
        <w:t>У підсумку слід визнати, що поліграф – це не «детектор істини», а лише допоміжний інструмент, ефективність якого залежить від контексту, особистості випробуваного і професіоналізму експерта. У випадках із серійними вбивцями цей інструмент особливо вразливий. Його використання має відбуватись лише як частина комплексної оцінки: у поєднанні з психологічним портретом, кримінальним профайлом, фізичними доказами та якісною роботою слідства. Переоцінка ролі поліграфа в системі доказування може зменшити кількість судових помилок і в майбутньому врятувати життя тих, кого інакше було б втрачено через надмірну довіру до машинного аналізу.</w:t>
      </w:r>
    </w:p>
    <w:p w14:paraId="5556DBA7" w14:textId="77777777" w:rsidR="00532C25" w:rsidRPr="00511005" w:rsidRDefault="00532C25" w:rsidP="00532C25">
      <w:pPr>
        <w:spacing w:line="264" w:lineRule="auto"/>
        <w:ind w:firstLine="720"/>
        <w:contextualSpacing/>
        <w:jc w:val="center"/>
        <w:rPr>
          <w:rFonts w:ascii="Arial" w:eastAsia="Calibri" w:hAnsi="Arial" w:cs="Arial"/>
          <w:b/>
          <w:szCs w:val="28"/>
        </w:rPr>
      </w:pPr>
    </w:p>
    <w:p w14:paraId="00356EC3" w14:textId="77777777" w:rsidR="00532C25" w:rsidRPr="00511005" w:rsidRDefault="00532C25" w:rsidP="00532C25">
      <w:pPr>
        <w:spacing w:line="264" w:lineRule="auto"/>
        <w:ind w:firstLine="720"/>
        <w:contextualSpacing/>
        <w:jc w:val="center"/>
        <w:rPr>
          <w:rFonts w:ascii="Arial" w:eastAsia="Calibri" w:hAnsi="Arial" w:cs="Arial"/>
          <w:b/>
          <w:szCs w:val="28"/>
        </w:rPr>
      </w:pPr>
      <w:r w:rsidRPr="00511005">
        <w:rPr>
          <w:rFonts w:ascii="Arial" w:eastAsia="Calibri" w:hAnsi="Arial" w:cs="Arial"/>
          <w:b/>
          <w:szCs w:val="28"/>
        </w:rPr>
        <w:t xml:space="preserve">Список </w:t>
      </w:r>
      <w:r>
        <w:rPr>
          <w:rFonts w:ascii="Arial" w:eastAsia="Calibri" w:hAnsi="Arial" w:cs="Arial"/>
          <w:b/>
          <w:szCs w:val="28"/>
        </w:rPr>
        <w:t>використаних джерел</w:t>
      </w:r>
    </w:p>
    <w:p w14:paraId="1CE6E132" w14:textId="77777777" w:rsidR="00532C25" w:rsidRPr="00511005" w:rsidRDefault="00532C25" w:rsidP="003F6A5D">
      <w:pPr>
        <w:numPr>
          <w:ilvl w:val="0"/>
          <w:numId w:val="657"/>
        </w:numPr>
        <w:tabs>
          <w:tab w:val="left" w:pos="993"/>
        </w:tabs>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Альдер К. Детектори брехні: історія американської одержимості. URL: </w:t>
      </w:r>
      <w:hyperlink r:id="rId2034" w:history="1">
        <w:r w:rsidRPr="00511005">
          <w:rPr>
            <w:rFonts w:ascii="Arial" w:eastAsia="Times New Roman" w:hAnsi="Arial" w:cs="Arial"/>
            <w:szCs w:val="28"/>
            <w:lang w:eastAsia="ru-RU"/>
          </w:rPr>
          <w:t>https://archive.org/details/liedetectorshist0000alde</w:t>
        </w:r>
      </w:hyperlink>
      <w:r w:rsidRPr="00511005">
        <w:rPr>
          <w:rFonts w:ascii="Arial" w:eastAsia="Times New Roman" w:hAnsi="Arial" w:cs="Arial"/>
          <w:szCs w:val="28"/>
          <w:lang w:eastAsia="ru-RU"/>
        </w:rPr>
        <w:t xml:space="preserve"> (дата звернення: 28.04.2025).</w:t>
      </w:r>
    </w:p>
    <w:p w14:paraId="6059F10A" w14:textId="77777777" w:rsidR="00532C25" w:rsidRPr="00511005" w:rsidRDefault="00532C25" w:rsidP="003F6A5D">
      <w:pPr>
        <w:numPr>
          <w:ilvl w:val="0"/>
          <w:numId w:val="657"/>
        </w:numPr>
        <w:tabs>
          <w:tab w:val="left" w:pos="993"/>
        </w:tabs>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Національний інститут правосуддя США. Огляд досліджень щодо точності поліграфічного тестування. URL: </w:t>
      </w:r>
      <w:hyperlink r:id="rId2035" w:history="1">
        <w:r w:rsidRPr="00511005">
          <w:rPr>
            <w:rFonts w:ascii="Arial" w:eastAsia="Times New Roman" w:hAnsi="Arial" w:cs="Arial"/>
            <w:szCs w:val="28"/>
            <w:lang w:eastAsia="ru-RU"/>
          </w:rPr>
          <w:t>https://nij.ojp.gov/library/publications/review-research-accuracy-polygraph-testing</w:t>
        </w:r>
      </w:hyperlink>
      <w:r w:rsidRPr="00511005">
        <w:rPr>
          <w:rFonts w:ascii="Arial" w:eastAsia="Times New Roman" w:hAnsi="Arial" w:cs="Arial"/>
          <w:szCs w:val="28"/>
          <w:lang w:eastAsia="ru-RU"/>
        </w:rPr>
        <w:t xml:space="preserve"> (дата звернення: 28.04.2025).</w:t>
      </w:r>
    </w:p>
    <w:p w14:paraId="7580E57F" w14:textId="77777777" w:rsidR="00532C25" w:rsidRPr="00511005" w:rsidRDefault="00532C25" w:rsidP="003F6A5D">
      <w:pPr>
        <w:numPr>
          <w:ilvl w:val="0"/>
          <w:numId w:val="657"/>
        </w:numPr>
        <w:tabs>
          <w:tab w:val="left" w:pos="993"/>
        </w:tabs>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CBC News. Хронологія: полковник Рассел Вільямс. URL: </w:t>
      </w:r>
      <w:hyperlink r:id="rId2036" w:history="1">
        <w:r w:rsidRPr="00511005">
          <w:rPr>
            <w:rFonts w:ascii="Arial" w:eastAsia="Times New Roman" w:hAnsi="Arial" w:cs="Arial"/>
            <w:szCs w:val="28"/>
            <w:lang w:eastAsia="ru-RU"/>
          </w:rPr>
          <w:t>https://www.cbc.ca/news/canada/timeline-col-russell-williams-case-1.936382</w:t>
        </w:r>
      </w:hyperlink>
      <w:r w:rsidRPr="00511005">
        <w:rPr>
          <w:rFonts w:ascii="Arial" w:eastAsia="Times New Roman" w:hAnsi="Arial" w:cs="Arial"/>
          <w:szCs w:val="28"/>
          <w:lang w:eastAsia="ru-RU"/>
        </w:rPr>
        <w:t xml:space="preserve"> (дата звернення: 28.04.2025).</w:t>
      </w:r>
    </w:p>
    <w:p w14:paraId="6CF1234F" w14:textId="77777777" w:rsidR="00532C25" w:rsidRPr="00511005" w:rsidRDefault="00532C25" w:rsidP="003F6A5D">
      <w:pPr>
        <w:numPr>
          <w:ilvl w:val="0"/>
          <w:numId w:val="657"/>
        </w:numPr>
        <w:tabs>
          <w:tab w:val="left" w:pos="993"/>
        </w:tabs>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val="en-US" w:eastAsia="ru-RU"/>
        </w:rPr>
        <w:lastRenderedPageBreak/>
        <w:t xml:space="preserve">Washington State Archives. The Green River Killer Case Files. </w:t>
      </w:r>
      <w:r w:rsidRPr="00511005">
        <w:rPr>
          <w:rFonts w:ascii="Arial" w:eastAsia="Times New Roman" w:hAnsi="Arial" w:cs="Arial"/>
          <w:szCs w:val="28"/>
          <w:lang w:eastAsia="ru-RU"/>
        </w:rPr>
        <w:t>URL: https://www.digitalarchives.wa.gov/GreenRiver (дата звернення: 27.04.2025).</w:t>
      </w:r>
    </w:p>
    <w:p w14:paraId="79E4765F" w14:textId="77777777" w:rsidR="00532C25" w:rsidRPr="00511005" w:rsidRDefault="00532C25" w:rsidP="003F6A5D">
      <w:pPr>
        <w:numPr>
          <w:ilvl w:val="0"/>
          <w:numId w:val="657"/>
        </w:numPr>
        <w:tabs>
          <w:tab w:val="left" w:pos="993"/>
        </w:tabs>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val="en-US" w:eastAsia="ru-RU"/>
        </w:rPr>
        <w:t xml:space="preserve">Ressler R., Burgess A., Douglas J. Sexual Homicide: Patterns and Motives. </w:t>
      </w:r>
      <w:r w:rsidRPr="00511005">
        <w:rPr>
          <w:rFonts w:ascii="Arial" w:eastAsia="Times New Roman" w:hAnsi="Arial" w:cs="Arial"/>
          <w:szCs w:val="28"/>
          <w:lang w:eastAsia="ru-RU"/>
        </w:rPr>
        <w:t>URL: https://archive.org/details/sexualhomicidepa0000ress (дата звернення: 27.04.2025).</w:t>
      </w:r>
    </w:p>
    <w:p w14:paraId="4C9E1146" w14:textId="77777777" w:rsidR="00532C25" w:rsidRPr="00511005" w:rsidRDefault="00532C25" w:rsidP="00532C25">
      <w:pPr>
        <w:spacing w:line="264" w:lineRule="auto"/>
        <w:ind w:firstLine="720"/>
        <w:rPr>
          <w:rFonts w:ascii="Arial" w:eastAsia="Calibri" w:hAnsi="Arial" w:cs="Arial"/>
          <w:szCs w:val="28"/>
        </w:rPr>
      </w:pPr>
    </w:p>
    <w:p w14:paraId="67098085"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b/>
          <w:i/>
          <w:szCs w:val="28"/>
        </w:rPr>
        <w:t xml:space="preserve">Ключові слова: </w:t>
      </w:r>
      <w:r w:rsidRPr="00511005">
        <w:rPr>
          <w:rFonts w:ascii="Arial" w:eastAsia="Calibri" w:hAnsi="Arial" w:cs="Arial"/>
          <w:szCs w:val="28"/>
        </w:rPr>
        <w:t>поліграф, серійні вбивці, детектор брехні, кримінальне розслідування, психопатія, судові помилки.</w:t>
      </w:r>
    </w:p>
    <w:p w14:paraId="72946334" w14:textId="77777777" w:rsidR="00532C25" w:rsidRPr="00511005" w:rsidRDefault="00532C25" w:rsidP="00532C25">
      <w:pPr>
        <w:spacing w:line="264" w:lineRule="auto"/>
        <w:ind w:firstLine="720"/>
        <w:rPr>
          <w:rFonts w:ascii="Arial" w:eastAsia="Calibri" w:hAnsi="Arial" w:cs="Arial"/>
          <w:szCs w:val="28"/>
          <w:lang w:val="en-US"/>
        </w:rPr>
      </w:pPr>
      <w:r w:rsidRPr="00511005">
        <w:rPr>
          <w:rFonts w:ascii="Arial" w:eastAsia="Calibri" w:hAnsi="Arial" w:cs="Arial"/>
          <w:b/>
          <w:i/>
          <w:szCs w:val="28"/>
          <w:lang w:val="en-US"/>
        </w:rPr>
        <w:t xml:space="preserve">Key words: </w:t>
      </w:r>
      <w:r w:rsidRPr="00511005">
        <w:rPr>
          <w:rFonts w:ascii="Arial" w:eastAsia="Calibri" w:hAnsi="Arial" w:cs="Arial"/>
          <w:szCs w:val="28"/>
          <w:lang w:val="en-US"/>
        </w:rPr>
        <w:t>polygraph, serial killers, lie detector, criminal investigation, psychopathy, judicial errors.</w:t>
      </w:r>
    </w:p>
    <w:p w14:paraId="41AEA984" w14:textId="77777777" w:rsidR="00532C25" w:rsidRPr="00511005" w:rsidRDefault="00532C25" w:rsidP="00532C25">
      <w:pPr>
        <w:keepNext/>
        <w:widowControl w:val="0"/>
        <w:spacing w:line="264" w:lineRule="auto"/>
        <w:ind w:firstLine="720"/>
        <w:rPr>
          <w:rFonts w:ascii="Arial" w:eastAsia="Times New Roman" w:hAnsi="Arial" w:cs="Arial"/>
          <w:i/>
          <w:iCs/>
          <w:szCs w:val="28"/>
          <w:lang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eastAsia="ru-RU"/>
        </w:rPr>
        <w:t>д.ю.н., завідувач кафедри, професор Аркуша Л.І.</w:t>
      </w:r>
    </w:p>
    <w:p w14:paraId="64AA0EE2" w14:textId="77777777" w:rsidR="00532C25" w:rsidRPr="00511005" w:rsidRDefault="00532C25" w:rsidP="00532C25">
      <w:pPr>
        <w:spacing w:line="264" w:lineRule="auto"/>
        <w:ind w:firstLine="720"/>
        <w:rPr>
          <w:rFonts w:ascii="Arial" w:eastAsia="Calibri" w:hAnsi="Arial" w:cs="Arial"/>
          <w:i/>
          <w:szCs w:val="28"/>
        </w:rPr>
      </w:pPr>
    </w:p>
    <w:p w14:paraId="6B09DD73" w14:textId="77777777" w:rsidR="00532C25" w:rsidRPr="00511005" w:rsidRDefault="00532C25" w:rsidP="00532C25">
      <w:pPr>
        <w:spacing w:line="264" w:lineRule="auto"/>
        <w:ind w:firstLine="720"/>
        <w:jc w:val="center"/>
        <w:rPr>
          <w:rFonts w:ascii="Arial" w:eastAsia="Times New Roman" w:hAnsi="Arial" w:cs="Arial"/>
          <w:b/>
          <w:bCs/>
          <w:i/>
          <w:iCs/>
          <w:szCs w:val="28"/>
        </w:rPr>
      </w:pPr>
      <w:r w:rsidRPr="00511005">
        <w:rPr>
          <w:rFonts w:ascii="Arial" w:eastAsia="Times New Roman" w:hAnsi="Arial" w:cs="Arial"/>
          <w:b/>
          <w:bCs/>
          <w:i/>
          <w:iCs/>
          <w:szCs w:val="28"/>
        </w:rPr>
        <w:t>Удод Вікторія Володимирівна</w:t>
      </w:r>
    </w:p>
    <w:p w14:paraId="74816D73" w14:textId="77777777" w:rsidR="00532C25" w:rsidRPr="00511005" w:rsidRDefault="00532C25" w:rsidP="00532C25">
      <w:pPr>
        <w:spacing w:line="264" w:lineRule="auto"/>
        <w:ind w:firstLine="720"/>
        <w:jc w:val="center"/>
        <w:rPr>
          <w:rFonts w:ascii="Arial" w:eastAsia="Times New Roman" w:hAnsi="Arial" w:cs="Arial"/>
          <w:bCs/>
          <w:iCs/>
          <w:szCs w:val="28"/>
        </w:rPr>
      </w:pPr>
      <w:r w:rsidRPr="00511005">
        <w:rPr>
          <w:rFonts w:ascii="Arial" w:eastAsia="Times New Roman" w:hAnsi="Arial" w:cs="Arial"/>
          <w:bCs/>
          <w:szCs w:val="28"/>
        </w:rPr>
        <w:t xml:space="preserve">студентка 3-го курсу факультету судового та міжнародного права </w:t>
      </w:r>
    </w:p>
    <w:p w14:paraId="2450CB8A" w14:textId="77777777" w:rsidR="00532C25" w:rsidRPr="00511005" w:rsidRDefault="00532C25" w:rsidP="00532C25">
      <w:pPr>
        <w:spacing w:line="264" w:lineRule="auto"/>
        <w:ind w:firstLine="720"/>
        <w:jc w:val="center"/>
        <w:rPr>
          <w:rFonts w:ascii="Arial" w:eastAsia="Times New Roman" w:hAnsi="Arial" w:cs="Arial"/>
          <w:bCs/>
          <w:iCs/>
          <w:szCs w:val="28"/>
        </w:rPr>
      </w:pPr>
      <w:r w:rsidRPr="00511005">
        <w:rPr>
          <w:rFonts w:ascii="Arial" w:eastAsia="Times New Roman" w:hAnsi="Arial" w:cs="Arial"/>
          <w:bCs/>
          <w:szCs w:val="28"/>
        </w:rPr>
        <w:t>Національного університету «Одеська юридична академія»</w:t>
      </w:r>
    </w:p>
    <w:p w14:paraId="4A9D433A" w14:textId="77777777" w:rsidR="00532C25" w:rsidRPr="00511005" w:rsidRDefault="00532C25" w:rsidP="00532C25">
      <w:pPr>
        <w:spacing w:line="264" w:lineRule="auto"/>
        <w:ind w:firstLine="720"/>
        <w:jc w:val="center"/>
        <w:rPr>
          <w:rFonts w:ascii="Arial" w:eastAsia="Calibri" w:hAnsi="Arial" w:cs="Arial"/>
          <w:bCs/>
          <w:szCs w:val="28"/>
        </w:rPr>
      </w:pPr>
    </w:p>
    <w:p w14:paraId="0E28D699" w14:textId="77777777" w:rsidR="00532C25" w:rsidRPr="00511005" w:rsidRDefault="00532C25" w:rsidP="00532C25">
      <w:pPr>
        <w:spacing w:line="264" w:lineRule="auto"/>
        <w:ind w:firstLine="720"/>
        <w:jc w:val="center"/>
        <w:rPr>
          <w:rFonts w:ascii="Arial" w:eastAsia="Times New Roman" w:hAnsi="Arial" w:cs="Arial"/>
          <w:bCs/>
          <w:iCs/>
          <w:szCs w:val="28"/>
        </w:rPr>
      </w:pPr>
      <w:r w:rsidRPr="00511005">
        <w:rPr>
          <w:rFonts w:ascii="Arial" w:eastAsia="Calibri" w:hAnsi="Arial" w:cs="Arial"/>
          <w:b/>
          <w:bCs/>
          <w:szCs w:val="28"/>
        </w:rPr>
        <w:t>СПЕЦИФІКА ВИКОРИСТАННЯ ПОЛІГРАФА У КАДРОВІЙ БЕЗПЕЦІ</w:t>
      </w:r>
    </w:p>
    <w:p w14:paraId="4FBD6CD8"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szCs w:val="28"/>
        </w:rPr>
        <w:t>В умовах сучасного бізнес-середовища, коли кадри є важливим елементом конкурентної стійкості організації, важливо мати інструменти для оцінки достовірності інформації, яку надають працівники. Поліграф є важливим інструментом для забезпечення високої кадрової безпеки, знижуючи ризики людських факторів, які можуть призвести до значних фінансових або репутаційних втрат. Використання поліграфа дозволяє ефективно виявляти потенційні загрози з боку співробітників, таких як шахрайство, корупція чи витік конфіденційної інформації. Однак використання цього інструменту потребує чітких правил та етичних стандартів, що сприятимуть ефективному та справедливому його застосуванню.</w:t>
      </w:r>
    </w:p>
    <w:p w14:paraId="31057C54"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szCs w:val="28"/>
        </w:rPr>
        <w:t>Згідно з «Інструкцією про порядок використання поліграфів у Національної поліції України», затвердженою Наказом МВС України від 13 листопада 2017 року № 920, поліграф тлумачиться як спеціальний психофізіологічний технічний засіб, який здійснює реєстрацію динаміки протікання не менше п’яти незалежних психофізіологічних процесів людини у відповідь на пред’явлення за спеціальною методикою певних психологічних стимулів, не завдаючи шкоди життю, здоров’ю людини та навколишньому середовищу [1].</w:t>
      </w:r>
    </w:p>
    <w:p w14:paraId="3A7F5E89"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szCs w:val="28"/>
        </w:rPr>
        <w:t xml:space="preserve">Стаття 26 Кодексу законів про працю України регулює питання випробування при прийнятті </w:t>
      </w:r>
      <w:proofErr w:type="gramStart"/>
      <w:r w:rsidRPr="00511005">
        <w:rPr>
          <w:rFonts w:ascii="Arial" w:eastAsia="Calibri" w:hAnsi="Arial" w:cs="Arial"/>
          <w:szCs w:val="28"/>
        </w:rPr>
        <w:t>на роботу</w:t>
      </w:r>
      <w:proofErr w:type="gramEnd"/>
      <w:r w:rsidRPr="00511005">
        <w:rPr>
          <w:rFonts w:ascii="Arial" w:eastAsia="Calibri" w:hAnsi="Arial" w:cs="Arial"/>
          <w:szCs w:val="28"/>
        </w:rPr>
        <w:t xml:space="preserve">, встановлюючи правові підстави для перевірки компетенції та професійної придатності працівника на етапі його прийому на роботу [2]. Вона дозволяє роботодавцю ініціювати додаткові випробування, які мають на меті підтвердження відповідності кандидата вимогам посади. Зокрема, використання поліграфа може бути застосовано </w:t>
      </w:r>
      <w:r w:rsidRPr="00511005">
        <w:rPr>
          <w:rFonts w:ascii="Arial" w:eastAsia="Calibri" w:hAnsi="Arial" w:cs="Arial"/>
          <w:szCs w:val="28"/>
        </w:rPr>
        <w:lastRenderedPageBreak/>
        <w:t>як частина таких випробувань, що дає можливість оцінити чесність, надійність та моральну придатність претендента. При цьому, такі випробування повинні проводитися відповідно до законодавства та з дотриманням прав працівника. Використання поліграфа при відборі кандидатів дозволяє уникнути потенційних ризиків, таких як приховування інформації або наявність шкідливих зв'язків. Однак, важливо, щоб поліграф був застосований з урахуванням принципів справедливості та добровільності, забезпечуючи захист прав осіб.</w:t>
      </w:r>
    </w:p>
    <w:p w14:paraId="435A7434"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szCs w:val="28"/>
        </w:rPr>
        <w:t>У сучасній Україні практика використання поліграфа при перевірці кандидатів на ключові посади стала невід’ємною частиною забезпечення кадрової безпеки. Поліграф застосовується для виявлення можливих ризиків серед кандидатів, особливо у державних органах, силових структурах і приватних компаніях, де безпека та довіра є критично важливими. Важливою є перевірка благонадійності осіб, які матимуть доступ до конфіденційної інформації, фінансових ресурсів або виконуватимуть важливі державні функції. Використання поліграфа дозволяє знизити ймовірність допущення до посади осіб з прихованими кримінальними намірами чи зв’язками. Проте важливою умовою є проведення таких перевірок у відповідності до законодавства та з дотриманням прав людини. В Україні, зокрема в правоохоронних органах, застосування поліграфа стає все більш популярним для перевірки кандидатів на важливі посади, як частина комплексу заходів для забезпечення національної безпеки.</w:t>
      </w:r>
    </w:p>
    <w:p w14:paraId="0028BED8"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szCs w:val="28"/>
        </w:rPr>
        <w:t>В межах дослідження теми використання поліграфа у кадровій безпеці та перевірці осіб, особливо в контексті державних органів, силових структур та специфічних випадків, як, наприклад, перевірка осіб, причетних до спроби замаху на президента України доречно зазначити. 7 травня 2023 року Служба безпеки України оголосила про спробу замаху на президента Володимира Зеленського, у результаті якої було затримано двох співробітників Управління державної охорони [3]. Ці особи підозрюються у передачі секретної інформації ворогу, що в умовах війни є серйозною загрозою національній безпеці. Зважаючи на важливість забезпечення безпеки високопосадовців та запобігання повторним спробам замаху, виникає необхідність застосування спеціальних методів перевірки та моніторингу, серед яких важливе місце займає поліграф. Хоча поліграф не є безумовним доказом і не може прямо засвідчити факт зради чи прихованих намірів, він виступає важливим інструментом для виявлення психологічних аномалій, які можуть бути ознаками недовіри або зловживань. Використання поліграфа дозволяє виявити потенційні загрози, пов'язані з проникненням в організацію осіб, схильних до шпигунства або нелояльних до держави. Зокрема, поліграф може бути використаний для перевірки співробітників, які мають доступ до конфіденційної інформації або займають важливі посади в органах державної охорони та спецслужбах.</w:t>
      </w:r>
    </w:p>
    <w:p w14:paraId="362E10AD"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szCs w:val="28"/>
        </w:rPr>
        <w:lastRenderedPageBreak/>
        <w:t>Інший приклад використання поліграфа у кадровій безпеці стосується розслідування витоку секретної інформації щодо пропозиції США про отримання прибутку з українських активів. Президент України Володимир Зеленський доручив Службі безпеки України провести розслідування після того, як були розкриті деталі угоди з американською стороною, що стосувалися критично важливих мінералів та енергетичних активів України [4]. Інформація про ці умови була оприлюднена в медіа і викликала значне обурення серед українських посадовців, які вважали частину пропозиції політично неприйнятною.</w:t>
      </w:r>
    </w:p>
    <w:p w14:paraId="20429D22" w14:textId="77777777" w:rsidR="00532C25" w:rsidRPr="00511005" w:rsidRDefault="00532C25" w:rsidP="00532C25">
      <w:pPr>
        <w:spacing w:line="264" w:lineRule="auto"/>
        <w:ind w:firstLine="720"/>
        <w:rPr>
          <w:rFonts w:ascii="Arial" w:eastAsia="Calibri" w:hAnsi="Arial" w:cs="Arial"/>
          <w:i/>
          <w:iCs/>
          <w:szCs w:val="28"/>
        </w:rPr>
      </w:pPr>
      <w:proofErr w:type="gramStart"/>
      <w:r w:rsidRPr="00511005">
        <w:rPr>
          <w:rFonts w:ascii="Arial" w:eastAsia="Calibri" w:hAnsi="Arial" w:cs="Arial"/>
          <w:szCs w:val="28"/>
        </w:rPr>
        <w:t>У рамках</w:t>
      </w:r>
      <w:proofErr w:type="gramEnd"/>
      <w:r w:rsidRPr="00511005">
        <w:rPr>
          <w:rFonts w:ascii="Arial" w:eastAsia="Calibri" w:hAnsi="Arial" w:cs="Arial"/>
          <w:szCs w:val="28"/>
        </w:rPr>
        <w:t xml:space="preserve"> цього розслідування СБУ застосувала поліграф для перевірки працівників кількох міністерств, зокрема тих, хто міг бути причетний до витоку цієї інформації. Як зазначають урядові джерела, хоча деталі про кількість осіб, що проходили перевірку, не були надані, застосування поліграфа стало важливою частиною стратегії для виявлення можливих зловживань і запобігання подальшим витокам секретних відомостей. Цей випадок підкреслює важливість поліграфа як інструменту в системі внутрішньої безпеки державних органів для перевірки на благонадійність осіб, які мають доступ до чутливої інформації. Незважаючи на критику щодо наукової обґрунтованості поліграфа, його застосування є ефективним методом в умовах загрози національній безпеці, особливо коли йдеться про потенційні витоки, що можуть підірвати довіру в міжнародних відносинах або завдати економічної шкоди.</w:t>
      </w:r>
    </w:p>
    <w:p w14:paraId="3692F2E0"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szCs w:val="28"/>
        </w:rPr>
        <w:t xml:space="preserve">У контексті державних структур, таких як органи влади чи силові відомства, поліграф застосовується для перевірки посадовців, які мають доступ до секретної інформації або займають важливі функції в сфері національної безпеки. Важливою особливістю є також застосування поліграфа в кадровій політиці приватних компаній та організацій, де поліграф може бути використаний для перевірки кандидатів на ключові посади або для виявлення потенційно небезпечних співробітників, що можуть порушувати корпоративну етику або безпеку. Незважаючи на критику щодо наукової обґрунтованості точності поліграфа, його використання залишається ефективним в умовах підвищеної загрози для держави або організацій і вважається важливим інструментом для збереження довіри і забезпечення безпеки в кадровій сфері [5, </w:t>
      </w:r>
      <w:r w:rsidRPr="00511005">
        <w:rPr>
          <w:rFonts w:ascii="Arial" w:eastAsia="Calibri" w:hAnsi="Arial" w:cs="Arial"/>
          <w:szCs w:val="28"/>
          <w:lang w:val="en-US"/>
        </w:rPr>
        <w:t>c</w:t>
      </w:r>
      <w:r w:rsidRPr="00511005">
        <w:rPr>
          <w:rFonts w:ascii="Arial" w:eastAsia="Calibri" w:hAnsi="Arial" w:cs="Arial"/>
          <w:szCs w:val="28"/>
        </w:rPr>
        <w:t>. 3-9].</w:t>
      </w:r>
    </w:p>
    <w:p w14:paraId="3E7C46D4"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szCs w:val="28"/>
        </w:rPr>
        <w:t>Отже, підсумовуючи, специфіка використання поліграфа у кадровій безпеці полягає в тому, що цей інструмент слугує додатковим засобом для оцінки надійності кандидатів на ключові посади, а також для виявлення можливих загроз серед уже працюючих осіб, що мають доступ до чутливої або секретної інформації. Поліграф застосовується як метод перевірки, який допомагає виявити приховані мотиви чи можливі небезпечні зв'язки, що можуть поставити під загрозу національну безпеку, корпоративні інтереси чи стабільність організацій.</w:t>
      </w:r>
    </w:p>
    <w:p w14:paraId="40B6097C" w14:textId="77777777" w:rsidR="00532C25" w:rsidRPr="00511005" w:rsidRDefault="00532C25" w:rsidP="00532C25">
      <w:pPr>
        <w:spacing w:line="264" w:lineRule="auto"/>
        <w:ind w:firstLine="720"/>
        <w:jc w:val="left"/>
        <w:rPr>
          <w:rFonts w:ascii="Arial" w:eastAsia="Calibri" w:hAnsi="Arial" w:cs="Arial"/>
          <w:i/>
          <w:iCs/>
          <w:szCs w:val="28"/>
        </w:rPr>
      </w:pPr>
    </w:p>
    <w:p w14:paraId="2296A50D" w14:textId="77777777" w:rsidR="00532C25" w:rsidRPr="00511005" w:rsidRDefault="00532C25" w:rsidP="00532C25">
      <w:pPr>
        <w:spacing w:line="264" w:lineRule="auto"/>
        <w:ind w:firstLine="720"/>
        <w:jc w:val="center"/>
        <w:rPr>
          <w:rFonts w:ascii="Arial" w:eastAsia="Calibri" w:hAnsi="Arial" w:cs="Arial"/>
          <w:b/>
          <w:bCs/>
          <w:i/>
          <w:iCs/>
          <w:szCs w:val="28"/>
        </w:rPr>
      </w:pPr>
      <w:r w:rsidRPr="00511005">
        <w:rPr>
          <w:rFonts w:ascii="Arial" w:eastAsia="Calibri" w:hAnsi="Arial" w:cs="Arial"/>
          <w:b/>
          <w:bCs/>
          <w:szCs w:val="28"/>
          <w:lang w:val="uk-UA"/>
        </w:rPr>
        <w:t>Список використаних джерел</w:t>
      </w:r>
    </w:p>
    <w:p w14:paraId="0846B6BF"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szCs w:val="28"/>
        </w:rPr>
        <w:t>1. «Інструкція про порядок використання поліграфів у Національної поліції України» затверджена наказом МВС України від 13.11.2017 № 920. URL: https://zakon. rada.gov.ua/laws/show/z1472-17#Text</w:t>
      </w:r>
    </w:p>
    <w:p w14:paraId="1BDD7AC1" w14:textId="77777777" w:rsidR="00532C25" w:rsidRPr="00511005" w:rsidRDefault="00532C25" w:rsidP="00532C25">
      <w:pPr>
        <w:spacing w:line="264" w:lineRule="auto"/>
        <w:ind w:firstLine="720"/>
        <w:rPr>
          <w:rFonts w:ascii="Arial" w:eastAsia="Calibri" w:hAnsi="Arial" w:cs="Arial"/>
          <w:i/>
          <w:iCs/>
          <w:szCs w:val="28"/>
          <w:lang w:val="pl-PL"/>
        </w:rPr>
      </w:pPr>
      <w:r w:rsidRPr="00511005">
        <w:rPr>
          <w:rFonts w:ascii="Arial" w:eastAsia="Calibri" w:hAnsi="Arial" w:cs="Arial"/>
          <w:szCs w:val="28"/>
        </w:rPr>
        <w:t xml:space="preserve">2. Кодекс законів про працю </w:t>
      </w:r>
      <w:proofErr w:type="gramStart"/>
      <w:r w:rsidRPr="00511005">
        <w:rPr>
          <w:rFonts w:ascii="Arial" w:eastAsia="Calibri" w:hAnsi="Arial" w:cs="Arial"/>
          <w:szCs w:val="28"/>
        </w:rPr>
        <w:t>України :</w:t>
      </w:r>
      <w:proofErr w:type="gramEnd"/>
      <w:r w:rsidRPr="00511005">
        <w:rPr>
          <w:rFonts w:ascii="Arial" w:eastAsia="Calibri" w:hAnsi="Arial" w:cs="Arial"/>
          <w:szCs w:val="28"/>
        </w:rPr>
        <w:t xml:space="preserve"> Закон Української РСР від 10 груд. </w:t>
      </w:r>
      <w:r w:rsidRPr="00511005">
        <w:rPr>
          <w:rFonts w:ascii="Arial" w:eastAsia="Calibri" w:hAnsi="Arial" w:cs="Arial"/>
          <w:szCs w:val="28"/>
          <w:lang w:val="pl-PL"/>
        </w:rPr>
        <w:t xml:space="preserve">1971 </w:t>
      </w:r>
      <w:r w:rsidRPr="00511005">
        <w:rPr>
          <w:rFonts w:ascii="Arial" w:eastAsia="Calibri" w:hAnsi="Arial" w:cs="Arial"/>
          <w:szCs w:val="28"/>
        </w:rPr>
        <w:t>р</w:t>
      </w:r>
      <w:r w:rsidRPr="00511005">
        <w:rPr>
          <w:rFonts w:ascii="Arial" w:eastAsia="Calibri" w:hAnsi="Arial" w:cs="Arial"/>
          <w:szCs w:val="28"/>
          <w:lang w:val="pl-PL"/>
        </w:rPr>
        <w:t xml:space="preserve">. № 322-VIII. URL: </w:t>
      </w:r>
      <w:r w:rsidR="005938AD">
        <w:fldChar w:fldCharType="begin"/>
      </w:r>
      <w:r w:rsidR="005938AD" w:rsidRPr="00C2797E">
        <w:rPr>
          <w:lang w:val="en-US"/>
        </w:rPr>
        <w:instrText xml:space="preserve"> HYPERLINK "https://zakon.rada.gov.ua/laws/show/322-08" \l "Text" </w:instrText>
      </w:r>
      <w:r w:rsidR="005938AD">
        <w:fldChar w:fldCharType="separate"/>
      </w:r>
      <w:r w:rsidRPr="00511005">
        <w:rPr>
          <w:rFonts w:ascii="Arial" w:eastAsia="Calibri" w:hAnsi="Arial" w:cs="Arial"/>
          <w:szCs w:val="28"/>
          <w:lang w:val="pl-PL"/>
        </w:rPr>
        <w:t>https://zakon.rada.gov.ua/laws/show/322-08#Text</w:t>
      </w:r>
      <w:r w:rsidR="005938AD">
        <w:rPr>
          <w:rFonts w:ascii="Arial" w:eastAsia="Calibri" w:hAnsi="Arial" w:cs="Arial"/>
          <w:szCs w:val="28"/>
          <w:lang w:val="pl-PL"/>
        </w:rPr>
        <w:fldChar w:fldCharType="end"/>
      </w:r>
      <w:r w:rsidRPr="00511005">
        <w:rPr>
          <w:rFonts w:ascii="Arial" w:eastAsia="Calibri" w:hAnsi="Arial" w:cs="Arial"/>
          <w:szCs w:val="28"/>
          <w:lang w:val="pl-PL"/>
        </w:rPr>
        <w:t>.</w:t>
      </w:r>
    </w:p>
    <w:p w14:paraId="1ABB0EE3" w14:textId="77777777" w:rsidR="00532C25" w:rsidRPr="00511005" w:rsidRDefault="00532C25" w:rsidP="00532C25">
      <w:pPr>
        <w:spacing w:line="264" w:lineRule="auto"/>
        <w:ind w:firstLine="720"/>
        <w:rPr>
          <w:rFonts w:ascii="Arial" w:eastAsia="Calibri" w:hAnsi="Arial" w:cs="Arial"/>
          <w:i/>
          <w:iCs/>
          <w:szCs w:val="28"/>
          <w:lang w:val="pl-PL"/>
        </w:rPr>
      </w:pPr>
      <w:r w:rsidRPr="00511005">
        <w:rPr>
          <w:rFonts w:ascii="Arial" w:eastAsia="Calibri" w:hAnsi="Arial" w:cs="Arial"/>
          <w:szCs w:val="28"/>
        </w:rPr>
        <w:t xml:space="preserve">3. Замах на Зеленського, Буданова та Малюка: хто, як і чому міг готувати злочин. </w:t>
      </w:r>
      <w:r w:rsidRPr="00511005">
        <w:rPr>
          <w:rFonts w:ascii="Arial" w:eastAsia="Calibri" w:hAnsi="Arial" w:cs="Arial"/>
          <w:szCs w:val="28"/>
          <w:lang w:val="pl-PL"/>
        </w:rPr>
        <w:t xml:space="preserve">URL: </w:t>
      </w:r>
      <w:r w:rsidR="005938AD">
        <w:fldChar w:fldCharType="begin"/>
      </w:r>
      <w:r w:rsidR="005938AD" w:rsidRPr="00C2797E">
        <w:rPr>
          <w:lang w:val="en-US"/>
        </w:rPr>
        <w:instrText xml:space="preserve"> HYPERLINK "https://uainfo.org/blo</w:instrText>
      </w:r>
      <w:r w:rsidR="005938AD" w:rsidRPr="00C2797E">
        <w:rPr>
          <w:lang w:val="en-US"/>
        </w:rPr>
        <w:instrText xml:space="preserve">gnews/1715237167-zamah-na-zelenskogo-budanova-ta-malyuka-hto-yak-i-chomu.html" </w:instrText>
      </w:r>
      <w:r w:rsidR="005938AD">
        <w:fldChar w:fldCharType="separate"/>
      </w:r>
      <w:r w:rsidRPr="00511005">
        <w:rPr>
          <w:rFonts w:ascii="Arial" w:eastAsia="Calibri" w:hAnsi="Arial" w:cs="Arial"/>
          <w:szCs w:val="28"/>
          <w:lang w:val="pl-PL"/>
        </w:rPr>
        <w:t>https://uainfo.org/blognews/1715237167-zamah-na-zelenskogo-budanova-ta-malyuka-hto-yak-i-chomu.html</w:t>
      </w:r>
      <w:r w:rsidR="005938AD">
        <w:rPr>
          <w:rFonts w:ascii="Arial" w:eastAsia="Calibri" w:hAnsi="Arial" w:cs="Arial"/>
          <w:szCs w:val="28"/>
          <w:lang w:val="pl-PL"/>
        </w:rPr>
        <w:fldChar w:fldCharType="end"/>
      </w:r>
    </w:p>
    <w:p w14:paraId="1536ECF7"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szCs w:val="28"/>
        </w:rPr>
        <w:t>4. FT: Зеленський доручив перевірити чиновників на поліграфі через витік проєкту угоди з США. URL: https://www.pravda.com.ua/news/2025/04/5/7506178/</w:t>
      </w:r>
    </w:p>
    <w:p w14:paraId="772D72AE"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szCs w:val="28"/>
        </w:rPr>
        <w:t>5. Козленко І. М. Проведення поліграфологічних перевірок в Україні: стан і перспективи. Судовопсихологічна експертиза. 2018. № 1 (18). С. 3–9. doi: 10.53672/ej.1.2018.01.</w:t>
      </w:r>
    </w:p>
    <w:p w14:paraId="25956AD5" w14:textId="77777777" w:rsidR="00532C25" w:rsidRPr="00511005" w:rsidRDefault="00532C25" w:rsidP="00532C25">
      <w:pPr>
        <w:spacing w:line="264" w:lineRule="auto"/>
        <w:ind w:firstLine="720"/>
        <w:rPr>
          <w:rFonts w:ascii="Arial" w:eastAsia="Calibri" w:hAnsi="Arial" w:cs="Arial"/>
          <w:i/>
          <w:iCs/>
          <w:szCs w:val="28"/>
        </w:rPr>
      </w:pPr>
    </w:p>
    <w:p w14:paraId="70303D53"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Calibri" w:hAnsi="Arial" w:cs="Arial"/>
          <w:b/>
          <w:bCs/>
          <w:i/>
          <w:szCs w:val="28"/>
        </w:rPr>
        <w:t xml:space="preserve">Ключові слова: </w:t>
      </w:r>
      <w:r w:rsidRPr="00511005">
        <w:rPr>
          <w:rFonts w:ascii="Arial" w:eastAsia="Calibri" w:hAnsi="Arial" w:cs="Arial"/>
          <w:szCs w:val="28"/>
        </w:rPr>
        <w:t>поліграф, кадрова безпека, тестування, перевірка достовірності, ризики, довіра, конфіденційність.</w:t>
      </w:r>
    </w:p>
    <w:p w14:paraId="05AD9217" w14:textId="77777777" w:rsidR="00532C25" w:rsidRPr="00511005" w:rsidRDefault="00532C25" w:rsidP="00532C25">
      <w:pPr>
        <w:spacing w:line="264" w:lineRule="auto"/>
        <w:ind w:firstLine="720"/>
        <w:rPr>
          <w:rFonts w:ascii="Arial" w:eastAsia="Calibri" w:hAnsi="Arial" w:cs="Arial"/>
          <w:i/>
          <w:iCs/>
          <w:szCs w:val="28"/>
          <w:lang w:val="en-US"/>
        </w:rPr>
      </w:pPr>
      <w:r w:rsidRPr="00511005">
        <w:rPr>
          <w:rFonts w:ascii="Arial" w:eastAsia="Calibri" w:hAnsi="Arial" w:cs="Arial"/>
          <w:b/>
          <w:bCs/>
          <w:i/>
          <w:szCs w:val="28"/>
          <w:lang w:val="en-US"/>
        </w:rPr>
        <w:t xml:space="preserve">Key words: </w:t>
      </w:r>
      <w:r w:rsidRPr="00511005">
        <w:rPr>
          <w:rFonts w:ascii="Arial" w:eastAsia="Calibri" w:hAnsi="Arial" w:cs="Arial"/>
          <w:szCs w:val="28"/>
          <w:lang w:val="en-US"/>
        </w:rPr>
        <w:t>polygraph, personnel security, testing, verification of authenticity, risks, trust, confidentiality.</w:t>
      </w:r>
      <w:r w:rsidRPr="00511005">
        <w:rPr>
          <w:rFonts w:ascii="Arial" w:eastAsia="Times New Roman" w:hAnsi="Arial" w:cs="Arial"/>
          <w:bCs/>
          <w:szCs w:val="28"/>
          <w:lang w:val="en-US"/>
        </w:rPr>
        <w:t xml:space="preserve"> </w:t>
      </w:r>
    </w:p>
    <w:p w14:paraId="6ECA366C" w14:textId="77777777" w:rsidR="00532C25" w:rsidRPr="00511005" w:rsidRDefault="00532C25" w:rsidP="00532C25">
      <w:pPr>
        <w:spacing w:line="264" w:lineRule="auto"/>
        <w:ind w:firstLine="720"/>
        <w:rPr>
          <w:rFonts w:ascii="Arial" w:eastAsia="Calibri" w:hAnsi="Arial" w:cs="Arial"/>
          <w:i/>
          <w:iCs/>
          <w:szCs w:val="28"/>
        </w:rPr>
      </w:pPr>
      <w:r w:rsidRPr="00511005">
        <w:rPr>
          <w:rFonts w:ascii="Arial" w:eastAsia="Times New Roman" w:hAnsi="Arial" w:cs="Arial"/>
          <w:b/>
          <w:bCs/>
          <w:i/>
          <w:iCs/>
          <w:szCs w:val="28"/>
        </w:rPr>
        <w:t xml:space="preserve">Науковий керівник: </w:t>
      </w:r>
      <w:r w:rsidRPr="00511005">
        <w:rPr>
          <w:rFonts w:ascii="Arial" w:eastAsia="Times New Roman" w:hAnsi="Arial" w:cs="Arial"/>
          <w:bCs/>
          <w:i/>
          <w:iCs/>
          <w:szCs w:val="28"/>
        </w:rPr>
        <w:t>доктор філософії</w:t>
      </w:r>
      <w:r w:rsidRPr="00511005">
        <w:rPr>
          <w:rFonts w:ascii="Arial" w:eastAsia="Times New Roman" w:hAnsi="Arial" w:cs="Arial"/>
          <w:bCs/>
          <w:i/>
          <w:iCs/>
          <w:szCs w:val="28"/>
          <w:lang w:val="uk-UA"/>
        </w:rPr>
        <w:t>, доцент</w:t>
      </w:r>
      <w:r w:rsidRPr="00511005">
        <w:rPr>
          <w:rFonts w:ascii="Arial" w:eastAsia="Times New Roman" w:hAnsi="Arial" w:cs="Arial"/>
          <w:bCs/>
          <w:i/>
          <w:iCs/>
          <w:szCs w:val="28"/>
        </w:rPr>
        <w:t xml:space="preserve"> Чернов О.В.</w:t>
      </w:r>
    </w:p>
    <w:p w14:paraId="5E96C4AB" w14:textId="77777777" w:rsidR="00532C25" w:rsidRPr="00511005" w:rsidRDefault="00532C25" w:rsidP="00532C25">
      <w:pPr>
        <w:spacing w:line="264" w:lineRule="auto"/>
        <w:ind w:firstLine="720"/>
        <w:rPr>
          <w:rFonts w:ascii="Arial" w:eastAsia="Calibri" w:hAnsi="Arial" w:cs="Arial"/>
          <w:i/>
          <w:iCs/>
          <w:szCs w:val="28"/>
        </w:rPr>
      </w:pPr>
    </w:p>
    <w:p w14:paraId="5903C2A4" w14:textId="77777777" w:rsidR="00532C25" w:rsidRPr="00511005" w:rsidRDefault="00532C25" w:rsidP="00532C25">
      <w:pPr>
        <w:spacing w:line="264" w:lineRule="auto"/>
        <w:ind w:firstLine="72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Фасій Анастасія</w:t>
      </w:r>
      <w:r w:rsidRPr="00511005">
        <w:rPr>
          <w:rFonts w:ascii="Arial" w:eastAsia="Times New Roman" w:hAnsi="Arial" w:cs="Arial"/>
          <w:b/>
          <w:bCs/>
          <w:i/>
          <w:iCs/>
          <w:szCs w:val="28"/>
          <w:lang w:eastAsia="ru-RU"/>
        </w:rPr>
        <w:t xml:space="preserve"> </w:t>
      </w:r>
      <w:r w:rsidRPr="00511005">
        <w:rPr>
          <w:rFonts w:ascii="Arial" w:eastAsia="Times New Roman" w:hAnsi="Arial" w:cs="Arial"/>
          <w:b/>
          <w:bCs/>
          <w:i/>
          <w:iCs/>
          <w:szCs w:val="28"/>
          <w:lang w:val="uk-UA" w:eastAsia="ru-RU"/>
        </w:rPr>
        <w:t>Володимирівна</w:t>
      </w:r>
    </w:p>
    <w:p w14:paraId="004EE459"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2-го курсу факультету цивільної та господарської юстиції</w:t>
      </w:r>
    </w:p>
    <w:p w14:paraId="6D9AEAD8"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6B30495E" w14:textId="77777777" w:rsidR="00532C25" w:rsidRPr="00511005" w:rsidRDefault="00532C25" w:rsidP="00532C25">
      <w:pPr>
        <w:spacing w:line="264" w:lineRule="auto"/>
        <w:ind w:firstLine="720"/>
        <w:jc w:val="left"/>
        <w:rPr>
          <w:rFonts w:ascii="Arial" w:eastAsia="Calibri" w:hAnsi="Arial" w:cs="Arial"/>
          <w:szCs w:val="28"/>
          <w:lang w:val="uk-UA"/>
        </w:rPr>
      </w:pPr>
    </w:p>
    <w:p w14:paraId="367B8EC4"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ПРОБЛЕМНІ ПИТАННЯ ВИКОРИСТАННЯ ІДЕНТИФІКАЦІЇ ОСОБИ ЗА ОЗНАКАМИ ЗОВНІШНОСТІ</w:t>
      </w:r>
    </w:p>
    <w:p w14:paraId="3D20B32B"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Розслідування будь-якого кримінального правопорушення включає насамперед питання встановлення особи злочинця шляхом вирішення комплексу завдань, зокрема, щодо ідентифікації особи, причетної до вчиненняпротиправного діяння, збирання доказовї бази, що підтверджує її вину, а також встановлення інших суттєвих обставин провадження. В межах нашого наукового пошуку пропонуємо зупинити свою увагу на розгляді проблемних питань, повʼязаних з ідентифікацією невідомої особи, причетної до вчинення протиправного діяння, за ознаками зовнішності.</w:t>
      </w:r>
    </w:p>
    <w:p w14:paraId="2A865AC7"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Ідентифікація особи за ознаками зовнішності – один із традиційних і водночас складних інструментів криміналістики. Він використовується як на етапі досудового розслідування, так і під час судового розгляду. Візуальне розпізнавання, фотороботи, аналіз відеозаписів, складання словесного </w:t>
      </w:r>
      <w:r w:rsidRPr="00511005">
        <w:rPr>
          <w:rFonts w:ascii="Arial" w:eastAsia="Calibri" w:hAnsi="Arial" w:cs="Arial"/>
          <w:noProof/>
          <w:szCs w:val="28"/>
          <w:lang w:val="uk-UA"/>
        </w:rPr>
        <w:lastRenderedPageBreak/>
        <w:t xml:space="preserve">портрета – всі ці методи досі відіграють важливу роль у встановленні осіб, причетних до вчинення кримінальних правопорушень. А особливо – у випадках, коли інші докази відсутні або обмежені. </w:t>
      </w:r>
    </w:p>
    <w:p w14:paraId="7F555C2E"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Водночас така форма ідентифікації супроводжується низкою проблем. Від технічних труднощів фіксації ознак до етичних та правових ризиків [1].</w:t>
      </w:r>
    </w:p>
    <w:p w14:paraId="08BE5364"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Ідентифікація особи за зовнішніми ознаками в криміналістиці – це процес встановлення особи шляхом порівняння її індивідуальних анатомічних, фізіологічних і морфологічних характеристик, візуально сприйманих або зафіксованих технічними засобами. </w:t>
      </w:r>
    </w:p>
    <w:p w14:paraId="0891CE6A"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Правове реглювання ідентифікації за зовнішністю в Україні здійснюється низкою нормативно-правових актів, насамперед Кримінальним процесуальним кодексом України, Інструкцією про організацію оперативно-розшукової діяльності, Законом України «Про націнальну поліцію» та законодавством про захист персональних даних.</w:t>
      </w:r>
    </w:p>
    <w:p w14:paraId="5CA87CFE"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У криміналістичній практиці ефективність ідентифікації особи значною мірою залежить від точності фіксації зовнішніх прикмет. Найчастіше використовуються декілька взаємодоповнюючих методів: візуальні, технічні та описові.</w:t>
      </w:r>
    </w:p>
    <w:p w14:paraId="46CFF6DD"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Один із найдавніших, але й досі актуальних способів – словесний портрет. Він базується на описі рис обличчя, статури, одягу, особливостей руху або міміки. Проте тут виникає проблема суб’єктивності: різні люди по-різному сприймають одні й ті самі риси, особливо в стресовій ситуації [2].</w:t>
      </w:r>
    </w:p>
    <w:p w14:paraId="333E46EA"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Сучасні технічні засоби істотно розширили можливості фіксації зовнішності. Фотографування і відеозапис – найпоширеніші інструменти, які дають змогу зберегти зображення для подальшого аналізу </w:t>
      </w:r>
      <w:r w:rsidRPr="00511005">
        <w:rPr>
          <w:rFonts w:ascii="Arial" w:eastAsia="Calibri" w:hAnsi="Arial" w:cs="Arial"/>
          <w:noProof/>
          <w:szCs w:val="28"/>
        </w:rPr>
        <w:t>[</w:t>
      </w:r>
      <w:r w:rsidRPr="00511005">
        <w:rPr>
          <w:rFonts w:ascii="Arial" w:eastAsia="Calibri" w:hAnsi="Arial" w:cs="Arial"/>
          <w:noProof/>
          <w:szCs w:val="28"/>
          <w:lang w:val="uk-UA"/>
        </w:rPr>
        <w:t>4</w:t>
      </w:r>
      <w:r w:rsidRPr="00511005">
        <w:rPr>
          <w:rFonts w:ascii="Arial" w:eastAsia="Calibri" w:hAnsi="Arial" w:cs="Arial"/>
          <w:noProof/>
          <w:szCs w:val="28"/>
        </w:rPr>
        <w:t>]</w:t>
      </w:r>
      <w:r w:rsidRPr="00511005">
        <w:rPr>
          <w:rFonts w:ascii="Arial" w:eastAsia="Calibri" w:hAnsi="Arial" w:cs="Arial"/>
          <w:noProof/>
          <w:szCs w:val="28"/>
          <w:lang w:val="uk-UA"/>
        </w:rPr>
        <w:t>.</w:t>
      </w:r>
    </w:p>
    <w:p w14:paraId="7733558C" w14:textId="77777777" w:rsidR="00532C25" w:rsidRPr="00511005" w:rsidRDefault="00532C25" w:rsidP="00532C25">
      <w:pPr>
        <w:spacing w:line="264" w:lineRule="auto"/>
        <w:ind w:firstLine="720"/>
        <w:rPr>
          <w:rFonts w:ascii="Arial" w:eastAsia="Calibri" w:hAnsi="Arial" w:cs="Arial"/>
          <w:noProof/>
          <w:szCs w:val="28"/>
        </w:rPr>
      </w:pPr>
      <w:r w:rsidRPr="00511005">
        <w:rPr>
          <w:rFonts w:ascii="Arial" w:eastAsia="Calibri" w:hAnsi="Arial" w:cs="Arial"/>
          <w:noProof/>
          <w:szCs w:val="28"/>
          <w:lang w:val="uk-UA"/>
        </w:rPr>
        <w:t>Особливу роль нині відіграють біометричні технології: системи розпізнавання облич, ходи, навіть манери мови.</w:t>
      </w:r>
      <w:r w:rsidRPr="00511005">
        <w:rPr>
          <w:rFonts w:ascii="Arial" w:eastAsia="Calibri" w:hAnsi="Arial" w:cs="Arial"/>
          <w:noProof/>
          <w:szCs w:val="28"/>
        </w:rPr>
        <w:t xml:space="preserve"> </w:t>
      </w:r>
      <w:r w:rsidRPr="00511005">
        <w:rPr>
          <w:rFonts w:ascii="Arial" w:eastAsia="Calibri" w:hAnsi="Arial" w:cs="Arial"/>
          <w:noProof/>
          <w:szCs w:val="28"/>
          <w:lang w:val="uk-UA"/>
        </w:rPr>
        <w:t>Окремо слід згадати створення фотороботів. Сучасні комп’ютерні програми дозволяють швидко формувати зображення за словесним описом.</w:t>
      </w:r>
      <w:r w:rsidRPr="00511005">
        <w:rPr>
          <w:rFonts w:ascii="Arial" w:eastAsia="Calibri" w:hAnsi="Arial" w:cs="Arial"/>
          <w:noProof/>
          <w:szCs w:val="28"/>
        </w:rPr>
        <w:t xml:space="preserve"> </w:t>
      </w:r>
    </w:p>
    <w:p w14:paraId="0765D433"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Не дивлячись на технологічний прогрес, ідентифікація особи за зовнішніми ознаками залишається однією з найвразливіших ділянок у криміналістичній практиці. Головна причина – мінливість людської зовнішності. Це ускладнює зіставлення поточного вигляду з наявними описами або архівними зображеннями.</w:t>
      </w:r>
    </w:p>
    <w:p w14:paraId="688A5136"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Ще одне критичне питання – надійність людського сприйняття. Чимало досліджень підтверджують, що навіть впевнені свідки можуть помилитися при впізнанні, особливо якщо особа підозрюваного належить до іншої етнічної групи – цей феномен відомий як ефект міжгрупового сприйняття.</w:t>
      </w:r>
    </w:p>
    <w:p w14:paraId="1D5A76A9"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Також виникають питання при порівнянні зовнішності зображеної особи з реальним підозрюваним: який рівень подібності вважати достатнім? Таким чином, навіть за наявності технічної бази, проблема достовірності залишається відкритою. </w:t>
      </w:r>
    </w:p>
    <w:p w14:paraId="3286F668"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lastRenderedPageBreak/>
        <w:t>Судова практика останніх десятиліть переконливо свідчить: ідентифікація особи за зовнішніми ознаками, особливо якщо вона базується на показаннях очевидців або розмитому відеозаписі, може призводити до серйозних помилок. Іноді ці помилки коштують людині років життя, проведених у місцях позбавлення волі.</w:t>
      </w:r>
    </w:p>
    <w:p w14:paraId="7EA7B26B"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Один із найвідоміших прикладів – справа Рональда Коттона у США. У 1984 році його було засуджено до довічного ув’язнення за зґвалтування, головним чином на підставі впізнання потерпілою. Пізніше, вже у 1995 році, аналіз ДНК повністю виправдав Коттона – злочин вчинила інша особа, зовні схожа на нього. Цей випадок став поштовхом до широкої критики системи впізнання в американській юриспруденції</w:t>
      </w:r>
      <w:r w:rsidRPr="00511005">
        <w:rPr>
          <w:rFonts w:ascii="Arial" w:eastAsia="Calibri" w:hAnsi="Arial" w:cs="Arial"/>
          <w:noProof/>
          <w:szCs w:val="28"/>
        </w:rPr>
        <w:t xml:space="preserve"> [</w:t>
      </w:r>
      <w:r w:rsidRPr="00511005">
        <w:rPr>
          <w:rFonts w:ascii="Arial" w:eastAsia="Calibri" w:hAnsi="Arial" w:cs="Arial"/>
          <w:noProof/>
          <w:szCs w:val="28"/>
          <w:lang w:val="uk-UA"/>
        </w:rPr>
        <w:t>5</w:t>
      </w:r>
      <w:r w:rsidRPr="00511005">
        <w:rPr>
          <w:rFonts w:ascii="Arial" w:eastAsia="Calibri" w:hAnsi="Arial" w:cs="Arial"/>
          <w:noProof/>
          <w:szCs w:val="28"/>
        </w:rPr>
        <w:t>]</w:t>
      </w:r>
      <w:r w:rsidRPr="00511005">
        <w:rPr>
          <w:rFonts w:ascii="Arial" w:eastAsia="Calibri" w:hAnsi="Arial" w:cs="Arial"/>
          <w:noProof/>
          <w:szCs w:val="28"/>
          <w:lang w:val="uk-UA"/>
        </w:rPr>
        <w:t>.</w:t>
      </w:r>
    </w:p>
    <w:p w14:paraId="0274AD62"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В Україні подібна практика також має місце, хоча часто не привертає належної уваги через обмежену публічність судових процесів. </w:t>
      </w:r>
    </w:p>
    <w:p w14:paraId="512C3B7A" w14:textId="77777777" w:rsidR="00532C25" w:rsidRPr="00511005" w:rsidRDefault="00532C25" w:rsidP="00532C25">
      <w:pPr>
        <w:spacing w:line="264" w:lineRule="auto"/>
        <w:ind w:firstLine="720"/>
        <w:rPr>
          <w:rFonts w:ascii="Arial" w:eastAsia="Calibri" w:hAnsi="Arial" w:cs="Arial"/>
          <w:noProof/>
          <w:szCs w:val="28"/>
          <w:lang w:val="uk-UA"/>
        </w:rPr>
      </w:pPr>
      <w:bookmarkStart w:id="247" w:name="_oknrij9duxmk" w:colFirst="0" w:colLast="0"/>
      <w:bookmarkEnd w:id="247"/>
      <w:r w:rsidRPr="00511005">
        <w:rPr>
          <w:rFonts w:ascii="Arial" w:eastAsia="Calibri" w:hAnsi="Arial" w:cs="Arial"/>
          <w:noProof/>
          <w:szCs w:val="28"/>
          <w:lang w:val="uk-UA"/>
        </w:rPr>
        <w:t xml:space="preserve">Ідентифікація особи за зовнішніми ознаками – потужний, але неоднозначний інструмент у криміналістиці. Практика показує, що жодна ознака зовнішності не є абсолютно індивідуальною, оскільки окремі риси можуть бути подібними у різних людей. Тому для підвищення точності ідентифікації зазвичай використовують сукупність ознак. </w:t>
      </w:r>
    </w:p>
    <w:p w14:paraId="28F29DFA"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Водночас відмовлятися від цього інструменту повністю – недоцільно. Його потенціал залишається високим, особливо якщо йдеться про комплексний підхід: поєднання технічних засобів, біометрії, інших доказів і професійного аналізу. </w:t>
      </w:r>
    </w:p>
    <w:p w14:paraId="7EA34473" w14:textId="77777777" w:rsidR="00532C25" w:rsidRPr="00511005" w:rsidRDefault="00532C25" w:rsidP="00532C25">
      <w:pPr>
        <w:spacing w:line="264" w:lineRule="auto"/>
        <w:ind w:firstLine="720"/>
        <w:rPr>
          <w:rFonts w:ascii="Arial" w:eastAsia="Calibri" w:hAnsi="Arial" w:cs="Arial"/>
          <w:noProof/>
          <w:szCs w:val="28"/>
          <w:lang w:val="uk-UA"/>
        </w:rPr>
      </w:pPr>
      <w:r w:rsidRPr="00511005">
        <w:rPr>
          <w:rFonts w:ascii="Arial" w:eastAsia="Calibri" w:hAnsi="Arial" w:cs="Arial"/>
          <w:noProof/>
          <w:szCs w:val="28"/>
          <w:lang w:val="uk-UA"/>
        </w:rPr>
        <w:t xml:space="preserve">Отже, ключ до безпечного та ефективного використання ідентифікації за зовнішністю – баланс. Баланс між потребами слідства і правами людини, між швидкістю дій і обережністю суджень, між технологіями та людським фактором. </w:t>
      </w:r>
    </w:p>
    <w:p w14:paraId="5885FEAA" w14:textId="77777777" w:rsidR="00532C25" w:rsidRPr="00511005" w:rsidRDefault="00532C25" w:rsidP="00532C25">
      <w:pPr>
        <w:widowControl w:val="0"/>
        <w:spacing w:line="264" w:lineRule="auto"/>
        <w:ind w:firstLine="720"/>
        <w:contextualSpacing/>
        <w:jc w:val="center"/>
        <w:rPr>
          <w:rFonts w:ascii="Arial" w:eastAsia="Calibri" w:hAnsi="Arial" w:cs="Arial"/>
          <w:b/>
          <w:bCs/>
          <w:i/>
          <w:iCs/>
          <w:noProof/>
          <w:szCs w:val="28"/>
          <w:lang w:val="uk-UA"/>
        </w:rPr>
      </w:pPr>
    </w:p>
    <w:p w14:paraId="2787A896" w14:textId="77777777" w:rsidR="00532C25" w:rsidRPr="00511005" w:rsidRDefault="00532C25" w:rsidP="00532C25">
      <w:pPr>
        <w:widowControl w:val="0"/>
        <w:spacing w:line="264" w:lineRule="auto"/>
        <w:ind w:firstLine="720"/>
        <w:contextualSpacing/>
        <w:jc w:val="center"/>
        <w:rPr>
          <w:rFonts w:ascii="Arial" w:eastAsia="Calibri" w:hAnsi="Arial" w:cs="Arial"/>
          <w:b/>
          <w:bCs/>
          <w:i/>
          <w:iCs/>
          <w:noProof/>
          <w:szCs w:val="28"/>
          <w:lang w:val="uk-UA"/>
        </w:rPr>
      </w:pPr>
      <w:r w:rsidRPr="00511005">
        <w:rPr>
          <w:rFonts w:ascii="Arial" w:eastAsia="Calibri" w:hAnsi="Arial" w:cs="Arial"/>
          <w:b/>
          <w:bCs/>
          <w:i/>
          <w:iCs/>
          <w:noProof/>
          <w:szCs w:val="28"/>
          <w:lang w:val="uk-UA"/>
        </w:rPr>
        <w:t>Список використаних джерел</w:t>
      </w:r>
    </w:p>
    <w:p w14:paraId="1A5B3A64" w14:textId="77777777" w:rsidR="00532C25" w:rsidRPr="00511005" w:rsidRDefault="00532C25" w:rsidP="003F6A5D">
      <w:pPr>
        <w:numPr>
          <w:ilvl w:val="0"/>
          <w:numId w:val="629"/>
        </w:numPr>
        <w:spacing w:line="264" w:lineRule="auto"/>
        <w:ind w:left="0" w:firstLine="720"/>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Гусєва В. Проблеми ідентифікації особи за ознаками зовнішності під час розслідування кримінальних правопорушень. </w:t>
      </w:r>
      <w:r w:rsidRPr="00511005">
        <w:rPr>
          <w:rFonts w:ascii="Arial" w:eastAsia="Times New Roman" w:hAnsi="Arial" w:cs="Arial"/>
          <w:i/>
          <w:iCs/>
          <w:noProof/>
          <w:szCs w:val="28"/>
          <w:lang w:val="uk-UA" w:eastAsia="ru-RU"/>
        </w:rPr>
        <w:t xml:space="preserve">Теорія та практика судової експертизи і криміналістики. </w:t>
      </w:r>
      <w:r w:rsidRPr="00511005">
        <w:rPr>
          <w:rFonts w:ascii="Arial" w:eastAsia="Times New Roman" w:hAnsi="Arial" w:cs="Arial"/>
          <w:noProof/>
          <w:szCs w:val="28"/>
          <w:lang w:val="uk-UA" w:eastAsia="ru-RU"/>
        </w:rPr>
        <w:t>2021. № 2. С. 105–110.</w:t>
      </w:r>
    </w:p>
    <w:p w14:paraId="38DBD523" w14:textId="77777777" w:rsidR="00532C25" w:rsidRPr="00511005" w:rsidRDefault="00532C25" w:rsidP="003F6A5D">
      <w:pPr>
        <w:numPr>
          <w:ilvl w:val="0"/>
          <w:numId w:val="629"/>
        </w:numPr>
        <w:spacing w:line="264" w:lineRule="auto"/>
        <w:ind w:left="0" w:firstLine="720"/>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Осипенко І. П., Гарига-Грихно М. М. Ідентифікація особи за ознаками зовнішності. </w:t>
      </w:r>
      <w:r w:rsidRPr="00511005">
        <w:rPr>
          <w:rFonts w:ascii="Arial" w:eastAsia="Times New Roman" w:hAnsi="Arial" w:cs="Arial"/>
          <w:i/>
          <w:iCs/>
          <w:noProof/>
          <w:szCs w:val="28"/>
          <w:lang w:val="uk-UA" w:eastAsia="ru-RU"/>
        </w:rPr>
        <w:t>Криміналістичний вісник</w:t>
      </w:r>
      <w:r w:rsidRPr="00511005">
        <w:rPr>
          <w:rFonts w:ascii="Arial" w:eastAsia="Times New Roman" w:hAnsi="Arial" w:cs="Arial"/>
          <w:noProof/>
          <w:szCs w:val="28"/>
          <w:lang w:val="uk-UA" w:eastAsia="ru-RU"/>
        </w:rPr>
        <w:t>. 2017. № 1 (27). С. 141–148.</w:t>
      </w:r>
    </w:p>
    <w:p w14:paraId="648C6C24" w14:textId="77777777" w:rsidR="00532C25" w:rsidRPr="00511005" w:rsidRDefault="00532C25" w:rsidP="003F6A5D">
      <w:pPr>
        <w:numPr>
          <w:ilvl w:val="0"/>
          <w:numId w:val="629"/>
        </w:numPr>
        <w:spacing w:line="264" w:lineRule="auto"/>
        <w:ind w:left="0" w:firstLine="720"/>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Чашницька Т. Г. Можливості ідентифікації особи за матеріалами відеозапису. </w:t>
      </w:r>
      <w:r w:rsidRPr="00511005">
        <w:rPr>
          <w:rFonts w:ascii="Arial" w:eastAsia="Times New Roman" w:hAnsi="Arial" w:cs="Arial"/>
          <w:i/>
          <w:iCs/>
          <w:noProof/>
          <w:szCs w:val="28"/>
          <w:lang w:val="uk-UA" w:eastAsia="ru-RU"/>
        </w:rPr>
        <w:t>Актуальні питання криміналістики</w:t>
      </w:r>
      <w:r w:rsidRPr="00511005">
        <w:rPr>
          <w:rFonts w:ascii="Arial" w:eastAsia="Times New Roman" w:hAnsi="Arial" w:cs="Arial"/>
          <w:noProof/>
          <w:szCs w:val="28"/>
          <w:lang w:val="uk-UA" w:eastAsia="ru-RU"/>
        </w:rPr>
        <w:t xml:space="preserve"> : зб. мат-лів Всеукр. наук.-практ. конф. (м. Київ, 19 грудня 2019 року). Київ, 2019. URL: http://elar.naiau.kiev.ua/jspui/handle/123456789/16061</w:t>
      </w:r>
    </w:p>
    <w:p w14:paraId="7A1D8567" w14:textId="77777777" w:rsidR="00532C25" w:rsidRPr="00511005" w:rsidRDefault="00532C25" w:rsidP="003F6A5D">
      <w:pPr>
        <w:numPr>
          <w:ilvl w:val="0"/>
          <w:numId w:val="629"/>
        </w:numPr>
        <w:spacing w:line="264" w:lineRule="auto"/>
        <w:ind w:left="0" w:firstLine="720"/>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 xml:space="preserve">Хахановський В. Г., Чашницька Т. Г. Ідентифікація особи за ходою, зафіксованою в матеріалах відеозапису. </w:t>
      </w:r>
      <w:r w:rsidRPr="00511005">
        <w:rPr>
          <w:rFonts w:ascii="Arial" w:eastAsia="Times New Roman" w:hAnsi="Arial" w:cs="Arial"/>
          <w:i/>
          <w:iCs/>
          <w:noProof/>
          <w:szCs w:val="28"/>
          <w:lang w:val="uk-UA" w:eastAsia="ru-RU"/>
        </w:rPr>
        <w:t>Криміналістичний вісник</w:t>
      </w:r>
      <w:r w:rsidRPr="00511005">
        <w:rPr>
          <w:rFonts w:ascii="Arial" w:eastAsia="Times New Roman" w:hAnsi="Arial" w:cs="Arial"/>
          <w:noProof/>
          <w:szCs w:val="28"/>
          <w:lang w:val="uk-UA" w:eastAsia="ru-RU"/>
        </w:rPr>
        <w:t xml:space="preserve">. 2020. Т. 33. № 1. С. 72–80. </w:t>
      </w:r>
      <w:r w:rsidRPr="00511005">
        <w:rPr>
          <w:rFonts w:ascii="Arial" w:eastAsia="Times New Roman" w:hAnsi="Arial" w:cs="Arial"/>
          <w:noProof/>
          <w:szCs w:val="28"/>
          <w:lang w:val="ru" w:eastAsia="ru-RU"/>
        </w:rPr>
        <w:t>DOI</w:t>
      </w:r>
      <w:r w:rsidRPr="00511005">
        <w:rPr>
          <w:rFonts w:ascii="Arial" w:eastAsia="Times New Roman" w:hAnsi="Arial" w:cs="Arial"/>
          <w:noProof/>
          <w:szCs w:val="28"/>
          <w:lang w:val="uk-UA" w:eastAsia="ru-RU"/>
        </w:rPr>
        <w:t>: 10.37025/1992-4437/2020-33-1-72</w:t>
      </w:r>
    </w:p>
    <w:p w14:paraId="5993C8F0" w14:textId="77777777" w:rsidR="00532C25" w:rsidRPr="00511005" w:rsidRDefault="00532C25" w:rsidP="003F6A5D">
      <w:pPr>
        <w:numPr>
          <w:ilvl w:val="0"/>
          <w:numId w:val="629"/>
        </w:numPr>
        <w:spacing w:line="264" w:lineRule="auto"/>
        <w:ind w:left="0" w:firstLine="720"/>
        <w:contextualSpacing/>
        <w:jc w:val="left"/>
        <w:rPr>
          <w:rFonts w:ascii="Arial" w:eastAsia="Times New Roman" w:hAnsi="Arial" w:cs="Arial"/>
          <w:noProof/>
          <w:szCs w:val="28"/>
          <w:lang w:val="uk-UA" w:eastAsia="ru-RU"/>
        </w:rPr>
      </w:pPr>
      <w:r w:rsidRPr="00511005">
        <w:rPr>
          <w:rFonts w:ascii="Arial" w:eastAsia="Times New Roman" w:hAnsi="Arial" w:cs="Arial"/>
          <w:noProof/>
          <w:szCs w:val="28"/>
          <w:lang w:eastAsia="ru-RU"/>
        </w:rPr>
        <w:lastRenderedPageBreak/>
        <w:t xml:space="preserve">Мистецтво виступів у суді (витяг із книги Томаса А.Мауі «Судові процеси: стратегія, навички та нові методи переконання». </w:t>
      </w:r>
      <w:r w:rsidRPr="00511005">
        <w:rPr>
          <w:rFonts w:ascii="Arial" w:eastAsia="Times New Roman" w:hAnsi="Arial" w:cs="Arial"/>
          <w:i/>
          <w:noProof/>
          <w:szCs w:val="28"/>
          <w:lang w:eastAsia="ru-RU"/>
        </w:rPr>
        <w:t>Адвокат майбутнього.</w:t>
      </w:r>
      <w:r w:rsidRPr="00511005">
        <w:rPr>
          <w:rFonts w:ascii="Arial" w:eastAsia="Times New Roman" w:hAnsi="Arial" w:cs="Arial"/>
          <w:noProof/>
          <w:szCs w:val="28"/>
          <w:lang w:eastAsia="ru-RU"/>
        </w:rPr>
        <w:t xml:space="preserve"> 2019. </w:t>
      </w:r>
      <w:r w:rsidRPr="00511005">
        <w:rPr>
          <w:rFonts w:ascii="Arial" w:eastAsia="Times New Roman" w:hAnsi="Arial" w:cs="Arial"/>
          <w:noProof/>
          <w:szCs w:val="28"/>
          <w:lang w:val="uk-UA" w:eastAsia="ru-RU"/>
        </w:rPr>
        <w:t>С</w:t>
      </w:r>
      <w:r w:rsidRPr="00511005">
        <w:rPr>
          <w:rFonts w:ascii="Arial" w:eastAsia="Times New Roman" w:hAnsi="Arial" w:cs="Arial"/>
          <w:noProof/>
          <w:szCs w:val="28"/>
          <w:lang w:eastAsia="ru-RU"/>
        </w:rPr>
        <w:t xml:space="preserve">. </w:t>
      </w:r>
      <w:r w:rsidRPr="00511005">
        <w:rPr>
          <w:rFonts w:ascii="Arial" w:eastAsia="Times New Roman" w:hAnsi="Arial" w:cs="Arial"/>
          <w:noProof/>
          <w:szCs w:val="28"/>
          <w:lang w:val="uk-UA" w:eastAsia="ru-RU"/>
        </w:rPr>
        <w:t>97-99</w:t>
      </w:r>
    </w:p>
    <w:p w14:paraId="1590773B" w14:textId="77777777" w:rsidR="00532C25" w:rsidRPr="00511005" w:rsidRDefault="00532C25" w:rsidP="00532C25">
      <w:pPr>
        <w:spacing w:line="264" w:lineRule="auto"/>
        <w:ind w:firstLine="720"/>
        <w:rPr>
          <w:rFonts w:ascii="Arial" w:eastAsia="Calibri" w:hAnsi="Arial" w:cs="Arial"/>
          <w:b/>
          <w:bCs/>
          <w:szCs w:val="28"/>
          <w:lang w:val="uk-UA"/>
        </w:rPr>
      </w:pPr>
    </w:p>
    <w:p w14:paraId="623AD65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ідентифікація, ідентифікація особи за ознаками зовнішності.</w:t>
      </w:r>
    </w:p>
    <w:p w14:paraId="063CD0F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lang w:val="uk-UA"/>
        </w:rPr>
        <w:t xml:space="preserve">Key words: </w:t>
      </w:r>
      <w:r w:rsidRPr="00511005">
        <w:rPr>
          <w:rFonts w:ascii="Arial" w:eastAsia="Calibri" w:hAnsi="Arial" w:cs="Arial"/>
          <w:szCs w:val="28"/>
          <w:lang w:val="uk-UA"/>
        </w:rPr>
        <w:t>identification, identification of a person by appearance.</w:t>
      </w:r>
    </w:p>
    <w:p w14:paraId="662A8BDE"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Pr="00511005">
        <w:rPr>
          <w:rFonts w:ascii="Arial" w:eastAsia="Times New Roman" w:hAnsi="Arial" w:cs="Arial"/>
          <w:bCs/>
          <w:i/>
          <w:iCs/>
          <w:szCs w:val="28"/>
          <w:lang w:val="uk-UA" w:eastAsia="ru-RU"/>
        </w:rPr>
        <w:t>асистент Мурашко А.С.</w:t>
      </w:r>
    </w:p>
    <w:p w14:paraId="0944BD8F" w14:textId="77777777" w:rsidR="00532C25" w:rsidRPr="00511005" w:rsidRDefault="00532C25" w:rsidP="00532C25">
      <w:pPr>
        <w:autoSpaceDE w:val="0"/>
        <w:autoSpaceDN w:val="0"/>
        <w:adjustRightInd w:val="0"/>
        <w:spacing w:line="264" w:lineRule="auto"/>
        <w:ind w:firstLine="720"/>
        <w:contextualSpacing/>
        <w:jc w:val="center"/>
        <w:rPr>
          <w:rFonts w:ascii="Arial" w:eastAsia="Times New Roman" w:hAnsi="Arial" w:cs="Arial"/>
          <w:noProof/>
          <w:szCs w:val="28"/>
          <w:lang w:val="uk-UA" w:eastAsia="ru-RU"/>
        </w:rPr>
      </w:pPr>
    </w:p>
    <w:p w14:paraId="2D28DEBB" w14:textId="77777777" w:rsidR="00532C25" w:rsidRPr="00511005" w:rsidRDefault="00532C25" w:rsidP="00532C25">
      <w:pPr>
        <w:spacing w:line="264" w:lineRule="auto"/>
        <w:ind w:firstLine="720"/>
        <w:jc w:val="center"/>
        <w:rPr>
          <w:rFonts w:ascii="Arial" w:eastAsia="Times New Roman" w:hAnsi="Arial" w:cs="Arial"/>
          <w:b/>
          <w:i/>
          <w:iCs/>
          <w:szCs w:val="28"/>
          <w:lang w:val="uk-UA"/>
        </w:rPr>
      </w:pPr>
      <w:r w:rsidRPr="00511005">
        <w:rPr>
          <w:rFonts w:ascii="Arial" w:eastAsia="Times New Roman" w:hAnsi="Arial" w:cs="Arial"/>
          <w:b/>
          <w:i/>
          <w:iCs/>
          <w:szCs w:val="28"/>
        </w:rPr>
        <w:t xml:space="preserve">Фоменко Денис </w:t>
      </w:r>
      <w:r w:rsidRPr="00511005">
        <w:rPr>
          <w:rFonts w:ascii="Arial" w:eastAsia="Times New Roman" w:hAnsi="Arial" w:cs="Arial"/>
          <w:b/>
          <w:i/>
          <w:iCs/>
          <w:szCs w:val="28"/>
          <w:lang w:val="uk-UA"/>
        </w:rPr>
        <w:t>Володимирович</w:t>
      </w:r>
    </w:p>
    <w:p w14:paraId="13F5863A" w14:textId="77777777" w:rsidR="00532C25" w:rsidRPr="00511005" w:rsidRDefault="00532C25" w:rsidP="00532C25">
      <w:pPr>
        <w:spacing w:line="264" w:lineRule="auto"/>
        <w:ind w:firstLine="720"/>
        <w:jc w:val="center"/>
        <w:rPr>
          <w:rFonts w:ascii="Arial" w:eastAsia="Times New Roman" w:hAnsi="Arial" w:cs="Arial"/>
          <w:bCs/>
          <w:szCs w:val="28"/>
          <w:lang w:val="uk-UA"/>
        </w:rPr>
      </w:pPr>
      <w:r w:rsidRPr="00511005">
        <w:rPr>
          <w:rFonts w:ascii="Arial" w:eastAsia="Times New Roman" w:hAnsi="Arial" w:cs="Arial"/>
          <w:bCs/>
          <w:szCs w:val="28"/>
          <w:lang w:val="uk-UA"/>
        </w:rPr>
        <w:t>студент 2-го курсу факультету цивільної та господарської юстиції</w:t>
      </w:r>
    </w:p>
    <w:p w14:paraId="4D2B0DD3"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07BE3EAF" w14:textId="77777777" w:rsidR="00532C25" w:rsidRPr="00511005" w:rsidRDefault="00532C25" w:rsidP="00532C25">
      <w:pPr>
        <w:spacing w:line="264" w:lineRule="auto"/>
        <w:ind w:firstLine="720"/>
        <w:jc w:val="center"/>
        <w:rPr>
          <w:rFonts w:ascii="Arial" w:eastAsia="Calibri" w:hAnsi="Arial" w:cs="Arial"/>
          <w:szCs w:val="28"/>
          <w:lang w:val="uk-UA"/>
        </w:rPr>
      </w:pPr>
    </w:p>
    <w:p w14:paraId="287769B0" w14:textId="77777777" w:rsidR="00532C25" w:rsidRPr="00511005" w:rsidRDefault="00532C25" w:rsidP="00532C25">
      <w:pPr>
        <w:spacing w:line="264" w:lineRule="auto"/>
        <w:ind w:firstLine="720"/>
        <w:jc w:val="center"/>
        <w:rPr>
          <w:rFonts w:ascii="Arial" w:eastAsia="Times New Roman" w:hAnsi="Arial" w:cs="Arial"/>
          <w:b/>
          <w:szCs w:val="28"/>
        </w:rPr>
      </w:pPr>
      <w:r w:rsidRPr="00511005">
        <w:rPr>
          <w:rFonts w:ascii="Arial" w:eastAsia="Times New Roman" w:hAnsi="Arial" w:cs="Arial"/>
          <w:b/>
          <w:szCs w:val="28"/>
        </w:rPr>
        <w:t>ФОНОСКОПІЧНА ЕКСПЕРТИЗА ЯК ЗАСІБ ВСТАНОВЛЕННЯ АВТЕНТИЧНОСТІ ГОЛОСУ У КРИМІНАЛЬНОМУ ПРОВАДЖЕННІ</w:t>
      </w:r>
    </w:p>
    <w:p w14:paraId="081E3B90"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У сучасному кримінальному процесі аудіозаписи відіграють важливу роль як джерело доказової інформації. Фоноскопічна експертиза, яка включає дослідження голосу та мовлення, стає ключовим інструментом для встановлення автентичності голосу осіб, зафіксованих на аудіозаписах. Зі зростанням використання цифрових технологій та можливостей редагування аудіофайлів виникає необхідність удосконалення методів експертизи для забезпечення достовірності отриманих результатів.</w:t>
      </w:r>
    </w:p>
    <w:p w14:paraId="0ADFC6C0"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Фоноскопічна експертиза передбачає аналіз акустичних та лінгвістичних характеристик мовлення для ідентифікації особи. Дисертаційне дослідження Татарнікової Т.О. акцентує увагу на важливості врахування технічних аспектів запису, таких як характеристики апаратури та носіїв, що можуть впливати на якість та достовірність аудіозаписів. Авторка підкреслює необхідність розробки нових методик, які враховують специфіку цифрового звукозапису та можливі спотворення, що виникають під час обробки аудіофайлів [1, с. 156].​</w:t>
      </w:r>
    </w:p>
    <w:p w14:paraId="45D87982"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Значну увагу приділено використанню спеціалізованих програмно-апаратних комплексів для автоматизованого аналізу аудіозаписів. Це дозволяє підвищити точність і об'єктивність експертних висновків. Зокрема, застосування методів спектрального аналізу та виявлення артефактів монтажу сприяє встановленню автентичності запису та ідентифікації диктора [2, с. 301].</w:t>
      </w:r>
    </w:p>
    <w:p w14:paraId="1CBA4E30"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У контексті кримінального провадження особливої ваги набуває проблема допустимості та достовірності результатів фоноскопічної експертизи як доказу.</w:t>
      </w:r>
    </w:p>
    <w:p w14:paraId="325658BC"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Як зазначає Т.О. Татарнікова, експерт повинен не лише провести технічний аналіз звукового запису, а й обґрунтувати висновки </w:t>
      </w:r>
      <w:proofErr w:type="gramStart"/>
      <w:r w:rsidRPr="00511005">
        <w:rPr>
          <w:rFonts w:ascii="Arial" w:eastAsia="Times New Roman" w:hAnsi="Arial" w:cs="Arial"/>
          <w:szCs w:val="28"/>
        </w:rPr>
        <w:t>у межах</w:t>
      </w:r>
      <w:proofErr w:type="gramEnd"/>
      <w:r w:rsidRPr="00511005">
        <w:rPr>
          <w:rFonts w:ascii="Arial" w:eastAsia="Times New Roman" w:hAnsi="Arial" w:cs="Arial"/>
          <w:szCs w:val="28"/>
        </w:rPr>
        <w:t xml:space="preserve"> </w:t>
      </w:r>
      <w:r w:rsidRPr="00511005">
        <w:rPr>
          <w:rFonts w:ascii="Arial" w:eastAsia="Times New Roman" w:hAnsi="Arial" w:cs="Arial"/>
          <w:szCs w:val="28"/>
        </w:rPr>
        <w:lastRenderedPageBreak/>
        <w:t>процесуального законодавства, дотримуючись принципу науковості, об’єктивності та верифікованості результатів [1, с. 158].</w:t>
      </w:r>
    </w:p>
    <w:p w14:paraId="35970135"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З огляду на це, постає питання стандартизації методик і формування єдиних підходів до ідентифікації особи за голосом, з урахуванням специфіки акустичних спотворень, що можуть виникати під час кодування, передавання або редагування сигналу</w:t>
      </w:r>
    </w:p>
    <w:p w14:paraId="7D163115"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Актуальним є також питання правового регулювання меж використання фоноскопічної експертизи, зокрема </w:t>
      </w:r>
      <w:proofErr w:type="gramStart"/>
      <w:r w:rsidRPr="00511005">
        <w:rPr>
          <w:rFonts w:ascii="Arial" w:eastAsia="Times New Roman" w:hAnsi="Arial" w:cs="Arial"/>
          <w:szCs w:val="28"/>
        </w:rPr>
        <w:t>у справах</w:t>
      </w:r>
      <w:proofErr w:type="gramEnd"/>
      <w:r w:rsidRPr="00511005">
        <w:rPr>
          <w:rFonts w:ascii="Arial" w:eastAsia="Times New Roman" w:hAnsi="Arial" w:cs="Arial"/>
          <w:szCs w:val="28"/>
        </w:rPr>
        <w:t>, що стосуються прихованого запису розмов, зібраних без згоди особи. У таких випадках виникає конфлікт між правом на приватність та потребою ефективного розслідування, що потребує ґрунтовного науково-практичного осмислення та законодавчого врегулювання.</w:t>
      </w:r>
    </w:p>
    <w:p w14:paraId="5765E2DF"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Крім технічних аспектів, важливо враховувати індивідуальні особливості голосу та мовлення особи, які можуть бути використані для її ідентифікації. Ці характеристики включають тембр, інтонацію, ритм мовлення та інші параметри, що є унікальними для кожної людини. Аналіз таких ознак вимагає високої кваліфікації експертів та використання сучасних технологій [3, с. 485].</w:t>
      </w:r>
    </w:p>
    <w:p w14:paraId="7ABD62BE"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Отже, фоноскопічна експертиза є важливим інструментом у кримінальному провадженні для встановлення автентичності голосу та ідентифікації осіб. З огляду на розвиток цифрових технологій та можливості редагування аудіозаписів, необхідно постійно вдосконалювати методики експертизи, впроваджувати нові технології та підвищувати кваліфікацію експертів. Тільки за таких умов можна забезпечити достовірність та об'єктивність результатів фоноскопічної експертизи у кримінальному процесі.</w:t>
      </w:r>
    </w:p>
    <w:p w14:paraId="4E821C24" w14:textId="77777777" w:rsidR="00532C25" w:rsidRPr="00511005" w:rsidRDefault="00532C25" w:rsidP="00532C25">
      <w:pPr>
        <w:spacing w:line="264" w:lineRule="auto"/>
        <w:ind w:firstLine="720"/>
        <w:jc w:val="center"/>
        <w:rPr>
          <w:rFonts w:ascii="Arial" w:eastAsia="Times New Roman" w:hAnsi="Arial" w:cs="Arial"/>
          <w:b/>
          <w:szCs w:val="28"/>
        </w:rPr>
      </w:pPr>
      <w:bookmarkStart w:id="248" w:name="_30j0zll" w:colFirst="0" w:colLast="0"/>
      <w:bookmarkEnd w:id="248"/>
    </w:p>
    <w:p w14:paraId="707E7A80" w14:textId="77777777" w:rsidR="00532C25" w:rsidRPr="00511005" w:rsidRDefault="00532C25" w:rsidP="00532C25">
      <w:pPr>
        <w:spacing w:line="264" w:lineRule="auto"/>
        <w:ind w:firstLine="720"/>
        <w:jc w:val="center"/>
        <w:rPr>
          <w:rFonts w:ascii="Arial" w:eastAsia="Times New Roman" w:hAnsi="Arial" w:cs="Arial"/>
          <w:szCs w:val="28"/>
        </w:rPr>
      </w:pPr>
      <w:r w:rsidRPr="00511005">
        <w:rPr>
          <w:rFonts w:ascii="Arial" w:eastAsia="Times New Roman" w:hAnsi="Arial" w:cs="Arial"/>
          <w:b/>
          <w:szCs w:val="28"/>
          <w:lang w:val="uk-UA"/>
        </w:rPr>
        <w:t>Список використаних джерел</w:t>
      </w:r>
    </w:p>
    <w:p w14:paraId="3F2E7025"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1. Татарнікова Т.О. Експертні дослідження матеріалів та засобів цифрового звукозапису: дис. на здоб. наук. ст. канд. юрид. наук: 12.00.09. Київ: НАВС, 2016. 238 с.</w:t>
      </w:r>
    </w:p>
    <w:p w14:paraId="739107CA"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2.</w:t>
      </w:r>
      <w:r w:rsidRPr="00511005">
        <w:rPr>
          <w:rFonts w:ascii="Arial" w:eastAsia="Calibri" w:hAnsi="Arial" w:cs="Arial"/>
          <w:szCs w:val="28"/>
        </w:rPr>
        <w:t> </w:t>
      </w:r>
      <w:r w:rsidRPr="00511005">
        <w:rPr>
          <w:rFonts w:ascii="Arial" w:eastAsia="Times New Roman" w:hAnsi="Arial" w:cs="Arial"/>
          <w:szCs w:val="28"/>
        </w:rPr>
        <w:t>Мазниченко Ю.О., Шведова О.В. Методологічні аспекти автоматизованого дослідження матеріалів та засобів цифрового звукозапису. Криміналістика і судова експертиза, № 60. Київ, 2015. С. 299-307.</w:t>
      </w:r>
    </w:p>
    <w:p w14:paraId="1DE4D41C"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3. Шелепкова С.І. Індивідуальні особливості голосу та мовлення людини (на матеріалі лінгвістичних методів дослідження судової експертизи відео-, звукозапису). Молодий вчений, № 4 (80), 2020. С. 484-487.</w:t>
      </w:r>
    </w:p>
    <w:p w14:paraId="6EA9F63C" w14:textId="77777777" w:rsidR="00532C25" w:rsidRPr="00511005" w:rsidRDefault="00532C25" w:rsidP="00532C25">
      <w:pPr>
        <w:spacing w:line="264" w:lineRule="auto"/>
        <w:ind w:firstLine="720"/>
        <w:rPr>
          <w:rFonts w:ascii="Arial" w:eastAsia="Times New Roman" w:hAnsi="Arial" w:cs="Arial"/>
          <w:szCs w:val="28"/>
          <w:lang w:val="uk-UA"/>
        </w:rPr>
      </w:pPr>
    </w:p>
    <w:p w14:paraId="0958414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ідентифікація, судова експертиза, фоноскопічна експертиза, досудове розслідування.</w:t>
      </w:r>
    </w:p>
    <w:p w14:paraId="19CC0BF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lang w:val="uk-UA"/>
        </w:rPr>
        <w:lastRenderedPageBreak/>
        <w:t xml:space="preserve">Key words: </w:t>
      </w:r>
      <w:r w:rsidRPr="00511005">
        <w:rPr>
          <w:rFonts w:ascii="Arial" w:eastAsia="Calibri" w:hAnsi="Arial" w:cs="Arial"/>
          <w:szCs w:val="28"/>
          <w:lang w:val="uk-UA"/>
        </w:rPr>
        <w:t>identification, forensic examination, phonoscopic examination, pre-trial investigation.</w:t>
      </w:r>
    </w:p>
    <w:p w14:paraId="43F4DDA6" w14:textId="77777777" w:rsidR="00532C25" w:rsidRPr="00511005" w:rsidRDefault="00532C25" w:rsidP="00532C25">
      <w:pPr>
        <w:spacing w:line="264" w:lineRule="auto"/>
        <w:ind w:firstLine="72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Pr="00511005">
        <w:rPr>
          <w:rFonts w:ascii="Arial" w:eastAsia="Times New Roman" w:hAnsi="Arial" w:cs="Arial"/>
          <w:i/>
          <w:iCs/>
          <w:szCs w:val="28"/>
          <w:lang w:val="uk-UA"/>
        </w:rPr>
        <w:t>д.ю.н, професор Самойленко О.А.</w:t>
      </w:r>
    </w:p>
    <w:p w14:paraId="23E802FF" w14:textId="77777777" w:rsidR="00532C25" w:rsidRPr="00511005" w:rsidRDefault="00532C25" w:rsidP="00532C25">
      <w:pPr>
        <w:spacing w:line="264" w:lineRule="auto"/>
        <w:ind w:firstLine="720"/>
        <w:jc w:val="center"/>
        <w:rPr>
          <w:rFonts w:ascii="Arial" w:eastAsia="Calibri" w:hAnsi="Arial" w:cs="Arial"/>
          <w:b/>
          <w:bCs/>
          <w:i/>
          <w:iCs/>
          <w:szCs w:val="28"/>
          <w:lang w:val="uk-UA"/>
        </w:rPr>
      </w:pPr>
    </w:p>
    <w:p w14:paraId="16C7B460"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Халаїм Діана Станіславівна</w:t>
      </w:r>
    </w:p>
    <w:p w14:paraId="065F8226"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студентка 2-го курсу факультету цивільної та господарської юстиції</w:t>
      </w:r>
    </w:p>
    <w:p w14:paraId="191092EC" w14:textId="77777777" w:rsidR="00532C25" w:rsidRPr="00511005" w:rsidRDefault="00532C25" w:rsidP="00532C25">
      <w:pPr>
        <w:spacing w:line="264" w:lineRule="auto"/>
        <w:ind w:firstLine="72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2BE1142B" w14:textId="77777777" w:rsidR="00532C25" w:rsidRPr="00511005" w:rsidRDefault="00532C25" w:rsidP="00532C25">
      <w:pPr>
        <w:spacing w:line="264" w:lineRule="auto"/>
        <w:ind w:firstLine="720"/>
        <w:jc w:val="center"/>
        <w:rPr>
          <w:rFonts w:ascii="Arial" w:eastAsia="Calibri" w:hAnsi="Arial" w:cs="Arial"/>
          <w:szCs w:val="28"/>
          <w:lang w:val="uk-UA"/>
        </w:rPr>
      </w:pPr>
    </w:p>
    <w:p w14:paraId="74CF8471"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БІОМЕТРИЧНІ ТЕХНОЛОГІЇ ЯК ОСНОВА СУЧАСНИХ МЕТОДІВ ІДЕНТИФІКАЦІЇ: ПЕРЕВАГИ, РИЗИКИ ТА ПЕРСПЕКТИВИ РОЗВИТКУ</w:t>
      </w:r>
    </w:p>
    <w:p w14:paraId="5818E68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 сучасному світі, де питання безпеки та зручності ідентифікації особи стають дедалі актуальнішими, біометричні технології відіграють ключову роль. Вони базуються на унікальних фізіологічних та поведінкових характеристиках людини, таких як відбитки пальців, розпізнавання обличчя, голосу чи навіть структури вен. Завдяки високій точності та швидкості, біометрія стає невід'ємною частиною фінансових транзакцій, контролю доступу, медичних записів та багатьох інших сфер.</w:t>
      </w:r>
    </w:p>
    <w:p w14:paraId="4E5180A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Однак, попри очевидні переваги, такі як зручність, надійність і зниження ризику шахрайства, біометричні технології мають і певні загрози. Зокрема, викликають занепокоєння питання конфіденційності, безпеки зберігання біометричних даних та можливість їх підробки або несанкціонованого використання.</w:t>
      </w:r>
    </w:p>
    <w:p w14:paraId="27C20AF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Біометрія стала популярною завдяки своїй зручності та високій надійності, що особливо важливо в сучасному цифровому світі, де питання безпеки персональних даних стають дедалі актуальнішими. В Україні ці технології набувають все більшого поширення, зокрема у сфері банківських послуг, державних реєстрів та систем контролю доступу. Біометричні паспорти, електронні підписи та системи ідентифікації громадян є важливими кроками у напрямку цифровізації країни.</w:t>
      </w:r>
    </w:p>
    <w:p w14:paraId="5A2BA6A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Історія біометричних технологій сягає кінця XIX століття, коли криміналісти почали застосовувати антропометричні методи для ідентифікації злочинців. Згодом розвиток комп’ютерних технологій та штучного інтелекту значно розширив можливості цієї галузі, дозволивши використовувати біометричні дані не лише у правоохоронних органах, а й у фінансовому секторі, медичній сфері та мобільних пристроях [1, с. 4].</w:t>
      </w:r>
    </w:p>
    <w:p w14:paraId="57A65234"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В Україні біометричні технології активно впроваджуються в різні сфери, що сприяє цифровізації державних послуг та підвищенню рівня безпеки. Одним із ключових напрямків є використання біометричних паспортів та ID-карток, які містять електронний чип із персональними даними громадян, що забезпечує швидку ідентифікацію та зменшує ризик підробки документів. Також активно застосовуються біометричні системи у банківському секторі: багато фінансових установ запровадили авторизацію </w:t>
      </w:r>
      <w:r w:rsidRPr="00511005">
        <w:rPr>
          <w:rFonts w:ascii="Arial" w:eastAsia="Calibri" w:hAnsi="Arial" w:cs="Arial"/>
          <w:szCs w:val="28"/>
          <w:lang w:val="uk-UA"/>
        </w:rPr>
        <w:lastRenderedPageBreak/>
        <w:t>клієнтів за відбитками пальців або розпізнаванням обличчя для доступу до мобільного банкінгу та онлайн-операцій. У державному секторі біометричні дані використовуються для перетину кордону, що значно пришвидшує процес паспортного контролю та підвищує рівень безпеки національних кордонів. Крім того, в Україні запроваджено систему електронного голосування для певних категорій виборців, що передбачає ідентифікацію за біометричними параметрами. У сфері охорони здоров’я також триває впровадження біометричних технологій, зокрема для ідентифікації пацієнтів у медичних закладах та доступу до електронних медичних записів. Попри це, існують виклики, пов’язані із захистом персональних даних, оскільки централізовані бази біометричної інформації можуть стати мішенню для кіберзлочинців. Саме тому український уряд та бізнес-сектор активно працюють над вдосконаленням законодавчої бази та впровадженням додаткових механізмів шифрування й анонімізації даних, що дозволяє збалансувати інновації з безпекою та правами громадян [2, с. 4].</w:t>
      </w:r>
    </w:p>
    <w:p w14:paraId="22AC6B6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Серед головних переваг біометричних технологій можна виділити високий рівень безпеки, оскільки біометричні дані є унікальними для кожної людини і їх складно підробити. Водночас вони забезпечують зручність для користувачів, позбавляючи необхідності запам’ятовувати складні паролі або носити з собою документи. Швидкість ідентифікації також є важливим фактором, оскільки сучасні системи дозволяють миттєво розпізнавати особу, що значно полегшує доступ до сервісів та інформації.</w:t>
      </w:r>
    </w:p>
    <w:p w14:paraId="4BA2534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Проте разом із перевагами існують і певні ризики, зокрема проблеми конфіденційності та захисту персональних даних. Централізоване зберігання біометричної інформації створює загрозу несанкціонованого доступу, а її витік може мати серйозні наслідки, оскільки, на відміну від паролів, біометричні характеристики не можна змінити. В Україні, як і у багатьох інших країнах, питання кібербезпеки та захисту особистої інформації залишається актуальним, тому важливо впроваджувати надійні механізми шифрування даних та розробляти законодавчі акти, що регулюватимуть їх використання [3, с. 4].</w:t>
      </w:r>
    </w:p>
    <w:p w14:paraId="2D62598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Вирішення цих проблем можливе завдяки впровадженню більш досконалих алгоритмів розпізнавання, використанню методів шифрування даних та розробці міжнародних стандартів безпеки. Крім того, комбінування біометричних методів із традиційними способами аутентифікації, такими як паролі або одноразові коди, дозволить підвищити загальний рівень безпеки.</w:t>
      </w:r>
    </w:p>
    <w:p w14:paraId="3110B45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Перспективи розвитку біометричних технологій пов’язані із подальшим удосконаленням алгоритмів штучного інтелекту та їх інтеграцією у повсякденне життя. Очікується, що вони будуть використовуватися не лише у фінансовому та державному секторах, а й у медицині, транспорті та роздрібній торгівлі, що дозволить зробити багато процесів швидшими і зручнішими. В Україні подальше впровадження біометричних технологій </w:t>
      </w:r>
      <w:r w:rsidRPr="00511005">
        <w:rPr>
          <w:rFonts w:ascii="Arial" w:eastAsia="Calibri" w:hAnsi="Arial" w:cs="Arial"/>
          <w:szCs w:val="28"/>
          <w:lang w:val="uk-UA"/>
        </w:rPr>
        <w:lastRenderedPageBreak/>
        <w:t>може сприяти розвитку електронного урядування та підвищенню рівня довіри громадян до цифрових сервісів.</w:t>
      </w:r>
    </w:p>
    <w:p w14:paraId="68E2EE2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Біометричні технології є потужним інструментом для забезпечення безпеки та зручності в сучасному цифровому світі. Проте їхнє впровадження повинно супроводжуватися ретельним аналізом можливих ризиків та розробкою заходів для їх мінімізації. Лише за умови дотримання балансу між інноваціями та захистом конфіденційності можна досягти максимальної ефективності та суспільного прийняття біометричних систем.</w:t>
      </w:r>
    </w:p>
    <w:p w14:paraId="64D64C3E" w14:textId="77777777" w:rsidR="00532C25" w:rsidRPr="00511005" w:rsidRDefault="00532C25" w:rsidP="00532C25">
      <w:pPr>
        <w:spacing w:line="264" w:lineRule="auto"/>
        <w:ind w:firstLine="720"/>
        <w:jc w:val="center"/>
        <w:rPr>
          <w:rFonts w:ascii="Arial" w:eastAsia="Calibri" w:hAnsi="Arial" w:cs="Arial"/>
          <w:b/>
          <w:bCs/>
          <w:szCs w:val="28"/>
          <w:lang w:val="uk-UA"/>
        </w:rPr>
      </w:pPr>
    </w:p>
    <w:p w14:paraId="0C37C1B7"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20F3F21" w14:textId="77777777" w:rsidR="00532C25" w:rsidRPr="00511005" w:rsidRDefault="00532C25" w:rsidP="003F6A5D">
      <w:pPr>
        <w:numPr>
          <w:ilvl w:val="0"/>
          <w:numId w:val="630"/>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t>Лунгол О.М. Біометричні технології в системах автентифікації: використання та перспективи. URL: https://www.academia.edu/124359572/</w:t>
      </w:r>
    </w:p>
    <w:p w14:paraId="2DF5B0ED" w14:textId="77777777" w:rsidR="00532C25" w:rsidRPr="00511005" w:rsidRDefault="00532C25" w:rsidP="003F6A5D">
      <w:pPr>
        <w:numPr>
          <w:ilvl w:val="0"/>
          <w:numId w:val="630"/>
        </w:numPr>
        <w:spacing w:line="264" w:lineRule="auto"/>
        <w:ind w:left="0" w:firstLine="720"/>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 xml:space="preserve">Технології розпізнавання облич: історія та застосування. </w:t>
      </w:r>
      <w:r w:rsidRPr="00511005">
        <w:rPr>
          <w:rFonts w:ascii="Arial" w:eastAsia="Times New Roman" w:hAnsi="Arial" w:cs="Arial"/>
          <w:szCs w:val="28"/>
          <w:lang w:val="pl-PL" w:eastAsia="ru-RU"/>
        </w:rPr>
        <w:t>URL: https://proit.com.ua/news/tehnologiyi-rozpiznavannya-oblych-yak-vony/</w:t>
      </w:r>
    </w:p>
    <w:p w14:paraId="45914911" w14:textId="77777777" w:rsidR="00532C25" w:rsidRPr="00511005" w:rsidRDefault="00532C25" w:rsidP="003F6A5D">
      <w:pPr>
        <w:numPr>
          <w:ilvl w:val="0"/>
          <w:numId w:val="630"/>
        </w:numPr>
        <w:spacing w:line="264" w:lineRule="auto"/>
        <w:ind w:left="0" w:firstLine="720"/>
        <w:contextualSpacing/>
        <w:jc w:val="left"/>
        <w:rPr>
          <w:rFonts w:ascii="Arial" w:eastAsia="Times New Roman" w:hAnsi="Arial" w:cs="Arial"/>
          <w:szCs w:val="28"/>
          <w:lang w:val="pl-PL" w:eastAsia="ru-RU"/>
        </w:rPr>
      </w:pPr>
      <w:r w:rsidRPr="00511005">
        <w:rPr>
          <w:rFonts w:ascii="Arial" w:eastAsia="Times New Roman" w:hAnsi="Arial" w:cs="Arial"/>
          <w:szCs w:val="28"/>
          <w:lang w:eastAsia="ru-RU"/>
        </w:rPr>
        <w:t>Плюси</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та</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мінуси</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біометричної</w:t>
      </w:r>
      <w:r w:rsidRPr="00511005">
        <w:rPr>
          <w:rFonts w:ascii="Arial" w:eastAsia="Times New Roman" w:hAnsi="Arial" w:cs="Arial"/>
          <w:szCs w:val="28"/>
          <w:lang w:val="pl-PL" w:eastAsia="ru-RU"/>
        </w:rPr>
        <w:t xml:space="preserve"> </w:t>
      </w:r>
      <w:r w:rsidRPr="00511005">
        <w:rPr>
          <w:rFonts w:ascii="Arial" w:eastAsia="Times New Roman" w:hAnsi="Arial" w:cs="Arial"/>
          <w:szCs w:val="28"/>
          <w:lang w:eastAsia="ru-RU"/>
        </w:rPr>
        <w:t>автентифікації</w:t>
      </w:r>
      <w:r w:rsidRPr="00511005">
        <w:rPr>
          <w:rFonts w:ascii="Arial" w:eastAsia="Times New Roman" w:hAnsi="Arial" w:cs="Arial"/>
          <w:szCs w:val="28"/>
          <w:lang w:val="pl-PL" w:eastAsia="ru-RU"/>
        </w:rPr>
        <w:t xml:space="preserve">. URL: </w:t>
      </w:r>
      <w:r w:rsidR="005938AD">
        <w:fldChar w:fldCharType="begin"/>
      </w:r>
      <w:r w:rsidR="005938AD" w:rsidRPr="00C2797E">
        <w:rPr>
          <w:lang w:val="en-US"/>
        </w:rPr>
        <w:instrText xml:space="preserve"> HYPERLINK "https://uk.educationalwave.com/pros-and-cons-of-biometric-authentication/" </w:instrText>
      </w:r>
      <w:r w:rsidR="005938AD">
        <w:fldChar w:fldCharType="separate"/>
      </w:r>
      <w:r w:rsidRPr="00511005">
        <w:rPr>
          <w:rFonts w:ascii="Arial" w:eastAsia="Times New Roman" w:hAnsi="Arial" w:cs="Arial"/>
          <w:szCs w:val="28"/>
          <w:lang w:val="pl-PL" w:eastAsia="ru-RU"/>
        </w:rPr>
        <w:t>https://uk.educationalwave.com/pros-and-cons-of-biometric-authentication/</w:t>
      </w:r>
      <w:r w:rsidR="005938AD">
        <w:rPr>
          <w:rFonts w:ascii="Arial" w:eastAsia="Times New Roman" w:hAnsi="Arial" w:cs="Arial"/>
          <w:szCs w:val="28"/>
          <w:lang w:val="pl-PL" w:eastAsia="ru-RU"/>
        </w:rPr>
        <w:fldChar w:fldCharType="end"/>
      </w:r>
    </w:p>
    <w:p w14:paraId="71ACEA4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i/>
          <w:szCs w:val="28"/>
        </w:rPr>
        <w:t>Ключові</w:t>
      </w:r>
      <w:r w:rsidRPr="00C2797E">
        <w:rPr>
          <w:rFonts w:ascii="Arial" w:eastAsia="Calibri" w:hAnsi="Arial" w:cs="Arial"/>
          <w:b/>
          <w:bCs/>
          <w:i/>
          <w:szCs w:val="28"/>
          <w:lang w:val="pl-PL"/>
        </w:rPr>
        <w:t xml:space="preserve"> </w:t>
      </w:r>
      <w:r w:rsidRPr="00511005">
        <w:rPr>
          <w:rFonts w:ascii="Arial" w:eastAsia="Calibri" w:hAnsi="Arial" w:cs="Arial"/>
          <w:b/>
          <w:bCs/>
          <w:i/>
          <w:szCs w:val="28"/>
        </w:rPr>
        <w:t>слова</w:t>
      </w:r>
      <w:r w:rsidRPr="00C2797E">
        <w:rPr>
          <w:rFonts w:ascii="Arial" w:eastAsia="Calibri" w:hAnsi="Arial" w:cs="Arial"/>
          <w:b/>
          <w:bCs/>
          <w:i/>
          <w:szCs w:val="28"/>
          <w:lang w:val="pl-PL"/>
        </w:rPr>
        <w:t xml:space="preserve">: </w:t>
      </w:r>
      <w:r w:rsidRPr="00511005">
        <w:rPr>
          <w:rFonts w:ascii="Arial" w:eastAsia="Calibri" w:hAnsi="Arial" w:cs="Arial"/>
          <w:szCs w:val="28"/>
        </w:rPr>
        <w:t>біометричні</w:t>
      </w:r>
      <w:r w:rsidRPr="00511005">
        <w:rPr>
          <w:rFonts w:ascii="Arial" w:eastAsia="Calibri" w:hAnsi="Arial" w:cs="Arial"/>
          <w:szCs w:val="28"/>
          <w:lang w:val="pl-PL"/>
        </w:rPr>
        <w:t xml:space="preserve"> </w:t>
      </w:r>
      <w:r w:rsidRPr="00511005">
        <w:rPr>
          <w:rFonts w:ascii="Arial" w:eastAsia="Calibri" w:hAnsi="Arial" w:cs="Arial"/>
          <w:szCs w:val="28"/>
        </w:rPr>
        <w:t>технології</w:t>
      </w:r>
      <w:r w:rsidRPr="00511005">
        <w:rPr>
          <w:rFonts w:ascii="Arial" w:eastAsia="Calibri" w:hAnsi="Arial" w:cs="Arial"/>
          <w:szCs w:val="28"/>
          <w:lang w:val="pl-PL"/>
        </w:rPr>
        <w:t xml:space="preserve">, </w:t>
      </w:r>
      <w:r w:rsidRPr="00511005">
        <w:rPr>
          <w:rFonts w:ascii="Arial" w:eastAsia="Calibri" w:hAnsi="Arial" w:cs="Arial"/>
          <w:szCs w:val="28"/>
        </w:rPr>
        <w:t>ідентифікація</w:t>
      </w:r>
      <w:r w:rsidRPr="00511005">
        <w:rPr>
          <w:rFonts w:ascii="Arial" w:eastAsia="Calibri" w:hAnsi="Arial" w:cs="Arial"/>
          <w:szCs w:val="28"/>
          <w:lang w:val="pl-PL"/>
        </w:rPr>
        <w:t xml:space="preserve"> </w:t>
      </w:r>
      <w:r w:rsidRPr="00511005">
        <w:rPr>
          <w:rFonts w:ascii="Arial" w:eastAsia="Calibri" w:hAnsi="Arial" w:cs="Arial"/>
          <w:szCs w:val="28"/>
        </w:rPr>
        <w:t>особи</w:t>
      </w:r>
      <w:r w:rsidRPr="00511005">
        <w:rPr>
          <w:rFonts w:ascii="Arial" w:eastAsia="Calibri" w:hAnsi="Arial" w:cs="Arial"/>
          <w:szCs w:val="28"/>
          <w:lang w:val="pl-PL"/>
        </w:rPr>
        <w:t xml:space="preserve">, </w:t>
      </w:r>
      <w:r w:rsidRPr="00511005">
        <w:rPr>
          <w:rFonts w:ascii="Arial" w:eastAsia="Calibri" w:hAnsi="Arial" w:cs="Arial"/>
          <w:szCs w:val="28"/>
        </w:rPr>
        <w:t>кібербезпека</w:t>
      </w:r>
      <w:r w:rsidRPr="00511005">
        <w:rPr>
          <w:rFonts w:ascii="Arial" w:eastAsia="Calibri" w:hAnsi="Arial" w:cs="Arial"/>
          <w:szCs w:val="28"/>
          <w:lang w:val="uk-UA"/>
        </w:rPr>
        <w:t>;</w:t>
      </w:r>
    </w:p>
    <w:p w14:paraId="11A40B6C" w14:textId="77777777" w:rsidR="00532C25" w:rsidRPr="00511005" w:rsidRDefault="00532C25" w:rsidP="00532C25">
      <w:pPr>
        <w:spacing w:line="264" w:lineRule="auto"/>
        <w:ind w:firstLine="720"/>
        <w:rPr>
          <w:rFonts w:ascii="Arial" w:eastAsia="Calibri" w:hAnsi="Arial" w:cs="Arial"/>
          <w:szCs w:val="28"/>
          <w:lang w:val="en-US"/>
        </w:rPr>
      </w:pPr>
      <w:r w:rsidRPr="00511005">
        <w:rPr>
          <w:rFonts w:ascii="Arial" w:eastAsia="Calibri" w:hAnsi="Arial" w:cs="Arial"/>
          <w:b/>
          <w:bCs/>
          <w:i/>
          <w:szCs w:val="28"/>
          <w:lang w:val="en-US"/>
        </w:rPr>
        <w:t xml:space="preserve">Key words: </w:t>
      </w:r>
      <w:r w:rsidRPr="00511005">
        <w:rPr>
          <w:rFonts w:ascii="Arial" w:eastAsia="Calibri" w:hAnsi="Arial" w:cs="Arial"/>
          <w:szCs w:val="28"/>
          <w:lang w:val="en-US"/>
        </w:rPr>
        <w:t>biometric technologies, personal identification, cybersecurity.</w:t>
      </w:r>
    </w:p>
    <w:p w14:paraId="5D56E41B" w14:textId="77777777" w:rsidR="00532C25" w:rsidRPr="00511005" w:rsidRDefault="00532C25" w:rsidP="00532C25">
      <w:pPr>
        <w:spacing w:line="264" w:lineRule="auto"/>
        <w:ind w:firstLine="72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д.ю.н., професор Самойленко О.А.</w:t>
      </w:r>
    </w:p>
    <w:p w14:paraId="6979D0A6"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eastAsia="ru-RU"/>
        </w:rPr>
      </w:pPr>
    </w:p>
    <w:p w14:paraId="01465F47"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eastAsia="ru-RU"/>
        </w:rPr>
      </w:pPr>
    </w:p>
    <w:p w14:paraId="03C1DAA6"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i/>
          <w:iCs/>
          <w:szCs w:val="28"/>
          <w:lang w:eastAsia="ru-RU"/>
        </w:rPr>
        <w:t>Царук Єлизавета Вікторівна</w:t>
      </w:r>
    </w:p>
    <w:p w14:paraId="3EEDBA18"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4108FB00"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0920625"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D02766F" w14:textId="77777777" w:rsidR="00532C25" w:rsidRPr="00511005" w:rsidRDefault="00532C25" w:rsidP="00532C25">
      <w:pPr>
        <w:spacing w:line="264" w:lineRule="auto"/>
        <w:ind w:firstLine="720"/>
        <w:jc w:val="center"/>
        <w:rPr>
          <w:rFonts w:ascii="Arial" w:eastAsia="Calibri" w:hAnsi="Arial" w:cs="Arial"/>
          <w:b/>
          <w:bCs/>
          <w:szCs w:val="28"/>
        </w:rPr>
      </w:pPr>
    </w:p>
    <w:p w14:paraId="7286549E"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rPr>
        <w:t>ЦИФРОВА КРИМІНАЛІСТИКА: НОВІ ТЕХНОЛОГІЇ В УКРАЇНІ В СФЕРІ КРИМІНАЛІСТИЧНОЇ ЦИФРОВОЇ ТЕХНІКИ</w:t>
      </w:r>
    </w:p>
    <w:p w14:paraId="26691880"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Стрімкий розвиток інформаційних технологій призвів до появи нових форм злочинної діяльності та відповідно – до потреби удосконалення методів їх розслідування. Цифрова криміналістика стала невід’ємною частиною системи кримінального судочинства в Україні. Удосконалення цифрової криміналістичної техніки сприяє не лише ефективнішому збору доказів, а й забезпеченню їхньої надійності та допустимості у судовому процесі.</w:t>
      </w:r>
    </w:p>
    <w:p w14:paraId="28DDBDF1" w14:textId="77777777" w:rsidR="00532C25" w:rsidRPr="00511005" w:rsidRDefault="00532C25" w:rsidP="00532C25">
      <w:pPr>
        <w:tabs>
          <w:tab w:val="num" w:pos="720"/>
        </w:tabs>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Цифрова криміналістика (digital forensics) – це галузь знань і практики, що займається виявленням, збереженням, аналізом і поданням цифрових доказів. Основні завдання включають: ідентифікацію джерел цифрової інформації; відновлення видаленої або пошкодженої інформації; визначення автентичності цифрових доказів; підготовку експертних висновків для судових органів [1].</w:t>
      </w:r>
    </w:p>
    <w:p w14:paraId="5DCC9F6A"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lastRenderedPageBreak/>
        <w:t>У цифровій криміналістиці велика увага приділяється виявленню та аналізу слідів цифрової активності, які можуть слугувати доказами для встановлення фактів чи виявлення злочинної діяльності. Одночасно важливим є вміння правильно тлумачити отримані дані, враховуючи ризики їх змінення або фальсифікації. Ця галузь постійно еволюціонує у відповідь на новітні технологічні тенденції та зміну методів вчинення злочинів у цифровому середовищі. Спеціалісти з цифрової криміналістики повинні мати глибокі знання в сфері інформаційних технологій та розуміти правові аспекти збору й використання цифрових доказів.</w:t>
      </w:r>
    </w:p>
    <w:p w14:paraId="0E0C8FAF"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Зі зростанням значення цифрових технологій цифрові докази все частіше використовуються у кримінальних провадженнях. Для дослідження таких доказів застосовується широкий спектр інструментів та технологій. При цьому цифрова криміналістика набуває дедалі важливішого значення в протидії кіберзлочинності.</w:t>
      </w:r>
    </w:p>
    <w:p w14:paraId="12F0EED0"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Формування цифрової криміналістики стало важливим етапом у розвитку криміналістичної науки. Перші дослідження в цій сфері з’явилися у США та Великій Британії у 1970-х роках, коли були створені перші підрозділи комп’ютерної криміналістики. Вже у 1980-х роках у Великій Британії вийшов перший підручник із цифрової криміналістики. Із розвитком інтернету та зростанням кіберзлочинності у 1990-х роках ця галузь почала активно розвиватися, було розроблено перші стандарти та методики роботи з цифровими доказами [2].</w:t>
      </w:r>
    </w:p>
    <w:p w14:paraId="40066AEB"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У XXI столітті цифрова криміналістика стала невід’ємною складовою традиційної криміналістики, адже цифрові докази тепер фігурують у багатьох кримінальних справах. Сучасні фахівці змушені постійно оновлювати свої знання та навички, слідкуючи за новітніми технологічними досягненнями.</w:t>
      </w:r>
    </w:p>
    <w:p w14:paraId="51408C8A"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У найближчій перспективі розвиток цифрової криміналістики передбачає створення нових методів аналізу цифрових доказів, впровадження стандартів, підготовку висококваліфікованих кадрів, інтеграцію з іншими науковими галузями та посилення міжнародної співпраці.</w:t>
      </w:r>
    </w:p>
    <w:p w14:paraId="345C7BCD"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Однак стрімкий розвиток нових технологій водночас створює додаткові виклики для криміналістів. Наприклад, активне використання хмарних сервісів ускладнює доступ до цифрової інформації, що потребує удосконалення методів збору та аналізу таких доказів.</w:t>
      </w:r>
    </w:p>
    <w:p w14:paraId="5B063000"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Із зростанням кількості цифрових пристроїв виникла потреба в обробці величезних масивів даних. Big Data технології допомагають виявляти приховані зв’язки між об’єктами розслідування, аналізувати мережеву активність, здійснювати кластеризацію і візуалізацію даних [4].</w:t>
      </w:r>
    </w:p>
    <w:p w14:paraId="176C699D"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 xml:space="preserve">Все частіше об’єктами дослідження стають дані, що зберігаються в хмарних середовищах. Українські фахівці активно освоюють методики </w:t>
      </w:r>
      <w:r w:rsidRPr="00511005">
        <w:rPr>
          <w:rFonts w:ascii="Arial" w:eastAsia="Calibri" w:hAnsi="Arial" w:cs="Arial"/>
          <w:szCs w:val="28"/>
          <w:shd w:val="clear" w:color="auto" w:fill="FFFFFF"/>
        </w:rPr>
        <w:lastRenderedPageBreak/>
        <w:t>вилучення та аналізу даних із хмарних сервісів, що потребує як технічної підготовки, так і правового врегулювання.</w:t>
      </w:r>
    </w:p>
    <w:p w14:paraId="351C57F2"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 xml:space="preserve">На сьогоднішній день процес цифровізації суспільних та інших видів відносин, у яких бере участь людина, безпосередньо впливає на розвиток криміналістики як науки та практичної діяльності. Науковці та практики підкреслюють, що комп’ютерні дані, представлені в електронному форматі на різноманітних інформаційних ресурсах і носіях, стають джерелом криміналістично важливої інформації, завданням здобуття якої займаються правоохоронні органи. Методи збору такої інформації істотно відрізняються від традиційних способів отримання доказів, однак дозволяють отримувати відомості про підготовку злочинів, їх виявлення, збирати інформацію про осіб </w:t>
      </w:r>
      <w:proofErr w:type="gramStart"/>
      <w:r w:rsidRPr="00511005">
        <w:rPr>
          <w:rFonts w:ascii="Arial" w:eastAsia="Calibri" w:hAnsi="Arial" w:cs="Arial"/>
          <w:szCs w:val="28"/>
          <w:shd w:val="clear" w:color="auto" w:fill="FFFFFF"/>
        </w:rPr>
        <w:t>у межах</w:t>
      </w:r>
      <w:proofErr w:type="gramEnd"/>
      <w:r w:rsidRPr="00511005">
        <w:rPr>
          <w:rFonts w:ascii="Arial" w:eastAsia="Calibri" w:hAnsi="Arial" w:cs="Arial"/>
          <w:szCs w:val="28"/>
          <w:shd w:val="clear" w:color="auto" w:fill="FFFFFF"/>
        </w:rPr>
        <w:t xml:space="preserve"> кримінального провадження, а також створювати бази даних для підготовки до проведення слідчих дій тощо [3, с. 74]. Джерелами таких даних можуть бути зафіксовані органами досудового розслідування цифрові відомості з локальних комп’ютерних мереж, глобальної мережі Інтернет, а також із спеціалізованих інформаційних банків даних, створених окремими службами та відомствами. Цифрова форма фіксації даних не лише придатна для використання слідчим у кримінальному провадженні для доведення фактів, важливих для розслідування, а й забезпечує можливість перевірки їхньої достовірності, цілісності, а також виявлення фактів спотворення, внесення змін або часткового знищення первинної інформації.</w:t>
      </w:r>
    </w:p>
    <w:p w14:paraId="1B66A353"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Отже, цифрова криміналістика в Україні демонструє позитивну динаміку розвитку, що є відповіддю на виклики сучасного інформаційного суспільства. Впровадження новітніх технологій дає змогу значно підвищити ефективність кримінального процесу. Водночас подолання наявних викликів потребує комплексного підходу, зокрема удосконалення законодавства, технічного оснащення та системи підготовки кадрів.</w:t>
      </w:r>
    </w:p>
    <w:p w14:paraId="4B947AC6" w14:textId="77777777" w:rsidR="00532C25" w:rsidRPr="00511005" w:rsidRDefault="00532C25" w:rsidP="00532C25">
      <w:pPr>
        <w:spacing w:line="264" w:lineRule="auto"/>
        <w:ind w:firstLine="720"/>
        <w:rPr>
          <w:rFonts w:ascii="Arial" w:eastAsia="Calibri" w:hAnsi="Arial" w:cs="Arial"/>
          <w:szCs w:val="28"/>
          <w:shd w:val="clear" w:color="auto" w:fill="FFFFFF"/>
        </w:rPr>
      </w:pPr>
    </w:p>
    <w:p w14:paraId="1A36CCAF"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lang w:val="uk-UA"/>
        </w:rPr>
        <w:t>Список використаних джерел</w:t>
      </w:r>
    </w:p>
    <w:p w14:paraId="43570561" w14:textId="77777777" w:rsidR="00532C25" w:rsidRPr="00511005" w:rsidRDefault="00532C25" w:rsidP="003F6A5D">
      <w:pPr>
        <w:numPr>
          <w:ilvl w:val="0"/>
          <w:numId w:val="631"/>
        </w:numPr>
        <w:spacing w:line="264" w:lineRule="auto"/>
        <w:ind w:left="0" w:firstLine="720"/>
        <w:contextualSpacing/>
        <w:jc w:val="left"/>
        <w:rPr>
          <w:rFonts w:ascii="Arial" w:eastAsia="Times New Roman" w:hAnsi="Arial" w:cs="Arial"/>
          <w:i/>
          <w:szCs w:val="28"/>
          <w:lang w:eastAsia="ru-RU"/>
        </w:rPr>
      </w:pPr>
      <w:r w:rsidRPr="00511005">
        <w:rPr>
          <w:rFonts w:ascii="Arial" w:eastAsia="Times New Roman" w:hAnsi="Arial" w:cs="Arial"/>
          <w:szCs w:val="28"/>
          <w:lang w:eastAsia="ru-RU"/>
        </w:rPr>
        <w:t xml:space="preserve">Гора І.В., Колесник В.А., Попович І.І. До питання про цифрову криміналістику в системі криміналістичних знань. Науковий вісник Міжнародного гуманітарного університету. Сер.: Юриспруденція. 2024. № 68. С. 86–91. DOI: https://doi.org/10.32782/2307- 1745.2024.68.18. </w:t>
      </w:r>
    </w:p>
    <w:p w14:paraId="7C762FBA" w14:textId="77777777" w:rsidR="00532C25" w:rsidRPr="00511005" w:rsidRDefault="00532C25" w:rsidP="003F6A5D">
      <w:pPr>
        <w:numPr>
          <w:ilvl w:val="0"/>
          <w:numId w:val="631"/>
        </w:numPr>
        <w:spacing w:line="264" w:lineRule="auto"/>
        <w:ind w:left="0" w:firstLine="720"/>
        <w:contextualSpacing/>
        <w:jc w:val="left"/>
        <w:rPr>
          <w:rFonts w:ascii="Arial" w:eastAsia="Times New Roman" w:hAnsi="Arial" w:cs="Arial"/>
          <w:i/>
          <w:szCs w:val="28"/>
          <w:lang w:eastAsia="ru-RU"/>
        </w:rPr>
      </w:pPr>
      <w:r w:rsidRPr="00511005">
        <w:rPr>
          <w:rFonts w:ascii="Arial" w:eastAsia="Times New Roman" w:hAnsi="Arial" w:cs="Arial"/>
          <w:szCs w:val="28"/>
          <w:lang w:eastAsia="ru-RU"/>
        </w:rPr>
        <w:t xml:space="preserve">Ціжма Ю.І., Лишак О.А., Ціжма О.А. Діджиталізація як сучасна рушійна сила вдосконалення судово-експертної діяльності. Криміналістика і судова експертиза: міжвідом. наук.-метод. зб. / КНДІ судових експертиз; редкол.: О.Г. Рувін та ін. Київ: Вид. Ліра-К, 2023. Вип. 68. С. 40–47. </w:t>
      </w:r>
    </w:p>
    <w:p w14:paraId="5D11FC70" w14:textId="77777777" w:rsidR="00532C25" w:rsidRPr="00511005" w:rsidRDefault="00532C25" w:rsidP="003F6A5D">
      <w:pPr>
        <w:numPr>
          <w:ilvl w:val="0"/>
          <w:numId w:val="631"/>
        </w:numPr>
        <w:spacing w:line="264" w:lineRule="auto"/>
        <w:ind w:left="0" w:firstLine="720"/>
        <w:contextualSpacing/>
        <w:jc w:val="left"/>
        <w:rPr>
          <w:rFonts w:ascii="Arial" w:eastAsia="Times New Roman" w:hAnsi="Arial" w:cs="Arial"/>
          <w:i/>
          <w:szCs w:val="28"/>
          <w:lang w:eastAsia="ru-RU"/>
        </w:rPr>
      </w:pPr>
      <w:r w:rsidRPr="00511005">
        <w:rPr>
          <w:rFonts w:ascii="Arial" w:eastAsia="Times New Roman" w:hAnsi="Arial" w:cs="Arial"/>
          <w:szCs w:val="28"/>
          <w:lang w:eastAsia="ru-RU"/>
        </w:rPr>
        <w:t>Костенко М.В. Особливості інноваційного процесу у сфері криміналістики. Інноваційні методи та цифрові технології в криміналістиці, судовій експертизі та юридичній практиці: матеріали міжнар. «круглого столу» (Харків, 12 груд. 2019 р.) / редкол.: В.Ю. Шепітько, В.А. Журавель, В.М. Шевчук, Г.К. Авдєєва. Харків: Право, 2019. С. 72–75.</w:t>
      </w:r>
    </w:p>
    <w:p w14:paraId="160E36EC" w14:textId="77777777" w:rsidR="00532C25" w:rsidRPr="00511005" w:rsidRDefault="00532C25" w:rsidP="003F6A5D">
      <w:pPr>
        <w:numPr>
          <w:ilvl w:val="0"/>
          <w:numId w:val="631"/>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lang w:eastAsia="ru-RU"/>
        </w:rPr>
        <w:lastRenderedPageBreak/>
        <w:t>Злочини проти інформаційної безпеки держави: поняття, виявлення, досудове розслідування: монографія / І.В. Гора, В.А. Колесник, В.В. Малюк, В.О. Ходанович, А.М. Черняк, Л.І. Щербина. Київ: 7БЦ, 2023. 512 с.</w:t>
      </w:r>
    </w:p>
    <w:p w14:paraId="3A5DB43B"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Pr="00511005">
        <w:rPr>
          <w:rFonts w:ascii="Arial" w:eastAsia="Times New Roman" w:hAnsi="Arial" w:cs="Arial"/>
          <w:szCs w:val="28"/>
          <w:lang w:val="uk-UA" w:eastAsia="ru-RU"/>
        </w:rPr>
        <w:t>цифрова криміналістика, інформаційні технології, криміналістична техніка, цифрові докази.</w:t>
      </w:r>
    </w:p>
    <w:p w14:paraId="37D813A0"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digital forensics, information technology, forensic techniques, digital evidence.</w:t>
      </w:r>
    </w:p>
    <w:p w14:paraId="7775B2F2" w14:textId="77777777" w:rsidR="00532C25" w:rsidRPr="00511005" w:rsidRDefault="00532C25" w:rsidP="00532C25">
      <w:pPr>
        <w:autoSpaceDE w:val="0"/>
        <w:autoSpaceDN w:val="0"/>
        <w:adjustRightInd w:val="0"/>
        <w:spacing w:line="264" w:lineRule="auto"/>
        <w:ind w:firstLine="720"/>
        <w:contextualSpacing/>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Pr="00511005">
        <w:rPr>
          <w:rFonts w:ascii="Arial" w:eastAsia="Times New Roman" w:hAnsi="Arial" w:cs="Arial"/>
          <w:i/>
          <w:szCs w:val="28"/>
          <w:lang w:eastAsia="ru-RU"/>
        </w:rPr>
        <w:t>к.ю.н.</w:t>
      </w:r>
      <w:r w:rsidRPr="00511005">
        <w:rPr>
          <w:rFonts w:ascii="Arial" w:eastAsia="Times New Roman" w:hAnsi="Arial" w:cs="Arial"/>
          <w:i/>
          <w:szCs w:val="28"/>
          <w:lang w:val="uk-UA" w:eastAsia="ru-RU"/>
        </w:rPr>
        <w:t>,</w:t>
      </w:r>
      <w:r w:rsidRPr="00511005">
        <w:rPr>
          <w:rFonts w:ascii="Arial" w:eastAsia="Times New Roman" w:hAnsi="Arial" w:cs="Arial"/>
          <w:i/>
          <w:szCs w:val="28"/>
          <w:lang w:eastAsia="ru-RU"/>
        </w:rPr>
        <w:t xml:space="preserve"> доцент Чіпко Н</w:t>
      </w:r>
      <w:r w:rsidRPr="00511005">
        <w:rPr>
          <w:rFonts w:ascii="Arial" w:eastAsia="Times New Roman" w:hAnsi="Arial" w:cs="Arial"/>
          <w:i/>
          <w:szCs w:val="28"/>
          <w:lang w:val="uk-UA" w:eastAsia="ru-RU"/>
        </w:rPr>
        <w:t>.В.</w:t>
      </w:r>
    </w:p>
    <w:p w14:paraId="795ED53D" w14:textId="77777777" w:rsidR="00532C25" w:rsidRPr="00511005" w:rsidRDefault="00532C25" w:rsidP="00532C25">
      <w:pPr>
        <w:spacing w:line="264" w:lineRule="auto"/>
        <w:ind w:firstLine="720"/>
        <w:jc w:val="left"/>
        <w:rPr>
          <w:rFonts w:ascii="Arial" w:eastAsia="Calibri" w:hAnsi="Arial" w:cs="Arial"/>
          <w:b/>
          <w:bCs/>
          <w:i/>
          <w:iCs/>
          <w:szCs w:val="28"/>
        </w:rPr>
      </w:pPr>
    </w:p>
    <w:p w14:paraId="46277195" w14:textId="77777777" w:rsidR="00532C25" w:rsidRPr="00511005" w:rsidRDefault="00532C25" w:rsidP="00532C25">
      <w:pPr>
        <w:spacing w:line="264" w:lineRule="auto"/>
        <w:ind w:firstLine="720"/>
        <w:jc w:val="center"/>
        <w:rPr>
          <w:rFonts w:ascii="Arial" w:eastAsia="Calibri" w:hAnsi="Arial" w:cs="Arial"/>
          <w:b/>
          <w:bCs/>
          <w:i/>
          <w:iCs/>
          <w:szCs w:val="28"/>
        </w:rPr>
      </w:pPr>
    </w:p>
    <w:p w14:paraId="723D34AC"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rPr>
        <w:t>Циганенко Тетяна Сергіївна</w:t>
      </w:r>
    </w:p>
    <w:p w14:paraId="311A98A1"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szCs w:val="28"/>
        </w:rPr>
        <w:t>студентка 2-го курсу факультету цивільної та господарської юстиції</w:t>
      </w:r>
    </w:p>
    <w:p w14:paraId="645E32ED"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0CD49128" w14:textId="77777777" w:rsidR="00532C25" w:rsidRPr="00511005" w:rsidRDefault="00532C25" w:rsidP="00532C25">
      <w:pPr>
        <w:spacing w:line="264" w:lineRule="auto"/>
        <w:ind w:firstLine="720"/>
        <w:jc w:val="center"/>
        <w:rPr>
          <w:rFonts w:ascii="Arial" w:eastAsia="Calibri" w:hAnsi="Arial" w:cs="Arial"/>
          <w:b/>
          <w:szCs w:val="28"/>
        </w:rPr>
      </w:pPr>
    </w:p>
    <w:p w14:paraId="51D163F4" w14:textId="77777777" w:rsidR="00532C25" w:rsidRPr="00511005" w:rsidRDefault="00532C25" w:rsidP="00532C25">
      <w:pPr>
        <w:spacing w:line="264" w:lineRule="auto"/>
        <w:ind w:firstLine="720"/>
        <w:jc w:val="center"/>
        <w:rPr>
          <w:rFonts w:ascii="Arial" w:eastAsia="Calibri" w:hAnsi="Arial" w:cs="Arial"/>
          <w:b/>
          <w:szCs w:val="28"/>
        </w:rPr>
      </w:pPr>
      <w:r w:rsidRPr="00511005">
        <w:rPr>
          <w:rFonts w:ascii="Arial" w:eastAsia="Calibri" w:hAnsi="Arial" w:cs="Arial"/>
          <w:b/>
          <w:szCs w:val="28"/>
        </w:rPr>
        <w:t>ІДЕНТИФІКАЦІЯ ОСОБИ ЗА ДОПОМОГОЮ ВІДБИТКІВ ПАЛЬЦІВ</w:t>
      </w:r>
    </w:p>
    <w:p w14:paraId="68F458DC"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У сучасному світі, де питання безпеки та контролю за особистістю набувають все більшої актуальності, ідентифікація особи стала однією з ключових задач правоохоронних органів, державних установ та приватних структур. Особливої уваги заслуговує біометрична ідентифікація, зокрема метод дактилоскопії, що базується на унікальності відбитків пальців кожної людини. Відбитки пальців є незмінними протягом усього життя та неповторними навіть у однояйцевих близнюків. Завдяки цьому дактилоскопія набула широкого застосування у криміналістиці, прикордонному контролі, банківських технологіях, а також </w:t>
      </w:r>
      <w:proofErr w:type="gramStart"/>
      <w:r w:rsidRPr="00511005">
        <w:rPr>
          <w:rFonts w:ascii="Arial" w:eastAsia="Calibri" w:hAnsi="Arial" w:cs="Arial"/>
          <w:szCs w:val="28"/>
          <w:lang w:eastAsia="uk-UA"/>
        </w:rPr>
        <w:t>у системах</w:t>
      </w:r>
      <w:proofErr w:type="gramEnd"/>
      <w:r w:rsidRPr="00511005">
        <w:rPr>
          <w:rFonts w:ascii="Arial" w:eastAsia="Calibri" w:hAnsi="Arial" w:cs="Arial"/>
          <w:szCs w:val="28"/>
          <w:lang w:eastAsia="uk-UA"/>
        </w:rPr>
        <w:t xml:space="preserve"> електронної ідентифікації.</w:t>
      </w:r>
    </w:p>
    <w:p w14:paraId="0101EC3B"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bCs/>
          <w:szCs w:val="28"/>
          <w:lang w:eastAsia="uk-UA"/>
        </w:rPr>
        <w:t>Актуальність теми</w:t>
      </w:r>
      <w:r w:rsidRPr="00511005">
        <w:rPr>
          <w:rFonts w:ascii="Arial" w:eastAsia="Calibri" w:hAnsi="Arial" w:cs="Arial"/>
          <w:szCs w:val="28"/>
          <w:lang w:eastAsia="uk-UA"/>
        </w:rPr>
        <w:t xml:space="preserve"> полягає у стрімкому розвитку інформаційних технологій, що суттєво змінили підходи до збору, зберігання, обробки та використання біометричних даних. Сучасні методи дактилоскопії – це вже не лише чорнильне зняття відбитків пальців, як у минулому, а високотехнологічні процеси, що охоплюють автоматизовані системи розпізнавання, лазерні сканери, нейронні мережі та великі бази даних. Проте впровадження нових технологій супроводжується також етичними, правовими та технічними викликами, пов’язаними з конфіденційністю, безпекою інформації та необхідністю міжнародної співпраці.</w:t>
      </w:r>
    </w:p>
    <w:p w14:paraId="41D05406"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Дактилоскопія як метод ідентифікації виникла ще в XIX столітті, однак справжнього розквіту набула із впровадженням цифрових технологій. Сучасні сканери здатні зчитувати навіть найдрібніші особливості візерунку папілярних ліній. Залежно від потреб, використовуються оптичні, ємнісні, ультразвукові, теплові сканери та багатоспектральні пристрої. Кожен тип має свої переваги: оптичні – прості та дешеві; ємнісні – менш чутливі до </w:t>
      </w:r>
      <w:r w:rsidRPr="00511005">
        <w:rPr>
          <w:rFonts w:ascii="Arial" w:eastAsia="Calibri" w:hAnsi="Arial" w:cs="Arial"/>
          <w:szCs w:val="28"/>
          <w:lang w:eastAsia="uk-UA"/>
        </w:rPr>
        <w:lastRenderedPageBreak/>
        <w:t>забруднень; ультразвукові – працюють навіть через бруд або піт; багатоспектральні – дозволяють аналізувати глибші шари шкіри</w:t>
      </w:r>
      <w:r w:rsidRPr="00511005">
        <w:rPr>
          <w:rFonts w:ascii="Arial" w:eastAsia="Calibri" w:hAnsi="Arial" w:cs="Arial"/>
          <w:szCs w:val="28"/>
        </w:rPr>
        <w:t xml:space="preserve"> [1, </w:t>
      </w:r>
      <w:r w:rsidRPr="00511005">
        <w:rPr>
          <w:rFonts w:ascii="Arial" w:eastAsia="Calibri" w:hAnsi="Arial" w:cs="Arial"/>
          <w:szCs w:val="28"/>
          <w:lang w:val="en-US"/>
        </w:rPr>
        <w:t>c</w:t>
      </w:r>
      <w:r w:rsidRPr="00511005">
        <w:rPr>
          <w:rFonts w:ascii="Arial" w:eastAsia="Calibri" w:hAnsi="Arial" w:cs="Arial"/>
          <w:szCs w:val="28"/>
        </w:rPr>
        <w:t>.45]</w:t>
      </w:r>
      <w:r w:rsidRPr="00511005">
        <w:rPr>
          <w:rFonts w:ascii="Arial" w:eastAsia="Calibri" w:hAnsi="Arial" w:cs="Arial"/>
          <w:szCs w:val="28"/>
          <w:lang w:eastAsia="uk-UA"/>
        </w:rPr>
        <w:t>.</w:t>
      </w:r>
    </w:p>
    <w:p w14:paraId="703433AF"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Окрему нішу займає </w:t>
      </w:r>
      <w:r w:rsidRPr="00511005">
        <w:rPr>
          <w:rFonts w:ascii="Arial" w:eastAsia="Calibri" w:hAnsi="Arial" w:cs="Arial"/>
          <w:bCs/>
          <w:szCs w:val="28"/>
          <w:lang w:eastAsia="uk-UA"/>
        </w:rPr>
        <w:t>автоматизована система дактилоскопічної ідентифікації (AFIS – Automated Fingerprint Identification System)</w:t>
      </w:r>
      <w:r w:rsidRPr="00511005">
        <w:rPr>
          <w:rFonts w:ascii="Arial" w:eastAsia="Calibri" w:hAnsi="Arial" w:cs="Arial"/>
          <w:szCs w:val="28"/>
          <w:lang w:eastAsia="uk-UA"/>
        </w:rPr>
        <w:t>. Вона включає базу даних з відбитками пальців, алгоритми порівняння та засоби обробки зображень. AFIS широко використовується поліцією для розкриття злочинів, оскільки дозволяє швидко і точно зіставляти зразки з наявною базою. В Україні також функціонує автоматизована дактилоскопічна система, що обслуговує Національну поліцію, Державну прикордонну службу, Службу безпеки та інші органи.</w:t>
      </w:r>
    </w:p>
    <w:p w14:paraId="1DAFAD26"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З розвитком </w:t>
      </w:r>
      <w:r w:rsidRPr="00511005">
        <w:rPr>
          <w:rFonts w:ascii="Arial" w:eastAsia="Calibri" w:hAnsi="Arial" w:cs="Arial"/>
          <w:bCs/>
          <w:szCs w:val="28"/>
          <w:lang w:eastAsia="uk-UA"/>
        </w:rPr>
        <w:t>інформаційно-комунікаційних технологій (ІКТ)</w:t>
      </w:r>
      <w:r w:rsidRPr="00511005">
        <w:rPr>
          <w:rFonts w:ascii="Arial" w:eastAsia="Calibri" w:hAnsi="Arial" w:cs="Arial"/>
          <w:szCs w:val="28"/>
          <w:lang w:eastAsia="uk-UA"/>
        </w:rPr>
        <w:t xml:space="preserve"> відбулося зростання інтересу до створення </w:t>
      </w:r>
      <w:r w:rsidRPr="00511005">
        <w:rPr>
          <w:rFonts w:ascii="Arial" w:eastAsia="Calibri" w:hAnsi="Arial" w:cs="Arial"/>
          <w:bCs/>
          <w:szCs w:val="28"/>
          <w:lang w:eastAsia="uk-UA"/>
        </w:rPr>
        <w:t>глобальних дактилоскопічних баз даних</w:t>
      </w:r>
      <w:r w:rsidRPr="00511005">
        <w:rPr>
          <w:rFonts w:ascii="Arial" w:eastAsia="Calibri" w:hAnsi="Arial" w:cs="Arial"/>
          <w:szCs w:val="28"/>
          <w:lang w:eastAsia="uk-UA"/>
        </w:rPr>
        <w:t xml:space="preserve">, зокрема таких як </w:t>
      </w:r>
      <w:r w:rsidRPr="00511005">
        <w:rPr>
          <w:rFonts w:ascii="Arial" w:eastAsia="Calibri" w:hAnsi="Arial" w:cs="Arial"/>
          <w:bCs/>
          <w:szCs w:val="28"/>
          <w:lang w:eastAsia="uk-UA"/>
        </w:rPr>
        <w:t>EURODAC (Європейська система дактилоскопічної ідентифікації шукачів притулку)</w:t>
      </w:r>
      <w:r w:rsidRPr="00511005">
        <w:rPr>
          <w:rFonts w:ascii="Arial" w:eastAsia="Calibri" w:hAnsi="Arial" w:cs="Arial"/>
          <w:szCs w:val="28"/>
          <w:lang w:eastAsia="uk-UA"/>
        </w:rPr>
        <w:t xml:space="preserve"> та база Інтерполу. У деяких країнах, зокрема в Індії (система Aadhaar), створено масштабні біометричні платформи, що включають відбитки пальців, зображення райдужної оболонки ока та фото особи. Це дає змогу державі реалізовувати соціальні програми, проводити вибори, контролювати міграційні процеси та забезпечувати </w:t>
      </w:r>
      <w:proofErr w:type="gramStart"/>
      <w:r w:rsidRPr="00511005">
        <w:rPr>
          <w:rFonts w:ascii="Arial" w:eastAsia="Calibri" w:hAnsi="Arial" w:cs="Arial"/>
          <w:szCs w:val="28"/>
          <w:lang w:eastAsia="uk-UA"/>
        </w:rPr>
        <w:t>безпеку</w:t>
      </w:r>
      <w:r w:rsidRPr="00511005">
        <w:rPr>
          <w:rFonts w:ascii="Arial" w:eastAsia="Calibri" w:hAnsi="Arial" w:cs="Arial"/>
          <w:szCs w:val="28"/>
        </w:rPr>
        <w:t>[</w:t>
      </w:r>
      <w:proofErr w:type="gramEnd"/>
      <w:r w:rsidRPr="00511005">
        <w:rPr>
          <w:rFonts w:ascii="Arial" w:eastAsia="Calibri" w:hAnsi="Arial" w:cs="Arial"/>
          <w:szCs w:val="28"/>
        </w:rPr>
        <w:t xml:space="preserve">2, </w:t>
      </w:r>
      <w:r w:rsidRPr="00511005">
        <w:rPr>
          <w:rFonts w:ascii="Arial" w:eastAsia="Calibri" w:hAnsi="Arial" w:cs="Arial"/>
          <w:szCs w:val="28"/>
          <w:lang w:val="en-US"/>
        </w:rPr>
        <w:t>c</w:t>
      </w:r>
      <w:r w:rsidRPr="00511005">
        <w:rPr>
          <w:rFonts w:ascii="Arial" w:eastAsia="Calibri" w:hAnsi="Arial" w:cs="Arial"/>
          <w:szCs w:val="28"/>
        </w:rPr>
        <w:t>.68]</w:t>
      </w:r>
      <w:r w:rsidRPr="00511005">
        <w:rPr>
          <w:rFonts w:ascii="Arial" w:eastAsia="Calibri" w:hAnsi="Arial" w:cs="Arial"/>
          <w:szCs w:val="28"/>
          <w:lang w:eastAsia="uk-UA"/>
        </w:rPr>
        <w:t>.</w:t>
      </w:r>
    </w:p>
    <w:p w14:paraId="779245EC"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Значний вплив на ефективність дактилоскопічної ідентифікації мають </w:t>
      </w:r>
      <w:r w:rsidRPr="00511005">
        <w:rPr>
          <w:rFonts w:ascii="Arial" w:eastAsia="Calibri" w:hAnsi="Arial" w:cs="Arial"/>
          <w:bCs/>
          <w:szCs w:val="28"/>
          <w:lang w:eastAsia="uk-UA"/>
        </w:rPr>
        <w:t>алгоритми машинного навчання та штучного інтелекту</w:t>
      </w:r>
      <w:r w:rsidRPr="00511005">
        <w:rPr>
          <w:rFonts w:ascii="Arial" w:eastAsia="Calibri" w:hAnsi="Arial" w:cs="Arial"/>
          <w:szCs w:val="28"/>
          <w:lang w:eastAsia="uk-UA"/>
        </w:rPr>
        <w:t>, які дозволяють покращити точність розпізнавання навіть при наявності частково пошкоджених або змінених відбитків. Сучасні алгоритми аналізують не лише загальний візерунок (дуги, петлі, завитки), але й мікроскопічні особливості – пори, міжлінійний простір, точкові зміщення. Завдяки цим нововведенням зменшено кількість хибнопозитивних і хибнонегативних результатів.</w:t>
      </w:r>
    </w:p>
    <w:p w14:paraId="419154A3"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Однак, попри очевидні переваги, існує низка </w:t>
      </w:r>
      <w:r w:rsidRPr="00511005">
        <w:rPr>
          <w:rFonts w:ascii="Arial" w:eastAsia="Calibri" w:hAnsi="Arial" w:cs="Arial"/>
          <w:bCs/>
          <w:szCs w:val="28"/>
          <w:lang w:eastAsia="uk-UA"/>
        </w:rPr>
        <w:t>проблем та викликів</w:t>
      </w:r>
      <w:r w:rsidRPr="00511005">
        <w:rPr>
          <w:rFonts w:ascii="Arial" w:eastAsia="Calibri" w:hAnsi="Arial" w:cs="Arial"/>
          <w:szCs w:val="28"/>
          <w:lang w:eastAsia="uk-UA"/>
        </w:rPr>
        <w:t xml:space="preserve"> у сфері дактилоскопії. Передусім, це питання </w:t>
      </w:r>
      <w:r w:rsidRPr="00511005">
        <w:rPr>
          <w:rFonts w:ascii="Arial" w:eastAsia="Calibri" w:hAnsi="Arial" w:cs="Arial"/>
          <w:bCs/>
          <w:szCs w:val="28"/>
          <w:lang w:eastAsia="uk-UA"/>
        </w:rPr>
        <w:t>захисту персональних даних</w:t>
      </w:r>
      <w:r w:rsidRPr="00511005">
        <w:rPr>
          <w:rFonts w:ascii="Arial" w:eastAsia="Calibri" w:hAnsi="Arial" w:cs="Arial"/>
          <w:szCs w:val="28"/>
          <w:lang w:eastAsia="uk-UA"/>
        </w:rPr>
        <w:t xml:space="preserve">. Біометрична інформація є чутливою, оскільки її неможливо змінити у випадку витоку чи компрометації. Отже, виникає необхідність створення надійних систем шифрування, багаторівневого доступу та постійного аудиту. Також існують побоювання з боку правозахисників щодо можливого </w:t>
      </w:r>
      <w:r w:rsidRPr="00511005">
        <w:rPr>
          <w:rFonts w:ascii="Arial" w:eastAsia="Calibri" w:hAnsi="Arial" w:cs="Arial"/>
          <w:bCs/>
          <w:szCs w:val="28"/>
          <w:lang w:eastAsia="uk-UA"/>
        </w:rPr>
        <w:t xml:space="preserve">зловживання біометрією для стеження або </w:t>
      </w:r>
      <w:proofErr w:type="gramStart"/>
      <w:r w:rsidRPr="00511005">
        <w:rPr>
          <w:rFonts w:ascii="Arial" w:eastAsia="Calibri" w:hAnsi="Arial" w:cs="Arial"/>
          <w:bCs/>
          <w:szCs w:val="28"/>
          <w:lang w:eastAsia="uk-UA"/>
        </w:rPr>
        <w:t>дискримінації</w:t>
      </w:r>
      <w:r w:rsidRPr="00511005">
        <w:rPr>
          <w:rFonts w:ascii="Arial" w:eastAsia="Calibri" w:hAnsi="Arial" w:cs="Arial"/>
          <w:szCs w:val="28"/>
        </w:rPr>
        <w:t>[</w:t>
      </w:r>
      <w:proofErr w:type="gramEnd"/>
      <w:r w:rsidRPr="00511005">
        <w:rPr>
          <w:rFonts w:ascii="Arial" w:eastAsia="Calibri" w:hAnsi="Arial" w:cs="Arial"/>
          <w:szCs w:val="28"/>
        </w:rPr>
        <w:t xml:space="preserve">4, </w:t>
      </w:r>
      <w:r w:rsidRPr="00511005">
        <w:rPr>
          <w:rFonts w:ascii="Arial" w:eastAsia="Calibri" w:hAnsi="Arial" w:cs="Arial"/>
          <w:szCs w:val="28"/>
          <w:lang w:val="en-US"/>
        </w:rPr>
        <w:t>c</w:t>
      </w:r>
      <w:r w:rsidRPr="00511005">
        <w:rPr>
          <w:rFonts w:ascii="Arial" w:eastAsia="Calibri" w:hAnsi="Arial" w:cs="Arial"/>
          <w:szCs w:val="28"/>
        </w:rPr>
        <w:t>.38]</w:t>
      </w:r>
      <w:r w:rsidRPr="00511005">
        <w:rPr>
          <w:rFonts w:ascii="Arial" w:eastAsia="Calibri" w:hAnsi="Arial" w:cs="Arial"/>
          <w:szCs w:val="28"/>
          <w:lang w:eastAsia="uk-UA"/>
        </w:rPr>
        <w:t>.</w:t>
      </w:r>
    </w:p>
    <w:p w14:paraId="7F68CC40"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Іншою важливою проблемою є </w:t>
      </w:r>
      <w:r w:rsidRPr="00511005">
        <w:rPr>
          <w:rFonts w:ascii="Arial" w:eastAsia="Calibri" w:hAnsi="Arial" w:cs="Arial"/>
          <w:bCs/>
          <w:szCs w:val="28"/>
          <w:lang w:eastAsia="uk-UA"/>
        </w:rPr>
        <w:t>стандартизація даних і сумісність між різними базами</w:t>
      </w:r>
      <w:r w:rsidRPr="00511005">
        <w:rPr>
          <w:rFonts w:ascii="Arial" w:eastAsia="Calibri" w:hAnsi="Arial" w:cs="Arial"/>
          <w:szCs w:val="28"/>
          <w:lang w:eastAsia="uk-UA"/>
        </w:rPr>
        <w:t>. Сьогодні багато країн використовують різні формати, протоколи обміну та технічні вимоги, що ускладнює міжнародну співпрацю. Однак, зусилля з уніфікації – наприклад, стандарти ISO/IEC 19794-2 – поступово набувають поширення.</w:t>
      </w:r>
    </w:p>
    <w:p w14:paraId="7270A7B0"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Варто зазначити, що </w:t>
      </w:r>
      <w:r w:rsidRPr="00511005">
        <w:rPr>
          <w:rFonts w:ascii="Arial" w:eastAsia="Calibri" w:hAnsi="Arial" w:cs="Arial"/>
          <w:bCs/>
          <w:szCs w:val="28"/>
          <w:lang w:eastAsia="uk-UA"/>
        </w:rPr>
        <w:t>дактилоскопія не є універсальним методом</w:t>
      </w:r>
      <w:r w:rsidRPr="00511005">
        <w:rPr>
          <w:rFonts w:ascii="Arial" w:eastAsia="Calibri" w:hAnsi="Arial" w:cs="Arial"/>
          <w:szCs w:val="28"/>
          <w:lang w:eastAsia="uk-UA"/>
        </w:rPr>
        <w:t xml:space="preserve">, оскільки має обмеження. У деяких осіб (наприклад, людей, які працюють з хімікатами або важкою фізичною працею) відбитки пальців можуть бути стерті або спотворені. Крім того, злочинці іноді застосовують спеціальні засоби для маскування пальців (клей, кислота, операції). У таких випадках </w:t>
      </w:r>
      <w:r w:rsidRPr="00511005">
        <w:rPr>
          <w:rFonts w:ascii="Arial" w:eastAsia="Calibri" w:hAnsi="Arial" w:cs="Arial"/>
          <w:szCs w:val="28"/>
          <w:lang w:eastAsia="uk-UA"/>
        </w:rPr>
        <w:lastRenderedPageBreak/>
        <w:t xml:space="preserve">доцільним є </w:t>
      </w:r>
      <w:r w:rsidRPr="00511005">
        <w:rPr>
          <w:rFonts w:ascii="Arial" w:eastAsia="Calibri" w:hAnsi="Arial" w:cs="Arial"/>
          <w:bCs/>
          <w:szCs w:val="28"/>
          <w:lang w:eastAsia="uk-UA"/>
        </w:rPr>
        <w:t>поєднання дактилоскопії з іншими біометричними методами</w:t>
      </w:r>
      <w:r w:rsidRPr="00511005">
        <w:rPr>
          <w:rFonts w:ascii="Arial" w:eastAsia="Calibri" w:hAnsi="Arial" w:cs="Arial"/>
          <w:szCs w:val="28"/>
          <w:lang w:eastAsia="uk-UA"/>
        </w:rPr>
        <w:t xml:space="preserve"> – скануванням сітківки, геометрією долоні, розпізнаванням обличчя чи </w:t>
      </w:r>
      <w:proofErr w:type="gramStart"/>
      <w:r w:rsidRPr="00511005">
        <w:rPr>
          <w:rFonts w:ascii="Arial" w:eastAsia="Calibri" w:hAnsi="Arial" w:cs="Arial"/>
          <w:szCs w:val="28"/>
          <w:lang w:eastAsia="uk-UA"/>
        </w:rPr>
        <w:t>голосу</w:t>
      </w:r>
      <w:r w:rsidRPr="00511005">
        <w:rPr>
          <w:rFonts w:ascii="Arial" w:eastAsia="Calibri" w:hAnsi="Arial" w:cs="Arial"/>
          <w:szCs w:val="28"/>
        </w:rPr>
        <w:t>[</w:t>
      </w:r>
      <w:proofErr w:type="gramEnd"/>
      <w:r w:rsidRPr="00511005">
        <w:rPr>
          <w:rFonts w:ascii="Arial" w:eastAsia="Calibri" w:hAnsi="Arial" w:cs="Arial"/>
          <w:szCs w:val="28"/>
        </w:rPr>
        <w:t xml:space="preserve">5, </w:t>
      </w:r>
      <w:r w:rsidRPr="00511005">
        <w:rPr>
          <w:rFonts w:ascii="Arial" w:eastAsia="Calibri" w:hAnsi="Arial" w:cs="Arial"/>
          <w:szCs w:val="28"/>
          <w:lang w:val="en-US"/>
        </w:rPr>
        <w:t>c</w:t>
      </w:r>
      <w:r w:rsidRPr="00511005">
        <w:rPr>
          <w:rFonts w:ascii="Arial" w:eastAsia="Calibri" w:hAnsi="Arial" w:cs="Arial"/>
          <w:szCs w:val="28"/>
        </w:rPr>
        <w:t>.15]</w:t>
      </w:r>
      <w:r w:rsidRPr="00511005">
        <w:rPr>
          <w:rFonts w:ascii="Arial" w:eastAsia="Calibri" w:hAnsi="Arial" w:cs="Arial"/>
          <w:szCs w:val="28"/>
          <w:lang w:eastAsia="uk-UA"/>
        </w:rPr>
        <w:t>.</w:t>
      </w:r>
    </w:p>
    <w:p w14:paraId="66DDEF44"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У військовій, прикордонній та поліцейській практиці особливе значення має </w:t>
      </w:r>
      <w:r w:rsidRPr="00511005">
        <w:rPr>
          <w:rFonts w:ascii="Arial" w:eastAsia="Calibri" w:hAnsi="Arial" w:cs="Arial"/>
          <w:bCs/>
          <w:szCs w:val="28"/>
          <w:lang w:eastAsia="uk-UA"/>
        </w:rPr>
        <w:t>мобільна дактилоскопія</w:t>
      </w:r>
      <w:r w:rsidRPr="00511005">
        <w:rPr>
          <w:rFonts w:ascii="Arial" w:eastAsia="Calibri" w:hAnsi="Arial" w:cs="Arial"/>
          <w:szCs w:val="28"/>
          <w:lang w:eastAsia="uk-UA"/>
        </w:rPr>
        <w:t xml:space="preserve"> – використання портативних пристроїв для зчитування відбитків пальців у польових умовах. Такі системи дозволяють ідентифікувати особу безпосередньо на місці події, що особливо актуально під час антитерористичних операцій, масових заходів або стихійних </w:t>
      </w:r>
      <w:proofErr w:type="gramStart"/>
      <w:r w:rsidRPr="00511005">
        <w:rPr>
          <w:rFonts w:ascii="Arial" w:eastAsia="Calibri" w:hAnsi="Arial" w:cs="Arial"/>
          <w:szCs w:val="28"/>
          <w:lang w:eastAsia="uk-UA"/>
        </w:rPr>
        <w:t>лих</w:t>
      </w:r>
      <w:r w:rsidRPr="00511005">
        <w:rPr>
          <w:rFonts w:ascii="Arial" w:eastAsia="Calibri" w:hAnsi="Arial" w:cs="Arial"/>
          <w:szCs w:val="28"/>
        </w:rPr>
        <w:t>[</w:t>
      </w:r>
      <w:proofErr w:type="gramEnd"/>
      <w:r w:rsidRPr="00511005">
        <w:rPr>
          <w:rFonts w:ascii="Arial" w:eastAsia="Calibri" w:hAnsi="Arial" w:cs="Arial"/>
          <w:szCs w:val="28"/>
        </w:rPr>
        <w:t xml:space="preserve">1, </w:t>
      </w:r>
      <w:r w:rsidRPr="00511005">
        <w:rPr>
          <w:rFonts w:ascii="Arial" w:eastAsia="Calibri" w:hAnsi="Arial" w:cs="Arial"/>
          <w:szCs w:val="28"/>
          <w:lang w:val="en-US"/>
        </w:rPr>
        <w:t>c</w:t>
      </w:r>
      <w:r w:rsidRPr="00511005">
        <w:rPr>
          <w:rFonts w:ascii="Arial" w:eastAsia="Calibri" w:hAnsi="Arial" w:cs="Arial"/>
          <w:szCs w:val="28"/>
        </w:rPr>
        <w:t>.120]</w:t>
      </w:r>
      <w:r w:rsidRPr="00511005">
        <w:rPr>
          <w:rFonts w:ascii="Arial" w:eastAsia="Calibri" w:hAnsi="Arial" w:cs="Arial"/>
          <w:szCs w:val="28"/>
          <w:lang w:eastAsia="uk-UA"/>
        </w:rPr>
        <w:t>.</w:t>
      </w:r>
    </w:p>
    <w:p w14:paraId="6B30E5EF"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Ще одним перспективним напрямом є </w:t>
      </w:r>
      <w:r w:rsidRPr="00511005">
        <w:rPr>
          <w:rFonts w:ascii="Arial" w:eastAsia="Calibri" w:hAnsi="Arial" w:cs="Arial"/>
          <w:bCs/>
          <w:szCs w:val="28"/>
          <w:lang w:eastAsia="uk-UA"/>
        </w:rPr>
        <w:t>використання хмарних технологій</w:t>
      </w:r>
      <w:r w:rsidRPr="00511005">
        <w:rPr>
          <w:rFonts w:ascii="Arial" w:eastAsia="Calibri" w:hAnsi="Arial" w:cs="Arial"/>
          <w:szCs w:val="28"/>
          <w:lang w:eastAsia="uk-UA"/>
        </w:rPr>
        <w:t>, що дозволяє здійснювати ідентифікацію в режимі реального часу, з доступом до бази з будь-якої точки світу. Проте такі рішення потребують високого рівня захисту каналів зв’язку, сертифікованого ПЗ та міжнародних правових угод.</w:t>
      </w:r>
    </w:p>
    <w:p w14:paraId="4DF1E0AF"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Україна поступово інтегрує дактилоскопічні технології </w:t>
      </w:r>
      <w:proofErr w:type="gramStart"/>
      <w:r w:rsidRPr="00511005">
        <w:rPr>
          <w:rFonts w:ascii="Arial" w:eastAsia="Calibri" w:hAnsi="Arial" w:cs="Arial"/>
          <w:szCs w:val="28"/>
          <w:lang w:eastAsia="uk-UA"/>
        </w:rPr>
        <w:t>у практику</w:t>
      </w:r>
      <w:proofErr w:type="gramEnd"/>
      <w:r w:rsidRPr="00511005">
        <w:rPr>
          <w:rFonts w:ascii="Arial" w:eastAsia="Calibri" w:hAnsi="Arial" w:cs="Arial"/>
          <w:szCs w:val="28"/>
          <w:lang w:eastAsia="uk-UA"/>
        </w:rPr>
        <w:t xml:space="preserve"> державного управління. Наприклад, відбитки пальців використовуються при виготовленні біометричних паспортів, оформленні віз, а також у процедурі затримання підозрюваних. Закон України «Про Єдиний державний демографічний реєстр» передбачає зберігання біометричних даних громадян, що сприяє боротьбі з фальсифікацією документів та незаконною </w:t>
      </w:r>
      <w:proofErr w:type="gramStart"/>
      <w:r w:rsidRPr="00511005">
        <w:rPr>
          <w:rFonts w:ascii="Arial" w:eastAsia="Calibri" w:hAnsi="Arial" w:cs="Arial"/>
          <w:szCs w:val="28"/>
          <w:lang w:eastAsia="uk-UA"/>
        </w:rPr>
        <w:t>міграцією</w:t>
      </w:r>
      <w:r w:rsidRPr="00511005">
        <w:rPr>
          <w:rFonts w:ascii="Arial" w:eastAsia="Calibri" w:hAnsi="Arial" w:cs="Arial"/>
          <w:szCs w:val="28"/>
        </w:rPr>
        <w:t>[</w:t>
      </w:r>
      <w:proofErr w:type="gramEnd"/>
      <w:r w:rsidRPr="00511005">
        <w:rPr>
          <w:rFonts w:ascii="Arial" w:eastAsia="Calibri" w:hAnsi="Arial" w:cs="Arial"/>
          <w:szCs w:val="28"/>
        </w:rPr>
        <w:t xml:space="preserve">3, </w:t>
      </w:r>
      <w:r w:rsidRPr="00511005">
        <w:rPr>
          <w:rFonts w:ascii="Arial" w:eastAsia="Calibri" w:hAnsi="Arial" w:cs="Arial"/>
          <w:szCs w:val="28"/>
          <w:lang w:val="en-US"/>
        </w:rPr>
        <w:t>c</w:t>
      </w:r>
      <w:r w:rsidRPr="00511005">
        <w:rPr>
          <w:rFonts w:ascii="Arial" w:eastAsia="Calibri" w:hAnsi="Arial" w:cs="Arial"/>
          <w:szCs w:val="28"/>
        </w:rPr>
        <w:t>.133]</w:t>
      </w:r>
      <w:r w:rsidRPr="00511005">
        <w:rPr>
          <w:rFonts w:ascii="Arial" w:eastAsia="Calibri" w:hAnsi="Arial" w:cs="Arial"/>
          <w:szCs w:val="28"/>
          <w:lang w:eastAsia="uk-UA"/>
        </w:rPr>
        <w:t>.</w:t>
      </w:r>
    </w:p>
    <w:p w14:paraId="534571EA"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Крім того, у системі </w:t>
      </w:r>
      <w:r w:rsidRPr="00511005">
        <w:rPr>
          <w:rFonts w:ascii="Arial" w:eastAsia="Calibri" w:hAnsi="Arial" w:cs="Arial"/>
          <w:bCs/>
          <w:szCs w:val="28"/>
          <w:lang w:eastAsia="uk-UA"/>
        </w:rPr>
        <w:t>МВС України функціонує Національна дактилоскопічна база</w:t>
      </w:r>
      <w:r w:rsidRPr="00511005">
        <w:rPr>
          <w:rFonts w:ascii="Arial" w:eastAsia="Calibri" w:hAnsi="Arial" w:cs="Arial"/>
          <w:szCs w:val="28"/>
          <w:lang w:eastAsia="uk-UA"/>
        </w:rPr>
        <w:t>, що дозволяє проводити експертизу відбитків пальців, ідентифікувати невідомих осіб, а також обмінюватися інформацією з міжнародними партнерами. Сучасні підходи передбачають інтеграцію з базами даних Інтерполу, Europol, FRONTEX, що підвищує ефективність боротьби зі злочинністю.</w:t>
      </w:r>
    </w:p>
    <w:p w14:paraId="2A2FFDC5"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Слід окремо зазначити роль дактилоскопії у </w:t>
      </w:r>
      <w:r w:rsidRPr="00511005">
        <w:rPr>
          <w:rFonts w:ascii="Arial" w:eastAsia="Calibri" w:hAnsi="Arial" w:cs="Arial"/>
          <w:bCs/>
          <w:szCs w:val="28"/>
          <w:lang w:eastAsia="uk-UA"/>
        </w:rPr>
        <w:t>судово-психологічній та судово-медичній практиці</w:t>
      </w:r>
      <w:r w:rsidRPr="00511005">
        <w:rPr>
          <w:rFonts w:ascii="Arial" w:eastAsia="Calibri" w:hAnsi="Arial" w:cs="Arial"/>
          <w:szCs w:val="28"/>
          <w:lang w:eastAsia="uk-UA"/>
        </w:rPr>
        <w:t xml:space="preserve">, де вона використовується для підтвердження особи загиблих, встановлення тотожності при масових катастрофах, ідентифікації осіб з амнезією або порушенням </w:t>
      </w:r>
      <w:proofErr w:type="gramStart"/>
      <w:r w:rsidRPr="00511005">
        <w:rPr>
          <w:rFonts w:ascii="Arial" w:eastAsia="Calibri" w:hAnsi="Arial" w:cs="Arial"/>
          <w:szCs w:val="28"/>
          <w:lang w:eastAsia="uk-UA"/>
        </w:rPr>
        <w:t>психіки</w:t>
      </w:r>
      <w:r w:rsidRPr="00511005">
        <w:rPr>
          <w:rFonts w:ascii="Arial" w:eastAsia="Calibri" w:hAnsi="Arial" w:cs="Arial"/>
          <w:szCs w:val="28"/>
        </w:rPr>
        <w:t>[</w:t>
      </w:r>
      <w:proofErr w:type="gramEnd"/>
      <w:r w:rsidRPr="00511005">
        <w:rPr>
          <w:rFonts w:ascii="Arial" w:eastAsia="Calibri" w:hAnsi="Arial" w:cs="Arial"/>
          <w:szCs w:val="28"/>
        </w:rPr>
        <w:t xml:space="preserve">5, </w:t>
      </w:r>
      <w:r w:rsidRPr="00511005">
        <w:rPr>
          <w:rFonts w:ascii="Arial" w:eastAsia="Calibri" w:hAnsi="Arial" w:cs="Arial"/>
          <w:szCs w:val="28"/>
          <w:lang w:val="en-US"/>
        </w:rPr>
        <w:t>c</w:t>
      </w:r>
      <w:r w:rsidRPr="00511005">
        <w:rPr>
          <w:rFonts w:ascii="Arial" w:eastAsia="Calibri" w:hAnsi="Arial" w:cs="Arial"/>
          <w:szCs w:val="28"/>
        </w:rPr>
        <w:t>.119]</w:t>
      </w:r>
      <w:r w:rsidRPr="00511005">
        <w:rPr>
          <w:rFonts w:ascii="Arial" w:eastAsia="Calibri" w:hAnsi="Arial" w:cs="Arial"/>
          <w:szCs w:val="28"/>
          <w:lang w:eastAsia="uk-UA"/>
        </w:rPr>
        <w:t>.</w:t>
      </w:r>
    </w:p>
    <w:p w14:paraId="0E27274A" w14:textId="77777777" w:rsidR="00532C25" w:rsidRPr="00511005" w:rsidRDefault="00532C25" w:rsidP="00532C25">
      <w:pPr>
        <w:spacing w:line="264" w:lineRule="auto"/>
        <w:ind w:firstLine="720"/>
        <w:rPr>
          <w:rFonts w:ascii="Arial" w:eastAsia="Calibri" w:hAnsi="Arial" w:cs="Arial"/>
          <w:szCs w:val="28"/>
          <w:lang w:eastAsia="uk-UA"/>
        </w:rPr>
      </w:pPr>
      <w:r w:rsidRPr="00511005">
        <w:rPr>
          <w:rFonts w:ascii="Arial" w:eastAsia="Calibri" w:hAnsi="Arial" w:cs="Arial"/>
          <w:szCs w:val="28"/>
          <w:lang w:eastAsia="uk-UA"/>
        </w:rPr>
        <w:t xml:space="preserve">Ідентифікація за допомогою відбитків пальців є надійним та ефективним методом біометричного розпізнавання особи, що продовжує розвиватися завдяки новітнім технологіям. Висока точність, доступність та універсальність роблять дактилоскопію важливим інструментом у забезпеченні національної безпеки, правопорядку та цифрової трансформації державних послуг. Однак для її подальшого розвитку необхідно подолати технічні, правові та етичні бар’єри, забезпечити захист персональних даних, стандартизацію систем та активізувати міжнародне співробітництво. Синергія між державними органами, науковими установами та ІТ-компаніями здатна забезпечити інноваційний прорив у </w:t>
      </w:r>
      <w:r w:rsidRPr="00511005">
        <w:rPr>
          <w:rFonts w:ascii="Arial" w:eastAsia="Calibri" w:hAnsi="Arial" w:cs="Arial"/>
          <w:szCs w:val="28"/>
          <w:lang w:eastAsia="uk-UA"/>
        </w:rPr>
        <w:lastRenderedPageBreak/>
        <w:t>сфері біометричної ідентифікації та посилити довіру громадян до цифрових сервісів.</w:t>
      </w:r>
    </w:p>
    <w:p w14:paraId="0F1B089E" w14:textId="77777777" w:rsidR="00532C25" w:rsidRPr="00511005" w:rsidRDefault="00532C25" w:rsidP="00532C25">
      <w:pPr>
        <w:spacing w:line="264" w:lineRule="auto"/>
        <w:ind w:firstLine="720"/>
        <w:jc w:val="center"/>
        <w:rPr>
          <w:rFonts w:ascii="Arial" w:eastAsia="Calibri" w:hAnsi="Arial" w:cs="Arial"/>
          <w:szCs w:val="28"/>
        </w:rPr>
      </w:pPr>
    </w:p>
    <w:p w14:paraId="1B265ADC"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29786C03" w14:textId="77777777" w:rsidR="00532C25" w:rsidRPr="00511005" w:rsidRDefault="00532C25" w:rsidP="003F6A5D">
      <w:pPr>
        <w:numPr>
          <w:ilvl w:val="0"/>
          <w:numId w:val="638"/>
        </w:numPr>
        <w:spacing w:line="264" w:lineRule="auto"/>
        <w:ind w:left="0" w:firstLine="720"/>
        <w:contextualSpacing/>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Баранець С.І. </w:t>
      </w:r>
      <w:r w:rsidRPr="00511005">
        <w:rPr>
          <w:rFonts w:ascii="Arial" w:eastAsia="Times New Roman" w:hAnsi="Arial" w:cs="Arial"/>
          <w:bCs/>
          <w:szCs w:val="28"/>
          <w:lang w:val="uk-UA" w:eastAsia="uk-UA"/>
        </w:rPr>
        <w:t>Біометричні технології ідентифікації особи: правовий вимір</w:t>
      </w:r>
      <w:r w:rsidRPr="00511005">
        <w:rPr>
          <w:rFonts w:ascii="Arial" w:eastAsia="Times New Roman" w:hAnsi="Arial" w:cs="Arial"/>
          <w:szCs w:val="28"/>
          <w:lang w:val="uk-UA" w:eastAsia="uk-UA"/>
        </w:rPr>
        <w:t>. Харків : Право, 2020. 256 с.</w:t>
      </w:r>
    </w:p>
    <w:p w14:paraId="0BD46A83" w14:textId="77777777" w:rsidR="00532C25" w:rsidRPr="00511005" w:rsidRDefault="00532C25" w:rsidP="003F6A5D">
      <w:pPr>
        <w:numPr>
          <w:ilvl w:val="0"/>
          <w:numId w:val="638"/>
        </w:numPr>
        <w:spacing w:line="264" w:lineRule="auto"/>
        <w:ind w:left="0" w:firstLine="720"/>
        <w:contextualSpacing/>
        <w:jc w:val="left"/>
        <w:rPr>
          <w:rFonts w:ascii="Arial" w:eastAsia="Times New Roman" w:hAnsi="Arial" w:cs="Arial"/>
          <w:szCs w:val="28"/>
          <w:lang w:eastAsia="uk-UA"/>
        </w:rPr>
      </w:pPr>
      <w:r w:rsidRPr="00511005">
        <w:rPr>
          <w:rFonts w:ascii="Arial" w:eastAsia="Times New Roman" w:hAnsi="Arial" w:cs="Arial"/>
          <w:szCs w:val="28"/>
          <w:lang w:eastAsia="uk-UA"/>
        </w:rPr>
        <w:t xml:space="preserve">Гуржій А.М., Костюченко В.О. </w:t>
      </w:r>
      <w:r w:rsidRPr="00511005">
        <w:rPr>
          <w:rFonts w:ascii="Arial" w:eastAsia="Times New Roman" w:hAnsi="Arial" w:cs="Arial"/>
          <w:bCs/>
          <w:szCs w:val="28"/>
          <w:lang w:eastAsia="uk-UA"/>
        </w:rPr>
        <w:t>Інформаційні технології в правоохоронній діяльності</w:t>
      </w:r>
      <w:r w:rsidRPr="00511005">
        <w:rPr>
          <w:rFonts w:ascii="Arial" w:eastAsia="Times New Roman" w:hAnsi="Arial" w:cs="Arial"/>
          <w:szCs w:val="28"/>
          <w:lang w:eastAsia="uk-UA"/>
        </w:rPr>
        <w:t xml:space="preserve">. </w:t>
      </w:r>
      <w:proofErr w:type="gramStart"/>
      <w:r w:rsidRPr="00511005">
        <w:rPr>
          <w:rFonts w:ascii="Arial" w:eastAsia="Times New Roman" w:hAnsi="Arial" w:cs="Arial"/>
          <w:szCs w:val="28"/>
          <w:lang w:eastAsia="uk-UA"/>
        </w:rPr>
        <w:t>Київ :</w:t>
      </w:r>
      <w:proofErr w:type="gramEnd"/>
      <w:r w:rsidRPr="00511005">
        <w:rPr>
          <w:rFonts w:ascii="Arial" w:eastAsia="Times New Roman" w:hAnsi="Arial" w:cs="Arial"/>
          <w:szCs w:val="28"/>
          <w:lang w:eastAsia="uk-UA"/>
        </w:rPr>
        <w:t xml:space="preserve"> НАВС України, 2017. 312 с.</w:t>
      </w:r>
    </w:p>
    <w:p w14:paraId="6F06D8A3" w14:textId="77777777" w:rsidR="00532C25" w:rsidRPr="00511005" w:rsidRDefault="00532C25" w:rsidP="003F6A5D">
      <w:pPr>
        <w:numPr>
          <w:ilvl w:val="0"/>
          <w:numId w:val="638"/>
        </w:numPr>
        <w:spacing w:line="264" w:lineRule="auto"/>
        <w:ind w:left="0" w:firstLine="720"/>
        <w:contextualSpacing/>
        <w:jc w:val="left"/>
        <w:rPr>
          <w:rFonts w:ascii="Arial" w:eastAsia="Times New Roman" w:hAnsi="Arial" w:cs="Arial"/>
          <w:szCs w:val="28"/>
          <w:lang w:eastAsia="uk-UA"/>
        </w:rPr>
      </w:pPr>
      <w:r w:rsidRPr="00511005">
        <w:rPr>
          <w:rFonts w:ascii="Arial" w:eastAsia="Times New Roman" w:hAnsi="Arial" w:cs="Arial"/>
          <w:szCs w:val="28"/>
          <w:lang w:eastAsia="uk-UA"/>
        </w:rPr>
        <w:t xml:space="preserve">Дьяков В.Ю. </w:t>
      </w:r>
      <w:r w:rsidRPr="00511005">
        <w:rPr>
          <w:rFonts w:ascii="Arial" w:eastAsia="Times New Roman" w:hAnsi="Arial" w:cs="Arial"/>
          <w:bCs/>
          <w:szCs w:val="28"/>
          <w:lang w:eastAsia="uk-UA"/>
        </w:rPr>
        <w:t>Дактилоскопічна ідентифікація: історія, методи, перспективи</w:t>
      </w:r>
      <w:r w:rsidRPr="00511005">
        <w:rPr>
          <w:rFonts w:ascii="Arial" w:eastAsia="Times New Roman" w:hAnsi="Arial" w:cs="Arial"/>
          <w:szCs w:val="28"/>
          <w:lang w:eastAsia="uk-UA"/>
        </w:rPr>
        <w:t xml:space="preserve">. </w:t>
      </w:r>
      <w:proofErr w:type="gramStart"/>
      <w:r w:rsidRPr="00511005">
        <w:rPr>
          <w:rFonts w:ascii="Arial" w:eastAsia="Times New Roman" w:hAnsi="Arial" w:cs="Arial"/>
          <w:szCs w:val="28"/>
          <w:lang w:eastAsia="uk-UA"/>
        </w:rPr>
        <w:t>Одеса :</w:t>
      </w:r>
      <w:proofErr w:type="gramEnd"/>
      <w:r w:rsidRPr="00511005">
        <w:rPr>
          <w:rFonts w:ascii="Arial" w:eastAsia="Times New Roman" w:hAnsi="Arial" w:cs="Arial"/>
          <w:szCs w:val="28"/>
          <w:lang w:eastAsia="uk-UA"/>
        </w:rPr>
        <w:t xml:space="preserve"> Юрид. літ., 2015. 198 с.</w:t>
      </w:r>
    </w:p>
    <w:p w14:paraId="74B1D621" w14:textId="77777777" w:rsidR="00532C25" w:rsidRPr="00511005" w:rsidRDefault="00532C25" w:rsidP="003F6A5D">
      <w:pPr>
        <w:numPr>
          <w:ilvl w:val="0"/>
          <w:numId w:val="638"/>
        </w:numPr>
        <w:spacing w:line="264" w:lineRule="auto"/>
        <w:ind w:left="0" w:firstLine="720"/>
        <w:contextualSpacing/>
        <w:jc w:val="left"/>
        <w:rPr>
          <w:rFonts w:ascii="Arial" w:eastAsia="Times New Roman" w:hAnsi="Arial" w:cs="Arial"/>
          <w:szCs w:val="28"/>
          <w:lang w:eastAsia="uk-UA"/>
        </w:rPr>
      </w:pPr>
      <w:r w:rsidRPr="00511005">
        <w:rPr>
          <w:rFonts w:ascii="Arial" w:eastAsia="Times New Roman" w:hAnsi="Arial" w:cs="Arial"/>
          <w:szCs w:val="28"/>
          <w:lang w:eastAsia="uk-UA"/>
        </w:rPr>
        <w:t xml:space="preserve">Коваль В.М. </w:t>
      </w:r>
      <w:r w:rsidRPr="00511005">
        <w:rPr>
          <w:rFonts w:ascii="Arial" w:eastAsia="Times New Roman" w:hAnsi="Arial" w:cs="Arial"/>
          <w:bCs/>
          <w:szCs w:val="28"/>
          <w:lang w:eastAsia="uk-UA"/>
        </w:rPr>
        <w:t>Використання біометричних систем у діяльності Національної поліції України</w:t>
      </w:r>
      <w:r w:rsidRPr="00511005">
        <w:rPr>
          <w:rFonts w:ascii="Arial" w:eastAsia="Times New Roman" w:hAnsi="Arial" w:cs="Arial"/>
          <w:szCs w:val="28"/>
          <w:lang w:eastAsia="uk-UA"/>
        </w:rPr>
        <w:t xml:space="preserve">. </w:t>
      </w:r>
      <w:proofErr w:type="gramStart"/>
      <w:r w:rsidRPr="00511005">
        <w:rPr>
          <w:rFonts w:ascii="Arial" w:eastAsia="Times New Roman" w:hAnsi="Arial" w:cs="Arial"/>
          <w:szCs w:val="28"/>
          <w:lang w:eastAsia="uk-UA"/>
        </w:rPr>
        <w:t>Львів :</w:t>
      </w:r>
      <w:proofErr w:type="gramEnd"/>
      <w:r w:rsidRPr="00511005">
        <w:rPr>
          <w:rFonts w:ascii="Arial" w:eastAsia="Times New Roman" w:hAnsi="Arial" w:cs="Arial"/>
          <w:szCs w:val="28"/>
          <w:lang w:eastAsia="uk-UA"/>
        </w:rPr>
        <w:t xml:space="preserve"> Львівський держ. ун-т внутр. справ, 2018. 223 с.</w:t>
      </w:r>
    </w:p>
    <w:p w14:paraId="6570A600" w14:textId="77777777" w:rsidR="00532C25" w:rsidRPr="00511005" w:rsidRDefault="00532C25" w:rsidP="003F6A5D">
      <w:pPr>
        <w:numPr>
          <w:ilvl w:val="0"/>
          <w:numId w:val="638"/>
        </w:numPr>
        <w:spacing w:line="264" w:lineRule="auto"/>
        <w:ind w:left="0" w:firstLine="720"/>
        <w:contextualSpacing/>
        <w:jc w:val="left"/>
        <w:rPr>
          <w:rFonts w:ascii="Arial" w:eastAsia="Times New Roman" w:hAnsi="Arial" w:cs="Arial"/>
          <w:szCs w:val="28"/>
          <w:lang w:eastAsia="uk-UA"/>
        </w:rPr>
      </w:pPr>
      <w:r w:rsidRPr="00511005">
        <w:rPr>
          <w:rFonts w:ascii="Arial" w:eastAsia="Times New Roman" w:hAnsi="Arial" w:cs="Arial"/>
          <w:szCs w:val="28"/>
          <w:lang w:eastAsia="uk-UA"/>
        </w:rPr>
        <w:t xml:space="preserve">Сидоренко І.О. </w:t>
      </w:r>
      <w:r w:rsidRPr="00511005">
        <w:rPr>
          <w:rFonts w:ascii="Arial" w:eastAsia="Times New Roman" w:hAnsi="Arial" w:cs="Arial"/>
          <w:bCs/>
          <w:szCs w:val="28"/>
          <w:lang w:eastAsia="uk-UA"/>
        </w:rPr>
        <w:t>Проблеми створення та функціонування дактилоскопічних баз даних в Україні</w:t>
      </w:r>
      <w:r w:rsidRPr="00511005">
        <w:rPr>
          <w:rFonts w:ascii="Arial" w:eastAsia="Times New Roman" w:hAnsi="Arial" w:cs="Arial"/>
          <w:szCs w:val="28"/>
          <w:lang w:eastAsia="uk-UA"/>
        </w:rPr>
        <w:t xml:space="preserve">. </w:t>
      </w:r>
      <w:proofErr w:type="gramStart"/>
      <w:r w:rsidRPr="00511005">
        <w:rPr>
          <w:rFonts w:ascii="Arial" w:eastAsia="Times New Roman" w:hAnsi="Arial" w:cs="Arial"/>
          <w:szCs w:val="28"/>
          <w:lang w:eastAsia="uk-UA"/>
        </w:rPr>
        <w:t>Чернівці :</w:t>
      </w:r>
      <w:proofErr w:type="gramEnd"/>
      <w:r w:rsidRPr="00511005">
        <w:rPr>
          <w:rFonts w:ascii="Arial" w:eastAsia="Times New Roman" w:hAnsi="Arial" w:cs="Arial"/>
          <w:szCs w:val="28"/>
          <w:lang w:eastAsia="uk-UA"/>
        </w:rPr>
        <w:t xml:space="preserve"> Рута, 2016. 174 с.</w:t>
      </w:r>
    </w:p>
    <w:p w14:paraId="2D9D2B23" w14:textId="77777777" w:rsidR="00532C25" w:rsidRPr="00511005" w:rsidRDefault="00532C25" w:rsidP="00532C25">
      <w:pPr>
        <w:spacing w:line="264" w:lineRule="auto"/>
        <w:ind w:firstLine="720"/>
        <w:jc w:val="left"/>
        <w:rPr>
          <w:rFonts w:ascii="Arial" w:eastAsia="Calibri" w:hAnsi="Arial" w:cs="Arial"/>
          <w:szCs w:val="28"/>
        </w:rPr>
      </w:pPr>
    </w:p>
    <w:p w14:paraId="018CAF17" w14:textId="77777777" w:rsidR="00532C25" w:rsidRPr="00511005" w:rsidRDefault="00532C25" w:rsidP="00532C25">
      <w:pPr>
        <w:spacing w:line="264" w:lineRule="auto"/>
        <w:ind w:firstLine="720"/>
        <w:rPr>
          <w:rFonts w:ascii="Arial" w:eastAsia="Calibri" w:hAnsi="Arial" w:cs="Arial"/>
          <w:bCs/>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bCs/>
          <w:szCs w:val="28"/>
          <w:lang w:val="uk-UA"/>
        </w:rPr>
        <w:t>дактилоскопія, криміналістична ідентифікація, сліди, методи ідентифікації.</w:t>
      </w:r>
    </w:p>
    <w:p w14:paraId="0D25C2E0" w14:textId="77777777" w:rsidR="00532C25" w:rsidRPr="00511005" w:rsidRDefault="00532C25" w:rsidP="00532C25">
      <w:pPr>
        <w:spacing w:line="264" w:lineRule="auto"/>
        <w:ind w:firstLine="720"/>
        <w:rPr>
          <w:rFonts w:ascii="Arial" w:eastAsia="Calibri" w:hAnsi="Arial" w:cs="Arial"/>
          <w:bCs/>
          <w:szCs w:val="28"/>
          <w:lang w:val="en-US"/>
        </w:rPr>
      </w:pPr>
      <w:r w:rsidRPr="00511005">
        <w:rPr>
          <w:rFonts w:ascii="Arial" w:eastAsia="Calibri" w:hAnsi="Arial" w:cs="Arial"/>
          <w:b/>
          <w:i/>
          <w:szCs w:val="28"/>
          <w:lang w:val="en-US"/>
        </w:rPr>
        <w:t xml:space="preserve">Key words: </w:t>
      </w:r>
      <w:r w:rsidRPr="00511005">
        <w:rPr>
          <w:rFonts w:ascii="Arial" w:eastAsia="Calibri" w:hAnsi="Arial" w:cs="Arial"/>
          <w:bCs/>
          <w:szCs w:val="28"/>
          <w:lang w:val="en-US"/>
        </w:rPr>
        <w:t>fingerprinting, forensic identification, traces, identification methods.</w:t>
      </w:r>
    </w:p>
    <w:p w14:paraId="7CB1C3B8" w14:textId="77777777" w:rsidR="00532C25" w:rsidRPr="00511005" w:rsidRDefault="00532C25" w:rsidP="00532C25">
      <w:pPr>
        <w:spacing w:line="264" w:lineRule="auto"/>
        <w:ind w:firstLine="720"/>
        <w:rPr>
          <w:rFonts w:ascii="Arial" w:eastAsia="Calibri" w:hAnsi="Arial" w:cs="Arial"/>
          <w:b/>
          <w:iCs/>
          <w:szCs w:val="28"/>
        </w:rPr>
      </w:pPr>
      <w:r w:rsidRPr="00511005">
        <w:rPr>
          <w:rFonts w:ascii="Arial" w:eastAsia="Calibri" w:hAnsi="Arial" w:cs="Arial"/>
          <w:b/>
          <w:bCs/>
          <w:i/>
          <w:iCs/>
          <w:szCs w:val="28"/>
        </w:rPr>
        <w:t xml:space="preserve">Науковий керівник: </w:t>
      </w:r>
      <w:r w:rsidRPr="00511005">
        <w:rPr>
          <w:rFonts w:ascii="Arial" w:eastAsia="Calibri" w:hAnsi="Arial" w:cs="Arial"/>
          <w:i/>
          <w:iCs/>
          <w:szCs w:val="28"/>
        </w:rPr>
        <w:t>д.ю.н., професор Цехан Д.М.</w:t>
      </w:r>
    </w:p>
    <w:p w14:paraId="4AAE65F6" w14:textId="77777777" w:rsidR="00532C25" w:rsidRPr="00511005" w:rsidRDefault="00532C25" w:rsidP="00532C25">
      <w:pPr>
        <w:spacing w:line="264" w:lineRule="auto"/>
        <w:ind w:firstLine="720"/>
        <w:jc w:val="left"/>
        <w:rPr>
          <w:rFonts w:ascii="Arial" w:eastAsia="Calibri" w:hAnsi="Arial" w:cs="Arial"/>
          <w:szCs w:val="28"/>
        </w:rPr>
      </w:pPr>
    </w:p>
    <w:p w14:paraId="1F8A7732" w14:textId="77777777" w:rsidR="00532C25" w:rsidRPr="00511005" w:rsidRDefault="00532C25" w:rsidP="00532C25">
      <w:pPr>
        <w:keepNext/>
        <w:suppressAutoHyphens/>
        <w:autoSpaceDN w:val="0"/>
        <w:spacing w:line="264" w:lineRule="auto"/>
        <w:ind w:firstLine="720"/>
        <w:jc w:val="center"/>
        <w:textAlignment w:val="baseline"/>
        <w:rPr>
          <w:rFonts w:ascii="Arial" w:eastAsia="NSimSun" w:hAnsi="Arial" w:cs="Arial"/>
          <w:kern w:val="3"/>
          <w:szCs w:val="28"/>
          <w:lang w:val="uk-UA" w:eastAsia="zh-CN" w:bidi="hi-IN"/>
        </w:rPr>
      </w:pPr>
    </w:p>
    <w:p w14:paraId="1E0B7110" w14:textId="77777777" w:rsidR="00532C25" w:rsidRPr="00511005" w:rsidRDefault="00532C25" w:rsidP="00532C25">
      <w:pPr>
        <w:keepNext/>
        <w:suppressAutoHyphens/>
        <w:autoSpaceDN w:val="0"/>
        <w:spacing w:line="264" w:lineRule="auto"/>
        <w:ind w:firstLine="720"/>
        <w:jc w:val="center"/>
        <w:textAlignment w:val="baseline"/>
        <w:rPr>
          <w:rFonts w:ascii="Arial" w:eastAsia="NSimSun" w:hAnsi="Arial" w:cs="Arial"/>
          <w:kern w:val="3"/>
          <w:szCs w:val="28"/>
          <w:lang w:val="uk-UA" w:eastAsia="zh-CN" w:bidi="hi-IN"/>
        </w:rPr>
      </w:pPr>
      <w:bookmarkStart w:id="249" w:name="_Hlk34296481_копія_1"/>
      <w:r w:rsidRPr="00511005">
        <w:rPr>
          <w:rFonts w:ascii="Arial" w:eastAsia="NSimSun" w:hAnsi="Arial" w:cs="Arial"/>
          <w:b/>
          <w:i/>
          <w:kern w:val="3"/>
          <w:szCs w:val="28"/>
          <w:lang w:val="uk-UA" w:eastAsia="zh-CN" w:bidi="hi-IN"/>
        </w:rPr>
        <w:t>Ч</w:t>
      </w:r>
      <w:bookmarkEnd w:id="249"/>
      <w:r w:rsidRPr="00511005">
        <w:rPr>
          <w:rFonts w:ascii="Arial" w:eastAsia="NSimSun" w:hAnsi="Arial" w:cs="Arial"/>
          <w:b/>
          <w:i/>
          <w:kern w:val="3"/>
          <w:szCs w:val="28"/>
          <w:lang w:val="uk-UA" w:eastAsia="zh-CN" w:bidi="hi-IN"/>
        </w:rPr>
        <w:t>ерномор Карина Максимівна</w:t>
      </w:r>
    </w:p>
    <w:p w14:paraId="37FD399F"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08985531"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708F6C4"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DEF9F5D" w14:textId="77777777" w:rsidR="00532C25" w:rsidRPr="00511005" w:rsidRDefault="00532C25" w:rsidP="00532C25">
      <w:pPr>
        <w:suppressAutoHyphens/>
        <w:autoSpaceDN w:val="0"/>
        <w:spacing w:line="264" w:lineRule="auto"/>
        <w:ind w:firstLine="720"/>
        <w:jc w:val="center"/>
        <w:textAlignment w:val="baseline"/>
        <w:rPr>
          <w:rFonts w:ascii="Arial" w:eastAsia="NSimSun" w:hAnsi="Arial" w:cs="Arial"/>
          <w:kern w:val="3"/>
          <w:szCs w:val="28"/>
          <w:lang w:val="uk-UA" w:eastAsia="zh-CN" w:bidi="hi-IN"/>
        </w:rPr>
      </w:pPr>
    </w:p>
    <w:p w14:paraId="3CC16450" w14:textId="77777777" w:rsidR="00532C25" w:rsidRPr="00511005" w:rsidRDefault="00532C25" w:rsidP="00532C25">
      <w:pPr>
        <w:keepNext/>
        <w:widowControl w:val="0"/>
        <w:suppressAutoHyphens/>
        <w:autoSpaceDN w:val="0"/>
        <w:spacing w:line="264" w:lineRule="auto"/>
        <w:ind w:firstLine="720"/>
        <w:jc w:val="center"/>
        <w:textAlignment w:val="baseline"/>
        <w:rPr>
          <w:rFonts w:ascii="Arial" w:eastAsia="NSimSun" w:hAnsi="Arial" w:cs="Arial"/>
          <w:kern w:val="3"/>
          <w:szCs w:val="28"/>
          <w:lang w:val="uk-UA" w:eastAsia="zh-CN" w:bidi="hi-IN"/>
        </w:rPr>
      </w:pPr>
      <w:r w:rsidRPr="00511005">
        <w:rPr>
          <w:rFonts w:ascii="Arial" w:eastAsia="NSimSun" w:hAnsi="Arial" w:cs="Arial"/>
          <w:b/>
          <w:kern w:val="3"/>
          <w:szCs w:val="28"/>
          <w:lang w:val="uk-UA" w:eastAsia="zh-CN" w:bidi="hi-IN"/>
        </w:rPr>
        <w:t>РОЛЬ КОНФІДЕНЦІЙНОГО СПІВРОБІТНИКА В ОПЕРАТИВНО-РОЗШУКОВІЙ ДІЯЛЬНОСТІ</w:t>
      </w:r>
    </w:p>
    <w:p w14:paraId="62322D5F" w14:textId="77777777" w:rsidR="00532C25" w:rsidRPr="00511005" w:rsidRDefault="00532C25" w:rsidP="00532C25">
      <w:pPr>
        <w:widowControl w:val="0"/>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У сучасних умовах зростання загроз національній безпеці, поширення організованої злочинності, корупції та терористичних загроз, особливого значення набуває ефективна діяльність оперативних підрозділів правоохоронних органів. Одним із ключових елементів оперативно-розшукової діяльності є взаємодія з конфіденційними співробітниками – особами, які добровільно та приховано надають допомогу у виявленні, попередженні та документуванні злочинної діяльності.</w:t>
      </w:r>
    </w:p>
    <w:p w14:paraId="3A038D53"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 xml:space="preserve">Конфіденційний співробітник виступає важливою фігурою, здатною забезпечити доступ до закритих злочинних середовищ, отримати оперативно значущу інформацію, яку неможливо здобути іншими способами. Водночас залучення таких осіб супроводжується підвищеними ризиками </w:t>
      </w:r>
      <w:r w:rsidRPr="00511005">
        <w:rPr>
          <w:rFonts w:ascii="Arial" w:eastAsia="NSimSun" w:hAnsi="Arial" w:cs="Arial"/>
          <w:kern w:val="3"/>
          <w:szCs w:val="28"/>
          <w:lang w:val="uk-UA" w:eastAsia="zh-CN" w:bidi="hi-IN"/>
        </w:rPr>
        <w:lastRenderedPageBreak/>
        <w:t>порушення прав людини, зловживаннями з боку правоохоронців, а також складнощами в отриманні таким чином доказової інформації.</w:t>
      </w:r>
    </w:p>
    <w:p w14:paraId="35516DA3"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Незважаючи на практичну поширеність співпраці з конфіденційними джерелами, в українському законодавстві й досі відсутній чіткий правовий статус конфіденційного співробітника, що ускладнює контроль за правомірністю їх використання та створює загрозу зловживань. Також спостерігається певна колізійність між положеннями національного законодавства та стандартами Європейського суду з прав людини щодо недопустимості провокацій до вчинення злочину [1; 4].</w:t>
      </w:r>
    </w:p>
    <w:p w14:paraId="0FE7E0CE"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Таким чином, дослідження правової природи, функціонального призначення та механізмів правового регулювання участі конфіденційного співробітника в оперативно-розшуковій діяльності є актуальним і необхідним з огляду на потреби правоохоронної практики, дотримання прав людини та імплементації міжнародних стандартів у національну правову систему.</w:t>
      </w:r>
    </w:p>
    <w:p w14:paraId="4DA80977"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Конфіденційний співробітник – це фізична особа, яка на умовах конфіденційності добровільно співпрацює з оперативними підрозділами правоохоронних органів з метою виконання завдань, передбачених оперативно-розшуковою діяльністю. Відповідно до ст. 8 Закону України «Про оперативно-розшукову діяльність», суб’єкти, що здійснюють ОРД, мають право використовувати конфіденційне співробітництво згідно з положеннями </w:t>
      </w:r>
      <w:r w:rsidR="005938AD">
        <w:fldChar w:fldCharType="begin"/>
      </w:r>
      <w:r w:rsidR="005938AD" w:rsidRPr="00C2797E">
        <w:rPr>
          <w:lang w:val="uk-UA"/>
        </w:rPr>
        <w:instrText xml:space="preserve"> </w:instrText>
      </w:r>
      <w:r w:rsidR="005938AD">
        <w:instrText>HYPERLINK</w:instrText>
      </w:r>
      <w:r w:rsidR="005938AD" w:rsidRPr="00C2797E">
        <w:rPr>
          <w:lang w:val="uk-UA"/>
        </w:rPr>
        <w:instrText xml:space="preserve"> "</w:instrText>
      </w:r>
      <w:r w:rsidR="005938AD">
        <w:instrText>https</w:instrText>
      </w:r>
      <w:r w:rsidR="005938AD" w:rsidRPr="00C2797E">
        <w:rPr>
          <w:lang w:val="uk-UA"/>
        </w:rPr>
        <w:instrText>://</w:instrText>
      </w:r>
      <w:r w:rsidR="005938AD">
        <w:instrText>zakon</w:instrText>
      </w:r>
      <w:r w:rsidR="005938AD" w:rsidRPr="00C2797E">
        <w:rPr>
          <w:lang w:val="uk-UA"/>
        </w:rPr>
        <w:instrText>.</w:instrText>
      </w:r>
      <w:r w:rsidR="005938AD">
        <w:instrText>rada</w:instrText>
      </w:r>
      <w:r w:rsidR="005938AD" w:rsidRPr="00C2797E">
        <w:rPr>
          <w:lang w:val="uk-UA"/>
        </w:rPr>
        <w:instrText>.</w:instrText>
      </w:r>
      <w:r w:rsidR="005938AD">
        <w:instrText>g</w:instrText>
      </w:r>
      <w:r w:rsidR="005938AD">
        <w:instrText>ov</w:instrText>
      </w:r>
      <w:r w:rsidR="005938AD" w:rsidRPr="00C2797E">
        <w:rPr>
          <w:lang w:val="uk-UA"/>
        </w:rPr>
        <w:instrText>.</w:instrText>
      </w:r>
      <w:r w:rsidR="005938AD">
        <w:instrText>ua</w:instrText>
      </w:r>
      <w:r w:rsidR="005938AD" w:rsidRPr="00C2797E">
        <w:rPr>
          <w:lang w:val="uk-UA"/>
        </w:rPr>
        <w:instrText>/</w:instrText>
      </w:r>
      <w:r w:rsidR="005938AD">
        <w:instrText>laws</w:instrText>
      </w:r>
      <w:r w:rsidR="005938AD" w:rsidRPr="00C2797E">
        <w:rPr>
          <w:lang w:val="uk-UA"/>
        </w:rPr>
        <w:instrText>/</w:instrText>
      </w:r>
      <w:r w:rsidR="005938AD">
        <w:instrText>show</w:instrText>
      </w:r>
      <w:r w:rsidR="005938AD" w:rsidRPr="00C2797E">
        <w:rPr>
          <w:lang w:val="uk-UA"/>
        </w:rPr>
        <w:instrText>/4651-17" \</w:instrText>
      </w:r>
      <w:r w:rsidR="005938AD">
        <w:instrText>l</w:instrText>
      </w:r>
      <w:r w:rsidR="005938AD" w:rsidRPr="00C2797E">
        <w:rPr>
          <w:lang w:val="uk-UA"/>
        </w:rPr>
        <w:instrText xml:space="preserve"> "</w:instrText>
      </w:r>
      <w:r w:rsidR="005938AD">
        <w:instrText>n</w:instrText>
      </w:r>
      <w:r w:rsidR="005938AD" w:rsidRPr="00C2797E">
        <w:rPr>
          <w:lang w:val="uk-UA"/>
        </w:rPr>
        <w:instrText xml:space="preserve">2480" </w:instrText>
      </w:r>
      <w:r w:rsidR="005938AD">
        <w:fldChar w:fldCharType="separate"/>
      </w:r>
      <w:r w:rsidRPr="00511005">
        <w:rPr>
          <w:rFonts w:ascii="Arial" w:eastAsia="NSimSun" w:hAnsi="Arial" w:cs="Arial"/>
          <w:kern w:val="3"/>
          <w:szCs w:val="28"/>
          <w:shd w:val="clear" w:color="auto" w:fill="FFFFFF"/>
          <w:lang w:val="uk-UA" w:eastAsia="zh-CN" w:bidi="hi-IN"/>
        </w:rPr>
        <w:t>ст.275</w:t>
      </w:r>
      <w:r w:rsidR="005938AD">
        <w:rPr>
          <w:rFonts w:ascii="Arial" w:eastAsia="NSimSun" w:hAnsi="Arial" w:cs="Arial"/>
          <w:kern w:val="3"/>
          <w:szCs w:val="28"/>
          <w:shd w:val="clear" w:color="auto" w:fill="FFFFFF"/>
          <w:lang w:val="uk-UA" w:eastAsia="zh-CN" w:bidi="hi-IN"/>
        </w:rPr>
        <w:fldChar w:fldCharType="end"/>
      </w:r>
      <w:r w:rsidRPr="00511005">
        <w:rPr>
          <w:rFonts w:ascii="Arial" w:eastAsia="NSimSun" w:hAnsi="Arial" w:cs="Arial"/>
          <w:kern w:val="3"/>
          <w:szCs w:val="28"/>
          <w:lang w:val="uk-UA" w:eastAsia="zh-CN" w:bidi="hi-IN"/>
        </w:rPr>
        <w:t> Кримінального процесуального кодексу України. Відповідно до положень ст. 275 Кримінального процесуального кодексу України, у межах здійснення негласних слідчих (розшукових) дій слідчий уповноважений використовувати відомості, отримані в результаті співпраці з особами на конфіденційних засадах, а також за потреби може залучати таких осіб безпосередньо до участі в зазначених заходах, якщо це передбачено нормами Кодексу.</w:t>
      </w:r>
    </w:p>
    <w:p w14:paraId="427FF0C6"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Водночас законом установлено обмеження щодо категорій осіб, які не можуть бути залучені до конфіденційного співробітництва у межах негласних слідчих (розшукових) дій. Зокрема, забороняється така співпраця з адвокатами, нотаріусами, медичними працівниками, священнослужителями та журналістами у випадках, коли це може призвести до розкриття відомостей, що становлять професійну таємницю [1; 2].</w:t>
      </w:r>
    </w:p>
    <w:p w14:paraId="4144ADE7"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Правова природа конфіденційного співробітника базується на інституті негласного сприяння органам державної влади. При цьому законодавство не містить чіткої дефініції цього суб’єкта, що породжує труднощі у кваліфікації правових наслідків його дій, а також у визначенні меж відповідальності.</w:t>
      </w:r>
    </w:p>
    <w:p w14:paraId="02D045D2"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 xml:space="preserve">Нормативні акти не містять чіткого визначення поняття «конфіденційний співробітник», а отже, на практиці його статус та взаємовідносини з правоохоронними органами регулюються переважно внутрішніми інструкціями та положеннями, які мають гриф обмеженого </w:t>
      </w:r>
      <w:r w:rsidRPr="00511005">
        <w:rPr>
          <w:rFonts w:ascii="Arial" w:eastAsia="NSimSun" w:hAnsi="Arial" w:cs="Arial"/>
          <w:kern w:val="3"/>
          <w:szCs w:val="28"/>
          <w:lang w:val="uk-UA" w:eastAsia="zh-CN" w:bidi="hi-IN"/>
        </w:rPr>
        <w:lastRenderedPageBreak/>
        <w:t>доступу. Співпраця з такими особами зазвичай оформлюється в усній або письмовій формі за умови добровільної згоди. Ідентифікаційні дані конфіденційних співробітників віднесені до категорії державної таємниці, що забезпечує анонімність і захист таких осіб, але водночас створює правові труднощі у процесі доказування під час судового розгляду [3, С.</w:t>
      </w:r>
      <w:r w:rsidRPr="00511005">
        <w:rPr>
          <w:rFonts w:ascii="Arial" w:eastAsia="NSimSun" w:hAnsi="Arial" w:cs="Arial"/>
          <w:kern w:val="3"/>
          <w:szCs w:val="28"/>
          <w:lang w:eastAsia="zh-CN" w:bidi="hi-IN"/>
        </w:rPr>
        <w:t> </w:t>
      </w:r>
      <w:r w:rsidRPr="00511005">
        <w:rPr>
          <w:rFonts w:ascii="Arial" w:eastAsia="NSimSun" w:hAnsi="Arial" w:cs="Arial"/>
          <w:kern w:val="3"/>
          <w:szCs w:val="28"/>
          <w:lang w:val="uk-UA" w:eastAsia="zh-CN" w:bidi="hi-IN"/>
        </w:rPr>
        <w:t>169].</w:t>
      </w:r>
    </w:p>
    <w:p w14:paraId="0B134709"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Відсутність чіткого законодавчого закріплення статусу конфіденційного співробітника викликає низку проблем, зокрема щодо меж допустимості його дій, правової відповідальності, а також захисту від можливих зловживань з боку як самих конфідентів, так і працівників оперативних підрозділів. Крім того, через обмежений публічний контроль та складність перевірки достовірності доказів, здобутих за участі конфіденційного співробітника, виникає потреба у запровадженні спеціальних процесуальних механізмів контролю, що відповідали б стандартам прав людини та вимогам Європейського суду з прав людини.</w:t>
      </w:r>
    </w:p>
    <w:p w14:paraId="7D98CB28"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Залучення конфіденційного співробітника повинно здійснюватися з дотриманням стандартів прав людини, зокрема принципів неприпустимості провокації злочину, збереження таємниці приватного життя, права на справедливий суд. Європейський суд з прав людини у справі «Ramanauskas v. Lithuania» (2008) визначив, що використання негласного співробітника є допустимим лише за умов, коли останній не провокує злочин, а лише фіксує уже розпочату злочинну діяльність [4].</w:t>
      </w:r>
    </w:p>
    <w:p w14:paraId="69B6B8C7"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На практиці це означає, що оперативні підрозділи повинні забезпечувати належний контроль за діями конфіденційного співробітника, зокрема шляхом аудіо- чи відеофіксації його взаємодії з об’єктом ОРД, для уникнення зловживань.</w:t>
      </w:r>
    </w:p>
    <w:p w14:paraId="21DB9392"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Згідно з чинним законодавством, правовий статус конфіденційного співробітника визначається переважно внутрішніми інструкціями та специфічними нормами, що регулюють використання конфіденційної інформації в оперативно-розшуковій діяльності. Однак це створює труднощі в контексті перевірки правомірності таких дій у судовій практиці, а також можливих зловживань з боку як оперативників, так і самих співробітників.</w:t>
      </w:r>
    </w:p>
    <w:p w14:paraId="7FB90361"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Ключовими проблемами, що потребують вирішення, є: визначення чітких правових норм для регулювання конфіденційного співробітництва, створення незалежних механізмів контролю за законністю оперативно-розшукових заходів, а також забезпечення належного правового захисту для самих конфіденційних співробітників.</w:t>
      </w:r>
    </w:p>
    <w:p w14:paraId="77C39B0B"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З огляду на європейські стандарти прав людини та потребу в забезпеченні правової визначеності, необхідно вжити заходів для вдосконалення вітчизняного законодавства, що регламентує цей інститут. Впровадження таких змін дозволить не тільки підвищити ефективність оперативно-розшукової діяльності, а й забезпечити баланс між інтересами правопорядку та захистом основних прав і свобод громадян.</w:t>
      </w:r>
    </w:p>
    <w:p w14:paraId="261FEA1C"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p>
    <w:p w14:paraId="31650A6A" w14:textId="77777777" w:rsidR="00532C25" w:rsidRPr="00511005" w:rsidRDefault="00532C25" w:rsidP="00532C25">
      <w:pPr>
        <w:suppressAutoHyphens/>
        <w:autoSpaceDN w:val="0"/>
        <w:spacing w:line="264" w:lineRule="auto"/>
        <w:ind w:firstLine="720"/>
        <w:jc w:val="center"/>
        <w:textAlignment w:val="baseline"/>
        <w:rPr>
          <w:rFonts w:ascii="Arial" w:eastAsia="NSimSun" w:hAnsi="Arial" w:cs="Arial"/>
          <w:kern w:val="3"/>
          <w:szCs w:val="28"/>
          <w:lang w:val="uk-UA" w:eastAsia="zh-CN" w:bidi="hi-IN"/>
        </w:rPr>
      </w:pPr>
      <w:r w:rsidRPr="00511005">
        <w:rPr>
          <w:rFonts w:ascii="Arial" w:eastAsia="Times New Roman" w:hAnsi="Arial" w:cs="Arial"/>
          <w:b/>
          <w:bCs/>
          <w:szCs w:val="28"/>
          <w:lang w:val="uk-UA"/>
        </w:rPr>
        <w:t>Список використаних джерел</w:t>
      </w:r>
    </w:p>
    <w:p w14:paraId="0C4D60F9" w14:textId="77777777" w:rsidR="00532C25" w:rsidRPr="00511005" w:rsidRDefault="00532C25" w:rsidP="003F6A5D">
      <w:pPr>
        <w:keepNext/>
        <w:widowControl w:val="0"/>
        <w:numPr>
          <w:ilvl w:val="0"/>
          <w:numId w:val="652"/>
        </w:numPr>
        <w:autoSpaceDN w:val="0"/>
        <w:spacing w:line="264" w:lineRule="auto"/>
        <w:ind w:left="0" w:firstLine="720"/>
        <w:jc w:val="left"/>
        <w:rPr>
          <w:rFonts w:ascii="Arial" w:eastAsia="Times New Roman" w:hAnsi="Arial" w:cs="Arial"/>
          <w:szCs w:val="28"/>
          <w:lang w:eastAsia="ru-RU"/>
        </w:rPr>
      </w:pPr>
      <w:r w:rsidRPr="00511005">
        <w:rPr>
          <w:rFonts w:ascii="Arial" w:eastAsia="Times New Roman" w:hAnsi="Arial" w:cs="Arial"/>
          <w:szCs w:val="28"/>
          <w:lang w:eastAsia="ru-RU"/>
        </w:rPr>
        <w:t xml:space="preserve">Про оперативно-розшукову діяльність: закон України. </w:t>
      </w:r>
      <w:r w:rsidRPr="00511005">
        <w:rPr>
          <w:rFonts w:ascii="Arial" w:eastAsia="Times New Roman" w:hAnsi="Arial" w:cs="Arial"/>
          <w:i/>
          <w:iCs/>
          <w:szCs w:val="28"/>
          <w:lang w:eastAsia="ru-RU"/>
        </w:rPr>
        <w:t xml:space="preserve">Відомості </w:t>
      </w:r>
      <w:proofErr w:type="gramStart"/>
      <w:r w:rsidRPr="00511005">
        <w:rPr>
          <w:rFonts w:ascii="Arial" w:eastAsia="Times New Roman" w:hAnsi="Arial" w:cs="Arial"/>
          <w:i/>
          <w:iCs/>
          <w:szCs w:val="28"/>
          <w:lang w:eastAsia="ru-RU"/>
        </w:rPr>
        <w:t>Верховної</w:t>
      </w:r>
      <w:proofErr w:type="gramEnd"/>
      <w:r w:rsidRPr="00511005">
        <w:rPr>
          <w:rFonts w:ascii="Arial" w:eastAsia="Times New Roman" w:hAnsi="Arial" w:cs="Arial"/>
          <w:i/>
          <w:iCs/>
          <w:szCs w:val="28"/>
          <w:lang w:eastAsia="ru-RU"/>
        </w:rPr>
        <w:t xml:space="preserve"> Ради України.</w:t>
      </w:r>
      <w:r w:rsidRPr="00511005">
        <w:rPr>
          <w:rFonts w:ascii="Arial" w:eastAsia="Times New Roman" w:hAnsi="Arial" w:cs="Arial"/>
          <w:szCs w:val="28"/>
          <w:lang w:eastAsia="ru-RU"/>
        </w:rPr>
        <w:t xml:space="preserve"> 1992. №22. Ст. 303. URL: </w:t>
      </w:r>
      <w:hyperlink r:id="rId2037" w:anchor="Text" w:history="1">
        <w:r w:rsidRPr="00511005">
          <w:rPr>
            <w:rFonts w:ascii="Arial" w:eastAsia="Times New Roman" w:hAnsi="Arial" w:cs="Arial"/>
            <w:szCs w:val="28"/>
            <w:lang w:eastAsia="ru-RU"/>
          </w:rPr>
          <w:t>https://zakon.rada.gov.ua/laws/show/2135-12#Text</w:t>
        </w:r>
      </w:hyperlink>
    </w:p>
    <w:p w14:paraId="0F8DE97B" w14:textId="77777777" w:rsidR="00532C25" w:rsidRPr="00511005" w:rsidRDefault="00532C25" w:rsidP="003F6A5D">
      <w:pPr>
        <w:keepNext/>
        <w:widowControl w:val="0"/>
        <w:numPr>
          <w:ilvl w:val="0"/>
          <w:numId w:val="652"/>
        </w:numPr>
        <w:autoSpaceDN w:val="0"/>
        <w:spacing w:line="264" w:lineRule="auto"/>
        <w:ind w:left="0" w:firstLine="720"/>
        <w:jc w:val="left"/>
        <w:rPr>
          <w:rFonts w:ascii="Arial" w:eastAsia="Times New Roman" w:hAnsi="Arial" w:cs="Arial"/>
          <w:szCs w:val="28"/>
          <w:lang w:eastAsia="ru-RU"/>
        </w:rPr>
      </w:pPr>
      <w:r w:rsidRPr="00511005">
        <w:rPr>
          <w:rFonts w:ascii="Arial" w:eastAsia="Calibri" w:hAnsi="Arial" w:cs="Arial"/>
          <w:bCs/>
          <w:szCs w:val="28"/>
        </w:rPr>
        <w:t xml:space="preserve">Кримінальний процесуальний кодекс України: Закон України від 13 квітня 2012 р. URL: </w:t>
      </w:r>
      <w:hyperlink r:id="rId2038" w:anchor="Text" w:history="1">
        <w:r w:rsidRPr="00511005">
          <w:rPr>
            <w:rFonts w:ascii="Arial" w:eastAsia="Calibri" w:hAnsi="Arial" w:cs="Arial"/>
            <w:bCs/>
            <w:szCs w:val="28"/>
          </w:rPr>
          <w:t>https://zakon.rada.gov.ua/laws/show/4651-17#Text</w:t>
        </w:r>
      </w:hyperlink>
      <w:r w:rsidRPr="00511005">
        <w:rPr>
          <w:rFonts w:ascii="Arial" w:eastAsia="Calibri" w:hAnsi="Arial" w:cs="Arial"/>
          <w:bCs/>
          <w:szCs w:val="28"/>
        </w:rPr>
        <w:t xml:space="preserve"> </w:t>
      </w:r>
    </w:p>
    <w:p w14:paraId="5242CFED" w14:textId="77777777" w:rsidR="00532C25" w:rsidRPr="00511005" w:rsidRDefault="00532C25" w:rsidP="003F6A5D">
      <w:pPr>
        <w:numPr>
          <w:ilvl w:val="0"/>
          <w:numId w:val="652"/>
        </w:numPr>
        <w:suppressAutoHyphens/>
        <w:autoSpaceDN w:val="0"/>
        <w:spacing w:line="264" w:lineRule="auto"/>
        <w:ind w:left="0" w:firstLine="720"/>
        <w:jc w:val="left"/>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Мельник М. І. Оперативно-розшукова діяльність: теорія і практика.</w:t>
      </w:r>
      <w:r w:rsidRPr="00511005">
        <w:rPr>
          <w:rFonts w:ascii="Arial" w:eastAsia="NSimSun" w:hAnsi="Arial" w:cs="Arial"/>
          <w:kern w:val="3"/>
          <w:szCs w:val="28"/>
          <w:lang w:eastAsia="zh-CN" w:bidi="hi-IN"/>
        </w:rPr>
        <w:t xml:space="preserve"> </w:t>
      </w:r>
      <w:r w:rsidRPr="00511005">
        <w:rPr>
          <w:rFonts w:ascii="Arial" w:eastAsia="NSimSun" w:hAnsi="Arial" w:cs="Arial"/>
          <w:kern w:val="3"/>
          <w:szCs w:val="28"/>
          <w:lang w:val="uk-UA" w:eastAsia="zh-CN" w:bidi="hi-IN"/>
        </w:rPr>
        <w:t>К.: Атіка, 2019.</w:t>
      </w:r>
    </w:p>
    <w:p w14:paraId="682F926F" w14:textId="77777777" w:rsidR="00532C25" w:rsidRPr="00511005" w:rsidRDefault="00532C25" w:rsidP="003F6A5D">
      <w:pPr>
        <w:numPr>
          <w:ilvl w:val="0"/>
          <w:numId w:val="652"/>
        </w:numPr>
        <w:suppressAutoHyphens/>
        <w:autoSpaceDN w:val="0"/>
        <w:spacing w:line="264" w:lineRule="auto"/>
        <w:ind w:left="0" w:firstLine="720"/>
        <w:jc w:val="left"/>
        <w:textAlignment w:val="baseline"/>
        <w:rPr>
          <w:rFonts w:ascii="Arial" w:eastAsia="NSimSun" w:hAnsi="Arial" w:cs="Arial"/>
          <w:kern w:val="3"/>
          <w:szCs w:val="28"/>
          <w:lang w:val="uk-UA" w:eastAsia="zh-CN" w:bidi="hi-IN"/>
        </w:rPr>
      </w:pPr>
      <w:r w:rsidRPr="00511005">
        <w:rPr>
          <w:rFonts w:ascii="Arial" w:eastAsia="NSimSun" w:hAnsi="Arial" w:cs="Arial"/>
          <w:kern w:val="3"/>
          <w:szCs w:val="28"/>
          <w:lang w:val="uk-UA" w:eastAsia="zh-CN" w:bidi="hi-IN"/>
        </w:rPr>
        <w:t>Справа</w:t>
      </w:r>
      <w:r w:rsidRPr="00511005">
        <w:rPr>
          <w:rFonts w:ascii="Arial" w:eastAsia="NSimSun" w:hAnsi="Arial" w:cs="Arial"/>
          <w:kern w:val="3"/>
          <w:szCs w:val="28"/>
          <w:lang w:val="pl-PL" w:eastAsia="zh-CN" w:bidi="hi-IN"/>
        </w:rPr>
        <w:t xml:space="preserve"> </w:t>
      </w:r>
      <w:r w:rsidRPr="00511005">
        <w:rPr>
          <w:rFonts w:ascii="Arial" w:eastAsia="NSimSun" w:hAnsi="Arial" w:cs="Arial"/>
          <w:kern w:val="3"/>
          <w:szCs w:val="28"/>
          <w:lang w:val="uk-UA" w:eastAsia="zh-CN" w:bidi="hi-IN"/>
        </w:rPr>
        <w:t xml:space="preserve">«Ramanauskas v. Lithuania», 2008. </w:t>
      </w:r>
      <w:r w:rsidRPr="00511005">
        <w:rPr>
          <w:rFonts w:ascii="Arial" w:eastAsia="Times New Roman" w:hAnsi="Arial" w:cs="Arial"/>
          <w:szCs w:val="28"/>
          <w:lang w:val="uk-UA" w:eastAsia="ru-RU" w:bidi="hi-IN"/>
        </w:rPr>
        <w:t>URL:</w:t>
      </w:r>
      <w:r w:rsidRPr="00511005">
        <w:rPr>
          <w:rFonts w:ascii="Arial" w:eastAsia="Times New Roman" w:hAnsi="Arial" w:cs="Arial"/>
          <w:szCs w:val="28"/>
          <w:lang w:val="pl-PL" w:eastAsia="ru-RU" w:bidi="hi-IN"/>
        </w:rPr>
        <w:t xml:space="preserve"> </w:t>
      </w:r>
      <w:r w:rsidR="005938AD">
        <w:fldChar w:fldCharType="begin"/>
      </w:r>
      <w:r w:rsidR="005938AD" w:rsidRPr="00C2797E">
        <w:rPr>
          <w:lang w:val="en-US"/>
        </w:rPr>
        <w:instrText xml:space="preserve"> HYPERLINK "https://hudoc.echr.coe.int/eng" \l "{\"itemid\":[\"001-68969\"]}" </w:instrText>
      </w:r>
      <w:r w:rsidR="005938AD">
        <w:fldChar w:fldCharType="separate"/>
      </w:r>
      <w:r w:rsidRPr="00511005">
        <w:rPr>
          <w:rFonts w:ascii="Arial" w:eastAsia="NSimSun" w:hAnsi="Arial" w:cs="Arial"/>
          <w:kern w:val="3"/>
          <w:szCs w:val="28"/>
          <w:lang w:val="uk-UA" w:eastAsia="zh-CN" w:bidi="hi-IN"/>
        </w:rPr>
        <w:t>https://hudoc.echr.coe.int/eng#{«itemid»:[«001-68969»]}</w:t>
      </w:r>
      <w:r w:rsidR="005938AD">
        <w:rPr>
          <w:rFonts w:ascii="Arial" w:eastAsia="NSimSun" w:hAnsi="Arial" w:cs="Arial"/>
          <w:kern w:val="3"/>
          <w:szCs w:val="28"/>
          <w:lang w:val="uk-UA" w:eastAsia="zh-CN" w:bidi="hi-IN"/>
        </w:rPr>
        <w:fldChar w:fldCharType="end"/>
      </w:r>
    </w:p>
    <w:p w14:paraId="04119647" w14:textId="77777777" w:rsidR="00532C25" w:rsidRPr="00511005" w:rsidRDefault="00532C25" w:rsidP="00532C25">
      <w:pPr>
        <w:keepNext/>
        <w:widowControl w:val="0"/>
        <w:spacing w:line="264" w:lineRule="auto"/>
        <w:ind w:firstLine="720"/>
        <w:rPr>
          <w:rFonts w:ascii="Arial" w:eastAsia="Times New Roman" w:hAnsi="Arial" w:cs="Arial"/>
          <w:b/>
          <w:bCs/>
          <w:szCs w:val="28"/>
          <w:lang w:val="uk-UA" w:eastAsia="ru-RU"/>
        </w:rPr>
      </w:pPr>
      <w:r w:rsidRPr="00511005">
        <w:rPr>
          <w:rFonts w:ascii="Arial" w:eastAsia="Times New Roman" w:hAnsi="Arial" w:cs="Arial"/>
          <w:b/>
          <w:bCs/>
          <w:i/>
          <w:szCs w:val="28"/>
          <w:lang w:val="uk-UA" w:eastAsia="ru-RU"/>
        </w:rPr>
        <w:t xml:space="preserve">Ключові слова: </w:t>
      </w:r>
      <w:r w:rsidRPr="00511005">
        <w:rPr>
          <w:rFonts w:ascii="Arial" w:eastAsia="Times New Roman" w:hAnsi="Arial" w:cs="Arial"/>
          <w:szCs w:val="28"/>
          <w:lang w:val="uk-UA" w:eastAsia="ru-RU"/>
        </w:rPr>
        <w:t>конфіденційне співробітництво, оперативно-розшукова діяльність, інформація, конфідент, конфіденційний співробітник.</w:t>
      </w:r>
    </w:p>
    <w:p w14:paraId="31BECF20" w14:textId="77777777" w:rsidR="00532C25" w:rsidRPr="00511005" w:rsidRDefault="00532C25" w:rsidP="00532C25">
      <w:pPr>
        <w:keepNext/>
        <w:widowControl w:val="0"/>
        <w:spacing w:line="264" w:lineRule="auto"/>
        <w:ind w:firstLine="720"/>
        <w:rPr>
          <w:rFonts w:ascii="Arial" w:eastAsia="Times New Roman" w:hAnsi="Arial" w:cs="Arial"/>
          <w:b/>
          <w:bCs/>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confidential cooperation, operational and investigative activities, information, confidential, confidential employee.</w:t>
      </w:r>
    </w:p>
    <w:p w14:paraId="001CD459" w14:textId="77777777" w:rsidR="00532C25" w:rsidRPr="00511005" w:rsidRDefault="00532C25" w:rsidP="00532C25">
      <w:pPr>
        <w:keepNext/>
        <w:widowControl w:val="0"/>
        <w:spacing w:line="264" w:lineRule="auto"/>
        <w:ind w:firstLine="720"/>
        <w:rPr>
          <w:rFonts w:ascii="Arial" w:eastAsia="Times New Roman" w:hAnsi="Arial" w:cs="Arial"/>
          <w:b/>
          <w:bCs/>
          <w:szCs w:val="28"/>
          <w:lang w:eastAsia="ru-RU"/>
        </w:rPr>
      </w:pPr>
      <w:r w:rsidRPr="00511005">
        <w:rPr>
          <w:rFonts w:ascii="Arial" w:eastAsia="Times New Roman" w:hAnsi="Arial" w:cs="Arial"/>
          <w:b/>
          <w:i/>
          <w:iCs/>
          <w:szCs w:val="28"/>
          <w:lang w:eastAsia="ru-RU"/>
        </w:rPr>
        <w:t xml:space="preserve">Науковий керівник: </w:t>
      </w:r>
      <w:r w:rsidRPr="00511005">
        <w:rPr>
          <w:rFonts w:ascii="Arial" w:eastAsia="Times New Roman" w:hAnsi="Arial" w:cs="Arial"/>
          <w:i/>
          <w:iCs/>
          <w:szCs w:val="28"/>
          <w:lang w:eastAsia="ru-RU"/>
        </w:rPr>
        <w:t>д.ю.н., завідувач кафедри, професор Аркуша Л.І.</w:t>
      </w:r>
    </w:p>
    <w:p w14:paraId="6D0B0603" w14:textId="77777777" w:rsidR="00532C25" w:rsidRPr="00511005" w:rsidRDefault="00532C25" w:rsidP="00532C25">
      <w:pPr>
        <w:suppressAutoHyphens/>
        <w:autoSpaceDN w:val="0"/>
        <w:spacing w:line="264" w:lineRule="auto"/>
        <w:ind w:firstLine="720"/>
        <w:textAlignment w:val="baseline"/>
        <w:rPr>
          <w:rFonts w:ascii="Arial" w:eastAsia="NSimSun" w:hAnsi="Arial" w:cs="Arial"/>
          <w:kern w:val="3"/>
          <w:szCs w:val="28"/>
          <w:lang w:val="uk-UA" w:eastAsia="zh-CN" w:bidi="hi-IN"/>
        </w:rPr>
      </w:pPr>
    </w:p>
    <w:p w14:paraId="5AF29D52" w14:textId="77777777" w:rsidR="00532C25" w:rsidRPr="00511005" w:rsidRDefault="00532C25" w:rsidP="00532C25">
      <w:pPr>
        <w:spacing w:line="264" w:lineRule="auto"/>
        <w:ind w:right="1134" w:firstLine="0"/>
        <w:jc w:val="left"/>
        <w:rPr>
          <w:rFonts w:ascii="Arial" w:eastAsia="Calibri" w:hAnsi="Arial" w:cs="Arial"/>
          <w:i/>
          <w:szCs w:val="28"/>
        </w:rPr>
      </w:pPr>
    </w:p>
    <w:p w14:paraId="288A4129" w14:textId="77777777" w:rsidR="00532C25" w:rsidRPr="00511005" w:rsidRDefault="00532C25" w:rsidP="00532C25">
      <w:pPr>
        <w:spacing w:line="264" w:lineRule="auto"/>
        <w:ind w:right="1134" w:firstLine="720"/>
        <w:jc w:val="center"/>
        <w:rPr>
          <w:rFonts w:ascii="Arial" w:eastAsia="Calibri" w:hAnsi="Arial" w:cs="Arial"/>
          <w:b/>
          <w:bCs/>
          <w:i/>
          <w:szCs w:val="28"/>
        </w:rPr>
      </w:pPr>
      <w:r w:rsidRPr="00511005">
        <w:rPr>
          <w:rFonts w:ascii="Arial" w:eastAsia="Calibri" w:hAnsi="Arial" w:cs="Arial"/>
          <w:b/>
          <w:bCs/>
          <w:i/>
          <w:szCs w:val="28"/>
        </w:rPr>
        <w:t>Черняк Андрій Юрійович</w:t>
      </w:r>
    </w:p>
    <w:p w14:paraId="5AF28AB9"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3-го курсу </w:t>
      </w:r>
    </w:p>
    <w:p w14:paraId="25C0CA5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01EBA4D"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5DE083E" w14:textId="77777777" w:rsidR="00532C25" w:rsidRPr="00511005" w:rsidRDefault="00532C25" w:rsidP="00532C25">
      <w:pPr>
        <w:spacing w:line="264" w:lineRule="auto"/>
        <w:ind w:firstLine="720"/>
        <w:jc w:val="left"/>
        <w:rPr>
          <w:rFonts w:ascii="Arial" w:eastAsia="Calibri" w:hAnsi="Arial" w:cs="Arial"/>
          <w:b/>
          <w:bCs/>
          <w:i/>
          <w:szCs w:val="28"/>
        </w:rPr>
      </w:pPr>
    </w:p>
    <w:p w14:paraId="11EF1E80"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rPr>
        <w:t>ОСОБЛИВОСТІ ТАКТИКИ ПРОВЕДЕННЯ ДОПИТУ НЕПОВНОЛІТНІХ ОСІБ</w:t>
      </w:r>
    </w:p>
    <w:p w14:paraId="1D71BE2A"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bCs/>
          <w:szCs w:val="28"/>
        </w:rPr>
        <w:t>Допит є однією з ключових слідчих дій у кримінальному провадженні, метою якого є отримання достовірних показань. Особливої уваги потребує саме допит неповнолітніх осіб, оскільки ця категорія допитуваних є досить-таки психологічно вразливою, що ускладнює процес отримання від них правдивої інформації та потребує спеціального підходу. Вразливість неповнолітніх та їх психологічні особливості вимагають від уповноваженої службової особи, яка проводить таку слідчу дію, застосування спеціальних методів, підходів та тактичних прийомів. Це й обумовлює актуальність досліджуваної теми.</w:t>
      </w:r>
    </w:p>
    <w:p w14:paraId="2F99046F"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bCs/>
          <w:szCs w:val="28"/>
        </w:rPr>
        <w:t>Для дослідження особливостей тактики проведення допиту неповнолітніх осіб спершу потрібно визначити сутність поняття допиту, його загальні положення, а також встановити хто саме належить до категорії неповнолітніх.</w:t>
      </w:r>
    </w:p>
    <w:p w14:paraId="1C4BF27D"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bCs/>
          <w:szCs w:val="28"/>
        </w:rPr>
        <w:t>Допит - це слідча (розшукова) дія, що полягає в отриманні й фіксації у встановленому процесуальному порядку показань свідків, потерпілих, підозрюваних, про відомі їм факти, що мають значення для кримінального провадження.[2]</w:t>
      </w:r>
    </w:p>
    <w:p w14:paraId="28A268EC"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bCs/>
          <w:szCs w:val="28"/>
        </w:rPr>
        <w:lastRenderedPageBreak/>
        <w:t>Допит неповнолітньої особи не може продовжуватися без перерви понад одну годину, а загалом - понад дві години на день.</w:t>
      </w:r>
    </w:p>
    <w:p w14:paraId="799FF275"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bCs/>
          <w:szCs w:val="28"/>
        </w:rPr>
        <w:t>Кримінально-процесуальне законодавство досить чітко визначає межі, коли особа являється неповнолітньою. Згідно п. 12 ч. 2 ст. 3 КПК України: «неповнолітня особа – це малолітня особа, а також дитина у віці від чотирнадцяти до вісімнадцяти років».[1]</w:t>
      </w:r>
    </w:p>
    <w:p w14:paraId="082572B6"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bCs/>
          <w:szCs w:val="28"/>
        </w:rPr>
        <w:t>Перед тим, як почати проводити допит неповнолітнього, слідчий повинен з’ясувати до якої вікової групи належить особа, адже кожній з них притаманні певні вікові особливості, а також процесуальний статус допитуваної особи.</w:t>
      </w:r>
    </w:p>
    <w:p w14:paraId="1FAE5B81" w14:textId="77777777" w:rsidR="00532C25" w:rsidRPr="00511005" w:rsidRDefault="00532C25" w:rsidP="00532C25">
      <w:pPr>
        <w:spacing w:line="264" w:lineRule="auto"/>
        <w:ind w:firstLine="720"/>
        <w:rPr>
          <w:rFonts w:ascii="Arial" w:eastAsia="Calibri" w:hAnsi="Arial" w:cs="Arial"/>
          <w:b/>
          <w:szCs w:val="28"/>
        </w:rPr>
      </w:pPr>
      <w:r w:rsidRPr="00511005">
        <w:rPr>
          <w:rFonts w:ascii="Arial" w:eastAsia="Calibri" w:hAnsi="Arial" w:cs="Arial"/>
          <w:szCs w:val="28"/>
        </w:rPr>
        <w:t>Вікові особливості – це сукупність взаємопов’язаних типових для цього віку процесів, станів і властивостей, що виявляються у поведінці та вказують на загальну спрямованість розвитку особи [3].</w:t>
      </w:r>
    </w:p>
    <w:p w14:paraId="7EF91DDB" w14:textId="77777777" w:rsidR="00532C25" w:rsidRPr="00511005" w:rsidRDefault="00532C25" w:rsidP="00532C25">
      <w:pPr>
        <w:spacing w:line="264" w:lineRule="auto"/>
        <w:ind w:firstLine="720"/>
        <w:rPr>
          <w:rFonts w:ascii="Arial" w:eastAsia="Times New Roman" w:hAnsi="Arial" w:cs="Arial"/>
          <w:b/>
          <w:szCs w:val="28"/>
          <w:lang w:eastAsia="uk-UA"/>
        </w:rPr>
      </w:pPr>
      <w:r w:rsidRPr="00511005">
        <w:rPr>
          <w:rFonts w:ascii="Arial" w:eastAsia="Calibri" w:hAnsi="Arial" w:cs="Arial"/>
          <w:szCs w:val="28"/>
        </w:rPr>
        <w:t xml:space="preserve">Перша група, яка підпає у вікові межі </w:t>
      </w:r>
      <w:r w:rsidRPr="00511005">
        <w:rPr>
          <w:rFonts w:ascii="Arial" w:eastAsia="Times New Roman" w:hAnsi="Arial" w:cs="Arial"/>
          <w:szCs w:val="28"/>
          <w:lang w:eastAsia="uk-UA"/>
        </w:rPr>
        <w:t>– дошкільний вік (в межах 6-9 років), особи такого віку відзначаються кмітливістю та схильністю до деталізованого сприйняття. Можуть максимально точно відтворити події, які вони спостерігали, крім того, звертають увагу на деталі, непомітні для дорослих. Однак через недостатній розвиток послідовного логічного мислення їхні відповіді зазвичай прості й обмежуються лише зрозумілими їм запитаннями.</w:t>
      </w:r>
    </w:p>
    <w:p w14:paraId="35FB4B07" w14:textId="77777777" w:rsidR="00532C25" w:rsidRPr="00511005" w:rsidRDefault="00532C25" w:rsidP="00532C25">
      <w:pPr>
        <w:spacing w:line="264" w:lineRule="auto"/>
        <w:ind w:firstLine="720"/>
        <w:rPr>
          <w:rFonts w:ascii="Arial" w:eastAsia="Times New Roman" w:hAnsi="Arial" w:cs="Arial"/>
          <w:b/>
          <w:szCs w:val="28"/>
          <w:lang w:eastAsia="uk-UA"/>
        </w:rPr>
      </w:pPr>
      <w:r w:rsidRPr="00511005">
        <w:rPr>
          <w:rFonts w:ascii="Arial" w:eastAsia="Times New Roman" w:hAnsi="Arial" w:cs="Arial"/>
          <w:szCs w:val="28"/>
          <w:lang w:eastAsia="uk-UA"/>
        </w:rPr>
        <w:t>Молодший шкільний вік (10-13 років). Характеризується підвищеною схильністю до фантазування та навіювань. Ці особливості слід враховувати під час допиту та при оцінці достовірності їхніх показань.</w:t>
      </w:r>
    </w:p>
    <w:p w14:paraId="047A17C0" w14:textId="77777777" w:rsidR="00532C25" w:rsidRPr="00511005" w:rsidRDefault="00532C25" w:rsidP="00532C25">
      <w:pPr>
        <w:spacing w:line="264" w:lineRule="auto"/>
        <w:ind w:firstLine="720"/>
        <w:rPr>
          <w:rFonts w:ascii="Arial" w:eastAsia="Calibri" w:hAnsi="Arial" w:cs="Arial"/>
          <w:b/>
          <w:szCs w:val="28"/>
        </w:rPr>
      </w:pPr>
      <w:r w:rsidRPr="00511005">
        <w:rPr>
          <w:rFonts w:ascii="Arial" w:eastAsia="Calibri" w:hAnsi="Arial" w:cs="Arial"/>
          <w:szCs w:val="28"/>
        </w:rPr>
        <w:t xml:space="preserve">Наступною групою вважать підлітковий вік (14-16 років). Дана група першим чином характеризується саме почуттям дорослості, особа сприймає себе як повнолітнього і вимагає відповідного ставлення до себе. Також проявляється прагнення до самостійності, тобто підліток хоче приймати рішення </w:t>
      </w:r>
      <w:proofErr w:type="gramStart"/>
      <w:r w:rsidRPr="00511005">
        <w:rPr>
          <w:rFonts w:ascii="Arial" w:eastAsia="Calibri" w:hAnsi="Arial" w:cs="Arial"/>
          <w:szCs w:val="28"/>
        </w:rPr>
        <w:t>без контролю</w:t>
      </w:r>
      <w:proofErr w:type="gramEnd"/>
      <w:r w:rsidRPr="00511005">
        <w:rPr>
          <w:rFonts w:ascii="Arial" w:eastAsia="Calibri" w:hAnsi="Arial" w:cs="Arial"/>
          <w:szCs w:val="28"/>
        </w:rPr>
        <w:t xml:space="preserve"> з боку дорослих, а от нести відповідальність – не дуже. У допитуваного посилена емоційність, критичність до старших, він оцінює поведінку, висловлює свою незгоду, що в подальшому призводить </w:t>
      </w:r>
      <w:proofErr w:type="gramStart"/>
      <w:r w:rsidRPr="00511005">
        <w:rPr>
          <w:rFonts w:ascii="Arial" w:eastAsia="Calibri" w:hAnsi="Arial" w:cs="Arial"/>
          <w:szCs w:val="28"/>
        </w:rPr>
        <w:t>до опору</w:t>
      </w:r>
      <w:proofErr w:type="gramEnd"/>
      <w:r w:rsidRPr="00511005">
        <w:rPr>
          <w:rFonts w:ascii="Arial" w:eastAsia="Calibri" w:hAnsi="Arial" w:cs="Arial"/>
          <w:szCs w:val="28"/>
        </w:rPr>
        <w:t xml:space="preserve"> та протидії допиту.</w:t>
      </w:r>
    </w:p>
    <w:p w14:paraId="5AEDC9CF"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szCs w:val="28"/>
        </w:rPr>
        <w:t xml:space="preserve">Рання юність (17-18 років). </w:t>
      </w:r>
      <w:r w:rsidRPr="00511005">
        <w:rPr>
          <w:rFonts w:ascii="Arial" w:eastAsia="Calibri" w:hAnsi="Arial" w:cs="Arial"/>
          <w:bCs/>
          <w:szCs w:val="28"/>
        </w:rPr>
        <w:t>Надзвичайно велику роль у житті особи юнацького віку відіграють компанії ровесників. Паралельно з цим у неї розвивається схильність до мрійливості та романтичних переживань. Активно відбуваються пошуки друга, подруги.[4]</w:t>
      </w:r>
    </w:p>
    <w:p w14:paraId="6F63F8B7" w14:textId="77777777" w:rsidR="00532C25" w:rsidRPr="00511005" w:rsidRDefault="00532C25" w:rsidP="00532C25">
      <w:pPr>
        <w:spacing w:line="264" w:lineRule="auto"/>
        <w:ind w:firstLine="720"/>
        <w:rPr>
          <w:rFonts w:ascii="Arial" w:eastAsia="Calibri" w:hAnsi="Arial" w:cs="Arial"/>
          <w:b/>
          <w:szCs w:val="28"/>
        </w:rPr>
      </w:pPr>
      <w:r w:rsidRPr="00511005">
        <w:rPr>
          <w:rFonts w:ascii="Arial" w:eastAsia="Calibri" w:hAnsi="Arial" w:cs="Arial"/>
          <w:szCs w:val="28"/>
        </w:rPr>
        <w:t xml:space="preserve">Тобто, особа обирає собі авторитета, на базі поведінки якого вона буде намагатися будувати своє подальше життя. </w:t>
      </w:r>
    </w:p>
    <w:p w14:paraId="6949819C" w14:textId="77777777" w:rsidR="00532C25" w:rsidRPr="00511005" w:rsidRDefault="00532C25" w:rsidP="00532C25">
      <w:pPr>
        <w:spacing w:line="264" w:lineRule="auto"/>
        <w:ind w:firstLine="720"/>
        <w:rPr>
          <w:rFonts w:ascii="Arial" w:eastAsia="Calibri" w:hAnsi="Arial" w:cs="Arial"/>
          <w:b/>
          <w:szCs w:val="28"/>
        </w:rPr>
      </w:pPr>
      <w:r w:rsidRPr="00511005">
        <w:rPr>
          <w:rFonts w:ascii="Arial" w:eastAsia="Calibri" w:hAnsi="Arial" w:cs="Arial"/>
          <w:szCs w:val="28"/>
        </w:rPr>
        <w:t xml:space="preserve">Після того, як слідчий визначить вік та психологічний стан, потрібно забезпечити присутність законних представників під час проведення слідчої дії. До законних представників можна віднести: батьків, опікунів, педагогів, психологів та захисників. Дане положення окреслене в ч. 1 ст. 226 КПК України. Як правило, обирають тих осіб, які мають авторитет і довіру </w:t>
      </w:r>
      <w:r w:rsidRPr="00511005">
        <w:rPr>
          <w:rFonts w:ascii="Arial" w:eastAsia="Calibri" w:hAnsi="Arial" w:cs="Arial"/>
          <w:szCs w:val="28"/>
        </w:rPr>
        <w:lastRenderedPageBreak/>
        <w:t xml:space="preserve">неповнолітнього, і можуть допомогти з встановленням контакту. Слідчий, в свою чергу повинен з’ясувати, ким є особа, яка виступає в ролі представника і чи не впливатиме вона на неповнолітнього у власних інтересах. Також на початковому етапі уповноваженій службовій особі, потрібно виділити час на знаходження місця для проведення допиту: школа, дім, особистий робочий кабінет, щоб мінімізувати зайвий психологічний тиск на неповнолітнього. Крім того, по можливості має бути складений план, який визначає основні питання та послідовність їх викладення, але важливо пам’ятати, що вони мають бути простими та доступними для неповнолітнього. Також, щоб отримати від такої слідчої дії бажаний результат, уповноважена службова особа повинна вивчити особистість, умови його життя, а також те, як він ставиться </w:t>
      </w:r>
      <w:proofErr w:type="gramStart"/>
      <w:r w:rsidRPr="00511005">
        <w:rPr>
          <w:rFonts w:ascii="Arial" w:eastAsia="Calibri" w:hAnsi="Arial" w:cs="Arial"/>
          <w:szCs w:val="28"/>
        </w:rPr>
        <w:t>до предмету</w:t>
      </w:r>
      <w:proofErr w:type="gramEnd"/>
      <w:r w:rsidRPr="00511005">
        <w:rPr>
          <w:rFonts w:ascii="Arial" w:eastAsia="Calibri" w:hAnsi="Arial" w:cs="Arial"/>
          <w:szCs w:val="28"/>
        </w:rPr>
        <w:t xml:space="preserve"> допиту або допитуваних осіб.</w:t>
      </w:r>
    </w:p>
    <w:p w14:paraId="43FE24B3" w14:textId="77777777" w:rsidR="00532C25" w:rsidRPr="00511005" w:rsidRDefault="00532C25" w:rsidP="00532C25">
      <w:pPr>
        <w:spacing w:line="264" w:lineRule="auto"/>
        <w:ind w:firstLine="720"/>
        <w:rPr>
          <w:rFonts w:ascii="Arial" w:eastAsia="Calibri" w:hAnsi="Arial" w:cs="Arial"/>
          <w:b/>
          <w:szCs w:val="28"/>
        </w:rPr>
      </w:pPr>
      <w:r w:rsidRPr="00511005">
        <w:rPr>
          <w:rFonts w:ascii="Arial" w:eastAsia="Calibri" w:hAnsi="Arial" w:cs="Arial"/>
          <w:szCs w:val="28"/>
        </w:rPr>
        <w:t>Наступний етап, етап безпосереднього допиту. Під час нього відбувається отримання основної інформації, яка цікавить орган досудового розслідування. І в основному характеризується такою тактикою, як розмова у вільній формі, шляхом постановки запитань, які в контексті є деталізуючими, нагадуючими. Дані питання спрямовуються знову ж таки на встановлення психологічного контакту, тобто, щоб встановити потрібний контакт, слідчому треба показати певну «свойскість», адже від цього залежить безпосередній авторитет правоохоронця, яким він може впливати на неповнолітнього.</w:t>
      </w:r>
    </w:p>
    <w:p w14:paraId="07D2B781"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szCs w:val="28"/>
        </w:rPr>
        <w:t xml:space="preserve">Заключний етап. </w:t>
      </w:r>
      <w:r w:rsidRPr="00511005">
        <w:rPr>
          <w:rFonts w:ascii="Arial" w:eastAsia="Calibri" w:hAnsi="Arial" w:cs="Arial"/>
          <w:bCs/>
          <w:szCs w:val="28"/>
        </w:rPr>
        <w:t xml:space="preserve">Відповідно до положень КПК України, передбачено, що після закінчення проведення допиту складається протокол, який не потребує особливих вимог щодо застосування спеціальної тактики. Такий протокол складається відповідно до загальних положень з невеликою кількістю відмінностей. </w:t>
      </w:r>
    </w:p>
    <w:p w14:paraId="39D6867D"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bCs/>
          <w:szCs w:val="28"/>
        </w:rPr>
        <w:t xml:space="preserve">По-перше, в протоколі не зазначається положення щодо кримінальної відповідальність за відмову від дачі показань або за дачу завідомо неправдивих свідчень особами, які не досягли 16-річного віку. Проте уповноважена службова особа повинна роз’яснити неповнолітньому, що надання правдивих показань є її громадським обов’язком, виконавши який, вона допоможе слідству. </w:t>
      </w:r>
    </w:p>
    <w:p w14:paraId="75F22CD8" w14:textId="77777777" w:rsidR="00532C25" w:rsidRPr="00511005" w:rsidRDefault="00532C25" w:rsidP="00532C25">
      <w:pPr>
        <w:spacing w:line="264" w:lineRule="auto"/>
        <w:ind w:firstLine="720"/>
        <w:rPr>
          <w:rFonts w:ascii="Arial" w:eastAsia="Calibri" w:hAnsi="Arial" w:cs="Arial"/>
          <w:b/>
          <w:bCs/>
          <w:szCs w:val="28"/>
        </w:rPr>
      </w:pPr>
      <w:proofErr w:type="gramStart"/>
      <w:r w:rsidRPr="00511005">
        <w:rPr>
          <w:rFonts w:ascii="Arial" w:eastAsia="Calibri" w:hAnsi="Arial" w:cs="Arial"/>
          <w:bCs/>
          <w:szCs w:val="28"/>
        </w:rPr>
        <w:t>По-друге</w:t>
      </w:r>
      <w:proofErr w:type="gramEnd"/>
      <w:r w:rsidRPr="00511005">
        <w:rPr>
          <w:rFonts w:ascii="Arial" w:eastAsia="Calibri" w:hAnsi="Arial" w:cs="Arial"/>
          <w:bCs/>
          <w:szCs w:val="28"/>
        </w:rPr>
        <w:t xml:space="preserve">, ч. 3 ст. 104 КПК України закріплює: «Якщо за допомогою технічних засобів фіксується допит, текст показань може не вноситися до відповідного протоколу за умови, що жоден з учасників процесуальної дії не наполягає на цьому. У такому разі в протоколі зазначають, що показання зафіксовані на носії інформації, який додається до нього».[1] </w:t>
      </w:r>
    </w:p>
    <w:p w14:paraId="66AF4697"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bCs/>
          <w:szCs w:val="28"/>
        </w:rPr>
        <w:t xml:space="preserve">Під час допиту неповнолітніх осіб доцільно використовувати аудіо-, відеофіксацію, результати цих записів додають </w:t>
      </w:r>
      <w:proofErr w:type="gramStart"/>
      <w:r w:rsidRPr="00511005">
        <w:rPr>
          <w:rFonts w:ascii="Arial" w:eastAsia="Calibri" w:hAnsi="Arial" w:cs="Arial"/>
          <w:bCs/>
          <w:szCs w:val="28"/>
        </w:rPr>
        <w:t>до протоколу</w:t>
      </w:r>
      <w:proofErr w:type="gramEnd"/>
      <w:r w:rsidRPr="00511005">
        <w:rPr>
          <w:rFonts w:ascii="Arial" w:eastAsia="Calibri" w:hAnsi="Arial" w:cs="Arial"/>
          <w:bCs/>
          <w:szCs w:val="28"/>
        </w:rPr>
        <w:t xml:space="preserve"> як додаток. Вони надають можливість точніше зафіксувати не лише показання, а й емоційний стан особи допитуваного, його невербальні реакції.</w:t>
      </w:r>
    </w:p>
    <w:p w14:paraId="6D33ECE3"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bCs/>
          <w:szCs w:val="28"/>
        </w:rPr>
        <w:lastRenderedPageBreak/>
        <w:t>Отже, підсумовуючи викладений матеріал, можна стверджувати, що допиту неповнолітньої особи є не лише складною процесуальною, а й тактичною слідчою дією, яка вимагає від правоохоронця ретельної підготовки. І дотримання всіх перечислених тактичних дій, сприятимуть отриманню достовірних та об’єктивних показань, які можуть мати ключове значення для кримінального провадження. Ефективність допиту неповнолітніх значною мірою залежить від професіоналізму слідчого, застосування спеціальних тактичних прийомів і забезпечення психологічного комфорту дитини.</w:t>
      </w:r>
    </w:p>
    <w:p w14:paraId="7C13BF17" w14:textId="77777777" w:rsidR="00532C25" w:rsidRPr="00511005" w:rsidRDefault="00532C25" w:rsidP="00532C25">
      <w:pPr>
        <w:spacing w:line="264" w:lineRule="auto"/>
        <w:ind w:firstLine="720"/>
        <w:rPr>
          <w:rFonts w:ascii="Arial" w:eastAsia="Calibri" w:hAnsi="Arial" w:cs="Arial"/>
          <w:b/>
          <w:bCs/>
          <w:szCs w:val="28"/>
        </w:rPr>
      </w:pPr>
    </w:p>
    <w:p w14:paraId="1C96D4A9" w14:textId="77777777" w:rsidR="00532C25" w:rsidRPr="00511005" w:rsidRDefault="00532C25" w:rsidP="00532C25">
      <w:pPr>
        <w:spacing w:line="264" w:lineRule="auto"/>
        <w:ind w:firstLine="720"/>
        <w:jc w:val="center"/>
        <w:rPr>
          <w:rFonts w:ascii="Arial" w:eastAsia="Calibri" w:hAnsi="Arial" w:cs="Arial"/>
          <w:szCs w:val="28"/>
        </w:rPr>
      </w:pPr>
      <w:r w:rsidRPr="00511005">
        <w:rPr>
          <w:rFonts w:ascii="Arial" w:eastAsia="Calibri" w:hAnsi="Arial" w:cs="Arial"/>
          <w:b/>
          <w:szCs w:val="28"/>
          <w:lang w:val="uk-UA"/>
        </w:rPr>
        <w:t>Список використаних джерел</w:t>
      </w:r>
    </w:p>
    <w:p w14:paraId="6169223F" w14:textId="77777777" w:rsidR="00532C25" w:rsidRPr="00511005" w:rsidRDefault="00532C25" w:rsidP="00532C25">
      <w:pPr>
        <w:spacing w:line="264" w:lineRule="auto"/>
        <w:ind w:firstLine="720"/>
        <w:rPr>
          <w:rFonts w:ascii="Arial" w:eastAsia="Calibri" w:hAnsi="Arial" w:cs="Arial"/>
          <w:b/>
          <w:szCs w:val="28"/>
        </w:rPr>
      </w:pPr>
      <w:r w:rsidRPr="00511005">
        <w:rPr>
          <w:rFonts w:ascii="Arial" w:eastAsia="Calibri" w:hAnsi="Arial" w:cs="Arial"/>
          <w:szCs w:val="28"/>
        </w:rPr>
        <w:t xml:space="preserve">1. </w:t>
      </w:r>
      <w:r w:rsidRPr="00511005">
        <w:rPr>
          <w:rFonts w:ascii="Arial" w:eastAsia="Calibri" w:hAnsi="Arial" w:cs="Arial"/>
          <w:bCs/>
          <w:szCs w:val="28"/>
        </w:rPr>
        <w:t xml:space="preserve">Кримінально-процесуальний кодекс України: Закон України від 13.04.2012 р. № 4651-VI. </w:t>
      </w:r>
      <w:r w:rsidRPr="00511005">
        <w:rPr>
          <w:rFonts w:ascii="Arial" w:eastAsia="Calibri" w:hAnsi="Arial" w:cs="Arial"/>
          <w:bCs/>
          <w:szCs w:val="28"/>
          <w:lang w:val="en-US"/>
        </w:rPr>
        <w:t>URL</w:t>
      </w:r>
      <w:r w:rsidRPr="00511005">
        <w:rPr>
          <w:rFonts w:ascii="Arial" w:eastAsia="Calibri" w:hAnsi="Arial" w:cs="Arial"/>
          <w:bCs/>
          <w:szCs w:val="28"/>
        </w:rPr>
        <w:t>:</w:t>
      </w:r>
      <w:r w:rsidRPr="00511005">
        <w:rPr>
          <w:rFonts w:ascii="Arial" w:eastAsia="Calibri" w:hAnsi="Arial" w:cs="Arial"/>
          <w:szCs w:val="28"/>
        </w:rPr>
        <w:t xml:space="preserve"> </w:t>
      </w:r>
      <w:hyperlink r:id="rId2039" w:anchor="Text" w:history="1">
        <w:r w:rsidRPr="00511005">
          <w:rPr>
            <w:rFonts w:ascii="Arial" w:eastAsia="Calibri" w:hAnsi="Arial" w:cs="Arial"/>
            <w:szCs w:val="28"/>
          </w:rPr>
          <w:t>https://zakon.rada.gov.ua/laws/show/4651-17#Text</w:t>
        </w:r>
      </w:hyperlink>
    </w:p>
    <w:p w14:paraId="1953B656" w14:textId="77777777" w:rsidR="00532C25" w:rsidRPr="00511005" w:rsidRDefault="00532C25" w:rsidP="00532C25">
      <w:pPr>
        <w:spacing w:line="264" w:lineRule="auto"/>
        <w:ind w:firstLine="720"/>
        <w:rPr>
          <w:rFonts w:ascii="Arial" w:eastAsia="Calibri" w:hAnsi="Arial" w:cs="Arial"/>
          <w:b/>
          <w:bCs/>
          <w:szCs w:val="28"/>
          <w:lang w:val="pl-PL"/>
        </w:rPr>
      </w:pPr>
      <w:r w:rsidRPr="00511005">
        <w:rPr>
          <w:rFonts w:ascii="Arial" w:eastAsia="Calibri" w:hAnsi="Arial" w:cs="Arial"/>
          <w:szCs w:val="28"/>
        </w:rPr>
        <w:t xml:space="preserve">2. </w:t>
      </w:r>
      <w:r w:rsidRPr="00511005">
        <w:rPr>
          <w:rFonts w:ascii="Arial" w:eastAsia="Calibri" w:hAnsi="Arial" w:cs="Arial"/>
          <w:bCs/>
          <w:szCs w:val="28"/>
        </w:rPr>
        <w:t xml:space="preserve">Криміналістика : навч.-метод. посіб. для підготовки здобувачів вищої освіти ступеня «бакалавр» на ф-ті прокурат. та слідства (кримінал. юстиції) НУ «Одес. юрид. академія», галузь знань 08 «Право», спец. 081 «Право» / Л. І. Аркуша, В. В. Тіщенко, Ю. О. Гресь [та ін.] ; НУ «ОЮА». – 5-те вид., випр. і доп. – </w:t>
      </w:r>
      <w:proofErr w:type="gramStart"/>
      <w:r w:rsidRPr="00511005">
        <w:rPr>
          <w:rFonts w:ascii="Arial" w:eastAsia="Calibri" w:hAnsi="Arial" w:cs="Arial"/>
          <w:bCs/>
          <w:szCs w:val="28"/>
        </w:rPr>
        <w:t>Одеса :</w:t>
      </w:r>
      <w:proofErr w:type="gramEnd"/>
      <w:r w:rsidRPr="00511005">
        <w:rPr>
          <w:rFonts w:ascii="Arial" w:eastAsia="Calibri" w:hAnsi="Arial" w:cs="Arial"/>
          <w:bCs/>
          <w:szCs w:val="28"/>
        </w:rPr>
        <w:t xml:space="preserve"> Фенікс, 2024. – 286с. </w:t>
      </w:r>
      <w:r w:rsidRPr="00511005">
        <w:rPr>
          <w:rFonts w:ascii="Arial" w:eastAsia="Calibri" w:hAnsi="Arial" w:cs="Arial"/>
          <w:bCs/>
          <w:szCs w:val="28"/>
          <w:lang w:val="pl-PL"/>
        </w:rPr>
        <w:t xml:space="preserve">URL: </w:t>
      </w:r>
      <w:r w:rsidR="005938AD">
        <w:fldChar w:fldCharType="begin"/>
      </w:r>
      <w:r w:rsidR="005938AD" w:rsidRPr="00C2797E">
        <w:rPr>
          <w:lang w:val="en-US"/>
        </w:rPr>
        <w:instrText xml:space="preserve"> HYPERLINK "https://dspace.onua.edu.ua/items/953c0708-6fba-40d5-a907-a26c8a14ea1e" </w:instrText>
      </w:r>
      <w:r w:rsidR="005938AD">
        <w:fldChar w:fldCharType="separate"/>
      </w:r>
      <w:r w:rsidRPr="00511005">
        <w:rPr>
          <w:rFonts w:ascii="Arial" w:eastAsia="Calibri" w:hAnsi="Arial" w:cs="Arial"/>
          <w:bCs/>
          <w:szCs w:val="28"/>
          <w:lang w:val="pl-PL"/>
        </w:rPr>
        <w:t>https://dspace.onua.edu.ua/items/953c0708-6fba-40d5-a907-a26c8a14ea1e</w:t>
      </w:r>
      <w:r w:rsidR="005938AD">
        <w:rPr>
          <w:rFonts w:ascii="Arial" w:eastAsia="Calibri" w:hAnsi="Arial" w:cs="Arial"/>
          <w:bCs/>
          <w:szCs w:val="28"/>
          <w:lang w:val="pl-PL"/>
        </w:rPr>
        <w:fldChar w:fldCharType="end"/>
      </w:r>
    </w:p>
    <w:p w14:paraId="3B86C6DA"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szCs w:val="28"/>
        </w:rPr>
        <w:t xml:space="preserve">3. </w:t>
      </w:r>
      <w:r w:rsidRPr="00511005">
        <w:rPr>
          <w:rFonts w:ascii="Arial" w:eastAsia="Calibri" w:hAnsi="Arial" w:cs="Arial"/>
          <w:bCs/>
          <w:szCs w:val="28"/>
        </w:rPr>
        <w:t xml:space="preserve">Процесуально-тактичні особливості допиту неповнолітніх / Заворіна О.П., Шабардін Р.С., 200-202с. </w:t>
      </w:r>
      <w:r w:rsidRPr="00511005">
        <w:rPr>
          <w:rFonts w:ascii="Arial" w:eastAsia="Calibri" w:hAnsi="Arial" w:cs="Arial"/>
          <w:bCs/>
          <w:szCs w:val="28"/>
          <w:lang w:val="en-US"/>
        </w:rPr>
        <w:t>URL</w:t>
      </w:r>
      <w:r w:rsidRPr="00511005">
        <w:rPr>
          <w:rFonts w:ascii="Arial" w:eastAsia="Calibri" w:hAnsi="Arial" w:cs="Arial"/>
          <w:bCs/>
          <w:szCs w:val="28"/>
        </w:rPr>
        <w:t xml:space="preserve">: </w:t>
      </w:r>
      <w:hyperlink r:id="rId2040" w:history="1">
        <w:r w:rsidRPr="00511005">
          <w:rPr>
            <w:rFonts w:ascii="Arial" w:eastAsia="Calibri" w:hAnsi="Arial" w:cs="Arial"/>
            <w:bCs/>
            <w:szCs w:val="28"/>
          </w:rPr>
          <w:t>https://univd.edu.ua/general/publishing/konf/21_11_2018/pdf/95.pdf</w:t>
        </w:r>
      </w:hyperlink>
    </w:p>
    <w:p w14:paraId="3C876938"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szCs w:val="28"/>
        </w:rPr>
        <w:t>4.</w:t>
      </w:r>
      <w:r w:rsidRPr="00511005">
        <w:rPr>
          <w:rFonts w:ascii="Arial" w:eastAsia="Calibri" w:hAnsi="Arial" w:cs="Arial"/>
          <w:bCs/>
          <w:szCs w:val="28"/>
        </w:rPr>
        <w:t xml:space="preserve"> Маркусь В. О. Криміналістика: навч. посіб. Київ, 2007. 558 с. </w:t>
      </w:r>
      <w:r w:rsidRPr="00511005">
        <w:rPr>
          <w:rFonts w:ascii="Arial" w:eastAsia="Calibri" w:hAnsi="Arial" w:cs="Arial"/>
          <w:bCs/>
          <w:szCs w:val="28"/>
          <w:lang w:val="en-US"/>
        </w:rPr>
        <w:t>URL</w:t>
      </w:r>
      <w:r w:rsidRPr="00511005">
        <w:rPr>
          <w:rFonts w:ascii="Arial" w:eastAsia="Calibri" w:hAnsi="Arial" w:cs="Arial"/>
          <w:bCs/>
          <w:szCs w:val="28"/>
        </w:rPr>
        <w:t xml:space="preserve">: </w:t>
      </w:r>
      <w:hyperlink r:id="rId2041" w:history="1">
        <w:r w:rsidRPr="00511005">
          <w:rPr>
            <w:rFonts w:ascii="Arial" w:eastAsia="Calibri" w:hAnsi="Arial" w:cs="Arial"/>
            <w:bCs/>
            <w:szCs w:val="28"/>
          </w:rPr>
          <w:t>https://library.nlu.edu.ua/POLN_TEXT/KNIGI/KONDOR1/CD/KRIMINALISTIKA2007.pdf</w:t>
        </w:r>
      </w:hyperlink>
    </w:p>
    <w:p w14:paraId="31DC62E2" w14:textId="77777777" w:rsidR="00532C25" w:rsidRPr="00511005" w:rsidRDefault="00532C25" w:rsidP="00532C25">
      <w:pPr>
        <w:spacing w:line="264" w:lineRule="auto"/>
        <w:ind w:firstLine="720"/>
        <w:rPr>
          <w:rFonts w:ascii="Arial" w:eastAsia="Calibri" w:hAnsi="Arial" w:cs="Arial"/>
          <w:b/>
          <w:bCs/>
          <w:szCs w:val="28"/>
        </w:rPr>
      </w:pPr>
    </w:p>
    <w:p w14:paraId="6ECA5443" w14:textId="77777777" w:rsidR="00532C25" w:rsidRPr="00511005" w:rsidRDefault="00532C25" w:rsidP="00532C25">
      <w:pPr>
        <w:spacing w:line="264" w:lineRule="auto"/>
        <w:ind w:firstLine="720"/>
        <w:rPr>
          <w:rFonts w:ascii="Arial" w:eastAsia="Calibri" w:hAnsi="Arial" w:cs="Arial"/>
          <w:b/>
          <w:bCs/>
          <w:szCs w:val="28"/>
        </w:rPr>
      </w:pPr>
      <w:r w:rsidRPr="00511005">
        <w:rPr>
          <w:rFonts w:ascii="Arial" w:eastAsia="Calibri" w:hAnsi="Arial" w:cs="Arial"/>
          <w:b/>
          <w:bCs/>
          <w:i/>
          <w:szCs w:val="28"/>
        </w:rPr>
        <w:t xml:space="preserve">Ключові слова: </w:t>
      </w:r>
      <w:r w:rsidRPr="00511005">
        <w:rPr>
          <w:rFonts w:ascii="Arial" w:eastAsia="Calibri" w:hAnsi="Arial" w:cs="Arial"/>
          <w:bCs/>
          <w:szCs w:val="28"/>
        </w:rPr>
        <w:t>криміналістика, тактика, допит, неповнолітній.</w:t>
      </w:r>
    </w:p>
    <w:p w14:paraId="630F7836" w14:textId="77777777" w:rsidR="00532C25" w:rsidRPr="00511005" w:rsidRDefault="00532C25" w:rsidP="00532C25">
      <w:pPr>
        <w:spacing w:line="264" w:lineRule="auto"/>
        <w:ind w:firstLine="720"/>
        <w:rPr>
          <w:rFonts w:ascii="Arial" w:eastAsia="Calibri" w:hAnsi="Arial" w:cs="Arial"/>
          <w:b/>
          <w:bCs/>
          <w:szCs w:val="28"/>
          <w:lang w:val="en-US"/>
        </w:rPr>
      </w:pPr>
      <w:r w:rsidRPr="00511005">
        <w:rPr>
          <w:rFonts w:ascii="Arial" w:eastAsia="Calibri" w:hAnsi="Arial" w:cs="Arial"/>
          <w:b/>
          <w:bCs/>
          <w:i/>
          <w:szCs w:val="28"/>
          <w:lang w:val="en-US"/>
        </w:rPr>
        <w:t xml:space="preserve">Key words: </w:t>
      </w:r>
      <w:r w:rsidRPr="00511005">
        <w:rPr>
          <w:rFonts w:ascii="Arial" w:eastAsia="Calibri" w:hAnsi="Arial" w:cs="Arial"/>
          <w:bCs/>
          <w:szCs w:val="28"/>
          <w:lang w:val="en-US"/>
        </w:rPr>
        <w:t>criminalistics, tactics, interrogation, minor.</w:t>
      </w:r>
    </w:p>
    <w:p w14:paraId="6383A2C8" w14:textId="77777777" w:rsidR="00532C25" w:rsidRPr="00511005" w:rsidRDefault="00532C25" w:rsidP="00532C25">
      <w:pPr>
        <w:spacing w:line="264" w:lineRule="auto"/>
        <w:ind w:firstLine="720"/>
        <w:rPr>
          <w:rFonts w:ascii="Arial" w:eastAsia="Calibri" w:hAnsi="Arial" w:cs="Arial"/>
          <w:szCs w:val="28"/>
          <w:lang w:val="uk-UA"/>
        </w:rPr>
      </w:pPr>
    </w:p>
    <w:p w14:paraId="4C08B377" w14:textId="77777777" w:rsidR="00532C25" w:rsidRPr="00511005" w:rsidRDefault="00532C25" w:rsidP="00532C25">
      <w:pPr>
        <w:spacing w:line="264" w:lineRule="auto"/>
        <w:ind w:firstLine="720"/>
        <w:rPr>
          <w:rFonts w:ascii="Arial" w:eastAsia="Calibri" w:hAnsi="Arial" w:cs="Arial"/>
          <w:bCs/>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bCs/>
          <w:i/>
          <w:iCs/>
          <w:szCs w:val="28"/>
        </w:rPr>
        <w:t>к.ю.н., доцент Колодіна А.С.</w:t>
      </w:r>
    </w:p>
    <w:p w14:paraId="04D9A9C9" w14:textId="77777777" w:rsidR="00532C25" w:rsidRPr="00511005" w:rsidRDefault="00532C25" w:rsidP="00532C25">
      <w:pPr>
        <w:spacing w:line="264" w:lineRule="auto"/>
        <w:ind w:firstLine="720"/>
        <w:rPr>
          <w:rFonts w:ascii="Arial" w:eastAsia="Calibri" w:hAnsi="Arial" w:cs="Arial"/>
          <w:b/>
          <w:bCs/>
          <w:i/>
          <w:iCs/>
          <w:szCs w:val="28"/>
          <w:lang w:val="uk-UA"/>
        </w:rPr>
      </w:pPr>
    </w:p>
    <w:p w14:paraId="2D53376C" w14:textId="77777777" w:rsidR="00532C25" w:rsidRPr="00511005" w:rsidRDefault="00532C25" w:rsidP="00532C25">
      <w:pPr>
        <w:spacing w:line="264" w:lineRule="auto"/>
        <w:ind w:firstLine="720"/>
        <w:rPr>
          <w:rFonts w:ascii="Arial" w:eastAsia="Calibri" w:hAnsi="Arial" w:cs="Arial"/>
          <w:szCs w:val="28"/>
        </w:rPr>
      </w:pPr>
    </w:p>
    <w:p w14:paraId="6C81F4EF" w14:textId="77777777" w:rsidR="00532C25" w:rsidRPr="00511005" w:rsidRDefault="00532C25" w:rsidP="00532C25">
      <w:pPr>
        <w:spacing w:line="264" w:lineRule="auto"/>
        <w:ind w:firstLine="720"/>
        <w:contextualSpacing/>
        <w:jc w:val="center"/>
        <w:rPr>
          <w:rFonts w:ascii="Arial" w:eastAsia="Calibri" w:hAnsi="Arial" w:cs="Arial"/>
          <w:b/>
          <w:i/>
          <w:szCs w:val="28"/>
        </w:rPr>
      </w:pPr>
      <w:r w:rsidRPr="00511005">
        <w:rPr>
          <w:rFonts w:ascii="Arial" w:eastAsia="Calibri" w:hAnsi="Arial" w:cs="Arial"/>
          <w:b/>
          <w:i/>
          <w:szCs w:val="28"/>
        </w:rPr>
        <w:t>Чесанівська Валерія В’ячеславівна</w:t>
      </w:r>
    </w:p>
    <w:p w14:paraId="509E78B3"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6A8938E0"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D57DF04"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F1356AD" w14:textId="77777777" w:rsidR="00532C25" w:rsidRPr="00511005" w:rsidRDefault="00532C25" w:rsidP="00532C25">
      <w:pPr>
        <w:spacing w:line="264" w:lineRule="auto"/>
        <w:ind w:firstLine="720"/>
        <w:contextualSpacing/>
        <w:jc w:val="center"/>
        <w:rPr>
          <w:rFonts w:ascii="Arial" w:eastAsia="Calibri" w:hAnsi="Arial" w:cs="Arial"/>
          <w:szCs w:val="28"/>
        </w:rPr>
      </w:pPr>
    </w:p>
    <w:p w14:paraId="43F0E37E" w14:textId="77777777" w:rsidR="00532C25" w:rsidRPr="00511005" w:rsidRDefault="00532C25" w:rsidP="00532C25">
      <w:pPr>
        <w:spacing w:line="264" w:lineRule="auto"/>
        <w:ind w:firstLine="720"/>
        <w:contextualSpacing/>
        <w:jc w:val="center"/>
        <w:rPr>
          <w:rFonts w:ascii="Arial" w:eastAsia="Calibri" w:hAnsi="Arial" w:cs="Arial"/>
          <w:b/>
          <w:szCs w:val="28"/>
        </w:rPr>
      </w:pPr>
      <w:r w:rsidRPr="00511005">
        <w:rPr>
          <w:rFonts w:ascii="Arial" w:eastAsia="Calibri" w:hAnsi="Arial" w:cs="Arial"/>
          <w:b/>
          <w:szCs w:val="28"/>
        </w:rPr>
        <w:t>ПСИХОЛОГІЧНІ ЗАСАДИ ДОПИТУ НЕПОВНОЛІТНЬОЇ ОСОБИ</w:t>
      </w:r>
    </w:p>
    <w:p w14:paraId="0B543EE7" w14:textId="77777777" w:rsidR="00532C25" w:rsidRPr="00511005" w:rsidRDefault="00532C25" w:rsidP="00532C25">
      <w:pPr>
        <w:spacing w:line="264" w:lineRule="auto"/>
        <w:ind w:firstLine="720"/>
        <w:contextualSpacing/>
        <w:rPr>
          <w:rFonts w:ascii="Arial" w:eastAsia="Times New Roman" w:hAnsi="Arial" w:cs="Arial"/>
          <w:szCs w:val="28"/>
          <w:lang w:eastAsia="uk-UA"/>
        </w:rPr>
      </w:pPr>
      <w:r w:rsidRPr="00511005">
        <w:rPr>
          <w:rFonts w:ascii="Arial" w:eastAsia="Times New Roman" w:hAnsi="Arial" w:cs="Arial"/>
          <w:szCs w:val="28"/>
          <w:lang w:eastAsia="uk-UA"/>
        </w:rPr>
        <w:t xml:space="preserve">Соціально-економічне становище України на сьогодні характеризується наявністю низки позитивних і негативних явищ. Останнє виражається значним зростанням рівня злочинності, а також </w:t>
      </w:r>
      <w:r w:rsidRPr="00511005">
        <w:rPr>
          <w:rFonts w:ascii="Arial" w:eastAsia="Times New Roman" w:hAnsi="Arial" w:cs="Arial"/>
          <w:szCs w:val="28"/>
          <w:lang w:eastAsia="uk-UA"/>
        </w:rPr>
        <w:lastRenderedPageBreak/>
        <w:t>трансформаціями її форм і структур. Особливу стурбованість викликає збільшення рівня кримінальної активності серед неповнолітніх, що має своє коріння в таких соціальних факторах, як неналежне виховання та залишення дітей без відповідного нагляду. Це сприяє формування такого криміногенного чинника, як залежність підлітків від алкоголю та різноманітних психотропних речовин, що і призводить до пошуку будь-яких способів здобуття коштів для їх придбання, ослаблення соціального контролю та виникнення імпульсивної, неконтрольованої поведінки.</w:t>
      </w:r>
    </w:p>
    <w:p w14:paraId="39FDED80" w14:textId="77777777" w:rsidR="00532C25" w:rsidRPr="00511005" w:rsidRDefault="00532C25" w:rsidP="00532C25">
      <w:pPr>
        <w:spacing w:line="264" w:lineRule="auto"/>
        <w:ind w:firstLine="720"/>
        <w:contextualSpacing/>
        <w:rPr>
          <w:rFonts w:ascii="Arial" w:eastAsia="Times New Roman" w:hAnsi="Arial" w:cs="Arial"/>
          <w:szCs w:val="28"/>
          <w:lang w:eastAsia="uk-UA"/>
        </w:rPr>
      </w:pPr>
      <w:r w:rsidRPr="00511005">
        <w:rPr>
          <w:rFonts w:ascii="Arial" w:eastAsia="Times New Roman" w:hAnsi="Arial" w:cs="Arial"/>
          <w:szCs w:val="28"/>
          <w:lang w:eastAsia="uk-UA"/>
        </w:rPr>
        <w:t xml:space="preserve">Проблематика допиту неповнолітніх </w:t>
      </w:r>
      <w:proofErr w:type="gramStart"/>
      <w:r w:rsidRPr="00511005">
        <w:rPr>
          <w:rFonts w:ascii="Arial" w:eastAsia="Times New Roman" w:hAnsi="Arial" w:cs="Arial"/>
          <w:szCs w:val="28"/>
          <w:lang w:eastAsia="uk-UA"/>
        </w:rPr>
        <w:t>у межах</w:t>
      </w:r>
      <w:proofErr w:type="gramEnd"/>
      <w:r w:rsidRPr="00511005">
        <w:rPr>
          <w:rFonts w:ascii="Arial" w:eastAsia="Times New Roman" w:hAnsi="Arial" w:cs="Arial"/>
          <w:szCs w:val="28"/>
          <w:lang w:eastAsia="uk-UA"/>
        </w:rPr>
        <w:t xml:space="preserve"> кримінального провадження є предметом дослідження багатьох вітчизняних і зарубіжних науковців, зокрема: В. О. Коновалової, Л. Д. Удалової, Ю. М. Чорноус, В. Ю. Шепітька та інших. Відповідно </w:t>
      </w:r>
      <w:proofErr w:type="gramStart"/>
      <w:r w:rsidRPr="00511005">
        <w:rPr>
          <w:rFonts w:ascii="Arial" w:eastAsia="Times New Roman" w:hAnsi="Arial" w:cs="Arial"/>
          <w:szCs w:val="28"/>
          <w:lang w:eastAsia="uk-UA"/>
        </w:rPr>
        <w:t>до пункту</w:t>
      </w:r>
      <w:proofErr w:type="gramEnd"/>
      <w:r w:rsidRPr="00511005">
        <w:rPr>
          <w:rFonts w:ascii="Arial" w:eastAsia="Times New Roman" w:hAnsi="Arial" w:cs="Arial"/>
          <w:szCs w:val="28"/>
          <w:lang w:eastAsia="uk-UA"/>
        </w:rPr>
        <w:t xml:space="preserve"> 12 статті 3 Кримінального процесуального кодексу України (2012 р.), неповнолітніми визнаються особи, які на момент вчинення діяння досягли чотирнадцяти, але не досягли вісімнадцяти років. Нормативні засади проведення допиту неповнолітніх регламентовані статтями 224, 226, 227 КПК України, а у випадку допиту підозрюваних чи обвинувачених неповнолітніх – також положеннями § 1 глави 38 вказаного Кодексу [1].</w:t>
      </w:r>
    </w:p>
    <w:p w14:paraId="5D8D0936" w14:textId="77777777" w:rsidR="00532C25" w:rsidRPr="00511005" w:rsidRDefault="00532C25" w:rsidP="00532C25">
      <w:pPr>
        <w:spacing w:line="264" w:lineRule="auto"/>
        <w:ind w:firstLine="720"/>
        <w:contextualSpacing/>
        <w:rPr>
          <w:rFonts w:ascii="Arial" w:eastAsia="Times New Roman" w:hAnsi="Arial" w:cs="Arial"/>
          <w:szCs w:val="28"/>
          <w:lang w:eastAsia="uk-UA"/>
        </w:rPr>
      </w:pPr>
      <w:r w:rsidRPr="00511005">
        <w:rPr>
          <w:rFonts w:ascii="Arial" w:eastAsia="Times New Roman" w:hAnsi="Arial" w:cs="Arial"/>
          <w:szCs w:val="28"/>
          <w:lang w:eastAsia="uk-UA"/>
        </w:rPr>
        <w:t>Тактика підготовки і проведення допиту неповнолітніх передбачає детальне врахування їхніх вікових і психологічних особливостей. Надання належної уваги цим характеристикам є ключовим для ефективного вибору методів встановлення психологічного контакту, організації процесу допиту, застосування специфічних технік психологічного впливу та коректної оцінки наданих свідчень.</w:t>
      </w:r>
    </w:p>
    <w:p w14:paraId="06A741ED"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Times New Roman" w:hAnsi="Arial" w:cs="Arial"/>
          <w:szCs w:val="28"/>
          <w:lang w:eastAsia="uk-UA"/>
        </w:rPr>
        <w:t xml:space="preserve">Особлива увага має приділятися створенню довірливого психологічного контакту та мінімізації психотравмуючого впливу допитної ситуації. </w:t>
      </w:r>
      <w:r w:rsidRPr="00511005">
        <w:rPr>
          <w:rFonts w:ascii="Arial" w:eastAsia="Calibri" w:hAnsi="Arial" w:cs="Arial"/>
          <w:szCs w:val="28"/>
        </w:rPr>
        <w:t xml:space="preserve">Як зазначає М. М. Єфімов, встановлення психологічного контакту – це створення відповідної атмосфери та встановлення сприятливих відносин між слідчим і допитуваним, що стає чинником професійно-психологічного впливу на допитуваного і сприяє виконанню завдань допиту. Тому для зняття стану напруженості, хвилювання, неспокійності, тривожності, неприязні, підозрілості під час проведення досліджуваної слідчої (розшукової) дії варто встановити з особою психологічний контакт, застосовуючи низку тактичних і психологічних прийомів [2]. </w:t>
      </w:r>
    </w:p>
    <w:p w14:paraId="5998C463"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 xml:space="preserve">Тому, важливим елементом підготовки до допиту неповнолітнього є обрання місця і обстановки допиту (вдома, у школі, кабінеті слідчого тощо), що має сприяти встановленню психологічного контакту і одержанню необхідної інформації [3]. </w:t>
      </w:r>
    </w:p>
    <w:p w14:paraId="54B2F902"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 xml:space="preserve">Тому, з метою оптимізації процесу розслідування, має здійснюватися комплексне вивчення особистісних характеристик неповнолітнього, що передбачає аналіз як вербальної, так і невербальної поведінки. У процесі взаємодії, слідчому необхідно сприймати не лише вербальну інформацію, а </w:t>
      </w:r>
      <w:r w:rsidRPr="00511005">
        <w:rPr>
          <w:rFonts w:ascii="Arial" w:eastAsia="Calibri" w:hAnsi="Arial" w:cs="Arial"/>
          <w:szCs w:val="28"/>
        </w:rPr>
        <w:lastRenderedPageBreak/>
        <w:t xml:space="preserve">й уважно аналізувати невербальні прояви – зокрема, характер погляду, тембральні особливості голосу, інтонаційні відтінки, міміку та жестикуляцію. Здатність адекватно інтерпретувати невербальні комунікативні сигнали істотно сприяє підвищенню результативності слідчої діяльності та ефективнішому встановленню об'єктивної істини </w:t>
      </w:r>
      <w:proofErr w:type="gramStart"/>
      <w:r w:rsidRPr="00511005">
        <w:rPr>
          <w:rFonts w:ascii="Arial" w:eastAsia="Calibri" w:hAnsi="Arial" w:cs="Arial"/>
          <w:szCs w:val="28"/>
        </w:rPr>
        <w:t>у справах</w:t>
      </w:r>
      <w:proofErr w:type="gramEnd"/>
      <w:r w:rsidRPr="00511005">
        <w:rPr>
          <w:rFonts w:ascii="Arial" w:eastAsia="Calibri" w:hAnsi="Arial" w:cs="Arial"/>
          <w:szCs w:val="28"/>
        </w:rPr>
        <w:t xml:space="preserve"> щодо неповнолітніх.</w:t>
      </w:r>
    </w:p>
    <w:p w14:paraId="7107A2E8"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Ще одним елементом налагодження необхідного психологічного контакту є безпосередній процес залучення неповнолітнього до допиту. Ця процесуальна дія має відбуватися поетапно, з обов'язковим наданням неповнолітньому часу на адаптацію до нової обстановки та осіб, присутніх під час слідчої дії. Лише після встановлення стійкого психологічного контакту доцільно формувати в неповнолітнього мотивацію до відповідального ставлення, акцентуючи увагу на важливості його показань для успішного розслідування кримінального правопорушення. Враховуючи обмеженість логічного мислення й здатності до послідовної розповіді у дітей, предмет допиту слід структуровано розподілити на окремі фрагменти, формулюючи конкретні, чіткі питання, що унеможливлюють шаблонні або узагальнені відповіді. Питання повинні ускладнюватися поступово: спочатку з’ясовується коло осіб, причетних до події, потім уточняється обстановка, що запам’яталася дитині, деталізуються її власні дії, і лише на завершальному етапі – конкретизуються обставини кримінального правопорушення. При цьому необхідно стимулювати неповнолітнього до активного відтворення хронології подій та встановлення логічних зв'язків між окремими епізодами.</w:t>
      </w:r>
    </w:p>
    <w:p w14:paraId="4D018EAC"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У процесі допиту неповнолітніх можна виокремити низку спеціальних методів психологічного впливу, серед яких: переконання, наслідування та навіювання [4].</w:t>
      </w:r>
    </w:p>
    <w:p w14:paraId="4FCB4801"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 xml:space="preserve">Переконання є складним, проте ефективним способом словесного впливу, що спрямований на роз’яснення значущості надання правдивих свідчень і розкриття помилковості обраної життєвої позиції. </w:t>
      </w:r>
    </w:p>
    <w:p w14:paraId="4496414E"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У процесі переконання неповнолітнього у хибно обраній поведінці доцільним є використання прикладів із життя осіб, які у ранньому віці стали на шлях протиправної діяльності, що призвело до негативних наслідків. З виховною метою необхідно формувати у допитуваного почуття неприйняття аморальності власних дій, одночасно надаючи інформацію про можливі шляхи виправлення. Ефективним тактичним прийомом є демонстрація обізнаності слідчим з обставинами життя неповнолітнього, що стимулює його до більш повного і щирого викладення інформації. Також слід акцентувати увагу на тому, що активне сприяння розслідуванню може стати підставою для пом’якшення кримінальної відповідальності або, за наявності відповідних юридичних підстав, – навіть для її уникнення.</w:t>
      </w:r>
    </w:p>
    <w:p w14:paraId="5354193D"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lastRenderedPageBreak/>
        <w:t>Реалізація переконуючого впливу здійснюється не лише за допомогою змісту висловлювань, а й через відповідну постановку голосу, міміку, жести й погляд, які посилюють емоційно-психологічний ефект словесного впливу.</w:t>
      </w:r>
    </w:p>
    <w:p w14:paraId="5C591313"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Наслідування може застосовуватися лише для спонукання неповнолітнього</w:t>
      </w:r>
    </w:p>
    <w:p w14:paraId="603D988A"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говорити правду. Інакше цей метод називають методом прикладу, здавалося б, метод прикладу належить до чисто педагогічних способів впливу на інших людей, але в його основі лежить психологічний феномен – наслідування.</w:t>
      </w:r>
    </w:p>
    <w:p w14:paraId="3611E1C4"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Навіювання є цілеспрямованим неаргументованим впливом однієї особи на іншу, що призводить до некритичного сприйняття нав'язуваної інформації, поглядів чи позицій і прийняття їх як власних. Як метод психологічного впливу, навіювання спрямоване на часткове придушення волі особи та її підпорядкування вимогам суб’єкта впливу. Ефективність навіювання значною мірою залежить від ряду чинників, зокрема віку (неповнолітні є більш сприйнятливими до навіювання порівняно з дорослими), психічного та фізичного стану особи (встановлено, що втомлені люди легше піддаються навіюванню, ніж особи з хорошим самопочуттям). Соціально-психологічні дослідження також доводять, що вирішальним чинником у досягненні ефекту навіювання є авторитетність особи, яка здійснює вплив.</w:t>
      </w:r>
    </w:p>
    <w:p w14:paraId="670EEACD"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szCs w:val="28"/>
        </w:rPr>
        <w:t>Таким чином, психологічний вплив слідчого на неповнолітнього під час досудового розслідування слід розглядати як сукупність допустимих прийомів впливу на психіку особи, що мають усвідомлений або неусвідомлений характер і реалізуються у процесі передавання, обробки та використання доказової інформації. Застосування таких методів сприяє формуванню у допитуваного необхідної реакції, дозволяючи слідчому контролювати логіку його мислення, ставлення до встановлених фактів та спрямовувати поведінку на надання достовірних і повних показань.</w:t>
      </w:r>
    </w:p>
    <w:p w14:paraId="4252A911" w14:textId="77777777" w:rsidR="00532C25" w:rsidRPr="00511005" w:rsidRDefault="00532C25" w:rsidP="00532C25">
      <w:pPr>
        <w:spacing w:line="264" w:lineRule="auto"/>
        <w:ind w:firstLine="720"/>
        <w:contextualSpacing/>
        <w:rPr>
          <w:rFonts w:ascii="Arial" w:eastAsia="Calibri" w:hAnsi="Arial" w:cs="Arial"/>
          <w:szCs w:val="28"/>
        </w:rPr>
      </w:pPr>
    </w:p>
    <w:p w14:paraId="782CCEE8" w14:textId="77777777" w:rsidR="00532C25" w:rsidRPr="00511005" w:rsidRDefault="00532C25" w:rsidP="00532C25">
      <w:pPr>
        <w:spacing w:line="264" w:lineRule="auto"/>
        <w:ind w:firstLine="720"/>
        <w:contextualSpacing/>
        <w:jc w:val="center"/>
        <w:rPr>
          <w:rFonts w:ascii="Arial" w:eastAsia="Calibri" w:hAnsi="Arial" w:cs="Arial"/>
          <w:b/>
          <w:szCs w:val="28"/>
        </w:rPr>
      </w:pPr>
      <w:r w:rsidRPr="00511005">
        <w:rPr>
          <w:rFonts w:ascii="Arial" w:eastAsia="Calibri" w:hAnsi="Arial" w:cs="Arial"/>
          <w:b/>
          <w:szCs w:val="28"/>
          <w:lang w:val="uk-UA"/>
        </w:rPr>
        <w:t>Список використаних джерел</w:t>
      </w:r>
    </w:p>
    <w:p w14:paraId="6A0AA366" w14:textId="77777777" w:rsidR="00532C25" w:rsidRPr="00511005" w:rsidRDefault="00532C25" w:rsidP="003F6A5D">
      <w:pPr>
        <w:numPr>
          <w:ilvl w:val="0"/>
          <w:numId w:val="644"/>
        </w:numPr>
        <w:spacing w:line="264" w:lineRule="auto"/>
        <w:ind w:left="0" w:firstLine="720"/>
        <w:contextualSpacing/>
        <w:jc w:val="left"/>
        <w:rPr>
          <w:rFonts w:ascii="Arial" w:eastAsia="Times New Roman" w:hAnsi="Arial" w:cs="Arial"/>
          <w:szCs w:val="28"/>
          <w:lang w:eastAsia="uk-UA"/>
        </w:rPr>
      </w:pPr>
      <w:r w:rsidRPr="00511005">
        <w:rPr>
          <w:rFonts w:ascii="Arial" w:eastAsia="Times New Roman" w:hAnsi="Arial" w:cs="Arial"/>
          <w:szCs w:val="28"/>
          <w:lang w:eastAsia="ru-RU"/>
        </w:rPr>
        <w:t>Кримінальний процесуальний кодекс України від 13 квітня 2012 року № 4651-VI [Електронний ресурс] / Верховна Рада України. – Режим доступу: http://zakon4.rada.gov.ua/laws/show/4651-17.</w:t>
      </w:r>
    </w:p>
    <w:p w14:paraId="352B697B" w14:textId="77777777" w:rsidR="00532C25" w:rsidRPr="00511005" w:rsidRDefault="00532C25" w:rsidP="003F6A5D">
      <w:pPr>
        <w:numPr>
          <w:ilvl w:val="0"/>
          <w:numId w:val="644"/>
        </w:numPr>
        <w:spacing w:line="264" w:lineRule="auto"/>
        <w:ind w:left="0" w:firstLine="720"/>
        <w:contextualSpacing/>
        <w:jc w:val="left"/>
        <w:rPr>
          <w:rFonts w:ascii="Arial" w:eastAsia="Times New Roman" w:hAnsi="Arial" w:cs="Arial"/>
          <w:szCs w:val="28"/>
          <w:lang w:eastAsia="uk-UA"/>
        </w:rPr>
      </w:pPr>
      <w:r w:rsidRPr="00511005">
        <w:rPr>
          <w:rFonts w:ascii="Arial" w:eastAsia="Times New Roman" w:hAnsi="Arial" w:cs="Arial"/>
          <w:szCs w:val="28"/>
          <w:lang w:eastAsia="ru-RU"/>
        </w:rPr>
        <w:t>Єфімов М. М. Особливості встановлення психологічного контакту при проведенні допиту під час розслідування злочинів проти моральності. Науковий вісник Дніпропетровського державного університету внутрішніх справ. 2020. № 1. С. 200–204. doi: 10.31733/2078-3566-2020-1-200-204.</w:t>
      </w:r>
    </w:p>
    <w:p w14:paraId="5D7A5CF6" w14:textId="77777777" w:rsidR="00532C25" w:rsidRPr="00511005" w:rsidRDefault="00532C25" w:rsidP="003F6A5D">
      <w:pPr>
        <w:numPr>
          <w:ilvl w:val="0"/>
          <w:numId w:val="644"/>
        </w:numPr>
        <w:spacing w:line="264" w:lineRule="auto"/>
        <w:ind w:left="0" w:firstLine="720"/>
        <w:contextualSpacing/>
        <w:jc w:val="left"/>
        <w:rPr>
          <w:rFonts w:ascii="Arial" w:eastAsia="Times New Roman" w:hAnsi="Arial" w:cs="Arial"/>
          <w:szCs w:val="28"/>
          <w:lang w:eastAsia="uk-UA"/>
        </w:rPr>
      </w:pPr>
      <w:r w:rsidRPr="00511005">
        <w:rPr>
          <w:rFonts w:ascii="Arial" w:eastAsia="Times New Roman" w:hAnsi="Arial" w:cs="Arial"/>
          <w:szCs w:val="28"/>
          <w:lang w:eastAsia="ru-RU"/>
        </w:rPr>
        <w:t>Криміналістика: Підручник / Кол. авт.: В. Ю. Шепітько, В. О. Коно- валова, В. А. Журавель та ін. / За ред. проф. В. Ю. Шепітька. – 4-е вид., перероб. і доп.</w:t>
      </w:r>
    </w:p>
    <w:p w14:paraId="3A4D3BEF" w14:textId="77777777" w:rsidR="00532C25" w:rsidRPr="00511005" w:rsidRDefault="00532C25" w:rsidP="003F6A5D">
      <w:pPr>
        <w:numPr>
          <w:ilvl w:val="0"/>
          <w:numId w:val="644"/>
        </w:numPr>
        <w:spacing w:line="264" w:lineRule="auto"/>
        <w:ind w:left="0" w:firstLine="720"/>
        <w:contextualSpacing/>
        <w:jc w:val="left"/>
        <w:rPr>
          <w:rFonts w:ascii="Arial" w:eastAsia="Times New Roman" w:hAnsi="Arial" w:cs="Arial"/>
          <w:szCs w:val="28"/>
          <w:lang w:eastAsia="uk-UA"/>
        </w:rPr>
      </w:pPr>
      <w:r w:rsidRPr="00511005">
        <w:rPr>
          <w:rFonts w:ascii="Arial" w:eastAsia="Times New Roman" w:hAnsi="Arial" w:cs="Arial"/>
          <w:szCs w:val="28"/>
          <w:lang w:eastAsia="uk-UA"/>
        </w:rPr>
        <w:lastRenderedPageBreak/>
        <w:t>Зелені кімнати: психологічні особливості організації роботи з дітьми / Н.П. Бочкор, О.М.Цільмак, О.В. Швед та ін. – К.: ТОВ «Агентство «Україна», 2012. – 112 с.</w:t>
      </w:r>
    </w:p>
    <w:p w14:paraId="40010F40" w14:textId="77777777" w:rsidR="00532C25" w:rsidRPr="00511005" w:rsidRDefault="00532C25" w:rsidP="00532C25">
      <w:pPr>
        <w:spacing w:line="264" w:lineRule="auto"/>
        <w:ind w:firstLine="720"/>
        <w:contextualSpacing/>
        <w:rPr>
          <w:rFonts w:ascii="Arial" w:eastAsia="Calibri" w:hAnsi="Arial" w:cs="Arial"/>
          <w:szCs w:val="28"/>
        </w:rPr>
      </w:pPr>
      <w:r w:rsidRPr="00511005">
        <w:rPr>
          <w:rFonts w:ascii="Arial" w:eastAsia="Calibri" w:hAnsi="Arial" w:cs="Arial"/>
          <w:b/>
          <w:i/>
          <w:szCs w:val="28"/>
        </w:rPr>
        <w:t xml:space="preserve">Ключові слова: </w:t>
      </w:r>
      <w:r w:rsidRPr="00511005">
        <w:rPr>
          <w:rFonts w:ascii="Arial" w:eastAsia="Calibri" w:hAnsi="Arial" w:cs="Arial"/>
          <w:szCs w:val="28"/>
        </w:rPr>
        <w:t>допит; неповнолітній; тактичний прийом; психологічний контакт; вплив; кримінальне правопорушення.</w:t>
      </w:r>
    </w:p>
    <w:p w14:paraId="03B2D269" w14:textId="77777777" w:rsidR="00532C25" w:rsidRPr="00511005" w:rsidRDefault="00532C25" w:rsidP="00532C25">
      <w:pPr>
        <w:spacing w:line="264" w:lineRule="auto"/>
        <w:ind w:firstLine="720"/>
        <w:contextualSpacing/>
        <w:rPr>
          <w:rFonts w:ascii="Arial" w:eastAsia="Calibri" w:hAnsi="Arial" w:cs="Arial"/>
          <w:szCs w:val="28"/>
          <w:lang w:val="en-US"/>
        </w:rPr>
      </w:pPr>
      <w:r w:rsidRPr="00511005">
        <w:rPr>
          <w:rFonts w:ascii="Arial" w:eastAsia="Calibri" w:hAnsi="Arial" w:cs="Arial"/>
          <w:b/>
          <w:bCs/>
          <w:i/>
          <w:szCs w:val="28"/>
          <w:lang w:val="en-US"/>
        </w:rPr>
        <w:t xml:space="preserve">Key words: </w:t>
      </w:r>
      <w:r w:rsidRPr="00511005">
        <w:rPr>
          <w:rFonts w:ascii="Arial" w:eastAsia="Calibri" w:hAnsi="Arial" w:cs="Arial"/>
          <w:szCs w:val="28"/>
          <w:lang w:val="en-US"/>
        </w:rPr>
        <w:t>interrogation; juvenile; tactical method; psychological rapport; influence; criminal offense.</w:t>
      </w:r>
    </w:p>
    <w:p w14:paraId="7E3EB68B" w14:textId="77777777" w:rsidR="00532C25" w:rsidRPr="00511005" w:rsidRDefault="00532C25" w:rsidP="00532C25">
      <w:pPr>
        <w:spacing w:line="264" w:lineRule="auto"/>
        <w:ind w:firstLine="720"/>
        <w:contextualSpacing/>
        <w:rPr>
          <w:rFonts w:ascii="Arial" w:eastAsia="Calibri" w:hAnsi="Arial" w:cs="Arial"/>
          <w:i/>
          <w:szCs w:val="28"/>
        </w:rPr>
      </w:pPr>
      <w:r w:rsidRPr="00511005">
        <w:rPr>
          <w:rFonts w:ascii="Arial" w:eastAsia="Calibri" w:hAnsi="Arial" w:cs="Arial"/>
          <w:b/>
          <w:i/>
          <w:szCs w:val="28"/>
        </w:rPr>
        <w:t xml:space="preserve">Науковий керівник: </w:t>
      </w:r>
      <w:r w:rsidRPr="00511005">
        <w:rPr>
          <w:rFonts w:ascii="Arial" w:eastAsia="Calibri" w:hAnsi="Arial" w:cs="Arial"/>
          <w:i/>
          <w:szCs w:val="28"/>
        </w:rPr>
        <w:t>к.ю.н., доцент Колодіна А. С.</w:t>
      </w:r>
    </w:p>
    <w:p w14:paraId="46EDFFBC" w14:textId="77777777" w:rsidR="00532C25" w:rsidRPr="00511005" w:rsidRDefault="00532C25" w:rsidP="00532C25">
      <w:pPr>
        <w:spacing w:line="264" w:lineRule="auto"/>
        <w:ind w:firstLine="720"/>
        <w:jc w:val="center"/>
        <w:rPr>
          <w:rFonts w:ascii="Arial" w:eastAsia="Calibri" w:hAnsi="Arial" w:cs="Arial"/>
          <w:b/>
          <w:i/>
          <w:szCs w:val="28"/>
          <w:shd w:val="clear" w:color="auto" w:fill="FFFFFF"/>
        </w:rPr>
      </w:pPr>
    </w:p>
    <w:p w14:paraId="3378B846" w14:textId="77777777" w:rsidR="00532C25" w:rsidRPr="00511005" w:rsidRDefault="00532C25" w:rsidP="00532C25">
      <w:pPr>
        <w:suppressAutoHyphens/>
        <w:spacing w:line="264" w:lineRule="auto"/>
        <w:ind w:right="-694" w:firstLine="0"/>
        <w:jc w:val="center"/>
        <w:rPr>
          <w:rFonts w:ascii="Arial" w:eastAsia="Times New Roman" w:hAnsi="Arial" w:cs="Arial"/>
          <w:b/>
          <w:bCs/>
          <w:i/>
          <w:iCs/>
          <w:szCs w:val="28"/>
          <w:lang w:val="uk-UA" w:eastAsia="ar-SA"/>
        </w:rPr>
      </w:pPr>
      <w:r w:rsidRPr="00511005">
        <w:rPr>
          <w:rFonts w:ascii="Arial" w:eastAsia="Times New Roman" w:hAnsi="Arial" w:cs="Arial"/>
          <w:b/>
          <w:bCs/>
          <w:i/>
          <w:iCs/>
          <w:szCs w:val="28"/>
          <w:lang w:val="uk-UA" w:eastAsia="ar-SA"/>
        </w:rPr>
        <w:t>Чирка Анастасія Володимирівна</w:t>
      </w:r>
    </w:p>
    <w:p w14:paraId="39421B43" w14:textId="77777777" w:rsidR="00532C25" w:rsidRPr="00511005" w:rsidRDefault="00532C25" w:rsidP="00532C25">
      <w:pPr>
        <w:suppressAutoHyphens/>
        <w:spacing w:line="264" w:lineRule="auto"/>
        <w:ind w:right="-694" w:firstLine="0"/>
        <w:jc w:val="center"/>
        <w:rPr>
          <w:rFonts w:ascii="Arial" w:eastAsia="Times New Roman" w:hAnsi="Arial" w:cs="Arial"/>
          <w:szCs w:val="28"/>
          <w:lang w:eastAsia="ar-SA"/>
        </w:rPr>
      </w:pPr>
      <w:r w:rsidRPr="00511005">
        <w:rPr>
          <w:rFonts w:ascii="Arial" w:eastAsia="Times New Roman" w:hAnsi="Arial" w:cs="Arial"/>
          <w:szCs w:val="28"/>
          <w:lang w:val="uk-UA" w:eastAsia="ar-SA"/>
        </w:rPr>
        <w:t xml:space="preserve">студентка 2-го курсу факультету цивільної та господарської юстиції </w:t>
      </w:r>
    </w:p>
    <w:p w14:paraId="381CBE45" w14:textId="77777777" w:rsidR="00532C25" w:rsidRPr="00511005" w:rsidRDefault="00532C25" w:rsidP="00532C25">
      <w:pPr>
        <w:suppressAutoHyphens/>
        <w:spacing w:line="264" w:lineRule="auto"/>
        <w:ind w:right="-694" w:firstLine="0"/>
        <w:jc w:val="center"/>
        <w:rPr>
          <w:rFonts w:ascii="Arial" w:eastAsia="Times New Roman" w:hAnsi="Arial" w:cs="Arial"/>
          <w:szCs w:val="28"/>
          <w:lang w:val="uk-UA" w:eastAsia="ar-SA"/>
        </w:rPr>
      </w:pPr>
      <w:r w:rsidRPr="00511005">
        <w:rPr>
          <w:rFonts w:ascii="Arial" w:eastAsia="Times New Roman" w:hAnsi="Arial" w:cs="Arial"/>
          <w:szCs w:val="28"/>
          <w:lang w:val="uk-UA" w:eastAsia="ar-SA"/>
        </w:rPr>
        <w:t>Національного університету «Одеська юридична академія»</w:t>
      </w:r>
    </w:p>
    <w:p w14:paraId="41BC2A3E" w14:textId="77777777" w:rsidR="00532C25" w:rsidRPr="00511005" w:rsidRDefault="00532C25" w:rsidP="00532C25">
      <w:pPr>
        <w:spacing w:line="264" w:lineRule="auto"/>
        <w:ind w:firstLine="0"/>
        <w:jc w:val="center"/>
        <w:rPr>
          <w:rFonts w:ascii="Arial" w:eastAsia="Times New Roman" w:hAnsi="Arial" w:cs="Arial"/>
          <w:b/>
          <w:bCs/>
          <w:szCs w:val="28"/>
          <w:lang w:val="uk-UA" w:eastAsia="uk-UA"/>
        </w:rPr>
      </w:pPr>
    </w:p>
    <w:p w14:paraId="6AAD69CF" w14:textId="77777777" w:rsidR="00532C25" w:rsidRPr="00511005" w:rsidRDefault="00532C25" w:rsidP="00532C25">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РОЛЬ ШТУЧНОГО ІНТЕЛЕКТУ В РОЗВИТКУ ТЕХНОЛОГІЙ РОЗПІЗНАВАННЯ ОБЛИЧЧЯ</w:t>
      </w:r>
    </w:p>
    <w:p w14:paraId="19C10983"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Штучний інтелект (ШІ) відіграє ключову роль у розвитку технологій розпізнавання обличчя, які сьогодні активно впроваджуються в різних сферах суспільного життя — від безпеки до маркетингу, медицини та персоналізованого сервісу. Основна суть технологій розпізнавання обличчя полягає у здатності систем комп’ютерного зору ідентифікувати або верифікувати особу людини на основі аналізу її обличчя. ШІ, зокрема глибоке навчання та нейронні мережі, надають змогу цим системам досягати високої точності, адаптивності та масштабованості, яких було важко досягти за допомогою традиційних алгоритмів обробки зображень</w:t>
      </w:r>
      <w:r w:rsidRPr="00511005">
        <w:rPr>
          <w:rFonts w:ascii="Arial" w:eastAsia="Times New Roman" w:hAnsi="Arial" w:cs="Arial"/>
          <w:szCs w:val="28"/>
          <w:lang w:val="uk-UA" w:eastAsia="ar-SA"/>
        </w:rPr>
        <w:t xml:space="preserve"> [1]</w:t>
      </w:r>
      <w:r w:rsidRPr="00511005">
        <w:rPr>
          <w:rFonts w:ascii="Arial" w:eastAsia="Times New Roman" w:hAnsi="Arial" w:cs="Arial"/>
          <w:szCs w:val="28"/>
          <w:lang w:val="uk-UA" w:eastAsia="uk-UA"/>
        </w:rPr>
        <w:t>.</w:t>
      </w:r>
    </w:p>
    <w:p w14:paraId="1D969BDE"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Історично технології розпізнавання обличчя розвивалися поступово: спочатку використовувалися алгоритми порівняння ключових точок і геометричних параметрів, таких як відстань між очима, форма носа чи щелепи. Проте такі методи були обмежені в умовах зміни освітлення, виразу обличчя або кута нахилу голови. Саме впровадження штучного інтелекту, а точніше машинного та глибокого навчання, спричинило революцію в цій сфері. Використання згорткових нейронних мереж (CNN) дало змогу системам навчатися на великих масивах зображень і виділяти складні ознаки обличчя, які не залежать від зовнішніх умов. Завдяки цьому сучасні системи розпізнавання досягають точності понад 99% у контрольованих умовах</w:t>
      </w:r>
      <w:r w:rsidRPr="00511005">
        <w:rPr>
          <w:rFonts w:ascii="Arial" w:eastAsia="Times New Roman" w:hAnsi="Arial" w:cs="Arial"/>
          <w:szCs w:val="28"/>
          <w:lang w:val="uk-UA" w:eastAsia="ar-SA"/>
        </w:rPr>
        <w:t>[4]</w:t>
      </w:r>
      <w:r w:rsidRPr="00511005">
        <w:rPr>
          <w:rFonts w:ascii="Arial" w:eastAsia="Times New Roman" w:hAnsi="Arial" w:cs="Arial"/>
          <w:szCs w:val="28"/>
          <w:lang w:val="uk-UA" w:eastAsia="uk-UA"/>
        </w:rPr>
        <w:t>.</w:t>
      </w:r>
    </w:p>
    <w:p w14:paraId="35E64CBF"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Один із найвідоміших проривів у цій галузі був пов’язаний з розробкою алгоритму DeepFace компанією Facebook у 2014 році. Цей алгоритм, побудований на глибокій нейронній мережі, навчився розпізнавати обличчя з точністю, близькою до людської. З того часу інші технологічні гіганти, такі як Google, Apple, Amazon, Microsoft та китайські компанії на кшталт SenseTime і Megvii, інвестували величезні ресурси в удосконалення своїх систем розпізнавання. Усі вони застосовують глибоке навчання і мають </w:t>
      </w:r>
      <w:r w:rsidRPr="00511005">
        <w:rPr>
          <w:rFonts w:ascii="Arial" w:eastAsia="Times New Roman" w:hAnsi="Arial" w:cs="Arial"/>
          <w:szCs w:val="28"/>
          <w:lang w:val="uk-UA" w:eastAsia="uk-UA"/>
        </w:rPr>
        <w:lastRenderedPageBreak/>
        <w:t>доступ до великих баз даних зображень, що дозволяє постійно вдосконалювати точність та універсальність систем</w:t>
      </w:r>
      <w:r w:rsidRPr="00511005">
        <w:rPr>
          <w:rFonts w:ascii="Arial" w:eastAsia="Times New Roman" w:hAnsi="Arial" w:cs="Arial"/>
          <w:szCs w:val="28"/>
          <w:lang w:val="uk-UA" w:eastAsia="ar-SA"/>
        </w:rPr>
        <w:t>[3]</w:t>
      </w:r>
      <w:r w:rsidRPr="00511005">
        <w:rPr>
          <w:rFonts w:ascii="Arial" w:eastAsia="Times New Roman" w:hAnsi="Arial" w:cs="Arial"/>
          <w:szCs w:val="28"/>
          <w:lang w:val="uk-UA" w:eastAsia="uk-UA"/>
        </w:rPr>
        <w:t>.</w:t>
      </w:r>
    </w:p>
    <w:p w14:paraId="5F1AFE99"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ШІ дозволяє не лише покращити точність розпізнавання, а й забезпечити швидкість обробки даних, що критично важливо для застосування в реальному часі, наприклад, в системах відеоспостереження чи контролю доступу. Алгоритми розпізнавання можуть працювати в умовах великої кількості шуму, при слабкому освітленні, в русі чи при частковому закритті обличчя. Це стало можливим завдяки застосуванню навчання з підкріпленням, генеративних змагальних мереж (GAN) для реконструкції неповних облич або їх нормалізації, а також гібридних моделей, які поєднують різні підходи ШІ.</w:t>
      </w:r>
    </w:p>
    <w:p w14:paraId="29A60ACD"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Розвиток ШІ значно розширив межі застосування розпізнавання обличчя. У сфері безпеки та правоохоронної діяльності ці технології використовуються для ідентифікації підозрюваних, пошуку зниклих осіб, контролю на кордонах і в аеропортах. Наприклад, у Китаї широко застосовуються системи відеоспостереження з функцією розпізнавання облич у режимі реального часу, що дозволяє владі миттєво реагувати на підозрілі дії. У США, Великий Британії та Ізраїлі аналогічні системи використовуються у транспортній інфраструктурі та публічних місцях для запобігання терористичним актам</w:t>
      </w:r>
      <w:r w:rsidRPr="00511005">
        <w:rPr>
          <w:rFonts w:ascii="Arial" w:eastAsia="Times New Roman" w:hAnsi="Arial" w:cs="Arial"/>
          <w:szCs w:val="28"/>
          <w:lang w:val="uk-UA" w:eastAsia="ar-SA"/>
        </w:rPr>
        <w:t>[2</w:t>
      </w:r>
      <w:r w:rsidRPr="00511005">
        <w:rPr>
          <w:rFonts w:ascii="Arial" w:eastAsia="Times New Roman" w:hAnsi="Arial" w:cs="Arial"/>
          <w:szCs w:val="28"/>
          <w:lang w:eastAsia="ar-SA"/>
        </w:rPr>
        <w:t>,</w:t>
      </w:r>
      <w:r w:rsidRPr="00511005">
        <w:rPr>
          <w:rFonts w:ascii="Arial" w:eastAsia="Times New Roman" w:hAnsi="Arial" w:cs="Arial"/>
          <w:szCs w:val="28"/>
          <w:lang w:val="en-US" w:eastAsia="ar-SA"/>
        </w:rPr>
        <w:t>c</w:t>
      </w:r>
      <w:r w:rsidRPr="00511005">
        <w:rPr>
          <w:rFonts w:ascii="Arial" w:eastAsia="Times New Roman" w:hAnsi="Arial" w:cs="Arial"/>
          <w:szCs w:val="28"/>
          <w:lang w:eastAsia="ar-SA"/>
        </w:rPr>
        <w:t>.22</w:t>
      </w:r>
      <w:r w:rsidRPr="00511005">
        <w:rPr>
          <w:rFonts w:ascii="Arial" w:eastAsia="Times New Roman" w:hAnsi="Arial" w:cs="Arial"/>
          <w:szCs w:val="28"/>
          <w:lang w:val="uk-UA" w:eastAsia="ar-SA"/>
        </w:rPr>
        <w:t>]</w:t>
      </w:r>
      <w:r w:rsidRPr="00511005">
        <w:rPr>
          <w:rFonts w:ascii="Arial" w:eastAsia="Times New Roman" w:hAnsi="Arial" w:cs="Arial"/>
          <w:szCs w:val="28"/>
          <w:lang w:val="uk-UA" w:eastAsia="uk-UA"/>
        </w:rPr>
        <w:t>.</w:t>
      </w:r>
    </w:p>
    <w:p w14:paraId="61F91E6E"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комерційній сфері технології розпізнавання на базі ШІ застосовуються для персоналізації сервісів: наприклад, у магазинах Amazon Go клієнти можуть розраховуватись без касира, а система автоматично фіксує, хто зайшов до магазину та що взяв із полиці. У банківській сфері технології розпізнавання облич все частіше використовуються для біометричної аутентифікації користувачів під час входу в онлайн-банкінг або проведення транзакцій. У смартфонах, наприклад iPhone з функцією Face ID, обличчя замінює пароль — і все це стало можливим завдяки адаптивним алгоритмам ШІ, здатним навчатися індивідуальних особливостей користувача</w:t>
      </w:r>
      <w:r w:rsidRPr="00511005">
        <w:rPr>
          <w:rFonts w:ascii="Arial" w:eastAsia="Times New Roman" w:hAnsi="Arial" w:cs="Arial"/>
          <w:szCs w:val="28"/>
          <w:lang w:val="uk-UA" w:eastAsia="ar-SA"/>
        </w:rPr>
        <w:t>[3]</w:t>
      </w:r>
      <w:r w:rsidRPr="00511005">
        <w:rPr>
          <w:rFonts w:ascii="Arial" w:eastAsia="Times New Roman" w:hAnsi="Arial" w:cs="Arial"/>
          <w:szCs w:val="28"/>
          <w:lang w:val="uk-UA" w:eastAsia="uk-UA"/>
        </w:rPr>
        <w:t>.</w:t>
      </w:r>
    </w:p>
    <w:p w14:paraId="2D115880"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галузі медицини технології розпізнавання облич на основі ШІ можуть використовуватися для діагностики певних захворювань, наприклад, генетичних синдромів, які мають зовнішні прояви. Дослідження також показують потенціал розпізнавання емоційних станів пацієнтів, що може бути важливим у психіатрії чи геріатрії. Додатково, розпізнавання емоцій на основі аналізу міміки облич стає інструментом у сфері маркетингу, дозволяючи оцінити реакцію клієнтів на продукт або рекламну кампанію.</w:t>
      </w:r>
    </w:p>
    <w:p w14:paraId="0D7CE79E"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Проте з розвитком таких потужних технологій постає низка етичних, юридичних та соціальних питань. Використання ШІ у розпізнаванні облич часто критикується через ризик надмірного стеження за громадянами, порушення конфіденційності та можливість дискримінації. Наприклад, дослідження показують, що деякі системи ШІ демонструють упередженість </w:t>
      </w:r>
      <w:r w:rsidRPr="00511005">
        <w:rPr>
          <w:rFonts w:ascii="Arial" w:eastAsia="Times New Roman" w:hAnsi="Arial" w:cs="Arial"/>
          <w:szCs w:val="28"/>
          <w:lang w:val="uk-UA" w:eastAsia="uk-UA"/>
        </w:rPr>
        <w:lastRenderedPageBreak/>
        <w:t>щодо певних расових чи гендерних груп, що зумовлено нерівномірністю у тренувальних вибірках. Якщо алгоритм навчався здебільшого на зображеннях осіб європеоїдної раси, його точність при розпізнаванні облич інших рас може бути значно нижчою, що вже призвело до скандалів у ряді західних країн</w:t>
      </w:r>
      <w:r w:rsidRPr="00511005">
        <w:rPr>
          <w:rFonts w:ascii="Arial" w:eastAsia="Times New Roman" w:hAnsi="Arial" w:cs="Arial"/>
          <w:szCs w:val="28"/>
          <w:lang w:val="uk-UA" w:eastAsia="ar-SA"/>
        </w:rPr>
        <w:t>[2,</w:t>
      </w:r>
      <w:r w:rsidRPr="00511005">
        <w:rPr>
          <w:rFonts w:ascii="Arial" w:eastAsia="Times New Roman" w:hAnsi="Arial" w:cs="Arial"/>
          <w:szCs w:val="28"/>
          <w:lang w:val="en-US" w:eastAsia="ar-SA"/>
        </w:rPr>
        <w:t>c</w:t>
      </w:r>
      <w:r w:rsidRPr="00511005">
        <w:rPr>
          <w:rFonts w:ascii="Arial" w:eastAsia="Times New Roman" w:hAnsi="Arial" w:cs="Arial"/>
          <w:szCs w:val="28"/>
          <w:lang w:val="uk-UA" w:eastAsia="ar-SA"/>
        </w:rPr>
        <w:t>.65]</w:t>
      </w:r>
      <w:r w:rsidRPr="00511005">
        <w:rPr>
          <w:rFonts w:ascii="Arial" w:eastAsia="Times New Roman" w:hAnsi="Arial" w:cs="Arial"/>
          <w:szCs w:val="28"/>
          <w:lang w:val="uk-UA" w:eastAsia="uk-UA"/>
        </w:rPr>
        <w:t>.</w:t>
      </w:r>
    </w:p>
    <w:p w14:paraId="0BCE45F5"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деяких країнах, зокрема в Європейському Союзі, активно ведеться дискусія щодо правового регулювання використання технологій розпізнавання облич. Європейська комісія пропонує заборонити автоматичне розпізнавання у публічному просторі без чітко обґрунтованих підстав. Водночас уряди деяких країн навпаки заохочують розвиток таких технологій, вбачаючи в них інструмент безпеки та ефективного управління населенням. Таким чином, ШІ не тільки створює технічні рішення, а й формує нові виклики для демократій та прав людини, зокрема у сфері цифрової ідентичності.</w:t>
      </w:r>
    </w:p>
    <w:p w14:paraId="035E8C45"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Варто окремо зазначити, що ефективність ШІ у розпізнаванні облич залежить від якості даних, на яких система навчається. Чим більше й різноманітніше зображення, тим точнішими стають моделі. Проте це породжує нові запитання: хто має право збирати та зберігати такі біометричні дані? Чи можуть громадяни контролювати, як використовуються їхні обличчя в цифровому просторі? Саме тому з’являються рухи за цифрові права, які вимагають прозорості в алгоритмах ШІ, можливості аудиту та механізмів оскарження рішень, які базуються на розпізнаванні облич</w:t>
      </w:r>
      <w:r w:rsidRPr="00511005">
        <w:rPr>
          <w:rFonts w:ascii="Arial" w:eastAsia="Times New Roman" w:hAnsi="Arial" w:cs="Arial"/>
          <w:szCs w:val="28"/>
          <w:lang w:val="uk-UA" w:eastAsia="ar-SA"/>
        </w:rPr>
        <w:t>[1]</w:t>
      </w:r>
      <w:r w:rsidRPr="00511005">
        <w:rPr>
          <w:rFonts w:ascii="Arial" w:eastAsia="Times New Roman" w:hAnsi="Arial" w:cs="Arial"/>
          <w:szCs w:val="28"/>
          <w:lang w:val="uk-UA" w:eastAsia="uk-UA"/>
        </w:rPr>
        <w:t>.</w:t>
      </w:r>
    </w:p>
    <w:p w14:paraId="5D37D263"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Іншим важливим напрямком розвитку є підвищення енергоефективності алгоритмів ШІ, які обробляють обличчя. Великі нейронні мережі потребують значних обчислювальних ресурсів, що має екологічні та фінансові наслідки. Відтак дослідники працюють над оптимізацією моделей, створенням легших архітектур, таких як MobileNet або EfficientNet, які можна впроваджувати на мобільних пристроях без втрати точності. Це робить розпізнавання облич більш доступним для використання у різних контекстах — від гаджетів до «розумних міст»</w:t>
      </w:r>
      <w:r w:rsidRPr="00511005">
        <w:rPr>
          <w:rFonts w:ascii="Arial" w:eastAsia="Times New Roman" w:hAnsi="Arial" w:cs="Arial"/>
          <w:szCs w:val="28"/>
          <w:lang w:val="uk-UA" w:eastAsia="ar-SA"/>
        </w:rPr>
        <w:t xml:space="preserve"> [</w:t>
      </w:r>
      <w:r w:rsidRPr="00511005">
        <w:rPr>
          <w:rFonts w:ascii="Arial" w:eastAsia="Times New Roman" w:hAnsi="Arial" w:cs="Arial"/>
          <w:szCs w:val="28"/>
          <w:lang w:eastAsia="ar-SA"/>
        </w:rPr>
        <w:t>2,</w:t>
      </w:r>
      <w:r w:rsidRPr="00511005">
        <w:rPr>
          <w:rFonts w:ascii="Arial" w:eastAsia="Times New Roman" w:hAnsi="Arial" w:cs="Arial"/>
          <w:szCs w:val="28"/>
          <w:lang w:val="en-US" w:eastAsia="ar-SA"/>
        </w:rPr>
        <w:t>c</w:t>
      </w:r>
      <w:r w:rsidRPr="00511005">
        <w:rPr>
          <w:rFonts w:ascii="Arial" w:eastAsia="Times New Roman" w:hAnsi="Arial" w:cs="Arial"/>
          <w:szCs w:val="28"/>
          <w:lang w:eastAsia="ar-SA"/>
        </w:rPr>
        <w:t>.36</w:t>
      </w:r>
      <w:r w:rsidRPr="00511005">
        <w:rPr>
          <w:rFonts w:ascii="Arial" w:eastAsia="Times New Roman" w:hAnsi="Arial" w:cs="Arial"/>
          <w:szCs w:val="28"/>
          <w:lang w:val="uk-UA" w:eastAsia="ar-SA"/>
        </w:rPr>
        <w:t>]</w:t>
      </w:r>
      <w:r w:rsidRPr="00511005">
        <w:rPr>
          <w:rFonts w:ascii="Arial" w:eastAsia="Times New Roman" w:hAnsi="Arial" w:cs="Arial"/>
          <w:szCs w:val="28"/>
          <w:lang w:val="uk-UA" w:eastAsia="uk-UA"/>
        </w:rPr>
        <w:t>.</w:t>
      </w:r>
    </w:p>
    <w:p w14:paraId="418EF6F5"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штучний інтелект є рушійною силою розвитку технологій розпізнавання облич. Його здатність до самонавчання, адаптації до нових даних, обробки великих обсягів інформації та виділення ключових ознак зображень дозволяє створювати системи, що наближаються за точністю до людських можливостей. Однак ця технологічна еволюція вимагає відповідального ставлення до питань приватності, етики та рівності. У найближчому майбутньому розвиток ШІ лише посилить проникнення систем розпізнавання облич у повсякденне життя, тому необхідним є баланс між інноваціями та захистом прав людини. Відтак роль штучного інтелекту в цій сфері буде лише зростати, потребуючи одночасно технічного, правового та етичного супроводу.</w:t>
      </w:r>
    </w:p>
    <w:p w14:paraId="24A4EA6D" w14:textId="77777777" w:rsidR="00532C25" w:rsidRPr="00511005" w:rsidRDefault="00532C25" w:rsidP="00532C25">
      <w:pPr>
        <w:suppressAutoHyphens/>
        <w:spacing w:line="264" w:lineRule="auto"/>
        <w:ind w:firstLine="567"/>
        <w:jc w:val="center"/>
        <w:rPr>
          <w:rFonts w:ascii="Arial" w:eastAsia="Times New Roman" w:hAnsi="Arial" w:cs="Arial"/>
          <w:szCs w:val="28"/>
          <w:lang w:val="uk-UA" w:eastAsia="ar-SA"/>
        </w:rPr>
      </w:pPr>
    </w:p>
    <w:p w14:paraId="65C20DC5" w14:textId="77777777" w:rsidR="00532C25" w:rsidRPr="00511005" w:rsidRDefault="00532C25" w:rsidP="00532C25">
      <w:pPr>
        <w:suppressAutoHyphens/>
        <w:spacing w:line="264" w:lineRule="auto"/>
        <w:ind w:firstLine="0"/>
        <w:jc w:val="center"/>
        <w:rPr>
          <w:rFonts w:ascii="Arial" w:eastAsia="Times New Roman" w:hAnsi="Arial" w:cs="Arial"/>
          <w:b/>
          <w:bCs/>
          <w:szCs w:val="28"/>
          <w:lang w:val="uk-UA" w:eastAsia="ar-SA"/>
        </w:rPr>
      </w:pPr>
      <w:r w:rsidRPr="00511005">
        <w:rPr>
          <w:rFonts w:ascii="Arial" w:eastAsia="Times New Roman" w:hAnsi="Arial" w:cs="Arial"/>
          <w:b/>
          <w:bCs/>
          <w:szCs w:val="28"/>
          <w:lang w:val="uk-UA" w:eastAsia="ar-SA"/>
        </w:rPr>
        <w:lastRenderedPageBreak/>
        <w:t>Список використаних джерел</w:t>
      </w:r>
    </w:p>
    <w:p w14:paraId="609724EB" w14:textId="77777777" w:rsidR="00532C25" w:rsidRPr="00511005" w:rsidRDefault="00532C25" w:rsidP="00532C25">
      <w:pPr>
        <w:suppressAutoHyphens/>
        <w:spacing w:line="264" w:lineRule="auto"/>
        <w:rPr>
          <w:rFonts w:ascii="Arial" w:eastAsia="Times New Roman" w:hAnsi="Arial" w:cs="Arial"/>
          <w:szCs w:val="28"/>
          <w:lang w:val="uk-UA" w:eastAsia="ar-SA"/>
        </w:rPr>
      </w:pPr>
      <w:r w:rsidRPr="00511005">
        <w:rPr>
          <w:rFonts w:ascii="Arial" w:eastAsia="Times New Roman" w:hAnsi="Arial" w:cs="Arial"/>
          <w:szCs w:val="28"/>
          <w:lang w:val="uk-UA" w:eastAsia="ar-SA"/>
        </w:rPr>
        <w:t xml:space="preserve">1. Штучний інтелект (ШІ) – що це таке, як працює і навіщо потрібен. URL: https://termin.in.ua/ shtuchnyy-intelekt/ (дата звернення: 12.04.2023). </w:t>
      </w:r>
    </w:p>
    <w:p w14:paraId="217029DC" w14:textId="77777777" w:rsidR="00532C25" w:rsidRPr="00511005" w:rsidRDefault="00532C25" w:rsidP="00532C25">
      <w:pPr>
        <w:suppressAutoHyphens/>
        <w:spacing w:line="264" w:lineRule="auto"/>
        <w:rPr>
          <w:rFonts w:ascii="Arial" w:eastAsia="Times New Roman" w:hAnsi="Arial" w:cs="Arial"/>
          <w:szCs w:val="28"/>
          <w:lang w:val="uk-UA" w:eastAsia="ar-SA"/>
        </w:rPr>
      </w:pPr>
      <w:r w:rsidRPr="00511005">
        <w:rPr>
          <w:rFonts w:ascii="Arial" w:eastAsia="Times New Roman" w:hAnsi="Arial" w:cs="Arial"/>
          <w:szCs w:val="28"/>
          <w:lang w:val="uk-UA" w:eastAsia="ar-SA"/>
        </w:rPr>
        <w:t>2. Благута Р.І., Мовчан А.В. Новітні технології у розслідуванні злочинів: сучасний стан і проблеми використання: монографія. Львів : ЛьвДУВС, 2020. 256 с.</w:t>
      </w:r>
    </w:p>
    <w:p w14:paraId="67029245" w14:textId="77777777" w:rsidR="00532C25" w:rsidRPr="00511005" w:rsidRDefault="00532C25" w:rsidP="00532C25">
      <w:pPr>
        <w:suppressAutoHyphens/>
        <w:spacing w:line="264" w:lineRule="auto"/>
        <w:rPr>
          <w:rFonts w:ascii="Arial" w:eastAsia="Times New Roman" w:hAnsi="Arial" w:cs="Arial"/>
          <w:szCs w:val="28"/>
          <w:lang w:val="uk-UA" w:eastAsia="ar-SA"/>
        </w:rPr>
      </w:pPr>
      <w:r w:rsidRPr="00511005">
        <w:rPr>
          <w:rFonts w:ascii="Arial" w:eastAsia="Times New Roman" w:hAnsi="Arial" w:cs="Arial"/>
          <w:szCs w:val="28"/>
          <w:lang w:val="uk-UA" w:eastAsia="ar-SA"/>
        </w:rPr>
        <w:t xml:space="preserve">3. Бугера О.І. Використання штучного інтелекту для запобігання злочинності. Вчені записки ТНУ імені В.І. Вернадського. Серія: юридичні науки. Том 32(71). № 6. 2021. С. 82–86. URL: https://www.juris. vernadskyjournals.in.ua/journals/2021/6_2021/15.pdf (дата звернення: 12.04.2023). </w:t>
      </w:r>
    </w:p>
    <w:p w14:paraId="68B2477E" w14:textId="77777777" w:rsidR="00532C25" w:rsidRPr="00511005" w:rsidRDefault="00532C25" w:rsidP="00532C25">
      <w:pPr>
        <w:suppressAutoHyphens/>
        <w:spacing w:line="264" w:lineRule="auto"/>
        <w:rPr>
          <w:rFonts w:ascii="Arial" w:eastAsia="Times New Roman" w:hAnsi="Arial" w:cs="Arial"/>
          <w:szCs w:val="28"/>
          <w:lang w:val="uk-UA" w:eastAsia="ar-SA"/>
        </w:rPr>
      </w:pPr>
      <w:r w:rsidRPr="00511005">
        <w:rPr>
          <w:rFonts w:ascii="Arial" w:eastAsia="Times New Roman" w:hAnsi="Arial" w:cs="Arial"/>
          <w:szCs w:val="28"/>
          <w:lang w:val="uk-UA" w:eastAsia="ar-SA"/>
        </w:rPr>
        <w:t>4. Гайдамашко Олександр. У Європолі попередили про шахрайські схеми з використанням ChatGPT. Новини 24. 30 березня 2023 р. URL: https://24tv.ua/tech/chatgpt-rozshiriv-mozhlivosti-shahrayiv-neochikuvanim-sposobom_n2284722 (дата звернення: 12.04.2023).</w:t>
      </w:r>
    </w:p>
    <w:p w14:paraId="1A6D923B" w14:textId="77777777" w:rsidR="00532C25" w:rsidRPr="00511005" w:rsidRDefault="00532C25" w:rsidP="00532C25">
      <w:pPr>
        <w:spacing w:line="264" w:lineRule="auto"/>
        <w:ind w:firstLine="720"/>
        <w:jc w:val="left"/>
        <w:rPr>
          <w:rFonts w:ascii="Arial" w:eastAsia="Calibri" w:hAnsi="Arial" w:cs="Arial"/>
          <w:b/>
          <w:i/>
          <w:szCs w:val="28"/>
          <w:shd w:val="clear" w:color="auto" w:fill="FFFFFF"/>
          <w:lang w:val="uk-UA"/>
        </w:rPr>
      </w:pPr>
    </w:p>
    <w:p w14:paraId="788F92A9" w14:textId="77777777" w:rsidR="00532C25" w:rsidRPr="00511005" w:rsidRDefault="00532C25" w:rsidP="00532C25">
      <w:pPr>
        <w:keepNext/>
        <w:spacing w:line="264" w:lineRule="auto"/>
        <w:ind w:firstLine="72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штучний інтелект, криміналістика, криміналістична ідентифікація, біометричні технології, габітологія.</w:t>
      </w:r>
    </w:p>
    <w:p w14:paraId="36FA4432" w14:textId="30231892" w:rsidR="00532C25" w:rsidRPr="00511005" w:rsidRDefault="00532C25" w:rsidP="00532C25">
      <w:pPr>
        <w:spacing w:line="264" w:lineRule="auto"/>
        <w:ind w:firstLine="720"/>
        <w:jc w:val="left"/>
        <w:rPr>
          <w:rFonts w:ascii="Arial" w:eastAsia="Calibri" w:hAnsi="Arial" w:cs="Arial"/>
          <w:b/>
          <w:szCs w:val="28"/>
          <w:shd w:val="clear" w:color="auto" w:fill="FFFFFF"/>
          <w:lang w:val="uk-UA"/>
        </w:rPr>
      </w:pPr>
      <w:r w:rsidRPr="00070B72">
        <w:rPr>
          <w:rFonts w:ascii="Arial" w:eastAsia="Calibri" w:hAnsi="Arial" w:cs="Arial"/>
          <w:b/>
          <w:i/>
          <w:iCs/>
          <w:szCs w:val="28"/>
          <w:shd w:val="clear" w:color="auto" w:fill="FFFFFF"/>
          <w:lang w:val="uk-UA"/>
        </w:rPr>
        <w:t>Key</w:t>
      </w:r>
      <w:r w:rsidR="00070B72" w:rsidRPr="00070B72">
        <w:rPr>
          <w:rFonts w:ascii="Arial" w:eastAsia="Calibri" w:hAnsi="Arial" w:cs="Arial"/>
          <w:b/>
          <w:i/>
          <w:iCs/>
          <w:szCs w:val="28"/>
          <w:shd w:val="clear" w:color="auto" w:fill="FFFFFF"/>
          <w:lang w:val="uk-UA"/>
        </w:rPr>
        <w:t xml:space="preserve"> </w:t>
      </w:r>
      <w:r w:rsidRPr="00070B72">
        <w:rPr>
          <w:rFonts w:ascii="Arial" w:eastAsia="Calibri" w:hAnsi="Arial" w:cs="Arial"/>
          <w:b/>
          <w:i/>
          <w:iCs/>
          <w:szCs w:val="28"/>
          <w:shd w:val="clear" w:color="auto" w:fill="FFFFFF"/>
          <w:lang w:val="uk-UA"/>
        </w:rPr>
        <w:t>words</w:t>
      </w:r>
      <w:r w:rsidR="00070B72" w:rsidRPr="00070B72">
        <w:rPr>
          <w:rFonts w:ascii="Arial" w:eastAsia="Calibri" w:hAnsi="Arial" w:cs="Arial"/>
          <w:b/>
          <w:i/>
          <w:iCs/>
          <w:szCs w:val="28"/>
          <w:shd w:val="clear" w:color="auto" w:fill="FFFFFF"/>
          <w:lang w:val="uk-UA"/>
        </w:rPr>
        <w:t>:</w:t>
      </w:r>
      <w:r w:rsidRPr="00511005">
        <w:rPr>
          <w:rFonts w:ascii="Arial" w:eastAsia="Calibri" w:hAnsi="Arial" w:cs="Arial"/>
          <w:bCs/>
          <w:szCs w:val="28"/>
          <w:shd w:val="clear" w:color="auto" w:fill="FFFFFF"/>
          <w:lang w:val="uk-UA"/>
        </w:rPr>
        <w:t xml:space="preserve"> artificial intelligence, forensics, forensic identification, biometric technologies, habitology.</w:t>
      </w:r>
    </w:p>
    <w:p w14:paraId="3A171419" w14:textId="77777777" w:rsidR="00532C25" w:rsidRPr="00511005" w:rsidRDefault="00532C25" w:rsidP="00532C25">
      <w:pPr>
        <w:tabs>
          <w:tab w:val="left" w:pos="993"/>
          <w:tab w:val="left" w:pos="7088"/>
        </w:tabs>
        <w:spacing w:line="264" w:lineRule="auto"/>
        <w:rPr>
          <w:rFonts w:ascii="Arial" w:eastAsia="Calibri" w:hAnsi="Arial" w:cs="Arial"/>
          <w:i/>
          <w:iCs/>
          <w:szCs w:val="28"/>
          <w:lang w:bidi="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eastAsia="ru-RU"/>
        </w:rPr>
        <w:t>д.ю.н., завідувач кафедри, професор Аркуша Л.І.</w:t>
      </w:r>
    </w:p>
    <w:p w14:paraId="226AC612" w14:textId="77777777" w:rsidR="00532C25" w:rsidRPr="00511005" w:rsidRDefault="00532C25" w:rsidP="00532C25">
      <w:pPr>
        <w:spacing w:line="264" w:lineRule="auto"/>
        <w:ind w:firstLine="720"/>
        <w:jc w:val="left"/>
        <w:rPr>
          <w:rFonts w:ascii="Arial" w:eastAsia="Calibri" w:hAnsi="Arial" w:cs="Arial"/>
          <w:b/>
          <w:i/>
          <w:szCs w:val="28"/>
          <w:shd w:val="clear" w:color="auto" w:fill="FFFFFF"/>
          <w:lang w:val="uk-UA"/>
        </w:rPr>
      </w:pPr>
    </w:p>
    <w:p w14:paraId="753D62D9" w14:textId="77777777" w:rsidR="00532C25" w:rsidRPr="00511005" w:rsidRDefault="00532C25" w:rsidP="00532C25">
      <w:pPr>
        <w:spacing w:line="264" w:lineRule="auto"/>
        <w:ind w:firstLine="720"/>
        <w:jc w:val="center"/>
        <w:rPr>
          <w:rFonts w:ascii="Arial" w:eastAsia="Calibri" w:hAnsi="Arial" w:cs="Arial"/>
          <w:b/>
          <w:i/>
          <w:szCs w:val="28"/>
          <w:shd w:val="clear" w:color="auto" w:fill="FFFFFF"/>
          <w:lang w:val="uk-UA"/>
        </w:rPr>
      </w:pPr>
    </w:p>
    <w:p w14:paraId="4F061585" w14:textId="77777777" w:rsidR="00532C25" w:rsidRPr="00511005" w:rsidRDefault="00532C25" w:rsidP="00532C25">
      <w:pPr>
        <w:spacing w:line="264" w:lineRule="auto"/>
        <w:ind w:firstLine="720"/>
        <w:jc w:val="center"/>
        <w:rPr>
          <w:rFonts w:ascii="Arial" w:eastAsia="Times New Roman" w:hAnsi="Arial" w:cs="Arial"/>
          <w:iCs/>
          <w:szCs w:val="28"/>
          <w:lang w:val="uk-UA" w:eastAsia="ru-RU"/>
        </w:rPr>
      </w:pPr>
      <w:r w:rsidRPr="00511005">
        <w:rPr>
          <w:rFonts w:ascii="Arial" w:eastAsia="Times New Roman" w:hAnsi="Arial" w:cs="Arial"/>
          <w:b/>
          <w:bCs/>
          <w:i/>
          <w:iCs/>
          <w:szCs w:val="28"/>
          <w:lang w:val="uk-UA" w:eastAsia="ru-RU"/>
        </w:rPr>
        <w:t>Шеверенко Єлизавета Олегівна</w:t>
      </w:r>
      <w:r w:rsidRPr="00511005">
        <w:rPr>
          <w:rFonts w:ascii="Arial" w:eastAsia="Times New Roman" w:hAnsi="Arial" w:cs="Arial"/>
          <w:iCs/>
          <w:szCs w:val="28"/>
          <w:lang w:val="uk-UA" w:eastAsia="ru-RU"/>
        </w:rPr>
        <w:t xml:space="preserve"> </w:t>
      </w:r>
    </w:p>
    <w:p w14:paraId="37745E5E" w14:textId="77777777" w:rsidR="00532C25" w:rsidRPr="00511005" w:rsidRDefault="00532C25" w:rsidP="00532C25">
      <w:pPr>
        <w:spacing w:line="264" w:lineRule="auto"/>
        <w:ind w:firstLine="720"/>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студентка 1-го курсу магістратури факультету адвокатури та антикорупційної діяльності</w:t>
      </w:r>
    </w:p>
    <w:p w14:paraId="065507D4" w14:textId="77777777" w:rsidR="00532C25" w:rsidRPr="00511005" w:rsidRDefault="00532C25" w:rsidP="00532C25">
      <w:pPr>
        <w:spacing w:line="264" w:lineRule="auto"/>
        <w:ind w:firstLine="720"/>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p>
    <w:p w14:paraId="071A1507" w14:textId="77777777" w:rsidR="00532C25" w:rsidRPr="00511005" w:rsidRDefault="00532C25" w:rsidP="00532C25">
      <w:pPr>
        <w:spacing w:line="264" w:lineRule="auto"/>
        <w:ind w:firstLine="720"/>
        <w:jc w:val="center"/>
        <w:rPr>
          <w:rFonts w:ascii="Arial" w:eastAsia="Times New Roman" w:hAnsi="Arial" w:cs="Arial"/>
          <w:iCs/>
          <w:szCs w:val="28"/>
          <w:lang w:val="uk-UA" w:eastAsia="ru-RU"/>
        </w:rPr>
      </w:pPr>
    </w:p>
    <w:p w14:paraId="0EA56C30"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ПРОБЛЕМНІ АСПЕКТИ КВАЛІФІКАЦІЇ ТА РОЗСЛІДУВАННЯ ВОЄННИХ ЗЛОЧИНІВ В УКРАЇНИ</w:t>
      </w:r>
    </w:p>
    <w:p w14:paraId="7B341B3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Порушення законів та звичаїв війни, кваліфікація воєнних злочинів та притягнення правопорушників до відповідальності є взаємозалежними складовими воєнних злочинів. Процес виявлення злочину, його розслідування та покарання винних є досить складним та довготривалим, особливо, коли мова йде про міжнародні збройні конфлікти різних країн.</w:t>
      </w:r>
    </w:p>
    <w:p w14:paraId="19050C83"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Посягання однієї держави на суверенітет, територіальну цілісність, недоторканність та безпеку іншої є порушенням міжнародно-правових норм та договорів, які є основою забезпечення миру та правопорядку на світовій арені. Такі дії мають бути кваліфіковані як воєнні злочини, а країни-ініціатори таких посягань мають бути покарані згідно чинного кримінального законодавства - це державний апарат влади, який видавав злочинні накази та безпосередньо армія, кровавими руками якої їх було виконано. [3] </w:t>
      </w:r>
    </w:p>
    <w:p w14:paraId="71BDB70F" w14:textId="77777777" w:rsidR="00532C25" w:rsidRPr="00511005" w:rsidRDefault="00532C25" w:rsidP="00532C25">
      <w:pPr>
        <w:spacing w:line="264" w:lineRule="auto"/>
        <w:ind w:firstLine="720"/>
        <w:rPr>
          <w:rFonts w:ascii="Arial" w:eastAsia="Calibri" w:hAnsi="Arial" w:cs="Arial"/>
          <w:b/>
          <w:szCs w:val="28"/>
          <w:lang w:val="uk-UA"/>
        </w:rPr>
      </w:pPr>
      <w:r w:rsidRPr="00511005">
        <w:rPr>
          <w:rFonts w:ascii="Arial" w:eastAsia="Calibri" w:hAnsi="Arial" w:cs="Arial"/>
          <w:szCs w:val="28"/>
          <w:lang w:val="uk-UA"/>
        </w:rPr>
        <w:lastRenderedPageBreak/>
        <w:t>Належна правова кваліфікація з урахуванням усіх фактичних та юридичних обставин є ключовим чинником забезпечення справедливого призначення кримінального покарання. У контексті збройного конфлікту особливої уваги набуває об’єктивна та всебічна правова оцінка дій кожного суб’єкта, причетного до вчинення воєнних злочинів відповідно до норм. [4]</w:t>
      </w:r>
    </w:p>
    <w:p w14:paraId="1624A081" w14:textId="77777777" w:rsidR="00532C25" w:rsidRPr="00511005" w:rsidRDefault="00532C25" w:rsidP="00532C25">
      <w:pPr>
        <w:spacing w:line="264" w:lineRule="auto"/>
        <w:ind w:firstLine="720"/>
        <w:rPr>
          <w:rFonts w:ascii="Arial" w:eastAsia="Calibri" w:hAnsi="Arial" w:cs="Arial"/>
          <w:bCs/>
          <w:szCs w:val="28"/>
          <w:shd w:val="clear" w:color="auto" w:fill="FFFFFF"/>
          <w:lang w:val="uk-UA"/>
        </w:rPr>
      </w:pPr>
      <w:r w:rsidRPr="00511005">
        <w:rPr>
          <w:rFonts w:ascii="Arial" w:eastAsia="Calibri" w:hAnsi="Arial" w:cs="Arial"/>
          <w:bCs/>
          <w:szCs w:val="28"/>
          <w:shd w:val="clear" w:color="auto" w:fill="FFFFFF"/>
          <w:lang w:val="uk-UA"/>
        </w:rPr>
        <w:t>Воєнні злочини характеризуються протиправною свавільною поведінкою держави як суб`єкта міжнародного права, який порушує право мирного існування іноземної країни.</w:t>
      </w:r>
    </w:p>
    <w:p w14:paraId="162E37A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Міжнародне кримінальне право встановлює поняття та достатньо великий перелік воєнних злочинів, який закріплений у Римському </w:t>
      </w:r>
      <w:r w:rsidRPr="00511005">
        <w:rPr>
          <w:rFonts w:ascii="Arial" w:eastAsia="Calibri" w:hAnsi="Arial" w:cs="Arial"/>
          <w:b/>
          <w:bCs/>
          <w:szCs w:val="28"/>
          <w:shd w:val="clear" w:color="auto" w:fill="FFFFFF"/>
          <w:lang w:val="uk-UA"/>
        </w:rPr>
        <w:t>Статуті Міжнародного Кримінального Суду</w:t>
      </w:r>
      <w:r w:rsidRPr="00511005">
        <w:rPr>
          <w:rFonts w:ascii="Arial" w:eastAsia="Calibri" w:hAnsi="Arial" w:cs="Arial"/>
          <w:szCs w:val="28"/>
          <w:lang w:val="uk-UA"/>
        </w:rPr>
        <w:t xml:space="preserve">. Відповідно до статті 8 Статуту «воєнні злочини» </w:t>
      </w:r>
      <w:bookmarkStart w:id="250" w:name="n72"/>
      <w:bookmarkEnd w:id="250"/>
      <w:r w:rsidRPr="00511005">
        <w:rPr>
          <w:rFonts w:ascii="Arial" w:eastAsia="Calibri" w:hAnsi="Arial" w:cs="Arial"/>
          <w:szCs w:val="28"/>
          <w:lang w:val="uk-UA"/>
        </w:rPr>
        <w:t>- це грубі порушення </w:t>
      </w:r>
      <w:r w:rsidR="005938AD">
        <w:fldChar w:fldCharType="begin"/>
      </w:r>
      <w:r w:rsidR="005938AD" w:rsidRPr="00C2797E">
        <w:rPr>
          <w:lang w:val="uk-UA"/>
        </w:rPr>
        <w:instrText xml:space="preserve"> </w:instrText>
      </w:r>
      <w:r w:rsidR="005938AD">
        <w:instrText>HYPERLINK</w:instrText>
      </w:r>
      <w:r w:rsidR="005938AD" w:rsidRPr="00C2797E">
        <w:rPr>
          <w:lang w:val="uk-UA"/>
        </w:rPr>
        <w:instrText xml:space="preserve"> "</w:instrText>
      </w:r>
      <w:r w:rsidR="005938AD">
        <w:instrText>https</w:instrText>
      </w:r>
      <w:r w:rsidR="005938AD" w:rsidRPr="00C2797E">
        <w:rPr>
          <w:lang w:val="uk-UA"/>
        </w:rPr>
        <w:instrText>://</w:instrText>
      </w:r>
      <w:r w:rsidR="005938AD">
        <w:instrText>zakon</w:instrText>
      </w:r>
      <w:r w:rsidR="005938AD" w:rsidRPr="00C2797E">
        <w:rPr>
          <w:lang w:val="uk-UA"/>
        </w:rPr>
        <w:instrText>.</w:instrText>
      </w:r>
      <w:r w:rsidR="005938AD">
        <w:instrText>rada</w:instrText>
      </w:r>
      <w:r w:rsidR="005938AD" w:rsidRPr="00C2797E">
        <w:rPr>
          <w:lang w:val="uk-UA"/>
        </w:rPr>
        <w:instrText>.</w:instrText>
      </w:r>
      <w:r w:rsidR="005938AD">
        <w:instrText>gov</w:instrText>
      </w:r>
      <w:r w:rsidR="005938AD" w:rsidRPr="00C2797E">
        <w:rPr>
          <w:lang w:val="uk-UA"/>
        </w:rPr>
        <w:instrText>.</w:instrText>
      </w:r>
      <w:r w:rsidR="005938AD">
        <w:instrText>ua</w:instrText>
      </w:r>
      <w:r w:rsidR="005938AD" w:rsidRPr="00C2797E">
        <w:rPr>
          <w:lang w:val="uk-UA"/>
        </w:rPr>
        <w:instrText>/</w:instrText>
      </w:r>
      <w:r w:rsidR="005938AD">
        <w:instrText>laws</w:instrText>
      </w:r>
      <w:r w:rsidR="005938AD" w:rsidRPr="00C2797E">
        <w:rPr>
          <w:lang w:val="uk-UA"/>
        </w:rPr>
        <w:instrText>/</w:instrText>
      </w:r>
      <w:r w:rsidR="005938AD">
        <w:instrText>show</w:instrText>
      </w:r>
      <w:r w:rsidR="005938AD" w:rsidRPr="00C2797E">
        <w:rPr>
          <w:lang w:val="uk-UA"/>
        </w:rPr>
        <w:instrText>/995_588" \</w:instrText>
      </w:r>
      <w:r w:rsidR="005938AD">
        <w:instrText>l</w:instrText>
      </w:r>
      <w:r w:rsidR="005938AD" w:rsidRPr="00C2797E">
        <w:rPr>
          <w:lang w:val="uk-UA"/>
        </w:rPr>
        <w:instrText xml:space="preserve"> "</w:instrText>
      </w:r>
      <w:r w:rsidR="005938AD">
        <w:instrText>n</w:instrText>
      </w:r>
      <w:r w:rsidR="005938AD" w:rsidRPr="00C2797E">
        <w:rPr>
          <w:lang w:val="uk-UA"/>
        </w:rPr>
        <w:instrText xml:space="preserve">1085" </w:instrText>
      </w:r>
      <w:r w:rsidR="005938AD">
        <w:fldChar w:fldCharType="separate"/>
      </w:r>
      <w:r w:rsidRPr="00511005">
        <w:rPr>
          <w:rFonts w:ascii="Arial" w:eastAsia="Calibri" w:hAnsi="Arial" w:cs="Arial"/>
          <w:szCs w:val="28"/>
          <w:lang w:val="uk-UA"/>
        </w:rPr>
        <w:t>Женевських конвенцій</w:t>
      </w:r>
      <w:r w:rsidR="005938AD">
        <w:rPr>
          <w:rFonts w:ascii="Arial" w:eastAsia="Calibri" w:hAnsi="Arial" w:cs="Arial"/>
          <w:szCs w:val="28"/>
          <w:lang w:val="uk-UA"/>
        </w:rPr>
        <w:fldChar w:fldCharType="end"/>
      </w:r>
      <w:r w:rsidRPr="00511005">
        <w:rPr>
          <w:rFonts w:ascii="Arial" w:eastAsia="Calibri" w:hAnsi="Arial" w:cs="Arial"/>
          <w:szCs w:val="28"/>
          <w:lang w:val="uk-UA"/>
        </w:rPr>
        <w:t> від 12 серпня 1949 року, а саме діяння проти осіб або майна, що охороняються згідно з положеннями відповідної Женевської конвенції. [1]</w:t>
      </w:r>
    </w:p>
    <w:p w14:paraId="0618C8E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Українське кримінальне законодавство в свою чергу також надає визначення поняття «воєнні злочини». В Кримінальному Кодексі України міститься два розділи, які стосуються військових та воєнних злочинів. Відповідно до статті 438 Кримінального Кодексу України Воєнні злочини</w:t>
      </w:r>
      <w:bookmarkStart w:id="251" w:name="n3041"/>
      <w:bookmarkEnd w:id="251"/>
      <w:r w:rsidRPr="00511005">
        <w:rPr>
          <w:rFonts w:ascii="Arial" w:eastAsia="Calibri" w:hAnsi="Arial" w:cs="Arial"/>
          <w:szCs w:val="28"/>
          <w:lang w:val="uk-UA"/>
        </w:rPr>
        <w:t xml:space="preserve"> – це Жорстоке поводження з військовополоненими або цивільним населенням, вигнання цивільного населення для примусових робіт, розграбування національних цінностей на окупованій території, застосування засобів ведення війни, заборонених міжнародним правом, інші порушення законів та звичаїв війни, що передбачені міжнародними договорами, згода на обов'язковість яких надана Верховною Радою України, а також віддання наказу про вчинення таких дій. [2]</w:t>
      </w:r>
    </w:p>
    <w:p w14:paraId="7FDFD5E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Ускладнена та неправильна кваліфікація воєнних злочинів в Україні зумовлена відсутністю в Кримінальному Кодексі України розширеного переліку воєнних правопорушень, який надає міжнародне законодавство. Це спричиняє велику обмеженість правоохоронних органів у виборі відповідної санкції за протиправну злочинну поведінку винних осіб відповідно нормам національного законодавства. </w:t>
      </w:r>
    </w:p>
    <w:p w14:paraId="491CE6A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Поняття «воєнні злочини» в українському законодавстві подається доволі стислою статтею і має «розмитий» зміст на відміну від вищезгаданого Римського </w:t>
      </w:r>
      <w:r w:rsidRPr="00511005">
        <w:rPr>
          <w:rFonts w:ascii="Arial" w:eastAsia="Calibri" w:hAnsi="Arial" w:cs="Arial"/>
          <w:b/>
          <w:bCs/>
          <w:szCs w:val="28"/>
          <w:shd w:val="clear" w:color="auto" w:fill="FFFFFF"/>
          <w:lang w:val="uk-UA"/>
        </w:rPr>
        <w:t>Статуту Міжнародного Кримінального Суду</w:t>
      </w:r>
      <w:r w:rsidRPr="00511005">
        <w:rPr>
          <w:rFonts w:ascii="Arial" w:eastAsia="Calibri" w:hAnsi="Arial" w:cs="Arial"/>
          <w:szCs w:val="28"/>
          <w:lang w:val="uk-UA"/>
        </w:rPr>
        <w:t>. Виникає питання, як правильно трактувати частину статті 438 Кримінального Кодексу України «</w:t>
      </w:r>
      <w:r w:rsidRPr="00511005">
        <w:rPr>
          <w:rFonts w:ascii="Arial" w:eastAsia="Calibri" w:hAnsi="Arial" w:cs="Arial"/>
          <w:szCs w:val="28"/>
          <w:shd w:val="clear" w:color="auto" w:fill="FFFFFF"/>
          <w:lang w:val="uk-UA"/>
        </w:rPr>
        <w:t>інші порушення законів та звичаїв війни, що передбачені міжнародними договорами, згода на обов'язковість яких надана Верховною Радою України».</w:t>
      </w:r>
    </w:p>
    <w:p w14:paraId="74C9DDF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Проблематикою застосування статті 438 Кримінального Кодексу України при кваліфікації кримінального правопорушення, а саме воєнного злочину, є недостатня визначеність аспекту міжнародного права, тобто на відміну від статті Римського </w:t>
      </w:r>
      <w:r w:rsidRPr="00511005">
        <w:rPr>
          <w:rFonts w:ascii="Arial" w:eastAsia="Calibri" w:hAnsi="Arial" w:cs="Arial"/>
          <w:b/>
          <w:bCs/>
          <w:szCs w:val="28"/>
          <w:shd w:val="clear" w:color="auto" w:fill="FFFFFF"/>
          <w:lang w:val="uk-UA"/>
        </w:rPr>
        <w:t>Статуту Міжнародного Кримінального Суду</w:t>
      </w:r>
      <w:r w:rsidRPr="00511005">
        <w:rPr>
          <w:rFonts w:ascii="Arial" w:eastAsia="Calibri" w:hAnsi="Arial" w:cs="Arial"/>
          <w:b/>
          <w:bCs/>
          <w:szCs w:val="28"/>
          <w:lang w:val="uk-UA"/>
        </w:rPr>
        <w:t>,</w:t>
      </w:r>
      <w:r w:rsidRPr="00511005">
        <w:rPr>
          <w:rFonts w:ascii="Arial" w:eastAsia="Calibri" w:hAnsi="Arial" w:cs="Arial"/>
          <w:szCs w:val="28"/>
          <w:lang w:val="uk-UA"/>
        </w:rPr>
        <w:t xml:space="preserve"> </w:t>
      </w:r>
      <w:r w:rsidRPr="00511005">
        <w:rPr>
          <w:rFonts w:ascii="Arial" w:eastAsia="Calibri" w:hAnsi="Arial" w:cs="Arial"/>
          <w:szCs w:val="28"/>
          <w:lang w:val="uk-UA"/>
        </w:rPr>
        <w:lastRenderedPageBreak/>
        <w:t>в котрій міститься відсилка на Женевські конвенції та яка деталізує вчинені протиправні діяння, в Кримінальному Кодексі України не конкретизовані норми міжнародного законодавства та договорів, порушуючи які наставатиме відповідальність. Така невизначеність утворює складнощі із кваліфікацією злочинів міжнародного масштабу.</w:t>
      </w:r>
    </w:p>
    <w:p w14:paraId="7F56827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Захист постраждалих та покарання винних в аспекті збройного конфлікту має бути пріоритетним та безпринципним як і в нашій державі, так і для світової спільноти, тобто має бути добре налагоджена система правосуддя, достатня кількість кваліфікованих фахівців та відповідне правове регулювання, яке сприятиме здійсненню справедливого судочинства та притягненню до відповідальності. </w:t>
      </w:r>
    </w:p>
    <w:p w14:paraId="34D7C86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Вцілому значним внеском до вдосконалення національного законодавства та унормованої кваліфікації воєнних правопорушень та їх розслідувань є ратифікація Римського </w:t>
      </w:r>
      <w:r w:rsidRPr="00511005">
        <w:rPr>
          <w:rFonts w:ascii="Arial" w:eastAsia="Calibri" w:hAnsi="Arial" w:cs="Arial"/>
          <w:b/>
          <w:bCs/>
          <w:szCs w:val="28"/>
          <w:shd w:val="clear" w:color="auto" w:fill="FFFFFF"/>
          <w:lang w:val="uk-UA"/>
        </w:rPr>
        <w:t>Статуту Міжнародного Кримінального Суду</w:t>
      </w:r>
      <w:r w:rsidRPr="00511005">
        <w:rPr>
          <w:rFonts w:ascii="Arial" w:eastAsia="Calibri" w:hAnsi="Arial" w:cs="Arial"/>
          <w:szCs w:val="28"/>
          <w:lang w:val="uk-UA"/>
        </w:rPr>
        <w:t>, підписантом якого колись стала й Україна, і 21.08.2024 нарешті його запровадила.</w:t>
      </w:r>
    </w:p>
    <w:p w14:paraId="552FE1A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На відміну від відсутності правового регулювання розслідування воєнних злочинів у чинному Кримінально-процесуальному Кодексі України, Римський </w:t>
      </w:r>
      <w:r w:rsidRPr="00511005">
        <w:rPr>
          <w:rFonts w:ascii="Arial" w:eastAsia="Calibri" w:hAnsi="Arial" w:cs="Arial"/>
          <w:b/>
          <w:bCs/>
          <w:szCs w:val="28"/>
          <w:shd w:val="clear" w:color="auto" w:fill="FFFFFF"/>
          <w:lang w:val="uk-UA"/>
        </w:rPr>
        <w:t>Статут Міжнародного Кримінального Суду</w:t>
      </w:r>
      <w:r w:rsidRPr="00511005">
        <w:rPr>
          <w:rFonts w:ascii="Arial" w:eastAsia="Calibri" w:hAnsi="Arial" w:cs="Arial"/>
          <w:szCs w:val="28"/>
          <w:lang w:val="uk-UA"/>
        </w:rPr>
        <w:t xml:space="preserve"> містить частину 5 </w:t>
      </w:r>
      <w:r w:rsidRPr="00511005">
        <w:rPr>
          <w:rFonts w:ascii="Arial" w:eastAsia="Calibri" w:hAnsi="Arial" w:cs="Arial"/>
          <w:bCs/>
          <w:szCs w:val="28"/>
          <w:shd w:val="clear" w:color="auto" w:fill="FFFFFF"/>
          <w:lang w:val="uk-UA"/>
        </w:rPr>
        <w:t>Розслідування та кримінальне переслідування. Цей розділ є надзвичайно важливим з точки зору регламентації порядку процесу як переслідування злочинців, так і гарантування прав осіб, які підпадають під підозру, оскільки він визначає аспекти початку розслідування, його здійснення уповноваженими органами, процедури арешту та підготовки матеріалів до судового розгляду. Велике значення має і ст. 55 даного Статуту, яка регламентує права осіб, стосовно яких здійснюється у ході розслідування, що є невід`ємною складовою гарантування дотримання основоположних прав і свобод в процесі розшукової діяльності правоохоронними органами.</w:t>
      </w:r>
    </w:p>
    <w:p w14:paraId="28F15D8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Ратифікація Римського </w:t>
      </w:r>
      <w:r w:rsidRPr="00511005">
        <w:rPr>
          <w:rFonts w:ascii="Arial" w:eastAsia="Calibri" w:hAnsi="Arial" w:cs="Arial"/>
          <w:b/>
          <w:bCs/>
          <w:szCs w:val="28"/>
          <w:shd w:val="clear" w:color="auto" w:fill="FFFFFF"/>
          <w:lang w:val="uk-UA"/>
        </w:rPr>
        <w:t>Статуту Міжнародного Кримінального Суду</w:t>
      </w:r>
      <w:r w:rsidRPr="00511005">
        <w:rPr>
          <w:rFonts w:ascii="Arial" w:eastAsia="Calibri" w:hAnsi="Arial" w:cs="Arial"/>
          <w:szCs w:val="28"/>
          <w:lang w:val="uk-UA"/>
        </w:rPr>
        <w:t xml:space="preserve"> Україною пройшла складний та тернистий шлях, оскільки вона вимагала внесення чисельних змін до вітчизняної правової системи та впровадження міжнародних правових стандартів. Звичайно ж, дане нововведення є дуже актуальним в нинішній період повномасштабного вторгнення рф на територію України, оскільки ратифікація даного Статуту сприятиме оперативному розслідуванню воєнних злочинів та відповідно матиме на меті підвищення ефективність захисту прав та свобод людини в період кривавої війни.</w:t>
      </w:r>
    </w:p>
    <w:p w14:paraId="4E9EAA70"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Звертаючи увагу на норми вітчизняного законодавства, можна зробити висновок, що існує низка проблем як кваліфікації воєнних злочинів за стислим переліком існуючих статей </w:t>
      </w:r>
      <w:r w:rsidRPr="00511005">
        <w:rPr>
          <w:rFonts w:ascii="Arial" w:eastAsia="Calibri" w:hAnsi="Arial" w:cs="Arial"/>
          <w:bCs/>
          <w:szCs w:val="28"/>
          <w:shd w:val="clear" w:color="auto" w:fill="FFFFFF"/>
          <w:lang w:val="uk-UA"/>
        </w:rPr>
        <w:t>кримінальних правопорушень проти миру, безпеки людства та міжнародного правопорядку</w:t>
      </w:r>
      <w:r w:rsidRPr="00511005">
        <w:rPr>
          <w:rFonts w:ascii="Arial" w:eastAsia="Calibri" w:hAnsi="Arial" w:cs="Arial"/>
          <w:b/>
          <w:bCs/>
          <w:szCs w:val="28"/>
          <w:shd w:val="clear" w:color="auto" w:fill="FFFFFF"/>
          <w:lang w:val="uk-UA"/>
        </w:rPr>
        <w:t xml:space="preserve"> </w:t>
      </w:r>
      <w:r w:rsidRPr="00511005">
        <w:rPr>
          <w:rFonts w:ascii="Arial" w:eastAsia="Calibri" w:hAnsi="Arial" w:cs="Arial"/>
          <w:szCs w:val="28"/>
          <w:lang w:val="uk-UA"/>
        </w:rPr>
        <w:t xml:space="preserve">вітчизняного законодавства, так і відповідно ходу розслідування цих злочинів, які мають </w:t>
      </w:r>
      <w:r w:rsidRPr="00511005">
        <w:rPr>
          <w:rFonts w:ascii="Arial" w:eastAsia="Calibri" w:hAnsi="Arial" w:cs="Arial"/>
          <w:szCs w:val="28"/>
          <w:lang w:val="uk-UA"/>
        </w:rPr>
        <w:lastRenderedPageBreak/>
        <w:t xml:space="preserve">високий рівень небезпеки, а отже і достатній рівень складності процесу слідства. </w:t>
      </w:r>
    </w:p>
    <w:p w14:paraId="37FD57B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Неврегульовані проблемні аспекти кваліфікації та розслідування воєнних злочинів в Україні можуть бути виправленими шляхом внесення змін до матеріального та процесуального права українського законодавства, беручи за орієнтир іноземні стандарти, які на світовій арені показують більшу правозастосовну ефективність.</w:t>
      </w:r>
    </w:p>
    <w:p w14:paraId="0D1AD6D5" w14:textId="77777777" w:rsidR="00532C25" w:rsidRPr="00511005" w:rsidRDefault="00532C25" w:rsidP="00532C25">
      <w:pPr>
        <w:autoSpaceDE w:val="0"/>
        <w:autoSpaceDN w:val="0"/>
        <w:adjustRightInd w:val="0"/>
        <w:spacing w:line="264" w:lineRule="auto"/>
        <w:ind w:firstLine="720"/>
        <w:contextualSpacing/>
        <w:jc w:val="center"/>
        <w:rPr>
          <w:rFonts w:ascii="Arial" w:eastAsia="Times New Roman" w:hAnsi="Arial" w:cs="Arial"/>
          <w:b/>
          <w:bCs/>
          <w:szCs w:val="28"/>
          <w:lang w:val="uk-UA" w:eastAsia="ru-RU"/>
        </w:rPr>
      </w:pPr>
    </w:p>
    <w:p w14:paraId="59B06A91" w14:textId="77777777" w:rsidR="00532C25" w:rsidRPr="00511005" w:rsidRDefault="00532C25" w:rsidP="00532C25">
      <w:pPr>
        <w:autoSpaceDE w:val="0"/>
        <w:autoSpaceDN w:val="0"/>
        <w:adjustRightInd w:val="0"/>
        <w:spacing w:line="264" w:lineRule="auto"/>
        <w:ind w:firstLine="720"/>
        <w:contextualSpacing/>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5FF51790" w14:textId="77777777" w:rsidR="00532C25" w:rsidRPr="00511005" w:rsidRDefault="00532C25" w:rsidP="003F6A5D">
      <w:pPr>
        <w:numPr>
          <w:ilvl w:val="0"/>
          <w:numId w:val="221"/>
        </w:numPr>
        <w:spacing w:line="264" w:lineRule="auto"/>
        <w:ind w:left="0" w:firstLine="720"/>
        <w:jc w:val="left"/>
        <w:rPr>
          <w:rFonts w:ascii="Arial" w:eastAsia="Calibri" w:hAnsi="Arial" w:cs="Arial"/>
          <w:szCs w:val="28"/>
          <w:lang w:val="uk-UA"/>
        </w:rPr>
      </w:pPr>
      <w:r w:rsidRPr="00511005">
        <w:rPr>
          <w:rFonts w:ascii="Arial" w:eastAsia="Calibri" w:hAnsi="Arial" w:cs="Arial"/>
          <w:szCs w:val="28"/>
          <w:lang w:val="uk-UA"/>
        </w:rPr>
        <w:t xml:space="preserve">Римський </w:t>
      </w:r>
      <w:r w:rsidRPr="00511005">
        <w:rPr>
          <w:rFonts w:ascii="Arial" w:eastAsia="Calibri" w:hAnsi="Arial" w:cs="Arial"/>
          <w:b/>
          <w:bCs/>
          <w:szCs w:val="28"/>
          <w:shd w:val="clear" w:color="auto" w:fill="FFFFFF"/>
          <w:lang w:val="uk-UA"/>
        </w:rPr>
        <w:t xml:space="preserve">Статуту Міжнародного Кримінального Суду, ратифіковано із заявами Законом України </w:t>
      </w:r>
      <w:hyperlink r:id="rId2042" w:anchor="n2" w:tgtFrame="_blank" w:history="1">
        <w:r w:rsidRPr="00511005">
          <w:rPr>
            <w:rFonts w:ascii="Arial" w:eastAsia="Calibri" w:hAnsi="Arial" w:cs="Arial"/>
            <w:szCs w:val="28"/>
            <w:shd w:val="clear" w:color="auto" w:fill="FFFFFF"/>
            <w:lang w:val="uk-UA"/>
          </w:rPr>
          <w:t>№3909-IX від 21.08.2024</w:t>
        </w:r>
      </w:hyperlink>
      <w:r w:rsidRPr="00511005">
        <w:rPr>
          <w:rFonts w:ascii="Arial" w:eastAsia="Calibri" w:hAnsi="Arial" w:cs="Arial"/>
          <w:szCs w:val="28"/>
          <w:lang w:val="uk-UA"/>
        </w:rPr>
        <w:t xml:space="preserve">. URL: </w:t>
      </w:r>
      <w:hyperlink r:id="rId2043" w:anchor="n69" w:history="1">
        <w:r w:rsidRPr="00511005">
          <w:rPr>
            <w:rFonts w:ascii="Arial" w:eastAsia="Calibri" w:hAnsi="Arial" w:cs="Arial"/>
            <w:szCs w:val="28"/>
            <w:lang w:val="uk-UA"/>
          </w:rPr>
          <w:t>https://zakon.rada.gov.ua/laws/show/995_588#n69</w:t>
        </w:r>
      </w:hyperlink>
    </w:p>
    <w:p w14:paraId="5895D5D0" w14:textId="77777777" w:rsidR="00532C25" w:rsidRPr="00511005" w:rsidRDefault="00532C25" w:rsidP="003F6A5D">
      <w:pPr>
        <w:numPr>
          <w:ilvl w:val="0"/>
          <w:numId w:val="221"/>
        </w:numPr>
        <w:spacing w:line="264" w:lineRule="auto"/>
        <w:ind w:left="0" w:firstLine="720"/>
        <w:jc w:val="left"/>
        <w:rPr>
          <w:rFonts w:ascii="Arial" w:eastAsia="Calibri" w:hAnsi="Arial" w:cs="Arial"/>
          <w:szCs w:val="28"/>
          <w:lang w:val="uk-UA"/>
        </w:rPr>
      </w:pPr>
      <w:r w:rsidRPr="00511005">
        <w:rPr>
          <w:rFonts w:ascii="Arial" w:eastAsia="Calibri" w:hAnsi="Arial" w:cs="Arial"/>
          <w:szCs w:val="28"/>
          <w:lang w:val="uk-UA"/>
        </w:rPr>
        <w:t>Кримінальний Кодекс України від 5 квітня 2001 року</w:t>
      </w:r>
      <w:r w:rsidRPr="00511005">
        <w:rPr>
          <w:rFonts w:ascii="Arial" w:eastAsia="Calibri" w:hAnsi="Arial" w:cs="Arial"/>
          <w:szCs w:val="28"/>
          <w:shd w:val="clear" w:color="auto" w:fill="FFFFFF"/>
          <w:lang w:val="uk-UA"/>
        </w:rPr>
        <w:t>.</w:t>
      </w:r>
      <w:r w:rsidRPr="00511005">
        <w:rPr>
          <w:rFonts w:ascii="Arial" w:eastAsia="Calibri" w:hAnsi="Arial" w:cs="Arial"/>
          <w:bCs/>
          <w:szCs w:val="28"/>
          <w:shd w:val="clear" w:color="auto" w:fill="FFFFFF"/>
          <w:lang w:val="uk-UA"/>
        </w:rPr>
        <w:t xml:space="preserve"> </w:t>
      </w:r>
      <w:r w:rsidRPr="00511005">
        <w:rPr>
          <w:rFonts w:ascii="Arial" w:eastAsia="Calibri" w:hAnsi="Arial" w:cs="Arial"/>
          <w:szCs w:val="28"/>
          <w:lang w:val="uk-UA"/>
        </w:rPr>
        <w:t xml:space="preserve">URL: </w:t>
      </w:r>
      <w:r w:rsidR="005938AD">
        <w:fldChar w:fldCharType="begin"/>
      </w:r>
      <w:r w:rsidR="005938AD" w:rsidRPr="00C2797E">
        <w:rPr>
          <w:lang w:val="en-US"/>
        </w:rPr>
        <w:instrText xml:space="preserve"> HYPERLINK "https://zakon.rada.gov.ua/laws/show/2341-14" \l "n3027" </w:instrText>
      </w:r>
      <w:r w:rsidR="005938AD">
        <w:fldChar w:fldCharType="separate"/>
      </w:r>
      <w:r w:rsidRPr="00511005">
        <w:rPr>
          <w:rFonts w:ascii="Arial" w:eastAsia="Calibri" w:hAnsi="Arial" w:cs="Arial"/>
          <w:szCs w:val="28"/>
          <w:lang w:val="uk-UA"/>
        </w:rPr>
        <w:t>https://zakon.rada.gov.ua/laws/show/2341-14#n3027</w:t>
      </w:r>
      <w:r w:rsidR="005938AD">
        <w:rPr>
          <w:rFonts w:ascii="Arial" w:eastAsia="Calibri" w:hAnsi="Arial" w:cs="Arial"/>
          <w:szCs w:val="28"/>
          <w:lang w:val="uk-UA"/>
        </w:rPr>
        <w:fldChar w:fldCharType="end"/>
      </w:r>
    </w:p>
    <w:p w14:paraId="073878FD" w14:textId="77777777" w:rsidR="00532C25" w:rsidRPr="00511005" w:rsidRDefault="00532C25" w:rsidP="003F6A5D">
      <w:pPr>
        <w:numPr>
          <w:ilvl w:val="0"/>
          <w:numId w:val="221"/>
        </w:numPr>
        <w:spacing w:line="264" w:lineRule="auto"/>
        <w:ind w:left="0" w:firstLine="720"/>
        <w:jc w:val="left"/>
        <w:rPr>
          <w:rFonts w:ascii="Arial" w:eastAsia="Calibri" w:hAnsi="Arial" w:cs="Arial"/>
          <w:szCs w:val="28"/>
          <w:lang w:val="uk-UA"/>
        </w:rPr>
      </w:pPr>
      <w:r w:rsidRPr="00511005">
        <w:rPr>
          <w:rFonts w:ascii="Arial" w:eastAsia="Calibri" w:hAnsi="Arial" w:cs="Arial"/>
          <w:szCs w:val="28"/>
          <w:shd w:val="clear" w:color="auto" w:fill="FFFFFF"/>
          <w:lang w:val="uk-UA"/>
        </w:rPr>
        <w:t xml:space="preserve">Чекмарьова І. М. Кваліфікація воєнних злочинів, Воєнний стан: теоретико-праксеологічні проблеми юриспруденції. </w:t>
      </w:r>
      <w:r w:rsidRPr="00511005">
        <w:rPr>
          <w:rFonts w:ascii="Arial" w:eastAsia="Calibri" w:hAnsi="Arial" w:cs="Arial"/>
          <w:i/>
          <w:szCs w:val="28"/>
          <w:shd w:val="clear" w:color="auto" w:fill="FFFFFF"/>
          <w:lang w:val="uk-UA"/>
        </w:rPr>
        <w:t>Колективна монографія.</w:t>
      </w:r>
      <w:r w:rsidRPr="00511005">
        <w:rPr>
          <w:rFonts w:ascii="Arial" w:eastAsia="Calibri" w:hAnsi="Arial" w:cs="Arial"/>
          <w:szCs w:val="28"/>
          <w:shd w:val="clear" w:color="auto" w:fill="FFFFFF"/>
          <w:lang w:val="uk-UA"/>
        </w:rPr>
        <w:t xml:space="preserve"> 2024. С. 446. </w:t>
      </w:r>
      <w:r w:rsidRPr="00511005">
        <w:rPr>
          <w:rFonts w:ascii="Arial" w:eastAsia="Calibri" w:hAnsi="Arial" w:cs="Arial"/>
          <w:szCs w:val="28"/>
          <w:lang w:val="uk-UA"/>
        </w:rPr>
        <w:t xml:space="preserve">URL: </w:t>
      </w:r>
      <w:r w:rsidR="005938AD">
        <w:fldChar w:fldCharType="begin"/>
      </w:r>
      <w:r w:rsidR="005938AD" w:rsidRPr="00C2797E">
        <w:rPr>
          <w:lang w:val="en-US"/>
        </w:rPr>
        <w:instrText xml:space="preserve"> HYPERLINK "http://catalog.liha-pres.eu/index.php/liha-pres/cata</w:instrText>
      </w:r>
      <w:r w:rsidR="005938AD" w:rsidRPr="00C2797E">
        <w:rPr>
          <w:lang w:val="en-US"/>
        </w:rPr>
        <w:instrText xml:space="preserve">log/view/329/9700/21928-1" </w:instrText>
      </w:r>
      <w:r w:rsidR="005938AD">
        <w:fldChar w:fldCharType="separate"/>
      </w:r>
      <w:r w:rsidRPr="00511005">
        <w:rPr>
          <w:rFonts w:ascii="Arial" w:eastAsia="Calibri" w:hAnsi="Arial" w:cs="Arial"/>
          <w:szCs w:val="28"/>
          <w:lang w:val="uk-UA"/>
        </w:rPr>
        <w:t>http://catalog.liha-pres.eu/index.php/liha-pres/catalog/view/329/9700/21928-1</w:t>
      </w:r>
      <w:r w:rsidR="005938AD">
        <w:rPr>
          <w:rFonts w:ascii="Arial" w:eastAsia="Calibri" w:hAnsi="Arial" w:cs="Arial"/>
          <w:szCs w:val="28"/>
          <w:lang w:val="uk-UA"/>
        </w:rPr>
        <w:fldChar w:fldCharType="end"/>
      </w:r>
    </w:p>
    <w:p w14:paraId="1C862F05" w14:textId="77777777" w:rsidR="00532C25" w:rsidRPr="00511005" w:rsidRDefault="00532C25" w:rsidP="003F6A5D">
      <w:pPr>
        <w:numPr>
          <w:ilvl w:val="0"/>
          <w:numId w:val="221"/>
        </w:numPr>
        <w:spacing w:line="264" w:lineRule="auto"/>
        <w:ind w:left="0" w:firstLine="720"/>
        <w:jc w:val="left"/>
        <w:rPr>
          <w:rFonts w:ascii="Arial" w:eastAsia="Calibri" w:hAnsi="Arial" w:cs="Arial"/>
          <w:szCs w:val="28"/>
          <w:lang w:val="uk-UA"/>
        </w:rPr>
      </w:pPr>
      <w:r w:rsidRPr="00511005">
        <w:rPr>
          <w:rFonts w:ascii="Arial" w:eastAsia="Calibri" w:hAnsi="Arial" w:cs="Arial"/>
          <w:szCs w:val="28"/>
          <w:lang w:val="uk-UA"/>
        </w:rPr>
        <w:t xml:space="preserve">Дідковська Г.В., Бондаренко А.М., Мізецька Д.Г. Актуальні питання кваліфікації злочинів проти миру, безпеки людства та міжнародного правопорядку: роль ознак, що впливають на кваліфікацію злочину. </w:t>
      </w:r>
      <w:r w:rsidRPr="00511005">
        <w:rPr>
          <w:rFonts w:ascii="Arial" w:eastAsia="Calibri" w:hAnsi="Arial" w:cs="Arial"/>
          <w:i/>
          <w:szCs w:val="28"/>
          <w:lang w:val="uk-UA"/>
        </w:rPr>
        <w:t>Ірпинський юридичний часопис: науковий журнал</w:t>
      </w:r>
      <w:r w:rsidRPr="00511005">
        <w:rPr>
          <w:rFonts w:ascii="Arial" w:eastAsia="Calibri" w:hAnsi="Arial" w:cs="Arial"/>
          <w:szCs w:val="28"/>
          <w:lang w:val="uk-UA"/>
        </w:rPr>
        <w:t>. 2024. Вип. 3 (16). С. 266-271. URL: file:///C:/Users/admin/Downloads/27.pdf</w:t>
      </w:r>
    </w:p>
    <w:p w14:paraId="62C693A1" w14:textId="77777777" w:rsidR="00532C25" w:rsidRPr="00511005" w:rsidRDefault="00532C25" w:rsidP="00532C25">
      <w:pPr>
        <w:spacing w:line="264" w:lineRule="auto"/>
        <w:ind w:firstLine="720"/>
        <w:rPr>
          <w:rFonts w:ascii="Arial" w:eastAsia="Calibri" w:hAnsi="Arial" w:cs="Arial"/>
          <w:szCs w:val="28"/>
          <w:lang w:val="uk-UA"/>
        </w:rPr>
      </w:pPr>
    </w:p>
    <w:p w14:paraId="771A65E5" w14:textId="77777777" w:rsidR="00532C25" w:rsidRPr="00511005" w:rsidRDefault="00532C25" w:rsidP="00532C25">
      <w:pPr>
        <w:spacing w:line="264" w:lineRule="auto"/>
        <w:ind w:firstLine="720"/>
        <w:rPr>
          <w:rFonts w:ascii="Arial" w:eastAsia="Calibri" w:hAnsi="Arial" w:cs="Arial"/>
          <w:iCs/>
          <w:szCs w:val="28"/>
          <w:lang w:val="uk-UA"/>
        </w:rPr>
      </w:pPr>
      <w:r w:rsidRPr="00511005">
        <w:rPr>
          <w:rFonts w:ascii="Arial" w:eastAsia="Calibri" w:hAnsi="Arial" w:cs="Arial"/>
          <w:b/>
          <w:i/>
          <w:iCs/>
          <w:szCs w:val="28"/>
          <w:lang w:val="uk-UA"/>
        </w:rPr>
        <w:t xml:space="preserve">Ключові слова: </w:t>
      </w:r>
      <w:r w:rsidRPr="00511005">
        <w:rPr>
          <w:rFonts w:ascii="Arial" w:eastAsia="Calibri" w:hAnsi="Arial" w:cs="Arial"/>
          <w:iCs/>
          <w:szCs w:val="28"/>
          <w:lang w:val="uk-UA"/>
        </w:rPr>
        <w:t>воєнні злочини, правова кваліфікація, національне законодавство, міжнародно-правові норми, порушення законів та звичаїв війни</w:t>
      </w:r>
    </w:p>
    <w:p w14:paraId="4AC3FD4C" w14:textId="77777777" w:rsidR="00532C25" w:rsidRPr="00511005" w:rsidRDefault="00532C25" w:rsidP="00532C25">
      <w:pPr>
        <w:spacing w:line="264" w:lineRule="auto"/>
        <w:ind w:firstLine="720"/>
        <w:rPr>
          <w:rFonts w:ascii="Arial" w:eastAsia="Calibri" w:hAnsi="Arial" w:cs="Arial"/>
          <w:iCs/>
          <w:szCs w:val="28"/>
          <w:lang w:val="uk-UA"/>
        </w:rPr>
      </w:pPr>
      <w:r w:rsidRPr="00511005">
        <w:rPr>
          <w:rFonts w:ascii="Arial" w:eastAsia="Calibri" w:hAnsi="Arial" w:cs="Arial"/>
          <w:b/>
          <w:i/>
          <w:iCs/>
          <w:szCs w:val="28"/>
          <w:lang w:val="uk-UA"/>
        </w:rPr>
        <w:t xml:space="preserve">Key words: </w:t>
      </w:r>
      <w:r w:rsidRPr="00511005">
        <w:rPr>
          <w:rFonts w:ascii="Arial" w:eastAsia="Calibri" w:hAnsi="Arial" w:cs="Arial"/>
          <w:iCs/>
          <w:szCs w:val="28"/>
          <w:lang w:val="uk-UA"/>
        </w:rPr>
        <w:t>military crimes, legal qualification, national legislation, international legal norms, violations of laws and customs of war</w:t>
      </w:r>
    </w:p>
    <w:p w14:paraId="5BD9373B" w14:textId="77777777" w:rsidR="00532C25" w:rsidRPr="00511005" w:rsidRDefault="00532C25" w:rsidP="00532C25">
      <w:pPr>
        <w:spacing w:line="264" w:lineRule="auto"/>
        <w:ind w:firstLine="720"/>
        <w:jc w:val="left"/>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i/>
          <w:iCs/>
          <w:szCs w:val="28"/>
          <w:lang w:val="uk-UA"/>
        </w:rPr>
        <w:t>к.ю.н., доцент Шершенькова В.А.</w:t>
      </w:r>
    </w:p>
    <w:p w14:paraId="3728BE7B" w14:textId="77777777" w:rsidR="00532C25" w:rsidRPr="00511005" w:rsidRDefault="00532C25" w:rsidP="00532C25">
      <w:pPr>
        <w:spacing w:line="264" w:lineRule="auto"/>
        <w:ind w:firstLine="720"/>
        <w:rPr>
          <w:rFonts w:ascii="Arial" w:eastAsia="Calibri" w:hAnsi="Arial" w:cs="Arial"/>
          <w:szCs w:val="28"/>
          <w:lang w:val="uk-UA"/>
        </w:rPr>
      </w:pPr>
    </w:p>
    <w:p w14:paraId="31204BAD" w14:textId="77777777" w:rsidR="00532C25" w:rsidRPr="00511005" w:rsidRDefault="00532C25" w:rsidP="00532C25">
      <w:pPr>
        <w:spacing w:line="264" w:lineRule="auto"/>
        <w:ind w:firstLine="720"/>
        <w:jc w:val="center"/>
        <w:rPr>
          <w:rFonts w:ascii="Arial" w:eastAsia="Calibri" w:hAnsi="Arial" w:cs="Arial"/>
          <w:b/>
          <w:i/>
          <w:szCs w:val="28"/>
          <w:shd w:val="clear" w:color="auto" w:fill="FFFFFF"/>
          <w:lang w:val="uk-UA"/>
        </w:rPr>
      </w:pPr>
    </w:p>
    <w:p w14:paraId="3F040144" w14:textId="77777777" w:rsidR="00532C25" w:rsidRPr="00511005" w:rsidRDefault="00532C25" w:rsidP="00532C25">
      <w:pPr>
        <w:spacing w:line="264" w:lineRule="auto"/>
        <w:ind w:firstLine="851"/>
        <w:jc w:val="center"/>
        <w:rPr>
          <w:rFonts w:ascii="Arial" w:eastAsia="Calibri" w:hAnsi="Arial" w:cs="Arial"/>
          <w:b/>
          <w:i/>
          <w:iCs/>
          <w:szCs w:val="28"/>
          <w:lang w:val="uk-UA"/>
        </w:rPr>
      </w:pPr>
      <w:r w:rsidRPr="00511005">
        <w:rPr>
          <w:rFonts w:ascii="Arial" w:eastAsia="Calibri" w:hAnsi="Arial" w:cs="Arial"/>
          <w:b/>
          <w:szCs w:val="28"/>
          <w:lang w:val="uk-UA"/>
        </w:rPr>
        <w:t>Шупенюк Вікторія Олексіївна</w:t>
      </w:r>
    </w:p>
    <w:p w14:paraId="17B16A3E" w14:textId="77777777" w:rsidR="00532C25" w:rsidRPr="00511005" w:rsidRDefault="00532C25" w:rsidP="00532C25">
      <w:pPr>
        <w:spacing w:line="264" w:lineRule="auto"/>
        <w:ind w:firstLine="0"/>
        <w:jc w:val="center"/>
        <w:rPr>
          <w:rFonts w:ascii="Arial" w:eastAsia="Calibri" w:hAnsi="Arial" w:cs="Arial"/>
          <w:i/>
          <w:iCs/>
          <w:szCs w:val="28"/>
          <w:lang w:val="uk-UA"/>
        </w:rPr>
      </w:pPr>
      <w:r w:rsidRPr="00511005">
        <w:rPr>
          <w:rFonts w:ascii="Arial" w:eastAsia="Calibri" w:hAnsi="Arial" w:cs="Arial"/>
          <w:i/>
          <w:iCs/>
          <w:szCs w:val="28"/>
          <w:lang w:val="uk-UA"/>
        </w:rPr>
        <w:t>студентка 2-го курсу факультету цивільної та господарської юстиції</w:t>
      </w:r>
    </w:p>
    <w:p w14:paraId="0C458C84" w14:textId="77777777" w:rsidR="00532C25" w:rsidRPr="00511005" w:rsidRDefault="00532C25" w:rsidP="00532C25">
      <w:pPr>
        <w:spacing w:line="264" w:lineRule="auto"/>
        <w:ind w:firstLine="0"/>
        <w:jc w:val="center"/>
        <w:rPr>
          <w:rFonts w:ascii="Arial" w:eastAsia="Calibri" w:hAnsi="Arial" w:cs="Arial"/>
          <w:i/>
          <w:iCs/>
          <w:szCs w:val="28"/>
        </w:rPr>
      </w:pPr>
      <w:r w:rsidRPr="00511005">
        <w:rPr>
          <w:rFonts w:ascii="Arial" w:eastAsia="Calibri" w:hAnsi="Arial" w:cs="Arial"/>
          <w:i/>
          <w:iCs/>
          <w:szCs w:val="28"/>
        </w:rPr>
        <w:t>Національного університету «Одеська юридична академія»</w:t>
      </w:r>
    </w:p>
    <w:p w14:paraId="632C5C13" w14:textId="77777777" w:rsidR="00532C25" w:rsidRPr="00511005" w:rsidRDefault="00532C25" w:rsidP="00532C25">
      <w:pPr>
        <w:spacing w:line="264" w:lineRule="auto"/>
        <w:ind w:firstLine="851"/>
        <w:jc w:val="center"/>
        <w:rPr>
          <w:rFonts w:ascii="Arial" w:eastAsia="Calibri" w:hAnsi="Arial" w:cs="Arial"/>
          <w:b/>
          <w:i/>
          <w:iCs/>
          <w:szCs w:val="28"/>
        </w:rPr>
      </w:pPr>
    </w:p>
    <w:p w14:paraId="37D5209E" w14:textId="77777777" w:rsidR="00532C25" w:rsidRPr="00511005" w:rsidRDefault="00532C25" w:rsidP="00532C25">
      <w:pPr>
        <w:spacing w:line="264" w:lineRule="auto"/>
        <w:ind w:firstLine="851"/>
        <w:jc w:val="center"/>
        <w:rPr>
          <w:rFonts w:ascii="Arial" w:eastAsia="Calibri" w:hAnsi="Arial" w:cs="Arial"/>
          <w:b/>
          <w:szCs w:val="28"/>
        </w:rPr>
      </w:pPr>
      <w:r w:rsidRPr="00511005">
        <w:rPr>
          <w:rFonts w:ascii="Arial" w:eastAsia="Calibri" w:hAnsi="Arial" w:cs="Arial"/>
          <w:b/>
          <w:szCs w:val="28"/>
        </w:rPr>
        <w:t>СУЧАСНІ МЕТОДИ ФІКСАЦІЇ СЛІДІВ ЗЛОЧИНУ НА МІСЦІ ПОДІЇ</w:t>
      </w:r>
    </w:p>
    <w:p w14:paraId="06510D77"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 xml:space="preserve">Фіксація слідів злочину на місці події є одним із найважливіших етапів розслідування кримінальних правопорушень. Якісна і своєчасна фіксація дозволяє зберегти первинні дані для подальшого аналізу, експертизи і доведення у суді. З огляду на технічний прогрес, сучасна криміналістика </w:t>
      </w:r>
      <w:r w:rsidRPr="00511005">
        <w:rPr>
          <w:rFonts w:ascii="Arial" w:eastAsia="Calibri" w:hAnsi="Arial" w:cs="Arial"/>
          <w:szCs w:val="28"/>
        </w:rPr>
        <w:lastRenderedPageBreak/>
        <w:t>активно впроваджує новітні методи фіксації, що підвищують точність і об’єктивність збору доказової інформації.</w:t>
      </w:r>
    </w:p>
    <w:p w14:paraId="6E7E4D51"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До традиційних способів фіксації належать [2]:</w:t>
      </w:r>
    </w:p>
    <w:p w14:paraId="7E691A60"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bCs/>
          <w:szCs w:val="28"/>
        </w:rPr>
        <w:t>Письмове документування</w:t>
      </w:r>
      <w:r w:rsidRPr="00511005">
        <w:rPr>
          <w:rFonts w:ascii="Arial" w:eastAsia="Calibri" w:hAnsi="Arial" w:cs="Arial"/>
          <w:szCs w:val="28"/>
        </w:rPr>
        <w:t xml:space="preserve"> — складання протоколів огляду місця події, опис слідів та обстановки.</w:t>
      </w:r>
    </w:p>
    <w:p w14:paraId="2125E21E"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bCs/>
          <w:szCs w:val="28"/>
        </w:rPr>
        <w:t>Фотографування</w:t>
      </w:r>
      <w:r w:rsidRPr="00511005">
        <w:rPr>
          <w:rFonts w:ascii="Arial" w:eastAsia="Calibri" w:hAnsi="Arial" w:cs="Arial"/>
          <w:szCs w:val="28"/>
        </w:rPr>
        <w:t xml:space="preserve"> — загальні, середні та детальні плани місця події, що фіксують положення предметів і слідів.</w:t>
      </w:r>
    </w:p>
    <w:p w14:paraId="45605B82"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bCs/>
          <w:szCs w:val="28"/>
        </w:rPr>
        <w:t>Схематичне креслення</w:t>
      </w:r>
      <w:r w:rsidRPr="00511005">
        <w:rPr>
          <w:rFonts w:ascii="Arial" w:eastAsia="Calibri" w:hAnsi="Arial" w:cs="Arial"/>
          <w:szCs w:val="28"/>
        </w:rPr>
        <w:t xml:space="preserve"> — побудова планів і схем місця події із нанесенням основних об'єктів.</w:t>
      </w:r>
    </w:p>
    <w:p w14:paraId="1CA3766D"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bCs/>
          <w:szCs w:val="28"/>
        </w:rPr>
        <w:t>Відеозйомка</w:t>
      </w:r>
      <w:r w:rsidRPr="00511005">
        <w:rPr>
          <w:rFonts w:ascii="Arial" w:eastAsia="Calibri" w:hAnsi="Arial" w:cs="Arial"/>
          <w:szCs w:val="28"/>
        </w:rPr>
        <w:t xml:space="preserve"> — безперервна фіксація обстановки в реальному часі.</w:t>
      </w:r>
    </w:p>
    <w:p w14:paraId="4602F22A"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bCs/>
          <w:szCs w:val="28"/>
        </w:rPr>
        <w:t>Зняття відбитків</w:t>
      </w:r>
      <w:r w:rsidRPr="00511005">
        <w:rPr>
          <w:rFonts w:ascii="Arial" w:eastAsia="Calibri" w:hAnsi="Arial" w:cs="Arial"/>
          <w:szCs w:val="28"/>
        </w:rPr>
        <w:t xml:space="preserve"> — застосування спеціальних порошків, плівок та інших матеріалів для виявлення і вилучення слідів рук, взуття тощо.</w:t>
      </w:r>
    </w:p>
    <w:p w14:paraId="7A11026E"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Хоча ці методи є ефективними, вони мають певні обмеження, пов’язані з людським фактором, суб'єктивністю описів і можливістю втрати деталей.</w:t>
      </w:r>
    </w:p>
    <w:p w14:paraId="7997399B"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Інноваційні технології фіксації слідів на місці події суттєво розширюють можливості правоохоронців. Серед них варто виділити:</w:t>
      </w:r>
    </w:p>
    <w:p w14:paraId="3989F50E"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3D-сканери дозволяють створювати об'ємні цифрові моделі місця події з високою точністю (до міліметра). Переваги методу</w:t>
      </w:r>
      <w:r w:rsidRPr="00511005">
        <w:rPr>
          <w:rFonts w:ascii="Arial" w:eastAsia="Calibri" w:hAnsi="Arial" w:cs="Arial"/>
          <w:szCs w:val="28"/>
          <w:lang w:val="en-US"/>
        </w:rPr>
        <w:t xml:space="preserve"> [3]</w:t>
      </w:r>
      <w:r w:rsidRPr="00511005">
        <w:rPr>
          <w:rFonts w:ascii="Arial" w:eastAsia="Calibri" w:hAnsi="Arial" w:cs="Arial"/>
          <w:szCs w:val="28"/>
        </w:rPr>
        <w:t>:</w:t>
      </w:r>
    </w:p>
    <w:p w14:paraId="7C8AFCC3" w14:textId="77777777" w:rsidR="00532C25" w:rsidRPr="00511005" w:rsidRDefault="00532C25" w:rsidP="003F6A5D">
      <w:pPr>
        <w:numPr>
          <w:ilvl w:val="0"/>
          <w:numId w:val="683"/>
        </w:numPr>
        <w:spacing w:line="264" w:lineRule="auto"/>
        <w:ind w:left="0" w:firstLine="851"/>
        <w:jc w:val="left"/>
        <w:rPr>
          <w:rFonts w:ascii="Arial" w:eastAsia="Calibri" w:hAnsi="Arial" w:cs="Arial"/>
          <w:szCs w:val="28"/>
        </w:rPr>
      </w:pPr>
      <w:r w:rsidRPr="00511005">
        <w:rPr>
          <w:rFonts w:ascii="Arial" w:eastAsia="Calibri" w:hAnsi="Arial" w:cs="Arial"/>
          <w:szCs w:val="28"/>
        </w:rPr>
        <w:t>Повна реконструкція обстановки;</w:t>
      </w:r>
    </w:p>
    <w:p w14:paraId="7B0FCD81" w14:textId="77777777" w:rsidR="00532C25" w:rsidRPr="00511005" w:rsidRDefault="00532C25" w:rsidP="003F6A5D">
      <w:pPr>
        <w:numPr>
          <w:ilvl w:val="0"/>
          <w:numId w:val="683"/>
        </w:numPr>
        <w:spacing w:line="264" w:lineRule="auto"/>
        <w:ind w:left="0" w:firstLine="851"/>
        <w:jc w:val="left"/>
        <w:rPr>
          <w:rFonts w:ascii="Arial" w:eastAsia="Calibri" w:hAnsi="Arial" w:cs="Arial"/>
          <w:szCs w:val="28"/>
        </w:rPr>
      </w:pPr>
      <w:r w:rsidRPr="00511005">
        <w:rPr>
          <w:rFonts w:ascii="Arial" w:eastAsia="Calibri" w:hAnsi="Arial" w:cs="Arial"/>
          <w:szCs w:val="28"/>
        </w:rPr>
        <w:t xml:space="preserve">Можливість проведення віртуального огляду </w:t>
      </w:r>
      <w:proofErr w:type="gramStart"/>
      <w:r w:rsidRPr="00511005">
        <w:rPr>
          <w:rFonts w:ascii="Arial" w:eastAsia="Calibri" w:hAnsi="Arial" w:cs="Arial"/>
          <w:szCs w:val="28"/>
        </w:rPr>
        <w:t>в будь</w:t>
      </w:r>
      <w:proofErr w:type="gramEnd"/>
      <w:r w:rsidRPr="00511005">
        <w:rPr>
          <w:rFonts w:ascii="Arial" w:eastAsia="Calibri" w:hAnsi="Arial" w:cs="Arial"/>
          <w:szCs w:val="28"/>
        </w:rPr>
        <w:t>-який час;</w:t>
      </w:r>
    </w:p>
    <w:p w14:paraId="284BDA0E" w14:textId="77777777" w:rsidR="00532C25" w:rsidRPr="00511005" w:rsidRDefault="00532C25" w:rsidP="003F6A5D">
      <w:pPr>
        <w:numPr>
          <w:ilvl w:val="0"/>
          <w:numId w:val="683"/>
        </w:numPr>
        <w:spacing w:line="264" w:lineRule="auto"/>
        <w:ind w:left="0" w:firstLine="851"/>
        <w:jc w:val="left"/>
        <w:rPr>
          <w:rFonts w:ascii="Arial" w:eastAsia="Calibri" w:hAnsi="Arial" w:cs="Arial"/>
          <w:szCs w:val="28"/>
        </w:rPr>
      </w:pPr>
      <w:r w:rsidRPr="00511005">
        <w:rPr>
          <w:rFonts w:ascii="Arial" w:eastAsia="Calibri" w:hAnsi="Arial" w:cs="Arial"/>
          <w:szCs w:val="28"/>
        </w:rPr>
        <w:t>Зменшення ризику втрати доказів через переміщення або знищення об'єктів.</w:t>
      </w:r>
    </w:p>
    <w:p w14:paraId="00F91F3C"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Дрони забезпечують аерозйомку місця події, особливо корисну для:</w:t>
      </w:r>
    </w:p>
    <w:p w14:paraId="702FF398" w14:textId="77777777" w:rsidR="00532C25" w:rsidRPr="00511005" w:rsidRDefault="00532C25" w:rsidP="003F6A5D">
      <w:pPr>
        <w:numPr>
          <w:ilvl w:val="0"/>
          <w:numId w:val="684"/>
        </w:numPr>
        <w:spacing w:line="264" w:lineRule="auto"/>
        <w:ind w:left="0" w:firstLine="851"/>
        <w:jc w:val="left"/>
        <w:rPr>
          <w:rFonts w:ascii="Arial" w:eastAsia="Calibri" w:hAnsi="Arial" w:cs="Arial"/>
          <w:szCs w:val="28"/>
        </w:rPr>
      </w:pPr>
      <w:r w:rsidRPr="00511005">
        <w:rPr>
          <w:rFonts w:ascii="Arial" w:eastAsia="Calibri" w:hAnsi="Arial" w:cs="Arial"/>
          <w:szCs w:val="28"/>
        </w:rPr>
        <w:t>Фіксації місць злочинів великої площі (катастроф, терактів, екологічних злочинів);</w:t>
      </w:r>
    </w:p>
    <w:p w14:paraId="7AA11443" w14:textId="77777777" w:rsidR="00532C25" w:rsidRPr="00511005" w:rsidRDefault="00532C25" w:rsidP="003F6A5D">
      <w:pPr>
        <w:numPr>
          <w:ilvl w:val="0"/>
          <w:numId w:val="684"/>
        </w:numPr>
        <w:spacing w:line="264" w:lineRule="auto"/>
        <w:ind w:left="0" w:firstLine="851"/>
        <w:jc w:val="left"/>
        <w:rPr>
          <w:rFonts w:ascii="Arial" w:eastAsia="Calibri" w:hAnsi="Arial" w:cs="Arial"/>
          <w:szCs w:val="28"/>
        </w:rPr>
      </w:pPr>
      <w:r w:rsidRPr="00511005">
        <w:rPr>
          <w:rFonts w:ascii="Arial" w:eastAsia="Calibri" w:hAnsi="Arial" w:cs="Arial"/>
          <w:szCs w:val="28"/>
        </w:rPr>
        <w:t>Важкодоступних територій;</w:t>
      </w:r>
    </w:p>
    <w:p w14:paraId="10935870" w14:textId="77777777" w:rsidR="00532C25" w:rsidRPr="00511005" w:rsidRDefault="00532C25" w:rsidP="003F6A5D">
      <w:pPr>
        <w:numPr>
          <w:ilvl w:val="0"/>
          <w:numId w:val="684"/>
        </w:numPr>
        <w:spacing w:line="264" w:lineRule="auto"/>
        <w:ind w:left="0" w:firstLine="851"/>
        <w:jc w:val="left"/>
        <w:rPr>
          <w:rFonts w:ascii="Arial" w:eastAsia="Calibri" w:hAnsi="Arial" w:cs="Arial"/>
          <w:szCs w:val="28"/>
        </w:rPr>
      </w:pPr>
      <w:r w:rsidRPr="00511005">
        <w:rPr>
          <w:rFonts w:ascii="Arial" w:eastAsia="Calibri" w:hAnsi="Arial" w:cs="Arial"/>
          <w:szCs w:val="28"/>
        </w:rPr>
        <w:t>Отримання панорамних знімків для подальшої фотограмметричної обробки.</w:t>
      </w:r>
    </w:p>
    <w:p w14:paraId="7FB46B2B"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Метод фотограмметрії передбачає створення тривимірних моделей об'єктів на основі великої кількості фотографій, зроблених під різними кутами. Це дає змогу отримати високоточну цифрову копію місця події без використання дорогого обладнання.</w:t>
      </w:r>
    </w:p>
    <w:p w14:paraId="47805073"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Існують спеціальні додатки для смартфонів, які дозволяють [1]:</w:t>
      </w:r>
    </w:p>
    <w:p w14:paraId="209B211F" w14:textId="77777777" w:rsidR="00532C25" w:rsidRPr="00511005" w:rsidRDefault="00532C25" w:rsidP="003F6A5D">
      <w:pPr>
        <w:numPr>
          <w:ilvl w:val="0"/>
          <w:numId w:val="685"/>
        </w:numPr>
        <w:spacing w:line="264" w:lineRule="auto"/>
        <w:ind w:left="0" w:firstLine="851"/>
        <w:jc w:val="left"/>
        <w:rPr>
          <w:rFonts w:ascii="Arial" w:eastAsia="Calibri" w:hAnsi="Arial" w:cs="Arial"/>
          <w:szCs w:val="28"/>
        </w:rPr>
      </w:pPr>
      <w:r w:rsidRPr="00511005">
        <w:rPr>
          <w:rFonts w:ascii="Arial" w:eastAsia="Calibri" w:hAnsi="Arial" w:cs="Arial"/>
          <w:szCs w:val="28"/>
        </w:rPr>
        <w:t>Фотографувати сліди з автоматичним прив'язуванням до геолокації;</w:t>
      </w:r>
    </w:p>
    <w:p w14:paraId="7A5277D4" w14:textId="77777777" w:rsidR="00532C25" w:rsidRPr="00511005" w:rsidRDefault="00532C25" w:rsidP="003F6A5D">
      <w:pPr>
        <w:numPr>
          <w:ilvl w:val="0"/>
          <w:numId w:val="685"/>
        </w:numPr>
        <w:spacing w:line="264" w:lineRule="auto"/>
        <w:ind w:left="0" w:firstLine="851"/>
        <w:jc w:val="left"/>
        <w:rPr>
          <w:rFonts w:ascii="Arial" w:eastAsia="Calibri" w:hAnsi="Arial" w:cs="Arial"/>
          <w:szCs w:val="28"/>
        </w:rPr>
      </w:pPr>
      <w:r w:rsidRPr="00511005">
        <w:rPr>
          <w:rFonts w:ascii="Arial" w:eastAsia="Calibri" w:hAnsi="Arial" w:cs="Arial"/>
          <w:szCs w:val="28"/>
        </w:rPr>
        <w:t>Додавати текстові описи;</w:t>
      </w:r>
    </w:p>
    <w:p w14:paraId="48CBEA7D" w14:textId="77777777" w:rsidR="00532C25" w:rsidRPr="00511005" w:rsidRDefault="00532C25" w:rsidP="003F6A5D">
      <w:pPr>
        <w:numPr>
          <w:ilvl w:val="0"/>
          <w:numId w:val="685"/>
        </w:numPr>
        <w:spacing w:line="264" w:lineRule="auto"/>
        <w:ind w:left="0" w:firstLine="851"/>
        <w:jc w:val="left"/>
        <w:rPr>
          <w:rFonts w:ascii="Arial" w:eastAsia="Calibri" w:hAnsi="Arial" w:cs="Arial"/>
          <w:szCs w:val="28"/>
        </w:rPr>
      </w:pPr>
      <w:r w:rsidRPr="00511005">
        <w:rPr>
          <w:rFonts w:ascii="Arial" w:eastAsia="Calibri" w:hAnsi="Arial" w:cs="Arial"/>
          <w:szCs w:val="28"/>
        </w:rPr>
        <w:t>Формувати первинну базу даних безпосередньо на місці події.</w:t>
      </w:r>
    </w:p>
    <w:p w14:paraId="51EF9B98"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Застосування біометричних сканерів для миттєвого зняття відбитків пальців, аналізу ДНК і розпізнавання осіб допомагає оперативно встановлювати підозрюваних.</w:t>
      </w:r>
    </w:p>
    <w:p w14:paraId="7030FC6B"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lastRenderedPageBreak/>
        <w:t>Попри очевидні переваги, впровадження новітніх технологій має певні труднощі [4]:</w:t>
      </w:r>
    </w:p>
    <w:p w14:paraId="22508BC9" w14:textId="77777777" w:rsidR="00532C25" w:rsidRPr="00511005" w:rsidRDefault="00532C25" w:rsidP="003F6A5D">
      <w:pPr>
        <w:numPr>
          <w:ilvl w:val="0"/>
          <w:numId w:val="686"/>
        </w:numPr>
        <w:spacing w:line="264" w:lineRule="auto"/>
        <w:ind w:left="0" w:firstLine="851"/>
        <w:jc w:val="left"/>
        <w:rPr>
          <w:rFonts w:ascii="Arial" w:eastAsia="Calibri" w:hAnsi="Arial" w:cs="Arial"/>
          <w:szCs w:val="28"/>
        </w:rPr>
      </w:pPr>
      <w:r w:rsidRPr="00511005">
        <w:rPr>
          <w:rFonts w:ascii="Arial" w:eastAsia="Calibri" w:hAnsi="Arial" w:cs="Arial"/>
          <w:szCs w:val="28"/>
        </w:rPr>
        <w:t>Висока вартість обладнання і програмного забезпечення;</w:t>
      </w:r>
    </w:p>
    <w:p w14:paraId="070F5BB0" w14:textId="77777777" w:rsidR="00532C25" w:rsidRPr="00511005" w:rsidRDefault="00532C25" w:rsidP="003F6A5D">
      <w:pPr>
        <w:numPr>
          <w:ilvl w:val="0"/>
          <w:numId w:val="686"/>
        </w:numPr>
        <w:spacing w:line="264" w:lineRule="auto"/>
        <w:ind w:left="0" w:firstLine="851"/>
        <w:jc w:val="left"/>
        <w:rPr>
          <w:rFonts w:ascii="Arial" w:eastAsia="Calibri" w:hAnsi="Arial" w:cs="Arial"/>
          <w:szCs w:val="28"/>
        </w:rPr>
      </w:pPr>
      <w:r w:rsidRPr="00511005">
        <w:rPr>
          <w:rFonts w:ascii="Arial" w:eastAsia="Calibri" w:hAnsi="Arial" w:cs="Arial"/>
          <w:szCs w:val="28"/>
        </w:rPr>
        <w:t>Потреба у спеціальній підготовці персоналу;</w:t>
      </w:r>
    </w:p>
    <w:p w14:paraId="733D3538" w14:textId="77777777" w:rsidR="00532C25" w:rsidRPr="00511005" w:rsidRDefault="00532C25" w:rsidP="003F6A5D">
      <w:pPr>
        <w:numPr>
          <w:ilvl w:val="0"/>
          <w:numId w:val="686"/>
        </w:numPr>
        <w:spacing w:line="264" w:lineRule="auto"/>
        <w:ind w:left="0" w:firstLine="851"/>
        <w:jc w:val="left"/>
        <w:rPr>
          <w:rFonts w:ascii="Arial" w:eastAsia="Calibri" w:hAnsi="Arial" w:cs="Arial"/>
          <w:szCs w:val="28"/>
        </w:rPr>
      </w:pPr>
      <w:r w:rsidRPr="00511005">
        <w:rPr>
          <w:rFonts w:ascii="Arial" w:eastAsia="Calibri" w:hAnsi="Arial" w:cs="Arial"/>
          <w:szCs w:val="28"/>
        </w:rPr>
        <w:t>Забезпечення належного рівня захисту даних від несанкціонованого доступу;</w:t>
      </w:r>
    </w:p>
    <w:p w14:paraId="0E2F8DB9" w14:textId="77777777" w:rsidR="00532C25" w:rsidRPr="00511005" w:rsidRDefault="00532C25" w:rsidP="003F6A5D">
      <w:pPr>
        <w:numPr>
          <w:ilvl w:val="0"/>
          <w:numId w:val="686"/>
        </w:numPr>
        <w:spacing w:line="264" w:lineRule="auto"/>
        <w:ind w:left="0" w:firstLine="851"/>
        <w:jc w:val="left"/>
        <w:rPr>
          <w:rFonts w:ascii="Arial" w:eastAsia="Calibri" w:hAnsi="Arial" w:cs="Arial"/>
          <w:szCs w:val="28"/>
        </w:rPr>
      </w:pPr>
      <w:r w:rsidRPr="00511005">
        <w:rPr>
          <w:rFonts w:ascii="Arial" w:eastAsia="Calibri" w:hAnsi="Arial" w:cs="Arial"/>
          <w:szCs w:val="28"/>
        </w:rPr>
        <w:t>Нормативне врегулювання використання цифрових доказів у судовому процесі.</w:t>
      </w:r>
    </w:p>
    <w:p w14:paraId="515CA6BB"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У найближчому майбутньому очікується подальша інтеграція штучного інтелекту та машинного навчання у процес фіксації та аналізу слідів злочинів. Такі системи зможуть автоматично ідентифікувати типи слідів, встановлювати закономірності та формувати попередні висновки для слідства.</w:t>
      </w:r>
    </w:p>
    <w:p w14:paraId="6A753A6F"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Крім того, розвиток технологій доповненої реальності (AR) відкриває нові можливості для візуалізації місць подій у режимі реального часу.</w:t>
      </w:r>
    </w:p>
    <w:p w14:paraId="2E4FA0BF" w14:textId="77777777" w:rsidR="00532C25" w:rsidRPr="00511005" w:rsidRDefault="00532C25" w:rsidP="00532C25">
      <w:pPr>
        <w:spacing w:line="264" w:lineRule="auto"/>
        <w:ind w:firstLine="851"/>
        <w:rPr>
          <w:rFonts w:ascii="Arial" w:eastAsia="Calibri" w:hAnsi="Arial" w:cs="Arial"/>
          <w:szCs w:val="28"/>
        </w:rPr>
      </w:pPr>
      <w:r w:rsidRPr="00511005">
        <w:rPr>
          <w:rFonts w:ascii="Arial" w:eastAsia="Calibri" w:hAnsi="Arial" w:cs="Arial"/>
          <w:szCs w:val="28"/>
        </w:rPr>
        <w:t>Отже, сучасні методи фіксації слідів злочину на місці події значно підвищують якість збору доказової інформації та її подальшого аналізу. Впровадження цифрових технологій дозволяє зберегти більше деталей, мінімізувати вплив людського фактора і забезпечити більш об'єктивний процес розслідування. Проте для повноцінного використання новітніх засобів необхідно вирішити питання правового регулювання, фінансування та підготовки кадрів.</w:t>
      </w:r>
    </w:p>
    <w:p w14:paraId="3FD692DB" w14:textId="77777777" w:rsidR="00532C25" w:rsidRPr="00511005" w:rsidRDefault="00532C25" w:rsidP="00532C25">
      <w:pPr>
        <w:spacing w:line="264" w:lineRule="auto"/>
        <w:ind w:firstLine="851"/>
        <w:jc w:val="center"/>
        <w:rPr>
          <w:rFonts w:ascii="Arial" w:eastAsia="Calibri" w:hAnsi="Arial" w:cs="Arial"/>
          <w:b/>
          <w:szCs w:val="28"/>
        </w:rPr>
      </w:pPr>
    </w:p>
    <w:p w14:paraId="25CCC2BD" w14:textId="77777777" w:rsidR="00532C25" w:rsidRPr="00511005" w:rsidRDefault="00532C25" w:rsidP="00532C25">
      <w:pPr>
        <w:spacing w:line="264" w:lineRule="auto"/>
        <w:ind w:firstLine="851"/>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B5784B5" w14:textId="77777777" w:rsidR="00532C25" w:rsidRPr="00511005" w:rsidRDefault="00532C25" w:rsidP="003F6A5D">
      <w:pPr>
        <w:numPr>
          <w:ilvl w:val="1"/>
          <w:numId w:val="683"/>
        </w:numPr>
        <w:spacing w:line="264" w:lineRule="auto"/>
        <w:ind w:left="0" w:firstLine="851"/>
        <w:contextualSpacing/>
        <w:jc w:val="left"/>
        <w:rPr>
          <w:rFonts w:ascii="Arial" w:eastAsia="Times New Roman" w:hAnsi="Arial" w:cs="Arial"/>
          <w:b/>
          <w:szCs w:val="28"/>
          <w:lang w:eastAsia="ru-RU"/>
        </w:rPr>
      </w:pPr>
      <w:r w:rsidRPr="00511005">
        <w:rPr>
          <w:rFonts w:ascii="Arial" w:eastAsia="Times New Roman" w:hAnsi="Arial" w:cs="Arial"/>
          <w:szCs w:val="28"/>
          <w:lang w:eastAsia="ru-RU"/>
        </w:rPr>
        <w:t xml:space="preserve">Цимбалюк В.І., Процесуальний порядок огляду місця події. Юридичний вісник. Повітряне і космічне право. 2014. № 4. С. 144–147. </w:t>
      </w:r>
    </w:p>
    <w:p w14:paraId="278AE880" w14:textId="77777777" w:rsidR="00532C25" w:rsidRPr="00511005" w:rsidRDefault="00532C25" w:rsidP="003F6A5D">
      <w:pPr>
        <w:numPr>
          <w:ilvl w:val="1"/>
          <w:numId w:val="683"/>
        </w:numPr>
        <w:spacing w:line="264" w:lineRule="auto"/>
        <w:ind w:left="0" w:firstLine="851"/>
        <w:contextualSpacing/>
        <w:jc w:val="left"/>
        <w:rPr>
          <w:rFonts w:ascii="Arial" w:eastAsia="Times New Roman" w:hAnsi="Arial" w:cs="Arial"/>
          <w:b/>
          <w:szCs w:val="28"/>
          <w:lang w:eastAsia="ru-RU"/>
        </w:rPr>
      </w:pPr>
      <w:r w:rsidRPr="00511005">
        <w:rPr>
          <w:rFonts w:ascii="Arial" w:eastAsia="Times New Roman" w:hAnsi="Arial" w:cs="Arial"/>
          <w:szCs w:val="28"/>
          <w:lang w:eastAsia="ru-RU"/>
        </w:rPr>
        <w:t xml:space="preserve">Корж В.П. Огляд місця </w:t>
      </w:r>
      <w:proofErr w:type="gramStart"/>
      <w:r w:rsidRPr="00511005">
        <w:rPr>
          <w:rFonts w:ascii="Arial" w:eastAsia="Times New Roman" w:hAnsi="Arial" w:cs="Arial"/>
          <w:szCs w:val="28"/>
          <w:lang w:eastAsia="ru-RU"/>
        </w:rPr>
        <w:t>події :</w:t>
      </w:r>
      <w:proofErr w:type="gramEnd"/>
      <w:r w:rsidRPr="00511005">
        <w:rPr>
          <w:rFonts w:ascii="Arial" w:eastAsia="Times New Roman" w:hAnsi="Arial" w:cs="Arial"/>
          <w:szCs w:val="28"/>
          <w:lang w:eastAsia="ru-RU"/>
        </w:rPr>
        <w:t xml:space="preserve"> процесуальні підстави, особливості тактики, криміналістичні рекомендації. Харків: 2018. 264 с. </w:t>
      </w:r>
    </w:p>
    <w:p w14:paraId="17063AB0" w14:textId="77777777" w:rsidR="00532C25" w:rsidRPr="00511005" w:rsidRDefault="00532C25" w:rsidP="003F6A5D">
      <w:pPr>
        <w:numPr>
          <w:ilvl w:val="1"/>
          <w:numId w:val="683"/>
        </w:numPr>
        <w:spacing w:line="264" w:lineRule="auto"/>
        <w:ind w:left="0" w:firstLine="851"/>
        <w:contextualSpacing/>
        <w:jc w:val="left"/>
        <w:rPr>
          <w:rFonts w:ascii="Arial" w:eastAsia="Times New Roman" w:hAnsi="Arial" w:cs="Arial"/>
          <w:b/>
          <w:szCs w:val="28"/>
          <w:lang w:eastAsia="ru-RU"/>
        </w:rPr>
      </w:pPr>
      <w:r w:rsidRPr="00511005">
        <w:rPr>
          <w:rFonts w:ascii="Arial" w:eastAsia="Times New Roman" w:hAnsi="Arial" w:cs="Arial"/>
          <w:szCs w:val="28"/>
          <w:lang w:eastAsia="ru-RU"/>
        </w:rPr>
        <w:t xml:space="preserve">Баранчук В.В. 3D Сканування як спосіб фіксації на місці злочину: переваги й недоліки. Юридичний бюлетень. 2020. № 16. С. 280–286. </w:t>
      </w:r>
    </w:p>
    <w:p w14:paraId="650630A7" w14:textId="77777777" w:rsidR="00532C25" w:rsidRPr="00511005" w:rsidRDefault="00532C25" w:rsidP="003F6A5D">
      <w:pPr>
        <w:numPr>
          <w:ilvl w:val="1"/>
          <w:numId w:val="683"/>
        </w:numPr>
        <w:spacing w:line="264" w:lineRule="auto"/>
        <w:ind w:left="0" w:firstLine="851"/>
        <w:contextualSpacing/>
        <w:jc w:val="left"/>
        <w:rPr>
          <w:rFonts w:ascii="Arial" w:eastAsia="Times New Roman" w:hAnsi="Arial" w:cs="Arial"/>
          <w:b/>
          <w:szCs w:val="28"/>
          <w:lang w:eastAsia="ru-RU"/>
        </w:rPr>
      </w:pPr>
      <w:r w:rsidRPr="00511005">
        <w:rPr>
          <w:rFonts w:ascii="Arial" w:eastAsia="Times New Roman" w:hAnsi="Arial" w:cs="Arial"/>
          <w:szCs w:val="28"/>
          <w:lang w:eastAsia="ru-RU"/>
        </w:rPr>
        <w:t>Колодіна А.С., Чіпко Н.В. Проблемні питання використання новітніх технологій та штучного інтелекту в криміналістиці. Юридичний науковий електронний журнал. 2024. № 1. С. 610–612. URL: http://www.lsej.org.ua/1_2024/147.pdf</w:t>
      </w:r>
    </w:p>
    <w:p w14:paraId="398551C8" w14:textId="77777777" w:rsidR="00532C25" w:rsidRPr="00511005" w:rsidRDefault="00532C25" w:rsidP="00532C25">
      <w:pPr>
        <w:spacing w:line="264" w:lineRule="auto"/>
        <w:ind w:firstLine="851"/>
        <w:rPr>
          <w:rFonts w:ascii="Arial" w:eastAsia="Calibri" w:hAnsi="Arial" w:cs="Arial"/>
          <w:b/>
          <w:szCs w:val="28"/>
        </w:rPr>
      </w:pPr>
    </w:p>
    <w:p w14:paraId="4A9F3AB3" w14:textId="77777777" w:rsidR="00532C25" w:rsidRPr="00511005" w:rsidRDefault="00532C25" w:rsidP="00532C25">
      <w:pPr>
        <w:spacing w:line="264" w:lineRule="auto"/>
        <w:ind w:firstLine="851"/>
        <w:rPr>
          <w:rFonts w:ascii="Arial" w:eastAsia="Calibri" w:hAnsi="Arial" w:cs="Arial"/>
          <w:b/>
          <w:szCs w:val="28"/>
        </w:rPr>
      </w:pPr>
      <w:r w:rsidRPr="00511005">
        <w:rPr>
          <w:rFonts w:ascii="Arial" w:eastAsia="Calibri" w:hAnsi="Arial" w:cs="Arial"/>
          <w:b/>
          <w:i/>
          <w:szCs w:val="28"/>
        </w:rPr>
        <w:t xml:space="preserve">Ключові слова: </w:t>
      </w:r>
      <w:r w:rsidRPr="00511005">
        <w:rPr>
          <w:rFonts w:ascii="Arial" w:eastAsia="Calibri" w:hAnsi="Arial" w:cs="Arial"/>
          <w:szCs w:val="28"/>
        </w:rPr>
        <w:t>місце події, сліди злочину, фіксація доказів, криміналістика, фотографування, відеозйомка, дактилоскопія, цифрові технології, огляд місця події.</w:t>
      </w:r>
    </w:p>
    <w:p w14:paraId="599BC516" w14:textId="77777777" w:rsidR="00532C25" w:rsidRPr="00511005" w:rsidRDefault="00532C25" w:rsidP="00532C25">
      <w:pPr>
        <w:spacing w:line="264" w:lineRule="auto"/>
        <w:ind w:firstLine="851"/>
        <w:rPr>
          <w:rFonts w:ascii="Arial" w:eastAsia="Calibri" w:hAnsi="Arial" w:cs="Arial"/>
          <w:b/>
          <w:szCs w:val="28"/>
          <w:lang w:val="en-US"/>
        </w:rPr>
      </w:pPr>
      <w:r w:rsidRPr="00511005">
        <w:rPr>
          <w:rFonts w:ascii="Arial" w:eastAsia="Calibri" w:hAnsi="Arial" w:cs="Arial"/>
          <w:b/>
          <w:i/>
          <w:szCs w:val="28"/>
          <w:lang w:val="en-US"/>
        </w:rPr>
        <w:t xml:space="preserve">Key words: </w:t>
      </w:r>
      <w:r w:rsidRPr="00511005">
        <w:rPr>
          <w:rFonts w:ascii="Arial" w:eastAsia="Calibri" w:hAnsi="Arial" w:cs="Arial"/>
          <w:szCs w:val="28"/>
          <w:lang w:val="en-US"/>
        </w:rPr>
        <w:t>crime scene, crime traces, evidence recording, criminalistics, photography, video recording, fingerprinting, digital technologies, crime scene examination.</w:t>
      </w:r>
    </w:p>
    <w:p w14:paraId="47E4B196" w14:textId="77777777" w:rsidR="00532C25" w:rsidRPr="00511005" w:rsidRDefault="00532C25" w:rsidP="00532C25">
      <w:pPr>
        <w:spacing w:line="264" w:lineRule="auto"/>
        <w:ind w:firstLine="851"/>
        <w:rPr>
          <w:rFonts w:ascii="Arial" w:eastAsia="Calibri" w:hAnsi="Arial" w:cs="Arial"/>
          <w:bCs/>
          <w:i/>
          <w:iCs/>
          <w:szCs w:val="28"/>
          <w:lang w:val="uk-UA"/>
        </w:rPr>
      </w:pPr>
      <w:r w:rsidRPr="00511005">
        <w:rPr>
          <w:rFonts w:ascii="Arial" w:eastAsia="Calibri" w:hAnsi="Arial" w:cs="Arial"/>
          <w:b/>
          <w:bCs/>
          <w:i/>
          <w:iCs/>
          <w:szCs w:val="28"/>
        </w:rPr>
        <w:t xml:space="preserve">Науковий керівник: </w:t>
      </w:r>
      <w:r w:rsidRPr="00511005">
        <w:rPr>
          <w:rFonts w:ascii="Arial" w:eastAsia="Calibri" w:hAnsi="Arial" w:cs="Arial"/>
          <w:bCs/>
          <w:i/>
          <w:iCs/>
          <w:szCs w:val="28"/>
          <w:lang w:val="uk-UA"/>
        </w:rPr>
        <w:t>к.ю.н., доцент Загородній І.В.</w:t>
      </w:r>
    </w:p>
    <w:p w14:paraId="2B7DA41B" w14:textId="77777777" w:rsidR="00532C25" w:rsidRPr="00511005" w:rsidRDefault="00532C25" w:rsidP="00532C25">
      <w:pPr>
        <w:spacing w:line="264" w:lineRule="auto"/>
        <w:ind w:firstLine="720"/>
        <w:jc w:val="center"/>
        <w:rPr>
          <w:rFonts w:ascii="Arial" w:eastAsia="Calibri" w:hAnsi="Arial" w:cs="Arial"/>
          <w:b/>
          <w:i/>
          <w:szCs w:val="28"/>
          <w:shd w:val="clear" w:color="auto" w:fill="FFFFFF"/>
        </w:rPr>
      </w:pPr>
    </w:p>
    <w:p w14:paraId="0E0D66C5"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 xml:space="preserve">Шутько Катерина Євгеніївна </w:t>
      </w:r>
    </w:p>
    <w:p w14:paraId="332C4791"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2-го курсу </w:t>
      </w:r>
    </w:p>
    <w:p w14:paraId="44C261C3"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02D58BE"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6B2683D" w14:textId="77777777" w:rsidR="00532C25" w:rsidRPr="00511005" w:rsidRDefault="00532C25" w:rsidP="00532C25">
      <w:pPr>
        <w:spacing w:line="264" w:lineRule="auto"/>
        <w:ind w:firstLine="720"/>
        <w:jc w:val="center"/>
        <w:rPr>
          <w:rFonts w:ascii="Arial" w:eastAsia="Calibri" w:hAnsi="Arial" w:cs="Arial"/>
          <w:b/>
          <w:bCs/>
          <w:szCs w:val="28"/>
          <w:lang w:val="uk-UA"/>
        </w:rPr>
      </w:pPr>
    </w:p>
    <w:p w14:paraId="55559F56"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ВИКОРИСТАННЯ ТЕХНІЧНИХ ЗАСОБІВ У ПРОЦЕСІ ПРОВЕДЕННЯ ОПЕРАТИВНО</w:t>
      </w:r>
      <w:r w:rsidRPr="00511005">
        <w:rPr>
          <w:rFonts w:ascii="Arial" w:eastAsia="Calibri" w:hAnsi="Arial" w:cs="Arial"/>
          <w:b/>
          <w:bCs/>
          <w:szCs w:val="28"/>
        </w:rPr>
        <w:t>-</w:t>
      </w:r>
      <w:r w:rsidRPr="00511005">
        <w:rPr>
          <w:rFonts w:ascii="Arial" w:eastAsia="Calibri" w:hAnsi="Arial" w:cs="Arial"/>
          <w:b/>
          <w:bCs/>
          <w:szCs w:val="28"/>
          <w:lang w:val="uk-UA"/>
        </w:rPr>
        <w:t>РОЗШУКОВИХ ЗАХОДІВ ТА НЕГЛАСНИХ СЛІДЧИХ (РОЗШУКОВИХ) ДІЙ</w:t>
      </w:r>
    </w:p>
    <w:p w14:paraId="50CE826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В останні роки</w:t>
      </w:r>
      <w:r w:rsidRPr="00511005">
        <w:rPr>
          <w:rFonts w:ascii="Arial" w:eastAsia="Calibri" w:hAnsi="Arial" w:cs="Arial"/>
          <w:szCs w:val="28"/>
        </w:rPr>
        <w:t>,</w:t>
      </w:r>
      <w:r w:rsidRPr="00511005">
        <w:rPr>
          <w:rFonts w:ascii="Arial" w:eastAsia="Calibri" w:hAnsi="Arial" w:cs="Arial"/>
          <w:szCs w:val="28"/>
          <w:lang w:val="uk-UA"/>
        </w:rPr>
        <w:t xml:space="preserve"> особливо під час військового стану</w:t>
      </w:r>
      <w:r w:rsidRPr="00511005">
        <w:rPr>
          <w:rFonts w:ascii="Arial" w:eastAsia="Calibri" w:hAnsi="Arial" w:cs="Arial"/>
          <w:szCs w:val="28"/>
        </w:rPr>
        <w:t>,</w:t>
      </w:r>
      <w:r w:rsidRPr="00511005">
        <w:rPr>
          <w:rFonts w:ascii="Arial" w:eastAsia="Calibri" w:hAnsi="Arial" w:cs="Arial"/>
          <w:szCs w:val="28"/>
          <w:lang w:val="uk-UA"/>
        </w:rPr>
        <w:t xml:space="preserve"> стало зрозуміло</w:t>
      </w:r>
      <w:r w:rsidRPr="00511005">
        <w:rPr>
          <w:rFonts w:ascii="Arial" w:eastAsia="Calibri" w:hAnsi="Arial" w:cs="Arial"/>
          <w:szCs w:val="28"/>
        </w:rPr>
        <w:t xml:space="preserve">, </w:t>
      </w:r>
      <w:r w:rsidRPr="00511005">
        <w:rPr>
          <w:rFonts w:ascii="Arial" w:eastAsia="Calibri" w:hAnsi="Arial" w:cs="Arial"/>
          <w:szCs w:val="28"/>
          <w:lang w:val="uk-UA"/>
        </w:rPr>
        <w:t>що виявляти,</w:t>
      </w:r>
      <w:r w:rsidRPr="00511005">
        <w:rPr>
          <w:rFonts w:ascii="Arial" w:eastAsia="Calibri" w:hAnsi="Arial" w:cs="Arial"/>
          <w:szCs w:val="28"/>
        </w:rPr>
        <w:t xml:space="preserve"> </w:t>
      </w:r>
      <w:r w:rsidRPr="00511005">
        <w:rPr>
          <w:rFonts w:ascii="Arial" w:eastAsia="Calibri" w:hAnsi="Arial" w:cs="Arial"/>
          <w:szCs w:val="28"/>
          <w:lang w:val="uk-UA"/>
        </w:rPr>
        <w:t xml:space="preserve">попереджати та розкривати кримінальні правопорушення є неможливим без використання технічних засобів. Поняття </w:t>
      </w:r>
      <w:r w:rsidRPr="00511005">
        <w:rPr>
          <w:rFonts w:ascii="Arial" w:eastAsia="Calibri" w:hAnsi="Arial" w:cs="Arial"/>
          <w:szCs w:val="28"/>
        </w:rPr>
        <w:t>«техн</w:t>
      </w:r>
      <w:r w:rsidRPr="00511005">
        <w:rPr>
          <w:rFonts w:ascii="Arial" w:eastAsia="Calibri" w:hAnsi="Arial" w:cs="Arial"/>
          <w:szCs w:val="28"/>
          <w:lang w:val="uk-UA"/>
        </w:rPr>
        <w:t>ічні засоби» не закріплене в жодному нормативно</w:t>
      </w:r>
      <w:r w:rsidRPr="00511005">
        <w:rPr>
          <w:rFonts w:ascii="Arial" w:eastAsia="Calibri" w:hAnsi="Arial" w:cs="Arial"/>
          <w:szCs w:val="28"/>
        </w:rPr>
        <w:t>-</w:t>
      </w:r>
      <w:r w:rsidRPr="00511005">
        <w:rPr>
          <w:rFonts w:ascii="Arial" w:eastAsia="Calibri" w:hAnsi="Arial" w:cs="Arial"/>
          <w:szCs w:val="28"/>
          <w:lang w:val="uk-UA"/>
        </w:rPr>
        <w:t>правовому акті</w:t>
      </w:r>
      <w:r w:rsidRPr="00511005">
        <w:rPr>
          <w:rFonts w:ascii="Arial" w:eastAsia="Calibri" w:hAnsi="Arial" w:cs="Arial"/>
          <w:szCs w:val="28"/>
        </w:rPr>
        <w:t xml:space="preserve">, </w:t>
      </w:r>
      <w:r w:rsidRPr="00511005">
        <w:rPr>
          <w:rFonts w:ascii="Arial" w:eastAsia="Calibri" w:hAnsi="Arial" w:cs="Arial"/>
          <w:szCs w:val="28"/>
          <w:lang w:val="uk-UA"/>
        </w:rPr>
        <w:t>хоча практика їх застосування є досить успішною. Заг</w:t>
      </w:r>
      <w:r w:rsidRPr="00511005">
        <w:rPr>
          <w:rFonts w:ascii="Arial" w:eastAsia="Calibri" w:hAnsi="Arial" w:cs="Arial"/>
          <w:szCs w:val="28"/>
        </w:rPr>
        <w:t>а</w:t>
      </w:r>
      <w:r w:rsidRPr="00511005">
        <w:rPr>
          <w:rFonts w:ascii="Arial" w:eastAsia="Calibri" w:hAnsi="Arial" w:cs="Arial"/>
          <w:szCs w:val="28"/>
          <w:lang w:val="uk-UA"/>
        </w:rPr>
        <w:t>лом</w:t>
      </w:r>
      <w:r w:rsidRPr="00511005">
        <w:rPr>
          <w:rFonts w:ascii="Arial" w:eastAsia="Calibri" w:hAnsi="Arial" w:cs="Arial"/>
          <w:szCs w:val="28"/>
        </w:rPr>
        <w:t>, використання</w:t>
      </w:r>
      <w:r w:rsidRPr="00511005">
        <w:rPr>
          <w:rFonts w:ascii="Arial" w:eastAsia="Calibri" w:hAnsi="Arial" w:cs="Arial"/>
          <w:szCs w:val="28"/>
          <w:lang w:val="uk-UA"/>
        </w:rPr>
        <w:t xml:space="preserve"> технічних засобів регулюється Конституцією України</w:t>
      </w:r>
      <w:r w:rsidRPr="00511005">
        <w:rPr>
          <w:rFonts w:ascii="Arial" w:eastAsia="Calibri" w:hAnsi="Arial" w:cs="Arial"/>
          <w:szCs w:val="28"/>
        </w:rPr>
        <w:t xml:space="preserve"> (с</w:t>
      </w:r>
      <w:r w:rsidRPr="00511005">
        <w:rPr>
          <w:rFonts w:ascii="Arial" w:eastAsia="Calibri" w:hAnsi="Arial" w:cs="Arial"/>
          <w:szCs w:val="28"/>
          <w:lang w:val="uk-UA"/>
        </w:rPr>
        <w:t>т. 31) [1], Кримінальним процесуальним кодексом України [2]</w:t>
      </w:r>
      <w:r w:rsidRPr="00511005">
        <w:rPr>
          <w:rFonts w:ascii="Arial" w:eastAsia="Calibri" w:hAnsi="Arial" w:cs="Arial"/>
          <w:szCs w:val="28"/>
        </w:rPr>
        <w:t xml:space="preserve">, </w:t>
      </w:r>
      <w:r w:rsidRPr="00511005">
        <w:rPr>
          <w:rFonts w:ascii="Arial" w:eastAsia="Calibri" w:hAnsi="Arial" w:cs="Arial"/>
          <w:szCs w:val="28"/>
          <w:lang w:val="uk-UA"/>
        </w:rPr>
        <w:t>ЗУ «</w:t>
      </w:r>
      <w:r w:rsidRPr="00511005">
        <w:rPr>
          <w:rFonts w:ascii="Arial" w:eastAsia="Calibri" w:hAnsi="Arial" w:cs="Arial"/>
          <w:szCs w:val="28"/>
        </w:rPr>
        <w:t>Про оперативно-</w:t>
      </w:r>
      <w:r w:rsidRPr="00511005">
        <w:rPr>
          <w:rFonts w:ascii="Arial" w:eastAsia="Calibri" w:hAnsi="Arial" w:cs="Arial"/>
          <w:szCs w:val="28"/>
          <w:lang w:val="uk-UA"/>
        </w:rPr>
        <w:t>розшукову діяльність</w:t>
      </w:r>
      <w:r w:rsidRPr="00511005">
        <w:rPr>
          <w:rFonts w:ascii="Arial" w:eastAsia="Calibri" w:hAnsi="Arial" w:cs="Arial"/>
          <w:szCs w:val="28"/>
        </w:rPr>
        <w:t>» [3]</w:t>
      </w:r>
      <w:r w:rsidRPr="00511005">
        <w:rPr>
          <w:rFonts w:ascii="Arial" w:eastAsia="Calibri" w:hAnsi="Arial" w:cs="Arial"/>
          <w:szCs w:val="28"/>
          <w:lang w:val="uk-UA"/>
        </w:rPr>
        <w:t xml:space="preserve"> та ЗУ «Про Національну поліцію» [4].</w:t>
      </w:r>
    </w:p>
    <w:p w14:paraId="1D6D934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Попри те</w:t>
      </w:r>
      <w:r w:rsidRPr="00511005">
        <w:rPr>
          <w:rFonts w:ascii="Arial" w:eastAsia="Calibri" w:hAnsi="Arial" w:cs="Arial"/>
          <w:szCs w:val="28"/>
        </w:rPr>
        <w:t xml:space="preserve">, </w:t>
      </w:r>
      <w:r w:rsidRPr="00511005">
        <w:rPr>
          <w:rFonts w:ascii="Arial" w:eastAsia="Calibri" w:hAnsi="Arial" w:cs="Arial"/>
          <w:szCs w:val="28"/>
          <w:lang w:val="uk-UA"/>
        </w:rPr>
        <w:t>що Конституція України має статус Основного Закону та за своєю ієрархією є найвищим нормативно-правовим актом серед інших</w:t>
      </w:r>
      <w:r w:rsidRPr="00511005">
        <w:rPr>
          <w:rFonts w:ascii="Arial" w:eastAsia="Calibri" w:hAnsi="Arial" w:cs="Arial"/>
          <w:szCs w:val="28"/>
        </w:rPr>
        <w:t xml:space="preserve">, </w:t>
      </w:r>
      <w:r w:rsidRPr="00511005">
        <w:rPr>
          <w:rFonts w:ascii="Arial" w:eastAsia="Calibri" w:hAnsi="Arial" w:cs="Arial"/>
          <w:szCs w:val="28"/>
          <w:lang w:val="uk-UA"/>
        </w:rPr>
        <w:t>більш детально питання повноважень оперативних підрозділів розглядається в ЗУ «Про оперативно-розшукову діяльність»</w:t>
      </w:r>
      <w:r w:rsidRPr="00511005">
        <w:rPr>
          <w:rFonts w:ascii="Arial" w:eastAsia="Calibri" w:hAnsi="Arial" w:cs="Arial"/>
          <w:szCs w:val="28"/>
        </w:rPr>
        <w:t xml:space="preserve">. </w:t>
      </w:r>
      <w:r w:rsidRPr="00511005">
        <w:rPr>
          <w:rFonts w:ascii="Arial" w:eastAsia="Calibri" w:hAnsi="Arial" w:cs="Arial"/>
          <w:szCs w:val="28"/>
          <w:lang w:val="uk-UA"/>
        </w:rPr>
        <w:t>Саме цей нормативний акт надає ширше розуміння функцій оперативних підрозділів та встановлює перелік технічних засобів</w:t>
      </w:r>
      <w:r w:rsidRPr="00511005">
        <w:rPr>
          <w:rFonts w:ascii="Arial" w:eastAsia="Calibri" w:hAnsi="Arial" w:cs="Arial"/>
          <w:szCs w:val="28"/>
        </w:rPr>
        <w:t>,</w:t>
      </w:r>
      <w:r w:rsidRPr="00511005">
        <w:rPr>
          <w:rFonts w:ascii="Arial" w:eastAsia="Calibri" w:hAnsi="Arial" w:cs="Arial"/>
          <w:szCs w:val="28"/>
          <w:lang w:val="uk-UA"/>
        </w:rPr>
        <w:t xml:space="preserve"> допустимих до використання в межах протидії злочинності</w:t>
      </w:r>
      <w:r w:rsidRPr="00511005">
        <w:rPr>
          <w:rFonts w:ascii="Arial" w:eastAsia="Calibri" w:hAnsi="Arial" w:cs="Arial"/>
          <w:szCs w:val="28"/>
        </w:rPr>
        <w:t>.</w:t>
      </w:r>
    </w:p>
    <w:p w14:paraId="0FB870F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Аналізуючи ЗУ «Про оперативно-розшукову діяльність</w:t>
      </w:r>
      <w:r w:rsidRPr="00511005">
        <w:rPr>
          <w:rFonts w:ascii="Arial" w:eastAsia="Calibri" w:hAnsi="Arial" w:cs="Arial"/>
          <w:szCs w:val="28"/>
        </w:rPr>
        <w:t>»,</w:t>
      </w:r>
      <w:r w:rsidRPr="00511005">
        <w:rPr>
          <w:rFonts w:ascii="Arial" w:eastAsia="Calibri" w:hAnsi="Arial" w:cs="Arial"/>
          <w:szCs w:val="28"/>
          <w:lang w:val="uk-UA"/>
        </w:rPr>
        <w:t xml:space="preserve"> де використовується поняття </w:t>
      </w:r>
      <w:r w:rsidRPr="00511005">
        <w:rPr>
          <w:rFonts w:ascii="Arial" w:eastAsia="Calibri" w:hAnsi="Arial" w:cs="Arial"/>
          <w:szCs w:val="28"/>
        </w:rPr>
        <w:t>«</w:t>
      </w:r>
      <w:r w:rsidRPr="00511005">
        <w:rPr>
          <w:rFonts w:ascii="Arial" w:eastAsia="Calibri" w:hAnsi="Arial" w:cs="Arial"/>
          <w:szCs w:val="28"/>
          <w:lang w:val="uk-UA"/>
        </w:rPr>
        <w:t>спеціальна техніка</w:t>
      </w:r>
      <w:r w:rsidRPr="00511005">
        <w:rPr>
          <w:rFonts w:ascii="Arial" w:eastAsia="Calibri" w:hAnsi="Arial" w:cs="Arial"/>
          <w:szCs w:val="28"/>
        </w:rPr>
        <w:t xml:space="preserve">», та виходячи з уявлення про техніку як </w:t>
      </w:r>
      <w:r w:rsidRPr="00511005">
        <w:rPr>
          <w:rFonts w:ascii="Arial" w:eastAsia="Calibri" w:hAnsi="Arial" w:cs="Arial"/>
          <w:szCs w:val="28"/>
          <w:lang w:val="uk-UA"/>
        </w:rPr>
        <w:t>створені людиною засоби</w:t>
      </w:r>
      <w:r w:rsidRPr="00511005">
        <w:rPr>
          <w:rFonts w:ascii="Arial" w:eastAsia="Calibri" w:hAnsi="Arial" w:cs="Arial"/>
          <w:szCs w:val="28"/>
        </w:rPr>
        <w:t>,</w:t>
      </w:r>
      <w:r w:rsidRPr="00511005">
        <w:rPr>
          <w:rFonts w:ascii="Arial" w:eastAsia="Calibri" w:hAnsi="Arial" w:cs="Arial"/>
          <w:szCs w:val="28"/>
          <w:lang w:val="uk-UA"/>
        </w:rPr>
        <w:t xml:space="preserve"> що використовуються на основі природних законів і процесів</w:t>
      </w:r>
      <w:r w:rsidRPr="00511005">
        <w:rPr>
          <w:rFonts w:ascii="Arial" w:eastAsia="Calibri" w:hAnsi="Arial" w:cs="Arial"/>
          <w:szCs w:val="28"/>
        </w:rPr>
        <w:t>,</w:t>
      </w:r>
      <w:r w:rsidRPr="00511005">
        <w:rPr>
          <w:rFonts w:ascii="Arial" w:eastAsia="Calibri" w:hAnsi="Arial" w:cs="Arial"/>
          <w:szCs w:val="28"/>
          <w:lang w:val="uk-UA"/>
        </w:rPr>
        <w:t xml:space="preserve"> можна дійти висновку</w:t>
      </w:r>
      <w:r w:rsidRPr="00511005">
        <w:rPr>
          <w:rFonts w:ascii="Arial" w:eastAsia="Calibri" w:hAnsi="Arial" w:cs="Arial"/>
          <w:szCs w:val="28"/>
        </w:rPr>
        <w:t>,</w:t>
      </w:r>
      <w:r w:rsidRPr="00511005">
        <w:rPr>
          <w:rFonts w:ascii="Arial" w:eastAsia="Calibri" w:hAnsi="Arial" w:cs="Arial"/>
          <w:szCs w:val="28"/>
          <w:lang w:val="uk-UA"/>
        </w:rPr>
        <w:t xml:space="preserve"> що технічні засоби </w:t>
      </w:r>
      <w:r w:rsidRPr="00511005">
        <w:rPr>
          <w:rFonts w:ascii="Arial" w:eastAsia="Calibri" w:hAnsi="Arial" w:cs="Arial"/>
          <w:szCs w:val="28"/>
        </w:rPr>
        <w:t>– це комплекс пристрої</w:t>
      </w:r>
      <w:r w:rsidRPr="00511005">
        <w:rPr>
          <w:rFonts w:ascii="Arial" w:eastAsia="Calibri" w:hAnsi="Arial" w:cs="Arial"/>
          <w:szCs w:val="28"/>
          <w:lang w:val="uk-UA"/>
        </w:rPr>
        <w:t>в</w:t>
      </w:r>
      <w:r w:rsidRPr="00511005">
        <w:rPr>
          <w:rFonts w:ascii="Arial" w:eastAsia="Calibri" w:hAnsi="Arial" w:cs="Arial"/>
          <w:szCs w:val="28"/>
        </w:rPr>
        <w:t>,</w:t>
      </w:r>
      <w:r w:rsidRPr="00511005">
        <w:rPr>
          <w:rFonts w:ascii="Arial" w:eastAsia="Calibri" w:hAnsi="Arial" w:cs="Arial"/>
          <w:szCs w:val="28"/>
          <w:lang w:val="uk-UA"/>
        </w:rPr>
        <w:t xml:space="preserve"> речовин, носіїв або програм</w:t>
      </w:r>
      <w:r w:rsidRPr="00511005">
        <w:rPr>
          <w:rFonts w:ascii="Arial" w:eastAsia="Calibri" w:hAnsi="Arial" w:cs="Arial"/>
          <w:szCs w:val="28"/>
        </w:rPr>
        <w:t>,</w:t>
      </w:r>
      <w:r w:rsidRPr="00511005">
        <w:rPr>
          <w:rFonts w:ascii="Arial" w:eastAsia="Calibri" w:hAnsi="Arial" w:cs="Arial"/>
          <w:szCs w:val="28"/>
          <w:lang w:val="uk-UA"/>
        </w:rPr>
        <w:t xml:space="preserve"> які використовуються уповноваженими органами для приховування збору та фіксації доказів під час проведення оперативно-розшукових заходів </w:t>
      </w:r>
      <w:r w:rsidRPr="00511005">
        <w:rPr>
          <w:rFonts w:ascii="Arial" w:eastAsia="Calibri" w:hAnsi="Arial" w:cs="Arial"/>
          <w:szCs w:val="28"/>
        </w:rPr>
        <w:t>[</w:t>
      </w:r>
      <w:r w:rsidRPr="00511005">
        <w:rPr>
          <w:rFonts w:ascii="Arial" w:eastAsia="Calibri" w:hAnsi="Arial" w:cs="Arial"/>
          <w:szCs w:val="28"/>
          <w:lang w:val="uk-UA"/>
        </w:rPr>
        <w:t>5].</w:t>
      </w:r>
    </w:p>
    <w:p w14:paraId="31D2DA4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Основною метою таких технічних засобів є отримання важливих доказів для подальшого забезпечення обґрунтованого та неупередженого судового розгляду і як результат </w:t>
      </w:r>
      <w:r w:rsidRPr="00511005">
        <w:rPr>
          <w:rFonts w:ascii="Arial" w:eastAsia="Calibri" w:hAnsi="Arial" w:cs="Arial"/>
          <w:szCs w:val="28"/>
        </w:rPr>
        <w:t>– зниження</w:t>
      </w:r>
      <w:r w:rsidRPr="00511005">
        <w:rPr>
          <w:rFonts w:ascii="Arial" w:eastAsia="Calibri" w:hAnsi="Arial" w:cs="Arial"/>
          <w:szCs w:val="28"/>
          <w:lang w:val="uk-UA"/>
        </w:rPr>
        <w:t xml:space="preserve"> рівня вчинюваних кримінальних правопорушень.</w:t>
      </w:r>
    </w:p>
    <w:p w14:paraId="010D674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Оперативна техніка відіграє ключову роль при проведенні оперативно-розшукових заходів та негласних слідчих (розшукових) дій, адже їх керуючою особливістю є здатність застосовуватись у розвідувально-пошукових заходах, спрямованих на встановлення та фіксацію осіб, обʼєктів та обставин, які мають звʼязок з підготовкою до вчинення кримінального правопорушення [6].</w:t>
      </w:r>
    </w:p>
    <w:p w14:paraId="7A400E8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rPr>
        <w:lastRenderedPageBreak/>
        <w:t>Оперативна техн</w:t>
      </w:r>
      <w:r w:rsidRPr="00511005">
        <w:rPr>
          <w:rFonts w:ascii="Arial" w:eastAsia="Calibri" w:hAnsi="Arial" w:cs="Arial"/>
          <w:szCs w:val="28"/>
          <w:lang w:val="uk-UA"/>
        </w:rPr>
        <w:t>іка складається із загальних положень і окремих напрямів її застосування. Загальні положення охоплюють основні поняття, завдання, типи технічних засобів та способи їх використання, а також правове регулювання проведення оперативно-розшукових заходів. Галузі оперативної техніки поділяються на засоби гласного збору інформації та негласного. До негласних засобів можуть належати як модифіковані побутові пристрої, так і спеціально розроблені технічні або програмні засоби.</w:t>
      </w:r>
    </w:p>
    <w:p w14:paraId="067ADF1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Розкриваючи питання про завдання технічних засобів можна сказати, що центральним завданням оперативної техніки є забезпечення ефективного збору, фіксації та документування інформації про кримінально-протиправну діяльність для її подальшого використання у кримінальному провадженні. Тобто</w:t>
      </w:r>
      <w:r w:rsidRPr="00511005">
        <w:rPr>
          <w:rFonts w:ascii="Arial" w:eastAsia="Calibri" w:hAnsi="Arial" w:cs="Arial"/>
          <w:szCs w:val="28"/>
        </w:rPr>
        <w:t xml:space="preserve">, головна мета – перетворити </w:t>
      </w:r>
      <w:r w:rsidRPr="00511005">
        <w:rPr>
          <w:rFonts w:ascii="Arial" w:eastAsia="Calibri" w:hAnsi="Arial" w:cs="Arial"/>
          <w:szCs w:val="28"/>
          <w:lang w:val="uk-UA"/>
        </w:rPr>
        <w:t>вилучену інформацію на допустимі докази</w:t>
      </w:r>
      <w:r w:rsidRPr="00511005">
        <w:rPr>
          <w:rFonts w:ascii="Arial" w:eastAsia="Calibri" w:hAnsi="Arial" w:cs="Arial"/>
          <w:szCs w:val="28"/>
        </w:rPr>
        <w:t>, як</w:t>
      </w:r>
      <w:r w:rsidRPr="00511005">
        <w:rPr>
          <w:rFonts w:ascii="Arial" w:eastAsia="Calibri" w:hAnsi="Arial" w:cs="Arial"/>
          <w:szCs w:val="28"/>
          <w:lang w:val="uk-UA"/>
        </w:rPr>
        <w:t>і допоможуть припинити кримінальне правопорушення і довести вину особи у суді.</w:t>
      </w:r>
    </w:p>
    <w:p w14:paraId="32CD2649"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val="uk-UA" w:eastAsia="ru-RU"/>
        </w:rPr>
        <w:t>У процесі проведення оперативно-розшукових заходів та негласних слідчих (розшукових) дій правоохоронці використовують такі технічні засоби:</w:t>
      </w:r>
      <w:r w:rsidRPr="00511005">
        <w:rPr>
          <w:rFonts w:ascii="Arial" w:eastAsia="Times New Roman" w:hAnsi="Arial" w:cs="Arial"/>
          <w:i/>
          <w:iCs/>
          <w:szCs w:val="28"/>
          <w:lang w:eastAsia="ru-RU"/>
        </w:rPr>
        <w:t xml:space="preserve"> </w:t>
      </w:r>
    </w:p>
    <w:p w14:paraId="03428974"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1. </w:t>
      </w:r>
      <w:r w:rsidRPr="00511005">
        <w:rPr>
          <w:rFonts w:ascii="Arial" w:eastAsia="Times New Roman" w:hAnsi="Arial" w:cs="Arial"/>
          <w:szCs w:val="28"/>
          <w:lang w:eastAsia="ru-RU"/>
        </w:rPr>
        <w:t>Засоби зв’язку</w:t>
      </w:r>
      <w:r w:rsidRPr="00511005">
        <w:rPr>
          <w:rFonts w:ascii="Arial" w:eastAsia="Times New Roman" w:hAnsi="Arial" w:cs="Arial"/>
          <w:szCs w:val="28"/>
          <w:lang w:val="uk-UA" w:eastAsia="ru-RU"/>
        </w:rPr>
        <w:t xml:space="preserve"> – </w:t>
      </w:r>
      <w:r w:rsidRPr="00511005">
        <w:rPr>
          <w:rFonts w:ascii="Arial" w:eastAsia="Times New Roman" w:hAnsi="Arial" w:cs="Arial"/>
          <w:i/>
          <w:iCs/>
          <w:szCs w:val="28"/>
          <w:lang w:val="uk-UA" w:eastAsia="ru-RU"/>
        </w:rPr>
        <w:t>в</w:t>
      </w:r>
      <w:r w:rsidRPr="00511005">
        <w:rPr>
          <w:rFonts w:ascii="Arial" w:eastAsia="Times New Roman" w:hAnsi="Arial" w:cs="Arial"/>
          <w:i/>
          <w:iCs/>
          <w:szCs w:val="28"/>
          <w:lang w:eastAsia="ru-RU"/>
        </w:rPr>
        <w:t xml:space="preserve">икористовуються для забезпечення оперативної комунікації між підрозділами. Найпоширенішими є </w:t>
      </w:r>
      <w:r w:rsidRPr="00511005">
        <w:rPr>
          <w:rFonts w:ascii="Arial" w:eastAsia="Times New Roman" w:hAnsi="Arial" w:cs="Arial"/>
          <w:szCs w:val="28"/>
          <w:lang w:eastAsia="ru-RU"/>
        </w:rPr>
        <w:t>таємні радіостанції</w:t>
      </w:r>
      <w:r w:rsidRPr="00511005">
        <w:rPr>
          <w:rFonts w:ascii="Arial" w:eastAsia="Times New Roman" w:hAnsi="Arial" w:cs="Arial"/>
          <w:i/>
          <w:iCs/>
          <w:szCs w:val="28"/>
          <w:lang w:eastAsia="ru-RU"/>
        </w:rPr>
        <w:t>.</w:t>
      </w:r>
    </w:p>
    <w:p w14:paraId="2A9FCCD5"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2. </w:t>
      </w:r>
      <w:r w:rsidRPr="00511005">
        <w:rPr>
          <w:rFonts w:ascii="Arial" w:eastAsia="Times New Roman" w:hAnsi="Arial" w:cs="Arial"/>
          <w:szCs w:val="28"/>
          <w:lang w:eastAsia="ru-RU"/>
        </w:rPr>
        <w:t>Пошукові технічні засоби</w:t>
      </w:r>
      <w:r w:rsidRPr="00511005">
        <w:rPr>
          <w:rFonts w:ascii="Arial" w:eastAsia="Times New Roman" w:hAnsi="Arial" w:cs="Arial"/>
          <w:szCs w:val="28"/>
          <w:lang w:val="uk-UA" w:eastAsia="ru-RU"/>
        </w:rPr>
        <w:t xml:space="preserve"> – </w:t>
      </w:r>
      <w:r w:rsidRPr="00511005">
        <w:rPr>
          <w:rFonts w:ascii="Arial" w:eastAsia="Times New Roman" w:hAnsi="Arial" w:cs="Arial"/>
          <w:i/>
          <w:iCs/>
          <w:szCs w:val="28"/>
          <w:lang w:val="uk-UA" w:eastAsia="ru-RU"/>
        </w:rPr>
        <w:t>п</w:t>
      </w:r>
      <w:r w:rsidRPr="00511005">
        <w:rPr>
          <w:rFonts w:ascii="Arial" w:eastAsia="Times New Roman" w:hAnsi="Arial" w:cs="Arial"/>
          <w:i/>
          <w:iCs/>
          <w:szCs w:val="28"/>
          <w:lang w:eastAsia="ru-RU"/>
        </w:rPr>
        <w:t>ризначені для виявлення</w:t>
      </w:r>
      <w:r w:rsidRPr="00511005">
        <w:rPr>
          <w:rFonts w:ascii="Arial" w:eastAsia="Times New Roman" w:hAnsi="Arial" w:cs="Arial"/>
          <w:i/>
          <w:iCs/>
          <w:szCs w:val="28"/>
          <w:lang w:val="uk-UA" w:eastAsia="ru-RU"/>
        </w:rPr>
        <w:t xml:space="preserve"> </w:t>
      </w:r>
      <w:r w:rsidRPr="00511005">
        <w:rPr>
          <w:rFonts w:ascii="Arial" w:eastAsia="Times New Roman" w:hAnsi="Arial" w:cs="Arial"/>
          <w:i/>
          <w:iCs/>
          <w:szCs w:val="28"/>
          <w:lang w:eastAsia="ru-RU"/>
        </w:rPr>
        <w:t xml:space="preserve">знарядь </w:t>
      </w:r>
      <w:r w:rsidRPr="00511005">
        <w:rPr>
          <w:rFonts w:ascii="Arial" w:eastAsia="Times New Roman" w:hAnsi="Arial" w:cs="Arial"/>
          <w:i/>
          <w:iCs/>
          <w:szCs w:val="28"/>
          <w:lang w:val="uk-UA" w:eastAsia="ru-RU"/>
        </w:rPr>
        <w:t>кримінального правопорушення</w:t>
      </w:r>
      <w:r w:rsidRPr="00511005">
        <w:rPr>
          <w:rFonts w:ascii="Arial" w:eastAsia="Times New Roman" w:hAnsi="Arial" w:cs="Arial"/>
          <w:i/>
          <w:iCs/>
          <w:szCs w:val="28"/>
          <w:lang w:eastAsia="ru-RU"/>
        </w:rPr>
        <w:t>,</w:t>
      </w:r>
      <w:r w:rsidRPr="00511005">
        <w:rPr>
          <w:rFonts w:ascii="Arial" w:eastAsia="Times New Roman" w:hAnsi="Arial" w:cs="Arial"/>
          <w:i/>
          <w:iCs/>
          <w:szCs w:val="28"/>
          <w:lang w:val="uk-UA" w:eastAsia="ru-RU"/>
        </w:rPr>
        <w:t xml:space="preserve"> </w:t>
      </w:r>
      <w:r w:rsidRPr="00511005">
        <w:rPr>
          <w:rFonts w:ascii="Arial" w:eastAsia="Times New Roman" w:hAnsi="Arial" w:cs="Arial"/>
          <w:i/>
          <w:iCs/>
          <w:szCs w:val="28"/>
          <w:lang w:eastAsia="ru-RU"/>
        </w:rPr>
        <w:t>викрадених цінностей,</w:t>
      </w:r>
      <w:r w:rsidRPr="00511005">
        <w:rPr>
          <w:rFonts w:ascii="Arial" w:eastAsia="Times New Roman" w:hAnsi="Arial" w:cs="Arial"/>
          <w:i/>
          <w:iCs/>
          <w:szCs w:val="28"/>
          <w:lang w:val="uk-UA" w:eastAsia="ru-RU"/>
        </w:rPr>
        <w:t xml:space="preserve"> </w:t>
      </w:r>
      <w:r w:rsidRPr="00511005">
        <w:rPr>
          <w:rFonts w:ascii="Arial" w:eastAsia="Times New Roman" w:hAnsi="Arial" w:cs="Arial"/>
          <w:i/>
          <w:iCs/>
          <w:szCs w:val="28"/>
          <w:lang w:eastAsia="ru-RU"/>
        </w:rPr>
        <w:t>осіб, які переховуються</w:t>
      </w:r>
      <w:r w:rsidRPr="00511005">
        <w:rPr>
          <w:rFonts w:ascii="Arial" w:eastAsia="Times New Roman" w:hAnsi="Arial" w:cs="Arial"/>
          <w:i/>
          <w:iCs/>
          <w:szCs w:val="28"/>
          <w:lang w:val="uk-UA" w:eastAsia="ru-RU"/>
        </w:rPr>
        <w:t xml:space="preserve"> (</w:t>
      </w:r>
      <w:r w:rsidRPr="00511005">
        <w:rPr>
          <w:rFonts w:ascii="Arial" w:eastAsia="Times New Roman" w:hAnsi="Arial" w:cs="Arial"/>
          <w:szCs w:val="28"/>
          <w:lang w:eastAsia="ru-RU"/>
        </w:rPr>
        <w:t>металошукачі</w:t>
      </w:r>
      <w:r w:rsidRPr="00511005">
        <w:rPr>
          <w:rFonts w:ascii="Arial" w:eastAsia="Times New Roman" w:hAnsi="Arial" w:cs="Arial"/>
          <w:i/>
          <w:iCs/>
          <w:szCs w:val="28"/>
          <w:lang w:eastAsia="ru-RU"/>
        </w:rPr>
        <w:t xml:space="preserve">, </w:t>
      </w:r>
      <w:r w:rsidRPr="00511005">
        <w:rPr>
          <w:rFonts w:ascii="Arial" w:eastAsia="Times New Roman" w:hAnsi="Arial" w:cs="Arial"/>
          <w:szCs w:val="28"/>
          <w:lang w:eastAsia="ru-RU"/>
        </w:rPr>
        <w:t>тепловізори</w:t>
      </w:r>
      <w:r w:rsidRPr="00511005">
        <w:rPr>
          <w:rFonts w:ascii="Arial" w:eastAsia="Times New Roman" w:hAnsi="Arial" w:cs="Arial"/>
          <w:i/>
          <w:iCs/>
          <w:szCs w:val="28"/>
          <w:lang w:val="uk-UA" w:eastAsia="ru-RU"/>
        </w:rPr>
        <w:t xml:space="preserve"> тощо</w:t>
      </w:r>
      <w:r w:rsidRPr="00511005">
        <w:rPr>
          <w:rFonts w:ascii="Arial" w:eastAsia="Times New Roman" w:hAnsi="Arial" w:cs="Arial"/>
          <w:i/>
          <w:iCs/>
          <w:szCs w:val="28"/>
          <w:lang w:eastAsia="ru-RU"/>
        </w:rPr>
        <w:t>).</w:t>
      </w:r>
    </w:p>
    <w:p w14:paraId="4F81C8DE"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3. </w:t>
      </w:r>
      <w:r w:rsidRPr="00511005">
        <w:rPr>
          <w:rFonts w:ascii="Arial" w:eastAsia="Times New Roman" w:hAnsi="Arial" w:cs="Arial"/>
          <w:szCs w:val="28"/>
          <w:lang w:eastAsia="ru-RU"/>
        </w:rPr>
        <w:t xml:space="preserve">Засоби психофізіологічного контролю </w:t>
      </w:r>
      <w:r w:rsidRPr="00511005">
        <w:rPr>
          <w:rFonts w:ascii="Arial" w:eastAsia="Times New Roman" w:hAnsi="Arial" w:cs="Arial"/>
          <w:i/>
          <w:iCs/>
          <w:szCs w:val="28"/>
          <w:lang w:eastAsia="ru-RU"/>
        </w:rPr>
        <w:t>– дають змогу оцінювати емоційний та фізіологічний стан особи.</w:t>
      </w:r>
    </w:p>
    <w:p w14:paraId="4103D40D"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uk-UA" w:eastAsia="ru-RU"/>
        </w:rPr>
      </w:pPr>
      <w:r w:rsidRPr="00511005">
        <w:rPr>
          <w:rFonts w:ascii="Arial" w:eastAsia="Times New Roman" w:hAnsi="Arial" w:cs="Arial"/>
          <w:i/>
          <w:iCs/>
          <w:szCs w:val="28"/>
          <w:lang w:eastAsia="ru-RU"/>
        </w:rPr>
        <w:t xml:space="preserve">4. </w:t>
      </w:r>
      <w:r w:rsidRPr="00511005">
        <w:rPr>
          <w:rFonts w:ascii="Arial" w:eastAsia="Times New Roman" w:hAnsi="Arial" w:cs="Arial"/>
          <w:szCs w:val="28"/>
          <w:lang w:eastAsia="ru-RU"/>
        </w:rPr>
        <w:t>Технічні засоби спостереження</w:t>
      </w:r>
      <w:r w:rsidRPr="00511005">
        <w:rPr>
          <w:rFonts w:ascii="Arial" w:eastAsia="Times New Roman" w:hAnsi="Arial" w:cs="Arial"/>
          <w:szCs w:val="28"/>
          <w:lang w:val="uk-UA" w:eastAsia="ru-RU"/>
        </w:rPr>
        <w:t xml:space="preserve"> – </w:t>
      </w:r>
      <w:r w:rsidRPr="00511005">
        <w:rPr>
          <w:rFonts w:ascii="Arial" w:eastAsia="Times New Roman" w:hAnsi="Arial" w:cs="Arial"/>
          <w:i/>
          <w:iCs/>
          <w:szCs w:val="28"/>
          <w:lang w:val="uk-UA" w:eastAsia="ru-RU"/>
        </w:rPr>
        <w:t>в</w:t>
      </w:r>
      <w:r w:rsidRPr="00511005">
        <w:rPr>
          <w:rFonts w:ascii="Arial" w:eastAsia="Times New Roman" w:hAnsi="Arial" w:cs="Arial"/>
          <w:i/>
          <w:iCs/>
          <w:szCs w:val="28"/>
          <w:lang w:eastAsia="ru-RU"/>
        </w:rPr>
        <w:t>икористовуються в умовах обмеженої видимості або для негласного спостереження</w:t>
      </w:r>
      <w:r w:rsidRPr="00511005">
        <w:rPr>
          <w:rFonts w:ascii="Arial" w:eastAsia="Times New Roman" w:hAnsi="Arial" w:cs="Arial"/>
          <w:i/>
          <w:iCs/>
          <w:szCs w:val="28"/>
          <w:lang w:val="uk-UA" w:eastAsia="ru-RU"/>
        </w:rPr>
        <w:t xml:space="preserve"> (</w:t>
      </w:r>
      <w:r w:rsidRPr="00511005">
        <w:rPr>
          <w:rFonts w:ascii="Arial" w:eastAsia="Times New Roman" w:hAnsi="Arial" w:cs="Arial"/>
          <w:szCs w:val="28"/>
          <w:lang w:eastAsia="ru-RU"/>
        </w:rPr>
        <w:t>прилади нічного бачення</w:t>
      </w:r>
      <w:r w:rsidRPr="00511005">
        <w:rPr>
          <w:rFonts w:ascii="Arial" w:eastAsia="Times New Roman" w:hAnsi="Arial" w:cs="Arial"/>
          <w:i/>
          <w:iCs/>
          <w:szCs w:val="28"/>
          <w:lang w:eastAsia="ru-RU"/>
        </w:rPr>
        <w:t xml:space="preserve">, </w:t>
      </w:r>
      <w:r w:rsidRPr="00511005">
        <w:rPr>
          <w:rFonts w:ascii="Arial" w:eastAsia="Times New Roman" w:hAnsi="Arial" w:cs="Arial"/>
          <w:szCs w:val="28"/>
          <w:lang w:eastAsia="ru-RU"/>
        </w:rPr>
        <w:t>ендоскопи</w:t>
      </w:r>
      <w:r w:rsidRPr="00511005">
        <w:rPr>
          <w:rFonts w:ascii="Arial" w:eastAsia="Times New Roman" w:hAnsi="Arial" w:cs="Arial"/>
          <w:i/>
          <w:iCs/>
          <w:szCs w:val="28"/>
          <w:lang w:val="uk-UA" w:eastAsia="ru-RU"/>
        </w:rPr>
        <w:t>).</w:t>
      </w:r>
    </w:p>
    <w:p w14:paraId="4AEAC3A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5. </w:t>
      </w:r>
      <w:r w:rsidRPr="00511005">
        <w:rPr>
          <w:rFonts w:ascii="Arial" w:eastAsia="Times New Roman" w:hAnsi="Arial" w:cs="Arial"/>
          <w:szCs w:val="28"/>
          <w:lang w:eastAsia="ru-RU"/>
        </w:rPr>
        <w:t>Системи візуального контролю</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 xml:space="preserve">призначені для оптичного спостереження на відстані </w:t>
      </w:r>
      <w:r w:rsidRPr="00511005">
        <w:rPr>
          <w:rFonts w:ascii="Arial" w:eastAsia="Times New Roman" w:hAnsi="Arial" w:cs="Arial"/>
          <w:i/>
          <w:iCs/>
          <w:szCs w:val="28"/>
          <w:lang w:val="uk-UA" w:eastAsia="ru-RU"/>
        </w:rPr>
        <w:t>(</w:t>
      </w:r>
      <w:r w:rsidRPr="00511005">
        <w:rPr>
          <w:rFonts w:ascii="Arial" w:eastAsia="Times New Roman" w:hAnsi="Arial" w:cs="Arial"/>
          <w:szCs w:val="28"/>
          <w:lang w:eastAsia="ru-RU"/>
        </w:rPr>
        <w:t>біноклі</w:t>
      </w:r>
      <w:r w:rsidRPr="00511005">
        <w:rPr>
          <w:rFonts w:ascii="Arial" w:eastAsia="Times New Roman" w:hAnsi="Arial" w:cs="Arial"/>
          <w:i/>
          <w:iCs/>
          <w:szCs w:val="28"/>
          <w:lang w:eastAsia="ru-RU"/>
        </w:rPr>
        <w:t xml:space="preserve">, </w:t>
      </w:r>
      <w:r w:rsidRPr="00511005">
        <w:rPr>
          <w:rFonts w:ascii="Arial" w:eastAsia="Times New Roman" w:hAnsi="Arial" w:cs="Arial"/>
          <w:szCs w:val="28"/>
          <w:lang w:eastAsia="ru-RU"/>
        </w:rPr>
        <w:t>зорові труби</w:t>
      </w:r>
      <w:r w:rsidRPr="00511005">
        <w:rPr>
          <w:rFonts w:ascii="Arial" w:eastAsia="Times New Roman" w:hAnsi="Arial" w:cs="Arial"/>
          <w:i/>
          <w:iCs/>
          <w:szCs w:val="28"/>
          <w:lang w:eastAsia="ru-RU"/>
        </w:rPr>
        <w:t xml:space="preserve">, </w:t>
      </w:r>
      <w:r w:rsidRPr="00511005">
        <w:rPr>
          <w:rFonts w:ascii="Arial" w:eastAsia="Times New Roman" w:hAnsi="Arial" w:cs="Arial"/>
          <w:szCs w:val="28"/>
          <w:lang w:eastAsia="ru-RU"/>
        </w:rPr>
        <w:t>оптика з великим збільшенням</w:t>
      </w:r>
      <w:r w:rsidRPr="00511005">
        <w:rPr>
          <w:rFonts w:ascii="Arial" w:eastAsia="Times New Roman" w:hAnsi="Arial" w:cs="Arial"/>
          <w:i/>
          <w:iCs/>
          <w:szCs w:val="28"/>
          <w:lang w:val="uk-UA" w:eastAsia="ru-RU"/>
        </w:rPr>
        <w:t>)</w:t>
      </w:r>
      <w:r w:rsidRPr="00511005">
        <w:rPr>
          <w:rFonts w:ascii="Arial" w:eastAsia="Times New Roman" w:hAnsi="Arial" w:cs="Arial"/>
          <w:i/>
          <w:iCs/>
          <w:szCs w:val="28"/>
          <w:lang w:eastAsia="ru-RU"/>
        </w:rPr>
        <w:t>.</w:t>
      </w:r>
    </w:p>
    <w:p w14:paraId="2B618C3B"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6. </w:t>
      </w:r>
      <w:r w:rsidRPr="00511005">
        <w:rPr>
          <w:rFonts w:ascii="Arial" w:eastAsia="Times New Roman" w:hAnsi="Arial" w:cs="Arial"/>
          <w:szCs w:val="28"/>
          <w:lang w:eastAsia="ru-RU"/>
        </w:rPr>
        <w:t>Засоби фіксації інформації</w:t>
      </w:r>
      <w:r w:rsidRPr="00511005">
        <w:rPr>
          <w:rFonts w:ascii="Arial" w:eastAsia="Times New Roman" w:hAnsi="Arial" w:cs="Arial"/>
          <w:szCs w:val="28"/>
          <w:lang w:val="uk-UA" w:eastAsia="ru-RU"/>
        </w:rPr>
        <w:t xml:space="preserve"> – </w:t>
      </w:r>
      <w:r w:rsidRPr="00511005">
        <w:rPr>
          <w:rFonts w:ascii="Arial" w:eastAsia="Times New Roman" w:hAnsi="Arial" w:cs="Arial"/>
          <w:i/>
          <w:iCs/>
          <w:szCs w:val="28"/>
          <w:lang w:val="uk-UA" w:eastAsia="ru-RU"/>
        </w:rPr>
        <w:t>з</w:t>
      </w:r>
      <w:r w:rsidRPr="00511005">
        <w:rPr>
          <w:rFonts w:ascii="Arial" w:eastAsia="Times New Roman" w:hAnsi="Arial" w:cs="Arial"/>
          <w:i/>
          <w:iCs/>
          <w:szCs w:val="28"/>
          <w:lang w:eastAsia="ru-RU"/>
        </w:rPr>
        <w:t>абезпечують запис отриманої інформації на носії.</w:t>
      </w:r>
    </w:p>
    <w:p w14:paraId="584D78BE"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7. </w:t>
      </w:r>
      <w:r w:rsidRPr="00511005">
        <w:rPr>
          <w:rFonts w:ascii="Arial" w:eastAsia="Times New Roman" w:hAnsi="Arial" w:cs="Arial"/>
          <w:szCs w:val="28"/>
          <w:lang w:eastAsia="ru-RU"/>
        </w:rPr>
        <w:t>Засоби аудіального контролю</w:t>
      </w:r>
      <w:r w:rsidRPr="00511005">
        <w:rPr>
          <w:rFonts w:ascii="Arial" w:eastAsia="Times New Roman" w:hAnsi="Arial" w:cs="Arial"/>
          <w:szCs w:val="28"/>
          <w:lang w:val="uk-UA" w:eastAsia="ru-RU"/>
        </w:rPr>
        <w:t xml:space="preserve"> – </w:t>
      </w:r>
      <w:r w:rsidRPr="00511005">
        <w:rPr>
          <w:rFonts w:ascii="Arial" w:eastAsia="Times New Roman" w:hAnsi="Arial" w:cs="Arial"/>
          <w:i/>
          <w:iCs/>
          <w:szCs w:val="28"/>
          <w:lang w:val="uk-UA" w:eastAsia="ru-RU"/>
        </w:rPr>
        <w:t>д</w:t>
      </w:r>
      <w:r w:rsidRPr="00511005">
        <w:rPr>
          <w:rFonts w:ascii="Arial" w:eastAsia="Times New Roman" w:hAnsi="Arial" w:cs="Arial"/>
          <w:i/>
          <w:iCs/>
          <w:szCs w:val="28"/>
          <w:lang w:eastAsia="ru-RU"/>
        </w:rPr>
        <w:t>озволяють вести приховане прослуховування</w:t>
      </w:r>
      <w:r w:rsidRPr="00511005">
        <w:rPr>
          <w:rFonts w:ascii="Arial" w:eastAsia="Times New Roman" w:hAnsi="Arial" w:cs="Arial"/>
          <w:i/>
          <w:iCs/>
          <w:szCs w:val="28"/>
          <w:lang w:val="uk-UA" w:eastAsia="ru-RU"/>
        </w:rPr>
        <w:t xml:space="preserve"> (</w:t>
      </w:r>
      <w:r w:rsidRPr="00511005">
        <w:rPr>
          <w:rFonts w:ascii="Arial" w:eastAsia="Times New Roman" w:hAnsi="Arial" w:cs="Arial"/>
          <w:szCs w:val="28"/>
          <w:lang w:eastAsia="ru-RU"/>
        </w:rPr>
        <w:t>мікрофони</w:t>
      </w:r>
      <w:r w:rsidRPr="00511005">
        <w:rPr>
          <w:rFonts w:ascii="Arial" w:eastAsia="Times New Roman" w:hAnsi="Arial" w:cs="Arial"/>
          <w:i/>
          <w:iCs/>
          <w:szCs w:val="28"/>
          <w:lang w:eastAsia="ru-RU"/>
        </w:rPr>
        <w:t xml:space="preserve">, </w:t>
      </w:r>
      <w:r w:rsidRPr="00511005">
        <w:rPr>
          <w:rFonts w:ascii="Arial" w:eastAsia="Times New Roman" w:hAnsi="Arial" w:cs="Arial"/>
          <w:szCs w:val="28"/>
          <w:lang w:eastAsia="ru-RU"/>
        </w:rPr>
        <w:t>лазерні прослуховувальні системи</w:t>
      </w:r>
      <w:r w:rsidRPr="00511005">
        <w:rPr>
          <w:rFonts w:ascii="Arial" w:eastAsia="Times New Roman" w:hAnsi="Arial" w:cs="Arial"/>
          <w:i/>
          <w:iCs/>
          <w:szCs w:val="28"/>
          <w:lang w:eastAsia="ru-RU"/>
        </w:rPr>
        <w:t xml:space="preserve">, </w:t>
      </w:r>
      <w:r w:rsidRPr="00511005">
        <w:rPr>
          <w:rFonts w:ascii="Arial" w:eastAsia="Times New Roman" w:hAnsi="Arial" w:cs="Arial"/>
          <w:szCs w:val="28"/>
          <w:lang w:eastAsia="ru-RU"/>
        </w:rPr>
        <w:t>стетоскопи</w:t>
      </w:r>
      <w:r w:rsidRPr="00511005">
        <w:rPr>
          <w:rFonts w:ascii="Arial" w:eastAsia="Times New Roman" w:hAnsi="Arial" w:cs="Arial"/>
          <w:szCs w:val="28"/>
          <w:lang w:val="uk-UA" w:eastAsia="ru-RU"/>
        </w:rPr>
        <w:t>)</w:t>
      </w:r>
      <w:r w:rsidRPr="00511005">
        <w:rPr>
          <w:rFonts w:ascii="Arial" w:eastAsia="Times New Roman" w:hAnsi="Arial" w:cs="Arial"/>
          <w:i/>
          <w:iCs/>
          <w:szCs w:val="28"/>
          <w:lang w:eastAsia="ru-RU"/>
        </w:rPr>
        <w:t>.</w:t>
      </w:r>
    </w:p>
    <w:p w14:paraId="2F1DEB8A"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uk-UA" w:eastAsia="ru-RU"/>
        </w:rPr>
      </w:pPr>
      <w:r w:rsidRPr="00511005">
        <w:rPr>
          <w:rFonts w:ascii="Arial" w:eastAsia="Times New Roman" w:hAnsi="Arial" w:cs="Arial"/>
          <w:i/>
          <w:iCs/>
          <w:szCs w:val="28"/>
          <w:lang w:eastAsia="ru-RU"/>
        </w:rPr>
        <w:t xml:space="preserve">8. </w:t>
      </w:r>
      <w:r w:rsidRPr="00511005">
        <w:rPr>
          <w:rFonts w:ascii="Arial" w:eastAsia="Times New Roman" w:hAnsi="Arial" w:cs="Arial"/>
          <w:szCs w:val="28"/>
          <w:lang w:eastAsia="ru-RU"/>
        </w:rPr>
        <w:t>Засоби створення умов для здобуття інформації</w:t>
      </w:r>
      <w:r w:rsidRPr="00511005">
        <w:rPr>
          <w:rFonts w:ascii="Arial" w:eastAsia="Times New Roman" w:hAnsi="Arial" w:cs="Arial"/>
          <w:i/>
          <w:iCs/>
          <w:szCs w:val="28"/>
          <w:lang w:val="uk-UA" w:eastAsia="ru-RU"/>
        </w:rPr>
        <w:t xml:space="preserve"> – в</w:t>
      </w:r>
      <w:r w:rsidRPr="00511005">
        <w:rPr>
          <w:rFonts w:ascii="Arial" w:eastAsia="Times New Roman" w:hAnsi="Arial" w:cs="Arial"/>
          <w:i/>
          <w:iCs/>
          <w:szCs w:val="28"/>
          <w:lang w:eastAsia="ru-RU"/>
        </w:rPr>
        <w:t xml:space="preserve">ключають </w:t>
      </w:r>
      <w:r w:rsidRPr="00511005">
        <w:rPr>
          <w:rFonts w:ascii="Arial" w:eastAsia="Times New Roman" w:hAnsi="Arial" w:cs="Arial"/>
          <w:szCs w:val="28"/>
          <w:lang w:eastAsia="ru-RU"/>
        </w:rPr>
        <w:t>спеціальні хімічні речовини</w:t>
      </w:r>
      <w:r w:rsidRPr="00511005">
        <w:rPr>
          <w:rFonts w:ascii="Arial" w:eastAsia="Times New Roman" w:hAnsi="Arial" w:cs="Arial"/>
          <w:i/>
          <w:iCs/>
          <w:szCs w:val="28"/>
          <w:lang w:eastAsia="ru-RU"/>
        </w:rPr>
        <w:t>, які наносяться на об’єкти і згодом виявляються за допомогою технічних пристроїв.</w:t>
      </w:r>
      <w:r w:rsidRPr="00511005">
        <w:rPr>
          <w:rFonts w:ascii="Arial" w:eastAsia="Times New Roman" w:hAnsi="Arial" w:cs="Arial"/>
          <w:i/>
          <w:iCs/>
          <w:szCs w:val="28"/>
          <w:lang w:val="uk-UA" w:eastAsia="ru-RU"/>
        </w:rPr>
        <w:t xml:space="preserve"> </w:t>
      </w:r>
      <w:r w:rsidRPr="00511005">
        <w:rPr>
          <w:rFonts w:ascii="Arial" w:eastAsia="Times New Roman" w:hAnsi="Arial" w:cs="Arial"/>
          <w:i/>
          <w:iCs/>
          <w:szCs w:val="28"/>
          <w:lang w:eastAsia="ru-RU"/>
        </w:rPr>
        <w:t>[</w:t>
      </w:r>
      <w:r w:rsidRPr="00511005">
        <w:rPr>
          <w:rFonts w:ascii="Arial" w:eastAsia="Times New Roman" w:hAnsi="Arial" w:cs="Arial"/>
          <w:i/>
          <w:iCs/>
          <w:szCs w:val="28"/>
          <w:lang w:val="uk-UA" w:eastAsia="ru-RU"/>
        </w:rPr>
        <w:t>7</w:t>
      </w:r>
      <w:r w:rsidRPr="00511005">
        <w:rPr>
          <w:rFonts w:ascii="Arial" w:eastAsia="Times New Roman" w:hAnsi="Arial" w:cs="Arial"/>
          <w:i/>
          <w:iCs/>
          <w:szCs w:val="28"/>
          <w:lang w:eastAsia="ru-RU"/>
        </w:rPr>
        <w:t>]</w:t>
      </w:r>
    </w:p>
    <w:p w14:paraId="29E1D0CB"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szCs w:val="28"/>
          <w:lang w:eastAsia="ru-RU"/>
        </w:rPr>
        <w:t>Цей перел</w:t>
      </w:r>
      <w:r w:rsidRPr="00511005">
        <w:rPr>
          <w:rFonts w:ascii="Arial" w:eastAsia="Times New Roman" w:hAnsi="Arial" w:cs="Arial"/>
          <w:szCs w:val="28"/>
          <w:lang w:val="uk-UA" w:eastAsia="ru-RU"/>
        </w:rPr>
        <w:t>ік не є вичерпним через стрімке цифрове зростання, в ході якого будуть, і навіть вже використовуються більш сучасні технічні засоби</w:t>
      </w:r>
      <w:r w:rsidRPr="00511005">
        <w:rPr>
          <w:rFonts w:ascii="Arial" w:eastAsia="Times New Roman" w:hAnsi="Arial" w:cs="Arial"/>
          <w:szCs w:val="28"/>
          <w:lang w:eastAsia="ru-RU"/>
        </w:rPr>
        <w:t>.</w:t>
      </w:r>
    </w:p>
    <w:p w14:paraId="5713D669"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val="uk-UA" w:eastAsia="ru-RU"/>
        </w:rPr>
      </w:pPr>
      <w:r w:rsidRPr="00511005">
        <w:rPr>
          <w:rFonts w:ascii="Arial" w:eastAsia="Times New Roman" w:hAnsi="Arial" w:cs="Arial"/>
          <w:i/>
          <w:iCs/>
          <w:szCs w:val="28"/>
          <w:lang w:val="uk-UA" w:eastAsia="ru-RU"/>
        </w:rPr>
        <w:lastRenderedPageBreak/>
        <w:t>Отже</w:t>
      </w:r>
      <w:r w:rsidRPr="00511005">
        <w:rPr>
          <w:rFonts w:ascii="Arial" w:eastAsia="Times New Roman" w:hAnsi="Arial" w:cs="Arial"/>
          <w:i/>
          <w:iCs/>
          <w:szCs w:val="28"/>
          <w:lang w:eastAsia="ru-RU"/>
        </w:rPr>
        <w:t xml:space="preserve">, </w:t>
      </w:r>
      <w:r w:rsidRPr="00511005">
        <w:rPr>
          <w:rFonts w:ascii="Arial" w:eastAsia="Times New Roman" w:hAnsi="Arial" w:cs="Arial"/>
          <w:i/>
          <w:iCs/>
          <w:szCs w:val="28"/>
          <w:lang w:val="uk-UA" w:eastAsia="ru-RU"/>
        </w:rPr>
        <w:t xml:space="preserve">використання технічних засобів у процесі проведення оперативно-розшукових заходів </w:t>
      </w:r>
      <w:r w:rsidRPr="00511005">
        <w:rPr>
          <w:rFonts w:ascii="Arial" w:eastAsia="Times New Roman" w:hAnsi="Arial" w:cs="Arial"/>
          <w:szCs w:val="28"/>
          <w:lang w:val="uk-UA" w:eastAsia="ru-RU"/>
        </w:rPr>
        <w:t xml:space="preserve">та негласних слідчих (розшукових) дій </w:t>
      </w:r>
      <w:r w:rsidRPr="00511005">
        <w:rPr>
          <w:rFonts w:ascii="Arial" w:eastAsia="Times New Roman" w:hAnsi="Arial" w:cs="Arial"/>
          <w:i/>
          <w:iCs/>
          <w:szCs w:val="28"/>
          <w:lang w:val="uk-UA" w:eastAsia="ru-RU"/>
        </w:rPr>
        <w:t>є справді важливим інструментом</w:t>
      </w:r>
      <w:r w:rsidRPr="00511005">
        <w:rPr>
          <w:rFonts w:ascii="Arial" w:eastAsia="Times New Roman" w:hAnsi="Arial" w:cs="Arial"/>
          <w:i/>
          <w:iCs/>
          <w:szCs w:val="28"/>
          <w:lang w:eastAsia="ru-RU"/>
        </w:rPr>
        <w:t xml:space="preserve">, </w:t>
      </w:r>
      <w:r w:rsidRPr="00511005">
        <w:rPr>
          <w:rFonts w:ascii="Arial" w:eastAsia="Times New Roman" w:hAnsi="Arial" w:cs="Arial"/>
          <w:i/>
          <w:iCs/>
          <w:szCs w:val="28"/>
          <w:lang w:val="uk-UA" w:eastAsia="ru-RU"/>
        </w:rPr>
        <w:t>що допомагає швидко та ефективно збирати інформацію</w:t>
      </w:r>
      <w:r w:rsidRPr="00511005">
        <w:rPr>
          <w:rFonts w:ascii="Arial" w:eastAsia="Times New Roman" w:hAnsi="Arial" w:cs="Arial"/>
          <w:i/>
          <w:iCs/>
          <w:szCs w:val="28"/>
          <w:lang w:eastAsia="ru-RU"/>
        </w:rPr>
        <w:t>,</w:t>
      </w:r>
      <w:r w:rsidRPr="00511005">
        <w:rPr>
          <w:rFonts w:ascii="Arial" w:eastAsia="Times New Roman" w:hAnsi="Arial" w:cs="Arial"/>
          <w:i/>
          <w:iCs/>
          <w:szCs w:val="28"/>
          <w:lang w:val="uk-UA" w:eastAsia="ru-RU"/>
        </w:rPr>
        <w:t xml:space="preserve"> фіксувати докази і загалом підвищувати результативність роботи оперативних підрозділів</w:t>
      </w:r>
      <w:r w:rsidRPr="00511005">
        <w:rPr>
          <w:rFonts w:ascii="Arial" w:eastAsia="Times New Roman" w:hAnsi="Arial" w:cs="Arial"/>
          <w:i/>
          <w:iCs/>
          <w:szCs w:val="28"/>
          <w:lang w:eastAsia="ru-RU"/>
        </w:rPr>
        <w:t>.</w:t>
      </w:r>
      <w:r w:rsidRPr="00511005">
        <w:rPr>
          <w:rFonts w:ascii="Arial" w:eastAsia="Times New Roman" w:hAnsi="Arial" w:cs="Arial"/>
          <w:i/>
          <w:iCs/>
          <w:szCs w:val="28"/>
          <w:lang w:val="uk-UA" w:eastAsia="ru-RU"/>
        </w:rPr>
        <w:t xml:space="preserve"> В майбутньому ця сфера потребує ще більш чітких механізмів удосконалення та відповідального ставлення правоохоронців до їх використання задля поліпшення рівня громадської безпеки і протидії злочинності.</w:t>
      </w:r>
    </w:p>
    <w:p w14:paraId="2F154BBE"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val="uk-UA" w:eastAsia="ru-RU"/>
        </w:rPr>
      </w:pPr>
    </w:p>
    <w:p w14:paraId="5F078A71"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Список використаних джерел</w:t>
      </w:r>
    </w:p>
    <w:p w14:paraId="3F5709C3"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val="pl-PL" w:eastAsia="ru-RU"/>
        </w:rPr>
      </w:pPr>
      <w:r w:rsidRPr="00511005">
        <w:rPr>
          <w:rFonts w:ascii="Arial" w:eastAsia="Times New Roman" w:hAnsi="Arial" w:cs="Arial"/>
          <w:i/>
          <w:iCs/>
          <w:szCs w:val="28"/>
          <w:lang w:eastAsia="ru-RU"/>
        </w:rPr>
        <w:t xml:space="preserve">1.Конституція України: Закон України від 28 червня 1996 р. № 254к/96-ВР. </w:t>
      </w:r>
      <w:r w:rsidRPr="00511005">
        <w:rPr>
          <w:rFonts w:ascii="Arial" w:eastAsia="Times New Roman" w:hAnsi="Arial" w:cs="Arial"/>
          <w:i/>
          <w:iCs/>
          <w:szCs w:val="28"/>
          <w:lang w:val="pl-PL" w:eastAsia="ru-RU"/>
        </w:rPr>
        <w:t>URL: https://zakon.rada.gov.ua/laws/show/254</w:t>
      </w:r>
      <w:r w:rsidRPr="00511005">
        <w:rPr>
          <w:rFonts w:ascii="Arial" w:eastAsia="Times New Roman" w:hAnsi="Arial" w:cs="Arial"/>
          <w:i/>
          <w:iCs/>
          <w:szCs w:val="28"/>
          <w:lang w:eastAsia="ru-RU"/>
        </w:rPr>
        <w:t>к</w:t>
      </w:r>
      <w:r w:rsidRPr="00511005">
        <w:rPr>
          <w:rFonts w:ascii="Arial" w:eastAsia="Times New Roman" w:hAnsi="Arial" w:cs="Arial"/>
          <w:i/>
          <w:iCs/>
          <w:szCs w:val="28"/>
          <w:lang w:val="pl-PL" w:eastAsia="ru-RU"/>
        </w:rPr>
        <w:t>/96-</w:t>
      </w:r>
      <w:r w:rsidRPr="00511005">
        <w:rPr>
          <w:rFonts w:ascii="Arial" w:eastAsia="Times New Roman" w:hAnsi="Arial" w:cs="Arial"/>
          <w:i/>
          <w:iCs/>
          <w:szCs w:val="28"/>
          <w:lang w:eastAsia="ru-RU"/>
        </w:rPr>
        <w:t>вр</w:t>
      </w:r>
      <w:r w:rsidRPr="00511005">
        <w:rPr>
          <w:rFonts w:ascii="Arial" w:eastAsia="Times New Roman" w:hAnsi="Arial" w:cs="Arial"/>
          <w:i/>
          <w:iCs/>
          <w:szCs w:val="28"/>
          <w:lang w:val="pl-PL" w:eastAsia="ru-RU"/>
        </w:rPr>
        <w:t>#Text.</w:t>
      </w:r>
    </w:p>
    <w:p w14:paraId="091E4939"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eastAsia="ru-RU"/>
        </w:rPr>
      </w:pPr>
      <w:r w:rsidRPr="00511005">
        <w:rPr>
          <w:rFonts w:ascii="Arial" w:eastAsia="Times New Roman" w:hAnsi="Arial" w:cs="Arial"/>
          <w:i/>
          <w:iCs/>
          <w:szCs w:val="28"/>
          <w:lang w:eastAsia="ru-RU"/>
        </w:rPr>
        <w:t>2. Кримінальний процесуальний кодекс України: Закон України від 13 квітня 2012 р. № 4651-VI. URL: https://zakon.rada.gov.ua/laws/show/4651-17#Text.</w:t>
      </w:r>
    </w:p>
    <w:p w14:paraId="69EBB8D7"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eastAsia="ru-RU"/>
        </w:rPr>
      </w:pPr>
      <w:r w:rsidRPr="00511005">
        <w:rPr>
          <w:rFonts w:ascii="Arial" w:eastAsia="Times New Roman" w:hAnsi="Arial" w:cs="Arial"/>
          <w:i/>
          <w:iCs/>
          <w:szCs w:val="28"/>
          <w:lang w:eastAsia="ru-RU"/>
        </w:rPr>
        <w:t>3. Про оперативно-розшукову діяльність: Закон України від 18 лютого 1992 р. № 2135-XII. URL: https://zakon.rada.gov.ua/laws/show/2135-12#Text.</w:t>
      </w:r>
    </w:p>
    <w:p w14:paraId="131F0599"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eastAsia="ru-RU"/>
        </w:rPr>
      </w:pPr>
      <w:r w:rsidRPr="00511005">
        <w:rPr>
          <w:rFonts w:ascii="Arial" w:eastAsia="Times New Roman" w:hAnsi="Arial" w:cs="Arial"/>
          <w:i/>
          <w:iCs/>
          <w:szCs w:val="28"/>
          <w:lang w:eastAsia="ru-RU"/>
        </w:rPr>
        <w:t>4. Про Національну поліцію: Закон України від 2 липня 2015 р. № 580-VIII. URL: https://zakon.rada.gov.ua/laws/show/580-19#Text.</w:t>
      </w:r>
    </w:p>
    <w:p w14:paraId="28266ADE"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val="uk-UA" w:eastAsia="ru-RU"/>
        </w:rPr>
      </w:pPr>
      <w:r w:rsidRPr="00511005">
        <w:rPr>
          <w:rFonts w:ascii="Arial" w:eastAsia="Times New Roman" w:hAnsi="Arial" w:cs="Arial"/>
          <w:i/>
          <w:iCs/>
          <w:szCs w:val="28"/>
          <w:lang w:eastAsia="ru-RU"/>
        </w:rPr>
        <w:t>5.</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Шаблевська К. Д., Євдокимов І. І. Особливості використання технічних засобів під час оперативно-розшукової протидії в кримінальному правопорушенні</w:t>
      </w:r>
      <w:r w:rsidRPr="00511005">
        <w:rPr>
          <w:rFonts w:ascii="Arial" w:eastAsia="Times New Roman" w:hAnsi="Arial" w:cs="Arial"/>
          <w:i/>
          <w:iCs/>
          <w:szCs w:val="28"/>
          <w:lang w:val="uk-UA" w:eastAsia="ru-RU"/>
        </w:rPr>
        <w:t xml:space="preserve">. </w:t>
      </w:r>
      <w:r w:rsidRPr="00511005">
        <w:rPr>
          <w:rFonts w:ascii="Arial" w:eastAsia="Times New Roman" w:hAnsi="Arial" w:cs="Arial"/>
          <w:i/>
          <w:iCs/>
          <w:szCs w:val="28"/>
          <w:lang w:val="en-US" w:eastAsia="ru-RU"/>
        </w:rPr>
        <w:t xml:space="preserve">Universum. 2024. </w:t>
      </w:r>
      <w:r w:rsidRPr="00511005">
        <w:rPr>
          <w:rFonts w:ascii="Arial" w:eastAsia="Times New Roman" w:hAnsi="Arial" w:cs="Arial"/>
          <w:i/>
          <w:iCs/>
          <w:szCs w:val="28"/>
          <w:lang w:eastAsia="ru-RU"/>
        </w:rPr>
        <w:t>С</w:t>
      </w:r>
      <w:r w:rsidRPr="00511005">
        <w:rPr>
          <w:rFonts w:ascii="Arial" w:eastAsia="Times New Roman" w:hAnsi="Arial" w:cs="Arial"/>
          <w:i/>
          <w:iCs/>
          <w:szCs w:val="28"/>
          <w:lang w:val="en-US" w:eastAsia="ru-RU"/>
        </w:rPr>
        <w:t>. 182</w:t>
      </w:r>
      <w:r w:rsidRPr="00511005">
        <w:rPr>
          <w:rFonts w:ascii="Arial" w:eastAsia="Times New Roman" w:hAnsi="Arial" w:cs="Arial"/>
          <w:i/>
          <w:iCs/>
          <w:szCs w:val="28"/>
          <w:lang w:val="uk-UA" w:eastAsia="ru-RU"/>
        </w:rPr>
        <w:t>-</w:t>
      </w:r>
      <w:r w:rsidRPr="00511005">
        <w:rPr>
          <w:rFonts w:ascii="Arial" w:eastAsia="Times New Roman" w:hAnsi="Arial" w:cs="Arial"/>
          <w:i/>
          <w:iCs/>
          <w:szCs w:val="28"/>
          <w:lang w:val="en-US" w:eastAsia="ru-RU"/>
        </w:rPr>
        <w:t xml:space="preserve">183. URL: </w:t>
      </w:r>
      <w:r w:rsidR="005938AD">
        <w:fldChar w:fldCharType="begin"/>
      </w:r>
      <w:r w:rsidR="005938AD" w:rsidRPr="00C2797E">
        <w:rPr>
          <w:lang w:val="en-US"/>
        </w:rPr>
        <w:instrText xml:space="preserve"> HYPERLINK "https://archive.liga.science/index.php/universum/article/download/1101/1113/1126" </w:instrText>
      </w:r>
      <w:r w:rsidR="005938AD">
        <w:fldChar w:fldCharType="separate"/>
      </w:r>
      <w:r w:rsidRPr="00511005">
        <w:rPr>
          <w:rFonts w:ascii="Arial" w:eastAsia="Times New Roman" w:hAnsi="Arial" w:cs="Arial"/>
          <w:szCs w:val="28"/>
          <w:lang w:val="en-US" w:eastAsia="ru-RU"/>
        </w:rPr>
        <w:t>https://archive.liga.science/index.php/universum/article/download/1101/1113/1126</w:t>
      </w:r>
      <w:r w:rsidR="005938AD">
        <w:rPr>
          <w:rFonts w:ascii="Arial" w:eastAsia="Times New Roman" w:hAnsi="Arial" w:cs="Arial"/>
          <w:szCs w:val="28"/>
          <w:lang w:val="en-US" w:eastAsia="ru-RU"/>
        </w:rPr>
        <w:fldChar w:fldCharType="end"/>
      </w:r>
      <w:r w:rsidRPr="00511005">
        <w:rPr>
          <w:rFonts w:ascii="Arial" w:eastAsia="Times New Roman" w:hAnsi="Arial" w:cs="Arial"/>
          <w:i/>
          <w:iCs/>
          <w:szCs w:val="28"/>
          <w:lang w:val="uk-UA" w:eastAsia="ru-RU"/>
        </w:rPr>
        <w:t>.</w:t>
      </w:r>
    </w:p>
    <w:p w14:paraId="64DE8789"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eastAsia="ru-RU"/>
        </w:rPr>
      </w:pPr>
      <w:r w:rsidRPr="00511005">
        <w:rPr>
          <w:rFonts w:ascii="Arial" w:eastAsia="Times New Roman" w:hAnsi="Arial" w:cs="Arial"/>
          <w:i/>
          <w:iCs/>
          <w:szCs w:val="28"/>
          <w:lang w:eastAsia="ru-RU"/>
        </w:rPr>
        <w:t>6.</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Оперативно-розшукова діяльність: посібник для вищих навчальних закладів / за заг. ред. М. Князєва, А. М. Кислого. Київ: Видавництво Людмила, 2019. 240 с.</w:t>
      </w:r>
    </w:p>
    <w:p w14:paraId="48027826"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eastAsia="ru-RU"/>
        </w:rPr>
      </w:pPr>
      <w:r w:rsidRPr="00511005">
        <w:rPr>
          <w:rFonts w:ascii="Arial" w:eastAsia="Times New Roman" w:hAnsi="Arial" w:cs="Arial"/>
          <w:i/>
          <w:iCs/>
          <w:szCs w:val="28"/>
          <w:lang w:eastAsia="ru-RU"/>
        </w:rPr>
        <w:t>7.</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Аброськін В. В., Албул С. В., Єгоров С. О. та ін. Основи оперативно-розшукової діяльності в Україні: посібник / за заг. ред. В. В. Аброськіна. Одеса: Видавець Букаєв В. В., 2020. 198 с</w:t>
      </w:r>
    </w:p>
    <w:p w14:paraId="21C81A6E"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b/>
          <w:bCs/>
          <w:i/>
          <w:iCs/>
          <w:szCs w:val="28"/>
          <w:lang w:val="uk-UA" w:eastAsia="ru-RU"/>
        </w:rPr>
      </w:pPr>
    </w:p>
    <w:p w14:paraId="14AAB286"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i/>
          <w:iCs/>
          <w:szCs w:val="28"/>
          <w:lang w:val="uk-UA" w:eastAsia="ru-RU"/>
        </w:rPr>
      </w:pPr>
      <w:r w:rsidRPr="00511005">
        <w:rPr>
          <w:rFonts w:ascii="Arial" w:eastAsia="Times New Roman" w:hAnsi="Arial" w:cs="Arial"/>
          <w:b/>
          <w:bCs/>
          <w:i/>
          <w:iCs/>
          <w:szCs w:val="28"/>
          <w:lang w:val="uk-UA" w:eastAsia="ru-RU"/>
        </w:rPr>
        <w:t xml:space="preserve">Ключові слова: </w:t>
      </w:r>
      <w:r w:rsidRPr="00511005">
        <w:rPr>
          <w:rFonts w:ascii="Arial" w:eastAsia="Times New Roman" w:hAnsi="Arial" w:cs="Arial"/>
          <w:i/>
          <w:iCs/>
          <w:szCs w:val="28"/>
          <w:lang w:val="uk-UA" w:eastAsia="ru-RU"/>
        </w:rPr>
        <w:t>технічні засоби, оперативні підрозділи, докази, кримінальне правопорушення, оперативна техніка, засоби, інформація, негласні слідчі (розшукові) дії.</w:t>
      </w:r>
    </w:p>
    <w:p w14:paraId="738F79DF"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val="uk-UA" w:eastAsia="ru-RU"/>
        </w:rPr>
      </w:pPr>
      <w:r w:rsidRPr="00511005">
        <w:rPr>
          <w:rFonts w:ascii="Arial" w:eastAsia="Times New Roman" w:hAnsi="Arial" w:cs="Arial"/>
          <w:b/>
          <w:bCs/>
          <w:i/>
          <w:iCs/>
          <w:szCs w:val="28"/>
          <w:lang w:val="en-GB" w:eastAsia="ru-RU"/>
        </w:rPr>
        <w:t xml:space="preserve">Key words: </w:t>
      </w:r>
      <w:r w:rsidRPr="00511005">
        <w:rPr>
          <w:rFonts w:ascii="Arial" w:eastAsia="Times New Roman" w:hAnsi="Arial" w:cs="Arial"/>
          <w:szCs w:val="28"/>
          <w:lang w:val="en-US" w:eastAsia="ru-RU"/>
        </w:rPr>
        <w:t>technical means, operational units, evidence, criminal offense, operational equipment, means, information, covert investigative (search) actions.</w:t>
      </w:r>
    </w:p>
    <w:p w14:paraId="62434CE1"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val="uk-UA" w:eastAsia="ru-RU"/>
        </w:rPr>
      </w:pPr>
      <w:r w:rsidRPr="00511005">
        <w:rPr>
          <w:rFonts w:ascii="Arial" w:eastAsia="Times New Roman" w:hAnsi="Arial" w:cs="Arial"/>
          <w:b/>
          <w:i/>
          <w:iCs/>
          <w:szCs w:val="28"/>
          <w:lang w:val="uk-UA" w:eastAsia="ru-RU"/>
        </w:rPr>
        <w:t xml:space="preserve">Науковий керівник: </w:t>
      </w:r>
      <w:r w:rsidRPr="00511005">
        <w:rPr>
          <w:rFonts w:ascii="Arial" w:eastAsia="Times New Roman" w:hAnsi="Arial" w:cs="Arial"/>
          <w:i/>
          <w:iCs/>
          <w:szCs w:val="28"/>
          <w:lang w:val="uk-UA" w:eastAsia="ru-RU"/>
        </w:rPr>
        <w:t>к.ю.н.</w:t>
      </w:r>
      <w:r w:rsidRPr="00511005">
        <w:rPr>
          <w:rFonts w:ascii="Arial" w:eastAsia="Times New Roman" w:hAnsi="Arial" w:cs="Arial"/>
          <w:i/>
          <w:iCs/>
          <w:szCs w:val="28"/>
          <w:lang w:eastAsia="ru-RU"/>
        </w:rPr>
        <w:t>,</w:t>
      </w:r>
      <w:r w:rsidRPr="00511005">
        <w:rPr>
          <w:rFonts w:ascii="Arial" w:eastAsia="Times New Roman" w:hAnsi="Arial" w:cs="Arial"/>
          <w:i/>
          <w:iCs/>
          <w:szCs w:val="28"/>
          <w:lang w:val="uk-UA" w:eastAsia="ru-RU"/>
        </w:rPr>
        <w:t xml:space="preserve"> доцент Гресь Ю.О.</w:t>
      </w:r>
    </w:p>
    <w:p w14:paraId="4AE95118" w14:textId="77777777" w:rsidR="00532C25" w:rsidRPr="00511005" w:rsidRDefault="00532C25" w:rsidP="00532C25">
      <w:pPr>
        <w:spacing w:line="264" w:lineRule="auto"/>
        <w:ind w:firstLine="720"/>
        <w:jc w:val="center"/>
        <w:rPr>
          <w:rFonts w:ascii="Arial" w:eastAsia="Calibri" w:hAnsi="Arial" w:cs="Arial"/>
          <w:b/>
          <w:i/>
          <w:szCs w:val="28"/>
          <w:shd w:val="clear" w:color="auto" w:fill="FFFFFF"/>
          <w:lang w:val="uk-UA"/>
        </w:rPr>
      </w:pPr>
    </w:p>
    <w:p w14:paraId="73D8DB22" w14:textId="77777777" w:rsidR="00532C25" w:rsidRPr="00511005" w:rsidRDefault="00532C25" w:rsidP="00532C25">
      <w:pPr>
        <w:spacing w:line="264" w:lineRule="auto"/>
        <w:ind w:firstLine="720"/>
        <w:jc w:val="center"/>
        <w:rPr>
          <w:rFonts w:ascii="Arial" w:eastAsia="Calibri" w:hAnsi="Arial" w:cs="Arial"/>
          <w:b/>
          <w:i/>
          <w:szCs w:val="28"/>
          <w:shd w:val="clear" w:color="auto" w:fill="FFFFFF"/>
        </w:rPr>
      </w:pPr>
    </w:p>
    <w:p w14:paraId="615BAA40" w14:textId="77777777" w:rsidR="00532C25" w:rsidRPr="00511005" w:rsidRDefault="00532C25" w:rsidP="00532C25">
      <w:pPr>
        <w:spacing w:line="264" w:lineRule="auto"/>
        <w:ind w:firstLine="720"/>
        <w:jc w:val="center"/>
        <w:rPr>
          <w:rFonts w:ascii="Arial" w:eastAsia="Calibri" w:hAnsi="Arial" w:cs="Arial"/>
          <w:b/>
          <w:i/>
          <w:szCs w:val="28"/>
          <w:shd w:val="clear" w:color="auto" w:fill="FFFFFF"/>
        </w:rPr>
      </w:pPr>
      <w:r w:rsidRPr="00511005">
        <w:rPr>
          <w:rFonts w:ascii="Arial" w:eastAsia="Calibri" w:hAnsi="Arial" w:cs="Arial"/>
          <w:b/>
          <w:i/>
          <w:szCs w:val="28"/>
          <w:shd w:val="clear" w:color="auto" w:fill="FFFFFF"/>
        </w:rPr>
        <w:t>Юрчак Софія Олексіївна</w:t>
      </w:r>
    </w:p>
    <w:p w14:paraId="149F3FAE"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lastRenderedPageBreak/>
        <w:t xml:space="preserve">студентка 3-го курсу </w:t>
      </w:r>
    </w:p>
    <w:p w14:paraId="3C5AB54D"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EEA228F"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73CD51C" w14:textId="77777777" w:rsidR="00532C25" w:rsidRPr="00511005" w:rsidRDefault="00532C25" w:rsidP="00532C25">
      <w:pPr>
        <w:spacing w:line="264" w:lineRule="auto"/>
        <w:ind w:firstLine="720"/>
        <w:jc w:val="center"/>
        <w:rPr>
          <w:rFonts w:ascii="Arial" w:eastAsia="Calibri" w:hAnsi="Arial" w:cs="Arial"/>
          <w:szCs w:val="28"/>
          <w:shd w:val="clear" w:color="auto" w:fill="FFFFFF"/>
          <w:lang w:val="uk-UA"/>
        </w:rPr>
      </w:pPr>
    </w:p>
    <w:p w14:paraId="73C89B77" w14:textId="77777777" w:rsidR="00532C25" w:rsidRPr="00511005" w:rsidRDefault="00532C25" w:rsidP="00532C25">
      <w:pPr>
        <w:spacing w:line="264" w:lineRule="auto"/>
        <w:ind w:firstLine="720"/>
        <w:jc w:val="center"/>
        <w:rPr>
          <w:rFonts w:ascii="Arial" w:eastAsia="Calibri" w:hAnsi="Arial" w:cs="Arial"/>
          <w:b/>
          <w:szCs w:val="28"/>
          <w:shd w:val="clear" w:color="auto" w:fill="FFFFFF"/>
          <w:lang w:val="uk-UA"/>
        </w:rPr>
      </w:pPr>
      <w:r w:rsidRPr="00511005">
        <w:rPr>
          <w:rFonts w:ascii="Arial" w:eastAsia="Calibri" w:hAnsi="Arial" w:cs="Arial"/>
          <w:b/>
          <w:szCs w:val="28"/>
          <w:shd w:val="clear" w:color="auto" w:fill="FFFFFF"/>
          <w:lang w:val="uk-UA"/>
        </w:rPr>
        <w:t>ОСОБЛИВОСТІ ПРОВЕДЕННЯ ДОПИТУ ПІДОЗРЮВАНИХ ОСІБ ПРИ РОЗСЛІДУВАННІ КРИМІНАЛЬНИХ ПРАВОПОРУШЕНЬ У СФЕРІ БАНКІВСЬКОЇ ДІЯЛЬНОСТІ</w:t>
      </w:r>
    </w:p>
    <w:p w14:paraId="72010DA7" w14:textId="77777777" w:rsidR="00532C25" w:rsidRPr="00511005" w:rsidRDefault="00532C25" w:rsidP="00532C25">
      <w:pPr>
        <w:spacing w:line="264" w:lineRule="auto"/>
        <w:ind w:firstLine="720"/>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Розслідування кримінальних правопорушень у сфері банківської діяльності є важливою частиною кримінальної юстиції, оскільки ці порушення часто пов'язані з великою кількістю грошей, корупцією, шахрайством і маніпулюваннями фінансовими операціями. В умовах цих кримінальних проваджень, допит підозрюваних осіб набуває особливого значення, оскільки від нього залежить здобуття доказів, які можуть сприяти розкриттю злочину та виявленню злочинної схеми.</w:t>
      </w:r>
    </w:p>
    <w:p w14:paraId="2D75AF63"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lang w:val="uk-UA"/>
        </w:rPr>
        <w:t xml:space="preserve">Допит підозрюваних осіб у кримінальних провадженнях, що стосуються банківської діяльності, має ряд специфічних характеристик, пов’язаних з законодавством, яке регулює банківську діяльність. Важливим є те, що таких осіб часто підозрюють у вчиненні злочинів, які можуть мати суттєві наслідки для фінансової системи країни. </w:t>
      </w:r>
      <w:r w:rsidRPr="00511005">
        <w:rPr>
          <w:rFonts w:ascii="Arial" w:eastAsia="Calibri" w:hAnsi="Arial" w:cs="Arial"/>
          <w:szCs w:val="28"/>
          <w:shd w:val="clear" w:color="auto" w:fill="FFFFFF"/>
        </w:rPr>
        <w:t>У таких випадках слідчий повинен дотримуватися процедурних норм, що забезпечують дотримання прав підозрюваних, а також законність проведених слідчих дій [2].</w:t>
      </w:r>
    </w:p>
    <w:p w14:paraId="16D63C37"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Особливістю таких кримінальних правопорушень є те, що в деяких випадках на момент допиту підозрювані можуть бути співробітниками банку або особами, що володіють високим рівнем фінансової та правової грамотності. Це означає, що допит має бути ретельно спланований і проводитися з урахуванням таких факторів, як фінансові документи, специфіка банківських операцій і можливі юридичні маніпуляції.</w:t>
      </w:r>
    </w:p>
    <w:p w14:paraId="33D0B5E4"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При допиті осіб, підозрюваних у фінансових злочинах, необхідно враховувати їх психологічний стан. Підозрювані у їх вчиненні часто мають високу ступінь психологічної захищеності, що виникає через їх професійну підготовленість або досвід в сфері фінансів. Це може ускладнити встановлення істини, оскільки вони можуть намагатися маніпулювати інформацією або приховувати важливі факти.</w:t>
      </w:r>
    </w:p>
    <w:p w14:paraId="68DEB03C"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Тому допит таких осіб вимагає застосування спеціальних методів психологічного впливу. Важливо використовувати тактику, яка дозволяє підозрюваному відчути тиск, не порушуючи при цьому законодавчих норм і прав людини. Це може включати поступовий підхід до отримання важливої інформації, застосування технік поступового виведення на «чисту воду» і створення ситуацій, які змушують підозрюваного почуватися у менш вигідному становищі, але при цьому не порушують його прав.</w:t>
      </w:r>
    </w:p>
    <w:p w14:paraId="421BE7C8"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 xml:space="preserve">Особливу роль у розслідуванні кримінальних правопорушень у банківській сфері відіграють документи, що підтверджують факти </w:t>
      </w:r>
      <w:r w:rsidRPr="00511005">
        <w:rPr>
          <w:rFonts w:ascii="Arial" w:eastAsia="Calibri" w:hAnsi="Arial" w:cs="Arial"/>
          <w:szCs w:val="28"/>
          <w:shd w:val="clear" w:color="auto" w:fill="FFFFFF"/>
        </w:rPr>
        <w:lastRenderedPageBreak/>
        <w:t>фінансових операцій. При допиті підозрюваних важливо враховувати, що такі документи можуть бути або не бути у розпорядженні слідчого. Слідчий повинен мати доступ до всіх необхідних бухгалтерських звітів, банківських виписок, контрактів і інших документів, які можуть підтвердити або спростувати покази підозрюваного [1].</w:t>
      </w:r>
    </w:p>
    <w:p w14:paraId="4397B268"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Часто для з'ясування обставин розслідуваної події необхідно провести аналіз складних фінансових документів, що може потребувати залучення експертів-бухгалтерів, фінансових аналітиків та інших фахівців у галузі банківської діяльності.</w:t>
      </w:r>
    </w:p>
    <w:p w14:paraId="2DA415F3"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Допит має на меті визначити конкретний об'єкт розкрадання, його кількість, тип і стан, а також спосіб вчинення розкрадання чи зловживань, осіб, які брали участь у цих діях, їхній спосіб життя, майновий стан, оточення та іншу важливу для слідства інформацію. Під час допиту працівників банківських установ слід з'ясувати: а) умови відкриття рахунків особами (організаціями), причетними до злочину; б) обставини проведення операцій за їх рахунками; в) інформацію про осіб, які зверталися до банку під час цих операцій; г) чи були відхилення від стандартної процедури банківських операцій при обслуговуванні цих клієнтів (які саме, з чиєї вини та з яких причин) та інші питання, важливі для розслідування.</w:t>
      </w:r>
    </w:p>
    <w:p w14:paraId="0AEAE0C6"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Також необхідно допитати працівників, які брали участь у підготовці, укладанні та реєстрації угод, що стали частиною розкрадань через кредитні операції. Це можуть бути працівники органів державної реєстрації, нотаріуси, агенти з нерухомості, працівники БТІ, у яких потрібно з'ясувати деталі проведених операцій.</w:t>
      </w:r>
    </w:p>
    <w:p w14:paraId="6FBDC912"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Допит підозрюваних осіб рекомендується проводити негайно, якщо є затримання з наявними доказами. В інших випадках не варто поспішати, оскільки без зібраних доказів, які підтверджують провину, важко очікувати на об'єктивні свідчення підозрюваного при пред'явленні підозри. Слідчий, готуючись до допиту підозрюваного, має зібрати достатньо доказової інформації та забезпечити свідків. Лише після цього можна розпочинати допит, застосовуючи всі рекомендовані тактичні прийоми для викриття підозрюваного, виявлення неправдивих показань та встановлення об'єктивної істини [3].</w:t>
      </w:r>
    </w:p>
    <w:p w14:paraId="5ED799C5"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Допит підозрюваного в рамках кримінальних проваджень у банківській сфері повинен бути максимально ефективним, і для цього слідчий має дотримуватись кількох основних принципів [1]:</w:t>
      </w:r>
    </w:p>
    <w:p w14:paraId="1032F981" w14:textId="77777777" w:rsidR="00532C25" w:rsidRPr="00511005" w:rsidRDefault="00532C25" w:rsidP="003F6A5D">
      <w:pPr>
        <w:numPr>
          <w:ilvl w:val="0"/>
          <w:numId w:val="635"/>
        </w:numPr>
        <w:tabs>
          <w:tab w:val="num" w:pos="993"/>
        </w:tabs>
        <w:spacing w:line="264" w:lineRule="auto"/>
        <w:ind w:left="0" w:firstLine="720"/>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t>Документування всіх етапів допиту</w:t>
      </w:r>
      <w:r w:rsidRPr="00511005">
        <w:rPr>
          <w:rFonts w:ascii="Arial" w:eastAsia="Calibri" w:hAnsi="Arial" w:cs="Arial"/>
          <w:szCs w:val="28"/>
          <w:shd w:val="clear" w:color="auto" w:fill="FFFFFF"/>
        </w:rPr>
        <w:t>: важливо записувати кожен етап допиту, оскільки це може слугувати доказом у подальшому розслідуванні.</w:t>
      </w:r>
    </w:p>
    <w:p w14:paraId="0E9A82AA" w14:textId="77777777" w:rsidR="00532C25" w:rsidRPr="00511005" w:rsidRDefault="00532C25" w:rsidP="003F6A5D">
      <w:pPr>
        <w:numPr>
          <w:ilvl w:val="0"/>
          <w:numId w:val="635"/>
        </w:numPr>
        <w:tabs>
          <w:tab w:val="num" w:pos="993"/>
        </w:tabs>
        <w:spacing w:line="264" w:lineRule="auto"/>
        <w:ind w:left="0" w:firstLine="720"/>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t>Чіткість питань</w:t>
      </w:r>
      <w:r w:rsidRPr="00511005">
        <w:rPr>
          <w:rFonts w:ascii="Arial" w:eastAsia="Calibri" w:hAnsi="Arial" w:cs="Arial"/>
          <w:szCs w:val="28"/>
          <w:shd w:val="clear" w:color="auto" w:fill="FFFFFF"/>
        </w:rPr>
        <w:t>: питання повинні бути ясними та конкретними, щоб підозрюваний не зміг уникнути відповідей або заплутатися в своїх свідченнях.</w:t>
      </w:r>
    </w:p>
    <w:p w14:paraId="58935B18" w14:textId="77777777" w:rsidR="00532C25" w:rsidRPr="00511005" w:rsidRDefault="00532C25" w:rsidP="003F6A5D">
      <w:pPr>
        <w:numPr>
          <w:ilvl w:val="0"/>
          <w:numId w:val="635"/>
        </w:numPr>
        <w:tabs>
          <w:tab w:val="num" w:pos="993"/>
        </w:tabs>
        <w:spacing w:line="264" w:lineRule="auto"/>
        <w:ind w:left="0" w:firstLine="720"/>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lastRenderedPageBreak/>
        <w:t>Поступовий підхід</w:t>
      </w:r>
      <w:r w:rsidRPr="00511005">
        <w:rPr>
          <w:rFonts w:ascii="Arial" w:eastAsia="Calibri" w:hAnsi="Arial" w:cs="Arial"/>
          <w:szCs w:val="28"/>
          <w:shd w:val="clear" w:color="auto" w:fill="FFFFFF"/>
        </w:rPr>
        <w:t>: слідчий повинен використовувати тактику поступового введення підозрюваного в стан довіри, аби отримати більше інформації.</w:t>
      </w:r>
    </w:p>
    <w:p w14:paraId="281A8F6C" w14:textId="77777777" w:rsidR="00532C25" w:rsidRPr="00511005" w:rsidRDefault="00532C25" w:rsidP="003F6A5D">
      <w:pPr>
        <w:numPr>
          <w:ilvl w:val="0"/>
          <w:numId w:val="635"/>
        </w:numPr>
        <w:tabs>
          <w:tab w:val="num" w:pos="993"/>
        </w:tabs>
        <w:spacing w:line="264" w:lineRule="auto"/>
        <w:ind w:left="0" w:firstLine="720"/>
        <w:jc w:val="left"/>
        <w:rPr>
          <w:rFonts w:ascii="Arial" w:eastAsia="Calibri" w:hAnsi="Arial" w:cs="Arial"/>
          <w:szCs w:val="28"/>
          <w:shd w:val="clear" w:color="auto" w:fill="FFFFFF"/>
        </w:rPr>
      </w:pPr>
      <w:r w:rsidRPr="00511005">
        <w:rPr>
          <w:rFonts w:ascii="Arial" w:eastAsia="Calibri" w:hAnsi="Arial" w:cs="Arial"/>
          <w:bCs/>
          <w:szCs w:val="28"/>
          <w:shd w:val="clear" w:color="auto" w:fill="FFFFFF"/>
        </w:rPr>
        <w:t>Урахування специфіки банківської діяльності</w:t>
      </w:r>
      <w:r w:rsidRPr="00511005">
        <w:rPr>
          <w:rFonts w:ascii="Arial" w:eastAsia="Calibri" w:hAnsi="Arial" w:cs="Arial"/>
          <w:szCs w:val="28"/>
          <w:shd w:val="clear" w:color="auto" w:fill="FFFFFF"/>
        </w:rPr>
        <w:t>: оскільки фінансові злочини часто включають складні фінансові операції та маніпуляції, допит потребує специфічного підходу, який враховує не тільки юридичні, але й технічні аспекти банківської діяльності.</w:t>
      </w:r>
    </w:p>
    <w:p w14:paraId="1DFCE4B3"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Одним з основних викликів є збереження конфіденційності інформації, особливо в умовах, коли підозрюваний є банківським працівником або має доступ до банківської інформації. Крім того, труднощі можуть виникати через спроби підозрюваних заплутати слідство або приховати інформацію, що є результатом їх професійної підготовки.</w:t>
      </w:r>
    </w:p>
    <w:p w14:paraId="09DE5EED" w14:textId="77777777" w:rsidR="00532C25" w:rsidRPr="00511005" w:rsidRDefault="00532C25" w:rsidP="00532C25">
      <w:pPr>
        <w:spacing w:line="264" w:lineRule="auto"/>
        <w:ind w:firstLine="720"/>
        <w:rPr>
          <w:rFonts w:ascii="Arial" w:eastAsia="Calibri" w:hAnsi="Arial" w:cs="Arial"/>
          <w:szCs w:val="28"/>
          <w:shd w:val="clear" w:color="auto" w:fill="FFFFFF"/>
        </w:rPr>
      </w:pPr>
      <w:r w:rsidRPr="00511005">
        <w:rPr>
          <w:rFonts w:ascii="Arial" w:eastAsia="Calibri" w:hAnsi="Arial" w:cs="Arial"/>
          <w:szCs w:val="28"/>
          <w:shd w:val="clear" w:color="auto" w:fill="FFFFFF"/>
        </w:rPr>
        <w:t>Отже, допит підозрюваних осіб при розслідуванні кримінальних правопорушень у сфері банківської діяльності є складним процесом, який вимагає високої кваліфікації слідчого, а також дотримання всіх правових норм. У таких кримінальних правопорушення важливо використовувати спеціалізовані методи психологічного впливу, а також враховувати технічні аспекти фінансової діяльності. Тільки при правильному підході можна отримати необхідні свідчення, які сприятимуть якісному розслідуванню зазначених кримінальних правопорушень та притягненню винних до відповідальності.</w:t>
      </w:r>
    </w:p>
    <w:p w14:paraId="32EC70E8" w14:textId="77777777" w:rsidR="00532C25" w:rsidRPr="00511005" w:rsidRDefault="00532C25" w:rsidP="00532C25">
      <w:pPr>
        <w:spacing w:line="264" w:lineRule="auto"/>
        <w:ind w:firstLine="720"/>
        <w:jc w:val="left"/>
        <w:rPr>
          <w:rFonts w:ascii="Arial" w:eastAsia="Calibri" w:hAnsi="Arial" w:cs="Arial"/>
          <w:b/>
          <w:iCs/>
          <w:szCs w:val="28"/>
        </w:rPr>
      </w:pPr>
    </w:p>
    <w:p w14:paraId="33B440B6" w14:textId="77777777" w:rsidR="00532C25" w:rsidRPr="00511005" w:rsidRDefault="00532C25" w:rsidP="00532C25">
      <w:pPr>
        <w:spacing w:line="264" w:lineRule="auto"/>
        <w:ind w:firstLine="720"/>
        <w:jc w:val="center"/>
        <w:rPr>
          <w:rFonts w:ascii="Arial" w:eastAsia="Calibri" w:hAnsi="Arial" w:cs="Arial"/>
          <w:b/>
          <w:iCs/>
          <w:szCs w:val="28"/>
        </w:rPr>
      </w:pPr>
    </w:p>
    <w:p w14:paraId="25234416" w14:textId="77777777" w:rsidR="00532C25" w:rsidRPr="00511005" w:rsidRDefault="00532C25" w:rsidP="00532C25">
      <w:pPr>
        <w:spacing w:line="264" w:lineRule="auto"/>
        <w:ind w:firstLine="720"/>
        <w:jc w:val="center"/>
        <w:rPr>
          <w:rFonts w:ascii="Arial" w:eastAsia="Calibri" w:hAnsi="Arial" w:cs="Arial"/>
          <w:b/>
          <w:iCs/>
          <w:szCs w:val="28"/>
        </w:rPr>
      </w:pPr>
      <w:r w:rsidRPr="00511005">
        <w:rPr>
          <w:rFonts w:ascii="Arial" w:eastAsia="Calibri" w:hAnsi="Arial" w:cs="Arial"/>
          <w:b/>
          <w:i/>
          <w:iCs/>
          <w:szCs w:val="28"/>
          <w:lang w:val="uk-UA"/>
        </w:rPr>
        <w:t>Список використаних джерел</w:t>
      </w:r>
    </w:p>
    <w:p w14:paraId="54F7BBC9" w14:textId="77777777" w:rsidR="00532C25" w:rsidRPr="00511005" w:rsidRDefault="00532C25" w:rsidP="003F6A5D">
      <w:pPr>
        <w:numPr>
          <w:ilvl w:val="0"/>
          <w:numId w:val="636"/>
        </w:numPr>
        <w:spacing w:line="264" w:lineRule="auto"/>
        <w:ind w:left="0" w:firstLine="720"/>
        <w:contextualSpacing/>
        <w:jc w:val="left"/>
        <w:rPr>
          <w:rFonts w:ascii="Arial" w:eastAsia="Times New Roman" w:hAnsi="Arial" w:cs="Arial"/>
          <w:iCs/>
          <w:szCs w:val="28"/>
          <w:lang w:eastAsia="ru-RU"/>
        </w:rPr>
      </w:pPr>
      <w:r w:rsidRPr="00511005">
        <w:rPr>
          <w:rFonts w:ascii="Arial" w:eastAsia="Times New Roman" w:hAnsi="Arial" w:cs="Arial"/>
          <w:szCs w:val="28"/>
          <w:lang w:eastAsia="ru-RU"/>
        </w:rPr>
        <w:t xml:space="preserve">Васильченко З., Васильченко І. Деякі аспекти методологічної основи моделювання фінансової безпеки банку. Вісник Київського національного університету імені Тараса Шевченка. Економіка. </w:t>
      </w:r>
      <w:proofErr w:type="gramStart"/>
      <w:r w:rsidRPr="00511005">
        <w:rPr>
          <w:rFonts w:ascii="Arial" w:eastAsia="Times New Roman" w:hAnsi="Arial" w:cs="Arial"/>
          <w:szCs w:val="28"/>
          <w:lang w:eastAsia="ru-RU"/>
        </w:rPr>
        <w:t>Київ :</w:t>
      </w:r>
      <w:proofErr w:type="gramEnd"/>
      <w:r w:rsidRPr="00511005">
        <w:rPr>
          <w:rFonts w:ascii="Arial" w:eastAsia="Times New Roman" w:hAnsi="Arial" w:cs="Arial"/>
          <w:szCs w:val="28"/>
          <w:lang w:eastAsia="ru-RU"/>
        </w:rPr>
        <w:t xml:space="preserve"> ВПЦ «Київ. ун-т», 2013. № 6 (147). С. 15–19.</w:t>
      </w:r>
    </w:p>
    <w:p w14:paraId="3EEBE5E9" w14:textId="77777777" w:rsidR="00532C25" w:rsidRPr="00511005" w:rsidRDefault="00532C25" w:rsidP="003F6A5D">
      <w:pPr>
        <w:numPr>
          <w:ilvl w:val="0"/>
          <w:numId w:val="636"/>
        </w:numPr>
        <w:spacing w:line="264" w:lineRule="auto"/>
        <w:ind w:left="0" w:firstLine="720"/>
        <w:contextualSpacing/>
        <w:jc w:val="left"/>
        <w:rPr>
          <w:rFonts w:ascii="Arial" w:eastAsia="Times New Roman" w:hAnsi="Arial" w:cs="Arial"/>
          <w:iCs/>
          <w:szCs w:val="28"/>
          <w:lang w:eastAsia="ru-RU"/>
        </w:rPr>
      </w:pPr>
      <w:r w:rsidRPr="00511005">
        <w:rPr>
          <w:rFonts w:ascii="Arial" w:eastAsia="Times New Roman" w:hAnsi="Arial" w:cs="Arial"/>
          <w:szCs w:val="28"/>
          <w:lang w:eastAsia="ru-RU"/>
        </w:rPr>
        <w:t xml:space="preserve">Коваленко В. В., Болгар Т. М., Сергеєва О. С. Фінансова безпека банківської системи України – проблеми виміру та забезпечення. Фінансово-кредитна діяльність: проблеми теорії та </w:t>
      </w:r>
      <w:proofErr w:type="gramStart"/>
      <w:r w:rsidRPr="00511005">
        <w:rPr>
          <w:rFonts w:ascii="Arial" w:eastAsia="Times New Roman" w:hAnsi="Arial" w:cs="Arial"/>
          <w:szCs w:val="28"/>
          <w:lang w:eastAsia="ru-RU"/>
        </w:rPr>
        <w:t>практики :</w:t>
      </w:r>
      <w:proofErr w:type="gramEnd"/>
      <w:r w:rsidRPr="00511005">
        <w:rPr>
          <w:rFonts w:ascii="Arial" w:eastAsia="Times New Roman" w:hAnsi="Arial" w:cs="Arial"/>
          <w:szCs w:val="28"/>
          <w:lang w:eastAsia="ru-RU"/>
        </w:rPr>
        <w:t xml:space="preserve"> зб. наук. пр. 2018. Том 3. № 26. С. 256–262.</w:t>
      </w:r>
    </w:p>
    <w:p w14:paraId="7ADFF7F4" w14:textId="77777777" w:rsidR="00532C25" w:rsidRPr="00511005" w:rsidRDefault="00532C25" w:rsidP="003F6A5D">
      <w:pPr>
        <w:numPr>
          <w:ilvl w:val="0"/>
          <w:numId w:val="636"/>
        </w:numPr>
        <w:spacing w:line="264" w:lineRule="auto"/>
        <w:ind w:left="0" w:firstLine="720"/>
        <w:contextualSpacing/>
        <w:jc w:val="left"/>
        <w:rPr>
          <w:rFonts w:ascii="Arial" w:eastAsia="Times New Roman" w:hAnsi="Arial" w:cs="Arial"/>
          <w:iCs/>
          <w:szCs w:val="28"/>
          <w:lang w:eastAsia="ru-RU"/>
        </w:rPr>
      </w:pPr>
      <w:r w:rsidRPr="00511005">
        <w:rPr>
          <w:rFonts w:ascii="Arial" w:eastAsia="Times New Roman" w:hAnsi="Arial" w:cs="Arial"/>
          <w:iCs/>
          <w:szCs w:val="28"/>
          <w:lang w:eastAsia="ru-RU"/>
        </w:rPr>
        <w:t>Особливості розслідування злочинів, вчинених шляхом кредитно-фінансових операцій: Методичні рекомендації / О.В. Пчеліна, В.В. Корнієнко. – Х.: Харківській нац. ун-т внутр. справ, 2011. 36 с.</w:t>
      </w:r>
    </w:p>
    <w:p w14:paraId="7D384373" w14:textId="77777777" w:rsidR="00532C25" w:rsidRPr="00511005" w:rsidRDefault="00532C25" w:rsidP="00532C25">
      <w:pPr>
        <w:spacing w:line="264" w:lineRule="auto"/>
        <w:ind w:firstLine="720"/>
        <w:rPr>
          <w:rFonts w:ascii="Arial" w:eastAsia="Calibri" w:hAnsi="Arial" w:cs="Arial"/>
          <w:iCs/>
          <w:szCs w:val="28"/>
        </w:rPr>
      </w:pPr>
    </w:p>
    <w:p w14:paraId="72807DB2" w14:textId="77777777" w:rsidR="00532C25" w:rsidRPr="00511005" w:rsidRDefault="00532C25" w:rsidP="00532C25">
      <w:pPr>
        <w:spacing w:line="264" w:lineRule="auto"/>
        <w:ind w:right="85" w:firstLine="720"/>
        <w:rPr>
          <w:rFonts w:ascii="Arial" w:eastAsia="Calibri" w:hAnsi="Arial" w:cs="Arial"/>
          <w:iCs/>
          <w:szCs w:val="28"/>
        </w:rPr>
      </w:pPr>
      <w:r w:rsidRPr="00511005">
        <w:rPr>
          <w:rFonts w:ascii="Arial" w:eastAsia="Calibri" w:hAnsi="Arial" w:cs="Arial"/>
          <w:b/>
          <w:i/>
          <w:iCs/>
          <w:szCs w:val="28"/>
        </w:rPr>
        <w:t xml:space="preserve">Ключові слова: </w:t>
      </w:r>
      <w:r w:rsidRPr="00511005">
        <w:rPr>
          <w:rFonts w:ascii="Arial" w:eastAsia="Calibri" w:hAnsi="Arial" w:cs="Arial"/>
          <w:i/>
          <w:iCs/>
          <w:szCs w:val="28"/>
        </w:rPr>
        <w:t>розслідування, кримінальні правопорушення, банківська діяльність, злочин, допит, підозрювані особи, докази, слідчий, методи, тактика, підхід, права, фінансові документи, рахунки, банківські операції, обвинувачений, свідки.</w:t>
      </w:r>
    </w:p>
    <w:p w14:paraId="46631DA9" w14:textId="77777777" w:rsidR="00532C25" w:rsidRPr="00511005" w:rsidRDefault="00532C25" w:rsidP="00532C25">
      <w:pPr>
        <w:spacing w:line="264" w:lineRule="auto"/>
        <w:ind w:firstLine="720"/>
        <w:rPr>
          <w:rFonts w:ascii="Arial" w:eastAsia="Calibri" w:hAnsi="Arial" w:cs="Arial"/>
          <w:iCs/>
          <w:szCs w:val="28"/>
          <w:lang w:val="en-US"/>
        </w:rPr>
      </w:pPr>
      <w:r w:rsidRPr="00511005">
        <w:rPr>
          <w:rFonts w:ascii="Arial" w:eastAsia="Calibri" w:hAnsi="Arial" w:cs="Arial"/>
          <w:b/>
          <w:i/>
          <w:iCs/>
          <w:szCs w:val="28"/>
          <w:lang w:val="en-US"/>
        </w:rPr>
        <w:lastRenderedPageBreak/>
        <w:t xml:space="preserve">Key words: </w:t>
      </w:r>
      <w:r w:rsidRPr="00511005">
        <w:rPr>
          <w:rFonts w:ascii="Arial" w:eastAsia="Calibri" w:hAnsi="Arial" w:cs="Arial"/>
          <w:i/>
          <w:iCs/>
          <w:szCs w:val="28"/>
          <w:lang w:val="en-US"/>
        </w:rPr>
        <w:t>investigation, criminal offenses, banking, crime, interrogation, suspects, evidence, investigator, methods, tactics, approach, rights, financial documents, accounts, banking transactions, accused, witnesses.</w:t>
      </w:r>
    </w:p>
    <w:p w14:paraId="6375A9F2" w14:textId="77777777" w:rsidR="00532C25" w:rsidRPr="00511005" w:rsidRDefault="00532C25" w:rsidP="00532C25">
      <w:pPr>
        <w:spacing w:line="264" w:lineRule="auto"/>
        <w:ind w:firstLine="720"/>
        <w:rPr>
          <w:rFonts w:ascii="Arial" w:eastAsia="Calibri" w:hAnsi="Arial" w:cs="Arial"/>
          <w:iCs/>
          <w:szCs w:val="28"/>
        </w:rPr>
      </w:pPr>
      <w:r w:rsidRPr="00511005">
        <w:rPr>
          <w:rFonts w:ascii="Arial" w:eastAsia="Calibri" w:hAnsi="Arial" w:cs="Arial"/>
          <w:b/>
          <w:bCs/>
          <w:i/>
          <w:iCs/>
          <w:szCs w:val="28"/>
        </w:rPr>
        <w:t xml:space="preserve">Науковий керівник: </w:t>
      </w:r>
      <w:r w:rsidRPr="00511005">
        <w:rPr>
          <w:rFonts w:ascii="Arial" w:eastAsia="Calibri" w:hAnsi="Arial" w:cs="Arial"/>
          <w:i/>
          <w:iCs/>
          <w:szCs w:val="28"/>
        </w:rPr>
        <w:t>к.ю.н., доцент Чумак С.П.</w:t>
      </w:r>
    </w:p>
    <w:p w14:paraId="340582AE" w14:textId="77777777" w:rsidR="00532C25" w:rsidRPr="00511005" w:rsidRDefault="00532C25" w:rsidP="00532C25">
      <w:pPr>
        <w:spacing w:line="264" w:lineRule="auto"/>
        <w:ind w:firstLine="720"/>
        <w:rPr>
          <w:rFonts w:ascii="Arial" w:eastAsia="Calibri" w:hAnsi="Arial" w:cs="Arial"/>
          <w:iCs/>
          <w:szCs w:val="28"/>
        </w:rPr>
      </w:pPr>
      <w:r w:rsidRPr="00511005">
        <w:rPr>
          <w:rFonts w:ascii="Arial" w:eastAsia="Calibri" w:hAnsi="Arial" w:cs="Arial"/>
          <w:i/>
          <w:iCs/>
          <w:szCs w:val="28"/>
        </w:rPr>
        <w:tab/>
      </w:r>
    </w:p>
    <w:p w14:paraId="527317EA" w14:textId="77777777" w:rsidR="00532C25" w:rsidRPr="00511005" w:rsidRDefault="00532C25" w:rsidP="00532C25">
      <w:pPr>
        <w:spacing w:line="264" w:lineRule="auto"/>
        <w:ind w:firstLine="720"/>
        <w:jc w:val="center"/>
        <w:rPr>
          <w:rFonts w:ascii="Arial" w:eastAsia="Calibri" w:hAnsi="Arial" w:cs="Arial"/>
          <w:b/>
          <w:bCs/>
          <w:i/>
          <w:iCs/>
          <w:szCs w:val="28"/>
        </w:rPr>
      </w:pPr>
      <w:r w:rsidRPr="00511005">
        <w:rPr>
          <w:rFonts w:ascii="Arial" w:eastAsia="Calibri" w:hAnsi="Arial" w:cs="Arial"/>
          <w:b/>
          <w:bCs/>
          <w:i/>
          <w:iCs/>
          <w:szCs w:val="28"/>
        </w:rPr>
        <w:t>Якубик Діана Русланівна</w:t>
      </w:r>
    </w:p>
    <w:p w14:paraId="24694985"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7636412A"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A6EDDE6"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A437AED" w14:textId="77777777" w:rsidR="00532C25" w:rsidRPr="00511005" w:rsidRDefault="00532C25" w:rsidP="00532C25">
      <w:pPr>
        <w:spacing w:line="264" w:lineRule="auto"/>
        <w:ind w:firstLine="720"/>
        <w:jc w:val="center"/>
        <w:rPr>
          <w:rFonts w:ascii="Arial" w:eastAsia="Calibri" w:hAnsi="Arial" w:cs="Arial"/>
          <w:b/>
          <w:bCs/>
          <w:szCs w:val="28"/>
        </w:rPr>
      </w:pPr>
    </w:p>
    <w:p w14:paraId="79CF9CAD" w14:textId="77777777" w:rsidR="00532C25" w:rsidRPr="00511005" w:rsidRDefault="00532C25" w:rsidP="00532C25">
      <w:pPr>
        <w:spacing w:line="264" w:lineRule="auto"/>
        <w:ind w:firstLine="720"/>
        <w:jc w:val="center"/>
        <w:rPr>
          <w:rFonts w:ascii="Arial" w:eastAsia="Calibri" w:hAnsi="Arial" w:cs="Arial"/>
          <w:i/>
          <w:iCs/>
          <w:szCs w:val="28"/>
        </w:rPr>
      </w:pPr>
      <w:r w:rsidRPr="00511005">
        <w:rPr>
          <w:rFonts w:ascii="Arial" w:eastAsia="Calibri" w:hAnsi="Arial" w:cs="Arial"/>
          <w:b/>
          <w:bCs/>
          <w:szCs w:val="28"/>
        </w:rPr>
        <w:t>ОБСТАНОВКА ТА СЛІДОВА КАРТИНА ЯК ЕЛЕМЕНТИ КРИМІНАЛІСТИЧНОЇ ХАРАКТЕРИСТИКИ СЕРІЙНИХ ВБИВСТВ</w:t>
      </w:r>
    </w:p>
    <w:p w14:paraId="2CBA9D19"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В основі підходу для розуміння сутності серійних вбивств у криміналістиці застосовуються загальні положення, що використовуються при аналізі будь-якого виду вбивств. Навіть якщо кримінальні правопорушення вчинені без свідків, вони мають такі </w:t>
      </w:r>
      <w:proofErr w:type="gramStart"/>
      <w:r w:rsidRPr="00511005">
        <w:rPr>
          <w:rFonts w:ascii="Arial" w:eastAsia="Times New Roman" w:hAnsi="Arial" w:cs="Arial"/>
          <w:i/>
          <w:iCs/>
          <w:szCs w:val="28"/>
          <w:lang w:eastAsia="ru-RU"/>
        </w:rPr>
        <w:t>елементи :</w:t>
      </w:r>
      <w:proofErr w:type="gramEnd"/>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1) час і місце вчинення злочину або виявлення тіла;</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2) спосіб вбивства; 3) обставини та місце злочину (слідова картина); 4) мотив злочину; 5) об'єкт злочинного посягання.</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Ці елементи є ключовими для розслідування будь-якого вбивства.</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Додаткові фактори, такі як мотиви та інформація про особу злочинця, допомагають більш детально визначити криміналістичну характеристику серійних вбивств.</w:t>
      </w:r>
      <w:r w:rsidRPr="00511005">
        <w:rPr>
          <w:rFonts w:ascii="Arial" w:eastAsia="Times New Roman" w:hAnsi="Arial" w:cs="Arial"/>
          <w:szCs w:val="28"/>
          <w:lang w:eastAsia="ru-RU"/>
        </w:rPr>
        <w:t xml:space="preserve"> [1, с. 237]</w:t>
      </w:r>
    </w:p>
    <w:p w14:paraId="0E29927D"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Серійні вбивства являють собою, не просто окремі злочини, а їхню сукупність, яка об'єднана часом, місцем та діями одного злочинця або групи. Тому криміналістичний аналіз таких злочинів вимагає виявлення унікальних характеристик, які відрізняють серію вбивств, вчинених однією особою, від серії, вчинених іншими. </w:t>
      </w:r>
    </w:p>
    <w:p w14:paraId="6BE5870C"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Це означає, що криміналістична характеристика серійних вбивств має відображати специфічну обстановку, притаманну лише конкретній серії зазначених кримінальних правопорушень, вчинених певними особами.</w:t>
      </w:r>
    </w:p>
    <w:p w14:paraId="5F7AB5B1"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Криміналістичний аналіз серії вбивств включає в себе всі складові, що характеризують кожне окреме вбивство в цій серії, незалежно від їхньої повторюваності. Важливо зазначити, що набір цих складових може відрізнятися від вбивства до вбивства.</w:t>
      </w:r>
      <w:r w:rsidRPr="00511005">
        <w:rPr>
          <w:rFonts w:ascii="Arial" w:eastAsia="Times New Roman" w:hAnsi="Arial" w:cs="Arial"/>
          <w:szCs w:val="28"/>
          <w:lang w:eastAsia="ru-RU"/>
        </w:rPr>
        <w:t xml:space="preserve"> [1, с. 237]</w:t>
      </w:r>
    </w:p>
    <w:p w14:paraId="01993B85"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Вчена Джежула Т. І. звертає особливу увагу, що навіть найповніший опис одного вбивства може не містити елементів, присутніх в описі іншого. Це підкреслює, що криміналістична характеристика серійних вбивств є особливою категорією, яка вимагає окремого підходу.</w:t>
      </w:r>
    </w:p>
    <w:p w14:paraId="6E8D063A"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Тому у процесі розслідування серійних вбивств критично важливо визначити, чи належить певний епізод до цієї серії. Необхідно встановити: чи є кілька вбивств серією, чи пов'язаний конкретний епізод із цією серією, і якщо так, то якими доказами це підтверджується. Якщо зв'язок </w:t>
      </w:r>
      <w:r w:rsidRPr="00511005">
        <w:rPr>
          <w:rFonts w:ascii="Arial" w:eastAsia="Times New Roman" w:hAnsi="Arial" w:cs="Arial"/>
          <w:i/>
          <w:iCs/>
          <w:szCs w:val="28"/>
          <w:lang w:eastAsia="ru-RU"/>
        </w:rPr>
        <w:lastRenderedPageBreak/>
        <w:t>встановлено, на основі наявних даних можна робити висновки та розглядати питання про об'єднання кримінальних проваджень.</w:t>
      </w:r>
      <w:r w:rsidRPr="00511005">
        <w:rPr>
          <w:rFonts w:ascii="Arial" w:eastAsia="Times New Roman" w:hAnsi="Arial" w:cs="Arial"/>
          <w:szCs w:val="28"/>
          <w:lang w:eastAsia="ru-RU"/>
        </w:rPr>
        <w:t xml:space="preserve"> [3, с. 169]</w:t>
      </w:r>
    </w:p>
    <w:p w14:paraId="3334BFA8"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Науковець Саінчин О. С. зазначає, що важливим елементом при розслідуванні серійних вбивств є й слідова картина вбивства. При вчиненні серійних вбивств, залежно від виду вбивства, різна й слідова картина. Слідова картина являє собою сукупність різних слідів, залишених вбивцею й жертвою на місці злочину. До них треба віднести: а) всі матеріальні сліди, які залишаються на жертві від знаряддя вбивства; б) сам труп; в) знаряддя злочину; г) різні сліди від взуття, відбитки пальців; д) недокурки від сигарет і інші сліди, які свідчать про перебування злочинця на місці вбивства. У деяких випадках слідів більше на місці події, в інших перевагу слідів можна простежити на місці виявлення трупа. Таке кількісне розходження допомагає слідчому відрізнити місце вчинення вбивства від місця виявлення трупа або від місця його розчленовування. [1, с. 238-239]</w:t>
      </w:r>
    </w:p>
    <w:p w14:paraId="09A9544B"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 xml:space="preserve">При розслідуванні серійних вбивств ключову роль відіграє аналіз обстановки злочину, що включає місце, час та територію, де було вчинено кримінальне правопорушення. Місце вбивства часто пов'язане з: 1) житлом злочинця або жертви; 2) маршрутами жертви </w:t>
      </w:r>
      <w:proofErr w:type="gramStart"/>
      <w:r w:rsidRPr="00511005">
        <w:rPr>
          <w:rFonts w:ascii="Arial" w:eastAsia="Times New Roman" w:hAnsi="Arial" w:cs="Arial"/>
          <w:i/>
          <w:iCs/>
          <w:szCs w:val="28"/>
          <w:lang w:eastAsia="ru-RU"/>
        </w:rPr>
        <w:t>на роботу</w:t>
      </w:r>
      <w:proofErr w:type="gramEnd"/>
      <w:r w:rsidRPr="00511005">
        <w:rPr>
          <w:rFonts w:ascii="Arial" w:eastAsia="Times New Roman" w:hAnsi="Arial" w:cs="Arial"/>
          <w:i/>
          <w:iCs/>
          <w:szCs w:val="28"/>
          <w:lang w:eastAsia="ru-RU"/>
        </w:rPr>
        <w:t xml:space="preserve"> або місця відпочинку.</w:t>
      </w:r>
      <w:r w:rsidRPr="00511005">
        <w:rPr>
          <w:rFonts w:ascii="Arial" w:eastAsia="Times New Roman" w:hAnsi="Arial" w:cs="Arial"/>
          <w:szCs w:val="28"/>
          <w:lang w:eastAsia="ru-RU"/>
        </w:rPr>
        <w:t xml:space="preserve"> </w:t>
      </w:r>
      <w:r w:rsidRPr="00511005">
        <w:rPr>
          <w:rFonts w:ascii="Arial" w:eastAsia="Times New Roman" w:hAnsi="Arial" w:cs="Arial"/>
          <w:i/>
          <w:iCs/>
          <w:szCs w:val="28"/>
          <w:lang w:eastAsia="ru-RU"/>
        </w:rPr>
        <w:t>Ці зв'язки допомагають визначити коло підозрюваних та зрозуміти логіку дій злочинця. [2, с.51]</w:t>
      </w:r>
    </w:p>
    <w:p w14:paraId="401386EE" w14:textId="77777777" w:rsidR="00532C25" w:rsidRPr="00511005" w:rsidRDefault="00532C25" w:rsidP="00532C25">
      <w:pPr>
        <w:autoSpaceDE w:val="0"/>
        <w:autoSpaceDN w:val="0"/>
        <w:adjustRightInd w:val="0"/>
        <w:spacing w:line="264" w:lineRule="auto"/>
        <w:ind w:firstLine="720"/>
        <w:rPr>
          <w:rFonts w:ascii="Arial" w:eastAsia="Times New Roman" w:hAnsi="Arial" w:cs="Arial"/>
          <w:szCs w:val="28"/>
          <w:lang w:eastAsia="ru-RU"/>
        </w:rPr>
      </w:pPr>
      <w:r w:rsidRPr="00511005">
        <w:rPr>
          <w:rFonts w:ascii="Arial" w:eastAsia="Times New Roman" w:hAnsi="Arial" w:cs="Arial"/>
          <w:i/>
          <w:iCs/>
          <w:szCs w:val="28"/>
          <w:lang w:eastAsia="ru-RU"/>
        </w:rPr>
        <w:t>Отже, саме обстановка та слідова картина, як елементи криміналістичної характеристики серійних вбивств відіграють вирішальну роль у розслідуванні. Визначення складових елементів криміналістичної характеристики є ключовим для подальшого аналізу даного злочину та висунення обґрунтованих слідчих версій.</w:t>
      </w:r>
    </w:p>
    <w:p w14:paraId="482C2F74" w14:textId="77777777" w:rsidR="00532C25" w:rsidRPr="00511005" w:rsidRDefault="00532C25" w:rsidP="00532C25">
      <w:pPr>
        <w:spacing w:line="264" w:lineRule="auto"/>
        <w:ind w:firstLine="720"/>
        <w:jc w:val="center"/>
        <w:rPr>
          <w:rFonts w:ascii="Arial" w:eastAsia="Calibri" w:hAnsi="Arial" w:cs="Arial"/>
          <w:b/>
          <w:bCs/>
          <w:szCs w:val="28"/>
        </w:rPr>
      </w:pPr>
    </w:p>
    <w:p w14:paraId="62254A8F" w14:textId="77777777" w:rsidR="00532C25" w:rsidRPr="00511005" w:rsidRDefault="00532C25" w:rsidP="00532C25">
      <w:pPr>
        <w:spacing w:line="264" w:lineRule="auto"/>
        <w:ind w:firstLine="72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4BAA2C7C" w14:textId="77777777" w:rsidR="00532C25" w:rsidRPr="00511005" w:rsidRDefault="00532C25" w:rsidP="003F6A5D">
      <w:pPr>
        <w:numPr>
          <w:ilvl w:val="0"/>
          <w:numId w:val="633"/>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shd w:val="clear" w:color="auto" w:fill="FFFFFF"/>
          <w:lang w:eastAsia="ru-RU"/>
        </w:rPr>
        <w:t xml:space="preserve">Саінчин О. С. Проблеми визначення деяких елементів криміналістичної характеристики серійних вбивств / О. С. Саінчин // Актуальні проблеми політики : зб. наук. пр. / редкол. : С. В. Ківалов (голов. ред..), Л. І. Кормич (заст. голов. ред..), Ю. П. Аленін [та ін.] ; МОНмолодьспорт України ; НУ ОЮА. – </w:t>
      </w:r>
      <w:proofErr w:type="gramStart"/>
      <w:r w:rsidRPr="00511005">
        <w:rPr>
          <w:rFonts w:ascii="Arial" w:eastAsia="Times New Roman" w:hAnsi="Arial" w:cs="Arial"/>
          <w:szCs w:val="28"/>
          <w:shd w:val="clear" w:color="auto" w:fill="FFFFFF"/>
          <w:lang w:eastAsia="ru-RU"/>
        </w:rPr>
        <w:t>Одеса :</w:t>
      </w:r>
      <w:proofErr w:type="gramEnd"/>
      <w:r w:rsidRPr="00511005">
        <w:rPr>
          <w:rFonts w:ascii="Arial" w:eastAsia="Times New Roman" w:hAnsi="Arial" w:cs="Arial"/>
          <w:szCs w:val="28"/>
          <w:shd w:val="clear" w:color="auto" w:fill="FFFFFF"/>
          <w:lang w:eastAsia="ru-RU"/>
        </w:rPr>
        <w:t xml:space="preserve"> Фенікс, 2012. – </w:t>
      </w:r>
      <w:proofErr w:type="gramStart"/>
      <w:r w:rsidRPr="00511005">
        <w:rPr>
          <w:rFonts w:ascii="Arial" w:eastAsia="Times New Roman" w:hAnsi="Arial" w:cs="Arial"/>
          <w:szCs w:val="28"/>
          <w:shd w:val="clear" w:color="auto" w:fill="FFFFFF"/>
          <w:lang w:eastAsia="ru-RU"/>
        </w:rPr>
        <w:t>Вип..</w:t>
      </w:r>
      <w:proofErr w:type="gramEnd"/>
      <w:r w:rsidRPr="00511005">
        <w:rPr>
          <w:rFonts w:ascii="Arial" w:eastAsia="Times New Roman" w:hAnsi="Arial" w:cs="Arial"/>
          <w:szCs w:val="28"/>
          <w:shd w:val="clear" w:color="auto" w:fill="FFFFFF"/>
          <w:lang w:eastAsia="ru-RU"/>
        </w:rPr>
        <w:t xml:space="preserve"> 45. – С. 236-241.</w:t>
      </w:r>
    </w:p>
    <w:p w14:paraId="5A797766" w14:textId="77777777" w:rsidR="00532C25" w:rsidRPr="00511005" w:rsidRDefault="00532C25" w:rsidP="003F6A5D">
      <w:pPr>
        <w:numPr>
          <w:ilvl w:val="0"/>
          <w:numId w:val="633"/>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shd w:val="clear" w:color="auto" w:fill="FFFFFF"/>
          <w:lang w:eastAsia="ru-RU"/>
        </w:rPr>
        <w:t xml:space="preserve">Криміналістична характеристика методики розслідувань серійних </w:t>
      </w:r>
      <w:proofErr w:type="gramStart"/>
      <w:r w:rsidRPr="00511005">
        <w:rPr>
          <w:rFonts w:ascii="Arial" w:eastAsia="Times New Roman" w:hAnsi="Arial" w:cs="Arial"/>
          <w:szCs w:val="28"/>
          <w:shd w:val="clear" w:color="auto" w:fill="FFFFFF"/>
          <w:lang w:eastAsia="ru-RU"/>
        </w:rPr>
        <w:t>вбивств./</w:t>
      </w:r>
      <w:proofErr w:type="gramEnd"/>
      <w:r w:rsidRPr="00511005">
        <w:rPr>
          <w:rFonts w:ascii="Arial" w:eastAsia="Times New Roman" w:hAnsi="Arial" w:cs="Arial"/>
          <w:szCs w:val="28"/>
          <w:shd w:val="clear" w:color="auto" w:fill="FFFFFF"/>
          <w:lang w:eastAsia="ru-RU"/>
        </w:rPr>
        <w:t xml:space="preserve"> Петро Михайлович Маланчук, Олексій Ігорович Даценко// Правові горизонти.-2017. – Вип. 6. С. 49-53.</w:t>
      </w:r>
    </w:p>
    <w:p w14:paraId="00E6628B" w14:textId="77777777" w:rsidR="00532C25" w:rsidRPr="00511005" w:rsidRDefault="00532C25" w:rsidP="003F6A5D">
      <w:pPr>
        <w:numPr>
          <w:ilvl w:val="0"/>
          <w:numId w:val="633"/>
        </w:numPr>
        <w:spacing w:line="264" w:lineRule="auto"/>
        <w:ind w:left="0" w:firstLine="720"/>
        <w:contextualSpacing/>
        <w:jc w:val="left"/>
        <w:rPr>
          <w:rFonts w:ascii="Arial" w:eastAsia="Times New Roman" w:hAnsi="Arial" w:cs="Arial"/>
          <w:szCs w:val="28"/>
          <w:lang w:eastAsia="ru-RU"/>
        </w:rPr>
      </w:pPr>
      <w:r w:rsidRPr="00511005">
        <w:rPr>
          <w:rFonts w:ascii="Arial" w:eastAsia="Times New Roman" w:hAnsi="Arial" w:cs="Arial"/>
          <w:szCs w:val="28"/>
          <w:shd w:val="clear" w:color="auto" w:fill="FFFFFF"/>
          <w:lang w:eastAsia="ru-RU"/>
        </w:rPr>
        <w:t>Джежула Т. І. Механізм впровадження моделі криміналістичної характеристики серійних вбивств.</w:t>
      </w:r>
      <w:r w:rsidRPr="00511005">
        <w:rPr>
          <w:rFonts w:ascii="Arial" w:eastAsia="Times New Roman" w:hAnsi="Arial" w:cs="Arial"/>
          <w:szCs w:val="28"/>
          <w:shd w:val="clear" w:color="auto" w:fill="F9F9F9"/>
          <w:lang w:eastAsia="ru-RU"/>
        </w:rPr>
        <w:t xml:space="preserve"> /Т.І.Джежула. </w:t>
      </w:r>
      <w:r w:rsidRPr="00511005">
        <w:rPr>
          <w:rFonts w:ascii="Arial" w:eastAsia="Times New Roman" w:hAnsi="Arial" w:cs="Arial"/>
          <w:iCs/>
          <w:szCs w:val="28"/>
          <w:lang w:eastAsia="ru-RU"/>
        </w:rPr>
        <w:t>Наше право</w:t>
      </w:r>
      <w:r w:rsidRPr="00511005">
        <w:rPr>
          <w:rFonts w:ascii="Arial" w:eastAsia="Times New Roman" w:hAnsi="Arial" w:cs="Arial"/>
          <w:szCs w:val="28"/>
          <w:shd w:val="clear" w:color="auto" w:fill="FFFFFF"/>
          <w:lang w:eastAsia="ru-RU"/>
        </w:rPr>
        <w:t xml:space="preserve"> 2014. № 6. С.167-172.</w:t>
      </w:r>
    </w:p>
    <w:p w14:paraId="215F23D9" w14:textId="77777777" w:rsidR="00532C25" w:rsidRPr="00511005" w:rsidRDefault="00532C25" w:rsidP="00532C25">
      <w:pPr>
        <w:spacing w:line="264" w:lineRule="auto"/>
        <w:ind w:firstLine="720"/>
        <w:rPr>
          <w:rFonts w:ascii="Arial" w:eastAsia="Calibri" w:hAnsi="Arial" w:cs="Arial"/>
          <w:b/>
          <w:bCs/>
          <w:iCs/>
          <w:szCs w:val="28"/>
        </w:rPr>
      </w:pPr>
    </w:p>
    <w:p w14:paraId="59EEFBE5" w14:textId="77777777" w:rsidR="00532C25" w:rsidRPr="00511005" w:rsidRDefault="00532C25" w:rsidP="00532C25">
      <w:pPr>
        <w:spacing w:line="264" w:lineRule="auto"/>
        <w:ind w:firstLine="720"/>
        <w:rPr>
          <w:rFonts w:ascii="Arial" w:eastAsia="Calibri" w:hAnsi="Arial" w:cs="Arial"/>
          <w:iCs/>
          <w:szCs w:val="28"/>
        </w:rPr>
      </w:pPr>
      <w:r w:rsidRPr="00511005">
        <w:rPr>
          <w:rFonts w:ascii="Arial" w:eastAsia="Calibri" w:hAnsi="Arial" w:cs="Arial"/>
          <w:b/>
          <w:bCs/>
          <w:i/>
          <w:iCs/>
          <w:szCs w:val="28"/>
        </w:rPr>
        <w:t xml:space="preserve">Ключові слова: </w:t>
      </w:r>
      <w:r w:rsidRPr="00511005">
        <w:rPr>
          <w:rFonts w:ascii="Arial" w:eastAsia="Calibri" w:hAnsi="Arial" w:cs="Arial"/>
          <w:iCs/>
          <w:szCs w:val="28"/>
        </w:rPr>
        <w:t xml:space="preserve">Обстановка, серійні вбивства, криміналістична характеристика, слідова картина. </w:t>
      </w:r>
    </w:p>
    <w:p w14:paraId="40427125" w14:textId="77777777" w:rsidR="00532C25" w:rsidRPr="00511005" w:rsidRDefault="00532C25" w:rsidP="00532C25">
      <w:pPr>
        <w:spacing w:line="264" w:lineRule="auto"/>
        <w:ind w:firstLine="720"/>
        <w:rPr>
          <w:rFonts w:ascii="Arial" w:eastAsia="Calibri" w:hAnsi="Arial" w:cs="Arial"/>
          <w:iCs/>
          <w:szCs w:val="28"/>
          <w:lang w:val="en-US"/>
        </w:rPr>
      </w:pPr>
      <w:r w:rsidRPr="00511005">
        <w:rPr>
          <w:rFonts w:ascii="Arial" w:eastAsia="Calibri" w:hAnsi="Arial" w:cs="Arial"/>
          <w:b/>
          <w:bCs/>
          <w:i/>
          <w:iCs/>
          <w:szCs w:val="28"/>
          <w:lang w:val="en-US"/>
        </w:rPr>
        <w:lastRenderedPageBreak/>
        <w:t xml:space="preserve">Key words: </w:t>
      </w:r>
      <w:r w:rsidRPr="00511005">
        <w:rPr>
          <w:rFonts w:ascii="Arial" w:eastAsia="Calibri" w:hAnsi="Arial" w:cs="Arial"/>
          <w:iCs/>
          <w:szCs w:val="28"/>
          <w:lang w:val="en-US"/>
        </w:rPr>
        <w:t>Situation, serial murders, forensic characteristics, trace picture.</w:t>
      </w:r>
    </w:p>
    <w:p w14:paraId="4FFB7EA5" w14:textId="77777777" w:rsidR="00532C25" w:rsidRPr="00511005" w:rsidRDefault="00532C25" w:rsidP="00532C25">
      <w:pPr>
        <w:spacing w:line="264" w:lineRule="auto"/>
        <w:ind w:firstLine="720"/>
        <w:rPr>
          <w:rFonts w:ascii="Arial" w:hAnsi="Arial" w:cs="Arial"/>
          <w:i/>
          <w:iCs/>
          <w:szCs w:val="28"/>
          <w:lang w:eastAsia="zh-CN"/>
        </w:rPr>
      </w:pPr>
      <w:r w:rsidRPr="00511005">
        <w:rPr>
          <w:rFonts w:ascii="Arial" w:hAnsi="Arial" w:cs="Arial"/>
          <w:b/>
          <w:i/>
          <w:iCs/>
          <w:szCs w:val="28"/>
          <w:lang w:eastAsia="zh-CN"/>
        </w:rPr>
        <w:t xml:space="preserve">Науковий керівник: </w:t>
      </w:r>
      <w:r w:rsidRPr="00511005">
        <w:rPr>
          <w:rFonts w:ascii="Arial" w:hAnsi="Arial" w:cs="Arial"/>
          <w:i/>
          <w:iCs/>
          <w:szCs w:val="28"/>
          <w:lang w:eastAsia="zh-CN"/>
        </w:rPr>
        <w:t>д.ю.н., професор Тіщенко В.В.</w:t>
      </w:r>
    </w:p>
    <w:p w14:paraId="7E36507C" w14:textId="77777777" w:rsidR="00532C25" w:rsidRPr="00511005" w:rsidRDefault="00532C25" w:rsidP="00532C25">
      <w:pPr>
        <w:spacing w:line="264" w:lineRule="auto"/>
        <w:ind w:left="720" w:firstLine="0"/>
        <w:jc w:val="left"/>
        <w:rPr>
          <w:rFonts w:ascii="Arial" w:eastAsia="Times New Roman" w:hAnsi="Arial" w:cs="Arial"/>
          <w:szCs w:val="28"/>
          <w:lang w:val="uk-UA" w:eastAsia="uk-UA"/>
        </w:rPr>
      </w:pPr>
    </w:p>
    <w:p w14:paraId="04BAAF5E" w14:textId="77777777" w:rsidR="00532C25" w:rsidRPr="00511005" w:rsidRDefault="00532C25" w:rsidP="00532C25">
      <w:pPr>
        <w:spacing w:line="264" w:lineRule="auto"/>
        <w:ind w:left="720" w:firstLine="0"/>
        <w:jc w:val="center"/>
        <w:rPr>
          <w:rFonts w:ascii="Arial" w:eastAsia="Times New Roman" w:hAnsi="Arial" w:cs="Arial"/>
          <w:szCs w:val="28"/>
          <w:lang w:val="uk-UA" w:eastAsia="uk-UA"/>
        </w:rPr>
      </w:pPr>
      <w:r w:rsidRPr="00511005">
        <w:rPr>
          <w:rFonts w:ascii="Arial" w:eastAsia="Times New Roman" w:hAnsi="Arial" w:cs="Arial"/>
          <w:b/>
          <w:bCs/>
          <w:i/>
          <w:iCs/>
          <w:szCs w:val="28"/>
          <w:lang w:val="uk-UA" w:eastAsia="uk-UA"/>
        </w:rPr>
        <w:t>Якубик Юлія Русланівна</w:t>
      </w:r>
    </w:p>
    <w:p w14:paraId="08E6689E"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0A48231C"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C779502"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29C2B2A" w14:textId="77777777" w:rsidR="00532C25" w:rsidRPr="00511005" w:rsidRDefault="00532C25" w:rsidP="00532C25">
      <w:pPr>
        <w:spacing w:line="264" w:lineRule="auto"/>
        <w:ind w:left="720" w:firstLine="0"/>
        <w:rPr>
          <w:rFonts w:ascii="Arial" w:eastAsia="Times New Roman" w:hAnsi="Arial" w:cs="Arial"/>
          <w:szCs w:val="28"/>
          <w:lang w:eastAsia="uk-UA"/>
        </w:rPr>
      </w:pPr>
    </w:p>
    <w:p w14:paraId="1C30E85D"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r w:rsidRPr="00511005">
        <w:rPr>
          <w:rFonts w:ascii="Arial" w:eastAsia="Times New Roman" w:hAnsi="Arial" w:cs="Arial"/>
          <w:b/>
          <w:bCs/>
          <w:szCs w:val="28"/>
          <w:lang w:eastAsia="ru-RU"/>
        </w:rPr>
        <w:t>ОСОБЛИВОСТІ ПОЧАТКОВОГО ЕТАПУ РОЗСЛІДУВАННЯ НАСИЛЬНИЦЬКИХ СТАТЕВИХ ЗЛОЧИНІВ, ВЧИНЕНИХ ОСОБАМИ З ПСИХІЧНИМИ АНОМАЛІЯМИ</w:t>
      </w:r>
    </w:p>
    <w:p w14:paraId="1B4F062A" w14:textId="77777777" w:rsidR="00532C25" w:rsidRPr="00511005" w:rsidRDefault="00532C25" w:rsidP="00532C25">
      <w:pPr>
        <w:autoSpaceDE w:val="0"/>
        <w:autoSpaceDN w:val="0"/>
        <w:adjustRightInd w:val="0"/>
        <w:spacing w:line="264" w:lineRule="auto"/>
        <w:ind w:firstLine="720"/>
        <w:jc w:val="center"/>
        <w:rPr>
          <w:rFonts w:ascii="Arial" w:eastAsia="Times New Roman" w:hAnsi="Arial" w:cs="Arial"/>
          <w:b/>
          <w:bCs/>
          <w:szCs w:val="28"/>
          <w:lang w:eastAsia="ru-RU"/>
        </w:rPr>
      </w:pPr>
    </w:p>
    <w:p w14:paraId="41AC2C95" w14:textId="77777777" w:rsidR="00532C25" w:rsidRPr="00511005" w:rsidRDefault="00532C25" w:rsidP="00532C25">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Насильницький злочин у своїй сутності характеризується двома обов'язковими елементами: по-перше, це діяння, що має ознаки злочину, тобто є суспільно небезпечним та протиправним; по-друге, воно супроводжується застосуванням насильства або реальною загрозою його застосування. Важливо зазначити, що насильство або погроза його застосування, які є складовими насильницького злочину, не обов'язково повинні самі по собі кваліфікуватися як окремий злочин.</w:t>
      </w:r>
    </w:p>
    <w:p w14:paraId="05373A3B"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Під насильницькими статевими злочинами слід розуміти протиправні діяння, що посягають на статеву свободу та недоторканність особи, вчинені із застосуванням фізичного або психологічного насильства. Такі злочини спричиняють тяжкі наслідки для життя, здоров'я, честі та гідності потерпілої особи, а також можуть суттєво обмежити її соціальну адаптацію. [2, с. 2].</w:t>
      </w:r>
    </w:p>
    <w:p w14:paraId="32C1A4B4"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До насильницьких статевих злочинів, згідно з Кримінальним кодексом України, належать:</w:t>
      </w:r>
      <w:r w:rsidRPr="00511005">
        <w:rPr>
          <w:rFonts w:ascii="Arial" w:eastAsia="Times New Roman" w:hAnsi="Arial" w:cs="Arial"/>
          <w:szCs w:val="28"/>
        </w:rPr>
        <w:t xml:space="preserve"> зґвалтування (стаття 152 КК України); сексуальне насильство (стаття 153 КК України);</w:t>
      </w:r>
      <w:r w:rsidRPr="00511005">
        <w:rPr>
          <w:rFonts w:ascii="Arial" w:eastAsia="Calibri" w:hAnsi="Arial" w:cs="Arial"/>
          <w:szCs w:val="28"/>
        </w:rPr>
        <w:t xml:space="preserve"> п</w:t>
      </w:r>
      <w:r w:rsidRPr="00511005">
        <w:rPr>
          <w:rFonts w:ascii="Arial" w:eastAsia="Times New Roman" w:hAnsi="Arial" w:cs="Arial"/>
          <w:szCs w:val="28"/>
        </w:rPr>
        <w:t>римушування до вступу в статевий зв'язок (стаття 154 КК України).</w:t>
      </w:r>
      <w:r w:rsidRPr="00511005">
        <w:rPr>
          <w:rFonts w:ascii="Arial" w:eastAsia="Calibri" w:hAnsi="Arial" w:cs="Arial"/>
          <w:szCs w:val="28"/>
        </w:rPr>
        <w:t xml:space="preserve"> Ключовою ознакою цих злочинів є застосування насильства, що є кваліфікуючою ознакою, яка відрізняє їх від інших статевих злочинів. [1]</w:t>
      </w:r>
    </w:p>
    <w:p w14:paraId="49D85ADE"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Дослідженням зазначеної проблеми О.О. Ходимчук було виявило, що зґвалтування складає 12,3% від загальної кількості насильницьких злочинів, скоєних особами, що мають аномалії психіки. Важливо відзначити, що виконавцями цих злочинів у 100% випадків виявилися повнолітні особи чоловічої статі. [3, с. 89].</w:t>
      </w:r>
    </w:p>
    <w:p w14:paraId="0C22C973"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Calibri" w:hAnsi="Arial" w:cs="Arial"/>
          <w:szCs w:val="28"/>
        </w:rPr>
        <w:t xml:space="preserve">Особа з психічними аномаліями, що вчинила злочин характеризується порушеннями психічної діяльності, які, не досягаючи психотичного рівня, не виключають її осудність. Ця категорія злочинців відрізняється специфічним набором соціально-демографічних, соціально-рольових, кримінально-правових та соціально-психологічних ознак. </w:t>
      </w:r>
      <w:r w:rsidRPr="00511005">
        <w:rPr>
          <w:rFonts w:ascii="Arial" w:eastAsia="Times New Roman" w:hAnsi="Arial" w:cs="Arial"/>
          <w:szCs w:val="28"/>
        </w:rPr>
        <w:t xml:space="preserve">Спостерігається значне збільшення кількості кримінальних правопорушень, вчинених особами з </w:t>
      </w:r>
      <w:r w:rsidRPr="00511005">
        <w:rPr>
          <w:rFonts w:ascii="Arial" w:eastAsia="Times New Roman" w:hAnsi="Arial" w:cs="Arial"/>
          <w:szCs w:val="28"/>
        </w:rPr>
        <w:lastRenderedPageBreak/>
        <w:t>психічними розладами. Це явище підтверджує, що психофізіологічні особливості та психічні дефекти винного є ключовими детермінантами його кримінальної поведінки.</w:t>
      </w:r>
    </w:p>
    <w:p w14:paraId="2D96E93D"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Особливу увагу слід приділити особам з аномаліями психіки та патологічними проявами статевого потягу, такими як фетишизм, ексгібіціонізм та садизм. Дефекти їхньої психіки можуть проявлятися не лише в нелогічності поведінки, але й у специфіці мовлення, що може бути помічено потерпілими та свідками. До цієї групи також належать особи з психозами пізнього віку та старечим недоумством, які часто скоюють статеві злочини проти малолітніх та неповнолітніх.</w:t>
      </w:r>
    </w:p>
    <w:p w14:paraId="117EA64D"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Times New Roman" w:hAnsi="Arial" w:cs="Arial"/>
          <w:szCs w:val="28"/>
        </w:rPr>
        <w:t>Ми підтримуємо думку науковця С. М. Лозової, що ключовим фактором успішного розслідування злочинів, вчинених особами з психічними аномаліями, є коректне визначення та інтерпретація поняття «психічні аномалії». [4, с. 70-71].</w:t>
      </w:r>
    </w:p>
    <w:p w14:paraId="42BE82FB"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Науковець О. О. Ходимчук зазначає, що розлади психічної діяльності, які не класифікуються як психотичні та не позбавляють особу осудності, але викликають зміни в її особистості, що впливають на її поведінку, визначаються як психічні аномалії. [3, с. </w:t>
      </w:r>
      <w:proofErr w:type="gramStart"/>
      <w:r w:rsidRPr="00511005">
        <w:rPr>
          <w:rFonts w:ascii="Arial" w:eastAsia="Times New Roman" w:hAnsi="Arial" w:cs="Arial"/>
          <w:szCs w:val="28"/>
        </w:rPr>
        <w:t>88 ]</w:t>
      </w:r>
      <w:proofErr w:type="gramEnd"/>
      <w:r w:rsidRPr="00511005">
        <w:rPr>
          <w:rFonts w:ascii="Arial" w:eastAsia="Times New Roman" w:hAnsi="Arial" w:cs="Arial"/>
          <w:szCs w:val="28"/>
        </w:rPr>
        <w:t xml:space="preserve">. </w:t>
      </w:r>
    </w:p>
    <w:p w14:paraId="21B3BB11"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Вчена А. Ю. Лісова вказує, що слідчий повинен при розслідуванні статевих кримінальних правопорушень здійснити максимально детальну фіксацію всіх відомих обставин, зокрема, опис зовнішності злочинця, його поведінки, способу нападу та використання транспортних засобів. Отримані дані слід порівняти з типовою криміналістичною характеристикою зґвалтувань, що дозволить отримати додаткову інформацію для побудови слідчих версій. </w:t>
      </w:r>
      <w:proofErr w:type="gramStart"/>
      <w:r w:rsidRPr="00511005">
        <w:rPr>
          <w:rFonts w:ascii="Arial" w:eastAsia="Times New Roman" w:hAnsi="Arial" w:cs="Arial"/>
          <w:szCs w:val="28"/>
        </w:rPr>
        <w:t>[ 5</w:t>
      </w:r>
      <w:proofErr w:type="gramEnd"/>
      <w:r w:rsidRPr="00511005">
        <w:rPr>
          <w:rFonts w:ascii="Arial" w:eastAsia="Times New Roman" w:hAnsi="Arial" w:cs="Arial"/>
          <w:szCs w:val="28"/>
        </w:rPr>
        <w:t>, с. 128-129 ].</w:t>
      </w:r>
    </w:p>
    <w:p w14:paraId="071C3387"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На початковому етапі розслідування при проведенні слідчих (розшукових) дій з підозрюваним, який має психічні аномалії, у кримінальних провадженнях про зґвалтування, слід враховувати:</w:t>
      </w:r>
    </w:p>
    <w:p w14:paraId="5FF165EF" w14:textId="77777777" w:rsidR="00532C25" w:rsidRPr="00511005" w:rsidRDefault="00532C25" w:rsidP="003F6A5D">
      <w:pPr>
        <w:numPr>
          <w:ilvl w:val="0"/>
          <w:numId w:val="634"/>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невербальні прояви, такі як тік, гримаси або зміни кольору шкіри, не завжди є ознакою брехні. Вони можуть бути симптомами медичних станів, таких як алкоголізм або судинні захворювання.</w:t>
      </w:r>
    </w:p>
    <w:p w14:paraId="4AE05BE3" w14:textId="77777777" w:rsidR="00532C25" w:rsidRPr="00511005" w:rsidRDefault="00532C25" w:rsidP="003F6A5D">
      <w:pPr>
        <w:numPr>
          <w:ilvl w:val="0"/>
          <w:numId w:val="634"/>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неузгодженість у показаннях та проблеми з пам'яттю можуть бути наслідком психічних аномалій, а не навмисним ухиленням від дачі показань. У таких випадках слід застосовувати методи для відновлення спогадів.</w:t>
      </w:r>
    </w:p>
    <w:p w14:paraId="1C31FA0B" w14:textId="77777777" w:rsidR="00532C25" w:rsidRPr="00511005" w:rsidRDefault="00532C25" w:rsidP="003F6A5D">
      <w:pPr>
        <w:numPr>
          <w:ilvl w:val="0"/>
          <w:numId w:val="634"/>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різкі зміни настрою не завжди є реакцією на слідчі дії, а можуть бути проявом емоційної нестабільності, характерної для підозрюваних з психічними аномаліями. [4, с. 72].</w:t>
      </w:r>
    </w:p>
    <w:p w14:paraId="44524506"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Значення психічних аномалій у осіб, які вчиняють зґвалтування полягає в їхньому впливі на характер цих злочинів, що, у свою чергу, визначає стратегію розслідування. Зокрема, це впливає на послідовність проведення слідчих (розшукових) дій та тактичних прийомів. Розслідування </w:t>
      </w:r>
      <w:r w:rsidRPr="00511005">
        <w:rPr>
          <w:rFonts w:ascii="Arial" w:eastAsia="Times New Roman" w:hAnsi="Arial" w:cs="Arial"/>
          <w:szCs w:val="28"/>
        </w:rPr>
        <w:lastRenderedPageBreak/>
        <w:t>насильницьких статевих кримінальних правопорушень, вчинених особами з психічними аномаліями, вимагає детального аналізу особистостей злочинця та потерпілого, їхніх взаємин та обставин злочину.</w:t>
      </w:r>
    </w:p>
    <w:p w14:paraId="232EC688" w14:textId="77777777" w:rsidR="00532C25" w:rsidRPr="00511005" w:rsidRDefault="00532C25" w:rsidP="00532C25">
      <w:pPr>
        <w:spacing w:line="264" w:lineRule="auto"/>
        <w:ind w:firstLine="720"/>
        <w:jc w:val="left"/>
        <w:rPr>
          <w:rFonts w:ascii="Arial" w:eastAsia="Times New Roman" w:hAnsi="Arial" w:cs="Arial"/>
          <w:szCs w:val="28"/>
          <w:lang w:val="uk-UA" w:eastAsia="uk-UA"/>
        </w:rPr>
      </w:pPr>
    </w:p>
    <w:p w14:paraId="54831098" w14:textId="77777777" w:rsidR="00532C25" w:rsidRPr="00511005" w:rsidRDefault="00532C25" w:rsidP="00532C25">
      <w:pPr>
        <w:spacing w:line="264" w:lineRule="auto"/>
        <w:ind w:left="720"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4320721B" w14:textId="77777777" w:rsidR="00532C25" w:rsidRPr="00511005" w:rsidRDefault="00532C25" w:rsidP="00532C25">
      <w:pPr>
        <w:spacing w:line="264" w:lineRule="auto"/>
        <w:ind w:left="720" w:firstLine="0"/>
        <w:rPr>
          <w:rFonts w:ascii="Arial" w:eastAsia="Times New Roman" w:hAnsi="Arial" w:cs="Arial"/>
          <w:b/>
          <w:bCs/>
          <w:szCs w:val="28"/>
          <w:lang w:val="uk-UA" w:eastAsia="uk-UA"/>
        </w:rPr>
      </w:pPr>
    </w:p>
    <w:p w14:paraId="4EC65C4F"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eastAsia="ru-RU"/>
        </w:rPr>
      </w:pPr>
      <w:r w:rsidRPr="00511005">
        <w:rPr>
          <w:rFonts w:ascii="Arial" w:eastAsia="Times New Roman" w:hAnsi="Arial" w:cs="Arial"/>
          <w:i/>
          <w:iCs/>
          <w:szCs w:val="28"/>
          <w:lang w:eastAsia="ru-RU"/>
        </w:rPr>
        <w:t>1. Кримінальний кодекс України. Кодекс, Закон</w:t>
      </w:r>
      <w:r w:rsidRPr="00511005">
        <w:rPr>
          <w:rFonts w:ascii="Arial" w:eastAsia="Times New Roman" w:hAnsi="Arial" w:cs="Arial"/>
          <w:szCs w:val="28"/>
          <w:shd w:val="clear" w:color="auto" w:fill="F5F5F5"/>
          <w:lang w:eastAsia="ru-RU"/>
        </w:rPr>
        <w:t> від </w:t>
      </w:r>
      <w:r w:rsidRPr="00511005">
        <w:rPr>
          <w:rFonts w:ascii="Arial" w:eastAsia="Times New Roman" w:hAnsi="Arial" w:cs="Arial"/>
          <w:szCs w:val="28"/>
          <w:lang w:eastAsia="ru-RU"/>
        </w:rPr>
        <w:t>05.04.2001</w:t>
      </w:r>
      <w:r w:rsidRPr="00511005">
        <w:rPr>
          <w:rFonts w:ascii="Arial" w:eastAsia="Times New Roman" w:hAnsi="Arial" w:cs="Arial"/>
          <w:szCs w:val="28"/>
          <w:shd w:val="clear" w:color="auto" w:fill="F5F5F5"/>
          <w:lang w:eastAsia="ru-RU"/>
        </w:rPr>
        <w:t> № </w:t>
      </w:r>
      <w:r w:rsidRPr="00511005">
        <w:rPr>
          <w:rFonts w:ascii="Arial" w:eastAsia="Times New Roman" w:hAnsi="Arial" w:cs="Arial"/>
          <w:b/>
          <w:bCs/>
          <w:szCs w:val="28"/>
          <w:lang w:eastAsia="ru-RU"/>
        </w:rPr>
        <w:t>2341-III. (</w:t>
      </w:r>
      <w:r w:rsidRPr="00511005">
        <w:rPr>
          <w:rFonts w:ascii="Arial" w:eastAsia="Times New Roman" w:hAnsi="Arial" w:cs="Arial"/>
          <w:szCs w:val="28"/>
          <w:lang w:eastAsia="ru-RU"/>
        </w:rPr>
        <w:t xml:space="preserve">Редакція станом на 01.02.2025). ULR: </w:t>
      </w:r>
      <w:hyperlink r:id="rId2044" w:anchor="Text" w:history="1">
        <w:r w:rsidRPr="00511005">
          <w:rPr>
            <w:rFonts w:ascii="Arial" w:eastAsia="Times New Roman" w:hAnsi="Arial" w:cs="Arial"/>
            <w:szCs w:val="28"/>
            <w:lang w:eastAsia="ru-RU"/>
          </w:rPr>
          <w:t>https://zakon.rada.gov.ua/laws/show/2341-14#Text</w:t>
        </w:r>
      </w:hyperlink>
    </w:p>
    <w:p w14:paraId="2AD02F1F"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szCs w:val="28"/>
        </w:rPr>
        <w:t xml:space="preserve">2. Юрченко Р. </w:t>
      </w:r>
      <w:proofErr w:type="gramStart"/>
      <w:r w:rsidRPr="00511005">
        <w:rPr>
          <w:rFonts w:ascii="Arial" w:eastAsia="Times New Roman" w:hAnsi="Arial" w:cs="Arial"/>
          <w:szCs w:val="28"/>
        </w:rPr>
        <w:t>А..</w:t>
      </w:r>
      <w:proofErr w:type="gramEnd"/>
      <w:r w:rsidRPr="00511005">
        <w:rPr>
          <w:rFonts w:ascii="Arial" w:eastAsia="Times New Roman" w:hAnsi="Arial" w:cs="Arial"/>
          <w:szCs w:val="28"/>
        </w:rPr>
        <w:t xml:space="preserve"> Віктимологічна профілактика насильницьких статевих злочинів: дис.… д-ра філос.: 081 «Право».</w:t>
      </w:r>
      <w:r w:rsidRPr="00511005">
        <w:rPr>
          <w:rFonts w:ascii="Arial" w:eastAsia="Calibri" w:hAnsi="Arial" w:cs="Arial"/>
          <w:szCs w:val="28"/>
          <w:shd w:val="clear" w:color="auto" w:fill="FFFFFF"/>
        </w:rPr>
        <w:t xml:space="preserve"> Кропивницький. </w:t>
      </w:r>
      <w:r w:rsidRPr="00511005">
        <w:rPr>
          <w:rFonts w:ascii="Arial" w:eastAsia="Times New Roman" w:hAnsi="Arial" w:cs="Arial"/>
          <w:szCs w:val="28"/>
        </w:rPr>
        <w:t>2023 р. 258 с. С. 2</w:t>
      </w:r>
    </w:p>
    <w:p w14:paraId="0FAC8BBC"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3. Ходимчук О. О. Насильницька злочинність осіб з психічними аномаліями та її </w:t>
      </w:r>
      <w:proofErr w:type="gramStart"/>
      <w:r w:rsidRPr="00511005">
        <w:rPr>
          <w:rFonts w:ascii="Arial" w:eastAsia="Calibri" w:hAnsi="Arial" w:cs="Arial"/>
          <w:szCs w:val="28"/>
        </w:rPr>
        <w:t>запобігання :</w:t>
      </w:r>
      <w:proofErr w:type="gramEnd"/>
      <w:r w:rsidRPr="00511005">
        <w:rPr>
          <w:rFonts w:ascii="Arial" w:eastAsia="Calibri" w:hAnsi="Arial" w:cs="Arial"/>
          <w:szCs w:val="28"/>
        </w:rPr>
        <w:t xml:space="preserve"> автореф. дис. ... канд. юрид. наук 12.00.08 / Ходимчук Оксана Олегівна. - Київ, 2005 р. 251 с. С. 88-89</w:t>
      </w:r>
    </w:p>
    <w:p w14:paraId="69796C1C"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Times New Roman" w:hAnsi="Arial" w:cs="Arial"/>
          <w:szCs w:val="28"/>
        </w:rPr>
        <w:t xml:space="preserve">4. Лозова С. М. Особливості вивчення особистості злочинця з психічними аномаліями в процесі розслідування зґвалтування. </w:t>
      </w:r>
      <w:r w:rsidRPr="00511005">
        <w:rPr>
          <w:rFonts w:ascii="Arial" w:eastAsia="Calibri" w:hAnsi="Arial" w:cs="Arial"/>
          <w:szCs w:val="28"/>
          <w:shd w:val="clear" w:color="auto" w:fill="FFFFFF"/>
        </w:rPr>
        <w:t>/С. М. Лозова // Вісник Харківського Національного університету внутрішніх справ. Харків: Харк. нац. ун-т внутр. справ, 2015. Вип. 3 (70). С.68-</w:t>
      </w:r>
      <w:r w:rsidRPr="00511005">
        <w:rPr>
          <w:rFonts w:ascii="Arial" w:eastAsia="Times New Roman" w:hAnsi="Arial" w:cs="Arial"/>
          <w:szCs w:val="28"/>
        </w:rPr>
        <w:t xml:space="preserve"> 74.</w:t>
      </w:r>
    </w:p>
    <w:p w14:paraId="72354C94" w14:textId="77777777" w:rsidR="00532C25" w:rsidRPr="00511005" w:rsidRDefault="00532C25" w:rsidP="00532C25">
      <w:pPr>
        <w:autoSpaceDE w:val="0"/>
        <w:autoSpaceDN w:val="0"/>
        <w:adjustRightInd w:val="0"/>
        <w:spacing w:line="264" w:lineRule="auto"/>
        <w:ind w:firstLine="720"/>
        <w:jc w:val="left"/>
        <w:rPr>
          <w:rFonts w:ascii="Arial" w:eastAsia="Times New Roman" w:hAnsi="Arial" w:cs="Arial"/>
          <w:szCs w:val="28"/>
          <w:lang w:eastAsia="ru-RU"/>
        </w:rPr>
      </w:pPr>
      <w:r w:rsidRPr="00511005">
        <w:rPr>
          <w:rFonts w:ascii="Arial" w:eastAsia="Times New Roman" w:hAnsi="Arial" w:cs="Arial"/>
          <w:szCs w:val="28"/>
          <w:lang w:eastAsia="ru-RU"/>
        </w:rPr>
        <w:t xml:space="preserve">5. Лісова А. Ю. </w:t>
      </w:r>
      <w:r w:rsidRPr="00511005">
        <w:rPr>
          <w:rFonts w:ascii="Arial" w:eastAsia="Times New Roman" w:hAnsi="Arial" w:cs="Arial"/>
          <w:i/>
          <w:iCs/>
          <w:szCs w:val="28"/>
          <w:lang w:eastAsia="ru-RU"/>
        </w:rPr>
        <w:t>Основи методики розслідування зґвалтування: [Текст]: дис. …</w:t>
      </w:r>
      <w:r w:rsidRPr="00511005">
        <w:rPr>
          <w:rFonts w:ascii="Arial" w:eastAsia="Times New Roman" w:hAnsi="Arial" w:cs="Arial"/>
          <w:szCs w:val="28"/>
          <w:lang w:eastAsia="ru-RU"/>
        </w:rPr>
        <w:t xml:space="preserve">канд. юрид. наук: 12.00.09./Лісова Анна Юріївна; Нац. акад. внутр. </w:t>
      </w:r>
      <w:proofErr w:type="gramStart"/>
      <w:r w:rsidRPr="00511005">
        <w:rPr>
          <w:rFonts w:ascii="Arial" w:eastAsia="Times New Roman" w:hAnsi="Arial" w:cs="Arial"/>
          <w:szCs w:val="28"/>
          <w:lang w:eastAsia="ru-RU"/>
        </w:rPr>
        <w:t>справ.-</w:t>
      </w:r>
      <w:proofErr w:type="gramEnd"/>
      <w:r w:rsidRPr="00511005">
        <w:rPr>
          <w:rFonts w:ascii="Arial" w:eastAsia="Times New Roman" w:hAnsi="Arial" w:cs="Arial"/>
          <w:szCs w:val="28"/>
          <w:lang w:eastAsia="ru-RU"/>
        </w:rPr>
        <w:t xml:space="preserve"> Київ, 2014. 254 с. С. 128-129.</w:t>
      </w:r>
    </w:p>
    <w:p w14:paraId="01C7C4E0" w14:textId="77777777" w:rsidR="00532C25" w:rsidRPr="00511005" w:rsidRDefault="00532C25" w:rsidP="00532C25">
      <w:pPr>
        <w:spacing w:line="264" w:lineRule="auto"/>
        <w:ind w:left="720" w:firstLine="0"/>
        <w:jc w:val="left"/>
        <w:rPr>
          <w:rFonts w:ascii="Arial" w:eastAsia="Times New Roman" w:hAnsi="Arial" w:cs="Arial"/>
          <w:b/>
          <w:bCs/>
          <w:szCs w:val="28"/>
          <w:lang w:val="uk-UA" w:eastAsia="uk-UA"/>
        </w:rPr>
      </w:pPr>
    </w:p>
    <w:p w14:paraId="67D889A2" w14:textId="77777777" w:rsidR="00532C25" w:rsidRPr="00511005" w:rsidRDefault="00532C25" w:rsidP="00532C25">
      <w:pPr>
        <w:spacing w:line="264" w:lineRule="auto"/>
        <w:ind w:firstLine="72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Pr="00511005">
        <w:rPr>
          <w:rFonts w:ascii="Arial" w:eastAsia="Times New Roman" w:hAnsi="Arial" w:cs="Arial"/>
          <w:szCs w:val="28"/>
          <w:lang w:val="uk-UA" w:eastAsia="uk-UA"/>
        </w:rPr>
        <w:t xml:space="preserve">насильницькі злочини, статеві злочини, особистість злочинця з психічними аномаліями, психічні аномалії, початковий етап розслідування </w:t>
      </w:r>
    </w:p>
    <w:p w14:paraId="7924F7E6" w14:textId="77777777" w:rsidR="00532C25" w:rsidRPr="00511005" w:rsidRDefault="00532C25" w:rsidP="00532C25">
      <w:pPr>
        <w:spacing w:line="264" w:lineRule="auto"/>
        <w:ind w:firstLine="720"/>
        <w:rPr>
          <w:rFonts w:ascii="Arial" w:eastAsia="Times New Roman" w:hAnsi="Arial" w:cs="Arial"/>
          <w:szCs w:val="28"/>
          <w:lang w:val="en-GB" w:eastAsia="uk-UA"/>
        </w:rPr>
      </w:pPr>
      <w:r w:rsidRPr="00511005">
        <w:rPr>
          <w:rFonts w:ascii="Arial" w:eastAsia="Times New Roman" w:hAnsi="Arial" w:cs="Arial"/>
          <w:b/>
          <w:bCs/>
          <w:i/>
          <w:szCs w:val="28"/>
          <w:lang w:val="uk-UA" w:eastAsia="uk-UA"/>
        </w:rPr>
        <w:t xml:space="preserve">Key words: </w:t>
      </w:r>
      <w:r w:rsidRPr="00511005">
        <w:rPr>
          <w:rFonts w:ascii="Arial" w:eastAsia="Times New Roman" w:hAnsi="Arial" w:cs="Arial"/>
          <w:szCs w:val="28"/>
          <w:lang w:val="en-GB" w:eastAsia="uk-UA"/>
        </w:rPr>
        <w:t>v</w:t>
      </w:r>
      <w:r w:rsidRPr="00511005">
        <w:rPr>
          <w:rFonts w:ascii="Arial" w:eastAsia="Times New Roman" w:hAnsi="Arial" w:cs="Arial"/>
          <w:szCs w:val="28"/>
          <w:lang w:val="uk-UA" w:eastAsia="uk-UA"/>
        </w:rPr>
        <w:t>iolent crimes, sexual offences, identity of the offender with mental abnormalities, mental abnormalities, initial stage of investigation</w:t>
      </w:r>
    </w:p>
    <w:p w14:paraId="1A47208D" w14:textId="77777777" w:rsidR="00532C25" w:rsidRPr="00511005" w:rsidRDefault="00532C25" w:rsidP="00532C25">
      <w:pPr>
        <w:spacing w:line="264" w:lineRule="auto"/>
        <w:ind w:firstLine="720"/>
        <w:jc w:val="left"/>
        <w:rPr>
          <w:rFonts w:ascii="Arial" w:eastAsia="Calibri" w:hAnsi="Arial" w:cs="Arial"/>
          <w:i/>
          <w:iCs/>
          <w:szCs w:val="28"/>
        </w:rPr>
      </w:pPr>
      <w:r w:rsidRPr="00511005">
        <w:rPr>
          <w:rFonts w:ascii="Arial" w:eastAsia="Calibri" w:hAnsi="Arial" w:cs="Arial"/>
          <w:b/>
          <w:i/>
          <w:iCs/>
          <w:szCs w:val="28"/>
        </w:rPr>
        <w:t xml:space="preserve">Науковий керівник: </w:t>
      </w:r>
      <w:r w:rsidRPr="00511005">
        <w:rPr>
          <w:rFonts w:ascii="Arial" w:eastAsia="Calibri" w:hAnsi="Arial" w:cs="Arial"/>
          <w:bCs/>
          <w:i/>
          <w:iCs/>
          <w:szCs w:val="28"/>
        </w:rPr>
        <w:t>д.ю.н., професор Тіщенко В.В.</w:t>
      </w:r>
    </w:p>
    <w:p w14:paraId="35B88D93" w14:textId="77777777" w:rsidR="00532C25" w:rsidRPr="00511005" w:rsidRDefault="00532C25" w:rsidP="00532C25">
      <w:pPr>
        <w:spacing w:line="264" w:lineRule="auto"/>
        <w:ind w:firstLine="720"/>
        <w:jc w:val="center"/>
        <w:rPr>
          <w:rFonts w:ascii="Arial" w:eastAsia="Calibri" w:hAnsi="Arial" w:cs="Arial"/>
          <w:i/>
          <w:iCs/>
          <w:szCs w:val="28"/>
        </w:rPr>
      </w:pPr>
    </w:p>
    <w:p w14:paraId="041C1DC4" w14:textId="77777777" w:rsidR="00532C25" w:rsidRPr="00511005" w:rsidRDefault="00532C25" w:rsidP="00532C25">
      <w:pPr>
        <w:spacing w:line="264" w:lineRule="auto"/>
        <w:ind w:firstLine="720"/>
        <w:rPr>
          <w:rFonts w:ascii="Arial" w:eastAsia="Times New Roman" w:hAnsi="Arial" w:cs="Arial"/>
          <w:szCs w:val="28"/>
          <w:lang w:eastAsia="uk-UA"/>
        </w:rPr>
      </w:pPr>
    </w:p>
    <w:p w14:paraId="45AEA81E" w14:textId="77777777" w:rsidR="00532C25" w:rsidRPr="00511005" w:rsidRDefault="00532C25" w:rsidP="00532C25">
      <w:pPr>
        <w:spacing w:line="264" w:lineRule="auto"/>
        <w:ind w:firstLine="720"/>
        <w:jc w:val="center"/>
        <w:rPr>
          <w:rFonts w:ascii="Arial" w:eastAsia="Calibri" w:hAnsi="Arial" w:cs="Arial"/>
          <w:b/>
          <w:bCs/>
          <w:i/>
          <w:iCs/>
          <w:szCs w:val="28"/>
          <w:lang w:val="uk-UA"/>
        </w:rPr>
      </w:pPr>
      <w:r w:rsidRPr="00511005">
        <w:rPr>
          <w:rFonts w:ascii="Arial" w:eastAsia="Calibri" w:hAnsi="Arial" w:cs="Arial"/>
          <w:b/>
          <w:bCs/>
          <w:i/>
          <w:iCs/>
          <w:szCs w:val="28"/>
          <w:lang w:val="uk-UA"/>
        </w:rPr>
        <w:t>Ясінська Анастасія Вікторівна</w:t>
      </w:r>
    </w:p>
    <w:p w14:paraId="58745E6A"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0356E858"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81C37A9"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D901102" w14:textId="77777777" w:rsidR="00532C25" w:rsidRPr="00511005" w:rsidRDefault="00532C25" w:rsidP="00532C25">
      <w:pPr>
        <w:spacing w:line="264" w:lineRule="auto"/>
        <w:ind w:firstLine="720"/>
        <w:jc w:val="left"/>
        <w:rPr>
          <w:rFonts w:ascii="Arial" w:eastAsia="Calibri" w:hAnsi="Arial" w:cs="Arial"/>
          <w:szCs w:val="28"/>
        </w:rPr>
      </w:pPr>
    </w:p>
    <w:p w14:paraId="0AE93F90"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rPr>
        <w:t>П</w:t>
      </w:r>
      <w:r w:rsidRPr="00511005">
        <w:rPr>
          <w:rFonts w:ascii="Arial" w:eastAsia="Calibri" w:hAnsi="Arial" w:cs="Arial"/>
          <w:b/>
          <w:bCs/>
          <w:szCs w:val="28"/>
          <w:lang w:val="uk-UA"/>
        </w:rPr>
        <w:t>РОБЛЕМИ</w:t>
      </w:r>
      <w:r w:rsidRPr="00511005">
        <w:rPr>
          <w:rFonts w:ascii="Arial" w:eastAsia="Calibri" w:hAnsi="Arial" w:cs="Arial"/>
          <w:b/>
          <w:bCs/>
          <w:szCs w:val="28"/>
        </w:rPr>
        <w:t xml:space="preserve"> </w:t>
      </w:r>
      <w:r w:rsidRPr="00511005">
        <w:rPr>
          <w:rFonts w:ascii="Arial" w:eastAsia="Calibri" w:hAnsi="Arial" w:cs="Arial"/>
          <w:b/>
          <w:bCs/>
          <w:szCs w:val="28"/>
          <w:lang w:val="uk-UA"/>
        </w:rPr>
        <w:t>ПРОВЕДЕННЯ</w:t>
      </w:r>
      <w:r w:rsidRPr="00511005">
        <w:rPr>
          <w:rFonts w:ascii="Arial" w:eastAsia="Calibri" w:hAnsi="Arial" w:cs="Arial"/>
          <w:b/>
          <w:bCs/>
          <w:szCs w:val="28"/>
        </w:rPr>
        <w:t xml:space="preserve"> </w:t>
      </w:r>
      <w:r w:rsidRPr="00511005">
        <w:rPr>
          <w:rFonts w:ascii="Arial" w:eastAsia="Calibri" w:hAnsi="Arial" w:cs="Arial"/>
          <w:b/>
          <w:bCs/>
          <w:szCs w:val="28"/>
          <w:lang w:val="uk-UA"/>
        </w:rPr>
        <w:t>ОБШУКУ: ПОРІВНЯННЯ</w:t>
      </w:r>
      <w:r w:rsidRPr="00511005">
        <w:rPr>
          <w:rFonts w:ascii="Arial" w:eastAsia="Calibri" w:hAnsi="Arial" w:cs="Arial"/>
          <w:b/>
          <w:bCs/>
          <w:szCs w:val="28"/>
        </w:rPr>
        <w:t xml:space="preserve"> </w:t>
      </w:r>
      <w:r w:rsidRPr="00511005">
        <w:rPr>
          <w:rFonts w:ascii="Arial" w:eastAsia="Calibri" w:hAnsi="Arial" w:cs="Arial"/>
          <w:b/>
          <w:bCs/>
          <w:szCs w:val="28"/>
          <w:lang w:val="uk-UA"/>
        </w:rPr>
        <w:t>ТЕОРІЇ</w:t>
      </w:r>
      <w:r w:rsidRPr="00511005">
        <w:rPr>
          <w:rFonts w:ascii="Arial" w:eastAsia="Calibri" w:hAnsi="Arial" w:cs="Arial"/>
          <w:b/>
          <w:bCs/>
          <w:szCs w:val="28"/>
        </w:rPr>
        <w:t xml:space="preserve"> </w:t>
      </w:r>
      <w:r w:rsidRPr="00511005">
        <w:rPr>
          <w:rFonts w:ascii="Arial" w:eastAsia="Calibri" w:hAnsi="Arial" w:cs="Arial"/>
          <w:b/>
          <w:bCs/>
          <w:szCs w:val="28"/>
          <w:lang w:val="uk-UA"/>
        </w:rPr>
        <w:t>ТА</w:t>
      </w:r>
      <w:r w:rsidRPr="00511005">
        <w:rPr>
          <w:rFonts w:ascii="Arial" w:eastAsia="Calibri" w:hAnsi="Arial" w:cs="Arial"/>
          <w:b/>
          <w:bCs/>
          <w:szCs w:val="28"/>
        </w:rPr>
        <w:t xml:space="preserve"> </w:t>
      </w:r>
      <w:r w:rsidRPr="00511005">
        <w:rPr>
          <w:rFonts w:ascii="Arial" w:eastAsia="Calibri" w:hAnsi="Arial" w:cs="Arial"/>
          <w:b/>
          <w:bCs/>
          <w:szCs w:val="28"/>
          <w:lang w:val="uk-UA"/>
        </w:rPr>
        <w:t>ПРАКТИКИ</w:t>
      </w:r>
    </w:p>
    <w:p w14:paraId="313835E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Згідно ч.1 ст. 234 КПК України обшук - це слідча (розшукова) дія, яка проводиться з метою виявлення та фіксації відомостей про обставини вчинення кримінального правопорушення, відшукання знаряддя кримінального правопорушення або майна, яке було здобуте у результаті </w:t>
      </w:r>
      <w:r w:rsidRPr="00511005">
        <w:rPr>
          <w:rFonts w:ascii="Arial" w:eastAsia="Calibri" w:hAnsi="Arial" w:cs="Arial"/>
          <w:szCs w:val="28"/>
          <w:lang w:val="uk-UA"/>
        </w:rPr>
        <w:lastRenderedPageBreak/>
        <w:t>його вчинення, а також встановлення місцезнаходження розшукуваних осіб. [1]</w:t>
      </w:r>
    </w:p>
    <w:p w14:paraId="5477C5E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Цілями обшуку є виявлення та вилучення предметів, які мають доказове значення (напр. знарядь злочину; предметів, які здобутті незаконно, або ж мають на собі сліди вчиненого кримінального правопорушення; документів; а також трупів); виявлення осіб, які перебувають у розшуку та матеріалів, які можуть полегшити їх розшук (листи, щоденники, фотографії); пошук майна, на яке необхідно накласти арешт з метою забезпечення можливої конфіскації майна або ж цивільного позову.[2]</w:t>
      </w:r>
    </w:p>
    <w:p w14:paraId="11F07F4C"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 xml:space="preserve">Обшук на практиці значно обмежує конституційні права та свободи людини. Саме тому судовий контроль з боку слідчого судді є ключовим, адже він виконує особливу функцію в досудовому розслідуванні, виступаючи гарантом забезпечення та дотримання конституційного принципу недоторканності житла або іншої власності. </w:t>
      </w:r>
      <w:r w:rsidRPr="00511005">
        <w:rPr>
          <w:rFonts w:ascii="Arial" w:eastAsia="Calibri" w:hAnsi="Arial" w:cs="Arial"/>
          <w:szCs w:val="28"/>
        </w:rPr>
        <w:t>[3]</w:t>
      </w:r>
    </w:p>
    <w:p w14:paraId="52503F8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rPr>
        <w:t>Відповідно до статей 234–236 Кримінального процесуального кодексу України, обшук може проводитися лише на підставі ухвали слідчого судді, крім випадків, коли існує невідкладна необхідність. [1]</w:t>
      </w:r>
    </w:p>
    <w:p w14:paraId="6BA30639"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rPr>
        <w:t xml:space="preserve">На практиці, попри чітке законодавче регулювання, обшуки нерідко проводяться із порушенням встановленого порядку. </w:t>
      </w:r>
    </w:p>
    <w:p w14:paraId="6832982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en-US"/>
        </w:rPr>
        <w:t>Найпоширеніш</w:t>
      </w:r>
      <w:r w:rsidRPr="00511005">
        <w:rPr>
          <w:rFonts w:ascii="Arial" w:eastAsia="Calibri" w:hAnsi="Arial" w:cs="Arial"/>
          <w:szCs w:val="28"/>
          <w:lang w:val="uk-UA"/>
        </w:rPr>
        <w:t>ими проблемами є:</w:t>
      </w:r>
    </w:p>
    <w:p w14:paraId="78046CFB" w14:textId="77777777" w:rsidR="00532C25" w:rsidRPr="00511005" w:rsidRDefault="00532C25" w:rsidP="003F6A5D">
      <w:pPr>
        <w:numPr>
          <w:ilvl w:val="0"/>
          <w:numId w:val="687"/>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п</w:t>
      </w:r>
      <w:r w:rsidRPr="00511005">
        <w:rPr>
          <w:rFonts w:ascii="Arial" w:eastAsia="Calibri" w:hAnsi="Arial" w:cs="Arial"/>
          <w:szCs w:val="28"/>
        </w:rPr>
        <w:t>орушення порядку отримання ухвали суду</w:t>
      </w:r>
      <w:r w:rsidRPr="00511005">
        <w:rPr>
          <w:rFonts w:ascii="Arial" w:eastAsia="Calibri" w:hAnsi="Arial" w:cs="Arial"/>
          <w:szCs w:val="28"/>
          <w:lang w:val="uk-UA"/>
        </w:rPr>
        <w:t xml:space="preserve"> (слідчі часто зловживають підставами для «невідкладного» обшуку, що фактично дозволяє їм уникати судового контролю )</w:t>
      </w:r>
    </w:p>
    <w:p w14:paraId="5CD5BE56" w14:textId="77777777" w:rsidR="00532C25" w:rsidRPr="00511005" w:rsidRDefault="00532C25" w:rsidP="003F6A5D">
      <w:pPr>
        <w:numPr>
          <w:ilvl w:val="0"/>
          <w:numId w:val="687"/>
        </w:numPr>
        <w:spacing w:line="264" w:lineRule="auto"/>
        <w:ind w:left="0" w:firstLine="720"/>
        <w:contextualSpacing/>
        <w:jc w:val="left"/>
        <w:rPr>
          <w:rFonts w:ascii="Arial" w:eastAsia="Calibri" w:hAnsi="Arial" w:cs="Arial"/>
          <w:szCs w:val="28"/>
        </w:rPr>
      </w:pPr>
      <w:r w:rsidRPr="00511005">
        <w:rPr>
          <w:rFonts w:ascii="Arial" w:eastAsia="Calibri" w:hAnsi="Arial" w:cs="Arial"/>
          <w:szCs w:val="28"/>
          <w:lang w:val="uk-UA"/>
        </w:rPr>
        <w:t>н</w:t>
      </w:r>
      <w:r w:rsidRPr="00511005">
        <w:rPr>
          <w:rFonts w:ascii="Arial" w:eastAsia="Calibri" w:hAnsi="Arial" w:cs="Arial"/>
          <w:szCs w:val="28"/>
        </w:rPr>
        <w:t>едотримання гарантій прав особи</w:t>
      </w:r>
      <w:r w:rsidRPr="00511005">
        <w:rPr>
          <w:rFonts w:ascii="Arial" w:eastAsia="Calibri" w:hAnsi="Arial" w:cs="Arial"/>
          <w:szCs w:val="28"/>
          <w:lang w:val="uk-UA"/>
        </w:rPr>
        <w:t xml:space="preserve"> (під час обшуків можливе нероз</w:t>
      </w:r>
      <w:r w:rsidRPr="00511005">
        <w:rPr>
          <w:rFonts w:ascii="Arial" w:eastAsia="Calibri" w:hAnsi="Arial" w:cs="Arial"/>
          <w:szCs w:val="28"/>
        </w:rPr>
        <w:t>’</w:t>
      </w:r>
      <w:r w:rsidRPr="00511005">
        <w:rPr>
          <w:rFonts w:ascii="Arial" w:eastAsia="Calibri" w:hAnsi="Arial" w:cs="Arial"/>
          <w:szCs w:val="28"/>
          <w:lang w:val="uk-UA"/>
        </w:rPr>
        <w:t>яснення особам їх прав, або обмеження можливості скористатись адвокатською допомогою)</w:t>
      </w:r>
    </w:p>
    <w:p w14:paraId="0EF3CB7A" w14:textId="77777777" w:rsidR="00532C25" w:rsidRPr="00511005" w:rsidRDefault="00532C25" w:rsidP="003F6A5D">
      <w:pPr>
        <w:numPr>
          <w:ilvl w:val="0"/>
          <w:numId w:val="687"/>
        </w:numPr>
        <w:spacing w:line="264" w:lineRule="auto"/>
        <w:ind w:left="0" w:firstLine="720"/>
        <w:contextualSpacing/>
        <w:jc w:val="left"/>
        <w:rPr>
          <w:rFonts w:ascii="Arial" w:eastAsia="Calibri" w:hAnsi="Arial" w:cs="Arial"/>
          <w:szCs w:val="28"/>
        </w:rPr>
      </w:pPr>
      <w:r w:rsidRPr="00511005">
        <w:rPr>
          <w:rFonts w:ascii="Arial" w:eastAsia="Calibri" w:hAnsi="Arial" w:cs="Arial"/>
          <w:szCs w:val="28"/>
          <w:lang w:val="uk-UA"/>
        </w:rPr>
        <w:t>ф</w:t>
      </w:r>
      <w:r w:rsidRPr="00511005">
        <w:rPr>
          <w:rFonts w:ascii="Arial" w:eastAsia="Calibri" w:hAnsi="Arial" w:cs="Arial"/>
          <w:szCs w:val="28"/>
        </w:rPr>
        <w:t>ормальне складання протоколу</w:t>
      </w:r>
      <w:r w:rsidRPr="00511005">
        <w:rPr>
          <w:rFonts w:ascii="Arial" w:eastAsia="Calibri" w:hAnsi="Arial" w:cs="Arial"/>
          <w:szCs w:val="28"/>
          <w:lang w:val="uk-UA"/>
        </w:rPr>
        <w:t xml:space="preserve"> (бувають випадки коли протоколи ведуться з порушеннями; не відображаються всі обставини, або ж речі які були вилучені; не ведеться обов</w:t>
      </w:r>
      <w:r w:rsidRPr="00511005">
        <w:rPr>
          <w:rFonts w:ascii="Arial" w:eastAsia="Calibri" w:hAnsi="Arial" w:cs="Arial"/>
          <w:szCs w:val="28"/>
        </w:rPr>
        <w:t>’</w:t>
      </w:r>
      <w:r w:rsidRPr="00511005">
        <w:rPr>
          <w:rFonts w:ascii="Arial" w:eastAsia="Calibri" w:hAnsi="Arial" w:cs="Arial"/>
          <w:szCs w:val="28"/>
          <w:lang w:val="uk-UA"/>
        </w:rPr>
        <w:t>язкова відеофіксація)</w:t>
      </w:r>
    </w:p>
    <w:p w14:paraId="39D1BFD1" w14:textId="77777777" w:rsidR="00532C25" w:rsidRPr="00511005" w:rsidRDefault="00532C25" w:rsidP="003F6A5D">
      <w:pPr>
        <w:numPr>
          <w:ilvl w:val="0"/>
          <w:numId w:val="687"/>
        </w:numPr>
        <w:spacing w:line="264" w:lineRule="auto"/>
        <w:ind w:left="0" w:firstLine="720"/>
        <w:contextualSpacing/>
        <w:jc w:val="left"/>
        <w:rPr>
          <w:rFonts w:ascii="Arial" w:eastAsia="Calibri" w:hAnsi="Arial" w:cs="Arial"/>
          <w:szCs w:val="28"/>
        </w:rPr>
      </w:pPr>
      <w:r w:rsidRPr="00511005">
        <w:rPr>
          <w:rFonts w:ascii="Arial" w:eastAsia="Calibri" w:hAnsi="Arial" w:cs="Arial"/>
          <w:szCs w:val="28"/>
          <w:lang w:val="uk-UA"/>
        </w:rPr>
        <w:t>о</w:t>
      </w:r>
      <w:r w:rsidRPr="00511005">
        <w:rPr>
          <w:rFonts w:ascii="Arial" w:eastAsia="Calibri" w:hAnsi="Arial" w:cs="Arial"/>
          <w:szCs w:val="28"/>
        </w:rPr>
        <w:t>бшук як засіб тиску</w:t>
      </w:r>
      <w:r w:rsidRPr="00511005">
        <w:rPr>
          <w:rFonts w:ascii="Arial" w:eastAsia="Calibri" w:hAnsi="Arial" w:cs="Arial"/>
          <w:szCs w:val="28"/>
          <w:lang w:val="uk-UA"/>
        </w:rPr>
        <w:t xml:space="preserve"> (іноді обшуки застосовуються як інструмент психологічного чи економічного тиску, а не задля виявлення доказів)</w:t>
      </w:r>
    </w:p>
    <w:p w14:paraId="3EB88D1E"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До прикладу можна взяти Постанову колегії суддів Першої судової палати ККС ВС від 14.03.20024 у справі № 288</w:t>
      </w:r>
      <w:r w:rsidRPr="00511005">
        <w:rPr>
          <w:rFonts w:ascii="Arial" w:eastAsia="Calibri" w:hAnsi="Arial" w:cs="Arial"/>
          <w:szCs w:val="28"/>
        </w:rPr>
        <w:t>/1206/16-</w:t>
      </w:r>
      <w:r w:rsidRPr="00511005">
        <w:rPr>
          <w:rFonts w:ascii="Arial" w:eastAsia="Calibri" w:hAnsi="Arial" w:cs="Arial"/>
          <w:szCs w:val="28"/>
          <w:lang w:val="uk-UA"/>
        </w:rPr>
        <w:t xml:space="preserve"> к (провадження № 51-5281км23).</w:t>
      </w:r>
      <w:r w:rsidRPr="00511005">
        <w:rPr>
          <w:rFonts w:ascii="Arial" w:eastAsia="Calibri" w:hAnsi="Arial" w:cs="Arial"/>
          <w:szCs w:val="28"/>
        </w:rPr>
        <w:t xml:space="preserve"> </w:t>
      </w:r>
      <w:r w:rsidRPr="00511005">
        <w:rPr>
          <w:rFonts w:ascii="Arial" w:eastAsia="Calibri" w:hAnsi="Arial" w:cs="Arial"/>
          <w:szCs w:val="28"/>
          <w:lang w:val="uk-UA"/>
        </w:rPr>
        <w:t xml:space="preserve">Місцевий суд у цій справі, проаналізувавши протокол обшуку, констатував, що органи досудового розслідування проникли до житла особи для проведення обшуку ще до того, як суд завершив розгляд клопотання про надання відповідного дозволу, що стало підставою для визнання протоколу недопустимим доказом. Згідно Постанови колегії суддів Першої судової палати ККС ВС, з урахуванням вимог ч. 1 ст. 233 КПК, дані протоколу обшуку житла, проникнення до якого органом досудового розслідування відбулося, коли розгляд клопотання прокурора про надання дозволу на </w:t>
      </w:r>
      <w:r w:rsidRPr="00511005">
        <w:rPr>
          <w:rFonts w:ascii="Arial" w:eastAsia="Calibri" w:hAnsi="Arial" w:cs="Arial"/>
          <w:szCs w:val="28"/>
          <w:lang w:val="uk-UA"/>
        </w:rPr>
        <w:lastRenderedPageBreak/>
        <w:t xml:space="preserve">проведення цієї слідчої дії ще тривав у суді, є недопустимими доказами. </w:t>
      </w:r>
      <w:r w:rsidRPr="00511005">
        <w:rPr>
          <w:rFonts w:ascii="Arial" w:eastAsia="Calibri" w:hAnsi="Arial" w:cs="Arial"/>
          <w:szCs w:val="28"/>
        </w:rPr>
        <w:t>[4],[5]</w:t>
      </w:r>
    </w:p>
    <w:p w14:paraId="490A89B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На прикладі можемо спостерігати порушення процесуального порядку проведення обшуку, також порушення прав громадян щодо недоторканості житла.</w:t>
      </w:r>
    </w:p>
    <w:p w14:paraId="34523F2C"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Насправді у практиці таких прикладів чимало, але дуже часто вони залишаються непоміченими. Тому варто визначати та застосовувати способи вирішення проблем процесуального проведення обшуку. Ними можуть бути посилення судового контролю за обшуками, де буде обов</w:t>
      </w:r>
      <w:r w:rsidRPr="00511005">
        <w:rPr>
          <w:rFonts w:ascii="Arial" w:eastAsia="Calibri" w:hAnsi="Arial" w:cs="Arial"/>
          <w:szCs w:val="28"/>
        </w:rPr>
        <w:t>’</w:t>
      </w:r>
      <w:r w:rsidRPr="00511005">
        <w:rPr>
          <w:rFonts w:ascii="Arial" w:eastAsia="Calibri" w:hAnsi="Arial" w:cs="Arial"/>
          <w:szCs w:val="28"/>
          <w:lang w:val="uk-UA"/>
        </w:rPr>
        <w:t>язковим детальне обгрунтування необхідності обшуку в клопотанні слідчого. Відмова судів від «автоматичного» задоволення клопотань без ретельної перевірки доказів, введення відеофіксації судового розгляду клопотань.</w:t>
      </w:r>
    </w:p>
    <w:p w14:paraId="524E40F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Не менш важливим є підвищення кваліфікації правоохоронців, наприклад обов’язкове навчання слідчих і оперативних працівників міжнародним стандартам, введення спеціалізованих тренінгів з етики проведення обшуків.</w:t>
      </w:r>
    </w:p>
    <w:p w14:paraId="1F1F3699" w14:textId="77777777" w:rsidR="00532C25" w:rsidRPr="00511005" w:rsidRDefault="00532C25" w:rsidP="00532C25">
      <w:pPr>
        <w:spacing w:line="264" w:lineRule="auto"/>
        <w:ind w:firstLine="720"/>
        <w:rPr>
          <w:rFonts w:ascii="Arial" w:eastAsia="Calibri" w:hAnsi="Arial" w:cs="Arial"/>
          <w:szCs w:val="28"/>
        </w:rPr>
      </w:pPr>
      <w:r w:rsidRPr="00511005">
        <w:rPr>
          <w:rFonts w:ascii="Arial" w:eastAsia="Calibri" w:hAnsi="Arial" w:cs="Arial"/>
          <w:szCs w:val="28"/>
          <w:lang w:val="uk-UA"/>
        </w:rPr>
        <w:t xml:space="preserve">Одним із ключових векторів трансформації сфери кримінального процесуального права повинно стати запровадження інтегрованої та результативної системи забезпечення прав і свобод осіб, залучених до кримінального провадження, у ході проведення слідчих (розшукових) дій. Попри теоретично належне законодавче регулювання, практичне застосування норм в Україні залишається проблемним. Основні труднощі полягають у недотриманні порядку проведення обшуків, нехтуванні правами особи, формальному підході до фіксації слідчих дій. Для усунення цих проблем у роботі сформульовані пропозиції, які б допомогли це зробити. </w:t>
      </w:r>
      <w:r w:rsidRPr="00511005">
        <w:rPr>
          <w:rFonts w:ascii="Arial" w:eastAsia="Calibri" w:hAnsi="Arial" w:cs="Arial"/>
          <w:szCs w:val="28"/>
        </w:rPr>
        <w:t>[3]</w:t>
      </w:r>
    </w:p>
    <w:p w14:paraId="0B7E508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Тільки шляхом суворого дотримання теоретичних положень у практиці можна забезпечити справедливість і захист прав людини у кримінальному процесі.</w:t>
      </w:r>
    </w:p>
    <w:p w14:paraId="07E3B5FE" w14:textId="77777777" w:rsidR="00532C25" w:rsidRPr="00511005" w:rsidRDefault="00532C25" w:rsidP="00532C25">
      <w:pPr>
        <w:spacing w:line="264" w:lineRule="auto"/>
        <w:ind w:firstLine="720"/>
        <w:rPr>
          <w:rFonts w:ascii="Arial" w:eastAsia="Calibri" w:hAnsi="Arial" w:cs="Arial"/>
          <w:szCs w:val="28"/>
          <w:lang w:val="uk-UA"/>
        </w:rPr>
      </w:pPr>
    </w:p>
    <w:p w14:paraId="45C9832D"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EBA2E23" w14:textId="77777777" w:rsidR="00532C25" w:rsidRPr="00511005" w:rsidRDefault="00532C25" w:rsidP="003F6A5D">
      <w:pPr>
        <w:numPr>
          <w:ilvl w:val="0"/>
          <w:numId w:val="688"/>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 xml:space="preserve">Кримінальний процесуальний кодекс України : Закон України від 13 квітня 2012 року № 4651-VI. URL: </w:t>
      </w:r>
      <w:hyperlink r:id="rId2045" w:anchor="Text" w:history="1">
        <w:r w:rsidRPr="00511005">
          <w:rPr>
            <w:rFonts w:ascii="Arial" w:eastAsia="Calibri" w:hAnsi="Arial" w:cs="Arial"/>
            <w:szCs w:val="28"/>
            <w:lang w:val="uk-UA"/>
          </w:rPr>
          <w:t>https://zakon.rada.gov.ua/laws/show/4651-17#Text</w:t>
        </w:r>
      </w:hyperlink>
    </w:p>
    <w:p w14:paraId="2788D7EC" w14:textId="77777777" w:rsidR="00532C25" w:rsidRPr="00511005" w:rsidRDefault="00532C25" w:rsidP="003F6A5D">
      <w:pPr>
        <w:numPr>
          <w:ilvl w:val="0"/>
          <w:numId w:val="688"/>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Навч.-метод. посіб. для підготовки здобувачів вищої освіти ступеня «бакалавр» на ф-ті прокурат. Та</w:t>
      </w:r>
      <w:r w:rsidRPr="00511005">
        <w:rPr>
          <w:rFonts w:ascii="Arial" w:eastAsia="Calibri" w:hAnsi="Arial" w:cs="Arial"/>
          <w:szCs w:val="28"/>
        </w:rPr>
        <w:t xml:space="preserve"> </w:t>
      </w:r>
      <w:r w:rsidRPr="00511005">
        <w:rPr>
          <w:rFonts w:ascii="Arial" w:eastAsia="Calibri" w:hAnsi="Arial" w:cs="Arial"/>
          <w:szCs w:val="28"/>
          <w:lang w:val="uk-UA"/>
        </w:rPr>
        <w:t>слідства (кримінал. юстиції) НУ «Одес. юрид. академія», галузь</w:t>
      </w:r>
      <w:r w:rsidRPr="00511005">
        <w:rPr>
          <w:rFonts w:ascii="Arial" w:eastAsia="Calibri" w:hAnsi="Arial" w:cs="Arial"/>
          <w:szCs w:val="28"/>
        </w:rPr>
        <w:t xml:space="preserve"> </w:t>
      </w:r>
      <w:r w:rsidRPr="00511005">
        <w:rPr>
          <w:rFonts w:ascii="Arial" w:eastAsia="Calibri" w:hAnsi="Arial" w:cs="Arial"/>
          <w:szCs w:val="28"/>
          <w:lang w:val="uk-UA"/>
        </w:rPr>
        <w:t>знань 08 «Право», спец. 081 «Право» / Л. І. Аркуша, В. В. Тіщенко, Ю. О. Гресь [та ін.] ; Нац. ун-т «Одес. юрид. академія».</w:t>
      </w:r>
      <w:r w:rsidRPr="00511005">
        <w:rPr>
          <w:rFonts w:ascii="Arial" w:eastAsia="Calibri" w:hAnsi="Arial" w:cs="Arial"/>
          <w:szCs w:val="28"/>
        </w:rPr>
        <w:t xml:space="preserve"> </w:t>
      </w:r>
      <w:r w:rsidRPr="00511005">
        <w:rPr>
          <w:rFonts w:ascii="Arial" w:eastAsia="Calibri" w:hAnsi="Arial" w:cs="Arial"/>
          <w:szCs w:val="28"/>
          <w:lang w:val="uk-UA"/>
        </w:rPr>
        <w:t>5-те вид., випр. і доп. – Одеса : Фенікс, 2024. – 286 с</w:t>
      </w:r>
    </w:p>
    <w:p w14:paraId="47D03F18" w14:textId="77777777" w:rsidR="00532C25" w:rsidRPr="00511005" w:rsidRDefault="00532C25" w:rsidP="003F6A5D">
      <w:pPr>
        <w:numPr>
          <w:ilvl w:val="0"/>
          <w:numId w:val="688"/>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 xml:space="preserve">Давиденко С. В., Мавдрик Д. О. Проблеми вдосконалення правового регулювання процедури проведення обшуку слідчим, дізнавачем, прокурором. DSpace Repository :: Головна. URL: </w:t>
      </w:r>
      <w:hyperlink r:id="rId2046" w:history="1">
        <w:r w:rsidRPr="00511005">
          <w:rPr>
            <w:rFonts w:ascii="Arial" w:eastAsia="Calibri" w:hAnsi="Arial" w:cs="Arial"/>
            <w:szCs w:val="28"/>
            <w:lang w:val="uk-UA"/>
          </w:rPr>
          <w:t>https://dspace.onua.edu.ua/server/api/core/bitstreams/33c3b1a0-82f0-44bc-9837-e09701bd15a6/content</w:t>
        </w:r>
      </w:hyperlink>
    </w:p>
    <w:p w14:paraId="1B1144B4" w14:textId="77777777" w:rsidR="00532C25" w:rsidRPr="00511005" w:rsidRDefault="00532C25" w:rsidP="003F6A5D">
      <w:pPr>
        <w:numPr>
          <w:ilvl w:val="0"/>
          <w:numId w:val="688"/>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 xml:space="preserve">Огляд судової практики Касаційного кримінального суду у складі Верховного Суду щодо проведення огляду та обшуку (актуальна практика). Рішення, внесені до ЄДРСР, з 2020 року по травень 2024 року / Упоряд.: управління аналітичної та правової роботи Касаційного кримінального суду департаменту аналітичної та правової роботи; заст. голови Касаційного кримінального суду у складі Верховного Суду к. ю. н. Антонюк Н. О. Київ, 2024. – 50 с.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2047" w:history="1">
        <w:r w:rsidRPr="00511005">
          <w:rPr>
            <w:rFonts w:ascii="Arial" w:eastAsia="Calibri" w:hAnsi="Arial" w:cs="Arial"/>
            <w:szCs w:val="28"/>
            <w:lang w:val="uk-UA"/>
          </w:rPr>
          <w:t>Oglyad_KKS_oglyad_obshyk.pdf</w:t>
        </w:r>
      </w:hyperlink>
    </w:p>
    <w:p w14:paraId="00855DB9" w14:textId="77777777" w:rsidR="00532C25" w:rsidRPr="00511005" w:rsidRDefault="00532C25" w:rsidP="003F6A5D">
      <w:pPr>
        <w:numPr>
          <w:ilvl w:val="0"/>
          <w:numId w:val="688"/>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 xml:space="preserve">Постанова колегії суддів Першої судової палати ККС ВС від 14.03.2024 у справі № 288/1206/16- к (провадження № 51-5281км23) – </w:t>
      </w:r>
      <w:hyperlink r:id="rId2048" w:history="1">
        <w:r w:rsidRPr="00511005">
          <w:rPr>
            <w:rFonts w:ascii="Arial" w:eastAsia="Calibri" w:hAnsi="Arial" w:cs="Arial"/>
            <w:szCs w:val="28"/>
            <w:lang w:val="uk-UA"/>
          </w:rPr>
          <w:t>https://reyestr.court.gov.ua/Review/117788854</w:t>
        </w:r>
      </w:hyperlink>
    </w:p>
    <w:p w14:paraId="17693BC1" w14:textId="77777777" w:rsidR="00532C25" w:rsidRPr="00511005" w:rsidRDefault="00532C25" w:rsidP="00532C25">
      <w:pPr>
        <w:spacing w:line="264" w:lineRule="auto"/>
        <w:ind w:firstLine="720"/>
        <w:contextualSpacing/>
        <w:rPr>
          <w:rFonts w:ascii="Arial" w:eastAsia="Calibri" w:hAnsi="Arial" w:cs="Arial"/>
          <w:szCs w:val="28"/>
          <w:lang w:val="uk-UA"/>
        </w:rPr>
      </w:pPr>
    </w:p>
    <w:p w14:paraId="3B2621C6" w14:textId="77777777" w:rsidR="00532C25" w:rsidRPr="00511005" w:rsidRDefault="00532C25" w:rsidP="00532C25">
      <w:pPr>
        <w:spacing w:line="264" w:lineRule="auto"/>
        <w:ind w:firstLine="720"/>
        <w:rPr>
          <w:rFonts w:ascii="Arial" w:eastAsia="Times New Roman" w:hAnsi="Arial" w:cs="Arial"/>
          <w:bCs/>
          <w:iCs/>
          <w:szCs w:val="28"/>
          <w:lang w:val="uk-UA"/>
        </w:rPr>
      </w:pPr>
      <w:r w:rsidRPr="00511005">
        <w:rPr>
          <w:rFonts w:ascii="Arial" w:eastAsia="Times New Roman" w:hAnsi="Arial" w:cs="Arial"/>
          <w:b/>
          <w:i/>
          <w:iCs/>
          <w:szCs w:val="28"/>
          <w:lang w:val="uk-UA"/>
        </w:rPr>
        <w:t xml:space="preserve">Ключові слова: </w:t>
      </w:r>
      <w:r w:rsidRPr="00511005">
        <w:rPr>
          <w:rFonts w:ascii="Arial" w:eastAsia="Times New Roman" w:hAnsi="Arial" w:cs="Arial"/>
          <w:bCs/>
          <w:iCs/>
          <w:szCs w:val="28"/>
          <w:lang w:val="uk-UA"/>
        </w:rPr>
        <w:t>обшук, проведення обшуку, слідча (розшукова) дія, кримінальне правопорушення, законодавче регулювання, відомості, обставини.</w:t>
      </w:r>
    </w:p>
    <w:p w14:paraId="40EA72EC" w14:textId="77777777" w:rsidR="00532C25" w:rsidRPr="00511005" w:rsidRDefault="00532C25" w:rsidP="00532C25">
      <w:pPr>
        <w:spacing w:line="264" w:lineRule="auto"/>
        <w:ind w:firstLine="720"/>
        <w:rPr>
          <w:rFonts w:ascii="Arial" w:eastAsia="Calibri" w:hAnsi="Arial" w:cs="Arial"/>
          <w:bCs/>
          <w:iCs/>
          <w:szCs w:val="28"/>
          <w:lang w:val="uk-UA"/>
        </w:rPr>
      </w:pPr>
      <w:r w:rsidRPr="00511005">
        <w:rPr>
          <w:rFonts w:ascii="Arial" w:eastAsia="Times New Roman" w:hAnsi="Arial" w:cs="Arial"/>
          <w:b/>
          <w:i/>
          <w:iCs/>
          <w:szCs w:val="28"/>
          <w:lang w:val="uk-UA"/>
        </w:rPr>
        <w:t xml:space="preserve">Key words: </w:t>
      </w:r>
      <w:r w:rsidRPr="00511005">
        <w:rPr>
          <w:rFonts w:ascii="Arial" w:eastAsia="Times New Roman" w:hAnsi="Arial" w:cs="Arial"/>
          <w:bCs/>
          <w:iCs/>
          <w:szCs w:val="28"/>
          <w:lang w:val="uk-UA"/>
        </w:rPr>
        <w:t>search, search, investigative (search) action, criminal offense, legislative regulation, information, circumstances</w:t>
      </w:r>
    </w:p>
    <w:p w14:paraId="7D479C8D" w14:textId="77777777" w:rsidR="00532C25" w:rsidRPr="00511005" w:rsidRDefault="00532C25" w:rsidP="00532C25">
      <w:pPr>
        <w:spacing w:line="264" w:lineRule="auto"/>
        <w:ind w:firstLine="72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Pr="00511005">
        <w:rPr>
          <w:rFonts w:ascii="Arial" w:eastAsia="Calibri" w:hAnsi="Arial" w:cs="Arial"/>
          <w:i/>
          <w:szCs w:val="28"/>
          <w:lang w:val="uk-UA"/>
        </w:rPr>
        <w:t>к.ю.н., доцент Чумак С.П.</w:t>
      </w:r>
    </w:p>
    <w:p w14:paraId="3F4DBEBD" w14:textId="77777777" w:rsidR="00532C25" w:rsidRPr="00511005" w:rsidRDefault="00532C25" w:rsidP="00532C25">
      <w:pPr>
        <w:spacing w:line="264" w:lineRule="auto"/>
        <w:ind w:firstLine="720"/>
        <w:rPr>
          <w:rFonts w:ascii="Arial" w:eastAsia="Calibri" w:hAnsi="Arial" w:cs="Arial"/>
          <w:szCs w:val="28"/>
          <w:lang w:val="uk-UA"/>
        </w:rPr>
      </w:pPr>
    </w:p>
    <w:p w14:paraId="249B39B2" w14:textId="77777777" w:rsidR="00532C25" w:rsidRPr="00511005" w:rsidRDefault="00532C25" w:rsidP="00532C25">
      <w:pPr>
        <w:spacing w:line="264" w:lineRule="auto"/>
        <w:ind w:firstLine="720"/>
        <w:jc w:val="center"/>
        <w:rPr>
          <w:rFonts w:ascii="Arial" w:eastAsia="Calibri" w:hAnsi="Arial" w:cs="Arial"/>
          <w:i/>
          <w:iCs/>
          <w:szCs w:val="28"/>
        </w:rPr>
      </w:pPr>
    </w:p>
    <w:p w14:paraId="72011DC1" w14:textId="77777777" w:rsidR="00532C25" w:rsidRPr="00511005" w:rsidRDefault="00532C25" w:rsidP="00532C25">
      <w:pPr>
        <w:spacing w:line="264" w:lineRule="auto"/>
        <w:ind w:firstLine="0"/>
        <w:jc w:val="center"/>
        <w:rPr>
          <w:rFonts w:ascii="Arial" w:eastAsia="Times New Roman" w:hAnsi="Arial" w:cs="Arial"/>
          <w:b/>
          <w:szCs w:val="28"/>
          <w:lang w:val="en-US"/>
        </w:rPr>
      </w:pPr>
      <w:r w:rsidRPr="00511005">
        <w:rPr>
          <w:rFonts w:ascii="Arial" w:eastAsia="Times New Roman" w:hAnsi="Arial" w:cs="Arial"/>
          <w:b/>
          <w:szCs w:val="28"/>
          <w:lang w:val="en-US"/>
        </w:rPr>
        <w:t>Shmaliuk Alina Mykolaevna</w:t>
      </w:r>
    </w:p>
    <w:p w14:paraId="2FDF68E1" w14:textId="77777777" w:rsidR="00532C25" w:rsidRPr="00511005" w:rsidRDefault="00532C25" w:rsidP="00532C25">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en-US"/>
        </w:rPr>
        <w:t xml:space="preserve">3rd-year student of the Faculty of Prosecution and Investigation </w:t>
      </w:r>
      <w:r w:rsidRPr="00511005">
        <w:rPr>
          <w:rFonts w:ascii="Arial" w:eastAsia="Times New Roman" w:hAnsi="Arial" w:cs="Arial"/>
          <w:szCs w:val="28"/>
          <w:lang w:val="uk-UA"/>
        </w:rPr>
        <w:t>(</w:t>
      </w:r>
      <w:r w:rsidRPr="00511005">
        <w:rPr>
          <w:rFonts w:ascii="Arial" w:eastAsia="Times New Roman" w:hAnsi="Arial" w:cs="Arial"/>
          <w:szCs w:val="28"/>
          <w:lang w:val="en-US"/>
        </w:rPr>
        <w:t>Criminal Justice</w:t>
      </w:r>
      <w:r w:rsidRPr="00511005">
        <w:rPr>
          <w:rFonts w:ascii="Arial" w:eastAsia="Times New Roman" w:hAnsi="Arial" w:cs="Arial"/>
          <w:szCs w:val="28"/>
          <w:lang w:val="uk-UA"/>
        </w:rPr>
        <w:t>)</w:t>
      </w:r>
    </w:p>
    <w:p w14:paraId="28C74BA4" w14:textId="77777777" w:rsidR="00532C25" w:rsidRPr="00511005" w:rsidRDefault="00532C25" w:rsidP="00532C25">
      <w:pPr>
        <w:spacing w:line="264" w:lineRule="auto"/>
        <w:ind w:firstLine="0"/>
        <w:jc w:val="center"/>
        <w:rPr>
          <w:rFonts w:ascii="Arial" w:eastAsia="Times New Roman" w:hAnsi="Arial" w:cs="Arial"/>
          <w:szCs w:val="28"/>
          <w:lang w:val="en-US"/>
        </w:rPr>
      </w:pPr>
      <w:r w:rsidRPr="00511005">
        <w:rPr>
          <w:rFonts w:ascii="Arial" w:eastAsia="Times New Roman" w:hAnsi="Arial" w:cs="Arial"/>
          <w:szCs w:val="28"/>
          <w:lang w:val="en-US"/>
        </w:rPr>
        <w:t>National University «Odesa Law Academy»</w:t>
      </w:r>
    </w:p>
    <w:p w14:paraId="00ADAC7F" w14:textId="77777777" w:rsidR="00532C25" w:rsidRPr="00511005" w:rsidRDefault="00532C25" w:rsidP="00532C25">
      <w:pPr>
        <w:spacing w:line="264" w:lineRule="auto"/>
        <w:ind w:firstLine="720"/>
        <w:jc w:val="center"/>
        <w:rPr>
          <w:rFonts w:ascii="Arial" w:eastAsia="Times New Roman" w:hAnsi="Arial" w:cs="Arial"/>
          <w:szCs w:val="28"/>
          <w:lang w:val="en-US"/>
        </w:rPr>
      </w:pPr>
    </w:p>
    <w:p w14:paraId="21BF366A" w14:textId="77777777" w:rsidR="00532C25" w:rsidRPr="00511005" w:rsidRDefault="00532C25" w:rsidP="00532C25">
      <w:pPr>
        <w:spacing w:line="264" w:lineRule="auto"/>
        <w:ind w:firstLine="720"/>
        <w:jc w:val="center"/>
        <w:rPr>
          <w:rFonts w:ascii="Arial" w:eastAsia="Times New Roman" w:hAnsi="Arial" w:cs="Arial"/>
          <w:b/>
          <w:bCs/>
          <w:szCs w:val="28"/>
          <w:lang w:val="en-US"/>
        </w:rPr>
      </w:pPr>
      <w:r w:rsidRPr="00511005">
        <w:rPr>
          <w:rFonts w:ascii="Arial" w:eastAsia="Times New Roman" w:hAnsi="Arial" w:cs="Arial"/>
          <w:b/>
          <w:bCs/>
          <w:szCs w:val="28"/>
          <w:lang w:val="en-US"/>
        </w:rPr>
        <w:t>STAGES OF INVESTIGATING CRIMES IN THE FIELD OF CRYPTO FRAUD</w:t>
      </w:r>
    </w:p>
    <w:p w14:paraId="3F9755C7"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The investigation of crimes in the field of crypto fraud is one of the most complex areas of modern law enforcement. The rapid development of technology, the spread of cryptocurrencies, and the specific anonymity of digital transactions create new challenges for pre-trial investigation bodies. Therefore, each investigation of crypto crimes requires careful adherence to a certain logical sequence of stages.</w:t>
      </w:r>
    </w:p>
    <w:p w14:paraId="2BC28D65"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The first stage is the initial verification of information about a possible crime. Most often, law enforcement officers receive reports from victims, analytical conclusions, or operational data. At this stage, investigators assess the reliability of the information, determine the nature of the fraudulent actions, and establish the jurisdiction of the offense. As V.S. Sydorenko notes, “the quality of the initial verification directly influences the success of the entire further investigation,” which is especially relevant in the field of cybercrime.</w:t>
      </w:r>
    </w:p>
    <w:p w14:paraId="61B7329B"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lastRenderedPageBreak/>
        <w:t>Particular attention in the investigation methodology is paid to the digital trace of the crime. For this purpose, OSINT (open-source intelligence) tools and blockchain analysis programs such as Chainalysis, CipherTrace, Crystal Blockchain, and others are used. They allow investigators to track the movement of cryptocurrencies, establish links between transactions, and identify potentially related wallets. However, due to the anonymity of certain coins (such as Monero or Zcash), conducting technical analysis can be significantly complicated or even impossible.</w:t>
      </w:r>
    </w:p>
    <w:p w14:paraId="4C1D591F"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After establishing signs of a crime, the investigator enters the relevant information into the Unified Register of Pre-Trial Investigations, thereby officially initiating criminal proceedings. This provides the legal basis for carrying out full investigative (search) actions aimed at collecting evidence.</w:t>
      </w:r>
    </w:p>
    <w:p w14:paraId="1CF0DAEC"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 xml:space="preserve">The most important task at the next stage is to determine the mechanism of the crypto fraud. Investigators must carefully analyze the scheme of the crime: whether a fake exchange was used, a fraudulent investment project was created, or other methods of deception, such as phishing or social engineering, were applied. </w:t>
      </w:r>
    </w:p>
    <w:p w14:paraId="5F0B4F59"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 xml:space="preserve">At the international level, various analytical and intelligence programs are used to investigate crimes in the field of cryptocurrencies. These tools help track the movement of digital assets, detect suspicious transactions, and identify individuals involved in criminal activities. </w:t>
      </w:r>
    </w:p>
    <w:p w14:paraId="4FEFEB56"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«Effective investigation of crypto fraud requires the use of analytical platforms such as Chainalysis, TRM Labs, Elliptic, and other tools that enable the visualization of connections within the blockchain.” [2]</w:t>
      </w:r>
    </w:p>
    <w:p w14:paraId="4224328F"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Among the most popular programs, the following can be highlighted:</w:t>
      </w:r>
    </w:p>
    <w:p w14:paraId="01B47C82"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 xml:space="preserve">Crystal Blockchain — an analytics platform developed by Bitfury Group that provides deep transaction analysis, helps detect illegal operations, and tracks connections between suspicious wallets. Crystal is widely used by both governmental agencies and private companies. </w:t>
      </w:r>
    </w:p>
    <w:p w14:paraId="04193191"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TRM Labs — a service for monitoring blockchain operations, detecting fraud, and performing financial analytics. TRM Labs integrates data from multiple blockchains and open-source intelligence sources for more effective investigations.</w:t>
      </w:r>
    </w:p>
    <w:p w14:paraId="558F2CD7"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Elliptic — a British company specializing in blockchain analytics. Elliptic offers solutions for identifying illegal activities related to cryptocurrencies, including money laundering, terrorist financing, and the trade of prohibited goods.</w:t>
      </w:r>
    </w:p>
    <w:p w14:paraId="70B82888"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Maltego — a program designed for deep data gathering and link analysis. Although Maltego is not solely a blockchain tool, it is often used for comprehensive analysis of crypto crimes in combination with other specialized services.</w:t>
      </w:r>
    </w:p>
    <w:p w14:paraId="63F7E4A9"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 xml:space="preserve">Blockchain Intelligence Group (BIG) — a Canadian company that develops solutions for investigating and monitoring crypto transactions, notably its QLUE </w:t>
      </w:r>
      <w:r w:rsidRPr="00511005">
        <w:rPr>
          <w:rFonts w:ascii="Arial" w:eastAsia="Times New Roman" w:hAnsi="Arial" w:cs="Arial"/>
          <w:szCs w:val="28"/>
          <w:lang w:val="en-US"/>
        </w:rPr>
        <w:lastRenderedPageBreak/>
        <w:t xml:space="preserve">product, which allows visualization and analysis of complex schemes of crypto asset movement. </w:t>
      </w:r>
    </w:p>
    <w:p w14:paraId="380C1FF4"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Thanks to these tools, law enforcement agencies are able to track even complex multi-layered manipulations involving mixers (services for coin mixing) and privacy coins, thus minimizing the risk of losing digital traces.</w:t>
      </w:r>
    </w:p>
    <w:p w14:paraId="4432B772"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 xml:space="preserve">Given that crimes involving cryptocurrencies often have an international character, cooperation with other states and international organizations becomes necessary. It is not without reason that researchers at the Research Institute of Informatics and Law of the National Academy of Sciences of Ukraine stated: «Disclosure of digital fraud is impossible without a deep understanding of blockchain </w:t>
      </w:r>
      <w:proofErr w:type="gramStart"/>
      <w:r w:rsidRPr="00511005">
        <w:rPr>
          <w:rFonts w:ascii="Arial" w:eastAsia="Times New Roman" w:hAnsi="Arial" w:cs="Arial"/>
          <w:szCs w:val="28"/>
          <w:lang w:val="en-US"/>
        </w:rPr>
        <w:t>technologies.»</w:t>
      </w:r>
      <w:proofErr w:type="gramEnd"/>
      <w:r w:rsidRPr="00511005">
        <w:rPr>
          <w:rFonts w:ascii="Arial" w:eastAsia="Times New Roman" w:hAnsi="Arial" w:cs="Arial"/>
          <w:szCs w:val="28"/>
          <w:lang w:val="en-US"/>
        </w:rPr>
        <w:t xml:space="preserve"> [1]</w:t>
      </w:r>
    </w:p>
    <w:p w14:paraId="68B46827"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The next challenge for the investigation is to identify specific individuals involved in the offense. Due to the high anonymity of blockchain operations, this task is extremely complicated. Investigators use special analytical tools to trace cryptocurrency movements, request information from exchange platforms that may provide user data, and cooperate with international law enforcement bodies such as INTERPOL and Europol.</w:t>
      </w:r>
    </w:p>
    <w:p w14:paraId="6C0C94E7"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Simultaneously with the identification of suspects, searches are conducted at their places of residence or work in order to seize electronic data carriers, bank cards, mobile phones, and other evidence that may indicate criminal activity. Particular attention is paid to obtaining access to cryptocurrency wallets, which can sometimes be decisive evidence in the case.</w:t>
      </w:r>
    </w:p>
    <w:p w14:paraId="39B961F9" w14:textId="77777777"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Subsequently, the necessary expert examinations are appointed. Computer-technical expertise allows establishing the fact of storage, transmission, or processing of cryptocurrency-related information on the suspects’ digital devices. Economic expertise determines the amount of material damage caused to the victims.</w:t>
      </w:r>
    </w:p>
    <w:p w14:paraId="17F05145" w14:textId="3B29DCEC" w:rsidR="00532C2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szCs w:val="28"/>
          <w:lang w:val="en-US"/>
        </w:rPr>
        <w:t>The final stage of the investigation is notifying the individual of suspicion of committing a crime and preparing an indictment for submission to the court. At this stage, investigators must ensure a sufficient evidentiary base confirming the suspect’s guilt, as it will be necessary in court to clearly prove both the fact of fraud and the causal link between the defendant’s actions and the harm caused to the victims.</w:t>
      </w:r>
    </w:p>
    <w:p w14:paraId="500D1556" w14:textId="77777777" w:rsidR="00532C25" w:rsidRPr="00511005" w:rsidRDefault="00532C25" w:rsidP="00532C25">
      <w:pPr>
        <w:spacing w:line="264" w:lineRule="auto"/>
        <w:ind w:firstLine="720"/>
        <w:rPr>
          <w:rFonts w:ascii="Arial" w:eastAsia="Times New Roman" w:hAnsi="Arial" w:cs="Arial"/>
          <w:szCs w:val="28"/>
          <w:lang w:val="en-US"/>
        </w:rPr>
      </w:pPr>
    </w:p>
    <w:p w14:paraId="796A864D" w14:textId="2B9CD87C" w:rsidR="00532C25" w:rsidRPr="00532C25" w:rsidRDefault="00532C25" w:rsidP="00532C25">
      <w:pPr>
        <w:spacing w:line="264" w:lineRule="auto"/>
        <w:ind w:firstLine="720"/>
        <w:jc w:val="center"/>
        <w:rPr>
          <w:rFonts w:ascii="Arial" w:eastAsia="Times New Roman" w:hAnsi="Arial" w:cs="Arial"/>
          <w:b/>
          <w:bCs/>
          <w:szCs w:val="28"/>
        </w:rPr>
      </w:pPr>
      <w:r w:rsidRPr="00532C25">
        <w:rPr>
          <w:rFonts w:ascii="Arial" w:eastAsia="Times New Roman" w:hAnsi="Arial" w:cs="Arial"/>
          <w:b/>
          <w:bCs/>
          <w:szCs w:val="28"/>
          <w:lang w:val="en-US"/>
        </w:rPr>
        <w:t>References</w:t>
      </w:r>
    </w:p>
    <w:p w14:paraId="06AF27B2" w14:textId="77777777" w:rsidR="00532C25" w:rsidRPr="00511005" w:rsidRDefault="00532C25" w:rsidP="003F6A5D">
      <w:pPr>
        <w:numPr>
          <w:ilvl w:val="0"/>
          <w:numId w:val="682"/>
        </w:numPr>
        <w:spacing w:line="264" w:lineRule="auto"/>
        <w:ind w:left="0" w:firstLine="720"/>
        <w:jc w:val="left"/>
        <w:rPr>
          <w:rFonts w:ascii="Arial" w:eastAsia="Times New Roman" w:hAnsi="Arial" w:cs="Arial"/>
          <w:szCs w:val="28"/>
        </w:rPr>
      </w:pPr>
      <w:r w:rsidRPr="00511005">
        <w:rPr>
          <w:rFonts w:ascii="Arial" w:eastAsia="Times New Roman" w:hAnsi="Arial" w:cs="Arial"/>
          <w:szCs w:val="28"/>
        </w:rPr>
        <w:t>Науково-дослідний інститут інформатики і права НАПрН України. Криптовалюти та право: виклики та перспективи правового регулювання. Київ, 2020.</w:t>
      </w:r>
    </w:p>
    <w:p w14:paraId="0892848D" w14:textId="77777777" w:rsidR="00532C25" w:rsidRPr="00511005" w:rsidRDefault="00532C25" w:rsidP="003F6A5D">
      <w:pPr>
        <w:numPr>
          <w:ilvl w:val="0"/>
          <w:numId w:val="682"/>
        </w:numPr>
        <w:spacing w:line="264" w:lineRule="auto"/>
        <w:ind w:left="0" w:firstLine="720"/>
        <w:jc w:val="left"/>
        <w:rPr>
          <w:rFonts w:ascii="Arial" w:eastAsia="Times New Roman" w:hAnsi="Arial" w:cs="Arial"/>
          <w:szCs w:val="28"/>
        </w:rPr>
      </w:pPr>
      <w:r w:rsidRPr="00511005">
        <w:rPr>
          <w:rFonts w:ascii="Arial" w:eastAsia="Times New Roman" w:hAnsi="Arial" w:cs="Arial"/>
          <w:szCs w:val="28"/>
          <w:lang w:val="en-US"/>
        </w:rPr>
        <w:t xml:space="preserve">Europol. Cryptocurrency: Tracing the Evolution of Criminal Finances. </w:t>
      </w:r>
      <w:r w:rsidRPr="00511005">
        <w:rPr>
          <w:rFonts w:ascii="Arial" w:eastAsia="Times New Roman" w:hAnsi="Arial" w:cs="Arial"/>
          <w:szCs w:val="28"/>
        </w:rPr>
        <w:t>2021. (Офіційний звіт Європолу)</w:t>
      </w:r>
    </w:p>
    <w:p w14:paraId="77F3C121" w14:textId="77777777" w:rsidR="00532C25" w:rsidRPr="00511005" w:rsidRDefault="00532C25" w:rsidP="003F6A5D">
      <w:pPr>
        <w:numPr>
          <w:ilvl w:val="0"/>
          <w:numId w:val="682"/>
        </w:numPr>
        <w:spacing w:line="264" w:lineRule="auto"/>
        <w:ind w:left="0" w:firstLine="720"/>
        <w:jc w:val="left"/>
        <w:rPr>
          <w:rFonts w:ascii="Arial" w:eastAsia="Times New Roman" w:hAnsi="Arial" w:cs="Arial"/>
          <w:szCs w:val="28"/>
        </w:rPr>
      </w:pPr>
      <w:r w:rsidRPr="00511005">
        <w:rPr>
          <w:rFonts w:ascii="Arial" w:eastAsia="Times New Roman" w:hAnsi="Arial" w:cs="Arial"/>
          <w:szCs w:val="28"/>
          <w:lang w:val="en-US"/>
        </w:rPr>
        <w:t xml:space="preserve">Interpol. Cybercrime and Cryptocurrency Investigations Handbook. </w:t>
      </w:r>
      <w:r w:rsidRPr="00511005">
        <w:rPr>
          <w:rFonts w:ascii="Arial" w:eastAsia="Times New Roman" w:hAnsi="Arial" w:cs="Arial"/>
          <w:szCs w:val="28"/>
        </w:rPr>
        <w:t>2022.</w:t>
      </w:r>
    </w:p>
    <w:p w14:paraId="5D44F9C2" w14:textId="77777777" w:rsidR="00532C25" w:rsidRPr="00511005" w:rsidRDefault="00532C25" w:rsidP="00532C25">
      <w:pPr>
        <w:spacing w:line="264" w:lineRule="auto"/>
        <w:ind w:firstLine="720"/>
        <w:rPr>
          <w:rFonts w:ascii="Arial" w:eastAsia="Times New Roman" w:hAnsi="Arial" w:cs="Arial"/>
          <w:b/>
          <w:bCs/>
          <w:szCs w:val="28"/>
        </w:rPr>
      </w:pPr>
    </w:p>
    <w:p w14:paraId="3A2E8189" w14:textId="77777777" w:rsidR="00532C25" w:rsidRPr="00511005" w:rsidRDefault="00532C25" w:rsidP="00532C25">
      <w:pPr>
        <w:spacing w:line="264" w:lineRule="auto"/>
        <w:ind w:firstLine="720"/>
        <w:rPr>
          <w:rFonts w:ascii="Arial" w:eastAsia="Times New Roman" w:hAnsi="Arial" w:cs="Arial"/>
          <w:szCs w:val="28"/>
        </w:rPr>
      </w:pPr>
      <w:r w:rsidRPr="00511005">
        <w:rPr>
          <w:rFonts w:ascii="Arial" w:eastAsia="Times New Roman" w:hAnsi="Arial" w:cs="Arial"/>
          <w:b/>
          <w:bCs/>
          <w:i/>
          <w:szCs w:val="28"/>
        </w:rPr>
        <w:t xml:space="preserve">Ключові слова: </w:t>
      </w:r>
      <w:r w:rsidRPr="00511005">
        <w:rPr>
          <w:rFonts w:ascii="Arial" w:eastAsia="Times New Roman" w:hAnsi="Arial" w:cs="Arial"/>
          <w:szCs w:val="28"/>
        </w:rPr>
        <w:t>крипта, шахрайство, підозра, слідство, криптовалюта, фінанси, докази.</w:t>
      </w:r>
    </w:p>
    <w:p w14:paraId="252C3A7D" w14:textId="7215D920" w:rsidR="00532C25" w:rsidRPr="00511005" w:rsidRDefault="00532C25" w:rsidP="00532C25">
      <w:pPr>
        <w:spacing w:line="264" w:lineRule="auto"/>
        <w:ind w:firstLine="720"/>
        <w:rPr>
          <w:rFonts w:ascii="Arial" w:eastAsia="Times New Roman" w:hAnsi="Arial" w:cs="Arial"/>
          <w:szCs w:val="28"/>
          <w:lang w:val="en-US"/>
        </w:rPr>
      </w:pPr>
      <w:r w:rsidRPr="00511005">
        <w:rPr>
          <w:rFonts w:ascii="Arial" w:eastAsia="Times New Roman" w:hAnsi="Arial" w:cs="Arial"/>
          <w:b/>
          <w:bCs/>
          <w:i/>
          <w:szCs w:val="28"/>
          <w:lang w:val="en-US"/>
        </w:rPr>
        <w:t xml:space="preserve">Key words: </w:t>
      </w:r>
      <w:bookmarkStart w:id="252" w:name="_Hlk208295348"/>
      <w:r w:rsidRPr="00511005">
        <w:rPr>
          <w:rFonts w:ascii="Arial" w:eastAsia="Times New Roman" w:hAnsi="Arial" w:cs="Arial"/>
          <w:szCs w:val="28"/>
          <w:lang w:val="en-US"/>
        </w:rPr>
        <w:t xml:space="preserve">crypto, fraud, suspect, </w:t>
      </w:r>
      <w:proofErr w:type="gramStart"/>
      <w:r w:rsidRPr="00511005">
        <w:rPr>
          <w:rFonts w:ascii="Arial" w:eastAsia="Times New Roman" w:hAnsi="Arial" w:cs="Arial"/>
          <w:szCs w:val="28"/>
          <w:lang w:val="en-US"/>
        </w:rPr>
        <w:t>investigation,cryptocurrencies</w:t>
      </w:r>
      <w:proofErr w:type="gramEnd"/>
      <w:r w:rsidRPr="00511005">
        <w:rPr>
          <w:rFonts w:ascii="Arial" w:eastAsia="Times New Roman" w:hAnsi="Arial" w:cs="Arial"/>
          <w:szCs w:val="28"/>
          <w:lang w:val="en-US"/>
        </w:rPr>
        <w:t>, finances, evidences.</w:t>
      </w:r>
    </w:p>
    <w:p w14:paraId="2CCC9F75" w14:textId="77777777" w:rsidR="00532C25" w:rsidRPr="00511005" w:rsidRDefault="00532C25" w:rsidP="00532C25">
      <w:pPr>
        <w:spacing w:line="264" w:lineRule="auto"/>
        <w:ind w:firstLine="720"/>
        <w:rPr>
          <w:rFonts w:ascii="Arial" w:eastAsia="Times New Roman" w:hAnsi="Arial" w:cs="Arial"/>
          <w:i/>
          <w:szCs w:val="28"/>
        </w:rPr>
      </w:pPr>
      <w:r w:rsidRPr="00511005">
        <w:rPr>
          <w:rFonts w:ascii="Arial" w:eastAsia="Times New Roman" w:hAnsi="Arial" w:cs="Arial"/>
          <w:b/>
          <w:i/>
          <w:szCs w:val="28"/>
        </w:rPr>
        <w:t xml:space="preserve">Науковий керівник: </w:t>
      </w:r>
      <w:r w:rsidRPr="00511005">
        <w:rPr>
          <w:rFonts w:ascii="Arial" w:eastAsia="Times New Roman" w:hAnsi="Arial" w:cs="Arial"/>
          <w:i/>
          <w:szCs w:val="28"/>
        </w:rPr>
        <w:t>к.ю.</w:t>
      </w:r>
      <w:proofErr w:type="gramStart"/>
      <w:r w:rsidRPr="00511005">
        <w:rPr>
          <w:rFonts w:ascii="Arial" w:eastAsia="Times New Roman" w:hAnsi="Arial" w:cs="Arial"/>
          <w:i/>
          <w:szCs w:val="28"/>
        </w:rPr>
        <w:t>н.доцент</w:t>
      </w:r>
      <w:proofErr w:type="gramEnd"/>
      <w:r w:rsidRPr="00511005">
        <w:rPr>
          <w:rFonts w:ascii="Arial" w:eastAsia="Times New Roman" w:hAnsi="Arial" w:cs="Arial"/>
          <w:i/>
          <w:szCs w:val="28"/>
        </w:rPr>
        <w:t xml:space="preserve"> Чіпко Н.В.</w:t>
      </w:r>
    </w:p>
    <w:p w14:paraId="410E215F" w14:textId="77777777" w:rsidR="00532C25" w:rsidRPr="00511005" w:rsidRDefault="00532C25" w:rsidP="00532C25">
      <w:pPr>
        <w:spacing w:line="264" w:lineRule="auto"/>
        <w:ind w:firstLine="720"/>
        <w:jc w:val="center"/>
        <w:rPr>
          <w:rFonts w:ascii="Arial" w:eastAsia="Calibri" w:hAnsi="Arial" w:cs="Arial"/>
          <w:szCs w:val="28"/>
        </w:rPr>
      </w:pPr>
    </w:p>
    <w:p w14:paraId="5623197E" w14:textId="77777777" w:rsidR="00532C25" w:rsidRPr="00511005" w:rsidRDefault="00532C25" w:rsidP="00532C25">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1B95EAC4" w14:textId="77777777" w:rsidR="00532C25" w:rsidRPr="00511005" w:rsidRDefault="00532C25" w:rsidP="00532C25">
      <w:pPr>
        <w:keepNext/>
        <w:suppressAutoHyphens/>
        <w:spacing w:line="264" w:lineRule="auto"/>
        <w:ind w:firstLine="0"/>
        <w:jc w:val="left"/>
        <w:rPr>
          <w:rFonts w:ascii="Arial" w:hAnsi="Arial" w:cs="Arial"/>
          <w:szCs w:val="28"/>
        </w:rPr>
      </w:pPr>
    </w:p>
    <w:p w14:paraId="6DBE1740" w14:textId="7BB06AF7" w:rsidR="00532C25" w:rsidRPr="00511005" w:rsidRDefault="00532C25" w:rsidP="00532C25">
      <w:pPr>
        <w:pStyle w:val="21"/>
      </w:pPr>
      <w:bookmarkStart w:id="253" w:name="_Toc208299006"/>
      <w:r w:rsidRPr="00511005">
        <w:t xml:space="preserve">Підсекція </w:t>
      </w:r>
      <w:r>
        <w:t>15</w:t>
      </w:r>
      <w:r w:rsidRPr="00511005">
        <w:t>.</w:t>
      </w:r>
      <w:r>
        <w:t>2</w:t>
      </w:r>
      <w:r w:rsidRPr="00511005">
        <w:t xml:space="preserve">. </w:t>
      </w:r>
      <w:r w:rsidRPr="00532C25">
        <w:t xml:space="preserve">Проблеми кримінології </w:t>
      </w:r>
      <w:r>
        <w:br/>
      </w:r>
      <w:bookmarkEnd w:id="252"/>
      <w:r w:rsidRPr="00532C25">
        <w:t>та кримінально-виконавчого права</w:t>
      </w:r>
      <w:bookmarkEnd w:id="253"/>
      <w:r w:rsidRPr="00532C25">
        <w:t xml:space="preserve"> </w:t>
      </w:r>
    </w:p>
    <w:p w14:paraId="308EE02C" w14:textId="77777777" w:rsidR="00532C25" w:rsidRPr="00511005" w:rsidRDefault="00532C25" w:rsidP="00532C25">
      <w:pPr>
        <w:spacing w:line="264" w:lineRule="auto"/>
        <w:jc w:val="center"/>
        <w:rPr>
          <w:rFonts w:ascii="Arial" w:eastAsia="Times New Roman" w:hAnsi="Arial" w:cs="Arial"/>
          <w:szCs w:val="28"/>
          <w:lang w:eastAsia="ru-RU"/>
        </w:rPr>
      </w:pPr>
    </w:p>
    <w:p w14:paraId="220B3C91" w14:textId="77777777" w:rsidR="00C1357F" w:rsidRPr="00511005" w:rsidRDefault="00C1357F"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Бойко Кароліна Романівна</w:t>
      </w:r>
    </w:p>
    <w:p w14:paraId="34202DEB" w14:textId="201B5ECC"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518E5887"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CE709CF"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8343CE4" w14:textId="77777777" w:rsidR="00C1357F" w:rsidRPr="00511005" w:rsidRDefault="00C1357F" w:rsidP="003A292D">
      <w:pPr>
        <w:spacing w:line="264" w:lineRule="auto"/>
        <w:ind w:firstLine="0"/>
        <w:jc w:val="center"/>
        <w:rPr>
          <w:rFonts w:ascii="Arial" w:eastAsia="Arial" w:hAnsi="Arial" w:cs="Arial"/>
          <w:b/>
          <w:szCs w:val="28"/>
          <w:lang w:val="uk-UA" w:eastAsia="ru-RU"/>
        </w:rPr>
      </w:pPr>
    </w:p>
    <w:p w14:paraId="4710B611" w14:textId="77777777" w:rsidR="00C1357F" w:rsidRPr="00511005" w:rsidRDefault="00C1357F" w:rsidP="003A292D">
      <w:pPr>
        <w:spacing w:line="264" w:lineRule="auto"/>
        <w:ind w:firstLine="0"/>
        <w:jc w:val="center"/>
        <w:rPr>
          <w:rFonts w:ascii="Arial" w:eastAsia="Times New Roman" w:hAnsi="Arial" w:cs="Arial"/>
          <w:b/>
          <w:bCs/>
          <w:iCs/>
          <w:szCs w:val="28"/>
          <w:lang w:val="uk-UA"/>
        </w:rPr>
      </w:pPr>
      <w:r w:rsidRPr="00511005">
        <w:rPr>
          <w:rFonts w:ascii="Arial" w:eastAsia="Times New Roman" w:hAnsi="Arial" w:cs="Arial"/>
          <w:b/>
          <w:bCs/>
          <w:iCs/>
          <w:szCs w:val="28"/>
          <w:lang w:val="uk-UA"/>
        </w:rPr>
        <w:t>МЕДИЧНЕ ЗАБЕЗПЕЧЕННЯ ЗАСУДЖЕНИХ: ПРАВОВІ ГАРАНТІЇ ТА ПРАКТИЧНА РЕАЛІЗАЦІЯ</w:t>
      </w:r>
    </w:p>
    <w:p w14:paraId="67258FB4"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Забезпечення належного медичного обслуговування осіб, які перебувають у місцях позбавлення волі, є фундаментальним аспектом дотримання прав людини та одним із ключових елементів гуманного поводження із засудженими. Міжнародні стандарти та національне законодавство встановлюють чіткі гарантії щодо охорони здоров'я засуджених, проте практична реалізація цих норм часто стикається з системними проблемами та викликами [4].</w:t>
      </w:r>
    </w:p>
    <w:p w14:paraId="2706CAF4"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Право на охорону здоров'я засуджених визначено у численних міжнародних документах, зокрема у Загальній декларації прав людини, Міжнародному пакті про економічні, соціальні і культурні права, Європейській конвенції про захист прав людини і основоположних свобод, Європейських пенітенціарних правилах та Мінімальних стандартних правилах поводження з в'язнями (Правилах Нельсона Мандели). Ці документи встановлюють принцип, згідно з яким особи, позбавлені волі, повинні мати доступ до медичних послуг, що існують у країні, без дискримінації на підставі їх правового статусу [5].</w:t>
      </w:r>
    </w:p>
    <w:p w14:paraId="4AA4AEF5"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Національне законодавство багатьох країн, включаючи Кримінально-виконавчий кодекс та спеціальні нормативно-правові акти, деталізує механізми реалізації медичного забезпечення засуджених та визначає структуру медичних служб у пенітенціарних установах [5]. Практична реалізація медичного забезпечення засуджених стикається з низкою проблем, серед яких недостатнє фінансування, застаріла матеріально-технічна база, брак кваліфікованого медичного персоналу, обмежений доступ до спеціалізованої медичної допомоги та недостатня ефективність превентивних заходів щодо поширення інфекційних захворювань. У багатьох країнах рівень захворюваності у в'язницях значно перевищує показники серед загального населення, особливо щодо туберкульозу, ВІЛ/СНІДу, гепатитів та психічних розладів [1].</w:t>
      </w:r>
    </w:p>
    <w:p w14:paraId="2AD8CF50"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Реформування системи медичного забезпечення засуджених є актуальним питанням для більшості країн. Прогресивні моделі передбачають передачу функцій медичного обслуговування від пенітенціарної служби до цивільної системи охорони здоров'я, що сприяє підвищенню якості медичних послуг </w:t>
      </w:r>
      <w:r w:rsidRPr="00511005">
        <w:rPr>
          <w:rFonts w:ascii="Arial" w:eastAsia="Times New Roman" w:hAnsi="Arial" w:cs="Arial"/>
          <w:szCs w:val="28"/>
          <w:lang w:val="uk-UA"/>
        </w:rPr>
        <w:lastRenderedPageBreak/>
        <w:t>та забезпеченню незалежності медичного персоналу. Важливим аспектом є також впровадження електронних систем обліку медичних даних засуджених, що забезпечує безперервність лікування та моніторинг стану здоров'я [3].</w:t>
      </w:r>
    </w:p>
    <w:p w14:paraId="5A95EF87"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Судова практика, зокрема рішення Європейського суду з прав людини, формує важливі прецеденти щодо відповідальності держави за неналежне медичне забезпечення засуджених. Численні рішення ЄСПЛ визнають ненадання адекватної медичної допомоги порушенням статті 3 Європейської конвенції (заборона катувань та нелюдського чи такого, що принижує гідність, поводження). Особливої уваги потребують вразливі категорії засуджених — особи з інвалідністю, літні люди, вагітні жінки, особи з психічними розладами та хронічними захворюваннями.</w:t>
      </w:r>
    </w:p>
    <w:p w14:paraId="4512E21D"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Міжнародні стандарти підкреслюють необхідність забезпечення таким особам додаткової підтримки та спеціалізованої медичної допомоги. Ефективний контроль за дотриманням прав засуджених на медичну допомогу здійснюється через національні превентивні механізми, громадський моніторинг та міжнародні інспекції. Активну роль у цьому процесі відіграють неурядові організації, які виявляють порушення та сприяють впровадженню кращих практик [3]. Для покращення ситуації необхідно забезпечити адекватне фінансування медичних служб в пенітенціарних установах, підвищити кваліфікацію медичного персоналу, посилити превентивні заходи щодо поширення захворювань, гарантувати доступ до сучасних методів діагностики та лікування, а також впроваджувати альтернативні форми відбування покарання для осіб з тяжкими захворюваннями [2].</w:t>
      </w:r>
    </w:p>
    <w:p w14:paraId="007944BC"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Таким чином, медичне забезпечення засуджених є комплексною проблемою, що потребує системного підходу та співпраці різних державних інституцій, міжнародних організацій та громадянського суспільства.</w:t>
      </w:r>
    </w:p>
    <w:p w14:paraId="474E9DBD" w14:textId="77777777" w:rsidR="00C1357F" w:rsidRPr="00511005" w:rsidRDefault="00C1357F" w:rsidP="003A292D">
      <w:pPr>
        <w:spacing w:line="264" w:lineRule="auto"/>
        <w:ind w:firstLine="0"/>
        <w:rPr>
          <w:rFonts w:ascii="Arial" w:eastAsia="Times New Roman" w:hAnsi="Arial" w:cs="Arial"/>
          <w:b/>
          <w:bCs/>
          <w:szCs w:val="28"/>
          <w:lang w:val="uk-UA"/>
        </w:rPr>
      </w:pPr>
    </w:p>
    <w:p w14:paraId="2E063367" w14:textId="33EBBAB3" w:rsidR="00C1357F" w:rsidRPr="00511005" w:rsidRDefault="007B2628" w:rsidP="007B2628">
      <w:pPr>
        <w:spacing w:line="264" w:lineRule="auto"/>
        <w:ind w:firstLine="0"/>
        <w:jc w:val="center"/>
        <w:rPr>
          <w:rFonts w:ascii="Arial" w:eastAsia="Times New Roman" w:hAnsi="Arial" w:cs="Arial"/>
          <w:szCs w:val="28"/>
          <w:lang w:val="uk-UA"/>
        </w:rPr>
      </w:pPr>
      <w:r w:rsidRPr="00511005">
        <w:rPr>
          <w:rFonts w:ascii="Arial" w:eastAsia="Times New Roman" w:hAnsi="Arial" w:cs="Arial"/>
          <w:b/>
          <w:bCs/>
          <w:szCs w:val="28"/>
          <w:lang w:val="uk-UA"/>
        </w:rPr>
        <w:t>Список використаних джерел</w:t>
      </w:r>
    </w:p>
    <w:p w14:paraId="3EEED042" w14:textId="77777777" w:rsidR="00C1357F" w:rsidRPr="00511005" w:rsidRDefault="00C1357F" w:rsidP="003F6A5D">
      <w:pPr>
        <w:numPr>
          <w:ilvl w:val="0"/>
          <w:numId w:val="579"/>
        </w:numPr>
        <w:spacing w:line="264" w:lineRule="auto"/>
        <w:contextualSpacing/>
        <w:jc w:val="left"/>
        <w:rPr>
          <w:rFonts w:ascii="Arial" w:eastAsia="Times New Roman" w:hAnsi="Arial" w:cs="Arial"/>
          <w:szCs w:val="28"/>
          <w:lang w:val="uk-UA"/>
        </w:rPr>
      </w:pPr>
      <w:r w:rsidRPr="00511005">
        <w:rPr>
          <w:rFonts w:ascii="Arial" w:eastAsia="Calibri" w:hAnsi="Arial" w:cs="Arial"/>
          <w:szCs w:val="28"/>
          <w:lang w:val="uk-UA"/>
        </w:rPr>
        <w:t xml:space="preserve">European Convention on Human Rights. Rome, 04.11.1950. URL: </w:t>
      </w:r>
      <w:hyperlink r:id="rId2049" w:tgtFrame="_new" w:history="1">
        <w:r w:rsidRPr="00511005">
          <w:rPr>
            <w:rFonts w:ascii="Arial" w:eastAsia="Calibri" w:hAnsi="Arial" w:cs="Arial"/>
            <w:szCs w:val="28"/>
            <w:lang w:val="uk-UA"/>
          </w:rPr>
          <w:t>https://www.echr.coe.int/documents/d/echr/convention_ENG</w:t>
        </w:r>
      </w:hyperlink>
      <w:r w:rsidRPr="00511005">
        <w:rPr>
          <w:rFonts w:ascii="Arial" w:eastAsia="Calibri" w:hAnsi="Arial" w:cs="Arial"/>
          <w:szCs w:val="28"/>
          <w:lang w:val="uk-UA"/>
        </w:rPr>
        <w:t>​.</w:t>
      </w:r>
    </w:p>
    <w:p w14:paraId="6AB845A5" w14:textId="77777777" w:rsidR="00C1357F" w:rsidRPr="00511005" w:rsidRDefault="00C1357F" w:rsidP="003F6A5D">
      <w:pPr>
        <w:numPr>
          <w:ilvl w:val="0"/>
          <w:numId w:val="579"/>
        </w:numPr>
        <w:spacing w:line="264" w:lineRule="auto"/>
        <w:contextualSpacing/>
        <w:jc w:val="left"/>
        <w:rPr>
          <w:rFonts w:ascii="Arial" w:eastAsia="Times New Roman" w:hAnsi="Arial" w:cs="Arial"/>
          <w:szCs w:val="28"/>
          <w:lang w:val="uk-UA"/>
        </w:rPr>
      </w:pPr>
      <w:r w:rsidRPr="00511005">
        <w:rPr>
          <w:rFonts w:ascii="Arial" w:eastAsia="Calibri" w:hAnsi="Arial" w:cs="Arial"/>
          <w:szCs w:val="28"/>
          <w:lang w:val="uk-UA"/>
        </w:rPr>
        <w:t xml:space="preserve">United Nations Standard Minimum Rules for the Treatment of Prisoners (the Nelson Mandela Rules). Resolution adopted by the General Assembly on 17 December 2015. URL: </w:t>
      </w:r>
      <w:hyperlink r:id="rId2050" w:tgtFrame="_new" w:history="1">
        <w:r w:rsidRPr="00511005">
          <w:rPr>
            <w:rFonts w:ascii="Arial" w:eastAsia="Calibri" w:hAnsi="Arial" w:cs="Arial"/>
            <w:szCs w:val="28"/>
            <w:lang w:val="uk-UA"/>
          </w:rPr>
          <w:t>https://documents.un.org/doc/undoc/gen/n15/443/41/pdf/n1544341.pdf</w:t>
        </w:r>
      </w:hyperlink>
      <w:r w:rsidRPr="00511005">
        <w:rPr>
          <w:rFonts w:ascii="Arial" w:eastAsia="Calibri" w:hAnsi="Arial" w:cs="Arial"/>
          <w:szCs w:val="28"/>
          <w:lang w:val="uk-UA"/>
        </w:rPr>
        <w:t>​.</w:t>
      </w:r>
    </w:p>
    <w:p w14:paraId="3A54CAB2" w14:textId="572849EE" w:rsidR="00C1357F" w:rsidRPr="00511005" w:rsidRDefault="00C1357F" w:rsidP="003F6A5D">
      <w:pPr>
        <w:numPr>
          <w:ilvl w:val="0"/>
          <w:numId w:val="579"/>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Європейські пенітенціарні (в’язничні) правила : Рекомендації, Правила, Доповідь від </w:t>
      </w:r>
      <w:r w:rsidRPr="00511005">
        <w:rPr>
          <w:rFonts w:ascii="Arial" w:eastAsia="Calibri" w:hAnsi="Arial" w:cs="Arial"/>
          <w:szCs w:val="28"/>
          <w:lang w:val="uk-UA"/>
        </w:rPr>
        <w:t>12.02.1987.</w:t>
      </w:r>
      <w:r w:rsidRPr="00511005">
        <w:rPr>
          <w:rFonts w:ascii="Arial" w:eastAsia="Calibri" w:hAnsi="Arial" w:cs="Arial"/>
          <w:szCs w:val="28"/>
          <w:shd w:val="clear" w:color="auto" w:fill="FFFFFF"/>
          <w:lang w:val="uk-UA"/>
        </w:rPr>
        <w:t xml:space="preserve"> </w:t>
      </w:r>
      <w:r w:rsidRPr="00511005">
        <w:rPr>
          <w:rFonts w:ascii="Arial" w:eastAsia="Calibri" w:hAnsi="Arial" w:cs="Arial"/>
          <w:szCs w:val="28"/>
          <w:lang w:val="uk-UA"/>
        </w:rPr>
        <w:t>URL:</w:t>
      </w:r>
      <w:r w:rsidR="007B2628" w:rsidRPr="00511005">
        <w:rPr>
          <w:rFonts w:ascii="Arial" w:eastAsia="Calibri" w:hAnsi="Arial" w:cs="Arial"/>
          <w:szCs w:val="28"/>
          <w:lang w:val="uk-UA"/>
        </w:rPr>
        <w:t xml:space="preserve"> </w:t>
      </w:r>
      <w:hyperlink r:id="rId2051" w:anchor="Text" w:history="1">
        <w:r w:rsidRPr="00511005">
          <w:rPr>
            <w:rFonts w:ascii="Arial" w:eastAsia="Times New Roman" w:hAnsi="Arial" w:cs="Arial"/>
            <w:szCs w:val="28"/>
            <w:lang w:val="uk-UA"/>
          </w:rPr>
          <w:t>https://zakon.rada.gov.ua/laws/show/994_032#Text</w:t>
        </w:r>
      </w:hyperlink>
      <w:r w:rsidRPr="00511005">
        <w:rPr>
          <w:rFonts w:ascii="Arial" w:eastAsia="Times New Roman" w:hAnsi="Arial" w:cs="Arial"/>
          <w:szCs w:val="28"/>
          <w:lang w:val="uk-UA"/>
        </w:rPr>
        <w:t>.</w:t>
      </w:r>
    </w:p>
    <w:p w14:paraId="61F0DCE3" w14:textId="77777777" w:rsidR="00C1357F" w:rsidRPr="00511005" w:rsidRDefault="00C1357F" w:rsidP="003F6A5D">
      <w:pPr>
        <w:numPr>
          <w:ilvl w:val="0"/>
          <w:numId w:val="579"/>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Загальна декларація прав людини</w:t>
      </w:r>
      <w:r w:rsidRPr="00511005">
        <w:rPr>
          <w:rFonts w:ascii="Arial" w:eastAsia="Calibri" w:hAnsi="Arial" w:cs="Arial"/>
          <w:szCs w:val="28"/>
          <w:lang w:val="uk-UA"/>
        </w:rPr>
        <w:t xml:space="preserve"> ООН : Декларація; міжнародний документ від 10.12.1948. URL</w:t>
      </w:r>
      <w:r w:rsidRPr="00511005">
        <w:rPr>
          <w:rFonts w:ascii="Arial" w:eastAsia="Times New Roman" w:hAnsi="Arial" w:cs="Arial"/>
          <w:szCs w:val="28"/>
          <w:lang w:val="uk-UA"/>
        </w:rPr>
        <w:t xml:space="preserve">: </w:t>
      </w:r>
      <w:hyperlink r:id="rId2052" w:anchor="Text" w:history="1">
        <w:r w:rsidRPr="00511005">
          <w:rPr>
            <w:rFonts w:ascii="Arial" w:eastAsia="Times New Roman" w:hAnsi="Arial" w:cs="Arial"/>
            <w:szCs w:val="28"/>
            <w:lang w:val="uk-UA"/>
          </w:rPr>
          <w:t>https://zakon.rada.gov.ua/laws/show/995_015#Text</w:t>
        </w:r>
      </w:hyperlink>
      <w:r w:rsidRPr="00511005">
        <w:rPr>
          <w:rFonts w:ascii="Arial" w:eastAsia="Times New Roman" w:hAnsi="Arial" w:cs="Arial"/>
          <w:szCs w:val="28"/>
          <w:lang w:val="uk-UA"/>
        </w:rPr>
        <w:t>.</w:t>
      </w:r>
    </w:p>
    <w:p w14:paraId="7056E294" w14:textId="77777777" w:rsidR="00C1357F" w:rsidRPr="00511005" w:rsidRDefault="00C1357F" w:rsidP="003F6A5D">
      <w:pPr>
        <w:numPr>
          <w:ilvl w:val="0"/>
          <w:numId w:val="579"/>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lastRenderedPageBreak/>
        <w:t xml:space="preserve">Міжнародний пакт про економічні, соціальні і культурні права : Пакт, міжнародний документ від </w:t>
      </w:r>
      <w:r w:rsidRPr="00511005">
        <w:rPr>
          <w:rFonts w:ascii="Arial" w:eastAsia="Calibri" w:hAnsi="Arial" w:cs="Arial"/>
          <w:szCs w:val="28"/>
          <w:lang w:val="uk-UA"/>
        </w:rPr>
        <w:t>16.12.1966.</w:t>
      </w:r>
      <w:r w:rsidRPr="00511005">
        <w:rPr>
          <w:rFonts w:ascii="Arial" w:eastAsia="Calibri" w:hAnsi="Arial" w:cs="Arial"/>
          <w:szCs w:val="28"/>
          <w:shd w:val="clear" w:color="auto" w:fill="FFFFFF"/>
          <w:lang w:val="uk-UA"/>
        </w:rPr>
        <w:t xml:space="preserve"> </w:t>
      </w:r>
      <w:r w:rsidRPr="00511005">
        <w:rPr>
          <w:rFonts w:ascii="Arial" w:eastAsia="Calibri" w:hAnsi="Arial" w:cs="Arial"/>
          <w:szCs w:val="28"/>
          <w:lang w:val="uk-UA"/>
        </w:rPr>
        <w:t xml:space="preserve">URL: </w:t>
      </w:r>
      <w:hyperlink r:id="rId2053" w:anchor="Text" w:history="1">
        <w:r w:rsidRPr="00511005">
          <w:rPr>
            <w:rFonts w:ascii="Arial" w:eastAsia="Times New Roman" w:hAnsi="Arial" w:cs="Arial"/>
            <w:szCs w:val="28"/>
            <w:lang w:val="uk-UA"/>
          </w:rPr>
          <w:t>https://zakon.rada.gov.ua/laws/show/995_042#Text</w:t>
        </w:r>
      </w:hyperlink>
      <w:r w:rsidRPr="00511005">
        <w:rPr>
          <w:rFonts w:ascii="Arial" w:eastAsia="Times New Roman" w:hAnsi="Arial" w:cs="Arial"/>
          <w:szCs w:val="28"/>
          <w:lang w:val="uk-UA"/>
        </w:rPr>
        <w:t xml:space="preserve">. </w:t>
      </w:r>
    </w:p>
    <w:p w14:paraId="503F3A1B" w14:textId="77777777" w:rsidR="00C1357F" w:rsidRPr="00511005" w:rsidRDefault="00C1357F" w:rsidP="003A292D">
      <w:pPr>
        <w:spacing w:line="264" w:lineRule="auto"/>
        <w:ind w:firstLine="0"/>
        <w:rPr>
          <w:rFonts w:ascii="Arial" w:eastAsia="Times New Roman" w:hAnsi="Arial" w:cs="Arial"/>
          <w:b/>
          <w:bCs/>
          <w:szCs w:val="28"/>
          <w:lang w:val="uk-UA"/>
        </w:rPr>
      </w:pPr>
    </w:p>
    <w:p w14:paraId="24A4FED8" w14:textId="2F13818C"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C1357F" w:rsidRPr="00511005">
        <w:rPr>
          <w:rFonts w:ascii="Arial" w:eastAsia="Times New Roman" w:hAnsi="Arial" w:cs="Arial"/>
          <w:szCs w:val="28"/>
          <w:lang w:val="uk-UA"/>
        </w:rPr>
        <w:t>засуджені, медичне забезпечення, права людини, пенітенціарна система, охорона здоров'я, міжнародні стандарти, реформування, вразливі категорії, медична допомога, контроль.</w:t>
      </w:r>
    </w:p>
    <w:p w14:paraId="68D1608F" w14:textId="5EB71CFB"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C1357F" w:rsidRPr="00511005">
        <w:rPr>
          <w:rFonts w:ascii="Arial" w:eastAsia="Times New Roman" w:hAnsi="Arial" w:cs="Arial"/>
          <w:szCs w:val="28"/>
          <w:lang w:val="uk-UA"/>
        </w:rPr>
        <w:t>prisoners, medical care, human rights, penitentiary system, healthcare, international standards, reform, vulnerable categories, medical assistance, control.</w:t>
      </w:r>
    </w:p>
    <w:p w14:paraId="437241B7" w14:textId="2BF41189" w:rsidR="00C1357F" w:rsidRPr="00511005" w:rsidRDefault="007B2628" w:rsidP="003A292D">
      <w:pPr>
        <w:spacing w:line="264" w:lineRule="auto"/>
        <w:ind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C1357F" w:rsidRPr="00511005">
        <w:rPr>
          <w:rFonts w:ascii="Arial" w:eastAsia="Times New Roman" w:hAnsi="Arial" w:cs="Arial"/>
          <w:i/>
          <w:iCs/>
          <w:szCs w:val="28"/>
          <w:lang w:val="uk-UA"/>
        </w:rPr>
        <w:t>асистентка кафедри Лукащук К. Р.</w:t>
      </w:r>
    </w:p>
    <w:p w14:paraId="114FD550" w14:textId="77777777" w:rsidR="00C1357F" w:rsidRPr="00511005" w:rsidRDefault="00C1357F" w:rsidP="003A292D">
      <w:pPr>
        <w:spacing w:line="264" w:lineRule="auto"/>
        <w:ind w:firstLine="0"/>
        <w:rPr>
          <w:rFonts w:ascii="Arial" w:eastAsia="Calibri" w:hAnsi="Arial" w:cs="Arial"/>
          <w:szCs w:val="28"/>
          <w:lang w:val="uk-UA"/>
        </w:rPr>
      </w:pPr>
    </w:p>
    <w:p w14:paraId="622C2648" w14:textId="77777777" w:rsidR="00C1357F" w:rsidRPr="00511005" w:rsidRDefault="00C1357F"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Борисенко Дмитро Юрійович</w:t>
      </w:r>
    </w:p>
    <w:p w14:paraId="0BF223FD" w14:textId="22A9BFFB"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3-го курсу </w:t>
      </w:r>
    </w:p>
    <w:p w14:paraId="635B4819"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FE9C0D9"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EC47E5F" w14:textId="77777777" w:rsidR="00C1357F" w:rsidRPr="00511005" w:rsidRDefault="00C1357F" w:rsidP="003A292D">
      <w:pPr>
        <w:spacing w:line="264" w:lineRule="auto"/>
        <w:ind w:firstLine="0"/>
        <w:jc w:val="center"/>
        <w:rPr>
          <w:rFonts w:ascii="Arial" w:eastAsia="Calibri" w:hAnsi="Arial" w:cs="Arial"/>
          <w:szCs w:val="28"/>
          <w:lang w:val="uk-UA"/>
        </w:rPr>
      </w:pPr>
    </w:p>
    <w:p w14:paraId="6330D083" w14:textId="77777777" w:rsidR="00C1357F" w:rsidRPr="00511005" w:rsidRDefault="00C1357F"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ВІКТИМОЛОГІЧНИЙ ПІДХІД У ЗАПОБІГАННІ КРАДІЖОК, ПОВ’ЯЗАНИХ ІЗ ПРОНИКНЕННЯМ У ЖИТЛО</w:t>
      </w:r>
    </w:p>
    <w:p w14:paraId="62BC1D2F"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Дослідження проблеми крадіжок, пов’язаних із незаконним проникненням у житло, а також пошук ефективних методів їхнього попередження залишаються актуальними як для правової держави, так і для кримінологічної науки. Ця тема постійно перебуває у фокусі уваги, оскільки кримінальні правопорушення такого типу завдають серйозної шкоди не лише окремим громадянам або родинам, а й суспільству загалом, впливаючи на його матеріальне становище. Через їхню наявність вони викликають серйозне занепокоєння серед населення, створюючи відчуття нестабільності й загрози для особистого майна. В умовах економічної кризи та соціальної вразливості постраждалим дуже важко компенсувати втрати, спричинені подібними кримінальними правопорушеннями [1].</w:t>
      </w:r>
    </w:p>
    <w:p w14:paraId="65B88DFB"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Аналізуючи статистику від Офісу Генерального прокурора за 2024 рік, можна стверджувати, що крадіжки поєднанні з проникненням у житло не займають панівну нішу в структурі загальнокримінальної корисливої злочинності, але регулярно вчиняються.</w:t>
      </w:r>
    </w:p>
    <w:p w14:paraId="742BC453"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Усього обліковано кримінальних правопорушень станом за 2024 рік 492 479. З них 132 910 складають кримінальні правопорушення проти власності, що складає одну третину від усіх кримінальних правопорушень. У цій структурі 1911 крадіжок вчинених з проникненням у житло, 349 вчинених з проникненням в дачі чи садові будинки, що в сумі складає лише 1.7% від усіх кримінальних правопорушень проти власності [2]. </w:t>
      </w:r>
    </w:p>
    <w:p w14:paraId="4E17A4CE"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Один із основних чинників їх вчинення є віктимна поведінка потерпілих. Доведено, що іноді сама жертва через свою віктимну поведінку може </w:t>
      </w:r>
      <w:r w:rsidRPr="00511005">
        <w:rPr>
          <w:rFonts w:ascii="Arial" w:eastAsia="Calibri" w:hAnsi="Arial" w:cs="Arial"/>
          <w:szCs w:val="28"/>
          <w:lang w:val="uk-UA"/>
        </w:rPr>
        <w:lastRenderedPageBreak/>
        <w:t xml:space="preserve">провокувати злочинця на вчинення правопорушення. У зв’язку з цим виокремлюються окремі віктимологічні підходи та відповідні запобіжні заходи, серед яких: а) виховно-профілактичний підхід; б) захисний напрям; в) організаційно-управлінський аспект; г) обмежувальні дії; д) заходи, спрямовані на подолання віктимного стану особи тощо [3, с. 341-344]. </w:t>
      </w:r>
    </w:p>
    <w:p w14:paraId="7C1A4807"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Цю тенденцію підтверджують також результати кримінологічних досліджень: 75 % опитаних осіб, які були засуджені за вчинення кримінальних правопорушень, визнали, що їх спонукала до злочинної дії саме провокативна поведінка з боку потерпілих. У процесі з’ясування форм прояву такої поведінки при квартирних крадіжках, респонденти надали такі відповіді: зазначили, що жертви самі запрошували до себе малознайомих або незнайомих людей; звернули увагу на стан алкогольного сп’яніння потерпілих; вказали на недбале ставлення жертв до збереження своїх цінностей [4].</w:t>
      </w:r>
    </w:p>
    <w:p w14:paraId="174A228A"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Бажання незаконного збагачення спонукає певні девіантні верстви населення до вчинення не лише крадіжок, а й кримінальних правопорушень, пов’язаних із незаконним проникненням у житло, що призводить до втрати заощаджень та завдає постраждалим значної моральної шкоди. Одним із ключових елементів віктимологічної характеристики крадіжок із проникненням є аналіз категорій осіб, які стають їх жертвами. </w:t>
      </w:r>
    </w:p>
    <w:p w14:paraId="121BD47D"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Згідно з емпіричним дослідженням, проведеним С. В. Пановою, було встановлено, що поведінка потенційних жертв крадіжок із проникненням у житло часто виявлялася віктимною. Зокрема, серед основних проявів такої поведінки виявлено надмірну довірливість до малознайомих осіб (8 %), запрошення випадкових знайомих до помешкання (7 %), необмежений доступ сторонніх до ключів (6 %), розголошення інформації про матеріальний стан (6 %), аморальний стиль життя або створення умов для притонів у власному житлі (3 %), залучення до господарських чи ремонтних робіт осіб із кримінальним минулим або з асоціальною поведінкою (3 %), а також тривала відсутність вдома (2 %). Однак найпоширенішим чинником, що сприяв вчиненню таких кримінальних правопорушень (понад 65 % випадків), була відсутність елементарних заходів безпеки. Так, 47 % крадіжок було здійснено без застосування зусиль із боку злочинця: через незамкнені або прочинені двері (27 %), відкриті вікна, балкони, або квартирки на першому поверсі (11 %), використання ключів, що були в наявності у зловмисника (7 %), або навіть за згодою потерпілих впустити зловмисників (2 %). У таких випадках злочинці не потребували спеціальної підготовки чи подолання перешкод [3 с. 341-344]. </w:t>
      </w:r>
    </w:p>
    <w:p w14:paraId="50B37668"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Одним із перспективних напрямів у протидії крадіжкам із проникненням у житлові чи інші приміщення є профілактика, орієнтована на віктимологічні аспекти. Результати досліджень свідчать, що схильність до того, щоб стати жертвою крадіжки, варіюється серед різних соціальних груп. Така </w:t>
      </w:r>
      <w:r w:rsidRPr="00511005">
        <w:rPr>
          <w:rFonts w:ascii="Arial" w:eastAsia="Calibri" w:hAnsi="Arial" w:cs="Arial"/>
          <w:szCs w:val="28"/>
          <w:lang w:val="uk-UA"/>
        </w:rPr>
        <w:lastRenderedPageBreak/>
        <w:t>варіативність пояснюється індивідуальними особливостями жертв, зокрема демографічними характеристиками, соціально-психологічними рисами та стилем життя. Велику роль у формуванні ризику відіграє соціальне становище особи. Проте ключове значення мають моделі поведінки, особисті установки та потреби. Якщо людина діє неуважно, необачно чи безпечливо, це суттєво підвищує ризик стати об’єктом злочинного посягання.</w:t>
      </w:r>
    </w:p>
    <w:p w14:paraId="0FD25A10"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Для здійснення крадіжки злочинець повинен володіти інформацією про об’єкт посягання – зокрема, про матеріальний стан власників, склад мешканців, їхню поведінку вдома та щоденні звички. Такі відомості злочинці здобувають як через спілкування з третіми особами, так і під час безпосереднього контакту з потенційною жертвою. Практичні спостереження свідчать, що більшість крадіжок здійснюються цілеспрямовано, з попереднім збором інформації, а випадкові кримінальні правопорушень трапляються рідко.</w:t>
      </w:r>
    </w:p>
    <w:p w14:paraId="13D5C8F8"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Одним із пріоритетних напрямів у запобіганні крадіжкам із проникненням у житло має стати зменшення часу, необхідного злочинцю для реалізації своїх намірів. Ефективна взаємодія між органами профілактики та громадськістю має бути спрямована на створення таких умов, за яких здійснення кримінального правопорушення відбуватиметься під тиском часу. Така ситуація може викликати у злочинця сильний психологічний дискомфорт, що у свою чергу може призвести до помилок, відмови від подальших дій або навіть до остаточного ухилення від вчинення кримінальних правопорушень [5, с. 136-137].</w:t>
      </w:r>
    </w:p>
    <w:p w14:paraId="0B8B8B91"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Також впровадження охоронних сигналізацій значно знизило кількість крадіжок, пов'язаних із незаконним проникненням у житло. Дослідження показують, що наявність систем безпеки відіграє ключову роль у стримуванні злочинців. Це твердження можна підтвердити тим що кількість квартирних крадіжок у 2013 сягала 21982, але з поступовим впровадженням охоронних сигналізацій вони зійшли на нівець.</w:t>
      </w:r>
    </w:p>
    <w:p w14:paraId="0375F95E"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Отже, крадіжки з незаконним проникненням у житло становлять значну загрозу як для окремих громадян, так і для суспільства загалом. Незважаючи на те, що частка таких кримінальних правопорушень у структурі загалнокримінальних корисливих правопорушень не є домінуючою, вони мають серйозні соціальні наслідки. Дослідження підкреслюють важливість віктимологічного підходу у профілактиці цього виду кримінальних правопорушень, зокрема необхідність підвищення свідомості громадян щодо особистої безпеки та важливість своєчасної взаємодії з правоохоронними органами. Розробка та впровадження ефективних запобіжних заходів, спрямованих на зниження рівня віктимності, є ключовим чинником у протидії таким правопорушенням.</w:t>
      </w:r>
    </w:p>
    <w:p w14:paraId="5FEC4DC2" w14:textId="77777777" w:rsidR="00C1357F" w:rsidRPr="00511005" w:rsidRDefault="00C1357F" w:rsidP="003A292D">
      <w:pPr>
        <w:spacing w:line="264" w:lineRule="auto"/>
        <w:ind w:firstLine="0"/>
        <w:jc w:val="center"/>
        <w:rPr>
          <w:rFonts w:ascii="Arial" w:eastAsia="Calibri" w:hAnsi="Arial" w:cs="Arial"/>
          <w:b/>
          <w:iCs/>
          <w:szCs w:val="28"/>
          <w:lang w:val="uk-UA"/>
        </w:rPr>
      </w:pPr>
    </w:p>
    <w:p w14:paraId="076FF7AD" w14:textId="6D4D4A6A" w:rsidR="00C1357F" w:rsidRPr="00511005" w:rsidRDefault="007B2628" w:rsidP="007B2628">
      <w:pPr>
        <w:spacing w:line="264" w:lineRule="auto"/>
        <w:ind w:firstLine="0"/>
        <w:jc w:val="center"/>
        <w:rPr>
          <w:rFonts w:ascii="Arial" w:eastAsia="Calibri" w:hAnsi="Arial" w:cs="Arial"/>
          <w:b/>
          <w:iCs/>
          <w:szCs w:val="28"/>
          <w:lang w:val="uk-UA"/>
        </w:rPr>
      </w:pPr>
      <w:r w:rsidRPr="00511005">
        <w:rPr>
          <w:rFonts w:ascii="Arial" w:eastAsia="Calibri" w:hAnsi="Arial" w:cs="Arial"/>
          <w:b/>
          <w:iCs/>
          <w:szCs w:val="28"/>
          <w:lang w:val="uk-UA"/>
        </w:rPr>
        <w:lastRenderedPageBreak/>
        <w:t>Список використаних джерел</w:t>
      </w:r>
    </w:p>
    <w:p w14:paraId="103ECDCA" w14:textId="77777777" w:rsidR="007B2628" w:rsidRPr="00511005" w:rsidRDefault="00C1357F" w:rsidP="003F6A5D">
      <w:pPr>
        <w:numPr>
          <w:ilvl w:val="0"/>
          <w:numId w:val="584"/>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С. В. Панова. Стан дослідження крадіжок, поєднаних з проникненням у житло. </w:t>
      </w:r>
      <w:r w:rsidRPr="00511005">
        <w:rPr>
          <w:rFonts w:ascii="Arial" w:eastAsia="Calibri" w:hAnsi="Arial" w:cs="Arial"/>
          <w:i/>
          <w:iCs/>
          <w:szCs w:val="28"/>
          <w:lang w:val="uk-UA"/>
        </w:rPr>
        <w:t>Часопис Київського університету права</w:t>
      </w:r>
      <w:r w:rsidRPr="00511005">
        <w:rPr>
          <w:rFonts w:ascii="Arial" w:eastAsia="Calibri" w:hAnsi="Arial" w:cs="Arial"/>
          <w:szCs w:val="28"/>
          <w:lang w:val="uk-UA"/>
        </w:rPr>
        <w:t xml:space="preserve">. 2017. № 3. URL: </w:t>
      </w:r>
      <w:hyperlink r:id="rId2054" w:tgtFrame="_blank" w:history="1">
        <w:r w:rsidRPr="00511005">
          <w:rPr>
            <w:rFonts w:ascii="Arial" w:eastAsia="Calibri" w:hAnsi="Arial" w:cs="Arial"/>
            <w:szCs w:val="28"/>
            <w:lang w:val="uk-UA"/>
          </w:rPr>
          <w:t>http://jnas.nbuv.gov.ua/j-pdf/Chkup_2017_3_57.pdf</w:t>
        </w:r>
      </w:hyperlink>
      <w:r w:rsidRPr="00511005">
        <w:rPr>
          <w:rFonts w:ascii="Arial" w:eastAsia="Calibri" w:hAnsi="Arial" w:cs="Arial"/>
          <w:szCs w:val="28"/>
          <w:lang w:val="uk-UA"/>
        </w:rPr>
        <w:t>.</w:t>
      </w:r>
    </w:p>
    <w:p w14:paraId="6F97902E" w14:textId="77777777" w:rsidR="007B2628" w:rsidRPr="00511005" w:rsidRDefault="00C1357F" w:rsidP="003F6A5D">
      <w:pPr>
        <w:numPr>
          <w:ilvl w:val="0"/>
          <w:numId w:val="584"/>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Статистика. </w:t>
      </w:r>
      <w:r w:rsidRPr="00511005">
        <w:rPr>
          <w:rFonts w:ascii="Arial" w:eastAsia="Calibri" w:hAnsi="Arial" w:cs="Arial"/>
          <w:i/>
          <w:iCs/>
          <w:szCs w:val="28"/>
          <w:lang w:val="uk-UA"/>
        </w:rPr>
        <w:t>Офіс Генерального прокурора</w:t>
      </w:r>
      <w:r w:rsidRPr="00511005">
        <w:rPr>
          <w:rFonts w:ascii="Arial" w:eastAsia="Calibri" w:hAnsi="Arial" w:cs="Arial"/>
          <w:szCs w:val="28"/>
          <w:lang w:val="uk-UA"/>
        </w:rPr>
        <w:t xml:space="preserve">. URL: </w:t>
      </w:r>
      <w:hyperlink r:id="rId2055" w:tgtFrame="_blank" w:history="1">
        <w:r w:rsidRPr="00511005">
          <w:rPr>
            <w:rFonts w:ascii="Arial" w:eastAsia="Calibri" w:hAnsi="Arial" w:cs="Arial"/>
            <w:szCs w:val="28"/>
            <w:lang w:val="uk-UA"/>
          </w:rPr>
          <w:t>https://new.gp.gov.ua/ua/posts/statistika</w:t>
        </w:r>
      </w:hyperlink>
      <w:r w:rsidRPr="00511005">
        <w:rPr>
          <w:rFonts w:ascii="Arial" w:eastAsia="Calibri" w:hAnsi="Arial" w:cs="Arial"/>
          <w:szCs w:val="28"/>
          <w:lang w:val="uk-UA"/>
        </w:rPr>
        <w:t>.</w:t>
      </w:r>
    </w:p>
    <w:p w14:paraId="590D6144" w14:textId="77777777" w:rsidR="007B2628" w:rsidRPr="00511005" w:rsidRDefault="00C1357F" w:rsidP="003F6A5D">
      <w:pPr>
        <w:numPr>
          <w:ilvl w:val="0"/>
          <w:numId w:val="584"/>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Панова С. В. Віктимологічна профілактика крадіжок, поєднаних з проникненням у житло. Традиції та новації юридичної науки: минуле, сучасність, майбутнє: матер. Міжнар. наук.-практ. конф. У 2-х т. Т. 2 / відп. ред. Г. О. Ульянова. Одеса: </w:t>
      </w:r>
      <w:r w:rsidRPr="00511005">
        <w:rPr>
          <w:rFonts w:ascii="Arial" w:eastAsia="Calibri" w:hAnsi="Arial" w:cs="Arial"/>
          <w:i/>
          <w:szCs w:val="28"/>
          <w:lang w:val="uk-UA"/>
        </w:rPr>
        <w:t>Видавничий дім «Гельветика»</w:t>
      </w:r>
      <w:r w:rsidRPr="00511005">
        <w:rPr>
          <w:rFonts w:ascii="Arial" w:eastAsia="Calibri" w:hAnsi="Arial" w:cs="Arial"/>
          <w:szCs w:val="28"/>
          <w:lang w:val="uk-UA"/>
        </w:rPr>
        <w:t xml:space="preserve">, 2017. С. 341-344. URL: </w:t>
      </w:r>
      <w:hyperlink r:id="rId2056" w:history="1">
        <w:r w:rsidRPr="00511005">
          <w:rPr>
            <w:rFonts w:ascii="Arial" w:eastAsia="Calibri" w:hAnsi="Arial" w:cs="Arial"/>
            <w:szCs w:val="28"/>
            <w:lang w:val="uk-UA"/>
          </w:rPr>
          <w:t>https://dspace.onua.edu.ua/items/d4fcee54-b69d-4da9-936c-159ae71c5438</w:t>
        </w:r>
      </w:hyperlink>
      <w:r w:rsidRPr="00511005">
        <w:rPr>
          <w:rFonts w:ascii="Arial" w:eastAsia="Calibri" w:hAnsi="Arial" w:cs="Arial"/>
          <w:szCs w:val="28"/>
          <w:lang w:val="uk-UA"/>
        </w:rPr>
        <w:t xml:space="preserve"> </w:t>
      </w:r>
    </w:p>
    <w:p w14:paraId="0D5060AD" w14:textId="77777777" w:rsidR="007B2628" w:rsidRPr="00511005" w:rsidRDefault="00C1357F" w:rsidP="003F6A5D">
      <w:pPr>
        <w:numPr>
          <w:ilvl w:val="0"/>
          <w:numId w:val="584"/>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Назаренко, А. М. Віктимність жертв крадіжок з проникненням у житло, інше приміщення чи сховище та заходи щодо зниження її рівня. (2014). URL: </w:t>
      </w:r>
      <w:hyperlink r:id="rId2057" w:history="1">
        <w:r w:rsidRPr="00511005">
          <w:rPr>
            <w:rFonts w:ascii="Arial" w:eastAsia="Calibri" w:hAnsi="Arial" w:cs="Arial"/>
            <w:szCs w:val="28"/>
            <w:lang w:val="uk-UA"/>
          </w:rPr>
          <w:t>https://elar.navs.edu.ua/server/api/core/bitstreams/3bbb612e-51f5-4555-9aae-7ff3f0faf198/content</w:t>
        </w:r>
      </w:hyperlink>
      <w:r w:rsidRPr="00511005">
        <w:rPr>
          <w:rFonts w:ascii="Arial" w:eastAsia="Calibri" w:hAnsi="Arial" w:cs="Arial"/>
          <w:szCs w:val="28"/>
          <w:lang w:val="uk-UA"/>
        </w:rPr>
        <w:t>.</w:t>
      </w:r>
    </w:p>
    <w:p w14:paraId="00D678BA" w14:textId="715963A3" w:rsidR="00C1357F" w:rsidRPr="00511005" w:rsidRDefault="00C1357F" w:rsidP="003F6A5D">
      <w:pPr>
        <w:numPr>
          <w:ilvl w:val="0"/>
          <w:numId w:val="584"/>
        </w:numPr>
        <w:spacing w:line="264" w:lineRule="auto"/>
        <w:jc w:val="left"/>
        <w:rPr>
          <w:rFonts w:ascii="Arial" w:eastAsia="Calibri" w:hAnsi="Arial" w:cs="Arial"/>
          <w:szCs w:val="28"/>
          <w:lang w:val="uk-UA"/>
        </w:rPr>
      </w:pPr>
      <w:r w:rsidRPr="00511005">
        <w:rPr>
          <w:rFonts w:ascii="Arial" w:eastAsia="Calibri" w:hAnsi="Arial" w:cs="Arial"/>
          <w:szCs w:val="28"/>
          <w:lang w:val="uk-UA"/>
        </w:rPr>
        <w:t xml:space="preserve">Віктимологічна профілактика окремих видів злочинів: тези доповідей круглого столу. (Київ, 29 квітня 2014 року) / ред. кол. О. М. Джужа, В. В.Василевич, Т.Л.Кальченко та ін. Київ. </w:t>
      </w:r>
      <w:r w:rsidRPr="00511005">
        <w:rPr>
          <w:rFonts w:ascii="Arial" w:eastAsia="Calibri" w:hAnsi="Arial" w:cs="Arial"/>
          <w:i/>
          <w:szCs w:val="28"/>
          <w:lang w:val="uk-UA"/>
        </w:rPr>
        <w:t>Нац. акад. внутр. справ</w:t>
      </w:r>
      <w:r w:rsidRPr="00511005">
        <w:rPr>
          <w:rFonts w:ascii="Arial" w:eastAsia="Calibri" w:hAnsi="Arial" w:cs="Arial"/>
          <w:szCs w:val="28"/>
          <w:lang w:val="uk-UA"/>
        </w:rPr>
        <w:t>, 2014. 215 с. URL:</w:t>
      </w:r>
      <w:hyperlink r:id="rId2058" w:history="1">
        <w:r w:rsidRPr="00511005">
          <w:rPr>
            <w:rFonts w:ascii="Arial" w:eastAsia="Calibri" w:hAnsi="Arial" w:cs="Arial"/>
            <w:szCs w:val="28"/>
            <w:lang w:val="uk-UA"/>
          </w:rPr>
          <w:t>https://www.navs.edu.ua/files/naukovadiyalnist/naukovizaxodi/zbirnuki/profil-zloch.pdf</w:t>
        </w:r>
      </w:hyperlink>
    </w:p>
    <w:p w14:paraId="3EE22D72" w14:textId="77777777" w:rsidR="00C1357F" w:rsidRPr="00511005" w:rsidRDefault="00C1357F" w:rsidP="003A292D">
      <w:pPr>
        <w:spacing w:line="264" w:lineRule="auto"/>
        <w:ind w:firstLine="0"/>
        <w:rPr>
          <w:rFonts w:ascii="Arial" w:eastAsia="Times New Roman" w:hAnsi="Arial" w:cs="Arial"/>
          <w:b/>
          <w:szCs w:val="28"/>
          <w:lang w:val="uk-UA" w:eastAsia="ru-RU"/>
        </w:rPr>
      </w:pPr>
    </w:p>
    <w:p w14:paraId="05F638E6" w14:textId="167FBCD3" w:rsidR="00C1357F" w:rsidRPr="00511005" w:rsidRDefault="007B2628"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C1357F" w:rsidRPr="00511005">
        <w:rPr>
          <w:rFonts w:ascii="Arial" w:eastAsia="Times New Roman" w:hAnsi="Arial" w:cs="Arial"/>
          <w:szCs w:val="28"/>
          <w:lang w:val="uk-UA" w:eastAsia="ru-RU"/>
        </w:rPr>
        <w:t>кримінологія, віктимологія, кримінальні правопорушення проти власності, загальнокримінальна корислива злочинність, крадіжки поєднанні з проникненням у житло.</w:t>
      </w:r>
    </w:p>
    <w:p w14:paraId="51F17D43" w14:textId="706EB5F2"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C1357F" w:rsidRPr="00511005">
        <w:rPr>
          <w:rFonts w:ascii="Arial" w:eastAsia="Calibri" w:hAnsi="Arial" w:cs="Arial"/>
          <w:szCs w:val="28"/>
          <w:lang w:val="uk-UA"/>
        </w:rPr>
        <w:t>criminology, victimology, criminal offenses against property, general criminal criminality, theft combined with home invasion.</w:t>
      </w:r>
    </w:p>
    <w:p w14:paraId="385F4589" w14:textId="4D5177C1"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iCs/>
          <w:szCs w:val="28"/>
          <w:lang w:val="uk-UA"/>
        </w:rPr>
        <w:t xml:space="preserve">Науковий керівник: </w:t>
      </w:r>
      <w:r w:rsidR="00C1357F" w:rsidRPr="00511005">
        <w:rPr>
          <w:rFonts w:ascii="Arial" w:eastAsia="Calibri" w:hAnsi="Arial" w:cs="Arial"/>
          <w:bCs/>
          <w:i/>
          <w:iCs/>
          <w:szCs w:val="28"/>
          <w:lang w:val="uk-UA"/>
        </w:rPr>
        <w:t>к.ю.н., доцент Цитряк В.Я.</w:t>
      </w:r>
    </w:p>
    <w:p w14:paraId="39FB7C93" w14:textId="77777777" w:rsidR="00C1357F" w:rsidRPr="00511005" w:rsidRDefault="00C1357F" w:rsidP="003A292D">
      <w:pPr>
        <w:spacing w:line="264" w:lineRule="auto"/>
        <w:ind w:firstLine="0"/>
        <w:contextualSpacing/>
        <w:jc w:val="center"/>
        <w:rPr>
          <w:rFonts w:ascii="Arial" w:eastAsia="Calibri" w:hAnsi="Arial" w:cs="Arial"/>
          <w:b/>
          <w:i/>
          <w:szCs w:val="28"/>
          <w:lang w:val="uk-UA"/>
        </w:rPr>
      </w:pPr>
    </w:p>
    <w:p w14:paraId="7FE6EB24" w14:textId="77777777" w:rsidR="00C1357F" w:rsidRPr="00511005" w:rsidRDefault="00C1357F" w:rsidP="003A292D">
      <w:pPr>
        <w:spacing w:line="264" w:lineRule="auto"/>
        <w:ind w:firstLine="0"/>
        <w:contextualSpacing/>
        <w:jc w:val="center"/>
        <w:rPr>
          <w:rFonts w:ascii="Arial" w:eastAsia="Calibri" w:hAnsi="Arial" w:cs="Arial"/>
          <w:b/>
          <w:i/>
          <w:szCs w:val="28"/>
          <w:lang w:val="uk-UA"/>
        </w:rPr>
      </w:pPr>
      <w:r w:rsidRPr="00511005">
        <w:rPr>
          <w:rFonts w:ascii="Arial" w:eastAsia="Calibri" w:hAnsi="Arial" w:cs="Arial"/>
          <w:b/>
          <w:i/>
          <w:szCs w:val="28"/>
          <w:lang w:val="uk-UA"/>
        </w:rPr>
        <w:t>Гієш Тетяна Романівна</w:t>
      </w:r>
    </w:p>
    <w:p w14:paraId="48C0E825" w14:textId="74B98B9B"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2B969C20"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BF03271"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4CF47E0" w14:textId="77777777" w:rsidR="00C1357F" w:rsidRPr="00511005" w:rsidRDefault="00C1357F" w:rsidP="003A292D">
      <w:pPr>
        <w:spacing w:line="264" w:lineRule="auto"/>
        <w:ind w:firstLine="0"/>
        <w:contextualSpacing/>
        <w:jc w:val="center"/>
        <w:rPr>
          <w:rFonts w:ascii="Arial" w:eastAsia="Calibri" w:hAnsi="Arial" w:cs="Arial"/>
          <w:szCs w:val="28"/>
          <w:lang w:val="uk-UA"/>
        </w:rPr>
      </w:pPr>
    </w:p>
    <w:p w14:paraId="2F0535C4" w14:textId="77777777" w:rsidR="00C1357F" w:rsidRPr="00511005" w:rsidRDefault="00C1357F" w:rsidP="003A292D">
      <w:pPr>
        <w:spacing w:line="264" w:lineRule="auto"/>
        <w:ind w:firstLine="0"/>
        <w:contextualSpacing/>
        <w:jc w:val="center"/>
        <w:rPr>
          <w:rFonts w:ascii="Arial" w:eastAsia="Calibri" w:hAnsi="Arial" w:cs="Arial"/>
          <w:b/>
          <w:bCs/>
          <w:szCs w:val="28"/>
          <w:lang w:val="uk-UA"/>
        </w:rPr>
      </w:pPr>
      <w:r w:rsidRPr="00511005">
        <w:rPr>
          <w:rFonts w:ascii="Arial" w:eastAsia="Calibri" w:hAnsi="Arial" w:cs="Arial"/>
          <w:b/>
          <w:bCs/>
          <w:szCs w:val="28"/>
          <w:lang w:val="uk-UA"/>
        </w:rPr>
        <w:t>ПЕНСИЛЬВАНСЬКА ТА ОБЕРНСЬКА ПЕНІТЕНЦІАРНІ СИСТЕМИ: АНАЛІЗ ВПЛИВУ НА СУЧАСНІ В’ЯЗНИЦІ</w:t>
      </w:r>
    </w:p>
    <w:p w14:paraId="75EC6E6D"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Пенітенціарні системи - це інститут соціального контролю, який пройшов тривалий шлях історичного розвитку, відображаючи зміни у поглядах суспільства на покарання, реабілітацію та соціальну справедливість. Від давніх часів, коли покарання мало переважно публічний і жорстокий </w:t>
      </w:r>
      <w:r w:rsidRPr="00511005">
        <w:rPr>
          <w:rFonts w:ascii="Arial" w:eastAsia="Calibri" w:hAnsi="Arial" w:cs="Arial"/>
          <w:szCs w:val="28"/>
          <w:lang w:val="uk-UA"/>
        </w:rPr>
        <w:lastRenderedPageBreak/>
        <w:t>характер, до сучасних концепцій виправної юстиції, спрямованих на ресоціалізацію злочинців, системи покарань зазнали суттєвих трансформацій.</w:t>
      </w:r>
    </w:p>
    <w:p w14:paraId="0A553DB8" w14:textId="56BC13C4"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Науковець 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Шкута визначає пенітенціарну систему як певний комплекс інституцій, що підпорядковані державним органам виконавчої влади, відповідальним за розробку та втілення державної політики у сфері кримінально-виконавчої структури. Їхня діяльність організована у взаємодії з іншими установами та спрямована на досягнення основної мети — захист особи, суспільства та держави. Реалізовується це завдяки виправленню та ресоціалізації засуджених, підтримку тих, хто звільнився з місць позбавлення волі, попередження нових злочинів як з боку колишніх засуджених, так і інших осіб, а також шляхом недопущення катувань та жорстокого чи принижуючого гідність поводження із засудженими. [4, с. 58].</w:t>
      </w:r>
    </w:p>
    <w:p w14:paraId="032D6189"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Сучасна тюремна система нерозривно пов’язана з тими, які зародилися в США наприкінці XVIII століття. Першою визначною пенітенціарною системою вважається Пенсильванська (штат Філадельфія). </w:t>
      </w:r>
    </w:p>
    <w:p w14:paraId="7F038641"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Це модель ув'язнення, заснована на принципах повної ізоляції злочинця від зовнішнього світу (умови одиночного ув'язнення), повної заборони спілкування між в'язнями (навіть між охоронцями та в'язнями) та обмеженої трудової діяльності, яка виконується у межах камери. Враховуючи «особливий» режим, така система акцентувала на самотності та покаянні, виключаючи будь-які форми соціальних контактів між ув'язненими. Колективна праця заборонялась, прогулянки організовувались поодиноко в ізольованих ділянках двору пенітенціарія, контакти із зовнішнім світом повністю виключались. Були спеціальні конструкції тюремних приміщень (наприклад, окремі кабіни у «церкві», де ув'язнений міг лише чути проповідь, без візуального контакту з іншими); надмірні заходи для збереження тиші (взуття персоналу на м'якій підошві) За найменші порушення застосовувались тілесні покарання. Така система страхітливо впливала на в’язня, пригнічувала його психіку [1].</w:t>
      </w:r>
    </w:p>
    <w:p w14:paraId="45426261"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Вважалося, що суворе відокремлення має позбавити засудженого будь-яких соціальних зв'язків (як з кримінальним середовищем, так і з суспільством) та створити умови для внутрішнього діалогу з власною совістю і насамперед з Богом (згідно з віруваннями, це мало сприяти каяттю та духовному переродженню).</w:t>
      </w:r>
    </w:p>
    <w:p w14:paraId="1EC4E9E6"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Методи контролю, які застосовувалися в пенітенціарних системах такого типу були зведені до двох основних напрямків: сувора дисципліна, що підтримувалася фізичним примусом; психологічний тиск через самотність і обмеження будь-яких стимулів.</w:t>
      </w:r>
    </w:p>
    <w:p w14:paraId="034DDB0D"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Ця система мала на меті не просто покарати, а перетворити злочинця на законослухняну людину через страждання та релігійне прозріння, що, на думку її творців, мало запобігти рецидиву. </w:t>
      </w:r>
    </w:p>
    <w:p w14:paraId="5CD92191"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Для душевного спокою в’язень повинен був старанно вивчати релігію і літературу, молитися Богові [2, с. 282].</w:t>
      </w:r>
    </w:p>
    <w:p w14:paraId="10E99917"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Обернська система - це система принципів побудови відбування покарання у вигляді позбавлення волі в умовах тюремного ув'язнення. Характеристика закладів такого типу зводиться до того, що ув'язнені проживали в роздільних камерах-келіях тільки на ніч; вдень працювали всі разом, але з дотриманням суворого мовчання [3].</w:t>
      </w:r>
    </w:p>
    <w:p w14:paraId="6CA2B090"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На противагу суворій Пенсильванській системі, Обернська модель запровадила комбінований підхід до ув'язнення, заснований на таких принципах:</w:t>
      </w:r>
    </w:p>
    <w:p w14:paraId="385C80C5" w14:textId="77777777" w:rsidR="00C1357F" w:rsidRPr="00511005" w:rsidRDefault="00C1357F" w:rsidP="003F6A5D">
      <w:pPr>
        <w:numPr>
          <w:ilvl w:val="0"/>
          <w:numId w:val="558"/>
        </w:numPr>
        <w:spacing w:line="264" w:lineRule="auto"/>
        <w:ind w:left="0" w:firstLine="142"/>
        <w:contextualSpacing/>
        <w:jc w:val="left"/>
        <w:rPr>
          <w:rFonts w:ascii="Arial" w:eastAsia="Calibri" w:hAnsi="Arial" w:cs="Arial"/>
          <w:szCs w:val="28"/>
          <w:lang w:val="uk-UA"/>
        </w:rPr>
      </w:pPr>
      <w:r w:rsidRPr="00511005">
        <w:rPr>
          <w:rFonts w:ascii="Arial" w:eastAsia="Calibri" w:hAnsi="Arial" w:cs="Arial"/>
          <w:szCs w:val="28"/>
          <w:lang w:val="uk-UA"/>
        </w:rPr>
        <w:t>Принципі нічної ізоляції, як вище зазначалося (нічне утримання в одиночних камерах) та денній колективній праці (денні спільні робочі процеси у загальних приміщеннях).</w:t>
      </w:r>
    </w:p>
    <w:p w14:paraId="4FC4D42A" w14:textId="77777777" w:rsidR="00C1357F" w:rsidRPr="00511005" w:rsidRDefault="00C1357F" w:rsidP="003F6A5D">
      <w:pPr>
        <w:numPr>
          <w:ilvl w:val="0"/>
          <w:numId w:val="558"/>
        </w:numPr>
        <w:spacing w:line="264" w:lineRule="auto"/>
        <w:ind w:left="0" w:firstLine="142"/>
        <w:contextualSpacing/>
        <w:jc w:val="left"/>
        <w:rPr>
          <w:rFonts w:ascii="Arial" w:eastAsia="Calibri" w:hAnsi="Arial" w:cs="Arial"/>
          <w:szCs w:val="28"/>
          <w:lang w:val="uk-UA"/>
        </w:rPr>
      </w:pPr>
      <w:r w:rsidRPr="00511005">
        <w:rPr>
          <w:rFonts w:ascii="Arial" w:eastAsia="Calibri" w:hAnsi="Arial" w:cs="Arial"/>
          <w:szCs w:val="28"/>
          <w:lang w:val="uk-UA"/>
        </w:rPr>
        <w:t>Економіко-виховній концепції, яка включає в себе ідеологічну основу тісного взаємозв’язку економіки (злочинність, як наслідок, прагнення до ледарства, і уникненню роботи) та трудової реабілітації, яка стала одним з ключових елементів виправлення в Обернській системі.</w:t>
      </w:r>
    </w:p>
    <w:p w14:paraId="4D0C3DDA" w14:textId="77777777" w:rsidR="00C1357F" w:rsidRPr="00511005" w:rsidRDefault="00C1357F" w:rsidP="003F6A5D">
      <w:pPr>
        <w:numPr>
          <w:ilvl w:val="0"/>
          <w:numId w:val="558"/>
        </w:numPr>
        <w:spacing w:line="264" w:lineRule="auto"/>
        <w:ind w:left="0" w:firstLine="142"/>
        <w:contextualSpacing/>
        <w:jc w:val="left"/>
        <w:rPr>
          <w:rFonts w:ascii="Arial" w:eastAsia="Calibri" w:hAnsi="Arial" w:cs="Arial"/>
          <w:szCs w:val="28"/>
          <w:lang w:val="uk-UA"/>
        </w:rPr>
      </w:pPr>
      <w:r w:rsidRPr="00511005">
        <w:rPr>
          <w:rFonts w:ascii="Arial" w:eastAsia="Calibri" w:hAnsi="Arial" w:cs="Arial"/>
          <w:szCs w:val="28"/>
          <w:lang w:val="uk-UA"/>
        </w:rPr>
        <w:t>Модифікована система мовчання, яка полягала у збереженні заборони на спілкування між в'язнями, але, тим не менш, передбачала пом’якшення і зменшення психологічного тиску через денну соціальну взаємодію під час роботи.</w:t>
      </w:r>
    </w:p>
    <w:p w14:paraId="69ADB1EE" w14:textId="77777777" w:rsidR="00C1357F" w:rsidRPr="00511005" w:rsidRDefault="00C1357F" w:rsidP="003F6A5D">
      <w:pPr>
        <w:numPr>
          <w:ilvl w:val="0"/>
          <w:numId w:val="558"/>
        </w:numPr>
        <w:spacing w:line="264" w:lineRule="auto"/>
        <w:ind w:left="0" w:firstLine="142"/>
        <w:contextualSpacing/>
        <w:jc w:val="left"/>
        <w:rPr>
          <w:rFonts w:ascii="Arial" w:eastAsia="Calibri" w:hAnsi="Arial" w:cs="Arial"/>
          <w:szCs w:val="28"/>
          <w:lang w:val="uk-UA"/>
        </w:rPr>
      </w:pPr>
      <w:r w:rsidRPr="00511005">
        <w:rPr>
          <w:rFonts w:ascii="Arial" w:eastAsia="Calibri" w:hAnsi="Arial" w:cs="Arial"/>
          <w:szCs w:val="28"/>
          <w:lang w:val="uk-UA"/>
        </w:rPr>
        <w:t>Система мала значні психологічні переваги, бо передбачала і прогнозувала зменшення деструктивного впливу повної ізоляції на психічний стан, а також формувала у засуджених та ув’язнених трудові навички, що також є однією з вагомих основ ресоціалізації.</w:t>
      </w:r>
    </w:p>
    <w:p w14:paraId="478FDA37" w14:textId="62A64876"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Ця модель пенітенціарної системи стала компромісом між потребою в ізоляції злочинців, необхідністю підготовки до життя на свободі засуджених та прагненням</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держави отримувати економічну вигоду від праці ув'язнених у місцях позбавлення волі.</w:t>
      </w:r>
    </w:p>
    <w:p w14:paraId="74B35940"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Стосовно впливу вищезазначених систем на сучасні моделі пенітенціарних систем, слід відмітити, що Пенсільванська системи залишила по собі значний внесок у вигляді ізоляції (утримання небезпечних злочинців окремо від соціуму) як покарання, а також релігійний аспект, який знайшов своє відображення у психологічних програмах для засуджених.</w:t>
      </w:r>
    </w:p>
    <w:p w14:paraId="1F73F452"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Деякі витоки в сучасних моделях взяті з Обернської системи, наприклад, трудова реабілітація. Сучасні тюремні майстерні та програми навчання професіям – і є тим самим розвитком ідеї «виправлення через працю». </w:t>
      </w:r>
    </w:p>
    <w:p w14:paraId="3E70C23C"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У деяких сучасних в’язницях є цікаве поєднання індивідуального ув’язнення з груповими терапіями, що є об’єднанням двох розглянутих вище систем.</w:t>
      </w:r>
    </w:p>
    <w:p w14:paraId="06D8467A"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Зауважимо, що правила ООН від 1955 року, відомі як Мінімальні стандартні правила поводження з ув'язненими, демонструють значення еволюції тюремних систем, критикуючи використання довготривалої ізоляції, </w:t>
      </w:r>
      <w:r w:rsidRPr="00511005">
        <w:rPr>
          <w:rFonts w:ascii="Arial" w:eastAsia="Calibri" w:hAnsi="Arial" w:cs="Arial"/>
          <w:szCs w:val="28"/>
          <w:lang w:val="uk-UA"/>
        </w:rPr>
        <w:lastRenderedPageBreak/>
        <w:t>зазначаючи деструктивний вплив її на психічний і моральний стан засудженого, але підкреслюючи важливість використання пенітенціаріями продуктивної праці, яка не є примушенням, не носить експлуатаційний характер, а є реабілітаційною складовою життя в’язнів.</w:t>
      </w:r>
    </w:p>
    <w:p w14:paraId="32145F28"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Пенітенціарні системи є вдосконаленим продуктом законодавчого осмислення, аналізу і розуміння обох розглянутих історичних моделей, які використовують певні елементи, адаптовані до вимог, пов’язаних з правами засуджених і людства в цілому, а також до сучасних кримінологічних концепцій.</w:t>
      </w:r>
    </w:p>
    <w:p w14:paraId="52935B25"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Підсумовуючи, варто зазначити, що реалізація державної політики у сфері кримінально-виконавчої системи вимагає чіткого алгоритму організаційно-правових засад, до яких належать:</w:t>
      </w:r>
    </w:p>
    <w:p w14:paraId="7A1C7D91"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врегульованість процедур – встановлення чіткого порядку та умови виконання та відбування кримінальних покарань, розміщення та утримання ув’язнених;</w:t>
      </w:r>
    </w:p>
    <w:p w14:paraId="320A2FCB"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правове забезпечення – створення сучасної законодавчої бази, що регулюватиме діяльність пенітенціарної системи, гарантії правового та соціального захисту (засуджених, ув’язнених, працівників та службовців установ системи);</w:t>
      </w:r>
    </w:p>
    <w:p w14:paraId="4BD84BFF"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кадрова політика – ефективна система добору, навчання та підвищення кваліфікації персоналу, оптимального розподілу кадрів відповідно до потреб установ тощо.</w:t>
      </w:r>
    </w:p>
    <w:p w14:paraId="43E859E4"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Лише за наявності цих умов можливе функціонування механізмів кримінально-виконавчої системи, що відповідатимуть міжнародним стандартам та забезпечать баланс між безпекою суспільства, справедливістю та ресоціалізацією правопорушників.</w:t>
      </w:r>
    </w:p>
    <w:p w14:paraId="43CD5B04" w14:textId="77777777" w:rsidR="00C1357F" w:rsidRPr="00511005" w:rsidRDefault="00C1357F" w:rsidP="003A292D">
      <w:pPr>
        <w:spacing w:line="264" w:lineRule="auto"/>
        <w:ind w:firstLine="0"/>
        <w:contextualSpacing/>
        <w:rPr>
          <w:rFonts w:ascii="Arial" w:eastAsia="Calibri" w:hAnsi="Arial" w:cs="Arial"/>
          <w:b/>
          <w:bCs/>
          <w:szCs w:val="28"/>
          <w:lang w:val="uk-UA"/>
        </w:rPr>
      </w:pPr>
    </w:p>
    <w:p w14:paraId="38298477" w14:textId="53C89FC7" w:rsidR="00C1357F" w:rsidRPr="00511005" w:rsidRDefault="007B2628" w:rsidP="007B2628">
      <w:pPr>
        <w:spacing w:line="264" w:lineRule="auto"/>
        <w:ind w:firstLine="0"/>
        <w:contextualSpacing/>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2BCBA52B" w14:textId="77777777" w:rsidR="00C1357F" w:rsidRPr="00511005" w:rsidRDefault="00C1357F" w:rsidP="003F6A5D">
      <w:pPr>
        <w:numPr>
          <w:ilvl w:val="0"/>
          <w:numId w:val="557"/>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Leven D. Criminal Justice Policy Issues. URL: </w:t>
      </w:r>
      <w:hyperlink r:id="rId2059" w:history="1">
        <w:r w:rsidRPr="00511005">
          <w:rPr>
            <w:rFonts w:ascii="Arial" w:eastAsia="Calibri" w:hAnsi="Arial" w:cs="Arial"/>
            <w:szCs w:val="28"/>
            <w:lang w:val="uk-UA"/>
          </w:rPr>
          <w:t>http://www.interfaithimpactnys.org/positonpapers/cj_policy.html</w:t>
        </w:r>
      </w:hyperlink>
      <w:r w:rsidRPr="00511005">
        <w:rPr>
          <w:rFonts w:ascii="Arial" w:eastAsia="Calibri" w:hAnsi="Arial" w:cs="Arial"/>
          <w:szCs w:val="28"/>
          <w:lang w:val="uk-UA"/>
        </w:rPr>
        <w:t xml:space="preserve">. </w:t>
      </w:r>
    </w:p>
    <w:p w14:paraId="3E8C3797" w14:textId="71A0CDD2" w:rsidR="00C1357F" w:rsidRPr="00511005" w:rsidRDefault="00C1357F" w:rsidP="003F6A5D">
      <w:pPr>
        <w:numPr>
          <w:ilvl w:val="0"/>
          <w:numId w:val="557"/>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Богатирьов І.Г. Кримінально-виконавче право України. К.: Всеукраїнська асоціація видавців «Правова єдність». 2008.</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352 с.</w:t>
      </w:r>
    </w:p>
    <w:p w14:paraId="243D74F2" w14:textId="77777777" w:rsidR="00C1357F" w:rsidRPr="00511005" w:rsidRDefault="00C1357F" w:rsidP="003F6A5D">
      <w:pPr>
        <w:numPr>
          <w:ilvl w:val="0"/>
          <w:numId w:val="557"/>
        </w:numPr>
        <w:spacing w:line="264" w:lineRule="auto"/>
        <w:ind w:firstLine="709"/>
        <w:contextualSpacing/>
        <w:jc w:val="left"/>
        <w:rPr>
          <w:rFonts w:ascii="Arial" w:eastAsia="Calibri" w:hAnsi="Arial" w:cs="Arial"/>
          <w:b/>
          <w:bCs/>
          <w:szCs w:val="28"/>
          <w:lang w:val="uk-UA"/>
        </w:rPr>
      </w:pPr>
      <w:r w:rsidRPr="00511005">
        <w:rPr>
          <w:rFonts w:ascii="Arial" w:eastAsia="Calibri" w:hAnsi="Arial" w:cs="Arial"/>
          <w:szCs w:val="28"/>
          <w:lang w:val="uk-UA"/>
        </w:rPr>
        <w:t xml:space="preserve">Господаренко В. Пенітенціарна система США та її реформування в рамках федеральної кримінально-правової політики. URL: </w:t>
      </w:r>
      <w:hyperlink r:id="rId2060" w:history="1">
        <w:r w:rsidRPr="00511005">
          <w:rPr>
            <w:rFonts w:ascii="Arial" w:eastAsia="Calibri" w:hAnsi="Arial" w:cs="Arial"/>
            <w:szCs w:val="28"/>
            <w:lang w:val="uk-UA"/>
          </w:rPr>
          <w:t>http://lib.pnu.edu.ua:8080/bitstream/123456789/8754/1/1022Article%20Text-2102-1-10-20191031.pdf</w:t>
        </w:r>
      </w:hyperlink>
      <w:r w:rsidRPr="00511005">
        <w:rPr>
          <w:rFonts w:ascii="Arial" w:eastAsia="Calibri" w:hAnsi="Arial" w:cs="Arial"/>
          <w:szCs w:val="28"/>
          <w:lang w:val="uk-UA"/>
        </w:rPr>
        <w:t xml:space="preserve">. </w:t>
      </w:r>
    </w:p>
    <w:p w14:paraId="64BC40A1" w14:textId="77777777" w:rsidR="00C1357F" w:rsidRPr="00511005" w:rsidRDefault="00C1357F" w:rsidP="003F6A5D">
      <w:pPr>
        <w:numPr>
          <w:ilvl w:val="0"/>
          <w:numId w:val="557"/>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Шкута О. Теоретико-правовий аналіз поняття «пенітенціарна система». Науковий вісник Міжнародного гуманітарного університету. Серія: Юриспруденція. 2017. Вип. 30. Т. 2., С. 56–59. URL: </w:t>
      </w:r>
      <w:hyperlink r:id="rId2061" w:history="1">
        <w:r w:rsidRPr="00511005">
          <w:rPr>
            <w:rFonts w:ascii="Arial" w:eastAsia="Calibri" w:hAnsi="Arial" w:cs="Arial"/>
            <w:szCs w:val="28"/>
            <w:lang w:val="uk-UA"/>
          </w:rPr>
          <w:t>http://www.vestnik-pravo.mgu.od.ua/archive/juspradenc30/part_2/16.pdf</w:t>
        </w:r>
      </w:hyperlink>
      <w:r w:rsidRPr="00511005">
        <w:rPr>
          <w:rFonts w:ascii="Arial" w:eastAsia="Calibri" w:hAnsi="Arial" w:cs="Arial"/>
          <w:szCs w:val="28"/>
          <w:lang w:val="uk-UA"/>
        </w:rPr>
        <w:t>.</w:t>
      </w:r>
    </w:p>
    <w:p w14:paraId="25083CBA" w14:textId="4BBB9AA8"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lastRenderedPageBreak/>
        <w:t xml:space="preserve">Ключові слова: </w:t>
      </w:r>
      <w:r w:rsidR="00C1357F" w:rsidRPr="00511005">
        <w:rPr>
          <w:rFonts w:ascii="Arial" w:eastAsia="Calibri" w:hAnsi="Arial" w:cs="Arial"/>
          <w:szCs w:val="28"/>
          <w:lang w:val="uk-UA"/>
        </w:rPr>
        <w:t>пенітенціарна система, в’язні, концепція, принципи, покарання, ізоляція, праця, методи контролю, злочини, засуджені, кримінально-виконавче право.</w:t>
      </w:r>
    </w:p>
    <w:p w14:paraId="480E760D" w14:textId="5803F402" w:rsidR="00C1357F"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bCs/>
          <w:i/>
          <w:szCs w:val="28"/>
          <w:lang w:val="uk-UA"/>
        </w:rPr>
        <w:t xml:space="preserve">Key words: </w:t>
      </w:r>
      <w:r w:rsidR="00C1357F" w:rsidRPr="00511005">
        <w:rPr>
          <w:rFonts w:ascii="Arial" w:eastAsia="Calibri" w:hAnsi="Arial" w:cs="Arial"/>
          <w:szCs w:val="28"/>
          <w:lang w:val="uk-UA"/>
        </w:rPr>
        <w:t>penitentiary system, prisoners, concept, principles, punishment, isolation, labor, control methods, crimes, convicts.</w:t>
      </w:r>
      <w:r w:rsidR="00C1357F" w:rsidRPr="00511005">
        <w:rPr>
          <w:rFonts w:ascii="Arial" w:eastAsia="Calibri" w:hAnsi="Arial" w:cs="Arial"/>
          <w:szCs w:val="28"/>
          <w:shd w:val="clear" w:color="auto" w:fill="FFFFFF"/>
          <w:lang w:val="uk-UA"/>
        </w:rPr>
        <w:t xml:space="preserve"> </w:t>
      </w:r>
      <w:r w:rsidR="00C1357F" w:rsidRPr="00511005">
        <w:rPr>
          <w:rFonts w:ascii="Arial" w:eastAsia="Calibri" w:hAnsi="Arial" w:cs="Arial"/>
          <w:szCs w:val="28"/>
          <w:lang w:val="uk-UA"/>
        </w:rPr>
        <w:t>criminal-executive law.</w:t>
      </w:r>
    </w:p>
    <w:p w14:paraId="6DD39953" w14:textId="496C0FCA" w:rsidR="00C1357F" w:rsidRPr="00511005" w:rsidRDefault="007B2628" w:rsidP="003A292D">
      <w:pPr>
        <w:spacing w:line="264" w:lineRule="auto"/>
        <w:ind w:firstLine="0"/>
        <w:contextualSpacing/>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C1357F" w:rsidRPr="00511005">
        <w:rPr>
          <w:rFonts w:ascii="Arial" w:eastAsia="Calibri" w:hAnsi="Arial" w:cs="Arial"/>
          <w:i/>
          <w:iCs/>
          <w:szCs w:val="28"/>
          <w:lang w:val="uk-UA"/>
        </w:rPr>
        <w:t>асистентка кафедри Лукащук К. Р.</w:t>
      </w:r>
    </w:p>
    <w:p w14:paraId="69AE05BA" w14:textId="77777777" w:rsidR="00C1357F" w:rsidRPr="00511005" w:rsidRDefault="00C1357F" w:rsidP="003A292D">
      <w:pPr>
        <w:spacing w:line="264" w:lineRule="auto"/>
        <w:ind w:firstLine="0"/>
        <w:rPr>
          <w:rFonts w:ascii="Arial" w:eastAsia="Calibri" w:hAnsi="Arial" w:cs="Arial"/>
          <w:b/>
          <w:i/>
          <w:szCs w:val="28"/>
          <w:lang w:val="uk-UA"/>
        </w:rPr>
      </w:pPr>
    </w:p>
    <w:p w14:paraId="541EA515" w14:textId="77777777" w:rsidR="00C1357F" w:rsidRPr="00511005" w:rsidRDefault="00C1357F" w:rsidP="003A292D">
      <w:pPr>
        <w:spacing w:line="264" w:lineRule="auto"/>
        <w:ind w:firstLine="0"/>
        <w:rPr>
          <w:rFonts w:ascii="Arial" w:eastAsia="Calibri" w:hAnsi="Arial" w:cs="Arial"/>
          <w:b/>
          <w:i/>
          <w:szCs w:val="28"/>
          <w:lang w:val="uk-UA"/>
        </w:rPr>
      </w:pPr>
    </w:p>
    <w:p w14:paraId="36B001C7" w14:textId="77777777" w:rsidR="00C1357F" w:rsidRPr="00511005" w:rsidRDefault="00C1357F"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Глебчук Христина Романівна</w:t>
      </w:r>
    </w:p>
    <w:p w14:paraId="58CC0971" w14:textId="2CEAF715"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26931F93"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52F16FA"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D927FD5" w14:textId="0F1C3873" w:rsidR="00C1357F" w:rsidRPr="00511005" w:rsidRDefault="00C1357F" w:rsidP="003A292D">
      <w:pPr>
        <w:spacing w:line="264" w:lineRule="auto"/>
        <w:ind w:firstLine="0"/>
        <w:jc w:val="center"/>
        <w:rPr>
          <w:rFonts w:ascii="Arial" w:eastAsia="Calibri" w:hAnsi="Arial" w:cs="Arial"/>
          <w:szCs w:val="28"/>
          <w:lang w:val="uk-UA"/>
        </w:rPr>
      </w:pPr>
    </w:p>
    <w:p w14:paraId="48AE4801" w14:textId="677716AC" w:rsidR="00E064E1" w:rsidRPr="00511005" w:rsidRDefault="00E064E1" w:rsidP="003A292D">
      <w:pPr>
        <w:spacing w:line="264" w:lineRule="auto"/>
        <w:ind w:firstLine="0"/>
        <w:jc w:val="center"/>
        <w:rPr>
          <w:rFonts w:ascii="Arial" w:eastAsia="Calibri" w:hAnsi="Arial" w:cs="Arial"/>
          <w:szCs w:val="28"/>
          <w:lang w:val="uk-UA"/>
        </w:rPr>
      </w:pPr>
      <w:r w:rsidRPr="00511005">
        <w:rPr>
          <w:rFonts w:ascii="Arial" w:eastAsia="Times New Roman" w:hAnsi="Arial" w:cs="Arial"/>
          <w:b/>
          <w:bCs/>
          <w:szCs w:val="28"/>
          <w:lang w:val="uk-UA" w:eastAsia="uk-UA"/>
        </w:rPr>
        <w:t>ПРОБЛЕМИ РЕАЛІЗАЦІЇ ПРАВ ЛЮДИНИ</w:t>
      </w:r>
    </w:p>
    <w:p w14:paraId="4E849ED1" w14:textId="3288E0E3" w:rsidR="00E064E1" w:rsidRPr="00511005" w:rsidRDefault="00E064E1" w:rsidP="003A292D">
      <w:pPr>
        <w:spacing w:line="264" w:lineRule="auto"/>
        <w:ind w:firstLine="0"/>
        <w:jc w:val="center"/>
        <w:rPr>
          <w:rFonts w:ascii="Arial" w:eastAsia="Calibri" w:hAnsi="Arial" w:cs="Arial"/>
          <w:szCs w:val="28"/>
          <w:lang w:val="uk-UA"/>
        </w:rPr>
      </w:pPr>
      <w:r w:rsidRPr="00511005">
        <w:rPr>
          <w:rFonts w:ascii="Arial" w:eastAsia="Times New Roman" w:hAnsi="Arial" w:cs="Arial"/>
          <w:b/>
          <w:bCs/>
          <w:szCs w:val="28"/>
          <w:lang w:val="uk-UA" w:eastAsia="uk-UA"/>
        </w:rPr>
        <w:t>У МІСЦЯХ ПОЗБАВЛЕННЯ ВОЛІ</w:t>
      </w:r>
    </w:p>
    <w:p w14:paraId="70AEF35B"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Забезпечення прав людини є невід’ємною умовою існування демократичної правової держави. Особливо гостро постає питання дотримання цих прав у місцях позбавлення волі, адже саме в таких установах держава бере на себе повну відповідальність за життя, здоров’я та гідність осіб, які перебувають у її підпорядкуванні. У зв’язку з цим, важливим є не лише формальне визнання прав, а й їхня реальна реалізація, що часто ускладнюється системними проблемами пенітенціарної системи України.</w:t>
      </w:r>
    </w:p>
    <w:p w14:paraId="02BAD18A"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Серед найбільш серйозних порушень прав людини в установах виконання покарань слід відзначити неналежні умови тримання, зокрема переповненість камер, відсутність доступу до якісного медичного обслуговування, санітарно-гігієнічних засобів, питної води. Це створює умови, що суперечать як нормам національного законодавства, так і міжнародним стандартам, зокрема статті 3 Європейської конвенції з прав людини та Мінімальним стандартним правилам поводження з ув’язненими (Правилам Нельсона Мандели) [1], [2].</w:t>
      </w:r>
    </w:p>
    <w:p w14:paraId="540548C3"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Ще однією серйозною проблемою є застосування фізичного й психологічного насильства з боку персоналу або інших ув’язнених. Відсутність ефективних механізмів розслідування таких випадків, формальний характер скарг та безкарність винних осіб лише поглиблюють недовіру до пенітенціарної системи [6, с. 35]. Більше того, механізми доступу до правової допомоги в багатьох випадках фактично не працюють — затягуються розгляди заяв, блокується доступ до адвокатів, скарги фільтруються адміністрацією [5, с. 23-28].</w:t>
      </w:r>
    </w:p>
    <w:p w14:paraId="69C5526E"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На мою думку, однією з причин такої ситуації є відсутність незалежного ефективного контролю за дотриманням прав людини у місцях позбавлення волі. Система державного нагляду в особі прокуратури здебільшого не виконує свою функцію у повному обсязі, а громадський моніторинг </w:t>
      </w:r>
      <w:r w:rsidRPr="00511005">
        <w:rPr>
          <w:rFonts w:ascii="Arial" w:eastAsia="Calibri" w:hAnsi="Arial" w:cs="Arial"/>
          <w:szCs w:val="28"/>
          <w:lang w:val="uk-UA"/>
        </w:rPr>
        <w:lastRenderedPageBreak/>
        <w:t>здійснюється без достатніх повноважень і підтримки. Відсутність відкритості та звітності створює простір для зловживань, корупції та приховування фактів порушень.</w:t>
      </w:r>
    </w:p>
    <w:p w14:paraId="51F844E4"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Крім того, великою проблемою є низький рівень роботи з ресоціалізації осіб, які відбувають покарання. Засуджені часто не мають доступу до освітніх, культурних, професійних програм, що унеможливлює їхню підготовку до повернення в суспільство. Як наслідок — високий рівень рецидиву, відчуження, соціальна дезадаптація після звільнення [8, с. 50-52].</w:t>
      </w:r>
    </w:p>
    <w:p w14:paraId="3C77AD21"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На мою думку, подолання цих проблем можливе лише за умови проведення системної пенітенціарної реформи, яка має включати: по-перше, приведення умов тримання у відповідність до міжнародних стандартів; по-друге, впровадження ефективних механізмів громадського та незалежного контролю за дотриманням прав ув’язнених; по-третє, забезпечення реального доступу до правової допомоги та механізмів подання скарг.</w:t>
      </w:r>
    </w:p>
    <w:p w14:paraId="56399DB5"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Важливим напрямом є також впровадження комплексної системи ресоціалізації — психологічна підтримка, професійне навчання, освітні програми та супровід після звільнення мають стати обов’язковими елементами функціонування установ виконання покарань. Окрему увагу необхідно приділити підвищенню кваліфікації персоналу, формуванню етичних норм і нульової толерантності до порушень прав людини всередині системи [8, с. 88].</w:t>
      </w:r>
    </w:p>
    <w:p w14:paraId="7B6416F8"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Успішне реформування пенітенціарної системи є запорукою не лише дотримання прав людини, а й підвищення рівня правосвідомості в суспільстві загалом. Людина не втрачає своїх прав за ґратами, і держава зобов’язана гарантувати їх дотримання. Тільки за умови впровадження реальних механізмів контролю, прозорості, підзвітності та гуманізації покарання можна забезпечити справедливість і правову державність в Україні.</w:t>
      </w:r>
    </w:p>
    <w:p w14:paraId="49D22FB7"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Порушення прав людини в місцях позбавлення волі — це не внутрішня проблема пенітенціарної системи, а індикатор зрілості всього правового устрою. І якщо держава не здатна захистити найбільш вразливі категорії громадян, то всі декларації про права людини залишаються лише формальністю. На моє переконання, настав час для реальних змін — глибоких, послідовних і незворотних.</w:t>
      </w:r>
    </w:p>
    <w:p w14:paraId="1F7D50A1"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Цікавим і недостатньо дослідженим аспектом є проблема психічного здоров’я осіб, які перебувають у місцях позбавлення волі. За даними Всесвітньої організації охорони здоров’я, понад 40% ув’язнених мають психічні або емоційні розлади, які часто залишаються без належного лікування. В Україні відсутність професійної психологічної підтримки в установах виконання покарань є системною проблемою, що суттєво погіршує загальний стан ув’язнених і знижує ефективність ресоціалізації [3].</w:t>
      </w:r>
    </w:p>
    <w:p w14:paraId="258AFF77"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У контексті цифровізації суспільства актуальним стає питання дотримання цифрових прав ув’язнених. Використання систем відеоспостереження, електронного контролю, обліку та моніторингу комунікацій потребує чіткого правового регулювання для захисту права на приватність. Особливо важливим є збереження конфіденційності листування з адвокатами та родичами, що має бути гарантуванням права на справедливий захист.</w:t>
      </w:r>
    </w:p>
    <w:p w14:paraId="60773CF0"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Особливу увагу слід приділяти захисту прав жінок, які перебувають у місцях несвободи. Гендерні аспекти порушень включають відсутність належних умов для догляду за дітьми, недостатнє забезпечення гігієнічними засобами, обмежений доступ до репродуктивного здоров’я. Жінки також частіше стають жертвами психологічного насильства, що потребує впровадження спеціальних програм підтримки та реабілітації [9, с. 45-52].</w:t>
      </w:r>
    </w:p>
    <w:p w14:paraId="5969B2AE"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Міжнародний досвід реформування пенітенціарної системи може стати орієнтиром для змін в Україні. Наприклад, у Норвегії впроваджено принцип «нормалізації» — умови життя в місцях позбавлення волі максимально наближені до звичайного соціального середовища, що сприяє ефективній адаптації. У Нідерландах і Фінляндії застосовуються електронні засоби контролю замість ізоляції, а система відкритих тюрем дозволяє ув’язненим підтримувати соціальні зв’язки та зберігати трудові навички [7, с. 87–93].</w:t>
      </w:r>
    </w:p>
    <w:p w14:paraId="46F8A1D7" w14:textId="77777777" w:rsidR="00C1357F" w:rsidRPr="00511005" w:rsidRDefault="00C1357F"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Отже, проблематика реалізації прав людини у місцях позбавлення волі є не лише юридичним, а й морально-етичним викликом для сучасної правової держави. Людина, позбавлена волі, не перестає бути особистістю, і її гідність має бути збереженою незалежно від тяжкості вчиненого правопорушення. Недотримання цих прав — це не просто порушення закону, це зневага до самих засад гуманізму, на яких має будуватися демократичне суспільство.</w:t>
      </w:r>
    </w:p>
    <w:p w14:paraId="4B658CC5" w14:textId="77777777" w:rsidR="00C1357F" w:rsidRPr="00511005" w:rsidRDefault="00C1357F"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Україна як держава, що декларує європейські цінності та прагне утвердження верховенства права, зобов’язана докласти максимальних зусиль до реформування пенітенціарної системи. Це передбачає не лише зміну законів, а й трансформацію управлінських підходів, формування нової культури ставлення до людини в ізоляції.</w:t>
      </w:r>
    </w:p>
    <w:p w14:paraId="11D64F57" w14:textId="77777777" w:rsidR="00C1357F" w:rsidRPr="00511005" w:rsidRDefault="00C1357F"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На моє переконання, лише поєднання волі до змін, відкритості до міжнародного досвіду, відповідального ставлення до моніторингу прав людини та реального інвестування у людський капітал може гарантувати те, що навіть у місцях позбавлення волі права людини залишатимуться непорушними.</w:t>
      </w:r>
    </w:p>
    <w:p w14:paraId="65AE740D" w14:textId="77777777" w:rsidR="00C1357F" w:rsidRPr="00511005" w:rsidRDefault="00C1357F" w:rsidP="003A292D">
      <w:pPr>
        <w:spacing w:line="264" w:lineRule="auto"/>
        <w:ind w:firstLine="0"/>
        <w:rPr>
          <w:rFonts w:ascii="Arial" w:eastAsia="Calibri" w:hAnsi="Arial" w:cs="Arial"/>
          <w:b/>
          <w:bCs/>
          <w:szCs w:val="28"/>
          <w:lang w:val="uk-UA"/>
        </w:rPr>
      </w:pPr>
    </w:p>
    <w:p w14:paraId="70A70072" w14:textId="5A1B6DD1" w:rsidR="00C1357F" w:rsidRPr="00511005" w:rsidRDefault="007B2628" w:rsidP="007B2628">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Список використаних джерел</w:t>
      </w:r>
    </w:p>
    <w:p w14:paraId="51C8FA91"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1. European Convention on Human Rights. Rome, 04.11.1950. URL: </w:t>
      </w:r>
      <w:hyperlink r:id="rId2062" w:tgtFrame="_new" w:history="1">
        <w:r w:rsidRPr="00511005">
          <w:rPr>
            <w:rFonts w:ascii="Arial" w:eastAsia="Calibri" w:hAnsi="Arial" w:cs="Arial"/>
            <w:szCs w:val="28"/>
            <w:lang w:val="uk-UA"/>
          </w:rPr>
          <w:t>https://www.echr.coe.int/documents/d/echr/convention_ENG</w:t>
        </w:r>
      </w:hyperlink>
      <w:r w:rsidRPr="00511005">
        <w:rPr>
          <w:rFonts w:ascii="Arial" w:eastAsia="Calibri" w:hAnsi="Arial" w:cs="Arial"/>
          <w:szCs w:val="28"/>
          <w:lang w:val="uk-UA"/>
        </w:rPr>
        <w:t>​.</w:t>
      </w:r>
    </w:p>
    <w:p w14:paraId="26416EE9"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2. United Nations Standard Minimum Rules for the Treatment of Prisoners (the Nelson Mandela Rules). Resolution adopted by the General Assembly on 17 </w:t>
      </w:r>
      <w:r w:rsidRPr="00511005">
        <w:rPr>
          <w:rFonts w:ascii="Arial" w:eastAsia="Calibri" w:hAnsi="Arial" w:cs="Arial"/>
          <w:szCs w:val="28"/>
          <w:lang w:val="uk-UA"/>
        </w:rPr>
        <w:lastRenderedPageBreak/>
        <w:t xml:space="preserve">December 2015. URL: </w:t>
      </w:r>
      <w:hyperlink r:id="rId2063" w:tgtFrame="_new" w:history="1">
        <w:r w:rsidRPr="00511005">
          <w:rPr>
            <w:rFonts w:ascii="Arial" w:eastAsia="Calibri" w:hAnsi="Arial" w:cs="Arial"/>
            <w:szCs w:val="28"/>
            <w:lang w:val="uk-UA"/>
          </w:rPr>
          <w:t>https://documents.un.org/doc/undoc/gen/n15/443/41/pdf/n1544341.pdf</w:t>
        </w:r>
      </w:hyperlink>
      <w:r w:rsidRPr="00511005">
        <w:rPr>
          <w:rFonts w:ascii="Arial" w:eastAsia="Calibri" w:hAnsi="Arial" w:cs="Arial"/>
          <w:szCs w:val="28"/>
          <w:lang w:val="uk-UA"/>
        </w:rPr>
        <w:t>​.</w:t>
      </w:r>
    </w:p>
    <w:p w14:paraId="37489924"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3. World Health Organization. Mental health and prisons. – WHO, 2021.</w:t>
      </w:r>
      <w:hyperlink r:id="rId2064" w:history="1">
        <w:r w:rsidRPr="00511005">
          <w:rPr>
            <w:rFonts w:ascii="Arial" w:eastAsia="Calibri" w:hAnsi="Arial" w:cs="Arial"/>
            <w:szCs w:val="28"/>
            <w:lang w:val="uk-UA"/>
          </w:rPr>
          <w:t>URL: https://www.who.int/europe/publications/m/item/factsheet---prison-health--mental-health-disorders-%282022%2</w:t>
        </w:r>
      </w:hyperlink>
      <w:r w:rsidRPr="00511005">
        <w:rPr>
          <w:rFonts w:ascii="Arial" w:eastAsia="Calibri" w:hAnsi="Arial" w:cs="Arial"/>
          <w:szCs w:val="28"/>
          <w:lang w:val="uk-UA"/>
        </w:rPr>
        <w:t>.</w:t>
      </w:r>
    </w:p>
    <w:p w14:paraId="7727D244"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4. Про попереднє ув’язнення: Закон України від 30.06.1993 № 3352-XII: станом на 01.01.2025. URL: </w:t>
      </w:r>
      <w:hyperlink r:id="rId2065" w:anchor="Text" w:history="1">
        <w:r w:rsidRPr="00511005">
          <w:rPr>
            <w:rFonts w:ascii="Arial" w:eastAsia="Calibri" w:hAnsi="Arial" w:cs="Arial"/>
            <w:szCs w:val="28"/>
            <w:lang w:val="uk-UA"/>
          </w:rPr>
          <w:t>https://zakon.rada.gov.ua/laws/show/3352-12#Text</w:t>
        </w:r>
      </w:hyperlink>
      <w:r w:rsidRPr="00511005">
        <w:rPr>
          <w:rFonts w:ascii="Arial" w:eastAsia="Calibri" w:hAnsi="Arial" w:cs="Arial"/>
          <w:szCs w:val="28"/>
          <w:lang w:val="uk-UA"/>
        </w:rPr>
        <w:t>.</w:t>
      </w:r>
    </w:p>
    <w:p w14:paraId="4DBA72E3"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5. Гуменюк В. А. Ресоціалізація засуджених: проблеми теорії і практики // Юридичний журнал, 2022. № 5. С. 23–28.</w:t>
      </w:r>
    </w:p>
    <w:p w14:paraId="04D655CB"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6. Звіт Уповноваженого Верховної Ради України з прав людини щодо стану дотримання прав людини у місцях позбавлення волі. URL: </w:t>
      </w:r>
      <w:hyperlink r:id="rId2066" w:history="1">
        <w:r w:rsidRPr="00511005">
          <w:rPr>
            <w:rFonts w:ascii="Arial" w:eastAsia="Calibri" w:hAnsi="Arial" w:cs="Arial"/>
            <w:szCs w:val="28"/>
            <w:lang w:val="uk-UA"/>
          </w:rPr>
          <w:t>https://ombudsman.gov.ua/report-2023/</w:t>
        </w:r>
      </w:hyperlink>
      <w:r w:rsidRPr="00511005">
        <w:rPr>
          <w:rFonts w:ascii="Arial" w:eastAsia="Calibri" w:hAnsi="Arial" w:cs="Arial"/>
          <w:szCs w:val="28"/>
          <w:lang w:val="uk-UA"/>
        </w:rPr>
        <w:t>.</w:t>
      </w:r>
    </w:p>
    <w:p w14:paraId="2DA612BB"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7. Лі К. А. Міжнародний досвід функціонування відкритих в’язниць: скандинавська модель. Право України. 2021. № 11. С. 87–93.</w:t>
      </w:r>
    </w:p>
    <w:p w14:paraId="57295C6F"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8. Харківська правозахисна група. Щорічна доповідь про порушення прав людини у місцях несвободи в Україні за 2023 рік. Харків, 2024. 88 с.</w:t>
      </w:r>
    </w:p>
    <w:p w14:paraId="68CBF99F"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9. Ходаківська О. М. Гендерна специфіка порушення прав жінок у місцях позбавлення волі // Вісник кримінологічних досліджень, 2023. № 1. С. 45–52.</w:t>
      </w:r>
    </w:p>
    <w:p w14:paraId="743426CB" w14:textId="7CE871C3"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357F" w:rsidRPr="00511005">
        <w:rPr>
          <w:rFonts w:ascii="Arial" w:eastAsia="Calibri" w:hAnsi="Arial" w:cs="Arial"/>
          <w:szCs w:val="28"/>
          <w:lang w:val="uk-UA"/>
        </w:rPr>
        <w:t>права людини, пенітенціарна система, ресоціалізація,</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 xml:space="preserve">гідність. </w:t>
      </w:r>
    </w:p>
    <w:p w14:paraId="0FC13861" w14:textId="773BB248"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C1357F" w:rsidRPr="00511005">
        <w:rPr>
          <w:rFonts w:ascii="Arial" w:eastAsia="Calibri" w:hAnsi="Arial" w:cs="Arial"/>
          <w:szCs w:val="28"/>
          <w:lang w:val="uk-UA"/>
        </w:rPr>
        <w:t>human rights, penitentiary system, resocialization, dignity.</w:t>
      </w:r>
    </w:p>
    <w:p w14:paraId="029C93D2" w14:textId="51A688B5" w:rsidR="00C1357F"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C1357F" w:rsidRPr="00511005">
        <w:rPr>
          <w:rFonts w:ascii="Arial" w:eastAsia="Calibri" w:hAnsi="Arial" w:cs="Arial"/>
          <w:i/>
          <w:iCs/>
          <w:szCs w:val="28"/>
          <w:lang w:val="uk-UA"/>
        </w:rPr>
        <w:t xml:space="preserve">асистентка кафедри Лукащук К. Р. </w:t>
      </w:r>
    </w:p>
    <w:p w14:paraId="4BDF83B4" w14:textId="77777777" w:rsidR="00C1357F" w:rsidRPr="00511005" w:rsidRDefault="00C1357F" w:rsidP="003A292D">
      <w:pPr>
        <w:keepNext/>
        <w:spacing w:line="264" w:lineRule="auto"/>
        <w:ind w:firstLine="0"/>
        <w:contextualSpacing/>
        <w:rPr>
          <w:rFonts w:ascii="Arial" w:eastAsia="Calibri" w:hAnsi="Arial" w:cs="Arial"/>
          <w:b/>
          <w:i/>
          <w:szCs w:val="28"/>
          <w:lang w:val="uk-UA"/>
        </w:rPr>
      </w:pPr>
    </w:p>
    <w:p w14:paraId="58CC74DF" w14:textId="77777777" w:rsidR="00C1357F" w:rsidRPr="00511005" w:rsidRDefault="00C1357F" w:rsidP="003A292D">
      <w:pPr>
        <w:keepNext/>
        <w:spacing w:line="264" w:lineRule="auto"/>
        <w:ind w:firstLine="0"/>
        <w:contextualSpacing/>
        <w:rPr>
          <w:rFonts w:ascii="Arial" w:eastAsia="Calibri" w:hAnsi="Arial" w:cs="Arial"/>
          <w:b/>
          <w:i/>
          <w:szCs w:val="28"/>
          <w:lang w:val="uk-UA"/>
        </w:rPr>
      </w:pPr>
    </w:p>
    <w:p w14:paraId="36AC6FBF" w14:textId="77777777" w:rsidR="00C1357F" w:rsidRPr="00511005" w:rsidRDefault="00C1357F" w:rsidP="003A292D">
      <w:pPr>
        <w:keepNext/>
        <w:spacing w:line="264" w:lineRule="auto"/>
        <w:ind w:firstLine="0"/>
        <w:contextualSpacing/>
        <w:jc w:val="center"/>
        <w:rPr>
          <w:rFonts w:ascii="Arial" w:eastAsia="Calibri" w:hAnsi="Arial" w:cs="Arial"/>
          <w:b/>
          <w:i/>
          <w:szCs w:val="28"/>
          <w:lang w:val="uk-UA"/>
        </w:rPr>
      </w:pPr>
      <w:r w:rsidRPr="00511005">
        <w:rPr>
          <w:rFonts w:ascii="Arial" w:eastAsia="Calibri" w:hAnsi="Arial" w:cs="Arial"/>
          <w:b/>
          <w:i/>
          <w:szCs w:val="28"/>
          <w:lang w:val="uk-UA"/>
        </w:rPr>
        <w:t>Горячківська Оксана Вікторівна</w:t>
      </w:r>
    </w:p>
    <w:p w14:paraId="2A916716" w14:textId="5243E5EF"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272C90FC"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3C2CCCA"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A8FDFFB" w14:textId="77777777" w:rsidR="00C1357F" w:rsidRPr="00511005" w:rsidRDefault="00C1357F" w:rsidP="003A292D">
      <w:pPr>
        <w:spacing w:line="264" w:lineRule="auto"/>
        <w:ind w:firstLine="0"/>
        <w:contextualSpacing/>
        <w:jc w:val="center"/>
        <w:rPr>
          <w:rFonts w:ascii="Arial" w:eastAsia="Calibri" w:hAnsi="Arial" w:cs="Arial"/>
          <w:szCs w:val="28"/>
          <w:lang w:val="uk-UA"/>
        </w:rPr>
      </w:pPr>
    </w:p>
    <w:p w14:paraId="6C906A83" w14:textId="77777777" w:rsidR="00C1357F" w:rsidRPr="00511005" w:rsidRDefault="00C1357F" w:rsidP="003A292D">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ПОКАРАННЯ ЩОДО НЕПОВНОЛІТНІХ: ДЕЯКІ ОСОБЛИВОСТІ</w:t>
      </w:r>
    </w:p>
    <w:p w14:paraId="7B53049E"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Злочинність серед неповнолітніх залишається однією серед значущих проблем сучасного суспільства, характеризуючись стабільно високою часткою в загальній кримінальній статистиці. Покарання є однією з форм суспільної реакції на протиправну поведінку осіб. Однак, розглядаючи питання відповідальності неповнолітніх за вчинені кримінальні правопорушення, важливо пам'ятати про їхній особливий правовий статус в силу свого віку та психологічної незрілості. Специфіка застосування покарань щодо неповнолітніх та регулювання їх правового статусу відображені в багатьох міжнародно-правових документах. Дослідження проблематики покарання щодо неповнолітніх, аналіз існуючих підходів та </w:t>
      </w:r>
      <w:r w:rsidRPr="00511005">
        <w:rPr>
          <w:rFonts w:ascii="Arial" w:eastAsia="Calibri" w:hAnsi="Arial" w:cs="Arial"/>
          <w:szCs w:val="28"/>
          <w:lang w:val="uk-UA"/>
        </w:rPr>
        <w:lastRenderedPageBreak/>
        <w:t>пошук більш гуманних та ефективних альтернатив є надзвичайно актуальним завданням сучасної юриспруденції та соціальної політики.</w:t>
      </w:r>
    </w:p>
    <w:p w14:paraId="3AE52A4B"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Одним із головних завдань кримінально-виконавчої політики є забезпечення ефективності кримінального покарання та досягнення його мети, що вимагає створення цілісної та узгодженої системи кримінальних покарань. На цю проблему слід звернути особливу увагу, адже не кожне покарання може бути дієвим при застосуванні до неповнолітньої особи, зважаючи на специфіку її психофізіологічного розвитку.</w:t>
      </w:r>
    </w:p>
    <w:p w14:paraId="049453B2" w14:textId="106FDF5B"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В Кримінальному кодексі України (далі – КК України)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виділений спеціальний розділ, присвячений відповідальності неповнолітніх -</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розділ XV «Особливості кримінальної відповідальності та покарання неповнолітніх». Виділення цього розділу дає змогу при розгляді питань кримінальної відповідальності неповнолітніх належним чином врахувати особливості їхнього психічного розвитку, умови виховання, причини та обставини, що призвели до вчинення кримінального правопорушення та призначити законне й справедливе покарання.</w:t>
      </w:r>
    </w:p>
    <w:p w14:paraId="495B7BFA"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Ст. 98 КК України зазначає, що до неповнолітнього можуть бути застосовані такі покарання: «штраф;</w:t>
      </w:r>
      <w:bookmarkStart w:id="254" w:name="n614"/>
      <w:bookmarkEnd w:id="254"/>
      <w:r w:rsidRPr="00511005">
        <w:rPr>
          <w:rFonts w:ascii="Arial" w:eastAsia="Calibri" w:hAnsi="Arial" w:cs="Arial"/>
          <w:szCs w:val="28"/>
          <w:lang w:val="uk-UA"/>
        </w:rPr>
        <w:t xml:space="preserve"> громадські роботи;</w:t>
      </w:r>
      <w:bookmarkStart w:id="255" w:name="n615"/>
      <w:bookmarkEnd w:id="255"/>
      <w:r w:rsidRPr="00511005">
        <w:rPr>
          <w:rFonts w:ascii="Arial" w:eastAsia="Calibri" w:hAnsi="Arial" w:cs="Arial"/>
          <w:szCs w:val="28"/>
          <w:lang w:val="uk-UA"/>
        </w:rPr>
        <w:t xml:space="preserve"> виправні роботи;</w:t>
      </w:r>
      <w:bookmarkStart w:id="256" w:name="n616"/>
      <w:bookmarkEnd w:id="256"/>
      <w:r w:rsidRPr="00511005">
        <w:rPr>
          <w:rFonts w:ascii="Arial" w:eastAsia="Calibri" w:hAnsi="Arial" w:cs="Arial"/>
          <w:szCs w:val="28"/>
          <w:lang w:val="uk-UA"/>
        </w:rPr>
        <w:t xml:space="preserve"> пробаційний нагляд;</w:t>
      </w:r>
      <w:bookmarkStart w:id="257" w:name="n617"/>
      <w:bookmarkEnd w:id="257"/>
      <w:r w:rsidRPr="00511005">
        <w:rPr>
          <w:rFonts w:ascii="Arial" w:eastAsia="Calibri" w:hAnsi="Arial" w:cs="Arial"/>
          <w:szCs w:val="28"/>
          <w:lang w:val="uk-UA"/>
        </w:rPr>
        <w:t xml:space="preserve"> позбавлення волі на певний строк; позбавлення права обіймати певні посади або займатися певною діяльністю».</w:t>
      </w:r>
    </w:p>
    <w:p w14:paraId="55AFF505"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Насамперед варто зазначити, що зміст та умови застосування названих видів покарань для неповнолітніх мають певні відмінності від аналогічних покарань, що застосовуються до повнолітніх осіб (штраф може стягуватися лише за наявності самостійного доходу, коштів або майна; тривалість таких покарань, як громадські та виправні роботи значно скорочена) [1].</w:t>
      </w:r>
    </w:p>
    <w:p w14:paraId="5A579A6E"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Можна побачити, що майже всі покарання, які застосовуються до неповнолітніх, не пов’язані з позбавленням волі. І тут виникає головна складність застосування покарання до неповнолітніх, адже до зазначеної категорії осіб застосовувати покарання, альтернативних позбавленню волі, є вкрай ускладненим. Проблема виконання покарання у вигляді штрафу полягає у частій відсутності у неповнолітнього власних доходів або майна, яке можна було б використати для стягнення. Зважаючи на це, на сьогоднішній день позбавлення волі залишається найчастішим видом покарання, що призначається неповнолітнім за скоєння тяжких та особливо тяжких злочинів. Однак, застосування цього виду покарання має вкрай негативний вплив на формування їхніх особистісних якостей.</w:t>
      </w:r>
    </w:p>
    <w:p w14:paraId="6DCC5117" w14:textId="3F1A757B"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Позбавлення волі на певний строк</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є самим суворим покаранням у системі покарань, які можуть призначатися неповнолітнім. На підставі ст. 19 Кримінально-виконавчого кодексу України (далі – КВК України) неповнолітні, засуджені до покарання у виді позбавлення волі, відбувають його у виховних колоніях. Як випливає з їхньої назви, головна мета цих установ полягає у виховному впливі на засуджених.</w:t>
      </w:r>
    </w:p>
    <w:p w14:paraId="524FC51B" w14:textId="7ACD7A68"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 xml:space="preserve">Основними характеристиками виховних колоній є </w:t>
      </w:r>
      <w:r w:rsidRPr="00511005">
        <w:rPr>
          <w:rFonts w:ascii="Arial" w:eastAsia="Calibri" w:hAnsi="Arial" w:cs="Arial"/>
          <w:bCs/>
          <w:szCs w:val="28"/>
          <w:lang w:val="uk-UA"/>
        </w:rPr>
        <w:t>менш суворий та обмежувальний режим утримання</w:t>
      </w:r>
      <w:r w:rsidRPr="00511005">
        <w:rPr>
          <w:rFonts w:ascii="Arial" w:eastAsia="Calibri" w:hAnsi="Arial" w:cs="Arial"/>
          <w:szCs w:val="28"/>
          <w:lang w:val="uk-UA"/>
        </w:rPr>
        <w:t>.</w:t>
      </w:r>
      <w:r w:rsidRPr="00511005">
        <w:rPr>
          <w:rFonts w:ascii="Arial" w:eastAsia="Calibri" w:hAnsi="Arial" w:cs="Arial"/>
          <w:b/>
          <w:szCs w:val="28"/>
          <w:lang w:val="uk-UA"/>
        </w:rPr>
        <w:t xml:space="preserve"> </w:t>
      </w:r>
      <w:r w:rsidRPr="00511005">
        <w:rPr>
          <w:rFonts w:ascii="Arial" w:eastAsia="Calibri" w:hAnsi="Arial" w:cs="Arial"/>
          <w:szCs w:val="28"/>
          <w:lang w:val="uk-UA"/>
        </w:rPr>
        <w:t>Це проявляється в: «підвищених нормах харчування, більших можливостях для занять спортом та участі в інших видах діяльності, перебуванні на відкритому просторі; можливостях щодо навчання засуджених; специфічних умовах праці засуджених, що закріплені в законодавстві про працю; забороні</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застосування спеціальних засобів безпеки та накладення дисциплінарних стягнень; звуженні кола заходів, що можуть бути застосовані до неповнолітніх (переміщення без супроводу, слідування до місця вибуття при звільненні засудженого, переведення неповнолітніх в інші колонії тощо); обов’язковому переведенні засуджених на дільницю соціальної адаптації у тих випадках, коли до звільнення засудженого залишилося не більше 6 місяців; розширенні можливостей для їх звільнення, включаючи дострокове звільнення засуджених» [2].</w:t>
      </w:r>
    </w:p>
    <w:p w14:paraId="5949906C"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Аналіз чинного законодавства дає змогу дійти висновку, що перелік покарань до неповнолітніх є доволі обмеженим. Як результат, спостерігається низька дієвість системи запобігання злочинності серед неповнолітніх, часте застосування покарання у виді позбавлення волі і вкрай обмеження використання альтернативних санкцій, а також недостатній рівень індивідуалізації покарання з урахуванням специфіки особистості неповнолітнього правопорушника [3].</w:t>
      </w:r>
    </w:p>
    <w:p w14:paraId="7636637C"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На відмінну від нашого, законодавство закордонних країн має більш широкий перелік покарань, не пов’язаних з ізоляцією від суспільства: обов’язок усунути заподіяну шкоду або виконати на користь потерпілої сторони певні роботи з метою компенсації заподіяної шкоди, обов’язок відвідувати навчальну програму [4].</w:t>
      </w:r>
    </w:p>
    <w:p w14:paraId="1F938D9A"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Розширення переліку покарань, доступних для застосування до неповнолітніх, надало б судам ширші можливості при визначенні конкретного виду санкції, що сприятиме більш індивідуальному підходу кримінальної відповідальності. Вікові характеристики неповнолітніх підкреслюють важливість розробки таких заходів покарання, де наголос переноситься з каральних санкцій на виховний та превентивний вплив.</w:t>
      </w:r>
    </w:p>
    <w:p w14:paraId="7AAC02AA" w14:textId="77777777" w:rsidR="00C1357F" w:rsidRPr="00511005" w:rsidRDefault="00C1357F" w:rsidP="003A292D">
      <w:pPr>
        <w:spacing w:line="264" w:lineRule="auto"/>
        <w:ind w:firstLine="0"/>
        <w:contextualSpacing/>
        <w:rPr>
          <w:rFonts w:ascii="Arial" w:eastAsia="Calibri" w:hAnsi="Arial" w:cs="Arial"/>
          <w:b/>
          <w:iCs/>
          <w:szCs w:val="28"/>
          <w:lang w:val="uk-UA"/>
        </w:rPr>
      </w:pPr>
    </w:p>
    <w:p w14:paraId="33EF3D07" w14:textId="5F145146" w:rsidR="00C1357F" w:rsidRPr="00511005" w:rsidRDefault="007B2628" w:rsidP="007B2628">
      <w:pPr>
        <w:spacing w:line="264" w:lineRule="auto"/>
        <w:ind w:firstLine="0"/>
        <w:contextualSpacing/>
        <w:jc w:val="center"/>
        <w:rPr>
          <w:rFonts w:ascii="Arial" w:eastAsia="Calibri" w:hAnsi="Arial" w:cs="Arial"/>
          <w:szCs w:val="28"/>
          <w:lang w:val="uk-UA"/>
        </w:rPr>
      </w:pPr>
      <w:r w:rsidRPr="00511005">
        <w:rPr>
          <w:rFonts w:ascii="Arial" w:eastAsia="Calibri" w:hAnsi="Arial" w:cs="Arial"/>
          <w:b/>
          <w:iCs/>
          <w:szCs w:val="28"/>
          <w:lang w:val="uk-UA"/>
        </w:rPr>
        <w:t>Список використаних джерел</w:t>
      </w:r>
    </w:p>
    <w:p w14:paraId="7C050663"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1. Кримінальний кодекс України. Закон України від 05.04.2001 2341-III: станом на 01.02. 2025. URL: </w:t>
      </w:r>
      <w:hyperlink r:id="rId2067" w:anchor="n628" w:history="1">
        <w:r w:rsidRPr="00511005">
          <w:rPr>
            <w:rFonts w:ascii="Arial" w:eastAsia="Calibri" w:hAnsi="Arial" w:cs="Arial"/>
            <w:szCs w:val="28"/>
            <w:lang w:val="uk-UA"/>
          </w:rPr>
          <w:t>https://zakon.rada.gov.ua/laws/show/2341-14#n628</w:t>
        </w:r>
      </w:hyperlink>
      <w:r w:rsidRPr="00511005">
        <w:rPr>
          <w:rFonts w:ascii="Arial" w:eastAsia="Calibri" w:hAnsi="Arial" w:cs="Arial"/>
          <w:szCs w:val="28"/>
          <w:lang w:val="uk-UA"/>
        </w:rPr>
        <w:t xml:space="preserve">. </w:t>
      </w:r>
    </w:p>
    <w:p w14:paraId="67D303CA"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2. Кримінально-виконавчий кодекс України. Закон України від 11.07.2003 № 1129-IV: станом на 01.01.2025. URL: </w:t>
      </w:r>
      <w:hyperlink r:id="rId2068" w:anchor="n1073" w:history="1">
        <w:r w:rsidRPr="00511005">
          <w:rPr>
            <w:rFonts w:ascii="Arial" w:eastAsia="Calibri" w:hAnsi="Arial" w:cs="Arial"/>
            <w:szCs w:val="28"/>
            <w:lang w:val="uk-UA"/>
          </w:rPr>
          <w:t>https://zakon.rada.gov.ua/laws/show/1129-15#n1073</w:t>
        </w:r>
      </w:hyperlink>
      <w:r w:rsidRPr="00511005">
        <w:rPr>
          <w:rFonts w:ascii="Arial" w:eastAsia="Calibri" w:hAnsi="Arial" w:cs="Arial"/>
          <w:szCs w:val="28"/>
          <w:lang w:val="uk-UA"/>
        </w:rPr>
        <w:t>.</w:t>
      </w:r>
    </w:p>
    <w:p w14:paraId="25455817"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3. Андрусяк Г.М. Кримінальна відповідальність неповнолітніх за законодавством зарубіжних країн. Правова позиція. Дніпро, 2020. С. 114-119. URL: </w:t>
      </w:r>
      <w:hyperlink r:id="rId2069" w:history="1">
        <w:r w:rsidRPr="00511005">
          <w:rPr>
            <w:rFonts w:ascii="Arial" w:eastAsia="Calibri" w:hAnsi="Arial" w:cs="Arial"/>
            <w:szCs w:val="28"/>
            <w:lang w:val="uk-UA"/>
          </w:rPr>
          <w:t>https://evnuir.vnu.edu.ua/bitstream/123456789/22173/1/22.pdf</w:t>
        </w:r>
      </w:hyperlink>
      <w:r w:rsidRPr="00511005">
        <w:rPr>
          <w:rFonts w:ascii="Arial" w:eastAsia="Calibri" w:hAnsi="Arial" w:cs="Arial"/>
          <w:szCs w:val="28"/>
          <w:lang w:val="uk-UA"/>
        </w:rPr>
        <w:t>.</w:t>
      </w:r>
    </w:p>
    <w:p w14:paraId="70513FEC" w14:textId="56A0C5B9"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4. Мирошниченко Н. М. Актуальні проблеми призначення покарання неповнолітнім: шляхи удосконалення. Вісник Південного регіонального центру Національної академії правових наук України. Одеса, 2017.</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С. 206-212. URL: </w:t>
      </w:r>
      <w:hyperlink r:id="rId2070" w:history="1">
        <w:r w:rsidRPr="00511005">
          <w:rPr>
            <w:rFonts w:ascii="Arial" w:eastAsia="Calibri" w:hAnsi="Arial" w:cs="Arial"/>
            <w:szCs w:val="28"/>
            <w:lang w:val="uk-UA"/>
          </w:rPr>
          <w:t>file:///C:/Users/user/Downloads/vprc_2017_10_31-1.pdf</w:t>
        </w:r>
      </w:hyperlink>
      <w:r w:rsidRPr="00511005">
        <w:rPr>
          <w:rFonts w:ascii="Arial" w:eastAsia="Calibri" w:hAnsi="Arial" w:cs="Arial"/>
          <w:szCs w:val="28"/>
          <w:lang w:val="uk-UA"/>
        </w:rPr>
        <w:t>.</w:t>
      </w:r>
    </w:p>
    <w:p w14:paraId="780E2B34" w14:textId="3AB1E6C7" w:rsidR="00C1357F"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357F" w:rsidRPr="00511005">
        <w:rPr>
          <w:rFonts w:ascii="Arial" w:eastAsia="Calibri" w:hAnsi="Arial" w:cs="Arial"/>
          <w:szCs w:val="28"/>
          <w:lang w:val="uk-UA"/>
        </w:rPr>
        <w:t>злочинність, неповнолітні, психологічна незрілість, покарання, виховна колонія.</w:t>
      </w:r>
    </w:p>
    <w:p w14:paraId="529C6E70" w14:textId="77297494" w:rsidR="00C1357F"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i/>
          <w:szCs w:val="28"/>
          <w:lang w:val="uk-UA"/>
        </w:rPr>
        <w:t xml:space="preserve">Key words: </w:t>
      </w:r>
      <w:r w:rsidR="00C1357F" w:rsidRPr="00511005">
        <w:rPr>
          <w:rFonts w:ascii="Arial" w:eastAsia="Calibri" w:hAnsi="Arial" w:cs="Arial"/>
          <w:szCs w:val="28"/>
          <w:lang w:val="uk-UA"/>
        </w:rPr>
        <w:t>crime, minors, psychological immaturity, sanction, educational colony.</w:t>
      </w:r>
    </w:p>
    <w:p w14:paraId="5645A4F7" w14:textId="7CD756CD" w:rsidR="00C1357F"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bCs/>
          <w:i/>
          <w:iCs/>
          <w:szCs w:val="28"/>
          <w:lang w:val="uk-UA"/>
        </w:rPr>
        <w:t xml:space="preserve">Науковий керівник: </w:t>
      </w:r>
      <w:r w:rsidR="00C1357F" w:rsidRPr="00511005">
        <w:rPr>
          <w:rFonts w:ascii="Arial" w:eastAsia="Calibri" w:hAnsi="Arial" w:cs="Arial"/>
          <w:bCs/>
          <w:i/>
          <w:iCs/>
          <w:szCs w:val="28"/>
          <w:lang w:val="uk-UA"/>
        </w:rPr>
        <w:t>асистентка кафедри Лукащук К.Р.</w:t>
      </w:r>
    </w:p>
    <w:p w14:paraId="48D66F3F" w14:textId="77777777" w:rsidR="00C1357F" w:rsidRPr="00511005" w:rsidRDefault="00C1357F" w:rsidP="003A292D">
      <w:pPr>
        <w:spacing w:line="264" w:lineRule="auto"/>
        <w:ind w:firstLine="0"/>
        <w:contextualSpacing/>
        <w:rPr>
          <w:rFonts w:ascii="Arial" w:eastAsia="Calibri" w:hAnsi="Arial" w:cs="Arial"/>
          <w:szCs w:val="28"/>
          <w:lang w:val="uk-UA"/>
        </w:rPr>
      </w:pPr>
    </w:p>
    <w:p w14:paraId="6576A3B8" w14:textId="77777777" w:rsidR="00C1357F" w:rsidRPr="00511005" w:rsidRDefault="00C1357F" w:rsidP="003A292D">
      <w:pPr>
        <w:spacing w:line="264" w:lineRule="auto"/>
        <w:ind w:firstLine="0"/>
        <w:contextualSpacing/>
        <w:jc w:val="center"/>
        <w:rPr>
          <w:rFonts w:ascii="Arial" w:eastAsia="Calibri" w:hAnsi="Arial" w:cs="Arial"/>
          <w:b/>
          <w:bCs/>
          <w:i/>
          <w:iCs/>
          <w:szCs w:val="28"/>
          <w:lang w:val="uk-UA"/>
        </w:rPr>
      </w:pPr>
      <w:r w:rsidRPr="00511005">
        <w:rPr>
          <w:rFonts w:ascii="Arial" w:eastAsia="Calibri" w:hAnsi="Arial" w:cs="Arial"/>
          <w:b/>
          <w:bCs/>
          <w:i/>
          <w:iCs/>
          <w:szCs w:val="28"/>
          <w:lang w:val="uk-UA"/>
        </w:rPr>
        <w:t>Грищенко Дарія Андріївна</w:t>
      </w:r>
    </w:p>
    <w:p w14:paraId="133758E6" w14:textId="480DF351"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4D5A183E"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460CE34"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CDEB074" w14:textId="77777777" w:rsidR="00C1357F" w:rsidRPr="00511005" w:rsidRDefault="00C1357F" w:rsidP="003A292D">
      <w:pPr>
        <w:spacing w:line="264" w:lineRule="auto"/>
        <w:ind w:firstLine="0"/>
        <w:contextualSpacing/>
        <w:jc w:val="center"/>
        <w:rPr>
          <w:rFonts w:ascii="Arial" w:eastAsia="Calibri" w:hAnsi="Arial" w:cs="Arial"/>
          <w:b/>
          <w:bCs/>
          <w:szCs w:val="28"/>
          <w:lang w:val="uk-UA"/>
        </w:rPr>
      </w:pPr>
    </w:p>
    <w:p w14:paraId="46243712" w14:textId="77777777" w:rsidR="00C1357F" w:rsidRPr="00511005" w:rsidRDefault="00C1357F" w:rsidP="003A292D">
      <w:pPr>
        <w:spacing w:line="264" w:lineRule="auto"/>
        <w:ind w:firstLine="0"/>
        <w:contextualSpacing/>
        <w:jc w:val="center"/>
        <w:rPr>
          <w:rFonts w:ascii="Arial" w:eastAsia="Calibri" w:hAnsi="Arial" w:cs="Arial"/>
          <w:b/>
          <w:bCs/>
          <w:szCs w:val="28"/>
          <w:lang w:val="uk-UA"/>
        </w:rPr>
      </w:pPr>
      <w:r w:rsidRPr="00511005">
        <w:rPr>
          <w:rFonts w:ascii="Arial" w:eastAsia="Calibri" w:hAnsi="Arial" w:cs="Arial"/>
          <w:b/>
          <w:bCs/>
          <w:szCs w:val="28"/>
          <w:lang w:val="uk-UA"/>
        </w:rPr>
        <w:t>ПРАВО НА МЕДИЧНУ ДОПОМОГУ В МІСЦЯХ ПОЗБАВЛЕННЯ ВОЛІ: НАЦІОНАЛЬНІ СТАНДАРТИ І ПРАКТИКА ЄСПЛ</w:t>
      </w:r>
    </w:p>
    <w:p w14:paraId="76617AB6" w14:textId="77777777" w:rsidR="00C1357F" w:rsidRPr="00511005" w:rsidRDefault="00C1357F" w:rsidP="003A292D">
      <w:pPr>
        <w:spacing w:line="264" w:lineRule="auto"/>
        <w:ind w:firstLine="0"/>
        <w:contextualSpacing/>
        <w:rPr>
          <w:rFonts w:ascii="Arial" w:eastAsia="Calibri" w:hAnsi="Arial" w:cs="Arial"/>
          <w:b/>
          <w:bCs/>
          <w:szCs w:val="28"/>
          <w:lang w:val="uk-UA"/>
        </w:rPr>
      </w:pPr>
      <w:r w:rsidRPr="00511005">
        <w:rPr>
          <w:rFonts w:ascii="Arial" w:eastAsia="Calibri" w:hAnsi="Arial" w:cs="Arial"/>
          <w:szCs w:val="28"/>
          <w:lang w:val="uk-UA"/>
        </w:rPr>
        <w:t xml:space="preserve">Право на медичну допомогу є одним із конституційних прав громадян України, закріпленим у ст. 49 Конституції України. Його зміст полягає у тому, що </w:t>
      </w:r>
      <w:r w:rsidRPr="00511005">
        <w:rPr>
          <w:rFonts w:ascii="Arial" w:eastAsia="Calibri" w:hAnsi="Arial" w:cs="Arial"/>
          <w:iCs/>
          <w:szCs w:val="28"/>
          <w:lang w:val="uk-UA"/>
        </w:rPr>
        <w:t>«кожен має право на охорону здоров'я, медичну допомогу та медичне страхування»</w:t>
      </w:r>
      <w:r w:rsidRPr="00511005">
        <w:rPr>
          <w:rFonts w:ascii="Arial" w:eastAsia="Calibri" w:hAnsi="Arial" w:cs="Arial"/>
          <w:szCs w:val="28"/>
          <w:lang w:val="uk-UA"/>
        </w:rPr>
        <w:t xml:space="preserve"> [1]. Особливості його реалізації деталізуються у положеннях Закону України «Основи законодавства України про охорону здоров’я» і в положеннях Цивільного Кодексу України. Згідно ч. 2 ст. 7 Кримінально-виконавчого кодексу України (далі – КВК) </w:t>
      </w:r>
      <w:r w:rsidRPr="00511005">
        <w:rPr>
          <w:rFonts w:ascii="Arial" w:eastAsia="Calibri" w:hAnsi="Arial" w:cs="Arial"/>
          <w:iCs/>
          <w:szCs w:val="28"/>
          <w:lang w:val="uk-UA"/>
        </w:rPr>
        <w:t>«засуджені користуються всіма правами людини та громадянина, передбаченими Конституцією України, за винятком обмежень, визначених КВК України, законами України і встановлених вироком суду»</w:t>
      </w:r>
      <w:r w:rsidRPr="00511005">
        <w:rPr>
          <w:rFonts w:ascii="Arial" w:eastAsia="Calibri" w:hAnsi="Arial" w:cs="Arial"/>
          <w:szCs w:val="28"/>
          <w:lang w:val="uk-UA"/>
        </w:rPr>
        <w:t xml:space="preserve"> [5]. Далі вже, зокрема абз. 6 ч. 1 ст. 8 КВК зазначає, що </w:t>
      </w:r>
      <w:r w:rsidRPr="00511005">
        <w:rPr>
          <w:rFonts w:ascii="Arial" w:eastAsia="Calibri" w:hAnsi="Arial" w:cs="Arial"/>
          <w:iCs/>
          <w:szCs w:val="28"/>
          <w:lang w:val="uk-UA"/>
        </w:rPr>
        <w:t>«засуджені мають право на охорону здоров'я в обсязі, встановленому Основами законодавства України про охорону здоров'я, за винятком обмежень, передбачених законом»</w:t>
      </w:r>
      <w:r w:rsidRPr="00511005">
        <w:rPr>
          <w:rFonts w:ascii="Arial" w:eastAsia="Calibri" w:hAnsi="Arial" w:cs="Arial"/>
          <w:szCs w:val="28"/>
          <w:lang w:val="uk-UA"/>
        </w:rPr>
        <w:t xml:space="preserve"> [5].</w:t>
      </w:r>
    </w:p>
    <w:p w14:paraId="14AD9BC5"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Охорона здоров’я здійснюється через систему медичних, санітарних та профілактичних заходів, а також шляхом поєднання безкоштовної та платної медичної допомоги. Засуджені мають гарантоване право на вільний вибір лікаря та можливість отримати медичну допомогу, в тому числі за власний рахунок. Найсуворіші обмеження прав встановлюються для осіб, які відбувають покарання у вигляді позбавлення волі, що зрозуміло з огляду на природу цього покарання, основною особливістю якого є фізична ізоляція особи від суспільства. </w:t>
      </w:r>
    </w:p>
    <w:p w14:paraId="633D8D96" w14:textId="5B4D8678"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Відповідно до абзацу 5 ч. 1 ст. 107</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КВК України, засуджені до позбавлення волі мають право на медичну допомогу та лікування, включно з можливістю отримувати платні медичні послуги за рахунок власних коштів або коштів своїх родичів чи близьких. Такі послуги можуть надаватися у закладах </w:t>
      </w:r>
      <w:r w:rsidRPr="00511005">
        <w:rPr>
          <w:rFonts w:ascii="Arial" w:eastAsia="Calibri" w:hAnsi="Arial" w:cs="Arial"/>
          <w:szCs w:val="28"/>
          <w:lang w:val="uk-UA"/>
        </w:rPr>
        <w:lastRenderedPageBreak/>
        <w:t xml:space="preserve">охорони здоров’я, які мають відповідну ліцензію Міністерства охорони здоров’я України та не належать до підпорядкування органів, що здійснюють державну політику у сфері виконання кримінальних покарань. </w:t>
      </w:r>
    </w:p>
    <w:p w14:paraId="4B6D9619"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Сам порядок надання медичної допомоги цій категорії осіб визначено ст. 116 КВК України та спільним наказом Міністерства юстиції і МОЗ України від 15 серпня 2014 року № 1348/572 </w:t>
      </w:r>
      <w:r w:rsidRPr="00511005">
        <w:rPr>
          <w:rFonts w:ascii="Arial" w:eastAsia="Calibri" w:hAnsi="Arial" w:cs="Arial"/>
          <w:iCs/>
          <w:szCs w:val="28"/>
          <w:lang w:val="uk-UA"/>
        </w:rPr>
        <w:t xml:space="preserve">«Про затвердження Порядку організації надання медичної допомоги засудженим до позбавлення волі» </w:t>
      </w:r>
      <w:r w:rsidRPr="00511005">
        <w:rPr>
          <w:rFonts w:ascii="Arial" w:eastAsia="Calibri" w:hAnsi="Arial" w:cs="Arial"/>
          <w:szCs w:val="28"/>
          <w:lang w:val="uk-UA"/>
        </w:rPr>
        <w:t>[6]</w:t>
      </w:r>
      <w:r w:rsidRPr="00511005">
        <w:rPr>
          <w:rFonts w:ascii="Arial" w:eastAsia="Calibri" w:hAnsi="Arial" w:cs="Arial"/>
          <w:iCs/>
          <w:szCs w:val="28"/>
          <w:lang w:val="uk-UA"/>
        </w:rPr>
        <w:t xml:space="preserve">. </w:t>
      </w:r>
      <w:r w:rsidRPr="00511005">
        <w:rPr>
          <w:rFonts w:ascii="Arial" w:eastAsia="Calibri" w:hAnsi="Arial" w:cs="Arial"/>
          <w:szCs w:val="28"/>
          <w:lang w:val="uk-UA"/>
        </w:rPr>
        <w:t xml:space="preserve">Саме даний документ встановлює єдиний механізм надання медичних послуг у місцях позбавлення волі та визначає вимоги до доступності, якості й умов медичного обслуговування засуджених. Згідно з наказом, первинна медична допомога надається медичними працівниками установи виконання покарань, а за потреби — засуджених можуть направляти для отримання спеціалізованої або високоспеціалізованої допомоги до відповідних лікувальних закладів системи МОЗ або ДКВС, у випадках екстрених станів допомога ж має надаватися негайно. Наказ зобов’язує вести окрему медичну документацію, дотримуватись принципу медичної таємниці та забезпечити засудженому доступ до інформації про стан його здоров’я. Контроль за дотриманням вимог цього порядку здійснюють МОЗ та Міністерство юстиції України. </w:t>
      </w:r>
      <w:r w:rsidRPr="00511005">
        <w:rPr>
          <w:rFonts w:ascii="Arial" w:eastAsia="Calibri" w:hAnsi="Arial" w:cs="Arial"/>
          <w:iCs/>
          <w:szCs w:val="28"/>
          <w:lang w:val="uk-UA"/>
        </w:rPr>
        <w:t>Метою наказу</w:t>
      </w:r>
      <w:r w:rsidRPr="00511005">
        <w:rPr>
          <w:rFonts w:ascii="Arial" w:eastAsia="Calibri" w:hAnsi="Arial" w:cs="Arial"/>
          <w:szCs w:val="28"/>
          <w:lang w:val="uk-UA"/>
        </w:rPr>
        <w:t xml:space="preserve"> є наближення рівня медичного обслуговування в пенітенціарній системі до загальнонаціональних стандартів та виконання міжнародних зобов’язань України, зокрема з урахуванням практики ЄСПЛ.</w:t>
      </w:r>
    </w:p>
    <w:p w14:paraId="4624186B" w14:textId="77777777" w:rsidR="00C1357F" w:rsidRPr="00511005" w:rsidRDefault="00C1357F" w:rsidP="003A292D">
      <w:pPr>
        <w:spacing w:line="264" w:lineRule="auto"/>
        <w:ind w:firstLine="0"/>
        <w:contextualSpacing/>
        <w:rPr>
          <w:rFonts w:ascii="Arial" w:eastAsia="Calibri" w:hAnsi="Arial" w:cs="Arial"/>
          <w:iCs/>
          <w:szCs w:val="28"/>
          <w:lang w:val="uk-UA"/>
        </w:rPr>
      </w:pPr>
      <w:r w:rsidRPr="00511005">
        <w:rPr>
          <w:rFonts w:ascii="Arial" w:eastAsia="Calibri" w:hAnsi="Arial" w:cs="Arial"/>
          <w:szCs w:val="28"/>
          <w:lang w:val="uk-UA"/>
        </w:rPr>
        <w:t xml:space="preserve">На міжнародному рівні, більшість справ, пов’язаних із захистом права на здоров’я, Європейський суд з прав людини розглядає в межах статті 3 </w:t>
      </w:r>
      <w:r w:rsidRPr="00511005">
        <w:rPr>
          <w:rFonts w:ascii="Arial" w:eastAsia="Calibri" w:hAnsi="Arial" w:cs="Arial"/>
          <w:iCs/>
          <w:szCs w:val="28"/>
          <w:lang w:val="uk-UA"/>
        </w:rPr>
        <w:t>«Конвенції про захист прав людини і основоположних свобод»,</w:t>
      </w:r>
      <w:r w:rsidRPr="00511005">
        <w:rPr>
          <w:rFonts w:ascii="Arial" w:eastAsia="Calibri" w:hAnsi="Arial" w:cs="Arial"/>
          <w:szCs w:val="28"/>
          <w:lang w:val="uk-UA"/>
        </w:rPr>
        <w:t xml:space="preserve"> яка </w:t>
      </w:r>
      <w:r w:rsidRPr="00511005">
        <w:rPr>
          <w:rFonts w:ascii="Arial" w:eastAsia="Calibri" w:hAnsi="Arial" w:cs="Arial"/>
          <w:iCs/>
          <w:szCs w:val="28"/>
          <w:lang w:val="uk-UA"/>
        </w:rPr>
        <w:t>«забороняє катування, нелюдське або таке, що принижує гідність, поводження»</w:t>
      </w:r>
      <w:r w:rsidRPr="00511005">
        <w:rPr>
          <w:rFonts w:ascii="Arial" w:eastAsia="Calibri" w:hAnsi="Arial" w:cs="Arial"/>
          <w:szCs w:val="28"/>
          <w:lang w:val="uk-UA"/>
        </w:rPr>
        <w:t xml:space="preserve"> [2]. Особливо це стосується осіб, які перебувають у місцях позбавлення волі, оскільки саме держава повністю контролює умови їх утримання та відповідає за забезпечення належного медичного догляду. У цьому контексті право засудженого на медичну допомогу є складовою гарантій, передбачених статтею 3. Якщо держава не забезпечує своєчасного лікування, не реагує на погіршення стану здоров’я, утримує хворого в непридатних або шкідливих для здоров’я умовах, це розцінюється як порушення заборони </w:t>
      </w:r>
      <w:r w:rsidRPr="00511005">
        <w:rPr>
          <w:rFonts w:ascii="Arial" w:eastAsia="Calibri" w:hAnsi="Arial" w:cs="Arial"/>
          <w:iCs/>
          <w:szCs w:val="28"/>
          <w:lang w:val="uk-UA"/>
        </w:rPr>
        <w:t xml:space="preserve">«нелюдського або принижуючого поводження» </w:t>
      </w:r>
      <w:r w:rsidRPr="00511005">
        <w:rPr>
          <w:rFonts w:ascii="Arial" w:eastAsia="Calibri" w:hAnsi="Arial" w:cs="Arial"/>
          <w:szCs w:val="28"/>
          <w:lang w:val="uk-UA"/>
        </w:rPr>
        <w:t>[2]</w:t>
      </w:r>
      <w:r w:rsidRPr="00511005">
        <w:rPr>
          <w:rFonts w:ascii="Arial" w:eastAsia="Calibri" w:hAnsi="Arial" w:cs="Arial"/>
          <w:iCs/>
          <w:szCs w:val="28"/>
          <w:lang w:val="uk-UA"/>
        </w:rPr>
        <w:t>.</w:t>
      </w:r>
    </w:p>
    <w:p w14:paraId="71C9AAD1"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Україна, як член Ради Європи, ратифікувала </w:t>
      </w:r>
      <w:r w:rsidRPr="00511005">
        <w:rPr>
          <w:rFonts w:ascii="Arial" w:eastAsia="Calibri" w:hAnsi="Arial" w:cs="Arial"/>
          <w:iCs/>
          <w:szCs w:val="28"/>
          <w:lang w:val="uk-UA"/>
        </w:rPr>
        <w:t>«Конвенцію про захист прав людини і основоположних свобод»</w:t>
      </w:r>
      <w:r w:rsidRPr="00511005">
        <w:rPr>
          <w:rFonts w:ascii="Arial" w:eastAsia="Calibri" w:hAnsi="Arial" w:cs="Arial"/>
          <w:szCs w:val="28"/>
          <w:lang w:val="uk-UA"/>
        </w:rPr>
        <w:t xml:space="preserve">, яка є частиною національного законодавства. Її тлумачення неможливе </w:t>
      </w:r>
      <w:r w:rsidRPr="00511005">
        <w:rPr>
          <w:rFonts w:ascii="Arial" w:eastAsia="Calibri" w:hAnsi="Arial" w:cs="Arial"/>
          <w:iCs/>
          <w:szCs w:val="28"/>
          <w:lang w:val="uk-UA"/>
        </w:rPr>
        <w:t>без рішень ЄСПЛ,</w:t>
      </w:r>
      <w:r w:rsidRPr="00511005">
        <w:rPr>
          <w:rFonts w:ascii="Arial" w:eastAsia="Calibri" w:hAnsi="Arial" w:cs="Arial"/>
          <w:szCs w:val="28"/>
          <w:lang w:val="uk-UA"/>
        </w:rPr>
        <w:t xml:space="preserve"> адже саме вони розкривають зміст положень Конвенції. Практика Суду має особливе значення для національних судів, оскільки допомагає правильно застосовувати європейські стандарти з урахуванням національних особливостей. </w:t>
      </w:r>
    </w:p>
    <w:p w14:paraId="60AB0DFB" w14:textId="7189AAA9"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 xml:space="preserve">Слід підкреслити, що ЄСПЛ у своїй практиці розглядає випадки </w:t>
      </w:r>
      <w:r w:rsidRPr="00511005">
        <w:rPr>
          <w:rFonts w:ascii="Arial" w:eastAsia="Calibri" w:hAnsi="Arial" w:cs="Arial"/>
          <w:iCs/>
          <w:szCs w:val="28"/>
          <w:lang w:val="uk-UA"/>
        </w:rPr>
        <w:t>ненадання або неналежного надання медичної допомоги засудженим</w:t>
      </w:r>
      <w:r w:rsidRPr="00511005">
        <w:rPr>
          <w:rFonts w:ascii="Arial" w:eastAsia="Calibri" w:hAnsi="Arial" w:cs="Arial"/>
          <w:szCs w:val="28"/>
          <w:lang w:val="uk-UA"/>
        </w:rPr>
        <w:t xml:space="preserve"> у місцях позбавлення волі як порушення статті 3 «Європейської конвенції з прав людини», яка забороняє катування та жорстоке поводження. Такі дії держави кваліфікуються як нелюдське або принижуюче гідність поводження. Зокрема, у рішенні від 19 лютого 2009 року у справі «Маленко проти України» Суд визнав, що «відсутність належної медичної допомоги особі, яка позбавлена волі, а також неефективність національних засобів правового захисту у зв’язку зі скаргами на стан здоров’я становили порушення з боку держави» [3]. В цій справі особа страждала на тяжку форму діабету, і внаслідок ненадання систематичної медичної допомоги її стан погіршився.</w:t>
      </w:r>
      <w:r w:rsidR="007B2628" w:rsidRPr="00511005">
        <w:rPr>
          <w:rFonts w:ascii="Arial" w:eastAsia="Calibri" w:hAnsi="Arial" w:cs="Arial"/>
          <w:szCs w:val="28"/>
          <w:lang w:val="uk-UA"/>
        </w:rPr>
        <w:t xml:space="preserve"> </w:t>
      </w:r>
    </w:p>
    <w:p w14:paraId="1D445258"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Також важливо звернути увагу на те, що медична допомога охоплює не тільки фізичні, а й психічні захворювання. Так, ненадання або неналежне надання медичної допомоги особам з </w:t>
      </w:r>
      <w:r w:rsidRPr="00511005">
        <w:rPr>
          <w:rFonts w:ascii="Arial" w:eastAsia="Calibri" w:hAnsi="Arial" w:cs="Arial"/>
          <w:iCs/>
          <w:szCs w:val="28"/>
          <w:lang w:val="uk-UA"/>
        </w:rPr>
        <w:t>психічними розладами</w:t>
      </w:r>
      <w:r w:rsidRPr="00511005">
        <w:rPr>
          <w:rFonts w:ascii="Arial" w:eastAsia="Calibri" w:hAnsi="Arial" w:cs="Arial"/>
          <w:szCs w:val="28"/>
          <w:lang w:val="uk-UA"/>
        </w:rPr>
        <w:t xml:space="preserve"> в місцях позбавлення волі — це також є порушенням статті 3 «Європейської конвенції з прав людини». Підтвердженням цього є справа «Мюррей проти Нідерландів», де ЄСПЛ у своєму рішенні від 26 квітня 2016 року встановив, що </w:t>
      </w:r>
      <w:r w:rsidRPr="00511005">
        <w:rPr>
          <w:rFonts w:ascii="Arial" w:eastAsia="Calibri" w:hAnsi="Arial" w:cs="Arial"/>
          <w:iCs/>
          <w:szCs w:val="28"/>
          <w:lang w:val="uk-UA"/>
        </w:rPr>
        <w:t>«відсутність належного психіатричного лікування для особи, яка відбуває довічне ув'язнення та страждає на психічні розлади, становить порушення статті 3 Конвенції»</w:t>
      </w:r>
      <w:r w:rsidRPr="00511005">
        <w:rPr>
          <w:rFonts w:ascii="Arial" w:eastAsia="Calibri" w:hAnsi="Arial" w:cs="Arial"/>
          <w:szCs w:val="28"/>
          <w:lang w:val="uk-UA"/>
        </w:rPr>
        <w:t xml:space="preserve"> [4]​.</w:t>
      </w:r>
    </w:p>
    <w:p w14:paraId="6117AC9E"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Засуджені, незважаючи на обмеження, пов’язані з виконанням покарання, не втрачають права на охорону здоров’я і медичну допомогу. Законодавство України передбачає чіткий порядок надання їм медичної допомоги, який має відповідати загальнодержавним стандартам. Невиконання цих вимог може розцінюватися як порушення і міжнародних норм, зокрема статті 3 «Європейської конвенції з прав людини», що покладає на державу особливу відповідальність за забезпечення належних умов лікування в установах виконання покарань.</w:t>
      </w:r>
    </w:p>
    <w:p w14:paraId="64462182" w14:textId="77777777" w:rsidR="00C1357F" w:rsidRPr="00511005" w:rsidRDefault="00C1357F" w:rsidP="003A292D">
      <w:pPr>
        <w:spacing w:line="264" w:lineRule="auto"/>
        <w:ind w:firstLine="0"/>
        <w:contextualSpacing/>
        <w:rPr>
          <w:rFonts w:ascii="Arial" w:eastAsia="Calibri" w:hAnsi="Arial" w:cs="Arial"/>
          <w:szCs w:val="28"/>
          <w:lang w:val="uk-UA"/>
        </w:rPr>
      </w:pPr>
    </w:p>
    <w:p w14:paraId="71805895" w14:textId="7FF73454" w:rsidR="00C1357F" w:rsidRPr="00511005" w:rsidRDefault="007B2628" w:rsidP="007B2628">
      <w:pPr>
        <w:spacing w:line="264" w:lineRule="auto"/>
        <w:ind w:firstLine="0"/>
        <w:contextualSpacing/>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63D33C98" w14:textId="77777777" w:rsidR="00C1357F" w:rsidRPr="00511005" w:rsidRDefault="00C1357F" w:rsidP="003F6A5D">
      <w:pPr>
        <w:numPr>
          <w:ilvl w:val="0"/>
          <w:numId w:val="572"/>
        </w:numPr>
        <w:spacing w:line="264" w:lineRule="auto"/>
        <w:contextualSpacing/>
        <w:jc w:val="left"/>
        <w:rPr>
          <w:rFonts w:ascii="Arial" w:eastAsia="Calibri" w:hAnsi="Arial" w:cs="Arial"/>
          <w:b/>
          <w:bCs/>
          <w:szCs w:val="28"/>
          <w:lang w:val="uk-UA"/>
        </w:rPr>
      </w:pPr>
      <w:r w:rsidRPr="00511005">
        <w:rPr>
          <w:rFonts w:ascii="Arial" w:eastAsia="Calibri" w:hAnsi="Arial" w:cs="Arial"/>
          <w:szCs w:val="28"/>
          <w:lang w:val="uk-UA"/>
        </w:rPr>
        <w:t xml:space="preserve">Конституція України від 28.06.1996 </w:t>
      </w:r>
      <w:r w:rsidRPr="00511005">
        <w:rPr>
          <w:rFonts w:ascii="Arial" w:eastAsia="Calibri" w:hAnsi="Arial" w:cs="Arial"/>
          <w:szCs w:val="28"/>
          <w:shd w:val="clear" w:color="auto" w:fill="FFFFFF"/>
          <w:lang w:val="uk-UA"/>
        </w:rPr>
        <w:t>№</w:t>
      </w:r>
      <w:r w:rsidRPr="00511005">
        <w:rPr>
          <w:rFonts w:ascii="Arial" w:eastAsia="Calibri" w:hAnsi="Arial" w:cs="Arial"/>
          <w:b/>
          <w:szCs w:val="28"/>
          <w:shd w:val="clear" w:color="auto" w:fill="FFFFFF"/>
          <w:lang w:val="uk-UA"/>
        </w:rPr>
        <w:t> </w:t>
      </w:r>
      <w:r w:rsidRPr="00511005">
        <w:rPr>
          <w:rFonts w:ascii="Arial" w:eastAsia="Calibri" w:hAnsi="Arial" w:cs="Arial"/>
          <w:bCs/>
          <w:szCs w:val="28"/>
          <w:shd w:val="clear" w:color="auto" w:fill="FFFFFF"/>
          <w:lang w:val="uk-UA"/>
        </w:rPr>
        <w:t>254к/96-ВР</w:t>
      </w:r>
      <w:r w:rsidRPr="00511005">
        <w:rPr>
          <w:rFonts w:ascii="Arial" w:eastAsia="Calibri" w:hAnsi="Arial" w:cs="Arial"/>
          <w:szCs w:val="28"/>
          <w:lang w:val="uk-UA"/>
        </w:rPr>
        <w:t>:</w:t>
      </w:r>
      <w:r w:rsidRPr="00511005">
        <w:rPr>
          <w:rFonts w:ascii="Arial" w:eastAsia="Calibri" w:hAnsi="Arial" w:cs="Arial"/>
          <w:b/>
          <w:szCs w:val="28"/>
          <w:lang w:val="uk-UA"/>
        </w:rPr>
        <w:t xml:space="preserve"> </w:t>
      </w:r>
      <w:r w:rsidRPr="00511005">
        <w:rPr>
          <w:rFonts w:ascii="Arial" w:eastAsia="Calibri" w:hAnsi="Arial" w:cs="Arial"/>
          <w:szCs w:val="28"/>
          <w:lang w:val="uk-UA"/>
        </w:rPr>
        <w:t xml:space="preserve">станом на 01.01.2020. URL: </w:t>
      </w:r>
      <w:hyperlink r:id="rId2071" w:anchor="Text" w:history="1">
        <w:r w:rsidRPr="00511005">
          <w:rPr>
            <w:rFonts w:ascii="Arial" w:eastAsia="Calibri" w:hAnsi="Arial" w:cs="Arial"/>
            <w:szCs w:val="28"/>
            <w:lang w:val="uk-UA"/>
          </w:rPr>
          <w:t>https://zakon.rada.gov.ua/laws/show/254к/96-вр#Text</w:t>
        </w:r>
      </w:hyperlink>
      <w:r w:rsidRPr="00511005">
        <w:rPr>
          <w:rFonts w:ascii="Arial" w:eastAsia="Calibri" w:hAnsi="Arial" w:cs="Arial"/>
          <w:szCs w:val="28"/>
          <w:lang w:val="uk-UA"/>
        </w:rPr>
        <w:t>.</w:t>
      </w:r>
    </w:p>
    <w:p w14:paraId="39C885C9" w14:textId="77777777" w:rsidR="00C1357F" w:rsidRPr="00511005" w:rsidRDefault="00C1357F" w:rsidP="003F6A5D">
      <w:pPr>
        <w:numPr>
          <w:ilvl w:val="0"/>
          <w:numId w:val="572"/>
        </w:numPr>
        <w:spacing w:line="264" w:lineRule="auto"/>
        <w:contextualSpacing/>
        <w:jc w:val="left"/>
        <w:rPr>
          <w:rFonts w:ascii="Arial" w:eastAsia="Calibri" w:hAnsi="Arial" w:cs="Arial"/>
          <w:b/>
          <w:bCs/>
          <w:szCs w:val="28"/>
          <w:lang w:val="uk-UA"/>
        </w:rPr>
      </w:pPr>
      <w:r w:rsidRPr="00511005">
        <w:rPr>
          <w:rFonts w:ascii="Arial" w:eastAsia="Calibri" w:hAnsi="Arial" w:cs="Arial"/>
          <w:szCs w:val="28"/>
          <w:lang w:val="uk-UA"/>
        </w:rPr>
        <w:t xml:space="preserve">Конвенція про захист прав людини і основоположних свобод: Конвенція Ради Європи від 04.11.1950: станом на 01.08.2021. URL: </w:t>
      </w:r>
      <w:hyperlink r:id="rId2072" w:anchor="Text" w:history="1">
        <w:r w:rsidRPr="00511005">
          <w:rPr>
            <w:rFonts w:ascii="Arial" w:eastAsia="Calibri" w:hAnsi="Arial" w:cs="Arial"/>
            <w:szCs w:val="28"/>
            <w:lang w:val="uk-UA"/>
          </w:rPr>
          <w:t>https://zakon.rada.gov.ua/laws/show/995_004#Text</w:t>
        </w:r>
      </w:hyperlink>
      <w:r w:rsidRPr="00511005">
        <w:rPr>
          <w:rFonts w:ascii="Arial" w:eastAsia="Calibri" w:hAnsi="Arial" w:cs="Arial"/>
          <w:szCs w:val="28"/>
          <w:lang w:val="uk-UA"/>
        </w:rPr>
        <w:t>.</w:t>
      </w:r>
    </w:p>
    <w:p w14:paraId="5CC13F71" w14:textId="46BDD789" w:rsidR="00C1357F" w:rsidRPr="00511005" w:rsidRDefault="00C1357F" w:rsidP="003F6A5D">
      <w:pPr>
        <w:numPr>
          <w:ilvl w:val="0"/>
          <w:numId w:val="572"/>
        </w:numPr>
        <w:spacing w:line="264" w:lineRule="auto"/>
        <w:contextualSpacing/>
        <w:jc w:val="left"/>
        <w:rPr>
          <w:rFonts w:ascii="Arial" w:eastAsia="Calibri" w:hAnsi="Arial" w:cs="Arial"/>
          <w:b/>
          <w:bCs/>
          <w:szCs w:val="28"/>
          <w:lang w:val="uk-UA"/>
        </w:rPr>
      </w:pPr>
      <w:r w:rsidRPr="00511005">
        <w:rPr>
          <w:rFonts w:ascii="Arial" w:eastAsia="Calibri" w:hAnsi="Arial" w:cs="Arial"/>
          <w:szCs w:val="28"/>
          <w:lang w:val="uk-UA"/>
        </w:rPr>
        <w:t>Рішення Європейського суду з прав людини у справі «Маленко проти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України». Заява №18660/03 від 19.02.2009. URL: </w:t>
      </w:r>
      <w:hyperlink r:id="rId2073" w:anchor="Text" w:history="1">
        <w:r w:rsidRPr="00511005">
          <w:rPr>
            <w:rFonts w:ascii="Arial" w:eastAsia="Calibri" w:hAnsi="Arial" w:cs="Arial"/>
            <w:szCs w:val="28"/>
            <w:lang w:val="uk-UA"/>
          </w:rPr>
          <w:t>https://zakon.rada.gov.ua/laws/show/974_734#Text</w:t>
        </w:r>
      </w:hyperlink>
      <w:r w:rsidRPr="00511005">
        <w:rPr>
          <w:rFonts w:ascii="Arial" w:eastAsia="Calibri" w:hAnsi="Arial" w:cs="Arial"/>
          <w:szCs w:val="28"/>
          <w:lang w:val="uk-UA"/>
        </w:rPr>
        <w:t>.</w:t>
      </w:r>
    </w:p>
    <w:p w14:paraId="7CABC091" w14:textId="77777777" w:rsidR="00C1357F" w:rsidRPr="00511005" w:rsidRDefault="00C1357F" w:rsidP="003F6A5D">
      <w:pPr>
        <w:numPr>
          <w:ilvl w:val="0"/>
          <w:numId w:val="57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Рішення Європейського суду з прав людини у справі «Мюррей проти Нідерландів» (Murray v. the Netherlands). Заява №10511/10 від 26.04.2016. URL: </w:t>
      </w:r>
      <w:hyperlink r:id="rId2074" w:history="1">
        <w:r w:rsidRPr="00511005">
          <w:rPr>
            <w:rFonts w:ascii="Arial" w:eastAsia="Calibri" w:hAnsi="Arial" w:cs="Arial"/>
            <w:szCs w:val="28"/>
            <w:lang w:val="uk-UA"/>
          </w:rPr>
          <w:t>https://hudoc.echr.coe.int/eng?i=002-10993</w:t>
        </w:r>
      </w:hyperlink>
      <w:r w:rsidRPr="00511005">
        <w:rPr>
          <w:rFonts w:ascii="Arial" w:eastAsia="Calibri" w:hAnsi="Arial" w:cs="Arial"/>
          <w:szCs w:val="28"/>
          <w:lang w:val="uk-UA"/>
        </w:rPr>
        <w:t>.</w:t>
      </w:r>
    </w:p>
    <w:p w14:paraId="640777CE" w14:textId="77777777" w:rsidR="00C1357F" w:rsidRPr="00511005" w:rsidRDefault="00C1357F" w:rsidP="003F6A5D">
      <w:pPr>
        <w:numPr>
          <w:ilvl w:val="0"/>
          <w:numId w:val="57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Кримінально-виконавчий кодекс України. Закон України від 11.07.2003 № 1129-IV: станом на 01.01.2025. URL: </w:t>
      </w:r>
      <w:hyperlink r:id="rId2075" w:anchor="Text" w:history="1">
        <w:r w:rsidRPr="00511005">
          <w:rPr>
            <w:rFonts w:ascii="Arial" w:eastAsia="Calibri" w:hAnsi="Arial" w:cs="Arial"/>
            <w:szCs w:val="28"/>
            <w:lang w:val="uk-UA"/>
          </w:rPr>
          <w:t>https://zakon.rada.gov.ua/laws/show/1129-15#Text</w:t>
        </w:r>
      </w:hyperlink>
      <w:r w:rsidRPr="00511005">
        <w:rPr>
          <w:rFonts w:ascii="Arial" w:eastAsia="Calibri" w:hAnsi="Arial" w:cs="Arial"/>
          <w:szCs w:val="28"/>
          <w:lang w:val="uk-UA"/>
        </w:rPr>
        <w:t xml:space="preserve">. </w:t>
      </w:r>
    </w:p>
    <w:p w14:paraId="0D8C00DE" w14:textId="77777777" w:rsidR="00C1357F" w:rsidRPr="00511005" w:rsidRDefault="00C1357F" w:rsidP="003F6A5D">
      <w:pPr>
        <w:numPr>
          <w:ilvl w:val="0"/>
          <w:numId w:val="57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Про затвердження Порядку організації надання медичної допомоги засудженим до позбавлення волі: наказ Міністерства юстиції та МОЗ України від 15.08.2014 №1348/572. URL: </w:t>
      </w:r>
      <w:hyperlink r:id="rId2076" w:anchor="Text" w:history="1">
        <w:r w:rsidRPr="00511005">
          <w:rPr>
            <w:rFonts w:ascii="Arial" w:eastAsia="Calibri" w:hAnsi="Arial" w:cs="Arial"/>
            <w:szCs w:val="28"/>
            <w:lang w:val="uk-UA"/>
          </w:rPr>
          <w:t>https://zakon.rada.gov.ua/laws/show/1129-15#Text</w:t>
        </w:r>
      </w:hyperlink>
      <w:r w:rsidRPr="00511005">
        <w:rPr>
          <w:rFonts w:ascii="Arial" w:eastAsia="Calibri" w:hAnsi="Arial" w:cs="Arial"/>
          <w:szCs w:val="28"/>
          <w:lang w:val="uk-UA"/>
        </w:rPr>
        <w:t xml:space="preserve">. </w:t>
      </w:r>
    </w:p>
    <w:p w14:paraId="4F09EEC2" w14:textId="77777777" w:rsidR="00C1357F" w:rsidRPr="00511005" w:rsidRDefault="00C1357F" w:rsidP="003A292D">
      <w:pPr>
        <w:keepNext/>
        <w:spacing w:line="264" w:lineRule="auto"/>
        <w:ind w:firstLine="0"/>
        <w:contextualSpacing/>
        <w:rPr>
          <w:rFonts w:ascii="Arial" w:eastAsia="Calibri" w:hAnsi="Arial" w:cs="Arial"/>
          <w:b/>
          <w:bCs/>
          <w:szCs w:val="28"/>
          <w:lang w:val="uk-UA"/>
        </w:rPr>
      </w:pPr>
    </w:p>
    <w:p w14:paraId="4B196576" w14:textId="55C3F9F4" w:rsidR="00C1357F" w:rsidRPr="00511005" w:rsidRDefault="007B2628" w:rsidP="003A292D">
      <w:pPr>
        <w:keepNext/>
        <w:spacing w:line="264" w:lineRule="auto"/>
        <w:ind w:firstLine="0"/>
        <w:contextualSpacing/>
        <w:rPr>
          <w:rFonts w:ascii="Arial" w:eastAsia="Calibri" w:hAnsi="Arial" w:cs="Arial"/>
          <w:bCs/>
          <w:szCs w:val="28"/>
          <w:lang w:val="uk-UA"/>
        </w:rPr>
      </w:pPr>
      <w:r w:rsidRPr="00511005">
        <w:rPr>
          <w:rFonts w:ascii="Arial" w:eastAsia="Calibri" w:hAnsi="Arial" w:cs="Arial"/>
          <w:b/>
          <w:i/>
          <w:szCs w:val="28"/>
          <w:lang w:val="uk-UA"/>
        </w:rPr>
        <w:t xml:space="preserve">Ключові слова: </w:t>
      </w:r>
      <w:r w:rsidR="00C1357F" w:rsidRPr="00511005">
        <w:rPr>
          <w:rFonts w:ascii="Arial" w:eastAsia="Calibri" w:hAnsi="Arial" w:cs="Arial"/>
          <w:bCs/>
          <w:szCs w:val="28"/>
          <w:lang w:val="uk-UA"/>
        </w:rPr>
        <w:t>охорона здоров’я, права людини, права засудженого, медична допомога, міжнародні стандарти, практика ЄСПЛ, лікування, ненадання медичної допомоги.</w:t>
      </w:r>
    </w:p>
    <w:p w14:paraId="285649AB" w14:textId="664783DF" w:rsidR="00C1357F" w:rsidRPr="00511005" w:rsidRDefault="007B2628" w:rsidP="003A292D">
      <w:pPr>
        <w:keepNext/>
        <w:spacing w:line="264" w:lineRule="auto"/>
        <w:ind w:firstLine="0"/>
        <w:contextualSpacing/>
        <w:rPr>
          <w:rFonts w:ascii="Arial" w:eastAsia="Calibri" w:hAnsi="Arial" w:cs="Arial"/>
          <w:bCs/>
          <w:szCs w:val="28"/>
          <w:lang w:val="uk-UA"/>
        </w:rPr>
      </w:pPr>
      <w:r w:rsidRPr="00511005">
        <w:rPr>
          <w:rFonts w:ascii="Arial" w:eastAsia="Calibri" w:hAnsi="Arial" w:cs="Arial"/>
          <w:b/>
          <w:i/>
          <w:szCs w:val="28"/>
          <w:lang w:val="uk-UA"/>
        </w:rPr>
        <w:t xml:space="preserve">Key words: </w:t>
      </w:r>
      <w:r w:rsidR="00C1357F" w:rsidRPr="00511005">
        <w:rPr>
          <w:rFonts w:ascii="Arial" w:eastAsia="Calibri" w:hAnsi="Arial" w:cs="Arial"/>
          <w:bCs/>
          <w:szCs w:val="28"/>
          <w:lang w:val="uk-UA"/>
        </w:rPr>
        <w:t>healthcare, human rights, rights of the convicted, medical care, international standards, ECHR practice, treatment, failure to provide medical care.</w:t>
      </w:r>
    </w:p>
    <w:p w14:paraId="1154EAE2" w14:textId="6C29E883" w:rsidR="00C1357F" w:rsidRPr="00511005" w:rsidRDefault="007B2628" w:rsidP="003A292D">
      <w:pPr>
        <w:keepNext/>
        <w:spacing w:line="264" w:lineRule="auto"/>
        <w:ind w:firstLine="0"/>
        <w:contextualSpacing/>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C1357F" w:rsidRPr="00511005">
        <w:rPr>
          <w:rFonts w:ascii="Arial" w:eastAsia="Calibri" w:hAnsi="Arial" w:cs="Arial"/>
          <w:i/>
          <w:iCs/>
          <w:szCs w:val="28"/>
          <w:lang w:val="uk-UA"/>
        </w:rPr>
        <w:t xml:space="preserve">асистентка кафедри Лукащук К. Р. </w:t>
      </w:r>
    </w:p>
    <w:p w14:paraId="01C397B4" w14:textId="77777777" w:rsidR="00C1357F" w:rsidRPr="00511005" w:rsidRDefault="00C1357F" w:rsidP="003A292D">
      <w:pPr>
        <w:spacing w:line="264" w:lineRule="auto"/>
        <w:ind w:firstLine="0"/>
        <w:contextualSpacing/>
        <w:rPr>
          <w:rFonts w:ascii="Arial" w:eastAsia="Calibri" w:hAnsi="Arial" w:cs="Arial"/>
          <w:szCs w:val="28"/>
          <w:lang w:val="uk-UA"/>
        </w:rPr>
      </w:pPr>
    </w:p>
    <w:p w14:paraId="479F7F53" w14:textId="77777777" w:rsidR="00C1357F" w:rsidRPr="00511005" w:rsidRDefault="00C1357F" w:rsidP="003A292D">
      <w:pPr>
        <w:tabs>
          <w:tab w:val="left" w:pos="6084"/>
        </w:tabs>
        <w:spacing w:line="264" w:lineRule="auto"/>
        <w:ind w:firstLine="0"/>
        <w:contextualSpacing/>
        <w:rPr>
          <w:rFonts w:ascii="Arial" w:eastAsia="Calibri" w:hAnsi="Arial" w:cs="Arial"/>
          <w:b/>
          <w:i/>
          <w:szCs w:val="28"/>
          <w:lang w:val="uk-UA"/>
        </w:rPr>
      </w:pPr>
    </w:p>
    <w:p w14:paraId="4CE47011" w14:textId="77777777" w:rsidR="00C1357F" w:rsidRPr="00511005" w:rsidRDefault="00C1357F" w:rsidP="003A292D">
      <w:pPr>
        <w:tabs>
          <w:tab w:val="left" w:pos="6084"/>
        </w:tabs>
        <w:spacing w:line="264" w:lineRule="auto"/>
        <w:ind w:firstLine="0"/>
        <w:contextualSpacing/>
        <w:jc w:val="center"/>
        <w:rPr>
          <w:rFonts w:ascii="Arial" w:eastAsia="Calibri" w:hAnsi="Arial" w:cs="Arial"/>
          <w:b/>
          <w:i/>
          <w:szCs w:val="28"/>
          <w:lang w:val="uk-UA"/>
        </w:rPr>
      </w:pPr>
      <w:r w:rsidRPr="00511005">
        <w:rPr>
          <w:rFonts w:ascii="Arial" w:eastAsia="Calibri" w:hAnsi="Arial" w:cs="Arial"/>
          <w:b/>
          <w:i/>
          <w:szCs w:val="28"/>
          <w:lang w:val="uk-UA"/>
        </w:rPr>
        <w:t>Грохольська Вікторія Василівна</w:t>
      </w:r>
    </w:p>
    <w:p w14:paraId="60D365E6" w14:textId="55899112"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28F90D8F"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589FB17"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ECDA162" w14:textId="77777777" w:rsidR="00C1357F" w:rsidRPr="00511005" w:rsidRDefault="00C1357F" w:rsidP="003A292D">
      <w:pPr>
        <w:tabs>
          <w:tab w:val="left" w:pos="6084"/>
        </w:tabs>
        <w:spacing w:line="264" w:lineRule="auto"/>
        <w:ind w:firstLine="0"/>
        <w:contextualSpacing/>
        <w:jc w:val="center"/>
        <w:rPr>
          <w:rFonts w:ascii="Arial" w:eastAsia="Calibri" w:hAnsi="Arial" w:cs="Arial"/>
          <w:b/>
          <w:szCs w:val="28"/>
          <w:lang w:val="uk-UA"/>
        </w:rPr>
      </w:pPr>
    </w:p>
    <w:p w14:paraId="1D2D953A" w14:textId="77777777" w:rsidR="007B2628" w:rsidRPr="00511005" w:rsidRDefault="00C1357F" w:rsidP="003A292D">
      <w:pPr>
        <w:tabs>
          <w:tab w:val="left" w:pos="6084"/>
        </w:tabs>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ОСОБЛИВОСТІ ВИКОНАННЯ ПОКАРАНЬ ЩОДО ЖІНОК-ЗАСУДЖЕНИХ</w:t>
      </w:r>
    </w:p>
    <w:p w14:paraId="590CCB7D" w14:textId="5F997515"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Порушення прав людини, дискримінація за ознакою статі, а також фізіологічні та психологічні особливості жінок, які відбувають покарання, потребують окремої уваги. У нашій державі і загалом у більшості країн, система пенітенціарних установ здебільшого була спроектована з урахуванням потреб чоловіків, що не завжди відповідає специфічним вимогам до умов утримання жінок. Ця ситуація ставить перед суспільством низку питань, що стосуються ефективності реформування кримінально-виконавчої системи та забезпечення справедливих і гуманних умов для жінок, які потрапили до місць позбавлення волі. Вивчення особливостей виконання покарань щодо жінок-засуджених є необхідним для розвитку правозахисної практики в Україні, а також для створення умов, які сприятимуть не лише покаранню, але й ресоціалізації цих осіб. Дослідивши особистість засудженої жінки, як об'єкта виправного впливу необхідно враховувати не лише негативні та антигромадські риси її характеру, а й соціально-демографічні, психологічні, індивідуальні та біологічні особливості. Окрім соціальних зв’язків, важливо також зосередитися на тих індивідуальних характеристиках, які формують її особистість. У місцях позбавлення волі варто приділяти увагу таким рисам, як характер, що може запобігти повторним злочинам. </w:t>
      </w:r>
    </w:p>
    <w:p w14:paraId="5AE75FDD"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 xml:space="preserve">Згідно чинного Кримінально-виконавчого кодексу України, жінки відбувають покарання в колоніях мінімального або середнього рівня безпеки. Особи, засуджені за злочини різного ступеня тяжкості, а також ті, хто досяг 18 років у виховних установах, направляються до колоній мінімального рівня з загальними умовами утримання [1]. </w:t>
      </w:r>
    </w:p>
    <w:p w14:paraId="795578E0"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Жінки, засуджені до позбавлення волі, утворюють окрему, специфічну категорію засуджених. Вони потребують особливого підходу до подолання негативних наслідків покарання та досягнення мети виправлення. Більшість з них відрізняються підвищеною емоційністю та чутливістю. Їхні життєві цінності та пріоритети значно відрізняються від чоловічих. Тому виховний вплив на жінок має бути здійснений з високим професіоналізмом, з урахуванням важливості їхніх зв'язків із сім'єю та необхідності забезпечення можливості виконувати материнські функції без перешкод [3]. </w:t>
      </w:r>
    </w:p>
    <w:p w14:paraId="5F0B102D"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shd w:val="clear" w:color="auto" w:fill="FFFFFF"/>
          <w:lang w:val="uk-UA"/>
        </w:rPr>
        <w:t xml:space="preserve">Вчинення кримінальних правопорушень жінками у стані вагітності у чинному законодавстві України є </w:t>
      </w:r>
      <w:r w:rsidRPr="00511005">
        <w:rPr>
          <w:rFonts w:ascii="Arial" w:eastAsia="Calibri" w:hAnsi="Arial" w:cs="Arial"/>
          <w:szCs w:val="28"/>
          <w:lang w:val="uk-UA"/>
        </w:rPr>
        <w:t xml:space="preserve">пом’якшувальною обставиною при винесенні вироку. Вагітні засуджені жінки та жінки, які мають дітей у віці до трьох років є однією з найбільш вразливих та специфічних категорій, зокрема через те, що в Україні функціонує лише дві виправні колонії, де є будинки дитини: Чернігівська виправна колонія № 44 та Кам’янська виправна колонія № 34 [4]. </w:t>
      </w:r>
    </w:p>
    <w:p w14:paraId="46787047" w14:textId="77777777" w:rsidR="00C1357F" w:rsidRPr="00511005" w:rsidRDefault="00C1357F" w:rsidP="003A292D">
      <w:pPr>
        <w:spacing w:line="264" w:lineRule="auto"/>
        <w:ind w:firstLine="0"/>
        <w:contextualSpacing/>
        <w:rPr>
          <w:rFonts w:ascii="Arial" w:eastAsia="Calibri" w:hAnsi="Arial" w:cs="Arial"/>
          <w:szCs w:val="28"/>
          <w:shd w:val="clear" w:color="auto" w:fill="FFFFFF"/>
          <w:lang w:val="uk-UA"/>
        </w:rPr>
      </w:pPr>
      <w:r w:rsidRPr="00511005">
        <w:rPr>
          <w:rFonts w:ascii="Arial" w:eastAsia="Calibri" w:hAnsi="Arial" w:cs="Arial"/>
          <w:szCs w:val="28"/>
          <w:lang w:val="uk-UA"/>
        </w:rPr>
        <w:t>Засуджені жінки можуть проживати з дітьми до трьох років у будинку дитини при колонії, де створені умови для їхнього розвитку й життя. Якщо мати не бажає жити з дитиною, їй гарантується право на спілкування з нею. Діти перебувають під опікою персоналу та на державному утриманні. Вагітні жінки й матері-годувальниці мають право на додаткові продуктові передачі згідно з медичними рекомендаціями.</w:t>
      </w:r>
    </w:p>
    <w:p w14:paraId="15783D25" w14:textId="77777777" w:rsidR="00C1357F" w:rsidRPr="00511005" w:rsidRDefault="00C1357F" w:rsidP="003A292D">
      <w:pPr>
        <w:spacing w:line="264" w:lineRule="auto"/>
        <w:ind w:firstLine="0"/>
        <w:contextualSpacing/>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Відповідно до статті 83 Кримінального кодексу України з</w:t>
      </w:r>
      <w:r w:rsidRPr="00511005">
        <w:rPr>
          <w:rFonts w:ascii="Arial" w:eastAsia="Calibri" w:hAnsi="Arial" w:cs="Arial"/>
          <w:szCs w:val="28"/>
          <w:lang w:val="uk-UA"/>
        </w:rPr>
        <w:t>асуджені жінки, які перебувають на четвертому місяці вагітності й більше або мають дітей до 3 років, якщо до них не застосовано звільнення від покарання, то адміністрація направляє таких жінок для подальшого відбування покарання до колонії, при якій функціонує будинок дитини [2].</w:t>
      </w:r>
    </w:p>
    <w:p w14:paraId="40CE76C1"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Діти засуджених жінок можуть передаватися родичам або іншим особам за згодою матері та рішенням органів опіки. Після досягнення трирічного віку вони направляються до дитячих установ. У разі виникнення спорів щодо місця проживання дитини, рішення приймає орган опіки або суд. Якщо мати відбуває покарання менше року та належно виконує обов'язки, дитина може залишатися з нею до її звільнення. У разі порушення режиму перебування дитини може бути змінене. Міжнародні акти, зокрема Бангкокські правила ООН 2010 року, регулюють права дітей жінок-ув'язнених, зокрема рекомендації щодо їхнього перебування в тюрмах і розлучення з матерями.</w:t>
      </w:r>
    </w:p>
    <w:p w14:paraId="4BAE9A70"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Відповідно до статті 142 Кримінально-виконавчого кодексу України жінкам, які добросовісно працюють і дотримуються режимних правил, можуть </w:t>
      </w:r>
      <w:r w:rsidRPr="00511005">
        <w:rPr>
          <w:rFonts w:ascii="Arial" w:eastAsia="Calibri" w:hAnsi="Arial" w:cs="Arial"/>
          <w:szCs w:val="28"/>
          <w:lang w:val="uk-UA"/>
        </w:rPr>
        <w:lastRenderedPageBreak/>
        <w:t>дозволити проживання за межами виправної колонії. Таке рішення приймає начальник колонії за узгодженням зі спостережною комісією і стосується періоду звільнення від роботи через вагітність, пологи або до досягнення дитиною трирічного віку. Засуджені жінки в цей період забезпечуються харчуванням, одягом та комунальними послугами, що відповідають нормам для осіб, які відбувають строк у виправній установі. У разі регулярних або грубих порушень встановлених правил, дозвіл на проживання за межами колонії анулюється за рішенням начальника виправної установи, погодженим зі спостережною комісією, і жінки повертаються до колонії для подальшого відбування покарання. В Україні важливим аспектом є те, що переважна кількість норм закріплені як можливість, а не обов’язок адміністрації, що призводить до порушень прав жінок, які відбувають покарання та зловживань з боку посадових осіб. Це підтверджується тим, що станом на 2024 рік жодна жінка з дитиною до трьох років</w:t>
      </w:r>
      <w:bookmarkStart w:id="258" w:name="_dx_frag_StartFragment"/>
      <w:bookmarkEnd w:id="258"/>
      <w:r w:rsidRPr="00511005">
        <w:rPr>
          <w:rFonts w:ascii="Arial" w:eastAsia="Calibri" w:hAnsi="Arial" w:cs="Arial"/>
          <w:szCs w:val="28"/>
          <w:lang w:val="uk-UA"/>
        </w:rPr>
        <w:t xml:space="preserve"> не скористалася правом на проживання поза межами колонії, здебільшого через недостатнє інформування про це право та механізми його реалізації.</w:t>
      </w:r>
    </w:p>
    <w:p w14:paraId="046789BE"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Доступ жінок до медичної допомоги та психо-соціальних послуг у місцях позбавлення волі є серйозною проблемою. Часто вони мають обмежений доступ до якісного лікування, зокрема для гінекологічних і психічних захворювань. Недостатня підтримка погіршує їхнє здоров'я та адаптацію. Для покращення ситуації потрібно забезпечити лікарями виправні установи, створити спеціалізовані відділення та підвищити доступ до сучасних медичних і психологічних послуг. Також важливо навчити медперсонал працювати з жінками з психічними проблемами, запровадити регулярні психотерапевтичні сеанси та програми підтримки матерів. Необхідно змінити законодавство для обов’язкових медичних і соціальних послуг.</w:t>
      </w:r>
    </w:p>
    <w:p w14:paraId="131BE357"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Виправні установи пропонують освіту та професійне навчання, що сприяє реінтеграції жінок у суспільство. Вони можуть отримати дипломи середнього і вищого рівня, освоїти професії, такі як швачки, столярі, кулінари, перукарі тощо. Це допомагає їм здобути практичні навички і кваліфікацію для працевлаштування після звільнення. Психологічна підтримка та мотиваційні тренінги також важливі для їхньої адаптації. Проте існують проблеми, такі як недостатнє фінансування, обмежені ресурси для курсів та відсутність кваліфікованих викладачів. У загальному, навчання та професійна підготовка є важливими для успішної ресоціалізації жінок.</w:t>
      </w:r>
    </w:p>
    <w:p w14:paraId="2FED459E" w14:textId="05ACE745"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Проблема виконання покарань щодо жінок-засуджених в Україні є складною і потребує врахування їхніх фізіологічних, психологічних та соціальних потреб. Система пенітенціарних установ зіштовхується з проблемами, такими як недостатня інфраструктура та обмежені ресурси, що впливає на належну підтримку. Важливо розвивати кримінально-виконавчу політику, яка враховувала б гендерні особливості, покращити медичне, психологічне та соціальне забезпечення, а також створити умови для виховання дітей </w:t>
      </w:r>
      <w:r w:rsidRPr="00511005">
        <w:rPr>
          <w:rFonts w:ascii="Arial" w:eastAsia="Calibri" w:hAnsi="Arial" w:cs="Arial"/>
          <w:szCs w:val="28"/>
          <w:lang w:val="uk-UA"/>
        </w:rPr>
        <w:lastRenderedPageBreak/>
        <w:t>жінками в установах. Прогресивні зміни в законодавстві та поліпшення ресурсної бази сприятимуть успішній ресоціалізації жінок після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їх звільнення.</w:t>
      </w:r>
    </w:p>
    <w:p w14:paraId="3C947D0A" w14:textId="77777777" w:rsidR="00C1357F" w:rsidRPr="00511005" w:rsidRDefault="00C1357F" w:rsidP="003A292D">
      <w:pPr>
        <w:spacing w:line="264" w:lineRule="auto"/>
        <w:ind w:firstLine="0"/>
        <w:contextualSpacing/>
        <w:rPr>
          <w:rFonts w:ascii="Arial" w:eastAsia="Calibri" w:hAnsi="Arial" w:cs="Arial"/>
          <w:b/>
          <w:szCs w:val="28"/>
          <w:lang w:val="uk-UA"/>
        </w:rPr>
      </w:pPr>
    </w:p>
    <w:p w14:paraId="278DBCC7" w14:textId="063C5648" w:rsidR="00C1357F" w:rsidRPr="00511005" w:rsidRDefault="007B2628" w:rsidP="007B2628">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038FF776" w14:textId="77777777" w:rsidR="00C1357F" w:rsidRPr="00511005" w:rsidRDefault="00C1357F" w:rsidP="003F6A5D">
      <w:pPr>
        <w:numPr>
          <w:ilvl w:val="0"/>
          <w:numId w:val="560"/>
        </w:numPr>
        <w:spacing w:line="264" w:lineRule="auto"/>
        <w:contextualSpacing/>
        <w:jc w:val="left"/>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 xml:space="preserve">Кримінально-виконавчий кодекс України. Закон України від 11.07.2003 №1129-IV: станом на 01.01.2025. URL: </w:t>
      </w:r>
      <w:hyperlink r:id="rId2077" w:anchor="Text" w:history="1">
        <w:r w:rsidRPr="00511005">
          <w:rPr>
            <w:rFonts w:ascii="Arial" w:eastAsia="Calibri" w:hAnsi="Arial" w:cs="Arial"/>
            <w:szCs w:val="28"/>
            <w:shd w:val="clear" w:color="auto" w:fill="FFFFFF"/>
            <w:lang w:val="uk-UA"/>
          </w:rPr>
          <w:t>https://zakon.rada.gov.ua/laws/show/1129-15#Text</w:t>
        </w:r>
      </w:hyperlink>
      <w:r w:rsidRPr="00511005">
        <w:rPr>
          <w:rFonts w:ascii="Arial" w:eastAsia="Calibri" w:hAnsi="Arial" w:cs="Arial"/>
          <w:szCs w:val="28"/>
          <w:shd w:val="clear" w:color="auto" w:fill="FFFFFF"/>
          <w:lang w:val="uk-UA"/>
        </w:rPr>
        <w:t>.</w:t>
      </w:r>
    </w:p>
    <w:p w14:paraId="45152330" w14:textId="77777777" w:rsidR="00C1357F" w:rsidRPr="00511005" w:rsidRDefault="00C1357F" w:rsidP="003F6A5D">
      <w:pPr>
        <w:numPr>
          <w:ilvl w:val="0"/>
          <w:numId w:val="560"/>
        </w:numPr>
        <w:spacing w:line="264" w:lineRule="auto"/>
        <w:contextualSpacing/>
        <w:jc w:val="left"/>
        <w:rPr>
          <w:rFonts w:ascii="Arial" w:eastAsia="Calibri" w:hAnsi="Arial" w:cs="Arial"/>
          <w:szCs w:val="28"/>
          <w:shd w:val="clear" w:color="auto" w:fill="FFFFFF"/>
          <w:lang w:val="uk-UA"/>
        </w:rPr>
      </w:pPr>
      <w:r w:rsidRPr="00511005">
        <w:rPr>
          <w:rFonts w:ascii="Arial" w:eastAsia="Calibri" w:hAnsi="Arial" w:cs="Arial"/>
          <w:szCs w:val="28"/>
          <w:lang w:val="uk-UA"/>
        </w:rPr>
        <w:t xml:space="preserve">Кримінальний кодекс України. Закон України від 05.04.2001 № 2341-III: станом на 01.02.2025. URL: </w:t>
      </w:r>
      <w:hyperlink r:id="rId2078" w:anchor="Text" w:history="1">
        <w:r w:rsidRPr="00511005">
          <w:rPr>
            <w:rFonts w:ascii="Arial" w:eastAsia="Calibri" w:hAnsi="Arial" w:cs="Arial"/>
            <w:szCs w:val="28"/>
            <w:lang w:val="uk-UA"/>
          </w:rPr>
          <w:t>https://zakon.rada.gov.ua/laws/show/2341-14#Text</w:t>
        </w:r>
      </w:hyperlink>
      <w:r w:rsidRPr="00511005">
        <w:rPr>
          <w:rFonts w:ascii="Arial" w:eastAsia="Calibri" w:hAnsi="Arial" w:cs="Arial"/>
          <w:szCs w:val="28"/>
          <w:lang w:val="uk-UA"/>
        </w:rPr>
        <w:t>.</w:t>
      </w:r>
    </w:p>
    <w:p w14:paraId="56F3C08D" w14:textId="77777777" w:rsidR="00C1357F" w:rsidRPr="00511005" w:rsidRDefault="00C1357F" w:rsidP="003F6A5D">
      <w:pPr>
        <w:numPr>
          <w:ilvl w:val="0"/>
          <w:numId w:val="560"/>
        </w:numPr>
        <w:spacing w:line="264" w:lineRule="auto"/>
        <w:contextualSpacing/>
        <w:jc w:val="left"/>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Дуюнова Т.В. Особливості виконання довічного позбавлення волі стосовно засуджених жінок. Форум права. 2013. № 1. С. 280–283.</w:t>
      </w:r>
    </w:p>
    <w:p w14:paraId="602ED270" w14:textId="77777777" w:rsidR="00C1357F" w:rsidRPr="00511005" w:rsidRDefault="00C1357F" w:rsidP="003F6A5D">
      <w:pPr>
        <w:numPr>
          <w:ilvl w:val="0"/>
          <w:numId w:val="560"/>
        </w:numPr>
        <w:spacing w:line="264" w:lineRule="auto"/>
        <w:contextualSpacing/>
        <w:jc w:val="left"/>
        <w:rPr>
          <w:rFonts w:ascii="Arial" w:eastAsia="Calibri" w:hAnsi="Arial" w:cs="Arial"/>
          <w:szCs w:val="28"/>
          <w:shd w:val="clear" w:color="auto" w:fill="FFFFFF"/>
          <w:lang w:val="uk-UA"/>
        </w:rPr>
      </w:pPr>
      <w:r w:rsidRPr="00511005">
        <w:rPr>
          <w:rFonts w:ascii="Arial" w:eastAsia="Calibri" w:hAnsi="Arial" w:cs="Arial"/>
          <w:szCs w:val="28"/>
          <w:lang w:val="uk-UA"/>
        </w:rPr>
        <w:t xml:space="preserve">Офіційний сайт пенітенціарної служби України. URL: </w:t>
      </w:r>
      <w:hyperlink r:id="rId2079" w:history="1">
        <w:r w:rsidRPr="00511005">
          <w:rPr>
            <w:rFonts w:ascii="Arial" w:eastAsia="Calibri" w:hAnsi="Arial" w:cs="Arial"/>
            <w:szCs w:val="28"/>
            <w:lang w:val="uk-UA"/>
          </w:rPr>
          <w:t>https://www.kvs.gov.ua/peniten/control/main/uk/index</w:t>
        </w:r>
      </w:hyperlink>
      <w:r w:rsidRPr="00511005">
        <w:rPr>
          <w:rFonts w:ascii="Arial" w:eastAsia="Calibri" w:hAnsi="Arial" w:cs="Arial"/>
          <w:szCs w:val="28"/>
          <w:shd w:val="clear" w:color="auto" w:fill="FFFFFF"/>
          <w:lang w:val="uk-UA"/>
        </w:rPr>
        <w:t>.</w:t>
      </w:r>
    </w:p>
    <w:p w14:paraId="7F4BFE22" w14:textId="77777777" w:rsidR="00C1357F" w:rsidRPr="00511005" w:rsidRDefault="00C1357F" w:rsidP="003A292D">
      <w:pPr>
        <w:spacing w:line="264" w:lineRule="auto"/>
        <w:ind w:firstLine="0"/>
        <w:contextualSpacing/>
        <w:rPr>
          <w:rFonts w:ascii="Arial" w:eastAsia="Calibri" w:hAnsi="Arial" w:cs="Arial"/>
          <w:b/>
          <w:szCs w:val="28"/>
          <w:shd w:val="clear" w:color="auto" w:fill="FFFFFF"/>
          <w:lang w:val="uk-UA"/>
        </w:rPr>
      </w:pPr>
    </w:p>
    <w:p w14:paraId="21614A53" w14:textId="200EF183" w:rsidR="00C1357F" w:rsidRPr="00511005" w:rsidRDefault="007B2628" w:rsidP="003A292D">
      <w:pPr>
        <w:spacing w:line="264" w:lineRule="auto"/>
        <w:ind w:firstLine="0"/>
        <w:contextualSpacing/>
        <w:rPr>
          <w:rFonts w:ascii="Arial" w:eastAsia="Calibri" w:hAnsi="Arial" w:cs="Arial"/>
          <w:szCs w:val="28"/>
          <w:shd w:val="clear" w:color="auto" w:fill="FFFFFF"/>
          <w:lang w:val="uk-UA"/>
        </w:rPr>
      </w:pPr>
      <w:r w:rsidRPr="00511005">
        <w:rPr>
          <w:rFonts w:ascii="Arial" w:eastAsia="Calibri" w:hAnsi="Arial" w:cs="Arial"/>
          <w:b/>
          <w:i/>
          <w:szCs w:val="28"/>
          <w:shd w:val="clear" w:color="auto" w:fill="FFFFFF"/>
          <w:lang w:val="uk-UA"/>
        </w:rPr>
        <w:t xml:space="preserve">Ключові слова: </w:t>
      </w:r>
      <w:r w:rsidR="00C1357F" w:rsidRPr="00511005">
        <w:rPr>
          <w:rFonts w:ascii="Arial" w:eastAsia="Calibri" w:hAnsi="Arial" w:cs="Arial"/>
          <w:szCs w:val="28"/>
          <w:shd w:val="clear" w:color="auto" w:fill="FFFFFF"/>
          <w:lang w:val="uk-UA"/>
        </w:rPr>
        <w:t>злочинність, жінки-засуджені, проблема, позбавлення волі, пенітенціарні установи, Кримінально-виконавчий кодекс України.</w:t>
      </w:r>
    </w:p>
    <w:p w14:paraId="2C6D2241" w14:textId="30DFA122" w:rsidR="00C1357F" w:rsidRPr="00511005" w:rsidRDefault="007B2628" w:rsidP="003A292D">
      <w:pPr>
        <w:spacing w:line="264" w:lineRule="auto"/>
        <w:ind w:firstLine="0"/>
        <w:contextualSpacing/>
        <w:rPr>
          <w:rFonts w:ascii="Arial" w:eastAsia="Calibri" w:hAnsi="Arial" w:cs="Arial"/>
          <w:szCs w:val="28"/>
          <w:shd w:val="clear" w:color="auto" w:fill="FFFFFF"/>
          <w:lang w:val="uk-UA"/>
        </w:rPr>
      </w:pPr>
      <w:r w:rsidRPr="00511005">
        <w:rPr>
          <w:rFonts w:ascii="Arial" w:eastAsia="Calibri" w:hAnsi="Arial" w:cs="Arial"/>
          <w:b/>
          <w:i/>
          <w:szCs w:val="28"/>
          <w:shd w:val="clear" w:color="auto" w:fill="FFFFFF"/>
          <w:lang w:val="uk-UA"/>
        </w:rPr>
        <w:t xml:space="preserve">Key words: </w:t>
      </w:r>
      <w:r w:rsidR="00C1357F" w:rsidRPr="00511005">
        <w:rPr>
          <w:rFonts w:ascii="Arial" w:eastAsia="Calibri" w:hAnsi="Arial" w:cs="Arial"/>
          <w:szCs w:val="28"/>
          <w:shd w:val="clear" w:color="auto" w:fill="FFFFFF"/>
          <w:lang w:val="uk-UA"/>
        </w:rPr>
        <w:t xml:space="preserve">crime, women convicts, problem, deprivation of liberty, penitentiary institutions, Criminal Executive Code of Ukraine. </w:t>
      </w:r>
    </w:p>
    <w:p w14:paraId="71C7D1C1" w14:textId="1EC9D51D" w:rsidR="00C1357F" w:rsidRPr="00511005" w:rsidRDefault="007B2628" w:rsidP="003A292D">
      <w:pPr>
        <w:spacing w:line="264" w:lineRule="auto"/>
        <w:ind w:firstLine="0"/>
        <w:contextualSpacing/>
        <w:rPr>
          <w:rFonts w:ascii="Arial" w:eastAsia="Calibri" w:hAnsi="Arial" w:cs="Arial"/>
          <w:i/>
          <w:szCs w:val="28"/>
          <w:shd w:val="clear" w:color="auto" w:fill="FFFFFF"/>
          <w:lang w:val="uk-UA"/>
        </w:rPr>
      </w:pPr>
      <w:r w:rsidRPr="00511005">
        <w:rPr>
          <w:rFonts w:ascii="Arial" w:eastAsia="Calibri" w:hAnsi="Arial" w:cs="Arial"/>
          <w:b/>
          <w:i/>
          <w:szCs w:val="28"/>
          <w:shd w:val="clear" w:color="auto" w:fill="FFFFFF"/>
          <w:lang w:val="uk-UA"/>
        </w:rPr>
        <w:t xml:space="preserve">Науковий керівник: </w:t>
      </w:r>
      <w:r w:rsidR="00C1357F" w:rsidRPr="00511005">
        <w:rPr>
          <w:rFonts w:ascii="Arial" w:eastAsia="Calibri" w:hAnsi="Arial" w:cs="Arial"/>
          <w:i/>
          <w:szCs w:val="28"/>
          <w:shd w:val="clear" w:color="auto" w:fill="FFFFFF"/>
          <w:lang w:val="uk-UA"/>
        </w:rPr>
        <w:t>асистентка кафедри Лукащук К.Р.</w:t>
      </w:r>
    </w:p>
    <w:p w14:paraId="19C6D785" w14:textId="77777777" w:rsidR="00C1357F" w:rsidRPr="00511005" w:rsidRDefault="00C1357F" w:rsidP="003A292D">
      <w:pPr>
        <w:spacing w:line="264" w:lineRule="auto"/>
        <w:ind w:firstLine="0"/>
        <w:contextualSpacing/>
        <w:rPr>
          <w:rFonts w:ascii="Arial" w:eastAsia="Calibri" w:hAnsi="Arial" w:cs="Arial"/>
          <w:szCs w:val="28"/>
          <w:lang w:val="uk-UA"/>
        </w:rPr>
      </w:pPr>
    </w:p>
    <w:p w14:paraId="7C46CD46" w14:textId="77777777" w:rsidR="00C1357F" w:rsidRPr="00511005" w:rsidRDefault="00C1357F"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Гусак Єлизавета Валентинівна</w:t>
      </w:r>
    </w:p>
    <w:p w14:paraId="4972A0E2" w14:textId="29F4893E"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4D92DDEF"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658FFE1"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9B8A75B" w14:textId="77777777" w:rsidR="00C1357F" w:rsidRPr="00511005" w:rsidRDefault="00C1357F" w:rsidP="003A292D">
      <w:pPr>
        <w:spacing w:line="264" w:lineRule="auto"/>
        <w:ind w:firstLine="0"/>
        <w:jc w:val="center"/>
        <w:rPr>
          <w:rFonts w:ascii="Arial" w:eastAsia="Arial" w:hAnsi="Arial" w:cs="Arial"/>
          <w:b/>
          <w:i/>
          <w:szCs w:val="28"/>
          <w:lang w:val="uk-UA" w:eastAsia="ru-RU"/>
        </w:rPr>
      </w:pPr>
    </w:p>
    <w:p w14:paraId="7BF92FE9" w14:textId="77777777" w:rsidR="00C1357F" w:rsidRPr="00511005" w:rsidRDefault="00C1357F"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b/>
          <w:bCs/>
          <w:iCs/>
          <w:szCs w:val="28"/>
          <w:lang w:val="uk-UA"/>
        </w:rPr>
        <w:t>ПРАВОВЕ РЕГУЛЮВАННЯ УМОВНО-ДОСТРОКОВОГО ЗВІЛЬНЕННЯ ПІД ЧАС ВОЄННОГО СТАНУ</w:t>
      </w:r>
    </w:p>
    <w:p w14:paraId="21B00664"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Інститут умовно-дострокового звільнення (УДЗ) є одним із важливих елементів прогресивної системи виконання покарань, що дозволяє засудженим повернутися до суспільства раніше визначеного судом терміну за умови їхнього виправлення та ресоціалізації. Проте в умовах воєнного стану функціонування цього інституту зазнає суттєвих трансформацій, зумовлених як об'єктивними обставинами збройного конфлікту, так і зміною пріоритетів державної політики у кримінально-виконавчій сфері [3, с. 124].</w:t>
      </w:r>
    </w:p>
    <w:p w14:paraId="78F1F0D5"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Міжнародно-правова база регулювання УДЗ включає Мінімальні стандартні правила поводження з в'язнями (Правила Нельсона Мандели), Європейські пенітенціарні правила та рекомендації Ради Європи щодо умовного звільнення [3, с. 130]. Ці документи підкреслюють важливість збереження принципів справедливості та індивідуального підходу при вирішенні питань </w:t>
      </w:r>
      <w:r w:rsidRPr="00511005">
        <w:rPr>
          <w:rFonts w:ascii="Arial" w:eastAsia="Times New Roman" w:hAnsi="Arial" w:cs="Arial"/>
          <w:szCs w:val="28"/>
          <w:lang w:val="uk-UA"/>
        </w:rPr>
        <w:lastRenderedPageBreak/>
        <w:t>УДЗ навіть у кризових ситуаціях, проте визнають можливість адаптації процедур відповідно до надзвичайних обставин [2, c. 107].</w:t>
      </w:r>
    </w:p>
    <w:p w14:paraId="74B118A8"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Національне законодавство різних країн демонструє різноманітні підходи до регулювання УДЗ в умовах воєнного стану – від тимчасового призупинення дії цього інституту до суттєвого розширення його застосування як інструменту розвантаження пенітенціарної системи [2, с. 109]. В окремих випадках запроваджуються спеціальні критерії для розгляду справ про УДЗ, що враховують потреби оборони держави та особливості соціальної ситуації воєнного часу [4, с. 129].</w:t>
      </w:r>
    </w:p>
    <w:p w14:paraId="490BD9D8"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Правозастосовна практика умовно-дострокового звільнення в умовах збройного конфлікту виявляє низку проблемних аспектів, серед яких: ускладнення процедури оцінки ступеня виправлення засуджених через порушення нормального функціонування пенітенціарних установ; проблеми з документообігом та проведенням судових засідань у регіонах, наближених до зони бойових дій; труднощі із забезпеченням належного контролю за поведінкою умовно-достроково звільнених осіб на територіях з нестабільною безпековою ситуацією [4, с. 130].</w:t>
      </w:r>
    </w:p>
    <w:p w14:paraId="66B11433" w14:textId="5498CC8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Особливої уваги заслуговує питання умовно-дострокового звільнення військовослужбовців, засуджених за військові злочини. Міжнародна практика демонструє різні підходи – від заборони УДЗ для цієї категорії засуджених під час збройного конфлікту до спеціальних програм, що передбачають можливість заміни відбування покарання службою в діючій армії. При цьому міжнародне гуманітарне право встановлює обмеження щодо залучення колишніх засуджених до участі в бойових діях, особливо якщо вони відбували покарання за воєнні злочини або злочини проти людяності [7,</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c. 161-162].</w:t>
      </w:r>
    </w:p>
    <w:p w14:paraId="3260D579" w14:textId="4CF02916"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Процедура прийняття рішень про УДЗ в умовах воєнного стану може зазнавати модифікацій, зокрема через запровадження спрощеного порядку розгляду справ, делегування повноважень спеціальним комісіям або розширення дискреційних повноважень керівників пенітенціарних установ у випадках, коли нормальна робота судової системи порушена. При цьому важливо забезпечити дотримання принципів справедливості та недискримінації, недопущення прийняття рішень з політичних мотивів [1,</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c. 89 ].</w:t>
      </w:r>
    </w:p>
    <w:p w14:paraId="47EA60D8"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Контроль за умовно-достроково звільненими особами в умовах воєнного стану стикається з об'єктивними труднощами, пов'язаними з мобільністю населення, руйнуванням інфраструктури та перевантаженістю правоохоронних органів. Це зумовлює пошук альтернативних механізмів нагляду, зокрема із залученням військово-цивільних адміністрацій та громадських організацій [5, c. 260].</w:t>
      </w:r>
    </w:p>
    <w:p w14:paraId="059208CD" w14:textId="21C5316B"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Відновлення ефективного функціонування інституту УДЗ після завершення активної фази збройного конфлікту вимагає комплексного аналізу та </w:t>
      </w:r>
      <w:r w:rsidRPr="00511005">
        <w:rPr>
          <w:rFonts w:ascii="Arial" w:eastAsia="Times New Roman" w:hAnsi="Arial" w:cs="Arial"/>
          <w:szCs w:val="28"/>
          <w:lang w:val="uk-UA"/>
        </w:rPr>
        <w:lastRenderedPageBreak/>
        <w:t>переоцінки практики воєнного часу, адаптації критеріїв оцінки ступеня виправлення засуджених з урахуванням специфічних умов відбування покарання під час війни та розробки програм ресоціалізації, що враховують психологічні травми та соціально-економічні наслідки збройного конфлікту [6,</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с. 156].</w:t>
      </w:r>
    </w:p>
    <w:p w14:paraId="4E685B24" w14:textId="77777777" w:rsidR="00C1357F" w:rsidRPr="00511005" w:rsidRDefault="00C1357F" w:rsidP="003A292D">
      <w:pPr>
        <w:spacing w:line="264" w:lineRule="auto"/>
        <w:ind w:firstLine="0"/>
        <w:rPr>
          <w:rFonts w:ascii="Arial" w:eastAsia="Times New Roman" w:hAnsi="Arial" w:cs="Arial"/>
          <w:b/>
          <w:bCs/>
          <w:szCs w:val="28"/>
          <w:lang w:val="uk-UA"/>
        </w:rPr>
      </w:pPr>
    </w:p>
    <w:p w14:paraId="147D5689" w14:textId="0A442596" w:rsidR="00C1357F" w:rsidRPr="00511005" w:rsidRDefault="007B2628" w:rsidP="007B2628">
      <w:pPr>
        <w:spacing w:line="264" w:lineRule="auto"/>
        <w:ind w:firstLine="0"/>
        <w:jc w:val="center"/>
        <w:rPr>
          <w:rFonts w:ascii="Arial" w:eastAsia="Times New Roman" w:hAnsi="Arial" w:cs="Arial"/>
          <w:szCs w:val="28"/>
          <w:lang w:val="uk-UA"/>
        </w:rPr>
      </w:pPr>
      <w:r w:rsidRPr="00511005">
        <w:rPr>
          <w:rFonts w:ascii="Arial" w:eastAsia="Times New Roman" w:hAnsi="Arial" w:cs="Arial"/>
          <w:b/>
          <w:bCs/>
          <w:szCs w:val="28"/>
          <w:lang w:val="uk-UA"/>
        </w:rPr>
        <w:t>Список використаних джерел</w:t>
      </w:r>
    </w:p>
    <w:p w14:paraId="276D932C"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1. Автухов К. А. Кримінально-виконавче право : навч. посіб. Харків : Право, 2022. 152 с.</w:t>
      </w:r>
    </w:p>
    <w:p w14:paraId="31B3CAD0"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2. Денисова Т. А., Лисенко М. І. Виконання покарань в умовах воєнного стану : монографія. Харків : Право, 2023. 298 с.</w:t>
      </w:r>
    </w:p>
    <w:p w14:paraId="59786082"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3. Коваленко В. В. Кримінально-виконавче право України : підручник. Київ : Юрінком Інтер, 2022. 376 с.</w:t>
      </w:r>
    </w:p>
    <w:p w14:paraId="7A1B37FC"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4. Міжнародні стандарти у пенітенціарній сфері : навч. посіб. / за ред. О. П. Ткачової. Київ : Алерта, 2021. 224 с.</w:t>
      </w:r>
    </w:p>
    <w:p w14:paraId="013FB9CF"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5. Пузирьов М. С., Карелін В. В. Правовий режим виконання покарань в умовах особливого періоду : монографія. Київ : НАВС, 2023. 264 с.</w:t>
      </w:r>
    </w:p>
    <w:p w14:paraId="04C7E609"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6. Романов М. В., Кревсун О. М. Проблеми реалізації кримінально-виконавчого законодавства України в умовах збройного конфлікту : навч.-метод. посіб. Харків : ХПГ, 2022. 186 с.</w:t>
      </w:r>
    </w:p>
    <w:p w14:paraId="03D0A4B7"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7. Степанюк А. Х., Яковець І. С. Втілення міжнародних стандартів у практику діяльності кримінально-виконавчої системи України : монографія. Харків : Кроссроуд, 2023. 312 с.​​​​​​​​​​​​​​​​</w:t>
      </w:r>
    </w:p>
    <w:p w14:paraId="764BBD5A" w14:textId="77777777" w:rsidR="00C1357F" w:rsidRPr="00511005" w:rsidRDefault="00C1357F" w:rsidP="003A292D">
      <w:pPr>
        <w:spacing w:line="264" w:lineRule="auto"/>
        <w:ind w:firstLine="0"/>
        <w:rPr>
          <w:rFonts w:ascii="Arial" w:eastAsia="Times New Roman" w:hAnsi="Arial" w:cs="Arial"/>
          <w:b/>
          <w:bCs/>
          <w:szCs w:val="28"/>
          <w:lang w:val="uk-UA"/>
        </w:rPr>
      </w:pPr>
    </w:p>
    <w:p w14:paraId="52AC2174" w14:textId="4605ECFC"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C1357F" w:rsidRPr="00511005">
        <w:rPr>
          <w:rFonts w:ascii="Arial" w:eastAsia="Times New Roman" w:hAnsi="Arial" w:cs="Arial"/>
          <w:bCs/>
          <w:szCs w:val="28"/>
          <w:lang w:val="uk-UA"/>
        </w:rPr>
        <w:t>умовно-дострокове звільнення, воєнний стан, кримінально-виконавча система, міжнародні стандарти, Правила Нельсона Мандели, Європейські пенітенціарні правила, ресоціалізація засуджених, військовослужбовці, військові злочини, контроль за звільненими, правозастосовна практика, альтернативні механізми нагляду</w:t>
      </w:r>
    </w:p>
    <w:p w14:paraId="5A1F96CE" w14:textId="40018630" w:rsidR="007B2628"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C1357F" w:rsidRPr="00511005">
        <w:rPr>
          <w:rFonts w:ascii="Arial" w:eastAsia="Times New Roman" w:hAnsi="Arial" w:cs="Arial"/>
          <w:bCs/>
          <w:szCs w:val="28"/>
          <w:lang w:val="uk-UA"/>
        </w:rPr>
        <w:t>early conditional release, martial law, penitentiary system, international standards, Nelson Mandela Rules, European Prison Rules, prisoner rehabilitation, military personnel, war crimes, supervision of released persons, law enforcement practice, alternative supervision mechanisms</w:t>
      </w:r>
    </w:p>
    <w:p w14:paraId="0EE5C1B0" w14:textId="4516567E" w:rsidR="00C1357F" w:rsidRPr="00511005" w:rsidRDefault="007B2628" w:rsidP="003A292D">
      <w:pPr>
        <w:spacing w:line="264" w:lineRule="auto"/>
        <w:ind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C1357F" w:rsidRPr="00511005">
        <w:rPr>
          <w:rFonts w:ascii="Arial" w:eastAsia="Times New Roman" w:hAnsi="Arial" w:cs="Arial"/>
          <w:i/>
          <w:iCs/>
          <w:szCs w:val="28"/>
          <w:lang w:val="uk-UA"/>
        </w:rPr>
        <w:t>асистентка кафедри Лукащук К. Р.</w:t>
      </w:r>
    </w:p>
    <w:p w14:paraId="1F442494" w14:textId="77777777" w:rsidR="00C1357F" w:rsidRPr="00511005" w:rsidRDefault="00C1357F" w:rsidP="003A292D">
      <w:pPr>
        <w:spacing w:line="264" w:lineRule="auto"/>
        <w:ind w:firstLine="0"/>
        <w:rPr>
          <w:rFonts w:ascii="Arial" w:eastAsia="Arial" w:hAnsi="Arial" w:cs="Arial"/>
          <w:b/>
          <w:i/>
          <w:szCs w:val="28"/>
          <w:lang w:val="uk-UA" w:eastAsia="ru-RU"/>
        </w:rPr>
      </w:pPr>
    </w:p>
    <w:p w14:paraId="143BF89E" w14:textId="77777777" w:rsidR="00C1357F" w:rsidRPr="00511005" w:rsidRDefault="00C1357F" w:rsidP="003A292D">
      <w:pPr>
        <w:spacing w:line="264" w:lineRule="auto"/>
        <w:ind w:firstLine="0"/>
        <w:rPr>
          <w:rFonts w:ascii="Arial" w:eastAsia="Calibri" w:hAnsi="Arial" w:cs="Arial"/>
          <w:szCs w:val="28"/>
          <w:lang w:val="uk-UA"/>
        </w:rPr>
      </w:pPr>
    </w:p>
    <w:p w14:paraId="5BBD7760" w14:textId="77777777" w:rsidR="00C1357F" w:rsidRPr="00511005" w:rsidRDefault="00C1357F"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Давидюк Євгенія Володимирівна</w:t>
      </w:r>
    </w:p>
    <w:p w14:paraId="6F5D1D59" w14:textId="6BE1CF1F"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623BCB87"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AFBDEF9"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1758EF0" w14:textId="77777777" w:rsidR="00C1357F" w:rsidRPr="00511005" w:rsidRDefault="00C1357F" w:rsidP="003A292D">
      <w:pPr>
        <w:spacing w:line="264" w:lineRule="auto"/>
        <w:ind w:firstLine="0"/>
        <w:jc w:val="center"/>
        <w:rPr>
          <w:rFonts w:ascii="Arial" w:eastAsia="Calibri" w:hAnsi="Arial" w:cs="Arial"/>
          <w:b/>
          <w:szCs w:val="28"/>
          <w:lang w:val="uk-UA"/>
        </w:rPr>
      </w:pPr>
    </w:p>
    <w:p w14:paraId="05F953EC" w14:textId="77777777" w:rsidR="00C1357F" w:rsidRPr="00511005" w:rsidRDefault="00C1357F"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lastRenderedPageBreak/>
        <w:t>СОЦІАЛЬНА ПІДТРИМКА ЗАСУДЖЕНИХ З ІНВАЛІДНІСТЮ В УКРАЇНІ: ПРОБЛЕМИ РЕАЛІЗАЦІЇ</w:t>
      </w:r>
    </w:p>
    <w:p w14:paraId="49154A31"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Соціальна підтримка засуджених осіб, зокрема тих, які відбувають покарання у вигляді довічного позбавлення волі, залишається одним із найбільш актуальних і водночас складних питань у контексті функціонування пенітенціарної системи України. Згідно з офіційною статистикою Державної кримінально-виконавчої служби України, станом на 1 січня 2023 року в установах виконання покарань утримувалося 47 321 особа. З цієї кількості 2 387 осіб мають встановлену інвалідність.</w:t>
      </w:r>
    </w:p>
    <w:p w14:paraId="50CC2240"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Особливої уваги заслуговує той факт, що близько 10% осіб з інвалідністю, які перебувають у місцях позбавлення волі, потребують постійного стороннього догляду, що передбачає залучення кваліфікованих соціальних працівників. Однак через обмежені ресурси та кадровий дефіцит в пенітенціарних установах ці функції часто виконують інші засуджені, що викликає занепокоєння з огляду на якість догляду, дотримання гідності та безпеки осіб з інвалідністю.</w:t>
      </w:r>
    </w:p>
    <w:p w14:paraId="424AD308"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Крім того, система соціальної допомоги в місцях позбавлення волі часто не враховує особливі потреби осіб з інвалідністю, включаючи доступ до медичних послуг, спеціалізованих засобів пересування, а також до програм реабілітації та ресоціалізації. Це свідчить про необхідність системного перегляду політик соціального забезпечення в установах виконання покарань, з урахуванням міжнародних стандартів прав людини, зокрема Конвенції ООН про права осіб з інвалідністю [3].</w:t>
      </w:r>
    </w:p>
    <w:p w14:paraId="4B8EB552"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той час як на волі особам з інвалідністю надається підтримка в межах Закону України №2960-IV «</w:t>
      </w:r>
      <w:r w:rsidRPr="00511005">
        <w:rPr>
          <w:rFonts w:ascii="Arial" w:eastAsia="Calibri" w:hAnsi="Arial" w:cs="Arial"/>
          <w:szCs w:val="28"/>
          <w:shd w:val="clear" w:color="auto" w:fill="FFFFFF"/>
          <w:lang w:val="uk-UA"/>
        </w:rPr>
        <w:t>Про внесення змін до деяких законодавчих актів України щодо професійної і трудової реабілітації інвалідів</w:t>
      </w:r>
      <w:r w:rsidRPr="00511005">
        <w:rPr>
          <w:rFonts w:ascii="Arial" w:eastAsia="Times New Roman" w:hAnsi="Arial" w:cs="Arial"/>
          <w:szCs w:val="28"/>
          <w:lang w:val="uk-UA" w:eastAsia="ru-RU"/>
        </w:rPr>
        <w:t>», в умовах пенітенціарної системи їхнє існування для соціальної служби фактично ігнорується [2]. Особи з інвалідністю, які відбувають покарання, залишаються поза сферою опіки державних соціальних інституцій. Практично весь догляд за ними покладено на плечі інших засуджених, які не мають належної кваліфікації чи медичних знань. Це ставить під загрозу як якість догляду, так і безпеку самих осіб з інвалідністю.</w:t>
      </w:r>
    </w:p>
    <w:p w14:paraId="3CCED558"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зв’язку з цим постає логічне і водночас гостре питання: хто в умовах обмежених ресурсів може ефективно замінити професійних соціальних працівників у місцях позбавлення волі? Як забезпечити якісну, людяну та безпечну допомогу тим, хто її реально потребує?</w:t>
      </w:r>
    </w:p>
    <w:p w14:paraId="65DB608A"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Однією з можливих відповідей є розробка та впровадження </w:t>
      </w:r>
      <w:r w:rsidRPr="00511005">
        <w:rPr>
          <w:rFonts w:ascii="Arial" w:eastAsia="Times New Roman" w:hAnsi="Arial" w:cs="Arial"/>
          <w:bCs/>
          <w:szCs w:val="28"/>
          <w:lang w:val="uk-UA" w:eastAsia="ru-RU"/>
        </w:rPr>
        <w:t>Концепції соціального працевлаштування засуджених</w:t>
      </w:r>
      <w:r w:rsidRPr="00511005">
        <w:rPr>
          <w:rFonts w:ascii="Arial" w:eastAsia="Times New Roman" w:hAnsi="Arial" w:cs="Arial"/>
          <w:szCs w:val="28"/>
          <w:lang w:val="uk-UA" w:eastAsia="ru-RU"/>
        </w:rPr>
        <w:t xml:space="preserve">, яка передбачає спеціальну підготовку та залучення окремих осіб, що відбувають покарання, до надання соціальних послуг іншим засудженим, зокрема тим, хто має інвалідність. Така модель поєднує дві важливі цілі: задоволення потреб у догляді та створення механізмів ресоціалізації через навчання та відповідальність. </w:t>
      </w:r>
      <w:r w:rsidRPr="00511005">
        <w:rPr>
          <w:rFonts w:ascii="Arial" w:eastAsia="Times New Roman" w:hAnsi="Arial" w:cs="Arial"/>
          <w:szCs w:val="28"/>
          <w:lang w:val="uk-UA" w:eastAsia="ru-RU"/>
        </w:rPr>
        <w:lastRenderedPageBreak/>
        <w:t>Особи, залучені до програми, можуть пройти спеціальні курси, сертифікацію та перебувати під наглядом медичних або соціальних інструкторів.</w:t>
      </w:r>
    </w:p>
    <w:p w14:paraId="2C138A97"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У перспективі впровадження такої концепції сприятиме не лише покращенню умов утримання вразливих категорій засуджених, а й формуванню гуманного середовища всередині виправних установ.</w:t>
      </w:r>
    </w:p>
    <w:p w14:paraId="04B89162" w14:textId="77777777" w:rsidR="00C1357F" w:rsidRPr="00511005" w:rsidRDefault="00C1357F" w:rsidP="003A292D">
      <w:pPr>
        <w:spacing w:line="264" w:lineRule="auto"/>
        <w:ind w:firstLine="0"/>
        <w:rPr>
          <w:rFonts w:ascii="Arial" w:eastAsia="Calibri" w:hAnsi="Arial" w:cs="Arial"/>
          <w:szCs w:val="28"/>
          <w:lang w:val="uk-UA" w:eastAsia="ru-RU"/>
        </w:rPr>
      </w:pPr>
      <w:r w:rsidRPr="00511005">
        <w:rPr>
          <w:rFonts w:ascii="Arial" w:eastAsia="Calibri" w:hAnsi="Arial" w:cs="Arial"/>
          <w:szCs w:val="28"/>
          <w:lang w:val="uk-UA" w:eastAsia="ru-RU"/>
        </w:rPr>
        <w:t>Посилаючись на міжнародні правові документи, зокрема на Конвенцію про професійну реабілітацію та зайнятість інвалідів (ратифіковану Законом України № 624-IV від 06.03.2003), варто підкреслити, що згідно з положеннями цього акту, кожна держава-член вважає своїм завданням створення умов для професійної реабілітації осіб з інвалідністю [4]. Це передбачає надання їм можливості здобувати, зберігати робочі місця та просуватися по службі, сприяючи тим самим їхній соціальній інтеграції або поверненню до активного суспільного життя.</w:t>
      </w:r>
    </w:p>
    <w:p w14:paraId="37AE1DDD" w14:textId="77777777" w:rsidR="00C1357F" w:rsidRPr="00511005" w:rsidRDefault="00C1357F" w:rsidP="003A292D">
      <w:pPr>
        <w:spacing w:line="264" w:lineRule="auto"/>
        <w:ind w:firstLine="0"/>
        <w:rPr>
          <w:rFonts w:ascii="Arial" w:eastAsia="Calibri" w:hAnsi="Arial" w:cs="Arial"/>
          <w:szCs w:val="28"/>
          <w:lang w:val="uk-UA" w:eastAsia="ru-RU"/>
        </w:rPr>
      </w:pPr>
      <w:r w:rsidRPr="00511005">
        <w:rPr>
          <w:rFonts w:ascii="Arial" w:eastAsia="Calibri" w:hAnsi="Arial" w:cs="Arial"/>
          <w:szCs w:val="28"/>
          <w:lang w:val="uk-UA" w:eastAsia="ru-RU"/>
        </w:rPr>
        <w:t>Це питання є особливо важливим для осіб з інвалідністю, які відбувають покарання в місцях позбавлення волі, але прагнуть у майбутньому повернутися до повноцінного життя в суспільстві.</w:t>
      </w:r>
    </w:p>
    <w:p w14:paraId="2DBC8925" w14:textId="77777777" w:rsidR="00C1357F" w:rsidRPr="00511005" w:rsidRDefault="00C1357F" w:rsidP="003A292D">
      <w:pPr>
        <w:spacing w:line="264" w:lineRule="auto"/>
        <w:ind w:firstLine="0"/>
        <w:rPr>
          <w:rFonts w:ascii="Arial" w:eastAsia="Calibri" w:hAnsi="Arial" w:cs="Arial"/>
          <w:szCs w:val="28"/>
          <w:lang w:val="uk-UA" w:eastAsia="ru-RU"/>
        </w:rPr>
      </w:pPr>
      <w:r w:rsidRPr="00511005">
        <w:rPr>
          <w:rFonts w:ascii="Arial" w:eastAsia="Calibri" w:hAnsi="Arial" w:cs="Arial"/>
          <w:szCs w:val="28"/>
          <w:lang w:val="uk-UA" w:eastAsia="ru-RU"/>
        </w:rPr>
        <w:t>До моменту затвердження «Порядку організації надання медичної допомоги засудженим до позбавлення волі», у пенітенціарній системі України спостерігалася певна дискримінація засуджених з інвалідністю залежно від того, коли й де їм було присвоєно цей статус. Ті, хто отримав інвалідність до прибуття в колонію, продовжували отримувати пенсію, були на обліку у відповідних соціальних службах та мали право на протезування, засоби реабілітації, пільгове забезпечення ліками тощо [5].</w:t>
      </w:r>
    </w:p>
    <w:p w14:paraId="34E60C76" w14:textId="77777777" w:rsidR="00C1357F" w:rsidRPr="00511005" w:rsidRDefault="00C1357F" w:rsidP="003A292D">
      <w:pPr>
        <w:spacing w:line="264" w:lineRule="auto"/>
        <w:ind w:firstLine="0"/>
        <w:rPr>
          <w:rFonts w:ascii="Arial" w:eastAsia="Calibri" w:hAnsi="Arial" w:cs="Arial"/>
          <w:szCs w:val="28"/>
          <w:lang w:val="uk-UA" w:eastAsia="ru-RU"/>
        </w:rPr>
      </w:pPr>
      <w:r w:rsidRPr="00511005">
        <w:rPr>
          <w:rFonts w:ascii="Arial" w:eastAsia="Calibri" w:hAnsi="Arial" w:cs="Arial"/>
          <w:szCs w:val="28"/>
          <w:lang w:val="uk-UA" w:eastAsia="ru-RU"/>
        </w:rPr>
        <w:t xml:space="preserve">Натомість засуджені, які стали інвалідами вже під час відбування покарання, не отримували пенсії й офіційно не визнавалися інвалідами за межами пенітенціарної системи. Їхній статус діяв лише в межах установи: для дієтичного харчування, звільнення від певних видів робіт, полегшених умов праці чи лікування в медзакладах, підпорядкованих пенітенціарній службі. Після звільнення ці особи змушені були фактично проходити процедуру визнання інвалідності повторно, що часто вимагало фінансових витрат, аби мати змогу отримувати пенсію та користуватися відповідними соціальними пільгами </w:t>
      </w:r>
      <w:r w:rsidRPr="00511005">
        <w:rPr>
          <w:rFonts w:ascii="Arial" w:eastAsia="Times New Roman" w:hAnsi="Arial" w:cs="Arial"/>
          <w:szCs w:val="28"/>
          <w:lang w:val="uk-UA" w:eastAsia="ru-RU"/>
        </w:rPr>
        <w:t>[1]</w:t>
      </w:r>
      <w:r w:rsidRPr="00511005">
        <w:rPr>
          <w:rFonts w:ascii="Arial" w:eastAsia="Calibri" w:hAnsi="Arial" w:cs="Arial"/>
          <w:szCs w:val="28"/>
          <w:lang w:val="uk-UA" w:eastAsia="ru-RU"/>
        </w:rPr>
        <w:t>.</w:t>
      </w:r>
    </w:p>
    <w:p w14:paraId="7878D14C" w14:textId="77777777" w:rsidR="00C1357F" w:rsidRPr="00511005" w:rsidRDefault="00C1357F" w:rsidP="003A292D">
      <w:pPr>
        <w:spacing w:line="264" w:lineRule="auto"/>
        <w:ind w:firstLine="0"/>
        <w:rPr>
          <w:rFonts w:ascii="Arial" w:eastAsia="Calibri" w:hAnsi="Arial" w:cs="Arial"/>
          <w:szCs w:val="28"/>
          <w:lang w:val="uk-UA" w:eastAsia="ru-RU"/>
        </w:rPr>
      </w:pPr>
      <w:r w:rsidRPr="00511005">
        <w:rPr>
          <w:rFonts w:ascii="Arial" w:eastAsia="Calibri" w:hAnsi="Arial" w:cs="Arial"/>
          <w:szCs w:val="28"/>
          <w:lang w:val="uk-UA" w:eastAsia="ru-RU"/>
        </w:rPr>
        <w:t>Прийняття нового порядку надання медичної допомоги засудженим до позбавлення волі стало переломним моментом, який значно покращив ситуацію у сфері медичного обслуговування осіб з інвалідністю в установах виконання покарань.</w:t>
      </w:r>
    </w:p>
    <w:p w14:paraId="4E0246EC"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Проблема соціальної підтримки засуджених осіб з інвалідністю, особливо тих, що відбувають довічне покарання, залишається критично важливою у контексті реформування пенітенціарної системи України. Незважаючи на існуючі міжнародні зобов’язання та певні кроки у напрямку покращення ситуації — зокрема, прийняття «Порядку організації надання медичної </w:t>
      </w:r>
      <w:r w:rsidRPr="00511005">
        <w:rPr>
          <w:rFonts w:ascii="Arial" w:eastAsia="Calibri" w:hAnsi="Arial" w:cs="Arial"/>
          <w:szCs w:val="28"/>
          <w:lang w:val="uk-UA"/>
        </w:rPr>
        <w:lastRenderedPageBreak/>
        <w:t>допомоги засудженим до позбавлення волі» — держава досі не забезпечує належного рівня догляду, медичної та соціальної допомоги таким особам.</w:t>
      </w:r>
    </w:p>
    <w:p w14:paraId="48679E61"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Існуюча практика, коли функції догляду за людьми з інвалідністю виконують інші засуджені без спеціальної підготовки, є недостатньою і не відповідає вимогам гідного ставлення та безпеки. У цьому контексті актуальною та перспективною виглядає ідея впровадження Концепції соціального працевлаштування засуджених. Вона дозволить поєднати потребу в професійному догляді з можливостями для ресоціалізації через навчання та відповідальну діяльність у сфері допомоги іншим.</w:t>
      </w:r>
    </w:p>
    <w:p w14:paraId="4A33D67D"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Таким чином, для досягнення реального прогресу необхідна системна інтеграція міжнародних стандартів у політику та практику соціального забезпечення пенітенціарних установ, що сприятиме формуванню гуманнішої та ефективнішої моделі поводження з особами, позбавленими волі, які потребують особливого підходу.</w:t>
      </w:r>
    </w:p>
    <w:p w14:paraId="41B85ECA" w14:textId="77777777" w:rsidR="00C1357F" w:rsidRPr="00511005" w:rsidRDefault="00C1357F" w:rsidP="003A292D">
      <w:pPr>
        <w:spacing w:line="264" w:lineRule="auto"/>
        <w:ind w:firstLine="0"/>
        <w:rPr>
          <w:rFonts w:ascii="Arial" w:eastAsia="Times New Roman" w:hAnsi="Arial" w:cs="Arial"/>
          <w:b/>
          <w:szCs w:val="28"/>
          <w:lang w:val="uk-UA" w:eastAsia="ru-RU"/>
        </w:rPr>
      </w:pPr>
    </w:p>
    <w:p w14:paraId="59193C01" w14:textId="2BA428CF" w:rsidR="00C1357F"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381FDD49" w14:textId="61D75CF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eastAsia="ru-RU"/>
        </w:rPr>
        <w:t>1.</w:t>
      </w:r>
      <w:r w:rsidR="007B2628"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 xml:space="preserve">Кримінально-виконавчий кодекс України. Закон України від 11.07.2003 № 1129-IV: станом на 01.01.2025. URL: </w:t>
      </w:r>
      <w:hyperlink r:id="rId2080" w:anchor="n1073" w:history="1">
        <w:r w:rsidRPr="00511005">
          <w:rPr>
            <w:rFonts w:ascii="Arial" w:eastAsia="Calibri" w:hAnsi="Arial" w:cs="Arial"/>
            <w:szCs w:val="28"/>
            <w:lang w:val="uk-UA"/>
          </w:rPr>
          <w:t>https://zakon.rada.gov.ua/laws/show/1129-15#n1073</w:t>
        </w:r>
      </w:hyperlink>
      <w:r w:rsidRPr="00511005">
        <w:rPr>
          <w:rFonts w:ascii="Arial" w:eastAsia="Calibri" w:hAnsi="Arial" w:cs="Arial"/>
          <w:szCs w:val="28"/>
          <w:lang w:val="uk-UA"/>
        </w:rPr>
        <w:t>.</w:t>
      </w:r>
    </w:p>
    <w:p w14:paraId="39791B14" w14:textId="77777777" w:rsidR="00C1357F" w:rsidRPr="00511005" w:rsidRDefault="00C1357F" w:rsidP="003A292D">
      <w:pPr>
        <w:spacing w:line="264" w:lineRule="auto"/>
        <w:ind w:firstLine="0"/>
        <w:rPr>
          <w:rFonts w:ascii="Arial" w:eastAsia="Calibri" w:hAnsi="Arial" w:cs="Arial"/>
          <w:szCs w:val="28"/>
          <w:shd w:val="clear" w:color="auto" w:fill="FFFFFF"/>
          <w:lang w:val="uk-UA"/>
        </w:rPr>
      </w:pPr>
      <w:r w:rsidRPr="00511005">
        <w:rPr>
          <w:rFonts w:ascii="Arial" w:eastAsia="Times New Roman" w:hAnsi="Arial" w:cs="Arial"/>
          <w:szCs w:val="28"/>
          <w:lang w:val="uk-UA" w:eastAsia="ru-RU"/>
        </w:rPr>
        <w:t xml:space="preserve">2. </w:t>
      </w:r>
      <w:r w:rsidRPr="00511005">
        <w:rPr>
          <w:rFonts w:ascii="Arial" w:eastAsia="Calibri" w:hAnsi="Arial" w:cs="Arial"/>
          <w:szCs w:val="28"/>
          <w:shd w:val="clear" w:color="auto" w:fill="FFFFFF"/>
          <w:lang w:val="uk-UA"/>
        </w:rPr>
        <w:t xml:space="preserve">Про внесення змін до деяких законодавчих актів України щодо професійної і трудової реабілітації інвалідів: Закон України від 06.10.2005 року №2960-IV: станом на 01.04.2011. </w:t>
      </w:r>
      <w:r w:rsidRPr="00511005">
        <w:rPr>
          <w:rFonts w:ascii="Arial" w:eastAsia="Calibri" w:hAnsi="Arial" w:cs="Arial"/>
          <w:szCs w:val="28"/>
          <w:lang w:val="uk-UA"/>
        </w:rPr>
        <w:t xml:space="preserve">URL: </w:t>
      </w:r>
      <w:hyperlink r:id="rId2081" w:anchor="Text" w:history="1">
        <w:r w:rsidRPr="00511005">
          <w:rPr>
            <w:rFonts w:ascii="Arial" w:eastAsia="Calibri" w:hAnsi="Arial" w:cs="Arial"/>
            <w:szCs w:val="28"/>
            <w:shd w:val="clear" w:color="auto" w:fill="FFFFFF"/>
            <w:lang w:val="uk-UA"/>
          </w:rPr>
          <w:t>https://zakon.rada.gov.ua/laws/show/2960-15#Text</w:t>
        </w:r>
      </w:hyperlink>
      <w:r w:rsidRPr="00511005">
        <w:rPr>
          <w:rFonts w:ascii="Arial" w:eastAsia="Calibri" w:hAnsi="Arial" w:cs="Arial"/>
          <w:szCs w:val="28"/>
          <w:shd w:val="clear" w:color="auto" w:fill="FFFFFF"/>
          <w:lang w:val="uk-UA"/>
        </w:rPr>
        <w:t>.</w:t>
      </w:r>
    </w:p>
    <w:p w14:paraId="761094C5"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Calibri" w:hAnsi="Arial" w:cs="Arial"/>
          <w:szCs w:val="28"/>
          <w:shd w:val="clear" w:color="auto" w:fill="FFFFFF"/>
          <w:lang w:val="uk-UA"/>
        </w:rPr>
        <w:t xml:space="preserve">3. </w:t>
      </w:r>
      <w:r w:rsidRPr="00511005">
        <w:rPr>
          <w:rFonts w:ascii="Arial" w:eastAsia="Times New Roman" w:hAnsi="Arial" w:cs="Arial"/>
          <w:szCs w:val="28"/>
          <w:lang w:val="uk-UA" w:eastAsia="ru-RU"/>
        </w:rPr>
        <w:t xml:space="preserve">Конвенція про права інвалідів «прийнята Резолюцією Генеральної Асамблеї ООН від 13 грудня 2006 року №61\106. </w:t>
      </w:r>
      <w:r w:rsidRPr="00511005">
        <w:rPr>
          <w:rFonts w:ascii="Arial" w:eastAsia="Calibri" w:hAnsi="Arial" w:cs="Arial"/>
          <w:szCs w:val="28"/>
          <w:lang w:val="uk-UA"/>
        </w:rPr>
        <w:t>URL:</w:t>
      </w:r>
      <w:r w:rsidRPr="00511005">
        <w:rPr>
          <w:rFonts w:ascii="Arial" w:eastAsia="Times New Roman" w:hAnsi="Arial" w:cs="Arial"/>
          <w:szCs w:val="28"/>
          <w:lang w:val="uk-UA" w:eastAsia="ru-RU"/>
        </w:rPr>
        <w:t xml:space="preserve"> </w:t>
      </w:r>
      <w:hyperlink r:id="rId2082" w:anchor="Text" w:history="1">
        <w:r w:rsidRPr="00511005">
          <w:rPr>
            <w:rFonts w:ascii="Arial" w:eastAsia="Times New Roman" w:hAnsi="Arial" w:cs="Arial"/>
            <w:szCs w:val="28"/>
            <w:lang w:val="uk-UA" w:eastAsia="ru-RU"/>
          </w:rPr>
          <w:t>https://zakon.rada.gov.ua/laws/show/995_g71#Text</w:t>
        </w:r>
      </w:hyperlink>
      <w:r w:rsidRPr="00511005">
        <w:rPr>
          <w:rFonts w:ascii="Arial" w:eastAsia="Times New Roman" w:hAnsi="Arial" w:cs="Arial"/>
          <w:szCs w:val="28"/>
          <w:lang w:val="uk-UA" w:eastAsia="ru-RU"/>
        </w:rPr>
        <w:t>.</w:t>
      </w:r>
    </w:p>
    <w:p w14:paraId="752846D8"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Calibri" w:hAnsi="Arial" w:cs="Arial"/>
          <w:szCs w:val="28"/>
          <w:shd w:val="clear" w:color="auto" w:fill="FFFFFF"/>
          <w:lang w:val="uk-UA"/>
        </w:rPr>
        <w:t xml:space="preserve">4. </w:t>
      </w:r>
      <w:r w:rsidRPr="00511005">
        <w:rPr>
          <w:rFonts w:ascii="Arial" w:eastAsia="Times New Roman" w:hAnsi="Arial" w:cs="Arial"/>
          <w:szCs w:val="28"/>
          <w:lang w:val="uk-UA" w:eastAsia="ru-RU"/>
        </w:rPr>
        <w:t xml:space="preserve">Конвенція </w:t>
      </w:r>
      <w:r w:rsidRPr="00511005">
        <w:rPr>
          <w:rFonts w:ascii="Arial" w:eastAsia="Calibri" w:hAnsi="Arial" w:cs="Arial"/>
          <w:bCs/>
          <w:szCs w:val="28"/>
          <w:shd w:val="clear" w:color="auto" w:fill="FFFFFF"/>
          <w:lang w:val="uk-UA"/>
        </w:rPr>
        <w:t xml:space="preserve">про професійну реабілітацію та зайнятість інвалідів № 159 від 20 червня 1983 року №159. </w:t>
      </w:r>
      <w:r w:rsidRPr="00511005">
        <w:rPr>
          <w:rFonts w:ascii="Arial" w:eastAsia="Calibri" w:hAnsi="Arial" w:cs="Arial"/>
          <w:szCs w:val="28"/>
          <w:lang w:val="uk-UA"/>
        </w:rPr>
        <w:t>URL:</w:t>
      </w:r>
      <w:r w:rsidRPr="00511005">
        <w:rPr>
          <w:rFonts w:ascii="Arial" w:eastAsia="Calibri" w:hAnsi="Arial" w:cs="Arial"/>
          <w:bCs/>
          <w:szCs w:val="28"/>
          <w:shd w:val="clear" w:color="auto" w:fill="FFFFFF"/>
          <w:lang w:val="uk-UA"/>
        </w:rPr>
        <w:t xml:space="preserve"> </w:t>
      </w:r>
      <w:hyperlink r:id="rId2083" w:anchor="Text" w:history="1">
        <w:r w:rsidRPr="00511005">
          <w:rPr>
            <w:rFonts w:ascii="Arial" w:eastAsia="Calibri" w:hAnsi="Arial" w:cs="Arial"/>
            <w:bCs/>
            <w:szCs w:val="28"/>
            <w:shd w:val="clear" w:color="auto" w:fill="FFFFFF"/>
            <w:lang w:val="uk-UA"/>
          </w:rPr>
          <w:t>https://zakon.rada.gov.ua/laws/show/993_065#Text</w:t>
        </w:r>
      </w:hyperlink>
      <w:r w:rsidRPr="00511005">
        <w:rPr>
          <w:rFonts w:ascii="Arial" w:eastAsia="Calibri" w:hAnsi="Arial" w:cs="Arial"/>
          <w:bCs/>
          <w:szCs w:val="28"/>
          <w:shd w:val="clear" w:color="auto" w:fill="FFFFFF"/>
          <w:lang w:val="uk-UA"/>
        </w:rPr>
        <w:t>.</w:t>
      </w:r>
    </w:p>
    <w:p w14:paraId="2532C149"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5.</w:t>
      </w:r>
      <w:r w:rsidRPr="00511005">
        <w:rPr>
          <w:rFonts w:ascii="Arial" w:eastAsia="Calibri" w:hAnsi="Arial" w:cs="Arial"/>
          <w:b/>
          <w:bCs/>
          <w:szCs w:val="28"/>
          <w:shd w:val="clear" w:color="auto" w:fill="FFFFFF"/>
          <w:lang w:val="uk-UA"/>
        </w:rPr>
        <w:t xml:space="preserve"> </w:t>
      </w:r>
      <w:r w:rsidRPr="00511005">
        <w:rPr>
          <w:rFonts w:ascii="Arial" w:eastAsia="Calibri" w:hAnsi="Arial" w:cs="Arial"/>
          <w:szCs w:val="28"/>
          <w:lang w:val="uk-UA"/>
        </w:rPr>
        <w:t xml:space="preserve">Наказ МОЗ України від 15.08.2014 року №1348\5\572 «Про затвердження Порядку організації надання медичної допомоги засудженим до позбавлення волі». URL: </w:t>
      </w:r>
      <w:hyperlink r:id="rId2084" w:anchor="Text" w:history="1">
        <w:r w:rsidRPr="00511005">
          <w:rPr>
            <w:rFonts w:ascii="Arial" w:eastAsia="Calibri" w:hAnsi="Arial" w:cs="Arial"/>
            <w:szCs w:val="28"/>
            <w:lang w:val="uk-UA"/>
          </w:rPr>
          <w:t>https://zakon.rada.gov.ua/laws/show/z0990-14#Text</w:t>
        </w:r>
      </w:hyperlink>
      <w:r w:rsidRPr="00511005">
        <w:rPr>
          <w:rFonts w:ascii="Arial" w:eastAsia="Calibri" w:hAnsi="Arial" w:cs="Arial"/>
          <w:szCs w:val="28"/>
          <w:lang w:val="uk-UA"/>
        </w:rPr>
        <w:t xml:space="preserve">. </w:t>
      </w:r>
    </w:p>
    <w:p w14:paraId="272DC7E4" w14:textId="77777777" w:rsidR="00C1357F" w:rsidRPr="00511005" w:rsidRDefault="00C1357F" w:rsidP="003A292D">
      <w:pPr>
        <w:spacing w:line="264" w:lineRule="auto"/>
        <w:ind w:firstLine="0"/>
        <w:rPr>
          <w:rFonts w:ascii="Arial" w:eastAsia="Calibri" w:hAnsi="Arial" w:cs="Arial"/>
          <w:b/>
          <w:szCs w:val="28"/>
          <w:lang w:val="uk-UA"/>
        </w:rPr>
      </w:pPr>
    </w:p>
    <w:p w14:paraId="225A3C6A" w14:textId="6D80FEB4" w:rsidR="00C1357F" w:rsidRPr="00511005" w:rsidRDefault="007B2628" w:rsidP="003A292D">
      <w:pPr>
        <w:spacing w:line="264" w:lineRule="auto"/>
        <w:ind w:firstLine="0"/>
        <w:rPr>
          <w:rFonts w:ascii="Arial" w:eastAsia="Calibri" w:hAnsi="Arial" w:cs="Arial"/>
          <w:b/>
          <w:szCs w:val="28"/>
          <w:lang w:val="uk-UA"/>
        </w:rPr>
      </w:pPr>
      <w:r w:rsidRPr="00511005">
        <w:rPr>
          <w:rFonts w:ascii="Arial" w:eastAsia="Calibri" w:hAnsi="Arial" w:cs="Arial"/>
          <w:b/>
          <w:i/>
          <w:szCs w:val="28"/>
          <w:lang w:val="uk-UA"/>
        </w:rPr>
        <w:t xml:space="preserve">Ключові слова: </w:t>
      </w:r>
      <w:r w:rsidR="00C1357F" w:rsidRPr="00511005">
        <w:rPr>
          <w:rFonts w:ascii="Arial" w:eastAsia="Calibri" w:hAnsi="Arial" w:cs="Arial"/>
          <w:szCs w:val="28"/>
          <w:lang w:val="uk-UA"/>
        </w:rPr>
        <w:t>особа з інвалідністю, поздавлення волі, засуджений, відбування покарання, соціальна підтримка</w:t>
      </w:r>
    </w:p>
    <w:p w14:paraId="7ACC6607" w14:textId="4781470F"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C1357F" w:rsidRPr="00511005">
        <w:rPr>
          <w:rFonts w:ascii="Arial" w:eastAsia="Calibri" w:hAnsi="Arial" w:cs="Arial"/>
          <w:szCs w:val="28"/>
          <w:lang w:val="uk-UA"/>
        </w:rPr>
        <w:t>person with a disability, release from prison, convict, serving a sentence, social support</w:t>
      </w:r>
    </w:p>
    <w:p w14:paraId="0E730B3D" w14:textId="0500F8CB" w:rsidR="00C1357F"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C1357F" w:rsidRPr="00511005">
        <w:rPr>
          <w:rFonts w:ascii="Arial" w:eastAsia="Calibri" w:hAnsi="Arial" w:cs="Arial"/>
          <w:i/>
          <w:szCs w:val="28"/>
          <w:lang w:val="uk-UA"/>
        </w:rPr>
        <w:t>асистентка кафедри Лукащук К.Р.</w:t>
      </w:r>
    </w:p>
    <w:p w14:paraId="6E82DDD4" w14:textId="77777777" w:rsidR="00C1357F" w:rsidRPr="00511005" w:rsidRDefault="00C1357F" w:rsidP="003A292D">
      <w:pPr>
        <w:spacing w:line="264" w:lineRule="auto"/>
        <w:ind w:firstLine="0"/>
        <w:rPr>
          <w:rFonts w:ascii="Arial" w:eastAsia="Calibri" w:hAnsi="Arial" w:cs="Arial"/>
          <w:b/>
          <w:szCs w:val="28"/>
          <w:lang w:val="uk-UA"/>
        </w:rPr>
      </w:pPr>
    </w:p>
    <w:p w14:paraId="2D84F079" w14:textId="77777777" w:rsidR="00C1357F" w:rsidRPr="00511005" w:rsidRDefault="00C1357F"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Деренюк Ангеліна Олександрівна</w:t>
      </w:r>
    </w:p>
    <w:p w14:paraId="1BA5C3A3" w14:textId="657574FB"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414EFB23"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E054D07"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lastRenderedPageBreak/>
        <w:t>Національного університету «Одеська юридична академія»</w:t>
      </w:r>
    </w:p>
    <w:p w14:paraId="7F6797FD" w14:textId="77777777" w:rsidR="00C1357F" w:rsidRPr="00511005" w:rsidRDefault="00C1357F" w:rsidP="003A292D">
      <w:pPr>
        <w:spacing w:line="264" w:lineRule="auto"/>
        <w:ind w:firstLine="0"/>
        <w:jc w:val="center"/>
        <w:rPr>
          <w:rFonts w:ascii="Arial" w:eastAsia="Arial" w:hAnsi="Arial" w:cs="Arial"/>
          <w:i/>
          <w:szCs w:val="28"/>
          <w:lang w:val="uk-UA" w:eastAsia="ru-RU"/>
        </w:rPr>
      </w:pPr>
    </w:p>
    <w:p w14:paraId="443EB5FA" w14:textId="77777777" w:rsidR="00C1357F" w:rsidRPr="00511005" w:rsidRDefault="00C1357F"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b/>
          <w:bCs/>
          <w:iCs/>
          <w:szCs w:val="28"/>
          <w:lang w:val="uk-UA"/>
        </w:rPr>
        <w:t>ОСОБЛИВОСТІ ВІДБУВАННЯ ПОКАРАННЯ ЖІНКАМИ З МАЛОЛІТНІМИ ДІТЬМИ</w:t>
      </w:r>
    </w:p>
    <w:p w14:paraId="34D81568"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Проблематика відбування покарання жінками, які мають малолітніх дітей, належить до найбільш актуальних у сучасному кримінально-виконавчому праві України. Статистичні дані Міністерства юстиції України свідчать, що близько 5% від загальної кількості засуджених жінок мають дітей віком до трьох років або перебувають у стані вагітності. Особлива уразливість цієї категорії засуджених зумовлена необхідністю одночасного забезпечення як режимних вимог до відбування покарання, так і реалізації права на материнство.</w:t>
      </w:r>
    </w:p>
    <w:p w14:paraId="60BA0B99"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Правове регулювання відбування покарання жінками з малолітніми дітьми здійснюється на підставі Кримінально-виконавчого кодексу України, зокрема ст. 141, яка передбачає створення будинків дитини при виправних колоніях для жінок, де можуть перебувати діти віком до трьох років [2, с. 45]. Крім того, ст. 83 Кримінального кодексу України встановлює можливість відстрочки відбування покарання вагітним жінкам і жінкам, які мають дітей віком до трьох років, до досягнення дитиною трирічного віку [4]. Важливим доповненням національного законодавства є міжнародні стандарти, зокрема Бангкокські правила (Правила ООН щодо поводження з жінками-в'язнями) та Європейські пенітенціарні правила [1, с. 112].</w:t>
      </w:r>
    </w:p>
    <w:p w14:paraId="5C5BDE19"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Будинки дитини при виправних колоніях є специфічними установами, які повинні забезпечувати належні умови для перебування дітей та підтримання материнсько-дитячих зв'язків. Проте існує низка проблем у функціонуванні цих установ, серед яких: недостатнє матеріально-технічне забезпечення, обмеженість простору для повноцінного розвитку дитини, недостатність кваліфікованого персоналу [3, с. 87]. Особливої уваги заслуговує проблема роз'єднання матері та дитини після досягнення останньою трирічного віку, якщо термін відбування покарання матері ще не закінчився. Таке роз'єднання часто має негативні психологічні наслідки як для дитини, так і для матері, а також ускладнює подальшу ресоціалізацію засудженої [5, с. 203].</w:t>
      </w:r>
    </w:p>
    <w:p w14:paraId="4B64460A"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Аналіз зарубіжного досвіду свідчить про наявність більш прогресивних практик щодо відбування покарання жінками з малолітніми дітьми. Так, у Німеччині, Франції, Іспанії створені «відкриті» відділення для жінок з дітьми, що дозволяє мінімізувати негативний вплив пенітенціарної системи на розвиток дитини [2, с. 56]. У США та Канаді діють спеціальні програми для засуджених матерів, спрямовані на збереження сімейних зв'язків та підготовку до повноцінного виконання материнських обов'язків після звільнення, як зазначають Мартиненко З. Е. та Макар І. В. [4, с. 134].</w:t>
      </w:r>
    </w:p>
    <w:p w14:paraId="60DFC91E"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Психологічні аспекти материнства в умовах ізоляції характеризуються низкою особливостей. Жінки, які відбувають покарання разом з дітьми, часто стикаються з внутрішнім конфліктом між бажанням бути гарною матір'ю та усвідомленням своєї кримінальної поведінки [1, с. 123]. Крім того, такі жінки часто відчувають тривогу за майбутнє дитини, особливо у контексті можливого розлучення після досягнення дитиною трирічного віку, що підтверджують дослідження Вердіної С. А. та Волкова А. А. [3, с. 67].</w:t>
      </w:r>
    </w:p>
    <w:p w14:paraId="04337BCA"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Важливим аспектом є підготовка засуджених жінок з малолітніми дітьми до життя після звільнення. Ця категорія стикається з особливими труднощами при соціальній адаптації, зокрема: складнощі з працевлаштуванням, житлові проблеми, соціальна стигматизація [5, с. 91]. Для вирішення цих проблем необхідна комплексна система соціального супроводу, яка б включала допомогу у працевлаштуванні, сприяння у вирішенні житлових питань, психологічну підтримку та консультування.</w:t>
      </w:r>
    </w:p>
    <w:p w14:paraId="46209979"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 підставі проведеного дослідження можна запропонувати наступні шляхи вдосконалення системи відбування покарання жінками з малолітніми дітьми:</w:t>
      </w:r>
    </w:p>
    <w:p w14:paraId="6BAC8D6C" w14:textId="77777777" w:rsidR="00C1357F" w:rsidRPr="00511005" w:rsidRDefault="00C1357F" w:rsidP="003F6A5D">
      <w:pPr>
        <w:numPr>
          <w:ilvl w:val="0"/>
          <w:numId w:val="577"/>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внесення змін до Кримінально-виконавчого кодексу України щодо розширення вікових меж перебування дитини з матір'ю у виправній установі до чотирьох-шести років;</w:t>
      </w:r>
    </w:p>
    <w:p w14:paraId="55BA599A" w14:textId="77777777" w:rsidR="00C1357F" w:rsidRPr="00511005" w:rsidRDefault="00C1357F" w:rsidP="003F6A5D">
      <w:pPr>
        <w:numPr>
          <w:ilvl w:val="0"/>
          <w:numId w:val="577"/>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створення «відкритих» відділень для жінок з малолітніми дітьми з менш суворим режимом;</w:t>
      </w:r>
    </w:p>
    <w:p w14:paraId="690C3C0A" w14:textId="77777777" w:rsidR="00C1357F" w:rsidRPr="00511005" w:rsidRDefault="00C1357F" w:rsidP="003F6A5D">
      <w:pPr>
        <w:numPr>
          <w:ilvl w:val="0"/>
          <w:numId w:val="577"/>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розвиток альтернативних покарань для жінок з дітьми;</w:t>
      </w:r>
    </w:p>
    <w:p w14:paraId="15683655" w14:textId="77777777" w:rsidR="00C1357F" w:rsidRPr="00511005" w:rsidRDefault="00C1357F" w:rsidP="003F6A5D">
      <w:pPr>
        <w:numPr>
          <w:ilvl w:val="0"/>
          <w:numId w:val="577"/>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запровадження спеціалізованих реабілітаційних центрів для жінок з дітьми за межами традиційних пенітенціарних установ;</w:t>
      </w:r>
    </w:p>
    <w:p w14:paraId="59F92787" w14:textId="77777777" w:rsidR="00C1357F" w:rsidRPr="00511005" w:rsidRDefault="00C1357F" w:rsidP="003F6A5D">
      <w:pPr>
        <w:numPr>
          <w:ilvl w:val="0"/>
          <w:numId w:val="577"/>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розробка комплексних програм підготовки до звільнення та соціального супроводу після звільнення.</w:t>
      </w:r>
    </w:p>
    <w:p w14:paraId="466E5F47"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Таким чином, особливості відбування покарання жінками з малолітніми дітьми потребують комплексного підходу, який би враховував як інтереси дитини, так і завдання кримінально-виконавчого законодавства. Впровадження зарубіжного досвіду та вдосконалення національної системи виконання покарань сприятиме гуманізації умов утримання цієї категорії засуджених та забезпеченню найкращих інтересів дитини.</w:t>
      </w:r>
    </w:p>
    <w:p w14:paraId="1349FC97" w14:textId="77777777" w:rsidR="00C1357F" w:rsidRPr="00511005" w:rsidRDefault="00C1357F" w:rsidP="003A292D">
      <w:pPr>
        <w:spacing w:line="264" w:lineRule="auto"/>
        <w:ind w:firstLine="0"/>
        <w:rPr>
          <w:rFonts w:ascii="Arial" w:eastAsia="Times New Roman" w:hAnsi="Arial" w:cs="Arial"/>
          <w:szCs w:val="28"/>
          <w:lang w:val="uk-UA"/>
        </w:rPr>
      </w:pPr>
    </w:p>
    <w:p w14:paraId="186BDF82" w14:textId="463F6D73" w:rsidR="00C1357F" w:rsidRPr="00511005" w:rsidRDefault="007B2628" w:rsidP="007B2628">
      <w:pPr>
        <w:spacing w:line="264" w:lineRule="auto"/>
        <w:ind w:firstLine="0"/>
        <w:jc w:val="center"/>
        <w:rPr>
          <w:rFonts w:ascii="Arial" w:eastAsia="Times New Roman" w:hAnsi="Arial" w:cs="Arial"/>
          <w:szCs w:val="28"/>
          <w:lang w:val="uk-UA"/>
        </w:rPr>
      </w:pPr>
      <w:r w:rsidRPr="00511005">
        <w:rPr>
          <w:rFonts w:ascii="Arial" w:eastAsia="Times New Roman" w:hAnsi="Arial" w:cs="Arial"/>
          <w:b/>
          <w:bCs/>
          <w:szCs w:val="28"/>
          <w:lang w:val="uk-UA"/>
        </w:rPr>
        <w:t>Список використаних джерел</w:t>
      </w:r>
    </w:p>
    <w:p w14:paraId="7D6A4FF8" w14:textId="77777777" w:rsidR="00C1357F" w:rsidRPr="00511005" w:rsidRDefault="00C1357F" w:rsidP="003F6A5D">
      <w:pPr>
        <w:numPr>
          <w:ilvl w:val="0"/>
          <w:numId w:val="578"/>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Білоус С. І., Корнійчук В. П. Філософія освіти : навч.-метод. посіб. Переяслав-Хмельницький, 2016. 176 с.</w:t>
      </w:r>
    </w:p>
    <w:p w14:paraId="728AE3D0" w14:textId="77777777" w:rsidR="00C1357F" w:rsidRPr="00511005" w:rsidRDefault="00C1357F" w:rsidP="003F6A5D">
      <w:pPr>
        <w:numPr>
          <w:ilvl w:val="0"/>
          <w:numId w:val="578"/>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Ваш О. М. Етика : навч.-метод. посіб. Запоріжжя : ЗНУ, 2018. 104 с.</w:t>
      </w:r>
    </w:p>
    <w:p w14:paraId="5552932E" w14:textId="77777777" w:rsidR="00C1357F" w:rsidRPr="00511005" w:rsidRDefault="00C1357F" w:rsidP="003F6A5D">
      <w:pPr>
        <w:numPr>
          <w:ilvl w:val="0"/>
          <w:numId w:val="578"/>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Вердіна С. А., Волков А. А. Контролінг : навч. посіб. Запоріжжя : ЗНУ, 2016. 131 с.</w:t>
      </w:r>
    </w:p>
    <w:p w14:paraId="5BE525D9" w14:textId="77777777" w:rsidR="00C1357F" w:rsidRPr="00511005" w:rsidRDefault="00C1357F" w:rsidP="003F6A5D">
      <w:pPr>
        <w:numPr>
          <w:ilvl w:val="0"/>
          <w:numId w:val="578"/>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lastRenderedPageBreak/>
        <w:t>Мартиненко З. Е., Макар І. В. Управління підприємством: теоретико-методичні засади : монографія. Харків : Щедра садиба плюс, 2017. 296 с.</w:t>
      </w:r>
    </w:p>
    <w:p w14:paraId="00E9E362" w14:textId="77777777" w:rsidR="00C1357F" w:rsidRPr="00511005" w:rsidRDefault="00C1357F" w:rsidP="003F6A5D">
      <w:pPr>
        <w:numPr>
          <w:ilvl w:val="0"/>
          <w:numId w:val="578"/>
        </w:numPr>
        <w:spacing w:line="264" w:lineRule="auto"/>
        <w:ind w:left="0" w:firstLine="720"/>
        <w:jc w:val="left"/>
        <w:rPr>
          <w:rFonts w:ascii="Arial" w:eastAsia="Times New Roman" w:hAnsi="Arial" w:cs="Arial"/>
          <w:szCs w:val="28"/>
          <w:lang w:val="uk-UA"/>
        </w:rPr>
      </w:pPr>
      <w:r w:rsidRPr="00511005">
        <w:rPr>
          <w:rFonts w:ascii="Arial" w:eastAsia="Times New Roman" w:hAnsi="Arial" w:cs="Arial"/>
          <w:szCs w:val="28"/>
          <w:lang w:val="uk-UA"/>
        </w:rPr>
        <w:t>Тарнавська Г. Я., Марценюк Н. С., Герасимова Т. М. Фінанси : навч. посіб. Львів : Магнолія 2006, 2017. 412 с.</w:t>
      </w:r>
    </w:p>
    <w:p w14:paraId="27C4C925" w14:textId="77777777" w:rsidR="00C1357F" w:rsidRPr="00511005" w:rsidRDefault="00C1357F" w:rsidP="003A292D">
      <w:pPr>
        <w:spacing w:line="264" w:lineRule="auto"/>
        <w:ind w:firstLine="0"/>
        <w:rPr>
          <w:rFonts w:ascii="Arial" w:eastAsia="Times New Roman" w:hAnsi="Arial" w:cs="Arial"/>
          <w:b/>
          <w:bCs/>
          <w:szCs w:val="28"/>
          <w:lang w:val="uk-UA"/>
        </w:rPr>
      </w:pPr>
    </w:p>
    <w:p w14:paraId="4365602B" w14:textId="1DC30F1C"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C1357F" w:rsidRPr="00511005">
        <w:rPr>
          <w:rFonts w:ascii="Arial" w:eastAsia="Times New Roman" w:hAnsi="Arial" w:cs="Arial"/>
          <w:szCs w:val="28"/>
          <w:lang w:val="uk-UA"/>
        </w:rPr>
        <w:t>жінки-засуджені, материнство, малолітні діти, будинки дитини, виправні колонії, ресоціалізація, міжнародні стандарти, пенітенціарна система, соціальна адаптація, гуманізація покарання.</w:t>
      </w:r>
    </w:p>
    <w:p w14:paraId="23271ACA" w14:textId="3D918CE8"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C1357F" w:rsidRPr="00511005">
        <w:rPr>
          <w:rFonts w:ascii="Arial" w:eastAsia="Times New Roman" w:hAnsi="Arial" w:cs="Arial"/>
          <w:szCs w:val="28"/>
          <w:lang w:val="uk-UA"/>
        </w:rPr>
        <w:t>female prisoners, motherhood, young children, children's homes, correctional colonies, resocialization, international standards, penitentiary system, social adaptation, humanization of punishment.</w:t>
      </w:r>
    </w:p>
    <w:p w14:paraId="2E3B8C5A" w14:textId="11552F22"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iCs/>
          <w:szCs w:val="28"/>
          <w:lang w:val="uk-UA"/>
        </w:rPr>
        <w:t xml:space="preserve">Науковий керівник: </w:t>
      </w:r>
      <w:r w:rsidR="00C1357F" w:rsidRPr="00511005">
        <w:rPr>
          <w:rFonts w:ascii="Arial" w:eastAsia="Times New Roman" w:hAnsi="Arial" w:cs="Arial"/>
          <w:i/>
          <w:iCs/>
          <w:szCs w:val="28"/>
          <w:lang w:val="uk-UA"/>
        </w:rPr>
        <w:t>асистентка кафедри Лукащук К. Р.</w:t>
      </w:r>
    </w:p>
    <w:p w14:paraId="3D8431C9" w14:textId="77777777" w:rsidR="00C1357F" w:rsidRPr="00511005" w:rsidRDefault="00C1357F" w:rsidP="003A292D">
      <w:pPr>
        <w:spacing w:line="264" w:lineRule="auto"/>
        <w:ind w:firstLine="0"/>
        <w:rPr>
          <w:rFonts w:ascii="Arial" w:eastAsia="Calibri" w:hAnsi="Arial" w:cs="Arial"/>
          <w:szCs w:val="28"/>
          <w:lang w:val="uk-UA"/>
        </w:rPr>
      </w:pPr>
    </w:p>
    <w:p w14:paraId="1376C4BD" w14:textId="77777777" w:rsidR="00C1357F" w:rsidRPr="00511005" w:rsidRDefault="00C1357F"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Джигирей Владислава Василівна</w:t>
      </w:r>
    </w:p>
    <w:p w14:paraId="7C68BAD0" w14:textId="66C09D26"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58D3C362"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EFB7053"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32D1E40" w14:textId="77777777" w:rsidR="00C1357F" w:rsidRPr="00511005" w:rsidRDefault="00C1357F" w:rsidP="003A292D">
      <w:pPr>
        <w:spacing w:line="264" w:lineRule="auto"/>
        <w:ind w:firstLine="0"/>
        <w:jc w:val="center"/>
        <w:rPr>
          <w:rFonts w:ascii="Arial" w:eastAsia="Times New Roman" w:hAnsi="Arial" w:cs="Arial"/>
          <w:b/>
          <w:i/>
          <w:szCs w:val="28"/>
          <w:lang w:val="uk-UA" w:eastAsia="ru-RU"/>
        </w:rPr>
      </w:pPr>
    </w:p>
    <w:p w14:paraId="7839419E" w14:textId="77777777" w:rsidR="007B2628" w:rsidRPr="00511005" w:rsidRDefault="00C1357F"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szCs w:val="28"/>
          <w:lang w:val="uk-UA" w:eastAsia="ru-RU"/>
        </w:rPr>
        <w:t>ПСИХОЛОГІЧНІ АСПЕКТИ ВІДБУВАННЯ ПОКАРАННЯ ТА РЕСОЦІАЛІЗАЦІЯ ЗАСУДЖЕНИХ</w:t>
      </w:r>
    </w:p>
    <w:p w14:paraId="33FABCC6" w14:textId="08E94644"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ab/>
        <w:t>Питання психології покарання та ресоціалізації є ключовим у системі кримінально-виконавчої політики. Психологічний стан засудженого, його особистість та зміни у свідомості в ході відбування покарання є важливими для успішної ресоціалізації. Проблема ресоціалізації засуджених є ключовою для сучасного суспільства, оскільки без ефективного повернення цих осіб до правового життя зростає ризик рецидивної злочинності, що загрожує соціальній стабільності. За даними Державної пенітенціарної служби України, у 2024 році близько 40% виправних установ не мали повноцінного психологічного супроводу, а рівень рецидивів серед звільнених залишався на рівні 25–30% [3]. Ці цифри підкреслюють необхідність глибшого аналізу психологічних механізмів, які впливають на засуджених під час і після ув’язнення.</w:t>
      </w:r>
    </w:p>
    <w:p w14:paraId="3528C615"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Кримінально-виконавчий кодекс України визначає виправлення як процес позитивних змін у свідомості засудженого, спрямований на формування правослухняної поведінки, а ресоціалізацію — як відновлення соціального статусу через трудове, побутове та моральне вдосконалення [1]. Однак практика показує, що традиційні методи часто не враховують індивідуальних особливостей особистості, що призводить до деформації емоційної сфери та дезадаптації після звільнення. </w:t>
      </w:r>
    </w:p>
    <w:p w14:paraId="7843D869" w14:textId="61E46AE9"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На мою думку, варто розділити дану тему на два етапи розгляду, перший -</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включає саме психологічні аспекти та другий – поняття ресоціалізації. Хоч і </w:t>
      </w:r>
      <w:r w:rsidRPr="00511005">
        <w:rPr>
          <w:rFonts w:ascii="Arial" w:eastAsia="Times New Roman" w:hAnsi="Arial" w:cs="Arial"/>
          <w:szCs w:val="28"/>
          <w:lang w:val="uk-UA"/>
        </w:rPr>
        <w:lastRenderedPageBreak/>
        <w:t>дані поняття мають певний зв’язок між собою, але для кращого розуміння варто окремо дати визначення кожному.</w:t>
      </w:r>
    </w:p>
    <w:p w14:paraId="5DD22A9B"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Покарання, зокрема таке як позбавлення волі, є не лише юридичним фактом, а й потужним психологічним механізмом, що впливає на свідомість, емоційний стан та соціальну адаптацію засуджених. Сучасна пенітенціарна система України намагається поєднувати каральні функції з ресоціалізаційними, проте психологічні наслідки ув’язнення залишаються складними. Існує ряд певних аспектів, які впливають на засудженого при відбування покарання, а саме:</w:t>
      </w:r>
    </w:p>
    <w:p w14:paraId="62B95CE4" w14:textId="77777777" w:rsidR="00C1357F" w:rsidRPr="00511005" w:rsidRDefault="00C1357F" w:rsidP="003F6A5D">
      <w:pPr>
        <w:numPr>
          <w:ilvl w:val="0"/>
          <w:numId w:val="581"/>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Режим ув’язнення: він формує структуру життя, обмежує автономію та визначає рівень стресу. Жорсткі умови (камерний тип, ізоляція) викликають хронічний стрес, апатію або агресію. Наприклад, у виправних колоніях максимального рівня безпеки, де засуджені утримуються в камерах, спостерігається зростання тривожних розладів та втрата соціальних навичок. </w:t>
      </w:r>
    </w:p>
    <w:p w14:paraId="7C2D75D5" w14:textId="2B01E87E" w:rsidR="00C1357F" w:rsidRPr="00511005" w:rsidRDefault="00C1357F" w:rsidP="003F6A5D">
      <w:pPr>
        <w:numPr>
          <w:ilvl w:val="0"/>
          <w:numId w:val="581"/>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Гендерні відмінності: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як показує практики, то жінки сильніше переживають розрив з рідними і відповідно психологічні наслідки у них наступають швидше, ніж у чоловіків.</w:t>
      </w:r>
    </w:p>
    <w:p w14:paraId="770E78DE" w14:textId="77777777" w:rsidR="00C1357F" w:rsidRPr="00511005" w:rsidRDefault="00C1357F" w:rsidP="003F6A5D">
      <w:pPr>
        <w:numPr>
          <w:ilvl w:val="0"/>
          <w:numId w:val="581"/>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Психологічні стани під час ув’язнення: страх і тривога: Рабдофобія (страх перед покаранням) може виникати навіть після звільнення, особливо у осіб з травматичним досвідом у дитинстві [4]. Формування деструктивних моделей: умови ізоляції сприяють прийняттю кримінальних норм. Наприклад, рецидивісти часто імітують законослухняність для отримання пільг, але внутрішньо залишаються ворожими до системи [2].</w:t>
      </w:r>
    </w:p>
    <w:p w14:paraId="013FCCAC"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Даний перелік умов є далеко не вичерпним, але з вищезазначених основних можна дійти висновку, що на психологію особи, яка відбуває покарання умовно впливає все, що її оточує а також її внутрішній світ, переконання та інше, проте таке сприйняття засудженого обстановки навколо може змінюватися залежно від зміни умов навколо, до прикладу у Житомирській виправній колонії проводилися психологічні тренінги з арт-терапії для жінок-засуджених. У результаті було зафіксовано зниження рівня тривожності та агресії (Звіт про діяльність проєкту «Повернення», 2020). Ще один приклад — впровадження проєкту «Повернення» у Київській області, який передбачає індивідуальне психологічне консультування, тренінги на розвиток емоційного інтелекту та групову психотерапію. Учасники проєкту демонстрували покращення в емоційній стабільності та готовності до соціального життя. Тобто, залежно від обставин, психологічний стан особи на етапі відбування покарання може мати як позитивну, так і негативну динаміку.</w:t>
      </w:r>
    </w:p>
    <w:p w14:paraId="079B84E1"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Що стосується ресоціалізіції засуджених, то як вже зазначалося, поняття закріплене в КВК України [1], та поділяється на два види: пенітенціарний — </w:t>
      </w:r>
      <w:r w:rsidRPr="00511005">
        <w:rPr>
          <w:rFonts w:ascii="Arial" w:eastAsia="Times New Roman" w:hAnsi="Arial" w:cs="Arial"/>
          <w:szCs w:val="28"/>
          <w:lang w:val="uk-UA" w:eastAsia="ru-RU"/>
        </w:rPr>
        <w:lastRenderedPageBreak/>
        <w:t>підготовка до звільнення через навчання та психологічний супровід. Постпенітенціарний — інтеграція у суспільство за допомогою житлової, трудової та юридичної підтримки. Ресоціалізація засуджених — це комплексний процес відновлення соціального статусу, норм поведінки, моральних і правових орієнтацій особи, яка відбула покарання. Його мета — повернення людини до повноцінного життя в суспільстві, профілактика рецидиву та формування правослухняного способу життя.</w:t>
      </w:r>
    </w:p>
    <w:p w14:paraId="74456D86"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Ресоціалізація включає в себе декілька етапів:</w:t>
      </w:r>
    </w:p>
    <w:p w14:paraId="2687A574" w14:textId="77777777" w:rsidR="00C1357F" w:rsidRPr="00511005" w:rsidRDefault="00C1357F" w:rsidP="003F6A5D">
      <w:pPr>
        <w:numPr>
          <w:ilvl w:val="0"/>
          <w:numId w:val="582"/>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Соціально-психологічна адаптація — зменшення емоційної напруги, розвиток комунікативних навичок.</w:t>
      </w:r>
    </w:p>
    <w:p w14:paraId="3CE3276F" w14:textId="77777777" w:rsidR="00C1357F" w:rsidRPr="00511005" w:rsidRDefault="00C1357F" w:rsidP="003F6A5D">
      <w:pPr>
        <w:numPr>
          <w:ilvl w:val="0"/>
          <w:numId w:val="582"/>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Формування мотивації до змін — усвідомлення вчиненого та бажання жити законно.</w:t>
      </w:r>
    </w:p>
    <w:p w14:paraId="716CB46C" w14:textId="77777777" w:rsidR="00C1357F" w:rsidRPr="00511005" w:rsidRDefault="00C1357F" w:rsidP="003F6A5D">
      <w:pPr>
        <w:numPr>
          <w:ilvl w:val="0"/>
          <w:numId w:val="582"/>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Професійна та освітня підготовка — здобуття знань, які допоможуть у працевлаштуванні.</w:t>
      </w:r>
    </w:p>
    <w:p w14:paraId="72529109" w14:textId="77777777" w:rsidR="00C1357F" w:rsidRPr="00511005" w:rsidRDefault="00C1357F" w:rsidP="003F6A5D">
      <w:pPr>
        <w:numPr>
          <w:ilvl w:val="0"/>
          <w:numId w:val="582"/>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Соціальна підтримка — допомога з боку держави, родини, громадських організацій.</w:t>
      </w:r>
    </w:p>
    <w:p w14:paraId="64930592"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Отже, ресоціалізація засуджених є ключовою ланкою у запобіганні рецидивній злочинності та побудові безпечного суспільства. Її ефективність залежить від системного поєднання психологічної підтримки, професійної підготовки та соціальної інтеграції.</w:t>
      </w:r>
      <w:r w:rsidRPr="00511005">
        <w:rPr>
          <w:rFonts w:ascii="Arial" w:eastAsia="Calibri" w:hAnsi="Arial" w:cs="Arial"/>
          <w:szCs w:val="28"/>
          <w:lang w:val="uk-UA"/>
        </w:rPr>
        <w:t xml:space="preserve"> </w:t>
      </w:r>
      <w:r w:rsidRPr="00511005">
        <w:rPr>
          <w:rFonts w:ascii="Arial" w:eastAsia="Times New Roman" w:hAnsi="Arial" w:cs="Arial"/>
          <w:szCs w:val="28"/>
          <w:lang w:val="uk-UA" w:eastAsia="ru-RU"/>
        </w:rPr>
        <w:t>Постпенітенціарна підтримка (житло, юридична допомога, співпраця з бізнесом) зменшує ризик повернення до злочинного середовища, а психологічний супровід під час і після ув’язнення знижує рівень стресу, агресії та депресії, що сприяє відновленню соціальних навичок.</w:t>
      </w:r>
    </w:p>
    <w:p w14:paraId="7749A341"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Підводячи підсумки, можна зробити висновок, що психологічні аспекти відбування покарання мають глибокий вплив на особистість засудженого. Ізоляція, втрата соціальних зв’язків, тиск тюремної субкультури та порушення емоційної рівноваги можуть призводити до деструктивних змін у психіці. Саме тому роль психолога в установах виконання покарань є надзвичайно важливою.</w:t>
      </w:r>
    </w:p>
    <w:p w14:paraId="5F08E00F" w14:textId="77777777" w:rsidR="00C1357F" w:rsidRPr="00511005" w:rsidRDefault="00C1357F"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Професійна психологічна допомога дозволяє не лише зменшити негативні наслідки ув’язнення, а й закласти основи для подальшої ресоціалізації. Ресоціалізація засуджених — складний, але необхідний процес повернення людини до повноцінного життя в суспільстві. Він вимагає комплексного підходу, де психологічна підтримка поєднується з соціальною адаптацією, навчанням та професійною орієнтацією. Ефективна ресоціалізація знижує ризик рецидиву та сприяє формуванню безпечного суспільства.</w:t>
      </w:r>
    </w:p>
    <w:p w14:paraId="72888B91" w14:textId="77777777" w:rsidR="00C1357F" w:rsidRPr="00511005" w:rsidRDefault="00C1357F" w:rsidP="003A292D">
      <w:pPr>
        <w:spacing w:line="264" w:lineRule="auto"/>
        <w:ind w:firstLine="0"/>
        <w:rPr>
          <w:rFonts w:ascii="Arial" w:eastAsia="Calibri" w:hAnsi="Arial" w:cs="Arial"/>
          <w:b/>
          <w:szCs w:val="28"/>
          <w:lang w:val="uk-UA"/>
        </w:rPr>
      </w:pPr>
    </w:p>
    <w:p w14:paraId="7B5F3DFF" w14:textId="395C01BF" w:rsidR="00C1357F"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0FDA5773" w14:textId="6BE4A15E" w:rsidR="00C1357F" w:rsidRPr="00511005" w:rsidRDefault="00C1357F" w:rsidP="003F6A5D">
      <w:pPr>
        <w:numPr>
          <w:ilvl w:val="0"/>
          <w:numId w:val="10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Кримінально-виконавчий кодекс України. Закон України від 11.07.2003</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№1129 станом на 01.01.2025. URL: </w:t>
      </w:r>
      <w:hyperlink r:id="rId2085" w:anchor="Text" w:history="1">
        <w:r w:rsidRPr="00511005">
          <w:rPr>
            <w:rFonts w:ascii="Arial" w:eastAsia="Calibri" w:hAnsi="Arial" w:cs="Arial"/>
            <w:szCs w:val="28"/>
            <w:lang w:val="uk-UA"/>
          </w:rPr>
          <w:t>https://zakon.rada.gov.ua/laws/show/1129-15#Text</w:t>
        </w:r>
      </w:hyperlink>
      <w:r w:rsidRPr="00511005">
        <w:rPr>
          <w:rFonts w:ascii="Arial" w:eastAsia="Calibri" w:hAnsi="Arial" w:cs="Arial"/>
          <w:szCs w:val="28"/>
          <w:lang w:val="uk-UA"/>
        </w:rPr>
        <w:t>.</w:t>
      </w:r>
    </w:p>
    <w:p w14:paraId="46599B56" w14:textId="77777777" w:rsidR="00C1357F" w:rsidRPr="00511005" w:rsidRDefault="00C1357F" w:rsidP="003F6A5D">
      <w:pPr>
        <w:numPr>
          <w:ilvl w:val="0"/>
          <w:numId w:val="10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Дронов А.Є., Режим відбування покарання як психологічний вплив на особистість злочинця: наукова стаття: Київ, 2012. URL: </w:t>
      </w:r>
      <w:hyperlink r:id="rId2086" w:history="1">
        <w:r w:rsidRPr="00511005">
          <w:rPr>
            <w:rFonts w:ascii="Arial" w:eastAsia="Calibri" w:hAnsi="Arial" w:cs="Arial"/>
            <w:szCs w:val="28"/>
            <w:lang w:val="uk-UA"/>
          </w:rPr>
          <w:t>http://www.mif-ua.com/archive/article/34307</w:t>
        </w:r>
      </w:hyperlink>
      <w:r w:rsidRPr="00511005">
        <w:rPr>
          <w:rFonts w:ascii="Arial" w:eastAsia="Calibri" w:hAnsi="Arial" w:cs="Arial"/>
          <w:szCs w:val="28"/>
          <w:lang w:val="uk-UA"/>
        </w:rPr>
        <w:t>.</w:t>
      </w:r>
    </w:p>
    <w:p w14:paraId="76A913CC" w14:textId="1533BECF" w:rsidR="00C1357F" w:rsidRPr="00511005" w:rsidRDefault="00C1357F" w:rsidP="003F6A5D">
      <w:pPr>
        <w:numPr>
          <w:ilvl w:val="0"/>
          <w:numId w:val="101"/>
        </w:numPr>
        <w:spacing w:line="264" w:lineRule="auto"/>
        <w:contextualSpacing/>
        <w:jc w:val="left"/>
        <w:rPr>
          <w:rFonts w:ascii="Arial" w:eastAsia="Calibri" w:hAnsi="Arial" w:cs="Arial"/>
          <w:b/>
          <w:szCs w:val="28"/>
          <w:lang w:val="uk-UA"/>
        </w:rPr>
      </w:pPr>
      <w:r w:rsidRPr="00511005">
        <w:rPr>
          <w:rFonts w:ascii="Arial" w:eastAsia="Calibri" w:hAnsi="Arial" w:cs="Arial"/>
          <w:szCs w:val="28"/>
          <w:shd w:val="clear" w:color="auto" w:fill="FFFFFF"/>
          <w:lang w:val="uk-UA"/>
        </w:rPr>
        <w:t>Жигаренко І., Аналіз підходів до практики ресоціалізації особистості в умовах соціальної ізоляції, 2024.</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URL: </w:t>
      </w:r>
      <w:hyperlink r:id="rId2087" w:history="1">
        <w:r w:rsidRPr="00511005">
          <w:rPr>
            <w:rFonts w:ascii="Arial" w:eastAsia="Calibri" w:hAnsi="Arial" w:cs="Arial"/>
            <w:szCs w:val="28"/>
            <w:lang w:val="uk-UA"/>
          </w:rPr>
          <w:t>https://social-science.uu.edu.ua/article/502</w:t>
        </w:r>
      </w:hyperlink>
      <w:r w:rsidRPr="00511005">
        <w:rPr>
          <w:rFonts w:ascii="Arial" w:eastAsia="Calibri" w:hAnsi="Arial" w:cs="Arial"/>
          <w:szCs w:val="28"/>
          <w:lang w:val="uk-UA"/>
        </w:rPr>
        <w:t>.</w:t>
      </w:r>
    </w:p>
    <w:p w14:paraId="4F6965FB" w14:textId="15F639B7" w:rsidR="00C1357F" w:rsidRPr="00511005" w:rsidRDefault="00C1357F" w:rsidP="003F6A5D">
      <w:pPr>
        <w:numPr>
          <w:ilvl w:val="0"/>
          <w:numId w:val="101"/>
        </w:numPr>
        <w:spacing w:line="264" w:lineRule="auto"/>
        <w:contextualSpacing/>
        <w:jc w:val="left"/>
        <w:rPr>
          <w:rFonts w:ascii="Arial" w:eastAsia="Calibri" w:hAnsi="Arial" w:cs="Arial"/>
          <w:szCs w:val="28"/>
          <w:lang w:val="uk-UA"/>
        </w:rPr>
      </w:pPr>
      <w:r w:rsidRPr="00511005">
        <w:rPr>
          <w:rFonts w:ascii="Arial" w:eastAsia="Times New Roman" w:hAnsi="Arial" w:cs="Arial"/>
          <w:kern w:val="36"/>
          <w:szCs w:val="28"/>
          <w:lang w:val="uk-UA" w:eastAsia="ru-RU"/>
        </w:rPr>
        <w:t>Рабдофобія - страх перед покаранням: Український психологічний ХАБ.</w:t>
      </w:r>
      <w:r w:rsidR="007B2628" w:rsidRPr="00511005">
        <w:rPr>
          <w:rFonts w:ascii="Arial" w:eastAsia="Times New Roman" w:hAnsi="Arial" w:cs="Arial"/>
          <w:kern w:val="36"/>
          <w:szCs w:val="28"/>
          <w:lang w:val="uk-UA" w:eastAsia="ru-RU"/>
        </w:rPr>
        <w:t xml:space="preserve"> </w:t>
      </w:r>
      <w:r w:rsidRPr="00511005">
        <w:rPr>
          <w:rFonts w:ascii="Arial" w:eastAsia="Calibri" w:hAnsi="Arial" w:cs="Arial"/>
          <w:szCs w:val="28"/>
          <w:lang w:val="uk-UA"/>
        </w:rPr>
        <w:t xml:space="preserve">URL: </w:t>
      </w:r>
      <w:hyperlink r:id="rId2088" w:history="1">
        <w:r w:rsidRPr="00511005">
          <w:rPr>
            <w:rFonts w:ascii="Arial" w:eastAsia="Calibri" w:hAnsi="Arial" w:cs="Arial"/>
            <w:szCs w:val="28"/>
            <w:lang w:val="uk-UA"/>
          </w:rPr>
          <w:t>https://surl.li/dkxqkh</w:t>
        </w:r>
      </w:hyperlink>
      <w:r w:rsidRPr="00511005">
        <w:rPr>
          <w:rFonts w:ascii="Arial" w:eastAsia="Calibri" w:hAnsi="Arial" w:cs="Arial"/>
          <w:szCs w:val="28"/>
          <w:lang w:val="uk-UA"/>
        </w:rPr>
        <w:t>.</w:t>
      </w:r>
    </w:p>
    <w:p w14:paraId="197A252E" w14:textId="77777777" w:rsidR="00C1357F" w:rsidRPr="00511005" w:rsidRDefault="00C1357F" w:rsidP="003A292D">
      <w:pPr>
        <w:spacing w:line="264" w:lineRule="auto"/>
        <w:ind w:firstLine="0"/>
        <w:rPr>
          <w:rFonts w:ascii="Arial" w:eastAsia="Calibri" w:hAnsi="Arial" w:cs="Arial"/>
          <w:b/>
          <w:szCs w:val="28"/>
          <w:lang w:val="uk-UA"/>
        </w:rPr>
      </w:pPr>
    </w:p>
    <w:p w14:paraId="7DF104C3" w14:textId="03E54574"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357F" w:rsidRPr="00511005">
        <w:rPr>
          <w:rFonts w:ascii="Arial" w:eastAsia="Calibri" w:hAnsi="Arial" w:cs="Arial"/>
          <w:szCs w:val="28"/>
          <w:lang w:val="uk-UA"/>
        </w:rPr>
        <w:t>ресоціалізація, засуджені, відбування покарання, психологія, проблеми.</w:t>
      </w:r>
    </w:p>
    <w:p w14:paraId="2250AFBE" w14:textId="4C666994"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C1357F" w:rsidRPr="00511005">
        <w:rPr>
          <w:rFonts w:ascii="Arial" w:eastAsia="Calibri" w:hAnsi="Arial" w:cs="Arial"/>
          <w:szCs w:val="28"/>
          <w:lang w:val="uk-UA"/>
        </w:rPr>
        <w:t xml:space="preserve">resocialization, convicted, serving a sentence, psychology, problems. </w:t>
      </w:r>
    </w:p>
    <w:p w14:paraId="0C72CC17" w14:textId="0BFDE559" w:rsidR="00C1357F"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C1357F" w:rsidRPr="00511005">
        <w:rPr>
          <w:rFonts w:ascii="Arial" w:eastAsia="Calibri" w:hAnsi="Arial" w:cs="Arial"/>
          <w:i/>
          <w:szCs w:val="28"/>
          <w:lang w:val="uk-UA"/>
        </w:rPr>
        <w:t>асистентка кафедри Лукащук К.Р.</w:t>
      </w:r>
    </w:p>
    <w:p w14:paraId="2B0C4D72" w14:textId="77777777" w:rsidR="00C1357F" w:rsidRPr="00511005" w:rsidRDefault="00C1357F" w:rsidP="003A292D">
      <w:pPr>
        <w:spacing w:line="264" w:lineRule="auto"/>
        <w:ind w:firstLine="0"/>
        <w:contextualSpacing/>
        <w:rPr>
          <w:rFonts w:ascii="Arial" w:eastAsia="Times New Roman" w:hAnsi="Arial" w:cs="Arial"/>
          <w:b/>
          <w:i/>
          <w:szCs w:val="28"/>
          <w:lang w:val="uk-UA"/>
        </w:rPr>
      </w:pPr>
    </w:p>
    <w:p w14:paraId="1203E602" w14:textId="77777777" w:rsidR="00C1357F" w:rsidRPr="00511005" w:rsidRDefault="00C1357F" w:rsidP="003A292D">
      <w:pPr>
        <w:tabs>
          <w:tab w:val="left" w:pos="-1985"/>
        </w:tabs>
        <w:spacing w:line="264" w:lineRule="auto"/>
        <w:ind w:right="-143" w:firstLine="0"/>
        <w:jc w:val="center"/>
        <w:rPr>
          <w:rFonts w:ascii="Arial" w:eastAsia="Calibri" w:hAnsi="Arial" w:cs="Arial"/>
          <w:b/>
          <w:iCs/>
          <w:szCs w:val="28"/>
          <w:lang w:val="uk-UA"/>
        </w:rPr>
      </w:pPr>
    </w:p>
    <w:p w14:paraId="3A9B9B2A" w14:textId="77777777" w:rsidR="00C1357F" w:rsidRPr="00511005" w:rsidRDefault="00C1357F" w:rsidP="003A292D">
      <w:pPr>
        <w:tabs>
          <w:tab w:val="left" w:pos="-1985"/>
        </w:tabs>
        <w:spacing w:line="264" w:lineRule="auto"/>
        <w:ind w:right="-143" w:firstLine="0"/>
        <w:jc w:val="center"/>
        <w:rPr>
          <w:rFonts w:ascii="Arial" w:eastAsia="Calibri" w:hAnsi="Arial" w:cs="Arial"/>
          <w:b/>
          <w:i/>
          <w:iCs/>
          <w:szCs w:val="28"/>
          <w:lang w:val="uk-UA"/>
        </w:rPr>
      </w:pPr>
      <w:r w:rsidRPr="00511005">
        <w:rPr>
          <w:rFonts w:ascii="Arial" w:eastAsia="Calibri" w:hAnsi="Arial" w:cs="Arial"/>
          <w:b/>
          <w:i/>
          <w:iCs/>
          <w:szCs w:val="28"/>
          <w:lang w:val="uk-UA"/>
        </w:rPr>
        <w:t>Задорожна Єлізавета Володимирівна</w:t>
      </w:r>
    </w:p>
    <w:p w14:paraId="1F11054F" w14:textId="094FA374"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6B05636A"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8C3D0CB"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1BDD5D8" w14:textId="77777777" w:rsidR="00C1357F" w:rsidRPr="00511005" w:rsidRDefault="00C1357F" w:rsidP="003A292D">
      <w:pPr>
        <w:spacing w:line="264" w:lineRule="auto"/>
        <w:ind w:right="-143" w:firstLine="0"/>
        <w:jc w:val="left"/>
        <w:rPr>
          <w:rFonts w:ascii="Arial" w:eastAsia="Calibri" w:hAnsi="Arial" w:cs="Arial"/>
          <w:szCs w:val="28"/>
          <w:lang w:val="uk-UA"/>
        </w:rPr>
      </w:pPr>
    </w:p>
    <w:p w14:paraId="4AC19DBA" w14:textId="77777777" w:rsidR="00C1357F" w:rsidRPr="00511005" w:rsidRDefault="00C1357F" w:rsidP="003A292D">
      <w:pPr>
        <w:keepNext/>
        <w:tabs>
          <w:tab w:val="left" w:pos="4836"/>
        </w:tabs>
        <w:spacing w:line="264" w:lineRule="auto"/>
        <w:ind w:right="-143" w:firstLine="0"/>
        <w:jc w:val="center"/>
        <w:rPr>
          <w:rFonts w:ascii="Arial" w:eastAsia="Calibri" w:hAnsi="Arial" w:cs="Arial"/>
          <w:b/>
          <w:szCs w:val="28"/>
          <w:lang w:val="uk-UA"/>
        </w:rPr>
      </w:pPr>
      <w:r w:rsidRPr="00511005">
        <w:rPr>
          <w:rFonts w:ascii="Arial" w:eastAsia="Calibri" w:hAnsi="Arial" w:cs="Arial"/>
          <w:b/>
          <w:szCs w:val="28"/>
          <w:lang w:val="uk-UA"/>
        </w:rPr>
        <w:t>ЗАПОБІЖНІ ФУНКЦІЇ БЮРО ЕКОНОМІЧНОЇ БЕЗПЕКИ УКРАЇНИ</w:t>
      </w:r>
    </w:p>
    <w:p w14:paraId="100A9F3C" w14:textId="77777777" w:rsidR="007B2628"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Після проголошення незалежності Україна розпочала формування власної системи правоохоронних органів, яка в процесі свого розвитку неодноразово зазнавала змін і реформ. Усі ці перетворення були спрямовані на адаптацію до нових політичних, соціальних та економічних реалій, а також на забезпечення більш ефективного захисту інтересів держави та громадян. Серед численних викликів, які постали перед державою, особливої уваги потребували правопорушення у сфері економіки.</w:t>
      </w:r>
    </w:p>
    <w:p w14:paraId="4D30A673" w14:textId="47973CF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Економічні правопорушення залишаються однією з найчисельніших та найскладніших категорій у загальній структурі злочинності, що свідчить про їхню значущість і масштабність у контексті національної безпеки. Така ситуація закономірно зумовила необхідність у створенні дієвих, цілеспрямованих і скоординованих механізмів запобігання та розслідування злочинів економічного характеру. Водночас функції щодо боротьби з такими злочинами були розподілені між різними державними структурами, що часто ускладнювало процеси комунікації, призводило до дублювання повноважень, конфліктів юрисдикцій та, зрештою, знижувало загальний рівень ефективності протидії економічній злочинності. [1, с. 68].</w:t>
      </w:r>
    </w:p>
    <w:p w14:paraId="5E6E6E1B"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Згідно з Конституцією України, саме захист суверенітету, забезпечення територіальної цілісності, а також гарантування економічної та </w:t>
      </w:r>
      <w:r w:rsidRPr="00511005">
        <w:rPr>
          <w:rFonts w:ascii="Arial" w:eastAsia="Times New Roman" w:hAnsi="Arial" w:cs="Arial"/>
          <w:szCs w:val="28"/>
          <w:lang w:val="uk-UA"/>
        </w:rPr>
        <w:lastRenderedPageBreak/>
        <w:t xml:space="preserve">інформаційної безпеки є пріоритетними завданнями держави. Ці обов’язки покладено не лише на органи публічної влади, а й на кожного громадянина, що відображає ідею спільної відповідальності за збереження державності й добробуту суспільства. Стаття 17 Основного Закону підкреслює роль українського народу як активного суб’єкта у системі державного устрою, що має не лише права, а й обов’язки перед державою, особливо в питаннях, що стосуються її безпеки та стабільності. [2]. </w:t>
      </w:r>
    </w:p>
    <w:p w14:paraId="4D82EF6E"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У цьому контексті особливу увагу привертає діяльність Бюро економічної безпеки України (БЕБ), створеного відповідно до Закону України від 28.01.2021 № 1150-IX. Ця інституція є порівняно новою для вітчизняної правозастосовної практики, однак її поява стала відповіддю на нагальні потреби часу та результатом тривалих дискусій щодо реформування механізмів забезпечення економічної безпеки держави. БЕБ було задумане як орган, здатний ефективно реагувати на сучасні загрози у сфері економіки, насамперед шляхом виявлення, попередження та протидії правопорушенням, що становлять серйозну небезпеку для стабільного розвитку національної економіки, фінансової системи, підприємницького середовища, а також для бюджетної сфери України в цілому. [3]. </w:t>
      </w:r>
    </w:p>
    <w:p w14:paraId="33281ED6"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статусі центрального органу виконавчої влади зі спеціальним статусом Бюро економічної безпеки виконує надзвичайно відповідальну місію, відіграючи ключову роль у кримінологічному вимірі економічної безпеки. Його функціональне навантаження не обмежується суто розслідувальними або слідчими заходами. БЕБ здійснює комплексний підхід, який передбачає систематичний аналіз економічних процесів, виявлення структурних загроз, моніторинг фінансових потоків та активну участь у формуванні превентивних заходів щодо зменшення кримінального тиску на економіку держави. Особливий акцент робиться на боротьбі з економічними злочинами, які посягають на інтереси держави, порушують принципи справедливої конкуренції та негативно впливають на макроекономічну стабільність і довіру громадян до інституцій. [4, с. 82].</w:t>
      </w:r>
    </w:p>
    <w:p w14:paraId="2533C359"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своїх дослідженнях М. Р. Піхоцька звертає увагу на багатогранність функціонального призначення Бюро економічної безпеки України. Правоохоронна складова діяльності співробітників БЕБ, за її твердженням, полягає у виявленні та документуванні конкретних злочинів фінансового характеру, що мають ознаки кримінальних правопорушень. У той самий час аналітична функція установи охоплює володіння й застосування так званих «soft skills» – гнучких навичок, що сприяють ефективному виявленню та розв’язанню складних, багаторівневих проблем в економічному середовищі. [5, с. 121–122]. </w:t>
      </w:r>
    </w:p>
    <w:p w14:paraId="4DD9EB5F"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Економічний аспект діяльності Бюро проявляється, зокрема, у захисті права приватної власності, зміцненні правопорядку, посиленні національної безпеки через адресне спрямування податкових надходжень, ефективне </w:t>
      </w:r>
      <w:r w:rsidRPr="00511005">
        <w:rPr>
          <w:rFonts w:ascii="Arial" w:eastAsia="Calibri" w:hAnsi="Arial" w:cs="Arial"/>
          <w:szCs w:val="28"/>
          <w:lang w:val="uk-UA"/>
        </w:rPr>
        <w:lastRenderedPageBreak/>
        <w:t>функціонування публічних фінансів, а також у формуванні регуляторної політики в соціально-економічних сферах, фіскальному та монетарному управлінні для стабілізації економічного циклу. Водночас, аналіз чинних повноважень БЕБ дає підстави стверджувати, що навіть попри наданий законодавчо досить широкий функціональний спектр, можливості цього органу не в повній мірі відповідають сучасним викликам у сфері забезпечення економічної безпеки держави. [6, с. 189].</w:t>
      </w:r>
    </w:p>
    <w:p w14:paraId="3C2784A3"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межах кримінологічного підходу діяльність Бюро економічної безпеки України виконує важливу запобіжну функцію, спрямовану на виявлення, попередження та документування правопорушень, що дестабілізують економічну систему держави. Кримінологія досліджує природу злочинності, її причини, умови та механізми, забезпечує методологічну базу для глибшого розуміння економічної злочинності й розробки ефективних заходів протидії. Саме з позицій кримінологічного аналізу можливо системно підходити до вивчення типових моделей економічних злочинів, виявляти закономірності в способах їх вчинення, а також формувати превентивні механізми, здатні нейтралізувати чинники, що сприяють злочинній поведінці в економічному середовищі. Завдяки активному використанню кримінологічних знань, БЕБ реалізує низку напрямів профілактичної роботи. Зокрема, велике значення має збирання, систематизація й аналітична обробка даних щодо правопорушень у сфері економіки, що дозволяє визначати ключові тенденції, структуру і динаміку злочинності, а також виокремлювати ризикові галузі господарської діяльності. Цей вид діяльності дає змогу не лише фіксувати вже вчинені правопорушення, а й передбачати можливі загрози на етапі їх формування, що відповідає сучасному розумінню превентивної ролі державних інституцій. [7].</w:t>
      </w:r>
    </w:p>
    <w:p w14:paraId="531834FC"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Зокрема, кримінологічне вивчення фінансових потоків, операцій суб’єктів підприємництва, а також виявлення нетипових змін у документації чи поведінці компаній дозволяє вчасно зафіксувати ознаки підготовки до злочину. У подібних випадках застосування відповідних аналітичних та організаційно-правових заходів дає можливість нейтралізувати загрозу ще до її реалізації. </w:t>
      </w:r>
    </w:p>
    <w:p w14:paraId="395D6599" w14:textId="77777777" w:rsidR="007B2628"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У цьому контексті створення Бюро економічної безпеки України стало важливим етапом у розвитку національної правоохоронної системи. Цей орган виконує не лише традиційні слідчі функції, а й здійснює комплексні заходи з метою стабілізації економіки, що є вкрай актуальним у сучасних умовах. Із запровадженням воєнного стану 24 лютого, у зв’язку з повномасштабним вторгненням держави-агресора, в Україні почали діяти спеціальні правові режими відповідно до Закону «Про правовий режим воєнного стану». У цих умовах особливої актуальності набуло питання забезпечення економічної безпеки, в якому роль БЕБ значно зросла. Незважаючи на наявну критику з боку опонентів, Бюро економічної безпеки </w:t>
      </w:r>
      <w:r w:rsidRPr="00511005">
        <w:rPr>
          <w:rFonts w:ascii="Arial" w:eastAsia="Times New Roman" w:hAnsi="Arial" w:cs="Arial"/>
          <w:szCs w:val="28"/>
          <w:lang w:val="uk-UA"/>
        </w:rPr>
        <w:lastRenderedPageBreak/>
        <w:t>України показало позитивні результати у складних воєнних реаліях. Під час дії воєнного стану БЕБ адаптувало свою роботу до нових викликів, зосередившись на протидії економічній агресії. Завдяки його зусиллям було арештовано значну кількість активів Російської Федерації та Республіки Білорусь, відкрито провадження щодо господарських злочинів, що завдали шкоди економіці України, виявлено схеми розкрадання гуманітарної допомоги. Крім того, БЕБ активно реагує на спроби недобросовісних підприємців штучно завищувати ціни у воєнний час, що є вкрай неприйнятним у нинішніх умовах. [1, с. 70].</w:t>
      </w:r>
    </w:p>
    <w:p w14:paraId="689EBFB8" w14:textId="028B6990"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Отже, запобіжні функції БЕБ в кримінологічному аспекті мають суттєве значення для протидії економічним злочинам. Криміналістичні методи, що застосовуються в процесі діяльності БЕБ, дозволяють ефективно виявляти й усувати кримінальні загрози в сфері економіки, що є важливим аспектом у сучасній боротьбі з економічною злочинністю.</w:t>
      </w:r>
    </w:p>
    <w:p w14:paraId="2D2DF273" w14:textId="77777777" w:rsidR="00C1357F" w:rsidRPr="00511005" w:rsidRDefault="00C1357F" w:rsidP="003A292D">
      <w:pPr>
        <w:spacing w:line="264" w:lineRule="auto"/>
        <w:ind w:firstLine="0"/>
        <w:rPr>
          <w:rFonts w:ascii="Arial" w:eastAsia="Times New Roman" w:hAnsi="Arial" w:cs="Arial"/>
          <w:szCs w:val="28"/>
          <w:lang w:val="uk-UA"/>
        </w:rPr>
      </w:pPr>
    </w:p>
    <w:p w14:paraId="56BB023D" w14:textId="534D60D0" w:rsidR="00C1357F" w:rsidRPr="00511005" w:rsidRDefault="007B2628" w:rsidP="007B2628">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5F51BD8B" w14:textId="04FD597A"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1.Овчаренко А. О., Мишанич А.В.</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Роль Бюро економічної безпеки України в умовах воєнного стану. </w:t>
      </w:r>
      <w:r w:rsidRPr="00511005">
        <w:rPr>
          <w:rFonts w:ascii="Arial" w:eastAsia="Times New Roman" w:hAnsi="Arial" w:cs="Arial"/>
          <w:i/>
          <w:szCs w:val="28"/>
          <w:lang w:val="uk-UA"/>
        </w:rPr>
        <w:t>Правова позиція</w:t>
      </w:r>
      <w:r w:rsidRPr="00511005">
        <w:rPr>
          <w:rFonts w:ascii="Arial" w:eastAsia="Times New Roman" w:hAnsi="Arial" w:cs="Arial"/>
          <w:szCs w:val="28"/>
          <w:lang w:val="uk-UA"/>
        </w:rPr>
        <w:t>,</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2022. № 2 (35). С. 67-71.</w:t>
      </w:r>
    </w:p>
    <w:p w14:paraId="5DE1601A"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2.Конституція України : Закон України від 28 черв. 1996 р. № 254к/96-ВР. Відомості Верховної Ради України. 1996. № 30. Ст. 141. URL: https://zakon.rada.gov.ua/laws/show/254к/96-вр#Text </w:t>
      </w:r>
    </w:p>
    <w:p w14:paraId="2A30A0C9"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3.Про Бюро економічної безпеки України : Закон України від 28 січ. 2021 р. № 1150-IX. Відомості Верховної Ради України. 2021. № 23. Ст. 197. URL: https://zakon.rada.gov.ua/laws/show/1150-20#Text </w:t>
      </w:r>
    </w:p>
    <w:p w14:paraId="2695029B"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4.Пузирна Н. С. Правові аспекти створення та діяльності Бюро економічної безпеки України. Juris Europensis Scientia. 2021. Вип. 2. С. 80–83.</w:t>
      </w:r>
    </w:p>
    <w:p w14:paraId="3D91C801"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5.Піхоцька М. Р. Бюро економічної безпеки як новітній суб’єкт державного фінансового контролю. Економічний вісник. Серія: фінанси, облік, оподаткування. 2021. Вип. 7. С. 117–125.</w:t>
      </w:r>
    </w:p>
    <w:p w14:paraId="1CB2A415"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6.Стеблянко А. В., Лісов Д. А. Бюро економічної безпеки як суб’єкт забезпечення економічної безпеки. Нове українське право. 2021. Вип. 6. С. 187–191.</w:t>
      </w:r>
    </w:p>
    <w:p w14:paraId="0C4D8BAE"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7.Бюро економічної безпеки : завдання та функції. Офіційний вебсайт БЕБ. URL: </w:t>
      </w:r>
      <w:hyperlink r:id="rId2089" w:history="1">
        <w:r w:rsidRPr="00511005">
          <w:rPr>
            <w:rFonts w:ascii="Arial" w:eastAsia="Times New Roman" w:hAnsi="Arial" w:cs="Arial"/>
            <w:szCs w:val="28"/>
            <w:lang w:val="uk-UA"/>
          </w:rPr>
          <w:t>https://esbu.gov.ua/pro-biuro/zavdannia-ta-funktsii</w:t>
        </w:r>
      </w:hyperlink>
    </w:p>
    <w:p w14:paraId="15F441B8" w14:textId="77777777" w:rsidR="00C1357F" w:rsidRPr="00511005" w:rsidRDefault="00C1357F" w:rsidP="003A292D">
      <w:pPr>
        <w:spacing w:line="264" w:lineRule="auto"/>
        <w:ind w:firstLine="0"/>
        <w:rPr>
          <w:rFonts w:ascii="Arial" w:eastAsia="Times New Roman" w:hAnsi="Arial" w:cs="Arial"/>
          <w:szCs w:val="28"/>
          <w:lang w:val="uk-UA"/>
        </w:rPr>
      </w:pPr>
    </w:p>
    <w:p w14:paraId="5689E976" w14:textId="3B749DF1" w:rsidR="00C1357F" w:rsidRPr="00511005" w:rsidRDefault="007B2628" w:rsidP="003A292D">
      <w:pPr>
        <w:keepNext/>
        <w:spacing w:line="264" w:lineRule="auto"/>
        <w:ind w:firstLine="0"/>
        <w:rPr>
          <w:rFonts w:ascii="Arial" w:eastAsia="Calibri" w:hAnsi="Arial" w:cs="Arial"/>
          <w:szCs w:val="28"/>
          <w:lang w:val="uk-UA"/>
        </w:rPr>
      </w:pPr>
      <w:r w:rsidRPr="00511005">
        <w:rPr>
          <w:rFonts w:ascii="Arial" w:eastAsia="Calibri" w:hAnsi="Arial" w:cs="Arial"/>
          <w:b/>
          <w:i/>
          <w:szCs w:val="28"/>
          <w:lang w:val="uk-UA"/>
        </w:rPr>
        <w:lastRenderedPageBreak/>
        <w:t xml:space="preserve">Ключові слова: </w:t>
      </w:r>
      <w:r w:rsidR="00C1357F" w:rsidRPr="00511005">
        <w:rPr>
          <w:rFonts w:ascii="Arial" w:eastAsia="Calibri" w:hAnsi="Arial" w:cs="Arial"/>
          <w:szCs w:val="28"/>
          <w:lang w:val="uk-UA"/>
        </w:rPr>
        <w:t>Бюро економічної безпеки України, запобіжна функція, економічна безпека, кримінологічний аспект, правопорушення, фінансові злочини, аналітична діяльність.</w:t>
      </w:r>
    </w:p>
    <w:p w14:paraId="03CE47DC" w14:textId="1BDA4532" w:rsidR="00C1357F" w:rsidRPr="00511005" w:rsidRDefault="007B2628" w:rsidP="003A292D">
      <w:pPr>
        <w:keepNext/>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C1357F" w:rsidRPr="00511005">
        <w:rPr>
          <w:rFonts w:ascii="Arial" w:eastAsia="Calibri" w:hAnsi="Arial" w:cs="Arial"/>
          <w:szCs w:val="28"/>
          <w:lang w:val="uk-UA"/>
        </w:rPr>
        <w:t>Bureau of Economic Security of Ukraine, preventive function, economic security, criminological aspect, offense, financial crimes, analytical activity.</w:t>
      </w:r>
    </w:p>
    <w:p w14:paraId="1BA77D4B" w14:textId="26545170" w:rsidR="00C1357F" w:rsidRPr="00511005" w:rsidRDefault="007B2628" w:rsidP="003A292D">
      <w:pPr>
        <w:keepNext/>
        <w:spacing w:line="264" w:lineRule="auto"/>
        <w:ind w:right="-143" w:firstLine="0"/>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00C1357F" w:rsidRPr="00511005">
        <w:rPr>
          <w:rFonts w:ascii="Arial" w:eastAsia="Calibri" w:hAnsi="Arial" w:cs="Arial"/>
          <w:bCs/>
          <w:i/>
          <w:iCs/>
          <w:szCs w:val="28"/>
          <w:lang w:val="uk-UA"/>
        </w:rPr>
        <w:t>к.ю.н., доцент Цитряк В.Я.</w:t>
      </w:r>
    </w:p>
    <w:p w14:paraId="037E6CD5" w14:textId="77777777" w:rsidR="00C1357F" w:rsidRPr="00511005" w:rsidRDefault="00C1357F" w:rsidP="003A292D">
      <w:pPr>
        <w:spacing w:line="264" w:lineRule="auto"/>
        <w:ind w:right="-143" w:firstLine="0"/>
        <w:jc w:val="left"/>
        <w:rPr>
          <w:rFonts w:ascii="Arial" w:eastAsia="Calibri" w:hAnsi="Arial" w:cs="Arial"/>
          <w:b/>
          <w:szCs w:val="28"/>
          <w:lang w:val="uk-UA"/>
        </w:rPr>
      </w:pPr>
    </w:p>
    <w:p w14:paraId="2421DEE7" w14:textId="77777777" w:rsidR="00C1357F" w:rsidRPr="00511005" w:rsidRDefault="00C1357F" w:rsidP="003A292D">
      <w:pPr>
        <w:spacing w:line="264" w:lineRule="auto"/>
        <w:ind w:firstLine="0"/>
        <w:contextualSpacing/>
        <w:rPr>
          <w:rFonts w:ascii="Arial" w:eastAsia="Times New Roman" w:hAnsi="Arial" w:cs="Arial"/>
          <w:b/>
          <w:i/>
          <w:szCs w:val="28"/>
          <w:lang w:val="uk-UA"/>
        </w:rPr>
      </w:pPr>
    </w:p>
    <w:p w14:paraId="61CD295F" w14:textId="3B0371ED" w:rsidR="00550C73" w:rsidRPr="00511005" w:rsidRDefault="00C1357F"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
          <w:i/>
          <w:szCs w:val="28"/>
          <w:lang w:val="uk-UA"/>
        </w:rPr>
        <w:t>Затурінська Тетяна Іванівна</w:t>
      </w:r>
      <w:r w:rsidRPr="00511005">
        <w:rPr>
          <w:rFonts w:ascii="Arial" w:eastAsia="Times New Roman" w:hAnsi="Arial" w:cs="Arial"/>
          <w:b/>
          <w:szCs w:val="28"/>
          <w:lang w:val="uk-UA"/>
        </w:rPr>
        <w:br/>
      </w:r>
      <w:r w:rsidR="00536AAB" w:rsidRPr="00511005">
        <w:rPr>
          <w:rFonts w:ascii="Arial" w:eastAsia="Times New Roman" w:hAnsi="Arial" w:cs="Arial"/>
          <w:szCs w:val="28"/>
          <w:lang w:val="uk-UA" w:eastAsia="uk-UA"/>
        </w:rPr>
        <w:t xml:space="preserve">студентка 4-го курсу </w:t>
      </w:r>
    </w:p>
    <w:p w14:paraId="16B910A2"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4BFD8A3"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63C67EC" w14:textId="5EE6D17C" w:rsidR="00C1357F" w:rsidRPr="00511005" w:rsidRDefault="00C1357F" w:rsidP="00550C73">
      <w:pPr>
        <w:spacing w:line="264" w:lineRule="auto"/>
        <w:ind w:firstLine="0"/>
        <w:contextualSpacing/>
        <w:jc w:val="center"/>
        <w:rPr>
          <w:rFonts w:ascii="Arial" w:eastAsia="Times New Roman" w:hAnsi="Arial" w:cs="Arial"/>
          <w:b/>
          <w:bCs/>
          <w:szCs w:val="28"/>
          <w:lang w:val="uk-UA"/>
        </w:rPr>
      </w:pPr>
    </w:p>
    <w:p w14:paraId="566B84D3" w14:textId="77777777" w:rsidR="00C1357F" w:rsidRPr="00511005" w:rsidRDefault="00C1357F" w:rsidP="003A292D">
      <w:pPr>
        <w:spacing w:line="264" w:lineRule="auto"/>
        <w:ind w:firstLine="0"/>
        <w:contextualSpacing/>
        <w:jc w:val="center"/>
        <w:rPr>
          <w:rFonts w:ascii="Arial" w:eastAsia="Times New Roman" w:hAnsi="Arial" w:cs="Arial"/>
          <w:b/>
          <w:bCs/>
          <w:szCs w:val="28"/>
          <w:lang w:val="uk-UA"/>
        </w:rPr>
      </w:pPr>
      <w:r w:rsidRPr="00511005">
        <w:rPr>
          <w:rFonts w:ascii="Arial" w:eastAsia="Times New Roman" w:hAnsi="Arial" w:cs="Arial"/>
          <w:b/>
          <w:bCs/>
          <w:szCs w:val="28"/>
          <w:lang w:val="uk-UA"/>
        </w:rPr>
        <w:t>СОЦІАЛЬНО-ВИХОВНА РОБОТА В СИСТЕМІ ВИКОНАННЯ ПОКАРАНЬ</w:t>
      </w:r>
    </w:p>
    <w:p w14:paraId="75D3866A"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Соціально-виховна робота в системі виконання покарань є основною складовою у процесі виправлення та ресоціалізації засуджених осіб. Ця галузь спрямована на формування у засуджених прагнення до суспільно корисної діяльності, сумлінного ставлення до праці та дотримання законів і суспільних норм поведінки. Соціально-виховна робота включає в себе комплекс заходів, які мають на меті сприяти позитивним змінам особистості та забезпечити ефективну реінтеграцію осіб після відбуття покарання у суспільство.</w:t>
      </w:r>
    </w:p>
    <w:p w14:paraId="4ED882B3"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У сучасних умовах розвитку України особливого значення набуває вдосконалення системи виконання покарань, зокрема шляхом удосконалення соціально-виховної роботи. Це пов’язано з необхідністю зменшення рівня рецидивної злочинності та підвищення рівня безпеки суспільства. Сутністю цієї роботи є забезпечення дотримання прав людини та забезпечення умов для формування у засуджених мотивації до законслухняної поведінки.</w:t>
      </w:r>
    </w:p>
    <w:p w14:paraId="631ADFF9" w14:textId="47C3C086"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За ст. 132 КВК України</w:t>
      </w:r>
      <w:r w:rsidRPr="00511005">
        <w:rPr>
          <w:rFonts w:ascii="Arial" w:eastAsia="Calibri" w:hAnsi="Arial" w:cs="Arial"/>
          <w:b/>
          <w:bCs/>
          <w:szCs w:val="28"/>
          <w:lang w:val="uk-UA"/>
        </w:rPr>
        <w:t xml:space="preserve"> </w:t>
      </w:r>
      <w:r w:rsidRPr="00511005">
        <w:rPr>
          <w:rFonts w:ascii="Arial" w:eastAsia="Calibri" w:hAnsi="Arial" w:cs="Arial"/>
          <w:bCs/>
          <w:szCs w:val="28"/>
          <w:lang w:val="uk-UA"/>
        </w:rPr>
        <w:t>соціально-виховна робота</w:t>
      </w:r>
      <w:r w:rsidRPr="00511005">
        <w:rPr>
          <w:rFonts w:ascii="Arial" w:eastAsia="Calibri" w:hAnsi="Arial" w:cs="Arial"/>
          <w:b/>
          <w:bCs/>
          <w:szCs w:val="28"/>
          <w:lang w:val="uk-UA"/>
        </w:rPr>
        <w:t xml:space="preserve"> </w:t>
      </w:r>
      <w:r w:rsidRPr="00511005">
        <w:rPr>
          <w:rFonts w:ascii="Arial" w:eastAsia="Calibri" w:hAnsi="Arial" w:cs="Arial"/>
          <w:szCs w:val="28"/>
          <w:lang w:val="uk-UA"/>
        </w:rPr>
        <w:t>— це цілеспрямована діяльність персоналу органів і установ виконання покарань та інших соціальних інституцій, спрямована на виправлення та ресоціалізацію засуджених осіб. Вона включає формування у них прагнення до суспільно корисної діяльності, сумлінного ставлення до праці, дотримання законів та суспільних норм поведінки, підвищення загальноосвітнього і культурного рівнів [</w:t>
      </w:r>
      <w:r w:rsidR="0061648E" w:rsidRPr="00511005">
        <w:rPr>
          <w:rFonts w:ascii="Arial" w:eastAsia="Calibri" w:hAnsi="Arial" w:cs="Arial"/>
          <w:szCs w:val="28"/>
          <w:lang w:val="en-US"/>
        </w:rPr>
        <w:t>1</w:t>
      </w:r>
      <w:r w:rsidRPr="00511005">
        <w:rPr>
          <w:rFonts w:ascii="Arial" w:eastAsia="Calibri" w:hAnsi="Arial" w:cs="Arial"/>
          <w:szCs w:val="28"/>
          <w:lang w:val="uk-UA"/>
        </w:rPr>
        <w:t>].</w:t>
      </w:r>
    </w:p>
    <w:p w14:paraId="190F3039"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Соціально виховна робота складається з трьох основних напрямів.</w:t>
      </w:r>
    </w:p>
    <w:p w14:paraId="76B9A93C"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По-перше. </w:t>
      </w:r>
      <w:r w:rsidRPr="00511005">
        <w:rPr>
          <w:rFonts w:ascii="Arial" w:eastAsia="Calibri" w:hAnsi="Arial" w:cs="Arial"/>
          <w:bCs/>
          <w:szCs w:val="28"/>
          <w:lang w:val="uk-UA"/>
        </w:rPr>
        <w:t>Виховна діяльність</w:t>
      </w:r>
      <w:r w:rsidRPr="00511005">
        <w:rPr>
          <w:rFonts w:ascii="Arial" w:eastAsia="Calibri" w:hAnsi="Arial" w:cs="Arial"/>
          <w:szCs w:val="28"/>
          <w:lang w:val="uk-UA"/>
        </w:rPr>
        <w:t>: організація індивідуальної, групової та колективної виховної роботи для закріплення позитивних змін особистості засуджених.</w:t>
      </w:r>
    </w:p>
    <w:p w14:paraId="4B9E5B48"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Виховна діяльність в системі виконання покарань України є важливим компонентом соціально-виховної роботи, спрямованої на виправлення та ресоціалізацію засуджених осіб. Ця діяльність включає в себе комплекс заходів, які мають на меті формування у засуджених позитивних моральних, правових, трудових та інших цінностей. Моральне виховання займає особливе місце, оскільки воно спрямоване на формування у засуджених моральних цінностей та принципів поведінки, які відповідають суспільним нормам. Це включає в себе навчання засуджених відповідальності за свої дії та формування почуття громадянської свідомості [3].</w:t>
      </w:r>
    </w:p>
    <w:p w14:paraId="1520B5FF"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Правове виховання також є важливим напрямком, оскільки воно передбачає навчання засуджених правових норм та правил поведінки, що сприяє їхній правослухняності. Засуджені вчаться розуміти наслідки своїх дій та дотримуватися законодавства, що є ключовим аспектом їхньої ресоціалізації. Трудове виховання займає особливе місце, оскільки воно спрямоване на придбання засудженим навичок праці та формування позитивного ставлення до праці як засобу ресоціалізації. Засуджені мають можливість здобувати професійні навички та брати участь у виробничих процесах, що допомагає їм повернутися до суспільства як повноцінні члени [2].</w:t>
      </w:r>
    </w:p>
    <w:p w14:paraId="22F2AD23"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Естетичне та фізичне виховання також відіграють важливу роль у процесі ресоціалізації. Естетичне виховання розвиває естетичні смаки та інтереси засуджених через участь у культурних заходах, що сприяє їхньому духовному розвитку. Фізичне виховання підтримує фізичну форму та здоров’я засуджених через заняття спортом та фізичними вправами, що є важливим аспектом їхньої загальної реабілітації. Крім того, санітарно-гігієнічне виховання навчає засуджених правилам гігієни та здорового способу життя, що є важливим для їхнього фізичного та психічного здоров’я [2].</w:t>
      </w:r>
    </w:p>
    <w:p w14:paraId="52E8E5B7"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Виховна діяльність проводиться в різних формах, включаючи індивідуальні, групові та масові заходи. Індивідуальна робота передбачає цілеспрямовані психолого-педагогічні заходи для окремих осіб, тоді як групові заходи спрямовані на формування колективної свідомості та взаємодопомоги серед засуджених. Масові заходи включають участь у загальних виховних заходах, які проводяться в установах виконання покарань та сприяють загальному розвитку засуджених.</w:t>
      </w:r>
    </w:p>
    <w:p w14:paraId="4BC17AB1" w14:textId="02A7B8DB"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Мета виховної діяльності полягає в тому, щоб закріпити в засуджених прагнення до суспільно корисної діяльності та дотримання суспільних норм поведінки, що сприяє їхній ресоціалізації та зменшенню рівня рецидивної злочинності. Завдяки цьому, суспільство стає більш безпечним, а засуджені мають можливість повернутися до повноцінного життя після відбуття покарання [</w:t>
      </w:r>
      <w:r w:rsidRPr="00511005">
        <w:rPr>
          <w:rFonts w:ascii="Arial" w:eastAsia="Calibri" w:hAnsi="Arial" w:cs="Arial"/>
          <w:szCs w:val="28"/>
          <w:lang w:val="uk-UA"/>
        </w:rPr>
        <w:fldChar w:fldCharType="begin"/>
      </w:r>
      <w:r w:rsidRPr="00511005">
        <w:rPr>
          <w:rFonts w:ascii="Arial" w:eastAsia="Calibri" w:hAnsi="Arial" w:cs="Arial"/>
          <w:szCs w:val="28"/>
          <w:lang w:val="uk-UA"/>
        </w:rPr>
        <w:instrText xml:space="preserve"> REF _Ref195009565 \r \h  \* MERGEFORMAT </w:instrText>
      </w:r>
      <w:r w:rsidRPr="00511005">
        <w:rPr>
          <w:rFonts w:ascii="Arial" w:eastAsia="Calibri" w:hAnsi="Arial" w:cs="Arial"/>
          <w:szCs w:val="28"/>
          <w:lang w:val="uk-UA"/>
        </w:rPr>
      </w:r>
      <w:r w:rsidRPr="00511005">
        <w:rPr>
          <w:rFonts w:ascii="Arial" w:eastAsia="Calibri" w:hAnsi="Arial" w:cs="Arial"/>
          <w:szCs w:val="28"/>
          <w:lang w:val="uk-UA"/>
        </w:rPr>
        <w:fldChar w:fldCharType="separate"/>
      </w:r>
      <w:r w:rsidR="006F7CE5">
        <w:rPr>
          <w:rFonts w:ascii="Arial" w:eastAsia="Calibri" w:hAnsi="Arial" w:cs="Arial"/>
          <w:szCs w:val="28"/>
          <w:lang w:val="uk-UA"/>
        </w:rPr>
        <w:t>4</w:t>
      </w:r>
      <w:r w:rsidRPr="00511005">
        <w:rPr>
          <w:rFonts w:ascii="Arial" w:eastAsia="Calibri" w:hAnsi="Arial" w:cs="Arial"/>
          <w:szCs w:val="28"/>
          <w:lang w:val="uk-UA"/>
        </w:rPr>
        <w:fldChar w:fldCharType="end"/>
      </w:r>
      <w:r w:rsidRPr="00511005">
        <w:rPr>
          <w:rFonts w:ascii="Arial" w:eastAsia="Calibri" w:hAnsi="Arial" w:cs="Arial"/>
          <w:szCs w:val="28"/>
          <w:lang w:val="uk-UA"/>
        </w:rPr>
        <w:t>, с. 22].</w:t>
      </w:r>
    </w:p>
    <w:p w14:paraId="588CB0A4"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 xml:space="preserve">По-друге. </w:t>
      </w:r>
      <w:r w:rsidRPr="00511005">
        <w:rPr>
          <w:rFonts w:ascii="Arial" w:eastAsia="Calibri" w:hAnsi="Arial" w:cs="Arial"/>
          <w:bCs/>
          <w:szCs w:val="28"/>
          <w:lang w:val="uk-UA"/>
        </w:rPr>
        <w:t>Соціальна робота</w:t>
      </w:r>
      <w:r w:rsidRPr="00511005">
        <w:rPr>
          <w:rFonts w:ascii="Arial" w:eastAsia="Calibri" w:hAnsi="Arial" w:cs="Arial"/>
          <w:szCs w:val="28"/>
          <w:lang w:val="uk-UA"/>
        </w:rPr>
        <w:t>: залучення представників громадських та релігійних організацій для підтримки соціальної адаптації засуджених.</w:t>
      </w:r>
    </w:p>
    <w:p w14:paraId="28616357"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Соціальна робота в системі виконання покарань України є важливою у забезпеченні умов для ресоціалізації засуджених осіб. Ця діяльність спрямована на формування у засуджених позитивних соціальних зв’язків та надання їм допомоги у розв’язанні соціальних проблем. Соціальна робота проводиться в умовах високої закритості та ізольованості установ виконання покарань, де особи мають високий індекс соціального неблагополуччя та підвищену стресогенність.</w:t>
      </w:r>
    </w:p>
    <w:p w14:paraId="3B2CB954"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Соціальна робота включає розвиток і зміцнення соціально-корисних зв’язків між ув’язненими та зовнішнім світом, підвищення та розвиток соціального статусу ув’язненого, допомогу у встановленні позитивних горизонтальних і вертикальних відносин, сприяння в забезпеченні прийнятних соціально-побутових умов для відбування покарання та допомогу в соціальному розвитку ув’язненого [2].</w:t>
      </w:r>
    </w:p>
    <w:p w14:paraId="3DCE9240" w14:textId="6E1365F9"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Метою соціальної роботи є забезпечення умов для ресоціалізації засуджених шляхом формування у них сумлінного ставлення до праці та прагнення до дотримання суспільних норм поведінки. Соціальна робота не повинна припинятися після закінчення виконання покарання, оскільки колишнім ув’язненим потрібна подальша підтримка для адаптації до зовнішнього світу [</w:t>
      </w:r>
      <w:r w:rsidRPr="00511005">
        <w:rPr>
          <w:rFonts w:ascii="Arial" w:eastAsia="Calibri" w:hAnsi="Arial" w:cs="Arial"/>
          <w:szCs w:val="28"/>
          <w:lang w:val="uk-UA"/>
        </w:rPr>
        <w:fldChar w:fldCharType="begin"/>
      </w:r>
      <w:r w:rsidRPr="00511005">
        <w:rPr>
          <w:rFonts w:ascii="Arial" w:eastAsia="Calibri" w:hAnsi="Arial" w:cs="Arial"/>
          <w:szCs w:val="28"/>
          <w:lang w:val="uk-UA"/>
        </w:rPr>
        <w:instrText xml:space="preserve"> REF _Ref195009565 \r \h  \* MERGEFORMAT </w:instrText>
      </w:r>
      <w:r w:rsidRPr="00511005">
        <w:rPr>
          <w:rFonts w:ascii="Arial" w:eastAsia="Calibri" w:hAnsi="Arial" w:cs="Arial"/>
          <w:szCs w:val="28"/>
          <w:lang w:val="uk-UA"/>
        </w:rPr>
      </w:r>
      <w:r w:rsidRPr="00511005">
        <w:rPr>
          <w:rFonts w:ascii="Arial" w:eastAsia="Calibri" w:hAnsi="Arial" w:cs="Arial"/>
          <w:szCs w:val="28"/>
          <w:lang w:val="uk-UA"/>
        </w:rPr>
        <w:fldChar w:fldCharType="separate"/>
      </w:r>
      <w:r w:rsidR="006F7CE5">
        <w:rPr>
          <w:rFonts w:ascii="Arial" w:eastAsia="Calibri" w:hAnsi="Arial" w:cs="Arial"/>
          <w:szCs w:val="28"/>
          <w:lang w:val="uk-UA"/>
        </w:rPr>
        <w:t>4</w:t>
      </w:r>
      <w:r w:rsidRPr="00511005">
        <w:rPr>
          <w:rFonts w:ascii="Arial" w:eastAsia="Calibri" w:hAnsi="Arial" w:cs="Arial"/>
          <w:szCs w:val="28"/>
          <w:lang w:val="uk-UA"/>
        </w:rPr>
        <w:fldChar w:fldCharType="end"/>
      </w:r>
      <w:r w:rsidRPr="00511005">
        <w:rPr>
          <w:rFonts w:ascii="Arial" w:eastAsia="Calibri" w:hAnsi="Arial" w:cs="Arial"/>
          <w:szCs w:val="28"/>
          <w:lang w:val="uk-UA"/>
        </w:rPr>
        <w:t>, с. 22].</w:t>
      </w:r>
    </w:p>
    <w:p w14:paraId="38CD66B6"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Соціальна робота здійснюється за участю органів влади та інших громадських інституцій. До цієї роботи активно залучаються представники громадських та релігійних організацій, які допомагають у соціальній адаптації засуджених. </w:t>
      </w:r>
    </w:p>
    <w:p w14:paraId="3AEA1634"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По-третє. </w:t>
      </w:r>
      <w:r w:rsidRPr="00511005">
        <w:rPr>
          <w:rFonts w:ascii="Arial" w:eastAsia="Calibri" w:hAnsi="Arial" w:cs="Arial"/>
          <w:bCs/>
          <w:szCs w:val="28"/>
          <w:lang w:val="uk-UA"/>
        </w:rPr>
        <w:t>Психологічна робота</w:t>
      </w:r>
      <w:r w:rsidRPr="00511005">
        <w:rPr>
          <w:rFonts w:ascii="Arial" w:eastAsia="Calibri" w:hAnsi="Arial" w:cs="Arial"/>
          <w:szCs w:val="28"/>
          <w:lang w:val="uk-UA"/>
        </w:rPr>
        <w:t>: надання консультативної та психологічної допомоги для зменшення психологічної травми та сприяння ресоціалізації.</w:t>
      </w:r>
    </w:p>
    <w:p w14:paraId="4162AAAC"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Психологічна робота в системі виконання покарань України є компонентом соціально-психологічної служби, спрямованої на забезпечення психологічної підтримки як засуджених, так і працівників установ виконання покарань. Психологічна служба організована у складі соціально-психологічної служби установ виконання покарань і включає в себе такі завдання, як вивчення засуджених та сприяння зменшенню негативного впливу перебування в умовах позбавлення волі на їх особистість [2].</w:t>
      </w:r>
    </w:p>
    <w:p w14:paraId="013A63E7"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Стосовно напрямків психологічної роботи. Психодіагностична робота: вивчення особистісних та групових характеристик засуджених для визначення їхніх індивідуально-психологічних особливостей та встановлення наявності психологічних якостей.</w:t>
      </w:r>
    </w:p>
    <w:p w14:paraId="3817391C"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Психологічна корекція: розробка та реалізація індивідуальних і групових програм психокорекційного впливу на засуджених з урахуванням їхніх індивідуальних особливостей.</w:t>
      </w:r>
    </w:p>
    <w:p w14:paraId="6DF6B6BF"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Соціально-психологічна адаптація: сприяння адаптації засуджених до умов ізоляції та нейтралізації негативного впливу на особистість.</w:t>
      </w:r>
    </w:p>
    <w:p w14:paraId="2CCD9EF2" w14:textId="0E0742EC"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Метою психологічної роботи є забезпечення психологічної підтримки засуджених та працівників, а також сприяння ресоціалізації засуджених шляхом формування у них позитивних психологічних якостей та зменшення ризику рецидивної злочинності. Психологічна робота проводиться у тісному співробітництві з іншими службами установ виконання покарань для досягнення комплексного впливу на особистість засуджених [</w:t>
      </w:r>
      <w:r w:rsidRPr="00511005">
        <w:rPr>
          <w:rFonts w:ascii="Arial" w:eastAsia="Calibri" w:hAnsi="Arial" w:cs="Arial"/>
          <w:szCs w:val="28"/>
          <w:lang w:val="uk-UA"/>
        </w:rPr>
        <w:fldChar w:fldCharType="begin"/>
      </w:r>
      <w:r w:rsidRPr="00511005">
        <w:rPr>
          <w:rFonts w:ascii="Arial" w:eastAsia="Calibri" w:hAnsi="Arial" w:cs="Arial"/>
          <w:szCs w:val="28"/>
          <w:lang w:val="uk-UA"/>
        </w:rPr>
        <w:instrText xml:space="preserve"> REF _Ref195009565 \r \h  \* MERGEFORMAT </w:instrText>
      </w:r>
      <w:r w:rsidRPr="00511005">
        <w:rPr>
          <w:rFonts w:ascii="Arial" w:eastAsia="Calibri" w:hAnsi="Arial" w:cs="Arial"/>
          <w:szCs w:val="28"/>
          <w:lang w:val="uk-UA"/>
        </w:rPr>
      </w:r>
      <w:r w:rsidRPr="00511005">
        <w:rPr>
          <w:rFonts w:ascii="Arial" w:eastAsia="Calibri" w:hAnsi="Arial" w:cs="Arial"/>
          <w:szCs w:val="28"/>
          <w:lang w:val="uk-UA"/>
        </w:rPr>
        <w:fldChar w:fldCharType="separate"/>
      </w:r>
      <w:r w:rsidR="006F7CE5">
        <w:rPr>
          <w:rFonts w:ascii="Arial" w:eastAsia="Calibri" w:hAnsi="Arial" w:cs="Arial"/>
          <w:szCs w:val="28"/>
          <w:lang w:val="uk-UA"/>
        </w:rPr>
        <w:t>4</w:t>
      </w:r>
      <w:r w:rsidRPr="00511005">
        <w:rPr>
          <w:rFonts w:ascii="Arial" w:eastAsia="Calibri" w:hAnsi="Arial" w:cs="Arial"/>
          <w:szCs w:val="28"/>
          <w:lang w:val="uk-UA"/>
        </w:rPr>
        <w:fldChar w:fldCharType="end"/>
      </w:r>
      <w:r w:rsidRPr="00511005">
        <w:rPr>
          <w:rFonts w:ascii="Arial" w:eastAsia="Calibri" w:hAnsi="Arial" w:cs="Arial"/>
          <w:szCs w:val="28"/>
          <w:lang w:val="uk-UA"/>
        </w:rPr>
        <w:t>, с. 22].</w:t>
      </w:r>
    </w:p>
    <w:p w14:paraId="67577092"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Отже, соціально-виховна робота в установах виконання покарань відіграє важливу роль у процесі виправлення та ресоціалізації засуджених. Основним стратегічним орієнтиром є формування у засуджених позитивних якостей, правослухняної поведінки та підготовка їх до повернення у повноцінне суспільне життя. Завдяки системній соціально-виховній роботі підвищується ефективність профілактики повторної злочинності та забезпечується безпека суспільства.</w:t>
      </w:r>
    </w:p>
    <w:p w14:paraId="208675E5" w14:textId="77777777" w:rsidR="00C1357F" w:rsidRPr="00511005" w:rsidRDefault="00C1357F" w:rsidP="003A292D">
      <w:pPr>
        <w:tabs>
          <w:tab w:val="left" w:pos="1276"/>
        </w:tabs>
        <w:spacing w:line="264" w:lineRule="auto"/>
        <w:ind w:firstLine="0"/>
        <w:contextualSpacing/>
        <w:rPr>
          <w:rFonts w:ascii="Arial" w:eastAsia="Calibri" w:hAnsi="Arial" w:cs="Arial"/>
          <w:szCs w:val="28"/>
          <w:lang w:val="uk-UA"/>
        </w:rPr>
      </w:pPr>
    </w:p>
    <w:p w14:paraId="1BCE7AFA" w14:textId="2E160873" w:rsidR="007B2628" w:rsidRPr="00511005" w:rsidRDefault="007B2628" w:rsidP="007B2628">
      <w:pPr>
        <w:spacing w:line="264" w:lineRule="auto"/>
        <w:ind w:firstLine="0"/>
        <w:contextualSpacing/>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11946277" w14:textId="4F0F5F79" w:rsidR="00C1357F" w:rsidRPr="00511005" w:rsidRDefault="00C1357F" w:rsidP="003F6A5D">
      <w:pPr>
        <w:numPr>
          <w:ilvl w:val="0"/>
          <w:numId w:val="55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Кримінально-виконавчий кодекс України. Закон України від 11.07.2003 №1129-IV: станом на 01.01.2025. URL: </w:t>
      </w:r>
      <w:hyperlink r:id="rId2090" w:anchor="Text" w:history="1">
        <w:r w:rsidRPr="00511005">
          <w:rPr>
            <w:rFonts w:ascii="Arial" w:eastAsia="Calibri" w:hAnsi="Arial" w:cs="Arial"/>
            <w:szCs w:val="28"/>
            <w:lang w:val="uk-UA"/>
          </w:rPr>
          <w:t>https://zakon.rada.gov.ua/laws/show/1129-15#Text</w:t>
        </w:r>
      </w:hyperlink>
      <w:bookmarkStart w:id="259" w:name="_Ref195009504"/>
      <w:r w:rsidRPr="00511005">
        <w:rPr>
          <w:rFonts w:ascii="Arial" w:eastAsia="Calibri" w:hAnsi="Arial" w:cs="Arial"/>
          <w:bCs/>
          <w:szCs w:val="28"/>
          <w:lang w:val="uk-UA"/>
        </w:rPr>
        <w:t>.</w:t>
      </w:r>
    </w:p>
    <w:p w14:paraId="049227CE" w14:textId="2CC20CCE" w:rsidR="00C1357F" w:rsidRPr="00511005" w:rsidRDefault="00C1357F" w:rsidP="003F6A5D">
      <w:pPr>
        <w:numPr>
          <w:ilvl w:val="0"/>
          <w:numId w:val="55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Гальцова О. Вплив персоналу установ виконання покарань на соціально-виховну роботу із засудженими // Розбудова правової держави в Україні: реалії та перспективи. Матеріали Міжнародної науково-практичної конференції.</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24 травня 2019 року, Одеса. 2019. URL: </w:t>
      </w:r>
      <w:hyperlink r:id="rId2091" w:history="1">
        <w:r w:rsidRPr="00511005">
          <w:rPr>
            <w:rFonts w:ascii="Arial" w:eastAsia="Calibri" w:hAnsi="Arial" w:cs="Arial"/>
            <w:szCs w:val="28"/>
            <w:lang w:val="uk-UA"/>
          </w:rPr>
          <w:t>https://dspace.nlu.edu.ua/bitstream/123456789/18093/1/Haltsova_75-78.pdf</w:t>
        </w:r>
      </w:hyperlink>
      <w:r w:rsidRPr="00511005">
        <w:rPr>
          <w:rFonts w:ascii="Arial" w:eastAsia="Calibri" w:hAnsi="Arial" w:cs="Arial"/>
          <w:bCs/>
          <w:szCs w:val="28"/>
          <w:lang w:val="uk-UA"/>
        </w:rPr>
        <w:t>.</w:t>
      </w:r>
    </w:p>
    <w:p w14:paraId="760DC2A1" w14:textId="77777777" w:rsidR="00C1357F" w:rsidRPr="00511005" w:rsidRDefault="00C1357F" w:rsidP="003F6A5D">
      <w:pPr>
        <w:numPr>
          <w:ilvl w:val="0"/>
          <w:numId w:val="55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Державна кримінально-виконавча служба України. URL: </w:t>
      </w:r>
      <w:hyperlink r:id="rId2092" w:tgtFrame="_blank" w:tooltip="https://kvs.gov.ua/important-info/for-prisoners-and-relatives/social-work/kor-inform/osnov-aspekt/" w:history="1">
        <w:r w:rsidRPr="00511005">
          <w:rPr>
            <w:rFonts w:ascii="Arial" w:eastAsia="Calibri" w:hAnsi="Arial" w:cs="Arial"/>
            <w:szCs w:val="28"/>
            <w:lang w:val="uk-UA"/>
          </w:rPr>
          <w:t>https://kvs.gov.ua/important-info/for-prisoners-and-relatives/social-work/kor-inform/osnov-aspekt/</w:t>
        </w:r>
      </w:hyperlink>
      <w:bookmarkStart w:id="260" w:name="_Ref195009518"/>
      <w:bookmarkEnd w:id="259"/>
      <w:r w:rsidRPr="00511005">
        <w:rPr>
          <w:rFonts w:ascii="Arial" w:eastAsia="Calibri" w:hAnsi="Arial" w:cs="Arial"/>
          <w:bCs/>
          <w:szCs w:val="28"/>
          <w:lang w:val="uk-UA"/>
        </w:rPr>
        <w:t>.</w:t>
      </w:r>
    </w:p>
    <w:p w14:paraId="08F08E8E" w14:textId="77777777" w:rsidR="00C1357F" w:rsidRPr="00511005" w:rsidRDefault="00C1357F" w:rsidP="003F6A5D">
      <w:pPr>
        <w:numPr>
          <w:ilvl w:val="0"/>
          <w:numId w:val="556"/>
        </w:numPr>
        <w:spacing w:line="264" w:lineRule="auto"/>
        <w:contextualSpacing/>
        <w:jc w:val="left"/>
        <w:rPr>
          <w:rFonts w:ascii="Arial" w:eastAsia="Calibri" w:hAnsi="Arial" w:cs="Arial"/>
          <w:szCs w:val="28"/>
          <w:lang w:val="uk-UA"/>
        </w:rPr>
      </w:pPr>
      <w:bookmarkStart w:id="261" w:name="_Ref195009565"/>
      <w:bookmarkEnd w:id="260"/>
      <w:r w:rsidRPr="00511005">
        <w:rPr>
          <w:rFonts w:ascii="Arial" w:eastAsia="Calibri" w:hAnsi="Arial" w:cs="Arial"/>
          <w:szCs w:val="28"/>
          <w:lang w:val="uk-UA"/>
        </w:rPr>
        <w:t>Таволжанський О. В. Соціально-виховна робота із засудженими до позбавлення волі : монографія / О. В. Таволжанський ; за ред. проф. В. В. Голіни і доц. Л. П. Оніки. – Харків : Право, 2015. 192 с</w:t>
      </w:r>
      <w:bookmarkEnd w:id="261"/>
      <w:r w:rsidRPr="00511005">
        <w:rPr>
          <w:rFonts w:ascii="Arial" w:eastAsia="Calibri" w:hAnsi="Arial" w:cs="Arial"/>
          <w:szCs w:val="28"/>
          <w:lang w:val="uk-UA"/>
        </w:rPr>
        <w:t xml:space="preserve">. </w:t>
      </w:r>
    </w:p>
    <w:p w14:paraId="0F999F00" w14:textId="77777777" w:rsidR="00C1357F" w:rsidRPr="00511005" w:rsidRDefault="00C1357F" w:rsidP="003A292D">
      <w:pPr>
        <w:spacing w:line="264" w:lineRule="auto"/>
        <w:ind w:firstLine="0"/>
        <w:contextualSpacing/>
        <w:rPr>
          <w:rFonts w:ascii="Arial" w:eastAsia="Calibri" w:hAnsi="Arial" w:cs="Arial"/>
          <w:b/>
          <w:bCs/>
          <w:szCs w:val="28"/>
          <w:lang w:val="uk-UA"/>
        </w:rPr>
      </w:pPr>
    </w:p>
    <w:p w14:paraId="13758C6F" w14:textId="26B21469" w:rsidR="00C1357F"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357F" w:rsidRPr="00511005">
        <w:rPr>
          <w:rFonts w:ascii="Arial" w:eastAsia="Calibri" w:hAnsi="Arial" w:cs="Arial"/>
          <w:szCs w:val="28"/>
          <w:lang w:val="uk-UA"/>
        </w:rPr>
        <w:t>соціально-виховна робота, ресоціалізація</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виправлення, психологічна підтримка, соціальна адаптація.</w:t>
      </w:r>
    </w:p>
    <w:p w14:paraId="1F99321A" w14:textId="6F99792B" w:rsidR="00C1357F"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bCs/>
          <w:i/>
          <w:szCs w:val="28"/>
          <w:lang w:val="uk-UA"/>
        </w:rPr>
        <w:t xml:space="preserve">Key words: </w:t>
      </w:r>
      <w:r w:rsidR="00C1357F" w:rsidRPr="00511005">
        <w:rPr>
          <w:rFonts w:ascii="Arial" w:eastAsia="Calibri" w:hAnsi="Arial" w:cs="Arial"/>
          <w:szCs w:val="28"/>
          <w:lang w:val="uk-UA"/>
        </w:rPr>
        <w:t>social and educational work, resocialization, rehabilitation, psychological support, social adaptation.</w:t>
      </w:r>
    </w:p>
    <w:p w14:paraId="5323D6A0" w14:textId="24DB5877" w:rsidR="00C1357F"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i/>
          <w:iCs/>
          <w:szCs w:val="28"/>
          <w:lang w:val="uk-UA"/>
        </w:rPr>
        <w:t xml:space="preserve">Науковий керівник: </w:t>
      </w:r>
      <w:r w:rsidR="00C1357F" w:rsidRPr="00511005">
        <w:rPr>
          <w:rFonts w:ascii="Arial" w:eastAsia="Calibri" w:hAnsi="Arial" w:cs="Arial"/>
          <w:i/>
          <w:iCs/>
          <w:szCs w:val="28"/>
          <w:lang w:val="uk-UA"/>
        </w:rPr>
        <w:t>асистентка кафедри Лукащук К.Р.</w:t>
      </w:r>
    </w:p>
    <w:p w14:paraId="20EDA765" w14:textId="77777777" w:rsidR="00C1357F" w:rsidRPr="00511005" w:rsidRDefault="00C1357F" w:rsidP="003A292D">
      <w:pPr>
        <w:spacing w:line="264" w:lineRule="auto"/>
        <w:ind w:firstLine="0"/>
        <w:rPr>
          <w:rFonts w:ascii="Arial" w:eastAsia="Calibri" w:hAnsi="Arial" w:cs="Arial"/>
          <w:b/>
          <w:i/>
          <w:szCs w:val="28"/>
          <w:lang w:val="uk-UA"/>
        </w:rPr>
      </w:pPr>
    </w:p>
    <w:p w14:paraId="583B9D6A" w14:textId="77777777" w:rsidR="00C1357F" w:rsidRPr="00511005" w:rsidRDefault="00C1357F" w:rsidP="003A292D">
      <w:pPr>
        <w:spacing w:line="264" w:lineRule="auto"/>
        <w:ind w:firstLine="0"/>
        <w:rPr>
          <w:rFonts w:ascii="Arial" w:eastAsia="Calibri" w:hAnsi="Arial" w:cs="Arial"/>
          <w:b/>
          <w:i/>
          <w:szCs w:val="28"/>
          <w:lang w:val="uk-UA"/>
        </w:rPr>
      </w:pPr>
    </w:p>
    <w:p w14:paraId="06434A0F" w14:textId="77777777" w:rsidR="006649DF" w:rsidRDefault="006649DF">
      <w:pPr>
        <w:spacing w:after="200" w:line="276" w:lineRule="auto"/>
        <w:ind w:firstLine="0"/>
        <w:jc w:val="left"/>
        <w:rPr>
          <w:rFonts w:ascii="Arial" w:eastAsia="Calibri" w:hAnsi="Arial" w:cs="Arial"/>
          <w:b/>
          <w:i/>
          <w:szCs w:val="28"/>
          <w:lang w:val="uk-UA"/>
        </w:rPr>
      </w:pPr>
      <w:r>
        <w:rPr>
          <w:rFonts w:ascii="Arial" w:eastAsia="Calibri" w:hAnsi="Arial" w:cs="Arial"/>
          <w:b/>
          <w:i/>
          <w:szCs w:val="28"/>
          <w:lang w:val="uk-UA"/>
        </w:rPr>
        <w:br w:type="page"/>
      </w:r>
    </w:p>
    <w:p w14:paraId="0212CF8B" w14:textId="0DDD84FB" w:rsidR="00C1357F" w:rsidRPr="00511005" w:rsidRDefault="00C1357F"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lastRenderedPageBreak/>
        <w:t>Іщик Анна Вікторівна</w:t>
      </w:r>
    </w:p>
    <w:p w14:paraId="29D69845" w14:textId="573E7B8B"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289C5D38"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1B0F222"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21375E2" w14:textId="77777777" w:rsidR="00C1357F" w:rsidRPr="00511005" w:rsidRDefault="00C1357F" w:rsidP="003A292D">
      <w:pPr>
        <w:spacing w:line="264" w:lineRule="auto"/>
        <w:ind w:firstLine="0"/>
        <w:jc w:val="center"/>
        <w:rPr>
          <w:rFonts w:ascii="Arial" w:eastAsia="Calibri" w:hAnsi="Arial" w:cs="Arial"/>
          <w:b/>
          <w:szCs w:val="28"/>
          <w:lang w:val="uk-UA"/>
        </w:rPr>
      </w:pPr>
    </w:p>
    <w:p w14:paraId="1F9E50EC" w14:textId="77777777" w:rsidR="00C1357F" w:rsidRPr="00511005" w:rsidRDefault="00C1357F"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ОСОБЛИВОСТІ ВИКОНАННЯ ДОВІЧНОГО ПОЗБАВЛЕННЯ ВОЛІ В УКРАЇНІ</w:t>
      </w:r>
    </w:p>
    <w:p w14:paraId="17931DD7"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Довічне позбавлення волі в українському праві є найбільш суворим видом кримінального покарання, яке передбачає повне вилучення особи з суспільного життя на невизначений строк. Відповідно до статті 51 Кримінального кодексу України [2], довічне ув’язнення є заходом державного примусу, що застосовується за вироком суду до особи, визнаної винною у вчиненні особливо тяжкого правопорушення. Цей вид покарання зазвичай передбачає тривале та безстрокове, обмеження прав і свобод засудженого в межах, визначених законом.</w:t>
      </w:r>
      <w:r w:rsidRPr="00511005">
        <w:rPr>
          <w:rFonts w:ascii="Arial" w:eastAsia="Calibri" w:hAnsi="Arial" w:cs="Arial"/>
          <w:szCs w:val="28"/>
          <w:lang w:val="uk-UA"/>
        </w:rPr>
        <w:t xml:space="preserve"> </w:t>
      </w:r>
      <w:r w:rsidRPr="00511005">
        <w:rPr>
          <w:rFonts w:ascii="Arial" w:eastAsia="Calibri" w:hAnsi="Arial" w:cs="Arial"/>
          <w:bCs/>
          <w:szCs w:val="28"/>
          <w:lang w:val="uk-UA"/>
        </w:rPr>
        <w:t>Проте, поряд із суворістю цього покарання, в Україні існують особливості виконання довічного позбавлення волі, які мають свої специфічні аспекти, що стосуються прав засуджених, умов утримання та можливостей для реабілітації.</w:t>
      </w:r>
    </w:p>
    <w:p w14:paraId="01EC8C1D"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Місця виконання покарання у виді довічного позбавлення волі суворо диференційовані за статтю засуджених:</w:t>
      </w:r>
    </w:p>
    <w:p w14:paraId="6AC7E131" w14:textId="51535AC8" w:rsidR="00C1357F" w:rsidRPr="00511005" w:rsidRDefault="00C1357F" w:rsidP="003F6A5D">
      <w:pPr>
        <w:numPr>
          <w:ilvl w:val="0"/>
          <w:numId w:val="554"/>
        </w:numPr>
        <w:spacing w:line="264" w:lineRule="auto"/>
        <w:contextualSpacing/>
        <w:jc w:val="left"/>
        <w:rPr>
          <w:rFonts w:ascii="Arial" w:eastAsia="Calibri" w:hAnsi="Arial" w:cs="Arial"/>
          <w:bCs/>
          <w:szCs w:val="28"/>
          <w:lang w:val="uk-UA"/>
        </w:rPr>
      </w:pPr>
      <w:r w:rsidRPr="00511005">
        <w:rPr>
          <w:rFonts w:ascii="Arial" w:eastAsia="Calibri" w:hAnsi="Arial" w:cs="Arial"/>
          <w:bCs/>
          <w:szCs w:val="28"/>
          <w:lang w:val="uk-UA"/>
        </w:rPr>
        <w:t>Чоловіки відбувають покарання у секторах максимального рівня безпеки,</w:t>
      </w:r>
      <w:r w:rsidR="007B2628" w:rsidRPr="00511005">
        <w:rPr>
          <w:rFonts w:ascii="Arial" w:eastAsia="Calibri" w:hAnsi="Arial" w:cs="Arial"/>
          <w:bCs/>
          <w:szCs w:val="28"/>
          <w:lang w:val="uk-UA"/>
        </w:rPr>
        <w:t xml:space="preserve"> </w:t>
      </w:r>
      <w:r w:rsidRPr="00511005">
        <w:rPr>
          <w:rFonts w:ascii="Arial" w:eastAsia="Calibri" w:hAnsi="Arial" w:cs="Arial"/>
          <w:bCs/>
          <w:szCs w:val="28"/>
          <w:lang w:val="uk-UA"/>
        </w:rPr>
        <w:t>виправних колоній середнього рівня безпеки та у колоніях максимального рівня безпеки.</w:t>
      </w:r>
    </w:p>
    <w:p w14:paraId="1116F889" w14:textId="77777777" w:rsidR="00C1357F" w:rsidRPr="00511005" w:rsidRDefault="00C1357F" w:rsidP="003F6A5D">
      <w:pPr>
        <w:numPr>
          <w:ilvl w:val="0"/>
          <w:numId w:val="554"/>
        </w:numPr>
        <w:spacing w:line="264" w:lineRule="auto"/>
        <w:contextualSpacing/>
        <w:jc w:val="left"/>
        <w:rPr>
          <w:rFonts w:ascii="Arial" w:eastAsia="Calibri" w:hAnsi="Arial" w:cs="Arial"/>
          <w:bCs/>
          <w:szCs w:val="28"/>
          <w:lang w:val="uk-UA"/>
        </w:rPr>
      </w:pPr>
      <w:r w:rsidRPr="00511005">
        <w:rPr>
          <w:rFonts w:ascii="Arial" w:eastAsia="Calibri" w:hAnsi="Arial" w:cs="Arial"/>
          <w:bCs/>
          <w:szCs w:val="28"/>
          <w:lang w:val="uk-UA"/>
        </w:rPr>
        <w:t>Жінки – у секторах середнього рівня безпеки, виправних колоній мінімального рівня безпеки, а також у колоніях середнього рівня безпеки [3, c. 34].</w:t>
      </w:r>
    </w:p>
    <w:p w14:paraId="3949612F"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Засуджені до довічного ув’язнення, як правило, тримаються окремо від інших категорій засуджених, за винятком випадків, коли після відбуття щонайменше десяти років покарання вони можуть бути переведені до звичайних житлових приміщень.</w:t>
      </w:r>
    </w:p>
    <w:p w14:paraId="4F221181"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Засуджені до довічного позбавлення волі розміщуються переважно в приміщеннях камерного типу, де утримуються по дві особи. В окремих випадках, для забезпечення безпеки чи з медичних причин, вони можуть бути переведені до одиночних камер. Також вони зобов’язані носити спеціальний одяг і мають обмеження щодо пересування та комунікації.</w:t>
      </w:r>
    </w:p>
    <w:p w14:paraId="69065C00"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Відповідно до статті 107 Кримінально-виконавчого кодексу України (КВК) [1], на таких засуджених поширюються загальні права й обов’язки, притаманні особам, котрі позбавлені волі за різні види злочинів. Однак виконання довічного ув’язнення має низку характерних особливостей, серед яких – сувора ізоляція, обмежений доступ до праці (виключно в межах колонії), обмежені соціальні контакти тощо.</w:t>
      </w:r>
    </w:p>
    <w:p w14:paraId="3404598C"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lastRenderedPageBreak/>
        <w:t>Попри суворість покарання, засуджені до довічного ув’язнення мають низку базових прав:</w:t>
      </w:r>
    </w:p>
    <w:p w14:paraId="25EC18C4" w14:textId="77777777" w:rsidR="00C1357F" w:rsidRPr="00511005" w:rsidRDefault="00C1357F" w:rsidP="003F6A5D">
      <w:pPr>
        <w:numPr>
          <w:ilvl w:val="0"/>
          <w:numId w:val="554"/>
        </w:numPr>
        <w:spacing w:line="264" w:lineRule="auto"/>
        <w:contextualSpacing/>
        <w:jc w:val="left"/>
        <w:rPr>
          <w:rFonts w:ascii="Arial" w:eastAsia="Calibri" w:hAnsi="Arial" w:cs="Arial"/>
          <w:bCs/>
          <w:szCs w:val="28"/>
          <w:lang w:val="uk-UA"/>
        </w:rPr>
      </w:pPr>
      <w:r w:rsidRPr="00511005">
        <w:rPr>
          <w:rFonts w:ascii="Arial" w:eastAsia="Calibri" w:hAnsi="Arial" w:cs="Arial"/>
          <w:bCs/>
          <w:szCs w:val="28"/>
          <w:lang w:val="uk-UA"/>
        </w:rPr>
        <w:t>Право на працю в межах колонії з урахуванням обмеженого режиму;</w:t>
      </w:r>
    </w:p>
    <w:p w14:paraId="6D7EE6ED" w14:textId="77777777" w:rsidR="00C1357F" w:rsidRPr="00511005" w:rsidRDefault="00C1357F" w:rsidP="003F6A5D">
      <w:pPr>
        <w:numPr>
          <w:ilvl w:val="0"/>
          <w:numId w:val="554"/>
        </w:numPr>
        <w:spacing w:line="264" w:lineRule="auto"/>
        <w:contextualSpacing/>
        <w:jc w:val="left"/>
        <w:rPr>
          <w:rFonts w:ascii="Arial" w:eastAsia="Calibri" w:hAnsi="Arial" w:cs="Arial"/>
          <w:bCs/>
          <w:szCs w:val="28"/>
          <w:lang w:val="uk-UA"/>
        </w:rPr>
      </w:pPr>
      <w:r w:rsidRPr="00511005">
        <w:rPr>
          <w:rFonts w:ascii="Arial" w:eastAsia="Calibri" w:hAnsi="Arial" w:cs="Arial"/>
          <w:bCs/>
          <w:szCs w:val="28"/>
          <w:lang w:val="uk-UA"/>
        </w:rPr>
        <w:t>Право на освіту, зокрема через консультаційні пункти в колоніях;</w:t>
      </w:r>
    </w:p>
    <w:p w14:paraId="386DF621" w14:textId="77777777" w:rsidR="00C1357F" w:rsidRPr="00511005" w:rsidRDefault="00C1357F" w:rsidP="003F6A5D">
      <w:pPr>
        <w:numPr>
          <w:ilvl w:val="0"/>
          <w:numId w:val="554"/>
        </w:numPr>
        <w:spacing w:line="264" w:lineRule="auto"/>
        <w:contextualSpacing/>
        <w:jc w:val="left"/>
        <w:rPr>
          <w:rFonts w:ascii="Arial" w:eastAsia="Calibri" w:hAnsi="Arial" w:cs="Arial"/>
          <w:bCs/>
          <w:szCs w:val="28"/>
          <w:lang w:val="uk-UA"/>
        </w:rPr>
      </w:pPr>
      <w:r w:rsidRPr="00511005">
        <w:rPr>
          <w:rFonts w:ascii="Arial" w:eastAsia="Calibri" w:hAnsi="Arial" w:cs="Arial"/>
          <w:bCs/>
          <w:szCs w:val="28"/>
          <w:lang w:val="uk-UA"/>
        </w:rPr>
        <w:t>Право витрачати кошти, які отримані через працю, пенсії чи грошові перекази;</w:t>
      </w:r>
    </w:p>
    <w:p w14:paraId="6D881658" w14:textId="77777777" w:rsidR="00C1357F" w:rsidRPr="00511005" w:rsidRDefault="00C1357F" w:rsidP="003F6A5D">
      <w:pPr>
        <w:numPr>
          <w:ilvl w:val="0"/>
          <w:numId w:val="554"/>
        </w:numPr>
        <w:spacing w:line="264" w:lineRule="auto"/>
        <w:contextualSpacing/>
        <w:jc w:val="left"/>
        <w:rPr>
          <w:rFonts w:ascii="Arial" w:eastAsia="Calibri" w:hAnsi="Arial" w:cs="Arial"/>
          <w:bCs/>
          <w:szCs w:val="28"/>
          <w:lang w:val="uk-UA"/>
        </w:rPr>
      </w:pPr>
      <w:r w:rsidRPr="00511005">
        <w:rPr>
          <w:rFonts w:ascii="Arial" w:eastAsia="Calibri" w:hAnsi="Arial" w:cs="Arial"/>
          <w:bCs/>
          <w:szCs w:val="28"/>
          <w:lang w:val="uk-UA"/>
        </w:rPr>
        <w:t>Право на побачення з близькими родичами: короткострокові – один раз на місяць, тривалі – один раз на два місяці;</w:t>
      </w:r>
    </w:p>
    <w:p w14:paraId="18CE1D51" w14:textId="77777777" w:rsidR="00C1357F" w:rsidRPr="00511005" w:rsidRDefault="00C1357F" w:rsidP="003F6A5D">
      <w:pPr>
        <w:numPr>
          <w:ilvl w:val="0"/>
          <w:numId w:val="554"/>
        </w:numPr>
        <w:spacing w:line="264" w:lineRule="auto"/>
        <w:contextualSpacing/>
        <w:jc w:val="left"/>
        <w:rPr>
          <w:rFonts w:ascii="Arial" w:eastAsia="Calibri" w:hAnsi="Arial" w:cs="Arial"/>
          <w:bCs/>
          <w:szCs w:val="28"/>
          <w:lang w:val="uk-UA"/>
        </w:rPr>
      </w:pPr>
      <w:r w:rsidRPr="00511005">
        <w:rPr>
          <w:rFonts w:ascii="Arial" w:eastAsia="Calibri" w:hAnsi="Arial" w:cs="Arial"/>
          <w:bCs/>
          <w:szCs w:val="28"/>
          <w:lang w:val="uk-UA"/>
        </w:rPr>
        <w:t>Щоденна прогулянка тривалістю одна година;</w:t>
      </w:r>
    </w:p>
    <w:p w14:paraId="36475CE8" w14:textId="77777777" w:rsidR="00C1357F" w:rsidRPr="00511005" w:rsidRDefault="00C1357F" w:rsidP="003F6A5D">
      <w:pPr>
        <w:numPr>
          <w:ilvl w:val="0"/>
          <w:numId w:val="554"/>
        </w:numPr>
        <w:spacing w:line="264" w:lineRule="auto"/>
        <w:contextualSpacing/>
        <w:jc w:val="left"/>
        <w:rPr>
          <w:rFonts w:ascii="Arial" w:eastAsia="Calibri" w:hAnsi="Arial" w:cs="Arial"/>
          <w:bCs/>
          <w:szCs w:val="28"/>
          <w:lang w:val="uk-UA"/>
        </w:rPr>
      </w:pPr>
      <w:r w:rsidRPr="00511005">
        <w:rPr>
          <w:rFonts w:ascii="Arial" w:eastAsia="Calibri" w:hAnsi="Arial" w:cs="Arial"/>
          <w:bCs/>
          <w:szCs w:val="28"/>
          <w:lang w:val="uk-UA"/>
        </w:rPr>
        <w:t>Можливість участі в групових заходах (освітніх, культурних, спортивних) – після п’яти років сумлінного виконання режиму [5, c. 50].</w:t>
      </w:r>
    </w:p>
    <w:p w14:paraId="6AC3F7C3"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Згідно з частиною шостою статті 151 КВК України [1], через десять років сумлінного відбування покарання засудженим дозволяється додатково витрачати до 20% мінімального розміру заробітної плати, що свідчить про поступову лібералізацію умов тримання за позитивної поведінки. Довічно ув’язнені мають право звернутися з клопотанням про помилування після відбуття щонайменше п’ятнадцяти pоків покарання. Відповідно до статті 87 КК України, помилування здійснюється Президентом України і може передбачати заміну довічного позбавлення волі на позбавлення волі строком не менше двадцяти п’яти років [2].</w:t>
      </w:r>
    </w:p>
    <w:p w14:paraId="7B04D89D"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Зміна умов тримання регулюється статтею 100 КВК України. Вона може здійснюватися за наступною логікою:</w:t>
      </w:r>
    </w:p>
    <w:p w14:paraId="03F70B01" w14:textId="77777777" w:rsidR="00C1357F" w:rsidRPr="00511005" w:rsidRDefault="00C1357F" w:rsidP="003F6A5D">
      <w:pPr>
        <w:numPr>
          <w:ilvl w:val="0"/>
          <w:numId w:val="554"/>
        </w:numPr>
        <w:spacing w:line="264" w:lineRule="auto"/>
        <w:contextualSpacing/>
        <w:jc w:val="left"/>
        <w:rPr>
          <w:rFonts w:ascii="Arial" w:eastAsia="Calibri" w:hAnsi="Arial" w:cs="Arial"/>
          <w:bCs/>
          <w:szCs w:val="28"/>
          <w:lang w:val="uk-UA"/>
        </w:rPr>
      </w:pPr>
      <w:r w:rsidRPr="00511005">
        <w:rPr>
          <w:rFonts w:ascii="Arial" w:eastAsia="Calibri" w:hAnsi="Arial" w:cs="Arial"/>
          <w:bCs/>
          <w:szCs w:val="28"/>
          <w:lang w:val="uk-UA"/>
        </w:rPr>
        <w:t>Після п’яти років у камерах – переведення до багатомісних приміщень камерного типу з дозволом на участь у групових заходах;</w:t>
      </w:r>
    </w:p>
    <w:p w14:paraId="376DE487" w14:textId="77777777" w:rsidR="00C1357F" w:rsidRPr="00511005" w:rsidRDefault="00C1357F" w:rsidP="003F6A5D">
      <w:pPr>
        <w:numPr>
          <w:ilvl w:val="0"/>
          <w:numId w:val="554"/>
        </w:numPr>
        <w:spacing w:line="264" w:lineRule="auto"/>
        <w:contextualSpacing/>
        <w:jc w:val="left"/>
        <w:rPr>
          <w:rFonts w:ascii="Arial" w:eastAsia="Calibri" w:hAnsi="Arial" w:cs="Arial"/>
          <w:bCs/>
          <w:szCs w:val="28"/>
          <w:lang w:val="uk-UA"/>
        </w:rPr>
      </w:pPr>
      <w:r w:rsidRPr="00511005">
        <w:rPr>
          <w:rFonts w:ascii="Arial" w:eastAsia="Calibri" w:hAnsi="Arial" w:cs="Arial"/>
          <w:bCs/>
          <w:szCs w:val="28"/>
          <w:lang w:val="uk-UA"/>
        </w:rPr>
        <w:t>Після наступних п’яти років – можливість переведення до звичайних житлових приміщень колонії [1].</w:t>
      </w:r>
    </w:p>
    <w:p w14:paraId="0DE4ED9B"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 xml:space="preserve">Злісні порушення режиму караються поверненням до камерного утримання. Разом із тим, зміна умов тримання не застосовується до засуджених, які страждають на венеричні хвороби, активну форму туберкульозу або мають психічні розлади. </w:t>
      </w:r>
    </w:p>
    <w:p w14:paraId="227C0FA1"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Жінки, засуджені до довічного позбавлення волі, тримаються в колоніях із загальними умовами, але з режимом, який відповідає середньому рівню безпеки. Утримання жінок у таких умовах відображає гуманістичний підхід до гендерних особливостей засуджених та врахування їхніх фізіологічних і соціальних потреб [4, c. 18].</w:t>
      </w:r>
    </w:p>
    <w:p w14:paraId="0C704F6F"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 xml:space="preserve">Виконання довічного позбавлення волі в Україні має ряд специфічних моментів, що стосуються умов утримання, можливості реабілітації та прав засуджених осіб. Хоча існують правові норми, які передбачають можливість умовно-дострокового звільнення після 25 років відбуття покарання, на </w:t>
      </w:r>
      <w:r w:rsidRPr="00511005">
        <w:rPr>
          <w:rFonts w:ascii="Arial" w:eastAsia="Calibri" w:hAnsi="Arial" w:cs="Arial"/>
          <w:bCs/>
          <w:szCs w:val="28"/>
          <w:lang w:val="uk-UA"/>
        </w:rPr>
        <w:lastRenderedPageBreak/>
        <w:t>практиці цей процес залишається складним і багато в чому залежить від поведінки засудженого в установі. Утримання засуджених до довічного позбавлення волі в умовах суворої ізоляції має серйозні психологічні наслідки, тому вимагає комплексного підходу до їх реабілітації. Законодавство України поступово наближається до міжнародних стандартів, але ще залишаються проблеми, що потребують вирішення, зокрема, у сфері покращення умов утримання та розвитку реабілітаційних програм.</w:t>
      </w:r>
    </w:p>
    <w:p w14:paraId="4BA414CA"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Чинне законодавство передбачає диференційований підхід до виконання покарання залежно від поведінки засудженого. За наявності позитивної характеристики та сумлінного ставлення до праці та режиму, допускається поступова зміна умов тримання, що сприяє процесу ресоціалізації навіть у рамках довічного ув’язнення. Значним аспектом є можливість помилування, яке може бути застосоване Президентом України після фактичного відбуття не менше 15 років покарання [5, c. 13].</w:t>
      </w:r>
    </w:p>
    <w:p w14:paraId="70BE5D73"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Таким чином, система виконання довічного позбавлення волі в Україні базується на принципах суворого контролю, ізоляції, безпеки, проте з поступовим включенням елементів гуманізації та індивідуалізації режиму, що відповідає сучасним тенденціям кримінально-виконавчої політики.</w:t>
      </w:r>
    </w:p>
    <w:p w14:paraId="5213FD56" w14:textId="77777777" w:rsidR="00C1357F" w:rsidRPr="00511005" w:rsidRDefault="00C1357F" w:rsidP="003A292D">
      <w:pPr>
        <w:spacing w:line="264" w:lineRule="auto"/>
        <w:ind w:firstLine="0"/>
        <w:rPr>
          <w:rFonts w:ascii="Arial" w:eastAsia="Calibri" w:hAnsi="Arial" w:cs="Arial"/>
          <w:b/>
          <w:szCs w:val="28"/>
          <w:lang w:val="uk-UA"/>
        </w:rPr>
      </w:pPr>
    </w:p>
    <w:p w14:paraId="63EAB01F" w14:textId="53EF0FE7" w:rsidR="00C1357F"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3D7373F9" w14:textId="77777777" w:rsidR="00C1357F" w:rsidRPr="00511005" w:rsidRDefault="00C1357F" w:rsidP="003F6A5D">
      <w:pPr>
        <w:numPr>
          <w:ilvl w:val="0"/>
          <w:numId w:val="555"/>
        </w:numPr>
        <w:spacing w:line="264" w:lineRule="auto"/>
        <w:contextualSpacing/>
        <w:jc w:val="left"/>
        <w:rPr>
          <w:rFonts w:ascii="Arial" w:eastAsia="Calibri" w:hAnsi="Arial" w:cs="Arial"/>
          <w:b/>
          <w:szCs w:val="28"/>
          <w:lang w:val="uk-UA"/>
        </w:rPr>
      </w:pPr>
      <w:r w:rsidRPr="00511005">
        <w:rPr>
          <w:rFonts w:ascii="Arial" w:eastAsia="Calibri" w:hAnsi="Arial" w:cs="Arial"/>
          <w:szCs w:val="28"/>
          <w:lang w:val="uk-UA"/>
        </w:rPr>
        <w:t xml:space="preserve">Кримінально-виконавчий кодекс України. Закон України від 11.07.2003 №1129-IV: станом на 01.01.2025. URL: </w:t>
      </w:r>
      <w:hyperlink r:id="rId2093" w:anchor="Text" w:history="1">
        <w:r w:rsidRPr="00511005">
          <w:rPr>
            <w:rFonts w:ascii="Arial" w:eastAsia="Calibri" w:hAnsi="Arial" w:cs="Arial"/>
            <w:szCs w:val="28"/>
            <w:lang w:val="uk-UA"/>
          </w:rPr>
          <w:t>https://zakon.rada.gov.ua/laws/show/1129-15#Text</w:t>
        </w:r>
      </w:hyperlink>
      <w:r w:rsidRPr="00511005">
        <w:rPr>
          <w:rFonts w:ascii="Arial" w:eastAsia="Calibri" w:hAnsi="Arial" w:cs="Arial"/>
          <w:bCs/>
          <w:szCs w:val="28"/>
          <w:lang w:val="uk-UA"/>
        </w:rPr>
        <w:t>.</w:t>
      </w:r>
    </w:p>
    <w:p w14:paraId="1134E1B7" w14:textId="77777777" w:rsidR="00C1357F" w:rsidRPr="00511005" w:rsidRDefault="00C1357F" w:rsidP="003F6A5D">
      <w:pPr>
        <w:numPr>
          <w:ilvl w:val="0"/>
          <w:numId w:val="555"/>
        </w:numPr>
        <w:spacing w:line="264" w:lineRule="auto"/>
        <w:contextualSpacing/>
        <w:jc w:val="left"/>
        <w:rPr>
          <w:rFonts w:ascii="Arial" w:eastAsia="Calibri" w:hAnsi="Arial" w:cs="Arial"/>
          <w:b/>
          <w:szCs w:val="28"/>
          <w:lang w:val="uk-UA"/>
        </w:rPr>
      </w:pPr>
      <w:r w:rsidRPr="00511005">
        <w:rPr>
          <w:rFonts w:ascii="Arial" w:eastAsia="Calibri" w:hAnsi="Arial" w:cs="Arial"/>
          <w:bCs/>
          <w:szCs w:val="28"/>
          <w:lang w:val="uk-UA"/>
        </w:rPr>
        <w:t xml:space="preserve">Кримінальний кодекс України. </w:t>
      </w:r>
      <w:r w:rsidRPr="00511005">
        <w:rPr>
          <w:rFonts w:ascii="Arial" w:eastAsia="Calibri" w:hAnsi="Arial" w:cs="Arial"/>
          <w:szCs w:val="28"/>
          <w:lang w:val="uk-UA"/>
        </w:rPr>
        <w:t xml:space="preserve">Закон України від </w:t>
      </w:r>
      <w:r w:rsidRPr="00511005">
        <w:rPr>
          <w:rFonts w:ascii="Arial" w:eastAsia="Calibri" w:hAnsi="Arial" w:cs="Arial"/>
          <w:bCs/>
          <w:szCs w:val="28"/>
          <w:lang w:val="uk-UA"/>
        </w:rPr>
        <w:t xml:space="preserve">05.04.2001 №2341- III: станом на </w:t>
      </w:r>
      <w:r w:rsidRPr="00511005">
        <w:rPr>
          <w:rFonts w:ascii="Arial" w:eastAsia="Calibri" w:hAnsi="Arial" w:cs="Arial"/>
          <w:szCs w:val="28"/>
          <w:lang w:val="uk-UA"/>
        </w:rPr>
        <w:t xml:space="preserve">01.01.2025. </w:t>
      </w:r>
      <w:r w:rsidRPr="00511005">
        <w:rPr>
          <w:rFonts w:ascii="Arial" w:eastAsia="Calibri" w:hAnsi="Arial" w:cs="Arial"/>
          <w:bCs/>
          <w:szCs w:val="28"/>
          <w:lang w:val="uk-UA"/>
        </w:rPr>
        <w:t xml:space="preserve">URL: </w:t>
      </w:r>
      <w:hyperlink r:id="rId2094" w:history="1">
        <w:r w:rsidRPr="00511005">
          <w:rPr>
            <w:rFonts w:ascii="Arial" w:eastAsia="Calibri" w:hAnsi="Arial" w:cs="Arial"/>
            <w:bCs/>
            <w:szCs w:val="28"/>
            <w:lang w:val="uk-UA"/>
          </w:rPr>
          <w:t>https://zakon.rada.gov.ua/laws/show/2341-14</w:t>
        </w:r>
      </w:hyperlink>
      <w:r w:rsidRPr="00511005">
        <w:rPr>
          <w:rFonts w:ascii="Arial" w:eastAsia="Calibri" w:hAnsi="Arial" w:cs="Arial"/>
          <w:bCs/>
          <w:szCs w:val="28"/>
          <w:lang w:val="uk-UA"/>
        </w:rPr>
        <w:t>.</w:t>
      </w:r>
    </w:p>
    <w:p w14:paraId="34C3DD2F" w14:textId="77777777" w:rsidR="00C1357F" w:rsidRPr="00511005" w:rsidRDefault="00C1357F" w:rsidP="003F6A5D">
      <w:pPr>
        <w:numPr>
          <w:ilvl w:val="0"/>
          <w:numId w:val="555"/>
        </w:numPr>
        <w:spacing w:line="264" w:lineRule="auto"/>
        <w:contextualSpacing/>
        <w:jc w:val="left"/>
        <w:rPr>
          <w:rFonts w:ascii="Arial" w:eastAsia="Calibri" w:hAnsi="Arial" w:cs="Arial"/>
          <w:b/>
          <w:szCs w:val="28"/>
          <w:lang w:val="uk-UA"/>
        </w:rPr>
      </w:pPr>
      <w:r w:rsidRPr="00511005">
        <w:rPr>
          <w:rFonts w:ascii="Arial" w:eastAsia="Calibri" w:hAnsi="Arial" w:cs="Arial"/>
          <w:szCs w:val="28"/>
          <w:lang w:val="uk-UA"/>
        </w:rPr>
        <w:t xml:space="preserve">Бурда С. Я. Покарання у виді довічного позбавлення волі в Україні: шлях до гуманізації. Науковий вісник Львівського державного університету внутрішніх справ. Серія «Юридична». 2017. Вип. 4. С. 279-288.URL: </w:t>
      </w:r>
      <w:hyperlink r:id="rId2095" w:history="1">
        <w:r w:rsidRPr="00511005">
          <w:rPr>
            <w:rFonts w:ascii="Arial" w:eastAsia="Calibri" w:hAnsi="Arial" w:cs="Arial"/>
            <w:szCs w:val="28"/>
            <w:lang w:val="uk-UA"/>
          </w:rPr>
          <w:t>file:///C:/Users/kondr/Downloads/Nvlduvs_2017_4_33.pdf</w:t>
        </w:r>
      </w:hyperlink>
      <w:r w:rsidRPr="00511005">
        <w:rPr>
          <w:rFonts w:ascii="Arial" w:eastAsia="Calibri" w:hAnsi="Arial" w:cs="Arial"/>
          <w:bCs/>
          <w:szCs w:val="28"/>
          <w:lang w:val="uk-UA"/>
        </w:rPr>
        <w:t>.</w:t>
      </w:r>
    </w:p>
    <w:p w14:paraId="59091449" w14:textId="77777777" w:rsidR="00C1357F" w:rsidRPr="00511005" w:rsidRDefault="00C1357F" w:rsidP="003F6A5D">
      <w:pPr>
        <w:numPr>
          <w:ilvl w:val="0"/>
          <w:numId w:val="555"/>
        </w:numPr>
        <w:spacing w:line="264" w:lineRule="auto"/>
        <w:contextualSpacing/>
        <w:jc w:val="left"/>
        <w:rPr>
          <w:rFonts w:ascii="Arial" w:eastAsia="Calibri" w:hAnsi="Arial" w:cs="Arial"/>
          <w:b/>
          <w:szCs w:val="28"/>
          <w:lang w:val="uk-UA"/>
        </w:rPr>
      </w:pPr>
      <w:r w:rsidRPr="00511005">
        <w:rPr>
          <w:rFonts w:ascii="Arial" w:eastAsia="Calibri" w:hAnsi="Arial" w:cs="Arial"/>
          <w:bCs/>
          <w:szCs w:val="28"/>
          <w:lang w:val="uk-UA"/>
        </w:rPr>
        <w:t xml:space="preserve">Пузирний, В. Ф., І. В. Боднар, А. І. Кирієнко. Особливості правового статусу засуджених до довічного позбавлення волі. Науковий вісник Сіверщини. Серія: Право. 2023. С. 70-80. URL: </w:t>
      </w:r>
      <w:hyperlink r:id="rId2096" w:history="1">
        <w:r w:rsidRPr="00511005">
          <w:rPr>
            <w:rFonts w:ascii="Arial" w:eastAsia="Calibri" w:hAnsi="Arial" w:cs="Arial"/>
            <w:bCs/>
            <w:szCs w:val="28"/>
            <w:lang w:val="uk-UA"/>
          </w:rPr>
          <w:t>https://sjlaw.academysps.edu.ua/wp-content/uploads/7.-Puzyrnyi-V.-Bodnar-І.-Kyrienko-А.pdf</w:t>
        </w:r>
      </w:hyperlink>
      <w:r w:rsidRPr="00511005">
        <w:rPr>
          <w:rFonts w:ascii="Arial" w:eastAsia="Calibri" w:hAnsi="Arial" w:cs="Arial"/>
          <w:bCs/>
          <w:szCs w:val="28"/>
          <w:lang w:val="uk-UA"/>
        </w:rPr>
        <w:t>.</w:t>
      </w:r>
    </w:p>
    <w:p w14:paraId="4C5C27E9" w14:textId="77777777" w:rsidR="00C1357F" w:rsidRPr="00511005" w:rsidRDefault="00C1357F" w:rsidP="003F6A5D">
      <w:pPr>
        <w:numPr>
          <w:ilvl w:val="0"/>
          <w:numId w:val="555"/>
        </w:numPr>
        <w:spacing w:line="264" w:lineRule="auto"/>
        <w:contextualSpacing/>
        <w:jc w:val="left"/>
        <w:rPr>
          <w:rFonts w:ascii="Arial" w:eastAsia="Calibri" w:hAnsi="Arial" w:cs="Arial"/>
          <w:b/>
          <w:szCs w:val="28"/>
          <w:lang w:val="uk-UA"/>
        </w:rPr>
      </w:pPr>
      <w:r w:rsidRPr="00511005">
        <w:rPr>
          <w:rFonts w:ascii="Arial" w:eastAsia="Calibri" w:hAnsi="Arial" w:cs="Arial"/>
          <w:szCs w:val="28"/>
          <w:lang w:val="uk-UA"/>
        </w:rPr>
        <w:t xml:space="preserve">Тютюгін В. І., Комаров О. Д., Рубащенко М. А. Кримінальне право України. Загальна частина : посіб. для підготовки до іспитів. 3-тє вид., перероб. та допов. Харків : Право. 2018. 202 с. URL: </w:t>
      </w:r>
      <w:hyperlink r:id="rId2097" w:history="1">
        <w:r w:rsidRPr="00511005">
          <w:rPr>
            <w:rFonts w:ascii="Arial" w:eastAsia="Calibri" w:hAnsi="Arial" w:cs="Arial"/>
            <w:szCs w:val="28"/>
            <w:lang w:val="uk-UA"/>
          </w:rPr>
          <w:t>https://pravo-izdat.com.ua/index.php?route=product/product/download&amp;product_id=4309&amp;download_id=1357&amp;srsltid=AfmBOoqTsErXwdSgrfGbTcqNJ2nXGxqeOhAeakwmxJNr5svwjHhsf8xh</w:t>
        </w:r>
      </w:hyperlink>
      <w:r w:rsidRPr="00511005">
        <w:rPr>
          <w:rFonts w:ascii="Arial" w:eastAsia="Calibri" w:hAnsi="Arial" w:cs="Arial"/>
          <w:bCs/>
          <w:szCs w:val="28"/>
          <w:lang w:val="uk-UA"/>
        </w:rPr>
        <w:t>.</w:t>
      </w:r>
    </w:p>
    <w:p w14:paraId="0673E4FF" w14:textId="77777777" w:rsidR="00C1357F" w:rsidRPr="00511005" w:rsidRDefault="00C1357F" w:rsidP="003A292D">
      <w:pPr>
        <w:spacing w:line="264" w:lineRule="auto"/>
        <w:ind w:firstLine="0"/>
        <w:rPr>
          <w:rFonts w:ascii="Arial" w:eastAsia="Calibri" w:hAnsi="Arial" w:cs="Arial"/>
          <w:b/>
          <w:szCs w:val="28"/>
          <w:lang w:val="uk-UA"/>
        </w:rPr>
      </w:pPr>
    </w:p>
    <w:p w14:paraId="2724CBD4" w14:textId="78AA5154" w:rsidR="00C1357F" w:rsidRPr="00511005" w:rsidRDefault="007B2628" w:rsidP="003A292D">
      <w:pPr>
        <w:spacing w:line="264" w:lineRule="auto"/>
        <w:ind w:firstLine="0"/>
        <w:rPr>
          <w:rFonts w:ascii="Arial" w:eastAsia="Calibri" w:hAnsi="Arial" w:cs="Arial"/>
          <w:bCs/>
          <w:szCs w:val="28"/>
          <w:lang w:val="uk-UA"/>
        </w:rPr>
      </w:pPr>
      <w:r w:rsidRPr="00511005">
        <w:rPr>
          <w:rFonts w:ascii="Arial" w:eastAsia="Calibri" w:hAnsi="Arial" w:cs="Arial"/>
          <w:b/>
          <w:i/>
          <w:szCs w:val="28"/>
          <w:lang w:val="uk-UA"/>
        </w:rPr>
        <w:t xml:space="preserve">Ключові слова: </w:t>
      </w:r>
      <w:r w:rsidR="00C1357F" w:rsidRPr="00511005">
        <w:rPr>
          <w:rFonts w:ascii="Arial" w:eastAsia="Calibri" w:hAnsi="Arial" w:cs="Arial"/>
          <w:bCs/>
          <w:szCs w:val="28"/>
          <w:lang w:val="uk-UA"/>
        </w:rPr>
        <w:t xml:space="preserve">позбавлення волі, довічне ув’язнення, ресоціалізаця, суворий вид покарання, засуджені. </w:t>
      </w:r>
    </w:p>
    <w:p w14:paraId="49AC388A" w14:textId="087E6256" w:rsidR="00C1357F" w:rsidRPr="00511005" w:rsidRDefault="007B2628" w:rsidP="003A292D">
      <w:pPr>
        <w:spacing w:line="264" w:lineRule="auto"/>
        <w:ind w:firstLine="0"/>
        <w:rPr>
          <w:rFonts w:ascii="Arial" w:eastAsia="Calibri" w:hAnsi="Arial" w:cs="Arial"/>
          <w:bCs/>
          <w:szCs w:val="28"/>
          <w:lang w:val="uk-UA"/>
        </w:rPr>
      </w:pPr>
      <w:r w:rsidRPr="00511005">
        <w:rPr>
          <w:rFonts w:ascii="Arial" w:eastAsia="Calibri" w:hAnsi="Arial" w:cs="Arial"/>
          <w:b/>
          <w:i/>
          <w:szCs w:val="28"/>
          <w:lang w:val="uk-UA"/>
        </w:rPr>
        <w:t xml:space="preserve">Key words: </w:t>
      </w:r>
      <w:r w:rsidR="00C1357F" w:rsidRPr="00511005">
        <w:rPr>
          <w:rFonts w:ascii="Arial" w:eastAsia="Calibri" w:hAnsi="Arial" w:cs="Arial"/>
          <w:szCs w:val="28"/>
          <w:lang w:val="uk-UA"/>
        </w:rPr>
        <w:t>imprisonment, life imprisonment, resocialization, severe punishment, convicts.</w:t>
      </w:r>
    </w:p>
    <w:p w14:paraId="6F01ECA2" w14:textId="5E7CCFC1" w:rsidR="00C1357F" w:rsidRPr="00511005" w:rsidRDefault="007B2628" w:rsidP="003A292D">
      <w:pPr>
        <w:spacing w:line="264" w:lineRule="auto"/>
        <w:ind w:firstLine="0"/>
        <w:rPr>
          <w:rFonts w:ascii="Arial" w:eastAsia="Calibri" w:hAnsi="Arial" w:cs="Arial"/>
          <w:bCs/>
          <w:szCs w:val="28"/>
          <w:lang w:val="uk-UA"/>
        </w:rPr>
      </w:pPr>
      <w:r w:rsidRPr="00511005">
        <w:rPr>
          <w:rFonts w:ascii="Arial" w:eastAsia="Calibri" w:hAnsi="Arial" w:cs="Arial"/>
          <w:b/>
          <w:bCs/>
          <w:i/>
          <w:szCs w:val="28"/>
          <w:lang w:val="uk-UA"/>
        </w:rPr>
        <w:t xml:space="preserve">Науковий керівник: </w:t>
      </w:r>
      <w:r w:rsidR="00C1357F" w:rsidRPr="00511005">
        <w:rPr>
          <w:rFonts w:ascii="Arial" w:eastAsia="Calibri" w:hAnsi="Arial" w:cs="Arial"/>
          <w:bCs/>
          <w:i/>
          <w:szCs w:val="28"/>
          <w:lang w:val="uk-UA"/>
        </w:rPr>
        <w:t>асистентка кафедри Лукащук К.Р.</w:t>
      </w:r>
    </w:p>
    <w:p w14:paraId="37DFEF46" w14:textId="77777777" w:rsidR="00C1357F" w:rsidRPr="00511005" w:rsidRDefault="00C1357F" w:rsidP="003A292D">
      <w:pPr>
        <w:spacing w:line="264" w:lineRule="auto"/>
        <w:ind w:firstLine="0"/>
        <w:contextualSpacing/>
        <w:rPr>
          <w:rFonts w:ascii="Arial" w:eastAsia="Times New Roman" w:hAnsi="Arial" w:cs="Arial"/>
          <w:b/>
          <w:i/>
          <w:szCs w:val="28"/>
          <w:lang w:val="uk-UA"/>
        </w:rPr>
      </w:pPr>
    </w:p>
    <w:p w14:paraId="24EB23FA" w14:textId="77777777" w:rsidR="00C1357F" w:rsidRPr="00511005" w:rsidRDefault="00C1357F" w:rsidP="003A292D">
      <w:pPr>
        <w:spacing w:line="264" w:lineRule="auto"/>
        <w:ind w:firstLine="0"/>
        <w:contextualSpacing/>
        <w:jc w:val="center"/>
        <w:rPr>
          <w:rFonts w:ascii="Arial" w:eastAsia="Calibri" w:hAnsi="Arial" w:cs="Arial"/>
          <w:b/>
          <w:i/>
          <w:szCs w:val="28"/>
          <w:lang w:val="uk-UA"/>
        </w:rPr>
      </w:pPr>
      <w:r w:rsidRPr="00511005">
        <w:rPr>
          <w:rFonts w:ascii="Arial" w:eastAsia="Calibri" w:hAnsi="Arial" w:cs="Arial"/>
          <w:b/>
          <w:i/>
          <w:szCs w:val="28"/>
          <w:lang w:val="uk-UA"/>
        </w:rPr>
        <w:t>Корінець Ангеліна Михайлівна</w:t>
      </w:r>
    </w:p>
    <w:p w14:paraId="4C45AC16" w14:textId="5B246821"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27E7A880"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D380E8A"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40DEF3C" w14:textId="77777777" w:rsidR="00C1357F" w:rsidRPr="00511005" w:rsidRDefault="00C1357F" w:rsidP="003A292D">
      <w:pPr>
        <w:spacing w:line="264" w:lineRule="auto"/>
        <w:ind w:firstLine="0"/>
        <w:contextualSpacing/>
        <w:jc w:val="center"/>
        <w:rPr>
          <w:rFonts w:ascii="Arial" w:eastAsia="Times New Roman" w:hAnsi="Arial" w:cs="Arial"/>
          <w:b/>
          <w:szCs w:val="28"/>
          <w:lang w:val="uk-UA"/>
        </w:rPr>
      </w:pPr>
    </w:p>
    <w:p w14:paraId="459FA5FE" w14:textId="77777777" w:rsidR="00C1357F" w:rsidRPr="00511005" w:rsidRDefault="00C1357F" w:rsidP="003A292D">
      <w:pPr>
        <w:spacing w:line="264" w:lineRule="auto"/>
        <w:ind w:firstLine="0"/>
        <w:contextualSpacing/>
        <w:jc w:val="center"/>
        <w:rPr>
          <w:rFonts w:ascii="Arial" w:eastAsia="Times New Roman" w:hAnsi="Arial" w:cs="Arial"/>
          <w:b/>
          <w:szCs w:val="28"/>
          <w:lang w:val="uk-UA"/>
        </w:rPr>
      </w:pPr>
      <w:r w:rsidRPr="00511005">
        <w:rPr>
          <w:rFonts w:ascii="Arial" w:eastAsia="Times New Roman" w:hAnsi="Arial" w:cs="Arial"/>
          <w:b/>
          <w:szCs w:val="28"/>
          <w:lang w:val="uk-UA"/>
        </w:rPr>
        <w:t>ПСИХОЛОГІЧНА ПІДТРИМКА ЗАСУДЖЕНИХ В УСТАНОВАХ ВИКОНАННЯ ПОКАРАНЬ</w:t>
      </w:r>
    </w:p>
    <w:p w14:paraId="18AFC8E8"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Психологічна служба є важливою складовою соціально-психологічної структури в установах виконання покарань. Вона функціонує завдяки роботі кваліфікованих психологів, основним завданням яких є вивчення особистості засуджених і зменшення негативного впливу умов ув'язнення на їх психіку.</w:t>
      </w:r>
    </w:p>
    <w:p w14:paraId="2ABB38A3"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Кількість посад психологів у таких установах визначається відповідно до діючих нормативів, встановлених наказами Департаменту з питань виконання кримінальних покарань. На ці посади призначають осіб з вищою освітою у сфері психології або педагогіки.</w:t>
      </w:r>
    </w:p>
    <w:p w14:paraId="6B787C36"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Основною метою психологічної служби є надання психологічної допомоги ув’язненим, створення і реалізація програм індивідуального та групового впливу з урахуванням особистісних рис кожного засудженого. Крім того, психологи сприяють підвищенню професійної обізнаності персоналу, надають методичну підтримку та впроваджують сучасні підходи у роботі з засудженими.</w:t>
      </w:r>
    </w:p>
    <w:p w14:paraId="084209E6"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До основних функцій психологічної служби входить вивчення як особистісних, так і групових особливостей засуджених, що здійснюється у межах психодіагностичної роботи. Також важливим напрямом є прогностика, яка передбачає оцінювання перспектив розвитку особистості та передбачення її можливої поведінки. Значну увагу приділяють профілактиці – заходам, спрямованим на запобігання негативним проявам серед засуджених. У межах корекційної діяльності психологи працюють над покращенням емоційного стану та поведінки підопічних. Крім цього, вони надають персоналу установи фахові поради щодо ефективної взаємодії з засудженими. Не менш важливою є просвітницька діяльність, яка полягає у поширенні психологічних знань серед працівників і засуджених. Нарешті, психологи беруть участь у науково-дослідницькій роботі, результати якої впроваджуються у практичну діяльність служби.</w:t>
      </w:r>
    </w:p>
    <w:p w14:paraId="68826DC8"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lastRenderedPageBreak/>
        <w:t>Психолог повинен орієнтуватися в законодавстві, що регулює діяльність кримінально-виконавчої системи, а також володіти знаннями в галузі психології та педагогіки. У його обов’язки входить оцінка новоприбулих, складання психологічних характеристик, створення програм для соціально-психологічної адаптації, відбір осіб для виконання відповідальних завдань, а також допомога у зниженні впливу негативних умов ув'язнення.</w:t>
      </w:r>
    </w:p>
    <w:p w14:paraId="6EBA7875"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Також психолог аналізує малі групи засуджених, визначає їхні взаємини, вплив на психологічний клімат та виявляє осіб із підвищеним рівнем напруги чи агресії. Він співпрацює з медичними працівниками у виявленні психічних розладів, проводить діагностику, корекційні заходи, готує засуджених до звільнення та консультує персонал щодо індивідуального підходу до окремих осіб.</w:t>
      </w:r>
    </w:p>
    <w:p w14:paraId="02AC0270"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Психолог організовує тренінги для працівників установи з метою підвищення їхньої психологічної та педагогічної грамотності, контролює реалізацію власних рекомендацій, аналізує результати роботи і регулярно інформує керівництво. Обов’язковим є дотримання принципу конфіденційності для забезпечення етичності досліджень.</w:t>
      </w:r>
    </w:p>
    <w:p w14:paraId="1BE645C0"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Психолог має право самостійно обирати методи роботи, користуватися всією наявною інформацією щодо засудженого, звертатися за консультацією до інших фахівців, прогнозувати результати заходів та брати участь у роботі комісій. За необхідності він може контактувати з іншими установами, допомагати персоналу у профілактиці психічних навантажень, а також працювати у цивільному одязі [4].</w:t>
      </w:r>
    </w:p>
    <w:p w14:paraId="6C0EA008"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Слід підкреслити, що у своїй професійній діяльності психолог повинен керуватися не лише вимогами чинного законодавства, а й планами роботи, які формують заступник начальника установи з питань соціальної роботи та виховання, а також керівник психологічної служби. Особливу увагу психолог має приділяти об’єктивності при складанні психологічних характеристик засуджених, аби вони точно відображали дані, наявні в особових справах. Крім того, йому необхідно бути обізнаним із розпорядком дня виправної установи, щоб коригувати або вдосконалювати організацію виховних заходів, участь у яких для засуджених є обов’язковою згідно зі статтею 123 Кримінально-виконавчого кодексу України. Водночас, відповідно до статті 124 цього ж Кодексу, психолог має орієнтуватися на визначені форми і методи соціально-виховної роботи з засудженими, самостійно напрацьовувати та формулювати конкретні підходи до їх реалізації [1].</w:t>
      </w:r>
    </w:p>
    <w:p w14:paraId="081E361D"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 xml:space="preserve">Варто наголосити, що особистість засудженого є складною й динамічною системою, у якій усі якості та риси взаємопов’язані та взаємодіють між собою. Іншими словами, розвиток однієї риси залежить від стану й змін інших, а в межах юридичної психології це також означає, що будь-яка зміна в особистості має зворотній вплив на всю її структуру. Тому у процесі перевиховання засуджений має розглядатися як єдина цілісна особистість. </w:t>
      </w:r>
      <w:r w:rsidRPr="00511005">
        <w:rPr>
          <w:rFonts w:ascii="Arial" w:eastAsia="Times New Roman" w:hAnsi="Arial" w:cs="Arial"/>
          <w:szCs w:val="28"/>
          <w:lang w:val="uk-UA"/>
        </w:rPr>
        <w:lastRenderedPageBreak/>
        <w:t>Виховні впливи при цьому мають бути комплексними: спрямованими на формування потреб, розвиток свідомості й поведінки, засвоєння знань та навичок, зміцнення сили волі, а також формування морально-етичних почуттів [3].</w:t>
      </w:r>
    </w:p>
    <w:p w14:paraId="0A0EBCE5"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Ресоціалізація є ключовим етапом у житті кожного засудженого — це процес усвідомленого повернення людини до нормального, соціально прийнятного способу життя та її адаптації в суспільстві. Вона передбачає відновлення соціального статусу засудженого як повноцінного члена суспільства й поступове входження в самостійне життя, яке відповідає встановленим нормам і правилам. Цей процес охоплює як зміни у внутрішньому світі особистості, так і трансформацію її свідомості, зокрема формування прагнення до законослухняного способу життя. У цьому важливу роль відіграє психокорекція, яка допомагає усунути внутрішні проблеми та недоліки розвитку особистості. Засуджений має бути готовим до змін — психологічно налаштованим і вмотивованим змінити власне життя. У цьому контексті ресоціалізація за своєю природою нагадує процес первинної соціалізації, що забезпечує функціонування особистості в соціумі [2].</w:t>
      </w:r>
    </w:p>
    <w:p w14:paraId="7271662B"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Отже, діяльність із засудженими спрямована на забезпечення безпеки суспільства від осіб, які скоїли злочини, а також на захист громадян від можливих проявів агресії, насильства, крадіжок чи вбивств з їхнього боку. Це щоденна робота, що супроводжується високим рівнем ризику для життя та здоров’я фахівців, адже передбачає постійний контакт з людьми, які часто мають порушення в морально-етичному вихованні. Така діяльність потребує максимальної психологічної зосередженості, уважності та пильності, а також вдосконалення підходів до ресоціалізації та реадаптації засуджених.</w:t>
      </w:r>
    </w:p>
    <w:p w14:paraId="03697CAE" w14:textId="77777777" w:rsidR="00C1357F" w:rsidRPr="00511005" w:rsidRDefault="00C1357F" w:rsidP="003A292D">
      <w:pPr>
        <w:keepNext/>
        <w:widowControl w:val="0"/>
        <w:spacing w:line="264" w:lineRule="auto"/>
        <w:ind w:firstLine="0"/>
        <w:contextualSpacing/>
        <w:rPr>
          <w:rFonts w:ascii="Arial" w:eastAsia="Calibri" w:hAnsi="Arial" w:cs="Arial"/>
          <w:b/>
          <w:iCs/>
          <w:szCs w:val="28"/>
          <w:lang w:val="uk-UA"/>
        </w:rPr>
      </w:pPr>
    </w:p>
    <w:p w14:paraId="00E0D8D6" w14:textId="1D45213D" w:rsidR="00C1357F" w:rsidRPr="00511005" w:rsidRDefault="007B2628" w:rsidP="007B2628">
      <w:pPr>
        <w:keepNext/>
        <w:widowControl w:val="0"/>
        <w:spacing w:line="264" w:lineRule="auto"/>
        <w:ind w:firstLine="0"/>
        <w:contextualSpacing/>
        <w:jc w:val="center"/>
        <w:rPr>
          <w:rFonts w:ascii="Arial" w:eastAsia="Calibri" w:hAnsi="Arial" w:cs="Arial"/>
          <w:b/>
          <w:iCs/>
          <w:szCs w:val="28"/>
          <w:lang w:val="uk-UA"/>
        </w:rPr>
      </w:pPr>
      <w:r w:rsidRPr="00511005">
        <w:rPr>
          <w:rFonts w:ascii="Arial" w:eastAsia="Calibri" w:hAnsi="Arial" w:cs="Arial"/>
          <w:b/>
          <w:iCs/>
          <w:szCs w:val="28"/>
          <w:lang w:val="uk-UA"/>
        </w:rPr>
        <w:t>Список використаних джерел</w:t>
      </w:r>
    </w:p>
    <w:p w14:paraId="4CEB3101" w14:textId="77777777" w:rsidR="00C1357F" w:rsidRPr="00511005" w:rsidRDefault="00C1357F" w:rsidP="003F6A5D">
      <w:pPr>
        <w:numPr>
          <w:ilvl w:val="0"/>
          <w:numId w:val="57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Кримінально-виконавчий кодекс України: Закон України від 11.07.2003 №1129-VI: станом на 01.01.2025. </w:t>
      </w:r>
      <w:r w:rsidRPr="00511005">
        <w:rPr>
          <w:rFonts w:ascii="Arial" w:eastAsia="Calibri" w:hAnsi="Arial" w:cs="Arial"/>
          <w:bCs/>
          <w:szCs w:val="28"/>
          <w:lang w:val="uk-UA"/>
        </w:rPr>
        <w:t xml:space="preserve">URL: </w:t>
      </w:r>
      <w:hyperlink r:id="rId2098" w:anchor="Text" w:history="1">
        <w:r w:rsidRPr="00511005">
          <w:rPr>
            <w:rFonts w:ascii="Arial" w:eastAsia="Calibri" w:hAnsi="Arial" w:cs="Arial"/>
            <w:bCs/>
            <w:szCs w:val="28"/>
            <w:lang w:val="uk-UA"/>
          </w:rPr>
          <w:t>https://zakon.rada.gov.ua/laws/show/1129-15#Text</w:t>
        </w:r>
      </w:hyperlink>
      <w:r w:rsidRPr="00511005">
        <w:rPr>
          <w:rFonts w:ascii="Arial" w:eastAsia="Calibri" w:hAnsi="Arial" w:cs="Arial"/>
          <w:bCs/>
          <w:szCs w:val="28"/>
          <w:lang w:val="uk-UA"/>
        </w:rPr>
        <w:t>.</w:t>
      </w:r>
    </w:p>
    <w:p w14:paraId="75C3D418" w14:textId="77777777" w:rsidR="00C1357F" w:rsidRPr="00511005" w:rsidRDefault="00C1357F" w:rsidP="003F6A5D">
      <w:pPr>
        <w:numPr>
          <w:ilvl w:val="0"/>
          <w:numId w:val="575"/>
        </w:numPr>
        <w:spacing w:line="264" w:lineRule="auto"/>
        <w:contextualSpacing/>
        <w:jc w:val="left"/>
        <w:rPr>
          <w:rFonts w:ascii="Arial" w:eastAsia="Calibri" w:hAnsi="Arial" w:cs="Arial"/>
          <w:bCs/>
          <w:szCs w:val="28"/>
          <w:lang w:val="uk-UA"/>
        </w:rPr>
      </w:pPr>
      <w:r w:rsidRPr="00511005">
        <w:rPr>
          <w:rFonts w:ascii="Arial" w:eastAsia="Calibri" w:hAnsi="Arial" w:cs="Arial"/>
          <w:szCs w:val="28"/>
          <w:lang w:val="uk-UA"/>
        </w:rPr>
        <w:t>Дільна З.Ф., Устрицька Н.І. Психологічні особливості ресоціалізації засуджених. Порівняльно-аналітичне право. № 1. 2020. С. 433-436.</w:t>
      </w:r>
    </w:p>
    <w:p w14:paraId="74AC9520" w14:textId="77777777" w:rsidR="00C1357F" w:rsidRPr="00511005" w:rsidRDefault="00C1357F" w:rsidP="003F6A5D">
      <w:pPr>
        <w:numPr>
          <w:ilvl w:val="0"/>
          <w:numId w:val="575"/>
        </w:numPr>
        <w:spacing w:line="264" w:lineRule="auto"/>
        <w:contextualSpacing/>
        <w:jc w:val="left"/>
        <w:rPr>
          <w:rFonts w:ascii="Arial" w:eastAsia="Calibri" w:hAnsi="Arial" w:cs="Arial"/>
          <w:bCs/>
          <w:szCs w:val="28"/>
          <w:lang w:val="uk-UA"/>
        </w:rPr>
      </w:pPr>
      <w:r w:rsidRPr="00511005">
        <w:rPr>
          <w:rFonts w:ascii="Arial" w:eastAsia="Calibri" w:hAnsi="Arial" w:cs="Arial"/>
          <w:szCs w:val="28"/>
          <w:lang w:val="uk-UA"/>
        </w:rPr>
        <w:t>Кацавець Р.С. Особливості психологічної реальності осіб та роль пенітенціарної педагогіки у місцях позбавлення волі. Dictum factum. 2019. №2. С. 91-97.</w:t>
      </w:r>
    </w:p>
    <w:p w14:paraId="1BE1E8EF" w14:textId="77777777" w:rsidR="00C1357F" w:rsidRPr="00511005" w:rsidRDefault="00C1357F" w:rsidP="003F6A5D">
      <w:pPr>
        <w:numPr>
          <w:ilvl w:val="0"/>
          <w:numId w:val="575"/>
        </w:numPr>
        <w:spacing w:line="264" w:lineRule="auto"/>
        <w:contextualSpacing/>
        <w:jc w:val="left"/>
        <w:rPr>
          <w:rFonts w:ascii="Arial" w:eastAsia="Calibri" w:hAnsi="Arial" w:cs="Arial"/>
          <w:bCs/>
          <w:szCs w:val="28"/>
          <w:lang w:val="uk-UA"/>
        </w:rPr>
      </w:pPr>
      <w:r w:rsidRPr="00511005">
        <w:rPr>
          <w:rFonts w:ascii="Arial" w:eastAsia="Calibri" w:hAnsi="Arial" w:cs="Arial"/>
          <w:bCs/>
          <w:szCs w:val="28"/>
          <w:lang w:val="uk-UA"/>
        </w:rPr>
        <w:t>Положення про психологічну службу установи виконання покарань: від 17.03.2000 №33. URL:</w:t>
      </w:r>
      <w:r w:rsidRPr="00511005">
        <w:rPr>
          <w:rFonts w:ascii="Arial" w:eastAsia="Calibri" w:hAnsi="Arial" w:cs="Arial"/>
          <w:szCs w:val="28"/>
          <w:lang w:val="uk-UA"/>
        </w:rPr>
        <w:t xml:space="preserve"> </w:t>
      </w:r>
      <w:hyperlink r:id="rId2099" w:anchor="Text" w:history="1">
        <w:r w:rsidRPr="00511005">
          <w:rPr>
            <w:rFonts w:ascii="Arial" w:eastAsia="Calibri" w:hAnsi="Arial" w:cs="Arial"/>
            <w:bCs/>
            <w:szCs w:val="28"/>
            <w:lang w:val="uk-UA"/>
          </w:rPr>
          <w:t>https://zakon.rada.gov.ua/rada/show/v0033325-00#Text</w:t>
        </w:r>
      </w:hyperlink>
      <w:r w:rsidRPr="00511005">
        <w:rPr>
          <w:rFonts w:ascii="Arial" w:eastAsia="Calibri" w:hAnsi="Arial" w:cs="Arial"/>
          <w:bCs/>
          <w:szCs w:val="28"/>
          <w:lang w:val="uk-UA"/>
        </w:rPr>
        <w:t>.</w:t>
      </w:r>
    </w:p>
    <w:p w14:paraId="44B1D97D" w14:textId="77777777" w:rsidR="00C1357F" w:rsidRPr="00511005" w:rsidRDefault="00C1357F" w:rsidP="003A292D">
      <w:pPr>
        <w:spacing w:line="264" w:lineRule="auto"/>
        <w:ind w:firstLine="0"/>
        <w:rPr>
          <w:rFonts w:ascii="Arial" w:eastAsia="Calibri" w:hAnsi="Arial" w:cs="Arial"/>
          <w:b/>
          <w:szCs w:val="28"/>
          <w:lang w:val="uk-UA"/>
        </w:rPr>
      </w:pPr>
    </w:p>
    <w:p w14:paraId="75F160E1" w14:textId="29A62285"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357F" w:rsidRPr="00511005">
        <w:rPr>
          <w:rFonts w:ascii="Arial" w:eastAsia="Calibri" w:hAnsi="Arial" w:cs="Arial"/>
          <w:szCs w:val="28"/>
          <w:lang w:val="uk-UA"/>
        </w:rPr>
        <w:t>психологія, допомога, позбавлення волі, засуджений, ресоціалізація, психологічні розлади.</w:t>
      </w:r>
    </w:p>
    <w:p w14:paraId="481E9B16" w14:textId="59243F4E"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lastRenderedPageBreak/>
        <w:t xml:space="preserve">Key words: </w:t>
      </w:r>
      <w:r w:rsidR="00C1357F" w:rsidRPr="00511005">
        <w:rPr>
          <w:rFonts w:ascii="Arial" w:eastAsia="Calibri" w:hAnsi="Arial" w:cs="Arial"/>
          <w:szCs w:val="28"/>
          <w:lang w:val="uk-UA"/>
        </w:rPr>
        <w:t>psychology, support, imprisonment, prisoner, resocialization, psychological disorders</w:t>
      </w:r>
    </w:p>
    <w:p w14:paraId="593084DD" w14:textId="753B02B1" w:rsidR="00C1357F" w:rsidRPr="00511005" w:rsidRDefault="007B2628" w:rsidP="003A292D">
      <w:pPr>
        <w:spacing w:line="264" w:lineRule="auto"/>
        <w:ind w:firstLine="0"/>
        <w:contextualSpacing/>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C1357F" w:rsidRPr="00511005">
        <w:rPr>
          <w:rFonts w:ascii="Arial" w:eastAsia="Calibri" w:hAnsi="Arial" w:cs="Arial"/>
          <w:i/>
          <w:szCs w:val="28"/>
          <w:lang w:val="uk-UA"/>
        </w:rPr>
        <w:t>асистентка кафедри Лукащук К. Р.</w:t>
      </w:r>
    </w:p>
    <w:p w14:paraId="35660560" w14:textId="77777777" w:rsidR="00C1357F" w:rsidRPr="00511005" w:rsidRDefault="00C1357F" w:rsidP="003A292D">
      <w:pPr>
        <w:spacing w:line="264" w:lineRule="auto"/>
        <w:ind w:firstLine="0"/>
        <w:contextualSpacing/>
        <w:rPr>
          <w:rFonts w:ascii="Arial" w:eastAsia="Calibri" w:hAnsi="Arial" w:cs="Arial"/>
          <w:b/>
          <w:bCs/>
          <w:i/>
          <w:iCs/>
          <w:szCs w:val="28"/>
          <w:lang w:val="uk-UA"/>
        </w:rPr>
      </w:pPr>
    </w:p>
    <w:p w14:paraId="25E90DB7" w14:textId="77777777" w:rsidR="00C1357F" w:rsidRPr="00511005" w:rsidRDefault="00C1357F" w:rsidP="003A292D">
      <w:pPr>
        <w:spacing w:line="264" w:lineRule="auto"/>
        <w:ind w:firstLine="0"/>
        <w:contextualSpacing/>
        <w:jc w:val="center"/>
        <w:rPr>
          <w:rFonts w:ascii="Arial" w:eastAsia="Calibri" w:hAnsi="Arial" w:cs="Arial"/>
          <w:b/>
          <w:bCs/>
          <w:i/>
          <w:iCs/>
          <w:szCs w:val="28"/>
          <w:lang w:val="uk-UA"/>
        </w:rPr>
      </w:pPr>
    </w:p>
    <w:p w14:paraId="78BFF726" w14:textId="77777777" w:rsidR="00C1357F" w:rsidRPr="00511005" w:rsidRDefault="00C1357F" w:rsidP="003A292D">
      <w:pPr>
        <w:spacing w:line="264" w:lineRule="auto"/>
        <w:ind w:firstLine="0"/>
        <w:contextualSpacing/>
        <w:jc w:val="center"/>
        <w:rPr>
          <w:rFonts w:ascii="Arial" w:eastAsia="Calibri" w:hAnsi="Arial" w:cs="Arial"/>
          <w:b/>
          <w:bCs/>
          <w:i/>
          <w:iCs/>
          <w:szCs w:val="28"/>
          <w:lang w:val="uk-UA"/>
        </w:rPr>
      </w:pPr>
      <w:r w:rsidRPr="00511005">
        <w:rPr>
          <w:rFonts w:ascii="Arial" w:eastAsia="Calibri" w:hAnsi="Arial" w:cs="Arial"/>
          <w:b/>
          <w:bCs/>
          <w:i/>
          <w:iCs/>
          <w:szCs w:val="28"/>
          <w:lang w:val="uk-UA"/>
        </w:rPr>
        <w:t>Кравчук Тетяна Валеріївна</w:t>
      </w:r>
    </w:p>
    <w:p w14:paraId="6A92AE61" w14:textId="1FDD7E43"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1838AEF6"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19CC02C"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8467841" w14:textId="77777777" w:rsidR="00C1357F" w:rsidRPr="00511005" w:rsidRDefault="00C1357F" w:rsidP="003A292D">
      <w:pPr>
        <w:spacing w:line="264" w:lineRule="auto"/>
        <w:ind w:firstLine="0"/>
        <w:contextualSpacing/>
        <w:jc w:val="center"/>
        <w:rPr>
          <w:rFonts w:ascii="Arial" w:eastAsia="Calibri" w:hAnsi="Arial" w:cs="Arial"/>
          <w:b/>
          <w:bCs/>
          <w:szCs w:val="28"/>
          <w:lang w:val="uk-UA"/>
        </w:rPr>
      </w:pPr>
    </w:p>
    <w:p w14:paraId="1280020D" w14:textId="77777777" w:rsidR="00C1357F" w:rsidRPr="00511005" w:rsidRDefault="00C1357F" w:rsidP="003A292D">
      <w:pPr>
        <w:spacing w:line="264" w:lineRule="auto"/>
        <w:ind w:firstLine="0"/>
        <w:contextualSpacing/>
        <w:jc w:val="center"/>
        <w:rPr>
          <w:rFonts w:ascii="Arial" w:eastAsia="Calibri" w:hAnsi="Arial" w:cs="Arial"/>
          <w:b/>
          <w:bCs/>
          <w:szCs w:val="28"/>
          <w:lang w:val="uk-UA"/>
        </w:rPr>
      </w:pPr>
      <w:r w:rsidRPr="00511005">
        <w:rPr>
          <w:rFonts w:ascii="Arial" w:eastAsia="Calibri" w:hAnsi="Arial" w:cs="Arial"/>
          <w:b/>
          <w:bCs/>
          <w:szCs w:val="28"/>
          <w:lang w:val="uk-UA"/>
        </w:rPr>
        <w:t>ЗАХИСТ ПРАВ ЗАСУДЖЕНИХ В УКРАЇНІ ТА ПОЛЬЩІ В КОНТЕКСТІ МІЖНАРОДНО-ПРАВОВИХ СТАНДАРТІВ</w:t>
      </w:r>
    </w:p>
    <w:p w14:paraId="53DB552F" w14:textId="77777777" w:rsidR="00C1357F" w:rsidRPr="00511005" w:rsidRDefault="00C1357F"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Належний захист прав засуджених є однією з важливих передумов для вступу України до Європейського Союзу, адже питання реалізації, охорони та гарантування прав людини в місцях позбавлення волі є одним із ключових завдань будь-якої демократичної держави. У прагненні відповідати європейським стандартам Україна ратифікувала Конвенцію про захист прав людини і основоположних свобод, яка, зокрема, передбачає повагу до гідності та забезпечення прав осіб, що відбувають покарання за вчинення кримінальних правопорушень.</w:t>
      </w:r>
    </w:p>
    <w:p w14:paraId="205FC936"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Забезпечення охорони та захисту прав як громадян, так і осіб, засуджених до позбавлення волі в Україні, вимагає ефективного правового регулювання та його реального впровадження в практику, що обумовлює потребу у ґрунтовному науковому вивченні питань захисту прав засуджених. Як показує еволюція дослідження, Україна та Республіка Польща доклали значних зусиль у сфері міжнародного права під час переходу від тоталітарного до демократичного устрою, з метою приведення національного законодавства у відповідність до європейських норм і стандартів ООН у галузі захисту прав і свобод людини та громадянина [4].</w:t>
      </w:r>
    </w:p>
    <w:p w14:paraId="15B6EDFE" w14:textId="77777777" w:rsidR="00C1357F" w:rsidRPr="00511005" w:rsidRDefault="00C1357F" w:rsidP="003A292D">
      <w:pPr>
        <w:spacing w:line="264" w:lineRule="auto"/>
        <w:ind w:firstLine="0"/>
        <w:rPr>
          <w:rFonts w:ascii="Arial" w:eastAsia="Times New Roman" w:hAnsi="Arial" w:cs="Arial"/>
          <w:szCs w:val="28"/>
          <w:lang w:val="uk-UA" w:eastAsia="uk-UA"/>
        </w:rPr>
      </w:pPr>
      <w:r w:rsidRPr="00511005">
        <w:rPr>
          <w:rFonts w:ascii="Arial" w:eastAsia="Calibri" w:hAnsi="Arial" w:cs="Arial"/>
          <w:szCs w:val="28"/>
          <w:lang w:val="uk-UA"/>
        </w:rPr>
        <w:t xml:space="preserve">Шляхом порівняльної характеристики захисту прав засуджених в Україні та в Республіці Польща, дослідження </w:t>
      </w:r>
      <w:r w:rsidRPr="00511005">
        <w:rPr>
          <w:rFonts w:ascii="Arial" w:eastAsia="Times New Roman" w:hAnsi="Arial" w:cs="Arial"/>
          <w:szCs w:val="28"/>
          <w:lang w:val="uk-UA" w:eastAsia="uk-UA"/>
        </w:rPr>
        <w:t xml:space="preserve">нормативно-правової бази захисту прав засуджених на національному та міжнародному рівнях, а також аналізу загальних і основоположних прав осіб, які відбувають покарання, що визначені Конвенцією про захист прав людини і основоположних свобод, Кримінально-виконавчим кодексом України та Кримінальним кодексом Республіки Польща, були виявлені спільні та відмінні риси у підходах до захисту прав осіб, які притягнуті до кримінальної відповідальності, зокрема тих, хто перебуває в місцях позбавлення волі. </w:t>
      </w:r>
    </w:p>
    <w:p w14:paraId="25D4E6CB" w14:textId="77777777" w:rsidR="00C1357F" w:rsidRPr="00511005" w:rsidRDefault="00C1357F"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 сьогоднішній день захист прав засуджених перетворився на складне та багатогранне явище, що має значний вплив на правову та соціальну сферу. Він тісно пов’язаний із процесом нормотворчості, адже порушення прав засуджених, які оскаржуються в судовому порядку, зрештою призводять до </w:t>
      </w:r>
      <w:r w:rsidRPr="00511005">
        <w:rPr>
          <w:rFonts w:ascii="Arial" w:eastAsia="Times New Roman" w:hAnsi="Arial" w:cs="Arial"/>
          <w:szCs w:val="28"/>
          <w:lang w:val="uk-UA" w:eastAsia="uk-UA"/>
        </w:rPr>
        <w:lastRenderedPageBreak/>
        <w:t>необхідності перегляду чинного законодавства та прийняття нових нормативно-правових актів. Ці нововведення формують нові правила поводження із засудженими та гарантують дотримання їхніх прав.</w:t>
      </w:r>
    </w:p>
    <w:p w14:paraId="73A6B217" w14:textId="77777777" w:rsidR="00C1357F" w:rsidRPr="00511005" w:rsidRDefault="00C1357F" w:rsidP="003A292D">
      <w:pPr>
        <w:spacing w:line="264" w:lineRule="auto"/>
        <w:ind w:firstLine="0"/>
        <w:rPr>
          <w:rFonts w:ascii="Arial" w:eastAsia="Times New Roman" w:hAnsi="Arial" w:cs="Arial"/>
          <w:szCs w:val="28"/>
          <w:lang w:val="uk-UA" w:eastAsia="uk-UA"/>
        </w:rPr>
      </w:pPr>
      <w:r w:rsidRPr="00511005">
        <w:rPr>
          <w:rFonts w:ascii="Arial" w:eastAsia="Times New Roman" w:hAnsi="Arial" w:cs="Arial"/>
          <w:szCs w:val="28"/>
          <w:lang w:val="uk-UA" w:eastAsia="uk-UA"/>
        </w:rPr>
        <w:t>Окрім того, питання захисту прав засуджених суттєво впливає на формування й розвиток як національної, так і міжнародної судової практики. Саме при розгляді справ щодо порушень прав засуджених виникає найбільше правових дилем, які стосуються як загального правового статусу людини та громадянина, так і специфіки статусу засудженого. З одного боку, це свідчить про зростання актуальності таких справ і збільшення їх питомої ваги в загальному обсязі судових проваджень, а з іншого — вказує на недосконалість національного законодавства, оскільки засуджені досі не розглядаються як повноцінні суб’єкти правовідносин, а скоріше як особи, виключені з правового поля.</w:t>
      </w:r>
    </w:p>
    <w:p w14:paraId="5D0B0CF9"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Правовий статус засуджених являє собою складне соціально-правове явище, що охоплює сукупність прав та обов’язків засудженого, визначених різними галузями українського законодавства, під час виконання та відбування кримінального покарання. У зв’язку з цим доцільно здійснити аналіз правового статусу засуджених в Україні та Республіці Польща, яка є найближчим європейським сусідом нашої держави [3].</w:t>
      </w:r>
    </w:p>
    <w:p w14:paraId="0BFD8699"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Порівняльний аналіз охоплює ключові напрямки діяльності української та польської (європейської) пенітенціарних систем щодо забезпечення прав осіб, які відбувають покарання, зокрема:</w:t>
      </w:r>
    </w:p>
    <w:p w14:paraId="182162C4"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встановлення мінімальних стандартів для всіх аспектів управління пенітенціарними установами, що мають важливе значення для створення гуманних умов тримання та належного поводження з ув’язненими у сучасних прогресивних системах;</w:t>
      </w:r>
    </w:p>
    <w:p w14:paraId="53D6C21C"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заохочення адміністрації в’язниць до розвитку політики, стилю та практики управління на основі сучасних принципів забезпечення справедливості;</w:t>
      </w:r>
    </w:p>
    <w:p w14:paraId="70E17BE5"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запровадження основних об’єктивних критеріїв, які дають змогу адміністраціям в’язниць та інспекторам оцінювати поточний стан справ і рівень наближення до вищих стандартів.</w:t>
      </w:r>
    </w:p>
    <w:p w14:paraId="155AE439"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Стаття 8 Кримінально-виконавчого кодексу України, передбачає широкий спектр прав засуджених осіб [1]. Варто зазначити, що право осіб, які відбувають покарання, не може існувати ізольовано — його ефективна реалізація залежить від наявності дієвих механізмів та засобів забезпечення. Саме ці засоби (правові, організаційні, інституційні) створюють умови для втілення прав у практику. Якщо таких інструментів немає, право залишається декларативним, а законодавець фактично демонструє відсутність зацікавленості у розвитку відповідних правовідносин. </w:t>
      </w:r>
    </w:p>
    <w:p w14:paraId="5AF22510"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lastRenderedPageBreak/>
        <w:t>У цьому контексті важливо звернути увагу на досвід Польщі, яка у 2015 році провела реформу кримінально-виконавчого законодавства, орієнтуючись на міжнародні стандарти. Основні зміни:</w:t>
      </w:r>
    </w:p>
    <w:p w14:paraId="1684C629"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Електронний нагляд:</w:t>
      </w:r>
    </w:p>
    <w:p w14:paraId="7EB2C338" w14:textId="5E2E1446"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впроваджено три форми нагляду — стаціонарний (перебування у визначених судом місцях у конкретні дні), мобільний (контроль місцезнаходження незалежно від проживання), та нагляд близькості (обмеження наближення до певної особи).</w:t>
      </w:r>
    </w:p>
    <w:p w14:paraId="2AF8419E"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Розширення прав на побачення:</w:t>
      </w:r>
    </w:p>
    <w:p w14:paraId="10FA110F"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якщо раніше дозволялися побачення не більше ніж з двома повнолітніми, то після реформи — за згодою адміністрації — дозволено зустрічі з більшою кількістю осіб [5].</w:t>
      </w:r>
    </w:p>
    <w:p w14:paraId="646D2AF0"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Право на телефонне спілкування:</w:t>
      </w:r>
    </w:p>
    <w:p w14:paraId="4B1525C2"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засудженим дозволено спілкуватися телефоном з адвокатом, а також здійснювати дзвінки за рахунок співрозмовника. Це скасувало попередню заборону на телефонний зв’язок.</w:t>
      </w:r>
    </w:p>
    <w:p w14:paraId="055664E3"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Харчування:</w:t>
      </w:r>
    </w:p>
    <w:p w14:paraId="5E691109"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адміністрація установ зобов’язана забезпечувати триразове якісне та поживне харчування з урахуванням віку, релігії, культури та умов праці засуджених.</w:t>
      </w:r>
    </w:p>
    <w:p w14:paraId="7FBF656D"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Медичне забезпечення після звільнення:</w:t>
      </w:r>
    </w:p>
    <w:p w14:paraId="6CA2FAA9"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особам надаються результати обстежень для подальшого лікування вже після звільнення.</w:t>
      </w:r>
    </w:p>
    <w:p w14:paraId="43770D2C"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Посилки:</w:t>
      </w:r>
    </w:p>
    <w:p w14:paraId="49411A7D" w14:textId="4E7E5FF1"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частоту отримання посилок збільшено з одного разу на квартал до одного разу на місяць (вага продуктів — до 6 кг), але через адміністрацію установи [2].</w:t>
      </w:r>
    </w:p>
    <w:p w14:paraId="61A20E84"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Усі ці кроки свідчать про те, що Польща привела свої норми у відповідність до Мінімальних стандартних правил поводження з в’язнями (Правил Мандели), які передбачають:</w:t>
      </w:r>
    </w:p>
    <w:p w14:paraId="2113C761" w14:textId="77777777" w:rsidR="00C1357F" w:rsidRPr="00511005" w:rsidRDefault="00C1357F" w:rsidP="003F6A5D">
      <w:pPr>
        <w:numPr>
          <w:ilvl w:val="0"/>
          <w:numId w:val="566"/>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індивідуальні програми ресоціалізації,</w:t>
      </w:r>
    </w:p>
    <w:p w14:paraId="0ED49D85" w14:textId="77777777" w:rsidR="00C1357F" w:rsidRPr="00511005" w:rsidRDefault="00C1357F" w:rsidP="003F6A5D">
      <w:pPr>
        <w:numPr>
          <w:ilvl w:val="0"/>
          <w:numId w:val="566"/>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підтримку соціальних зв’язків,</w:t>
      </w:r>
    </w:p>
    <w:p w14:paraId="0DABC386" w14:textId="77777777" w:rsidR="00C1357F" w:rsidRPr="00511005" w:rsidRDefault="00C1357F" w:rsidP="003F6A5D">
      <w:pPr>
        <w:numPr>
          <w:ilvl w:val="0"/>
          <w:numId w:val="566"/>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забезпечення гідних умов утримання,</w:t>
      </w:r>
    </w:p>
    <w:p w14:paraId="117894BE" w14:textId="77777777" w:rsidR="00C1357F" w:rsidRPr="00511005" w:rsidRDefault="00C1357F" w:rsidP="003F6A5D">
      <w:pPr>
        <w:numPr>
          <w:ilvl w:val="0"/>
          <w:numId w:val="566"/>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захист від зловживань з боку адміністрації.</w:t>
      </w:r>
    </w:p>
    <w:p w14:paraId="59EF052E"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Так само і Україна декларує дотримання прав людини як пріоритет, закріплений у міжнародних актах — Загальній декларації прав людини, Міжнародному пакті про громадянські і політичні права, Конвенції про захист прав людини і основоположних свобод [6].</w:t>
      </w:r>
    </w:p>
    <w:p w14:paraId="41A68C7A"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Особливо актуальним це стало після початку повномасштабної війни в Україні у лютому 2022 року. Через загрозу для установ позбавлення волі, що розташовані поблизу бойових дій або на окупованих територіях, уряд </w:t>
      </w:r>
      <w:r w:rsidRPr="00511005">
        <w:rPr>
          <w:rFonts w:ascii="Arial" w:eastAsia="Calibri" w:hAnsi="Arial" w:cs="Arial"/>
          <w:szCs w:val="28"/>
          <w:lang w:val="uk-UA"/>
        </w:rPr>
        <w:lastRenderedPageBreak/>
        <w:t>України затвердив Тимчасовий порядок тримання засуджених, яким передбачено:</w:t>
      </w:r>
    </w:p>
    <w:p w14:paraId="2D680B33" w14:textId="77777777" w:rsidR="00C1357F" w:rsidRPr="00511005" w:rsidRDefault="00C1357F" w:rsidP="003F6A5D">
      <w:pPr>
        <w:numPr>
          <w:ilvl w:val="0"/>
          <w:numId w:val="567"/>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евакуацію до безпечніших установ,</w:t>
      </w:r>
    </w:p>
    <w:p w14:paraId="0B826611" w14:textId="77777777" w:rsidR="00C1357F" w:rsidRPr="00511005" w:rsidRDefault="00C1357F" w:rsidP="003F6A5D">
      <w:pPr>
        <w:numPr>
          <w:ilvl w:val="0"/>
          <w:numId w:val="567"/>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переведення між виправними центрами,</w:t>
      </w:r>
    </w:p>
    <w:p w14:paraId="2492590B" w14:textId="77777777" w:rsidR="00C1357F" w:rsidRPr="00511005" w:rsidRDefault="00C1357F" w:rsidP="003F6A5D">
      <w:pPr>
        <w:numPr>
          <w:ilvl w:val="0"/>
          <w:numId w:val="567"/>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обов’язкове повідомлення родичів про зміну місця тримання.</w:t>
      </w:r>
    </w:p>
    <w:p w14:paraId="1D6EBDAF"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Це демонструє, що навіть в умовах війни держава намагається дотримуватися міжнародних стандартів щодо прав засуджених.</w:t>
      </w:r>
      <w:r w:rsidRPr="00511005">
        <w:rPr>
          <w:rFonts w:ascii="Arial" w:eastAsia="Calibri" w:hAnsi="Arial" w:cs="Arial"/>
          <w:szCs w:val="28"/>
          <w:lang w:val="uk-UA"/>
        </w:rPr>
        <w:tab/>
      </w:r>
    </w:p>
    <w:p w14:paraId="3C6FAF60"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Досвід України та Польщі підтверджує, що обидві держави визнають важливість забезпечення прав засуджених та інтегрують у своє законодавство міжнародні стандарти. Особливо цінним є підхід через призму </w:t>
      </w:r>
      <w:r w:rsidRPr="00511005">
        <w:rPr>
          <w:rFonts w:ascii="Arial" w:eastAsia="Calibri" w:hAnsi="Arial" w:cs="Arial"/>
          <w:bCs/>
          <w:szCs w:val="28"/>
          <w:lang w:val="uk-UA"/>
        </w:rPr>
        <w:t>правового статусу засудженого</w:t>
      </w:r>
      <w:r w:rsidRPr="00511005">
        <w:rPr>
          <w:rFonts w:ascii="Arial" w:eastAsia="Calibri" w:hAnsi="Arial" w:cs="Arial"/>
          <w:szCs w:val="28"/>
          <w:lang w:val="uk-UA"/>
        </w:rPr>
        <w:t>, який дозволяє аналізувати глибину впровадження правових гарантій у національну систему. В умовах війни це набуває особливої ваги, адже дотримання прав людини є ознакою зрілої правової держави.</w:t>
      </w:r>
    </w:p>
    <w:p w14:paraId="23A7D6AF" w14:textId="77777777" w:rsidR="00C1357F" w:rsidRPr="00511005" w:rsidRDefault="00C1357F" w:rsidP="003A292D">
      <w:pPr>
        <w:spacing w:line="264" w:lineRule="auto"/>
        <w:ind w:firstLine="0"/>
        <w:contextualSpacing/>
        <w:rPr>
          <w:rFonts w:ascii="Arial" w:eastAsia="Calibri" w:hAnsi="Arial" w:cs="Arial"/>
          <w:b/>
          <w:bCs/>
          <w:szCs w:val="28"/>
          <w:lang w:val="uk-UA"/>
        </w:rPr>
      </w:pPr>
    </w:p>
    <w:p w14:paraId="78E3C51F" w14:textId="53184918" w:rsidR="00C1357F" w:rsidRPr="00511005" w:rsidRDefault="007B2628" w:rsidP="007B2628">
      <w:pPr>
        <w:spacing w:line="264" w:lineRule="auto"/>
        <w:ind w:firstLine="0"/>
        <w:contextualSpacing/>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50E3663" w14:textId="77777777" w:rsidR="00C1357F" w:rsidRPr="00511005" w:rsidRDefault="00C1357F" w:rsidP="003F6A5D">
      <w:pPr>
        <w:numPr>
          <w:ilvl w:val="0"/>
          <w:numId w:val="56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Кримінально-виконавчий кодекс України. Закон України від 11.07.2003 р. № 1129-IV: станом на 01.01.2025. URL: </w:t>
      </w:r>
      <w:hyperlink r:id="rId2100" w:anchor="Text" w:history="1">
        <w:r w:rsidRPr="00511005">
          <w:rPr>
            <w:rFonts w:ascii="Arial" w:eastAsia="Calibri" w:hAnsi="Arial" w:cs="Arial"/>
            <w:szCs w:val="28"/>
            <w:lang w:val="uk-UA"/>
          </w:rPr>
          <w:t>https://zakon.rada.gov.ua/laws/show/1129-15</w:t>
        </w:r>
      </w:hyperlink>
      <w:r w:rsidRPr="00511005">
        <w:rPr>
          <w:rFonts w:ascii="Arial" w:eastAsia="Calibri" w:hAnsi="Arial" w:cs="Arial"/>
          <w:szCs w:val="28"/>
          <w:lang w:val="uk-UA"/>
        </w:rPr>
        <w:t>.</w:t>
      </w:r>
    </w:p>
    <w:p w14:paraId="1D49652F" w14:textId="77777777" w:rsidR="00C1357F" w:rsidRPr="00511005" w:rsidRDefault="00C1357F" w:rsidP="003F6A5D">
      <w:pPr>
        <w:numPr>
          <w:ilvl w:val="0"/>
          <w:numId w:val="56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Szlęzak-Kawa E. Godzina wyznaczy początek: rozmowa z płk. Romanem Wiśniewskim, dyrektorem Biura Informacji i Statystyki w CZSW // Forum Penitencjarne. 2025. Nr 5. S. 12–13.</w:t>
      </w:r>
    </w:p>
    <w:p w14:paraId="23BB8129" w14:textId="77777777" w:rsidR="00C1357F" w:rsidRPr="00511005" w:rsidRDefault="00C1357F" w:rsidP="003F6A5D">
      <w:pPr>
        <w:numPr>
          <w:ilvl w:val="0"/>
          <w:numId w:val="56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Денисов С. Ф., Заїка Д. Є. Міжнародно-правові стандарти щодо виправлення та ресоціалізації засуджених : вісник пенітенціарної асоціації України. 2021. № 1(15). С. 49–66.</w:t>
      </w:r>
    </w:p>
    <w:p w14:paraId="6B56C780" w14:textId="77777777" w:rsidR="00C1357F" w:rsidRPr="00511005" w:rsidRDefault="00C1357F" w:rsidP="003F6A5D">
      <w:pPr>
        <w:numPr>
          <w:ilvl w:val="0"/>
          <w:numId w:val="56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Журавська З. В. Міжнародні стандарти щодо права засуджених на особисту безпеку : юридичний науковий електронний журнал. 2017. № 3. С. 133–136. URL: </w:t>
      </w:r>
      <w:hyperlink r:id="rId2101" w:history="1">
        <w:r w:rsidRPr="00511005">
          <w:rPr>
            <w:rFonts w:ascii="Arial" w:eastAsia="Calibri" w:hAnsi="Arial" w:cs="Arial"/>
            <w:szCs w:val="28"/>
            <w:lang w:val="uk-UA"/>
          </w:rPr>
          <w:t>http://lsej.org.ua/3_2017/40.pdf</w:t>
        </w:r>
      </w:hyperlink>
      <w:r w:rsidRPr="00511005">
        <w:rPr>
          <w:rFonts w:ascii="Arial" w:eastAsia="Calibri" w:hAnsi="Arial" w:cs="Arial"/>
          <w:szCs w:val="28"/>
          <w:lang w:val="uk-UA"/>
        </w:rPr>
        <w:t>.</w:t>
      </w:r>
    </w:p>
    <w:p w14:paraId="7B306FE2" w14:textId="77777777" w:rsidR="00C1357F" w:rsidRPr="00511005" w:rsidRDefault="00C1357F" w:rsidP="003F6A5D">
      <w:pPr>
        <w:numPr>
          <w:ilvl w:val="0"/>
          <w:numId w:val="56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Колос А. С. Правовий статус засуджених у національному кримінально-виконавчому законодавстві. Право та державне управління. 2019. № 4. С. 106–109. DOI: </w:t>
      </w:r>
      <w:hyperlink r:id="rId2102" w:history="1">
        <w:r w:rsidRPr="00511005">
          <w:rPr>
            <w:rFonts w:ascii="Arial" w:eastAsia="Calibri" w:hAnsi="Arial" w:cs="Arial"/>
            <w:szCs w:val="28"/>
            <w:lang w:val="uk-UA"/>
          </w:rPr>
          <w:t>https://doi.org/10.32840/pdu.2019.4.16</w:t>
        </w:r>
      </w:hyperlink>
      <w:r w:rsidRPr="00511005">
        <w:rPr>
          <w:rFonts w:ascii="Arial" w:eastAsia="Calibri" w:hAnsi="Arial" w:cs="Arial"/>
          <w:szCs w:val="28"/>
          <w:lang w:val="uk-UA"/>
        </w:rPr>
        <w:t xml:space="preserve">. </w:t>
      </w:r>
    </w:p>
    <w:p w14:paraId="0C413102" w14:textId="77777777" w:rsidR="00C1357F" w:rsidRPr="00511005" w:rsidRDefault="00C1357F" w:rsidP="003F6A5D">
      <w:pPr>
        <w:numPr>
          <w:ilvl w:val="0"/>
          <w:numId w:val="568"/>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Мінімальні стандартні правила поводження з в’язнями (Правила ООН, 1955 р.). URL: </w:t>
      </w:r>
      <w:hyperlink r:id="rId2103" w:anchor="Text" w:history="1">
        <w:r w:rsidRPr="00511005">
          <w:rPr>
            <w:rFonts w:ascii="Arial" w:eastAsia="Calibri" w:hAnsi="Arial" w:cs="Arial"/>
            <w:szCs w:val="28"/>
            <w:lang w:val="uk-UA"/>
          </w:rPr>
          <w:t>https://zakon.rada.gov.ua/laws/show/995_212</w:t>
        </w:r>
      </w:hyperlink>
      <w:r w:rsidRPr="00511005">
        <w:rPr>
          <w:rFonts w:ascii="Arial" w:eastAsia="Calibri" w:hAnsi="Arial" w:cs="Arial"/>
          <w:szCs w:val="28"/>
          <w:lang w:val="uk-UA"/>
        </w:rPr>
        <w:t>.</w:t>
      </w:r>
    </w:p>
    <w:p w14:paraId="3C01CF9A" w14:textId="77777777" w:rsidR="00C1357F" w:rsidRPr="00511005" w:rsidRDefault="00C1357F" w:rsidP="003A292D">
      <w:pPr>
        <w:spacing w:line="264" w:lineRule="auto"/>
        <w:ind w:firstLine="0"/>
        <w:contextualSpacing/>
        <w:rPr>
          <w:rFonts w:ascii="Arial" w:eastAsia="Calibri" w:hAnsi="Arial" w:cs="Arial"/>
          <w:b/>
          <w:bCs/>
          <w:szCs w:val="28"/>
          <w:lang w:val="uk-UA"/>
        </w:rPr>
      </w:pPr>
    </w:p>
    <w:p w14:paraId="2C86116D" w14:textId="0C78473B" w:rsidR="00C1357F" w:rsidRPr="00511005" w:rsidRDefault="007B2628" w:rsidP="003A292D">
      <w:pPr>
        <w:spacing w:line="264" w:lineRule="auto"/>
        <w:ind w:firstLine="0"/>
        <w:contextualSpacing/>
        <w:rPr>
          <w:rFonts w:ascii="Arial" w:eastAsia="Calibri" w:hAnsi="Arial" w:cs="Arial"/>
          <w:b/>
          <w:bCs/>
          <w:szCs w:val="28"/>
          <w:lang w:val="uk-UA"/>
        </w:rPr>
      </w:pPr>
      <w:r w:rsidRPr="00511005">
        <w:rPr>
          <w:rFonts w:ascii="Arial" w:eastAsia="Calibri" w:hAnsi="Arial" w:cs="Arial"/>
          <w:b/>
          <w:bCs/>
          <w:i/>
          <w:szCs w:val="28"/>
          <w:lang w:val="uk-UA"/>
        </w:rPr>
        <w:t xml:space="preserve">Ключові слова: </w:t>
      </w:r>
      <w:r w:rsidR="00C1357F" w:rsidRPr="00511005">
        <w:rPr>
          <w:rFonts w:ascii="Arial" w:eastAsia="Calibri" w:hAnsi="Arial" w:cs="Arial"/>
          <w:szCs w:val="28"/>
          <w:lang w:val="uk-UA"/>
        </w:rPr>
        <w:t>правовий статус, права людини, захист, засуджені, пенітенціарна система, міжнародні стандарти, реформа.</w:t>
      </w:r>
    </w:p>
    <w:p w14:paraId="2E574B34" w14:textId="5A9A1030" w:rsidR="00C1357F"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bCs/>
          <w:i/>
          <w:szCs w:val="28"/>
          <w:lang w:val="uk-UA"/>
        </w:rPr>
        <w:t xml:space="preserve">Key words: </w:t>
      </w:r>
      <w:r w:rsidR="00C1357F" w:rsidRPr="00511005">
        <w:rPr>
          <w:rFonts w:ascii="Arial" w:eastAsia="Calibri" w:hAnsi="Arial" w:cs="Arial"/>
          <w:szCs w:val="28"/>
          <w:lang w:val="uk-UA"/>
        </w:rPr>
        <w:t>legal status, human rights, protection, convicts, penitentiary system, international standards, reform.</w:t>
      </w:r>
    </w:p>
    <w:p w14:paraId="65ECE41A" w14:textId="73E3297F" w:rsidR="00C1357F" w:rsidRPr="00511005" w:rsidRDefault="007B2628" w:rsidP="003A292D">
      <w:pPr>
        <w:spacing w:line="264" w:lineRule="auto"/>
        <w:ind w:firstLine="0"/>
        <w:contextualSpacing/>
        <w:rPr>
          <w:rFonts w:ascii="Arial" w:eastAsia="Calibri" w:hAnsi="Arial" w:cs="Arial"/>
          <w:b/>
          <w:bCs/>
          <w:i/>
          <w:szCs w:val="28"/>
          <w:lang w:val="uk-UA"/>
        </w:rPr>
      </w:pPr>
      <w:r w:rsidRPr="00511005">
        <w:rPr>
          <w:rFonts w:ascii="Arial" w:eastAsia="Calibri" w:hAnsi="Arial" w:cs="Arial"/>
          <w:b/>
          <w:i/>
          <w:szCs w:val="28"/>
          <w:lang w:val="uk-UA"/>
        </w:rPr>
        <w:t xml:space="preserve">Науковий керівник: </w:t>
      </w:r>
      <w:r w:rsidR="00C1357F" w:rsidRPr="00511005">
        <w:rPr>
          <w:rFonts w:ascii="Arial" w:eastAsia="Calibri" w:hAnsi="Arial" w:cs="Arial"/>
          <w:i/>
          <w:szCs w:val="28"/>
          <w:lang w:val="uk-UA"/>
        </w:rPr>
        <w:t>асистентка кафедри Лукащук К.Р.</w:t>
      </w:r>
    </w:p>
    <w:p w14:paraId="4BF7ADF5" w14:textId="77777777" w:rsidR="00C1357F" w:rsidRPr="00511005" w:rsidRDefault="00C1357F" w:rsidP="003A292D">
      <w:pPr>
        <w:spacing w:line="264" w:lineRule="auto"/>
        <w:ind w:firstLine="0"/>
        <w:contextualSpacing/>
        <w:rPr>
          <w:rFonts w:ascii="Arial" w:eastAsia="Times New Roman" w:hAnsi="Arial" w:cs="Arial"/>
          <w:b/>
          <w:i/>
          <w:szCs w:val="28"/>
          <w:lang w:val="uk-UA"/>
        </w:rPr>
      </w:pPr>
    </w:p>
    <w:p w14:paraId="77D97B26" w14:textId="77777777" w:rsidR="00C1357F" w:rsidRPr="00511005" w:rsidRDefault="00C1357F" w:rsidP="003A292D">
      <w:pPr>
        <w:spacing w:line="264" w:lineRule="auto"/>
        <w:ind w:firstLine="0"/>
        <w:contextualSpacing/>
        <w:rPr>
          <w:rFonts w:ascii="Arial" w:eastAsia="Times New Roman" w:hAnsi="Arial" w:cs="Arial"/>
          <w:b/>
          <w:i/>
          <w:szCs w:val="28"/>
          <w:lang w:val="uk-UA"/>
        </w:rPr>
      </w:pPr>
    </w:p>
    <w:p w14:paraId="6D565744" w14:textId="77777777" w:rsidR="00C1357F" w:rsidRPr="00511005" w:rsidRDefault="00C1357F" w:rsidP="003A292D">
      <w:pPr>
        <w:spacing w:line="264" w:lineRule="auto"/>
        <w:ind w:firstLine="0"/>
        <w:contextualSpacing/>
        <w:jc w:val="center"/>
        <w:rPr>
          <w:rFonts w:ascii="Arial" w:eastAsia="Times New Roman" w:hAnsi="Arial" w:cs="Arial"/>
          <w:b/>
          <w:i/>
          <w:szCs w:val="28"/>
          <w:lang w:val="uk-UA"/>
        </w:rPr>
      </w:pPr>
      <w:r w:rsidRPr="00511005">
        <w:rPr>
          <w:rFonts w:ascii="Arial" w:eastAsia="Times New Roman" w:hAnsi="Arial" w:cs="Arial"/>
          <w:b/>
          <w:i/>
          <w:szCs w:val="28"/>
          <w:lang w:val="uk-UA"/>
        </w:rPr>
        <w:lastRenderedPageBreak/>
        <w:t>Кремлівська Анна Андріївна</w:t>
      </w:r>
    </w:p>
    <w:p w14:paraId="058549A8" w14:textId="6480E003"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65675432"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815FBC6"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2D5400B" w14:textId="77777777" w:rsidR="00C1357F" w:rsidRPr="00511005" w:rsidRDefault="00C1357F" w:rsidP="003A292D">
      <w:pPr>
        <w:spacing w:line="264" w:lineRule="auto"/>
        <w:ind w:firstLine="0"/>
        <w:jc w:val="center"/>
        <w:rPr>
          <w:rFonts w:ascii="Arial" w:eastAsia="Times New Roman" w:hAnsi="Arial" w:cs="Arial"/>
          <w:b/>
          <w:szCs w:val="28"/>
          <w:lang w:val="uk-UA"/>
        </w:rPr>
      </w:pPr>
    </w:p>
    <w:p w14:paraId="0A06AB75" w14:textId="77777777" w:rsidR="00C1357F" w:rsidRPr="00511005" w:rsidRDefault="00C1357F"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b/>
          <w:szCs w:val="28"/>
          <w:lang w:val="uk-UA"/>
        </w:rPr>
        <w:t>ЗАБЕЗПЕЧЕННЯ МЕДИЧНИХ ПОСЛУГ У МІСЦЯХ ПОЗБАВЛЕННЯ ВОЛІ: СУЧАСНИЙ СТАН ТА ПЕРСПЕКТИВИ РОЗВИТКУ</w:t>
      </w:r>
    </w:p>
    <w:p w14:paraId="3CEC6997"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Забезпечення права на охорону здоров’я осіб, позбавлених волі, є важливим аспектом дотримання прав людини. В Україні ця сфера стикається з рядом системних проблем, попри зусилля щодо реформування пенітенціарної системи та гармонізації її з європейськими стандартами.</w:t>
      </w:r>
    </w:p>
    <w:p w14:paraId="549BA7A3"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Відповідно до статті 116 Кримінально-виконавчого кодексу України, лікувально-профілактична та санітарно-протиепідемічна робота в установах виконання покарань організовується згідно із законодавством про охорону здоров’я. Адміністрація колоній зобов’язана виконувати необхідні медичні вимоги для забезпечення охорони здоров’я засуджених [1]. Незважаючи на існування чітко сформульованих у законодавстві норм щодо медичного забезпечення осіб, які перебувають у місцях несвободи, реальний стан справ свідчить про глибоку кризу у цій сфері. Проведений аналіз показує, що медична допомога в установах виконання покарань є недостатньою як за якістю, так і за обсягом. У системі гостро не вистачає матеріальних і технічних ресурсів, медикаментів та кваліфікованих медичних працівників.</w:t>
      </w:r>
    </w:p>
    <w:p w14:paraId="4BA01FDC" w14:textId="1032D143" w:rsidR="00E064E1" w:rsidRPr="00511005" w:rsidRDefault="00E064E1" w:rsidP="003A292D">
      <w:pPr>
        <w:spacing w:line="264" w:lineRule="auto"/>
        <w:ind w:firstLine="0"/>
        <w:rPr>
          <w:rFonts w:ascii="Arial" w:eastAsia="Times New Roman" w:hAnsi="Arial" w:cs="Arial"/>
          <w:szCs w:val="28"/>
          <w:lang w:val="uk-UA"/>
        </w:rPr>
      </w:pPr>
      <w:bookmarkStart w:id="262" w:name="_1fk6t91n1vi0" w:colFirst="0" w:colLast="0"/>
      <w:bookmarkEnd w:id="262"/>
      <w:r w:rsidRPr="00511005">
        <w:rPr>
          <w:rFonts w:ascii="Arial" w:eastAsia="Times New Roman" w:hAnsi="Arial" w:cs="Arial"/>
          <w:szCs w:val="28"/>
          <w:lang w:val="uk-UA" w:eastAsia="ru-RU"/>
        </w:rPr>
        <w:t>Відповідно до Правил внутрішнього розпорядку установ виконання покарань, в місцях позбавлення волі здійснюються: клінічне обстеження та нагляд за засудженими з метою оцінки стану здоров’я, при виявленні хвороб - надання медичної допомоги та встановлення працездатності; амбулаторне, стаціонарне і спеціалізоване лікування. Під час</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прибуття до установи виконання покарань, всі особи підлягають обов'язковому медичному обстеженню. Результати обстеження, які містять дані про психічний та соматичний стан, лабораторні аналізи, реєструються в медичних картах засуджених. Також передбачає, що якщо медичні послуги не можуть бути надані в межах установи виконання покарань, засуджені можуть бути направлені до цивільних лікарень [3].</w:t>
      </w:r>
    </w:p>
    <w:p w14:paraId="71E1320A" w14:textId="48284306"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Важливо, що засуджені мають право звертатися за медичною допомогою до закладів, що надають послуги на платній основі. Такі звернення повинні відбуватися у межах колонії, під наглядом медичного персоналу, а фінансування здійснюється коштом самого ув’язненого або його близьких. Проте під час проведення опитування було зафіксували те, що навіть маючи формальне право на звернення до платних медичних структур, більшість засуджених не можуть реалізувати його через відсутність фінансових можливостей [5, с.288].</w:t>
      </w:r>
    </w:p>
    <w:p w14:paraId="67499FA5" w14:textId="7C3476AA"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Як передбачено наказом Міністерства юстиції України та Міністерства охорони здоров’я України Про затвердження Порядку організації надання медичної допомоги засудженим до позбавлення волі, медичний працівник, який виявив тілесні ушкодження у засудженого, зобов'язаний невідкладно, але не пізніше ніж через 24 години з моменту виявлення, повідомити про це прокурора та адміністрацію установи виконання покарань за допомогою телефону, електронної пошти або письмового повідомлення. Якщо засуджений заявляє, що тілесні ушкодження йому заподіяли працівники рядового або начальницького складу Державної кримінально-виконавчої служби України або представники інших правоохоронних органів, медичний працівник також інформує Державне бюро розслідувань [2].</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Але, при опитуванні засуджених, у деяких випадках медичні працівники в установах виконання покарань не повідомляють належним чином про виявлені тілесні ушкодження. Це може бути спричинене не тільки недбалим ставленням до своїх обов'язків, а й тиском з боку адміністрації установи, яка може намагатися приховати факти насильства або неналежного поводження з засудженими, що вважається грубим порушенням законодавства.</w:t>
      </w:r>
    </w:p>
    <w:p w14:paraId="0E7E5A15"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Однією з головних проблем на даний час є обмежені фінансові ресурси, що виділяються на медичне обслуговування в пенітенціарних установах, а також відсутність належного оснащення для проведення якісних діагностичних процедур або для надання спеціалізованої допомоги. Брак коштів призводить до недостатнього забезпечення медичним обладнанням, ліками, витратними матеріалами, а також до дефіциту кваліфікованих медичних працівників. Також варто зазначити, що система пенітенціарних установ не завжди забезпечує належну психологічну допомогу, а психіатрична допомога часто є недостатньо доступною. Це може спричиняти погіршення психологічного стану ув’язнених, що впливає на їх здоров’я і поведінку.</w:t>
      </w:r>
    </w:p>
    <w:p w14:paraId="205282A4"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Почанська О.С. пропонує, що для подолання існуючих як на законодавчому, так і на структурно-організаційному рівні проблем, пов’язаних із регулюванням та забезпеченням права засуджених на охорону здоров’я, потрібно удосконалення кадрового, фінансового та матеріально-технічного забезпечення системи охорони здоров’я Державної кримінально-виконавчої служби. Окрім того, вона акцентує увагу на поліпшенні умов утримання осіб, позбавлених волі, зокрема через створення в установах виконання покарань Центру охорони здоров’я Державної кримінально-виконавчої служби. Це є необхідною умовою для проведення реформи медичної служби пенітенціарних установ та забезпечення незалежності лікарів від керівництва установи, що, у свою чергу, сприятиме неупередженому встановленню діагнозів і високоякісному наданню медичних послуг засудженим в Україні, з чим неможливо не погодитися [4, с. 16-17]. </w:t>
      </w:r>
    </w:p>
    <w:p w14:paraId="186A8B19"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lastRenderedPageBreak/>
        <w:t>Отже, існуючі проблеми, такі як недостатнє фінансування, брак кваліфікованого медичного персоналу, відсутність необхідного медичного обладнання та ресурсів, значно обмежують доступ до належної медичної допомоги для засуджених. Перспективи розвитку цієї сфери включають вдосконалення кадрового забезпечення, поліпшення матеріально-технічної бази медичних частин установ, а також підвищення кваліфікації медичних працівників. Окрім того, важливим кроком є інтеграція європейських стандартів у систему охорони здоров'я пенітенціарних установ, що дозволить підвищити якість медичних послуг та забезпечити належне ставлення до засуджених. Однак, для реалізації цих реформ необхідно впровадити ефективну систему фінансування, забезпечити кращу координацію між пенітенціарними установами та цивільними медичними закладами, а також покращити правову свідомість серед засуджених. Це дозволить не тільки підвищити якість медичного обслуговування, але й зміцнити довіру до системи охорони здоров’я в пенітенціарних установах, сприяючи створенню більш гуманної та ефективної пенітенціарної системи в Україні.</w:t>
      </w:r>
    </w:p>
    <w:p w14:paraId="4A66F66E" w14:textId="77777777" w:rsidR="00C1357F" w:rsidRPr="00511005" w:rsidRDefault="00C1357F" w:rsidP="003A292D">
      <w:pPr>
        <w:pBdr>
          <w:top w:val="none" w:sz="0" w:space="0" w:color="E3E3E3"/>
          <w:left w:val="none" w:sz="0" w:space="0" w:color="E3E3E3"/>
          <w:bottom w:val="none" w:sz="0" w:space="0" w:color="E3E3E3"/>
          <w:right w:val="none" w:sz="0" w:space="0" w:color="E3E3E3"/>
        </w:pBdr>
        <w:spacing w:line="264" w:lineRule="auto"/>
        <w:ind w:firstLine="0"/>
        <w:rPr>
          <w:rFonts w:ascii="Arial" w:eastAsia="Times New Roman" w:hAnsi="Arial" w:cs="Arial"/>
          <w:b/>
          <w:szCs w:val="28"/>
          <w:lang w:val="uk-UA"/>
        </w:rPr>
      </w:pPr>
    </w:p>
    <w:p w14:paraId="6B08A436" w14:textId="04D2BEB1" w:rsidR="00C1357F" w:rsidRPr="00511005" w:rsidRDefault="007B2628" w:rsidP="007B2628">
      <w:pPr>
        <w:pBdr>
          <w:top w:val="none" w:sz="0" w:space="0" w:color="E3E3E3"/>
          <w:left w:val="none" w:sz="0" w:space="0" w:color="E3E3E3"/>
          <w:bottom w:val="none" w:sz="0" w:space="0" w:color="E3E3E3"/>
          <w:right w:val="none" w:sz="0" w:space="0" w:color="E3E3E3"/>
        </w:pBd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4CC5ACDA" w14:textId="3EAD9782" w:rsidR="003510C8" w:rsidRPr="00511005" w:rsidRDefault="003510C8" w:rsidP="003F6A5D">
      <w:pPr>
        <w:numPr>
          <w:ilvl w:val="0"/>
          <w:numId w:val="559"/>
        </w:numPr>
        <w:spacing w:line="264" w:lineRule="auto"/>
        <w:ind w:left="113" w:firstLine="720"/>
        <w:jc w:val="left"/>
        <w:rPr>
          <w:rFonts w:ascii="Arial" w:eastAsia="Times New Roman" w:hAnsi="Arial" w:cs="Arial"/>
          <w:szCs w:val="28"/>
          <w:lang w:val="uk-UA"/>
        </w:rPr>
      </w:pPr>
      <w:r w:rsidRPr="00511005">
        <w:rPr>
          <w:rFonts w:ascii="Arial" w:eastAsia="Times New Roman" w:hAnsi="Arial" w:cs="Arial"/>
          <w:szCs w:val="28"/>
          <w:lang w:val="uk-UA" w:eastAsia="ru-RU"/>
        </w:rPr>
        <w:t xml:space="preserve">Кримінально-виконавчий кодекс України. Закон України від 11.07.2003 р. No 1129-IV: станом на 01.01.2025. URL: </w:t>
      </w:r>
      <w:hyperlink r:id="rId2104" w:anchor="Text">
        <w:r w:rsidRPr="00511005">
          <w:rPr>
            <w:rFonts w:ascii="Arial" w:eastAsia="Times New Roman" w:hAnsi="Arial" w:cs="Arial"/>
            <w:szCs w:val="28"/>
            <w:lang w:val="uk-UA" w:eastAsia="ru-RU"/>
          </w:rPr>
          <w:t>https://zakon.rada.gov.ua/laws/show/1129-15#Text</w:t>
        </w:r>
      </w:hyperlink>
      <w:r w:rsidRPr="00511005">
        <w:rPr>
          <w:rFonts w:ascii="Arial" w:eastAsia="Times New Roman" w:hAnsi="Arial" w:cs="Arial"/>
          <w:szCs w:val="28"/>
          <w:lang w:val="uk-UA" w:eastAsia="ru-RU"/>
        </w:rPr>
        <w:t>.</w:t>
      </w:r>
    </w:p>
    <w:p w14:paraId="115E432D" w14:textId="70F6F298" w:rsidR="00E064E1" w:rsidRPr="00511005" w:rsidRDefault="00E064E1" w:rsidP="003F6A5D">
      <w:pPr>
        <w:numPr>
          <w:ilvl w:val="0"/>
          <w:numId w:val="559"/>
        </w:numPr>
        <w:spacing w:line="264" w:lineRule="auto"/>
        <w:ind w:left="113" w:firstLine="720"/>
        <w:jc w:val="left"/>
        <w:rPr>
          <w:rFonts w:ascii="Arial" w:eastAsia="Times New Roman" w:hAnsi="Arial" w:cs="Arial"/>
          <w:szCs w:val="28"/>
          <w:lang w:val="uk-UA"/>
        </w:rPr>
      </w:pPr>
      <w:r w:rsidRPr="00511005">
        <w:rPr>
          <w:rFonts w:ascii="Arial" w:eastAsia="Times New Roman" w:hAnsi="Arial" w:cs="Arial"/>
          <w:szCs w:val="28"/>
          <w:lang w:val="uk-UA" w:eastAsia="ru-RU"/>
        </w:rPr>
        <w:t xml:space="preserve">Про затвердження Порядку організації надання медичної допомоги засудженим до позбавлення волі. Наказ Міністерства юстиції України, Міністерства охорони здоров’я України від 15.08.2014 р. No 1348/5/572: станом на 18.02.2025. URL: </w:t>
      </w:r>
      <w:hyperlink r:id="rId2105" w:anchor="Text">
        <w:r w:rsidRPr="00511005">
          <w:rPr>
            <w:rFonts w:ascii="Arial" w:eastAsia="Times New Roman" w:hAnsi="Arial" w:cs="Arial"/>
            <w:szCs w:val="28"/>
            <w:lang w:val="uk-UA" w:eastAsia="ru-RU"/>
          </w:rPr>
          <w:t>https://zakon.rada.gov.ua/laws/show/z0990-14#Text</w:t>
        </w:r>
      </w:hyperlink>
      <w:r w:rsidRPr="00511005">
        <w:rPr>
          <w:rFonts w:ascii="Arial" w:eastAsia="Times New Roman" w:hAnsi="Arial" w:cs="Arial"/>
          <w:szCs w:val="28"/>
          <w:lang w:val="uk-UA" w:eastAsia="ru-RU"/>
        </w:rPr>
        <w:t>.</w:t>
      </w:r>
    </w:p>
    <w:p w14:paraId="24A41286" w14:textId="7EDD7855" w:rsidR="00E064E1" w:rsidRPr="00511005" w:rsidRDefault="00E064E1" w:rsidP="003F6A5D">
      <w:pPr>
        <w:numPr>
          <w:ilvl w:val="0"/>
          <w:numId w:val="559"/>
        </w:numPr>
        <w:spacing w:line="264" w:lineRule="auto"/>
        <w:ind w:left="113" w:firstLine="720"/>
        <w:jc w:val="left"/>
        <w:rPr>
          <w:rFonts w:ascii="Arial" w:eastAsia="Times New Roman" w:hAnsi="Arial" w:cs="Arial"/>
          <w:szCs w:val="28"/>
          <w:lang w:val="uk-UA"/>
        </w:rPr>
      </w:pPr>
      <w:r w:rsidRPr="00511005">
        <w:rPr>
          <w:rFonts w:ascii="Arial" w:eastAsia="Times New Roman" w:hAnsi="Arial" w:cs="Arial"/>
          <w:szCs w:val="28"/>
          <w:lang w:val="uk-UA" w:eastAsia="ru-RU"/>
        </w:rPr>
        <w:t xml:space="preserve">Про затвердження Правил внутрішнього розпорядку установ виконання покарань. Наказ Міністерства юстиції України від 28.08.2018 р. No 2823/5: станом на 10.02.2025. URL: </w:t>
      </w:r>
      <w:hyperlink r:id="rId2106" w:anchor="Text">
        <w:r w:rsidRPr="00511005">
          <w:rPr>
            <w:rFonts w:ascii="Arial" w:eastAsia="Times New Roman" w:hAnsi="Arial" w:cs="Arial"/>
            <w:szCs w:val="28"/>
            <w:lang w:val="uk-UA" w:eastAsia="ru-RU"/>
          </w:rPr>
          <w:t>https://zakon.rada.gov.ua/laws/show/z1010-18#Text</w:t>
        </w:r>
      </w:hyperlink>
      <w:r w:rsidRPr="00511005">
        <w:rPr>
          <w:rFonts w:ascii="Arial" w:eastAsia="Times New Roman" w:hAnsi="Arial" w:cs="Arial"/>
          <w:szCs w:val="28"/>
          <w:lang w:val="uk-UA" w:eastAsia="ru-RU"/>
        </w:rPr>
        <w:t>.</w:t>
      </w:r>
    </w:p>
    <w:p w14:paraId="14C46B18" w14:textId="69F7AB51" w:rsidR="00C1357F" w:rsidRPr="00511005" w:rsidRDefault="00C1357F" w:rsidP="003F6A5D">
      <w:pPr>
        <w:numPr>
          <w:ilvl w:val="0"/>
          <w:numId w:val="559"/>
        </w:numPr>
        <w:spacing w:line="264" w:lineRule="auto"/>
        <w:ind w:left="113" w:firstLine="720"/>
        <w:jc w:val="left"/>
        <w:rPr>
          <w:rFonts w:ascii="Arial" w:eastAsia="Times New Roman" w:hAnsi="Arial" w:cs="Arial"/>
          <w:szCs w:val="28"/>
          <w:lang w:val="uk-UA"/>
        </w:rPr>
      </w:pPr>
      <w:r w:rsidRPr="00511005">
        <w:rPr>
          <w:rFonts w:ascii="Arial" w:eastAsia="Times New Roman" w:hAnsi="Arial" w:cs="Arial"/>
          <w:szCs w:val="28"/>
          <w:lang w:val="uk-UA"/>
        </w:rPr>
        <w:t>Почанська О.С. Особливості забезпечення права на охорону здоров’я громадян, засуджених до позбавлення волі в Україні: науково-дослідний інститут публічної політики і соціальних наук. Харків, 2020. 14-12 с.</w:t>
      </w:r>
    </w:p>
    <w:p w14:paraId="5D7435D0" w14:textId="54F49B8A" w:rsidR="00E064E1" w:rsidRPr="00511005" w:rsidRDefault="00E064E1" w:rsidP="003F6A5D">
      <w:pPr>
        <w:numPr>
          <w:ilvl w:val="0"/>
          <w:numId w:val="559"/>
        </w:numPr>
        <w:spacing w:line="264" w:lineRule="auto"/>
        <w:ind w:left="113" w:firstLine="720"/>
        <w:jc w:val="left"/>
        <w:rPr>
          <w:rFonts w:ascii="Arial" w:eastAsia="Times New Roman" w:hAnsi="Arial" w:cs="Arial"/>
          <w:szCs w:val="28"/>
          <w:lang w:val="uk-UA"/>
        </w:rPr>
      </w:pPr>
      <w:r w:rsidRPr="00511005">
        <w:rPr>
          <w:rFonts w:ascii="Arial" w:eastAsia="Times New Roman" w:hAnsi="Arial" w:cs="Arial"/>
          <w:szCs w:val="28"/>
          <w:lang w:val="uk-UA" w:eastAsia="ru-RU"/>
        </w:rPr>
        <w:t>Тюфтій С.М. Медико-санітарне забезпечення засуджених у місцях несвободи в механізмі реалізації права на охорону здоров’я: електронне наукове видання «Аналітично-порівняльне правознавство», 2021. 286-291 с.</w:t>
      </w:r>
    </w:p>
    <w:p w14:paraId="03A9B5E1" w14:textId="77777777" w:rsidR="00C1357F" w:rsidRPr="00511005" w:rsidRDefault="00C1357F" w:rsidP="003A292D">
      <w:pPr>
        <w:spacing w:line="264" w:lineRule="auto"/>
        <w:ind w:firstLine="0"/>
        <w:rPr>
          <w:rFonts w:ascii="Arial" w:eastAsia="Times New Roman" w:hAnsi="Arial" w:cs="Arial"/>
          <w:b/>
          <w:szCs w:val="28"/>
          <w:lang w:val="uk-UA"/>
        </w:rPr>
      </w:pPr>
    </w:p>
    <w:p w14:paraId="20B33608" w14:textId="37535B0C"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C1357F" w:rsidRPr="00511005">
        <w:rPr>
          <w:rFonts w:ascii="Arial" w:eastAsia="Times New Roman" w:hAnsi="Arial" w:cs="Arial"/>
          <w:szCs w:val="28"/>
          <w:lang w:val="uk-UA"/>
        </w:rPr>
        <w:t>медико-санітарне забезпечення, засуджені, місця несвободи, охорона, здоров’я, медична допомога.</w:t>
      </w:r>
    </w:p>
    <w:p w14:paraId="162C9AB7" w14:textId="3DDEAC69" w:rsidR="00C1357F" w:rsidRPr="00511005" w:rsidRDefault="007B2628" w:rsidP="003A292D">
      <w:pPr>
        <w:spacing w:line="264" w:lineRule="auto"/>
        <w:ind w:firstLine="0"/>
        <w:rPr>
          <w:rFonts w:ascii="Arial" w:eastAsia="Times New Roman" w:hAnsi="Arial" w:cs="Arial"/>
          <w:b/>
          <w:szCs w:val="28"/>
          <w:lang w:val="uk-UA"/>
        </w:rPr>
      </w:pPr>
      <w:r w:rsidRPr="00511005">
        <w:rPr>
          <w:rFonts w:ascii="Arial" w:eastAsia="Times New Roman" w:hAnsi="Arial" w:cs="Arial"/>
          <w:b/>
          <w:i/>
          <w:szCs w:val="28"/>
          <w:lang w:val="uk-UA"/>
        </w:rPr>
        <w:lastRenderedPageBreak/>
        <w:t xml:space="preserve">Key words: </w:t>
      </w:r>
      <w:r w:rsidR="00C1357F" w:rsidRPr="00511005">
        <w:rPr>
          <w:rFonts w:ascii="Arial" w:eastAsia="Times New Roman" w:hAnsi="Arial" w:cs="Arial"/>
          <w:szCs w:val="28"/>
          <w:lang w:val="uk-UA"/>
        </w:rPr>
        <w:t>medical and sanitary provision, convicts, places of detention, protection, health, medical assistance.</w:t>
      </w:r>
    </w:p>
    <w:p w14:paraId="48380EBC" w14:textId="6CBBEE3C" w:rsidR="00C1357F" w:rsidRPr="00511005" w:rsidRDefault="007B2628" w:rsidP="003A292D">
      <w:pPr>
        <w:spacing w:line="264" w:lineRule="auto"/>
        <w:ind w:firstLine="0"/>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C1357F" w:rsidRPr="00511005">
        <w:rPr>
          <w:rFonts w:ascii="Arial" w:eastAsia="Times New Roman" w:hAnsi="Arial" w:cs="Arial"/>
          <w:i/>
          <w:szCs w:val="28"/>
          <w:lang w:val="uk-UA"/>
        </w:rPr>
        <w:t>асистентка кафедри Лукащук К.Р.</w:t>
      </w:r>
    </w:p>
    <w:p w14:paraId="299A1B3D" w14:textId="77777777" w:rsidR="00C1357F" w:rsidRPr="00511005" w:rsidRDefault="00C1357F" w:rsidP="003A292D">
      <w:pPr>
        <w:spacing w:line="264" w:lineRule="auto"/>
        <w:ind w:firstLine="0"/>
        <w:rPr>
          <w:rFonts w:ascii="Arial" w:eastAsia="Times New Roman" w:hAnsi="Arial" w:cs="Arial"/>
          <w:i/>
          <w:szCs w:val="28"/>
          <w:lang w:val="uk-UA"/>
        </w:rPr>
      </w:pPr>
    </w:p>
    <w:p w14:paraId="1813BDF1" w14:textId="77777777" w:rsidR="00C1357F" w:rsidRPr="00511005" w:rsidRDefault="00C1357F" w:rsidP="003A292D">
      <w:pPr>
        <w:spacing w:line="264" w:lineRule="auto"/>
        <w:ind w:firstLine="0"/>
        <w:rPr>
          <w:rFonts w:ascii="Arial" w:eastAsia="Times New Roman" w:hAnsi="Arial" w:cs="Arial"/>
          <w:i/>
          <w:szCs w:val="28"/>
          <w:lang w:val="uk-UA"/>
        </w:rPr>
      </w:pPr>
    </w:p>
    <w:p w14:paraId="486A84AB" w14:textId="77777777" w:rsidR="00C1357F" w:rsidRPr="00511005" w:rsidRDefault="00C1357F"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Крутих Валерія Євгенівна</w:t>
      </w:r>
    </w:p>
    <w:p w14:paraId="0E68AD34" w14:textId="18BD028A"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60C9684C"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9B32598"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6CD43D9" w14:textId="77777777" w:rsidR="00C1357F" w:rsidRPr="00511005" w:rsidRDefault="00C1357F" w:rsidP="003A292D">
      <w:pPr>
        <w:spacing w:line="264" w:lineRule="auto"/>
        <w:ind w:firstLine="0"/>
        <w:jc w:val="center"/>
        <w:rPr>
          <w:rFonts w:ascii="Arial" w:eastAsia="Calibri" w:hAnsi="Arial" w:cs="Arial"/>
          <w:b/>
          <w:szCs w:val="28"/>
          <w:lang w:val="uk-UA"/>
        </w:rPr>
      </w:pPr>
    </w:p>
    <w:p w14:paraId="2BB09288" w14:textId="77777777" w:rsidR="00C1357F" w:rsidRPr="00511005" w:rsidRDefault="00C1357F"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АКТУАЛЬНА СУДОВА ПРАКТИКА ЩОДО ЗАСТОСУВАННЯ ПРОБАЦІЙНОГО НАГЛЯДУ</w:t>
      </w:r>
    </w:p>
    <w:p w14:paraId="2FF235D0"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сучасних умовах розвитку кримінального судочинства України інститут пробації набуває особливого значення як ефективна альтернатива традиційним видам покарання. Пробаційний нагляд дозволяє забезпечити баланс між завданнями кримінального покарання, правами засудженого та інтересами суспільства в частині профілактики повторної злочинності. </w:t>
      </w:r>
    </w:p>
    <w:p w14:paraId="7A072E32"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Судова практика, яка формується навколо застосування пробаційного нагляду, відіграє ключову роль у формуванні сталої правозастосовної позиції, визначенні меж дискреції суду та забезпеченні однакового підходу до вирішення аналогічних справ. Саме аналіз актуальної судової практики дозволяє виявити проблемні аспекти, прогалини у законодавстві та практичні шляхи їх подолання, що й становить предмет дослідження цих тез.</w:t>
      </w:r>
    </w:p>
    <w:p w14:paraId="008438DE"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Даний інститут є новим, від так, 28 березня 2024 набрав чинності Закон № 3342-IX «Про внесення змін до Кримінального, Кримінального процесуального кодексів України та інших законодавчих актів України щодо удосконалення видів кримінальних покарань» (далі - Закон № 3342-IX, Закон), який і закріпив нове поняття [1]. Згідно якого, пробаційний нагляд — це основне кримінальне покарання, яке полягає в обмеженні прав і свобод засудженого, визначених законом і встановлених вироком суду, із застосуванням наглядових та соціально-виховних заходів без ізоляції від суспільства.</w:t>
      </w:r>
    </w:p>
    <w:p w14:paraId="6B864422"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Запровадження пробаційного нагляду як окремого виду основного покарання є вагомим кроком на шляху гуманізації кримінально-виконавчого права України. Відмова від суворих каральних заходів на користь інструментів соціальної адаптації засуджених осіб відповідає сучасним європейським тенденціям у сфері кримінальної юстиції. Закон № 3342-IX не лише ввів у законодавче поле поняття пробаційного нагляду, а й визначив його особливості, межі застосування та процесуальні аспекти реалізації.</w:t>
      </w:r>
    </w:p>
    <w:p w14:paraId="18F0C1FE"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Судова практика, яка почала формуватись після набуття чинності вказаним Законом, демонструє як потенціал пробаційного нагляду, так і проблеми, що виникають у його застосуванні. </w:t>
      </w:r>
    </w:p>
    <w:p w14:paraId="674EF308" w14:textId="79677EFD"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Судова практика уже демонструє приклади застосування цього інституту. Так, 2 квітня 2024 року Новоград-Волинський міськрайонний суд Житомирської області вперше застосував пробаційний нагляд як новий вид основного покарання. У справі щодо незаконного придбання та зберігання психотропної речовини без мети збуту (ч. 1 ст. 309 КК України), суд визнав винним жителя м.Звягеля та призначив йому 1 рік пробаційного нагляду [2].</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Вироком були покладені конкретні обов’язки: періодична реєстрація в органах пробації, повідомлення про зміну місця проживання або роботи, заборона виїзду за кордон без погодження, а також обов’язок працевлаштуватися або зареєструватися в центрі зайнятості.</w:t>
      </w:r>
    </w:p>
    <w:p w14:paraId="5ACE57DD"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Цей випадок є показовим прикладом застосування нового інструменту, який дозволяє не лише уникнути позбавлення волі, але й активізувати соціальну відповідальність правопорушника. Водночас, подібні рішення вимагають детального аналізу з точки зору ефективності виконання покладених обов’язків та рівня профілактики повторної злочинності.</w:t>
      </w:r>
    </w:p>
    <w:p w14:paraId="390DB0F2"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Загалом, аналіз актуальних судових рішень дає підстави вважати, що інститут пробаційного нагляду має значний потенціал у системі кримінальних покарань. Однак, ефективне впровадження потребує подальшого методичного забезпечення, єдиної судової практики та належної підготовки працівників пробації, зокрема щодо оцінки ризиків і контролю за виконанням обов’язків засудженого.</w:t>
      </w:r>
    </w:p>
    <w:p w14:paraId="5D4A10D3"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Важливим аспектом аналізу є також взаємодія судів з уповноваженими органами пробації. Практика засвідчує, що ефективність пробаційного нагляду значною мірою залежить від чіткості комунікації між судом, органами пробації та самим засудженим. Приклади з судових рішень свідчать про необхідність подальшого методичного забезпечення судів щодо застосування цього виду покарання, а також розробки уніфікованих підходів до оцінки ризиків повторної злочинності.</w:t>
      </w:r>
    </w:p>
    <w:p w14:paraId="7D74517B"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Аналізуючи актуальні судові рішення, можна дійти висновку, що хоча інститут пробаційного нагляду ще перебуває на етапі становлення, він уже виконує важливу функцію у системі кримінальних покарань. Однак, його ефективне впровадження потребує не лише вдосконалення нормативної бази, а й належної підготовки кадрів, а також узагальнення судової практики з метою формування єдиної правозастосовної традиції.</w:t>
      </w:r>
    </w:p>
    <w:p w14:paraId="7266CBEC"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Проте, судової практики щодо застосування даного виду покарання, на жаль, обмаль та є дуже неоднозначною, а також потребує часу для встановлення усталеної практики.</w:t>
      </w:r>
    </w:p>
    <w:p w14:paraId="6CAA20D5"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Прикладом, що висвітлює зазначене, може слугувати санкція, передбачена частиною першою статті 190 Кримінального кодексу України. Водночас судова практика щодо її застосування залишається неоднозначною. Так, у вироку Приморського районного суду міста Одеси від 29 березня 2024 року по справі № 522/4509/24, яким особу визнано винною за ч. 1 ст. 190 КК </w:t>
      </w:r>
      <w:r w:rsidRPr="00511005">
        <w:rPr>
          <w:rFonts w:ascii="Arial" w:eastAsia="Calibri" w:hAnsi="Arial" w:cs="Arial"/>
          <w:szCs w:val="28"/>
          <w:lang w:val="uk-UA"/>
        </w:rPr>
        <w:lastRenderedPageBreak/>
        <w:t>України, суд зазначив, що з огляду на доповнення санкції покаранням у вигляді пробаційного нагляду, «враховуючи санкцію частини першої статті 190 КК України, чинну на момент вчинення правопорушення, суд дійшов висновку про необхідність застосування саме цієї редакції норми під час призначення покарання» [3]. У той же час, у вироку Червонозаводського районного суду міста Харкова від 4 квітня 2024 року по справі № 646/2673/24, особу також було засуджено за ч. 1 ст. 190 КК України, проте вже до покарання у вигляді пробаційного нагляду [4].</w:t>
      </w:r>
    </w:p>
    <w:p w14:paraId="55BA6E35"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Інститут пробаційного нагляду як нового виду основного кримінального покарання відкриває нові можливості для гуманізації кримінальної політики України та ефективної ресоціалізації правопорушників без їхньої ізоляції від суспільства. Актуальна судова практика свідчить про готовність судів до застосування цього інструменту, проте водночас виявляє низку практичних викликів, пов’язаних із реалізацією покладених обов’язків, узгодженістю підходів та взаємодією між судом і органами пробації.</w:t>
      </w:r>
    </w:p>
    <w:p w14:paraId="6C22D792"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Враховуючи зазначене, слід сказати, що перші судові рішення, зокрема вирок Новоград-Волинського міськрайонного суду, демонструють, що пробаційний нагляд може бути ефективним засобом впливу на особу правопорушника за умови чіткого нормативного регулювання та належного контролю за його виконанням. Подальше формування сталої правозастосовної практики, вдосконалення методичних рекомендацій для судів та органів пробації є необхідними умовами для повноцінного впровадження цього виду покарання у практику українського кримінального судочинства.</w:t>
      </w:r>
    </w:p>
    <w:p w14:paraId="0FB4E099" w14:textId="77777777" w:rsidR="00C1357F" w:rsidRPr="00511005" w:rsidRDefault="00C1357F" w:rsidP="003A292D">
      <w:pPr>
        <w:spacing w:line="264" w:lineRule="auto"/>
        <w:ind w:firstLine="0"/>
        <w:rPr>
          <w:rFonts w:ascii="Arial" w:eastAsia="Calibri" w:hAnsi="Arial" w:cs="Arial"/>
          <w:b/>
          <w:bCs/>
          <w:szCs w:val="28"/>
          <w:lang w:val="uk-UA"/>
        </w:rPr>
      </w:pPr>
    </w:p>
    <w:p w14:paraId="2918F811" w14:textId="6D2D407F" w:rsidR="00C1357F" w:rsidRPr="00511005" w:rsidRDefault="007B2628" w:rsidP="007B2628">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Список використаних джерел</w:t>
      </w:r>
    </w:p>
    <w:p w14:paraId="3DF17DA4" w14:textId="77777777" w:rsidR="00C1357F" w:rsidRPr="00511005" w:rsidRDefault="00C1357F" w:rsidP="003F6A5D">
      <w:pPr>
        <w:numPr>
          <w:ilvl w:val="0"/>
          <w:numId w:val="57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Про внесення змін до Кримінального, Кримінального процесуального кодексів України та інших законодавчих актів України щодо удосконалення видів кримінальних покарань. Закон України від 23.08.2023 № 3342-IX: станом на 23.08.2025. URL: </w:t>
      </w:r>
      <w:hyperlink r:id="rId2107" w:anchor="Text" w:history="1">
        <w:r w:rsidRPr="00511005">
          <w:rPr>
            <w:rFonts w:ascii="Arial" w:eastAsia="Calibri" w:hAnsi="Arial" w:cs="Arial"/>
            <w:szCs w:val="28"/>
            <w:lang w:val="uk-UA"/>
          </w:rPr>
          <w:t>https://zakon.rada.gov.ua/laws/show/3342-20#Text</w:t>
        </w:r>
      </w:hyperlink>
      <w:r w:rsidRPr="00511005">
        <w:rPr>
          <w:rFonts w:ascii="Arial" w:eastAsia="Calibri" w:hAnsi="Arial" w:cs="Arial"/>
          <w:szCs w:val="28"/>
          <w:lang w:val="uk-UA"/>
        </w:rPr>
        <w:t>.</w:t>
      </w:r>
    </w:p>
    <w:p w14:paraId="746DD1C5" w14:textId="77777777" w:rsidR="00C1357F" w:rsidRPr="00511005" w:rsidRDefault="00C1357F" w:rsidP="003F6A5D">
      <w:pPr>
        <w:numPr>
          <w:ilvl w:val="0"/>
          <w:numId w:val="57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Вирок Новоград-Волинський міськрайонного суду Житомирської області від 02.04.2024 у справі №285/1779/24. URL: </w:t>
      </w:r>
      <w:hyperlink r:id="rId2108" w:history="1">
        <w:r w:rsidRPr="00511005">
          <w:rPr>
            <w:rFonts w:ascii="Arial" w:eastAsia="Calibri" w:hAnsi="Arial" w:cs="Arial"/>
            <w:szCs w:val="28"/>
            <w:lang w:val="uk-UA"/>
          </w:rPr>
          <w:t>https://reyestr.court.gov.ua/Review/118090657</w:t>
        </w:r>
      </w:hyperlink>
      <w:r w:rsidRPr="00511005">
        <w:rPr>
          <w:rFonts w:ascii="Arial" w:eastAsia="Calibri" w:hAnsi="Arial" w:cs="Arial"/>
          <w:szCs w:val="28"/>
          <w:lang w:val="uk-UA"/>
        </w:rPr>
        <w:t>.</w:t>
      </w:r>
    </w:p>
    <w:p w14:paraId="34156090" w14:textId="77777777" w:rsidR="00C1357F" w:rsidRPr="00511005" w:rsidRDefault="00C1357F" w:rsidP="003F6A5D">
      <w:pPr>
        <w:numPr>
          <w:ilvl w:val="0"/>
          <w:numId w:val="57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Вирок Приморського районного суду м. Одеси від 29.03.2024 у справі №522/4509/24. URL: </w:t>
      </w:r>
      <w:hyperlink r:id="rId2109" w:history="1">
        <w:r w:rsidRPr="00511005">
          <w:rPr>
            <w:rFonts w:ascii="Arial" w:eastAsia="Calibri" w:hAnsi="Arial" w:cs="Arial"/>
            <w:szCs w:val="28"/>
            <w:lang w:val="uk-UA"/>
          </w:rPr>
          <w:t>https://reyestr.court.gov.ua/Review/117999537</w:t>
        </w:r>
      </w:hyperlink>
      <w:r w:rsidRPr="00511005">
        <w:rPr>
          <w:rFonts w:ascii="Arial" w:eastAsia="Calibri" w:hAnsi="Arial" w:cs="Arial"/>
          <w:szCs w:val="28"/>
          <w:lang w:val="uk-UA"/>
        </w:rPr>
        <w:t>.</w:t>
      </w:r>
    </w:p>
    <w:p w14:paraId="332640AA" w14:textId="77777777" w:rsidR="00C1357F" w:rsidRPr="00511005" w:rsidRDefault="00C1357F" w:rsidP="003F6A5D">
      <w:pPr>
        <w:numPr>
          <w:ilvl w:val="0"/>
          <w:numId w:val="57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Вирок Червонозаводського районного суду міста Харкова від 04.04.2024 у справі №646/2673/24. URL: </w:t>
      </w:r>
      <w:hyperlink r:id="rId2110" w:history="1">
        <w:r w:rsidRPr="00511005">
          <w:rPr>
            <w:rFonts w:ascii="Arial" w:eastAsia="Calibri" w:hAnsi="Arial" w:cs="Arial"/>
            <w:szCs w:val="28"/>
            <w:lang w:val="uk-UA"/>
          </w:rPr>
          <w:t>https://reyestr.court.gov.ua/Review/118155901</w:t>
        </w:r>
      </w:hyperlink>
      <w:r w:rsidRPr="00511005">
        <w:rPr>
          <w:rFonts w:ascii="Arial" w:eastAsia="Calibri" w:hAnsi="Arial" w:cs="Arial"/>
          <w:szCs w:val="28"/>
          <w:lang w:val="uk-UA"/>
        </w:rPr>
        <w:t>.</w:t>
      </w:r>
    </w:p>
    <w:p w14:paraId="5D8B971E" w14:textId="77777777" w:rsidR="00C1357F" w:rsidRPr="00511005" w:rsidRDefault="00C1357F" w:rsidP="003A292D">
      <w:pPr>
        <w:spacing w:line="264" w:lineRule="auto"/>
        <w:ind w:firstLine="0"/>
        <w:rPr>
          <w:rFonts w:ascii="Arial" w:eastAsia="Calibri" w:hAnsi="Arial" w:cs="Arial"/>
          <w:b/>
          <w:bCs/>
          <w:szCs w:val="28"/>
          <w:lang w:val="uk-UA"/>
        </w:rPr>
      </w:pPr>
    </w:p>
    <w:p w14:paraId="4F31402D" w14:textId="78EED6C0"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357F" w:rsidRPr="00511005">
        <w:rPr>
          <w:rFonts w:ascii="Arial" w:eastAsia="Calibri" w:hAnsi="Arial" w:cs="Arial"/>
          <w:szCs w:val="28"/>
          <w:lang w:val="uk-UA"/>
        </w:rPr>
        <w:t>пробація, покарання, засуджений, вирок, судова практика.</w:t>
      </w:r>
    </w:p>
    <w:p w14:paraId="2F77D5DE" w14:textId="7F8F41B3" w:rsidR="00C1357F" w:rsidRPr="00511005" w:rsidRDefault="007B2628" w:rsidP="003A292D">
      <w:pPr>
        <w:spacing w:line="264" w:lineRule="auto"/>
        <w:ind w:firstLine="0"/>
        <w:rPr>
          <w:rFonts w:ascii="Arial" w:eastAsia="Calibri" w:hAnsi="Arial" w:cs="Arial"/>
          <w:b/>
          <w:bCs/>
          <w:i/>
          <w:iCs/>
          <w:szCs w:val="28"/>
          <w:lang w:val="uk-UA"/>
        </w:rPr>
      </w:pPr>
      <w:r w:rsidRPr="00511005">
        <w:rPr>
          <w:rFonts w:ascii="Arial" w:eastAsia="Calibri" w:hAnsi="Arial" w:cs="Arial"/>
          <w:b/>
          <w:bCs/>
          <w:i/>
          <w:szCs w:val="28"/>
          <w:lang w:val="uk-UA"/>
        </w:rPr>
        <w:t xml:space="preserve">Key words: </w:t>
      </w:r>
      <w:r w:rsidR="00C1357F" w:rsidRPr="00511005">
        <w:rPr>
          <w:rFonts w:ascii="Arial" w:eastAsia="Calibri" w:hAnsi="Arial" w:cs="Arial"/>
          <w:szCs w:val="28"/>
          <w:lang w:val="uk-UA"/>
        </w:rPr>
        <w:t>probation, punishment, convict, sentence, case law.</w:t>
      </w:r>
    </w:p>
    <w:p w14:paraId="23545F1F" w14:textId="00AF72CE" w:rsidR="00C1357F"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bCs/>
          <w:i/>
          <w:iCs/>
          <w:szCs w:val="28"/>
          <w:lang w:val="uk-UA"/>
        </w:rPr>
        <w:lastRenderedPageBreak/>
        <w:t xml:space="preserve">Науковий керівник: </w:t>
      </w:r>
      <w:r w:rsidR="00C1357F" w:rsidRPr="00511005">
        <w:rPr>
          <w:rFonts w:ascii="Arial" w:eastAsia="Calibri" w:hAnsi="Arial" w:cs="Arial"/>
          <w:i/>
          <w:iCs/>
          <w:szCs w:val="28"/>
          <w:lang w:val="uk-UA"/>
        </w:rPr>
        <w:t xml:space="preserve">асистентка кафедри </w:t>
      </w:r>
      <w:r w:rsidR="00C1357F" w:rsidRPr="00511005">
        <w:rPr>
          <w:rFonts w:ascii="Arial" w:eastAsia="Calibri" w:hAnsi="Arial" w:cs="Arial"/>
          <w:bCs/>
          <w:i/>
          <w:iCs/>
          <w:szCs w:val="28"/>
          <w:lang w:val="uk-UA"/>
        </w:rPr>
        <w:t>Лукащук К.Р.</w:t>
      </w:r>
    </w:p>
    <w:p w14:paraId="76D1E7F3" w14:textId="77777777" w:rsidR="00C1357F" w:rsidRPr="00511005" w:rsidRDefault="00C1357F" w:rsidP="003A292D">
      <w:pPr>
        <w:spacing w:line="264" w:lineRule="auto"/>
        <w:ind w:firstLine="0"/>
        <w:rPr>
          <w:rFonts w:ascii="Arial" w:eastAsia="Calibri" w:hAnsi="Arial" w:cs="Arial"/>
          <w:szCs w:val="28"/>
          <w:lang w:val="uk-UA"/>
        </w:rPr>
      </w:pPr>
    </w:p>
    <w:p w14:paraId="6DBC3E40" w14:textId="77777777" w:rsidR="00C1357F" w:rsidRPr="00511005" w:rsidRDefault="00C1357F"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Кубська Яна Богданівна</w:t>
      </w:r>
    </w:p>
    <w:p w14:paraId="58B606F8" w14:textId="5FD2DE1C"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5A362E43"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B9995D5"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5E429E8" w14:textId="77777777" w:rsidR="00C1357F" w:rsidRPr="00511005" w:rsidRDefault="00C1357F" w:rsidP="003A292D">
      <w:pPr>
        <w:spacing w:line="264" w:lineRule="auto"/>
        <w:ind w:firstLine="0"/>
        <w:jc w:val="center"/>
        <w:rPr>
          <w:rFonts w:ascii="Arial" w:eastAsia="Times New Roman" w:hAnsi="Arial" w:cs="Arial"/>
          <w:b/>
          <w:szCs w:val="28"/>
          <w:lang w:val="uk-UA"/>
        </w:rPr>
      </w:pPr>
    </w:p>
    <w:p w14:paraId="5D2882D2" w14:textId="77777777" w:rsidR="00C1357F" w:rsidRPr="00511005" w:rsidRDefault="00C1357F"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ОСОБЛИВОСТІ ВІДБУВАННЯ ПОКАРАННЯ ЗАСУДЖЕНИХ</w:t>
      </w:r>
    </w:p>
    <w:p w14:paraId="762F8E73" w14:textId="77777777" w:rsidR="00C1357F" w:rsidRPr="00511005" w:rsidRDefault="00C1357F"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ДО ДОВІЧНОГО ПОЗБАВЛЕННЯ ВОЛІ</w:t>
      </w:r>
    </w:p>
    <w:p w14:paraId="1978BBA7"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 сьогодні питання, що стосуються довічного позбавлення волі, його існування, розвитку та покращення, набувають особливої значущості для сучасної науки кримінально-виконавчого права. Оскільки цей вид покарання є відносно новим для української правової системи, виникає чимало проблемних аспектів, які потребують детального наукового аналізу та осмислення.</w:t>
      </w:r>
    </w:p>
    <w:p w14:paraId="47C3C278"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Довічне позбавлення волі становить найсуворіший різновид кримінального покарання, передбачений чинним законодавством України. Його впровадження стало результатом відмови від смертної кари та кроком у напрямку гармонізації національного законодавства у сфері кримінальної юстиції з європейськими правовими стандартами [1]. Порядок і умови відбування цього виду покарання регламентуються положеннями Кримінально-виконавчого кодексу України, а також відповідними нормативно-правовими актами Міністерства юстиції, що регулюють функціонування установ виконання покарань.</w:t>
      </w:r>
    </w:p>
    <w:p w14:paraId="3C085667"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Згідно з частиною 2 статті 64 Кримінального кодексу України, довічне позбавлення волі не накладається на осіб, які вчинили злочин до досягнення 18 років, а також на осіб, старших за 65 років, і жінок, які були вагітні під час скоєння злочину або на момент постановлення вироку [2]. Важливою особливістю довічного позбавлення волі є відсутність визначеного терміну покарання, що фактично означає покарання на весь період життя засудженого.</w:t>
      </w:r>
    </w:p>
    <w:p w14:paraId="26E77AF8"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Особи, засуджені до довічного позбавлення волі, відбувають покарання виключно у виправних колоніях з максимальним рівнем безпеки. До них не застосовуються інші типи установ. Однією з ключових ознак цього виду покарання є високий рівень ізоляції: утримання здійснюється переважно в одно- або двомісних камерах із суворим обмеженням контактів з іншими засудженими.</w:t>
      </w:r>
    </w:p>
    <w:p w14:paraId="196555DC"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У таких колоніях застосовуються посилені заходи контролю та безпеки — системи відеоспостереження, регулярні обшуки, обмеження переміщення територією закладу винятково під конвоєм. У порівнянні з іншими категоріями ув’язнених, засуджені до довічного покарання мають значно </w:t>
      </w:r>
      <w:r w:rsidRPr="00511005">
        <w:rPr>
          <w:rFonts w:ascii="Arial" w:eastAsia="Times New Roman" w:hAnsi="Arial" w:cs="Arial"/>
          <w:szCs w:val="28"/>
          <w:lang w:val="uk-UA"/>
        </w:rPr>
        <w:lastRenderedPageBreak/>
        <w:t>обмеженіші права на тривалі побачення, передачі, телефонні дзвінки, участь у гуртках чи релігійних заходах.</w:t>
      </w:r>
    </w:p>
    <w:p w14:paraId="5F9BA3A0"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Працевлаштування цієї категорії осіб у більшості випадків неможливе через високий рівень безпеки та ізоляційний режим. Це, у свою чергу, знижує ефективність процесів ресоціалізації. Як правило, у таких колоніях відсутні повноцінні програми соціальної адаптації, спостерігається нестача кваліфікованих психологів, освітніх заходів та індивідуального підходу до засуджених. </w:t>
      </w:r>
    </w:p>
    <w:p w14:paraId="70E10EA2"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Серйозною проблемою залишається доступ до медичних послуг, особливо у сфері психіатричної допомоги. Внаслідок ізоляції, обмеженого соціального спілкування та невизначеності перспектив, засуджені часто перебувають у депресивному або пригніченому психологічному стані, що значно погіршує загальний рівень умов тримання.</w:t>
      </w:r>
    </w:p>
    <w:p w14:paraId="04FB5112"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Особи, засуджені до довічного позбавлення волі, мають право на щоденну прогулянку тривалістю одну годину. Ув’язнені цієї категорії можуть користуватися бібліотечним фондом установи, зокрема книгами, журналами та газетами, а також виданнями, отриманими через передплату, з торговельної мережі або переданими родичами чи іншими особами [4].</w:t>
      </w:r>
    </w:p>
    <w:p w14:paraId="3861C887"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вільний від роботи час засудженим дозволено підвищувати свій загальноосвітній рівень шляхом звернення до консультаційних пунктів, що функціонують у виправних колоніях. Праця для таких осіб організовується у спеціально обладнаних виробничих приміщеннях, які розташовані в ізольованих зонах з посиленими заходами охорони. Це забезпечує повну ізоляцію від інших категорій засуджених і запобігає будь-яким несанкціонованим контактам.</w:t>
      </w:r>
    </w:p>
    <w:p w14:paraId="1A56A43C"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разі сумлінної поведінки та відповідального ставлення до праці, після відбуття п’яти років покарання, особа може бути допущена до участі в колективних заходах освітнього, культурного чи фізкультурно-оздоровчого характеру [3].</w:t>
      </w:r>
    </w:p>
    <w:p w14:paraId="08E74653"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Після відбуття не менше двадцяти років позбавлення волі засуджений має право звернутися з клопотанням про помилування відповідно до встановленого законом порядку.</w:t>
      </w:r>
      <w:r w:rsidRPr="00511005">
        <w:rPr>
          <w:rFonts w:ascii="Arial" w:eastAsia="Calibri" w:hAnsi="Arial" w:cs="Arial"/>
          <w:szCs w:val="28"/>
          <w:lang w:val="uk-UA"/>
        </w:rPr>
        <w:t xml:space="preserve"> </w:t>
      </w:r>
      <w:r w:rsidRPr="00511005">
        <w:rPr>
          <w:rFonts w:ascii="Arial" w:eastAsia="Times New Roman" w:hAnsi="Arial" w:cs="Arial"/>
          <w:szCs w:val="28"/>
          <w:lang w:val="uk-UA"/>
        </w:rPr>
        <w:t>Проте механізм цього перегляду залишається малоефективним, оскільки потребує доказів виправлення особи, позитивних характеристик, відсутності порушень режиму та висновку адміністрації установи.</w:t>
      </w:r>
    </w:p>
    <w:p w14:paraId="2B819E4B"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Система виконання довічних вироків в Україні потребує суттєвого вдосконалення. Це стосується як умов утримання засуджених, так і їхнього доступу до реабілітаційних програм. Необхідно провести реформу пенітенціарної системи відповідно до міжнародних стандартів, впровадити ефективний механізм перегляду справ осіб, засуджених до довічного ув’язнення, гарантувати дотримання прав людини та сприяти соціальній адаптації цих осіб. Довічне позбавлення волі повинно залишатися </w:t>
      </w:r>
      <w:r w:rsidRPr="00511005">
        <w:rPr>
          <w:rFonts w:ascii="Arial" w:eastAsia="Times New Roman" w:hAnsi="Arial" w:cs="Arial"/>
          <w:szCs w:val="28"/>
          <w:lang w:val="uk-UA"/>
        </w:rPr>
        <w:lastRenderedPageBreak/>
        <w:t>винятковим заходом покарання, а не означати повне виключення людини з суспільного життя.</w:t>
      </w:r>
    </w:p>
    <w:p w14:paraId="26A2694E" w14:textId="77777777" w:rsidR="00C1357F" w:rsidRPr="00511005" w:rsidRDefault="00C1357F" w:rsidP="003A292D">
      <w:pPr>
        <w:pBdr>
          <w:top w:val="none" w:sz="0" w:space="0" w:color="E3E3E3"/>
          <w:left w:val="none" w:sz="0" w:space="0" w:color="E3E3E3"/>
          <w:bottom w:val="none" w:sz="0" w:space="0" w:color="E3E3E3"/>
          <w:right w:val="none" w:sz="0" w:space="0" w:color="E3E3E3"/>
        </w:pBdr>
        <w:spacing w:line="264" w:lineRule="auto"/>
        <w:ind w:firstLine="0"/>
        <w:rPr>
          <w:rFonts w:ascii="Arial" w:eastAsia="Times New Roman" w:hAnsi="Arial" w:cs="Arial"/>
          <w:b/>
          <w:szCs w:val="28"/>
          <w:lang w:val="uk-UA"/>
        </w:rPr>
      </w:pPr>
    </w:p>
    <w:p w14:paraId="3FAEA8CE" w14:textId="15809CB4" w:rsidR="00C1357F" w:rsidRPr="00511005" w:rsidRDefault="007B2628" w:rsidP="007B2628">
      <w:pPr>
        <w:pBdr>
          <w:top w:val="none" w:sz="0" w:space="0" w:color="E3E3E3"/>
          <w:left w:val="none" w:sz="0" w:space="0" w:color="E3E3E3"/>
          <w:bottom w:val="none" w:sz="0" w:space="0" w:color="E3E3E3"/>
          <w:right w:val="none" w:sz="0" w:space="0" w:color="E3E3E3"/>
        </w:pBd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2A8ECE04"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1. Кримінально-виконавчий кодекс України. Закон України від 11.07.2003 No 1129-IV: станом на 01.01.2025. URL: </w:t>
      </w:r>
      <w:hyperlink r:id="rId2111" w:anchor="Text">
        <w:r w:rsidRPr="00511005">
          <w:rPr>
            <w:rFonts w:ascii="Arial" w:eastAsia="Times New Roman" w:hAnsi="Arial" w:cs="Arial"/>
            <w:szCs w:val="28"/>
            <w:lang w:val="uk-UA"/>
          </w:rPr>
          <w:t>https://zakon.rada.gov.ua/laws/show/1129-15#Text</w:t>
        </w:r>
      </w:hyperlink>
      <w:r w:rsidRPr="00511005">
        <w:rPr>
          <w:rFonts w:ascii="Arial" w:eastAsia="Times New Roman" w:hAnsi="Arial" w:cs="Arial"/>
          <w:szCs w:val="28"/>
          <w:lang w:val="uk-UA"/>
        </w:rPr>
        <w:t>.</w:t>
      </w:r>
    </w:p>
    <w:p w14:paraId="43822780"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2. Кримінальний кодекс України. Закон України від 05.04.2001 No 2341-III: станом на 01.02.2025. URL:</w:t>
      </w:r>
      <w:r w:rsidRPr="00511005">
        <w:rPr>
          <w:rFonts w:ascii="Arial" w:eastAsia="Calibri" w:hAnsi="Arial" w:cs="Arial"/>
          <w:szCs w:val="28"/>
          <w:lang w:val="uk-UA"/>
        </w:rPr>
        <w:t xml:space="preserve"> </w:t>
      </w:r>
      <w:hyperlink r:id="rId2112" w:anchor="Text" w:history="1">
        <w:r w:rsidRPr="00511005">
          <w:rPr>
            <w:rFonts w:ascii="Arial" w:eastAsia="Times New Roman" w:hAnsi="Arial" w:cs="Arial"/>
            <w:szCs w:val="28"/>
            <w:lang w:val="uk-UA"/>
          </w:rPr>
          <w:t>https://zakon.rada.gov.ua/laws/show/2341-14#Text</w:t>
        </w:r>
      </w:hyperlink>
      <w:r w:rsidRPr="00511005">
        <w:rPr>
          <w:rFonts w:ascii="Arial" w:eastAsia="Times New Roman" w:hAnsi="Arial" w:cs="Arial"/>
          <w:szCs w:val="28"/>
          <w:lang w:val="uk-UA"/>
        </w:rPr>
        <w:t>.</w:t>
      </w:r>
    </w:p>
    <w:p w14:paraId="73322E3E" w14:textId="472F7EBC"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3. Бурдін В.М. Позбавлення волі на певний строк і довічне позбавлення волі: актуальні проблеми застосування.</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2020. </w:t>
      </w:r>
      <w:r w:rsidRPr="00511005">
        <w:rPr>
          <w:rFonts w:ascii="Arial" w:eastAsia="Calibri" w:hAnsi="Arial" w:cs="Arial"/>
          <w:szCs w:val="28"/>
          <w:lang w:val="uk-UA"/>
        </w:rPr>
        <w:t xml:space="preserve">Том 3, №2. </w:t>
      </w:r>
      <w:r w:rsidRPr="00511005">
        <w:rPr>
          <w:rFonts w:ascii="Arial" w:eastAsia="Times New Roman" w:hAnsi="Arial" w:cs="Arial"/>
          <w:szCs w:val="28"/>
          <w:lang w:val="uk-UA"/>
        </w:rPr>
        <w:t>81-82 с.</w:t>
      </w:r>
    </w:p>
    <w:p w14:paraId="6724EB12"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4. Ільченко О. В., Сидорко Ю. О. Особливості відбування покарань засудженими до довічного позбавлення волі. 2022. URL: </w:t>
      </w:r>
      <w:hyperlink r:id="rId2113" w:history="1">
        <w:r w:rsidRPr="00511005">
          <w:rPr>
            <w:rFonts w:ascii="Arial" w:eastAsia="Times New Roman" w:hAnsi="Arial" w:cs="Arial"/>
            <w:szCs w:val="28"/>
            <w:lang w:val="uk-UA"/>
          </w:rPr>
          <w:t>https://essuir.sumdu.edu.ua/bitstreamdownload/123456789/88156/1/Ilchenko_kryminalne_pokarannia.pdf</w:t>
        </w:r>
      </w:hyperlink>
      <w:r w:rsidRPr="00511005">
        <w:rPr>
          <w:rFonts w:ascii="Arial" w:eastAsia="Times New Roman" w:hAnsi="Arial" w:cs="Arial"/>
          <w:szCs w:val="28"/>
          <w:lang w:val="uk-UA"/>
        </w:rPr>
        <w:t>.</w:t>
      </w:r>
    </w:p>
    <w:p w14:paraId="0E5AF6C5" w14:textId="77777777" w:rsidR="00C1357F" w:rsidRPr="00511005" w:rsidRDefault="00C1357F" w:rsidP="003A292D">
      <w:pPr>
        <w:spacing w:line="264" w:lineRule="auto"/>
        <w:ind w:firstLine="0"/>
        <w:rPr>
          <w:rFonts w:ascii="Arial" w:eastAsia="Times New Roman" w:hAnsi="Arial" w:cs="Arial"/>
          <w:b/>
          <w:szCs w:val="28"/>
          <w:lang w:val="uk-UA"/>
        </w:rPr>
      </w:pPr>
    </w:p>
    <w:p w14:paraId="52B9A640" w14:textId="1F452C33"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C1357F" w:rsidRPr="00511005">
        <w:rPr>
          <w:rFonts w:ascii="Arial" w:eastAsia="Times New Roman" w:hAnsi="Arial" w:cs="Arial"/>
          <w:szCs w:val="28"/>
          <w:lang w:val="uk-UA"/>
        </w:rPr>
        <w:t>колонія, засуджені, ізоляція, покарання, довічне позбавлення волі, ресоціалізація.</w:t>
      </w:r>
    </w:p>
    <w:p w14:paraId="372BD86A" w14:textId="48CCB668" w:rsidR="00C1357F" w:rsidRPr="00511005" w:rsidRDefault="007B2628" w:rsidP="003A292D">
      <w:pPr>
        <w:spacing w:line="264" w:lineRule="auto"/>
        <w:ind w:firstLine="0"/>
        <w:rPr>
          <w:rFonts w:ascii="Arial" w:eastAsia="Times New Roman" w:hAnsi="Arial" w:cs="Arial"/>
          <w:b/>
          <w:szCs w:val="28"/>
          <w:lang w:val="uk-UA"/>
        </w:rPr>
      </w:pPr>
      <w:r w:rsidRPr="00511005">
        <w:rPr>
          <w:rFonts w:ascii="Arial" w:eastAsia="Times New Roman" w:hAnsi="Arial" w:cs="Arial"/>
          <w:b/>
          <w:i/>
          <w:szCs w:val="28"/>
          <w:lang w:val="uk-UA"/>
        </w:rPr>
        <w:t xml:space="preserve">Key words: </w:t>
      </w:r>
      <w:r w:rsidR="00C1357F" w:rsidRPr="00511005">
        <w:rPr>
          <w:rFonts w:ascii="Arial" w:eastAsia="Times New Roman" w:hAnsi="Arial" w:cs="Arial"/>
          <w:szCs w:val="28"/>
          <w:lang w:val="uk-UA"/>
        </w:rPr>
        <w:t>colony, convicts, isolation, punishment, life imprisonment, resocialization.</w:t>
      </w:r>
    </w:p>
    <w:p w14:paraId="281A3B51" w14:textId="65D3F7D0" w:rsidR="00C1357F" w:rsidRPr="00511005" w:rsidRDefault="007B2628" w:rsidP="003A292D">
      <w:pPr>
        <w:spacing w:line="264" w:lineRule="auto"/>
        <w:ind w:firstLine="0"/>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C1357F" w:rsidRPr="00511005">
        <w:rPr>
          <w:rFonts w:ascii="Arial" w:eastAsia="Times New Roman" w:hAnsi="Arial" w:cs="Arial"/>
          <w:i/>
          <w:szCs w:val="28"/>
          <w:lang w:val="uk-UA"/>
        </w:rPr>
        <w:t>асистентка кафедри Лукащук К.Р.</w:t>
      </w:r>
    </w:p>
    <w:p w14:paraId="11625FFB" w14:textId="77777777" w:rsidR="00C1357F" w:rsidRPr="00511005" w:rsidRDefault="00C1357F" w:rsidP="003A292D">
      <w:pPr>
        <w:spacing w:line="264" w:lineRule="auto"/>
        <w:ind w:firstLine="0"/>
        <w:rPr>
          <w:rFonts w:ascii="Arial" w:eastAsia="Times New Roman" w:hAnsi="Arial" w:cs="Arial"/>
          <w:szCs w:val="28"/>
          <w:lang w:val="uk-UA"/>
        </w:rPr>
      </w:pPr>
    </w:p>
    <w:p w14:paraId="0608D397" w14:textId="77777777" w:rsidR="00C1357F" w:rsidRPr="00511005" w:rsidRDefault="00C1357F" w:rsidP="003A292D">
      <w:pPr>
        <w:keepNext/>
        <w:spacing w:line="264" w:lineRule="auto"/>
        <w:ind w:firstLine="0"/>
        <w:contextualSpacing/>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Маковійчук Софія Віталіївна</w:t>
      </w:r>
    </w:p>
    <w:p w14:paraId="7E15EFE1" w14:textId="063A7AB8"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2AA09356"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D4102D0"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0D717AC" w14:textId="77777777" w:rsidR="00C1357F" w:rsidRPr="00511005" w:rsidRDefault="00C1357F" w:rsidP="003A292D">
      <w:pPr>
        <w:spacing w:line="264" w:lineRule="auto"/>
        <w:ind w:firstLine="0"/>
        <w:contextualSpacing/>
        <w:jc w:val="center"/>
        <w:rPr>
          <w:rFonts w:ascii="Arial" w:eastAsia="Times New Roman" w:hAnsi="Arial" w:cs="Arial"/>
          <w:b/>
          <w:bCs/>
          <w:szCs w:val="28"/>
          <w:lang w:val="uk-UA" w:eastAsia="ru-RU"/>
        </w:rPr>
      </w:pPr>
    </w:p>
    <w:p w14:paraId="36B415B3" w14:textId="77777777" w:rsidR="00C1357F" w:rsidRPr="00511005" w:rsidRDefault="00C1357F" w:rsidP="003A292D">
      <w:pPr>
        <w:spacing w:line="264" w:lineRule="auto"/>
        <w:ind w:firstLine="0"/>
        <w:contextualSpacing/>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ЖІНКИ В ПЕНІТЕНЦІАРНІЙ СИСТЕМІ УКРАЇНИ: УМОВИ УТРИМАННЯ ТА СПЕЦИФІКА РЕСОЦІАЛІЗАЦІЇ</w:t>
      </w:r>
    </w:p>
    <w:p w14:paraId="35B1434D" w14:textId="77777777" w:rsidR="00C1357F" w:rsidRPr="00511005" w:rsidRDefault="00C1357F"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Пенітенціарна система України тривалий час залишалася орієнтованою переважно на чоловіче населення, що призводило до ігнорування специфічних потреб жінок, які відбувають покарання у місцях позбавлення волі. Засуджені жінки становлять особливу категорію ув’язнених, для яких характерні специфічні психологічні, соціальні та фізіологічні особливості, що потребують окремого підходу як в організації умов утримання, так і в процесах ресоціалізації. Недостатня увага до цих аспектів може призводити до поглиблення соціальної ізоляції, рецидиву та інших негативних наслідків.</w:t>
      </w:r>
    </w:p>
    <w:p w14:paraId="6C6FC18E" w14:textId="77777777" w:rsidR="00C1357F" w:rsidRPr="00511005" w:rsidRDefault="00C1357F"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 Україні функціонує кілька жіночих виправних колоній, зокрема в Чернігівській, Харківській та Дніпропетровській областях. За свідченням правозахисників та дослідників, умови утримання в цих установах часто не відповідають міжнародним стандартам. Засуджені жінки зазвичай </w:t>
      </w:r>
      <w:r w:rsidRPr="00511005">
        <w:rPr>
          <w:rFonts w:ascii="Arial" w:eastAsia="Times New Roman" w:hAnsi="Arial" w:cs="Arial"/>
          <w:szCs w:val="28"/>
          <w:lang w:val="uk-UA" w:eastAsia="ru-RU"/>
        </w:rPr>
        <w:lastRenderedPageBreak/>
        <w:t>утримуються у великих гуртожитках, де проживають десятки осіб, що позбавляє їх приватного простору та негативно впливає на психоемоційний стан [5].</w:t>
      </w:r>
    </w:p>
    <w:p w14:paraId="16614399" w14:textId="77777777" w:rsidR="00C1357F" w:rsidRPr="00511005" w:rsidRDefault="00C1357F"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Крім того, існують проблеми з доступом до якісної медичної допомоги, особливо у випадках вагітності або наявності хронічних захворювань. Забезпечення гігієнічними засобами також є недостатнім, що порушує базові права жінок на гідні умови утримання [4]. Особливої уваги заслуговують вагітні жінки та матері з малолітніми дітьми, для яких необхідно створити спеціальні умови: забезпечити доступ до якісної медичної допомоги, належне харчування та психологічну підтримку [2].</w:t>
      </w:r>
    </w:p>
    <w:p w14:paraId="2C6B0459" w14:textId="77777777" w:rsidR="00C1357F" w:rsidRPr="00511005" w:rsidRDefault="00C1357F"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Психологічні особливості засуджених жінок мають велике значення при формуванні індивідуальних програм ресоціалізації. Жінки частіше за чоловіків мають досвід насильства в дитинстві або у шлюбі, що призводить до високого рівня депресивних та тривожних розладів, а також суїцидальних тенденцій [6]. У зв’язку з цим вкрай важливим є забезпечення доступу до психологічної допомоги та психотерапії, яка сприятиме зниженню внутрішньої агресії, відновленню самооцінки та формуванню конструктивної поведінки.</w:t>
      </w:r>
    </w:p>
    <w:p w14:paraId="209293EA" w14:textId="77777777" w:rsidR="00C1357F" w:rsidRPr="00511005" w:rsidRDefault="00C1357F"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Крім того, необхідно враховувати, що багато засуджених жінок мають низький рівень освіти та професійної підготовки, що ускладнює їхню адаптацію після звільнення. Тому важливо забезпечити доступ до освітніх програм та професійного навчання вже під час відбування покарання.</w:t>
      </w:r>
    </w:p>
    <w:p w14:paraId="324139B9" w14:textId="77777777" w:rsidR="00C1357F" w:rsidRPr="00511005" w:rsidRDefault="00C1357F"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Ресоціалізація жінок потребує комплексного підходу. Ефективною вважається така програма ресоціалізації, що поєднує професійне навчання, соціально-психологічну підтримку та залучення до громадсько-корисної праці. Також важливим аспектом є підготовка до звільнення та забезпечення постпенітенціарної підтримки. На думку фахівців, саме цей етап є критично важливим для запобігання рецидиву [3].</w:t>
      </w:r>
    </w:p>
    <w:p w14:paraId="0B502D26" w14:textId="77777777" w:rsidR="00C1357F" w:rsidRPr="00511005" w:rsidRDefault="00C1357F"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В Україні почали впроваджувати елементи гендерно чутливої кримінально-виконавчої політики. Наприклад, у 2021 році за підтримки міжнародних організацій були реалізовані пілотні програми, орієнтовані на освіту, правову просвіту, формування навичок ненасильницького спілкування та професійну орієнтацію засуджених жінок. Ці програми мали за мету не лише підвищення рівня адаптації жінок після звільнення, а й формування в них впевненості у власних силах та відповідальності за своє життя.</w:t>
      </w:r>
    </w:p>
    <w:p w14:paraId="1DE0D476" w14:textId="77777777" w:rsidR="00C1357F" w:rsidRPr="00511005" w:rsidRDefault="00C1357F"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Однак, незважаючи на позитивні зрушення, існують проблеми з реалізацією таких програм у всіх установах. Бракує кваліфікованих фахівців, фінансування та методичного забезпечення. Тому необхідно розробити національну стратегію ресоціалізації засуджених жінок, яка б враховувала їхні специфічні потреби та забезпечувала ефективну підтримку на всіх етапах.</w:t>
      </w:r>
    </w:p>
    <w:p w14:paraId="55437B8C" w14:textId="77777777" w:rsidR="00C1357F" w:rsidRPr="00511005" w:rsidRDefault="00C1357F"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Гендерна дискримінація у пенітенціарній системі залишається актуальною проблемою. Йдеться не лише про відсутність належних умов, а й про нестачу спеціально адаптованих програм, орієнтованих на жінок. Наприклад, існує обмежений доступ до освітніх курсів, недостатнє забезпечення гігієнічними засобами, а також упереджене ставлення з боку персоналу [1]. Вирішення цієї проблеми вимагає впровадження політики гендерної рівності та адаптації нормативно-правової бази під потреби жінок.</w:t>
      </w:r>
    </w:p>
    <w:p w14:paraId="18E78B0B" w14:textId="77777777" w:rsidR="00C1357F" w:rsidRPr="00511005" w:rsidRDefault="00C1357F"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Крім того, необхідно забезпечити гендерну чутливість персоналу пенітенціарних установ через відповідне навчання та підвищення кваліфікації. Це сприятиме створенню більш безпечного та підтримуючого середовища для засуджених жінок.</w:t>
      </w:r>
    </w:p>
    <w:p w14:paraId="05CDEF07" w14:textId="77777777" w:rsidR="00C1357F" w:rsidRPr="00511005" w:rsidRDefault="00C1357F" w:rsidP="003A292D">
      <w:pPr>
        <w:spacing w:line="264" w:lineRule="auto"/>
        <w:ind w:firstLine="0"/>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Підсумовуючи, можна вказати, що жінки в пенітенціарній системі України стикаються з низкою викликів, що ускладнюють процес їхнього виправлення та повернення до повноцінного життя в суспільстві. Для покращення ситуації необхідно реформувати систему утримання, розробити та впровадити гендерно чутливі програми ресоціалізації, а також забезпечити постпенітенціарну підтримку, що сприятиме зменшенню рецидиву та кращій соціальній інтеграції колишніх ув’язнених. До того ж, важливо забезпечити належне фінансування та кадрове забезпечення відповідних програм, а також здійснювати постійний моніторинг та оцінку їхньої ефективності.</w:t>
      </w:r>
    </w:p>
    <w:p w14:paraId="4857A4B4" w14:textId="77777777" w:rsidR="00C1357F" w:rsidRPr="00511005" w:rsidRDefault="00C1357F" w:rsidP="003A292D">
      <w:pPr>
        <w:spacing w:line="264" w:lineRule="auto"/>
        <w:ind w:firstLine="0"/>
        <w:contextualSpacing/>
        <w:rPr>
          <w:rFonts w:ascii="Arial" w:eastAsia="Times New Roman" w:hAnsi="Arial" w:cs="Arial"/>
          <w:b/>
          <w:bCs/>
          <w:szCs w:val="28"/>
          <w:lang w:val="uk-UA" w:eastAsia="ru-RU"/>
        </w:rPr>
      </w:pPr>
    </w:p>
    <w:p w14:paraId="655659F7" w14:textId="16937F52" w:rsidR="00C1357F" w:rsidRPr="00511005" w:rsidRDefault="007B2628" w:rsidP="007B2628">
      <w:pPr>
        <w:spacing w:line="264" w:lineRule="auto"/>
        <w:ind w:firstLine="0"/>
        <w:contextualSpacing/>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3CC64AFF" w14:textId="77777777" w:rsidR="00C1357F" w:rsidRPr="00511005" w:rsidRDefault="00C1357F" w:rsidP="003F6A5D">
      <w:pPr>
        <w:numPr>
          <w:ilvl w:val="0"/>
          <w:numId w:val="583"/>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Дисциплінарна практика в жіночих кримінально-виконавчих установах мінімального рівня безпеки: теоретичні аспекти / за ред. Ю. М. Соколова. – Дніпро : ДДУВС, 2019. 132 с.</w:t>
      </w:r>
    </w:p>
    <w:p w14:paraId="1E37F28E" w14:textId="77777777" w:rsidR="00C1357F" w:rsidRPr="00511005" w:rsidRDefault="00C1357F" w:rsidP="003F6A5D">
      <w:pPr>
        <w:numPr>
          <w:ilvl w:val="0"/>
          <w:numId w:val="583"/>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Інститут соціальної роботи та управління. Соціальна робота з жінками-засудженими: навч. посіб. Одеса: ОНУ ім. І. І. Мечникова, 2021. 114 с.</w:t>
      </w:r>
    </w:p>
    <w:p w14:paraId="6360E3DC" w14:textId="77777777" w:rsidR="00C1357F" w:rsidRPr="00511005" w:rsidRDefault="00C1357F" w:rsidP="003F6A5D">
      <w:pPr>
        <w:numPr>
          <w:ilvl w:val="0"/>
          <w:numId w:val="583"/>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Ковальчук І. Постпенітенціарна адаптація як етап ресоціалізації жінок-засуджених. Соціально-правовий вісник, 2022. № 4. С. 42–47.</w:t>
      </w:r>
    </w:p>
    <w:p w14:paraId="17126A8E" w14:textId="77777777" w:rsidR="00C1357F" w:rsidRPr="00511005" w:rsidRDefault="00C1357F" w:rsidP="003F6A5D">
      <w:pPr>
        <w:numPr>
          <w:ilvl w:val="0"/>
          <w:numId w:val="583"/>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Кузнецова-Молодчая Т. С. Особливості соціально-психологічної роботи з засудженими жінками, які готуються до виходу на волю. Харків. ХНУВС, 2019. 96 с.</w:t>
      </w:r>
    </w:p>
    <w:p w14:paraId="388E9830" w14:textId="77777777" w:rsidR="00C1357F" w:rsidRPr="00511005" w:rsidRDefault="00C1357F" w:rsidP="003F6A5D">
      <w:pPr>
        <w:numPr>
          <w:ilvl w:val="0"/>
          <w:numId w:val="583"/>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Петерімова О. Особливості відбування покарання жінками, засудженими до позбавлення волі. Молодий вчений, 2019. № 3 (67). С. 84–88.</w:t>
      </w:r>
    </w:p>
    <w:p w14:paraId="517131AB" w14:textId="6A88ADCF" w:rsidR="00C1357F" w:rsidRPr="00511005" w:rsidRDefault="007B2628" w:rsidP="003A292D">
      <w:pPr>
        <w:spacing w:line="264" w:lineRule="auto"/>
        <w:ind w:firstLine="0"/>
        <w:contextualSpacing/>
        <w:rPr>
          <w:rFonts w:ascii="Arial" w:eastAsia="Times New Roman" w:hAnsi="Arial" w:cs="Arial"/>
          <w:szCs w:val="28"/>
          <w:lang w:val="uk-UA" w:eastAsia="ru-RU"/>
        </w:rPr>
      </w:pPr>
      <w:r w:rsidRPr="00511005">
        <w:rPr>
          <w:rFonts w:ascii="Arial" w:eastAsia="Calibri" w:hAnsi="Arial" w:cs="Arial"/>
          <w:b/>
          <w:i/>
          <w:szCs w:val="28"/>
          <w:lang w:val="uk-UA"/>
        </w:rPr>
        <w:t xml:space="preserve">Ключові слова: </w:t>
      </w:r>
      <w:r w:rsidR="00C1357F" w:rsidRPr="00511005">
        <w:rPr>
          <w:rFonts w:ascii="Arial" w:eastAsia="Times New Roman" w:hAnsi="Arial" w:cs="Arial"/>
          <w:szCs w:val="28"/>
          <w:lang w:val="uk-UA" w:eastAsia="ru-RU"/>
        </w:rPr>
        <w:t>жінки-засуджені, пенітенціарна система, умови утримання, ресоціалізація, гендерна дискримінація, постпенітенціарна підтримка, психологічна реабілітація.​</w:t>
      </w:r>
    </w:p>
    <w:p w14:paraId="7E8B4ADA" w14:textId="449E20D1" w:rsidR="00C1357F" w:rsidRPr="00511005" w:rsidRDefault="007B2628" w:rsidP="003A292D">
      <w:pPr>
        <w:spacing w:line="264" w:lineRule="auto"/>
        <w:ind w:firstLine="0"/>
        <w:contextualSpacing/>
        <w:rPr>
          <w:rFonts w:ascii="Arial" w:eastAsia="Calibri" w:hAnsi="Arial" w:cs="Arial"/>
          <w:bCs/>
          <w:szCs w:val="28"/>
          <w:lang w:val="uk-UA"/>
        </w:rPr>
      </w:pPr>
      <w:r w:rsidRPr="00511005">
        <w:rPr>
          <w:rFonts w:ascii="Arial" w:eastAsia="Calibri" w:hAnsi="Arial" w:cs="Arial"/>
          <w:b/>
          <w:i/>
          <w:szCs w:val="28"/>
          <w:lang w:val="uk-UA"/>
        </w:rPr>
        <w:t xml:space="preserve">Key words: </w:t>
      </w:r>
      <w:r w:rsidR="00C1357F" w:rsidRPr="00511005">
        <w:rPr>
          <w:rFonts w:ascii="Arial" w:eastAsia="Calibri" w:hAnsi="Arial" w:cs="Arial"/>
          <w:bCs/>
          <w:szCs w:val="28"/>
          <w:lang w:val="uk-UA"/>
        </w:rPr>
        <w:t>female prisoners, penitentiary system, conditions of detention, resocialization, gender discrimination, post-penitentiary support, psychological rehabilitation.</w:t>
      </w:r>
    </w:p>
    <w:p w14:paraId="40C39650" w14:textId="0FD6E280" w:rsidR="00C1357F" w:rsidRPr="00511005" w:rsidRDefault="007B2628" w:rsidP="003A292D">
      <w:pPr>
        <w:spacing w:line="264" w:lineRule="auto"/>
        <w:ind w:firstLine="0"/>
        <w:contextualSpacing/>
        <w:rPr>
          <w:rFonts w:ascii="Arial" w:eastAsia="Calibri" w:hAnsi="Arial" w:cs="Arial"/>
          <w:szCs w:val="28"/>
          <w:lang w:val="uk-UA"/>
        </w:rPr>
      </w:pPr>
      <w:r w:rsidRPr="00511005">
        <w:rPr>
          <w:rFonts w:ascii="Arial" w:eastAsia="Calibri" w:hAnsi="Arial" w:cs="Arial"/>
          <w:b/>
          <w:bCs/>
          <w:i/>
          <w:iCs/>
          <w:szCs w:val="28"/>
          <w:lang w:val="uk-UA"/>
        </w:rPr>
        <w:t xml:space="preserve">Науковий керівник: </w:t>
      </w:r>
      <w:r w:rsidR="00C1357F" w:rsidRPr="00511005">
        <w:rPr>
          <w:rFonts w:ascii="Arial" w:eastAsia="Calibri" w:hAnsi="Arial" w:cs="Arial"/>
          <w:bCs/>
          <w:i/>
          <w:iCs/>
          <w:szCs w:val="28"/>
          <w:lang w:val="uk-UA"/>
        </w:rPr>
        <w:t>асистентка кафедри Лукащук К. Р.</w:t>
      </w:r>
    </w:p>
    <w:p w14:paraId="2A6A647D" w14:textId="77777777" w:rsidR="00C1357F" w:rsidRPr="00511005" w:rsidRDefault="00C1357F" w:rsidP="003A292D">
      <w:pPr>
        <w:spacing w:line="264" w:lineRule="auto"/>
        <w:ind w:firstLine="0"/>
        <w:contextualSpacing/>
        <w:rPr>
          <w:rFonts w:ascii="Arial" w:eastAsia="Calibri" w:hAnsi="Arial" w:cs="Arial"/>
          <w:szCs w:val="28"/>
          <w:lang w:val="uk-UA"/>
        </w:rPr>
      </w:pPr>
    </w:p>
    <w:p w14:paraId="4E9DD8B1" w14:textId="77777777" w:rsidR="00C1357F" w:rsidRPr="00511005" w:rsidRDefault="00C1357F" w:rsidP="003A292D">
      <w:pPr>
        <w:spacing w:line="264" w:lineRule="auto"/>
        <w:ind w:firstLine="0"/>
        <w:rPr>
          <w:rFonts w:ascii="Arial" w:eastAsia="Calibri" w:hAnsi="Arial" w:cs="Arial"/>
          <w:b/>
          <w:bCs/>
          <w:i/>
          <w:iCs/>
          <w:szCs w:val="28"/>
          <w:lang w:val="uk-UA"/>
        </w:rPr>
      </w:pPr>
    </w:p>
    <w:p w14:paraId="188ECA81" w14:textId="77777777" w:rsidR="00C1357F" w:rsidRPr="00511005" w:rsidRDefault="00C1357F"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Масловська Єлизавета Денисівна</w:t>
      </w:r>
    </w:p>
    <w:p w14:paraId="7215C4B8" w14:textId="0B0B9D17"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4828BB0F"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D9CFDCC"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45B8D0A" w14:textId="77777777" w:rsidR="00C1357F" w:rsidRPr="00511005" w:rsidRDefault="00C1357F" w:rsidP="003A292D">
      <w:pPr>
        <w:spacing w:line="264" w:lineRule="auto"/>
        <w:ind w:firstLine="0"/>
        <w:jc w:val="center"/>
        <w:rPr>
          <w:rFonts w:ascii="Arial" w:eastAsia="Calibri" w:hAnsi="Arial" w:cs="Arial"/>
          <w:b/>
          <w:bCs/>
          <w:szCs w:val="28"/>
          <w:lang w:val="uk-UA"/>
        </w:rPr>
      </w:pPr>
    </w:p>
    <w:p w14:paraId="673E8F66" w14:textId="77777777" w:rsidR="00C1357F" w:rsidRPr="00511005" w:rsidRDefault="00C1357F"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ПРЕВЕНТИВНА ФУНКЦІЯ КРИМІНАЛЬНО-ВИКОНАВЧОГО ПРАВА</w:t>
      </w:r>
    </w:p>
    <w:p w14:paraId="661022EE"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Кримінально-виконавче право України є однією з провідних галузей національного права, основним завданням якої є регламентація порядку та умов виконання кримінальних покарань, а також забезпечення правового механізму впливу на поведінку осіб, які вчинили злочини. Однією з ключових функцій цієї галузі є превентивна функція, яка спрямована на недопущення вчинення нових правопорушень як з боку засуджених, так і з боку інших осіб [1].</w:t>
      </w:r>
    </w:p>
    <w:p w14:paraId="1418ED5D"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Превентивна функція кримінально-виконавчого права спрямована на запобігання вчиненню нових злочинів. Як зазначено в науковій літературі, ця функція реалізується через систему заходів, що передбачають обмеження можливостей засудженого до повторного злочину, а також через усунення факторів, які сприяють протиправній поведінці [3, с. 215]. Превентивний вплив кримінального покарання реалізується не лише через фактичну ізоляцію злочинця, а й через моральне та правове формування особистості засудженого.</w:t>
      </w:r>
    </w:p>
    <w:p w14:paraId="1B56C7A7"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структурі превентивної функції виокремлюють загальну та спеціальну превенцію. Загальна превенція діє шляхом демонстрації невідворотності покарання за злочин, що виконує функцію стримування потенційних правопорушників. Вона формує у суспільстві уявлення про правові наслідки злочинної поведінки та зміцнює правосвідомість громадян.</w:t>
      </w:r>
    </w:p>
    <w:p w14:paraId="6B36145A"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Спеціальна превенція, у свою чергу, орієнтована на осіб, які вже вчинили злочин. Вона передбачає здійснення комплексу виховних, психокорекційних, трудових та освітніх заходів, що мають на меті зміну світогляду засудженого та його поведінкових установок. Її кінцевою метою є досягнення стійкої соціальної адаптації особи після відбуття покарання та виключення рецидиву.</w:t>
      </w:r>
    </w:p>
    <w:p w14:paraId="14B7B3DD"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Особливо важливим інструментом реалізації спеціальної превенції є система соціального патронажу після звільнення. Саме ефективна підтримка особи в перехідний період з місця позбавлення волі до повноцінного життя у суспільстві значною мірою визначає, чи стане вона на шлях правослухняної поведінки. У цьому контексті важливо розвивати інститути пробації, наставництва, співпраці з громадськими організаціями та релігійними громадами.</w:t>
      </w:r>
    </w:p>
    <w:p w14:paraId="667BDFCD"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межах теми превентивної функції кримінально-виконавчого права актуальною є проблема забезпечення динамічної безпеки в установах </w:t>
      </w:r>
      <w:r w:rsidRPr="00511005">
        <w:rPr>
          <w:rFonts w:ascii="Arial" w:eastAsia="Calibri" w:hAnsi="Arial" w:cs="Arial"/>
          <w:szCs w:val="28"/>
          <w:lang w:val="uk-UA"/>
        </w:rPr>
        <w:lastRenderedPageBreak/>
        <w:t>виконання покарань. Цей аспект превенції полягає не лише в фізичній ізоляції засуджених, але й у створенні умов, що сприяють їхньому виправленню та ресоціалізації.​</w:t>
      </w:r>
    </w:p>
    <w:p w14:paraId="3945B65B"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Як зазначає Ірина Яковець, динамічна безпека в установах виконання покарань передбачає активну взаємодію персоналу з засудженими, що дозволяє своєчасно виявляти та нейтралізувати потенційні конфлікти та правопорушення. Це досягається через глибоке розуміння психологічного стану засуджених, їхніх потреб та поведінкових особливостей, що вимагає високого рівня професійної підготовки персоналу та постійного моніторингу ситуації в установі [4].</w:t>
      </w:r>
    </w:p>
    <w:p w14:paraId="427196B4"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Впровадження динамічної безпеки як складової превентивної функції кримінально-виконавчого права сприяє не лише зниженню рівня рецидивної злочинності, але й покращенню морально-психологічного клімату в установах виконання покарань. Це, в свою чергу, підвищує ефективність процесів виправлення та ресоціалізації засуджених, що є ключовими завданнями кримінально-виконавчої системи.</w:t>
      </w:r>
    </w:p>
    <w:p w14:paraId="1AAF4279"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Попри вище наведені твердження, реалізація превентивності стикається з низкою перепон. Проблематика превентивної функції кримінально-виконавчого права полягає насамперед у її неповному або формальному виконанні. Попри те, що ресоціалізація офіційно декларується як ключовий елемент виконання покарання, на практиці пенітенціарна система часто зосереджена лише на ізоляції правопорушників, а не на їхньому виправленні чи підготовці до повернення в суспільство. Такий підхід не тільки не сприяє зниженню рівня злочинності, а й, навпаки, створює передумови для рецидиву.</w:t>
      </w:r>
    </w:p>
    <w:p w14:paraId="5095CF95"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Тюремне середовище само по собі часто чинить негативний вплив на особистість: воно сприяє закріпленню кримінальної ідентичності, формує ворожість до суспільства та руйнує залишки соціальних зв’язків. Без належного психологічного супроводу та програм професійної адаптації особа, яка звільняється, стикається з ізоляцією, відчуженням і браком можливостей, що підштовхує її назад до злочинного способу життя.</w:t>
      </w:r>
    </w:p>
    <w:p w14:paraId="1E4966BD"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Ще однією серйозною перепоною є брак кадрового та матеріального ресурсу: не вистачає кваліфікованих психологів, соціальних працівників, програм наставництва. Навіть у випадках, коли ресоціалізаційні заходи передбачені, вони не завжди системні та тривалі. А превенція злочинності вимагає саме довгострокового, сталого супроводу колишніх засуджених, включно з моніторингом, підтримкою у працевлаштуванні, допомогою у відновленні соціальних зв’язків.</w:t>
      </w:r>
    </w:p>
    <w:p w14:paraId="00F731D0"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Насамперед важливо забезпечити розширення застосування пробаційних програм, які є ключовим елементом сучасної системи ресоціалізації. Згідно із Законом України «Про пробацію», метою пробації є забезпечення безпеки суспільства шляхом виправлення засуджених, запобігання вчиненню ними </w:t>
      </w:r>
      <w:r w:rsidRPr="00511005">
        <w:rPr>
          <w:rFonts w:ascii="Arial" w:eastAsia="Calibri" w:hAnsi="Arial" w:cs="Arial"/>
          <w:szCs w:val="28"/>
          <w:lang w:val="uk-UA"/>
        </w:rPr>
        <w:lastRenderedPageBreak/>
        <w:t xml:space="preserve">повторних кримінальних правопорушень та забезпечення суду інформацією, що характеризує обвинувачених, з метою прийняття судом рішення про міру їхньої відповідальності [2]. Пробаційні програми включають комплекс заходів, спрямованих на корекцію соціальної поведінки або її окремих проявів, формування соціально сприятливих змін особистості, які можливо об’єктивно перевірити. Такий підхід є набагато ефективнішим за традиційне ув’язнення, оскільки сприяє не лише покаранню, але й реальному виправленню особи. </w:t>
      </w:r>
    </w:p>
    <w:p w14:paraId="263EA12D"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Крім того, значну роль відіграє міжвідомча співпраця — спільна діяльність правоохоронних, соціальних та освітніх інституцій дозволяє побудувати системну роботу з ресоціалізації та адаптації колишніх ув’язнених.</w:t>
      </w:r>
    </w:p>
    <w:p w14:paraId="4BBA000F"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Окрему увагу слід приділити підвищенню кваліфікації персоналу, який працює із засудженими. Соціальні працівники, психологи, інспектори пробації повинні володіти сучасними методиками супроводу та мотивації клієнтів до змін. Без належної підготовки фахівців реалізація ресоціалізаційних програм втрачає ефективність.</w:t>
      </w:r>
    </w:p>
    <w:p w14:paraId="39A11415"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Отже, ефективність превентивної функції кримінально-виконавчого права залежить від комплексного підходу до ресоціалізації засуджених і сталого супроводу після звільнення. Важливими є як спеціальна превенція — спрямована на корекцію поведінки осіб, що відбули покарання, так і загальна превенція, яка через демонстрацію невідворотності покарання стримує потенційних правопорушників. Розширення пробаційних програм, підвищення кваліфікації персоналу та міжвідомча співпраця з громадськими та соціальними установами є необхідними для досягнення стійкої соціальної адаптації колишніх ув’язнених та зниження рівня рецидиву.</w:t>
      </w:r>
    </w:p>
    <w:p w14:paraId="738C3681" w14:textId="77777777" w:rsidR="00C1357F" w:rsidRPr="00511005" w:rsidRDefault="00C1357F" w:rsidP="003A292D">
      <w:pPr>
        <w:spacing w:line="264" w:lineRule="auto"/>
        <w:ind w:firstLine="0"/>
        <w:jc w:val="center"/>
        <w:rPr>
          <w:rFonts w:ascii="Arial" w:eastAsia="Calibri" w:hAnsi="Arial" w:cs="Arial"/>
          <w:szCs w:val="28"/>
          <w:lang w:val="uk-UA"/>
        </w:rPr>
      </w:pPr>
    </w:p>
    <w:p w14:paraId="6513DAA3" w14:textId="0B52D677" w:rsidR="00C1357F"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45B78F15"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1. Кримінально-виконавчий кодекс України: Закон України від 11.07.2003 № 1129-IV: станом на 01.01.2025. URL: </w:t>
      </w:r>
      <w:hyperlink r:id="rId2114" w:anchor="Text" w:tgtFrame="_blank" w:history="1">
        <w:r w:rsidRPr="00511005">
          <w:rPr>
            <w:rFonts w:ascii="Arial" w:eastAsia="Calibri" w:hAnsi="Arial" w:cs="Arial"/>
            <w:szCs w:val="28"/>
            <w:lang w:val="uk-UA"/>
          </w:rPr>
          <w:t>https://zakon.rada.gov.ua/laws/show/1129-15#Text</w:t>
        </w:r>
      </w:hyperlink>
      <w:r w:rsidRPr="00511005">
        <w:rPr>
          <w:rFonts w:ascii="Arial" w:eastAsia="Calibri" w:hAnsi="Arial" w:cs="Arial"/>
          <w:szCs w:val="28"/>
          <w:lang w:val="uk-UA"/>
        </w:rPr>
        <w:t>.</w:t>
      </w:r>
    </w:p>
    <w:p w14:paraId="2DF8F9BD"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2. Про пробацію : Закон України від 05.02.2015 № 160-VIII: станом на 19.12.2024. URL: https://zakon.rada.gov.ua/laws/show/160-19#Text.</w:t>
      </w:r>
    </w:p>
    <w:p w14:paraId="4F04B3EC" w14:textId="77777777" w:rsidR="007B2628"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3. Голіна В. В., Степанюк А. Х., Лисодєд О. В. Кримінально-виконавче право : підручник / за ред. В. В. Голіни, А. Х. Степанюка. — Харків : Право, 2011. — 392с. URL: </w:t>
      </w:r>
      <w:hyperlink r:id="rId2115" w:history="1">
        <w:r w:rsidRPr="00511005">
          <w:rPr>
            <w:rFonts w:ascii="Arial" w:eastAsia="Calibri" w:hAnsi="Arial" w:cs="Arial"/>
            <w:szCs w:val="28"/>
            <w:lang w:val="uk-UA"/>
          </w:rPr>
          <w:t>https://library.nlu.edu.ua/BIBLIOTEKA/SAIT/FAKULTET%208/1/Krim-vik_pravo_2011.pdf</w:t>
        </w:r>
      </w:hyperlink>
      <w:r w:rsidRPr="00511005">
        <w:rPr>
          <w:rFonts w:ascii="Arial" w:eastAsia="Calibri" w:hAnsi="Arial" w:cs="Arial"/>
          <w:szCs w:val="28"/>
          <w:lang w:val="uk-UA"/>
        </w:rPr>
        <w:t>.</w:t>
      </w:r>
    </w:p>
    <w:p w14:paraId="4183A47D" w14:textId="0A0A7A5B"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4. Яковець І. С. Динамічна безпека в установах виконання покарань як основа профілактики правопорушень // Вісник Кримінологічної асоціації України. 2015. URL: </w:t>
      </w:r>
      <w:hyperlink r:id="rId2116" w:tgtFrame="_new" w:history="1">
        <w:r w:rsidRPr="00511005">
          <w:rPr>
            <w:rFonts w:ascii="Arial" w:eastAsia="Calibri" w:hAnsi="Arial" w:cs="Arial"/>
            <w:szCs w:val="28"/>
            <w:lang w:val="uk-UA"/>
          </w:rPr>
          <w:t>https://www.academia.edu/19828311/</w:t>
        </w:r>
      </w:hyperlink>
      <w:r w:rsidRPr="00511005">
        <w:rPr>
          <w:rFonts w:ascii="Arial" w:eastAsia="Calibri" w:hAnsi="Arial" w:cs="Arial"/>
          <w:szCs w:val="28"/>
          <w:lang w:val="uk-UA"/>
        </w:rPr>
        <w:t xml:space="preserve"> .</w:t>
      </w:r>
    </w:p>
    <w:p w14:paraId="724A1B9C" w14:textId="77777777" w:rsidR="00C1357F" w:rsidRPr="00511005" w:rsidRDefault="00C1357F" w:rsidP="003A292D">
      <w:pPr>
        <w:spacing w:line="264" w:lineRule="auto"/>
        <w:ind w:firstLine="0"/>
        <w:rPr>
          <w:rFonts w:ascii="Arial" w:eastAsia="Calibri" w:hAnsi="Arial" w:cs="Arial"/>
          <w:szCs w:val="28"/>
          <w:lang w:val="uk-UA"/>
        </w:rPr>
      </w:pPr>
    </w:p>
    <w:p w14:paraId="20122576" w14:textId="1E1E1DED"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lastRenderedPageBreak/>
        <w:t xml:space="preserve">Ключові слова: </w:t>
      </w:r>
      <w:r w:rsidR="00C1357F" w:rsidRPr="00511005">
        <w:rPr>
          <w:rFonts w:ascii="Arial" w:eastAsia="Calibri" w:hAnsi="Arial" w:cs="Arial"/>
          <w:szCs w:val="28"/>
          <w:lang w:val="uk-UA"/>
        </w:rPr>
        <w:t>превентивна функція, ресоціалізація засуджених, пробаційні програми, кримінально-виконавче право.</w:t>
      </w:r>
    </w:p>
    <w:p w14:paraId="7333E805" w14:textId="089DD603"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Key words: </w:t>
      </w:r>
      <w:r w:rsidR="00C1357F" w:rsidRPr="00511005">
        <w:rPr>
          <w:rFonts w:ascii="Arial" w:eastAsia="Calibri" w:hAnsi="Arial" w:cs="Arial"/>
          <w:szCs w:val="28"/>
          <w:lang w:val="uk-UA"/>
        </w:rPr>
        <w:t>preventive function, resocialization of convicts, probation programs, criminal enforcement law.</w:t>
      </w:r>
    </w:p>
    <w:p w14:paraId="295904F3" w14:textId="41BBF1B6" w:rsidR="00C1357F"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C1357F" w:rsidRPr="00511005">
        <w:rPr>
          <w:rFonts w:ascii="Arial" w:eastAsia="Calibri" w:hAnsi="Arial" w:cs="Arial"/>
          <w:i/>
          <w:iCs/>
          <w:szCs w:val="28"/>
          <w:lang w:val="uk-UA"/>
        </w:rPr>
        <w:t>асистентка кафедри Лукащук К. Р.</w:t>
      </w:r>
    </w:p>
    <w:p w14:paraId="571F9EF0" w14:textId="77777777" w:rsidR="00C1357F" w:rsidRPr="00511005" w:rsidRDefault="00C1357F" w:rsidP="003A292D">
      <w:pPr>
        <w:spacing w:line="264" w:lineRule="auto"/>
        <w:ind w:firstLine="0"/>
        <w:rPr>
          <w:rFonts w:ascii="Arial" w:eastAsia="Calibri" w:hAnsi="Arial" w:cs="Arial"/>
          <w:b/>
          <w:bCs/>
          <w:i/>
          <w:iCs/>
          <w:szCs w:val="28"/>
          <w:lang w:val="uk-UA"/>
        </w:rPr>
      </w:pPr>
    </w:p>
    <w:p w14:paraId="73215405" w14:textId="77777777" w:rsidR="00C1357F" w:rsidRPr="00511005" w:rsidRDefault="00C1357F"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Рачок Анна Ігорівна</w:t>
      </w:r>
    </w:p>
    <w:p w14:paraId="6AC162A8" w14:textId="39E27848"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17F2C849"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7FA58A8"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6340022" w14:textId="77777777" w:rsidR="00C1357F" w:rsidRPr="00511005" w:rsidRDefault="00C1357F" w:rsidP="003A292D">
      <w:pPr>
        <w:spacing w:line="264" w:lineRule="auto"/>
        <w:ind w:firstLine="0"/>
        <w:jc w:val="center"/>
        <w:rPr>
          <w:rFonts w:ascii="Arial" w:eastAsia="Calibri" w:hAnsi="Arial" w:cs="Arial"/>
          <w:szCs w:val="28"/>
          <w:lang w:val="uk-UA"/>
        </w:rPr>
      </w:pPr>
    </w:p>
    <w:p w14:paraId="33F5E514" w14:textId="77777777" w:rsidR="00C1357F" w:rsidRPr="00511005" w:rsidRDefault="00C1357F"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ОКРЕМІ АСПЕКТИ ЩОДО ФУНКЦІОНУВАННЯ ДЕРЖАВНОЇ СЛУЖБИ ПРОБАЦІЇ ЛАТВІЇ ТА ДЕРЖАВНОЇ УСТАНОВИ «ЦЕНТР ПРОБАЦІЇ» В УКРАЇНІ</w:t>
      </w:r>
    </w:p>
    <w:p w14:paraId="7B620A1A" w14:textId="77777777" w:rsidR="00C1357F" w:rsidRPr="00511005" w:rsidRDefault="00C1357F"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У сучасних умовах реформування системи кримінальної юстиції особливу увагу привертає інститут пробації як гуманний, ефективний та соціально орієнтований механізм ресоціалізації правопорушників. Досвід функціонування пробаційних служб окремих європейських країн, зокрема Латвії, є корисним для вдосконалення національної системи пробації в Україні.</w:t>
      </w:r>
    </w:p>
    <w:p w14:paraId="7B2A7F7A" w14:textId="77777777" w:rsidR="00C1357F" w:rsidRPr="00511005" w:rsidRDefault="00C1357F"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Законодавчо Латвія запровадила пробацію ще 18 грудня 2003, котрий був прийнятий Сеймом Латвії та набрав чинності з 1 січня 2004. Зауважу, що Державна служба пробації Латвії виконує низку ключових функцій, серед яких варто виділити наступні: </w:t>
      </w:r>
    </w:p>
    <w:p w14:paraId="28696B3A" w14:textId="77777777" w:rsidR="00C1357F" w:rsidRPr="00511005" w:rsidRDefault="00C1357F" w:rsidP="003F6A5D">
      <w:pPr>
        <w:numPr>
          <w:ilvl w:val="0"/>
          <w:numId w:val="56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підготовка звітів про оцінку клієнтів пробації, що надаються на вимогу суду або прокурора та містять узагальнену інформацію щодо ризику повторного вчинення кримінального правопорушення та факторів, котрі сприяють або перешкоджають ресоціалізації особи;</w:t>
      </w:r>
    </w:p>
    <w:p w14:paraId="6F4345F1" w14:textId="77777777" w:rsidR="00C1357F" w:rsidRPr="00511005" w:rsidRDefault="00C1357F" w:rsidP="003F6A5D">
      <w:pPr>
        <w:numPr>
          <w:ilvl w:val="0"/>
          <w:numId w:val="56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розробка та реалізація програм пробації, котрі спрямовані на корекцію соціальної поведінки та безпосередньо їхню інтеграцію в суспільство;</w:t>
      </w:r>
    </w:p>
    <w:p w14:paraId="02DF1F66" w14:textId="77777777" w:rsidR="00C1357F" w:rsidRPr="00511005" w:rsidRDefault="00C1357F" w:rsidP="003F6A5D">
      <w:pPr>
        <w:numPr>
          <w:ilvl w:val="0"/>
          <w:numId w:val="56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виконання примусових та громадських робіт, що включає в собі: забезпечення виконання покарань, котрі не повʼязані з позбавленням волі, зокрема для неповнолітніх;</w:t>
      </w:r>
    </w:p>
    <w:p w14:paraId="44C42E72" w14:textId="77777777" w:rsidR="00C1357F" w:rsidRPr="00511005" w:rsidRDefault="00C1357F" w:rsidP="003F6A5D">
      <w:pPr>
        <w:numPr>
          <w:ilvl w:val="0"/>
          <w:numId w:val="56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нагляд за засудженими, що інтерпретується в здійсненні контролю за особами, умовно-достроково звільненими від відбування покарання, включаючи електронний моніторинг [3]. </w:t>
      </w:r>
    </w:p>
    <w:p w14:paraId="3536B391" w14:textId="77777777" w:rsidR="00C1357F" w:rsidRPr="00511005" w:rsidRDefault="00C1357F"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Окрім цього, Державна служба пробації Латвії виконує ще чотири основні наглядові функції, а саме:</w:t>
      </w:r>
    </w:p>
    <w:p w14:paraId="0E939E97" w14:textId="77777777" w:rsidR="00C1357F" w:rsidRPr="00511005" w:rsidRDefault="00C1357F" w:rsidP="003F6A5D">
      <w:pPr>
        <w:numPr>
          <w:ilvl w:val="0"/>
          <w:numId w:val="56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нагляд за умовно звільненими від кримінальної відповідальності з іспитовим строком;</w:t>
      </w:r>
    </w:p>
    <w:p w14:paraId="5037C352" w14:textId="77777777" w:rsidR="00C1357F" w:rsidRPr="00511005" w:rsidRDefault="00C1357F" w:rsidP="003F6A5D">
      <w:pPr>
        <w:numPr>
          <w:ilvl w:val="0"/>
          <w:numId w:val="56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нагляд за умовно засудженими з іспитовим строком;</w:t>
      </w:r>
    </w:p>
    <w:p w14:paraId="064D1109" w14:textId="77777777" w:rsidR="00C1357F" w:rsidRPr="00511005" w:rsidRDefault="00C1357F" w:rsidP="003F6A5D">
      <w:pPr>
        <w:numPr>
          <w:ilvl w:val="0"/>
          <w:numId w:val="56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lastRenderedPageBreak/>
        <w:t>нагляд за умовно-достроково звільненими від покарання;</w:t>
      </w:r>
    </w:p>
    <w:p w14:paraId="55933D7E" w14:textId="77777777" w:rsidR="00C1357F" w:rsidRPr="00511005" w:rsidRDefault="00C1357F" w:rsidP="003F6A5D">
      <w:pPr>
        <w:numPr>
          <w:ilvl w:val="0"/>
          <w:numId w:val="56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виконання додаткового покарання – нагляд пробації [5].</w:t>
      </w:r>
    </w:p>
    <w:p w14:paraId="0CAADF99" w14:textId="77777777" w:rsidR="00C1357F" w:rsidRPr="00511005" w:rsidRDefault="00C1357F"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Цікаво, що нагляд за засудженими здійснюється згідно з Порядком, котрий затверджений вищим органом виконавчої влади, відповідно до даного плану нагляду, що готується відповідною посадовою особою Державної служби пробації. До складання плану залучається, за можливості, і сам засуджений. </w:t>
      </w:r>
    </w:p>
    <w:p w14:paraId="12509560" w14:textId="77777777" w:rsidR="00C1357F" w:rsidRPr="00511005" w:rsidRDefault="00C1357F"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Стосовно ситуації в Україні, то Державна установа «Центр пробації» виконує аналогічні функції, зосереджуючись на підготовці досудових доповідей, реалізації пробаційних програм, здійсненні нагляду за правопорушниками, сприянні їх ресоціалізації [1]. Загалом, українська модель пробації поступово розвивається у напрямку європейських стандартів, проте, як правило, постають певні виклики, включаючи: недофінансування, нестачу кадрів, потребу у глибшій реінтеграції клієнтів у громаду. Враховуючи вищезазначені фактори – пробація в Україні вже довела свою ефективність як інструмент гуманної, безпечної, економічно доцільної альтернативи позбавленню волі [4]. </w:t>
      </w:r>
    </w:p>
    <w:p w14:paraId="387F3E78" w14:textId="77777777" w:rsidR="00C1357F" w:rsidRPr="00511005" w:rsidRDefault="00C1357F"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 той же час, завдяки комплексному, міждисциплінарному та соціально орієнтованому підходу латвійська пробація демонструє високий рівень довіри з боку суспільства, окрім цього, має стабільний рівень ефективності у сфері профілактики повторних злочинів. </w:t>
      </w:r>
    </w:p>
    <w:p w14:paraId="048C5D16" w14:textId="77777777" w:rsidR="00C1357F" w:rsidRPr="00511005" w:rsidRDefault="00C1357F"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Варто зазначити щодо співробітництва між Латвією та Україною, оскільки саме у сфері пробації дане співробітництво є прикладом ефективного міжнародного обміну досвідом. Наші вітчизняні фахівці неодноразово відвідували латвійських колег з метою вивчення їх досвіду в організації пробаційної служби, зокрема щодо моніторингу навантаження на працівників, управління якістю ведення справ клієнтів та застосування новітніх знань у напрямку цифровізації, а саме – електронного моніторингу [2]. </w:t>
      </w:r>
    </w:p>
    <w:p w14:paraId="17DBC027" w14:textId="77777777" w:rsidR="00C1357F" w:rsidRPr="00511005" w:rsidRDefault="00C1357F"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Латвійські експерти зі свого боку активно допомагають нашій пробаційній системі з початкових етапів – надавали консультації та підтримку у впровадженні пробації в Україні, раніше і дотепер – сприяють в адаптації найкращої європейської практики.</w:t>
      </w:r>
    </w:p>
    <w:p w14:paraId="6467639E" w14:textId="77777777" w:rsidR="00C1357F" w:rsidRPr="00511005" w:rsidRDefault="00C1357F"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Аналізуючи все вище сказане, можна дійти до висновку, що Державна служба пробації Латвії та Державна установа «Центр пробації» в Україні мають подібні між собою підходи до функціонування даних установ, реалізації пробаційних заходів, водночас враховуючи потреби національного законодавства та потреби і запити кожної з держав. Співпраця існує і має досить хороші результати, оскільки вона сприяє вдосконаленню пробаційних систем та підвищенню ефективності роботи з правопорушниками, що і сприяє зміцненню громадської безпеки з одного боку, а з іншого – зниженню рівня рецидивної злочинності. </w:t>
      </w:r>
    </w:p>
    <w:p w14:paraId="6D65A13A" w14:textId="77777777" w:rsidR="00C1357F" w:rsidRPr="00511005" w:rsidRDefault="00C1357F" w:rsidP="003A292D">
      <w:pPr>
        <w:spacing w:line="264" w:lineRule="auto"/>
        <w:ind w:firstLine="0"/>
        <w:rPr>
          <w:rFonts w:ascii="Arial" w:eastAsia="Calibri" w:hAnsi="Arial" w:cs="Arial"/>
          <w:b/>
          <w:bCs/>
          <w:szCs w:val="28"/>
          <w:lang w:val="uk-UA"/>
        </w:rPr>
      </w:pPr>
    </w:p>
    <w:p w14:paraId="6EE71F6F" w14:textId="3204901C" w:rsidR="00C1357F" w:rsidRPr="00511005" w:rsidRDefault="007B2628" w:rsidP="007B2628">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lastRenderedPageBreak/>
        <w:t>Список використаних джерел</w:t>
      </w:r>
    </w:p>
    <w:p w14:paraId="33ADDEC9" w14:textId="77777777" w:rsidR="00C1357F" w:rsidRPr="00511005" w:rsidRDefault="00C1357F" w:rsidP="003F6A5D">
      <w:pPr>
        <w:numPr>
          <w:ilvl w:val="0"/>
          <w:numId w:val="56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Закон України «Про пробацію» від 05.02.2015. №4081-ІХ: станом на 20.11.2024.</w:t>
      </w:r>
      <w:r w:rsidRPr="00511005">
        <w:rPr>
          <w:rFonts w:ascii="Arial" w:eastAsia="Calibri" w:hAnsi="Arial" w:cs="Arial"/>
          <w:i/>
          <w:iCs/>
          <w:szCs w:val="28"/>
          <w:shd w:val="clear" w:color="auto" w:fill="FFFFFF"/>
          <w:lang w:val="uk-UA"/>
        </w:rPr>
        <w:t xml:space="preserve"> </w:t>
      </w:r>
      <w:r w:rsidRPr="00511005">
        <w:rPr>
          <w:rFonts w:ascii="Arial" w:eastAsia="Calibri" w:hAnsi="Arial" w:cs="Arial"/>
          <w:szCs w:val="28"/>
          <w:lang w:val="uk-UA"/>
        </w:rPr>
        <w:t xml:space="preserve">URL: </w:t>
      </w:r>
      <w:hyperlink r:id="rId2117" w:anchor="Text" w:history="1">
        <w:r w:rsidRPr="00511005">
          <w:rPr>
            <w:rFonts w:ascii="Arial" w:eastAsia="Calibri" w:hAnsi="Arial" w:cs="Arial"/>
            <w:szCs w:val="28"/>
            <w:lang w:val="uk-UA"/>
          </w:rPr>
          <w:t>https://zakon.rada.gov.ua/laws/show/160-19#Text</w:t>
        </w:r>
      </w:hyperlink>
      <w:r w:rsidRPr="00511005">
        <w:rPr>
          <w:rFonts w:ascii="Arial" w:eastAsia="Calibri" w:hAnsi="Arial" w:cs="Arial"/>
          <w:szCs w:val="28"/>
          <w:lang w:val="uk-UA"/>
        </w:rPr>
        <w:t>.</w:t>
      </w:r>
    </w:p>
    <w:p w14:paraId="3048896E" w14:textId="77777777" w:rsidR="00C1357F" w:rsidRPr="00511005" w:rsidRDefault="00C1357F" w:rsidP="003F6A5D">
      <w:pPr>
        <w:numPr>
          <w:ilvl w:val="0"/>
          <w:numId w:val="56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Council of Europe. Probation Rules. Recommendation CM/Rec (2010)1 of the Committee of Ministers to member states on the Council of Europe Probation Rules. Strasbourg, 2010. URL: </w:t>
      </w:r>
      <w:hyperlink r:id="rId2118" w:history="1">
        <w:r w:rsidRPr="00511005">
          <w:rPr>
            <w:rFonts w:ascii="Arial" w:eastAsia="Calibri" w:hAnsi="Arial" w:cs="Arial"/>
            <w:szCs w:val="28"/>
            <w:lang w:val="uk-UA"/>
          </w:rPr>
          <w:t>https://www.coe.int/en/web/prison/</w:t>
        </w:r>
      </w:hyperlink>
      <w:r w:rsidRPr="00511005">
        <w:rPr>
          <w:rFonts w:ascii="Arial" w:eastAsia="Calibri" w:hAnsi="Arial" w:cs="Arial"/>
          <w:szCs w:val="28"/>
          <w:lang w:val="uk-UA"/>
        </w:rPr>
        <w:t xml:space="preserve"> .</w:t>
      </w:r>
    </w:p>
    <w:p w14:paraId="69CD1494" w14:textId="77777777" w:rsidR="00C1357F" w:rsidRPr="00511005" w:rsidRDefault="00C1357F" w:rsidP="003F6A5D">
      <w:pPr>
        <w:numPr>
          <w:ilvl w:val="0"/>
          <w:numId w:val="56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Valsts probācijas dienests. Державна пробаційна служба Латвії. URL: </w:t>
      </w:r>
      <w:hyperlink r:id="rId2119" w:history="1">
        <w:r w:rsidRPr="00511005">
          <w:rPr>
            <w:rFonts w:ascii="Arial" w:eastAsia="Calibri" w:hAnsi="Arial" w:cs="Arial"/>
            <w:szCs w:val="28"/>
            <w:lang w:val="uk-UA"/>
          </w:rPr>
          <w:t>https://www.probacija.lv/</w:t>
        </w:r>
      </w:hyperlink>
      <w:r w:rsidRPr="00511005">
        <w:rPr>
          <w:rFonts w:ascii="Arial" w:eastAsia="Calibri" w:hAnsi="Arial" w:cs="Arial"/>
          <w:szCs w:val="28"/>
          <w:lang w:val="uk-UA"/>
        </w:rPr>
        <w:t>.</w:t>
      </w:r>
    </w:p>
    <w:p w14:paraId="7B9B66E0" w14:textId="77777777" w:rsidR="00C1357F" w:rsidRPr="00511005" w:rsidRDefault="00C1357F" w:rsidP="003F6A5D">
      <w:pPr>
        <w:numPr>
          <w:ilvl w:val="0"/>
          <w:numId w:val="56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Державна установа «Центр пробації». URL: </w:t>
      </w:r>
      <w:hyperlink r:id="rId2120" w:history="1">
        <w:r w:rsidRPr="00511005">
          <w:rPr>
            <w:rFonts w:ascii="Arial" w:eastAsia="Calibri" w:hAnsi="Arial" w:cs="Arial"/>
            <w:szCs w:val="28"/>
            <w:lang w:val="uk-UA"/>
          </w:rPr>
          <w:t>https://probation.gov.ua/</w:t>
        </w:r>
      </w:hyperlink>
      <w:r w:rsidRPr="00511005">
        <w:rPr>
          <w:rFonts w:ascii="Arial" w:eastAsia="Calibri" w:hAnsi="Arial" w:cs="Arial"/>
          <w:szCs w:val="28"/>
          <w:lang w:val="uk-UA"/>
        </w:rPr>
        <w:t>.</w:t>
      </w:r>
    </w:p>
    <w:p w14:paraId="13C69BE9" w14:textId="6DA22620" w:rsidR="00C1357F" w:rsidRPr="00511005" w:rsidRDefault="00C1357F" w:rsidP="003F6A5D">
      <w:pPr>
        <w:numPr>
          <w:ilvl w:val="0"/>
          <w:numId w:val="56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Лисодєд О.В. Окремі аспекти функціонування служби пробації в Латвії. Актуальні питання публічного та приватного права : зб. тез наук. праць. Харків, 2019.</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С. 33–39. URL: </w:t>
      </w:r>
      <w:hyperlink r:id="rId2121" w:history="1">
        <w:r w:rsidRPr="00511005">
          <w:rPr>
            <w:rFonts w:ascii="Arial" w:eastAsia="Calibri" w:hAnsi="Arial" w:cs="Arial"/>
            <w:szCs w:val="28"/>
            <w:lang w:val="uk-UA"/>
          </w:rPr>
          <w:t>http://dspace.nlu.edu.ua/bitstream/123456789/18714/1/Lisoded_33-39.pdf</w:t>
        </w:r>
      </w:hyperlink>
      <w:r w:rsidRPr="00511005">
        <w:rPr>
          <w:rFonts w:ascii="Arial" w:eastAsia="Calibri" w:hAnsi="Arial" w:cs="Arial"/>
          <w:szCs w:val="28"/>
          <w:lang w:val="uk-UA"/>
        </w:rPr>
        <w:t>.</w:t>
      </w:r>
    </w:p>
    <w:p w14:paraId="4557E8ED" w14:textId="77777777" w:rsidR="00C1357F" w:rsidRPr="00511005" w:rsidRDefault="00C1357F" w:rsidP="003A292D">
      <w:pPr>
        <w:spacing w:line="264" w:lineRule="auto"/>
        <w:ind w:firstLine="0"/>
        <w:rPr>
          <w:rFonts w:ascii="Arial" w:eastAsia="Calibri" w:hAnsi="Arial" w:cs="Arial"/>
          <w:b/>
          <w:bCs/>
          <w:szCs w:val="28"/>
          <w:lang w:val="uk-UA"/>
        </w:rPr>
      </w:pPr>
    </w:p>
    <w:p w14:paraId="588F972D" w14:textId="2AF235A4"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357F" w:rsidRPr="00511005">
        <w:rPr>
          <w:rFonts w:ascii="Arial" w:eastAsia="Calibri" w:hAnsi="Arial" w:cs="Arial"/>
          <w:szCs w:val="28"/>
          <w:lang w:val="uk-UA"/>
        </w:rPr>
        <w:t xml:space="preserve">служба пробації, Латвія, Україна, функції, співпраця. </w:t>
      </w:r>
    </w:p>
    <w:p w14:paraId="17A77357" w14:textId="5A5E0A7B"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Key words: </w:t>
      </w:r>
      <w:r w:rsidR="00C1357F" w:rsidRPr="00511005">
        <w:rPr>
          <w:rFonts w:ascii="Arial" w:eastAsia="Calibri" w:hAnsi="Arial" w:cs="Arial"/>
          <w:szCs w:val="28"/>
          <w:lang w:val="uk-UA"/>
        </w:rPr>
        <w:t xml:space="preserve">probation service, Latvia, Ukraine, functions, cooperation. </w:t>
      </w:r>
    </w:p>
    <w:p w14:paraId="0E0089DB" w14:textId="6234A935" w:rsidR="00C1357F"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C1357F" w:rsidRPr="00511005">
        <w:rPr>
          <w:rFonts w:ascii="Arial" w:eastAsia="Calibri" w:hAnsi="Arial" w:cs="Arial"/>
          <w:i/>
          <w:iCs/>
          <w:szCs w:val="28"/>
          <w:lang w:val="uk-UA"/>
        </w:rPr>
        <w:t xml:space="preserve">асистентка кафедри Лукащук К. Р. </w:t>
      </w:r>
    </w:p>
    <w:p w14:paraId="45B54158" w14:textId="77777777" w:rsidR="00C1357F" w:rsidRPr="00511005" w:rsidRDefault="00C1357F" w:rsidP="003A292D">
      <w:pPr>
        <w:spacing w:line="264" w:lineRule="auto"/>
        <w:ind w:firstLine="0"/>
        <w:rPr>
          <w:rFonts w:ascii="Arial" w:eastAsia="Calibri" w:hAnsi="Arial" w:cs="Arial"/>
          <w:szCs w:val="28"/>
          <w:lang w:val="uk-UA"/>
        </w:rPr>
      </w:pPr>
    </w:p>
    <w:p w14:paraId="55989BF1" w14:textId="77777777" w:rsidR="00C1357F" w:rsidRPr="00511005" w:rsidRDefault="00C1357F" w:rsidP="003A292D">
      <w:pPr>
        <w:spacing w:line="264" w:lineRule="auto"/>
        <w:ind w:right="1134" w:firstLine="0"/>
        <w:contextualSpacing/>
        <w:jc w:val="center"/>
        <w:rPr>
          <w:rFonts w:ascii="Arial" w:eastAsia="Calibri" w:hAnsi="Arial" w:cs="Arial"/>
          <w:b/>
          <w:i/>
          <w:szCs w:val="28"/>
          <w:lang w:val="uk-UA"/>
        </w:rPr>
      </w:pPr>
      <w:r w:rsidRPr="00511005">
        <w:rPr>
          <w:rFonts w:ascii="Arial" w:eastAsia="Calibri" w:hAnsi="Arial" w:cs="Arial"/>
          <w:b/>
          <w:i/>
          <w:szCs w:val="28"/>
          <w:lang w:val="uk-UA"/>
        </w:rPr>
        <w:t>Склярук Кирило Олександрович</w:t>
      </w:r>
    </w:p>
    <w:p w14:paraId="3A281174" w14:textId="20F667BC"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2E32629D"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DFDE1D9"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7655E41" w14:textId="77777777" w:rsidR="00C1357F" w:rsidRPr="00511005" w:rsidRDefault="00C1357F" w:rsidP="003A292D">
      <w:pPr>
        <w:spacing w:line="264" w:lineRule="auto"/>
        <w:ind w:firstLine="0"/>
        <w:contextualSpacing/>
        <w:jc w:val="center"/>
        <w:rPr>
          <w:rFonts w:ascii="Arial" w:eastAsia="Calibri" w:hAnsi="Arial" w:cs="Arial"/>
          <w:szCs w:val="28"/>
          <w:lang w:val="uk-UA"/>
        </w:rPr>
      </w:pPr>
    </w:p>
    <w:p w14:paraId="16DDC83F" w14:textId="77777777" w:rsidR="00C1357F" w:rsidRPr="00511005" w:rsidRDefault="00C1357F" w:rsidP="003A292D">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ЮРИДИЧНІ АСПЕКТИ ВИКОРИСТАННЯ ЦИФРОВИХ ТЕХНОЛОГІЙ У ВИПРАВНИХ КОЛОНІЯХ (ЕЛЕКТРОННИЙ КОНТРОЛЬ, ВІДЕОЗВ’ЯЗОК ІЗ РОДИЧАМИ)</w:t>
      </w:r>
    </w:p>
    <w:p w14:paraId="5557CA30" w14:textId="77777777" w:rsidR="00C1357F" w:rsidRPr="00511005" w:rsidRDefault="00C1357F" w:rsidP="003A292D">
      <w:pPr>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Сучасний світ стрімко цифровізується, і ця трансформація не оминає навіть такі специфічні сфери, як пенітенціарна система. Використання цифрових технологій у виправних колоніях, зокрема електронного контролю та відеозв’язку з родичами, відкриває нові можливості для підвищення ефективності управління, забезпечення безпеки та підтримки соціальних зв’язків ув’язнених. Водночас інтеграція таких технологій у систему виконання покарань породжує низку юридичних питань, пов’язаних із захистом прав людини, конфіденційністю даних, законністю впровадження та відповідністю міжнародним стандартам. У цьому контексті важливо дослідити, як цифрові інструменти можуть гармонійно співіснувати з принципами законності, гуманності та справедливості, забезпечуючи баланс між контролем, ресоціалізацією та правами ув’язнених.</w:t>
      </w:r>
    </w:p>
    <w:p w14:paraId="23F48136" w14:textId="77777777" w:rsidR="00C1357F" w:rsidRPr="00511005" w:rsidRDefault="00C1357F" w:rsidP="003A292D">
      <w:pPr>
        <w:spacing w:line="264" w:lineRule="auto"/>
        <w:ind w:firstLine="0"/>
        <w:contextualSpacing/>
        <w:rPr>
          <w:rFonts w:ascii="Arial" w:eastAsia="Calibri" w:hAnsi="Arial" w:cs="Arial"/>
          <w:b/>
          <w:szCs w:val="28"/>
          <w:lang w:val="uk-UA"/>
        </w:rPr>
      </w:pPr>
      <w:r w:rsidRPr="00511005">
        <w:rPr>
          <w:rFonts w:ascii="Arial" w:eastAsia="Calibri" w:hAnsi="Arial" w:cs="Arial"/>
          <w:szCs w:val="28"/>
          <w:lang w:val="uk-UA"/>
        </w:rPr>
        <w:t xml:space="preserve">Цифрові технології — зокрема електронний моніторинг і відеозв’язок із родичами — дедалі активніше впроваджуються в пенітенціарну систему, </w:t>
      </w:r>
      <w:r w:rsidRPr="00511005">
        <w:rPr>
          <w:rFonts w:ascii="Arial" w:eastAsia="Calibri" w:hAnsi="Arial" w:cs="Arial"/>
          <w:szCs w:val="28"/>
          <w:lang w:val="uk-UA"/>
        </w:rPr>
        <w:lastRenderedPageBreak/>
        <w:t>зокрема у виправних установах. Їх застосування відкриває перспективи для підвищення рівня безпеки, оптимізації управління та збереження соціальних контактів засуджених. Водночас це спричиняє низку юридичних викликів, пов’язаних із дотриманням прав людини, захистом персональних даних і відповідністю як національним, так і міжнародним правовим нормам. Як зазначає український правознавець О. М. Бандурка, впровадження цифрових технологій у пенітенціарній системі має ґрунтуватися на принципах законності й гуманності, щоб уникнути порушення прав ув’язнених і забезпечити їхню ресоціалізацію [2, с. 78].</w:t>
      </w:r>
    </w:p>
    <w:p w14:paraId="760DAC10"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Електронний контроль, що включає GPS-браслети, біометричні системи та камери з розпізнаванням облич, спрямований на запобігання втечам, моніторинг поведінки ув’язнених і забезпечення безпеки в колоніях. Проте його застосування потребує чіткого правового регулювання. Законність таких заходів має бути закріплена в національному законодавстві, зокрема в Кримінально-виконавчому кодексі України, із визначенням категорій ув’язнених, до яких застосовується контроль, та межі його використання. Важливим аспектом є захист персональних даних, адже збір і обробка біометричної інформації чи даних про пересування вимагають відповідності Закону України «Про захист персональних даних» та міжнародним стандартам, як-от GDPR. Постійний моніторинг може вступати в конфлікт із правом на приватність, гарантованим статтею 8 Європейської конвенції з прав людини, якщо не обґрунтований легітимною метою чи не обмежений у часі. Український дослідник В. І. Шакун наголошує, що електронний контроль може сприяти ресоціалізації, наприклад, через програми умовного звільнення, але лише за наявності прозорих процедур і судового нагляду, які запобігають зловживанням [4, с. 123].</w:t>
      </w:r>
    </w:p>
    <w:p w14:paraId="058ECB8A"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Не менш важливим є використання відеозв’язку для спілкування ув’язнених із родичами, що стало особливо актуальним в умовах обмежень, спричинених пандеміями чи географічною віддаленістю колоній. Відеозв’язок сприяє реалізації права на повагу до сімейного життя, закріпленого в статті 8 Європейської конвенції, але його впровадження також має юридичні виклики. Конфіденційність комунікацій є ключовим питанням: запис або моніторинг відеодзвінків може порушувати право на приватність, якщо не виправданий безпековими потребами. Необхідно встановити чіткі правила щодо доступу до записів і термінів їх зберігання. Крім того, доступ до відеозв’язку має бути рівним для всіх ув’язнених, незалежно від їхнього матеріального стану чи категорії правопорушення, щоб уникнути дискримінації.</w:t>
      </w:r>
    </w:p>
    <w:p w14:paraId="52232BFF"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 xml:space="preserve">Використання цифрових технологій у виправних колоніях має відповідати міжнародним стандартам, зокрема Європейським пенітенціарним правилам (EPR), які акцентують на необхідності гармонійного поєднання безпеки, захисту прав ув’язнених і сприяння їхній ресоціалізації. Ці правила </w:t>
      </w:r>
      <w:r w:rsidRPr="00511005">
        <w:rPr>
          <w:rFonts w:ascii="Arial" w:eastAsia="Times New Roman" w:hAnsi="Arial" w:cs="Arial"/>
          <w:szCs w:val="28"/>
          <w:lang w:val="uk-UA"/>
        </w:rPr>
        <w:lastRenderedPageBreak/>
        <w:t xml:space="preserve">вимагають, щоб будь-які технологічні нововведення в пенітенціарній системі були пропорційними, обґрунтованими та спрямованими на досягнення легітимних цілей, таких як громадська безпека чи реабілітація. </w:t>
      </w:r>
    </w:p>
    <w:p w14:paraId="2A5BBEB0"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 xml:space="preserve">Наприклад, EPR підкреслюють, що обмеження прав ув’язнених, зокрема через електронний контроль, мають бути мінімальними та чітко регламентованими. Національне законодавство України, своєю чергою, відіграє ключову роль у адаптації цих стандартів до місцевих реалій. </w:t>
      </w:r>
    </w:p>
    <w:p w14:paraId="1CAF32BE"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 xml:space="preserve">Кримінально-виконавчий кодекс України та підзаконні акти повинні визначати чіткі процедури впровадження цифрових технологій, включаючи технічні стандарти, порядок використання та механізми оскарження рішень. </w:t>
      </w:r>
    </w:p>
    <w:p w14:paraId="083A5D79"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 xml:space="preserve">Наприклад, ув’язнені повинні мати право оскаржувати надмірний електронний контроль через судові чи адміністративні процедури, що забезпечує захист від свавільного застосування технологій. </w:t>
      </w:r>
    </w:p>
    <w:p w14:paraId="42209225"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Крім того, законодавство має передбачати відповідальність адміністрації виправних колоній за порушення прав, такі як несанкціонований доступ до даних відеозв’язку чи необґрунтоване використання біометричних систем. Як зазначає український правознавець М. В. Романов, успішна інтеграція цифрових технологій у пенітенціарну систему залежить від створення комплексної нормативної бази, яка поєднує міжнародні стандарти з національними особливостями, забезпечуючи баланс між контролем і правами людини [3, с. 56]. Такий підхід дозволяє не лише підвищити ефективність виконання покарань, а й сприяти соціальній реінтеграції ув’язнених, що є однією з ключових цілей сучасної пенітенціарної політики.</w:t>
      </w:r>
    </w:p>
    <w:p w14:paraId="76936F34" w14:textId="77777777" w:rsidR="00C1357F" w:rsidRPr="00511005" w:rsidRDefault="00C1357F"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szCs w:val="28"/>
          <w:lang w:val="uk-UA"/>
        </w:rPr>
        <w:t>Використання цифрових технологій у виправних колоніях, таких як електронний контроль і відеозв’язок, відкриває нові перспективи для модернізації пенітенціарної системи, але вимагає ретельного юридичного регулювання. Забезпечення відповідності міжнародним стандартам, зокрема Європейським пенітенціарним правилам, та адаптація національного законодавства України є необхідними умовами для гармонійного впровадження цих технологій. Комплексний підхід, який поєднує захист прав ув’язнених, гарантування безпеки та сприяння їхній ресоціалізації, дозволить досягти балансу між сучасними технологічними можливостями та принципами гуманності й справедливості.</w:t>
      </w:r>
    </w:p>
    <w:p w14:paraId="111E0EF6" w14:textId="77777777" w:rsidR="00C1357F" w:rsidRPr="00511005" w:rsidRDefault="00C1357F" w:rsidP="003A292D">
      <w:pPr>
        <w:spacing w:line="264" w:lineRule="auto"/>
        <w:ind w:firstLine="0"/>
        <w:contextualSpacing/>
        <w:rPr>
          <w:rFonts w:ascii="Arial" w:eastAsia="Times New Roman" w:hAnsi="Arial" w:cs="Arial"/>
          <w:b/>
          <w:bCs/>
          <w:szCs w:val="28"/>
          <w:lang w:val="uk-UA"/>
        </w:rPr>
      </w:pPr>
    </w:p>
    <w:p w14:paraId="4930AA97" w14:textId="0B089AFB" w:rsidR="00C1357F" w:rsidRPr="00511005" w:rsidRDefault="007B2628" w:rsidP="007B2628">
      <w:pPr>
        <w:spacing w:line="264" w:lineRule="auto"/>
        <w:ind w:firstLine="0"/>
        <w:contextualSpacing/>
        <w:jc w:val="center"/>
        <w:rPr>
          <w:rFonts w:ascii="Arial" w:eastAsia="Times New Roman" w:hAnsi="Arial" w:cs="Arial"/>
          <w:szCs w:val="28"/>
          <w:lang w:val="uk-UA"/>
        </w:rPr>
      </w:pPr>
      <w:r w:rsidRPr="00511005">
        <w:rPr>
          <w:rFonts w:ascii="Arial" w:eastAsia="Times New Roman" w:hAnsi="Arial" w:cs="Arial"/>
          <w:b/>
          <w:bCs/>
          <w:szCs w:val="28"/>
          <w:lang w:val="uk-UA"/>
        </w:rPr>
        <w:t>Список використаних джерел</w:t>
      </w:r>
    </w:p>
    <w:p w14:paraId="6B0D37AC" w14:textId="3620CE6C" w:rsidR="00C1357F" w:rsidRPr="00511005" w:rsidRDefault="00C1357F" w:rsidP="003F6A5D">
      <w:pPr>
        <w:numPr>
          <w:ilvl w:val="0"/>
          <w:numId w:val="57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Кримінально-виконавчий кодекс України. Закон України від 11.07.2003</w:t>
      </w:r>
      <w:r w:rsidR="007B2628" w:rsidRPr="00511005">
        <w:rPr>
          <w:rFonts w:ascii="Arial" w:eastAsia="Calibri" w:hAnsi="Arial" w:cs="Arial"/>
          <w:szCs w:val="28"/>
          <w:lang w:val="uk-UA"/>
        </w:rPr>
        <w:t xml:space="preserve"> </w:t>
      </w:r>
      <w:r w:rsidRPr="00511005">
        <w:rPr>
          <w:rFonts w:ascii="Arial" w:eastAsia="Calibri" w:hAnsi="Arial" w:cs="Arial"/>
          <w:szCs w:val="28"/>
          <w:shd w:val="clear" w:color="auto" w:fill="FFFFFF"/>
          <w:lang w:val="uk-UA"/>
        </w:rPr>
        <w:t>№ </w:t>
      </w:r>
      <w:r w:rsidRPr="00511005">
        <w:rPr>
          <w:rFonts w:ascii="Arial" w:eastAsia="Calibri" w:hAnsi="Arial" w:cs="Arial"/>
          <w:bCs/>
          <w:szCs w:val="28"/>
          <w:shd w:val="clear" w:color="auto" w:fill="FFFFFF"/>
          <w:lang w:val="uk-UA"/>
        </w:rPr>
        <w:t xml:space="preserve">1129-IV: станом на 01.01.2025 URL: </w:t>
      </w:r>
      <w:hyperlink r:id="rId2122" w:anchor="Text" w:history="1">
        <w:r w:rsidRPr="00511005">
          <w:rPr>
            <w:rFonts w:ascii="Arial" w:eastAsia="Calibri" w:hAnsi="Arial" w:cs="Arial"/>
            <w:bCs/>
            <w:szCs w:val="28"/>
            <w:shd w:val="clear" w:color="auto" w:fill="FFFFFF"/>
            <w:lang w:val="uk-UA"/>
          </w:rPr>
          <w:t>https://zakon.rada.gov.ua/laws/show/1129-15#Text</w:t>
        </w:r>
      </w:hyperlink>
      <w:r w:rsidRPr="00511005">
        <w:rPr>
          <w:rFonts w:ascii="Arial" w:eastAsia="Calibri" w:hAnsi="Arial" w:cs="Arial"/>
          <w:bCs/>
          <w:szCs w:val="28"/>
          <w:shd w:val="clear" w:color="auto" w:fill="FFFFFF"/>
          <w:lang w:val="uk-UA"/>
        </w:rPr>
        <w:t xml:space="preserve"> </w:t>
      </w:r>
      <w:r w:rsidRPr="00511005">
        <w:rPr>
          <w:rFonts w:ascii="Arial" w:eastAsia="Calibri" w:hAnsi="Arial" w:cs="Arial"/>
          <w:szCs w:val="28"/>
          <w:lang w:val="uk-UA"/>
        </w:rPr>
        <w:t>(дата звернення 16.04.2025).</w:t>
      </w:r>
    </w:p>
    <w:p w14:paraId="751DB2FF" w14:textId="77777777" w:rsidR="00C1357F" w:rsidRPr="00511005" w:rsidRDefault="00C1357F" w:rsidP="003F6A5D">
      <w:pPr>
        <w:numPr>
          <w:ilvl w:val="0"/>
          <w:numId w:val="57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Бандурка О. М. (2019). </w:t>
      </w:r>
      <w:r w:rsidRPr="00511005">
        <w:rPr>
          <w:rFonts w:ascii="Arial" w:eastAsia="Calibri" w:hAnsi="Arial" w:cs="Arial"/>
          <w:i/>
          <w:iCs/>
          <w:szCs w:val="28"/>
          <w:lang w:val="uk-UA"/>
        </w:rPr>
        <w:t>Пенітенціарна система України: правові та організаційні аспекти</w:t>
      </w:r>
      <w:r w:rsidRPr="00511005">
        <w:rPr>
          <w:rFonts w:ascii="Arial" w:eastAsia="Calibri" w:hAnsi="Arial" w:cs="Arial"/>
          <w:szCs w:val="28"/>
          <w:lang w:val="uk-UA"/>
        </w:rPr>
        <w:t xml:space="preserve">. Харків: Право. URL: </w:t>
      </w:r>
      <w:hyperlink r:id="rId2123" w:history="1">
        <w:r w:rsidRPr="00511005">
          <w:rPr>
            <w:rFonts w:ascii="Arial" w:eastAsia="Calibri" w:hAnsi="Arial" w:cs="Arial"/>
            <w:szCs w:val="28"/>
            <w:lang w:val="uk-UA"/>
          </w:rPr>
          <w:t>https://pravo-izdat.com.ua/</w:t>
        </w:r>
      </w:hyperlink>
      <w:r w:rsidRPr="00511005">
        <w:rPr>
          <w:rFonts w:ascii="Arial" w:eastAsia="Calibri" w:hAnsi="Arial" w:cs="Arial"/>
          <w:szCs w:val="28"/>
          <w:lang w:val="uk-UA"/>
        </w:rPr>
        <w:t>.</w:t>
      </w:r>
    </w:p>
    <w:p w14:paraId="0F68E809" w14:textId="77777777" w:rsidR="00C1357F" w:rsidRPr="00511005" w:rsidRDefault="00C1357F" w:rsidP="003F6A5D">
      <w:pPr>
        <w:numPr>
          <w:ilvl w:val="0"/>
          <w:numId w:val="57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lastRenderedPageBreak/>
        <w:t xml:space="preserve">Романов М. В. (2022). Організаційно-правові засади забезпечення функціонування підрозділів дізнання Національної поліції України., 29(2), 50–62. URL: </w:t>
      </w:r>
      <w:hyperlink r:id="rId2124" w:history="1">
        <w:r w:rsidRPr="00511005">
          <w:rPr>
            <w:rFonts w:ascii="Arial" w:eastAsia="Calibri" w:hAnsi="Arial" w:cs="Arial"/>
            <w:szCs w:val="28"/>
            <w:lang w:val="uk-UA"/>
          </w:rPr>
          <w:t>https://elar.navs.edu.ua/server/api/core/bitstreams/fbfd111a-2460-45ef-b311-3105843288ef/content</w:t>
        </w:r>
      </w:hyperlink>
      <w:r w:rsidRPr="00511005">
        <w:rPr>
          <w:rFonts w:ascii="Arial" w:eastAsia="Calibri" w:hAnsi="Arial" w:cs="Arial"/>
          <w:szCs w:val="28"/>
          <w:lang w:val="uk-UA"/>
        </w:rPr>
        <w:t xml:space="preserve">. </w:t>
      </w:r>
    </w:p>
    <w:p w14:paraId="469A5D70" w14:textId="77777777" w:rsidR="00C1357F" w:rsidRPr="00511005" w:rsidRDefault="00C1357F" w:rsidP="003F6A5D">
      <w:pPr>
        <w:numPr>
          <w:ilvl w:val="0"/>
          <w:numId w:val="57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Шакун В. І. (2021). </w:t>
      </w:r>
      <w:r w:rsidRPr="00511005">
        <w:rPr>
          <w:rFonts w:ascii="Arial" w:eastAsia="Calibri" w:hAnsi="Arial" w:cs="Arial"/>
          <w:i/>
          <w:iCs/>
          <w:szCs w:val="28"/>
          <w:lang w:val="uk-UA"/>
        </w:rPr>
        <w:t>Сучасні технології в системі виконання покарань: правові виклики</w:t>
      </w:r>
      <w:r w:rsidRPr="00511005">
        <w:rPr>
          <w:rFonts w:ascii="Arial" w:eastAsia="Calibri" w:hAnsi="Arial" w:cs="Arial"/>
          <w:i/>
          <w:szCs w:val="28"/>
          <w:lang w:val="uk-UA"/>
        </w:rPr>
        <w:t>.</w:t>
      </w:r>
      <w:r w:rsidRPr="00511005">
        <w:rPr>
          <w:rFonts w:ascii="Arial" w:eastAsia="Calibri" w:hAnsi="Arial" w:cs="Arial"/>
          <w:szCs w:val="28"/>
          <w:lang w:val="uk-UA"/>
        </w:rPr>
        <w:t xml:space="preserve"> Юридичний вісник України, 15(4), 118–130. Доступно через Національну бібліотеку України імені В. І. Вернадського. URL: </w:t>
      </w:r>
      <w:hyperlink r:id="rId2125" w:history="1">
        <w:r w:rsidRPr="00511005">
          <w:rPr>
            <w:rFonts w:ascii="Arial" w:eastAsia="Calibri" w:hAnsi="Arial" w:cs="Arial"/>
            <w:szCs w:val="28"/>
            <w:lang w:val="uk-UA"/>
          </w:rPr>
          <w:t>http://nbuv.gov.ua/UJRN/urv_2021_15_4_13</w:t>
        </w:r>
      </w:hyperlink>
      <w:r w:rsidRPr="00511005">
        <w:rPr>
          <w:rFonts w:ascii="Arial" w:eastAsia="Calibri" w:hAnsi="Arial" w:cs="Arial"/>
          <w:szCs w:val="28"/>
          <w:lang w:val="uk-UA"/>
        </w:rPr>
        <w:t>.</w:t>
      </w:r>
    </w:p>
    <w:p w14:paraId="2AFF660F" w14:textId="77777777" w:rsidR="00C1357F" w:rsidRPr="00511005" w:rsidRDefault="00C1357F" w:rsidP="003A292D">
      <w:pPr>
        <w:spacing w:line="264" w:lineRule="auto"/>
        <w:ind w:firstLine="0"/>
        <w:contextualSpacing/>
        <w:rPr>
          <w:rFonts w:ascii="Arial" w:eastAsia="Times New Roman" w:hAnsi="Arial" w:cs="Arial"/>
          <w:b/>
          <w:szCs w:val="28"/>
          <w:lang w:val="uk-UA"/>
        </w:rPr>
      </w:pPr>
    </w:p>
    <w:p w14:paraId="22FB1528" w14:textId="17A0AE08" w:rsidR="00C1357F" w:rsidRPr="00511005" w:rsidRDefault="007B2628"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C1357F" w:rsidRPr="00511005">
        <w:rPr>
          <w:rFonts w:ascii="Arial" w:eastAsia="Times New Roman" w:hAnsi="Arial" w:cs="Arial"/>
          <w:szCs w:val="28"/>
          <w:lang w:val="uk-UA"/>
        </w:rPr>
        <w:t>цифрова трансформація, пенітенціарна система, електронний контроль, відеозв’язок, права ув’язнених, ресоціалізація, захист персональних даних, юридичне регулювання.</w:t>
      </w:r>
    </w:p>
    <w:p w14:paraId="156772DB" w14:textId="752A4CFF" w:rsidR="00C1357F" w:rsidRPr="00511005" w:rsidRDefault="007B2628" w:rsidP="003A292D">
      <w:pPr>
        <w:spacing w:line="264" w:lineRule="auto"/>
        <w:ind w:firstLine="0"/>
        <w:contextualSpacing/>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C1357F" w:rsidRPr="00511005">
        <w:rPr>
          <w:rFonts w:ascii="Arial" w:eastAsia="Times New Roman" w:hAnsi="Arial" w:cs="Arial"/>
          <w:szCs w:val="28"/>
          <w:lang w:val="uk-UA"/>
        </w:rPr>
        <w:t>digitaltransformation, penitentiarysystem, electronicmonitoring, videocommunication, prisoners’ rights, resocialization, personaldataprotection, legalregulation.</w:t>
      </w:r>
    </w:p>
    <w:p w14:paraId="3CADEE6F" w14:textId="4D5B5A3F" w:rsidR="00C1357F" w:rsidRPr="00511005" w:rsidRDefault="007B2628" w:rsidP="003A292D">
      <w:pPr>
        <w:spacing w:line="264" w:lineRule="auto"/>
        <w:ind w:firstLine="0"/>
        <w:contextualSpacing/>
        <w:rPr>
          <w:rFonts w:ascii="Arial" w:eastAsia="Times New Roman" w:hAnsi="Arial" w:cs="Arial"/>
          <w:i/>
          <w:szCs w:val="28"/>
          <w:lang w:val="uk-UA"/>
        </w:rPr>
      </w:pPr>
      <w:r w:rsidRPr="00511005">
        <w:rPr>
          <w:rFonts w:ascii="Arial" w:eastAsia="Times New Roman" w:hAnsi="Arial" w:cs="Arial"/>
          <w:b/>
          <w:i/>
          <w:szCs w:val="28"/>
          <w:lang w:val="uk-UA"/>
        </w:rPr>
        <w:t xml:space="preserve">Науковий керівник: </w:t>
      </w:r>
      <w:r w:rsidR="00C1357F" w:rsidRPr="00511005">
        <w:rPr>
          <w:rFonts w:ascii="Arial" w:eastAsia="Times New Roman" w:hAnsi="Arial" w:cs="Arial"/>
          <w:i/>
          <w:szCs w:val="28"/>
          <w:shd w:val="clear" w:color="auto" w:fill="FFFFFF"/>
          <w:lang w:val="uk-UA"/>
        </w:rPr>
        <w:t>асистентка</w:t>
      </w:r>
      <w:r w:rsidR="006649DF">
        <w:rPr>
          <w:rFonts w:ascii="Arial" w:eastAsia="Times New Roman" w:hAnsi="Arial" w:cs="Arial"/>
          <w:i/>
          <w:szCs w:val="28"/>
          <w:shd w:val="clear" w:color="auto" w:fill="FFFFFF"/>
          <w:lang w:val="uk-UA"/>
        </w:rPr>
        <w:t xml:space="preserve"> </w:t>
      </w:r>
      <w:r w:rsidR="00C1357F" w:rsidRPr="00511005">
        <w:rPr>
          <w:rFonts w:ascii="Arial" w:eastAsia="Times New Roman" w:hAnsi="Arial" w:cs="Arial"/>
          <w:i/>
          <w:szCs w:val="28"/>
          <w:shd w:val="clear" w:color="auto" w:fill="FFFFFF"/>
          <w:lang w:val="uk-UA"/>
        </w:rPr>
        <w:t>кафедри Лукащук К. Р.</w:t>
      </w:r>
    </w:p>
    <w:p w14:paraId="77A0FEF9" w14:textId="77777777" w:rsidR="00C1357F" w:rsidRPr="00511005" w:rsidRDefault="00C1357F" w:rsidP="003A292D">
      <w:pPr>
        <w:spacing w:line="264" w:lineRule="auto"/>
        <w:ind w:firstLine="0"/>
        <w:rPr>
          <w:rFonts w:ascii="Arial" w:eastAsia="Calibri" w:hAnsi="Arial" w:cs="Arial"/>
          <w:b/>
          <w:i/>
          <w:szCs w:val="28"/>
          <w:lang w:val="uk-UA"/>
        </w:rPr>
      </w:pPr>
      <w:bookmarkStart w:id="263" w:name="_Hlk196138300"/>
    </w:p>
    <w:p w14:paraId="766290D0" w14:textId="77777777" w:rsidR="00C1357F" w:rsidRPr="00511005" w:rsidRDefault="00C1357F" w:rsidP="003A292D">
      <w:pPr>
        <w:spacing w:line="264" w:lineRule="auto"/>
        <w:ind w:firstLine="0"/>
        <w:rPr>
          <w:rFonts w:ascii="Arial" w:eastAsia="Calibri" w:hAnsi="Arial" w:cs="Arial"/>
          <w:b/>
          <w:i/>
          <w:szCs w:val="28"/>
          <w:lang w:val="uk-UA"/>
        </w:rPr>
      </w:pPr>
    </w:p>
    <w:p w14:paraId="3E5A6D3B" w14:textId="77777777" w:rsidR="00C1357F" w:rsidRPr="00511005" w:rsidRDefault="00C1357F"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Тарасенко Марія Леонідівна</w:t>
      </w:r>
    </w:p>
    <w:p w14:paraId="6FCE203D" w14:textId="323FD5D5"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51B7BF44"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1317E54"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2220ED9" w14:textId="77777777" w:rsidR="00C1357F" w:rsidRPr="00511005" w:rsidRDefault="00C1357F" w:rsidP="003A292D">
      <w:pPr>
        <w:spacing w:line="264" w:lineRule="auto"/>
        <w:ind w:firstLine="0"/>
        <w:jc w:val="center"/>
        <w:rPr>
          <w:rFonts w:ascii="Arial" w:eastAsia="Calibri" w:hAnsi="Arial" w:cs="Arial"/>
          <w:b/>
          <w:szCs w:val="28"/>
          <w:lang w:val="uk-UA"/>
        </w:rPr>
      </w:pPr>
    </w:p>
    <w:p w14:paraId="5FA068FB" w14:textId="77777777" w:rsidR="00C1357F" w:rsidRPr="00511005" w:rsidRDefault="00C1357F"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ПЕРСПЕКТИВИ ВИКОРИСТАННЯ ШТУЧНОГО ІНТЕЛЕКТУ В КРИМІНАЛЬНО-ВИКОНАВЧІЙ СИСТЕМІ УКРАЇНИ: ПРАВОВИЙ АНАЛІЗ І ВИКЛИКИ ЗАХИСТУ ПРАВ ЛЮДИНИ</w:t>
      </w:r>
    </w:p>
    <w:p w14:paraId="27E85055"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сучасних умовах цифрової трансформації державного управління та правозастосовної діяльності використання штучного інтелекту (далі - ШІ) стає все більш актуальним в усіх сферах публічної влади, зокрема і в кримінально-виконавчій системі України. Застосування ШІ може стати інструментом удосконалення процесів контролю, ресоціалізації та адміністративного управління, однак одночасно створює серйозні виклики у сфері захисту прав засуджених.</w:t>
      </w:r>
    </w:p>
    <w:p w14:paraId="165E9CFB" w14:textId="3A6FB472" w:rsidR="00C1357F" w:rsidRPr="00511005" w:rsidRDefault="00C1357F" w:rsidP="003A292D">
      <w:pPr>
        <w:keepNext/>
        <w:widowControl w:val="0"/>
        <w:spacing w:line="264" w:lineRule="auto"/>
        <w:ind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Згідно зі статтею 5 Кримінально-виконавчого кодексу України, одним із принципів виконання покарань є гуманізм, що передбачає повагу до гідності особи, яка відбуває покарання </w:t>
      </w:r>
      <w:bookmarkStart w:id="264" w:name="_Hlk196941219"/>
      <w:r w:rsidRPr="00511005">
        <w:rPr>
          <w:rFonts w:ascii="Arial" w:eastAsia="Times New Roman" w:hAnsi="Arial" w:cs="Arial"/>
          <w:szCs w:val="28"/>
          <w:lang w:val="uk-UA" w:eastAsia="ru-RU"/>
        </w:rPr>
        <w:t>[</w:t>
      </w:r>
      <w:r w:rsidRPr="00511005">
        <w:rPr>
          <w:rFonts w:ascii="Arial" w:eastAsia="Times New Roman" w:hAnsi="Arial" w:cs="Arial"/>
          <w:szCs w:val="28"/>
          <w:lang w:val="uk-UA" w:eastAsia="ru-RU"/>
        </w:rPr>
        <w:fldChar w:fldCharType="begin"/>
      </w:r>
      <w:r w:rsidRPr="00511005">
        <w:rPr>
          <w:rFonts w:ascii="Arial" w:eastAsia="Times New Roman" w:hAnsi="Arial" w:cs="Arial"/>
          <w:szCs w:val="28"/>
          <w:lang w:val="uk-UA" w:eastAsia="ru-RU"/>
        </w:rPr>
        <w:instrText xml:space="preserve"> REF _Ref196942206 \r \h  \* MERGEFORMAT </w:instrText>
      </w:r>
      <w:r w:rsidRPr="00511005">
        <w:rPr>
          <w:rFonts w:ascii="Arial" w:eastAsia="Times New Roman" w:hAnsi="Arial" w:cs="Arial"/>
          <w:szCs w:val="28"/>
          <w:lang w:val="uk-UA" w:eastAsia="ru-RU"/>
        </w:rPr>
      </w:r>
      <w:r w:rsidRPr="00511005">
        <w:rPr>
          <w:rFonts w:ascii="Arial" w:eastAsia="Times New Roman" w:hAnsi="Arial" w:cs="Arial"/>
          <w:szCs w:val="28"/>
          <w:lang w:val="uk-UA" w:eastAsia="ru-RU"/>
        </w:rPr>
        <w:fldChar w:fldCharType="separate"/>
      </w:r>
      <w:r w:rsidR="006F7CE5">
        <w:rPr>
          <w:rFonts w:ascii="Arial" w:eastAsia="Times New Roman" w:hAnsi="Arial" w:cs="Arial"/>
          <w:szCs w:val="28"/>
          <w:lang w:val="uk-UA" w:eastAsia="ru-RU"/>
        </w:rPr>
        <w:t>1</w:t>
      </w:r>
      <w:r w:rsidRPr="00511005">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w:t>
      </w:r>
      <w:bookmarkEnd w:id="264"/>
      <w:r w:rsidRPr="00511005">
        <w:rPr>
          <w:rFonts w:ascii="Arial" w:eastAsia="Times New Roman" w:hAnsi="Arial" w:cs="Arial"/>
          <w:szCs w:val="28"/>
          <w:lang w:val="uk-UA" w:eastAsia="ru-RU"/>
        </w:rPr>
        <w:t xml:space="preserve"> Впровадження систем штучного інтелекту не повинно порушувати цей принцип, а отже, ключовим є забезпечення відповідності стандартам прав людини, зокрема, Конвенції про захист прав людини і основоположних свобод 1950 року та практиці Європейського суду з прав людини.</w:t>
      </w:r>
    </w:p>
    <w:p w14:paraId="46B90354"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У світовій практиці ШІ вже використовується для прогнозування ризику рецидиву, автоматичного нагляду, прийняття управлінських рішень та </w:t>
      </w:r>
      <w:r w:rsidRPr="00511005">
        <w:rPr>
          <w:rFonts w:ascii="Arial" w:eastAsia="Calibri" w:hAnsi="Arial" w:cs="Arial"/>
          <w:szCs w:val="28"/>
          <w:lang w:val="uk-UA"/>
        </w:rPr>
        <w:lastRenderedPageBreak/>
        <w:t>створення індивідуальних програм виправлення. Це дає змогу суттєво підвищити точність оцінок і зменшити суб’єктивний фактор у діяльності установ виконання покарань, яким іноді можуть зловживати працівники даних органів.</w:t>
      </w:r>
    </w:p>
    <w:p w14:paraId="42C1858E"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Водночас впровадження таких технологій супроводжується серйозними правовими та етичними викликами. Проблемним залишається питання прозорості алгоритмів, гарантій справедливості автоматизованих рішень і захисту персональних даних засуджених. Без належного нормативного врегулювання, нагляду та механізмів оскарження, застосування ШІ може поставити під загрозу низку базових прав і свобод людини, що охороняються основоположними нормативно-правовими актами. </w:t>
      </w:r>
    </w:p>
    <w:p w14:paraId="152D82D6" w14:textId="0C873099"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Однією з ключових категорій у кримінально-виконавчій системі, що визначає як умови відбування покарання, так і зміст заходів ресоціалізації, є ризик рецидиву. Якщо аналізувати світову практику, то у широкому розумінні це ймовірність того, що особа, яка відбула покарання, знову вчинить кримінальне правопорушення. Саме з урахуванням ризику рецидиву приймаються важливі рішення щодо зміни режиму тримання, участі у програмах виправлення, надання пільг та умовно-дострокового звільнення [</w:t>
      </w:r>
      <w:r w:rsidRPr="00511005">
        <w:rPr>
          <w:rFonts w:ascii="Arial" w:eastAsia="Calibri" w:hAnsi="Arial" w:cs="Arial"/>
          <w:szCs w:val="28"/>
          <w:lang w:val="uk-UA"/>
        </w:rPr>
        <w:fldChar w:fldCharType="begin"/>
      </w:r>
      <w:r w:rsidRPr="00511005">
        <w:rPr>
          <w:rFonts w:ascii="Arial" w:eastAsia="Calibri" w:hAnsi="Arial" w:cs="Arial"/>
          <w:szCs w:val="28"/>
          <w:lang w:val="uk-UA"/>
        </w:rPr>
        <w:instrText xml:space="preserve"> REF _Ref196942219 \r \h  \* MERGEFORMAT </w:instrText>
      </w:r>
      <w:r w:rsidRPr="00511005">
        <w:rPr>
          <w:rFonts w:ascii="Arial" w:eastAsia="Calibri" w:hAnsi="Arial" w:cs="Arial"/>
          <w:szCs w:val="28"/>
          <w:lang w:val="uk-UA"/>
        </w:rPr>
      </w:r>
      <w:r w:rsidRPr="00511005">
        <w:rPr>
          <w:rFonts w:ascii="Arial" w:eastAsia="Calibri" w:hAnsi="Arial" w:cs="Arial"/>
          <w:szCs w:val="28"/>
          <w:lang w:val="uk-UA"/>
        </w:rPr>
        <w:fldChar w:fldCharType="separate"/>
      </w:r>
      <w:r w:rsidR="006F7CE5">
        <w:rPr>
          <w:rFonts w:ascii="Arial" w:eastAsia="Calibri" w:hAnsi="Arial" w:cs="Arial"/>
          <w:szCs w:val="28"/>
          <w:lang w:val="uk-UA"/>
        </w:rPr>
        <w:t>2</w:t>
      </w:r>
      <w:r w:rsidRPr="00511005">
        <w:rPr>
          <w:rFonts w:ascii="Arial" w:eastAsia="Calibri" w:hAnsi="Arial" w:cs="Arial"/>
          <w:szCs w:val="28"/>
          <w:lang w:val="uk-UA"/>
        </w:rPr>
        <w:fldChar w:fldCharType="end"/>
      </w:r>
      <w:r w:rsidRPr="00511005">
        <w:rPr>
          <w:rFonts w:ascii="Arial" w:eastAsia="Calibri" w:hAnsi="Arial" w:cs="Arial"/>
          <w:szCs w:val="28"/>
          <w:lang w:val="uk-UA"/>
        </w:rPr>
        <w:t xml:space="preserve">]. </w:t>
      </w:r>
    </w:p>
    <w:p w14:paraId="0E0114F3"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Оцінка ризику рецидиву традиційно здійснюється фахівцями — психологами, адміністрацією установ, дільничними інспекторами. Враховуються попередні правопорушення, поведінка засудженого, соціальне оточення, освіта, психоемоційний стан тощо. Проте така оцінка часто є суб’єктивною і залежить від кваліфікації та навантаження персоналу.</w:t>
      </w:r>
    </w:p>
    <w:p w14:paraId="5A8D7383"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відповідь на ці виклики в багатьох країнах впроваджуються автоматизовані системи на основі машинного навчання, які аналізують великі обсяги даних і враховують сотні змінних для прогнозування рецидиву. Вони покликані зробити оцінку більш об’єктивною та стандартизованою.</w:t>
      </w:r>
    </w:p>
    <w:p w14:paraId="7F953C22"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На міжнародному рівні вже існує низка прецедентів використання алгоритмів штучного інтелекту для оцінки ризику рецидиву або ухвалення рішень у сфері кримінальної юстиції, з яких Україна може винести як технічні, так і правові уроки. Найбільш відомим є приклад із США — система COMPAS (Correctional Offender Management Profiling for Alternative Sanctions), яка широко застосовується у кількох штатах, зокрема для ухвалення судових рішень про умовно-дострокове звільнення, пробацію та рівень ризику.</w:t>
      </w:r>
    </w:p>
    <w:p w14:paraId="1B30D280" w14:textId="36FC6CCB"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Алгоритм аналізує понад сотню факторів, включаючи демографічні та соціальні характеристики. Однак саме ця система опинилася у центрі гучної судової справи State v. Loomis (2016), у якій обвинувачений оскаржив законність використання COMPAS у його справі. Верховний суд штату Вісконсин визнав допустимість застосування такого інструменту, однак водночас визнав, що COMPAS не може бути єдиною підставою для винесення вироку, оскільки її алгоритми є закритими, а отже — непрозорими </w:t>
      </w:r>
      <w:r w:rsidRPr="00511005">
        <w:rPr>
          <w:rFonts w:ascii="Arial" w:eastAsia="Calibri" w:hAnsi="Arial" w:cs="Arial"/>
          <w:szCs w:val="28"/>
          <w:lang w:val="uk-UA"/>
        </w:rPr>
        <w:lastRenderedPageBreak/>
        <w:t>й не підлягають оскарженню. Критики вказують, що система демонструє ознаки расової упередженості, зокрема, щодо афроамериканців [</w:t>
      </w:r>
      <w:r w:rsidRPr="00511005">
        <w:rPr>
          <w:rFonts w:ascii="Arial" w:eastAsia="Calibri" w:hAnsi="Arial" w:cs="Arial"/>
          <w:szCs w:val="28"/>
          <w:lang w:val="uk-UA"/>
        </w:rPr>
        <w:fldChar w:fldCharType="begin"/>
      </w:r>
      <w:r w:rsidRPr="00511005">
        <w:rPr>
          <w:rFonts w:ascii="Arial" w:eastAsia="Calibri" w:hAnsi="Arial" w:cs="Arial"/>
          <w:szCs w:val="28"/>
          <w:lang w:val="uk-UA"/>
        </w:rPr>
        <w:instrText xml:space="preserve"> REF _Ref196942227 \r \h  \* MERGEFORMAT </w:instrText>
      </w:r>
      <w:r w:rsidRPr="00511005">
        <w:rPr>
          <w:rFonts w:ascii="Arial" w:eastAsia="Calibri" w:hAnsi="Arial" w:cs="Arial"/>
          <w:szCs w:val="28"/>
          <w:lang w:val="uk-UA"/>
        </w:rPr>
      </w:r>
      <w:r w:rsidRPr="00511005">
        <w:rPr>
          <w:rFonts w:ascii="Arial" w:eastAsia="Calibri" w:hAnsi="Arial" w:cs="Arial"/>
          <w:szCs w:val="28"/>
          <w:lang w:val="uk-UA"/>
        </w:rPr>
        <w:fldChar w:fldCharType="separate"/>
      </w:r>
      <w:r w:rsidR="006F7CE5">
        <w:rPr>
          <w:rFonts w:ascii="Arial" w:eastAsia="Calibri" w:hAnsi="Arial" w:cs="Arial"/>
          <w:szCs w:val="28"/>
          <w:lang w:val="uk-UA"/>
        </w:rPr>
        <w:t>3</w:t>
      </w:r>
      <w:r w:rsidRPr="00511005">
        <w:rPr>
          <w:rFonts w:ascii="Arial" w:eastAsia="Calibri" w:hAnsi="Arial" w:cs="Arial"/>
          <w:szCs w:val="28"/>
          <w:lang w:val="uk-UA"/>
        </w:rPr>
        <w:fldChar w:fldCharType="end"/>
      </w:r>
      <w:r w:rsidRPr="00511005">
        <w:rPr>
          <w:rFonts w:ascii="Arial" w:eastAsia="Calibri" w:hAnsi="Arial" w:cs="Arial"/>
          <w:szCs w:val="28"/>
          <w:lang w:val="uk-UA"/>
        </w:rPr>
        <w:t>].</w:t>
      </w:r>
    </w:p>
    <w:p w14:paraId="3B082C93" w14:textId="7FB0440F"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Іншим прикладом є Великобританія, де була розроблена система HART (Harm Assessment Risk Tool) — алгоритм, що використовує машинне навчання для оцінки ймовірності скоєння нових злочинів на основі поведінкових та соціальних факторів. Хоча вона показала відносно високу точність прогнозів, її використання викликало запитання щодо етичності прийняття рішень на основі неповних або застарілих даних, а також щодо недостатнього інформування осіб, стосовно яких система здійснювала оцінку [</w:t>
      </w:r>
      <w:r w:rsidRPr="00511005">
        <w:rPr>
          <w:rFonts w:ascii="Arial" w:eastAsia="Calibri" w:hAnsi="Arial" w:cs="Arial"/>
          <w:szCs w:val="28"/>
          <w:lang w:val="uk-UA"/>
        </w:rPr>
        <w:fldChar w:fldCharType="begin"/>
      </w:r>
      <w:r w:rsidRPr="00511005">
        <w:rPr>
          <w:rFonts w:ascii="Arial" w:eastAsia="Calibri" w:hAnsi="Arial" w:cs="Arial"/>
          <w:szCs w:val="28"/>
          <w:lang w:val="uk-UA"/>
        </w:rPr>
        <w:instrText xml:space="preserve"> REF _Ref196942237 \r \h  \* MERGEFORMAT </w:instrText>
      </w:r>
      <w:r w:rsidRPr="00511005">
        <w:rPr>
          <w:rFonts w:ascii="Arial" w:eastAsia="Calibri" w:hAnsi="Arial" w:cs="Arial"/>
          <w:szCs w:val="28"/>
          <w:lang w:val="uk-UA"/>
        </w:rPr>
      </w:r>
      <w:r w:rsidRPr="00511005">
        <w:rPr>
          <w:rFonts w:ascii="Arial" w:eastAsia="Calibri" w:hAnsi="Arial" w:cs="Arial"/>
          <w:szCs w:val="28"/>
          <w:lang w:val="uk-UA"/>
        </w:rPr>
        <w:fldChar w:fldCharType="separate"/>
      </w:r>
      <w:r w:rsidR="006F7CE5">
        <w:rPr>
          <w:rFonts w:ascii="Arial" w:eastAsia="Calibri" w:hAnsi="Arial" w:cs="Arial"/>
          <w:szCs w:val="28"/>
          <w:lang w:val="uk-UA"/>
        </w:rPr>
        <w:t>4</w:t>
      </w:r>
      <w:r w:rsidRPr="00511005">
        <w:rPr>
          <w:rFonts w:ascii="Arial" w:eastAsia="Calibri" w:hAnsi="Arial" w:cs="Arial"/>
          <w:szCs w:val="28"/>
          <w:lang w:val="uk-UA"/>
        </w:rPr>
        <w:fldChar w:fldCharType="end"/>
      </w:r>
      <w:r w:rsidRPr="00511005">
        <w:rPr>
          <w:rFonts w:ascii="Arial" w:eastAsia="Calibri" w:hAnsi="Arial" w:cs="Arial"/>
          <w:szCs w:val="28"/>
          <w:lang w:val="uk-UA"/>
        </w:rPr>
        <w:t xml:space="preserve">]. </w:t>
      </w:r>
    </w:p>
    <w:p w14:paraId="43A2E675"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Ці приклади свідчать, що використання ШІ у сфері кримінальної юстиції вже давно вийшло за межі теорії і має реальні правові наслідки. Однак водночас вони демонструють потребу у прозорості алгоритмів, можливості їх оскарження, а також у суворому контролі за дотриманням прав людини при їх використанні. Для України це означає необхідність обережного і правового обґрунтованого підходу до імплементації подібних рішень у кримінально-виконавчу практику.</w:t>
      </w:r>
    </w:p>
    <w:p w14:paraId="5B6FF549"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Попри стрімкий розвиток цифрових технологій, нормативне регулювання використання штучного інтелекту в кримінально-виконавчій сфері України фактично відсутнє. Наразі ані Кримінально-виконавчий кодекс України, ані підзаконні нормативні акти не містять жодних положень, що прямо стосуються застосування автоматизованих систем або алгоритмів для оцінки поведінки засуджених, планування індивідуальних програм виправлення чи ухвалення управлінських рішень у місцях позбавлення волі. Аналогічна ситуація спостерігається і в багатьох інших країнах, де впровадження ШІ відбувається швидше, ніж формування відповідного правового середовища.</w:t>
      </w:r>
    </w:p>
    <w:p w14:paraId="7121E91A"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Одним із найбільш серйозних викликів у цьому контексті є загроза праву на справедливу процедуру, яке гарантоване Конвенцією про захист прав людини і основоположних свобод та Конституцією України. Якщо ключові рішення щодо умов утримання, змін режиму чи умовного звільнення ухвалюються на основі алгоритмів, робота яких залишається непрозорою навіть для посадових осіб, то це неодмінно призведе до втрати контролю за справедливістю процесу. Невизначеність механізмів прийняття рішень ускладнює перевірку їх обґрунтованості та правомірності, що порушує право на справедливий розгляд. Крім того, відсутність прозорості може призвести до дискримінації, відтворення упереджень і посилення соціальних нерівностей, що підриває довіру до правової системи та порушує принципи рівності перед законом.</w:t>
      </w:r>
    </w:p>
    <w:p w14:paraId="3CF886C0"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Також існує загроза для приватності при обробці персональних даних засуджених. Відповідно до Закону України «Про захист персональних даних», обробка таких даних повинна відповідати чітким цілям та </w:t>
      </w:r>
      <w:r w:rsidRPr="00511005">
        <w:rPr>
          <w:rFonts w:ascii="Arial" w:eastAsia="Calibri" w:hAnsi="Arial" w:cs="Arial"/>
          <w:szCs w:val="28"/>
          <w:lang w:val="uk-UA"/>
        </w:rPr>
        <w:lastRenderedPageBreak/>
        <w:t>забезпечувати безпеку інформації, але у разі використання автоматизованих систем ризик несанкціонованого доступу чи втрати конфіденційності зростає.</w:t>
      </w:r>
    </w:p>
    <w:p w14:paraId="25565AC7"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Таким чином, відсутність належного законодавчого регулювання у поєднанні з високою чутливістю сфери кримінального виконання робить імплементацію ШІ вразливою до серйозних порушень прав людини. Це вимагає комплексного правового підходу, спрямованого на баланс між технологічним прогресом і дотриманням фундаментальних гарантій засуджених.</w:t>
      </w:r>
    </w:p>
    <w:p w14:paraId="7CE554C3"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Штучний інтелект має великий потенціал для вдосконалення кримінально-виконавчої системи, зокрема в оцінці ризику рецидиву, моніторингу поведінки засуджених і підвищенні об'єктивності рішень. Однак, без чітких етичних та правових рамок, існують ризики порушення прав людини, дискримінації, непрозорості алгоритмів та неможливості оскарження рішень.</w:t>
      </w:r>
    </w:p>
    <w:p w14:paraId="04F1C031"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Необхідно забезпечити баланс між ефективністю системи та захистом прав людини, що вимагає розробки законодавчих і етичних стандартів. Прозорість алгоритмів і нагляд за їх використанням повинні стати обов'язковими елементами таких систем.</w:t>
      </w:r>
    </w:p>
    <w:p w14:paraId="4966DB50"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Україна має можливість впровадити міжнародні стандарти, створивши ефективне правове середовище для цифрової трансформації кримінально-виконавчої системи, що дозволить країні стати лідером у розвитку етичного і правового регулювання ШІ в цій сфері.</w:t>
      </w:r>
    </w:p>
    <w:p w14:paraId="09F858CB" w14:textId="77777777" w:rsidR="00C1357F" w:rsidRPr="00511005" w:rsidRDefault="00C1357F" w:rsidP="003A292D">
      <w:pPr>
        <w:spacing w:line="264" w:lineRule="auto"/>
        <w:ind w:firstLine="0"/>
        <w:rPr>
          <w:rFonts w:ascii="Arial" w:eastAsia="Calibri" w:hAnsi="Arial" w:cs="Arial"/>
          <w:b/>
          <w:bCs/>
          <w:szCs w:val="28"/>
          <w:lang w:val="uk-UA"/>
        </w:rPr>
      </w:pPr>
    </w:p>
    <w:p w14:paraId="1773173A" w14:textId="607D7F82" w:rsidR="00C1357F" w:rsidRPr="00511005" w:rsidRDefault="007B2628" w:rsidP="007B2628">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Список використаних джерел</w:t>
      </w:r>
    </w:p>
    <w:p w14:paraId="354EB761" w14:textId="77777777" w:rsidR="00C1357F" w:rsidRPr="00511005" w:rsidRDefault="00C1357F" w:rsidP="003F6A5D">
      <w:pPr>
        <w:numPr>
          <w:ilvl w:val="0"/>
          <w:numId w:val="580"/>
        </w:numPr>
        <w:spacing w:line="264" w:lineRule="auto"/>
        <w:ind w:left="720" w:firstLine="709"/>
        <w:jc w:val="left"/>
        <w:rPr>
          <w:rFonts w:ascii="Arial" w:eastAsia="Calibri" w:hAnsi="Arial" w:cs="Arial"/>
          <w:szCs w:val="28"/>
          <w:lang w:val="uk-UA"/>
        </w:rPr>
      </w:pPr>
      <w:bookmarkStart w:id="265" w:name="_Ref196942206"/>
      <w:r w:rsidRPr="00511005">
        <w:rPr>
          <w:rFonts w:ascii="Arial" w:eastAsia="Calibri" w:hAnsi="Arial" w:cs="Arial"/>
          <w:szCs w:val="28"/>
          <w:lang w:val="uk-UA"/>
        </w:rPr>
        <w:t>Кримінально-виконавчий кодекс України : Закон України від 11.07.2003 № 1129-IV : станом на 01.01.2025. URL: </w:t>
      </w:r>
      <w:hyperlink r:id="rId2126" w:anchor="Text" w:tgtFrame="_blank" w:history="1">
        <w:r w:rsidRPr="00511005">
          <w:rPr>
            <w:rFonts w:ascii="Arial" w:eastAsia="Calibri" w:hAnsi="Arial" w:cs="Arial"/>
            <w:szCs w:val="28"/>
            <w:lang w:val="uk-UA"/>
          </w:rPr>
          <w:t>https://zakon.rada.gov.ua/laws/show/1129-15#Text</w:t>
        </w:r>
      </w:hyperlink>
      <w:bookmarkEnd w:id="265"/>
      <w:r w:rsidRPr="00511005">
        <w:rPr>
          <w:rFonts w:ascii="Arial" w:eastAsia="Calibri" w:hAnsi="Arial" w:cs="Arial"/>
          <w:szCs w:val="28"/>
          <w:lang w:val="uk-UA"/>
        </w:rPr>
        <w:t>.</w:t>
      </w:r>
    </w:p>
    <w:p w14:paraId="27DDDDA1" w14:textId="77777777" w:rsidR="00C1357F" w:rsidRPr="00511005" w:rsidRDefault="00C1357F" w:rsidP="003F6A5D">
      <w:pPr>
        <w:numPr>
          <w:ilvl w:val="0"/>
          <w:numId w:val="580"/>
        </w:numPr>
        <w:spacing w:line="264" w:lineRule="auto"/>
        <w:ind w:left="720" w:firstLine="709"/>
        <w:jc w:val="left"/>
        <w:rPr>
          <w:rFonts w:ascii="Arial" w:eastAsia="Calibri" w:hAnsi="Arial" w:cs="Arial"/>
          <w:szCs w:val="28"/>
          <w:lang w:val="uk-UA"/>
        </w:rPr>
      </w:pPr>
      <w:bookmarkStart w:id="266" w:name="_Ref196942219"/>
      <w:r w:rsidRPr="00511005">
        <w:rPr>
          <w:rFonts w:ascii="Arial" w:eastAsia="Calibri" w:hAnsi="Arial" w:cs="Arial"/>
          <w:szCs w:val="28"/>
          <w:lang w:val="uk-UA"/>
        </w:rPr>
        <w:t>О. Олійник. Зниження рецидивної злочинності – законодавчі пропозиції.ЮРЛІГА. URL: </w:t>
      </w:r>
      <w:hyperlink r:id="rId2127" w:tgtFrame="_blank" w:history="1">
        <w:r w:rsidRPr="00511005">
          <w:rPr>
            <w:rFonts w:ascii="Arial" w:eastAsia="Calibri" w:hAnsi="Arial" w:cs="Arial"/>
            <w:szCs w:val="28"/>
            <w:lang w:val="uk-UA"/>
          </w:rPr>
          <w:t>https://jurliga.ligazakon.net/analitycs/205454_znizhennya-retsidivno-zlochinnost---zakonodavch-propozits</w:t>
        </w:r>
      </w:hyperlink>
      <w:r w:rsidRPr="00511005">
        <w:rPr>
          <w:rFonts w:ascii="Arial" w:eastAsia="Calibri" w:hAnsi="Arial" w:cs="Arial"/>
          <w:szCs w:val="28"/>
          <w:lang w:val="uk-UA"/>
        </w:rPr>
        <w:t>.</w:t>
      </w:r>
      <w:bookmarkEnd w:id="266"/>
    </w:p>
    <w:p w14:paraId="058C37B8" w14:textId="77777777" w:rsidR="00C1357F" w:rsidRPr="00511005" w:rsidRDefault="00C1357F" w:rsidP="003F6A5D">
      <w:pPr>
        <w:numPr>
          <w:ilvl w:val="0"/>
          <w:numId w:val="580"/>
        </w:numPr>
        <w:spacing w:line="264" w:lineRule="auto"/>
        <w:ind w:left="720" w:firstLine="709"/>
        <w:jc w:val="left"/>
        <w:rPr>
          <w:rFonts w:ascii="Arial" w:eastAsia="Calibri" w:hAnsi="Arial" w:cs="Arial"/>
          <w:szCs w:val="28"/>
          <w:lang w:val="uk-UA"/>
        </w:rPr>
      </w:pPr>
      <w:bookmarkStart w:id="267" w:name="_Ref196942227"/>
      <w:r w:rsidRPr="00511005">
        <w:rPr>
          <w:rFonts w:ascii="Arial" w:eastAsia="Calibri" w:hAnsi="Arial" w:cs="Arial"/>
          <w:szCs w:val="28"/>
          <w:lang w:val="uk-UA"/>
        </w:rPr>
        <w:t>Deb E. COMPAS – an AI tool sending or keeping people in Jail. </w:t>
      </w:r>
      <w:r w:rsidRPr="00511005">
        <w:rPr>
          <w:rFonts w:ascii="Arial" w:eastAsia="Calibri" w:hAnsi="Arial" w:cs="Arial"/>
          <w:i/>
          <w:iCs/>
          <w:szCs w:val="28"/>
          <w:lang w:val="uk-UA"/>
        </w:rPr>
        <w:t>Medium</w:t>
      </w:r>
      <w:r w:rsidRPr="00511005">
        <w:rPr>
          <w:rFonts w:ascii="Arial" w:eastAsia="Calibri" w:hAnsi="Arial" w:cs="Arial"/>
          <w:szCs w:val="28"/>
          <w:lang w:val="uk-UA"/>
        </w:rPr>
        <w:t>. URL: </w:t>
      </w:r>
      <w:hyperlink r:id="rId2128" w:tgtFrame="_blank" w:history="1">
        <w:r w:rsidRPr="00511005">
          <w:rPr>
            <w:rFonts w:ascii="Arial" w:eastAsia="Calibri" w:hAnsi="Arial" w:cs="Arial"/>
            <w:szCs w:val="28"/>
            <w:lang w:val="uk-UA"/>
          </w:rPr>
          <w:t>https://edblogs.medium.com/compas-an-ai-tool-sending-or-keeping-people-in-jail-d9228df3a2c6</w:t>
        </w:r>
      </w:hyperlink>
      <w:r w:rsidRPr="00511005">
        <w:rPr>
          <w:rFonts w:ascii="Arial" w:eastAsia="Calibri" w:hAnsi="Arial" w:cs="Arial"/>
          <w:szCs w:val="28"/>
          <w:lang w:val="uk-UA"/>
        </w:rPr>
        <w:t>.</w:t>
      </w:r>
      <w:bookmarkEnd w:id="267"/>
    </w:p>
    <w:p w14:paraId="6F42333B" w14:textId="2D8D5BC1" w:rsidR="00C1357F" w:rsidRPr="00511005" w:rsidRDefault="00C1357F" w:rsidP="003F6A5D">
      <w:pPr>
        <w:numPr>
          <w:ilvl w:val="0"/>
          <w:numId w:val="580"/>
        </w:numPr>
        <w:spacing w:line="264" w:lineRule="auto"/>
        <w:ind w:left="720" w:firstLine="709"/>
        <w:jc w:val="left"/>
        <w:rPr>
          <w:rFonts w:ascii="Arial" w:eastAsia="Calibri" w:hAnsi="Arial" w:cs="Arial"/>
          <w:szCs w:val="28"/>
          <w:lang w:val="uk-UA"/>
        </w:rPr>
      </w:pPr>
      <w:bookmarkStart w:id="268" w:name="_Ref196942237"/>
      <w:r w:rsidRPr="00511005">
        <w:rPr>
          <w:rFonts w:ascii="Arial" w:eastAsia="Calibri" w:hAnsi="Arial" w:cs="Arial"/>
          <w:szCs w:val="28"/>
          <w:lang w:val="uk-UA"/>
        </w:rPr>
        <w:t>Fair Trials. FOI reveals over 12,000 people profiled by flawed Durham police predictive AI tool</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Fair Trials. </w:t>
      </w:r>
      <w:r w:rsidRPr="00511005">
        <w:rPr>
          <w:rFonts w:ascii="Arial" w:eastAsia="Calibri" w:hAnsi="Arial" w:cs="Arial"/>
          <w:i/>
          <w:iCs/>
          <w:szCs w:val="28"/>
          <w:lang w:val="uk-UA"/>
        </w:rPr>
        <w:t>Fair Trials</w:t>
      </w:r>
      <w:r w:rsidRPr="00511005">
        <w:rPr>
          <w:rFonts w:ascii="Arial" w:eastAsia="Calibri" w:hAnsi="Arial" w:cs="Arial"/>
          <w:szCs w:val="28"/>
          <w:lang w:val="uk-UA"/>
        </w:rPr>
        <w:t>. URL: </w:t>
      </w:r>
      <w:hyperlink r:id="rId2129" w:tgtFrame="_blank" w:history="1">
        <w:r w:rsidRPr="00511005">
          <w:rPr>
            <w:rFonts w:ascii="Arial" w:eastAsia="Calibri" w:hAnsi="Arial" w:cs="Arial"/>
            <w:szCs w:val="28"/>
            <w:lang w:val="uk-UA"/>
          </w:rPr>
          <w:t>https://www.fairtrials.org/articles/news/foi-reveals-over-12000-people-profiled-by-flawed-durham-police-predictive-ai-tool/</w:t>
        </w:r>
      </w:hyperlink>
      <w:r w:rsidRPr="00511005">
        <w:rPr>
          <w:rFonts w:ascii="Arial" w:eastAsia="Calibri" w:hAnsi="Arial" w:cs="Arial"/>
          <w:szCs w:val="28"/>
          <w:lang w:val="uk-UA"/>
        </w:rPr>
        <w:t>.</w:t>
      </w:r>
      <w:bookmarkEnd w:id="268"/>
    </w:p>
    <w:p w14:paraId="59B450C6" w14:textId="77777777" w:rsidR="00C1357F" w:rsidRPr="00511005" w:rsidRDefault="00C1357F" w:rsidP="003A292D">
      <w:pPr>
        <w:spacing w:line="264" w:lineRule="auto"/>
        <w:ind w:firstLine="0"/>
        <w:rPr>
          <w:rFonts w:ascii="Arial" w:eastAsia="Calibri" w:hAnsi="Arial" w:cs="Arial"/>
          <w:b/>
          <w:szCs w:val="28"/>
          <w:lang w:val="uk-UA"/>
        </w:rPr>
      </w:pPr>
    </w:p>
    <w:p w14:paraId="758B9CF5" w14:textId="01ADCD77"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357F" w:rsidRPr="00511005">
        <w:rPr>
          <w:rFonts w:ascii="Arial" w:eastAsia="Calibri" w:hAnsi="Arial" w:cs="Arial"/>
          <w:szCs w:val="28"/>
          <w:lang w:val="uk-UA"/>
        </w:rPr>
        <w:t>штучний інтелект, права людини, засуджені, захист персональних даних, ризики,</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установи відбування покарань, рецедив.</w:t>
      </w:r>
    </w:p>
    <w:p w14:paraId="08116BD4" w14:textId="0356D145"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lastRenderedPageBreak/>
        <w:t xml:space="preserve">Key words: </w:t>
      </w:r>
      <w:r w:rsidR="00C1357F" w:rsidRPr="00511005">
        <w:rPr>
          <w:rFonts w:ascii="Arial" w:eastAsia="Calibri" w:hAnsi="Arial" w:cs="Arial"/>
          <w:bCs/>
          <w:szCs w:val="28"/>
          <w:lang w:val="uk-UA"/>
        </w:rPr>
        <w:t>artificial intelligence, human rights, convicts, personal data protection, risks, establishment of the punishment process, recidivism.</w:t>
      </w:r>
    </w:p>
    <w:p w14:paraId="1F624B35" w14:textId="5F23D0A0"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iCs/>
          <w:szCs w:val="28"/>
          <w:lang w:val="uk-UA"/>
        </w:rPr>
        <w:t xml:space="preserve">Науковий керівник: </w:t>
      </w:r>
      <w:bookmarkEnd w:id="263"/>
      <w:r w:rsidR="00C1357F" w:rsidRPr="00511005">
        <w:rPr>
          <w:rFonts w:ascii="Arial" w:eastAsia="Calibri" w:hAnsi="Arial" w:cs="Arial"/>
          <w:i/>
          <w:iCs/>
          <w:szCs w:val="28"/>
          <w:lang w:val="uk-UA"/>
        </w:rPr>
        <w:t>асистентка кафедри Лукащук К. Р.</w:t>
      </w:r>
    </w:p>
    <w:p w14:paraId="18EBE3A8" w14:textId="77777777" w:rsidR="00C1357F" w:rsidRPr="00511005" w:rsidRDefault="00C1357F" w:rsidP="003A292D">
      <w:pPr>
        <w:spacing w:line="264" w:lineRule="auto"/>
        <w:ind w:firstLine="0"/>
        <w:rPr>
          <w:rFonts w:ascii="Arial" w:eastAsia="Calibri" w:hAnsi="Arial" w:cs="Arial"/>
          <w:szCs w:val="28"/>
          <w:lang w:val="uk-UA"/>
        </w:rPr>
      </w:pPr>
    </w:p>
    <w:p w14:paraId="2C896EBC" w14:textId="77777777" w:rsidR="00C1357F" w:rsidRPr="00511005" w:rsidRDefault="00C1357F" w:rsidP="003A292D">
      <w:pPr>
        <w:spacing w:line="264" w:lineRule="auto"/>
        <w:ind w:firstLine="0"/>
        <w:rPr>
          <w:rFonts w:ascii="Arial" w:eastAsia="Calibri" w:hAnsi="Arial" w:cs="Arial"/>
          <w:szCs w:val="28"/>
          <w:lang w:val="uk-UA"/>
        </w:rPr>
      </w:pPr>
    </w:p>
    <w:p w14:paraId="2F69FFCF" w14:textId="77777777" w:rsidR="00C1357F" w:rsidRPr="00511005" w:rsidRDefault="00C1357F" w:rsidP="003A292D">
      <w:pPr>
        <w:spacing w:line="264" w:lineRule="auto"/>
        <w:ind w:firstLine="0"/>
        <w:contextualSpacing/>
        <w:jc w:val="center"/>
        <w:rPr>
          <w:rFonts w:ascii="Arial" w:eastAsia="Calibri" w:hAnsi="Arial" w:cs="Arial"/>
          <w:b/>
          <w:i/>
          <w:szCs w:val="28"/>
          <w:lang w:val="uk-UA"/>
        </w:rPr>
      </w:pPr>
      <w:r w:rsidRPr="00511005">
        <w:rPr>
          <w:rFonts w:ascii="Arial" w:eastAsia="Calibri" w:hAnsi="Arial" w:cs="Arial"/>
          <w:b/>
          <w:i/>
          <w:szCs w:val="28"/>
          <w:lang w:val="uk-UA"/>
        </w:rPr>
        <w:t>Тимошенко Софія Володимирівна</w:t>
      </w:r>
    </w:p>
    <w:p w14:paraId="32C82233" w14:textId="625E18B7"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42D4D585"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A1024BB"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6AEDA39" w14:textId="77777777" w:rsidR="00C1357F" w:rsidRPr="00511005" w:rsidRDefault="00C1357F" w:rsidP="003A292D">
      <w:pPr>
        <w:spacing w:line="264" w:lineRule="auto"/>
        <w:ind w:firstLine="0"/>
        <w:contextualSpacing/>
        <w:jc w:val="center"/>
        <w:rPr>
          <w:rFonts w:ascii="Arial" w:eastAsia="Calibri" w:hAnsi="Arial" w:cs="Arial"/>
          <w:b/>
          <w:szCs w:val="28"/>
          <w:lang w:val="uk-UA"/>
        </w:rPr>
      </w:pPr>
    </w:p>
    <w:p w14:paraId="1CF6755B" w14:textId="77777777" w:rsidR="00C1357F" w:rsidRPr="00511005" w:rsidRDefault="00C1357F" w:rsidP="003A292D">
      <w:pPr>
        <w:spacing w:line="264" w:lineRule="auto"/>
        <w:ind w:firstLine="0"/>
        <w:contextualSpacing/>
        <w:jc w:val="center"/>
        <w:rPr>
          <w:rFonts w:ascii="Arial" w:eastAsia="Calibri" w:hAnsi="Arial" w:cs="Arial"/>
          <w:b/>
          <w:szCs w:val="28"/>
          <w:lang w:val="uk-UA"/>
        </w:rPr>
      </w:pPr>
      <w:r w:rsidRPr="00511005">
        <w:rPr>
          <w:rFonts w:ascii="Arial" w:eastAsia="Calibri" w:hAnsi="Arial" w:cs="Arial"/>
          <w:b/>
          <w:szCs w:val="28"/>
          <w:lang w:val="uk-UA"/>
        </w:rPr>
        <w:t>ДЕЯКІ АСПЕКТИ РЕСОЦІАЛІЗАЦІЇ НЕПОВНОЛІТНІХ ЗАСУДЖЕНИХ</w:t>
      </w:r>
    </w:p>
    <w:p w14:paraId="3600E3D3"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Згідно з Кримінально-виконавчим кодексом України, пріоритетною метою покарання виступає виправлення та ресоціалізація засуджених, що забезпечує передумови для їх повноцінного повернення до суспільного життя.</w:t>
      </w:r>
    </w:p>
    <w:p w14:paraId="5B30DF3B"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Перш за все треба звернути увагу на термін «ресоціалізація». На законодавчому рівні його визначають як: «…свідоме відновлення засудженого в соціальному статусі повноправного члена суспільства; повернення його до самостійного загальноприйнятого соціально-нормативного життя в суспільстві» [1]. </w:t>
      </w:r>
    </w:p>
    <w:p w14:paraId="7CF0C281" w14:textId="344F92C3"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Аналізуючи процес ресоціалізації, можна виокремити три взаємопов'язані етапи, які формують його структуру: допенітенціарний, пенітенціарний та постпенітенціарний. Кожен з цих етапів, у свою чергу, містить низку власних особливостей та інст</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рументів реалізації [5, с. 444].</w:t>
      </w:r>
    </w:p>
    <w:p w14:paraId="3B62DA88" w14:textId="77777777" w:rsidR="00C1357F" w:rsidRPr="00511005" w:rsidRDefault="00C1357F" w:rsidP="003F6A5D">
      <w:pPr>
        <w:numPr>
          <w:ilvl w:val="0"/>
          <w:numId w:val="569"/>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Допенітенціарний – даний етап охоплює період, що починається з моменту вчинення злочину, який фактично є кульмінацією процесу десоціалізації особистості, затримання неповнолітнього, і триває протягом всього досудового слідства, у томі числі періоду тримання у слідчому ізоляторі, та судового провадження. Формується комплекс соціально-психологічних механізмів, спрямованих на глибоке осмислення неповнолітнім наслідків своєї протиправної дії. Соціально-педагогічний супровід реалізується через систему взаємопов'язаних заходів, таких як: організацію виховних заходів антикримінальної спрямованості, проведення занять з соціальної адаптації, організацію спортивно-оздоровчої діяльності, індивідуальну та групову терапію тощо.</w:t>
      </w:r>
    </w:p>
    <w:p w14:paraId="5A665D0F" w14:textId="77777777" w:rsidR="00C1357F" w:rsidRPr="00511005" w:rsidRDefault="00C1357F" w:rsidP="003F6A5D">
      <w:pPr>
        <w:numPr>
          <w:ilvl w:val="0"/>
          <w:numId w:val="569"/>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 xml:space="preserve">Пенітенціарний - охоплює період від моменту прибуття засудженого до виховної колонії до його звільнення. Цей етап передбачає три взаємозв’язані фази: первинну адаптацію до умов установи, основну стадію виховного впливу та підготовку до повернення у суспільство. Ключовим принципом є індивідуалізація, яка враховує вікові, психологічні, моральні особливості особистості, а також соціальне середовище, у якому засуджений перебував до правопорушення. Важливу роль відіграє </w:t>
      </w:r>
      <w:r w:rsidRPr="00511005">
        <w:rPr>
          <w:rFonts w:ascii="Arial" w:eastAsia="Calibri" w:hAnsi="Arial" w:cs="Arial"/>
          <w:szCs w:val="28"/>
          <w:lang w:val="uk-UA"/>
        </w:rPr>
        <w:lastRenderedPageBreak/>
        <w:t>формування мотивації до виправлення, коли неповнолітній усвідомлює необхідність змін і активно працює над переосмисленням життєвих орієнтирів. Незважаючи на складність умов ізоляції, цей етап надає можливість через системну соціально-педагогічну роботу, громадський вплив та психологічний супровід підготувати засудженого до повноцінного «відновлення», зменшуючи ризики рецидиву та сприяючи становленню законослухняної громадянської позиції.</w:t>
      </w:r>
    </w:p>
    <w:p w14:paraId="240CF77F"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Слід погодитись з думкою Кушнарьова С., який акцентує увагу на тому, що пенітенціарний етап супроводжується низкою серйозних проблем, зокрема перебування в ізоляції від звичайного соціального середовища призводить до «відриву» від сім’ї, друзів та позитивних соціальних зв’язків, а це в свою чергу, ускладнює подальшу адаптацію неповнолітнього до життя на волі, оскільки він втрачає навички соціальної взаємодії та може відчувати себе відчуженим від суспільства [4, с.178]. </w:t>
      </w:r>
    </w:p>
    <w:p w14:paraId="207F7DF5"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Іншою, не менш важливою проблемою на цьому етапі є вплив кримінального середовища, яке пропагує антисоціальні цінності та поведінку. Це може призвести до формування у них негативних установок, які ускладнюють процес ресоціалізації та збільшують ризики рецидиву [3, с.179].</w:t>
      </w:r>
    </w:p>
    <w:p w14:paraId="560FEA08" w14:textId="77777777" w:rsidR="00C1357F" w:rsidRPr="00511005" w:rsidRDefault="00C1357F" w:rsidP="003F6A5D">
      <w:pPr>
        <w:numPr>
          <w:ilvl w:val="0"/>
          <w:numId w:val="569"/>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Постпенітенціарний - починається після звільнення, спрямований на повне повернення неповнолітнього до суспільства. Цей етап включає соціальну реабілітацію та адаптацію, які можуть відбуватися одночасно або послідовно. Реабілітація, що є умовою успішної адаптації, передбачає допомогу в забезпеченні житлом, освітою та працевлаштуванням. Ключовим завданням є нейтралізація негативного впливу оточення та надання психологічної підтримки [5, с. 444-445].</w:t>
      </w:r>
    </w:p>
    <w:p w14:paraId="3B92206E"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Розглядаючи постпенітенціарний етап, який на нашу думку, є вирішальним у процесі ресоціалізації, адже саме на цьому етапі відбувається безпосереднє повернення неповнолітнього в суспільство. Успішність цього повернення визначає, чи зможе неповнолітній стати повноцінним членом суспільства, чи повернеться до злочинної діяльності. </w:t>
      </w:r>
    </w:p>
    <w:p w14:paraId="6FF2E889"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Позитивна динаміка у процесі ресоціалізації засуджених неповнолітніх на цьому етапі залежить від ряду чинників. Серед них — умови проживання неповнолітнього, соціально-економічний стан його родини, а також загальний рівень благополуччя та соціальний статус сім'ї. Важливу роль відіграє найближче оточення: родинні відносини, взаємини з друзями, підтримка з боку вчителів, працівників соціальних служб і співробітників пробації.</w:t>
      </w:r>
    </w:p>
    <w:p w14:paraId="54CFC209"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Проте вирішальним фактором успішної ресоціалізації є сама особистість неповнолітнього. Значення мають його риси характеру, рівень освіти, інтелектуальні здібності, морально-етичні орієнтири та фізичний стан. Важливим аспектом є також усвідомлення ним власної провини за скоєне — </w:t>
      </w:r>
      <w:r w:rsidRPr="00511005">
        <w:rPr>
          <w:rFonts w:ascii="Arial" w:eastAsia="Calibri" w:hAnsi="Arial" w:cs="Arial"/>
          <w:szCs w:val="28"/>
          <w:lang w:val="uk-UA"/>
        </w:rPr>
        <w:lastRenderedPageBreak/>
        <w:t>адже саме це формує прийняття справедливості призначеного покарання та сприяє внутрішнім змінам [2, с. 67].</w:t>
      </w:r>
    </w:p>
    <w:p w14:paraId="4153AD42"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Слід погодитись з думкою Кутєпова М., що основними завданнями ресоціалізації неповнолітніх засуджених є: пристосування до умов утримання; формування позитивного соціального середовища; активна участь у громадському житті; виховання відповідального ставлення до навчання та праці; зміцнення соціальних зв’язків; підготовка до законослухняного життя [3, с. 675].</w:t>
      </w:r>
    </w:p>
    <w:p w14:paraId="422A9C96"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Ресоціалізація неповнолітніх засуджених – це складний процес, що вимагає комплексного підходу на всіх етапах, від допенітенціарного до постпенітенціарного. Ключовим є не лише відновлення соціального статусу, але й формування позитивних навичок та цінностей, особливо на вирішальному постпенітенціарному етапі. Ефективна ресоціалізація вимагає міжвідомчої співпраці, соціальної підтримки, працевлаштування, освіти та психологічної допомоги, враховуючи індивідуальні особливості кожного неповнолітнього.</w:t>
      </w:r>
    </w:p>
    <w:p w14:paraId="77C5F7A3" w14:textId="77777777" w:rsidR="00C1357F" w:rsidRPr="00511005" w:rsidRDefault="00C1357F" w:rsidP="003A292D">
      <w:pPr>
        <w:spacing w:line="264" w:lineRule="auto"/>
        <w:ind w:firstLine="0"/>
        <w:rPr>
          <w:rFonts w:ascii="Arial" w:eastAsia="Calibri" w:hAnsi="Arial" w:cs="Arial"/>
          <w:b/>
          <w:szCs w:val="28"/>
          <w:lang w:val="uk-UA"/>
        </w:rPr>
      </w:pPr>
    </w:p>
    <w:p w14:paraId="00BA1D8F" w14:textId="4E17E60F" w:rsidR="00C1357F"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7F0C9571" w14:textId="77777777" w:rsidR="00C1357F" w:rsidRPr="00511005" w:rsidRDefault="00C1357F" w:rsidP="003F6A5D">
      <w:pPr>
        <w:numPr>
          <w:ilvl w:val="0"/>
          <w:numId w:val="570"/>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Кримінально-виконавчий кодекс України : Закон України від 11.07.2003 № 1129-IV : станом на 01.01.2025. URL: </w:t>
      </w:r>
      <w:hyperlink r:id="rId2130" w:anchor="Text" w:tgtFrame="_blank" w:history="1">
        <w:r w:rsidRPr="00511005">
          <w:rPr>
            <w:rFonts w:ascii="Arial" w:eastAsia="Calibri" w:hAnsi="Arial" w:cs="Arial"/>
            <w:szCs w:val="28"/>
            <w:lang w:val="uk-UA"/>
          </w:rPr>
          <w:t>https://zakon.rada.gov.ua/laws/show/1129-15#Text</w:t>
        </w:r>
      </w:hyperlink>
      <w:r w:rsidRPr="00511005">
        <w:rPr>
          <w:rFonts w:ascii="Arial" w:eastAsia="Calibri" w:hAnsi="Arial" w:cs="Arial"/>
          <w:szCs w:val="28"/>
          <w:lang w:val="uk-UA"/>
        </w:rPr>
        <w:t>.</w:t>
      </w:r>
    </w:p>
    <w:p w14:paraId="20CE0D7C" w14:textId="77777777" w:rsidR="00C1357F" w:rsidRPr="00511005" w:rsidRDefault="00C1357F" w:rsidP="003F6A5D">
      <w:pPr>
        <w:numPr>
          <w:ilvl w:val="0"/>
          <w:numId w:val="570"/>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Гарасимів, Ю. В. "Усвідомлення провини як умова успішної ресоціалізації умовно засудженого неповнолітнього." </w:t>
      </w:r>
      <w:r w:rsidRPr="00511005">
        <w:rPr>
          <w:rFonts w:ascii="Arial" w:eastAsia="Calibri" w:hAnsi="Arial" w:cs="Arial"/>
          <w:i/>
          <w:iCs/>
          <w:szCs w:val="28"/>
          <w:lang w:val="uk-UA"/>
        </w:rPr>
        <w:t>ВІСНИК Житомирського державного університету імені Івана Франка</w:t>
      </w:r>
      <w:r w:rsidRPr="00511005">
        <w:rPr>
          <w:rFonts w:ascii="Arial" w:eastAsia="Calibri" w:hAnsi="Arial" w:cs="Arial"/>
          <w:szCs w:val="28"/>
          <w:lang w:val="uk-UA"/>
        </w:rPr>
        <w:t xml:space="preserve"> 48 (2009): 64-67. URL: </w:t>
      </w:r>
      <w:hyperlink r:id="rId2131" w:history="1">
        <w:r w:rsidRPr="00511005">
          <w:rPr>
            <w:rFonts w:ascii="Arial" w:eastAsia="Calibri" w:hAnsi="Arial" w:cs="Arial"/>
            <w:szCs w:val="28"/>
            <w:lang w:val="uk-UA"/>
          </w:rPr>
          <w:t>http://eprints.zu.edu.ua/3799/1/Vip_48_13.pdf</w:t>
        </w:r>
      </w:hyperlink>
      <w:r w:rsidRPr="00511005">
        <w:rPr>
          <w:rFonts w:ascii="Arial" w:eastAsia="Calibri" w:hAnsi="Arial" w:cs="Arial"/>
          <w:szCs w:val="28"/>
          <w:lang w:val="uk-UA"/>
        </w:rPr>
        <w:t>.</w:t>
      </w:r>
    </w:p>
    <w:p w14:paraId="1BE80F9D" w14:textId="77777777" w:rsidR="00C1357F" w:rsidRPr="00511005" w:rsidRDefault="00C1357F" w:rsidP="003F6A5D">
      <w:pPr>
        <w:numPr>
          <w:ilvl w:val="0"/>
          <w:numId w:val="570"/>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Кутєпов М.Ю. "Деякі проблеми ресоціалізації неповнолітніх засуджених в Україні." </w:t>
      </w:r>
      <w:r w:rsidRPr="00511005">
        <w:rPr>
          <w:rFonts w:ascii="Arial" w:eastAsia="Calibri" w:hAnsi="Arial" w:cs="Arial"/>
          <w:i/>
          <w:iCs/>
          <w:szCs w:val="28"/>
          <w:lang w:val="uk-UA"/>
        </w:rPr>
        <w:t>Молодий вчений</w:t>
      </w:r>
      <w:r w:rsidRPr="00511005">
        <w:rPr>
          <w:rFonts w:ascii="Arial" w:eastAsia="Calibri" w:hAnsi="Arial" w:cs="Arial"/>
          <w:szCs w:val="28"/>
          <w:lang w:val="uk-UA"/>
        </w:rPr>
        <w:t xml:space="preserve"> 2 (54) (2018): 674-677. URL: </w:t>
      </w:r>
      <w:hyperlink r:id="rId2132" w:history="1">
        <w:r w:rsidRPr="00511005">
          <w:rPr>
            <w:rFonts w:ascii="Arial" w:eastAsia="Calibri" w:hAnsi="Arial" w:cs="Arial"/>
            <w:szCs w:val="28"/>
            <w:lang w:val="uk-UA"/>
          </w:rPr>
          <w:t>https://molodyivchenyi.ua/index.php/journal/article/download/5203/5103/</w:t>
        </w:r>
      </w:hyperlink>
      <w:r w:rsidRPr="00511005">
        <w:rPr>
          <w:rFonts w:ascii="Arial" w:eastAsia="Calibri" w:hAnsi="Arial" w:cs="Arial"/>
          <w:szCs w:val="28"/>
          <w:lang w:val="uk-UA"/>
        </w:rPr>
        <w:t>.</w:t>
      </w:r>
    </w:p>
    <w:p w14:paraId="30ABAB0A" w14:textId="77777777" w:rsidR="00C1357F" w:rsidRPr="00511005" w:rsidRDefault="00C1357F" w:rsidP="003F6A5D">
      <w:pPr>
        <w:numPr>
          <w:ilvl w:val="0"/>
          <w:numId w:val="570"/>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 xml:space="preserve">Кушнарьов С. В. Проблеми ресоціалізації неповнолітніх засуджених у контексті пенітенціарного процесу. Теоретико-методичні проблеми виховання дітей та учнівської молоді. Збірник наукових праць. Київ. Випуск 16, книга 2, 2012. С. 177–184. URL: https://surl.lu/jreyiv. </w:t>
      </w:r>
    </w:p>
    <w:p w14:paraId="44CD7088" w14:textId="77777777" w:rsidR="00C1357F" w:rsidRPr="00511005" w:rsidRDefault="00C1357F" w:rsidP="003F6A5D">
      <w:pPr>
        <w:numPr>
          <w:ilvl w:val="0"/>
          <w:numId w:val="570"/>
        </w:numPr>
        <w:spacing w:line="264" w:lineRule="auto"/>
        <w:ind w:left="0" w:firstLine="720"/>
        <w:contextualSpacing/>
        <w:jc w:val="left"/>
        <w:rPr>
          <w:rFonts w:ascii="Arial" w:eastAsia="Calibri" w:hAnsi="Arial" w:cs="Arial"/>
          <w:szCs w:val="28"/>
          <w:lang w:val="uk-UA"/>
        </w:rPr>
      </w:pPr>
      <w:r w:rsidRPr="00511005">
        <w:rPr>
          <w:rFonts w:ascii="Arial" w:eastAsia="Calibri" w:hAnsi="Arial" w:cs="Arial"/>
          <w:szCs w:val="28"/>
          <w:lang w:val="uk-UA"/>
        </w:rPr>
        <w:t>Разумейко Н., Ткаченко О. Проблеми ресоціалізації неповнолітніх правопорушників : Матеріали ІІ міжнар. науково-практ. конф. Чернігів, 2022. URL: </w:t>
      </w:r>
      <w:hyperlink r:id="rId2133" w:anchor="page=442" w:history="1">
        <w:r w:rsidRPr="00511005">
          <w:rPr>
            <w:rFonts w:ascii="Arial" w:eastAsia="Calibri" w:hAnsi="Arial" w:cs="Arial"/>
            <w:szCs w:val="28"/>
            <w:lang w:val="uk-UA"/>
          </w:rPr>
          <w:t>https://pau.edu.ua/wpcontent/uploads/2024/10/Konferenciya_04.11.pdf#page=442</w:t>
        </w:r>
      </w:hyperlink>
      <w:r w:rsidRPr="00511005">
        <w:rPr>
          <w:rFonts w:ascii="Arial" w:eastAsia="Calibri" w:hAnsi="Arial" w:cs="Arial"/>
          <w:szCs w:val="28"/>
          <w:lang w:val="uk-UA"/>
        </w:rPr>
        <w:t>.</w:t>
      </w:r>
    </w:p>
    <w:p w14:paraId="1862D957" w14:textId="77777777" w:rsidR="00C1357F" w:rsidRPr="00511005" w:rsidRDefault="00C1357F" w:rsidP="003A292D">
      <w:pPr>
        <w:spacing w:line="264" w:lineRule="auto"/>
        <w:ind w:firstLine="0"/>
        <w:rPr>
          <w:rFonts w:ascii="Arial" w:eastAsia="Calibri" w:hAnsi="Arial" w:cs="Arial"/>
          <w:b/>
          <w:szCs w:val="28"/>
          <w:lang w:val="uk-UA"/>
        </w:rPr>
      </w:pPr>
    </w:p>
    <w:p w14:paraId="2338A078" w14:textId="450B1489"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C1357F" w:rsidRPr="00511005">
        <w:rPr>
          <w:rFonts w:ascii="Arial" w:eastAsia="Calibri" w:hAnsi="Arial" w:cs="Arial"/>
          <w:szCs w:val="28"/>
          <w:lang w:val="uk-UA"/>
        </w:rPr>
        <w:t>ресоціалізація, неповнолітні, засуджені, етапи ресоціалізації, адаптація неповнолітніх</w:t>
      </w:r>
    </w:p>
    <w:p w14:paraId="4E70E878" w14:textId="486BAE3B"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Key words: </w:t>
      </w:r>
      <w:r w:rsidR="00C1357F" w:rsidRPr="00511005">
        <w:rPr>
          <w:rFonts w:ascii="Arial" w:eastAsia="Calibri" w:hAnsi="Arial" w:cs="Arial"/>
          <w:szCs w:val="28"/>
          <w:lang w:val="uk-UA"/>
        </w:rPr>
        <w:t>resocialization, juveniles, convicts, stages of resocialization, juvenile adaptation.</w:t>
      </w:r>
    </w:p>
    <w:p w14:paraId="5C932B5E" w14:textId="16B0EE80" w:rsidR="00C1357F"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lang w:val="uk-UA"/>
        </w:rPr>
        <w:lastRenderedPageBreak/>
        <w:t xml:space="preserve">Науковий керівник: </w:t>
      </w:r>
      <w:r w:rsidR="00C1357F" w:rsidRPr="00511005">
        <w:rPr>
          <w:rFonts w:ascii="Arial" w:eastAsia="Calibri" w:hAnsi="Arial" w:cs="Arial"/>
          <w:i/>
          <w:szCs w:val="28"/>
          <w:lang w:val="uk-UA"/>
        </w:rPr>
        <w:t>асистентка кафедри Лукащук К.Р.</w:t>
      </w:r>
    </w:p>
    <w:p w14:paraId="14F3A4F2" w14:textId="77777777" w:rsidR="00C1357F" w:rsidRPr="00511005" w:rsidRDefault="00C1357F" w:rsidP="003A292D">
      <w:pPr>
        <w:spacing w:line="264" w:lineRule="auto"/>
        <w:ind w:firstLine="0"/>
        <w:rPr>
          <w:rFonts w:ascii="Arial" w:eastAsia="Calibri" w:hAnsi="Arial" w:cs="Arial"/>
          <w:szCs w:val="28"/>
          <w:lang w:val="uk-UA"/>
        </w:rPr>
      </w:pPr>
    </w:p>
    <w:p w14:paraId="620B8BB0" w14:textId="77777777" w:rsidR="00C1357F" w:rsidRPr="00511005" w:rsidRDefault="00C1357F"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Тишко Ілонна Павлівна</w:t>
      </w:r>
    </w:p>
    <w:p w14:paraId="585E1CD5" w14:textId="0F0ABDB7"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2D84FDCF"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209AD49"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38379F5" w14:textId="77777777" w:rsidR="00C1357F" w:rsidRPr="00511005" w:rsidRDefault="00C1357F" w:rsidP="003A292D">
      <w:pPr>
        <w:spacing w:line="264" w:lineRule="auto"/>
        <w:ind w:firstLine="0"/>
        <w:jc w:val="center"/>
        <w:rPr>
          <w:rFonts w:ascii="Arial" w:eastAsia="Times New Roman" w:hAnsi="Arial" w:cs="Arial"/>
          <w:b/>
          <w:szCs w:val="28"/>
          <w:lang w:val="uk-UA"/>
        </w:rPr>
      </w:pPr>
    </w:p>
    <w:p w14:paraId="65EA5570" w14:textId="77777777" w:rsidR="00C1357F" w:rsidRPr="00511005" w:rsidRDefault="00C1357F"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ПРОБЛЕМИ РЕСОЦІАЛІЗАЦІЇ ЗАСУДЖЕНИХ: ТЕОРЕТИЧНІ ТА ПРАКТИЧНІ АСПЕКТИ</w:t>
      </w:r>
    </w:p>
    <w:p w14:paraId="69DC94AF"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Згідно з метою та завданням кримінально-виконавчого законодавства України, пенітенціарна система повинна бути не лише інструментом покарання, але й важливим механізмом виправлення та ресоціалізації засуджених. Законодавче визначення поняття «виправлення засудженого» відображає його як процес позитивних змін особистості, що формує готовність до самостійної правослухняної поведінки. Водночас ресоціалізація трактується як свідоме повернення особи до повноцінного соціального життя, відновлення її в статусі повноправного члена суспільства </w:t>
      </w:r>
      <w:r w:rsidRPr="00511005">
        <w:rPr>
          <w:rFonts w:ascii="Arial" w:eastAsia="Calibri" w:hAnsi="Arial" w:cs="Arial"/>
          <w:szCs w:val="28"/>
          <w:lang w:val="uk-UA"/>
        </w:rPr>
        <w:t xml:space="preserve">[1]. </w:t>
      </w:r>
    </w:p>
    <w:p w14:paraId="4E40E619"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Проблема ресоціалізації засуджених давно є у фокусі досліджень кримінологів, юристів, педагогів та соціологів. Ще у 1872 році на Лондонському конгресі наголошувалось на необхідності державної підтримки звільнених із в’язниць, і ця ідея залишається актуальною й сьогодні. У цивілізованому суспільстві ресоціалізація розглядається як невід’ємна частина правового захисту громадян, зокрема колишніх засуджених. В Україні це поняття пов’язується з процесом протидії соціальній деградації та повернення особи до нормального життя. </w:t>
      </w:r>
    </w:p>
    <w:p w14:paraId="2AC835D5"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Ключову роль у цьому відіграє соціально-виховна робота, яка спрямована на розвиток правослухняної поведінки, трудових навичок і загальної культури. Водночас ресоціалізація — це складний багатоступеневий процес, який починається ще під час відбування покарання. Як зазначають дослідники, чим складніша десоціалізація, тим важче повернення до повноцінного соціального життя </w:t>
      </w:r>
      <w:r w:rsidRPr="00511005">
        <w:rPr>
          <w:rFonts w:ascii="Arial" w:eastAsia="Calibri" w:hAnsi="Arial" w:cs="Arial"/>
          <w:szCs w:val="28"/>
          <w:lang w:val="uk-UA"/>
        </w:rPr>
        <w:t>[2].</w:t>
      </w:r>
    </w:p>
    <w:p w14:paraId="5DC603AB"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Проводячи аналіз соціально-правової природи ресоціалізації відповідно до тверджень науковців та практиків, які досліджували правові, педагогічні та соціальні аспекти цього процесу, доцільно подати таку класифікацію етапів ресоціалізації:</w:t>
      </w:r>
    </w:p>
    <w:p w14:paraId="1087A86A"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ресоціалізація в місцях позбавлення волі;</w:t>
      </w:r>
    </w:p>
    <w:p w14:paraId="3F54B68F"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ресоціалізація під час підготовки засудженого до звільнення з установи виконання покарань;</w:t>
      </w:r>
    </w:p>
    <w:p w14:paraId="2FEC73CD"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rPr>
        <w:t xml:space="preserve">– ресоціалізація після звільнення з пенітенціарних установ </w:t>
      </w:r>
      <w:r w:rsidRPr="00511005">
        <w:rPr>
          <w:rFonts w:ascii="Arial" w:eastAsia="Calibri" w:hAnsi="Arial" w:cs="Arial"/>
          <w:szCs w:val="28"/>
          <w:lang w:val="uk-UA"/>
        </w:rPr>
        <w:t>[3].</w:t>
      </w:r>
    </w:p>
    <w:p w14:paraId="1D234FE0"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Початковий етап ресоціалізації пов'язаний із серйозними психологічними труднощами та починається одразу після винесення обвинувального вироку </w:t>
      </w:r>
      <w:r w:rsidRPr="00511005">
        <w:rPr>
          <w:rFonts w:ascii="Arial" w:eastAsia="Times New Roman" w:hAnsi="Arial" w:cs="Arial"/>
          <w:szCs w:val="28"/>
          <w:lang w:val="uk-UA"/>
        </w:rPr>
        <w:lastRenderedPageBreak/>
        <w:t>судом та засудження особи до позбавлення волі на певний строк. Засуджений переживає стрес, різко втрачає звичне соціальне середовище, що часто викликає відчуття втрати сенсу життя, сильні емоційні переживання та потребу пристосовуватись до нової реальності. В умовах закритого пенітенціарного середовища він змушений адаптуватися до жорстких, часто травматичних норм: неписаних правил, ієрархій, конфліктів та вимог адміністрації. Такі обставини впливають на психічне, фізичне й емоційне здоров’я людини, спричиняють ізоляцію від близьких і формують ворожу, агресивну атмосферу. Адаптація до цих умов вимагає часу та підтримки.</w:t>
      </w:r>
    </w:p>
    <w:p w14:paraId="6EBBF407"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Щоб полегшити цей період, необхідно організувати системну соціально-педагогічну роботу. Вона має включати:</w:t>
      </w:r>
    </w:p>
    <w:p w14:paraId="3B8D9E77" w14:textId="77777777" w:rsidR="00C1357F" w:rsidRPr="00511005" w:rsidRDefault="00C1357F" w:rsidP="003F6A5D">
      <w:pPr>
        <w:numPr>
          <w:ilvl w:val="0"/>
          <w:numId w:val="564"/>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психологічну діагностику для виявлення особистісних проблем;</w:t>
      </w:r>
    </w:p>
    <w:p w14:paraId="430500B0" w14:textId="77777777" w:rsidR="00C1357F" w:rsidRPr="00511005" w:rsidRDefault="00C1357F" w:rsidP="003F6A5D">
      <w:pPr>
        <w:numPr>
          <w:ilvl w:val="0"/>
          <w:numId w:val="564"/>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роботу з подолання стресу та тривоги (тренінги, підтримка);</w:t>
      </w:r>
    </w:p>
    <w:p w14:paraId="31F84864" w14:textId="77777777" w:rsidR="00C1357F" w:rsidRPr="00511005" w:rsidRDefault="00C1357F" w:rsidP="003F6A5D">
      <w:pPr>
        <w:numPr>
          <w:ilvl w:val="0"/>
          <w:numId w:val="564"/>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моніторинг змін у поведінці та стані засудженого;</w:t>
      </w:r>
    </w:p>
    <w:p w14:paraId="1CFDDFC0" w14:textId="77777777" w:rsidR="00C1357F" w:rsidRPr="00511005" w:rsidRDefault="00C1357F" w:rsidP="003F6A5D">
      <w:pPr>
        <w:numPr>
          <w:ilvl w:val="0"/>
          <w:numId w:val="564"/>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залучення до праці, дозвілля, фізичної активності;</w:t>
      </w:r>
    </w:p>
    <w:p w14:paraId="527D7DCC" w14:textId="77777777" w:rsidR="00C1357F" w:rsidRPr="00511005" w:rsidRDefault="00C1357F" w:rsidP="003F6A5D">
      <w:pPr>
        <w:numPr>
          <w:ilvl w:val="0"/>
          <w:numId w:val="564"/>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підтримку в адаптації до нових норм поведінки;</w:t>
      </w:r>
    </w:p>
    <w:p w14:paraId="334FEC07" w14:textId="77777777" w:rsidR="00C1357F" w:rsidRPr="00511005" w:rsidRDefault="00C1357F" w:rsidP="003F6A5D">
      <w:pPr>
        <w:numPr>
          <w:ilvl w:val="0"/>
          <w:numId w:val="564"/>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профілактику деструктивних реакцій і прогнозування ризиків;</w:t>
      </w:r>
    </w:p>
    <w:p w14:paraId="1C1E981F" w14:textId="77777777" w:rsidR="00C1357F" w:rsidRPr="00511005" w:rsidRDefault="00C1357F" w:rsidP="003F6A5D">
      <w:pPr>
        <w:numPr>
          <w:ilvl w:val="0"/>
          <w:numId w:val="564"/>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створення умов для усвідомлення своєї провини та прийняття покарання.</w:t>
      </w:r>
    </w:p>
    <w:p w14:paraId="5CBE8CFD"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Цей період надзвичайно важливий, адже саме в ньому закладається основа майбутньої ресоціалізації. І хоча повністю зберегти соціальні навички засудженого у таких умовах складно, комплексний підхід дає шанс на позитивні зміни та зменшує ризик рецидиву.</w:t>
      </w:r>
    </w:p>
    <w:p w14:paraId="1533BACD"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Другий етап ресоціалізації — це період підготовки засудженого до звільнення з місць позбавлення волі. Він має велике значення, адже більшість ув’язнених, особливо після довгих строків, виходять у суспільство без житла, професії, стабільних контактів із родичами, і часто — з проблемами зі здоров’ям. Тому цей період передбачає організацію заходів, які допомагають плавно адаптуватися до життя на волі та знизити ризик скоєння повторного злочину.</w:t>
      </w:r>
    </w:p>
    <w:p w14:paraId="7C920BBB"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Науковці розглядають цей етап як комплекс моральної, психологічної та організаційної підтримки. Практика показує, що він є одним із найскладніших у процесі реінтеграції, оскільки включає в себе роботу з багатьма аспектами життя засудженого. До основних напрямів підготовки належить:</w:t>
      </w:r>
    </w:p>
    <w:p w14:paraId="09D90D28" w14:textId="77777777" w:rsidR="00C1357F" w:rsidRPr="00511005" w:rsidRDefault="00C1357F" w:rsidP="003F6A5D">
      <w:pPr>
        <w:numPr>
          <w:ilvl w:val="0"/>
          <w:numId w:val="565"/>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з’ясування, чи є у засудженого родичі чи знайомі, з якими він зможе відновити контакт після звільнення;</w:t>
      </w:r>
    </w:p>
    <w:p w14:paraId="66DA73B2" w14:textId="77777777" w:rsidR="00C1357F" w:rsidRPr="00511005" w:rsidRDefault="00C1357F" w:rsidP="003F6A5D">
      <w:pPr>
        <w:numPr>
          <w:ilvl w:val="0"/>
          <w:numId w:val="565"/>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створення умов для нормального життя після в’язниці — допомога з житлом, медичними послугами, можливим працевлаштуванням;</w:t>
      </w:r>
    </w:p>
    <w:p w14:paraId="65956E65" w14:textId="77777777" w:rsidR="00C1357F" w:rsidRPr="00511005" w:rsidRDefault="00C1357F" w:rsidP="003F6A5D">
      <w:pPr>
        <w:numPr>
          <w:ilvl w:val="0"/>
          <w:numId w:val="565"/>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аналіз особистості засудженого: його психічного стану, схильностей до ризикованих зв’язків (наприклад, із кримінальним середовищем);</w:t>
      </w:r>
    </w:p>
    <w:p w14:paraId="30B906C3" w14:textId="77777777" w:rsidR="00C1357F" w:rsidRPr="00511005" w:rsidRDefault="00C1357F" w:rsidP="003F6A5D">
      <w:pPr>
        <w:numPr>
          <w:ilvl w:val="0"/>
          <w:numId w:val="565"/>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lastRenderedPageBreak/>
        <w:t>складання реалістичних життєвих планів на перший час після звільнення, використовуючи доступні ресурси, включно з допомогою родини або соціальних установ;</w:t>
      </w:r>
    </w:p>
    <w:p w14:paraId="45453A29" w14:textId="77777777" w:rsidR="00C1357F" w:rsidRPr="00511005" w:rsidRDefault="00C1357F" w:rsidP="003F6A5D">
      <w:pPr>
        <w:numPr>
          <w:ilvl w:val="0"/>
          <w:numId w:val="565"/>
        </w:numPr>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організація особистих консультацій, підготовка документів, пошук одягу, коштів чи підтримки від державних і громадських організацій.</w:t>
      </w:r>
    </w:p>
    <w:p w14:paraId="0BD51023"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Важливим завданням цього етапу є відновлення у засудженого відчуття приналежності до суспільства. Але це непросто: тривале перебування в ув’язненні часто викликає одночасно і надії на свободу, і страх перед самотністю, соціальним неприйняттям, втрату віри в себе. Тому ключем до успішної ресоціалізації є саме комплексний підхід — одночасна робота з практичними труднощами й внутрішніми переживаннями.</w:t>
      </w:r>
    </w:p>
    <w:p w14:paraId="07D8CF02"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Третій етап ресоціалізації — це період після звільнення з місць позбавлення волі. Він демонструє, наскільки засуджений справді готовий до нормального життя в суспільстві. Цей етап особливо проблематичний для осіб, які неодноразово відбували покарання або провели у в’язниці багато років. Ізоляція від соціального середовища поступово призводить до втрати самостійності, корисних контактів і навичок, необхідних у повсякденному житті. Крім того, перебування в ув’язненні іноді сприяє поглибленню негативних рис характеру, формуванню звичок, пов’язаних із кримінальною поведінкою. Через це особам, які не вперше відбувають покарання, особливо важко повернутися до законослухняного життя </w:t>
      </w:r>
      <w:r w:rsidRPr="00511005">
        <w:rPr>
          <w:rFonts w:ascii="Arial" w:eastAsia="Calibri" w:hAnsi="Arial" w:cs="Arial"/>
          <w:szCs w:val="28"/>
          <w:lang w:val="uk-UA"/>
        </w:rPr>
        <w:t xml:space="preserve">[3]. </w:t>
      </w:r>
    </w:p>
    <w:p w14:paraId="238A2D5C"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Щоб полегшити цей перехід, необхідно організувати соціальну реабілітацію — процес, що охоплює відновлення правового статусу, соціальних зв’язків, трудових навичок і формування здорового способу життя. Така реінтеграція потребує вирішення базових питань: забезпечення житлом, працевлаштуванням, доступом до медичних і психологічних послуг.</w:t>
      </w:r>
    </w:p>
    <w:p w14:paraId="06FAEDA7"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Times New Roman" w:hAnsi="Arial" w:cs="Arial"/>
          <w:szCs w:val="28"/>
          <w:lang w:val="uk-UA"/>
        </w:rPr>
        <w:t xml:space="preserve">Згідно зі ст. 157 Кримінально-виконавчого кодексу України, адміністрація установи повинна надати особі, яка звільняється, одноразову грошову допомогу. Проте на практиці ця норма часто не виконується через брак фінансування. Водночас закон містить і позитивні положення: наприклад, у ст. 156 передбачено заходи з трудового та побутового влаштування звільнених осіб, а також створення курсів підготовки до звільнення, що функціонують у самих виправних установах </w:t>
      </w:r>
      <w:r w:rsidRPr="00511005">
        <w:rPr>
          <w:rFonts w:ascii="Arial" w:eastAsia="Calibri" w:hAnsi="Arial" w:cs="Arial"/>
          <w:szCs w:val="28"/>
          <w:lang w:val="uk-UA"/>
        </w:rPr>
        <w:t>[1].</w:t>
      </w:r>
    </w:p>
    <w:p w14:paraId="637BE13A"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Ресоціалізація засуджених — складний процес, що охоплює період перебування в установі виконання покарань, підготовку до звільнення та реінтеграцію особи у відкрите суспільство. На кожному з названих вище етапів засуджені стикаються з серйозними психологічними, соціальними та правовими труднощами. З огляду на це, успішна ресоціалізація неможлива без системної державної політики, що поєднує зусилля правових, психологічних, соціальних і освітніх інституцій. Важливим є не лише створення нормативної бази, але й забезпечення її реального виконання, </w:t>
      </w:r>
      <w:r w:rsidRPr="00511005">
        <w:rPr>
          <w:rFonts w:ascii="Arial" w:eastAsia="Times New Roman" w:hAnsi="Arial" w:cs="Arial"/>
          <w:szCs w:val="28"/>
          <w:lang w:val="uk-UA"/>
        </w:rPr>
        <w:lastRenderedPageBreak/>
        <w:t>зокрема — у сфері підготовки до звільнення, підтримки після покарання, а також недопущення стигматизації осіб, які відбули термін ув’язнення.</w:t>
      </w:r>
    </w:p>
    <w:p w14:paraId="227C6BCD"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Ресоціалізація не повинна бути формальністю — це один із ключових показників гуманності й ефективності сучасної правової системи.</w:t>
      </w:r>
    </w:p>
    <w:p w14:paraId="1A40695F" w14:textId="77777777" w:rsidR="00C1357F" w:rsidRPr="00511005" w:rsidRDefault="00C1357F" w:rsidP="003A292D">
      <w:pPr>
        <w:spacing w:line="264" w:lineRule="auto"/>
        <w:ind w:firstLine="0"/>
        <w:rPr>
          <w:rFonts w:ascii="Arial" w:eastAsia="Times New Roman" w:hAnsi="Arial" w:cs="Arial"/>
          <w:b/>
          <w:szCs w:val="28"/>
          <w:lang w:val="uk-UA"/>
        </w:rPr>
      </w:pPr>
    </w:p>
    <w:p w14:paraId="34172972" w14:textId="3CC49497" w:rsidR="00C1357F" w:rsidRPr="00511005" w:rsidRDefault="007B2628" w:rsidP="007B2628">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779DBC46" w14:textId="77777777" w:rsidR="00C1357F" w:rsidRPr="00511005" w:rsidRDefault="00C1357F" w:rsidP="003F6A5D">
      <w:pPr>
        <w:numPr>
          <w:ilvl w:val="0"/>
          <w:numId w:val="833"/>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Кримінально-виконавчий кодекс України. Закон України від 11.07.2003 №1129- IV: станом на 01.01.2025. URL: </w:t>
      </w:r>
      <w:hyperlink r:id="rId2134" w:anchor="Text" w:history="1">
        <w:r w:rsidRPr="00511005">
          <w:rPr>
            <w:rFonts w:ascii="Arial" w:eastAsia="Calibri" w:hAnsi="Arial" w:cs="Arial"/>
            <w:szCs w:val="28"/>
            <w:lang w:val="uk-UA"/>
          </w:rPr>
          <w:t>https://zakon.rada.gov.ua/laws/show/1129-15#Text</w:t>
        </w:r>
      </w:hyperlink>
      <w:r w:rsidRPr="00511005">
        <w:rPr>
          <w:rFonts w:ascii="Arial" w:eastAsia="Calibri" w:hAnsi="Arial" w:cs="Arial"/>
          <w:szCs w:val="28"/>
          <w:lang w:val="uk-UA"/>
        </w:rPr>
        <w:t>.</w:t>
      </w:r>
    </w:p>
    <w:p w14:paraId="794CBCAB" w14:textId="77777777" w:rsidR="00C1357F" w:rsidRPr="00511005" w:rsidRDefault="00C1357F" w:rsidP="003F6A5D">
      <w:pPr>
        <w:numPr>
          <w:ilvl w:val="0"/>
          <w:numId w:val="833"/>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Борисов В., Батиргареєва В., Яковець І., Опанасенков О. </w:t>
      </w:r>
      <w:r w:rsidRPr="00511005">
        <w:rPr>
          <w:rFonts w:ascii="Arial" w:eastAsia="Calibri" w:hAnsi="Arial" w:cs="Arial"/>
          <w:szCs w:val="28"/>
          <w:shd w:val="clear" w:color="auto" w:fill="FFFFFF"/>
          <w:lang w:val="uk-UA"/>
        </w:rPr>
        <w:t>Ставлення соціуму до можливостей соціальної адаптації колишніх засуджених </w:t>
      </w:r>
      <w:r w:rsidRPr="00511005">
        <w:rPr>
          <w:rFonts w:ascii="Arial" w:eastAsia="Times New Roman" w:hAnsi="Arial" w:cs="Arial"/>
          <w:szCs w:val="28"/>
          <w:lang w:val="uk-UA"/>
        </w:rPr>
        <w:t xml:space="preserve">. Право . 2012. № 23. С. 64-75. </w:t>
      </w:r>
      <w:r w:rsidRPr="00511005">
        <w:rPr>
          <w:rFonts w:ascii="Arial" w:eastAsia="Calibri" w:hAnsi="Arial" w:cs="Arial"/>
          <w:szCs w:val="28"/>
          <w:lang w:val="uk-UA"/>
        </w:rPr>
        <w:t xml:space="preserve">URL: </w:t>
      </w:r>
      <w:hyperlink r:id="rId2135" w:history="1">
        <w:r w:rsidRPr="00511005">
          <w:rPr>
            <w:rFonts w:ascii="Arial" w:eastAsia="Calibri" w:hAnsi="Arial" w:cs="Arial"/>
            <w:szCs w:val="28"/>
            <w:shd w:val="clear" w:color="auto" w:fill="FFFFFF"/>
            <w:lang w:val="uk-UA"/>
          </w:rPr>
          <w:t>https://dspace.nlu.edu.ua/handle/123456789/6201</w:t>
        </w:r>
      </w:hyperlink>
      <w:r w:rsidRPr="00511005">
        <w:rPr>
          <w:rFonts w:ascii="Arial" w:eastAsia="Calibri" w:hAnsi="Arial" w:cs="Arial"/>
          <w:szCs w:val="28"/>
          <w:lang w:val="uk-UA"/>
        </w:rPr>
        <w:t>.</w:t>
      </w:r>
    </w:p>
    <w:p w14:paraId="0FEED40D" w14:textId="77777777" w:rsidR="00C1357F" w:rsidRPr="00511005" w:rsidRDefault="00C1357F" w:rsidP="003F6A5D">
      <w:pPr>
        <w:numPr>
          <w:ilvl w:val="0"/>
          <w:numId w:val="833"/>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Кутєпов М.Ю. Проблеми соціальної адаптації та ресоціалізації осіб, звільнених із місць позбавлення волі. Серія ПРАВО. Випуск 54. 2019. С. 156-159. </w:t>
      </w:r>
      <w:r w:rsidRPr="00511005">
        <w:rPr>
          <w:rFonts w:ascii="Arial" w:eastAsia="Calibri" w:hAnsi="Arial" w:cs="Arial"/>
          <w:szCs w:val="28"/>
          <w:lang w:val="uk-UA"/>
        </w:rPr>
        <w:t xml:space="preserve">URL: </w:t>
      </w:r>
      <w:hyperlink r:id="rId2136" w:history="1">
        <w:r w:rsidRPr="00511005">
          <w:rPr>
            <w:rFonts w:ascii="Arial" w:eastAsia="Times New Roman" w:hAnsi="Arial" w:cs="Arial"/>
            <w:szCs w:val="28"/>
            <w:lang w:val="uk-UA"/>
          </w:rPr>
          <w:t>https://dspace.uzhnu.edu.ua/jspui/handle/lib/30967</w:t>
        </w:r>
      </w:hyperlink>
      <w:r w:rsidRPr="00511005">
        <w:rPr>
          <w:rFonts w:ascii="Arial" w:eastAsia="Calibri" w:hAnsi="Arial" w:cs="Arial"/>
          <w:szCs w:val="28"/>
          <w:lang w:val="uk-UA"/>
        </w:rPr>
        <w:t>.</w:t>
      </w:r>
    </w:p>
    <w:p w14:paraId="5849A7CD" w14:textId="77777777" w:rsidR="00C1357F" w:rsidRPr="00511005" w:rsidRDefault="00C1357F" w:rsidP="003F6A5D">
      <w:pPr>
        <w:numPr>
          <w:ilvl w:val="0"/>
          <w:numId w:val="833"/>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Мартинюк Т., Чернета С. Характеристика етапів ресоціалізаціїв сучасних соціокультурних умовах. Вісник Чернігівського національного педагогічного університету. Серія «Педагогічні науки». 2016. Вип. 133. С. 142–145. </w:t>
      </w:r>
      <w:r w:rsidRPr="00511005">
        <w:rPr>
          <w:rFonts w:ascii="Arial" w:eastAsia="Calibri" w:hAnsi="Arial" w:cs="Arial"/>
          <w:szCs w:val="28"/>
          <w:lang w:val="uk-UA"/>
        </w:rPr>
        <w:t xml:space="preserve">URL: </w:t>
      </w:r>
      <w:hyperlink r:id="rId2137" w:history="1">
        <w:r w:rsidRPr="00511005">
          <w:rPr>
            <w:rFonts w:ascii="Arial" w:eastAsia="Calibri" w:hAnsi="Arial" w:cs="Arial"/>
            <w:szCs w:val="28"/>
            <w:lang w:val="uk-UA"/>
          </w:rPr>
          <w:t>https://evnuir.vnu.edu.ua/handle/123456789/9986</w:t>
        </w:r>
      </w:hyperlink>
      <w:r w:rsidRPr="00511005">
        <w:rPr>
          <w:rFonts w:ascii="Arial" w:eastAsia="Calibri" w:hAnsi="Arial" w:cs="Arial"/>
          <w:szCs w:val="28"/>
          <w:lang w:val="uk-UA"/>
        </w:rPr>
        <w:t>.</w:t>
      </w:r>
    </w:p>
    <w:p w14:paraId="1CB73C57" w14:textId="77777777" w:rsidR="00C1357F" w:rsidRPr="00511005" w:rsidRDefault="00C1357F" w:rsidP="003A292D">
      <w:pPr>
        <w:spacing w:line="264" w:lineRule="auto"/>
        <w:ind w:firstLine="0"/>
        <w:rPr>
          <w:rFonts w:ascii="Arial" w:eastAsia="Times New Roman" w:hAnsi="Arial" w:cs="Arial"/>
          <w:b/>
          <w:szCs w:val="28"/>
          <w:lang w:val="uk-UA"/>
        </w:rPr>
      </w:pPr>
    </w:p>
    <w:p w14:paraId="3C92996B" w14:textId="3B5A753F"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C1357F" w:rsidRPr="00511005">
        <w:rPr>
          <w:rFonts w:ascii="Arial" w:eastAsia="Times New Roman" w:hAnsi="Arial" w:cs="Arial"/>
          <w:szCs w:val="28"/>
          <w:lang w:val="uk-UA"/>
        </w:rPr>
        <w:t>ресоціалізація, соціальна адаптація, звільнення засудженого з мість позбавлення волі, пенітенціарна система.</w:t>
      </w:r>
    </w:p>
    <w:p w14:paraId="5F14601B" w14:textId="56DBCA23"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C1357F" w:rsidRPr="00511005">
        <w:rPr>
          <w:rFonts w:ascii="Arial" w:eastAsia="Times New Roman" w:hAnsi="Arial" w:cs="Arial"/>
          <w:szCs w:val="28"/>
          <w:lang w:val="uk-UA"/>
        </w:rPr>
        <w:t>resocialization, social adaptation, release of a convict from prison, penitentiary system.</w:t>
      </w:r>
    </w:p>
    <w:p w14:paraId="2BB7DB87" w14:textId="1CBA7473" w:rsidR="00C1357F" w:rsidRPr="00511005" w:rsidRDefault="007B2628" w:rsidP="003A292D">
      <w:pPr>
        <w:spacing w:line="264" w:lineRule="auto"/>
        <w:ind w:firstLine="0"/>
        <w:rPr>
          <w:rFonts w:ascii="Arial" w:eastAsia="Times New Roman" w:hAnsi="Arial" w:cs="Arial"/>
          <w:b/>
          <w:i/>
          <w:szCs w:val="28"/>
          <w:lang w:val="uk-UA"/>
        </w:rPr>
      </w:pPr>
      <w:r w:rsidRPr="00511005">
        <w:rPr>
          <w:rFonts w:ascii="Arial" w:eastAsia="Times New Roman" w:hAnsi="Arial" w:cs="Arial"/>
          <w:b/>
          <w:i/>
          <w:szCs w:val="28"/>
          <w:lang w:val="uk-UA"/>
        </w:rPr>
        <w:t xml:space="preserve">Науковий керівник: </w:t>
      </w:r>
      <w:r w:rsidR="00C1357F" w:rsidRPr="00511005">
        <w:rPr>
          <w:rFonts w:ascii="Arial" w:eastAsia="Calibri" w:hAnsi="Arial" w:cs="Arial"/>
          <w:i/>
          <w:iCs/>
          <w:szCs w:val="28"/>
          <w:shd w:val="clear" w:color="auto" w:fill="FFFFFF"/>
          <w:lang w:val="uk-UA"/>
        </w:rPr>
        <w:t xml:space="preserve">асистентка кафедри </w:t>
      </w:r>
      <w:r w:rsidR="00C1357F" w:rsidRPr="00511005">
        <w:rPr>
          <w:rFonts w:ascii="Arial" w:eastAsia="Calibri" w:hAnsi="Arial" w:cs="Arial"/>
          <w:bCs/>
          <w:i/>
          <w:iCs/>
          <w:szCs w:val="28"/>
          <w:shd w:val="clear" w:color="auto" w:fill="FFFFFF"/>
          <w:lang w:val="uk-UA"/>
        </w:rPr>
        <w:t>Лукащук К.Р.</w:t>
      </w:r>
    </w:p>
    <w:p w14:paraId="476D9D37" w14:textId="77777777" w:rsidR="00C1357F" w:rsidRPr="00511005" w:rsidRDefault="00C1357F" w:rsidP="003A292D">
      <w:pPr>
        <w:spacing w:line="264" w:lineRule="auto"/>
        <w:ind w:firstLine="0"/>
        <w:rPr>
          <w:rFonts w:ascii="Arial" w:eastAsia="Times New Roman" w:hAnsi="Arial" w:cs="Arial"/>
          <w:b/>
          <w:szCs w:val="28"/>
          <w:lang w:val="uk-UA"/>
        </w:rPr>
      </w:pPr>
    </w:p>
    <w:p w14:paraId="53351248" w14:textId="77777777" w:rsidR="00C1357F" w:rsidRPr="00511005" w:rsidRDefault="00C1357F" w:rsidP="003A292D">
      <w:pPr>
        <w:spacing w:line="264" w:lineRule="auto"/>
        <w:ind w:firstLine="0"/>
        <w:rPr>
          <w:rFonts w:ascii="Arial" w:eastAsia="Times New Roman" w:hAnsi="Arial" w:cs="Arial"/>
          <w:szCs w:val="28"/>
          <w:lang w:val="uk-UA"/>
        </w:rPr>
      </w:pPr>
    </w:p>
    <w:p w14:paraId="360B430D" w14:textId="77777777" w:rsidR="00C1357F" w:rsidRPr="00511005" w:rsidRDefault="00C1357F" w:rsidP="003A292D">
      <w:pPr>
        <w:spacing w:line="264" w:lineRule="auto"/>
        <w:ind w:firstLine="0"/>
        <w:jc w:val="center"/>
        <w:rPr>
          <w:rFonts w:ascii="Arial" w:eastAsia="Calibri" w:hAnsi="Arial" w:cs="Arial"/>
          <w:b/>
          <w:bCs/>
          <w:i/>
          <w:iCs/>
          <w:szCs w:val="28"/>
          <w:lang w:val="uk-UA"/>
        </w:rPr>
      </w:pPr>
    </w:p>
    <w:p w14:paraId="69181CF7" w14:textId="77777777" w:rsidR="00C1357F" w:rsidRPr="00511005" w:rsidRDefault="00C1357F"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Уштаніт Олена Михайлівна</w:t>
      </w:r>
    </w:p>
    <w:p w14:paraId="2849C77A" w14:textId="2C9B5915"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317653C3"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3781B69"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C45628F" w14:textId="77777777" w:rsidR="00C1357F" w:rsidRPr="00511005" w:rsidRDefault="00C1357F" w:rsidP="003A292D">
      <w:pPr>
        <w:spacing w:line="264" w:lineRule="auto"/>
        <w:ind w:firstLine="0"/>
        <w:jc w:val="center"/>
        <w:rPr>
          <w:rFonts w:ascii="Arial" w:eastAsia="Calibri" w:hAnsi="Arial" w:cs="Arial"/>
          <w:b/>
          <w:bCs/>
          <w:szCs w:val="28"/>
          <w:lang w:val="uk-UA"/>
        </w:rPr>
      </w:pPr>
    </w:p>
    <w:p w14:paraId="2CE2DB92" w14:textId="77777777" w:rsidR="00C1357F" w:rsidRPr="00511005" w:rsidRDefault="00C1357F"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АКТУАЛЬНІ ПРОБЛЕМИ ДІЯЛЬНОСТІ СИСТЕМИ ОРГАНІВ ПРОБАЦІЇ В УМОВАХ ВОЄННОГО СТАНУ</w:t>
      </w:r>
    </w:p>
    <w:p w14:paraId="160E3ECB" w14:textId="73937C98"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Сучасна соціально-економічна нестабільність, суттєве погіршення фінансово-економічної ситуації в країні, запровадження правового режиму воєнного стану та зростання рівня злочинності в Україні стали чинниками, що зумовили необхідність впровадження й посилення нового інституту у сфері правозастосування — інституту пробації. Пробація відіграє ключову </w:t>
      </w:r>
      <w:r w:rsidRPr="00511005">
        <w:rPr>
          <w:rFonts w:ascii="Arial" w:eastAsia="Calibri" w:hAnsi="Arial" w:cs="Arial"/>
          <w:szCs w:val="28"/>
          <w:lang w:val="uk-UA"/>
        </w:rPr>
        <w:lastRenderedPageBreak/>
        <w:t>роль у кримінально-виконавчій системі України, орієнтуючись при цьому на ресоціалізацію правопорушників замість їхньої ізоляції від суспільства.</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Впровадження пробації узгоджується з європейськими стандартами гуманного ставлення до осіб, позбавлених волі, і сприяє зменшенню рівня повторної злочинності. </w:t>
      </w:r>
    </w:p>
    <w:p w14:paraId="3B8BA18D"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Україна, інтегруючись у європейський правовий простір, ще до початку війни активно впроваджувала сучасні підходи до пробації. Однак із початком повномасштабної збройної агресії перед системою постали безпрецедентні виклики.</w:t>
      </w:r>
    </w:p>
    <w:p w14:paraId="76C173B6"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Система пробації, так само як і всі інші компоненти правосуддя в Україні, продовжує працювати навіть в умовах війни, успішно вирішуючи сучасні виклики. 2015 рік став визначальним для формування інституту пробації завдяки ухваленню Закону України «Про пробацію», що передбачив внесення змін до низки нормативно-правових актів. Відповідно до п.6 ч.1 ст.2 цього Закону, пробація - система наглядових та соціально-виховних заходів, що застосовуються за рішенням суду та відповідно до закону до засуджених, виконання певних видів кримінальних покарань, не пов’язаних з позбавленням волі, та забезпечення суду інформацією, що характеризує обвинуваченого [1].</w:t>
      </w:r>
    </w:p>
    <w:p w14:paraId="768116FB"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Усвідомлення основних аспектів правових змін є надзвичайно важливим для оцінки ефективності та подальшого розвитку системи пробації в Україні. Індивідуалізований підхід та реабілітаційна спрямованість пробації, у поєднанні із залученням громади та дотриманням принципів кримінального правосуддя, роблять її сучасним і гуманним методом подолання злочинної поведінки та сприяння соціальній інтеграції осіб. Таким чином, пробація виступає прогресивною та ефективною альтернативою традиційним видам покарання. Орієнтація на реабілітацію, економічна доцільність, забезпечення безпеки суспільства та індивідуальний підхід визначають пробацію як цінний елемент сучасної системи кримінального правосуддя, що сприяє виправленню правопорушників і їхній соціальній адаптації без шкоди для громадської безпеки [2, с. 105].</w:t>
      </w:r>
    </w:p>
    <w:p w14:paraId="515BA3C7"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На сьогодні основними викликами в діяльності органів пробації в Україні є формування послідовної державної політики та підвищення ефективності застосування сучасних організаційних моделей державного управління для запобігання вчиненню кримінальних правопорушень серед підоблікових осіб. Окрім цього, залишається актуальною необхідність вирішення низки важливих проблем у функціонуванні цього інституту, а також поступове впровадження європейських стандартів і гуманізація відповідних процесів. Особливу увагу слід приділяти й впливу умов воєнного стану, що суттєво позначаються на діяльності органів пробації в Україні [3, с. 297]. Крім того, у період воєнного стану система органів пробації в Україні стикається з низкою серйозних викликів, серед яких особливої уваги потребують </w:t>
      </w:r>
      <w:r w:rsidRPr="00511005">
        <w:rPr>
          <w:rFonts w:ascii="Arial" w:eastAsia="Calibri" w:hAnsi="Arial" w:cs="Arial"/>
          <w:szCs w:val="28"/>
          <w:lang w:val="uk-UA"/>
        </w:rPr>
        <w:lastRenderedPageBreak/>
        <w:t>забезпечення безперервності роботи, збереження безпеки персоналу та клієнтів пробації, адаптація нормативної бази до реалій воєнного часу, а також ефективна взаємодія з іншими органами влади та правоохоронними структурами.</w:t>
      </w:r>
    </w:p>
    <w:p w14:paraId="43A6E83A"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Окрім того, найсуттєвішими проблемами у діяльності системи пробації у воєнний час виступають:</w:t>
      </w:r>
    </w:p>
    <w:p w14:paraId="7527D83A" w14:textId="77777777" w:rsidR="00C1357F" w:rsidRPr="00511005" w:rsidRDefault="00C1357F" w:rsidP="003F6A5D">
      <w:pPr>
        <w:numPr>
          <w:ilvl w:val="0"/>
          <w:numId w:val="561"/>
        </w:numPr>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Загроза безпеці працівників та підоблікових осіб. Безумовно, основною проблемою є фізична загроза життю та здоров'ю працівників пробації, а також підоблікових осіб. Руйнування інфраструктури, бойові дії у багатьох регіонах, окупація частини територій створюють значні ризики для здійснення пробаційного нагляду та проведення реабілітаційних заходів.</w:t>
      </w:r>
    </w:p>
    <w:p w14:paraId="149F1D23" w14:textId="77777777" w:rsidR="00C1357F" w:rsidRPr="00511005" w:rsidRDefault="00C1357F" w:rsidP="003F6A5D">
      <w:pPr>
        <w:numPr>
          <w:ilvl w:val="0"/>
          <w:numId w:val="561"/>
        </w:numPr>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Кадровий дефіцит та психологічне навантаження персоналу. Багато співробітників органів пробації були змушені евакуюватися або навіть вступили до лав Збройних сил України. Ті, хто продовжує працювати, зазнають надмірного психологічного навантаження через екстремальні умови та зростаючий обсяг обов’язків.</w:t>
      </w:r>
    </w:p>
    <w:p w14:paraId="372D8921" w14:textId="77777777" w:rsidR="00C1357F" w:rsidRPr="00511005" w:rsidRDefault="00C1357F" w:rsidP="003F6A5D">
      <w:pPr>
        <w:numPr>
          <w:ilvl w:val="0"/>
          <w:numId w:val="561"/>
        </w:numPr>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Обмеженість ресурсів. В умовах війни держава змушена перерозподіляти бюджетні кошти на потреби оборони та відновлення критичної інфраструктури. Це призвело до скорочення фінансування органів пробації, що ускладнює забезпечення матеріально-технічної бази та належне функціонування установ.</w:t>
      </w:r>
    </w:p>
    <w:p w14:paraId="68F2806A" w14:textId="77777777" w:rsidR="00C1357F" w:rsidRPr="00511005" w:rsidRDefault="00C1357F" w:rsidP="003F6A5D">
      <w:pPr>
        <w:numPr>
          <w:ilvl w:val="0"/>
          <w:numId w:val="561"/>
        </w:numPr>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Виконання пробаційних програм в умовах війни. Значна частина пробаційних програм розрахована на очне проведення заходів із соціально-психологічної підтримки, ресоціалізації та профілактики рецидиву. В умовах воєнного стану проведення таких заходів ускладнене або й зовсім неможливе через евакуацію населення та руйнування закладів, де ці заходи мали б відбуватися.</w:t>
      </w:r>
    </w:p>
    <w:p w14:paraId="3A356303" w14:textId="77777777" w:rsidR="00C1357F" w:rsidRPr="00511005" w:rsidRDefault="00C1357F" w:rsidP="003F6A5D">
      <w:pPr>
        <w:numPr>
          <w:ilvl w:val="0"/>
          <w:numId w:val="561"/>
        </w:numPr>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Необхідність адаптації законодавства до реалій воєнного часу. Законодавство України з питань пробації потребує оперативних змін і доповнень для врахування нових умов. Потрібні механізми дистанційного контролю за поведінкою підоблікових осіб, гнучкість у визначенні форм та методів виконання пробаційних заходів.</w:t>
      </w:r>
    </w:p>
    <w:p w14:paraId="35EFE4D2" w14:textId="77777777" w:rsidR="007B2628" w:rsidRPr="00511005" w:rsidRDefault="00C1357F" w:rsidP="003F6A5D">
      <w:pPr>
        <w:numPr>
          <w:ilvl w:val="0"/>
          <w:numId w:val="561"/>
        </w:numPr>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Комунікація та взаємодія з іншими органами влади. Координація між органами пробації, судами, правоохоронними органами та соціальними службами ускладнена через переміщення значної кількості державних службовців, збої у зв'язку та втрату доступу до окремих територій.</w:t>
      </w:r>
    </w:p>
    <w:p w14:paraId="60831355" w14:textId="02774DCA" w:rsidR="00C1357F" w:rsidRPr="00511005" w:rsidRDefault="00C1357F" w:rsidP="003A292D">
      <w:pPr>
        <w:spacing w:line="264" w:lineRule="auto"/>
        <w:ind w:firstLine="0"/>
        <w:rPr>
          <w:rFonts w:ascii="Arial" w:eastAsia="Calibri" w:hAnsi="Arial" w:cs="Arial"/>
          <w:b/>
          <w:bCs/>
          <w:szCs w:val="28"/>
          <w:lang w:val="uk-UA"/>
        </w:rPr>
      </w:pPr>
      <w:r w:rsidRPr="00511005">
        <w:rPr>
          <w:rFonts w:ascii="Arial" w:eastAsia="Calibri" w:hAnsi="Arial" w:cs="Arial"/>
          <w:szCs w:val="28"/>
          <w:lang w:val="uk-UA"/>
        </w:rPr>
        <w:t xml:space="preserve">Попри ці труднощі, система пробації України демонструє високий рівень стійкості та готовності до змін. Запровадження дистанційних форматів роботи та комунікації, використання електронного документообігу та онлайн-засобів контролю за виконанням обов’язків пробації стали вимушеним, але ефективним рішенням. Крім того, міжнародна підтримка з </w:t>
      </w:r>
      <w:r w:rsidRPr="00511005">
        <w:rPr>
          <w:rFonts w:ascii="Arial" w:eastAsia="Calibri" w:hAnsi="Arial" w:cs="Arial"/>
          <w:szCs w:val="28"/>
          <w:lang w:val="uk-UA"/>
        </w:rPr>
        <w:lastRenderedPageBreak/>
        <w:t>боку європейських та міжнародних партнерів дозволяє не лише підтримувати функціонування системи, а й закладати основи для її подальшої модернізації.</w:t>
      </w:r>
    </w:p>
    <w:p w14:paraId="1F8999F8"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Підсумовуючи, слід зазначити, що діяльність системи органів пробації в умовах воєнного стану стикається з серйозними викликами, які охоплюють безпекові, кадрові, матеріально-технічні та правові аспекти. Незважаючи на виклики воєнного часу, система органів пробації України продовжує виконувати свою ключову функцію — забезпечення соціальної реінтеграції осіб, які вчинили правопорушення. Водночас воєнний стан виявив низку системних проблем, що потребують негайного вирішення: це й дефіцит ресурсів, і потреба у правовій адаптації, і загрози безпеці персоналу. Разом із тим ці виклики стали поштовхом до розвитку інноваційних підходів, посилення міжнародної співпраці та модернізації пробаційної системи. Зміцнення інституційної спроможності органів пробації стане вагомим кроком не лише до подолання поточних викликів, а й до побудови європейської моделі кримінального правосуддя, орієнтованої на гуманізм та ефективну соціальну реінтеграцію правопорушників.</w:t>
      </w:r>
    </w:p>
    <w:p w14:paraId="7CE47CC2" w14:textId="77777777" w:rsidR="00C1357F" w:rsidRPr="00511005" w:rsidRDefault="00C1357F" w:rsidP="003A292D">
      <w:pPr>
        <w:spacing w:line="264" w:lineRule="auto"/>
        <w:ind w:firstLine="0"/>
        <w:rPr>
          <w:rFonts w:ascii="Arial" w:eastAsia="Calibri" w:hAnsi="Arial" w:cs="Arial"/>
          <w:b/>
          <w:bCs/>
          <w:szCs w:val="28"/>
          <w:lang w:val="uk-UA"/>
        </w:rPr>
      </w:pPr>
    </w:p>
    <w:p w14:paraId="64930B1F" w14:textId="7DE2CE6B" w:rsidR="00C1357F" w:rsidRPr="00511005" w:rsidRDefault="007B2628" w:rsidP="007B2628">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Список використаних джерел</w:t>
      </w:r>
    </w:p>
    <w:p w14:paraId="781E8CC9" w14:textId="77777777" w:rsidR="00C1357F" w:rsidRPr="00511005" w:rsidRDefault="00C1357F" w:rsidP="003A292D">
      <w:pPr>
        <w:tabs>
          <w:tab w:val="left" w:pos="720"/>
        </w:tabs>
        <w:spacing w:line="264" w:lineRule="auto"/>
        <w:ind w:firstLine="0"/>
        <w:contextualSpacing/>
        <w:rPr>
          <w:rFonts w:ascii="Arial" w:eastAsia="Calibri" w:hAnsi="Arial" w:cs="Arial"/>
          <w:szCs w:val="28"/>
          <w:lang w:val="uk-UA"/>
        </w:rPr>
      </w:pPr>
      <w:r w:rsidRPr="00511005">
        <w:rPr>
          <w:rFonts w:ascii="Arial" w:eastAsia="Calibri" w:hAnsi="Arial" w:cs="Arial"/>
          <w:szCs w:val="28"/>
          <w:lang w:val="uk-UA"/>
        </w:rPr>
        <w:t xml:space="preserve">1. Про пробацію: Закон України від 05.02.2015 року № 160-VIII: станом на 19.12.2024. URL: </w:t>
      </w:r>
      <w:hyperlink r:id="rId2138" w:anchor="Text" w:history="1">
        <w:r w:rsidRPr="00511005">
          <w:rPr>
            <w:rFonts w:ascii="Arial" w:eastAsia="Calibri" w:hAnsi="Arial" w:cs="Arial"/>
            <w:szCs w:val="28"/>
            <w:lang w:val="uk-UA"/>
          </w:rPr>
          <w:t>https://zakon.rada.gov.ua/laws/show/160-19#Text</w:t>
        </w:r>
      </w:hyperlink>
      <w:r w:rsidRPr="00511005">
        <w:rPr>
          <w:rFonts w:ascii="Arial" w:eastAsia="Calibri" w:hAnsi="Arial" w:cs="Arial"/>
          <w:szCs w:val="28"/>
          <w:lang w:val="uk-UA"/>
        </w:rPr>
        <w:t>.</w:t>
      </w:r>
    </w:p>
    <w:p w14:paraId="470BE3C5" w14:textId="77777777" w:rsidR="00C1357F" w:rsidRPr="00511005" w:rsidRDefault="00C1357F" w:rsidP="003A292D">
      <w:pPr>
        <w:tabs>
          <w:tab w:val="left" w:pos="720"/>
        </w:tabs>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2. Ільїна О. В. Пробація як інструмент альтернативного покарання в Україні: особливості та можливості впровадження. </w:t>
      </w:r>
      <w:r w:rsidRPr="00511005">
        <w:rPr>
          <w:rFonts w:ascii="Arial" w:eastAsia="Calibri" w:hAnsi="Arial" w:cs="Arial"/>
          <w:i/>
          <w:iCs/>
          <w:szCs w:val="28"/>
          <w:lang w:val="uk-UA"/>
        </w:rPr>
        <w:t xml:space="preserve">Прикарпатський юридичний вісник. </w:t>
      </w:r>
      <w:r w:rsidRPr="00511005">
        <w:rPr>
          <w:rFonts w:ascii="Arial" w:eastAsia="Calibri" w:hAnsi="Arial" w:cs="Arial"/>
          <w:szCs w:val="28"/>
          <w:lang w:val="uk-UA"/>
        </w:rPr>
        <w:t xml:space="preserve">2023. Випуск 4 (51). С. 103–107. URL: </w:t>
      </w:r>
      <w:hyperlink r:id="rId2139" w:history="1">
        <w:r w:rsidRPr="00511005">
          <w:rPr>
            <w:rFonts w:ascii="Arial" w:eastAsia="Calibri" w:hAnsi="Arial" w:cs="Arial"/>
            <w:szCs w:val="28"/>
            <w:lang w:val="uk-UA"/>
          </w:rPr>
          <w:t>http://pjv.nuoua.od.ua/v4_2023/19.pdf</w:t>
        </w:r>
      </w:hyperlink>
      <w:r w:rsidRPr="00511005">
        <w:rPr>
          <w:rFonts w:ascii="Arial" w:eastAsia="Calibri" w:hAnsi="Arial" w:cs="Arial"/>
          <w:szCs w:val="28"/>
          <w:lang w:val="uk-UA"/>
        </w:rPr>
        <w:t>.</w:t>
      </w:r>
    </w:p>
    <w:p w14:paraId="2E2DD402" w14:textId="77777777" w:rsidR="00C1357F" w:rsidRPr="00511005" w:rsidRDefault="00C1357F" w:rsidP="003A292D">
      <w:pPr>
        <w:tabs>
          <w:tab w:val="left" w:pos="720"/>
        </w:tabs>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3. Левченко Ю. О. Актуальні проблеми діяльності системи органів пробації в умовах воєнного стану. </w:t>
      </w:r>
      <w:r w:rsidRPr="00511005">
        <w:rPr>
          <w:rFonts w:ascii="Arial" w:eastAsia="Calibri" w:hAnsi="Arial" w:cs="Arial"/>
          <w:i/>
          <w:iCs/>
          <w:szCs w:val="28"/>
          <w:lang w:val="uk-UA"/>
        </w:rPr>
        <w:t>Аналітично-порівняльне правознавство.</w:t>
      </w:r>
      <w:r w:rsidRPr="00511005">
        <w:rPr>
          <w:rFonts w:ascii="Arial" w:eastAsia="Calibri" w:hAnsi="Arial" w:cs="Arial"/>
          <w:szCs w:val="28"/>
          <w:lang w:val="uk-UA"/>
        </w:rPr>
        <w:t xml:space="preserve"> 2023. С. 296-300. URL: </w:t>
      </w:r>
      <w:hyperlink r:id="rId2140" w:history="1">
        <w:r w:rsidRPr="00511005">
          <w:rPr>
            <w:rFonts w:ascii="Arial" w:eastAsia="Calibri" w:hAnsi="Arial" w:cs="Arial"/>
            <w:szCs w:val="28"/>
            <w:lang w:val="uk-UA"/>
          </w:rPr>
          <w:t>https://app-journal.in.ua/wp-content/uploads/2023/05/53.pdf</w:t>
        </w:r>
      </w:hyperlink>
      <w:r w:rsidRPr="00511005">
        <w:rPr>
          <w:rFonts w:ascii="Arial" w:eastAsia="Calibri" w:hAnsi="Arial" w:cs="Arial"/>
          <w:szCs w:val="28"/>
          <w:lang w:val="uk-UA"/>
        </w:rPr>
        <w:t xml:space="preserve">. </w:t>
      </w:r>
    </w:p>
    <w:p w14:paraId="2F2B2998" w14:textId="77777777" w:rsidR="00C1357F" w:rsidRPr="00511005" w:rsidRDefault="00C1357F" w:rsidP="003A292D">
      <w:pPr>
        <w:spacing w:line="264" w:lineRule="auto"/>
        <w:ind w:firstLine="0"/>
        <w:rPr>
          <w:rFonts w:ascii="Arial" w:eastAsia="Calibri" w:hAnsi="Arial" w:cs="Arial"/>
          <w:b/>
          <w:bCs/>
          <w:szCs w:val="28"/>
          <w:lang w:val="uk-UA"/>
        </w:rPr>
      </w:pPr>
    </w:p>
    <w:p w14:paraId="25E77008" w14:textId="703F7DBF"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357F" w:rsidRPr="00511005">
        <w:rPr>
          <w:rFonts w:ascii="Arial" w:eastAsia="Calibri" w:hAnsi="Arial" w:cs="Arial"/>
          <w:szCs w:val="28"/>
          <w:lang w:val="uk-UA"/>
        </w:rPr>
        <w:t>пробація, органи пробації, воєнний стан, проблеми пробації, реабілітація правопорушників</w:t>
      </w:r>
    </w:p>
    <w:p w14:paraId="3AC1A525" w14:textId="4EBE96D3" w:rsidR="00C1357F" w:rsidRPr="00511005" w:rsidRDefault="007B2628" w:rsidP="003A292D">
      <w:pPr>
        <w:spacing w:line="264" w:lineRule="auto"/>
        <w:ind w:firstLine="0"/>
        <w:rPr>
          <w:rFonts w:ascii="Arial" w:eastAsia="Calibri" w:hAnsi="Arial" w:cs="Arial"/>
          <w:b/>
          <w:bCs/>
          <w:i/>
          <w:iCs/>
          <w:szCs w:val="28"/>
          <w:lang w:val="uk-UA"/>
        </w:rPr>
      </w:pPr>
      <w:r w:rsidRPr="00511005">
        <w:rPr>
          <w:rFonts w:ascii="Arial" w:eastAsia="Calibri" w:hAnsi="Arial" w:cs="Arial"/>
          <w:b/>
          <w:bCs/>
          <w:i/>
          <w:szCs w:val="28"/>
          <w:lang w:val="uk-UA"/>
        </w:rPr>
        <w:t xml:space="preserve">Key words: </w:t>
      </w:r>
      <w:r w:rsidR="00C1357F" w:rsidRPr="00511005">
        <w:rPr>
          <w:rFonts w:ascii="Arial" w:eastAsia="Calibri" w:hAnsi="Arial" w:cs="Arial"/>
          <w:szCs w:val="28"/>
          <w:lang w:val="uk-UA"/>
        </w:rPr>
        <w:t>probation, probation authorities, martial law, probation challenges, offender rehabilitation</w:t>
      </w:r>
    </w:p>
    <w:p w14:paraId="31E945CC" w14:textId="38123259" w:rsidR="00C1357F"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bCs/>
          <w:i/>
          <w:iCs/>
          <w:szCs w:val="28"/>
          <w:lang w:val="uk-UA"/>
        </w:rPr>
        <w:t xml:space="preserve">Науковий керівник: </w:t>
      </w:r>
      <w:r w:rsidR="00C1357F" w:rsidRPr="00511005">
        <w:rPr>
          <w:rFonts w:ascii="Arial" w:eastAsia="Calibri" w:hAnsi="Arial" w:cs="Arial"/>
          <w:i/>
          <w:iCs/>
          <w:szCs w:val="28"/>
          <w:lang w:val="uk-UA"/>
        </w:rPr>
        <w:t xml:space="preserve">асистентка кафедри </w:t>
      </w:r>
      <w:r w:rsidR="00C1357F" w:rsidRPr="00511005">
        <w:rPr>
          <w:rFonts w:ascii="Arial" w:eastAsia="Calibri" w:hAnsi="Arial" w:cs="Arial"/>
          <w:bCs/>
          <w:i/>
          <w:iCs/>
          <w:szCs w:val="28"/>
          <w:lang w:val="uk-UA"/>
        </w:rPr>
        <w:t>Лукащук К.Р.</w:t>
      </w:r>
    </w:p>
    <w:p w14:paraId="5D277647" w14:textId="77777777" w:rsidR="00C1357F" w:rsidRPr="00511005" w:rsidRDefault="00C1357F" w:rsidP="003A292D">
      <w:pPr>
        <w:spacing w:line="264" w:lineRule="auto"/>
        <w:ind w:firstLine="0"/>
        <w:rPr>
          <w:rFonts w:ascii="Arial" w:eastAsia="Calibri" w:hAnsi="Arial" w:cs="Arial"/>
          <w:szCs w:val="28"/>
          <w:lang w:val="uk-UA"/>
        </w:rPr>
      </w:pPr>
    </w:p>
    <w:p w14:paraId="3C51A24D" w14:textId="77777777" w:rsidR="00C1357F" w:rsidRPr="00511005" w:rsidRDefault="00C1357F" w:rsidP="003A292D">
      <w:pPr>
        <w:spacing w:line="264" w:lineRule="auto"/>
        <w:ind w:firstLine="0"/>
        <w:jc w:val="center"/>
        <w:rPr>
          <w:rFonts w:ascii="Arial" w:eastAsia="Calibri" w:hAnsi="Arial" w:cs="Arial"/>
          <w:b/>
          <w:bCs/>
          <w:i/>
          <w:iCs/>
          <w:szCs w:val="28"/>
          <w:lang w:val="uk-UA"/>
        </w:rPr>
      </w:pPr>
    </w:p>
    <w:p w14:paraId="22CC363F" w14:textId="77777777" w:rsidR="00C1357F" w:rsidRPr="00511005" w:rsidRDefault="00C1357F" w:rsidP="003A292D">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Федчак Єлизавета Олегівна</w:t>
      </w:r>
    </w:p>
    <w:p w14:paraId="51C04E21" w14:textId="6D4B3334"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598230A9"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291BA14"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E3BDE3B" w14:textId="77777777" w:rsidR="00C1357F" w:rsidRPr="00511005" w:rsidRDefault="00C1357F" w:rsidP="003A292D">
      <w:pPr>
        <w:spacing w:line="264" w:lineRule="auto"/>
        <w:ind w:firstLine="0"/>
        <w:jc w:val="center"/>
        <w:rPr>
          <w:rFonts w:ascii="Arial" w:eastAsia="Calibri" w:hAnsi="Arial" w:cs="Arial"/>
          <w:b/>
          <w:bCs/>
          <w:szCs w:val="28"/>
          <w:lang w:val="uk-UA"/>
        </w:rPr>
      </w:pPr>
    </w:p>
    <w:p w14:paraId="79C94C2E" w14:textId="77777777" w:rsidR="00C1357F" w:rsidRPr="00511005" w:rsidRDefault="00C1357F"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lastRenderedPageBreak/>
        <w:t>РЕСОЦІАЛІЗАЦІЯ ТА ПРАЦЕВЛАШТУВАННЯ ОСІБ ПІСЛЯ ВІДБУТТЯ ПОКАРАННЯ</w:t>
      </w:r>
    </w:p>
    <w:p w14:paraId="3A7C7D3E"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Питання соціальної адаптації, реабілітації та працевлаштування осіб, які відбули покарання, є актуальним у зв’язку з підвищенням рівня рецидивної злочинності та необхідністю забезпечення права таких осіб на гідне повернення до суспільства. Конституція України, Кримінальний кодекс, Кримінально-виконавчий кодекс та інші нормативні акти містять положення, що регулюють правове становище осіб після звільнення.</w:t>
      </w:r>
    </w:p>
    <w:p w14:paraId="54DD892A"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Однією з ключових норм є стаття 5 Кримінально-виконавчого кодексу України, яка передбачає, що виконання покарання не повинно принижувати людську гідність та має сприяти ресоціалізації особи. У свою чергу, стаття 121 цього ж кодексу закріплює обов’язок адміністрації установи забезпечити підготовку засудженого до звільнення, у тому числі через надання допомоги у працевлаштуванні [1].</w:t>
      </w:r>
    </w:p>
    <w:p w14:paraId="51E401B3"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Працевлаштування є важливим елементом реінтеграції колишніх ув’язнених. Відповідно до Закону України «Про зайнятість населення», особи, які звільнилися з місць позбавлення волі, мають право на державну підтримку, включно з послугами центрів зайнятості, перекваліфікацією, а також можливістю отримання одноразової допомоги для започаткування підприємницької діяльності [5].</w:t>
      </w:r>
    </w:p>
    <w:p w14:paraId="33220A04"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Разом із тим, чинне законодавство містить низку викликів. По-перше, роботодавці не завжди готові брати на роботу осіб із судимістю, незважаючи на формальну рівність прав. По-друге, відсутній ефективний механізм контролю за виконанням програм постпенітенціарної адаптації. Зокрема, відсутність міжвідомчої координації (між пенітенціарною службою, органами соціального захисту та службою зайнятості) гальмує процес повернення звільнених осіб до нормального життя [2].</w:t>
      </w:r>
    </w:p>
    <w:p w14:paraId="3BE71B10"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Одним з позитивних прикладів є реалізація проєктів на базі громадських організацій, які співпрацюють із центрами пробації та сприяють працевлаштуванню шляхом налагодження партнерств із соціально відповідальним бізнесом. Також варто відзначити потенціал пробаційної служби, яка через індивідуальні програми роботи з клієнтами може впливати на зниження рецидиву та сприяти реінтеграції [6].</w:t>
      </w:r>
    </w:p>
    <w:p w14:paraId="2C0605F6"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З метою вдосконалення правового регулювання доцільним є:</w:t>
      </w:r>
    </w:p>
    <w:p w14:paraId="7E1F7D57" w14:textId="77777777" w:rsidR="00C1357F" w:rsidRPr="00511005" w:rsidRDefault="00C1357F" w:rsidP="003F6A5D">
      <w:pPr>
        <w:numPr>
          <w:ilvl w:val="0"/>
          <w:numId w:val="573"/>
        </w:numPr>
        <w:spacing w:line="264" w:lineRule="auto"/>
        <w:jc w:val="left"/>
        <w:rPr>
          <w:rFonts w:ascii="Arial" w:eastAsia="Calibri" w:hAnsi="Arial" w:cs="Arial"/>
          <w:szCs w:val="28"/>
          <w:lang w:val="uk-UA"/>
        </w:rPr>
      </w:pPr>
      <w:r w:rsidRPr="00511005">
        <w:rPr>
          <w:rFonts w:ascii="Arial" w:eastAsia="Calibri" w:hAnsi="Arial" w:cs="Arial"/>
          <w:szCs w:val="28"/>
          <w:lang w:val="uk-UA"/>
        </w:rPr>
        <w:t>запровадження системи квотування робочих місць для осіб, які звільнилися з місць позбавлення волі;</w:t>
      </w:r>
    </w:p>
    <w:p w14:paraId="19185DAE" w14:textId="77777777" w:rsidR="00C1357F" w:rsidRPr="00511005" w:rsidRDefault="00C1357F" w:rsidP="003F6A5D">
      <w:pPr>
        <w:numPr>
          <w:ilvl w:val="0"/>
          <w:numId w:val="573"/>
        </w:numPr>
        <w:spacing w:line="264" w:lineRule="auto"/>
        <w:jc w:val="left"/>
        <w:rPr>
          <w:rFonts w:ascii="Arial" w:eastAsia="Calibri" w:hAnsi="Arial" w:cs="Arial"/>
          <w:szCs w:val="28"/>
          <w:lang w:val="uk-UA"/>
        </w:rPr>
      </w:pPr>
      <w:r w:rsidRPr="00511005">
        <w:rPr>
          <w:rFonts w:ascii="Arial" w:eastAsia="Calibri" w:hAnsi="Arial" w:cs="Arial"/>
          <w:szCs w:val="28"/>
          <w:lang w:val="uk-UA"/>
        </w:rPr>
        <w:t>створення загальнодержавного реєстру роботодавців, готових співпрацювати з такою категорією громадян;</w:t>
      </w:r>
    </w:p>
    <w:p w14:paraId="56CEA56A" w14:textId="77777777" w:rsidR="00C1357F" w:rsidRPr="00511005" w:rsidRDefault="00C1357F" w:rsidP="003F6A5D">
      <w:pPr>
        <w:numPr>
          <w:ilvl w:val="0"/>
          <w:numId w:val="573"/>
        </w:numPr>
        <w:spacing w:line="264" w:lineRule="auto"/>
        <w:jc w:val="left"/>
        <w:rPr>
          <w:rFonts w:ascii="Arial" w:eastAsia="Calibri" w:hAnsi="Arial" w:cs="Arial"/>
          <w:szCs w:val="28"/>
          <w:lang w:val="uk-UA"/>
        </w:rPr>
      </w:pPr>
      <w:r w:rsidRPr="00511005">
        <w:rPr>
          <w:rFonts w:ascii="Arial" w:eastAsia="Calibri" w:hAnsi="Arial" w:cs="Arial"/>
          <w:szCs w:val="28"/>
          <w:lang w:val="uk-UA"/>
        </w:rPr>
        <w:t>підвищення ролі місцевих органів влади у реалізації програм ресоціалізації;</w:t>
      </w:r>
    </w:p>
    <w:p w14:paraId="50ACBF1B" w14:textId="77777777" w:rsidR="00C1357F" w:rsidRPr="00511005" w:rsidRDefault="00C1357F" w:rsidP="003F6A5D">
      <w:pPr>
        <w:numPr>
          <w:ilvl w:val="0"/>
          <w:numId w:val="573"/>
        </w:numPr>
        <w:spacing w:line="264" w:lineRule="auto"/>
        <w:jc w:val="left"/>
        <w:rPr>
          <w:rFonts w:ascii="Arial" w:eastAsia="Calibri" w:hAnsi="Arial" w:cs="Arial"/>
          <w:szCs w:val="28"/>
          <w:lang w:val="uk-UA"/>
        </w:rPr>
      </w:pPr>
      <w:r w:rsidRPr="00511005">
        <w:rPr>
          <w:rFonts w:ascii="Arial" w:eastAsia="Calibri" w:hAnsi="Arial" w:cs="Arial"/>
          <w:szCs w:val="28"/>
          <w:lang w:val="uk-UA"/>
        </w:rPr>
        <w:t>зміцнення співпраці держави з громадськими організаціями.</w:t>
      </w:r>
    </w:p>
    <w:p w14:paraId="0E2C425B"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Також для більшого розуміння можна розглянути практику інших країн таких як: Норвегія, Нідерланди, Фінляндія. У Норвегії, наприклад, діє принцип «найменшої шкоди», коли особа в колонії має зберігати зв’язок із суспільством: засуджені мають право працювати, отримувати освіту, спілкуватися з родиною. Перед звільненням їм забезпечується індивідуальний план переходу до самостійного життя [4].</w:t>
      </w:r>
    </w:p>
    <w:p w14:paraId="2010FCA3" w14:textId="77777777" w:rsidR="007B2628"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Система виконання покарань у Норвегії базується на принципі normality («нормальності») — тобто життя засудженого повинно максимально наближатися до звичайного життя у суспільстві.</w:t>
      </w:r>
    </w:p>
    <w:p w14:paraId="6AFB6664" w14:textId="4F2A2D19"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Ключовими елементами є: 1) тюрми відкритого типу (наприклад, Хальден чи Бастой): немає ґрат, є свобода пересування територією, індивідуальні кімнати замість камер; 2) навчання та праця реалізуються в тому, що</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в’язні мають можливість працювати на оплачуваних роботах, здобувати фахову освіту або проходити профпідготовку; 3) підготовка до звільнення, яка проявляється в тому, що соціальні служби починають працювати із засудженими ще за рік до звільнення, допомагаючи з житлом, працевлаштуванням, фінансовим плануванням.</w:t>
      </w:r>
    </w:p>
    <w:p w14:paraId="499405CF" w14:textId="3CF53D7A"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Можливість реалізації в Україні може проявлятися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через запровадження пілотних проєктів установ відкритого типу для осіб, які вчинили нетяжкі злочини або відбули більшу частину строку. Такі установи можуть функціонувати при підтримці МВС, Міністерства юстиції України та місцевих громад. Важливо залучити до роботи соціальних працівників і представників центрів зайнятості, щоб адаптація починалась до, а не після звільнення.</w:t>
      </w:r>
    </w:p>
    <w:p w14:paraId="4EAFBD3A"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У Нідерландах реалізується програма Exodus, яка готує колишніх засуджених до самостійного життя через адаптаційні будинки, де вони проживають до 6 місяців під супроводом соціальних працівників.</w:t>
      </w:r>
    </w:p>
    <w:p w14:paraId="46FB2A8B" w14:textId="7F9D113D"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Проєкт Exodus — це неурядова ініціатива, що має державну підтримку. Основними аспектами якого є: 1) адаптаційні будинки в яких</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колишні засуджені проживають у спеціальних центрах протягом 6–12 місяців, де під наглядом фахівців вчаться жити у суспільстві; 2) також психологічна та юридична підтримка; 3) партнерство з бізнесом Exodus активно співпрацює з роботодавцями, які готові приймати таких людей на роботу, іноді — через стажування.</w:t>
      </w:r>
    </w:p>
    <w:p w14:paraId="2C9BF37C"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Адаптувати в Україні можна шляхом створення державно-громадських центрів при підтримці таких програм як USAID, ПРООН, та підтримки ЄС. Наприклад центри можуть функціонувати на базі колишніх гуртожитків або підготовлених приміщень виправних установ і таким чином особи після звільнення матимуть безкоштовне житло на перші 3–6 місяців, психолога, соцпрацівника, підтримку у працевлаштуванні.</w:t>
      </w:r>
    </w:p>
    <w:p w14:paraId="75D89F7B"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Також у співпраці з Державною службою зайнятості можна реалізувати програму стажування з подальшим працевлаштуванням.</w:t>
      </w:r>
    </w:p>
    <w:p w14:paraId="126B1DCF"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lastRenderedPageBreak/>
        <w:t>У Фінляндії широко використовуються програми пом’якшеного відбуття покарання (наприклад, електронний браслет з можливістю працювати), а також кооперація з роботодавцями у межах державних ініціатив.</w:t>
      </w:r>
    </w:p>
    <w:p w14:paraId="326345DF" w14:textId="123AB016"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Фінляндія активно застосовує альтернативи ув’язненню такі як: 1) електронний моніторинг тобто замість тюрми засуджений відбуває покарання вдома з електронним браслетом, маючи право працювати й підтримувати родинні зв’язки; 2) поетапне звільнення при якому особа поступово переходить з тюрми в піввідкриті умови, де працює за межами установи, а на ніч повертається; 3) підтримка після звільнення реалізується через</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систему «місткових служб» (Bridge Services), які зв’язують виправні установи з місцевими органами — вони допомагають у реєстрації, житлі, влаштуванні до лікаря чи на курси.</w:t>
      </w:r>
    </w:p>
    <w:p w14:paraId="257C5447" w14:textId="77777777" w:rsidR="00C1357F" w:rsidRPr="00511005" w:rsidRDefault="00C1357F" w:rsidP="003A292D">
      <w:pPr>
        <w:spacing w:line="264" w:lineRule="auto"/>
        <w:ind w:firstLine="0"/>
        <w:rPr>
          <w:rFonts w:ascii="Arial" w:eastAsia="Calibri" w:hAnsi="Arial" w:cs="Arial"/>
          <w:szCs w:val="28"/>
          <w:lang w:val="uk-UA"/>
        </w:rPr>
      </w:pPr>
      <w:r w:rsidRPr="00511005">
        <w:rPr>
          <w:rFonts w:ascii="Arial" w:eastAsia="Calibri" w:hAnsi="Arial" w:cs="Arial"/>
          <w:szCs w:val="28"/>
          <w:lang w:val="uk-UA"/>
        </w:rPr>
        <w:t>В Україні вже є пробаційна служба, тож логічним кроком є впровадження електронного моніторингу як заміни короткострокового ув’язнення (для засуджених до 1 року за нетяжкі злочини). Це економічно вигідно (витрати на одного ув’язненого в 3–5 разів більші) та соціально доцільно. Також можна створити модель «поетапного звільнення» для осіб, які мають позитивну поведінку — наприклад, на останні 6 місяців переведення в адаптаційний центр [3].</w:t>
      </w:r>
    </w:p>
    <w:p w14:paraId="2DBA0096" w14:textId="77777777" w:rsidR="00C1357F" w:rsidRPr="00511005" w:rsidRDefault="00C1357F" w:rsidP="003A292D">
      <w:pPr>
        <w:spacing w:line="264" w:lineRule="auto"/>
        <w:ind w:firstLine="0"/>
        <w:rPr>
          <w:rFonts w:ascii="Arial" w:eastAsia="Calibri" w:hAnsi="Arial" w:cs="Arial"/>
          <w:b/>
          <w:bCs/>
          <w:szCs w:val="28"/>
          <w:lang w:val="uk-UA"/>
        </w:rPr>
      </w:pPr>
      <w:r w:rsidRPr="00511005">
        <w:rPr>
          <w:rFonts w:ascii="Arial" w:eastAsia="Calibri" w:hAnsi="Arial" w:cs="Arial"/>
          <w:szCs w:val="28"/>
          <w:lang w:val="uk-UA"/>
        </w:rPr>
        <w:t>Отже, ефективна реабілітація та працевлаштування осіб після відбуття покарання є одним із чинників зменшення рівня повторної злочинності, посилення соціальної згуртованості та захисту прав людини.</w:t>
      </w:r>
    </w:p>
    <w:p w14:paraId="53B53755" w14:textId="77777777" w:rsidR="00C1357F" w:rsidRPr="00511005" w:rsidRDefault="00C1357F" w:rsidP="003A292D">
      <w:pPr>
        <w:spacing w:line="264" w:lineRule="auto"/>
        <w:ind w:firstLine="0"/>
        <w:rPr>
          <w:rFonts w:ascii="Arial" w:eastAsia="Calibri" w:hAnsi="Arial" w:cs="Arial"/>
          <w:b/>
          <w:bCs/>
          <w:szCs w:val="28"/>
          <w:lang w:val="uk-UA"/>
        </w:rPr>
      </w:pPr>
    </w:p>
    <w:p w14:paraId="6A18A499" w14:textId="41381556" w:rsidR="00C1357F" w:rsidRPr="00511005" w:rsidRDefault="007B2628" w:rsidP="007B2628">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Список використаних джерел</w:t>
      </w:r>
    </w:p>
    <w:p w14:paraId="4E6F70ED" w14:textId="77777777" w:rsidR="00C1357F" w:rsidRPr="00511005" w:rsidRDefault="00C1357F" w:rsidP="003F6A5D">
      <w:pPr>
        <w:numPr>
          <w:ilvl w:val="0"/>
          <w:numId w:val="57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Кримінально-виконавчий кодекс України : Закон України від 11.07.2003 № 1129-IV : станом на 01.01.2025. URL: </w:t>
      </w:r>
      <w:hyperlink r:id="rId2141" w:anchor="Text" w:tgtFrame="_blank" w:history="1">
        <w:r w:rsidRPr="00511005">
          <w:rPr>
            <w:rFonts w:ascii="Arial" w:eastAsia="Calibri" w:hAnsi="Arial" w:cs="Arial"/>
            <w:szCs w:val="28"/>
            <w:lang w:val="uk-UA"/>
          </w:rPr>
          <w:t>https://zakon.rada.gov.ua/laws/show/1129-15#Text</w:t>
        </w:r>
      </w:hyperlink>
      <w:r w:rsidRPr="00511005">
        <w:rPr>
          <w:rFonts w:ascii="Arial" w:eastAsia="Calibri" w:hAnsi="Arial" w:cs="Arial"/>
          <w:szCs w:val="28"/>
          <w:lang w:val="uk-UA"/>
        </w:rPr>
        <w:t>.</w:t>
      </w:r>
    </w:p>
    <w:p w14:paraId="244C0ACB" w14:textId="77777777" w:rsidR="00C1357F" w:rsidRPr="00511005" w:rsidRDefault="00C1357F" w:rsidP="003F6A5D">
      <w:pPr>
        <w:numPr>
          <w:ilvl w:val="0"/>
          <w:numId w:val="57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Про зайнятість населення : Закон України від 5 лип. 2012 р. № 5067-VI //станом на 01.01.2025. URL: </w:t>
      </w:r>
      <w:hyperlink r:id="rId2142" w:history="1">
        <w:r w:rsidRPr="00511005">
          <w:rPr>
            <w:rFonts w:ascii="Arial" w:eastAsia="Calibri" w:hAnsi="Arial" w:cs="Arial"/>
            <w:szCs w:val="28"/>
            <w:lang w:val="uk-UA"/>
          </w:rPr>
          <w:t>https://zakon.rada.gov.ua/go/5067-17</w:t>
        </w:r>
      </w:hyperlink>
      <w:r w:rsidRPr="00511005">
        <w:rPr>
          <w:rFonts w:ascii="Arial" w:eastAsia="Calibri" w:hAnsi="Arial" w:cs="Arial"/>
          <w:szCs w:val="28"/>
          <w:lang w:val="uk-UA"/>
        </w:rPr>
        <w:t>.</w:t>
      </w:r>
    </w:p>
    <w:p w14:paraId="1446C74B" w14:textId="77777777" w:rsidR="00C1357F" w:rsidRPr="00511005" w:rsidRDefault="00C1357F" w:rsidP="003F6A5D">
      <w:pPr>
        <w:numPr>
          <w:ilvl w:val="0"/>
          <w:numId w:val="57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Гнатюк М. В. Реабілітація засуджених: соціально-правовий аспект // Юридичний вісник, 2021. № 2(35). С. 78–83. </w:t>
      </w:r>
    </w:p>
    <w:p w14:paraId="7A584EE6" w14:textId="77777777" w:rsidR="00C1357F" w:rsidRPr="00511005" w:rsidRDefault="00C1357F" w:rsidP="003F6A5D">
      <w:pPr>
        <w:numPr>
          <w:ilvl w:val="0"/>
          <w:numId w:val="57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Кириченко Л. В. Соціальна адаптація осіб, звільнених з місць позбавлення волі: проблеми та перспективи // Вісник кримінального судочинства, 2022. № 1. С. 102–107. </w:t>
      </w:r>
    </w:p>
    <w:p w14:paraId="28D7D8C6" w14:textId="77777777" w:rsidR="00C1357F" w:rsidRPr="00511005" w:rsidRDefault="00C1357F" w:rsidP="003F6A5D">
      <w:pPr>
        <w:numPr>
          <w:ilvl w:val="0"/>
          <w:numId w:val="57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Огляд міжнародних практик ресоціалізації // Центр політико-правових реформ. 2021. URL: </w:t>
      </w:r>
      <w:hyperlink r:id="rId2143" w:tgtFrame="_new" w:history="1">
        <w:r w:rsidRPr="00511005">
          <w:rPr>
            <w:rFonts w:ascii="Arial" w:eastAsia="Calibri" w:hAnsi="Arial" w:cs="Arial"/>
            <w:szCs w:val="28"/>
            <w:lang w:val="uk-UA"/>
          </w:rPr>
          <w:t>https://pravo.org.ua</w:t>
        </w:r>
      </w:hyperlink>
      <w:r w:rsidRPr="00511005">
        <w:rPr>
          <w:rFonts w:ascii="Arial" w:eastAsia="Calibri" w:hAnsi="Arial" w:cs="Arial"/>
          <w:szCs w:val="28"/>
          <w:lang w:val="uk-UA"/>
        </w:rPr>
        <w:t>.</w:t>
      </w:r>
    </w:p>
    <w:p w14:paraId="7BA3EA49" w14:textId="77777777" w:rsidR="00C1357F" w:rsidRPr="00511005" w:rsidRDefault="00C1357F" w:rsidP="003F6A5D">
      <w:pPr>
        <w:numPr>
          <w:ilvl w:val="0"/>
          <w:numId w:val="57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Шкляр В. В. Реінтеграція осіб, які відбули покарання: порівняльний аналіз // Порівняльно-аналітичне право, 2022. № 5. С. 87–93. </w:t>
      </w:r>
    </w:p>
    <w:p w14:paraId="5A5FE1DD" w14:textId="77777777" w:rsidR="00C1357F" w:rsidRPr="00511005" w:rsidRDefault="00C1357F" w:rsidP="003A292D">
      <w:pPr>
        <w:spacing w:line="264" w:lineRule="auto"/>
        <w:ind w:firstLine="0"/>
        <w:rPr>
          <w:rFonts w:ascii="Arial" w:eastAsia="Calibri" w:hAnsi="Arial" w:cs="Arial"/>
          <w:b/>
          <w:bCs/>
          <w:szCs w:val="28"/>
          <w:lang w:val="uk-UA"/>
        </w:rPr>
      </w:pPr>
    </w:p>
    <w:p w14:paraId="2B68B221" w14:textId="68D9533A"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C1357F" w:rsidRPr="00511005">
        <w:rPr>
          <w:rFonts w:ascii="Arial" w:eastAsia="Calibri" w:hAnsi="Arial" w:cs="Arial"/>
          <w:szCs w:val="28"/>
          <w:lang w:val="uk-UA"/>
        </w:rPr>
        <w:t>ресоціалізація засуджених,</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постпенітенціарна адаптація,</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працевлаштування після звільнення,</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рецидивна злочинність,</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 xml:space="preserve">пробаційна </w:t>
      </w:r>
      <w:r w:rsidR="00C1357F" w:rsidRPr="00511005">
        <w:rPr>
          <w:rFonts w:ascii="Arial" w:eastAsia="Calibri" w:hAnsi="Arial" w:cs="Arial"/>
          <w:szCs w:val="28"/>
          <w:lang w:val="uk-UA"/>
        </w:rPr>
        <w:lastRenderedPageBreak/>
        <w:t>служба,</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міжвідомча координація,</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міжнародний досвід,</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права людини в пенітенціарній системі.</w:t>
      </w:r>
    </w:p>
    <w:p w14:paraId="6A866378" w14:textId="0690106A"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bCs/>
          <w:i/>
          <w:szCs w:val="28"/>
          <w:lang w:val="uk-UA"/>
        </w:rPr>
        <w:t xml:space="preserve">Key words: </w:t>
      </w:r>
      <w:r w:rsidR="00C1357F" w:rsidRPr="00511005">
        <w:rPr>
          <w:rFonts w:ascii="Arial" w:eastAsia="Calibri" w:hAnsi="Arial" w:cs="Arial"/>
          <w:szCs w:val="28"/>
          <w:lang w:val="uk-UA"/>
        </w:rPr>
        <w:t>resocialization of convicts,</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post-penitentiary adaptation, employment after release,</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recidivism, probation service,</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interagency coordination,</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international experience,</w:t>
      </w:r>
      <w:r w:rsidRPr="00511005">
        <w:rPr>
          <w:rFonts w:ascii="Arial" w:eastAsia="Calibri" w:hAnsi="Arial" w:cs="Arial"/>
          <w:szCs w:val="28"/>
          <w:lang w:val="uk-UA"/>
        </w:rPr>
        <w:t xml:space="preserve"> </w:t>
      </w:r>
      <w:r w:rsidR="00C1357F" w:rsidRPr="00511005">
        <w:rPr>
          <w:rFonts w:ascii="Arial" w:eastAsia="Calibri" w:hAnsi="Arial" w:cs="Arial"/>
          <w:szCs w:val="28"/>
          <w:lang w:val="uk-UA"/>
        </w:rPr>
        <w:t>human rights in the penitentiary system</w:t>
      </w:r>
    </w:p>
    <w:p w14:paraId="40A2D75F" w14:textId="2D22609E" w:rsidR="00C1357F" w:rsidRPr="00511005" w:rsidRDefault="007B2628" w:rsidP="003A292D">
      <w:pPr>
        <w:spacing w:line="264" w:lineRule="auto"/>
        <w:ind w:firstLine="0"/>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C1357F" w:rsidRPr="00511005">
        <w:rPr>
          <w:rFonts w:ascii="Arial" w:eastAsia="Calibri" w:hAnsi="Arial" w:cs="Arial"/>
          <w:i/>
          <w:iCs/>
          <w:szCs w:val="28"/>
          <w:lang w:val="uk-UA"/>
        </w:rPr>
        <w:t>асистентка кафедри Лукащук К. Р.</w:t>
      </w:r>
    </w:p>
    <w:p w14:paraId="422D3D1D" w14:textId="77777777" w:rsidR="00C1357F" w:rsidRPr="00511005" w:rsidRDefault="00C1357F" w:rsidP="003A292D">
      <w:pPr>
        <w:spacing w:line="264" w:lineRule="auto"/>
        <w:ind w:firstLine="0"/>
        <w:rPr>
          <w:rFonts w:ascii="Arial" w:eastAsia="Calibri" w:hAnsi="Arial" w:cs="Arial"/>
          <w:szCs w:val="28"/>
          <w:lang w:val="uk-UA"/>
        </w:rPr>
      </w:pPr>
    </w:p>
    <w:p w14:paraId="5C8E6710" w14:textId="77777777" w:rsidR="00C1357F" w:rsidRPr="00511005" w:rsidRDefault="00C1357F" w:rsidP="003A292D">
      <w:pPr>
        <w:spacing w:line="264" w:lineRule="auto"/>
        <w:ind w:firstLine="0"/>
        <w:rPr>
          <w:rFonts w:ascii="Arial" w:eastAsia="Times New Roman" w:hAnsi="Arial" w:cs="Arial"/>
          <w:szCs w:val="28"/>
          <w:lang w:val="uk-UA"/>
        </w:rPr>
      </w:pPr>
    </w:p>
    <w:p w14:paraId="5E14AF5F" w14:textId="77777777" w:rsidR="00C1357F" w:rsidRPr="00511005" w:rsidRDefault="00C1357F"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Форосенко Іван Ігорович</w:t>
      </w:r>
    </w:p>
    <w:p w14:paraId="5B9C86AD" w14:textId="043967B7"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4-го курсу </w:t>
      </w:r>
    </w:p>
    <w:p w14:paraId="1EE78CF7"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417ABB5"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EF8E41C" w14:textId="77777777" w:rsidR="00C1357F" w:rsidRPr="00511005" w:rsidRDefault="00C1357F" w:rsidP="003A292D">
      <w:pPr>
        <w:spacing w:line="264" w:lineRule="auto"/>
        <w:ind w:firstLine="0"/>
        <w:jc w:val="center"/>
        <w:rPr>
          <w:rFonts w:ascii="Arial" w:eastAsia="Times New Roman" w:hAnsi="Arial" w:cs="Arial"/>
          <w:b/>
          <w:szCs w:val="28"/>
          <w:lang w:val="uk-UA"/>
        </w:rPr>
      </w:pPr>
    </w:p>
    <w:p w14:paraId="1D53C5A3" w14:textId="77777777" w:rsidR="00C1357F" w:rsidRPr="00511005" w:rsidRDefault="00C1357F"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ПРОБАЦІЯ: ПОНЯТТЯ ТА ПРОБЛЕМИ ВПРОВАДЖЕННЯ В УКРАЇНІ</w:t>
      </w:r>
    </w:p>
    <w:p w14:paraId="31D1D249"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Пробація як інститут кримінального права виникла у XIX столітті в Англії і набула поширення у світі як гуманна альтернатива позбавленню волі. Сьогодні пробація є ключовим інструментом забезпечення балансу між правосуддям, безпекою суспільства та правами правопорушника [4]. В Україні цей інститут почав активно впроваджуватись із 2015 року після прийняття Закону «Про пробацію». Його метою стало створення ефективної системи соціального нагляду, профілактики повторної злочинності та підтримки осіб, які вчинили кримінальні правопорушення.</w:t>
      </w:r>
    </w:p>
    <w:p w14:paraId="597D0CB7"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Правове регулювання пробації в Україні здійснюється на підставі Закону України «Про пробацію» (2015), Кримінального кодексу України, Кримінального процесуального кодексу, Кримінально-виконавчого кодексу та підзаконних актів. Відповідно до ст. 1 Закону «Про пробацію», пробація передбачає здійснення заходів, пов’язаних з виконанням покарань, не пов’язаних із позбавленням волі, соціальним патронажем засуджених, а також підготовкою до звільнення з місць несвободи [1]. Особливу роль в Україні відіграють три основні види пробації, серед яких виділяють:</w:t>
      </w:r>
      <w:r w:rsidRPr="00511005">
        <w:rPr>
          <w:rFonts w:ascii="Arial" w:eastAsia="Times New Roman" w:hAnsi="Arial" w:cs="Arial"/>
          <w:szCs w:val="28"/>
          <w:lang w:val="uk-UA"/>
        </w:rPr>
        <w:tab/>
      </w:r>
    </w:p>
    <w:p w14:paraId="2D5DAC49"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досудова — збір інформації про обвинуваченого для суду;</w:t>
      </w:r>
    </w:p>
    <w:p w14:paraId="7DA74442"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наглядова — здійснення нагляду за поведінкою осіб, звільнених умовно або з випробуванням;</w:t>
      </w:r>
    </w:p>
    <w:p w14:paraId="14F28CB8"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-пенітенціарна — підготовка засуджених до звільнення.</w:t>
      </w:r>
      <w:r w:rsidRPr="00511005">
        <w:rPr>
          <w:rFonts w:ascii="Arial" w:eastAsia="Times New Roman" w:hAnsi="Arial" w:cs="Arial"/>
          <w:szCs w:val="28"/>
          <w:lang w:val="uk-UA"/>
        </w:rPr>
        <w:br/>
        <w:t>Кожен із цих напрямів вимагає належної професійної підготовки персоналу, ресурсного забезпечення та взаємодії з іншими державними та недержавними структурами [2].</w:t>
      </w:r>
    </w:p>
    <w:p w14:paraId="380D2252"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Незважаючи на значний потенціал пробації, в Україні існує низка проблем:</w:t>
      </w:r>
      <w:r w:rsidRPr="00511005">
        <w:rPr>
          <w:rFonts w:ascii="Arial" w:eastAsia="Times New Roman" w:hAnsi="Arial" w:cs="Arial"/>
          <w:szCs w:val="28"/>
          <w:lang w:val="uk-UA"/>
        </w:rPr>
        <w:br/>
        <w:t>- недостатній рівень фінансування та матеріального забезпечення служб пробації;</w:t>
      </w:r>
      <w:r w:rsidRPr="00511005">
        <w:rPr>
          <w:rFonts w:ascii="Arial" w:eastAsia="Times New Roman" w:hAnsi="Arial" w:cs="Arial"/>
          <w:szCs w:val="28"/>
          <w:lang w:val="uk-UA"/>
        </w:rPr>
        <w:br/>
        <w:t>- брак професійних кадрів та високий рівень навантаження на персонал;</w:t>
      </w:r>
      <w:r w:rsidRPr="00511005">
        <w:rPr>
          <w:rFonts w:ascii="Arial" w:eastAsia="Times New Roman" w:hAnsi="Arial" w:cs="Arial"/>
          <w:szCs w:val="28"/>
          <w:lang w:val="uk-UA"/>
        </w:rPr>
        <w:br/>
        <w:t>- формальний підхід до складання досудових доповідей;</w:t>
      </w:r>
      <w:r w:rsidRPr="00511005">
        <w:rPr>
          <w:rFonts w:ascii="Arial" w:eastAsia="Times New Roman" w:hAnsi="Arial" w:cs="Arial"/>
          <w:szCs w:val="28"/>
          <w:lang w:val="uk-UA"/>
        </w:rPr>
        <w:br/>
      </w:r>
      <w:r w:rsidRPr="00511005">
        <w:rPr>
          <w:rFonts w:ascii="Arial" w:eastAsia="Times New Roman" w:hAnsi="Arial" w:cs="Arial"/>
          <w:szCs w:val="28"/>
          <w:lang w:val="uk-UA"/>
        </w:rPr>
        <w:lastRenderedPageBreak/>
        <w:t>- низький рівень співпраці з органами місцевої влади та громадськими організаціями;</w:t>
      </w:r>
      <w:r w:rsidRPr="00511005">
        <w:rPr>
          <w:rFonts w:ascii="Arial" w:eastAsia="Times New Roman" w:hAnsi="Arial" w:cs="Arial"/>
          <w:szCs w:val="28"/>
          <w:lang w:val="uk-UA"/>
        </w:rPr>
        <w:br/>
        <w:t>- обмежена обізнаність населення та суддівського корпусу про переваги пробації.</w:t>
      </w:r>
      <w:r w:rsidRPr="00511005">
        <w:rPr>
          <w:rFonts w:ascii="Arial" w:eastAsia="Times New Roman" w:hAnsi="Arial" w:cs="Arial"/>
          <w:szCs w:val="28"/>
          <w:lang w:val="uk-UA"/>
        </w:rPr>
        <w:br/>
        <w:t>У результаті пробація часто не виконує свою ресоціалізуючу функцію повною мірою.</w:t>
      </w:r>
    </w:p>
    <w:p w14:paraId="6AEA7575"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У країнах ЄС пробація є розвиненим інститутом. Наприклад, у Великобританії пробаційна служба має розгалужену структуру, працює в тісній кооперації з судами, поліцією, соціальними службами. У Норвегії пробація спрямована на реабілітацію через навчання, роботу, соціальну підтримку. У Нідерландах існують адаптаційні центри, де особи готуються до повернення в суспільство під наглядом фахівців [5].</w:t>
      </w:r>
    </w:p>
    <w:p w14:paraId="3FA90942" w14:textId="2C9CA739"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Для підвищення ефективності пробації в Україні доцільно:</w:t>
      </w:r>
      <w:r w:rsidRPr="00511005">
        <w:rPr>
          <w:rFonts w:ascii="Arial" w:eastAsia="Times New Roman" w:hAnsi="Arial" w:cs="Arial"/>
          <w:szCs w:val="28"/>
          <w:lang w:val="uk-UA"/>
        </w:rPr>
        <w:br/>
        <w:t>- запровадити пілотні моделі електронного моніторингу;</w:t>
      </w:r>
      <w:r w:rsidRPr="00511005">
        <w:rPr>
          <w:rFonts w:ascii="Arial" w:eastAsia="Times New Roman" w:hAnsi="Arial" w:cs="Arial"/>
          <w:szCs w:val="28"/>
          <w:lang w:val="uk-UA"/>
        </w:rPr>
        <w:br/>
        <w:t>- розширити співпрацю з неурядовими організаціями</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та місцевими громадами;</w:t>
      </w:r>
      <w:r w:rsidRPr="00511005">
        <w:rPr>
          <w:rFonts w:ascii="Arial" w:eastAsia="Times New Roman" w:hAnsi="Arial" w:cs="Arial"/>
          <w:szCs w:val="28"/>
          <w:lang w:val="uk-UA"/>
        </w:rPr>
        <w:br/>
        <w:t>- створити єдиний цифровий реєстр пробаційних клієнтів;</w:t>
      </w:r>
      <w:r w:rsidRPr="00511005">
        <w:rPr>
          <w:rFonts w:ascii="Arial" w:eastAsia="Times New Roman" w:hAnsi="Arial" w:cs="Arial"/>
          <w:szCs w:val="28"/>
          <w:lang w:val="uk-UA"/>
        </w:rPr>
        <w:br/>
        <w:t>- запровадити стимулюючі механізми для роботодавців;</w:t>
      </w:r>
      <w:r w:rsidRPr="00511005">
        <w:rPr>
          <w:rFonts w:ascii="Arial" w:eastAsia="Times New Roman" w:hAnsi="Arial" w:cs="Arial"/>
          <w:szCs w:val="28"/>
          <w:lang w:val="uk-UA"/>
        </w:rPr>
        <w:br/>
        <w:t>- розробити державні програми підтримки пробаційних працівників [3].</w:t>
      </w:r>
    </w:p>
    <w:p w14:paraId="52D4F747" w14:textId="77777777" w:rsidR="00C1357F" w:rsidRPr="00511005" w:rsidRDefault="00C1357F"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Отже, пробація є перспективним інструментом реформування кримінально-виконавчої юстиції України. За належного фінансування, міжвідомчої координації та підтримки з боку громадянського суспільства, вона може стати ефективним засобом ресоціалізації правопорушників, зниження рецидиву та гуманізації покарань.</w:t>
      </w:r>
    </w:p>
    <w:p w14:paraId="4F1F3183" w14:textId="77777777" w:rsidR="00C1357F" w:rsidRPr="00511005" w:rsidRDefault="00C1357F" w:rsidP="003A292D">
      <w:pPr>
        <w:spacing w:line="264" w:lineRule="auto"/>
        <w:ind w:firstLine="0"/>
        <w:rPr>
          <w:rFonts w:ascii="Arial" w:eastAsia="Times New Roman" w:hAnsi="Arial" w:cs="Arial"/>
          <w:b/>
          <w:szCs w:val="28"/>
          <w:lang w:val="uk-UA"/>
        </w:rPr>
      </w:pPr>
    </w:p>
    <w:p w14:paraId="7ABB5CCE" w14:textId="0CDBCA73" w:rsidR="00C1357F" w:rsidRPr="00511005" w:rsidRDefault="007B2628" w:rsidP="007B2628">
      <w:pPr>
        <w:spacing w:line="264" w:lineRule="auto"/>
        <w:ind w:firstLine="0"/>
        <w:jc w:val="center"/>
        <w:rPr>
          <w:rFonts w:ascii="Arial" w:eastAsia="Times New Roman" w:hAnsi="Arial" w:cs="Arial"/>
          <w:szCs w:val="28"/>
          <w:lang w:val="uk-UA"/>
        </w:rPr>
      </w:pPr>
      <w:r w:rsidRPr="00511005">
        <w:rPr>
          <w:rFonts w:ascii="Arial" w:eastAsia="Times New Roman" w:hAnsi="Arial" w:cs="Arial"/>
          <w:b/>
          <w:szCs w:val="28"/>
          <w:lang w:val="uk-UA"/>
        </w:rPr>
        <w:t>Список використаних джерел</w:t>
      </w:r>
    </w:p>
    <w:p w14:paraId="00E45276" w14:textId="66487CAF" w:rsidR="00C1357F" w:rsidRPr="00511005" w:rsidRDefault="00C1357F" w:rsidP="003A292D">
      <w:pPr>
        <w:pBdr>
          <w:top w:val="nil"/>
          <w:left w:val="nil"/>
          <w:bottom w:val="nil"/>
          <w:right w:val="nil"/>
          <w:between w:val="nil"/>
        </w:pBd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1. Про пробацію: Закон України від 5.02.2015</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160-VIII: станом на 01.01.2025. URL: https://zakon.rada.gov.ua/laws/show/160-19.</w:t>
      </w:r>
    </w:p>
    <w:p w14:paraId="523C23A7" w14:textId="77777777" w:rsidR="00C1357F" w:rsidRPr="00511005" w:rsidRDefault="00C1357F" w:rsidP="003A292D">
      <w:pPr>
        <w:pBdr>
          <w:top w:val="nil"/>
          <w:left w:val="nil"/>
          <w:bottom w:val="nil"/>
          <w:right w:val="nil"/>
          <w:between w:val="nil"/>
        </w:pBd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2. Кримінально-виконавчий кодекс України : Закон України від 11.07.2003 № 1129-IV : станом на 01.01.2025. URL: https://zakon.rada.gov.ua/laws/show/1129-15#Text.</w:t>
      </w:r>
    </w:p>
    <w:p w14:paraId="68308CA4" w14:textId="77777777" w:rsidR="00C1357F" w:rsidRPr="00511005" w:rsidRDefault="00C1357F" w:rsidP="003A292D">
      <w:pPr>
        <w:pBdr>
          <w:top w:val="nil"/>
          <w:left w:val="nil"/>
          <w:bottom w:val="nil"/>
          <w:right w:val="nil"/>
          <w:between w:val="nil"/>
        </w:pBd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3. Блажівська Н. В. Пробація в Україні: сучасний стан та перспективи розвитку // Вісник кримінального судочинства, 2021. № 1. С. 45–53.</w:t>
      </w:r>
    </w:p>
    <w:p w14:paraId="2990661E" w14:textId="77777777" w:rsidR="00C1357F" w:rsidRPr="00511005" w:rsidRDefault="00C1357F" w:rsidP="003A292D">
      <w:pPr>
        <w:pBdr>
          <w:top w:val="nil"/>
          <w:left w:val="nil"/>
          <w:bottom w:val="nil"/>
          <w:right w:val="nil"/>
          <w:between w:val="nil"/>
        </w:pBd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4. Гурова А. О. Пробація в Україні: європейський досвід та національні реалії // Юридичний науковий електронний журнал, 2022. № 5. С. 134–137.</w:t>
      </w:r>
    </w:p>
    <w:p w14:paraId="23AA4E03" w14:textId="77777777" w:rsidR="00C1357F" w:rsidRPr="00511005" w:rsidRDefault="00C1357F" w:rsidP="003A292D">
      <w:pPr>
        <w:pBdr>
          <w:top w:val="nil"/>
          <w:left w:val="nil"/>
          <w:bottom w:val="nil"/>
          <w:right w:val="nil"/>
          <w:between w:val="nil"/>
        </w:pBd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5. Грицай Н. І. Інститут пробації як складова системи виконання кримінальних покарань // Форум права, 2020. № 2. С. 71–76.</w:t>
      </w:r>
    </w:p>
    <w:p w14:paraId="577F9D02" w14:textId="77777777" w:rsidR="00C1357F" w:rsidRPr="00511005" w:rsidRDefault="00C1357F" w:rsidP="003A292D">
      <w:pPr>
        <w:spacing w:line="264" w:lineRule="auto"/>
        <w:ind w:firstLine="0"/>
        <w:rPr>
          <w:rFonts w:ascii="Arial" w:eastAsia="Times New Roman" w:hAnsi="Arial" w:cs="Arial"/>
          <w:b/>
          <w:szCs w:val="28"/>
          <w:lang w:val="uk-UA"/>
        </w:rPr>
      </w:pPr>
    </w:p>
    <w:p w14:paraId="55B74059" w14:textId="595087D2"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C1357F" w:rsidRPr="00511005">
        <w:rPr>
          <w:rFonts w:ascii="Arial" w:eastAsia="Times New Roman" w:hAnsi="Arial" w:cs="Arial"/>
          <w:szCs w:val="28"/>
          <w:lang w:val="uk-UA"/>
        </w:rPr>
        <w:t>пробація, ресоціалізація, кримінальне правопорушення, досудова доповідь, рецидив.</w:t>
      </w:r>
    </w:p>
    <w:p w14:paraId="722C8260" w14:textId="265D092F" w:rsidR="00C1357F" w:rsidRPr="00511005" w:rsidRDefault="007B2628" w:rsidP="003A292D">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C1357F" w:rsidRPr="00511005">
        <w:rPr>
          <w:rFonts w:ascii="Arial" w:eastAsia="Times New Roman" w:hAnsi="Arial" w:cs="Arial"/>
          <w:szCs w:val="28"/>
          <w:lang w:val="uk-UA"/>
        </w:rPr>
        <w:t>probation, resocialization, criminal offense, pre-trial report, recidivism.</w:t>
      </w:r>
    </w:p>
    <w:p w14:paraId="30929A3B" w14:textId="1AE15089" w:rsidR="00C1357F" w:rsidRPr="00511005" w:rsidRDefault="007B2628" w:rsidP="003A292D">
      <w:pPr>
        <w:spacing w:line="264" w:lineRule="auto"/>
        <w:ind w:firstLine="0"/>
        <w:rPr>
          <w:rFonts w:ascii="Arial" w:eastAsia="Times New Roman" w:hAnsi="Arial" w:cs="Arial"/>
          <w:i/>
          <w:szCs w:val="28"/>
          <w:lang w:val="uk-UA"/>
        </w:rPr>
      </w:pPr>
      <w:r w:rsidRPr="00511005">
        <w:rPr>
          <w:rFonts w:ascii="Arial" w:eastAsia="Times New Roman" w:hAnsi="Arial" w:cs="Arial"/>
          <w:b/>
          <w:i/>
          <w:szCs w:val="28"/>
          <w:lang w:val="uk-UA"/>
        </w:rPr>
        <w:lastRenderedPageBreak/>
        <w:t xml:space="preserve">Науковий керівник: </w:t>
      </w:r>
      <w:r w:rsidR="00C1357F" w:rsidRPr="00511005">
        <w:rPr>
          <w:rFonts w:ascii="Arial" w:eastAsia="Times New Roman" w:hAnsi="Arial" w:cs="Arial"/>
          <w:i/>
          <w:szCs w:val="28"/>
          <w:lang w:val="uk-UA"/>
        </w:rPr>
        <w:t>асистентка кафедри Лукащук К. Р.</w:t>
      </w:r>
    </w:p>
    <w:p w14:paraId="03339EEE" w14:textId="77777777" w:rsidR="00C1357F" w:rsidRPr="00511005" w:rsidRDefault="00C1357F" w:rsidP="003A292D">
      <w:pPr>
        <w:spacing w:line="264" w:lineRule="auto"/>
        <w:ind w:firstLine="0"/>
        <w:rPr>
          <w:rFonts w:ascii="Arial" w:eastAsia="Times New Roman" w:hAnsi="Arial" w:cs="Arial"/>
          <w:szCs w:val="28"/>
          <w:lang w:val="uk-UA"/>
        </w:rPr>
      </w:pPr>
    </w:p>
    <w:p w14:paraId="6E64CD9A" w14:textId="77777777" w:rsidR="00C1357F" w:rsidRPr="00511005" w:rsidRDefault="00C1357F" w:rsidP="003A292D">
      <w:pPr>
        <w:spacing w:line="264" w:lineRule="auto"/>
        <w:ind w:firstLine="0"/>
        <w:rPr>
          <w:rFonts w:ascii="Arial" w:eastAsia="Times New Roman" w:hAnsi="Arial" w:cs="Arial"/>
          <w:szCs w:val="28"/>
          <w:lang w:val="uk-UA"/>
        </w:rPr>
      </w:pPr>
    </w:p>
    <w:p w14:paraId="2C306F2E" w14:textId="77777777" w:rsidR="00C1357F" w:rsidRPr="00511005" w:rsidRDefault="00C1357F" w:rsidP="003A292D">
      <w:pPr>
        <w:spacing w:line="264" w:lineRule="auto"/>
        <w:ind w:right="1134" w:firstLine="0"/>
        <w:jc w:val="center"/>
        <w:rPr>
          <w:rFonts w:ascii="Arial" w:eastAsia="Calibri" w:hAnsi="Arial" w:cs="Arial"/>
          <w:b/>
          <w:i/>
          <w:szCs w:val="28"/>
          <w:lang w:val="uk-UA"/>
        </w:rPr>
      </w:pPr>
      <w:r w:rsidRPr="00511005">
        <w:rPr>
          <w:rFonts w:ascii="Arial" w:eastAsia="Calibri" w:hAnsi="Arial" w:cs="Arial"/>
          <w:b/>
          <w:i/>
          <w:szCs w:val="28"/>
          <w:lang w:val="uk-UA"/>
        </w:rPr>
        <w:t>Черняк Андрій Юрійович</w:t>
      </w:r>
    </w:p>
    <w:p w14:paraId="4CCDF5F1" w14:textId="7F29C578" w:rsidR="00550C73" w:rsidRPr="00511005" w:rsidRDefault="00536AAB"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3-го курсу </w:t>
      </w:r>
    </w:p>
    <w:p w14:paraId="1460E9A2" w14:textId="77777777" w:rsidR="00550C73" w:rsidRPr="00511005" w:rsidRDefault="00550C73" w:rsidP="00550C73">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4EF9F7A" w14:textId="77777777" w:rsidR="00550C73" w:rsidRPr="00511005" w:rsidRDefault="00550C73" w:rsidP="00550C73">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6EB58AB" w14:textId="77777777" w:rsidR="00C1357F" w:rsidRPr="00511005" w:rsidRDefault="00C1357F" w:rsidP="003A292D">
      <w:pPr>
        <w:spacing w:line="264" w:lineRule="auto"/>
        <w:ind w:firstLine="0"/>
        <w:jc w:val="center"/>
        <w:rPr>
          <w:rFonts w:ascii="Arial" w:eastAsia="Calibri" w:hAnsi="Arial" w:cs="Arial"/>
          <w:bCs/>
          <w:i/>
          <w:szCs w:val="28"/>
          <w:lang w:val="uk-UA"/>
        </w:rPr>
      </w:pPr>
    </w:p>
    <w:p w14:paraId="1DB57F60" w14:textId="77777777" w:rsidR="00C1357F" w:rsidRPr="00511005" w:rsidRDefault="00C1357F" w:rsidP="003A292D">
      <w:pPr>
        <w:spacing w:line="264" w:lineRule="auto"/>
        <w:ind w:firstLine="0"/>
        <w:jc w:val="center"/>
        <w:rPr>
          <w:rFonts w:ascii="Arial" w:eastAsia="Calibri" w:hAnsi="Arial" w:cs="Arial"/>
          <w:b/>
          <w:iCs/>
          <w:szCs w:val="28"/>
          <w:lang w:val="uk-UA"/>
        </w:rPr>
      </w:pPr>
      <w:r w:rsidRPr="00511005">
        <w:rPr>
          <w:rFonts w:ascii="Arial" w:eastAsia="Calibri" w:hAnsi="Arial" w:cs="Arial"/>
          <w:b/>
          <w:iCs/>
          <w:szCs w:val="28"/>
          <w:lang w:val="uk-UA"/>
        </w:rPr>
        <w:t>КРИМІНОЛОГІЧНА ХАРАКТЕРИСТИКА ОСОБИ КОНТРАБАНДИСТА</w:t>
      </w:r>
    </w:p>
    <w:p w14:paraId="56E444E3" w14:textId="77777777" w:rsidR="00C1357F" w:rsidRPr="00511005" w:rsidRDefault="00C1357F" w:rsidP="003A292D">
      <w:pPr>
        <w:spacing w:line="264" w:lineRule="auto"/>
        <w:ind w:firstLine="0"/>
        <w:rPr>
          <w:rFonts w:ascii="Arial" w:eastAsia="Calibri" w:hAnsi="Arial" w:cs="Arial"/>
          <w:bCs/>
          <w:iCs/>
          <w:szCs w:val="28"/>
          <w:lang w:val="uk-UA"/>
        </w:rPr>
      </w:pPr>
      <w:r w:rsidRPr="00511005">
        <w:rPr>
          <w:rFonts w:ascii="Arial" w:eastAsia="Calibri" w:hAnsi="Arial" w:cs="Arial"/>
          <w:bCs/>
          <w:iCs/>
          <w:szCs w:val="28"/>
          <w:lang w:val="uk-UA"/>
        </w:rPr>
        <w:t>Сучасний світ стрімко змінюється і з кожним роком рівень інтелектуального розвитку населення невпинно зростає. Відкритий доступ до інноваційних техлонологій та освітніх ресурсів сприяє підвищенню рівня обізнаності та винахідливості людей. Однак цей процес несе за собою не тільки позитивні, а й негативні наслідки, зокрема зростання кримінальних правопорушень у сфері господарської діяльності. Одним із проявів цього є контрабанда, для якої особи, що вчиняють такі злочини, вигадують все нові й витонченіші методи. Саме це й зумовлює актуальність досліджуваної теми.</w:t>
      </w:r>
    </w:p>
    <w:p w14:paraId="0E33AF74" w14:textId="77777777" w:rsidR="00C1357F" w:rsidRPr="00511005" w:rsidRDefault="00C1357F" w:rsidP="003A292D">
      <w:pPr>
        <w:spacing w:line="264" w:lineRule="auto"/>
        <w:ind w:firstLine="0"/>
        <w:rPr>
          <w:rFonts w:ascii="Arial" w:eastAsia="Calibri" w:hAnsi="Arial" w:cs="Arial"/>
          <w:bCs/>
          <w:iCs/>
          <w:szCs w:val="28"/>
          <w:lang w:val="uk-UA"/>
        </w:rPr>
      </w:pPr>
      <w:r w:rsidRPr="00511005">
        <w:rPr>
          <w:rFonts w:ascii="Arial" w:eastAsia="Calibri" w:hAnsi="Arial" w:cs="Arial"/>
          <w:bCs/>
          <w:iCs/>
          <w:szCs w:val="28"/>
          <w:lang w:val="uk-UA"/>
        </w:rPr>
        <w:t xml:space="preserve">Перед тим як почати безпосередньо досліджувати особу злочинця-контрабандиста, спершу потрібно визначити саму сутність контрабанди. </w:t>
      </w:r>
    </w:p>
    <w:p w14:paraId="6FDEB9B3" w14:textId="77777777" w:rsidR="00C1357F" w:rsidRPr="00511005" w:rsidRDefault="00C1357F" w:rsidP="003A292D">
      <w:pPr>
        <w:spacing w:line="264" w:lineRule="auto"/>
        <w:ind w:firstLine="0"/>
        <w:rPr>
          <w:rFonts w:ascii="Arial" w:eastAsia="Calibri" w:hAnsi="Arial" w:cs="Arial"/>
          <w:bCs/>
          <w:szCs w:val="28"/>
          <w:shd w:val="clear" w:color="auto" w:fill="FFFFFF"/>
          <w:lang w:val="uk-UA"/>
        </w:rPr>
      </w:pPr>
      <w:r w:rsidRPr="00511005">
        <w:rPr>
          <w:rFonts w:ascii="Arial" w:eastAsia="Calibri" w:hAnsi="Arial" w:cs="Arial"/>
          <w:bCs/>
          <w:iCs/>
          <w:szCs w:val="28"/>
          <w:lang w:val="uk-UA"/>
        </w:rPr>
        <w:t>Поняття контрабанди знайшло своє відображення в чинному Кримінальному кодексі України, і воно полягає в</w:t>
      </w:r>
      <w:r w:rsidRPr="00511005">
        <w:rPr>
          <w:rFonts w:ascii="Arial" w:eastAsia="Calibri" w:hAnsi="Arial" w:cs="Arial"/>
          <w:b/>
          <w:szCs w:val="28"/>
          <w:shd w:val="clear" w:color="auto" w:fill="FFFFFF"/>
          <w:lang w:val="uk-UA"/>
        </w:rPr>
        <w:t xml:space="preserve"> </w:t>
      </w:r>
      <w:r w:rsidRPr="00511005">
        <w:rPr>
          <w:rFonts w:ascii="Arial" w:eastAsia="Calibri" w:hAnsi="Arial" w:cs="Arial"/>
          <w:bCs/>
          <w:szCs w:val="28"/>
          <w:shd w:val="clear" w:color="auto" w:fill="FFFFFF"/>
          <w:lang w:val="uk-UA"/>
        </w:rPr>
        <w:t>переміщенні через митний кордон України поза митним контролем або з приховуванням від митного контролю предметів, які зазначені в статтях 201, 201-1, 201-3, 201-4, 305 цього кодексу [1]</w:t>
      </w:r>
      <w:r w:rsidRPr="00511005">
        <w:rPr>
          <w:rFonts w:ascii="Arial" w:eastAsia="Calibri" w:hAnsi="Arial" w:cs="Arial"/>
          <w:bCs/>
          <w:szCs w:val="28"/>
          <w:shd w:val="clear" w:color="auto" w:fill="FFFFFF"/>
        </w:rPr>
        <w:t>. До них належать: культ</w:t>
      </w:r>
      <w:r w:rsidRPr="00511005">
        <w:rPr>
          <w:rFonts w:ascii="Arial" w:eastAsia="Calibri" w:hAnsi="Arial" w:cs="Arial"/>
          <w:bCs/>
          <w:szCs w:val="28"/>
          <w:shd w:val="clear" w:color="auto" w:fill="FFFFFF"/>
          <w:lang w:val="uk-UA"/>
        </w:rPr>
        <w:t>урні цінності, сильнодіючі, отруйні чи вибухові речовини, зброя, боєприпаси, лісоматеріали та рідкісні породи дерев, підакцизні товари, наркотичні засоби, психотропні речовини, їх аналоги чи прекурсори, фальсифіковані лікарські засоби, а також інші товари (за винятком підакцизних і електричної енергії).</w:t>
      </w:r>
    </w:p>
    <w:p w14:paraId="4E86E995" w14:textId="77777777" w:rsidR="00C1357F" w:rsidRPr="00511005" w:rsidRDefault="00C1357F" w:rsidP="003A292D">
      <w:pPr>
        <w:spacing w:line="264" w:lineRule="auto"/>
        <w:ind w:firstLine="0"/>
        <w:rPr>
          <w:rFonts w:ascii="Arial" w:eastAsia="Calibri" w:hAnsi="Arial" w:cs="Arial"/>
          <w:bCs/>
          <w:szCs w:val="28"/>
          <w:shd w:val="clear" w:color="auto" w:fill="FFFFFF"/>
        </w:rPr>
      </w:pPr>
      <w:r w:rsidRPr="00511005">
        <w:rPr>
          <w:rFonts w:ascii="Arial" w:eastAsia="Calibri" w:hAnsi="Arial" w:cs="Arial"/>
          <w:bCs/>
          <w:iCs/>
          <w:szCs w:val="28"/>
          <w:lang w:val="uk-UA"/>
        </w:rPr>
        <w:t>Для того, щоб з’ясувати кримінологічний портрет особи контрабандиста, потрібно звернутися до відповідних кримінологічних групових ознак</w:t>
      </w:r>
      <w:r w:rsidRPr="00511005">
        <w:rPr>
          <w:rFonts w:ascii="Arial" w:eastAsia="Calibri" w:hAnsi="Arial" w:cs="Arial"/>
          <w:bCs/>
          <w:iCs/>
          <w:szCs w:val="28"/>
        </w:rPr>
        <w:t xml:space="preserve"> [2, с. 167].</w:t>
      </w:r>
    </w:p>
    <w:p w14:paraId="28BBE627" w14:textId="77777777" w:rsidR="00C1357F" w:rsidRPr="00511005" w:rsidRDefault="00C1357F" w:rsidP="003A292D">
      <w:pPr>
        <w:spacing w:line="264" w:lineRule="auto"/>
        <w:ind w:firstLine="0"/>
        <w:rPr>
          <w:rFonts w:ascii="Arial" w:eastAsia="Calibri" w:hAnsi="Arial" w:cs="Arial"/>
          <w:bCs/>
          <w:iCs/>
          <w:szCs w:val="28"/>
          <w:lang w:val="uk-UA"/>
        </w:rPr>
      </w:pPr>
      <w:r w:rsidRPr="00511005">
        <w:rPr>
          <w:rFonts w:ascii="Arial" w:eastAsia="Calibri" w:hAnsi="Arial" w:cs="Arial"/>
          <w:bCs/>
          <w:iCs/>
          <w:szCs w:val="28"/>
          <w:lang w:val="uk-UA"/>
        </w:rPr>
        <w:t>Першими доцільно розглядати саме соціально-демографічні ознаки, оскільки саме вони формують загальне уявлення про особу злочинця та дозволяють виявити базові фактори, що вплинули на її життєвий шлях. До них традиційно належать ознаки, які визначають соціальну приналежність особи, її місце в соціумі. Найчастіше серед таких ознак виокремлюють вік, стать, громадянство, рівень освіти та професійну належність.</w:t>
      </w:r>
    </w:p>
    <w:p w14:paraId="4B7924A8" w14:textId="77777777" w:rsidR="00C1357F" w:rsidRPr="00511005" w:rsidRDefault="00C1357F" w:rsidP="003A292D">
      <w:pPr>
        <w:spacing w:line="264" w:lineRule="auto"/>
        <w:ind w:firstLine="0"/>
        <w:rPr>
          <w:rFonts w:ascii="Arial" w:eastAsia="Calibri" w:hAnsi="Arial" w:cs="Arial"/>
          <w:bCs/>
          <w:iCs/>
          <w:szCs w:val="28"/>
          <w:lang w:val="uk-UA"/>
        </w:rPr>
      </w:pPr>
      <w:r w:rsidRPr="00511005">
        <w:rPr>
          <w:rFonts w:ascii="Arial" w:eastAsia="Calibri" w:hAnsi="Arial" w:cs="Arial"/>
          <w:bCs/>
          <w:iCs/>
          <w:szCs w:val="28"/>
          <w:lang w:val="uk-UA"/>
        </w:rPr>
        <w:t xml:space="preserve">Наступною кримінологічною групою, на основі якої вибудовується портрет особи, є соціально-рольові ознаки. Вони відображають функції, які виконує особа відповідно до свого положення в системі суспільних відносин. У межах цієї категорії з’ясовується належність людини до певної соціальної групи, її взаємодія з іншими членами суспільства, а також з державними та </w:t>
      </w:r>
      <w:r w:rsidRPr="00511005">
        <w:rPr>
          <w:rFonts w:ascii="Arial" w:eastAsia="Calibri" w:hAnsi="Arial" w:cs="Arial"/>
          <w:bCs/>
          <w:iCs/>
          <w:szCs w:val="28"/>
          <w:lang w:val="uk-UA"/>
        </w:rPr>
        <w:lastRenderedPageBreak/>
        <w:t>недержавними установами в різних сферах громадського життя, Такий аналіз дозволяє встановити, яке саме місце особа посідає у суспільстві, які соціальні ролі вона приймає або ігнорує, що, в свою чергу дає змогу оцінити її соціальну чи антисоціальну спрямованість. Серед таких ознак визначають: чи є особа робітником чи службовцем, рядовим виконавцем чи керівником, неодруженою чи главою сім’ї, працездатною чи ні, безробітною.</w:t>
      </w:r>
    </w:p>
    <w:p w14:paraId="01802D9B" w14:textId="77777777" w:rsidR="00C1357F" w:rsidRPr="00511005" w:rsidRDefault="00C1357F" w:rsidP="003A292D">
      <w:pPr>
        <w:spacing w:line="264" w:lineRule="auto"/>
        <w:ind w:firstLine="0"/>
        <w:rPr>
          <w:rFonts w:ascii="Arial" w:eastAsia="Calibri" w:hAnsi="Arial" w:cs="Arial"/>
          <w:bCs/>
          <w:iCs/>
          <w:szCs w:val="28"/>
          <w:lang w:val="uk-UA"/>
        </w:rPr>
      </w:pPr>
      <w:bookmarkStart w:id="269" w:name="_Hlk195971621"/>
      <w:r w:rsidRPr="00511005">
        <w:rPr>
          <w:rFonts w:ascii="Arial" w:eastAsia="Calibri" w:hAnsi="Arial" w:cs="Arial"/>
          <w:bCs/>
          <w:iCs/>
          <w:szCs w:val="28"/>
          <w:lang w:val="uk-UA"/>
        </w:rPr>
        <w:t>У подальшому вивчаються психологічні ознаки злочинця, до яких належать інтелектуальні, емоційні та вольові характеристики. Інтелектуальні риси охоплюють рівень розумового розвитку особи, її обсяг знань, життєвий досвід, а також зміст і широту інтересів. Емоційні властивості відображають особливості нервової діяльності, рівень емоційної збудливості, здатність контролювати власні емоції, силу та швидкість реакції на зовнішні подразники. Вольові якості проявляються у вмінні свідомо регулювати власну поведінку, приймати та реалізовувати рішення, а також у здатності наполегливо досягати поставлених цілей.</w:t>
      </w:r>
    </w:p>
    <w:p w14:paraId="2D624E5B" w14:textId="77777777" w:rsidR="00C1357F" w:rsidRPr="00511005" w:rsidRDefault="00C1357F" w:rsidP="003A292D">
      <w:pPr>
        <w:spacing w:line="264" w:lineRule="auto"/>
        <w:ind w:firstLine="0"/>
        <w:rPr>
          <w:rFonts w:ascii="Arial" w:eastAsia="Calibri" w:hAnsi="Arial" w:cs="Arial"/>
          <w:bCs/>
          <w:iCs/>
          <w:szCs w:val="28"/>
        </w:rPr>
      </w:pPr>
      <w:r w:rsidRPr="00511005">
        <w:rPr>
          <w:rFonts w:ascii="Arial" w:eastAsia="Calibri" w:hAnsi="Arial" w:cs="Arial"/>
          <w:bCs/>
          <w:iCs/>
          <w:szCs w:val="28"/>
          <w:lang w:val="uk-UA"/>
        </w:rPr>
        <w:t xml:space="preserve">Завершальний блок складають кримінально-правові ознаки. Дані ознаки характеризують і розкривають для нас особу з точки зору її ставлення до вчиненого нею злочину зокрема та злочинної поведінки взагалі, а також визначають той стан, у якому особа здебільшого реалізує свій злочин. До них відносять кваліфікацію характерного злочинного прояву особи відповідно до Кримінального кодексу України чи діє вона у складі групи чи як один чи вчинює злочини під впливом алкогольних речовин чи вчиняла раніше злочини </w:t>
      </w:r>
      <w:r w:rsidRPr="00511005">
        <w:rPr>
          <w:rFonts w:ascii="Arial" w:eastAsia="Calibri" w:hAnsi="Arial" w:cs="Arial"/>
          <w:bCs/>
          <w:iCs/>
          <w:szCs w:val="28"/>
        </w:rPr>
        <w:t>[2, с. 168].</w:t>
      </w:r>
    </w:p>
    <w:bookmarkEnd w:id="269"/>
    <w:p w14:paraId="2F64B1A2"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 xml:space="preserve">Дослідження особи контрабандиста доцільно будувати на основі вищезазначених кримінологічних ознаках, оскільки вони всебічно розкривають характер злочинця. Завдяки їхній комплексності вони </w:t>
      </w:r>
      <w:r w:rsidRPr="00511005">
        <w:rPr>
          <w:rFonts w:ascii="Arial" w:eastAsia="Calibri" w:hAnsi="Arial" w:cs="Arial"/>
          <w:bCs/>
          <w:iCs/>
          <w:szCs w:val="28"/>
          <w:lang w:val="uk-UA"/>
        </w:rPr>
        <w:t>допомогають правоохоронним органам створювати типові портрети контрабандистів, що у свою чергу, сприяє ефективнішому виявленню, документуванню та затриманню правопорушників, також за допомогою їх</w:t>
      </w:r>
      <w:r w:rsidRPr="00511005">
        <w:rPr>
          <w:rFonts w:ascii="Arial" w:eastAsia="Calibri" w:hAnsi="Arial" w:cs="Arial"/>
          <w:bCs/>
          <w:szCs w:val="28"/>
          <w:lang w:val="uk-UA"/>
        </w:rPr>
        <w:t xml:space="preserve"> виявляють чинники, що вплинули на формування особистості правопорушника, а отже в подальшому застосувати ефективні заходи запобіжного впливу для запобігання контрабандистської діяльності.</w:t>
      </w:r>
    </w:p>
    <w:p w14:paraId="44FF5826"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Щодо самого суб’єкта досліджуваного злочину, ним є осудна фізична особа, яка досягла віку кримінальної відповідальності, а саме 16-ти років. Окремо варто зазначити, що відповідальність за контрабанду може нести і особа, яка користується правом дипломатичного імунітету.</w:t>
      </w:r>
    </w:p>
    <w:p w14:paraId="12E58628"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Узагальнення практики з цього питання показує, що контрабанда належить до розряду «чоловічих кримінальних правопорушень», оскільки переважна їх кількість вчиняється чоловіками (71.8%) [</w:t>
      </w:r>
      <w:r w:rsidRPr="00511005">
        <w:rPr>
          <w:rFonts w:ascii="Arial" w:eastAsia="Calibri" w:hAnsi="Arial" w:cs="Arial"/>
          <w:bCs/>
          <w:szCs w:val="28"/>
        </w:rPr>
        <w:t>4</w:t>
      </w:r>
      <w:r w:rsidRPr="00511005">
        <w:rPr>
          <w:rFonts w:ascii="Arial" w:eastAsia="Calibri" w:hAnsi="Arial" w:cs="Arial"/>
          <w:bCs/>
          <w:szCs w:val="28"/>
          <w:lang w:val="uk-UA"/>
        </w:rPr>
        <w:t>, c. 230].</w:t>
      </w:r>
    </w:p>
    <w:p w14:paraId="0A586E52"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Інші 28.2% припадають на осіб жіночої статі, проте останнім часом спостерігається тенденція до зростання саме контрабанди за що може бути пов’язано зі змінами в соціумі.</w:t>
      </w:r>
    </w:p>
    <w:p w14:paraId="7D8D05B2"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lastRenderedPageBreak/>
        <w:t>Аналіз матеріалів судових рішень, зокрема вироків за фактами контрабанди з Єдиного державного реєстру судових рішень, до прикладу, можна привести деякі з них: Жовківський районний суд Львівської області від 04 липня 2024 року у справі № 444/2084/24 (провадження № 1-кп/444/258/2024), Фастівського міськрайонного суду Київської області від 22 травня 2023 року у справі № 1-кп/381/350/23 (провадження №381/1846/23) показує, що найчастіше жінки здійснюють контрабанду ювелірних виробів та наркотиків, приховуючи їх від митного контролю у важкодоступних місцях, таких як статеві органи, нижня білизна, сумочки, прикраси для волосся, одяг та взуття. Водночас випадки контрабанди зброї, боєприпасів або використання спеціально виготовлених тайників серед жінок зустрічаються вкрай рідко, це більш притаманно чоловікам.</w:t>
      </w:r>
    </w:p>
    <w:p w14:paraId="26206990"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 xml:space="preserve">Середньостатистична жінка-контрабандистка належить до середньої вікової групи, тобто не старше 40 років, громадянки України. Водночас під час дослідження не було зафіксовано жодної засудженої особи, яка не досягла 18- річного віку. Як правило, такі жінки не мали вищої освіти, а більшість мали лише середню. Вони були заміжні або розлучені та мали неповнолітніх або малолітніх дітей, що суди часто враховували як пом’якшувальну обставину, звільняючи їх від відбування покарання з випробуванням на підставі статті 75 КК України та покладали на них певні обов’язки передбачені статтею 76 КК України. </w:t>
      </w:r>
    </w:p>
    <w:p w14:paraId="447E825E" w14:textId="77777777" w:rsidR="00C1357F" w:rsidRPr="00511005" w:rsidRDefault="00C1357F" w:rsidP="003A292D">
      <w:pPr>
        <w:spacing w:line="264" w:lineRule="auto"/>
        <w:ind w:firstLine="0"/>
        <w:rPr>
          <w:rFonts w:ascii="Arial" w:eastAsia="Calibri" w:hAnsi="Arial" w:cs="Arial"/>
          <w:bCs/>
          <w:szCs w:val="28"/>
        </w:rPr>
      </w:pPr>
      <w:r w:rsidRPr="00511005">
        <w:rPr>
          <w:rFonts w:ascii="Arial" w:eastAsia="Calibri" w:hAnsi="Arial" w:cs="Arial"/>
          <w:bCs/>
          <w:szCs w:val="28"/>
          <w:lang w:val="uk-UA"/>
        </w:rPr>
        <w:t>На момент вчинення кримінального правопорушення ці особи зазвичай не мали офіційного місця працевлаштування. Більшість проживали як у малих, так і у великих містах</w:t>
      </w:r>
      <w:r w:rsidRPr="00511005">
        <w:rPr>
          <w:rFonts w:ascii="Arial" w:eastAsia="Calibri" w:hAnsi="Arial" w:cs="Arial"/>
          <w:bCs/>
          <w:szCs w:val="28"/>
        </w:rPr>
        <w:t>.</w:t>
      </w:r>
    </w:p>
    <w:p w14:paraId="445C2DCF"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Також варто зазначити, що під час проходження митного контролю жінки виглядали привабливо та були добре одягнені, проте часто демонстрували знервованість, дратівливість і невпевненість у своїх відповідях [</w:t>
      </w:r>
      <w:r w:rsidRPr="00511005">
        <w:rPr>
          <w:rFonts w:ascii="Arial" w:eastAsia="Calibri" w:hAnsi="Arial" w:cs="Arial"/>
          <w:bCs/>
          <w:szCs w:val="28"/>
        </w:rPr>
        <w:t>3, с. 420</w:t>
      </w:r>
      <w:r w:rsidRPr="00511005">
        <w:rPr>
          <w:rFonts w:ascii="Arial" w:eastAsia="Calibri" w:hAnsi="Arial" w:cs="Arial"/>
          <w:bCs/>
          <w:szCs w:val="28"/>
          <w:lang w:val="uk-UA"/>
        </w:rPr>
        <w:t>]</w:t>
      </w:r>
      <w:r w:rsidRPr="00511005">
        <w:rPr>
          <w:rFonts w:ascii="Arial" w:eastAsia="Calibri" w:hAnsi="Arial" w:cs="Arial"/>
          <w:bCs/>
          <w:szCs w:val="28"/>
        </w:rPr>
        <w:t>.</w:t>
      </w:r>
      <w:r w:rsidRPr="00511005">
        <w:rPr>
          <w:rFonts w:ascii="Arial" w:eastAsia="Calibri" w:hAnsi="Arial" w:cs="Arial"/>
          <w:bCs/>
          <w:szCs w:val="28"/>
          <w:lang w:val="uk-UA"/>
        </w:rPr>
        <w:t xml:space="preserve"> Як наслідок, їм не вдавалося чітко вибудовувати правдоподібну легенду, що привертало увагу правоохоронців та митників.</w:t>
      </w:r>
    </w:p>
    <w:p w14:paraId="1F5639FD" w14:textId="1F2DCDCC"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Знову ж таки продовжуючи аналіз вироків з ЄДРСР щодо осіб чоловічої статі, які займаються контрабандою, як приклад можна привести вироки: Київського районного суду міста Полтави від 12 червня 2024 року у справі №</w:t>
      </w:r>
      <w:r w:rsidRPr="00511005">
        <w:rPr>
          <w:rFonts w:ascii="Arial" w:eastAsia="Calibri" w:hAnsi="Arial" w:cs="Arial"/>
          <w:b/>
          <w:szCs w:val="28"/>
          <w:lang w:val="uk-UA"/>
        </w:rPr>
        <w:t xml:space="preserve"> </w:t>
      </w:r>
      <w:r w:rsidRPr="00511005">
        <w:rPr>
          <w:rFonts w:ascii="Arial" w:eastAsia="Calibri" w:hAnsi="Arial" w:cs="Arial"/>
          <w:bCs/>
          <w:szCs w:val="28"/>
          <w:lang w:val="uk-UA"/>
        </w:rPr>
        <w:t>552/3247/24 (провадження № 1-кп/552/795/24), Зміївського районного суду Харківської області від 17 квітня 2025 року у справі № 621/664/25 (провадження</w:t>
      </w:r>
      <w:r w:rsidR="007B2628" w:rsidRPr="00511005">
        <w:rPr>
          <w:rFonts w:ascii="Arial" w:eastAsia="Calibri" w:hAnsi="Arial" w:cs="Arial"/>
          <w:bCs/>
          <w:szCs w:val="28"/>
          <w:lang w:val="uk-UA"/>
        </w:rPr>
        <w:t xml:space="preserve"> </w:t>
      </w:r>
      <w:r w:rsidRPr="00511005">
        <w:rPr>
          <w:rFonts w:ascii="Arial" w:eastAsia="Calibri" w:hAnsi="Arial" w:cs="Arial"/>
          <w:bCs/>
          <w:szCs w:val="28"/>
          <w:lang w:val="uk-UA"/>
        </w:rPr>
        <w:t xml:space="preserve">1-кп/621/185/25) можна зробити висновок, що вони належать до середньо вікової групи та, як правило, не старші 45 років, громадяни України, мали середню або професійно-технічну освіту. Більшість цих чоловіків були розлученими або неодруженими, мали неповнолітніх дітей. Однак суди рідко враховували цей факт як пом’якшувальну обставину, оскільки більшість з них не брали участь у вихованні чи забезпеченні своїх дітей. На момент вчинення злочину вони офіційно не працювали, й шукали можливості для швидкого заробітку. Кількість чоловіків-контрабандистів у </w:t>
      </w:r>
      <w:r w:rsidRPr="00511005">
        <w:rPr>
          <w:rFonts w:ascii="Arial" w:eastAsia="Calibri" w:hAnsi="Arial" w:cs="Arial"/>
          <w:bCs/>
          <w:szCs w:val="28"/>
          <w:lang w:val="uk-UA"/>
        </w:rPr>
        <w:lastRenderedPageBreak/>
        <w:t>сучасних умовах зменшується, що пов’язане з воєнним станом і неможливістю легального виїзду за кордон.</w:t>
      </w:r>
    </w:p>
    <w:p w14:paraId="49FB65F1" w14:textId="77777777" w:rsidR="00C1357F" w:rsidRPr="00511005" w:rsidRDefault="00C1357F" w:rsidP="003A292D">
      <w:pPr>
        <w:spacing w:line="264" w:lineRule="auto"/>
        <w:ind w:firstLine="0"/>
        <w:rPr>
          <w:rFonts w:ascii="Arial" w:eastAsia="Calibri" w:hAnsi="Arial" w:cs="Arial"/>
          <w:bCs/>
          <w:szCs w:val="28"/>
        </w:rPr>
      </w:pPr>
      <w:r w:rsidRPr="00511005">
        <w:rPr>
          <w:rFonts w:ascii="Arial" w:eastAsia="Calibri" w:hAnsi="Arial" w:cs="Arial"/>
          <w:bCs/>
          <w:szCs w:val="28"/>
          <w:lang w:val="uk-UA"/>
        </w:rPr>
        <w:t>Також варто зазначити, що під час проходження митного кордону такі особи зазвичай проявляють певну комунікабельність, енергійність і готовність до ризику, вчиняючи контрабанду переважно з корисливою метою</w:t>
      </w:r>
      <w:r w:rsidRPr="00511005">
        <w:rPr>
          <w:rFonts w:ascii="Arial" w:eastAsia="Calibri" w:hAnsi="Arial" w:cs="Arial"/>
          <w:bCs/>
          <w:szCs w:val="28"/>
        </w:rPr>
        <w:t xml:space="preserve"> [3, с. 420].</w:t>
      </w:r>
      <w:r w:rsidRPr="00511005">
        <w:rPr>
          <w:rFonts w:ascii="Arial" w:eastAsia="Calibri" w:hAnsi="Arial" w:cs="Arial"/>
          <w:bCs/>
          <w:szCs w:val="28"/>
          <w:lang w:val="uk-UA"/>
        </w:rPr>
        <w:t xml:space="preserve"> На відміну від жінок при проходженні їм майже вдавалося приховати свої задуми, не викриваючи себе неприродною поведінкою.</w:t>
      </w:r>
    </w:p>
    <w:p w14:paraId="4C82AFE2"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bCs/>
          <w:szCs w:val="28"/>
          <w:lang w:val="uk-UA"/>
        </w:rPr>
        <w:t>Проведене дослідження дозволяє дійти до висновку, що, попри незначні відмінності між чоловіками та жінками-контрабандистами, їхня мотивація здебільшого збігається – це представники середньостатистичних верст населення, які перебувають у матеріальній скруті. Також варто зазначити, що держава не залишається осторонь цієї проблеми, а вживає комплексні заходи для її подолання. Зокрема, через створення Бюро економічної безпеки України, яке здійснює розслідування контрабанди за підслідністю. Підвищується кваліфікація працівників БЕБ, а також митників, які працюють у тісному взаєзв’язку. Активно продовжується розвиток цифрових технологій для виявлення нелегального переміщення преметів, як наслідок удосконалюється національне законодавство.</w:t>
      </w:r>
    </w:p>
    <w:p w14:paraId="4CA24911" w14:textId="77777777" w:rsidR="00C1357F" w:rsidRPr="00511005" w:rsidRDefault="00C1357F" w:rsidP="003A292D">
      <w:pPr>
        <w:spacing w:line="264" w:lineRule="auto"/>
        <w:ind w:firstLine="0"/>
        <w:rPr>
          <w:rFonts w:ascii="Arial" w:eastAsia="Calibri" w:hAnsi="Arial" w:cs="Arial"/>
          <w:bCs/>
          <w:szCs w:val="28"/>
          <w:lang w:val="uk-UA"/>
        </w:rPr>
      </w:pPr>
    </w:p>
    <w:p w14:paraId="08D9F476" w14:textId="7A26B0A4" w:rsidR="00C1357F"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2C83F9D5"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szCs w:val="28"/>
          <w:lang w:val="uk-UA"/>
        </w:rPr>
        <w:t>1.</w:t>
      </w:r>
      <w:r w:rsidRPr="00511005">
        <w:rPr>
          <w:rFonts w:ascii="Arial" w:eastAsia="Calibri" w:hAnsi="Arial" w:cs="Arial"/>
          <w:b/>
          <w:szCs w:val="28"/>
          <w:lang w:val="uk-UA"/>
        </w:rPr>
        <w:t xml:space="preserve"> </w:t>
      </w:r>
      <w:r w:rsidRPr="00511005">
        <w:rPr>
          <w:rFonts w:ascii="Arial" w:eastAsia="Calibri" w:hAnsi="Arial" w:cs="Arial"/>
          <w:bCs/>
          <w:szCs w:val="28"/>
          <w:lang w:val="uk-UA"/>
        </w:rPr>
        <w:t xml:space="preserve">Кримінальний кодекс України: Закон України від 05 квітня 2001 р. № 2341–III // відомості ВРУ, 2001. № 25–26. </w:t>
      </w:r>
      <w:r w:rsidRPr="00511005">
        <w:rPr>
          <w:rFonts w:ascii="Arial" w:eastAsia="Calibri" w:hAnsi="Arial" w:cs="Arial"/>
          <w:bCs/>
          <w:szCs w:val="28"/>
          <w:lang w:val="pl-PL"/>
        </w:rPr>
        <w:t>URL</w:t>
      </w:r>
      <w:r w:rsidRPr="00511005">
        <w:rPr>
          <w:rFonts w:ascii="Arial" w:eastAsia="Calibri" w:hAnsi="Arial" w:cs="Arial"/>
          <w:bCs/>
          <w:szCs w:val="28"/>
          <w:lang w:val="uk-UA"/>
        </w:rPr>
        <w:t xml:space="preserve">: </w:t>
      </w:r>
      <w:hyperlink r:id="rId2144" w:anchor="n2147" w:history="1">
        <w:r w:rsidRPr="00511005">
          <w:rPr>
            <w:rFonts w:ascii="Arial" w:eastAsia="Calibri" w:hAnsi="Arial" w:cs="Arial"/>
            <w:bCs/>
            <w:szCs w:val="28"/>
            <w:lang w:val="uk-UA"/>
          </w:rPr>
          <w:t>https://zakon.rada.gov.ua/laws/show/2341-14/conv#n2147</w:t>
        </w:r>
      </w:hyperlink>
      <w:r w:rsidRPr="00511005">
        <w:rPr>
          <w:rFonts w:ascii="Arial" w:eastAsia="Calibri" w:hAnsi="Arial" w:cs="Arial"/>
          <w:bCs/>
          <w:szCs w:val="28"/>
          <w:lang w:val="uk-UA"/>
        </w:rPr>
        <w:t>.</w:t>
      </w:r>
    </w:p>
    <w:p w14:paraId="5E14253D"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szCs w:val="28"/>
          <w:lang w:val="uk-UA"/>
        </w:rPr>
        <w:t>2.</w:t>
      </w:r>
      <w:r w:rsidRPr="00511005">
        <w:rPr>
          <w:rFonts w:ascii="Arial" w:eastAsia="Calibri" w:hAnsi="Arial" w:cs="Arial"/>
          <w:b/>
          <w:szCs w:val="28"/>
          <w:lang w:val="uk-UA"/>
        </w:rPr>
        <w:t xml:space="preserve"> </w:t>
      </w:r>
      <w:r w:rsidRPr="00511005">
        <w:rPr>
          <w:rFonts w:ascii="Arial" w:eastAsia="Calibri" w:hAnsi="Arial" w:cs="Arial"/>
          <w:bCs/>
          <w:szCs w:val="28"/>
          <w:lang w:val="uk-UA"/>
        </w:rPr>
        <w:t xml:space="preserve">Фіалка М.І., Кримінологічна характеристика та кримінологічний портрет особистості злочинця: сутність і співвідношення понять, вісник кримінологічної асоціації України, 2019, 162-171 с. </w:t>
      </w:r>
      <w:r w:rsidRPr="00511005">
        <w:rPr>
          <w:rFonts w:ascii="Arial" w:eastAsia="Calibri" w:hAnsi="Arial" w:cs="Arial"/>
          <w:bCs/>
          <w:szCs w:val="28"/>
          <w:lang w:val="en-US"/>
        </w:rPr>
        <w:t>URL</w:t>
      </w:r>
      <w:r w:rsidRPr="00511005">
        <w:rPr>
          <w:rFonts w:ascii="Arial" w:eastAsia="Calibri" w:hAnsi="Arial" w:cs="Arial"/>
          <w:bCs/>
          <w:szCs w:val="28"/>
          <w:lang w:val="uk-UA"/>
        </w:rPr>
        <w:t xml:space="preserve">: </w:t>
      </w:r>
      <w:hyperlink r:id="rId2145" w:history="1">
        <w:r w:rsidRPr="00511005">
          <w:rPr>
            <w:rFonts w:ascii="Arial" w:eastAsia="Calibri" w:hAnsi="Arial" w:cs="Arial"/>
            <w:bCs/>
            <w:szCs w:val="28"/>
            <w:lang w:val="uk-UA"/>
          </w:rPr>
          <w:t>https://dspace.univd.edu.ua/server/api/core/bitstreams/d50d39ac-2b50-40fd-95a9-6ef34c80b7b0/content</w:t>
        </w:r>
      </w:hyperlink>
      <w:r w:rsidRPr="00511005">
        <w:rPr>
          <w:rFonts w:ascii="Arial" w:eastAsia="Calibri" w:hAnsi="Arial" w:cs="Arial"/>
          <w:bCs/>
          <w:szCs w:val="28"/>
          <w:lang w:val="uk-UA"/>
        </w:rPr>
        <w:t>.</w:t>
      </w:r>
    </w:p>
    <w:p w14:paraId="45E56C3A"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szCs w:val="28"/>
        </w:rPr>
        <w:t>3.</w:t>
      </w:r>
      <w:r w:rsidRPr="00511005">
        <w:rPr>
          <w:rFonts w:ascii="Arial" w:eastAsia="Calibri" w:hAnsi="Arial" w:cs="Arial"/>
          <w:b/>
          <w:szCs w:val="28"/>
        </w:rPr>
        <w:t xml:space="preserve"> </w:t>
      </w:r>
      <w:r w:rsidRPr="00511005">
        <w:rPr>
          <w:rFonts w:ascii="Arial" w:eastAsia="Calibri" w:hAnsi="Arial" w:cs="Arial"/>
          <w:bCs/>
          <w:szCs w:val="28"/>
          <w:lang w:val="uk-UA"/>
        </w:rPr>
        <w:t xml:space="preserve">Криміналістична характеристика особи-контрабандиста, Осипенко І.П., Чумаченко В.Ю., 2023, </w:t>
      </w:r>
      <w:r w:rsidRPr="00511005">
        <w:rPr>
          <w:rFonts w:ascii="Arial" w:eastAsia="Calibri" w:hAnsi="Arial" w:cs="Arial"/>
          <w:bCs/>
          <w:i/>
          <w:szCs w:val="28"/>
          <w:lang w:val="uk-UA"/>
        </w:rPr>
        <w:t>Юридичний науковий електронний журнал</w:t>
      </w:r>
      <w:r w:rsidRPr="00511005">
        <w:rPr>
          <w:rFonts w:ascii="Arial" w:eastAsia="Calibri" w:hAnsi="Arial" w:cs="Arial"/>
          <w:bCs/>
          <w:szCs w:val="28"/>
          <w:lang w:val="uk-UA"/>
        </w:rPr>
        <w:t xml:space="preserve">. №3, 418-420 с. </w:t>
      </w:r>
      <w:r w:rsidRPr="00511005">
        <w:rPr>
          <w:rFonts w:ascii="Arial" w:eastAsia="Calibri" w:hAnsi="Arial" w:cs="Arial"/>
          <w:bCs/>
          <w:szCs w:val="28"/>
          <w:lang w:val="en-US"/>
        </w:rPr>
        <w:t>URL</w:t>
      </w:r>
      <w:r w:rsidRPr="00511005">
        <w:rPr>
          <w:rFonts w:ascii="Arial" w:eastAsia="Calibri" w:hAnsi="Arial" w:cs="Arial"/>
          <w:bCs/>
          <w:szCs w:val="28"/>
          <w:lang w:val="uk-UA"/>
        </w:rPr>
        <w:t xml:space="preserve">: </w:t>
      </w:r>
      <w:hyperlink r:id="rId2146" w:history="1">
        <w:r w:rsidRPr="00511005">
          <w:rPr>
            <w:rFonts w:ascii="Arial" w:eastAsia="Calibri" w:hAnsi="Arial" w:cs="Arial"/>
            <w:bCs/>
            <w:szCs w:val="28"/>
            <w:lang w:val="uk-UA"/>
          </w:rPr>
          <w:t>http://www.lsej.org.ua/3_2023/97.pdf</w:t>
        </w:r>
      </w:hyperlink>
      <w:r w:rsidRPr="00511005">
        <w:rPr>
          <w:rFonts w:ascii="Arial" w:eastAsia="Calibri" w:hAnsi="Arial" w:cs="Arial"/>
          <w:bCs/>
          <w:szCs w:val="28"/>
          <w:lang w:val="uk-UA"/>
        </w:rPr>
        <w:t>.</w:t>
      </w:r>
    </w:p>
    <w:p w14:paraId="0D75C976" w14:textId="77777777" w:rsidR="00C1357F" w:rsidRPr="00511005" w:rsidRDefault="00C1357F" w:rsidP="003A292D">
      <w:pPr>
        <w:spacing w:line="264" w:lineRule="auto"/>
        <w:ind w:firstLine="0"/>
        <w:rPr>
          <w:rFonts w:ascii="Arial" w:eastAsia="Calibri" w:hAnsi="Arial" w:cs="Arial"/>
          <w:bCs/>
          <w:szCs w:val="28"/>
          <w:lang w:val="uk-UA"/>
        </w:rPr>
      </w:pPr>
      <w:r w:rsidRPr="00511005">
        <w:rPr>
          <w:rFonts w:ascii="Arial" w:eastAsia="Calibri" w:hAnsi="Arial" w:cs="Arial"/>
          <w:szCs w:val="28"/>
        </w:rPr>
        <w:t>4</w:t>
      </w:r>
      <w:r w:rsidRPr="00511005">
        <w:rPr>
          <w:rFonts w:ascii="Arial" w:eastAsia="Calibri" w:hAnsi="Arial" w:cs="Arial"/>
          <w:szCs w:val="28"/>
          <w:lang w:val="uk-UA"/>
        </w:rPr>
        <w:t>.</w:t>
      </w:r>
      <w:r w:rsidRPr="00511005">
        <w:rPr>
          <w:rFonts w:ascii="Arial" w:eastAsia="Calibri" w:hAnsi="Arial" w:cs="Arial"/>
          <w:bCs/>
          <w:szCs w:val="28"/>
          <w:lang w:val="uk-UA"/>
        </w:rPr>
        <w:t xml:space="preserve"> Бишовець О. В., Погорецький М. А., Сергєєва Д. В Особливості розслідування контрабанди. Розслідування окремих видів злочинів: навч. посіб. Київ. </w:t>
      </w:r>
      <w:r w:rsidRPr="00511005">
        <w:rPr>
          <w:rFonts w:ascii="Arial" w:eastAsia="Calibri" w:hAnsi="Arial" w:cs="Arial"/>
          <w:bCs/>
          <w:i/>
          <w:szCs w:val="28"/>
          <w:lang w:val="uk-UA"/>
        </w:rPr>
        <w:t>Алерта</w:t>
      </w:r>
      <w:r w:rsidRPr="00511005">
        <w:rPr>
          <w:rFonts w:ascii="Arial" w:eastAsia="Calibri" w:hAnsi="Arial" w:cs="Arial"/>
          <w:bCs/>
          <w:szCs w:val="28"/>
          <w:lang w:val="uk-UA"/>
        </w:rPr>
        <w:t>, 2015. 228–246 с.</w:t>
      </w:r>
    </w:p>
    <w:p w14:paraId="7ABE65EB" w14:textId="77777777" w:rsidR="00C1357F" w:rsidRPr="00511005" w:rsidRDefault="00C1357F" w:rsidP="003A292D">
      <w:pPr>
        <w:spacing w:line="264" w:lineRule="auto"/>
        <w:ind w:firstLine="0"/>
        <w:rPr>
          <w:rFonts w:ascii="Arial" w:eastAsia="Calibri" w:hAnsi="Arial" w:cs="Arial"/>
          <w:b/>
          <w:szCs w:val="28"/>
          <w:lang w:val="uk-UA"/>
        </w:rPr>
      </w:pPr>
    </w:p>
    <w:p w14:paraId="7558CF18" w14:textId="5C33C189" w:rsidR="00C1357F" w:rsidRPr="00511005" w:rsidRDefault="007B2628" w:rsidP="003A292D">
      <w:pPr>
        <w:spacing w:line="264" w:lineRule="auto"/>
        <w:ind w:firstLine="0"/>
        <w:rPr>
          <w:rFonts w:ascii="Arial" w:eastAsia="Calibri" w:hAnsi="Arial" w:cs="Arial"/>
          <w:bCs/>
          <w:szCs w:val="28"/>
          <w:lang w:val="uk-UA"/>
        </w:rPr>
      </w:pPr>
      <w:r w:rsidRPr="00511005">
        <w:rPr>
          <w:rFonts w:ascii="Arial" w:eastAsia="Calibri" w:hAnsi="Arial" w:cs="Arial"/>
          <w:b/>
          <w:i/>
          <w:szCs w:val="28"/>
          <w:lang w:val="uk-UA"/>
        </w:rPr>
        <w:t xml:space="preserve">Ключові слова: </w:t>
      </w:r>
      <w:r w:rsidR="00C1357F" w:rsidRPr="00511005">
        <w:rPr>
          <w:rFonts w:ascii="Arial" w:eastAsia="Calibri" w:hAnsi="Arial" w:cs="Arial"/>
          <w:bCs/>
          <w:szCs w:val="28"/>
          <w:lang w:val="uk-UA"/>
        </w:rPr>
        <w:t>характеристика, особа, контрабанда, митний контроль.</w:t>
      </w:r>
    </w:p>
    <w:p w14:paraId="6B0DCD1E" w14:textId="65ABC476" w:rsidR="00C1357F"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en-US"/>
        </w:rPr>
        <w:t xml:space="preserve">Key words: </w:t>
      </w:r>
      <w:r w:rsidR="00C1357F" w:rsidRPr="00511005">
        <w:rPr>
          <w:rFonts w:ascii="Arial" w:eastAsia="Calibri" w:hAnsi="Arial" w:cs="Arial"/>
          <w:szCs w:val="28"/>
          <w:lang w:val="en"/>
        </w:rPr>
        <w:t>characteristics, person, smuggling, customs control</w:t>
      </w:r>
      <w:r w:rsidR="00C1357F" w:rsidRPr="00511005">
        <w:rPr>
          <w:rFonts w:ascii="Arial" w:eastAsia="Calibri" w:hAnsi="Arial" w:cs="Arial"/>
          <w:szCs w:val="28"/>
          <w:lang w:val="uk-UA"/>
        </w:rPr>
        <w:t>.</w:t>
      </w:r>
    </w:p>
    <w:p w14:paraId="0B82EC6A" w14:textId="575D81DC" w:rsidR="00C1357F" w:rsidRPr="00511005" w:rsidRDefault="007B2628" w:rsidP="003A292D">
      <w:pPr>
        <w:spacing w:line="264" w:lineRule="auto"/>
        <w:ind w:firstLine="0"/>
        <w:rPr>
          <w:rFonts w:ascii="Arial" w:eastAsia="Calibri" w:hAnsi="Arial" w:cs="Arial"/>
          <w:bCs/>
          <w:i/>
          <w:iCs/>
          <w:szCs w:val="28"/>
          <w:lang w:val="uk-UA"/>
        </w:rPr>
      </w:pPr>
      <w:r w:rsidRPr="00511005">
        <w:rPr>
          <w:rFonts w:ascii="Arial" w:eastAsia="Calibri" w:hAnsi="Arial" w:cs="Arial"/>
          <w:b/>
          <w:i/>
          <w:iCs/>
          <w:szCs w:val="28"/>
          <w:lang w:val="uk-UA"/>
        </w:rPr>
        <w:t xml:space="preserve">Науковий керівник: </w:t>
      </w:r>
      <w:r w:rsidR="00C1357F" w:rsidRPr="00511005">
        <w:rPr>
          <w:rFonts w:ascii="Arial" w:eastAsia="Calibri" w:hAnsi="Arial" w:cs="Arial"/>
          <w:bCs/>
          <w:i/>
          <w:iCs/>
          <w:szCs w:val="28"/>
          <w:lang w:val="uk-UA"/>
        </w:rPr>
        <w:t>к.ю.н</w:t>
      </w:r>
      <w:r w:rsidR="00B0230F">
        <w:rPr>
          <w:rFonts w:ascii="Arial" w:eastAsia="Calibri" w:hAnsi="Arial" w:cs="Arial"/>
          <w:bCs/>
          <w:i/>
          <w:iCs/>
          <w:szCs w:val="28"/>
          <w:lang w:val="uk-UA"/>
        </w:rPr>
        <w:t>.,</w:t>
      </w:r>
      <w:r w:rsidR="00C1357F" w:rsidRPr="00511005">
        <w:rPr>
          <w:rFonts w:ascii="Arial" w:eastAsia="Calibri" w:hAnsi="Arial" w:cs="Arial"/>
          <w:bCs/>
          <w:i/>
          <w:iCs/>
          <w:szCs w:val="28"/>
          <w:lang w:val="uk-UA"/>
        </w:rPr>
        <w:t xml:space="preserve"> доцент Цитряк В.Я.</w:t>
      </w:r>
    </w:p>
    <w:p w14:paraId="38B4635E" w14:textId="77777777" w:rsidR="00C1357F" w:rsidRPr="00511005" w:rsidRDefault="00C1357F" w:rsidP="003A292D">
      <w:pPr>
        <w:spacing w:line="264" w:lineRule="auto"/>
        <w:ind w:firstLine="0"/>
        <w:rPr>
          <w:rFonts w:ascii="Arial" w:eastAsia="Times New Roman" w:hAnsi="Arial" w:cs="Arial"/>
          <w:szCs w:val="28"/>
          <w:lang w:val="uk-UA"/>
        </w:rPr>
      </w:pPr>
    </w:p>
    <w:p w14:paraId="734A17DE"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7C82889F" w14:textId="77777777" w:rsidR="003F5D68" w:rsidRPr="00511005" w:rsidRDefault="003F5D68" w:rsidP="003A292D">
      <w:pPr>
        <w:keepNext/>
        <w:suppressAutoHyphens/>
        <w:spacing w:line="264" w:lineRule="auto"/>
        <w:ind w:firstLine="0"/>
        <w:jc w:val="left"/>
        <w:rPr>
          <w:rFonts w:ascii="Arial" w:hAnsi="Arial" w:cs="Arial"/>
          <w:szCs w:val="28"/>
        </w:rPr>
      </w:pPr>
    </w:p>
    <w:p w14:paraId="49223217" w14:textId="171946F7" w:rsidR="006768A1" w:rsidRDefault="006768A1" w:rsidP="003A292D">
      <w:pPr>
        <w:keepNext/>
        <w:spacing w:line="264" w:lineRule="auto"/>
        <w:ind w:firstLine="0"/>
        <w:jc w:val="left"/>
        <w:rPr>
          <w:rFonts w:ascii="Arial" w:hAnsi="Arial" w:cs="Arial"/>
          <w:szCs w:val="28"/>
          <w:lang w:val="uk-UA"/>
        </w:rPr>
      </w:pPr>
    </w:p>
    <w:p w14:paraId="2B83726F" w14:textId="77777777" w:rsidR="00532C25" w:rsidRPr="00511005" w:rsidRDefault="00532C25" w:rsidP="00532C25">
      <w:pPr>
        <w:pStyle w:val="aa"/>
        <w:spacing w:before="0" w:after="0" w:line="264" w:lineRule="auto"/>
        <w:rPr>
          <w:rFonts w:ascii="Arial" w:hAnsi="Arial" w:cs="Arial"/>
          <w:color w:val="auto"/>
          <w:sz w:val="28"/>
          <w:szCs w:val="28"/>
        </w:rPr>
      </w:pPr>
      <w:bookmarkStart w:id="270" w:name="_Toc208299007"/>
      <w:r w:rsidRPr="00511005">
        <w:rPr>
          <w:rFonts w:ascii="Arial" w:hAnsi="Arial" w:cs="Arial"/>
          <w:color w:val="auto"/>
          <w:sz w:val="28"/>
          <w:szCs w:val="28"/>
        </w:rPr>
        <w:t xml:space="preserve">СЕКЦІЯ </w:t>
      </w:r>
      <w:r w:rsidRPr="00511005">
        <w:rPr>
          <w:rFonts w:ascii="Arial" w:hAnsi="Arial" w:cs="Arial"/>
          <w:color w:val="auto"/>
          <w:sz w:val="28"/>
          <w:szCs w:val="28"/>
          <w:lang w:val="ru-RU"/>
        </w:rPr>
        <w:t>16. АКТУАЛЬНІ ПИТАННЯ КРИМІНАЛЬНОГО ПРОЦЕСУ</w:t>
      </w:r>
      <w:bookmarkEnd w:id="270"/>
    </w:p>
    <w:p w14:paraId="6CC9E1F7" w14:textId="77777777" w:rsidR="00532C25" w:rsidRPr="00511005" w:rsidRDefault="00532C25" w:rsidP="00532C25">
      <w:pPr>
        <w:keepNext/>
        <w:spacing w:line="264" w:lineRule="auto"/>
        <w:ind w:firstLine="0"/>
        <w:jc w:val="left"/>
        <w:rPr>
          <w:rFonts w:ascii="Arial" w:hAnsi="Arial" w:cs="Arial"/>
          <w:szCs w:val="28"/>
        </w:rPr>
      </w:pPr>
    </w:p>
    <w:p w14:paraId="17EEB22D" w14:textId="77777777" w:rsidR="00532C25" w:rsidRPr="00511005" w:rsidRDefault="00532C25" w:rsidP="00532C25">
      <w:pPr>
        <w:spacing w:line="264" w:lineRule="auto"/>
        <w:ind w:firstLine="0"/>
        <w:jc w:val="center"/>
        <w:rPr>
          <w:rFonts w:ascii="Arial" w:eastAsia="Times New Roman" w:hAnsi="Arial" w:cs="Arial"/>
          <w:b/>
          <w:bCs/>
          <w:i/>
          <w:iCs/>
          <w:szCs w:val="28"/>
          <w:lang w:val="ru" w:eastAsia="ru-RU"/>
        </w:rPr>
      </w:pPr>
      <w:r w:rsidRPr="00511005">
        <w:rPr>
          <w:rFonts w:ascii="Arial" w:eastAsia="Times New Roman" w:hAnsi="Arial" w:cs="Arial"/>
          <w:b/>
          <w:bCs/>
          <w:i/>
          <w:iCs/>
          <w:szCs w:val="28"/>
          <w:lang w:val="ru" w:eastAsia="ru-RU"/>
        </w:rPr>
        <w:t>Багнета Софія Володимирівна</w:t>
      </w:r>
    </w:p>
    <w:p w14:paraId="3B361C20" w14:textId="77777777" w:rsidR="00532C25" w:rsidRPr="00511005" w:rsidRDefault="00532C25" w:rsidP="00532C25">
      <w:pPr>
        <w:spacing w:line="264" w:lineRule="auto"/>
        <w:ind w:firstLine="0"/>
        <w:jc w:val="center"/>
        <w:rPr>
          <w:rFonts w:ascii="Arial" w:eastAsia="Times New Roman" w:hAnsi="Arial" w:cs="Arial"/>
          <w:bCs/>
          <w:iCs/>
          <w:szCs w:val="28"/>
          <w:lang w:val="ru" w:eastAsia="ru-RU"/>
        </w:rPr>
      </w:pPr>
      <w:r w:rsidRPr="00511005">
        <w:rPr>
          <w:rFonts w:ascii="Arial" w:eastAsia="Times New Roman" w:hAnsi="Arial" w:cs="Arial"/>
          <w:bCs/>
          <w:iCs/>
          <w:szCs w:val="28"/>
          <w:lang w:val="uk-UA" w:eastAsia="ru-RU"/>
        </w:rPr>
        <w:t>студентка 4-го курсу факультету адвокатури та антикорупційної діяльності</w:t>
      </w:r>
    </w:p>
    <w:p w14:paraId="25E1BECF" w14:textId="77777777" w:rsidR="00532C25" w:rsidRPr="00511005" w:rsidRDefault="00532C25" w:rsidP="00532C25">
      <w:pPr>
        <w:spacing w:line="264" w:lineRule="auto"/>
        <w:ind w:firstLine="0"/>
        <w:jc w:val="center"/>
        <w:rPr>
          <w:rFonts w:ascii="Arial" w:eastAsia="Times New Roman" w:hAnsi="Arial" w:cs="Arial"/>
          <w:bCs/>
          <w:iCs/>
          <w:szCs w:val="28"/>
          <w:lang w:val="ru" w:eastAsia="ru-RU"/>
        </w:rPr>
      </w:pPr>
      <w:r w:rsidRPr="00511005">
        <w:rPr>
          <w:rFonts w:ascii="Arial" w:eastAsia="Times New Roman" w:hAnsi="Arial" w:cs="Arial"/>
          <w:bCs/>
          <w:iCs/>
          <w:szCs w:val="28"/>
          <w:lang w:val="ru" w:eastAsia="ru-RU"/>
        </w:rPr>
        <w:t>Національного університету «Одеська юридична академія»</w:t>
      </w:r>
    </w:p>
    <w:p w14:paraId="6061D41A" w14:textId="77777777" w:rsidR="00532C25" w:rsidRPr="00511005" w:rsidRDefault="00532C25" w:rsidP="00532C25">
      <w:pPr>
        <w:spacing w:line="264" w:lineRule="auto"/>
        <w:ind w:firstLine="0"/>
        <w:jc w:val="center"/>
        <w:rPr>
          <w:rFonts w:ascii="Arial" w:eastAsia="Times New Roman" w:hAnsi="Arial" w:cs="Arial"/>
          <w:b/>
          <w:bCs/>
          <w:i/>
          <w:iCs/>
          <w:szCs w:val="28"/>
          <w:lang w:val="ru" w:eastAsia="ru-RU"/>
        </w:rPr>
      </w:pPr>
      <w:r w:rsidRPr="00511005">
        <w:rPr>
          <w:rFonts w:ascii="Arial" w:eastAsia="Times New Roman" w:hAnsi="Arial" w:cs="Arial"/>
          <w:b/>
          <w:bCs/>
          <w:i/>
          <w:iCs/>
          <w:szCs w:val="28"/>
          <w:lang w:val="ru" w:eastAsia="ru-RU"/>
        </w:rPr>
        <w:t>Кожухова Орина Олександрівна</w:t>
      </w:r>
    </w:p>
    <w:p w14:paraId="2412DF89" w14:textId="77777777" w:rsidR="00532C25" w:rsidRPr="00511005" w:rsidRDefault="00532C25" w:rsidP="00532C25">
      <w:pPr>
        <w:spacing w:line="264" w:lineRule="auto"/>
        <w:ind w:firstLine="0"/>
        <w:jc w:val="center"/>
        <w:rPr>
          <w:rFonts w:ascii="Arial" w:eastAsia="Times New Roman" w:hAnsi="Arial" w:cs="Arial"/>
          <w:bCs/>
          <w:iCs/>
          <w:szCs w:val="28"/>
          <w:lang w:val="ru" w:eastAsia="ru-RU"/>
        </w:rPr>
      </w:pPr>
      <w:r w:rsidRPr="00511005">
        <w:rPr>
          <w:rFonts w:ascii="Arial" w:eastAsia="Times New Roman" w:hAnsi="Arial" w:cs="Arial"/>
          <w:bCs/>
          <w:iCs/>
          <w:szCs w:val="28"/>
          <w:lang w:val="ru" w:eastAsia="ru-RU"/>
        </w:rPr>
        <w:t>студентка 4-го курсу факультету адвокатури та антикорупційної діяльності</w:t>
      </w:r>
    </w:p>
    <w:p w14:paraId="03164871" w14:textId="77777777" w:rsidR="00532C25" w:rsidRPr="00511005" w:rsidRDefault="00532C25" w:rsidP="00532C25">
      <w:pPr>
        <w:spacing w:line="264" w:lineRule="auto"/>
        <w:ind w:firstLine="0"/>
        <w:jc w:val="center"/>
        <w:rPr>
          <w:rFonts w:ascii="Arial" w:eastAsia="Times New Roman" w:hAnsi="Arial" w:cs="Arial"/>
          <w:bCs/>
          <w:iCs/>
          <w:szCs w:val="28"/>
          <w:lang w:val="ru" w:eastAsia="ru-RU"/>
        </w:rPr>
      </w:pPr>
      <w:r w:rsidRPr="00511005">
        <w:rPr>
          <w:rFonts w:ascii="Arial" w:eastAsia="Times New Roman" w:hAnsi="Arial" w:cs="Arial"/>
          <w:bCs/>
          <w:iCs/>
          <w:szCs w:val="28"/>
          <w:lang w:val="ru" w:eastAsia="ru-RU"/>
        </w:rPr>
        <w:t>Національного університету «Одеська юридична академія»</w:t>
      </w:r>
    </w:p>
    <w:p w14:paraId="08E5B6F9" w14:textId="77777777" w:rsidR="00532C25" w:rsidRPr="00511005" w:rsidRDefault="00532C25" w:rsidP="00532C25">
      <w:pPr>
        <w:spacing w:line="264" w:lineRule="auto"/>
        <w:ind w:firstLine="0"/>
        <w:rPr>
          <w:rFonts w:ascii="Arial" w:eastAsia="Times New Roman" w:hAnsi="Arial" w:cs="Arial"/>
          <w:b/>
          <w:szCs w:val="28"/>
          <w:lang w:val="ru" w:eastAsia="ru-RU"/>
        </w:rPr>
      </w:pPr>
    </w:p>
    <w:p w14:paraId="6FA93078" w14:textId="77777777" w:rsidR="00532C25" w:rsidRPr="00511005" w:rsidRDefault="00532C25" w:rsidP="00532C25">
      <w:pPr>
        <w:spacing w:line="264" w:lineRule="auto"/>
        <w:ind w:firstLine="0"/>
        <w:jc w:val="center"/>
        <w:rPr>
          <w:rFonts w:ascii="Arial" w:eastAsia="Times New Roman" w:hAnsi="Arial" w:cs="Arial"/>
          <w:b/>
          <w:szCs w:val="28"/>
          <w:lang w:val="ru" w:eastAsia="ru-RU"/>
        </w:rPr>
      </w:pPr>
      <w:r w:rsidRPr="00511005">
        <w:rPr>
          <w:rFonts w:ascii="Arial" w:eastAsia="Times New Roman" w:hAnsi="Arial" w:cs="Arial"/>
          <w:b/>
          <w:szCs w:val="28"/>
          <w:lang w:val="ru" w:eastAsia="ru-RU"/>
        </w:rPr>
        <w:t>ПРОБЛЕМНІ АСПЕКТИ ЗАТЯГУВАННЯ СУДОВОГО ПРОЦЕСУ В КРИМІНАЛЬНОМУ ПРОВАДЖЕННІ</w:t>
      </w:r>
    </w:p>
    <w:p w14:paraId="48B55D66"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 xml:space="preserve">Актуальність теми затягування судового процесу в кримінальному провадженні обумовлена його негативними наслідками для системи правосуддя та суспільства. Порушення розумних строків розгляду справи підриває довіру до судової влади, завдає моральної шкоди потерпілим та створює ризик уникнення відповідальності винними особами. Крім того, затягування спричиняє додаткові витрати для держави та може ускладнити реалізацію принципу невідворотності покарання. В умовах реформування судової системи України це питання набуває особливого значення, адже воно прямо впливає на забезпечення справедливості та ефективності правосуддя. </w:t>
      </w:r>
    </w:p>
    <w:p w14:paraId="70CCFFAC"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У цьому контексті особливу увагу треба звернути на положення статті 6 Європейської конвенції про захист прав людини, яка гарантує кожному право на розгляд справи впродовж розумного строку [1], окрім цього, відповідно до пункту 3 статті 14 Міжнародного пакту про громадянські і політичні права, кожен має право при розгляді будь-якого пред’явленого йому обвинувачення, як мінімум, на такі гарантії на основі цілковитої рівності: бути судимим без невиправданої затримки[2]. На національному рівні стаття 28 Кримінального Процесуального Кодексу України, визначає критерії "розумності" строків кримінального провадження. Згідно з цим, тривалість строків залежить від складності справи, поведінки сторін і способу здійснення окремими суб’єктами своїх повноважень [3].</w:t>
      </w:r>
    </w:p>
    <w:p w14:paraId="03795FBA"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 xml:space="preserve">Яскравим прикладом порушення права на розгляд справи впродовж розумного строку є справа «Крайняк проти України», розглянута Європейським судом з прав людини. У цьому випадку заявника тримали під вартою майже п’ять років, а продовження строків тримання кожного разу затверджували українські суди. Після завершення досудового розслідування у серпні 2016 року судовий розгляд не розпочинався більше року, і вагомих підстав для таких затримок наведено не було. ЄСПЛ </w:t>
      </w:r>
      <w:r w:rsidRPr="00511005">
        <w:rPr>
          <w:rFonts w:ascii="Arial" w:eastAsia="Times New Roman" w:hAnsi="Arial" w:cs="Arial"/>
          <w:szCs w:val="28"/>
          <w:lang w:val="ru" w:eastAsia="ru-RU"/>
        </w:rPr>
        <w:lastRenderedPageBreak/>
        <w:t xml:space="preserve">наголосив, що відповідальність за дотримання розумних строків провадження лежить саме на державі, а не на учасниках процесу [4]. </w:t>
      </w:r>
    </w:p>
    <w:p w14:paraId="625A07F5"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 xml:space="preserve">Щодо національної судової практики, одним із резонансних прикладів є кейс Ігоря Гуменюка, обвинуваченого, який 5 липня 2023 року в залі Шевченківського районного суду міста Києва вчинив самопідрив. У цьому провадженні відбулося 164 судових засідання, під час яких допитували свідків, потерпілих, а також досліджували письмові та речові докази. Як зазначив суд, тривалість розгляду справи була зумовлена відсутністю ефективних правових механізмів для запобігання зловживанням процесуальними правами та ігноруванням процесуальних обов’язків учасниками. Цей приклад підкреслює необхідність реформування процесуальних інструментів для забезпечення балансу між правами сторін та оперативністю правосуддя [5]. </w:t>
      </w:r>
    </w:p>
    <w:p w14:paraId="32F03458"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 xml:space="preserve">Серед основних причин затягування судового процесу можна виділити як об’єктивні, так і суб’єктивні фактори. Об’єктивними є складність справи, необхідність проведення великої кількості слідчих дій, а також недостатнє матеріально-технічне забезпечення судів. Суб’єктивними ж виступають зловживання процесуальними правами учасниками провадження, неявка сторін </w:t>
      </w:r>
      <w:proofErr w:type="gramStart"/>
      <w:r w:rsidRPr="00511005">
        <w:rPr>
          <w:rFonts w:ascii="Arial" w:eastAsia="Times New Roman" w:hAnsi="Arial" w:cs="Arial"/>
          <w:szCs w:val="28"/>
          <w:lang w:val="ru" w:eastAsia="ru-RU"/>
        </w:rPr>
        <w:t>до суду</w:t>
      </w:r>
      <w:proofErr w:type="gramEnd"/>
      <w:r w:rsidRPr="00511005">
        <w:rPr>
          <w:rFonts w:ascii="Arial" w:eastAsia="Times New Roman" w:hAnsi="Arial" w:cs="Arial"/>
          <w:szCs w:val="28"/>
          <w:lang w:val="ru" w:eastAsia="ru-RU"/>
        </w:rPr>
        <w:t>, відкладення розгляду через подання необґрунтованих клопотань чи апеляцій, а також недбалість або неналежне виконання обов’язків з боку слідчих, прокурорів чи інших суб’єктів процесу.</w:t>
      </w:r>
    </w:p>
    <w:p w14:paraId="4414F4DA"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Неявка учасників судового провадження, зокрема сторони обвинувачення, є однією з найбільш поширених причин затримок у розгляді кримінальних справ. Прикладом є ситуація, пов’язана із закриттям кримінального провадження по обвинуваченню Г. А. Кернеса та інших осіб у справі № 638/4399/15-к. Київський районний суд м. Полтави 10 серпня 2018 року ухвалив рішення про закриття справи через порушення розумних строків судового розгляду. Це сталося внаслідок систематичної неявки прокурора на судові засідання [6].</w:t>
      </w:r>
    </w:p>
    <w:p w14:paraId="730223B6"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Іншою причиною затягування судових процесів є перевантаження судів. В Україні, як і в багатьох інших країнах, кількість справ, що надходить до судів, постійно зростає. Зокрема, у великих містах навантаження на суддів є надзвичайно високим, що ускладнює своєчасний розгляд усіх справ. Дефіцит суддів, судових помічників та інших працівників суду призводить до постійних затримок у розгляді справ, особливо якщо врахувати значну кількість кримінальних проваджень, які потребують тривалого і детального дослідження.</w:t>
      </w:r>
    </w:p>
    <w:p w14:paraId="3420F920"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 xml:space="preserve">Судові процеси часто затягуються через нестачу кваліфікованих спеціалістів, зокрема експертів у різних галузях, таких як криміналістика, судово-медична експертиза тощо. У кримінальних провадженнях експертизи відіграють важливу роль у встановленні фактів та підтвердженні </w:t>
      </w:r>
      <w:r w:rsidRPr="00511005">
        <w:rPr>
          <w:rFonts w:ascii="Arial" w:eastAsia="Times New Roman" w:hAnsi="Arial" w:cs="Arial"/>
          <w:szCs w:val="28"/>
          <w:lang w:val="ru" w:eastAsia="ru-RU"/>
        </w:rPr>
        <w:lastRenderedPageBreak/>
        <w:t xml:space="preserve">доказів, але їх проведення може тривати кілька місяців через обмежену кількість спеціалістів та тривалі строки підготовки експертних висновків. </w:t>
      </w:r>
    </w:p>
    <w:p w14:paraId="70020BC7"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Варто й не відкладати той факт, що іноді сторони використовують процесуальні можливості для затягування процесу. Наприклад, адвокати можуть подавати численні клопотання про відкладення засідань або про проведення додаткових експертиз. Апеляції та скарги можуть подаватися для відтермінування процесу, що часом є тактикою захисту в інтересах клієнта. Це може бути ефективним способом вплинути на перебіг справи, але водночас створює навантаження на судову систему та затягує винесення остаточного рішення.</w:t>
      </w:r>
    </w:p>
    <w:p w14:paraId="198AB241"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Це явище має серйозні наслідки як для окремих учасників процесу, так і для суспільства загалом. Тривалі судові розгляди порушують права обвинувачених і потерпілих, завдають значного психологічного та емоційного стресу, а також підривають довіру громадян до судової системи. У результаті громадяни починають сприймати правосуддя як недієве, що негативно впливає на загальний рівень правопорядку в країні. До того ж, затягування також збільшує ризики втрати доказів і порушення прав на справедливий розгляд, що ставить під загрозу принципи правосуддя.</w:t>
      </w:r>
    </w:p>
    <w:p w14:paraId="78E51CE2"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Для подолання цієї проблеми потрібен комплексний підхід: удосконалення законодавства, оптимізація судових процедур, збільшення кількості суддів та спеціалістів, всебічне впровадження електронного судочинства та контроль за процесуальними строками. Лише комплексна модернізація системи правосуддя може забезпечити оперативний, справедливий і ефективний розгляд кримінальних справ, що є основою правової держави та соціальної стабільності.</w:t>
      </w:r>
    </w:p>
    <w:p w14:paraId="08920FED" w14:textId="77777777" w:rsidR="00532C25" w:rsidRPr="00511005" w:rsidRDefault="00532C25" w:rsidP="00532C25">
      <w:pPr>
        <w:spacing w:line="264" w:lineRule="auto"/>
        <w:ind w:firstLine="360"/>
        <w:rPr>
          <w:rFonts w:ascii="Arial" w:eastAsia="Times New Roman" w:hAnsi="Arial" w:cs="Arial"/>
          <w:b/>
          <w:szCs w:val="28"/>
          <w:lang w:val="uk-UA" w:eastAsia="ru-RU"/>
        </w:rPr>
      </w:pPr>
    </w:p>
    <w:p w14:paraId="6679BA75" w14:textId="77777777" w:rsidR="00532C25" w:rsidRPr="00511005" w:rsidRDefault="00532C25" w:rsidP="00532C25">
      <w:pPr>
        <w:spacing w:line="264" w:lineRule="auto"/>
        <w:ind w:firstLine="36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66F2FFA8" w14:textId="77777777" w:rsidR="00532C25" w:rsidRPr="00511005" w:rsidRDefault="00532C25" w:rsidP="003F6A5D">
      <w:pPr>
        <w:numPr>
          <w:ilvl w:val="0"/>
          <w:numId w:val="814"/>
        </w:numPr>
        <w:spacing w:line="264" w:lineRule="auto"/>
        <w:jc w:val="left"/>
        <w:rPr>
          <w:rFonts w:ascii="Arial" w:eastAsia="Times New Roman" w:hAnsi="Arial" w:cs="Arial"/>
          <w:szCs w:val="28"/>
          <w:lang w:val="ru" w:eastAsia="ru-RU"/>
        </w:rPr>
      </w:pPr>
      <w:r w:rsidRPr="00511005">
        <w:rPr>
          <w:rFonts w:ascii="Arial" w:eastAsia="Times New Roman" w:hAnsi="Arial" w:cs="Arial"/>
          <w:szCs w:val="28"/>
          <w:lang w:val="ru" w:eastAsia="ru-RU"/>
        </w:rPr>
        <w:t xml:space="preserve">Європейська конвенція про захист прав людини і основоположних свобод від 4 листопада 1950 року. URL: </w:t>
      </w:r>
      <w:hyperlink r:id="rId2147" w:anchor="Text">
        <w:r w:rsidRPr="00511005">
          <w:rPr>
            <w:rFonts w:ascii="Arial" w:eastAsia="Times New Roman" w:hAnsi="Arial" w:cs="Arial"/>
            <w:szCs w:val="28"/>
            <w:lang w:val="ru" w:eastAsia="ru-RU"/>
          </w:rPr>
          <w:t>https://zakon.rada.gov.ua/laws/show/995_004#Text</w:t>
        </w:r>
      </w:hyperlink>
    </w:p>
    <w:p w14:paraId="1346B21E" w14:textId="77777777" w:rsidR="00532C25" w:rsidRPr="00511005" w:rsidRDefault="00532C25" w:rsidP="003F6A5D">
      <w:pPr>
        <w:numPr>
          <w:ilvl w:val="0"/>
          <w:numId w:val="814"/>
        </w:numPr>
        <w:spacing w:line="264" w:lineRule="auto"/>
        <w:jc w:val="left"/>
        <w:rPr>
          <w:rFonts w:ascii="Arial" w:eastAsia="Times New Roman" w:hAnsi="Arial" w:cs="Arial"/>
          <w:szCs w:val="28"/>
          <w:lang w:val="ru" w:eastAsia="ru-RU"/>
        </w:rPr>
      </w:pPr>
      <w:r w:rsidRPr="00511005">
        <w:rPr>
          <w:rFonts w:ascii="Arial" w:eastAsia="Times New Roman" w:hAnsi="Arial" w:cs="Arial"/>
          <w:szCs w:val="28"/>
          <w:lang w:val="ru" w:eastAsia="ru-RU"/>
        </w:rPr>
        <w:t xml:space="preserve">Міжнародний пакт про громадянські і політичні права від 16 грудня 1966 року. URL: </w:t>
      </w:r>
      <w:hyperlink r:id="rId2148" w:anchor="Text">
        <w:r w:rsidRPr="00511005">
          <w:rPr>
            <w:rFonts w:ascii="Arial" w:eastAsia="Times New Roman" w:hAnsi="Arial" w:cs="Arial"/>
            <w:szCs w:val="28"/>
            <w:lang w:val="ru" w:eastAsia="ru-RU"/>
          </w:rPr>
          <w:t>https://zakon.rada.gov.ua/laws/show/995_043#Text</w:t>
        </w:r>
      </w:hyperlink>
      <w:r w:rsidRPr="00511005">
        <w:rPr>
          <w:rFonts w:ascii="Arial" w:eastAsia="Times New Roman" w:hAnsi="Arial" w:cs="Arial"/>
          <w:szCs w:val="28"/>
          <w:lang w:val="ru" w:eastAsia="ru-RU"/>
        </w:rPr>
        <w:t xml:space="preserve"> </w:t>
      </w:r>
    </w:p>
    <w:p w14:paraId="1A2BD376" w14:textId="77777777" w:rsidR="00532C25" w:rsidRPr="00511005" w:rsidRDefault="00532C25" w:rsidP="003F6A5D">
      <w:pPr>
        <w:numPr>
          <w:ilvl w:val="0"/>
          <w:numId w:val="814"/>
        </w:numPr>
        <w:spacing w:line="264" w:lineRule="auto"/>
        <w:jc w:val="left"/>
        <w:rPr>
          <w:rFonts w:ascii="Arial" w:eastAsia="Times New Roman" w:hAnsi="Arial" w:cs="Arial"/>
          <w:szCs w:val="28"/>
          <w:lang w:val="ru" w:eastAsia="ru-RU"/>
        </w:rPr>
      </w:pPr>
      <w:r w:rsidRPr="00511005">
        <w:rPr>
          <w:rFonts w:ascii="Arial" w:eastAsia="Times New Roman" w:hAnsi="Arial" w:cs="Arial"/>
          <w:szCs w:val="28"/>
          <w:lang w:val="ru" w:eastAsia="ru-RU"/>
        </w:rPr>
        <w:t xml:space="preserve">Кримінальний процесуальний кодекс України: Закон України від 13 квітня 2012 р. № 4651-VI. URL: </w:t>
      </w:r>
      <w:hyperlink r:id="rId2149" w:anchor="n549">
        <w:r w:rsidRPr="00511005">
          <w:rPr>
            <w:rFonts w:ascii="Arial" w:eastAsia="Times New Roman" w:hAnsi="Arial" w:cs="Arial"/>
            <w:szCs w:val="28"/>
            <w:lang w:val="ru" w:eastAsia="ru-RU"/>
          </w:rPr>
          <w:t>https://zakon.rada.gov.ua/laws/show/4651-17#n549</w:t>
        </w:r>
      </w:hyperlink>
      <w:r w:rsidRPr="00511005">
        <w:rPr>
          <w:rFonts w:ascii="Arial" w:eastAsia="Times New Roman" w:hAnsi="Arial" w:cs="Arial"/>
          <w:szCs w:val="28"/>
          <w:lang w:val="ru" w:eastAsia="ru-RU"/>
        </w:rPr>
        <w:t xml:space="preserve"> </w:t>
      </w:r>
    </w:p>
    <w:p w14:paraId="1E5C0FF0" w14:textId="77777777" w:rsidR="00532C25" w:rsidRPr="00511005" w:rsidRDefault="00532C25" w:rsidP="003F6A5D">
      <w:pPr>
        <w:numPr>
          <w:ilvl w:val="0"/>
          <w:numId w:val="814"/>
        </w:numPr>
        <w:spacing w:line="264" w:lineRule="auto"/>
        <w:jc w:val="left"/>
        <w:rPr>
          <w:rFonts w:ascii="Arial" w:eastAsia="Times New Roman" w:hAnsi="Arial" w:cs="Arial"/>
          <w:szCs w:val="28"/>
          <w:lang w:val="pl-PL" w:eastAsia="ru-RU"/>
        </w:rPr>
      </w:pPr>
      <w:r w:rsidRPr="00511005">
        <w:rPr>
          <w:rFonts w:ascii="Arial" w:eastAsia="Times New Roman" w:hAnsi="Arial" w:cs="Arial"/>
          <w:szCs w:val="28"/>
          <w:lang w:val="en-US" w:eastAsia="ru-RU"/>
        </w:rPr>
        <w:t xml:space="preserve">Hudoc. Judgment in the case of Krajnjak v. Ukraine. </w:t>
      </w:r>
      <w:r w:rsidRPr="00511005">
        <w:rPr>
          <w:rFonts w:ascii="Arial" w:eastAsia="Times New Roman" w:hAnsi="Arial" w:cs="Arial"/>
          <w:szCs w:val="28"/>
          <w:lang w:val="pl-PL" w:eastAsia="ru-RU"/>
        </w:rPr>
        <w:t xml:space="preserve">URL: </w:t>
      </w:r>
      <w:hyperlink r:id="rId2150" w:anchor="%7B%22itemid%22:%5B%22001-223598%22">
        <w:r w:rsidRPr="00511005">
          <w:rPr>
            <w:rFonts w:ascii="Arial" w:eastAsia="Times New Roman" w:hAnsi="Arial" w:cs="Arial"/>
            <w:szCs w:val="28"/>
            <w:lang w:val="pl-PL" w:eastAsia="ru-RU"/>
          </w:rPr>
          <w:t>https://hudoc.echr.coe.int/eng#{%22itemid%22:[%22001-223598%22</w:t>
        </w:r>
      </w:hyperlink>
      <w:r w:rsidRPr="00511005">
        <w:rPr>
          <w:rFonts w:ascii="Arial" w:eastAsia="Times New Roman" w:hAnsi="Arial" w:cs="Arial"/>
          <w:szCs w:val="28"/>
          <w:lang w:val="pl-PL" w:eastAsia="ru-RU"/>
        </w:rPr>
        <w:t xml:space="preserve">]} </w:t>
      </w:r>
    </w:p>
    <w:p w14:paraId="4CDC3B42" w14:textId="77777777" w:rsidR="00532C25" w:rsidRPr="00511005" w:rsidRDefault="00532C25" w:rsidP="003F6A5D">
      <w:pPr>
        <w:numPr>
          <w:ilvl w:val="0"/>
          <w:numId w:val="814"/>
        </w:numPr>
        <w:spacing w:line="264" w:lineRule="auto"/>
        <w:jc w:val="left"/>
        <w:rPr>
          <w:rFonts w:ascii="Arial" w:eastAsia="Times New Roman" w:hAnsi="Arial" w:cs="Arial"/>
          <w:szCs w:val="28"/>
          <w:lang w:val="ru" w:eastAsia="ru-RU"/>
        </w:rPr>
      </w:pPr>
      <w:r w:rsidRPr="00511005">
        <w:rPr>
          <w:rFonts w:ascii="Arial" w:eastAsia="Times New Roman" w:hAnsi="Arial" w:cs="Arial"/>
          <w:szCs w:val="28"/>
          <w:lang w:val="ru" w:eastAsia="ru-RU"/>
        </w:rPr>
        <w:t xml:space="preserve">Якби Ігор Гуменюк не підірвав себе, вирок міг бути до кінця року – Київська міська прокуратура. Суспільне, 2023. URL: </w:t>
      </w:r>
      <w:hyperlink r:id="rId2151">
        <w:r w:rsidRPr="00511005">
          <w:rPr>
            <w:rFonts w:ascii="Arial" w:eastAsia="Times New Roman" w:hAnsi="Arial" w:cs="Arial"/>
            <w:szCs w:val="28"/>
            <w:lang w:val="ru" w:eastAsia="ru-RU"/>
          </w:rPr>
          <w:t>https://suspilne.media/524201-akbi-igor-gumenuk-ne-pidirvav-sebe-virok-mig-buti-do-kinca-roku-kiivska-miska-prokuratura/</w:t>
        </w:r>
      </w:hyperlink>
      <w:r w:rsidRPr="00511005">
        <w:rPr>
          <w:rFonts w:ascii="Arial" w:eastAsia="Times New Roman" w:hAnsi="Arial" w:cs="Arial"/>
          <w:szCs w:val="28"/>
          <w:lang w:val="ru" w:eastAsia="ru-RU"/>
        </w:rPr>
        <w:t xml:space="preserve"> </w:t>
      </w:r>
    </w:p>
    <w:p w14:paraId="37DA4159" w14:textId="77777777" w:rsidR="00532C25" w:rsidRPr="00511005" w:rsidRDefault="00532C25" w:rsidP="003F6A5D">
      <w:pPr>
        <w:numPr>
          <w:ilvl w:val="0"/>
          <w:numId w:val="814"/>
        </w:numPr>
        <w:spacing w:line="264" w:lineRule="auto"/>
        <w:jc w:val="left"/>
        <w:rPr>
          <w:rFonts w:ascii="Arial" w:eastAsia="Times New Roman" w:hAnsi="Arial" w:cs="Arial"/>
          <w:szCs w:val="28"/>
          <w:lang w:val="ru" w:eastAsia="ru-RU"/>
        </w:rPr>
      </w:pPr>
      <w:r w:rsidRPr="00511005">
        <w:rPr>
          <w:rFonts w:ascii="Arial" w:eastAsia="Times New Roman" w:hAnsi="Arial" w:cs="Arial"/>
          <w:szCs w:val="28"/>
          <w:lang w:val="ru" w:eastAsia="ru-RU"/>
        </w:rPr>
        <w:lastRenderedPageBreak/>
        <w:t xml:space="preserve">Постанова Київського районного суду м. Полтави у справі № 638/4399/15-к від 10.08.2018. Єдиний державний реєстр судових рішень. URL: </w:t>
      </w:r>
      <w:hyperlink r:id="rId2152">
        <w:r w:rsidRPr="00511005">
          <w:rPr>
            <w:rFonts w:ascii="Arial" w:eastAsia="Times New Roman" w:hAnsi="Arial" w:cs="Arial"/>
            <w:szCs w:val="28"/>
            <w:lang w:val="ru" w:eastAsia="ru-RU"/>
          </w:rPr>
          <w:t>https://reyestr.court.gov.ua/Review/75812065</w:t>
        </w:r>
      </w:hyperlink>
      <w:r w:rsidRPr="00511005">
        <w:rPr>
          <w:rFonts w:ascii="Arial" w:eastAsia="Times New Roman" w:hAnsi="Arial" w:cs="Arial"/>
          <w:szCs w:val="28"/>
          <w:lang w:val="ru" w:eastAsia="ru-RU"/>
        </w:rPr>
        <w:t xml:space="preserve"> </w:t>
      </w:r>
    </w:p>
    <w:p w14:paraId="4B09BC29" w14:textId="77777777" w:rsidR="00532C25" w:rsidRPr="00511005" w:rsidRDefault="00532C25" w:rsidP="00532C25">
      <w:pPr>
        <w:spacing w:line="264" w:lineRule="auto"/>
        <w:ind w:left="-567" w:firstLine="425"/>
        <w:rPr>
          <w:rFonts w:ascii="Arial" w:eastAsia="Times New Roman" w:hAnsi="Arial" w:cs="Arial"/>
          <w:i/>
          <w:szCs w:val="28"/>
          <w:lang w:val="ru" w:eastAsia="ru-RU"/>
        </w:rPr>
      </w:pPr>
    </w:p>
    <w:p w14:paraId="4F846003" w14:textId="77777777" w:rsidR="00532C25" w:rsidRPr="00511005" w:rsidRDefault="00532C25" w:rsidP="00532C25">
      <w:pPr>
        <w:spacing w:line="264" w:lineRule="auto"/>
        <w:ind w:left="-567" w:firstLine="927"/>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Pr="00511005">
        <w:rPr>
          <w:rFonts w:ascii="Arial" w:eastAsia="Times New Roman" w:hAnsi="Arial" w:cs="Arial"/>
          <w:szCs w:val="28"/>
          <w:lang w:val="uk-UA" w:eastAsia="ru-RU"/>
        </w:rPr>
        <w:t xml:space="preserve">судовий процес, кримінальне провадження. </w:t>
      </w:r>
    </w:p>
    <w:p w14:paraId="24643B3E" w14:textId="77777777" w:rsidR="00532C25" w:rsidRPr="00511005" w:rsidRDefault="00532C25" w:rsidP="00532C25">
      <w:pPr>
        <w:spacing w:line="264" w:lineRule="auto"/>
        <w:ind w:left="-567" w:firstLine="927"/>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Pr="00511005">
        <w:rPr>
          <w:rFonts w:ascii="Arial" w:eastAsia="Times New Roman" w:hAnsi="Arial" w:cs="Arial"/>
          <w:szCs w:val="28"/>
          <w:lang w:val="uk-UA" w:eastAsia="ru-RU"/>
        </w:rPr>
        <w:t>trial, criminal proceedings.</w:t>
      </w:r>
    </w:p>
    <w:p w14:paraId="34417F6F" w14:textId="77777777" w:rsidR="00532C25" w:rsidRPr="00511005" w:rsidRDefault="00532C25" w:rsidP="00532C25">
      <w:pPr>
        <w:spacing w:line="264" w:lineRule="auto"/>
        <w:ind w:left="-567" w:firstLine="927"/>
        <w:rPr>
          <w:rFonts w:ascii="Arial" w:eastAsia="Times New Roman" w:hAnsi="Arial" w:cs="Arial"/>
          <w:i/>
          <w:szCs w:val="28"/>
          <w:lang w:val="uk-UA" w:eastAsia="ru-RU"/>
        </w:rPr>
      </w:pPr>
      <w:r w:rsidRPr="00511005">
        <w:rPr>
          <w:rFonts w:ascii="Arial" w:eastAsia="Times New Roman" w:hAnsi="Arial" w:cs="Arial"/>
          <w:b/>
          <w:i/>
          <w:szCs w:val="28"/>
          <w:lang w:val="ru" w:eastAsia="ru-RU"/>
        </w:rPr>
        <w:t xml:space="preserve">Науковий керівник: </w:t>
      </w:r>
      <w:r w:rsidRPr="00511005">
        <w:rPr>
          <w:rFonts w:ascii="Arial" w:eastAsia="Times New Roman" w:hAnsi="Arial" w:cs="Arial"/>
          <w:i/>
          <w:szCs w:val="28"/>
          <w:lang w:val="ru" w:eastAsia="ru-RU"/>
        </w:rPr>
        <w:t>к</w:t>
      </w:r>
      <w:r w:rsidRPr="00511005">
        <w:rPr>
          <w:rFonts w:ascii="Arial" w:eastAsia="Times New Roman" w:hAnsi="Arial" w:cs="Arial"/>
          <w:i/>
          <w:szCs w:val="28"/>
          <w:lang w:val="uk-UA" w:eastAsia="ru-RU"/>
        </w:rPr>
        <w:t xml:space="preserve">.ю.н., </w:t>
      </w:r>
      <w:r w:rsidRPr="00511005">
        <w:rPr>
          <w:rFonts w:ascii="Arial" w:eastAsia="Times New Roman" w:hAnsi="Arial" w:cs="Arial"/>
          <w:i/>
          <w:szCs w:val="28"/>
          <w:lang w:val="ru" w:eastAsia="ru-RU"/>
        </w:rPr>
        <w:t xml:space="preserve">доцент </w:t>
      </w:r>
      <w:r w:rsidRPr="00511005">
        <w:rPr>
          <w:rFonts w:ascii="Arial" w:eastAsia="Times New Roman" w:hAnsi="Arial" w:cs="Arial"/>
          <w:i/>
          <w:szCs w:val="28"/>
          <w:lang w:val="uk-UA" w:eastAsia="ru-RU"/>
        </w:rPr>
        <w:t xml:space="preserve">Волошина В.К. </w:t>
      </w:r>
    </w:p>
    <w:p w14:paraId="4FC28ADB" w14:textId="77777777" w:rsidR="00532C25" w:rsidRPr="00511005" w:rsidRDefault="00532C25" w:rsidP="00532C25">
      <w:pPr>
        <w:spacing w:line="264" w:lineRule="auto"/>
        <w:ind w:firstLine="0"/>
        <w:rPr>
          <w:rFonts w:ascii="Arial" w:eastAsia="Arial" w:hAnsi="Arial" w:cs="Arial"/>
          <w:szCs w:val="28"/>
          <w:lang w:val="ru" w:eastAsia="ru-RU"/>
        </w:rPr>
      </w:pPr>
    </w:p>
    <w:p w14:paraId="7555E2F9" w14:textId="77777777" w:rsidR="00532C25" w:rsidRPr="00511005" w:rsidRDefault="00532C25" w:rsidP="00532C25">
      <w:pPr>
        <w:spacing w:line="264" w:lineRule="auto"/>
        <w:ind w:firstLine="0"/>
        <w:rPr>
          <w:rFonts w:ascii="Arial" w:eastAsia="Arial" w:hAnsi="Arial" w:cs="Arial"/>
          <w:szCs w:val="28"/>
          <w:lang w:val="ru" w:eastAsia="ru-RU"/>
        </w:rPr>
      </w:pPr>
    </w:p>
    <w:p w14:paraId="7AF16E7A" w14:textId="77777777" w:rsidR="00532C25" w:rsidRPr="00511005" w:rsidRDefault="00532C25" w:rsidP="00532C25">
      <w:pPr>
        <w:tabs>
          <w:tab w:val="left" w:pos="1560"/>
        </w:tabs>
        <w:spacing w:line="264" w:lineRule="auto"/>
        <w:ind w:firstLine="0"/>
        <w:contextualSpacing/>
        <w:jc w:val="center"/>
        <w:rPr>
          <w:rFonts w:ascii="Arial" w:eastAsia="Times New Roman" w:hAnsi="Arial" w:cs="Arial"/>
          <w:b/>
          <w:bCs/>
          <w:i/>
          <w:iCs/>
          <w:szCs w:val="28"/>
          <w:lang w:val="ru" w:eastAsia="ru-RU"/>
        </w:rPr>
      </w:pPr>
      <w:r w:rsidRPr="00511005">
        <w:rPr>
          <w:rFonts w:ascii="Arial" w:eastAsia="Times New Roman" w:hAnsi="Arial" w:cs="Arial"/>
          <w:b/>
          <w:i/>
          <w:iCs/>
          <w:szCs w:val="28"/>
          <w:lang w:val="ru" w:eastAsia="ru-RU"/>
        </w:rPr>
        <w:t>Вавдійчик Яна Олександрівна</w:t>
      </w:r>
    </w:p>
    <w:p w14:paraId="1B2840A0"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3-го курсу </w:t>
      </w:r>
    </w:p>
    <w:p w14:paraId="7243E8CD"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24706E5"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9E053EF" w14:textId="77777777" w:rsidR="00532C25" w:rsidRPr="00511005" w:rsidRDefault="00532C25" w:rsidP="00532C25">
      <w:pPr>
        <w:spacing w:line="264" w:lineRule="auto"/>
        <w:rPr>
          <w:rFonts w:ascii="Arial" w:eastAsia="Arial" w:hAnsi="Arial" w:cs="Arial"/>
          <w:bCs/>
          <w:i/>
          <w:szCs w:val="28"/>
          <w:lang w:val="ru" w:eastAsia="ru-RU"/>
        </w:rPr>
      </w:pPr>
    </w:p>
    <w:p w14:paraId="5E00E25F" w14:textId="77777777" w:rsidR="00532C25" w:rsidRPr="00511005" w:rsidRDefault="00532C25" w:rsidP="00532C25">
      <w:pPr>
        <w:tabs>
          <w:tab w:val="left" w:pos="1560"/>
        </w:tabs>
        <w:spacing w:line="264" w:lineRule="auto"/>
        <w:ind w:firstLine="0"/>
        <w:contextualSpacing/>
        <w:jc w:val="center"/>
        <w:rPr>
          <w:rFonts w:ascii="Arial" w:eastAsia="Arial" w:hAnsi="Arial" w:cs="Arial"/>
          <w:b/>
          <w:szCs w:val="28"/>
          <w:lang w:val="ru" w:eastAsia="ru-RU"/>
        </w:rPr>
      </w:pPr>
      <w:r w:rsidRPr="00511005">
        <w:rPr>
          <w:rFonts w:ascii="Arial" w:eastAsia="Times New Roman" w:hAnsi="Arial" w:cs="Arial"/>
          <w:b/>
          <w:szCs w:val="28"/>
          <w:lang w:val="ru" w:eastAsia="ru-RU"/>
        </w:rPr>
        <w:t>ЮРИДИЧНА ВІДПОВІДАЛЬНІСТЬ СЛІДЧОГО У РАМКАХ КРИМІНАЛЬНОГО ПРОВАДЖЕННЯ</w:t>
      </w:r>
    </w:p>
    <w:p w14:paraId="62F93B97"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Слідчий — суб’єкт кримінального провадження, який діє зі сторони обвинувачення та уповноважений здійснювати досудове розслідування кримінальних правопорушень (п.17, п.19, ч.1, ст. 3 КПК) [4].</w:t>
      </w:r>
    </w:p>
    <w:p w14:paraId="0E6FEAF9"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Слідчий є основною і незамінною фігурою у кримінальному провадженні: він уповноважений починати кримінальне провадження; здійснювати вагому частину процесуальних дій для розкриття кримінального правопорушення; приймати процесуальні рішення для забезпечення законності, прав та інтересів, підозрюваного, потерпілого та ін. учасників провадження; приймати рішення про закриття кримінального провадження та інші дії, які безпосередньо передбачені КПК України.</w:t>
      </w:r>
    </w:p>
    <w:p w14:paraId="76960122"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Слідчий є ключовим учасником кримінального провадження на стадії досудового розслідування, тому за окремі дії або бездіяльність, якщо вони суперечать закону, для даного суб’єкта передбачена юридична відповідальність.</w:t>
      </w:r>
    </w:p>
    <w:p w14:paraId="73B67BC5"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Юридична відповідальність досить широке поняття, яке включає в себе різні види відповідальності.</w:t>
      </w:r>
    </w:p>
    <w:p w14:paraId="3AB72FAD"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 xml:space="preserve">Одним із видів юридичної відповідальності, яку несе слідчий — кримінальна відповідальність. Вона передбачена у XVII розділі Кримінального кодексу України, зокрема статті 365, </w:t>
      </w:r>
      <m:oMath>
        <m:sSup>
          <m:sSupPr>
            <m:ctrlPr>
              <w:rPr>
                <w:rFonts w:ascii="Cambria Math" w:eastAsia="Cambria Math" w:hAnsi="Cambria Math" w:cs="Arial"/>
                <w:i/>
                <w:szCs w:val="28"/>
                <w:lang w:val="ru" w:eastAsia="ru-RU"/>
              </w:rPr>
            </m:ctrlPr>
          </m:sSupPr>
          <m:e>
            <m:r>
              <w:rPr>
                <w:rFonts w:ascii="Cambria Math" w:eastAsia="Cambria Math" w:hAnsi="Cambria Math" w:cs="Arial"/>
                <w:szCs w:val="28"/>
                <w:lang w:val="ru" w:eastAsia="ru-RU"/>
              </w:rPr>
              <m:t>365</m:t>
            </m:r>
          </m:e>
          <m:sup>
            <m:r>
              <w:rPr>
                <w:rFonts w:ascii="Cambria Math" w:eastAsia="Cambria Math" w:hAnsi="Cambria Math" w:cs="Arial"/>
                <w:szCs w:val="28"/>
                <w:lang w:val="ru" w:eastAsia="ru-RU"/>
              </w:rPr>
              <m:t>3</m:t>
            </m:r>
          </m:sup>
        </m:sSup>
      </m:oMath>
      <w:r w:rsidRPr="00511005">
        <w:rPr>
          <w:rFonts w:ascii="Arial" w:eastAsia="Times New Roman" w:hAnsi="Arial" w:cs="Arial"/>
          <w:szCs w:val="28"/>
          <w:lang w:val="ru" w:eastAsia="ru-RU"/>
        </w:rPr>
        <w:t>, 366, 367, 368, а також у XVIII розділі: ст. 371, 372, 373, 374, 380, 381, 382, 387, 388 [3].</w:t>
      </w:r>
    </w:p>
    <w:p w14:paraId="20ACC41C"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На практиці рідко можна зустріти притягнення слідчих до кримінальної відповідальності, але такі випадки таки є. Так наприклад, Постановою ВС від 04.06.2020 року у справі № </w:t>
      </w:r>
      <w:hyperlink r:id="rId2153" w:tooltip="https://court.opendatabot.ua/cause/742%2F318%2F18" w:history="1">
        <w:r w:rsidRPr="00511005">
          <w:rPr>
            <w:rFonts w:ascii="Arial" w:eastAsia="Arial" w:hAnsi="Arial" w:cs="Arial"/>
            <w:szCs w:val="28"/>
            <w:lang w:val="ru" w:eastAsia="ru-RU"/>
          </w:rPr>
          <w:t>742/318/18</w:t>
        </w:r>
      </w:hyperlink>
      <w:r w:rsidRPr="00511005">
        <w:rPr>
          <w:rFonts w:ascii="Arial" w:eastAsia="Times New Roman" w:hAnsi="Arial" w:cs="Arial"/>
          <w:szCs w:val="28"/>
          <w:lang w:val="ru" w:eastAsia="ru-RU"/>
        </w:rPr>
        <w:t xml:space="preserve"> року було підтверджено винуватість слідчого, якого визнано винним судами першої та апеляційної інстанції у вчинені злочину, передбаченого ч.1 ст. 366 КК України [6].</w:t>
      </w:r>
    </w:p>
    <w:p w14:paraId="1EEC2BDC" w14:textId="77777777" w:rsidR="00532C25" w:rsidRPr="00511005" w:rsidRDefault="00532C25" w:rsidP="00532C25">
      <w:pPr>
        <w:spacing w:line="264" w:lineRule="auto"/>
        <w:ind w:firstLine="708"/>
        <w:contextualSpacing/>
        <w:rPr>
          <w:rFonts w:ascii="Arial" w:eastAsia="Arial" w:hAnsi="Arial" w:cs="Arial"/>
          <w:szCs w:val="28"/>
          <w:lang w:val="ru" w:eastAsia="ru-RU"/>
        </w:rPr>
      </w:pPr>
      <w:r w:rsidRPr="00511005">
        <w:rPr>
          <w:rFonts w:ascii="Arial" w:eastAsia="Times New Roman" w:hAnsi="Arial" w:cs="Arial"/>
          <w:szCs w:val="28"/>
          <w:lang w:val="ru" w:eastAsia="ru-RU"/>
        </w:rPr>
        <w:lastRenderedPageBreak/>
        <w:t>Суть справи полягала в тому, що громадянка написала заяву про викрадення її майна, слідчий згодом виніс постанову про закриття кримінального провадження, шляхом внесення завідомо неправдивих відомостей, начебто громадянка знайшла телефон, заяву написала передчасно та претензій ні до кого немає.</w:t>
      </w:r>
    </w:p>
    <w:p w14:paraId="655B478C"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Наступним видом відповідальності слідчого є дисциплінарна. В статті 15 КУпАП, передбачено, що за адміністративні правопорушення визначеного кола осіб призначається дисциплінарна відповідальність відповідно до затверджених статутів, якими і регулюється їх діяльність, у випадках прямо передбачених в статутах [5].</w:t>
      </w:r>
    </w:p>
    <w:p w14:paraId="79D4C1A3" w14:textId="77777777" w:rsidR="00532C25" w:rsidRPr="00511005" w:rsidRDefault="00532C25" w:rsidP="00532C25">
      <w:pPr>
        <w:spacing w:line="264" w:lineRule="auto"/>
        <w:ind w:firstLine="708"/>
        <w:contextualSpacing/>
        <w:rPr>
          <w:rFonts w:ascii="Arial" w:eastAsia="Arial" w:hAnsi="Arial" w:cs="Arial"/>
          <w:szCs w:val="28"/>
          <w:lang w:val="ru" w:eastAsia="ru-RU"/>
        </w:rPr>
      </w:pPr>
      <w:r w:rsidRPr="00511005">
        <w:rPr>
          <w:rFonts w:ascii="Arial" w:eastAsia="Times New Roman" w:hAnsi="Arial" w:cs="Arial"/>
          <w:szCs w:val="28"/>
          <w:lang w:val="ru" w:eastAsia="ru-RU"/>
        </w:rPr>
        <w:t>Так для слідчих в законодавстві передбачено: Закон України “Про Дисциплінарний статут органів внутрішніх справ України”. Відповідно до даного статуту при певних порушеннях до слідчого можуть застосовуватися наступні види дисциплінарних стягнень:</w:t>
      </w:r>
      <w:r w:rsidRPr="00511005">
        <w:rPr>
          <w:rFonts w:ascii="Arial" w:eastAsia="Arial" w:hAnsi="Arial" w:cs="Arial"/>
          <w:szCs w:val="28"/>
          <w:lang w:val="ru" w:eastAsia="ru-RU"/>
        </w:rPr>
        <w:t xml:space="preserve"> </w:t>
      </w:r>
      <w:r w:rsidRPr="00511005">
        <w:rPr>
          <w:rFonts w:ascii="Arial" w:eastAsia="Times New Roman" w:hAnsi="Arial" w:cs="Arial"/>
          <w:szCs w:val="28"/>
          <w:lang w:val="ru" w:eastAsia="ru-RU"/>
        </w:rPr>
        <w:t>зауваження, догана, сувора догана, попередження про неповну службову відповідність, пониження у спеціальному званні на один ступінь, звільнення з посади, звільнення із служби в поліції [2].</w:t>
      </w:r>
    </w:p>
    <w:p w14:paraId="72158D1D" w14:textId="77777777" w:rsidR="00532C25" w:rsidRPr="00511005" w:rsidRDefault="00532C25" w:rsidP="00532C25">
      <w:pPr>
        <w:spacing w:line="264" w:lineRule="auto"/>
        <w:ind w:firstLine="708"/>
        <w:contextualSpacing/>
        <w:rPr>
          <w:rFonts w:ascii="Arial" w:eastAsia="Arial" w:hAnsi="Arial" w:cs="Arial"/>
          <w:strike/>
          <w:szCs w:val="28"/>
          <w:lang w:val="ru" w:eastAsia="ru-RU"/>
        </w:rPr>
      </w:pPr>
      <w:r w:rsidRPr="00511005">
        <w:rPr>
          <w:rFonts w:ascii="Arial" w:eastAsia="Times New Roman" w:hAnsi="Arial" w:cs="Arial"/>
          <w:szCs w:val="28"/>
          <w:lang w:val="ru" w:eastAsia="ru-RU"/>
        </w:rPr>
        <w:t xml:space="preserve">Ще одним видом є кримінально-процесуальна відповідальність. Серед наукової спільноти існує дискусійна думка щодо її наявності та безпосередньо можливості застосування її відносно окремих суб'єктів кримінального провадження, зокрема слідчого. </w:t>
      </w:r>
    </w:p>
    <w:p w14:paraId="3FD377F6" w14:textId="77777777" w:rsidR="00532C25" w:rsidRPr="00511005" w:rsidRDefault="00532C25" w:rsidP="00532C25">
      <w:pPr>
        <w:spacing w:line="264" w:lineRule="auto"/>
        <w:ind w:firstLine="708"/>
        <w:contextualSpacing/>
        <w:rPr>
          <w:rFonts w:ascii="Arial" w:eastAsia="Arial" w:hAnsi="Arial" w:cs="Arial"/>
          <w:szCs w:val="28"/>
          <w:lang w:val="ru" w:eastAsia="ru-RU"/>
        </w:rPr>
      </w:pPr>
      <w:r w:rsidRPr="00511005">
        <w:rPr>
          <w:rFonts w:ascii="Arial" w:eastAsia="Times New Roman" w:hAnsi="Arial" w:cs="Arial"/>
          <w:szCs w:val="28"/>
          <w:lang w:val="ru" w:eastAsia="ru-RU"/>
        </w:rPr>
        <w:t>Ми підтримуємо думку щодо можливості притягнення слідчого до кримінально-процесуальної відповідальності. Такою може бути, наприклад, відсторонення та призначення іншого слідчого для проведення досудового розслідування (п. 2 ч. 2 ст. 39 КПК); скасування незаконного процесуального рішення (п. 2 ч. 2 ст. 303 КПК); визнання судом доказів недопустимими (ст. 89 КПК) тощо [1].</w:t>
      </w:r>
    </w:p>
    <w:p w14:paraId="2EADFDE5" w14:textId="77777777" w:rsidR="00532C25" w:rsidRPr="00511005" w:rsidRDefault="00532C25" w:rsidP="00532C25">
      <w:pPr>
        <w:spacing w:line="264" w:lineRule="auto"/>
        <w:ind w:firstLine="708"/>
        <w:contextualSpacing/>
        <w:rPr>
          <w:rFonts w:ascii="Arial" w:eastAsia="Arial" w:hAnsi="Arial" w:cs="Arial"/>
          <w:szCs w:val="28"/>
          <w:lang w:val="ru" w:eastAsia="ru-RU"/>
        </w:rPr>
      </w:pPr>
      <w:r w:rsidRPr="00511005">
        <w:rPr>
          <w:rFonts w:ascii="Arial" w:eastAsia="Times New Roman" w:hAnsi="Arial" w:cs="Arial"/>
          <w:szCs w:val="28"/>
          <w:lang w:val="ru" w:eastAsia="ru-RU"/>
        </w:rPr>
        <w:t>Ще одним видом відповідальності слідчого може бути цивільно-правова. Ст. 1176 ЦК передбачає відшкодування шкоди завданої незаконними діями, бездіяльністю, рішеннями органу, що здійснює орган досудового розслідування [7].</w:t>
      </w:r>
    </w:p>
    <w:p w14:paraId="63F218C0"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 xml:space="preserve">Однак варто зазначити, що слідчий не несе особисту персоніфіковану відповідальність в даному випадку. Відшкодування здійснює орган досудового розслідування. Порядок полягає в наступному: особа, яка має право на відшкодування шкоди звертається до відповідного органу досудового слідства, виноситься постанова із оціненими збитками та зазначеною сумою відшкодування. У разі незгоди із винесеною постановою особа може оскаржити її </w:t>
      </w:r>
      <w:proofErr w:type="gramStart"/>
      <w:r w:rsidRPr="00511005">
        <w:rPr>
          <w:rFonts w:ascii="Arial" w:eastAsia="Times New Roman" w:hAnsi="Arial" w:cs="Arial"/>
          <w:szCs w:val="28"/>
          <w:lang w:val="ru" w:eastAsia="ru-RU"/>
        </w:rPr>
        <w:t>в судовому порядку</w:t>
      </w:r>
      <w:proofErr w:type="gramEnd"/>
      <w:r w:rsidRPr="00511005">
        <w:rPr>
          <w:rFonts w:ascii="Arial" w:eastAsia="Times New Roman" w:hAnsi="Arial" w:cs="Arial"/>
          <w:szCs w:val="28"/>
          <w:lang w:val="ru" w:eastAsia="ru-RU"/>
        </w:rPr>
        <w:t>.</w:t>
      </w:r>
    </w:p>
    <w:p w14:paraId="59AC606E"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 xml:space="preserve">Необхідно вказати, що за ч. 2 ст. 130 КПК держава залишає за собою право зворотньої вимоги, у тому випадку, коли буде встановлено, що в діях слідчого наявний склад кримінального правопорушення, що буде </w:t>
      </w:r>
      <w:r w:rsidRPr="00511005">
        <w:rPr>
          <w:rFonts w:ascii="Arial" w:eastAsia="Times New Roman" w:hAnsi="Arial" w:cs="Arial"/>
          <w:szCs w:val="28"/>
          <w:lang w:val="ru" w:eastAsia="ru-RU"/>
        </w:rPr>
        <w:lastRenderedPageBreak/>
        <w:t>підтверджено обвинувальним вироком. Таким чином, ми говоримо про персоніфіковану матеріальну відповідальність слідчого [4].</w:t>
      </w:r>
    </w:p>
    <w:p w14:paraId="44FC3E44"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 xml:space="preserve">Варто зазначити, що в практиці є поширеними випадки застосування двох різних видів юридичної відповідальності, наприклад, слідчого можуть відсторонити від здійснення розслідування і при цьому накласти дисциплінарне стягнення — догану. В такому випадку ми спостерігаємо і дисциплінарну, і кримінально-процесуальну відповідальність. </w:t>
      </w:r>
    </w:p>
    <w:p w14:paraId="1BED9C88"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 xml:space="preserve">Що по-перше, відповідає Конституції України, зокрема статті 61 і </w:t>
      </w:r>
      <w:proofErr w:type="gramStart"/>
      <w:r w:rsidRPr="00511005">
        <w:rPr>
          <w:rFonts w:ascii="Arial" w:eastAsia="Times New Roman" w:hAnsi="Arial" w:cs="Arial"/>
          <w:szCs w:val="28"/>
          <w:lang w:val="ru" w:eastAsia="ru-RU"/>
        </w:rPr>
        <w:t>по-друге</w:t>
      </w:r>
      <w:proofErr w:type="gramEnd"/>
      <w:r w:rsidRPr="00511005">
        <w:rPr>
          <w:rFonts w:ascii="Arial" w:eastAsia="Times New Roman" w:hAnsi="Arial" w:cs="Arial"/>
          <w:szCs w:val="28"/>
          <w:lang w:val="ru" w:eastAsia="ru-RU"/>
        </w:rPr>
        <w:t>, спростовує тезу окремої наукової спільноти про відсутність кримінально-процесуальної відповідальності, адже двічі притягати до дисциплінарної відповідальності за одне й те саме правопорушення заборонено.</w:t>
      </w:r>
    </w:p>
    <w:p w14:paraId="059AE17B"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 xml:space="preserve">Слідчий є ключовою фігурою досудового розслідування, відповідальною за розкриття злочинів, тому слідство має вести якісно, відповідно </w:t>
      </w:r>
      <w:proofErr w:type="gramStart"/>
      <w:r w:rsidRPr="00511005">
        <w:rPr>
          <w:rFonts w:ascii="Arial" w:eastAsia="Times New Roman" w:hAnsi="Arial" w:cs="Arial"/>
          <w:szCs w:val="28"/>
          <w:lang w:val="ru" w:eastAsia="ru-RU"/>
        </w:rPr>
        <w:t>до закону</w:t>
      </w:r>
      <w:proofErr w:type="gramEnd"/>
      <w:r w:rsidRPr="00511005">
        <w:rPr>
          <w:rFonts w:ascii="Arial" w:eastAsia="Times New Roman" w:hAnsi="Arial" w:cs="Arial"/>
          <w:szCs w:val="28"/>
          <w:lang w:val="ru" w:eastAsia="ru-RU"/>
        </w:rPr>
        <w:t>; в іншому ж випадку абсолютно виправдано, що повинен нести відповідальність за свої дії.</w:t>
      </w:r>
    </w:p>
    <w:p w14:paraId="21C8D785" w14:textId="77777777" w:rsidR="00532C25" w:rsidRPr="00511005" w:rsidRDefault="00532C25" w:rsidP="00532C25">
      <w:pPr>
        <w:spacing w:line="264" w:lineRule="auto"/>
        <w:ind w:firstLine="708"/>
        <w:contextualSpacing/>
        <w:rPr>
          <w:rFonts w:ascii="Arial" w:eastAsia="Arial" w:hAnsi="Arial" w:cs="Arial"/>
          <w:szCs w:val="28"/>
          <w:lang w:val="ru" w:eastAsia="ru-RU"/>
        </w:rPr>
      </w:pPr>
      <w:r w:rsidRPr="00511005">
        <w:rPr>
          <w:rFonts w:ascii="Arial" w:eastAsia="Times New Roman" w:hAnsi="Arial" w:cs="Arial"/>
          <w:szCs w:val="28"/>
          <w:lang w:val="ru" w:eastAsia="ru-RU"/>
        </w:rPr>
        <w:t>Враховуючи наявність суперечностей в науковій спільності відносно кримінально-процесуальної відповідальності, варто на законодавчому рівні врегулювати дане питання. Доцільним було б передбачити даний вид відповідальності у главі третій, а саме параграфу другому “Сторона обвинувачення” КПК України. В окремій статті варто зазначити всі можливі види кримінально-процесуальної відповідальності до якої можна притягнути суб'єкта сторони обвинувачення.</w:t>
      </w:r>
    </w:p>
    <w:p w14:paraId="3100C6C2"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Звісно, було б ще краще передбачити і в яких випадках може застосовуватися конкретний вид відповідальності. Наприклад: слідчого можливо відсторонити від досудового розслідування в зв'язку із неефективністю: невчинення об’єктивно необхідних та можливих слідчих дій, невиконання письмових вказівок слідчим, порушення вимог розумності строків провадження.</w:t>
      </w:r>
    </w:p>
    <w:p w14:paraId="05D5D839"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Адже чітке визначення підстав та наслідків зможе усунути суперечності під час тлумачення тієї чи іншої статті, де наразі згадується кримінально-процесуальна відповідальність.</w:t>
      </w:r>
    </w:p>
    <w:p w14:paraId="77D4AAB7"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r w:rsidRPr="00511005">
        <w:rPr>
          <w:rFonts w:ascii="Arial" w:eastAsia="Times New Roman" w:hAnsi="Arial" w:cs="Arial"/>
          <w:szCs w:val="28"/>
          <w:lang w:val="ru" w:eastAsia="ru-RU"/>
        </w:rPr>
        <w:t>Врегулювання даних аспектів вплине позитивно на наукову спільноту, а головне суттєво зможе підвищити ефективність розслідування, запобігти зловживанням зі сторони обвинувачення, надасть чіткі варіанти можливостей застосування даного виду відповідальності.</w:t>
      </w:r>
    </w:p>
    <w:p w14:paraId="34A62E89" w14:textId="77777777" w:rsidR="00532C25" w:rsidRPr="00511005" w:rsidRDefault="00532C25" w:rsidP="00532C25">
      <w:pPr>
        <w:spacing w:line="264" w:lineRule="auto"/>
        <w:ind w:firstLine="708"/>
        <w:contextualSpacing/>
        <w:rPr>
          <w:rFonts w:ascii="Arial" w:eastAsia="Times New Roman" w:hAnsi="Arial" w:cs="Arial"/>
          <w:szCs w:val="28"/>
          <w:lang w:val="ru" w:eastAsia="ru-RU"/>
        </w:rPr>
      </w:pPr>
    </w:p>
    <w:p w14:paraId="66540194" w14:textId="77777777" w:rsidR="00532C25" w:rsidRPr="00511005" w:rsidRDefault="00532C25" w:rsidP="00532C25">
      <w:pPr>
        <w:spacing w:line="264" w:lineRule="auto"/>
        <w:contextualSpacing/>
        <w:jc w:val="center"/>
        <w:rPr>
          <w:rFonts w:ascii="Arial" w:eastAsia="Arial" w:hAnsi="Arial" w:cs="Arial"/>
          <w:b/>
          <w:iCs/>
          <w:szCs w:val="28"/>
          <w:lang w:val="ru" w:eastAsia="ru-RU"/>
        </w:rPr>
      </w:pPr>
      <w:r w:rsidRPr="00511005">
        <w:rPr>
          <w:rFonts w:ascii="Arial" w:eastAsia="Arial" w:hAnsi="Arial" w:cs="Arial"/>
          <w:b/>
          <w:iCs/>
          <w:szCs w:val="28"/>
          <w:lang w:val="uk-UA" w:eastAsia="ru-RU"/>
        </w:rPr>
        <w:t>Список використаних джерел</w:t>
      </w:r>
    </w:p>
    <w:p w14:paraId="3FCD735E"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ru" w:eastAsia="ru-RU"/>
        </w:rPr>
        <w:t xml:space="preserve">1. </w:t>
      </w:r>
      <w:r w:rsidRPr="00511005">
        <w:rPr>
          <w:rFonts w:ascii="Arial" w:eastAsia="Times New Roman" w:hAnsi="Arial" w:cs="Arial"/>
          <w:szCs w:val="28"/>
          <w:lang w:val="ru" w:eastAsia="ru-RU"/>
        </w:rPr>
        <w:t>Білокінь Р.М. Кримінально-процесуальна відповідальність: Монографія. – К</w:t>
      </w:r>
      <w:r w:rsidRPr="00511005">
        <w:rPr>
          <w:rFonts w:ascii="Arial" w:eastAsia="Times New Roman" w:hAnsi="Arial" w:cs="Arial"/>
          <w:szCs w:val="28"/>
          <w:lang w:val="uk-UA" w:eastAsia="ru-RU"/>
        </w:rPr>
        <w:t>иїв.</w:t>
      </w:r>
      <w:r w:rsidRPr="00511005">
        <w:rPr>
          <w:rFonts w:ascii="Arial" w:eastAsia="Times New Roman" w:hAnsi="Arial" w:cs="Arial"/>
          <w:szCs w:val="28"/>
          <w:lang w:val="ru" w:eastAsia="ru-RU"/>
        </w:rPr>
        <w:t xml:space="preserve"> </w:t>
      </w:r>
      <w:r w:rsidRPr="00511005">
        <w:rPr>
          <w:rFonts w:ascii="Arial" w:eastAsia="Times New Roman" w:hAnsi="Arial" w:cs="Arial"/>
          <w:i/>
          <w:szCs w:val="28"/>
          <w:lang w:val="ru" w:eastAsia="ru-RU"/>
        </w:rPr>
        <w:t>Видавничий центр «Кафедра»</w:t>
      </w:r>
      <w:r w:rsidRPr="00511005">
        <w:rPr>
          <w:rFonts w:ascii="Arial" w:eastAsia="Times New Roman" w:hAnsi="Arial" w:cs="Arial"/>
          <w:szCs w:val="28"/>
          <w:lang w:val="ru" w:eastAsia="ru-RU"/>
        </w:rPr>
        <w:t xml:space="preserve">, 2017. 430 с. URL: </w:t>
      </w:r>
      <w:hyperlink r:id="rId2154" w:tooltip="http://dspace.puet.edu.ua/handle/123456789/11466" w:history="1">
        <w:r w:rsidRPr="00511005">
          <w:rPr>
            <w:rFonts w:ascii="Arial" w:eastAsia="Courier New" w:hAnsi="Arial" w:cs="Arial"/>
            <w:szCs w:val="28"/>
            <w:lang w:val="ru" w:eastAsia="ru-RU"/>
          </w:rPr>
          <w:t>http://dspace.puet.edu.ua/handle/123456789/11466</w:t>
        </w:r>
      </w:hyperlink>
      <w:r w:rsidRPr="00511005">
        <w:rPr>
          <w:rFonts w:ascii="Arial" w:eastAsia="Courier New" w:hAnsi="Arial" w:cs="Arial"/>
          <w:szCs w:val="28"/>
          <w:lang w:val="ru" w:eastAsia="ru-RU"/>
        </w:rPr>
        <w:t>.</w:t>
      </w:r>
    </w:p>
    <w:p w14:paraId="47CFA681" w14:textId="77777777" w:rsidR="00532C25" w:rsidRPr="00511005" w:rsidRDefault="00532C25" w:rsidP="00532C25">
      <w:pPr>
        <w:pBdr>
          <w:top w:val="none" w:sz="4" w:space="0" w:color="000000"/>
          <w:left w:val="none" w:sz="4" w:space="0" w:color="000000"/>
          <w:bottom w:val="none" w:sz="4" w:space="0" w:color="000000"/>
          <w:right w:val="none" w:sz="4" w:space="0" w:color="000000"/>
        </w:pBdr>
        <w:spacing w:line="264" w:lineRule="auto"/>
        <w:ind w:firstLine="708"/>
        <w:contextualSpacing/>
        <w:rPr>
          <w:rFonts w:ascii="Arial" w:eastAsia="Times New Roman" w:hAnsi="Arial" w:cs="Arial"/>
          <w:szCs w:val="28"/>
          <w:lang w:val="uk-UA" w:eastAsia="ru-RU"/>
        </w:rPr>
      </w:pPr>
      <w:r w:rsidRPr="00511005">
        <w:rPr>
          <w:rFonts w:ascii="Arial" w:eastAsia="Times New Roman" w:hAnsi="Arial" w:cs="Arial"/>
          <w:szCs w:val="28"/>
          <w:lang w:val="ru" w:eastAsia="ru-RU"/>
        </w:rPr>
        <w:lastRenderedPageBreak/>
        <w:t>2</w:t>
      </w:r>
      <w:r w:rsidRPr="00511005">
        <w:rPr>
          <w:rFonts w:ascii="Arial" w:eastAsia="Arial" w:hAnsi="Arial" w:cs="Arial"/>
          <w:szCs w:val="28"/>
          <w:lang w:val="ru" w:eastAsia="ru-RU"/>
        </w:rPr>
        <w:t>.</w:t>
      </w:r>
      <w:r w:rsidRPr="00511005">
        <w:rPr>
          <w:rFonts w:ascii="Arial" w:eastAsia="Times New Roman" w:hAnsi="Arial" w:cs="Arial"/>
          <w:szCs w:val="28"/>
          <w:lang w:val="ru" w:eastAsia="ru-RU"/>
        </w:rPr>
        <w:t xml:space="preserve">Закон України </w:t>
      </w:r>
      <w:r w:rsidRPr="00511005">
        <w:rPr>
          <w:rFonts w:ascii="Arial" w:eastAsia="Times New Roman" w:hAnsi="Arial" w:cs="Arial"/>
          <w:szCs w:val="28"/>
          <w:lang w:val="uk-UA" w:eastAsia="ru-RU"/>
        </w:rPr>
        <w:t>«</w:t>
      </w:r>
      <w:r w:rsidRPr="00511005">
        <w:rPr>
          <w:rFonts w:ascii="Arial" w:eastAsia="Times New Roman" w:hAnsi="Arial" w:cs="Arial"/>
          <w:szCs w:val="28"/>
          <w:lang w:val="ru" w:eastAsia="ru-RU"/>
        </w:rPr>
        <w:t>Про Дисциплінарний статут органів внутрішніх справ України</w:t>
      </w:r>
      <w:r w:rsidRPr="00511005">
        <w:rPr>
          <w:rFonts w:ascii="Arial" w:eastAsia="Times New Roman" w:hAnsi="Arial" w:cs="Arial"/>
          <w:szCs w:val="28"/>
          <w:lang w:val="uk-UA" w:eastAsia="ru-RU"/>
        </w:rPr>
        <w:t>»</w:t>
      </w:r>
      <w:r w:rsidRPr="00511005">
        <w:rPr>
          <w:rFonts w:ascii="Arial" w:eastAsia="Times New Roman" w:hAnsi="Arial" w:cs="Arial"/>
          <w:szCs w:val="28"/>
          <w:lang w:val="ru" w:eastAsia="ru-RU"/>
        </w:rPr>
        <w:t xml:space="preserve"> від 22.02.200</w:t>
      </w:r>
      <w:r w:rsidRPr="00511005">
        <w:rPr>
          <w:rFonts w:ascii="Arial" w:eastAsia="Times New Roman" w:hAnsi="Arial" w:cs="Arial"/>
          <w:szCs w:val="28"/>
          <w:lang w:val="uk-UA" w:eastAsia="ru-RU"/>
        </w:rPr>
        <w:t xml:space="preserve">6. </w:t>
      </w:r>
      <w:r w:rsidRPr="00511005">
        <w:rPr>
          <w:rFonts w:ascii="Arial" w:eastAsia="Times New Roman" w:hAnsi="Arial" w:cs="Arial"/>
          <w:szCs w:val="28"/>
          <w:lang w:val="ru" w:eastAsia="ru-RU"/>
        </w:rPr>
        <w:t xml:space="preserve">// Відомості </w:t>
      </w:r>
      <w:proofErr w:type="gramStart"/>
      <w:r w:rsidRPr="00511005">
        <w:rPr>
          <w:rFonts w:ascii="Arial" w:eastAsia="Times New Roman" w:hAnsi="Arial" w:cs="Arial"/>
          <w:szCs w:val="28"/>
          <w:lang w:val="ru" w:eastAsia="ru-RU"/>
        </w:rPr>
        <w:t>Верховної</w:t>
      </w:r>
      <w:proofErr w:type="gramEnd"/>
      <w:r w:rsidRPr="00511005">
        <w:rPr>
          <w:rFonts w:ascii="Arial" w:eastAsia="Times New Roman" w:hAnsi="Arial" w:cs="Arial"/>
          <w:szCs w:val="28"/>
          <w:lang w:val="ru" w:eastAsia="ru-RU"/>
        </w:rPr>
        <w:t xml:space="preserve"> Ради України. 2006.</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ru" w:eastAsia="ru-RU"/>
        </w:rPr>
        <w:t xml:space="preserve">№ 29. </w:t>
      </w:r>
      <w:r w:rsidRPr="00511005">
        <w:rPr>
          <w:rFonts w:ascii="Arial" w:eastAsia="Times New Roman" w:hAnsi="Arial" w:cs="Arial"/>
          <w:szCs w:val="28"/>
          <w:lang w:val="en-US" w:eastAsia="ru-RU"/>
        </w:rPr>
        <w:t>URL</w:t>
      </w:r>
      <w:r w:rsidRPr="00511005">
        <w:rPr>
          <w:rFonts w:ascii="Arial" w:eastAsia="Times New Roman" w:hAnsi="Arial" w:cs="Arial"/>
          <w:szCs w:val="28"/>
          <w:lang w:val="ru" w:eastAsia="ru-RU"/>
        </w:rPr>
        <w:t xml:space="preserve">: </w:t>
      </w:r>
      <w:hyperlink r:id="rId2155" w:anchor="Text" w:tooltip="https://zakon.rada.gov.ua/laws/show/3460-15#Text" w:history="1">
        <w:r w:rsidRPr="00511005">
          <w:rPr>
            <w:rFonts w:ascii="Arial" w:eastAsia="Arial" w:hAnsi="Arial" w:cs="Arial"/>
            <w:szCs w:val="28"/>
            <w:lang w:val="ru" w:eastAsia="ru-RU"/>
          </w:rPr>
          <w:t>https://zakon.rada.gov.ua/laws/show/3460-15#Text</w:t>
        </w:r>
      </w:hyperlink>
      <w:r w:rsidRPr="00511005">
        <w:rPr>
          <w:rFonts w:ascii="Arial" w:eastAsia="Arial" w:hAnsi="Arial" w:cs="Arial"/>
          <w:szCs w:val="28"/>
          <w:lang w:val="ru" w:eastAsia="ru-RU"/>
        </w:rPr>
        <w:t>.</w:t>
      </w:r>
    </w:p>
    <w:p w14:paraId="0433760A" w14:textId="77777777" w:rsidR="00532C25" w:rsidRPr="00511005" w:rsidRDefault="00532C25" w:rsidP="00532C25">
      <w:pPr>
        <w:spacing w:line="264" w:lineRule="auto"/>
        <w:ind w:firstLine="708"/>
        <w:contextualSpacing/>
        <w:rPr>
          <w:rFonts w:ascii="Arial" w:eastAsia="Arial" w:hAnsi="Arial" w:cs="Arial"/>
          <w:szCs w:val="28"/>
          <w:lang w:val="ru" w:eastAsia="ru-RU"/>
        </w:rPr>
      </w:pPr>
      <w:r w:rsidRPr="00511005">
        <w:rPr>
          <w:rFonts w:ascii="Arial" w:eastAsia="Times New Roman" w:hAnsi="Arial" w:cs="Arial"/>
          <w:szCs w:val="28"/>
          <w:lang w:val="uk-UA" w:eastAsia="ru-RU"/>
        </w:rPr>
        <w:t xml:space="preserve">3.Кримінальний кодекс України від 5 квітня 2001 року // Відомості Верховної Ради України. – 2001. – № 25-26. </w:t>
      </w:r>
      <w:r w:rsidRPr="00511005">
        <w:rPr>
          <w:rFonts w:ascii="Arial" w:eastAsia="Times New Roman" w:hAnsi="Arial" w:cs="Arial"/>
          <w:szCs w:val="28"/>
          <w:lang w:val="en-US" w:eastAsia="ru-RU"/>
        </w:rPr>
        <w:t>URL</w:t>
      </w:r>
      <w:r w:rsidRPr="00511005">
        <w:rPr>
          <w:rFonts w:ascii="Arial" w:eastAsia="Times New Roman" w:hAnsi="Arial" w:cs="Arial"/>
          <w:szCs w:val="28"/>
          <w:lang w:val="ru" w:eastAsia="ru-RU"/>
        </w:rPr>
        <w:t xml:space="preserve">: </w:t>
      </w:r>
      <w:hyperlink r:id="rId2156" w:tooltip="http://zakon3.rada.gov.ua/laws/show/2341-14" w:history="1">
        <w:r w:rsidRPr="00511005">
          <w:rPr>
            <w:rFonts w:ascii="Arial" w:eastAsia="Arial" w:hAnsi="Arial" w:cs="Arial"/>
            <w:szCs w:val="28"/>
            <w:lang w:val="ru" w:eastAsia="ru-RU"/>
          </w:rPr>
          <w:t>http://zakon3.rada.gov.ua/laws/show/2341-14</w:t>
        </w:r>
      </w:hyperlink>
    </w:p>
    <w:p w14:paraId="45440293" w14:textId="77777777" w:rsidR="00532C25" w:rsidRPr="00511005" w:rsidRDefault="00532C25" w:rsidP="00532C25">
      <w:pPr>
        <w:spacing w:line="264" w:lineRule="auto"/>
        <w:ind w:firstLine="708"/>
        <w:contextualSpacing/>
        <w:rPr>
          <w:rFonts w:ascii="Arial" w:eastAsia="Arial" w:hAnsi="Arial" w:cs="Arial"/>
          <w:szCs w:val="28"/>
          <w:lang w:val="uk-UA" w:eastAsia="ru-RU"/>
        </w:rPr>
      </w:pPr>
      <w:r w:rsidRPr="00511005">
        <w:rPr>
          <w:rFonts w:ascii="Arial" w:eastAsia="Times New Roman" w:hAnsi="Arial" w:cs="Arial"/>
          <w:szCs w:val="28"/>
          <w:lang w:val="ru" w:eastAsia="ru-RU"/>
        </w:rPr>
        <w:t>4.Кримінально-процесуальний кодекс України від 1 груд. 2005 р. / Верховна Рада України</w:t>
      </w:r>
      <w:r w:rsidRPr="00511005">
        <w:rPr>
          <w:rFonts w:ascii="Arial" w:eastAsia="Times New Roman" w:hAnsi="Arial" w:cs="Arial"/>
          <w:szCs w:val="28"/>
          <w:lang w:val="uk-UA" w:eastAsia="ru-RU"/>
        </w:rPr>
        <w:t>.</w:t>
      </w:r>
      <w:r w:rsidRPr="00511005">
        <w:rPr>
          <w:rFonts w:ascii="Arial" w:eastAsia="Times New Roman" w:hAnsi="Arial" w:cs="Arial"/>
          <w:szCs w:val="28"/>
          <w:lang w:val="ru"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ru" w:eastAsia="ru-RU"/>
        </w:rPr>
        <w:t xml:space="preserve">: </w:t>
      </w:r>
      <w:hyperlink r:id="rId2157" w:tooltip="https://zakon.rada.gov.ua/laws/show/4651-17" w:history="1">
        <w:r w:rsidRPr="00511005">
          <w:rPr>
            <w:rFonts w:ascii="Arial" w:eastAsia="Arial" w:hAnsi="Arial" w:cs="Arial"/>
            <w:szCs w:val="28"/>
            <w:lang w:val="ru" w:eastAsia="ru-RU"/>
          </w:rPr>
          <w:t>https://zakon.rada.gov.ua/laws/show/4651-17</w:t>
        </w:r>
      </w:hyperlink>
      <w:r w:rsidRPr="00511005">
        <w:rPr>
          <w:rFonts w:ascii="Arial" w:eastAsia="Arial" w:hAnsi="Arial" w:cs="Arial"/>
          <w:szCs w:val="28"/>
          <w:lang w:val="ru" w:eastAsia="ru-RU"/>
        </w:rPr>
        <w:t>.</w:t>
      </w:r>
    </w:p>
    <w:p w14:paraId="5D2389EE" w14:textId="77777777" w:rsidR="00532C25" w:rsidRPr="00511005" w:rsidRDefault="00532C25" w:rsidP="00532C25">
      <w:pPr>
        <w:spacing w:line="264" w:lineRule="auto"/>
        <w:ind w:firstLine="708"/>
        <w:contextualSpacing/>
        <w:rPr>
          <w:rFonts w:ascii="Arial" w:eastAsia="Arial" w:hAnsi="Arial" w:cs="Arial"/>
          <w:szCs w:val="28"/>
          <w:lang w:val="uk-UA" w:eastAsia="ru-RU"/>
        </w:rPr>
      </w:pPr>
      <w:r w:rsidRPr="00511005">
        <w:rPr>
          <w:rFonts w:ascii="Arial" w:eastAsia="Times New Roman" w:hAnsi="Arial" w:cs="Arial"/>
          <w:szCs w:val="28"/>
          <w:lang w:val="ru" w:eastAsia="ru-RU"/>
        </w:rPr>
        <w:t xml:space="preserve">5. Кодекс України про адміністративні правопорушення від 07.12.84 </w:t>
      </w:r>
      <w:r w:rsidRPr="00511005">
        <w:rPr>
          <w:rFonts w:ascii="Arial" w:eastAsia="Times New Roman" w:hAnsi="Arial" w:cs="Arial"/>
          <w:szCs w:val="28"/>
          <w:lang w:val="en-US" w:eastAsia="ru-RU"/>
        </w:rPr>
        <w:t>URL</w:t>
      </w:r>
      <w:r w:rsidRPr="00511005">
        <w:rPr>
          <w:rFonts w:ascii="Arial" w:eastAsia="Times New Roman" w:hAnsi="Arial" w:cs="Arial"/>
          <w:szCs w:val="28"/>
          <w:lang w:val="ru" w:eastAsia="ru-RU"/>
        </w:rPr>
        <w:t>: https://zakon.rada.gov.ua/laws/show/80731-10#Text</w:t>
      </w:r>
      <w:r w:rsidRPr="00511005">
        <w:rPr>
          <w:rFonts w:ascii="Arial" w:eastAsia="Times New Roman" w:hAnsi="Arial" w:cs="Arial"/>
          <w:szCs w:val="28"/>
          <w:lang w:val="uk-UA" w:eastAsia="ru-RU"/>
        </w:rPr>
        <w:t>.</w:t>
      </w:r>
    </w:p>
    <w:p w14:paraId="376F6912" w14:textId="77777777" w:rsidR="00532C25" w:rsidRPr="00511005" w:rsidRDefault="00532C25" w:rsidP="00532C25">
      <w:pPr>
        <w:spacing w:line="264" w:lineRule="auto"/>
        <w:contextualSpacing/>
        <w:rPr>
          <w:rFonts w:ascii="Arial" w:eastAsia="Arial" w:hAnsi="Arial" w:cs="Arial"/>
          <w:bCs/>
          <w:i/>
          <w:szCs w:val="28"/>
          <w:lang w:val="uk-UA" w:eastAsia="ru-RU"/>
        </w:rPr>
      </w:pPr>
      <w:r w:rsidRPr="00511005">
        <w:rPr>
          <w:rFonts w:ascii="Arial" w:eastAsia="Times New Roman" w:hAnsi="Arial" w:cs="Arial"/>
          <w:szCs w:val="28"/>
          <w:lang w:val="ru" w:eastAsia="ru-RU"/>
        </w:rPr>
        <w:t xml:space="preserve">6.Постанова ККС ВС від 04.06.2020 у справі №742/318/18. </w:t>
      </w:r>
      <w:r w:rsidRPr="00511005">
        <w:rPr>
          <w:rFonts w:ascii="Arial" w:eastAsia="Times New Roman" w:hAnsi="Arial" w:cs="Arial"/>
          <w:szCs w:val="28"/>
          <w:lang w:val="pl-PL" w:eastAsia="ru-RU"/>
        </w:rPr>
        <w:t xml:space="preserve">URL: </w:t>
      </w:r>
      <w:hyperlink r:id="rId2158" w:tooltip="https://reyestr.court.gov.ua/Review/89733004" w:history="1">
        <w:r w:rsidRPr="00511005">
          <w:rPr>
            <w:rFonts w:ascii="Arial" w:eastAsia="Arial" w:hAnsi="Arial" w:cs="Arial"/>
            <w:szCs w:val="28"/>
            <w:lang w:val="pl-PL" w:eastAsia="ru-RU"/>
          </w:rPr>
          <w:t>https://reyestr.court.gov.ua/Review/89733004</w:t>
        </w:r>
      </w:hyperlink>
      <w:r w:rsidRPr="00511005">
        <w:rPr>
          <w:rFonts w:ascii="Arial" w:eastAsia="Arial" w:hAnsi="Arial" w:cs="Arial"/>
          <w:szCs w:val="28"/>
          <w:lang w:val="pl-PL" w:eastAsia="ru-RU"/>
        </w:rPr>
        <w:t>.</w:t>
      </w:r>
    </w:p>
    <w:p w14:paraId="481EA9CF"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Times New Roman" w:hAnsi="Arial" w:cs="Arial"/>
          <w:bCs/>
          <w:szCs w:val="28"/>
          <w:lang w:val="uk-UA" w:eastAsia="ru-RU"/>
        </w:rPr>
        <w:t>7.</w:t>
      </w:r>
      <w:r w:rsidRPr="00511005">
        <w:rPr>
          <w:rFonts w:ascii="Arial" w:eastAsia="Times New Roman" w:hAnsi="Arial" w:cs="Arial"/>
          <w:szCs w:val="28"/>
          <w:lang w:val="uk-UA" w:eastAsia="ru-RU"/>
        </w:rPr>
        <w:t>Цивільний кодекс України від 16.01.2003 р. № 435-</w:t>
      </w:r>
      <w:r w:rsidRPr="00511005">
        <w:rPr>
          <w:rFonts w:ascii="Arial" w:eastAsia="Times New Roman" w:hAnsi="Arial" w:cs="Arial"/>
          <w:szCs w:val="28"/>
          <w:lang w:val="en-US" w:eastAsia="ru-RU"/>
        </w:rPr>
        <w:t>IV</w:t>
      </w:r>
      <w:r w:rsidRPr="00511005">
        <w:rPr>
          <w:rFonts w:ascii="Arial" w:eastAsia="Times New Roman" w:hAnsi="Arial" w:cs="Arial"/>
          <w:szCs w:val="28"/>
          <w:lang w:val="uk-UA" w:eastAsia="ru-RU"/>
        </w:rPr>
        <w:t xml:space="preserve">// Відомості Верховної Ради України. 2003. № 40-44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2159" w:tooltip="http://zakon2.rada.gov.ua/laws/show/435-15" w:history="1">
        <w:r w:rsidRPr="00511005">
          <w:rPr>
            <w:rFonts w:ascii="Arial" w:eastAsia="Arial" w:hAnsi="Arial" w:cs="Arial"/>
            <w:szCs w:val="28"/>
            <w:lang w:val="ru" w:eastAsia="ru-RU"/>
          </w:rPr>
          <w:t>http</w:t>
        </w:r>
        <w:r w:rsidRPr="00511005">
          <w:rPr>
            <w:rFonts w:ascii="Arial" w:eastAsia="Arial" w:hAnsi="Arial" w:cs="Arial"/>
            <w:szCs w:val="28"/>
            <w:lang w:val="uk-UA" w:eastAsia="ru-RU"/>
          </w:rPr>
          <w:t>://</w:t>
        </w:r>
        <w:r w:rsidRPr="00511005">
          <w:rPr>
            <w:rFonts w:ascii="Arial" w:eastAsia="Arial" w:hAnsi="Arial" w:cs="Arial"/>
            <w:szCs w:val="28"/>
            <w:lang w:val="ru" w:eastAsia="ru-RU"/>
          </w:rPr>
          <w:t>zakon</w:t>
        </w:r>
        <w:r w:rsidRPr="00511005">
          <w:rPr>
            <w:rFonts w:ascii="Arial" w:eastAsia="Arial" w:hAnsi="Arial" w:cs="Arial"/>
            <w:szCs w:val="28"/>
            <w:lang w:val="uk-UA" w:eastAsia="ru-RU"/>
          </w:rPr>
          <w:t>2.</w:t>
        </w:r>
        <w:r w:rsidRPr="00511005">
          <w:rPr>
            <w:rFonts w:ascii="Arial" w:eastAsia="Arial" w:hAnsi="Arial" w:cs="Arial"/>
            <w:szCs w:val="28"/>
            <w:lang w:val="ru" w:eastAsia="ru-RU"/>
          </w:rPr>
          <w:t>rada</w:t>
        </w:r>
        <w:r w:rsidRPr="00511005">
          <w:rPr>
            <w:rFonts w:ascii="Arial" w:eastAsia="Arial" w:hAnsi="Arial" w:cs="Arial"/>
            <w:szCs w:val="28"/>
            <w:lang w:val="uk-UA" w:eastAsia="ru-RU"/>
          </w:rPr>
          <w:t>.</w:t>
        </w:r>
        <w:r w:rsidRPr="00511005">
          <w:rPr>
            <w:rFonts w:ascii="Arial" w:eastAsia="Arial" w:hAnsi="Arial" w:cs="Arial"/>
            <w:szCs w:val="28"/>
            <w:lang w:val="ru" w:eastAsia="ru-RU"/>
          </w:rPr>
          <w:t>gov</w:t>
        </w:r>
        <w:r w:rsidRPr="00511005">
          <w:rPr>
            <w:rFonts w:ascii="Arial" w:eastAsia="Arial" w:hAnsi="Arial" w:cs="Arial"/>
            <w:szCs w:val="28"/>
            <w:lang w:val="uk-UA" w:eastAsia="ru-RU"/>
          </w:rPr>
          <w:t>.</w:t>
        </w:r>
        <w:r w:rsidRPr="00511005">
          <w:rPr>
            <w:rFonts w:ascii="Arial" w:eastAsia="Arial" w:hAnsi="Arial" w:cs="Arial"/>
            <w:szCs w:val="28"/>
            <w:lang w:val="ru" w:eastAsia="ru-RU"/>
          </w:rPr>
          <w:t>ua</w:t>
        </w:r>
        <w:r w:rsidRPr="00511005">
          <w:rPr>
            <w:rFonts w:ascii="Arial" w:eastAsia="Arial" w:hAnsi="Arial" w:cs="Arial"/>
            <w:szCs w:val="28"/>
            <w:lang w:val="uk-UA" w:eastAsia="ru-RU"/>
          </w:rPr>
          <w:t>/</w:t>
        </w:r>
        <w:r w:rsidRPr="00511005">
          <w:rPr>
            <w:rFonts w:ascii="Arial" w:eastAsia="Arial" w:hAnsi="Arial" w:cs="Arial"/>
            <w:szCs w:val="28"/>
            <w:lang w:val="ru" w:eastAsia="ru-RU"/>
          </w:rPr>
          <w:t>laws</w:t>
        </w:r>
        <w:r w:rsidRPr="00511005">
          <w:rPr>
            <w:rFonts w:ascii="Arial" w:eastAsia="Arial" w:hAnsi="Arial" w:cs="Arial"/>
            <w:szCs w:val="28"/>
            <w:lang w:val="uk-UA" w:eastAsia="ru-RU"/>
          </w:rPr>
          <w:t>/</w:t>
        </w:r>
        <w:r w:rsidRPr="00511005">
          <w:rPr>
            <w:rFonts w:ascii="Arial" w:eastAsia="Arial" w:hAnsi="Arial" w:cs="Arial"/>
            <w:szCs w:val="28"/>
            <w:lang w:val="ru" w:eastAsia="ru-RU"/>
          </w:rPr>
          <w:t>show</w:t>
        </w:r>
        <w:r w:rsidRPr="00511005">
          <w:rPr>
            <w:rFonts w:ascii="Arial" w:eastAsia="Arial" w:hAnsi="Arial" w:cs="Arial"/>
            <w:szCs w:val="28"/>
            <w:lang w:val="uk-UA" w:eastAsia="ru-RU"/>
          </w:rPr>
          <w:t>/435-15</w:t>
        </w:r>
      </w:hyperlink>
      <w:r w:rsidRPr="00511005">
        <w:rPr>
          <w:rFonts w:ascii="Arial" w:eastAsia="Arial" w:hAnsi="Arial" w:cs="Arial"/>
          <w:szCs w:val="28"/>
          <w:lang w:val="uk-UA" w:eastAsia="ru-RU"/>
        </w:rPr>
        <w:t>.</w:t>
      </w:r>
    </w:p>
    <w:p w14:paraId="5B6554F8" w14:textId="77777777" w:rsidR="00532C25" w:rsidRPr="00511005" w:rsidRDefault="00532C25" w:rsidP="00532C25">
      <w:pPr>
        <w:spacing w:line="264" w:lineRule="auto"/>
        <w:contextualSpacing/>
        <w:rPr>
          <w:rFonts w:ascii="Arial" w:eastAsia="Arial" w:hAnsi="Arial" w:cs="Arial"/>
          <w:szCs w:val="28"/>
          <w:lang w:val="uk-UA" w:eastAsia="ru-RU"/>
        </w:rPr>
      </w:pPr>
    </w:p>
    <w:p w14:paraId="5979A813"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b/>
          <w:i/>
          <w:szCs w:val="28"/>
          <w:lang w:val="uk-UA" w:eastAsia="ru-RU"/>
        </w:rPr>
        <w:t xml:space="preserve">Ключові слова: </w:t>
      </w:r>
      <w:r w:rsidRPr="00511005">
        <w:rPr>
          <w:rFonts w:ascii="Arial" w:eastAsia="Arial" w:hAnsi="Arial" w:cs="Arial"/>
          <w:szCs w:val="28"/>
          <w:lang w:val="uk-UA" w:eastAsia="ru-RU"/>
        </w:rPr>
        <w:t>слідчий, юридична відповідальність, кримінально-процесуальна відповідальність, кримінальне провадження, Кримінально-процесуальний кодекс України.</w:t>
      </w:r>
    </w:p>
    <w:p w14:paraId="2B31D604" w14:textId="77777777" w:rsidR="00532C25" w:rsidRPr="00511005" w:rsidRDefault="00532C25" w:rsidP="00532C25">
      <w:pPr>
        <w:spacing w:line="264" w:lineRule="auto"/>
        <w:contextualSpacing/>
        <w:rPr>
          <w:rFonts w:ascii="Arial" w:eastAsia="Arial" w:hAnsi="Arial" w:cs="Arial"/>
          <w:szCs w:val="28"/>
          <w:lang w:val="en-US" w:eastAsia="ru-RU"/>
        </w:rPr>
      </w:pPr>
      <w:r w:rsidRPr="00511005">
        <w:rPr>
          <w:rFonts w:ascii="Arial" w:eastAsia="Arial" w:hAnsi="Arial" w:cs="Arial"/>
          <w:b/>
          <w:i/>
          <w:szCs w:val="28"/>
          <w:lang w:val="en-US" w:eastAsia="ru-RU"/>
        </w:rPr>
        <w:t xml:space="preserve">Key words: </w:t>
      </w:r>
      <w:r w:rsidRPr="00511005">
        <w:rPr>
          <w:rFonts w:ascii="Arial" w:eastAsia="Arial" w:hAnsi="Arial" w:cs="Arial"/>
          <w:szCs w:val="28"/>
          <w:lang w:val="en-US" w:eastAsia="ru-RU"/>
        </w:rPr>
        <w:t>investigator, legal liability, criminal procedural responsibility, criminal proceedings</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Criminal Procedure Code of Ukraine.</w:t>
      </w:r>
    </w:p>
    <w:p w14:paraId="31EC2D9F" w14:textId="77777777" w:rsidR="00532C25" w:rsidRPr="00511005" w:rsidRDefault="00532C25" w:rsidP="00532C25">
      <w:pPr>
        <w:spacing w:line="264" w:lineRule="auto"/>
        <w:contextualSpacing/>
        <w:rPr>
          <w:rFonts w:ascii="Arial" w:eastAsia="Times New Roman" w:hAnsi="Arial" w:cs="Arial"/>
          <w:bCs/>
          <w:i/>
          <w:iCs/>
          <w:szCs w:val="28"/>
          <w:lang w:val="ru" w:eastAsia="ru-RU"/>
        </w:rPr>
      </w:pPr>
      <w:r w:rsidRPr="00511005">
        <w:rPr>
          <w:rFonts w:ascii="Arial" w:eastAsia="Times New Roman" w:hAnsi="Arial" w:cs="Arial"/>
          <w:b/>
          <w:bCs/>
          <w:i/>
          <w:iCs/>
          <w:szCs w:val="28"/>
          <w:lang w:val="ru" w:eastAsia="ru-RU"/>
        </w:rPr>
        <w:t xml:space="preserve">Науковий керівник: </w:t>
      </w:r>
      <w:r w:rsidRPr="00511005">
        <w:rPr>
          <w:rFonts w:ascii="Arial" w:eastAsia="Times New Roman" w:hAnsi="Arial" w:cs="Arial"/>
          <w:bCs/>
          <w:i/>
          <w:iCs/>
          <w:szCs w:val="28"/>
          <w:lang w:val="ru" w:eastAsia="ru-RU"/>
        </w:rPr>
        <w:t xml:space="preserve">к.ю.н., доцент </w:t>
      </w:r>
      <w:r w:rsidRPr="00511005">
        <w:rPr>
          <w:rFonts w:ascii="Arial" w:eastAsia="Times New Roman" w:hAnsi="Arial" w:cs="Arial"/>
          <w:bCs/>
          <w:i/>
          <w:iCs/>
          <w:szCs w:val="28"/>
          <w:lang w:val="uk-UA" w:eastAsia="ru-RU"/>
        </w:rPr>
        <w:t>Пожар В. Г.</w:t>
      </w:r>
    </w:p>
    <w:p w14:paraId="4C9F0241" w14:textId="77777777" w:rsidR="00532C25" w:rsidRPr="00511005" w:rsidRDefault="00532C25" w:rsidP="00532C25">
      <w:pPr>
        <w:spacing w:line="264" w:lineRule="auto"/>
        <w:ind w:firstLine="0"/>
        <w:rPr>
          <w:rFonts w:ascii="Arial" w:eastAsia="Arial" w:hAnsi="Arial" w:cs="Arial"/>
          <w:szCs w:val="28"/>
          <w:lang w:val="ru" w:eastAsia="ru-RU"/>
        </w:rPr>
      </w:pPr>
    </w:p>
    <w:p w14:paraId="0B265B1F" w14:textId="77777777" w:rsidR="00532C25" w:rsidRPr="00511005" w:rsidRDefault="00532C25" w:rsidP="00532C25">
      <w:pPr>
        <w:spacing w:line="264" w:lineRule="auto"/>
        <w:ind w:firstLine="0"/>
        <w:jc w:val="center"/>
        <w:rPr>
          <w:rFonts w:ascii="Arial" w:eastAsia="Arial" w:hAnsi="Arial" w:cs="Arial"/>
          <w:b/>
          <w:i/>
          <w:szCs w:val="28"/>
          <w:lang w:val="uk-UA" w:eastAsia="ru-RU"/>
        </w:rPr>
      </w:pPr>
      <w:r w:rsidRPr="00511005">
        <w:rPr>
          <w:rFonts w:ascii="Arial" w:eastAsia="Arial" w:hAnsi="Arial" w:cs="Arial"/>
          <w:b/>
          <w:i/>
          <w:szCs w:val="28"/>
          <w:lang w:val="uk-UA" w:eastAsia="ru-RU"/>
        </w:rPr>
        <w:t>Волошенюк Олександра Юріївна</w:t>
      </w:r>
    </w:p>
    <w:p w14:paraId="59827021" w14:textId="77777777" w:rsidR="00532C25" w:rsidRPr="00511005" w:rsidRDefault="00532C25" w:rsidP="00532C25">
      <w:pPr>
        <w:spacing w:line="264" w:lineRule="auto"/>
        <w:ind w:firstLine="0"/>
        <w:jc w:val="center"/>
        <w:rPr>
          <w:rFonts w:ascii="Arial" w:eastAsia="Arial" w:hAnsi="Arial" w:cs="Arial"/>
          <w:iCs/>
          <w:szCs w:val="28"/>
          <w:lang w:val="uk-UA" w:eastAsia="ru-RU"/>
        </w:rPr>
      </w:pPr>
      <w:r w:rsidRPr="00511005">
        <w:rPr>
          <w:rFonts w:ascii="Arial" w:eastAsia="Arial" w:hAnsi="Arial" w:cs="Arial"/>
          <w:iCs/>
          <w:szCs w:val="28"/>
          <w:lang w:val="uk-UA" w:eastAsia="ru-RU"/>
        </w:rPr>
        <w:t>студентка 1-го курсу магістратури факультету цивільної та господарської юстиції</w:t>
      </w:r>
    </w:p>
    <w:p w14:paraId="7C1480D8" w14:textId="77777777" w:rsidR="00532C25" w:rsidRPr="00511005" w:rsidRDefault="00532C25" w:rsidP="00532C25">
      <w:pPr>
        <w:spacing w:line="264" w:lineRule="auto"/>
        <w:ind w:firstLine="0"/>
        <w:jc w:val="center"/>
        <w:rPr>
          <w:rFonts w:ascii="Arial" w:eastAsia="Arial" w:hAnsi="Arial" w:cs="Arial"/>
          <w:szCs w:val="28"/>
          <w:lang w:val="ru" w:eastAsia="ru-RU"/>
        </w:rPr>
      </w:pPr>
      <w:r w:rsidRPr="00511005">
        <w:rPr>
          <w:rFonts w:ascii="Arial" w:eastAsia="Arial" w:hAnsi="Arial" w:cs="Arial"/>
          <w:szCs w:val="28"/>
          <w:lang w:val="uk-UA" w:eastAsia="ru-RU"/>
        </w:rPr>
        <w:t>Національного університету «Одеська юридична академія»</w:t>
      </w:r>
    </w:p>
    <w:p w14:paraId="399FDD06" w14:textId="77777777" w:rsidR="00532C25" w:rsidRPr="00511005" w:rsidRDefault="00532C25" w:rsidP="00532C25">
      <w:pPr>
        <w:spacing w:line="264" w:lineRule="auto"/>
        <w:ind w:firstLine="0"/>
        <w:rPr>
          <w:rFonts w:ascii="Arial" w:eastAsia="Arial" w:hAnsi="Arial" w:cs="Arial"/>
          <w:b/>
          <w:i/>
          <w:szCs w:val="28"/>
          <w:lang w:val="ru" w:eastAsia="ru-RU"/>
        </w:rPr>
      </w:pPr>
    </w:p>
    <w:p w14:paraId="44EF0114" w14:textId="77777777" w:rsidR="00532C25" w:rsidRPr="00511005" w:rsidRDefault="00532C25" w:rsidP="00532C25">
      <w:pPr>
        <w:spacing w:line="264" w:lineRule="auto"/>
        <w:ind w:firstLine="0"/>
        <w:jc w:val="center"/>
        <w:rPr>
          <w:rFonts w:ascii="Arial" w:eastAsia="Arial" w:hAnsi="Arial" w:cs="Arial"/>
          <w:b/>
          <w:szCs w:val="28"/>
          <w:lang w:val="uk-UA" w:eastAsia="ru-RU"/>
        </w:rPr>
      </w:pPr>
      <w:r w:rsidRPr="00511005">
        <w:rPr>
          <w:rFonts w:ascii="Arial" w:eastAsia="Arial" w:hAnsi="Arial" w:cs="Arial"/>
          <w:b/>
          <w:szCs w:val="28"/>
          <w:lang w:val="uk-UA" w:eastAsia="ru-RU"/>
        </w:rPr>
        <w:t>ЕЛЕКТРОННІ ДОКАЗИ У ПРОВАДЖЕННІ ПРО ВОЄННІ ЗЛОЧИНИ</w:t>
      </w:r>
    </w:p>
    <w:p w14:paraId="20092433"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 xml:space="preserve">В умовах сучасного збройного конфлікту особливого значення набувають електронні докази — новий, але вкрай ефективний інструмент фіксації подій, пов’язаних із воєнними злочинами. Цифрові технології, зокрема відеозаписи з мобільних пристроїв, супутникові знімки, дані з камер спостереження, переписка в месенджерах та інформація з соціальних мереж, дозволяють не лише оперативно фіксувати події, а й виступати джерелом доказів у кримінальному провадженні. </w:t>
      </w:r>
    </w:p>
    <w:p w14:paraId="19BE7A64"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 xml:space="preserve">Проте використання таких матеріалів потребує дотримання низки кримінально-процесуальних вимог щодо їх допустимості, достовірності та належного процесуального оформлення. Метою цієї роботи є дослідження сутності електронних доказів, особливостей їх збору, зберігання та використання в кримінальному провадженні щодо воєнних злочинів. Також </w:t>
      </w:r>
      <w:r w:rsidRPr="00511005">
        <w:rPr>
          <w:rFonts w:ascii="Arial" w:eastAsia="Arial" w:hAnsi="Arial" w:cs="Arial"/>
          <w:szCs w:val="28"/>
          <w:lang w:val="uk-UA" w:eastAsia="ru-RU"/>
        </w:rPr>
        <w:lastRenderedPageBreak/>
        <w:t>увагу буде приділено питанню, щодо ролі відкритих джерел інформації (OSINT) як нового джерела доказової бази.</w:t>
      </w:r>
    </w:p>
    <w:p w14:paraId="3B6A1B35"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Розгляд питання про електронні докази доцільно розпочати із загального визначення терміна «доказ» у кримінальному процесі. Відповідно до статті 84 Кримінального процесуального кодексу України, доказами у кримінальному провадженні є фактичні дані, отримані у передбаченому законом порядку, на підставі яких слідчий, прокурор, слідчий суддя та суд встановлюють наявність чи відсутність фактів і обставин, що мають значення для справи.[1]</w:t>
      </w:r>
    </w:p>
    <w:p w14:paraId="70A281AA"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Електронні докази є важливими документами у кримінальному процесі, а носії інформації, на яких вони зберігаються, вважаються речовими доказами. Згідно з ч. 1 ст. 99 Кримінального процесуального кодексу України, документом є матеріальний об'єкт, створений для збереження інформації, що може бути використана для встановлення фактів у кримінальній справі. До таких документів відносяться фотознімки, відео, аудіофайли та комп’ютерні дані. Оригіналом електронного документа є його цифрове відображення, яке має таку ж юридичну силу, як традиційний документ (ч. 3 ст. 99 КПК України). Копії електронних даних, виготовлені слідчим або прокурором, можуть бути визнані оригіналами за умови їх належного оформлення (ч. 4 ст. 99 КПК України).[2]</w:t>
      </w:r>
    </w:p>
    <w:p w14:paraId="2555468E"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Згідно з законом "Про електронні документи та електронний документообіг", кожен електронний примірник документа, збережений на різних носіях, вважається оригіналом. Це дозволяє зберігати та використовувати електронні докази на різних платформах без втрати їх юридичної сили.</w:t>
      </w:r>
    </w:p>
    <w:p w14:paraId="5380695C"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До електронних доказів відносяться текстові документи, фотографії, відеозаписи, дані з месенджерів і соціальних мереж, а також інформація з мобільних пристроїв і вебсайтів. У випадку воєнних злочинів такі докази стають незамінними для документування порушень міжнародного гуманітарного права та підтвердження фактів злочинів.</w:t>
      </w:r>
    </w:p>
    <w:p w14:paraId="0056DBF9"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Електронні докази відіграють важливу роль у сучасному кримінальному процесі, від мобільних відеозаписів до супутникових знімків, соціальних мереж та електронних листів — ці документи можуть бути вирішальними для встановлення фактів і розкриття обставин справи. Однак їх використання вимагає чіткої відповідності до кримінально-процесуальних вимог.</w:t>
      </w:r>
    </w:p>
    <w:p w14:paraId="1F418200"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 xml:space="preserve">Належність доказів визначається через їх зв'язок з обставинами справи, що підлягають доказуванню. Наприклад, якщо документ або електронний запис безпосередньо стосується фактичних обставин, він є належним. В іншому випадку, такий доказ може бути відкинутий як неналежний, без значення для розслідування. Проте навіть відкинуті докази можуть мати важливе значення на різних етапах процесу, оскільки вони </w:t>
      </w:r>
      <w:r w:rsidRPr="00511005">
        <w:rPr>
          <w:rFonts w:ascii="Arial" w:eastAsia="Arial" w:hAnsi="Arial" w:cs="Arial"/>
          <w:szCs w:val="28"/>
          <w:lang w:val="uk-UA" w:eastAsia="ru-RU"/>
        </w:rPr>
        <w:lastRenderedPageBreak/>
        <w:t>можуть підтвердити або спростувати певні версії подій. У сучасних умовах інформаційної війни, маніпулювання через соціальні мережі та Інтернет є суттєвою загрозою для безпеки та прав людини. Важливі кримінальні справи, включаючи ті, що стосуються радикальних організацій або інтернет-шахрайства, часто базуються на електронних доказах, зібраних із соціальних мереж, електронних листів та інших онлайн-ресурсів.</w:t>
      </w:r>
    </w:p>
    <w:p w14:paraId="2F2509BA"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Допустимість доказів залежить від того, чи було їх зібрання здійснено в межах закону. Навіть належний доказ може бути визнаний недопустимим, якщо його здобуття порушує процесуальні норми, наприклад, через недостатню документацію або неналежне зберігання інформації. Для забезпечення його допустимості необхідно дотримуватись чітких вимог щодо оформлення, ідентифікації джерела та дій, які здійснювались при зборі доказу.[3]</w:t>
      </w:r>
    </w:p>
    <w:p w14:paraId="3AF2F0A0"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Достовірність електронних доказів вимагає ретельної перевірки. Це включає технічну перевірку джерела, пристроїв та способів збору даних. Наприклад, відео чи фотографії, що містять важливі докази воєнного злочину, повинні бути перевірені на відповідність реальним подіям. Якщо існують сумніви щодо автентичності таких доказів, їх не можна використовувати без додаткових підтверджень.</w:t>
      </w:r>
    </w:p>
    <w:p w14:paraId="1505EB9E"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Одним із перспективних джерел отримання вагомої інформації для досудового розслідування є технологія OSINT (Open Source Intelligence), яка дозволяє збирати та аналізувати інформацію з відкритих джерел, таких як соціальні мережі, вебсайти, відеохостинги, платформи для обміну даними тощо. OSINT стає особливо важливим у контексті сучасних воєнних конфліктів, де значна частина інформації про порушення міжнародного гуманітарного права, воєнні злочини, дії агресора або жертви злочинів може бути отримана з відкритих ресурсів.</w:t>
      </w:r>
    </w:p>
    <w:p w14:paraId="1F2CB66F"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У міжнародній практиці можна навести приклад застосування OSINT для винесення ордеру на арешт. Одним із яскравих прикладів є арешт Махмуда Мустафи Бусайфа Аль-Верфаллі — командира бригади «Аль-Сайка» Лівійської національної армії, якого було засуджено за воєнні злочини, зокрема умисне вбивство. Ордер на арешт був виданий Міжнародним кримінальним судом на основі інформації з відкритих джерел. Сім відеозаписів, опублікованих у соціальних мережах, стали ключовими доказами для суду в засудженні Аль-Верфаллі. Такий підхід відкриває нові горизонти для кримінальних розслідувань, де роль OSINT не можна недооцінювати. В умовах глобалізованого світу та сучасних технологій значна частина інформації доступна для публічного доступу, що дає змогу використовувати її у судовому процесі для підтвердження фактів воєнних злочинів.</w:t>
      </w:r>
    </w:p>
    <w:p w14:paraId="115F9658"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 xml:space="preserve">При цьому, збір доказів через OSINT (Open Source Intelligence) вимагає від слідчого високої кваліфікації в питаннях інформаційної безпеки та </w:t>
      </w:r>
      <w:r w:rsidRPr="00511005">
        <w:rPr>
          <w:rFonts w:ascii="Arial" w:eastAsia="Arial" w:hAnsi="Arial" w:cs="Arial"/>
          <w:szCs w:val="28"/>
          <w:lang w:val="uk-UA" w:eastAsia="ru-RU"/>
        </w:rPr>
        <w:lastRenderedPageBreak/>
        <w:t>конфіденційності. Зокрема, потрібно дотримуватися принципів підзвітності, компетентності та об'єктивності під час проведення таких розслідувань. Велике значення має забезпечення безпеки даних, а також захисту особистої інформації слідчого або прокурора, що може бути піддано ризику через деанонімізацію в разі неналежного використання інструментів для збору даних. Для цього використовуються анонімні мережі та спеціалізоване програмне забезпечення для безпечного збору та зберігання інформації.</w:t>
      </w:r>
    </w:p>
    <w:p w14:paraId="1B177587"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Однією з ключових проблем, з якими стикаються слідчі під час роботи з електронними доказами, є правова допустимість таких доказів. Важливо не лише забезпечити правильне зберігання даних, а й дотримуватися вимог щодо їх фіксації, оскільки навіть найважливіші електронні докази можуть бути визнані недопустимими, якщо вони зібрані з порушенням процесуальних норм. Це може стосуватися як невірної ідентифікації джерела даних, так і неналежного зберігання чи обробки інформації. Особливо це стосується електронних доказів, отриманих через відкриті джерела в Інтернеті, де існує ризик маніпуляцій з інформацією.[4]</w:t>
      </w:r>
    </w:p>
    <w:p w14:paraId="6E04816D"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 xml:space="preserve">В Україні методи OSINT (розвідка на основі відкритих джерел) активно використовуються для розслідування воєнних злочинів, скоєних під час збройної агресії Росії. Це дозволяє слідчим і прокурорам ефективно отримувати необхідну інформацію для підтвердження фактів порушення міжнародного гуманітарного права. Також, Національна школа суддів України проводить тренінг для суддів з місцевих судів, щоб підвищити їхню кваліфікацію в розслідуванні воєнних злочинів з використанням OSINT. Під час навчання обговорювались принципи доказування та оцінка доказів, що стосуються критичної інфраструктури. </w:t>
      </w:r>
    </w:p>
    <w:p w14:paraId="3DE61414"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Отже, електронні докази є незамінним інструментом у розслідуваннях воєнних злочинів, надаючи можливість швидко і точно фіксувати події та отримувати важливу інформацію для розкриття справ. Завдяки розвитку технологій, такі докази, як відео, фото, дані з соціальних мереж і мобільних пристроїв, стають основою для ефективного доведення фактів порушення міжнародного та національного законодавства. Методи OSINT, що включають збір і аналіз відкритих джерел, додають нові можливості для розслідувань, особливо у контексті сучасних воєнних конфліктів. Водночас використання таких доказів вимагає високої кваліфікації правоохоронців і суддів для дотримання процедурних вимог і забезпечення їх достовірності.</w:t>
      </w:r>
    </w:p>
    <w:p w14:paraId="3E9D293E" w14:textId="77777777" w:rsidR="00532C25" w:rsidRPr="00511005" w:rsidRDefault="00532C25" w:rsidP="00532C25">
      <w:pPr>
        <w:spacing w:line="264" w:lineRule="auto"/>
        <w:ind w:firstLine="720"/>
        <w:rPr>
          <w:rFonts w:ascii="Arial" w:eastAsia="Arial" w:hAnsi="Arial" w:cs="Arial"/>
          <w:b/>
          <w:bCs/>
          <w:szCs w:val="28"/>
          <w:lang w:val="uk-UA" w:eastAsia="ru-RU"/>
        </w:rPr>
      </w:pPr>
    </w:p>
    <w:p w14:paraId="2E441188" w14:textId="77777777" w:rsidR="00532C25" w:rsidRPr="00511005" w:rsidRDefault="00532C25" w:rsidP="00532C25">
      <w:pPr>
        <w:spacing w:line="264" w:lineRule="auto"/>
        <w:ind w:firstLine="720"/>
        <w:jc w:val="center"/>
        <w:rPr>
          <w:rFonts w:ascii="Arial" w:eastAsia="Arial" w:hAnsi="Arial" w:cs="Arial"/>
          <w:b/>
          <w:bCs/>
          <w:szCs w:val="28"/>
          <w:lang w:val="uk-UA" w:eastAsia="ru-RU"/>
        </w:rPr>
      </w:pPr>
      <w:r w:rsidRPr="00511005">
        <w:rPr>
          <w:rFonts w:ascii="Arial" w:eastAsia="Arial" w:hAnsi="Arial" w:cs="Arial"/>
          <w:b/>
          <w:bCs/>
          <w:szCs w:val="28"/>
          <w:lang w:val="uk-UA" w:eastAsia="ru-RU"/>
        </w:rPr>
        <w:t>Список використаних джерел</w:t>
      </w:r>
    </w:p>
    <w:p w14:paraId="0461585D" w14:textId="77777777" w:rsidR="00532C25" w:rsidRPr="00511005" w:rsidRDefault="00532C25" w:rsidP="003F6A5D">
      <w:pPr>
        <w:numPr>
          <w:ilvl w:val="0"/>
          <w:numId w:val="58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Кримінальний процесуальний кодекс України. Документ 4651-VI, чинний, поточна редакція — Редакція від 26.12.2024, підстава - 4111-IX. URL: </w:t>
      </w:r>
      <w:hyperlink r:id="rId2160" w:anchor="Text" w:history="1">
        <w:r w:rsidRPr="00511005">
          <w:rPr>
            <w:rFonts w:ascii="Arial" w:eastAsia="Calibri" w:hAnsi="Arial" w:cs="Arial"/>
            <w:szCs w:val="28"/>
          </w:rPr>
          <w:t>https://zakon.rada.gov.ua/laws/show/4651-17#Text</w:t>
        </w:r>
      </w:hyperlink>
    </w:p>
    <w:p w14:paraId="2587A5FA" w14:textId="77777777" w:rsidR="00532C25" w:rsidRPr="00511005" w:rsidRDefault="00532C25" w:rsidP="003F6A5D">
      <w:pPr>
        <w:numPr>
          <w:ilvl w:val="0"/>
          <w:numId w:val="58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Марчук, Н. (2024, 24 квітня). Кіберзлочинність та електронні докази: суддя ВС розповіла про оцінку електронних доказів у кримінальному </w:t>
      </w:r>
      <w:r w:rsidRPr="00511005">
        <w:rPr>
          <w:rFonts w:ascii="Arial" w:eastAsia="Calibri" w:hAnsi="Arial" w:cs="Arial"/>
          <w:szCs w:val="28"/>
          <w:lang w:val="uk-UA"/>
        </w:rPr>
        <w:lastRenderedPageBreak/>
        <w:t>провадженні. URL:</w:t>
      </w:r>
      <w:r w:rsidRPr="00511005">
        <w:rPr>
          <w:rFonts w:ascii="Arial" w:eastAsia="Calibri" w:hAnsi="Arial" w:cs="Arial"/>
          <w:szCs w:val="28"/>
          <w:lang w:val="pl-PL"/>
        </w:rPr>
        <w:t xml:space="preserve"> </w:t>
      </w:r>
      <w:hyperlink r:id="rId2161" w:history="1">
        <w:r w:rsidRPr="00511005">
          <w:rPr>
            <w:rFonts w:ascii="Arial" w:eastAsia="Calibri" w:hAnsi="Arial" w:cs="Arial"/>
            <w:szCs w:val="28"/>
            <w:lang w:val="pl-PL"/>
          </w:rPr>
          <w:t>https://supreme.court.gov.ua/supreme/pres-centr/news/1594957/</w:t>
        </w:r>
      </w:hyperlink>
    </w:p>
    <w:p w14:paraId="5FF73884" w14:textId="77777777" w:rsidR="00532C25" w:rsidRPr="00511005" w:rsidRDefault="00532C25" w:rsidP="003F6A5D">
      <w:pPr>
        <w:numPr>
          <w:ilvl w:val="0"/>
          <w:numId w:val="585"/>
        </w:numPr>
        <w:spacing w:line="264" w:lineRule="auto"/>
        <w:contextualSpacing/>
        <w:jc w:val="left"/>
        <w:rPr>
          <w:rFonts w:ascii="Arial" w:eastAsia="Calibri" w:hAnsi="Arial" w:cs="Arial"/>
          <w:szCs w:val="28"/>
          <w:lang w:val="uk-UA"/>
        </w:rPr>
      </w:pPr>
      <w:r w:rsidRPr="00511005">
        <w:rPr>
          <w:rFonts w:ascii="Arial" w:eastAsia="Times New Roman" w:hAnsi="Arial" w:cs="Arial"/>
          <w:kern w:val="36"/>
          <w:szCs w:val="28"/>
          <w:lang w:val="uk-UA"/>
        </w:rPr>
        <w:t xml:space="preserve">Гутник А. В., Хитра А. Я. Кримінальні процесуальні та криміналістичні основи використання електронних документів у доказуванні: монографія. Львів, 2022. </w:t>
      </w:r>
      <w:r w:rsidRPr="00511005">
        <w:rPr>
          <w:rFonts w:ascii="Arial" w:eastAsia="Calibri" w:hAnsi="Arial" w:cs="Arial"/>
          <w:szCs w:val="28"/>
          <w:lang w:val="uk-UA"/>
        </w:rPr>
        <w:t>URL:</w:t>
      </w:r>
      <w:r w:rsidRPr="00511005">
        <w:rPr>
          <w:rFonts w:ascii="Arial" w:eastAsia="Calibri" w:hAnsi="Arial" w:cs="Arial"/>
          <w:szCs w:val="28"/>
          <w:lang w:val="en-US"/>
        </w:rPr>
        <w:t xml:space="preserve"> </w:t>
      </w:r>
      <w:hyperlink r:id="rId2162" w:history="1">
        <w:r w:rsidRPr="00511005">
          <w:rPr>
            <w:rFonts w:ascii="Arial" w:eastAsia="Calibri" w:hAnsi="Arial" w:cs="Arial"/>
            <w:szCs w:val="28"/>
            <w:lang w:val="en-US"/>
          </w:rPr>
          <w:t>https://dspace.lvduvs.edu.ua/bitstream/1234567890/4725/1/</w:t>
        </w:r>
      </w:hyperlink>
    </w:p>
    <w:p w14:paraId="2A4011D9" w14:textId="77777777" w:rsidR="00532C25" w:rsidRPr="00511005" w:rsidRDefault="00532C25" w:rsidP="003F6A5D">
      <w:pPr>
        <w:numPr>
          <w:ilvl w:val="0"/>
          <w:numId w:val="585"/>
        </w:numPr>
        <w:spacing w:line="264" w:lineRule="auto"/>
        <w:contextualSpacing/>
        <w:jc w:val="left"/>
        <w:rPr>
          <w:rFonts w:ascii="Arial" w:eastAsia="Calibri" w:hAnsi="Arial" w:cs="Arial"/>
          <w:szCs w:val="28"/>
          <w:lang w:val="uk-UA"/>
        </w:rPr>
      </w:pPr>
      <w:r w:rsidRPr="00511005">
        <w:rPr>
          <w:rFonts w:ascii="Arial" w:eastAsia="Calibri" w:hAnsi="Arial" w:cs="Arial"/>
          <w:szCs w:val="28"/>
        </w:rPr>
        <w:t>Коновалова Д.О. Особливості використання розвідки на основі відкритих джерел (OSINT) у кримінальному провадженні / Навчально-наукового інституту права Київського національного університету імені Тараса Шевченка. – 2024.</w:t>
      </w:r>
      <w:r w:rsidRPr="00511005">
        <w:rPr>
          <w:rFonts w:ascii="Arial" w:eastAsia="Calibri" w:hAnsi="Arial" w:cs="Arial"/>
          <w:szCs w:val="28"/>
          <w:lang w:val="uk-UA"/>
        </w:rPr>
        <w:t xml:space="preserve"> URL: </w:t>
      </w:r>
      <w:hyperlink r:id="rId2163" w:history="1">
        <w:r w:rsidRPr="00511005">
          <w:rPr>
            <w:rFonts w:ascii="Arial" w:eastAsia="Calibri" w:hAnsi="Arial" w:cs="Arial"/>
            <w:szCs w:val="28"/>
            <w:lang w:val="en-US"/>
          </w:rPr>
          <w:t>http://lsej.org.ua/11_2024/108.pdf</w:t>
        </w:r>
      </w:hyperlink>
    </w:p>
    <w:p w14:paraId="76F968E7" w14:textId="77777777" w:rsidR="00532C25" w:rsidRPr="00511005" w:rsidRDefault="00532C25" w:rsidP="00532C25">
      <w:pPr>
        <w:spacing w:line="264" w:lineRule="auto"/>
        <w:ind w:firstLine="0"/>
        <w:rPr>
          <w:rFonts w:ascii="Arial" w:eastAsia="Arial" w:hAnsi="Arial" w:cs="Arial"/>
          <w:szCs w:val="28"/>
          <w:lang w:val="uk-UA" w:eastAsia="ru-RU"/>
        </w:rPr>
      </w:pPr>
    </w:p>
    <w:p w14:paraId="593A532A" w14:textId="77777777" w:rsidR="00532C25" w:rsidRPr="00511005" w:rsidRDefault="00532C25" w:rsidP="00532C25">
      <w:pPr>
        <w:spacing w:line="264" w:lineRule="auto"/>
        <w:ind w:firstLine="360"/>
        <w:rPr>
          <w:rFonts w:ascii="Arial" w:eastAsia="Arial" w:hAnsi="Arial" w:cs="Arial"/>
          <w:szCs w:val="28"/>
          <w:lang w:val="uk-UA" w:eastAsia="ru-RU"/>
        </w:rPr>
      </w:pPr>
      <w:r w:rsidRPr="00511005">
        <w:rPr>
          <w:rFonts w:ascii="Arial" w:eastAsia="Arial" w:hAnsi="Arial" w:cs="Arial"/>
          <w:b/>
          <w:i/>
          <w:szCs w:val="28"/>
          <w:lang w:val="uk-UA" w:eastAsia="ru-RU"/>
        </w:rPr>
        <w:t xml:space="preserve">Ключові слова: </w:t>
      </w:r>
      <w:r w:rsidRPr="00511005">
        <w:rPr>
          <w:rFonts w:ascii="Arial" w:eastAsia="Arial" w:hAnsi="Arial" w:cs="Arial"/>
          <w:szCs w:val="28"/>
          <w:lang w:val="uk-UA" w:eastAsia="ru-RU"/>
        </w:rPr>
        <w:t xml:space="preserve">електронні докази, кримінальне провадження, воєнні злочини. </w:t>
      </w:r>
    </w:p>
    <w:p w14:paraId="2D9545CE" w14:textId="77777777" w:rsidR="00532C25" w:rsidRPr="00511005" w:rsidRDefault="00532C25" w:rsidP="00532C25">
      <w:pPr>
        <w:spacing w:line="264" w:lineRule="auto"/>
        <w:ind w:firstLine="360"/>
        <w:rPr>
          <w:rFonts w:ascii="Arial" w:eastAsia="Arial" w:hAnsi="Arial" w:cs="Arial"/>
          <w:szCs w:val="28"/>
          <w:lang w:val="uk-UA" w:eastAsia="ru-RU"/>
        </w:rPr>
      </w:pPr>
      <w:r w:rsidRPr="00511005">
        <w:rPr>
          <w:rFonts w:ascii="Arial" w:eastAsia="Arial" w:hAnsi="Arial" w:cs="Arial"/>
          <w:b/>
          <w:i/>
          <w:szCs w:val="28"/>
          <w:lang w:val="uk-UA" w:eastAsia="ru-RU"/>
        </w:rPr>
        <w:t xml:space="preserve">Key words: </w:t>
      </w:r>
      <w:r w:rsidRPr="00511005">
        <w:rPr>
          <w:rFonts w:ascii="Arial" w:eastAsia="Arial" w:hAnsi="Arial" w:cs="Arial"/>
          <w:szCs w:val="28"/>
          <w:lang w:val="uk-UA" w:eastAsia="ru-RU"/>
        </w:rPr>
        <w:t>electronic evidence, criminal proceedings, war crimes.</w:t>
      </w:r>
    </w:p>
    <w:p w14:paraId="52A3B79E" w14:textId="77777777" w:rsidR="00532C25" w:rsidRPr="00511005" w:rsidRDefault="00532C25" w:rsidP="00532C25">
      <w:pPr>
        <w:spacing w:line="264" w:lineRule="auto"/>
        <w:ind w:firstLine="360"/>
        <w:rPr>
          <w:rFonts w:ascii="Arial" w:eastAsia="Arial" w:hAnsi="Arial" w:cs="Arial"/>
          <w:i/>
          <w:szCs w:val="28"/>
          <w:lang w:val="uk-UA" w:eastAsia="ru-RU"/>
        </w:rPr>
      </w:pPr>
      <w:r w:rsidRPr="00511005">
        <w:rPr>
          <w:rFonts w:ascii="Arial" w:eastAsia="Arial" w:hAnsi="Arial" w:cs="Arial"/>
          <w:b/>
          <w:i/>
          <w:szCs w:val="28"/>
          <w:lang w:val="uk-UA" w:eastAsia="ru-RU"/>
        </w:rPr>
        <w:t xml:space="preserve">Науковий керівник: </w:t>
      </w:r>
      <w:r w:rsidRPr="00511005">
        <w:rPr>
          <w:rFonts w:ascii="Arial" w:eastAsia="Arial" w:hAnsi="Arial" w:cs="Arial"/>
          <w:i/>
          <w:szCs w:val="28"/>
          <w:lang w:val="uk-UA" w:eastAsia="ru-RU"/>
        </w:rPr>
        <w:t>к.ю.н., доцент Смирнов М.І.</w:t>
      </w:r>
    </w:p>
    <w:p w14:paraId="6DC802AF" w14:textId="77777777" w:rsidR="00532C25" w:rsidRPr="00511005" w:rsidRDefault="00532C25" w:rsidP="00532C25">
      <w:pPr>
        <w:spacing w:line="264" w:lineRule="auto"/>
        <w:ind w:firstLine="0"/>
        <w:rPr>
          <w:rFonts w:ascii="Arial" w:eastAsia="Arial" w:hAnsi="Arial" w:cs="Arial"/>
          <w:szCs w:val="28"/>
          <w:lang w:val="uk-UA" w:eastAsia="ru-RU"/>
        </w:rPr>
      </w:pPr>
    </w:p>
    <w:p w14:paraId="2D1BEF0F" w14:textId="77777777" w:rsidR="00532C25" w:rsidRPr="00511005" w:rsidRDefault="00532C25" w:rsidP="00532C25">
      <w:pPr>
        <w:spacing w:line="264" w:lineRule="auto"/>
        <w:ind w:firstLine="720"/>
        <w:jc w:val="center"/>
        <w:rPr>
          <w:rFonts w:ascii="Arial" w:eastAsia="Arial" w:hAnsi="Arial" w:cs="Arial"/>
          <w:b/>
          <w:i/>
          <w:szCs w:val="28"/>
          <w:lang w:val="uk-UA" w:eastAsia="ru-RU"/>
        </w:rPr>
      </w:pPr>
      <w:r w:rsidRPr="00511005">
        <w:rPr>
          <w:rFonts w:ascii="Arial" w:eastAsia="Arial" w:hAnsi="Arial" w:cs="Arial"/>
          <w:b/>
          <w:i/>
          <w:iCs/>
          <w:szCs w:val="28"/>
          <w:lang w:val="uk-UA" w:eastAsia="ru-RU"/>
        </w:rPr>
        <w:t>Деренюк Ангеліна Олександрівна, Бойко Кароліна Романівна</w:t>
      </w:r>
    </w:p>
    <w:p w14:paraId="23AED31D"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студентки 4</w:t>
      </w:r>
      <w:r w:rsidRPr="00511005">
        <w:rPr>
          <w:rFonts w:ascii="Arial" w:eastAsia="Times New Roman" w:hAnsi="Arial" w:cs="Arial"/>
          <w:bCs/>
          <w:iCs/>
          <w:szCs w:val="28"/>
          <w:lang w:val="uk-UA" w:eastAsia="ru-RU"/>
        </w:rPr>
        <w:t xml:space="preserve">-го курсу </w:t>
      </w:r>
    </w:p>
    <w:p w14:paraId="04E5D003"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F69B9B6"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60664EB" w14:textId="77777777" w:rsidR="00532C25" w:rsidRPr="00511005" w:rsidRDefault="00532C25" w:rsidP="00532C25">
      <w:pPr>
        <w:spacing w:line="264" w:lineRule="auto"/>
        <w:ind w:firstLine="720"/>
        <w:rPr>
          <w:rFonts w:ascii="Arial" w:eastAsia="Arial" w:hAnsi="Arial" w:cs="Arial"/>
          <w:b/>
          <w:iCs/>
          <w:szCs w:val="28"/>
          <w:lang w:val="uk-UA" w:eastAsia="ru-RU"/>
        </w:rPr>
      </w:pPr>
    </w:p>
    <w:p w14:paraId="0E5A5122" w14:textId="77777777" w:rsidR="00532C25" w:rsidRPr="00511005" w:rsidRDefault="00532C25" w:rsidP="00532C25">
      <w:pPr>
        <w:spacing w:line="264" w:lineRule="auto"/>
        <w:ind w:firstLine="720"/>
        <w:jc w:val="center"/>
        <w:rPr>
          <w:rFonts w:ascii="Arial" w:eastAsia="Arial" w:hAnsi="Arial" w:cs="Arial"/>
          <w:b/>
          <w:iCs/>
          <w:szCs w:val="28"/>
          <w:lang w:val="uk-UA" w:eastAsia="ru-RU"/>
        </w:rPr>
      </w:pPr>
      <w:r w:rsidRPr="00511005">
        <w:rPr>
          <w:rFonts w:ascii="Arial" w:eastAsia="Arial" w:hAnsi="Arial" w:cs="Arial"/>
          <w:b/>
          <w:iCs/>
          <w:szCs w:val="28"/>
          <w:lang w:val="uk-UA" w:eastAsia="ru-RU"/>
        </w:rPr>
        <w:t>ОКРЕМІ ПРОБЛЕМИ ТЛУМАЧЕННЯ ТА ПРАКТИЧНОГО ЗАСТОСУВАННЯ Ч. 2 СТ. 322 КПК УКРАЇНИ</w:t>
      </w:r>
    </w:p>
    <w:p w14:paraId="39E73CF3"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Cs/>
          <w:szCs w:val="28"/>
          <w:lang w:val="uk-UA" w:eastAsia="ru-RU"/>
        </w:rPr>
        <w:t xml:space="preserve">Під науковим керівництвом доцента кафедри кримінального процесу </w:t>
      </w:r>
      <w:r w:rsidRPr="00511005">
        <w:rPr>
          <w:rFonts w:ascii="Arial" w:eastAsia="Arial" w:hAnsi="Arial" w:cs="Arial"/>
          <w:szCs w:val="28"/>
          <w:lang w:val="uk-UA" w:eastAsia="ru-RU"/>
        </w:rPr>
        <w:t xml:space="preserve">НУ «ОЮА» Л.М. Гуртієвої </w:t>
      </w:r>
      <w:r w:rsidRPr="00511005">
        <w:rPr>
          <w:rFonts w:ascii="Arial" w:eastAsia="Arial" w:hAnsi="Arial" w:cs="Arial"/>
          <w:bCs/>
          <w:szCs w:val="28"/>
          <w:lang w:val="uk-UA" w:eastAsia="ru-RU"/>
        </w:rPr>
        <w:t xml:space="preserve">ми </w:t>
      </w:r>
      <w:r w:rsidRPr="00511005">
        <w:rPr>
          <w:rFonts w:ascii="Arial" w:eastAsia="Arial" w:hAnsi="Arial" w:cs="Arial"/>
          <w:szCs w:val="28"/>
          <w:lang w:val="uk-UA" w:eastAsia="ru-RU"/>
        </w:rPr>
        <w:t xml:space="preserve">провели опитування десяти суддів міста Одеси, які розглядають кримінальні справи. Судді висловили свої думки щодо того, </w:t>
      </w:r>
      <w:r w:rsidRPr="00511005">
        <w:rPr>
          <w:rFonts w:ascii="Arial" w:eastAsia="Arial" w:hAnsi="Arial" w:cs="Arial"/>
          <w:bCs/>
          <w:i/>
          <w:iCs/>
          <w:szCs w:val="28"/>
          <w:lang w:val="uk-UA" w:eastAsia="ru-RU"/>
        </w:rPr>
        <w:t xml:space="preserve">чи є перелік підстав для відкладення судового засідання у ст. 322 КПК України </w:t>
      </w:r>
      <w:r w:rsidRPr="00511005">
        <w:rPr>
          <w:rFonts w:ascii="Arial" w:eastAsia="Arial" w:hAnsi="Arial" w:cs="Arial"/>
          <w:szCs w:val="28"/>
          <w:lang w:val="uk-UA" w:eastAsia="ru-RU"/>
        </w:rPr>
        <w:t xml:space="preserve">[1] </w:t>
      </w:r>
      <w:r w:rsidRPr="00511005">
        <w:rPr>
          <w:rFonts w:ascii="Arial" w:eastAsia="Arial" w:hAnsi="Arial" w:cs="Arial"/>
          <w:bCs/>
          <w:i/>
          <w:iCs/>
          <w:szCs w:val="28"/>
          <w:lang w:val="uk-UA" w:eastAsia="ru-RU"/>
        </w:rPr>
        <w:t>вичерпним</w:t>
      </w:r>
      <w:r w:rsidRPr="00511005">
        <w:rPr>
          <w:rFonts w:ascii="Arial" w:eastAsia="Arial" w:hAnsi="Arial" w:cs="Arial"/>
          <w:szCs w:val="28"/>
          <w:lang w:val="uk-UA" w:eastAsia="ru-RU"/>
        </w:rPr>
        <w:t xml:space="preserve">, та навели аргументи на підтримку своєї позиції. Додатково суддям було поставлено питання про те, </w:t>
      </w:r>
      <w:r w:rsidRPr="00511005">
        <w:rPr>
          <w:rFonts w:ascii="Arial" w:eastAsia="Arial" w:hAnsi="Arial" w:cs="Arial"/>
          <w:bCs/>
          <w:i/>
          <w:iCs/>
          <w:szCs w:val="28"/>
          <w:lang w:val="uk-UA" w:eastAsia="ru-RU"/>
        </w:rPr>
        <w:t>які ще підстави для відкладення судового засідання вони застосовують на практиц</w:t>
      </w:r>
      <w:r w:rsidRPr="00511005">
        <w:rPr>
          <w:rFonts w:ascii="Arial" w:eastAsia="Arial" w:hAnsi="Arial" w:cs="Arial"/>
          <w:szCs w:val="28"/>
          <w:lang w:val="uk-UA" w:eastAsia="ru-RU"/>
        </w:rPr>
        <w:t>і, якщо вважають, що перелік не є вичерпним.</w:t>
      </w:r>
    </w:p>
    <w:p w14:paraId="771A0792"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Більшість опитаних суддів (8 з 10) вважають, що перелік підстав для відкладення судового засідання не є вичерпним. Основні аргументи:</w:t>
      </w:r>
    </w:p>
    <w:p w14:paraId="3CA16F50" w14:textId="77777777" w:rsidR="00532C25" w:rsidRPr="00511005" w:rsidRDefault="00532C25" w:rsidP="003F6A5D">
      <w:pPr>
        <w:numPr>
          <w:ilvl w:val="0"/>
          <w:numId w:val="604"/>
        </w:numPr>
        <w:spacing w:line="264" w:lineRule="auto"/>
        <w:ind w:left="0" w:firstLine="720"/>
        <w:jc w:val="left"/>
        <w:rPr>
          <w:rFonts w:ascii="Arial" w:eastAsia="Arial" w:hAnsi="Arial" w:cs="Arial"/>
          <w:szCs w:val="28"/>
          <w:lang w:val="uk-UA" w:eastAsia="ru-RU"/>
        </w:rPr>
      </w:pPr>
      <w:r w:rsidRPr="00511005">
        <w:rPr>
          <w:rFonts w:ascii="Arial" w:eastAsia="Arial" w:hAnsi="Arial" w:cs="Arial"/>
          <w:bCs/>
          <w:szCs w:val="28"/>
          <w:lang w:val="uk-UA" w:eastAsia="ru-RU"/>
        </w:rPr>
        <w:t>Неможливість передбачити всі життєві ситуації</w:t>
      </w:r>
      <w:r w:rsidRPr="00511005">
        <w:rPr>
          <w:rFonts w:ascii="Arial" w:eastAsia="Arial" w:hAnsi="Arial" w:cs="Arial"/>
          <w:szCs w:val="28"/>
          <w:lang w:val="uk-UA" w:eastAsia="ru-RU"/>
        </w:rPr>
        <w:t>. Як зазначив Суддя 1: «Кримінальне провадження - це живий процес, який неможливо втиснути в рамки вичерпного переліку причин для відкладення. На практиці виникають непередбачувані ситуації, які вимагають гнучкості суду».</w:t>
      </w:r>
    </w:p>
    <w:p w14:paraId="183832E5" w14:textId="77777777" w:rsidR="00532C25" w:rsidRPr="00511005" w:rsidRDefault="00532C25" w:rsidP="003F6A5D">
      <w:pPr>
        <w:numPr>
          <w:ilvl w:val="0"/>
          <w:numId w:val="604"/>
        </w:numPr>
        <w:spacing w:line="264" w:lineRule="auto"/>
        <w:ind w:left="0" w:firstLine="720"/>
        <w:jc w:val="left"/>
        <w:rPr>
          <w:rFonts w:ascii="Arial" w:eastAsia="Arial" w:hAnsi="Arial" w:cs="Arial"/>
          <w:szCs w:val="28"/>
          <w:lang w:val="uk-UA" w:eastAsia="ru-RU"/>
        </w:rPr>
      </w:pPr>
      <w:r w:rsidRPr="00511005">
        <w:rPr>
          <w:rFonts w:ascii="Arial" w:eastAsia="Arial" w:hAnsi="Arial" w:cs="Arial"/>
          <w:bCs/>
          <w:szCs w:val="28"/>
          <w:lang w:val="uk-UA" w:eastAsia="ru-RU"/>
        </w:rPr>
        <w:t>Широке формулювання підстав</w:t>
      </w:r>
      <w:r w:rsidRPr="00511005">
        <w:rPr>
          <w:rFonts w:ascii="Arial" w:eastAsia="Arial" w:hAnsi="Arial" w:cs="Arial"/>
          <w:szCs w:val="28"/>
          <w:lang w:val="uk-UA" w:eastAsia="ru-RU"/>
        </w:rPr>
        <w:t>. Суддя 2 підкреслив: «Перший пункт сформульований настільки широко («неприбуття сторони або інших учасників»), що фактично охоплює безліч різних ситуацій і причин. Таке формулювання дає суду необхідну дискрецію».</w:t>
      </w:r>
    </w:p>
    <w:p w14:paraId="3F054512" w14:textId="77777777" w:rsidR="00532C25" w:rsidRPr="00511005" w:rsidRDefault="00532C25" w:rsidP="003F6A5D">
      <w:pPr>
        <w:numPr>
          <w:ilvl w:val="0"/>
          <w:numId w:val="604"/>
        </w:numPr>
        <w:spacing w:line="264" w:lineRule="auto"/>
        <w:ind w:left="0" w:firstLine="720"/>
        <w:jc w:val="left"/>
        <w:rPr>
          <w:rFonts w:ascii="Arial" w:eastAsia="Arial" w:hAnsi="Arial" w:cs="Arial"/>
          <w:szCs w:val="28"/>
          <w:lang w:val="uk-UA" w:eastAsia="ru-RU"/>
        </w:rPr>
      </w:pPr>
      <w:r w:rsidRPr="00511005">
        <w:rPr>
          <w:rFonts w:ascii="Arial" w:eastAsia="Arial" w:hAnsi="Arial" w:cs="Arial"/>
          <w:bCs/>
          <w:szCs w:val="28"/>
          <w:lang w:val="uk-UA" w:eastAsia="ru-RU"/>
        </w:rPr>
        <w:lastRenderedPageBreak/>
        <w:t>Форс-мажорні обставини</w:t>
      </w:r>
      <w:r w:rsidRPr="00511005">
        <w:rPr>
          <w:rFonts w:ascii="Arial" w:eastAsia="Arial" w:hAnsi="Arial" w:cs="Arial"/>
          <w:szCs w:val="28"/>
          <w:lang w:val="uk-UA" w:eastAsia="ru-RU"/>
        </w:rPr>
        <w:t>. На думку Судді 3: «Що робити у випадку стихійного лиха, аварії в приміщенні суду, масових захворювань? Це не охоплюється прямо жодним із пунктів, але очевидно є підставою для відкладення».</w:t>
      </w:r>
    </w:p>
    <w:p w14:paraId="4837A120" w14:textId="77777777" w:rsidR="00532C25" w:rsidRPr="00511005" w:rsidRDefault="00532C25" w:rsidP="003F6A5D">
      <w:pPr>
        <w:numPr>
          <w:ilvl w:val="0"/>
          <w:numId w:val="604"/>
        </w:numPr>
        <w:spacing w:line="264" w:lineRule="auto"/>
        <w:ind w:left="0" w:firstLine="720"/>
        <w:jc w:val="left"/>
        <w:rPr>
          <w:rFonts w:ascii="Arial" w:eastAsia="Arial" w:hAnsi="Arial" w:cs="Arial"/>
          <w:szCs w:val="28"/>
          <w:lang w:val="uk-UA" w:eastAsia="ru-RU"/>
        </w:rPr>
      </w:pPr>
      <w:r w:rsidRPr="00511005">
        <w:rPr>
          <w:rFonts w:ascii="Arial" w:eastAsia="Arial" w:hAnsi="Arial" w:cs="Arial"/>
          <w:bCs/>
          <w:szCs w:val="28"/>
          <w:lang w:val="uk-UA" w:eastAsia="ru-RU"/>
        </w:rPr>
        <w:t>Системний підхід до тлумачення</w:t>
      </w:r>
      <w:r w:rsidRPr="00511005">
        <w:rPr>
          <w:rFonts w:ascii="Arial" w:eastAsia="Arial" w:hAnsi="Arial" w:cs="Arial"/>
          <w:szCs w:val="28"/>
          <w:lang w:val="uk-UA" w:eastAsia="ru-RU"/>
        </w:rPr>
        <w:t>. Суддя 4 зауважив: «Стаття 322 має тлумачитись у системному зв'язку з іншими положеннями КПК».</w:t>
      </w:r>
    </w:p>
    <w:p w14:paraId="192D1D72" w14:textId="77777777" w:rsidR="00532C25" w:rsidRPr="00511005" w:rsidRDefault="00532C25" w:rsidP="003F6A5D">
      <w:pPr>
        <w:numPr>
          <w:ilvl w:val="0"/>
          <w:numId w:val="604"/>
        </w:numPr>
        <w:spacing w:line="264" w:lineRule="auto"/>
        <w:ind w:left="0" w:firstLine="720"/>
        <w:jc w:val="left"/>
        <w:rPr>
          <w:rFonts w:ascii="Arial" w:eastAsia="Arial" w:hAnsi="Arial" w:cs="Arial"/>
          <w:szCs w:val="28"/>
          <w:lang w:val="uk-UA" w:eastAsia="ru-RU"/>
        </w:rPr>
      </w:pPr>
      <w:r w:rsidRPr="00511005">
        <w:rPr>
          <w:rFonts w:ascii="Arial" w:eastAsia="Arial" w:hAnsi="Arial" w:cs="Arial"/>
          <w:bCs/>
          <w:szCs w:val="28"/>
          <w:lang w:val="uk-UA" w:eastAsia="ru-RU"/>
        </w:rPr>
        <w:t>Пріоритет засад кримінального провадження</w:t>
      </w:r>
      <w:r w:rsidRPr="00511005">
        <w:rPr>
          <w:rFonts w:ascii="Arial" w:eastAsia="Arial" w:hAnsi="Arial" w:cs="Arial"/>
          <w:szCs w:val="28"/>
          <w:lang w:val="uk-UA" w:eastAsia="ru-RU"/>
        </w:rPr>
        <w:t>. На переконання Судді 5: «Суд має керуватися засадами кримінального провадження, зокрема справедливістю та розумними строками».</w:t>
      </w:r>
    </w:p>
    <w:p w14:paraId="72CF6990"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Суддя 9 надала розгорнуте обґрунтування невичерпності переліку: «Відсутність таких формулювань не завжди свідчить про вичерпність переліку. Законодавча техніка КПК не є послідовною, і в багатьох випадках суди визнають невичерпними переліки без прямої вказівки на це».</w:t>
      </w:r>
    </w:p>
    <w:p w14:paraId="1A11C0A3"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Лише один суддя (Суддя 8) категорично висловився за вичерпність переліку, зазначивши: «Системний аналіз норм КПК України свідчить про законодавчу техніку, згідно з якою випадки, коли передбачається невичерпний перелік, законодавець чітко зазначає це в тексті статті фразами на кшталт «та інші підстави», «тощо», «в інших випадках». Відсутність таких формулювань у статті 322 КПК свідчить про намір законодавця обмежити дискрецію суду саме переліченими підставами». Додаткові аргументи на користь вичерпності: принцип правової визначеності вимагає чітких і передбачуваних норм; Верховний Суд підкреслює необхідність буквального тлумачення процесуальних норм; розширювальне тлумачення може призвести до зловживань та порушення розумних строків.</w:t>
      </w:r>
    </w:p>
    <w:p w14:paraId="3617E27D"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Cs/>
          <w:szCs w:val="28"/>
          <w:lang w:val="uk-UA" w:eastAsia="ru-RU"/>
        </w:rPr>
        <w:t xml:space="preserve">Компромісна позиція: </w:t>
      </w:r>
      <w:r w:rsidRPr="00511005">
        <w:rPr>
          <w:rFonts w:ascii="Arial" w:eastAsia="Arial" w:hAnsi="Arial" w:cs="Arial"/>
          <w:szCs w:val="28"/>
          <w:lang w:val="uk-UA" w:eastAsia="ru-RU"/>
        </w:rPr>
        <w:t>Один суддя (Суддя 2) висловив компромісну позицію: «Вважаю, що перелік формально є вичерпним, але перший пункт сформульований настільки широко, що фактично охоплює безліч різних ситуацій і причин».</w:t>
      </w:r>
    </w:p>
    <w:p w14:paraId="4D58B4DE"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В ході дослідження суддям було поставлено запитання: якщо перелік є не вичерпним, то які ще підстави для відкладення судового засідання застосовуються на практиці? Відповіді суддів виявили значну кількість додаткових підстав, які можна систематизувати за групами:</w:t>
      </w:r>
    </w:p>
    <w:p w14:paraId="5F1F9239" w14:textId="77777777" w:rsidR="00532C25" w:rsidRPr="00511005" w:rsidRDefault="00532C25" w:rsidP="00532C25">
      <w:pPr>
        <w:spacing w:line="264" w:lineRule="auto"/>
        <w:ind w:firstLine="720"/>
        <w:rPr>
          <w:rFonts w:ascii="Arial" w:eastAsia="Arial" w:hAnsi="Arial" w:cs="Arial"/>
          <w:bCs/>
          <w:szCs w:val="28"/>
          <w:lang w:val="uk-UA" w:eastAsia="ru-RU"/>
        </w:rPr>
      </w:pPr>
      <w:r w:rsidRPr="00511005">
        <w:rPr>
          <w:rFonts w:ascii="Arial" w:eastAsia="Arial" w:hAnsi="Arial" w:cs="Arial"/>
          <w:bCs/>
          <w:szCs w:val="28"/>
          <w:lang w:val="uk-UA" w:eastAsia="ru-RU"/>
        </w:rPr>
        <w:t xml:space="preserve">1. Технічні причини: </w:t>
      </w:r>
      <w:r w:rsidRPr="00511005">
        <w:rPr>
          <w:rFonts w:ascii="Arial" w:eastAsia="Arial" w:hAnsi="Arial" w:cs="Arial"/>
          <w:szCs w:val="28"/>
          <w:lang w:val="uk-UA" w:eastAsia="ru-RU"/>
        </w:rPr>
        <w:t>технічні несправності в системі відеоконференцзв'язку при дистанційному судовому провадженні (Суддя 1)</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відключення електроенергії в приміщенні суду (Суддя 2)</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несправність системи фіксації судового процесу (Суддя 4)</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технічні проблеми з доступом до Єдиного реєстру судових рішень (Суддя 7)</w:t>
      </w:r>
      <w:r w:rsidRPr="00511005">
        <w:rPr>
          <w:rFonts w:ascii="Arial" w:eastAsia="Arial" w:hAnsi="Arial" w:cs="Arial"/>
          <w:bCs/>
          <w:szCs w:val="28"/>
          <w:lang w:val="uk-UA" w:eastAsia="ru-RU"/>
        </w:rPr>
        <w:t>.</w:t>
      </w:r>
    </w:p>
    <w:p w14:paraId="59396BEC"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Cs/>
          <w:szCs w:val="28"/>
          <w:lang w:val="uk-UA" w:eastAsia="ru-RU"/>
        </w:rPr>
        <w:t xml:space="preserve">2. Процесуальні потреби: </w:t>
      </w:r>
      <w:r w:rsidRPr="00511005">
        <w:rPr>
          <w:rFonts w:ascii="Arial" w:eastAsia="Arial" w:hAnsi="Arial" w:cs="Arial"/>
          <w:szCs w:val="28"/>
          <w:lang w:val="uk-UA" w:eastAsia="ru-RU"/>
        </w:rPr>
        <w:t>необхідність витребування додаткових матеріалів, без яких неможливо розглянути справу (Суддя 1)</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необхідність отримання інформації від державних органів для прийняття обґрунтованого рішення (Суддя 2)</w:t>
      </w:r>
      <w:r w:rsidRPr="00511005">
        <w:rPr>
          <w:rFonts w:ascii="Arial" w:eastAsia="Arial" w:hAnsi="Arial" w:cs="Arial"/>
          <w:bCs/>
          <w:szCs w:val="28"/>
          <w:lang w:val="uk-UA" w:eastAsia="ru-RU"/>
        </w:rPr>
        <w:t>.</w:t>
      </w:r>
    </w:p>
    <w:p w14:paraId="0AEE2710"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Cs/>
          <w:szCs w:val="28"/>
          <w:lang w:val="uk-UA" w:eastAsia="ru-RU"/>
        </w:rPr>
        <w:lastRenderedPageBreak/>
        <w:t xml:space="preserve">3. Форс-мажорні обставини: </w:t>
      </w:r>
      <w:r w:rsidRPr="00511005">
        <w:rPr>
          <w:rFonts w:ascii="Arial" w:eastAsia="Arial" w:hAnsi="Arial" w:cs="Arial"/>
          <w:szCs w:val="28"/>
          <w:lang w:val="uk-UA" w:eastAsia="ru-RU"/>
        </w:rPr>
        <w:t>стихійні лиха, військові дії (Суддя 3)</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повідомлення про замінування приміщення суду (Суддя 2)</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аварійний стан приміщення суду (Суддя 10)</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оголошення карантину в регіоні (Суддя 3)</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загроза національній безпеці (Суддя 7).</w:t>
      </w:r>
    </w:p>
    <w:p w14:paraId="6D5D3A9F"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Cs/>
          <w:szCs w:val="28"/>
          <w:lang w:val="uk-UA" w:eastAsia="ru-RU"/>
        </w:rPr>
        <w:t xml:space="preserve">4. Здоров'я учасників процесу: </w:t>
      </w:r>
      <w:r w:rsidRPr="00511005">
        <w:rPr>
          <w:rFonts w:ascii="Arial" w:eastAsia="Arial" w:hAnsi="Arial" w:cs="Arial"/>
          <w:szCs w:val="28"/>
          <w:lang w:val="uk-UA" w:eastAsia="ru-RU"/>
        </w:rPr>
        <w:t>раптове погіршення стану здоров'я судді під час засідання (Суддя 1)</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хвороба підсудного, підтверджена медичними документами (Суддя 4)</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хвороба перекладача в справах, де учасник не володіє державною мовою (Суддя 6)</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масові захворювання працівників апарату суду (Суддя 8).</w:t>
      </w:r>
    </w:p>
    <w:p w14:paraId="2C9ECD3D" w14:textId="77777777" w:rsidR="00532C25" w:rsidRPr="00511005" w:rsidRDefault="00532C25" w:rsidP="00532C25">
      <w:pPr>
        <w:spacing w:line="264" w:lineRule="auto"/>
        <w:ind w:firstLine="720"/>
        <w:rPr>
          <w:rFonts w:ascii="Arial" w:eastAsia="Arial" w:hAnsi="Arial" w:cs="Arial"/>
          <w:bCs/>
          <w:szCs w:val="28"/>
          <w:lang w:val="uk-UA" w:eastAsia="ru-RU"/>
        </w:rPr>
      </w:pPr>
      <w:r w:rsidRPr="00511005">
        <w:rPr>
          <w:rFonts w:ascii="Arial" w:eastAsia="Arial" w:hAnsi="Arial" w:cs="Arial"/>
          <w:bCs/>
          <w:szCs w:val="28"/>
          <w:lang w:val="uk-UA" w:eastAsia="ru-RU"/>
        </w:rPr>
        <w:t xml:space="preserve">5. Організаційні причини: </w:t>
      </w:r>
      <w:r w:rsidRPr="00511005">
        <w:rPr>
          <w:rFonts w:ascii="Arial" w:eastAsia="Arial" w:hAnsi="Arial" w:cs="Arial"/>
          <w:szCs w:val="28"/>
          <w:lang w:val="uk-UA" w:eastAsia="ru-RU"/>
        </w:rPr>
        <w:t>виключення судді зі складу суду внаслідок відводу або самовідводу (Суддя 5), перебування адвоката в іншому судовому процесі, який неможливо було передбачити (Суддя 6)</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необхідність узгодження графіків судових засідань при участі одного захисника у декількох процесах (Суддя 7)</w:t>
      </w:r>
      <w:r w:rsidRPr="00511005">
        <w:rPr>
          <w:rFonts w:ascii="Arial" w:eastAsia="Arial" w:hAnsi="Arial" w:cs="Arial"/>
          <w:bCs/>
          <w:szCs w:val="28"/>
          <w:lang w:val="uk-UA" w:eastAsia="ru-RU"/>
        </w:rPr>
        <w:t>.</w:t>
      </w:r>
    </w:p>
    <w:p w14:paraId="63347127"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Cs/>
          <w:szCs w:val="28"/>
          <w:lang w:val="uk-UA" w:eastAsia="ru-RU"/>
        </w:rPr>
        <w:t xml:space="preserve">6. Безпека та особливі потреби: </w:t>
      </w:r>
      <w:r w:rsidRPr="00511005">
        <w:rPr>
          <w:rFonts w:ascii="Arial" w:eastAsia="Arial" w:hAnsi="Arial" w:cs="Arial"/>
          <w:szCs w:val="28"/>
          <w:lang w:val="uk-UA" w:eastAsia="ru-RU"/>
        </w:rPr>
        <w:t>неможливість забезпечити належну безпеку учасників судового процесу (Суддя 3)</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неможливість забезпечити належні умови для учасників з інвалідністю (Суддя 9)</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відсутність належних умов для допиту вразливих категорій свідків (діти, жертви насильства) (Суддя 8)</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необхідність проведення закритого судового засідання з непередбачуваних причин (Суддя 9).</w:t>
      </w:r>
    </w:p>
    <w:p w14:paraId="6DE5D6C2"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Cs/>
          <w:szCs w:val="28"/>
          <w:lang w:val="uk-UA" w:eastAsia="ru-RU"/>
        </w:rPr>
        <w:t xml:space="preserve">7. Особисті обставини учасників: </w:t>
      </w:r>
      <w:r w:rsidRPr="00511005">
        <w:rPr>
          <w:rFonts w:ascii="Arial" w:eastAsia="Arial" w:hAnsi="Arial" w:cs="Arial"/>
          <w:szCs w:val="28"/>
          <w:lang w:val="uk-UA" w:eastAsia="ru-RU"/>
        </w:rPr>
        <w:t>смерть близького родича одного з ключових учасників процесу (Суддя 3)</w:t>
      </w:r>
      <w:r w:rsidRPr="00511005">
        <w:rPr>
          <w:rFonts w:ascii="Arial" w:eastAsia="Arial" w:hAnsi="Arial" w:cs="Arial"/>
          <w:bCs/>
          <w:szCs w:val="28"/>
          <w:lang w:val="uk-UA" w:eastAsia="ru-RU"/>
        </w:rPr>
        <w:t xml:space="preserve">, </w:t>
      </w:r>
      <w:r w:rsidRPr="00511005">
        <w:rPr>
          <w:rFonts w:ascii="Arial" w:eastAsia="Arial" w:hAnsi="Arial" w:cs="Arial"/>
          <w:szCs w:val="28"/>
          <w:lang w:val="uk-UA" w:eastAsia="ru-RU"/>
        </w:rPr>
        <w:t>неможливість з'явитися свідка через перебування за кордоном (Суддя 8).</w:t>
      </w:r>
    </w:p>
    <w:p w14:paraId="256CB867"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Усі судді погоджуються, що наведені приклади не є вичерпними, але демонструють типові ситуації, які на практиці обґрунтовано призводять до відкладення судового розгляду, хоча прямо не зазначені в статті 322 КПК України.</w:t>
      </w:r>
    </w:p>
    <w:p w14:paraId="56EB1EDC"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Проаналізувавши аргументи суддів та практичні ситуації, ми схиляємося до думки, що перелік підстав для відкладення судового засідання у статті 322 КПК України не є вичерпним. Наша позиція ґрунтується на таких аргументах:</w:t>
      </w:r>
    </w:p>
    <w:p w14:paraId="150BB6CA" w14:textId="77777777" w:rsidR="00532C25" w:rsidRPr="00511005" w:rsidRDefault="00532C25" w:rsidP="003F6A5D">
      <w:pPr>
        <w:numPr>
          <w:ilvl w:val="0"/>
          <w:numId w:val="605"/>
        </w:numPr>
        <w:spacing w:line="264" w:lineRule="auto"/>
        <w:ind w:left="0" w:firstLine="720"/>
        <w:jc w:val="left"/>
        <w:rPr>
          <w:rFonts w:ascii="Arial" w:eastAsia="Arial" w:hAnsi="Arial" w:cs="Arial"/>
          <w:szCs w:val="28"/>
          <w:lang w:val="uk-UA" w:eastAsia="ru-RU"/>
        </w:rPr>
      </w:pPr>
      <w:r w:rsidRPr="00511005">
        <w:rPr>
          <w:rFonts w:ascii="Arial" w:eastAsia="Arial" w:hAnsi="Arial" w:cs="Arial"/>
          <w:bCs/>
          <w:szCs w:val="28"/>
          <w:lang w:val="uk-UA" w:eastAsia="ru-RU"/>
        </w:rPr>
        <w:t>Динамічний характер кримінального процесу</w:t>
      </w:r>
      <w:r w:rsidRPr="00511005">
        <w:rPr>
          <w:rFonts w:ascii="Arial" w:eastAsia="Arial" w:hAnsi="Arial" w:cs="Arial"/>
          <w:szCs w:val="28"/>
          <w:lang w:val="uk-UA" w:eastAsia="ru-RU"/>
        </w:rPr>
        <w:t xml:space="preserve">. Кримінальне судочинство є складним, багатосуб'єктним та динамічним процесом, в якому неможливо передбачити всі можливі обставини, що можуть об'єктивно перешкоджати проведенню судового засідання. </w:t>
      </w:r>
    </w:p>
    <w:p w14:paraId="7D702731" w14:textId="77777777" w:rsidR="00532C25" w:rsidRPr="00511005" w:rsidRDefault="00532C25" w:rsidP="003F6A5D">
      <w:pPr>
        <w:numPr>
          <w:ilvl w:val="0"/>
          <w:numId w:val="605"/>
        </w:numPr>
        <w:spacing w:line="264" w:lineRule="auto"/>
        <w:ind w:left="0" w:firstLine="720"/>
        <w:jc w:val="left"/>
        <w:rPr>
          <w:rFonts w:ascii="Arial" w:eastAsia="Arial" w:hAnsi="Arial" w:cs="Arial"/>
          <w:szCs w:val="28"/>
          <w:lang w:val="uk-UA" w:eastAsia="ru-RU"/>
        </w:rPr>
      </w:pPr>
      <w:r w:rsidRPr="00511005">
        <w:rPr>
          <w:rFonts w:ascii="Arial" w:eastAsia="Arial" w:hAnsi="Arial" w:cs="Arial"/>
          <w:bCs/>
          <w:szCs w:val="28"/>
          <w:lang w:val="uk-UA" w:eastAsia="ru-RU"/>
        </w:rPr>
        <w:t>Системне тлумачення норм КПК</w:t>
      </w:r>
      <w:r w:rsidRPr="00511005">
        <w:rPr>
          <w:rFonts w:ascii="Arial" w:eastAsia="Arial" w:hAnsi="Arial" w:cs="Arial"/>
          <w:szCs w:val="28"/>
          <w:lang w:val="uk-UA" w:eastAsia="ru-RU"/>
        </w:rPr>
        <w:t xml:space="preserve">. Стаття 322 повинна розглядатися у системному зв'язку з іншими положеннями КПК, зокрема з засадами кримінального провадження (ст. 7), які включають верховенство права, справедливість та розумні строки. </w:t>
      </w:r>
    </w:p>
    <w:p w14:paraId="529C6B66" w14:textId="77777777" w:rsidR="00532C25" w:rsidRPr="00511005" w:rsidRDefault="00532C25" w:rsidP="003F6A5D">
      <w:pPr>
        <w:numPr>
          <w:ilvl w:val="0"/>
          <w:numId w:val="605"/>
        </w:numPr>
        <w:spacing w:line="264" w:lineRule="auto"/>
        <w:ind w:left="0" w:firstLine="720"/>
        <w:jc w:val="left"/>
        <w:rPr>
          <w:rFonts w:ascii="Arial" w:eastAsia="Arial" w:hAnsi="Arial" w:cs="Arial"/>
          <w:szCs w:val="28"/>
          <w:lang w:val="uk-UA" w:eastAsia="ru-RU"/>
        </w:rPr>
      </w:pPr>
      <w:r w:rsidRPr="00511005">
        <w:rPr>
          <w:rFonts w:ascii="Arial" w:eastAsia="Arial" w:hAnsi="Arial" w:cs="Arial"/>
          <w:bCs/>
          <w:szCs w:val="28"/>
          <w:lang w:val="uk-UA" w:eastAsia="ru-RU"/>
        </w:rPr>
        <w:t>Застосування принципу верховенства права</w:t>
      </w:r>
      <w:r w:rsidRPr="00511005">
        <w:rPr>
          <w:rFonts w:ascii="Arial" w:eastAsia="Arial" w:hAnsi="Arial" w:cs="Arial"/>
          <w:szCs w:val="28"/>
          <w:lang w:val="uk-UA" w:eastAsia="ru-RU"/>
        </w:rPr>
        <w:t xml:space="preserve">. Відповідно до статті 8 КПК України, кримінальне провадження здійснюється з </w:t>
      </w:r>
      <w:r w:rsidRPr="00511005">
        <w:rPr>
          <w:rFonts w:ascii="Arial" w:eastAsia="Arial" w:hAnsi="Arial" w:cs="Arial"/>
          <w:szCs w:val="28"/>
          <w:lang w:val="uk-UA" w:eastAsia="ru-RU"/>
        </w:rPr>
        <w:lastRenderedPageBreak/>
        <w:t xml:space="preserve">додержанням принципу верховенства права, який вимагає оцінювати норми закону через призму їх практичної доцільності та справедливості. </w:t>
      </w:r>
    </w:p>
    <w:p w14:paraId="55D117C6" w14:textId="77777777" w:rsidR="00532C25" w:rsidRPr="00511005" w:rsidRDefault="00532C25" w:rsidP="003F6A5D">
      <w:pPr>
        <w:numPr>
          <w:ilvl w:val="0"/>
          <w:numId w:val="605"/>
        </w:numPr>
        <w:spacing w:line="264" w:lineRule="auto"/>
        <w:ind w:left="0" w:firstLine="720"/>
        <w:jc w:val="left"/>
        <w:rPr>
          <w:rFonts w:ascii="Arial" w:eastAsia="Arial" w:hAnsi="Arial" w:cs="Arial"/>
          <w:szCs w:val="28"/>
          <w:lang w:val="uk-UA" w:eastAsia="ru-RU"/>
        </w:rPr>
      </w:pPr>
      <w:r w:rsidRPr="00511005">
        <w:rPr>
          <w:rFonts w:ascii="Arial" w:eastAsia="Arial" w:hAnsi="Arial" w:cs="Arial"/>
          <w:bCs/>
          <w:szCs w:val="28"/>
          <w:lang w:val="uk-UA" w:eastAsia="ru-RU"/>
        </w:rPr>
        <w:t>Міжнародна практика</w:t>
      </w:r>
      <w:r w:rsidRPr="00511005">
        <w:rPr>
          <w:rFonts w:ascii="Arial" w:eastAsia="Arial" w:hAnsi="Arial" w:cs="Arial"/>
          <w:szCs w:val="28"/>
          <w:lang w:val="uk-UA" w:eastAsia="ru-RU"/>
        </w:rPr>
        <w:t>. Європейський суд з прав людини неодноразово наголошував на тому, що надмірний формалізм у судовому процесі може порушувати право на справедливий суд, гарантоване статтею 6 Конвенції про захист прав людини і основоположних свобод.</w:t>
      </w:r>
    </w:p>
    <w:p w14:paraId="5189DA19" w14:textId="77777777" w:rsidR="00532C25" w:rsidRPr="00511005" w:rsidRDefault="00532C25" w:rsidP="003F6A5D">
      <w:pPr>
        <w:numPr>
          <w:ilvl w:val="0"/>
          <w:numId w:val="605"/>
        </w:numPr>
        <w:spacing w:line="264" w:lineRule="auto"/>
        <w:ind w:left="0" w:firstLine="720"/>
        <w:jc w:val="left"/>
        <w:rPr>
          <w:rFonts w:ascii="Arial" w:eastAsia="Arial" w:hAnsi="Arial" w:cs="Arial"/>
          <w:szCs w:val="28"/>
          <w:lang w:val="uk-UA" w:eastAsia="ru-RU"/>
        </w:rPr>
      </w:pPr>
      <w:r w:rsidRPr="00511005">
        <w:rPr>
          <w:rFonts w:ascii="Arial" w:eastAsia="Arial" w:hAnsi="Arial" w:cs="Arial"/>
          <w:bCs/>
          <w:szCs w:val="28"/>
          <w:lang w:val="uk-UA" w:eastAsia="ru-RU"/>
        </w:rPr>
        <w:t>Практична необхідність</w:t>
      </w:r>
      <w:r w:rsidRPr="00511005">
        <w:rPr>
          <w:rFonts w:ascii="Arial" w:eastAsia="Arial" w:hAnsi="Arial" w:cs="Arial"/>
          <w:szCs w:val="28"/>
          <w:lang w:val="uk-UA" w:eastAsia="ru-RU"/>
        </w:rPr>
        <w:t>. Значна кількість та різноманітність додаткових підстав, які застосовуються суддями на практиці, свідчить про об'єктивну неможливість охопити всі життєві ситуації вичерпним переліком. Як показало наше дослідження, судді стикаються з численними об'єктивними перешкодами для проведення засідань, які не передбачені статтею 322 КПК.</w:t>
      </w:r>
    </w:p>
    <w:p w14:paraId="3080E2C0" w14:textId="77777777" w:rsidR="00532C25" w:rsidRPr="00511005" w:rsidRDefault="00532C25" w:rsidP="003F6A5D">
      <w:pPr>
        <w:numPr>
          <w:ilvl w:val="0"/>
          <w:numId w:val="605"/>
        </w:numPr>
        <w:spacing w:line="264" w:lineRule="auto"/>
        <w:ind w:left="0" w:firstLine="720"/>
        <w:jc w:val="left"/>
        <w:rPr>
          <w:rFonts w:ascii="Arial" w:eastAsia="Arial" w:hAnsi="Arial" w:cs="Arial"/>
          <w:szCs w:val="28"/>
          <w:lang w:val="uk-UA" w:eastAsia="ru-RU"/>
        </w:rPr>
      </w:pPr>
      <w:r w:rsidRPr="00511005">
        <w:rPr>
          <w:rFonts w:ascii="Arial" w:eastAsia="Arial" w:hAnsi="Arial" w:cs="Arial"/>
          <w:bCs/>
          <w:szCs w:val="28"/>
          <w:lang w:val="uk-UA" w:eastAsia="ru-RU"/>
        </w:rPr>
        <w:t>Попередження зловживань</w:t>
      </w:r>
      <w:r w:rsidRPr="00511005">
        <w:rPr>
          <w:rFonts w:ascii="Arial" w:eastAsia="Arial" w:hAnsi="Arial" w:cs="Arial"/>
          <w:szCs w:val="28"/>
          <w:lang w:val="uk-UA" w:eastAsia="ru-RU"/>
        </w:rPr>
        <w:t xml:space="preserve">. Потенційна загроза зловживань, на яку вказують прихильники вичерпності переліку, може бути мінімізована через належне обґрунтування судом свого рішення про відкладення засідання. </w:t>
      </w:r>
    </w:p>
    <w:p w14:paraId="5B87A847" w14:textId="77777777" w:rsidR="00532C25" w:rsidRPr="00511005" w:rsidRDefault="00532C25" w:rsidP="003F6A5D">
      <w:pPr>
        <w:numPr>
          <w:ilvl w:val="0"/>
          <w:numId w:val="605"/>
        </w:numPr>
        <w:spacing w:line="264" w:lineRule="auto"/>
        <w:ind w:left="0" w:firstLine="720"/>
        <w:jc w:val="left"/>
        <w:rPr>
          <w:rFonts w:ascii="Arial" w:eastAsia="Arial" w:hAnsi="Arial" w:cs="Arial"/>
          <w:szCs w:val="28"/>
          <w:lang w:val="uk-UA" w:eastAsia="ru-RU"/>
        </w:rPr>
      </w:pPr>
      <w:r w:rsidRPr="00511005">
        <w:rPr>
          <w:rFonts w:ascii="Arial" w:eastAsia="Arial" w:hAnsi="Arial" w:cs="Arial"/>
          <w:szCs w:val="28"/>
          <w:lang w:val="uk-UA" w:eastAsia="ru-RU"/>
        </w:rPr>
        <w:t>Водночас, визнаючи невичерпність переліку підстав у ст. 322 КПК, ми вважаємо за необхідне наголосити, що судова дискреція у цьому питанні не є безмежною. Суд має керуватися критеріями об'єктивності, розумності та необхідності при визначенні додаткових підстав для відкладення судового засідання. Ми поділяємо позицію більшості суддів щодо невичерпності переліку підстав для відкладення судового засідання, вважаючи, що така інтерпретація найкраще відповідає принципам верховенства права, справедливості та практичним потребам кримінального судочинства. Тим не менш, важливо зазначити, що існує аргументована позиція на користь вичерпності цього переліку, що базується на принципах правової визначеності та розумних строків судового розгляду. Дана позиція заслуговує на увагу і її аргументи мають бути враховані при формуванні практики застосування ст. 322 КПК.</w:t>
      </w:r>
    </w:p>
    <w:p w14:paraId="7E4FA566"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Результати дослідження вказують на необхідність законодавчого вдосконалення ст. 322 КПК України шляхом більш чіткого визначення характеру переліку підстав для відкладення судового засідання, що дозволить уникнути різнотлумачень у судовій практиці.</w:t>
      </w:r>
    </w:p>
    <w:p w14:paraId="508932B0" w14:textId="77777777" w:rsidR="00532C25" w:rsidRPr="00511005" w:rsidRDefault="00532C25" w:rsidP="00532C25">
      <w:pPr>
        <w:spacing w:line="264" w:lineRule="auto"/>
        <w:ind w:firstLine="720"/>
        <w:rPr>
          <w:rFonts w:ascii="Arial" w:eastAsia="Arial" w:hAnsi="Arial" w:cs="Arial"/>
          <w:szCs w:val="28"/>
          <w:lang w:val="uk-UA" w:eastAsia="ru-RU"/>
        </w:rPr>
      </w:pPr>
    </w:p>
    <w:p w14:paraId="3A6A74DC" w14:textId="77777777" w:rsidR="00532C25" w:rsidRPr="00511005" w:rsidRDefault="00532C25" w:rsidP="00532C25">
      <w:pPr>
        <w:spacing w:line="264" w:lineRule="auto"/>
        <w:ind w:firstLine="720"/>
        <w:jc w:val="center"/>
        <w:rPr>
          <w:rFonts w:ascii="Arial" w:eastAsia="Arial" w:hAnsi="Arial" w:cs="Arial"/>
          <w:szCs w:val="28"/>
          <w:lang w:val="uk-UA" w:eastAsia="ru-RU"/>
        </w:rPr>
      </w:pPr>
      <w:r w:rsidRPr="00511005">
        <w:rPr>
          <w:rFonts w:ascii="Arial" w:eastAsia="Arial" w:hAnsi="Arial" w:cs="Arial"/>
          <w:b/>
          <w:bCs/>
          <w:szCs w:val="28"/>
          <w:lang w:val="uk-UA" w:eastAsia="ru-RU"/>
        </w:rPr>
        <w:t>Список використаних джерел</w:t>
      </w:r>
    </w:p>
    <w:p w14:paraId="2111FD7B" w14:textId="77777777" w:rsidR="00532C25" w:rsidRPr="00511005" w:rsidRDefault="00532C25" w:rsidP="003F6A5D">
      <w:pPr>
        <w:numPr>
          <w:ilvl w:val="0"/>
          <w:numId w:val="603"/>
        </w:numPr>
        <w:spacing w:line="264" w:lineRule="auto"/>
        <w:ind w:left="0" w:firstLine="360"/>
        <w:jc w:val="left"/>
        <w:rPr>
          <w:rFonts w:ascii="Arial" w:hAnsi="Arial" w:cs="Arial"/>
          <w:szCs w:val="28"/>
          <w:lang w:val="uk-UA" w:eastAsia="zh-CN"/>
        </w:rPr>
      </w:pPr>
      <w:r w:rsidRPr="00511005">
        <w:rPr>
          <w:rFonts w:ascii="Arial" w:hAnsi="Arial" w:cs="Arial"/>
          <w:szCs w:val="28"/>
          <w:lang w:val="uk-UA" w:eastAsia="zh-CN"/>
        </w:rPr>
        <w:t xml:space="preserve">Кримінальний процесуальний кодекс України: Закон України від 13.04.2012р. № 4651-VI. Верховна Рада України. URL: </w:t>
      </w:r>
      <w:hyperlink r:id="rId2164" w:anchor="Text"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zakon</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laws</w:t>
        </w:r>
        <w:r w:rsidRPr="00511005">
          <w:rPr>
            <w:rFonts w:ascii="Arial" w:hAnsi="Arial" w:cs="Arial"/>
            <w:szCs w:val="28"/>
            <w:lang w:eastAsia="zh-CN"/>
          </w:rPr>
          <w:t>/</w:t>
        </w:r>
        <w:r w:rsidRPr="00511005">
          <w:rPr>
            <w:rFonts w:ascii="Arial" w:hAnsi="Arial" w:cs="Arial"/>
            <w:szCs w:val="28"/>
            <w:lang w:val="en-US" w:eastAsia="zh-CN"/>
          </w:rPr>
          <w:t>show</w:t>
        </w:r>
        <w:r w:rsidRPr="00511005">
          <w:rPr>
            <w:rFonts w:ascii="Arial" w:hAnsi="Arial" w:cs="Arial"/>
            <w:szCs w:val="28"/>
            <w:lang w:eastAsia="zh-CN"/>
          </w:rPr>
          <w:t>/4651-17#</w:t>
        </w:r>
        <w:r w:rsidRPr="00511005">
          <w:rPr>
            <w:rFonts w:ascii="Arial" w:hAnsi="Arial" w:cs="Arial"/>
            <w:szCs w:val="28"/>
            <w:lang w:val="en-US" w:eastAsia="zh-CN"/>
          </w:rPr>
          <w:t>Text</w:t>
        </w:r>
      </w:hyperlink>
      <w:r w:rsidRPr="00511005">
        <w:rPr>
          <w:rFonts w:ascii="Arial" w:hAnsi="Arial" w:cs="Arial"/>
          <w:szCs w:val="28"/>
          <w:lang w:val="uk-UA" w:eastAsia="zh-CN"/>
        </w:rPr>
        <w:t xml:space="preserve"> (дата звернення: 01.03.2025). </w:t>
      </w:r>
    </w:p>
    <w:p w14:paraId="4A361E31" w14:textId="77777777" w:rsidR="00532C25" w:rsidRPr="00511005" w:rsidRDefault="00532C25" w:rsidP="00532C25">
      <w:pPr>
        <w:keepNext/>
        <w:spacing w:line="264" w:lineRule="auto"/>
        <w:ind w:firstLine="360"/>
        <w:rPr>
          <w:rFonts w:ascii="Arial" w:eastAsia="Arial" w:hAnsi="Arial" w:cs="Arial"/>
          <w:b/>
          <w:szCs w:val="28"/>
          <w:lang w:val="ru" w:eastAsia="ru-RU"/>
        </w:rPr>
      </w:pPr>
    </w:p>
    <w:p w14:paraId="193114B8" w14:textId="77777777" w:rsidR="00532C25" w:rsidRPr="00511005" w:rsidRDefault="00532C25" w:rsidP="00532C25">
      <w:pPr>
        <w:keepNext/>
        <w:spacing w:line="264" w:lineRule="auto"/>
        <w:ind w:firstLine="360"/>
        <w:rPr>
          <w:rFonts w:ascii="Arial" w:eastAsia="Arial" w:hAnsi="Arial" w:cs="Arial"/>
          <w:bCs/>
          <w:szCs w:val="28"/>
          <w:lang w:val="ru" w:eastAsia="ru-RU"/>
        </w:rPr>
      </w:pPr>
      <w:r w:rsidRPr="00511005">
        <w:rPr>
          <w:rFonts w:ascii="Arial" w:eastAsia="Arial" w:hAnsi="Arial" w:cs="Arial"/>
          <w:b/>
          <w:i/>
          <w:szCs w:val="28"/>
          <w:lang w:val="ru" w:eastAsia="ru-RU"/>
        </w:rPr>
        <w:t xml:space="preserve">Ключові слова: </w:t>
      </w:r>
      <w:r w:rsidRPr="00511005">
        <w:rPr>
          <w:rFonts w:ascii="Arial" w:eastAsia="Arial" w:hAnsi="Arial" w:cs="Arial"/>
          <w:szCs w:val="28"/>
          <w:lang w:val="ru" w:eastAsia="ru-RU"/>
        </w:rPr>
        <w:t>Кримінальний процесуальний кодекс України, судовий розгляд, відкладення судового розгляду</w:t>
      </w:r>
    </w:p>
    <w:p w14:paraId="0AF4A54C" w14:textId="77777777" w:rsidR="00532C25" w:rsidRPr="00511005" w:rsidRDefault="00532C25" w:rsidP="00532C25">
      <w:pPr>
        <w:keepNext/>
        <w:spacing w:line="264" w:lineRule="auto"/>
        <w:ind w:firstLine="360"/>
        <w:rPr>
          <w:rFonts w:ascii="Arial" w:eastAsia="Arial" w:hAnsi="Arial" w:cs="Arial"/>
          <w:bCs/>
          <w:szCs w:val="28"/>
          <w:lang w:val="en-US" w:eastAsia="ru-RU"/>
        </w:rPr>
      </w:pPr>
      <w:r w:rsidRPr="00511005">
        <w:rPr>
          <w:rFonts w:ascii="Arial" w:eastAsia="Arial" w:hAnsi="Arial" w:cs="Arial"/>
          <w:b/>
          <w:i/>
          <w:szCs w:val="28"/>
          <w:lang w:val="en-CA" w:eastAsia="ru-RU"/>
        </w:rPr>
        <w:t xml:space="preserve">Key words: </w:t>
      </w:r>
      <w:r w:rsidRPr="00511005">
        <w:rPr>
          <w:rFonts w:ascii="Arial" w:eastAsia="Arial" w:hAnsi="Arial" w:cs="Arial"/>
          <w:szCs w:val="28"/>
          <w:lang w:val="en-US" w:eastAsia="ru-RU"/>
        </w:rPr>
        <w:t>the Criminal Procedure Code of Ukraine, trial, postponement of trial.</w:t>
      </w:r>
    </w:p>
    <w:p w14:paraId="66760EE7" w14:textId="77777777" w:rsidR="00532C25" w:rsidRPr="00511005" w:rsidRDefault="00532C25" w:rsidP="00532C25">
      <w:pPr>
        <w:spacing w:line="264" w:lineRule="auto"/>
        <w:ind w:firstLine="360"/>
        <w:rPr>
          <w:rFonts w:ascii="Arial" w:eastAsia="Arial" w:hAnsi="Arial" w:cs="Arial"/>
          <w:i/>
          <w:iCs/>
          <w:szCs w:val="28"/>
          <w:lang w:val="uk-UA" w:eastAsia="ru-RU"/>
        </w:rPr>
      </w:pPr>
      <w:r w:rsidRPr="00511005">
        <w:rPr>
          <w:rFonts w:ascii="Arial" w:eastAsia="Arial" w:hAnsi="Arial" w:cs="Arial"/>
          <w:b/>
          <w:bCs/>
          <w:i/>
          <w:szCs w:val="28"/>
          <w:lang w:val="uk-UA" w:eastAsia="ru-RU"/>
        </w:rPr>
        <w:t xml:space="preserve">Науковий керівник: </w:t>
      </w:r>
      <w:r w:rsidRPr="00511005">
        <w:rPr>
          <w:rFonts w:ascii="Arial" w:eastAsia="Arial" w:hAnsi="Arial" w:cs="Arial"/>
          <w:i/>
          <w:iCs/>
          <w:szCs w:val="28"/>
          <w:lang w:val="uk-UA" w:eastAsia="ru-RU"/>
        </w:rPr>
        <w:t xml:space="preserve">к.ю.н., доцент Гуртієва Л.М. </w:t>
      </w:r>
    </w:p>
    <w:p w14:paraId="5A2699E5" w14:textId="77777777" w:rsidR="00532C25" w:rsidRPr="00511005" w:rsidRDefault="00532C25" w:rsidP="00532C25">
      <w:pPr>
        <w:spacing w:line="264" w:lineRule="auto"/>
        <w:ind w:firstLine="0"/>
        <w:rPr>
          <w:rFonts w:ascii="Arial" w:eastAsia="Arial" w:hAnsi="Arial" w:cs="Arial"/>
          <w:b/>
          <w:bCs/>
          <w:i/>
          <w:szCs w:val="28"/>
          <w:lang w:val="uk-UA" w:eastAsia="ru-RU"/>
        </w:rPr>
      </w:pPr>
    </w:p>
    <w:p w14:paraId="15EAC833" w14:textId="77777777" w:rsidR="00532C25" w:rsidRPr="00511005" w:rsidRDefault="00532C25" w:rsidP="00532C25">
      <w:pPr>
        <w:spacing w:line="264" w:lineRule="auto"/>
        <w:ind w:firstLine="0"/>
        <w:rPr>
          <w:rFonts w:ascii="Arial" w:eastAsia="Arial" w:hAnsi="Arial" w:cs="Arial"/>
          <w:b/>
          <w:bCs/>
          <w:i/>
          <w:szCs w:val="28"/>
          <w:lang w:val="ru" w:eastAsia="ru-RU"/>
        </w:rPr>
      </w:pPr>
    </w:p>
    <w:p w14:paraId="6B0F167B" w14:textId="77777777" w:rsidR="00532C25" w:rsidRPr="00511005" w:rsidRDefault="00532C25" w:rsidP="00532C25">
      <w:pPr>
        <w:spacing w:line="264" w:lineRule="auto"/>
        <w:ind w:firstLine="0"/>
        <w:jc w:val="center"/>
        <w:rPr>
          <w:rFonts w:ascii="Arial" w:eastAsia="Arial" w:hAnsi="Arial" w:cs="Arial"/>
          <w:b/>
          <w:bCs/>
          <w:i/>
          <w:szCs w:val="28"/>
          <w:lang w:val="ru" w:eastAsia="ru-RU"/>
        </w:rPr>
      </w:pPr>
      <w:r w:rsidRPr="00511005">
        <w:rPr>
          <w:rFonts w:ascii="Arial" w:eastAsia="Arial" w:hAnsi="Arial" w:cs="Arial"/>
          <w:b/>
          <w:bCs/>
          <w:i/>
          <w:szCs w:val="28"/>
          <w:lang w:val="ru" w:eastAsia="ru-RU"/>
        </w:rPr>
        <w:t>Дмитренко Ольга Олексіївна</w:t>
      </w:r>
    </w:p>
    <w:p w14:paraId="3CDE513D"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студентка 1-го курсу магістратури</w:t>
      </w:r>
    </w:p>
    <w:p w14:paraId="37DF6202"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FBFC032"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A3CECFE" w14:textId="77777777" w:rsidR="00532C25" w:rsidRPr="00511005" w:rsidRDefault="00532C25" w:rsidP="00532C25">
      <w:pPr>
        <w:spacing w:line="264" w:lineRule="auto"/>
        <w:ind w:firstLine="0"/>
        <w:rPr>
          <w:rFonts w:ascii="Arial" w:eastAsia="Arial" w:hAnsi="Arial" w:cs="Arial"/>
          <w:szCs w:val="28"/>
          <w:lang w:val="ru" w:eastAsia="ru-RU"/>
        </w:rPr>
      </w:pPr>
    </w:p>
    <w:p w14:paraId="1E5CBA45" w14:textId="77777777" w:rsidR="00532C25" w:rsidRPr="00511005" w:rsidRDefault="00532C25" w:rsidP="00532C25">
      <w:pPr>
        <w:spacing w:line="264" w:lineRule="auto"/>
        <w:ind w:firstLine="0"/>
        <w:jc w:val="center"/>
        <w:rPr>
          <w:rFonts w:ascii="Arial" w:eastAsia="Arial" w:hAnsi="Arial" w:cs="Arial"/>
          <w:b/>
          <w:bCs/>
          <w:szCs w:val="28"/>
          <w:lang w:val="ru" w:eastAsia="ru-RU"/>
        </w:rPr>
      </w:pPr>
      <w:r w:rsidRPr="00511005">
        <w:rPr>
          <w:rFonts w:ascii="Arial" w:eastAsia="Arial" w:hAnsi="Arial" w:cs="Arial"/>
          <w:b/>
          <w:bCs/>
          <w:szCs w:val="28"/>
          <w:lang w:val="ru" w:eastAsia="ru-RU"/>
        </w:rPr>
        <w:t>ДОПИТ НА СТАДІЇ ДОСУДОВОГО РОЗСЛІДУВАННЯ В УМОВАХ ВОЄННОГО СТАНУ: ТЕОРЕТИКО-ПРАКТИЧНІ АСПЕКТИ</w:t>
      </w:r>
    </w:p>
    <w:p w14:paraId="6662B56B"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Сторона обвинувачення під час проведення досудового розслідування оперує широким інструментарієм слідчих (розшукових) дій, негласних слідчих (розшукових) дій та оперативно-розшукових заходів, однак серед усього різноманіття процесуальних засобів саме допит залишається найпоширенішим і водночас найбільш універсальним способом отримання відомостей щодо обставин вчиненого кримінального правопорушення. Показання, отримані під час допиту свідків, потерпілих, підозрюваних, нерідко стають підґрунтям для перевірки слідчих версій, основою для формулювання змісту підозри та</w:t>
      </w:r>
      <w:r w:rsidRPr="00511005">
        <w:rPr>
          <w:rFonts w:ascii="Arial" w:eastAsia="Arial" w:hAnsi="Arial" w:cs="Arial"/>
          <w:szCs w:val="28"/>
          <w:lang w:eastAsia="ru-RU"/>
        </w:rPr>
        <w:t>,</w:t>
      </w:r>
      <w:r w:rsidRPr="00511005">
        <w:rPr>
          <w:rFonts w:ascii="Arial" w:eastAsia="Arial" w:hAnsi="Arial" w:cs="Arial"/>
          <w:szCs w:val="28"/>
          <w:lang w:val="ru" w:eastAsia="ru-RU"/>
        </w:rPr>
        <w:t xml:space="preserve"> у подальшому</w:t>
      </w:r>
      <w:r w:rsidRPr="00511005">
        <w:rPr>
          <w:rFonts w:ascii="Arial" w:eastAsia="Arial" w:hAnsi="Arial" w:cs="Arial"/>
          <w:szCs w:val="28"/>
          <w:lang w:eastAsia="ru-RU"/>
        </w:rPr>
        <w:t>,</w:t>
      </w:r>
      <w:r w:rsidRPr="00511005">
        <w:rPr>
          <w:rFonts w:ascii="Arial" w:eastAsia="Arial" w:hAnsi="Arial" w:cs="Arial"/>
          <w:szCs w:val="28"/>
          <w:lang w:val="ru" w:eastAsia="ru-RU"/>
        </w:rPr>
        <w:t xml:space="preserve"> направлення прокурором обвинувального акту </w:t>
      </w:r>
      <w:proofErr w:type="gramStart"/>
      <w:r w:rsidRPr="00511005">
        <w:rPr>
          <w:rFonts w:ascii="Arial" w:eastAsia="Arial" w:hAnsi="Arial" w:cs="Arial"/>
          <w:szCs w:val="28"/>
          <w:lang w:val="ru" w:eastAsia="ru-RU"/>
        </w:rPr>
        <w:t>до суду</w:t>
      </w:r>
      <w:proofErr w:type="gramEnd"/>
      <w:r w:rsidRPr="00511005">
        <w:rPr>
          <w:rFonts w:ascii="Arial" w:eastAsia="Arial" w:hAnsi="Arial" w:cs="Arial"/>
          <w:szCs w:val="28"/>
          <w:lang w:val="ru" w:eastAsia="ru-RU"/>
        </w:rPr>
        <w:t>.</w:t>
      </w:r>
    </w:p>
    <w:p w14:paraId="73D6A73B" w14:textId="77777777" w:rsidR="00532C25" w:rsidRPr="00511005" w:rsidRDefault="00532C25" w:rsidP="00532C25">
      <w:pPr>
        <w:spacing w:line="264" w:lineRule="auto"/>
        <w:rPr>
          <w:rFonts w:ascii="Arial" w:eastAsia="Arial" w:hAnsi="Arial" w:cs="Arial"/>
          <w:szCs w:val="28"/>
          <w:lang w:eastAsia="ru-RU"/>
        </w:rPr>
      </w:pPr>
      <w:r w:rsidRPr="00511005">
        <w:rPr>
          <w:rFonts w:ascii="Arial" w:eastAsia="Arial" w:hAnsi="Arial" w:cs="Arial"/>
          <w:szCs w:val="28"/>
          <w:lang w:val="ru" w:eastAsia="ru-RU"/>
        </w:rPr>
        <w:t xml:space="preserve">Попри загальне правило, відповідно до якого показання свідка, отримані на стадії досудового розслідування у ході допиту слідчим, прокурором, не визнаються допустимими доказами в суді без повторного допиту такої особи під час судового розгляду, з огляду на сучасні реалії, потребується переосмислення цього підходу. Питання визначення таких показань як джерела доказів набуло особливої актуальності в умовах воєнного стану. Виникла об’єктивна потреба перегляду усталених процесуальних підходів до фіксації та подальшого використання таких показань, отриманих відповідним суб’єктом збирання доказів на етапі досудового розслідування, у судовому процесі. Положення Розділу IX¹ «Особливий режим досудового розслідування, судового розгляду в умовах воєнного стану» (далі – Розділ IX¹) Кримінального кодексу України (далі – КПК України) </w:t>
      </w:r>
      <w:r w:rsidRPr="00511005">
        <w:rPr>
          <w:rFonts w:ascii="Arial" w:eastAsia="Arial" w:hAnsi="Arial" w:cs="Arial"/>
          <w:szCs w:val="28"/>
          <w:lang w:eastAsia="ru-RU"/>
        </w:rPr>
        <w:t xml:space="preserve">[1] </w:t>
      </w:r>
      <w:r w:rsidRPr="00511005">
        <w:rPr>
          <w:rFonts w:ascii="Arial" w:eastAsia="Arial" w:hAnsi="Arial" w:cs="Arial"/>
          <w:szCs w:val="28"/>
          <w:lang w:val="ru" w:eastAsia="ru-RU"/>
        </w:rPr>
        <w:t xml:space="preserve">суттєво вплинули на процесуальний порядок проведення низки слідчих (розшукових) дій та на загальні вимоги проведення досудового розслідування, викладені законодавцем у ст. 223 КПК України. </w:t>
      </w:r>
    </w:p>
    <w:p w14:paraId="0CDA68B7" w14:textId="77777777" w:rsidR="00532C25" w:rsidRPr="00511005" w:rsidRDefault="00532C25" w:rsidP="00532C25">
      <w:pPr>
        <w:spacing w:line="264" w:lineRule="auto"/>
        <w:rPr>
          <w:rFonts w:ascii="Arial" w:eastAsia="Arial" w:hAnsi="Arial" w:cs="Arial"/>
          <w:szCs w:val="28"/>
          <w:lang w:val="ru" w:eastAsia="ru-RU"/>
        </w:rPr>
      </w:pPr>
      <w:proofErr w:type="gramStart"/>
      <w:r w:rsidRPr="00511005">
        <w:rPr>
          <w:rFonts w:ascii="Arial" w:eastAsia="Arial" w:hAnsi="Arial" w:cs="Arial"/>
          <w:szCs w:val="28"/>
          <w:lang w:val="ru" w:eastAsia="ru-RU"/>
        </w:rPr>
        <w:t>У межах</w:t>
      </w:r>
      <w:proofErr w:type="gramEnd"/>
      <w:r w:rsidRPr="00511005">
        <w:rPr>
          <w:rFonts w:ascii="Arial" w:eastAsia="Arial" w:hAnsi="Arial" w:cs="Arial"/>
          <w:szCs w:val="28"/>
          <w:lang w:val="ru" w:eastAsia="ru-RU"/>
        </w:rPr>
        <w:t xml:space="preserve"> особливого режиму досудового розслідування законодавець окреслив конкретні випадки, коли показання, отримані слідчим, прокурором </w:t>
      </w:r>
      <w:r w:rsidRPr="00511005">
        <w:rPr>
          <w:rFonts w:ascii="Arial" w:eastAsia="Arial" w:hAnsi="Arial" w:cs="Arial"/>
          <w:szCs w:val="28"/>
          <w:lang w:val="ru" w:eastAsia="ru-RU"/>
        </w:rPr>
        <w:lastRenderedPageBreak/>
        <w:t xml:space="preserve">на цій стадії, можуть використовуватись у суді як докази, за умови дотримання низки процесуальних гарантій. Відповідно до ч. 11 ст. 615 КПК України допити, проведені в умовах воєнного стану, набувають доказового значення лише у випадку їх повної відеофіксації доступними технічними засобами. Щодо підозрюваного – ще однією обов’язковою умовою є участь захисника під час проведення такої слідчої дії. </w:t>
      </w:r>
    </w:p>
    <w:p w14:paraId="31EFE5B6"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До обставин, які об’єктивно ускладнюють або унеможливлюють участь </w:t>
      </w:r>
      <w:r w:rsidRPr="00511005">
        <w:rPr>
          <w:rFonts w:ascii="Arial" w:eastAsia="Arial" w:hAnsi="Arial" w:cs="Arial"/>
          <w:szCs w:val="28"/>
          <w:lang w:eastAsia="ru-RU"/>
        </w:rPr>
        <w:t>допитаних на стад</w:t>
      </w:r>
      <w:r w:rsidRPr="00511005">
        <w:rPr>
          <w:rFonts w:ascii="Arial" w:eastAsia="Arial" w:hAnsi="Arial" w:cs="Arial"/>
          <w:szCs w:val="28"/>
          <w:lang w:val="ru" w:eastAsia="ru-RU"/>
        </w:rPr>
        <w:t xml:space="preserve">ії досудового розслідування осіб у судовому провадженні, варто віднести виконання військовослужбовцями завдань </w:t>
      </w:r>
      <w:proofErr w:type="gramStart"/>
      <w:r w:rsidRPr="00511005">
        <w:rPr>
          <w:rFonts w:ascii="Arial" w:eastAsia="Arial" w:hAnsi="Arial" w:cs="Arial"/>
          <w:szCs w:val="28"/>
          <w:lang w:val="ru" w:eastAsia="ru-RU"/>
        </w:rPr>
        <w:t>у межах</w:t>
      </w:r>
      <w:proofErr w:type="gramEnd"/>
      <w:r w:rsidRPr="00511005">
        <w:rPr>
          <w:rFonts w:ascii="Arial" w:eastAsia="Arial" w:hAnsi="Arial" w:cs="Arial"/>
          <w:szCs w:val="28"/>
          <w:lang w:val="ru" w:eastAsia="ru-RU"/>
        </w:rPr>
        <w:t xml:space="preserve"> проходження військової служби. Аналіз положень Бойового статуту механізованих і танкових військ Сухопутних військ Збройних Сил України (частина ІІІ, Розділ 1), дозволяє дійти логічного висновку, що ведення бойових дій вимагає від підрозділів високої мобільності, злагодженості дій, постійної готовності до переміщення, а також безперервного виконання поставлених завдань, що зумовлює їхню постійну зайнятість, мобільність, перебування у зоні бойових дій або на тимчасово окупованих територіях. У таких умовах військовослужбовець не має права залишати район виконання бойового завдання, оскільки порядок його переміщення регламентується наказами вищого командування. Відсутність підстав для залишення бойової позиції, а також кримінальна відповідальність за самовільне залишення військової частини чи місця служби (ст. 407 Кримінального кодексу України) [2] – об’єктивно унеможливлюють повноцінну участь таких осіб у судовому розгляді особисто або у форматі відеоконференції зокрема. У цьому контексті вимога особистої присутності військовослужбовця в судовому засіданні в умовах активної фази бойових дій видається не лише практично неможливою, а й юридично недопустимою [3].</w:t>
      </w:r>
    </w:p>
    <w:p w14:paraId="5B4C378E"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Виходячи з особливостей несення військової служби під час дії воєнного стану, окремої уваги потребує питання фіксації показань осіб, стосовно яких існує об’єктивний ризик загибелі внаслідок ведення бойових дій. </w:t>
      </w:r>
      <w:proofErr w:type="gramStart"/>
      <w:r w:rsidRPr="00511005">
        <w:rPr>
          <w:rFonts w:ascii="Arial" w:eastAsia="Arial" w:hAnsi="Arial" w:cs="Arial"/>
          <w:szCs w:val="28"/>
          <w:lang w:val="ru" w:eastAsia="ru-RU"/>
        </w:rPr>
        <w:t>За умов</w:t>
      </w:r>
      <w:proofErr w:type="gramEnd"/>
      <w:r w:rsidRPr="00511005">
        <w:rPr>
          <w:rFonts w:ascii="Arial" w:eastAsia="Arial" w:hAnsi="Arial" w:cs="Arial"/>
          <w:szCs w:val="28"/>
          <w:lang w:val="ru" w:eastAsia="ru-RU"/>
        </w:rPr>
        <w:t xml:space="preserve"> інтенсивних обстрілів, наступальних операцій та/або перебування в зоні вогневого контакту, як військовослужбовець, так і цивільна особа, можуть бути смертельно поранені або зникнути безвісти ще до моменту розгляду справи в суді. Передбачена законодавцем можливість використання показань, отриманих раніше слідчим, прокурором, за умови дотримання усіх процесуальних вимог, може стати важливим доказом, що сприятиме об’єктивному оцінюванню фактів і обставин справи, навіть у випадку неможливості забезпечення участі таких осіб у судовому розгляді.</w:t>
      </w:r>
    </w:p>
    <w:p w14:paraId="15FC2485"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Разом з тим, не можна не взяти до уваги думку І. В. Гловюк, яка наголошує, що «введення воєнного стану у зв’язку з військовою агресією російської федерації проти України само по собі не свідчить про існування індивідуальної небезпеки для життя та здоров’я потерплого. Ризик для життя та здоров</w:t>
      </w:r>
      <w:r w:rsidRPr="00511005">
        <w:rPr>
          <w:rFonts w:ascii="Arial" w:eastAsia="Arial" w:hAnsi="Arial" w:cs="Arial"/>
          <w:szCs w:val="28"/>
          <w:lang w:eastAsia="ru-RU"/>
        </w:rPr>
        <w:t>’</w:t>
      </w:r>
      <w:r w:rsidRPr="00511005">
        <w:rPr>
          <w:rFonts w:ascii="Arial" w:eastAsia="Arial" w:hAnsi="Arial" w:cs="Arial"/>
          <w:szCs w:val="28"/>
          <w:lang w:val="ru" w:eastAsia="ru-RU"/>
        </w:rPr>
        <w:t>я під час воєнного стану в країні може існувати для будь-</w:t>
      </w:r>
      <w:r w:rsidRPr="00511005">
        <w:rPr>
          <w:rFonts w:ascii="Arial" w:eastAsia="Arial" w:hAnsi="Arial" w:cs="Arial"/>
          <w:szCs w:val="28"/>
          <w:lang w:val="ru" w:eastAsia="ru-RU"/>
        </w:rPr>
        <w:lastRenderedPageBreak/>
        <w:t>якої особи, однак такий ризик має бути реальним на час звернення із клопотанням, а не потенційним та ґрунтуватися на припущеннях»</w:t>
      </w:r>
      <w:r w:rsidRPr="00511005">
        <w:rPr>
          <w:rFonts w:ascii="Arial" w:eastAsia="Arial" w:hAnsi="Arial" w:cs="Arial"/>
          <w:szCs w:val="28"/>
          <w:lang w:eastAsia="ru-RU"/>
        </w:rPr>
        <w:t xml:space="preserve"> </w:t>
      </w:r>
      <w:r w:rsidRPr="00511005">
        <w:rPr>
          <w:rFonts w:ascii="Arial" w:eastAsia="Arial" w:hAnsi="Arial" w:cs="Arial"/>
          <w:szCs w:val="28"/>
          <w:lang w:val="ru" w:eastAsia="ru-RU"/>
        </w:rPr>
        <w:t>[4]</w:t>
      </w:r>
      <w:r w:rsidRPr="00511005">
        <w:rPr>
          <w:rFonts w:ascii="Arial" w:eastAsia="Arial" w:hAnsi="Arial" w:cs="Arial"/>
          <w:szCs w:val="28"/>
          <w:lang w:eastAsia="ru-RU"/>
        </w:rPr>
        <w:t>.</w:t>
      </w:r>
      <w:r w:rsidRPr="00511005">
        <w:rPr>
          <w:rFonts w:ascii="Arial" w:eastAsia="Arial" w:hAnsi="Arial" w:cs="Arial"/>
          <w:szCs w:val="28"/>
          <w:lang w:val="ru" w:eastAsia="ru-RU"/>
        </w:rPr>
        <w:t xml:space="preserve"> На ситуативний, а не загальний характер застосування положень ч. 11 ст. 615 КПК України, як вимушеного засобу забезпечення правосуддя в умовах воєнного стану, звертає увагу і</w:t>
      </w:r>
      <w:r w:rsidRPr="00511005">
        <w:rPr>
          <w:rFonts w:ascii="Arial" w:eastAsia="Arial" w:hAnsi="Arial" w:cs="Arial"/>
          <w:szCs w:val="28"/>
          <w:lang w:eastAsia="ru-RU"/>
        </w:rPr>
        <w:t xml:space="preserve"> </w:t>
      </w:r>
      <w:r w:rsidRPr="00511005">
        <w:rPr>
          <w:rFonts w:ascii="Arial" w:eastAsia="Arial" w:hAnsi="Arial" w:cs="Arial"/>
          <w:szCs w:val="28"/>
          <w:lang w:val="ru" w:eastAsia="ru-RU"/>
        </w:rPr>
        <w:t>А. В. Завтур, акцентуючи на обмеженості цієї процедури щодо гарантій справедливого судового розгляду [5, с. 151].</w:t>
      </w:r>
    </w:p>
    <w:p w14:paraId="0511C54E"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Аналіз вітчизняної судової практики дозволяє простежити відсутність єдиного підходу до застосування ч. 11 ст. 615 КПК України: у деяких випадках суди визнають допустимість доказів, здобутих в умовах воєнного стану, за дотримання процесуальних гарантій, тоді як в інших – вказують на недотримання принципу безпосередності та обмежену можливість їх використання. Наприклад, в Ухвалі Червонозаводського районного суду м. Харкова від 16.04.2025 слідчий суддя відмовив у клопотанні слідчого, погодженого з прокурором, про допит потерпілого у порядку ст. 225 КПК України, аргументуючи це тим що «законодавець, зважаючи на умови воєнного стану, відійшов від принципу безпосередності дослідження доказів, закріпленого в ст. 23 КПК України, з метою дотримання в умовах воєнного стану основних засад кримінального провадження, та змінив правила використання показань в доказуванні із застосуванням норм ст. 225 та ч. 11 ст. 615 КПК України», тим самим визнаючи, що показання, які були (будуть) отримані в ході досудового розслідування у порядку передбаченому ч. 11 ст. 615 КПК України можуть бути використані як доказ саме в суді при розгляді кримінального провадження по суті [6].</w:t>
      </w:r>
    </w:p>
    <w:p w14:paraId="15CB03A6" w14:textId="77777777" w:rsidR="00532C25" w:rsidRPr="00511005" w:rsidRDefault="00532C25" w:rsidP="00532C25">
      <w:pPr>
        <w:spacing w:line="264" w:lineRule="auto"/>
        <w:rPr>
          <w:rFonts w:ascii="Arial" w:eastAsia="Arial" w:hAnsi="Arial" w:cs="Arial"/>
          <w:szCs w:val="28"/>
          <w:lang w:eastAsia="ru-RU"/>
        </w:rPr>
      </w:pPr>
      <w:r w:rsidRPr="00511005">
        <w:rPr>
          <w:rFonts w:ascii="Arial" w:eastAsia="Arial" w:hAnsi="Arial" w:cs="Arial"/>
          <w:szCs w:val="28"/>
          <w:lang w:val="ru" w:eastAsia="ru-RU"/>
        </w:rPr>
        <w:t xml:space="preserve">Варто зазначити, що Європейський суд з прав людини неодноразово висловлювався щодо допустимості використання показань відсутніх у судовому засіданні свідків. Зокрема, у справі </w:t>
      </w:r>
      <w:r w:rsidRPr="00511005">
        <w:rPr>
          <w:rFonts w:ascii="Arial" w:eastAsia="Arial" w:hAnsi="Arial" w:cs="Arial"/>
          <w:i/>
          <w:iCs/>
          <w:szCs w:val="28"/>
          <w:lang w:val="ru" w:eastAsia="ru-RU"/>
        </w:rPr>
        <w:t>Schatschaschwili v. Germany</w:t>
      </w:r>
      <w:r w:rsidRPr="00511005">
        <w:rPr>
          <w:rFonts w:ascii="Arial" w:eastAsia="Arial" w:hAnsi="Arial" w:cs="Arial"/>
          <w:szCs w:val="28"/>
          <w:lang w:val="ru" w:eastAsia="ru-RU"/>
        </w:rPr>
        <w:t xml:space="preserve"> (заява № 9154/10, рішення від 15 грудня 2015 року) [7] Суд сформулював чітку позицію: навіть за відсутності достатніх підстав для неявки свідка, національний суд зобов’язаний з’ясувати, чи були показання такого свідка єдиним або вирішальним доказом для засудження особи, а також чи існували достатні урівноважуючи фактори, здатні забезпечити справедливу, належну та чітку оцінку достовірності цього доказу (п. 113). Такий підхід покликаний гарантувати дотримання права на справедливий судовий розгляд, передбаченого статтею 6 Конвенції про захист прав людини і основоположних свобод </w:t>
      </w:r>
      <w:r w:rsidRPr="00511005">
        <w:rPr>
          <w:rFonts w:ascii="Arial" w:eastAsia="Arial" w:hAnsi="Arial" w:cs="Arial"/>
          <w:szCs w:val="28"/>
          <w:lang w:eastAsia="ru-RU"/>
        </w:rPr>
        <w:t>[8, с. 63].</w:t>
      </w:r>
    </w:p>
    <w:p w14:paraId="2857C7A1"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З огляду на викладене, можна дійти висновку, що допит, як оди</w:t>
      </w:r>
      <w:r w:rsidRPr="00511005">
        <w:rPr>
          <w:rFonts w:ascii="Arial" w:eastAsia="Arial" w:hAnsi="Arial" w:cs="Arial"/>
          <w:szCs w:val="28"/>
          <w:lang w:eastAsia="ru-RU"/>
        </w:rPr>
        <w:t>н</w:t>
      </w:r>
      <w:r w:rsidRPr="00511005">
        <w:rPr>
          <w:rFonts w:ascii="Arial" w:eastAsia="Arial" w:hAnsi="Arial" w:cs="Arial"/>
          <w:szCs w:val="28"/>
          <w:lang w:val="ru" w:eastAsia="ru-RU"/>
        </w:rPr>
        <w:t xml:space="preserve"> з ключових способів отримання інформації під час досудового розслідування, відіграє надзвичайно важливу роль у встановленні обставин вчинення кримінального правопорушення. Однак відсутність своєчасної належної фіксації слідчим, прокурором показань, отриманих на стадії досудового розслідування може призвести до безповоротної втрати важливої доказової інформації, зокрема щодо обставин, що мають значення для встановлення </w:t>
      </w:r>
      <w:r w:rsidRPr="00511005">
        <w:rPr>
          <w:rFonts w:ascii="Arial" w:eastAsia="Arial" w:hAnsi="Arial" w:cs="Arial"/>
          <w:szCs w:val="28"/>
          <w:lang w:val="ru" w:eastAsia="ru-RU"/>
        </w:rPr>
        <w:lastRenderedPageBreak/>
        <w:t xml:space="preserve">вини або невинуватості особи, мотивів, попередніх погроз, сприйняття обстановки тощо. Тому </w:t>
      </w:r>
      <w:proofErr w:type="gramStart"/>
      <w:r w:rsidRPr="00511005">
        <w:rPr>
          <w:rFonts w:ascii="Arial" w:eastAsia="Arial" w:hAnsi="Arial" w:cs="Arial"/>
          <w:szCs w:val="28"/>
          <w:lang w:val="ru" w:eastAsia="ru-RU"/>
        </w:rPr>
        <w:t>за умов</w:t>
      </w:r>
      <w:proofErr w:type="gramEnd"/>
      <w:r w:rsidRPr="00511005">
        <w:rPr>
          <w:rFonts w:ascii="Arial" w:eastAsia="Arial" w:hAnsi="Arial" w:cs="Arial"/>
          <w:szCs w:val="28"/>
          <w:lang w:val="ru" w:eastAsia="ru-RU"/>
        </w:rPr>
        <w:t xml:space="preserve"> активної фази воєнного конфлікту особливої ваги набуває документування таких свідчень із дотриманням процесуальних гарантій, аби у разі неможливості допиту в суді забезпечити їх допустимість і доказову цінність у подальшому. Умови воєнного стану зумовлюють необхідність певного балансування між принципами безпосередності дослідження доказів і реальними можливостями їх отримання та оцінки, що, зрештою, служить інтересам правосуддя та дотриманню загальних засад кримінального провадження.</w:t>
      </w:r>
    </w:p>
    <w:p w14:paraId="4A923A8A" w14:textId="77777777" w:rsidR="00532C25" w:rsidRPr="00511005" w:rsidRDefault="00532C25" w:rsidP="00532C25">
      <w:pPr>
        <w:spacing w:line="264" w:lineRule="auto"/>
        <w:rPr>
          <w:rFonts w:ascii="Arial" w:eastAsia="Arial" w:hAnsi="Arial" w:cs="Arial"/>
          <w:szCs w:val="28"/>
          <w:lang w:val="ru" w:eastAsia="ru-RU"/>
        </w:rPr>
      </w:pPr>
    </w:p>
    <w:p w14:paraId="66DC8BCF" w14:textId="77777777" w:rsidR="00532C25" w:rsidRPr="00511005" w:rsidRDefault="00532C25" w:rsidP="00532C25">
      <w:pPr>
        <w:spacing w:line="264" w:lineRule="auto"/>
        <w:jc w:val="center"/>
        <w:rPr>
          <w:rFonts w:ascii="Arial" w:eastAsia="Arial" w:hAnsi="Arial" w:cs="Arial"/>
          <w:szCs w:val="28"/>
          <w:lang w:val="ru" w:eastAsia="ru-RU"/>
        </w:rPr>
      </w:pPr>
      <w:r w:rsidRPr="00511005">
        <w:rPr>
          <w:rFonts w:ascii="Arial" w:eastAsia="Times New Roman" w:hAnsi="Arial" w:cs="Arial"/>
          <w:b/>
          <w:iCs/>
          <w:szCs w:val="28"/>
          <w:lang w:val="uk-UA" w:eastAsia="ru-RU"/>
        </w:rPr>
        <w:t>Список використаних джерел</w:t>
      </w:r>
    </w:p>
    <w:p w14:paraId="35EC6F93" w14:textId="77777777" w:rsidR="00532C25" w:rsidRPr="00511005" w:rsidRDefault="00532C25" w:rsidP="003F6A5D">
      <w:pPr>
        <w:keepNext/>
        <w:numPr>
          <w:ilvl w:val="0"/>
          <w:numId w:val="586"/>
        </w:numPr>
        <w:spacing w:line="264" w:lineRule="auto"/>
        <w:ind w:left="0" w:firstLine="567"/>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Кримінальний процесуальний кодекс України: Закон України від 13 квітня 2012 року № 4651-VI.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2165" w:history="1">
        <w:r w:rsidRPr="00511005">
          <w:rPr>
            <w:rFonts w:ascii="Arial" w:eastAsia="Calibri" w:hAnsi="Arial" w:cs="Arial"/>
            <w:szCs w:val="28"/>
            <w:lang w:eastAsia="ru-RU"/>
          </w:rPr>
          <w:t>https://zakon.rada.gov.ua/laws/show/4651-17</w:t>
        </w:r>
      </w:hyperlink>
      <w:r w:rsidRPr="00511005">
        <w:rPr>
          <w:rFonts w:ascii="Arial" w:eastAsia="Calibri" w:hAnsi="Arial" w:cs="Arial"/>
          <w:szCs w:val="28"/>
        </w:rPr>
        <w:t xml:space="preserve"> </w:t>
      </w:r>
    </w:p>
    <w:p w14:paraId="4A81190B" w14:textId="77777777" w:rsidR="00532C25" w:rsidRPr="00511005" w:rsidRDefault="00532C25" w:rsidP="003F6A5D">
      <w:pPr>
        <w:keepNext/>
        <w:numPr>
          <w:ilvl w:val="0"/>
          <w:numId w:val="586"/>
        </w:numPr>
        <w:spacing w:line="264" w:lineRule="auto"/>
        <w:ind w:left="0" w:firstLine="567"/>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Кримінальний кодекс України: Закон України від 5 квітня 2001 року № 2341-III.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2166" w:history="1">
        <w:r w:rsidRPr="00511005">
          <w:rPr>
            <w:rFonts w:ascii="Arial" w:eastAsia="Calibri" w:hAnsi="Arial" w:cs="Arial"/>
            <w:szCs w:val="28"/>
            <w:lang w:eastAsia="ru-RU"/>
          </w:rPr>
          <w:t>https://zakon.rada.gov.ua/laws/show/2341-14</w:t>
        </w:r>
      </w:hyperlink>
      <w:r w:rsidRPr="00511005">
        <w:rPr>
          <w:rFonts w:ascii="Arial" w:eastAsia="Calibri" w:hAnsi="Arial" w:cs="Arial"/>
          <w:szCs w:val="28"/>
        </w:rPr>
        <w:t xml:space="preserve"> </w:t>
      </w:r>
    </w:p>
    <w:p w14:paraId="55AA8F24" w14:textId="77777777" w:rsidR="00532C25" w:rsidRPr="00511005" w:rsidRDefault="00532C25" w:rsidP="003F6A5D">
      <w:pPr>
        <w:keepNext/>
        <w:numPr>
          <w:ilvl w:val="0"/>
          <w:numId w:val="586"/>
        </w:numPr>
        <w:spacing w:line="264" w:lineRule="auto"/>
        <w:ind w:left="0" w:firstLine="567"/>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Бойовий статут механізованих і танкових військ Сухопутних військ Збройних Сил України. Частина ІІІ, Розділ 1. </w:t>
      </w:r>
      <w:r w:rsidRPr="00511005">
        <w:rPr>
          <w:rFonts w:ascii="Arial" w:eastAsia="Times New Roman" w:hAnsi="Arial" w:cs="Arial"/>
          <w:szCs w:val="28"/>
          <w:lang w:val="en-US" w:eastAsia="ru-RU"/>
        </w:rPr>
        <w:t>URL</w:t>
      </w:r>
      <w:r w:rsidRPr="00511005">
        <w:rPr>
          <w:rFonts w:ascii="Arial" w:eastAsia="Times New Roman" w:hAnsi="Arial" w:cs="Arial"/>
          <w:szCs w:val="28"/>
          <w:lang w:eastAsia="ru-RU"/>
        </w:rPr>
        <w:t xml:space="preserve">: </w:t>
      </w:r>
      <w:hyperlink r:id="rId2167" w:history="1">
        <w:r w:rsidRPr="00511005">
          <w:rPr>
            <w:rFonts w:ascii="Arial" w:eastAsia="Calibri" w:hAnsi="Arial" w:cs="Arial"/>
            <w:szCs w:val="28"/>
            <w:lang w:eastAsia="ru-RU"/>
          </w:rPr>
          <w:t>https://shorturl.at/wsLrm</w:t>
        </w:r>
      </w:hyperlink>
      <w:r w:rsidRPr="00511005">
        <w:rPr>
          <w:rFonts w:ascii="Arial" w:eastAsia="Times New Roman" w:hAnsi="Arial" w:cs="Arial"/>
          <w:szCs w:val="28"/>
          <w:lang w:eastAsia="ru-RU"/>
        </w:rPr>
        <w:t xml:space="preserve"> </w:t>
      </w:r>
    </w:p>
    <w:p w14:paraId="0B42313F" w14:textId="77777777" w:rsidR="00532C25" w:rsidRPr="00511005" w:rsidRDefault="00532C25" w:rsidP="003F6A5D">
      <w:pPr>
        <w:keepNext/>
        <w:numPr>
          <w:ilvl w:val="0"/>
          <w:numId w:val="586"/>
        </w:numPr>
        <w:spacing w:line="264" w:lineRule="auto"/>
        <w:ind w:left="0" w:firstLine="567"/>
        <w:contextualSpacing/>
        <w:jc w:val="left"/>
        <w:rPr>
          <w:rFonts w:ascii="Arial" w:eastAsia="Times New Roman" w:hAnsi="Arial" w:cs="Arial"/>
          <w:szCs w:val="28"/>
          <w:lang w:eastAsia="ru-RU"/>
        </w:rPr>
      </w:pPr>
      <w:r w:rsidRPr="00511005">
        <w:rPr>
          <w:rFonts w:ascii="Arial" w:eastAsia="Calibri" w:hAnsi="Arial" w:cs="Arial"/>
          <w:szCs w:val="28"/>
        </w:rPr>
        <w:t xml:space="preserve">Гловюк І.В. Використання показань, отриманих за ч. 11 ст. 615 КПК України в умовах воєнного стану. </w:t>
      </w:r>
      <w:r w:rsidRPr="00511005">
        <w:rPr>
          <w:rFonts w:ascii="Arial" w:eastAsia="Calibri" w:hAnsi="Arial" w:cs="Arial"/>
          <w:szCs w:val="28"/>
          <w:lang w:val="en-GB"/>
        </w:rPr>
        <w:t>URL</w:t>
      </w:r>
      <w:r w:rsidRPr="00511005">
        <w:rPr>
          <w:rFonts w:ascii="Arial" w:eastAsia="Calibri" w:hAnsi="Arial" w:cs="Arial"/>
          <w:szCs w:val="28"/>
        </w:rPr>
        <w:t xml:space="preserve">: </w:t>
      </w:r>
      <w:hyperlink r:id="rId2168" w:history="1">
        <w:r w:rsidRPr="00511005">
          <w:rPr>
            <w:rFonts w:ascii="Arial" w:eastAsia="Calibri" w:hAnsi="Arial" w:cs="Arial"/>
            <w:szCs w:val="28"/>
          </w:rPr>
          <w:t>https://shorturl.at/moMVf</w:t>
        </w:r>
      </w:hyperlink>
      <w:r w:rsidRPr="00511005">
        <w:rPr>
          <w:rFonts w:ascii="Arial" w:eastAsia="Calibri" w:hAnsi="Arial" w:cs="Arial"/>
          <w:szCs w:val="28"/>
        </w:rPr>
        <w:t xml:space="preserve"> </w:t>
      </w:r>
    </w:p>
    <w:p w14:paraId="0567F736" w14:textId="77777777" w:rsidR="00532C25" w:rsidRPr="00511005" w:rsidRDefault="00532C25" w:rsidP="003F6A5D">
      <w:pPr>
        <w:keepNext/>
        <w:numPr>
          <w:ilvl w:val="0"/>
          <w:numId w:val="586"/>
        </w:numPr>
        <w:spacing w:line="264" w:lineRule="auto"/>
        <w:ind w:left="0" w:firstLine="567"/>
        <w:contextualSpacing/>
        <w:jc w:val="left"/>
        <w:rPr>
          <w:rFonts w:ascii="Arial" w:eastAsia="Times New Roman" w:hAnsi="Arial" w:cs="Arial"/>
          <w:szCs w:val="28"/>
          <w:lang w:eastAsia="ru-RU"/>
        </w:rPr>
      </w:pPr>
      <w:r w:rsidRPr="00511005">
        <w:rPr>
          <w:rFonts w:ascii="Arial" w:eastAsia="Calibri" w:hAnsi="Arial" w:cs="Arial"/>
          <w:szCs w:val="28"/>
        </w:rPr>
        <w:t xml:space="preserve">Завтур В.А. Допити </w:t>
      </w:r>
      <w:proofErr w:type="gramStart"/>
      <w:r w:rsidRPr="00511005">
        <w:rPr>
          <w:rFonts w:ascii="Arial" w:eastAsia="Calibri" w:hAnsi="Arial" w:cs="Arial"/>
          <w:szCs w:val="28"/>
        </w:rPr>
        <w:t>в порядку</w:t>
      </w:r>
      <w:proofErr w:type="gramEnd"/>
      <w:r w:rsidRPr="00511005">
        <w:rPr>
          <w:rFonts w:ascii="Arial" w:eastAsia="Calibri" w:hAnsi="Arial" w:cs="Arial"/>
          <w:szCs w:val="28"/>
        </w:rPr>
        <w:t xml:space="preserve"> ч. 1 ст. 615 КПК України та депонування показань: питання кореляції правових процедур. Теорія та практика протидії злочинності у сучасних </w:t>
      </w:r>
      <w:proofErr w:type="gramStart"/>
      <w:r w:rsidRPr="00511005">
        <w:rPr>
          <w:rFonts w:ascii="Arial" w:eastAsia="Calibri" w:hAnsi="Arial" w:cs="Arial"/>
          <w:szCs w:val="28"/>
        </w:rPr>
        <w:t>умовах :</w:t>
      </w:r>
      <w:proofErr w:type="gramEnd"/>
      <w:r w:rsidRPr="00511005">
        <w:rPr>
          <w:rFonts w:ascii="Arial" w:eastAsia="Calibri" w:hAnsi="Arial" w:cs="Arial"/>
          <w:szCs w:val="28"/>
        </w:rPr>
        <w:t xml:space="preserve"> матеріали Міжнародної науково-практичної конференції (21 жовтня 2022 року) / упор. Л. В. Павлик, У. О. Цмоць. Львів: Львівський державний університет внутрішніх справ, 2022. С. 147-152. </w:t>
      </w:r>
      <w:r w:rsidRPr="00511005">
        <w:rPr>
          <w:rFonts w:ascii="Arial" w:eastAsia="Calibri" w:hAnsi="Arial" w:cs="Arial"/>
          <w:szCs w:val="28"/>
          <w:lang w:val="en-GB"/>
        </w:rPr>
        <w:t xml:space="preserve">URL: </w:t>
      </w:r>
      <w:hyperlink r:id="rId2169" w:history="1">
        <w:r w:rsidRPr="00511005">
          <w:rPr>
            <w:rFonts w:ascii="Arial" w:eastAsia="Calibri" w:hAnsi="Arial" w:cs="Arial"/>
            <w:szCs w:val="28"/>
            <w:lang w:val="en-GB"/>
          </w:rPr>
          <w:t>https://shorturl.at/wBfDt</w:t>
        </w:r>
      </w:hyperlink>
      <w:r w:rsidRPr="00511005">
        <w:rPr>
          <w:rFonts w:ascii="Arial" w:eastAsia="Calibri" w:hAnsi="Arial" w:cs="Arial"/>
          <w:szCs w:val="28"/>
          <w:lang w:val="uk-UA"/>
        </w:rPr>
        <w:t>.</w:t>
      </w:r>
    </w:p>
    <w:p w14:paraId="00838460" w14:textId="77777777" w:rsidR="00532C25" w:rsidRPr="00511005" w:rsidRDefault="00532C25" w:rsidP="003F6A5D">
      <w:pPr>
        <w:keepNext/>
        <w:numPr>
          <w:ilvl w:val="0"/>
          <w:numId w:val="586"/>
        </w:numPr>
        <w:spacing w:line="264" w:lineRule="auto"/>
        <w:ind w:left="0" w:firstLine="567"/>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Ухвала слідчого судді </w:t>
      </w:r>
      <w:r w:rsidRPr="00511005">
        <w:rPr>
          <w:rFonts w:ascii="Arial" w:eastAsia="Calibri" w:hAnsi="Arial" w:cs="Arial"/>
          <w:szCs w:val="28"/>
        </w:rPr>
        <w:t xml:space="preserve">Червонозаводського районного суду м. Харкова від 16.04.2025, судова справа № 646/1408/25. </w:t>
      </w:r>
      <w:r w:rsidRPr="00511005">
        <w:rPr>
          <w:rFonts w:ascii="Arial" w:eastAsia="Calibri" w:hAnsi="Arial" w:cs="Arial"/>
          <w:szCs w:val="28"/>
          <w:lang w:val="en-US"/>
        </w:rPr>
        <w:t>URL</w:t>
      </w:r>
      <w:r w:rsidRPr="00511005">
        <w:rPr>
          <w:rFonts w:ascii="Arial" w:eastAsia="Calibri" w:hAnsi="Arial" w:cs="Arial"/>
          <w:szCs w:val="28"/>
        </w:rPr>
        <w:t xml:space="preserve">: </w:t>
      </w:r>
      <w:hyperlink r:id="rId2170" w:history="1">
        <w:r w:rsidRPr="00511005">
          <w:rPr>
            <w:rFonts w:ascii="Arial" w:eastAsia="Calibri" w:hAnsi="Arial" w:cs="Arial"/>
            <w:szCs w:val="28"/>
          </w:rPr>
          <w:t>https://reyestr.court.gov.ua/Review/126646086</w:t>
        </w:r>
      </w:hyperlink>
      <w:r w:rsidRPr="00511005">
        <w:rPr>
          <w:rFonts w:ascii="Arial" w:eastAsia="Calibri" w:hAnsi="Arial" w:cs="Arial"/>
          <w:szCs w:val="28"/>
        </w:rPr>
        <w:t xml:space="preserve">. </w:t>
      </w:r>
    </w:p>
    <w:p w14:paraId="5079FB5D" w14:textId="77777777" w:rsidR="00532C25" w:rsidRPr="00511005" w:rsidRDefault="00532C25" w:rsidP="003F6A5D">
      <w:pPr>
        <w:keepNext/>
        <w:numPr>
          <w:ilvl w:val="0"/>
          <w:numId w:val="586"/>
        </w:numPr>
        <w:spacing w:line="264" w:lineRule="auto"/>
        <w:ind w:left="0" w:firstLine="567"/>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Рішення ЄСПЛ у справі </w:t>
      </w:r>
      <w:r w:rsidRPr="00511005">
        <w:rPr>
          <w:rFonts w:ascii="Arial" w:eastAsia="Calibri" w:hAnsi="Arial" w:cs="Arial"/>
          <w:i/>
          <w:iCs/>
          <w:szCs w:val="28"/>
        </w:rPr>
        <w:t>Schatschaschwili v. Germany</w:t>
      </w:r>
      <w:r w:rsidRPr="00511005">
        <w:rPr>
          <w:rFonts w:ascii="Arial" w:eastAsia="Calibri" w:hAnsi="Arial" w:cs="Arial"/>
          <w:szCs w:val="28"/>
        </w:rPr>
        <w:t xml:space="preserve"> (заява № 9154/10, рішення від 15 грудня 2015 року). </w:t>
      </w:r>
    </w:p>
    <w:p w14:paraId="72AD0A3B" w14:textId="77777777" w:rsidR="00532C25" w:rsidRPr="00511005" w:rsidRDefault="00532C25" w:rsidP="003F6A5D">
      <w:pPr>
        <w:keepNext/>
        <w:numPr>
          <w:ilvl w:val="0"/>
          <w:numId w:val="586"/>
        </w:numPr>
        <w:spacing w:line="264" w:lineRule="auto"/>
        <w:ind w:left="0" w:firstLine="567"/>
        <w:contextualSpacing/>
        <w:jc w:val="left"/>
        <w:rPr>
          <w:rFonts w:ascii="Arial" w:eastAsia="Times New Roman" w:hAnsi="Arial" w:cs="Arial"/>
          <w:szCs w:val="28"/>
          <w:lang w:eastAsia="ru-RU"/>
        </w:rPr>
      </w:pPr>
      <w:r w:rsidRPr="00511005">
        <w:rPr>
          <w:rFonts w:ascii="Arial" w:eastAsia="Times New Roman" w:hAnsi="Arial" w:cs="Arial"/>
          <w:szCs w:val="28"/>
          <w:lang w:eastAsia="ru-RU"/>
        </w:rPr>
        <w:t xml:space="preserve">Гловюк І. В., Дроздов О. М., Тетерятник Г. К., Фоміна Т. Г., Рогальська В. В., Завтур В. А. Особливий режим досудового розслідування, судового розгляду в умовах воєнного стану: науково-практичний коментар Розділу IX-1 Кримінального процесуального кодексу </w:t>
      </w:r>
      <w:r w:rsidRPr="00511005">
        <w:rPr>
          <w:rFonts w:ascii="Arial" w:eastAsia="Times New Roman" w:hAnsi="Arial" w:cs="Arial"/>
          <w:szCs w:val="28"/>
          <w:lang w:eastAsia="ru-RU"/>
        </w:rPr>
        <w:lastRenderedPageBreak/>
        <w:t>України (станом на 25 серпня 2022 року) 3-є вид., допов. і перероб. Дніпро</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r w:rsidRPr="00511005">
        <w:rPr>
          <w:rFonts w:ascii="Arial" w:eastAsia="Times New Roman" w:hAnsi="Arial" w:cs="Arial"/>
          <w:i/>
          <w:szCs w:val="28"/>
          <w:lang w:eastAsia="ru-RU"/>
        </w:rPr>
        <w:t>Дніпроп. держ. ун-т внутр. справ</w:t>
      </w:r>
      <w:r w:rsidRPr="00511005">
        <w:rPr>
          <w:rFonts w:ascii="Arial" w:eastAsia="Times New Roman" w:hAnsi="Arial" w:cs="Arial"/>
          <w:szCs w:val="28"/>
          <w:lang w:eastAsia="ru-RU"/>
        </w:rPr>
        <w:t>, 2022 С. 100.</w:t>
      </w:r>
    </w:p>
    <w:p w14:paraId="736E70DE" w14:textId="77777777" w:rsidR="00532C25" w:rsidRPr="00511005" w:rsidRDefault="00532C25" w:rsidP="00532C25">
      <w:pPr>
        <w:keepNext/>
        <w:spacing w:line="264" w:lineRule="auto"/>
        <w:ind w:firstLine="567"/>
        <w:rPr>
          <w:rFonts w:ascii="Arial" w:eastAsia="Times New Roman" w:hAnsi="Arial" w:cs="Arial"/>
          <w:b/>
          <w:szCs w:val="28"/>
          <w:lang w:val="ru" w:eastAsia="ru-RU"/>
        </w:rPr>
      </w:pPr>
    </w:p>
    <w:p w14:paraId="6EECE32A" w14:textId="77777777" w:rsidR="00532C25" w:rsidRPr="00511005" w:rsidRDefault="00532C25" w:rsidP="00532C25">
      <w:pPr>
        <w:keepNext/>
        <w:spacing w:line="264" w:lineRule="auto"/>
        <w:ind w:firstLine="567"/>
        <w:rPr>
          <w:rFonts w:ascii="Arial" w:eastAsia="Times New Roman" w:hAnsi="Arial" w:cs="Arial"/>
          <w:szCs w:val="28"/>
          <w:lang w:val="ru" w:eastAsia="ru-RU"/>
        </w:rPr>
      </w:pPr>
      <w:r w:rsidRPr="00511005">
        <w:rPr>
          <w:rFonts w:ascii="Arial" w:eastAsia="Times New Roman" w:hAnsi="Arial" w:cs="Arial"/>
          <w:b/>
          <w:i/>
          <w:szCs w:val="28"/>
          <w:lang w:val="ru" w:eastAsia="ru-RU"/>
        </w:rPr>
        <w:t xml:space="preserve">Ключові слова: </w:t>
      </w:r>
      <w:r w:rsidRPr="00511005">
        <w:rPr>
          <w:rFonts w:ascii="Arial" w:eastAsia="Times New Roman" w:hAnsi="Arial" w:cs="Arial"/>
          <w:bCs/>
          <w:szCs w:val="28"/>
          <w:lang w:val="ru" w:eastAsia="ru-RU"/>
        </w:rPr>
        <w:t>кримінальне провадження</w:t>
      </w:r>
      <w:r w:rsidRPr="00511005">
        <w:rPr>
          <w:rFonts w:ascii="Arial" w:eastAsia="Times New Roman" w:hAnsi="Arial" w:cs="Arial"/>
          <w:b/>
          <w:szCs w:val="28"/>
          <w:lang w:val="ru" w:eastAsia="ru-RU"/>
        </w:rPr>
        <w:t xml:space="preserve">, </w:t>
      </w:r>
      <w:r w:rsidRPr="00511005">
        <w:rPr>
          <w:rFonts w:ascii="Arial" w:eastAsia="Times New Roman" w:hAnsi="Arial" w:cs="Arial"/>
          <w:szCs w:val="28"/>
          <w:lang w:val="ru" w:eastAsia="ru-RU"/>
        </w:rPr>
        <w:t>війна, воєнний стан, досудове розслідування, допит, військовослужбовці, відеофіксація, докази.</w:t>
      </w:r>
    </w:p>
    <w:p w14:paraId="10D3BF77" w14:textId="77777777" w:rsidR="00532C25" w:rsidRPr="00511005" w:rsidRDefault="00532C25" w:rsidP="00532C25">
      <w:pPr>
        <w:keepNext/>
        <w:spacing w:line="264" w:lineRule="auto"/>
        <w:ind w:firstLine="567"/>
        <w:rPr>
          <w:rFonts w:ascii="Arial" w:eastAsia="Times New Roman" w:hAnsi="Arial" w:cs="Arial"/>
          <w:bCs/>
          <w:szCs w:val="28"/>
          <w:lang w:val="en-US" w:eastAsia="ru-RU"/>
        </w:rPr>
      </w:pPr>
      <w:r w:rsidRPr="00511005">
        <w:rPr>
          <w:rFonts w:ascii="Arial" w:eastAsia="Times New Roman" w:hAnsi="Arial" w:cs="Arial"/>
          <w:b/>
          <w:i/>
          <w:szCs w:val="28"/>
          <w:lang w:val="en-US" w:eastAsia="ru-RU"/>
        </w:rPr>
        <w:t xml:space="preserve">Key words: </w:t>
      </w:r>
      <w:r w:rsidRPr="00511005">
        <w:rPr>
          <w:rFonts w:ascii="Arial" w:eastAsia="Times New Roman" w:hAnsi="Arial" w:cs="Arial"/>
          <w:bCs/>
          <w:szCs w:val="28"/>
          <w:lang w:val="en-US" w:eastAsia="ru-RU"/>
        </w:rPr>
        <w:t>criminal proceedings, war, martial law, pre-trial investigation, interrogation, military personnel, video recording, evidence.</w:t>
      </w:r>
    </w:p>
    <w:p w14:paraId="2664FFCA" w14:textId="77777777" w:rsidR="00532C25" w:rsidRPr="00511005" w:rsidRDefault="00532C25" w:rsidP="00532C25">
      <w:pPr>
        <w:keepNext/>
        <w:spacing w:line="264" w:lineRule="auto"/>
        <w:ind w:firstLine="567"/>
        <w:rPr>
          <w:rFonts w:ascii="Arial" w:eastAsia="Times New Roman" w:hAnsi="Arial" w:cs="Arial"/>
          <w:bCs/>
          <w:i/>
          <w:iCs/>
          <w:szCs w:val="28"/>
          <w:lang w:val="ru" w:eastAsia="ru-RU"/>
        </w:rPr>
      </w:pPr>
      <w:r w:rsidRPr="00511005">
        <w:rPr>
          <w:rFonts w:ascii="Arial" w:eastAsia="Times New Roman" w:hAnsi="Arial" w:cs="Arial"/>
          <w:b/>
          <w:bCs/>
          <w:i/>
          <w:iCs/>
          <w:szCs w:val="28"/>
          <w:lang w:val="ru" w:eastAsia="ru-RU"/>
        </w:rPr>
        <w:t xml:space="preserve">Науковий керівник: </w:t>
      </w:r>
      <w:r w:rsidRPr="00511005">
        <w:rPr>
          <w:rFonts w:ascii="Arial" w:eastAsia="Times New Roman" w:hAnsi="Arial" w:cs="Arial"/>
          <w:bCs/>
          <w:i/>
          <w:iCs/>
          <w:szCs w:val="28"/>
          <w:lang w:val="ru" w:eastAsia="ru-RU"/>
        </w:rPr>
        <w:t>к.ю.н., доцент Мурзановська А.В.</w:t>
      </w:r>
    </w:p>
    <w:p w14:paraId="0BB5ADC5" w14:textId="77777777" w:rsidR="00532C25" w:rsidRPr="00511005" w:rsidRDefault="00532C25" w:rsidP="00532C25">
      <w:pPr>
        <w:spacing w:line="264" w:lineRule="auto"/>
        <w:ind w:firstLine="0"/>
        <w:rPr>
          <w:rFonts w:ascii="Arial" w:eastAsia="Arial" w:hAnsi="Arial" w:cs="Arial"/>
          <w:b/>
          <w:bCs/>
          <w:szCs w:val="28"/>
          <w:lang w:val="ru" w:eastAsia="ru-RU"/>
        </w:rPr>
      </w:pPr>
    </w:p>
    <w:p w14:paraId="53D819AF" w14:textId="77777777" w:rsidR="00532C25" w:rsidRPr="00511005" w:rsidRDefault="00532C25" w:rsidP="00532C25">
      <w:pPr>
        <w:tabs>
          <w:tab w:val="left" w:pos="7088"/>
        </w:tabs>
        <w:spacing w:line="264" w:lineRule="auto"/>
        <w:ind w:firstLine="0"/>
        <w:jc w:val="center"/>
        <w:rPr>
          <w:rFonts w:ascii="Arial" w:eastAsia="Arial" w:hAnsi="Arial" w:cs="Arial"/>
          <w:b/>
          <w:i/>
          <w:szCs w:val="28"/>
          <w:lang w:val="uk-UA" w:eastAsia="ru-RU"/>
        </w:rPr>
      </w:pPr>
      <w:r w:rsidRPr="00511005">
        <w:rPr>
          <w:rFonts w:ascii="Arial" w:eastAsia="Arial" w:hAnsi="Arial" w:cs="Arial"/>
          <w:b/>
          <w:i/>
          <w:szCs w:val="28"/>
          <w:lang w:val="ru" w:eastAsia="ru-RU"/>
        </w:rPr>
        <w:t>Донець К</w:t>
      </w:r>
      <w:r w:rsidRPr="00511005">
        <w:rPr>
          <w:rFonts w:ascii="Arial" w:eastAsia="Arial" w:hAnsi="Arial" w:cs="Arial"/>
          <w:b/>
          <w:i/>
          <w:szCs w:val="28"/>
          <w:lang w:val="uk-UA" w:eastAsia="ru-RU"/>
        </w:rPr>
        <w:t>атерина Олексіївна</w:t>
      </w:r>
    </w:p>
    <w:p w14:paraId="245E347B" w14:textId="77777777" w:rsidR="00532C25" w:rsidRPr="00511005" w:rsidRDefault="00532C25" w:rsidP="00532C25">
      <w:pPr>
        <w:tabs>
          <w:tab w:val="left" w:pos="7088"/>
        </w:tabs>
        <w:spacing w:line="264" w:lineRule="auto"/>
        <w:ind w:firstLine="0"/>
        <w:jc w:val="center"/>
        <w:rPr>
          <w:rFonts w:ascii="Arial" w:eastAsia="Arial" w:hAnsi="Arial" w:cs="Arial"/>
          <w:szCs w:val="28"/>
          <w:lang w:val="ru" w:eastAsia="ru-RU"/>
        </w:rPr>
      </w:pPr>
      <w:r w:rsidRPr="00511005">
        <w:rPr>
          <w:rFonts w:ascii="Arial" w:eastAsia="Arial" w:hAnsi="Arial" w:cs="Arial"/>
          <w:szCs w:val="28"/>
          <w:lang w:val="ru" w:eastAsia="ru-RU"/>
        </w:rPr>
        <w:t>студентка 3-го курсу факультету адвокатури та антикорупційної діяльності</w:t>
      </w:r>
    </w:p>
    <w:p w14:paraId="4D10075C" w14:textId="77777777" w:rsidR="00532C25" w:rsidRPr="00511005" w:rsidRDefault="00532C25" w:rsidP="00532C25">
      <w:pPr>
        <w:tabs>
          <w:tab w:val="left" w:pos="7088"/>
        </w:tabs>
        <w:spacing w:line="264" w:lineRule="auto"/>
        <w:ind w:firstLine="0"/>
        <w:jc w:val="center"/>
        <w:rPr>
          <w:rFonts w:ascii="Arial" w:eastAsia="Arial" w:hAnsi="Arial" w:cs="Arial"/>
          <w:szCs w:val="28"/>
          <w:lang w:val="ru" w:eastAsia="ru-RU"/>
        </w:rPr>
      </w:pPr>
      <w:r w:rsidRPr="00511005">
        <w:rPr>
          <w:rFonts w:ascii="Arial" w:eastAsia="Arial" w:hAnsi="Arial" w:cs="Arial"/>
          <w:szCs w:val="28"/>
          <w:lang w:val="ru" w:eastAsia="ru-RU"/>
        </w:rPr>
        <w:t>Національного університету «Одеська юридична академія»</w:t>
      </w:r>
    </w:p>
    <w:p w14:paraId="7AF7227E" w14:textId="77777777" w:rsidR="00532C25" w:rsidRPr="00511005" w:rsidRDefault="00532C25" w:rsidP="00532C25">
      <w:pPr>
        <w:tabs>
          <w:tab w:val="left" w:pos="7088"/>
        </w:tabs>
        <w:spacing w:line="264" w:lineRule="auto"/>
        <w:ind w:firstLine="0"/>
        <w:rPr>
          <w:rFonts w:ascii="Arial" w:eastAsia="Arial" w:hAnsi="Arial" w:cs="Arial"/>
          <w:b/>
          <w:szCs w:val="28"/>
          <w:lang w:val="ru" w:eastAsia="ru-RU"/>
        </w:rPr>
      </w:pPr>
    </w:p>
    <w:p w14:paraId="75F34650" w14:textId="77777777" w:rsidR="00532C25" w:rsidRPr="00511005" w:rsidRDefault="00532C25" w:rsidP="00532C25">
      <w:pPr>
        <w:tabs>
          <w:tab w:val="left" w:pos="7088"/>
        </w:tabs>
        <w:spacing w:line="264" w:lineRule="auto"/>
        <w:ind w:firstLine="0"/>
        <w:jc w:val="center"/>
        <w:rPr>
          <w:rFonts w:ascii="Arial" w:eastAsia="Arial" w:hAnsi="Arial" w:cs="Arial"/>
          <w:b/>
          <w:szCs w:val="28"/>
          <w:lang w:val="ru" w:eastAsia="ru-RU"/>
        </w:rPr>
      </w:pPr>
      <w:r w:rsidRPr="00511005">
        <w:rPr>
          <w:rFonts w:ascii="Arial" w:eastAsia="Arial" w:hAnsi="Arial" w:cs="Arial"/>
          <w:b/>
          <w:szCs w:val="28"/>
          <w:lang w:val="ru" w:eastAsia="ru-RU"/>
        </w:rPr>
        <w:t>ІСТОТНІ ПОРУШЕННЯ ВИМОГ КРИМІНАЛЬНОГО ПРОЦЕСУАЛЬНОГО ЗАКОНУ У СВІТЛІ СУЧАСНОЇ ПРАКТИКИ ВЕРХОВНОГО СУДУ</w:t>
      </w:r>
    </w:p>
    <w:p w14:paraId="10DD65B9" w14:textId="77777777" w:rsidR="00532C25" w:rsidRPr="00511005" w:rsidRDefault="00532C25" w:rsidP="00532C25">
      <w:pPr>
        <w:tabs>
          <w:tab w:val="left" w:pos="7088"/>
        </w:tabs>
        <w:spacing w:line="264" w:lineRule="auto"/>
        <w:rPr>
          <w:rFonts w:ascii="Arial" w:eastAsia="Arial" w:hAnsi="Arial" w:cs="Arial"/>
          <w:szCs w:val="28"/>
          <w:lang w:val="ru" w:eastAsia="ru-RU"/>
        </w:rPr>
      </w:pPr>
      <w:r w:rsidRPr="00511005">
        <w:rPr>
          <w:rFonts w:ascii="Arial" w:eastAsia="Arial" w:hAnsi="Arial" w:cs="Arial"/>
          <w:szCs w:val="28"/>
          <w:lang w:val="ru" w:eastAsia="ru-RU"/>
        </w:rPr>
        <w:t>Правове регулювання кримінального провадження в демократичній правовій державі має на меті не лише виявлення й покарання винного, а й забезпечення справедливості, захисту прав і свобод людини. Одним із ключових елементів досягнення цього балансу є суворе дотримання вимог кримінального процесуального закону на всіх етапах досудового розслідування та судового розгляду. Зокрема, особливу увагу в сучасному правозастосовному контексті привертає інститут істотних порушень вимог кримінального процесуального закону. У світлі практики Верховного Суду, яка виконує роль гаранта єдності судової практики, ці порушення набувають особливої значущості як індикатор процесуальної справедливості та правової визначеності.</w:t>
      </w:r>
    </w:p>
    <w:p w14:paraId="18942B06" w14:textId="77777777" w:rsidR="00532C25" w:rsidRPr="00511005" w:rsidRDefault="00532C25" w:rsidP="00532C25">
      <w:pPr>
        <w:tabs>
          <w:tab w:val="left" w:pos="7088"/>
        </w:tabs>
        <w:spacing w:line="264" w:lineRule="auto"/>
        <w:rPr>
          <w:rFonts w:ascii="Arial" w:eastAsia="Arial" w:hAnsi="Arial" w:cs="Arial"/>
          <w:szCs w:val="28"/>
          <w:lang w:val="ru" w:eastAsia="ru-RU"/>
        </w:rPr>
      </w:pPr>
      <w:r w:rsidRPr="00511005">
        <w:rPr>
          <w:rFonts w:ascii="Arial" w:eastAsia="Arial" w:hAnsi="Arial" w:cs="Arial"/>
          <w:szCs w:val="28"/>
          <w:lang w:val="ru" w:eastAsia="ru-RU"/>
        </w:rPr>
        <w:t>Роль Верховного Суду у цьому контексті є визначальною. Саме його практика формує стандарти правозастосування, на які орієнтуються суди нижчих інстанцій. Оцінка Верховним Судом того, чи мало місце істотне порушення, ґрунтується не лише на формальному аналізі норм, а й на зважуванні впливу порушення на обсяг прав особи, справедливість процесу, рівність сторін та інші принципи кримінального провадження [4]. Зокрема, неодноразово підкреслюється, що такі порушення мають оцінюватися в контексті всієї справи, включаючи якість доказів, їх допустимість, спосіб отримання, а також повноту дотримання принципу змагальності.</w:t>
      </w:r>
    </w:p>
    <w:p w14:paraId="07433D3B" w14:textId="77777777" w:rsidR="00532C25" w:rsidRPr="00511005" w:rsidRDefault="00532C25" w:rsidP="00532C25">
      <w:pPr>
        <w:tabs>
          <w:tab w:val="left" w:pos="7088"/>
        </w:tabs>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Верховний Суд неодноразово звертав увагу на те, що недотримання процесуальних норм, які регламентують порядок збирання доказів, може мати фатальні наслідки для всього провадження. Якщо докази були здобуті з порушенням процесуальних гарантій — без участі захисника, з порушенням вимог щодо проведення слідчих дій, або внаслідок провокації з боку правоохоронців — це призводить до визнання таких доказів </w:t>
      </w:r>
      <w:r w:rsidRPr="00511005">
        <w:rPr>
          <w:rFonts w:ascii="Arial" w:eastAsia="Arial" w:hAnsi="Arial" w:cs="Arial"/>
          <w:szCs w:val="28"/>
          <w:lang w:val="ru" w:eastAsia="ru-RU"/>
        </w:rPr>
        <w:lastRenderedPageBreak/>
        <w:t>недопустимими. А отже, вирок, побудований на них, не може вважатися обґрунтованим.</w:t>
      </w:r>
    </w:p>
    <w:p w14:paraId="3990AED1" w14:textId="77777777" w:rsidR="00532C25" w:rsidRPr="00511005" w:rsidRDefault="00532C25" w:rsidP="00532C25">
      <w:pPr>
        <w:tabs>
          <w:tab w:val="left" w:pos="7088"/>
        </w:tabs>
        <w:spacing w:line="264" w:lineRule="auto"/>
        <w:rPr>
          <w:rFonts w:ascii="Arial" w:eastAsia="Arial" w:hAnsi="Arial" w:cs="Arial"/>
          <w:szCs w:val="28"/>
          <w:lang w:val="ru" w:eastAsia="ru-RU"/>
        </w:rPr>
      </w:pPr>
      <w:r w:rsidRPr="00511005">
        <w:rPr>
          <w:rFonts w:ascii="Arial" w:eastAsia="Arial" w:hAnsi="Arial" w:cs="Arial"/>
          <w:szCs w:val="28"/>
          <w:lang w:val="ru" w:eastAsia="ru-RU"/>
        </w:rPr>
        <w:t>Окрему категорію становлять порушення, які зачіпають права на захист: ненадання часу на підготовку до захисту, обмеження у виборі захисника, незабезпечення перекладача, неповідомлення про права тощо. Ці обставини підлягають кваліфікації як істотні порушення, оскільки вони ставлять під сумнів рівність сторін і справедливість усього процесу.</w:t>
      </w:r>
    </w:p>
    <w:p w14:paraId="7E8F4C1B" w14:textId="77777777" w:rsidR="00532C25" w:rsidRPr="00511005" w:rsidRDefault="00532C25" w:rsidP="00532C25">
      <w:pPr>
        <w:tabs>
          <w:tab w:val="left" w:pos="7088"/>
        </w:tabs>
        <w:spacing w:line="264" w:lineRule="auto"/>
        <w:rPr>
          <w:rFonts w:ascii="Arial" w:eastAsia="Arial" w:hAnsi="Arial" w:cs="Arial"/>
          <w:szCs w:val="28"/>
          <w:lang w:val="ru" w:eastAsia="ru-RU"/>
        </w:rPr>
      </w:pPr>
      <w:r w:rsidRPr="00511005">
        <w:rPr>
          <w:rFonts w:ascii="Arial" w:eastAsia="Arial" w:hAnsi="Arial" w:cs="Arial"/>
          <w:szCs w:val="28"/>
          <w:lang w:val="ru" w:eastAsia="ru-RU"/>
        </w:rPr>
        <w:t>У ряді рішень Верховного Суду наголошується на важливості дотримання принципу безпосередності, відповідно до якого суд першої інстанції повинен самостійно досліджувати докази. Відхилення від цього принципу, наприклад, шляхом автоматичного покладання на дані досудового слідства або ігнорування клопотань сторін про допит свідків, також визнається істотним порушенням. Таким чином, судова практика утверджує, що навіть формально дійсні рішення можуть бути скасовані, якщо в їх основі лежить процес, позбавлений належних гарантій справедливості.</w:t>
      </w:r>
    </w:p>
    <w:p w14:paraId="5A67B340" w14:textId="77777777" w:rsidR="00532C25" w:rsidRPr="00511005" w:rsidRDefault="00532C25" w:rsidP="00532C25">
      <w:pPr>
        <w:tabs>
          <w:tab w:val="left" w:pos="7088"/>
        </w:tabs>
        <w:spacing w:line="264" w:lineRule="auto"/>
        <w:rPr>
          <w:rFonts w:ascii="Arial" w:eastAsia="Arial" w:hAnsi="Arial" w:cs="Arial"/>
          <w:szCs w:val="28"/>
          <w:lang w:val="ru" w:eastAsia="ru-RU"/>
        </w:rPr>
      </w:pPr>
      <w:r w:rsidRPr="00511005">
        <w:rPr>
          <w:rFonts w:ascii="Arial" w:eastAsia="Arial" w:hAnsi="Arial" w:cs="Arial"/>
          <w:szCs w:val="28"/>
          <w:lang w:val="ru" w:eastAsia="ru-RU"/>
        </w:rPr>
        <w:t>Слід підкреслити, що саме через механізм встановлення істотності порушення Верховний Суд забезпечує реалізацію засад верховенства права, правової визначеності та добросовісності. Йдеться не лише про формальні гарантії, але й про змістовне наповнення концепції правосуддя. У зв’язку з цим, рішення Верховного Суду мають не лише юридичне, а й значне соціальне значення, оскільки формують суспільну довіру до судової системи як захисника прав людини.</w:t>
      </w:r>
    </w:p>
    <w:p w14:paraId="57547970" w14:textId="77777777" w:rsidR="00532C25" w:rsidRPr="00511005" w:rsidRDefault="00532C25" w:rsidP="00532C25">
      <w:pPr>
        <w:tabs>
          <w:tab w:val="left" w:pos="7088"/>
        </w:tabs>
        <w:spacing w:line="264" w:lineRule="auto"/>
        <w:rPr>
          <w:rFonts w:ascii="Arial" w:eastAsia="Arial" w:hAnsi="Arial" w:cs="Arial"/>
          <w:szCs w:val="28"/>
          <w:lang w:val="ru" w:eastAsia="ru-RU"/>
        </w:rPr>
      </w:pPr>
      <w:r w:rsidRPr="00511005">
        <w:rPr>
          <w:rFonts w:ascii="Arial" w:eastAsia="Arial" w:hAnsi="Arial" w:cs="Arial"/>
          <w:szCs w:val="28"/>
          <w:lang w:val="ru" w:eastAsia="ru-RU"/>
        </w:rPr>
        <w:t>Важливо також, що практика Верховного Суду динамічна: вона змінюється відповідно до нових викликів, оновлення правового контексту, приєднання України до міжнародних зобов’язань, зокрема, в межах Європейської конвенції з прав людини. Це означає, що поняття істотного порушення не є застиглим, а набуває нових смислів, наповнюється прецедентною практикою, адаптується до актуальних потреб правозахисту.</w:t>
      </w:r>
    </w:p>
    <w:p w14:paraId="5EC399B3" w14:textId="77777777" w:rsidR="00532C25" w:rsidRPr="00511005" w:rsidRDefault="00532C25" w:rsidP="00532C25">
      <w:pPr>
        <w:tabs>
          <w:tab w:val="left" w:pos="7088"/>
        </w:tabs>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Істотні порушення вимог кримінального процесуального закону становлять одну з ключових підстав для скасування або зміни судових рішень у кримінальному провадженні. Відповідно до частини першої статті 412 Кримінального процесуального кодексу України, такими порушеннями є ті, що перешкодили чи могли перешкодити суду ухвалити законне та обґрунтоване рішення [1]. У практиці Верховного Суду це поняття тлумачиться через призму впливу на права учасників процесу та на досягнення завдань кримінального провадження. </w:t>
      </w:r>
    </w:p>
    <w:p w14:paraId="10EC43F8" w14:textId="77777777" w:rsidR="00532C25" w:rsidRPr="00511005" w:rsidRDefault="00532C25" w:rsidP="00532C25">
      <w:pPr>
        <w:tabs>
          <w:tab w:val="left" w:pos="7088"/>
        </w:tabs>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Одним із прикладів є постанова Верховного Суду у справі № 759/9497/17 від 29 червня 2023 року, де суд касаційної інстанції скасував рішення апеляційного суду через неправильну оцінку доказів, що призвело до істотного порушення вимог кримінального процесуального закону [2]. У цьому випадку апеляційний суд надав перевагу показанням свідка, які </w:t>
      </w:r>
      <w:r w:rsidRPr="00511005">
        <w:rPr>
          <w:rFonts w:ascii="Arial" w:eastAsia="Arial" w:hAnsi="Arial" w:cs="Arial"/>
          <w:szCs w:val="28"/>
          <w:lang w:val="ru" w:eastAsia="ru-RU"/>
        </w:rPr>
        <w:lastRenderedPageBreak/>
        <w:t xml:space="preserve">суперечили іншим доказам, без належного обґрунтування, що вплинуло на законність ухваленого рішення. </w:t>
      </w:r>
    </w:p>
    <w:p w14:paraId="52F82FB3" w14:textId="77777777" w:rsidR="00532C25" w:rsidRPr="00511005" w:rsidRDefault="00532C25" w:rsidP="00532C25">
      <w:pPr>
        <w:tabs>
          <w:tab w:val="left" w:pos="7088"/>
        </w:tabs>
        <w:spacing w:line="264" w:lineRule="auto"/>
        <w:rPr>
          <w:rFonts w:ascii="Arial" w:eastAsia="Arial" w:hAnsi="Arial" w:cs="Arial"/>
          <w:szCs w:val="28"/>
          <w:lang w:val="ru" w:eastAsia="ru-RU"/>
        </w:rPr>
      </w:pPr>
      <w:r w:rsidRPr="00511005">
        <w:rPr>
          <w:rFonts w:ascii="Arial" w:eastAsia="Arial" w:hAnsi="Arial" w:cs="Arial"/>
          <w:szCs w:val="28"/>
          <w:lang w:val="ru" w:eastAsia="ru-RU"/>
        </w:rPr>
        <w:t>Іншим прикладом є постанова у справі № 607/11498/15-к від 5 лютого 2019 року, де Верховний Суд зазначив, що істотними порушеннями є ті, які перешкодили чи могли перешкодити суду ухвалити законне та обґрунтоване рішення. У цій справі суд першої інстанції не дослідив усі обставини справи, що призвело до порушення права на захист обвинуваченого [3].</w:t>
      </w:r>
    </w:p>
    <w:p w14:paraId="164ABF1F" w14:textId="77777777" w:rsidR="00532C25" w:rsidRPr="00511005" w:rsidRDefault="00532C25" w:rsidP="00532C25">
      <w:pPr>
        <w:tabs>
          <w:tab w:val="left" w:pos="7088"/>
        </w:tabs>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Таким чином, істотні порушення вимог кримінального процесуального закону становлять одну з ключових гарантій справедливого судового розгляду, що слугує не лише процесуальною підставою </w:t>
      </w:r>
      <w:proofErr w:type="gramStart"/>
      <w:r w:rsidRPr="00511005">
        <w:rPr>
          <w:rFonts w:ascii="Arial" w:eastAsia="Arial" w:hAnsi="Arial" w:cs="Arial"/>
          <w:szCs w:val="28"/>
          <w:lang w:val="ru" w:eastAsia="ru-RU"/>
        </w:rPr>
        <w:t>для перегляду</w:t>
      </w:r>
      <w:proofErr w:type="gramEnd"/>
      <w:r w:rsidRPr="00511005">
        <w:rPr>
          <w:rFonts w:ascii="Arial" w:eastAsia="Arial" w:hAnsi="Arial" w:cs="Arial"/>
          <w:szCs w:val="28"/>
          <w:lang w:val="ru" w:eastAsia="ru-RU"/>
        </w:rPr>
        <w:t xml:space="preserve"> судових рішень, але й індикатором дотримання фундаментальних прав людини. У світлі практики Верховного Суду це поняття набуває конкретного змісту й дозволяє сформувати сталі стандарти правозастосування, які сприяють зміцненню верховенства права. Еволюція підходів до тлумачення істотності порушень свідчить про зростання ролі судової влади в забезпеченні реального правосуддя, а не лише формального дотримання процесу. Саме тому детальний аналіз рішень Верховного Суду є важливою складовою наукового осмислення правозастосування та практики кримінального провадження в Україні.</w:t>
      </w:r>
    </w:p>
    <w:p w14:paraId="4C92BA9D" w14:textId="77777777" w:rsidR="00532C25" w:rsidRPr="00511005" w:rsidRDefault="00532C25" w:rsidP="00532C25">
      <w:pPr>
        <w:spacing w:line="264" w:lineRule="auto"/>
        <w:ind w:firstLine="0"/>
        <w:rPr>
          <w:rFonts w:ascii="Arial" w:eastAsia="Arial" w:hAnsi="Arial" w:cs="Arial"/>
          <w:b/>
          <w:szCs w:val="28"/>
          <w:lang w:val="ru" w:eastAsia="ru-RU"/>
        </w:rPr>
      </w:pPr>
    </w:p>
    <w:p w14:paraId="340DF546" w14:textId="77777777" w:rsidR="00532C25" w:rsidRPr="00511005" w:rsidRDefault="00532C25" w:rsidP="00532C25">
      <w:pPr>
        <w:tabs>
          <w:tab w:val="left" w:pos="7088"/>
        </w:tabs>
        <w:spacing w:line="264" w:lineRule="auto"/>
        <w:jc w:val="center"/>
        <w:rPr>
          <w:rFonts w:ascii="Arial" w:eastAsia="Arial" w:hAnsi="Arial" w:cs="Arial"/>
          <w:b/>
          <w:szCs w:val="28"/>
          <w:lang w:val="ru" w:eastAsia="ru-RU"/>
        </w:rPr>
      </w:pPr>
      <w:r w:rsidRPr="00511005">
        <w:rPr>
          <w:rFonts w:ascii="Arial" w:eastAsia="Arial" w:hAnsi="Arial" w:cs="Arial"/>
          <w:b/>
          <w:szCs w:val="28"/>
          <w:lang w:val="uk-UA" w:eastAsia="ru-RU"/>
        </w:rPr>
        <w:t>Список використаних джерел</w:t>
      </w:r>
    </w:p>
    <w:p w14:paraId="168748E9" w14:textId="77777777" w:rsidR="00532C25" w:rsidRPr="00511005" w:rsidRDefault="00532C25" w:rsidP="003F6A5D">
      <w:pPr>
        <w:widowControl w:val="0"/>
        <w:numPr>
          <w:ilvl w:val="0"/>
          <w:numId w:val="587"/>
        </w:numPr>
        <w:pBdr>
          <w:top w:val="nil"/>
          <w:left w:val="nil"/>
          <w:bottom w:val="nil"/>
          <w:right w:val="nil"/>
          <w:between w:val="nil"/>
        </w:pBdr>
        <w:tabs>
          <w:tab w:val="left" w:pos="993"/>
          <w:tab w:val="left" w:pos="7088"/>
        </w:tabs>
        <w:autoSpaceDE w:val="0"/>
        <w:autoSpaceDN w:val="0"/>
        <w:adjustRightInd w:val="0"/>
        <w:spacing w:line="264" w:lineRule="auto"/>
        <w:ind w:left="0" w:firstLine="709"/>
        <w:jc w:val="left"/>
        <w:rPr>
          <w:rFonts w:ascii="Arial" w:eastAsia="Arial" w:hAnsi="Arial" w:cs="Arial"/>
          <w:szCs w:val="28"/>
          <w:lang w:val="pl-PL" w:eastAsia="ru-RU"/>
        </w:rPr>
      </w:pPr>
      <w:r w:rsidRPr="00511005">
        <w:rPr>
          <w:rFonts w:ascii="Arial" w:eastAsia="Times New Roman" w:hAnsi="Arial" w:cs="Arial"/>
          <w:szCs w:val="28"/>
          <w:lang w:val="ru" w:eastAsia="ru-RU"/>
        </w:rPr>
        <w:t xml:space="preserve">Кримінальний процесуальний кодекс України від 13.04.2012. </w:t>
      </w:r>
      <w:r w:rsidRPr="00511005">
        <w:rPr>
          <w:rFonts w:ascii="Arial" w:eastAsia="Times New Roman" w:hAnsi="Arial" w:cs="Arial"/>
          <w:szCs w:val="28"/>
          <w:lang w:val="pl-PL" w:eastAsia="ru-RU"/>
        </w:rPr>
        <w:t>URL: https://zakon.rada.gov.ua/laws/show/465117</w:t>
      </w:r>
      <w:r w:rsidRPr="00511005">
        <w:rPr>
          <w:rFonts w:ascii="Arial" w:eastAsia="Times New Roman" w:hAnsi="Arial" w:cs="Arial"/>
          <w:szCs w:val="28"/>
          <w:lang w:val="uk-UA" w:eastAsia="ru-RU"/>
        </w:rPr>
        <w:t>.</w:t>
      </w:r>
    </w:p>
    <w:p w14:paraId="5F04DB40" w14:textId="77777777" w:rsidR="00532C25" w:rsidRPr="00511005" w:rsidRDefault="00532C25" w:rsidP="003F6A5D">
      <w:pPr>
        <w:widowControl w:val="0"/>
        <w:numPr>
          <w:ilvl w:val="0"/>
          <w:numId w:val="587"/>
        </w:numPr>
        <w:pBdr>
          <w:top w:val="nil"/>
          <w:left w:val="nil"/>
          <w:bottom w:val="nil"/>
          <w:right w:val="nil"/>
          <w:between w:val="nil"/>
        </w:pBdr>
        <w:tabs>
          <w:tab w:val="left" w:pos="993"/>
          <w:tab w:val="left" w:pos="7088"/>
        </w:tabs>
        <w:autoSpaceDE w:val="0"/>
        <w:autoSpaceDN w:val="0"/>
        <w:adjustRightInd w:val="0"/>
        <w:spacing w:line="264" w:lineRule="auto"/>
        <w:ind w:left="0" w:firstLine="709"/>
        <w:jc w:val="left"/>
        <w:rPr>
          <w:rFonts w:ascii="Arial" w:eastAsia="Arial" w:hAnsi="Arial" w:cs="Arial"/>
          <w:szCs w:val="28"/>
          <w:lang w:val="ru" w:eastAsia="ru-RU"/>
        </w:rPr>
      </w:pPr>
      <w:r w:rsidRPr="00511005">
        <w:rPr>
          <w:rFonts w:ascii="Arial" w:eastAsia="Times New Roman" w:hAnsi="Arial" w:cs="Arial"/>
          <w:szCs w:val="28"/>
          <w:lang w:val="ru" w:eastAsia="ru-RU"/>
        </w:rPr>
        <w:t>Постанова Верховного Суду у справі № 759/9497/17 від 29.06.2023.</w:t>
      </w:r>
      <w:r w:rsidRPr="00511005">
        <w:rPr>
          <w:rFonts w:ascii="Arial" w:eastAsia="Times New Roman" w:hAnsi="Arial" w:cs="Arial"/>
          <w:szCs w:val="28"/>
          <w:lang w:val="ru" w:eastAsia="ru-RU"/>
        </w:rPr>
        <w:br/>
        <w:t xml:space="preserve">URL: </w:t>
      </w:r>
      <w:hyperlink r:id="rId2171" w:history="1">
        <w:r w:rsidRPr="00511005">
          <w:rPr>
            <w:rFonts w:ascii="Arial" w:eastAsia="Arial" w:hAnsi="Arial" w:cs="Arial"/>
            <w:szCs w:val="28"/>
            <w:lang w:val="ru" w:eastAsia="ru-RU"/>
          </w:rPr>
          <w:t>https://reyestr.court.gov.ua/Review/111648722</w:t>
        </w:r>
      </w:hyperlink>
      <w:r w:rsidRPr="00511005">
        <w:rPr>
          <w:rFonts w:ascii="Arial" w:eastAsia="Times New Roman" w:hAnsi="Arial" w:cs="Arial"/>
          <w:szCs w:val="28"/>
          <w:lang w:val="uk-UA" w:eastAsia="ru-RU"/>
        </w:rPr>
        <w:t xml:space="preserve">. </w:t>
      </w:r>
    </w:p>
    <w:p w14:paraId="585C0076" w14:textId="77777777" w:rsidR="00532C25" w:rsidRPr="00511005" w:rsidRDefault="00532C25" w:rsidP="003F6A5D">
      <w:pPr>
        <w:widowControl w:val="0"/>
        <w:numPr>
          <w:ilvl w:val="0"/>
          <w:numId w:val="587"/>
        </w:numPr>
        <w:pBdr>
          <w:top w:val="nil"/>
          <w:left w:val="nil"/>
          <w:bottom w:val="nil"/>
          <w:right w:val="nil"/>
          <w:between w:val="nil"/>
        </w:pBdr>
        <w:tabs>
          <w:tab w:val="left" w:pos="993"/>
          <w:tab w:val="left" w:pos="7088"/>
        </w:tabs>
        <w:autoSpaceDE w:val="0"/>
        <w:autoSpaceDN w:val="0"/>
        <w:adjustRightInd w:val="0"/>
        <w:spacing w:line="264" w:lineRule="auto"/>
        <w:ind w:left="0" w:firstLine="709"/>
        <w:jc w:val="left"/>
        <w:rPr>
          <w:rFonts w:ascii="Arial" w:eastAsia="Arial" w:hAnsi="Arial" w:cs="Arial"/>
          <w:szCs w:val="28"/>
          <w:lang w:val="ru" w:eastAsia="ru-RU"/>
        </w:rPr>
      </w:pPr>
      <w:r w:rsidRPr="00511005">
        <w:rPr>
          <w:rFonts w:ascii="Arial" w:eastAsia="Times New Roman" w:hAnsi="Arial" w:cs="Arial"/>
          <w:szCs w:val="28"/>
          <w:lang w:val="ru" w:eastAsia="ru-RU"/>
        </w:rPr>
        <w:t>Постанова Верховного Суду у справі № 607/11498/15-к від 05.02.2019.</w:t>
      </w:r>
      <w:r w:rsidRPr="00511005">
        <w:rPr>
          <w:rFonts w:ascii="Arial" w:eastAsia="Times New Roman" w:hAnsi="Arial" w:cs="Arial"/>
          <w:szCs w:val="28"/>
          <w:lang w:val="ru" w:eastAsia="ru-RU"/>
        </w:rPr>
        <w:br/>
        <w:t xml:space="preserve">URL: </w:t>
      </w:r>
      <w:hyperlink r:id="rId2172" w:history="1">
        <w:r w:rsidRPr="00511005">
          <w:rPr>
            <w:rFonts w:ascii="Arial" w:eastAsia="Arial" w:hAnsi="Arial" w:cs="Arial"/>
            <w:szCs w:val="28"/>
            <w:lang w:val="ru" w:eastAsia="ru-RU"/>
          </w:rPr>
          <w:t>https://reyestr.court.gov.ua/Review/79822989</w:t>
        </w:r>
      </w:hyperlink>
      <w:r w:rsidRPr="00511005">
        <w:rPr>
          <w:rFonts w:ascii="Arial" w:eastAsia="Times New Roman" w:hAnsi="Arial" w:cs="Arial"/>
          <w:szCs w:val="28"/>
          <w:lang w:val="uk-UA" w:eastAsia="ru-RU"/>
        </w:rPr>
        <w:t xml:space="preserve">. </w:t>
      </w:r>
    </w:p>
    <w:p w14:paraId="5C8AA361" w14:textId="77777777" w:rsidR="00532C25" w:rsidRPr="00511005" w:rsidRDefault="00532C25" w:rsidP="003F6A5D">
      <w:pPr>
        <w:widowControl w:val="0"/>
        <w:numPr>
          <w:ilvl w:val="0"/>
          <w:numId w:val="587"/>
        </w:numPr>
        <w:pBdr>
          <w:top w:val="nil"/>
          <w:left w:val="nil"/>
          <w:bottom w:val="nil"/>
          <w:right w:val="nil"/>
          <w:between w:val="nil"/>
        </w:pBdr>
        <w:tabs>
          <w:tab w:val="left" w:pos="993"/>
          <w:tab w:val="left" w:pos="7088"/>
        </w:tabs>
        <w:autoSpaceDE w:val="0"/>
        <w:autoSpaceDN w:val="0"/>
        <w:adjustRightInd w:val="0"/>
        <w:spacing w:line="264" w:lineRule="auto"/>
        <w:ind w:left="0" w:firstLine="709"/>
        <w:jc w:val="left"/>
        <w:rPr>
          <w:rFonts w:ascii="Arial" w:eastAsia="Arial" w:hAnsi="Arial" w:cs="Arial"/>
          <w:szCs w:val="28"/>
          <w:lang w:val="pl-PL" w:eastAsia="ru-RU"/>
        </w:rPr>
      </w:pPr>
      <w:r w:rsidRPr="00511005">
        <w:rPr>
          <w:rFonts w:ascii="Arial" w:eastAsia="Times New Roman" w:hAnsi="Arial" w:cs="Arial"/>
          <w:szCs w:val="28"/>
          <w:lang w:val="ru" w:eastAsia="ru-RU"/>
        </w:rPr>
        <w:t>Скрипник, Д. О. (2023). </w:t>
      </w:r>
      <w:r w:rsidRPr="00511005">
        <w:rPr>
          <w:rFonts w:ascii="Arial" w:eastAsia="Times New Roman" w:hAnsi="Arial" w:cs="Arial"/>
          <w:i/>
          <w:szCs w:val="28"/>
          <w:lang w:val="ru" w:eastAsia="ru-RU"/>
        </w:rPr>
        <w:t>Теоретичні та практичні аспекти правових позицій</w:t>
      </w:r>
      <w:r w:rsidRPr="00511005">
        <w:rPr>
          <w:rFonts w:ascii="Arial" w:eastAsia="Times New Roman" w:hAnsi="Arial" w:cs="Arial"/>
          <w:i/>
          <w:szCs w:val="28"/>
          <w:lang w:val="uk-UA" w:eastAsia="ru-RU"/>
        </w:rPr>
        <w:t xml:space="preserve"> </w:t>
      </w:r>
      <w:r w:rsidRPr="00511005">
        <w:rPr>
          <w:rFonts w:ascii="Arial" w:eastAsia="Times New Roman" w:hAnsi="Arial" w:cs="Arial"/>
          <w:i/>
          <w:szCs w:val="28"/>
          <w:lang w:val="ru" w:eastAsia="ru-RU"/>
        </w:rPr>
        <w:t>Верховного Суду у кримінальному провадженні</w:t>
      </w:r>
      <w:r w:rsidRPr="00511005">
        <w:rPr>
          <w:rFonts w:ascii="Arial" w:eastAsia="Times New Roman" w:hAnsi="Arial" w:cs="Arial"/>
          <w:szCs w:val="28"/>
          <w:lang w:val="ru" w:eastAsia="ru-RU"/>
        </w:rPr>
        <w:t xml:space="preserve"> (Doctoral dissertation, Одеса). </w:t>
      </w:r>
      <w:r w:rsidRPr="00511005">
        <w:rPr>
          <w:rFonts w:ascii="Arial" w:eastAsia="Times New Roman" w:hAnsi="Arial" w:cs="Arial"/>
          <w:szCs w:val="28"/>
          <w:lang w:val="pl-PL" w:eastAsia="ru-RU"/>
        </w:rPr>
        <w:t xml:space="preserve">URL: </w:t>
      </w:r>
      <w:hyperlink r:id="rId2173">
        <w:r w:rsidRPr="00511005">
          <w:rPr>
            <w:rFonts w:ascii="Arial" w:eastAsia="Times New Roman" w:hAnsi="Arial" w:cs="Arial"/>
            <w:szCs w:val="28"/>
            <w:lang w:val="pl-PL" w:eastAsia="ru-RU"/>
          </w:rPr>
          <w:t>https://dspace.onua.edu.ua/items/6282419f-600e-4d4f-98f2-08aa4faa9a90</w:t>
        </w:r>
      </w:hyperlink>
      <w:r w:rsidRPr="00511005">
        <w:rPr>
          <w:rFonts w:ascii="Arial" w:eastAsia="Times New Roman" w:hAnsi="Arial" w:cs="Arial"/>
          <w:szCs w:val="28"/>
          <w:lang w:val="uk-UA" w:eastAsia="ru-RU"/>
        </w:rPr>
        <w:t xml:space="preserve">. </w:t>
      </w:r>
    </w:p>
    <w:p w14:paraId="4DAAAB63" w14:textId="77777777" w:rsidR="00532C25" w:rsidRPr="00511005" w:rsidRDefault="00532C25" w:rsidP="00532C25">
      <w:pPr>
        <w:tabs>
          <w:tab w:val="left" w:pos="993"/>
          <w:tab w:val="left" w:pos="7088"/>
        </w:tabs>
        <w:spacing w:line="264" w:lineRule="auto"/>
        <w:rPr>
          <w:rFonts w:ascii="Arial" w:eastAsia="Arial" w:hAnsi="Arial" w:cs="Arial"/>
          <w:b/>
          <w:szCs w:val="28"/>
          <w:lang w:val="pl-PL" w:eastAsia="ru-RU"/>
        </w:rPr>
      </w:pPr>
    </w:p>
    <w:p w14:paraId="277DC511" w14:textId="77777777" w:rsidR="00532C25" w:rsidRPr="00511005" w:rsidRDefault="00532C25" w:rsidP="00532C25">
      <w:pPr>
        <w:tabs>
          <w:tab w:val="left" w:pos="993"/>
          <w:tab w:val="left" w:pos="7088"/>
        </w:tabs>
        <w:spacing w:line="264" w:lineRule="auto"/>
        <w:rPr>
          <w:rFonts w:ascii="Arial" w:eastAsia="Arial" w:hAnsi="Arial" w:cs="Arial"/>
          <w:szCs w:val="28"/>
          <w:lang w:val="ru" w:eastAsia="ru-RU"/>
        </w:rPr>
      </w:pPr>
      <w:bookmarkStart w:id="271" w:name="_heading=h.hl43wt9j7ymp" w:colFirst="0" w:colLast="0"/>
      <w:bookmarkEnd w:id="271"/>
      <w:r w:rsidRPr="00511005">
        <w:rPr>
          <w:rFonts w:ascii="Arial" w:eastAsia="Arial" w:hAnsi="Arial" w:cs="Arial"/>
          <w:b/>
          <w:i/>
          <w:szCs w:val="28"/>
          <w:lang w:val="ru" w:eastAsia="ru-RU"/>
        </w:rPr>
        <w:t xml:space="preserve">Ключові слова: </w:t>
      </w:r>
      <w:r w:rsidRPr="00511005">
        <w:rPr>
          <w:rFonts w:ascii="Arial" w:eastAsia="Arial" w:hAnsi="Arial" w:cs="Arial"/>
          <w:szCs w:val="28"/>
          <w:lang w:val="ru" w:eastAsia="ru-RU"/>
        </w:rPr>
        <w:t>кримінальне процесуальне право, істотні порушення, право на захист, судова практика, Верховний Суд, справедливий судовий розгляд, допустимість доказів.</w:t>
      </w:r>
    </w:p>
    <w:p w14:paraId="1EFDD753" w14:textId="77777777" w:rsidR="00532C25" w:rsidRPr="00511005" w:rsidRDefault="00532C25" w:rsidP="00532C25">
      <w:pPr>
        <w:tabs>
          <w:tab w:val="left" w:pos="993"/>
          <w:tab w:val="left" w:pos="7088"/>
        </w:tabs>
        <w:spacing w:line="264" w:lineRule="auto"/>
        <w:rPr>
          <w:rFonts w:ascii="Arial" w:eastAsia="Arial" w:hAnsi="Arial" w:cs="Arial"/>
          <w:szCs w:val="28"/>
          <w:lang w:val="en-US" w:eastAsia="ru-RU"/>
        </w:rPr>
      </w:pPr>
      <w:r w:rsidRPr="00511005">
        <w:rPr>
          <w:rFonts w:ascii="Arial" w:eastAsia="Arial" w:hAnsi="Arial" w:cs="Arial"/>
          <w:b/>
          <w:i/>
          <w:szCs w:val="28"/>
          <w:lang w:val="en-US" w:eastAsia="ru-RU"/>
        </w:rPr>
        <w:t xml:space="preserve">Key words: </w:t>
      </w:r>
      <w:r w:rsidRPr="00511005">
        <w:rPr>
          <w:rFonts w:ascii="Arial" w:eastAsia="Arial" w:hAnsi="Arial" w:cs="Arial"/>
          <w:szCs w:val="28"/>
          <w:lang w:val="en-US" w:eastAsia="ru-RU"/>
        </w:rPr>
        <w:t>criminal procedural law, significant violations, right to defense, judicial practice, Supreme Court, fair trial, admissibility of evidence.</w:t>
      </w:r>
    </w:p>
    <w:p w14:paraId="0B3A3CD5" w14:textId="77777777" w:rsidR="00532C25" w:rsidRPr="00511005" w:rsidRDefault="00532C25" w:rsidP="00532C25">
      <w:pPr>
        <w:tabs>
          <w:tab w:val="left" w:pos="993"/>
          <w:tab w:val="left" w:pos="7088"/>
        </w:tabs>
        <w:spacing w:line="264" w:lineRule="auto"/>
        <w:rPr>
          <w:rFonts w:ascii="Arial" w:eastAsia="Arial" w:hAnsi="Arial" w:cs="Arial"/>
          <w:i/>
          <w:szCs w:val="28"/>
          <w:lang w:val="ru" w:eastAsia="ru-RU"/>
        </w:rPr>
      </w:pPr>
      <w:r w:rsidRPr="00511005">
        <w:rPr>
          <w:rFonts w:ascii="Arial" w:eastAsia="Arial" w:hAnsi="Arial" w:cs="Arial"/>
          <w:b/>
          <w:i/>
          <w:szCs w:val="28"/>
          <w:lang w:val="ru" w:eastAsia="ru-RU"/>
        </w:rPr>
        <w:t xml:space="preserve">Науковий керівник: </w:t>
      </w:r>
      <w:r w:rsidRPr="00511005">
        <w:rPr>
          <w:rFonts w:ascii="Arial" w:eastAsia="Arial" w:hAnsi="Arial" w:cs="Arial"/>
          <w:i/>
          <w:szCs w:val="28"/>
          <w:lang w:val="uk-UA" w:eastAsia="ru-RU"/>
        </w:rPr>
        <w:t>к.ю.н., доцент</w:t>
      </w:r>
      <w:r w:rsidRPr="00511005">
        <w:rPr>
          <w:rFonts w:ascii="Arial" w:eastAsia="Arial" w:hAnsi="Arial" w:cs="Arial"/>
          <w:i/>
          <w:szCs w:val="28"/>
          <w:lang w:val="ru" w:eastAsia="ru-RU"/>
        </w:rPr>
        <w:t xml:space="preserve"> Стоянов М</w:t>
      </w:r>
      <w:r w:rsidRPr="00511005">
        <w:rPr>
          <w:rFonts w:ascii="Arial" w:eastAsia="Arial" w:hAnsi="Arial" w:cs="Arial"/>
          <w:i/>
          <w:szCs w:val="28"/>
          <w:lang w:val="uk-UA" w:eastAsia="ru-RU"/>
        </w:rPr>
        <w:t>.</w:t>
      </w:r>
      <w:r w:rsidRPr="00511005">
        <w:rPr>
          <w:rFonts w:ascii="Arial" w:eastAsia="Arial" w:hAnsi="Arial" w:cs="Arial"/>
          <w:i/>
          <w:szCs w:val="28"/>
          <w:lang w:val="ru" w:eastAsia="ru-RU"/>
        </w:rPr>
        <w:t>М</w:t>
      </w:r>
      <w:r w:rsidRPr="00511005">
        <w:rPr>
          <w:rFonts w:ascii="Arial" w:eastAsia="Arial" w:hAnsi="Arial" w:cs="Arial"/>
          <w:i/>
          <w:szCs w:val="28"/>
          <w:lang w:val="uk-UA" w:eastAsia="ru-RU"/>
        </w:rPr>
        <w:t>.</w:t>
      </w:r>
    </w:p>
    <w:p w14:paraId="543C7B43" w14:textId="77777777" w:rsidR="00532C25" w:rsidRPr="00511005" w:rsidRDefault="00532C25" w:rsidP="00532C25">
      <w:pPr>
        <w:keepNext/>
        <w:spacing w:line="264" w:lineRule="auto"/>
        <w:ind w:firstLine="0"/>
        <w:rPr>
          <w:rFonts w:ascii="Arial" w:eastAsia="Arial" w:hAnsi="Arial" w:cs="Arial"/>
          <w:b/>
          <w:i/>
          <w:szCs w:val="28"/>
          <w:lang w:val="ru" w:eastAsia="ru-RU"/>
        </w:rPr>
      </w:pPr>
    </w:p>
    <w:p w14:paraId="2F51A8E9" w14:textId="77777777" w:rsidR="00532C25" w:rsidRPr="00511005" w:rsidRDefault="00532C25" w:rsidP="00532C25">
      <w:pPr>
        <w:keepNext/>
        <w:spacing w:line="264" w:lineRule="auto"/>
        <w:ind w:firstLine="0"/>
        <w:jc w:val="center"/>
        <w:rPr>
          <w:rFonts w:ascii="Arial" w:eastAsia="Arial" w:hAnsi="Arial" w:cs="Arial"/>
          <w:b/>
          <w:i/>
          <w:szCs w:val="28"/>
          <w:lang w:val="uk-UA" w:eastAsia="ru-RU"/>
        </w:rPr>
      </w:pPr>
      <w:r w:rsidRPr="00511005">
        <w:rPr>
          <w:rFonts w:ascii="Arial" w:eastAsia="Arial" w:hAnsi="Arial" w:cs="Arial"/>
          <w:b/>
          <w:i/>
          <w:szCs w:val="28"/>
          <w:lang w:val="uk-UA" w:eastAsia="ru-RU"/>
        </w:rPr>
        <w:t>Жилка Анастасія Миколаївна</w:t>
      </w:r>
    </w:p>
    <w:p w14:paraId="6AC9B7E0" w14:textId="77777777" w:rsidR="00532C25" w:rsidRPr="00511005" w:rsidRDefault="00532C25" w:rsidP="00532C25">
      <w:pPr>
        <w:spacing w:line="264" w:lineRule="auto"/>
        <w:ind w:firstLine="0"/>
        <w:jc w:val="center"/>
        <w:rPr>
          <w:rFonts w:ascii="Arial" w:eastAsia="Arial" w:hAnsi="Arial" w:cs="Arial"/>
          <w:szCs w:val="28"/>
          <w:lang w:val="uk-UA" w:eastAsia="ru-RU"/>
        </w:rPr>
      </w:pPr>
      <w:r w:rsidRPr="00511005">
        <w:rPr>
          <w:rFonts w:ascii="Arial" w:eastAsia="Arial" w:hAnsi="Arial" w:cs="Arial"/>
          <w:szCs w:val="28"/>
          <w:lang w:val="uk-UA" w:eastAsia="ru-RU"/>
        </w:rPr>
        <w:t>студентка 1-го курсу магістратури факультету судового та міжнародного права</w:t>
      </w:r>
      <w:r w:rsidRPr="00511005">
        <w:rPr>
          <w:rFonts w:ascii="Arial" w:eastAsia="Arial" w:hAnsi="Arial" w:cs="Arial"/>
          <w:szCs w:val="28"/>
          <w:lang w:val="uk-UA" w:eastAsia="ru-RU"/>
        </w:rPr>
        <w:br/>
        <w:t>Національного університету «Одеська юридична академія»</w:t>
      </w:r>
    </w:p>
    <w:p w14:paraId="57A00648" w14:textId="77777777" w:rsidR="00532C25" w:rsidRPr="00511005" w:rsidRDefault="00532C25" w:rsidP="00532C25">
      <w:pPr>
        <w:spacing w:line="264" w:lineRule="auto"/>
        <w:ind w:firstLine="0"/>
        <w:rPr>
          <w:rFonts w:ascii="Arial" w:eastAsia="Arial" w:hAnsi="Arial" w:cs="Arial"/>
          <w:szCs w:val="28"/>
          <w:lang w:val="uk-UA" w:eastAsia="ru-RU"/>
        </w:rPr>
      </w:pPr>
    </w:p>
    <w:p w14:paraId="311DE661" w14:textId="77777777" w:rsidR="00532C25" w:rsidRPr="00511005" w:rsidRDefault="00532C25" w:rsidP="00532C25">
      <w:pPr>
        <w:tabs>
          <w:tab w:val="left" w:pos="7088"/>
        </w:tabs>
        <w:spacing w:line="264" w:lineRule="auto"/>
        <w:ind w:firstLine="0"/>
        <w:jc w:val="center"/>
        <w:rPr>
          <w:rFonts w:ascii="Arial" w:eastAsia="Arial" w:hAnsi="Arial" w:cs="Arial"/>
          <w:b/>
          <w:szCs w:val="28"/>
          <w:lang w:val="ru" w:eastAsia="ru-RU" w:bidi="uk-UA"/>
        </w:rPr>
      </w:pPr>
      <w:r w:rsidRPr="00511005">
        <w:rPr>
          <w:rFonts w:ascii="Arial" w:eastAsia="Arial" w:hAnsi="Arial" w:cs="Arial"/>
          <w:b/>
          <w:szCs w:val="28"/>
          <w:lang w:val="ru" w:eastAsia="ru-RU" w:bidi="uk-UA"/>
        </w:rPr>
        <w:t>ЗАСТОСУВАННЯ ПОЛІГРАФА ПІД ЧАС ПРОВЕДЕННЯ СЛІДЧИХ (РОЗШУКОВИХ) ДІЙ: ПРАВОВИЙ СТАТУС ОТРИМАНИХ РЕЗУЛЬТАТІВ ТА ЇХ ДОКАЗОВЕ ЗНАЧЕННЯ</w:t>
      </w:r>
    </w:p>
    <w:p w14:paraId="631BD221" w14:textId="77777777" w:rsidR="00532C25" w:rsidRPr="00511005" w:rsidRDefault="00532C25" w:rsidP="00532C25">
      <w:pPr>
        <w:tabs>
          <w:tab w:val="left" w:pos="7088"/>
        </w:tabs>
        <w:spacing w:line="264" w:lineRule="auto"/>
        <w:rPr>
          <w:rFonts w:ascii="Arial" w:eastAsia="Arial" w:hAnsi="Arial" w:cs="Arial"/>
          <w:bCs/>
          <w:szCs w:val="28"/>
          <w:lang w:val="uk-UA" w:eastAsia="ru-RU" w:bidi="uk-UA"/>
        </w:rPr>
      </w:pPr>
      <w:r w:rsidRPr="00511005">
        <w:rPr>
          <w:rFonts w:ascii="Arial" w:eastAsia="Arial" w:hAnsi="Arial" w:cs="Arial"/>
          <w:bCs/>
          <w:szCs w:val="28"/>
          <w:lang w:val="uk-UA" w:eastAsia="ru-RU" w:bidi="uk-UA"/>
        </w:rPr>
        <w:t>У сучасних умовах активного розвитку криміналістики та зростання вимог до якості досудового розслідування все більше уваги приділяється використанню новітніх технічних засобів під час проведення слідчих (розшукових) дій. Одним з таких засобів є поліграф, більш відомий у широкому загалі як «детектор брехні». Його застосування викликає численні дискусії не лише в науковому середовищі, але й серед практиків. Основними питаннями, які залишаються відкритими, є правовий статус результатів дослідження на поліграфі та їх доказове значення в кримінальному провадженні. Питання законності, допустимості, а також інтерпретації таких результатів потребують ґрунтовного аналізу в контексті чинного законодавства України та світового досвіду.</w:t>
      </w:r>
    </w:p>
    <w:p w14:paraId="3D593359" w14:textId="77777777" w:rsidR="00532C25" w:rsidRPr="00511005" w:rsidRDefault="00532C25" w:rsidP="00532C25">
      <w:pPr>
        <w:tabs>
          <w:tab w:val="left" w:pos="7088"/>
        </w:tabs>
        <w:spacing w:line="264" w:lineRule="auto"/>
        <w:rPr>
          <w:rFonts w:ascii="Arial" w:eastAsia="Arial" w:hAnsi="Arial" w:cs="Arial"/>
          <w:bCs/>
          <w:szCs w:val="28"/>
          <w:lang w:val="uk-UA" w:eastAsia="ru-RU" w:bidi="uk-UA"/>
        </w:rPr>
      </w:pPr>
      <w:r w:rsidRPr="00511005">
        <w:rPr>
          <w:rFonts w:ascii="Arial" w:eastAsia="Arial" w:hAnsi="Arial" w:cs="Arial"/>
          <w:bCs/>
          <w:szCs w:val="28"/>
          <w:lang w:val="uk-UA" w:eastAsia="ru-RU" w:bidi="uk-UA"/>
        </w:rPr>
        <w:t xml:space="preserve">Відповідно до ч. 2 ст. 71 Кримінального процесуального кодексу України (далі – КПК України) [1], для надання безпосередньої технічної допомоги під час досудового розслідування чи судового розгляду сторони кримінального провадження можуть залучити спеціаліста. Згідно з ч. 1 цієї статті, спеціалістом є особа, яка володіє спеціальними знаннями та навичками застосування технічних або інших заходів і може надавати консультації під час досудового розслідування та судового розгляду з питань, що потребують відповідних спеціальних знань і навичок. Таким спеціалістом може бути і спеціаліст-поліграфолог, якого залучають для надання безпосередньої технічної допомоги під час роботи з поліграфом (у КПК України передбачено перелік видів такої допомоги: фотографування, складення схем, планів, креслень, відбір зразків для проведення експертизи тощо; тобто перелік є відкритим, а отже, можуть бути використані й інші види допомоги) та консультацій щодо оцінювання отриманих психофізіологічних показників. </w:t>
      </w:r>
    </w:p>
    <w:p w14:paraId="2213C4BC" w14:textId="77777777" w:rsidR="00532C25" w:rsidRPr="00511005" w:rsidRDefault="00532C25" w:rsidP="00532C25">
      <w:pPr>
        <w:tabs>
          <w:tab w:val="left" w:pos="7088"/>
        </w:tabs>
        <w:spacing w:line="264" w:lineRule="auto"/>
        <w:rPr>
          <w:rFonts w:ascii="Arial" w:eastAsia="Arial" w:hAnsi="Arial" w:cs="Arial"/>
          <w:bCs/>
          <w:szCs w:val="28"/>
          <w:lang w:val="uk-UA" w:eastAsia="ru-RU" w:bidi="uk-UA"/>
        </w:rPr>
      </w:pPr>
      <w:r w:rsidRPr="00511005">
        <w:rPr>
          <w:rFonts w:ascii="Arial" w:eastAsia="Arial" w:hAnsi="Arial" w:cs="Arial"/>
          <w:bCs/>
          <w:szCs w:val="28"/>
          <w:lang w:val="uk-UA" w:eastAsia="ru-RU" w:bidi="uk-UA"/>
        </w:rPr>
        <w:t>Спеціаліст-поліграфолог може залучатися до проведення таких слідчих (розшукових) дій, як допит, пред’явлення для впізнання, обшук, слідчий експеримент. Найчастіше поліграф використовується саме під час проведення допиту.</w:t>
      </w:r>
    </w:p>
    <w:p w14:paraId="6B6F2D3F" w14:textId="77777777" w:rsidR="00532C25" w:rsidRPr="00511005" w:rsidRDefault="00532C25" w:rsidP="00532C25">
      <w:pPr>
        <w:tabs>
          <w:tab w:val="left" w:pos="7088"/>
        </w:tabs>
        <w:spacing w:line="264" w:lineRule="auto"/>
        <w:rPr>
          <w:rFonts w:ascii="Arial" w:eastAsia="Arial" w:hAnsi="Arial" w:cs="Arial"/>
          <w:bCs/>
          <w:szCs w:val="28"/>
          <w:lang w:val="uk-UA" w:eastAsia="ru-RU" w:bidi="uk-UA"/>
        </w:rPr>
      </w:pPr>
      <w:r w:rsidRPr="00511005">
        <w:rPr>
          <w:rFonts w:ascii="Arial" w:eastAsia="Arial" w:hAnsi="Arial" w:cs="Arial"/>
          <w:bCs/>
          <w:szCs w:val="28"/>
          <w:lang w:val="uk-UA" w:eastAsia="ru-RU" w:bidi="uk-UA"/>
        </w:rPr>
        <w:t xml:space="preserve">У практиці досудового розслідування в Україні поліграф переважно застосовується як додатковий засіб отримання орієнтовної інформації. Його результати зазвичай не визнаються повноцінними доказами, проте можуть </w:t>
      </w:r>
      <w:r w:rsidRPr="00511005">
        <w:rPr>
          <w:rFonts w:ascii="Arial" w:eastAsia="Arial" w:hAnsi="Arial" w:cs="Arial"/>
          <w:bCs/>
          <w:szCs w:val="28"/>
          <w:lang w:val="uk-UA" w:eastAsia="ru-RU" w:bidi="uk-UA"/>
        </w:rPr>
        <w:lastRenderedPageBreak/>
        <w:t>бути підставою для ініціювання або коригування напрямків слідства. Варто наголосити, що КПК України прямо не передбачає можливості використання поліграфа як процесуального інструмента, а тим більше – як джерела доказів. Таким чином, застосування поліграфа є, фактично, допоміжним засобом отримання інформації, що не має самостійної юридичної сили, але може стимулювати подальші дії слідчого або прокурора.</w:t>
      </w:r>
    </w:p>
    <w:p w14:paraId="2327B8A2" w14:textId="77777777" w:rsidR="00532C25" w:rsidRPr="00511005" w:rsidRDefault="00532C25" w:rsidP="00532C25">
      <w:pPr>
        <w:tabs>
          <w:tab w:val="left" w:pos="7088"/>
        </w:tabs>
        <w:spacing w:line="264" w:lineRule="auto"/>
        <w:rPr>
          <w:rFonts w:ascii="Arial" w:eastAsia="Arial" w:hAnsi="Arial" w:cs="Arial"/>
          <w:bCs/>
          <w:szCs w:val="28"/>
          <w:lang w:val="uk-UA" w:eastAsia="ru-RU" w:bidi="uk-UA"/>
        </w:rPr>
      </w:pPr>
      <w:r w:rsidRPr="00511005">
        <w:rPr>
          <w:rFonts w:ascii="Arial" w:eastAsia="Arial" w:hAnsi="Arial" w:cs="Arial"/>
          <w:bCs/>
          <w:szCs w:val="28"/>
          <w:lang w:val="uk-UA" w:eastAsia="ru-RU" w:bidi="uk-UA"/>
        </w:rPr>
        <w:t>Водночас у практиці існують випадки, коли сторони захисту або обвинувачення ініціюють дослідження за допомогою поліграфа для підтвердження або спростування певних фактів. Такі тести іноді проводяться на етапі досудового розслідування або вже під час судового розгляду. У більшості випадків вони мають характер психологічної експертизи з використанням поліграфа. Згідно з чинним законодавством, висновок експерта може бути визнаний належним доказом, однак важливо підкреслити, що експерт, який працює з поліграфом, повинен мати відповідну кваліфікацію, ліцензію, а сама процедура – відповідати вимогам науковості, об’єктивності та методичної обґрунтованості.</w:t>
      </w:r>
    </w:p>
    <w:p w14:paraId="45E2E44F" w14:textId="77777777" w:rsidR="00532C25" w:rsidRPr="00511005" w:rsidRDefault="00532C25" w:rsidP="00532C25">
      <w:pPr>
        <w:tabs>
          <w:tab w:val="left" w:pos="7088"/>
        </w:tabs>
        <w:spacing w:line="264" w:lineRule="auto"/>
        <w:rPr>
          <w:rFonts w:ascii="Arial" w:eastAsia="Arial" w:hAnsi="Arial" w:cs="Arial"/>
          <w:bCs/>
          <w:szCs w:val="28"/>
          <w:lang w:val="uk-UA" w:eastAsia="ru-RU" w:bidi="uk-UA"/>
        </w:rPr>
      </w:pPr>
      <w:r w:rsidRPr="00511005">
        <w:rPr>
          <w:rFonts w:ascii="Arial" w:eastAsia="Arial" w:hAnsi="Arial" w:cs="Arial"/>
          <w:bCs/>
          <w:szCs w:val="28"/>
          <w:lang w:val="uk-UA" w:eastAsia="ru-RU" w:bidi="uk-UA"/>
        </w:rPr>
        <w:t>Правовий статус результатів дослідження на поліграфі в Україні залишається невизначеним. З одного боку, існує практика судового розгляду, де подібні результати долучаються до матеріалів справи, проте в більшості випадків суди не надають їм вирішального значення при ухваленні рішень. З іншого боку, існують випадки, коли висновки, отримані під час поліграфного тестування, використовувалися як один із елементів доказування вини чи невинуватості особи.</w:t>
      </w:r>
    </w:p>
    <w:p w14:paraId="2C5D9327" w14:textId="77777777" w:rsidR="00532C25" w:rsidRPr="00511005" w:rsidRDefault="00532C25" w:rsidP="00532C25">
      <w:pPr>
        <w:tabs>
          <w:tab w:val="left" w:pos="7088"/>
        </w:tabs>
        <w:spacing w:line="264" w:lineRule="auto"/>
        <w:rPr>
          <w:rFonts w:ascii="Arial" w:eastAsia="Arial" w:hAnsi="Arial" w:cs="Arial"/>
          <w:bCs/>
          <w:szCs w:val="28"/>
          <w:lang w:val="uk-UA" w:eastAsia="ru-RU" w:bidi="uk-UA"/>
        </w:rPr>
      </w:pPr>
      <w:r w:rsidRPr="00511005">
        <w:rPr>
          <w:rFonts w:ascii="Arial" w:eastAsia="Arial" w:hAnsi="Arial" w:cs="Arial"/>
          <w:bCs/>
          <w:szCs w:val="28"/>
          <w:lang w:val="uk-UA" w:eastAsia="ru-RU" w:bidi="uk-UA"/>
        </w:rPr>
        <w:t>Міжнародний досвід свідчить про неоднозначне ставлення до поліграфа. Наприклад, у США, де поліграф давно використовується у кримінальних розслідуваннях, суди в окремих штатах дозволяють використовувати його результати як докази, проте лише за згодою обох сторін процесу. Водночас у більшості європейських країн (зокрема у Німеччині, Франції, Нідерландах) поліграф не визнається допустимим доказом через сумніви у його надійності та науковій обґрунтованості. Основним аргументом критиків залишається відсутність гарантій абсолютної точності результатів та можливість їх довільної інтерпретації</w:t>
      </w:r>
      <w:r w:rsidRPr="00511005">
        <w:rPr>
          <w:rFonts w:ascii="Arial" w:eastAsia="Arial" w:hAnsi="Arial" w:cs="Arial"/>
          <w:bCs/>
          <w:szCs w:val="28"/>
          <w:lang w:val="ru" w:eastAsia="ru-RU" w:bidi="uk-UA"/>
        </w:rPr>
        <w:t xml:space="preserve"> [2</w:t>
      </w:r>
      <w:r w:rsidRPr="00511005">
        <w:rPr>
          <w:rFonts w:ascii="Arial" w:eastAsia="Arial" w:hAnsi="Arial" w:cs="Arial"/>
          <w:bCs/>
          <w:szCs w:val="28"/>
          <w:lang w:val="uk-UA" w:eastAsia="ru-RU" w:bidi="uk-UA"/>
        </w:rPr>
        <w:t>, с. 689</w:t>
      </w:r>
      <w:r w:rsidRPr="00511005">
        <w:rPr>
          <w:rFonts w:ascii="Arial" w:eastAsia="Arial" w:hAnsi="Arial" w:cs="Arial"/>
          <w:bCs/>
          <w:szCs w:val="28"/>
          <w:lang w:val="ru" w:eastAsia="ru-RU" w:bidi="uk-UA"/>
        </w:rPr>
        <w:t>]</w:t>
      </w:r>
      <w:r w:rsidRPr="00511005">
        <w:rPr>
          <w:rFonts w:ascii="Arial" w:eastAsia="Arial" w:hAnsi="Arial" w:cs="Arial"/>
          <w:bCs/>
          <w:szCs w:val="28"/>
          <w:lang w:val="uk-UA" w:eastAsia="ru-RU" w:bidi="uk-UA"/>
        </w:rPr>
        <w:t>.</w:t>
      </w:r>
    </w:p>
    <w:p w14:paraId="1CE2FA97" w14:textId="77777777" w:rsidR="00532C25" w:rsidRPr="00511005" w:rsidRDefault="00532C25" w:rsidP="00532C25">
      <w:pPr>
        <w:tabs>
          <w:tab w:val="left" w:pos="7088"/>
        </w:tabs>
        <w:spacing w:line="264" w:lineRule="auto"/>
        <w:rPr>
          <w:rFonts w:ascii="Arial" w:eastAsia="Arial" w:hAnsi="Arial" w:cs="Arial"/>
          <w:bCs/>
          <w:szCs w:val="28"/>
          <w:lang w:val="uk-UA" w:eastAsia="ru-RU" w:bidi="uk-UA"/>
        </w:rPr>
      </w:pPr>
      <w:r w:rsidRPr="00511005">
        <w:rPr>
          <w:rFonts w:ascii="Arial" w:eastAsia="Arial" w:hAnsi="Arial" w:cs="Arial"/>
          <w:bCs/>
          <w:szCs w:val="28"/>
          <w:lang w:val="uk-UA" w:eastAsia="ru-RU" w:bidi="uk-UA"/>
        </w:rPr>
        <w:t>Іще одним важливим аспектом є етична складова використання поліграфа. Під час тестування людина перебуває в психологічно напруженому стані, який може вплинути на результати, незалежно від її намірів чи правдивості відповідей. Тому важливо, щоб тестування проводилось виключно за добровільною згодою особи, яка має бути письмово зафіксована. Примусове тестування, як свідчить практика Європейського суду з прав людини, може розцінюватися як порушення права на захист, заборону самозвинувачення та права на приватність.</w:t>
      </w:r>
    </w:p>
    <w:p w14:paraId="4AB427E8" w14:textId="77777777" w:rsidR="00532C25" w:rsidRPr="00511005" w:rsidRDefault="00532C25" w:rsidP="00532C25">
      <w:pPr>
        <w:tabs>
          <w:tab w:val="left" w:pos="7088"/>
        </w:tabs>
        <w:spacing w:line="264" w:lineRule="auto"/>
        <w:rPr>
          <w:rFonts w:ascii="Arial" w:eastAsia="Arial" w:hAnsi="Arial" w:cs="Arial"/>
          <w:bCs/>
          <w:szCs w:val="28"/>
          <w:lang w:val="uk-UA" w:eastAsia="ru-RU" w:bidi="uk-UA"/>
        </w:rPr>
      </w:pPr>
      <w:r w:rsidRPr="00511005">
        <w:rPr>
          <w:rFonts w:ascii="Arial" w:eastAsia="Arial" w:hAnsi="Arial" w:cs="Arial"/>
          <w:bCs/>
          <w:szCs w:val="28"/>
          <w:lang w:val="uk-UA" w:eastAsia="ru-RU" w:bidi="uk-UA"/>
        </w:rPr>
        <w:lastRenderedPageBreak/>
        <w:t>Українські науковці й правознавці також не дійшли єдності в питанні щодо місця поліграфа в доказовій системі. Деякі дослідники вважають, що поліграф слід розглядати як джерело орієнтовної інформації, що може бути підґрунтям для проведення інших процесуальних дій. Інші – закликають до чіткішого правового регулювання й унормування використання поліграфа, зокрема через внесення відповідних змін до Кримінального процесуального кодексу. У будь-якому випадку, подальше удосконалення правозастосовної практики в цій сфері є актуальним завданням для законодавця та правозастосовних органів</w:t>
      </w:r>
      <w:r w:rsidRPr="00511005">
        <w:rPr>
          <w:rFonts w:ascii="Arial" w:eastAsia="Arial" w:hAnsi="Arial" w:cs="Arial"/>
          <w:bCs/>
          <w:szCs w:val="28"/>
          <w:lang w:val="ru" w:eastAsia="ru-RU" w:bidi="uk-UA"/>
        </w:rPr>
        <w:t xml:space="preserve"> [3</w:t>
      </w:r>
      <w:r w:rsidRPr="00511005">
        <w:rPr>
          <w:rFonts w:ascii="Arial" w:eastAsia="Arial" w:hAnsi="Arial" w:cs="Arial"/>
          <w:bCs/>
          <w:szCs w:val="28"/>
          <w:lang w:val="uk-UA" w:eastAsia="ru-RU" w:bidi="uk-UA"/>
        </w:rPr>
        <w:t>, с. 161</w:t>
      </w:r>
      <w:r w:rsidRPr="00511005">
        <w:rPr>
          <w:rFonts w:ascii="Arial" w:eastAsia="Arial" w:hAnsi="Arial" w:cs="Arial"/>
          <w:bCs/>
          <w:szCs w:val="28"/>
          <w:lang w:val="ru" w:eastAsia="ru-RU" w:bidi="uk-UA"/>
        </w:rPr>
        <w:t>]</w:t>
      </w:r>
      <w:r w:rsidRPr="00511005">
        <w:rPr>
          <w:rFonts w:ascii="Arial" w:eastAsia="Arial" w:hAnsi="Arial" w:cs="Arial"/>
          <w:bCs/>
          <w:szCs w:val="28"/>
          <w:lang w:val="uk-UA" w:eastAsia="ru-RU" w:bidi="uk-UA"/>
        </w:rPr>
        <w:t>.</w:t>
      </w:r>
    </w:p>
    <w:p w14:paraId="7C6BB9D5" w14:textId="77777777" w:rsidR="00532C25" w:rsidRPr="00511005" w:rsidRDefault="00532C25" w:rsidP="00532C25">
      <w:pPr>
        <w:tabs>
          <w:tab w:val="left" w:pos="7088"/>
        </w:tabs>
        <w:spacing w:line="264" w:lineRule="auto"/>
        <w:rPr>
          <w:rFonts w:ascii="Arial" w:eastAsia="Arial" w:hAnsi="Arial" w:cs="Arial"/>
          <w:bCs/>
          <w:szCs w:val="28"/>
          <w:lang w:val="uk-UA" w:eastAsia="ru-RU" w:bidi="uk-UA"/>
        </w:rPr>
      </w:pPr>
      <w:r w:rsidRPr="00511005">
        <w:rPr>
          <w:rFonts w:ascii="Arial" w:eastAsia="Arial" w:hAnsi="Arial" w:cs="Arial"/>
          <w:bCs/>
          <w:szCs w:val="28"/>
          <w:lang w:val="uk-UA" w:eastAsia="ru-RU" w:bidi="uk-UA"/>
        </w:rPr>
        <w:t>Таким чином, поліграф як засіб дослідження у кримінальному провадженні продовжує залишатися інструментом зі складним правовим статусом. Його результати не мають самостійної доказової сили, однак можуть бути корисними для формування версій, уточнення обставин справи або визначення напрямків розслідування. Водночас використання поліграфа вимагає обережного, зваженого підходу з дотриманням процесуальних та етичних стандартів. Поки що в Україні відсутня уніфікована практика використання поліграфа у кримінальному процесі, що свідчить про необхідність правового врегулювання цього питання з метою забезпечення належного балансу між ефективністю слідства та захистом прав людини.</w:t>
      </w:r>
    </w:p>
    <w:p w14:paraId="4BC51651" w14:textId="77777777" w:rsidR="00532C25" w:rsidRPr="00511005" w:rsidRDefault="00532C25" w:rsidP="00532C25">
      <w:pPr>
        <w:spacing w:line="264" w:lineRule="auto"/>
        <w:ind w:firstLine="0"/>
        <w:rPr>
          <w:rFonts w:ascii="Arial" w:eastAsia="Arial" w:hAnsi="Arial" w:cs="Arial"/>
          <w:b/>
          <w:szCs w:val="28"/>
          <w:lang w:val="uk-UA" w:eastAsia="ru-RU" w:bidi="uk-UA"/>
        </w:rPr>
      </w:pPr>
    </w:p>
    <w:p w14:paraId="62F5F7AB" w14:textId="77777777" w:rsidR="00532C25" w:rsidRPr="00511005" w:rsidRDefault="00532C25" w:rsidP="00532C25">
      <w:pPr>
        <w:spacing w:line="264" w:lineRule="auto"/>
        <w:ind w:firstLine="0"/>
        <w:jc w:val="center"/>
        <w:rPr>
          <w:rFonts w:ascii="Arial" w:eastAsia="Arial" w:hAnsi="Arial" w:cs="Arial"/>
          <w:b/>
          <w:szCs w:val="28"/>
          <w:lang w:val="uk-UA" w:eastAsia="ru-RU" w:bidi="uk-UA"/>
        </w:rPr>
      </w:pPr>
      <w:r w:rsidRPr="00511005">
        <w:rPr>
          <w:rFonts w:ascii="Arial" w:eastAsia="Arial" w:hAnsi="Arial" w:cs="Arial"/>
          <w:b/>
          <w:szCs w:val="28"/>
          <w:lang w:val="uk-UA" w:eastAsia="ru-RU" w:bidi="uk-UA"/>
        </w:rPr>
        <w:t>Список використаних джерел</w:t>
      </w:r>
    </w:p>
    <w:p w14:paraId="112B3796" w14:textId="77777777" w:rsidR="00532C25" w:rsidRPr="00511005" w:rsidRDefault="00532C25" w:rsidP="003F6A5D">
      <w:pPr>
        <w:widowControl w:val="0"/>
        <w:numPr>
          <w:ilvl w:val="0"/>
          <w:numId w:val="815"/>
        </w:numPr>
        <w:tabs>
          <w:tab w:val="left" w:pos="7088"/>
        </w:tabs>
        <w:autoSpaceDE w:val="0"/>
        <w:autoSpaceDN w:val="0"/>
        <w:adjustRightInd w:val="0"/>
        <w:spacing w:line="264" w:lineRule="auto"/>
        <w:ind w:left="-142" w:hanging="501"/>
        <w:contextualSpacing/>
        <w:jc w:val="left"/>
        <w:rPr>
          <w:rFonts w:ascii="Arial" w:eastAsia="Calibri" w:hAnsi="Arial" w:cs="Arial"/>
          <w:bCs/>
          <w:szCs w:val="28"/>
          <w:lang w:val="uk-UA" w:bidi="uk-UA"/>
        </w:rPr>
      </w:pPr>
      <w:r w:rsidRPr="00511005">
        <w:rPr>
          <w:rFonts w:ascii="Arial" w:eastAsia="Calibri" w:hAnsi="Arial" w:cs="Arial"/>
          <w:bCs/>
          <w:szCs w:val="28"/>
          <w:lang w:val="uk-UA" w:bidi="uk-UA"/>
        </w:rPr>
        <w:t>Кримінальний процесуальний кодекс України</w:t>
      </w:r>
      <w:r w:rsidRPr="00511005">
        <w:rPr>
          <w:rFonts w:ascii="Arial" w:eastAsia="Calibri" w:hAnsi="Arial" w:cs="Arial"/>
          <w:bCs/>
          <w:szCs w:val="28"/>
          <w:lang w:bidi="uk-UA"/>
        </w:rPr>
        <w:t xml:space="preserve"> </w:t>
      </w:r>
      <w:r w:rsidRPr="00511005">
        <w:rPr>
          <w:rFonts w:ascii="Arial" w:eastAsia="Calibri" w:hAnsi="Arial" w:cs="Arial"/>
          <w:bCs/>
          <w:szCs w:val="28"/>
          <w:lang w:val="uk-UA" w:bidi="uk-UA"/>
        </w:rPr>
        <w:t xml:space="preserve">від 13 квітня 2012 року. </w:t>
      </w:r>
      <w:r w:rsidRPr="00511005">
        <w:rPr>
          <w:rFonts w:ascii="Arial" w:eastAsia="Calibri" w:hAnsi="Arial" w:cs="Arial"/>
          <w:bCs/>
          <w:szCs w:val="28"/>
          <w:lang w:bidi="uk-UA"/>
        </w:rPr>
        <w:t>URL</w:t>
      </w:r>
      <w:r w:rsidRPr="00511005">
        <w:rPr>
          <w:rFonts w:ascii="Arial" w:eastAsia="Calibri" w:hAnsi="Arial" w:cs="Arial"/>
          <w:bCs/>
          <w:szCs w:val="28"/>
          <w:lang w:val="uk-UA" w:bidi="uk-UA"/>
        </w:rPr>
        <w:t xml:space="preserve">: </w:t>
      </w:r>
      <w:hyperlink r:id="rId2174" w:anchor="Text" w:history="1">
        <w:r w:rsidRPr="00511005">
          <w:rPr>
            <w:rFonts w:ascii="Arial" w:eastAsia="Calibri" w:hAnsi="Arial" w:cs="Arial"/>
            <w:szCs w:val="28"/>
            <w:lang w:bidi="uk-UA"/>
          </w:rPr>
          <w:t>https://zakon.rada.gov.ua/laws/show/4651-17#Text</w:t>
        </w:r>
      </w:hyperlink>
      <w:r w:rsidRPr="00511005">
        <w:rPr>
          <w:rFonts w:ascii="Arial" w:eastAsia="Calibri" w:hAnsi="Arial" w:cs="Arial"/>
          <w:szCs w:val="28"/>
          <w:lang w:bidi="uk-UA"/>
        </w:rPr>
        <w:t xml:space="preserve">. </w:t>
      </w:r>
    </w:p>
    <w:p w14:paraId="42002E83" w14:textId="77777777" w:rsidR="00532C25" w:rsidRPr="00511005" w:rsidRDefault="00532C25" w:rsidP="003F6A5D">
      <w:pPr>
        <w:widowControl w:val="0"/>
        <w:numPr>
          <w:ilvl w:val="0"/>
          <w:numId w:val="815"/>
        </w:numPr>
        <w:tabs>
          <w:tab w:val="left" w:pos="7088"/>
        </w:tabs>
        <w:autoSpaceDE w:val="0"/>
        <w:autoSpaceDN w:val="0"/>
        <w:adjustRightInd w:val="0"/>
        <w:spacing w:line="264" w:lineRule="auto"/>
        <w:ind w:left="-142" w:hanging="501"/>
        <w:contextualSpacing/>
        <w:jc w:val="left"/>
        <w:rPr>
          <w:rFonts w:ascii="Arial" w:eastAsia="Calibri" w:hAnsi="Arial" w:cs="Arial"/>
          <w:bCs/>
          <w:szCs w:val="28"/>
          <w:lang w:val="uk-UA" w:bidi="uk-UA"/>
        </w:rPr>
      </w:pPr>
      <w:r w:rsidRPr="00511005">
        <w:rPr>
          <w:rFonts w:ascii="Arial" w:eastAsia="Calibri" w:hAnsi="Arial" w:cs="Arial"/>
          <w:bCs/>
          <w:szCs w:val="28"/>
          <w:lang w:val="uk-UA" w:bidi="uk-UA"/>
        </w:rPr>
        <w:t xml:space="preserve">Курман О. В., Балибіна А. Р. Використання поліграфа при розслідуванні кримінальних правопорушень: проблеми тактики та правового регулювання. </w:t>
      </w:r>
      <w:r w:rsidRPr="00511005">
        <w:rPr>
          <w:rFonts w:ascii="Arial" w:eastAsia="Calibri" w:hAnsi="Arial" w:cs="Arial"/>
          <w:bCs/>
          <w:i/>
          <w:iCs/>
          <w:szCs w:val="28"/>
          <w:lang w:val="uk-UA" w:bidi="uk-UA"/>
        </w:rPr>
        <w:t>Електронне наукове видання «Аналітично-порівняльне правознавство».</w:t>
      </w:r>
      <w:r w:rsidRPr="00511005">
        <w:rPr>
          <w:rFonts w:ascii="Arial" w:eastAsia="Calibri" w:hAnsi="Arial" w:cs="Arial"/>
          <w:bCs/>
          <w:szCs w:val="28"/>
          <w:lang w:val="uk-UA" w:bidi="uk-UA"/>
        </w:rPr>
        <w:t xml:space="preserve"> </w:t>
      </w:r>
      <w:r w:rsidRPr="00511005">
        <w:rPr>
          <w:rFonts w:ascii="Arial" w:eastAsia="Calibri" w:hAnsi="Arial" w:cs="Arial"/>
          <w:bCs/>
          <w:szCs w:val="28"/>
          <w:lang w:val="pl-PL" w:bidi="uk-UA"/>
        </w:rPr>
        <w:t>2024.</w:t>
      </w:r>
      <w:r w:rsidRPr="00511005">
        <w:rPr>
          <w:rFonts w:ascii="Arial" w:eastAsia="Calibri" w:hAnsi="Arial" w:cs="Arial"/>
          <w:bCs/>
          <w:szCs w:val="28"/>
          <w:lang w:val="uk-UA" w:bidi="uk-UA"/>
        </w:rPr>
        <w:t xml:space="preserve"> № 2. С. 686-691.</w:t>
      </w:r>
      <w:r w:rsidRPr="00511005">
        <w:rPr>
          <w:rFonts w:ascii="Arial" w:eastAsia="Calibri" w:hAnsi="Arial" w:cs="Arial"/>
          <w:szCs w:val="28"/>
          <w:lang w:val="uk-UA"/>
        </w:rPr>
        <w:t xml:space="preserve"> </w:t>
      </w:r>
      <w:r w:rsidRPr="00511005">
        <w:rPr>
          <w:rFonts w:ascii="Arial" w:eastAsia="Calibri" w:hAnsi="Arial" w:cs="Arial"/>
          <w:bCs/>
          <w:szCs w:val="28"/>
          <w:lang w:val="pl-PL" w:bidi="uk-UA"/>
        </w:rPr>
        <w:t>URL</w:t>
      </w:r>
      <w:r w:rsidRPr="00511005">
        <w:rPr>
          <w:rFonts w:ascii="Arial" w:eastAsia="Calibri" w:hAnsi="Arial" w:cs="Arial"/>
          <w:bCs/>
          <w:szCs w:val="28"/>
          <w:lang w:val="uk-UA" w:bidi="uk-UA"/>
        </w:rPr>
        <w:t>:</w:t>
      </w:r>
      <w:r w:rsidRPr="00511005">
        <w:rPr>
          <w:rFonts w:ascii="Arial" w:eastAsia="Calibri" w:hAnsi="Arial" w:cs="Arial"/>
          <w:szCs w:val="28"/>
          <w:lang w:val="uk-UA"/>
        </w:rPr>
        <w:t xml:space="preserve"> </w:t>
      </w:r>
      <w:hyperlink r:id="rId2175" w:history="1">
        <w:r w:rsidRPr="00511005">
          <w:rPr>
            <w:rFonts w:ascii="Arial" w:eastAsia="Calibri" w:hAnsi="Arial" w:cs="Arial"/>
            <w:szCs w:val="28"/>
            <w:lang w:val="pl-PL" w:bidi="uk-UA"/>
          </w:rPr>
          <w:t>https://dspace.uzhnu.edu.ua/jspui/bitstream/lib/68859/1/303746-</w:t>
        </w:r>
        <w:r w:rsidRPr="00511005">
          <w:rPr>
            <w:rFonts w:ascii="Arial" w:eastAsia="Calibri" w:hAnsi="Arial" w:cs="Arial"/>
            <w:szCs w:val="28"/>
            <w:lang w:bidi="uk-UA"/>
          </w:rPr>
          <w:t>Текст</w:t>
        </w:r>
        <w:r w:rsidRPr="00511005">
          <w:rPr>
            <w:rFonts w:ascii="Arial" w:eastAsia="Calibri" w:hAnsi="Arial" w:cs="Arial"/>
            <w:szCs w:val="28"/>
            <w:lang w:val="pl-PL" w:bidi="uk-UA"/>
          </w:rPr>
          <w:t>%20</w:t>
        </w:r>
        <w:r w:rsidRPr="00511005">
          <w:rPr>
            <w:rFonts w:ascii="Arial" w:eastAsia="Calibri" w:hAnsi="Arial" w:cs="Arial"/>
            <w:szCs w:val="28"/>
            <w:lang w:bidi="uk-UA"/>
          </w:rPr>
          <w:t>статті</w:t>
        </w:r>
        <w:r w:rsidRPr="00511005">
          <w:rPr>
            <w:rFonts w:ascii="Arial" w:eastAsia="Calibri" w:hAnsi="Arial" w:cs="Arial"/>
            <w:szCs w:val="28"/>
            <w:lang w:val="pl-PL" w:bidi="uk-UA"/>
          </w:rPr>
          <w:t>-701727-1-10-20240510.pdf</w:t>
        </w:r>
      </w:hyperlink>
      <w:r w:rsidRPr="00511005">
        <w:rPr>
          <w:rFonts w:ascii="Arial" w:eastAsia="Calibri" w:hAnsi="Arial" w:cs="Arial"/>
          <w:szCs w:val="28"/>
          <w:lang w:val="pl-PL" w:bidi="uk-UA"/>
        </w:rPr>
        <w:t xml:space="preserve">. </w:t>
      </w:r>
    </w:p>
    <w:p w14:paraId="1C053A33" w14:textId="77777777" w:rsidR="00532C25" w:rsidRPr="00511005" w:rsidRDefault="00532C25" w:rsidP="003F6A5D">
      <w:pPr>
        <w:widowControl w:val="0"/>
        <w:numPr>
          <w:ilvl w:val="0"/>
          <w:numId w:val="815"/>
        </w:numPr>
        <w:tabs>
          <w:tab w:val="left" w:pos="7088"/>
        </w:tabs>
        <w:autoSpaceDE w:val="0"/>
        <w:autoSpaceDN w:val="0"/>
        <w:adjustRightInd w:val="0"/>
        <w:spacing w:line="264" w:lineRule="auto"/>
        <w:ind w:left="-142" w:hanging="501"/>
        <w:contextualSpacing/>
        <w:jc w:val="left"/>
        <w:rPr>
          <w:rFonts w:ascii="Arial" w:eastAsia="Calibri" w:hAnsi="Arial" w:cs="Arial"/>
          <w:bCs/>
          <w:szCs w:val="28"/>
          <w:lang w:val="uk-UA" w:bidi="uk-UA"/>
        </w:rPr>
      </w:pPr>
      <w:r w:rsidRPr="00511005">
        <w:rPr>
          <w:rFonts w:ascii="Arial" w:eastAsia="Calibri" w:hAnsi="Arial" w:cs="Arial"/>
          <w:bCs/>
          <w:szCs w:val="28"/>
          <w:lang w:bidi="uk-UA"/>
        </w:rPr>
        <w:t>Фурман Я.</w:t>
      </w:r>
      <w:r w:rsidRPr="00511005">
        <w:rPr>
          <w:rFonts w:ascii="Arial" w:eastAsia="Calibri" w:hAnsi="Arial" w:cs="Arial"/>
          <w:bCs/>
          <w:szCs w:val="28"/>
          <w:lang w:val="uk-UA" w:bidi="uk-UA"/>
        </w:rPr>
        <w:t> </w:t>
      </w:r>
      <w:r w:rsidRPr="00511005">
        <w:rPr>
          <w:rFonts w:ascii="Arial" w:eastAsia="Calibri" w:hAnsi="Arial" w:cs="Arial"/>
          <w:bCs/>
          <w:szCs w:val="28"/>
          <w:lang w:bidi="uk-UA"/>
        </w:rPr>
        <w:t>В</w:t>
      </w:r>
      <w:r w:rsidRPr="00511005">
        <w:rPr>
          <w:rFonts w:ascii="Arial" w:eastAsia="Calibri" w:hAnsi="Arial" w:cs="Arial"/>
          <w:bCs/>
          <w:szCs w:val="28"/>
          <w:lang w:val="uk-UA" w:bidi="uk-UA"/>
        </w:rPr>
        <w:t xml:space="preserve">. Використання поліграфа під час проведення окремих слідчих (розшукових) дій. 2015. С. 160-162. URL: </w:t>
      </w:r>
      <w:hyperlink r:id="rId2176" w:history="1">
        <w:r w:rsidRPr="00511005">
          <w:rPr>
            <w:rFonts w:ascii="Arial" w:eastAsia="Calibri" w:hAnsi="Arial" w:cs="Arial"/>
            <w:szCs w:val="28"/>
            <w:lang w:val="pl-PL" w:bidi="uk-UA"/>
          </w:rPr>
          <w:t>https://elar.navs.edu.ua/server/api/core/bitstreams/86ac5034-4175-497d-9934-9086baa611c0/content</w:t>
        </w:r>
      </w:hyperlink>
      <w:r w:rsidRPr="00511005">
        <w:rPr>
          <w:rFonts w:ascii="Arial" w:eastAsia="Calibri" w:hAnsi="Arial" w:cs="Arial"/>
          <w:bCs/>
          <w:szCs w:val="28"/>
          <w:lang w:val="uk-UA" w:bidi="uk-UA"/>
        </w:rPr>
        <w:t xml:space="preserve"> . </w:t>
      </w:r>
    </w:p>
    <w:p w14:paraId="0F966B81" w14:textId="77777777" w:rsidR="00532C25" w:rsidRPr="00511005" w:rsidRDefault="00532C25" w:rsidP="00532C25">
      <w:pPr>
        <w:keepNext/>
        <w:spacing w:line="264" w:lineRule="auto"/>
        <w:ind w:firstLine="567"/>
        <w:rPr>
          <w:rFonts w:ascii="Arial" w:eastAsia="Arial" w:hAnsi="Arial" w:cs="Arial"/>
          <w:b/>
          <w:szCs w:val="28"/>
          <w:lang w:val="uk-UA" w:eastAsia="ru-RU"/>
        </w:rPr>
      </w:pPr>
    </w:p>
    <w:p w14:paraId="18A6F774" w14:textId="77777777" w:rsidR="00532C25" w:rsidRPr="00511005" w:rsidRDefault="00532C25" w:rsidP="00532C25">
      <w:pPr>
        <w:keepNext/>
        <w:spacing w:line="264" w:lineRule="auto"/>
        <w:ind w:firstLine="567"/>
        <w:rPr>
          <w:rFonts w:ascii="Arial" w:eastAsia="Arial" w:hAnsi="Arial" w:cs="Arial"/>
          <w:szCs w:val="28"/>
          <w:lang w:val="uk-UA" w:eastAsia="ru-RU"/>
        </w:rPr>
      </w:pPr>
      <w:r w:rsidRPr="00511005">
        <w:rPr>
          <w:rFonts w:ascii="Arial" w:eastAsia="Arial" w:hAnsi="Arial" w:cs="Arial"/>
          <w:b/>
          <w:i/>
          <w:szCs w:val="28"/>
          <w:lang w:val="uk-UA" w:eastAsia="ru-RU"/>
        </w:rPr>
        <w:t xml:space="preserve">Ключові слова: </w:t>
      </w:r>
      <w:r w:rsidRPr="00511005">
        <w:rPr>
          <w:rFonts w:ascii="Arial" w:eastAsia="Arial" w:hAnsi="Arial" w:cs="Arial"/>
          <w:bCs/>
          <w:szCs w:val="28"/>
          <w:lang w:val="uk-UA" w:eastAsia="ru-RU"/>
        </w:rPr>
        <w:t>кримінальне провадження, досудове розслідування</w:t>
      </w:r>
      <w:r w:rsidRPr="00511005">
        <w:rPr>
          <w:rFonts w:ascii="Arial" w:eastAsia="Arial" w:hAnsi="Arial" w:cs="Arial"/>
          <w:b/>
          <w:szCs w:val="28"/>
          <w:lang w:val="uk-UA" w:eastAsia="ru-RU"/>
        </w:rPr>
        <w:t xml:space="preserve">, </w:t>
      </w:r>
      <w:r w:rsidRPr="00511005">
        <w:rPr>
          <w:rFonts w:ascii="Arial" w:eastAsia="Arial" w:hAnsi="Arial" w:cs="Arial"/>
          <w:szCs w:val="28"/>
          <w:lang w:val="uk-UA" w:eastAsia="ru-RU"/>
        </w:rPr>
        <w:t xml:space="preserve">слідчі (розшукові) дії, допит, експертиза, поліграф, </w:t>
      </w:r>
      <w:r w:rsidRPr="00511005">
        <w:rPr>
          <w:rFonts w:ascii="Arial" w:eastAsia="Arial" w:hAnsi="Arial" w:cs="Arial"/>
          <w:bCs/>
          <w:szCs w:val="28"/>
          <w:lang w:val="uk-UA" w:eastAsia="ru-RU" w:bidi="uk-UA"/>
        </w:rPr>
        <w:t>спеціаліст-поліграфолог</w:t>
      </w:r>
      <w:r w:rsidRPr="00511005">
        <w:rPr>
          <w:rFonts w:ascii="Arial" w:eastAsia="Arial" w:hAnsi="Arial" w:cs="Arial"/>
          <w:szCs w:val="28"/>
          <w:lang w:val="uk-UA" w:eastAsia="ru-RU"/>
        </w:rPr>
        <w:t>, докази.</w:t>
      </w:r>
    </w:p>
    <w:p w14:paraId="586FCA79" w14:textId="77777777" w:rsidR="00532C25" w:rsidRPr="00511005" w:rsidRDefault="00532C25" w:rsidP="00532C25">
      <w:pPr>
        <w:keepNext/>
        <w:spacing w:line="264" w:lineRule="auto"/>
        <w:ind w:firstLine="567"/>
        <w:rPr>
          <w:rFonts w:ascii="Arial" w:eastAsia="Arial" w:hAnsi="Arial" w:cs="Arial"/>
          <w:bCs/>
          <w:szCs w:val="28"/>
          <w:lang w:val="uk-UA" w:eastAsia="ru-RU"/>
        </w:rPr>
      </w:pPr>
      <w:r w:rsidRPr="00511005">
        <w:rPr>
          <w:rFonts w:ascii="Arial" w:eastAsia="Arial" w:hAnsi="Arial" w:cs="Arial"/>
          <w:b/>
          <w:i/>
          <w:szCs w:val="28"/>
          <w:lang w:val="en-US" w:eastAsia="ru-RU"/>
        </w:rPr>
        <w:t xml:space="preserve">Key words: </w:t>
      </w:r>
      <w:r w:rsidRPr="00511005">
        <w:rPr>
          <w:rFonts w:ascii="Arial" w:eastAsia="Arial" w:hAnsi="Arial" w:cs="Arial"/>
          <w:bCs/>
          <w:szCs w:val="28"/>
          <w:lang w:val="en-US" w:eastAsia="ru-RU"/>
        </w:rPr>
        <w:t>criminal proceedings, pre-trial investigation, investigative (detective) actions, interrogation, examination, polygraph, polygraph examiner, evidence.</w:t>
      </w:r>
    </w:p>
    <w:p w14:paraId="53B759AD" w14:textId="77777777" w:rsidR="00532C25" w:rsidRPr="00511005" w:rsidRDefault="00532C25" w:rsidP="00532C25">
      <w:pPr>
        <w:keepNext/>
        <w:spacing w:line="264" w:lineRule="auto"/>
        <w:ind w:firstLine="567"/>
        <w:rPr>
          <w:rFonts w:ascii="Arial" w:eastAsia="Arial" w:hAnsi="Arial" w:cs="Arial"/>
          <w:bCs/>
          <w:i/>
          <w:iCs/>
          <w:szCs w:val="28"/>
          <w:lang w:val="uk-UA" w:eastAsia="ru-RU"/>
        </w:rPr>
      </w:pPr>
      <w:r w:rsidRPr="00511005">
        <w:rPr>
          <w:rFonts w:ascii="Arial" w:eastAsia="Arial" w:hAnsi="Arial" w:cs="Arial"/>
          <w:b/>
          <w:bCs/>
          <w:i/>
          <w:iCs/>
          <w:szCs w:val="28"/>
          <w:lang w:val="uk-UA" w:eastAsia="ru-RU"/>
        </w:rPr>
        <w:t xml:space="preserve">Науковий керівник: </w:t>
      </w:r>
      <w:r w:rsidRPr="00511005">
        <w:rPr>
          <w:rFonts w:ascii="Arial" w:eastAsia="Arial" w:hAnsi="Arial" w:cs="Arial"/>
          <w:bCs/>
          <w:i/>
          <w:iCs/>
          <w:szCs w:val="28"/>
          <w:lang w:val="uk-UA" w:eastAsia="ru-RU"/>
        </w:rPr>
        <w:t>к.ю.н., доцент Мурзановська А.В.</w:t>
      </w:r>
    </w:p>
    <w:p w14:paraId="3BF813E5" w14:textId="77777777" w:rsidR="00532C25" w:rsidRPr="00511005" w:rsidRDefault="00532C25" w:rsidP="00532C25">
      <w:pPr>
        <w:tabs>
          <w:tab w:val="left" w:pos="993"/>
          <w:tab w:val="left" w:pos="7088"/>
        </w:tabs>
        <w:spacing w:line="264" w:lineRule="auto"/>
        <w:ind w:firstLine="0"/>
        <w:rPr>
          <w:rFonts w:ascii="Arial" w:eastAsia="Arial" w:hAnsi="Arial" w:cs="Arial"/>
          <w:bCs/>
          <w:szCs w:val="28"/>
          <w:lang w:val="uk-UA" w:eastAsia="ru-RU" w:bidi="uk-UA"/>
        </w:rPr>
      </w:pPr>
    </w:p>
    <w:p w14:paraId="37200E0F" w14:textId="77777777" w:rsidR="00532C25" w:rsidRPr="00511005" w:rsidRDefault="00532C25" w:rsidP="00532C25">
      <w:pPr>
        <w:spacing w:line="264" w:lineRule="auto"/>
        <w:ind w:firstLine="0"/>
        <w:rPr>
          <w:rFonts w:ascii="Arial" w:eastAsia="Arial" w:hAnsi="Arial" w:cs="Arial"/>
          <w:szCs w:val="28"/>
          <w:lang w:val="uk-UA" w:eastAsia="ru-RU"/>
        </w:rPr>
      </w:pPr>
    </w:p>
    <w:p w14:paraId="63C8356E" w14:textId="77777777" w:rsidR="00532C25" w:rsidRPr="00511005" w:rsidRDefault="00532C25" w:rsidP="00532C25">
      <w:pPr>
        <w:spacing w:line="264" w:lineRule="auto"/>
        <w:ind w:firstLine="0"/>
        <w:jc w:val="center"/>
        <w:rPr>
          <w:rFonts w:ascii="Arial" w:eastAsia="Arial" w:hAnsi="Arial" w:cs="Arial"/>
          <w:b/>
          <w:i/>
          <w:szCs w:val="28"/>
          <w:lang w:val="en-US" w:eastAsia="ru-RU"/>
        </w:rPr>
      </w:pPr>
      <w:r w:rsidRPr="00511005">
        <w:rPr>
          <w:rFonts w:ascii="Arial" w:eastAsia="Arial" w:hAnsi="Arial" w:cs="Arial"/>
          <w:b/>
          <w:i/>
          <w:szCs w:val="28"/>
          <w:lang w:val="en-US" w:eastAsia="ru-RU"/>
        </w:rPr>
        <w:t>Kasatkin Volodymyr</w:t>
      </w:r>
    </w:p>
    <w:p w14:paraId="12B6B0F4" w14:textId="77777777" w:rsidR="00532C25" w:rsidRPr="00511005" w:rsidRDefault="00532C25" w:rsidP="00532C25">
      <w:pPr>
        <w:spacing w:line="264" w:lineRule="auto"/>
        <w:ind w:firstLine="0"/>
        <w:jc w:val="center"/>
        <w:rPr>
          <w:rFonts w:ascii="Arial" w:eastAsia="Arial" w:hAnsi="Arial" w:cs="Arial"/>
          <w:bCs/>
          <w:iCs/>
          <w:szCs w:val="28"/>
          <w:lang w:val="uk-UA" w:eastAsia="ru-RU"/>
        </w:rPr>
      </w:pPr>
      <w:r w:rsidRPr="00511005">
        <w:rPr>
          <w:rFonts w:ascii="Arial" w:eastAsia="Arial" w:hAnsi="Arial" w:cs="Arial"/>
          <w:bCs/>
          <w:iCs/>
          <w:szCs w:val="28"/>
          <w:lang w:val="uk-UA" w:eastAsia="ru-RU"/>
        </w:rPr>
        <w:t>4th year student of the Faculty of Advocacy and Anti-Corruption Activities</w:t>
      </w:r>
    </w:p>
    <w:p w14:paraId="05AF3B03" w14:textId="77777777" w:rsidR="00532C25" w:rsidRPr="00511005" w:rsidRDefault="00532C25" w:rsidP="00532C25">
      <w:pPr>
        <w:spacing w:line="264" w:lineRule="auto"/>
        <w:ind w:firstLine="0"/>
        <w:jc w:val="center"/>
        <w:rPr>
          <w:rFonts w:ascii="Arial" w:eastAsia="Arial" w:hAnsi="Arial" w:cs="Arial"/>
          <w:bCs/>
          <w:iCs/>
          <w:szCs w:val="28"/>
          <w:lang w:val="uk-UA" w:eastAsia="ru-RU"/>
        </w:rPr>
      </w:pPr>
      <w:r w:rsidRPr="00511005">
        <w:rPr>
          <w:rFonts w:ascii="Arial" w:eastAsia="Arial" w:hAnsi="Arial" w:cs="Arial"/>
          <w:bCs/>
          <w:iCs/>
          <w:szCs w:val="28"/>
          <w:lang w:val="uk-UA" w:eastAsia="ru-RU"/>
        </w:rPr>
        <w:t>National University «Odesa Law Academy»</w:t>
      </w:r>
    </w:p>
    <w:p w14:paraId="2E77A8AC" w14:textId="77777777" w:rsidR="00532C25" w:rsidRPr="00511005" w:rsidRDefault="00532C25" w:rsidP="00532C25">
      <w:pPr>
        <w:spacing w:line="264" w:lineRule="auto"/>
        <w:ind w:firstLine="0"/>
        <w:rPr>
          <w:rFonts w:ascii="Arial" w:eastAsia="Arial" w:hAnsi="Arial" w:cs="Arial"/>
          <w:bCs/>
          <w:iCs/>
          <w:szCs w:val="28"/>
          <w:lang w:val="uk-UA" w:eastAsia="ru-RU"/>
        </w:rPr>
      </w:pPr>
    </w:p>
    <w:p w14:paraId="3F8EAC5F" w14:textId="77777777" w:rsidR="00532C25" w:rsidRPr="00511005" w:rsidRDefault="00532C25" w:rsidP="00532C25">
      <w:pPr>
        <w:spacing w:line="264" w:lineRule="auto"/>
        <w:ind w:firstLine="0"/>
        <w:jc w:val="center"/>
        <w:rPr>
          <w:rFonts w:ascii="Arial" w:eastAsia="Arial" w:hAnsi="Arial" w:cs="Arial"/>
          <w:b/>
          <w:bCs/>
          <w:iCs/>
          <w:szCs w:val="28"/>
          <w:lang w:val="uk-UA" w:eastAsia="ru-RU"/>
        </w:rPr>
      </w:pPr>
      <w:r w:rsidRPr="00511005">
        <w:rPr>
          <w:rFonts w:ascii="Arial" w:eastAsia="Arial" w:hAnsi="Arial" w:cs="Arial"/>
          <w:b/>
          <w:bCs/>
          <w:iCs/>
          <w:szCs w:val="28"/>
          <w:lang w:val="uk-UA" w:eastAsia="ru-RU"/>
        </w:rPr>
        <w:t>SPECIFIC ASPECTS OF THE PECULIARITIES OF PRE-TRIAL INVESTIGATION OF WAR CRIMES</w:t>
      </w:r>
    </w:p>
    <w:p w14:paraId="5F7782D7"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t>The morning of February 24, 2022, changed the life of every Ukrainian: the russian federation treacherously launched a full-scale war against Ukraine. Immediately after the invasion, the President of Ukraine, Volodymyr Zelenskyy, imposed martial law throughout the territory of our state [4]. Thus, the norms of Section IX¹ of the Criminal Procedure Code of Ukraine (hereinafter – CPC), which concern the special regime of pre-trial investigation and judicial review under martial law [2], came into effect. It can be logically argued that in Ukraine, war crimes can only be committed during martial law; therefore, in my research, I will highlight some aspects of the peculiarities of the pre-trial investigation of war crimes committed by the russian federation and its armed forces through the prism of the norms of Section IX¹ of the CPC of Ukraine [2].</w:t>
      </w:r>
    </w:p>
    <w:p w14:paraId="06E35324"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t>The concept of "war crime" in international criminal law refers to violations of the laws and customs of war, the main list of which is contained in the Rome Statute [9]. There is no clear definition in Ukrainian legislation, which sometimes leads to confusion with "military crime," although some articles of the Criminal Code of Ukraine (hereinafter – CCU) (for example, regarding violence against the civilian population, treatment of prisoners of war, the symbols of the Red Cross, and looting) are essentially war crimes [1].</w:t>
      </w:r>
    </w:p>
    <w:p w14:paraId="59F9482B"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t>The definition of looting in the CCU is narrower than in international documents: theft from the dead or wounded, while international law considers the seizure of any property without the owner's consent. Article 438 of the CCU, "Violation of the Laws and Customs of War," is a universal norm that provides for liability for cruel treatment, deportation, plunder, the use of prohibited weapons, and other violations of international treaties, with penalties ranging from eight years to life imprisonment [1].</w:t>
      </w:r>
    </w:p>
    <w:p w14:paraId="4B528D63"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lastRenderedPageBreak/>
        <w:t>International law establishes not only individual but also command responsibility for war crimes (Article 86 of Additional Protocol I to the Geneva Conventions) [6]. A commander is responsible for the actions of subordinates if they knew or should have known about the violations and did not take measures to prevent them. Importantly, the statute of limitations does not apply to war crimes and crimes against humanity, as enshrined in the relevant UN and Council of Europe conventions [7].</w:t>
      </w:r>
    </w:p>
    <w:p w14:paraId="3906DACB"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t>Since February 24, 2022, when russia launched a full-scale war against Ukraine, numerous war crimes have been recorded. According to the Office of the Prosecutor General of Ukraine, over 133,000 criminal proceedings have been initiated regarding war crimes committed by the russian side [12]. Numerous cases of the destruction of residential buildings, the killing of civilians, and the looting of property by russian military personnel in the occupied Ukrainian territories have been documented.</w:t>
      </w:r>
    </w:p>
    <w:p w14:paraId="570470B1"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t>To optimize the investigation process, coordination has been established between the pre-trial investigation bodies, facilitated by the prosecutor's office, which provides procedural guidance. This approach helps to avoid duplication of actions, strengthen cooperation, and distribute responsibilities among different investigative structures to prevent the same work from being done multiple times. Information exchange has also been налагоджено ( налагоджено translates to " налагоджено" or "established"), ensuring that investigators and prosecutors possess up-to-date information about its availability and scope, as well as existing databases and registers, which saves time on its search [11].</w:t>
      </w:r>
    </w:p>
    <w:p w14:paraId="6064130F"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t>According to Article 216 of the CPC of Ukraine, the investigation of crimes covered by Articles 436, as well as 437-447 of the CCU, falls under the jurisdiction of the security agencies, namely, it is carried out by investigators of the Security Service of Ukraine (SBU) [2]. However, in certain situations, depending on the subject matter, the investigation of such crimes may be conducted by the State Bureau of Investigation (DBR). In cases where, during the investigation, it is revealed that part of the related crimes falls under the investigation of the SBU, and another part falls under the National Police or another body responsible for pre-trial investigation, the final determination of jurisdiction is made by the prosecutor in accordance with Part 10 of Article 216 of the CPC [2].</w:t>
      </w:r>
    </w:p>
    <w:p w14:paraId="7A3C21B4"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t xml:space="preserve">According to the general procedure, the registration of war crimes takes place in the Unified Register of Pre-trial Investigations (URPI). However, in the event of the lack of technical ability to access the URPI, the investigator or prosecutor may decide to initiate an investigation by issuing a corresponding resolution. This resolution must contain all the information that is usually entered into the URPI (in accordance with Article 214 of the CPC), as well as an indication of the impossibility of entering data into the register [2]. As soon as the technical capability is restored, all information must be entered into the URPI. The Supreme </w:t>
      </w:r>
      <w:r w:rsidRPr="00511005">
        <w:rPr>
          <w:rFonts w:ascii="Arial" w:eastAsia="Arial" w:hAnsi="Arial" w:cs="Arial"/>
          <w:bCs/>
          <w:iCs/>
          <w:szCs w:val="28"/>
          <w:lang w:val="uk-UA" w:eastAsia="ru-RU"/>
        </w:rPr>
        <w:lastRenderedPageBreak/>
        <w:t>Court, even before legislative changes, emphasized the possibility of such an approach for all criminal offenses [5].</w:t>
      </w:r>
    </w:p>
    <w:p w14:paraId="6FE5EEDF"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t>In cases of war crimes, in accordance with the updated Article 615 of the CPC, the head of the prosecutor's office during martial law has the right to authorize temporary access to items and documents (TAID), searches, covert investigative (search) actions (CISA), impose seizure of property, extend the terms of investigation, authorize the obtaining of samples for examination, and carry out coercive conduct or detention for coercive conduct [2]. These powers are applied in case it is impossible for the investigating judge to perform them within the established deadlines. It is important that the same rules and requirements apply as when obtaining permission from an investigating judge, which the head of the prosecutor's office must verify and reflect in their decision. Unlike the previous version, these expanded powers are granted specifically to the head of the relevant prosecutor's office.</w:t>
      </w:r>
    </w:p>
    <w:p w14:paraId="6309E436"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t>I would also like to draw attention to the fact that if there is a suspected person, the prosecutor is responsible for ensuring the drafting and transfer of the indictment to the court before the expiration of the pre-trial investigation period. However, according to the new wording of Clause 3 of Part 1 of Article 615 of the CPC of Ukraine (as amended by Law № 2111-IX), the suspension of the pre-trial investigation period for the duration of martial law is provided for in the event of an objective impossibility to appeal to the court with an indictment [3].</w:t>
      </w:r>
    </w:p>
    <w:p w14:paraId="0D84C78F"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t>It should be noted that if a special pre-trial investigation (in absentia) was conducted in the case, its term is not automatically extended for the period of judicial review. When transferring the indictment to the court in such a case, the prosecutor must file a motion for a special judicial proceeding (Part 3 of Article 323 of the CPC) [2].</w:t>
      </w:r>
    </w:p>
    <w:p w14:paraId="39E8678E" w14:textId="77777777" w:rsidR="00532C25" w:rsidRPr="00511005" w:rsidRDefault="00532C25" w:rsidP="00532C25">
      <w:pPr>
        <w:spacing w:line="264" w:lineRule="auto"/>
        <w:ind w:firstLine="708"/>
        <w:rPr>
          <w:rFonts w:ascii="Arial" w:eastAsia="Arial" w:hAnsi="Arial" w:cs="Arial"/>
          <w:bCs/>
          <w:iCs/>
          <w:szCs w:val="28"/>
          <w:lang w:val="uk-UA" w:eastAsia="ru-RU"/>
        </w:rPr>
      </w:pPr>
      <w:r w:rsidRPr="00511005">
        <w:rPr>
          <w:rFonts w:ascii="Arial" w:eastAsia="Arial" w:hAnsi="Arial" w:cs="Arial"/>
          <w:bCs/>
          <w:iCs/>
          <w:szCs w:val="28"/>
          <w:lang w:val="uk-UA" w:eastAsia="ru-RU"/>
        </w:rPr>
        <w:t>In summary, it can be stated that as a result of russia's full-scale invasion of Ukraine, Ukrainian legislation has activated a special procedure for the pre-trial investigation of war crimes, characterized by the absence of a statute of limitations and the responsibility of not only perpetrators but also commanders. The procedural norms introduced by martial law grant prosecutors expanded powers for prompt response to crimes and provide mechanisms for registering proceedings in the absence of access to the URPI, as well as the possibility of suspending investigation periods in case of objective obstacles to the transfer of cases to court. Thus, Ukraine is adapting its legal system for the effective investigation and punishment of war crimes committed in the context of armed aggression.</w:t>
      </w:r>
    </w:p>
    <w:p w14:paraId="23D98BAD" w14:textId="77777777" w:rsidR="00532C25" w:rsidRPr="00511005" w:rsidRDefault="00532C25" w:rsidP="00532C25">
      <w:pPr>
        <w:spacing w:line="264" w:lineRule="auto"/>
        <w:ind w:firstLine="0"/>
        <w:rPr>
          <w:rFonts w:ascii="Arial" w:eastAsia="Arial" w:hAnsi="Arial" w:cs="Arial"/>
          <w:iCs/>
          <w:szCs w:val="28"/>
          <w:lang w:val="uk-UA" w:eastAsia="ru-RU"/>
        </w:rPr>
      </w:pPr>
    </w:p>
    <w:p w14:paraId="6BD0448F" w14:textId="77777777" w:rsidR="00532C25" w:rsidRPr="00511005" w:rsidRDefault="00532C25" w:rsidP="00532C25">
      <w:pPr>
        <w:spacing w:line="264" w:lineRule="auto"/>
        <w:ind w:firstLine="0"/>
        <w:jc w:val="center"/>
        <w:rPr>
          <w:rFonts w:ascii="Arial" w:eastAsia="Arial" w:hAnsi="Arial" w:cs="Arial"/>
          <w:b/>
          <w:bCs/>
          <w:iCs/>
          <w:szCs w:val="28"/>
          <w:lang w:val="uk-UA" w:eastAsia="ru-RU"/>
        </w:rPr>
      </w:pPr>
      <w:r w:rsidRPr="00511005">
        <w:rPr>
          <w:rFonts w:ascii="Arial" w:eastAsia="Arial" w:hAnsi="Arial" w:cs="Arial"/>
          <w:b/>
          <w:bCs/>
          <w:iCs/>
          <w:szCs w:val="28"/>
          <w:lang w:val="en-US" w:eastAsia="ru-RU"/>
        </w:rPr>
        <w:t>References</w:t>
      </w:r>
    </w:p>
    <w:p w14:paraId="2FE3248D" w14:textId="77777777" w:rsidR="00532C25" w:rsidRPr="00511005" w:rsidRDefault="00532C25" w:rsidP="00532C25">
      <w:pPr>
        <w:spacing w:line="264" w:lineRule="auto"/>
        <w:ind w:left="360" w:firstLine="348"/>
        <w:rPr>
          <w:rFonts w:ascii="Arial" w:eastAsia="Times New Roman" w:hAnsi="Arial" w:cs="Arial"/>
          <w:szCs w:val="28"/>
          <w:lang w:val="uk-UA" w:eastAsia="ru-RU"/>
        </w:rPr>
      </w:pPr>
      <w:r w:rsidRPr="00511005">
        <w:rPr>
          <w:rFonts w:ascii="Arial" w:eastAsia="Times New Roman" w:hAnsi="Arial" w:cs="Arial"/>
          <w:szCs w:val="28"/>
          <w:lang w:val="uk-UA" w:eastAsia="ru-RU"/>
        </w:rPr>
        <w:t>1.</w:t>
      </w:r>
      <w:r w:rsidRPr="00511005">
        <w:rPr>
          <w:rFonts w:ascii="Arial" w:eastAsia="Times New Roman" w:hAnsi="Arial" w:cs="Arial"/>
          <w:szCs w:val="28"/>
          <w:lang w:val="en-US" w:eastAsia="ru-RU"/>
        </w:rPr>
        <w:t xml:space="preserve"> Criminal Code of Ukraine dated April 5, 2001, № 2341-</w:t>
      </w:r>
      <w:r w:rsidRPr="00511005">
        <w:rPr>
          <w:rFonts w:ascii="Arial" w:eastAsia="Times New Roman" w:hAnsi="Arial" w:cs="Arial"/>
          <w:szCs w:val="28"/>
          <w:lang w:val="ru" w:eastAsia="ru-RU"/>
        </w:rPr>
        <w:t>ІІІ</w:t>
      </w:r>
      <w:r w:rsidRPr="00511005">
        <w:rPr>
          <w:rFonts w:ascii="Arial" w:eastAsia="Times New Roman" w:hAnsi="Arial" w:cs="Arial"/>
          <w:szCs w:val="28"/>
          <w:lang w:val="en-US" w:eastAsia="ru-RU"/>
        </w:rPr>
        <w:t xml:space="preserve"> // Verkhovna Rada of Ukraine Gazette. - 2001. - № 25-26. - Art. 131. URL: </w:t>
      </w:r>
      <w:hyperlink r:id="rId2177" w:anchor="Text" w:tgtFrame="_blank" w:history="1">
        <w:r w:rsidRPr="00511005">
          <w:rPr>
            <w:rFonts w:ascii="Arial" w:eastAsia="Arial" w:hAnsi="Arial" w:cs="Arial"/>
            <w:szCs w:val="28"/>
            <w:lang w:val="en-US" w:eastAsia="ru-RU"/>
          </w:rPr>
          <w:t>https://zakon.rada.gov.ua/laws/show/2341-14#Text</w:t>
        </w:r>
      </w:hyperlink>
      <w:r w:rsidRPr="00511005">
        <w:rPr>
          <w:rFonts w:ascii="Arial" w:eastAsia="Arial" w:hAnsi="Arial" w:cs="Arial"/>
          <w:szCs w:val="28"/>
          <w:lang w:val="en-US" w:eastAsia="ru-RU"/>
        </w:rPr>
        <w:t>.</w:t>
      </w:r>
    </w:p>
    <w:p w14:paraId="37FDFFC7" w14:textId="77777777" w:rsidR="00532C25" w:rsidRPr="00511005" w:rsidRDefault="00532C25" w:rsidP="00532C25">
      <w:pPr>
        <w:spacing w:line="264" w:lineRule="auto"/>
        <w:ind w:left="360" w:firstLine="348"/>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2. </w:t>
      </w:r>
      <w:r w:rsidRPr="00511005">
        <w:rPr>
          <w:rFonts w:ascii="Arial" w:eastAsia="Times New Roman" w:hAnsi="Arial" w:cs="Arial"/>
          <w:szCs w:val="28"/>
          <w:lang w:val="en-US" w:eastAsia="ru-RU"/>
        </w:rPr>
        <w:t xml:space="preserve">Criminal Procedure Code of Ukraine dated April 13, 2012, № 4651-VI // Verkhovna Rada of Ukraine Gazette. - 2013. - № 9-10, № 11-12, № 13. - Art. 88. URL: </w:t>
      </w:r>
      <w:hyperlink r:id="rId2178" w:anchor="Text" w:tgtFrame="_blank" w:history="1">
        <w:r w:rsidRPr="00511005">
          <w:rPr>
            <w:rFonts w:ascii="Arial" w:eastAsia="Arial" w:hAnsi="Arial" w:cs="Arial"/>
            <w:szCs w:val="28"/>
            <w:lang w:val="en-US" w:eastAsia="ru-RU"/>
          </w:rPr>
          <w:t>https://zakon.rada.gov.ua/laws/show/4651-17#Text</w:t>
        </w:r>
      </w:hyperlink>
      <w:r w:rsidRPr="00511005">
        <w:rPr>
          <w:rFonts w:ascii="Arial" w:eastAsia="Arial" w:hAnsi="Arial" w:cs="Arial"/>
          <w:szCs w:val="28"/>
          <w:lang w:val="en-US" w:eastAsia="ru-RU"/>
        </w:rPr>
        <w:t>.</w:t>
      </w:r>
    </w:p>
    <w:p w14:paraId="264A44DE" w14:textId="77777777" w:rsidR="00532C25" w:rsidRPr="00511005" w:rsidRDefault="00532C25" w:rsidP="00532C25">
      <w:pPr>
        <w:spacing w:line="264" w:lineRule="auto"/>
        <w:ind w:left="360" w:firstLine="34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 </w:t>
      </w:r>
      <w:r w:rsidRPr="00511005">
        <w:rPr>
          <w:rFonts w:ascii="Arial" w:eastAsia="Times New Roman" w:hAnsi="Arial" w:cs="Arial"/>
          <w:szCs w:val="28"/>
          <w:lang w:val="en-US" w:eastAsia="ru-RU"/>
        </w:rPr>
        <w:t>On Amendments to the Criminal Procedure Code of Ukraine and the Law of Ukraine "On Pre-trial Detention" Regarding Additional Regulation of Ensuring the Activities of Law Enforcement Agencies under Martial Law: Law of Ukraine dated March 3, 2022, № 2111-</w:t>
      </w:r>
      <w:r w:rsidRPr="00511005">
        <w:rPr>
          <w:rFonts w:ascii="Arial" w:eastAsia="Times New Roman" w:hAnsi="Arial" w:cs="Arial"/>
          <w:szCs w:val="28"/>
          <w:lang w:val="ru" w:eastAsia="ru-RU"/>
        </w:rPr>
        <w:t>ІХ</w:t>
      </w:r>
      <w:r w:rsidRPr="00511005">
        <w:rPr>
          <w:rFonts w:ascii="Arial" w:eastAsia="Times New Roman" w:hAnsi="Arial" w:cs="Arial"/>
          <w:szCs w:val="28"/>
          <w:lang w:val="en-US" w:eastAsia="ru-RU"/>
        </w:rPr>
        <w:t xml:space="preserve">. URL: </w:t>
      </w:r>
      <w:hyperlink r:id="rId2179" w:anchor="Text" w:tgtFrame="_blank" w:history="1">
        <w:r w:rsidRPr="00511005">
          <w:rPr>
            <w:rFonts w:ascii="Arial" w:eastAsia="Arial" w:hAnsi="Arial" w:cs="Arial"/>
            <w:szCs w:val="28"/>
            <w:lang w:val="en-US" w:eastAsia="ru-RU"/>
          </w:rPr>
          <w:t>https://zakon.rada.gov.ua/laws/show/2111-20#Text</w:t>
        </w:r>
      </w:hyperlink>
      <w:r w:rsidRPr="00511005">
        <w:rPr>
          <w:rFonts w:ascii="Arial" w:eastAsia="Arial" w:hAnsi="Arial" w:cs="Arial"/>
          <w:szCs w:val="28"/>
          <w:lang w:val="en-US" w:eastAsia="ru-RU"/>
        </w:rPr>
        <w:t>.</w:t>
      </w:r>
    </w:p>
    <w:p w14:paraId="0A40CEBF" w14:textId="77777777" w:rsidR="00532C25" w:rsidRPr="00511005" w:rsidRDefault="00532C25" w:rsidP="00532C25">
      <w:pPr>
        <w:spacing w:line="264" w:lineRule="auto"/>
        <w:ind w:left="360" w:firstLine="34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4. </w:t>
      </w:r>
      <w:r w:rsidRPr="00511005">
        <w:rPr>
          <w:rFonts w:ascii="Arial" w:eastAsia="Times New Roman" w:hAnsi="Arial" w:cs="Arial"/>
          <w:szCs w:val="28"/>
          <w:lang w:val="en-US" w:eastAsia="ru-RU"/>
        </w:rPr>
        <w:t xml:space="preserve">On the Introduction of Martial Law in Ukraine: Decree of the President of Ukraine dated February 24, 2022, № 64/2022. URL: </w:t>
      </w:r>
      <w:hyperlink r:id="rId2180" w:anchor="Text" w:tgtFrame="_blank" w:history="1">
        <w:r w:rsidRPr="00511005">
          <w:rPr>
            <w:rFonts w:ascii="Arial" w:eastAsia="Arial" w:hAnsi="Arial" w:cs="Arial"/>
            <w:szCs w:val="28"/>
            <w:lang w:val="en-US" w:eastAsia="ru-RU"/>
          </w:rPr>
          <w:t>https://zakon.rada.gov.ua/laws/show/64/2022#Text</w:t>
        </w:r>
      </w:hyperlink>
      <w:r w:rsidRPr="00511005">
        <w:rPr>
          <w:rFonts w:ascii="Arial" w:eastAsia="Arial" w:hAnsi="Arial" w:cs="Arial"/>
          <w:szCs w:val="28"/>
          <w:lang w:val="en-US" w:eastAsia="ru-RU"/>
        </w:rPr>
        <w:t>.</w:t>
      </w:r>
    </w:p>
    <w:p w14:paraId="73481D8C" w14:textId="77777777" w:rsidR="00532C25" w:rsidRPr="00511005" w:rsidRDefault="00532C25" w:rsidP="00532C25">
      <w:pPr>
        <w:spacing w:line="264" w:lineRule="auto"/>
        <w:ind w:left="360" w:firstLine="34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5. </w:t>
      </w:r>
      <w:r w:rsidRPr="00511005">
        <w:rPr>
          <w:rFonts w:ascii="Arial" w:eastAsia="Times New Roman" w:hAnsi="Arial" w:cs="Arial"/>
          <w:szCs w:val="28"/>
          <w:lang w:val="en-US" w:eastAsia="ru-RU"/>
        </w:rPr>
        <w:t xml:space="preserve">Regarding Certain Issues of the Implementation of Criminal Proceedings under Martial Law: Letter of the Supreme Court dated March 3, 2022, № 1/0/2-22. URL: </w:t>
      </w:r>
      <w:hyperlink r:id="rId2181" w:tgtFrame="_blank" w:history="1">
        <w:r w:rsidRPr="00511005">
          <w:rPr>
            <w:rFonts w:ascii="Arial" w:eastAsia="Arial" w:hAnsi="Arial" w:cs="Arial"/>
            <w:szCs w:val="28"/>
            <w:lang w:val="en-US" w:eastAsia="ru-RU"/>
          </w:rPr>
          <w:t>https://ips.ligazakon.net/document/VSS00820</w:t>
        </w:r>
      </w:hyperlink>
      <w:r w:rsidRPr="00511005">
        <w:rPr>
          <w:rFonts w:ascii="Arial" w:eastAsia="Arial" w:hAnsi="Arial" w:cs="Arial"/>
          <w:szCs w:val="28"/>
          <w:lang w:val="en-US" w:eastAsia="ru-RU"/>
        </w:rPr>
        <w:t>.</w:t>
      </w:r>
    </w:p>
    <w:p w14:paraId="30A26B7D" w14:textId="77777777" w:rsidR="00532C25" w:rsidRPr="00511005" w:rsidRDefault="00532C25" w:rsidP="00532C25">
      <w:pPr>
        <w:spacing w:line="264" w:lineRule="auto"/>
        <w:ind w:left="360" w:firstLine="34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6. </w:t>
      </w:r>
      <w:r w:rsidRPr="00511005">
        <w:rPr>
          <w:rFonts w:ascii="Arial" w:eastAsia="Times New Roman" w:hAnsi="Arial" w:cs="Arial"/>
          <w:szCs w:val="28"/>
          <w:lang w:val="en-US" w:eastAsia="ru-RU"/>
        </w:rPr>
        <w:t xml:space="preserve">Additional Protocol to the Geneva Conventions of August 12, 1949, relating to the Protection of Victims of International Armed Conflicts (Protocol I), dated June 8, 1977. URL: </w:t>
      </w:r>
      <w:hyperlink r:id="rId2182" w:anchor="Text" w:tgtFrame="_blank" w:history="1">
        <w:r w:rsidRPr="00511005">
          <w:rPr>
            <w:rFonts w:ascii="Arial" w:eastAsia="Arial" w:hAnsi="Arial" w:cs="Arial"/>
            <w:szCs w:val="28"/>
            <w:lang w:val="en-US" w:eastAsia="ru-RU"/>
          </w:rPr>
          <w:t>https://zakon.rada.gov.ua/laws/show/995_199#Text</w:t>
        </w:r>
      </w:hyperlink>
      <w:r w:rsidRPr="00511005">
        <w:rPr>
          <w:rFonts w:ascii="Arial" w:eastAsia="Times New Roman" w:hAnsi="Arial" w:cs="Arial"/>
          <w:szCs w:val="28"/>
          <w:lang w:val="uk-UA" w:eastAsia="ru-RU"/>
        </w:rPr>
        <w:t>.</w:t>
      </w:r>
    </w:p>
    <w:p w14:paraId="620255FA" w14:textId="77777777" w:rsidR="00532C25" w:rsidRPr="00511005" w:rsidRDefault="00532C25" w:rsidP="00532C25">
      <w:pPr>
        <w:spacing w:line="264" w:lineRule="auto"/>
        <w:ind w:left="360" w:firstLine="348"/>
        <w:rPr>
          <w:rFonts w:ascii="Arial" w:eastAsia="Times New Roman" w:hAnsi="Arial" w:cs="Arial"/>
          <w:szCs w:val="28"/>
          <w:lang w:val="en-US" w:eastAsia="ru-RU"/>
        </w:rPr>
      </w:pPr>
      <w:r w:rsidRPr="00511005">
        <w:rPr>
          <w:rFonts w:ascii="Arial" w:eastAsia="Times New Roman" w:hAnsi="Arial" w:cs="Arial"/>
          <w:szCs w:val="28"/>
          <w:lang w:val="uk-UA" w:eastAsia="ru-RU"/>
        </w:rPr>
        <w:t xml:space="preserve">7. </w:t>
      </w:r>
      <w:r w:rsidRPr="00511005">
        <w:rPr>
          <w:rFonts w:ascii="Arial" w:eastAsia="Times New Roman" w:hAnsi="Arial" w:cs="Arial"/>
          <w:szCs w:val="28"/>
          <w:lang w:val="en-US" w:eastAsia="ru-RU"/>
        </w:rPr>
        <w:t xml:space="preserve">European Convention on the Non-Applicability of Statutory Limitation to Crimes against Humanity and War Crimes dated January 25, 1974. URL: </w:t>
      </w:r>
      <w:hyperlink r:id="rId2183" w:tgtFrame="_blank" w:history="1">
        <w:r w:rsidRPr="00511005">
          <w:rPr>
            <w:rFonts w:ascii="Arial" w:eastAsia="Arial" w:hAnsi="Arial" w:cs="Arial"/>
            <w:szCs w:val="28"/>
            <w:lang w:val="en-US" w:eastAsia="ru-RU"/>
          </w:rPr>
          <w:t>https://zakon.rada.gov.ua/laws/show/994_125</w:t>
        </w:r>
      </w:hyperlink>
      <w:r w:rsidRPr="00511005">
        <w:rPr>
          <w:rFonts w:ascii="Arial" w:eastAsia="Arial" w:hAnsi="Arial" w:cs="Arial"/>
          <w:szCs w:val="28"/>
          <w:lang w:val="en-US" w:eastAsia="ru-RU"/>
        </w:rPr>
        <w:t>.</w:t>
      </w:r>
      <w:r w:rsidRPr="00511005">
        <w:rPr>
          <w:rFonts w:ascii="Arial" w:eastAsia="Times New Roman" w:hAnsi="Arial" w:cs="Arial"/>
          <w:szCs w:val="28"/>
          <w:lang w:val="en-US" w:eastAsia="ru-RU"/>
        </w:rPr>
        <w:t xml:space="preserve"> </w:t>
      </w:r>
    </w:p>
    <w:p w14:paraId="0EA9412C" w14:textId="77777777" w:rsidR="00532C25" w:rsidRPr="00511005" w:rsidRDefault="00532C25" w:rsidP="00532C25">
      <w:pPr>
        <w:spacing w:line="264" w:lineRule="auto"/>
        <w:ind w:left="360" w:firstLine="34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8. </w:t>
      </w:r>
      <w:r w:rsidRPr="00511005">
        <w:rPr>
          <w:rFonts w:ascii="Arial" w:eastAsia="Times New Roman" w:hAnsi="Arial" w:cs="Arial"/>
          <w:szCs w:val="28"/>
          <w:lang w:val="en-US" w:eastAsia="ru-RU"/>
        </w:rPr>
        <w:t xml:space="preserve">Geneva Conventions. </w:t>
      </w:r>
      <w:r w:rsidRPr="00511005">
        <w:rPr>
          <w:rFonts w:ascii="Arial" w:eastAsia="Times New Roman" w:hAnsi="Arial" w:cs="Arial"/>
          <w:szCs w:val="28"/>
          <w:lang w:val="pl-PL" w:eastAsia="ru-RU"/>
        </w:rPr>
        <w:t xml:space="preserve">URL: </w:t>
      </w:r>
      <w:hyperlink r:id="rId2184" w:tgtFrame="_blank" w:history="1">
        <w:r w:rsidRPr="00511005">
          <w:rPr>
            <w:rFonts w:ascii="Arial" w:eastAsia="Arial" w:hAnsi="Arial" w:cs="Arial"/>
            <w:szCs w:val="28"/>
            <w:lang w:val="pl-PL" w:eastAsia="ru-RU"/>
          </w:rPr>
          <w:t>https://warcrimes.gov.ua/sources.html</w:t>
        </w:r>
      </w:hyperlink>
      <w:r w:rsidRPr="00511005">
        <w:rPr>
          <w:rFonts w:ascii="Arial" w:eastAsia="Arial" w:hAnsi="Arial" w:cs="Arial"/>
          <w:szCs w:val="28"/>
          <w:lang w:val="pl-PL" w:eastAsia="ru-RU"/>
        </w:rPr>
        <w:t>.</w:t>
      </w:r>
    </w:p>
    <w:p w14:paraId="0E35F74D" w14:textId="77777777" w:rsidR="00532C25" w:rsidRPr="00511005" w:rsidRDefault="00532C25" w:rsidP="00532C25">
      <w:pPr>
        <w:spacing w:line="264" w:lineRule="auto"/>
        <w:ind w:left="360" w:firstLine="34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9. </w:t>
      </w:r>
      <w:r w:rsidRPr="00511005">
        <w:rPr>
          <w:rFonts w:ascii="Arial" w:eastAsia="Times New Roman" w:hAnsi="Arial" w:cs="Arial"/>
          <w:szCs w:val="28"/>
          <w:lang w:val="en-US" w:eastAsia="ru-RU"/>
        </w:rPr>
        <w:t xml:space="preserve">Rome Statute of the International Criminal Court dated July 17, 1998. URL: </w:t>
      </w:r>
      <w:hyperlink r:id="rId2185" w:anchor="Text" w:tgtFrame="_blank" w:history="1">
        <w:r w:rsidRPr="00511005">
          <w:rPr>
            <w:rFonts w:ascii="Arial" w:eastAsia="Arial" w:hAnsi="Arial" w:cs="Arial"/>
            <w:szCs w:val="28"/>
            <w:lang w:val="en-US" w:eastAsia="ru-RU"/>
          </w:rPr>
          <w:t>https://zakon.rada.gov.ua/laws/show/995_588#Text</w:t>
        </w:r>
      </w:hyperlink>
      <w:r w:rsidRPr="00511005">
        <w:rPr>
          <w:rFonts w:ascii="Arial" w:eastAsia="Arial" w:hAnsi="Arial" w:cs="Arial"/>
          <w:szCs w:val="28"/>
          <w:lang w:val="en-US" w:eastAsia="ru-RU"/>
        </w:rPr>
        <w:t>.</w:t>
      </w:r>
    </w:p>
    <w:p w14:paraId="475CEEEF" w14:textId="77777777" w:rsidR="00532C25" w:rsidRPr="00511005" w:rsidRDefault="00532C25" w:rsidP="00532C25">
      <w:pPr>
        <w:spacing w:line="264" w:lineRule="auto"/>
        <w:ind w:left="360" w:firstLine="34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10. </w:t>
      </w:r>
      <w:r w:rsidRPr="00511005">
        <w:rPr>
          <w:rFonts w:ascii="Arial" w:eastAsia="Times New Roman" w:hAnsi="Arial" w:cs="Arial"/>
          <w:szCs w:val="28"/>
          <w:lang w:val="en-US" w:eastAsia="ru-RU"/>
        </w:rPr>
        <w:t xml:space="preserve">Kravchuk O., Bondarenko M. Pre-trial Investigation of War Crimes. URL: </w:t>
      </w:r>
      <w:hyperlink r:id="rId2186" w:tgtFrame="_blank" w:history="1">
        <w:r w:rsidRPr="00511005">
          <w:rPr>
            <w:rFonts w:ascii="Arial" w:eastAsia="Arial" w:hAnsi="Arial" w:cs="Arial"/>
            <w:szCs w:val="28"/>
            <w:lang w:val="en-US" w:eastAsia="ru-RU"/>
          </w:rPr>
          <w:t>https://hrvector.org/podiyi/22-03-09-w-s-a</w:t>
        </w:r>
      </w:hyperlink>
      <w:r w:rsidRPr="00511005">
        <w:rPr>
          <w:rFonts w:ascii="Arial" w:eastAsia="Arial" w:hAnsi="Arial" w:cs="Arial"/>
          <w:szCs w:val="28"/>
          <w:lang w:val="en-US" w:eastAsia="ru-RU"/>
        </w:rPr>
        <w:t>.</w:t>
      </w:r>
    </w:p>
    <w:p w14:paraId="534715DF" w14:textId="77777777" w:rsidR="00532C25" w:rsidRPr="00511005" w:rsidRDefault="00532C25" w:rsidP="00532C25">
      <w:pPr>
        <w:spacing w:line="264" w:lineRule="auto"/>
        <w:ind w:left="360" w:firstLine="34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11. </w:t>
      </w:r>
      <w:r w:rsidRPr="00511005">
        <w:rPr>
          <w:rFonts w:ascii="Arial" w:eastAsia="Times New Roman" w:hAnsi="Arial" w:cs="Arial"/>
          <w:szCs w:val="28"/>
          <w:lang w:val="en-US" w:eastAsia="ru-RU"/>
        </w:rPr>
        <w:t xml:space="preserve">Labenyuk A.O., Osypenko I.P. Pre-trial Investigation of War Crimes in Ukraine: Standards, Risks to Personal Life and Health. Scientific Bulletin of Uzhhorod National University, 2024. URL: </w:t>
      </w:r>
      <w:hyperlink r:id="rId2187" w:tgtFrame="_blank" w:history="1">
        <w:r w:rsidRPr="00511005">
          <w:rPr>
            <w:rFonts w:ascii="Arial" w:eastAsia="Arial" w:hAnsi="Arial" w:cs="Arial"/>
            <w:szCs w:val="28"/>
            <w:lang w:val="en-US" w:eastAsia="ru-RU"/>
          </w:rPr>
          <w:t>http://visnyk-pravo.uzhnu.edu.ua/article/view/321152/311687</w:t>
        </w:r>
      </w:hyperlink>
      <w:r w:rsidRPr="00511005">
        <w:rPr>
          <w:rFonts w:ascii="Arial" w:eastAsia="Arial" w:hAnsi="Arial" w:cs="Arial"/>
          <w:szCs w:val="28"/>
          <w:lang w:val="en-US" w:eastAsia="ru-RU"/>
        </w:rPr>
        <w:t>.</w:t>
      </w:r>
    </w:p>
    <w:p w14:paraId="691EFE0D" w14:textId="77777777" w:rsidR="00532C25" w:rsidRPr="00511005" w:rsidRDefault="00532C25" w:rsidP="00532C25">
      <w:pPr>
        <w:spacing w:line="264" w:lineRule="auto"/>
        <w:ind w:left="360" w:firstLine="34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12. </w:t>
      </w:r>
      <w:r w:rsidRPr="00511005">
        <w:rPr>
          <w:rFonts w:ascii="Arial" w:eastAsia="Times New Roman" w:hAnsi="Arial" w:cs="Arial"/>
          <w:szCs w:val="28"/>
          <w:lang w:val="en-US" w:eastAsia="ru-RU"/>
        </w:rPr>
        <w:t xml:space="preserve">133 Thousand War Crimes of Russians Registered Since the Beginning of the Large-Scale War. URL: </w:t>
      </w:r>
      <w:hyperlink r:id="rId2188" w:tgtFrame="_blank" w:history="1">
        <w:r w:rsidRPr="00511005">
          <w:rPr>
            <w:rFonts w:ascii="Arial" w:eastAsia="Arial" w:hAnsi="Arial" w:cs="Arial"/>
            <w:szCs w:val="28"/>
            <w:lang w:val="en-US" w:eastAsia="ru-RU"/>
          </w:rPr>
          <w:t>https://ukr.radio/news.html?newsID=104921</w:t>
        </w:r>
      </w:hyperlink>
      <w:r w:rsidRPr="00511005">
        <w:rPr>
          <w:rFonts w:ascii="Arial" w:eastAsia="Arial" w:hAnsi="Arial" w:cs="Arial"/>
          <w:szCs w:val="28"/>
          <w:lang w:val="en-US" w:eastAsia="ru-RU"/>
        </w:rPr>
        <w:t>.</w:t>
      </w:r>
    </w:p>
    <w:p w14:paraId="65052418" w14:textId="77777777" w:rsidR="00532C25" w:rsidRPr="00511005" w:rsidRDefault="00532C25" w:rsidP="00532C25">
      <w:pPr>
        <w:spacing w:line="264" w:lineRule="auto"/>
        <w:ind w:firstLine="0"/>
        <w:rPr>
          <w:rFonts w:ascii="Arial" w:eastAsia="Arial" w:hAnsi="Arial" w:cs="Arial"/>
          <w:b/>
          <w:bCs/>
          <w:iCs/>
          <w:szCs w:val="28"/>
          <w:lang w:val="uk-UA" w:eastAsia="ru-RU"/>
        </w:rPr>
      </w:pPr>
    </w:p>
    <w:p w14:paraId="114691BA" w14:textId="77777777" w:rsidR="00532C25" w:rsidRPr="00511005" w:rsidRDefault="00532C25" w:rsidP="00532C25">
      <w:pPr>
        <w:spacing w:line="264" w:lineRule="auto"/>
        <w:ind w:firstLine="708"/>
        <w:rPr>
          <w:rFonts w:ascii="Arial" w:eastAsia="Arial" w:hAnsi="Arial" w:cs="Arial"/>
          <w:iCs/>
          <w:szCs w:val="28"/>
          <w:lang w:val="uk-UA" w:eastAsia="ru-RU"/>
        </w:rPr>
      </w:pPr>
      <w:r w:rsidRPr="00511005">
        <w:rPr>
          <w:rFonts w:ascii="Arial" w:eastAsia="Arial" w:hAnsi="Arial" w:cs="Arial"/>
          <w:b/>
          <w:bCs/>
          <w:i/>
          <w:iCs/>
          <w:szCs w:val="28"/>
          <w:lang w:val="uk-UA" w:eastAsia="ru-RU"/>
        </w:rPr>
        <w:t xml:space="preserve">Ключові слова: </w:t>
      </w:r>
      <w:r w:rsidRPr="00511005">
        <w:rPr>
          <w:rFonts w:ascii="Arial" w:eastAsia="Arial" w:hAnsi="Arial" w:cs="Arial"/>
          <w:iCs/>
          <w:szCs w:val="28"/>
          <w:lang w:val="uk-UA" w:eastAsia="ru-RU"/>
        </w:rPr>
        <w:t>воєнний стан, воєнні злочини, особливості досудового розслідування, ЄРДР, СБУ, повномасштабне вторгнення, порушення законів та звичаїв ведення війни.</w:t>
      </w:r>
    </w:p>
    <w:p w14:paraId="5B513A5A" w14:textId="77777777" w:rsidR="00532C25" w:rsidRPr="00511005" w:rsidRDefault="00532C25" w:rsidP="00532C25">
      <w:pPr>
        <w:spacing w:line="264" w:lineRule="auto"/>
        <w:ind w:firstLine="708"/>
        <w:rPr>
          <w:rFonts w:ascii="Arial" w:eastAsia="Arial" w:hAnsi="Arial" w:cs="Arial"/>
          <w:iCs/>
          <w:szCs w:val="28"/>
          <w:lang w:val="uk-UA" w:eastAsia="ru-RU"/>
        </w:rPr>
      </w:pPr>
      <w:r w:rsidRPr="00511005">
        <w:rPr>
          <w:rFonts w:ascii="Arial" w:eastAsia="Arial" w:hAnsi="Arial" w:cs="Arial"/>
          <w:b/>
          <w:bCs/>
          <w:i/>
          <w:iCs/>
          <w:szCs w:val="28"/>
          <w:lang w:val="en-US" w:eastAsia="ru-RU"/>
        </w:rPr>
        <w:t xml:space="preserve">Key words: </w:t>
      </w:r>
      <w:r w:rsidRPr="00511005">
        <w:rPr>
          <w:rFonts w:ascii="Arial" w:eastAsia="Arial" w:hAnsi="Arial" w:cs="Arial"/>
          <w:iCs/>
          <w:szCs w:val="28"/>
          <w:lang w:val="en-US" w:eastAsia="ru-RU"/>
        </w:rPr>
        <w:t>martial law, war crimes, specific features of pre-trial investigation, URPTI, SBU, full-scale invasion, violations of the laws of war.</w:t>
      </w:r>
    </w:p>
    <w:p w14:paraId="563867DC" w14:textId="6325E03C" w:rsidR="00532C25" w:rsidRPr="00511005" w:rsidRDefault="006C2EDA" w:rsidP="00532C25">
      <w:pPr>
        <w:spacing w:line="264" w:lineRule="auto"/>
        <w:rPr>
          <w:rFonts w:ascii="Arial" w:eastAsia="Arial" w:hAnsi="Arial" w:cs="Arial"/>
          <w:szCs w:val="28"/>
          <w:lang w:val="uk-UA" w:eastAsia="ru-RU"/>
        </w:rPr>
      </w:pPr>
      <w:r w:rsidRPr="006C2EDA">
        <w:rPr>
          <w:rFonts w:ascii="Arial" w:eastAsia="Times New Roman" w:hAnsi="Arial" w:cs="Arial"/>
          <w:b/>
          <w:bCs/>
          <w:i/>
          <w:iCs/>
          <w:szCs w:val="28"/>
          <w:lang w:val="en-US" w:eastAsia="ru-RU"/>
        </w:rPr>
        <w:t xml:space="preserve">Academic supervisor: </w:t>
      </w:r>
      <w:r w:rsidR="00532C25" w:rsidRPr="00511005">
        <w:rPr>
          <w:rFonts w:ascii="Arial" w:eastAsia="Times New Roman" w:hAnsi="Arial" w:cs="Arial"/>
          <w:i/>
          <w:szCs w:val="28"/>
          <w:lang w:val="en-US" w:eastAsia="ru-RU"/>
        </w:rPr>
        <w:t>PhD in Law, Associate Professor</w:t>
      </w:r>
      <w:r w:rsidR="00532C25" w:rsidRPr="00511005">
        <w:rPr>
          <w:rFonts w:ascii="Arial" w:eastAsia="Times New Roman" w:hAnsi="Arial" w:cs="Arial"/>
          <w:i/>
          <w:szCs w:val="28"/>
          <w:lang w:val="uk-UA" w:eastAsia="ru-RU"/>
        </w:rPr>
        <w:t xml:space="preserve"> </w:t>
      </w:r>
      <w:r w:rsidR="00532C25" w:rsidRPr="00511005">
        <w:rPr>
          <w:rFonts w:ascii="Arial" w:eastAsia="Times New Roman" w:hAnsi="Arial" w:cs="Arial"/>
          <w:i/>
          <w:szCs w:val="28"/>
          <w:lang w:val="en-US" w:eastAsia="ru-RU"/>
        </w:rPr>
        <w:t>Voloshyna V.</w:t>
      </w:r>
    </w:p>
    <w:p w14:paraId="4CF5429B" w14:textId="77777777" w:rsidR="00532C25" w:rsidRPr="00511005" w:rsidRDefault="00532C25" w:rsidP="00532C25">
      <w:pPr>
        <w:spacing w:line="264" w:lineRule="auto"/>
        <w:ind w:firstLine="0"/>
        <w:rPr>
          <w:rFonts w:ascii="Arial" w:eastAsia="Arial" w:hAnsi="Arial" w:cs="Arial"/>
          <w:szCs w:val="28"/>
          <w:lang w:val="uk-UA" w:eastAsia="ru-RU"/>
        </w:rPr>
      </w:pPr>
    </w:p>
    <w:p w14:paraId="78090C6C" w14:textId="77777777" w:rsidR="00532C25" w:rsidRPr="00511005" w:rsidRDefault="00532C25" w:rsidP="00532C25">
      <w:pPr>
        <w:spacing w:line="264" w:lineRule="auto"/>
        <w:ind w:firstLine="0"/>
        <w:rPr>
          <w:rFonts w:ascii="Arial" w:eastAsia="Arial" w:hAnsi="Arial" w:cs="Arial"/>
          <w:b/>
          <w:i/>
          <w:szCs w:val="28"/>
          <w:lang w:val="en-US" w:eastAsia="ru-RU"/>
        </w:rPr>
      </w:pPr>
    </w:p>
    <w:p w14:paraId="0E2E7C74" w14:textId="77777777" w:rsidR="00532C25" w:rsidRPr="00511005" w:rsidRDefault="00532C25" w:rsidP="00532C25">
      <w:pPr>
        <w:spacing w:line="264" w:lineRule="auto"/>
        <w:ind w:firstLine="0"/>
        <w:rPr>
          <w:rFonts w:ascii="Arial" w:eastAsia="Arial" w:hAnsi="Arial" w:cs="Arial"/>
          <w:b/>
          <w:i/>
          <w:szCs w:val="28"/>
          <w:lang w:val="en-US" w:eastAsia="ru-RU"/>
        </w:rPr>
      </w:pPr>
    </w:p>
    <w:p w14:paraId="2869334D" w14:textId="77777777" w:rsidR="00532C25" w:rsidRPr="00511005" w:rsidRDefault="00532C25" w:rsidP="00532C25">
      <w:pPr>
        <w:spacing w:line="264" w:lineRule="auto"/>
        <w:ind w:firstLine="0"/>
        <w:jc w:val="center"/>
        <w:rPr>
          <w:rFonts w:ascii="Arial" w:eastAsia="Arial" w:hAnsi="Arial" w:cs="Arial"/>
          <w:b/>
          <w:i/>
          <w:szCs w:val="28"/>
          <w:lang w:val="ru" w:eastAsia="ru-RU"/>
        </w:rPr>
      </w:pPr>
      <w:r w:rsidRPr="00511005">
        <w:rPr>
          <w:rFonts w:ascii="Arial" w:eastAsia="Arial" w:hAnsi="Arial" w:cs="Arial"/>
          <w:b/>
          <w:i/>
          <w:szCs w:val="28"/>
          <w:lang w:eastAsia="ru-RU"/>
        </w:rPr>
        <w:lastRenderedPageBreak/>
        <w:t>Клапоущак Дар’я Серг</w:t>
      </w:r>
      <w:r w:rsidRPr="00511005">
        <w:rPr>
          <w:rFonts w:ascii="Arial" w:eastAsia="Arial" w:hAnsi="Arial" w:cs="Arial"/>
          <w:b/>
          <w:i/>
          <w:szCs w:val="28"/>
          <w:lang w:val="ru" w:eastAsia="ru-RU"/>
        </w:rPr>
        <w:t>іївна</w:t>
      </w:r>
    </w:p>
    <w:p w14:paraId="66E1DD8C" w14:textId="77777777" w:rsidR="00532C25" w:rsidRPr="00511005" w:rsidRDefault="00532C25" w:rsidP="00532C25">
      <w:pPr>
        <w:spacing w:line="264" w:lineRule="auto"/>
        <w:ind w:firstLine="0"/>
        <w:jc w:val="center"/>
        <w:rPr>
          <w:rFonts w:ascii="Arial" w:eastAsia="Times New Roman" w:hAnsi="Arial" w:cs="Arial"/>
          <w:szCs w:val="28"/>
          <w:lang w:val="ru" w:eastAsia="ru-RU"/>
        </w:rPr>
      </w:pPr>
      <w:r w:rsidRPr="00511005">
        <w:rPr>
          <w:rFonts w:ascii="Arial" w:eastAsia="Times New Roman" w:hAnsi="Arial" w:cs="Arial"/>
          <w:szCs w:val="28"/>
          <w:lang w:val="ru" w:eastAsia="ru-RU"/>
        </w:rPr>
        <w:t>студентка 1-го курсу магістратури факультету судового та міжнародного права</w:t>
      </w:r>
      <w:r w:rsidRPr="00511005">
        <w:rPr>
          <w:rFonts w:ascii="Arial" w:eastAsia="Times New Roman" w:hAnsi="Arial" w:cs="Arial"/>
          <w:szCs w:val="28"/>
          <w:lang w:val="ru" w:eastAsia="ru-RU"/>
        </w:rPr>
        <w:br/>
        <w:t>Національного університету «Одеська юридична академія»</w:t>
      </w:r>
    </w:p>
    <w:p w14:paraId="01FD3621" w14:textId="77777777" w:rsidR="00532C25" w:rsidRPr="00511005" w:rsidRDefault="00532C25" w:rsidP="00532C25">
      <w:pPr>
        <w:spacing w:line="264" w:lineRule="auto"/>
        <w:ind w:firstLine="0"/>
        <w:rPr>
          <w:rFonts w:ascii="Arial" w:eastAsia="Arial" w:hAnsi="Arial" w:cs="Arial"/>
          <w:b/>
          <w:szCs w:val="28"/>
          <w:lang w:val="ru" w:eastAsia="ru-RU"/>
        </w:rPr>
      </w:pPr>
    </w:p>
    <w:p w14:paraId="6A124389" w14:textId="77777777" w:rsidR="00532C25" w:rsidRPr="00511005" w:rsidRDefault="00532C25" w:rsidP="00532C25">
      <w:pPr>
        <w:spacing w:line="264" w:lineRule="auto"/>
        <w:ind w:firstLine="0"/>
        <w:jc w:val="center"/>
        <w:rPr>
          <w:rFonts w:ascii="Arial" w:eastAsia="Arial" w:hAnsi="Arial" w:cs="Arial"/>
          <w:b/>
          <w:szCs w:val="28"/>
          <w:lang w:val="ru" w:eastAsia="ru-RU"/>
        </w:rPr>
      </w:pPr>
      <w:r w:rsidRPr="00511005">
        <w:rPr>
          <w:rFonts w:ascii="Arial" w:eastAsia="Arial" w:hAnsi="Arial" w:cs="Arial"/>
          <w:b/>
          <w:szCs w:val="28"/>
          <w:lang w:val="ru" w:eastAsia="ru-RU"/>
        </w:rPr>
        <w:t>ГАРАНТІЇ ПРАВ І СВОБОД ОСОБИ ПІД ЧАС ПРОВЕДЕННЯ НЕГЛАСНИХ СЛІДЧИХ (РОЗШУКОВИХ) ДІЙ ТА ОПЕРАТИВНО- РОЗШУКОВИХ ЗАХОДІВ У ДОСУДОВОМУ РОЗСЛІДУВАННІ В УМОВАХ ВОЄННОГО СТАНУ</w:t>
      </w:r>
    </w:p>
    <w:p w14:paraId="59B5DDC6"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Кримінально-процесуальні гарантії забезпечують належне функціонування всіх інститутів кримінального провадження, включаючи інститути негласних слідчих (розшукових) дій (НСРД) та оперативно-розшукових заходів (ОРЗ). Вони гарантують реалізацію прав і законних інтересів усіх суб’єктів кримінального процесу, а також визначають допустимість і правомірність проведення НСРД та ОРЗ і використання їх результатів у доказуванні під час кримінального провадження.</w:t>
      </w:r>
    </w:p>
    <w:p w14:paraId="3109E134"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У загальнотеоретичному розумінні правові гарантії розглядаються як сукупність закріплених законодавством засобів, спрямованих на охорону, реалізацію та захист прав і свобод громадян. Вони включають механізми, які забезпечують попередження, припинення і відновлення порушених прав, а також визначають обсяг суб’єктивних прав, свобод та обов’язків особи, встановлюючи засоби їх ефективного здійснення і захисту від будь-яких неправомірних посягань.</w:t>
      </w:r>
    </w:p>
    <w:p w14:paraId="63114D6C"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Конституція України виступає основоположним джерелом гарантування прав і свобод людини і громадянина, що мають безумовний характер і не можуть бути скасовані або обмежені без належних правових підстав. У Розділі І, статті 3 Конституції України зазначено, що людина, її життя і здоров’я, честь і гідність, недоторканність і безпека визнаються в Україні найвищою соціальною цінністю </w:t>
      </w:r>
      <w:r w:rsidRPr="00511005">
        <w:rPr>
          <w:rFonts w:ascii="Arial" w:eastAsia="Arial" w:hAnsi="Arial" w:cs="Arial"/>
          <w:szCs w:val="28"/>
          <w:lang w:eastAsia="ru-RU"/>
        </w:rPr>
        <w:t>[1]</w:t>
      </w:r>
      <w:r w:rsidRPr="00511005">
        <w:rPr>
          <w:rFonts w:ascii="Arial" w:eastAsia="Arial" w:hAnsi="Arial" w:cs="Arial"/>
          <w:szCs w:val="28"/>
          <w:lang w:val="ru" w:eastAsia="ru-RU"/>
        </w:rPr>
        <w:t>. Держава зобов’язується утверджувати та забезпечувати права і свободи людини як основне завдання своєї діяльності. Згідно з положеннями статті 64 Конституції України, права і свободи людини і громадянина можуть бути обмежені лише у випадках, прямо передбачених Основним Законом</w:t>
      </w:r>
      <w:r w:rsidRPr="00511005">
        <w:rPr>
          <w:rFonts w:ascii="Arial" w:eastAsia="Arial" w:hAnsi="Arial" w:cs="Arial"/>
          <w:szCs w:val="28"/>
          <w:lang w:eastAsia="ru-RU"/>
        </w:rPr>
        <w:t xml:space="preserve"> [1]</w:t>
      </w:r>
      <w:r w:rsidRPr="00511005">
        <w:rPr>
          <w:rFonts w:ascii="Arial" w:eastAsia="Arial" w:hAnsi="Arial" w:cs="Arial"/>
          <w:szCs w:val="28"/>
          <w:lang w:val="ru" w:eastAsia="ru-RU"/>
        </w:rPr>
        <w:t xml:space="preserve">. Зокрема, таке обмеження допускається виключно в умовах воєнного або надзвичайного стану та відповідно до вимог, визначених законом, із дотриманням принципу пропорційності, необхідності і недискримінаційності. </w:t>
      </w:r>
    </w:p>
    <w:p w14:paraId="29D417A8"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При розробці системи правових гарантій у сфері здійснення негласних слідчих (розшукових) дій (НСРД) та оперативно-розшукових заходів (ОРЗ) необхідно враховувати специфіку зазначених заходів, що характеризуються прихованим характером, засекреченістю методів їх реалізації та цілеспрямованістю на отримання фактичних даних, які можуть мати доказове значення в кримінальному провадженні. Заходи проводяться </w:t>
      </w:r>
      <w:r w:rsidRPr="00511005">
        <w:rPr>
          <w:rFonts w:ascii="Arial" w:eastAsia="Arial" w:hAnsi="Arial" w:cs="Arial"/>
          <w:szCs w:val="28"/>
          <w:lang w:val="ru" w:eastAsia="ru-RU"/>
        </w:rPr>
        <w:lastRenderedPageBreak/>
        <w:t>уповноваженими суб’єктами відповідно до норм кримінального процесуального законодавства та законодавства про оперативно-розшукову діяльність і виконують функцію доказування шляхом отримання доказів. Попри спільну функціональну природу, НСРД і ОРЗ відрізняються за процесуальним статусом: перші здійснюються в межах кримінального провадження, другі – в межах оперативно-розшукової діяльності, у тому числі за дорученням слідчого або прокурора. Обидва види заходів, як правило, виконуються одними й тими ж оперативними підрозділами. На практиці існують значні ризики зловживань у сфері ОРЗ та НРСД у контексті боротьби з диверсійною діяльністю, тероризмом та іншими злочинами проти національної безпеки. Військові дії не повинні ставати підставою для системного порушення прав людини. Застосування негласних заходів має залишатися винятком, а не правилом, а правозастосовна практика – прозорою, контрольованою та підзвітною.</w:t>
      </w:r>
    </w:p>
    <w:p w14:paraId="489C3F54"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Глава 21 Кримінального процесуального кодексу України (КПК) присвячена проведенню негласних слідчих (розшукових) дій. У ній закріплено перелік НРСД, підстави для їх проведення, порядок отримання дозволу слідчого судді, строки проведення дій та обов’язкові гарантії прав особи (зокрема, повідомлення про втручання після завершення заходів – ст. 253 КПК) [2]. Закон України «Про оперативно-розшукову діяльність» від 18.02.1992 № 2135-XII регулює діяльність уповноважених органів щодо здійснення оперативно-розшукових заходів (ОРЗ). У статті 7 Закону визначено, що оперативно-розшукова діяльність здійснюється на принципах законності, поваги до прав і свобод людини, а також із дотриманням вимог Конституції України та міжнародних договорів, відповідно до статті 9 Закону втручання в приватне життя особи під час оперативно-розшукової діяльності можливе лише за рішенням суду, окрім невідкладних випадків, що потребують негайного реагування</w:t>
      </w:r>
      <w:r w:rsidRPr="00511005">
        <w:rPr>
          <w:rFonts w:ascii="Arial" w:eastAsia="Arial" w:hAnsi="Arial" w:cs="Arial"/>
          <w:szCs w:val="28"/>
          <w:lang w:eastAsia="ru-RU"/>
        </w:rPr>
        <w:t xml:space="preserve"> [3]</w:t>
      </w:r>
      <w:r w:rsidRPr="00511005">
        <w:rPr>
          <w:rFonts w:ascii="Arial" w:eastAsia="Arial" w:hAnsi="Arial" w:cs="Arial"/>
          <w:szCs w:val="28"/>
          <w:lang w:val="ru" w:eastAsia="ru-RU"/>
        </w:rPr>
        <w:t xml:space="preserve">. </w:t>
      </w:r>
    </w:p>
    <w:p w14:paraId="2D36554E"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Закон України «Про правовий режим воєнного стану» від 12.05.2015 № 389-VIII передбачає можливість тимчасового обмеження певних прав, зокрема таємниці листування, телефонних розмов, телеграфної та іншої кореспонденції; свободи пересування; права на зібрання та інші демократичні свободи [4]. При цьому будь-які обмеження мають бути встановлені офіційно і не носити довільного характеру, а їх застосування – підконтрольне суду та прокуратурі.</w:t>
      </w:r>
    </w:p>
    <w:p w14:paraId="1873585F"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Забезпечення законності та дотримання прав людини під час проведення негласних слідчих (розшукових) дій (НСРД) і оперативно-розшукових заходів (ОРЗ), а також під час використання їх результатів як доказів у кримінальному провадженні ґрунтується на низці системних гарантій. На думку М. М. Погорецького, до таких гарантій належать: </w:t>
      </w:r>
    </w:p>
    <w:p w14:paraId="1C11EF7C" w14:textId="77777777" w:rsidR="00532C25" w:rsidRPr="00511005" w:rsidRDefault="00532C25" w:rsidP="003F6A5D">
      <w:pPr>
        <w:numPr>
          <w:ilvl w:val="0"/>
          <w:numId w:val="589"/>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lastRenderedPageBreak/>
        <w:t xml:space="preserve">змішана форма національного кримінального процесу, що передбачає розширення змагальних засад уже на стадії досудового розслідування; </w:t>
      </w:r>
    </w:p>
    <w:p w14:paraId="771D19A5" w14:textId="77777777" w:rsidR="00532C25" w:rsidRPr="00511005" w:rsidRDefault="00532C25" w:rsidP="003F6A5D">
      <w:pPr>
        <w:numPr>
          <w:ilvl w:val="0"/>
          <w:numId w:val="589"/>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чітко визначена процесуальна форма здійснення НСРД та ОРЗ, що встановлює правові межі для їх реалізації; </w:t>
      </w:r>
    </w:p>
    <w:p w14:paraId="326DD896" w14:textId="77777777" w:rsidR="00532C25" w:rsidRPr="00511005" w:rsidRDefault="00532C25" w:rsidP="003F6A5D">
      <w:pPr>
        <w:numPr>
          <w:ilvl w:val="0"/>
          <w:numId w:val="589"/>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ефективний відомчий контроль, належний прокурорський нагляд та судовий контроль як основні інструменти превенції порушень прав суб'єктів кримінального провадження; </w:t>
      </w:r>
    </w:p>
    <w:p w14:paraId="3B1ABFE5" w14:textId="77777777" w:rsidR="00532C25" w:rsidRPr="00511005" w:rsidRDefault="00532C25" w:rsidP="003F6A5D">
      <w:pPr>
        <w:numPr>
          <w:ilvl w:val="0"/>
          <w:numId w:val="589"/>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інституційна незалежність суду як гарант неупередженості судового розгляду; </w:t>
      </w:r>
    </w:p>
    <w:p w14:paraId="0C408006" w14:textId="77777777" w:rsidR="00532C25" w:rsidRPr="00511005" w:rsidRDefault="00532C25" w:rsidP="003F6A5D">
      <w:pPr>
        <w:numPr>
          <w:ilvl w:val="0"/>
          <w:numId w:val="589"/>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високий рівень професійної підготовки захисників, прокурорів, слідчих та суддів; </w:t>
      </w:r>
    </w:p>
    <w:p w14:paraId="217C12C4" w14:textId="77777777" w:rsidR="00532C25" w:rsidRPr="00511005" w:rsidRDefault="00532C25" w:rsidP="003F6A5D">
      <w:pPr>
        <w:numPr>
          <w:ilvl w:val="0"/>
          <w:numId w:val="589"/>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мінімізація корупційних ризиків у системі органів правосуддя завдяки розвинутому механізму громадського контролю за їх діяльністю [</w:t>
      </w:r>
      <w:r w:rsidRPr="00511005">
        <w:rPr>
          <w:rFonts w:ascii="Arial" w:eastAsia="Calibri" w:hAnsi="Arial" w:cs="Arial"/>
          <w:szCs w:val="28"/>
          <w:lang w:val="en-US"/>
        </w:rPr>
        <w:t xml:space="preserve">5, </w:t>
      </w:r>
      <w:r w:rsidRPr="00511005">
        <w:rPr>
          <w:rFonts w:ascii="Arial" w:eastAsia="Calibri" w:hAnsi="Arial" w:cs="Arial"/>
          <w:szCs w:val="28"/>
        </w:rPr>
        <w:t>c.113].</w:t>
      </w:r>
    </w:p>
    <w:p w14:paraId="2FE89F9A"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Попри нормативне закріплення кримінально-процесуальних гарантій під час проведення НСРД та ОРЗ, на практиці виявлено суттєві проблеми, що потребують комплексного вирішення. Основними з них є недостатня прозорість та обмежений судовий контроль, практика зловживань у застосуванні ОРЗ поза межами кримінального провадження, відсутність єдиної інформаційної системи контролю НСРД та ОРЗ, недостатній рівень професійної підготовки та спеціалізації учасників процесу, а також низький рівень інформованості громадян про свої права у сфері НСРД/ОРЗ тощо. </w:t>
      </w:r>
    </w:p>
    <w:p w14:paraId="0A3FABD8"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Для вирішення зазначених проблем доцільно запровадити обов’язкову вимогу </w:t>
      </w:r>
      <w:proofErr w:type="gramStart"/>
      <w:r w:rsidRPr="00511005">
        <w:rPr>
          <w:rFonts w:ascii="Arial" w:eastAsia="Arial" w:hAnsi="Arial" w:cs="Arial"/>
          <w:szCs w:val="28"/>
          <w:lang w:val="ru" w:eastAsia="ru-RU"/>
        </w:rPr>
        <w:t>для суду</w:t>
      </w:r>
      <w:proofErr w:type="gramEnd"/>
      <w:r w:rsidRPr="00511005">
        <w:rPr>
          <w:rFonts w:ascii="Arial" w:eastAsia="Arial" w:hAnsi="Arial" w:cs="Arial"/>
          <w:szCs w:val="28"/>
          <w:lang w:val="ru" w:eastAsia="ru-RU"/>
        </w:rPr>
        <w:t xml:space="preserve"> надавати розширене обґрунтування в ухвалах про дозвіл на НСРД, а також запровадити автоматичну апеляційну перевірку окремих рішень щодо обмеження прав у справах підвищеної чутливості. Варто законодавчо обмежити тривалість та обсяг ОРЗ, що можуть здійснюватися без порушення кримінального провадження, впровадити централізовану електронну систему з обмеженим доступом, що фіксуватиме всі дії в межах НСРД та ОРЗ. Необхідно також запровадити обов’язкову програму підвищення кваліфікації з питань дотримання прав людини при здійсненні НСРД/ОРЗ, з урахуванням стандартів ЄСПЛ та міжнародного гуманітарного права, удосконалити процедуру інформування осіб про факти втручання після завершення НСРД відповідно до ст. 253 КПК та забезпечити право на юридичну допомогу і компенсацію у разі встановлення порушень.</w:t>
      </w:r>
    </w:p>
    <w:p w14:paraId="47B0293A"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Отже, можна зробити висновок, що навіть </w:t>
      </w:r>
      <w:proofErr w:type="gramStart"/>
      <w:r w:rsidRPr="00511005">
        <w:rPr>
          <w:rFonts w:ascii="Arial" w:eastAsia="Arial" w:hAnsi="Arial" w:cs="Arial"/>
          <w:szCs w:val="28"/>
          <w:lang w:val="ru" w:eastAsia="ru-RU"/>
        </w:rPr>
        <w:t>за умов</w:t>
      </w:r>
      <w:proofErr w:type="gramEnd"/>
      <w:r w:rsidRPr="00511005">
        <w:rPr>
          <w:rFonts w:ascii="Arial" w:eastAsia="Arial" w:hAnsi="Arial" w:cs="Arial"/>
          <w:szCs w:val="28"/>
          <w:lang w:val="ru" w:eastAsia="ru-RU"/>
        </w:rPr>
        <w:t xml:space="preserve"> воєнного стану конституційні гарантії прав і свобод осіб, зокрема у частині здійснення НСРД та ОРЗ, повинні зберігатися. Законодавство не передбачає відступу від основоположних прав без дотримання процедури, визначеної Конституцією України та міжнародними правовими актами, ратифікованими Україною. Винятки можливі лише за умови чіткого законодавчого регулювання, що </w:t>
      </w:r>
      <w:r w:rsidRPr="00511005">
        <w:rPr>
          <w:rFonts w:ascii="Arial" w:eastAsia="Arial" w:hAnsi="Arial" w:cs="Arial"/>
          <w:szCs w:val="28"/>
          <w:lang w:val="ru" w:eastAsia="ru-RU"/>
        </w:rPr>
        <w:lastRenderedPageBreak/>
        <w:t>забезпечує баланс між інтересами національної безпеки та основоположними правами особи.</w:t>
      </w:r>
    </w:p>
    <w:p w14:paraId="4C2A72E8" w14:textId="77777777" w:rsidR="00532C25" w:rsidRPr="00511005" w:rsidRDefault="00532C25" w:rsidP="00532C25">
      <w:pPr>
        <w:spacing w:line="264" w:lineRule="auto"/>
        <w:ind w:firstLine="0"/>
        <w:rPr>
          <w:rFonts w:ascii="Arial" w:eastAsia="Arial" w:hAnsi="Arial" w:cs="Arial"/>
          <w:b/>
          <w:szCs w:val="28"/>
          <w:lang w:val="ru" w:eastAsia="ru-RU"/>
        </w:rPr>
      </w:pPr>
    </w:p>
    <w:p w14:paraId="13870A25" w14:textId="77777777" w:rsidR="00532C25" w:rsidRPr="00511005" w:rsidRDefault="00532C25" w:rsidP="00532C25">
      <w:pPr>
        <w:spacing w:line="264" w:lineRule="auto"/>
        <w:ind w:firstLine="0"/>
        <w:jc w:val="center"/>
        <w:rPr>
          <w:rFonts w:ascii="Arial" w:eastAsia="Arial" w:hAnsi="Arial" w:cs="Arial"/>
          <w:b/>
          <w:szCs w:val="28"/>
          <w:lang w:eastAsia="ru-RU"/>
        </w:rPr>
      </w:pPr>
      <w:r w:rsidRPr="00511005">
        <w:rPr>
          <w:rFonts w:ascii="Arial" w:eastAsia="Arial" w:hAnsi="Arial" w:cs="Arial"/>
          <w:b/>
          <w:szCs w:val="28"/>
          <w:lang w:val="uk-UA" w:eastAsia="ru-RU"/>
        </w:rPr>
        <w:t>Список використаних джерел</w:t>
      </w:r>
    </w:p>
    <w:p w14:paraId="3E9CFB71" w14:textId="77777777" w:rsidR="00532C25" w:rsidRPr="00511005" w:rsidRDefault="00532C25" w:rsidP="003F6A5D">
      <w:pPr>
        <w:numPr>
          <w:ilvl w:val="0"/>
          <w:numId w:val="588"/>
        </w:numPr>
        <w:spacing w:line="264" w:lineRule="auto"/>
        <w:ind w:left="0" w:firstLine="567"/>
        <w:contextualSpacing/>
        <w:jc w:val="left"/>
        <w:rPr>
          <w:rFonts w:ascii="Arial" w:eastAsia="Calibri" w:hAnsi="Arial" w:cs="Arial"/>
          <w:szCs w:val="28"/>
        </w:rPr>
      </w:pPr>
      <w:r w:rsidRPr="00511005">
        <w:rPr>
          <w:rFonts w:ascii="Arial" w:eastAsia="Calibri" w:hAnsi="Arial" w:cs="Arial"/>
          <w:szCs w:val="28"/>
        </w:rPr>
        <w:t xml:space="preserve">Конституція України: Закон України від 28.06.1996 № 254к/96-ВР (Редакція від 01.01.2024). Відомості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URL: </w:t>
      </w:r>
      <w:hyperlink r:id="rId2189" w:anchor="Text" w:tgtFrame="_blank" w:history="1">
        <w:r w:rsidRPr="00511005">
          <w:rPr>
            <w:rFonts w:ascii="Arial" w:eastAsia="Calibri" w:hAnsi="Arial" w:cs="Arial"/>
            <w:szCs w:val="28"/>
          </w:rPr>
          <w:t>https://zakon.rada.gov.ua/laws/show/254к/96-вр#Text</w:t>
        </w:r>
      </w:hyperlink>
      <w:r w:rsidRPr="00511005">
        <w:rPr>
          <w:rFonts w:ascii="Arial" w:eastAsia="Calibri" w:hAnsi="Arial" w:cs="Arial"/>
          <w:szCs w:val="28"/>
        </w:rPr>
        <w:t>.</w:t>
      </w:r>
    </w:p>
    <w:p w14:paraId="2766FB43" w14:textId="77777777" w:rsidR="00532C25" w:rsidRPr="00511005" w:rsidRDefault="00532C25" w:rsidP="003F6A5D">
      <w:pPr>
        <w:numPr>
          <w:ilvl w:val="0"/>
          <w:numId w:val="588"/>
        </w:numPr>
        <w:spacing w:line="264" w:lineRule="auto"/>
        <w:ind w:left="0" w:firstLine="567"/>
        <w:contextualSpacing/>
        <w:jc w:val="left"/>
        <w:rPr>
          <w:rFonts w:ascii="Arial" w:eastAsia="Calibri" w:hAnsi="Arial" w:cs="Arial"/>
          <w:szCs w:val="28"/>
        </w:rPr>
      </w:pPr>
      <w:r w:rsidRPr="00511005">
        <w:rPr>
          <w:rFonts w:ascii="Arial" w:eastAsia="Calibri" w:hAnsi="Arial" w:cs="Arial"/>
          <w:szCs w:val="28"/>
        </w:rPr>
        <w:t xml:space="preserve">Кримінальний процесуальний кодекс України: Закон України від 13.04.2012 №4651-VI (Редакція від 26.12.2024). Відомості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URL: </w:t>
      </w:r>
      <w:hyperlink r:id="rId2190" w:anchor="Text" w:history="1">
        <w:r w:rsidRPr="00511005">
          <w:rPr>
            <w:rFonts w:ascii="Arial" w:eastAsia="Calibri" w:hAnsi="Arial" w:cs="Arial"/>
            <w:szCs w:val="28"/>
          </w:rPr>
          <w:t>https://zakon.rada.gov.ua/laws/show/4651-17#Text</w:t>
        </w:r>
      </w:hyperlink>
      <w:r w:rsidRPr="00511005">
        <w:rPr>
          <w:rFonts w:ascii="Arial" w:eastAsia="Calibri" w:hAnsi="Arial" w:cs="Arial"/>
          <w:szCs w:val="28"/>
        </w:rPr>
        <w:t xml:space="preserve">. </w:t>
      </w:r>
    </w:p>
    <w:p w14:paraId="34C211AE" w14:textId="77777777" w:rsidR="00532C25" w:rsidRPr="00511005" w:rsidRDefault="00532C25" w:rsidP="003F6A5D">
      <w:pPr>
        <w:numPr>
          <w:ilvl w:val="0"/>
          <w:numId w:val="588"/>
        </w:numPr>
        <w:spacing w:line="264" w:lineRule="auto"/>
        <w:ind w:left="0" w:firstLine="567"/>
        <w:contextualSpacing/>
        <w:jc w:val="left"/>
        <w:rPr>
          <w:rFonts w:ascii="Arial" w:eastAsia="Calibri" w:hAnsi="Arial" w:cs="Arial"/>
          <w:szCs w:val="28"/>
        </w:rPr>
      </w:pPr>
      <w:r w:rsidRPr="00511005">
        <w:rPr>
          <w:rFonts w:ascii="Arial" w:eastAsia="Calibri" w:hAnsi="Arial" w:cs="Arial"/>
          <w:szCs w:val="28"/>
        </w:rPr>
        <w:t xml:space="preserve">Про оперативно-розшукову діяльність: Закон України від 18.02.1992 №2135-XII (Редакція від 08.02.2024). Відомості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URL: </w:t>
      </w:r>
      <w:hyperlink r:id="rId2191" w:anchor="Text" w:history="1">
        <w:r w:rsidRPr="00511005">
          <w:rPr>
            <w:rFonts w:ascii="Arial" w:eastAsia="Calibri" w:hAnsi="Arial" w:cs="Arial"/>
            <w:szCs w:val="28"/>
          </w:rPr>
          <w:t>https://zakon.rada.gov.ua/laws/show/2135-12#Text</w:t>
        </w:r>
      </w:hyperlink>
      <w:r w:rsidRPr="00511005">
        <w:rPr>
          <w:rFonts w:ascii="Arial" w:eastAsia="Calibri" w:hAnsi="Arial" w:cs="Arial"/>
          <w:szCs w:val="28"/>
        </w:rPr>
        <w:t xml:space="preserve">. </w:t>
      </w:r>
    </w:p>
    <w:p w14:paraId="142D1FF9" w14:textId="77777777" w:rsidR="00532C25" w:rsidRPr="00511005" w:rsidRDefault="00532C25" w:rsidP="003F6A5D">
      <w:pPr>
        <w:numPr>
          <w:ilvl w:val="0"/>
          <w:numId w:val="588"/>
        </w:numPr>
        <w:spacing w:line="264" w:lineRule="auto"/>
        <w:ind w:left="0" w:firstLine="567"/>
        <w:contextualSpacing/>
        <w:jc w:val="left"/>
        <w:rPr>
          <w:rFonts w:ascii="Arial" w:eastAsia="Calibri" w:hAnsi="Arial" w:cs="Arial"/>
          <w:szCs w:val="28"/>
        </w:rPr>
      </w:pPr>
      <w:r w:rsidRPr="00511005">
        <w:rPr>
          <w:rFonts w:ascii="Arial" w:eastAsia="Calibri" w:hAnsi="Arial" w:cs="Arial"/>
          <w:szCs w:val="28"/>
        </w:rPr>
        <w:t xml:space="preserve">Про правовий режим воєнного стану: Закон України від 12.05.2015 № 389-VIII (Редакція від 08.02.2025). Відомості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URL: </w:t>
      </w:r>
      <w:hyperlink r:id="rId2192" w:anchor="Text" w:history="1">
        <w:r w:rsidRPr="00511005">
          <w:rPr>
            <w:rFonts w:ascii="Arial" w:eastAsia="Calibri" w:hAnsi="Arial" w:cs="Arial"/>
            <w:szCs w:val="28"/>
          </w:rPr>
          <w:t>https://zakon.rada.gov.ua/laws/show/389-19#Text</w:t>
        </w:r>
      </w:hyperlink>
      <w:r w:rsidRPr="00511005">
        <w:rPr>
          <w:rFonts w:ascii="Arial" w:eastAsia="Calibri" w:hAnsi="Arial" w:cs="Arial"/>
          <w:szCs w:val="28"/>
        </w:rPr>
        <w:t xml:space="preserve">. </w:t>
      </w:r>
    </w:p>
    <w:p w14:paraId="22304C2E" w14:textId="77777777" w:rsidR="00532C25" w:rsidRPr="00511005" w:rsidRDefault="00532C25" w:rsidP="003F6A5D">
      <w:pPr>
        <w:numPr>
          <w:ilvl w:val="0"/>
          <w:numId w:val="588"/>
        </w:numPr>
        <w:spacing w:line="264" w:lineRule="auto"/>
        <w:ind w:left="0" w:firstLine="567"/>
        <w:contextualSpacing/>
        <w:jc w:val="left"/>
        <w:rPr>
          <w:rFonts w:ascii="Arial" w:eastAsia="Calibri" w:hAnsi="Arial" w:cs="Arial"/>
          <w:szCs w:val="28"/>
        </w:rPr>
      </w:pPr>
      <w:r w:rsidRPr="00511005">
        <w:rPr>
          <w:rFonts w:ascii="Arial" w:eastAsia="Calibri" w:hAnsi="Arial" w:cs="Arial"/>
          <w:szCs w:val="28"/>
        </w:rPr>
        <w:t xml:space="preserve">Погорецький М. М. Гарантії прав і свобод особи під час проведення негласних слідчих (розшукових) дій та оперативно-розшукових заходів у досудовому розслідуванні в умовах воєнного стану, надзвичайного стану або у районі проведення АТО. </w:t>
      </w:r>
      <w:r w:rsidRPr="00511005">
        <w:rPr>
          <w:rFonts w:ascii="Arial" w:eastAsia="Calibri" w:hAnsi="Arial" w:cs="Arial"/>
          <w:i/>
          <w:szCs w:val="28"/>
        </w:rPr>
        <w:t>Вісник кримінального судочинства</w:t>
      </w:r>
      <w:r w:rsidRPr="00511005">
        <w:rPr>
          <w:rFonts w:ascii="Arial" w:eastAsia="Calibri" w:hAnsi="Arial" w:cs="Arial"/>
          <w:szCs w:val="28"/>
        </w:rPr>
        <w:t xml:space="preserve">. 2021. С. 99-117. </w:t>
      </w:r>
      <w:r w:rsidRPr="00511005">
        <w:rPr>
          <w:rFonts w:ascii="Arial" w:eastAsia="Calibri" w:hAnsi="Arial" w:cs="Arial"/>
          <w:szCs w:val="28"/>
          <w:lang w:val="en-US"/>
        </w:rPr>
        <w:t>URL</w:t>
      </w:r>
      <w:r w:rsidRPr="00511005">
        <w:rPr>
          <w:rFonts w:ascii="Arial" w:eastAsia="Calibri" w:hAnsi="Arial" w:cs="Arial"/>
          <w:szCs w:val="28"/>
        </w:rPr>
        <w:t xml:space="preserve">: </w:t>
      </w:r>
      <w:hyperlink r:id="rId2193"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vkslaw</w:t>
        </w:r>
        <w:r w:rsidRPr="00511005">
          <w:rPr>
            <w:rFonts w:ascii="Arial" w:eastAsia="Calibri" w:hAnsi="Arial" w:cs="Arial"/>
            <w:szCs w:val="28"/>
          </w:rPr>
          <w:t>.</w:t>
        </w:r>
        <w:r w:rsidRPr="00511005">
          <w:rPr>
            <w:rFonts w:ascii="Arial" w:eastAsia="Calibri" w:hAnsi="Arial" w:cs="Arial"/>
            <w:szCs w:val="28"/>
            <w:lang w:val="en-US"/>
          </w:rPr>
          <w:t>com</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index</w:t>
        </w:r>
        <w:r w:rsidRPr="00511005">
          <w:rPr>
            <w:rFonts w:ascii="Arial" w:eastAsia="Calibri" w:hAnsi="Arial" w:cs="Arial"/>
            <w:szCs w:val="28"/>
          </w:rPr>
          <w:t>.</w:t>
        </w:r>
        <w:r w:rsidRPr="00511005">
          <w:rPr>
            <w:rFonts w:ascii="Arial" w:eastAsia="Calibri" w:hAnsi="Arial" w:cs="Arial"/>
            <w:szCs w:val="28"/>
            <w:lang w:val="en-US"/>
          </w:rPr>
          <w:t>php</w:t>
        </w:r>
        <w:r w:rsidRPr="00511005">
          <w:rPr>
            <w:rFonts w:ascii="Arial" w:eastAsia="Calibri" w:hAnsi="Arial" w:cs="Arial"/>
            <w:szCs w:val="28"/>
          </w:rPr>
          <w:t>/</w:t>
        </w:r>
        <w:r w:rsidRPr="00511005">
          <w:rPr>
            <w:rFonts w:ascii="Arial" w:eastAsia="Calibri" w:hAnsi="Arial" w:cs="Arial"/>
            <w:szCs w:val="28"/>
            <w:lang w:val="en-US"/>
          </w:rPr>
          <w:t>journal</w:t>
        </w:r>
        <w:r w:rsidRPr="00511005">
          <w:rPr>
            <w:rFonts w:ascii="Arial" w:eastAsia="Calibri" w:hAnsi="Arial" w:cs="Arial"/>
            <w:szCs w:val="28"/>
          </w:rPr>
          <w:t>/</w:t>
        </w:r>
        <w:r w:rsidRPr="00511005">
          <w:rPr>
            <w:rFonts w:ascii="Arial" w:eastAsia="Calibri" w:hAnsi="Arial" w:cs="Arial"/>
            <w:szCs w:val="28"/>
            <w:lang w:val="en-US"/>
          </w:rPr>
          <w:t>article</w:t>
        </w:r>
        <w:r w:rsidRPr="00511005">
          <w:rPr>
            <w:rFonts w:ascii="Arial" w:eastAsia="Calibri" w:hAnsi="Arial" w:cs="Arial"/>
            <w:szCs w:val="28"/>
          </w:rPr>
          <w:t>/</w:t>
        </w:r>
        <w:r w:rsidRPr="00511005">
          <w:rPr>
            <w:rFonts w:ascii="Arial" w:eastAsia="Calibri" w:hAnsi="Arial" w:cs="Arial"/>
            <w:szCs w:val="28"/>
            <w:lang w:val="en-US"/>
          </w:rPr>
          <w:t>view</w:t>
        </w:r>
        <w:r w:rsidRPr="00511005">
          <w:rPr>
            <w:rFonts w:ascii="Arial" w:eastAsia="Calibri" w:hAnsi="Arial" w:cs="Arial"/>
            <w:szCs w:val="28"/>
          </w:rPr>
          <w:t>/83/65</w:t>
        </w:r>
      </w:hyperlink>
      <w:r w:rsidRPr="00511005">
        <w:rPr>
          <w:rFonts w:ascii="Arial" w:eastAsia="Calibri" w:hAnsi="Arial" w:cs="Arial"/>
          <w:szCs w:val="28"/>
        </w:rPr>
        <w:t xml:space="preserve">. </w:t>
      </w:r>
    </w:p>
    <w:p w14:paraId="31E74772" w14:textId="77777777" w:rsidR="00532C25" w:rsidRPr="00511005" w:rsidRDefault="00532C25" w:rsidP="00532C25">
      <w:pPr>
        <w:spacing w:line="264" w:lineRule="auto"/>
        <w:rPr>
          <w:rFonts w:ascii="Arial" w:eastAsia="Arial" w:hAnsi="Arial" w:cs="Arial"/>
          <w:b/>
          <w:szCs w:val="28"/>
          <w:lang w:eastAsia="ru-RU"/>
        </w:rPr>
      </w:pPr>
    </w:p>
    <w:p w14:paraId="10ACA5E0" w14:textId="77777777" w:rsidR="00532C25" w:rsidRPr="00511005" w:rsidRDefault="00532C25" w:rsidP="00532C25">
      <w:pPr>
        <w:spacing w:line="264" w:lineRule="auto"/>
        <w:rPr>
          <w:rFonts w:ascii="Arial" w:eastAsia="Times New Roman" w:hAnsi="Arial" w:cs="Arial"/>
          <w:szCs w:val="28"/>
          <w:lang w:eastAsia="uk-UA"/>
        </w:rPr>
      </w:pPr>
      <w:r w:rsidRPr="00511005">
        <w:rPr>
          <w:rFonts w:ascii="Arial" w:eastAsia="Arial" w:hAnsi="Arial" w:cs="Arial"/>
          <w:b/>
          <w:i/>
          <w:szCs w:val="28"/>
          <w:lang w:val="ru" w:eastAsia="ru-RU"/>
        </w:rPr>
        <w:t xml:space="preserve">Ключові слова: </w:t>
      </w:r>
      <w:r w:rsidRPr="00511005">
        <w:rPr>
          <w:rFonts w:ascii="Arial" w:eastAsia="Arial" w:hAnsi="Arial" w:cs="Arial"/>
          <w:szCs w:val="28"/>
          <w:lang w:val="ru" w:eastAsia="uk-UA"/>
        </w:rPr>
        <w:t>кримінально</w:t>
      </w:r>
      <w:r w:rsidRPr="00511005">
        <w:rPr>
          <w:rFonts w:ascii="Arial" w:eastAsia="Arial" w:hAnsi="Arial" w:cs="Arial"/>
          <w:szCs w:val="28"/>
          <w:lang w:eastAsia="uk-UA"/>
        </w:rPr>
        <w:t>-</w:t>
      </w:r>
      <w:r w:rsidRPr="00511005">
        <w:rPr>
          <w:rFonts w:ascii="Arial" w:eastAsia="Arial" w:hAnsi="Arial" w:cs="Arial"/>
          <w:szCs w:val="28"/>
          <w:lang w:val="ru" w:eastAsia="uk-UA"/>
        </w:rPr>
        <w:t>процесуальні</w:t>
      </w:r>
      <w:r w:rsidRPr="00511005">
        <w:rPr>
          <w:rFonts w:ascii="Arial" w:eastAsia="Arial" w:hAnsi="Arial" w:cs="Arial"/>
          <w:szCs w:val="28"/>
          <w:lang w:eastAsia="uk-UA"/>
        </w:rPr>
        <w:t xml:space="preserve"> </w:t>
      </w:r>
      <w:r w:rsidRPr="00511005">
        <w:rPr>
          <w:rFonts w:ascii="Arial" w:eastAsia="Arial" w:hAnsi="Arial" w:cs="Arial"/>
          <w:szCs w:val="28"/>
          <w:lang w:val="ru" w:eastAsia="uk-UA"/>
        </w:rPr>
        <w:t>гарантії</w:t>
      </w:r>
      <w:r w:rsidRPr="00511005">
        <w:rPr>
          <w:rFonts w:ascii="Arial" w:eastAsia="Arial" w:hAnsi="Arial" w:cs="Arial"/>
          <w:szCs w:val="28"/>
          <w:lang w:eastAsia="ru-RU"/>
        </w:rPr>
        <w:t xml:space="preserve">, </w:t>
      </w:r>
      <w:r w:rsidRPr="00511005">
        <w:rPr>
          <w:rFonts w:ascii="Arial" w:eastAsia="Arial" w:hAnsi="Arial" w:cs="Arial"/>
          <w:szCs w:val="28"/>
          <w:lang w:val="ru" w:eastAsia="uk-UA"/>
        </w:rPr>
        <w:t>негласні</w:t>
      </w:r>
      <w:r w:rsidRPr="00511005">
        <w:rPr>
          <w:rFonts w:ascii="Arial" w:eastAsia="Arial" w:hAnsi="Arial" w:cs="Arial"/>
          <w:szCs w:val="28"/>
          <w:lang w:eastAsia="uk-UA"/>
        </w:rPr>
        <w:t xml:space="preserve"> </w:t>
      </w:r>
      <w:r w:rsidRPr="00511005">
        <w:rPr>
          <w:rFonts w:ascii="Arial" w:eastAsia="Arial" w:hAnsi="Arial" w:cs="Arial"/>
          <w:szCs w:val="28"/>
          <w:lang w:val="ru" w:eastAsia="uk-UA"/>
        </w:rPr>
        <w:t>слідчі</w:t>
      </w:r>
      <w:r w:rsidRPr="00511005">
        <w:rPr>
          <w:rFonts w:ascii="Arial" w:eastAsia="Arial" w:hAnsi="Arial" w:cs="Arial"/>
          <w:szCs w:val="28"/>
          <w:lang w:eastAsia="uk-UA"/>
        </w:rPr>
        <w:t xml:space="preserve"> (</w:t>
      </w:r>
      <w:r w:rsidRPr="00511005">
        <w:rPr>
          <w:rFonts w:ascii="Arial" w:eastAsia="Arial" w:hAnsi="Arial" w:cs="Arial"/>
          <w:szCs w:val="28"/>
          <w:lang w:val="ru" w:eastAsia="uk-UA"/>
        </w:rPr>
        <w:t>розшукові</w:t>
      </w:r>
      <w:r w:rsidRPr="00511005">
        <w:rPr>
          <w:rFonts w:ascii="Arial" w:eastAsia="Arial" w:hAnsi="Arial" w:cs="Arial"/>
          <w:szCs w:val="28"/>
          <w:lang w:eastAsia="uk-UA"/>
        </w:rPr>
        <w:t xml:space="preserve">) </w:t>
      </w:r>
      <w:r w:rsidRPr="00511005">
        <w:rPr>
          <w:rFonts w:ascii="Arial" w:eastAsia="Arial" w:hAnsi="Arial" w:cs="Arial"/>
          <w:szCs w:val="28"/>
          <w:lang w:val="ru" w:eastAsia="uk-UA"/>
        </w:rPr>
        <w:t>дії</w:t>
      </w:r>
      <w:r w:rsidRPr="00511005">
        <w:rPr>
          <w:rFonts w:ascii="Arial" w:eastAsia="Arial" w:hAnsi="Arial" w:cs="Arial"/>
          <w:szCs w:val="28"/>
          <w:lang w:eastAsia="ru-RU"/>
        </w:rPr>
        <w:t xml:space="preserve">, </w:t>
      </w:r>
      <w:r w:rsidRPr="00511005">
        <w:rPr>
          <w:rFonts w:ascii="Arial" w:eastAsia="Arial" w:hAnsi="Arial" w:cs="Arial"/>
          <w:szCs w:val="28"/>
          <w:lang w:val="ru" w:eastAsia="uk-UA"/>
        </w:rPr>
        <w:t>оперативно</w:t>
      </w:r>
      <w:r w:rsidRPr="00511005">
        <w:rPr>
          <w:rFonts w:ascii="Arial" w:eastAsia="Arial" w:hAnsi="Arial" w:cs="Arial"/>
          <w:szCs w:val="28"/>
          <w:lang w:eastAsia="uk-UA"/>
        </w:rPr>
        <w:t>-</w:t>
      </w:r>
      <w:r w:rsidRPr="00511005">
        <w:rPr>
          <w:rFonts w:ascii="Arial" w:eastAsia="Arial" w:hAnsi="Arial" w:cs="Arial"/>
          <w:szCs w:val="28"/>
          <w:lang w:val="ru" w:eastAsia="uk-UA"/>
        </w:rPr>
        <w:t>розшукові</w:t>
      </w:r>
      <w:r w:rsidRPr="00511005">
        <w:rPr>
          <w:rFonts w:ascii="Arial" w:eastAsia="Arial" w:hAnsi="Arial" w:cs="Arial"/>
          <w:szCs w:val="28"/>
          <w:lang w:eastAsia="uk-UA"/>
        </w:rPr>
        <w:t xml:space="preserve"> </w:t>
      </w:r>
      <w:r w:rsidRPr="00511005">
        <w:rPr>
          <w:rFonts w:ascii="Arial" w:eastAsia="Arial" w:hAnsi="Arial" w:cs="Arial"/>
          <w:szCs w:val="28"/>
          <w:lang w:val="ru" w:eastAsia="uk-UA"/>
        </w:rPr>
        <w:t>заходи</w:t>
      </w:r>
      <w:r w:rsidRPr="00511005">
        <w:rPr>
          <w:rFonts w:ascii="Arial" w:eastAsia="Arial" w:hAnsi="Arial" w:cs="Arial"/>
          <w:szCs w:val="28"/>
          <w:lang w:eastAsia="ru-RU"/>
        </w:rPr>
        <w:t xml:space="preserve">, </w:t>
      </w:r>
      <w:r w:rsidRPr="00511005">
        <w:rPr>
          <w:rFonts w:ascii="Arial" w:eastAsia="Arial" w:hAnsi="Arial" w:cs="Arial"/>
          <w:szCs w:val="28"/>
          <w:lang w:val="ru" w:eastAsia="uk-UA"/>
        </w:rPr>
        <w:t>права</w:t>
      </w:r>
      <w:r w:rsidRPr="00511005">
        <w:rPr>
          <w:rFonts w:ascii="Arial" w:eastAsia="Arial" w:hAnsi="Arial" w:cs="Arial"/>
          <w:szCs w:val="28"/>
          <w:lang w:eastAsia="uk-UA"/>
        </w:rPr>
        <w:t xml:space="preserve"> </w:t>
      </w:r>
      <w:r w:rsidRPr="00511005">
        <w:rPr>
          <w:rFonts w:ascii="Arial" w:eastAsia="Arial" w:hAnsi="Arial" w:cs="Arial"/>
          <w:szCs w:val="28"/>
          <w:lang w:val="ru" w:eastAsia="uk-UA"/>
        </w:rPr>
        <w:t>і</w:t>
      </w:r>
      <w:r w:rsidRPr="00511005">
        <w:rPr>
          <w:rFonts w:ascii="Arial" w:eastAsia="Arial" w:hAnsi="Arial" w:cs="Arial"/>
          <w:szCs w:val="28"/>
          <w:lang w:eastAsia="uk-UA"/>
        </w:rPr>
        <w:t xml:space="preserve"> </w:t>
      </w:r>
      <w:r w:rsidRPr="00511005">
        <w:rPr>
          <w:rFonts w:ascii="Arial" w:eastAsia="Arial" w:hAnsi="Arial" w:cs="Arial"/>
          <w:szCs w:val="28"/>
          <w:lang w:val="ru" w:eastAsia="uk-UA"/>
        </w:rPr>
        <w:t>свободи</w:t>
      </w:r>
      <w:r w:rsidRPr="00511005">
        <w:rPr>
          <w:rFonts w:ascii="Arial" w:eastAsia="Arial" w:hAnsi="Arial" w:cs="Arial"/>
          <w:szCs w:val="28"/>
          <w:lang w:eastAsia="uk-UA"/>
        </w:rPr>
        <w:t xml:space="preserve"> </w:t>
      </w:r>
      <w:r w:rsidRPr="00511005">
        <w:rPr>
          <w:rFonts w:ascii="Arial" w:eastAsia="Arial" w:hAnsi="Arial" w:cs="Arial"/>
          <w:szCs w:val="28"/>
          <w:lang w:val="ru" w:eastAsia="uk-UA"/>
        </w:rPr>
        <w:t>людини</w:t>
      </w:r>
      <w:r w:rsidRPr="00511005">
        <w:rPr>
          <w:rFonts w:ascii="Arial" w:eastAsia="Arial" w:hAnsi="Arial" w:cs="Arial"/>
          <w:szCs w:val="28"/>
          <w:lang w:eastAsia="ru-RU"/>
        </w:rPr>
        <w:t xml:space="preserve">, </w:t>
      </w:r>
      <w:r w:rsidRPr="00511005">
        <w:rPr>
          <w:rFonts w:ascii="Arial" w:eastAsia="Arial" w:hAnsi="Arial" w:cs="Arial"/>
          <w:szCs w:val="28"/>
          <w:lang w:val="ru" w:eastAsia="uk-UA"/>
        </w:rPr>
        <w:t>законність</w:t>
      </w:r>
      <w:r w:rsidRPr="00511005">
        <w:rPr>
          <w:rFonts w:ascii="Arial" w:eastAsia="Arial" w:hAnsi="Arial" w:cs="Arial"/>
          <w:szCs w:val="28"/>
          <w:lang w:eastAsia="ru-RU"/>
        </w:rPr>
        <w:t xml:space="preserve">, </w:t>
      </w:r>
      <w:r w:rsidRPr="00511005">
        <w:rPr>
          <w:rFonts w:ascii="Arial" w:eastAsia="Arial" w:hAnsi="Arial" w:cs="Arial"/>
          <w:szCs w:val="28"/>
          <w:lang w:val="ru" w:eastAsia="uk-UA"/>
        </w:rPr>
        <w:t>кримінальне</w:t>
      </w:r>
      <w:r w:rsidRPr="00511005">
        <w:rPr>
          <w:rFonts w:ascii="Arial" w:eastAsia="Arial" w:hAnsi="Arial" w:cs="Arial"/>
          <w:szCs w:val="28"/>
          <w:lang w:eastAsia="uk-UA"/>
        </w:rPr>
        <w:t xml:space="preserve"> </w:t>
      </w:r>
      <w:r w:rsidRPr="00511005">
        <w:rPr>
          <w:rFonts w:ascii="Arial" w:eastAsia="Arial" w:hAnsi="Arial" w:cs="Arial"/>
          <w:szCs w:val="28"/>
          <w:lang w:val="ru" w:eastAsia="uk-UA"/>
        </w:rPr>
        <w:t>провадження</w:t>
      </w:r>
      <w:r w:rsidRPr="00511005">
        <w:rPr>
          <w:rFonts w:ascii="Arial" w:eastAsia="Arial" w:hAnsi="Arial" w:cs="Arial"/>
          <w:szCs w:val="28"/>
          <w:lang w:eastAsia="ru-RU"/>
        </w:rPr>
        <w:t xml:space="preserve">, </w:t>
      </w:r>
      <w:r w:rsidRPr="00511005">
        <w:rPr>
          <w:rFonts w:ascii="Arial" w:eastAsia="Arial" w:hAnsi="Arial" w:cs="Arial"/>
          <w:szCs w:val="28"/>
          <w:lang w:val="ru" w:eastAsia="uk-UA"/>
        </w:rPr>
        <w:t>правовий</w:t>
      </w:r>
      <w:r w:rsidRPr="00511005">
        <w:rPr>
          <w:rFonts w:ascii="Arial" w:eastAsia="Arial" w:hAnsi="Arial" w:cs="Arial"/>
          <w:szCs w:val="28"/>
          <w:lang w:eastAsia="uk-UA"/>
        </w:rPr>
        <w:t xml:space="preserve"> </w:t>
      </w:r>
      <w:r w:rsidRPr="00511005">
        <w:rPr>
          <w:rFonts w:ascii="Arial" w:eastAsia="Arial" w:hAnsi="Arial" w:cs="Arial"/>
          <w:szCs w:val="28"/>
          <w:lang w:val="ru" w:eastAsia="uk-UA"/>
        </w:rPr>
        <w:t>механізм</w:t>
      </w:r>
      <w:r w:rsidRPr="00511005">
        <w:rPr>
          <w:rFonts w:ascii="Arial" w:eastAsia="Arial" w:hAnsi="Arial" w:cs="Arial"/>
          <w:szCs w:val="28"/>
          <w:lang w:eastAsia="uk-UA"/>
        </w:rPr>
        <w:t xml:space="preserve"> </w:t>
      </w:r>
      <w:r w:rsidRPr="00511005">
        <w:rPr>
          <w:rFonts w:ascii="Arial" w:eastAsia="Arial" w:hAnsi="Arial" w:cs="Arial"/>
          <w:szCs w:val="28"/>
          <w:lang w:val="ru" w:eastAsia="uk-UA"/>
        </w:rPr>
        <w:t>захисту</w:t>
      </w:r>
      <w:r w:rsidRPr="00511005">
        <w:rPr>
          <w:rFonts w:ascii="Arial" w:eastAsia="Arial" w:hAnsi="Arial" w:cs="Arial"/>
          <w:szCs w:val="28"/>
          <w:lang w:eastAsia="ru-RU"/>
        </w:rPr>
        <w:t xml:space="preserve">, </w:t>
      </w:r>
      <w:r w:rsidRPr="00511005">
        <w:rPr>
          <w:rFonts w:ascii="Arial" w:eastAsia="Arial" w:hAnsi="Arial" w:cs="Arial"/>
          <w:szCs w:val="28"/>
          <w:lang w:val="ru" w:eastAsia="uk-UA"/>
        </w:rPr>
        <w:t>Конституція</w:t>
      </w:r>
      <w:r w:rsidRPr="00511005">
        <w:rPr>
          <w:rFonts w:ascii="Arial" w:eastAsia="Arial" w:hAnsi="Arial" w:cs="Arial"/>
          <w:szCs w:val="28"/>
          <w:lang w:eastAsia="uk-UA"/>
        </w:rPr>
        <w:t xml:space="preserve"> </w:t>
      </w:r>
      <w:r w:rsidRPr="00511005">
        <w:rPr>
          <w:rFonts w:ascii="Arial" w:eastAsia="Arial" w:hAnsi="Arial" w:cs="Arial"/>
          <w:szCs w:val="28"/>
          <w:lang w:val="ru" w:eastAsia="uk-UA"/>
        </w:rPr>
        <w:t>України</w:t>
      </w:r>
      <w:r w:rsidRPr="00511005">
        <w:rPr>
          <w:rFonts w:ascii="Arial" w:eastAsia="Arial" w:hAnsi="Arial" w:cs="Arial"/>
          <w:szCs w:val="28"/>
          <w:lang w:eastAsia="ru-RU"/>
        </w:rPr>
        <w:t xml:space="preserve">, </w:t>
      </w:r>
      <w:r w:rsidRPr="00511005">
        <w:rPr>
          <w:rFonts w:ascii="Arial" w:eastAsia="Arial" w:hAnsi="Arial" w:cs="Arial"/>
          <w:szCs w:val="28"/>
          <w:lang w:val="ru" w:eastAsia="uk-UA"/>
        </w:rPr>
        <w:t>судовий</w:t>
      </w:r>
      <w:r w:rsidRPr="00511005">
        <w:rPr>
          <w:rFonts w:ascii="Arial" w:eastAsia="Arial" w:hAnsi="Arial" w:cs="Arial"/>
          <w:szCs w:val="28"/>
          <w:lang w:eastAsia="uk-UA"/>
        </w:rPr>
        <w:t xml:space="preserve"> </w:t>
      </w:r>
      <w:r w:rsidRPr="00511005">
        <w:rPr>
          <w:rFonts w:ascii="Arial" w:eastAsia="Arial" w:hAnsi="Arial" w:cs="Arial"/>
          <w:szCs w:val="28"/>
          <w:lang w:val="ru" w:eastAsia="uk-UA"/>
        </w:rPr>
        <w:t>контроль</w:t>
      </w:r>
      <w:r w:rsidRPr="00511005">
        <w:rPr>
          <w:rFonts w:ascii="Arial" w:eastAsia="Arial" w:hAnsi="Arial" w:cs="Arial"/>
          <w:szCs w:val="28"/>
          <w:lang w:eastAsia="ru-RU"/>
        </w:rPr>
        <w:t xml:space="preserve">, </w:t>
      </w:r>
      <w:r w:rsidRPr="00511005">
        <w:rPr>
          <w:rFonts w:ascii="Arial" w:eastAsia="Arial" w:hAnsi="Arial" w:cs="Arial"/>
          <w:szCs w:val="28"/>
          <w:lang w:val="ru" w:eastAsia="uk-UA"/>
        </w:rPr>
        <w:t>досудове</w:t>
      </w:r>
      <w:r w:rsidRPr="00511005">
        <w:rPr>
          <w:rFonts w:ascii="Arial" w:eastAsia="Arial" w:hAnsi="Arial" w:cs="Arial"/>
          <w:szCs w:val="28"/>
          <w:lang w:eastAsia="uk-UA"/>
        </w:rPr>
        <w:t xml:space="preserve"> </w:t>
      </w:r>
      <w:r w:rsidRPr="00511005">
        <w:rPr>
          <w:rFonts w:ascii="Arial" w:eastAsia="Arial" w:hAnsi="Arial" w:cs="Arial"/>
          <w:szCs w:val="28"/>
          <w:lang w:val="ru" w:eastAsia="uk-UA"/>
        </w:rPr>
        <w:t>розслідування</w:t>
      </w:r>
      <w:r w:rsidRPr="00511005">
        <w:rPr>
          <w:rFonts w:ascii="Arial" w:eastAsia="Arial" w:hAnsi="Arial" w:cs="Arial"/>
          <w:szCs w:val="28"/>
          <w:lang w:eastAsia="ru-RU"/>
        </w:rPr>
        <w:t xml:space="preserve">, </w:t>
      </w:r>
      <w:r w:rsidRPr="00511005">
        <w:rPr>
          <w:rFonts w:ascii="Arial" w:eastAsia="Arial" w:hAnsi="Arial" w:cs="Arial"/>
          <w:szCs w:val="28"/>
          <w:lang w:val="ru" w:eastAsia="uk-UA"/>
        </w:rPr>
        <w:t>воєнний</w:t>
      </w:r>
      <w:r w:rsidRPr="00511005">
        <w:rPr>
          <w:rFonts w:ascii="Arial" w:eastAsia="Arial" w:hAnsi="Arial" w:cs="Arial"/>
          <w:szCs w:val="28"/>
          <w:lang w:eastAsia="uk-UA"/>
        </w:rPr>
        <w:t xml:space="preserve"> </w:t>
      </w:r>
      <w:r w:rsidRPr="00511005">
        <w:rPr>
          <w:rFonts w:ascii="Arial" w:eastAsia="Arial" w:hAnsi="Arial" w:cs="Arial"/>
          <w:szCs w:val="28"/>
          <w:lang w:val="ru" w:eastAsia="uk-UA"/>
        </w:rPr>
        <w:t>стан</w:t>
      </w:r>
      <w:r w:rsidRPr="00511005">
        <w:rPr>
          <w:rFonts w:ascii="Arial" w:eastAsia="Arial" w:hAnsi="Arial" w:cs="Arial"/>
          <w:szCs w:val="28"/>
          <w:lang w:eastAsia="ru-RU"/>
        </w:rPr>
        <w:t>.</w:t>
      </w:r>
    </w:p>
    <w:p w14:paraId="4A644476" w14:textId="77777777" w:rsidR="00532C25" w:rsidRPr="00511005" w:rsidRDefault="00532C25" w:rsidP="00532C25">
      <w:pPr>
        <w:spacing w:line="264" w:lineRule="auto"/>
        <w:rPr>
          <w:rFonts w:ascii="Arial" w:eastAsia="Arial" w:hAnsi="Arial" w:cs="Arial"/>
          <w:b/>
          <w:szCs w:val="28"/>
          <w:lang w:val="en-US" w:eastAsia="ru-RU"/>
        </w:rPr>
      </w:pPr>
      <w:r w:rsidRPr="00511005">
        <w:rPr>
          <w:rFonts w:ascii="Arial" w:eastAsia="Arial" w:hAnsi="Arial" w:cs="Arial"/>
          <w:b/>
          <w:i/>
          <w:szCs w:val="28"/>
          <w:lang w:val="en-US" w:eastAsia="ru-RU"/>
        </w:rPr>
        <w:t xml:space="preserve">Key words: </w:t>
      </w:r>
      <w:r w:rsidRPr="00511005">
        <w:rPr>
          <w:rFonts w:ascii="Arial" w:eastAsia="Arial" w:hAnsi="Arial" w:cs="Arial"/>
          <w:szCs w:val="28"/>
          <w:lang w:val="en-US" w:eastAsia="ru-RU"/>
        </w:rPr>
        <w:t>criminal procedural guarantees, covert investigative (search) actions, operative search measures, human rights and freedoms, legality, criminal proceedings, legal mechanism of protection, the Constitution of Ukraine, judicial control, pre-trial investigation, martial law.</w:t>
      </w:r>
    </w:p>
    <w:p w14:paraId="03A344A7" w14:textId="77777777" w:rsidR="00532C25" w:rsidRPr="00B0230F" w:rsidRDefault="00532C25" w:rsidP="00532C25">
      <w:pPr>
        <w:spacing w:line="264" w:lineRule="auto"/>
        <w:rPr>
          <w:rFonts w:ascii="Arial" w:eastAsia="Arial" w:hAnsi="Arial" w:cs="Arial"/>
          <w:iCs/>
          <w:szCs w:val="28"/>
          <w:lang w:val="uk-UA" w:eastAsia="ru-RU"/>
        </w:rPr>
      </w:pPr>
      <w:r w:rsidRPr="00511005">
        <w:rPr>
          <w:rFonts w:ascii="Arial" w:eastAsia="Arial" w:hAnsi="Arial" w:cs="Arial"/>
          <w:b/>
          <w:i/>
          <w:szCs w:val="28"/>
          <w:lang w:val="ru" w:eastAsia="ru-RU"/>
        </w:rPr>
        <w:t xml:space="preserve">Науковий керівник: </w:t>
      </w:r>
      <w:r w:rsidRPr="00B0230F">
        <w:rPr>
          <w:rFonts w:ascii="Arial" w:eastAsia="Times New Roman" w:hAnsi="Arial" w:cs="Arial"/>
          <w:iCs/>
          <w:szCs w:val="28"/>
          <w:lang w:val="uk-UA" w:eastAsia="ru-RU"/>
        </w:rPr>
        <w:t xml:space="preserve">к.ю.н., доцент Пожар В.Г. </w:t>
      </w:r>
    </w:p>
    <w:p w14:paraId="298D6FB8" w14:textId="77777777" w:rsidR="00532C25" w:rsidRPr="00511005" w:rsidRDefault="00532C25" w:rsidP="00532C25">
      <w:pPr>
        <w:spacing w:line="264" w:lineRule="auto"/>
        <w:ind w:firstLine="0"/>
        <w:rPr>
          <w:rFonts w:ascii="Arial" w:eastAsia="Arial" w:hAnsi="Arial" w:cs="Arial"/>
          <w:szCs w:val="28"/>
          <w:lang w:val="ru" w:eastAsia="ru-RU"/>
        </w:rPr>
      </w:pPr>
    </w:p>
    <w:p w14:paraId="3203B066" w14:textId="77777777" w:rsidR="00532C25" w:rsidRPr="00511005" w:rsidRDefault="00532C25" w:rsidP="00532C25">
      <w:pPr>
        <w:spacing w:line="264" w:lineRule="auto"/>
        <w:jc w:val="center"/>
        <w:rPr>
          <w:rFonts w:ascii="Arial" w:eastAsia="Arial" w:hAnsi="Arial" w:cs="Arial"/>
          <w:b/>
          <w:i/>
          <w:szCs w:val="28"/>
          <w:lang w:val="ru" w:eastAsia="ru-RU"/>
        </w:rPr>
      </w:pPr>
      <w:r w:rsidRPr="00511005">
        <w:rPr>
          <w:rFonts w:ascii="Arial" w:eastAsia="Arial" w:hAnsi="Arial" w:cs="Arial"/>
          <w:b/>
          <w:i/>
          <w:szCs w:val="28"/>
          <w:lang w:val="ru" w:eastAsia="ru-RU"/>
        </w:rPr>
        <w:t>Клапоущак Дарʼя Сергіївна</w:t>
      </w:r>
    </w:p>
    <w:p w14:paraId="529308A1" w14:textId="77777777" w:rsidR="00532C25" w:rsidRPr="00511005" w:rsidRDefault="00532C25" w:rsidP="00532C25">
      <w:pPr>
        <w:spacing w:line="264" w:lineRule="auto"/>
        <w:ind w:firstLine="0"/>
        <w:jc w:val="center"/>
        <w:rPr>
          <w:rFonts w:ascii="Arial" w:eastAsia="Arial" w:hAnsi="Arial" w:cs="Arial"/>
          <w:szCs w:val="28"/>
          <w:lang w:val="ru" w:eastAsia="ru-RU"/>
        </w:rPr>
      </w:pPr>
      <w:r w:rsidRPr="00511005">
        <w:rPr>
          <w:rFonts w:ascii="Arial" w:eastAsia="Arial" w:hAnsi="Arial" w:cs="Arial"/>
          <w:szCs w:val="28"/>
          <w:lang w:val="ru" w:eastAsia="ru-RU"/>
        </w:rPr>
        <w:t>студентка 1-го курсу магістратури факультету судового та міжнародного права</w:t>
      </w:r>
      <w:r w:rsidRPr="00511005">
        <w:rPr>
          <w:rFonts w:ascii="Arial" w:eastAsia="Arial" w:hAnsi="Arial" w:cs="Arial"/>
          <w:szCs w:val="28"/>
          <w:lang w:val="ru" w:eastAsia="ru-RU"/>
        </w:rPr>
        <w:br/>
        <w:t>Національного університету «Одеська юридична академія</w:t>
      </w:r>
    </w:p>
    <w:p w14:paraId="6DBEDE94" w14:textId="77777777" w:rsidR="00532C25" w:rsidRPr="00511005" w:rsidRDefault="00532C25" w:rsidP="00532C25">
      <w:pPr>
        <w:spacing w:line="264" w:lineRule="auto"/>
        <w:rPr>
          <w:rFonts w:ascii="Arial" w:eastAsia="Arial" w:hAnsi="Arial" w:cs="Arial"/>
          <w:b/>
          <w:szCs w:val="28"/>
          <w:lang w:val="ru" w:eastAsia="ru-RU"/>
        </w:rPr>
      </w:pPr>
    </w:p>
    <w:p w14:paraId="4E6DC8A7" w14:textId="77777777" w:rsidR="00532C25" w:rsidRPr="00511005" w:rsidRDefault="00532C25" w:rsidP="00532C25">
      <w:pPr>
        <w:spacing w:line="264" w:lineRule="auto"/>
        <w:jc w:val="center"/>
        <w:rPr>
          <w:rFonts w:ascii="Arial" w:eastAsia="Arial" w:hAnsi="Arial" w:cs="Arial"/>
          <w:b/>
          <w:szCs w:val="28"/>
          <w:lang w:val="ru" w:eastAsia="ru-RU"/>
        </w:rPr>
      </w:pPr>
      <w:r w:rsidRPr="00511005">
        <w:rPr>
          <w:rFonts w:ascii="Arial" w:eastAsia="Arial" w:hAnsi="Arial" w:cs="Arial"/>
          <w:b/>
          <w:szCs w:val="28"/>
          <w:lang w:val="ru" w:eastAsia="ru-RU"/>
        </w:rPr>
        <w:t>РЕАЛІЗАЦІЯ СТАНДАРТІВ ЕФЕКТИВНОСТІ ДОСУДОВОГО РОЗСЛІДУВАННЯ В УМОВАХ ВОЄННОГО СТАНУ</w:t>
      </w:r>
    </w:p>
    <w:p w14:paraId="64B7964B"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lastRenderedPageBreak/>
        <w:t xml:space="preserve">Запровадження воєнного стану в Україні загострило проблеми у сфері кримінального провадження та водночас спричинило виникнення нових викликів, що обумовило необхідність системних змін і доповнень до Розділу IX-1 Кримінального процесуального кодексу України (далі – КПК України) </w:t>
      </w:r>
      <w:r w:rsidRPr="00511005">
        <w:rPr>
          <w:rFonts w:ascii="Arial" w:eastAsia="Arial" w:hAnsi="Arial" w:cs="Arial"/>
          <w:szCs w:val="28"/>
          <w:lang w:eastAsia="ru-RU"/>
        </w:rPr>
        <w:t>[1]</w:t>
      </w:r>
      <w:r w:rsidRPr="00511005">
        <w:rPr>
          <w:rFonts w:ascii="Arial" w:eastAsia="Arial" w:hAnsi="Arial" w:cs="Arial"/>
          <w:szCs w:val="28"/>
          <w:lang w:val="ru" w:eastAsia="ru-RU"/>
        </w:rPr>
        <w:t>. Зміни стосуються двох основних напрямів кримінального провадження: розслідування воєнних злочинів, що передбачає специфіку документування порушень міжнародного гуманітарного права та розслідування інших кримінальних правопорушень.</w:t>
      </w:r>
    </w:p>
    <w:p w14:paraId="720D9D1A"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Особливі труднощі виникають під час проведення процесуальних дій, забезпечення належного їх фіксування, оперативного прийняття процесуальних рішень, застосування заходів забезпечення кримінального провадження, дотримання строків кримінального провадження, а також реалізації повноважень прокурора та керівника органу прокуратури. Зазначені чинники впливають на ефективність досудового розслідування, обумовлюють потребу в адаптації кримінального процесу до надзвичайних умов та в розробці спеціальних процесуальних механізмів, які б забезпечували баланс між ефективністю розслідування і дотриманням прав людини.</w:t>
      </w:r>
    </w:p>
    <w:p w14:paraId="0F50D0D4"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Важливим чинником, що визначає ефективність досудового розслідування в умовах воєнного стану, є врахування попереднього практичного досвіду, накопиченого у ході розслідувань, проведених з 2014 року в зоні проведення антитерористичної операції (АТО) та операції об’єднаних сил (ООС). Як зауважує О. М. Федорів, напрацювання цього періоду мали істотний вплив на розвиток механізмів розслідування злочинів в умовах активних бойових дій [2, с. 211]. Сьогодні, коли на території України досі тривають активні збройні конфлікти, забезпечення незалежності та неупередженості органів досудового розслідування ускладнюється через ризики для життя слідчих, прокурорів, потерпілих, свідків та інших учасників кримінального процесу. Проте, відповідно до практики Європейського суду з прав людини, зокрема статей 2 та 3 Конвенції про захист прав людини і основоположних свобод, держава зобов’язана забезпечити ефективне, незалежне та неупереджене розслідування, навіть </w:t>
      </w:r>
      <w:proofErr w:type="gramStart"/>
      <w:r w:rsidRPr="00511005">
        <w:rPr>
          <w:rFonts w:ascii="Arial" w:eastAsia="Arial" w:hAnsi="Arial" w:cs="Arial"/>
          <w:szCs w:val="28"/>
          <w:lang w:val="ru" w:eastAsia="ru-RU"/>
        </w:rPr>
        <w:t>за умов</w:t>
      </w:r>
      <w:proofErr w:type="gramEnd"/>
      <w:r w:rsidRPr="00511005">
        <w:rPr>
          <w:rFonts w:ascii="Arial" w:eastAsia="Arial" w:hAnsi="Arial" w:cs="Arial"/>
          <w:szCs w:val="28"/>
          <w:lang w:val="ru" w:eastAsia="ru-RU"/>
        </w:rPr>
        <w:t xml:space="preserve"> надзвичайної складності та небезпеки. </w:t>
      </w:r>
    </w:p>
    <w:p w14:paraId="2A681B86"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Варто зауважити, що ефективність досудового розслідування залежить від здатності правоохоронних органів швидко адаптуватися до змінюваних обставин, оперативно здійснювати розслідування, а також використовувати новітні технології для збору доказів. Звичні методи розслідування можуть бути обмежені через фізичні небезпеки, неможливість проведення експертиз у звичному порядку, а також обмеження доступу до свідків чи потерпілих, тому використання сучасних технологій, зокрема відеоспостереження, дистанційних методів збору </w:t>
      </w:r>
      <w:r w:rsidRPr="00511005">
        <w:rPr>
          <w:rFonts w:ascii="Arial" w:eastAsia="Arial" w:hAnsi="Arial" w:cs="Arial"/>
          <w:szCs w:val="28"/>
          <w:lang w:val="ru" w:eastAsia="ru-RU"/>
        </w:rPr>
        <w:lastRenderedPageBreak/>
        <w:t>доказів, а також міжнародна співпраця для забезпечення доступу до інформації, може значно підвищити ефективність розслідування.</w:t>
      </w:r>
    </w:p>
    <w:p w14:paraId="76F4BA98"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В умовах воєнного стану та надзвичайних обставин також виникають труднощі, пов’язані з належним виконанням процесуальних процедур, таких як встановлення причин смерті особи. У Наказі «Про затвердження Порядку взаємодії між органами та підрозділами Національної поліції України, закладами охорони здоров’я та органами прокуратури України при встановленні факту смерті людини під час воєнного стану на території України» [3] не визначено чіткої підстави, за якою письмовою вказівкою від органів військової адміністрації, Служби безпеки України та інших уповноважених органів може бути зупинена видача лікарського свідоцтва про смерть. Крім того, відсутні конкретні визначення випадків, у яких можливе проведення розтину трупу або інших необхідних досліджень, що створює ризики для належного здійснення досудового розслідування, особливо в умовах воєнного стану. </w:t>
      </w:r>
    </w:p>
    <w:p w14:paraId="25A74E09"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З погляду незалежності та неупередженості органів досудового розслідування, важливо забезпечити належну участь перекладача, однак у разі неможливості залучення перекладача, слідчі, прокурори, поліцейські та інші учасники процесу повинні активно сприяти у здійсненні перекладу, а не виконувати цю роль самостійно. Для досягнення належної ретельності, повноти та прозорості розслідування доцільно вважати, що повноваження керівника органу прокуратури мають включати здійснення огляду житла чи іншого володіння особи, а також проведення слідчого експерименту в таких умовах, що дозволить забезпечити виконання належних процесуальних дій у відповідності нормам кримінального процесуального законодавства. Варто також виділити ризики, зазначені в ст. ст. 177 і 176 КПК України, зокрема щодо дотримання вимог оперативності та законності у ході досудового розслідування. Щодо оперативності досудового розслідування, важливим є уточнення режиму обчислення строків досудового розслідування після повідомлення про підозру, що має включати не лише визначення термінів, але й особливості щодо діянь, зазначених у Розділі ХХ Кримінального кодексу України [4], таких як виготовлення, поширення комуністичної, нацистської символіки або пропаганди тоталітарних режимів. </w:t>
      </w:r>
    </w:p>
    <w:p w14:paraId="1E6969A4"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З огляду на специфіку здійснення досудового розслідування в умовах воєнного стану, виникає об’єктивна потреба в уточненні процесуальних строків для забезпечення своєчасного ухвалення рішень. Зокрема, доцільним є внесення змін до положень Кримінального процесуального кодексу України, що регламентують підстави завершення розслідування у разі неможливості його подальшого проведення. </w:t>
      </w:r>
    </w:p>
    <w:p w14:paraId="4D067F29"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Отже, реалізація стандартів ефективності досудового розслідування в умовах воєнного стану вимагає адаптації нормативно-правової бази та практичної діяльності правоохоронних органів до нових реалій. </w:t>
      </w:r>
      <w:r w:rsidRPr="00511005">
        <w:rPr>
          <w:rFonts w:ascii="Arial" w:eastAsia="Arial" w:hAnsi="Arial" w:cs="Arial"/>
          <w:szCs w:val="28"/>
          <w:lang w:val="ru" w:eastAsia="ru-RU"/>
        </w:rPr>
        <w:lastRenderedPageBreak/>
        <w:t>Забезпечення незалежності, неупередженості, належності, ретельності, повноти, оперативності та своєчасності розслідувань є необхідними умовами для підтримання верховенства права та захисту прав людини в умовах збройного конфлікту.</w:t>
      </w:r>
    </w:p>
    <w:p w14:paraId="0D4925C8" w14:textId="77777777" w:rsidR="00532C25" w:rsidRPr="00511005" w:rsidRDefault="00532C25" w:rsidP="00532C25">
      <w:pPr>
        <w:spacing w:line="264" w:lineRule="auto"/>
        <w:ind w:firstLine="0"/>
        <w:rPr>
          <w:rFonts w:ascii="Arial" w:eastAsia="Arial" w:hAnsi="Arial" w:cs="Arial"/>
          <w:b/>
          <w:szCs w:val="28"/>
          <w:lang w:val="ru" w:eastAsia="ru-RU"/>
        </w:rPr>
      </w:pPr>
    </w:p>
    <w:p w14:paraId="4A3B33FC" w14:textId="77777777" w:rsidR="00532C25" w:rsidRPr="00511005" w:rsidRDefault="00532C25" w:rsidP="00532C25">
      <w:pPr>
        <w:spacing w:line="264" w:lineRule="auto"/>
        <w:ind w:firstLine="0"/>
        <w:jc w:val="center"/>
        <w:rPr>
          <w:rFonts w:ascii="Arial" w:eastAsia="Arial" w:hAnsi="Arial" w:cs="Arial"/>
          <w:b/>
          <w:szCs w:val="28"/>
          <w:lang w:val="ru" w:eastAsia="ru-RU"/>
        </w:rPr>
      </w:pPr>
      <w:r w:rsidRPr="00511005">
        <w:rPr>
          <w:rFonts w:ascii="Arial" w:eastAsia="Arial" w:hAnsi="Arial" w:cs="Arial"/>
          <w:b/>
          <w:szCs w:val="28"/>
          <w:lang w:val="uk-UA" w:eastAsia="ru-RU"/>
        </w:rPr>
        <w:t>Список використаних джерел</w:t>
      </w:r>
    </w:p>
    <w:p w14:paraId="5C462B94" w14:textId="77777777" w:rsidR="00532C25" w:rsidRPr="00511005" w:rsidRDefault="00532C25" w:rsidP="003F6A5D">
      <w:pPr>
        <w:numPr>
          <w:ilvl w:val="0"/>
          <w:numId w:val="590"/>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Кримінальний процесуальний кодекс України від 13 квітня 2012 року № 4561-VI (зі змінами та доповненнями). URL: </w:t>
      </w:r>
      <w:hyperlink r:id="rId2194" w:anchor="Text" w:history="1">
        <w:r w:rsidRPr="00511005">
          <w:rPr>
            <w:rFonts w:ascii="Arial" w:eastAsia="Calibri" w:hAnsi="Arial" w:cs="Arial"/>
            <w:szCs w:val="28"/>
          </w:rPr>
          <w:t>https://zakon.rada.gov.ua/laws/show/4651-17#Text</w:t>
        </w:r>
      </w:hyperlink>
      <w:r w:rsidRPr="00511005">
        <w:rPr>
          <w:rFonts w:ascii="Arial" w:eastAsia="Calibri" w:hAnsi="Arial" w:cs="Arial"/>
          <w:szCs w:val="28"/>
        </w:rPr>
        <w:t xml:space="preserve">. </w:t>
      </w:r>
    </w:p>
    <w:p w14:paraId="0B02AF3A" w14:textId="77777777" w:rsidR="00532C25" w:rsidRPr="00511005" w:rsidRDefault="00532C25" w:rsidP="003F6A5D">
      <w:pPr>
        <w:numPr>
          <w:ilvl w:val="0"/>
          <w:numId w:val="590"/>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Федорів О. М. Реалізація стандартів ефективності досудового розслідування в умовах воєнного стану. </w:t>
      </w:r>
      <w:r w:rsidRPr="00511005">
        <w:rPr>
          <w:rFonts w:ascii="Arial" w:eastAsia="Calibri" w:hAnsi="Arial" w:cs="Arial"/>
          <w:i/>
          <w:szCs w:val="28"/>
        </w:rPr>
        <w:t>Актуальні проблеми вітчизняної юриспруденції</w:t>
      </w:r>
      <w:r w:rsidRPr="00511005">
        <w:rPr>
          <w:rFonts w:ascii="Arial" w:eastAsia="Calibri" w:hAnsi="Arial" w:cs="Arial"/>
          <w:szCs w:val="28"/>
        </w:rPr>
        <w:t xml:space="preserve">. № 4. 2022. С. 210-218. URL: </w:t>
      </w:r>
      <w:hyperlink r:id="rId2195" w:history="1">
        <w:r w:rsidRPr="00511005">
          <w:rPr>
            <w:rFonts w:ascii="Arial" w:eastAsia="Calibri" w:hAnsi="Arial" w:cs="Arial"/>
            <w:szCs w:val="28"/>
          </w:rPr>
          <w:t>http://www.apnl.dnu.in.ua/4_2022/32.pdf</w:t>
        </w:r>
      </w:hyperlink>
      <w:r w:rsidRPr="00511005">
        <w:rPr>
          <w:rFonts w:ascii="Arial" w:eastAsia="Calibri" w:hAnsi="Arial" w:cs="Arial"/>
          <w:szCs w:val="28"/>
        </w:rPr>
        <w:t xml:space="preserve">. </w:t>
      </w:r>
    </w:p>
    <w:p w14:paraId="0108EB1D" w14:textId="77777777" w:rsidR="00532C25" w:rsidRPr="00511005" w:rsidRDefault="00532C25" w:rsidP="003F6A5D">
      <w:pPr>
        <w:numPr>
          <w:ilvl w:val="0"/>
          <w:numId w:val="590"/>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Про затвердження Порядку взаємодії між органами та підрозділами Національної поліції України, закладами охорони здоров’я та органами прокуратури України при встановленні факту смерті людини під час воєнного стану на території України: Наказ Міністерства внутрішніх справ України, Міністерства охорони здоров’я України, Офісу Генерального прокурора від 09.03.2022 р. № 177/450/46. </w:t>
      </w:r>
      <w:r w:rsidRPr="00511005">
        <w:rPr>
          <w:rFonts w:ascii="Arial" w:eastAsia="Calibri" w:hAnsi="Arial" w:cs="Arial"/>
          <w:i/>
          <w:szCs w:val="28"/>
        </w:rPr>
        <w:t xml:space="preserve">Відомості </w:t>
      </w:r>
      <w:proofErr w:type="gramStart"/>
      <w:r w:rsidRPr="00511005">
        <w:rPr>
          <w:rFonts w:ascii="Arial" w:eastAsia="Calibri" w:hAnsi="Arial" w:cs="Arial"/>
          <w:i/>
          <w:szCs w:val="28"/>
        </w:rPr>
        <w:t>Верховної</w:t>
      </w:r>
      <w:proofErr w:type="gramEnd"/>
      <w:r w:rsidRPr="00511005">
        <w:rPr>
          <w:rFonts w:ascii="Arial" w:eastAsia="Calibri" w:hAnsi="Arial" w:cs="Arial"/>
          <w:i/>
          <w:szCs w:val="28"/>
        </w:rPr>
        <w:t xml:space="preserve"> Ради України</w:t>
      </w:r>
      <w:r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hyperlink r:id="rId2196" w:anchor="n7"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zakon</w:t>
        </w:r>
        <w:r w:rsidRPr="00511005">
          <w:rPr>
            <w:rFonts w:ascii="Arial" w:eastAsia="Calibri" w:hAnsi="Arial" w:cs="Arial"/>
            <w:szCs w:val="28"/>
          </w:rPr>
          <w:t>.</w:t>
        </w:r>
        <w:r w:rsidRPr="00511005">
          <w:rPr>
            <w:rFonts w:ascii="Arial" w:eastAsia="Calibri" w:hAnsi="Arial" w:cs="Arial"/>
            <w:szCs w:val="28"/>
            <w:lang w:val="en-US"/>
          </w:rPr>
          <w:t>rada</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laws</w:t>
        </w:r>
        <w:r w:rsidRPr="00511005">
          <w:rPr>
            <w:rFonts w:ascii="Arial" w:eastAsia="Calibri" w:hAnsi="Arial" w:cs="Arial"/>
            <w:szCs w:val="28"/>
          </w:rPr>
          <w:t>/</w:t>
        </w:r>
        <w:r w:rsidRPr="00511005">
          <w:rPr>
            <w:rFonts w:ascii="Arial" w:eastAsia="Calibri" w:hAnsi="Arial" w:cs="Arial"/>
            <w:szCs w:val="28"/>
            <w:lang w:val="en-US"/>
          </w:rPr>
          <w:t>show</w:t>
        </w:r>
        <w:r w:rsidRPr="00511005">
          <w:rPr>
            <w:rFonts w:ascii="Arial" w:eastAsia="Calibri" w:hAnsi="Arial" w:cs="Arial"/>
            <w:szCs w:val="28"/>
          </w:rPr>
          <w:t>/</w:t>
        </w:r>
        <w:r w:rsidRPr="00511005">
          <w:rPr>
            <w:rFonts w:ascii="Arial" w:eastAsia="Calibri" w:hAnsi="Arial" w:cs="Arial"/>
            <w:szCs w:val="28"/>
            <w:lang w:val="en-US"/>
          </w:rPr>
          <w:t>z</w:t>
        </w:r>
        <w:r w:rsidRPr="00511005">
          <w:rPr>
            <w:rFonts w:ascii="Arial" w:eastAsia="Calibri" w:hAnsi="Arial" w:cs="Arial"/>
            <w:szCs w:val="28"/>
          </w:rPr>
          <w:t>0317-22#</w:t>
        </w:r>
        <w:r w:rsidRPr="00511005">
          <w:rPr>
            <w:rFonts w:ascii="Arial" w:eastAsia="Calibri" w:hAnsi="Arial" w:cs="Arial"/>
            <w:szCs w:val="28"/>
            <w:lang w:val="en-US"/>
          </w:rPr>
          <w:t>n</w:t>
        </w:r>
        <w:r w:rsidRPr="00511005">
          <w:rPr>
            <w:rFonts w:ascii="Arial" w:eastAsia="Calibri" w:hAnsi="Arial" w:cs="Arial"/>
            <w:szCs w:val="28"/>
          </w:rPr>
          <w:t>7</w:t>
        </w:r>
      </w:hyperlink>
      <w:r w:rsidRPr="00511005">
        <w:rPr>
          <w:rFonts w:ascii="Arial" w:eastAsia="Calibri" w:hAnsi="Arial" w:cs="Arial"/>
          <w:szCs w:val="28"/>
        </w:rPr>
        <w:t>.</w:t>
      </w:r>
    </w:p>
    <w:p w14:paraId="4E305D00" w14:textId="77777777" w:rsidR="00532C25" w:rsidRPr="00511005" w:rsidRDefault="00532C25" w:rsidP="003F6A5D">
      <w:pPr>
        <w:numPr>
          <w:ilvl w:val="0"/>
          <w:numId w:val="590"/>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Кримінальний кодекс України від 5 квітня 2001 року № 2341-</w:t>
      </w:r>
      <w:r w:rsidRPr="00511005">
        <w:rPr>
          <w:rFonts w:ascii="Arial" w:eastAsia="Calibri" w:hAnsi="Arial" w:cs="Arial"/>
          <w:szCs w:val="28"/>
          <w:lang w:val="en-GB"/>
        </w:rPr>
        <w:t>III</w:t>
      </w:r>
      <w:r w:rsidRPr="00511005">
        <w:rPr>
          <w:rFonts w:ascii="Arial" w:eastAsia="Calibri" w:hAnsi="Arial" w:cs="Arial"/>
          <w:szCs w:val="28"/>
        </w:rPr>
        <w:t xml:space="preserve"> (зі змінами та доповненнями). </w:t>
      </w:r>
      <w:r w:rsidRPr="00511005">
        <w:rPr>
          <w:rFonts w:ascii="Arial" w:eastAsia="Calibri" w:hAnsi="Arial" w:cs="Arial"/>
          <w:szCs w:val="28"/>
          <w:lang w:val="en-GB"/>
        </w:rPr>
        <w:t>URL</w:t>
      </w:r>
      <w:r w:rsidRPr="00511005">
        <w:rPr>
          <w:rFonts w:ascii="Arial" w:eastAsia="Calibri" w:hAnsi="Arial" w:cs="Arial"/>
          <w:szCs w:val="28"/>
        </w:rPr>
        <w:t xml:space="preserve">: </w:t>
      </w:r>
      <w:hyperlink r:id="rId2197" w:anchor="Text" w:history="1">
        <w:r w:rsidRPr="00511005">
          <w:rPr>
            <w:rFonts w:ascii="Arial" w:eastAsia="Calibri" w:hAnsi="Arial" w:cs="Arial"/>
            <w:szCs w:val="28"/>
            <w:lang w:val="en-GB"/>
          </w:rPr>
          <w:t>https</w:t>
        </w:r>
        <w:r w:rsidRPr="00511005">
          <w:rPr>
            <w:rFonts w:ascii="Arial" w:eastAsia="Calibri" w:hAnsi="Arial" w:cs="Arial"/>
            <w:szCs w:val="28"/>
          </w:rPr>
          <w:t>://</w:t>
        </w:r>
        <w:r w:rsidRPr="00511005">
          <w:rPr>
            <w:rFonts w:ascii="Arial" w:eastAsia="Calibri" w:hAnsi="Arial" w:cs="Arial"/>
            <w:szCs w:val="28"/>
            <w:lang w:val="en-GB"/>
          </w:rPr>
          <w:t>zakon</w:t>
        </w:r>
        <w:r w:rsidRPr="00511005">
          <w:rPr>
            <w:rFonts w:ascii="Arial" w:eastAsia="Calibri" w:hAnsi="Arial" w:cs="Arial"/>
            <w:szCs w:val="28"/>
          </w:rPr>
          <w:t>.</w:t>
        </w:r>
        <w:r w:rsidRPr="00511005">
          <w:rPr>
            <w:rFonts w:ascii="Arial" w:eastAsia="Calibri" w:hAnsi="Arial" w:cs="Arial"/>
            <w:szCs w:val="28"/>
            <w:lang w:val="en-GB"/>
          </w:rPr>
          <w:t>rada</w:t>
        </w:r>
        <w:r w:rsidRPr="00511005">
          <w:rPr>
            <w:rFonts w:ascii="Arial" w:eastAsia="Calibri" w:hAnsi="Arial" w:cs="Arial"/>
            <w:szCs w:val="28"/>
          </w:rPr>
          <w:t>.</w:t>
        </w:r>
        <w:r w:rsidRPr="00511005">
          <w:rPr>
            <w:rFonts w:ascii="Arial" w:eastAsia="Calibri" w:hAnsi="Arial" w:cs="Arial"/>
            <w:szCs w:val="28"/>
            <w:lang w:val="en-GB"/>
          </w:rPr>
          <w:t>gov</w:t>
        </w:r>
        <w:r w:rsidRPr="00511005">
          <w:rPr>
            <w:rFonts w:ascii="Arial" w:eastAsia="Calibri" w:hAnsi="Arial" w:cs="Arial"/>
            <w:szCs w:val="28"/>
          </w:rPr>
          <w:t>.</w:t>
        </w:r>
        <w:r w:rsidRPr="00511005">
          <w:rPr>
            <w:rFonts w:ascii="Arial" w:eastAsia="Calibri" w:hAnsi="Arial" w:cs="Arial"/>
            <w:szCs w:val="28"/>
            <w:lang w:val="en-GB"/>
          </w:rPr>
          <w:t>ua</w:t>
        </w:r>
        <w:r w:rsidRPr="00511005">
          <w:rPr>
            <w:rFonts w:ascii="Arial" w:eastAsia="Calibri" w:hAnsi="Arial" w:cs="Arial"/>
            <w:szCs w:val="28"/>
          </w:rPr>
          <w:t>/</w:t>
        </w:r>
        <w:r w:rsidRPr="00511005">
          <w:rPr>
            <w:rFonts w:ascii="Arial" w:eastAsia="Calibri" w:hAnsi="Arial" w:cs="Arial"/>
            <w:szCs w:val="28"/>
            <w:lang w:val="en-GB"/>
          </w:rPr>
          <w:t>laws</w:t>
        </w:r>
        <w:r w:rsidRPr="00511005">
          <w:rPr>
            <w:rFonts w:ascii="Arial" w:eastAsia="Calibri" w:hAnsi="Arial" w:cs="Arial"/>
            <w:szCs w:val="28"/>
          </w:rPr>
          <w:t>/</w:t>
        </w:r>
        <w:r w:rsidRPr="00511005">
          <w:rPr>
            <w:rFonts w:ascii="Arial" w:eastAsia="Calibri" w:hAnsi="Arial" w:cs="Arial"/>
            <w:szCs w:val="28"/>
            <w:lang w:val="en-GB"/>
          </w:rPr>
          <w:t>show</w:t>
        </w:r>
        <w:r w:rsidRPr="00511005">
          <w:rPr>
            <w:rFonts w:ascii="Arial" w:eastAsia="Calibri" w:hAnsi="Arial" w:cs="Arial"/>
            <w:szCs w:val="28"/>
          </w:rPr>
          <w:t>/2341-14#</w:t>
        </w:r>
        <w:r w:rsidRPr="00511005">
          <w:rPr>
            <w:rFonts w:ascii="Arial" w:eastAsia="Calibri" w:hAnsi="Arial" w:cs="Arial"/>
            <w:szCs w:val="28"/>
            <w:lang w:val="en-GB"/>
          </w:rPr>
          <w:t>Text</w:t>
        </w:r>
      </w:hyperlink>
      <w:r w:rsidRPr="00511005">
        <w:rPr>
          <w:rFonts w:ascii="Arial" w:eastAsia="Calibri" w:hAnsi="Arial" w:cs="Arial"/>
          <w:szCs w:val="28"/>
        </w:rPr>
        <w:t xml:space="preserve">. </w:t>
      </w:r>
    </w:p>
    <w:p w14:paraId="306C9BF3" w14:textId="77777777" w:rsidR="00532C25" w:rsidRPr="00511005" w:rsidRDefault="00532C25" w:rsidP="00532C25">
      <w:pPr>
        <w:spacing w:line="264" w:lineRule="auto"/>
        <w:ind w:firstLine="0"/>
        <w:rPr>
          <w:rFonts w:ascii="Arial" w:eastAsia="Arial" w:hAnsi="Arial" w:cs="Arial"/>
          <w:b/>
          <w:szCs w:val="28"/>
          <w:lang w:val="ru" w:eastAsia="ru-RU"/>
        </w:rPr>
      </w:pPr>
    </w:p>
    <w:p w14:paraId="51A77B23"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b/>
          <w:i/>
          <w:szCs w:val="28"/>
          <w:lang w:val="ru" w:eastAsia="ru-RU"/>
        </w:rPr>
        <w:t xml:space="preserve">Ключові слова: </w:t>
      </w:r>
      <w:r w:rsidRPr="00511005">
        <w:rPr>
          <w:rFonts w:ascii="Arial" w:eastAsia="Arial" w:hAnsi="Arial" w:cs="Arial"/>
          <w:szCs w:val="28"/>
          <w:lang w:val="ru" w:eastAsia="ru-RU"/>
        </w:rPr>
        <w:t>досудове розслідування, воєнний стан, ефективність розслідування, стандарти розслідування,</w:t>
      </w:r>
      <w:r w:rsidRPr="00511005">
        <w:rPr>
          <w:rFonts w:ascii="Arial" w:eastAsia="Arial" w:hAnsi="Arial" w:cs="Arial"/>
          <w:b/>
          <w:szCs w:val="28"/>
          <w:lang w:val="ru" w:eastAsia="ru-RU"/>
        </w:rPr>
        <w:t xml:space="preserve"> </w:t>
      </w:r>
      <w:r w:rsidRPr="00511005">
        <w:rPr>
          <w:rFonts w:ascii="Arial" w:eastAsia="Arial" w:hAnsi="Arial" w:cs="Arial"/>
          <w:szCs w:val="28"/>
          <w:lang w:val="ru" w:eastAsia="ru-RU"/>
        </w:rPr>
        <w:t xml:space="preserve">кримінальний процес, підслідність, незалежність, неупередженість, ретельність, повнота, оперативність та своєчасність. </w:t>
      </w:r>
    </w:p>
    <w:p w14:paraId="212BE0F5" w14:textId="77777777" w:rsidR="00532C25" w:rsidRPr="00511005" w:rsidRDefault="00532C25" w:rsidP="00532C25">
      <w:pPr>
        <w:spacing w:line="264" w:lineRule="auto"/>
        <w:rPr>
          <w:rFonts w:ascii="Arial" w:eastAsia="Arial" w:hAnsi="Arial" w:cs="Arial"/>
          <w:b/>
          <w:szCs w:val="28"/>
          <w:lang w:val="en-US" w:eastAsia="ru-RU"/>
        </w:rPr>
      </w:pPr>
      <w:r w:rsidRPr="00511005">
        <w:rPr>
          <w:rFonts w:ascii="Arial" w:eastAsia="Arial" w:hAnsi="Arial" w:cs="Arial"/>
          <w:b/>
          <w:i/>
          <w:szCs w:val="28"/>
          <w:lang w:val="en-US" w:eastAsia="ru-RU"/>
        </w:rPr>
        <w:t xml:space="preserve">Key words: </w:t>
      </w:r>
      <w:r w:rsidRPr="00511005">
        <w:rPr>
          <w:rFonts w:ascii="Arial" w:eastAsia="Arial" w:hAnsi="Arial" w:cs="Arial"/>
          <w:szCs w:val="28"/>
          <w:lang w:val="en-US" w:eastAsia="ru-RU"/>
        </w:rPr>
        <w:t>pre-trial investigation, martial law, investigation efficiency, investigation standards, criminal process, investigation, independence, impartiality, relevance, thoroughness, completeness, efficiency and timeliness.</w:t>
      </w:r>
    </w:p>
    <w:p w14:paraId="2B61D86B" w14:textId="77777777" w:rsidR="00532C25" w:rsidRPr="00511005" w:rsidRDefault="00532C25" w:rsidP="00532C25">
      <w:pPr>
        <w:spacing w:line="264" w:lineRule="auto"/>
        <w:rPr>
          <w:rFonts w:ascii="Arial" w:eastAsia="Arial" w:hAnsi="Arial" w:cs="Arial"/>
          <w:i/>
          <w:iCs/>
          <w:szCs w:val="28"/>
          <w:lang w:val="ru" w:eastAsia="ru-RU"/>
        </w:rPr>
      </w:pPr>
      <w:r w:rsidRPr="00511005">
        <w:rPr>
          <w:rFonts w:ascii="Arial" w:eastAsia="Arial" w:hAnsi="Arial" w:cs="Arial"/>
          <w:b/>
          <w:i/>
          <w:iCs/>
          <w:szCs w:val="28"/>
          <w:lang w:val="ru" w:eastAsia="ru-RU"/>
        </w:rPr>
        <w:t xml:space="preserve">Науковий керівник: </w:t>
      </w:r>
      <w:r w:rsidRPr="00511005">
        <w:rPr>
          <w:rFonts w:ascii="Arial" w:eastAsia="Arial" w:hAnsi="Arial" w:cs="Arial"/>
          <w:i/>
          <w:iCs/>
          <w:szCs w:val="28"/>
          <w:lang w:val="ru" w:eastAsia="ru-RU"/>
        </w:rPr>
        <w:t xml:space="preserve">к.ю.н., доцент Мурзановська А. В. </w:t>
      </w:r>
    </w:p>
    <w:p w14:paraId="63B84A4D" w14:textId="77777777" w:rsidR="00532C25" w:rsidRPr="00511005" w:rsidRDefault="00532C25" w:rsidP="00532C25">
      <w:pPr>
        <w:spacing w:line="264" w:lineRule="auto"/>
        <w:ind w:firstLine="0"/>
        <w:rPr>
          <w:rFonts w:ascii="Arial" w:eastAsia="Arial" w:hAnsi="Arial" w:cs="Arial"/>
          <w:b/>
          <w:szCs w:val="28"/>
          <w:lang w:val="ru" w:eastAsia="ru-RU"/>
        </w:rPr>
      </w:pPr>
    </w:p>
    <w:p w14:paraId="3007461D" w14:textId="77777777" w:rsidR="00532C25" w:rsidRPr="00511005" w:rsidRDefault="00532C25" w:rsidP="00532C25">
      <w:pPr>
        <w:spacing w:line="264" w:lineRule="auto"/>
        <w:ind w:firstLine="0"/>
        <w:contextualSpacing/>
        <w:jc w:val="center"/>
        <w:rPr>
          <w:rFonts w:ascii="Arial" w:eastAsia="Arial" w:hAnsi="Arial" w:cs="Arial"/>
          <w:b/>
          <w:bCs/>
          <w:i/>
          <w:iCs/>
          <w:noProof/>
          <w:szCs w:val="28"/>
          <w:lang w:val="ru" w:eastAsia="ru-RU"/>
        </w:rPr>
      </w:pPr>
    </w:p>
    <w:p w14:paraId="22198DB8" w14:textId="77777777" w:rsidR="00532C25" w:rsidRPr="00511005" w:rsidRDefault="00532C25" w:rsidP="00532C25">
      <w:pPr>
        <w:spacing w:line="264" w:lineRule="auto"/>
        <w:ind w:firstLine="0"/>
        <w:contextualSpacing/>
        <w:jc w:val="center"/>
        <w:rPr>
          <w:rFonts w:ascii="Arial" w:eastAsia="Arial" w:hAnsi="Arial" w:cs="Arial"/>
          <w:b/>
          <w:bCs/>
          <w:i/>
          <w:iCs/>
          <w:noProof/>
          <w:szCs w:val="28"/>
          <w:lang w:val="uk-UA" w:eastAsia="ru-RU"/>
        </w:rPr>
      </w:pPr>
      <w:r w:rsidRPr="00511005">
        <w:rPr>
          <w:rFonts w:ascii="Arial" w:eastAsia="Arial" w:hAnsi="Arial" w:cs="Arial"/>
          <w:b/>
          <w:bCs/>
          <w:i/>
          <w:iCs/>
          <w:noProof/>
          <w:szCs w:val="28"/>
          <w:lang w:val="ru" w:eastAsia="ru-RU"/>
        </w:rPr>
        <w:t>Корнійчук Микола Миколайович</w:t>
      </w:r>
    </w:p>
    <w:p w14:paraId="495E94C0"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 1-го курсу магістратури</w:t>
      </w:r>
    </w:p>
    <w:p w14:paraId="4C7D5979"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FDE5AFC"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0556232" w14:textId="77777777" w:rsidR="00532C25" w:rsidRPr="00511005" w:rsidRDefault="00532C25" w:rsidP="00532C25">
      <w:pPr>
        <w:spacing w:line="264" w:lineRule="auto"/>
        <w:ind w:firstLine="0"/>
        <w:contextualSpacing/>
        <w:jc w:val="center"/>
        <w:rPr>
          <w:rFonts w:ascii="Arial" w:eastAsia="Arial" w:hAnsi="Arial" w:cs="Arial"/>
          <w:noProof/>
          <w:szCs w:val="28"/>
          <w:lang w:val="ru" w:eastAsia="ru-RU"/>
        </w:rPr>
      </w:pPr>
    </w:p>
    <w:p w14:paraId="36A4DA54" w14:textId="77777777" w:rsidR="00532C25" w:rsidRPr="00511005" w:rsidRDefault="00532C25" w:rsidP="00532C25">
      <w:pPr>
        <w:spacing w:line="264" w:lineRule="auto"/>
        <w:ind w:firstLine="0"/>
        <w:jc w:val="center"/>
        <w:rPr>
          <w:rFonts w:ascii="Arial" w:eastAsia="Arial" w:hAnsi="Arial" w:cs="Arial"/>
          <w:b/>
          <w:bCs/>
          <w:noProof/>
          <w:szCs w:val="28"/>
          <w:lang w:val="ru" w:eastAsia="ru-RU"/>
        </w:rPr>
      </w:pPr>
      <w:r w:rsidRPr="00511005">
        <w:rPr>
          <w:rFonts w:ascii="Arial" w:eastAsia="Arial" w:hAnsi="Arial" w:cs="Arial"/>
          <w:b/>
          <w:bCs/>
          <w:noProof/>
          <w:szCs w:val="28"/>
          <w:lang w:val="uk-UA" w:eastAsia="ru-RU"/>
        </w:rPr>
        <w:t>ПОЛОЖЕННЯ</w:t>
      </w:r>
      <w:r w:rsidRPr="00511005">
        <w:rPr>
          <w:rFonts w:ascii="Arial" w:eastAsia="Arial" w:hAnsi="Arial" w:cs="Arial"/>
          <w:b/>
          <w:bCs/>
          <w:noProof/>
          <w:szCs w:val="28"/>
          <w:lang w:val="ru" w:eastAsia="ru-RU"/>
        </w:rPr>
        <w:t xml:space="preserve"> п. 7 ч. 1 ст. 284 КПК </w:t>
      </w:r>
      <w:r w:rsidRPr="00511005">
        <w:rPr>
          <w:rFonts w:ascii="Arial" w:eastAsia="Arial" w:hAnsi="Arial" w:cs="Arial"/>
          <w:b/>
          <w:bCs/>
          <w:noProof/>
          <w:szCs w:val="28"/>
          <w:lang w:val="uk-UA" w:eastAsia="ru-RU"/>
        </w:rPr>
        <w:t>УКРАЇНИ ТА</w:t>
      </w:r>
      <w:r w:rsidRPr="00511005">
        <w:rPr>
          <w:rFonts w:ascii="Arial" w:eastAsia="Arial" w:hAnsi="Arial" w:cs="Arial"/>
          <w:b/>
          <w:bCs/>
          <w:noProof/>
          <w:szCs w:val="28"/>
          <w:lang w:val="ru" w:eastAsia="ru-RU"/>
        </w:rPr>
        <w:t xml:space="preserve"> ПРИНЦ</w:t>
      </w:r>
      <w:r w:rsidRPr="00511005">
        <w:rPr>
          <w:rFonts w:ascii="Arial" w:eastAsia="Arial" w:hAnsi="Arial" w:cs="Arial"/>
          <w:b/>
          <w:bCs/>
          <w:noProof/>
          <w:szCs w:val="28"/>
          <w:lang w:val="uk-UA" w:eastAsia="ru-RU"/>
        </w:rPr>
        <w:t>И</w:t>
      </w:r>
      <w:r w:rsidRPr="00511005">
        <w:rPr>
          <w:rFonts w:ascii="Arial" w:eastAsia="Arial" w:hAnsi="Arial" w:cs="Arial"/>
          <w:b/>
          <w:bCs/>
          <w:noProof/>
          <w:szCs w:val="28"/>
          <w:lang w:val="ru" w:eastAsia="ru-RU"/>
        </w:rPr>
        <w:t>П ДИСПОЗИТИВНОСТІ</w:t>
      </w:r>
    </w:p>
    <w:p w14:paraId="6D588AE6" w14:textId="77777777" w:rsidR="00532C25" w:rsidRPr="00511005" w:rsidRDefault="00532C25" w:rsidP="00532C25">
      <w:pPr>
        <w:spacing w:line="264" w:lineRule="auto"/>
        <w:contextualSpacing/>
        <w:rPr>
          <w:rFonts w:ascii="Arial" w:eastAsia="Arial" w:hAnsi="Arial" w:cs="Arial"/>
          <w:noProof/>
          <w:szCs w:val="28"/>
          <w:lang w:val="ru" w:eastAsia="ru-RU"/>
        </w:rPr>
      </w:pPr>
      <w:r w:rsidRPr="00511005">
        <w:rPr>
          <w:rFonts w:ascii="Arial" w:eastAsia="Arial" w:hAnsi="Arial" w:cs="Arial"/>
          <w:noProof/>
          <w:szCs w:val="28"/>
          <w:lang w:val="ru" w:eastAsia="ru-RU"/>
        </w:rPr>
        <w:lastRenderedPageBreak/>
        <w:t>Однією з фундаментальних засад кримінального процесу є диспозитивність. Найповніше вираження вона знаходить в інституті кримінального провадження у формі приватного обвинувачення. Зокрема, частина 4 ст. 26 Кримінального процесуального кодексу (КПК) встановлює імперативну норму про безумовне закриття такого провадження, у випадку відмови потерпілого або його представника від обвинувачення [1]. Ця стаття наразі не зазнавала жодних змін і викладена в кодексі у своїй первісній та єдиній редакції. Проте чи дійсно у всіх випадках закриття провадження у формі приватного обвинувачення є безумовним? Ні, адже відповідно до чинної редакції п. 7 ч. 1 ст. 284 КПК, закриття відбувається у випадку, якщо кримінальне провадження здійснюється щодо кримінального правопорушення не пов’язаного з домашнім насильством [1].</w:t>
      </w:r>
    </w:p>
    <w:p w14:paraId="78D59735" w14:textId="77777777" w:rsidR="00532C25" w:rsidRPr="00511005" w:rsidRDefault="00532C25" w:rsidP="00532C25">
      <w:pPr>
        <w:spacing w:line="264" w:lineRule="auto"/>
        <w:contextualSpacing/>
        <w:rPr>
          <w:rFonts w:ascii="Arial" w:eastAsia="Arial" w:hAnsi="Arial" w:cs="Arial"/>
          <w:noProof/>
          <w:szCs w:val="28"/>
          <w:lang w:val="ru" w:eastAsia="ru-RU"/>
        </w:rPr>
      </w:pPr>
      <w:r w:rsidRPr="00511005">
        <w:rPr>
          <w:rFonts w:ascii="Arial" w:eastAsia="Arial" w:hAnsi="Arial" w:cs="Arial"/>
          <w:noProof/>
          <w:szCs w:val="28"/>
          <w:lang w:val="ru" w:eastAsia="ru-RU"/>
        </w:rPr>
        <w:t>Така суперечність правових норм виникла внаслідок внесення змін до відповідних проложень кримінального процесуального закону з метою реалізації положень Конвенції Ради Європи про запобігання насильству стосовно жінок і домашньому насильству та боротьбу з цими явищами (Стамбульська конвенція). Дійсно текст конвенції, а саме ч. 1 ст. 55, передбачає зобов’язання забезпечити можливість продовження провадження навіть якщо жертва відкликає свою заяву або скаргу [2]. Водночас, в процесі роботи над закопроєктом проблему узгодженості змін у запропонованому форматі із загальними засадами кримінального провадження, зокрема, однак не лише, принципом диспозитивності, у своїх зауваженнях до другого читання відзначило Головне юридичне управління ВРУ [3]. Однак, її не було виправлено, а запропоновані зміни все ж внесено.</w:t>
      </w:r>
    </w:p>
    <w:p w14:paraId="3516BD9F" w14:textId="77777777" w:rsidR="00532C25" w:rsidRPr="00511005" w:rsidRDefault="00532C25" w:rsidP="00532C25">
      <w:pPr>
        <w:spacing w:line="264" w:lineRule="auto"/>
        <w:contextualSpacing/>
        <w:rPr>
          <w:rFonts w:ascii="Arial" w:eastAsia="Arial" w:hAnsi="Arial" w:cs="Arial"/>
          <w:noProof/>
          <w:szCs w:val="28"/>
          <w:lang w:val="ru" w:eastAsia="ru-RU"/>
        </w:rPr>
      </w:pPr>
      <w:r w:rsidRPr="00511005">
        <w:rPr>
          <w:rFonts w:ascii="Arial" w:eastAsia="Arial" w:hAnsi="Arial" w:cs="Arial"/>
          <w:noProof/>
          <w:szCs w:val="28"/>
          <w:lang w:val="ru" w:eastAsia="ru-RU"/>
        </w:rPr>
        <w:t xml:space="preserve">Стаття 7 КПК визначає необхідність дотримання загальних засад кримінального провадження, а особливості встановлено для проваджень </w:t>
      </w:r>
      <w:r w:rsidRPr="00511005">
        <w:rPr>
          <w:rFonts w:ascii="Arial" w:eastAsia="Arial" w:hAnsi="Arial" w:cs="Arial"/>
          <w:noProof/>
          <w:szCs w:val="28"/>
          <w:lang w:val="en-US" w:eastAsia="ru-RU"/>
        </w:rPr>
        <w:t>in</w:t>
      </w:r>
      <w:r w:rsidRPr="00511005">
        <w:rPr>
          <w:rFonts w:ascii="Arial" w:eastAsia="Arial" w:hAnsi="Arial" w:cs="Arial"/>
          <w:noProof/>
          <w:szCs w:val="28"/>
          <w:lang w:val="ru" w:eastAsia="ru-RU"/>
        </w:rPr>
        <w:t xml:space="preserve"> </w:t>
      </w:r>
      <w:r w:rsidRPr="00511005">
        <w:rPr>
          <w:rFonts w:ascii="Arial" w:eastAsia="Arial" w:hAnsi="Arial" w:cs="Arial"/>
          <w:noProof/>
          <w:szCs w:val="28"/>
          <w:lang w:val="en-US" w:eastAsia="ru-RU"/>
        </w:rPr>
        <w:t>absentia</w:t>
      </w:r>
      <w:r w:rsidRPr="00511005">
        <w:rPr>
          <w:rFonts w:ascii="Arial" w:eastAsia="Arial" w:hAnsi="Arial" w:cs="Arial"/>
          <w:noProof/>
          <w:szCs w:val="28"/>
          <w:lang w:val="ru" w:eastAsia="ru-RU"/>
        </w:rPr>
        <w:t xml:space="preserve"> та в умовах воєнного стану [1]. Оскільки змін до статтей 7 та 26 КПК, які б враховували нові зобов’язання України за Стамбульською конвенцією паралельно внесено не було, їх тлумачення у взаємозв’язку у поточній редакції дає підстави зробити висновок про те, що провадження у формі приватного обвинувачення все ж таки мають бути закриті незалежно від особливостей складу правопорушення, що вказують на їх пов’язаність із домашнім насильством.</w:t>
      </w:r>
    </w:p>
    <w:p w14:paraId="44754FDB" w14:textId="77777777" w:rsidR="00532C25" w:rsidRPr="00511005" w:rsidRDefault="00532C25" w:rsidP="00532C25">
      <w:pPr>
        <w:spacing w:line="264" w:lineRule="auto"/>
        <w:contextualSpacing/>
        <w:rPr>
          <w:rFonts w:ascii="Arial" w:eastAsia="Arial" w:hAnsi="Arial" w:cs="Arial"/>
          <w:noProof/>
          <w:szCs w:val="28"/>
          <w:lang w:val="ru" w:eastAsia="ru-RU"/>
        </w:rPr>
      </w:pPr>
      <w:r w:rsidRPr="00511005">
        <w:rPr>
          <w:rFonts w:ascii="Arial" w:eastAsia="Arial" w:hAnsi="Arial" w:cs="Arial"/>
          <w:noProof/>
          <w:szCs w:val="28"/>
          <w:lang w:val="ru" w:eastAsia="ru-RU"/>
        </w:rPr>
        <w:t xml:space="preserve">Проте варто звернути увагу на практику, відображену у постанові Касаційного кримінального суду (ККС) у справі №365/621/23. У цій справі районний суд закрив кримінальне провадження саме на підставі п. 7 ч. 1 ст. 284 КПК. Апеляційний суд таке рішення підтримав. ККС скасував відповідні ухвали про закриття провадження і відправив справу на новий розгляд у суді першої інстанції, посилаючись на ту саму норму п. 7 ч. 1 ст. 284 КПК, акцентувавши на пред`явленні обвинувачення у вчиненні саме кримінального правопорушення, пов`язаного з домашнім насильством у його широкому трактуванні, що охоплює не лише статтю 126-1 КК з </w:t>
      </w:r>
      <w:r w:rsidRPr="00511005">
        <w:rPr>
          <w:rFonts w:ascii="Arial" w:eastAsia="Arial" w:hAnsi="Arial" w:cs="Arial"/>
          <w:noProof/>
          <w:szCs w:val="28"/>
          <w:lang w:val="ru" w:eastAsia="ru-RU"/>
        </w:rPr>
        <w:lastRenderedPageBreak/>
        <w:t>відповідною назвою [4]. Таким чином питання співвідношення норм, викладених у ч. 4 ст. 26 та п. 7 ч. 1 ст. 284 КПК не було явним предметом розгляду, але фактично суд своїм рішенням надав перевагу саме останній.</w:t>
      </w:r>
    </w:p>
    <w:p w14:paraId="63856F41" w14:textId="77777777" w:rsidR="00532C25" w:rsidRPr="00511005" w:rsidRDefault="00532C25" w:rsidP="00532C25">
      <w:pPr>
        <w:spacing w:line="264" w:lineRule="auto"/>
        <w:contextualSpacing/>
        <w:rPr>
          <w:rFonts w:ascii="Arial" w:eastAsia="Arial" w:hAnsi="Arial" w:cs="Arial"/>
          <w:noProof/>
          <w:szCs w:val="28"/>
          <w:lang w:val="ru" w:eastAsia="ru-RU"/>
        </w:rPr>
      </w:pPr>
      <w:r w:rsidRPr="00511005">
        <w:rPr>
          <w:rFonts w:ascii="Arial" w:eastAsia="Arial" w:hAnsi="Arial" w:cs="Arial"/>
          <w:noProof/>
          <w:szCs w:val="28"/>
          <w:lang w:val="ru" w:eastAsia="ru-RU"/>
        </w:rPr>
        <w:t>Водночас, суди першої інстанції по-різному підходять до питання про закриття провадження. Про це свідчить наявність як великої кількості ухвал про відмову у закритті провадження з посиланням на практику Верховного Суду, так і ухвал апеляційних судів про скасування відповідних рішень місцевих судів про закриття провадження, що її не врахували. Прикметною є ситуація, що склалася у справі №607/25705/24, де судом винесено ухвалу про закриття провадження за обвинуваченнням особи у вчиненні кримінального проступку, передбаченого ст. 126 КК України [5]. У рішенні відзначено, що потерпіла, не з’явившись у судове засідання через поважні причини, у заяві зазначила, що конфлікт між нею та обвинуваченим не пов’язаний із домашнім насильством. Суд прийняв таку позицію, а прокурор проти закриття не заперечив. За відомостями Єдиного державного реєстру судових рішень апеляцію на цю ухвалу не подано, ухвалу не скасовано. Питання чи достатньо лише слів потерпілої аби виключити наявність домашнього насильства залишається відкритим, особливо у світлі положень Стамбульської Ковенції.</w:t>
      </w:r>
    </w:p>
    <w:p w14:paraId="110A03A2" w14:textId="77777777" w:rsidR="00532C25" w:rsidRPr="00511005" w:rsidRDefault="00532C25" w:rsidP="00532C25">
      <w:pPr>
        <w:spacing w:line="264" w:lineRule="auto"/>
        <w:contextualSpacing/>
        <w:rPr>
          <w:rFonts w:ascii="Arial" w:eastAsia="Arial" w:hAnsi="Arial" w:cs="Arial"/>
          <w:noProof/>
          <w:szCs w:val="28"/>
          <w:lang w:val="ru" w:eastAsia="ru-RU"/>
        </w:rPr>
      </w:pPr>
      <w:r w:rsidRPr="00511005">
        <w:rPr>
          <w:rFonts w:ascii="Arial" w:eastAsia="Arial" w:hAnsi="Arial" w:cs="Arial"/>
          <w:noProof/>
          <w:szCs w:val="28"/>
          <w:lang w:val="ru" w:eastAsia="ru-RU"/>
        </w:rPr>
        <w:t>Враховуючи, що домашнє насильство є значною проблемою у світовому масштабі необхідно забезпечити належний захист і підтримку його жертв, що прямо випливає із міжнародних зобов’язань України за Стамбульською конвенцією. До того ж, згадана вище постанова ККС вкорте наголошує, що норма п. 7 ч. 1 ст. 284 КПК поширюється не лише безпосередньо на склад домашнього насильства, передбачений ст. 126-1, а й будь-яке кримінальне правопорушення, обставини вчинення якого свідчать про наявність у діянні хоча б одного з елементів (ознак), перелічених у ст. 1 Закону України «Про запобігання та протидію домашньому насильству». Таким чином коло потенційних кримінальних проваджень, що не будуть закриті всупереч засаді диспозитивності, є достатньо широким. Повноцінне усунення описаної суперечності, відповідно, є надзвичайно актуальним питанням. Одним із можливих шляхів її подолання є викладення другого речення статті ч. 4 ст. 26 у такій редакції: відмова потерпілого, а у випадках, передбачених цим Кодексом, його представника від обвинувачення є підставою для закриття кримінального провадження у формі приватного обвинувачення, окрім кримінального провадження щодо кримінального правопорушення, пов’язаного з домашнім насильством.</w:t>
      </w:r>
    </w:p>
    <w:p w14:paraId="483A0A5C" w14:textId="77777777" w:rsidR="00532C25" w:rsidRPr="00511005" w:rsidRDefault="00532C25" w:rsidP="00532C25">
      <w:pPr>
        <w:spacing w:line="264" w:lineRule="auto"/>
        <w:ind w:firstLine="0"/>
        <w:rPr>
          <w:rFonts w:ascii="Arial" w:eastAsia="Arial" w:hAnsi="Arial" w:cs="Arial"/>
          <w:b/>
          <w:bCs/>
          <w:noProof/>
          <w:szCs w:val="28"/>
          <w:lang w:val="ru" w:eastAsia="ru-RU"/>
        </w:rPr>
      </w:pPr>
    </w:p>
    <w:p w14:paraId="75AC4136" w14:textId="77777777" w:rsidR="00532C25" w:rsidRPr="00511005" w:rsidRDefault="00532C25" w:rsidP="00532C25">
      <w:pPr>
        <w:spacing w:line="264" w:lineRule="auto"/>
        <w:ind w:firstLine="0"/>
        <w:jc w:val="center"/>
        <w:rPr>
          <w:rFonts w:ascii="Arial" w:eastAsia="Arial" w:hAnsi="Arial" w:cs="Arial"/>
          <w:b/>
          <w:bCs/>
          <w:noProof/>
          <w:szCs w:val="28"/>
          <w:lang w:val="ru" w:eastAsia="ru-RU"/>
        </w:rPr>
      </w:pPr>
      <w:r w:rsidRPr="00511005">
        <w:rPr>
          <w:rFonts w:ascii="Arial" w:eastAsia="Arial" w:hAnsi="Arial" w:cs="Arial"/>
          <w:b/>
          <w:bCs/>
          <w:noProof/>
          <w:szCs w:val="28"/>
          <w:lang w:val="ru" w:eastAsia="ru-RU"/>
        </w:rPr>
        <w:t>Список викорстаних джерел</w:t>
      </w:r>
    </w:p>
    <w:p w14:paraId="6C4EB3FE" w14:textId="77777777" w:rsidR="00532C25" w:rsidRPr="00511005" w:rsidRDefault="00532C25" w:rsidP="003F6A5D">
      <w:pPr>
        <w:numPr>
          <w:ilvl w:val="0"/>
          <w:numId w:val="606"/>
        </w:numPr>
        <w:spacing w:line="264" w:lineRule="auto"/>
        <w:contextualSpacing/>
        <w:jc w:val="left"/>
        <w:rPr>
          <w:rFonts w:ascii="Arial" w:eastAsia="Calibri" w:hAnsi="Arial" w:cs="Arial"/>
          <w:noProof/>
          <w:szCs w:val="28"/>
        </w:rPr>
      </w:pPr>
      <w:r w:rsidRPr="00511005">
        <w:rPr>
          <w:rFonts w:ascii="Arial" w:eastAsia="Calibri" w:hAnsi="Arial" w:cs="Arial"/>
          <w:noProof/>
          <w:szCs w:val="28"/>
        </w:rPr>
        <w:lastRenderedPageBreak/>
        <w:t>Кримінальний процесуальний кодекс України : Закон України від 13 квітня 2012 року № 4651-VI. URL:</w:t>
      </w:r>
      <w:r w:rsidRPr="00511005">
        <w:rPr>
          <w:rFonts w:ascii="Arial" w:eastAsia="Calibri" w:hAnsi="Arial" w:cs="Arial"/>
          <w:i/>
          <w:iCs/>
          <w:noProof/>
          <w:szCs w:val="28"/>
        </w:rPr>
        <w:t xml:space="preserve"> </w:t>
      </w:r>
      <w:hyperlink r:id="rId2198" w:history="1">
        <w:r w:rsidRPr="00511005">
          <w:rPr>
            <w:rFonts w:ascii="Arial" w:eastAsia="Calibri" w:hAnsi="Arial" w:cs="Arial"/>
            <w:iCs/>
            <w:noProof/>
            <w:szCs w:val="28"/>
          </w:rPr>
          <w:t>https://zakon.rada.gov.ua/laws/show/4651-17</w:t>
        </w:r>
      </w:hyperlink>
      <w:r w:rsidRPr="00511005">
        <w:rPr>
          <w:rFonts w:ascii="Arial" w:eastAsia="Calibri" w:hAnsi="Arial" w:cs="Arial"/>
          <w:i/>
          <w:iCs/>
          <w:noProof/>
          <w:szCs w:val="28"/>
        </w:rPr>
        <w:t>.</w:t>
      </w:r>
    </w:p>
    <w:p w14:paraId="225C0F63" w14:textId="77777777" w:rsidR="00532C25" w:rsidRPr="00511005" w:rsidRDefault="00532C25" w:rsidP="003F6A5D">
      <w:pPr>
        <w:numPr>
          <w:ilvl w:val="0"/>
          <w:numId w:val="606"/>
        </w:numPr>
        <w:spacing w:line="264" w:lineRule="auto"/>
        <w:contextualSpacing/>
        <w:jc w:val="left"/>
        <w:rPr>
          <w:rFonts w:ascii="Arial" w:eastAsia="Calibri" w:hAnsi="Arial" w:cs="Arial"/>
          <w:noProof/>
          <w:szCs w:val="28"/>
        </w:rPr>
      </w:pPr>
      <w:r w:rsidRPr="00511005">
        <w:rPr>
          <w:rFonts w:ascii="Arial" w:eastAsia="Calibri" w:hAnsi="Arial" w:cs="Arial"/>
          <w:noProof/>
          <w:szCs w:val="28"/>
        </w:rPr>
        <w:t>Конвенція Ради Європи про запобігання насильству стосовно жінок і домашньому насильству та боротьбу із цими явищами (Стамбульська конвенція). Офіційний переклад.</w:t>
      </w:r>
      <w:r w:rsidRPr="00511005">
        <w:rPr>
          <w:rFonts w:ascii="Arial" w:eastAsia="Calibri" w:hAnsi="Arial" w:cs="Arial"/>
          <w:noProof/>
          <w:szCs w:val="28"/>
          <w:lang w:val="uk-UA"/>
        </w:rPr>
        <w:t xml:space="preserve"> </w:t>
      </w:r>
      <w:r w:rsidRPr="00511005">
        <w:rPr>
          <w:rFonts w:ascii="Arial" w:eastAsia="Calibri" w:hAnsi="Arial" w:cs="Arial"/>
          <w:noProof/>
          <w:szCs w:val="28"/>
          <w:lang w:val="en-US"/>
        </w:rPr>
        <w:t>URL</w:t>
      </w:r>
      <w:r w:rsidRPr="00511005">
        <w:rPr>
          <w:rFonts w:ascii="Arial" w:eastAsia="Calibri" w:hAnsi="Arial" w:cs="Arial"/>
          <w:noProof/>
          <w:szCs w:val="28"/>
        </w:rPr>
        <w:t xml:space="preserve">: </w:t>
      </w:r>
      <w:hyperlink r:id="rId2199" w:history="1">
        <w:r w:rsidRPr="00511005">
          <w:rPr>
            <w:rFonts w:ascii="Arial" w:eastAsia="Calibri" w:hAnsi="Arial" w:cs="Arial"/>
            <w:noProof/>
            <w:szCs w:val="28"/>
            <w:lang w:val="en-US"/>
          </w:rPr>
          <w:t>https</w:t>
        </w:r>
        <w:r w:rsidRPr="00511005">
          <w:rPr>
            <w:rFonts w:ascii="Arial" w:eastAsia="Calibri" w:hAnsi="Arial" w:cs="Arial"/>
            <w:noProof/>
            <w:szCs w:val="28"/>
          </w:rPr>
          <w:t>://</w:t>
        </w:r>
        <w:r w:rsidRPr="00511005">
          <w:rPr>
            <w:rFonts w:ascii="Arial" w:eastAsia="Calibri" w:hAnsi="Arial" w:cs="Arial"/>
            <w:noProof/>
            <w:szCs w:val="28"/>
            <w:lang w:val="en-US"/>
          </w:rPr>
          <w:t>zakon</w:t>
        </w:r>
        <w:r w:rsidRPr="00511005">
          <w:rPr>
            <w:rFonts w:ascii="Arial" w:eastAsia="Calibri" w:hAnsi="Arial" w:cs="Arial"/>
            <w:noProof/>
            <w:szCs w:val="28"/>
          </w:rPr>
          <w:t>.</w:t>
        </w:r>
        <w:r w:rsidRPr="00511005">
          <w:rPr>
            <w:rFonts w:ascii="Arial" w:eastAsia="Calibri" w:hAnsi="Arial" w:cs="Arial"/>
            <w:noProof/>
            <w:szCs w:val="28"/>
            <w:lang w:val="en-US"/>
          </w:rPr>
          <w:t>rada</w:t>
        </w:r>
        <w:r w:rsidRPr="00511005">
          <w:rPr>
            <w:rFonts w:ascii="Arial" w:eastAsia="Calibri" w:hAnsi="Arial" w:cs="Arial"/>
            <w:noProof/>
            <w:szCs w:val="28"/>
          </w:rPr>
          <w:t>.</w:t>
        </w:r>
        <w:r w:rsidRPr="00511005">
          <w:rPr>
            <w:rFonts w:ascii="Arial" w:eastAsia="Calibri" w:hAnsi="Arial" w:cs="Arial"/>
            <w:noProof/>
            <w:szCs w:val="28"/>
            <w:lang w:val="en-US"/>
          </w:rPr>
          <w:t>gov</w:t>
        </w:r>
        <w:r w:rsidRPr="00511005">
          <w:rPr>
            <w:rFonts w:ascii="Arial" w:eastAsia="Calibri" w:hAnsi="Arial" w:cs="Arial"/>
            <w:noProof/>
            <w:szCs w:val="28"/>
          </w:rPr>
          <w:t>.</w:t>
        </w:r>
        <w:r w:rsidRPr="00511005">
          <w:rPr>
            <w:rFonts w:ascii="Arial" w:eastAsia="Calibri" w:hAnsi="Arial" w:cs="Arial"/>
            <w:noProof/>
            <w:szCs w:val="28"/>
            <w:lang w:val="en-US"/>
          </w:rPr>
          <w:t>ua</w:t>
        </w:r>
        <w:r w:rsidRPr="00511005">
          <w:rPr>
            <w:rFonts w:ascii="Arial" w:eastAsia="Calibri" w:hAnsi="Arial" w:cs="Arial"/>
            <w:noProof/>
            <w:szCs w:val="28"/>
          </w:rPr>
          <w:t>/</w:t>
        </w:r>
        <w:r w:rsidRPr="00511005">
          <w:rPr>
            <w:rFonts w:ascii="Arial" w:eastAsia="Calibri" w:hAnsi="Arial" w:cs="Arial"/>
            <w:noProof/>
            <w:szCs w:val="28"/>
            <w:lang w:val="en-US"/>
          </w:rPr>
          <w:t>laws</w:t>
        </w:r>
        <w:r w:rsidRPr="00511005">
          <w:rPr>
            <w:rFonts w:ascii="Arial" w:eastAsia="Calibri" w:hAnsi="Arial" w:cs="Arial"/>
            <w:noProof/>
            <w:szCs w:val="28"/>
          </w:rPr>
          <w:t>/</w:t>
        </w:r>
        <w:r w:rsidRPr="00511005">
          <w:rPr>
            <w:rFonts w:ascii="Arial" w:eastAsia="Calibri" w:hAnsi="Arial" w:cs="Arial"/>
            <w:noProof/>
            <w:szCs w:val="28"/>
            <w:lang w:val="en-US"/>
          </w:rPr>
          <w:t>show</w:t>
        </w:r>
        <w:r w:rsidRPr="00511005">
          <w:rPr>
            <w:rFonts w:ascii="Arial" w:eastAsia="Calibri" w:hAnsi="Arial" w:cs="Arial"/>
            <w:noProof/>
            <w:szCs w:val="28"/>
          </w:rPr>
          <w:t>/994_001-11</w:t>
        </w:r>
      </w:hyperlink>
      <w:r w:rsidRPr="00511005">
        <w:rPr>
          <w:rFonts w:ascii="Arial" w:eastAsia="Calibri" w:hAnsi="Arial" w:cs="Arial"/>
          <w:noProof/>
          <w:szCs w:val="28"/>
        </w:rPr>
        <w:t xml:space="preserve">. </w:t>
      </w:r>
    </w:p>
    <w:p w14:paraId="40C70309" w14:textId="77777777" w:rsidR="00532C25" w:rsidRPr="00511005" w:rsidRDefault="00532C25" w:rsidP="003F6A5D">
      <w:pPr>
        <w:numPr>
          <w:ilvl w:val="0"/>
          <w:numId w:val="606"/>
        </w:numPr>
        <w:spacing w:line="264" w:lineRule="auto"/>
        <w:contextualSpacing/>
        <w:jc w:val="left"/>
        <w:rPr>
          <w:rFonts w:ascii="Arial" w:eastAsia="Calibri" w:hAnsi="Arial" w:cs="Arial"/>
          <w:noProof/>
          <w:szCs w:val="28"/>
          <w:lang w:val="pl-PL"/>
        </w:rPr>
      </w:pPr>
      <w:r w:rsidRPr="00511005">
        <w:rPr>
          <w:rFonts w:ascii="Arial" w:eastAsia="Calibri" w:hAnsi="Arial" w:cs="Arial"/>
          <w:noProof/>
          <w:szCs w:val="28"/>
        </w:rPr>
        <w:t xml:space="preserve">Зауваження Головного юридичного управління до законопроєкту з реєстраційним номером 4952 від 10.03.2017. </w:t>
      </w:r>
      <w:r w:rsidRPr="00511005">
        <w:rPr>
          <w:rFonts w:ascii="Arial" w:eastAsia="Calibri" w:hAnsi="Arial" w:cs="Arial"/>
          <w:noProof/>
          <w:szCs w:val="28"/>
          <w:lang w:val="pl-PL"/>
        </w:rPr>
        <w:t xml:space="preserve">URL: </w:t>
      </w:r>
      <w:hyperlink r:id="rId2200" w:history="1">
        <w:r w:rsidRPr="00511005">
          <w:rPr>
            <w:rFonts w:ascii="Arial" w:eastAsia="Calibri" w:hAnsi="Arial" w:cs="Arial"/>
            <w:noProof/>
            <w:szCs w:val="28"/>
            <w:lang w:val="pl-PL"/>
          </w:rPr>
          <w:t>http://w1.c1.rada.gov.ua/pls/zweb2/webproc34?id=&amp;pf3511=59648&amp;pf35401=417467</w:t>
        </w:r>
      </w:hyperlink>
      <w:r w:rsidRPr="00511005">
        <w:rPr>
          <w:rFonts w:ascii="Arial" w:eastAsia="Calibri" w:hAnsi="Arial" w:cs="Arial"/>
          <w:noProof/>
          <w:szCs w:val="28"/>
          <w:lang w:val="pl-PL"/>
        </w:rPr>
        <w:t>.</w:t>
      </w:r>
    </w:p>
    <w:p w14:paraId="2DCC4158" w14:textId="77777777" w:rsidR="00532C25" w:rsidRPr="00511005" w:rsidRDefault="00532C25" w:rsidP="003F6A5D">
      <w:pPr>
        <w:numPr>
          <w:ilvl w:val="0"/>
          <w:numId w:val="606"/>
        </w:numPr>
        <w:spacing w:line="264" w:lineRule="auto"/>
        <w:contextualSpacing/>
        <w:jc w:val="left"/>
        <w:rPr>
          <w:rFonts w:ascii="Arial" w:eastAsia="Calibri" w:hAnsi="Arial" w:cs="Arial"/>
          <w:noProof/>
          <w:szCs w:val="28"/>
        </w:rPr>
      </w:pPr>
      <w:r w:rsidRPr="00511005">
        <w:rPr>
          <w:rFonts w:ascii="Arial" w:eastAsia="Calibri" w:hAnsi="Arial" w:cs="Arial"/>
          <w:noProof/>
          <w:szCs w:val="28"/>
        </w:rPr>
        <w:t xml:space="preserve">Постанова Касаціного кримінального суду </w:t>
      </w:r>
      <w:r w:rsidRPr="00511005">
        <w:rPr>
          <w:rFonts w:ascii="Arial" w:eastAsia="Calibri" w:hAnsi="Arial" w:cs="Arial"/>
          <w:noProof/>
          <w:szCs w:val="28"/>
          <w:lang w:val="uk-UA"/>
        </w:rPr>
        <w:t xml:space="preserve">Верховного Суду </w:t>
      </w:r>
      <w:r w:rsidRPr="00511005">
        <w:rPr>
          <w:rFonts w:ascii="Arial" w:eastAsia="Calibri" w:hAnsi="Arial" w:cs="Arial"/>
          <w:noProof/>
          <w:szCs w:val="28"/>
        </w:rPr>
        <w:t xml:space="preserve">від 21.08.2024 року у справі № 365/621/23. Єдиний державний реєстр судових рішень. </w:t>
      </w:r>
      <w:r w:rsidRPr="00511005">
        <w:rPr>
          <w:rFonts w:ascii="Arial" w:eastAsia="Calibri" w:hAnsi="Arial" w:cs="Arial"/>
          <w:noProof/>
          <w:szCs w:val="28"/>
          <w:lang w:val="en-US"/>
        </w:rPr>
        <w:t>URL</w:t>
      </w:r>
      <w:r w:rsidRPr="00511005">
        <w:rPr>
          <w:rFonts w:ascii="Arial" w:eastAsia="Calibri" w:hAnsi="Arial" w:cs="Arial"/>
          <w:noProof/>
          <w:szCs w:val="28"/>
        </w:rPr>
        <w:t xml:space="preserve">: </w:t>
      </w:r>
      <w:hyperlink r:id="rId2201" w:history="1">
        <w:r w:rsidRPr="00511005">
          <w:rPr>
            <w:rFonts w:ascii="Arial" w:eastAsia="Calibri" w:hAnsi="Arial" w:cs="Arial"/>
            <w:noProof/>
            <w:szCs w:val="28"/>
            <w:lang w:val="en-US"/>
          </w:rPr>
          <w:t>https</w:t>
        </w:r>
        <w:r w:rsidRPr="00511005">
          <w:rPr>
            <w:rFonts w:ascii="Arial" w:eastAsia="Calibri" w:hAnsi="Arial" w:cs="Arial"/>
            <w:noProof/>
            <w:szCs w:val="28"/>
          </w:rPr>
          <w:t>://</w:t>
        </w:r>
        <w:r w:rsidRPr="00511005">
          <w:rPr>
            <w:rFonts w:ascii="Arial" w:eastAsia="Calibri" w:hAnsi="Arial" w:cs="Arial"/>
            <w:noProof/>
            <w:szCs w:val="28"/>
            <w:lang w:val="en-US"/>
          </w:rPr>
          <w:t>reyestr</w:t>
        </w:r>
        <w:r w:rsidRPr="00511005">
          <w:rPr>
            <w:rFonts w:ascii="Arial" w:eastAsia="Calibri" w:hAnsi="Arial" w:cs="Arial"/>
            <w:noProof/>
            <w:szCs w:val="28"/>
          </w:rPr>
          <w:t>.</w:t>
        </w:r>
        <w:r w:rsidRPr="00511005">
          <w:rPr>
            <w:rFonts w:ascii="Arial" w:eastAsia="Calibri" w:hAnsi="Arial" w:cs="Arial"/>
            <w:noProof/>
            <w:szCs w:val="28"/>
            <w:lang w:val="en-US"/>
          </w:rPr>
          <w:t>court</w:t>
        </w:r>
        <w:r w:rsidRPr="00511005">
          <w:rPr>
            <w:rFonts w:ascii="Arial" w:eastAsia="Calibri" w:hAnsi="Arial" w:cs="Arial"/>
            <w:noProof/>
            <w:szCs w:val="28"/>
          </w:rPr>
          <w:t>.</w:t>
        </w:r>
        <w:r w:rsidRPr="00511005">
          <w:rPr>
            <w:rFonts w:ascii="Arial" w:eastAsia="Calibri" w:hAnsi="Arial" w:cs="Arial"/>
            <w:noProof/>
            <w:szCs w:val="28"/>
            <w:lang w:val="en-US"/>
          </w:rPr>
          <w:t>gov</w:t>
        </w:r>
        <w:r w:rsidRPr="00511005">
          <w:rPr>
            <w:rFonts w:ascii="Arial" w:eastAsia="Calibri" w:hAnsi="Arial" w:cs="Arial"/>
            <w:noProof/>
            <w:szCs w:val="28"/>
          </w:rPr>
          <w:t>.</w:t>
        </w:r>
        <w:r w:rsidRPr="00511005">
          <w:rPr>
            <w:rFonts w:ascii="Arial" w:eastAsia="Calibri" w:hAnsi="Arial" w:cs="Arial"/>
            <w:noProof/>
            <w:szCs w:val="28"/>
            <w:lang w:val="en-US"/>
          </w:rPr>
          <w:t>ua</w:t>
        </w:r>
        <w:r w:rsidRPr="00511005">
          <w:rPr>
            <w:rFonts w:ascii="Arial" w:eastAsia="Calibri" w:hAnsi="Arial" w:cs="Arial"/>
            <w:noProof/>
            <w:szCs w:val="28"/>
          </w:rPr>
          <w:t>/</w:t>
        </w:r>
        <w:r w:rsidRPr="00511005">
          <w:rPr>
            <w:rFonts w:ascii="Arial" w:eastAsia="Calibri" w:hAnsi="Arial" w:cs="Arial"/>
            <w:noProof/>
            <w:szCs w:val="28"/>
            <w:lang w:val="en-US"/>
          </w:rPr>
          <w:t>Review</w:t>
        </w:r>
        <w:r w:rsidRPr="00511005">
          <w:rPr>
            <w:rFonts w:ascii="Arial" w:eastAsia="Calibri" w:hAnsi="Arial" w:cs="Arial"/>
            <w:noProof/>
            <w:szCs w:val="28"/>
          </w:rPr>
          <w:t>/121204799</w:t>
        </w:r>
      </w:hyperlink>
      <w:r w:rsidRPr="00511005">
        <w:rPr>
          <w:rFonts w:ascii="Arial" w:eastAsia="Calibri" w:hAnsi="Arial" w:cs="Arial"/>
          <w:noProof/>
          <w:szCs w:val="28"/>
        </w:rPr>
        <w:t>.</w:t>
      </w:r>
    </w:p>
    <w:p w14:paraId="0FF394FA" w14:textId="77777777" w:rsidR="00532C25" w:rsidRPr="00511005" w:rsidRDefault="00532C25" w:rsidP="003F6A5D">
      <w:pPr>
        <w:numPr>
          <w:ilvl w:val="0"/>
          <w:numId w:val="606"/>
        </w:numPr>
        <w:spacing w:line="264" w:lineRule="auto"/>
        <w:contextualSpacing/>
        <w:jc w:val="left"/>
        <w:rPr>
          <w:rFonts w:ascii="Arial" w:eastAsia="Calibri" w:hAnsi="Arial" w:cs="Arial"/>
          <w:noProof/>
          <w:szCs w:val="28"/>
        </w:rPr>
      </w:pPr>
      <w:r w:rsidRPr="00511005">
        <w:rPr>
          <w:rFonts w:ascii="Arial" w:eastAsia="Calibri" w:hAnsi="Arial" w:cs="Arial"/>
          <w:noProof/>
          <w:szCs w:val="28"/>
        </w:rPr>
        <w:t xml:space="preserve">Ухвала Тернопільського міськрайонного суду Тернопільської області від 19.03.2025 у справі № №607/25705/24. Єдиний державний реєстр судових рішень. </w:t>
      </w:r>
      <w:r w:rsidRPr="00511005">
        <w:rPr>
          <w:rFonts w:ascii="Arial" w:eastAsia="Calibri" w:hAnsi="Arial" w:cs="Arial"/>
          <w:noProof/>
          <w:szCs w:val="28"/>
          <w:lang w:val="en-US"/>
        </w:rPr>
        <w:t>URL</w:t>
      </w:r>
      <w:r w:rsidRPr="00511005">
        <w:rPr>
          <w:rFonts w:ascii="Arial" w:eastAsia="Calibri" w:hAnsi="Arial" w:cs="Arial"/>
          <w:noProof/>
          <w:szCs w:val="28"/>
        </w:rPr>
        <w:t xml:space="preserve">: </w:t>
      </w:r>
      <w:hyperlink r:id="rId2202" w:history="1">
        <w:r w:rsidRPr="00511005">
          <w:rPr>
            <w:rFonts w:ascii="Arial" w:eastAsia="Calibri" w:hAnsi="Arial" w:cs="Arial"/>
            <w:noProof/>
            <w:szCs w:val="28"/>
            <w:lang w:val="en-US"/>
          </w:rPr>
          <w:t>https</w:t>
        </w:r>
        <w:r w:rsidRPr="00511005">
          <w:rPr>
            <w:rFonts w:ascii="Arial" w:eastAsia="Calibri" w:hAnsi="Arial" w:cs="Arial"/>
            <w:noProof/>
            <w:szCs w:val="28"/>
          </w:rPr>
          <w:t>://</w:t>
        </w:r>
        <w:r w:rsidRPr="00511005">
          <w:rPr>
            <w:rFonts w:ascii="Arial" w:eastAsia="Calibri" w:hAnsi="Arial" w:cs="Arial"/>
            <w:noProof/>
            <w:szCs w:val="28"/>
            <w:lang w:val="en-US"/>
          </w:rPr>
          <w:t>reyestr</w:t>
        </w:r>
        <w:r w:rsidRPr="00511005">
          <w:rPr>
            <w:rFonts w:ascii="Arial" w:eastAsia="Calibri" w:hAnsi="Arial" w:cs="Arial"/>
            <w:noProof/>
            <w:szCs w:val="28"/>
          </w:rPr>
          <w:t>.</w:t>
        </w:r>
        <w:r w:rsidRPr="00511005">
          <w:rPr>
            <w:rFonts w:ascii="Arial" w:eastAsia="Calibri" w:hAnsi="Arial" w:cs="Arial"/>
            <w:noProof/>
            <w:szCs w:val="28"/>
            <w:lang w:val="en-US"/>
          </w:rPr>
          <w:t>court</w:t>
        </w:r>
        <w:r w:rsidRPr="00511005">
          <w:rPr>
            <w:rFonts w:ascii="Arial" w:eastAsia="Calibri" w:hAnsi="Arial" w:cs="Arial"/>
            <w:noProof/>
            <w:szCs w:val="28"/>
          </w:rPr>
          <w:t>.</w:t>
        </w:r>
        <w:r w:rsidRPr="00511005">
          <w:rPr>
            <w:rFonts w:ascii="Arial" w:eastAsia="Calibri" w:hAnsi="Arial" w:cs="Arial"/>
            <w:noProof/>
            <w:szCs w:val="28"/>
            <w:lang w:val="en-US"/>
          </w:rPr>
          <w:t>gov</w:t>
        </w:r>
        <w:r w:rsidRPr="00511005">
          <w:rPr>
            <w:rFonts w:ascii="Arial" w:eastAsia="Calibri" w:hAnsi="Arial" w:cs="Arial"/>
            <w:noProof/>
            <w:szCs w:val="28"/>
          </w:rPr>
          <w:t>.</w:t>
        </w:r>
        <w:r w:rsidRPr="00511005">
          <w:rPr>
            <w:rFonts w:ascii="Arial" w:eastAsia="Calibri" w:hAnsi="Arial" w:cs="Arial"/>
            <w:noProof/>
            <w:szCs w:val="28"/>
            <w:lang w:val="en-US"/>
          </w:rPr>
          <w:t>ua</w:t>
        </w:r>
        <w:r w:rsidRPr="00511005">
          <w:rPr>
            <w:rFonts w:ascii="Arial" w:eastAsia="Calibri" w:hAnsi="Arial" w:cs="Arial"/>
            <w:noProof/>
            <w:szCs w:val="28"/>
          </w:rPr>
          <w:t>/</w:t>
        </w:r>
        <w:r w:rsidRPr="00511005">
          <w:rPr>
            <w:rFonts w:ascii="Arial" w:eastAsia="Calibri" w:hAnsi="Arial" w:cs="Arial"/>
            <w:noProof/>
            <w:szCs w:val="28"/>
            <w:lang w:val="en-US"/>
          </w:rPr>
          <w:t>Review</w:t>
        </w:r>
        <w:r w:rsidRPr="00511005">
          <w:rPr>
            <w:rFonts w:ascii="Arial" w:eastAsia="Calibri" w:hAnsi="Arial" w:cs="Arial"/>
            <w:noProof/>
            <w:szCs w:val="28"/>
          </w:rPr>
          <w:t>/126002179</w:t>
        </w:r>
      </w:hyperlink>
      <w:r w:rsidRPr="00511005">
        <w:rPr>
          <w:rFonts w:ascii="Arial" w:eastAsia="Calibri" w:hAnsi="Arial" w:cs="Arial"/>
          <w:noProof/>
          <w:szCs w:val="28"/>
          <w:lang w:val="uk-UA"/>
        </w:rPr>
        <w:t>.</w:t>
      </w:r>
    </w:p>
    <w:p w14:paraId="0EA703A7" w14:textId="77777777" w:rsidR="00532C25" w:rsidRPr="00511005" w:rsidRDefault="00532C25" w:rsidP="00532C25">
      <w:pPr>
        <w:spacing w:line="264" w:lineRule="auto"/>
        <w:contextualSpacing/>
        <w:rPr>
          <w:rFonts w:ascii="Arial" w:eastAsia="Calibri" w:hAnsi="Arial" w:cs="Arial"/>
          <w:b/>
          <w:szCs w:val="28"/>
        </w:rPr>
      </w:pPr>
    </w:p>
    <w:p w14:paraId="3843E66D" w14:textId="77777777" w:rsidR="00532C25" w:rsidRPr="00511005" w:rsidRDefault="00532C25" w:rsidP="00532C25">
      <w:pPr>
        <w:spacing w:line="264" w:lineRule="auto"/>
        <w:contextualSpacing/>
        <w:rPr>
          <w:rFonts w:ascii="Arial" w:eastAsia="Calibri" w:hAnsi="Arial" w:cs="Arial"/>
          <w:noProof/>
          <w:szCs w:val="28"/>
          <w:lang w:val="uk-UA"/>
        </w:rPr>
      </w:pPr>
      <w:r w:rsidRPr="00511005">
        <w:rPr>
          <w:rFonts w:ascii="Arial" w:eastAsia="Calibri" w:hAnsi="Arial" w:cs="Arial"/>
          <w:b/>
          <w:i/>
          <w:szCs w:val="28"/>
        </w:rPr>
        <w:t xml:space="preserve">Ключові слова: </w:t>
      </w:r>
      <w:r w:rsidRPr="00511005">
        <w:rPr>
          <w:rFonts w:ascii="Arial" w:eastAsia="Calibri" w:hAnsi="Arial" w:cs="Arial"/>
          <w:szCs w:val="28"/>
        </w:rPr>
        <w:t xml:space="preserve">Кримінальний процесуальний кодекс України, </w:t>
      </w:r>
      <w:r w:rsidRPr="00511005">
        <w:rPr>
          <w:rFonts w:ascii="Arial" w:eastAsia="Calibri" w:hAnsi="Arial" w:cs="Arial"/>
          <w:szCs w:val="28"/>
          <w:lang w:val="uk-UA"/>
        </w:rPr>
        <w:t xml:space="preserve">диспозитивність, </w:t>
      </w:r>
      <w:r w:rsidRPr="00511005">
        <w:rPr>
          <w:rFonts w:ascii="Arial" w:eastAsia="Calibri" w:hAnsi="Arial" w:cs="Arial"/>
          <w:noProof/>
          <w:szCs w:val="28"/>
        </w:rPr>
        <w:t>закриття кримінального провадження</w:t>
      </w:r>
      <w:r w:rsidRPr="00511005">
        <w:rPr>
          <w:rFonts w:ascii="Arial" w:eastAsia="Calibri" w:hAnsi="Arial" w:cs="Arial"/>
          <w:noProof/>
          <w:szCs w:val="28"/>
          <w:lang w:val="uk-UA"/>
        </w:rPr>
        <w:t>.</w:t>
      </w:r>
    </w:p>
    <w:p w14:paraId="1FEBA563" w14:textId="77777777" w:rsidR="00532C25" w:rsidRPr="00511005" w:rsidRDefault="00532C25" w:rsidP="00532C25">
      <w:pPr>
        <w:spacing w:line="264" w:lineRule="auto"/>
        <w:contextualSpacing/>
        <w:rPr>
          <w:rFonts w:ascii="Arial" w:eastAsia="Calibri" w:hAnsi="Arial" w:cs="Arial"/>
          <w:noProof/>
          <w:szCs w:val="28"/>
          <w:lang w:val="uk-UA"/>
        </w:rPr>
      </w:pPr>
      <w:r w:rsidRPr="00511005">
        <w:rPr>
          <w:rFonts w:ascii="Arial" w:eastAsia="Calibri" w:hAnsi="Arial" w:cs="Arial"/>
          <w:b/>
          <w:i/>
          <w:szCs w:val="28"/>
          <w:lang w:val="en-CA"/>
        </w:rPr>
        <w:t xml:space="preserve">Key words: </w:t>
      </w:r>
      <w:r w:rsidRPr="00511005">
        <w:rPr>
          <w:rFonts w:ascii="Arial" w:eastAsia="Calibri" w:hAnsi="Arial" w:cs="Arial"/>
          <w:szCs w:val="28"/>
          <w:lang w:val="en-US"/>
        </w:rPr>
        <w:t>the Criminal Procedure Code of Ukraine,</w:t>
      </w:r>
      <w:r w:rsidRPr="00511005">
        <w:rPr>
          <w:rFonts w:ascii="Arial" w:eastAsia="Calibri" w:hAnsi="Arial" w:cs="Arial"/>
          <w:szCs w:val="28"/>
          <w:lang w:val="uk-UA"/>
        </w:rPr>
        <w:t xml:space="preserve"> </w:t>
      </w:r>
      <w:r w:rsidRPr="00511005">
        <w:rPr>
          <w:rFonts w:ascii="Arial" w:eastAsia="Calibri" w:hAnsi="Arial" w:cs="Arial"/>
          <w:szCs w:val="28"/>
          <w:lang w:val="en"/>
        </w:rPr>
        <w:t>dispositivity,</w:t>
      </w:r>
      <w:r w:rsidRPr="00511005">
        <w:rPr>
          <w:rFonts w:ascii="Arial" w:eastAsia="Calibri" w:hAnsi="Arial" w:cs="Arial"/>
          <w:szCs w:val="28"/>
          <w:lang w:val="en-US"/>
        </w:rPr>
        <w:t xml:space="preserve"> </w:t>
      </w:r>
      <w:r w:rsidRPr="00511005">
        <w:rPr>
          <w:rFonts w:ascii="Arial" w:eastAsia="Calibri" w:hAnsi="Arial" w:cs="Arial"/>
          <w:szCs w:val="28"/>
          <w:lang w:val="en"/>
        </w:rPr>
        <w:t>closure of criminal proceedings</w:t>
      </w:r>
    </w:p>
    <w:p w14:paraId="2E348CE0" w14:textId="77777777" w:rsidR="00532C25" w:rsidRPr="00511005" w:rsidRDefault="00532C25" w:rsidP="00532C25">
      <w:pPr>
        <w:spacing w:line="264" w:lineRule="auto"/>
        <w:ind w:firstLine="720"/>
        <w:rPr>
          <w:rFonts w:ascii="Arial" w:eastAsia="Arial" w:hAnsi="Arial" w:cs="Arial"/>
          <w:i/>
          <w:iCs/>
          <w:szCs w:val="28"/>
          <w:lang w:val="uk-UA" w:eastAsia="ru-RU"/>
        </w:rPr>
      </w:pPr>
      <w:r w:rsidRPr="00511005">
        <w:rPr>
          <w:rFonts w:ascii="Arial" w:eastAsia="Arial" w:hAnsi="Arial" w:cs="Arial"/>
          <w:b/>
          <w:bCs/>
          <w:i/>
          <w:szCs w:val="28"/>
          <w:lang w:val="uk-UA" w:eastAsia="ru-RU"/>
        </w:rPr>
        <w:t xml:space="preserve">Науковий керівник: </w:t>
      </w:r>
      <w:r w:rsidRPr="00511005">
        <w:rPr>
          <w:rFonts w:ascii="Arial" w:eastAsia="Arial" w:hAnsi="Arial" w:cs="Arial"/>
          <w:i/>
          <w:iCs/>
          <w:szCs w:val="28"/>
          <w:lang w:val="uk-UA" w:eastAsia="ru-RU"/>
        </w:rPr>
        <w:t xml:space="preserve">к.ю.н., доцент Гуртієва Л.М. </w:t>
      </w:r>
    </w:p>
    <w:p w14:paraId="310D32E9" w14:textId="77777777" w:rsidR="00532C25" w:rsidRPr="00511005" w:rsidRDefault="00532C25" w:rsidP="00532C25">
      <w:pPr>
        <w:spacing w:line="264" w:lineRule="auto"/>
        <w:ind w:firstLine="567"/>
        <w:rPr>
          <w:rFonts w:ascii="Arial" w:eastAsia="Arial" w:hAnsi="Arial" w:cs="Arial"/>
          <w:b/>
          <w:bCs/>
          <w:i/>
          <w:szCs w:val="28"/>
          <w:lang w:val="uk-UA" w:eastAsia="ru-RU"/>
        </w:rPr>
      </w:pPr>
    </w:p>
    <w:p w14:paraId="6266DDB3" w14:textId="77777777" w:rsidR="00532C25" w:rsidRPr="00511005" w:rsidRDefault="00532C25" w:rsidP="00532C25">
      <w:pPr>
        <w:spacing w:line="264" w:lineRule="auto"/>
        <w:ind w:firstLine="0"/>
        <w:contextualSpacing/>
        <w:jc w:val="center"/>
        <w:rPr>
          <w:rFonts w:ascii="Arial" w:eastAsia="Times New Roman" w:hAnsi="Arial" w:cs="Arial"/>
          <w:b/>
          <w:bCs/>
          <w:i/>
          <w:iCs/>
          <w:noProof/>
          <w:szCs w:val="28"/>
          <w:lang w:val="ru" w:eastAsia="ru-RU"/>
        </w:rPr>
      </w:pPr>
    </w:p>
    <w:p w14:paraId="1F53F9B1" w14:textId="77777777" w:rsidR="00532C25" w:rsidRPr="00511005" w:rsidRDefault="00532C25" w:rsidP="00532C25">
      <w:pPr>
        <w:spacing w:line="264" w:lineRule="auto"/>
        <w:ind w:firstLine="0"/>
        <w:contextualSpacing/>
        <w:jc w:val="center"/>
        <w:rPr>
          <w:rFonts w:ascii="Arial" w:eastAsia="Times New Roman" w:hAnsi="Arial" w:cs="Arial"/>
          <w:b/>
          <w:bCs/>
          <w:i/>
          <w:iCs/>
          <w:noProof/>
          <w:szCs w:val="28"/>
          <w:lang w:val="ru" w:eastAsia="ru-RU"/>
        </w:rPr>
      </w:pPr>
      <w:r w:rsidRPr="00511005">
        <w:rPr>
          <w:rFonts w:ascii="Arial" w:eastAsia="Times New Roman" w:hAnsi="Arial" w:cs="Arial"/>
          <w:b/>
          <w:bCs/>
          <w:i/>
          <w:iCs/>
          <w:noProof/>
          <w:szCs w:val="28"/>
          <w:lang w:val="ru" w:eastAsia="ru-RU"/>
        </w:rPr>
        <w:t>Корнійчук Микола Миколайович</w:t>
      </w:r>
    </w:p>
    <w:p w14:paraId="739EB0B9"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 1-го курсу магістратури</w:t>
      </w:r>
    </w:p>
    <w:p w14:paraId="29EE969B"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1147347"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89742C2" w14:textId="77777777" w:rsidR="00532C25" w:rsidRPr="00511005" w:rsidRDefault="00532C25" w:rsidP="00532C25">
      <w:pPr>
        <w:spacing w:line="264" w:lineRule="auto"/>
        <w:ind w:firstLine="0"/>
        <w:contextualSpacing/>
        <w:jc w:val="center"/>
        <w:rPr>
          <w:rFonts w:ascii="Arial" w:eastAsia="Times New Roman" w:hAnsi="Arial" w:cs="Arial"/>
          <w:noProof/>
          <w:szCs w:val="28"/>
          <w:lang w:val="ru" w:eastAsia="ru-RU"/>
        </w:rPr>
      </w:pPr>
    </w:p>
    <w:p w14:paraId="6DE8EFC1" w14:textId="77777777" w:rsidR="00532C25" w:rsidRPr="00511005" w:rsidRDefault="00532C25" w:rsidP="00532C25">
      <w:pPr>
        <w:spacing w:line="264" w:lineRule="auto"/>
        <w:ind w:firstLine="0"/>
        <w:jc w:val="center"/>
        <w:rPr>
          <w:rFonts w:ascii="Arial" w:eastAsia="Times New Roman" w:hAnsi="Arial" w:cs="Arial"/>
          <w:b/>
          <w:bCs/>
          <w:noProof/>
          <w:szCs w:val="28"/>
          <w:lang w:val="ru" w:eastAsia="ru-RU"/>
        </w:rPr>
      </w:pPr>
      <w:r w:rsidRPr="00511005">
        <w:rPr>
          <w:rFonts w:ascii="Arial" w:eastAsia="Times New Roman" w:hAnsi="Arial" w:cs="Arial"/>
          <w:b/>
          <w:bCs/>
          <w:noProof/>
          <w:szCs w:val="28"/>
          <w:lang w:val="ru" w:eastAsia="ru-RU"/>
        </w:rPr>
        <w:t>ДЕЯКІ АСПЕКТИ ВТРУЧАННЯ У ПРИВАТНЕ СПІЛКУВАННЯ ЗА ЗАКОНОДАВСТВОМ УКРАЇНИ ТА ВЕЛИКОБРИТАНІЇ</w:t>
      </w:r>
    </w:p>
    <w:p w14:paraId="1C42B2CE" w14:textId="77777777" w:rsidR="00532C25" w:rsidRPr="00511005" w:rsidRDefault="00532C25" w:rsidP="00532C25">
      <w:pPr>
        <w:spacing w:line="264" w:lineRule="auto"/>
        <w:contextualSpacing/>
        <w:rPr>
          <w:rFonts w:ascii="Arial" w:eastAsia="Times New Roman" w:hAnsi="Arial" w:cs="Arial"/>
          <w:noProof/>
          <w:szCs w:val="28"/>
          <w:lang w:val="ru" w:eastAsia="ru-RU"/>
        </w:rPr>
      </w:pPr>
      <w:r w:rsidRPr="00511005">
        <w:rPr>
          <w:rFonts w:ascii="Arial" w:eastAsia="Times New Roman" w:hAnsi="Arial" w:cs="Arial"/>
          <w:noProof/>
          <w:szCs w:val="28"/>
          <w:lang w:val="ru" w:eastAsia="ru-RU"/>
        </w:rPr>
        <w:t xml:space="preserve">Право на приватність, складавою якого є таємниця комунікацій, – одне з базових прав людини та громадянина, що закріплене як на міжнародному, зокрема у ст. 12 Загальної декларації прав людини і громадянина [1], ст. 17 Міжнародного пакту про громадянські та політичні права [2], ст. 8 Європейської конвенції з прав людини [3], так і національному рівні в абсолютній більшості держав світу. В Україні відповідні норми містяться у ст.ст. 30-32 Конституції </w:t>
      </w:r>
      <w:r w:rsidRPr="00511005">
        <w:rPr>
          <w:rFonts w:ascii="Arial" w:eastAsia="Times New Roman" w:hAnsi="Arial" w:cs="Arial"/>
          <w:noProof/>
          <w:szCs w:val="28"/>
          <w:lang w:eastAsia="ru-RU"/>
        </w:rPr>
        <w:t>[4]</w:t>
      </w:r>
      <w:r w:rsidRPr="00511005">
        <w:rPr>
          <w:rFonts w:ascii="Arial" w:eastAsia="Times New Roman" w:hAnsi="Arial" w:cs="Arial"/>
          <w:noProof/>
          <w:szCs w:val="28"/>
          <w:lang w:val="ru" w:eastAsia="ru-RU"/>
        </w:rPr>
        <w:t>.</w:t>
      </w:r>
    </w:p>
    <w:p w14:paraId="45D24DB2" w14:textId="77777777" w:rsidR="00532C25" w:rsidRPr="00511005" w:rsidRDefault="00532C25" w:rsidP="00532C25">
      <w:pPr>
        <w:spacing w:line="264" w:lineRule="auto"/>
        <w:contextualSpacing/>
        <w:rPr>
          <w:rFonts w:ascii="Arial" w:eastAsia="Times New Roman" w:hAnsi="Arial" w:cs="Arial"/>
          <w:noProof/>
          <w:szCs w:val="28"/>
          <w:lang w:val="ru" w:eastAsia="ru-RU"/>
        </w:rPr>
      </w:pPr>
      <w:r w:rsidRPr="00511005">
        <w:rPr>
          <w:rFonts w:ascii="Arial" w:eastAsia="Times New Roman" w:hAnsi="Arial" w:cs="Arial"/>
          <w:noProof/>
          <w:szCs w:val="28"/>
          <w:lang w:val="ru" w:eastAsia="ru-RU"/>
        </w:rPr>
        <w:t xml:space="preserve">Однак таке право не є абсолютним і з певних підстав може бути обмежено. Однією підставою такого обмеження, згідно Конституції, є з’ясування істини в межах кримінального провадження, якщо це не можливо </w:t>
      </w:r>
      <w:r w:rsidRPr="00511005">
        <w:rPr>
          <w:rFonts w:ascii="Arial" w:eastAsia="Times New Roman" w:hAnsi="Arial" w:cs="Arial"/>
          <w:noProof/>
          <w:szCs w:val="28"/>
          <w:lang w:val="ru" w:eastAsia="ru-RU"/>
        </w:rPr>
        <w:lastRenderedPageBreak/>
        <w:t>зробити іншими засобами</w:t>
      </w:r>
      <w:r w:rsidRPr="00511005">
        <w:rPr>
          <w:rFonts w:ascii="Arial" w:eastAsia="Times New Roman" w:hAnsi="Arial" w:cs="Arial"/>
          <w:noProof/>
          <w:szCs w:val="28"/>
          <w:lang w:eastAsia="ru-RU"/>
        </w:rPr>
        <w:t xml:space="preserve"> [4]</w:t>
      </w:r>
      <w:r w:rsidRPr="00511005">
        <w:rPr>
          <w:rFonts w:ascii="Arial" w:eastAsia="Times New Roman" w:hAnsi="Arial" w:cs="Arial"/>
          <w:noProof/>
          <w:szCs w:val="28"/>
          <w:lang w:val="ru" w:eastAsia="ru-RU"/>
        </w:rPr>
        <w:t>. Основним кодифікованим актом, що визначає порядок здійснення кримінального провадження в Україні є Кримінальний процесуальний кодекс України (далі – КПК). Інструментами розслідування, застосування яких може обмежити гарантоване Конституцією право на приватність є окремі негласні слідчі (розшукові) дії, порядок проведення яких регламентовано главою 21 КПК.</w:t>
      </w:r>
    </w:p>
    <w:p w14:paraId="2FFB7CBB" w14:textId="77777777" w:rsidR="00532C25" w:rsidRPr="00511005" w:rsidRDefault="00532C25" w:rsidP="00532C25">
      <w:pPr>
        <w:spacing w:line="264" w:lineRule="auto"/>
        <w:contextualSpacing/>
        <w:rPr>
          <w:rFonts w:ascii="Arial" w:eastAsia="Times New Roman" w:hAnsi="Arial" w:cs="Arial"/>
          <w:noProof/>
          <w:szCs w:val="28"/>
          <w:lang w:val="ru" w:eastAsia="ru-RU"/>
        </w:rPr>
      </w:pPr>
      <w:r w:rsidRPr="00511005">
        <w:rPr>
          <w:rFonts w:ascii="Arial" w:eastAsia="Times New Roman" w:hAnsi="Arial" w:cs="Arial"/>
          <w:noProof/>
          <w:szCs w:val="28"/>
          <w:lang w:val="ru" w:eastAsia="ru-RU"/>
        </w:rPr>
        <w:t xml:space="preserve">У Великобританії питання застосування у розслідувальній діяльності засобів, що обмежують право особи на приватність регламентються </w:t>
      </w:r>
      <w:r w:rsidRPr="00511005">
        <w:rPr>
          <w:rFonts w:ascii="Arial" w:eastAsia="Times New Roman" w:hAnsi="Arial" w:cs="Arial"/>
          <w:noProof/>
          <w:szCs w:val="28"/>
          <w:lang w:val="en-US" w:eastAsia="ru-RU"/>
        </w:rPr>
        <w:t>Investigatory</w:t>
      </w:r>
      <w:r w:rsidRPr="00511005">
        <w:rPr>
          <w:rFonts w:ascii="Arial" w:eastAsia="Times New Roman" w:hAnsi="Arial" w:cs="Arial"/>
          <w:noProof/>
          <w:szCs w:val="28"/>
          <w:lang w:val="ru" w:eastAsia="ru-RU"/>
        </w:rPr>
        <w:t xml:space="preserve"> </w:t>
      </w:r>
      <w:r w:rsidRPr="00511005">
        <w:rPr>
          <w:rFonts w:ascii="Arial" w:eastAsia="Times New Roman" w:hAnsi="Arial" w:cs="Arial"/>
          <w:noProof/>
          <w:szCs w:val="28"/>
          <w:lang w:val="en-US" w:eastAsia="ru-RU"/>
        </w:rPr>
        <w:t>Powers</w:t>
      </w:r>
      <w:r w:rsidRPr="00511005">
        <w:rPr>
          <w:rFonts w:ascii="Arial" w:eastAsia="Times New Roman" w:hAnsi="Arial" w:cs="Arial"/>
          <w:noProof/>
          <w:szCs w:val="28"/>
          <w:lang w:val="ru" w:eastAsia="ru-RU"/>
        </w:rPr>
        <w:t xml:space="preserve"> </w:t>
      </w:r>
      <w:r w:rsidRPr="00511005">
        <w:rPr>
          <w:rFonts w:ascii="Arial" w:eastAsia="Times New Roman" w:hAnsi="Arial" w:cs="Arial"/>
          <w:noProof/>
          <w:szCs w:val="28"/>
          <w:lang w:val="en-US" w:eastAsia="ru-RU"/>
        </w:rPr>
        <w:t>Act</w:t>
      </w:r>
      <w:r w:rsidRPr="00511005">
        <w:rPr>
          <w:rFonts w:ascii="Arial" w:eastAsia="Times New Roman" w:hAnsi="Arial" w:cs="Arial"/>
          <w:noProof/>
          <w:szCs w:val="28"/>
          <w:lang w:val="ru" w:eastAsia="ru-RU"/>
        </w:rPr>
        <w:t xml:space="preserve"> (далі – </w:t>
      </w:r>
      <w:r w:rsidRPr="00511005">
        <w:rPr>
          <w:rFonts w:ascii="Arial" w:eastAsia="Times New Roman" w:hAnsi="Arial" w:cs="Arial"/>
          <w:noProof/>
          <w:szCs w:val="28"/>
          <w:lang w:val="en-US" w:eastAsia="ru-RU"/>
        </w:rPr>
        <w:t>IPA</w:t>
      </w:r>
      <w:r w:rsidRPr="00511005">
        <w:rPr>
          <w:rFonts w:ascii="Arial" w:eastAsia="Times New Roman" w:hAnsi="Arial" w:cs="Arial"/>
          <w:noProof/>
          <w:szCs w:val="28"/>
          <w:lang w:val="ru" w:eastAsia="ru-RU"/>
        </w:rPr>
        <w:t>), прийнятим 2016 року. Центральним його поняттям є «перехоплення» (</w:t>
      </w:r>
      <w:r w:rsidRPr="00511005">
        <w:rPr>
          <w:rFonts w:ascii="Arial" w:eastAsia="Times New Roman" w:hAnsi="Arial" w:cs="Arial"/>
          <w:noProof/>
          <w:szCs w:val="28"/>
          <w:lang w:val="en-US" w:eastAsia="ru-RU"/>
        </w:rPr>
        <w:t>interception</w:t>
      </w:r>
      <w:r w:rsidRPr="00511005">
        <w:rPr>
          <w:rFonts w:ascii="Arial" w:eastAsia="Times New Roman" w:hAnsi="Arial" w:cs="Arial"/>
          <w:noProof/>
          <w:szCs w:val="28"/>
          <w:lang w:val="ru" w:eastAsia="ru-RU"/>
        </w:rPr>
        <w:t>), тобто дії, що удоступнюють зміст комунікації між адресантом та адресом для третьої особи, за умови, що комунікація не є загальнодоступною та стосується конкретно визначеного кола осіб [5]. При цьому варто зауважити, що «перехоплення» стосується не лише даних, що передаються за допомогою інформаційно-телекомунікаційних систем, а й кореспонденції, що передається засобами поштового зв’язку, із певними застереженнями, що в українському законодавстві охоплюється поняттям накладення арешту на кореспонденцію та здійснюється відовідно дло вимог ст. 261 КПК</w:t>
      </w:r>
      <w:r w:rsidRPr="00511005">
        <w:rPr>
          <w:rFonts w:ascii="Arial" w:eastAsia="Times New Roman" w:hAnsi="Arial" w:cs="Arial"/>
          <w:noProof/>
          <w:szCs w:val="28"/>
          <w:lang w:eastAsia="ru-RU"/>
        </w:rPr>
        <w:t xml:space="preserve"> [6]</w:t>
      </w:r>
      <w:r w:rsidRPr="00511005">
        <w:rPr>
          <w:rFonts w:ascii="Arial" w:eastAsia="Times New Roman" w:hAnsi="Arial" w:cs="Arial"/>
          <w:noProof/>
          <w:szCs w:val="28"/>
          <w:lang w:val="ru" w:eastAsia="ru-RU"/>
        </w:rPr>
        <w:t xml:space="preserve">. </w:t>
      </w:r>
    </w:p>
    <w:p w14:paraId="5DECEE52" w14:textId="77777777" w:rsidR="00532C25" w:rsidRPr="00511005" w:rsidRDefault="00532C25" w:rsidP="00532C25">
      <w:pPr>
        <w:spacing w:line="264" w:lineRule="auto"/>
        <w:contextualSpacing/>
        <w:rPr>
          <w:rFonts w:ascii="Arial" w:eastAsia="Times New Roman" w:hAnsi="Arial" w:cs="Arial"/>
          <w:noProof/>
          <w:szCs w:val="28"/>
          <w:lang w:val="ru" w:eastAsia="ru-RU"/>
        </w:rPr>
      </w:pPr>
      <w:r w:rsidRPr="00511005">
        <w:rPr>
          <w:rFonts w:ascii="Arial" w:eastAsia="Times New Roman" w:hAnsi="Arial" w:cs="Arial"/>
          <w:noProof/>
          <w:szCs w:val="28"/>
          <w:lang w:val="ru" w:eastAsia="ru-RU"/>
        </w:rPr>
        <w:t>«Перехоплення» за Британським законодавством може бути законним та незаконним.</w:t>
      </w:r>
      <w:r w:rsidRPr="00511005">
        <w:rPr>
          <w:rFonts w:ascii="Arial" w:eastAsia="Times New Roman" w:hAnsi="Arial" w:cs="Arial"/>
          <w:noProof/>
          <w:szCs w:val="28"/>
          <w:lang w:eastAsia="ru-RU"/>
        </w:rPr>
        <w:t xml:space="preserve"> </w:t>
      </w:r>
      <w:r w:rsidRPr="00511005">
        <w:rPr>
          <w:rFonts w:ascii="Arial" w:eastAsia="Times New Roman" w:hAnsi="Arial" w:cs="Arial"/>
          <w:noProof/>
          <w:szCs w:val="28"/>
          <w:lang w:val="en-US" w:eastAsia="ru-RU"/>
        </w:rPr>
        <w:t>IPA</w:t>
      </w:r>
      <w:r w:rsidRPr="00511005">
        <w:rPr>
          <w:rFonts w:ascii="Arial" w:eastAsia="Times New Roman" w:hAnsi="Arial" w:cs="Arial"/>
          <w:noProof/>
          <w:szCs w:val="28"/>
          <w:lang w:eastAsia="ru-RU"/>
        </w:rPr>
        <w:t xml:space="preserve"> </w:t>
      </w:r>
      <w:r w:rsidRPr="00511005">
        <w:rPr>
          <w:rFonts w:ascii="Arial" w:eastAsia="Times New Roman" w:hAnsi="Arial" w:cs="Arial"/>
          <w:noProof/>
          <w:szCs w:val="28"/>
          <w:lang w:val="ru" w:eastAsia="ru-RU"/>
        </w:rPr>
        <w:t>описує склад незаконного перехоплення як</w:t>
      </w:r>
      <w:r w:rsidRPr="00511005">
        <w:rPr>
          <w:rFonts w:ascii="Arial" w:eastAsia="Times New Roman" w:hAnsi="Arial" w:cs="Arial"/>
          <w:noProof/>
          <w:szCs w:val="28"/>
          <w:lang w:eastAsia="ru-RU"/>
        </w:rPr>
        <w:t xml:space="preserve"> </w:t>
      </w:r>
      <w:r w:rsidRPr="00511005">
        <w:rPr>
          <w:rFonts w:ascii="Arial" w:eastAsia="Times New Roman" w:hAnsi="Arial" w:cs="Arial"/>
          <w:noProof/>
          <w:szCs w:val="28"/>
          <w:lang w:val="ru" w:eastAsia="ru-RU"/>
        </w:rPr>
        <w:t>кримінального правопорушення, за яке може наставати</w:t>
      </w:r>
      <w:r w:rsidRPr="00511005">
        <w:rPr>
          <w:rFonts w:ascii="Arial" w:eastAsia="Times New Roman" w:hAnsi="Arial" w:cs="Arial"/>
          <w:noProof/>
          <w:szCs w:val="28"/>
          <w:lang w:eastAsia="ru-RU"/>
        </w:rPr>
        <w:t xml:space="preserve"> </w:t>
      </w:r>
      <w:r w:rsidRPr="00511005">
        <w:rPr>
          <w:rFonts w:ascii="Arial" w:eastAsia="Times New Roman" w:hAnsi="Arial" w:cs="Arial"/>
          <w:noProof/>
          <w:szCs w:val="28"/>
          <w:lang w:val="ru" w:eastAsia="ru-RU"/>
        </w:rPr>
        <w:t xml:space="preserve">покарання у вигялід штрафу, або навіть позбавлення волі, а також може бути накладено грошове стягнення Уповноваженим зі слідчих повноважень </w:t>
      </w:r>
      <w:r w:rsidRPr="00511005">
        <w:rPr>
          <w:rFonts w:ascii="Arial" w:eastAsia="Times New Roman" w:hAnsi="Arial" w:cs="Arial"/>
          <w:noProof/>
          <w:szCs w:val="28"/>
          <w:lang w:eastAsia="ru-RU"/>
        </w:rPr>
        <w:t>(</w:t>
      </w:r>
      <w:r w:rsidRPr="00511005">
        <w:rPr>
          <w:rFonts w:ascii="Arial" w:eastAsia="Times New Roman" w:hAnsi="Arial" w:cs="Arial"/>
          <w:noProof/>
          <w:szCs w:val="28"/>
          <w:lang w:val="ru" w:eastAsia="ru-RU"/>
        </w:rPr>
        <w:t>Investigatory Powers Commissioner</w:t>
      </w:r>
      <w:r w:rsidRPr="00511005">
        <w:rPr>
          <w:rFonts w:ascii="Arial" w:eastAsia="Times New Roman" w:hAnsi="Arial" w:cs="Arial"/>
          <w:noProof/>
          <w:szCs w:val="28"/>
          <w:lang w:eastAsia="ru-RU"/>
        </w:rPr>
        <w:t>)</w:t>
      </w:r>
      <w:r w:rsidRPr="00511005">
        <w:rPr>
          <w:rFonts w:ascii="Arial" w:eastAsia="Times New Roman" w:hAnsi="Arial" w:cs="Arial"/>
          <w:noProof/>
          <w:szCs w:val="28"/>
          <w:lang w:val="ru" w:eastAsia="ru-RU"/>
        </w:rPr>
        <w:t>. За вчинення цього діяння також може наставати цивільно-правова відповідальність. Також окремими кримінальним правопорушенням визнається незаконне отримання данних про комунікацію (</w:t>
      </w:r>
      <w:r w:rsidRPr="00511005">
        <w:rPr>
          <w:rFonts w:ascii="Arial" w:eastAsia="Times New Roman" w:hAnsi="Arial" w:cs="Arial"/>
          <w:noProof/>
          <w:szCs w:val="28"/>
          <w:lang w:val="en-US" w:eastAsia="ru-RU"/>
        </w:rPr>
        <w:t>unlawfull</w:t>
      </w:r>
      <w:r w:rsidRPr="00511005">
        <w:rPr>
          <w:rFonts w:ascii="Arial" w:eastAsia="Times New Roman" w:hAnsi="Arial" w:cs="Arial"/>
          <w:noProof/>
          <w:szCs w:val="28"/>
          <w:lang w:val="ru" w:eastAsia="ru-RU"/>
        </w:rPr>
        <w:t xml:space="preserve"> </w:t>
      </w:r>
      <w:r w:rsidRPr="00511005">
        <w:rPr>
          <w:rFonts w:ascii="Arial" w:eastAsia="Times New Roman" w:hAnsi="Arial" w:cs="Arial"/>
          <w:noProof/>
          <w:szCs w:val="28"/>
          <w:lang w:val="en-US" w:eastAsia="ru-RU"/>
        </w:rPr>
        <w:t>obtaining</w:t>
      </w:r>
      <w:r w:rsidRPr="00511005">
        <w:rPr>
          <w:rFonts w:ascii="Arial" w:eastAsia="Times New Roman" w:hAnsi="Arial" w:cs="Arial"/>
          <w:noProof/>
          <w:szCs w:val="28"/>
          <w:lang w:val="ru" w:eastAsia="ru-RU"/>
        </w:rPr>
        <w:t xml:space="preserve"> </w:t>
      </w:r>
      <w:r w:rsidRPr="00511005">
        <w:rPr>
          <w:rFonts w:ascii="Arial" w:eastAsia="Times New Roman" w:hAnsi="Arial" w:cs="Arial"/>
          <w:noProof/>
          <w:szCs w:val="28"/>
          <w:lang w:val="en-US" w:eastAsia="ru-RU"/>
        </w:rPr>
        <w:t>communication</w:t>
      </w:r>
      <w:r w:rsidRPr="00511005">
        <w:rPr>
          <w:rFonts w:ascii="Arial" w:eastAsia="Times New Roman" w:hAnsi="Arial" w:cs="Arial"/>
          <w:noProof/>
          <w:szCs w:val="28"/>
          <w:lang w:val="ru" w:eastAsia="ru-RU"/>
        </w:rPr>
        <w:t xml:space="preserve"> </w:t>
      </w:r>
      <w:r w:rsidRPr="00511005">
        <w:rPr>
          <w:rFonts w:ascii="Arial" w:eastAsia="Times New Roman" w:hAnsi="Arial" w:cs="Arial"/>
          <w:noProof/>
          <w:szCs w:val="28"/>
          <w:lang w:val="en-US" w:eastAsia="ru-RU"/>
        </w:rPr>
        <w:t>data</w:t>
      </w:r>
      <w:r w:rsidRPr="00511005">
        <w:rPr>
          <w:rFonts w:ascii="Arial" w:eastAsia="Times New Roman" w:hAnsi="Arial" w:cs="Arial"/>
          <w:noProof/>
          <w:szCs w:val="28"/>
          <w:lang w:val="ru" w:eastAsia="ru-RU"/>
        </w:rPr>
        <w:t xml:space="preserve">). Кримінальний кодекс України, як єдиний кодифікований акт, яким визначається кримінальна протиправність діянь, викладає два склади кримінальних правопорушень, що можуть роглядатися як аналогічні: порушення таємниці листування, телефонних розмов, телеграфної чи іншої кореспонденції, що передаються засобами зв’язку або через комп’ютер (ст. 163) та несанкціоноване втручання в роботу інформаційних (автоматизованих), електронних комунікаційних, інформаційно-комунікаційних систем, електронних комунікаційних мереж (ст. 361) [7]. Однак відповідні норми не містять ані вичерпного, ані приблизного переліку діянь, що охоплюються цими складами, а вказують лише на особливості наслідків, або осіб потерпілих. Тож незважаючи на те, що </w:t>
      </w:r>
      <w:r w:rsidRPr="00511005">
        <w:rPr>
          <w:rFonts w:ascii="Arial" w:eastAsia="Times New Roman" w:hAnsi="Arial" w:cs="Arial"/>
          <w:noProof/>
          <w:szCs w:val="28"/>
          <w:lang w:val="en-US" w:eastAsia="ru-RU"/>
        </w:rPr>
        <w:t>IPA</w:t>
      </w:r>
      <w:r w:rsidRPr="00511005">
        <w:rPr>
          <w:rFonts w:ascii="Arial" w:eastAsia="Times New Roman" w:hAnsi="Arial" w:cs="Arial"/>
          <w:noProof/>
          <w:szCs w:val="28"/>
          <w:lang w:val="ru" w:eastAsia="ru-RU"/>
        </w:rPr>
        <w:t xml:space="preserve"> містить різні за характером норми, їх виклад є логічним, послідовним та більш деталізованим, порівняно з відповідним українським законодавством.</w:t>
      </w:r>
    </w:p>
    <w:p w14:paraId="657F9834" w14:textId="77777777" w:rsidR="00532C25" w:rsidRPr="00511005" w:rsidRDefault="00532C25" w:rsidP="00532C25">
      <w:pPr>
        <w:spacing w:line="264" w:lineRule="auto"/>
        <w:contextualSpacing/>
        <w:rPr>
          <w:rFonts w:ascii="Arial" w:eastAsia="Times New Roman" w:hAnsi="Arial" w:cs="Arial"/>
          <w:noProof/>
          <w:szCs w:val="28"/>
          <w:lang w:val="ru" w:eastAsia="ru-RU"/>
        </w:rPr>
      </w:pPr>
      <w:r w:rsidRPr="00511005">
        <w:rPr>
          <w:rFonts w:ascii="Arial" w:eastAsia="Times New Roman" w:hAnsi="Arial" w:cs="Arial"/>
          <w:noProof/>
          <w:szCs w:val="28"/>
          <w:lang w:val="ru" w:eastAsia="ru-RU"/>
        </w:rPr>
        <w:t xml:space="preserve">Оскільки втручання у приватне спілкування, як елемент права на приватність є серйозним обмеженням прав людини, таке обмеження підлягає контролю. В рамках системи українського кримінального </w:t>
      </w:r>
      <w:r w:rsidRPr="00511005">
        <w:rPr>
          <w:rFonts w:ascii="Arial" w:eastAsia="Times New Roman" w:hAnsi="Arial" w:cs="Arial"/>
          <w:noProof/>
          <w:szCs w:val="28"/>
          <w:lang w:val="ru" w:eastAsia="ru-RU"/>
        </w:rPr>
        <w:lastRenderedPageBreak/>
        <w:t xml:space="preserve">процесуального права такий конроль має дві форми: погодження прокурором клопотання слідчого до слідчого судді та контроль здійснюваний слідчим суддею під час розгляду відповідного клопотання. Таким чином, КПК визначає слідчого та прокурора як суб’єктів, що можуть ініціювати перед слідчим суддею питання про втручання у приватне спілкування, додатково Закон України «Про оперативно-розшукову діяльність» передбачає і право керівника відповідного оперативного підрозділу або його заступника на подання відповідного клопотання про проведення оперативно-розшукового заходу, погодженого з прокурором </w:t>
      </w:r>
      <w:r w:rsidRPr="00511005">
        <w:rPr>
          <w:rFonts w:ascii="Arial" w:eastAsia="Times New Roman" w:hAnsi="Arial" w:cs="Arial"/>
          <w:noProof/>
          <w:szCs w:val="28"/>
          <w:lang w:eastAsia="ru-RU"/>
        </w:rPr>
        <w:t>[8]</w:t>
      </w:r>
      <w:r w:rsidRPr="00511005">
        <w:rPr>
          <w:rFonts w:ascii="Arial" w:eastAsia="Times New Roman" w:hAnsi="Arial" w:cs="Arial"/>
          <w:noProof/>
          <w:szCs w:val="28"/>
          <w:lang w:val="ru" w:eastAsia="ru-RU"/>
        </w:rPr>
        <w:t>. Окремо згадано і про розвідувальні органи.</w:t>
      </w:r>
    </w:p>
    <w:p w14:paraId="6AFEE99D" w14:textId="77777777" w:rsidR="00532C25" w:rsidRPr="00511005" w:rsidRDefault="00532C25" w:rsidP="00532C25">
      <w:pPr>
        <w:spacing w:line="264" w:lineRule="auto"/>
        <w:contextualSpacing/>
        <w:rPr>
          <w:rFonts w:ascii="Arial" w:eastAsia="Times New Roman" w:hAnsi="Arial" w:cs="Arial"/>
          <w:noProof/>
          <w:szCs w:val="28"/>
          <w:lang w:val="ru" w:eastAsia="ru-RU"/>
        </w:rPr>
      </w:pPr>
      <w:r w:rsidRPr="00511005">
        <w:rPr>
          <w:rFonts w:ascii="Arial" w:eastAsia="Times New Roman" w:hAnsi="Arial" w:cs="Arial"/>
          <w:noProof/>
          <w:szCs w:val="28"/>
          <w:lang w:val="en-US" w:eastAsia="ru-RU"/>
        </w:rPr>
        <w:t>IPA</w:t>
      </w:r>
      <w:r w:rsidRPr="00511005">
        <w:rPr>
          <w:rFonts w:ascii="Arial" w:eastAsia="Times New Roman" w:hAnsi="Arial" w:cs="Arial"/>
          <w:noProof/>
          <w:szCs w:val="28"/>
          <w:lang w:val="ru" w:eastAsia="ru-RU"/>
        </w:rPr>
        <w:t xml:space="preserve"> визначає різне коло суб’єктів ініціювання та контролю залежно від виду конкретного втручання. Привертає увагу те, що підстави видання «ордера» (</w:t>
      </w:r>
      <w:r w:rsidRPr="00511005">
        <w:rPr>
          <w:rFonts w:ascii="Arial" w:eastAsia="Times New Roman" w:hAnsi="Arial" w:cs="Arial"/>
          <w:noProof/>
          <w:szCs w:val="28"/>
          <w:lang w:val="en-US" w:eastAsia="ru-RU"/>
        </w:rPr>
        <w:t>warrant</w:t>
      </w:r>
      <w:r w:rsidRPr="00511005">
        <w:rPr>
          <w:rFonts w:ascii="Arial" w:eastAsia="Times New Roman" w:hAnsi="Arial" w:cs="Arial"/>
          <w:noProof/>
          <w:szCs w:val="28"/>
          <w:lang w:val="ru" w:eastAsia="ru-RU"/>
        </w:rPr>
        <w:t>) на здійснення перехоплення є ширшими ніж в законодавстві України і включають не лише розслідування кримінального правопорушення та інтереси національної безпеки, а також економічні інтереси Сполученого Королівства, що пов’язані з національними. Коло суб’єктів ініціювання також є ширшим і включає: голову розвідувальної служби, генерального директора правоохоронного агенства (</w:t>
      </w:r>
      <w:r w:rsidRPr="00511005">
        <w:rPr>
          <w:rFonts w:ascii="Arial" w:eastAsia="Times New Roman" w:hAnsi="Arial" w:cs="Arial"/>
          <w:noProof/>
          <w:szCs w:val="28"/>
          <w:lang w:val="en-US" w:eastAsia="ru-RU"/>
        </w:rPr>
        <w:t>National</w:t>
      </w:r>
      <w:r w:rsidRPr="00511005">
        <w:rPr>
          <w:rFonts w:ascii="Arial" w:eastAsia="Times New Roman" w:hAnsi="Arial" w:cs="Arial"/>
          <w:noProof/>
          <w:szCs w:val="28"/>
          <w:lang w:val="ru" w:eastAsia="ru-RU"/>
        </w:rPr>
        <w:t xml:space="preserve"> </w:t>
      </w:r>
      <w:r w:rsidRPr="00511005">
        <w:rPr>
          <w:rFonts w:ascii="Arial" w:eastAsia="Times New Roman" w:hAnsi="Arial" w:cs="Arial"/>
          <w:noProof/>
          <w:szCs w:val="28"/>
          <w:lang w:val="en-US" w:eastAsia="ru-RU"/>
        </w:rPr>
        <w:t>Crime</w:t>
      </w:r>
      <w:r w:rsidRPr="00511005">
        <w:rPr>
          <w:rFonts w:ascii="Arial" w:eastAsia="Times New Roman" w:hAnsi="Arial" w:cs="Arial"/>
          <w:noProof/>
          <w:szCs w:val="28"/>
          <w:lang w:val="ru" w:eastAsia="ru-RU"/>
        </w:rPr>
        <w:t xml:space="preserve"> </w:t>
      </w:r>
      <w:r w:rsidRPr="00511005">
        <w:rPr>
          <w:rFonts w:ascii="Arial" w:eastAsia="Times New Roman" w:hAnsi="Arial" w:cs="Arial"/>
          <w:noProof/>
          <w:szCs w:val="28"/>
          <w:lang w:val="en-US" w:eastAsia="ru-RU"/>
        </w:rPr>
        <w:t>Agency</w:t>
      </w:r>
      <w:r w:rsidRPr="00511005">
        <w:rPr>
          <w:rFonts w:ascii="Arial" w:eastAsia="Times New Roman" w:hAnsi="Arial" w:cs="Arial"/>
          <w:noProof/>
          <w:szCs w:val="28"/>
          <w:lang w:val="ru" w:eastAsia="ru-RU"/>
        </w:rPr>
        <w:t>), вищих посадових осіб органів поліції, уповноважених осіб митно-фіскального органу (the Commissioners for Her Majesty's Revenue and Customs) та суб’єктів міжнародного співробітництва. Контроль також є подвійним, хоча його природа дещо відрізняється і відбувається за процедурою подвійного замка (</w:t>
      </w:r>
      <w:r w:rsidRPr="00511005">
        <w:rPr>
          <w:rFonts w:ascii="Arial" w:eastAsia="Times New Roman" w:hAnsi="Arial" w:cs="Arial"/>
          <w:noProof/>
          <w:szCs w:val="28"/>
          <w:lang w:val="en-US" w:eastAsia="ru-RU"/>
        </w:rPr>
        <w:t>double</w:t>
      </w:r>
      <w:r w:rsidRPr="00511005">
        <w:rPr>
          <w:rFonts w:ascii="Arial" w:eastAsia="Times New Roman" w:hAnsi="Arial" w:cs="Arial"/>
          <w:noProof/>
          <w:szCs w:val="28"/>
          <w:lang w:val="ru" w:eastAsia="ru-RU"/>
        </w:rPr>
        <w:t xml:space="preserve"> </w:t>
      </w:r>
      <w:r w:rsidRPr="00511005">
        <w:rPr>
          <w:rFonts w:ascii="Arial" w:eastAsia="Times New Roman" w:hAnsi="Arial" w:cs="Arial"/>
          <w:noProof/>
          <w:szCs w:val="28"/>
          <w:lang w:val="en-US" w:eastAsia="ru-RU"/>
        </w:rPr>
        <w:t>lock</w:t>
      </w:r>
      <w:r w:rsidRPr="00511005">
        <w:rPr>
          <w:rFonts w:ascii="Arial" w:eastAsia="Times New Roman" w:hAnsi="Arial" w:cs="Arial"/>
          <w:noProof/>
          <w:szCs w:val="28"/>
          <w:lang w:val="ru" w:eastAsia="ru-RU"/>
        </w:rPr>
        <w:t>). Спершу ордер на перехоплення видається державним секретарем (</w:t>
      </w:r>
      <w:r w:rsidRPr="00511005">
        <w:rPr>
          <w:rFonts w:ascii="Arial" w:eastAsia="Times New Roman" w:hAnsi="Arial" w:cs="Arial"/>
          <w:noProof/>
          <w:szCs w:val="28"/>
          <w:lang w:val="en-US" w:eastAsia="ru-RU"/>
        </w:rPr>
        <w:t>Secretary</w:t>
      </w:r>
      <w:r w:rsidRPr="00511005">
        <w:rPr>
          <w:rFonts w:ascii="Arial" w:eastAsia="Times New Roman" w:hAnsi="Arial" w:cs="Arial"/>
          <w:noProof/>
          <w:szCs w:val="28"/>
          <w:lang w:val="ru" w:eastAsia="ru-RU"/>
        </w:rPr>
        <w:t xml:space="preserve"> </w:t>
      </w:r>
      <w:r w:rsidRPr="00511005">
        <w:rPr>
          <w:rFonts w:ascii="Arial" w:eastAsia="Times New Roman" w:hAnsi="Arial" w:cs="Arial"/>
          <w:noProof/>
          <w:szCs w:val="28"/>
          <w:lang w:val="en-US" w:eastAsia="ru-RU"/>
        </w:rPr>
        <w:t>of</w:t>
      </w:r>
      <w:r w:rsidRPr="00511005">
        <w:rPr>
          <w:rFonts w:ascii="Arial" w:eastAsia="Times New Roman" w:hAnsi="Arial" w:cs="Arial"/>
          <w:noProof/>
          <w:szCs w:val="28"/>
          <w:lang w:val="ru" w:eastAsia="ru-RU"/>
        </w:rPr>
        <w:t xml:space="preserve"> </w:t>
      </w:r>
      <w:r w:rsidRPr="00511005">
        <w:rPr>
          <w:rFonts w:ascii="Arial" w:eastAsia="Times New Roman" w:hAnsi="Arial" w:cs="Arial"/>
          <w:noProof/>
          <w:szCs w:val="28"/>
          <w:lang w:val="en-US" w:eastAsia="ru-RU"/>
        </w:rPr>
        <w:t>State</w:t>
      </w:r>
      <w:r w:rsidRPr="00511005">
        <w:rPr>
          <w:rFonts w:ascii="Arial" w:eastAsia="Times New Roman" w:hAnsi="Arial" w:cs="Arial"/>
          <w:noProof/>
          <w:szCs w:val="28"/>
          <w:lang w:val="ru" w:eastAsia="ru-RU"/>
        </w:rPr>
        <w:t xml:space="preserve">), який є адміністративним високопосадовцем. При цьому він перевіряє чи наявна одна з підстав, згаданих вище, чи є втручання пропорційним, чи вжито заходів проти розкриття відповідної інофрмації. Далі видачу ордера повинно бути схвалено Судовим уповноваженим (Judicial Commissioner), який знову ж таки перевіряє наявність підстав та пропорційність і роль якого можна порівняти з українським слідчим суддею. Однак існує і істотна відмінність, адже у випадку відмови Судовим уповноваженим, який не є Уповноваженим зі слідчих повноважень суб’єкт може звернутися до такого Уповноваженого для повторного розгляду цього питання. Водночас, норми ст. 309 КПК встановлюють вичерпний перелік ухвал слідчого судді, що можуть бути оскаржені на етапі досудового розслідування і ухвала про відмову у наданні дозволу на проведення будь-яких негласних слідчих (розшукових) дій у цьому переліку відсутня. Декларована можливість подавати заперечення під час підготовчого провадження у цьому контексті є суто теоретичною, оскільки відмова унеможливлює діяльність, яка має сенс саме в рамках досудового розслідування, до моменту, коли особа ознайомиться з матеріалами кримінального провадження, до того ж у разі, якщо через таку відмову не було зібрано переконливих доказів вини особи суд повинен буде </w:t>
      </w:r>
      <w:r w:rsidRPr="00511005">
        <w:rPr>
          <w:rFonts w:ascii="Arial" w:eastAsia="Times New Roman" w:hAnsi="Arial" w:cs="Arial"/>
          <w:noProof/>
          <w:szCs w:val="28"/>
          <w:lang w:val="ru" w:eastAsia="ru-RU"/>
        </w:rPr>
        <w:lastRenderedPageBreak/>
        <w:t>керуючись нормами процесуального закону постановити виправдувальний вирок. Така конструкція сприяє максимальному звуженню простору для незаконних обмежень прав особи на приватність, звужуючи водночас процесуальні можливості отримання доказів.</w:t>
      </w:r>
    </w:p>
    <w:p w14:paraId="50552D5C" w14:textId="77777777" w:rsidR="00532C25" w:rsidRPr="00511005" w:rsidRDefault="00532C25" w:rsidP="00532C25">
      <w:pPr>
        <w:spacing w:line="264" w:lineRule="auto"/>
        <w:contextualSpacing/>
        <w:rPr>
          <w:rFonts w:ascii="Arial" w:eastAsia="Times New Roman" w:hAnsi="Arial" w:cs="Arial"/>
          <w:noProof/>
          <w:szCs w:val="28"/>
          <w:lang w:val="ru" w:eastAsia="ru-RU"/>
        </w:rPr>
      </w:pPr>
      <w:r w:rsidRPr="00511005">
        <w:rPr>
          <w:rFonts w:ascii="Arial" w:eastAsia="Times New Roman" w:hAnsi="Arial" w:cs="Arial"/>
          <w:noProof/>
          <w:szCs w:val="28"/>
          <w:lang w:val="ru" w:eastAsia="ru-RU"/>
        </w:rPr>
        <w:t xml:space="preserve">Іншим цікавим аспектом є можливість так званого ретроспективного або наступного судового контролю. В рамках українського кримінального процесу таку можливість стосовно втручання у приватне спілкування виключено, хоча вона існує стосовно обшуку. </w:t>
      </w:r>
      <w:r w:rsidRPr="00511005">
        <w:rPr>
          <w:rFonts w:ascii="Arial" w:eastAsia="Times New Roman" w:hAnsi="Arial" w:cs="Arial"/>
          <w:noProof/>
          <w:szCs w:val="28"/>
          <w:lang w:val="en-US" w:eastAsia="ru-RU"/>
        </w:rPr>
        <w:t>IPA</w:t>
      </w:r>
      <w:r w:rsidRPr="00511005">
        <w:rPr>
          <w:rFonts w:ascii="Arial" w:eastAsia="Times New Roman" w:hAnsi="Arial" w:cs="Arial"/>
          <w:noProof/>
          <w:szCs w:val="28"/>
          <w:lang w:val="ru" w:eastAsia="ru-RU"/>
        </w:rPr>
        <w:t xml:space="preserve">, на противагу, містить норми про видання ордера у «невідкладних випадках» </w:t>
      </w:r>
      <w:r w:rsidRPr="00511005">
        <w:rPr>
          <w:rFonts w:ascii="Arial" w:eastAsia="Times New Roman" w:hAnsi="Arial" w:cs="Arial"/>
          <w:noProof/>
          <w:szCs w:val="28"/>
          <w:lang w:eastAsia="ru-RU"/>
        </w:rPr>
        <w:t>(</w:t>
      </w:r>
      <w:r w:rsidRPr="00511005">
        <w:rPr>
          <w:rFonts w:ascii="Arial" w:eastAsia="Times New Roman" w:hAnsi="Arial" w:cs="Arial"/>
          <w:noProof/>
          <w:szCs w:val="28"/>
          <w:lang w:val="en-US" w:eastAsia="ru-RU"/>
        </w:rPr>
        <w:t>urgent</w:t>
      </w:r>
      <w:r w:rsidRPr="00511005">
        <w:rPr>
          <w:rFonts w:ascii="Arial" w:eastAsia="Times New Roman" w:hAnsi="Arial" w:cs="Arial"/>
          <w:noProof/>
          <w:szCs w:val="28"/>
          <w:lang w:eastAsia="ru-RU"/>
        </w:rPr>
        <w:t xml:space="preserve"> </w:t>
      </w:r>
      <w:r w:rsidRPr="00511005">
        <w:rPr>
          <w:rFonts w:ascii="Arial" w:eastAsia="Times New Roman" w:hAnsi="Arial" w:cs="Arial"/>
          <w:noProof/>
          <w:szCs w:val="28"/>
          <w:lang w:val="en-US" w:eastAsia="ru-RU"/>
        </w:rPr>
        <w:t>cases</w:t>
      </w:r>
      <w:r w:rsidRPr="00511005">
        <w:rPr>
          <w:rFonts w:ascii="Arial" w:eastAsia="Times New Roman" w:hAnsi="Arial" w:cs="Arial"/>
          <w:noProof/>
          <w:szCs w:val="28"/>
          <w:lang w:eastAsia="ru-RU"/>
        </w:rPr>
        <w:t>)</w:t>
      </w:r>
      <w:r w:rsidRPr="00511005">
        <w:rPr>
          <w:rFonts w:ascii="Arial" w:eastAsia="Times New Roman" w:hAnsi="Arial" w:cs="Arial"/>
          <w:noProof/>
          <w:szCs w:val="28"/>
          <w:lang w:val="ru" w:eastAsia="ru-RU"/>
        </w:rPr>
        <w:t xml:space="preserve">. Про видачу такого ордеру повідомляється Судовий уповноважений, який повинен розглянути питання про його схвалення. У випадку, коли уповноважений відмовиться його схвалити, такий ордер втрачає силу і таке рішення не може бути переглянуто у описаному вище порядку. Водночас недопустимість доказів отриманих таким шляхом в </w:t>
      </w:r>
      <w:r w:rsidRPr="00511005">
        <w:rPr>
          <w:rFonts w:ascii="Arial" w:eastAsia="Times New Roman" w:hAnsi="Arial" w:cs="Arial"/>
          <w:noProof/>
          <w:szCs w:val="28"/>
          <w:lang w:val="en-US" w:eastAsia="ru-RU"/>
        </w:rPr>
        <w:t>IPA</w:t>
      </w:r>
      <w:r w:rsidRPr="00511005">
        <w:rPr>
          <w:rFonts w:ascii="Arial" w:eastAsia="Times New Roman" w:hAnsi="Arial" w:cs="Arial"/>
          <w:noProof/>
          <w:szCs w:val="28"/>
          <w:lang w:val="ru" w:eastAsia="ru-RU"/>
        </w:rPr>
        <w:t xml:space="preserve"> прямо не встановлено, оскільки хоча уповноважений і може зобов’язати знищити будь-яку інформацію отриману таким шляхом, проте це не є його прямим обов’язок, до того ж йому надається можливість встановити умови використання та зберігання отриманої таким чином інофрмації.</w:t>
      </w:r>
    </w:p>
    <w:p w14:paraId="6EBA100A" w14:textId="77777777" w:rsidR="00532C25" w:rsidRPr="00511005" w:rsidRDefault="00532C25" w:rsidP="00532C25">
      <w:pPr>
        <w:spacing w:line="264" w:lineRule="auto"/>
        <w:contextualSpacing/>
        <w:rPr>
          <w:rFonts w:ascii="Arial" w:eastAsia="Times New Roman" w:hAnsi="Arial" w:cs="Arial"/>
          <w:noProof/>
          <w:szCs w:val="28"/>
          <w:lang w:val="ru" w:eastAsia="ru-RU"/>
        </w:rPr>
      </w:pPr>
      <w:r w:rsidRPr="00511005">
        <w:rPr>
          <w:rFonts w:ascii="Arial" w:eastAsia="Times New Roman" w:hAnsi="Arial" w:cs="Arial"/>
          <w:noProof/>
          <w:szCs w:val="28"/>
          <w:lang w:val="ru" w:eastAsia="ru-RU"/>
        </w:rPr>
        <w:t xml:space="preserve">Підсумовуючи, в обох системах права: і британській, і українській втручання у приватне спілкування відбувається з майже ідентичних підстав і ініціюється подібним колом суб’єків, підлягає судовому контролю, проте природа цього контролю має певні особливості. Таке втручання у Великобританії охоплюється терміном «перехоплення» незалежно від особливостей форми комунікації, український законодавець же пішов шляхом диференціації. Порівняння законодавчого врегулювання цих питань у законодавствах різних країн сприятиме підвищенню якості закону, шляхом встановлення практик, що можуть бути запозичені та тих, які варто уникати. </w:t>
      </w:r>
    </w:p>
    <w:p w14:paraId="730645DE" w14:textId="77777777" w:rsidR="00532C25" w:rsidRPr="00511005" w:rsidRDefault="00532C25" w:rsidP="00532C25">
      <w:pPr>
        <w:spacing w:line="264" w:lineRule="auto"/>
        <w:ind w:firstLine="0"/>
        <w:rPr>
          <w:rFonts w:ascii="Arial" w:eastAsia="Times New Roman" w:hAnsi="Arial" w:cs="Arial"/>
          <w:b/>
          <w:bCs/>
          <w:noProof/>
          <w:szCs w:val="28"/>
          <w:lang w:val="ru" w:eastAsia="ru-RU"/>
        </w:rPr>
      </w:pPr>
    </w:p>
    <w:p w14:paraId="52B347C3" w14:textId="77777777" w:rsidR="00532C25" w:rsidRPr="00511005" w:rsidRDefault="00532C25" w:rsidP="00532C25">
      <w:pPr>
        <w:spacing w:line="264" w:lineRule="auto"/>
        <w:ind w:firstLine="0"/>
        <w:jc w:val="center"/>
        <w:rPr>
          <w:rFonts w:ascii="Arial" w:eastAsia="Times New Roman" w:hAnsi="Arial" w:cs="Arial"/>
          <w:b/>
          <w:bCs/>
          <w:noProof/>
          <w:szCs w:val="28"/>
          <w:lang w:val="ru" w:eastAsia="ru-RU"/>
        </w:rPr>
      </w:pPr>
      <w:r w:rsidRPr="00511005">
        <w:rPr>
          <w:rFonts w:ascii="Arial" w:eastAsia="Times New Roman" w:hAnsi="Arial" w:cs="Arial"/>
          <w:b/>
          <w:bCs/>
          <w:noProof/>
          <w:szCs w:val="28"/>
          <w:lang w:val="ru" w:eastAsia="ru-RU"/>
        </w:rPr>
        <w:t>Список викорстаних джерел</w:t>
      </w:r>
    </w:p>
    <w:p w14:paraId="42D4F641" w14:textId="77777777" w:rsidR="00532C25" w:rsidRPr="00511005" w:rsidRDefault="00532C25" w:rsidP="003F6A5D">
      <w:pPr>
        <w:numPr>
          <w:ilvl w:val="0"/>
          <w:numId w:val="816"/>
        </w:numPr>
        <w:spacing w:line="264" w:lineRule="auto"/>
        <w:contextualSpacing/>
        <w:jc w:val="left"/>
        <w:rPr>
          <w:rFonts w:ascii="Arial" w:eastAsia="Times New Roman" w:hAnsi="Arial" w:cs="Arial"/>
          <w:noProof/>
          <w:szCs w:val="28"/>
        </w:rPr>
      </w:pPr>
      <w:r w:rsidRPr="00511005">
        <w:rPr>
          <w:rFonts w:ascii="Arial" w:eastAsia="Times New Roman" w:hAnsi="Arial" w:cs="Arial"/>
          <w:noProof/>
          <w:szCs w:val="28"/>
        </w:rPr>
        <w:t xml:space="preserve">Загальна декларація прав людини : прийнята і проголошена резолюцією 217 A (III) Генеральної Асамблеї ООН від 10 грудня 1948 року. URL: </w:t>
      </w:r>
      <w:hyperlink r:id="rId2203" w:history="1">
        <w:r w:rsidRPr="00511005">
          <w:rPr>
            <w:rFonts w:ascii="Arial" w:eastAsia="Calibri" w:hAnsi="Arial" w:cs="Arial"/>
            <w:noProof/>
            <w:szCs w:val="28"/>
          </w:rPr>
          <w:t>https://zakon.rada.gov.ua/laws/show/995_015</w:t>
        </w:r>
      </w:hyperlink>
      <w:r w:rsidRPr="00511005">
        <w:rPr>
          <w:rFonts w:ascii="Arial" w:eastAsia="Calibri" w:hAnsi="Arial" w:cs="Arial"/>
          <w:noProof/>
          <w:szCs w:val="28"/>
        </w:rPr>
        <w:t>.</w:t>
      </w:r>
    </w:p>
    <w:p w14:paraId="7EF80376" w14:textId="77777777" w:rsidR="00532C25" w:rsidRPr="00511005" w:rsidRDefault="00532C25" w:rsidP="003F6A5D">
      <w:pPr>
        <w:numPr>
          <w:ilvl w:val="0"/>
          <w:numId w:val="816"/>
        </w:numPr>
        <w:spacing w:line="264" w:lineRule="auto"/>
        <w:contextualSpacing/>
        <w:jc w:val="left"/>
        <w:rPr>
          <w:rFonts w:ascii="Arial" w:eastAsia="Times New Roman" w:hAnsi="Arial" w:cs="Arial"/>
          <w:noProof/>
          <w:szCs w:val="28"/>
        </w:rPr>
      </w:pPr>
      <w:r w:rsidRPr="00511005">
        <w:rPr>
          <w:rFonts w:ascii="Arial" w:eastAsia="Times New Roman" w:hAnsi="Arial" w:cs="Arial"/>
          <w:noProof/>
          <w:szCs w:val="28"/>
        </w:rPr>
        <w:t xml:space="preserve">Конвенція про захист прав людини і основоположних свобод : Рим, 04 листопада 1950 року : ратифіковано Законом України № 475/97-ВР від 17 липня 1997 року. URL: </w:t>
      </w:r>
      <w:hyperlink r:id="rId2204" w:history="1">
        <w:r w:rsidRPr="00511005">
          <w:rPr>
            <w:rFonts w:ascii="Arial" w:eastAsia="Calibri" w:hAnsi="Arial" w:cs="Arial"/>
            <w:noProof/>
            <w:szCs w:val="28"/>
          </w:rPr>
          <w:t>https://zakon.rada.gov.ua/laws/show/995_004</w:t>
        </w:r>
      </w:hyperlink>
      <w:r w:rsidRPr="00511005">
        <w:rPr>
          <w:rFonts w:ascii="Arial" w:eastAsia="Calibri" w:hAnsi="Arial" w:cs="Arial"/>
          <w:noProof/>
          <w:szCs w:val="28"/>
        </w:rPr>
        <w:t>.</w:t>
      </w:r>
    </w:p>
    <w:p w14:paraId="0BA9BCA2" w14:textId="77777777" w:rsidR="00532C25" w:rsidRPr="00511005" w:rsidRDefault="00532C25" w:rsidP="003F6A5D">
      <w:pPr>
        <w:numPr>
          <w:ilvl w:val="0"/>
          <w:numId w:val="816"/>
        </w:numPr>
        <w:spacing w:line="264" w:lineRule="auto"/>
        <w:contextualSpacing/>
        <w:jc w:val="left"/>
        <w:rPr>
          <w:rFonts w:ascii="Arial" w:eastAsia="Times New Roman" w:hAnsi="Arial" w:cs="Arial"/>
          <w:noProof/>
          <w:szCs w:val="28"/>
        </w:rPr>
      </w:pPr>
      <w:r w:rsidRPr="00511005">
        <w:rPr>
          <w:rFonts w:ascii="Arial" w:eastAsia="Times New Roman" w:hAnsi="Arial" w:cs="Arial"/>
          <w:noProof/>
          <w:szCs w:val="28"/>
        </w:rPr>
        <w:t xml:space="preserve">Міжнародний пакт про громадянські і політичні права : прийнятий 16 грудня 1966 року Генеральною Асамблеєю ООН ; ратифікований Указом Президії Верховної Ради Української РСР № 2148-VIII від 19 жовтня 1973 року. URL: </w:t>
      </w:r>
      <w:hyperlink r:id="rId2205" w:history="1">
        <w:r w:rsidRPr="00511005">
          <w:rPr>
            <w:rFonts w:ascii="Arial" w:eastAsia="Calibri" w:hAnsi="Arial" w:cs="Arial"/>
            <w:noProof/>
            <w:szCs w:val="28"/>
          </w:rPr>
          <w:t>https://zakon.rada.gov.ua/laws/show/995_043</w:t>
        </w:r>
      </w:hyperlink>
      <w:r w:rsidRPr="00511005">
        <w:rPr>
          <w:rFonts w:ascii="Arial" w:eastAsia="Calibri" w:hAnsi="Arial" w:cs="Arial"/>
          <w:noProof/>
          <w:szCs w:val="28"/>
        </w:rPr>
        <w:t>.</w:t>
      </w:r>
    </w:p>
    <w:p w14:paraId="09B64296" w14:textId="77777777" w:rsidR="00532C25" w:rsidRPr="00511005" w:rsidRDefault="00532C25" w:rsidP="003F6A5D">
      <w:pPr>
        <w:numPr>
          <w:ilvl w:val="0"/>
          <w:numId w:val="816"/>
        </w:numPr>
        <w:spacing w:line="264" w:lineRule="auto"/>
        <w:contextualSpacing/>
        <w:jc w:val="left"/>
        <w:rPr>
          <w:rFonts w:ascii="Arial" w:eastAsia="Times New Roman" w:hAnsi="Arial" w:cs="Arial"/>
          <w:noProof/>
          <w:szCs w:val="28"/>
          <w:lang w:val="pl-PL"/>
        </w:rPr>
      </w:pPr>
      <w:r w:rsidRPr="00511005">
        <w:rPr>
          <w:rFonts w:ascii="Arial" w:eastAsia="Times New Roman" w:hAnsi="Arial" w:cs="Arial"/>
          <w:noProof/>
          <w:szCs w:val="28"/>
        </w:rPr>
        <w:t xml:space="preserve">Конституція України : Закон України від 28 червня 1996 року № 254к/96-ВР. </w:t>
      </w:r>
      <w:r w:rsidRPr="00511005">
        <w:rPr>
          <w:rFonts w:ascii="Arial" w:eastAsia="Times New Roman" w:hAnsi="Arial" w:cs="Arial"/>
          <w:noProof/>
          <w:szCs w:val="28"/>
          <w:lang w:val="pl-PL"/>
        </w:rPr>
        <w:t xml:space="preserve">URL: </w:t>
      </w:r>
      <w:hyperlink r:id="rId2206" w:history="1">
        <w:r w:rsidRPr="00511005">
          <w:rPr>
            <w:rFonts w:ascii="Arial" w:eastAsia="Calibri" w:hAnsi="Arial" w:cs="Arial"/>
            <w:noProof/>
            <w:szCs w:val="28"/>
            <w:lang w:val="pl-PL"/>
          </w:rPr>
          <w:t>https://zakon.rada.gov.ua/laws/show/254</w:t>
        </w:r>
        <w:r w:rsidRPr="00511005">
          <w:rPr>
            <w:rFonts w:ascii="Arial" w:eastAsia="Calibri" w:hAnsi="Arial" w:cs="Arial"/>
            <w:noProof/>
            <w:szCs w:val="28"/>
          </w:rPr>
          <w:t>к</w:t>
        </w:r>
        <w:r w:rsidRPr="00511005">
          <w:rPr>
            <w:rFonts w:ascii="Arial" w:eastAsia="Calibri" w:hAnsi="Arial" w:cs="Arial"/>
            <w:noProof/>
            <w:szCs w:val="28"/>
            <w:lang w:val="pl-PL"/>
          </w:rPr>
          <w:t>/96-</w:t>
        </w:r>
        <w:r w:rsidRPr="00511005">
          <w:rPr>
            <w:rFonts w:ascii="Arial" w:eastAsia="Calibri" w:hAnsi="Arial" w:cs="Arial"/>
            <w:noProof/>
            <w:szCs w:val="28"/>
          </w:rPr>
          <w:t>вр</w:t>
        </w:r>
      </w:hyperlink>
      <w:r w:rsidRPr="00511005">
        <w:rPr>
          <w:rFonts w:ascii="Arial" w:eastAsia="Times New Roman" w:hAnsi="Arial" w:cs="Arial"/>
          <w:noProof/>
          <w:szCs w:val="28"/>
          <w:lang w:val="pl-PL"/>
        </w:rPr>
        <w:t>.</w:t>
      </w:r>
    </w:p>
    <w:p w14:paraId="30251CA8" w14:textId="77777777" w:rsidR="00532C25" w:rsidRPr="00511005" w:rsidRDefault="00532C25" w:rsidP="003F6A5D">
      <w:pPr>
        <w:numPr>
          <w:ilvl w:val="0"/>
          <w:numId w:val="816"/>
        </w:numPr>
        <w:spacing w:line="264" w:lineRule="auto"/>
        <w:contextualSpacing/>
        <w:jc w:val="left"/>
        <w:rPr>
          <w:rFonts w:ascii="Arial" w:eastAsia="Times New Roman" w:hAnsi="Arial" w:cs="Arial"/>
          <w:noProof/>
          <w:szCs w:val="28"/>
          <w:lang w:val="pl-PL"/>
        </w:rPr>
      </w:pPr>
      <w:r w:rsidRPr="00511005">
        <w:rPr>
          <w:rFonts w:ascii="Arial" w:eastAsia="Times New Roman" w:hAnsi="Arial" w:cs="Arial"/>
          <w:noProof/>
          <w:szCs w:val="28"/>
          <w:lang w:val="en-US"/>
        </w:rPr>
        <w:lastRenderedPageBreak/>
        <w:t xml:space="preserve">Investigatory Powers Act 2016. UK Public General Acts. </w:t>
      </w:r>
      <w:r w:rsidRPr="00511005">
        <w:rPr>
          <w:rFonts w:ascii="Arial" w:eastAsia="Times New Roman" w:hAnsi="Arial" w:cs="Arial"/>
          <w:noProof/>
          <w:szCs w:val="28"/>
          <w:lang w:val="pl-PL"/>
        </w:rPr>
        <w:t xml:space="preserve">URL: </w:t>
      </w:r>
      <w:hyperlink r:id="rId2207" w:history="1">
        <w:r w:rsidRPr="00511005">
          <w:rPr>
            <w:rFonts w:ascii="Arial" w:eastAsia="Calibri" w:hAnsi="Arial" w:cs="Arial"/>
            <w:noProof/>
            <w:szCs w:val="28"/>
            <w:lang w:val="pl-PL"/>
          </w:rPr>
          <w:t>https://www.legislation.gov.uk/ukpga/2016/25/introduction</w:t>
        </w:r>
      </w:hyperlink>
      <w:r w:rsidRPr="00511005">
        <w:rPr>
          <w:rFonts w:ascii="Arial" w:eastAsia="Times New Roman" w:hAnsi="Arial" w:cs="Arial"/>
          <w:noProof/>
          <w:szCs w:val="28"/>
          <w:lang w:val="pl-PL"/>
        </w:rPr>
        <w:t xml:space="preserve">. </w:t>
      </w:r>
    </w:p>
    <w:p w14:paraId="1AC91A4C" w14:textId="77777777" w:rsidR="00532C25" w:rsidRPr="00511005" w:rsidRDefault="00532C25" w:rsidP="003F6A5D">
      <w:pPr>
        <w:numPr>
          <w:ilvl w:val="0"/>
          <w:numId w:val="816"/>
        </w:numPr>
        <w:spacing w:line="264" w:lineRule="auto"/>
        <w:contextualSpacing/>
        <w:jc w:val="left"/>
        <w:rPr>
          <w:rFonts w:ascii="Arial" w:eastAsia="Times New Roman" w:hAnsi="Arial" w:cs="Arial"/>
          <w:noProof/>
          <w:szCs w:val="28"/>
        </w:rPr>
      </w:pPr>
      <w:r w:rsidRPr="00511005">
        <w:rPr>
          <w:rFonts w:ascii="Arial" w:eastAsia="Times New Roman" w:hAnsi="Arial" w:cs="Arial"/>
          <w:noProof/>
          <w:szCs w:val="28"/>
        </w:rPr>
        <w:t xml:space="preserve">Кримінальний процесуальний кодекс України : Закон України від 13 квітня 2012 року № 4651-VI. URL: </w:t>
      </w:r>
      <w:hyperlink r:id="rId2208" w:history="1">
        <w:r w:rsidRPr="00511005">
          <w:rPr>
            <w:rFonts w:ascii="Arial" w:eastAsia="Calibri" w:hAnsi="Arial" w:cs="Arial"/>
            <w:noProof/>
            <w:szCs w:val="28"/>
          </w:rPr>
          <w:t>https://zakon.rada.gov.ua/laws/show/4651-17</w:t>
        </w:r>
      </w:hyperlink>
      <w:r w:rsidRPr="00511005">
        <w:rPr>
          <w:rFonts w:ascii="Arial" w:eastAsia="Times New Roman" w:hAnsi="Arial" w:cs="Arial"/>
          <w:noProof/>
          <w:szCs w:val="28"/>
        </w:rPr>
        <w:t>.</w:t>
      </w:r>
    </w:p>
    <w:p w14:paraId="3002911B" w14:textId="77777777" w:rsidR="00532C25" w:rsidRPr="00511005" w:rsidRDefault="00532C25" w:rsidP="003F6A5D">
      <w:pPr>
        <w:numPr>
          <w:ilvl w:val="0"/>
          <w:numId w:val="816"/>
        </w:numPr>
        <w:spacing w:line="264" w:lineRule="auto"/>
        <w:contextualSpacing/>
        <w:jc w:val="left"/>
        <w:rPr>
          <w:rFonts w:ascii="Arial" w:eastAsia="Times New Roman" w:hAnsi="Arial" w:cs="Arial"/>
          <w:noProof/>
          <w:szCs w:val="28"/>
        </w:rPr>
      </w:pPr>
      <w:r w:rsidRPr="00511005">
        <w:rPr>
          <w:rFonts w:ascii="Arial" w:eastAsia="Times New Roman" w:hAnsi="Arial" w:cs="Arial"/>
          <w:noProof/>
          <w:szCs w:val="28"/>
        </w:rPr>
        <w:t xml:space="preserve">Кримінальний кодекс України : Закон України від 05 квітня 2001 року № 2341-III. URL: </w:t>
      </w:r>
      <w:hyperlink r:id="rId2209" w:history="1">
        <w:r w:rsidRPr="00511005">
          <w:rPr>
            <w:rFonts w:ascii="Arial" w:eastAsia="Calibri" w:hAnsi="Arial" w:cs="Arial"/>
            <w:noProof/>
            <w:szCs w:val="28"/>
          </w:rPr>
          <w:t>https://zakon.rada.gov.ua/laws/show/2341-14</w:t>
        </w:r>
      </w:hyperlink>
      <w:r w:rsidRPr="00511005">
        <w:rPr>
          <w:rFonts w:ascii="Arial" w:eastAsia="Times New Roman" w:hAnsi="Arial" w:cs="Arial"/>
          <w:noProof/>
          <w:szCs w:val="28"/>
        </w:rPr>
        <w:t>.</w:t>
      </w:r>
    </w:p>
    <w:p w14:paraId="6D8574D3" w14:textId="77777777" w:rsidR="00532C25" w:rsidRPr="00511005" w:rsidRDefault="00532C25" w:rsidP="003F6A5D">
      <w:pPr>
        <w:numPr>
          <w:ilvl w:val="0"/>
          <w:numId w:val="816"/>
        </w:numPr>
        <w:spacing w:line="264" w:lineRule="auto"/>
        <w:contextualSpacing/>
        <w:jc w:val="left"/>
        <w:rPr>
          <w:rFonts w:ascii="Arial" w:eastAsia="Times New Roman" w:hAnsi="Arial" w:cs="Arial"/>
          <w:noProof/>
          <w:szCs w:val="28"/>
        </w:rPr>
      </w:pPr>
      <w:r w:rsidRPr="00511005">
        <w:rPr>
          <w:rFonts w:ascii="Arial" w:eastAsia="Times New Roman" w:hAnsi="Arial" w:cs="Arial"/>
          <w:noProof/>
          <w:szCs w:val="28"/>
        </w:rPr>
        <w:t>Про оперативно-розшукову діяльність</w:t>
      </w:r>
      <w:r w:rsidRPr="00511005">
        <w:rPr>
          <w:rFonts w:ascii="Arial" w:eastAsia="Times New Roman" w:hAnsi="Arial" w:cs="Arial"/>
          <w:i/>
          <w:iCs/>
          <w:noProof/>
          <w:szCs w:val="28"/>
        </w:rPr>
        <w:t xml:space="preserve"> </w:t>
      </w:r>
      <w:r w:rsidRPr="00511005">
        <w:rPr>
          <w:rFonts w:ascii="Arial" w:eastAsia="Times New Roman" w:hAnsi="Arial" w:cs="Arial"/>
          <w:noProof/>
          <w:szCs w:val="28"/>
        </w:rPr>
        <w:t xml:space="preserve">: Закон України від 18 лютого1992 року № 2135-XII. </w:t>
      </w:r>
      <w:r w:rsidRPr="00511005">
        <w:rPr>
          <w:rFonts w:ascii="Arial" w:eastAsia="Times New Roman" w:hAnsi="Arial" w:cs="Arial"/>
          <w:noProof/>
          <w:szCs w:val="28"/>
          <w:lang w:val="en-US"/>
        </w:rPr>
        <w:t xml:space="preserve">URL: </w:t>
      </w:r>
      <w:hyperlink r:id="rId2210" w:history="1">
        <w:r w:rsidRPr="00511005">
          <w:rPr>
            <w:rFonts w:ascii="Arial" w:eastAsia="Calibri" w:hAnsi="Arial" w:cs="Arial"/>
            <w:noProof/>
            <w:szCs w:val="28"/>
            <w:lang w:val="en-US"/>
          </w:rPr>
          <w:t>https://zakon.rada.gov.ua/laws/show/2135-12</w:t>
        </w:r>
      </w:hyperlink>
      <w:r w:rsidRPr="00511005">
        <w:rPr>
          <w:rFonts w:ascii="Arial" w:eastAsia="Calibri" w:hAnsi="Arial" w:cs="Arial"/>
          <w:noProof/>
          <w:szCs w:val="28"/>
        </w:rPr>
        <w:t>.</w:t>
      </w:r>
      <w:r w:rsidRPr="00511005">
        <w:rPr>
          <w:rFonts w:ascii="Arial" w:eastAsia="Times New Roman" w:hAnsi="Arial" w:cs="Arial"/>
          <w:noProof/>
          <w:szCs w:val="28"/>
        </w:rPr>
        <w:t xml:space="preserve"> </w:t>
      </w:r>
    </w:p>
    <w:p w14:paraId="33DFAF73" w14:textId="77777777" w:rsidR="00532C25" w:rsidRPr="00511005" w:rsidRDefault="00532C25" w:rsidP="00532C25">
      <w:pPr>
        <w:spacing w:line="264" w:lineRule="auto"/>
        <w:contextualSpacing/>
        <w:rPr>
          <w:rFonts w:ascii="Arial" w:eastAsia="Times New Roman" w:hAnsi="Arial" w:cs="Arial"/>
          <w:b/>
          <w:bCs/>
          <w:noProof/>
          <w:szCs w:val="28"/>
        </w:rPr>
      </w:pPr>
    </w:p>
    <w:p w14:paraId="275A9EBA" w14:textId="77777777" w:rsidR="00532C25" w:rsidRPr="00511005" w:rsidRDefault="00532C25" w:rsidP="00532C25">
      <w:pPr>
        <w:spacing w:line="264" w:lineRule="auto"/>
        <w:contextualSpacing/>
        <w:rPr>
          <w:rFonts w:ascii="Arial" w:eastAsia="Times New Roman" w:hAnsi="Arial" w:cs="Arial"/>
          <w:noProof/>
          <w:szCs w:val="28"/>
        </w:rPr>
      </w:pPr>
      <w:r w:rsidRPr="00511005">
        <w:rPr>
          <w:rFonts w:ascii="Arial" w:eastAsia="Times New Roman" w:hAnsi="Arial" w:cs="Arial"/>
          <w:b/>
          <w:bCs/>
          <w:i/>
          <w:noProof/>
          <w:szCs w:val="28"/>
        </w:rPr>
        <w:t xml:space="preserve">Ключові слова: </w:t>
      </w:r>
      <w:r w:rsidRPr="00511005">
        <w:rPr>
          <w:rFonts w:ascii="Arial" w:eastAsia="Times New Roman" w:hAnsi="Arial" w:cs="Arial"/>
          <w:noProof/>
          <w:szCs w:val="28"/>
        </w:rPr>
        <w:t>кримінальний процес,</w:t>
      </w:r>
      <w:r w:rsidRPr="00511005">
        <w:rPr>
          <w:rFonts w:ascii="Arial" w:eastAsia="Times New Roman" w:hAnsi="Arial" w:cs="Arial"/>
          <w:b/>
          <w:bCs/>
          <w:noProof/>
          <w:szCs w:val="28"/>
        </w:rPr>
        <w:t xml:space="preserve"> </w:t>
      </w:r>
      <w:r w:rsidRPr="00511005">
        <w:rPr>
          <w:rFonts w:ascii="Arial" w:eastAsia="Times New Roman" w:hAnsi="Arial" w:cs="Arial"/>
          <w:noProof/>
          <w:szCs w:val="28"/>
        </w:rPr>
        <w:t>негласні слідчі (розшукові) дії, право на приватність, втручання у приватне спілкування.</w:t>
      </w:r>
    </w:p>
    <w:p w14:paraId="5A881824" w14:textId="77777777" w:rsidR="00532C25" w:rsidRPr="00511005" w:rsidRDefault="00532C25" w:rsidP="00532C25">
      <w:pPr>
        <w:spacing w:line="264" w:lineRule="auto"/>
        <w:contextualSpacing/>
        <w:rPr>
          <w:rFonts w:ascii="Arial" w:eastAsia="Times New Roman" w:hAnsi="Arial" w:cs="Arial"/>
          <w:noProof/>
          <w:szCs w:val="28"/>
          <w:lang w:val="en-US"/>
        </w:rPr>
      </w:pPr>
      <w:r w:rsidRPr="00511005">
        <w:rPr>
          <w:rFonts w:ascii="Arial" w:eastAsia="Times New Roman" w:hAnsi="Arial" w:cs="Arial"/>
          <w:b/>
          <w:bCs/>
          <w:i/>
          <w:noProof/>
          <w:szCs w:val="28"/>
          <w:lang w:val="en-US"/>
        </w:rPr>
        <w:t xml:space="preserve">Key words: </w:t>
      </w:r>
      <w:r w:rsidRPr="00511005">
        <w:rPr>
          <w:rFonts w:ascii="Arial" w:eastAsia="Times New Roman" w:hAnsi="Arial" w:cs="Arial"/>
          <w:noProof/>
          <w:szCs w:val="28"/>
          <w:lang w:val="en-US"/>
        </w:rPr>
        <w:t>criminal procedural law, interception, right to privacy, investigation.</w:t>
      </w:r>
    </w:p>
    <w:p w14:paraId="3212FD5D" w14:textId="77777777" w:rsidR="00532C25" w:rsidRPr="00511005" w:rsidRDefault="00532C25" w:rsidP="00532C25">
      <w:pPr>
        <w:spacing w:line="264" w:lineRule="auto"/>
        <w:contextualSpacing/>
        <w:rPr>
          <w:rFonts w:ascii="Arial" w:eastAsia="Times New Roman" w:hAnsi="Arial" w:cs="Arial"/>
          <w:i/>
          <w:iCs/>
          <w:noProof/>
          <w:szCs w:val="28"/>
        </w:rPr>
      </w:pPr>
      <w:r w:rsidRPr="00511005">
        <w:rPr>
          <w:rFonts w:ascii="Arial" w:eastAsia="Times New Roman" w:hAnsi="Arial" w:cs="Arial"/>
          <w:b/>
          <w:i/>
          <w:iCs/>
          <w:noProof/>
          <w:szCs w:val="28"/>
        </w:rPr>
        <w:t xml:space="preserve">Науковий керівник: </w:t>
      </w:r>
      <w:r w:rsidRPr="00511005">
        <w:rPr>
          <w:rFonts w:ascii="Arial" w:eastAsia="Times New Roman" w:hAnsi="Arial" w:cs="Arial"/>
          <w:i/>
          <w:iCs/>
          <w:noProof/>
          <w:szCs w:val="28"/>
        </w:rPr>
        <w:t>к. ю. н., доцент</w:t>
      </w:r>
      <w:r w:rsidRPr="00511005">
        <w:rPr>
          <w:rFonts w:ascii="Arial" w:eastAsia="Times New Roman" w:hAnsi="Arial" w:cs="Arial"/>
          <w:i/>
          <w:iCs/>
          <w:noProof/>
          <w:szCs w:val="28"/>
          <w:lang w:val="uk-UA"/>
        </w:rPr>
        <w:t xml:space="preserve"> </w:t>
      </w:r>
      <w:r w:rsidRPr="00511005">
        <w:rPr>
          <w:rFonts w:ascii="Arial" w:eastAsia="Times New Roman" w:hAnsi="Arial" w:cs="Arial"/>
          <w:i/>
          <w:iCs/>
          <w:noProof/>
          <w:szCs w:val="28"/>
        </w:rPr>
        <w:t>Мурзановська А. В.</w:t>
      </w:r>
    </w:p>
    <w:p w14:paraId="1D8E9BEC" w14:textId="77777777" w:rsidR="00532C25" w:rsidRPr="00511005" w:rsidRDefault="00532C25" w:rsidP="00532C25">
      <w:pPr>
        <w:spacing w:line="264" w:lineRule="auto"/>
        <w:ind w:firstLine="0"/>
        <w:rPr>
          <w:rFonts w:ascii="Arial" w:eastAsia="Arial" w:hAnsi="Arial" w:cs="Arial"/>
          <w:szCs w:val="28"/>
          <w:lang w:eastAsia="ru-RU"/>
        </w:rPr>
      </w:pPr>
    </w:p>
    <w:p w14:paraId="03007CFD" w14:textId="77777777" w:rsidR="00532C25" w:rsidRPr="00511005" w:rsidRDefault="00532C25" w:rsidP="00532C25">
      <w:pPr>
        <w:spacing w:line="264" w:lineRule="auto"/>
        <w:ind w:firstLine="0"/>
        <w:rPr>
          <w:rFonts w:ascii="Arial" w:eastAsia="Arial" w:hAnsi="Arial" w:cs="Arial"/>
          <w:b/>
          <w:i/>
          <w:iCs/>
          <w:szCs w:val="28"/>
          <w:lang w:val="uk-UA" w:eastAsia="ru-RU"/>
        </w:rPr>
      </w:pPr>
    </w:p>
    <w:p w14:paraId="44C797A1" w14:textId="77777777" w:rsidR="00532C25" w:rsidRPr="00511005" w:rsidRDefault="00532C25" w:rsidP="00532C25">
      <w:pPr>
        <w:spacing w:line="264" w:lineRule="auto"/>
        <w:ind w:firstLine="0"/>
        <w:jc w:val="center"/>
        <w:rPr>
          <w:rFonts w:ascii="Arial" w:eastAsia="Arial" w:hAnsi="Arial" w:cs="Arial"/>
          <w:b/>
          <w:i/>
          <w:iCs/>
          <w:szCs w:val="28"/>
          <w:lang w:val="uk-UA" w:eastAsia="ru-RU"/>
        </w:rPr>
      </w:pPr>
      <w:r w:rsidRPr="00511005">
        <w:rPr>
          <w:rFonts w:ascii="Arial" w:eastAsia="Arial" w:hAnsi="Arial" w:cs="Arial"/>
          <w:b/>
          <w:i/>
          <w:iCs/>
          <w:szCs w:val="28"/>
          <w:lang w:val="uk-UA" w:eastAsia="ru-RU"/>
        </w:rPr>
        <w:t>Кухоцька Аліна Сергіївна</w:t>
      </w:r>
    </w:p>
    <w:p w14:paraId="3810CB4A"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студентка 1-го курсу магістратури</w:t>
      </w:r>
    </w:p>
    <w:p w14:paraId="7753B18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0CE1AC6"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DE607A7" w14:textId="77777777" w:rsidR="00532C25" w:rsidRPr="00511005" w:rsidRDefault="00532C25" w:rsidP="00532C25">
      <w:pPr>
        <w:spacing w:line="264" w:lineRule="auto"/>
        <w:ind w:firstLine="0"/>
        <w:jc w:val="center"/>
        <w:rPr>
          <w:rFonts w:ascii="Arial" w:eastAsia="Arial" w:hAnsi="Arial" w:cs="Arial"/>
          <w:szCs w:val="28"/>
          <w:lang w:val="uk-UA" w:eastAsia="ru-RU"/>
        </w:rPr>
      </w:pPr>
    </w:p>
    <w:p w14:paraId="5CC076D2" w14:textId="77777777" w:rsidR="00532C25" w:rsidRPr="00511005" w:rsidRDefault="00532C25" w:rsidP="00532C25">
      <w:pPr>
        <w:spacing w:line="264" w:lineRule="auto"/>
        <w:ind w:firstLine="0"/>
        <w:jc w:val="center"/>
        <w:rPr>
          <w:rFonts w:ascii="Arial" w:eastAsia="Arial" w:hAnsi="Arial" w:cs="Arial"/>
          <w:b/>
          <w:bCs/>
          <w:szCs w:val="28"/>
          <w:lang w:val="uk-UA" w:eastAsia="ru-RU"/>
        </w:rPr>
      </w:pPr>
      <w:r w:rsidRPr="00511005">
        <w:rPr>
          <w:rFonts w:ascii="Arial" w:eastAsia="Arial" w:hAnsi="Arial" w:cs="Arial"/>
          <w:b/>
          <w:bCs/>
          <w:szCs w:val="28"/>
          <w:lang w:val="uk-UA" w:eastAsia="ru-RU"/>
        </w:rPr>
        <w:t>ПРОБЛЕМНІ АСПЕКТИ ПРОВЕДЕННЯ ОГЛЯДУ ТРУПА,</w:t>
      </w:r>
    </w:p>
    <w:p w14:paraId="5E9B385E" w14:textId="77777777" w:rsidR="00532C25" w:rsidRPr="00511005" w:rsidRDefault="00532C25" w:rsidP="00532C25">
      <w:pPr>
        <w:spacing w:line="264" w:lineRule="auto"/>
        <w:ind w:firstLine="0"/>
        <w:jc w:val="center"/>
        <w:rPr>
          <w:rFonts w:ascii="Arial" w:eastAsia="Arial" w:hAnsi="Arial" w:cs="Arial"/>
          <w:b/>
          <w:bCs/>
          <w:szCs w:val="28"/>
          <w:lang w:val="uk-UA" w:eastAsia="ru-RU"/>
        </w:rPr>
      </w:pPr>
      <w:r w:rsidRPr="00511005">
        <w:rPr>
          <w:rFonts w:ascii="Arial" w:eastAsia="Arial" w:hAnsi="Arial" w:cs="Arial"/>
          <w:b/>
          <w:bCs/>
          <w:szCs w:val="28"/>
          <w:lang w:val="uk-UA" w:eastAsia="ru-RU"/>
        </w:rPr>
        <w:t>ПОВ’ЯЗАНОГО З ЕКСГУМАЦІЄЮ</w:t>
      </w:r>
    </w:p>
    <w:p w14:paraId="03CE6570"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На сучасному етапі розвитку українського законодавства в умовах євроінтеграційних процесів все більше зростає роль механізмів, які гарантують захист прав людини, спостерігається посилення значення принципів справедливості та пропорційності. Особливо це простежується в сфері кримінального судочинства.</w:t>
      </w:r>
    </w:p>
    <w:p w14:paraId="201633C2"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Варто згадати, що одним із фундаментальних завдань кримінального провадження є забезпечення того, щоб до кримінальної відповідальності притягувалися лише ті особи, які фактично вчинили кримінальне правопорушення відповідно до ступеня їхньої вини, а також недопущення обвинувачення або засудження невинуватих осіб. Реалізація цього завдання вимагає від сторони обвинувачення особливої ретельності під час досудового розслідування, яке покликане забезпечити збір, перевірку та аналіз отриманої доказової бази.</w:t>
      </w:r>
    </w:p>
    <w:p w14:paraId="0ECC6A8D"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 xml:space="preserve">У ряді випадків для реалізації визначених процесуальних обов’язків на етапі досудового розслідування злочинів, пов’язаних із протиправним позбавленням життя, необхідно провести огляд тіла загиблого, що, у свою чергу, вимагає здійснення ексгумації – вилучення тіла з місця поховання. У </w:t>
      </w:r>
      <w:r w:rsidRPr="00511005">
        <w:rPr>
          <w:rFonts w:ascii="Arial" w:eastAsia="Arial" w:hAnsi="Arial" w:cs="Arial"/>
          <w:szCs w:val="28"/>
          <w:lang w:val="uk-UA" w:eastAsia="ru-RU"/>
        </w:rPr>
        <w:lastRenderedPageBreak/>
        <w:t>процесі виконання цієї слідчої (розшукової) дії органи слідства зіштовхуються як із процесуальними, так і з етичними труднощами, що потребують комплексного правового та наукового вирішення. Зокрема, важливим є питання необхідності отримання згоди родичів чи інших близьких осіб померлого на проведення ексгумації, що зумовлює потребу у досягненні балансу між інтересами слідства та дотриманням прав, свобод і морально-етичних переконань громадян.</w:t>
      </w:r>
    </w:p>
    <w:p w14:paraId="53206B3A"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Слід зауважити, що норми Кримінального процесуального кодексу України (далі – КПК України) [1] ні у загальних положеннях, що регламентують порядок проведення слідчих (розшукових) дій (ст. 223 КПК України), ні в спеціальних нормах, які стосуються проведення огляду трупа (ст. ст. 238, 239 КПК України), не містять імперативної вимоги щодо обов’язковості надання згоди від родичів померлого.</w:t>
      </w:r>
    </w:p>
    <w:p w14:paraId="1DBE7F44"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 xml:space="preserve">З аналізу судової практики вбачається, що національні суди по-різному враховують відсутність згоди родичів для проведення огляду трупу, пов’язаного з ексгумацією. </w:t>
      </w:r>
    </w:p>
    <w:p w14:paraId="30251C76"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Так наприклад, у справі № 472/1088/17 (провадження 1-кп/473/11/2022) суд відмовив у задоволенні клопотання Державної установи «Головне бюро судово-медичної експертизи Міністерства Охорони здоров</w:t>
      </w:r>
      <w:r w:rsidRPr="00511005">
        <w:rPr>
          <w:rFonts w:ascii="Arial" w:eastAsia="Arial" w:hAnsi="Arial" w:cs="Arial"/>
          <w:szCs w:val="28"/>
          <w:lang w:val="ru" w:eastAsia="ru-RU"/>
        </w:rPr>
        <w:t>’</w:t>
      </w:r>
      <w:r w:rsidRPr="00511005">
        <w:rPr>
          <w:rFonts w:ascii="Arial" w:eastAsia="Arial" w:hAnsi="Arial" w:cs="Arial"/>
          <w:szCs w:val="28"/>
          <w:lang w:val="uk-UA" w:eastAsia="ru-RU"/>
        </w:rPr>
        <w:t xml:space="preserve">я України» в проведенні ексгумації трупа, необхідного для проведення експертизи. Суд мотивував своє рішення, посилаючись на «шанобливе ставлення до думки потерпілої стосовно ексгумації останків її брата, можливість, на думку суду проведення судово-медичної експертизи за матеріалами кримінального провадження» [2]. </w:t>
      </w:r>
    </w:p>
    <w:p w14:paraId="1AC19CA8"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В той же час у справі № 699/64/14-к (провадження № 11-кп/793/593/15) колегія суддів судової палати в кримінальних справах апеляційного суду вважає: «Незаконною є і постанова прокурора про відмову в ексгумації трупу, оскільки ст.</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239 КПК України не передбачає надання згоди на ексгумацію трупу потерпілих. Для з</w:t>
      </w:r>
      <w:r w:rsidRPr="00511005">
        <w:rPr>
          <w:rFonts w:ascii="Arial" w:eastAsia="Arial" w:hAnsi="Arial" w:cs="Arial"/>
          <w:szCs w:val="28"/>
          <w:lang w:val="ru" w:eastAsia="ru-RU"/>
        </w:rPr>
        <w:t>’</w:t>
      </w:r>
      <w:r w:rsidRPr="00511005">
        <w:rPr>
          <w:rFonts w:ascii="Arial" w:eastAsia="Arial" w:hAnsi="Arial" w:cs="Arial"/>
          <w:szCs w:val="28"/>
          <w:lang w:val="uk-UA" w:eastAsia="ru-RU"/>
        </w:rPr>
        <w:t>ясування істинної причини смерті, наявності інших тілесних ушкоджень, які не були встановлені при первинному огляді судмедекспертами або при помилковому висновку, за наявності ознак насильницької смерті людини, обов</w:t>
      </w:r>
      <w:r w:rsidRPr="00511005">
        <w:rPr>
          <w:rFonts w:ascii="Arial" w:eastAsia="Arial" w:hAnsi="Arial" w:cs="Arial"/>
          <w:szCs w:val="28"/>
          <w:lang w:val="ru" w:eastAsia="ru-RU"/>
        </w:rPr>
        <w:t>’</w:t>
      </w:r>
      <w:r w:rsidRPr="00511005">
        <w:rPr>
          <w:rFonts w:ascii="Arial" w:eastAsia="Arial" w:hAnsi="Arial" w:cs="Arial"/>
          <w:szCs w:val="28"/>
          <w:lang w:val="uk-UA" w:eastAsia="ru-RU"/>
        </w:rPr>
        <w:t>язково проводиться ексгумація трупу без згоди потерпілих» [3].</w:t>
      </w:r>
    </w:p>
    <w:p w14:paraId="10A39EF1"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 xml:space="preserve">У практиці Європейського суду з прав людини (далі – Суд) рішень пов’язаних з цією ситуацією досить небагато, проте вони важливі тим, що розширюють тлумачення ст. 8 Європейської конвенції з прав людини (далі – Конвенції) [4]. Так, однією з вагомих практик є справа «Сольська і Рибіцька проти Польщі» (Solska and Rybickav. Poland). «Це перший випадок, коли Суд розглянув питання про застосовність статті 8 у ситуації, коли для цілей кримінального розслідування члени сім’ї заперечують проти ексгумації тіл померлих родичів. Він постановив, що заявники можуть посилатись на захист статті 8 як в аспекті їх сімейного життя, так і в аспекті приватного </w:t>
      </w:r>
      <w:r w:rsidRPr="00511005">
        <w:rPr>
          <w:rFonts w:ascii="Arial" w:eastAsia="Arial" w:hAnsi="Arial" w:cs="Arial"/>
          <w:szCs w:val="28"/>
          <w:lang w:val="uk-UA" w:eastAsia="ru-RU"/>
        </w:rPr>
        <w:lastRenderedPageBreak/>
        <w:t>життя» [5]. В даній справі Суд також зауважив, що на той час, у національному законодавстві Польщі відсутні достатні гарантії недопущення свавільного прокурорського рішення щодо ексгумації. Такі ж самі прогалини ми бачимо і в нашому законодавстві, що, безсумнівно, потребує додаткового врегулювання.</w:t>
      </w:r>
    </w:p>
    <w:p w14:paraId="70154915"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 xml:space="preserve">У процесі вирішення цього питання деякі науковці звертаються до Закону України «Про поховання та похоронну справу» [6]. Так, наприклад, О. В. Баулін зазначає, що «за ст. 29 цього закону власником колумбарної ніші є особа, яка придбала її за власні кошти, а намогильної споруди, склепу – особа, яка за власні кошти встановила цю споруду на могилі (місці родинного поховання). Останні об’єкти належать до приватного володіння особи, без згоди якої та/або рішення слідчого судді (в умовах воєнного стану, якщо виконання ним повноважень з об’єктивних причин неможливе, їх здійснює керівник відповідного органу прокуратури) </w:t>
      </w:r>
      <w:r w:rsidRPr="00511005">
        <w:rPr>
          <w:rFonts w:ascii="Arial" w:eastAsia="Arial" w:hAnsi="Arial" w:cs="Arial"/>
          <w:bCs/>
          <w:szCs w:val="28"/>
          <w:lang w:val="uk-UA" w:eastAsia="ru-RU"/>
        </w:rPr>
        <w:t>проникнення до них</w:t>
      </w:r>
      <w:r w:rsidRPr="00511005">
        <w:rPr>
          <w:rFonts w:ascii="Arial" w:eastAsia="Arial" w:hAnsi="Arial" w:cs="Arial"/>
          <w:szCs w:val="28"/>
          <w:lang w:val="uk-UA" w:eastAsia="ru-RU"/>
        </w:rPr>
        <w:t xml:space="preserve"> і будь-які дії з ними або в них для подальшого доступу до могили, труни та тіла померлого з метою ексгумації трупа будуть означати порушення вимог ст. 233 КПК України» [7, с. 205-206]. У зв’язку з наведеним висувається версія, згідно з якою склеп, колумбарна ніша розглядаються як об’єкти приватної власності особи, які установлені за її кошти. При цьому такі об’єкти ототожнюються з особистим (приватним) володінням особи, доступ до яких можливий або за згоди його власника, або за рішенням слідчого судді, як у випадку передбаченому у ст. 233 КПК України (проникнення до житла чи іншого володіння особи). </w:t>
      </w:r>
    </w:p>
    <w:p w14:paraId="7BA19A0B"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Проте такий підхід має теж певні протиріччя, оскільки та ж сама ст. 29 Закону України «Про поховання та похоронну справу» [6] визначає приватну власність лише щодо колумбарної ніші та склепу. Щодо інших об’єктів законодавець у ст. 28 вищезгаданого закону зазначив наступне: «На території місця поховання не можуть бути розташовані об’єкти іншої форми власності, крім комунальної, за винятком випадків, передбачених статтями 23-1 та 29 цього Закону» [6]. Таким чином, якщо труна померлого знаходиться не у склепі, то родичі померлої особи, щодо якої хочуть провести ексгумацію, ніяк не зможуть заперечити у проведенні процесуальної дії. Тому на нашу думку, такий підхід для вирішення даної ситуації є недостатньо обґрунтованим.</w:t>
      </w:r>
    </w:p>
    <w:p w14:paraId="019F9C19"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Підсумовуючи вищевикладене, ми схиляємося до необхідності закріплення в КПК України положень щодо обов’язкового отримання згоди близьких родичів або членів сім’ї покійного у випадку вилучення тіла з місця поховання. Зокрема, доцільним видається передбачити норму про обов’язкове попереднє повідомлення зазначених осіб про проведення ексгумації, а у разі їх заперечень – одержання дозволу суду/слідчого судді.</w:t>
      </w:r>
    </w:p>
    <w:p w14:paraId="6334278C"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 xml:space="preserve">У такий спосіб законодавець зможе забезпечити інтереси двох сторін: з однієї – інтереси близьких осіб покійного, а в разі їх не згоди та за наявності </w:t>
      </w:r>
      <w:r w:rsidRPr="00511005">
        <w:rPr>
          <w:rFonts w:ascii="Arial" w:eastAsia="Arial" w:hAnsi="Arial" w:cs="Arial"/>
          <w:szCs w:val="28"/>
          <w:lang w:val="uk-UA" w:eastAsia="ru-RU"/>
        </w:rPr>
        <w:lastRenderedPageBreak/>
        <w:t>доведеної перед судом необхідності у проведенні ексгумації, буде забезпечений публічний інтерес слідства.</w:t>
      </w:r>
    </w:p>
    <w:p w14:paraId="62DE161A"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szCs w:val="28"/>
          <w:lang w:val="uk-UA" w:eastAsia="ru-RU"/>
        </w:rPr>
        <w:t>Звісно, що внесення змін лише до ст. ст. 238, 239 КПК України буде недостатньо, адже потрібно ще передбачити положення КПК України, що регламентуватимуть процедуру розгляду слідчим суддею чи судом клопотань прокурора про проведення огляду трупа, пов’язаного з ексгумацією. Можливо, мають бути визначені критерії доцільності та необхідності проведення такої слідчої (розшуковою) дії, а також обов’язок врахування можливості досягнення цілей кримінального провадження менш обтяжливими засобами. Окрему увагу слід приділити врегулюванню порядку оскарження ухвал суду чи слідчого судді з цього питання. Однак це питання є предметом іншого, більш широкого дослідження у сфері кримінального процесу.</w:t>
      </w:r>
    </w:p>
    <w:p w14:paraId="7D02CC7E" w14:textId="77777777" w:rsidR="00532C25" w:rsidRPr="00511005" w:rsidRDefault="00532C25" w:rsidP="00532C25">
      <w:pPr>
        <w:spacing w:line="264" w:lineRule="auto"/>
        <w:contextualSpacing/>
        <w:rPr>
          <w:rFonts w:ascii="Arial" w:eastAsia="Arial" w:hAnsi="Arial" w:cs="Arial"/>
          <w:szCs w:val="28"/>
          <w:lang w:val="uk-UA" w:eastAsia="ru-RU"/>
        </w:rPr>
      </w:pPr>
    </w:p>
    <w:p w14:paraId="6F6BF0F0" w14:textId="77777777" w:rsidR="00532C25" w:rsidRPr="00511005" w:rsidRDefault="00532C25" w:rsidP="00532C25">
      <w:pPr>
        <w:spacing w:line="264" w:lineRule="auto"/>
        <w:contextualSpacing/>
        <w:jc w:val="center"/>
        <w:rPr>
          <w:rFonts w:ascii="Arial" w:eastAsia="Arial" w:hAnsi="Arial" w:cs="Arial"/>
          <w:b/>
          <w:szCs w:val="28"/>
          <w:lang w:val="uk-UA" w:eastAsia="ru-RU"/>
        </w:rPr>
      </w:pPr>
      <w:r w:rsidRPr="00511005">
        <w:rPr>
          <w:rFonts w:ascii="Arial" w:eastAsia="Arial" w:hAnsi="Arial" w:cs="Arial"/>
          <w:b/>
          <w:szCs w:val="28"/>
          <w:lang w:val="uk-UA" w:eastAsia="ru-RU"/>
        </w:rPr>
        <w:t>Список використаних джерел</w:t>
      </w:r>
    </w:p>
    <w:p w14:paraId="1B070813" w14:textId="77777777" w:rsidR="00532C25" w:rsidRPr="00511005" w:rsidRDefault="00532C25" w:rsidP="003F6A5D">
      <w:pPr>
        <w:numPr>
          <w:ilvl w:val="0"/>
          <w:numId w:val="59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Кримінальний процесуальний кодекс України від 13 квітня 2012 року № 4651-VI. URL:</w:t>
      </w:r>
      <w:r w:rsidRPr="00511005">
        <w:rPr>
          <w:rFonts w:ascii="Arial" w:eastAsia="Calibri" w:hAnsi="Arial" w:cs="Arial"/>
          <w:szCs w:val="28"/>
        </w:rPr>
        <w:t xml:space="preserve"> </w:t>
      </w:r>
      <w:hyperlink r:id="rId2211" w:history="1">
        <w:r w:rsidRPr="00511005">
          <w:rPr>
            <w:rFonts w:ascii="Arial" w:eastAsia="Calibri" w:hAnsi="Arial" w:cs="Arial"/>
            <w:szCs w:val="28"/>
          </w:rPr>
          <w:t>https://zakon.rada.gov.ua/laws/show/465117/ed20240101</w:t>
        </w:r>
      </w:hyperlink>
      <w:r w:rsidRPr="00511005">
        <w:rPr>
          <w:rFonts w:ascii="Arial" w:eastAsia="Calibri" w:hAnsi="Arial" w:cs="Arial"/>
          <w:szCs w:val="28"/>
        </w:rPr>
        <w:t>.</w:t>
      </w:r>
      <w:r w:rsidRPr="00511005">
        <w:rPr>
          <w:rFonts w:ascii="Arial" w:eastAsia="Calibri" w:hAnsi="Arial" w:cs="Arial"/>
          <w:szCs w:val="28"/>
          <w:lang w:val="uk-UA"/>
        </w:rPr>
        <w:t xml:space="preserve"> </w:t>
      </w:r>
    </w:p>
    <w:p w14:paraId="77CD6F21" w14:textId="77777777" w:rsidR="00532C25" w:rsidRPr="00511005" w:rsidRDefault="00532C25" w:rsidP="003F6A5D">
      <w:pPr>
        <w:numPr>
          <w:ilvl w:val="0"/>
          <w:numId w:val="59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Ухвала Вознесенського міськрайонного суду Миколаївської області від 27 січня 2022 року у справі № 472/1088/17 (провадження 1-кп/473/11/2022). URL: </w:t>
      </w:r>
      <w:hyperlink r:id="rId2212" w:history="1">
        <w:r w:rsidRPr="00511005">
          <w:rPr>
            <w:rFonts w:ascii="Arial" w:eastAsia="Calibri" w:hAnsi="Arial" w:cs="Arial"/>
            <w:szCs w:val="28"/>
          </w:rPr>
          <w:t>https://reyestr.court.gov.ua/Review/102801296</w:t>
        </w:r>
      </w:hyperlink>
      <w:r w:rsidRPr="00511005">
        <w:rPr>
          <w:rFonts w:ascii="Arial" w:eastAsia="Calibri" w:hAnsi="Arial" w:cs="Arial"/>
          <w:szCs w:val="28"/>
        </w:rPr>
        <w:t xml:space="preserve">. </w:t>
      </w:r>
    </w:p>
    <w:p w14:paraId="1F2D47F7" w14:textId="77777777" w:rsidR="00532C25" w:rsidRPr="00511005" w:rsidRDefault="00532C25" w:rsidP="003F6A5D">
      <w:pPr>
        <w:numPr>
          <w:ilvl w:val="0"/>
          <w:numId w:val="59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Ухвала колегії суддів судової палати в кримінальних справах апеляційного суду Черкаської області від 21 грудня 2015 р. у справі № 699/64/14-к (провадження № 11-кп/793/593/15). URL: </w:t>
      </w:r>
      <w:hyperlink r:id="rId2213" w:history="1">
        <w:r w:rsidRPr="00511005">
          <w:rPr>
            <w:rFonts w:ascii="Arial" w:eastAsia="Calibri" w:hAnsi="Arial" w:cs="Arial"/>
            <w:szCs w:val="28"/>
          </w:rPr>
          <w:t>https://reyestr.court.gov.ua/Review/54715293</w:t>
        </w:r>
      </w:hyperlink>
      <w:r w:rsidRPr="00511005">
        <w:rPr>
          <w:rFonts w:ascii="Arial" w:eastAsia="Calibri" w:hAnsi="Arial" w:cs="Arial"/>
          <w:szCs w:val="28"/>
        </w:rPr>
        <w:t xml:space="preserve">. </w:t>
      </w:r>
    </w:p>
    <w:p w14:paraId="272E95B0" w14:textId="77777777" w:rsidR="00532C25" w:rsidRPr="00511005" w:rsidRDefault="00532C25" w:rsidP="003F6A5D">
      <w:pPr>
        <w:numPr>
          <w:ilvl w:val="0"/>
          <w:numId w:val="59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Конвенція про захист прав людини і основоположних свобод від 04.11.1950 р. URL: </w:t>
      </w:r>
      <w:hyperlink r:id="rId2214" w:history="1">
        <w:r w:rsidRPr="00511005">
          <w:rPr>
            <w:rFonts w:ascii="Arial" w:eastAsia="Calibri" w:hAnsi="Arial" w:cs="Arial"/>
            <w:szCs w:val="28"/>
          </w:rPr>
          <w:t>https://zakon.rada.gov.ua/laws/card/995_004</w:t>
        </w:r>
      </w:hyperlink>
      <w:r w:rsidRPr="00511005">
        <w:rPr>
          <w:rFonts w:ascii="Arial" w:eastAsia="Calibri" w:hAnsi="Arial" w:cs="Arial"/>
          <w:szCs w:val="28"/>
        </w:rPr>
        <w:t>.</w:t>
      </w:r>
      <w:r w:rsidRPr="00511005">
        <w:rPr>
          <w:rFonts w:ascii="Arial" w:eastAsia="Calibri" w:hAnsi="Arial" w:cs="Arial"/>
          <w:szCs w:val="28"/>
          <w:lang w:val="uk-UA"/>
        </w:rPr>
        <w:t xml:space="preserve"> </w:t>
      </w:r>
    </w:p>
    <w:p w14:paraId="41315B4D" w14:textId="77777777" w:rsidR="00532C25" w:rsidRPr="00511005" w:rsidRDefault="00532C25" w:rsidP="003F6A5D">
      <w:pPr>
        <w:numPr>
          <w:ilvl w:val="0"/>
          <w:numId w:val="59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Огляд практики Суду у 2018 році за проєктом Ради Європи «Підтримка впровадженню судової реформи в Україні». С. 75. URL: </w:t>
      </w:r>
      <w:hyperlink r:id="rId2215" w:history="1">
        <w:r w:rsidRPr="00511005">
          <w:rPr>
            <w:rFonts w:ascii="Arial" w:eastAsia="Calibri" w:hAnsi="Arial" w:cs="Arial"/>
            <w:szCs w:val="28"/>
            <w:lang w:val="pl-PL"/>
          </w:rPr>
          <w:t>https://ks.echr.coe.int/documents/d/echr-ks/overview-2018-ukr</w:t>
        </w:r>
      </w:hyperlink>
      <w:r w:rsidRPr="00511005">
        <w:rPr>
          <w:rFonts w:ascii="Arial" w:eastAsia="Calibri" w:hAnsi="Arial" w:cs="Arial"/>
          <w:szCs w:val="28"/>
          <w:lang w:val="pl-PL"/>
        </w:rPr>
        <w:t xml:space="preserve">. </w:t>
      </w:r>
    </w:p>
    <w:p w14:paraId="1D887510" w14:textId="77777777" w:rsidR="00532C25" w:rsidRPr="00511005" w:rsidRDefault="00532C25" w:rsidP="003F6A5D">
      <w:pPr>
        <w:numPr>
          <w:ilvl w:val="0"/>
          <w:numId w:val="59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Закон України «Про поховання та похоронну справу» від 10.07.2003 року. № 1102-IV. URL: https://zakon.rada.gov.ua/laws/show/1102-15#Text. </w:t>
      </w:r>
    </w:p>
    <w:p w14:paraId="16FFA35B" w14:textId="77777777" w:rsidR="00532C25" w:rsidRPr="00511005" w:rsidRDefault="00532C25" w:rsidP="003F6A5D">
      <w:pPr>
        <w:numPr>
          <w:ilvl w:val="0"/>
          <w:numId w:val="591"/>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Баулін О. В. Огляд трупа, пов’язаний з ексгумацією, під час здійснення досудового розслідування. </w:t>
      </w:r>
      <w:r w:rsidRPr="00511005">
        <w:rPr>
          <w:rFonts w:ascii="Arial" w:eastAsia="Calibri" w:hAnsi="Arial" w:cs="Arial"/>
          <w:i/>
          <w:iCs/>
          <w:szCs w:val="28"/>
          <w:lang w:val="uk-UA"/>
        </w:rPr>
        <w:t>Криміналістика і судова експертиза</w:t>
      </w:r>
      <w:r w:rsidRPr="00511005">
        <w:rPr>
          <w:rFonts w:ascii="Arial" w:eastAsia="Calibri" w:hAnsi="Arial" w:cs="Arial"/>
          <w:szCs w:val="28"/>
          <w:lang w:val="uk-UA"/>
        </w:rPr>
        <w:t xml:space="preserve">. 2022. Вип. 67. С. 201-213. </w:t>
      </w:r>
      <w:r w:rsidRPr="00511005">
        <w:rPr>
          <w:rFonts w:ascii="Arial" w:eastAsia="Calibri" w:hAnsi="Arial" w:cs="Arial"/>
          <w:szCs w:val="28"/>
        </w:rPr>
        <w:t>DOI: https://doi.org/10.33994/kndise.2022.67.22</w:t>
      </w:r>
      <w:r w:rsidRPr="00511005">
        <w:rPr>
          <w:rFonts w:ascii="Arial" w:eastAsia="Calibri" w:hAnsi="Arial" w:cs="Arial"/>
          <w:szCs w:val="28"/>
          <w:lang w:val="uk-UA"/>
        </w:rPr>
        <w:t>.</w:t>
      </w:r>
      <w:r w:rsidRPr="00511005">
        <w:rPr>
          <w:rFonts w:ascii="Arial" w:eastAsia="Calibri" w:hAnsi="Arial" w:cs="Arial"/>
          <w:szCs w:val="28"/>
        </w:rPr>
        <w:t xml:space="preserve"> </w:t>
      </w:r>
    </w:p>
    <w:p w14:paraId="682AAAE7" w14:textId="77777777" w:rsidR="00532C25" w:rsidRPr="00511005" w:rsidRDefault="00532C25" w:rsidP="00532C25">
      <w:pPr>
        <w:spacing w:line="264" w:lineRule="auto"/>
        <w:ind w:left="720" w:firstLine="0"/>
        <w:contextualSpacing/>
        <w:rPr>
          <w:rFonts w:ascii="Arial" w:eastAsia="Calibri" w:hAnsi="Arial" w:cs="Arial"/>
          <w:szCs w:val="28"/>
          <w:lang w:val="uk-UA"/>
        </w:rPr>
      </w:pPr>
      <w:r w:rsidRPr="00511005">
        <w:rPr>
          <w:rFonts w:ascii="Arial" w:eastAsia="Calibri" w:hAnsi="Arial" w:cs="Arial"/>
          <w:szCs w:val="28"/>
          <w:lang w:val="uk-UA"/>
        </w:rPr>
        <w:t xml:space="preserve">URL: </w:t>
      </w:r>
      <w:hyperlink r:id="rId2216" w:history="1">
        <w:r w:rsidRPr="00511005">
          <w:rPr>
            <w:rFonts w:ascii="Arial" w:eastAsia="Calibri" w:hAnsi="Arial" w:cs="Arial"/>
            <w:szCs w:val="28"/>
            <w:lang w:val="pl-PL"/>
          </w:rPr>
          <w:t>https://digest.kndise.gov.ua/wp-content/uploads/2022/08/Baulin67.pdf</w:t>
        </w:r>
      </w:hyperlink>
      <w:r w:rsidRPr="00511005">
        <w:rPr>
          <w:rFonts w:ascii="Arial" w:eastAsia="Calibri" w:hAnsi="Arial" w:cs="Arial"/>
          <w:szCs w:val="28"/>
          <w:lang w:val="pl-PL"/>
        </w:rPr>
        <w:t>.</w:t>
      </w:r>
    </w:p>
    <w:p w14:paraId="47EB5FBF" w14:textId="77777777" w:rsidR="00532C25" w:rsidRPr="00511005" w:rsidRDefault="00532C25" w:rsidP="00532C25">
      <w:pPr>
        <w:spacing w:line="264" w:lineRule="auto"/>
        <w:contextualSpacing/>
        <w:rPr>
          <w:rFonts w:ascii="Arial" w:eastAsia="Arial" w:hAnsi="Arial" w:cs="Arial"/>
          <w:b/>
          <w:szCs w:val="28"/>
          <w:lang w:val="uk-UA" w:eastAsia="ru-RU"/>
        </w:rPr>
      </w:pPr>
    </w:p>
    <w:p w14:paraId="2BC4F795"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b/>
          <w:i/>
          <w:szCs w:val="28"/>
          <w:lang w:val="uk-UA" w:eastAsia="ru-RU"/>
        </w:rPr>
        <w:t xml:space="preserve">Ключові слова: </w:t>
      </w:r>
      <w:r w:rsidRPr="00511005">
        <w:rPr>
          <w:rFonts w:ascii="Arial" w:eastAsia="Arial" w:hAnsi="Arial" w:cs="Arial"/>
          <w:szCs w:val="28"/>
          <w:lang w:val="uk-UA" w:eastAsia="ru-RU"/>
        </w:rPr>
        <w:t>кримінальне провадження, досудове розслідування, слідчі (розшукові дії), огляд трупа, ексгумація.</w:t>
      </w:r>
    </w:p>
    <w:p w14:paraId="3E5AD6C3" w14:textId="77777777" w:rsidR="00532C25" w:rsidRPr="00511005" w:rsidRDefault="00532C25" w:rsidP="00532C25">
      <w:pPr>
        <w:spacing w:line="264" w:lineRule="auto"/>
        <w:contextualSpacing/>
        <w:rPr>
          <w:rFonts w:ascii="Arial" w:eastAsia="Arial" w:hAnsi="Arial" w:cs="Arial"/>
          <w:szCs w:val="28"/>
          <w:lang w:val="uk-UA" w:eastAsia="ru-RU"/>
        </w:rPr>
      </w:pPr>
      <w:r w:rsidRPr="00511005">
        <w:rPr>
          <w:rFonts w:ascii="Arial" w:eastAsia="Arial" w:hAnsi="Arial" w:cs="Arial"/>
          <w:b/>
          <w:i/>
          <w:szCs w:val="28"/>
          <w:lang w:val="uk-UA" w:eastAsia="ru-RU"/>
        </w:rPr>
        <w:lastRenderedPageBreak/>
        <w:t xml:space="preserve">Key words: </w:t>
      </w:r>
      <w:r w:rsidRPr="00511005">
        <w:rPr>
          <w:rFonts w:ascii="Arial" w:eastAsia="Arial" w:hAnsi="Arial" w:cs="Arial"/>
          <w:szCs w:val="28"/>
          <w:lang w:val="uk-UA" w:eastAsia="ru-RU"/>
        </w:rPr>
        <w:t>criminal proceedings, pre-trial investigation, investigative (search) actions, examination of the corpse, exhumation.</w:t>
      </w:r>
    </w:p>
    <w:p w14:paraId="3DEDC331" w14:textId="77777777" w:rsidR="00532C25" w:rsidRPr="00511005" w:rsidRDefault="00532C25" w:rsidP="00532C25">
      <w:pPr>
        <w:spacing w:line="264" w:lineRule="auto"/>
        <w:contextualSpacing/>
        <w:rPr>
          <w:rFonts w:ascii="Arial" w:eastAsia="Arial" w:hAnsi="Arial" w:cs="Arial"/>
          <w:i/>
          <w:szCs w:val="28"/>
          <w:lang w:val="uk-UA" w:eastAsia="ru-RU"/>
        </w:rPr>
      </w:pPr>
      <w:r w:rsidRPr="00511005">
        <w:rPr>
          <w:rFonts w:ascii="Arial" w:eastAsia="Arial" w:hAnsi="Arial" w:cs="Arial"/>
          <w:b/>
          <w:i/>
          <w:szCs w:val="28"/>
          <w:lang w:val="uk-UA" w:eastAsia="ru-RU"/>
        </w:rPr>
        <w:t xml:space="preserve">Науковий керівник: </w:t>
      </w:r>
      <w:r w:rsidRPr="00511005">
        <w:rPr>
          <w:rFonts w:ascii="Arial" w:eastAsia="Arial" w:hAnsi="Arial" w:cs="Arial"/>
          <w:i/>
          <w:szCs w:val="28"/>
          <w:lang w:val="uk-UA" w:eastAsia="ru-RU"/>
        </w:rPr>
        <w:t>к.ю.н., доцент Мурзановська А.В.</w:t>
      </w:r>
    </w:p>
    <w:p w14:paraId="65660C29" w14:textId="77777777" w:rsidR="00532C25" w:rsidRPr="00511005" w:rsidRDefault="00532C25" w:rsidP="00532C25">
      <w:pPr>
        <w:spacing w:line="264" w:lineRule="auto"/>
        <w:ind w:firstLine="0"/>
        <w:rPr>
          <w:rFonts w:ascii="Arial" w:hAnsi="Arial" w:cs="Arial"/>
          <w:b/>
          <w:bCs/>
          <w:i/>
          <w:iCs/>
          <w:szCs w:val="28"/>
          <w:lang w:eastAsia="zh-CN"/>
        </w:rPr>
      </w:pPr>
    </w:p>
    <w:p w14:paraId="16ED672D" w14:textId="77777777" w:rsidR="00532C25" w:rsidRPr="00511005" w:rsidRDefault="00532C25" w:rsidP="00532C25">
      <w:pPr>
        <w:spacing w:line="264" w:lineRule="auto"/>
        <w:ind w:firstLine="0"/>
        <w:rPr>
          <w:rFonts w:ascii="Arial" w:hAnsi="Arial" w:cs="Arial"/>
          <w:b/>
          <w:bCs/>
          <w:i/>
          <w:iCs/>
          <w:szCs w:val="28"/>
          <w:lang w:eastAsia="zh-CN"/>
        </w:rPr>
      </w:pPr>
    </w:p>
    <w:p w14:paraId="2C9BDA81" w14:textId="77777777" w:rsidR="00532C25" w:rsidRPr="00511005" w:rsidRDefault="00532C25" w:rsidP="00532C25">
      <w:pPr>
        <w:spacing w:line="264" w:lineRule="auto"/>
        <w:ind w:firstLine="0"/>
        <w:jc w:val="center"/>
        <w:rPr>
          <w:rFonts w:ascii="Arial" w:hAnsi="Arial" w:cs="Arial"/>
          <w:b/>
          <w:bCs/>
          <w:szCs w:val="28"/>
          <w:lang w:eastAsia="zh-CN"/>
        </w:rPr>
      </w:pPr>
      <w:r w:rsidRPr="00511005">
        <w:rPr>
          <w:rFonts w:ascii="Arial" w:hAnsi="Arial" w:cs="Arial"/>
          <w:b/>
          <w:bCs/>
          <w:i/>
          <w:iCs/>
          <w:szCs w:val="28"/>
          <w:lang w:eastAsia="zh-CN"/>
        </w:rPr>
        <w:t>Лебедевич Анна Дмитрівна</w:t>
      </w:r>
    </w:p>
    <w:p w14:paraId="721A4055"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студентка 1-го курсу магістратури</w:t>
      </w:r>
    </w:p>
    <w:p w14:paraId="7422E2EE"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968AD95"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FD82756" w14:textId="77777777" w:rsidR="00532C25" w:rsidRPr="00511005" w:rsidRDefault="00532C25" w:rsidP="00532C25">
      <w:pPr>
        <w:spacing w:line="264" w:lineRule="auto"/>
        <w:ind w:firstLine="0"/>
        <w:jc w:val="center"/>
        <w:rPr>
          <w:rFonts w:ascii="Arial" w:hAnsi="Arial" w:cs="Arial"/>
          <w:szCs w:val="28"/>
          <w:lang w:eastAsia="zh-CN"/>
        </w:rPr>
      </w:pPr>
    </w:p>
    <w:p w14:paraId="6269F1F8" w14:textId="77777777" w:rsidR="00532C25" w:rsidRPr="00511005" w:rsidRDefault="00532C25" w:rsidP="00532C25">
      <w:pPr>
        <w:spacing w:line="264" w:lineRule="auto"/>
        <w:ind w:firstLineChars="200" w:firstLine="562"/>
        <w:jc w:val="center"/>
        <w:rPr>
          <w:rFonts w:ascii="Arial" w:eastAsia="Arial" w:hAnsi="Arial" w:cs="Arial"/>
          <w:b/>
          <w:szCs w:val="28"/>
          <w:lang w:val="uk-UA" w:eastAsia="ru-RU"/>
        </w:rPr>
      </w:pPr>
      <w:r w:rsidRPr="00511005">
        <w:rPr>
          <w:rFonts w:ascii="Arial" w:eastAsia="Arial" w:hAnsi="Arial" w:cs="Arial"/>
          <w:b/>
          <w:szCs w:val="28"/>
          <w:lang w:val="uk-UA" w:eastAsia="ru-RU"/>
        </w:rPr>
        <w:t xml:space="preserve">ВИКОРИСТАННЯ </w:t>
      </w:r>
      <w:r w:rsidRPr="00511005">
        <w:rPr>
          <w:rFonts w:ascii="Arial" w:eastAsia="Arial" w:hAnsi="Arial" w:cs="Arial"/>
          <w:b/>
          <w:szCs w:val="28"/>
          <w:lang w:val="ru" w:eastAsia="ru-RU"/>
        </w:rPr>
        <w:t>OSINT</w:t>
      </w:r>
      <w:r w:rsidRPr="00511005">
        <w:rPr>
          <w:rFonts w:ascii="Arial" w:eastAsia="Arial" w:hAnsi="Arial" w:cs="Arial"/>
          <w:b/>
          <w:szCs w:val="28"/>
          <w:lang w:val="uk-UA" w:eastAsia="ru-RU"/>
        </w:rPr>
        <w:t xml:space="preserve"> У ДОСУДОВОМУ РОЗСЛІДУВАННІ</w:t>
      </w:r>
    </w:p>
    <w:p w14:paraId="1574AE3C" w14:textId="77777777" w:rsidR="00532C25" w:rsidRPr="00511005" w:rsidRDefault="00532C25" w:rsidP="00532C25">
      <w:pPr>
        <w:spacing w:line="264" w:lineRule="auto"/>
        <w:ind w:firstLineChars="200" w:firstLine="560"/>
        <w:rPr>
          <w:rFonts w:ascii="Arial" w:eastAsia="Arial" w:hAnsi="Arial" w:cs="Arial"/>
          <w:szCs w:val="28"/>
          <w:lang w:eastAsia="ru-RU"/>
        </w:rPr>
      </w:pPr>
      <w:r w:rsidRPr="00511005">
        <w:rPr>
          <w:rFonts w:ascii="Arial" w:eastAsia="Arial" w:hAnsi="Arial" w:cs="Arial"/>
          <w:szCs w:val="28"/>
          <w:lang w:eastAsia="ru-RU"/>
        </w:rPr>
        <w:t>У сучасн</w:t>
      </w:r>
      <w:r w:rsidRPr="00511005">
        <w:rPr>
          <w:rFonts w:ascii="Arial" w:eastAsia="Arial" w:hAnsi="Arial" w:cs="Arial"/>
          <w:szCs w:val="28"/>
          <w:lang w:val="uk-UA" w:eastAsia="ru-RU"/>
        </w:rPr>
        <w:t>ому світі</w:t>
      </w:r>
      <w:r w:rsidRPr="00511005">
        <w:rPr>
          <w:rFonts w:ascii="Arial" w:eastAsia="Arial" w:hAnsi="Arial" w:cs="Arial"/>
          <w:szCs w:val="28"/>
          <w:lang w:eastAsia="ru-RU"/>
        </w:rPr>
        <w:t xml:space="preserve"> надзвичайно актуальним є питання ефективного збору, обробки та аналізу інформації з відкритих джерел. Традиційні методи розвідки та оперативно-розшукової діяльності доповнюються новітніми цифровими інструментами, які дозволяють діяти швидко, гнучко та з мінімальними затратами ресурсів. Одним із таких інструментів є </w:t>
      </w:r>
      <w:r w:rsidRPr="00511005">
        <w:rPr>
          <w:rFonts w:ascii="Arial" w:eastAsia="Arial" w:hAnsi="Arial" w:cs="Arial"/>
          <w:szCs w:val="28"/>
          <w:lang w:val="ru" w:eastAsia="ru-RU"/>
        </w:rPr>
        <w:t>OSINT</w:t>
      </w:r>
      <w:r w:rsidRPr="00511005">
        <w:rPr>
          <w:rFonts w:ascii="Arial" w:eastAsia="Arial" w:hAnsi="Arial" w:cs="Arial"/>
          <w:szCs w:val="28"/>
          <w:lang w:eastAsia="ru-RU"/>
        </w:rPr>
        <w:t xml:space="preserve"> (</w:t>
      </w:r>
      <w:r w:rsidRPr="00511005">
        <w:rPr>
          <w:rFonts w:ascii="Arial" w:eastAsia="Arial" w:hAnsi="Arial" w:cs="Arial"/>
          <w:szCs w:val="28"/>
          <w:lang w:val="ru" w:eastAsia="ru-RU"/>
        </w:rPr>
        <w:t>Open</w:t>
      </w:r>
      <w:r w:rsidRPr="00511005">
        <w:rPr>
          <w:rFonts w:ascii="Arial" w:eastAsia="Arial" w:hAnsi="Arial" w:cs="Arial"/>
          <w:szCs w:val="28"/>
          <w:lang w:eastAsia="ru-RU"/>
        </w:rPr>
        <w:t xml:space="preserve"> </w:t>
      </w:r>
      <w:r w:rsidRPr="00511005">
        <w:rPr>
          <w:rFonts w:ascii="Arial" w:eastAsia="Arial" w:hAnsi="Arial" w:cs="Arial"/>
          <w:szCs w:val="28"/>
          <w:lang w:val="ru" w:eastAsia="ru-RU"/>
        </w:rPr>
        <w:t>Source</w:t>
      </w:r>
      <w:r w:rsidRPr="00511005">
        <w:rPr>
          <w:rFonts w:ascii="Arial" w:eastAsia="Arial" w:hAnsi="Arial" w:cs="Arial"/>
          <w:szCs w:val="28"/>
          <w:lang w:eastAsia="ru-RU"/>
        </w:rPr>
        <w:t xml:space="preserve"> </w:t>
      </w:r>
      <w:r w:rsidRPr="00511005">
        <w:rPr>
          <w:rFonts w:ascii="Arial" w:eastAsia="Arial" w:hAnsi="Arial" w:cs="Arial"/>
          <w:szCs w:val="28"/>
          <w:lang w:val="ru" w:eastAsia="ru-RU"/>
        </w:rPr>
        <w:t>Intelligence</w:t>
      </w:r>
      <w:r w:rsidRPr="00511005">
        <w:rPr>
          <w:rFonts w:ascii="Arial" w:eastAsia="Arial" w:hAnsi="Arial" w:cs="Arial"/>
          <w:szCs w:val="28"/>
          <w:lang w:eastAsia="ru-RU"/>
        </w:rPr>
        <w:t>) – розвідка на основі відкритих джерел.</w:t>
      </w:r>
    </w:p>
    <w:p w14:paraId="384CDFEE"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ru" w:eastAsia="ru-RU"/>
        </w:rPr>
        <w:t>OSINT</w:t>
      </w:r>
      <w:r w:rsidRPr="00511005">
        <w:rPr>
          <w:rFonts w:ascii="Arial" w:eastAsia="Arial" w:hAnsi="Arial" w:cs="Arial"/>
          <w:szCs w:val="28"/>
          <w:lang w:eastAsia="ru-RU"/>
        </w:rPr>
        <w:t xml:space="preserve"> (</w:t>
      </w:r>
      <w:r w:rsidRPr="00511005">
        <w:rPr>
          <w:rFonts w:ascii="Arial" w:eastAsia="Arial" w:hAnsi="Arial" w:cs="Arial"/>
          <w:szCs w:val="28"/>
          <w:lang w:val="ru" w:eastAsia="ru-RU"/>
        </w:rPr>
        <w:t>open</w:t>
      </w:r>
      <w:r w:rsidRPr="00511005">
        <w:rPr>
          <w:rFonts w:ascii="Arial" w:eastAsia="Arial" w:hAnsi="Arial" w:cs="Arial"/>
          <w:szCs w:val="28"/>
          <w:lang w:eastAsia="ru-RU"/>
        </w:rPr>
        <w:t xml:space="preserve"> </w:t>
      </w:r>
      <w:r w:rsidRPr="00511005">
        <w:rPr>
          <w:rFonts w:ascii="Arial" w:eastAsia="Arial" w:hAnsi="Arial" w:cs="Arial"/>
          <w:szCs w:val="28"/>
          <w:lang w:val="ru" w:eastAsia="ru-RU"/>
        </w:rPr>
        <w:t>source</w:t>
      </w:r>
      <w:r w:rsidRPr="00511005">
        <w:rPr>
          <w:rFonts w:ascii="Arial" w:eastAsia="Arial" w:hAnsi="Arial" w:cs="Arial"/>
          <w:szCs w:val="28"/>
          <w:lang w:eastAsia="ru-RU"/>
        </w:rPr>
        <w:t xml:space="preserve"> </w:t>
      </w:r>
      <w:r w:rsidRPr="00511005">
        <w:rPr>
          <w:rFonts w:ascii="Arial" w:eastAsia="Arial" w:hAnsi="Arial" w:cs="Arial"/>
          <w:szCs w:val="28"/>
          <w:lang w:val="ru" w:eastAsia="ru-RU"/>
        </w:rPr>
        <w:t>intelligence</w:t>
      </w:r>
      <w:r w:rsidRPr="00511005">
        <w:rPr>
          <w:rFonts w:ascii="Arial" w:eastAsia="Arial" w:hAnsi="Arial" w:cs="Arial"/>
          <w:szCs w:val="28"/>
          <w:lang w:val="uk-UA" w:eastAsia="ru-RU"/>
        </w:rPr>
        <w:t xml:space="preserve"> – </w:t>
      </w:r>
      <w:r w:rsidRPr="00511005">
        <w:rPr>
          <w:rFonts w:ascii="Arial" w:eastAsia="Arial" w:hAnsi="Arial" w:cs="Arial"/>
          <w:szCs w:val="28"/>
          <w:lang w:eastAsia="ru-RU"/>
        </w:rPr>
        <w:t>розвідка відкритих баз даних)</w:t>
      </w:r>
      <w:r w:rsidRPr="00511005">
        <w:rPr>
          <w:rFonts w:ascii="Arial" w:eastAsia="Arial" w:hAnsi="Arial" w:cs="Arial"/>
          <w:szCs w:val="28"/>
          <w:lang w:val="uk-UA" w:eastAsia="ru-RU"/>
        </w:rPr>
        <w:t xml:space="preserve"> </w:t>
      </w:r>
      <w:r w:rsidRPr="00511005">
        <w:rPr>
          <w:rFonts w:ascii="Arial" w:eastAsia="Arial" w:hAnsi="Arial" w:cs="Arial"/>
          <w:szCs w:val="28"/>
          <w:lang w:eastAsia="ru-RU"/>
        </w:rPr>
        <w:t>в цілому можна визначити як розвідку інформації, отриманої із загальнодоступних джерел, яка не потребує таємних методів збор</w:t>
      </w:r>
      <w:r w:rsidRPr="00511005">
        <w:rPr>
          <w:rFonts w:ascii="Arial" w:eastAsia="Arial" w:hAnsi="Arial" w:cs="Arial"/>
          <w:szCs w:val="28"/>
          <w:lang w:val="uk-UA" w:eastAsia="ru-RU"/>
        </w:rPr>
        <w:t xml:space="preserve">у </w:t>
      </w:r>
      <w:r w:rsidRPr="00511005">
        <w:rPr>
          <w:rFonts w:ascii="Arial" w:eastAsia="Arial" w:hAnsi="Arial" w:cs="Arial"/>
          <w:szCs w:val="28"/>
          <w:lang w:eastAsia="ru-RU"/>
        </w:rPr>
        <w:t>[1, с. 3].</w:t>
      </w:r>
      <w:r w:rsidRPr="00511005">
        <w:rPr>
          <w:rFonts w:ascii="Arial" w:eastAsia="Arial" w:hAnsi="Arial" w:cs="Arial"/>
          <w:szCs w:val="28"/>
          <w:lang w:val="uk-UA" w:eastAsia="ru-RU"/>
        </w:rPr>
        <w:t xml:space="preserve"> Збір та аналіз інформації із відкритих джерел як сфера діяльності повинна здійснюватися в межах нормативно-правового поля держави. Основою для цього є забезпечення конституційних прав у сфері пошуку, збору, передачу і використання інформації в усіх демократичних державах.</w:t>
      </w:r>
    </w:p>
    <w:p w14:paraId="783786C6"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uk-UA" w:eastAsia="ru-RU"/>
        </w:rPr>
        <w:t>Однак, узаконеного поняття «OSINT» в Україні сьогодні не існує, хоча діяльність зі збирання, зберігання, обробки та розповсюдження інформації регулюється низкою законодавчих і нормативних актів: Закон України «Про інформацію» від 02.10.92 р. № 2657-XII; Закон України «Про медіа» від 16.11.92 р. № 2782-XII; Закон України «Про охоронну діяльність» від 22.03.12 р. № 4616-VI; Закон України «Про захист персональних даних» № 2297-VI від 01.06.10 р.; Цивільний кодекс України, Кримінальний кодекс України, Кодекс України про адміністративні правопорушення, тощо.</w:t>
      </w:r>
    </w:p>
    <w:p w14:paraId="053A478E"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uk-UA" w:eastAsia="ru-RU"/>
        </w:rPr>
        <w:t>До основних напрямів здійснення відкритої розвідки (OSINT) належать такі дії: 1) пошук інформації, яка може свідчити про підготовку або вчинення протиправних дій; 2) збирання даних про конкретні об’єкти – фізичних та юридичних осіб, предмети чи події, що можуть мати зв’язок з протиправною або підозрілою діяльністю; 3) проведення активних заходів у комп’ютерній мережі, спрямованих на виявлення, аналіз і систематизацію відкритих даних з метою отримання оперативно значущої інформації (оперативне опитування, оперативний експеримент, оперативна закупка тощо) [2, с. 97].</w:t>
      </w:r>
    </w:p>
    <w:p w14:paraId="27D7BC2C"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uk-UA" w:eastAsia="ru-RU"/>
        </w:rPr>
        <w:t xml:space="preserve">У процесі використання OSINT як засобу збору інформації важливу роль відіграє використання відкритих джерел інформації: довідкових баз, </w:t>
      </w:r>
      <w:r w:rsidRPr="00511005">
        <w:rPr>
          <w:rFonts w:ascii="Arial" w:eastAsia="Arial" w:hAnsi="Arial" w:cs="Arial"/>
          <w:szCs w:val="28"/>
          <w:lang w:val="uk-UA" w:eastAsia="ru-RU"/>
        </w:rPr>
        <w:lastRenderedPageBreak/>
        <w:t xml:space="preserve">спеціалізованих телеграм-ботів (@info_baza_bot, Опендатабот), пошукових сервісів для ідентифікації осіб (peekyou.com, pipl.com), а також аналіз профілів у соціальних мережах через спеціальні платформи (social-searcher.com, ussearch.com). Збір даних охоплює як «видиму» частину Інтернету, так і «невидимий» сегмент, для доступу до якого застосовується спеціалізоване програмне забезпечення. Окрім цифрових ресурсів, у межах OSINT також використовуються дані, поширені у ЗМІ, повідомлення громадських організацій, органів державної влади та матеріали приватних агенцій. Такий комплексний підхід дозволяє оперативно отримувати важливу інформацію, що сприяє розкриттю правопорушень і зміцнює доказову базу [див.: 3, с. 33-34]. </w:t>
      </w:r>
    </w:p>
    <w:p w14:paraId="1A5AB68F"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uk-UA" w:eastAsia="ru-RU"/>
        </w:rPr>
        <w:t>OSINT розслідування часто виступає як початковий етап збору орієнтовної інформації або як проміжна ланка у ланцюгу інших слідчих та розшукових дій, які виходять за межі виключно цифрового середовища. Такі дослідження можуть слугувати базою для подальших процесуальних або оперативних дій, які вже здійснюються у фізичному середовищі, із залученням слідчих, експертів або технічних засобів.</w:t>
      </w:r>
    </w:p>
    <w:p w14:paraId="251A45DF"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uk-UA" w:eastAsia="ru-RU"/>
        </w:rPr>
        <w:t>Судова практика, як зазначає О. О. Торбас, свідчить про умовну класифікацію інформації, здобутої з відкритих джерел на три основні категорії: 1) дані, що використовуються у поєднанні з іншими джерелами інформації, часто як додатковий або орієнтуючий матеріал. У такому контексті OSINT активно поєднується з методами оперативно-розшукової діяльності; 2) охоплює відомості, які характеризують особу в рамках кримінального провадження. Як приклад, при винесенні вироку обвинуваченій суд урахував не тільки загальні дані, що підтверджують її громадянство, соціальний та майновий стан, відсутність судимостей і місце роботи, а також дані визначені за допомогою OSINT: особа була курсанткою Луганського державного університету внутрішніх справ та працювала на посаді поліцейського сектору реагування патрульної поліції. Вся ця інформація була використана судом для визначення міри покарання, оскільки її можна було легко перевірити; 3) відомості, що безпосередньо стосуються предмета доказування у справі. Такі дані мають найвищу доказову вагу і, відповідно, потребують особливої уваги при оцінці. Наприклад, у справі про закриття провадження у зв’язку зі смертю обвинуваченого суд прийняв інформацію з відкритого джерела (телеграм-каналу), яка повідомляла про смерть особи. З огляду на відсутність альтернативних засобів підтвердження цієї обставини через окупацію території, суд визнав ці відомості достатніми для ухвалення рішення про закриття кримінального провадження [доклад. див.: 4, с. 247-248].</w:t>
      </w:r>
    </w:p>
    <w:p w14:paraId="7BF73F25"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uk-UA" w:eastAsia="ru-RU"/>
        </w:rPr>
        <w:t xml:space="preserve">Водночас у науковій та практичній площині тривалий час обговорюється питання належної фіксації відомостей, отриманих із відкритих джерел в Інтернеті. Оскільки порядок виявлення та фіксації таких відомостей не </w:t>
      </w:r>
      <w:r w:rsidRPr="00511005">
        <w:rPr>
          <w:rFonts w:ascii="Arial" w:eastAsia="Arial" w:hAnsi="Arial" w:cs="Arial"/>
          <w:szCs w:val="28"/>
          <w:lang w:val="uk-UA" w:eastAsia="ru-RU"/>
        </w:rPr>
        <w:lastRenderedPageBreak/>
        <w:t xml:space="preserve">пов’язаний з подоланням захисту інформації від втручання інших осіб, «даний різновид інформації має виявлятися та фіксуватися шляхом проведення такої слідчої (розшукової) дії, як огляд, а не за допомогою НСРД, як це застосовувалось протягом певного часу» </w:t>
      </w:r>
      <w:r w:rsidRPr="00511005">
        <w:rPr>
          <w:rFonts w:ascii="Arial" w:eastAsia="Arial" w:hAnsi="Arial" w:cs="Arial"/>
          <w:szCs w:val="28"/>
          <w:lang w:eastAsia="ru-RU"/>
        </w:rPr>
        <w:t>[</w:t>
      </w:r>
      <w:r w:rsidRPr="00511005">
        <w:rPr>
          <w:rFonts w:ascii="Arial" w:eastAsia="Arial" w:hAnsi="Arial" w:cs="Arial"/>
          <w:szCs w:val="28"/>
          <w:lang w:val="uk-UA" w:eastAsia="ru-RU"/>
        </w:rPr>
        <w:t>5</w:t>
      </w:r>
      <w:r w:rsidRPr="00511005">
        <w:rPr>
          <w:rFonts w:ascii="Arial" w:eastAsia="Arial" w:hAnsi="Arial" w:cs="Arial"/>
          <w:szCs w:val="28"/>
          <w:lang w:eastAsia="ru-RU"/>
        </w:rPr>
        <w:t>]</w:t>
      </w:r>
      <w:r w:rsidRPr="00511005">
        <w:rPr>
          <w:rFonts w:ascii="Arial" w:eastAsia="Arial" w:hAnsi="Arial" w:cs="Arial"/>
          <w:szCs w:val="28"/>
          <w:lang w:val="uk-UA" w:eastAsia="ru-RU"/>
        </w:rPr>
        <w:t xml:space="preserve">. Як свідчать матеріали судової практики, на даний момент для фіксації інформації, яка міститься у відкритому доступі, і проводиться саме огляд </w:t>
      </w:r>
      <w:r w:rsidRPr="00511005">
        <w:rPr>
          <w:rFonts w:ascii="Arial" w:eastAsia="Arial" w:hAnsi="Arial" w:cs="Arial"/>
          <w:szCs w:val="28"/>
          <w:lang w:eastAsia="ru-RU"/>
        </w:rPr>
        <w:t>[</w:t>
      </w:r>
      <w:r w:rsidRPr="00511005">
        <w:rPr>
          <w:rFonts w:ascii="Arial" w:eastAsia="Arial" w:hAnsi="Arial" w:cs="Arial"/>
          <w:szCs w:val="28"/>
          <w:lang w:val="uk-UA" w:eastAsia="ru-RU"/>
        </w:rPr>
        <w:t>6, с. 123</w:t>
      </w:r>
      <w:r w:rsidRPr="00511005">
        <w:rPr>
          <w:rFonts w:ascii="Arial" w:eastAsia="Arial" w:hAnsi="Arial" w:cs="Arial"/>
          <w:szCs w:val="28"/>
          <w:lang w:eastAsia="ru-RU"/>
        </w:rPr>
        <w:t>]</w:t>
      </w:r>
      <w:r w:rsidRPr="00511005">
        <w:rPr>
          <w:rFonts w:ascii="Arial" w:eastAsia="Arial" w:hAnsi="Arial" w:cs="Arial"/>
          <w:szCs w:val="28"/>
          <w:lang w:val="uk-UA" w:eastAsia="ru-RU"/>
        </w:rPr>
        <w:t>.</w:t>
      </w:r>
    </w:p>
    <w:p w14:paraId="573E650D"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uk-UA" w:eastAsia="ru-RU"/>
        </w:rPr>
        <w:t xml:space="preserve">Важливою умовою належної фіксації інформації з відкритих електронних джерел є уточнення процедури проведення огляду комп’ютерних даних. У цьому контексті суттєвого значення набуває доповнення частини 2 статті 237 Кримінального процесуального кодексу України новим абзацом, у якому зазначено, що: «Огляд комп’ютерних даних проводиться слідчим або прокурором шляхом відображення у протоколі огляду інформації, яку вони містять, у формі, придатній для сприйняття їхнього змісту (за допомогою електронних засобів, фотозйомки, відеозапису, зйомки та/або відеозапису екрана тощо або у паперовій формі)». Цим формулюванням законодавець розширює можливості працівників правоохоронних органів у частині фіксації електронних доказів, не виходячи за межі визначеної слідчої дії – огляду. Основною вимогою залишається належне документування результатів огляду у протоколі, однак до нього можуть додаватися будь-які носії або форми відображення інформації, які забезпечують її зручне і достовірне сприйняття. Таким чином, уповноважена посадова особа має право самостійно обирати форму фіксації виявленої інформації, за умови дотримання вимог кримінального процесуального законодавства. Це дозволяє підвищити гнучкість і ефективність процесу документування електронних даних, включно з результатами OSINT-досліджень </w:t>
      </w:r>
      <w:r w:rsidRPr="00511005">
        <w:rPr>
          <w:rFonts w:ascii="Arial" w:eastAsia="Arial" w:hAnsi="Arial" w:cs="Arial"/>
          <w:szCs w:val="28"/>
          <w:lang w:eastAsia="ru-RU"/>
        </w:rPr>
        <w:t>[</w:t>
      </w:r>
      <w:r w:rsidRPr="00511005">
        <w:rPr>
          <w:rFonts w:ascii="Arial" w:eastAsia="Arial" w:hAnsi="Arial" w:cs="Arial"/>
          <w:szCs w:val="28"/>
          <w:lang w:val="uk-UA" w:eastAsia="ru-RU"/>
        </w:rPr>
        <w:t>6, с.</w:t>
      </w:r>
      <w:r w:rsidRPr="00511005">
        <w:rPr>
          <w:rFonts w:ascii="Arial" w:eastAsia="Arial" w:hAnsi="Arial" w:cs="Arial"/>
          <w:szCs w:val="28"/>
          <w:lang w:eastAsia="ru-RU"/>
        </w:rPr>
        <w:t xml:space="preserve"> </w:t>
      </w:r>
      <w:r w:rsidRPr="00511005">
        <w:rPr>
          <w:rFonts w:ascii="Arial" w:eastAsia="Arial" w:hAnsi="Arial" w:cs="Arial"/>
          <w:szCs w:val="28"/>
          <w:lang w:val="uk-UA" w:eastAsia="ru-RU"/>
        </w:rPr>
        <w:t>124</w:t>
      </w:r>
      <w:r w:rsidRPr="00511005">
        <w:rPr>
          <w:rFonts w:ascii="Arial" w:eastAsia="Arial" w:hAnsi="Arial" w:cs="Arial"/>
          <w:szCs w:val="28"/>
          <w:lang w:eastAsia="ru-RU"/>
        </w:rPr>
        <w:t>]</w:t>
      </w:r>
      <w:r w:rsidRPr="00511005">
        <w:rPr>
          <w:rFonts w:ascii="Arial" w:eastAsia="Arial" w:hAnsi="Arial" w:cs="Arial"/>
          <w:szCs w:val="28"/>
          <w:lang w:val="uk-UA" w:eastAsia="ru-RU"/>
        </w:rPr>
        <w:t>.</w:t>
      </w:r>
    </w:p>
    <w:p w14:paraId="0FB7923F"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uk-UA" w:eastAsia="ru-RU"/>
        </w:rPr>
        <w:t xml:space="preserve">У період збройного конфлікту надзвичайного значення набуває документування та ідентифікація осіб, причетних до вчинення воєнних злочинів. Одним із ключових інструментів у цьому процесі є розвідка з відкритих джерел, яка і забезпечує збір, аналіз та верифікацію інформації відкритої доступної інформації з соціальних мереж, новин, супутникових знімків та інших відкритих джерел, що дає можливість виявляти обставини, місце та час скоєння правопорушення та може мати доказове значення [7]. </w:t>
      </w:r>
    </w:p>
    <w:p w14:paraId="10722B4B"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uk-UA" w:eastAsia="ru-RU"/>
        </w:rPr>
        <w:t>Робота із відкритими даними або OSINT – один із дієвих інструментів в розслідуванні воєнних злочинів. Наприклад, за допомогою супутникових зображень можна отримувати об’єктивні докази воєнних злочинів у реальному часі, та в перспективі пред</w:t>
      </w:r>
      <w:r w:rsidRPr="00511005">
        <w:rPr>
          <w:rFonts w:ascii="Arial" w:eastAsia="Arial" w:hAnsi="Arial" w:cs="Arial"/>
          <w:szCs w:val="28"/>
          <w:lang w:eastAsia="ru-RU"/>
        </w:rPr>
        <w:t>’</w:t>
      </w:r>
      <w:r w:rsidRPr="00511005">
        <w:rPr>
          <w:rFonts w:ascii="Arial" w:eastAsia="Arial" w:hAnsi="Arial" w:cs="Arial"/>
          <w:szCs w:val="28"/>
          <w:lang w:val="uk-UA" w:eastAsia="ru-RU"/>
        </w:rPr>
        <w:t>явити їх у міжнародному суді. Зокрема, інформацію про розміщення військової техніки та об’єктів, що можуть бути пов’язані з ними.</w:t>
      </w:r>
    </w:p>
    <w:p w14:paraId="06F39CC3"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uk-UA" w:eastAsia="ru-RU"/>
        </w:rPr>
        <w:t xml:space="preserve">Один з прикладів використання супутникових зображень для викриття воєнних злочинів росіян – це розслідування OSINT-спільноти Molfar щодо підриву Каховської ГЕС, у якому фігурували супутникові зображення, відео </w:t>
      </w:r>
      <w:r w:rsidRPr="00511005">
        <w:rPr>
          <w:rFonts w:ascii="Arial" w:eastAsia="Arial" w:hAnsi="Arial" w:cs="Arial"/>
          <w:szCs w:val="28"/>
          <w:lang w:val="uk-UA" w:eastAsia="ru-RU"/>
        </w:rPr>
        <w:lastRenderedPageBreak/>
        <w:t xml:space="preserve">та фотографії, які знімали самі окупанти безпосередньо поруч із ГЕС. Усе це дозволило відтворити картину подій: супутникові знімки допомогли визначити зміни до та після вибуху, що спростувало версію російської пропаганди про нібито удар по дамбі ЗСУ. OSINT-діяльність забезпечує доступ до широкого спектра електронних даних, включно з електронним листуванням, документами, мультимедійними матеріалами та іншими цифровими слідами. Ці відомості можуть набувати вагомого значення як докази у кримінальних провадженнях або під час міжнародних судових процесів </w:t>
      </w:r>
      <w:r w:rsidRPr="00511005">
        <w:rPr>
          <w:rFonts w:ascii="Arial" w:eastAsia="Arial" w:hAnsi="Arial" w:cs="Arial"/>
          <w:szCs w:val="28"/>
          <w:lang w:eastAsia="ru-RU"/>
        </w:rPr>
        <w:t>[</w:t>
      </w:r>
      <w:r w:rsidRPr="00511005">
        <w:rPr>
          <w:rFonts w:ascii="Arial" w:eastAsia="Arial" w:hAnsi="Arial" w:cs="Arial"/>
          <w:szCs w:val="28"/>
          <w:lang w:val="uk-UA" w:eastAsia="ru-RU"/>
        </w:rPr>
        <w:t>7</w:t>
      </w:r>
      <w:r w:rsidRPr="00511005">
        <w:rPr>
          <w:rFonts w:ascii="Arial" w:eastAsia="Arial" w:hAnsi="Arial" w:cs="Arial"/>
          <w:szCs w:val="28"/>
          <w:lang w:eastAsia="ru-RU"/>
        </w:rPr>
        <w:t>]</w:t>
      </w:r>
      <w:r w:rsidRPr="00511005">
        <w:rPr>
          <w:rFonts w:ascii="Arial" w:eastAsia="Arial" w:hAnsi="Arial" w:cs="Arial"/>
          <w:szCs w:val="28"/>
          <w:lang w:val="uk-UA" w:eastAsia="ru-RU"/>
        </w:rPr>
        <w:t xml:space="preserve">. </w:t>
      </w:r>
    </w:p>
    <w:p w14:paraId="4AD1A760" w14:textId="77777777" w:rsidR="00532C25" w:rsidRPr="00511005" w:rsidRDefault="00532C25" w:rsidP="00532C25">
      <w:pPr>
        <w:spacing w:line="264" w:lineRule="auto"/>
        <w:ind w:firstLineChars="200" w:firstLine="560"/>
        <w:rPr>
          <w:rFonts w:ascii="Arial" w:eastAsia="Arial" w:hAnsi="Arial" w:cs="Arial"/>
          <w:szCs w:val="28"/>
          <w:lang w:val="uk-UA" w:eastAsia="ru-RU"/>
        </w:rPr>
      </w:pPr>
      <w:r w:rsidRPr="00511005">
        <w:rPr>
          <w:rFonts w:ascii="Arial" w:eastAsia="Arial" w:hAnsi="Arial" w:cs="Arial"/>
          <w:szCs w:val="28"/>
          <w:lang w:val="uk-UA" w:eastAsia="ru-RU"/>
        </w:rPr>
        <w:t>Отже, OSINT є важливим напрямом розвитку оперативно-розшукової діяльності при проведенні досудового розслідування, який забезпечує швидкий доступ до значних обсягів інформації з відкритих джерел, таких як соціальні мережі, онлайн-ресурси та бази даних. Використання OSINT сприяє підвищенню ефективності досудового розслідування, забезпечуючи адаптацію до сучасних викликів і технологічного прогресу, а також дозволяючи правоохоронним органам оперативно реагувати на злочинні загрози.</w:t>
      </w:r>
    </w:p>
    <w:p w14:paraId="680EF31A" w14:textId="77777777" w:rsidR="00532C25" w:rsidRPr="00511005" w:rsidRDefault="00532C25" w:rsidP="00532C25">
      <w:pPr>
        <w:spacing w:line="264" w:lineRule="auto"/>
        <w:ind w:firstLineChars="200" w:firstLine="560"/>
        <w:rPr>
          <w:rFonts w:ascii="Arial" w:eastAsia="Arial" w:hAnsi="Arial" w:cs="Arial"/>
          <w:szCs w:val="28"/>
          <w:lang w:val="uk-UA" w:eastAsia="ru-RU"/>
        </w:rPr>
      </w:pPr>
    </w:p>
    <w:p w14:paraId="2091157F" w14:textId="77777777" w:rsidR="00532C25" w:rsidRPr="00511005" w:rsidRDefault="00532C25" w:rsidP="00532C25">
      <w:pPr>
        <w:spacing w:line="264" w:lineRule="auto"/>
        <w:ind w:firstLineChars="200" w:firstLine="562"/>
        <w:jc w:val="center"/>
        <w:rPr>
          <w:rFonts w:ascii="Arial" w:eastAsia="Arial"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78F275EF" w14:textId="77777777" w:rsidR="00532C25" w:rsidRPr="00511005" w:rsidRDefault="00532C25" w:rsidP="003F6A5D">
      <w:pPr>
        <w:numPr>
          <w:ilvl w:val="0"/>
          <w:numId w:val="59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Sampson, Fraser. Intelligent evidence : Using open source intelligence (OSINT) in criminal proceedings. </w:t>
      </w:r>
      <w:r w:rsidRPr="00511005">
        <w:rPr>
          <w:rFonts w:ascii="Arial" w:eastAsia="Calibri" w:hAnsi="Arial" w:cs="Arial"/>
          <w:i/>
          <w:iCs/>
          <w:szCs w:val="28"/>
          <w:lang w:val="uk-UA"/>
        </w:rPr>
        <w:t>The Police Journal.</w:t>
      </w:r>
      <w:r w:rsidRPr="00511005">
        <w:rPr>
          <w:rFonts w:ascii="Arial" w:eastAsia="Calibri" w:hAnsi="Arial" w:cs="Arial"/>
          <w:szCs w:val="28"/>
          <w:lang w:val="uk-UA"/>
        </w:rPr>
        <w:t xml:space="preserve"> 2016. 90</w:t>
      </w:r>
      <w:r w:rsidRPr="00511005">
        <w:rPr>
          <w:rFonts w:ascii="Arial" w:eastAsia="Calibri" w:hAnsi="Arial" w:cs="Arial"/>
          <w:szCs w:val="28"/>
          <w:lang w:val="en-GB"/>
        </w:rPr>
        <w:t xml:space="preserve"> p.</w:t>
      </w:r>
      <w:r w:rsidRPr="00511005">
        <w:rPr>
          <w:rFonts w:ascii="Arial" w:eastAsia="Calibri" w:hAnsi="Arial" w:cs="Arial"/>
          <w:szCs w:val="28"/>
          <w:lang w:val="uk-UA"/>
        </w:rPr>
        <w:t xml:space="preserve"> DOI:</w:t>
      </w:r>
      <w:hyperlink r:id="rId2217" w:tgtFrame="/Users/annalebedevich/Library/Containers/com.kingsoft.wpsoffice.mac.global/Data/Library/Application Support/Kingsoft/WPS Cloud Files/userdata/default/filecache/523235961/x/_blank" w:history="1">
        <w:r w:rsidRPr="00511005">
          <w:rPr>
            <w:rFonts w:ascii="Arial" w:eastAsia="Calibri" w:hAnsi="Arial" w:cs="Arial"/>
            <w:szCs w:val="28"/>
            <w:lang w:val="uk-UA"/>
          </w:rPr>
          <w:t>10.1177/0032258X16671031</w:t>
        </w:r>
      </w:hyperlink>
      <w:r w:rsidRPr="00511005">
        <w:rPr>
          <w:rFonts w:ascii="Arial" w:eastAsia="Calibri" w:hAnsi="Arial" w:cs="Arial"/>
          <w:szCs w:val="28"/>
          <w:lang w:val="uk-UA"/>
        </w:rPr>
        <w:t xml:space="preserve">. </w:t>
      </w:r>
    </w:p>
    <w:p w14:paraId="08A35900" w14:textId="77777777" w:rsidR="00532C25" w:rsidRPr="00511005" w:rsidRDefault="00532C25" w:rsidP="003F6A5D">
      <w:pPr>
        <w:numPr>
          <w:ilvl w:val="0"/>
          <w:numId w:val="592"/>
        </w:numPr>
        <w:spacing w:line="264" w:lineRule="auto"/>
        <w:jc w:val="left"/>
        <w:rPr>
          <w:rFonts w:ascii="Arial" w:eastAsia="Arial" w:hAnsi="Arial" w:cs="Arial"/>
          <w:szCs w:val="28"/>
          <w:lang w:val="uk-UA" w:eastAsia="ru-RU"/>
        </w:rPr>
      </w:pPr>
      <w:r w:rsidRPr="00511005">
        <w:rPr>
          <w:rFonts w:ascii="Arial" w:eastAsia="Arial" w:hAnsi="Arial" w:cs="Arial"/>
          <w:szCs w:val="28"/>
          <w:lang w:val="uk-UA" w:eastAsia="ru-RU"/>
        </w:rPr>
        <w:t xml:space="preserve">Мовчан А. В. Інформаційно-аналітична робота в оперативно-розшуковій діяльності Національної поліції: навч. посіб.. Львів: ЛьвДУВС, 2017. 244 с. </w:t>
      </w:r>
    </w:p>
    <w:p w14:paraId="7D99FC2F" w14:textId="77777777" w:rsidR="00532C25" w:rsidRPr="00511005" w:rsidRDefault="00532C25" w:rsidP="003F6A5D">
      <w:pPr>
        <w:numPr>
          <w:ilvl w:val="0"/>
          <w:numId w:val="592"/>
        </w:numPr>
        <w:spacing w:line="264" w:lineRule="auto"/>
        <w:jc w:val="left"/>
        <w:rPr>
          <w:rFonts w:ascii="Arial" w:eastAsia="Arial" w:hAnsi="Arial" w:cs="Arial"/>
          <w:szCs w:val="28"/>
          <w:lang w:val="uk-UA" w:eastAsia="ru-RU"/>
        </w:rPr>
      </w:pPr>
      <w:r w:rsidRPr="00511005">
        <w:rPr>
          <w:rFonts w:ascii="Arial" w:eastAsia="Arial" w:hAnsi="Arial" w:cs="Arial"/>
          <w:szCs w:val="28"/>
          <w:lang w:val="uk-UA" w:eastAsia="ru-RU"/>
        </w:rPr>
        <w:t>Ковальова О.</w:t>
      </w:r>
      <w:r w:rsidRPr="00511005">
        <w:rPr>
          <w:rFonts w:ascii="Arial" w:eastAsia="Arial" w:hAnsi="Arial" w:cs="Arial"/>
          <w:szCs w:val="28"/>
          <w:lang w:val="en-GB" w:eastAsia="ru-RU"/>
        </w:rPr>
        <w:t> </w:t>
      </w:r>
      <w:r w:rsidRPr="00511005">
        <w:rPr>
          <w:rFonts w:ascii="Arial" w:eastAsia="Arial" w:hAnsi="Arial" w:cs="Arial"/>
          <w:szCs w:val="28"/>
          <w:lang w:val="uk-UA" w:eastAsia="ru-RU"/>
        </w:rPr>
        <w:t xml:space="preserve">В. Засоби інформаційного забезпечення під час проведення слідчих (розшукових) дій та негласних слідчих (розшукових) дій. </w:t>
      </w:r>
      <w:r w:rsidRPr="00511005">
        <w:rPr>
          <w:rFonts w:ascii="Arial" w:eastAsia="Arial" w:hAnsi="Arial" w:cs="Arial"/>
          <w:i/>
          <w:iCs/>
          <w:szCs w:val="28"/>
          <w:lang w:val="uk-UA" w:eastAsia="ru-RU"/>
        </w:rPr>
        <w:t>Українська поліцеїстика: теорія, законодавство, практика.</w:t>
      </w:r>
      <w:r w:rsidRPr="00511005">
        <w:rPr>
          <w:rFonts w:ascii="Arial" w:eastAsia="Arial" w:hAnsi="Arial" w:cs="Arial"/>
          <w:szCs w:val="28"/>
          <w:lang w:val="uk-UA" w:eastAsia="ru-RU"/>
        </w:rPr>
        <w:t xml:space="preserve"> 2022. № 1 (3).</w:t>
      </w:r>
      <w:r w:rsidRPr="00511005">
        <w:rPr>
          <w:rFonts w:ascii="Arial" w:eastAsia="Arial" w:hAnsi="Arial" w:cs="Arial"/>
          <w:szCs w:val="28"/>
          <w:lang w:eastAsia="ru-RU"/>
        </w:rPr>
        <w:t xml:space="preserve"> </w:t>
      </w:r>
      <w:r w:rsidRPr="00511005">
        <w:rPr>
          <w:rFonts w:ascii="Arial" w:eastAsia="Arial" w:hAnsi="Arial" w:cs="Arial"/>
          <w:szCs w:val="28"/>
          <w:lang w:val="en-GB" w:eastAsia="ru-RU"/>
        </w:rPr>
        <w:t>C</w:t>
      </w:r>
      <w:r w:rsidRPr="00511005">
        <w:rPr>
          <w:rFonts w:ascii="Arial" w:eastAsia="Arial" w:hAnsi="Arial" w:cs="Arial"/>
          <w:szCs w:val="28"/>
          <w:lang w:eastAsia="ru-RU"/>
        </w:rPr>
        <w:t xml:space="preserve">. 30-39. </w:t>
      </w:r>
      <w:r w:rsidRPr="00511005">
        <w:rPr>
          <w:rFonts w:ascii="Arial" w:eastAsia="Arial" w:hAnsi="Arial" w:cs="Arial"/>
          <w:szCs w:val="28"/>
          <w:lang w:val="en-GB" w:eastAsia="ru-RU"/>
        </w:rPr>
        <w:t>URL</w:t>
      </w:r>
      <w:r w:rsidRPr="00511005">
        <w:rPr>
          <w:rFonts w:ascii="Arial" w:eastAsia="Arial" w:hAnsi="Arial" w:cs="Arial"/>
          <w:szCs w:val="28"/>
          <w:lang w:eastAsia="ru-RU"/>
        </w:rPr>
        <w:t xml:space="preserve">: </w:t>
      </w:r>
      <w:hyperlink r:id="rId2218" w:history="1">
        <w:r w:rsidRPr="00511005">
          <w:rPr>
            <w:rFonts w:ascii="Arial" w:eastAsia="Arial" w:hAnsi="Arial" w:cs="Arial"/>
            <w:szCs w:val="28"/>
            <w:lang w:val="en-GB" w:eastAsia="ru-RU"/>
          </w:rPr>
          <w:t>https</w:t>
        </w:r>
        <w:r w:rsidRPr="00511005">
          <w:rPr>
            <w:rFonts w:ascii="Arial" w:eastAsia="Arial" w:hAnsi="Arial" w:cs="Arial"/>
            <w:szCs w:val="28"/>
            <w:lang w:eastAsia="ru-RU"/>
          </w:rPr>
          <w:t>://</w:t>
        </w:r>
        <w:r w:rsidRPr="00511005">
          <w:rPr>
            <w:rFonts w:ascii="Arial" w:eastAsia="Arial" w:hAnsi="Arial" w:cs="Arial"/>
            <w:szCs w:val="28"/>
            <w:lang w:val="en-GB" w:eastAsia="ru-RU"/>
          </w:rPr>
          <w:t>journals</w:t>
        </w:r>
        <w:r w:rsidRPr="00511005">
          <w:rPr>
            <w:rFonts w:ascii="Arial" w:eastAsia="Arial" w:hAnsi="Arial" w:cs="Arial"/>
            <w:szCs w:val="28"/>
            <w:lang w:eastAsia="ru-RU"/>
          </w:rPr>
          <w:t>.</w:t>
        </w:r>
        <w:r w:rsidRPr="00511005">
          <w:rPr>
            <w:rFonts w:ascii="Arial" w:eastAsia="Arial" w:hAnsi="Arial" w:cs="Arial"/>
            <w:szCs w:val="28"/>
            <w:lang w:val="en-GB" w:eastAsia="ru-RU"/>
          </w:rPr>
          <w:t>indexcopernicus</w:t>
        </w:r>
        <w:r w:rsidRPr="00511005">
          <w:rPr>
            <w:rFonts w:ascii="Arial" w:eastAsia="Arial" w:hAnsi="Arial" w:cs="Arial"/>
            <w:szCs w:val="28"/>
            <w:lang w:eastAsia="ru-RU"/>
          </w:rPr>
          <w:t>.</w:t>
        </w:r>
        <w:r w:rsidRPr="00511005">
          <w:rPr>
            <w:rFonts w:ascii="Arial" w:eastAsia="Arial" w:hAnsi="Arial" w:cs="Arial"/>
            <w:szCs w:val="28"/>
            <w:lang w:val="en-GB" w:eastAsia="ru-RU"/>
          </w:rPr>
          <w:t>com</w:t>
        </w:r>
        <w:r w:rsidRPr="00511005">
          <w:rPr>
            <w:rFonts w:ascii="Arial" w:eastAsia="Arial" w:hAnsi="Arial" w:cs="Arial"/>
            <w:szCs w:val="28"/>
            <w:lang w:eastAsia="ru-RU"/>
          </w:rPr>
          <w:t>/</w:t>
        </w:r>
        <w:r w:rsidRPr="00511005">
          <w:rPr>
            <w:rFonts w:ascii="Arial" w:eastAsia="Arial" w:hAnsi="Arial" w:cs="Arial"/>
            <w:szCs w:val="28"/>
            <w:lang w:val="en-GB" w:eastAsia="ru-RU"/>
          </w:rPr>
          <w:t>api</w:t>
        </w:r>
        <w:r w:rsidRPr="00511005">
          <w:rPr>
            <w:rFonts w:ascii="Arial" w:eastAsia="Arial" w:hAnsi="Arial" w:cs="Arial"/>
            <w:szCs w:val="28"/>
            <w:lang w:eastAsia="ru-RU"/>
          </w:rPr>
          <w:t>/</w:t>
        </w:r>
        <w:r w:rsidRPr="00511005">
          <w:rPr>
            <w:rFonts w:ascii="Arial" w:eastAsia="Arial" w:hAnsi="Arial" w:cs="Arial"/>
            <w:szCs w:val="28"/>
            <w:lang w:val="en-GB" w:eastAsia="ru-RU"/>
          </w:rPr>
          <w:t>file</w:t>
        </w:r>
        <w:r w:rsidRPr="00511005">
          <w:rPr>
            <w:rFonts w:ascii="Arial" w:eastAsia="Arial" w:hAnsi="Arial" w:cs="Arial"/>
            <w:szCs w:val="28"/>
            <w:lang w:eastAsia="ru-RU"/>
          </w:rPr>
          <w:t>/</w:t>
        </w:r>
        <w:r w:rsidRPr="00511005">
          <w:rPr>
            <w:rFonts w:ascii="Arial" w:eastAsia="Arial" w:hAnsi="Arial" w:cs="Arial"/>
            <w:szCs w:val="28"/>
            <w:lang w:val="en-GB" w:eastAsia="ru-RU"/>
          </w:rPr>
          <w:t>viewByFileId</w:t>
        </w:r>
        <w:r w:rsidRPr="00511005">
          <w:rPr>
            <w:rFonts w:ascii="Arial" w:eastAsia="Arial" w:hAnsi="Arial" w:cs="Arial"/>
            <w:szCs w:val="28"/>
            <w:lang w:eastAsia="ru-RU"/>
          </w:rPr>
          <w:t>/2042111</w:t>
        </w:r>
      </w:hyperlink>
      <w:r w:rsidRPr="00511005">
        <w:rPr>
          <w:rFonts w:ascii="Arial" w:eastAsia="Arial" w:hAnsi="Arial" w:cs="Arial"/>
          <w:szCs w:val="28"/>
          <w:lang w:val="ru" w:eastAsia="ru-RU"/>
        </w:rPr>
        <w:t>.</w:t>
      </w:r>
      <w:r w:rsidRPr="00511005">
        <w:rPr>
          <w:rFonts w:ascii="Arial" w:eastAsia="Arial" w:hAnsi="Arial" w:cs="Arial"/>
          <w:szCs w:val="28"/>
          <w:lang w:eastAsia="ru-RU"/>
        </w:rPr>
        <w:t xml:space="preserve"> </w:t>
      </w:r>
    </w:p>
    <w:p w14:paraId="176C9734" w14:textId="77777777" w:rsidR="00532C25" w:rsidRPr="00511005" w:rsidRDefault="00532C25" w:rsidP="003F6A5D">
      <w:pPr>
        <w:numPr>
          <w:ilvl w:val="0"/>
          <w:numId w:val="592"/>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Торбас О.</w:t>
      </w:r>
      <w:r w:rsidRPr="00511005">
        <w:rPr>
          <w:rFonts w:ascii="Arial" w:eastAsia="Calibri" w:hAnsi="Arial" w:cs="Arial"/>
          <w:szCs w:val="28"/>
          <w:lang w:val="en-GB"/>
        </w:rPr>
        <w:t> </w:t>
      </w:r>
      <w:r w:rsidRPr="00511005">
        <w:rPr>
          <w:rFonts w:ascii="Arial" w:eastAsia="Calibri" w:hAnsi="Arial" w:cs="Arial"/>
          <w:szCs w:val="28"/>
          <w:lang w:val="uk-UA"/>
        </w:rPr>
        <w:t xml:space="preserve">О. Особливості доказування за допомогою </w:t>
      </w:r>
      <w:r w:rsidRPr="00511005">
        <w:rPr>
          <w:rFonts w:ascii="Arial" w:eastAsia="Calibri" w:hAnsi="Arial" w:cs="Arial"/>
          <w:szCs w:val="28"/>
        </w:rPr>
        <w:t>OSINT</w:t>
      </w:r>
      <w:r w:rsidRPr="00511005">
        <w:rPr>
          <w:rFonts w:ascii="Arial" w:eastAsia="Calibri" w:hAnsi="Arial" w:cs="Arial"/>
          <w:szCs w:val="28"/>
          <w:lang w:val="uk-UA"/>
        </w:rPr>
        <w:t xml:space="preserve"> у кримінальному процесі. </w:t>
      </w:r>
      <w:r w:rsidRPr="00511005">
        <w:rPr>
          <w:rFonts w:ascii="Arial" w:eastAsia="Calibri" w:hAnsi="Arial" w:cs="Arial"/>
          <w:i/>
          <w:iCs/>
          <w:szCs w:val="28"/>
          <w:lang w:val="uk-UA"/>
        </w:rPr>
        <w:t>Актуальні проблеми держави і права.</w:t>
      </w:r>
      <w:r w:rsidRPr="00511005">
        <w:rPr>
          <w:rFonts w:ascii="Arial" w:eastAsia="Calibri" w:hAnsi="Arial" w:cs="Arial"/>
          <w:szCs w:val="28"/>
          <w:lang w:val="uk-UA"/>
        </w:rPr>
        <w:t xml:space="preserve"> 2025. </w:t>
      </w:r>
      <w:r w:rsidRPr="00511005">
        <w:rPr>
          <w:rFonts w:ascii="Arial" w:eastAsia="Calibri" w:hAnsi="Arial" w:cs="Arial"/>
          <w:szCs w:val="28"/>
          <w:lang w:val="en-GB"/>
        </w:rPr>
        <w:t>C</w:t>
      </w:r>
      <w:r w:rsidRPr="00511005">
        <w:rPr>
          <w:rFonts w:ascii="Arial" w:eastAsia="Calibri" w:hAnsi="Arial" w:cs="Arial"/>
          <w:szCs w:val="28"/>
          <w:lang w:val="uk-UA"/>
        </w:rPr>
        <w:t>. 246--252.</w:t>
      </w:r>
      <w:r w:rsidRPr="00511005">
        <w:rPr>
          <w:rFonts w:ascii="Arial" w:eastAsia="Calibri" w:hAnsi="Arial" w:cs="Arial"/>
          <w:szCs w:val="28"/>
        </w:rPr>
        <w:t xml:space="preserve"> </w:t>
      </w:r>
      <w:r w:rsidRPr="00511005">
        <w:rPr>
          <w:rFonts w:ascii="Arial" w:eastAsia="Calibri" w:hAnsi="Arial" w:cs="Arial"/>
          <w:szCs w:val="28"/>
          <w:lang w:val="uk-UA"/>
        </w:rPr>
        <w:t xml:space="preserve">DOI </w:t>
      </w:r>
      <w:hyperlink r:id="rId2219" w:history="1">
        <w:r w:rsidRPr="00511005">
          <w:rPr>
            <w:rFonts w:ascii="Arial" w:eastAsia="Calibri" w:hAnsi="Arial" w:cs="Arial"/>
            <w:szCs w:val="28"/>
          </w:rPr>
          <w:t>https://doi.org/10.32782/apdp.v105.2025.28</w:t>
        </w:r>
      </w:hyperlink>
      <w:r w:rsidRPr="00511005">
        <w:rPr>
          <w:rFonts w:ascii="Arial" w:eastAsia="Calibri" w:hAnsi="Arial" w:cs="Arial"/>
          <w:szCs w:val="28"/>
        </w:rPr>
        <w:t>.</w:t>
      </w:r>
    </w:p>
    <w:p w14:paraId="3BF170BF" w14:textId="77777777" w:rsidR="00532C25" w:rsidRPr="00511005" w:rsidRDefault="00532C25" w:rsidP="003F6A5D">
      <w:pPr>
        <w:numPr>
          <w:ilvl w:val="0"/>
          <w:numId w:val="592"/>
        </w:numPr>
        <w:spacing w:line="264" w:lineRule="auto"/>
        <w:jc w:val="left"/>
        <w:rPr>
          <w:rFonts w:ascii="Arial" w:eastAsia="Arial" w:hAnsi="Arial" w:cs="Arial"/>
          <w:szCs w:val="28"/>
          <w:lang w:val="uk-UA" w:eastAsia="ru-RU"/>
        </w:rPr>
      </w:pPr>
      <w:r w:rsidRPr="00511005">
        <w:rPr>
          <w:rFonts w:ascii="Arial" w:eastAsia="Arial" w:hAnsi="Arial" w:cs="Arial"/>
          <w:szCs w:val="28"/>
          <w:lang w:val="uk-UA" w:eastAsia="ru-RU"/>
        </w:rPr>
        <w:t xml:space="preserve">Постанова ККС ВС від 27.05.2020, справа № 296/2803/16-к. URL: </w:t>
      </w:r>
      <w:hyperlink r:id="rId2220" w:history="1">
        <w:r w:rsidRPr="00511005">
          <w:rPr>
            <w:rFonts w:ascii="Arial" w:eastAsia="Arial" w:hAnsi="Arial" w:cs="Arial"/>
            <w:szCs w:val="28"/>
            <w:lang w:val="pl-PL" w:eastAsia="ru-RU"/>
          </w:rPr>
          <w:t>https://reyestr.court.gov.ua/Review/89621215</w:t>
        </w:r>
      </w:hyperlink>
      <w:r w:rsidRPr="00511005">
        <w:rPr>
          <w:rFonts w:ascii="Arial" w:eastAsia="Arial" w:hAnsi="Arial" w:cs="Arial"/>
          <w:szCs w:val="28"/>
          <w:lang w:val="pl-PL" w:eastAsia="ru-RU"/>
        </w:rPr>
        <w:t>.</w:t>
      </w:r>
      <w:r w:rsidRPr="00511005">
        <w:rPr>
          <w:rFonts w:ascii="Arial" w:eastAsia="Arial" w:hAnsi="Arial" w:cs="Arial"/>
          <w:szCs w:val="28"/>
          <w:lang w:val="uk-UA" w:eastAsia="ru-RU"/>
        </w:rPr>
        <w:t xml:space="preserve"> </w:t>
      </w:r>
    </w:p>
    <w:p w14:paraId="387F1479" w14:textId="77777777" w:rsidR="00532C25" w:rsidRPr="00511005" w:rsidRDefault="00532C25" w:rsidP="003F6A5D">
      <w:pPr>
        <w:numPr>
          <w:ilvl w:val="0"/>
          <w:numId w:val="592"/>
        </w:numPr>
        <w:spacing w:line="264" w:lineRule="auto"/>
        <w:jc w:val="left"/>
        <w:rPr>
          <w:rFonts w:ascii="Arial" w:eastAsia="Arial" w:hAnsi="Arial" w:cs="Arial"/>
          <w:szCs w:val="28"/>
          <w:lang w:val="uk-UA" w:eastAsia="ru-RU"/>
        </w:rPr>
      </w:pPr>
      <w:r w:rsidRPr="00511005">
        <w:rPr>
          <w:rFonts w:ascii="Arial" w:eastAsia="Arial" w:hAnsi="Arial" w:cs="Arial"/>
          <w:szCs w:val="28"/>
          <w:lang w:val="uk-UA" w:eastAsia="ru-RU"/>
        </w:rPr>
        <w:t>Торбас О. OSINT при розслідуванні кримінальних правопорушень: підручник. Одеса : Видавництво «Юридика», 2024.</w:t>
      </w:r>
      <w:r w:rsidRPr="00511005">
        <w:rPr>
          <w:rFonts w:ascii="Arial" w:eastAsia="Arial" w:hAnsi="Arial" w:cs="Arial"/>
          <w:szCs w:val="28"/>
          <w:lang w:eastAsia="ru-RU"/>
        </w:rPr>
        <w:t xml:space="preserve"> </w:t>
      </w:r>
      <w:r w:rsidRPr="00511005">
        <w:rPr>
          <w:rFonts w:ascii="Arial" w:eastAsia="Arial" w:hAnsi="Arial" w:cs="Arial"/>
          <w:szCs w:val="28"/>
          <w:lang w:val="uk-UA" w:eastAsia="ru-RU"/>
        </w:rPr>
        <w:t xml:space="preserve">180 с. </w:t>
      </w:r>
      <w:r w:rsidRPr="00511005">
        <w:rPr>
          <w:rFonts w:ascii="Arial" w:eastAsia="Arial" w:hAnsi="Arial" w:cs="Arial"/>
          <w:szCs w:val="28"/>
          <w:lang w:val="en-GB" w:eastAsia="ru-RU"/>
        </w:rPr>
        <w:t>URL</w:t>
      </w:r>
      <w:r w:rsidRPr="00511005">
        <w:rPr>
          <w:rFonts w:ascii="Arial" w:eastAsia="Arial" w:hAnsi="Arial" w:cs="Arial"/>
          <w:szCs w:val="28"/>
          <w:lang w:eastAsia="ru-RU"/>
        </w:rPr>
        <w:t xml:space="preserve">: </w:t>
      </w:r>
      <w:hyperlink r:id="rId2221" w:history="1">
        <w:r w:rsidRPr="00511005">
          <w:rPr>
            <w:rFonts w:ascii="Arial" w:eastAsia="Arial" w:hAnsi="Arial" w:cs="Arial"/>
            <w:szCs w:val="28"/>
            <w:lang w:val="en-US" w:eastAsia="ru-RU"/>
          </w:rPr>
          <w:t>https</w:t>
        </w:r>
        <w:r w:rsidRPr="00511005">
          <w:rPr>
            <w:rFonts w:ascii="Arial" w:eastAsia="Arial" w:hAnsi="Arial" w:cs="Arial"/>
            <w:szCs w:val="28"/>
            <w:lang w:eastAsia="ru-RU"/>
          </w:rPr>
          <w:t>://</w:t>
        </w:r>
        <w:r w:rsidRPr="00511005">
          <w:rPr>
            <w:rFonts w:ascii="Arial" w:eastAsia="Arial" w:hAnsi="Arial" w:cs="Arial"/>
            <w:szCs w:val="28"/>
            <w:lang w:val="en-US" w:eastAsia="ru-RU"/>
          </w:rPr>
          <w:t>dspace</w:t>
        </w:r>
        <w:r w:rsidRPr="00511005">
          <w:rPr>
            <w:rFonts w:ascii="Arial" w:eastAsia="Arial" w:hAnsi="Arial" w:cs="Arial"/>
            <w:szCs w:val="28"/>
            <w:lang w:eastAsia="ru-RU"/>
          </w:rPr>
          <w:t>.</w:t>
        </w:r>
        <w:r w:rsidRPr="00511005">
          <w:rPr>
            <w:rFonts w:ascii="Arial" w:eastAsia="Arial" w:hAnsi="Arial" w:cs="Arial"/>
            <w:szCs w:val="28"/>
            <w:lang w:val="en-US" w:eastAsia="ru-RU"/>
          </w:rPr>
          <w:t>onua</w:t>
        </w:r>
        <w:r w:rsidRPr="00511005">
          <w:rPr>
            <w:rFonts w:ascii="Arial" w:eastAsia="Arial" w:hAnsi="Arial" w:cs="Arial"/>
            <w:szCs w:val="28"/>
            <w:lang w:eastAsia="ru-RU"/>
          </w:rPr>
          <w:t>.</w:t>
        </w:r>
        <w:r w:rsidRPr="00511005">
          <w:rPr>
            <w:rFonts w:ascii="Arial" w:eastAsia="Arial" w:hAnsi="Arial" w:cs="Arial"/>
            <w:szCs w:val="28"/>
            <w:lang w:val="en-US" w:eastAsia="ru-RU"/>
          </w:rPr>
          <w:t>edu</w:t>
        </w:r>
        <w:r w:rsidRPr="00511005">
          <w:rPr>
            <w:rFonts w:ascii="Arial" w:eastAsia="Arial" w:hAnsi="Arial" w:cs="Arial"/>
            <w:szCs w:val="28"/>
            <w:lang w:eastAsia="ru-RU"/>
          </w:rPr>
          <w:t>.</w:t>
        </w:r>
        <w:r w:rsidRPr="00511005">
          <w:rPr>
            <w:rFonts w:ascii="Arial" w:eastAsia="Arial" w:hAnsi="Arial" w:cs="Arial"/>
            <w:szCs w:val="28"/>
            <w:lang w:val="en-US" w:eastAsia="ru-RU"/>
          </w:rPr>
          <w:t>ua</w:t>
        </w:r>
        <w:r w:rsidRPr="00511005">
          <w:rPr>
            <w:rFonts w:ascii="Arial" w:eastAsia="Arial" w:hAnsi="Arial" w:cs="Arial"/>
            <w:szCs w:val="28"/>
            <w:lang w:eastAsia="ru-RU"/>
          </w:rPr>
          <w:t>/</w:t>
        </w:r>
        <w:r w:rsidRPr="00511005">
          <w:rPr>
            <w:rFonts w:ascii="Arial" w:eastAsia="Arial" w:hAnsi="Arial" w:cs="Arial"/>
            <w:szCs w:val="28"/>
            <w:lang w:val="en-US" w:eastAsia="ru-RU"/>
          </w:rPr>
          <w:t>server</w:t>
        </w:r>
        <w:r w:rsidRPr="00511005">
          <w:rPr>
            <w:rFonts w:ascii="Arial" w:eastAsia="Arial" w:hAnsi="Arial" w:cs="Arial"/>
            <w:szCs w:val="28"/>
            <w:lang w:eastAsia="ru-RU"/>
          </w:rPr>
          <w:t>/</w:t>
        </w:r>
        <w:r w:rsidRPr="00511005">
          <w:rPr>
            <w:rFonts w:ascii="Arial" w:eastAsia="Arial" w:hAnsi="Arial" w:cs="Arial"/>
            <w:szCs w:val="28"/>
            <w:lang w:val="en-US" w:eastAsia="ru-RU"/>
          </w:rPr>
          <w:t>api</w:t>
        </w:r>
        <w:r w:rsidRPr="00511005">
          <w:rPr>
            <w:rFonts w:ascii="Arial" w:eastAsia="Arial" w:hAnsi="Arial" w:cs="Arial"/>
            <w:szCs w:val="28"/>
            <w:lang w:eastAsia="ru-RU"/>
          </w:rPr>
          <w:t>/</w:t>
        </w:r>
        <w:r w:rsidRPr="00511005">
          <w:rPr>
            <w:rFonts w:ascii="Arial" w:eastAsia="Arial" w:hAnsi="Arial" w:cs="Arial"/>
            <w:szCs w:val="28"/>
            <w:lang w:val="en-US" w:eastAsia="ru-RU"/>
          </w:rPr>
          <w:t>core</w:t>
        </w:r>
        <w:r w:rsidRPr="00511005">
          <w:rPr>
            <w:rFonts w:ascii="Arial" w:eastAsia="Arial" w:hAnsi="Arial" w:cs="Arial"/>
            <w:szCs w:val="28"/>
            <w:lang w:eastAsia="ru-RU"/>
          </w:rPr>
          <w:t>/</w:t>
        </w:r>
        <w:r w:rsidRPr="00511005">
          <w:rPr>
            <w:rFonts w:ascii="Arial" w:eastAsia="Arial" w:hAnsi="Arial" w:cs="Arial"/>
            <w:szCs w:val="28"/>
            <w:lang w:val="en-US" w:eastAsia="ru-RU"/>
          </w:rPr>
          <w:t>bitstreams</w:t>
        </w:r>
        <w:r w:rsidRPr="00511005">
          <w:rPr>
            <w:rFonts w:ascii="Arial" w:eastAsia="Arial" w:hAnsi="Arial" w:cs="Arial"/>
            <w:szCs w:val="28"/>
            <w:lang w:eastAsia="ru-RU"/>
          </w:rPr>
          <w:t>/106</w:t>
        </w:r>
        <w:r w:rsidRPr="00511005">
          <w:rPr>
            <w:rFonts w:ascii="Arial" w:eastAsia="Arial" w:hAnsi="Arial" w:cs="Arial"/>
            <w:szCs w:val="28"/>
            <w:lang w:val="en-US" w:eastAsia="ru-RU"/>
          </w:rPr>
          <w:t>c</w:t>
        </w:r>
        <w:r w:rsidRPr="00511005">
          <w:rPr>
            <w:rFonts w:ascii="Arial" w:eastAsia="Arial" w:hAnsi="Arial" w:cs="Arial"/>
            <w:szCs w:val="28"/>
            <w:lang w:eastAsia="ru-RU"/>
          </w:rPr>
          <w:t>5467-2</w:t>
        </w:r>
        <w:r w:rsidRPr="00511005">
          <w:rPr>
            <w:rFonts w:ascii="Arial" w:eastAsia="Arial" w:hAnsi="Arial" w:cs="Arial"/>
            <w:szCs w:val="28"/>
            <w:lang w:val="en-US" w:eastAsia="ru-RU"/>
          </w:rPr>
          <w:t>afb</w:t>
        </w:r>
        <w:r w:rsidRPr="00511005">
          <w:rPr>
            <w:rFonts w:ascii="Arial" w:eastAsia="Arial" w:hAnsi="Arial" w:cs="Arial"/>
            <w:szCs w:val="28"/>
            <w:lang w:eastAsia="ru-RU"/>
          </w:rPr>
          <w:t>-4055-</w:t>
        </w:r>
        <w:r w:rsidRPr="00511005">
          <w:rPr>
            <w:rFonts w:ascii="Arial" w:eastAsia="Arial" w:hAnsi="Arial" w:cs="Arial"/>
            <w:szCs w:val="28"/>
            <w:lang w:val="en-US" w:eastAsia="ru-RU"/>
          </w:rPr>
          <w:t>a</w:t>
        </w:r>
        <w:r w:rsidRPr="00511005">
          <w:rPr>
            <w:rFonts w:ascii="Arial" w:eastAsia="Arial" w:hAnsi="Arial" w:cs="Arial"/>
            <w:szCs w:val="28"/>
            <w:lang w:eastAsia="ru-RU"/>
          </w:rPr>
          <w:t>0</w:t>
        </w:r>
        <w:r w:rsidRPr="00511005">
          <w:rPr>
            <w:rFonts w:ascii="Arial" w:eastAsia="Arial" w:hAnsi="Arial" w:cs="Arial"/>
            <w:szCs w:val="28"/>
            <w:lang w:val="en-US" w:eastAsia="ru-RU"/>
          </w:rPr>
          <w:t>fb</w:t>
        </w:r>
        <w:r w:rsidRPr="00511005">
          <w:rPr>
            <w:rFonts w:ascii="Arial" w:eastAsia="Arial" w:hAnsi="Arial" w:cs="Arial"/>
            <w:szCs w:val="28"/>
            <w:lang w:eastAsia="ru-RU"/>
          </w:rPr>
          <w:t>-3</w:t>
        </w:r>
        <w:r w:rsidRPr="00511005">
          <w:rPr>
            <w:rFonts w:ascii="Arial" w:eastAsia="Arial" w:hAnsi="Arial" w:cs="Arial"/>
            <w:szCs w:val="28"/>
            <w:lang w:val="en-US" w:eastAsia="ru-RU"/>
          </w:rPr>
          <w:t>a</w:t>
        </w:r>
        <w:r w:rsidRPr="00511005">
          <w:rPr>
            <w:rFonts w:ascii="Arial" w:eastAsia="Arial" w:hAnsi="Arial" w:cs="Arial"/>
            <w:szCs w:val="28"/>
            <w:lang w:eastAsia="ru-RU"/>
          </w:rPr>
          <w:t>500102</w:t>
        </w:r>
        <w:r w:rsidRPr="00511005">
          <w:rPr>
            <w:rFonts w:ascii="Arial" w:eastAsia="Arial" w:hAnsi="Arial" w:cs="Arial"/>
            <w:szCs w:val="28"/>
            <w:lang w:val="en-US" w:eastAsia="ru-RU"/>
          </w:rPr>
          <w:t>db</w:t>
        </w:r>
        <w:r w:rsidRPr="00511005">
          <w:rPr>
            <w:rFonts w:ascii="Arial" w:eastAsia="Arial" w:hAnsi="Arial" w:cs="Arial"/>
            <w:szCs w:val="28"/>
            <w:lang w:eastAsia="ru-RU"/>
          </w:rPr>
          <w:t>9</w:t>
        </w:r>
        <w:r w:rsidRPr="00511005">
          <w:rPr>
            <w:rFonts w:ascii="Arial" w:eastAsia="Arial" w:hAnsi="Arial" w:cs="Arial"/>
            <w:szCs w:val="28"/>
            <w:lang w:val="en-US" w:eastAsia="ru-RU"/>
          </w:rPr>
          <w:t>c</w:t>
        </w:r>
        <w:r w:rsidRPr="00511005">
          <w:rPr>
            <w:rFonts w:ascii="Arial" w:eastAsia="Arial" w:hAnsi="Arial" w:cs="Arial"/>
            <w:szCs w:val="28"/>
            <w:lang w:eastAsia="ru-RU"/>
          </w:rPr>
          <w:t>/</w:t>
        </w:r>
        <w:r w:rsidRPr="00511005">
          <w:rPr>
            <w:rFonts w:ascii="Arial" w:eastAsia="Arial" w:hAnsi="Arial" w:cs="Arial"/>
            <w:szCs w:val="28"/>
            <w:lang w:val="en-US" w:eastAsia="ru-RU"/>
          </w:rPr>
          <w:t>content</w:t>
        </w:r>
      </w:hyperlink>
      <w:r w:rsidRPr="00511005">
        <w:rPr>
          <w:rFonts w:ascii="Arial" w:eastAsia="Arial" w:hAnsi="Arial" w:cs="Arial"/>
          <w:szCs w:val="28"/>
          <w:lang w:eastAsia="ru-RU"/>
        </w:rPr>
        <w:t xml:space="preserve">. </w:t>
      </w:r>
    </w:p>
    <w:p w14:paraId="7E412B90" w14:textId="77777777" w:rsidR="00532C25" w:rsidRPr="00511005" w:rsidRDefault="00532C25" w:rsidP="003F6A5D">
      <w:pPr>
        <w:numPr>
          <w:ilvl w:val="0"/>
          <w:numId w:val="592"/>
        </w:numPr>
        <w:spacing w:line="264" w:lineRule="auto"/>
        <w:contextualSpacing/>
        <w:jc w:val="left"/>
        <w:rPr>
          <w:rFonts w:ascii="Arial" w:eastAsia="Calibri" w:hAnsi="Arial" w:cs="Arial"/>
          <w:b/>
          <w:bCs/>
          <w:i/>
          <w:iCs/>
          <w:szCs w:val="28"/>
          <w:lang w:val="pl-PL"/>
        </w:rPr>
      </w:pPr>
      <w:r w:rsidRPr="00511005">
        <w:rPr>
          <w:rFonts w:ascii="Arial" w:eastAsia="Calibri" w:hAnsi="Arial" w:cs="Arial"/>
          <w:szCs w:val="28"/>
          <w:lang w:val="uk-UA"/>
        </w:rPr>
        <w:t xml:space="preserve">Гришко А. Як аналітики використовують OSINT, щоб розкривати воєнні злочини росіян: супутникові зображення, аналіз соцмереж та ШІ. </w:t>
      </w:r>
      <w:r w:rsidRPr="00511005">
        <w:rPr>
          <w:rFonts w:ascii="Arial" w:eastAsia="Calibri" w:hAnsi="Arial" w:cs="Arial"/>
          <w:szCs w:val="28"/>
          <w:lang w:val="uk-UA"/>
        </w:rPr>
        <w:lastRenderedPageBreak/>
        <w:t xml:space="preserve">URL: </w:t>
      </w:r>
      <w:hyperlink r:id="rId2222" w:history="1">
        <w:r w:rsidRPr="00511005">
          <w:rPr>
            <w:rFonts w:ascii="Arial" w:eastAsia="Calibri" w:hAnsi="Arial" w:cs="Arial"/>
            <w:szCs w:val="28"/>
            <w:lang w:val="pl-PL"/>
          </w:rPr>
          <w:t>https://bookofmemory.com.ua/uk/analytics/how-analysts-use-osint-uncover-russian-war-crimes-satellite-imagery-social-media-analysis-and-ai/</w:t>
        </w:r>
      </w:hyperlink>
      <w:r w:rsidRPr="00511005">
        <w:rPr>
          <w:rFonts w:ascii="Arial" w:eastAsia="Calibri" w:hAnsi="Arial" w:cs="Arial"/>
          <w:szCs w:val="28"/>
          <w:lang w:val="pl-PL"/>
        </w:rPr>
        <w:t>.</w:t>
      </w:r>
    </w:p>
    <w:p w14:paraId="253129B3" w14:textId="77777777" w:rsidR="00532C25" w:rsidRPr="00511005" w:rsidRDefault="00532C25" w:rsidP="00532C25">
      <w:pPr>
        <w:spacing w:line="264" w:lineRule="auto"/>
        <w:ind w:left="720" w:firstLine="0"/>
        <w:rPr>
          <w:rFonts w:ascii="Arial" w:eastAsia="Arial" w:hAnsi="Arial" w:cs="Arial"/>
          <w:b/>
          <w:bCs/>
          <w:i/>
          <w:iCs/>
          <w:szCs w:val="28"/>
          <w:lang w:val="pl-PL" w:eastAsia="ru-RU"/>
        </w:rPr>
      </w:pPr>
    </w:p>
    <w:p w14:paraId="6A199190" w14:textId="77777777" w:rsidR="00532C25" w:rsidRPr="00511005" w:rsidRDefault="00532C25" w:rsidP="00532C25">
      <w:pPr>
        <w:spacing w:line="264" w:lineRule="auto"/>
        <w:ind w:firstLine="284"/>
        <w:rPr>
          <w:rFonts w:ascii="Arial" w:eastAsia="Arial" w:hAnsi="Arial" w:cs="Arial"/>
          <w:b/>
          <w:bCs/>
          <w:szCs w:val="28"/>
          <w:lang w:val="uk-UA" w:eastAsia="ru-RU"/>
        </w:rPr>
      </w:pPr>
      <w:r w:rsidRPr="00511005">
        <w:rPr>
          <w:rFonts w:ascii="Arial" w:eastAsia="Arial" w:hAnsi="Arial" w:cs="Arial"/>
          <w:b/>
          <w:bCs/>
          <w:i/>
          <w:szCs w:val="28"/>
          <w:lang w:val="uk-UA" w:eastAsia="ru-RU"/>
        </w:rPr>
        <w:t xml:space="preserve">Ключові слова: </w:t>
      </w:r>
      <w:r w:rsidRPr="00511005">
        <w:rPr>
          <w:rFonts w:ascii="Arial" w:eastAsia="Arial" w:hAnsi="Arial" w:cs="Arial"/>
          <w:szCs w:val="28"/>
          <w:lang w:val="uk-UA" w:eastAsia="ru-RU"/>
        </w:rPr>
        <w:t xml:space="preserve">кримінальне провадження, досудове розслідування, </w:t>
      </w:r>
      <w:r w:rsidRPr="00511005">
        <w:rPr>
          <w:rFonts w:ascii="Arial" w:eastAsia="Arial" w:hAnsi="Arial" w:cs="Arial"/>
          <w:szCs w:val="28"/>
          <w:lang w:val="pl-PL" w:eastAsia="ru-RU"/>
        </w:rPr>
        <w:t>OSINT</w:t>
      </w:r>
      <w:r w:rsidRPr="00511005">
        <w:rPr>
          <w:rFonts w:ascii="Arial" w:eastAsia="Arial" w:hAnsi="Arial" w:cs="Arial"/>
          <w:szCs w:val="28"/>
          <w:lang w:val="uk-UA" w:eastAsia="ru-RU"/>
        </w:rPr>
        <w:t>, відкрита розвідка, слідчі (розшукові) дії, електронні джерела, інформація з відкритих джерел, воєнні злочини, докази.</w:t>
      </w:r>
    </w:p>
    <w:p w14:paraId="71F243D6" w14:textId="77777777" w:rsidR="00532C25" w:rsidRPr="00511005" w:rsidRDefault="00532C25" w:rsidP="00532C25">
      <w:pPr>
        <w:spacing w:line="264" w:lineRule="auto"/>
        <w:ind w:firstLine="284"/>
        <w:rPr>
          <w:rFonts w:ascii="Arial" w:eastAsia="Arial" w:hAnsi="Arial" w:cs="Arial"/>
          <w:b/>
          <w:bCs/>
          <w:szCs w:val="28"/>
          <w:lang w:val="uk-UA" w:eastAsia="ru-RU"/>
        </w:rPr>
      </w:pPr>
      <w:r w:rsidRPr="00511005">
        <w:rPr>
          <w:rFonts w:ascii="Arial" w:eastAsia="Arial" w:hAnsi="Arial" w:cs="Arial"/>
          <w:b/>
          <w:bCs/>
          <w:i/>
          <w:szCs w:val="28"/>
          <w:lang w:val="en-US" w:eastAsia="ru-RU"/>
        </w:rPr>
        <w:t xml:space="preserve">Key words: </w:t>
      </w:r>
      <w:r w:rsidRPr="00511005">
        <w:rPr>
          <w:rFonts w:ascii="Arial" w:eastAsia="Arial" w:hAnsi="Arial" w:cs="Arial"/>
          <w:szCs w:val="28"/>
          <w:lang w:val="uk-UA" w:eastAsia="ru-RU"/>
        </w:rPr>
        <w:t xml:space="preserve">criminal proceedings, pre-trial investigation, </w:t>
      </w:r>
      <w:r w:rsidRPr="00511005">
        <w:rPr>
          <w:rFonts w:ascii="Arial" w:eastAsia="Arial" w:hAnsi="Arial" w:cs="Arial"/>
          <w:szCs w:val="28"/>
          <w:lang w:val="en-US" w:eastAsia="ru-RU"/>
        </w:rPr>
        <w:t>OSINT</w:t>
      </w:r>
      <w:r w:rsidRPr="00511005">
        <w:rPr>
          <w:rFonts w:ascii="Arial" w:eastAsia="Arial" w:hAnsi="Arial" w:cs="Arial"/>
          <w:szCs w:val="28"/>
          <w:lang w:val="uk-UA" w:eastAsia="ru-RU"/>
        </w:rPr>
        <w:t>, open intelligence, operational search measures, electronic sources, information from open sources, documentation, war crimes, evidence.</w:t>
      </w:r>
    </w:p>
    <w:p w14:paraId="7621529D" w14:textId="545409D2" w:rsidR="00532C25" w:rsidRPr="00511005" w:rsidRDefault="003F50AD" w:rsidP="00532C25">
      <w:pPr>
        <w:spacing w:line="264" w:lineRule="auto"/>
        <w:ind w:firstLine="284"/>
        <w:rPr>
          <w:rFonts w:ascii="Arial" w:eastAsia="Times New Roman" w:hAnsi="Arial" w:cs="Arial"/>
          <w:i/>
          <w:iCs/>
          <w:szCs w:val="28"/>
          <w:lang w:eastAsia="ru-RU"/>
        </w:rPr>
      </w:pPr>
      <w:r w:rsidRPr="00511005">
        <w:rPr>
          <w:rFonts w:ascii="Arial" w:eastAsia="Calibri" w:hAnsi="Arial" w:cs="Arial"/>
          <w:b/>
          <w:i/>
          <w:szCs w:val="28"/>
          <w:lang w:val="uk-UA"/>
        </w:rPr>
        <w:t xml:space="preserve">Науковий керівник: </w:t>
      </w:r>
      <w:r w:rsidR="00532C25" w:rsidRPr="00511005">
        <w:rPr>
          <w:rFonts w:ascii="Arial" w:eastAsia="Arial" w:hAnsi="Arial" w:cs="Arial"/>
          <w:i/>
          <w:iCs/>
          <w:szCs w:val="28"/>
          <w:lang w:eastAsia="ru-RU"/>
        </w:rPr>
        <w:t xml:space="preserve">к.ю.н., доцент </w:t>
      </w:r>
      <w:r w:rsidR="00532C25" w:rsidRPr="00511005">
        <w:rPr>
          <w:rFonts w:ascii="Arial" w:eastAsia="Arial" w:hAnsi="Arial" w:cs="Arial"/>
          <w:i/>
          <w:iCs/>
          <w:szCs w:val="28"/>
          <w:lang w:val="uk-UA" w:eastAsia="ru-RU"/>
        </w:rPr>
        <w:t xml:space="preserve">Мурзановська А.В. </w:t>
      </w:r>
    </w:p>
    <w:p w14:paraId="776B4432" w14:textId="77777777" w:rsidR="00532C25" w:rsidRPr="00511005" w:rsidRDefault="00532C25" w:rsidP="00532C25">
      <w:pPr>
        <w:spacing w:line="264" w:lineRule="auto"/>
        <w:ind w:firstLine="0"/>
        <w:jc w:val="center"/>
        <w:rPr>
          <w:rFonts w:ascii="Arial" w:eastAsia="Arial" w:hAnsi="Arial" w:cs="Arial"/>
          <w:b/>
          <w:i/>
          <w:iCs/>
          <w:szCs w:val="28"/>
          <w:lang w:val="ru" w:eastAsia="ru-RU"/>
        </w:rPr>
      </w:pPr>
      <w:r w:rsidRPr="00511005">
        <w:rPr>
          <w:rFonts w:ascii="Arial" w:eastAsia="Arial" w:hAnsi="Arial" w:cs="Arial"/>
          <w:szCs w:val="28"/>
          <w:lang w:val="uk-UA" w:eastAsia="ru-RU"/>
        </w:rPr>
        <w:br/>
      </w:r>
      <w:r w:rsidRPr="00511005">
        <w:rPr>
          <w:rFonts w:ascii="Arial" w:eastAsia="Arial" w:hAnsi="Arial" w:cs="Arial"/>
          <w:b/>
          <w:i/>
          <w:iCs/>
          <w:szCs w:val="28"/>
          <w:lang w:val="ru" w:eastAsia="ru-RU"/>
        </w:rPr>
        <w:t>Ліферова Владислава Владиславівна</w:t>
      </w:r>
    </w:p>
    <w:p w14:paraId="69243968"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студентка 1-го курсу магістратури</w:t>
      </w:r>
    </w:p>
    <w:p w14:paraId="2DBB45BD"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46F4047"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B018463" w14:textId="77777777" w:rsidR="00532C25" w:rsidRPr="00511005" w:rsidRDefault="00532C25" w:rsidP="00532C25">
      <w:pPr>
        <w:spacing w:line="264" w:lineRule="auto"/>
        <w:ind w:firstLine="0"/>
        <w:jc w:val="center"/>
        <w:rPr>
          <w:rFonts w:ascii="Arial" w:eastAsia="Arial" w:hAnsi="Arial" w:cs="Arial"/>
          <w:b/>
          <w:szCs w:val="28"/>
          <w:lang w:eastAsia="ru-RU"/>
        </w:rPr>
      </w:pPr>
    </w:p>
    <w:p w14:paraId="4440A454" w14:textId="77777777" w:rsidR="00532C25" w:rsidRPr="00511005" w:rsidRDefault="00532C25" w:rsidP="00532C25">
      <w:pPr>
        <w:spacing w:line="264" w:lineRule="auto"/>
        <w:ind w:firstLine="0"/>
        <w:jc w:val="center"/>
        <w:rPr>
          <w:rFonts w:ascii="Arial" w:eastAsia="Arial" w:hAnsi="Arial" w:cs="Arial"/>
          <w:b/>
          <w:szCs w:val="28"/>
          <w:lang w:eastAsia="ru-RU"/>
        </w:rPr>
      </w:pPr>
      <w:r w:rsidRPr="00511005">
        <w:rPr>
          <w:rFonts w:ascii="Arial" w:eastAsia="Arial" w:hAnsi="Arial" w:cs="Arial"/>
          <w:b/>
          <w:szCs w:val="28"/>
          <w:lang w:eastAsia="ru-RU"/>
        </w:rPr>
        <w:t>ПРОБЛЕМИ ТА ВИКЛИКИ ПРОВЕДЕННЯ СЛІДЧИХ (РОЗШУКОВИХ) ДІЙ У МЕЖАХ МІЖНАРОДНОГО КРИМІНАЛЬНОГО СПІВРОБІТНИЦТВА</w:t>
      </w:r>
    </w:p>
    <w:p w14:paraId="7EED0699" w14:textId="77777777" w:rsidR="00532C25" w:rsidRPr="00511005" w:rsidRDefault="00532C25" w:rsidP="00532C25">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сучасному глобалізованому світі міжнародне кримінальне співробітництво набуває все більшої актуальності, особливо у сфері проведення слідчих (розшукових) дій. Злочинність, зокрема організована та кіберзлочинність, не визнає державних кордонів, що створює нові виклики для правоохоронних органів різних країн. Україна, як активний учасник міжнародного правового простору, стикається з низкою проблем у цій сфері.​</w:t>
      </w:r>
    </w:p>
    <w:p w14:paraId="662324D9" w14:textId="77777777" w:rsidR="00532C25" w:rsidRPr="00511005" w:rsidRDefault="00532C25" w:rsidP="00532C25">
      <w:pPr>
        <w:shd w:val="clear" w:color="auto" w:fill="FFFFFF"/>
        <w:spacing w:line="264" w:lineRule="auto"/>
        <w:rPr>
          <w:rFonts w:ascii="Arial" w:eastAsia="Times New Roman" w:hAnsi="Arial" w:cs="Arial"/>
          <w:szCs w:val="28"/>
          <w:lang w:eastAsia="uk-UA"/>
        </w:rPr>
      </w:pPr>
      <w:r w:rsidRPr="00511005">
        <w:rPr>
          <w:rFonts w:ascii="Arial" w:eastAsia="Times New Roman" w:hAnsi="Arial" w:cs="Arial"/>
          <w:szCs w:val="28"/>
          <w:lang w:val="uk-UA" w:eastAsia="uk-UA"/>
        </w:rPr>
        <w:t>Однією з головних проблем є відсутність уніфікованих правових норм, що регулюють міжнародне кримінальне співробітництво. Різні країни мають власні правові системи, що ускладнює взаємодію між ними. Як зазначають О.</w:t>
      </w:r>
      <w:r w:rsidRPr="00511005">
        <w:rPr>
          <w:rFonts w:ascii="Arial" w:eastAsia="Times New Roman" w:hAnsi="Arial" w:cs="Arial"/>
          <w:szCs w:val="28"/>
          <w:lang w:val="en-GB" w:eastAsia="uk-UA"/>
        </w:rPr>
        <w:t> </w:t>
      </w:r>
      <w:r w:rsidRPr="00511005">
        <w:rPr>
          <w:rFonts w:ascii="Arial" w:eastAsia="Times New Roman" w:hAnsi="Arial" w:cs="Arial"/>
          <w:szCs w:val="28"/>
          <w:lang w:val="uk-UA" w:eastAsia="uk-UA"/>
        </w:rPr>
        <w:t>Ємець, І.</w:t>
      </w:r>
      <w:r w:rsidRPr="00511005">
        <w:rPr>
          <w:rFonts w:ascii="Arial" w:eastAsia="Times New Roman" w:hAnsi="Arial" w:cs="Arial"/>
          <w:szCs w:val="28"/>
          <w:lang w:val="en-GB" w:eastAsia="uk-UA"/>
        </w:rPr>
        <w:t> </w:t>
      </w:r>
      <w:r w:rsidRPr="00511005">
        <w:rPr>
          <w:rFonts w:ascii="Arial" w:eastAsia="Times New Roman" w:hAnsi="Arial" w:cs="Arial"/>
          <w:szCs w:val="28"/>
          <w:lang w:val="uk-UA" w:eastAsia="uk-UA"/>
        </w:rPr>
        <w:t>Воронов та М.</w:t>
      </w:r>
      <w:r w:rsidRPr="00511005">
        <w:rPr>
          <w:rFonts w:ascii="Arial" w:eastAsia="Times New Roman" w:hAnsi="Arial" w:cs="Arial"/>
          <w:szCs w:val="28"/>
          <w:lang w:val="en-GB" w:eastAsia="uk-UA"/>
        </w:rPr>
        <w:t> </w:t>
      </w:r>
      <w:r w:rsidRPr="00511005">
        <w:rPr>
          <w:rFonts w:ascii="Arial" w:eastAsia="Times New Roman" w:hAnsi="Arial" w:cs="Arial"/>
          <w:szCs w:val="28"/>
          <w:lang w:val="uk-UA" w:eastAsia="uk-UA"/>
        </w:rPr>
        <w:t>Грібов, концепція примату національного права над міжнародним створює перешкоди для ефективної співпраці правоохоронних органів різних держав [1, с. 2</w:t>
      </w:r>
      <w:r w:rsidRPr="00511005">
        <w:rPr>
          <w:rFonts w:ascii="Arial" w:eastAsia="Times New Roman" w:hAnsi="Arial" w:cs="Arial"/>
          <w:szCs w:val="28"/>
          <w:lang w:eastAsia="uk-UA"/>
        </w:rPr>
        <w:t>1</w:t>
      </w:r>
      <w:r w:rsidRPr="00511005">
        <w:rPr>
          <w:rFonts w:ascii="Arial" w:eastAsia="Times New Roman" w:hAnsi="Arial" w:cs="Arial"/>
          <w:szCs w:val="28"/>
          <w:lang w:val="uk-UA" w:eastAsia="uk-UA"/>
        </w:rPr>
        <w:t>]</w:t>
      </w:r>
      <w:r w:rsidRPr="00511005">
        <w:rPr>
          <w:rFonts w:ascii="Arial" w:eastAsia="Times New Roman" w:hAnsi="Arial" w:cs="Arial"/>
          <w:szCs w:val="28"/>
          <w:lang w:eastAsia="uk-UA"/>
        </w:rPr>
        <w:t>.</w:t>
      </w:r>
    </w:p>
    <w:p w14:paraId="6D49900A" w14:textId="77777777" w:rsidR="00532C25" w:rsidRPr="00511005" w:rsidRDefault="00532C25" w:rsidP="00532C25">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Варто відзначити, що в межах міжнародного співробітництва з Міжнародним кримінальним судом (далі – МКС), особі, щодо якої є підстави вважати, що вона вчинила злочин, підсудний МКС, до початку допиту на запит Суду інформують про додаткові права згідно з ч. 3 ст. 627 КПК України та ч. 2 ст. 55 Римського статуту. Серед них право: бути поінформованим про підозру у вчиненні злочину; зберігати мовчання, яке не впливає на оцінку вини; мати захисника (додатково передбачена можливість його дистанційної участі через відео- чи аудіозв’язок у повторних процесуальних діях. Однак при першому допиті це може ускладнити забезпечення права на конфіденційну зустріч із захисником);</w:t>
      </w:r>
      <w:r w:rsidRPr="00511005">
        <w:rPr>
          <w:rFonts w:ascii="Arial" w:eastAsia="Times New Roman" w:hAnsi="Arial" w:cs="Arial"/>
          <w:szCs w:val="28"/>
          <w:lang w:eastAsia="uk-UA"/>
        </w:rPr>
        <w:t xml:space="preserve"> </w:t>
      </w:r>
      <w:r w:rsidRPr="00511005">
        <w:rPr>
          <w:rFonts w:ascii="Arial" w:eastAsia="Times New Roman" w:hAnsi="Arial" w:cs="Arial"/>
          <w:szCs w:val="28"/>
          <w:lang w:val="uk-UA" w:eastAsia="uk-UA"/>
        </w:rPr>
        <w:t xml:space="preserve">бути допитаним у присутності адвоката або добровільно відмовитися від цього. Також встановлено: право слідчого, дізнавача чи прокурора здійснювати переклад за умови володіння </w:t>
      </w:r>
      <w:r w:rsidRPr="00511005">
        <w:rPr>
          <w:rFonts w:ascii="Arial" w:eastAsia="Times New Roman" w:hAnsi="Arial" w:cs="Arial"/>
          <w:szCs w:val="28"/>
          <w:lang w:val="uk-UA" w:eastAsia="uk-UA"/>
        </w:rPr>
        <w:lastRenderedPageBreak/>
        <w:t>відповідною мовою, але перекладач має бути залучений за першої можливості; обов’язок зберігати електронні копії матеріалів проваджень, зокрема протоколів слідчих дій, навіть без технічної фіксації – шляхом сканування або фотографування [2, с. 213-214].</w:t>
      </w:r>
    </w:p>
    <w:p w14:paraId="3A27CF76" w14:textId="77777777" w:rsidR="00532C25" w:rsidRPr="00511005" w:rsidRDefault="00532C25" w:rsidP="00532C25">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Складним моментом є мовні та процедурні бар</w:t>
      </w:r>
      <w:r w:rsidRPr="00511005">
        <w:rPr>
          <w:rFonts w:ascii="Arial" w:eastAsia="Times New Roman" w:hAnsi="Arial" w:cs="Arial"/>
          <w:szCs w:val="28"/>
          <w:lang w:eastAsia="uk-UA"/>
        </w:rPr>
        <w:t>’</w:t>
      </w:r>
      <w:r w:rsidRPr="00511005">
        <w:rPr>
          <w:rFonts w:ascii="Arial" w:eastAsia="Times New Roman" w:hAnsi="Arial" w:cs="Arial"/>
          <w:szCs w:val="28"/>
          <w:lang w:val="uk-UA" w:eastAsia="uk-UA"/>
        </w:rPr>
        <w:t>єри. Д. Зайцев та О. Солдатенко підкреслюють, що переклад процесуальних документів та дотримання процедурних норм різних країн часто призводить до затримок у розслідуваннях та ускладнює взаємодію між правоохоронними органами [див.: 3, с. 705].</w:t>
      </w:r>
    </w:p>
    <w:p w14:paraId="244EB736" w14:textId="77777777" w:rsidR="00532C25" w:rsidRPr="00511005" w:rsidRDefault="00532C25" w:rsidP="00532C25">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 розвитком інформаційних технологій з’являються нові форми злочинності, зокрема кіберзлочини, які вимагають спеціалізованих знань та технічних засобів для їх розслідування. А. Гребенюк та Т. Бадалова зазначають, що відсутність єдиних стандартів у сфері кібербезпеки та недостатній рівень технічного забезпечення правоохоронних органів ускладнюють боротьбу з кіберзлочинністю на міжнародному рівні [див.: 4, с. 18].</w:t>
      </w:r>
    </w:p>
    <w:p w14:paraId="7AD7682F" w14:textId="77777777" w:rsidR="00532C25" w:rsidRPr="00511005" w:rsidRDefault="00532C25" w:rsidP="00532C25">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Особливу складність становить розслідування воєнних злочинів, які часто мають транснаціональний характер. Н. Савчин та М. Суховерський зазначають, що збирання доказів, ідентифікація підозрюваних та забезпечення справедливого судового розгляду вимагають тісної співпраці між державами та міжнародними організаціями [див.: 5, с. 134-138]. Це також забезпечує обмін інформацією, технічну підтримку, а інколи й політичну волю для підтримки процесу розслідування.</w:t>
      </w:r>
    </w:p>
    <w:p w14:paraId="34C4BD8C" w14:textId="77777777" w:rsidR="00532C25" w:rsidRPr="00511005" w:rsidRDefault="00532C25" w:rsidP="00532C25">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До прикладу, подія квітня 2022 року, коли до України прибула команда технічних і наукових жандармів спеціальних служб Франції. До її складу входили судово-медичні експерти, фахівці з балістики, вибухотехніки, ДНК-аналізу, дактилоскопії, огляду місця події, а також помічники слідчих. Метою їхнього візиту була підтримка в розслідуванні воєнних злочинів на території Київської області [6].</w:t>
      </w:r>
      <w:r w:rsidRPr="00511005">
        <w:rPr>
          <w:rFonts w:ascii="Arial" w:eastAsia="Calibri" w:hAnsi="Arial" w:cs="Arial"/>
          <w:szCs w:val="28"/>
          <w:lang w:val="uk-UA"/>
        </w:rPr>
        <w:t xml:space="preserve"> </w:t>
      </w:r>
      <w:r w:rsidRPr="00511005">
        <w:rPr>
          <w:rFonts w:ascii="Arial" w:eastAsia="Times New Roman" w:hAnsi="Arial" w:cs="Arial"/>
          <w:szCs w:val="28"/>
          <w:lang w:val="uk-UA" w:eastAsia="uk-UA"/>
        </w:rPr>
        <w:t xml:space="preserve">Тож приклад </w:t>
      </w:r>
      <w:r w:rsidRPr="00511005">
        <w:rPr>
          <w:rFonts w:ascii="Arial" w:eastAsia="Times New Roman" w:hAnsi="Arial" w:cs="Arial"/>
          <w:szCs w:val="28"/>
          <w:lang w:eastAsia="uk-UA"/>
        </w:rPr>
        <w:t>показує</w:t>
      </w:r>
      <w:r w:rsidRPr="00511005">
        <w:rPr>
          <w:rFonts w:ascii="Arial" w:eastAsia="Times New Roman" w:hAnsi="Arial" w:cs="Arial"/>
          <w:szCs w:val="28"/>
          <w:lang w:val="uk-UA" w:eastAsia="uk-UA"/>
        </w:rPr>
        <w:t xml:space="preserve"> практичну реалізацію міжнародної співпраці у сфері кримінального правосуддя під час збройного конфлікту. Участь французьких спеціалістів, демонструє важливість міждержавної взаємодії для забезпечення об’єктивного та всебічного розслідування воєнних злочинів. Така підтримка з боку європейських партнерів підвищує рівень довіри до результатів слідства та зміцнює потенціал національних правоохоронних органів у документуванні та фіксації міжнародних злочинів відповідно до стандартів міжнародного гуманітарного права.</w:t>
      </w:r>
    </w:p>
    <w:p w14:paraId="7AA8820A" w14:textId="77777777" w:rsidR="00532C25" w:rsidRPr="00511005" w:rsidRDefault="00532C25" w:rsidP="00532C25">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Варто відзначити, що міжнародні організації також здійснюють онлайн-розслідування, збираючи цифрові докази. Зокрема, лабораторія доказів «Amnesty International» фокусується на зборі інформації про атаки на цивільні об’єкти та інфраструктуру. Компанія «Maxar Technologies» надає супутникові знімки високої роздільної здатності, а організації на кшталт </w:t>
      </w:r>
      <w:r w:rsidRPr="00511005">
        <w:rPr>
          <w:rFonts w:ascii="Arial" w:eastAsia="Times New Roman" w:hAnsi="Arial" w:cs="Arial"/>
          <w:szCs w:val="28"/>
          <w:lang w:val="uk-UA" w:eastAsia="uk-UA"/>
        </w:rPr>
        <w:lastRenderedPageBreak/>
        <w:t>«Witness» закликають соціальні мережі створювати спеціальні архіви для збереження доказів можливих воєнних злочинів. Окремо варто згадати берлінську організацію «Mnemonic», яка спеціалізується саме на зборі й збереженні таких цифрових матеріалів [див.: 7, c. 360].</w:t>
      </w:r>
      <w:r w:rsidRPr="00511005">
        <w:rPr>
          <w:rFonts w:ascii="Arial" w:eastAsia="Calibri" w:hAnsi="Arial" w:cs="Arial"/>
          <w:szCs w:val="28"/>
          <w:lang w:val="uk-UA"/>
        </w:rPr>
        <w:t xml:space="preserve"> </w:t>
      </w:r>
      <w:r w:rsidRPr="00511005">
        <w:rPr>
          <w:rFonts w:ascii="Arial" w:eastAsia="Times New Roman" w:hAnsi="Arial" w:cs="Arial"/>
          <w:szCs w:val="28"/>
          <w:lang w:val="uk-UA" w:eastAsia="uk-UA"/>
        </w:rPr>
        <w:t xml:space="preserve">Наведений приклад свідчить про новітні підходи до розслідування воєнних злочинів, зокрема використання цифрових технологій і відкритих джерел інформації (OSINT). Онлайн-розслідування доповнюють традиційні методи збору доказів, даючи змогу фіксувати порушення міжнародного гуманітарного права навіть у реальному часі. Така діяльність </w:t>
      </w:r>
      <w:r w:rsidRPr="00511005">
        <w:rPr>
          <w:rFonts w:ascii="Arial" w:eastAsia="Times New Roman" w:hAnsi="Arial" w:cs="Arial"/>
          <w:szCs w:val="28"/>
          <w:lang w:eastAsia="uk-UA"/>
        </w:rPr>
        <w:t xml:space="preserve">набуває </w:t>
      </w:r>
      <w:r w:rsidRPr="00511005">
        <w:rPr>
          <w:rFonts w:ascii="Arial" w:eastAsia="Times New Roman" w:hAnsi="Arial" w:cs="Arial"/>
          <w:szCs w:val="28"/>
          <w:lang w:val="uk-UA" w:eastAsia="uk-UA"/>
        </w:rPr>
        <w:t>особливо</w:t>
      </w:r>
      <w:r w:rsidRPr="00511005">
        <w:rPr>
          <w:rFonts w:ascii="Arial" w:eastAsia="Times New Roman" w:hAnsi="Arial" w:cs="Arial"/>
          <w:szCs w:val="28"/>
          <w:lang w:eastAsia="uk-UA"/>
        </w:rPr>
        <w:t xml:space="preserve">го значення </w:t>
      </w:r>
      <w:r w:rsidRPr="00511005">
        <w:rPr>
          <w:rFonts w:ascii="Arial" w:eastAsia="Times New Roman" w:hAnsi="Arial" w:cs="Arial"/>
          <w:szCs w:val="28"/>
          <w:lang w:val="uk-UA" w:eastAsia="uk-UA"/>
        </w:rPr>
        <w:t>в умовах обмеженого фізичного доступу до зони конфлікту. Співпраця правозахисних організацій, комерційних компаній та технологічних ініціатив створює нову екосистему цифрової доказової бази, яка може бути використана у подальшому для переслідування винних на національному чи міжнародному рівні.</w:t>
      </w:r>
    </w:p>
    <w:p w14:paraId="2D91C633" w14:textId="77777777" w:rsidR="00532C25" w:rsidRPr="00511005" w:rsidRDefault="00532C25" w:rsidP="00532C25">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Аналіз окремих аспектів правового регулювання та практики проведення слідчих (розшукових) дій виявляє низку спірних моментів. Серед них – обмеження щодо заборони проведення таких дій лише в разі загрози безпеці учасників однієї конкретної слідчої дії, тоді як доцільно було б поширити це на всі їх види. Проблемним є й питання неможливості проведення огляду тіла на місці події, що вирішується шляхом доставки трупів військовими, а в окремих випадках – волонтерами, місцевими жителями чи родичами загиблих. Додатково слід відзначити нестачу слідчих під час масових допитів, коли необхідно опитати значну кількість свідків і потерпілих у стислий термін</w:t>
      </w:r>
      <w:r w:rsidRPr="00511005">
        <w:rPr>
          <w:rFonts w:ascii="Arial" w:eastAsia="Times New Roman" w:hAnsi="Arial" w:cs="Arial"/>
          <w:szCs w:val="28"/>
          <w:lang w:eastAsia="uk-UA"/>
        </w:rPr>
        <w:t xml:space="preserve"> [див.: 2, с. 217]</w:t>
      </w:r>
      <w:r w:rsidRPr="00511005">
        <w:rPr>
          <w:rFonts w:ascii="Arial" w:eastAsia="Times New Roman" w:hAnsi="Arial" w:cs="Arial"/>
          <w:szCs w:val="28"/>
          <w:lang w:val="uk-UA" w:eastAsia="uk-UA"/>
        </w:rPr>
        <w:t>.</w:t>
      </w:r>
    </w:p>
    <w:p w14:paraId="4C6D6313" w14:textId="77777777" w:rsidR="00532C25" w:rsidRPr="00511005" w:rsidRDefault="00532C25" w:rsidP="00532C25">
      <w:pPr>
        <w:shd w:val="clear" w:color="auto" w:fill="FFFFFF"/>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Проведення слідчих (розшукових) дій у межах міжнародного кримінального співробітництва супроводжується низкою проблем, пов</w:t>
      </w:r>
      <w:r w:rsidRPr="00511005">
        <w:rPr>
          <w:rFonts w:ascii="Arial" w:eastAsia="Times New Roman" w:hAnsi="Arial" w:cs="Arial"/>
          <w:szCs w:val="28"/>
          <w:lang w:eastAsia="uk-UA"/>
        </w:rPr>
        <w:t>’</w:t>
      </w:r>
      <w:r w:rsidRPr="00511005">
        <w:rPr>
          <w:rFonts w:ascii="Arial" w:eastAsia="Times New Roman" w:hAnsi="Arial" w:cs="Arial"/>
          <w:szCs w:val="28"/>
          <w:lang w:val="uk-UA" w:eastAsia="uk-UA"/>
        </w:rPr>
        <w:t>язаних з правовими, мовними, технічними та організаційними аспектами. Серед них: тривалість та бюрократія – отримання міжнародної правової допомоги може займати місяці, що ускладнює ефективне розслідування; визнання доказів, отриманих за межами України – суди можуть не визнавати такі докази, якщо вони були зібрані без дотримання українських процесуальних норм; військові реалії – через російську агресію співпраця з такими країнами як з Білоруссю, РФ фактично припинена. Для їх подолання необхідно: ​уніфікувати законодавство та процедури між країнами; покращити технічне забезпечення та підготовку правоохоронців; створити ефективні механізми координації та обміну інформацією; забезпечити належний рівень співпраці у розслідуванні воєнних злочинів.​</w:t>
      </w:r>
    </w:p>
    <w:p w14:paraId="1B7EB3DC" w14:textId="77777777" w:rsidR="00532C25" w:rsidRPr="00511005" w:rsidRDefault="00532C25" w:rsidP="00532C25">
      <w:pPr>
        <w:shd w:val="clear" w:color="auto" w:fill="FFFFFF"/>
        <w:spacing w:line="264" w:lineRule="auto"/>
        <w:rPr>
          <w:rFonts w:ascii="Arial" w:eastAsia="Times New Roman" w:hAnsi="Arial" w:cs="Arial"/>
          <w:szCs w:val="28"/>
          <w:lang w:eastAsia="uk-UA"/>
        </w:rPr>
      </w:pPr>
      <w:r w:rsidRPr="00511005">
        <w:rPr>
          <w:rFonts w:ascii="Arial" w:eastAsia="Times New Roman" w:hAnsi="Arial" w:cs="Arial"/>
          <w:szCs w:val="28"/>
          <w:lang w:eastAsia="uk-UA"/>
        </w:rPr>
        <w:t>Отже, п</w:t>
      </w:r>
      <w:r w:rsidRPr="00511005">
        <w:rPr>
          <w:rFonts w:ascii="Arial" w:eastAsia="Times New Roman" w:hAnsi="Arial" w:cs="Arial"/>
          <w:szCs w:val="28"/>
          <w:lang w:val="uk-UA" w:eastAsia="uk-UA"/>
        </w:rPr>
        <w:t xml:space="preserve">роведення </w:t>
      </w:r>
      <w:r w:rsidRPr="00511005">
        <w:rPr>
          <w:rFonts w:ascii="Arial" w:eastAsia="Times New Roman" w:hAnsi="Arial" w:cs="Arial"/>
          <w:szCs w:val="28"/>
          <w:lang w:eastAsia="uk-UA"/>
        </w:rPr>
        <w:t xml:space="preserve">зазначених </w:t>
      </w:r>
      <w:r w:rsidRPr="00511005">
        <w:rPr>
          <w:rFonts w:ascii="Arial" w:eastAsia="Times New Roman" w:hAnsi="Arial" w:cs="Arial"/>
          <w:szCs w:val="28"/>
          <w:lang w:val="uk-UA" w:eastAsia="uk-UA"/>
        </w:rPr>
        <w:t xml:space="preserve">дій </w:t>
      </w:r>
      <w:proofErr w:type="gramStart"/>
      <w:r w:rsidRPr="00511005">
        <w:rPr>
          <w:rFonts w:ascii="Arial" w:eastAsia="Times New Roman" w:hAnsi="Arial" w:cs="Arial"/>
          <w:szCs w:val="28"/>
          <w:lang w:val="uk-UA" w:eastAsia="uk-UA"/>
        </w:rPr>
        <w:t>у межах</w:t>
      </w:r>
      <w:proofErr w:type="gramEnd"/>
      <w:r w:rsidRPr="00511005">
        <w:rPr>
          <w:rFonts w:ascii="Arial" w:eastAsia="Times New Roman" w:hAnsi="Arial" w:cs="Arial"/>
          <w:szCs w:val="28"/>
          <w:lang w:val="uk-UA" w:eastAsia="uk-UA"/>
        </w:rPr>
        <w:t xml:space="preserve"> міжнародного кримінального співробітництва стикається з рядом серйозних проблем та викликів. Серед основних з них можна виділити юридичні, організаційні та технічні труднощі, пов’язані з різними правовими системами, процедурними вимогами та забезпеченням належної координації між державами. </w:t>
      </w:r>
      <w:r w:rsidRPr="00511005">
        <w:rPr>
          <w:rFonts w:ascii="Arial" w:eastAsia="Times New Roman" w:hAnsi="Arial" w:cs="Arial"/>
          <w:szCs w:val="28"/>
          <w:lang w:eastAsia="uk-UA"/>
        </w:rPr>
        <w:t xml:space="preserve">Проте, </w:t>
      </w:r>
      <w:r w:rsidRPr="00511005">
        <w:rPr>
          <w:rFonts w:ascii="Arial" w:eastAsia="Times New Roman" w:hAnsi="Arial" w:cs="Arial"/>
          <w:szCs w:val="28"/>
          <w:lang w:eastAsia="uk-UA"/>
        </w:rPr>
        <w:lastRenderedPageBreak/>
        <w:t>н</w:t>
      </w:r>
      <w:r w:rsidRPr="00511005">
        <w:rPr>
          <w:rFonts w:ascii="Arial" w:eastAsia="Times New Roman" w:hAnsi="Arial" w:cs="Arial"/>
          <w:szCs w:val="28"/>
          <w:lang w:val="uk-UA" w:eastAsia="uk-UA"/>
        </w:rPr>
        <w:t>езважаючи на ці труднощі, міжнародне співробітництво в боротьбі з міжнародними злочинами є необхідним для забезпечення ефективного правосуддя та попередження безкарності на глобальному рівні.</w:t>
      </w:r>
    </w:p>
    <w:p w14:paraId="66C6BE3C" w14:textId="77777777" w:rsidR="00532C25" w:rsidRPr="00511005" w:rsidRDefault="00532C25" w:rsidP="00532C25">
      <w:pPr>
        <w:spacing w:line="264" w:lineRule="auto"/>
        <w:ind w:firstLine="0"/>
        <w:rPr>
          <w:rFonts w:ascii="Arial" w:eastAsia="Arial" w:hAnsi="Arial" w:cs="Arial"/>
          <w:b/>
          <w:szCs w:val="28"/>
          <w:lang w:val="ru" w:eastAsia="ru-RU"/>
        </w:rPr>
      </w:pPr>
    </w:p>
    <w:p w14:paraId="717CF04A" w14:textId="77777777" w:rsidR="00532C25" w:rsidRPr="00511005" w:rsidRDefault="00532C25" w:rsidP="00532C25">
      <w:pPr>
        <w:spacing w:line="264" w:lineRule="auto"/>
        <w:ind w:firstLine="0"/>
        <w:jc w:val="center"/>
        <w:rPr>
          <w:rFonts w:ascii="Arial" w:eastAsia="Arial" w:hAnsi="Arial" w:cs="Arial"/>
          <w:b/>
          <w:szCs w:val="28"/>
          <w:lang w:val="en-US" w:eastAsia="ru-RU"/>
        </w:rPr>
      </w:pPr>
      <w:r w:rsidRPr="00511005">
        <w:rPr>
          <w:rFonts w:ascii="Arial" w:eastAsia="Arial" w:hAnsi="Arial" w:cs="Arial"/>
          <w:b/>
          <w:szCs w:val="28"/>
          <w:lang w:val="uk-UA" w:eastAsia="ru-RU"/>
        </w:rPr>
        <w:t>Список використаних джерел</w:t>
      </w:r>
    </w:p>
    <w:p w14:paraId="611B47AF" w14:textId="77777777" w:rsidR="00532C25" w:rsidRPr="00511005" w:rsidRDefault="00532C25" w:rsidP="003F6A5D">
      <w:pPr>
        <w:numPr>
          <w:ilvl w:val="0"/>
          <w:numId w:val="817"/>
        </w:numPr>
        <w:spacing w:line="264" w:lineRule="auto"/>
        <w:ind w:left="0" w:firstLine="709"/>
        <w:contextualSpacing/>
        <w:jc w:val="left"/>
        <w:rPr>
          <w:rFonts w:ascii="Arial" w:eastAsia="Calibri" w:hAnsi="Arial" w:cs="Arial"/>
          <w:szCs w:val="28"/>
          <w:shd w:val="clear" w:color="auto" w:fill="FFFFFF"/>
        </w:rPr>
      </w:pPr>
      <w:r w:rsidRPr="00511005">
        <w:rPr>
          <w:rFonts w:ascii="Arial" w:eastAsia="Calibri" w:hAnsi="Arial" w:cs="Arial"/>
          <w:szCs w:val="28"/>
          <w:shd w:val="clear" w:color="auto" w:fill="FFFFFF"/>
          <w:lang w:val="en-US"/>
        </w:rPr>
        <w:t xml:space="preserve">Yemets O., Voronov I., Hribov M. Legal aspects of international cooperation in combating organised crime. </w:t>
      </w:r>
      <w:r w:rsidRPr="00511005">
        <w:rPr>
          <w:rFonts w:ascii="Arial" w:eastAsia="Calibri" w:hAnsi="Arial" w:cs="Arial"/>
          <w:i/>
          <w:iCs/>
          <w:szCs w:val="28"/>
          <w:shd w:val="clear" w:color="auto" w:fill="FFFFFF"/>
          <w:lang w:val="en-US"/>
        </w:rPr>
        <w:t>Scientific Journal of the National Academy of Internal Affairs</w:t>
      </w:r>
      <w:r w:rsidRPr="00511005">
        <w:rPr>
          <w:rFonts w:ascii="Arial" w:eastAsia="Calibri" w:hAnsi="Arial" w:cs="Arial"/>
          <w:szCs w:val="28"/>
          <w:shd w:val="clear" w:color="auto" w:fill="FFFFFF"/>
          <w:lang w:val="en-US"/>
        </w:rPr>
        <w:t xml:space="preserve">, 2024. 29(1), </w:t>
      </w:r>
      <w:r w:rsidRPr="00511005">
        <w:rPr>
          <w:rFonts w:ascii="Arial" w:eastAsia="Calibri" w:hAnsi="Arial" w:cs="Arial"/>
          <w:szCs w:val="28"/>
          <w:shd w:val="clear" w:color="auto" w:fill="FFFFFF"/>
        </w:rPr>
        <w:t>Р</w:t>
      </w:r>
      <w:r w:rsidRPr="00511005">
        <w:rPr>
          <w:rFonts w:ascii="Arial" w:eastAsia="Calibri" w:hAnsi="Arial" w:cs="Arial"/>
          <w:szCs w:val="28"/>
          <w:shd w:val="clear" w:color="auto" w:fill="FFFFFF"/>
          <w:lang w:val="en-US"/>
        </w:rPr>
        <w:t xml:space="preserve">. 20-30. </w:t>
      </w:r>
      <w:r w:rsidRPr="00511005">
        <w:rPr>
          <w:rFonts w:ascii="Arial" w:eastAsia="Calibri" w:hAnsi="Arial" w:cs="Arial"/>
          <w:szCs w:val="28"/>
          <w:shd w:val="clear" w:color="auto" w:fill="FFFFFF"/>
        </w:rPr>
        <w:t xml:space="preserve">URL: </w:t>
      </w:r>
      <w:hyperlink r:id="rId2223" w:history="1">
        <w:r w:rsidRPr="00511005">
          <w:rPr>
            <w:rFonts w:ascii="Arial" w:eastAsia="Calibri" w:hAnsi="Arial" w:cs="Arial"/>
            <w:szCs w:val="28"/>
            <w:shd w:val="clear" w:color="auto" w:fill="FFFFFF"/>
          </w:rPr>
          <w:t>https://doi.org/10.56215/naia-herald/1.2024.20</w:t>
        </w:r>
      </w:hyperlink>
      <w:r w:rsidRPr="00511005">
        <w:rPr>
          <w:rFonts w:ascii="Arial" w:eastAsia="Calibri" w:hAnsi="Arial" w:cs="Arial"/>
          <w:szCs w:val="28"/>
        </w:rPr>
        <w:t>.</w:t>
      </w:r>
    </w:p>
    <w:p w14:paraId="6E99E7B4" w14:textId="77777777" w:rsidR="00532C25" w:rsidRPr="00511005" w:rsidRDefault="00532C25" w:rsidP="003F6A5D">
      <w:pPr>
        <w:numPr>
          <w:ilvl w:val="0"/>
          <w:numId w:val="817"/>
        </w:numPr>
        <w:spacing w:line="264" w:lineRule="auto"/>
        <w:ind w:left="0" w:firstLine="709"/>
        <w:contextualSpacing/>
        <w:jc w:val="left"/>
        <w:rPr>
          <w:rFonts w:ascii="Arial" w:eastAsia="Calibri" w:hAnsi="Arial" w:cs="Arial"/>
          <w:szCs w:val="28"/>
          <w:shd w:val="clear" w:color="auto" w:fill="FFFFFF"/>
        </w:rPr>
      </w:pPr>
      <w:r w:rsidRPr="00511005">
        <w:rPr>
          <w:rFonts w:ascii="Arial" w:eastAsia="Calibri" w:hAnsi="Arial" w:cs="Arial"/>
          <w:szCs w:val="28"/>
          <w:shd w:val="clear" w:color="auto" w:fill="FFFFFF"/>
        </w:rPr>
        <w:t>Мартишко І. Проведення слідчих (розшукових) дій в умовах воєнного стану.</w:t>
      </w:r>
      <w:r w:rsidRPr="00511005">
        <w:rPr>
          <w:rFonts w:ascii="Arial" w:eastAsia="Calibri" w:hAnsi="Arial" w:cs="Arial"/>
          <w:szCs w:val="28"/>
        </w:rPr>
        <w:t xml:space="preserve"> </w:t>
      </w:r>
      <w:r w:rsidRPr="00511005">
        <w:rPr>
          <w:rFonts w:ascii="Arial" w:eastAsia="Calibri" w:hAnsi="Arial" w:cs="Arial"/>
          <w:i/>
          <w:iCs/>
          <w:szCs w:val="28"/>
          <w:shd w:val="clear" w:color="auto" w:fill="FFFFFF"/>
        </w:rPr>
        <w:t>Альманах наукових праць</w:t>
      </w:r>
      <w:r w:rsidRPr="00511005">
        <w:rPr>
          <w:rFonts w:ascii="Arial" w:eastAsia="Calibri" w:hAnsi="Arial" w:cs="Arial"/>
          <w:szCs w:val="28"/>
          <w:shd w:val="clear" w:color="auto" w:fill="FFFFFF"/>
        </w:rPr>
        <w:t xml:space="preserve">, 2023. С. 210-218. </w:t>
      </w:r>
      <w:r w:rsidRPr="00511005">
        <w:rPr>
          <w:rFonts w:ascii="Arial" w:eastAsia="Calibri" w:hAnsi="Arial" w:cs="Arial"/>
          <w:szCs w:val="28"/>
          <w:shd w:val="clear" w:color="auto" w:fill="FFFFFF"/>
          <w:lang w:val="en-GB"/>
        </w:rPr>
        <w:t>URL</w:t>
      </w:r>
      <w:r w:rsidRPr="00511005">
        <w:rPr>
          <w:rFonts w:ascii="Arial" w:eastAsia="Calibri" w:hAnsi="Arial" w:cs="Arial"/>
          <w:szCs w:val="28"/>
          <w:shd w:val="clear" w:color="auto" w:fill="FFFFFF"/>
        </w:rPr>
        <w:t>:</w:t>
      </w:r>
      <w:r w:rsidRPr="00511005">
        <w:rPr>
          <w:rFonts w:ascii="Arial" w:eastAsia="Calibri" w:hAnsi="Arial" w:cs="Arial"/>
          <w:szCs w:val="28"/>
        </w:rPr>
        <w:t xml:space="preserve"> </w:t>
      </w:r>
      <w:hyperlink r:id="rId2224" w:anchor="page=210" w:history="1">
        <w:r w:rsidRPr="00511005">
          <w:rPr>
            <w:rFonts w:ascii="Arial" w:eastAsia="Calibri" w:hAnsi="Arial" w:cs="Arial"/>
            <w:szCs w:val="28"/>
            <w:shd w:val="clear" w:color="auto" w:fill="FFFFFF"/>
            <w:lang w:val="en-GB"/>
          </w:rPr>
          <w:t>https</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GB"/>
          </w:rPr>
          <w:t>www</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GB"/>
          </w:rPr>
          <w:t>biblioteka</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GB"/>
          </w:rPr>
          <w:t>uz</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GB"/>
          </w:rPr>
          <w:t>ua</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GB"/>
          </w:rPr>
          <w:t>content</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GB"/>
          </w:rPr>
          <w:t>files</w:t>
        </w:r>
        <w:r w:rsidRPr="00511005">
          <w:rPr>
            <w:rFonts w:ascii="Arial" w:eastAsia="Calibri" w:hAnsi="Arial" w:cs="Arial"/>
            <w:szCs w:val="28"/>
            <w:shd w:val="clear" w:color="auto" w:fill="FFFFFF"/>
          </w:rPr>
          <w:t>/2023/</w:t>
        </w:r>
        <w:r w:rsidRPr="00511005">
          <w:rPr>
            <w:rFonts w:ascii="Arial" w:eastAsia="Calibri" w:hAnsi="Arial" w:cs="Arial"/>
            <w:szCs w:val="28"/>
            <w:shd w:val="clear" w:color="auto" w:fill="FFFFFF"/>
            <w:lang w:val="en-GB"/>
          </w:rPr>
          <w:t>Pravo</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GB"/>
          </w:rPr>
          <w:t>pdf</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GB"/>
          </w:rPr>
          <w:t>page</w:t>
        </w:r>
        <w:r w:rsidRPr="00511005">
          <w:rPr>
            <w:rFonts w:ascii="Arial" w:eastAsia="Calibri" w:hAnsi="Arial" w:cs="Arial"/>
            <w:szCs w:val="28"/>
            <w:shd w:val="clear" w:color="auto" w:fill="FFFFFF"/>
          </w:rPr>
          <w:t>=210</w:t>
        </w:r>
      </w:hyperlink>
      <w:r w:rsidRPr="00511005">
        <w:rPr>
          <w:rFonts w:ascii="Arial" w:eastAsia="Calibri" w:hAnsi="Arial" w:cs="Arial"/>
          <w:szCs w:val="28"/>
          <w:shd w:val="clear" w:color="auto" w:fill="FFFFFF"/>
        </w:rPr>
        <w:t>.</w:t>
      </w:r>
    </w:p>
    <w:p w14:paraId="215ACA25" w14:textId="77777777" w:rsidR="00532C25" w:rsidRPr="00511005" w:rsidRDefault="00532C25" w:rsidP="003F6A5D">
      <w:pPr>
        <w:numPr>
          <w:ilvl w:val="0"/>
          <w:numId w:val="817"/>
        </w:numPr>
        <w:spacing w:line="264" w:lineRule="auto"/>
        <w:ind w:left="0" w:firstLine="709"/>
        <w:contextualSpacing/>
        <w:jc w:val="left"/>
        <w:rPr>
          <w:rFonts w:ascii="Arial" w:eastAsia="Calibri" w:hAnsi="Arial" w:cs="Arial"/>
          <w:szCs w:val="28"/>
          <w:shd w:val="clear" w:color="auto" w:fill="FFFFFF"/>
        </w:rPr>
      </w:pPr>
      <w:r w:rsidRPr="00511005">
        <w:rPr>
          <w:rFonts w:ascii="Arial" w:eastAsia="Calibri" w:hAnsi="Arial" w:cs="Arial"/>
          <w:szCs w:val="28"/>
          <w:shd w:val="clear" w:color="auto" w:fill="FFFFFF"/>
        </w:rPr>
        <w:t xml:space="preserve">Зайцев Д. Г., О. А. Солдатенко Проблеми здійснення окремих аспектів для виконання міжнародного співробітництва під час кримінального провадження. </w:t>
      </w:r>
      <w:r w:rsidRPr="00511005">
        <w:rPr>
          <w:rFonts w:ascii="Arial" w:eastAsia="Calibri" w:hAnsi="Arial" w:cs="Arial"/>
          <w:i/>
          <w:iCs/>
          <w:szCs w:val="28"/>
          <w:shd w:val="clear" w:color="auto" w:fill="FFFFFF"/>
        </w:rPr>
        <w:t>Міжнародна та національна безпека: теоретичні і прикладні аспекти: матеріали VІІІ Міжнар. наук.-практ. конф. (м. Дніпро, 15 березня 2024 р.)</w:t>
      </w:r>
      <w:r w:rsidRPr="00511005">
        <w:rPr>
          <w:rFonts w:ascii="Arial" w:eastAsia="Calibri" w:hAnsi="Arial" w:cs="Arial"/>
          <w:szCs w:val="28"/>
          <w:shd w:val="clear" w:color="auto" w:fill="FFFFFF"/>
        </w:rPr>
        <w:t xml:space="preserve">; у 2-х ч. Ч. І. Дніпро: ДДУВС, 2024. С. 704-706. </w:t>
      </w:r>
      <w:r w:rsidRPr="00511005">
        <w:rPr>
          <w:rFonts w:ascii="Arial" w:eastAsia="Calibri" w:hAnsi="Arial" w:cs="Arial"/>
          <w:szCs w:val="28"/>
          <w:shd w:val="clear" w:color="auto" w:fill="FFFFFF"/>
          <w:lang w:val="en-GB"/>
        </w:rPr>
        <w:t>URL</w:t>
      </w:r>
      <w:r w:rsidRPr="00511005">
        <w:rPr>
          <w:rFonts w:ascii="Arial" w:eastAsia="Calibri" w:hAnsi="Arial" w:cs="Arial"/>
          <w:szCs w:val="28"/>
          <w:shd w:val="clear" w:color="auto" w:fill="FFFFFF"/>
        </w:rPr>
        <w:t xml:space="preserve">: </w:t>
      </w:r>
      <w:hyperlink r:id="rId2225" w:history="1">
        <w:r w:rsidRPr="00511005">
          <w:rPr>
            <w:rFonts w:ascii="Arial" w:eastAsia="Calibri" w:hAnsi="Arial" w:cs="Arial"/>
            <w:szCs w:val="28"/>
            <w:shd w:val="clear" w:color="auto" w:fill="FFFFFF"/>
          </w:rPr>
          <w:t>https://er.dduvs.edu.ua/bitstream/123456789/13330/1/326.pdf</w:t>
        </w:r>
      </w:hyperlink>
      <w:r w:rsidRPr="00511005">
        <w:rPr>
          <w:rFonts w:ascii="Arial" w:eastAsia="Calibri" w:hAnsi="Arial" w:cs="Arial"/>
          <w:szCs w:val="28"/>
          <w:shd w:val="clear" w:color="auto" w:fill="FFFFFF"/>
        </w:rPr>
        <w:t>.</w:t>
      </w:r>
    </w:p>
    <w:p w14:paraId="3309BAB2" w14:textId="77777777" w:rsidR="00532C25" w:rsidRPr="00511005" w:rsidRDefault="00532C25" w:rsidP="003F6A5D">
      <w:pPr>
        <w:numPr>
          <w:ilvl w:val="0"/>
          <w:numId w:val="817"/>
        </w:numPr>
        <w:spacing w:line="264" w:lineRule="auto"/>
        <w:ind w:left="0" w:firstLine="709"/>
        <w:contextualSpacing/>
        <w:jc w:val="left"/>
        <w:rPr>
          <w:rFonts w:ascii="Arial" w:eastAsia="Calibri" w:hAnsi="Arial" w:cs="Arial"/>
          <w:szCs w:val="28"/>
          <w:shd w:val="clear" w:color="auto" w:fill="FFFFFF"/>
        </w:rPr>
      </w:pPr>
      <w:r w:rsidRPr="00511005">
        <w:rPr>
          <w:rFonts w:ascii="Arial" w:eastAsia="Calibri" w:hAnsi="Arial" w:cs="Arial"/>
          <w:szCs w:val="28"/>
          <w:shd w:val="clear" w:color="auto" w:fill="FFFFFF"/>
        </w:rPr>
        <w:t xml:space="preserve">Бадалова Т. Г., Гребенюк А. М. Окремі проблемні питання щодо здійснення міжнародного співробітництва під час проведення досудового розслідування кримінальних проваджень пов’язаних з кібезлочинами. </w:t>
      </w:r>
      <w:r w:rsidRPr="00511005">
        <w:rPr>
          <w:rFonts w:ascii="Arial" w:eastAsia="Calibri" w:hAnsi="Arial" w:cs="Arial"/>
          <w:i/>
          <w:iCs/>
          <w:szCs w:val="28"/>
          <w:shd w:val="clear" w:color="auto" w:fill="FFFFFF"/>
        </w:rPr>
        <w:t>Сучасні інформаційні технології в діяльності Національної поліції України: матеріали Всеукр. наук.-практ. семінару (м. Дніпро, 10 листоп. 2022 р.).</w:t>
      </w:r>
      <w:r w:rsidRPr="00511005">
        <w:rPr>
          <w:rFonts w:ascii="Arial" w:eastAsia="Calibri" w:hAnsi="Arial" w:cs="Arial"/>
          <w:szCs w:val="28"/>
          <w:shd w:val="clear" w:color="auto" w:fill="FFFFFF"/>
        </w:rPr>
        <w:t xml:space="preserve"> Дніпро: ДДУВС, 2023. С.15-19. </w:t>
      </w:r>
      <w:r w:rsidRPr="00511005">
        <w:rPr>
          <w:rFonts w:ascii="Arial" w:eastAsia="Calibri" w:hAnsi="Arial" w:cs="Arial"/>
          <w:szCs w:val="28"/>
          <w:shd w:val="clear" w:color="auto" w:fill="FFFFFF"/>
          <w:lang w:val="en-GB"/>
        </w:rPr>
        <w:t>URL</w:t>
      </w:r>
      <w:r w:rsidRPr="00511005">
        <w:rPr>
          <w:rFonts w:ascii="Arial" w:eastAsia="Calibri" w:hAnsi="Arial" w:cs="Arial"/>
          <w:szCs w:val="28"/>
          <w:shd w:val="clear" w:color="auto" w:fill="FFFFFF"/>
        </w:rPr>
        <w:t xml:space="preserve">: </w:t>
      </w:r>
      <w:hyperlink r:id="rId2226" w:history="1">
        <w:r w:rsidRPr="00511005">
          <w:rPr>
            <w:rFonts w:ascii="Arial" w:eastAsia="Calibri" w:hAnsi="Arial" w:cs="Arial"/>
            <w:szCs w:val="28"/>
            <w:shd w:val="clear" w:color="auto" w:fill="FFFFFF"/>
          </w:rPr>
          <w:t>https://er.dduvs.edu.ua/handle/123456789/15537</w:t>
        </w:r>
      </w:hyperlink>
      <w:r w:rsidRPr="00511005">
        <w:rPr>
          <w:rFonts w:ascii="Arial" w:eastAsia="Calibri" w:hAnsi="Arial" w:cs="Arial"/>
          <w:szCs w:val="28"/>
          <w:shd w:val="clear" w:color="auto" w:fill="FFFFFF"/>
          <w:lang w:val="uk-UA"/>
        </w:rPr>
        <w:t>.</w:t>
      </w:r>
    </w:p>
    <w:p w14:paraId="174BFC8F" w14:textId="77777777" w:rsidR="00532C25" w:rsidRPr="00511005" w:rsidRDefault="00532C25" w:rsidP="003F6A5D">
      <w:pPr>
        <w:numPr>
          <w:ilvl w:val="0"/>
          <w:numId w:val="817"/>
        </w:numPr>
        <w:spacing w:line="264" w:lineRule="auto"/>
        <w:ind w:left="0" w:firstLine="709"/>
        <w:contextualSpacing/>
        <w:jc w:val="left"/>
        <w:rPr>
          <w:rFonts w:ascii="Arial" w:eastAsia="Calibri" w:hAnsi="Arial" w:cs="Arial"/>
          <w:szCs w:val="28"/>
          <w:shd w:val="clear" w:color="auto" w:fill="FFFFFF"/>
        </w:rPr>
      </w:pPr>
      <w:r w:rsidRPr="00511005">
        <w:rPr>
          <w:rFonts w:ascii="Arial" w:eastAsia="Calibri" w:hAnsi="Arial" w:cs="Arial"/>
          <w:szCs w:val="28"/>
          <w:shd w:val="clear" w:color="auto" w:fill="FFFFFF"/>
        </w:rPr>
        <w:t xml:space="preserve">Савчин Н. М., Суховерський М. Т. Проблемні аспекти під час розслідування воєнних злочинів. </w:t>
      </w:r>
      <w:r w:rsidRPr="00511005">
        <w:rPr>
          <w:rFonts w:ascii="Arial" w:eastAsia="Calibri" w:hAnsi="Arial" w:cs="Arial"/>
          <w:i/>
          <w:iCs/>
          <w:szCs w:val="28"/>
          <w:shd w:val="clear" w:color="auto" w:fill="FFFFFF"/>
        </w:rPr>
        <w:t xml:space="preserve">Правова держава, </w:t>
      </w:r>
      <w:r w:rsidRPr="00511005">
        <w:rPr>
          <w:rFonts w:ascii="Arial" w:eastAsia="Calibri" w:hAnsi="Arial" w:cs="Arial"/>
          <w:szCs w:val="28"/>
          <w:shd w:val="clear" w:color="auto" w:fill="FFFFFF"/>
        </w:rPr>
        <w:t xml:space="preserve">2024. Т. 54. С. 132-141. </w:t>
      </w:r>
      <w:r w:rsidRPr="00511005">
        <w:rPr>
          <w:rFonts w:ascii="Arial" w:eastAsia="Calibri" w:hAnsi="Arial" w:cs="Arial"/>
          <w:szCs w:val="28"/>
          <w:shd w:val="clear" w:color="auto" w:fill="FFFFFF"/>
          <w:lang w:val="en-GB"/>
        </w:rPr>
        <w:t>URL</w:t>
      </w:r>
      <w:r w:rsidRPr="00511005">
        <w:rPr>
          <w:rFonts w:ascii="Arial" w:eastAsia="Calibri" w:hAnsi="Arial" w:cs="Arial"/>
          <w:szCs w:val="28"/>
          <w:shd w:val="clear" w:color="auto" w:fill="FFFFFF"/>
        </w:rPr>
        <w:t>:</w:t>
      </w:r>
      <w:r w:rsidRPr="00511005">
        <w:rPr>
          <w:rFonts w:ascii="Arial" w:eastAsia="Calibri" w:hAnsi="Arial" w:cs="Arial"/>
          <w:szCs w:val="28"/>
        </w:rPr>
        <w:t xml:space="preserve"> </w:t>
      </w:r>
      <w:hyperlink r:id="rId2227" w:history="1">
        <w:r w:rsidRPr="00511005">
          <w:rPr>
            <w:rFonts w:ascii="Arial" w:eastAsia="Calibri" w:hAnsi="Arial" w:cs="Arial"/>
            <w:szCs w:val="28"/>
            <w:shd w:val="clear" w:color="auto" w:fill="FFFFFF"/>
            <w:lang w:val="en-GB"/>
          </w:rPr>
          <w:t>https</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GB"/>
          </w:rPr>
          <w:t>doi</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GB"/>
          </w:rPr>
          <w:t>org</w:t>
        </w:r>
        <w:r w:rsidRPr="00511005">
          <w:rPr>
            <w:rFonts w:ascii="Arial" w:eastAsia="Calibri" w:hAnsi="Arial" w:cs="Arial"/>
            <w:szCs w:val="28"/>
            <w:shd w:val="clear" w:color="auto" w:fill="FFFFFF"/>
          </w:rPr>
          <w:t>/10.18524/2411-2054.2024.54.304881</w:t>
        </w:r>
      </w:hyperlink>
      <w:r w:rsidRPr="00511005">
        <w:rPr>
          <w:rFonts w:ascii="Arial" w:eastAsia="Calibri" w:hAnsi="Arial" w:cs="Arial"/>
          <w:szCs w:val="28"/>
          <w:shd w:val="clear" w:color="auto" w:fill="FFFFFF"/>
        </w:rPr>
        <w:t>.</w:t>
      </w:r>
    </w:p>
    <w:p w14:paraId="5924AEC6" w14:textId="77777777" w:rsidR="00532C25" w:rsidRPr="00511005" w:rsidRDefault="00532C25" w:rsidP="003F6A5D">
      <w:pPr>
        <w:numPr>
          <w:ilvl w:val="0"/>
          <w:numId w:val="817"/>
        </w:numPr>
        <w:spacing w:line="264" w:lineRule="auto"/>
        <w:ind w:left="0" w:firstLine="709"/>
        <w:contextualSpacing/>
        <w:jc w:val="left"/>
        <w:rPr>
          <w:rFonts w:ascii="Arial" w:eastAsia="Calibri" w:hAnsi="Arial" w:cs="Arial"/>
          <w:szCs w:val="28"/>
          <w:shd w:val="clear" w:color="auto" w:fill="FFFFFF"/>
        </w:rPr>
      </w:pPr>
      <w:r w:rsidRPr="00511005">
        <w:rPr>
          <w:rFonts w:ascii="Arial" w:eastAsia="Calibri" w:hAnsi="Arial" w:cs="Arial"/>
          <w:szCs w:val="28"/>
          <w:shd w:val="clear" w:color="auto" w:fill="FFFFFF"/>
        </w:rPr>
        <w:t xml:space="preserve">Французькі експерти прибули до України для допомоги у розслідуванні воєнних злочинів РФ. </w:t>
      </w:r>
      <w:r w:rsidRPr="00511005">
        <w:rPr>
          <w:rFonts w:ascii="Arial" w:eastAsia="Calibri" w:hAnsi="Arial" w:cs="Arial"/>
          <w:i/>
          <w:iCs/>
          <w:szCs w:val="28"/>
          <w:shd w:val="clear" w:color="auto" w:fill="FFFFFF"/>
        </w:rPr>
        <w:t>Офіс Генерального прокурора.</w:t>
      </w:r>
      <w:r w:rsidRPr="00511005">
        <w:rPr>
          <w:rFonts w:ascii="Arial" w:eastAsia="Calibri" w:hAnsi="Arial" w:cs="Arial"/>
          <w:szCs w:val="28"/>
          <w:shd w:val="clear" w:color="auto" w:fill="FFFFFF"/>
        </w:rPr>
        <w:t xml:space="preserve"> 12.04.2022. </w:t>
      </w:r>
      <w:r w:rsidRPr="00511005">
        <w:rPr>
          <w:rFonts w:ascii="Arial" w:eastAsia="Calibri" w:hAnsi="Arial" w:cs="Arial"/>
          <w:szCs w:val="28"/>
          <w:shd w:val="clear" w:color="auto" w:fill="FFFFFF"/>
          <w:lang w:val="en-US"/>
        </w:rPr>
        <w:t>URL</w:t>
      </w:r>
      <w:r w:rsidRPr="00511005">
        <w:rPr>
          <w:rFonts w:ascii="Arial" w:eastAsia="Calibri" w:hAnsi="Arial" w:cs="Arial"/>
          <w:szCs w:val="28"/>
          <w:shd w:val="clear" w:color="auto" w:fill="FFFFFF"/>
        </w:rPr>
        <w:t xml:space="preserve">: </w:t>
      </w:r>
      <w:hyperlink r:id="rId2228" w:history="1">
        <w:r w:rsidRPr="00511005">
          <w:rPr>
            <w:rFonts w:ascii="Arial" w:eastAsia="Calibri" w:hAnsi="Arial" w:cs="Arial"/>
            <w:szCs w:val="28"/>
            <w:shd w:val="clear" w:color="auto" w:fill="FFFFFF"/>
            <w:lang w:val="en-US"/>
          </w:rPr>
          <w:t>https</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gp</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gov</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ua</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ua</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posts</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francuzki</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eksperti</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pribuli</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do</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ukrayini</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dlya</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dopomogi</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u</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rozsliduvanni</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vojennix</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zlociniv</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rf</w:t>
        </w:r>
      </w:hyperlink>
      <w:r w:rsidRPr="00511005">
        <w:rPr>
          <w:rFonts w:ascii="Arial" w:eastAsia="Calibri" w:hAnsi="Arial" w:cs="Arial"/>
          <w:szCs w:val="28"/>
          <w:shd w:val="clear" w:color="auto" w:fill="FFFFFF"/>
        </w:rPr>
        <w:t>.</w:t>
      </w:r>
    </w:p>
    <w:p w14:paraId="6F51BDF0" w14:textId="77777777" w:rsidR="00532C25" w:rsidRPr="00511005" w:rsidRDefault="00532C25" w:rsidP="003F6A5D">
      <w:pPr>
        <w:numPr>
          <w:ilvl w:val="0"/>
          <w:numId w:val="817"/>
        </w:numPr>
        <w:spacing w:line="264" w:lineRule="auto"/>
        <w:ind w:left="0" w:firstLine="709"/>
        <w:contextualSpacing/>
        <w:jc w:val="left"/>
        <w:rPr>
          <w:rFonts w:ascii="Arial" w:eastAsia="Calibri" w:hAnsi="Arial" w:cs="Arial"/>
          <w:szCs w:val="28"/>
          <w:shd w:val="clear" w:color="auto" w:fill="FFFFFF"/>
        </w:rPr>
      </w:pPr>
      <w:r w:rsidRPr="00511005">
        <w:rPr>
          <w:rFonts w:ascii="Arial" w:eastAsia="Calibri" w:hAnsi="Arial" w:cs="Arial"/>
          <w:szCs w:val="28"/>
          <w:shd w:val="clear" w:color="auto" w:fill="FFFFFF"/>
        </w:rPr>
        <w:t xml:space="preserve">Федулова С.О., Калиновський А.Я., Кривошей Б.І. Розслідування Міжнародного кримінального суду в Україні: особливості кваліфікації злочинів. </w:t>
      </w:r>
      <w:r w:rsidRPr="00511005">
        <w:rPr>
          <w:rFonts w:ascii="Arial" w:eastAsia="Calibri" w:hAnsi="Arial" w:cs="Arial"/>
          <w:i/>
          <w:iCs/>
          <w:szCs w:val="28"/>
          <w:shd w:val="clear" w:color="auto" w:fill="FFFFFF"/>
        </w:rPr>
        <w:t>Moderní aspekty vědy: XX.</w:t>
      </w:r>
      <w:r w:rsidRPr="00511005">
        <w:rPr>
          <w:rFonts w:ascii="Arial" w:eastAsia="Calibri" w:hAnsi="Arial" w:cs="Arial"/>
          <w:szCs w:val="28"/>
          <w:shd w:val="clear" w:color="auto" w:fill="FFFFFF"/>
        </w:rPr>
        <w:t xml:space="preserve"> Díl mezinárodní kolektivní monografie / Mezinárodní Ekonomický Institut </w:t>
      </w:r>
      <w:proofErr w:type="gramStart"/>
      <w:r w:rsidRPr="00511005">
        <w:rPr>
          <w:rFonts w:ascii="Arial" w:eastAsia="Calibri" w:hAnsi="Arial" w:cs="Arial"/>
          <w:szCs w:val="28"/>
          <w:shd w:val="clear" w:color="auto" w:fill="FFFFFF"/>
        </w:rPr>
        <w:t>s.r.o..</w:t>
      </w:r>
      <w:proofErr w:type="gramEnd"/>
      <w:r w:rsidRPr="00511005">
        <w:rPr>
          <w:rFonts w:ascii="Arial" w:eastAsia="Calibri" w:hAnsi="Arial" w:cs="Arial"/>
          <w:szCs w:val="28"/>
          <w:shd w:val="clear" w:color="auto" w:fill="FFFFFF"/>
        </w:rPr>
        <w:t xml:space="preserve"> Č</w:t>
      </w:r>
      <w:r w:rsidRPr="00511005">
        <w:rPr>
          <w:rFonts w:ascii="Arial" w:eastAsia="Calibri" w:hAnsi="Arial" w:cs="Arial"/>
          <w:szCs w:val="28"/>
          <w:shd w:val="clear" w:color="auto" w:fill="FFFFFF"/>
          <w:lang w:val="en-US"/>
        </w:rPr>
        <w:t>esk</w:t>
      </w:r>
      <w:r w:rsidRPr="00511005">
        <w:rPr>
          <w:rFonts w:ascii="Arial" w:eastAsia="Calibri" w:hAnsi="Arial" w:cs="Arial"/>
          <w:szCs w:val="28"/>
          <w:shd w:val="clear" w:color="auto" w:fill="FFFFFF"/>
        </w:rPr>
        <w:t xml:space="preserve">á </w:t>
      </w:r>
      <w:r w:rsidRPr="00511005">
        <w:rPr>
          <w:rFonts w:ascii="Arial" w:eastAsia="Calibri" w:hAnsi="Arial" w:cs="Arial"/>
          <w:szCs w:val="28"/>
          <w:shd w:val="clear" w:color="auto" w:fill="FFFFFF"/>
          <w:lang w:val="en-US"/>
        </w:rPr>
        <w:t>republika</w:t>
      </w:r>
      <w:r w:rsidRPr="00511005">
        <w:rPr>
          <w:rFonts w:ascii="Arial" w:eastAsia="Calibri" w:hAnsi="Arial" w:cs="Arial"/>
          <w:szCs w:val="28"/>
          <w:shd w:val="clear" w:color="auto" w:fill="FFFFFF"/>
        </w:rPr>
        <w:t xml:space="preserve">: </w:t>
      </w:r>
      <w:r w:rsidRPr="00511005">
        <w:rPr>
          <w:rFonts w:ascii="Arial" w:eastAsia="Calibri" w:hAnsi="Arial" w:cs="Arial"/>
          <w:szCs w:val="28"/>
          <w:shd w:val="clear" w:color="auto" w:fill="FFFFFF"/>
          <w:lang w:val="en-US"/>
        </w:rPr>
        <w:t>Mezin</w:t>
      </w:r>
      <w:r w:rsidRPr="00511005">
        <w:rPr>
          <w:rFonts w:ascii="Arial" w:eastAsia="Calibri" w:hAnsi="Arial" w:cs="Arial"/>
          <w:szCs w:val="28"/>
          <w:shd w:val="clear" w:color="auto" w:fill="FFFFFF"/>
        </w:rPr>
        <w:t>á</w:t>
      </w:r>
      <w:r w:rsidRPr="00511005">
        <w:rPr>
          <w:rFonts w:ascii="Arial" w:eastAsia="Calibri" w:hAnsi="Arial" w:cs="Arial"/>
          <w:szCs w:val="28"/>
          <w:shd w:val="clear" w:color="auto" w:fill="FFFFFF"/>
          <w:lang w:val="en-US"/>
        </w:rPr>
        <w:t>rodn</w:t>
      </w:r>
      <w:r w:rsidRPr="00511005">
        <w:rPr>
          <w:rFonts w:ascii="Arial" w:eastAsia="Calibri" w:hAnsi="Arial" w:cs="Arial"/>
          <w:szCs w:val="28"/>
          <w:shd w:val="clear" w:color="auto" w:fill="FFFFFF"/>
        </w:rPr>
        <w:t xml:space="preserve">í </w:t>
      </w:r>
      <w:r w:rsidRPr="00511005">
        <w:rPr>
          <w:rFonts w:ascii="Arial" w:eastAsia="Calibri" w:hAnsi="Arial" w:cs="Arial"/>
          <w:szCs w:val="28"/>
          <w:shd w:val="clear" w:color="auto" w:fill="FFFFFF"/>
          <w:lang w:val="en-US"/>
        </w:rPr>
        <w:t>Ekonomick</w:t>
      </w:r>
      <w:r w:rsidRPr="00511005">
        <w:rPr>
          <w:rFonts w:ascii="Arial" w:eastAsia="Calibri" w:hAnsi="Arial" w:cs="Arial"/>
          <w:szCs w:val="28"/>
          <w:shd w:val="clear" w:color="auto" w:fill="FFFFFF"/>
        </w:rPr>
        <w:t xml:space="preserve">ý </w:t>
      </w:r>
      <w:r w:rsidRPr="00511005">
        <w:rPr>
          <w:rFonts w:ascii="Arial" w:eastAsia="Calibri" w:hAnsi="Arial" w:cs="Arial"/>
          <w:szCs w:val="28"/>
          <w:shd w:val="clear" w:color="auto" w:fill="FFFFFF"/>
          <w:lang w:val="en-US"/>
        </w:rPr>
        <w:t>Institut</w:t>
      </w:r>
      <w:r w:rsidRPr="00511005">
        <w:rPr>
          <w:rFonts w:ascii="Arial" w:eastAsia="Calibri" w:hAnsi="Arial" w:cs="Arial"/>
          <w:szCs w:val="28"/>
          <w:shd w:val="clear" w:color="auto" w:fill="FFFFFF"/>
        </w:rPr>
        <w:t xml:space="preserve"> </w:t>
      </w:r>
      <w:r w:rsidRPr="00511005">
        <w:rPr>
          <w:rFonts w:ascii="Arial" w:eastAsia="Calibri" w:hAnsi="Arial" w:cs="Arial"/>
          <w:szCs w:val="28"/>
          <w:shd w:val="clear" w:color="auto" w:fill="FFFFFF"/>
          <w:lang w:val="en-US"/>
        </w:rPr>
        <w:t>s</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r</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o</w:t>
      </w:r>
      <w:r w:rsidRPr="00511005">
        <w:rPr>
          <w:rFonts w:ascii="Arial" w:eastAsia="Calibri" w:hAnsi="Arial" w:cs="Arial"/>
          <w:szCs w:val="28"/>
          <w:shd w:val="clear" w:color="auto" w:fill="FFFFFF"/>
        </w:rPr>
        <w:t xml:space="preserve">., 2022. С. 353-363. </w:t>
      </w:r>
      <w:r w:rsidRPr="00511005">
        <w:rPr>
          <w:rFonts w:ascii="Arial" w:eastAsia="Calibri" w:hAnsi="Arial" w:cs="Arial"/>
          <w:szCs w:val="28"/>
          <w:shd w:val="clear" w:color="auto" w:fill="FFFFFF"/>
          <w:lang w:val="en-GB"/>
        </w:rPr>
        <w:t>URL</w:t>
      </w:r>
      <w:r w:rsidRPr="00511005">
        <w:rPr>
          <w:rFonts w:ascii="Arial" w:eastAsia="Calibri" w:hAnsi="Arial" w:cs="Arial"/>
          <w:szCs w:val="28"/>
          <w:shd w:val="clear" w:color="auto" w:fill="FFFFFF"/>
        </w:rPr>
        <w:t xml:space="preserve">: </w:t>
      </w:r>
      <w:hyperlink r:id="rId2229" w:history="1">
        <w:r w:rsidRPr="00511005">
          <w:rPr>
            <w:rFonts w:ascii="Arial" w:eastAsia="Calibri" w:hAnsi="Arial" w:cs="Arial"/>
            <w:szCs w:val="28"/>
            <w:shd w:val="clear" w:color="auto" w:fill="FFFFFF"/>
            <w:lang w:val="en-US"/>
          </w:rPr>
          <w:t>http</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repositsc</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nuczu</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edu</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ua</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bitstream</w:t>
        </w:r>
        <w:r w:rsidRPr="00511005">
          <w:rPr>
            <w:rFonts w:ascii="Arial" w:eastAsia="Calibri" w:hAnsi="Arial" w:cs="Arial"/>
            <w:szCs w:val="28"/>
            <w:shd w:val="clear" w:color="auto" w:fill="FFFFFF"/>
          </w:rPr>
          <w:t>/123456789/15683/1/Моно_</w:t>
        </w:r>
        <w:r w:rsidRPr="00511005">
          <w:rPr>
            <w:rFonts w:ascii="Arial" w:eastAsia="Calibri" w:hAnsi="Arial" w:cs="Arial"/>
            <w:szCs w:val="28"/>
            <w:shd w:val="clear" w:color="auto" w:fill="FFFFFF"/>
            <w:lang w:val="en-US"/>
          </w:rPr>
          <w:t>XX</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pdf</w:t>
        </w:r>
      </w:hyperlink>
      <w:r w:rsidRPr="00511005">
        <w:rPr>
          <w:rFonts w:ascii="Arial" w:eastAsia="Calibri" w:hAnsi="Arial" w:cs="Arial"/>
          <w:szCs w:val="28"/>
          <w:shd w:val="clear" w:color="auto" w:fill="FFFFFF"/>
        </w:rPr>
        <w:t>.</w:t>
      </w:r>
    </w:p>
    <w:p w14:paraId="2DF0A27D" w14:textId="77777777" w:rsidR="00532C25" w:rsidRPr="00511005" w:rsidRDefault="00532C25" w:rsidP="00532C25">
      <w:pPr>
        <w:spacing w:line="264" w:lineRule="auto"/>
        <w:rPr>
          <w:rFonts w:ascii="Arial" w:eastAsia="Arial" w:hAnsi="Arial" w:cs="Arial"/>
          <w:b/>
          <w:bCs/>
          <w:szCs w:val="28"/>
          <w:shd w:val="clear" w:color="auto" w:fill="FFFFFF"/>
          <w:lang w:eastAsia="ru-RU"/>
        </w:rPr>
      </w:pPr>
    </w:p>
    <w:p w14:paraId="03966A75" w14:textId="77777777" w:rsidR="00532C25" w:rsidRPr="00511005" w:rsidRDefault="00532C25" w:rsidP="00532C25">
      <w:pPr>
        <w:spacing w:line="264" w:lineRule="auto"/>
        <w:rPr>
          <w:rFonts w:ascii="Arial" w:eastAsia="Arial" w:hAnsi="Arial" w:cs="Arial"/>
          <w:szCs w:val="28"/>
          <w:shd w:val="clear" w:color="auto" w:fill="FFFFFF"/>
          <w:lang w:eastAsia="ru-RU"/>
        </w:rPr>
      </w:pPr>
      <w:r w:rsidRPr="00511005">
        <w:rPr>
          <w:rFonts w:ascii="Arial" w:eastAsia="Arial" w:hAnsi="Arial" w:cs="Arial"/>
          <w:b/>
          <w:bCs/>
          <w:i/>
          <w:szCs w:val="28"/>
          <w:shd w:val="clear" w:color="auto" w:fill="FFFFFF"/>
          <w:lang w:val="ru" w:eastAsia="ru-RU"/>
        </w:rPr>
        <w:t xml:space="preserve">Ключові слова: </w:t>
      </w:r>
      <w:r w:rsidRPr="00511005">
        <w:rPr>
          <w:rFonts w:ascii="Arial" w:eastAsia="Arial" w:hAnsi="Arial" w:cs="Arial"/>
          <w:szCs w:val="28"/>
          <w:shd w:val="clear" w:color="auto" w:fill="FFFFFF"/>
          <w:lang w:val="ru" w:eastAsia="ru-RU"/>
        </w:rPr>
        <w:t>міжнародне</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кримінальне</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співробітництво</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слідчі</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дії</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воєнні</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злочини</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розслідування</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кіберзлочинність</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цифрові</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докази</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міжнародний</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кримінальний</w:t>
      </w:r>
      <w:r w:rsidRPr="00511005">
        <w:rPr>
          <w:rFonts w:ascii="Arial" w:eastAsia="Arial" w:hAnsi="Arial" w:cs="Arial"/>
          <w:szCs w:val="28"/>
          <w:shd w:val="clear" w:color="auto" w:fill="FFFFFF"/>
          <w:lang w:eastAsia="ru-RU"/>
        </w:rPr>
        <w:t xml:space="preserve"> </w:t>
      </w:r>
      <w:r w:rsidRPr="00511005">
        <w:rPr>
          <w:rFonts w:ascii="Arial" w:eastAsia="Arial" w:hAnsi="Arial" w:cs="Arial"/>
          <w:szCs w:val="28"/>
          <w:shd w:val="clear" w:color="auto" w:fill="FFFFFF"/>
          <w:lang w:val="ru" w:eastAsia="ru-RU"/>
        </w:rPr>
        <w:t>суд</w:t>
      </w:r>
      <w:r w:rsidRPr="00511005">
        <w:rPr>
          <w:rFonts w:ascii="Arial" w:eastAsia="Arial" w:hAnsi="Arial" w:cs="Arial"/>
          <w:szCs w:val="28"/>
          <w:shd w:val="clear" w:color="auto" w:fill="FFFFFF"/>
          <w:lang w:eastAsia="ru-RU"/>
        </w:rPr>
        <w:t>.</w:t>
      </w:r>
    </w:p>
    <w:p w14:paraId="3C7EC433" w14:textId="77777777" w:rsidR="00532C25" w:rsidRPr="00511005" w:rsidRDefault="00532C25" w:rsidP="00532C25">
      <w:pPr>
        <w:spacing w:line="264" w:lineRule="auto"/>
        <w:rPr>
          <w:rFonts w:ascii="Arial" w:eastAsia="Arial" w:hAnsi="Arial" w:cs="Arial"/>
          <w:szCs w:val="28"/>
          <w:shd w:val="clear" w:color="auto" w:fill="FFFFFF"/>
          <w:lang w:val="en-US" w:eastAsia="ru-RU"/>
        </w:rPr>
      </w:pPr>
      <w:r w:rsidRPr="00511005">
        <w:rPr>
          <w:rFonts w:ascii="Arial" w:eastAsia="Arial" w:hAnsi="Arial" w:cs="Arial"/>
          <w:b/>
          <w:bCs/>
          <w:i/>
          <w:szCs w:val="28"/>
          <w:shd w:val="clear" w:color="auto" w:fill="FFFFFF"/>
          <w:lang w:val="en-US" w:eastAsia="ru-RU"/>
        </w:rPr>
        <w:lastRenderedPageBreak/>
        <w:t xml:space="preserve">Key words: </w:t>
      </w:r>
      <w:r w:rsidRPr="00511005">
        <w:rPr>
          <w:rFonts w:ascii="Arial" w:eastAsia="Arial" w:hAnsi="Arial" w:cs="Arial"/>
          <w:szCs w:val="28"/>
          <w:shd w:val="clear" w:color="auto" w:fill="FFFFFF"/>
          <w:lang w:val="en-US" w:eastAsia="ru-RU"/>
        </w:rPr>
        <w:t>international criminal cooperation, investigative actions, war crimes, investigation, cybercrime, digital evidence, International Criminal Court.</w:t>
      </w:r>
    </w:p>
    <w:p w14:paraId="6639AD1F" w14:textId="77777777" w:rsidR="00532C25" w:rsidRPr="00511005" w:rsidRDefault="00532C25" w:rsidP="00532C25">
      <w:pPr>
        <w:spacing w:line="264" w:lineRule="auto"/>
        <w:rPr>
          <w:rFonts w:ascii="Arial" w:eastAsia="Arial" w:hAnsi="Arial" w:cs="Arial"/>
          <w:szCs w:val="28"/>
          <w:shd w:val="clear" w:color="auto" w:fill="FFFFFF"/>
          <w:lang w:val="ru" w:eastAsia="ru-RU"/>
        </w:rPr>
      </w:pPr>
      <w:r w:rsidRPr="00511005">
        <w:rPr>
          <w:rFonts w:ascii="Arial" w:eastAsia="Arial" w:hAnsi="Arial" w:cs="Arial"/>
          <w:b/>
          <w:i/>
          <w:iCs/>
          <w:szCs w:val="28"/>
          <w:shd w:val="clear" w:color="auto" w:fill="FFFFFF"/>
          <w:lang w:eastAsia="ru-RU"/>
        </w:rPr>
        <w:t xml:space="preserve">Науковий керівник: </w:t>
      </w:r>
      <w:r w:rsidRPr="00511005">
        <w:rPr>
          <w:rFonts w:ascii="Arial" w:eastAsia="Arial" w:hAnsi="Arial" w:cs="Arial"/>
          <w:i/>
          <w:iCs/>
          <w:szCs w:val="28"/>
          <w:shd w:val="clear" w:color="auto" w:fill="FFFFFF"/>
          <w:lang w:eastAsia="ru-RU"/>
        </w:rPr>
        <w:t xml:space="preserve">к.ю.н., доцент </w:t>
      </w:r>
      <w:r w:rsidRPr="00511005">
        <w:rPr>
          <w:rFonts w:ascii="Arial" w:eastAsia="Arial" w:hAnsi="Arial" w:cs="Arial"/>
          <w:i/>
          <w:iCs/>
          <w:szCs w:val="28"/>
          <w:shd w:val="clear" w:color="auto" w:fill="FFFFFF"/>
          <w:lang w:val="ru" w:eastAsia="ru-RU"/>
        </w:rPr>
        <w:t>Мурзановська А. В.</w:t>
      </w:r>
    </w:p>
    <w:p w14:paraId="4DB35ADF" w14:textId="77777777" w:rsidR="00532C25" w:rsidRPr="00511005" w:rsidRDefault="00532C25" w:rsidP="00532C25">
      <w:pPr>
        <w:spacing w:line="264" w:lineRule="auto"/>
        <w:ind w:left="800" w:firstLine="0"/>
        <w:rPr>
          <w:rFonts w:ascii="Arial" w:eastAsia="Arial" w:hAnsi="Arial" w:cs="Arial"/>
          <w:szCs w:val="28"/>
          <w:lang w:val="uk-UA" w:eastAsia="ru-RU"/>
        </w:rPr>
      </w:pPr>
    </w:p>
    <w:p w14:paraId="74B20A54" w14:textId="77777777" w:rsidR="00532C25" w:rsidRPr="00511005" w:rsidRDefault="00532C25" w:rsidP="00532C25">
      <w:pPr>
        <w:spacing w:line="264" w:lineRule="auto"/>
        <w:ind w:firstLine="851"/>
        <w:jc w:val="center"/>
        <w:rPr>
          <w:rFonts w:ascii="Arial" w:eastAsia="Arial" w:hAnsi="Arial" w:cs="Arial"/>
          <w:bCs/>
          <w:szCs w:val="28"/>
          <w:lang w:val="uk-UA" w:eastAsia="ru-RU"/>
        </w:rPr>
      </w:pPr>
      <w:bookmarkStart w:id="272" w:name="_Hlk164226715"/>
      <w:r w:rsidRPr="00511005">
        <w:rPr>
          <w:rFonts w:ascii="Arial" w:eastAsia="Arial" w:hAnsi="Arial" w:cs="Arial"/>
          <w:b/>
          <w:bCs/>
          <w:i/>
          <w:iCs/>
          <w:szCs w:val="28"/>
          <w:lang w:val="uk-UA" w:eastAsia="ru-RU"/>
        </w:rPr>
        <w:t>Луницька Таїсія Валеріївна, Селеменєва Поліна Анатоліївна</w:t>
      </w:r>
    </w:p>
    <w:p w14:paraId="6D43393D"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студентки 1</w:t>
      </w:r>
      <w:r w:rsidRPr="00511005">
        <w:rPr>
          <w:rFonts w:ascii="Arial" w:eastAsia="Times New Roman" w:hAnsi="Arial" w:cs="Arial"/>
          <w:bCs/>
          <w:iCs/>
          <w:szCs w:val="28"/>
          <w:lang w:val="uk-UA" w:eastAsia="ru-RU"/>
        </w:rPr>
        <w:t xml:space="preserve">-го курсу </w:t>
      </w:r>
      <w:r w:rsidRPr="00511005">
        <w:rPr>
          <w:rFonts w:ascii="Arial" w:eastAsia="Arial" w:hAnsi="Arial" w:cs="Arial"/>
          <w:noProof/>
          <w:szCs w:val="28"/>
          <w:lang w:val="ru" w:eastAsia="ru-RU"/>
        </w:rPr>
        <w:t>магістратури</w:t>
      </w:r>
    </w:p>
    <w:p w14:paraId="46F7DBC3"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DB69265"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01AFC44" w14:textId="77777777" w:rsidR="00532C25" w:rsidRPr="00511005" w:rsidRDefault="00532C25" w:rsidP="00532C25">
      <w:pPr>
        <w:spacing w:line="264" w:lineRule="auto"/>
        <w:ind w:firstLine="851"/>
        <w:rPr>
          <w:rFonts w:ascii="Arial" w:eastAsia="Arial" w:hAnsi="Arial" w:cs="Arial"/>
          <w:b/>
          <w:szCs w:val="28"/>
          <w:lang w:val="uk-UA" w:eastAsia="ru-RU"/>
        </w:rPr>
      </w:pPr>
    </w:p>
    <w:p w14:paraId="364C92CC" w14:textId="77777777" w:rsidR="00532C25" w:rsidRPr="00511005" w:rsidRDefault="00532C25" w:rsidP="00532C25">
      <w:pPr>
        <w:spacing w:line="264" w:lineRule="auto"/>
        <w:ind w:firstLine="851"/>
        <w:jc w:val="center"/>
        <w:rPr>
          <w:rFonts w:ascii="Arial" w:eastAsia="Arial" w:hAnsi="Arial" w:cs="Arial"/>
          <w:b/>
          <w:szCs w:val="28"/>
          <w:lang w:val="ru" w:eastAsia="ru-RU"/>
        </w:rPr>
      </w:pPr>
      <w:r w:rsidRPr="00511005">
        <w:rPr>
          <w:rFonts w:ascii="Arial" w:eastAsia="Arial" w:hAnsi="Arial" w:cs="Arial"/>
          <w:b/>
          <w:szCs w:val="28"/>
          <w:lang w:val="ru" w:eastAsia="ru-RU"/>
        </w:rPr>
        <w:t>ПРАВОВІ АСПЕКТИ ЗАСТОСУВАННЯ ПРИМУСУ</w:t>
      </w:r>
    </w:p>
    <w:p w14:paraId="32A86AA3" w14:textId="77777777" w:rsidR="00532C25" w:rsidRPr="00511005" w:rsidRDefault="00532C25" w:rsidP="00532C25">
      <w:pPr>
        <w:spacing w:line="264" w:lineRule="auto"/>
        <w:ind w:firstLine="851"/>
        <w:jc w:val="center"/>
        <w:rPr>
          <w:rFonts w:ascii="Arial" w:eastAsia="Arial" w:hAnsi="Arial" w:cs="Arial"/>
          <w:b/>
          <w:szCs w:val="28"/>
          <w:lang w:val="ru" w:eastAsia="ru-RU"/>
        </w:rPr>
      </w:pPr>
      <w:r w:rsidRPr="00511005">
        <w:rPr>
          <w:rFonts w:ascii="Arial" w:eastAsia="Arial" w:hAnsi="Arial" w:cs="Arial"/>
          <w:b/>
          <w:szCs w:val="28"/>
          <w:lang w:val="ru" w:eastAsia="ru-RU"/>
        </w:rPr>
        <w:t>ПІД ЧАС ОСВІДУВАННЯ</w:t>
      </w:r>
    </w:p>
    <w:p w14:paraId="020FB07B" w14:textId="77777777" w:rsidR="00532C25" w:rsidRPr="00511005" w:rsidRDefault="00532C25" w:rsidP="00532C25">
      <w:pPr>
        <w:spacing w:line="264" w:lineRule="auto"/>
        <w:ind w:firstLine="851"/>
        <w:rPr>
          <w:rFonts w:ascii="Arial" w:eastAsia="Arial" w:hAnsi="Arial" w:cs="Arial"/>
          <w:szCs w:val="28"/>
          <w:lang w:val="ru" w:eastAsia="ru-RU"/>
        </w:rPr>
      </w:pPr>
      <w:r w:rsidRPr="00511005">
        <w:rPr>
          <w:rFonts w:ascii="Arial" w:eastAsia="Arial" w:hAnsi="Arial" w:cs="Arial"/>
          <w:szCs w:val="28"/>
          <w:lang w:val="ru" w:eastAsia="ru-RU"/>
        </w:rPr>
        <w:t>Освідування є важливою процесуальною дією в кримінальному провадженні, яка полягає в зовнішньому огляді особи для встановлення наявності на тілі ознак злочину, тілесних ушкоджень, особливих прикмет або для виявлення стану сп’яніння. В окремих випадках проведення освідування можливе із застосуванням примусу, що вимагає чіткого дотримання правових норм, щоб забезпечити баланс між інтересами слідства та правами людини.</w:t>
      </w:r>
    </w:p>
    <w:p w14:paraId="2EF21A2E" w14:textId="77777777" w:rsidR="00532C25" w:rsidRPr="00511005" w:rsidRDefault="00532C25" w:rsidP="00532C25">
      <w:pPr>
        <w:spacing w:line="264" w:lineRule="auto"/>
        <w:ind w:firstLine="851"/>
        <w:rPr>
          <w:rFonts w:ascii="Arial" w:eastAsia="Arial" w:hAnsi="Arial" w:cs="Arial"/>
          <w:szCs w:val="28"/>
          <w:lang w:val="ru" w:eastAsia="ru-RU"/>
        </w:rPr>
      </w:pPr>
      <w:r w:rsidRPr="00511005">
        <w:rPr>
          <w:rFonts w:ascii="Arial" w:eastAsia="Arial" w:hAnsi="Arial" w:cs="Arial"/>
          <w:szCs w:val="28"/>
          <w:lang w:val="ru" w:eastAsia="ru-RU"/>
        </w:rPr>
        <w:t>Освідування проводиться на підставі постанови прокурора. Перелік осіб, які можуть бути піддані освідуванню, визначений у ст</w:t>
      </w:r>
      <w:r w:rsidRPr="00511005">
        <w:rPr>
          <w:rFonts w:ascii="Arial" w:eastAsia="Arial" w:hAnsi="Arial" w:cs="Arial"/>
          <w:szCs w:val="28"/>
          <w:lang w:val="uk-UA" w:eastAsia="ru-RU"/>
        </w:rPr>
        <w:t>.</w:t>
      </w:r>
      <w:r w:rsidRPr="00511005">
        <w:rPr>
          <w:rFonts w:ascii="Arial" w:eastAsia="Arial" w:hAnsi="Arial" w:cs="Arial"/>
          <w:szCs w:val="28"/>
          <w:lang w:val="ru" w:eastAsia="ru-RU"/>
        </w:rPr>
        <w:t xml:space="preserve"> 241 Кримінального процесуального кодексу України</w:t>
      </w:r>
      <w:r w:rsidRPr="00511005">
        <w:rPr>
          <w:rFonts w:ascii="Arial" w:eastAsia="Arial" w:hAnsi="Arial" w:cs="Arial"/>
          <w:szCs w:val="28"/>
          <w:lang w:val="uk-UA" w:eastAsia="ru-RU"/>
        </w:rPr>
        <w:t xml:space="preserve"> (далі – КПК України)</w:t>
      </w:r>
      <w:r w:rsidRPr="00511005">
        <w:rPr>
          <w:rFonts w:ascii="Arial" w:eastAsia="Arial" w:hAnsi="Arial" w:cs="Arial"/>
          <w:szCs w:val="28"/>
          <w:lang w:val="ru" w:eastAsia="ru-RU"/>
        </w:rPr>
        <w:t>. До них належать підозрювані, свідки та потерпілі. У більшості випадків ці особи добровільно погоджуються пройти освідування. Однак це не виключає можливості їхньої відмови, навіть після роз’яснень слідчого та попередження про можливе примусове проведення процедури. Відтак виникає питання щодо правомірності застосування фізичного примусу, його меж та підстав стосовно учасників процесу, які відмовляються від освідування [1</w:t>
      </w:r>
      <w:r w:rsidRPr="00511005">
        <w:rPr>
          <w:rFonts w:ascii="Arial" w:eastAsia="Arial" w:hAnsi="Arial" w:cs="Arial"/>
          <w:szCs w:val="28"/>
          <w:lang w:val="uk-UA" w:eastAsia="ru-RU"/>
        </w:rPr>
        <w:t>, с. 300</w:t>
      </w:r>
      <w:r w:rsidRPr="00511005">
        <w:rPr>
          <w:rFonts w:ascii="Arial" w:eastAsia="Arial" w:hAnsi="Arial" w:cs="Arial"/>
          <w:szCs w:val="28"/>
          <w:lang w:val="ru" w:eastAsia="ru-RU"/>
        </w:rPr>
        <w:t>].</w:t>
      </w:r>
    </w:p>
    <w:p w14:paraId="18E312BC" w14:textId="77777777" w:rsidR="00532C25" w:rsidRPr="00511005" w:rsidRDefault="00532C25" w:rsidP="00532C25">
      <w:pPr>
        <w:spacing w:line="264" w:lineRule="auto"/>
        <w:ind w:firstLine="851"/>
        <w:rPr>
          <w:rFonts w:ascii="Arial" w:eastAsia="Arial" w:hAnsi="Arial" w:cs="Arial"/>
          <w:szCs w:val="28"/>
          <w:lang w:val="ru" w:eastAsia="ru-RU"/>
        </w:rPr>
      </w:pPr>
      <w:r w:rsidRPr="00511005">
        <w:rPr>
          <w:rFonts w:ascii="Arial" w:eastAsia="Arial" w:hAnsi="Arial" w:cs="Arial"/>
          <w:szCs w:val="28"/>
          <w:lang w:val="ru" w:eastAsia="ru-RU"/>
        </w:rPr>
        <w:t xml:space="preserve">Відповідно до ч. 7 ст. 223 КПК України, під час проведення освідування слідчий, прокурор зобов’язаний запросити не менше двох незаінтересованих осіб (понятих), яким роз’яснюють право бути присутніми під час всіх дій слідчого і обов’язок засвідчити підписами в протоколі факт проведення освідування і його результат, а також роз’яснюється право робити зауваження з приводу освідування і правильності його фіксації, які заносяться </w:t>
      </w:r>
      <w:proofErr w:type="gramStart"/>
      <w:r w:rsidRPr="00511005">
        <w:rPr>
          <w:rFonts w:ascii="Arial" w:eastAsia="Arial" w:hAnsi="Arial" w:cs="Arial"/>
          <w:szCs w:val="28"/>
          <w:lang w:val="ru" w:eastAsia="ru-RU"/>
        </w:rPr>
        <w:t>до протоколу</w:t>
      </w:r>
      <w:proofErr w:type="gramEnd"/>
    </w:p>
    <w:p w14:paraId="5A526D5E" w14:textId="77777777" w:rsidR="00532C25" w:rsidRPr="00511005" w:rsidRDefault="00532C25" w:rsidP="00532C25">
      <w:pPr>
        <w:spacing w:line="264" w:lineRule="auto"/>
        <w:ind w:firstLine="851"/>
        <w:rPr>
          <w:rFonts w:ascii="Arial" w:eastAsia="Arial" w:hAnsi="Arial" w:cs="Arial"/>
          <w:szCs w:val="28"/>
          <w:lang w:val="ru" w:eastAsia="ru-RU"/>
        </w:rPr>
      </w:pPr>
      <w:r w:rsidRPr="00511005">
        <w:rPr>
          <w:rFonts w:ascii="Arial" w:eastAsia="Arial" w:hAnsi="Arial" w:cs="Arial"/>
          <w:szCs w:val="28"/>
          <w:lang w:val="ru" w:eastAsia="ru-RU"/>
        </w:rPr>
        <w:t xml:space="preserve">Можливість примусового освідування підозрюваного, потерпілого чи свідка залишається дискусійною як у правовій теорії, так і в практиці правоохоронних органів. Учасників процесу можна умовно поділити на дві групи: осіб, зацікавлених </w:t>
      </w:r>
      <w:proofErr w:type="gramStart"/>
      <w:r w:rsidRPr="00511005">
        <w:rPr>
          <w:rFonts w:ascii="Arial" w:eastAsia="Arial" w:hAnsi="Arial" w:cs="Arial"/>
          <w:szCs w:val="28"/>
          <w:lang w:val="ru" w:eastAsia="ru-RU"/>
        </w:rPr>
        <w:t>у результатах</w:t>
      </w:r>
      <w:proofErr w:type="gramEnd"/>
      <w:r w:rsidRPr="00511005">
        <w:rPr>
          <w:rFonts w:ascii="Arial" w:eastAsia="Arial" w:hAnsi="Arial" w:cs="Arial"/>
          <w:szCs w:val="28"/>
          <w:lang w:val="ru" w:eastAsia="ru-RU"/>
        </w:rPr>
        <w:t xml:space="preserve"> провадження (підозрюваних і потерпілих), та осіб, які не мають такого інтересу (свідків). Серед зацікавлених осіб також є відмінності: підозрювані, як правило, не бажають сприяти встановленню обставин справи, оскільки результати освідування </w:t>
      </w:r>
      <w:r w:rsidRPr="00511005">
        <w:rPr>
          <w:rFonts w:ascii="Arial" w:eastAsia="Arial" w:hAnsi="Arial" w:cs="Arial"/>
          <w:szCs w:val="28"/>
          <w:lang w:val="ru" w:eastAsia="ru-RU"/>
        </w:rPr>
        <w:lastRenderedPageBreak/>
        <w:t>можуть виявити на їхньому тілі сліди злочину або особливі прикмети, що мають доказове значення [2</w:t>
      </w:r>
      <w:r w:rsidRPr="00511005">
        <w:rPr>
          <w:rFonts w:ascii="Arial" w:eastAsia="Arial" w:hAnsi="Arial" w:cs="Arial"/>
          <w:szCs w:val="28"/>
          <w:lang w:val="uk-UA" w:eastAsia="ru-RU"/>
        </w:rPr>
        <w:t>, с. 45</w:t>
      </w:r>
      <w:r w:rsidRPr="00511005">
        <w:rPr>
          <w:rFonts w:ascii="Arial" w:eastAsia="Arial" w:hAnsi="Arial" w:cs="Arial"/>
          <w:szCs w:val="28"/>
          <w:lang w:val="ru" w:eastAsia="ru-RU"/>
        </w:rPr>
        <w:t>]. Натомість потерпілі зазвичай зацікавлені у розкритті злочину і погоджуються на освідування добровільно, хоча трапляються випадки їх відмови з різних причин.</w:t>
      </w:r>
    </w:p>
    <w:p w14:paraId="273A9C65" w14:textId="77777777" w:rsidR="00532C25" w:rsidRPr="00511005" w:rsidRDefault="00532C25" w:rsidP="00532C25">
      <w:pPr>
        <w:spacing w:line="264" w:lineRule="auto"/>
        <w:ind w:firstLine="851"/>
        <w:rPr>
          <w:rFonts w:ascii="Arial" w:eastAsia="Arial" w:hAnsi="Arial" w:cs="Arial"/>
          <w:szCs w:val="28"/>
          <w:lang w:val="ru" w:eastAsia="ru-RU"/>
        </w:rPr>
      </w:pPr>
      <w:r w:rsidRPr="00511005">
        <w:rPr>
          <w:rFonts w:ascii="Arial" w:eastAsia="Arial" w:hAnsi="Arial" w:cs="Arial"/>
          <w:szCs w:val="28"/>
          <w:lang w:val="ru" w:eastAsia="ru-RU"/>
        </w:rPr>
        <w:t>Залежно від наявності особистого інтересу в осіб, по-різному вирішується і питання щодо можливості застосування фізичного примусу для проведення освідування. Одні вчені вважають, що щодо підозрюваних освідування може проводитись як на добровільній основі, так і примусово.</w:t>
      </w:r>
    </w:p>
    <w:p w14:paraId="0E8EA217" w14:textId="77777777" w:rsidR="00532C25" w:rsidRPr="00511005" w:rsidRDefault="00532C25" w:rsidP="00532C25">
      <w:pPr>
        <w:spacing w:line="264" w:lineRule="auto"/>
        <w:ind w:firstLine="851"/>
        <w:rPr>
          <w:rFonts w:ascii="Arial" w:eastAsia="Arial" w:hAnsi="Arial" w:cs="Arial"/>
          <w:szCs w:val="28"/>
          <w:lang w:val="uk-UA" w:eastAsia="ru-RU"/>
        </w:rPr>
      </w:pPr>
      <w:r w:rsidRPr="00511005">
        <w:rPr>
          <w:rFonts w:ascii="Arial" w:eastAsia="Arial" w:hAnsi="Arial" w:cs="Arial"/>
          <w:szCs w:val="28"/>
          <w:lang w:val="uk-UA" w:eastAsia="ru-RU"/>
        </w:rPr>
        <w:t>Так, під час розгляду в суді однієї зі справ, захисник наполягав на недопустимості доказів, які зібрані з порушенням основ кримінального провадження. При цьому зазначав: «Під час примусового освідування ОСОБА_2 зазнавала фізичного болю, чим було порушено засади кримінального провадження: повага до людської гідності та свобода від самовикриття, у зв’язку з чим захисник посилається на низку рішень Європейського суду з прав людини, у яких указано на недопустимості доказів, отриманих шляхом застосування примусу». Наприклад, під час розгляду в суді однієї зі справ, захисник наполягав на недопустимості доказів, які зібрані з порушенням основ кримінального провадження. При цьому зазначав: «Під час примусового освідування ОСОБА_2 зазнавала фізичного болю, чим було порушено засади кримінального провадження: повага до людської гідності та свобода від самовикриття, у зв’язку з чим захисник посилається на низку рішень Європейського суду з прав людини, у яких указано на недопустимості доказів, отриманих шляхом застосування примусу»</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3</w:t>
      </w:r>
      <w:r w:rsidRPr="00511005">
        <w:rPr>
          <w:rFonts w:ascii="Arial" w:eastAsia="Arial" w:hAnsi="Arial" w:cs="Arial"/>
          <w:szCs w:val="28"/>
          <w:lang w:val="ru" w:eastAsia="ru-RU"/>
        </w:rPr>
        <w:t>]</w:t>
      </w:r>
      <w:r w:rsidRPr="00511005">
        <w:rPr>
          <w:rFonts w:ascii="Arial" w:eastAsia="Arial" w:hAnsi="Arial" w:cs="Arial"/>
          <w:szCs w:val="28"/>
          <w:lang w:val="uk-UA" w:eastAsia="ru-RU"/>
        </w:rPr>
        <w:t>.</w:t>
      </w:r>
    </w:p>
    <w:p w14:paraId="10ED0634" w14:textId="77777777" w:rsidR="00532C25" w:rsidRPr="00511005" w:rsidRDefault="00532C25" w:rsidP="00532C25">
      <w:pPr>
        <w:spacing w:line="264" w:lineRule="auto"/>
        <w:ind w:firstLine="851"/>
        <w:rPr>
          <w:rFonts w:ascii="Arial" w:eastAsia="Arial" w:hAnsi="Arial" w:cs="Arial"/>
          <w:szCs w:val="28"/>
          <w:lang w:val="ru" w:eastAsia="ru-RU"/>
        </w:rPr>
      </w:pPr>
      <w:r w:rsidRPr="00511005">
        <w:rPr>
          <w:rFonts w:ascii="Arial" w:eastAsia="Arial" w:hAnsi="Arial" w:cs="Arial"/>
          <w:szCs w:val="28"/>
          <w:lang w:val="ru" w:eastAsia="ru-RU"/>
        </w:rPr>
        <w:t>Застосування примусу під час освідування можливе лише тоді, коли особа безпідставно відмовляється добровільно пройти цю процедуру. Примусові заходи повинні бути пропорційними, мінімально необхідними для досягнення мети освідування і здійснюватися без приниження честі та гідності людини. Фізичний примус може застосовуватися лише настільки, наскільки це потрібно для виконання ухвали суду чи законної вимоги слідчого або прокурора.</w:t>
      </w:r>
    </w:p>
    <w:p w14:paraId="7013B50E" w14:textId="77777777" w:rsidR="00532C25" w:rsidRPr="00511005" w:rsidRDefault="00532C25" w:rsidP="00532C25">
      <w:pPr>
        <w:spacing w:line="264" w:lineRule="auto"/>
        <w:ind w:firstLine="851"/>
        <w:rPr>
          <w:rFonts w:ascii="Arial" w:eastAsia="Arial" w:hAnsi="Arial" w:cs="Arial"/>
          <w:szCs w:val="28"/>
          <w:lang w:val="ru" w:eastAsia="ru-RU"/>
        </w:rPr>
      </w:pPr>
      <w:r w:rsidRPr="00511005">
        <w:rPr>
          <w:rFonts w:ascii="Arial" w:eastAsia="Arial" w:hAnsi="Arial" w:cs="Arial"/>
          <w:szCs w:val="28"/>
          <w:lang w:val="ru" w:eastAsia="ru-RU"/>
        </w:rPr>
        <w:t>Правоохоронці, здійснюючи освідування із застосуванням примусу, повинні:</w:t>
      </w:r>
    </w:p>
    <w:p w14:paraId="3F15D4D2" w14:textId="77777777" w:rsidR="00532C25" w:rsidRPr="00511005" w:rsidRDefault="00532C25" w:rsidP="003F6A5D">
      <w:pPr>
        <w:numPr>
          <w:ilvl w:val="0"/>
          <w:numId w:val="593"/>
        </w:numPr>
        <w:spacing w:line="264" w:lineRule="auto"/>
        <w:jc w:val="left"/>
        <w:rPr>
          <w:rFonts w:ascii="Arial" w:eastAsia="Arial" w:hAnsi="Arial" w:cs="Arial"/>
          <w:szCs w:val="28"/>
          <w:lang w:val="ru" w:eastAsia="ru-RU"/>
        </w:rPr>
      </w:pPr>
      <w:r w:rsidRPr="00511005">
        <w:rPr>
          <w:rFonts w:ascii="Arial" w:eastAsia="Arial" w:hAnsi="Arial" w:cs="Arial"/>
          <w:szCs w:val="28"/>
          <w:lang w:val="ru" w:eastAsia="ru-RU"/>
        </w:rPr>
        <w:t>діяти виключно в межах законних повноважень;</w:t>
      </w:r>
    </w:p>
    <w:p w14:paraId="43924425" w14:textId="77777777" w:rsidR="00532C25" w:rsidRPr="00511005" w:rsidRDefault="00532C25" w:rsidP="003F6A5D">
      <w:pPr>
        <w:numPr>
          <w:ilvl w:val="0"/>
          <w:numId w:val="593"/>
        </w:numPr>
        <w:spacing w:line="264" w:lineRule="auto"/>
        <w:jc w:val="left"/>
        <w:rPr>
          <w:rFonts w:ascii="Arial" w:eastAsia="Arial" w:hAnsi="Arial" w:cs="Arial"/>
          <w:szCs w:val="28"/>
          <w:lang w:val="ru" w:eastAsia="ru-RU"/>
        </w:rPr>
      </w:pPr>
      <w:r w:rsidRPr="00511005">
        <w:rPr>
          <w:rFonts w:ascii="Arial" w:eastAsia="Arial" w:hAnsi="Arial" w:cs="Arial"/>
          <w:szCs w:val="28"/>
          <w:lang w:val="ru" w:eastAsia="ru-RU"/>
        </w:rPr>
        <w:t>суворо дотримуватися принципів законності, гуманізму та пропорційності;</w:t>
      </w:r>
    </w:p>
    <w:p w14:paraId="5D4D20B2" w14:textId="77777777" w:rsidR="00532C25" w:rsidRPr="00511005" w:rsidRDefault="00532C25" w:rsidP="003F6A5D">
      <w:pPr>
        <w:numPr>
          <w:ilvl w:val="0"/>
          <w:numId w:val="593"/>
        </w:numPr>
        <w:spacing w:line="264" w:lineRule="auto"/>
        <w:jc w:val="left"/>
        <w:rPr>
          <w:rFonts w:ascii="Arial" w:eastAsia="Arial" w:hAnsi="Arial" w:cs="Arial"/>
          <w:szCs w:val="28"/>
          <w:lang w:val="ru" w:eastAsia="ru-RU"/>
        </w:rPr>
      </w:pPr>
      <w:r w:rsidRPr="00511005">
        <w:rPr>
          <w:rFonts w:ascii="Arial" w:eastAsia="Arial" w:hAnsi="Arial" w:cs="Arial"/>
          <w:szCs w:val="28"/>
          <w:lang w:val="ru" w:eastAsia="ru-RU"/>
        </w:rPr>
        <w:t>фіксувати всі дії у відповідних процесуальних документах;</w:t>
      </w:r>
    </w:p>
    <w:p w14:paraId="72EC4406" w14:textId="77777777" w:rsidR="00532C25" w:rsidRPr="00511005" w:rsidRDefault="00532C25" w:rsidP="003F6A5D">
      <w:pPr>
        <w:numPr>
          <w:ilvl w:val="0"/>
          <w:numId w:val="593"/>
        </w:numPr>
        <w:spacing w:line="264" w:lineRule="auto"/>
        <w:jc w:val="left"/>
        <w:rPr>
          <w:rFonts w:ascii="Arial" w:eastAsia="Arial" w:hAnsi="Arial" w:cs="Arial"/>
          <w:szCs w:val="28"/>
          <w:lang w:val="ru" w:eastAsia="ru-RU"/>
        </w:rPr>
      </w:pPr>
      <w:r w:rsidRPr="00511005">
        <w:rPr>
          <w:rFonts w:ascii="Arial" w:eastAsia="Arial" w:hAnsi="Arial" w:cs="Arial"/>
          <w:szCs w:val="28"/>
          <w:lang w:val="ru" w:eastAsia="ru-RU"/>
        </w:rPr>
        <w:t>роз’яснити особі її права, зокрема право на захисника та право оскаржити дії слідства.</w:t>
      </w:r>
    </w:p>
    <w:p w14:paraId="6CFA8194" w14:textId="77777777" w:rsidR="00532C25" w:rsidRPr="00511005" w:rsidRDefault="00532C25" w:rsidP="00532C25">
      <w:pPr>
        <w:spacing w:line="264" w:lineRule="auto"/>
        <w:ind w:firstLine="851"/>
        <w:rPr>
          <w:rFonts w:ascii="Arial" w:eastAsia="Arial" w:hAnsi="Arial" w:cs="Arial"/>
          <w:szCs w:val="28"/>
          <w:lang w:val="ru" w:eastAsia="ru-RU"/>
        </w:rPr>
      </w:pPr>
      <w:r w:rsidRPr="00511005">
        <w:rPr>
          <w:rFonts w:ascii="Arial" w:eastAsia="Arial" w:hAnsi="Arial" w:cs="Arial"/>
          <w:szCs w:val="28"/>
          <w:lang w:val="ru" w:eastAsia="ru-RU"/>
        </w:rPr>
        <w:t>Невиконання цих вимог може стати підставою для визнання отриманих результатів недопустимими доказами у кримінальному провадженні.</w:t>
      </w:r>
    </w:p>
    <w:p w14:paraId="6149FE14" w14:textId="77777777" w:rsidR="00532C25" w:rsidRPr="00511005" w:rsidRDefault="00532C25" w:rsidP="00532C25">
      <w:pPr>
        <w:spacing w:line="264" w:lineRule="auto"/>
        <w:ind w:firstLine="851"/>
        <w:rPr>
          <w:rFonts w:ascii="Arial" w:eastAsia="Arial" w:hAnsi="Arial" w:cs="Arial"/>
          <w:szCs w:val="28"/>
          <w:lang w:val="ru" w:eastAsia="ru-RU"/>
        </w:rPr>
      </w:pPr>
      <w:r w:rsidRPr="00511005">
        <w:rPr>
          <w:rFonts w:ascii="Arial" w:eastAsia="Arial" w:hAnsi="Arial" w:cs="Arial"/>
          <w:szCs w:val="28"/>
          <w:lang w:val="ru" w:eastAsia="ru-RU"/>
        </w:rPr>
        <w:lastRenderedPageBreak/>
        <w:t>Таким чином, освідування підозрюваного, потерпілого чи свідка проводиться відповідно до постанови прокурора і є важливою процесуальною дією для встановлення обставин</w:t>
      </w:r>
      <w:r w:rsidRPr="00511005">
        <w:rPr>
          <w:rFonts w:ascii="Arial" w:eastAsia="Arial" w:hAnsi="Arial" w:cs="Arial"/>
          <w:szCs w:val="28"/>
          <w:lang w:val="uk-UA" w:eastAsia="ru-RU"/>
        </w:rPr>
        <w:t xml:space="preserve"> кримінального правопорушення</w:t>
      </w:r>
      <w:r w:rsidRPr="00511005">
        <w:rPr>
          <w:rFonts w:ascii="Arial" w:eastAsia="Arial" w:hAnsi="Arial" w:cs="Arial"/>
          <w:szCs w:val="28"/>
          <w:lang w:val="ru" w:eastAsia="ru-RU"/>
        </w:rPr>
        <w:t>.</w:t>
      </w:r>
    </w:p>
    <w:p w14:paraId="6EA53415" w14:textId="77777777" w:rsidR="00532C25" w:rsidRPr="00511005" w:rsidRDefault="00532C25" w:rsidP="00532C25">
      <w:pPr>
        <w:spacing w:line="264" w:lineRule="auto"/>
        <w:ind w:firstLine="851"/>
        <w:rPr>
          <w:rFonts w:ascii="Arial" w:eastAsia="Arial" w:hAnsi="Arial" w:cs="Arial"/>
          <w:szCs w:val="28"/>
          <w:lang w:val="ru" w:eastAsia="ru-RU"/>
        </w:rPr>
      </w:pPr>
      <w:r w:rsidRPr="00511005">
        <w:rPr>
          <w:rFonts w:ascii="Arial" w:eastAsia="Arial" w:hAnsi="Arial" w:cs="Arial"/>
          <w:szCs w:val="28"/>
          <w:lang w:val="ru" w:eastAsia="ru-RU"/>
        </w:rPr>
        <w:t>Незважаючи на переважну добровільність проходження освідування, закон допускає можливість примусового його проведення у разі відмови особи, що обумовлює необхідність чіткого регулювання меж і підстав для застосування фізичного примусу.</w:t>
      </w:r>
    </w:p>
    <w:p w14:paraId="52CBFC45" w14:textId="77777777" w:rsidR="00532C25" w:rsidRPr="00511005" w:rsidRDefault="00532C25" w:rsidP="00532C25">
      <w:pPr>
        <w:spacing w:line="264" w:lineRule="auto"/>
        <w:ind w:firstLine="0"/>
        <w:rPr>
          <w:rFonts w:ascii="Arial" w:eastAsia="Arial" w:hAnsi="Arial" w:cs="Arial"/>
          <w:b/>
          <w:szCs w:val="28"/>
          <w:lang w:val="ru" w:eastAsia="ru-RU"/>
        </w:rPr>
      </w:pPr>
    </w:p>
    <w:p w14:paraId="7699B99B" w14:textId="77777777" w:rsidR="00532C25" w:rsidRPr="00511005" w:rsidRDefault="00532C25" w:rsidP="00532C25">
      <w:pPr>
        <w:spacing w:line="264" w:lineRule="auto"/>
        <w:ind w:firstLine="0"/>
        <w:jc w:val="center"/>
        <w:rPr>
          <w:rFonts w:ascii="Arial" w:eastAsia="Arial" w:hAnsi="Arial" w:cs="Arial"/>
          <w:b/>
          <w:szCs w:val="28"/>
          <w:lang w:val="uk-UA" w:eastAsia="ru-RU"/>
        </w:rPr>
      </w:pPr>
      <w:r w:rsidRPr="00511005">
        <w:rPr>
          <w:rFonts w:ascii="Arial" w:eastAsia="Arial" w:hAnsi="Arial" w:cs="Arial"/>
          <w:b/>
          <w:szCs w:val="28"/>
          <w:lang w:val="uk-UA" w:eastAsia="ru-RU"/>
        </w:rPr>
        <w:t>Список використаних джерел</w:t>
      </w:r>
    </w:p>
    <w:bookmarkEnd w:id="272"/>
    <w:p w14:paraId="027267A6" w14:textId="77777777" w:rsidR="00532C25" w:rsidRPr="00511005" w:rsidRDefault="00532C25" w:rsidP="003F6A5D">
      <w:pPr>
        <w:numPr>
          <w:ilvl w:val="0"/>
          <w:numId w:val="594"/>
        </w:numPr>
        <w:spacing w:line="264" w:lineRule="auto"/>
        <w:contextualSpacing/>
        <w:jc w:val="left"/>
        <w:rPr>
          <w:rFonts w:ascii="Arial" w:eastAsia="Calibri" w:hAnsi="Arial" w:cs="Arial"/>
          <w:szCs w:val="28"/>
        </w:rPr>
      </w:pPr>
      <w:r w:rsidRPr="00511005">
        <w:rPr>
          <w:rFonts w:ascii="Arial" w:eastAsia="Calibri" w:hAnsi="Arial" w:cs="Arial"/>
          <w:szCs w:val="28"/>
        </w:rPr>
        <w:t>Дуфенюк О.</w:t>
      </w:r>
      <w:r w:rsidRPr="00511005">
        <w:rPr>
          <w:rFonts w:ascii="Arial" w:eastAsia="Calibri" w:hAnsi="Arial" w:cs="Arial"/>
          <w:szCs w:val="28"/>
          <w:lang w:val="uk-UA"/>
        </w:rPr>
        <w:t> </w:t>
      </w:r>
      <w:r w:rsidRPr="00511005">
        <w:rPr>
          <w:rFonts w:ascii="Arial" w:eastAsia="Calibri" w:hAnsi="Arial" w:cs="Arial"/>
          <w:szCs w:val="28"/>
        </w:rPr>
        <w:t>М., Кунтій А.</w:t>
      </w:r>
      <w:r w:rsidRPr="00511005">
        <w:rPr>
          <w:rFonts w:ascii="Arial" w:eastAsia="Calibri" w:hAnsi="Arial" w:cs="Arial"/>
          <w:szCs w:val="28"/>
          <w:lang w:val="uk-UA"/>
        </w:rPr>
        <w:t> </w:t>
      </w:r>
      <w:r w:rsidRPr="00511005">
        <w:rPr>
          <w:rFonts w:ascii="Arial" w:eastAsia="Calibri" w:hAnsi="Arial" w:cs="Arial"/>
          <w:szCs w:val="28"/>
        </w:rPr>
        <w:t xml:space="preserve">І. Правова регламентація проведення освідування: проблеми та шляхи вирішення. </w:t>
      </w:r>
      <w:r w:rsidRPr="00511005">
        <w:rPr>
          <w:rFonts w:ascii="Arial" w:eastAsia="Calibri" w:hAnsi="Arial" w:cs="Arial"/>
          <w:i/>
          <w:iCs/>
          <w:szCs w:val="28"/>
        </w:rPr>
        <w:t>Науковий вісник Львівського державного університету</w:t>
      </w:r>
      <w:r w:rsidRPr="00511005">
        <w:rPr>
          <w:rFonts w:ascii="Arial" w:eastAsia="Calibri" w:hAnsi="Arial" w:cs="Arial"/>
          <w:i/>
          <w:iCs/>
          <w:szCs w:val="28"/>
          <w:lang w:val="uk-UA"/>
        </w:rPr>
        <w:t xml:space="preserve"> </w:t>
      </w:r>
      <w:r w:rsidRPr="00511005">
        <w:rPr>
          <w:rFonts w:ascii="Arial" w:eastAsia="Calibri" w:hAnsi="Arial" w:cs="Arial"/>
          <w:i/>
          <w:iCs/>
          <w:szCs w:val="28"/>
        </w:rPr>
        <w:t>внутрішніх справ.</w:t>
      </w:r>
      <w:r w:rsidRPr="00511005">
        <w:rPr>
          <w:rFonts w:ascii="Arial" w:eastAsia="Calibri" w:hAnsi="Arial" w:cs="Arial"/>
          <w:szCs w:val="28"/>
        </w:rPr>
        <w:t xml:space="preserve"> 2015. </w:t>
      </w:r>
      <w:r w:rsidRPr="00511005">
        <w:rPr>
          <w:rFonts w:ascii="Arial" w:eastAsia="Calibri" w:hAnsi="Arial" w:cs="Arial"/>
          <w:szCs w:val="28"/>
          <w:lang w:val="uk-UA"/>
        </w:rPr>
        <w:t>№</w:t>
      </w:r>
      <w:r w:rsidRPr="00511005">
        <w:rPr>
          <w:rFonts w:ascii="Arial" w:eastAsia="Calibri" w:hAnsi="Arial" w:cs="Arial"/>
          <w:szCs w:val="28"/>
        </w:rPr>
        <w:t xml:space="preserve"> 4. С. 298</w:t>
      </w:r>
      <w:r w:rsidRPr="00511005">
        <w:rPr>
          <w:rFonts w:ascii="Arial" w:eastAsia="Calibri" w:hAnsi="Arial" w:cs="Arial"/>
          <w:szCs w:val="28"/>
          <w:lang w:val="uk-UA"/>
        </w:rPr>
        <w:t>-</w:t>
      </w:r>
      <w:r w:rsidRPr="00511005">
        <w:rPr>
          <w:rFonts w:ascii="Arial" w:eastAsia="Calibri" w:hAnsi="Arial" w:cs="Arial"/>
          <w:szCs w:val="28"/>
        </w:rPr>
        <w:t>306</w:t>
      </w:r>
      <w:r w:rsidRPr="00511005">
        <w:rPr>
          <w:rFonts w:ascii="Arial" w:eastAsia="Calibri" w:hAnsi="Arial" w:cs="Arial"/>
          <w:szCs w:val="28"/>
          <w:lang w:val="uk-UA"/>
        </w:rPr>
        <w:t xml:space="preserve">. </w:t>
      </w:r>
      <w:r w:rsidRPr="00511005">
        <w:rPr>
          <w:rFonts w:ascii="Arial" w:eastAsia="Calibri" w:hAnsi="Arial" w:cs="Arial"/>
          <w:szCs w:val="28"/>
          <w:lang w:val="en-GB"/>
        </w:rPr>
        <w:t>URL</w:t>
      </w:r>
      <w:r w:rsidRPr="00511005">
        <w:rPr>
          <w:rFonts w:ascii="Arial" w:eastAsia="Calibri" w:hAnsi="Arial" w:cs="Arial"/>
          <w:szCs w:val="28"/>
        </w:rPr>
        <w:t xml:space="preserve">: </w:t>
      </w:r>
      <w:hyperlink r:id="rId2230" w:history="1">
        <w:r w:rsidRPr="00511005">
          <w:rPr>
            <w:rFonts w:ascii="Arial" w:eastAsia="Calibri" w:hAnsi="Arial" w:cs="Arial"/>
            <w:szCs w:val="28"/>
          </w:rPr>
          <w:t>http://nbuv.gov.ua/UJRN/Nvlduvs_2015_4_33</w:t>
        </w:r>
      </w:hyperlink>
      <w:r w:rsidRPr="00511005">
        <w:rPr>
          <w:rFonts w:ascii="Arial" w:eastAsia="Calibri" w:hAnsi="Arial" w:cs="Arial"/>
          <w:szCs w:val="28"/>
          <w:lang w:val="uk-UA"/>
        </w:rPr>
        <w:t xml:space="preserve">. </w:t>
      </w:r>
    </w:p>
    <w:p w14:paraId="79FEF3FD" w14:textId="77777777" w:rsidR="00532C25" w:rsidRPr="00511005" w:rsidRDefault="00532C25" w:rsidP="003F6A5D">
      <w:pPr>
        <w:numPr>
          <w:ilvl w:val="0"/>
          <w:numId w:val="594"/>
        </w:numPr>
        <w:spacing w:line="264" w:lineRule="auto"/>
        <w:contextualSpacing/>
        <w:jc w:val="left"/>
        <w:rPr>
          <w:rFonts w:ascii="Arial" w:eastAsia="Calibri" w:hAnsi="Arial" w:cs="Arial"/>
          <w:szCs w:val="28"/>
        </w:rPr>
      </w:pPr>
      <w:r w:rsidRPr="00511005">
        <w:rPr>
          <w:rFonts w:ascii="Arial" w:eastAsia="Calibri" w:hAnsi="Arial" w:cs="Arial"/>
          <w:szCs w:val="28"/>
        </w:rPr>
        <w:t>Іскендеров</w:t>
      </w:r>
      <w:r w:rsidRPr="00511005">
        <w:rPr>
          <w:rFonts w:ascii="Arial" w:eastAsia="Calibri" w:hAnsi="Arial" w:cs="Arial"/>
          <w:szCs w:val="28"/>
          <w:lang w:val="en-GB"/>
        </w:rPr>
        <w:t> </w:t>
      </w:r>
      <w:r w:rsidRPr="00511005">
        <w:rPr>
          <w:rFonts w:ascii="Arial" w:eastAsia="Calibri" w:hAnsi="Arial" w:cs="Arial"/>
          <w:szCs w:val="28"/>
        </w:rPr>
        <w:t>Е.</w:t>
      </w:r>
      <w:r w:rsidRPr="00511005">
        <w:rPr>
          <w:rFonts w:ascii="Arial" w:eastAsia="Calibri" w:hAnsi="Arial" w:cs="Arial"/>
          <w:szCs w:val="28"/>
          <w:lang w:val="en-GB"/>
        </w:rPr>
        <w:t> </w:t>
      </w:r>
      <w:r w:rsidRPr="00511005">
        <w:rPr>
          <w:rFonts w:ascii="Arial" w:eastAsia="Calibri" w:hAnsi="Arial" w:cs="Arial"/>
          <w:szCs w:val="28"/>
        </w:rPr>
        <w:t>Ф. Кримінальні процесуальні гарантії сторони обвинувачення</w:t>
      </w:r>
      <w:r w:rsidRPr="00511005">
        <w:rPr>
          <w:rFonts w:ascii="Arial" w:eastAsia="Calibri" w:hAnsi="Arial" w:cs="Arial"/>
          <w:szCs w:val="28"/>
          <w:lang w:val="uk-UA"/>
        </w:rPr>
        <w:t xml:space="preserve"> </w:t>
      </w:r>
      <w:r w:rsidRPr="00511005">
        <w:rPr>
          <w:rFonts w:ascii="Arial" w:eastAsia="Calibri" w:hAnsi="Arial" w:cs="Arial"/>
          <w:szCs w:val="28"/>
        </w:rPr>
        <w:t xml:space="preserve">як суб’єкта доказування під час проведення освідування у досудовому розслідуванні. </w:t>
      </w:r>
      <w:r w:rsidRPr="00511005">
        <w:rPr>
          <w:rFonts w:ascii="Arial" w:eastAsia="Calibri" w:hAnsi="Arial" w:cs="Arial"/>
          <w:i/>
          <w:iCs/>
          <w:szCs w:val="28"/>
        </w:rPr>
        <w:t>Вісник кримінального судочинства</w:t>
      </w:r>
      <w:r w:rsidRPr="00511005">
        <w:rPr>
          <w:rFonts w:ascii="Arial" w:eastAsia="Calibri" w:hAnsi="Arial" w:cs="Arial"/>
          <w:szCs w:val="28"/>
        </w:rPr>
        <w:t xml:space="preserve">. 2017. </w:t>
      </w:r>
      <w:r w:rsidRPr="00511005">
        <w:rPr>
          <w:rFonts w:ascii="Arial" w:eastAsia="Calibri" w:hAnsi="Arial" w:cs="Arial"/>
          <w:szCs w:val="28"/>
          <w:lang w:val="uk-UA"/>
        </w:rPr>
        <w:t>№</w:t>
      </w:r>
      <w:r w:rsidRPr="00511005">
        <w:rPr>
          <w:rFonts w:ascii="Arial" w:eastAsia="Calibri" w:hAnsi="Arial" w:cs="Arial"/>
          <w:szCs w:val="28"/>
        </w:rPr>
        <w:t xml:space="preserve"> 3. С. 44</w:t>
      </w:r>
      <w:r w:rsidRPr="00511005">
        <w:rPr>
          <w:rFonts w:ascii="Arial" w:eastAsia="Calibri" w:hAnsi="Arial" w:cs="Arial"/>
          <w:szCs w:val="28"/>
          <w:lang w:val="uk-UA"/>
        </w:rPr>
        <w:t>-</w:t>
      </w:r>
      <w:r w:rsidRPr="00511005">
        <w:rPr>
          <w:rFonts w:ascii="Arial" w:eastAsia="Calibri" w:hAnsi="Arial" w:cs="Arial"/>
          <w:szCs w:val="28"/>
        </w:rPr>
        <w:t>50.</w:t>
      </w:r>
      <w:r w:rsidRPr="00511005">
        <w:rPr>
          <w:rFonts w:ascii="Arial" w:eastAsia="Calibri" w:hAnsi="Arial" w:cs="Arial"/>
          <w:szCs w:val="28"/>
          <w:lang w:val="uk-UA"/>
        </w:rPr>
        <w:t xml:space="preserve"> </w:t>
      </w:r>
      <w:r w:rsidRPr="00511005">
        <w:rPr>
          <w:rFonts w:ascii="Arial" w:eastAsia="Calibri" w:hAnsi="Arial" w:cs="Arial"/>
          <w:szCs w:val="28"/>
          <w:lang w:val="en-US"/>
        </w:rPr>
        <w:t>URL</w:t>
      </w:r>
      <w:r w:rsidRPr="00511005">
        <w:rPr>
          <w:rFonts w:ascii="Arial" w:eastAsia="Calibri" w:hAnsi="Arial" w:cs="Arial"/>
          <w:szCs w:val="28"/>
        </w:rPr>
        <w:t>:</w:t>
      </w:r>
      <w:r w:rsidRPr="00511005">
        <w:rPr>
          <w:rFonts w:ascii="Arial" w:eastAsia="Calibri" w:hAnsi="Arial" w:cs="Arial"/>
          <w:szCs w:val="28"/>
          <w:lang w:val="uk-UA"/>
        </w:rPr>
        <w:t xml:space="preserve"> </w:t>
      </w:r>
      <w:hyperlink r:id="rId2231" w:history="1">
        <w:r w:rsidRPr="00511005">
          <w:rPr>
            <w:rFonts w:ascii="Arial" w:eastAsia="Calibri" w:hAnsi="Arial" w:cs="Arial"/>
            <w:szCs w:val="28"/>
            <w:lang w:val="en-US"/>
          </w:rPr>
          <w:t>http</w:t>
        </w:r>
        <w:r w:rsidRPr="00511005">
          <w:rPr>
            <w:rFonts w:ascii="Arial" w:eastAsia="Calibri" w:hAnsi="Arial" w:cs="Arial"/>
            <w:szCs w:val="28"/>
          </w:rPr>
          <w:t>://</w:t>
        </w:r>
        <w:r w:rsidRPr="00511005">
          <w:rPr>
            <w:rFonts w:ascii="Arial" w:eastAsia="Calibri" w:hAnsi="Arial" w:cs="Arial"/>
            <w:szCs w:val="28"/>
            <w:lang w:val="en-US"/>
          </w:rPr>
          <w:t>nbuv</w:t>
        </w:r>
        <w:r w:rsidRPr="00511005">
          <w:rPr>
            <w:rFonts w:ascii="Arial" w:eastAsia="Calibri" w:hAnsi="Arial" w:cs="Arial"/>
            <w:szCs w:val="28"/>
          </w:rPr>
          <w:t>.</w:t>
        </w:r>
        <w:r w:rsidRPr="00511005">
          <w:rPr>
            <w:rFonts w:ascii="Arial" w:eastAsia="Calibri" w:hAnsi="Arial" w:cs="Arial"/>
            <w:szCs w:val="28"/>
            <w:lang w:val="en-US"/>
          </w:rPr>
          <w:t>gov</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w:t>
        </w:r>
        <w:r w:rsidRPr="00511005">
          <w:rPr>
            <w:rFonts w:ascii="Arial" w:eastAsia="Calibri" w:hAnsi="Arial" w:cs="Arial"/>
            <w:szCs w:val="28"/>
            <w:lang w:val="en-US"/>
          </w:rPr>
          <w:t>UJRN</w:t>
        </w:r>
        <w:r w:rsidRPr="00511005">
          <w:rPr>
            <w:rFonts w:ascii="Arial" w:eastAsia="Calibri" w:hAnsi="Arial" w:cs="Arial"/>
            <w:szCs w:val="28"/>
          </w:rPr>
          <w:t>/</w:t>
        </w:r>
        <w:r w:rsidRPr="00511005">
          <w:rPr>
            <w:rFonts w:ascii="Arial" w:eastAsia="Calibri" w:hAnsi="Arial" w:cs="Arial"/>
            <w:szCs w:val="28"/>
            <w:lang w:val="en-US"/>
          </w:rPr>
          <w:t>vkc</w:t>
        </w:r>
        <w:r w:rsidRPr="00511005">
          <w:rPr>
            <w:rFonts w:ascii="Arial" w:eastAsia="Calibri" w:hAnsi="Arial" w:cs="Arial"/>
            <w:szCs w:val="28"/>
          </w:rPr>
          <w:t>_2017_3_6</w:t>
        </w:r>
      </w:hyperlink>
      <w:r w:rsidRPr="00511005">
        <w:rPr>
          <w:rFonts w:ascii="Arial" w:eastAsia="Calibri" w:hAnsi="Arial" w:cs="Arial"/>
          <w:szCs w:val="28"/>
        </w:rPr>
        <w:t>.</w:t>
      </w:r>
      <w:r w:rsidRPr="00511005">
        <w:rPr>
          <w:rFonts w:ascii="Arial" w:eastAsia="Calibri" w:hAnsi="Arial" w:cs="Arial"/>
          <w:szCs w:val="28"/>
          <w:lang w:val="uk-UA"/>
        </w:rPr>
        <w:t xml:space="preserve"> </w:t>
      </w:r>
    </w:p>
    <w:p w14:paraId="44E322F4" w14:textId="77777777" w:rsidR="00532C25" w:rsidRPr="00511005" w:rsidRDefault="00532C25" w:rsidP="003F6A5D">
      <w:pPr>
        <w:numPr>
          <w:ilvl w:val="0"/>
          <w:numId w:val="594"/>
        </w:numPr>
        <w:spacing w:line="264" w:lineRule="auto"/>
        <w:contextualSpacing/>
        <w:jc w:val="left"/>
        <w:rPr>
          <w:rFonts w:ascii="Arial" w:eastAsia="Calibri" w:hAnsi="Arial" w:cs="Arial"/>
          <w:szCs w:val="28"/>
          <w:lang w:val="pl-PL"/>
        </w:rPr>
      </w:pPr>
      <w:r w:rsidRPr="00511005">
        <w:rPr>
          <w:rFonts w:ascii="Arial" w:eastAsia="Calibri" w:hAnsi="Arial" w:cs="Arial"/>
          <w:szCs w:val="28"/>
          <w:lang w:val="uk-UA"/>
        </w:rPr>
        <w:t xml:space="preserve">Смірнова І. </w:t>
      </w:r>
      <w:r w:rsidRPr="00511005">
        <w:rPr>
          <w:rFonts w:ascii="Arial" w:eastAsia="Calibri" w:hAnsi="Arial" w:cs="Arial"/>
          <w:szCs w:val="28"/>
        </w:rPr>
        <w:t>Дотримання прав особи при слідчій дії освідування</w:t>
      </w:r>
      <w:r w:rsidRPr="00511005">
        <w:rPr>
          <w:rFonts w:ascii="Arial" w:eastAsia="Calibri" w:hAnsi="Arial" w:cs="Arial"/>
          <w:szCs w:val="28"/>
          <w:lang w:val="uk-UA"/>
        </w:rPr>
        <w:t xml:space="preserve">. </w:t>
      </w:r>
      <w:r w:rsidRPr="00511005">
        <w:rPr>
          <w:rFonts w:ascii="Arial" w:eastAsia="Calibri" w:hAnsi="Arial" w:cs="Arial"/>
          <w:szCs w:val="28"/>
          <w:lang w:val="pl-PL"/>
        </w:rPr>
        <w:t>URL</w:t>
      </w:r>
      <w:r w:rsidRPr="00511005">
        <w:rPr>
          <w:rFonts w:ascii="Arial" w:eastAsia="Calibri" w:hAnsi="Arial" w:cs="Arial"/>
          <w:szCs w:val="28"/>
          <w:lang w:val="uk-UA"/>
        </w:rPr>
        <w:t xml:space="preserve">: </w:t>
      </w:r>
      <w:hyperlink r:id="rId2232" w:history="1">
        <w:r w:rsidRPr="00511005">
          <w:rPr>
            <w:rFonts w:ascii="Arial" w:eastAsia="Calibri" w:hAnsi="Arial" w:cs="Arial"/>
            <w:szCs w:val="28"/>
            <w:lang w:val="pl-PL"/>
          </w:rPr>
          <w:t>https://www.hsa.org.ua/blog/dotrymannya-prav-osoby-pry-slidchij-diyi-osviduvannya</w:t>
        </w:r>
      </w:hyperlink>
      <w:r w:rsidRPr="00511005">
        <w:rPr>
          <w:rFonts w:ascii="Arial" w:eastAsia="Calibri" w:hAnsi="Arial" w:cs="Arial"/>
          <w:szCs w:val="28"/>
          <w:lang w:val="uk-UA"/>
        </w:rPr>
        <w:t xml:space="preserve">. </w:t>
      </w:r>
    </w:p>
    <w:p w14:paraId="58C0C6BA" w14:textId="77777777" w:rsidR="00532C25" w:rsidRPr="00511005" w:rsidRDefault="00532C25" w:rsidP="00532C25">
      <w:pPr>
        <w:spacing w:line="264" w:lineRule="auto"/>
        <w:ind w:left="360" w:firstLine="0"/>
        <w:rPr>
          <w:rFonts w:ascii="Arial" w:eastAsia="Arial" w:hAnsi="Arial" w:cs="Arial"/>
          <w:b/>
          <w:bCs/>
          <w:i/>
          <w:iCs/>
          <w:szCs w:val="28"/>
          <w:lang w:val="pl-PL" w:eastAsia="ru-RU"/>
        </w:rPr>
      </w:pPr>
    </w:p>
    <w:p w14:paraId="7694B079" w14:textId="77777777" w:rsidR="00532C25" w:rsidRPr="00511005" w:rsidRDefault="00532C25" w:rsidP="00532C25">
      <w:pPr>
        <w:spacing w:line="264" w:lineRule="auto"/>
        <w:rPr>
          <w:rFonts w:ascii="Arial" w:eastAsia="Arial" w:hAnsi="Arial" w:cs="Arial"/>
          <w:szCs w:val="28"/>
          <w:shd w:val="clear" w:color="auto" w:fill="FFFFFF"/>
          <w:lang w:val="uk-UA" w:eastAsia="ru-RU"/>
        </w:rPr>
      </w:pPr>
      <w:r w:rsidRPr="00511005">
        <w:rPr>
          <w:rFonts w:ascii="Arial" w:eastAsia="Arial" w:hAnsi="Arial" w:cs="Arial"/>
          <w:b/>
          <w:bCs/>
          <w:i/>
          <w:szCs w:val="28"/>
          <w:shd w:val="clear" w:color="auto" w:fill="FFFFFF"/>
          <w:lang w:val="ru" w:eastAsia="ru-RU"/>
        </w:rPr>
        <w:t xml:space="preserve">Ключові слова: </w:t>
      </w:r>
      <w:r w:rsidRPr="00511005">
        <w:rPr>
          <w:rFonts w:ascii="Arial" w:eastAsia="Arial" w:hAnsi="Arial" w:cs="Arial"/>
          <w:szCs w:val="28"/>
          <w:shd w:val="clear" w:color="auto" w:fill="FFFFFF"/>
          <w:lang w:val="uk-UA" w:eastAsia="ru-RU"/>
        </w:rPr>
        <w:t>кримінальне провадження, досудове розслідування, слідчі (розшукові) дії, освідування, примус.</w:t>
      </w:r>
    </w:p>
    <w:p w14:paraId="4143092B" w14:textId="77777777" w:rsidR="00532C25" w:rsidRPr="00511005" w:rsidRDefault="00532C25" w:rsidP="00532C25">
      <w:pPr>
        <w:spacing w:line="264" w:lineRule="auto"/>
        <w:rPr>
          <w:rFonts w:ascii="Arial" w:eastAsia="Arial" w:hAnsi="Arial" w:cs="Arial"/>
          <w:szCs w:val="28"/>
          <w:shd w:val="clear" w:color="auto" w:fill="FFFFFF"/>
          <w:lang w:val="uk-UA" w:eastAsia="ru-RU"/>
        </w:rPr>
      </w:pPr>
      <w:r w:rsidRPr="00511005">
        <w:rPr>
          <w:rFonts w:ascii="Arial" w:eastAsia="Arial" w:hAnsi="Arial" w:cs="Arial"/>
          <w:b/>
          <w:bCs/>
          <w:i/>
          <w:szCs w:val="28"/>
          <w:shd w:val="clear" w:color="auto" w:fill="FFFFFF"/>
          <w:lang w:val="en-US" w:eastAsia="ru-RU"/>
        </w:rPr>
        <w:t xml:space="preserve">Key words: </w:t>
      </w:r>
      <w:r w:rsidRPr="00511005">
        <w:rPr>
          <w:rFonts w:ascii="Arial" w:eastAsia="Arial" w:hAnsi="Arial" w:cs="Arial"/>
          <w:szCs w:val="28"/>
          <w:shd w:val="clear" w:color="auto" w:fill="FFFFFF"/>
          <w:lang w:val="uk-UA" w:eastAsia="ru-RU"/>
        </w:rPr>
        <w:t>criminal proceedings, pre-trial investigation, investigative (search) actions, examination, coercion.</w:t>
      </w:r>
    </w:p>
    <w:p w14:paraId="43C39029" w14:textId="31146684" w:rsidR="00532C25" w:rsidRPr="00511005" w:rsidRDefault="003F50AD" w:rsidP="00532C25">
      <w:pPr>
        <w:spacing w:line="264" w:lineRule="auto"/>
        <w:ind w:left="360" w:firstLine="360"/>
        <w:rPr>
          <w:rFonts w:ascii="Arial" w:eastAsia="Arial" w:hAnsi="Arial" w:cs="Arial"/>
          <w:i/>
          <w:iCs/>
          <w:szCs w:val="28"/>
          <w:lang w:val="uk-UA" w:eastAsia="ru-RU"/>
        </w:rPr>
      </w:pPr>
      <w:r w:rsidRPr="00511005">
        <w:rPr>
          <w:rFonts w:ascii="Arial" w:eastAsia="Calibri" w:hAnsi="Arial" w:cs="Arial"/>
          <w:b/>
          <w:i/>
          <w:szCs w:val="28"/>
          <w:lang w:val="uk-UA"/>
        </w:rPr>
        <w:t xml:space="preserve">Науковий керівник: </w:t>
      </w:r>
      <w:r w:rsidR="00532C25" w:rsidRPr="00511005">
        <w:rPr>
          <w:rFonts w:ascii="Arial" w:eastAsia="Arial" w:hAnsi="Arial" w:cs="Arial"/>
          <w:i/>
          <w:iCs/>
          <w:szCs w:val="28"/>
          <w:lang w:val="uk-UA" w:eastAsia="ru-RU"/>
        </w:rPr>
        <w:t>к.ю.н., доцент Мурзановська А.</w:t>
      </w:r>
      <w:r w:rsidR="00532C25" w:rsidRPr="00511005">
        <w:rPr>
          <w:rFonts w:ascii="Arial" w:eastAsia="Arial" w:hAnsi="Arial" w:cs="Arial"/>
          <w:i/>
          <w:iCs/>
          <w:szCs w:val="28"/>
          <w:lang w:val="en-GB" w:eastAsia="ru-RU"/>
        </w:rPr>
        <w:t> </w:t>
      </w:r>
      <w:r w:rsidR="00532C25" w:rsidRPr="00511005">
        <w:rPr>
          <w:rFonts w:ascii="Arial" w:eastAsia="Arial" w:hAnsi="Arial" w:cs="Arial"/>
          <w:i/>
          <w:iCs/>
          <w:szCs w:val="28"/>
          <w:lang w:val="uk-UA" w:eastAsia="ru-RU"/>
        </w:rPr>
        <w:t>В.</w:t>
      </w:r>
    </w:p>
    <w:p w14:paraId="407E510E" w14:textId="77777777" w:rsidR="00532C25" w:rsidRPr="00511005" w:rsidRDefault="00532C25" w:rsidP="00532C25">
      <w:pPr>
        <w:spacing w:line="264" w:lineRule="auto"/>
        <w:ind w:left="360" w:firstLine="360"/>
        <w:rPr>
          <w:rFonts w:ascii="Arial" w:eastAsia="Arial" w:hAnsi="Arial" w:cs="Arial"/>
          <w:i/>
          <w:iCs/>
          <w:szCs w:val="28"/>
          <w:lang w:val="ru" w:eastAsia="ru-RU"/>
        </w:rPr>
      </w:pPr>
    </w:p>
    <w:p w14:paraId="48F86FF6" w14:textId="77777777" w:rsidR="00532C25" w:rsidRPr="00511005" w:rsidRDefault="00532C25" w:rsidP="00532C25">
      <w:pPr>
        <w:spacing w:line="264" w:lineRule="auto"/>
        <w:ind w:firstLine="0"/>
        <w:jc w:val="center"/>
        <w:rPr>
          <w:rFonts w:ascii="Arial" w:eastAsia="Arial" w:hAnsi="Arial" w:cs="Arial"/>
          <w:b/>
          <w:bCs/>
          <w:i/>
          <w:iCs/>
          <w:szCs w:val="28"/>
          <w:lang w:val="ru" w:eastAsia="ru-RU"/>
        </w:rPr>
      </w:pPr>
      <w:r w:rsidRPr="00511005">
        <w:rPr>
          <w:rFonts w:ascii="Arial" w:eastAsia="Arial" w:hAnsi="Arial" w:cs="Arial"/>
          <w:b/>
          <w:bCs/>
          <w:i/>
          <w:iCs/>
          <w:szCs w:val="28"/>
          <w:lang w:val="ru" w:eastAsia="ru-RU"/>
        </w:rPr>
        <w:t>Маковійчук Софія Віталіївна</w:t>
      </w:r>
    </w:p>
    <w:p w14:paraId="7DEBFD17"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61595B8E"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C1A4EB2"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849E305" w14:textId="77777777" w:rsidR="00532C25" w:rsidRPr="00511005" w:rsidRDefault="00532C25" w:rsidP="00532C25">
      <w:pPr>
        <w:spacing w:line="264" w:lineRule="auto"/>
        <w:ind w:firstLine="0"/>
        <w:rPr>
          <w:rFonts w:ascii="Arial" w:eastAsia="Arial" w:hAnsi="Arial" w:cs="Arial"/>
          <w:szCs w:val="28"/>
          <w:lang w:val="ru" w:eastAsia="ru-RU"/>
        </w:rPr>
      </w:pPr>
    </w:p>
    <w:p w14:paraId="25972749" w14:textId="77777777" w:rsidR="00532C25" w:rsidRPr="00511005" w:rsidRDefault="00532C25" w:rsidP="00532C25">
      <w:pPr>
        <w:spacing w:line="264" w:lineRule="auto"/>
        <w:ind w:firstLine="0"/>
        <w:jc w:val="center"/>
        <w:rPr>
          <w:rFonts w:ascii="Arial" w:eastAsia="Arial" w:hAnsi="Arial" w:cs="Arial"/>
          <w:b/>
          <w:bCs/>
          <w:szCs w:val="28"/>
          <w:lang w:val="ru" w:eastAsia="ru-RU"/>
        </w:rPr>
      </w:pPr>
      <w:r w:rsidRPr="00511005">
        <w:rPr>
          <w:rFonts w:ascii="Arial" w:eastAsia="Arial" w:hAnsi="Arial" w:cs="Arial"/>
          <w:b/>
          <w:bCs/>
          <w:szCs w:val="28"/>
          <w:lang w:val="uk-UA" w:eastAsia="ru-RU"/>
        </w:rPr>
        <w:t>ПОРУШЕННЯ</w:t>
      </w:r>
      <w:r w:rsidRPr="00511005">
        <w:rPr>
          <w:rFonts w:ascii="Arial" w:eastAsia="Arial" w:hAnsi="Arial" w:cs="Arial"/>
          <w:b/>
          <w:bCs/>
          <w:szCs w:val="28"/>
          <w:lang w:val="ru" w:eastAsia="ru-RU"/>
        </w:rPr>
        <w:t xml:space="preserve"> СТАТТІ 3 «ЗАБОРОНА КАТУВАННЯ» КОНВЕНЦІЇ ПРО ЗАХИСТ ПРАВ ЛЮДИНИ І ОСНОВОПОЛОЖНИХ СВОБОД</w:t>
      </w:r>
      <w:r w:rsidRPr="00511005">
        <w:rPr>
          <w:rFonts w:ascii="Arial" w:eastAsia="Arial" w:hAnsi="Arial" w:cs="Arial"/>
          <w:szCs w:val="28"/>
          <w:lang w:val="ru" w:eastAsia="ru-RU"/>
        </w:rPr>
        <w:t xml:space="preserve"> </w:t>
      </w:r>
      <w:r w:rsidRPr="00511005">
        <w:rPr>
          <w:rFonts w:ascii="Arial" w:eastAsia="Arial" w:hAnsi="Arial" w:cs="Arial"/>
          <w:b/>
          <w:bCs/>
          <w:szCs w:val="28"/>
          <w:lang w:val="ru" w:eastAsia="ru-RU"/>
        </w:rPr>
        <w:t>У КРИМІНАЛЬНОМУ ПРОЦЕСІ: ПРОБЛЕМИ ТА ШЛЯХИ ВИРІШЕННЯ</w:t>
      </w:r>
    </w:p>
    <w:p w14:paraId="32CAE7A6"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Стаття 3 Конвенції про захист прав людини і основоположних свобод під назвою «Заборона катування» чітко та лаконічно проголошує абсолютну заборону катування та жорстокого поводження [1</w:t>
      </w:r>
      <w:r w:rsidRPr="00511005">
        <w:rPr>
          <w:rFonts w:ascii="Arial" w:eastAsia="Arial" w:hAnsi="Arial" w:cs="Arial"/>
          <w:szCs w:val="28"/>
          <w:lang w:val="ru" w:eastAsia="ru-RU"/>
        </w:rPr>
        <w:t>].</w:t>
      </w:r>
      <w:r w:rsidRPr="00511005">
        <w:rPr>
          <w:rFonts w:ascii="Arial" w:eastAsia="Arial" w:hAnsi="Arial" w:cs="Arial"/>
          <w:szCs w:val="28"/>
          <w:lang w:val="uk-UA" w:eastAsia="ru-RU"/>
        </w:rPr>
        <w:t xml:space="preserve"> Порівняно з іншими міжнародними договорами, вона відрізняється стислістю, але водночас має величезну й важливу роль, адже гарантує невід'ємні права людини на </w:t>
      </w:r>
      <w:r w:rsidRPr="00511005">
        <w:rPr>
          <w:rFonts w:ascii="Arial" w:eastAsia="Arial" w:hAnsi="Arial" w:cs="Arial"/>
          <w:szCs w:val="28"/>
          <w:lang w:val="uk-UA" w:eastAsia="ru-RU"/>
        </w:rPr>
        <w:lastRenderedPageBreak/>
        <w:t>фізичну та моральну недоторканність. При цьому, варто зазначити, що повна заборона катування, нелюдського та такого, що принижує гідність, поводження і покарання є імперативною нормою, яка не передбачає винятків. Це твердження неодноразово підкреслюється Європейським судом з прав людини (далі – ЄСПЛ), адже норма є однією з основоположних цінностей демократичного суспільства.</w:t>
      </w:r>
    </w:p>
    <w:p w14:paraId="2D2593C3"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Відповідно до статті 3 Конвенції, держава несе відповідальність як за недопущення катування та жорстокого поводження (негативне зобов'язання), так і за вжиття заходів для їхнього запобігання (позитивне зобов'язання). Фахівці та судова практика розрізняють матеріальні та процесуальні аспекти порушень статті.</w:t>
      </w:r>
      <w:r w:rsidRPr="00511005">
        <w:rPr>
          <w:rFonts w:ascii="Arial" w:eastAsia="Arial" w:hAnsi="Arial" w:cs="Arial"/>
          <w:szCs w:val="28"/>
          <w:lang w:val="ru" w:eastAsia="ru-RU"/>
        </w:rPr>
        <w:t>[2]</w:t>
      </w:r>
      <w:r w:rsidRPr="00511005">
        <w:rPr>
          <w:rFonts w:ascii="Arial" w:eastAsia="Arial" w:hAnsi="Arial" w:cs="Arial"/>
          <w:szCs w:val="28"/>
          <w:lang w:val="uk-UA" w:eastAsia="ru-RU"/>
        </w:rPr>
        <w:t xml:space="preserve"> ЄСПЛ у своїй практиці виділяє три основні категорії порушень матеріального характеру, які можна розглядати у контексті кримінального процесу:</w:t>
      </w:r>
    </w:p>
    <w:p w14:paraId="15A26C1F"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1) Неналежне поводження правоохоронних органів навмисного характеру, включаючи арешт і наступну поведінку, допити в поліції, фізичне і психологічне насильство над ув’язненими, таке як зґвалтування, каліцтво, переломи, насильницьке годування, позбавлення сну і т.д.; </w:t>
      </w:r>
    </w:p>
    <w:p w14:paraId="131A914B"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Тут можна навести приклад справи «Вергельський проти України»</w:t>
      </w:r>
      <w:r w:rsidRPr="00511005">
        <w:rPr>
          <w:rFonts w:ascii="Arial" w:eastAsia="Arial" w:hAnsi="Arial" w:cs="Arial"/>
          <w:szCs w:val="28"/>
          <w:lang w:val="ru" w:eastAsia="ru-RU"/>
        </w:rPr>
        <w:t>[3]</w:t>
      </w:r>
      <w:r w:rsidRPr="00511005">
        <w:rPr>
          <w:rFonts w:ascii="Arial" w:eastAsia="Arial" w:hAnsi="Arial" w:cs="Arial"/>
          <w:szCs w:val="28"/>
          <w:lang w:val="uk-UA" w:eastAsia="ru-RU"/>
        </w:rPr>
        <w:t>, у якій були порушення в частині скарг заявника на нелюдське поводження з ним працівників міліції та в частині скарги на неефективність розслідування цих скарг правоохоронними органами України.</w:t>
      </w:r>
    </w:p>
    <w:p w14:paraId="7D44AE47"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2) Неналежне поводження під час законних або незаконних дій посадових чи службових осіб держави, таке як вислання, екстрадиція в країну з ризиком застосування дій, що порушують ст. 3, тілесні покарання, навмисне знищення майна, неповідомлення рідним місця тримання під вартою чи ув’язнення; </w:t>
      </w:r>
    </w:p>
    <w:p w14:paraId="4EDED74C"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3) Неналежне поводження як наслідок упущень чи бездіяльності посадових і службових осіб держави, таке як непризначення медичної допомоги, що призвело до серйозних наслідків, незвільнення ув’язненого через халатне ставлення до обов’язків після закінчення строку ув’язнення та інші аналогічні дії. </w:t>
      </w:r>
    </w:p>
    <w:p w14:paraId="55F6620A"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Серед конкретних прикладів можна згадати таке рішення ЄСПЛ у справі «Іващенко проти України» [4], де було визнано порушення досліджуваної статті через неналежні умови утримання заявника в Київському СІЗО, а також через неадекватну медичну допомогу, яка надавалась заявникові під час ув’язнення щодо його набряку у зоні паху та інших проблем зі здоров’ям статевих органів. До того ж, ЄСПЛ ухвалив рішення, що держава не виконала своїх зобов'язань за статтями 34 та 38 Конвенції, що надає цій справі своєрідної унікальності, так як вказане рідко зустрічається у судовій практиці. </w:t>
      </w:r>
    </w:p>
    <w:p w14:paraId="681BF4E5"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У межах кримінального процесу реалізація статті 3 Конвенції вимагає забезпечення належного процесуального механізму реагування на скарги </w:t>
      </w:r>
      <w:r w:rsidRPr="00511005">
        <w:rPr>
          <w:rFonts w:ascii="Arial" w:eastAsia="Arial" w:hAnsi="Arial" w:cs="Arial"/>
          <w:szCs w:val="28"/>
          <w:lang w:val="uk-UA" w:eastAsia="ru-RU"/>
        </w:rPr>
        <w:lastRenderedPageBreak/>
        <w:t>щодо неналежного поводження. Насамперед ідеться про обов’язок держави забезпечити:</w:t>
      </w:r>
    </w:p>
    <w:p w14:paraId="138ED82D"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Оперативне відкриття кримінального провадження за кожним фактом можливого катування чи нелюдського поводження;</w:t>
      </w:r>
    </w:p>
    <w:p w14:paraId="6A07E7CC"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Незалежність органу розслідування: створення або залучення структур, незалежних від органів, працівники яких підозрюються у порушеннях;</w:t>
      </w:r>
    </w:p>
    <w:p w14:paraId="4C5478D1"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Процесуальні гарантії потерпілого, зокрема право на доступ до матеріалів провадження, участь у слідчих діях та можливість оскарження бездіяльності слідчого чи прокурора;</w:t>
      </w:r>
    </w:p>
    <w:p w14:paraId="5FABBF7E"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Підвищення ролі слідчого судді у контролі за дотриманням прав осіб, які перебувають під вартою або у статусі підозрюваних/обвинувачених;</w:t>
      </w:r>
    </w:p>
    <w:p w14:paraId="5ADE2F3F"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Забезпечення судового контролю за умовами тримання під вартою, зокрема шляхом систематичного перегляду відповідних клопотань сторін.</w:t>
      </w:r>
    </w:p>
    <w:p w14:paraId="18C76200"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Доцільним є також запровадження в КПК України положення про обов’язкову фіксацію тілесних ушкоджень у медичній документації при кожному огляді затриманої особи, а також зобов’язання передавати такі дані автоматично органам досудового розслідування та адвокатам.</w:t>
      </w:r>
    </w:p>
    <w:p w14:paraId="340752DF"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Стаття 34 гарантує право на подання індивідуальної заяви до ЄСПЛ. Суд постановив, що держава порушила це право, не надавши заявнику повний обсяг матеріалів, зокрема медичної документації, що перешкодило йому в ефективному здійсненні права на подання заяви. Стаття 38 зобов'язує держави співпрацювати з ЄСПЛ у розслідуванні справ. У цій справі держава не сприяла проведенню розслідування.</w:t>
      </w:r>
    </w:p>
    <w:p w14:paraId="180309AF"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Позитивні зобов’язання, що стосуються процесуального аспекту порушень ст. 3 Конвенції, включають:</w:t>
      </w:r>
    </w:p>
    <w:p w14:paraId="47973BCA"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w:t>
      </w:r>
      <w:r w:rsidRPr="00511005">
        <w:rPr>
          <w:rFonts w:ascii="Arial" w:eastAsia="Arial" w:hAnsi="Arial" w:cs="Arial"/>
          <w:szCs w:val="28"/>
          <w:lang w:val="uk-UA" w:eastAsia="ru-RU"/>
        </w:rPr>
        <w:tab/>
        <w:t>проведення ефективного розслідування поданих заяв щодо порушень;</w:t>
      </w:r>
    </w:p>
    <w:p w14:paraId="0FDD9D96"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w:t>
      </w:r>
      <w:r w:rsidRPr="00511005">
        <w:rPr>
          <w:rFonts w:ascii="Arial" w:eastAsia="Arial" w:hAnsi="Arial" w:cs="Arial"/>
          <w:szCs w:val="28"/>
          <w:lang w:val="uk-UA" w:eastAsia="ru-RU"/>
        </w:rPr>
        <w:tab/>
        <w:t>запобігання, припинення та покарання неналежного поводження приватних осіб.</w:t>
      </w:r>
    </w:p>
    <w:p w14:paraId="43F337DE"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uk-UA" w:eastAsia="ru-RU"/>
        </w:rPr>
        <w:t>25 січня 2024 року вийшов статистичний звіт Європейського суду з прав людини за результатами роботи у 2023 році. Так, у справах проти України постановлено 130 рішень, в яких значну частку, а саме 50 порушень, складають порушення статті 3 Конвенції (в частині відсутності ефективного розслідування та нелюдського, такого, що принижує гідність, поводження)</w:t>
      </w:r>
      <w:r w:rsidRPr="00511005">
        <w:rPr>
          <w:rFonts w:ascii="Arial" w:eastAsia="Arial" w:hAnsi="Arial" w:cs="Arial"/>
          <w:szCs w:val="28"/>
          <w:lang w:val="ru" w:eastAsia="ru-RU"/>
        </w:rPr>
        <w:t xml:space="preserve"> [5].</w:t>
      </w:r>
    </w:p>
    <w:p w14:paraId="64B31836"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Отже, заради уникнення порушень статті 3 Конвенції про захист прав людини і основоположних свобод в Україні можна виділити декілька ключових напрямків вирішення проблеми. Перш за все, необхідно реформувати кримінально-процесуальне законодавство з метою його актуалізації та приведення у відповідність до стандартів Європейської конвенції з прав людини. Особлива увага повинна бути приділена зміцненню ролі адвокатури в кримінальному процесі, гарантуванню доступності та якості юридичної допомоги. Чим доступнішою буде правова допомога та </w:t>
      </w:r>
      <w:r w:rsidRPr="00511005">
        <w:rPr>
          <w:rFonts w:ascii="Arial" w:eastAsia="Arial" w:hAnsi="Arial" w:cs="Arial"/>
          <w:szCs w:val="28"/>
          <w:lang w:val="uk-UA" w:eastAsia="ru-RU"/>
        </w:rPr>
        <w:lastRenderedPageBreak/>
        <w:t xml:space="preserve">оперативнішою реакція держави, тим менше на практиці траплятиметься випадків невиправдано жорстокого поводження. </w:t>
      </w:r>
    </w:p>
    <w:p w14:paraId="45B4C448"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Транспарентність (або відкритість) діяльності правоохоронних органів та судової системи є ще однією важливою сходинкою до покращення ситуації. Вона передбачає впровадження систем моніторингу місць тримання під вартою та незалежний громадський контроль над діяльністю правоохоронних органів [</w:t>
      </w:r>
      <w:r w:rsidRPr="00511005">
        <w:rPr>
          <w:rFonts w:ascii="Arial" w:eastAsia="Arial" w:hAnsi="Arial" w:cs="Arial"/>
          <w:szCs w:val="28"/>
          <w:lang w:val="ru" w:eastAsia="ru-RU"/>
        </w:rPr>
        <w:t>6</w:t>
      </w:r>
      <w:r w:rsidRPr="00511005">
        <w:rPr>
          <w:rFonts w:ascii="Arial" w:eastAsia="Arial" w:hAnsi="Arial" w:cs="Arial"/>
          <w:szCs w:val="28"/>
          <w:lang w:val="uk-UA" w:eastAsia="ru-RU"/>
        </w:rPr>
        <w:t xml:space="preserve">]. </w:t>
      </w:r>
    </w:p>
    <w:p w14:paraId="42DAD0E1"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xml:space="preserve">Безумовно, важливим також є розвиток міжнародної співпраці та обмін досвідом із країнами Європейського Союзу. І, нарешті, для успішного поліпшення ситуації та вдосконалення системи в цілому, потрібно стимулювати активну участь громадян в процесах формування та реалізації реформ. </w:t>
      </w:r>
    </w:p>
    <w:p w14:paraId="5F8C0F98"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Підсумовуючи, вважаю за необхідне зазначити, що Стаття 3 Конвенції про захист прав людини є потужним інструментом захисту людської гідності та недоторканності у кримінальному процесі. Її чітке й лаконічне формулювання, а також еволюція практики ЄСПЛ, роблять цю статтю важливим гарантом прав людини в Україні.</w:t>
      </w:r>
    </w:p>
    <w:p w14:paraId="1B3F1B7A" w14:textId="77777777" w:rsidR="00532C25" w:rsidRPr="00511005" w:rsidRDefault="00532C25" w:rsidP="00532C25">
      <w:pPr>
        <w:spacing w:line="264" w:lineRule="auto"/>
        <w:ind w:firstLine="0"/>
        <w:rPr>
          <w:rFonts w:ascii="Arial" w:eastAsia="Arial" w:hAnsi="Arial" w:cs="Arial"/>
          <w:b/>
          <w:bCs/>
          <w:szCs w:val="28"/>
          <w:lang w:val="uk-UA" w:eastAsia="ru-RU"/>
        </w:rPr>
      </w:pPr>
    </w:p>
    <w:p w14:paraId="5F0DE851" w14:textId="77777777" w:rsidR="00532C25" w:rsidRPr="00511005" w:rsidRDefault="00532C25" w:rsidP="00532C25">
      <w:pPr>
        <w:spacing w:line="264" w:lineRule="auto"/>
        <w:ind w:firstLine="0"/>
        <w:jc w:val="center"/>
        <w:rPr>
          <w:rFonts w:ascii="Arial" w:eastAsia="Arial" w:hAnsi="Arial" w:cs="Arial"/>
          <w:b/>
          <w:bCs/>
          <w:szCs w:val="28"/>
          <w:lang w:val="uk-UA" w:eastAsia="ru-RU"/>
        </w:rPr>
      </w:pPr>
      <w:r w:rsidRPr="00511005">
        <w:rPr>
          <w:rFonts w:ascii="Arial" w:eastAsia="Arial" w:hAnsi="Arial" w:cs="Arial"/>
          <w:b/>
          <w:bCs/>
          <w:szCs w:val="28"/>
          <w:lang w:val="uk-UA" w:eastAsia="ru-RU"/>
        </w:rPr>
        <w:t>Список використаних джерел</w:t>
      </w:r>
    </w:p>
    <w:p w14:paraId="339652D4" w14:textId="77777777" w:rsidR="00532C25" w:rsidRPr="00511005" w:rsidRDefault="00532C25" w:rsidP="00532C25">
      <w:pPr>
        <w:spacing w:line="264" w:lineRule="auto"/>
        <w:ind w:firstLine="0"/>
        <w:rPr>
          <w:rFonts w:ascii="Arial" w:eastAsia="Arial" w:hAnsi="Arial" w:cs="Arial"/>
          <w:szCs w:val="28"/>
          <w:lang w:val="ru" w:eastAsia="ru-RU"/>
        </w:rPr>
      </w:pPr>
      <w:r w:rsidRPr="00511005">
        <w:rPr>
          <w:rFonts w:ascii="Arial" w:eastAsia="Arial" w:hAnsi="Arial" w:cs="Arial"/>
          <w:szCs w:val="28"/>
          <w:lang w:val="uk-UA" w:eastAsia="ru-RU"/>
        </w:rPr>
        <w:t xml:space="preserve">1. Конвенція про захист прав людини і основоположних редакція від 01.08.2021 - URL: </w:t>
      </w:r>
      <w:hyperlink r:id="rId2233" w:history="1">
        <w:r w:rsidRPr="00511005">
          <w:rPr>
            <w:rFonts w:ascii="Arial" w:eastAsia="Arial" w:hAnsi="Arial" w:cs="Arial"/>
            <w:szCs w:val="28"/>
            <w:lang w:val="ru" w:eastAsia="ru-RU"/>
          </w:rPr>
          <w:t>https://zakon.rada.gov.ua/laws/show/995_004#Text</w:t>
        </w:r>
      </w:hyperlink>
      <w:r w:rsidRPr="00511005">
        <w:rPr>
          <w:rFonts w:ascii="Arial" w:eastAsia="Arial" w:hAnsi="Arial" w:cs="Arial"/>
          <w:szCs w:val="28"/>
          <w:lang w:val="ru" w:eastAsia="ru-RU"/>
        </w:rPr>
        <w:t xml:space="preserve">. </w:t>
      </w:r>
    </w:p>
    <w:p w14:paraId="28F45BF8" w14:textId="77777777" w:rsidR="00532C25" w:rsidRPr="00511005" w:rsidRDefault="00532C25" w:rsidP="00532C25">
      <w:pPr>
        <w:spacing w:line="264" w:lineRule="auto"/>
        <w:ind w:firstLine="0"/>
        <w:rPr>
          <w:rFonts w:ascii="Arial" w:eastAsia="Arial" w:hAnsi="Arial" w:cs="Arial"/>
          <w:szCs w:val="28"/>
          <w:lang w:val="ru" w:eastAsia="ru-RU"/>
        </w:rPr>
      </w:pPr>
      <w:r w:rsidRPr="00511005">
        <w:rPr>
          <w:rFonts w:ascii="Arial" w:eastAsia="Arial" w:hAnsi="Arial" w:cs="Arial"/>
          <w:szCs w:val="28"/>
          <w:lang w:val="ru" w:eastAsia="ru-RU"/>
        </w:rPr>
        <w:t xml:space="preserve">2. Буткевич В. Особливості з’ясування правового змісту ст. 3 ЄСПЛ та застосування основних стандартів. – В кн.: Європейський суд з прав людини. Судова практика. – С. 850. </w:t>
      </w:r>
    </w:p>
    <w:p w14:paraId="4179017A"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xml:space="preserve">3. </w:t>
      </w:r>
      <w:r w:rsidRPr="00511005">
        <w:rPr>
          <w:rFonts w:ascii="Arial" w:eastAsia="Arial" w:hAnsi="Arial" w:cs="Arial"/>
          <w:szCs w:val="28"/>
          <w:lang w:val="ru" w:eastAsia="ru-RU"/>
        </w:rPr>
        <w:t>Справа «</w:t>
      </w:r>
      <w:r w:rsidRPr="00511005">
        <w:rPr>
          <w:rFonts w:ascii="Arial" w:eastAsia="Arial" w:hAnsi="Arial" w:cs="Arial"/>
          <w:szCs w:val="28"/>
          <w:lang w:val="uk-UA" w:eastAsia="ru-RU"/>
        </w:rPr>
        <w:t>Вергельський</w:t>
      </w:r>
      <w:r w:rsidRPr="00511005">
        <w:rPr>
          <w:rFonts w:ascii="Arial" w:eastAsia="Arial" w:hAnsi="Arial" w:cs="Arial"/>
          <w:szCs w:val="28"/>
          <w:lang w:val="ru" w:eastAsia="ru-RU"/>
        </w:rPr>
        <w:t xml:space="preserve"> проти України» (Заява №19312/06). Страсбург, 1</w:t>
      </w:r>
      <w:r w:rsidRPr="00511005">
        <w:rPr>
          <w:rFonts w:ascii="Arial" w:eastAsia="Arial" w:hAnsi="Arial" w:cs="Arial"/>
          <w:szCs w:val="28"/>
          <w:lang w:val="uk-UA" w:eastAsia="ru-RU"/>
        </w:rPr>
        <w:t>2 березня</w:t>
      </w:r>
      <w:r w:rsidRPr="00511005">
        <w:rPr>
          <w:rFonts w:ascii="Arial" w:eastAsia="Arial" w:hAnsi="Arial" w:cs="Arial"/>
          <w:szCs w:val="28"/>
          <w:lang w:val="ru" w:eastAsia="ru-RU"/>
        </w:rPr>
        <w:t xml:space="preserve"> 2</w:t>
      </w:r>
      <w:r w:rsidRPr="00511005">
        <w:rPr>
          <w:rFonts w:ascii="Arial" w:eastAsia="Arial" w:hAnsi="Arial" w:cs="Arial"/>
          <w:szCs w:val="28"/>
          <w:lang w:val="uk-UA" w:eastAsia="ru-RU"/>
        </w:rPr>
        <w:t>009</w:t>
      </w:r>
      <w:r w:rsidRPr="00511005">
        <w:rPr>
          <w:rFonts w:ascii="Arial" w:eastAsia="Arial" w:hAnsi="Arial" w:cs="Arial"/>
          <w:szCs w:val="28"/>
          <w:lang w:val="ru" w:eastAsia="ru-RU"/>
        </w:rPr>
        <w:t xml:space="preserve"> року - URL: </w:t>
      </w:r>
      <w:hyperlink r:id="rId2234" w:history="1">
        <w:r w:rsidRPr="00511005">
          <w:rPr>
            <w:rFonts w:ascii="Arial" w:eastAsia="Arial" w:hAnsi="Arial" w:cs="Arial"/>
            <w:szCs w:val="28"/>
            <w:lang w:val="ru" w:eastAsia="ru-RU"/>
          </w:rPr>
          <w:t>https://zakon.rada.gov.ua/laws/show/974_460#Text</w:t>
        </w:r>
      </w:hyperlink>
      <w:r w:rsidRPr="00511005">
        <w:rPr>
          <w:rFonts w:ascii="Arial" w:eastAsia="Arial" w:hAnsi="Arial" w:cs="Arial"/>
          <w:szCs w:val="28"/>
          <w:lang w:val="ru" w:eastAsia="ru-RU"/>
        </w:rPr>
        <w:t>.</w:t>
      </w:r>
    </w:p>
    <w:p w14:paraId="5A3A6AA1" w14:textId="77777777" w:rsidR="00532C25" w:rsidRPr="00511005" w:rsidRDefault="00532C25" w:rsidP="00532C25">
      <w:pPr>
        <w:spacing w:line="264" w:lineRule="auto"/>
        <w:ind w:firstLine="0"/>
        <w:rPr>
          <w:rFonts w:ascii="Arial" w:eastAsia="Arial" w:hAnsi="Arial" w:cs="Arial"/>
          <w:szCs w:val="28"/>
          <w:lang w:val="ru" w:eastAsia="ru-RU"/>
        </w:rPr>
      </w:pPr>
      <w:bookmarkStart w:id="273" w:name="_Hlk163756830"/>
      <w:r w:rsidRPr="00511005">
        <w:rPr>
          <w:rFonts w:ascii="Arial" w:eastAsia="Arial" w:hAnsi="Arial" w:cs="Arial"/>
          <w:szCs w:val="28"/>
          <w:lang w:val="uk-UA" w:eastAsia="ru-RU"/>
        </w:rPr>
        <w:t>4. Справа «Іващенко проти України» (Заява № 41303/11). Страсбург, 10 вересня 2020 року - URL:</w:t>
      </w:r>
      <w:bookmarkEnd w:id="273"/>
      <w:r w:rsidRPr="00511005">
        <w:rPr>
          <w:rFonts w:ascii="Arial" w:eastAsia="Arial" w:hAnsi="Arial" w:cs="Arial"/>
          <w:szCs w:val="28"/>
          <w:lang w:val="uk-UA" w:eastAsia="ru-RU"/>
        </w:rPr>
        <w:t xml:space="preserve"> </w:t>
      </w:r>
      <w:hyperlink r:id="rId2235" w:history="1">
        <w:r w:rsidRPr="00511005">
          <w:rPr>
            <w:rFonts w:ascii="Arial" w:eastAsia="Arial" w:hAnsi="Arial" w:cs="Arial"/>
            <w:szCs w:val="28"/>
            <w:lang w:val="ru" w:eastAsia="ru-RU"/>
          </w:rPr>
          <w:t>https://zakon.rada.gov.ua/laws/show/974_f33#Text</w:t>
        </w:r>
      </w:hyperlink>
      <w:r w:rsidRPr="00511005">
        <w:rPr>
          <w:rFonts w:ascii="Arial" w:eastAsia="Arial" w:hAnsi="Arial" w:cs="Arial"/>
          <w:szCs w:val="28"/>
          <w:lang w:val="ru" w:eastAsia="ru-RU"/>
        </w:rPr>
        <w:t>.</w:t>
      </w:r>
    </w:p>
    <w:p w14:paraId="0E197D01"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xml:space="preserve">5. ФІЛОСОФСЬКІ ТА МЕТОДОЛОГІЧНІ ПРОБЛЕМИ ПРАВА, № 1-2 (9-10), 2015/ Кошова Ольга Валентинівна/ ТРАНСПАРЕНТНІСТЬ СУЧАСНОЇ СУДОВОЇ ВЛАДИ/ Ст. 6 - </w:t>
      </w:r>
      <w:bookmarkStart w:id="274" w:name="_Hlk163757084"/>
      <w:r w:rsidRPr="00511005">
        <w:rPr>
          <w:rFonts w:ascii="Arial" w:eastAsia="Arial" w:hAnsi="Arial" w:cs="Arial"/>
          <w:szCs w:val="28"/>
          <w:lang w:val="uk-UA" w:eastAsia="ru-RU"/>
        </w:rPr>
        <w:t>URL</w:t>
      </w:r>
      <w:bookmarkEnd w:id="274"/>
      <w:r w:rsidRPr="00511005">
        <w:rPr>
          <w:rFonts w:ascii="Arial" w:eastAsia="Arial" w:hAnsi="Arial" w:cs="Arial"/>
          <w:szCs w:val="28"/>
          <w:lang w:val="uk-UA" w:eastAsia="ru-RU"/>
        </w:rPr>
        <w:t xml:space="preserve">: </w:t>
      </w:r>
      <w:hyperlink r:id="rId2236" w:history="1">
        <w:r w:rsidRPr="00511005">
          <w:rPr>
            <w:rFonts w:ascii="Arial" w:eastAsia="Arial" w:hAnsi="Arial" w:cs="Arial"/>
            <w:szCs w:val="28"/>
            <w:lang w:val="ru" w:eastAsia="ru-RU"/>
          </w:rPr>
          <w:t>file:///C:/Users/intel/Downloads/411-%D0%A2%D0%B5%D0%BA%D1%81%D1%82%20%D1%81%D1%82%D0%B0%D1%82%D1%82%D1%96-834-1-10-20171019%20(1).pdf</w:t>
        </w:r>
      </w:hyperlink>
      <w:r w:rsidRPr="00511005">
        <w:rPr>
          <w:rFonts w:ascii="Arial" w:eastAsia="Arial" w:hAnsi="Arial" w:cs="Arial"/>
          <w:szCs w:val="28"/>
          <w:lang w:val="ru" w:eastAsia="ru-RU"/>
        </w:rPr>
        <w:t>.</w:t>
      </w:r>
    </w:p>
    <w:p w14:paraId="02DD5307" w14:textId="77777777" w:rsidR="00532C25" w:rsidRPr="00511005" w:rsidRDefault="00532C25" w:rsidP="00532C25">
      <w:pPr>
        <w:spacing w:line="264" w:lineRule="auto"/>
        <w:ind w:firstLine="0"/>
        <w:rPr>
          <w:rFonts w:ascii="Arial" w:eastAsia="Arial" w:hAnsi="Arial" w:cs="Arial"/>
          <w:b/>
          <w:bCs/>
          <w:i/>
          <w:iCs/>
          <w:szCs w:val="28"/>
          <w:lang w:val="uk-UA" w:eastAsia="ru-RU"/>
        </w:rPr>
      </w:pPr>
    </w:p>
    <w:p w14:paraId="7FC6E7D7" w14:textId="77777777" w:rsidR="00532C25" w:rsidRPr="00511005" w:rsidRDefault="00532C25" w:rsidP="00532C25">
      <w:pPr>
        <w:spacing w:line="264" w:lineRule="auto"/>
        <w:ind w:firstLine="708"/>
        <w:rPr>
          <w:rFonts w:ascii="Arial" w:eastAsia="Arial" w:hAnsi="Arial" w:cs="Arial"/>
          <w:i/>
          <w:iCs/>
          <w:szCs w:val="28"/>
          <w:lang w:val="uk-UA" w:eastAsia="ru-RU"/>
        </w:rPr>
      </w:pPr>
      <w:r w:rsidRPr="00511005">
        <w:rPr>
          <w:rFonts w:ascii="Arial" w:eastAsia="Arial" w:hAnsi="Arial" w:cs="Arial"/>
          <w:b/>
          <w:bCs/>
          <w:i/>
          <w:iCs/>
          <w:szCs w:val="28"/>
          <w:lang w:val="uk-UA" w:eastAsia="ru-RU"/>
        </w:rPr>
        <w:t xml:space="preserve">Ключові слова: </w:t>
      </w:r>
      <w:r w:rsidRPr="00511005">
        <w:rPr>
          <w:rFonts w:ascii="Arial" w:eastAsia="Arial" w:hAnsi="Arial" w:cs="Arial"/>
          <w:i/>
          <w:iCs/>
          <w:szCs w:val="28"/>
          <w:lang w:val="uk-UA" w:eastAsia="ru-RU"/>
        </w:rPr>
        <w:t>ЄСПЛ, Конвенція, права людини, порушення</w:t>
      </w:r>
    </w:p>
    <w:p w14:paraId="0CB91B12" w14:textId="77777777" w:rsidR="00532C25" w:rsidRPr="00511005" w:rsidRDefault="00532C25" w:rsidP="00532C25">
      <w:pPr>
        <w:spacing w:line="264" w:lineRule="auto"/>
        <w:ind w:firstLine="708"/>
        <w:rPr>
          <w:rFonts w:ascii="Arial" w:eastAsia="Arial" w:hAnsi="Arial" w:cs="Arial"/>
          <w:i/>
          <w:iCs/>
          <w:szCs w:val="28"/>
          <w:lang w:val="uk-UA" w:eastAsia="ru-RU"/>
        </w:rPr>
      </w:pPr>
      <w:r w:rsidRPr="00511005">
        <w:rPr>
          <w:rFonts w:ascii="Arial" w:eastAsia="Arial" w:hAnsi="Arial" w:cs="Arial"/>
          <w:b/>
          <w:bCs/>
          <w:i/>
          <w:iCs/>
          <w:szCs w:val="28"/>
          <w:lang w:val="uk-UA" w:eastAsia="ru-RU"/>
        </w:rPr>
        <w:t xml:space="preserve">Key words: </w:t>
      </w:r>
      <w:r w:rsidRPr="00511005">
        <w:rPr>
          <w:rFonts w:ascii="Arial" w:eastAsia="Arial" w:hAnsi="Arial" w:cs="Arial"/>
          <w:i/>
          <w:iCs/>
          <w:szCs w:val="28"/>
          <w:lang w:val="uk-UA" w:eastAsia="ru-RU"/>
        </w:rPr>
        <w:t>ECHR, Convention, human rights, violations</w:t>
      </w:r>
    </w:p>
    <w:p w14:paraId="3450449A" w14:textId="77777777" w:rsidR="00532C25" w:rsidRPr="00511005" w:rsidRDefault="00532C25" w:rsidP="00532C25">
      <w:pPr>
        <w:spacing w:line="264" w:lineRule="auto"/>
        <w:ind w:firstLine="708"/>
        <w:rPr>
          <w:rFonts w:ascii="Arial" w:eastAsia="Arial" w:hAnsi="Arial" w:cs="Arial"/>
          <w:i/>
          <w:szCs w:val="28"/>
          <w:lang w:val="uk-UA" w:eastAsia="ru-RU"/>
        </w:rPr>
      </w:pPr>
      <w:r w:rsidRPr="00511005">
        <w:rPr>
          <w:rFonts w:ascii="Arial" w:eastAsia="Arial" w:hAnsi="Arial" w:cs="Arial"/>
          <w:b/>
          <w:i/>
          <w:szCs w:val="28"/>
          <w:lang w:val="uk-UA" w:eastAsia="ru-RU"/>
        </w:rPr>
        <w:t xml:space="preserve">Науковий керівник: </w:t>
      </w:r>
      <w:r w:rsidRPr="00511005">
        <w:rPr>
          <w:rFonts w:ascii="Arial" w:eastAsia="Arial" w:hAnsi="Arial" w:cs="Arial"/>
          <w:i/>
          <w:szCs w:val="28"/>
          <w:lang w:val="uk-UA" w:eastAsia="ru-RU"/>
        </w:rPr>
        <w:t>к.ю.н., доцент Пожар В</w:t>
      </w:r>
      <w:r>
        <w:rPr>
          <w:rFonts w:ascii="Arial" w:eastAsia="Arial" w:hAnsi="Arial" w:cs="Arial"/>
          <w:i/>
          <w:szCs w:val="28"/>
          <w:lang w:val="uk-UA" w:eastAsia="ru-RU"/>
        </w:rPr>
        <w:t>.</w:t>
      </w:r>
      <w:r w:rsidRPr="00511005">
        <w:rPr>
          <w:rFonts w:ascii="Arial" w:eastAsia="Arial" w:hAnsi="Arial" w:cs="Arial"/>
          <w:i/>
          <w:szCs w:val="28"/>
          <w:lang w:val="uk-UA" w:eastAsia="ru-RU"/>
        </w:rPr>
        <w:t xml:space="preserve"> Г</w:t>
      </w:r>
      <w:r>
        <w:rPr>
          <w:rFonts w:ascii="Arial" w:eastAsia="Arial" w:hAnsi="Arial" w:cs="Arial"/>
          <w:i/>
          <w:szCs w:val="28"/>
          <w:lang w:val="uk-UA" w:eastAsia="ru-RU"/>
        </w:rPr>
        <w:t>.</w:t>
      </w:r>
    </w:p>
    <w:p w14:paraId="0664913B" w14:textId="77777777" w:rsidR="00532C25" w:rsidRPr="00511005" w:rsidRDefault="00532C25" w:rsidP="00532C25">
      <w:pPr>
        <w:spacing w:line="264" w:lineRule="auto"/>
        <w:ind w:left="360" w:firstLine="360"/>
        <w:rPr>
          <w:rFonts w:ascii="Arial" w:eastAsia="Arial" w:hAnsi="Arial" w:cs="Arial"/>
          <w:szCs w:val="28"/>
          <w:lang w:val="uk-UA" w:eastAsia="ru-RU"/>
        </w:rPr>
      </w:pPr>
    </w:p>
    <w:p w14:paraId="5B242A45" w14:textId="77777777" w:rsidR="00532C25" w:rsidRPr="00511005" w:rsidRDefault="00532C25" w:rsidP="00532C25">
      <w:pPr>
        <w:pBdr>
          <w:top w:val="nil"/>
          <w:left w:val="nil"/>
          <w:bottom w:val="nil"/>
          <w:right w:val="nil"/>
          <w:between w:val="nil"/>
        </w:pBdr>
        <w:spacing w:line="264" w:lineRule="auto"/>
        <w:contextualSpacing/>
        <w:jc w:val="center"/>
        <w:rPr>
          <w:rFonts w:ascii="Arial" w:eastAsia="Times New Roman" w:hAnsi="Arial" w:cs="Arial"/>
          <w:b/>
          <w:i/>
          <w:iCs/>
          <w:noProof/>
          <w:szCs w:val="28"/>
          <w:lang w:val="uk-UA" w:eastAsia="ru-RU"/>
        </w:rPr>
      </w:pPr>
      <w:r w:rsidRPr="00511005">
        <w:rPr>
          <w:rFonts w:ascii="Arial" w:eastAsia="Times New Roman" w:hAnsi="Arial" w:cs="Arial"/>
          <w:b/>
          <w:i/>
          <w:iCs/>
          <w:noProof/>
          <w:szCs w:val="28"/>
          <w:lang w:val="uk-UA" w:eastAsia="ru-RU"/>
        </w:rPr>
        <w:t>М</w:t>
      </w:r>
      <w:r w:rsidRPr="00511005">
        <w:rPr>
          <w:rFonts w:ascii="Arial" w:eastAsia="Times New Roman" w:hAnsi="Arial" w:cs="Arial"/>
          <w:b/>
          <w:i/>
          <w:iCs/>
          <w:noProof/>
          <w:szCs w:val="28"/>
          <w:lang w:val="ru" w:eastAsia="ru-RU"/>
        </w:rPr>
        <w:t>a</w:t>
      </w:r>
      <w:r w:rsidRPr="00511005">
        <w:rPr>
          <w:rFonts w:ascii="Arial" w:eastAsia="Times New Roman" w:hAnsi="Arial" w:cs="Arial"/>
          <w:b/>
          <w:i/>
          <w:iCs/>
          <w:noProof/>
          <w:szCs w:val="28"/>
          <w:lang w:val="uk-UA" w:eastAsia="ru-RU"/>
        </w:rPr>
        <w:t>сляк</w:t>
      </w:r>
      <w:r w:rsidRPr="00511005">
        <w:rPr>
          <w:rFonts w:ascii="Arial" w:eastAsia="Times New Roman" w:hAnsi="Arial" w:cs="Arial"/>
          <w:b/>
          <w:i/>
          <w:iCs/>
          <w:noProof/>
          <w:szCs w:val="28"/>
          <w:lang w:val="ru" w:eastAsia="ru-RU"/>
        </w:rPr>
        <w:t>o</w:t>
      </w:r>
      <w:r w:rsidRPr="00511005">
        <w:rPr>
          <w:rFonts w:ascii="Arial" w:eastAsia="Times New Roman" w:hAnsi="Arial" w:cs="Arial"/>
          <w:b/>
          <w:i/>
          <w:iCs/>
          <w:noProof/>
          <w:szCs w:val="28"/>
          <w:lang w:val="uk-UA" w:eastAsia="ru-RU"/>
        </w:rPr>
        <w:t>в</w:t>
      </w:r>
      <w:r w:rsidRPr="00511005">
        <w:rPr>
          <w:rFonts w:ascii="Arial" w:eastAsia="Times New Roman" w:hAnsi="Arial" w:cs="Arial"/>
          <w:b/>
          <w:i/>
          <w:iCs/>
          <w:noProof/>
          <w:szCs w:val="28"/>
          <w:lang w:val="ru" w:eastAsia="ru-RU"/>
        </w:rPr>
        <w:t>a</w:t>
      </w:r>
      <w:r w:rsidRPr="00511005">
        <w:rPr>
          <w:rFonts w:ascii="Arial" w:eastAsia="Times New Roman" w:hAnsi="Arial" w:cs="Arial"/>
          <w:b/>
          <w:i/>
          <w:iCs/>
          <w:noProof/>
          <w:szCs w:val="28"/>
          <w:lang w:val="uk-UA" w:eastAsia="ru-RU"/>
        </w:rPr>
        <w:t xml:space="preserve"> </w:t>
      </w:r>
      <w:r w:rsidRPr="00511005">
        <w:rPr>
          <w:rFonts w:ascii="Arial" w:eastAsia="Times New Roman" w:hAnsi="Arial" w:cs="Arial"/>
          <w:b/>
          <w:i/>
          <w:iCs/>
          <w:noProof/>
          <w:szCs w:val="28"/>
          <w:lang w:val="ru" w:eastAsia="ru-RU"/>
        </w:rPr>
        <w:t>A</w:t>
      </w:r>
      <w:r w:rsidRPr="00511005">
        <w:rPr>
          <w:rFonts w:ascii="Arial" w:eastAsia="Times New Roman" w:hAnsi="Arial" w:cs="Arial"/>
          <w:b/>
          <w:i/>
          <w:iCs/>
          <w:noProof/>
          <w:szCs w:val="28"/>
          <w:lang w:val="uk-UA" w:eastAsia="ru-RU"/>
        </w:rPr>
        <w:t>нна Вікторівна</w:t>
      </w:r>
    </w:p>
    <w:p w14:paraId="15768EDB" w14:textId="77777777" w:rsidR="00532C25" w:rsidRPr="00511005" w:rsidRDefault="00532C25" w:rsidP="00532C25">
      <w:pPr>
        <w:pBdr>
          <w:top w:val="nil"/>
          <w:left w:val="nil"/>
          <w:bottom w:val="nil"/>
          <w:right w:val="nil"/>
          <w:between w:val="nil"/>
        </w:pBdr>
        <w:spacing w:line="264" w:lineRule="auto"/>
        <w:contextualSpacing/>
        <w:jc w:val="center"/>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ст</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д</w:t>
      </w:r>
      <w:r w:rsidRPr="00511005">
        <w:rPr>
          <w:rFonts w:ascii="Arial" w:eastAsia="Times New Roman" w:hAnsi="Arial" w:cs="Arial"/>
          <w:iCs/>
          <w:noProof/>
          <w:szCs w:val="28"/>
          <w:lang w:val="ru" w:eastAsia="ru-RU"/>
        </w:rPr>
        <w:t>e</w:t>
      </w:r>
      <w:r w:rsidRPr="00511005">
        <w:rPr>
          <w:rFonts w:ascii="Arial" w:eastAsia="Times New Roman" w:hAnsi="Arial" w:cs="Arial"/>
          <w:iCs/>
          <w:noProof/>
          <w:szCs w:val="28"/>
          <w:lang w:val="uk-UA" w:eastAsia="ru-RU"/>
        </w:rPr>
        <w:t>нтка 4 к</w:t>
      </w:r>
      <w:r w:rsidRPr="00511005">
        <w:rPr>
          <w:rFonts w:ascii="Arial" w:eastAsia="Times New Roman" w:hAnsi="Arial" w:cs="Arial"/>
          <w:iCs/>
          <w:noProof/>
          <w:szCs w:val="28"/>
          <w:lang w:val="ru" w:eastAsia="ru-RU"/>
        </w:rPr>
        <w:t>yp</w:t>
      </w:r>
      <w:r w:rsidRPr="00511005">
        <w:rPr>
          <w:rFonts w:ascii="Arial" w:eastAsia="Times New Roman" w:hAnsi="Arial" w:cs="Arial"/>
          <w:iCs/>
          <w:noProof/>
          <w:szCs w:val="28"/>
          <w:lang w:val="uk-UA" w:eastAsia="ru-RU"/>
        </w:rPr>
        <w:t>с</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 xml:space="preserve"> ф</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к</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льт</w:t>
      </w:r>
      <w:r w:rsidRPr="00511005">
        <w:rPr>
          <w:rFonts w:ascii="Arial" w:eastAsia="Times New Roman" w:hAnsi="Arial" w:cs="Arial"/>
          <w:iCs/>
          <w:noProof/>
          <w:szCs w:val="28"/>
          <w:lang w:val="ru" w:eastAsia="ru-RU"/>
        </w:rPr>
        <w:t>e</w:t>
      </w:r>
      <w:r w:rsidRPr="00511005">
        <w:rPr>
          <w:rFonts w:ascii="Arial" w:eastAsia="Times New Roman" w:hAnsi="Arial" w:cs="Arial"/>
          <w:iCs/>
          <w:noProof/>
          <w:szCs w:val="28"/>
          <w:lang w:val="uk-UA" w:eastAsia="ru-RU"/>
        </w:rPr>
        <w:t>т</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дв</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к</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т</w:t>
      </w:r>
      <w:r w:rsidRPr="00511005">
        <w:rPr>
          <w:rFonts w:ascii="Arial" w:eastAsia="Times New Roman" w:hAnsi="Arial" w:cs="Arial"/>
          <w:iCs/>
          <w:noProof/>
          <w:szCs w:val="28"/>
          <w:lang w:val="ru" w:eastAsia="ru-RU"/>
        </w:rPr>
        <w:t>yp</w:t>
      </w:r>
      <w:r w:rsidRPr="00511005">
        <w:rPr>
          <w:rFonts w:ascii="Arial" w:eastAsia="Times New Roman" w:hAnsi="Arial" w:cs="Arial"/>
          <w:iCs/>
          <w:noProof/>
          <w:szCs w:val="28"/>
          <w:lang w:val="uk-UA" w:eastAsia="ru-RU"/>
        </w:rPr>
        <w:t>и т</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нтик</w:t>
      </w:r>
      <w:r w:rsidRPr="00511005">
        <w:rPr>
          <w:rFonts w:ascii="Arial" w:eastAsia="Times New Roman" w:hAnsi="Arial" w:cs="Arial"/>
          <w:iCs/>
          <w:noProof/>
          <w:szCs w:val="28"/>
          <w:lang w:val="ru" w:eastAsia="ru-RU"/>
        </w:rPr>
        <w:t>opy</w:t>
      </w:r>
      <w:r w:rsidRPr="00511005">
        <w:rPr>
          <w:rFonts w:ascii="Arial" w:eastAsia="Times New Roman" w:hAnsi="Arial" w:cs="Arial"/>
          <w:iCs/>
          <w:noProof/>
          <w:szCs w:val="28"/>
          <w:lang w:val="uk-UA" w:eastAsia="ru-RU"/>
        </w:rPr>
        <w:t>пц</w:t>
      </w:r>
      <w:r w:rsidRPr="00511005">
        <w:rPr>
          <w:rFonts w:ascii="Arial" w:eastAsia="Times New Roman" w:hAnsi="Arial" w:cs="Arial"/>
          <w:iCs/>
          <w:noProof/>
          <w:szCs w:val="28"/>
          <w:lang w:val="ru" w:eastAsia="ru-RU"/>
        </w:rPr>
        <w:t>i</w:t>
      </w:r>
      <w:r w:rsidRPr="00511005">
        <w:rPr>
          <w:rFonts w:ascii="Arial" w:eastAsia="Times New Roman" w:hAnsi="Arial" w:cs="Arial"/>
          <w:iCs/>
          <w:noProof/>
          <w:szCs w:val="28"/>
          <w:lang w:val="uk-UA" w:eastAsia="ru-RU"/>
        </w:rPr>
        <w:t>йн</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ї д</w:t>
      </w:r>
      <w:r w:rsidRPr="00511005">
        <w:rPr>
          <w:rFonts w:ascii="Arial" w:eastAsia="Times New Roman" w:hAnsi="Arial" w:cs="Arial"/>
          <w:iCs/>
          <w:noProof/>
          <w:szCs w:val="28"/>
          <w:lang w:val="ru" w:eastAsia="ru-RU"/>
        </w:rPr>
        <w:t>i</w:t>
      </w:r>
      <w:r w:rsidRPr="00511005">
        <w:rPr>
          <w:rFonts w:ascii="Arial" w:eastAsia="Times New Roman" w:hAnsi="Arial" w:cs="Arial"/>
          <w:iCs/>
          <w:noProof/>
          <w:szCs w:val="28"/>
          <w:lang w:val="uk-UA" w:eastAsia="ru-RU"/>
        </w:rPr>
        <w:t>яльн</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ст</w:t>
      </w:r>
      <w:r w:rsidRPr="00511005">
        <w:rPr>
          <w:rFonts w:ascii="Arial" w:eastAsia="Times New Roman" w:hAnsi="Arial" w:cs="Arial"/>
          <w:iCs/>
          <w:noProof/>
          <w:szCs w:val="28"/>
          <w:lang w:val="ru" w:eastAsia="ru-RU"/>
        </w:rPr>
        <w:t>i</w:t>
      </w:r>
    </w:p>
    <w:p w14:paraId="00532FB8" w14:textId="77777777" w:rsidR="00532C25" w:rsidRPr="00511005" w:rsidRDefault="00532C25" w:rsidP="00532C25">
      <w:pPr>
        <w:pBdr>
          <w:top w:val="nil"/>
          <w:left w:val="nil"/>
          <w:bottom w:val="nil"/>
          <w:right w:val="nil"/>
          <w:between w:val="nil"/>
        </w:pBdr>
        <w:spacing w:line="264" w:lineRule="auto"/>
        <w:contextualSpacing/>
        <w:jc w:val="center"/>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Н</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ц</w:t>
      </w:r>
      <w:r w:rsidRPr="00511005">
        <w:rPr>
          <w:rFonts w:ascii="Arial" w:eastAsia="Times New Roman" w:hAnsi="Arial" w:cs="Arial"/>
          <w:iCs/>
          <w:noProof/>
          <w:szCs w:val="28"/>
          <w:lang w:val="ru" w:eastAsia="ru-RU"/>
        </w:rPr>
        <w:t>io</w:t>
      </w:r>
      <w:r w:rsidRPr="00511005">
        <w:rPr>
          <w:rFonts w:ascii="Arial" w:eastAsia="Times New Roman" w:hAnsi="Arial" w:cs="Arial"/>
          <w:iCs/>
          <w:noProof/>
          <w:szCs w:val="28"/>
          <w:lang w:val="uk-UA" w:eastAsia="ru-RU"/>
        </w:rPr>
        <w:t>н</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льн</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г</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н</w:t>
      </w:r>
      <w:r w:rsidRPr="00511005">
        <w:rPr>
          <w:rFonts w:ascii="Arial" w:eastAsia="Times New Roman" w:hAnsi="Arial" w:cs="Arial"/>
          <w:iCs/>
          <w:noProof/>
          <w:szCs w:val="28"/>
          <w:lang w:val="ru" w:eastAsia="ru-RU"/>
        </w:rPr>
        <w:t>i</w:t>
      </w:r>
      <w:r w:rsidRPr="00511005">
        <w:rPr>
          <w:rFonts w:ascii="Arial" w:eastAsia="Times New Roman" w:hAnsi="Arial" w:cs="Arial"/>
          <w:iCs/>
          <w:noProof/>
          <w:szCs w:val="28"/>
          <w:lang w:val="uk-UA" w:eastAsia="ru-RU"/>
        </w:rPr>
        <w:t>в</w:t>
      </w:r>
      <w:r w:rsidRPr="00511005">
        <w:rPr>
          <w:rFonts w:ascii="Arial" w:eastAsia="Times New Roman" w:hAnsi="Arial" w:cs="Arial"/>
          <w:iCs/>
          <w:noProof/>
          <w:szCs w:val="28"/>
          <w:lang w:val="ru" w:eastAsia="ru-RU"/>
        </w:rPr>
        <w:t>ep</w:t>
      </w:r>
      <w:r w:rsidRPr="00511005">
        <w:rPr>
          <w:rFonts w:ascii="Arial" w:eastAsia="Times New Roman" w:hAnsi="Arial" w:cs="Arial"/>
          <w:iCs/>
          <w:noProof/>
          <w:szCs w:val="28"/>
          <w:lang w:val="uk-UA" w:eastAsia="ru-RU"/>
        </w:rPr>
        <w:t>сит</w:t>
      </w:r>
      <w:r w:rsidRPr="00511005">
        <w:rPr>
          <w:rFonts w:ascii="Arial" w:eastAsia="Times New Roman" w:hAnsi="Arial" w:cs="Arial"/>
          <w:iCs/>
          <w:noProof/>
          <w:szCs w:val="28"/>
          <w:lang w:val="ru" w:eastAsia="ru-RU"/>
        </w:rPr>
        <w:t>e</w:t>
      </w:r>
      <w:r w:rsidRPr="00511005">
        <w:rPr>
          <w:rFonts w:ascii="Arial" w:eastAsia="Times New Roman" w:hAnsi="Arial" w:cs="Arial"/>
          <w:iCs/>
          <w:noProof/>
          <w:szCs w:val="28"/>
          <w:lang w:val="uk-UA" w:eastAsia="ru-RU"/>
        </w:rPr>
        <w:t>т</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д</w:t>
      </w:r>
      <w:r w:rsidRPr="00511005">
        <w:rPr>
          <w:rFonts w:ascii="Arial" w:eastAsia="Times New Roman" w:hAnsi="Arial" w:cs="Arial"/>
          <w:iCs/>
          <w:noProof/>
          <w:szCs w:val="28"/>
          <w:lang w:val="ru" w:eastAsia="ru-RU"/>
        </w:rPr>
        <w:t>e</w:t>
      </w:r>
      <w:r w:rsidRPr="00511005">
        <w:rPr>
          <w:rFonts w:ascii="Arial" w:eastAsia="Times New Roman" w:hAnsi="Arial" w:cs="Arial"/>
          <w:iCs/>
          <w:noProof/>
          <w:szCs w:val="28"/>
          <w:lang w:val="uk-UA" w:eastAsia="ru-RU"/>
        </w:rPr>
        <w:t>ськ</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 xml:space="preserve"> ю</w:t>
      </w:r>
      <w:r w:rsidRPr="00511005">
        <w:rPr>
          <w:rFonts w:ascii="Arial" w:eastAsia="Times New Roman" w:hAnsi="Arial" w:cs="Arial"/>
          <w:iCs/>
          <w:noProof/>
          <w:szCs w:val="28"/>
          <w:lang w:val="ru" w:eastAsia="ru-RU"/>
        </w:rPr>
        <w:t>p</w:t>
      </w:r>
      <w:r w:rsidRPr="00511005">
        <w:rPr>
          <w:rFonts w:ascii="Arial" w:eastAsia="Times New Roman" w:hAnsi="Arial" w:cs="Arial"/>
          <w:iCs/>
          <w:noProof/>
          <w:szCs w:val="28"/>
          <w:lang w:val="uk-UA" w:eastAsia="ru-RU"/>
        </w:rPr>
        <w:t>идичн</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к</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д</w:t>
      </w:r>
      <w:r w:rsidRPr="00511005">
        <w:rPr>
          <w:rFonts w:ascii="Arial" w:eastAsia="Times New Roman" w:hAnsi="Arial" w:cs="Arial"/>
          <w:iCs/>
          <w:noProof/>
          <w:szCs w:val="28"/>
          <w:lang w:val="ru" w:eastAsia="ru-RU"/>
        </w:rPr>
        <w:t>e</w:t>
      </w:r>
      <w:r w:rsidRPr="00511005">
        <w:rPr>
          <w:rFonts w:ascii="Arial" w:eastAsia="Times New Roman" w:hAnsi="Arial" w:cs="Arial"/>
          <w:iCs/>
          <w:noProof/>
          <w:szCs w:val="28"/>
          <w:lang w:val="uk-UA" w:eastAsia="ru-RU"/>
        </w:rPr>
        <w:t>м</w:t>
      </w:r>
      <w:r w:rsidRPr="00511005">
        <w:rPr>
          <w:rFonts w:ascii="Arial" w:eastAsia="Times New Roman" w:hAnsi="Arial" w:cs="Arial"/>
          <w:iCs/>
          <w:noProof/>
          <w:szCs w:val="28"/>
          <w:lang w:val="ru" w:eastAsia="ru-RU"/>
        </w:rPr>
        <w:t>i</w:t>
      </w:r>
      <w:r w:rsidRPr="00511005">
        <w:rPr>
          <w:rFonts w:ascii="Arial" w:eastAsia="Times New Roman" w:hAnsi="Arial" w:cs="Arial"/>
          <w:iCs/>
          <w:noProof/>
          <w:szCs w:val="28"/>
          <w:lang w:val="uk-UA" w:eastAsia="ru-RU"/>
        </w:rPr>
        <w:t>я»</w:t>
      </w:r>
    </w:p>
    <w:p w14:paraId="125A5640" w14:textId="77777777" w:rsidR="00532C25" w:rsidRPr="00511005" w:rsidRDefault="00532C25" w:rsidP="00532C25">
      <w:pPr>
        <w:pBdr>
          <w:top w:val="nil"/>
          <w:left w:val="nil"/>
          <w:bottom w:val="nil"/>
          <w:right w:val="nil"/>
          <w:between w:val="nil"/>
        </w:pBdr>
        <w:spacing w:line="264" w:lineRule="auto"/>
        <w:contextualSpacing/>
        <w:jc w:val="center"/>
        <w:rPr>
          <w:rFonts w:ascii="Arial" w:eastAsia="Times New Roman" w:hAnsi="Arial" w:cs="Arial"/>
          <w:b/>
          <w:i/>
          <w:iCs/>
          <w:noProof/>
          <w:szCs w:val="28"/>
          <w:lang w:val="uk-UA" w:eastAsia="ru-RU"/>
        </w:rPr>
      </w:pPr>
      <w:r w:rsidRPr="00511005">
        <w:rPr>
          <w:rFonts w:ascii="Arial" w:eastAsia="Times New Roman" w:hAnsi="Arial" w:cs="Arial"/>
          <w:b/>
          <w:i/>
          <w:iCs/>
          <w:noProof/>
          <w:szCs w:val="28"/>
          <w:lang w:val="uk-UA" w:eastAsia="ru-RU"/>
        </w:rPr>
        <w:lastRenderedPageBreak/>
        <w:t>Філон Олександра Ігорівна</w:t>
      </w:r>
    </w:p>
    <w:p w14:paraId="2EAB95C4" w14:textId="77777777" w:rsidR="00532C25" w:rsidRPr="00511005" w:rsidRDefault="00532C25" w:rsidP="00532C25">
      <w:pPr>
        <w:pBdr>
          <w:top w:val="nil"/>
          <w:left w:val="nil"/>
          <w:bottom w:val="nil"/>
          <w:right w:val="nil"/>
          <w:between w:val="nil"/>
        </w:pBdr>
        <w:spacing w:line="264" w:lineRule="auto"/>
        <w:contextualSpacing/>
        <w:jc w:val="center"/>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ст</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д</w:t>
      </w:r>
      <w:r w:rsidRPr="00511005">
        <w:rPr>
          <w:rFonts w:ascii="Arial" w:eastAsia="Times New Roman" w:hAnsi="Arial" w:cs="Arial"/>
          <w:iCs/>
          <w:noProof/>
          <w:szCs w:val="28"/>
          <w:lang w:val="ru" w:eastAsia="ru-RU"/>
        </w:rPr>
        <w:t>e</w:t>
      </w:r>
      <w:r w:rsidRPr="00511005">
        <w:rPr>
          <w:rFonts w:ascii="Arial" w:eastAsia="Times New Roman" w:hAnsi="Arial" w:cs="Arial"/>
          <w:iCs/>
          <w:noProof/>
          <w:szCs w:val="28"/>
          <w:lang w:val="uk-UA" w:eastAsia="ru-RU"/>
        </w:rPr>
        <w:t>нтка 4 к</w:t>
      </w:r>
      <w:r w:rsidRPr="00511005">
        <w:rPr>
          <w:rFonts w:ascii="Arial" w:eastAsia="Times New Roman" w:hAnsi="Arial" w:cs="Arial"/>
          <w:iCs/>
          <w:noProof/>
          <w:szCs w:val="28"/>
          <w:lang w:val="ru" w:eastAsia="ru-RU"/>
        </w:rPr>
        <w:t>yp</w:t>
      </w:r>
      <w:r w:rsidRPr="00511005">
        <w:rPr>
          <w:rFonts w:ascii="Arial" w:eastAsia="Times New Roman" w:hAnsi="Arial" w:cs="Arial"/>
          <w:iCs/>
          <w:noProof/>
          <w:szCs w:val="28"/>
          <w:lang w:val="uk-UA" w:eastAsia="ru-RU"/>
        </w:rPr>
        <w:t>с</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 xml:space="preserve"> ф</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к</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льт</w:t>
      </w:r>
      <w:r w:rsidRPr="00511005">
        <w:rPr>
          <w:rFonts w:ascii="Arial" w:eastAsia="Times New Roman" w:hAnsi="Arial" w:cs="Arial"/>
          <w:iCs/>
          <w:noProof/>
          <w:szCs w:val="28"/>
          <w:lang w:val="ru" w:eastAsia="ru-RU"/>
        </w:rPr>
        <w:t>e</w:t>
      </w:r>
      <w:r w:rsidRPr="00511005">
        <w:rPr>
          <w:rFonts w:ascii="Arial" w:eastAsia="Times New Roman" w:hAnsi="Arial" w:cs="Arial"/>
          <w:iCs/>
          <w:noProof/>
          <w:szCs w:val="28"/>
          <w:lang w:val="uk-UA" w:eastAsia="ru-RU"/>
        </w:rPr>
        <w:t>т</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дв</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к</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т</w:t>
      </w:r>
      <w:r w:rsidRPr="00511005">
        <w:rPr>
          <w:rFonts w:ascii="Arial" w:eastAsia="Times New Roman" w:hAnsi="Arial" w:cs="Arial"/>
          <w:iCs/>
          <w:noProof/>
          <w:szCs w:val="28"/>
          <w:lang w:val="ru" w:eastAsia="ru-RU"/>
        </w:rPr>
        <w:t>yp</w:t>
      </w:r>
      <w:r w:rsidRPr="00511005">
        <w:rPr>
          <w:rFonts w:ascii="Arial" w:eastAsia="Times New Roman" w:hAnsi="Arial" w:cs="Arial"/>
          <w:iCs/>
          <w:noProof/>
          <w:szCs w:val="28"/>
          <w:lang w:val="uk-UA" w:eastAsia="ru-RU"/>
        </w:rPr>
        <w:t>и т</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нтик</w:t>
      </w:r>
      <w:r w:rsidRPr="00511005">
        <w:rPr>
          <w:rFonts w:ascii="Arial" w:eastAsia="Times New Roman" w:hAnsi="Arial" w:cs="Arial"/>
          <w:iCs/>
          <w:noProof/>
          <w:szCs w:val="28"/>
          <w:lang w:val="ru" w:eastAsia="ru-RU"/>
        </w:rPr>
        <w:t>opy</w:t>
      </w:r>
      <w:r w:rsidRPr="00511005">
        <w:rPr>
          <w:rFonts w:ascii="Arial" w:eastAsia="Times New Roman" w:hAnsi="Arial" w:cs="Arial"/>
          <w:iCs/>
          <w:noProof/>
          <w:szCs w:val="28"/>
          <w:lang w:val="uk-UA" w:eastAsia="ru-RU"/>
        </w:rPr>
        <w:t>пц</w:t>
      </w:r>
      <w:r w:rsidRPr="00511005">
        <w:rPr>
          <w:rFonts w:ascii="Arial" w:eastAsia="Times New Roman" w:hAnsi="Arial" w:cs="Arial"/>
          <w:iCs/>
          <w:noProof/>
          <w:szCs w:val="28"/>
          <w:lang w:val="ru" w:eastAsia="ru-RU"/>
        </w:rPr>
        <w:t>i</w:t>
      </w:r>
      <w:r w:rsidRPr="00511005">
        <w:rPr>
          <w:rFonts w:ascii="Arial" w:eastAsia="Times New Roman" w:hAnsi="Arial" w:cs="Arial"/>
          <w:iCs/>
          <w:noProof/>
          <w:szCs w:val="28"/>
          <w:lang w:val="uk-UA" w:eastAsia="ru-RU"/>
        </w:rPr>
        <w:t>йн</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ї д</w:t>
      </w:r>
      <w:r w:rsidRPr="00511005">
        <w:rPr>
          <w:rFonts w:ascii="Arial" w:eastAsia="Times New Roman" w:hAnsi="Arial" w:cs="Arial"/>
          <w:iCs/>
          <w:noProof/>
          <w:szCs w:val="28"/>
          <w:lang w:val="ru" w:eastAsia="ru-RU"/>
        </w:rPr>
        <w:t>i</w:t>
      </w:r>
      <w:r w:rsidRPr="00511005">
        <w:rPr>
          <w:rFonts w:ascii="Arial" w:eastAsia="Times New Roman" w:hAnsi="Arial" w:cs="Arial"/>
          <w:iCs/>
          <w:noProof/>
          <w:szCs w:val="28"/>
          <w:lang w:val="uk-UA" w:eastAsia="ru-RU"/>
        </w:rPr>
        <w:t>яльн</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ст</w:t>
      </w:r>
      <w:r w:rsidRPr="00511005">
        <w:rPr>
          <w:rFonts w:ascii="Arial" w:eastAsia="Times New Roman" w:hAnsi="Arial" w:cs="Arial"/>
          <w:iCs/>
          <w:noProof/>
          <w:szCs w:val="28"/>
          <w:lang w:val="ru" w:eastAsia="ru-RU"/>
        </w:rPr>
        <w:t>i</w:t>
      </w:r>
    </w:p>
    <w:p w14:paraId="079D511C" w14:textId="77777777" w:rsidR="00532C25" w:rsidRPr="00511005" w:rsidRDefault="00532C25" w:rsidP="00532C25">
      <w:pPr>
        <w:pBdr>
          <w:top w:val="nil"/>
          <w:left w:val="nil"/>
          <w:bottom w:val="nil"/>
          <w:right w:val="nil"/>
          <w:between w:val="nil"/>
        </w:pBdr>
        <w:spacing w:line="264" w:lineRule="auto"/>
        <w:contextualSpacing/>
        <w:jc w:val="center"/>
        <w:rPr>
          <w:rFonts w:ascii="Arial" w:eastAsia="Times New Roman" w:hAnsi="Arial" w:cs="Arial"/>
          <w:iCs/>
          <w:noProof/>
          <w:szCs w:val="28"/>
          <w:lang w:val="uk-UA" w:eastAsia="ru-RU"/>
        </w:rPr>
      </w:pPr>
      <w:r w:rsidRPr="00511005">
        <w:rPr>
          <w:rFonts w:ascii="Arial" w:eastAsia="Times New Roman" w:hAnsi="Arial" w:cs="Arial"/>
          <w:iCs/>
          <w:noProof/>
          <w:szCs w:val="28"/>
          <w:lang w:val="uk-UA" w:eastAsia="ru-RU"/>
        </w:rPr>
        <w:t>Н</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ц</w:t>
      </w:r>
      <w:r w:rsidRPr="00511005">
        <w:rPr>
          <w:rFonts w:ascii="Arial" w:eastAsia="Times New Roman" w:hAnsi="Arial" w:cs="Arial"/>
          <w:iCs/>
          <w:noProof/>
          <w:szCs w:val="28"/>
          <w:lang w:val="ru" w:eastAsia="ru-RU"/>
        </w:rPr>
        <w:t>io</w:t>
      </w:r>
      <w:r w:rsidRPr="00511005">
        <w:rPr>
          <w:rFonts w:ascii="Arial" w:eastAsia="Times New Roman" w:hAnsi="Arial" w:cs="Arial"/>
          <w:iCs/>
          <w:noProof/>
          <w:szCs w:val="28"/>
          <w:lang w:val="uk-UA" w:eastAsia="ru-RU"/>
        </w:rPr>
        <w:t>н</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льн</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г</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н</w:t>
      </w:r>
      <w:r w:rsidRPr="00511005">
        <w:rPr>
          <w:rFonts w:ascii="Arial" w:eastAsia="Times New Roman" w:hAnsi="Arial" w:cs="Arial"/>
          <w:iCs/>
          <w:noProof/>
          <w:szCs w:val="28"/>
          <w:lang w:val="ru" w:eastAsia="ru-RU"/>
        </w:rPr>
        <w:t>i</w:t>
      </w:r>
      <w:r w:rsidRPr="00511005">
        <w:rPr>
          <w:rFonts w:ascii="Arial" w:eastAsia="Times New Roman" w:hAnsi="Arial" w:cs="Arial"/>
          <w:iCs/>
          <w:noProof/>
          <w:szCs w:val="28"/>
          <w:lang w:val="uk-UA" w:eastAsia="ru-RU"/>
        </w:rPr>
        <w:t>в</w:t>
      </w:r>
      <w:r w:rsidRPr="00511005">
        <w:rPr>
          <w:rFonts w:ascii="Arial" w:eastAsia="Times New Roman" w:hAnsi="Arial" w:cs="Arial"/>
          <w:iCs/>
          <w:noProof/>
          <w:szCs w:val="28"/>
          <w:lang w:val="ru" w:eastAsia="ru-RU"/>
        </w:rPr>
        <w:t>ep</w:t>
      </w:r>
      <w:r w:rsidRPr="00511005">
        <w:rPr>
          <w:rFonts w:ascii="Arial" w:eastAsia="Times New Roman" w:hAnsi="Arial" w:cs="Arial"/>
          <w:iCs/>
          <w:noProof/>
          <w:szCs w:val="28"/>
          <w:lang w:val="uk-UA" w:eastAsia="ru-RU"/>
        </w:rPr>
        <w:t>сит</w:t>
      </w:r>
      <w:r w:rsidRPr="00511005">
        <w:rPr>
          <w:rFonts w:ascii="Arial" w:eastAsia="Times New Roman" w:hAnsi="Arial" w:cs="Arial"/>
          <w:iCs/>
          <w:noProof/>
          <w:szCs w:val="28"/>
          <w:lang w:val="ru" w:eastAsia="ru-RU"/>
        </w:rPr>
        <w:t>e</w:t>
      </w:r>
      <w:r w:rsidRPr="00511005">
        <w:rPr>
          <w:rFonts w:ascii="Arial" w:eastAsia="Times New Roman" w:hAnsi="Arial" w:cs="Arial"/>
          <w:iCs/>
          <w:noProof/>
          <w:szCs w:val="28"/>
          <w:lang w:val="uk-UA" w:eastAsia="ru-RU"/>
        </w:rPr>
        <w:t>т</w:t>
      </w:r>
      <w:r w:rsidRPr="00511005">
        <w:rPr>
          <w:rFonts w:ascii="Arial" w:eastAsia="Times New Roman" w:hAnsi="Arial" w:cs="Arial"/>
          <w:iCs/>
          <w:noProof/>
          <w:szCs w:val="28"/>
          <w:lang w:val="ru" w:eastAsia="ru-RU"/>
        </w:rPr>
        <w:t>y</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ru" w:eastAsia="ru-RU"/>
        </w:rPr>
        <w:t>O</w:t>
      </w:r>
      <w:r w:rsidRPr="00511005">
        <w:rPr>
          <w:rFonts w:ascii="Arial" w:eastAsia="Times New Roman" w:hAnsi="Arial" w:cs="Arial"/>
          <w:iCs/>
          <w:noProof/>
          <w:szCs w:val="28"/>
          <w:lang w:val="uk-UA" w:eastAsia="ru-RU"/>
        </w:rPr>
        <w:t>д</w:t>
      </w:r>
      <w:r w:rsidRPr="00511005">
        <w:rPr>
          <w:rFonts w:ascii="Arial" w:eastAsia="Times New Roman" w:hAnsi="Arial" w:cs="Arial"/>
          <w:iCs/>
          <w:noProof/>
          <w:szCs w:val="28"/>
          <w:lang w:val="ru" w:eastAsia="ru-RU"/>
        </w:rPr>
        <w:t>e</w:t>
      </w:r>
      <w:r w:rsidRPr="00511005">
        <w:rPr>
          <w:rFonts w:ascii="Arial" w:eastAsia="Times New Roman" w:hAnsi="Arial" w:cs="Arial"/>
          <w:iCs/>
          <w:noProof/>
          <w:szCs w:val="28"/>
          <w:lang w:val="uk-UA" w:eastAsia="ru-RU"/>
        </w:rPr>
        <w:t>ськ</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 xml:space="preserve"> ю</w:t>
      </w:r>
      <w:r w:rsidRPr="00511005">
        <w:rPr>
          <w:rFonts w:ascii="Arial" w:eastAsia="Times New Roman" w:hAnsi="Arial" w:cs="Arial"/>
          <w:iCs/>
          <w:noProof/>
          <w:szCs w:val="28"/>
          <w:lang w:val="ru" w:eastAsia="ru-RU"/>
        </w:rPr>
        <w:t>p</w:t>
      </w:r>
      <w:r w:rsidRPr="00511005">
        <w:rPr>
          <w:rFonts w:ascii="Arial" w:eastAsia="Times New Roman" w:hAnsi="Arial" w:cs="Arial"/>
          <w:iCs/>
          <w:noProof/>
          <w:szCs w:val="28"/>
          <w:lang w:val="uk-UA" w:eastAsia="ru-RU"/>
        </w:rPr>
        <w:t>идичн</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 xml:space="preserve"> </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к</w:t>
      </w:r>
      <w:r w:rsidRPr="00511005">
        <w:rPr>
          <w:rFonts w:ascii="Arial" w:eastAsia="Times New Roman" w:hAnsi="Arial" w:cs="Arial"/>
          <w:iCs/>
          <w:noProof/>
          <w:szCs w:val="28"/>
          <w:lang w:val="ru" w:eastAsia="ru-RU"/>
        </w:rPr>
        <w:t>a</w:t>
      </w:r>
      <w:r w:rsidRPr="00511005">
        <w:rPr>
          <w:rFonts w:ascii="Arial" w:eastAsia="Times New Roman" w:hAnsi="Arial" w:cs="Arial"/>
          <w:iCs/>
          <w:noProof/>
          <w:szCs w:val="28"/>
          <w:lang w:val="uk-UA" w:eastAsia="ru-RU"/>
        </w:rPr>
        <w:t>д</w:t>
      </w:r>
      <w:r w:rsidRPr="00511005">
        <w:rPr>
          <w:rFonts w:ascii="Arial" w:eastAsia="Times New Roman" w:hAnsi="Arial" w:cs="Arial"/>
          <w:iCs/>
          <w:noProof/>
          <w:szCs w:val="28"/>
          <w:lang w:val="ru" w:eastAsia="ru-RU"/>
        </w:rPr>
        <w:t>e</w:t>
      </w:r>
      <w:r w:rsidRPr="00511005">
        <w:rPr>
          <w:rFonts w:ascii="Arial" w:eastAsia="Times New Roman" w:hAnsi="Arial" w:cs="Arial"/>
          <w:iCs/>
          <w:noProof/>
          <w:szCs w:val="28"/>
          <w:lang w:val="uk-UA" w:eastAsia="ru-RU"/>
        </w:rPr>
        <w:t>м</w:t>
      </w:r>
      <w:r w:rsidRPr="00511005">
        <w:rPr>
          <w:rFonts w:ascii="Arial" w:eastAsia="Times New Roman" w:hAnsi="Arial" w:cs="Arial"/>
          <w:iCs/>
          <w:noProof/>
          <w:szCs w:val="28"/>
          <w:lang w:val="ru" w:eastAsia="ru-RU"/>
        </w:rPr>
        <w:t>i</w:t>
      </w:r>
      <w:r w:rsidRPr="00511005">
        <w:rPr>
          <w:rFonts w:ascii="Arial" w:eastAsia="Times New Roman" w:hAnsi="Arial" w:cs="Arial"/>
          <w:iCs/>
          <w:noProof/>
          <w:szCs w:val="28"/>
          <w:lang w:val="uk-UA" w:eastAsia="ru-RU"/>
        </w:rPr>
        <w:t>я»</w:t>
      </w:r>
    </w:p>
    <w:p w14:paraId="393D611C" w14:textId="77777777" w:rsidR="00532C25" w:rsidRPr="00511005" w:rsidRDefault="00532C25" w:rsidP="00532C25">
      <w:pPr>
        <w:pBdr>
          <w:top w:val="nil"/>
          <w:left w:val="nil"/>
          <w:bottom w:val="nil"/>
          <w:right w:val="nil"/>
          <w:between w:val="nil"/>
        </w:pBdr>
        <w:spacing w:line="264" w:lineRule="auto"/>
        <w:contextualSpacing/>
        <w:rPr>
          <w:rFonts w:ascii="Arial" w:eastAsia="Times New Roman" w:hAnsi="Arial" w:cs="Arial"/>
          <w:i/>
          <w:noProof/>
          <w:szCs w:val="28"/>
          <w:lang w:val="uk-UA" w:eastAsia="ru-RU"/>
        </w:rPr>
      </w:pPr>
    </w:p>
    <w:p w14:paraId="02C34305" w14:textId="77777777" w:rsidR="00532C25" w:rsidRPr="00511005" w:rsidRDefault="00532C25" w:rsidP="00532C25">
      <w:pPr>
        <w:spacing w:line="264" w:lineRule="auto"/>
        <w:ind w:firstLine="0"/>
        <w:jc w:val="center"/>
        <w:rPr>
          <w:rFonts w:ascii="Arial" w:eastAsia="Arial" w:hAnsi="Arial" w:cs="Arial"/>
          <w:b/>
          <w:bCs/>
          <w:szCs w:val="28"/>
          <w:lang w:val="ru" w:eastAsia="ru-RU"/>
        </w:rPr>
      </w:pPr>
      <w:r w:rsidRPr="00511005">
        <w:rPr>
          <w:rFonts w:ascii="Arial" w:eastAsia="Arial" w:hAnsi="Arial" w:cs="Arial"/>
          <w:b/>
          <w:bCs/>
          <w:szCs w:val="28"/>
          <w:lang w:val="ru" w:eastAsia="ru-RU"/>
        </w:rPr>
        <w:t>ОСОБЛИВОСТІ ЗДІЙСНЕННЯ МІЖНАРОДНОГО РОЗШУКУ В СУЧАСНИХ УМОВАХ</w:t>
      </w:r>
    </w:p>
    <w:p w14:paraId="17EED41C"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Процедура міжнародного розшуку підозрюваних у вчиненні кримінальних правопорушень є складною та багаторівневою, адже передбачає участь правоохоронних органів кількох держав. Така взаємодія вимагає чіткого правового механізму співпраці, що гарантує ефективне провадження. Важливою умовою успішного міжнародного співробітництва в кримінальному процесі є реалізація принципу невідворотності відповідальності, який забезпечується, зокрема, інститутом спеціального досудового розслідування — механізмом переслідування осіб, які свідомо переховуються за межами країни.</w:t>
      </w:r>
    </w:p>
    <w:p w14:paraId="404BFFFB"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Аналіз положень КПК України виявляє істотні прогалини в регулюванні міжнародного розшуку: відсутнє легальне визначення цього поняття, критерії для встановлення факту перебування особи в розшуку та моменту, з якого така особа вважається оголошеною. Неврегульованість зазначених питань створює практичні труднощі та призводить до неоднозначної судової практики. Водночас ч. 6 ст. 193 КПК передбачає можливість заочного обрання запобіжного заходу у вигляді тримання під вартою для підозрюваного, оголошеного в міжнародний або міждержавний розшук, що узгоджується з процедурою спеціального досудового розслідування [1].</w:t>
      </w:r>
    </w:p>
    <w:p w14:paraId="3EA80771"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У більшості сучасних наукових досліджень звертається увага на необхідність удосконалення правового регулювання процедури міжнародного розшуку в межах кримінального процесуального законодавства України. Дослідники наголошують, що одним із пріоритетних кроків законодавця має стати запровадження в Кримінальний процесуальний кодекс України окремої глави, присвяченої інституту міжнародного розшуку. </w:t>
      </w:r>
      <w:proofErr w:type="gramStart"/>
      <w:r w:rsidRPr="00511005">
        <w:rPr>
          <w:rFonts w:ascii="Arial" w:eastAsia="Arial" w:hAnsi="Arial" w:cs="Arial"/>
          <w:szCs w:val="28"/>
          <w:lang w:val="ru" w:eastAsia="ru-RU"/>
        </w:rPr>
        <w:t>У межах</w:t>
      </w:r>
      <w:proofErr w:type="gramEnd"/>
      <w:r w:rsidRPr="00511005">
        <w:rPr>
          <w:rFonts w:ascii="Arial" w:eastAsia="Arial" w:hAnsi="Arial" w:cs="Arial"/>
          <w:szCs w:val="28"/>
          <w:lang w:val="ru" w:eastAsia="ru-RU"/>
        </w:rPr>
        <w:t xml:space="preserve"> цієї глави доцільно дати нормативне визначення поняття «міжнародний розшук», а також закріпити чіткі критерії та підстави для встановлення факту перебування особи в такому розшуку й визначити момент, з якого особа офіційно вважається оголошеною в міжнародний розшук.</w:t>
      </w:r>
    </w:p>
    <w:p w14:paraId="4F3249EC"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Відсутність відповідних норм у КПК України спричиняє істотні труднощі в процесі застосування закону та породжує суперечливу правозастосовну практику. Судові органи вимушені керуватись загальними нормами чи практикою правоохоронних органів, що не завжди узгоджується з принципами правової визначеності, послідовності та рівності сторін у процесі. Така ситуація створює загрозу порушення прав особи, а також </w:t>
      </w:r>
      <w:r w:rsidRPr="00511005">
        <w:rPr>
          <w:rFonts w:ascii="Arial" w:eastAsia="Arial" w:hAnsi="Arial" w:cs="Arial"/>
          <w:szCs w:val="28"/>
          <w:lang w:val="ru" w:eastAsia="ru-RU"/>
        </w:rPr>
        <w:lastRenderedPageBreak/>
        <w:t>знижує ефективність міжнародного співробітництва у сфері кримінального судочинства.</w:t>
      </w:r>
    </w:p>
    <w:p w14:paraId="574AD4B3"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Серед авторитетних наукових підходів до визначення поняття «міжнародний розшук» заслуговує на увагу формулювання, запропоноване О. Хохуцяком та О. Верещаком. Вони визначають міжнародний розшук як комплекс оперативно-розшукових, інформаційних та інших узгоджених заходів, що здійснюються у взаємодії між правоохоронними органами України та Міжнародною організацією кримінальної поліції — Інтерполом. Основною метою таких заходів є забезпечення функціонування каналів інформаційної системи Інтерполу для реалізації міжнародно-правових форм співробітництва у сфері кримінального переслідування [2, с. 303].</w:t>
      </w:r>
    </w:p>
    <w:p w14:paraId="6CCEBB6E"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Варто зазначити, що запропоноване визначення відображає як практичний, так і міжнародно-правовий аспект процедури розшуку. З одного боку, воно підкреслює технологічну складову — використання інформаційної системи Інтерполу, а з іншого — наголошує на процесуальній взаємодії між державами. Однак, з точки зору національного права, таке визначення потребує уточнення в частині правових наслідків оголошення особи в розшук, зокрема щодо моменту визнання її такою, що переховується від слідства чи суду, та можливості застосування до неї спеціальних процесуальних інструментів (наприклад, заочного обрання запобіжного заходу).</w:t>
      </w:r>
    </w:p>
    <w:p w14:paraId="51F95416"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Чинне кримінальне процесуальне законодавство України, зокрема положення статті 297-1 Кримінального процесуального кодексу України, закріплює перелік обставин, які є підставами для проведення спеціального досудового розслідування або спеціального судового провадження. Серед ключових умов зазначено: факт оголошення особи, яка має статус підозрюваного, у міжнародний розшук; її свідоме ухилення від прибуття за викликом слідчого, прокурора, слідчого судді чи суду (за наявності належного повідомлення про виклик); а також перебування такої особи на території держави-агресора або в межах тимчасово окупованих територій України [1].</w:t>
      </w:r>
    </w:p>
    <w:p w14:paraId="651BA3D6"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Узагальнюючи зазначене, можна стверджувати, що законодавець прагне забезпечити процесуальну ефективність </w:t>
      </w:r>
      <w:proofErr w:type="gramStart"/>
      <w:r w:rsidRPr="00511005">
        <w:rPr>
          <w:rFonts w:ascii="Arial" w:eastAsia="Arial" w:hAnsi="Arial" w:cs="Arial"/>
          <w:szCs w:val="28"/>
          <w:lang w:val="ru" w:eastAsia="ru-RU"/>
        </w:rPr>
        <w:t>у справах</w:t>
      </w:r>
      <w:proofErr w:type="gramEnd"/>
      <w:r w:rsidRPr="00511005">
        <w:rPr>
          <w:rFonts w:ascii="Arial" w:eastAsia="Arial" w:hAnsi="Arial" w:cs="Arial"/>
          <w:szCs w:val="28"/>
          <w:lang w:val="ru" w:eastAsia="ru-RU"/>
        </w:rPr>
        <w:t>, де підозрюваний фізично недоступний для органів розслідування чи суду. У таких випадках класичні механізми кримінального переслідування виявляються неефективними через політичні, територіальні або міжнародно-правові обмеження.</w:t>
      </w:r>
    </w:p>
    <w:p w14:paraId="70692C65"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Попри те, що ст. 297-1 КПК України формально визначає підстави спеціального провадження, її практичне застосування ускладнюється через відсутність чітких дефініцій — зокрема щодо моменту оголошення особи в міжнародний розшук і гарантій належного повідомлення. Це створює ризики для дотримання прав учасників провадження та цілісності процесу.</w:t>
      </w:r>
    </w:p>
    <w:p w14:paraId="0DD90EDD"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lastRenderedPageBreak/>
        <w:t>Спеціальне досудове розслідування нині є дієвим інструментом забезпечення невідворотності кримінальної відповідальності за відсутності підозрюваного. Основною умовою для його застосування відповідно до ст. 297-1 КПК є підтвердження факту міжнародного розшуку, що є відповіддю на свідоме ухилення особи від правосуддя, зокрема через перебування на тимчасово окупованих територіях або в країні-агресорі.</w:t>
      </w:r>
    </w:p>
    <w:p w14:paraId="5B1BE49D"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У цьому контексті слід звернутися до міжнародних стандартів, зокрема — до Резолюції №75(11) Комітету </w:t>
      </w:r>
      <w:proofErr w:type="gramStart"/>
      <w:r w:rsidRPr="00511005">
        <w:rPr>
          <w:rFonts w:ascii="Arial" w:eastAsia="Arial" w:hAnsi="Arial" w:cs="Arial"/>
          <w:szCs w:val="28"/>
          <w:lang w:val="ru" w:eastAsia="ru-RU"/>
        </w:rPr>
        <w:t>Міністрів</w:t>
      </w:r>
      <w:proofErr w:type="gramEnd"/>
      <w:r w:rsidRPr="00511005">
        <w:rPr>
          <w:rFonts w:ascii="Arial" w:eastAsia="Arial" w:hAnsi="Arial" w:cs="Arial"/>
          <w:szCs w:val="28"/>
          <w:lang w:val="ru" w:eastAsia="ru-RU"/>
        </w:rPr>
        <w:t xml:space="preserve"> Ради Європи від 19 січня 1973 року, де викладено базові принципи здійснення судового провадження за відсутності обвинуваченого. Згідно з цим документом, правосуддя заочно можливе лише за умови, якщо обвинувачений був належним чином повідомлений про дату та місце розгляду справи, мав достатній час для підготовки захисту та свідомо ухилився від явки [3]. Крім того, у повістці має міститися інформація про правові наслідки неявки, а у разі виникнення об’єктивних перешкод для явки суд зобов’язаний перенести розгляд справи. Такі вимоги спрямовані на баланс між забезпеченням ефективності кримінального провадження та гарантіями права на справедливий суд.</w:t>
      </w:r>
    </w:p>
    <w:p w14:paraId="581E3AF1"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Українське законодавство також враховує ситуації, коли підозрюваний, що перебував у міжнародному розшуку, затримується або самостійно з'являється </w:t>
      </w:r>
      <w:proofErr w:type="gramStart"/>
      <w:r w:rsidRPr="00511005">
        <w:rPr>
          <w:rFonts w:ascii="Arial" w:eastAsia="Arial" w:hAnsi="Arial" w:cs="Arial"/>
          <w:szCs w:val="28"/>
          <w:lang w:val="ru" w:eastAsia="ru-RU"/>
        </w:rPr>
        <w:t>до</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органу</w:t>
      </w:r>
      <w:proofErr w:type="gramEnd"/>
      <w:r w:rsidRPr="00511005">
        <w:rPr>
          <w:rFonts w:ascii="Arial" w:eastAsia="Arial" w:hAnsi="Arial" w:cs="Arial"/>
          <w:szCs w:val="28"/>
          <w:lang w:val="ru" w:eastAsia="ru-RU"/>
        </w:rPr>
        <w:t xml:space="preserve"> досудового розслідування. У таких випадках, відповідно до частини 5 статті 297-4 КПК, спеціальне провадження підлягає припиненню, а розслідування триває в загальному порядку. Це положення є важливим для дотримання принципу особистої участі у кримінальному провадженні, як однієї з ключових гарантій прав людини.</w:t>
      </w:r>
    </w:p>
    <w:p w14:paraId="1AC81C93"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Щодо механізму міжнародного розшуку, українські правоохоронні органи діють відповідно до «Інструкції про порядок використання інформаційної системи Інтерполу». Вона дозволяє виявити місцезнаходження осіб, які ухиляються від кримінальної відповідальності чи покарання, з подальшою можливістю екстрадиції [4]. У практиці Вищого антикорупційного суду України (зокрема — в ухвалі Апеляційної палати ВАКС від 04.02.2020 у справі №991/3010/19) закріплено, що факт міжнародного розшуку фіксується шляхом винесення відповідної постанови слідчим або прокурором, внесення інформації до ЄРДР та звернення до Національного центрального бюро Інтерполу із запитом до Генерального секретаріату організації [5].</w:t>
      </w:r>
    </w:p>
    <w:p w14:paraId="09FCF1E5"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Водночас, чинне законодавство не містить чіткого визначення поняття «міжнародний розшук» та не регламентує момент, з якого особа офіційно вважається такою, що перебуває у міжнародному розшуку. Відсутність уніфікованого підходу до цього питання призводить до неоднозначного тлумачення норм і різної практики їх застосування судами. Це, у свою чергу, створює ризики процесуальних порушень та підриває правову визначеність.</w:t>
      </w:r>
    </w:p>
    <w:p w14:paraId="47D8A466"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lastRenderedPageBreak/>
        <w:t>Отже, запровадження спеціального досудового розслідування за відсутності підозрюваного вимагає чіткого дотримання як національних, так і міжнародних норм, зокрема щодо оголошення особи у міжнародний розшук. Наразі законодавче регулювання даного інституту в Україні є неповним і фрагментарним, що створює серйозні труднощі для правозастосувачів та призводить до неоднозначності судової практики. Актуальною є необхідність нормативного закріплення самого поняття «міжнародний розшук», визначення моменту його початку, а також уточнення ролі Інтерполу як ключового суб’єкта цієї процедури.</w:t>
      </w:r>
    </w:p>
    <w:p w14:paraId="5D27BE76" w14:textId="77777777" w:rsidR="00532C25" w:rsidRPr="00511005" w:rsidRDefault="00532C25" w:rsidP="00532C25">
      <w:pPr>
        <w:spacing w:line="264" w:lineRule="auto"/>
        <w:ind w:firstLine="0"/>
        <w:rPr>
          <w:rFonts w:ascii="Arial" w:eastAsia="Arial" w:hAnsi="Arial" w:cs="Arial"/>
          <w:b/>
          <w:bCs/>
          <w:szCs w:val="28"/>
          <w:lang w:val="ru" w:eastAsia="ru-RU"/>
        </w:rPr>
      </w:pPr>
    </w:p>
    <w:p w14:paraId="58C293CD" w14:textId="77777777" w:rsidR="00532C25" w:rsidRPr="00511005" w:rsidRDefault="00532C25" w:rsidP="00532C25">
      <w:pPr>
        <w:spacing w:line="264" w:lineRule="auto"/>
        <w:ind w:firstLine="0"/>
        <w:jc w:val="center"/>
        <w:rPr>
          <w:rFonts w:ascii="Arial" w:eastAsia="Arial" w:hAnsi="Arial" w:cs="Arial"/>
          <w:b/>
          <w:bCs/>
          <w:szCs w:val="28"/>
          <w:lang w:val="ru" w:eastAsia="ru-RU"/>
        </w:rPr>
      </w:pPr>
      <w:r w:rsidRPr="00511005">
        <w:rPr>
          <w:rFonts w:ascii="Arial" w:eastAsia="Arial" w:hAnsi="Arial" w:cs="Arial"/>
          <w:b/>
          <w:bCs/>
          <w:szCs w:val="28"/>
          <w:lang w:val="uk-UA" w:eastAsia="ru-RU"/>
        </w:rPr>
        <w:t>Список використаних джерел</w:t>
      </w:r>
    </w:p>
    <w:p w14:paraId="3BACFEA2" w14:textId="77777777" w:rsidR="00532C25" w:rsidRPr="00511005" w:rsidRDefault="00532C25" w:rsidP="003F6A5D">
      <w:pPr>
        <w:numPr>
          <w:ilvl w:val="0"/>
          <w:numId w:val="595"/>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Кримінальний процесуальний кодекс України: від 13.04.2012 р. № 4651-VI4. Відомості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(ВВР), 2013, № 9-10, № 11-12, № 13, ст.88</w:t>
      </w:r>
      <w:r w:rsidRPr="00511005">
        <w:rPr>
          <w:rFonts w:ascii="Arial" w:eastAsia="Calibri" w:hAnsi="Arial" w:cs="Arial"/>
          <w:szCs w:val="28"/>
          <w:lang w:val="uk-UA"/>
        </w:rPr>
        <w:t>.</w:t>
      </w:r>
    </w:p>
    <w:p w14:paraId="76B15A8D" w14:textId="77777777" w:rsidR="00532C25" w:rsidRPr="00511005" w:rsidRDefault="00532C25" w:rsidP="003F6A5D">
      <w:pPr>
        <w:numPr>
          <w:ilvl w:val="0"/>
          <w:numId w:val="595"/>
        </w:numPr>
        <w:tabs>
          <w:tab w:val="left" w:pos="1276"/>
          <w:tab w:val="left" w:pos="2540"/>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Хахуцяк О., Верещак О. Проблеми оголошення особи у міжнародний розшук в контексті здійснення спеціального досудового розслідування (in absentia). </w:t>
      </w:r>
      <w:r w:rsidRPr="00511005">
        <w:rPr>
          <w:rFonts w:ascii="Arial" w:eastAsia="Calibri" w:hAnsi="Arial" w:cs="Arial"/>
          <w:i/>
          <w:szCs w:val="28"/>
        </w:rPr>
        <w:t>Юридичний науковий електронний журнал</w:t>
      </w:r>
      <w:r w:rsidRPr="00511005">
        <w:rPr>
          <w:rFonts w:ascii="Arial" w:eastAsia="Calibri" w:hAnsi="Arial" w:cs="Arial"/>
          <w:szCs w:val="28"/>
        </w:rPr>
        <w:t>. 2022. № 1. С. 300–303.</w:t>
      </w:r>
    </w:p>
    <w:p w14:paraId="0CEBBAED" w14:textId="77777777" w:rsidR="00532C25" w:rsidRPr="00511005" w:rsidRDefault="00532C25" w:rsidP="003F6A5D">
      <w:pPr>
        <w:numPr>
          <w:ilvl w:val="0"/>
          <w:numId w:val="595"/>
        </w:numPr>
        <w:tabs>
          <w:tab w:val="left" w:pos="1276"/>
          <w:tab w:val="left" w:pos="2540"/>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rPr>
        <w:t>Резолюція 75 (11): Рада Європи, міжнародний документ від 19 січня 1973 року.</w:t>
      </w:r>
      <w:r w:rsidRPr="00511005">
        <w:rPr>
          <w:rFonts w:ascii="Arial" w:eastAsia="Calibri" w:hAnsi="Arial" w:cs="Arial"/>
          <w:szCs w:val="28"/>
          <w:lang w:val="uk-UA"/>
        </w:rPr>
        <w:t xml:space="preserve"> Парламентська асамблея Ради Європи. </w:t>
      </w:r>
      <w:r w:rsidRPr="00511005">
        <w:rPr>
          <w:rFonts w:ascii="Arial" w:eastAsia="Calibri" w:hAnsi="Arial" w:cs="Arial"/>
          <w:szCs w:val="28"/>
          <w:lang w:val="en-US"/>
        </w:rPr>
        <w:t>URL</w:t>
      </w:r>
      <w:r w:rsidRPr="00511005">
        <w:rPr>
          <w:rFonts w:ascii="Arial" w:eastAsia="Calibri" w:hAnsi="Arial" w:cs="Arial"/>
          <w:szCs w:val="28"/>
          <w:lang w:val="uk-UA"/>
        </w:rPr>
        <w:t xml:space="preserve">: </w:t>
      </w:r>
      <w:r w:rsidRPr="00511005">
        <w:rPr>
          <w:rFonts w:ascii="Arial" w:eastAsia="Calibri" w:hAnsi="Arial" w:cs="Arial"/>
          <w:szCs w:val="28"/>
          <w:lang w:val="en-US"/>
        </w:rPr>
        <w:t>http</w:t>
      </w:r>
      <w:r w:rsidRPr="00511005">
        <w:rPr>
          <w:rFonts w:ascii="Arial" w:eastAsia="Calibri" w:hAnsi="Arial" w:cs="Arial"/>
          <w:szCs w:val="28"/>
          <w:lang w:val="uk-UA"/>
        </w:rPr>
        <w:t>://</w:t>
      </w:r>
      <w:r w:rsidRPr="00511005">
        <w:rPr>
          <w:rFonts w:ascii="Arial" w:eastAsia="Calibri" w:hAnsi="Arial" w:cs="Arial"/>
          <w:szCs w:val="28"/>
          <w:lang w:val="en-US"/>
        </w:rPr>
        <w:t>w</w:t>
      </w:r>
      <w:r w:rsidRPr="00511005">
        <w:rPr>
          <w:rFonts w:ascii="Arial" w:eastAsia="Calibri" w:hAnsi="Arial" w:cs="Arial"/>
          <w:szCs w:val="28"/>
          <w:lang w:val="uk-UA"/>
        </w:rPr>
        <w:t>1.</w:t>
      </w:r>
      <w:r w:rsidRPr="00511005">
        <w:rPr>
          <w:rFonts w:ascii="Arial" w:eastAsia="Calibri" w:hAnsi="Arial" w:cs="Arial"/>
          <w:szCs w:val="28"/>
          <w:lang w:val="en-US"/>
        </w:rPr>
        <w:t>c</w:t>
      </w:r>
      <w:r w:rsidRPr="00511005">
        <w:rPr>
          <w:rFonts w:ascii="Arial" w:eastAsia="Calibri" w:hAnsi="Arial" w:cs="Arial"/>
          <w:szCs w:val="28"/>
          <w:lang w:val="uk-UA"/>
        </w:rPr>
        <w:t>1.</w:t>
      </w:r>
      <w:r w:rsidRPr="00511005">
        <w:rPr>
          <w:rFonts w:ascii="Arial" w:eastAsia="Calibri" w:hAnsi="Arial" w:cs="Arial"/>
          <w:szCs w:val="28"/>
          <w:lang w:val="en-US"/>
        </w:rPr>
        <w:t>rada</w:t>
      </w:r>
      <w:r w:rsidRPr="00511005">
        <w:rPr>
          <w:rFonts w:ascii="Arial" w:eastAsia="Calibri" w:hAnsi="Arial" w:cs="Arial"/>
          <w:szCs w:val="28"/>
          <w:lang w:val="uk-UA"/>
        </w:rPr>
        <w:t>.</w:t>
      </w:r>
      <w:r w:rsidRPr="00511005">
        <w:rPr>
          <w:rFonts w:ascii="Arial" w:eastAsia="Calibri" w:hAnsi="Arial" w:cs="Arial"/>
          <w:szCs w:val="28"/>
          <w:lang w:val="en-US"/>
        </w:rPr>
        <w:t>gov</w:t>
      </w:r>
      <w:r w:rsidRPr="00511005">
        <w:rPr>
          <w:rFonts w:ascii="Arial" w:eastAsia="Calibri" w:hAnsi="Arial" w:cs="Arial"/>
          <w:szCs w:val="28"/>
          <w:lang w:val="uk-UA"/>
        </w:rPr>
        <w:t>.</w:t>
      </w:r>
      <w:r w:rsidRPr="00511005">
        <w:rPr>
          <w:rFonts w:ascii="Arial" w:eastAsia="Calibri" w:hAnsi="Arial" w:cs="Arial"/>
          <w:szCs w:val="28"/>
          <w:lang w:val="en-US"/>
        </w:rPr>
        <w:t>ua</w:t>
      </w:r>
      <w:r w:rsidRPr="00511005">
        <w:rPr>
          <w:rFonts w:ascii="Arial" w:eastAsia="Calibri" w:hAnsi="Arial" w:cs="Arial"/>
          <w:szCs w:val="28"/>
          <w:lang w:val="uk-UA"/>
        </w:rPr>
        <w:t>/</w:t>
      </w:r>
      <w:r w:rsidRPr="00511005">
        <w:rPr>
          <w:rFonts w:ascii="Arial" w:eastAsia="Calibri" w:hAnsi="Arial" w:cs="Arial"/>
          <w:szCs w:val="28"/>
          <w:lang w:val="en-US"/>
        </w:rPr>
        <w:t>pls</w:t>
      </w:r>
      <w:r w:rsidRPr="00511005">
        <w:rPr>
          <w:rFonts w:ascii="Arial" w:eastAsia="Calibri" w:hAnsi="Arial" w:cs="Arial"/>
          <w:szCs w:val="28"/>
          <w:lang w:val="uk-UA"/>
        </w:rPr>
        <w:t>/</w:t>
      </w:r>
      <w:r w:rsidRPr="00511005">
        <w:rPr>
          <w:rFonts w:ascii="Arial" w:eastAsia="Calibri" w:hAnsi="Arial" w:cs="Arial"/>
          <w:szCs w:val="28"/>
          <w:lang w:val="en-US"/>
        </w:rPr>
        <w:t>mpz</w:t>
      </w:r>
      <w:r w:rsidRPr="00511005">
        <w:rPr>
          <w:rFonts w:ascii="Arial" w:eastAsia="Calibri" w:hAnsi="Arial" w:cs="Arial"/>
          <w:szCs w:val="28"/>
          <w:lang w:val="uk-UA"/>
        </w:rPr>
        <w:t>2/</w:t>
      </w:r>
      <w:r w:rsidRPr="00511005">
        <w:rPr>
          <w:rFonts w:ascii="Arial" w:eastAsia="Calibri" w:hAnsi="Arial" w:cs="Arial"/>
          <w:szCs w:val="28"/>
          <w:lang w:val="en-US"/>
        </w:rPr>
        <w:t>organizations</w:t>
      </w:r>
      <w:r w:rsidRPr="00511005">
        <w:rPr>
          <w:rFonts w:ascii="Arial" w:eastAsia="Calibri" w:hAnsi="Arial" w:cs="Arial"/>
          <w:szCs w:val="28"/>
          <w:lang w:val="uk-UA"/>
        </w:rPr>
        <w:t xml:space="preserve">. </w:t>
      </w:r>
      <w:r w:rsidRPr="00511005">
        <w:rPr>
          <w:rFonts w:ascii="Arial" w:eastAsia="Calibri" w:hAnsi="Arial" w:cs="Arial"/>
          <w:szCs w:val="28"/>
          <w:lang w:val="en-US"/>
        </w:rPr>
        <w:t>mpo</w:t>
      </w:r>
      <w:r w:rsidRPr="00511005">
        <w:rPr>
          <w:rFonts w:ascii="Arial" w:eastAsia="Calibri" w:hAnsi="Arial" w:cs="Arial"/>
          <w:szCs w:val="28"/>
          <w:lang w:val="uk-UA"/>
        </w:rPr>
        <w:t>_</w:t>
      </w:r>
      <w:r w:rsidRPr="00511005">
        <w:rPr>
          <w:rFonts w:ascii="Arial" w:eastAsia="Calibri" w:hAnsi="Arial" w:cs="Arial"/>
          <w:szCs w:val="28"/>
          <w:lang w:val="en-US"/>
        </w:rPr>
        <w:t>info</w:t>
      </w:r>
      <w:r w:rsidRPr="00511005">
        <w:rPr>
          <w:rFonts w:ascii="Arial" w:eastAsia="Calibri" w:hAnsi="Arial" w:cs="Arial"/>
          <w:szCs w:val="28"/>
          <w:lang w:val="uk-UA"/>
        </w:rPr>
        <w:t>?</w:t>
      </w:r>
      <w:r w:rsidRPr="00511005">
        <w:rPr>
          <w:rFonts w:ascii="Arial" w:eastAsia="Calibri" w:hAnsi="Arial" w:cs="Arial"/>
          <w:szCs w:val="28"/>
          <w:lang w:val="en-US"/>
        </w:rPr>
        <w:t>o</w:t>
      </w:r>
      <w:r w:rsidRPr="00511005">
        <w:rPr>
          <w:rFonts w:ascii="Arial" w:eastAsia="Calibri" w:hAnsi="Arial" w:cs="Arial"/>
          <w:szCs w:val="28"/>
          <w:lang w:val="uk-UA"/>
        </w:rPr>
        <w:t>_</w:t>
      </w:r>
      <w:r w:rsidRPr="00511005">
        <w:rPr>
          <w:rFonts w:ascii="Arial" w:eastAsia="Calibri" w:hAnsi="Arial" w:cs="Arial"/>
          <w:szCs w:val="28"/>
          <w:lang w:val="en-US"/>
        </w:rPr>
        <w:t>id</w:t>
      </w:r>
      <w:r w:rsidRPr="00511005">
        <w:rPr>
          <w:rFonts w:ascii="Arial" w:eastAsia="Calibri" w:hAnsi="Arial" w:cs="Arial"/>
          <w:szCs w:val="28"/>
          <w:lang w:val="uk-UA"/>
        </w:rPr>
        <w:t>=64.</w:t>
      </w:r>
    </w:p>
    <w:p w14:paraId="4A6ED88F" w14:textId="77777777" w:rsidR="00532C25" w:rsidRPr="00511005" w:rsidRDefault="00532C25" w:rsidP="003F6A5D">
      <w:pPr>
        <w:numPr>
          <w:ilvl w:val="0"/>
          <w:numId w:val="595"/>
        </w:numPr>
        <w:tabs>
          <w:tab w:val="left" w:pos="1276"/>
          <w:tab w:val="left" w:pos="2540"/>
        </w:tabs>
        <w:spacing w:line="264" w:lineRule="auto"/>
        <w:ind w:left="0" w:firstLine="709"/>
        <w:contextualSpacing/>
        <w:jc w:val="left"/>
        <w:rPr>
          <w:rFonts w:ascii="Arial" w:eastAsia="Calibri" w:hAnsi="Arial" w:cs="Arial"/>
          <w:szCs w:val="28"/>
          <w:lang w:val="pl-PL"/>
        </w:rPr>
      </w:pPr>
      <w:r w:rsidRPr="00511005">
        <w:rPr>
          <w:rFonts w:ascii="Arial" w:eastAsia="Calibri" w:hAnsi="Arial" w:cs="Arial"/>
          <w:szCs w:val="28"/>
          <w:lang w:val="uk-UA"/>
        </w:rPr>
        <w:t xml:space="preserve">Інструкція про порядок використання правоохоронними органами України інформаційної системи Міжнародної організації кримінальної поліції – Інтерпол : Наказ МВС, Офісу Генерального прокурора, НАБУ, СБУ, ДБР, Міністерства фінансів України, Міністерства юстиції України від 17 серпня 2020 р. № 613/380/93/228/414/510/2801/5. </w:t>
      </w:r>
      <w:r w:rsidRPr="00511005">
        <w:rPr>
          <w:rFonts w:ascii="Arial" w:eastAsia="Calibri" w:hAnsi="Arial" w:cs="Arial"/>
          <w:szCs w:val="28"/>
          <w:lang w:val="pl-PL"/>
        </w:rPr>
        <w:t xml:space="preserve">URL: </w:t>
      </w:r>
      <w:hyperlink r:id="rId2237" w:anchor="Text" w:history="1">
        <w:r w:rsidRPr="00511005">
          <w:rPr>
            <w:rFonts w:ascii="Arial" w:eastAsia="Calibri" w:hAnsi="Arial" w:cs="Arial"/>
            <w:szCs w:val="28"/>
            <w:lang w:val="pl-PL"/>
          </w:rPr>
          <w:t>https://zakon.rada.gov.ua/laws/show/z0849-20#Text</w:t>
        </w:r>
      </w:hyperlink>
      <w:r w:rsidRPr="00511005">
        <w:rPr>
          <w:rFonts w:ascii="Arial" w:eastAsia="Calibri" w:hAnsi="Arial" w:cs="Arial"/>
          <w:szCs w:val="28"/>
          <w:lang w:val="pl-PL"/>
        </w:rPr>
        <w:t>.</w:t>
      </w:r>
    </w:p>
    <w:p w14:paraId="1976C436" w14:textId="77777777" w:rsidR="00532C25" w:rsidRPr="00511005" w:rsidRDefault="00532C25" w:rsidP="003F6A5D">
      <w:pPr>
        <w:numPr>
          <w:ilvl w:val="0"/>
          <w:numId w:val="595"/>
        </w:numPr>
        <w:tabs>
          <w:tab w:val="left" w:pos="1276"/>
          <w:tab w:val="left" w:pos="2540"/>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Ухвала від 04.02.2020 № 991/3010/19 Вищий антикорупційний суд. Апеляційна палата. </w:t>
      </w:r>
      <w:r w:rsidRPr="00511005">
        <w:rPr>
          <w:rFonts w:ascii="Arial" w:eastAsia="Calibri" w:hAnsi="Arial" w:cs="Arial"/>
          <w:szCs w:val="28"/>
          <w:lang w:val="en-US"/>
        </w:rPr>
        <w:t>URL</w:t>
      </w:r>
      <w:r w:rsidRPr="00511005">
        <w:rPr>
          <w:rFonts w:ascii="Arial" w:eastAsia="Calibri" w:hAnsi="Arial" w:cs="Arial"/>
          <w:szCs w:val="28"/>
        </w:rPr>
        <w:t xml:space="preserve">: </w:t>
      </w:r>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verdictum</w:t>
      </w:r>
      <w:r w:rsidRPr="00511005">
        <w:rPr>
          <w:rFonts w:ascii="Arial" w:eastAsia="Calibri" w:hAnsi="Arial" w:cs="Arial"/>
          <w:szCs w:val="28"/>
        </w:rPr>
        <w:t>.</w:t>
      </w:r>
      <w:r w:rsidRPr="00511005">
        <w:rPr>
          <w:rFonts w:ascii="Arial" w:eastAsia="Calibri" w:hAnsi="Arial" w:cs="Arial"/>
          <w:szCs w:val="28"/>
          <w:lang w:val="en-US"/>
        </w:rPr>
        <w:t>ligazakon</w:t>
      </w:r>
      <w:r w:rsidRPr="00511005">
        <w:rPr>
          <w:rFonts w:ascii="Arial" w:eastAsia="Calibri" w:hAnsi="Arial" w:cs="Arial"/>
          <w:szCs w:val="28"/>
        </w:rPr>
        <w:t>.</w:t>
      </w:r>
      <w:r w:rsidRPr="00511005">
        <w:rPr>
          <w:rFonts w:ascii="Arial" w:eastAsia="Calibri" w:hAnsi="Arial" w:cs="Arial"/>
          <w:szCs w:val="28"/>
          <w:lang w:val="en-US"/>
        </w:rPr>
        <w:t>net</w:t>
      </w:r>
      <w:r w:rsidRPr="00511005">
        <w:rPr>
          <w:rFonts w:ascii="Arial" w:eastAsia="Calibri" w:hAnsi="Arial" w:cs="Arial"/>
          <w:szCs w:val="28"/>
        </w:rPr>
        <w:t>/</w:t>
      </w:r>
      <w:r w:rsidRPr="00511005">
        <w:rPr>
          <w:rFonts w:ascii="Arial" w:eastAsia="Calibri" w:hAnsi="Arial" w:cs="Arial"/>
          <w:szCs w:val="28"/>
          <w:lang w:val="en-US"/>
        </w:rPr>
        <w:t>document</w:t>
      </w:r>
      <w:r w:rsidRPr="00511005">
        <w:rPr>
          <w:rFonts w:ascii="Arial" w:eastAsia="Calibri" w:hAnsi="Arial" w:cs="Arial"/>
          <w:szCs w:val="28"/>
        </w:rPr>
        <w:t>/87452255?</w:t>
      </w:r>
      <w:r w:rsidRPr="00511005">
        <w:rPr>
          <w:rFonts w:ascii="Arial" w:eastAsia="Calibri" w:hAnsi="Arial" w:cs="Arial"/>
          <w:szCs w:val="28"/>
          <w:lang w:val="en-US"/>
        </w:rPr>
        <w:t>utm</w:t>
      </w:r>
      <w:r w:rsidRPr="00511005">
        <w:rPr>
          <w:rFonts w:ascii="Arial" w:eastAsia="Calibri" w:hAnsi="Arial" w:cs="Arial"/>
          <w:szCs w:val="28"/>
        </w:rPr>
        <w:t>_</w:t>
      </w:r>
      <w:r w:rsidRPr="00511005">
        <w:rPr>
          <w:rFonts w:ascii="Arial" w:eastAsia="Calibri" w:hAnsi="Arial" w:cs="Arial"/>
          <w:szCs w:val="28"/>
          <w:lang w:val="en-US"/>
        </w:rPr>
        <w:t>source</w:t>
      </w:r>
      <w:r w:rsidRPr="00511005">
        <w:rPr>
          <w:rFonts w:ascii="Arial" w:eastAsia="Calibri" w:hAnsi="Arial" w:cs="Arial"/>
          <w:szCs w:val="28"/>
        </w:rPr>
        <w:t>=</w:t>
      </w:r>
      <w:r w:rsidRPr="00511005">
        <w:rPr>
          <w:rFonts w:ascii="Arial" w:eastAsia="Calibri" w:hAnsi="Arial" w:cs="Arial"/>
          <w:szCs w:val="28"/>
          <w:lang w:val="en-US"/>
        </w:rPr>
        <w:t>jurliga</w:t>
      </w:r>
      <w:r w:rsidRPr="00511005">
        <w:rPr>
          <w:rFonts w:ascii="Arial" w:eastAsia="Calibri" w:hAnsi="Arial" w:cs="Arial"/>
          <w:szCs w:val="28"/>
        </w:rPr>
        <w:t>.</w:t>
      </w:r>
      <w:r w:rsidRPr="00511005">
        <w:rPr>
          <w:rFonts w:ascii="Arial" w:eastAsia="Calibri" w:hAnsi="Arial" w:cs="Arial"/>
          <w:szCs w:val="28"/>
          <w:lang w:val="en-US"/>
        </w:rPr>
        <w:t>ligazakon</w:t>
      </w:r>
      <w:r w:rsidRPr="00511005">
        <w:rPr>
          <w:rFonts w:ascii="Arial" w:eastAsia="Calibri" w:hAnsi="Arial" w:cs="Arial"/>
          <w:szCs w:val="28"/>
        </w:rPr>
        <w:t>.</w:t>
      </w:r>
      <w:r w:rsidRPr="00511005">
        <w:rPr>
          <w:rFonts w:ascii="Arial" w:eastAsia="Calibri" w:hAnsi="Arial" w:cs="Arial"/>
          <w:szCs w:val="28"/>
          <w:lang w:val="en-US"/>
        </w:rPr>
        <w:t>ua</w:t>
      </w:r>
      <w:r w:rsidRPr="00511005">
        <w:rPr>
          <w:rFonts w:ascii="Arial" w:eastAsia="Calibri" w:hAnsi="Arial" w:cs="Arial"/>
          <w:szCs w:val="28"/>
        </w:rPr>
        <w:t>&amp;</w:t>
      </w:r>
      <w:r w:rsidRPr="00511005">
        <w:rPr>
          <w:rFonts w:ascii="Arial" w:eastAsia="Calibri" w:hAnsi="Arial" w:cs="Arial"/>
          <w:szCs w:val="28"/>
          <w:lang w:val="en-US"/>
        </w:rPr>
        <w:t>utm</w:t>
      </w:r>
      <w:r w:rsidRPr="00511005">
        <w:rPr>
          <w:rFonts w:ascii="Arial" w:eastAsia="Calibri" w:hAnsi="Arial" w:cs="Arial"/>
          <w:szCs w:val="28"/>
        </w:rPr>
        <w:t>_</w:t>
      </w:r>
      <w:r w:rsidRPr="00511005">
        <w:rPr>
          <w:rFonts w:ascii="Arial" w:eastAsia="Calibri" w:hAnsi="Arial" w:cs="Arial"/>
          <w:szCs w:val="28"/>
          <w:lang w:val="en-US"/>
        </w:rPr>
        <w:t>medium</w:t>
      </w:r>
      <w:r w:rsidRPr="00511005">
        <w:rPr>
          <w:rFonts w:ascii="Arial" w:eastAsia="Calibri" w:hAnsi="Arial" w:cs="Arial"/>
          <w:szCs w:val="28"/>
        </w:rPr>
        <w:t>=</w:t>
      </w:r>
      <w:r w:rsidRPr="00511005">
        <w:rPr>
          <w:rFonts w:ascii="Arial" w:eastAsia="Calibri" w:hAnsi="Arial" w:cs="Arial"/>
          <w:szCs w:val="28"/>
          <w:lang w:val="en-US"/>
        </w:rPr>
        <w:t>news</w:t>
      </w:r>
      <w:r w:rsidRPr="00511005">
        <w:rPr>
          <w:rFonts w:ascii="Arial" w:eastAsia="Calibri" w:hAnsi="Arial" w:cs="Arial"/>
          <w:szCs w:val="28"/>
        </w:rPr>
        <w:t>&amp;</w:t>
      </w:r>
      <w:r w:rsidRPr="00511005">
        <w:rPr>
          <w:rFonts w:ascii="Arial" w:eastAsia="Calibri" w:hAnsi="Arial" w:cs="Arial"/>
          <w:szCs w:val="28"/>
          <w:lang w:val="en-US"/>
        </w:rPr>
        <w:t>utm</w:t>
      </w:r>
      <w:r w:rsidRPr="00511005">
        <w:rPr>
          <w:rFonts w:ascii="Arial" w:eastAsia="Calibri" w:hAnsi="Arial" w:cs="Arial"/>
          <w:szCs w:val="28"/>
        </w:rPr>
        <w:t>_</w:t>
      </w:r>
      <w:r w:rsidRPr="00511005">
        <w:rPr>
          <w:rFonts w:ascii="Arial" w:eastAsia="Calibri" w:hAnsi="Arial" w:cs="Arial"/>
          <w:szCs w:val="28"/>
          <w:lang w:val="en-US"/>
        </w:rPr>
        <w:t>content</w:t>
      </w:r>
      <w:r w:rsidRPr="00511005">
        <w:rPr>
          <w:rFonts w:ascii="Arial" w:eastAsia="Calibri" w:hAnsi="Arial" w:cs="Arial"/>
          <w:szCs w:val="28"/>
        </w:rPr>
        <w:t>=</w:t>
      </w:r>
      <w:r w:rsidRPr="00511005">
        <w:rPr>
          <w:rFonts w:ascii="Arial" w:eastAsia="Calibri" w:hAnsi="Arial" w:cs="Arial"/>
          <w:szCs w:val="28"/>
          <w:lang w:val="en-US"/>
        </w:rPr>
        <w:t>jl</w:t>
      </w:r>
      <w:r w:rsidRPr="00511005">
        <w:rPr>
          <w:rFonts w:ascii="Arial" w:eastAsia="Calibri" w:hAnsi="Arial" w:cs="Arial"/>
          <w:szCs w:val="28"/>
        </w:rPr>
        <w:t>03</w:t>
      </w:r>
      <w:r w:rsidRPr="00511005">
        <w:rPr>
          <w:rFonts w:ascii="Arial" w:eastAsia="Calibri" w:hAnsi="Arial" w:cs="Arial"/>
          <w:szCs w:val="28"/>
          <w:lang w:val="uk-UA"/>
        </w:rPr>
        <w:t>.</w:t>
      </w:r>
    </w:p>
    <w:p w14:paraId="7C52126C" w14:textId="77777777" w:rsidR="00532C25" w:rsidRPr="00511005" w:rsidRDefault="00532C25" w:rsidP="00532C25">
      <w:pPr>
        <w:tabs>
          <w:tab w:val="left" w:pos="1276"/>
          <w:tab w:val="left" w:pos="2540"/>
        </w:tabs>
        <w:spacing w:line="264" w:lineRule="auto"/>
        <w:ind w:firstLine="0"/>
        <w:rPr>
          <w:rFonts w:ascii="Arial" w:eastAsia="Times New Roman" w:hAnsi="Arial" w:cs="Arial"/>
          <w:b/>
          <w:bCs/>
          <w:iCs/>
          <w:szCs w:val="28"/>
          <w:lang w:val="ru" w:eastAsia="ru-RU"/>
        </w:rPr>
      </w:pPr>
    </w:p>
    <w:p w14:paraId="7399AC06" w14:textId="77777777" w:rsidR="00532C25" w:rsidRPr="00511005" w:rsidRDefault="00532C25" w:rsidP="00532C25">
      <w:pPr>
        <w:tabs>
          <w:tab w:val="left" w:pos="1276"/>
          <w:tab w:val="left" w:pos="2540"/>
        </w:tabs>
        <w:spacing w:line="264" w:lineRule="auto"/>
        <w:ind w:firstLine="0"/>
        <w:rPr>
          <w:rFonts w:ascii="Arial" w:eastAsia="Times New Roman" w:hAnsi="Arial" w:cs="Arial"/>
          <w:iCs/>
          <w:szCs w:val="28"/>
          <w:lang w:val="uk-UA" w:eastAsia="ru-RU"/>
        </w:rPr>
      </w:pPr>
      <w:r w:rsidRPr="00511005">
        <w:rPr>
          <w:rFonts w:ascii="Arial" w:eastAsia="Times New Roman" w:hAnsi="Arial" w:cs="Arial"/>
          <w:b/>
          <w:bCs/>
          <w:i/>
          <w:iCs/>
          <w:szCs w:val="28"/>
          <w:lang w:val="uk-UA" w:eastAsia="ru-RU"/>
        </w:rPr>
        <w:t xml:space="preserve">Ключові слова: </w:t>
      </w:r>
      <w:r w:rsidRPr="00511005">
        <w:rPr>
          <w:rFonts w:ascii="Arial" w:eastAsia="Times New Roman" w:hAnsi="Arial" w:cs="Arial"/>
          <w:iCs/>
          <w:szCs w:val="28"/>
          <w:lang w:val="uk-UA" w:eastAsia="ru-RU"/>
        </w:rPr>
        <w:t>міжнародний розшук, кримінальне провадження, спеціальне досудове розслідування, заочне провадження, правове регулювання, Інтерпол, екстрадиція, правова визначеність, процесуальні гарантії, міжнародне співробітництво.</w:t>
      </w:r>
    </w:p>
    <w:p w14:paraId="69694682" w14:textId="77777777" w:rsidR="00532C25" w:rsidRPr="00511005" w:rsidRDefault="00532C25" w:rsidP="00532C25">
      <w:pPr>
        <w:tabs>
          <w:tab w:val="left" w:pos="1276"/>
          <w:tab w:val="left" w:pos="2540"/>
        </w:tabs>
        <w:spacing w:line="264" w:lineRule="auto"/>
        <w:ind w:firstLine="0"/>
        <w:rPr>
          <w:rFonts w:ascii="Arial" w:eastAsia="Arial" w:hAnsi="Arial" w:cs="Arial"/>
          <w:szCs w:val="28"/>
          <w:lang w:val="en-US" w:eastAsia="ru-RU"/>
        </w:rPr>
      </w:pPr>
      <w:r w:rsidRPr="00511005">
        <w:rPr>
          <w:rFonts w:ascii="Arial" w:eastAsia="Times New Roman" w:hAnsi="Arial" w:cs="Arial"/>
          <w:b/>
          <w:bCs/>
          <w:i/>
          <w:iCs/>
          <w:szCs w:val="28"/>
          <w:lang w:val="en-US" w:eastAsia="ru-RU"/>
        </w:rPr>
        <w:t xml:space="preserve">Key words: </w:t>
      </w:r>
      <w:r w:rsidRPr="00511005">
        <w:rPr>
          <w:rFonts w:ascii="Arial" w:eastAsia="Arial" w:hAnsi="Arial" w:cs="Arial"/>
          <w:szCs w:val="28"/>
          <w:lang w:val="en-US" w:eastAsia="ru-RU"/>
        </w:rPr>
        <w:t>international search, criminal proceedings, special pre-trial investigation, trial in absentia, legal regulation, Interpol, extradition, legal certainty, procedural guarantees, international cooperation.</w:t>
      </w:r>
    </w:p>
    <w:p w14:paraId="06C2CB76" w14:textId="77777777" w:rsidR="00532C25" w:rsidRPr="00511005" w:rsidRDefault="00532C25" w:rsidP="00532C25">
      <w:pPr>
        <w:tabs>
          <w:tab w:val="left" w:pos="1276"/>
          <w:tab w:val="left" w:pos="2540"/>
        </w:tabs>
        <w:spacing w:line="264" w:lineRule="auto"/>
        <w:ind w:firstLine="0"/>
        <w:rPr>
          <w:rFonts w:ascii="Arial" w:eastAsia="Times New Roman" w:hAnsi="Arial" w:cs="Arial"/>
          <w:i/>
          <w:szCs w:val="28"/>
          <w:lang w:val="uk-UA" w:eastAsia="ru-RU"/>
        </w:rPr>
      </w:pPr>
      <w:r w:rsidRPr="00511005">
        <w:rPr>
          <w:rFonts w:ascii="Arial" w:eastAsia="Times New Roman" w:hAnsi="Arial" w:cs="Arial"/>
          <w:b/>
          <w:i/>
          <w:szCs w:val="28"/>
          <w:lang w:val="ru" w:eastAsia="ru-RU"/>
        </w:rPr>
        <w:t xml:space="preserve">Науковий керівник: </w:t>
      </w:r>
      <w:r w:rsidRPr="00511005">
        <w:rPr>
          <w:rFonts w:ascii="Arial" w:eastAsia="Times New Roman" w:hAnsi="Arial" w:cs="Arial"/>
          <w:i/>
          <w:szCs w:val="28"/>
          <w:lang w:val="uk-UA" w:eastAsia="ru-RU"/>
        </w:rPr>
        <w:t>к.ю.н., доцент</w:t>
      </w:r>
      <w:r w:rsidRPr="00511005">
        <w:rPr>
          <w:rFonts w:ascii="Arial" w:eastAsia="Times New Roman" w:hAnsi="Arial" w:cs="Arial"/>
          <w:i/>
          <w:szCs w:val="28"/>
          <w:lang w:val="ru" w:eastAsia="ru-RU"/>
        </w:rPr>
        <w:t xml:space="preserve"> Волошина </w:t>
      </w:r>
      <w:r w:rsidRPr="00511005">
        <w:rPr>
          <w:rFonts w:ascii="Arial" w:eastAsia="Times New Roman" w:hAnsi="Arial" w:cs="Arial"/>
          <w:i/>
          <w:szCs w:val="28"/>
          <w:lang w:val="uk-UA" w:eastAsia="ru-RU"/>
        </w:rPr>
        <w:t>В.К.</w:t>
      </w:r>
    </w:p>
    <w:p w14:paraId="7A04265C" w14:textId="77777777" w:rsidR="00532C25" w:rsidRPr="00511005" w:rsidRDefault="00532C25" w:rsidP="00532C25">
      <w:pPr>
        <w:spacing w:line="264" w:lineRule="auto"/>
        <w:ind w:left="360" w:firstLine="360"/>
        <w:rPr>
          <w:rFonts w:ascii="Arial" w:eastAsia="Arial" w:hAnsi="Arial" w:cs="Arial"/>
          <w:szCs w:val="28"/>
          <w:lang w:val="ru" w:eastAsia="ru-RU"/>
        </w:rPr>
      </w:pPr>
    </w:p>
    <w:p w14:paraId="0C4095FB" w14:textId="77777777" w:rsidR="00532C25" w:rsidRPr="00511005" w:rsidRDefault="00532C25" w:rsidP="00532C25">
      <w:pPr>
        <w:spacing w:line="264" w:lineRule="auto"/>
        <w:ind w:firstLine="0"/>
        <w:jc w:val="center"/>
        <w:rPr>
          <w:rFonts w:ascii="Arial" w:hAnsi="Arial" w:cs="Arial"/>
          <w:b/>
          <w:i/>
          <w:iCs/>
          <w:szCs w:val="28"/>
          <w:lang w:val="uk-UA" w:eastAsia="zh-CN"/>
        </w:rPr>
      </w:pPr>
      <w:r w:rsidRPr="00511005">
        <w:rPr>
          <w:rFonts w:ascii="Arial" w:hAnsi="Arial" w:cs="Arial"/>
          <w:b/>
          <w:i/>
          <w:iCs/>
          <w:szCs w:val="28"/>
          <w:lang w:val="uk-UA" w:eastAsia="zh-CN"/>
        </w:rPr>
        <w:t>Матвєйкін Михайло Денисович</w:t>
      </w:r>
    </w:p>
    <w:p w14:paraId="24C669B8"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lastRenderedPageBreak/>
        <w:t>студент 1-го курсу магістратури</w:t>
      </w:r>
    </w:p>
    <w:p w14:paraId="6AD27FC6"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87CB728"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38B467B" w14:textId="77777777" w:rsidR="00532C25" w:rsidRPr="00511005" w:rsidRDefault="00532C25" w:rsidP="00532C25">
      <w:pPr>
        <w:spacing w:line="264" w:lineRule="auto"/>
        <w:ind w:firstLine="0"/>
        <w:rPr>
          <w:rFonts w:ascii="Arial" w:eastAsia="Arial" w:hAnsi="Arial" w:cs="Arial"/>
          <w:szCs w:val="28"/>
          <w:lang w:val="uk-UA" w:eastAsia="ru-RU"/>
        </w:rPr>
      </w:pPr>
    </w:p>
    <w:p w14:paraId="211BCB6E" w14:textId="77777777" w:rsidR="00532C25" w:rsidRPr="00511005" w:rsidRDefault="00532C25" w:rsidP="00532C25">
      <w:pPr>
        <w:spacing w:line="264" w:lineRule="auto"/>
        <w:ind w:firstLine="0"/>
        <w:jc w:val="center"/>
        <w:rPr>
          <w:rFonts w:ascii="Arial" w:eastAsia="Arial" w:hAnsi="Arial" w:cs="Arial"/>
          <w:b/>
          <w:szCs w:val="28"/>
          <w:lang w:val="uk-UA" w:eastAsia="ru-RU"/>
        </w:rPr>
      </w:pPr>
      <w:r w:rsidRPr="00511005">
        <w:rPr>
          <w:rFonts w:ascii="Arial" w:eastAsia="Arial" w:hAnsi="Arial" w:cs="Arial"/>
          <w:b/>
          <w:szCs w:val="28"/>
          <w:lang w:val="uk-UA" w:eastAsia="ru-RU"/>
        </w:rPr>
        <w:t>ПРОБЛЕМНІ АСПЕКТИ ЗАБЕЗПЕЧЕННЯ ЗАКОННОСТІ</w:t>
      </w:r>
    </w:p>
    <w:p w14:paraId="42580045" w14:textId="77777777" w:rsidR="00532C25" w:rsidRPr="00511005" w:rsidRDefault="00532C25" w:rsidP="00532C25">
      <w:pPr>
        <w:spacing w:line="264" w:lineRule="auto"/>
        <w:ind w:firstLine="0"/>
        <w:jc w:val="center"/>
        <w:rPr>
          <w:rFonts w:ascii="Arial" w:eastAsia="Arial" w:hAnsi="Arial" w:cs="Arial"/>
          <w:b/>
          <w:szCs w:val="28"/>
          <w:lang w:val="uk-UA" w:eastAsia="ru-RU"/>
        </w:rPr>
      </w:pPr>
      <w:r w:rsidRPr="00511005">
        <w:rPr>
          <w:rFonts w:ascii="Arial" w:eastAsia="Arial" w:hAnsi="Arial" w:cs="Arial"/>
          <w:b/>
          <w:szCs w:val="28"/>
          <w:lang w:val="uk-UA" w:eastAsia="ru-RU"/>
        </w:rPr>
        <w:t>ПРОВЕДЕННЯ ОБШУКУ</w:t>
      </w:r>
    </w:p>
    <w:p w14:paraId="450F3194"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Запровадження в Україні правового режиму воєнного стану детермінувало істотну трансформацію кримінального процесу, зокрема щодо регламентації обшуку як ключової слідчої (розшукової) дії. В умовах підвищеної безпекової загрози та обмежених ресурсів виникає необхідність поєднання процесуальної гнучкості з гарантіями дотримання прав людини. У КПК України закріплено виняткові процедури, що зміщують баланс владних повноважень, актуалізуючи ризики порушення принципів правової визначеності та судового контролю. Тому критичний аналіз практики їх застосування є необхідним для забезпечення належного рівня законності в умовах надзвичайного правового режиму.</w:t>
      </w:r>
    </w:p>
    <w:p w14:paraId="72EDE4C9"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Встановлення воєнного стану Указом Президента України від 24 лютого 2022 року № 64/2022 зумовило не лише мобілізацію державного механізму, але й ініціювало масштабне оновлення процесуального законодавства з метою забезпечення адаптації до надзвичайних умов.</w:t>
      </w:r>
    </w:p>
    <w:p w14:paraId="2B6EF40C"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Відтак, у КПК України була закріплена низка спеціальних процесуальних положень, які врегульовують порядок провадження окремих дій в умовах дії воєнного стану. Особливий інтерес становлять приписи ст. 615 КПК України, які детермінують інституційні та процедурні особливості здійснення досудового розслідування, у тому числі – проведення обшуків, в умовах наявності загроз життю, здоров’ю, або у випадку недоступності окремих процесуальних суб’єктів.</w:t>
      </w:r>
    </w:p>
    <w:p w14:paraId="5A95421B"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Згідно з ч. 4 ст. 223 КПК України, у період воєнного стану дозволяється здійснювати слідчі (розшукові) дії, зокрема обшуки, у нічний час – тобто в інтервалі з 22:00 до 06:00 – незалежно від наявності невідкладних випадків. Ця новела становить відступ від базового процесуального принципу непорушності приватного життєвого простору у зазначений часовий проміжок. З одного боку, така процесуальна гнучкість обґрунтовується потребами оперативності в боротьбі зі злочинністю в умовах екстремального безпекового середовища; з іншого – створює ризики для дотримання принципу юридичної передбачуваності дій органів досудового розслідування.</w:t>
      </w:r>
    </w:p>
    <w:p w14:paraId="2B15E62B"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Важливою є норма, передбачена ст. 615 КПК України, яка передбачає можливість делегування повноважень слідчого судді керівникові органу прокуратури у разі об’єктивної неможливості здійснення слідчим суддею відповідних функцій. Така модель заміщення судового контролю прокурорським дозволом стосується, зокрема, ухвалення рішень про </w:t>
      </w:r>
      <w:r w:rsidRPr="00511005">
        <w:rPr>
          <w:rFonts w:ascii="Arial" w:eastAsia="Times New Roman" w:hAnsi="Arial" w:cs="Arial"/>
          <w:szCs w:val="28"/>
          <w:lang w:val="uk-UA" w:eastAsia="ru-RU"/>
        </w:rPr>
        <w:lastRenderedPageBreak/>
        <w:t>проведення обшуку, що є суттєвим зміщенням у бік звуження судових гарантій. Це положення порушує класичну модель контрольно-регулятивного балансу між владою обвинувачення та судовим контролем, який є гарантією прав і свобод особи.</w:t>
      </w:r>
    </w:p>
    <w:p w14:paraId="022BC9BB"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розвиток зазначеного, абз. 2 п. 1 ч. 1 ст. 615 КПК України унормовано можливість проведення обшуку без участі понятих, якщо їх залучення пов’язане з реальною загрозою життю чи здоров’ю. Такий підхід має суто винятковий характер і покликаний забезпечити безпеку громадян в умовах збройної агресії, проте він містить потенційний ризик для зниження прозорості та підконтрольності слідчих дій. Законодавець намагається компенсувати це зобов’язанням здійснювати фіксацію ходу та результатів обшуку за допомогою технічних засобів. Проте така фіксація іноді виконується не в реальному часі, а із затримкою у фіксації – що також породжує сумніви в її достовірності.</w:t>
      </w:r>
    </w:p>
    <w:p w14:paraId="64E6B0B2"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Окремої уваги заслуговує положення щодо можливості проведення обшуку без негайного складання відповідного процесуального протоколу, за умови обов’язкового оформлення такого протоколу протягом 72 годин. Це положення, безумовно, спрямоване на забезпечення безперервності процесуального реагування в екстремальних умовах, однак воно може використовуватися як привід для формальних зловживань, якщо відсутні механізми ефективного контролю за дотриманням цього строку.</w:t>
      </w:r>
    </w:p>
    <w:p w14:paraId="01158B7D"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Крім того, слушно зауважують В. А. Цапович та А. Г. Гаркуша на існуючих теоретико-прикладних проблемах, що залишаються неврегульованими у чинному законодавстві. Насамперед йдеться про відсутність чітких і усталених визначень понять «обшук» та «особистий обшук». Це створює підґрунтя для різночитань і суперечливої правозастосовної практики, зокрема у випадках, коли йдеться про обшук транспортного засобу, що іноді ототожнюється з особистим обшуком [2, с. 123]. Аналогічна ситуація виникає щодо строку, протягом якого слідчий має звернутися </w:t>
      </w:r>
      <w:r w:rsidRPr="00511005">
        <w:rPr>
          <w:rFonts w:ascii="Arial" w:eastAsia="Arial" w:hAnsi="Arial" w:cs="Arial"/>
          <w:szCs w:val="28"/>
          <w:lang w:val="ru" w:eastAsia="ru-RU"/>
        </w:rPr>
        <w:t>з метою отримання відповідного дозволу у випадку</w:t>
      </w:r>
      <w:r w:rsidRPr="00511005">
        <w:rPr>
          <w:rFonts w:ascii="Arial" w:eastAsia="Times New Roman" w:hAnsi="Arial" w:cs="Arial"/>
          <w:szCs w:val="28"/>
          <w:lang w:val="uk-UA" w:eastAsia="ru-RU"/>
        </w:rPr>
        <w:t>, коли обшук уже було проведено без відповідної ухвали – чинне законодавство не містить конкретного визначення цього строку, що створює умови для порушення принципу процесуальної визначеності.</w:t>
      </w:r>
    </w:p>
    <w:p w14:paraId="3294F754"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сукупності ці новели законодавства, ухвалені з метою пристосування кримінального процесу до надзвичайних умов, мають амбівалентну природу. З одного боку, вони надають органам досудового розслідування необхідну гнучкість для реалізації завдань кримінального провадження, забезпечення швидкої фіксації доказів та реагування на злочини, які набувають особливої суспільної небезпеки в умовах війни. З іншого боку – вони створюють потенційні ризики звуження правового простору особи, обмеження процесуальних гарантій та формального відступу від принципів верховенства права, змагальності та презумпції невинуватості.</w:t>
      </w:r>
    </w:p>
    <w:p w14:paraId="17E11ED8"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Як справедливо зазначають І. Ф. Літвінова та Д. М. Лобай, законодавчі зміни, що розширюють дискреційні повноваження сторони обвинувачення, повинні бути зваженими, адже за відсутності належних стримувальних механізмів вони можуть призвести до деградації правового процесу [3, с. 178]. Таким чином, ефективність та доцільність вказаних процесуальних новел може бути остаточно верифікована лише в межах правозастосовної практики та подальшого емпіричного аналізу рішень судової влади.</w:t>
      </w:r>
    </w:p>
    <w:p w14:paraId="326914D5"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сучасних умовах дії воєнного стану правозастосовна практика щодо проведення обшуку зазнає трансформацій, що вимагають посиленої уваги до забезпечення законності. Особливої ваги в цьому контексті набувають правові позиції Верховного Суду, які окреслюють як межі допустимого, так і стандарти дотримання процесуальних гарантій. Так, у постанові Об’єднаної палати Касаційного кримінального суду від 07.10.2024 у справі № 466/525/22 сформульовано вичерпний підхід до тлумачення ч. 3 ст. 233 КПК України, згідно з яким проникнення до житла без ухвали можливе лише за умови документально підтвердженої невідкладності, що полягає у реальній загрозі знищення речових доказів. За відсутності обґрунтованих підстав слідчий суддя має відмовити у легалізації обшуку post factum [4].</w:t>
      </w:r>
    </w:p>
    <w:p w14:paraId="0450EEBC"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Інша принципова позиція відображена у постанові ВС від 11.07.2024 у справі № 759/19419/21, де визнано допустимою перерву в обшуку у разі об’єктивних перешкод, навіть попри відсутність прямої норми в КПК, за умови дотримання загальних засад кримінального провадження</w:t>
      </w:r>
      <w:r w:rsidRPr="00511005">
        <w:rPr>
          <w:rFonts w:ascii="Arial" w:eastAsia="Times New Roman" w:hAnsi="Arial" w:cs="Arial"/>
          <w:szCs w:val="28"/>
          <w:lang w:val="ru" w:eastAsia="ru-RU"/>
        </w:rPr>
        <w:t xml:space="preserve"> [5]</w:t>
      </w:r>
      <w:r w:rsidRPr="00511005">
        <w:rPr>
          <w:rFonts w:ascii="Arial" w:eastAsia="Times New Roman" w:hAnsi="Arial" w:cs="Arial"/>
          <w:szCs w:val="28"/>
          <w:lang w:val="uk-UA" w:eastAsia="ru-RU"/>
        </w:rPr>
        <w:t>. Також важливим є висновок ВС від 23.09.2024 у справі № 708/935/22, де зазначено, що пояснення, надані особою під час обшуку, не є доказами, оскільки виходять за межі мети цієї дії й мають фіксуватися у процесуальній формі допиту [6].</w:t>
      </w:r>
    </w:p>
    <w:p w14:paraId="2FE358BC"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Arial" w:hAnsi="Arial" w:cs="Arial"/>
          <w:szCs w:val="28"/>
          <w:lang w:val="uk-UA" w:eastAsia="ru-RU"/>
        </w:rPr>
        <w:t>Судова практика в умовах дії воєнного стану виконує ключову роль у формуванні стабільних процесуальних орієнтирів щодо проведення обшуку. Верховний Суд наголошує на необхідності чіткого дотримання ознак невідкладності при проникненні до житла без ухвали, виключаючи можливість розширеного тлумачення. Водночас, навіть за умов надзвичайного правового режиму, суди послідовно забезпечують пріоритет прав людини, процесуального балансу та законності. Таким чином, правозастосовна практика виконує функцію нормативного стабілізатора, компенсуючи ризики дискреції та сприяючи збереженню верховенства права.</w:t>
      </w:r>
    </w:p>
    <w:p w14:paraId="3FCFE97E" w14:textId="77777777" w:rsidR="00532C25" w:rsidRPr="00511005" w:rsidRDefault="00532C25" w:rsidP="00532C25">
      <w:pPr>
        <w:spacing w:line="264" w:lineRule="auto"/>
        <w:rPr>
          <w:rFonts w:ascii="Arial" w:eastAsia="Times New Roman" w:hAnsi="Arial" w:cs="Arial"/>
          <w:szCs w:val="28"/>
          <w:lang w:val="uk-UA" w:eastAsia="ru-RU"/>
        </w:rPr>
      </w:pPr>
    </w:p>
    <w:p w14:paraId="263D6A05" w14:textId="77777777" w:rsidR="00532C25" w:rsidRPr="00511005" w:rsidRDefault="00532C25" w:rsidP="00532C25">
      <w:pPr>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1D18F884" w14:textId="77777777" w:rsidR="00532C25" w:rsidRPr="00511005" w:rsidRDefault="00532C25" w:rsidP="003F6A5D">
      <w:pPr>
        <w:numPr>
          <w:ilvl w:val="0"/>
          <w:numId w:val="596"/>
        </w:numPr>
        <w:tabs>
          <w:tab w:val="left" w:pos="1418"/>
        </w:tabs>
        <w:spacing w:line="264" w:lineRule="auto"/>
        <w:ind w:left="0" w:firstLine="709"/>
        <w:contextualSpacing/>
        <w:jc w:val="left"/>
        <w:rPr>
          <w:rFonts w:ascii="Arial" w:eastAsia="Calibri" w:hAnsi="Arial" w:cs="Arial"/>
          <w:szCs w:val="28"/>
        </w:rPr>
      </w:pPr>
      <w:bookmarkStart w:id="275" w:name="Процесуальний"/>
      <w:r w:rsidRPr="00511005">
        <w:rPr>
          <w:rFonts w:ascii="Arial" w:eastAsia="Calibri" w:hAnsi="Arial" w:cs="Arial"/>
          <w:szCs w:val="28"/>
        </w:rPr>
        <w:t xml:space="preserve">Кримінальний </w:t>
      </w:r>
      <w:bookmarkEnd w:id="275"/>
      <w:r w:rsidRPr="00511005">
        <w:rPr>
          <w:rFonts w:ascii="Arial" w:eastAsia="Calibri" w:hAnsi="Arial" w:cs="Arial"/>
          <w:szCs w:val="28"/>
        </w:rPr>
        <w:t>процесуальний кодекс України від 13.04.2012 № 4651-VI. URL: https://zakon.rada.gov.ua/laws/show/4651-17#Text</w:t>
      </w:r>
      <w:r w:rsidRPr="00511005">
        <w:rPr>
          <w:rFonts w:ascii="Arial" w:eastAsia="Calibri" w:hAnsi="Arial" w:cs="Arial"/>
          <w:szCs w:val="28"/>
          <w:lang w:val="uk-UA"/>
        </w:rPr>
        <w:t>.</w:t>
      </w:r>
      <w:r w:rsidRPr="00511005">
        <w:rPr>
          <w:rFonts w:ascii="Arial" w:eastAsia="Calibri" w:hAnsi="Arial" w:cs="Arial"/>
          <w:szCs w:val="28"/>
        </w:rPr>
        <w:t xml:space="preserve"> </w:t>
      </w:r>
    </w:p>
    <w:p w14:paraId="6202AA5B" w14:textId="77777777" w:rsidR="00532C25" w:rsidRPr="00511005" w:rsidRDefault="00532C25" w:rsidP="003F6A5D">
      <w:pPr>
        <w:numPr>
          <w:ilvl w:val="0"/>
          <w:numId w:val="596"/>
        </w:numPr>
        <w:shd w:val="clear" w:color="auto" w:fill="FFFFFF"/>
        <w:spacing w:line="264" w:lineRule="auto"/>
        <w:ind w:left="0" w:firstLine="709"/>
        <w:contextualSpacing/>
        <w:jc w:val="left"/>
        <w:rPr>
          <w:rFonts w:ascii="Arial" w:eastAsia="Times New Roman" w:hAnsi="Arial" w:cs="Arial"/>
          <w:szCs w:val="28"/>
          <w:lang w:eastAsia="ru-RU"/>
        </w:rPr>
      </w:pPr>
      <w:r w:rsidRPr="00511005">
        <w:rPr>
          <w:rFonts w:ascii="Arial" w:eastAsia="Calibri" w:hAnsi="Arial" w:cs="Arial"/>
          <w:szCs w:val="28"/>
        </w:rPr>
        <w:lastRenderedPageBreak/>
        <w:t xml:space="preserve">Цапович В. А., Гаркуша А. Г. </w:t>
      </w:r>
      <w:r w:rsidRPr="00511005">
        <w:rPr>
          <w:rFonts w:ascii="Arial" w:eastAsia="Times New Roman" w:hAnsi="Arial" w:cs="Arial"/>
          <w:szCs w:val="28"/>
          <w:lang w:eastAsia="ru-RU"/>
        </w:rPr>
        <w:t xml:space="preserve">Процесуальні особливості проведення обшуку в умовах воєнного стану. </w:t>
      </w:r>
      <w:r w:rsidRPr="00511005">
        <w:rPr>
          <w:rFonts w:ascii="Arial" w:eastAsia="Calibri" w:hAnsi="Arial" w:cs="Arial"/>
          <w:i/>
          <w:iCs/>
          <w:szCs w:val="28"/>
          <w:shd w:val="clear" w:color="auto" w:fill="FFFFFF"/>
        </w:rPr>
        <w:t xml:space="preserve">Дніпровський науковий часопис публічного управління, психології, права. </w:t>
      </w:r>
      <w:r w:rsidRPr="00511005">
        <w:rPr>
          <w:rFonts w:ascii="Arial" w:eastAsia="Calibri" w:hAnsi="Arial" w:cs="Arial"/>
          <w:szCs w:val="28"/>
          <w:shd w:val="clear" w:color="auto" w:fill="FFFFFF"/>
        </w:rPr>
        <w:t xml:space="preserve">2024. Вип. 2. С. 121-126. </w:t>
      </w:r>
      <w:r w:rsidRPr="00511005">
        <w:rPr>
          <w:rFonts w:ascii="Arial" w:eastAsia="Calibri" w:hAnsi="Arial" w:cs="Arial"/>
          <w:szCs w:val="28"/>
          <w:shd w:val="clear" w:color="auto" w:fill="FFFFFF"/>
          <w:lang w:val="en-GB"/>
        </w:rPr>
        <w:t>URL</w:t>
      </w:r>
      <w:r w:rsidRPr="00511005">
        <w:rPr>
          <w:rFonts w:ascii="Arial" w:eastAsia="Calibri" w:hAnsi="Arial" w:cs="Arial"/>
          <w:szCs w:val="28"/>
          <w:shd w:val="clear" w:color="auto" w:fill="FFFFFF"/>
        </w:rPr>
        <w:t xml:space="preserve">: </w:t>
      </w:r>
      <w:hyperlink r:id="rId2238" w:history="1">
        <w:r w:rsidRPr="00511005">
          <w:rPr>
            <w:rFonts w:ascii="Arial" w:eastAsia="Calibri" w:hAnsi="Arial" w:cs="Arial"/>
            <w:szCs w:val="28"/>
            <w:shd w:val="clear" w:color="auto" w:fill="FFFFFF"/>
            <w:lang w:val="en-US"/>
          </w:rPr>
          <w:t>https</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chasopys</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ppp</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dp</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ua</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index</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php</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chasopys</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article</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en-US"/>
          </w:rPr>
          <w:t>view</w:t>
        </w:r>
        <w:r w:rsidRPr="00511005">
          <w:rPr>
            <w:rFonts w:ascii="Arial" w:eastAsia="Calibri" w:hAnsi="Arial" w:cs="Arial"/>
            <w:szCs w:val="28"/>
            <w:shd w:val="clear" w:color="auto" w:fill="FFFFFF"/>
          </w:rPr>
          <w:t>/602/550</w:t>
        </w:r>
      </w:hyperlink>
      <w:r w:rsidRPr="00511005">
        <w:rPr>
          <w:rFonts w:ascii="Arial" w:eastAsia="Calibri" w:hAnsi="Arial" w:cs="Arial"/>
          <w:szCs w:val="28"/>
          <w:shd w:val="clear" w:color="auto" w:fill="FFFFFF"/>
        </w:rPr>
        <w:t xml:space="preserve">. </w:t>
      </w:r>
    </w:p>
    <w:p w14:paraId="1B4E4D10" w14:textId="77777777" w:rsidR="00532C25" w:rsidRPr="00511005" w:rsidRDefault="00532C25" w:rsidP="003F6A5D">
      <w:pPr>
        <w:numPr>
          <w:ilvl w:val="0"/>
          <w:numId w:val="596"/>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Літвінова І.</w:t>
      </w:r>
      <w:r w:rsidRPr="00511005">
        <w:rPr>
          <w:rFonts w:ascii="Arial" w:eastAsia="Calibri" w:hAnsi="Arial" w:cs="Arial"/>
          <w:szCs w:val="28"/>
          <w:lang w:val="en-GB"/>
        </w:rPr>
        <w:t> </w:t>
      </w:r>
      <w:r w:rsidRPr="00511005">
        <w:rPr>
          <w:rFonts w:ascii="Arial" w:eastAsia="Calibri" w:hAnsi="Arial" w:cs="Arial"/>
          <w:szCs w:val="28"/>
        </w:rPr>
        <w:t>Ф., Лобай Д.</w:t>
      </w:r>
      <w:r w:rsidRPr="00511005">
        <w:rPr>
          <w:rFonts w:ascii="Arial" w:eastAsia="Calibri" w:hAnsi="Arial" w:cs="Arial"/>
          <w:szCs w:val="28"/>
          <w:lang w:val="en-GB"/>
        </w:rPr>
        <w:t> </w:t>
      </w:r>
      <w:r w:rsidRPr="00511005">
        <w:rPr>
          <w:rFonts w:ascii="Arial" w:eastAsia="Calibri" w:hAnsi="Arial" w:cs="Arial"/>
          <w:szCs w:val="28"/>
        </w:rPr>
        <w:t xml:space="preserve">М. Особливості провадження обшуку або огляду житла чи іншого володіння особи в умовах воєнного стану в Україні. </w:t>
      </w:r>
      <w:r w:rsidRPr="00511005">
        <w:rPr>
          <w:rFonts w:ascii="Arial" w:eastAsia="Calibri" w:hAnsi="Arial" w:cs="Arial"/>
          <w:i/>
          <w:szCs w:val="28"/>
        </w:rPr>
        <w:t>Юридичний вісник</w:t>
      </w:r>
      <w:r w:rsidRPr="00511005">
        <w:rPr>
          <w:rFonts w:ascii="Arial" w:eastAsia="Calibri" w:hAnsi="Arial" w:cs="Arial"/>
          <w:szCs w:val="28"/>
        </w:rPr>
        <w:t xml:space="preserve">. 2022. № 4(65). С. 172-178. </w:t>
      </w:r>
      <w:r w:rsidRPr="00511005">
        <w:rPr>
          <w:rFonts w:ascii="Arial" w:eastAsia="Calibri" w:hAnsi="Arial" w:cs="Arial"/>
          <w:szCs w:val="28"/>
          <w:lang w:val="en-GB"/>
        </w:rPr>
        <w:t>URL</w:t>
      </w:r>
      <w:r w:rsidRPr="00511005">
        <w:rPr>
          <w:rFonts w:ascii="Arial" w:eastAsia="Calibri" w:hAnsi="Arial" w:cs="Arial"/>
          <w:szCs w:val="28"/>
        </w:rPr>
        <w:t xml:space="preserve">: </w:t>
      </w:r>
      <w:hyperlink r:id="rId2239" w:history="1">
        <w:r w:rsidRPr="00511005">
          <w:rPr>
            <w:rFonts w:ascii="Arial" w:eastAsia="Calibri" w:hAnsi="Arial" w:cs="Arial"/>
            <w:szCs w:val="28"/>
          </w:rPr>
          <w:t>https://er.nau.edu.ua/handle/NAU/57861</w:t>
        </w:r>
      </w:hyperlink>
      <w:r w:rsidRPr="00511005">
        <w:rPr>
          <w:rFonts w:ascii="Arial" w:eastAsia="Calibri" w:hAnsi="Arial" w:cs="Arial"/>
          <w:szCs w:val="28"/>
          <w:lang w:val="uk-UA"/>
        </w:rPr>
        <w:t>.</w:t>
      </w:r>
      <w:r w:rsidRPr="00511005">
        <w:rPr>
          <w:rFonts w:ascii="Arial" w:eastAsia="Calibri" w:hAnsi="Arial" w:cs="Arial"/>
          <w:szCs w:val="28"/>
        </w:rPr>
        <w:t xml:space="preserve"> </w:t>
      </w:r>
    </w:p>
    <w:p w14:paraId="25EF16C9" w14:textId="77777777" w:rsidR="00532C25" w:rsidRPr="00511005" w:rsidRDefault="00532C25" w:rsidP="003F6A5D">
      <w:pPr>
        <w:numPr>
          <w:ilvl w:val="0"/>
          <w:numId w:val="596"/>
        </w:numPr>
        <w:spacing w:line="264" w:lineRule="auto"/>
        <w:ind w:left="0" w:firstLine="709"/>
        <w:contextualSpacing/>
        <w:jc w:val="left"/>
        <w:rPr>
          <w:rFonts w:ascii="Arial" w:eastAsia="Calibri" w:hAnsi="Arial" w:cs="Arial"/>
          <w:szCs w:val="28"/>
        </w:rPr>
      </w:pPr>
      <w:r w:rsidRPr="00511005">
        <w:rPr>
          <w:rFonts w:ascii="Arial" w:eastAsia="Times New Roman" w:hAnsi="Arial" w:cs="Arial"/>
          <w:szCs w:val="28"/>
          <w:lang w:eastAsia="ru-RU"/>
        </w:rPr>
        <w:t xml:space="preserve">Постанова Об’єднаної палати Касаційного кримінального суду у складі Верховного Суду від 07 жовтня 2024 року у справі № 466/525/22. URL: </w:t>
      </w:r>
      <w:hyperlink r:id="rId2240" w:tgtFrame="_new" w:history="1">
        <w:r w:rsidRPr="00511005">
          <w:rPr>
            <w:rFonts w:ascii="Arial" w:eastAsia="Times New Roman" w:hAnsi="Arial" w:cs="Arial"/>
            <w:szCs w:val="28"/>
            <w:lang w:eastAsia="ru-RU"/>
          </w:rPr>
          <w:t>https://reyestr.court.gov.ua/Review/122272945</w:t>
        </w:r>
      </w:hyperlink>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p>
    <w:p w14:paraId="6049EACB" w14:textId="77777777" w:rsidR="00532C25" w:rsidRPr="00511005" w:rsidRDefault="00532C25" w:rsidP="003F6A5D">
      <w:pPr>
        <w:numPr>
          <w:ilvl w:val="0"/>
          <w:numId w:val="596"/>
        </w:numPr>
        <w:spacing w:line="264" w:lineRule="auto"/>
        <w:ind w:left="0" w:firstLine="709"/>
        <w:contextualSpacing/>
        <w:jc w:val="left"/>
        <w:rPr>
          <w:rFonts w:ascii="Arial" w:eastAsia="Calibri" w:hAnsi="Arial" w:cs="Arial"/>
          <w:szCs w:val="28"/>
        </w:rPr>
      </w:pPr>
      <w:r w:rsidRPr="00511005">
        <w:rPr>
          <w:rFonts w:ascii="Arial" w:eastAsia="Times New Roman" w:hAnsi="Arial" w:cs="Arial"/>
          <w:szCs w:val="28"/>
          <w:lang w:eastAsia="ru-RU"/>
        </w:rPr>
        <w:t xml:space="preserve">Постанова колегії суддів Першої судової палати Касаційного кримінального суду у складі Верховного Суду від 11 липня 2024 року у справі № 759/19419/21. URL: </w:t>
      </w:r>
      <w:hyperlink r:id="rId2241" w:tgtFrame="_new" w:history="1">
        <w:r w:rsidRPr="00511005">
          <w:rPr>
            <w:rFonts w:ascii="Arial" w:eastAsia="Times New Roman" w:hAnsi="Arial" w:cs="Arial"/>
            <w:szCs w:val="28"/>
            <w:lang w:eastAsia="ru-RU"/>
          </w:rPr>
          <w:t>https://reyestr.court.gov.ua/Review/120426056</w:t>
        </w:r>
      </w:hyperlink>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p>
    <w:p w14:paraId="0EC15C6B" w14:textId="77777777" w:rsidR="00532C25" w:rsidRPr="00511005" w:rsidRDefault="00532C25" w:rsidP="003F6A5D">
      <w:pPr>
        <w:numPr>
          <w:ilvl w:val="0"/>
          <w:numId w:val="596"/>
        </w:numPr>
        <w:spacing w:line="264" w:lineRule="auto"/>
        <w:ind w:left="0" w:firstLine="709"/>
        <w:contextualSpacing/>
        <w:jc w:val="left"/>
        <w:rPr>
          <w:rFonts w:ascii="Arial" w:eastAsia="Calibri" w:hAnsi="Arial" w:cs="Arial"/>
          <w:b/>
          <w:szCs w:val="28"/>
        </w:rPr>
      </w:pPr>
      <w:r w:rsidRPr="00511005">
        <w:rPr>
          <w:rFonts w:ascii="Arial" w:eastAsia="Times New Roman" w:hAnsi="Arial" w:cs="Arial"/>
          <w:szCs w:val="28"/>
          <w:lang w:eastAsia="ru-RU"/>
        </w:rPr>
        <w:t xml:space="preserve">Постанова колегії суддів Третьої судової палати Касаційного кримінального суду у складі Верховного Суду від 23 вересня 2024 року у справі № 708/935/22. URL: </w:t>
      </w:r>
      <w:hyperlink r:id="rId2242" w:tgtFrame="_new" w:history="1">
        <w:r w:rsidRPr="00511005">
          <w:rPr>
            <w:rFonts w:ascii="Arial" w:eastAsia="Times New Roman" w:hAnsi="Arial" w:cs="Arial"/>
            <w:szCs w:val="28"/>
            <w:lang w:eastAsia="ru-RU"/>
          </w:rPr>
          <w:t>https://reyestr.court.gov.ua/Review/122000087</w:t>
        </w:r>
      </w:hyperlink>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p>
    <w:p w14:paraId="2B033337" w14:textId="77777777" w:rsidR="00532C25" w:rsidRPr="00511005" w:rsidRDefault="00532C25" w:rsidP="00532C25">
      <w:pPr>
        <w:spacing w:line="264" w:lineRule="auto"/>
        <w:ind w:left="709" w:firstLine="0"/>
        <w:contextualSpacing/>
        <w:rPr>
          <w:rFonts w:ascii="Arial" w:eastAsia="Calibri" w:hAnsi="Arial" w:cs="Arial"/>
          <w:b/>
          <w:szCs w:val="28"/>
        </w:rPr>
      </w:pPr>
    </w:p>
    <w:p w14:paraId="34D07D41"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b/>
          <w:i/>
          <w:szCs w:val="28"/>
          <w:lang w:val="uk-UA" w:eastAsia="ru-RU"/>
        </w:rPr>
        <w:t xml:space="preserve">Ключові слова: </w:t>
      </w:r>
      <w:r w:rsidRPr="00511005">
        <w:rPr>
          <w:rFonts w:ascii="Arial" w:eastAsia="Arial" w:hAnsi="Arial" w:cs="Arial"/>
          <w:szCs w:val="28"/>
          <w:lang w:val="uk-UA" w:eastAsia="ru-RU"/>
        </w:rPr>
        <w:t>кримінальне провадження, слідчі (розшукові) дії, обшук, права людини, воєнний стан, особливості проведення.</w:t>
      </w:r>
    </w:p>
    <w:p w14:paraId="3D61E9E6"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Pr="00511005">
        <w:rPr>
          <w:rFonts w:ascii="Arial" w:eastAsia="Times New Roman" w:hAnsi="Arial" w:cs="Arial"/>
          <w:szCs w:val="28"/>
          <w:lang w:val="uk-UA" w:eastAsia="ru-RU"/>
        </w:rPr>
        <w:t>criminal proceedings, investigative (search) actions, search, human rights, martial law, features of conduct.</w:t>
      </w:r>
    </w:p>
    <w:p w14:paraId="7056FABD" w14:textId="77777777" w:rsidR="00532C25" w:rsidRPr="00B0230F" w:rsidRDefault="00532C25" w:rsidP="00532C25">
      <w:pPr>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Pr="00511005">
        <w:rPr>
          <w:rFonts w:ascii="Arial" w:eastAsia="Times New Roman" w:hAnsi="Arial" w:cs="Arial"/>
          <w:i/>
          <w:iCs/>
          <w:szCs w:val="28"/>
          <w:lang w:val="uk-UA" w:eastAsia="ru-RU"/>
        </w:rPr>
        <w:t xml:space="preserve">к.ю.н., доцент </w:t>
      </w:r>
      <w:r w:rsidRPr="00B0230F">
        <w:rPr>
          <w:rFonts w:ascii="Arial" w:eastAsia="Arial" w:hAnsi="Arial" w:cs="Arial"/>
          <w:i/>
          <w:szCs w:val="28"/>
          <w:shd w:val="clear" w:color="auto" w:fill="FFFFFF"/>
          <w:lang w:val="ru" w:eastAsia="ru-RU"/>
        </w:rPr>
        <w:t xml:space="preserve">Мурзановська </w:t>
      </w:r>
      <w:r w:rsidRPr="00B0230F">
        <w:rPr>
          <w:rFonts w:ascii="Arial" w:eastAsia="Arial" w:hAnsi="Arial" w:cs="Arial"/>
          <w:i/>
          <w:szCs w:val="28"/>
          <w:shd w:val="clear" w:color="auto" w:fill="FFFFFF"/>
          <w:lang w:val="uk-UA" w:eastAsia="ru-RU"/>
        </w:rPr>
        <w:t>А.В.</w:t>
      </w:r>
    </w:p>
    <w:p w14:paraId="53DE0ADD" w14:textId="77777777" w:rsidR="00532C25" w:rsidRPr="00511005" w:rsidRDefault="00532C25" w:rsidP="00532C25">
      <w:pPr>
        <w:spacing w:line="264" w:lineRule="auto"/>
        <w:rPr>
          <w:rFonts w:ascii="Arial" w:eastAsia="Times New Roman" w:hAnsi="Arial" w:cs="Arial"/>
          <w:szCs w:val="28"/>
          <w:lang w:val="uk-UA" w:eastAsia="ru-RU"/>
        </w:rPr>
      </w:pPr>
    </w:p>
    <w:p w14:paraId="085390D6" w14:textId="77777777" w:rsidR="00532C25" w:rsidRPr="00511005" w:rsidRDefault="00532C25" w:rsidP="00532C25">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ru" w:eastAsia="ru-RU"/>
        </w:rPr>
        <w:t>Мережкіна Д</w:t>
      </w:r>
      <w:r w:rsidRPr="00511005">
        <w:rPr>
          <w:rFonts w:ascii="Arial" w:eastAsia="Times New Roman" w:hAnsi="Arial" w:cs="Arial"/>
          <w:b/>
          <w:i/>
          <w:szCs w:val="28"/>
          <w:lang w:val="uk-UA" w:eastAsia="ru-RU"/>
        </w:rPr>
        <w:t>арія Сергіївна</w:t>
      </w:r>
    </w:p>
    <w:p w14:paraId="08E81F56"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4C06E58E"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FA16515"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2DAFB112" w14:textId="77777777" w:rsidR="00532C25" w:rsidRPr="00511005" w:rsidRDefault="00532C25" w:rsidP="00532C25">
      <w:pPr>
        <w:spacing w:line="264" w:lineRule="auto"/>
        <w:ind w:firstLine="0"/>
        <w:jc w:val="center"/>
        <w:rPr>
          <w:rFonts w:ascii="Arial" w:eastAsia="Times New Roman" w:hAnsi="Arial" w:cs="Arial"/>
          <w:szCs w:val="28"/>
          <w:lang w:val="ru" w:eastAsia="ru-RU"/>
        </w:rPr>
      </w:pPr>
    </w:p>
    <w:p w14:paraId="4828BC3B" w14:textId="77777777" w:rsidR="00532C25" w:rsidRPr="00511005" w:rsidRDefault="00532C25" w:rsidP="00532C25">
      <w:pPr>
        <w:spacing w:line="264" w:lineRule="auto"/>
        <w:ind w:firstLine="0"/>
        <w:jc w:val="center"/>
        <w:rPr>
          <w:rFonts w:ascii="Arial" w:eastAsia="Times New Roman" w:hAnsi="Arial" w:cs="Arial"/>
          <w:b/>
          <w:szCs w:val="28"/>
          <w:lang w:val="ru" w:eastAsia="ru-RU"/>
        </w:rPr>
      </w:pPr>
      <w:r w:rsidRPr="00511005">
        <w:rPr>
          <w:rFonts w:ascii="Arial" w:eastAsia="Times New Roman" w:hAnsi="Arial" w:cs="Arial"/>
          <w:b/>
          <w:szCs w:val="28"/>
          <w:lang w:val="ru" w:eastAsia="ru-RU"/>
        </w:rPr>
        <w:t>ПРОБЛЕМИ КРИМІНАЛЬНОГО ПРОЦЕСУ В УМОВАХ ВОЄННОГО СТАНУ</w:t>
      </w:r>
    </w:p>
    <w:p w14:paraId="5DCA0237"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Впровадження воєнного стану в Україні у зв’язку з повномасштабною агресією росії кардинально змінило правову реальність та створило нові виклики для системи кримінального процесу. У таких умовах забезпечення прав і свобод людини, дотримання стандартів правосуддя та ефективне розслідування кримінальних правопорушень стають як ніколи складними та необхідними завданнями.</w:t>
      </w:r>
    </w:p>
    <w:p w14:paraId="29C3EF91"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Загалом Закон України «Про внесення змін до Кримінального процесуального кодексу України щодо вдосконалення порядку здійснення кримінального провадження в умовах воєнного стану» передбачає оновлення низки положень, зокрема:</w:t>
      </w:r>
    </w:p>
    <w:p w14:paraId="5CCA639E"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lastRenderedPageBreak/>
        <w:t>1) порядку внесення інформації до Єдиного реєстру досудових розслідувань (ЄРДР);</w:t>
      </w:r>
    </w:p>
    <w:p w14:paraId="5B5C8B59"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2) особливостей здійснення обшуку чи огляду житла, іншого володіння особи або проведення особистого обшуку;</w:t>
      </w:r>
    </w:p>
    <w:p w14:paraId="085AC534"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 xml:space="preserve">3) регулювання строків виконання процесуальних дій </w:t>
      </w:r>
      <w:proofErr w:type="gramStart"/>
      <w:r w:rsidRPr="00511005">
        <w:rPr>
          <w:rFonts w:ascii="Arial" w:eastAsia="Times New Roman" w:hAnsi="Arial" w:cs="Arial"/>
          <w:szCs w:val="28"/>
          <w:lang w:val="ru" w:eastAsia="ru-RU"/>
        </w:rPr>
        <w:t>у межах</w:t>
      </w:r>
      <w:proofErr w:type="gramEnd"/>
      <w:r w:rsidRPr="00511005">
        <w:rPr>
          <w:rFonts w:ascii="Arial" w:eastAsia="Times New Roman" w:hAnsi="Arial" w:cs="Arial"/>
          <w:szCs w:val="28"/>
          <w:lang w:val="ru" w:eastAsia="ru-RU"/>
        </w:rPr>
        <w:t xml:space="preserve"> кримінального провадження;</w:t>
      </w:r>
    </w:p>
    <w:p w14:paraId="1D4C16A3"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4) проведення допиту підозрюваного з урахуванням специфіки воєнного стану;</w:t>
      </w:r>
    </w:p>
    <w:p w14:paraId="0B0D2E47"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5) залучення захисника до участі в окремих процесуальних діях [1, с. 40].</w:t>
      </w:r>
    </w:p>
    <w:p w14:paraId="13B52313"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Важливо зазначити, що існують певні перешкоди та труднощі, які заважають процесу розслідування у конкретній ситуації в період воєнного стану. Однією з таких проблем є відкладення судових процесів та забезпечення доступу до правосуддя. Так, 2 березня 2022 року Рада суддів України оприлюднила Рекомендації щодо організації роботи судів в умовах воєнного стану [2]. У цьому документі наголошується на необхідності концентрації зусиль судової системи на розгляді справ, які потребують негайного вирішення. Зокрема, рекомендується зосередити увагу на термінових судових провадженнях, таких як питання про продовження строку тримання під вартою, обрання або зміну запобіжного заходу у вигляді тримання під вартою. Це дозволяє забезпечити належний рівень правової захищеності осіб, чиї справи мають особливу процесуальну значущість, та водночас не допустити порушення прав людини в умовах надзвичайної ситуації.</w:t>
      </w:r>
    </w:p>
    <w:p w14:paraId="270F5C1B"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Доцільно зауважити, що у випадках, коли територіальну підслідність кримінальних правопорушень було змінено на стадії досудового розслідування, або коли матеріали кримінального провадження не були передані до уповноважених органів у зв’язку з бойовими діями, чи були передані не в повному обсязі, слідчий суддя зобов’язаний перевірити наявність обставин, які свідчать про те, що ризики, передбачені статтею 177 Кримінального процесуального кодексу України (КПК України), залишаються актуальними або виникли нові підстави для застосування запобіжного заходу у вигляді тримання під вартою. Одним із таких ризиків, що набуває особливого значення в сучасних умовах, є збройна агресія проти України, яка суттєво ускладнює або унеможливлює належне виконання повноважень органами досудового розслідування та судами на тимчасово окупованих або зруйнованих територіях.</w:t>
      </w:r>
    </w:p>
    <w:p w14:paraId="134D473C"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 xml:space="preserve">У зв’язку з цим важливе значення мають позиції органів судової влади щодо особливостей здійснення кримінального провадження в умовах воєнного стану. Зокрема, після оприлюднення Радою суддів України Рекомендацій щодо організації роботи судів в умовах воєнного стану, Верховний Суд 3 березня 2022 року видав лист «Щодо окремих питань </w:t>
      </w:r>
      <w:r w:rsidRPr="00511005">
        <w:rPr>
          <w:rFonts w:ascii="Arial" w:eastAsia="Times New Roman" w:hAnsi="Arial" w:cs="Arial"/>
          <w:szCs w:val="28"/>
          <w:lang w:val="ru" w:eastAsia="ru-RU"/>
        </w:rPr>
        <w:lastRenderedPageBreak/>
        <w:t>здійснення кримінального провадження в умовах воєнного стану», в якому було акцентовано увагу на необхідності забезпечення балансу між дотриманням прав учасників кримінального провадження та потребами національної безпеки. У цьому документі роз’яснюється, що суди можуть адаптувати процесуальні процедури відповідно до актуальної ситуації, дотримуючись принципу законності та пропорційності, а також враховуючи нові ризики, які випливають із ситуації збройного конфлікту [3].</w:t>
      </w:r>
    </w:p>
    <w:p w14:paraId="16B290F5"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Також у вище згаданому листі наголошується, що всі клопотання, які надходять до слідчих суддів, мають розглядатися в межах процесуальних строків, визначених КПК України, однак за можливості – негайно. У випадку, якщо суддя або колегія суддів не можуть розглянути клопотання про обрання чи продовження запобіжного заходу у вигляді тримання під вартою у встановлений строк, таке клопотання може бути передане іншому слідчому судді, якого визначено за допомогою Єдиної судової інформаційно-комунікаційної системи. Якщо справа розглядається колегіально, а головуючий відсутній, його обов’язки виконує інший суддя з тієї ж колегії.</w:t>
      </w:r>
    </w:p>
    <w:p w14:paraId="5B6FB768"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 xml:space="preserve">До того ж в умовах воєнного стану сторона обвинувачення отримує розширені процесуальні повноваження та можливість спрощеного проведення окремих процедур. Зокрема, за відсутності доступу до ЄРДР слідчий або прокурор можуть розпочати досудове розслідування шляхом винесення постанови, яку необхідно внести до реєстру при першій технічній можливості. Докази та процесуальні рішення в цей період збираються згідно із загальними вимогами КПК України з використанням технічних засобів, а в разі їх недоступності – з відповідним обґрунтуванням </w:t>
      </w:r>
      <w:proofErr w:type="gramStart"/>
      <w:r w:rsidRPr="00511005">
        <w:rPr>
          <w:rFonts w:ascii="Arial" w:eastAsia="Times New Roman" w:hAnsi="Arial" w:cs="Arial"/>
          <w:szCs w:val="28"/>
          <w:lang w:val="ru" w:eastAsia="ru-RU"/>
        </w:rPr>
        <w:t>у документах</w:t>
      </w:r>
      <w:proofErr w:type="gramEnd"/>
      <w:r w:rsidRPr="00511005">
        <w:rPr>
          <w:rFonts w:ascii="Arial" w:eastAsia="Times New Roman" w:hAnsi="Arial" w:cs="Arial"/>
          <w:szCs w:val="28"/>
          <w:lang w:val="ru" w:eastAsia="ru-RU"/>
        </w:rPr>
        <w:t>. Процесуальні дії можуть проводитися дистанційно за участю захисника через відео- чи аудіозв’язок. Однак це обмежує право підозрюваного або обвинуваченого на конфіденційне спілкування з адвокатом, порушує адвокатську таємницю та ускладнює контроль за дотриманням прав особи [4, с. 93-94]. У результаті адвокат не має змоги переконатися, що до його підзахисного не застосовувався психологічний чи фізичний тиск, а також не може підтвердити добровільність дій клієнта під час проведення слідчих заходів.</w:t>
      </w:r>
    </w:p>
    <w:p w14:paraId="67DBF7A8"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 xml:space="preserve">Доречно зауважити, що в сучасних умовах кримінальний процес стикається з рядом серйозних проблем, серед яких найпомітнішими є технологічні, міжнародні та кадрово-ресурсні виклики. Стрімкий розвиток цифрових технологій істотно ускладнює розслідування злочинів: зловмисники активно використовують шифрування, анонімні мережі, а також величезні обсяги електронної інформації, які потребують спеціалізованого аналізу та ефективного зберігання [5, с. 84]. До того ж нами проаналізовано, що надзвичайно важливо враховувати наслідки глобалізації злочинності, яка вимагає тісного міжнародного співробітництва, </w:t>
      </w:r>
      <w:r w:rsidRPr="00511005">
        <w:rPr>
          <w:rFonts w:ascii="Arial" w:eastAsia="Times New Roman" w:hAnsi="Arial" w:cs="Arial"/>
          <w:szCs w:val="28"/>
          <w:lang w:val="ru" w:eastAsia="ru-RU"/>
        </w:rPr>
        <w:lastRenderedPageBreak/>
        <w:t>удосконалення обміну інформацією між правоохоронними органами різних держав, модернізації процедур екстрадиції та правової допомоги. Крім того, не можна ігнорувати проблеми кадрового і матеріального забезпечення. Недостатній рівень підготовки спеціалістів, застаріле технічне оснащення та обмежене фінансування судово-медичних і криміналістичних досліджень призводять до затримок у проведенні експертиз і зниження якості висновків. Це, в свою чергу, вимагає системних змін, спрямованих на оновлення ресурсної бази та підвищення кваліфікації фахівців.</w:t>
      </w:r>
    </w:p>
    <w:p w14:paraId="7CB8D0ED"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На нашу думку, задля ефективного запобігання злочинності в сучасних умовах потрібне постійне накопичення наукового й практичного досвіду у сфері криміналістики, судової експертизи та кримінального процесу. Важливими кроками на цьому шляху є вдосконалення професійної підготовки фахівців, зокрема судових експертів, шляхом надання їм сучасних знань і навичок, а також створення науково-практичних центрів експертиз, які сприятимуть обміну досвідом між науковцями, практиками та правоохоронцями й впровадженню новітніх методик у слідчу та експертну діяльність.</w:t>
      </w:r>
    </w:p>
    <w:p w14:paraId="59341FB0"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Отже, проаналізувавши все вище зазначене можна підсумувати, що кримінальний процес у період воєнного стану стикається з численними викликами, які вимагають негайної реакції з боку законодавця, судової влади та органів досудового розслідування. Необхідно забезпечити належний баланс між потребами безпеки держави та дотриманням прав людини, вдосконалити нормативну базу, впроваджувати інноваційні рішення (електронне судочинство, цифрову фіксацію доказів), а також забезпечити ефективний контроль за дотриманням процесуальних стандартів навіть у складних умовах. Лише так можливо зберегти верховенство права та довіру до правосуддя навіть у найтемніші часи.</w:t>
      </w:r>
    </w:p>
    <w:p w14:paraId="3FB08C10" w14:textId="77777777" w:rsidR="00532C25" w:rsidRPr="00511005" w:rsidRDefault="00532C25" w:rsidP="00532C25">
      <w:pPr>
        <w:spacing w:line="264" w:lineRule="auto"/>
        <w:rPr>
          <w:rFonts w:ascii="Arial" w:eastAsia="Times New Roman" w:hAnsi="Arial" w:cs="Arial"/>
          <w:szCs w:val="28"/>
          <w:lang w:val="ru" w:eastAsia="ru-RU"/>
        </w:rPr>
      </w:pPr>
    </w:p>
    <w:p w14:paraId="72FA1594" w14:textId="77777777" w:rsidR="00532C25" w:rsidRPr="00511005" w:rsidRDefault="00532C25" w:rsidP="00532C25">
      <w:pPr>
        <w:spacing w:line="264" w:lineRule="auto"/>
        <w:jc w:val="center"/>
        <w:rPr>
          <w:rFonts w:ascii="Arial" w:eastAsia="Times New Roman" w:hAnsi="Arial" w:cs="Arial"/>
          <w:b/>
          <w:szCs w:val="28"/>
          <w:lang w:val="ru" w:eastAsia="ru-RU"/>
        </w:rPr>
      </w:pPr>
      <w:r w:rsidRPr="00511005">
        <w:rPr>
          <w:rFonts w:ascii="Arial" w:eastAsia="Times New Roman" w:hAnsi="Arial" w:cs="Arial"/>
          <w:b/>
          <w:szCs w:val="28"/>
          <w:lang w:val="uk-UA" w:eastAsia="ru-RU"/>
        </w:rPr>
        <w:t>Список використаних джерел</w:t>
      </w:r>
    </w:p>
    <w:p w14:paraId="7F1AD1D0" w14:textId="77777777" w:rsidR="00532C25" w:rsidRPr="00511005" w:rsidRDefault="00532C25" w:rsidP="00532C25">
      <w:pPr>
        <w:spacing w:line="264" w:lineRule="auto"/>
        <w:rPr>
          <w:rFonts w:ascii="Arial" w:eastAsia="Times New Roman" w:hAnsi="Arial" w:cs="Arial"/>
          <w:szCs w:val="28"/>
          <w:lang w:val="ru" w:eastAsia="ru-RU"/>
        </w:rPr>
      </w:pPr>
      <w:bookmarkStart w:id="276" w:name="_heading=h.1ztx7mxnrohh" w:colFirst="0" w:colLast="0"/>
      <w:bookmarkEnd w:id="276"/>
      <w:r w:rsidRPr="00511005">
        <w:rPr>
          <w:rFonts w:ascii="Arial" w:eastAsia="Times New Roman" w:hAnsi="Arial" w:cs="Arial"/>
          <w:szCs w:val="28"/>
          <w:lang w:val="ru" w:eastAsia="ru-RU"/>
        </w:rPr>
        <w:t xml:space="preserve">1. Санакоєв Д. Особливості здійснення кримінального провадження в умовах воєнного стану. </w:t>
      </w:r>
      <w:r w:rsidRPr="00511005">
        <w:rPr>
          <w:rFonts w:ascii="Arial" w:eastAsia="Times New Roman" w:hAnsi="Arial" w:cs="Arial"/>
          <w:i/>
          <w:szCs w:val="28"/>
          <w:lang w:val="ru" w:eastAsia="ru-RU"/>
        </w:rPr>
        <w:t>Науковий вісник Дніпропетровського державного університету внутрішніх справ.</w:t>
      </w:r>
      <w:r w:rsidRPr="00511005">
        <w:rPr>
          <w:rFonts w:ascii="Arial" w:eastAsia="Times New Roman" w:hAnsi="Arial" w:cs="Arial"/>
          <w:szCs w:val="28"/>
          <w:lang w:val="ru" w:eastAsia="ru-RU"/>
        </w:rPr>
        <w:t xml:space="preserve"> 2022. № 3 (118). С. 39-45. URL: </w:t>
      </w:r>
      <w:hyperlink r:id="rId2243">
        <w:r w:rsidRPr="00511005">
          <w:rPr>
            <w:rFonts w:ascii="Arial" w:eastAsia="Times New Roman" w:hAnsi="Arial" w:cs="Arial"/>
            <w:szCs w:val="28"/>
            <w:lang w:val="ru" w:eastAsia="ru-RU"/>
          </w:rPr>
          <w:t>https://er.dduvs.edu.ua/handle/123456789/10537</w:t>
        </w:r>
      </w:hyperlink>
      <w:r w:rsidRPr="00511005">
        <w:rPr>
          <w:rFonts w:ascii="Arial" w:eastAsia="Times New Roman" w:hAnsi="Arial" w:cs="Arial"/>
          <w:szCs w:val="28"/>
          <w:lang w:val="uk-UA" w:eastAsia="ru-RU"/>
        </w:rPr>
        <w:t>.</w:t>
      </w:r>
      <w:r w:rsidRPr="00511005">
        <w:rPr>
          <w:rFonts w:ascii="Arial" w:eastAsia="Times New Roman" w:hAnsi="Arial" w:cs="Arial"/>
          <w:szCs w:val="28"/>
          <w:lang w:val="ru" w:eastAsia="ru-RU"/>
        </w:rPr>
        <w:t xml:space="preserve"> </w:t>
      </w:r>
    </w:p>
    <w:p w14:paraId="42F00CED"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 xml:space="preserve">2. Рекомендації Ради суддів України щодо роботи судів в умовах воєнного стану від 02.03.2022 р. URL: </w:t>
      </w:r>
      <w:r w:rsidRPr="00511005">
        <w:rPr>
          <w:rFonts w:ascii="Arial" w:eastAsia="Arial" w:hAnsi="Arial" w:cs="Arial"/>
          <w:szCs w:val="28"/>
          <w:lang w:val="ru" w:eastAsia="ru-RU"/>
        </w:rPr>
        <w:t>https://surl.li/lddvkb</w:t>
      </w:r>
      <w:r w:rsidRPr="00511005">
        <w:rPr>
          <w:rFonts w:ascii="Arial" w:eastAsia="Times New Roman" w:hAnsi="Arial" w:cs="Arial"/>
          <w:szCs w:val="28"/>
          <w:lang w:val="ru" w:eastAsia="ru-RU"/>
        </w:rPr>
        <w:t>.</w:t>
      </w:r>
    </w:p>
    <w:p w14:paraId="0E2CBD63" w14:textId="77777777" w:rsidR="00532C25" w:rsidRPr="00511005" w:rsidRDefault="00532C25" w:rsidP="00532C25">
      <w:pPr>
        <w:spacing w:line="264" w:lineRule="auto"/>
        <w:rPr>
          <w:rFonts w:ascii="Arial" w:eastAsia="Times New Roman" w:hAnsi="Arial" w:cs="Arial"/>
          <w:szCs w:val="28"/>
          <w:lang w:val="pl-PL" w:eastAsia="ru-RU"/>
        </w:rPr>
      </w:pPr>
      <w:r w:rsidRPr="00511005">
        <w:rPr>
          <w:rFonts w:ascii="Arial" w:eastAsia="Times New Roman" w:hAnsi="Arial" w:cs="Arial"/>
          <w:szCs w:val="28"/>
          <w:lang w:val="ru" w:eastAsia="ru-RU"/>
        </w:rPr>
        <w:t xml:space="preserve">3. Щодо окремих питань здійснення кримінального провадження в умовах воєнного стану: Лист Верховного суду від 03.03.2022 р. № 1/0/2-22. </w:t>
      </w:r>
      <w:r w:rsidRPr="00511005">
        <w:rPr>
          <w:rFonts w:ascii="Arial" w:eastAsia="Times New Roman" w:hAnsi="Arial" w:cs="Arial"/>
          <w:szCs w:val="28"/>
          <w:lang w:val="pl-PL" w:eastAsia="ru-RU"/>
        </w:rPr>
        <w:t xml:space="preserve">URL: </w:t>
      </w:r>
      <w:hyperlink r:id="rId2244">
        <w:r w:rsidRPr="00511005">
          <w:rPr>
            <w:rFonts w:ascii="Arial" w:eastAsia="Times New Roman" w:hAnsi="Arial" w:cs="Arial"/>
            <w:szCs w:val="28"/>
            <w:lang w:val="pl-PL" w:eastAsia="ru-RU"/>
          </w:rPr>
          <w:t>https://supreme.court.gov.ua/supreme/pro_sud/aktyal_pytan1_kks/2024_10_06_list_vs</w:t>
        </w:r>
      </w:hyperlink>
    </w:p>
    <w:p w14:paraId="656A37E9"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Times New Roman" w:hAnsi="Arial" w:cs="Arial"/>
          <w:szCs w:val="28"/>
          <w:lang w:val="ru" w:eastAsia="ru-RU"/>
        </w:rPr>
        <w:lastRenderedPageBreak/>
        <w:t>4. Новік І. О., Коваль А. А. Особливості кримінального процесу в умовах воєнного стану. </w:t>
      </w:r>
      <w:r w:rsidRPr="00511005">
        <w:rPr>
          <w:rFonts w:ascii="Arial" w:eastAsia="Times New Roman" w:hAnsi="Arial" w:cs="Arial"/>
          <w:i/>
          <w:szCs w:val="28"/>
          <w:lang w:val="ru" w:eastAsia="ru-RU"/>
        </w:rPr>
        <w:t>VІII юридичні Могилянськi читання</w:t>
      </w:r>
      <w:r w:rsidRPr="00511005">
        <w:rPr>
          <w:rFonts w:ascii="Arial" w:eastAsia="Times New Roman" w:hAnsi="Arial" w:cs="Arial"/>
          <w:szCs w:val="28"/>
          <w:lang w:val="ru" w:eastAsia="ru-RU"/>
        </w:rPr>
        <w:t>. 2023. С. 93-95.</w:t>
      </w:r>
      <w:r w:rsidRPr="00511005">
        <w:rPr>
          <w:rFonts w:ascii="Arial" w:eastAsia="Arial" w:hAnsi="Arial" w:cs="Arial"/>
          <w:szCs w:val="28"/>
          <w:lang w:val="ru" w:eastAsia="ru-RU"/>
        </w:rPr>
        <w:t xml:space="preserve"> </w:t>
      </w:r>
      <w:r w:rsidRPr="00511005">
        <w:rPr>
          <w:rFonts w:ascii="Arial" w:eastAsia="Times New Roman" w:hAnsi="Arial" w:cs="Arial"/>
          <w:szCs w:val="28"/>
          <w:lang w:val="ru" w:eastAsia="ru-RU"/>
        </w:rPr>
        <w:t xml:space="preserve">URL: </w:t>
      </w:r>
      <w:hyperlink r:id="rId2245" w:history="1">
        <w:r w:rsidRPr="00511005">
          <w:rPr>
            <w:rFonts w:ascii="Arial" w:eastAsia="Arial" w:hAnsi="Arial" w:cs="Arial"/>
            <w:szCs w:val="28"/>
            <w:lang w:val="ru" w:eastAsia="ru-RU"/>
          </w:rPr>
          <w:t>https://surl.li/xqvvir</w:t>
        </w:r>
      </w:hyperlink>
      <w:r w:rsidRPr="00511005">
        <w:rPr>
          <w:rFonts w:ascii="Arial" w:eastAsia="Arial" w:hAnsi="Arial" w:cs="Arial"/>
          <w:szCs w:val="28"/>
          <w:lang w:val="uk-UA" w:eastAsia="ru-RU"/>
        </w:rPr>
        <w:t>.</w:t>
      </w:r>
    </w:p>
    <w:p w14:paraId="36EFC148"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5. Світличний В. А., Лішневець М. І. Актуальні проблеми криміналістики, судової експертизи та кримінального процесу в умовах сьогодення.</w:t>
      </w:r>
      <w:r w:rsidRPr="00511005">
        <w:rPr>
          <w:rFonts w:ascii="Arial" w:eastAsia="Times New Roman" w:hAnsi="Arial" w:cs="Arial"/>
          <w:i/>
          <w:szCs w:val="28"/>
          <w:lang w:val="ru" w:eastAsia="ru-RU"/>
        </w:rPr>
        <w:t xml:space="preserve"> </w:t>
      </w:r>
      <w:r w:rsidRPr="00511005">
        <w:rPr>
          <w:rFonts w:ascii="Arial" w:eastAsia="Times New Roman" w:hAnsi="Arial" w:cs="Arial"/>
          <w:szCs w:val="28"/>
          <w:lang w:val="ru" w:eastAsia="ru-RU"/>
        </w:rPr>
        <w:t>Збірник матеріалів ІІІ Міжнародної науково-практичної інтернет-конференції з нагоди відзначення Дня науки–2023 в Україні</w:t>
      </w:r>
      <w:r w:rsidRPr="00511005">
        <w:rPr>
          <w:rFonts w:ascii="Arial" w:eastAsia="Times New Roman" w:hAnsi="Arial" w:cs="Arial"/>
          <w:i/>
          <w:szCs w:val="28"/>
          <w:lang w:val="ru" w:eastAsia="ru-RU"/>
        </w:rPr>
        <w:t xml:space="preserve"> «Актуальність та особливості наукових досліджень в умовах воєнного стану» (23 травня 2023 року). Київ: ДНДІ МВС України. 2023. 508 с.</w:t>
      </w:r>
      <w:r w:rsidRPr="00511005">
        <w:rPr>
          <w:rFonts w:ascii="Arial" w:eastAsia="Times New Roman" w:hAnsi="Arial" w:cs="Arial"/>
          <w:szCs w:val="28"/>
          <w:lang w:val="ru" w:eastAsia="ru-RU"/>
        </w:rPr>
        <w:t> 2023. С. 84-85.</w:t>
      </w:r>
      <w:r w:rsidRPr="00511005">
        <w:rPr>
          <w:rFonts w:ascii="Arial" w:eastAsia="Arial" w:hAnsi="Arial" w:cs="Arial"/>
          <w:szCs w:val="28"/>
          <w:lang w:val="ru" w:eastAsia="ru-RU"/>
        </w:rPr>
        <w:t xml:space="preserve"> </w:t>
      </w:r>
      <w:r w:rsidRPr="00511005">
        <w:rPr>
          <w:rFonts w:ascii="Arial" w:eastAsia="Times New Roman" w:hAnsi="Arial" w:cs="Arial"/>
          <w:szCs w:val="28"/>
          <w:lang w:val="en-US" w:eastAsia="ru-RU"/>
        </w:rPr>
        <w:t>URL</w:t>
      </w:r>
      <w:r w:rsidRPr="00511005">
        <w:rPr>
          <w:rFonts w:ascii="Arial" w:eastAsia="Times New Roman" w:hAnsi="Arial" w:cs="Arial"/>
          <w:szCs w:val="28"/>
          <w:lang w:val="ru" w:eastAsia="ru-RU"/>
        </w:rPr>
        <w:t xml:space="preserve">: </w:t>
      </w:r>
      <w:hyperlink r:id="rId2246">
        <w:r w:rsidRPr="00511005">
          <w:rPr>
            <w:rFonts w:ascii="Arial" w:eastAsia="Times New Roman" w:hAnsi="Arial" w:cs="Arial"/>
            <w:szCs w:val="28"/>
            <w:lang w:val="en-US" w:eastAsia="ru-RU"/>
          </w:rPr>
          <w:t>https</w:t>
        </w:r>
        <w:r w:rsidRPr="00511005">
          <w:rPr>
            <w:rFonts w:ascii="Arial" w:eastAsia="Times New Roman" w:hAnsi="Arial" w:cs="Arial"/>
            <w:szCs w:val="28"/>
            <w:lang w:val="ru" w:eastAsia="ru-RU"/>
          </w:rPr>
          <w:t>://</w:t>
        </w:r>
        <w:r w:rsidRPr="00511005">
          <w:rPr>
            <w:rFonts w:ascii="Arial" w:eastAsia="Times New Roman" w:hAnsi="Arial" w:cs="Arial"/>
            <w:szCs w:val="28"/>
            <w:lang w:val="en-US" w:eastAsia="ru-RU"/>
          </w:rPr>
          <w:t>dspace</w:t>
        </w:r>
        <w:r w:rsidRPr="00511005">
          <w:rPr>
            <w:rFonts w:ascii="Arial" w:eastAsia="Times New Roman" w:hAnsi="Arial" w:cs="Arial"/>
            <w:szCs w:val="28"/>
            <w:lang w:val="ru" w:eastAsia="ru-RU"/>
          </w:rPr>
          <w:t>.</w:t>
        </w:r>
        <w:r w:rsidRPr="00511005">
          <w:rPr>
            <w:rFonts w:ascii="Arial" w:eastAsia="Times New Roman" w:hAnsi="Arial" w:cs="Arial"/>
            <w:szCs w:val="28"/>
            <w:lang w:val="en-US" w:eastAsia="ru-RU"/>
          </w:rPr>
          <w:t>univd</w:t>
        </w:r>
        <w:r w:rsidRPr="00511005">
          <w:rPr>
            <w:rFonts w:ascii="Arial" w:eastAsia="Times New Roman" w:hAnsi="Arial" w:cs="Arial"/>
            <w:szCs w:val="28"/>
            <w:lang w:val="ru" w:eastAsia="ru-RU"/>
          </w:rPr>
          <w:t>.</w:t>
        </w:r>
        <w:r w:rsidRPr="00511005">
          <w:rPr>
            <w:rFonts w:ascii="Arial" w:eastAsia="Times New Roman" w:hAnsi="Arial" w:cs="Arial"/>
            <w:szCs w:val="28"/>
            <w:lang w:val="en-US" w:eastAsia="ru-RU"/>
          </w:rPr>
          <w:t>edu</w:t>
        </w:r>
        <w:r w:rsidRPr="00511005">
          <w:rPr>
            <w:rFonts w:ascii="Arial" w:eastAsia="Times New Roman" w:hAnsi="Arial" w:cs="Arial"/>
            <w:szCs w:val="28"/>
            <w:lang w:val="ru" w:eastAsia="ru-RU"/>
          </w:rPr>
          <w:t>.</w:t>
        </w:r>
        <w:r w:rsidRPr="00511005">
          <w:rPr>
            <w:rFonts w:ascii="Arial" w:eastAsia="Times New Roman" w:hAnsi="Arial" w:cs="Arial"/>
            <w:szCs w:val="28"/>
            <w:lang w:val="en-US" w:eastAsia="ru-RU"/>
          </w:rPr>
          <w:t>ua</w:t>
        </w:r>
        <w:r w:rsidRPr="00511005">
          <w:rPr>
            <w:rFonts w:ascii="Arial" w:eastAsia="Times New Roman" w:hAnsi="Arial" w:cs="Arial"/>
            <w:szCs w:val="28"/>
            <w:lang w:val="ru" w:eastAsia="ru-RU"/>
          </w:rPr>
          <w:t>/</w:t>
        </w:r>
        <w:r w:rsidRPr="00511005">
          <w:rPr>
            <w:rFonts w:ascii="Arial" w:eastAsia="Times New Roman" w:hAnsi="Arial" w:cs="Arial"/>
            <w:szCs w:val="28"/>
            <w:lang w:val="en-US" w:eastAsia="ru-RU"/>
          </w:rPr>
          <w:t>server</w:t>
        </w:r>
        <w:r w:rsidRPr="00511005">
          <w:rPr>
            <w:rFonts w:ascii="Arial" w:eastAsia="Times New Roman" w:hAnsi="Arial" w:cs="Arial"/>
            <w:szCs w:val="28"/>
            <w:lang w:val="ru" w:eastAsia="ru-RU"/>
          </w:rPr>
          <w:t>/</w:t>
        </w:r>
        <w:r w:rsidRPr="00511005">
          <w:rPr>
            <w:rFonts w:ascii="Arial" w:eastAsia="Times New Roman" w:hAnsi="Arial" w:cs="Arial"/>
            <w:szCs w:val="28"/>
            <w:lang w:val="en-US" w:eastAsia="ru-RU"/>
          </w:rPr>
          <w:t>api</w:t>
        </w:r>
        <w:r w:rsidRPr="00511005">
          <w:rPr>
            <w:rFonts w:ascii="Arial" w:eastAsia="Times New Roman" w:hAnsi="Arial" w:cs="Arial"/>
            <w:szCs w:val="28"/>
            <w:lang w:val="ru" w:eastAsia="ru-RU"/>
          </w:rPr>
          <w:t>/</w:t>
        </w:r>
        <w:r w:rsidRPr="00511005">
          <w:rPr>
            <w:rFonts w:ascii="Arial" w:eastAsia="Times New Roman" w:hAnsi="Arial" w:cs="Arial"/>
            <w:szCs w:val="28"/>
            <w:lang w:val="en-US" w:eastAsia="ru-RU"/>
          </w:rPr>
          <w:t>core</w:t>
        </w:r>
        <w:r w:rsidRPr="00511005">
          <w:rPr>
            <w:rFonts w:ascii="Arial" w:eastAsia="Times New Roman" w:hAnsi="Arial" w:cs="Arial"/>
            <w:szCs w:val="28"/>
            <w:lang w:val="ru" w:eastAsia="ru-RU"/>
          </w:rPr>
          <w:t>/</w:t>
        </w:r>
        <w:r w:rsidRPr="00511005">
          <w:rPr>
            <w:rFonts w:ascii="Arial" w:eastAsia="Times New Roman" w:hAnsi="Arial" w:cs="Arial"/>
            <w:szCs w:val="28"/>
            <w:lang w:val="en-US" w:eastAsia="ru-RU"/>
          </w:rPr>
          <w:t>bitstreams</w:t>
        </w:r>
        <w:r w:rsidRPr="00511005">
          <w:rPr>
            <w:rFonts w:ascii="Arial" w:eastAsia="Times New Roman" w:hAnsi="Arial" w:cs="Arial"/>
            <w:szCs w:val="28"/>
            <w:lang w:val="ru" w:eastAsia="ru-RU"/>
          </w:rPr>
          <w:t>/07</w:t>
        </w:r>
        <w:r w:rsidRPr="00511005">
          <w:rPr>
            <w:rFonts w:ascii="Arial" w:eastAsia="Times New Roman" w:hAnsi="Arial" w:cs="Arial"/>
            <w:szCs w:val="28"/>
            <w:lang w:val="en-US" w:eastAsia="ru-RU"/>
          </w:rPr>
          <w:t>b</w:t>
        </w:r>
        <w:r w:rsidRPr="00511005">
          <w:rPr>
            <w:rFonts w:ascii="Arial" w:eastAsia="Times New Roman" w:hAnsi="Arial" w:cs="Arial"/>
            <w:szCs w:val="28"/>
            <w:lang w:val="ru" w:eastAsia="ru-RU"/>
          </w:rPr>
          <w:t>475</w:t>
        </w:r>
        <w:r w:rsidRPr="00511005">
          <w:rPr>
            <w:rFonts w:ascii="Arial" w:eastAsia="Times New Roman" w:hAnsi="Arial" w:cs="Arial"/>
            <w:szCs w:val="28"/>
            <w:lang w:val="en-US" w:eastAsia="ru-RU"/>
          </w:rPr>
          <w:t>a</w:t>
        </w:r>
        <w:r w:rsidRPr="00511005">
          <w:rPr>
            <w:rFonts w:ascii="Arial" w:eastAsia="Times New Roman" w:hAnsi="Arial" w:cs="Arial"/>
            <w:szCs w:val="28"/>
            <w:lang w:val="ru" w:eastAsia="ru-RU"/>
          </w:rPr>
          <w:t>8-</w:t>
        </w:r>
        <w:r w:rsidRPr="00511005">
          <w:rPr>
            <w:rFonts w:ascii="Arial" w:eastAsia="Times New Roman" w:hAnsi="Arial" w:cs="Arial"/>
            <w:szCs w:val="28"/>
            <w:lang w:val="en-US" w:eastAsia="ru-RU"/>
          </w:rPr>
          <w:t>ff</w:t>
        </w:r>
        <w:r w:rsidRPr="00511005">
          <w:rPr>
            <w:rFonts w:ascii="Arial" w:eastAsia="Times New Roman" w:hAnsi="Arial" w:cs="Arial"/>
            <w:szCs w:val="28"/>
            <w:lang w:val="ru" w:eastAsia="ru-RU"/>
          </w:rPr>
          <w:t>7</w:t>
        </w:r>
        <w:r w:rsidRPr="00511005">
          <w:rPr>
            <w:rFonts w:ascii="Arial" w:eastAsia="Times New Roman" w:hAnsi="Arial" w:cs="Arial"/>
            <w:szCs w:val="28"/>
            <w:lang w:val="en-US" w:eastAsia="ru-RU"/>
          </w:rPr>
          <w:t>b</w:t>
        </w:r>
        <w:r w:rsidRPr="00511005">
          <w:rPr>
            <w:rFonts w:ascii="Arial" w:eastAsia="Times New Roman" w:hAnsi="Arial" w:cs="Arial"/>
            <w:szCs w:val="28"/>
            <w:lang w:val="ru" w:eastAsia="ru-RU"/>
          </w:rPr>
          <w:t>-4</w:t>
        </w:r>
        <w:r w:rsidRPr="00511005">
          <w:rPr>
            <w:rFonts w:ascii="Arial" w:eastAsia="Times New Roman" w:hAnsi="Arial" w:cs="Arial"/>
            <w:szCs w:val="28"/>
            <w:lang w:val="en-US" w:eastAsia="ru-RU"/>
          </w:rPr>
          <w:t>cf</w:t>
        </w:r>
        <w:r w:rsidRPr="00511005">
          <w:rPr>
            <w:rFonts w:ascii="Arial" w:eastAsia="Times New Roman" w:hAnsi="Arial" w:cs="Arial"/>
            <w:szCs w:val="28"/>
            <w:lang w:val="ru" w:eastAsia="ru-RU"/>
          </w:rPr>
          <w:t>2-9537-</w:t>
        </w:r>
        <w:r w:rsidRPr="00511005">
          <w:rPr>
            <w:rFonts w:ascii="Arial" w:eastAsia="Times New Roman" w:hAnsi="Arial" w:cs="Arial"/>
            <w:szCs w:val="28"/>
            <w:lang w:val="en-US" w:eastAsia="ru-RU"/>
          </w:rPr>
          <w:t>af</w:t>
        </w:r>
        <w:r w:rsidRPr="00511005">
          <w:rPr>
            <w:rFonts w:ascii="Arial" w:eastAsia="Times New Roman" w:hAnsi="Arial" w:cs="Arial"/>
            <w:szCs w:val="28"/>
            <w:lang w:val="ru" w:eastAsia="ru-RU"/>
          </w:rPr>
          <w:t>425</w:t>
        </w:r>
        <w:r w:rsidRPr="00511005">
          <w:rPr>
            <w:rFonts w:ascii="Arial" w:eastAsia="Times New Roman" w:hAnsi="Arial" w:cs="Arial"/>
            <w:szCs w:val="28"/>
            <w:lang w:val="en-US" w:eastAsia="ru-RU"/>
          </w:rPr>
          <w:t>ab</w:t>
        </w:r>
        <w:r w:rsidRPr="00511005">
          <w:rPr>
            <w:rFonts w:ascii="Arial" w:eastAsia="Times New Roman" w:hAnsi="Arial" w:cs="Arial"/>
            <w:szCs w:val="28"/>
            <w:lang w:val="ru" w:eastAsia="ru-RU"/>
          </w:rPr>
          <w:t>0889</w:t>
        </w:r>
        <w:r w:rsidRPr="00511005">
          <w:rPr>
            <w:rFonts w:ascii="Arial" w:eastAsia="Times New Roman" w:hAnsi="Arial" w:cs="Arial"/>
            <w:szCs w:val="28"/>
            <w:lang w:val="en-US" w:eastAsia="ru-RU"/>
          </w:rPr>
          <w:t>c</w:t>
        </w:r>
        <w:r w:rsidRPr="00511005">
          <w:rPr>
            <w:rFonts w:ascii="Arial" w:eastAsia="Times New Roman" w:hAnsi="Arial" w:cs="Arial"/>
            <w:szCs w:val="28"/>
            <w:lang w:val="ru" w:eastAsia="ru-RU"/>
          </w:rPr>
          <w:t>/</w:t>
        </w:r>
        <w:r w:rsidRPr="00511005">
          <w:rPr>
            <w:rFonts w:ascii="Arial" w:eastAsia="Times New Roman" w:hAnsi="Arial" w:cs="Arial"/>
            <w:szCs w:val="28"/>
            <w:lang w:val="en-US" w:eastAsia="ru-RU"/>
          </w:rPr>
          <w:t>content</w:t>
        </w:r>
      </w:hyperlink>
      <w:r w:rsidRPr="00511005">
        <w:rPr>
          <w:rFonts w:ascii="Arial" w:eastAsia="Times New Roman" w:hAnsi="Arial" w:cs="Arial"/>
          <w:szCs w:val="28"/>
          <w:lang w:val="uk-UA" w:eastAsia="ru-RU"/>
        </w:rPr>
        <w:t xml:space="preserve">. </w:t>
      </w:r>
    </w:p>
    <w:p w14:paraId="26D6C69E" w14:textId="77777777" w:rsidR="00532C25" w:rsidRPr="00511005" w:rsidRDefault="00532C25" w:rsidP="00532C25">
      <w:pPr>
        <w:spacing w:line="264" w:lineRule="auto"/>
        <w:rPr>
          <w:rFonts w:ascii="Arial" w:eastAsia="Times New Roman" w:hAnsi="Arial" w:cs="Arial"/>
          <w:szCs w:val="28"/>
          <w:lang w:val="ru" w:eastAsia="ru-RU"/>
        </w:rPr>
      </w:pPr>
    </w:p>
    <w:p w14:paraId="188E5E9D"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b/>
          <w:i/>
          <w:szCs w:val="28"/>
          <w:lang w:val="ru" w:eastAsia="ru-RU"/>
        </w:rPr>
        <w:t xml:space="preserve">Ключові слова: </w:t>
      </w:r>
      <w:r w:rsidRPr="00511005">
        <w:rPr>
          <w:rFonts w:ascii="Arial" w:eastAsia="Times New Roman" w:hAnsi="Arial" w:cs="Arial"/>
          <w:szCs w:val="28"/>
          <w:lang w:val="ru" w:eastAsia="ru-RU"/>
        </w:rPr>
        <w:t>кримінальний процес, судове провадження, суб’єкти кримінального провадження, воєнний стан, судова експертиза, досудове розслідування, захист прав особи</w:t>
      </w:r>
    </w:p>
    <w:p w14:paraId="28D05DE4" w14:textId="77777777" w:rsidR="00532C25" w:rsidRPr="00511005" w:rsidRDefault="00532C25" w:rsidP="00532C25">
      <w:pPr>
        <w:spacing w:line="264" w:lineRule="auto"/>
        <w:rPr>
          <w:rFonts w:ascii="Arial" w:eastAsia="Times New Roman" w:hAnsi="Arial" w:cs="Arial"/>
          <w:szCs w:val="28"/>
          <w:lang w:val="en-US" w:eastAsia="ru-RU"/>
        </w:rPr>
      </w:pPr>
      <w:bookmarkStart w:id="277" w:name="_heading=h.12poa564fank" w:colFirst="0" w:colLast="0"/>
      <w:bookmarkEnd w:id="277"/>
      <w:r w:rsidRPr="00511005">
        <w:rPr>
          <w:rFonts w:ascii="Arial" w:eastAsia="Times New Roman" w:hAnsi="Arial" w:cs="Arial"/>
          <w:b/>
          <w:i/>
          <w:szCs w:val="28"/>
          <w:lang w:val="en-US" w:eastAsia="ru-RU"/>
        </w:rPr>
        <w:t xml:space="preserve">Key words: </w:t>
      </w:r>
      <w:r w:rsidRPr="00511005">
        <w:rPr>
          <w:rFonts w:ascii="Arial" w:eastAsia="Times New Roman" w:hAnsi="Arial" w:cs="Arial"/>
          <w:szCs w:val="28"/>
          <w:lang w:val="en-US" w:eastAsia="ru-RU"/>
        </w:rPr>
        <w:t>criminal procedure, judicial proceedings, subjects of criminal proceedings, martial law, forensic examination, pre-trial investigation, protection of human rights.</w:t>
      </w:r>
    </w:p>
    <w:p w14:paraId="5CAEB7C9" w14:textId="77777777" w:rsidR="00532C25" w:rsidRPr="00511005" w:rsidRDefault="00532C25" w:rsidP="00532C25">
      <w:pPr>
        <w:spacing w:line="264" w:lineRule="auto"/>
        <w:rPr>
          <w:rFonts w:ascii="Arial" w:eastAsia="Times New Roman" w:hAnsi="Arial" w:cs="Arial"/>
          <w:i/>
          <w:szCs w:val="28"/>
          <w:lang w:val="uk-UA" w:eastAsia="ru-RU"/>
        </w:rPr>
      </w:pPr>
      <w:bookmarkStart w:id="278" w:name="_heading=h.31zsh0290wqa" w:colFirst="0" w:colLast="0"/>
      <w:bookmarkStart w:id="279" w:name="_heading=h.mjn7wana3lio" w:colFirst="0" w:colLast="0"/>
      <w:bookmarkEnd w:id="278"/>
      <w:bookmarkEnd w:id="279"/>
      <w:r w:rsidRPr="00511005">
        <w:rPr>
          <w:rFonts w:ascii="Arial" w:eastAsia="Times New Roman" w:hAnsi="Arial" w:cs="Arial"/>
          <w:b/>
          <w:i/>
          <w:szCs w:val="28"/>
          <w:lang w:val="ru" w:eastAsia="ru-RU"/>
        </w:rPr>
        <w:t xml:space="preserve">Науковий керівник: </w:t>
      </w:r>
      <w:r w:rsidRPr="00511005">
        <w:rPr>
          <w:rFonts w:ascii="Arial" w:eastAsia="Times New Roman" w:hAnsi="Arial" w:cs="Arial"/>
          <w:i/>
          <w:szCs w:val="28"/>
          <w:lang w:val="uk-UA" w:eastAsia="ru-RU"/>
        </w:rPr>
        <w:t>к</w:t>
      </w:r>
      <w:r w:rsidRPr="00511005">
        <w:rPr>
          <w:rFonts w:ascii="Arial" w:eastAsia="Times New Roman" w:hAnsi="Arial" w:cs="Arial"/>
          <w:i/>
          <w:szCs w:val="28"/>
          <w:lang w:val="ru" w:eastAsia="ru-RU"/>
        </w:rPr>
        <w:t>.</w:t>
      </w:r>
      <w:r w:rsidRPr="00511005">
        <w:rPr>
          <w:rFonts w:ascii="Arial" w:eastAsia="Times New Roman" w:hAnsi="Arial" w:cs="Arial"/>
          <w:i/>
          <w:szCs w:val="28"/>
          <w:lang w:val="uk-UA" w:eastAsia="ru-RU"/>
        </w:rPr>
        <w:t xml:space="preserve">ю.н., доцент </w:t>
      </w:r>
      <w:r w:rsidRPr="00511005">
        <w:rPr>
          <w:rFonts w:ascii="Arial" w:eastAsia="Times New Roman" w:hAnsi="Arial" w:cs="Arial"/>
          <w:i/>
          <w:szCs w:val="28"/>
          <w:lang w:val="ru" w:eastAsia="ru-RU"/>
        </w:rPr>
        <w:t>Пожар В.Г</w:t>
      </w:r>
      <w:r w:rsidRPr="00511005">
        <w:rPr>
          <w:rFonts w:ascii="Arial" w:eastAsia="Times New Roman" w:hAnsi="Arial" w:cs="Arial"/>
          <w:i/>
          <w:szCs w:val="28"/>
          <w:lang w:val="uk-UA" w:eastAsia="ru-RU"/>
        </w:rPr>
        <w:t>.</w:t>
      </w:r>
    </w:p>
    <w:p w14:paraId="35CD908F" w14:textId="77777777" w:rsidR="00532C25" w:rsidRPr="00511005" w:rsidRDefault="00532C25" w:rsidP="00532C25">
      <w:pPr>
        <w:spacing w:line="264" w:lineRule="auto"/>
        <w:ind w:firstLine="0"/>
        <w:rPr>
          <w:rFonts w:ascii="Arial" w:eastAsia="Times New Roman" w:hAnsi="Arial" w:cs="Arial"/>
          <w:b/>
          <w:i/>
          <w:szCs w:val="28"/>
          <w:lang w:val="ru" w:eastAsia="ru-RU"/>
        </w:rPr>
      </w:pPr>
    </w:p>
    <w:p w14:paraId="2A2F7F10" w14:textId="77777777" w:rsidR="00532C25" w:rsidRPr="00511005" w:rsidRDefault="00532C25" w:rsidP="00532C25">
      <w:pPr>
        <w:spacing w:line="264" w:lineRule="auto"/>
        <w:ind w:firstLine="0"/>
        <w:rPr>
          <w:rFonts w:ascii="Arial" w:eastAsia="Times New Roman" w:hAnsi="Arial" w:cs="Arial"/>
          <w:b/>
          <w:i/>
          <w:szCs w:val="28"/>
          <w:lang w:val="ru" w:eastAsia="ru-RU"/>
        </w:rPr>
      </w:pPr>
    </w:p>
    <w:p w14:paraId="7B2A5CBB" w14:textId="77777777" w:rsidR="00532C25" w:rsidRPr="00511005" w:rsidRDefault="00532C25" w:rsidP="00532C25">
      <w:pPr>
        <w:spacing w:line="264" w:lineRule="auto"/>
        <w:ind w:firstLine="0"/>
        <w:jc w:val="center"/>
        <w:rPr>
          <w:rFonts w:ascii="Arial" w:eastAsia="Arial" w:hAnsi="Arial" w:cs="Arial"/>
          <w:b/>
          <w:bCs/>
          <w:i/>
          <w:iCs/>
          <w:szCs w:val="28"/>
          <w:lang w:val="ru" w:eastAsia="ru-RU"/>
        </w:rPr>
      </w:pPr>
      <w:r w:rsidRPr="00511005">
        <w:rPr>
          <w:rFonts w:ascii="Arial" w:eastAsia="Arial" w:hAnsi="Arial" w:cs="Arial"/>
          <w:b/>
          <w:bCs/>
          <w:i/>
          <w:iCs/>
          <w:szCs w:val="28"/>
          <w:lang w:val="ru" w:eastAsia="ru-RU"/>
        </w:rPr>
        <w:t>Мідяна Вероніка Олександрівна</w:t>
      </w:r>
    </w:p>
    <w:p w14:paraId="23345C8F" w14:textId="77777777" w:rsidR="00532C25" w:rsidRPr="00511005" w:rsidRDefault="00532C25" w:rsidP="00532C25">
      <w:pPr>
        <w:spacing w:line="264" w:lineRule="auto"/>
        <w:ind w:firstLine="0"/>
        <w:jc w:val="center"/>
        <w:rPr>
          <w:rFonts w:ascii="Arial" w:eastAsia="Arial" w:hAnsi="Arial" w:cs="Arial"/>
          <w:szCs w:val="28"/>
          <w:lang w:val="ru" w:eastAsia="ru-RU"/>
        </w:rPr>
      </w:pPr>
      <w:r w:rsidRPr="00511005">
        <w:rPr>
          <w:rFonts w:ascii="Arial" w:eastAsia="Arial" w:hAnsi="Arial" w:cs="Arial"/>
          <w:szCs w:val="28"/>
          <w:lang w:val="uk-UA" w:eastAsia="ru-RU"/>
        </w:rPr>
        <w:t>студентка 4-го курсу факультету адвокатури та антикорупційної діяльності</w:t>
      </w:r>
    </w:p>
    <w:p w14:paraId="2ACF9FB6" w14:textId="77777777" w:rsidR="00532C25" w:rsidRPr="00511005" w:rsidRDefault="00532C25" w:rsidP="00532C25">
      <w:pPr>
        <w:spacing w:line="264" w:lineRule="auto"/>
        <w:ind w:firstLine="0"/>
        <w:jc w:val="center"/>
        <w:rPr>
          <w:rFonts w:ascii="Arial" w:eastAsia="Arial" w:hAnsi="Arial" w:cs="Arial"/>
          <w:szCs w:val="28"/>
          <w:lang w:val="ru" w:eastAsia="ru-RU"/>
        </w:rPr>
      </w:pPr>
      <w:r w:rsidRPr="00511005">
        <w:rPr>
          <w:rFonts w:ascii="Arial" w:eastAsia="Arial" w:hAnsi="Arial" w:cs="Arial"/>
          <w:szCs w:val="28"/>
          <w:lang w:val="ru" w:eastAsia="ru-RU"/>
        </w:rPr>
        <w:t>Національного університету «Одеська юридична академія»</w:t>
      </w:r>
    </w:p>
    <w:p w14:paraId="7A2EC0B6" w14:textId="77777777" w:rsidR="00532C25" w:rsidRPr="00511005" w:rsidRDefault="00532C25" w:rsidP="00532C25">
      <w:pPr>
        <w:spacing w:line="264" w:lineRule="auto"/>
        <w:ind w:firstLine="0"/>
        <w:jc w:val="center"/>
        <w:rPr>
          <w:rFonts w:ascii="Arial" w:eastAsia="Arial" w:hAnsi="Arial" w:cs="Arial"/>
          <w:b/>
          <w:bCs/>
          <w:i/>
          <w:iCs/>
          <w:szCs w:val="28"/>
          <w:lang w:val="ru" w:eastAsia="ru-RU"/>
        </w:rPr>
      </w:pPr>
    </w:p>
    <w:p w14:paraId="6EA3FDC6" w14:textId="77777777" w:rsidR="00532C25" w:rsidRPr="00511005" w:rsidRDefault="00532C25" w:rsidP="00532C25">
      <w:pPr>
        <w:spacing w:line="264" w:lineRule="auto"/>
        <w:ind w:firstLine="0"/>
        <w:jc w:val="center"/>
        <w:rPr>
          <w:rFonts w:ascii="Arial" w:eastAsia="Arial" w:hAnsi="Arial" w:cs="Arial"/>
          <w:b/>
          <w:bCs/>
          <w:i/>
          <w:iCs/>
          <w:szCs w:val="28"/>
          <w:lang w:val="ru" w:eastAsia="ru-RU"/>
        </w:rPr>
      </w:pPr>
      <w:r w:rsidRPr="00511005">
        <w:rPr>
          <w:rFonts w:ascii="Arial" w:eastAsia="Arial" w:hAnsi="Arial" w:cs="Arial"/>
          <w:b/>
          <w:bCs/>
          <w:i/>
          <w:iCs/>
          <w:szCs w:val="28"/>
          <w:lang w:val="ru" w:eastAsia="ru-RU"/>
        </w:rPr>
        <w:t>Лукашевич Аліна Леонідівна</w:t>
      </w:r>
    </w:p>
    <w:p w14:paraId="244B9848" w14:textId="77777777" w:rsidR="00532C25" w:rsidRPr="00511005" w:rsidRDefault="00532C25" w:rsidP="00532C25">
      <w:pPr>
        <w:spacing w:line="264" w:lineRule="auto"/>
        <w:ind w:firstLine="0"/>
        <w:jc w:val="center"/>
        <w:rPr>
          <w:rFonts w:ascii="Arial" w:eastAsia="Arial" w:hAnsi="Arial" w:cs="Arial"/>
          <w:szCs w:val="28"/>
          <w:lang w:val="ru" w:eastAsia="ru-RU"/>
        </w:rPr>
      </w:pPr>
      <w:r w:rsidRPr="00511005">
        <w:rPr>
          <w:rFonts w:ascii="Arial" w:eastAsia="Arial" w:hAnsi="Arial" w:cs="Arial"/>
          <w:szCs w:val="28"/>
          <w:lang w:val="uk-UA" w:eastAsia="ru-RU"/>
        </w:rPr>
        <w:t>студентка 4-го курсу факультету адвокатури та антикорупційної діяльності</w:t>
      </w:r>
    </w:p>
    <w:p w14:paraId="031DC5AC" w14:textId="77777777" w:rsidR="00532C25" w:rsidRPr="00511005" w:rsidRDefault="00532C25" w:rsidP="00532C25">
      <w:pPr>
        <w:spacing w:line="264" w:lineRule="auto"/>
        <w:ind w:firstLine="0"/>
        <w:jc w:val="center"/>
        <w:rPr>
          <w:rFonts w:ascii="Arial" w:eastAsia="Arial" w:hAnsi="Arial" w:cs="Arial"/>
          <w:szCs w:val="28"/>
          <w:lang w:val="ru" w:eastAsia="ru-RU"/>
        </w:rPr>
      </w:pPr>
      <w:r w:rsidRPr="00511005">
        <w:rPr>
          <w:rFonts w:ascii="Arial" w:eastAsia="Arial" w:hAnsi="Arial" w:cs="Arial"/>
          <w:szCs w:val="28"/>
          <w:lang w:val="ru" w:eastAsia="ru-RU"/>
        </w:rPr>
        <w:t>Національного університету «Одеська юридична академія»</w:t>
      </w:r>
    </w:p>
    <w:p w14:paraId="2834FDD9" w14:textId="77777777" w:rsidR="00532C25" w:rsidRPr="00511005" w:rsidRDefault="00532C25" w:rsidP="00532C25">
      <w:pPr>
        <w:spacing w:line="264" w:lineRule="auto"/>
        <w:ind w:firstLine="0"/>
        <w:rPr>
          <w:rFonts w:ascii="Arial" w:eastAsia="Arial" w:hAnsi="Arial" w:cs="Arial"/>
          <w:szCs w:val="28"/>
          <w:lang w:val="ru" w:eastAsia="ru-RU"/>
        </w:rPr>
      </w:pPr>
    </w:p>
    <w:p w14:paraId="13FB47AD" w14:textId="77777777" w:rsidR="00532C25" w:rsidRPr="00511005" w:rsidRDefault="00532C25" w:rsidP="00532C25">
      <w:pPr>
        <w:spacing w:line="264" w:lineRule="auto"/>
        <w:ind w:firstLine="0"/>
        <w:jc w:val="center"/>
        <w:rPr>
          <w:rFonts w:ascii="Arial" w:eastAsia="Arial" w:hAnsi="Arial" w:cs="Arial"/>
          <w:b/>
          <w:bCs/>
          <w:szCs w:val="28"/>
          <w:lang w:val="ru" w:eastAsia="ru-RU"/>
        </w:rPr>
      </w:pPr>
      <w:r w:rsidRPr="00511005">
        <w:rPr>
          <w:rFonts w:ascii="Arial" w:eastAsia="Arial" w:hAnsi="Arial" w:cs="Arial"/>
          <w:b/>
          <w:bCs/>
          <w:szCs w:val="28"/>
          <w:lang w:val="ru" w:eastAsia="ru-RU"/>
        </w:rPr>
        <w:t>ПРАВО НА КОНФРОНТАЦІЮ ЯК ЕЛЕМЕНТ СПРАВЕДЛИВОГО СУДОВОГО РОЗГЛЯДУ: СТАНДАРТИ ЄСПЛ ТА ЗАКОНОДАВСТВО УКРАЇНИ</w:t>
      </w:r>
    </w:p>
    <w:p w14:paraId="29F97A29"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У сучасному демократичному суспільстві ключовим елементом системи захисту прав людини є забезпечення права на справедливий судовий розгляд. Статтею 55 Конституції України встановлено, що «права і свободи людини і громадянина захищаються судом» [2]</w:t>
      </w:r>
    </w:p>
    <w:p w14:paraId="62D04737"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Однією з фундаментальних гарантій справедливості процесу є право на конфронтацію, що передбачає можливість обвинуваченого безпосередньо ставити запитання свідкам обвинувачення та оскаржувати їх показання. Цей елемент є складовою права на захист і відображений у низці міжнародних правових актів, зокрема в ст. 6 Європейської конвенції про захист прав людини і основоположних свобод (далі – КЗПЛ, Конвенція). А </w:t>
      </w:r>
      <w:r w:rsidRPr="00511005">
        <w:rPr>
          <w:rFonts w:ascii="Arial" w:eastAsia="Arial" w:hAnsi="Arial" w:cs="Arial"/>
          <w:szCs w:val="28"/>
          <w:lang w:val="ru" w:eastAsia="ru-RU"/>
        </w:rPr>
        <w:lastRenderedPageBreak/>
        <w:t>саме, відповідно до пп. (d) п. 3 ст. 6 КЗПЛ передбачено «право особи, обвинуваченої в учиненні кримінального правопорушення, допитувати свідків, що свідчать проти неї, або вимагати їх допиту, а також вимагати виклику й допиту свідків з її сторони на тих же умовах, що i свідків, які свідчать проти неї» [1]</w:t>
      </w:r>
    </w:p>
    <w:p w14:paraId="6B48FE64"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Питання реалізації цього права в українському кримінальному процесі набуло особливої актуальності у зв'язку з гармонізацією національного законодавства із стандартами Європейського суду з прав людини (далі – ЄСПЛ).</w:t>
      </w:r>
    </w:p>
    <w:p w14:paraId="6A54345E"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Відповідно до ч. 5 ст. 9 Кримінального процесуального кодексу України (далі – КПК), кримінальне процесуальне законодавство України застосовується з урахуванням практики ЄСПЛ. [3] Згідно зі ст. 17 Закону України «Про виконання рішень та застосування практики Європейського суду з прав людини» суди застосовують під час розгляду справ КЗПЛ та практику ЄСПЛ як джерело права [4]</w:t>
      </w:r>
    </w:p>
    <w:p w14:paraId="3B69E5AC"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Поняття «права на конфронтацію» відповідно до Довідника термінів у практиці ЄСПЛ з питань кримінального судочинства пропонується розглядати через призму двох критеріїв – «якщо на будь-якій стадії процесу обвинуваченому не була надана можливість ставити питання особі, яка давала показання проти нього, то він позбавляється права на справедливий судовий розгляд (Унтерпертінгер проти Австрії, заява 9120/80); засудження особи не може повністю чи вирішальною мірою базуватися на даних, які були повідомлені такою особою, якій сторона захисту не мала змоги поставити питання (Садак та інші проти Туреччини, заява 29900/96)» [7, с. 29]. </w:t>
      </w:r>
    </w:p>
    <w:p w14:paraId="689CC40F"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Тобто, право на конфронтацію полягає у праві обвинуваченого безпосередньо досліджувати докази, представлені проти нього. Це право витікає із загального принципу змагальності судового процесу та права на захист. Його зміст передбачає як безпосередній допит у суді, так і можливість присутності обвинуваченого під час цього допиту.</w:t>
      </w:r>
    </w:p>
    <w:p w14:paraId="611A65B7"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ЄСПЛ неодноразово висловлювався щодо важливості дотримання права на конфронтацію.</w:t>
      </w:r>
    </w:p>
    <w:p w14:paraId="4CBCF765"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Зокрема, у практиці Європейського суду з прав людини вироблено чіткі стандарти щодо цього права. У справі </w:t>
      </w:r>
      <w:r w:rsidRPr="00511005">
        <w:rPr>
          <w:rFonts w:ascii="Arial" w:eastAsia="Arial" w:hAnsi="Arial" w:cs="Arial"/>
          <w:i/>
          <w:iCs/>
          <w:szCs w:val="28"/>
          <w:lang w:val="ru" w:eastAsia="ru-RU"/>
        </w:rPr>
        <w:t>Al-Khawaja and Tahery v. United Kingdom</w:t>
      </w:r>
      <w:r w:rsidRPr="00511005">
        <w:rPr>
          <w:rFonts w:ascii="Arial" w:eastAsia="Arial" w:hAnsi="Arial" w:cs="Arial"/>
          <w:szCs w:val="28"/>
          <w:lang w:val="ru" w:eastAsia="ru-RU"/>
        </w:rPr>
        <w:t xml:space="preserve"> (2011) Суд зазначив, що обвинувальний вирок не може ґрунтуватися виключно або вирішальною мірою на показаннях свідків, яких обвинувачений не мав можливості допитати [5]. У справі </w:t>
      </w:r>
      <w:r w:rsidRPr="00511005">
        <w:rPr>
          <w:rFonts w:ascii="Arial" w:eastAsia="Arial" w:hAnsi="Arial" w:cs="Arial"/>
          <w:i/>
          <w:iCs/>
          <w:szCs w:val="28"/>
          <w:lang w:val="ru" w:eastAsia="ru-RU"/>
        </w:rPr>
        <w:t>Schatschaschwili v. Germany</w:t>
      </w:r>
      <w:r w:rsidRPr="00511005">
        <w:rPr>
          <w:rFonts w:ascii="Arial" w:eastAsia="Arial" w:hAnsi="Arial" w:cs="Arial"/>
          <w:szCs w:val="28"/>
          <w:lang w:val="ru" w:eastAsia="ru-RU"/>
        </w:rPr>
        <w:t xml:space="preserve"> (2015) ЄСПЛ сформулював трискладовий тест щодо допустимості таких свідчень: наявність достатньої підстави для їх недопиту, вичерпність заходів компенсації та загальна справедливість судового процесу [6].</w:t>
      </w:r>
    </w:p>
    <w:p w14:paraId="086BB656"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У законодавстві України право на конфронтацію не сформульоване окремою нормою, проте його елементи вбудовані в низку статей </w:t>
      </w:r>
      <w:r w:rsidRPr="00511005">
        <w:rPr>
          <w:rFonts w:ascii="Arial" w:eastAsia="Arial" w:hAnsi="Arial" w:cs="Arial"/>
          <w:szCs w:val="28"/>
          <w:lang w:val="ru" w:eastAsia="ru-RU"/>
        </w:rPr>
        <w:lastRenderedPageBreak/>
        <w:t xml:space="preserve">Кримінального процесуального кодексу. Відповідно до ст. 22 КПК України кримінальне провадження здійснюється на засадах змагальності сторін, що передбачає рівні процесуальні можливості. Стаття 42 КПК України надає підозрюваному та обвинуваченому право брати участь у проведенні процесуальних дій, ставити запитання іншим учасникам процесу, подавати свої зауваження та заперечення щодо порядку проведення дій. Також ст. 225 КПК передбачає проведення допиту свідків у судовому засіданні під час досудового розслідування з обов’язковою участю сторін, якщо є ризик втрати такої можливості під час основного судового розгляду. Стаття 352 визначає порядок допиту свідка під час судового розгляду. [3] </w:t>
      </w:r>
    </w:p>
    <w:p w14:paraId="273EB026"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Таким чином, хоча право на конфронтацію прямо не назване у КПК, його реалізація забезпечується сукупністю процесуальних норм, які потребують подальшого тлумачення та застосування відповідно до практики ЄСПЛ.</w:t>
      </w:r>
    </w:p>
    <w:p w14:paraId="2AF87068"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І все ж, механізми забезпечення ефективної реалізації цього права залишаються недостатньо дієвими: незважаючи на формальну імплементацію європейських стандартів у кримінальне процесуальне законодавство України, на практиці виникають суттєві труднощі із забезпеченням права на конфронтацію.</w:t>
      </w:r>
    </w:p>
    <w:p w14:paraId="17FD0E04"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Зокрема, Мудрак І. В. вказує, що «неможливість реалізації права потерпілого на процесуальну комунікацію в силу ч. 9 ст. 224 КПК України дещо суперечить положенням ст. 56 КПК України в розрізі прав потерпілого як під час досудового розслідування, так і під час судового провадження. Зокрема, п. 6 ч. 1 ст. 56 КПК України вказує на право потерпілого давати пояснення, показання або відмовитися їх давати; п. 3 ч. 3 ст. 56 КПК України – на право брати участь у безпосередній перевірці доказів. Адже ініціатива проведення одночасного допиту може належати не тільки підозрюваному, обвинуваченому, ай потерпілому, а ч. 9 ст. 224 КПК України заперечує саму можливість реалізації неповнолітнім потерпілим такого права» [10, с. 70].</w:t>
      </w:r>
    </w:p>
    <w:p w14:paraId="620F66D3"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Ще одна проблема полягає у зловживанні ст. 225 КПК України, яка дозволяє проведення "особливого" допиту під час досудового розслідування. Часто така форма допиту використовується без реальної необхідності, з порушенням принципів змагальності сторін. Національні суди нерідко посилаються на статтю 225 КПК однак така практика може порушувати право на конфронтацію, якщо свідок не з’являється </w:t>
      </w:r>
      <w:proofErr w:type="gramStart"/>
      <w:r w:rsidRPr="00511005">
        <w:rPr>
          <w:rFonts w:ascii="Arial" w:eastAsia="Arial" w:hAnsi="Arial" w:cs="Arial"/>
          <w:szCs w:val="28"/>
          <w:lang w:val="ru" w:eastAsia="ru-RU"/>
        </w:rPr>
        <w:t>до суду</w:t>
      </w:r>
      <w:proofErr w:type="gramEnd"/>
      <w:r w:rsidRPr="00511005">
        <w:rPr>
          <w:rFonts w:ascii="Arial" w:eastAsia="Arial" w:hAnsi="Arial" w:cs="Arial"/>
          <w:szCs w:val="28"/>
          <w:lang w:val="ru" w:eastAsia="ru-RU"/>
        </w:rPr>
        <w:t xml:space="preserve"> і його свідчення використовуються без можливості перехресного допиту.</w:t>
      </w:r>
    </w:p>
    <w:p w14:paraId="03E88F69"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З цього приводу, Т. В. Бабчинська зазначає «законодавець передбачив проведення допиту в присутності сторін кримінального провадження, у такий спосіб забезпечивши можливість сторін кримінального провадження поставити питання свідку чи потерпілому. Однак досить часто трапляються випадки, коли на момент проведення допиту </w:t>
      </w:r>
      <w:proofErr w:type="gramStart"/>
      <w:r w:rsidRPr="00511005">
        <w:rPr>
          <w:rFonts w:ascii="Arial" w:eastAsia="Arial" w:hAnsi="Arial" w:cs="Arial"/>
          <w:szCs w:val="28"/>
          <w:lang w:val="ru" w:eastAsia="ru-RU"/>
        </w:rPr>
        <w:t>в порядку</w:t>
      </w:r>
      <w:proofErr w:type="gramEnd"/>
      <w:r w:rsidRPr="00511005">
        <w:rPr>
          <w:rFonts w:ascii="Arial" w:eastAsia="Arial" w:hAnsi="Arial" w:cs="Arial"/>
          <w:szCs w:val="28"/>
          <w:lang w:val="ru" w:eastAsia="ru-RU"/>
        </w:rPr>
        <w:t xml:space="preserve"> ст. 225 КПК жодній особі не повідомили про підозру, тому у допиті буде приймати </w:t>
      </w:r>
      <w:r w:rsidRPr="00511005">
        <w:rPr>
          <w:rFonts w:ascii="Arial" w:eastAsia="Arial" w:hAnsi="Arial" w:cs="Arial"/>
          <w:szCs w:val="28"/>
          <w:lang w:val="ru" w:eastAsia="ru-RU"/>
        </w:rPr>
        <w:lastRenderedPageBreak/>
        <w:t>участь лише сторона обвинувачення. Таким чином, сторона захисту позбавлена передбаченого практикою ЄСПЛ права поставити під сумнів такі показання. При цьому процедура такого допиту повністю відповідає вимогам кримінального процесуального законодавства. Очевидно, що така ситуація не сприяє забезпеченню права на захист під час реалізації права на конфронтацію.» [8, с. 159].</w:t>
      </w:r>
    </w:p>
    <w:p w14:paraId="0BD2720F"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Також можна зазначити ст. 615 КПК, що вступила в силу відповідно до Закону України № 2201-IX від 14.04.2022 року, який запроваджує особливий режим досудового розслідування та судового розгляду в умовах воєнного стану. Частина 11 зазначеної статті визначила допустимість врахування показань свідка, потерпілого, підозрюваного, які були надані ними під час кримінального провадження як доказів в суді, якщо хід і результати такого допиту фіксувалися за допомогою доступних технічних засобів відеофіксації. Але, як зазначає Завтур В. А. «Нормативне закріплення можливості врахування позасудових показань свідка, потерпілого породжує питання щодо дотримання такого елементу права на справедливий суд як право на конфронтацію, що передбачене підпунктом d пункту 3 статті 6 Конвенції». Адже дійсно відеофіксація допиту не замінює особистої присутності обвинуваченого чи його захисника та не гарантує можливості ставити запитання в режимі реального часу, що порушує суть права на конфронтацію. [9, с. 431]</w:t>
      </w:r>
    </w:p>
    <w:p w14:paraId="236E64CB"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Серед інших проблем, що можуть породжувати порушення права на конфронтацію можуть бути: недостатній рівень правосвідомості у слідчих і прокурорів; суперечлива судова практика, яка демонструє неоднорідність підходів до оцінки допустимості показань, отриманих без перехресного допиту, що створює правову невизначеність; відсутність ефективного механізму компенсації - у разі неможливості допиту свідка не завжди вживаються адекватні компенсаторні заходи, передбачені практикою ЄСПЛ (наприклад, використання відеозаписів, попередніх показань у присутності захисту тощо).</w:t>
      </w:r>
    </w:p>
    <w:p w14:paraId="5D1D9430"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Подолання зазначених проблем передбачає комплексний підхід. Необхідне посилення судового контролю за дотриманням стандартів ЄСПЛ при визнанні доказів допустимими, зокрема через уважний аналіз того, чи мала сторона захисту реальну можливість допитати свідків. Важливо також удосконалити практику застосування ст. 225 КПК України, розробивши чіткі критерії для її використання лише у випадках об'єктивної необхідності. Особливу увагу слід приділити підвищенню кваліфікації суддів, слідчих та прокурорів у сфері прав людини та стандартів ЄСПЛ, аби уникнути формального або неправильного застосування процесуальних норм. </w:t>
      </w:r>
    </w:p>
    <w:p w14:paraId="52CAEA7A"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Право на конфронтацію є невід’ємною складовою права на справедливий судовий розгляд. Його ефективна реалізація потребує не лише формального закріплення в законодавстві, але й системної </w:t>
      </w:r>
      <w:r w:rsidRPr="00511005">
        <w:rPr>
          <w:rFonts w:ascii="Arial" w:eastAsia="Arial" w:hAnsi="Arial" w:cs="Arial"/>
          <w:szCs w:val="28"/>
          <w:lang w:val="ru" w:eastAsia="ru-RU"/>
        </w:rPr>
        <w:lastRenderedPageBreak/>
        <w:t>імплементації практики ЄСПЛ у національне правозастосування. Лише за таких умов можна гарантувати обвинуваченому реальну можливість захисту та досягнення справедливого рішення суду.</w:t>
      </w:r>
    </w:p>
    <w:p w14:paraId="4D921985" w14:textId="77777777" w:rsidR="00532C25" w:rsidRPr="00511005" w:rsidRDefault="00532C25" w:rsidP="00532C25">
      <w:pPr>
        <w:spacing w:line="264" w:lineRule="auto"/>
        <w:rPr>
          <w:rFonts w:ascii="Arial" w:eastAsia="Arial" w:hAnsi="Arial" w:cs="Arial"/>
          <w:b/>
          <w:bCs/>
          <w:szCs w:val="28"/>
          <w:lang w:val="ru" w:eastAsia="ru-RU"/>
        </w:rPr>
      </w:pPr>
    </w:p>
    <w:p w14:paraId="78E9DCED" w14:textId="77777777" w:rsidR="00532C25" w:rsidRPr="00511005" w:rsidRDefault="00532C25" w:rsidP="00532C25">
      <w:pPr>
        <w:spacing w:line="264" w:lineRule="auto"/>
        <w:jc w:val="center"/>
        <w:rPr>
          <w:rFonts w:ascii="Arial" w:eastAsia="Arial" w:hAnsi="Arial" w:cs="Arial"/>
          <w:szCs w:val="28"/>
          <w:lang w:val="ru" w:eastAsia="ru-RU"/>
        </w:rPr>
      </w:pPr>
      <w:r w:rsidRPr="00511005">
        <w:rPr>
          <w:rFonts w:ascii="Arial" w:eastAsia="Arial" w:hAnsi="Arial" w:cs="Arial"/>
          <w:b/>
          <w:bCs/>
          <w:szCs w:val="28"/>
          <w:lang w:val="uk-UA" w:eastAsia="ru-RU"/>
        </w:rPr>
        <w:t>Список використаних джерел</w:t>
      </w:r>
    </w:p>
    <w:p w14:paraId="3ECD7997" w14:textId="77777777" w:rsidR="00532C25" w:rsidRPr="00511005" w:rsidRDefault="00532C25" w:rsidP="003F6A5D">
      <w:pPr>
        <w:numPr>
          <w:ilvl w:val="0"/>
          <w:numId w:val="597"/>
        </w:numPr>
        <w:spacing w:line="264" w:lineRule="auto"/>
        <w:ind w:left="0" w:firstLine="709"/>
        <w:jc w:val="left"/>
        <w:rPr>
          <w:rFonts w:ascii="Arial" w:eastAsia="Arial" w:hAnsi="Arial" w:cs="Arial"/>
          <w:szCs w:val="28"/>
          <w:lang w:val="ru" w:eastAsia="ru-RU"/>
        </w:rPr>
      </w:pPr>
      <w:r w:rsidRPr="00511005">
        <w:rPr>
          <w:rFonts w:ascii="Arial" w:eastAsia="Arial" w:hAnsi="Arial" w:cs="Arial"/>
          <w:szCs w:val="28"/>
          <w:lang w:val="ru" w:eastAsia="ru-RU"/>
        </w:rPr>
        <w:t xml:space="preserve">Конвенція про захист прав людини і основоположних свобод: </w:t>
      </w:r>
      <w:proofErr w:type="gramStart"/>
      <w:r w:rsidRPr="00511005">
        <w:rPr>
          <w:rFonts w:ascii="Arial" w:eastAsia="Arial" w:hAnsi="Arial" w:cs="Arial"/>
          <w:szCs w:val="28"/>
          <w:lang w:val="ru" w:eastAsia="ru-RU"/>
        </w:rPr>
        <w:t>Конвенція</w:t>
      </w:r>
      <w:proofErr w:type="gramEnd"/>
      <w:r w:rsidRPr="00511005">
        <w:rPr>
          <w:rFonts w:ascii="Arial" w:eastAsia="Arial" w:hAnsi="Arial" w:cs="Arial"/>
          <w:szCs w:val="28"/>
          <w:lang w:val="ru" w:eastAsia="ru-RU"/>
        </w:rPr>
        <w:t xml:space="preserve"> Ради Європи від 04.11.1950: станом на 1 серп. 2021 р. URL: </w:t>
      </w:r>
      <w:hyperlink r:id="rId2247" w:anchor="Text" w:tgtFrame="_blank" w:history="1">
        <w:r w:rsidRPr="00511005">
          <w:rPr>
            <w:rFonts w:ascii="Arial" w:eastAsia="Arial" w:hAnsi="Arial" w:cs="Arial"/>
            <w:szCs w:val="28"/>
            <w:lang w:val="ru" w:eastAsia="ru-RU"/>
          </w:rPr>
          <w:t>https://zakon.rada.gov.ua/laws/show/995_004#Text</w:t>
        </w:r>
      </w:hyperlink>
      <w:r w:rsidRPr="00511005">
        <w:rPr>
          <w:rFonts w:ascii="Arial" w:eastAsia="Arial" w:hAnsi="Arial" w:cs="Arial"/>
          <w:szCs w:val="28"/>
          <w:lang w:val="ru" w:eastAsia="ru-RU"/>
        </w:rPr>
        <w:t xml:space="preserve">. </w:t>
      </w:r>
    </w:p>
    <w:p w14:paraId="6BBE7BAE" w14:textId="77777777" w:rsidR="00532C25" w:rsidRPr="00511005" w:rsidRDefault="00532C25" w:rsidP="003F6A5D">
      <w:pPr>
        <w:numPr>
          <w:ilvl w:val="0"/>
          <w:numId w:val="597"/>
        </w:numPr>
        <w:spacing w:line="264" w:lineRule="auto"/>
        <w:ind w:left="0" w:firstLine="709"/>
        <w:jc w:val="left"/>
        <w:rPr>
          <w:rFonts w:ascii="Arial" w:eastAsia="Arial" w:hAnsi="Arial" w:cs="Arial"/>
          <w:szCs w:val="28"/>
          <w:lang w:val="ru" w:eastAsia="ru-RU"/>
        </w:rPr>
      </w:pPr>
      <w:r w:rsidRPr="00511005">
        <w:rPr>
          <w:rFonts w:ascii="Arial" w:eastAsia="Arial" w:hAnsi="Arial" w:cs="Arial"/>
          <w:szCs w:val="28"/>
          <w:lang w:val="ru" w:eastAsia="ru-RU"/>
        </w:rPr>
        <w:t>Конституція України: від 28.06.1996 р. № 254к/96-ВР: станом на 1 січ. 2020 р. URL: </w:t>
      </w:r>
      <w:hyperlink r:id="rId2248" w:anchor="Text" w:tgtFrame="_blank" w:history="1">
        <w:r w:rsidRPr="00511005">
          <w:rPr>
            <w:rFonts w:ascii="Arial" w:eastAsia="Arial" w:hAnsi="Arial" w:cs="Arial"/>
            <w:szCs w:val="28"/>
            <w:lang w:val="ru" w:eastAsia="ru-RU"/>
          </w:rPr>
          <w:t>https://zakon.rada.gov.ua/laws/show/254к/96-вр#Text</w:t>
        </w:r>
      </w:hyperlink>
      <w:r w:rsidRPr="00511005">
        <w:rPr>
          <w:rFonts w:ascii="Arial" w:eastAsia="Arial" w:hAnsi="Arial" w:cs="Arial"/>
          <w:szCs w:val="28"/>
          <w:lang w:val="ru" w:eastAsia="ru-RU"/>
        </w:rPr>
        <w:t>.</w:t>
      </w:r>
    </w:p>
    <w:p w14:paraId="059BBCA6" w14:textId="77777777" w:rsidR="00532C25" w:rsidRPr="00511005" w:rsidRDefault="00532C25" w:rsidP="003F6A5D">
      <w:pPr>
        <w:numPr>
          <w:ilvl w:val="0"/>
          <w:numId w:val="597"/>
        </w:numPr>
        <w:spacing w:line="264" w:lineRule="auto"/>
        <w:ind w:left="0" w:firstLine="709"/>
        <w:jc w:val="left"/>
        <w:rPr>
          <w:rFonts w:ascii="Arial" w:eastAsia="Arial" w:hAnsi="Arial" w:cs="Arial"/>
          <w:szCs w:val="28"/>
          <w:lang w:val="ru" w:eastAsia="ru-RU"/>
        </w:rPr>
      </w:pPr>
      <w:r w:rsidRPr="00511005">
        <w:rPr>
          <w:rFonts w:ascii="Arial" w:eastAsia="Arial" w:hAnsi="Arial" w:cs="Arial"/>
          <w:szCs w:val="28"/>
          <w:lang w:val="ru" w:eastAsia="ru-RU"/>
        </w:rPr>
        <w:t>Кримінальний процесуальний кодекс України: Кодекс України від 13.04.2012 р. № 4651-VI: станом на 16 берез. 2024 р. URL: </w:t>
      </w:r>
      <w:hyperlink r:id="rId2249" w:anchor="Text" w:tgtFrame="_blank" w:history="1">
        <w:r w:rsidRPr="00511005">
          <w:rPr>
            <w:rFonts w:ascii="Arial" w:eastAsia="Arial" w:hAnsi="Arial" w:cs="Arial"/>
            <w:szCs w:val="28"/>
            <w:lang w:val="ru" w:eastAsia="ru-RU"/>
          </w:rPr>
          <w:t>https://zakon.rada.gov.ua/laws/show/4651-17#Text</w:t>
        </w:r>
      </w:hyperlink>
      <w:r w:rsidRPr="00511005">
        <w:rPr>
          <w:rFonts w:ascii="Arial" w:eastAsia="Arial" w:hAnsi="Arial" w:cs="Arial"/>
          <w:szCs w:val="28"/>
          <w:lang w:val="uk-UA" w:eastAsia="ru-RU"/>
        </w:rPr>
        <w:t>.</w:t>
      </w:r>
    </w:p>
    <w:p w14:paraId="42A0D84A" w14:textId="77777777" w:rsidR="00532C25" w:rsidRPr="00511005" w:rsidRDefault="00532C25" w:rsidP="003F6A5D">
      <w:pPr>
        <w:numPr>
          <w:ilvl w:val="0"/>
          <w:numId w:val="597"/>
        </w:numPr>
        <w:spacing w:line="264" w:lineRule="auto"/>
        <w:ind w:left="0" w:firstLine="709"/>
        <w:jc w:val="left"/>
        <w:rPr>
          <w:rFonts w:ascii="Arial" w:eastAsia="Arial" w:hAnsi="Arial" w:cs="Arial"/>
          <w:szCs w:val="28"/>
          <w:lang w:val="ru" w:eastAsia="ru-RU"/>
        </w:rPr>
      </w:pPr>
      <w:r w:rsidRPr="00511005">
        <w:rPr>
          <w:rFonts w:ascii="Arial" w:eastAsia="Arial" w:hAnsi="Arial" w:cs="Arial"/>
          <w:szCs w:val="28"/>
          <w:lang w:val="ru" w:eastAsia="ru-RU"/>
        </w:rPr>
        <w:t>Про виконання рішень та застосування практики Європейського суду з прав людини: Закон України від 23.02.2006 № 3477-IV: станом на 2 груд. 2012</w:t>
      </w:r>
      <w:r w:rsidRPr="00511005">
        <w:rPr>
          <w:rFonts w:ascii="Arial" w:eastAsia="Arial" w:hAnsi="Arial" w:cs="Arial"/>
          <w:szCs w:val="28"/>
          <w:lang w:val="en-US" w:eastAsia="ru-RU"/>
        </w:rPr>
        <w:t> </w:t>
      </w:r>
      <w:r w:rsidRPr="00511005">
        <w:rPr>
          <w:rFonts w:ascii="Arial" w:eastAsia="Arial" w:hAnsi="Arial" w:cs="Arial"/>
          <w:szCs w:val="28"/>
          <w:lang w:val="ru" w:eastAsia="ru-RU"/>
        </w:rPr>
        <w:t xml:space="preserve">р. </w:t>
      </w:r>
      <w:r w:rsidRPr="00511005">
        <w:rPr>
          <w:rFonts w:ascii="Arial" w:eastAsia="Arial" w:hAnsi="Arial" w:cs="Arial"/>
          <w:szCs w:val="28"/>
          <w:lang w:val="en-US" w:eastAsia="ru-RU"/>
        </w:rPr>
        <w:t>URL</w:t>
      </w:r>
      <w:r w:rsidRPr="00511005">
        <w:rPr>
          <w:rFonts w:ascii="Arial" w:eastAsia="Arial" w:hAnsi="Arial" w:cs="Arial"/>
          <w:szCs w:val="28"/>
          <w:lang w:val="ru" w:eastAsia="ru-RU"/>
        </w:rPr>
        <w:t>:</w:t>
      </w:r>
      <w:r w:rsidRPr="00511005">
        <w:rPr>
          <w:rFonts w:ascii="Arial" w:eastAsia="Arial" w:hAnsi="Arial" w:cs="Arial"/>
          <w:szCs w:val="28"/>
          <w:lang w:val="en-US" w:eastAsia="ru-RU"/>
        </w:rPr>
        <w:t> </w:t>
      </w:r>
      <w:hyperlink r:id="rId2250" w:anchor="Text" w:tgtFrame="_blank" w:history="1">
        <w:r w:rsidRPr="00511005">
          <w:rPr>
            <w:rFonts w:ascii="Arial" w:eastAsia="Arial" w:hAnsi="Arial" w:cs="Arial"/>
            <w:szCs w:val="28"/>
            <w:lang w:val="en-US" w:eastAsia="ru-RU"/>
          </w:rPr>
          <w:t>https</w:t>
        </w:r>
        <w:r w:rsidRPr="00511005">
          <w:rPr>
            <w:rFonts w:ascii="Arial" w:eastAsia="Arial" w:hAnsi="Arial" w:cs="Arial"/>
            <w:szCs w:val="28"/>
            <w:lang w:val="ru" w:eastAsia="ru-RU"/>
          </w:rPr>
          <w:t>://</w:t>
        </w:r>
        <w:r w:rsidRPr="00511005">
          <w:rPr>
            <w:rFonts w:ascii="Arial" w:eastAsia="Arial" w:hAnsi="Arial" w:cs="Arial"/>
            <w:szCs w:val="28"/>
            <w:lang w:val="en-US" w:eastAsia="ru-RU"/>
          </w:rPr>
          <w:t>zakon</w:t>
        </w:r>
        <w:r w:rsidRPr="00511005">
          <w:rPr>
            <w:rFonts w:ascii="Arial" w:eastAsia="Arial" w:hAnsi="Arial" w:cs="Arial"/>
            <w:szCs w:val="28"/>
            <w:lang w:val="ru" w:eastAsia="ru-RU"/>
          </w:rPr>
          <w:t>.</w:t>
        </w:r>
        <w:r w:rsidRPr="00511005">
          <w:rPr>
            <w:rFonts w:ascii="Arial" w:eastAsia="Arial" w:hAnsi="Arial" w:cs="Arial"/>
            <w:szCs w:val="28"/>
            <w:lang w:val="en-US" w:eastAsia="ru-RU"/>
          </w:rPr>
          <w:t>rada</w:t>
        </w:r>
        <w:r w:rsidRPr="00511005">
          <w:rPr>
            <w:rFonts w:ascii="Arial" w:eastAsia="Arial" w:hAnsi="Arial" w:cs="Arial"/>
            <w:szCs w:val="28"/>
            <w:lang w:val="ru" w:eastAsia="ru-RU"/>
          </w:rPr>
          <w:t>.</w:t>
        </w:r>
        <w:r w:rsidRPr="00511005">
          <w:rPr>
            <w:rFonts w:ascii="Arial" w:eastAsia="Arial" w:hAnsi="Arial" w:cs="Arial"/>
            <w:szCs w:val="28"/>
            <w:lang w:val="en-US" w:eastAsia="ru-RU"/>
          </w:rPr>
          <w:t>gov</w:t>
        </w:r>
        <w:r w:rsidRPr="00511005">
          <w:rPr>
            <w:rFonts w:ascii="Arial" w:eastAsia="Arial" w:hAnsi="Arial" w:cs="Arial"/>
            <w:szCs w:val="28"/>
            <w:lang w:val="ru" w:eastAsia="ru-RU"/>
          </w:rPr>
          <w:t>.</w:t>
        </w:r>
        <w:r w:rsidRPr="00511005">
          <w:rPr>
            <w:rFonts w:ascii="Arial" w:eastAsia="Arial" w:hAnsi="Arial" w:cs="Arial"/>
            <w:szCs w:val="28"/>
            <w:lang w:val="en-US" w:eastAsia="ru-RU"/>
          </w:rPr>
          <w:t>ua</w:t>
        </w:r>
        <w:r w:rsidRPr="00511005">
          <w:rPr>
            <w:rFonts w:ascii="Arial" w:eastAsia="Arial" w:hAnsi="Arial" w:cs="Arial"/>
            <w:szCs w:val="28"/>
            <w:lang w:val="ru" w:eastAsia="ru-RU"/>
          </w:rPr>
          <w:t>/</w:t>
        </w:r>
        <w:r w:rsidRPr="00511005">
          <w:rPr>
            <w:rFonts w:ascii="Arial" w:eastAsia="Arial" w:hAnsi="Arial" w:cs="Arial"/>
            <w:szCs w:val="28"/>
            <w:lang w:val="en-US" w:eastAsia="ru-RU"/>
          </w:rPr>
          <w:t>laws</w:t>
        </w:r>
        <w:r w:rsidRPr="00511005">
          <w:rPr>
            <w:rFonts w:ascii="Arial" w:eastAsia="Arial" w:hAnsi="Arial" w:cs="Arial"/>
            <w:szCs w:val="28"/>
            <w:lang w:val="ru" w:eastAsia="ru-RU"/>
          </w:rPr>
          <w:t>/</w:t>
        </w:r>
        <w:r w:rsidRPr="00511005">
          <w:rPr>
            <w:rFonts w:ascii="Arial" w:eastAsia="Arial" w:hAnsi="Arial" w:cs="Arial"/>
            <w:szCs w:val="28"/>
            <w:lang w:val="en-US" w:eastAsia="ru-RU"/>
          </w:rPr>
          <w:t>show</w:t>
        </w:r>
        <w:r w:rsidRPr="00511005">
          <w:rPr>
            <w:rFonts w:ascii="Arial" w:eastAsia="Arial" w:hAnsi="Arial" w:cs="Arial"/>
            <w:szCs w:val="28"/>
            <w:lang w:val="ru" w:eastAsia="ru-RU"/>
          </w:rPr>
          <w:t>/3477-15#</w:t>
        </w:r>
        <w:r w:rsidRPr="00511005">
          <w:rPr>
            <w:rFonts w:ascii="Arial" w:eastAsia="Arial" w:hAnsi="Arial" w:cs="Arial"/>
            <w:szCs w:val="28"/>
            <w:lang w:val="en-US" w:eastAsia="ru-RU"/>
          </w:rPr>
          <w:t>Text</w:t>
        </w:r>
      </w:hyperlink>
      <w:r w:rsidRPr="00511005">
        <w:rPr>
          <w:rFonts w:ascii="Arial" w:eastAsia="Arial" w:hAnsi="Arial" w:cs="Arial"/>
          <w:szCs w:val="28"/>
          <w:lang w:val="uk-UA" w:eastAsia="ru-RU"/>
        </w:rPr>
        <w:t>.</w:t>
      </w:r>
    </w:p>
    <w:p w14:paraId="2F965A43" w14:textId="77777777" w:rsidR="00532C25" w:rsidRPr="00511005" w:rsidRDefault="00532C25" w:rsidP="003F6A5D">
      <w:pPr>
        <w:numPr>
          <w:ilvl w:val="0"/>
          <w:numId w:val="597"/>
        </w:numPr>
        <w:spacing w:line="264" w:lineRule="auto"/>
        <w:ind w:left="0" w:firstLine="709"/>
        <w:jc w:val="left"/>
        <w:rPr>
          <w:rFonts w:ascii="Arial" w:eastAsia="Arial" w:hAnsi="Arial" w:cs="Arial"/>
          <w:szCs w:val="28"/>
          <w:lang w:val="en-US" w:eastAsia="ru-RU"/>
        </w:rPr>
      </w:pPr>
      <w:r w:rsidRPr="00511005">
        <w:rPr>
          <w:rFonts w:ascii="Arial" w:eastAsia="Arial" w:hAnsi="Arial" w:cs="Arial"/>
          <w:szCs w:val="28"/>
          <w:lang w:val="en-US" w:eastAsia="ru-RU"/>
        </w:rPr>
        <w:t>Case of Al-Khawaja and Tahery v. United Kingdom, Applications nos. 26766/05 and 22228/06, Judgment of 15 December 2011.</w:t>
      </w:r>
    </w:p>
    <w:p w14:paraId="36118BD7" w14:textId="77777777" w:rsidR="00532C25" w:rsidRPr="00511005" w:rsidRDefault="00532C25" w:rsidP="003F6A5D">
      <w:pPr>
        <w:numPr>
          <w:ilvl w:val="0"/>
          <w:numId w:val="597"/>
        </w:numPr>
        <w:spacing w:line="264" w:lineRule="auto"/>
        <w:ind w:left="0" w:firstLine="709"/>
        <w:jc w:val="left"/>
        <w:rPr>
          <w:rFonts w:ascii="Arial" w:eastAsia="Arial" w:hAnsi="Arial" w:cs="Arial"/>
          <w:szCs w:val="28"/>
          <w:lang w:val="en-US" w:eastAsia="ru-RU"/>
        </w:rPr>
      </w:pPr>
      <w:r w:rsidRPr="00511005">
        <w:rPr>
          <w:rFonts w:ascii="Arial" w:eastAsia="Arial" w:hAnsi="Arial" w:cs="Arial"/>
          <w:szCs w:val="28"/>
          <w:lang w:val="en-US" w:eastAsia="ru-RU"/>
        </w:rPr>
        <w:t>Case of Schatschaschwili v. Germany, Application no. 9154/10, Judgment of 15 December 2015.</w:t>
      </w:r>
    </w:p>
    <w:p w14:paraId="5A2E863A" w14:textId="77777777" w:rsidR="00532C25" w:rsidRPr="00511005" w:rsidRDefault="00532C25" w:rsidP="003F6A5D">
      <w:pPr>
        <w:numPr>
          <w:ilvl w:val="0"/>
          <w:numId w:val="597"/>
        </w:numPr>
        <w:spacing w:line="264" w:lineRule="auto"/>
        <w:ind w:left="0" w:firstLine="709"/>
        <w:jc w:val="left"/>
        <w:rPr>
          <w:rFonts w:ascii="Arial" w:eastAsia="Arial" w:hAnsi="Arial" w:cs="Arial"/>
          <w:szCs w:val="28"/>
          <w:lang w:val="ru" w:eastAsia="ru-RU"/>
        </w:rPr>
      </w:pPr>
      <w:r w:rsidRPr="00511005">
        <w:rPr>
          <w:rFonts w:ascii="Arial" w:eastAsia="Arial" w:hAnsi="Arial" w:cs="Arial"/>
          <w:szCs w:val="28"/>
          <w:lang w:val="ru" w:eastAsia="ru-RU"/>
        </w:rPr>
        <w:t xml:space="preserve">Аркуша Л. І., Торбас О. О., Стоянов М. М., Волошина В. К., Завтур В. А., Сидорчук В. В. </w:t>
      </w:r>
      <w:bookmarkStart w:id="280" w:name="_Hlk195428018"/>
      <w:r w:rsidRPr="00511005">
        <w:rPr>
          <w:rFonts w:ascii="Arial" w:eastAsia="Arial" w:hAnsi="Arial" w:cs="Arial"/>
          <w:iCs/>
          <w:szCs w:val="28"/>
          <w:lang w:val="ru" w:eastAsia="ru-RU"/>
        </w:rPr>
        <w:t>Довідник термінів у практиці ЄСПЛ з питань кримінального судочинства</w:t>
      </w:r>
      <w:bookmarkEnd w:id="280"/>
      <w:r w:rsidRPr="00511005">
        <w:rPr>
          <w:rFonts w:ascii="Arial" w:eastAsia="Arial" w:hAnsi="Arial" w:cs="Arial"/>
          <w:szCs w:val="28"/>
          <w:lang w:val="uk-UA" w:eastAsia="ru-RU"/>
        </w:rPr>
        <w:t>.</w:t>
      </w:r>
      <w:r w:rsidRPr="00511005">
        <w:rPr>
          <w:rFonts w:ascii="Arial" w:eastAsia="Arial" w:hAnsi="Arial" w:cs="Arial"/>
          <w:szCs w:val="28"/>
          <w:lang w:val="ru" w:eastAsia="ru-RU"/>
        </w:rPr>
        <w:t xml:space="preserve"> Одеса</w:t>
      </w:r>
      <w:r w:rsidRPr="00511005">
        <w:rPr>
          <w:rFonts w:ascii="Arial" w:eastAsia="Arial" w:hAnsi="Arial" w:cs="Arial"/>
          <w:szCs w:val="28"/>
          <w:lang w:val="uk-UA" w:eastAsia="ru-RU"/>
        </w:rPr>
        <w:t>.</w:t>
      </w:r>
      <w:r w:rsidRPr="00511005">
        <w:rPr>
          <w:rFonts w:ascii="Arial" w:eastAsia="Arial" w:hAnsi="Arial" w:cs="Arial"/>
          <w:szCs w:val="28"/>
          <w:lang w:val="ru" w:eastAsia="ru-RU"/>
        </w:rPr>
        <w:t xml:space="preserve"> </w:t>
      </w:r>
      <w:r w:rsidRPr="00511005">
        <w:rPr>
          <w:rFonts w:ascii="Arial" w:eastAsia="Arial" w:hAnsi="Arial" w:cs="Arial"/>
          <w:i/>
          <w:szCs w:val="28"/>
          <w:lang w:val="ru" w:eastAsia="ru-RU"/>
        </w:rPr>
        <w:t>Фенікс</w:t>
      </w:r>
      <w:r w:rsidRPr="00511005">
        <w:rPr>
          <w:rFonts w:ascii="Arial" w:eastAsia="Arial" w:hAnsi="Arial" w:cs="Arial"/>
          <w:szCs w:val="28"/>
          <w:lang w:val="ru" w:eastAsia="ru-RU"/>
        </w:rPr>
        <w:t>, 2022. 48 с</w:t>
      </w:r>
      <w:r w:rsidRPr="00511005">
        <w:rPr>
          <w:rFonts w:ascii="Arial" w:eastAsia="Arial" w:hAnsi="Arial" w:cs="Arial"/>
          <w:szCs w:val="28"/>
          <w:lang w:val="uk-UA" w:eastAsia="ru-RU"/>
        </w:rPr>
        <w:t>.</w:t>
      </w:r>
    </w:p>
    <w:p w14:paraId="45E05814" w14:textId="77777777" w:rsidR="00532C25" w:rsidRPr="00511005" w:rsidRDefault="00532C25" w:rsidP="003F6A5D">
      <w:pPr>
        <w:numPr>
          <w:ilvl w:val="0"/>
          <w:numId w:val="597"/>
        </w:numPr>
        <w:spacing w:line="264" w:lineRule="auto"/>
        <w:ind w:left="0" w:firstLine="709"/>
        <w:jc w:val="left"/>
        <w:rPr>
          <w:rFonts w:ascii="Arial" w:eastAsia="Arial" w:hAnsi="Arial" w:cs="Arial"/>
          <w:szCs w:val="28"/>
          <w:lang w:val="ru" w:eastAsia="ru-RU"/>
        </w:rPr>
      </w:pPr>
      <w:r w:rsidRPr="00511005">
        <w:rPr>
          <w:rFonts w:ascii="Arial" w:eastAsia="Arial" w:hAnsi="Arial" w:cs="Arial"/>
          <w:szCs w:val="28"/>
          <w:lang w:val="ru" w:eastAsia="ru-RU"/>
        </w:rPr>
        <w:t xml:space="preserve">Бабчинська Т. В. Реалізація міжнародних стандартів права на захист при дослідженні показань під час судового засідання. </w:t>
      </w:r>
      <w:r w:rsidRPr="00511005">
        <w:rPr>
          <w:rFonts w:ascii="Arial" w:eastAsia="Arial" w:hAnsi="Arial" w:cs="Arial"/>
          <w:i/>
          <w:szCs w:val="28"/>
          <w:lang w:val="ru" w:eastAsia="ru-RU"/>
        </w:rPr>
        <w:t>Прикарпатський юридичний вісник</w:t>
      </w:r>
      <w:r w:rsidRPr="00511005">
        <w:rPr>
          <w:rFonts w:ascii="Arial" w:eastAsia="Arial" w:hAnsi="Arial" w:cs="Arial"/>
          <w:szCs w:val="28"/>
          <w:lang w:val="ru" w:eastAsia="ru-RU"/>
        </w:rPr>
        <w:t>. 2019. № 2(27). С. 157–161.</w:t>
      </w:r>
    </w:p>
    <w:p w14:paraId="4A9FDE84" w14:textId="77777777" w:rsidR="00532C25" w:rsidRPr="00511005" w:rsidRDefault="00532C25" w:rsidP="003F6A5D">
      <w:pPr>
        <w:numPr>
          <w:ilvl w:val="0"/>
          <w:numId w:val="597"/>
        </w:numPr>
        <w:spacing w:line="264" w:lineRule="auto"/>
        <w:ind w:left="0" w:firstLine="709"/>
        <w:jc w:val="left"/>
        <w:rPr>
          <w:rFonts w:ascii="Arial" w:eastAsia="Arial" w:hAnsi="Arial" w:cs="Arial"/>
          <w:szCs w:val="28"/>
          <w:lang w:val="ru" w:eastAsia="ru-RU"/>
        </w:rPr>
      </w:pPr>
      <w:r w:rsidRPr="00511005">
        <w:rPr>
          <w:rFonts w:ascii="Arial" w:eastAsia="Arial" w:hAnsi="Arial" w:cs="Arial"/>
          <w:szCs w:val="28"/>
          <w:lang w:val="ru" w:eastAsia="ru-RU"/>
        </w:rPr>
        <w:t>Завтур В. А. Деякі питання реалізації права на справедливий суд у кримінальному провадженні в умовах воєнного стану. Матеріали Міжнар.</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наук.-практ. конф. (м. Одеса, 17 червня 2022 р.) / за загальною редакцією С. В. Ківалова. – Одеса</w:t>
      </w:r>
      <w:r w:rsidRPr="00511005">
        <w:rPr>
          <w:rFonts w:ascii="Arial" w:eastAsia="Arial" w:hAnsi="Arial" w:cs="Arial"/>
          <w:szCs w:val="28"/>
          <w:lang w:val="uk-UA" w:eastAsia="ru-RU"/>
        </w:rPr>
        <w:t>.</w:t>
      </w:r>
      <w:r w:rsidRPr="00511005">
        <w:rPr>
          <w:rFonts w:ascii="Arial" w:eastAsia="Arial" w:hAnsi="Arial" w:cs="Arial"/>
          <w:szCs w:val="28"/>
          <w:lang w:val="ru" w:eastAsia="ru-RU"/>
        </w:rPr>
        <w:t xml:space="preserve"> </w:t>
      </w:r>
      <w:r w:rsidRPr="00511005">
        <w:rPr>
          <w:rFonts w:ascii="Arial" w:eastAsia="Arial" w:hAnsi="Arial" w:cs="Arial"/>
          <w:i/>
          <w:szCs w:val="28"/>
          <w:lang w:val="ru" w:eastAsia="ru-RU"/>
        </w:rPr>
        <w:t>Видавничий дім «Гельветика»</w:t>
      </w:r>
      <w:r w:rsidRPr="00511005">
        <w:rPr>
          <w:rFonts w:ascii="Arial" w:eastAsia="Arial" w:hAnsi="Arial" w:cs="Arial"/>
          <w:szCs w:val="28"/>
          <w:lang w:val="ru" w:eastAsia="ru-RU"/>
        </w:rPr>
        <w:t>, 2022. Т. 2. С. 429-433.</w:t>
      </w:r>
    </w:p>
    <w:p w14:paraId="72285354" w14:textId="77777777" w:rsidR="00532C25" w:rsidRPr="00511005" w:rsidRDefault="00532C25" w:rsidP="003F6A5D">
      <w:pPr>
        <w:numPr>
          <w:ilvl w:val="0"/>
          <w:numId w:val="597"/>
        </w:numPr>
        <w:spacing w:line="264" w:lineRule="auto"/>
        <w:ind w:left="0" w:firstLine="709"/>
        <w:jc w:val="left"/>
        <w:rPr>
          <w:rFonts w:ascii="Arial" w:eastAsia="Arial" w:hAnsi="Arial" w:cs="Arial"/>
          <w:szCs w:val="28"/>
          <w:lang w:val="ru" w:eastAsia="ru-RU"/>
        </w:rPr>
      </w:pPr>
      <w:r w:rsidRPr="00511005">
        <w:rPr>
          <w:rFonts w:ascii="Arial" w:eastAsia="Arial" w:hAnsi="Arial" w:cs="Arial"/>
          <w:szCs w:val="28"/>
          <w:lang w:val="ru" w:eastAsia="ru-RU"/>
        </w:rPr>
        <w:t>Мудрак І. В. Практика ЄСПЛ щодо порушення права конфронтації та проблематика реалізації підпонкуту (d) пункту 3 статті 6 КЗПЛ у кримінальному провадженні України. </w:t>
      </w:r>
      <w:r w:rsidRPr="00511005">
        <w:rPr>
          <w:rFonts w:ascii="Arial" w:eastAsia="Arial" w:hAnsi="Arial" w:cs="Arial"/>
          <w:i/>
          <w:iCs/>
          <w:szCs w:val="28"/>
          <w:lang w:val="ru" w:eastAsia="ru-RU"/>
        </w:rPr>
        <w:t>Альманах міжнародного права</w:t>
      </w:r>
      <w:r w:rsidRPr="00511005">
        <w:rPr>
          <w:rFonts w:ascii="Arial" w:eastAsia="Arial" w:hAnsi="Arial" w:cs="Arial"/>
          <w:szCs w:val="28"/>
          <w:lang w:val="ru" w:eastAsia="ru-RU"/>
        </w:rPr>
        <w:t>. 2018. № 19. С. 64–72.</w:t>
      </w:r>
    </w:p>
    <w:p w14:paraId="1011B481" w14:textId="77777777" w:rsidR="00532C25" w:rsidRPr="00511005" w:rsidRDefault="00532C25" w:rsidP="00532C25">
      <w:pPr>
        <w:spacing w:line="264" w:lineRule="auto"/>
        <w:ind w:firstLine="0"/>
        <w:rPr>
          <w:rFonts w:ascii="Arial" w:eastAsia="Arial" w:hAnsi="Arial" w:cs="Arial"/>
          <w:szCs w:val="28"/>
          <w:lang w:val="ru" w:eastAsia="ru-RU"/>
        </w:rPr>
      </w:pPr>
    </w:p>
    <w:p w14:paraId="12467D6D"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b/>
          <w:bCs/>
          <w:i/>
          <w:szCs w:val="28"/>
          <w:lang w:val="ru" w:eastAsia="ru-RU"/>
        </w:rPr>
        <w:t xml:space="preserve">Ключові слова: </w:t>
      </w:r>
      <w:r w:rsidRPr="00511005">
        <w:rPr>
          <w:rFonts w:ascii="Arial" w:eastAsia="Arial" w:hAnsi="Arial" w:cs="Arial"/>
          <w:szCs w:val="28"/>
          <w:lang w:val="ru" w:eastAsia="ru-RU"/>
        </w:rPr>
        <w:t>право конфронтації, право на справедливий захист, кримінальний процес, права людини, допустимість доказів.</w:t>
      </w:r>
    </w:p>
    <w:p w14:paraId="354679CB" w14:textId="77777777" w:rsidR="00532C25" w:rsidRPr="00511005" w:rsidRDefault="00532C25" w:rsidP="00532C25">
      <w:pPr>
        <w:spacing w:line="264" w:lineRule="auto"/>
        <w:rPr>
          <w:rFonts w:ascii="Arial" w:eastAsia="Arial" w:hAnsi="Arial" w:cs="Arial"/>
          <w:szCs w:val="28"/>
          <w:lang w:val="en-US" w:eastAsia="ru-RU"/>
        </w:rPr>
      </w:pPr>
      <w:r w:rsidRPr="00511005">
        <w:rPr>
          <w:rFonts w:ascii="Arial" w:eastAsia="Arial" w:hAnsi="Arial" w:cs="Arial"/>
          <w:b/>
          <w:bCs/>
          <w:i/>
          <w:szCs w:val="28"/>
          <w:lang w:val="en-US" w:eastAsia="ru-RU"/>
        </w:rPr>
        <w:t xml:space="preserve">Key words: </w:t>
      </w:r>
      <w:r w:rsidRPr="00511005">
        <w:rPr>
          <w:rFonts w:ascii="Arial" w:eastAsia="Arial" w:hAnsi="Arial" w:cs="Arial"/>
          <w:szCs w:val="28"/>
          <w:lang w:val="en" w:eastAsia="ru-RU"/>
        </w:rPr>
        <w:t>right to confrontation, right to fair defense, criminal process, human rights, admissibility of evidence.</w:t>
      </w:r>
    </w:p>
    <w:p w14:paraId="6BBB2740" w14:textId="77777777" w:rsidR="00532C25" w:rsidRPr="00511005" w:rsidRDefault="00532C25" w:rsidP="00532C25">
      <w:pPr>
        <w:spacing w:line="264" w:lineRule="auto"/>
        <w:rPr>
          <w:rFonts w:ascii="Arial" w:eastAsia="Arial" w:hAnsi="Arial" w:cs="Arial"/>
          <w:i/>
          <w:szCs w:val="28"/>
          <w:lang w:val="uk-UA" w:eastAsia="ru-RU"/>
        </w:rPr>
      </w:pPr>
      <w:r w:rsidRPr="00511005">
        <w:rPr>
          <w:rFonts w:ascii="Arial" w:eastAsia="Arial" w:hAnsi="Arial" w:cs="Arial"/>
          <w:b/>
          <w:bCs/>
          <w:i/>
          <w:szCs w:val="28"/>
          <w:lang w:val="ru" w:eastAsia="ru-RU"/>
        </w:rPr>
        <w:t xml:space="preserve">Науковий керівник: </w:t>
      </w:r>
      <w:r w:rsidRPr="00511005">
        <w:rPr>
          <w:rFonts w:ascii="Arial" w:eastAsia="Arial" w:hAnsi="Arial" w:cs="Arial"/>
          <w:i/>
          <w:szCs w:val="28"/>
          <w:lang w:val="ru" w:eastAsia="ru-RU"/>
        </w:rPr>
        <w:t>к</w:t>
      </w:r>
      <w:r w:rsidRPr="00511005">
        <w:rPr>
          <w:rFonts w:ascii="Arial" w:eastAsia="Arial" w:hAnsi="Arial" w:cs="Arial"/>
          <w:i/>
          <w:szCs w:val="28"/>
          <w:lang w:val="uk-UA" w:eastAsia="ru-RU"/>
        </w:rPr>
        <w:t>.</w:t>
      </w:r>
      <w:r w:rsidRPr="00511005">
        <w:rPr>
          <w:rFonts w:ascii="Arial" w:eastAsia="Arial" w:hAnsi="Arial" w:cs="Arial"/>
          <w:i/>
          <w:szCs w:val="28"/>
          <w:lang w:val="ru" w:eastAsia="ru-RU"/>
        </w:rPr>
        <w:t>ю</w:t>
      </w:r>
      <w:r w:rsidRPr="00511005">
        <w:rPr>
          <w:rFonts w:ascii="Arial" w:eastAsia="Arial" w:hAnsi="Arial" w:cs="Arial"/>
          <w:i/>
          <w:szCs w:val="28"/>
          <w:lang w:val="uk-UA" w:eastAsia="ru-RU"/>
        </w:rPr>
        <w:t>.</w:t>
      </w:r>
      <w:r w:rsidRPr="00511005">
        <w:rPr>
          <w:rFonts w:ascii="Arial" w:eastAsia="Arial" w:hAnsi="Arial" w:cs="Arial"/>
          <w:i/>
          <w:szCs w:val="28"/>
          <w:lang w:val="ru" w:eastAsia="ru-RU"/>
        </w:rPr>
        <w:t>н</w:t>
      </w:r>
      <w:r w:rsidRPr="00511005">
        <w:rPr>
          <w:rFonts w:ascii="Arial" w:eastAsia="Arial" w:hAnsi="Arial" w:cs="Arial"/>
          <w:i/>
          <w:szCs w:val="28"/>
          <w:lang w:val="uk-UA" w:eastAsia="ru-RU"/>
        </w:rPr>
        <w:t>.</w:t>
      </w:r>
      <w:r w:rsidRPr="00511005">
        <w:rPr>
          <w:rFonts w:ascii="Arial" w:eastAsia="Arial" w:hAnsi="Arial" w:cs="Arial"/>
          <w:i/>
          <w:szCs w:val="28"/>
          <w:lang w:val="ru" w:eastAsia="ru-RU"/>
        </w:rPr>
        <w:t>,</w:t>
      </w:r>
      <w:r w:rsidRPr="00511005">
        <w:rPr>
          <w:rFonts w:ascii="Arial" w:eastAsia="Arial" w:hAnsi="Arial" w:cs="Arial"/>
          <w:b/>
          <w:bCs/>
          <w:i/>
          <w:szCs w:val="28"/>
          <w:shd w:val="clear" w:color="auto" w:fill="FFFFFF"/>
          <w:lang w:val="ru" w:eastAsia="ru-RU"/>
        </w:rPr>
        <w:t xml:space="preserve"> </w:t>
      </w:r>
      <w:r w:rsidRPr="00511005">
        <w:rPr>
          <w:rFonts w:ascii="Arial" w:eastAsia="Arial" w:hAnsi="Arial" w:cs="Arial"/>
          <w:i/>
          <w:szCs w:val="28"/>
          <w:lang w:val="ru" w:eastAsia="ru-RU"/>
        </w:rPr>
        <w:t xml:space="preserve">доцент Завтур </w:t>
      </w:r>
      <w:r w:rsidRPr="00511005">
        <w:rPr>
          <w:rFonts w:ascii="Arial" w:eastAsia="Arial" w:hAnsi="Arial" w:cs="Arial"/>
          <w:i/>
          <w:szCs w:val="28"/>
          <w:lang w:val="uk-UA" w:eastAsia="ru-RU"/>
        </w:rPr>
        <w:t xml:space="preserve">В.А. </w:t>
      </w:r>
    </w:p>
    <w:p w14:paraId="05DDBF89" w14:textId="77777777" w:rsidR="00532C25" w:rsidRPr="00511005" w:rsidRDefault="00532C25" w:rsidP="00532C25">
      <w:pPr>
        <w:spacing w:line="264" w:lineRule="auto"/>
        <w:ind w:firstLine="0"/>
        <w:rPr>
          <w:rFonts w:ascii="Arial" w:eastAsia="Times New Roman" w:hAnsi="Arial" w:cs="Arial"/>
          <w:b/>
          <w:i/>
          <w:szCs w:val="28"/>
          <w:lang w:val="ru" w:eastAsia="ru-RU"/>
        </w:rPr>
      </w:pPr>
    </w:p>
    <w:p w14:paraId="270992DC" w14:textId="77777777" w:rsidR="00532C25" w:rsidRPr="00511005" w:rsidRDefault="00532C25" w:rsidP="00532C25">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ru" w:eastAsia="ru-RU"/>
        </w:rPr>
        <w:lastRenderedPageBreak/>
        <w:t>Мірошніченко А</w:t>
      </w:r>
      <w:r w:rsidRPr="00511005">
        <w:rPr>
          <w:rFonts w:ascii="Arial" w:eastAsia="Times New Roman" w:hAnsi="Arial" w:cs="Arial"/>
          <w:b/>
          <w:i/>
          <w:szCs w:val="28"/>
          <w:lang w:val="uk-UA" w:eastAsia="ru-RU"/>
        </w:rPr>
        <w:t>настасія Євгенівна</w:t>
      </w:r>
    </w:p>
    <w:p w14:paraId="3553BC38" w14:textId="77777777" w:rsidR="00532C25" w:rsidRPr="00511005" w:rsidRDefault="00532C25" w:rsidP="00532C25">
      <w:pPr>
        <w:spacing w:line="264" w:lineRule="auto"/>
        <w:ind w:firstLine="0"/>
        <w:jc w:val="center"/>
        <w:rPr>
          <w:rFonts w:ascii="Arial" w:eastAsia="Times New Roman" w:hAnsi="Arial" w:cs="Arial"/>
          <w:szCs w:val="28"/>
          <w:lang w:val="ru" w:eastAsia="ru-RU"/>
        </w:rPr>
      </w:pPr>
      <w:r w:rsidRPr="00511005">
        <w:rPr>
          <w:rFonts w:ascii="Arial" w:eastAsia="Times New Roman" w:hAnsi="Arial" w:cs="Arial"/>
          <w:szCs w:val="28"/>
          <w:lang w:val="ru" w:eastAsia="ru-RU"/>
        </w:rPr>
        <w:t>студентка 3-го курсу факультету адвокатури та антикорупційної діяльності</w:t>
      </w:r>
    </w:p>
    <w:p w14:paraId="68686FF5" w14:textId="77777777" w:rsidR="00532C25" w:rsidRPr="00511005" w:rsidRDefault="00532C25" w:rsidP="00532C25">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szCs w:val="28"/>
          <w:lang w:val="ru" w:eastAsia="ru-RU"/>
        </w:rPr>
        <w:t>Національного університету «Одеська юридична академія»</w:t>
      </w:r>
    </w:p>
    <w:p w14:paraId="099BEC04" w14:textId="77777777" w:rsidR="00532C25" w:rsidRPr="00511005" w:rsidRDefault="00532C25" w:rsidP="00532C25">
      <w:pPr>
        <w:spacing w:line="264" w:lineRule="auto"/>
        <w:ind w:firstLine="0"/>
        <w:jc w:val="center"/>
        <w:rPr>
          <w:rFonts w:ascii="Arial" w:eastAsia="Times New Roman" w:hAnsi="Arial" w:cs="Arial"/>
          <w:b/>
          <w:szCs w:val="28"/>
          <w:lang w:val="ru" w:eastAsia="ru-RU"/>
        </w:rPr>
      </w:pPr>
    </w:p>
    <w:p w14:paraId="3DB9F90B" w14:textId="77777777" w:rsidR="00532C25" w:rsidRPr="00511005" w:rsidRDefault="00532C25" w:rsidP="00532C25">
      <w:pPr>
        <w:spacing w:line="264" w:lineRule="auto"/>
        <w:ind w:firstLine="0"/>
        <w:jc w:val="center"/>
        <w:rPr>
          <w:rFonts w:ascii="Arial" w:eastAsia="Times New Roman" w:hAnsi="Arial" w:cs="Arial"/>
          <w:b/>
          <w:szCs w:val="28"/>
          <w:lang w:val="ru" w:eastAsia="ru-RU"/>
        </w:rPr>
      </w:pPr>
      <w:r w:rsidRPr="00511005">
        <w:rPr>
          <w:rFonts w:ascii="Arial" w:eastAsia="Times New Roman" w:hAnsi="Arial" w:cs="Arial"/>
          <w:b/>
          <w:szCs w:val="28"/>
          <w:lang w:val="ru" w:eastAsia="ru-RU"/>
        </w:rPr>
        <w:t>ПРАВИЛА СВІДОЦЬКОГО ІМУНІТЕТУ</w:t>
      </w:r>
    </w:p>
    <w:p w14:paraId="2293FF8D"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Свідок є однією з ключових фігур у кримінальному провадженні. Його свідчення можуть суттєво вплинути на встановлення істини у справі, а сам інститут свідка втілює засади змагальності та забезпечення права на справедливий суд. Проте не менш важливим аспектом участі особи в процесі як свідка є її захист від зловживань та порушення фундаментальних прав. Саме тому законодавством передбачений свідоцький імунітет – інститут, який покликаний забезпечити баланс між публічним інтересом у розкритті злочинів і приватним інтересом особи у захисті своїх прав і свобод. Свідоцький імунітет є комплексним правовим утворенням, що має як загальні конституційні витоки, так і конкретну процесуальну регламентацію в Кримінальному процесуальному кодексі України.</w:t>
      </w:r>
    </w:p>
    <w:p w14:paraId="22BF94EC"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КПК України у статті 18 прямо закріплює норму про заборону примусу до надання свідчень проти себе, свого чоловіка (дружини), а також близьких родичів. Така гарантія походить із принципу недопустимості самозвинувачення та охорони приватного життя. Принципово важливо, що ці положення мають конституційну природу, а отже – не можуть бути звужені навіть під час воєнного стану чи в умовах надзвичайних ситуацій. Це вияв балансу між репресивною функцією держави та охороною людської гідності [1].</w:t>
      </w:r>
    </w:p>
    <w:p w14:paraId="2AC0ED44"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У правовій доктрині існують різні підходи до тлумачення поняття «свідоцький імунітет». Один з провідних – розгляд імунітету як привілею, що надається особі на законодавчому рівні з метою збереження моральних, етичних і правових засад у стосунках між особою та державою. Наприклад, М. Веселов, вважає імунітет свідка сукупністю правил, що звільняють окремі категорії осіб від обов’язку свідчити, тоді як Т. Заремба, В. Олешицька уточнює, що імунітет є формою захисту лише для тих, хто може бути свідком, але має право відмовитися від показань. Таке формулювання точно відбиває специфіку імунітету – він не скасовує статусу свідка, а лише дає можливість не відповідати на окремі питання або повністю утриматися від дачі показань [2, c.124].</w:t>
      </w:r>
    </w:p>
    <w:p w14:paraId="465B00C6"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Український КПК не використовує термін «повний імунітет», оскільки законодавець не передбачив абсолютного звільнення жодної категорії громадян від кримінальної відповідальності. Це дає підстави вченим, як-от В. Нору, пропонувати використовувати термін «частковий імунітет свідка». Зокрема, у процесуальному контексті це стосується ситуацій, коли особа звільнена не від усіх зобов’язань, а лише від окремого процесуального обов’язку – давати свідчення у визначених законом випадках.</w:t>
      </w:r>
    </w:p>
    <w:p w14:paraId="2C39992D"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lastRenderedPageBreak/>
        <w:t>Класифікація видів свідоцького імунітету дозволяє краще зрозуміти його правову природу. У широкому розумінні виділяють три основні складові: привілей від самозвинувачення, привілей від дачі показань проти близьких родичів, а також професійний імунітет. Останній охоплює заборону на допит осіб, діяльність яких передбачає збереження певної конфіденційної інформації – наприклад, священнослужителів, адвокатів, журналістів. Зокрема, священнослужитель не може бути допитаний про зміст сповіді (п. 5 ч. 2 ст. 65 КПК України), а журналіст має право не розкривати джерело інформації, якщо це може зашкодити довірі до нього або поставити інформатора під загрозу.</w:t>
      </w:r>
    </w:p>
    <w:p w14:paraId="38B626BE"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Імунітет свідка тісно пов’язаний з поняттями «привілей», «недоторканність» та «пільга», однак має свою специфіку. Якщо недоторканність – це радше фізичний чи юридичний захист особи, а пільги – економічні чи організаційні переваги, то імунітет – це звільнення від обов’язку, що зазвичай є обов’язковим для інших. Імунітет свідка, таким чином, є виключенням із загального принципу обов’язковості надання доказів, що ґрунтується на моральних, правових і соціальних причинах.</w:t>
      </w:r>
    </w:p>
    <w:p w14:paraId="3EF9273B" w14:textId="77777777" w:rsidR="00532C25" w:rsidRPr="00511005" w:rsidRDefault="00532C25" w:rsidP="00532C25">
      <w:pPr>
        <w:spacing w:line="264" w:lineRule="auto"/>
        <w:rPr>
          <w:rFonts w:ascii="Arial" w:eastAsia="Times New Roman" w:hAnsi="Arial" w:cs="Arial"/>
          <w:szCs w:val="28"/>
          <w:lang w:val="ru" w:eastAsia="ru-RU"/>
        </w:rPr>
      </w:pPr>
      <w:bookmarkStart w:id="281" w:name="_heading=h.10zsvcja3z5r" w:colFirst="0" w:colLast="0"/>
      <w:bookmarkEnd w:id="281"/>
      <w:r w:rsidRPr="00511005">
        <w:rPr>
          <w:rFonts w:ascii="Arial" w:eastAsia="Times New Roman" w:hAnsi="Arial" w:cs="Arial"/>
          <w:szCs w:val="28"/>
          <w:lang w:val="ru" w:eastAsia="ru-RU"/>
        </w:rPr>
        <w:t>Деякі вчені, як-от В. Волкотруб, пропонують більш розгорнуту класифікацію імунітетів у кримінальному процесі: за процесуальним статусом (свідок, потерпілий, експерт тощо), за характером правовідносин (правова або моральна конкуренція), за обсягом правового захисту. Проте така класифікація викликає певні сумніви щодо її лаконічності та прикладної доцільності. Основне завдання імунітету – не надмірна систематизація, а чітке забезпечення прав осіб, які можуть опинитися під тиском органів досудового слідства [3, c.108].</w:t>
      </w:r>
    </w:p>
    <w:p w14:paraId="7762E4F6"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 xml:space="preserve">Інститут свідоцького імунітету в Україні є важливою складовою демократичного кримінального процесу. Його призначення – захистити особу від самоінкримінації, недопущення втручання </w:t>
      </w:r>
      <w:proofErr w:type="gramStart"/>
      <w:r w:rsidRPr="00511005">
        <w:rPr>
          <w:rFonts w:ascii="Arial" w:eastAsia="Times New Roman" w:hAnsi="Arial" w:cs="Arial"/>
          <w:szCs w:val="28"/>
          <w:lang w:val="ru" w:eastAsia="ru-RU"/>
        </w:rPr>
        <w:t>у сферу</w:t>
      </w:r>
      <w:proofErr w:type="gramEnd"/>
      <w:r w:rsidRPr="00511005">
        <w:rPr>
          <w:rFonts w:ascii="Arial" w:eastAsia="Times New Roman" w:hAnsi="Arial" w:cs="Arial"/>
          <w:szCs w:val="28"/>
          <w:lang w:val="ru" w:eastAsia="ru-RU"/>
        </w:rPr>
        <w:t xml:space="preserve"> особистого життя та збереження професійної етики окремих суб’єктів. Попри те, що чинне законодавство загалом успішно регламентує це питання, залишається потреба в подальшому його розвитку, зокрема в частині деталізації професійного імунітету та врахування нових категорій осіб, що потребують особливого захисту. У світлі європейської інтеграції та зростання ролі прав людини в кримінальному процесі, розвиток інституту свідоцького імунітету стане важливим чинником утвердження верховенства права в Україні.</w:t>
      </w:r>
    </w:p>
    <w:p w14:paraId="27F6AC1A" w14:textId="77777777" w:rsidR="00532C25" w:rsidRPr="00511005" w:rsidRDefault="00532C25" w:rsidP="00532C25">
      <w:pPr>
        <w:spacing w:line="264" w:lineRule="auto"/>
        <w:ind w:firstLine="0"/>
        <w:rPr>
          <w:rFonts w:ascii="Arial" w:eastAsia="Times New Roman" w:hAnsi="Arial" w:cs="Arial"/>
          <w:b/>
          <w:szCs w:val="28"/>
          <w:lang w:val="ru" w:eastAsia="ru-RU"/>
        </w:rPr>
      </w:pPr>
    </w:p>
    <w:p w14:paraId="3D35294D" w14:textId="77777777" w:rsidR="00532C25" w:rsidRPr="00511005" w:rsidRDefault="00532C25" w:rsidP="00532C25">
      <w:pPr>
        <w:spacing w:line="264" w:lineRule="auto"/>
        <w:ind w:firstLine="0"/>
        <w:jc w:val="center"/>
        <w:rPr>
          <w:rFonts w:ascii="Arial" w:eastAsia="Times New Roman" w:hAnsi="Arial" w:cs="Arial"/>
          <w:b/>
          <w:szCs w:val="28"/>
          <w:lang w:val="ru" w:eastAsia="ru-RU"/>
        </w:rPr>
      </w:pPr>
      <w:r w:rsidRPr="00511005">
        <w:rPr>
          <w:rFonts w:ascii="Arial" w:eastAsia="Times New Roman" w:hAnsi="Arial" w:cs="Arial"/>
          <w:b/>
          <w:szCs w:val="28"/>
          <w:lang w:val="uk-UA" w:eastAsia="ru-RU"/>
        </w:rPr>
        <w:t>Список використаних джерел</w:t>
      </w:r>
    </w:p>
    <w:p w14:paraId="3B7E503B"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t>1. Кримінальний процесуальний кодекс України. Відомості Верховної Ради України (ВВР), 2013, № 9-10, № 11-12, № 13, ст.88. URL: https://zakon.rada.gov.ua/laws/show/4651-17#Text.</w:t>
      </w:r>
    </w:p>
    <w:p w14:paraId="77D8B86E" w14:textId="77777777" w:rsidR="00532C25" w:rsidRPr="00511005" w:rsidRDefault="00532C25" w:rsidP="00532C25">
      <w:pPr>
        <w:spacing w:line="264" w:lineRule="auto"/>
        <w:rPr>
          <w:rFonts w:ascii="Arial" w:eastAsia="Times New Roman" w:hAnsi="Arial" w:cs="Arial"/>
          <w:szCs w:val="28"/>
          <w:lang w:val="ru" w:eastAsia="ru-RU"/>
        </w:rPr>
      </w:pPr>
      <w:r w:rsidRPr="00511005">
        <w:rPr>
          <w:rFonts w:ascii="Arial" w:eastAsia="Times New Roman" w:hAnsi="Arial" w:cs="Arial"/>
          <w:szCs w:val="28"/>
          <w:lang w:val="ru" w:eastAsia="ru-RU"/>
        </w:rPr>
        <w:lastRenderedPageBreak/>
        <w:t>2. М. Веселов, Т Заремба, В Олешицька, «Інститут імунітету свідка в кримінально-процесуальному праві» (2017)</w:t>
      </w:r>
      <w:r w:rsidRPr="00511005">
        <w:rPr>
          <w:rFonts w:ascii="Arial" w:eastAsia="Times New Roman" w:hAnsi="Arial" w:cs="Arial"/>
          <w:szCs w:val="28"/>
          <w:lang w:val="uk-UA" w:eastAsia="ru-RU"/>
        </w:rPr>
        <w:t xml:space="preserve">. </w:t>
      </w:r>
      <w:r w:rsidRPr="00511005">
        <w:rPr>
          <w:rFonts w:ascii="Arial" w:eastAsia="Times New Roman" w:hAnsi="Arial" w:cs="Arial"/>
          <w:i/>
          <w:szCs w:val="28"/>
          <w:lang w:val="ru" w:eastAsia="ru-RU"/>
        </w:rPr>
        <w:t>Юридичний науковий електронний журнал</w:t>
      </w:r>
      <w:r w:rsidRPr="00511005">
        <w:rPr>
          <w:rFonts w:ascii="Arial" w:eastAsia="Times New Roman" w:hAnsi="Arial" w:cs="Arial"/>
          <w:szCs w:val="28"/>
          <w:lang w:val="ru" w:eastAsia="ru-RU"/>
        </w:rPr>
        <w:t>. C. 124–128.</w:t>
      </w:r>
    </w:p>
    <w:p w14:paraId="50283B5C"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ru" w:eastAsia="ru-RU"/>
        </w:rPr>
        <w:t xml:space="preserve">3. В. Волкотруб, «Актуальні питання імунітету свідків в кримінальному судочинстві» (2003) 3–4 (7–8) </w:t>
      </w:r>
      <w:r w:rsidRPr="00511005">
        <w:rPr>
          <w:rFonts w:ascii="Arial" w:eastAsia="Times New Roman" w:hAnsi="Arial" w:cs="Arial"/>
          <w:i/>
          <w:szCs w:val="28"/>
          <w:lang w:val="ru" w:eastAsia="ru-RU"/>
        </w:rPr>
        <w:t>Вісник Хмельницького інституту регіонального управління та права: наук. часопис</w:t>
      </w:r>
      <w:r w:rsidRPr="00511005">
        <w:rPr>
          <w:rFonts w:ascii="Arial" w:eastAsia="Times New Roman" w:hAnsi="Arial" w:cs="Arial"/>
          <w:szCs w:val="28"/>
          <w:lang w:val="ru" w:eastAsia="ru-RU"/>
        </w:rPr>
        <w:t>. 245 c.</w:t>
      </w:r>
    </w:p>
    <w:p w14:paraId="327A2BBD"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Pr="00511005">
        <w:rPr>
          <w:rFonts w:ascii="Arial" w:eastAsia="Times New Roman" w:hAnsi="Arial" w:cs="Arial"/>
          <w:szCs w:val="28"/>
          <w:lang w:val="uk-UA" w:eastAsia="ru-RU"/>
        </w:rPr>
        <w:t xml:space="preserve">правила, свідоцький імунітет, кримінальне провадження, свідок. </w:t>
      </w:r>
    </w:p>
    <w:p w14:paraId="13ECBA0B"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Pr="00511005">
        <w:rPr>
          <w:rFonts w:ascii="Arial" w:eastAsia="Times New Roman" w:hAnsi="Arial" w:cs="Arial"/>
          <w:szCs w:val="28"/>
          <w:lang w:val="uk-UA" w:eastAsia="ru-RU"/>
        </w:rPr>
        <w:t>rules, witness immunity, criminal proceedings, witness.</w:t>
      </w:r>
    </w:p>
    <w:p w14:paraId="7BA9FD4D"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b/>
          <w:i/>
          <w:iCs/>
          <w:szCs w:val="28"/>
          <w:lang w:val="uk-UA" w:eastAsia="ru-RU"/>
        </w:rPr>
        <w:t xml:space="preserve">Науковий керівник: </w:t>
      </w:r>
      <w:r w:rsidRPr="00511005">
        <w:rPr>
          <w:rFonts w:ascii="Arial" w:eastAsia="Arial" w:hAnsi="Arial" w:cs="Arial"/>
          <w:i/>
          <w:iCs/>
          <w:szCs w:val="28"/>
          <w:lang w:val="uk-UA" w:eastAsia="ru-RU"/>
        </w:rPr>
        <w:t>к.ю.н.</w:t>
      </w:r>
      <w:r w:rsidRPr="00511005">
        <w:rPr>
          <w:rFonts w:ascii="Arial" w:eastAsia="Arial" w:hAnsi="Arial" w:cs="Arial"/>
          <w:i/>
          <w:iCs/>
          <w:szCs w:val="28"/>
          <w:lang w:val="ru" w:eastAsia="ru-RU"/>
        </w:rPr>
        <w:t>, доцент</w:t>
      </w:r>
      <w:r w:rsidRPr="00511005">
        <w:rPr>
          <w:rFonts w:ascii="Arial" w:eastAsia="Arial" w:hAnsi="Arial" w:cs="Arial"/>
          <w:i/>
          <w:iCs/>
          <w:szCs w:val="28"/>
          <w:lang w:val="uk-UA" w:eastAsia="ru-RU"/>
        </w:rPr>
        <w:t xml:space="preserve"> Стоянов М.М. </w:t>
      </w:r>
    </w:p>
    <w:p w14:paraId="436773D9" w14:textId="77777777" w:rsidR="00532C25" w:rsidRPr="00511005" w:rsidRDefault="00532C25" w:rsidP="00532C25">
      <w:pPr>
        <w:spacing w:line="264" w:lineRule="auto"/>
        <w:ind w:firstLine="0"/>
        <w:rPr>
          <w:rFonts w:ascii="Arial" w:eastAsia="Times New Roman" w:hAnsi="Arial" w:cs="Arial"/>
          <w:b/>
          <w:szCs w:val="28"/>
          <w:lang w:val="uk-UA" w:eastAsia="ru-RU"/>
        </w:rPr>
      </w:pPr>
    </w:p>
    <w:p w14:paraId="72D435DA" w14:textId="77777777" w:rsidR="00532C25" w:rsidRPr="00511005" w:rsidRDefault="00532C25" w:rsidP="00532C25">
      <w:pPr>
        <w:spacing w:line="264" w:lineRule="auto"/>
        <w:rPr>
          <w:rFonts w:ascii="Arial" w:eastAsia="Arial" w:hAnsi="Arial" w:cs="Arial"/>
          <w:szCs w:val="28"/>
          <w:lang w:eastAsia="ru-RU"/>
        </w:rPr>
      </w:pPr>
    </w:p>
    <w:p w14:paraId="5222ED39" w14:textId="77777777" w:rsidR="00532C25" w:rsidRPr="00511005" w:rsidRDefault="00532C25" w:rsidP="00532C2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jc w:val="center"/>
        <w:rPr>
          <w:rFonts w:ascii="Arial" w:eastAsia="Arial" w:hAnsi="Arial" w:cs="Arial"/>
          <w:b/>
          <w:bCs/>
          <w:i/>
          <w:iCs/>
          <w:szCs w:val="28"/>
          <w:lang w:val="ru" w:eastAsia="ru-RU"/>
        </w:rPr>
      </w:pPr>
      <w:r w:rsidRPr="00511005">
        <w:rPr>
          <w:rFonts w:ascii="Arial" w:eastAsia="Arial" w:hAnsi="Arial" w:cs="Arial"/>
          <w:b/>
          <w:bCs/>
          <w:i/>
          <w:iCs/>
          <w:szCs w:val="28"/>
          <w:lang w:val="ru" w:eastAsia="ru-RU"/>
        </w:rPr>
        <w:t>Неменуща Дарія Вадимівна</w:t>
      </w:r>
    </w:p>
    <w:p w14:paraId="20F37575" w14:textId="77777777" w:rsidR="00532C25" w:rsidRDefault="00532C25" w:rsidP="00532C2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jc w:val="center"/>
        <w:rPr>
          <w:rFonts w:ascii="Arial" w:eastAsia="Arial" w:hAnsi="Arial" w:cs="Arial"/>
          <w:iCs/>
          <w:szCs w:val="28"/>
          <w:lang w:val="uk-UA" w:eastAsia="ru-RU"/>
        </w:rPr>
      </w:pPr>
      <w:r w:rsidRPr="00511005">
        <w:rPr>
          <w:rFonts w:ascii="Arial" w:eastAsia="Arial" w:hAnsi="Arial" w:cs="Arial"/>
          <w:iCs/>
          <w:szCs w:val="28"/>
          <w:lang w:val="ru" w:eastAsia="ru-RU"/>
        </w:rPr>
        <w:t>студент</w:t>
      </w:r>
      <w:r w:rsidRPr="00511005">
        <w:rPr>
          <w:rFonts w:ascii="Arial" w:eastAsia="Arial" w:hAnsi="Arial" w:cs="Arial"/>
          <w:iCs/>
          <w:szCs w:val="28"/>
          <w:lang w:val="uk-UA" w:eastAsia="ru-RU"/>
        </w:rPr>
        <w:t>к</w:t>
      </w:r>
      <w:r>
        <w:rPr>
          <w:rFonts w:ascii="Arial" w:eastAsia="Arial" w:hAnsi="Arial" w:cs="Arial"/>
          <w:iCs/>
          <w:szCs w:val="28"/>
          <w:lang w:val="uk-UA" w:eastAsia="ru-RU"/>
        </w:rPr>
        <w:t>а</w:t>
      </w:r>
      <w:r w:rsidRPr="00511005">
        <w:rPr>
          <w:rFonts w:ascii="Arial" w:eastAsia="Arial" w:hAnsi="Arial" w:cs="Arial"/>
          <w:iCs/>
          <w:szCs w:val="28"/>
          <w:lang w:val="ru" w:eastAsia="ru-RU"/>
        </w:rPr>
        <w:t xml:space="preserve"> 1-го курсу магістратури</w:t>
      </w:r>
      <w:r w:rsidRPr="00511005">
        <w:rPr>
          <w:rFonts w:ascii="Arial" w:eastAsia="Arial" w:hAnsi="Arial" w:cs="Arial"/>
          <w:iCs/>
          <w:szCs w:val="28"/>
          <w:lang w:val="uk-UA" w:eastAsia="ru-RU"/>
        </w:rPr>
        <w:t xml:space="preserve"> </w:t>
      </w:r>
    </w:p>
    <w:p w14:paraId="36EDC380" w14:textId="77777777" w:rsidR="00532C25" w:rsidRPr="00511005" w:rsidRDefault="00532C25" w:rsidP="00532C2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0"/>
        <w:jc w:val="center"/>
        <w:rPr>
          <w:rFonts w:ascii="Arial" w:eastAsia="Arial" w:hAnsi="Arial" w:cs="Arial"/>
          <w:iCs/>
          <w:szCs w:val="28"/>
          <w:lang w:val="uk-UA" w:eastAsia="ru-RU"/>
        </w:rPr>
      </w:pPr>
      <w:r w:rsidRPr="00511005">
        <w:rPr>
          <w:rFonts w:ascii="Arial" w:eastAsia="Arial" w:hAnsi="Arial" w:cs="Arial"/>
          <w:iCs/>
          <w:szCs w:val="28"/>
          <w:lang w:val="ru" w:eastAsia="ru-RU"/>
        </w:rPr>
        <w:t>факультету цивільної та господарської юстиції</w:t>
      </w:r>
    </w:p>
    <w:p w14:paraId="5A71CF9A" w14:textId="77777777" w:rsidR="00532C25" w:rsidRPr="00511005" w:rsidRDefault="00532C25" w:rsidP="00532C25">
      <w:pPr>
        <w:spacing w:line="264" w:lineRule="auto"/>
        <w:ind w:firstLine="720"/>
        <w:jc w:val="center"/>
        <w:rPr>
          <w:rFonts w:ascii="Arial" w:eastAsia="Arial" w:hAnsi="Arial" w:cs="Arial"/>
          <w:iCs/>
          <w:szCs w:val="28"/>
          <w:lang w:val="ru" w:eastAsia="ru-RU"/>
        </w:rPr>
      </w:pPr>
      <w:r w:rsidRPr="00511005">
        <w:rPr>
          <w:rFonts w:ascii="Arial" w:eastAsia="Arial" w:hAnsi="Arial" w:cs="Arial"/>
          <w:iCs/>
          <w:szCs w:val="28"/>
          <w:lang w:val="ru" w:eastAsia="ru-RU"/>
        </w:rPr>
        <w:t>Національного університету «Одеська юридична академія»</w:t>
      </w:r>
    </w:p>
    <w:p w14:paraId="5B36396F" w14:textId="77777777" w:rsidR="00532C25" w:rsidRPr="00511005" w:rsidRDefault="00532C25" w:rsidP="00532C25">
      <w:pPr>
        <w:spacing w:line="264" w:lineRule="auto"/>
        <w:ind w:firstLine="0"/>
        <w:jc w:val="center"/>
        <w:rPr>
          <w:rFonts w:ascii="Arial" w:eastAsia="Arial" w:hAnsi="Arial" w:cs="Arial"/>
          <w:b/>
          <w:bCs/>
          <w:szCs w:val="28"/>
          <w:lang w:val="ru" w:eastAsia="ru-RU"/>
        </w:rPr>
      </w:pPr>
    </w:p>
    <w:p w14:paraId="4A464625" w14:textId="77777777" w:rsidR="00532C25" w:rsidRPr="00511005" w:rsidRDefault="00532C25" w:rsidP="00532C25">
      <w:pPr>
        <w:spacing w:line="264" w:lineRule="auto"/>
        <w:ind w:firstLine="0"/>
        <w:jc w:val="center"/>
        <w:rPr>
          <w:rFonts w:ascii="Arial" w:eastAsia="Arial" w:hAnsi="Arial" w:cs="Arial"/>
          <w:b/>
          <w:bCs/>
          <w:szCs w:val="28"/>
          <w:lang w:val="ru" w:eastAsia="ru-RU"/>
        </w:rPr>
      </w:pPr>
      <w:r w:rsidRPr="00511005">
        <w:rPr>
          <w:rFonts w:ascii="Arial" w:eastAsia="Arial" w:hAnsi="Arial" w:cs="Arial"/>
          <w:b/>
          <w:bCs/>
          <w:szCs w:val="28"/>
          <w:lang w:val="ru" w:eastAsia="ru-RU"/>
        </w:rPr>
        <w:t>ПРОБЛЕМИ ДОСТУПУ СТОРОНИ ЗАХИСТУ ДО МАТЕРІАЛІВ ДОСУДОВОГО РОЗСЛІДУВАННЯ ЗА СТ. 255 КПК УКРАЇНИ</w:t>
      </w:r>
    </w:p>
    <w:p w14:paraId="04FDC5B9"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Негласні слідчі (розшукові) ді є важливим інструментом у кримінальному процесі, який використовується для збору доказів, особливо в тих випадках, коли інші методи розслідування не можуть дати результатів. В Україні правове регулювання цих дій визначається Кримінальним процесуальним кодексом, зокрема ст. 255, яка регулює порядок застосування негласних слідчих (розшукових) дій і використання їх результатів. Однак на практиці виникають проблеми, пов’язані з їх застосуванням, що ставлять під сумнів рівність сторін у кримінальному процесі та можуть призводити до порушень прав особи.</w:t>
      </w:r>
    </w:p>
    <w:p w14:paraId="1696FA3D"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Згідно з ч. 1 ст. 255 КПК України, результати НСРД можуть бути використані лише за умови, якщо прокурор визнає їх необхідними для досудового розслідування [1]. Це обмежує доступ сторони захисту до матеріалів, які можуть бути використані проти обвинуваченого, а також до доказів, які можуть бути важливими для спростування обвинувачення. Таке обмеження значно ускладнює реалізацію права на захист, адже обвинувачений не має можливості ознайомитись з матеріалами, що можуть бути використані проти нього. Ця ситуація створює нерівні умови для сторін, оскільки лише прокурор вирішує, які матеріали є важливими для розслідування, а які — ні. У свою чергу, відсутність доступу до результатів НСРД не дозволяє стороні захисту побудувати свою стратегію на основі повних даних [2].</w:t>
      </w:r>
    </w:p>
    <w:p w14:paraId="390ABA32"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 xml:space="preserve">Ще однією проблемою є питання знищення матеріалів, отриманих у процесі НСРД. Згідно з ч. 1 ст. 255 КПК, прокурор має право знищувати такі </w:t>
      </w:r>
      <w:r w:rsidRPr="00511005">
        <w:rPr>
          <w:rFonts w:ascii="Arial" w:eastAsia="Arial" w:hAnsi="Arial" w:cs="Arial"/>
          <w:szCs w:val="28"/>
          <w:lang w:val="ru" w:eastAsia="ru-RU"/>
        </w:rPr>
        <w:lastRenderedPageBreak/>
        <w:t>матеріали, якщо вони не є необхідними для подальшого розслідування [3]. Однак без належного судового контролю це може призвести до знищення важливих доказів, які могли б бути корисними для захисту обвинуваченого або для оскарження рішення слідчого чи прокурора. Тому знищення матеріалів НСРД без участі суду створює ризики зловживання повноваженнями прокурора і підриває довіру до справедливості кримінального процесу.</w:t>
      </w:r>
    </w:p>
    <w:p w14:paraId="6B95E74E"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Відсутність доступу до матеріалів НСРД також суперечить міжнародним стандартам, згідно з якими обвинувачений має право на повний доступ до всіх матеріалів, які можуть бути корисними для його захисту. У тому числі це стосується доказів, отриманих через негласні дії. В Україні ж кримінальний процес передбачає значні обмеження щодо доступу до таких матеріалів, що призводить до порушення прав обвинуваченого на справедливий суд. Це обмеження є серйозною проблемою, оскільки воно суперечить праву на захист і може призвести до несправедливих вироків.</w:t>
      </w:r>
    </w:p>
    <w:p w14:paraId="70D77EB0"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Ще одним аспектом є необхідність впровадження судового контролю за матеріалами НСРД. На сьогоднішній день прокурор має право без погодження з судом знищувати отримані в результаті негласних дій матеріали. Це не відповідає вимогам міжнародного права і практиці Європейського суду з прав людини, згідно з якою обмеження прав обвинуваченого повинно підлягати судовому контролю. Введення судового контролю дозволить уникнути зловживань і забезпечить більшу прозорість процесу, що позитивно вплине на справедливість кримінального провадження [4].</w:t>
      </w:r>
    </w:p>
    <w:p w14:paraId="162420BF"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Також важливо зазначити, що система правового регулювання НСРД потребує удосконалення, зокрема шляхом зміни положень КПК. Для цього необхідно передбачити, що сторона захисту повинна мати можливість подавати заяви про доступ до матеріалів НСРД на всіх етапах кримінального процесу. Крім того, важливо забезпечити можливість судового контролю за знищенням доказів, що дозволить уникнути зловживань і забезпечити рівність сторін у кримінальному процесі.</w:t>
      </w:r>
    </w:p>
    <w:p w14:paraId="03090E24"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Таке удосконалення дозволить гарантувати, що процес використання результатів НСРД буде збалансованим і відповідатиме вимогам справедливого суду. Проблеми, що виникають через відсутність належного доступу до матеріалів НСРД, ставлять під сумнів справедливість кримінального процесу в Україні. У зв'язку з цим, важливо внести зміни до законодавства, які б забезпечували належний захист прав обвинувачених при використанні результатів негласних слідчих (розшукових) дій.</w:t>
      </w:r>
    </w:p>
    <w:p w14:paraId="0D702AE3"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 xml:space="preserve">Необхідно, щоб при застосуванні НСРД було забезпечено чітке правове регулювання, яке б враховувало не тільки інтереси держави в розслідуванні злочинів, а й права особи на захист та справедливий суд. Це включає не тільки доступ до матеріалів, отриманих за допомогою НСРД, але </w:t>
      </w:r>
      <w:r w:rsidRPr="00511005">
        <w:rPr>
          <w:rFonts w:ascii="Arial" w:eastAsia="Arial" w:hAnsi="Arial" w:cs="Arial"/>
          <w:szCs w:val="28"/>
          <w:lang w:val="ru" w:eastAsia="ru-RU"/>
        </w:rPr>
        <w:lastRenderedPageBreak/>
        <w:t>й судовий контроль за процесом знищення таких матеріалів, що має допомогти запобігти незаконному усуненню доказів, які можуть бути важливими для захисту обвинуваченого.</w:t>
      </w:r>
    </w:p>
    <w:p w14:paraId="2329F599"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Залишається важливою задача забезпечити баланс між правами особи та інтересами національної безпеки. Це особливо важливо у випадках, коли НСРД використовуються для виявлення доказів, пов’язаних з організованою злочинністю, тероризмом та іншими тяжкими злочинами, де безпека держави може бути під загрозою. Тому, хоча обмеження доступу до матеріалів НСРД можуть бути обґрунтованими в деяких випадках, такі обмеження повинні бути чітко визначені законом та підлягати судовому контролю [5].</w:t>
      </w:r>
    </w:p>
    <w:p w14:paraId="1BBFC2BB"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Таким чином, для забезпечення справедливості кримінального процесу в Україні необхідно внести зміни до кримінально-процесуального кодексу, які б забезпечували прозорість і справедливість використання результатів НСРД, а також гарантували б права обвинуваченого на захист і рівність сторін. Вдосконалення законодавства з цього питання дозволить досягти балансу між інтересами національної безпеки та правами людини в контексті кримінального правосуддя України.</w:t>
      </w:r>
    </w:p>
    <w:p w14:paraId="269E32BD" w14:textId="77777777" w:rsidR="00532C25" w:rsidRPr="00511005" w:rsidRDefault="00532C25" w:rsidP="00532C25">
      <w:pPr>
        <w:keepNext/>
        <w:widowControl w:val="0"/>
        <w:spacing w:line="264" w:lineRule="auto"/>
        <w:ind w:firstLine="0"/>
        <w:jc w:val="center"/>
        <w:rPr>
          <w:rFonts w:ascii="Arial" w:eastAsia="Arial" w:hAnsi="Arial" w:cs="Arial"/>
          <w:b/>
          <w:iCs/>
          <w:szCs w:val="28"/>
          <w:lang w:val="ru" w:eastAsia="ru-RU"/>
        </w:rPr>
      </w:pPr>
      <w:r w:rsidRPr="00511005">
        <w:rPr>
          <w:rFonts w:ascii="Arial" w:eastAsia="Arial" w:hAnsi="Arial" w:cs="Arial"/>
          <w:b/>
          <w:iCs/>
          <w:szCs w:val="28"/>
          <w:lang w:val="uk-UA" w:eastAsia="ru-RU"/>
        </w:rPr>
        <w:t>Список використаних джерел</w:t>
      </w:r>
    </w:p>
    <w:p w14:paraId="1E0D35FC" w14:textId="77777777" w:rsidR="00532C25" w:rsidRPr="00511005" w:rsidRDefault="00532C25" w:rsidP="003F6A5D">
      <w:pPr>
        <w:numPr>
          <w:ilvl w:val="0"/>
          <w:numId w:val="818"/>
        </w:numPr>
        <w:spacing w:line="264" w:lineRule="auto"/>
        <w:contextualSpacing/>
        <w:jc w:val="left"/>
        <w:rPr>
          <w:rFonts w:ascii="Arial" w:eastAsia="Calibri" w:hAnsi="Arial" w:cs="Arial"/>
          <w:szCs w:val="28"/>
          <w:lang w:val="pl-PL"/>
        </w:rPr>
      </w:pPr>
      <w:r w:rsidRPr="00511005">
        <w:rPr>
          <w:rFonts w:ascii="Arial" w:eastAsia="Calibri" w:hAnsi="Arial" w:cs="Arial"/>
          <w:szCs w:val="28"/>
        </w:rPr>
        <w:t xml:space="preserve">Кримінальний процесуальний кодекс України: від 05.04.2001 р. </w:t>
      </w:r>
      <w:r w:rsidRPr="00511005">
        <w:rPr>
          <w:rFonts w:ascii="Arial" w:eastAsia="Calibri" w:hAnsi="Arial" w:cs="Arial"/>
          <w:szCs w:val="28"/>
          <w:lang w:val="pl-PL"/>
        </w:rPr>
        <w:t xml:space="preserve">2341-III URL: </w:t>
      </w:r>
      <w:hyperlink r:id="rId2251" w:anchor="Text" w:history="1">
        <w:r w:rsidRPr="00511005">
          <w:rPr>
            <w:rFonts w:ascii="Arial" w:eastAsia="Calibri" w:hAnsi="Arial" w:cs="Arial"/>
            <w:szCs w:val="28"/>
            <w:lang w:val="pl-PL"/>
          </w:rPr>
          <w:t>https://zakon.rada.gov.ua/laws/show/4651-17#Text</w:t>
        </w:r>
      </w:hyperlink>
      <w:r w:rsidRPr="00511005">
        <w:rPr>
          <w:rFonts w:ascii="Arial" w:eastAsia="Calibri" w:hAnsi="Arial" w:cs="Arial"/>
          <w:szCs w:val="28"/>
          <w:lang w:val="uk-UA"/>
        </w:rPr>
        <w:t xml:space="preserve">. </w:t>
      </w:r>
    </w:p>
    <w:p w14:paraId="7BDCB64C" w14:textId="77777777" w:rsidR="00532C25" w:rsidRPr="00511005" w:rsidRDefault="00532C25" w:rsidP="003F6A5D">
      <w:pPr>
        <w:numPr>
          <w:ilvl w:val="0"/>
          <w:numId w:val="818"/>
        </w:numPr>
        <w:shd w:val="clear" w:color="auto" w:fill="FFFFFF"/>
        <w:spacing w:line="264" w:lineRule="auto"/>
        <w:jc w:val="left"/>
        <w:textAlignment w:val="baseline"/>
        <w:rPr>
          <w:rFonts w:ascii="Arial" w:eastAsia="Arial" w:hAnsi="Arial" w:cs="Arial"/>
          <w:szCs w:val="28"/>
          <w:lang w:val="en-US" w:eastAsia="ru-RU"/>
        </w:rPr>
      </w:pPr>
      <w:r w:rsidRPr="00511005">
        <w:rPr>
          <w:rFonts w:ascii="Arial" w:eastAsia="Arial" w:hAnsi="Arial" w:cs="Arial"/>
          <w:szCs w:val="28"/>
          <w:lang w:val="ru" w:eastAsia="ru-RU"/>
        </w:rPr>
        <w:t>Гловюк</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І</w:t>
      </w:r>
      <w:r w:rsidRPr="00511005">
        <w:rPr>
          <w:rFonts w:ascii="Arial" w:eastAsia="Arial" w:hAnsi="Arial" w:cs="Arial"/>
          <w:szCs w:val="28"/>
          <w:lang w:val="pl-PL" w:eastAsia="ru-RU"/>
        </w:rPr>
        <w:t>.</w:t>
      </w:r>
      <w:r w:rsidRPr="00511005">
        <w:rPr>
          <w:rFonts w:ascii="Arial" w:eastAsia="Arial" w:hAnsi="Arial" w:cs="Arial"/>
          <w:szCs w:val="28"/>
          <w:lang w:val="ru" w:eastAsia="ru-RU"/>
        </w:rPr>
        <w:t>В</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Кримінально</w:t>
      </w:r>
      <w:r w:rsidRPr="00511005">
        <w:rPr>
          <w:rFonts w:ascii="Arial" w:eastAsia="Arial" w:hAnsi="Arial" w:cs="Arial"/>
          <w:szCs w:val="28"/>
          <w:lang w:val="pl-PL" w:eastAsia="ru-RU"/>
        </w:rPr>
        <w:t>-</w:t>
      </w:r>
      <w:r w:rsidRPr="00511005">
        <w:rPr>
          <w:rFonts w:ascii="Arial" w:eastAsia="Arial" w:hAnsi="Arial" w:cs="Arial"/>
          <w:szCs w:val="28"/>
          <w:lang w:val="ru" w:eastAsia="ru-RU"/>
        </w:rPr>
        <w:t>процесуальні</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функції</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теоретико</w:t>
      </w:r>
      <w:r w:rsidRPr="00511005">
        <w:rPr>
          <w:rFonts w:ascii="Arial" w:eastAsia="Arial" w:hAnsi="Arial" w:cs="Arial"/>
          <w:szCs w:val="28"/>
          <w:lang w:val="pl-PL" w:eastAsia="ru-RU"/>
        </w:rPr>
        <w:t>-</w:t>
      </w:r>
      <w:r w:rsidRPr="00511005">
        <w:rPr>
          <w:rFonts w:ascii="Arial" w:eastAsia="Arial" w:hAnsi="Arial" w:cs="Arial"/>
          <w:szCs w:val="28"/>
          <w:lang w:val="ru" w:eastAsia="ru-RU"/>
        </w:rPr>
        <w:t>методологічні</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засади</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і</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практика</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реалізації</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дис</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доктора</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юрид</w:t>
      </w:r>
      <w:r w:rsidRPr="00511005">
        <w:rPr>
          <w:rFonts w:ascii="Arial" w:eastAsia="Arial" w:hAnsi="Arial" w:cs="Arial"/>
          <w:szCs w:val="28"/>
          <w:lang w:val="pl-PL" w:eastAsia="ru-RU"/>
        </w:rPr>
        <w:t xml:space="preserve">. </w:t>
      </w:r>
      <w:r w:rsidRPr="00511005">
        <w:rPr>
          <w:rFonts w:ascii="Arial" w:eastAsia="Arial" w:hAnsi="Arial" w:cs="Arial"/>
          <w:szCs w:val="28"/>
          <w:lang w:val="ru" w:eastAsia="ru-RU"/>
        </w:rPr>
        <w:t>наук</w:t>
      </w:r>
      <w:r w:rsidRPr="00511005">
        <w:rPr>
          <w:rFonts w:ascii="Arial" w:eastAsia="Arial" w:hAnsi="Arial" w:cs="Arial"/>
          <w:szCs w:val="28"/>
          <w:lang w:val="pl-PL" w:eastAsia="ru-RU"/>
        </w:rPr>
        <w:t xml:space="preserve">: 12.00.09. </w:t>
      </w:r>
      <w:r w:rsidRPr="00511005">
        <w:rPr>
          <w:rFonts w:ascii="Arial" w:eastAsia="Arial" w:hAnsi="Arial" w:cs="Arial"/>
          <w:szCs w:val="28"/>
          <w:lang w:val="ru" w:eastAsia="ru-RU"/>
        </w:rPr>
        <w:t>Одеса</w:t>
      </w:r>
      <w:r w:rsidRPr="00511005">
        <w:rPr>
          <w:rFonts w:ascii="Arial" w:eastAsia="Arial" w:hAnsi="Arial" w:cs="Arial"/>
          <w:szCs w:val="28"/>
          <w:lang w:val="en-US" w:eastAsia="ru-RU"/>
        </w:rPr>
        <w:t xml:space="preserve">, 2016. 602 </w:t>
      </w:r>
      <w:r w:rsidRPr="00511005">
        <w:rPr>
          <w:rFonts w:ascii="Arial" w:eastAsia="Arial" w:hAnsi="Arial" w:cs="Arial"/>
          <w:szCs w:val="28"/>
          <w:lang w:val="ru" w:eastAsia="ru-RU"/>
        </w:rPr>
        <w:t>с</w:t>
      </w:r>
      <w:r w:rsidRPr="00511005">
        <w:rPr>
          <w:rFonts w:ascii="Arial" w:eastAsia="Arial" w:hAnsi="Arial" w:cs="Arial"/>
          <w:szCs w:val="28"/>
          <w:lang w:val="en-US" w:eastAsia="ru-RU"/>
        </w:rPr>
        <w:t>.</w:t>
      </w:r>
    </w:p>
    <w:p w14:paraId="5D4A72D3" w14:textId="77777777" w:rsidR="00532C25" w:rsidRPr="00511005" w:rsidRDefault="00532C25" w:rsidP="003F6A5D">
      <w:pPr>
        <w:numPr>
          <w:ilvl w:val="0"/>
          <w:numId w:val="818"/>
        </w:numPr>
        <w:shd w:val="clear" w:color="auto" w:fill="FFFFFF"/>
        <w:spacing w:line="264" w:lineRule="auto"/>
        <w:jc w:val="left"/>
        <w:textAlignment w:val="baseline"/>
        <w:rPr>
          <w:rFonts w:ascii="Arial" w:eastAsia="Arial" w:hAnsi="Arial" w:cs="Arial"/>
          <w:szCs w:val="28"/>
          <w:lang w:val="ru" w:eastAsia="ru-RU"/>
        </w:rPr>
      </w:pPr>
      <w:r w:rsidRPr="00511005">
        <w:rPr>
          <w:rFonts w:ascii="Arial" w:eastAsia="Arial" w:hAnsi="Arial" w:cs="Arial"/>
          <w:szCs w:val="28"/>
          <w:lang w:val="ru" w:eastAsia="ru-RU"/>
        </w:rPr>
        <w:t>Гловюк І. В. Проблемні питання застосування положень статті 255 КПК України у контексті практики ЄСПЛ. Протидія організованій злочинній діяльності: матеріали всеукраїнської наук.-практ. інтернет-конф. м. Одеса, 30 бер. 2018 р. Одеса: видавець Букаєв Вадим Вікторович, 2018. С. 27-31</w:t>
      </w:r>
      <w:r w:rsidRPr="00511005">
        <w:rPr>
          <w:rFonts w:ascii="Arial" w:eastAsia="Arial" w:hAnsi="Arial" w:cs="Arial"/>
          <w:szCs w:val="28"/>
          <w:lang w:val="uk-UA" w:eastAsia="ru-RU"/>
        </w:rPr>
        <w:t>.</w:t>
      </w:r>
    </w:p>
    <w:p w14:paraId="0C23F42E" w14:textId="77777777" w:rsidR="00532C25" w:rsidRPr="00511005" w:rsidRDefault="00532C25" w:rsidP="003F6A5D">
      <w:pPr>
        <w:numPr>
          <w:ilvl w:val="0"/>
          <w:numId w:val="818"/>
        </w:numPr>
        <w:shd w:val="clear" w:color="auto" w:fill="FFFFFF"/>
        <w:spacing w:line="264" w:lineRule="auto"/>
        <w:jc w:val="left"/>
        <w:textAlignment w:val="baseline"/>
        <w:rPr>
          <w:rFonts w:ascii="Arial" w:eastAsia="Arial" w:hAnsi="Arial" w:cs="Arial"/>
          <w:szCs w:val="28"/>
          <w:lang w:val="ru" w:eastAsia="ru-RU"/>
        </w:rPr>
      </w:pPr>
      <w:r w:rsidRPr="00511005">
        <w:rPr>
          <w:rFonts w:ascii="Arial" w:eastAsia="Arial" w:hAnsi="Arial" w:cs="Arial"/>
          <w:szCs w:val="28"/>
          <w:lang w:val="ru" w:eastAsia="ru-RU"/>
        </w:rPr>
        <w:t>Волошанівська Т.В. Засада забезпечення права на захист у кримінальному провадженні в контексті європейських стандартів справедливого судового розгляду: дис. канд. юрид. наук: 12.00.09. Одеса, 2019. 265 с.</w:t>
      </w:r>
    </w:p>
    <w:p w14:paraId="5A5B2EEC" w14:textId="77777777" w:rsidR="00532C25" w:rsidRPr="00511005" w:rsidRDefault="00532C25" w:rsidP="003F6A5D">
      <w:pPr>
        <w:numPr>
          <w:ilvl w:val="0"/>
          <w:numId w:val="818"/>
        </w:numPr>
        <w:spacing w:line="264" w:lineRule="auto"/>
        <w:contextualSpacing/>
        <w:jc w:val="left"/>
        <w:rPr>
          <w:rFonts w:ascii="Arial" w:eastAsia="Calibri" w:hAnsi="Arial" w:cs="Arial"/>
          <w:szCs w:val="28"/>
        </w:rPr>
      </w:pPr>
      <w:r w:rsidRPr="00511005">
        <w:rPr>
          <w:rFonts w:ascii="Arial" w:eastAsia="Calibri" w:hAnsi="Arial" w:cs="Arial"/>
          <w:szCs w:val="28"/>
        </w:rPr>
        <w:t>Жовтан Ю.В. Проблеми реалізації положень ст. 255 КПК України у контексті забезпечення права сторони захисту на доступ до матеріалів досудового розслідування у кримінальному провадженні</w:t>
      </w:r>
      <w:r w:rsidRPr="00511005">
        <w:rPr>
          <w:rFonts w:ascii="Arial" w:eastAsia="Calibri" w:hAnsi="Arial" w:cs="Arial"/>
          <w:szCs w:val="28"/>
          <w:lang w:val="uk-UA"/>
        </w:rPr>
        <w:t>.</w:t>
      </w:r>
    </w:p>
    <w:p w14:paraId="772405FF" w14:textId="77777777" w:rsidR="00532C25" w:rsidRPr="00511005" w:rsidRDefault="00532C25" w:rsidP="00532C25">
      <w:pPr>
        <w:spacing w:line="264" w:lineRule="auto"/>
        <w:ind w:firstLine="0"/>
        <w:rPr>
          <w:rFonts w:ascii="Arial" w:eastAsia="Arial" w:hAnsi="Arial" w:cs="Arial"/>
          <w:b/>
          <w:bCs/>
          <w:szCs w:val="28"/>
          <w:lang w:val="ru" w:eastAsia="ru-RU"/>
        </w:rPr>
      </w:pPr>
    </w:p>
    <w:p w14:paraId="3C0707EA"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b/>
          <w:bCs/>
          <w:i/>
          <w:szCs w:val="28"/>
          <w:lang w:val="ru" w:eastAsia="ru-RU"/>
        </w:rPr>
        <w:t xml:space="preserve">Ключові слова: </w:t>
      </w:r>
      <w:r w:rsidRPr="00511005">
        <w:rPr>
          <w:rFonts w:ascii="Arial" w:eastAsia="Arial" w:hAnsi="Arial" w:cs="Arial"/>
          <w:szCs w:val="28"/>
          <w:lang w:val="ru" w:eastAsia="ru-RU"/>
        </w:rPr>
        <w:t xml:space="preserve">негласні слідчі (розшукові) дії, Кримінальний процесуальний кодекс, докази, право на захист, справедливий суд, порушення прав. </w:t>
      </w:r>
    </w:p>
    <w:p w14:paraId="74C774A5" w14:textId="77777777" w:rsidR="00532C25" w:rsidRPr="00511005" w:rsidRDefault="00532C25" w:rsidP="00532C25">
      <w:pPr>
        <w:spacing w:line="264" w:lineRule="auto"/>
        <w:ind w:firstLine="708"/>
        <w:rPr>
          <w:rFonts w:ascii="Arial" w:eastAsia="Times New Roman" w:hAnsi="Arial" w:cs="Arial"/>
          <w:szCs w:val="28"/>
          <w:lang w:val="en-US" w:eastAsia="ru-RU"/>
        </w:rPr>
      </w:pPr>
      <w:r w:rsidRPr="00511005">
        <w:rPr>
          <w:rFonts w:ascii="Arial" w:eastAsia="Arial" w:hAnsi="Arial" w:cs="Arial"/>
          <w:b/>
          <w:bCs/>
          <w:i/>
          <w:szCs w:val="28"/>
          <w:lang w:val="en-US" w:eastAsia="ru-RU"/>
        </w:rPr>
        <w:t xml:space="preserve">Key words: </w:t>
      </w:r>
      <w:r w:rsidRPr="00511005">
        <w:rPr>
          <w:rFonts w:ascii="Arial" w:eastAsia="Arial" w:hAnsi="Arial" w:cs="Arial"/>
          <w:szCs w:val="28"/>
          <w:lang w:val="en-US" w:eastAsia="ru-RU"/>
        </w:rPr>
        <w:t>Covert investigative (search) actions, Criminal Procedure Code, Evidence, Right to defense, Fair trial, Violation of rights</w:t>
      </w:r>
    </w:p>
    <w:p w14:paraId="22D2D993" w14:textId="77777777" w:rsidR="00532C25" w:rsidRPr="00511005" w:rsidRDefault="00532C25" w:rsidP="00532C25">
      <w:pPr>
        <w:spacing w:line="264" w:lineRule="auto"/>
        <w:ind w:firstLine="708"/>
        <w:rPr>
          <w:rFonts w:ascii="Arial" w:eastAsia="Arial" w:hAnsi="Arial" w:cs="Arial"/>
          <w:i/>
          <w:iCs/>
          <w:szCs w:val="28"/>
          <w:lang w:val="uk-UA" w:eastAsia="ru-RU"/>
        </w:rPr>
      </w:pPr>
      <w:r w:rsidRPr="00511005">
        <w:rPr>
          <w:rFonts w:ascii="Arial" w:eastAsia="Arial" w:hAnsi="Arial" w:cs="Arial"/>
          <w:b/>
          <w:i/>
          <w:iCs/>
          <w:szCs w:val="28"/>
          <w:lang w:val="ru" w:eastAsia="ru-RU"/>
        </w:rPr>
        <w:lastRenderedPageBreak/>
        <w:t xml:space="preserve">Науковий керівник: </w:t>
      </w:r>
      <w:r w:rsidRPr="00511005">
        <w:rPr>
          <w:rFonts w:ascii="Arial" w:eastAsia="Arial" w:hAnsi="Arial" w:cs="Arial"/>
          <w:i/>
          <w:iCs/>
          <w:szCs w:val="28"/>
          <w:lang w:val="uk-UA" w:eastAsia="ru-RU"/>
        </w:rPr>
        <w:t>к.ю.н.</w:t>
      </w:r>
      <w:r w:rsidRPr="00511005">
        <w:rPr>
          <w:rFonts w:ascii="Arial" w:eastAsia="Arial" w:hAnsi="Arial" w:cs="Arial"/>
          <w:i/>
          <w:iCs/>
          <w:szCs w:val="28"/>
          <w:lang w:val="ru" w:eastAsia="ru-RU"/>
        </w:rPr>
        <w:t>, доцент</w:t>
      </w:r>
      <w:r w:rsidRPr="00511005">
        <w:rPr>
          <w:rFonts w:ascii="Arial" w:eastAsia="Arial" w:hAnsi="Arial" w:cs="Arial"/>
          <w:i/>
          <w:iCs/>
          <w:szCs w:val="28"/>
          <w:lang w:val="uk-UA" w:eastAsia="ru-RU"/>
        </w:rPr>
        <w:t xml:space="preserve"> </w:t>
      </w:r>
      <w:r w:rsidRPr="00511005">
        <w:rPr>
          <w:rFonts w:ascii="Arial" w:eastAsia="Arial" w:hAnsi="Arial" w:cs="Arial"/>
          <w:i/>
          <w:iCs/>
          <w:szCs w:val="28"/>
          <w:lang w:val="ru" w:eastAsia="ru-RU"/>
        </w:rPr>
        <w:t xml:space="preserve">Смирнов </w:t>
      </w:r>
      <w:r w:rsidRPr="00511005">
        <w:rPr>
          <w:rFonts w:ascii="Arial" w:eastAsia="Arial" w:hAnsi="Arial" w:cs="Arial"/>
          <w:i/>
          <w:iCs/>
          <w:szCs w:val="28"/>
          <w:lang w:val="uk-UA" w:eastAsia="ru-RU"/>
        </w:rPr>
        <w:t>М.І.</w:t>
      </w:r>
    </w:p>
    <w:p w14:paraId="0DF1AB28" w14:textId="77777777" w:rsidR="00532C25" w:rsidRPr="00511005" w:rsidRDefault="00532C25" w:rsidP="00532C25">
      <w:pPr>
        <w:spacing w:line="264" w:lineRule="auto"/>
        <w:ind w:firstLine="0"/>
        <w:rPr>
          <w:rFonts w:ascii="Arial" w:eastAsia="Arial" w:hAnsi="Arial" w:cs="Arial"/>
          <w:szCs w:val="28"/>
          <w:lang w:val="ru" w:eastAsia="ru-RU"/>
        </w:rPr>
      </w:pPr>
    </w:p>
    <w:p w14:paraId="0B3FCD57" w14:textId="77777777" w:rsidR="00532C25" w:rsidRPr="00511005" w:rsidRDefault="00532C25" w:rsidP="00532C25">
      <w:pPr>
        <w:spacing w:line="264" w:lineRule="auto"/>
        <w:ind w:firstLine="0"/>
        <w:rPr>
          <w:rFonts w:ascii="Arial" w:eastAsia="Arial" w:hAnsi="Arial" w:cs="Arial"/>
          <w:szCs w:val="28"/>
          <w:lang w:val="ru" w:eastAsia="ru-RU"/>
        </w:rPr>
      </w:pPr>
    </w:p>
    <w:p w14:paraId="29B531BD" w14:textId="77777777" w:rsidR="00532C25" w:rsidRPr="00511005" w:rsidRDefault="00532C25" w:rsidP="00532C25">
      <w:pPr>
        <w:spacing w:line="264" w:lineRule="auto"/>
        <w:ind w:firstLine="0"/>
        <w:jc w:val="center"/>
        <w:rPr>
          <w:rFonts w:ascii="Arial" w:eastAsia="Arial" w:hAnsi="Arial" w:cs="Arial"/>
          <w:b/>
          <w:i/>
          <w:szCs w:val="28"/>
          <w:lang w:val="uk-UA" w:eastAsia="ru-RU"/>
        </w:rPr>
      </w:pPr>
      <w:r w:rsidRPr="00511005">
        <w:rPr>
          <w:rFonts w:ascii="Arial" w:eastAsia="Arial" w:hAnsi="Arial" w:cs="Arial"/>
          <w:b/>
          <w:i/>
          <w:szCs w:val="28"/>
          <w:lang w:val="ru" w:eastAsia="ru-RU"/>
        </w:rPr>
        <w:t>Новак Юл</w:t>
      </w:r>
      <w:r w:rsidRPr="00511005">
        <w:rPr>
          <w:rFonts w:ascii="Arial" w:eastAsia="Arial" w:hAnsi="Arial" w:cs="Arial"/>
          <w:b/>
          <w:i/>
          <w:szCs w:val="28"/>
          <w:lang w:val="uk-UA" w:eastAsia="ru-RU"/>
        </w:rPr>
        <w:t>і</w:t>
      </w:r>
      <w:r w:rsidRPr="00511005">
        <w:rPr>
          <w:rFonts w:ascii="Arial" w:eastAsia="Arial" w:hAnsi="Arial" w:cs="Arial"/>
          <w:b/>
          <w:i/>
          <w:szCs w:val="28"/>
          <w:lang w:val="ru" w:eastAsia="ru-RU"/>
        </w:rPr>
        <w:t xml:space="preserve">я </w:t>
      </w:r>
      <w:r w:rsidRPr="00511005">
        <w:rPr>
          <w:rFonts w:ascii="Arial" w:eastAsia="Arial" w:hAnsi="Arial" w:cs="Arial"/>
          <w:b/>
          <w:i/>
          <w:szCs w:val="28"/>
          <w:lang w:val="uk-UA" w:eastAsia="ru-RU"/>
        </w:rPr>
        <w:t>І</w:t>
      </w:r>
      <w:r w:rsidRPr="00511005">
        <w:rPr>
          <w:rFonts w:ascii="Arial" w:eastAsia="Arial" w:hAnsi="Arial" w:cs="Arial"/>
          <w:b/>
          <w:i/>
          <w:szCs w:val="28"/>
          <w:lang w:val="ru" w:eastAsia="ru-RU"/>
        </w:rPr>
        <w:t>ван</w:t>
      </w:r>
      <w:r w:rsidRPr="00511005">
        <w:rPr>
          <w:rFonts w:ascii="Arial" w:eastAsia="Arial" w:hAnsi="Arial" w:cs="Arial"/>
          <w:b/>
          <w:i/>
          <w:szCs w:val="28"/>
          <w:lang w:val="uk-UA" w:eastAsia="ru-RU"/>
        </w:rPr>
        <w:t>і</w:t>
      </w:r>
      <w:r w:rsidRPr="00511005">
        <w:rPr>
          <w:rFonts w:ascii="Arial" w:eastAsia="Arial" w:hAnsi="Arial" w:cs="Arial"/>
          <w:b/>
          <w:i/>
          <w:szCs w:val="28"/>
          <w:lang w:val="ru" w:eastAsia="ru-RU"/>
        </w:rPr>
        <w:t>вна</w:t>
      </w:r>
    </w:p>
    <w:p w14:paraId="2741DCCE" w14:textId="77777777" w:rsidR="00532C25" w:rsidRPr="00511005" w:rsidRDefault="00532C25" w:rsidP="00532C25">
      <w:pPr>
        <w:spacing w:line="264" w:lineRule="auto"/>
        <w:ind w:firstLine="0"/>
        <w:jc w:val="center"/>
        <w:rPr>
          <w:rFonts w:ascii="Arial" w:eastAsia="Arial" w:hAnsi="Arial" w:cs="Arial"/>
          <w:szCs w:val="28"/>
          <w:lang w:val="uk-UA" w:eastAsia="ru-RU"/>
        </w:rPr>
      </w:pPr>
      <w:r w:rsidRPr="00511005">
        <w:rPr>
          <w:rFonts w:ascii="Arial" w:eastAsia="Arial" w:hAnsi="Arial" w:cs="Arial"/>
          <w:szCs w:val="28"/>
          <w:lang w:val="uk-UA" w:eastAsia="ru-RU"/>
        </w:rPr>
        <w:t xml:space="preserve">студентка 1-го курсу магістратури </w:t>
      </w:r>
    </w:p>
    <w:p w14:paraId="24C086B5" w14:textId="77777777" w:rsidR="00532C25" w:rsidRPr="00511005" w:rsidRDefault="00532C25" w:rsidP="00532C25">
      <w:pPr>
        <w:spacing w:line="264" w:lineRule="auto"/>
        <w:ind w:firstLine="0"/>
        <w:jc w:val="center"/>
        <w:rPr>
          <w:rFonts w:ascii="Arial" w:eastAsia="Arial" w:hAnsi="Arial" w:cs="Arial"/>
          <w:szCs w:val="28"/>
          <w:lang w:val="uk-UA" w:eastAsia="ru-RU"/>
        </w:rPr>
      </w:pPr>
      <w:r w:rsidRPr="00511005">
        <w:rPr>
          <w:rFonts w:ascii="Arial" w:eastAsia="Arial" w:hAnsi="Arial" w:cs="Arial"/>
          <w:szCs w:val="28"/>
          <w:lang w:val="uk-UA" w:eastAsia="ru-RU"/>
        </w:rPr>
        <w:t>факультету судового та міжнародного права</w:t>
      </w:r>
    </w:p>
    <w:p w14:paraId="08FC8641" w14:textId="77777777" w:rsidR="00532C25" w:rsidRPr="00511005" w:rsidRDefault="00532C25" w:rsidP="00532C25">
      <w:pPr>
        <w:spacing w:line="264" w:lineRule="auto"/>
        <w:ind w:firstLine="0"/>
        <w:jc w:val="center"/>
        <w:rPr>
          <w:rFonts w:ascii="Arial" w:eastAsia="Arial" w:hAnsi="Arial" w:cs="Arial"/>
          <w:szCs w:val="28"/>
          <w:lang w:val="uk-UA" w:eastAsia="ru-RU"/>
        </w:rPr>
      </w:pPr>
      <w:r w:rsidRPr="00511005">
        <w:rPr>
          <w:rFonts w:ascii="Arial" w:eastAsia="Arial" w:hAnsi="Arial" w:cs="Arial"/>
          <w:szCs w:val="28"/>
          <w:lang w:val="uk-UA" w:eastAsia="ru-RU"/>
        </w:rPr>
        <w:t>Національного університету «Одеська юридична академія»</w:t>
      </w:r>
    </w:p>
    <w:p w14:paraId="5AB71D70" w14:textId="77777777" w:rsidR="00532C25" w:rsidRPr="00511005" w:rsidRDefault="00532C25" w:rsidP="00532C25">
      <w:pPr>
        <w:spacing w:line="264" w:lineRule="auto"/>
        <w:ind w:firstLine="0"/>
        <w:jc w:val="center"/>
        <w:rPr>
          <w:rFonts w:ascii="Arial" w:eastAsia="Arial" w:hAnsi="Arial" w:cs="Arial"/>
          <w:szCs w:val="28"/>
          <w:lang w:val="uk-UA" w:eastAsia="ru-RU"/>
        </w:rPr>
      </w:pPr>
    </w:p>
    <w:p w14:paraId="3DF149DF" w14:textId="77777777" w:rsidR="00532C25" w:rsidRPr="00511005" w:rsidRDefault="00532C25" w:rsidP="00532C25">
      <w:pPr>
        <w:spacing w:line="264" w:lineRule="auto"/>
        <w:ind w:firstLine="0"/>
        <w:jc w:val="center"/>
        <w:rPr>
          <w:rFonts w:ascii="Arial" w:eastAsia="Arial" w:hAnsi="Arial" w:cs="Arial"/>
          <w:b/>
          <w:szCs w:val="28"/>
          <w:lang w:val="uk-UA" w:eastAsia="ru-RU"/>
        </w:rPr>
      </w:pPr>
      <w:r w:rsidRPr="00511005">
        <w:rPr>
          <w:rFonts w:ascii="Arial" w:eastAsia="Arial" w:hAnsi="Arial" w:cs="Arial"/>
          <w:b/>
          <w:szCs w:val="28"/>
          <w:lang w:val="uk-UA" w:eastAsia="ru-RU"/>
        </w:rPr>
        <w:t>НА ШЛЯХУ ДО ДОСКОНАЛОГО ДОПИТУ</w:t>
      </w:r>
    </w:p>
    <w:p w14:paraId="6CABD756" w14:textId="77777777" w:rsidR="00532C25" w:rsidRPr="00511005" w:rsidRDefault="00532C25" w:rsidP="00532C25">
      <w:pPr>
        <w:spacing w:line="264" w:lineRule="auto"/>
        <w:ind w:firstLine="0"/>
        <w:jc w:val="right"/>
        <w:rPr>
          <w:rFonts w:ascii="Arial" w:eastAsia="Arial" w:hAnsi="Arial" w:cs="Arial"/>
          <w:i/>
          <w:szCs w:val="28"/>
          <w:lang w:val="uk-UA" w:eastAsia="ru-RU"/>
        </w:rPr>
      </w:pPr>
      <w:r w:rsidRPr="00511005">
        <w:rPr>
          <w:rFonts w:ascii="Arial" w:eastAsia="Arial" w:hAnsi="Arial" w:cs="Arial"/>
          <w:i/>
          <w:szCs w:val="28"/>
          <w:lang w:val="uk-UA" w:eastAsia="ru-RU"/>
        </w:rPr>
        <w:t xml:space="preserve">Коли правда має більше значення, ніж твоє </w:t>
      </w:r>
    </w:p>
    <w:p w14:paraId="1770EA97" w14:textId="77777777" w:rsidR="00532C25" w:rsidRPr="00511005" w:rsidRDefault="00532C25" w:rsidP="00532C25">
      <w:pPr>
        <w:spacing w:line="264" w:lineRule="auto"/>
        <w:ind w:firstLine="0"/>
        <w:jc w:val="right"/>
        <w:rPr>
          <w:rFonts w:ascii="Arial" w:eastAsia="Arial" w:hAnsi="Arial" w:cs="Arial"/>
          <w:i/>
          <w:szCs w:val="28"/>
          <w:lang w:val="uk-UA" w:eastAsia="ru-RU"/>
        </w:rPr>
      </w:pPr>
      <w:r w:rsidRPr="00511005">
        <w:rPr>
          <w:rFonts w:ascii="Arial" w:eastAsia="Arial" w:hAnsi="Arial" w:cs="Arial"/>
          <w:i/>
          <w:szCs w:val="28"/>
          <w:lang w:val="uk-UA" w:eastAsia="ru-RU"/>
        </w:rPr>
        <w:t>ставлення до неї – це процесуальне інтерв’ю.</w:t>
      </w:r>
    </w:p>
    <w:p w14:paraId="61E46F81"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Останнім часом в Україні впроваджуються інноваційні підходи, спрямовані на підвищення гарантій захисту прав громадян у кримінальному процесі. Одним із них є впровадження процесуального інтерв'ю (investigative interview) до органів досудового розслідування.</w:t>
      </w:r>
    </w:p>
    <w:p w14:paraId="1396A11A"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Процесуальне інтерв’ю – це методика проведення допиту в кримінальному процесі, в основі якої покладена бесіда, орієнтована на збір доказової інформації про обставини кримінального правопорушення. Мета процесуального інтерв’ю – виявити повну, точну та надійну інформацію. </w:t>
      </w:r>
    </w:p>
    <w:p w14:paraId="14AF11E1" w14:textId="77777777" w:rsidR="00532C25" w:rsidRPr="00511005" w:rsidRDefault="00532C25" w:rsidP="00532C25">
      <w:pPr>
        <w:tabs>
          <w:tab w:val="left" w:pos="6379"/>
        </w:tabs>
        <w:spacing w:line="264" w:lineRule="auto"/>
        <w:ind w:firstLine="708"/>
        <w:rPr>
          <w:rFonts w:ascii="Arial" w:eastAsia="Arial" w:hAnsi="Arial" w:cs="Arial"/>
          <w:szCs w:val="28"/>
          <w:lang w:val="ru" w:eastAsia="ru-RU"/>
        </w:rPr>
      </w:pPr>
      <w:r w:rsidRPr="00511005">
        <w:rPr>
          <w:rFonts w:ascii="Arial" w:eastAsia="Arial" w:hAnsi="Arial" w:cs="Arial"/>
          <w:szCs w:val="28"/>
          <w:lang w:val="uk-UA" w:eastAsia="ru-RU"/>
        </w:rPr>
        <w:t xml:space="preserve">Тривалий час проблемою в кримінальному процесі було неналежне проведення допиту на стадії досудового розслідування, що слідувало порушення низки фундаментальних прав людини. Йдеться про непоодинокі випадки катувань, жорстоких, нелюдських або таких, що принижують гідність, поводжень, що застосовувалися до допитуваних осіб з метою отримання «дорогоцінної» доказової бази. Подібні випадки неодноразово ставали предметом судового розгляду в Європейському суді з прав людини (далі – ЄСПЛ). Так, у справі </w:t>
      </w:r>
      <w:r w:rsidRPr="00511005">
        <w:rPr>
          <w:rFonts w:ascii="Arial" w:eastAsia="Arial" w:hAnsi="Arial" w:cs="Arial"/>
          <w:szCs w:val="28"/>
          <w:lang w:val="ru" w:eastAsia="ru-RU"/>
        </w:rPr>
        <w:t>Шабельника</w:t>
      </w:r>
      <w:r w:rsidRPr="00511005">
        <w:rPr>
          <w:rFonts w:ascii="Arial" w:eastAsia="Arial" w:hAnsi="Arial" w:cs="Arial"/>
          <w:szCs w:val="28"/>
          <w:lang w:val="uk-UA" w:eastAsia="ru-RU"/>
        </w:rPr>
        <w:t xml:space="preserve"> проти України Суд визнав прийнятними скарги заявника стосовно примушування його до визнання вини у вбивстві та незаконність і недопустимість цього зізнання як доказу у кримінальній справі </w:t>
      </w:r>
      <w:r w:rsidRPr="00511005">
        <w:rPr>
          <w:rFonts w:ascii="Arial" w:eastAsia="Arial" w:hAnsi="Arial" w:cs="Arial"/>
          <w:szCs w:val="28"/>
          <w:lang w:val="ru" w:eastAsia="ru-RU"/>
        </w:rPr>
        <w:t>[</w:t>
      </w:r>
      <w:r w:rsidRPr="00511005">
        <w:rPr>
          <w:rFonts w:ascii="Arial" w:eastAsia="Arial" w:hAnsi="Arial" w:cs="Arial"/>
          <w:szCs w:val="28"/>
          <w:lang w:val="uk-UA" w:eastAsia="ru-RU"/>
        </w:rPr>
        <w:t>1</w:t>
      </w:r>
      <w:r w:rsidRPr="00511005">
        <w:rPr>
          <w:rFonts w:ascii="Arial" w:eastAsia="Arial" w:hAnsi="Arial" w:cs="Arial"/>
          <w:szCs w:val="28"/>
          <w:lang w:val="ru" w:eastAsia="ru-RU"/>
        </w:rPr>
        <w:t>]</w:t>
      </w:r>
      <w:r w:rsidRPr="00511005">
        <w:rPr>
          <w:rFonts w:ascii="Arial" w:eastAsia="Arial" w:hAnsi="Arial" w:cs="Arial"/>
          <w:szCs w:val="28"/>
          <w:lang w:val="uk-UA" w:eastAsia="ru-RU"/>
        </w:rPr>
        <w:t xml:space="preserve">. У рішенні по справі Нечипорука і Йонкало проти України Судом визнано порушення матеріального та процесуального обов’язку держави: з метою отримання зізнання заявника було піддано тортурам, що були заподіяні працівниками правоохоронного органу </w:t>
      </w:r>
      <w:r w:rsidRPr="00511005">
        <w:rPr>
          <w:rFonts w:ascii="Arial" w:eastAsia="Arial" w:hAnsi="Arial" w:cs="Arial"/>
          <w:szCs w:val="28"/>
          <w:lang w:val="ru" w:eastAsia="ru-RU"/>
        </w:rPr>
        <w:t>[</w:t>
      </w:r>
      <w:r w:rsidRPr="00511005">
        <w:rPr>
          <w:rFonts w:ascii="Arial" w:eastAsia="Arial" w:hAnsi="Arial" w:cs="Arial"/>
          <w:szCs w:val="28"/>
          <w:lang w:val="uk-UA" w:eastAsia="ru-RU"/>
        </w:rPr>
        <w:t>2</w:t>
      </w:r>
      <w:r w:rsidRPr="00511005">
        <w:rPr>
          <w:rFonts w:ascii="Arial" w:eastAsia="Arial" w:hAnsi="Arial" w:cs="Arial"/>
          <w:szCs w:val="28"/>
          <w:lang w:val="ru" w:eastAsia="ru-RU"/>
        </w:rPr>
        <w:t>].</w:t>
      </w:r>
    </w:p>
    <w:p w14:paraId="1B4D9764"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У рамках реформи кримінального процесуального законодавства України у 2012 році, законодавець спробував вирішити тривалу проблему неналежного проведення допиту на стадії досудового розслідування. В контексті зазначеного, ключовою законодавчою нормою стала ч. 4 статті 95 КПК України: «Суд може обґрунтовувати свої висновки лише на показаннях, які він безпосередньо сприймав під час судового засідання, або отриманих у порядку, передбаченому статтею 225 цього Кодексу. Суд не вправі обґрунтовувати судові рішення показаннями, наданими слідчому, </w:t>
      </w:r>
      <w:r w:rsidRPr="00511005">
        <w:rPr>
          <w:rFonts w:ascii="Arial" w:eastAsia="Arial" w:hAnsi="Arial" w:cs="Arial"/>
          <w:szCs w:val="28"/>
          <w:lang w:val="uk-UA" w:eastAsia="ru-RU"/>
        </w:rPr>
        <w:lastRenderedPageBreak/>
        <w:t xml:space="preserve">прокурору, або посилатися на них, крім порядку отримання показань, визначеного статтею 615 цього Кодексу» </w:t>
      </w:r>
      <w:r w:rsidRPr="00511005">
        <w:rPr>
          <w:rFonts w:ascii="Arial" w:eastAsia="Arial" w:hAnsi="Arial" w:cs="Arial"/>
          <w:szCs w:val="28"/>
          <w:lang w:val="ru" w:eastAsia="ru-RU"/>
        </w:rPr>
        <w:t>[</w:t>
      </w:r>
      <w:r w:rsidRPr="00511005">
        <w:rPr>
          <w:rFonts w:ascii="Arial" w:eastAsia="Arial" w:hAnsi="Arial" w:cs="Arial"/>
          <w:szCs w:val="28"/>
          <w:lang w:val="uk-UA" w:eastAsia="ru-RU"/>
        </w:rPr>
        <w:t>3</w:t>
      </w:r>
      <w:r w:rsidRPr="00511005">
        <w:rPr>
          <w:rFonts w:ascii="Arial" w:eastAsia="Arial" w:hAnsi="Arial" w:cs="Arial"/>
          <w:szCs w:val="28"/>
          <w:lang w:val="ru" w:eastAsia="ru-RU"/>
        </w:rPr>
        <w:t>].</w:t>
      </w:r>
    </w:p>
    <w:p w14:paraId="0AB5A914"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ru" w:eastAsia="ru-RU"/>
        </w:rPr>
        <w:t>Втім, такий радикальний підхід закононодавця призв</w:t>
      </w:r>
      <w:r w:rsidRPr="00511005">
        <w:rPr>
          <w:rFonts w:ascii="Arial" w:eastAsia="Arial" w:hAnsi="Arial" w:cs="Arial"/>
          <w:szCs w:val="28"/>
          <w:lang w:val="uk-UA" w:eastAsia="ru-RU"/>
        </w:rPr>
        <w:t>ів до зворотнього ефекту</w:t>
      </w:r>
      <w:r w:rsidRPr="00511005">
        <w:rPr>
          <w:rFonts w:ascii="Arial" w:eastAsia="Arial" w:hAnsi="Arial" w:cs="Arial"/>
          <w:szCs w:val="28"/>
          <w:lang w:val="ru" w:eastAsia="ru-RU"/>
        </w:rPr>
        <w:t xml:space="preserve">: показання, </w:t>
      </w:r>
      <w:r w:rsidRPr="00511005">
        <w:rPr>
          <w:rFonts w:ascii="Arial" w:eastAsia="Arial" w:hAnsi="Arial" w:cs="Arial"/>
          <w:szCs w:val="28"/>
          <w:lang w:val="uk-UA" w:eastAsia="ru-RU"/>
        </w:rPr>
        <w:t xml:space="preserve">оримані </w:t>
      </w:r>
      <w:r w:rsidRPr="00511005">
        <w:rPr>
          <w:rFonts w:ascii="Arial" w:eastAsia="Arial" w:hAnsi="Arial" w:cs="Arial"/>
          <w:szCs w:val="28"/>
          <w:lang w:val="ru" w:eastAsia="ru-RU"/>
        </w:rPr>
        <w:t>слідч</w:t>
      </w:r>
      <w:r w:rsidRPr="00511005">
        <w:rPr>
          <w:rFonts w:ascii="Arial" w:eastAsia="Arial" w:hAnsi="Arial" w:cs="Arial"/>
          <w:szCs w:val="28"/>
          <w:lang w:val="uk-UA" w:eastAsia="ru-RU"/>
        </w:rPr>
        <w:t>им</w:t>
      </w:r>
      <w:r w:rsidRPr="00511005">
        <w:rPr>
          <w:rFonts w:ascii="Arial" w:eastAsia="Arial" w:hAnsi="Arial" w:cs="Arial"/>
          <w:szCs w:val="28"/>
          <w:lang w:val="ru" w:eastAsia="ru-RU"/>
        </w:rPr>
        <w:t>, дізнавач</w:t>
      </w:r>
      <w:r w:rsidRPr="00511005">
        <w:rPr>
          <w:rFonts w:ascii="Arial" w:eastAsia="Arial" w:hAnsi="Arial" w:cs="Arial"/>
          <w:szCs w:val="28"/>
          <w:lang w:val="uk-UA" w:eastAsia="ru-RU"/>
        </w:rPr>
        <w:t>ем на стадії</w:t>
      </w:r>
      <w:r w:rsidRPr="00511005">
        <w:rPr>
          <w:rFonts w:ascii="Arial" w:eastAsia="Arial" w:hAnsi="Arial" w:cs="Arial"/>
          <w:szCs w:val="28"/>
          <w:lang w:val="ru" w:eastAsia="ru-RU"/>
        </w:rPr>
        <w:t xml:space="preserve"> досудового розслідування, </w:t>
      </w:r>
      <w:r w:rsidRPr="00511005">
        <w:rPr>
          <w:rFonts w:ascii="Arial" w:eastAsia="Arial" w:hAnsi="Arial" w:cs="Arial"/>
          <w:szCs w:val="28"/>
          <w:lang w:val="uk-UA" w:eastAsia="ru-RU"/>
        </w:rPr>
        <w:t xml:space="preserve">«знецінилися», </w:t>
      </w:r>
      <w:r w:rsidRPr="00511005">
        <w:rPr>
          <w:rFonts w:ascii="Arial" w:eastAsia="Arial" w:hAnsi="Arial" w:cs="Arial"/>
          <w:szCs w:val="28"/>
          <w:lang w:val="ru" w:eastAsia="ru-RU"/>
        </w:rPr>
        <w:t>втратили авторитет</w:t>
      </w:r>
      <w:r w:rsidRPr="00511005">
        <w:rPr>
          <w:rFonts w:ascii="Arial" w:eastAsia="Arial" w:hAnsi="Arial" w:cs="Arial"/>
          <w:szCs w:val="28"/>
          <w:lang w:val="uk-UA" w:eastAsia="ru-RU"/>
        </w:rPr>
        <w:t xml:space="preserve"> </w:t>
      </w:r>
      <w:proofErr w:type="gramStart"/>
      <w:r w:rsidRPr="00511005">
        <w:rPr>
          <w:rFonts w:ascii="Arial" w:eastAsia="Arial" w:hAnsi="Arial" w:cs="Arial"/>
          <w:szCs w:val="28"/>
          <w:lang w:val="ru" w:eastAsia="ru-RU"/>
        </w:rPr>
        <w:t>для суду</w:t>
      </w:r>
      <w:proofErr w:type="gramEnd"/>
      <w:r w:rsidRPr="00511005">
        <w:rPr>
          <w:rFonts w:ascii="Arial" w:eastAsia="Arial" w:hAnsi="Arial" w:cs="Arial"/>
          <w:szCs w:val="28"/>
          <w:lang w:val="uk-UA" w:eastAsia="ru-RU"/>
        </w:rPr>
        <w:t>. Мінімальна «вага» результатів такої роботи зумовила формальне ставлення, уникнення витрати часу та зусиль на їх якісне проведення однієї з ключових слідчих (розшукових) дій в кримінальному процесі. У результаті, для працівників органів досудового розслідування зникла не лише потреба у застосуванні незаконних методів, таких як тиск, погрози чи насильство, але й загалом зменшилась зацікавленість у здобутті якісних та цінних свідчень на цьому етапі.</w:t>
      </w:r>
    </w:p>
    <w:p w14:paraId="76241E42"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Водночас, у ряді іноземних юрисдикцій (Канада, Великобританія, Італія, Хорватія та ін.), на відміну від встановленого в Україні повної заборони використовувати досудові свідчення в суді, передбачається застосування «тесту допустимості показань». Якщо показання проходять перевірку, суд їх приймає. Якщо показання викликають сумнів або якщо доведено, що показання були отримані з порушенням встановленого порядку – суд їх не враховує.</w:t>
      </w:r>
    </w:p>
    <w:p w14:paraId="62A9BA71"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В Україні розвиток і впровадження процесуального інтерв’ю здійснює ініціатива «Investigative Interview. Ukraine» за підтримки Міжнародного фонду «Відродження». До цього процесу активно залучена mentor team – команда детективів НАБУ, яка використовує процесуальне інтерв’ю у своїй роботі та разом з експертами розробляє національні стандарти його проведення.</w:t>
      </w:r>
    </w:p>
    <w:p w14:paraId="2462739E"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Усі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 незалежно від того, проводяться вони з свідками, потерпілими або підозрюваними називають – процесуальними. Водночас, конкретно на прикладі допиту підозрюваної особи вбачається найбільш очевидна різниця між «класичним допитом» та «процесуальним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 Пропонуємо їх порівняти:</w:t>
      </w:r>
    </w:p>
    <w:p w14:paraId="6FFA43D2"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1. Мета проведення: процесуальне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 спрямоване на отримання максимально об</w:t>
      </w:r>
      <w:r w:rsidRPr="00511005">
        <w:rPr>
          <w:rFonts w:ascii="Arial" w:eastAsia="Arial" w:hAnsi="Arial" w:cs="Arial"/>
          <w:szCs w:val="28"/>
          <w:lang w:val="ru" w:eastAsia="ru-RU"/>
        </w:rPr>
        <w:t>’</w:t>
      </w:r>
      <w:r w:rsidRPr="00511005">
        <w:rPr>
          <w:rFonts w:ascii="Arial" w:eastAsia="Arial" w:hAnsi="Arial" w:cs="Arial"/>
          <w:szCs w:val="28"/>
          <w:lang w:val="uk-UA" w:eastAsia="ru-RU"/>
        </w:rPr>
        <w:t xml:space="preserve">єктивної інформації про обставини події; допит переважно спрямовано на отримання визнання підозрюваної особи в скоєному кримінальному правопорушенні. </w:t>
      </w:r>
    </w:p>
    <w:p w14:paraId="6F08BDCE"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2. Загальна атмосфера: в основі процесуального інтерв’ю закладена бесіда, налагоджена комунікація з підозрюваним, що дозволяє усунути будь-які бар’єри та сприяє отриманню необхідної інформації; допит, навпаки, орієнтований на встановлення контролю над підозрюваною особою, у тому числі через використання психологічних маніпуляцій для спонукання свідчити проти себе.</w:t>
      </w:r>
    </w:p>
    <w:p w14:paraId="3D66850B"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3. Тактика проведення: в ході проведення процесуального інтерв’ю, як правило, використовуються відкриті питання, що сприяють отриманню </w:t>
      </w:r>
      <w:r w:rsidRPr="00511005">
        <w:rPr>
          <w:rFonts w:ascii="Arial" w:eastAsia="Arial" w:hAnsi="Arial" w:cs="Arial"/>
          <w:szCs w:val="28"/>
          <w:lang w:val="uk-UA" w:eastAsia="ru-RU"/>
        </w:rPr>
        <w:lastRenderedPageBreak/>
        <w:t>максимально об’єктивної і повної інформації; під час допиту переважають закриті питання, спрямовані на уточнення окремих фактів та перевірку версії подій.</w:t>
      </w:r>
    </w:p>
    <w:p w14:paraId="210ABE8E"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Різноманітні підходи до проведення опитування в рамках досудового розслідування як в міжнародній, так і в національній практиці стають основою формування моделей процесуального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 xml:space="preserve">ю. Всі моделі поділяються на такі групи: класичні (KREATIVE та PEACE), гібридні (PHASE та REID) та спеціалізовані (WISCI та NICHD). Наведені моделі відрізняються домінуючим підходом до проведення опитування в рамках досудового розслідування: обвинувальним або інформаційно-орієнтованим. Сукупність елементів окремої моделі слід визначити як узагальнену модель процесуального інтерв’ю </w:t>
      </w:r>
      <w:r w:rsidRPr="00511005">
        <w:rPr>
          <w:rFonts w:ascii="Arial" w:eastAsia="Arial" w:hAnsi="Arial" w:cs="Arial"/>
          <w:szCs w:val="28"/>
          <w:lang w:val="ru" w:eastAsia="ru-RU"/>
        </w:rPr>
        <w:t>[</w:t>
      </w:r>
      <w:r w:rsidRPr="00511005">
        <w:rPr>
          <w:rFonts w:ascii="Arial" w:eastAsia="Arial" w:hAnsi="Arial" w:cs="Arial"/>
          <w:szCs w:val="28"/>
          <w:lang w:val="uk-UA" w:eastAsia="ru-RU"/>
        </w:rPr>
        <w:t>4</w:t>
      </w:r>
      <w:r w:rsidRPr="00511005">
        <w:rPr>
          <w:rFonts w:ascii="Arial" w:eastAsia="Arial" w:hAnsi="Arial" w:cs="Arial"/>
          <w:szCs w:val="28"/>
          <w:lang w:val="ru" w:eastAsia="ru-RU"/>
        </w:rPr>
        <w:t xml:space="preserve">, с. </w:t>
      </w:r>
      <w:r w:rsidRPr="00511005">
        <w:rPr>
          <w:rFonts w:ascii="Arial" w:eastAsia="Arial" w:hAnsi="Arial" w:cs="Arial"/>
          <w:szCs w:val="28"/>
          <w:lang w:val="uk-UA" w:eastAsia="ru-RU"/>
        </w:rPr>
        <w:t>2</w:t>
      </w:r>
      <w:r w:rsidRPr="00511005">
        <w:rPr>
          <w:rFonts w:ascii="Arial" w:eastAsia="Arial" w:hAnsi="Arial" w:cs="Arial"/>
          <w:szCs w:val="28"/>
          <w:lang w:val="ru" w:eastAsia="ru-RU"/>
        </w:rPr>
        <w:t>7]</w:t>
      </w:r>
      <w:r w:rsidRPr="00511005">
        <w:rPr>
          <w:rFonts w:ascii="Arial" w:eastAsia="Arial" w:hAnsi="Arial" w:cs="Arial"/>
          <w:szCs w:val="28"/>
          <w:lang w:val="uk-UA" w:eastAsia="ru-RU"/>
        </w:rPr>
        <w:t xml:space="preserve">. </w:t>
      </w:r>
    </w:p>
    <w:p w14:paraId="343D12F8"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Узагальнена модель процесуального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 має такі складники:</w:t>
      </w:r>
    </w:p>
    <w:p w14:paraId="260D9594" w14:textId="77777777" w:rsidR="00532C25" w:rsidRPr="00511005" w:rsidRDefault="00532C25" w:rsidP="00532C25">
      <w:pPr>
        <w:tabs>
          <w:tab w:val="left" w:pos="6379"/>
        </w:tabs>
        <w:spacing w:line="264" w:lineRule="auto"/>
        <w:ind w:firstLine="708"/>
        <w:rPr>
          <w:rFonts w:ascii="Arial" w:eastAsia="Arial" w:hAnsi="Arial" w:cs="Arial"/>
          <w:b/>
          <w:szCs w:val="28"/>
          <w:lang w:val="uk-UA" w:eastAsia="ru-RU"/>
        </w:rPr>
      </w:pPr>
      <w:r w:rsidRPr="00511005">
        <w:rPr>
          <w:rFonts w:ascii="Arial" w:eastAsia="Arial" w:hAnsi="Arial" w:cs="Arial"/>
          <w:szCs w:val="28"/>
          <w:lang w:val="uk-UA" w:eastAsia="ru-RU"/>
        </w:rPr>
        <w:t>1. Планування та підготовка.</w:t>
      </w:r>
      <w:r w:rsidRPr="00511005">
        <w:rPr>
          <w:rFonts w:ascii="Arial" w:eastAsia="Arial" w:hAnsi="Arial" w:cs="Arial"/>
          <w:b/>
          <w:szCs w:val="28"/>
          <w:lang w:val="ru" w:eastAsia="ru-RU"/>
        </w:rPr>
        <w:t xml:space="preserve"> </w:t>
      </w:r>
      <w:r w:rsidRPr="00511005">
        <w:rPr>
          <w:rFonts w:ascii="Arial" w:eastAsia="Arial" w:hAnsi="Arial" w:cs="Arial"/>
          <w:szCs w:val="28"/>
          <w:lang w:val="uk-UA" w:eastAsia="ru-RU"/>
        </w:rPr>
        <w:t>Планування є одним із найважливіших етапів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 без якого вся процесуальна дія ризикує стати невдалою ще до початку проведення. У процесі планування та підготовки до інтерв’ю слідчий, дізнавач чи прокурор має чітко визначити його мету, сформулювати основні завдання й структурувати хід проведення, окреслити ключові теми, що мають значення для розслідування, зібрати відомості про особу, врахувати вимоги законодавства, можливі ускладнення чи непередбачувані ситуації. Ретельна підготовка однозначно зменшує ресурсозатратність кримінального провадження, адже дає можливість за один раз отримати максимальну кількість інформації про подію.</w:t>
      </w:r>
    </w:p>
    <w:p w14:paraId="72300E4D"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2. Знайомство та роз</w:t>
      </w:r>
      <w:r w:rsidRPr="00511005">
        <w:rPr>
          <w:rFonts w:ascii="Arial" w:eastAsia="Arial" w:hAnsi="Arial" w:cs="Arial"/>
          <w:szCs w:val="28"/>
          <w:lang w:val="ru" w:eastAsia="ru-RU"/>
        </w:rPr>
        <w:t>’</w:t>
      </w:r>
      <w:r w:rsidRPr="00511005">
        <w:rPr>
          <w:rFonts w:ascii="Arial" w:eastAsia="Arial" w:hAnsi="Arial" w:cs="Arial"/>
          <w:szCs w:val="28"/>
          <w:lang w:val="uk-UA" w:eastAsia="ru-RU"/>
        </w:rPr>
        <w:t>яснення порядку проведення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Для успішного проведення процесуального інтерв'ю важливо налагодити особою, що допитується належний психологічний контакт. Задача полягає у створенні атмосфери довіри, співробітництва та ненапруженого спілкування, що стимулюватиме пам’ять та комунікацію. Якщо слідчий, дізнавач або прокурор обирає агресивний, ворожий чи принизливий стиль спілкування, це призведе до того, що людина, викликана до участі в інтерв'ю, може відмовитися від співробітництва та надання будь-якої інформації.</w:t>
      </w:r>
    </w:p>
    <w:p w14:paraId="38A1A160"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3. Отримання інформації.</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Стадія отримання інформації є основною в процесуальному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 Мета та завдання інтерв'ю досягаються саме на цій стадії. Тому важливе значення тут відіграють уміння і навички правильної постановки питань, адже завдяки їм формується запит до пам’яті співрозмовника та відтворюється необхідна інформація. З огляду на вказане, доречно починати відкритих питань, наприклад: «Опишіть, будь ласка, події, які відбулися». Після слід переходити до уточнення показань.</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 xml:space="preserve">Зі слів слідчого ДБР: «Правильно слід почати із того, щоб дати людині висловитися, дати можливість представити своє бачення, а вже потім ставити запитання. Неправильно одразу починати із конкретних питань, бо </w:t>
      </w:r>
      <w:r w:rsidRPr="00511005">
        <w:rPr>
          <w:rFonts w:ascii="Arial" w:eastAsia="Arial" w:hAnsi="Arial" w:cs="Arial"/>
          <w:szCs w:val="28"/>
          <w:lang w:val="uk-UA" w:eastAsia="ru-RU"/>
        </w:rPr>
        <w:lastRenderedPageBreak/>
        <w:t xml:space="preserve">можна втратити можливість отримати те, про що людина хотіла розповісти» </w:t>
      </w:r>
      <w:r w:rsidRPr="00511005">
        <w:rPr>
          <w:rFonts w:ascii="Arial" w:eastAsia="Arial" w:hAnsi="Arial" w:cs="Arial"/>
          <w:szCs w:val="28"/>
          <w:lang w:val="ru" w:eastAsia="ru-RU"/>
        </w:rPr>
        <w:t>[</w:t>
      </w:r>
      <w:r w:rsidRPr="00511005">
        <w:rPr>
          <w:rFonts w:ascii="Arial" w:eastAsia="Arial" w:hAnsi="Arial" w:cs="Arial"/>
          <w:szCs w:val="28"/>
          <w:lang w:val="uk-UA" w:eastAsia="ru-RU"/>
        </w:rPr>
        <w:t>5, с. 175</w:t>
      </w:r>
      <w:r w:rsidRPr="00511005">
        <w:rPr>
          <w:rFonts w:ascii="Arial" w:eastAsia="Arial" w:hAnsi="Arial" w:cs="Arial"/>
          <w:szCs w:val="28"/>
          <w:lang w:val="ru" w:eastAsia="ru-RU"/>
        </w:rPr>
        <w:t>].</w:t>
      </w:r>
    </w:p>
    <w:p w14:paraId="2BB8AE07"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4. Завершення проведення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Представники правоохоронних органів здебільшого поспішно завершують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 хоча цей етап потребує уважного підходу і не повинен припинятися раптово, неочікувано. Завершення інтерв’ю має включати підбиття підсумків, під час якого слід уточнити у співрозмовника, чи бажає він щось ще доповнити.</w:t>
      </w:r>
    </w:p>
    <w:p w14:paraId="66F90753" w14:textId="77777777" w:rsidR="00532C25" w:rsidRPr="00511005" w:rsidRDefault="00532C25" w:rsidP="00532C25">
      <w:pPr>
        <w:tabs>
          <w:tab w:val="left" w:pos="6379"/>
        </w:tabs>
        <w:spacing w:line="264" w:lineRule="auto"/>
        <w:ind w:firstLine="708"/>
        <w:rPr>
          <w:rFonts w:ascii="Arial" w:eastAsia="Arial" w:hAnsi="Arial" w:cs="Arial"/>
          <w:szCs w:val="28"/>
          <w:lang w:val="ru" w:eastAsia="ru-RU"/>
        </w:rPr>
      </w:pPr>
      <w:r w:rsidRPr="00511005">
        <w:rPr>
          <w:rFonts w:ascii="Arial" w:eastAsia="Arial" w:hAnsi="Arial" w:cs="Arial"/>
          <w:szCs w:val="28"/>
          <w:lang w:val="uk-UA" w:eastAsia="ru-RU"/>
        </w:rPr>
        <w:t xml:space="preserve">За словами детектива НАБУ: «Важливо правильно попрощатися з людиною, навіть якщо нічого важливого не вдалося дізнатись. Навіть якщо людина не контактує з тобою. Тому що ти можеш не отримати результат зараз, але посієш зерно, яке, можливо, проросте завтра і стане якимось результатом» </w:t>
      </w:r>
      <w:r w:rsidRPr="00511005">
        <w:rPr>
          <w:rFonts w:ascii="Arial" w:eastAsia="Arial" w:hAnsi="Arial" w:cs="Arial"/>
          <w:szCs w:val="28"/>
          <w:lang w:val="ru" w:eastAsia="ru-RU"/>
        </w:rPr>
        <w:t>[</w:t>
      </w:r>
      <w:r w:rsidRPr="00511005">
        <w:rPr>
          <w:rFonts w:ascii="Arial" w:eastAsia="Arial" w:hAnsi="Arial" w:cs="Arial"/>
          <w:szCs w:val="28"/>
          <w:lang w:val="uk-UA" w:eastAsia="ru-RU"/>
        </w:rPr>
        <w:t>5, с. 188</w:t>
      </w:r>
      <w:r w:rsidRPr="00511005">
        <w:rPr>
          <w:rFonts w:ascii="Arial" w:eastAsia="Arial" w:hAnsi="Arial" w:cs="Arial"/>
          <w:szCs w:val="28"/>
          <w:lang w:val="ru" w:eastAsia="ru-RU"/>
        </w:rPr>
        <w:t>]</w:t>
      </w:r>
      <w:r w:rsidRPr="00511005">
        <w:rPr>
          <w:rFonts w:ascii="Arial" w:eastAsia="Arial" w:hAnsi="Arial" w:cs="Arial"/>
          <w:szCs w:val="28"/>
          <w:lang w:val="uk-UA" w:eastAsia="ru-RU"/>
        </w:rPr>
        <w:t>.</w:t>
      </w:r>
    </w:p>
    <w:p w14:paraId="7A9AF19C"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ru" w:eastAsia="ru-RU"/>
        </w:rPr>
        <w:t xml:space="preserve">5. </w:t>
      </w:r>
      <w:r w:rsidRPr="00511005">
        <w:rPr>
          <w:rFonts w:ascii="Arial" w:eastAsia="Arial" w:hAnsi="Arial" w:cs="Arial"/>
          <w:szCs w:val="28"/>
          <w:lang w:val="uk-UA" w:eastAsia="ru-RU"/>
        </w:rPr>
        <w:t>Оцінка</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Стадія оцінки процесуального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 потрібна для аналізу отриманої інформації</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та її впливу на досудове розслідування, а також для рецензії слідчим чи д</w:t>
      </w:r>
      <w:r w:rsidRPr="00511005">
        <w:rPr>
          <w:rFonts w:ascii="Arial" w:eastAsia="Arial" w:hAnsi="Arial" w:cs="Arial"/>
          <w:szCs w:val="28"/>
          <w:lang w:val="ru" w:eastAsia="ru-RU"/>
        </w:rPr>
        <w:t xml:space="preserve">етективом </w:t>
      </w:r>
      <w:r w:rsidRPr="00511005">
        <w:rPr>
          <w:rFonts w:ascii="Arial" w:eastAsia="Arial" w:hAnsi="Arial" w:cs="Arial"/>
          <w:szCs w:val="28"/>
          <w:lang w:val="uk-UA" w:eastAsia="ru-RU"/>
        </w:rPr>
        <w:t>якості своєї роботи під час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w:t>
      </w:r>
    </w:p>
    <w:p w14:paraId="2533F48B" w14:textId="77777777" w:rsidR="00532C25" w:rsidRPr="00511005" w:rsidRDefault="00532C25" w:rsidP="00532C25">
      <w:pPr>
        <w:tabs>
          <w:tab w:val="left" w:pos="6379"/>
        </w:tabs>
        <w:spacing w:line="264" w:lineRule="auto"/>
        <w:ind w:firstLine="708"/>
        <w:rPr>
          <w:rFonts w:ascii="Arial" w:eastAsia="Arial" w:hAnsi="Arial" w:cs="Arial"/>
          <w:szCs w:val="28"/>
          <w:lang w:val="uk-UA" w:eastAsia="ru-RU"/>
        </w:rPr>
      </w:pPr>
      <w:r w:rsidRPr="00511005">
        <w:rPr>
          <w:rFonts w:ascii="Arial" w:eastAsia="Arial" w:hAnsi="Arial" w:cs="Arial"/>
          <w:szCs w:val="28"/>
          <w:lang w:val="ru" w:eastAsia="ru-RU"/>
        </w:rPr>
        <w:t xml:space="preserve">Підсумовуючи, </w:t>
      </w:r>
      <w:r w:rsidRPr="00511005">
        <w:rPr>
          <w:rFonts w:ascii="Arial" w:eastAsia="Arial" w:hAnsi="Arial" w:cs="Arial"/>
          <w:szCs w:val="28"/>
          <w:lang w:val="uk-UA" w:eastAsia="ru-RU"/>
        </w:rPr>
        <w:t xml:space="preserve">слід дійти висновку про те, що головною метою будь-якого розслідування є здобуття наскільки можливо більше надійної та достовірної інформації </w:t>
      </w:r>
      <w:proofErr w:type="gramStart"/>
      <w:r w:rsidRPr="00511005">
        <w:rPr>
          <w:rFonts w:ascii="Arial" w:eastAsia="Arial" w:hAnsi="Arial" w:cs="Arial"/>
          <w:szCs w:val="28"/>
          <w:lang w:val="uk-UA" w:eastAsia="ru-RU"/>
        </w:rPr>
        <w:t>в порядку</w:t>
      </w:r>
      <w:proofErr w:type="gramEnd"/>
      <w:r w:rsidRPr="00511005">
        <w:rPr>
          <w:rFonts w:ascii="Arial" w:eastAsia="Arial" w:hAnsi="Arial" w:cs="Arial"/>
          <w:szCs w:val="28"/>
          <w:lang w:val="uk-UA" w:eastAsia="ru-RU"/>
        </w:rPr>
        <w:t xml:space="preserve">, визначеному кримінально-процесуальним законодавством України. Тому впровадження процесуального інтерв’ю, що базується на принципах міжособистісного спілкування, відкритого діалогу, поваги, дотримання етичних норм та прав людини є цілком виправданою тенденцією. </w:t>
      </w:r>
    </w:p>
    <w:p w14:paraId="55395089" w14:textId="77777777" w:rsidR="00532C25" w:rsidRPr="00511005" w:rsidRDefault="00532C25" w:rsidP="00532C25">
      <w:pPr>
        <w:spacing w:line="264" w:lineRule="auto"/>
        <w:ind w:firstLine="708"/>
        <w:rPr>
          <w:rFonts w:ascii="Arial" w:eastAsia="Arial" w:hAnsi="Arial" w:cs="Arial"/>
          <w:b/>
          <w:szCs w:val="28"/>
          <w:lang w:val="uk-UA" w:eastAsia="ru-RU"/>
        </w:rPr>
      </w:pPr>
    </w:p>
    <w:p w14:paraId="12D38205" w14:textId="77777777" w:rsidR="00532C25" w:rsidRPr="00511005" w:rsidRDefault="00532C25" w:rsidP="00532C25">
      <w:pPr>
        <w:spacing w:line="264" w:lineRule="auto"/>
        <w:ind w:firstLine="708"/>
        <w:jc w:val="center"/>
        <w:rPr>
          <w:rFonts w:ascii="Arial" w:eastAsia="Arial" w:hAnsi="Arial" w:cs="Arial"/>
          <w:b/>
          <w:szCs w:val="28"/>
          <w:lang w:val="uk-UA" w:eastAsia="ru-RU"/>
        </w:rPr>
      </w:pPr>
      <w:r w:rsidRPr="00511005">
        <w:rPr>
          <w:rFonts w:ascii="Arial" w:eastAsia="Arial" w:hAnsi="Arial" w:cs="Arial"/>
          <w:b/>
          <w:szCs w:val="28"/>
          <w:lang w:val="uk-UA" w:eastAsia="ru-RU"/>
        </w:rPr>
        <w:t>Список використаних джерел</w:t>
      </w:r>
    </w:p>
    <w:p w14:paraId="572FC305"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1. Справа «Шабельник проти України» (Заява № 16404/03)</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Європейський суд з прав людини, 1 червня 2017. URL:</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https://hudoc.echr.coe.int/rus?i=001-188211.</w:t>
      </w:r>
    </w:p>
    <w:p w14:paraId="5E598269"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2. Справа «Нечипорук і Йонкало проти України» (Заява № 42310/04)</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Європейський суд з прав людини, 21 липня 2011. URL: https://hudoc.echr.coe.int/rus?i=001-204031.</w:t>
      </w:r>
    </w:p>
    <w:p w14:paraId="2AECF00E"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3. Кримінальний процесуальний кодекс України: Кодекс України від 13.04.2012 № 4651-</w:t>
      </w:r>
      <w:r w:rsidRPr="00511005">
        <w:rPr>
          <w:rFonts w:ascii="Arial" w:eastAsia="Arial" w:hAnsi="Arial" w:cs="Arial"/>
          <w:szCs w:val="28"/>
          <w:lang w:val="en-US" w:eastAsia="ru-RU"/>
        </w:rPr>
        <w:t>VI</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URL: http://zakon2.rada.gov.ua/laws/show/4651-17</w:t>
      </w:r>
      <w:r w:rsidRPr="00511005">
        <w:rPr>
          <w:rFonts w:ascii="Arial" w:eastAsia="Arial" w:hAnsi="Arial" w:cs="Arial"/>
          <w:szCs w:val="28"/>
          <w:lang w:val="uk-UA" w:eastAsia="ru-RU"/>
        </w:rPr>
        <w:t>.</w:t>
      </w:r>
    </w:p>
    <w:p w14:paraId="5EC210DE"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4. Бєлоусов Ю., Орлеан А., Філоненко Т., Рокунь С., Іванов О., Диба О., Усіков В., Кабаєв В., Єршов П., Риковцев О., Яворська В., Васильчук В. Стандарти процесуального інтерв</w:t>
      </w:r>
      <w:r w:rsidRPr="00511005">
        <w:rPr>
          <w:rFonts w:ascii="Arial" w:eastAsia="Arial" w:hAnsi="Arial" w:cs="Arial"/>
          <w:szCs w:val="28"/>
          <w:lang w:val="ru" w:eastAsia="ru-RU"/>
        </w:rPr>
        <w:t>’</w:t>
      </w:r>
      <w:r w:rsidRPr="00511005">
        <w:rPr>
          <w:rFonts w:ascii="Arial" w:eastAsia="Arial" w:hAnsi="Arial" w:cs="Arial"/>
          <w:szCs w:val="28"/>
          <w:lang w:val="uk-UA" w:eastAsia="ru-RU"/>
        </w:rPr>
        <w:t>ю. 2022. 182 с. URL: https://justtalk.com.ua/post/standarti-protsesualnogo-intervyu.</w:t>
      </w:r>
    </w:p>
    <w:p w14:paraId="560DEEF0"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5. Бєлоусов Ю., Броневицька О., Деркач С., Луцик В., Орлеан А., Рогальська В., Філоненко Т., Яворська В.. Розкажи мені що сталося, або зізнайся. Дослідження про процесуальне інтерв’ю. Аналіз міжнародного досвіду. Опис узагальненої моделі. Аналіз національної системи підготовки та практики. Київ. Процесуальне інтерв’ю в Україні, 2020. 232 с. URL: </w:t>
      </w:r>
      <w:hyperlink r:id="rId2252" w:history="1">
        <w:r w:rsidRPr="00511005">
          <w:rPr>
            <w:rFonts w:ascii="Arial" w:eastAsia="Arial" w:hAnsi="Arial" w:cs="Arial"/>
            <w:szCs w:val="28"/>
            <w:lang w:val="ru" w:eastAsia="ru-RU"/>
          </w:rPr>
          <w:t>https://dspace.lvduvs.edu.ua/handle/1234567890/3568</w:t>
        </w:r>
      </w:hyperlink>
      <w:r w:rsidRPr="00511005">
        <w:rPr>
          <w:rFonts w:ascii="Arial" w:eastAsia="Arial" w:hAnsi="Arial" w:cs="Arial"/>
          <w:szCs w:val="28"/>
          <w:lang w:val="ru" w:eastAsia="ru-RU"/>
        </w:rPr>
        <w:t>.</w:t>
      </w:r>
      <w:r w:rsidRPr="00511005">
        <w:rPr>
          <w:rFonts w:ascii="Arial" w:eastAsia="Arial" w:hAnsi="Arial" w:cs="Arial"/>
          <w:szCs w:val="28"/>
          <w:lang w:val="uk-UA" w:eastAsia="ru-RU"/>
        </w:rPr>
        <w:t xml:space="preserve"> </w:t>
      </w:r>
    </w:p>
    <w:p w14:paraId="6F94424E" w14:textId="77777777" w:rsidR="00532C25" w:rsidRPr="00511005" w:rsidRDefault="00532C25" w:rsidP="00532C25">
      <w:pPr>
        <w:spacing w:line="264" w:lineRule="auto"/>
        <w:ind w:firstLine="0"/>
        <w:rPr>
          <w:rFonts w:ascii="Arial" w:eastAsia="Arial" w:hAnsi="Arial" w:cs="Arial"/>
          <w:szCs w:val="28"/>
          <w:lang w:val="uk-UA" w:eastAsia="ru-RU"/>
        </w:rPr>
      </w:pPr>
    </w:p>
    <w:p w14:paraId="25C0915D"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b/>
          <w:i/>
          <w:szCs w:val="28"/>
          <w:lang w:val="uk-UA" w:eastAsia="ru-RU"/>
        </w:rPr>
        <w:t xml:space="preserve">Ключові слова: </w:t>
      </w:r>
      <w:r w:rsidRPr="00511005">
        <w:rPr>
          <w:rFonts w:ascii="Arial" w:eastAsia="Arial" w:hAnsi="Arial" w:cs="Arial"/>
          <w:szCs w:val="28"/>
          <w:lang w:val="uk-UA" w:eastAsia="ru-RU"/>
        </w:rPr>
        <w:t xml:space="preserve">кримінальне провадження, слідчі (розшукові) дії, процесуальне інетрв’ю, методика, допит. </w:t>
      </w:r>
    </w:p>
    <w:p w14:paraId="67956D55"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b/>
          <w:i/>
          <w:szCs w:val="28"/>
          <w:lang w:val="en-US" w:eastAsia="ru-RU"/>
        </w:rPr>
        <w:t xml:space="preserve">Key words: </w:t>
      </w:r>
      <w:r w:rsidRPr="00511005">
        <w:rPr>
          <w:rFonts w:ascii="Arial" w:eastAsia="Arial" w:hAnsi="Arial" w:cs="Arial"/>
          <w:szCs w:val="28"/>
          <w:lang w:val="en-US" w:eastAsia="ru-RU"/>
        </w:rPr>
        <w:t xml:space="preserve">criminal proceedings, investigative (search) actions, </w:t>
      </w:r>
      <w:r w:rsidRPr="00511005">
        <w:rPr>
          <w:rFonts w:ascii="Arial" w:eastAsia="Arial" w:hAnsi="Arial" w:cs="Arial"/>
          <w:szCs w:val="28"/>
          <w:lang w:val="uk-UA" w:eastAsia="ru-RU"/>
        </w:rPr>
        <w:t>investigative interview</w:t>
      </w:r>
      <w:r w:rsidRPr="00511005">
        <w:rPr>
          <w:rFonts w:ascii="Arial" w:eastAsia="Arial" w:hAnsi="Arial" w:cs="Arial"/>
          <w:szCs w:val="28"/>
          <w:lang w:val="en-US" w:eastAsia="ru-RU"/>
        </w:rPr>
        <w:t>, methodology, interrogation.</w:t>
      </w:r>
    </w:p>
    <w:p w14:paraId="6A9039D5" w14:textId="77777777" w:rsidR="00532C25" w:rsidRPr="00511005" w:rsidRDefault="00532C25" w:rsidP="00532C25">
      <w:pPr>
        <w:spacing w:line="264" w:lineRule="auto"/>
        <w:ind w:firstLine="708"/>
        <w:rPr>
          <w:rFonts w:ascii="Arial" w:eastAsia="Arial" w:hAnsi="Arial" w:cs="Arial"/>
          <w:i/>
          <w:szCs w:val="28"/>
          <w:lang w:val="uk-UA" w:eastAsia="ru-RU"/>
        </w:rPr>
      </w:pPr>
      <w:r w:rsidRPr="00511005">
        <w:rPr>
          <w:rFonts w:ascii="Arial" w:eastAsia="Arial" w:hAnsi="Arial" w:cs="Arial"/>
          <w:b/>
          <w:i/>
          <w:szCs w:val="28"/>
          <w:lang w:val="ru" w:eastAsia="ru-RU"/>
        </w:rPr>
        <w:t xml:space="preserve">Науковий керівник: </w:t>
      </w:r>
      <w:r w:rsidRPr="00511005">
        <w:rPr>
          <w:rFonts w:ascii="Arial" w:eastAsia="Arial" w:hAnsi="Arial" w:cs="Arial"/>
          <w:i/>
          <w:szCs w:val="28"/>
          <w:lang w:val="uk-UA" w:eastAsia="ru-RU"/>
        </w:rPr>
        <w:t>к.ю.н., доцент, доцент кримінального процесу Мурзановська А. В.</w:t>
      </w:r>
    </w:p>
    <w:p w14:paraId="3A07860F" w14:textId="77777777" w:rsidR="00532C25" w:rsidRPr="00511005" w:rsidRDefault="00532C25" w:rsidP="00532C25">
      <w:pPr>
        <w:spacing w:line="264" w:lineRule="auto"/>
        <w:ind w:left="360" w:firstLine="360"/>
        <w:rPr>
          <w:rFonts w:ascii="Arial" w:eastAsia="Arial" w:hAnsi="Arial" w:cs="Arial"/>
          <w:szCs w:val="28"/>
          <w:lang w:val="uk-UA" w:eastAsia="ru-RU"/>
        </w:rPr>
      </w:pPr>
    </w:p>
    <w:p w14:paraId="4DAEB395" w14:textId="77777777" w:rsidR="00532C25" w:rsidRPr="00511005" w:rsidRDefault="00532C25" w:rsidP="00532C25">
      <w:pPr>
        <w:tabs>
          <w:tab w:val="left" w:pos="7088"/>
        </w:tabs>
        <w:spacing w:line="264" w:lineRule="auto"/>
        <w:jc w:val="center"/>
        <w:rPr>
          <w:rFonts w:ascii="Arial" w:eastAsia="Arial" w:hAnsi="Arial" w:cs="Arial"/>
          <w:b/>
          <w:i/>
          <w:szCs w:val="28"/>
          <w:lang w:val="uk-UA" w:eastAsia="ru-RU" w:bidi="uk-UA"/>
        </w:rPr>
      </w:pPr>
      <w:r w:rsidRPr="00511005">
        <w:rPr>
          <w:rFonts w:ascii="Arial" w:eastAsia="Arial" w:hAnsi="Arial" w:cs="Arial"/>
          <w:b/>
          <w:i/>
          <w:szCs w:val="28"/>
          <w:lang w:val="uk-UA" w:eastAsia="ru-RU" w:bidi="uk-UA"/>
        </w:rPr>
        <w:t>Оглу Рані Володимирівна</w:t>
      </w:r>
    </w:p>
    <w:p w14:paraId="422C3591" w14:textId="77777777" w:rsidR="00532C25" w:rsidRPr="00511005" w:rsidRDefault="00532C25" w:rsidP="00532C25">
      <w:pPr>
        <w:tabs>
          <w:tab w:val="left" w:pos="7088"/>
        </w:tabs>
        <w:spacing w:line="264" w:lineRule="auto"/>
        <w:jc w:val="center"/>
        <w:rPr>
          <w:rFonts w:ascii="Arial" w:eastAsia="Arial" w:hAnsi="Arial" w:cs="Arial"/>
          <w:iCs/>
          <w:szCs w:val="28"/>
          <w:lang w:val="uk-UA" w:eastAsia="ru-RU" w:bidi="uk-UA"/>
        </w:rPr>
      </w:pPr>
      <w:r w:rsidRPr="00511005">
        <w:rPr>
          <w:rFonts w:ascii="Arial" w:eastAsia="Arial" w:hAnsi="Arial" w:cs="Arial"/>
          <w:iCs/>
          <w:szCs w:val="28"/>
          <w:lang w:val="uk-UA" w:eastAsia="ru-RU" w:bidi="uk-UA"/>
        </w:rPr>
        <w:t>студентка 1-го курсу магістратури факультету судового та міжнародного права</w:t>
      </w:r>
    </w:p>
    <w:p w14:paraId="350FDEBB" w14:textId="77777777" w:rsidR="00532C25" w:rsidRPr="00511005" w:rsidRDefault="00532C25" w:rsidP="00532C25">
      <w:pPr>
        <w:tabs>
          <w:tab w:val="left" w:pos="7088"/>
        </w:tabs>
        <w:spacing w:line="264" w:lineRule="auto"/>
        <w:jc w:val="center"/>
        <w:rPr>
          <w:rFonts w:ascii="Arial" w:eastAsia="Arial" w:hAnsi="Arial" w:cs="Arial"/>
          <w:iCs/>
          <w:szCs w:val="28"/>
          <w:lang w:val="uk-UA" w:eastAsia="ru-RU" w:bidi="uk-UA"/>
        </w:rPr>
      </w:pPr>
      <w:r w:rsidRPr="00511005">
        <w:rPr>
          <w:rFonts w:ascii="Arial" w:eastAsia="Arial" w:hAnsi="Arial" w:cs="Arial"/>
          <w:iCs/>
          <w:szCs w:val="28"/>
          <w:lang w:val="uk-UA" w:eastAsia="ru-RU" w:bidi="uk-UA"/>
        </w:rPr>
        <w:t>Національного університету «Одеська юридична академія»</w:t>
      </w:r>
    </w:p>
    <w:p w14:paraId="3CE08AB8" w14:textId="77777777" w:rsidR="00532C25" w:rsidRPr="00511005" w:rsidRDefault="00532C25" w:rsidP="00532C25">
      <w:pPr>
        <w:tabs>
          <w:tab w:val="left" w:pos="7088"/>
        </w:tabs>
        <w:spacing w:line="264" w:lineRule="auto"/>
        <w:jc w:val="center"/>
        <w:rPr>
          <w:rFonts w:ascii="Arial" w:eastAsia="Arial" w:hAnsi="Arial" w:cs="Arial"/>
          <w:iCs/>
          <w:szCs w:val="28"/>
          <w:lang w:val="uk-UA" w:eastAsia="ru-RU" w:bidi="uk-UA"/>
        </w:rPr>
      </w:pPr>
    </w:p>
    <w:p w14:paraId="0D368612" w14:textId="77777777" w:rsidR="00532C25" w:rsidRPr="00511005" w:rsidRDefault="00532C25" w:rsidP="00532C25">
      <w:pPr>
        <w:tabs>
          <w:tab w:val="left" w:pos="7088"/>
        </w:tabs>
        <w:spacing w:line="264" w:lineRule="auto"/>
        <w:ind w:firstLine="0"/>
        <w:jc w:val="center"/>
        <w:rPr>
          <w:rFonts w:ascii="Arial" w:eastAsia="Arial" w:hAnsi="Arial" w:cs="Arial"/>
          <w:b/>
          <w:iCs/>
          <w:szCs w:val="28"/>
          <w:lang w:val="uk-UA" w:eastAsia="ru-RU" w:bidi="uk-UA"/>
        </w:rPr>
      </w:pPr>
      <w:r w:rsidRPr="00511005">
        <w:rPr>
          <w:rFonts w:ascii="Arial" w:eastAsia="Arial" w:hAnsi="Arial" w:cs="Arial"/>
          <w:b/>
          <w:iCs/>
          <w:szCs w:val="28"/>
          <w:lang w:val="uk-UA" w:eastAsia="ru-RU" w:bidi="uk-UA"/>
        </w:rPr>
        <w:t>РОЗСЛІДУВАННЯ ЗЛОЧИНІВ І ПРАВО НА ПРИВАТНІСТЬ</w:t>
      </w:r>
    </w:p>
    <w:p w14:paraId="7FC2101D"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Баланс між правом держави на розслідування злочинів і правом особи на приватне спілкування є однією з важливих та складних проблем у правовій системі, що стосується не лише теоретичних, але й практичних аспектів здійснення правосуддя. Це питання набуває особливого значення під час проведення негласних слідчих (розшукових) дій, що, з одного боку, дозволяють органам правопорядку боротися з організованою злочинністю, а з іншого – можуть порушувати право на особисте життя, яке є основним елементом прав і свобод людини.</w:t>
      </w:r>
    </w:p>
    <w:p w14:paraId="52F135D9"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Основним правовим механізмом, що регулює це питання, є Конституція України, яка забезпечує право кожної людини на приватність, зокрема на таємницю особистого листування, телефонних розмов, а також на недоторканність особистого і сімейного життя (ст. 32 Конституції України). Водночас, держава має право в межах закону здійснювати розслідування злочинів, що включає й використання негласних слідчих (розшукових) дій, до яких належать, наприклад, прослуховування телефонних розмов, зняття інформації з електронних носіїв та інші методи, що можуть впливати на право на особисту недоторканність.</w:t>
      </w:r>
    </w:p>
    <w:p w14:paraId="0AABB5DA"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Важливою з точки зору дотримання балансу під час здійснення НСРД є ефективна комунікація між середовищем правників (судді, прокурори, адвокати, слідчі, дізнавачі) та середовищем законотворців (суб’єкти законодавчої ініціативи, парламентарі, профільні</w:t>
      </w:r>
      <w:r w:rsidRPr="00511005">
        <w:rPr>
          <w:rFonts w:ascii="Arial" w:eastAsia="Arial" w:hAnsi="Arial" w:cs="Arial"/>
          <w:szCs w:val="28"/>
          <w:lang w:val="uk-UA" w:eastAsia="ru-RU"/>
        </w:rPr>
        <w:t xml:space="preserve"> </w:t>
      </w:r>
      <w:r w:rsidRPr="00511005">
        <w:rPr>
          <w:rFonts w:ascii="Arial" w:eastAsia="Arial" w:hAnsi="Arial" w:cs="Arial"/>
          <w:szCs w:val="28"/>
          <w:lang w:val="uk-UA" w:eastAsia="ru-RU" w:bidi="uk-UA"/>
        </w:rPr>
        <w:t>комітети ВРУ), що дозволяє оперативно реагувати на нові виклики, усувати прогалини, пов’язані з функціонуванням правових інститутів та механізмів в умовах воєнного стану [1, c. 70].</w:t>
      </w:r>
    </w:p>
    <w:p w14:paraId="786C34DF"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 xml:space="preserve">Забезпечення балансу між правом держави на розслідування злочинів та правом особи на приватне спілкування є важливим для ефективного правосуддя. У цьому контексті ключовими є принципи законності, необхідності, пропорційності та адекватності, що повинні супроводжувати </w:t>
      </w:r>
      <w:r w:rsidRPr="00511005">
        <w:rPr>
          <w:rFonts w:ascii="Arial" w:eastAsia="Arial" w:hAnsi="Arial" w:cs="Arial"/>
          <w:szCs w:val="28"/>
          <w:lang w:val="uk-UA" w:eastAsia="ru-RU" w:bidi="uk-UA"/>
        </w:rPr>
        <w:lastRenderedPageBreak/>
        <w:t>застосування негласних слідчих (розшукових) дій. Згідно з цими принципами, державні органи повинні мати законні підстави для здійснення таких дій, вони мають бути застосовані лише в разі необхідності для розслідування серйозних злочинів, і не повинні порушувати права громадян більше, ніж це вимагається для досягнення мети.</w:t>
      </w:r>
    </w:p>
    <w:p w14:paraId="6A35568E"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Один з основних механізмів забезпечення цього балансу полягає в процесуальних гарантіях, визначених кримінальним процесуальним законодавством України. Так, відповідно до Кримінального процесуального кодексу України (далі – КПК) [2] рішення про проведення негласних слідчих (розшукових) дій приймає слідчий, прокурор, а у випадках, передбачених КПК , - слідчий суддя за клопотанням прокурора або за клопотанням слідчого, погодженого з прокурором. Слідчий зобов’язаний повідомити прокурора про прийняття рішення щодо проведення певних негласних слідчих (розшукових) дій та отримані результати.</w:t>
      </w:r>
    </w:p>
    <w:p w14:paraId="1B46760E"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Ще одним механізмом є обмеження щодо тривалості проведення негласних слідчих (розшукових) дій. Такі дії не можуть тривати безстроково, що дозволяє уникнути зловживань та забезпечує контроль за їх законністю. Окрім цього, застосування негласних слідчих (розшукових) дій має бути максимально обмежене у часі та масштабах, і має проводитись з чітким визначенням меж, які не повинні порушувати права людини більше, ніж це необхідно для досягнення мети розслідування.</w:t>
      </w:r>
    </w:p>
    <w:p w14:paraId="792BC336"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Крім того, необхідно враховувати правові гарантії, які мають бути надані особам, щодо яких застосовуються негласні слідчі дії. До таких гарантій можна віднести право на захист, право на інформацію про застосування негласних дій у разі, якщо це не зашкодить розслідуванню, а також право оскаржити рішення суду щодо дозволу на проведення таких дій [3, c. 39]. Важливо, щоб ці гарантії були чітко прописані в законодавстві, і забезпечували дійсне право особи на захист своєї приватності.</w:t>
      </w:r>
    </w:p>
    <w:p w14:paraId="1EECDD70"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Незважаючи на вже існуючі механізми, проблема забезпечення балансу між правом держави на розслідування злочинів і правом особи на приватне спілкування потребує постійного вдосконалення.</w:t>
      </w:r>
    </w:p>
    <w:p w14:paraId="7FF7DE09"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З огляду на делікатний характер негласних слідчих (розшукових) дій, які нерідко здійснюються без відома особи та можуть втручатися в її приватне життя, особливої актуальності набуває питання належного контролю за дотриманням прав і свобод людини в цій сфері. Незважаючи на наявність судового контролю та процесуальних гарантій, на практиці існує ризик зловживань і порушення прав, особливо коли йдеться про прослуховування розмов, відеоспостереження, контроль листування чи проникнення в житло.</w:t>
      </w:r>
    </w:p>
    <w:p w14:paraId="630E02FE"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 xml:space="preserve">У зв’язку з цим доцільно розглянути перспективу розширення повноважень інституту Уповноваженого Верховної Ради України з прав людини (омбудсмена) у сфері здійснення НСРД. На мою думку, омбудсмен </w:t>
      </w:r>
      <w:r w:rsidRPr="00511005">
        <w:rPr>
          <w:rFonts w:ascii="Arial" w:eastAsia="Arial" w:hAnsi="Arial" w:cs="Arial"/>
          <w:szCs w:val="28"/>
          <w:lang w:val="uk-UA" w:eastAsia="ru-RU" w:bidi="uk-UA"/>
        </w:rPr>
        <w:lastRenderedPageBreak/>
        <w:t>міг би відігравати суттєву роль у забезпеченні додаткового, незалежного контролю за дотриманням прав осіб під час проведення таких дій. Йдеться не про дублювання функцій суду чи втручання у сам хід слідства, а про системну перевірку дотримання прав людини, аналіз скарг громадян, розробку рекомендацій для органів досудового розслідування, а також моніторинг практики застосування НСРД.</w:t>
      </w:r>
    </w:p>
    <w:p w14:paraId="2B95B0B4"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Крім того, омбудсмен як незалежний суб’єкт без політичної заангажованості та безпосередньої залежності від органів правопорядку, має високий рівень довіри в суспільстві, що робить його інституцію надзвичайно цінною у питаннях захисту прав уразливих категорій осіб, зокрема тих, хто не усвідомлює, що став об’єктом НСРД. Запровадження спеціального підрозділу в офісі Уповноваженого, який опікувався б виключно моніторингом сфери негласних слідчих (розшукових) дій, сприяло б формуванню балансу між ефективністю боротьби зі злочинністю та необхідністю дотримання стандартів прав людини.</w:t>
      </w:r>
    </w:p>
    <w:p w14:paraId="28A8A87B" w14:textId="77777777" w:rsidR="00532C25" w:rsidRPr="00511005" w:rsidRDefault="00532C25" w:rsidP="00532C25">
      <w:pPr>
        <w:tabs>
          <w:tab w:val="left" w:pos="7088"/>
        </w:tabs>
        <w:spacing w:line="264" w:lineRule="auto"/>
        <w:rPr>
          <w:rFonts w:ascii="Arial" w:eastAsia="Arial" w:hAnsi="Arial" w:cs="Arial"/>
          <w:szCs w:val="28"/>
          <w:lang w:val="uk-UA" w:eastAsia="ru-RU" w:bidi="uk-UA"/>
        </w:rPr>
      </w:pPr>
      <w:r w:rsidRPr="00511005">
        <w:rPr>
          <w:rFonts w:ascii="Arial" w:eastAsia="Arial" w:hAnsi="Arial" w:cs="Arial"/>
          <w:szCs w:val="28"/>
          <w:lang w:val="uk-UA" w:eastAsia="ru-RU" w:bidi="uk-UA"/>
        </w:rPr>
        <w:t>Таким чином, баланс між правом держави на розслідування злочинів та правом особи на приватне спілкування є важливим і складним завданням, яке потребує ретельного контролю і відповідних правових механізмів. Для досягнення цього балансу необхідно зберігати належний рівень правового захисту приватного життя осіб, а також забезпечити ефективність заходів боротьби зі злочинністю.</w:t>
      </w:r>
    </w:p>
    <w:p w14:paraId="69544E46" w14:textId="77777777" w:rsidR="00532C25" w:rsidRPr="00511005" w:rsidRDefault="00532C25" w:rsidP="00532C25">
      <w:pPr>
        <w:tabs>
          <w:tab w:val="left" w:pos="7088"/>
        </w:tabs>
        <w:spacing w:line="264" w:lineRule="auto"/>
        <w:rPr>
          <w:rFonts w:ascii="Arial" w:eastAsia="Arial" w:hAnsi="Arial" w:cs="Arial"/>
          <w:b/>
          <w:szCs w:val="28"/>
          <w:lang w:val="uk-UA" w:eastAsia="ru-RU" w:bidi="uk-UA"/>
        </w:rPr>
      </w:pPr>
    </w:p>
    <w:p w14:paraId="624BBA3B" w14:textId="77777777" w:rsidR="00532C25" w:rsidRPr="00511005" w:rsidRDefault="00532C25" w:rsidP="00532C25">
      <w:pPr>
        <w:tabs>
          <w:tab w:val="left" w:pos="7088"/>
        </w:tabs>
        <w:spacing w:line="264" w:lineRule="auto"/>
        <w:jc w:val="center"/>
        <w:rPr>
          <w:rFonts w:ascii="Arial" w:eastAsia="Arial" w:hAnsi="Arial" w:cs="Arial"/>
          <w:szCs w:val="28"/>
          <w:lang w:val="uk-UA" w:eastAsia="ru-RU" w:bidi="uk-UA"/>
        </w:rPr>
      </w:pPr>
      <w:r w:rsidRPr="00511005">
        <w:rPr>
          <w:rFonts w:ascii="Arial" w:eastAsia="Arial" w:hAnsi="Arial" w:cs="Arial"/>
          <w:b/>
          <w:szCs w:val="28"/>
          <w:lang w:val="uk-UA" w:eastAsia="ru-RU" w:bidi="uk-UA"/>
        </w:rPr>
        <w:t>Список використаних джерел</w:t>
      </w:r>
    </w:p>
    <w:p w14:paraId="0E344B5E" w14:textId="77777777" w:rsidR="00532C25" w:rsidRPr="00511005" w:rsidRDefault="00532C25" w:rsidP="003F6A5D">
      <w:pPr>
        <w:widowControl w:val="0"/>
        <w:numPr>
          <w:ilvl w:val="0"/>
          <w:numId w:val="819"/>
        </w:numPr>
        <w:tabs>
          <w:tab w:val="left" w:pos="7088"/>
        </w:tabs>
        <w:autoSpaceDE w:val="0"/>
        <w:autoSpaceDN w:val="0"/>
        <w:adjustRightInd w:val="0"/>
        <w:spacing w:line="264" w:lineRule="auto"/>
        <w:ind w:left="0" w:hanging="567"/>
        <w:contextualSpacing/>
        <w:jc w:val="left"/>
        <w:rPr>
          <w:rFonts w:ascii="Arial" w:eastAsia="Calibri" w:hAnsi="Arial" w:cs="Arial"/>
          <w:iCs/>
          <w:szCs w:val="28"/>
          <w:lang w:val="uk-UA" w:bidi="uk-UA"/>
        </w:rPr>
      </w:pPr>
      <w:r w:rsidRPr="00511005">
        <w:rPr>
          <w:rFonts w:ascii="Arial" w:eastAsia="Calibri" w:hAnsi="Arial" w:cs="Arial"/>
          <w:szCs w:val="28"/>
          <w:shd w:val="clear" w:color="auto" w:fill="FFFFFF"/>
          <w:lang w:val="uk-UA"/>
        </w:rPr>
        <w:t>Дуфенюк</w:t>
      </w:r>
      <w:r w:rsidRPr="00511005">
        <w:rPr>
          <w:rFonts w:ascii="Arial" w:eastAsia="Calibri" w:hAnsi="Arial" w:cs="Arial"/>
          <w:szCs w:val="28"/>
          <w:shd w:val="clear" w:color="auto" w:fill="FFFFFF"/>
          <w:lang w:val="en-GB"/>
        </w:rPr>
        <w:t> </w:t>
      </w:r>
      <w:r w:rsidRPr="00511005">
        <w:rPr>
          <w:rFonts w:ascii="Arial" w:eastAsia="Calibri" w:hAnsi="Arial" w:cs="Arial"/>
          <w:szCs w:val="28"/>
          <w:shd w:val="clear" w:color="auto" w:fill="FFFFFF"/>
          <w:lang w:val="uk-UA"/>
        </w:rPr>
        <w:t>О.</w:t>
      </w:r>
      <w:r w:rsidRPr="00511005">
        <w:rPr>
          <w:rFonts w:ascii="Arial" w:eastAsia="Calibri" w:hAnsi="Arial" w:cs="Arial"/>
          <w:szCs w:val="28"/>
          <w:shd w:val="clear" w:color="auto" w:fill="FFFFFF"/>
          <w:lang w:val="en-GB"/>
        </w:rPr>
        <w:t> </w:t>
      </w:r>
      <w:r w:rsidRPr="00511005">
        <w:rPr>
          <w:rFonts w:ascii="Arial" w:eastAsia="Calibri" w:hAnsi="Arial" w:cs="Arial"/>
          <w:szCs w:val="28"/>
          <w:shd w:val="clear" w:color="auto" w:fill="FFFFFF"/>
          <w:lang w:val="uk-UA"/>
        </w:rPr>
        <w:t xml:space="preserve">М. Баланс цінностей та інтересів у кримінальному провадженні в умовах війни. </w:t>
      </w:r>
      <w:r w:rsidRPr="00511005">
        <w:rPr>
          <w:rFonts w:ascii="Arial" w:eastAsia="Calibri" w:hAnsi="Arial" w:cs="Arial"/>
          <w:i/>
          <w:iCs/>
          <w:szCs w:val="28"/>
          <w:shd w:val="clear" w:color="auto" w:fill="FFFFFF"/>
          <w:lang w:val="uk-UA"/>
        </w:rPr>
        <w:t>Проблеми кваліфікації та розслідування кримінальних правопорушень в умовах воєнного стану: матеріали науково-практичної конференції (Київ, 26 травня 2022 р.).</w:t>
      </w:r>
      <w:r w:rsidRPr="00511005">
        <w:rPr>
          <w:rFonts w:ascii="Arial" w:eastAsia="Calibri" w:hAnsi="Arial" w:cs="Arial"/>
          <w:szCs w:val="28"/>
          <w:shd w:val="clear" w:color="auto" w:fill="FFFFFF"/>
          <w:lang w:val="uk-UA"/>
        </w:rPr>
        <w:t xml:space="preserve"> Київ: НАВС, 2022. С. 66-70. </w:t>
      </w:r>
      <w:r w:rsidRPr="00511005">
        <w:rPr>
          <w:rFonts w:ascii="Arial" w:eastAsia="Calibri" w:hAnsi="Arial" w:cs="Arial"/>
          <w:szCs w:val="28"/>
          <w:shd w:val="clear" w:color="auto" w:fill="FFFFFF"/>
          <w:lang w:val="en-US"/>
        </w:rPr>
        <w:t>URL</w:t>
      </w:r>
      <w:r w:rsidRPr="00511005">
        <w:rPr>
          <w:rFonts w:ascii="Arial" w:eastAsia="Calibri" w:hAnsi="Arial" w:cs="Arial"/>
          <w:szCs w:val="28"/>
          <w:shd w:val="clear" w:color="auto" w:fill="FFFFFF"/>
          <w:lang w:val="uk-UA"/>
        </w:rPr>
        <w:t xml:space="preserve">: https://dspace.lvduvs.edu.ua/handle/1234567890/4754. </w:t>
      </w:r>
    </w:p>
    <w:p w14:paraId="073C1823" w14:textId="77777777" w:rsidR="00532C25" w:rsidRPr="00511005" w:rsidRDefault="00532C25" w:rsidP="003F6A5D">
      <w:pPr>
        <w:widowControl w:val="0"/>
        <w:numPr>
          <w:ilvl w:val="0"/>
          <w:numId w:val="819"/>
        </w:numPr>
        <w:tabs>
          <w:tab w:val="left" w:pos="7088"/>
        </w:tabs>
        <w:autoSpaceDE w:val="0"/>
        <w:autoSpaceDN w:val="0"/>
        <w:adjustRightInd w:val="0"/>
        <w:spacing w:line="264" w:lineRule="auto"/>
        <w:ind w:left="0" w:hanging="567"/>
        <w:contextualSpacing/>
        <w:jc w:val="left"/>
        <w:rPr>
          <w:rFonts w:ascii="Arial" w:eastAsia="Calibri" w:hAnsi="Arial" w:cs="Arial"/>
          <w:szCs w:val="28"/>
          <w:lang w:val="uk-UA" w:bidi="uk-UA"/>
        </w:rPr>
      </w:pPr>
      <w:r w:rsidRPr="00511005">
        <w:rPr>
          <w:rFonts w:ascii="Arial" w:eastAsia="Calibri" w:hAnsi="Arial" w:cs="Arial"/>
          <w:szCs w:val="28"/>
          <w:lang w:val="uk-UA" w:bidi="uk-UA"/>
        </w:rPr>
        <w:t xml:space="preserve">Кримінальний процесуальний кодекс України від 13 квітня 2012 року № 4651-VI (зі змінами та доповненнями). URL: </w:t>
      </w:r>
      <w:hyperlink r:id="rId2253" w:history="1">
        <w:r w:rsidRPr="00511005">
          <w:rPr>
            <w:rFonts w:ascii="Arial" w:eastAsia="Calibri" w:hAnsi="Arial" w:cs="Arial"/>
            <w:szCs w:val="28"/>
            <w:lang w:bidi="uk-UA"/>
          </w:rPr>
          <w:t>https://zakon.rada.gov.ua/laws/show/4651-17</w:t>
        </w:r>
      </w:hyperlink>
      <w:r w:rsidRPr="00511005">
        <w:rPr>
          <w:rFonts w:ascii="Arial" w:eastAsia="Calibri" w:hAnsi="Arial" w:cs="Arial"/>
          <w:szCs w:val="28"/>
          <w:lang w:val="uk-UA" w:bidi="uk-UA"/>
        </w:rPr>
        <w:t xml:space="preserve">. </w:t>
      </w:r>
    </w:p>
    <w:p w14:paraId="2776B907" w14:textId="77777777" w:rsidR="00532C25" w:rsidRPr="00511005" w:rsidRDefault="00532C25" w:rsidP="003F6A5D">
      <w:pPr>
        <w:widowControl w:val="0"/>
        <w:numPr>
          <w:ilvl w:val="0"/>
          <w:numId w:val="819"/>
        </w:numPr>
        <w:tabs>
          <w:tab w:val="left" w:pos="7088"/>
        </w:tabs>
        <w:autoSpaceDE w:val="0"/>
        <w:autoSpaceDN w:val="0"/>
        <w:adjustRightInd w:val="0"/>
        <w:spacing w:line="264" w:lineRule="auto"/>
        <w:ind w:left="0" w:hanging="567"/>
        <w:contextualSpacing/>
        <w:jc w:val="left"/>
        <w:rPr>
          <w:rFonts w:ascii="Arial" w:eastAsia="Calibri" w:hAnsi="Arial" w:cs="Arial"/>
          <w:szCs w:val="28"/>
          <w:lang w:val="uk-UA" w:bidi="uk-UA"/>
        </w:rPr>
      </w:pPr>
      <w:r w:rsidRPr="00511005">
        <w:rPr>
          <w:rFonts w:ascii="Arial" w:eastAsia="Calibri" w:hAnsi="Arial" w:cs="Arial"/>
          <w:szCs w:val="28"/>
          <w:lang w:val="uk-UA" w:bidi="uk-UA"/>
        </w:rPr>
        <w:t xml:space="preserve">Богініч І. О. Забезпечення прав людини та громадянина під час проведення негласних слідчих (розшукових) дій, пов’язаних із втручанням в приватне спілкування. </w:t>
      </w:r>
      <w:r w:rsidRPr="00511005">
        <w:rPr>
          <w:rFonts w:ascii="Arial" w:eastAsia="Calibri" w:hAnsi="Arial" w:cs="Arial"/>
          <w:i/>
          <w:iCs/>
          <w:szCs w:val="28"/>
          <w:lang w:val="uk-UA" w:bidi="uk-UA"/>
        </w:rPr>
        <w:t>Вісник Луганського навчально-наукового інституту імені Е. О. Дідоренка</w:t>
      </w:r>
      <w:r w:rsidRPr="00511005">
        <w:rPr>
          <w:rFonts w:ascii="Arial" w:eastAsia="Calibri" w:hAnsi="Arial" w:cs="Arial"/>
          <w:szCs w:val="28"/>
          <w:lang w:val="uk-UA" w:bidi="uk-UA"/>
        </w:rPr>
        <w:t>. 2024. № 3. С. 35</w:t>
      </w:r>
      <w:r w:rsidRPr="00511005">
        <w:rPr>
          <w:rFonts w:ascii="Arial" w:eastAsia="Calibri" w:hAnsi="Arial" w:cs="Arial"/>
          <w:szCs w:val="28"/>
          <w:lang w:bidi="uk-UA"/>
        </w:rPr>
        <w:t>-</w:t>
      </w:r>
      <w:r w:rsidRPr="00511005">
        <w:rPr>
          <w:rFonts w:ascii="Arial" w:eastAsia="Calibri" w:hAnsi="Arial" w:cs="Arial"/>
          <w:szCs w:val="28"/>
          <w:lang w:val="uk-UA" w:bidi="uk-UA"/>
        </w:rPr>
        <w:t xml:space="preserve">44. </w:t>
      </w:r>
      <w:r w:rsidRPr="00511005">
        <w:rPr>
          <w:rFonts w:ascii="Arial" w:eastAsia="Calibri" w:hAnsi="Arial" w:cs="Arial"/>
          <w:szCs w:val="28"/>
        </w:rPr>
        <w:t>DOI: </w:t>
      </w:r>
      <w:hyperlink r:id="rId2254" w:history="1">
        <w:r w:rsidRPr="00511005">
          <w:rPr>
            <w:rFonts w:ascii="Arial" w:eastAsia="Calibri" w:hAnsi="Arial" w:cs="Arial"/>
            <w:szCs w:val="28"/>
          </w:rPr>
          <w:t>https://doi.org/10.32782/2786-9156.107.3.35-44</w:t>
        </w:r>
      </w:hyperlink>
      <w:r w:rsidRPr="00511005">
        <w:rPr>
          <w:rFonts w:ascii="Arial" w:eastAsia="Calibri" w:hAnsi="Arial" w:cs="Arial"/>
          <w:szCs w:val="28"/>
        </w:rPr>
        <w:t>.</w:t>
      </w:r>
    </w:p>
    <w:p w14:paraId="10A511DF" w14:textId="77777777" w:rsidR="00532C25" w:rsidRPr="00511005" w:rsidRDefault="00532C25" w:rsidP="00532C25">
      <w:pPr>
        <w:tabs>
          <w:tab w:val="left" w:pos="993"/>
          <w:tab w:val="left" w:pos="7088"/>
        </w:tabs>
        <w:spacing w:line="264" w:lineRule="auto"/>
        <w:contextualSpacing/>
        <w:rPr>
          <w:rFonts w:ascii="Arial" w:eastAsia="Calibri" w:hAnsi="Arial" w:cs="Arial"/>
          <w:b/>
          <w:bCs/>
          <w:szCs w:val="28"/>
          <w:lang w:val="uk-UA" w:bidi="uk-UA"/>
        </w:rPr>
      </w:pPr>
    </w:p>
    <w:p w14:paraId="27AB40B3" w14:textId="77777777" w:rsidR="00532C25" w:rsidRPr="00511005" w:rsidRDefault="00532C25" w:rsidP="00532C25">
      <w:pPr>
        <w:tabs>
          <w:tab w:val="left" w:pos="993"/>
          <w:tab w:val="left" w:pos="7088"/>
        </w:tabs>
        <w:spacing w:line="264" w:lineRule="auto"/>
        <w:contextualSpacing/>
        <w:rPr>
          <w:rFonts w:ascii="Arial" w:eastAsia="Calibri" w:hAnsi="Arial" w:cs="Arial"/>
          <w:bCs/>
          <w:szCs w:val="28"/>
          <w:lang w:val="uk-UA" w:bidi="uk-UA"/>
        </w:rPr>
      </w:pPr>
      <w:r w:rsidRPr="00511005">
        <w:rPr>
          <w:rFonts w:ascii="Arial" w:eastAsia="Calibri" w:hAnsi="Arial" w:cs="Arial"/>
          <w:b/>
          <w:bCs/>
          <w:i/>
          <w:szCs w:val="28"/>
          <w:lang w:val="uk-UA" w:bidi="uk-UA"/>
        </w:rPr>
        <w:t xml:space="preserve">Ключові слова: </w:t>
      </w:r>
      <w:r w:rsidRPr="00511005">
        <w:rPr>
          <w:rFonts w:ascii="Arial" w:eastAsia="Calibri" w:hAnsi="Arial" w:cs="Arial"/>
          <w:bCs/>
          <w:szCs w:val="28"/>
          <w:lang w:val="uk-UA" w:bidi="uk-UA"/>
        </w:rPr>
        <w:t>негласні слідчі (розшукові) дії, право на приватність, розслідування злочинів, баланс інтересів, права людини, оперативно-розшукова діяльність, конституційні гарантії, судовий контроль, правоохоронні органи, правовий захист.</w:t>
      </w:r>
    </w:p>
    <w:p w14:paraId="6FDDDEB4" w14:textId="77777777" w:rsidR="00532C25" w:rsidRPr="00511005" w:rsidRDefault="00532C25" w:rsidP="00532C25">
      <w:pPr>
        <w:tabs>
          <w:tab w:val="left" w:pos="993"/>
          <w:tab w:val="left" w:pos="7088"/>
        </w:tabs>
        <w:spacing w:line="264" w:lineRule="auto"/>
        <w:contextualSpacing/>
        <w:rPr>
          <w:rFonts w:ascii="Arial" w:eastAsia="Calibri" w:hAnsi="Arial" w:cs="Arial"/>
          <w:bCs/>
          <w:i/>
          <w:szCs w:val="28"/>
          <w:lang w:val="en-US" w:bidi="uk-UA"/>
        </w:rPr>
      </w:pPr>
      <w:r w:rsidRPr="00511005">
        <w:rPr>
          <w:rFonts w:ascii="Arial" w:eastAsia="Calibri" w:hAnsi="Arial" w:cs="Arial"/>
          <w:b/>
          <w:bCs/>
          <w:i/>
          <w:szCs w:val="28"/>
          <w:lang w:val="en-US" w:bidi="uk-UA"/>
        </w:rPr>
        <w:lastRenderedPageBreak/>
        <w:t xml:space="preserve">Key words: </w:t>
      </w:r>
      <w:r w:rsidRPr="00511005">
        <w:rPr>
          <w:rFonts w:ascii="Arial" w:eastAsia="Calibri" w:hAnsi="Arial" w:cs="Arial"/>
          <w:bCs/>
          <w:szCs w:val="28"/>
          <w:lang w:val="en-US" w:bidi="uk-UA"/>
        </w:rPr>
        <w:t xml:space="preserve">covert investigative </w:t>
      </w:r>
      <w:r w:rsidRPr="00511005">
        <w:rPr>
          <w:rFonts w:ascii="Arial" w:eastAsia="Calibri" w:hAnsi="Arial" w:cs="Arial"/>
          <w:bCs/>
          <w:szCs w:val="28"/>
          <w:lang w:val="en-GB" w:bidi="uk-UA"/>
        </w:rPr>
        <w:t xml:space="preserve">search </w:t>
      </w:r>
      <w:r w:rsidRPr="00511005">
        <w:rPr>
          <w:rFonts w:ascii="Arial" w:eastAsia="Calibri" w:hAnsi="Arial" w:cs="Arial"/>
          <w:bCs/>
          <w:szCs w:val="28"/>
          <w:lang w:val="en-US" w:bidi="uk-UA"/>
        </w:rPr>
        <w:t>actions, right to privacy, crime investigation, balance of interests, human rights, operational-search activity, constitutional guarantees, judicial oversight, law enforcement agencies, legal protection.</w:t>
      </w:r>
      <w:r w:rsidRPr="00511005">
        <w:rPr>
          <w:rFonts w:ascii="Arial" w:eastAsia="Calibri" w:hAnsi="Arial" w:cs="Arial"/>
          <w:bCs/>
          <w:i/>
          <w:szCs w:val="28"/>
          <w:lang w:val="en-US" w:bidi="uk-UA"/>
        </w:rPr>
        <w:t xml:space="preserve"> </w:t>
      </w:r>
    </w:p>
    <w:p w14:paraId="2DB58AC4" w14:textId="77777777" w:rsidR="00532C25" w:rsidRPr="00511005" w:rsidRDefault="00532C25" w:rsidP="00532C25">
      <w:pPr>
        <w:tabs>
          <w:tab w:val="left" w:pos="993"/>
          <w:tab w:val="left" w:pos="7088"/>
        </w:tabs>
        <w:spacing w:line="264" w:lineRule="auto"/>
        <w:ind w:left="709" w:firstLine="0"/>
        <w:contextualSpacing/>
        <w:rPr>
          <w:rFonts w:ascii="Arial" w:eastAsia="Calibri" w:hAnsi="Arial" w:cs="Arial"/>
          <w:bCs/>
          <w:i/>
          <w:szCs w:val="28"/>
          <w:lang w:val="uk-UA" w:bidi="uk-UA"/>
        </w:rPr>
      </w:pPr>
      <w:r w:rsidRPr="00511005">
        <w:rPr>
          <w:rFonts w:ascii="Arial" w:eastAsia="Calibri" w:hAnsi="Arial" w:cs="Arial"/>
          <w:b/>
          <w:bCs/>
          <w:i/>
          <w:szCs w:val="28"/>
          <w:lang w:val="uk-UA" w:bidi="uk-UA"/>
        </w:rPr>
        <w:t xml:space="preserve">Науковий керівник: </w:t>
      </w:r>
      <w:r w:rsidRPr="00511005">
        <w:rPr>
          <w:rFonts w:ascii="Arial" w:eastAsia="Calibri" w:hAnsi="Arial" w:cs="Arial"/>
          <w:bCs/>
          <w:i/>
          <w:szCs w:val="28"/>
          <w:lang w:val="uk-UA" w:bidi="uk-UA"/>
        </w:rPr>
        <w:t>к.ю.н., доцент Мурзановська А. В.</w:t>
      </w:r>
    </w:p>
    <w:p w14:paraId="28993FEB" w14:textId="77777777" w:rsidR="00532C25" w:rsidRPr="00511005" w:rsidRDefault="00532C25" w:rsidP="00532C25">
      <w:pPr>
        <w:tabs>
          <w:tab w:val="left" w:pos="993"/>
          <w:tab w:val="left" w:pos="7088"/>
        </w:tabs>
        <w:spacing w:line="264" w:lineRule="auto"/>
        <w:ind w:left="1069" w:firstLine="0"/>
        <w:contextualSpacing/>
        <w:rPr>
          <w:rFonts w:ascii="Arial" w:eastAsia="Calibri" w:hAnsi="Arial" w:cs="Arial"/>
          <w:iCs/>
          <w:szCs w:val="28"/>
          <w:lang w:bidi="uk-UA"/>
        </w:rPr>
      </w:pPr>
    </w:p>
    <w:p w14:paraId="1A35F57D" w14:textId="77777777" w:rsidR="00532C25" w:rsidRPr="00511005" w:rsidRDefault="00532C25" w:rsidP="00532C25">
      <w:pPr>
        <w:spacing w:line="264" w:lineRule="auto"/>
        <w:ind w:firstLine="0"/>
        <w:rPr>
          <w:rFonts w:ascii="Arial" w:eastAsia="Arial" w:hAnsi="Arial" w:cs="Arial"/>
          <w:szCs w:val="28"/>
          <w:lang w:val="uk-UA" w:eastAsia="ru-RU"/>
        </w:rPr>
      </w:pPr>
    </w:p>
    <w:p w14:paraId="23176B18" w14:textId="77777777" w:rsidR="00532C25" w:rsidRPr="00511005" w:rsidRDefault="00532C25" w:rsidP="00532C25">
      <w:pPr>
        <w:spacing w:line="264" w:lineRule="auto"/>
        <w:ind w:firstLine="0"/>
        <w:jc w:val="center"/>
        <w:rPr>
          <w:rFonts w:ascii="Arial" w:eastAsia="Times New Roman" w:hAnsi="Arial" w:cs="Arial"/>
          <w:b/>
          <w:bCs/>
          <w:i/>
          <w:iCs/>
          <w:szCs w:val="28"/>
          <w:lang w:val="uk-UA" w:eastAsia="ru-RU"/>
        </w:rPr>
      </w:pPr>
    </w:p>
    <w:p w14:paraId="5474316A" w14:textId="77777777" w:rsidR="00532C25" w:rsidRPr="00511005" w:rsidRDefault="00532C25" w:rsidP="00532C25">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Олійник Марія Ігорівна</w:t>
      </w:r>
    </w:p>
    <w:p w14:paraId="0898841B" w14:textId="77777777" w:rsidR="00532C25" w:rsidRPr="00511005" w:rsidRDefault="00532C25" w:rsidP="00532C25">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4-го курсу факультету адвокатури та антикорупційної діяльності</w:t>
      </w:r>
    </w:p>
    <w:p w14:paraId="5E10B60E" w14:textId="77777777" w:rsidR="00532C25" w:rsidRPr="00511005" w:rsidRDefault="00532C25" w:rsidP="00532C25">
      <w:pPr>
        <w:spacing w:line="264" w:lineRule="auto"/>
        <w:ind w:firstLine="0"/>
        <w:jc w:val="center"/>
        <w:rPr>
          <w:rFonts w:ascii="Arial" w:eastAsia="Times New Roman" w:hAnsi="Arial" w:cs="Arial"/>
          <w:szCs w:val="28"/>
          <w:lang w:val="ru" w:eastAsia="ru-RU"/>
        </w:rPr>
      </w:pPr>
      <w:r w:rsidRPr="00511005">
        <w:rPr>
          <w:rFonts w:ascii="Arial" w:eastAsia="Times New Roman" w:hAnsi="Arial" w:cs="Arial"/>
          <w:szCs w:val="28"/>
          <w:lang w:val="ru" w:eastAsia="ru-RU"/>
        </w:rPr>
        <w:t>Національного університету «Одеська юридична академія»</w:t>
      </w:r>
    </w:p>
    <w:p w14:paraId="42252468" w14:textId="77777777" w:rsidR="00532C25" w:rsidRPr="00511005" w:rsidRDefault="00532C25" w:rsidP="00532C25">
      <w:pPr>
        <w:spacing w:line="264" w:lineRule="auto"/>
        <w:ind w:firstLine="0"/>
        <w:rPr>
          <w:rFonts w:ascii="Arial" w:eastAsia="Times New Roman" w:hAnsi="Arial" w:cs="Arial"/>
          <w:szCs w:val="28"/>
          <w:lang w:val="ru" w:eastAsia="ru-RU"/>
        </w:rPr>
      </w:pPr>
    </w:p>
    <w:p w14:paraId="25F28426" w14:textId="77777777" w:rsidR="00532C25" w:rsidRPr="00511005" w:rsidRDefault="00532C25" w:rsidP="00532C25">
      <w:pPr>
        <w:spacing w:line="264" w:lineRule="auto"/>
        <w:ind w:firstLine="0"/>
        <w:jc w:val="center"/>
        <w:rPr>
          <w:rFonts w:ascii="Arial" w:eastAsia="Times New Roman" w:hAnsi="Arial" w:cs="Arial"/>
          <w:szCs w:val="28"/>
          <w:lang w:val="ru" w:eastAsia="ru-RU"/>
        </w:rPr>
      </w:pPr>
      <w:r w:rsidRPr="00511005">
        <w:rPr>
          <w:rFonts w:ascii="Arial" w:eastAsia="Times New Roman" w:hAnsi="Arial" w:cs="Arial"/>
          <w:szCs w:val="28"/>
          <w:lang w:val="uk" w:eastAsia="ru-RU"/>
        </w:rPr>
        <w:t>«</w:t>
      </w:r>
      <w:r w:rsidRPr="00511005">
        <w:rPr>
          <w:rFonts w:ascii="Arial" w:eastAsia="Times New Roman" w:hAnsi="Arial" w:cs="Arial"/>
          <w:b/>
          <w:bCs/>
          <w:szCs w:val="28"/>
          <w:lang w:val="ru" w:eastAsia="ru-RU"/>
        </w:rPr>
        <w:t>ДОСТАТНЯ ПІДСТАВА</w:t>
      </w:r>
      <w:r w:rsidRPr="00511005">
        <w:rPr>
          <w:rFonts w:ascii="Arial" w:eastAsia="Times New Roman" w:hAnsi="Arial" w:cs="Arial"/>
          <w:szCs w:val="28"/>
          <w:lang w:val="uk" w:eastAsia="ru-RU"/>
        </w:rPr>
        <w:t>»</w:t>
      </w:r>
      <w:r w:rsidRPr="00511005">
        <w:rPr>
          <w:rFonts w:ascii="Arial" w:eastAsia="Times New Roman" w:hAnsi="Arial" w:cs="Arial"/>
          <w:b/>
          <w:bCs/>
          <w:szCs w:val="28"/>
          <w:lang w:val="ru" w:eastAsia="ru-RU"/>
        </w:rPr>
        <w:t xml:space="preserve"> ЯК СТАНДАРТ ДОКАЗУВАННЯ У КРИМІНАЛЬНОМУ ПРОВАДЖЕННІ</w:t>
      </w:r>
    </w:p>
    <w:p w14:paraId="63C45B87"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szCs w:val="28"/>
          <w:lang w:val="uk" w:eastAsia="ru-RU"/>
        </w:rPr>
        <w:t xml:space="preserve">Одним із ключових елементів забезпечення справедливого кримінального процесу є встановлення належних стандартів доказування. Ці стандарти, як певні умовні орієнтири, визначають необхідний рівень впевненості, який потрібно досягти для прийняття конкретних процесуальних рішень у ході кримінального провадження. </w:t>
      </w:r>
    </w:p>
    <w:p w14:paraId="7EF82CF2" w14:textId="77777777" w:rsidR="00532C25" w:rsidRPr="00511005" w:rsidRDefault="00532C25" w:rsidP="00532C25">
      <w:pPr>
        <w:spacing w:line="264" w:lineRule="auto"/>
        <w:ind w:firstLine="708"/>
        <w:rPr>
          <w:rFonts w:ascii="Arial" w:eastAsia="Times New Roman" w:hAnsi="Arial" w:cs="Arial"/>
          <w:szCs w:val="28"/>
          <w:lang w:val="uk" w:eastAsia="ru-RU"/>
        </w:rPr>
      </w:pPr>
      <w:r w:rsidRPr="00511005">
        <w:rPr>
          <w:rFonts w:ascii="Arial" w:eastAsia="Times New Roman" w:hAnsi="Arial" w:cs="Arial"/>
          <w:szCs w:val="28"/>
          <w:lang w:val="uk" w:eastAsia="ru-RU"/>
        </w:rPr>
        <w:t>На сьогоднішній день як у міжнародних договорах, ратифікованих Україною, так і в національному кримінальному процесуальному законі, відсутній чіткий перелік стандартів доказування, а тому їх система визначається науковцями на основі інтерпретації правових норм та узагальнення судової практики Верховного Суду та міжнародних судових установ, юрисдикція яких визнана Україною. Зокрема, дослідження положень чинного Кримінального процесуального кодексу України дає підстави говорити про існування трьох стандартів доказування у кримінальному процесі України, які є загальноприйнятими у світовій юридичній практиці: «обґрунтована підозра», «переконання поза розумним сумнівом» та «достатня підстава».</w:t>
      </w:r>
    </w:p>
    <w:p w14:paraId="11E13721" w14:textId="77777777" w:rsidR="00532C25" w:rsidRPr="00511005" w:rsidRDefault="00532C25" w:rsidP="00532C25">
      <w:pPr>
        <w:spacing w:line="264" w:lineRule="auto"/>
        <w:ind w:firstLine="708"/>
        <w:rPr>
          <w:rFonts w:ascii="Arial" w:eastAsia="Times New Roman" w:hAnsi="Arial" w:cs="Arial"/>
          <w:szCs w:val="28"/>
          <w:lang w:val="uk" w:eastAsia="ru-RU"/>
        </w:rPr>
      </w:pPr>
      <w:r w:rsidRPr="00511005">
        <w:rPr>
          <w:rFonts w:ascii="Arial" w:eastAsia="Times New Roman" w:hAnsi="Arial" w:cs="Arial"/>
          <w:szCs w:val="28"/>
          <w:lang w:val="uk" w:eastAsia="ru-RU"/>
        </w:rPr>
        <w:t>Особливе місце в системі стандартів доказування, що склалася у вітчизняній науці кримінального процесу займає стандарт доказування, відомий як «достатня підстава» або «ймовірна причина»,</w:t>
      </w:r>
      <w:r w:rsidRPr="00511005">
        <w:rPr>
          <w:rFonts w:ascii="Arial" w:eastAsia="Times New Roman" w:hAnsi="Arial" w:cs="Arial"/>
          <w:b/>
          <w:bCs/>
          <w:szCs w:val="28"/>
          <w:lang w:val="uk" w:eastAsia="ru-RU"/>
        </w:rPr>
        <w:t xml:space="preserve"> </w:t>
      </w:r>
      <w:r w:rsidRPr="00511005">
        <w:rPr>
          <w:rFonts w:ascii="Arial" w:eastAsia="Times New Roman" w:hAnsi="Arial" w:cs="Arial"/>
          <w:szCs w:val="28"/>
          <w:lang w:val="uk" w:eastAsia="ru-RU"/>
        </w:rPr>
        <w:t>який є ключовим при ухваленні переважної більшості процесуальних рішень на етапі досудового розслідування.</w:t>
      </w:r>
    </w:p>
    <w:p w14:paraId="080CA02B"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szCs w:val="28"/>
          <w:lang w:val="uk" w:eastAsia="ru-RU"/>
        </w:rPr>
        <w:t>Стандарт доказування «достатня підстава» можна визначити як «рівень розумової віри, який виникає на підставі чітко сформульованих, об’єктивних фактів та/або обставин та який необхідний для вирішення питання про проведення обшуку, затримання особи та подальшого переслідування особи у кримінальному провадженні» [1, с. 105].</w:t>
      </w:r>
    </w:p>
    <w:p w14:paraId="6769476B"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szCs w:val="28"/>
          <w:lang w:val="uk" w:eastAsia="ru-RU"/>
        </w:rPr>
        <w:t xml:space="preserve">Порівнюючи з іншими стандартами доказування, «достатня підстава» передбачає вищий ступінь переконаності уповноваженої законом особи у </w:t>
      </w:r>
      <w:r w:rsidRPr="00511005">
        <w:rPr>
          <w:rFonts w:ascii="Arial" w:eastAsia="Times New Roman" w:hAnsi="Arial" w:cs="Arial"/>
          <w:szCs w:val="28"/>
          <w:lang w:val="uk" w:eastAsia="ru-RU"/>
        </w:rPr>
        <w:lastRenderedPageBreak/>
        <w:t>необхідності прийняття певного процесуального рішення під час кримінального провадження, ніж стандарт «обґрунтована підозра», однак вимагає значно нижчого рівня переконаності, ніж стандарт «поза розумним сумнівом», який є необхідним для винесення остаточного рішення у кримінальній справі.</w:t>
      </w:r>
    </w:p>
    <w:p w14:paraId="4CE5BDBF"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szCs w:val="28"/>
          <w:lang w:val="uk" w:eastAsia="ru-RU"/>
        </w:rPr>
        <w:t>Як стандарт доказування в кримінальному провадженні, «достатня підстава» не підлягає визначенню за допомогою формальних правил або математичних формул, оскільки потребує оцінки всієї сукупності фактів та обставин конкретної справи з точки зору здорового глузду.</w:t>
      </w:r>
    </w:p>
    <w:p w14:paraId="24AD151E" w14:textId="77777777" w:rsidR="00532C25" w:rsidRPr="00511005" w:rsidRDefault="00532C25" w:rsidP="00532C25">
      <w:pPr>
        <w:spacing w:line="264" w:lineRule="auto"/>
        <w:ind w:firstLine="708"/>
        <w:rPr>
          <w:rFonts w:ascii="Arial" w:eastAsia="Times New Roman" w:hAnsi="Arial" w:cs="Arial"/>
          <w:szCs w:val="28"/>
          <w:lang w:val="uk" w:eastAsia="ru-RU"/>
        </w:rPr>
      </w:pPr>
      <w:r w:rsidRPr="00511005">
        <w:rPr>
          <w:rFonts w:ascii="Arial" w:eastAsia="Times New Roman" w:hAnsi="Arial" w:cs="Arial"/>
          <w:szCs w:val="28"/>
          <w:lang w:val="uk" w:eastAsia="ru-RU"/>
        </w:rPr>
        <w:t>Зазначений стандарт доказування вперше набув практичного застосування та законодавчого закріплення у державах англосаксонської системи права. Зокрема, у четвертій поправці до Конституції США, прийнятої в 1791 р., безпосередньо закріплено, що: «право осіб на особисту недоторканність, а також на недоторканність їхнього житла, документів і майна від необґрунтованих обшуків та виїмки не повинно порушуватися, і жодне рішення не може бути ухвалено, окрім як за наявності достатніх підстав, скріплених присягою або письмовою заявою з докладним описом місця, яке підлягає обшуку, особи, яка розшукується та речей, які підлягають вилученню» [2].</w:t>
      </w:r>
    </w:p>
    <w:p w14:paraId="1F0FD360" w14:textId="77777777" w:rsidR="00532C25" w:rsidRPr="00511005" w:rsidRDefault="00532C25" w:rsidP="00532C25">
      <w:pPr>
        <w:spacing w:line="264" w:lineRule="auto"/>
        <w:ind w:firstLine="708"/>
        <w:rPr>
          <w:rFonts w:ascii="Arial" w:eastAsia="Times New Roman" w:hAnsi="Arial" w:cs="Arial"/>
          <w:szCs w:val="28"/>
          <w:lang w:val="uk" w:eastAsia="ru-RU"/>
        </w:rPr>
      </w:pPr>
      <w:r w:rsidRPr="00511005">
        <w:rPr>
          <w:rFonts w:ascii="Arial" w:eastAsia="Times New Roman" w:hAnsi="Arial" w:cs="Arial"/>
          <w:szCs w:val="28"/>
          <w:lang w:val="uk" w:eastAsia="ru-RU"/>
        </w:rPr>
        <w:t>Верховний Суд США у справі Carroll v. United States надав одне з перших визначень стандарту доказування «достатня підстава», а саме: «Достатня підстава існує там, де факти та обставини у межах знання офіцерів, уповноважених на здійснення арешту, та стосовно яких вони мають обґрунтовано достовірну інформацію самі по собі достатні для того, щоб переконати розумного спостерігача, що злочин вчиняється чи його було вчинено» [3].</w:t>
      </w:r>
    </w:p>
    <w:p w14:paraId="3D2CDB8C"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szCs w:val="28"/>
          <w:lang w:val="uk" w:eastAsia="ru-RU"/>
        </w:rPr>
        <w:t xml:space="preserve">Порівняно з державами англосаксонської правової системи, де вимога достатньої підстави вимагається насамперед при необхідності проведення обшуку та затримання особи, сфера застосування зазначеного стандарту доказування в кримінальному процесі України є досить широкою. Так, зокрема, згідно з положеннями Кримінального процесуального кодексу України, наявність «достатньої підстави» є обов'язковою умовою для прийняття низки важливих процесуальних рішень у кримінальному провадженні, зокрема щодо: відмови у визнанні особи потерпілою, здійснення виклику особи, тимчасового обмеження у користуванні спеціальним правом, відсторонення особи від посади, надання тимчасового доступу до речей і документів, застосування запобіжних заходів, надання дозволу на проведення обшуків та негласних слідчих (розшукових) дій, та на використання результатів останніх в іншому кримінальному провадженні, проведення аудіо-відеоконтролю особи, накладення арешту на кореспонденцію, здійснення контролю за вчиненням злочину, проведення процесуальних дій під час судового провадження у режимі </w:t>
      </w:r>
      <w:r w:rsidRPr="00511005">
        <w:rPr>
          <w:rFonts w:ascii="Arial" w:eastAsia="Times New Roman" w:hAnsi="Arial" w:cs="Arial"/>
          <w:szCs w:val="28"/>
          <w:lang w:val="uk" w:eastAsia="ru-RU"/>
        </w:rPr>
        <w:lastRenderedPageBreak/>
        <w:t>відеоконференції, застосування примусових заходів медичного та виховного характеру, а також відмови у виконанні запиту про міжнародну правову допомогу.</w:t>
      </w:r>
    </w:p>
    <w:p w14:paraId="7CEF633F"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szCs w:val="28"/>
          <w:lang w:val="uk" w:eastAsia="ru-RU"/>
        </w:rPr>
        <w:t>Так, згідно з ч. 5 ст. 234 КПК України, слідчий суддя задовольняє клопотання слідчого чи прокурора на проведення обшуку, якщо вони доведуть наявність достатніх підстав вважати, що: «було вчинено кримінальне правопорушення; відшукувані речі і документи мають значення для досудового розслідування; відомості, які містяться у відшукуваних речах і документах, можуть бути доказами під час судового розгляду; відшукувані речі, документи або особи знаходяться у зазначеному в клопотанні житлі чи іншому володінні особи; за встановлених обставин обшук є найбільш доцільним та ефективним способом відшукання та вилучення речей і документів, а також заходом, пропорційним втручанню в особисте і сімейне життя особи»[4].</w:t>
      </w:r>
    </w:p>
    <w:p w14:paraId="06BF5C7B"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szCs w:val="28"/>
          <w:lang w:val="uk" w:eastAsia="ru-RU"/>
        </w:rPr>
        <w:t>В контексті даного питання важливо зазначити, що стандарт доказування «достатня підстава» не вимагає встановлення абсолютної впевненості, а ґрунтується на встановленні ймовірності необхідності прийняття рішення про затримання особи, проведення обшуку чи здійснення інших процесуальних дій. Відповідний стандарт доказування може бути досягнутий у кримінальному провадженні навіть у разі наявності сумнівів у винуватості особи.</w:t>
      </w:r>
    </w:p>
    <w:p w14:paraId="764B8012"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szCs w:val="28"/>
          <w:lang w:val="uk" w:eastAsia="ru-RU"/>
        </w:rPr>
        <w:t>Аналіз судової практики показує, що при розгляді питання про наявність «достатньої підстави» для прийняття відповідного рішення у ході кримінального провадження суди визнають, що особи, які уповноважені законом на проведення затримання особи, обшуку або іншої процесуальної дії, володіють спеціальними знаннями, набутими в результаті професійного досвіду, що дозволяє їм обґрунтовано встановити «достатню підставу» у кримінальному провадженні.</w:t>
      </w:r>
    </w:p>
    <w:p w14:paraId="497D24E1" w14:textId="77777777" w:rsidR="00532C25" w:rsidRPr="00511005" w:rsidRDefault="00532C25" w:rsidP="00532C25">
      <w:pPr>
        <w:spacing w:line="264" w:lineRule="auto"/>
        <w:ind w:firstLine="708"/>
        <w:rPr>
          <w:rFonts w:ascii="Arial" w:eastAsia="Times New Roman" w:hAnsi="Arial" w:cs="Arial"/>
          <w:szCs w:val="28"/>
          <w:lang w:val="uk" w:eastAsia="ru-RU"/>
        </w:rPr>
      </w:pPr>
      <w:r w:rsidRPr="00511005">
        <w:rPr>
          <w:rFonts w:ascii="Arial" w:eastAsia="Times New Roman" w:hAnsi="Arial" w:cs="Arial"/>
          <w:szCs w:val="28"/>
          <w:lang w:val="uk" w:eastAsia="ru-RU"/>
        </w:rPr>
        <w:t>Варто також підкреслити, що такий стандарт доказування як «достатня підстава» може формуватися на основі опосередкованих даних, отриманих з показань учасників кримінального провадження, включаючи свідчення з чужих слів, а також у результаті конфіденційного співробітництва. Прецедентні рішення Верховного Суду США у справах Aguilar проти Техасу (1964) та Spinelli проти Сполучених Штатів (1969) заклали критерії допустимості «опосередкованої інформації» як підґрунтя для стандарту доказування «достатня підстава» у кримінальному процесі, зокрема: «перший критерій стосується встановлення достовірності інформації, отриманої інформатором (informant’s basis of knowledge); другий критерії передбачає встановлення «надійності» особи інформатора (informant’s veracity/truthfulness)» [5, с. 137].</w:t>
      </w:r>
    </w:p>
    <w:p w14:paraId="60FCACC5"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szCs w:val="28"/>
          <w:lang w:val="uk" w:eastAsia="ru-RU"/>
        </w:rPr>
        <w:t xml:space="preserve">На останок необхідно зазначити ще одну важливу особливість стандарту доказування «достатня підстава», а саме його змішаний </w:t>
      </w:r>
      <w:r w:rsidRPr="00511005">
        <w:rPr>
          <w:rFonts w:ascii="Arial" w:eastAsia="Times New Roman" w:hAnsi="Arial" w:cs="Arial"/>
          <w:szCs w:val="28"/>
          <w:lang w:val="uk" w:eastAsia="ru-RU"/>
        </w:rPr>
        <w:lastRenderedPageBreak/>
        <w:t>«перспективно-ретроспективний» характер, який в окремих випадках може бути суто «перспективним». Так, якщо процес доказування у кримінальному провадженні загалом спрямований на встановлення подій минулого, то «достатня підстава» переважно оцінює ймовірність настання певної події у майбутньому, забезпечуючи таким чином отримання ймовірного перспективного знання у кримінальному провадженні.</w:t>
      </w:r>
    </w:p>
    <w:p w14:paraId="587CE405"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szCs w:val="28"/>
          <w:lang w:val="uk" w:eastAsia="ru-RU"/>
        </w:rPr>
        <w:t>Отже, проаналізувавши вищенаведене, можна стверджувати, що «достатня підстава», як стандарт доказування у кримінальному провадженні, відіграє ключову роль у забезпеченні законності та справедливості кримінального процесу, адже виступає в ролі запобіжника від свавільних дій з боку уповноважених державою органів у сфері кримінального судочинства.</w:t>
      </w:r>
    </w:p>
    <w:p w14:paraId="4A448795"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szCs w:val="28"/>
          <w:lang w:val="uk" w:eastAsia="ru-RU"/>
        </w:rPr>
        <w:t>Ефективне застосування цього стандарту доказування вимагає від слідчих, прокурорів та суддів високого рівня професіоналізму, неупередженості та здатності до критичного аналізу зібраних фактичних даних. В свою чергу, неправильне тлумачення або ігнорування вимог «достатньої підстави» може призвести до суттєвого порушення прав людини під час кримінального провадження та підриву довіри до діяльності органів досудового розслідування та суду загалом.</w:t>
      </w:r>
    </w:p>
    <w:p w14:paraId="42122AF5" w14:textId="77777777" w:rsidR="00532C25" w:rsidRPr="00511005" w:rsidRDefault="00532C25" w:rsidP="00532C25">
      <w:pPr>
        <w:spacing w:line="264" w:lineRule="auto"/>
        <w:ind w:firstLine="708"/>
        <w:rPr>
          <w:rFonts w:ascii="Arial" w:eastAsia="Times New Roman" w:hAnsi="Arial" w:cs="Arial"/>
          <w:szCs w:val="28"/>
          <w:lang w:val="ru" w:eastAsia="ru-RU"/>
        </w:rPr>
      </w:pPr>
    </w:p>
    <w:p w14:paraId="4E06CBF3" w14:textId="77777777" w:rsidR="00532C25" w:rsidRPr="00511005" w:rsidRDefault="00532C25" w:rsidP="00532C25">
      <w:pPr>
        <w:spacing w:line="264" w:lineRule="auto"/>
        <w:ind w:firstLine="0"/>
        <w:jc w:val="center"/>
        <w:rPr>
          <w:rFonts w:ascii="Arial" w:eastAsia="Times New Roman" w:hAnsi="Arial" w:cs="Arial"/>
          <w:szCs w:val="28"/>
          <w:lang w:val="ru" w:eastAsia="ru-RU"/>
        </w:rPr>
      </w:pPr>
      <w:r w:rsidRPr="00511005">
        <w:rPr>
          <w:rFonts w:ascii="Arial" w:eastAsia="Times New Roman" w:hAnsi="Arial" w:cs="Arial"/>
          <w:b/>
          <w:bCs/>
          <w:szCs w:val="28"/>
          <w:lang w:val="uk-UA" w:eastAsia="ru-RU"/>
        </w:rPr>
        <w:t>Список використаних джерел</w:t>
      </w:r>
    </w:p>
    <w:p w14:paraId="75CB0609" w14:textId="77777777" w:rsidR="00532C25" w:rsidRPr="00511005" w:rsidRDefault="00532C25" w:rsidP="003F6A5D">
      <w:pPr>
        <w:numPr>
          <w:ilvl w:val="0"/>
          <w:numId w:val="598"/>
        </w:numPr>
        <w:spacing w:line="264" w:lineRule="auto"/>
        <w:contextualSpacing/>
        <w:jc w:val="left"/>
        <w:rPr>
          <w:rFonts w:ascii="Arial" w:eastAsia="Times New Roman" w:hAnsi="Arial" w:cs="Arial"/>
          <w:szCs w:val="28"/>
        </w:rPr>
      </w:pPr>
      <w:r w:rsidRPr="00511005">
        <w:rPr>
          <w:rFonts w:ascii="Arial" w:eastAsia="Times New Roman" w:hAnsi="Arial" w:cs="Arial"/>
          <w:szCs w:val="28"/>
          <w:lang w:val="uk"/>
        </w:rPr>
        <w:t xml:space="preserve">Павлишин А. А., Слюсарчук Х. Р. Стандарт доказування «достатня підстава»: тлумачення Верховного суду США та національна практика застосування. Правова позиція. № 1 (20). 2018. С. 103-110. URL: </w:t>
      </w:r>
      <w:hyperlink r:id="rId2255">
        <w:r w:rsidRPr="00511005">
          <w:rPr>
            <w:rFonts w:ascii="Arial" w:eastAsia="Calibri" w:hAnsi="Arial" w:cs="Arial"/>
            <w:szCs w:val="28"/>
            <w:lang w:val="uk"/>
          </w:rPr>
          <w:t>https://www.legalposition.umsf.in.ua/archive/2018/1/12.pdf</w:t>
        </w:r>
      </w:hyperlink>
      <w:r w:rsidRPr="00511005">
        <w:rPr>
          <w:rFonts w:ascii="Arial" w:eastAsia="Calibri" w:hAnsi="Arial" w:cs="Arial"/>
          <w:szCs w:val="28"/>
        </w:rPr>
        <w:t>.</w:t>
      </w:r>
    </w:p>
    <w:p w14:paraId="08B38288" w14:textId="77777777" w:rsidR="00532C25" w:rsidRPr="00511005" w:rsidRDefault="00532C25" w:rsidP="003F6A5D">
      <w:pPr>
        <w:numPr>
          <w:ilvl w:val="0"/>
          <w:numId w:val="598"/>
        </w:numPr>
        <w:spacing w:line="264" w:lineRule="auto"/>
        <w:contextualSpacing/>
        <w:jc w:val="left"/>
        <w:rPr>
          <w:rFonts w:ascii="Arial" w:eastAsia="Times New Roman" w:hAnsi="Arial" w:cs="Arial"/>
          <w:szCs w:val="28"/>
          <w:lang w:val="en-US"/>
        </w:rPr>
      </w:pPr>
      <w:r w:rsidRPr="00511005">
        <w:rPr>
          <w:rFonts w:ascii="Arial" w:eastAsia="Times New Roman" w:hAnsi="Arial" w:cs="Arial"/>
          <w:szCs w:val="28"/>
          <w:lang w:val="uk"/>
        </w:rPr>
        <w:t xml:space="preserve">U.S. Constitution. Fourth Amendment. Cornell Law School. URL: </w:t>
      </w:r>
      <w:hyperlink r:id="rId2256">
        <w:r w:rsidRPr="00511005">
          <w:rPr>
            <w:rFonts w:ascii="Arial" w:eastAsia="Calibri" w:hAnsi="Arial" w:cs="Arial"/>
            <w:szCs w:val="28"/>
            <w:lang w:val="uk"/>
          </w:rPr>
          <w:t>https://www.law.cornell.edu/constitution</w:t>
        </w:r>
      </w:hyperlink>
      <w:r w:rsidRPr="00511005">
        <w:rPr>
          <w:rFonts w:ascii="Arial" w:eastAsia="Calibri" w:hAnsi="Arial" w:cs="Arial"/>
          <w:szCs w:val="28"/>
          <w:lang w:val="en-US"/>
        </w:rPr>
        <w:t>.</w:t>
      </w:r>
    </w:p>
    <w:p w14:paraId="69A3473D" w14:textId="77777777" w:rsidR="00532C25" w:rsidRPr="00511005" w:rsidRDefault="00532C25" w:rsidP="003F6A5D">
      <w:pPr>
        <w:numPr>
          <w:ilvl w:val="0"/>
          <w:numId w:val="598"/>
        </w:numPr>
        <w:spacing w:line="264" w:lineRule="auto"/>
        <w:contextualSpacing/>
        <w:jc w:val="left"/>
        <w:rPr>
          <w:rFonts w:ascii="Arial" w:eastAsia="Times New Roman" w:hAnsi="Arial" w:cs="Arial"/>
          <w:szCs w:val="28"/>
          <w:lang w:val="pl-PL"/>
        </w:rPr>
      </w:pPr>
      <w:r w:rsidRPr="00511005">
        <w:rPr>
          <w:rFonts w:ascii="Arial" w:eastAsia="Times New Roman" w:hAnsi="Arial" w:cs="Arial"/>
          <w:szCs w:val="28"/>
          <w:lang w:val="uk"/>
        </w:rPr>
        <w:t xml:space="preserve">Carroll v. United States. 267 U.S. 132 (1925). URL: </w:t>
      </w:r>
      <w:hyperlink r:id="rId2257" w:history="1">
        <w:r w:rsidRPr="00511005">
          <w:rPr>
            <w:rFonts w:ascii="Arial" w:eastAsia="Calibri" w:hAnsi="Arial" w:cs="Arial"/>
            <w:szCs w:val="28"/>
            <w:lang w:val="uk"/>
          </w:rPr>
          <w:t>https://supreme.justia.com/cases/federal/us/267/132/</w:t>
        </w:r>
      </w:hyperlink>
      <w:r w:rsidRPr="00511005">
        <w:rPr>
          <w:rFonts w:ascii="Arial" w:eastAsia="Times New Roman" w:hAnsi="Arial" w:cs="Arial"/>
          <w:szCs w:val="28"/>
          <w:lang w:val="uk"/>
        </w:rPr>
        <w:t>.</w:t>
      </w:r>
    </w:p>
    <w:p w14:paraId="37F0D2F7" w14:textId="77777777" w:rsidR="00532C25" w:rsidRPr="00511005" w:rsidRDefault="00532C25" w:rsidP="003F6A5D">
      <w:pPr>
        <w:numPr>
          <w:ilvl w:val="0"/>
          <w:numId w:val="598"/>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Кримінальний процесуальний кодекс України від 13.04.2012 № 4651-VI. Відомості Верховної Ради України (ВВР). - 2013. № 9-10, №11-12, № 13. Ст. 88. URL: </w:t>
      </w:r>
      <w:hyperlink r:id="rId2258" w:anchor="Text">
        <w:r w:rsidRPr="00511005">
          <w:rPr>
            <w:rFonts w:ascii="Arial" w:eastAsia="Calibri" w:hAnsi="Arial" w:cs="Arial"/>
            <w:szCs w:val="28"/>
          </w:rPr>
          <w:t>https</w:t>
        </w:r>
        <w:r w:rsidRPr="00511005">
          <w:rPr>
            <w:rFonts w:ascii="Arial" w:eastAsia="Calibri" w:hAnsi="Arial" w:cs="Arial"/>
            <w:szCs w:val="28"/>
            <w:lang w:val="uk-UA"/>
          </w:rPr>
          <w:t>://</w:t>
        </w:r>
        <w:r w:rsidRPr="00511005">
          <w:rPr>
            <w:rFonts w:ascii="Arial" w:eastAsia="Calibri" w:hAnsi="Arial" w:cs="Arial"/>
            <w:szCs w:val="28"/>
          </w:rPr>
          <w:t>zakon</w:t>
        </w:r>
        <w:r w:rsidRPr="00511005">
          <w:rPr>
            <w:rFonts w:ascii="Arial" w:eastAsia="Calibri" w:hAnsi="Arial" w:cs="Arial"/>
            <w:szCs w:val="28"/>
            <w:lang w:val="uk-UA"/>
          </w:rPr>
          <w:t>.</w:t>
        </w:r>
        <w:r w:rsidRPr="00511005">
          <w:rPr>
            <w:rFonts w:ascii="Arial" w:eastAsia="Calibri" w:hAnsi="Arial" w:cs="Arial"/>
            <w:szCs w:val="28"/>
          </w:rPr>
          <w:t>rada</w:t>
        </w:r>
        <w:r w:rsidRPr="00511005">
          <w:rPr>
            <w:rFonts w:ascii="Arial" w:eastAsia="Calibri" w:hAnsi="Arial" w:cs="Arial"/>
            <w:szCs w:val="28"/>
            <w:lang w:val="uk-UA"/>
          </w:rPr>
          <w:t>.</w:t>
        </w:r>
        <w:r w:rsidRPr="00511005">
          <w:rPr>
            <w:rFonts w:ascii="Arial" w:eastAsia="Calibri" w:hAnsi="Arial" w:cs="Arial"/>
            <w:szCs w:val="28"/>
          </w:rPr>
          <w:t>gov</w:t>
        </w:r>
        <w:r w:rsidRPr="00511005">
          <w:rPr>
            <w:rFonts w:ascii="Arial" w:eastAsia="Calibri" w:hAnsi="Arial" w:cs="Arial"/>
            <w:szCs w:val="28"/>
            <w:lang w:val="uk-UA"/>
          </w:rPr>
          <w:t>.</w:t>
        </w:r>
        <w:r w:rsidRPr="00511005">
          <w:rPr>
            <w:rFonts w:ascii="Arial" w:eastAsia="Calibri" w:hAnsi="Arial" w:cs="Arial"/>
            <w:szCs w:val="28"/>
          </w:rPr>
          <w:t>ua</w:t>
        </w:r>
        <w:r w:rsidRPr="00511005">
          <w:rPr>
            <w:rFonts w:ascii="Arial" w:eastAsia="Calibri" w:hAnsi="Arial" w:cs="Arial"/>
            <w:szCs w:val="28"/>
            <w:lang w:val="uk-UA"/>
          </w:rPr>
          <w:t>/</w:t>
        </w:r>
        <w:r w:rsidRPr="00511005">
          <w:rPr>
            <w:rFonts w:ascii="Arial" w:eastAsia="Calibri" w:hAnsi="Arial" w:cs="Arial"/>
            <w:szCs w:val="28"/>
          </w:rPr>
          <w:t>laws</w:t>
        </w:r>
        <w:r w:rsidRPr="00511005">
          <w:rPr>
            <w:rFonts w:ascii="Arial" w:eastAsia="Calibri" w:hAnsi="Arial" w:cs="Arial"/>
            <w:szCs w:val="28"/>
            <w:lang w:val="uk-UA"/>
          </w:rPr>
          <w:t>/</w:t>
        </w:r>
        <w:r w:rsidRPr="00511005">
          <w:rPr>
            <w:rFonts w:ascii="Arial" w:eastAsia="Calibri" w:hAnsi="Arial" w:cs="Arial"/>
            <w:szCs w:val="28"/>
          </w:rPr>
          <w:t>show</w:t>
        </w:r>
        <w:r w:rsidRPr="00511005">
          <w:rPr>
            <w:rFonts w:ascii="Arial" w:eastAsia="Calibri" w:hAnsi="Arial" w:cs="Arial"/>
            <w:szCs w:val="28"/>
            <w:lang w:val="uk-UA"/>
          </w:rPr>
          <w:t>/4651-17#</w:t>
        </w:r>
        <w:r w:rsidRPr="00511005">
          <w:rPr>
            <w:rFonts w:ascii="Arial" w:eastAsia="Calibri" w:hAnsi="Arial" w:cs="Arial"/>
            <w:szCs w:val="28"/>
          </w:rPr>
          <w:t>Text</w:t>
        </w:r>
      </w:hyperlink>
      <w:r w:rsidRPr="00511005">
        <w:rPr>
          <w:rFonts w:ascii="Arial" w:eastAsia="Calibri" w:hAnsi="Arial" w:cs="Arial"/>
          <w:szCs w:val="28"/>
          <w:lang w:val="uk-UA"/>
        </w:rPr>
        <w:t>.</w:t>
      </w:r>
    </w:p>
    <w:p w14:paraId="2CDA2579" w14:textId="77777777" w:rsidR="00532C25" w:rsidRPr="00511005" w:rsidRDefault="00532C25" w:rsidP="003F6A5D">
      <w:pPr>
        <w:numPr>
          <w:ilvl w:val="0"/>
          <w:numId w:val="598"/>
        </w:numPr>
        <w:spacing w:line="264" w:lineRule="auto"/>
        <w:contextualSpacing/>
        <w:jc w:val="left"/>
        <w:rPr>
          <w:rFonts w:ascii="Arial" w:eastAsia="Times New Roman" w:hAnsi="Arial" w:cs="Arial"/>
          <w:szCs w:val="28"/>
        </w:rPr>
      </w:pPr>
      <w:r w:rsidRPr="00511005">
        <w:rPr>
          <w:rFonts w:ascii="Arial" w:eastAsia="Times New Roman" w:hAnsi="Arial" w:cs="Arial"/>
          <w:szCs w:val="28"/>
          <w:lang w:val="uk"/>
        </w:rPr>
        <w:t xml:space="preserve">Слюсарчук Х. Р. Стандарти доказування у кримінальному провадженні: дис. на здобуття наукового ступеня кандидата юридичних наук: 12.00.09. Львів. 2017. 258 с. URL: </w:t>
      </w:r>
      <w:hyperlink r:id="rId2259">
        <w:r w:rsidRPr="00511005">
          <w:rPr>
            <w:rFonts w:ascii="Arial" w:eastAsia="Calibri" w:hAnsi="Arial" w:cs="Arial"/>
            <w:szCs w:val="28"/>
            <w:lang w:val="uk"/>
          </w:rPr>
          <w:t>https://uacademic.info/ua/document/0417U004318</w:t>
        </w:r>
      </w:hyperlink>
      <w:r w:rsidRPr="00511005">
        <w:rPr>
          <w:rFonts w:ascii="Arial" w:eastAsia="Calibri" w:hAnsi="Arial" w:cs="Arial"/>
          <w:szCs w:val="28"/>
        </w:rPr>
        <w:t>.</w:t>
      </w:r>
    </w:p>
    <w:p w14:paraId="47DC6155" w14:textId="77777777" w:rsidR="00532C25" w:rsidRPr="00511005" w:rsidRDefault="00532C25" w:rsidP="00532C25">
      <w:pPr>
        <w:spacing w:line="264" w:lineRule="auto"/>
        <w:ind w:firstLine="0"/>
        <w:rPr>
          <w:rFonts w:ascii="Arial" w:eastAsia="Times New Roman" w:hAnsi="Arial" w:cs="Arial"/>
          <w:szCs w:val="28"/>
          <w:lang w:val="ru" w:eastAsia="ru-RU"/>
        </w:rPr>
      </w:pPr>
    </w:p>
    <w:p w14:paraId="6C8ED391" w14:textId="77777777" w:rsidR="00532C25" w:rsidRPr="00511005" w:rsidRDefault="00532C25" w:rsidP="00532C25">
      <w:pPr>
        <w:spacing w:line="264" w:lineRule="auto"/>
        <w:ind w:firstLine="708"/>
        <w:rPr>
          <w:rFonts w:ascii="Arial" w:eastAsia="Times New Roman" w:hAnsi="Arial" w:cs="Arial"/>
          <w:szCs w:val="28"/>
          <w:lang w:val="ru" w:eastAsia="ru-RU"/>
        </w:rPr>
      </w:pPr>
      <w:r w:rsidRPr="00511005">
        <w:rPr>
          <w:rFonts w:ascii="Arial" w:eastAsia="Times New Roman" w:hAnsi="Arial" w:cs="Arial"/>
          <w:b/>
          <w:bCs/>
          <w:i/>
          <w:szCs w:val="28"/>
          <w:lang w:val="uk" w:eastAsia="ru-RU"/>
        </w:rPr>
        <w:t xml:space="preserve">Ключові слова: </w:t>
      </w:r>
      <w:r w:rsidRPr="00511005">
        <w:rPr>
          <w:rFonts w:ascii="Arial" w:eastAsia="Times New Roman" w:hAnsi="Arial" w:cs="Arial"/>
          <w:szCs w:val="28"/>
          <w:lang w:val="uk" w:eastAsia="ru-RU"/>
        </w:rPr>
        <w:t>стандарт доказування, достатня підстава, ймовірна причина, кримінальне провадження, кримінальний процес, обшук, затримання особи, процесуальні дії.</w:t>
      </w:r>
    </w:p>
    <w:p w14:paraId="3E574BC6" w14:textId="77777777" w:rsidR="00532C25" w:rsidRPr="00511005" w:rsidRDefault="00532C25" w:rsidP="00532C25">
      <w:pPr>
        <w:spacing w:line="264" w:lineRule="auto"/>
        <w:ind w:firstLine="708"/>
        <w:rPr>
          <w:rFonts w:ascii="Arial" w:eastAsia="Times New Roman" w:hAnsi="Arial" w:cs="Arial"/>
          <w:szCs w:val="28"/>
          <w:lang w:val="en-US" w:eastAsia="ru-RU"/>
        </w:rPr>
      </w:pPr>
      <w:r w:rsidRPr="00511005">
        <w:rPr>
          <w:rFonts w:ascii="Arial" w:eastAsia="Times New Roman" w:hAnsi="Arial" w:cs="Arial"/>
          <w:b/>
          <w:bCs/>
          <w:i/>
          <w:szCs w:val="28"/>
          <w:lang w:val="uk" w:eastAsia="ru-RU"/>
        </w:rPr>
        <w:t xml:space="preserve">Key words: </w:t>
      </w:r>
      <w:r w:rsidRPr="00511005">
        <w:rPr>
          <w:rFonts w:ascii="Arial" w:eastAsia="Times New Roman" w:hAnsi="Arial" w:cs="Arial"/>
          <w:szCs w:val="28"/>
          <w:lang w:val="uk" w:eastAsia="ru-RU"/>
        </w:rPr>
        <w:t>standard of proof, probable cause, criminal proceedings, criminal procedure, search, detention, procedural actions.</w:t>
      </w:r>
    </w:p>
    <w:p w14:paraId="3602CC90" w14:textId="77777777" w:rsidR="00532C25" w:rsidRPr="00511005" w:rsidRDefault="00532C25" w:rsidP="00532C25">
      <w:pPr>
        <w:spacing w:line="264" w:lineRule="auto"/>
        <w:ind w:firstLine="708"/>
        <w:rPr>
          <w:rFonts w:ascii="Arial" w:eastAsia="Times New Roman" w:hAnsi="Arial" w:cs="Arial"/>
          <w:i/>
          <w:iCs/>
          <w:szCs w:val="28"/>
          <w:lang w:val="ru" w:eastAsia="ru-RU"/>
        </w:rPr>
      </w:pPr>
      <w:r w:rsidRPr="00511005">
        <w:rPr>
          <w:rFonts w:ascii="Arial" w:eastAsia="Times New Roman" w:hAnsi="Arial" w:cs="Arial"/>
          <w:b/>
          <w:i/>
          <w:iCs/>
          <w:szCs w:val="28"/>
          <w:lang w:val="uk" w:eastAsia="ru-RU"/>
        </w:rPr>
        <w:lastRenderedPageBreak/>
        <w:t xml:space="preserve">Науковий керівник: </w:t>
      </w:r>
      <w:r w:rsidRPr="00511005">
        <w:rPr>
          <w:rFonts w:ascii="Arial" w:eastAsia="Times New Roman" w:hAnsi="Arial" w:cs="Arial"/>
          <w:i/>
          <w:iCs/>
          <w:szCs w:val="28"/>
          <w:lang w:val="uk" w:eastAsia="ru-RU"/>
        </w:rPr>
        <w:t>к.ю.н., доцент Волошина В.К.</w:t>
      </w:r>
    </w:p>
    <w:p w14:paraId="246E7DCA" w14:textId="77777777" w:rsidR="00532C25" w:rsidRPr="00511005" w:rsidRDefault="00532C25" w:rsidP="00532C25">
      <w:pPr>
        <w:spacing w:line="264" w:lineRule="auto"/>
        <w:ind w:firstLine="0"/>
        <w:rPr>
          <w:rFonts w:ascii="Arial" w:eastAsia="Times New Roman" w:hAnsi="Arial" w:cs="Arial"/>
          <w:szCs w:val="28"/>
          <w:lang w:val="ru" w:eastAsia="ru-RU"/>
        </w:rPr>
      </w:pPr>
    </w:p>
    <w:p w14:paraId="3DDC812E" w14:textId="77777777" w:rsidR="00532C25" w:rsidRPr="00511005" w:rsidRDefault="00532C25" w:rsidP="00532C25">
      <w:pPr>
        <w:spacing w:line="264" w:lineRule="auto"/>
        <w:ind w:firstLine="0"/>
        <w:rPr>
          <w:rFonts w:ascii="Arial" w:eastAsia="Times New Roman" w:hAnsi="Arial" w:cs="Arial"/>
          <w:szCs w:val="28"/>
          <w:lang w:val="ru" w:eastAsia="ru-RU"/>
        </w:rPr>
      </w:pPr>
    </w:p>
    <w:p w14:paraId="4F549089" w14:textId="77777777" w:rsidR="00532C25" w:rsidRPr="00511005" w:rsidRDefault="00532C25" w:rsidP="00532C25">
      <w:pPr>
        <w:spacing w:line="264" w:lineRule="auto"/>
        <w:ind w:firstLine="0"/>
        <w:jc w:val="center"/>
        <w:rPr>
          <w:rFonts w:ascii="Arial" w:eastAsia="Arial" w:hAnsi="Arial" w:cs="Arial"/>
          <w:b/>
          <w:i/>
          <w:szCs w:val="28"/>
          <w:lang w:eastAsia="ru-RU"/>
        </w:rPr>
      </w:pPr>
      <w:r w:rsidRPr="00511005">
        <w:rPr>
          <w:rFonts w:ascii="Arial" w:eastAsia="Arial" w:hAnsi="Arial" w:cs="Arial"/>
          <w:b/>
          <w:i/>
          <w:szCs w:val="28"/>
          <w:lang w:eastAsia="ru-RU"/>
        </w:rPr>
        <w:t>Омельченко Анна Сергіївна</w:t>
      </w:r>
    </w:p>
    <w:p w14:paraId="7A39B4E7" w14:textId="77777777" w:rsidR="00532C25" w:rsidRPr="00511005" w:rsidRDefault="00532C25" w:rsidP="00532C25">
      <w:pPr>
        <w:spacing w:line="264" w:lineRule="auto"/>
        <w:ind w:firstLine="0"/>
        <w:jc w:val="center"/>
        <w:rPr>
          <w:rFonts w:ascii="Arial" w:eastAsia="Arial" w:hAnsi="Arial" w:cs="Arial"/>
          <w:szCs w:val="28"/>
          <w:lang w:eastAsia="ru-RU"/>
        </w:rPr>
      </w:pPr>
      <w:r w:rsidRPr="00511005">
        <w:rPr>
          <w:rFonts w:ascii="Arial" w:eastAsia="Arial" w:hAnsi="Arial" w:cs="Arial"/>
          <w:szCs w:val="28"/>
          <w:lang w:eastAsia="ru-RU"/>
        </w:rPr>
        <w:t xml:space="preserve">студентка 1-го курсу магістратури </w:t>
      </w:r>
    </w:p>
    <w:p w14:paraId="12DDF9A8" w14:textId="77777777" w:rsidR="00532C25" w:rsidRPr="00511005" w:rsidRDefault="00532C25" w:rsidP="00532C25">
      <w:pPr>
        <w:spacing w:line="264" w:lineRule="auto"/>
        <w:ind w:firstLine="0"/>
        <w:jc w:val="center"/>
        <w:rPr>
          <w:rFonts w:ascii="Arial" w:eastAsia="Arial" w:hAnsi="Arial" w:cs="Arial"/>
          <w:szCs w:val="28"/>
          <w:lang w:val="ru" w:eastAsia="ru-RU"/>
        </w:rPr>
      </w:pPr>
      <w:r w:rsidRPr="00511005">
        <w:rPr>
          <w:rFonts w:ascii="Arial" w:eastAsia="Arial" w:hAnsi="Arial" w:cs="Arial"/>
          <w:szCs w:val="28"/>
          <w:lang w:eastAsia="ru-RU"/>
        </w:rPr>
        <w:t>факультету судового та міжнародного права</w:t>
      </w:r>
    </w:p>
    <w:p w14:paraId="68BF5FB2" w14:textId="77777777" w:rsidR="00532C25" w:rsidRPr="00511005" w:rsidRDefault="00532C25" w:rsidP="00532C25">
      <w:pPr>
        <w:spacing w:line="264" w:lineRule="auto"/>
        <w:ind w:firstLine="0"/>
        <w:jc w:val="center"/>
        <w:rPr>
          <w:rFonts w:ascii="Arial" w:eastAsia="Arial" w:hAnsi="Arial" w:cs="Arial"/>
          <w:szCs w:val="28"/>
          <w:lang w:val="ru" w:eastAsia="ru-RU"/>
        </w:rPr>
      </w:pPr>
      <w:r w:rsidRPr="00511005">
        <w:rPr>
          <w:rFonts w:ascii="Arial" w:eastAsia="Arial" w:hAnsi="Arial" w:cs="Arial"/>
          <w:szCs w:val="28"/>
          <w:lang w:val="ru" w:eastAsia="ru-RU"/>
        </w:rPr>
        <w:t>Національного університету «Одеська юридична академія»</w:t>
      </w:r>
    </w:p>
    <w:p w14:paraId="10C71C50" w14:textId="77777777" w:rsidR="00532C25" w:rsidRPr="00511005" w:rsidRDefault="00532C25" w:rsidP="00532C25">
      <w:pPr>
        <w:spacing w:line="264" w:lineRule="auto"/>
        <w:ind w:firstLine="0"/>
        <w:rPr>
          <w:rFonts w:ascii="Arial" w:eastAsia="Times New Roman" w:hAnsi="Arial" w:cs="Arial"/>
          <w:b/>
          <w:bCs/>
          <w:szCs w:val="28"/>
          <w:lang w:val="ru" w:eastAsia="ru-RU"/>
        </w:rPr>
      </w:pPr>
    </w:p>
    <w:p w14:paraId="4195EB13" w14:textId="77777777" w:rsidR="00532C25" w:rsidRPr="00511005" w:rsidRDefault="00532C25" w:rsidP="00532C25">
      <w:pPr>
        <w:spacing w:line="264" w:lineRule="auto"/>
        <w:ind w:firstLine="0"/>
        <w:jc w:val="center"/>
        <w:rPr>
          <w:rFonts w:ascii="Arial" w:eastAsia="Times New Roman" w:hAnsi="Arial" w:cs="Arial"/>
          <w:b/>
          <w:bCs/>
          <w:szCs w:val="28"/>
          <w:lang w:val="ru" w:eastAsia="ru-RU"/>
        </w:rPr>
      </w:pPr>
      <w:r w:rsidRPr="00511005">
        <w:rPr>
          <w:rFonts w:ascii="Arial" w:eastAsia="Times New Roman" w:hAnsi="Arial" w:cs="Arial"/>
          <w:b/>
          <w:bCs/>
          <w:szCs w:val="28"/>
          <w:lang w:val="ru" w:eastAsia="ru-RU"/>
        </w:rPr>
        <w:t>ОСОБЛИВОСТІ ПРОВЕДЕННЯ ОБШУКУ В УМОВАХ ВОЄННОГО СТАНУ</w:t>
      </w:r>
    </w:p>
    <w:p w14:paraId="2F6812B7" w14:textId="77777777" w:rsidR="00532C25" w:rsidRPr="00511005" w:rsidRDefault="00532C25" w:rsidP="00532C25">
      <w:pPr>
        <w:spacing w:line="264" w:lineRule="auto"/>
        <w:rPr>
          <w:rFonts w:ascii="Arial" w:eastAsia="Times New Roman" w:hAnsi="Arial" w:cs="Arial"/>
          <w:bCs/>
          <w:szCs w:val="28"/>
          <w:lang w:eastAsia="ru-RU"/>
        </w:rPr>
      </w:pPr>
      <w:r w:rsidRPr="00511005">
        <w:rPr>
          <w:rFonts w:ascii="Arial" w:eastAsia="Times New Roman" w:hAnsi="Arial" w:cs="Arial"/>
          <w:bCs/>
          <w:szCs w:val="28"/>
          <w:lang w:eastAsia="ru-RU"/>
        </w:rPr>
        <w:t xml:space="preserve">Неухильне дотримання норм кримінального процесуального законодавства при здійсненні слідчих (розшукових) дій, зокрема обшуку, є необхідною умовою визнання отриманих у їх ході доказів допустимими. Проте, правозастосовна практика свідчить про численні випадки ігнорування або неналежного виконання вимог чинного законодавства, що тягне за собою порушення фундаментальних прав і свобод людини. Наявні проблеми у сфері нормативного регулювання, а також довільне тлумачення окремих положень Кримінального процесуального кодексу України (далі – КПК України) </w:t>
      </w:r>
      <w:r w:rsidRPr="00511005">
        <w:rPr>
          <w:rFonts w:ascii="Arial" w:eastAsia="Times New Roman" w:hAnsi="Arial" w:cs="Arial"/>
          <w:szCs w:val="28"/>
          <w:lang w:val="ru" w:eastAsia="ru-RU"/>
        </w:rPr>
        <w:t>[1]</w:t>
      </w:r>
      <w:r w:rsidRPr="00511005">
        <w:rPr>
          <w:rFonts w:ascii="Arial" w:eastAsia="Times New Roman" w:hAnsi="Arial" w:cs="Arial"/>
          <w:bCs/>
          <w:szCs w:val="28"/>
          <w:lang w:eastAsia="ru-RU"/>
        </w:rPr>
        <w:t xml:space="preserve"> негативно впливають на ефективність та законність досудового розслідування.</w:t>
      </w:r>
    </w:p>
    <w:p w14:paraId="46A2D604" w14:textId="77777777" w:rsidR="00532C25" w:rsidRPr="00511005" w:rsidRDefault="00532C25" w:rsidP="00532C25">
      <w:pPr>
        <w:spacing w:line="264" w:lineRule="auto"/>
        <w:rPr>
          <w:rFonts w:ascii="Arial" w:eastAsia="Times New Roman" w:hAnsi="Arial" w:cs="Arial"/>
          <w:bCs/>
          <w:szCs w:val="28"/>
          <w:lang w:val="ru" w:eastAsia="ru-RU"/>
        </w:rPr>
      </w:pPr>
      <w:r w:rsidRPr="00511005">
        <w:rPr>
          <w:rFonts w:ascii="Arial" w:eastAsia="Times New Roman" w:hAnsi="Arial" w:cs="Arial"/>
          <w:bCs/>
          <w:szCs w:val="28"/>
          <w:lang w:eastAsia="ru-RU"/>
        </w:rPr>
        <w:t>У зв’язку із запровадженням воєнного стану на території України, до КПК України було внесено низку змін, які істотно трансформували правове регулювання порядку проведення обшуку як слідчої (розшукової) дії. Такі зміни стали відповіддю на нові безпекові виклики, однак разом із тим актуалізували низку питань, пов’язаних із дотриманням процесуальних гарантій учасників кримінального провадження.</w:t>
      </w:r>
      <w:r w:rsidRPr="00511005">
        <w:rPr>
          <w:rFonts w:ascii="Arial" w:eastAsia="Times New Roman" w:hAnsi="Arial" w:cs="Arial"/>
          <w:bCs/>
          <w:szCs w:val="28"/>
          <w:lang w:val="ru" w:eastAsia="ru-RU"/>
        </w:rPr>
        <w:t xml:space="preserve"> </w:t>
      </w:r>
      <w:r w:rsidRPr="00511005">
        <w:rPr>
          <w:rFonts w:ascii="Arial" w:eastAsia="Times New Roman" w:hAnsi="Arial" w:cs="Arial"/>
          <w:bCs/>
          <w:szCs w:val="28"/>
          <w:lang w:eastAsia="ru-RU"/>
        </w:rPr>
        <w:t>У цьому контексті виникає об’єктивна необхідність оновленого теоретичного осмислення та практичного аналізу сучасних механізмів реалізації обшуку в умовах дії спеціального правового режиму</w:t>
      </w:r>
      <w:r w:rsidRPr="00511005">
        <w:rPr>
          <w:rFonts w:ascii="Arial" w:eastAsia="Times New Roman" w:hAnsi="Arial" w:cs="Arial"/>
          <w:bCs/>
          <w:szCs w:val="28"/>
          <w:lang w:val="ru" w:eastAsia="ru-RU"/>
        </w:rPr>
        <w:t xml:space="preserve">. Відтак дослідження процесуального порядку здійснення обшуку в умовах зміненої нормативної бази набуває особливої наукової та практичної значущості. </w:t>
      </w:r>
    </w:p>
    <w:p w14:paraId="6FF921A1" w14:textId="77777777" w:rsidR="00532C25" w:rsidRPr="00511005" w:rsidRDefault="00532C25" w:rsidP="00532C25">
      <w:pPr>
        <w:spacing w:line="264" w:lineRule="auto"/>
        <w:rPr>
          <w:rFonts w:ascii="Arial" w:eastAsia="Times New Roman" w:hAnsi="Arial" w:cs="Arial"/>
          <w:bCs/>
          <w:szCs w:val="28"/>
          <w:lang w:val="ru" w:eastAsia="ru-RU"/>
        </w:rPr>
      </w:pPr>
      <w:r w:rsidRPr="00511005">
        <w:rPr>
          <w:rFonts w:ascii="Arial" w:eastAsia="Times New Roman" w:hAnsi="Arial" w:cs="Arial"/>
          <w:bCs/>
          <w:szCs w:val="28"/>
          <w:lang w:eastAsia="ru-RU"/>
        </w:rPr>
        <w:t xml:space="preserve">Порядок проведення обшуку регламентується ст. ст. 234-236 КПК України. Обшук, як одна з ключових слідчих (розшукових) дій, має примусовий характер і безпосередньо </w:t>
      </w:r>
      <w:r w:rsidRPr="00511005">
        <w:rPr>
          <w:rFonts w:ascii="Arial" w:eastAsia="Times New Roman" w:hAnsi="Arial" w:cs="Arial"/>
          <w:bCs/>
          <w:szCs w:val="28"/>
          <w:lang w:val="ru" w:eastAsia="ru-RU"/>
        </w:rPr>
        <w:t xml:space="preserve">втручається у </w:t>
      </w:r>
      <w:r w:rsidRPr="00511005">
        <w:rPr>
          <w:rFonts w:ascii="Arial" w:eastAsia="Times New Roman" w:hAnsi="Arial" w:cs="Arial"/>
          <w:bCs/>
          <w:szCs w:val="28"/>
          <w:lang w:eastAsia="ru-RU"/>
        </w:rPr>
        <w:t>реалізацію конституційних прав учасників кримінального провадження, насамперед права на недоторканність</w:t>
      </w:r>
      <w:r w:rsidRPr="00511005">
        <w:rPr>
          <w:rFonts w:ascii="Arial" w:eastAsia="Times New Roman" w:hAnsi="Arial" w:cs="Arial"/>
          <w:bCs/>
          <w:szCs w:val="28"/>
          <w:lang w:val="ru" w:eastAsia="ru-RU"/>
        </w:rPr>
        <w:t xml:space="preserve"> </w:t>
      </w:r>
      <w:r w:rsidRPr="00511005">
        <w:rPr>
          <w:rFonts w:ascii="Arial" w:eastAsia="Times New Roman" w:hAnsi="Arial" w:cs="Arial"/>
          <w:bCs/>
          <w:szCs w:val="28"/>
          <w:lang w:eastAsia="ru-RU"/>
        </w:rPr>
        <w:t xml:space="preserve">житла. </w:t>
      </w:r>
      <w:r w:rsidRPr="00511005">
        <w:rPr>
          <w:rFonts w:ascii="Arial" w:eastAsia="Times New Roman" w:hAnsi="Arial" w:cs="Arial"/>
          <w:bCs/>
          <w:szCs w:val="28"/>
          <w:lang w:val="ru" w:eastAsia="ru-RU"/>
        </w:rPr>
        <w:t xml:space="preserve">Це одна з невербальних слідчих (розшукових) дій, яка є досить ефективним засобом збирання та перевірки доказів [2, с. 141], </w:t>
      </w:r>
      <w:r w:rsidRPr="00511005">
        <w:rPr>
          <w:rFonts w:ascii="Arial" w:eastAsia="Times New Roman" w:hAnsi="Arial" w:cs="Arial"/>
          <w:bCs/>
          <w:szCs w:val="28"/>
          <w:lang w:eastAsia="ru-RU"/>
        </w:rPr>
        <w:t>що можуть мати вирішальне значення для встановлення істини у справі</w:t>
      </w:r>
      <w:r w:rsidRPr="00511005">
        <w:rPr>
          <w:rFonts w:ascii="Arial" w:eastAsia="Times New Roman" w:hAnsi="Arial" w:cs="Arial"/>
          <w:bCs/>
          <w:szCs w:val="28"/>
          <w:lang w:val="ru" w:eastAsia="ru-RU"/>
        </w:rPr>
        <w:t xml:space="preserve">. Крім того, обшук сприяє виявленню майна, необхідного для забезпечення відшкодування шкоди, завданої кримінальним правопорушенням, що підкреслює його функціональне навантаження не лише у сфері кримінального переслідування, а й у забезпеченні захисту прав потерпілих. Водночас через складність процедури, її інтенсивне </w:t>
      </w:r>
      <w:r w:rsidRPr="00511005">
        <w:rPr>
          <w:rFonts w:ascii="Arial" w:eastAsia="Times New Roman" w:hAnsi="Arial" w:cs="Arial"/>
          <w:bCs/>
          <w:szCs w:val="28"/>
          <w:lang w:val="ru" w:eastAsia="ru-RU"/>
        </w:rPr>
        <w:lastRenderedPageBreak/>
        <w:t xml:space="preserve">втручання </w:t>
      </w:r>
      <w:proofErr w:type="gramStart"/>
      <w:r w:rsidRPr="00511005">
        <w:rPr>
          <w:rFonts w:ascii="Arial" w:eastAsia="Times New Roman" w:hAnsi="Arial" w:cs="Arial"/>
          <w:bCs/>
          <w:szCs w:val="28"/>
          <w:lang w:val="ru" w:eastAsia="ru-RU"/>
        </w:rPr>
        <w:t>у сферу</w:t>
      </w:r>
      <w:proofErr w:type="gramEnd"/>
      <w:r w:rsidRPr="00511005">
        <w:rPr>
          <w:rFonts w:ascii="Arial" w:eastAsia="Times New Roman" w:hAnsi="Arial" w:cs="Arial"/>
          <w:bCs/>
          <w:szCs w:val="28"/>
          <w:lang w:val="ru" w:eastAsia="ru-RU"/>
        </w:rPr>
        <w:t xml:space="preserve"> приватності особи та ризики зловживань, обшук належить до найбільш чутливих з точки зору дотримання прав людини слідчих дій.</w:t>
      </w:r>
    </w:p>
    <w:p w14:paraId="438C16F2" w14:textId="77777777" w:rsidR="00532C25" w:rsidRPr="00511005" w:rsidRDefault="00532C25" w:rsidP="00532C25">
      <w:pPr>
        <w:spacing w:line="264" w:lineRule="auto"/>
        <w:rPr>
          <w:rFonts w:ascii="Arial" w:eastAsia="Times New Roman" w:hAnsi="Arial" w:cs="Arial"/>
          <w:szCs w:val="28"/>
          <w:lang w:eastAsia="ru-RU"/>
        </w:rPr>
      </w:pPr>
      <w:r w:rsidRPr="00511005">
        <w:rPr>
          <w:rFonts w:ascii="Arial" w:eastAsia="Times New Roman" w:hAnsi="Arial" w:cs="Arial"/>
          <w:szCs w:val="28"/>
          <w:lang w:val="ru" w:eastAsia="ru-RU"/>
        </w:rPr>
        <w:t xml:space="preserve">Початковим етапом проведення обшуку є постановлення слідчим суддею місцевого суду ухвали про надання дозволу на його проведення, що передбачено ст. 235 КПК України. У зв’язку з введенням 24 лютого 2022 року на території України воєнного стану до КПК України було внесено ряд змін щодо проведення обшуку, зокрема надано можливість вчинення цієї слідчої (розшукової) дії без ухвали слідчого судді про дозвіл на обшук. Це пояснюється тим, що у деяких регіонах, особливо прифронтових, є обмежений доступ до судів, що ускладнює отримання дозволів на обшук, а також унеможливлює ефективне оскарження дій слідчих. Тому у разі, коли відсутня можливість виконання слідчим суддею своїх повноважень, керівник органу прокуратури за клопотанням прокурора або за клопотанням слідчого, погодженим з прокурором приймає рішення про дозвіл на обшук у формі постанови. </w:t>
      </w:r>
      <w:r w:rsidRPr="00511005">
        <w:rPr>
          <w:rFonts w:ascii="Arial" w:eastAsia="Times New Roman" w:hAnsi="Arial" w:cs="Arial"/>
          <w:szCs w:val="28"/>
          <w:lang w:eastAsia="ru-RU"/>
        </w:rPr>
        <w:t xml:space="preserve">З метою дотримання прав людини при проведенні обшуку під час воєнного стану, можливості реалізації права особи на оскарження цього процесуального рішення, важливим є щоб постанова прокурора за своїм змістом відповідала </w:t>
      </w:r>
      <w:r w:rsidRPr="00511005">
        <w:rPr>
          <w:rFonts w:ascii="Arial" w:eastAsia="Times New Roman" w:hAnsi="Arial" w:cs="Arial"/>
          <w:szCs w:val="28"/>
          <w:lang w:val="ru" w:eastAsia="ru-RU"/>
        </w:rPr>
        <w:t>усім загальним вимогам</w:t>
      </w:r>
      <w:r w:rsidRPr="00511005">
        <w:rPr>
          <w:rFonts w:ascii="Arial" w:eastAsia="Times New Roman" w:hAnsi="Arial" w:cs="Arial"/>
          <w:szCs w:val="28"/>
          <w:lang w:eastAsia="ru-RU"/>
        </w:rPr>
        <w:t xml:space="preserve">, встановленим для ухвали слідчого судді [3, с. 346-347]. </w:t>
      </w:r>
      <w:r w:rsidRPr="00511005">
        <w:rPr>
          <w:rFonts w:ascii="Arial" w:eastAsia="Times New Roman" w:hAnsi="Arial" w:cs="Arial"/>
          <w:szCs w:val="28"/>
          <w:lang w:val="ru" w:eastAsia="ru-RU"/>
        </w:rPr>
        <w:t>У тексті постанови обов’язково повинні бути чітко визначені строк її дії (який не може перевищувати одного місяця з дня ухвалення до фактичного здійснення обшуку), конкретне місце проведення слідчої дії, а також об’єкти, що підлягають виявленню чи вилученню.</w:t>
      </w:r>
      <w:r w:rsidRPr="00511005">
        <w:rPr>
          <w:rFonts w:ascii="Arial" w:eastAsia="Times New Roman" w:hAnsi="Arial" w:cs="Arial"/>
          <w:szCs w:val="28"/>
          <w:lang w:eastAsia="ru-RU"/>
        </w:rPr>
        <w:t xml:space="preserve"> </w:t>
      </w:r>
    </w:p>
    <w:p w14:paraId="70592CAF" w14:textId="77777777" w:rsidR="00532C25" w:rsidRPr="00511005" w:rsidRDefault="00532C25" w:rsidP="00532C25">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Для вирішення проблеми порушення прав людини під час обшуку законодавцем закріплено норму про обов’язковість участі під час обшуку таких учасників як поняті. В умовах воєнного стану законодавцем передбачена в окремих випадках альтернативність дій, а саме за наявності небезпеки для життя та здоров’я понятих або об’єктивної неможливості їх залучення (наприклад в зоні бойових дій чи під час повітряної тривоги) обшук може проводитися без їх участі. У цьому випадку обов’язкове застосування додаткової форми фіксації у вигляді технічних засобів шляхом здійснення безперервного відеозапису. Хоча у</w:t>
      </w:r>
      <w:r w:rsidRPr="00511005">
        <w:rPr>
          <w:rFonts w:ascii="Arial" w:eastAsia="Times New Roman" w:hAnsi="Arial" w:cs="Arial"/>
          <w:szCs w:val="28"/>
          <w:lang w:val="ru" w:eastAsia="ru-RU"/>
        </w:rPr>
        <w:t xml:space="preserve"> зв’язку з дефіцитом ресурсів, перебоями з електроенергією та інтернетом значно ускладнюється дотримання цієї вимоги, пріоритет збереження життя і здоров’я осіб цілком виправданий порівняно з їх участю у слідчих діях.</w:t>
      </w:r>
      <w:r w:rsidRPr="00511005">
        <w:rPr>
          <w:rFonts w:ascii="Arial" w:eastAsia="Times New Roman" w:hAnsi="Arial" w:cs="Arial"/>
          <w:szCs w:val="28"/>
          <w:lang w:eastAsia="ru-RU"/>
        </w:rPr>
        <w:t xml:space="preserve"> Крім того, проведення даних слідчих (розшукових) дій у виняткових випадках без участі понятих, але з неухильним дотриманням решти вимог процесуального характеру, не повинно впливати на результати як слідчих (розшукових) дій, так і розслідування в цілому.</w:t>
      </w:r>
    </w:p>
    <w:p w14:paraId="28142F8F" w14:textId="77777777" w:rsidR="00532C25" w:rsidRPr="00511005" w:rsidRDefault="00532C25" w:rsidP="00532C25">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Початок обшуку зобов’язує відповідну посадову особу пред’явити процесуальне рішення про проведення слідчої дії. Проведення обшуку закінчується складанням протоколу. За загальним правилом, на цьому етапі </w:t>
      </w:r>
      <w:r w:rsidRPr="00511005">
        <w:rPr>
          <w:rFonts w:ascii="Arial" w:eastAsia="Times New Roman" w:hAnsi="Arial" w:cs="Arial"/>
          <w:szCs w:val="28"/>
          <w:lang w:eastAsia="ru-RU"/>
        </w:rPr>
        <w:lastRenderedPageBreak/>
        <w:t xml:space="preserve">учасники слідчої дії повинні мати можливість обов’язково ознайомитись зі змістом протоколу, внести зауваження та уточнення. Цей обов'язок забезпечити це покладено на відповідну посадову особу. Дотримання цієї вимоги вважаємо обов'язковим, оскільки не дотримання в цій частині процедури провадження слідчих дій, може призвести до негативних наслідків для всієї кримінальної справи, що розслідується. Однак, особливістю проведення обшуку в умовах воєнного стану є його фіксування. Складення протоколу може бути відтерміновано на 72 години після закінчення цього обшуку. В цьому випадку учасники обшуку не матимуть змоги ознайомитися з протоколом, а отже внести свої зауваження до нього. Адже законодавством не унормовано підстави та порядок виклику осіб, які брали участь у проведенні обшуку для підписання цього протоколу. </w:t>
      </w:r>
    </w:p>
    <w:p w14:paraId="29714FB3" w14:textId="77777777" w:rsidR="00532C25" w:rsidRPr="00511005" w:rsidRDefault="00532C25" w:rsidP="00532C25">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Участь захисника при обшуку потребує окремого розгляду, оскільки з тактичних міркувань про майбутній обшук заздалегідь не повідомляють осіб, тому підозрюваний залучити захисника </w:t>
      </w:r>
      <w:proofErr w:type="gramStart"/>
      <w:r w:rsidRPr="00511005">
        <w:rPr>
          <w:rFonts w:ascii="Arial" w:eastAsia="Times New Roman" w:hAnsi="Arial" w:cs="Arial"/>
          <w:szCs w:val="28"/>
          <w:lang w:eastAsia="ru-RU"/>
        </w:rPr>
        <w:t>до моменту</w:t>
      </w:r>
      <w:proofErr w:type="gramEnd"/>
      <w:r w:rsidRPr="00511005">
        <w:rPr>
          <w:rFonts w:ascii="Arial" w:eastAsia="Times New Roman" w:hAnsi="Arial" w:cs="Arial"/>
          <w:szCs w:val="28"/>
          <w:lang w:eastAsia="ru-RU"/>
        </w:rPr>
        <w:t xml:space="preserve"> початку даної слідчої дії не може. Перед початком проведення слідчої дії слідчий зобов'язаний пред'явити ухвалу чи постанову про дозвіл на обшук та роз'яснити учасникам мету слідчої дії, їх права та обов'язки. </w:t>
      </w:r>
      <w:r w:rsidRPr="00511005">
        <w:rPr>
          <w:rFonts w:ascii="Arial" w:eastAsia="Times New Roman" w:hAnsi="Arial" w:cs="Arial"/>
          <w:szCs w:val="28"/>
          <w:lang w:val="ru" w:eastAsia="ru-RU"/>
        </w:rPr>
        <w:t xml:space="preserve">При цьому в огляді судової практики Касаційного кримінального суду у складі Верховного Суду щодо проведення огляду та обшуку наголошується: «Хоча слідчий чи прокурор і не зобов’язані забезпечувати присутність захисника під час обшуку, участь якого не є обов’язковою згідно з КПК України, вони не мають права перешкоджати реалізації права на правову допомогу. Якщо адвокат або представник прибув під час обшуку, слідчий або прокурор зобов’язані допустити його до участі у слідчій дії на будь-якому етапі її проведення. Заборона доступу адвоката у таких випадках може вважатися суттєвим процесуальним порушенням, яке впливає на допустимість отриманих доказів» [4]. </w:t>
      </w:r>
      <w:r w:rsidRPr="00511005">
        <w:rPr>
          <w:rFonts w:ascii="Arial" w:eastAsia="Times New Roman" w:hAnsi="Arial" w:cs="Arial"/>
          <w:szCs w:val="28"/>
          <w:lang w:eastAsia="ru-RU"/>
        </w:rPr>
        <w:t xml:space="preserve">Під час воєнного стану у разі неможливості явки захисника слідчий, прокурор зобов’язані забезпечити його участь із застосуванням технічних засобів (відео-, аудіозв’язку), тобто дистанційно. </w:t>
      </w:r>
    </w:p>
    <w:p w14:paraId="7B0B5C31" w14:textId="77777777" w:rsidR="00532C25" w:rsidRPr="00511005" w:rsidRDefault="00532C25" w:rsidP="00532C25">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 xml:space="preserve">Можливість дистанційної участі захисника при проведенні обшуку під час воєнного стану є доцільним нововведенням КПК України, адже під час воєнного стану змінено часові рамки проведення цієї слідчої дії. Так, в умовах воєнного стану дозволяється проводити обшук цілодобово, а не тільки з 06:00 до 22:00. З урахуванням того, що в нічні години на території України в кожній територіальній громаді діє комендантська година, то саме дистанційна участь захисника із застосуванням технічних засобів (відео-, аудіозв’язку) </w:t>
      </w:r>
      <w:r w:rsidRPr="00511005">
        <w:rPr>
          <w:rFonts w:ascii="Arial" w:eastAsia="Times New Roman" w:hAnsi="Arial" w:cs="Arial"/>
          <w:szCs w:val="28"/>
          <w:lang w:val="ru" w:eastAsia="ru-RU"/>
        </w:rPr>
        <w:t xml:space="preserve">є дієвим способом реалізації права на захист. Такий формат дозволяє ще </w:t>
      </w:r>
      <w:r w:rsidRPr="00511005">
        <w:rPr>
          <w:rFonts w:ascii="Arial" w:eastAsia="Times New Roman" w:hAnsi="Arial" w:cs="Arial"/>
          <w:szCs w:val="28"/>
          <w:lang w:eastAsia="ru-RU"/>
        </w:rPr>
        <w:t xml:space="preserve">перед початком слідчої дії заявити клопотання про залучення та участь захисника. </w:t>
      </w:r>
      <w:r w:rsidRPr="00511005">
        <w:rPr>
          <w:rFonts w:ascii="Arial" w:eastAsia="Times New Roman" w:hAnsi="Arial" w:cs="Arial"/>
          <w:szCs w:val="28"/>
          <w:lang w:val="ru" w:eastAsia="ru-RU"/>
        </w:rPr>
        <w:t xml:space="preserve">Повною мірою забезпечити реалізацію цієї процесуальної гарантії можливо під час проведення процесуальних дій у </w:t>
      </w:r>
      <w:r w:rsidRPr="00511005">
        <w:rPr>
          <w:rFonts w:ascii="Arial" w:eastAsia="Times New Roman" w:hAnsi="Arial" w:cs="Arial"/>
          <w:szCs w:val="28"/>
          <w:lang w:val="ru" w:eastAsia="ru-RU"/>
        </w:rPr>
        <w:lastRenderedPageBreak/>
        <w:t xml:space="preserve">режимі відеоконференції за умови забезпечення можливості конфіденційного спілкування захисника з підзахисним </w:t>
      </w:r>
      <w:r w:rsidRPr="00511005">
        <w:rPr>
          <w:rFonts w:ascii="Arial" w:eastAsia="Times New Roman" w:hAnsi="Arial" w:cs="Arial"/>
          <w:szCs w:val="28"/>
          <w:lang w:eastAsia="ru-RU"/>
        </w:rPr>
        <w:t>[5, с. 361].</w:t>
      </w:r>
    </w:p>
    <w:p w14:paraId="7DDCBFA7" w14:textId="77777777" w:rsidR="00532C25" w:rsidRPr="00511005" w:rsidRDefault="00532C25" w:rsidP="00532C25">
      <w:pPr>
        <w:spacing w:line="264" w:lineRule="auto"/>
        <w:rPr>
          <w:rFonts w:ascii="Arial" w:eastAsia="Times New Roman" w:hAnsi="Arial" w:cs="Arial"/>
          <w:szCs w:val="28"/>
          <w:lang w:eastAsia="ru-RU"/>
        </w:rPr>
      </w:pPr>
      <w:r w:rsidRPr="00511005">
        <w:rPr>
          <w:rFonts w:ascii="Arial" w:eastAsia="Times New Roman" w:hAnsi="Arial" w:cs="Arial"/>
          <w:szCs w:val="28"/>
          <w:lang w:eastAsia="ru-RU"/>
        </w:rPr>
        <w:t>Отже, тільки суворе дотримання процедури під час проведення обшуку виключить подальше прийняття незаконних і необґрунтованих рішень під час досудового розслідування. Процесуальний порядок проведення обшуку під час воєнного стану зазнав істотних змін. Більшість змін є доречними, але законодавче регулювання обшуку не є ідеальним і потребує вдосконалення та виключення різночитання при застосуванні вже чинних норм.</w:t>
      </w:r>
      <w:r w:rsidRPr="00511005">
        <w:rPr>
          <w:rFonts w:ascii="Arial" w:eastAsia="Times New Roman" w:hAnsi="Arial" w:cs="Arial"/>
          <w:b/>
          <w:bCs/>
          <w:szCs w:val="28"/>
          <w:lang w:eastAsia="ru-RU"/>
        </w:rPr>
        <w:t xml:space="preserve"> </w:t>
      </w:r>
      <w:r w:rsidRPr="00511005">
        <w:rPr>
          <w:rFonts w:ascii="Arial" w:eastAsia="Times New Roman" w:hAnsi="Arial" w:cs="Arial"/>
          <w:szCs w:val="28"/>
          <w:lang w:eastAsia="ru-RU"/>
        </w:rPr>
        <w:t xml:space="preserve">Підсумовуючи, варто зазначити, що судовий контроль щодо проведенням обшуку — це невід’ємна частина забезпечення прав та законних інтересів учасників кримінального судочинства, однак він не повинен підмінювати обов'язок посадових осіб неухильно виконувати норми кримінально-процесуального законодавства під час обшуку. </w:t>
      </w:r>
    </w:p>
    <w:p w14:paraId="18B1739D" w14:textId="77777777" w:rsidR="00532C25" w:rsidRPr="00511005" w:rsidRDefault="00532C25" w:rsidP="00532C25">
      <w:pPr>
        <w:spacing w:line="264" w:lineRule="auto"/>
        <w:ind w:firstLine="567"/>
        <w:rPr>
          <w:rFonts w:ascii="Arial" w:eastAsia="Arial" w:hAnsi="Arial" w:cs="Arial"/>
          <w:b/>
          <w:szCs w:val="28"/>
          <w:lang w:val="ru" w:eastAsia="ru-RU"/>
        </w:rPr>
      </w:pPr>
    </w:p>
    <w:p w14:paraId="6AAD10F2" w14:textId="77777777" w:rsidR="00532C25" w:rsidRPr="00511005" w:rsidRDefault="00532C25" w:rsidP="00532C25">
      <w:pPr>
        <w:spacing w:line="264" w:lineRule="auto"/>
        <w:ind w:firstLine="567"/>
        <w:jc w:val="center"/>
        <w:rPr>
          <w:rFonts w:ascii="Arial" w:eastAsia="Arial" w:hAnsi="Arial" w:cs="Arial"/>
          <w:b/>
          <w:szCs w:val="28"/>
          <w:lang w:val="ru" w:eastAsia="ru-RU"/>
        </w:rPr>
      </w:pPr>
      <w:r w:rsidRPr="00511005">
        <w:rPr>
          <w:rFonts w:ascii="Arial" w:eastAsia="Arial" w:hAnsi="Arial" w:cs="Arial"/>
          <w:b/>
          <w:szCs w:val="28"/>
          <w:lang w:val="uk-UA" w:eastAsia="ru-RU"/>
        </w:rPr>
        <w:t>Список використаних джерел</w:t>
      </w:r>
    </w:p>
    <w:p w14:paraId="0C6FF5A0"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ru" w:eastAsia="ru-RU"/>
        </w:rPr>
        <w:t>1. Кримінальний процесуальний кодекс України</w:t>
      </w:r>
      <w:r w:rsidRPr="00511005">
        <w:rPr>
          <w:rFonts w:ascii="Arial" w:eastAsia="Arial" w:hAnsi="Arial" w:cs="Arial"/>
          <w:szCs w:val="28"/>
          <w:lang w:eastAsia="ru-RU"/>
        </w:rPr>
        <w:t xml:space="preserve"> </w:t>
      </w:r>
      <w:r w:rsidRPr="00511005">
        <w:rPr>
          <w:rFonts w:ascii="Arial" w:eastAsia="Arial" w:hAnsi="Arial" w:cs="Arial"/>
          <w:szCs w:val="28"/>
          <w:lang w:val="ru" w:eastAsia="ru-RU"/>
        </w:rPr>
        <w:t xml:space="preserve">від 13.04.2012 р. № 4651-VI. URL: </w:t>
      </w:r>
      <w:hyperlink r:id="rId2260" w:history="1">
        <w:r w:rsidRPr="00511005">
          <w:rPr>
            <w:rFonts w:ascii="Arial" w:eastAsia="Arial" w:hAnsi="Arial" w:cs="Arial"/>
            <w:szCs w:val="28"/>
            <w:lang w:val="ru" w:eastAsia="ru-RU"/>
          </w:rPr>
          <w:t>https://zakon.rada.gov.ua/go/4651-17</w:t>
        </w:r>
      </w:hyperlink>
      <w:r w:rsidRPr="00511005">
        <w:rPr>
          <w:rFonts w:ascii="Arial" w:eastAsia="Arial" w:hAnsi="Arial" w:cs="Arial"/>
          <w:szCs w:val="28"/>
          <w:lang w:val="uk-UA" w:eastAsia="ru-RU"/>
        </w:rPr>
        <w:t>.</w:t>
      </w:r>
    </w:p>
    <w:p w14:paraId="3E2EA935" w14:textId="77777777" w:rsidR="00532C25" w:rsidRPr="00511005" w:rsidRDefault="00532C25" w:rsidP="00532C25">
      <w:pPr>
        <w:spacing w:line="264" w:lineRule="auto"/>
        <w:rPr>
          <w:rFonts w:ascii="Arial" w:eastAsia="Times New Roman" w:hAnsi="Arial" w:cs="Arial"/>
          <w:kern w:val="2"/>
          <w:szCs w:val="28"/>
          <w:lang w:val="uk-UA" w:eastAsia="ru-RU"/>
          <w14:ligatures w14:val="standardContextual"/>
        </w:rPr>
      </w:pPr>
      <w:r w:rsidRPr="00511005">
        <w:rPr>
          <w:rFonts w:ascii="Arial" w:eastAsia="Arial" w:hAnsi="Arial" w:cs="Arial"/>
          <w:szCs w:val="28"/>
          <w:lang w:val="ru" w:eastAsia="ru-RU"/>
        </w:rPr>
        <w:t>2.</w:t>
      </w:r>
      <w:r w:rsidRPr="00511005">
        <w:rPr>
          <w:rFonts w:ascii="Arial" w:eastAsia="Times New Roman" w:hAnsi="Arial" w:cs="Arial"/>
          <w:kern w:val="2"/>
          <w:szCs w:val="28"/>
          <w:lang w:val="ru" w:eastAsia="ru-RU"/>
          <w14:ligatures w14:val="standardContextual"/>
        </w:rPr>
        <w:t xml:space="preserve"> Гловюк І.</w:t>
      </w:r>
      <w:r w:rsidRPr="00511005">
        <w:rPr>
          <w:rFonts w:ascii="Arial" w:eastAsia="Times New Roman" w:hAnsi="Arial" w:cs="Arial"/>
          <w:kern w:val="2"/>
          <w:szCs w:val="28"/>
          <w:lang w:val="en-GB" w:eastAsia="ru-RU"/>
          <w14:ligatures w14:val="standardContextual"/>
        </w:rPr>
        <w:t> </w:t>
      </w:r>
      <w:r w:rsidRPr="00511005">
        <w:rPr>
          <w:rFonts w:ascii="Arial" w:eastAsia="Times New Roman" w:hAnsi="Arial" w:cs="Arial"/>
          <w:kern w:val="2"/>
          <w:szCs w:val="28"/>
          <w:lang w:val="ru" w:eastAsia="ru-RU"/>
          <w14:ligatures w14:val="standardContextual"/>
        </w:rPr>
        <w:t xml:space="preserve">В. Проблемні питання забезпечення належної правової процедури обшуку. </w:t>
      </w:r>
      <w:r w:rsidRPr="00511005">
        <w:rPr>
          <w:rFonts w:ascii="Arial" w:eastAsia="Times New Roman" w:hAnsi="Arial" w:cs="Arial"/>
          <w:i/>
          <w:kern w:val="2"/>
          <w:szCs w:val="28"/>
          <w:lang w:val="ru" w:eastAsia="ru-RU"/>
          <w14:ligatures w14:val="standardContextual"/>
        </w:rPr>
        <w:t>Вісник Південного регіонального центру Національної академії правових наук України.</w:t>
      </w:r>
      <w:r w:rsidRPr="00511005">
        <w:rPr>
          <w:rFonts w:ascii="Arial" w:eastAsia="Times New Roman" w:hAnsi="Arial" w:cs="Arial"/>
          <w:kern w:val="2"/>
          <w:szCs w:val="28"/>
          <w:lang w:val="ru" w:eastAsia="ru-RU"/>
          <w14:ligatures w14:val="standardContextual"/>
        </w:rPr>
        <w:t xml:space="preserve"> 2018. № 14. С. 141</w:t>
      </w:r>
      <w:r w:rsidRPr="00511005">
        <w:rPr>
          <w:rFonts w:ascii="Arial" w:eastAsia="Times New Roman" w:hAnsi="Arial" w:cs="Arial"/>
          <w:kern w:val="2"/>
          <w:szCs w:val="28"/>
          <w:lang w:eastAsia="ru-RU"/>
          <w14:ligatures w14:val="standardContextual"/>
        </w:rPr>
        <w:t>-</w:t>
      </w:r>
      <w:r w:rsidRPr="00511005">
        <w:rPr>
          <w:rFonts w:ascii="Arial" w:eastAsia="Times New Roman" w:hAnsi="Arial" w:cs="Arial"/>
          <w:kern w:val="2"/>
          <w:szCs w:val="28"/>
          <w:lang w:val="ru" w:eastAsia="ru-RU"/>
          <w14:ligatures w14:val="standardContextual"/>
        </w:rPr>
        <w:t>149.</w:t>
      </w:r>
      <w:r w:rsidRPr="00511005">
        <w:rPr>
          <w:rFonts w:ascii="Arial" w:eastAsia="Times New Roman" w:hAnsi="Arial" w:cs="Arial"/>
          <w:kern w:val="2"/>
          <w:szCs w:val="28"/>
          <w:lang w:eastAsia="ru-RU"/>
          <w14:ligatures w14:val="standardContextual"/>
        </w:rPr>
        <w:t xml:space="preserve"> </w:t>
      </w:r>
      <w:r w:rsidRPr="00511005">
        <w:rPr>
          <w:rFonts w:ascii="Arial" w:eastAsia="Times New Roman" w:hAnsi="Arial" w:cs="Arial"/>
          <w:kern w:val="2"/>
          <w:szCs w:val="28"/>
          <w:lang w:val="en-GB" w:eastAsia="ru-RU"/>
          <w14:ligatures w14:val="standardContextual"/>
        </w:rPr>
        <w:t>URL</w:t>
      </w:r>
      <w:r w:rsidRPr="00511005">
        <w:rPr>
          <w:rFonts w:ascii="Arial" w:eastAsia="Times New Roman" w:hAnsi="Arial" w:cs="Arial"/>
          <w:kern w:val="2"/>
          <w:szCs w:val="28"/>
          <w:lang w:eastAsia="ru-RU"/>
          <w14:ligatures w14:val="standardContextual"/>
        </w:rPr>
        <w:t xml:space="preserve">: </w:t>
      </w:r>
      <w:hyperlink r:id="rId2261" w:history="1">
        <w:r w:rsidRPr="00511005">
          <w:rPr>
            <w:rFonts w:ascii="Arial" w:eastAsia="Arial" w:hAnsi="Arial" w:cs="Arial"/>
            <w:kern w:val="2"/>
            <w:szCs w:val="28"/>
            <w:lang w:val="ru" w:eastAsia="ru-RU"/>
            <w14:ligatures w14:val="standardContextual"/>
          </w:rPr>
          <w:t>http://nbuv.gov.ua/UJRN/vprc_2018_14_21</w:t>
        </w:r>
      </w:hyperlink>
      <w:r w:rsidRPr="00511005">
        <w:rPr>
          <w:rFonts w:ascii="Arial" w:eastAsia="Arial" w:hAnsi="Arial" w:cs="Arial"/>
          <w:kern w:val="2"/>
          <w:szCs w:val="28"/>
          <w:lang w:val="ru" w:eastAsia="ru-RU"/>
          <w14:ligatures w14:val="standardContextual"/>
        </w:rPr>
        <w:t>.</w:t>
      </w:r>
    </w:p>
    <w:p w14:paraId="1F1E24EE"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ru" w:eastAsia="ru-RU"/>
        </w:rPr>
        <w:t xml:space="preserve">3. Кулик М. Й., Терещенко Ю. В., Симчук А. С. Процесуальний аналіз особливостей проведення обшуку в умовах воєнного стану. </w:t>
      </w:r>
      <w:r w:rsidRPr="00511005">
        <w:rPr>
          <w:rFonts w:ascii="Arial" w:eastAsia="Arial" w:hAnsi="Arial" w:cs="Arial"/>
          <w:i/>
          <w:szCs w:val="28"/>
          <w:lang w:val="ru" w:eastAsia="ru-RU"/>
        </w:rPr>
        <w:t>Актуальні питання у сучасній науці.</w:t>
      </w:r>
      <w:r w:rsidRPr="00511005">
        <w:rPr>
          <w:rFonts w:ascii="Arial" w:eastAsia="Arial" w:hAnsi="Arial" w:cs="Arial"/>
          <w:szCs w:val="28"/>
          <w:lang w:val="ru" w:eastAsia="ru-RU"/>
        </w:rPr>
        <w:t xml:space="preserve"> 2023. Випуск № 10 (16). С. 341</w:t>
      </w:r>
      <w:r w:rsidRPr="00511005">
        <w:rPr>
          <w:rFonts w:ascii="Arial" w:eastAsia="Arial" w:hAnsi="Arial" w:cs="Arial"/>
          <w:szCs w:val="28"/>
          <w:lang w:eastAsia="ru-RU"/>
        </w:rPr>
        <w:t>-</w:t>
      </w:r>
      <w:r w:rsidRPr="00511005">
        <w:rPr>
          <w:rFonts w:ascii="Arial" w:eastAsia="Arial" w:hAnsi="Arial" w:cs="Arial"/>
          <w:szCs w:val="28"/>
          <w:lang w:val="ru" w:eastAsia="ru-RU"/>
        </w:rPr>
        <w:t>351.</w:t>
      </w:r>
      <w:r w:rsidRPr="00511005">
        <w:rPr>
          <w:rFonts w:ascii="Arial" w:eastAsia="Arial" w:hAnsi="Arial" w:cs="Arial"/>
          <w:szCs w:val="28"/>
          <w:lang w:eastAsia="ru-RU"/>
        </w:rPr>
        <w:t xml:space="preserve"> </w:t>
      </w:r>
      <w:r w:rsidRPr="00511005">
        <w:rPr>
          <w:rFonts w:ascii="Arial" w:eastAsia="Arial" w:hAnsi="Arial" w:cs="Arial"/>
          <w:szCs w:val="28"/>
          <w:lang w:val="ru" w:eastAsia="ru-RU"/>
        </w:rPr>
        <w:t>DOI:</w:t>
      </w:r>
      <w:r w:rsidRPr="00511005">
        <w:rPr>
          <w:rFonts w:ascii="Arial" w:eastAsia="Arial" w:hAnsi="Arial" w:cs="Arial"/>
          <w:szCs w:val="28"/>
          <w:lang w:eastAsia="ru-RU"/>
        </w:rPr>
        <w:t xml:space="preserve"> </w:t>
      </w:r>
      <w:hyperlink r:id="rId2262" w:history="1">
        <w:r w:rsidRPr="00511005">
          <w:rPr>
            <w:rFonts w:ascii="Arial" w:eastAsia="Arial" w:hAnsi="Arial" w:cs="Arial"/>
            <w:szCs w:val="28"/>
            <w:lang w:val="ru" w:eastAsia="ru-RU"/>
          </w:rPr>
          <w:t>https://doi.org/10.52058/2786-6300-2023-10(16)-341-351</w:t>
        </w:r>
      </w:hyperlink>
      <w:r w:rsidRPr="00511005">
        <w:rPr>
          <w:rFonts w:ascii="Arial" w:eastAsia="Arial" w:hAnsi="Arial" w:cs="Arial"/>
          <w:szCs w:val="28"/>
          <w:lang w:val="ru" w:eastAsia="ru-RU"/>
        </w:rPr>
        <w:t>.</w:t>
      </w:r>
    </w:p>
    <w:p w14:paraId="627B8DA9" w14:textId="77777777" w:rsidR="00532C25" w:rsidRPr="00511005" w:rsidRDefault="00532C25" w:rsidP="00532C25">
      <w:pPr>
        <w:spacing w:line="264" w:lineRule="auto"/>
        <w:rPr>
          <w:rFonts w:ascii="Arial" w:eastAsia="Arial" w:hAnsi="Arial" w:cs="Arial"/>
          <w:szCs w:val="28"/>
          <w:lang w:eastAsia="ru-RU"/>
        </w:rPr>
      </w:pPr>
      <w:r w:rsidRPr="00511005">
        <w:rPr>
          <w:rFonts w:ascii="Arial" w:eastAsia="Arial" w:hAnsi="Arial" w:cs="Arial"/>
          <w:szCs w:val="28"/>
          <w:lang w:val="ru" w:eastAsia="ru-RU"/>
        </w:rPr>
        <w:t>4. Огляд судової практики Касаційного кримінального суду у складі Верховного Суду щодо проведення огляду та обшуку (актуальна практика). Рішення, внесені до ЄДРСР, з 2020 року по травень 2024 року / Упоряд.: управління аналітичної та правової роботи Касаційного кримінального суду департаменту аналітичної та правової роботи; заст. голови Касаційного кримінального суду у складі Верховного Суду к. ю. н. Антонюк Н. О. Київ, 2024. 50 с.</w:t>
      </w:r>
    </w:p>
    <w:p w14:paraId="38F66602" w14:textId="77777777" w:rsidR="00532C25" w:rsidRPr="00511005" w:rsidRDefault="00532C25" w:rsidP="00532C25">
      <w:pPr>
        <w:spacing w:line="264" w:lineRule="auto"/>
        <w:rPr>
          <w:rFonts w:ascii="Arial" w:eastAsia="Arial" w:hAnsi="Arial" w:cs="Arial"/>
          <w:bCs/>
          <w:szCs w:val="28"/>
          <w:lang w:val="uk-UA" w:eastAsia="ru-RU"/>
        </w:rPr>
      </w:pPr>
      <w:r w:rsidRPr="00511005">
        <w:rPr>
          <w:rFonts w:ascii="Arial" w:eastAsia="Arial" w:hAnsi="Arial" w:cs="Arial"/>
          <w:szCs w:val="28"/>
          <w:lang w:val="ru" w:eastAsia="ru-RU"/>
        </w:rPr>
        <w:t xml:space="preserve">5. Черниченко І. В., Мацола А. А. Особливості проведення слідчих (розшукових) дій в умовах воєнного стану. </w:t>
      </w:r>
      <w:r w:rsidRPr="00511005">
        <w:rPr>
          <w:rFonts w:ascii="Arial" w:eastAsia="Arial" w:hAnsi="Arial" w:cs="Arial"/>
          <w:i/>
          <w:iCs/>
          <w:szCs w:val="28"/>
          <w:lang w:val="ru" w:eastAsia="ru-RU"/>
        </w:rPr>
        <w:t>Електронне наукове видання</w:t>
      </w:r>
      <w:r w:rsidRPr="00511005">
        <w:rPr>
          <w:rFonts w:ascii="Arial" w:eastAsia="Arial" w:hAnsi="Arial" w:cs="Arial"/>
          <w:szCs w:val="28"/>
          <w:lang w:val="ru" w:eastAsia="ru-RU"/>
        </w:rPr>
        <w:t xml:space="preserve"> «</w:t>
      </w:r>
      <w:r w:rsidRPr="00511005">
        <w:rPr>
          <w:rFonts w:ascii="Arial" w:eastAsia="Arial" w:hAnsi="Arial" w:cs="Arial"/>
          <w:i/>
          <w:szCs w:val="28"/>
          <w:lang w:val="ru" w:eastAsia="ru-RU"/>
        </w:rPr>
        <w:t>Аналітично-порівняльне правознавство»</w:t>
      </w:r>
      <w:r w:rsidRPr="00511005">
        <w:rPr>
          <w:rFonts w:ascii="Arial" w:eastAsia="Arial" w:hAnsi="Arial" w:cs="Arial"/>
          <w:szCs w:val="28"/>
          <w:lang w:val="ru" w:eastAsia="ru-RU"/>
        </w:rPr>
        <w:t>. 2023. № 2. С. 358-363.</w:t>
      </w:r>
      <w:r w:rsidRPr="00511005">
        <w:rPr>
          <w:rFonts w:ascii="Arial" w:eastAsia="Arial" w:hAnsi="Arial" w:cs="Arial"/>
          <w:szCs w:val="28"/>
          <w:lang w:eastAsia="ru-RU"/>
        </w:rPr>
        <w:t xml:space="preserve"> </w:t>
      </w:r>
      <w:r w:rsidRPr="00511005">
        <w:rPr>
          <w:rFonts w:ascii="Arial" w:eastAsia="Arial" w:hAnsi="Arial" w:cs="Arial"/>
          <w:szCs w:val="28"/>
          <w:lang w:val="en-GB" w:eastAsia="ru-RU"/>
        </w:rPr>
        <w:t>URL</w:t>
      </w:r>
      <w:r w:rsidRPr="00511005">
        <w:rPr>
          <w:rFonts w:ascii="Arial" w:eastAsia="Arial" w:hAnsi="Arial" w:cs="Arial"/>
          <w:szCs w:val="28"/>
          <w:lang w:eastAsia="ru-RU"/>
        </w:rPr>
        <w:t xml:space="preserve">: </w:t>
      </w:r>
      <w:hyperlink r:id="rId2263" w:history="1">
        <w:r w:rsidRPr="00511005">
          <w:rPr>
            <w:rFonts w:ascii="Arial" w:eastAsia="Arial" w:hAnsi="Arial" w:cs="Arial"/>
            <w:szCs w:val="28"/>
            <w:lang w:val="en-US" w:eastAsia="ru-RU"/>
          </w:rPr>
          <w:t>https</w:t>
        </w:r>
        <w:r w:rsidRPr="00511005">
          <w:rPr>
            <w:rFonts w:ascii="Arial" w:eastAsia="Arial" w:hAnsi="Arial" w:cs="Arial"/>
            <w:szCs w:val="28"/>
            <w:lang w:eastAsia="ru-RU"/>
          </w:rPr>
          <w:t>://</w:t>
        </w:r>
        <w:r w:rsidRPr="00511005">
          <w:rPr>
            <w:rFonts w:ascii="Arial" w:eastAsia="Arial" w:hAnsi="Arial" w:cs="Arial"/>
            <w:szCs w:val="28"/>
            <w:lang w:val="en-US" w:eastAsia="ru-RU"/>
          </w:rPr>
          <w:t>app</w:t>
        </w:r>
        <w:r w:rsidRPr="00511005">
          <w:rPr>
            <w:rFonts w:ascii="Arial" w:eastAsia="Arial" w:hAnsi="Arial" w:cs="Arial"/>
            <w:szCs w:val="28"/>
            <w:lang w:eastAsia="ru-RU"/>
          </w:rPr>
          <w:t>-</w:t>
        </w:r>
        <w:r w:rsidRPr="00511005">
          <w:rPr>
            <w:rFonts w:ascii="Arial" w:eastAsia="Arial" w:hAnsi="Arial" w:cs="Arial"/>
            <w:szCs w:val="28"/>
            <w:lang w:val="en-US" w:eastAsia="ru-RU"/>
          </w:rPr>
          <w:t>journal</w:t>
        </w:r>
        <w:r w:rsidRPr="00511005">
          <w:rPr>
            <w:rFonts w:ascii="Arial" w:eastAsia="Arial" w:hAnsi="Arial" w:cs="Arial"/>
            <w:szCs w:val="28"/>
            <w:lang w:eastAsia="ru-RU"/>
          </w:rPr>
          <w:t>.</w:t>
        </w:r>
        <w:r w:rsidRPr="00511005">
          <w:rPr>
            <w:rFonts w:ascii="Arial" w:eastAsia="Arial" w:hAnsi="Arial" w:cs="Arial"/>
            <w:szCs w:val="28"/>
            <w:lang w:val="en-US" w:eastAsia="ru-RU"/>
          </w:rPr>
          <w:t>in</w:t>
        </w:r>
        <w:r w:rsidRPr="00511005">
          <w:rPr>
            <w:rFonts w:ascii="Arial" w:eastAsia="Arial" w:hAnsi="Arial" w:cs="Arial"/>
            <w:szCs w:val="28"/>
            <w:lang w:eastAsia="ru-RU"/>
          </w:rPr>
          <w:t>.</w:t>
        </w:r>
        <w:r w:rsidRPr="00511005">
          <w:rPr>
            <w:rFonts w:ascii="Arial" w:eastAsia="Arial" w:hAnsi="Arial" w:cs="Arial"/>
            <w:szCs w:val="28"/>
            <w:lang w:val="en-US" w:eastAsia="ru-RU"/>
          </w:rPr>
          <w:t>ua</w:t>
        </w:r>
        <w:r w:rsidRPr="00511005">
          <w:rPr>
            <w:rFonts w:ascii="Arial" w:eastAsia="Arial" w:hAnsi="Arial" w:cs="Arial"/>
            <w:szCs w:val="28"/>
            <w:lang w:eastAsia="ru-RU"/>
          </w:rPr>
          <w:t>/</w:t>
        </w:r>
        <w:r w:rsidRPr="00511005">
          <w:rPr>
            <w:rFonts w:ascii="Arial" w:eastAsia="Arial" w:hAnsi="Arial" w:cs="Arial"/>
            <w:szCs w:val="28"/>
            <w:lang w:val="en-US" w:eastAsia="ru-RU"/>
          </w:rPr>
          <w:t>wp</w:t>
        </w:r>
        <w:r w:rsidRPr="00511005">
          <w:rPr>
            <w:rFonts w:ascii="Arial" w:eastAsia="Arial" w:hAnsi="Arial" w:cs="Arial"/>
            <w:szCs w:val="28"/>
            <w:lang w:eastAsia="ru-RU"/>
          </w:rPr>
          <w:t>-</w:t>
        </w:r>
        <w:r w:rsidRPr="00511005">
          <w:rPr>
            <w:rFonts w:ascii="Arial" w:eastAsia="Arial" w:hAnsi="Arial" w:cs="Arial"/>
            <w:szCs w:val="28"/>
            <w:lang w:val="en-US" w:eastAsia="ru-RU"/>
          </w:rPr>
          <w:t>content</w:t>
        </w:r>
        <w:r w:rsidRPr="00511005">
          <w:rPr>
            <w:rFonts w:ascii="Arial" w:eastAsia="Arial" w:hAnsi="Arial" w:cs="Arial"/>
            <w:szCs w:val="28"/>
            <w:lang w:eastAsia="ru-RU"/>
          </w:rPr>
          <w:t>/</w:t>
        </w:r>
        <w:r w:rsidRPr="00511005">
          <w:rPr>
            <w:rFonts w:ascii="Arial" w:eastAsia="Arial" w:hAnsi="Arial" w:cs="Arial"/>
            <w:szCs w:val="28"/>
            <w:lang w:val="en-US" w:eastAsia="ru-RU"/>
          </w:rPr>
          <w:t>uploads</w:t>
        </w:r>
        <w:r w:rsidRPr="00511005">
          <w:rPr>
            <w:rFonts w:ascii="Arial" w:eastAsia="Arial" w:hAnsi="Arial" w:cs="Arial"/>
            <w:szCs w:val="28"/>
            <w:lang w:eastAsia="ru-RU"/>
          </w:rPr>
          <w:t>/2023/05/64.</w:t>
        </w:r>
        <w:r w:rsidRPr="00511005">
          <w:rPr>
            <w:rFonts w:ascii="Arial" w:eastAsia="Arial" w:hAnsi="Arial" w:cs="Arial"/>
            <w:szCs w:val="28"/>
            <w:lang w:val="en-US" w:eastAsia="ru-RU"/>
          </w:rPr>
          <w:t>pdf</w:t>
        </w:r>
      </w:hyperlink>
      <w:r w:rsidRPr="00511005">
        <w:rPr>
          <w:rFonts w:ascii="Arial" w:eastAsia="Arial" w:hAnsi="Arial" w:cs="Arial"/>
          <w:szCs w:val="28"/>
          <w:lang w:val="uk-UA" w:eastAsia="ru-RU"/>
        </w:rPr>
        <w:t>.</w:t>
      </w:r>
    </w:p>
    <w:p w14:paraId="5FB43DDB" w14:textId="77777777" w:rsidR="00532C25" w:rsidRPr="00511005" w:rsidRDefault="00532C25" w:rsidP="00532C25">
      <w:pPr>
        <w:spacing w:line="264" w:lineRule="auto"/>
        <w:rPr>
          <w:rFonts w:ascii="Arial" w:eastAsia="Times New Roman" w:hAnsi="Arial" w:cs="Arial"/>
          <w:b/>
          <w:bCs/>
          <w:szCs w:val="28"/>
          <w:lang w:eastAsia="ru-RU"/>
        </w:rPr>
      </w:pPr>
    </w:p>
    <w:p w14:paraId="20B5E050" w14:textId="77777777" w:rsidR="00532C25" w:rsidRPr="00511005" w:rsidRDefault="00532C25" w:rsidP="00532C25">
      <w:pPr>
        <w:spacing w:line="264" w:lineRule="auto"/>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eastAsia="ru-RU"/>
        </w:rPr>
        <w:t>воєнний стан,</w:t>
      </w:r>
      <w:r w:rsidRPr="00511005">
        <w:rPr>
          <w:rFonts w:ascii="Arial" w:eastAsia="Times New Roman" w:hAnsi="Arial" w:cs="Arial"/>
          <w:b/>
          <w:bCs/>
          <w:szCs w:val="28"/>
          <w:lang w:eastAsia="ru-RU"/>
        </w:rPr>
        <w:t xml:space="preserve"> </w:t>
      </w:r>
      <w:r w:rsidRPr="00511005">
        <w:rPr>
          <w:rFonts w:ascii="Arial" w:eastAsia="Times New Roman" w:hAnsi="Arial" w:cs="Arial"/>
          <w:szCs w:val="28"/>
          <w:lang w:eastAsia="ru-RU"/>
        </w:rPr>
        <w:t>слідча (розшукова) дія,</w:t>
      </w:r>
      <w:r w:rsidRPr="00511005">
        <w:rPr>
          <w:rFonts w:ascii="Arial" w:eastAsia="Times New Roman" w:hAnsi="Arial" w:cs="Arial"/>
          <w:b/>
          <w:bCs/>
          <w:szCs w:val="28"/>
          <w:lang w:eastAsia="ru-RU"/>
        </w:rPr>
        <w:t xml:space="preserve"> </w:t>
      </w:r>
      <w:r w:rsidRPr="00511005">
        <w:rPr>
          <w:rFonts w:ascii="Arial" w:eastAsia="Times New Roman" w:hAnsi="Arial" w:cs="Arial"/>
          <w:szCs w:val="28"/>
          <w:lang w:eastAsia="ru-RU"/>
        </w:rPr>
        <w:t>обшук, прокурор, слідчий суддя, захисник, понятий, ухвала слідчого судді, постанова, протокол.</w:t>
      </w:r>
    </w:p>
    <w:p w14:paraId="7C6B2A29" w14:textId="77777777" w:rsidR="00532C25" w:rsidRPr="00511005" w:rsidRDefault="00532C25" w:rsidP="00532C25">
      <w:pPr>
        <w:spacing w:line="264" w:lineRule="auto"/>
        <w:rPr>
          <w:rFonts w:ascii="Arial" w:eastAsia="Times New Roman" w:hAnsi="Arial" w:cs="Arial"/>
          <w:szCs w:val="28"/>
          <w:lang w:val="en-US" w:eastAsia="ru-RU"/>
        </w:rPr>
      </w:pPr>
      <w:r w:rsidRPr="00511005">
        <w:rPr>
          <w:rFonts w:ascii="Arial" w:eastAsia="Times New Roman" w:hAnsi="Arial" w:cs="Arial"/>
          <w:b/>
          <w:bCs/>
          <w:i/>
          <w:szCs w:val="28"/>
          <w:lang w:val="en-US" w:eastAsia="ru-RU"/>
        </w:rPr>
        <w:lastRenderedPageBreak/>
        <w:t xml:space="preserve">Key words: </w:t>
      </w:r>
      <w:r w:rsidRPr="00511005">
        <w:rPr>
          <w:rFonts w:ascii="Arial" w:eastAsia="Times New Roman" w:hAnsi="Arial" w:cs="Arial"/>
          <w:szCs w:val="28"/>
          <w:lang w:val="en-US" w:eastAsia="ru-RU"/>
        </w:rPr>
        <w:t>martial law, investigative (search) action, search, prosecutor, the investigating judge, defender, understood, decision of the investigating judge, decree, protocol.</w:t>
      </w:r>
    </w:p>
    <w:p w14:paraId="363D6393" w14:textId="77777777" w:rsidR="00532C25" w:rsidRPr="00511005" w:rsidRDefault="00532C25" w:rsidP="00532C25">
      <w:pPr>
        <w:spacing w:line="264" w:lineRule="auto"/>
        <w:rPr>
          <w:rFonts w:ascii="Arial" w:eastAsia="Times New Roman" w:hAnsi="Arial" w:cs="Arial"/>
          <w:szCs w:val="28"/>
          <w:lang w:eastAsia="ru-RU"/>
        </w:rPr>
      </w:pPr>
      <w:r w:rsidRPr="00511005">
        <w:rPr>
          <w:rFonts w:ascii="Arial" w:eastAsia="Times New Roman" w:hAnsi="Arial" w:cs="Arial"/>
          <w:b/>
          <w:bCs/>
          <w:i/>
          <w:iCs/>
          <w:szCs w:val="28"/>
          <w:lang w:val="ru" w:eastAsia="ru-RU"/>
        </w:rPr>
        <w:t xml:space="preserve">Науковий керівник: </w:t>
      </w:r>
      <w:r w:rsidRPr="00511005">
        <w:rPr>
          <w:rFonts w:ascii="Arial" w:eastAsia="Times New Roman" w:hAnsi="Arial" w:cs="Arial"/>
          <w:bCs/>
          <w:i/>
          <w:iCs/>
          <w:szCs w:val="28"/>
          <w:lang w:val="ru" w:eastAsia="ru-RU"/>
        </w:rPr>
        <w:t>к.ю.н., доцент Мурзановська А.В.</w:t>
      </w:r>
    </w:p>
    <w:p w14:paraId="6C21E1D4" w14:textId="77777777" w:rsidR="00532C25" w:rsidRPr="00511005" w:rsidRDefault="00532C25" w:rsidP="00532C25">
      <w:pPr>
        <w:spacing w:line="264" w:lineRule="auto"/>
        <w:rPr>
          <w:rFonts w:ascii="Arial" w:eastAsia="Times New Roman" w:hAnsi="Arial" w:cs="Arial"/>
          <w:szCs w:val="28"/>
          <w:lang w:eastAsia="ru-RU"/>
        </w:rPr>
      </w:pPr>
    </w:p>
    <w:p w14:paraId="6AE183A4" w14:textId="77777777" w:rsidR="00532C25" w:rsidRPr="00511005" w:rsidRDefault="00532C25" w:rsidP="00532C25">
      <w:pPr>
        <w:keepNext/>
        <w:spacing w:line="264" w:lineRule="auto"/>
        <w:ind w:firstLine="0"/>
        <w:jc w:val="center"/>
        <w:rPr>
          <w:rFonts w:ascii="Arial" w:eastAsia="Times New Roman" w:hAnsi="Arial" w:cs="Arial"/>
          <w:b/>
          <w:i/>
          <w:szCs w:val="28"/>
          <w:lang w:val="ru" w:eastAsia="ru-RU"/>
        </w:rPr>
      </w:pPr>
      <w:r w:rsidRPr="00511005">
        <w:rPr>
          <w:rFonts w:ascii="Arial" w:eastAsia="Times New Roman" w:hAnsi="Arial" w:cs="Arial"/>
          <w:b/>
          <w:i/>
          <w:szCs w:val="28"/>
          <w:lang w:val="ru" w:eastAsia="ru-RU"/>
        </w:rPr>
        <w:t>Опаленик Лілія Ігорівна</w:t>
      </w:r>
    </w:p>
    <w:p w14:paraId="68840DB5" w14:textId="77777777" w:rsidR="00532C25" w:rsidRPr="00511005" w:rsidRDefault="00532C25" w:rsidP="00532C25">
      <w:pPr>
        <w:spacing w:line="264" w:lineRule="auto"/>
        <w:ind w:firstLine="0"/>
        <w:jc w:val="center"/>
        <w:rPr>
          <w:rFonts w:ascii="Arial" w:eastAsia="Times New Roman" w:hAnsi="Arial" w:cs="Arial"/>
          <w:szCs w:val="28"/>
          <w:lang w:val="ru" w:eastAsia="ru-RU"/>
        </w:rPr>
      </w:pPr>
      <w:r w:rsidRPr="00511005">
        <w:rPr>
          <w:rFonts w:ascii="Arial" w:eastAsia="Times New Roman" w:hAnsi="Arial" w:cs="Arial"/>
          <w:szCs w:val="28"/>
          <w:lang w:val="ru" w:eastAsia="ru-RU"/>
        </w:rPr>
        <w:t>студентка 3-го курсу факультету адвокатури та антикорупційної діяльності</w:t>
      </w:r>
      <w:r w:rsidRPr="00511005">
        <w:rPr>
          <w:rFonts w:ascii="Arial" w:eastAsia="Times New Roman" w:hAnsi="Arial" w:cs="Arial"/>
          <w:szCs w:val="28"/>
          <w:lang w:val="ru" w:eastAsia="ru-RU"/>
        </w:rPr>
        <w:br/>
        <w:t>Національного університету «Одеська юридична академія»</w:t>
      </w:r>
    </w:p>
    <w:p w14:paraId="2D0EBE95" w14:textId="77777777" w:rsidR="00532C25" w:rsidRPr="00511005" w:rsidRDefault="00532C25" w:rsidP="00532C25">
      <w:pPr>
        <w:keepNext/>
        <w:spacing w:line="264" w:lineRule="auto"/>
        <w:ind w:firstLine="0"/>
        <w:jc w:val="center"/>
        <w:rPr>
          <w:rFonts w:ascii="Arial" w:eastAsia="Times New Roman" w:hAnsi="Arial" w:cs="Arial"/>
          <w:i/>
          <w:szCs w:val="28"/>
          <w:lang w:val="ru" w:eastAsia="ru-RU"/>
        </w:rPr>
      </w:pPr>
    </w:p>
    <w:p w14:paraId="29B22E33" w14:textId="77777777" w:rsidR="00532C25" w:rsidRPr="00511005" w:rsidRDefault="00532C25" w:rsidP="00532C25">
      <w:pPr>
        <w:keepNext/>
        <w:widowControl w:val="0"/>
        <w:spacing w:line="264" w:lineRule="auto"/>
        <w:ind w:firstLine="0"/>
        <w:jc w:val="center"/>
        <w:rPr>
          <w:rFonts w:ascii="Arial" w:eastAsia="Times New Roman" w:hAnsi="Arial" w:cs="Arial"/>
          <w:b/>
          <w:szCs w:val="28"/>
          <w:lang w:val="ru" w:eastAsia="ru-RU"/>
        </w:rPr>
      </w:pPr>
      <w:r w:rsidRPr="00511005">
        <w:rPr>
          <w:rFonts w:ascii="Arial" w:eastAsia="Times New Roman" w:hAnsi="Arial" w:cs="Arial"/>
          <w:b/>
          <w:szCs w:val="28"/>
          <w:lang w:val="ru" w:eastAsia="ru-RU"/>
        </w:rPr>
        <w:t>СПОСОБИ СПРОСТУВАННЯ ВИСНОВКІВ ЕКСПЕРТА У КРИМІНАЛЬНОМУ ПРОВАДЖЕННІ</w:t>
      </w:r>
    </w:p>
    <w:p w14:paraId="33A32CBA"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 xml:space="preserve">У сучасному кримінальному провадженні експертний висновок посідає центральне місце в системі доказування, особливо </w:t>
      </w:r>
      <w:proofErr w:type="gramStart"/>
      <w:r w:rsidRPr="00511005">
        <w:rPr>
          <w:rFonts w:ascii="Arial" w:eastAsia="Arial" w:hAnsi="Arial" w:cs="Arial"/>
          <w:szCs w:val="28"/>
          <w:lang w:val="ru" w:eastAsia="ru-RU"/>
        </w:rPr>
        <w:t>у справах</w:t>
      </w:r>
      <w:proofErr w:type="gramEnd"/>
      <w:r w:rsidRPr="00511005">
        <w:rPr>
          <w:rFonts w:ascii="Arial" w:eastAsia="Arial" w:hAnsi="Arial" w:cs="Arial"/>
          <w:szCs w:val="28"/>
          <w:lang w:val="ru" w:eastAsia="ru-RU"/>
        </w:rPr>
        <w:t>, що вимагають спеціальних знань. Його значення суттєво зросло на тлі ускладнення слідчих дій, активного використання технічних і цифрових засобів, а також збільшення кількості справ, пов’язаних із технічно складними чи медичними аспектами. В окремих випадках саме висновок експерта стає ключовим або єдиним доказом, на підставі якого ухвалюються вироки. Така тенденція зумовлює серйозні ризики, адже помилкові або упереджені висновки можуть призвести до грубих порушень прав учасників провадження, включно з ухваленням неправосудних рішень.</w:t>
      </w:r>
    </w:p>
    <w:p w14:paraId="15F79904"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Незважаючи на законодавчо закріплений принцип вільної оцінки доказів, судова практика демонструє певну схильність до формального прийняття експертного висновку як об'єктивного та беззаперечного джерела інформації. Водночас можливості його змістовного заперечення залишаються недостатньо розвиненими як на рівні процесуальних інструментів, так і в реальній правозастосовній практиці. Зосередженість на формальних підставах для відхилення висновку (наприклад, порушення процедури призначення чи відсутність належної освіти в експерта) не забезпечує належного захисту сторони обвинуваченого у випадках, коли саме зміст експертного дослідження є науково хибним, методологічно необґрунтованим або логічно суперечливим.</w:t>
      </w:r>
    </w:p>
    <w:p w14:paraId="56B5DFD4"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У кримінальному провадженні експертний висновок є однією з форм доказів, які мають важливе значення для встановлення обставин, що підлягають доказуванню. Відповідно до статей 84</w:t>
      </w:r>
      <w:r w:rsidRPr="00511005">
        <w:rPr>
          <w:rFonts w:ascii="Arial" w:eastAsia="Arial" w:hAnsi="Arial" w:cs="Arial"/>
          <w:szCs w:val="28"/>
          <w:lang w:eastAsia="ru-RU"/>
        </w:rPr>
        <w:t xml:space="preserve"> </w:t>
      </w:r>
      <w:r w:rsidRPr="00511005">
        <w:rPr>
          <w:rFonts w:ascii="Arial" w:eastAsia="Arial" w:hAnsi="Arial" w:cs="Arial"/>
          <w:szCs w:val="28"/>
          <w:lang w:val="ru" w:eastAsia="ru-RU"/>
        </w:rPr>
        <w:t xml:space="preserve">та 101 Кримінального процесуального кодексу України експертний висновок визнається джерелом доказів, якщо він отриманий </w:t>
      </w:r>
      <w:proofErr w:type="gramStart"/>
      <w:r w:rsidRPr="00511005">
        <w:rPr>
          <w:rFonts w:ascii="Arial" w:eastAsia="Arial" w:hAnsi="Arial" w:cs="Arial"/>
          <w:szCs w:val="28"/>
          <w:lang w:val="ru" w:eastAsia="ru-RU"/>
        </w:rPr>
        <w:t>у порядку</w:t>
      </w:r>
      <w:proofErr w:type="gramEnd"/>
      <w:r w:rsidRPr="00511005">
        <w:rPr>
          <w:rFonts w:ascii="Arial" w:eastAsia="Arial" w:hAnsi="Arial" w:cs="Arial"/>
          <w:szCs w:val="28"/>
          <w:lang w:val="ru" w:eastAsia="ru-RU"/>
        </w:rPr>
        <w:t>, встановленому законом, та містить результати проведених досліджень, їх аналіз і обґрунтовані висновки експерта, що ґрунтуються на спеціальних знаннях</w:t>
      </w:r>
      <w:r w:rsidRPr="00511005">
        <w:rPr>
          <w:rFonts w:ascii="Arial" w:eastAsia="Arial" w:hAnsi="Arial" w:cs="Arial"/>
          <w:szCs w:val="28"/>
          <w:lang w:val="uk-UA" w:eastAsia="ru-RU"/>
        </w:rPr>
        <w:t xml:space="preserve"> </w:t>
      </w:r>
      <w:r w:rsidRPr="00511005">
        <w:rPr>
          <w:rFonts w:ascii="Arial" w:eastAsia="Times New Roman" w:hAnsi="Arial" w:cs="Arial"/>
          <w:bCs/>
          <w:szCs w:val="28"/>
          <w:lang w:val="ru" w:eastAsia="ru-RU"/>
        </w:rPr>
        <w:t>[1]</w:t>
      </w:r>
      <w:r w:rsidRPr="00511005">
        <w:rPr>
          <w:rFonts w:ascii="Arial" w:eastAsia="Arial" w:hAnsi="Arial" w:cs="Arial"/>
          <w:szCs w:val="28"/>
          <w:lang w:val="ru" w:eastAsia="ru-RU"/>
        </w:rPr>
        <w:t>. Експерт не є процесуальною стороною, проте його діяльність безпосередньо впливає на хід доказування.</w:t>
      </w:r>
    </w:p>
    <w:p w14:paraId="1A58BCC2"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lastRenderedPageBreak/>
        <w:t>Згідно з положеннями статті 94 КПК України, суд, слідчий суддя, слідчий і прокурор оцінюють докази за своїм внутрішнім переконанням, яке ґрунтується на всебічному, повному й неупередженому розгляді всіх обставин справи у їх сукупності. Це означає, що навіть формально допустимий і належним чином оформлений висновок експерта не повинен автоматично визнаватися істинним або вирішальним. Його зміст має бути критично переосмислений з позиції логіки, внутрішньої послідовності, наукової обґрунтованості та відповідності іншим доказам.</w:t>
      </w:r>
    </w:p>
    <w:p w14:paraId="594E11CD"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У теоретичному й практичному аспектах важливо чітко розмежовувати два види дефектів експертного висновку: формальні порушення та змістовні (науково-логічні) хибності. Формальні порушення включають, зокрема, порушення процедури призначення експертизи, відсутність підписів, неповідомлення експерта про кримінальну відповідальність тощо. Вони можуть стати підставою для визнання висновку недопустимим доказом.</w:t>
      </w:r>
    </w:p>
    <w:p w14:paraId="230DCF93"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Натомість змістовна хибність полягає у використанні неналежної методики, неповному або вибірковому аналізі об’єктів, логічних помилках, відсутності належного обґрунтування або виході за межі компетенції експерта. Такі недоліки не завжди спричиняють автоматичне визнання висновку недопустимим, однак повинні враховуватися при оцінці його доказового значення. Саме ця група помилок часто залишається поза увагою учасників процесу, що знижує якість судового розгляду та підвищує ризик судових помилок.</w:t>
      </w:r>
    </w:p>
    <w:p w14:paraId="63E0F5AB"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Спростування експертного висновку по суті є важливою складовою реалізації принципу змагальності сторін у кримінальному провадженні та безпосередньо пов’язане з правом сторони захисту на ефективне використання процесуальних механізмів. На відміну від формального заперечення, що зосереджується на процедурних порушеннях, змістовне спростування передбачає критику висновку з огляду на наукову необґрунтованість, внутрішню суперечливість або невідповідність установленим фактам.</w:t>
      </w:r>
    </w:p>
    <w:p w14:paraId="483D94F6"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Одним із найбільш розповсюджених засобів змістовного заперечення є призначення повторної або додаткової експертизи. Відповідно до статті 332 КПК України, повторна експертиза проводиться у разі виникнення сумнівів щодо правильності первинного висновку, а додаткова — коли потрібно уточнити або доповнити його. Такий механізм дозволяє поставити під сумнів не лише результати, а й методи дослідження, використані раніше.</w:t>
      </w:r>
    </w:p>
    <w:p w14:paraId="7D887429"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Важливим інструментом є виклик експерта для допиту в судовому засіданні, під час якого можливе з’ясування логічної структури висновку, меж компетентності експерта, характеру джерел, що були використані, та наукової обґрунтованості застосованих методик. Такий допит дозволяє виявити неточності, суперечності або методологічні хиби, які не завжди очевидні з письмового документа.</w:t>
      </w:r>
    </w:p>
    <w:p w14:paraId="76DD3E14"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lastRenderedPageBreak/>
        <w:t xml:space="preserve">Ще одним засобом є залучення альтернативного висновку іншого експерта, зокрема на стороні захисту. Хоча законодавство України прямо не передбачає інституту «експерта сторони», практика Європейського суду з прав людини, зокрема у справі </w:t>
      </w:r>
      <w:r w:rsidRPr="00511005">
        <w:rPr>
          <w:rFonts w:ascii="Arial" w:eastAsia="Arial" w:hAnsi="Arial" w:cs="Arial"/>
          <w:i/>
          <w:iCs/>
          <w:szCs w:val="28"/>
          <w:lang w:val="ru" w:eastAsia="ru-RU"/>
        </w:rPr>
        <w:t>Bendenoun v. France</w:t>
      </w:r>
      <w:r w:rsidRPr="00511005">
        <w:rPr>
          <w:rFonts w:ascii="Arial" w:eastAsia="Arial" w:hAnsi="Arial" w:cs="Arial"/>
          <w:i/>
          <w:iCs/>
          <w:szCs w:val="28"/>
          <w:lang w:val="uk-UA" w:eastAsia="ru-RU"/>
        </w:rPr>
        <w:t xml:space="preserve"> </w:t>
      </w:r>
      <w:r w:rsidRPr="00511005">
        <w:rPr>
          <w:rFonts w:ascii="Arial" w:eastAsia="Times New Roman" w:hAnsi="Arial" w:cs="Arial"/>
          <w:bCs/>
          <w:szCs w:val="28"/>
          <w:lang w:val="ru" w:eastAsia="ru-RU"/>
        </w:rPr>
        <w:t>[2]</w:t>
      </w:r>
      <w:r w:rsidRPr="00511005">
        <w:rPr>
          <w:rFonts w:ascii="Arial" w:eastAsia="Arial" w:hAnsi="Arial" w:cs="Arial"/>
          <w:szCs w:val="28"/>
          <w:lang w:val="ru" w:eastAsia="ru-RU"/>
        </w:rPr>
        <w:t xml:space="preserve">, </w:t>
      </w:r>
      <w:r w:rsidRPr="00511005">
        <w:rPr>
          <w:rFonts w:ascii="Arial" w:eastAsia="Arial" w:hAnsi="Arial" w:cs="Arial"/>
          <w:i/>
          <w:iCs/>
          <w:szCs w:val="28"/>
          <w:lang w:val="ru" w:eastAsia="ru-RU"/>
        </w:rPr>
        <w:t xml:space="preserve">Bonnaud and Lecoq v. </w:t>
      </w:r>
      <w:proofErr w:type="gramStart"/>
      <w:r w:rsidRPr="00511005">
        <w:rPr>
          <w:rFonts w:ascii="Arial" w:eastAsia="Arial" w:hAnsi="Arial" w:cs="Arial"/>
          <w:i/>
          <w:iCs/>
          <w:szCs w:val="28"/>
          <w:lang w:val="ru" w:eastAsia="ru-RU"/>
        </w:rPr>
        <w:t>France</w:t>
      </w:r>
      <w:r w:rsidRPr="00511005">
        <w:rPr>
          <w:rFonts w:ascii="Arial" w:eastAsia="Times New Roman" w:hAnsi="Arial" w:cs="Arial"/>
          <w:bCs/>
          <w:szCs w:val="28"/>
          <w:lang w:val="ru" w:eastAsia="ru-RU"/>
        </w:rPr>
        <w:t>[</w:t>
      </w:r>
      <w:proofErr w:type="gramEnd"/>
      <w:r w:rsidRPr="00511005">
        <w:rPr>
          <w:rFonts w:ascii="Arial" w:eastAsia="Times New Roman" w:hAnsi="Arial" w:cs="Arial"/>
          <w:bCs/>
          <w:szCs w:val="28"/>
          <w:lang w:val="ru" w:eastAsia="ru-RU"/>
        </w:rPr>
        <w:t>3]</w:t>
      </w:r>
      <w:r w:rsidRPr="00511005">
        <w:rPr>
          <w:rFonts w:ascii="Arial" w:eastAsia="Arial" w:hAnsi="Arial" w:cs="Arial"/>
          <w:szCs w:val="28"/>
          <w:lang w:val="ru" w:eastAsia="ru-RU"/>
        </w:rPr>
        <w:t>, Європейський суд з прав людини. визнає право обвинуваченого залучати незалежних фахівців для підготовки висновків, які можуть мати рівнозначне доказове значення, якщо належно оцінені судом.</w:t>
      </w:r>
    </w:p>
    <w:p w14:paraId="20A388C4"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Крім того, нормами статті 71 КПК України передбачено, що спеціаліст, який володіє спеціальними знаннями та навичками і може надавати консультації, пояснення, довідки, і навіть висновки з питань, що належать до сфери його знань</w:t>
      </w:r>
      <w:r w:rsidRPr="00511005">
        <w:rPr>
          <w:rFonts w:ascii="Arial" w:eastAsia="Arial" w:hAnsi="Arial" w:cs="Arial"/>
          <w:szCs w:val="28"/>
          <w:lang w:val="uk-UA" w:eastAsia="ru-RU"/>
        </w:rPr>
        <w:t xml:space="preserve"> </w:t>
      </w:r>
      <w:r w:rsidRPr="00511005">
        <w:rPr>
          <w:rFonts w:ascii="Arial" w:eastAsia="Times New Roman" w:hAnsi="Arial" w:cs="Arial"/>
          <w:bCs/>
          <w:szCs w:val="28"/>
          <w:lang w:val="ru" w:eastAsia="ru-RU"/>
        </w:rPr>
        <w:t>[1]</w:t>
      </w:r>
      <w:r w:rsidRPr="00511005">
        <w:rPr>
          <w:rFonts w:ascii="Arial" w:eastAsia="Arial" w:hAnsi="Arial" w:cs="Arial"/>
          <w:szCs w:val="28"/>
          <w:lang w:val="ru" w:eastAsia="ru-RU"/>
        </w:rPr>
        <w:t xml:space="preserve">. А це також може слугувати засобом спростування висновку. У вищезгаданій справі </w:t>
      </w:r>
      <w:r w:rsidRPr="00511005">
        <w:rPr>
          <w:rFonts w:ascii="Arial" w:eastAsia="Arial" w:hAnsi="Arial" w:cs="Arial"/>
          <w:i/>
          <w:iCs/>
          <w:szCs w:val="28"/>
          <w:lang w:val="ru" w:eastAsia="ru-RU"/>
        </w:rPr>
        <w:t>Bennion v. France</w:t>
      </w:r>
      <w:r w:rsidRPr="00511005">
        <w:rPr>
          <w:rFonts w:ascii="Arial" w:eastAsia="Arial" w:hAnsi="Arial" w:cs="Arial"/>
          <w:szCs w:val="28"/>
          <w:lang w:val="ru" w:eastAsia="ru-RU"/>
        </w:rPr>
        <w:t xml:space="preserve"> ЄСПЛ наголосив, що обмеження доступу захисту до альтернативної експертизи або можливості поставити під сумнів висновок обвинувачення є порушенням права на справедливий суд. </w:t>
      </w:r>
    </w:p>
    <w:p w14:paraId="3CC298A7" w14:textId="77777777" w:rsidR="00532C25" w:rsidRPr="00511005" w:rsidRDefault="00532C25" w:rsidP="00532C25">
      <w:pPr>
        <w:spacing w:line="264" w:lineRule="auto"/>
        <w:ind w:firstLine="708"/>
        <w:rPr>
          <w:rFonts w:ascii="Arial" w:eastAsia="Arial" w:hAnsi="Arial" w:cs="Arial"/>
          <w:b/>
          <w:szCs w:val="28"/>
          <w:lang w:val="ru" w:eastAsia="ru-RU"/>
        </w:rPr>
      </w:pPr>
      <w:r w:rsidRPr="00511005">
        <w:rPr>
          <w:rFonts w:ascii="Arial" w:eastAsia="Arial" w:hAnsi="Arial" w:cs="Arial"/>
          <w:szCs w:val="28"/>
          <w:lang w:val="ru" w:eastAsia="ru-RU"/>
        </w:rPr>
        <w:t xml:space="preserve">Обидві справи підкреслюють необхідність забезпечення процесуального балансу при використанні експертних доказів. ЄСПЛ визнає, що </w:t>
      </w:r>
      <w:r w:rsidRPr="00511005">
        <w:rPr>
          <w:rFonts w:ascii="Arial" w:eastAsia="Arial" w:hAnsi="Arial" w:cs="Arial"/>
          <w:b/>
          <w:bCs/>
          <w:szCs w:val="28"/>
          <w:lang w:val="ru" w:eastAsia="ru-RU"/>
        </w:rPr>
        <w:t>без ефективних механізмів спростування змісту експертного висновку порушується змагальність і рівність сторін</w:t>
      </w:r>
      <w:r w:rsidRPr="00511005">
        <w:rPr>
          <w:rFonts w:ascii="Arial" w:eastAsia="Arial" w:hAnsi="Arial" w:cs="Arial"/>
          <w:szCs w:val="28"/>
          <w:lang w:val="ru" w:eastAsia="ru-RU"/>
        </w:rPr>
        <w:t>.</w:t>
      </w:r>
    </w:p>
    <w:p w14:paraId="10670328"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 xml:space="preserve">Таким чином, ефективне спростування експертного висновку по суті вимагає поєднання процесуальних дій (звернення </w:t>
      </w:r>
      <w:proofErr w:type="gramStart"/>
      <w:r w:rsidRPr="00511005">
        <w:rPr>
          <w:rFonts w:ascii="Arial" w:eastAsia="Arial" w:hAnsi="Arial" w:cs="Arial"/>
          <w:szCs w:val="28"/>
          <w:lang w:val="ru" w:eastAsia="ru-RU"/>
        </w:rPr>
        <w:t>до суду</w:t>
      </w:r>
      <w:proofErr w:type="gramEnd"/>
      <w:r w:rsidRPr="00511005">
        <w:rPr>
          <w:rFonts w:ascii="Arial" w:eastAsia="Arial" w:hAnsi="Arial" w:cs="Arial"/>
          <w:szCs w:val="28"/>
          <w:lang w:val="ru" w:eastAsia="ru-RU"/>
        </w:rPr>
        <w:t>, ініціювання нових експертиз) та матеріальної обґрунтованості (використання спеціальних знань, альтернативного аналізу, допиту експерта), що відповідає стандартам справедливого судового розгляду в демократичній правовій державі.</w:t>
      </w:r>
    </w:p>
    <w:p w14:paraId="5AF0C9C1"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Змістовне спростування експертного висновку у кримінальному провадженні передбачає виявлення глибинних недоліків, які стосуються не формальних аспектів оформлення, а саме якості, достовірності та обґрунтованості проведеного дослідження. У практиці правозастосування досить часто зустрічаються ситуації, коли експертний висновок втрачає доказову цінність не через порушення процедури, а внаслідок його наукової або логічної неспроможності. Однією з ключових підстав для спростування є недостатність обсягу досліджених об’єктів. Це має місце, коли експерт аналізує лише частину наданих матеріалів, ігноруючи інші важливі елементи, що могли би суттєво вплинути на результати. Наприклад, у кримінальних провадженнях щодо дорожньо-транспортних пригод недослідження технічного стану одного з транспортних засобів або умов дорожнього покриття часто призводить до необ’єктивних висновків.</w:t>
      </w:r>
    </w:p>
    <w:p w14:paraId="6278E21A"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 xml:space="preserve">Не менш суттєвою підставою є застосування застарілих або науково недостовірних методик. Якщо експерт посилається на методології, які втратили актуальність або суперечать сучасному науковому консенсусу, висновок втрачає ознаки наукової обґрунтованості. Використання неточних </w:t>
      </w:r>
      <w:r w:rsidRPr="00511005">
        <w:rPr>
          <w:rFonts w:ascii="Arial" w:eastAsia="Arial" w:hAnsi="Arial" w:cs="Arial"/>
          <w:szCs w:val="28"/>
          <w:lang w:val="ru" w:eastAsia="ru-RU"/>
        </w:rPr>
        <w:lastRenderedPageBreak/>
        <w:t>розрахункових моделей, відсутність емпіричної верифікації або надмірне узагальнення даних є характерними прикладами методологічних помилок, що можуть бути використані стороною захисту як основа для заперечення.</w:t>
      </w:r>
    </w:p>
    <w:p w14:paraId="5286FC5A"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Ще одним аспектом, який свідчить про змістовну хибність висновку, є порушення логіки аналізу — коли між описаними фактами та зробленими висновками не існує причинно-наслідкового зв’язку, або ж висновок містить внутрішні суперечності. У таких випадках експертне дослідження втрачає системність, а його результати нагадують суб’єктивне припущення, а не об’єктивно виведений результат. Особливу увагу слід звертати також на випадки, коли експерт виходить за межі своєї компетенції — наприклад, надає юридичні оцінки або фактично встановлює вину особи. Це суперечить положенням Кримінального процесуального кодексу України, який чітко відмежовує завдання експерта від функцій суду.</w:t>
      </w:r>
    </w:p>
    <w:p w14:paraId="1F8BDAAB"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Таким чином, типові підстави для спростування експертного висновку по суті охоплюють як недоліки в методології, так і логічні та професійні порушення в процесі дослідження. Ідентифікація таких дефектів є ключовою умовою для забезпечення ефективного захисту прав особи та недопущення винесення рішень, заснованих на сумнівних або псевдонаукових твердженнях.</w:t>
      </w:r>
    </w:p>
    <w:p w14:paraId="5350A105"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У сучасному кримінальному провадженні зберігається низка проблем, що ускладнюють ефективне спростування експертного висновку по суті. Однією з головних є недостатній рівень спеціальної підготовки слідчих, прокурорів та суддів у сфері критичного аналізу експертних досліджень. Нерідко посадові особи сприймають експертний висновок як абсолютну істину, не вдаючись до оцінки його логіки, наукової коректності чи відповідності фактичним обставинам справи. Така ситуація створює ризик формального підходу до оцінки доказів та ухвалення судових рішень на основі сумнівного або методологічно хибного висновку.</w:t>
      </w:r>
    </w:p>
    <w:p w14:paraId="573E20EB"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Не менш гострою проблемою є обмеженість у реалізації права на захист шляхом залучення альтернативних експертів. Попри загальні гарантії рівності сторін, на практиці сторона захисту часто стикається з труднощами у доступі до належних матеріалів, неможливістю ініціювати експертизу за власним вибором або обмеженим бюджетом для залучення кваліфікованого фахівця. Це порушує принцип рівності та ставить під сумнів справедливість судового процесу, особливо в резонансних або складних справах.</w:t>
      </w:r>
    </w:p>
    <w:p w14:paraId="0581CAFD"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 xml:space="preserve">У цьому контексті на часі постає потреба у вдосконаленні процесуальних норм, зокрема щодо більш чіткого врегулювання підстав для відхилення експертного висновку саме з міркувань його змістовної неспроможності. Доцільним було б закріплення в КПК України окремих положень, які б деталізували, за яких умов експертиза визнається необґрунтованою, а також передбачення права сторін на рівноправне ініціювання повторних або альтернативних експертиз. Перспективним </w:t>
      </w:r>
      <w:r w:rsidRPr="00511005">
        <w:rPr>
          <w:rFonts w:ascii="Arial" w:eastAsia="Arial" w:hAnsi="Arial" w:cs="Arial"/>
          <w:szCs w:val="28"/>
          <w:lang w:val="ru" w:eastAsia="ru-RU"/>
        </w:rPr>
        <w:lastRenderedPageBreak/>
        <w:t>напрямом також є запровадження інституту «експерта сторони» із гарантованим процесуальним статусом та правом подавати альтернативні висновки, що повинні оцінюватися судом нарівні з іншими доказами.</w:t>
      </w:r>
    </w:p>
    <w:p w14:paraId="5F5509CD"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Отже, подолання зазначених проблем потребує комплексного підходу: від зміни практики правозастосування до вдосконалення нормативного регулювання, що має сприяти утвердженню засад змагальності, справедливості та наукової обґрунтованості судового пізнання у кримінальному процесі.</w:t>
      </w:r>
    </w:p>
    <w:p w14:paraId="5C65D8A9"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 xml:space="preserve">Спростування експертного висновку по суті відіграє ключову роль у забезпеченні принципу змагальності сторін у кримінальному провадженні, оскільки саме воно дозволяє ефективно реагувати на науково або логічно хибні докази, які можуть мати вирішальне значення для висновків суду. На відміну від формальних підстав, що стосуються процедури складання висновку, змістовне заперечення передбачає глибокий аналіз методології, достовірності та відповідності висновку фактичним обставинам справи. Однак наявні процесуальні механізми не завжди забезпечують достатній захист від зловживань або помилок з боку експертного середовища. </w:t>
      </w:r>
    </w:p>
    <w:p w14:paraId="4A35A768"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 xml:space="preserve">У цьому контексті актуальною є потреба у посиленні як нормативного, так і практичного інструментарію, що дозволив би стороні захисту активно ініціювати альтернативні експертні дослідження, допитувати експертів, використовувати спеціальні знання адвоката та впливати на оцінку доказів. Реформування відповідних положень кримінального процесуального законодавства, разом із розвитком практики критичної експертизи, становить важливий крок </w:t>
      </w:r>
      <w:proofErr w:type="gramStart"/>
      <w:r w:rsidRPr="00511005">
        <w:rPr>
          <w:rFonts w:ascii="Arial" w:eastAsia="Arial" w:hAnsi="Arial" w:cs="Arial"/>
          <w:szCs w:val="28"/>
          <w:lang w:val="ru" w:eastAsia="ru-RU"/>
        </w:rPr>
        <w:t>на шляху</w:t>
      </w:r>
      <w:proofErr w:type="gramEnd"/>
      <w:r w:rsidRPr="00511005">
        <w:rPr>
          <w:rFonts w:ascii="Arial" w:eastAsia="Arial" w:hAnsi="Arial" w:cs="Arial"/>
          <w:szCs w:val="28"/>
          <w:lang w:val="ru" w:eastAsia="ru-RU"/>
        </w:rPr>
        <w:t xml:space="preserve"> до справедливого, науково обґрунтованого та збалансованого судового розгляду.</w:t>
      </w:r>
    </w:p>
    <w:p w14:paraId="07641CB9" w14:textId="77777777" w:rsidR="00532C25" w:rsidRPr="00511005" w:rsidRDefault="00532C25" w:rsidP="00532C25">
      <w:pPr>
        <w:keepNext/>
        <w:widowControl w:val="0"/>
        <w:spacing w:line="264" w:lineRule="auto"/>
        <w:ind w:firstLine="0"/>
        <w:rPr>
          <w:rFonts w:ascii="Arial" w:eastAsia="Times New Roman" w:hAnsi="Arial" w:cs="Arial"/>
          <w:b/>
          <w:iCs/>
          <w:szCs w:val="28"/>
          <w:lang w:val="ru" w:eastAsia="ru-RU"/>
        </w:rPr>
      </w:pPr>
    </w:p>
    <w:p w14:paraId="26AE93D0" w14:textId="77777777" w:rsidR="00532C25" w:rsidRPr="00511005" w:rsidRDefault="00532C25" w:rsidP="00532C25">
      <w:pPr>
        <w:keepNext/>
        <w:widowControl w:val="0"/>
        <w:spacing w:line="264" w:lineRule="auto"/>
        <w:ind w:firstLine="0"/>
        <w:jc w:val="center"/>
        <w:rPr>
          <w:rFonts w:ascii="Arial" w:eastAsia="Times New Roman" w:hAnsi="Arial" w:cs="Arial"/>
          <w:b/>
          <w:iCs/>
          <w:szCs w:val="28"/>
          <w:lang w:val="ru" w:eastAsia="ru-RU"/>
        </w:rPr>
      </w:pPr>
      <w:r w:rsidRPr="00511005">
        <w:rPr>
          <w:rFonts w:ascii="Arial" w:eastAsia="Times New Roman" w:hAnsi="Arial" w:cs="Arial"/>
          <w:b/>
          <w:iCs/>
          <w:szCs w:val="28"/>
          <w:lang w:val="uk-UA" w:eastAsia="ru-RU"/>
        </w:rPr>
        <w:t>Список використаних джерел</w:t>
      </w:r>
    </w:p>
    <w:p w14:paraId="12696BA8" w14:textId="77777777" w:rsidR="00532C25" w:rsidRPr="00511005" w:rsidRDefault="00532C25" w:rsidP="003F6A5D">
      <w:pPr>
        <w:numPr>
          <w:ilvl w:val="0"/>
          <w:numId w:val="820"/>
        </w:numPr>
        <w:spacing w:line="264" w:lineRule="auto"/>
        <w:contextualSpacing/>
        <w:jc w:val="left"/>
        <w:rPr>
          <w:rFonts w:ascii="Arial" w:eastAsia="Times New Roman" w:hAnsi="Arial" w:cs="Arial"/>
          <w:b/>
          <w:szCs w:val="28"/>
          <w:lang w:eastAsia="ru-RU"/>
        </w:rPr>
      </w:pPr>
      <w:r w:rsidRPr="00511005">
        <w:rPr>
          <w:rFonts w:ascii="Arial" w:eastAsia="Calibri" w:hAnsi="Arial" w:cs="Arial"/>
          <w:szCs w:val="28"/>
        </w:rPr>
        <w:t>Кримінальний процесуальний кодекс України</w:t>
      </w:r>
      <w:r w:rsidRPr="00511005">
        <w:rPr>
          <w:rFonts w:ascii="Arial" w:eastAsia="Calibri" w:hAnsi="Arial" w:cs="Arial"/>
          <w:szCs w:val="28"/>
          <w:lang w:val="uk-UA"/>
        </w:rPr>
        <w:t>:</w:t>
      </w:r>
      <w:r w:rsidRPr="00511005">
        <w:rPr>
          <w:rFonts w:ascii="Arial" w:eastAsia="Calibri" w:hAnsi="Arial" w:cs="Arial"/>
          <w:szCs w:val="28"/>
        </w:rPr>
        <w:t xml:space="preserve"> Кодекс України від 13.04.2012 № 4651-</w:t>
      </w:r>
      <w:proofErr w:type="gramStart"/>
      <w:r w:rsidRPr="00511005">
        <w:rPr>
          <w:rFonts w:ascii="Arial" w:eastAsia="Calibri" w:hAnsi="Arial" w:cs="Arial"/>
          <w:szCs w:val="28"/>
        </w:rPr>
        <w:t>VI :</w:t>
      </w:r>
      <w:proofErr w:type="gramEnd"/>
      <w:r w:rsidRPr="00511005">
        <w:rPr>
          <w:rFonts w:ascii="Arial" w:eastAsia="Calibri" w:hAnsi="Arial" w:cs="Arial"/>
          <w:szCs w:val="28"/>
        </w:rPr>
        <w:t xml:space="preserve"> станом на 26 груд. 2024 р. URL: </w:t>
      </w:r>
      <w:hyperlink r:id="rId2264" w:anchor="Text" w:tgtFrame="_blank" w:history="1">
        <w:r w:rsidRPr="00511005">
          <w:rPr>
            <w:rFonts w:ascii="Arial" w:eastAsia="Calibri" w:hAnsi="Arial" w:cs="Arial"/>
            <w:szCs w:val="28"/>
          </w:rPr>
          <w:t>https://zakon.rada.gov.ua/laws/show/4651-17#Text</w:t>
        </w:r>
      </w:hyperlink>
      <w:r w:rsidRPr="00511005">
        <w:rPr>
          <w:rFonts w:ascii="Arial" w:eastAsia="Calibri" w:hAnsi="Arial" w:cs="Arial"/>
          <w:szCs w:val="28"/>
          <w:lang w:val="uk-UA"/>
        </w:rPr>
        <w:t>.</w:t>
      </w:r>
      <w:r w:rsidRPr="00511005">
        <w:rPr>
          <w:rFonts w:ascii="Arial" w:eastAsia="Calibri" w:hAnsi="Arial" w:cs="Arial"/>
          <w:szCs w:val="28"/>
        </w:rPr>
        <w:t xml:space="preserve"> </w:t>
      </w:r>
    </w:p>
    <w:p w14:paraId="7153BE61" w14:textId="77777777" w:rsidR="00532C25" w:rsidRPr="00511005" w:rsidRDefault="00532C25" w:rsidP="003F6A5D">
      <w:pPr>
        <w:numPr>
          <w:ilvl w:val="0"/>
          <w:numId w:val="820"/>
        </w:numPr>
        <w:spacing w:line="264" w:lineRule="auto"/>
        <w:contextualSpacing/>
        <w:jc w:val="left"/>
        <w:rPr>
          <w:rFonts w:ascii="Arial" w:eastAsia="Times New Roman" w:hAnsi="Arial" w:cs="Arial"/>
          <w:szCs w:val="28"/>
          <w:lang w:eastAsia="ru-RU"/>
        </w:rPr>
      </w:pPr>
      <w:r w:rsidRPr="00511005">
        <w:rPr>
          <w:rFonts w:ascii="Arial" w:eastAsia="Calibri" w:hAnsi="Arial" w:cs="Arial"/>
          <w:b/>
          <w:bCs/>
          <w:szCs w:val="28"/>
        </w:rPr>
        <w:t>Bendenoun v. France</w:t>
      </w:r>
      <w:r w:rsidRPr="00511005">
        <w:rPr>
          <w:rFonts w:ascii="Arial" w:eastAsia="Calibri" w:hAnsi="Arial" w:cs="Arial"/>
          <w:szCs w:val="28"/>
        </w:rPr>
        <w:t xml:space="preserve">, заява № 12547/86, рішення від 24 лютого 1994 року, Європейський суд з прав людини. </w:t>
      </w:r>
      <w:r w:rsidRPr="00511005">
        <w:rPr>
          <w:rFonts w:ascii="Arial" w:eastAsia="Calibri" w:hAnsi="Arial" w:cs="Arial"/>
          <w:szCs w:val="28"/>
          <w:lang w:val="en-US"/>
        </w:rPr>
        <w:t>URL</w:t>
      </w:r>
      <w:r w:rsidRPr="00511005">
        <w:rPr>
          <w:rFonts w:ascii="Arial" w:eastAsia="Calibri" w:hAnsi="Arial" w:cs="Arial"/>
          <w:szCs w:val="28"/>
        </w:rPr>
        <w:t>:</w:t>
      </w:r>
      <w:r w:rsidRPr="00511005">
        <w:rPr>
          <w:rFonts w:ascii="Arial" w:eastAsia="Times New Roman" w:hAnsi="Arial" w:cs="Arial"/>
          <w:bCs/>
          <w:szCs w:val="28"/>
          <w:lang w:eastAsia="ru-RU"/>
        </w:rPr>
        <w:t xml:space="preserve"> </w:t>
      </w:r>
      <w:hyperlink r:id="rId2265" w:history="1">
        <w:r w:rsidRPr="00511005">
          <w:rPr>
            <w:rFonts w:ascii="Arial" w:eastAsia="Calibri" w:hAnsi="Arial" w:cs="Arial"/>
            <w:szCs w:val="28"/>
            <w:lang w:eastAsia="ru-RU"/>
          </w:rPr>
          <w:t>https://hudoc.echr.coe.int/eng?i=001-108872</w:t>
        </w:r>
      </w:hyperlink>
      <w:r w:rsidRPr="00511005">
        <w:rPr>
          <w:rFonts w:ascii="Arial" w:eastAsia="Calibri" w:hAnsi="Arial" w:cs="Arial"/>
          <w:szCs w:val="28"/>
          <w:lang w:eastAsia="ru-RU"/>
        </w:rPr>
        <w:t>.</w:t>
      </w:r>
    </w:p>
    <w:p w14:paraId="34BB91D7" w14:textId="77777777" w:rsidR="00532C25" w:rsidRPr="00511005" w:rsidRDefault="00532C25" w:rsidP="003F6A5D">
      <w:pPr>
        <w:numPr>
          <w:ilvl w:val="0"/>
          <w:numId w:val="820"/>
        </w:numPr>
        <w:spacing w:line="264" w:lineRule="auto"/>
        <w:contextualSpacing/>
        <w:jc w:val="left"/>
        <w:rPr>
          <w:rFonts w:ascii="Arial" w:eastAsia="Times New Roman" w:hAnsi="Arial" w:cs="Arial"/>
          <w:b/>
          <w:szCs w:val="28"/>
          <w:lang w:eastAsia="ru-RU"/>
        </w:rPr>
      </w:pPr>
      <w:r w:rsidRPr="00511005">
        <w:rPr>
          <w:rFonts w:ascii="Arial" w:eastAsia="Calibri" w:hAnsi="Arial" w:cs="Arial"/>
          <w:b/>
          <w:bCs/>
          <w:szCs w:val="28"/>
        </w:rPr>
        <w:t>Bonnaud and Lecoq v. France</w:t>
      </w:r>
      <w:r w:rsidRPr="00511005">
        <w:rPr>
          <w:rFonts w:ascii="Arial" w:eastAsia="Calibri" w:hAnsi="Arial" w:cs="Arial"/>
          <w:szCs w:val="28"/>
        </w:rPr>
        <w:t xml:space="preserve">, заява № 6190/11, рішення від 6 лютого 2018 року, Європейський суд з прав людини. </w:t>
      </w:r>
      <w:r w:rsidRPr="00511005">
        <w:rPr>
          <w:rFonts w:ascii="Arial" w:eastAsia="Calibri" w:hAnsi="Arial" w:cs="Arial"/>
          <w:szCs w:val="28"/>
          <w:lang w:val="en-US"/>
        </w:rPr>
        <w:t>URL</w:t>
      </w:r>
      <w:r w:rsidRPr="00511005">
        <w:rPr>
          <w:rFonts w:ascii="Arial" w:eastAsia="Calibri" w:hAnsi="Arial" w:cs="Arial"/>
          <w:szCs w:val="28"/>
        </w:rPr>
        <w:t xml:space="preserve">: </w:t>
      </w:r>
      <w:hyperlink r:id="rId2266" w:history="1">
        <w:r w:rsidRPr="00511005">
          <w:rPr>
            <w:rFonts w:ascii="Arial" w:eastAsia="Calibri" w:hAnsi="Arial" w:cs="Arial"/>
            <w:szCs w:val="28"/>
          </w:rPr>
          <w:t>https://hudoc.echr.coe.int/eng-press?i=003-6020321-7722927</w:t>
        </w:r>
      </w:hyperlink>
      <w:r w:rsidRPr="00511005">
        <w:rPr>
          <w:rFonts w:ascii="Arial" w:eastAsia="Calibri" w:hAnsi="Arial" w:cs="Arial"/>
          <w:szCs w:val="28"/>
        </w:rPr>
        <w:t xml:space="preserve">. </w:t>
      </w:r>
    </w:p>
    <w:p w14:paraId="1AD6AFA9" w14:textId="77777777" w:rsidR="00532C25" w:rsidRPr="00511005" w:rsidRDefault="00532C25" w:rsidP="00532C25">
      <w:pPr>
        <w:spacing w:line="264" w:lineRule="auto"/>
        <w:ind w:firstLine="0"/>
        <w:rPr>
          <w:rFonts w:ascii="Arial" w:eastAsia="Arial" w:hAnsi="Arial" w:cs="Arial"/>
          <w:szCs w:val="28"/>
          <w:lang w:val="ru" w:eastAsia="ru-RU"/>
        </w:rPr>
      </w:pPr>
    </w:p>
    <w:p w14:paraId="391DB5F8" w14:textId="77777777" w:rsidR="00532C25" w:rsidRPr="00511005" w:rsidRDefault="00532C25" w:rsidP="00532C25">
      <w:pPr>
        <w:spacing w:line="264" w:lineRule="auto"/>
        <w:ind w:firstLine="360"/>
        <w:rPr>
          <w:rFonts w:ascii="Arial" w:eastAsia="Arial" w:hAnsi="Arial" w:cs="Arial"/>
          <w:szCs w:val="28"/>
          <w:lang w:val="ru" w:eastAsia="ru-RU"/>
        </w:rPr>
      </w:pPr>
      <w:r w:rsidRPr="00511005">
        <w:rPr>
          <w:rFonts w:ascii="Arial" w:eastAsia="Arial" w:hAnsi="Arial" w:cs="Arial"/>
          <w:b/>
          <w:i/>
          <w:szCs w:val="28"/>
          <w:lang w:val="ru" w:eastAsia="ru-RU"/>
        </w:rPr>
        <w:t xml:space="preserve">Ключові слова: </w:t>
      </w:r>
      <w:r w:rsidRPr="00511005">
        <w:rPr>
          <w:rFonts w:ascii="Arial" w:eastAsia="Arial" w:hAnsi="Arial" w:cs="Arial"/>
          <w:bCs/>
          <w:szCs w:val="28"/>
          <w:lang w:val="ru" w:eastAsia="ru-RU"/>
        </w:rPr>
        <w:t>кримінальне провадження,</w:t>
      </w:r>
      <w:r w:rsidRPr="00511005">
        <w:rPr>
          <w:rFonts w:ascii="Arial" w:eastAsia="Arial" w:hAnsi="Arial" w:cs="Arial"/>
          <w:b/>
          <w:szCs w:val="28"/>
          <w:lang w:val="ru" w:eastAsia="ru-RU"/>
        </w:rPr>
        <w:t xml:space="preserve"> </w:t>
      </w:r>
      <w:r w:rsidRPr="00511005">
        <w:rPr>
          <w:rFonts w:ascii="Arial" w:eastAsia="Arial" w:hAnsi="Arial" w:cs="Arial"/>
          <w:bCs/>
          <w:szCs w:val="28"/>
          <w:lang w:val="ru" w:eastAsia="ru-RU"/>
        </w:rPr>
        <w:t>висновок експерта, змістовна хибність висновку, теоретичні та прикладні аспекти спростування висновків експерта.</w:t>
      </w:r>
    </w:p>
    <w:p w14:paraId="43DAC130" w14:textId="77777777" w:rsidR="00532C25" w:rsidRPr="00511005" w:rsidRDefault="00532C25" w:rsidP="00532C25">
      <w:pPr>
        <w:spacing w:line="264" w:lineRule="auto"/>
        <w:ind w:firstLine="360"/>
        <w:rPr>
          <w:rFonts w:ascii="Arial" w:eastAsia="Arial" w:hAnsi="Arial" w:cs="Arial"/>
          <w:bCs/>
          <w:szCs w:val="28"/>
          <w:lang w:val="en-US" w:eastAsia="ru-RU"/>
        </w:rPr>
      </w:pPr>
      <w:r w:rsidRPr="00511005">
        <w:rPr>
          <w:rFonts w:ascii="Arial" w:eastAsia="Arial" w:hAnsi="Arial" w:cs="Arial"/>
          <w:b/>
          <w:i/>
          <w:szCs w:val="28"/>
          <w:lang w:val="en-US" w:eastAsia="ru-RU"/>
        </w:rPr>
        <w:t xml:space="preserve">Key words: </w:t>
      </w:r>
      <w:r w:rsidRPr="00511005">
        <w:rPr>
          <w:rFonts w:ascii="Arial" w:eastAsia="Arial" w:hAnsi="Arial" w:cs="Arial"/>
          <w:bCs/>
          <w:szCs w:val="28"/>
          <w:lang w:val="en-US" w:eastAsia="ru-RU"/>
        </w:rPr>
        <w:t>criminal proceedings, expert opinion, substantive falsity of an expert opinion, theoretical and applied aspects of refuting expert opinions.</w:t>
      </w:r>
    </w:p>
    <w:p w14:paraId="3A321CF7" w14:textId="77777777" w:rsidR="00532C25" w:rsidRPr="00511005" w:rsidRDefault="00532C25" w:rsidP="00532C25">
      <w:pPr>
        <w:spacing w:line="264" w:lineRule="auto"/>
        <w:ind w:firstLine="360"/>
        <w:rPr>
          <w:rFonts w:ascii="Arial" w:eastAsia="Arial" w:hAnsi="Arial" w:cs="Arial"/>
          <w:bCs/>
          <w:i/>
          <w:iCs/>
          <w:szCs w:val="28"/>
          <w:lang w:val="ru" w:eastAsia="ru-RU"/>
        </w:rPr>
      </w:pPr>
      <w:r w:rsidRPr="00511005">
        <w:rPr>
          <w:rFonts w:ascii="Arial" w:eastAsia="Arial" w:hAnsi="Arial" w:cs="Arial"/>
          <w:b/>
          <w:bCs/>
          <w:i/>
          <w:iCs/>
          <w:szCs w:val="28"/>
          <w:lang w:val="ru" w:eastAsia="ru-RU"/>
        </w:rPr>
        <w:lastRenderedPageBreak/>
        <w:t xml:space="preserve">Науковий керівник: </w:t>
      </w:r>
      <w:r w:rsidRPr="00511005">
        <w:rPr>
          <w:rFonts w:ascii="Arial" w:eastAsia="Arial" w:hAnsi="Arial" w:cs="Arial"/>
          <w:bCs/>
          <w:i/>
          <w:iCs/>
          <w:szCs w:val="28"/>
          <w:lang w:val="ru" w:eastAsia="ru-RU"/>
        </w:rPr>
        <w:t>к.ю.н., доцент Стоянов М.М.</w:t>
      </w:r>
    </w:p>
    <w:p w14:paraId="2F8DF0FF" w14:textId="77777777" w:rsidR="00532C25" w:rsidRPr="00511005" w:rsidRDefault="00532C25" w:rsidP="00532C25">
      <w:pPr>
        <w:spacing w:line="264" w:lineRule="auto"/>
        <w:ind w:firstLine="0"/>
        <w:rPr>
          <w:rFonts w:ascii="Arial" w:eastAsia="Arial" w:hAnsi="Arial" w:cs="Arial"/>
          <w:szCs w:val="28"/>
          <w:lang w:val="ru" w:eastAsia="ru-RU"/>
        </w:rPr>
      </w:pPr>
    </w:p>
    <w:p w14:paraId="73632221" w14:textId="77777777" w:rsidR="00532C25" w:rsidRPr="00511005" w:rsidRDefault="00532C25" w:rsidP="00532C25">
      <w:pPr>
        <w:spacing w:line="264" w:lineRule="auto"/>
        <w:ind w:firstLine="0"/>
        <w:rPr>
          <w:rFonts w:ascii="Arial" w:eastAsia="Arial" w:hAnsi="Arial" w:cs="Arial"/>
          <w:szCs w:val="28"/>
          <w:lang w:val="ru" w:eastAsia="ru-RU"/>
        </w:rPr>
      </w:pPr>
    </w:p>
    <w:p w14:paraId="3D212E5F" w14:textId="77777777" w:rsidR="00532C25" w:rsidRPr="00511005" w:rsidRDefault="00532C25" w:rsidP="00532C25">
      <w:pPr>
        <w:spacing w:line="264" w:lineRule="auto"/>
        <w:ind w:firstLine="0"/>
        <w:jc w:val="center"/>
        <w:rPr>
          <w:rFonts w:ascii="Arial" w:eastAsia="Arial" w:hAnsi="Arial" w:cs="Arial"/>
          <w:b/>
          <w:bCs/>
          <w:i/>
          <w:szCs w:val="28"/>
          <w:lang w:val="uk-UA" w:eastAsia="ru-RU"/>
        </w:rPr>
      </w:pPr>
      <w:r w:rsidRPr="00511005">
        <w:rPr>
          <w:rFonts w:ascii="Arial" w:eastAsia="Arial" w:hAnsi="Arial" w:cs="Arial"/>
          <w:b/>
          <w:bCs/>
          <w:i/>
          <w:szCs w:val="28"/>
          <w:lang w:val="uk-UA" w:eastAsia="ru-RU"/>
        </w:rPr>
        <w:t>Перепелиця Володимир Володимирович</w:t>
      </w:r>
    </w:p>
    <w:p w14:paraId="3CFCB905"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 1-го курсу магістратури</w:t>
      </w:r>
    </w:p>
    <w:p w14:paraId="4652CBBC"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15EB9BE"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A08B50B" w14:textId="77777777" w:rsidR="00532C25" w:rsidRPr="00511005" w:rsidRDefault="00532C25" w:rsidP="00532C25">
      <w:pPr>
        <w:spacing w:line="264" w:lineRule="auto"/>
        <w:ind w:firstLine="0"/>
        <w:jc w:val="center"/>
        <w:rPr>
          <w:rFonts w:ascii="Arial" w:eastAsia="Arial" w:hAnsi="Arial" w:cs="Arial"/>
          <w:b/>
          <w:bCs/>
          <w:szCs w:val="28"/>
          <w:lang w:val="uk-UA" w:eastAsia="ru-RU"/>
        </w:rPr>
      </w:pPr>
    </w:p>
    <w:p w14:paraId="1B164D20" w14:textId="77777777" w:rsidR="00532C25" w:rsidRPr="00511005" w:rsidRDefault="00532C25" w:rsidP="00532C25">
      <w:pPr>
        <w:spacing w:line="264" w:lineRule="auto"/>
        <w:ind w:firstLine="0"/>
        <w:jc w:val="center"/>
        <w:rPr>
          <w:rFonts w:ascii="Arial" w:eastAsia="Arial" w:hAnsi="Arial" w:cs="Arial"/>
          <w:b/>
          <w:bCs/>
          <w:szCs w:val="28"/>
          <w:lang w:val="uk-UA" w:eastAsia="ru-RU"/>
        </w:rPr>
      </w:pPr>
      <w:r w:rsidRPr="00511005">
        <w:rPr>
          <w:rFonts w:ascii="Arial" w:eastAsia="Arial" w:hAnsi="Arial" w:cs="Arial"/>
          <w:b/>
          <w:bCs/>
          <w:szCs w:val="28"/>
          <w:lang w:val="uk-UA" w:eastAsia="ru-RU"/>
        </w:rPr>
        <w:t>ЗАКОННІСТЬ СЛІДЧИХ (РОЗШУКОВИХ) ДІЙ:</w:t>
      </w:r>
    </w:p>
    <w:p w14:paraId="41998E34" w14:textId="77777777" w:rsidR="00532C25" w:rsidRPr="00511005" w:rsidRDefault="00532C25" w:rsidP="00532C25">
      <w:pPr>
        <w:spacing w:line="264" w:lineRule="auto"/>
        <w:ind w:firstLine="0"/>
        <w:jc w:val="center"/>
        <w:rPr>
          <w:rFonts w:ascii="Arial" w:eastAsia="Arial" w:hAnsi="Arial" w:cs="Arial"/>
          <w:b/>
          <w:bCs/>
          <w:szCs w:val="28"/>
          <w:lang w:val="uk-UA" w:eastAsia="ru-RU"/>
        </w:rPr>
      </w:pPr>
      <w:r w:rsidRPr="00511005">
        <w:rPr>
          <w:rFonts w:ascii="Arial" w:eastAsia="Arial" w:hAnsi="Arial" w:cs="Arial"/>
          <w:b/>
          <w:bCs/>
          <w:szCs w:val="28"/>
          <w:lang w:val="uk-UA" w:eastAsia="ru-RU"/>
        </w:rPr>
        <w:t>ЕВОЛЮЦІЯ ПРАВОВОГО КОНТРОЛЮ ТА НОВІ ВИКЛИКИ В УМОВАХ ІНФОРМАЦІЙНОЇ ВІЙНИ</w:t>
      </w:r>
    </w:p>
    <w:p w14:paraId="3AF148F7"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Сучасні реалії збройного конфлікту та масштабної інформаційної агресії проти України кардинально змінюють підходи до кримінального провадження, зокрема до здійснення та контролю за законністю слідчих (розшукових) дій (далі –СРД). Гібридна війна супроводжується кіберзлочинністю, маніпуляціями інформацією, атакою на правову інфраструктуру та поширенням фейкових даних. У таких умовах питання ефективного та водночас правозахисного контролю за СРД набуває особливої гостроти.</w:t>
      </w:r>
    </w:p>
    <w:p w14:paraId="55891108"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Тематикою такого дослідження постає аналіз етапів розвитку правового контролю за СРД в Україні, виявлення новітніх викликів, пов’язаних із інформаційною війною, та визначення напрямів вдосконалення кримінального процесуального права в умовах загрози цифрової маніпуляції.</w:t>
      </w:r>
    </w:p>
    <w:p w14:paraId="065F4FEE"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ru" w:eastAsia="ru-RU"/>
        </w:rPr>
        <w:t xml:space="preserve">Контроль за </w:t>
      </w:r>
      <w:r w:rsidRPr="00511005">
        <w:rPr>
          <w:rFonts w:ascii="Arial" w:eastAsia="Arial" w:hAnsi="Arial" w:cs="Arial"/>
          <w:szCs w:val="28"/>
          <w:lang w:eastAsia="ru-RU"/>
        </w:rPr>
        <w:t>СРД</w:t>
      </w:r>
      <w:r w:rsidRPr="00511005">
        <w:rPr>
          <w:rFonts w:ascii="Arial" w:eastAsia="Arial" w:hAnsi="Arial" w:cs="Arial"/>
          <w:szCs w:val="28"/>
          <w:lang w:val="ru" w:eastAsia="ru-RU"/>
        </w:rPr>
        <w:t xml:space="preserve"> є фундаментальним елементом забезпечення законності на стадії досудового розслідування. Його еволюція в Україні пройшла кілька ключових етапів.</w:t>
      </w:r>
    </w:p>
    <w:p w14:paraId="1189FFC8"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Н</w:t>
      </w:r>
      <w:r w:rsidRPr="00511005">
        <w:rPr>
          <w:rFonts w:ascii="Arial" w:eastAsia="Arial" w:hAnsi="Arial" w:cs="Arial"/>
          <w:szCs w:val="28"/>
          <w:lang w:val="ru" w:eastAsia="ru-RU"/>
        </w:rPr>
        <w:t>агляд прокурора за законністю слідчих (розшукових) дій</w:t>
      </w:r>
      <w:r w:rsidRPr="00511005">
        <w:rPr>
          <w:rFonts w:ascii="Arial" w:eastAsia="Arial" w:hAnsi="Arial" w:cs="Arial"/>
          <w:szCs w:val="28"/>
          <w:lang w:eastAsia="ru-RU"/>
        </w:rPr>
        <w:t xml:space="preserve"> </w:t>
      </w:r>
      <w:r w:rsidRPr="00511005">
        <w:rPr>
          <w:rFonts w:ascii="Arial" w:eastAsia="Arial" w:hAnsi="Arial" w:cs="Arial"/>
          <w:szCs w:val="28"/>
          <w:lang w:val="ru" w:eastAsia="ru-RU"/>
        </w:rPr>
        <w:t>проводиться безпосередньо прокурором-процесуальним керівником у формі процесуального керівництва. Також, існують форми</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нагляду прокурора вищого рівня за законністю зазначених дій, які реалізуються зокрема через</w:t>
      </w:r>
      <w:r w:rsidRPr="00511005">
        <w:rPr>
          <w:rFonts w:ascii="Arial" w:eastAsia="Arial" w:hAnsi="Arial" w:cs="Arial"/>
          <w:szCs w:val="28"/>
          <w:lang w:val="uk-UA" w:eastAsia="ru-RU"/>
        </w:rPr>
        <w:t xml:space="preserve"> </w:t>
      </w:r>
      <w:r w:rsidRPr="00511005">
        <w:rPr>
          <w:rFonts w:ascii="Arial" w:eastAsia="Arial" w:hAnsi="Arial" w:cs="Arial"/>
          <w:szCs w:val="28"/>
          <w:lang w:eastAsia="ru-RU"/>
        </w:rPr>
        <w:t>[1,</w:t>
      </w:r>
      <w:r w:rsidRPr="00511005">
        <w:rPr>
          <w:rFonts w:ascii="Arial" w:eastAsia="Arial" w:hAnsi="Arial" w:cs="Arial"/>
          <w:szCs w:val="28"/>
          <w:lang w:val="uk-UA" w:eastAsia="ru-RU"/>
        </w:rPr>
        <w:t xml:space="preserve"> с. 381</w:t>
      </w:r>
      <w:r w:rsidRPr="00511005">
        <w:rPr>
          <w:rFonts w:ascii="Arial" w:eastAsia="Arial" w:hAnsi="Arial" w:cs="Arial"/>
          <w:szCs w:val="28"/>
          <w:lang w:eastAsia="ru-RU"/>
        </w:rPr>
        <w:t>]</w:t>
      </w:r>
      <w:r w:rsidRPr="00511005">
        <w:rPr>
          <w:rFonts w:ascii="Arial" w:eastAsia="Arial" w:hAnsi="Arial" w:cs="Arial"/>
          <w:szCs w:val="28"/>
          <w:lang w:val="ru" w:eastAsia="ru-RU"/>
        </w:rPr>
        <w:t xml:space="preserve">: </w:t>
      </w:r>
    </w:p>
    <w:p w14:paraId="76265679"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 xml:space="preserve">1) витребування та вивчення інформації про хід і результати досудового розслідування та судового розгляду кримінального провадження, матеріалів кримінального провадження та засвідчених копій судових рішень та </w:t>
      </w:r>
    </w:p>
    <w:p w14:paraId="37D0505A"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ru" w:eastAsia="ru-RU"/>
        </w:rPr>
        <w:t>2)</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вивчення стану додержання вимог</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кримінального</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процесуального</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законодавства.</w:t>
      </w:r>
    </w:p>
    <w:p w14:paraId="4DA751DB"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У радянський період прокурор зосереджував у своїх руках одночасно наглядові, процесуальні й управлінські функції, що фактично унеможливлювало ефективний контроль за СРД у контексті прав людини. </w:t>
      </w:r>
      <w:r w:rsidRPr="00511005">
        <w:rPr>
          <w:rFonts w:ascii="Arial" w:eastAsia="Arial" w:hAnsi="Arial" w:cs="Arial"/>
          <w:szCs w:val="28"/>
          <w:lang w:val="ru" w:eastAsia="ru-RU"/>
        </w:rPr>
        <w:lastRenderedPageBreak/>
        <w:t>Права учасників процесу були значно обмежені, а фокус зміщувався на «ефективність розкриття» замість дотримання процесуальних гарантій.</w:t>
      </w:r>
    </w:p>
    <w:p w14:paraId="26FC0B23"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Прийняття Кримінального процесуального кодексу України 2012 року</w:t>
      </w:r>
      <w:r w:rsidRPr="00511005">
        <w:rPr>
          <w:rFonts w:ascii="Arial" w:eastAsia="Arial" w:hAnsi="Arial" w:cs="Arial"/>
          <w:szCs w:val="28"/>
          <w:lang w:val="uk-UA" w:eastAsia="ru-RU"/>
        </w:rPr>
        <w:t xml:space="preserve"> (далі – КПК)</w:t>
      </w:r>
      <w:r w:rsidRPr="00511005">
        <w:rPr>
          <w:rFonts w:ascii="Arial" w:eastAsia="Arial" w:hAnsi="Arial" w:cs="Arial"/>
          <w:szCs w:val="28"/>
          <w:lang w:val="ru" w:eastAsia="ru-RU"/>
        </w:rPr>
        <w:t xml:space="preserve"> стало переломним моментом. Було запроваджено інститут слідчого судді, що започаткував нову якість правового контролю. Зокрема, СРД (обшук, прослуховування, тимчасовий доступ тощо) стали можливими лише за судовим дозволом, що відповідає стандартам Є</w:t>
      </w:r>
      <w:r w:rsidRPr="00511005">
        <w:rPr>
          <w:rFonts w:ascii="Arial" w:eastAsia="Arial" w:hAnsi="Arial" w:cs="Arial"/>
          <w:szCs w:val="28"/>
          <w:lang w:val="uk-UA" w:eastAsia="ru-RU"/>
        </w:rPr>
        <w:t>вропейського суду з прав людини</w:t>
      </w:r>
      <w:r w:rsidRPr="00511005">
        <w:rPr>
          <w:rFonts w:ascii="Arial" w:eastAsia="Arial" w:hAnsi="Arial" w:cs="Arial"/>
          <w:szCs w:val="28"/>
          <w:lang w:val="ru" w:eastAsia="ru-RU"/>
        </w:rPr>
        <w:t>.</w:t>
      </w:r>
    </w:p>
    <w:p w14:paraId="2E44099E"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Судовий контроль набув характеру превентивного запобіжного інструменту, а роль прокурора трансформувалась із контролюючої на процесуально координуючу. Проте вже у 2022</w:t>
      </w:r>
      <w:r w:rsidRPr="00511005">
        <w:rPr>
          <w:rFonts w:ascii="Arial" w:eastAsia="Arial" w:hAnsi="Arial" w:cs="Arial"/>
          <w:szCs w:val="28"/>
          <w:lang w:val="uk-UA" w:eastAsia="ru-RU"/>
        </w:rPr>
        <w:t>-</w:t>
      </w:r>
      <w:r w:rsidRPr="00511005">
        <w:rPr>
          <w:rFonts w:ascii="Arial" w:eastAsia="Arial" w:hAnsi="Arial" w:cs="Arial"/>
          <w:szCs w:val="28"/>
          <w:lang w:val="ru" w:eastAsia="ru-RU"/>
        </w:rPr>
        <w:t>2024 роках, в умовах війни, традиційні механізми почали демонструвати обмежену ефективність, зокрема в ситуаціях, де джерелом доказів є цифрові дані, зібрані в умовах бойових дій або кібератак.</w:t>
      </w:r>
    </w:p>
    <w:p w14:paraId="0331CC51"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Таким чином, спостерігається поступовий перехід від формального до субстантивного контроля</w:t>
      </w:r>
      <w:r w:rsidRPr="00511005">
        <w:rPr>
          <w:rFonts w:ascii="Arial" w:eastAsia="Arial" w:hAnsi="Arial" w:cs="Arial"/>
          <w:szCs w:val="28"/>
          <w:lang w:val="uk-UA" w:eastAsia="ru-RU"/>
        </w:rPr>
        <w:t xml:space="preserve"> – </w:t>
      </w:r>
      <w:r w:rsidRPr="00511005">
        <w:rPr>
          <w:rFonts w:ascii="Arial" w:eastAsia="Arial" w:hAnsi="Arial" w:cs="Arial"/>
          <w:szCs w:val="28"/>
          <w:lang w:val="ru" w:eastAsia="ru-RU"/>
        </w:rPr>
        <w:t>тобто не лише на предмет наявності дозволу, але й змістовної оцінки джерела, способу одержання і достовірності доказів у нових умовах.</w:t>
      </w:r>
    </w:p>
    <w:p w14:paraId="2877F1B4"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Інформаційна війна</w:t>
      </w:r>
      <w:r w:rsidRPr="00511005">
        <w:rPr>
          <w:rFonts w:ascii="Arial" w:eastAsia="Arial" w:hAnsi="Arial" w:cs="Arial"/>
          <w:szCs w:val="28"/>
          <w:lang w:val="uk-UA" w:eastAsia="ru-RU"/>
        </w:rPr>
        <w:t xml:space="preserve"> – </w:t>
      </w:r>
      <w:r w:rsidRPr="00511005">
        <w:rPr>
          <w:rFonts w:ascii="Arial" w:eastAsia="Arial" w:hAnsi="Arial" w:cs="Arial"/>
          <w:szCs w:val="28"/>
          <w:lang w:val="ru" w:eastAsia="ru-RU"/>
        </w:rPr>
        <w:t>це не лише засіб дезінформації чи психологічного впливу, а й процес використання різних методів та стратегій для</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маніпулювання, контролю та впливу на інформаційне середовище з метою досягнення</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певних політичних, економічних чи інших цілей</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[2, с. 537].</w:t>
      </w:r>
    </w:p>
    <w:p w14:paraId="1C805BAA"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Війна на інформаційному фронті супроводжується:</w:t>
      </w:r>
    </w:p>
    <w:p w14:paraId="03494800" w14:textId="77777777" w:rsidR="00532C25" w:rsidRPr="00511005" w:rsidRDefault="00532C25" w:rsidP="003F6A5D">
      <w:pPr>
        <w:numPr>
          <w:ilvl w:val="0"/>
          <w:numId w:val="599"/>
        </w:numPr>
        <w:spacing w:line="264" w:lineRule="auto"/>
        <w:jc w:val="left"/>
        <w:rPr>
          <w:rFonts w:ascii="Arial" w:eastAsia="Arial" w:hAnsi="Arial" w:cs="Arial"/>
          <w:szCs w:val="28"/>
          <w:lang w:val="ru" w:eastAsia="ru-RU"/>
        </w:rPr>
      </w:pPr>
      <w:r w:rsidRPr="00511005">
        <w:rPr>
          <w:rFonts w:ascii="Arial" w:eastAsia="Arial" w:hAnsi="Arial" w:cs="Arial"/>
          <w:szCs w:val="28"/>
          <w:lang w:val="ru" w:eastAsia="ru-RU"/>
        </w:rPr>
        <w:t>масовим поширенням фейкових матеріалів (у тому числі deepfake), що ускладнює автентифікацію джерел;</w:t>
      </w:r>
    </w:p>
    <w:p w14:paraId="2D5BE72B" w14:textId="77777777" w:rsidR="00532C25" w:rsidRPr="00511005" w:rsidRDefault="00532C25" w:rsidP="003F6A5D">
      <w:pPr>
        <w:numPr>
          <w:ilvl w:val="0"/>
          <w:numId w:val="599"/>
        </w:numPr>
        <w:spacing w:line="264" w:lineRule="auto"/>
        <w:jc w:val="left"/>
        <w:rPr>
          <w:rFonts w:ascii="Arial" w:eastAsia="Arial" w:hAnsi="Arial" w:cs="Arial"/>
          <w:szCs w:val="28"/>
          <w:lang w:val="ru" w:eastAsia="ru-RU"/>
        </w:rPr>
      </w:pPr>
      <w:r w:rsidRPr="00511005">
        <w:rPr>
          <w:rFonts w:ascii="Arial" w:eastAsia="Arial" w:hAnsi="Arial" w:cs="Arial"/>
          <w:szCs w:val="28"/>
          <w:lang w:val="ru" w:eastAsia="ru-RU"/>
        </w:rPr>
        <w:t>атаками на цифрову інфраструктуру правоохоронних органів та судової системи;</w:t>
      </w:r>
    </w:p>
    <w:p w14:paraId="39C014D2" w14:textId="77777777" w:rsidR="00532C25" w:rsidRPr="00511005" w:rsidRDefault="00532C25" w:rsidP="003F6A5D">
      <w:pPr>
        <w:numPr>
          <w:ilvl w:val="0"/>
          <w:numId w:val="599"/>
        </w:numPr>
        <w:spacing w:line="264" w:lineRule="auto"/>
        <w:jc w:val="left"/>
        <w:rPr>
          <w:rFonts w:ascii="Arial" w:eastAsia="Arial" w:hAnsi="Arial" w:cs="Arial"/>
          <w:szCs w:val="28"/>
          <w:lang w:val="ru" w:eastAsia="ru-RU"/>
        </w:rPr>
      </w:pPr>
      <w:r w:rsidRPr="00511005">
        <w:rPr>
          <w:rFonts w:ascii="Arial" w:eastAsia="Arial" w:hAnsi="Arial" w:cs="Arial"/>
          <w:szCs w:val="28"/>
          <w:lang w:val="ru" w:eastAsia="ru-RU"/>
        </w:rPr>
        <w:t>використанням анонімних акаунтів і ботів для тиску на учасників процесу (підозрюваних, свідків, експертів);</w:t>
      </w:r>
    </w:p>
    <w:p w14:paraId="18EB8F9D" w14:textId="77777777" w:rsidR="00532C25" w:rsidRPr="00511005" w:rsidRDefault="00532C25" w:rsidP="003F6A5D">
      <w:pPr>
        <w:numPr>
          <w:ilvl w:val="0"/>
          <w:numId w:val="599"/>
        </w:numPr>
        <w:spacing w:line="264" w:lineRule="auto"/>
        <w:jc w:val="left"/>
        <w:rPr>
          <w:rFonts w:ascii="Arial" w:eastAsia="Arial" w:hAnsi="Arial" w:cs="Arial"/>
          <w:szCs w:val="28"/>
          <w:lang w:val="ru" w:eastAsia="ru-RU"/>
        </w:rPr>
      </w:pPr>
      <w:r w:rsidRPr="00511005">
        <w:rPr>
          <w:rFonts w:ascii="Arial" w:eastAsia="Arial" w:hAnsi="Arial" w:cs="Arial"/>
          <w:szCs w:val="28"/>
          <w:lang w:val="ru" w:eastAsia="ru-RU"/>
        </w:rPr>
        <w:t>втручанням у захищені канали комунікації між сторонами провадження;</w:t>
      </w:r>
    </w:p>
    <w:p w14:paraId="1FF12CEA" w14:textId="77777777" w:rsidR="00532C25" w:rsidRPr="00511005" w:rsidRDefault="00532C25" w:rsidP="003F6A5D">
      <w:pPr>
        <w:numPr>
          <w:ilvl w:val="0"/>
          <w:numId w:val="599"/>
        </w:numPr>
        <w:spacing w:line="264" w:lineRule="auto"/>
        <w:jc w:val="left"/>
        <w:rPr>
          <w:rFonts w:ascii="Arial" w:eastAsia="Arial" w:hAnsi="Arial" w:cs="Arial"/>
          <w:szCs w:val="28"/>
          <w:lang w:val="ru" w:eastAsia="ru-RU"/>
        </w:rPr>
      </w:pPr>
      <w:r w:rsidRPr="00511005">
        <w:rPr>
          <w:rFonts w:ascii="Arial" w:eastAsia="Arial" w:hAnsi="Arial" w:cs="Arial"/>
          <w:szCs w:val="28"/>
          <w:lang w:val="ru" w:eastAsia="ru-RU"/>
        </w:rPr>
        <w:t>перешкоджанням збору доказів у зоні бойових дій або тимчасово окупованих територіях.</w:t>
      </w:r>
    </w:p>
    <w:p w14:paraId="0254CD4D"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У результаті змінюється сам характер доказів: переважна частина з них має цифрову природу, а джерелом все частіше виступають відкриті джерела (OSINT), відео з дронів, мобільні додатки, GPS-трекери, скріни переписок, лог-файли серверів тощо. Із зростанням значущості таких даних зростає і небезпека їх підроблення або некоректного тлумачення.</w:t>
      </w:r>
      <w:r w:rsidRPr="00511005">
        <w:rPr>
          <w:rFonts w:ascii="Arial" w:eastAsia="Arial" w:hAnsi="Arial" w:cs="Arial"/>
          <w:szCs w:val="28"/>
          <w:lang w:val="uk-UA" w:eastAsia="ru-RU"/>
        </w:rPr>
        <w:t xml:space="preserve"> </w:t>
      </w:r>
    </w:p>
    <w:p w14:paraId="0A54B09C"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Ці обставини ставлять перед правовою системою України нову дилему: як забезпечити оперативність і гнучкість у реагуванні на нові злочини та одночасно зберегти законність процедур, зокрема у сфері СРД.</w:t>
      </w:r>
    </w:p>
    <w:p w14:paraId="6E07F589"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lastRenderedPageBreak/>
        <w:t>Сучасна практика слідства стикається з принципово новими типами доказів та джерел інформації, які не передбачались у «класичному» КПК. У цих умовах традиційні моделі правового контролю виявляються недостатніми до основних викликів належать:</w:t>
      </w:r>
    </w:p>
    <w:p w14:paraId="426387B0"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Інформація, здобута з публічних соцмереж, онлайн-платформ або супутникових знімків, викликає питання щодо достовірності, цілісності та непідробності.</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Наразі немає чітких процесуальних критеріїв для визнання таких матеріалів доказами, що ускладнює роботу прокурора та контроль слідчого судді.</w:t>
      </w:r>
    </w:p>
    <w:p w14:paraId="7F595076"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Deepfake, генерація фото/відео/аудіо штучним інтелектом, фейкові листування</w:t>
      </w:r>
      <w:r w:rsidRPr="00511005">
        <w:rPr>
          <w:rFonts w:ascii="Arial" w:eastAsia="Arial" w:hAnsi="Arial" w:cs="Arial"/>
          <w:szCs w:val="28"/>
          <w:lang w:val="uk-UA" w:eastAsia="ru-RU"/>
        </w:rPr>
        <w:t xml:space="preserve"> – </w:t>
      </w:r>
      <w:r w:rsidRPr="00511005">
        <w:rPr>
          <w:rFonts w:ascii="Arial" w:eastAsia="Arial" w:hAnsi="Arial" w:cs="Arial"/>
          <w:szCs w:val="28"/>
          <w:lang w:val="ru" w:eastAsia="ru-RU"/>
        </w:rPr>
        <w:t>це нова реальність. Наявність електронного файлу вже не гарантує його істинність. Суддя чи прокурор фізично не можуть перевірити достовірність кожного такого файлу без ІТ-експерта.</w:t>
      </w:r>
    </w:p>
    <w:p w14:paraId="2070C3CB"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Коли СРД проводяться на тимчасово окупованих територіях, фізичний доступ до об’єктів неможливий, а процесуальне оформлення доказів не відповідає стандартам миру. Постає питання: як оцінювати докази, зібрані в умовах війни, без порушення прав людини?</w:t>
      </w:r>
    </w:p>
    <w:p w14:paraId="2113FF37"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Правовий контроль за СРД в Україні пройшов шлях від радянського прокурорського домінування до запровадження судового контролю, орієнтованого на європейські стандарти. Проте інформаційна війна та цифрова трансформація злочинності висувають нові виклики, які вимагають системної переоцінки процесуальних підходів.</w:t>
      </w:r>
    </w:p>
    <w:p w14:paraId="1732AADD"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Еволюція правового контролю за законністю СРД в Україні відображає значні зміни у правовій системі країни, які стали результатом не лише внутрішніх реформ, а й зовнішніх викликів, зокрема, інформаційної війни. Від радянської моделі, де контроль за СРД зосереджувався в руках прокурора, до сучасного європейського стандарту з судовим контролем</w:t>
      </w:r>
      <w:r w:rsidRPr="00511005">
        <w:rPr>
          <w:rFonts w:ascii="Arial" w:eastAsia="Arial" w:hAnsi="Arial" w:cs="Arial"/>
          <w:szCs w:val="28"/>
          <w:lang w:val="uk-UA" w:eastAsia="ru-RU"/>
        </w:rPr>
        <w:t xml:space="preserve"> – </w:t>
      </w:r>
      <w:r w:rsidRPr="00511005">
        <w:rPr>
          <w:rFonts w:ascii="Arial" w:eastAsia="Arial" w:hAnsi="Arial" w:cs="Arial"/>
          <w:szCs w:val="28"/>
          <w:lang w:val="ru" w:eastAsia="ru-RU"/>
        </w:rPr>
        <w:t>процес пройшов великий шлях.</w:t>
      </w:r>
    </w:p>
    <w:p w14:paraId="0DD19783"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Інформаційна війна та гібридні методи ведення конфліктів створюють нові ризики для правової системи, зокрема, через використання цифрових технологій, які стали важливими джерелами доказів у кримінальних справах. Відкриті джерела, фальсифікація доказів та втручання в хід слідства через кіберзагрози ставлять перед правозастосовчими органами нові виклики. У таких умовах правовий контроль має стати більш адаптивним, технологічно оснащеним і націленим на збереження балансу між оперативністю та дотриманням прав людини.</w:t>
      </w:r>
    </w:p>
    <w:p w14:paraId="3CAE2B0C"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 xml:space="preserve">Перехід до більш гнучкої та інноваційної системи контролю за СРД, враховуючи цифрові й технологічні виклики, є необхідною умовою для ефективної боротьби зі злочинністю в умовах інформаційної війни. Запровадження нових методик оцінки цифрових доказів, створення платформ для перевірки автентичності даних і постійне навчання суддів та </w:t>
      </w:r>
      <w:r w:rsidRPr="00511005">
        <w:rPr>
          <w:rFonts w:ascii="Arial" w:eastAsia="Arial" w:hAnsi="Arial" w:cs="Arial"/>
          <w:szCs w:val="28"/>
          <w:lang w:val="ru" w:eastAsia="ru-RU"/>
        </w:rPr>
        <w:lastRenderedPageBreak/>
        <w:t>прокурорів</w:t>
      </w:r>
      <w:r w:rsidRPr="00511005">
        <w:rPr>
          <w:rFonts w:ascii="Arial" w:eastAsia="Arial" w:hAnsi="Arial" w:cs="Arial"/>
          <w:szCs w:val="28"/>
          <w:lang w:val="uk-UA" w:eastAsia="ru-RU"/>
        </w:rPr>
        <w:t xml:space="preserve"> – </w:t>
      </w:r>
      <w:r w:rsidRPr="00511005">
        <w:rPr>
          <w:rFonts w:ascii="Arial" w:eastAsia="Arial" w:hAnsi="Arial" w:cs="Arial"/>
          <w:szCs w:val="28"/>
          <w:lang w:val="ru" w:eastAsia="ru-RU"/>
        </w:rPr>
        <w:t>це важливі кроки до забезпечення законності та справедливості у кримінальних процесах.</w:t>
      </w:r>
    </w:p>
    <w:p w14:paraId="00B63684" w14:textId="77777777" w:rsidR="00532C25" w:rsidRPr="00511005" w:rsidRDefault="00532C25" w:rsidP="00532C25">
      <w:pPr>
        <w:spacing w:line="264" w:lineRule="auto"/>
        <w:rPr>
          <w:rFonts w:ascii="Arial" w:eastAsia="Arial" w:hAnsi="Arial" w:cs="Arial"/>
          <w:szCs w:val="28"/>
          <w:lang w:val="ru" w:eastAsia="ru-RU"/>
        </w:rPr>
      </w:pPr>
      <w:r w:rsidRPr="00511005">
        <w:rPr>
          <w:rFonts w:ascii="Arial" w:eastAsia="Arial" w:hAnsi="Arial" w:cs="Arial"/>
          <w:szCs w:val="28"/>
          <w:lang w:val="ru" w:eastAsia="ru-RU"/>
        </w:rPr>
        <w:t>З огляду на це, контроль за законністю слідчих дій має стати основою для створення доброчесної, технологічно ефективної та правозахисної кримінальної юстиції, здатної ефективно реагувати на сучасні загрози та підтримувати верховенство права навіть у найскладніших умовах.</w:t>
      </w:r>
    </w:p>
    <w:p w14:paraId="6956208B" w14:textId="77777777" w:rsidR="00532C25" w:rsidRPr="00511005" w:rsidRDefault="00532C25" w:rsidP="00532C25">
      <w:pPr>
        <w:spacing w:line="264" w:lineRule="auto"/>
        <w:ind w:firstLine="0"/>
        <w:rPr>
          <w:rFonts w:ascii="Arial" w:eastAsia="Arial" w:hAnsi="Arial" w:cs="Arial"/>
          <w:b/>
          <w:bCs/>
          <w:szCs w:val="28"/>
          <w:lang w:val="uk-UA" w:eastAsia="ru-RU"/>
        </w:rPr>
      </w:pPr>
    </w:p>
    <w:p w14:paraId="282B765A" w14:textId="77777777" w:rsidR="00532C25" w:rsidRPr="00511005" w:rsidRDefault="00532C25" w:rsidP="00532C25">
      <w:pPr>
        <w:spacing w:line="264" w:lineRule="auto"/>
        <w:jc w:val="center"/>
        <w:rPr>
          <w:rFonts w:ascii="Arial" w:eastAsia="Arial" w:hAnsi="Arial" w:cs="Arial"/>
          <w:b/>
          <w:bCs/>
          <w:szCs w:val="28"/>
          <w:lang w:val="ru" w:eastAsia="ru-RU"/>
        </w:rPr>
      </w:pPr>
      <w:r w:rsidRPr="00511005">
        <w:rPr>
          <w:rFonts w:ascii="Arial" w:eastAsia="Arial" w:hAnsi="Arial" w:cs="Arial"/>
          <w:b/>
          <w:bCs/>
          <w:szCs w:val="28"/>
          <w:lang w:val="uk-UA" w:eastAsia="ru-RU"/>
        </w:rPr>
        <w:t>Список використаних джерел</w:t>
      </w:r>
    </w:p>
    <w:p w14:paraId="26681152" w14:textId="77777777" w:rsidR="00532C25" w:rsidRPr="00511005" w:rsidRDefault="00532C25" w:rsidP="00532C25">
      <w:pPr>
        <w:spacing w:line="264" w:lineRule="auto"/>
        <w:rPr>
          <w:rFonts w:ascii="Arial" w:hAnsi="Arial" w:cs="Arial"/>
          <w:szCs w:val="28"/>
          <w:lang w:val="uk-UA" w:eastAsia="zh-CN"/>
        </w:rPr>
      </w:pPr>
      <w:r w:rsidRPr="00511005">
        <w:rPr>
          <w:rFonts w:ascii="Arial" w:hAnsi="Arial" w:cs="Arial"/>
          <w:szCs w:val="28"/>
          <w:lang w:val="uk-UA" w:eastAsia="zh-CN"/>
        </w:rPr>
        <w:t>1</w:t>
      </w:r>
      <w:r w:rsidRPr="00511005">
        <w:rPr>
          <w:rFonts w:ascii="Arial" w:hAnsi="Arial" w:cs="Arial"/>
          <w:szCs w:val="28"/>
          <w:lang w:eastAsia="zh-CN"/>
        </w:rPr>
        <w:t xml:space="preserve">. </w:t>
      </w:r>
      <w:r w:rsidRPr="00511005">
        <w:rPr>
          <w:rFonts w:ascii="Arial" w:hAnsi="Arial" w:cs="Arial"/>
          <w:szCs w:val="28"/>
          <w:lang w:val="uk-UA" w:eastAsia="zh-CN"/>
        </w:rPr>
        <w:t>Конюшенко</w:t>
      </w:r>
      <w:r w:rsidRPr="00511005">
        <w:rPr>
          <w:rFonts w:ascii="Arial" w:hAnsi="Arial" w:cs="Arial"/>
          <w:szCs w:val="28"/>
          <w:lang w:eastAsia="zh-CN"/>
        </w:rPr>
        <w:t xml:space="preserve"> </w:t>
      </w:r>
      <w:r w:rsidRPr="00511005">
        <w:rPr>
          <w:rFonts w:ascii="Arial" w:hAnsi="Arial" w:cs="Arial"/>
          <w:szCs w:val="28"/>
          <w:lang w:val="uk-UA" w:eastAsia="zh-CN"/>
        </w:rPr>
        <w:t>Я</w:t>
      </w:r>
      <w:r w:rsidRPr="00511005">
        <w:rPr>
          <w:rFonts w:ascii="Arial" w:hAnsi="Arial" w:cs="Arial"/>
          <w:szCs w:val="28"/>
          <w:lang w:eastAsia="zh-CN"/>
        </w:rPr>
        <w:t>.</w:t>
      </w:r>
      <w:r w:rsidRPr="00511005">
        <w:rPr>
          <w:rFonts w:ascii="Arial" w:hAnsi="Arial" w:cs="Arial"/>
          <w:szCs w:val="28"/>
          <w:lang w:val="uk-UA" w:eastAsia="zh-CN"/>
        </w:rPr>
        <w:t> Ю</w:t>
      </w:r>
      <w:r w:rsidRPr="00511005">
        <w:rPr>
          <w:rFonts w:ascii="Arial" w:hAnsi="Arial" w:cs="Arial"/>
          <w:szCs w:val="28"/>
          <w:lang w:eastAsia="zh-CN"/>
        </w:rPr>
        <w:t xml:space="preserve">. </w:t>
      </w:r>
      <w:r w:rsidRPr="00511005">
        <w:rPr>
          <w:rFonts w:ascii="Arial" w:hAnsi="Arial" w:cs="Arial"/>
          <w:szCs w:val="28"/>
          <w:lang w:val="uk-UA" w:eastAsia="zh-CN"/>
        </w:rPr>
        <w:t>П</w:t>
      </w:r>
      <w:r w:rsidRPr="00511005">
        <w:rPr>
          <w:rFonts w:ascii="Arial" w:hAnsi="Arial" w:cs="Arial"/>
          <w:szCs w:val="28"/>
          <w:lang w:eastAsia="zh-CN"/>
        </w:rPr>
        <w:t xml:space="preserve">рокурорський нагляд за додержанням законності проведення слідчих (розшукових) дій. </w:t>
      </w:r>
      <w:r w:rsidRPr="00511005">
        <w:rPr>
          <w:rFonts w:ascii="Arial" w:hAnsi="Arial" w:cs="Arial"/>
          <w:i/>
          <w:iCs/>
          <w:szCs w:val="28"/>
          <w:lang w:eastAsia="zh-CN"/>
        </w:rPr>
        <w:t>Юридична наука</w:t>
      </w:r>
      <w:r w:rsidRPr="00511005">
        <w:rPr>
          <w:rFonts w:ascii="Arial" w:hAnsi="Arial" w:cs="Arial"/>
          <w:szCs w:val="28"/>
          <w:lang w:eastAsia="zh-CN"/>
        </w:rPr>
        <w:t xml:space="preserve">. 2020. № </w:t>
      </w:r>
      <w:r w:rsidRPr="00511005">
        <w:rPr>
          <w:rFonts w:ascii="Arial" w:hAnsi="Arial" w:cs="Arial"/>
          <w:szCs w:val="28"/>
          <w:lang w:val="uk-UA" w:eastAsia="zh-CN"/>
        </w:rPr>
        <w:t>3 (105)</w:t>
      </w:r>
      <w:r w:rsidRPr="00511005">
        <w:rPr>
          <w:rFonts w:ascii="Arial" w:hAnsi="Arial" w:cs="Arial"/>
          <w:szCs w:val="28"/>
          <w:lang w:eastAsia="zh-CN"/>
        </w:rPr>
        <w:t xml:space="preserve">. С. </w:t>
      </w:r>
      <w:r w:rsidRPr="00511005">
        <w:rPr>
          <w:rFonts w:ascii="Arial" w:hAnsi="Arial" w:cs="Arial"/>
          <w:szCs w:val="28"/>
          <w:lang w:val="uk-UA" w:eastAsia="zh-CN"/>
        </w:rPr>
        <w:t xml:space="preserve">377-386. </w:t>
      </w:r>
      <w:r w:rsidRPr="00511005">
        <w:rPr>
          <w:rFonts w:ascii="Arial" w:hAnsi="Arial" w:cs="Arial"/>
          <w:szCs w:val="28"/>
          <w:lang w:val="en-US" w:eastAsia="zh-CN"/>
        </w:rPr>
        <w:t>URL</w:t>
      </w:r>
      <w:r w:rsidRPr="00511005">
        <w:rPr>
          <w:rFonts w:ascii="Arial" w:hAnsi="Arial" w:cs="Arial"/>
          <w:szCs w:val="28"/>
          <w:lang w:val="uk-UA" w:eastAsia="zh-CN"/>
        </w:rPr>
        <w:t>:</w:t>
      </w:r>
      <w:r w:rsidRPr="00511005">
        <w:rPr>
          <w:rFonts w:ascii="Arial" w:hAnsi="Arial" w:cs="Arial"/>
          <w:szCs w:val="28"/>
          <w:lang w:val="en-US" w:eastAsia="zh-CN"/>
        </w:rPr>
        <w:t> </w:t>
      </w:r>
      <w:hyperlink r:id="rId2267"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journal</w:t>
        </w:r>
        <w:r w:rsidRPr="00511005">
          <w:rPr>
            <w:rFonts w:ascii="Arial" w:hAnsi="Arial" w:cs="Arial"/>
            <w:szCs w:val="28"/>
            <w:lang w:eastAsia="zh-CN"/>
          </w:rPr>
          <w:t>-</w:t>
        </w:r>
        <w:r w:rsidRPr="00511005">
          <w:rPr>
            <w:rFonts w:ascii="Arial" w:hAnsi="Arial" w:cs="Arial"/>
            <w:szCs w:val="28"/>
            <w:lang w:val="en-US" w:eastAsia="zh-CN"/>
          </w:rPr>
          <w:t>nam</w:t>
        </w:r>
        <w:r w:rsidRPr="00511005">
          <w:rPr>
            <w:rFonts w:ascii="Arial" w:hAnsi="Arial" w:cs="Arial"/>
            <w:szCs w:val="28"/>
            <w:lang w:eastAsia="zh-CN"/>
          </w:rPr>
          <w:t>.</w:t>
        </w:r>
        <w:r w:rsidRPr="00511005">
          <w:rPr>
            <w:rFonts w:ascii="Arial" w:hAnsi="Arial" w:cs="Arial"/>
            <w:szCs w:val="28"/>
            <w:lang w:val="en-US" w:eastAsia="zh-CN"/>
          </w:rPr>
          <w:t>com</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index</w:t>
        </w:r>
        <w:r w:rsidRPr="00511005">
          <w:rPr>
            <w:rFonts w:ascii="Arial" w:hAnsi="Arial" w:cs="Arial"/>
            <w:szCs w:val="28"/>
            <w:lang w:eastAsia="zh-CN"/>
          </w:rPr>
          <w:t>.</w:t>
        </w:r>
        <w:r w:rsidRPr="00511005">
          <w:rPr>
            <w:rFonts w:ascii="Arial" w:hAnsi="Arial" w:cs="Arial"/>
            <w:szCs w:val="28"/>
            <w:lang w:val="en-US" w:eastAsia="zh-CN"/>
          </w:rPr>
          <w:t>php</w:t>
        </w:r>
        <w:r w:rsidRPr="00511005">
          <w:rPr>
            <w:rFonts w:ascii="Arial" w:hAnsi="Arial" w:cs="Arial"/>
            <w:szCs w:val="28"/>
            <w:lang w:eastAsia="zh-CN"/>
          </w:rPr>
          <w:t>/</w:t>
        </w:r>
        <w:r w:rsidRPr="00511005">
          <w:rPr>
            <w:rFonts w:ascii="Arial" w:hAnsi="Arial" w:cs="Arial"/>
            <w:szCs w:val="28"/>
            <w:lang w:val="en-US" w:eastAsia="zh-CN"/>
          </w:rPr>
          <w:t>journal</w:t>
        </w:r>
        <w:r w:rsidRPr="00511005">
          <w:rPr>
            <w:rFonts w:ascii="Arial" w:hAnsi="Arial" w:cs="Arial"/>
            <w:szCs w:val="28"/>
            <w:lang w:eastAsia="zh-CN"/>
          </w:rPr>
          <w:t>/</w:t>
        </w:r>
        <w:r w:rsidRPr="00511005">
          <w:rPr>
            <w:rFonts w:ascii="Arial" w:hAnsi="Arial" w:cs="Arial"/>
            <w:szCs w:val="28"/>
            <w:lang w:val="en-US" w:eastAsia="zh-CN"/>
          </w:rPr>
          <w:t>article</w:t>
        </w:r>
        <w:r w:rsidRPr="00511005">
          <w:rPr>
            <w:rFonts w:ascii="Arial" w:hAnsi="Arial" w:cs="Arial"/>
            <w:szCs w:val="28"/>
            <w:lang w:eastAsia="zh-CN"/>
          </w:rPr>
          <w:t>/</w:t>
        </w:r>
        <w:r w:rsidRPr="00511005">
          <w:rPr>
            <w:rFonts w:ascii="Arial" w:hAnsi="Arial" w:cs="Arial"/>
            <w:szCs w:val="28"/>
            <w:lang w:val="en-US" w:eastAsia="zh-CN"/>
          </w:rPr>
          <w:t>view</w:t>
        </w:r>
        <w:r w:rsidRPr="00511005">
          <w:rPr>
            <w:rFonts w:ascii="Arial" w:hAnsi="Arial" w:cs="Arial"/>
            <w:szCs w:val="28"/>
            <w:lang w:eastAsia="zh-CN"/>
          </w:rPr>
          <w:t>/175</w:t>
        </w:r>
      </w:hyperlink>
      <w:r w:rsidRPr="00511005">
        <w:rPr>
          <w:rFonts w:ascii="Arial" w:hAnsi="Arial" w:cs="Arial"/>
          <w:szCs w:val="28"/>
          <w:lang w:eastAsia="zh-CN"/>
        </w:rPr>
        <w:t>.</w:t>
      </w:r>
      <w:r w:rsidRPr="00511005">
        <w:rPr>
          <w:rFonts w:ascii="Arial" w:hAnsi="Arial" w:cs="Arial"/>
          <w:szCs w:val="28"/>
          <w:lang w:val="uk-UA" w:eastAsia="zh-CN"/>
        </w:rPr>
        <w:t xml:space="preserve"> </w:t>
      </w:r>
    </w:p>
    <w:p w14:paraId="016D3A3B" w14:textId="77777777" w:rsidR="00532C25" w:rsidRPr="00511005" w:rsidRDefault="00532C25" w:rsidP="00532C25">
      <w:pPr>
        <w:spacing w:line="264" w:lineRule="auto"/>
        <w:rPr>
          <w:rFonts w:ascii="Arial" w:hAnsi="Arial" w:cs="Arial"/>
          <w:szCs w:val="28"/>
          <w:lang w:val="uk-UA" w:eastAsia="zh-CN"/>
        </w:rPr>
      </w:pPr>
      <w:r w:rsidRPr="00511005">
        <w:rPr>
          <w:rFonts w:ascii="Arial" w:hAnsi="Arial" w:cs="Arial"/>
          <w:szCs w:val="28"/>
          <w:lang w:val="uk-UA" w:eastAsia="zh-CN"/>
        </w:rPr>
        <w:t>2</w:t>
      </w:r>
      <w:r w:rsidRPr="00511005">
        <w:rPr>
          <w:rFonts w:ascii="Arial" w:hAnsi="Arial" w:cs="Arial"/>
          <w:szCs w:val="28"/>
          <w:lang w:eastAsia="zh-CN"/>
        </w:rPr>
        <w:t xml:space="preserve">. </w:t>
      </w:r>
      <w:r w:rsidRPr="00511005">
        <w:rPr>
          <w:rFonts w:ascii="Arial" w:hAnsi="Arial" w:cs="Arial"/>
          <w:szCs w:val="28"/>
          <w:lang w:val="uk-UA" w:eastAsia="zh-CN"/>
        </w:rPr>
        <w:t xml:space="preserve">Романюк Н. М. Інформаційні війни: ризики та виклики для національної безпеки. </w:t>
      </w:r>
      <w:r w:rsidRPr="00511005">
        <w:rPr>
          <w:rFonts w:ascii="Arial" w:hAnsi="Arial" w:cs="Arial"/>
          <w:i/>
          <w:iCs/>
          <w:szCs w:val="28"/>
          <w:lang w:val="uk-UA" w:eastAsia="zh-CN"/>
        </w:rPr>
        <w:t>матеріали VІІ Міжнар. наук.-практ. конф. ДДУВС</w:t>
      </w:r>
      <w:r w:rsidRPr="00511005">
        <w:rPr>
          <w:rFonts w:ascii="Arial" w:hAnsi="Arial" w:cs="Arial"/>
          <w:szCs w:val="28"/>
          <w:lang w:val="uk-UA" w:eastAsia="zh-CN"/>
        </w:rPr>
        <w:t xml:space="preserve">. 2023. С. 537-539. </w:t>
      </w:r>
      <w:r w:rsidRPr="00511005">
        <w:rPr>
          <w:rFonts w:ascii="Arial" w:hAnsi="Arial" w:cs="Arial"/>
          <w:szCs w:val="28"/>
          <w:lang w:val="en-US" w:eastAsia="zh-CN"/>
        </w:rPr>
        <w:t>URL</w:t>
      </w:r>
      <w:r w:rsidRPr="00511005">
        <w:rPr>
          <w:rFonts w:ascii="Arial" w:hAnsi="Arial" w:cs="Arial"/>
          <w:szCs w:val="28"/>
          <w:lang w:val="uk-UA" w:eastAsia="zh-CN"/>
        </w:rPr>
        <w:t xml:space="preserve">: </w:t>
      </w:r>
      <w:hyperlink r:id="rId2268" w:history="1">
        <w:r w:rsidRPr="00511005">
          <w:rPr>
            <w:rFonts w:ascii="Arial" w:hAnsi="Arial" w:cs="Arial"/>
            <w:szCs w:val="28"/>
            <w:lang w:val="en-US" w:eastAsia="zh-CN"/>
          </w:rPr>
          <w:t>https</w:t>
        </w:r>
        <w:r w:rsidRPr="00511005">
          <w:rPr>
            <w:rFonts w:ascii="Arial" w:hAnsi="Arial" w:cs="Arial"/>
            <w:szCs w:val="28"/>
            <w:lang w:val="uk-UA" w:eastAsia="zh-CN"/>
          </w:rPr>
          <w:t>://</w:t>
        </w:r>
        <w:r w:rsidRPr="00511005">
          <w:rPr>
            <w:rFonts w:ascii="Arial" w:hAnsi="Arial" w:cs="Arial"/>
            <w:szCs w:val="28"/>
            <w:lang w:val="en-US" w:eastAsia="zh-CN"/>
          </w:rPr>
          <w:t>er</w:t>
        </w:r>
        <w:r w:rsidRPr="00511005">
          <w:rPr>
            <w:rFonts w:ascii="Arial" w:hAnsi="Arial" w:cs="Arial"/>
            <w:szCs w:val="28"/>
            <w:lang w:val="uk-UA" w:eastAsia="zh-CN"/>
          </w:rPr>
          <w:t>.</w:t>
        </w:r>
        <w:r w:rsidRPr="00511005">
          <w:rPr>
            <w:rFonts w:ascii="Arial" w:hAnsi="Arial" w:cs="Arial"/>
            <w:szCs w:val="28"/>
            <w:lang w:val="en-US" w:eastAsia="zh-CN"/>
          </w:rPr>
          <w:t>dduvs</w:t>
        </w:r>
        <w:r w:rsidRPr="00511005">
          <w:rPr>
            <w:rFonts w:ascii="Arial" w:hAnsi="Arial" w:cs="Arial"/>
            <w:szCs w:val="28"/>
            <w:lang w:val="uk-UA" w:eastAsia="zh-CN"/>
          </w:rPr>
          <w:t>.</w:t>
        </w:r>
        <w:r w:rsidRPr="00511005">
          <w:rPr>
            <w:rFonts w:ascii="Arial" w:hAnsi="Arial" w:cs="Arial"/>
            <w:szCs w:val="28"/>
            <w:lang w:val="en-US" w:eastAsia="zh-CN"/>
          </w:rPr>
          <w:t>edu</w:t>
        </w:r>
        <w:r w:rsidRPr="00511005">
          <w:rPr>
            <w:rFonts w:ascii="Arial" w:hAnsi="Arial" w:cs="Arial"/>
            <w:szCs w:val="28"/>
            <w:lang w:val="uk-UA" w:eastAsia="zh-CN"/>
          </w:rPr>
          <w:t>.</w:t>
        </w:r>
        <w:r w:rsidRPr="00511005">
          <w:rPr>
            <w:rFonts w:ascii="Arial" w:hAnsi="Arial" w:cs="Arial"/>
            <w:szCs w:val="28"/>
            <w:lang w:val="en-US" w:eastAsia="zh-CN"/>
          </w:rPr>
          <w:t>ua</w:t>
        </w:r>
        <w:r w:rsidRPr="00511005">
          <w:rPr>
            <w:rFonts w:ascii="Arial" w:hAnsi="Arial" w:cs="Arial"/>
            <w:szCs w:val="28"/>
            <w:lang w:val="uk-UA" w:eastAsia="zh-CN"/>
          </w:rPr>
          <w:t>/</w:t>
        </w:r>
        <w:r w:rsidRPr="00511005">
          <w:rPr>
            <w:rFonts w:ascii="Arial" w:hAnsi="Arial" w:cs="Arial"/>
            <w:szCs w:val="28"/>
            <w:lang w:val="en-US" w:eastAsia="zh-CN"/>
          </w:rPr>
          <w:t>handle</w:t>
        </w:r>
        <w:r w:rsidRPr="00511005">
          <w:rPr>
            <w:rFonts w:ascii="Arial" w:hAnsi="Arial" w:cs="Arial"/>
            <w:szCs w:val="28"/>
            <w:lang w:val="uk-UA" w:eastAsia="zh-CN"/>
          </w:rPr>
          <w:t>/123456789/11217</w:t>
        </w:r>
      </w:hyperlink>
      <w:r w:rsidRPr="00511005">
        <w:rPr>
          <w:rFonts w:ascii="Arial" w:hAnsi="Arial" w:cs="Arial"/>
          <w:szCs w:val="28"/>
          <w:lang w:val="uk-UA" w:eastAsia="zh-CN"/>
        </w:rPr>
        <w:t xml:space="preserve">. </w:t>
      </w:r>
    </w:p>
    <w:p w14:paraId="565F88D4" w14:textId="77777777" w:rsidR="00532C25" w:rsidRPr="00511005" w:rsidRDefault="00532C25" w:rsidP="00532C25">
      <w:pPr>
        <w:spacing w:line="264" w:lineRule="auto"/>
        <w:ind w:firstLine="0"/>
        <w:rPr>
          <w:rFonts w:ascii="Arial" w:eastAsia="Arial" w:hAnsi="Arial" w:cs="Arial"/>
          <w:szCs w:val="28"/>
          <w:lang w:val="uk-UA" w:eastAsia="ru-RU"/>
        </w:rPr>
      </w:pPr>
    </w:p>
    <w:p w14:paraId="2A110AFB"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b/>
          <w:i/>
          <w:szCs w:val="28"/>
          <w:lang w:val="uk-UA" w:eastAsia="ru-RU"/>
        </w:rPr>
        <w:t xml:space="preserve">Ключові слова: </w:t>
      </w:r>
      <w:r w:rsidRPr="00511005">
        <w:rPr>
          <w:rFonts w:ascii="Arial" w:eastAsia="Arial" w:hAnsi="Arial" w:cs="Arial"/>
          <w:szCs w:val="28"/>
          <w:lang w:val="uk-UA" w:eastAsia="ru-RU"/>
        </w:rPr>
        <w:t>правовий контроль, законність слідчих дій, судовий контроль, прокурорський нагляд, інформаційна війна, цифрові технології, кіберзагрози, права людини, досудове розслідування.</w:t>
      </w:r>
    </w:p>
    <w:p w14:paraId="6ADEF594" w14:textId="77777777" w:rsidR="00532C25" w:rsidRPr="00511005" w:rsidRDefault="00532C25" w:rsidP="00532C25">
      <w:pPr>
        <w:spacing w:line="264" w:lineRule="auto"/>
        <w:rPr>
          <w:rFonts w:ascii="Arial" w:eastAsia="Arial" w:hAnsi="Arial" w:cs="Arial"/>
          <w:bCs/>
          <w:szCs w:val="28"/>
          <w:lang w:val="uk-UA" w:eastAsia="ru-RU"/>
        </w:rPr>
      </w:pPr>
      <w:r w:rsidRPr="00511005">
        <w:rPr>
          <w:rFonts w:ascii="Arial" w:eastAsia="Arial" w:hAnsi="Arial" w:cs="Arial"/>
          <w:b/>
          <w:i/>
          <w:szCs w:val="28"/>
          <w:lang w:val="en-US" w:eastAsia="ru-RU"/>
        </w:rPr>
        <w:t xml:space="preserve">Key words: </w:t>
      </w:r>
      <w:r w:rsidRPr="00511005">
        <w:rPr>
          <w:rFonts w:ascii="Arial" w:eastAsia="Arial" w:hAnsi="Arial" w:cs="Arial"/>
          <w:bCs/>
          <w:szCs w:val="28"/>
          <w:lang w:val="en-US" w:eastAsia="ru-RU"/>
        </w:rPr>
        <w:t>legal control, legality of investigative actions, judicial control, prosecutorial oversight, information warfare, digital technologies, cyber threats, human rights, pre-trial investigation</w:t>
      </w:r>
      <w:r w:rsidRPr="00511005">
        <w:rPr>
          <w:rFonts w:ascii="Arial" w:eastAsia="Arial" w:hAnsi="Arial" w:cs="Arial"/>
          <w:bCs/>
          <w:szCs w:val="28"/>
          <w:lang w:val="uk-UA" w:eastAsia="ru-RU"/>
        </w:rPr>
        <w:t>.</w:t>
      </w:r>
    </w:p>
    <w:p w14:paraId="06802A07" w14:textId="77777777" w:rsidR="00532C25" w:rsidRPr="00511005" w:rsidRDefault="00532C25" w:rsidP="00532C25">
      <w:pPr>
        <w:spacing w:line="264" w:lineRule="auto"/>
        <w:rPr>
          <w:rFonts w:ascii="Arial" w:eastAsia="Arial" w:hAnsi="Arial" w:cs="Arial"/>
          <w:bCs/>
          <w:i/>
          <w:iCs/>
          <w:szCs w:val="28"/>
          <w:lang w:val="uk-UA" w:eastAsia="ru-RU"/>
        </w:rPr>
      </w:pPr>
      <w:r w:rsidRPr="00511005">
        <w:rPr>
          <w:rFonts w:ascii="Arial" w:eastAsia="Arial" w:hAnsi="Arial" w:cs="Arial"/>
          <w:b/>
          <w:bCs/>
          <w:i/>
          <w:iCs/>
          <w:szCs w:val="28"/>
          <w:lang w:val="uk-UA" w:eastAsia="ru-RU"/>
        </w:rPr>
        <w:t xml:space="preserve">Науковий керівник: </w:t>
      </w:r>
      <w:r w:rsidRPr="00511005">
        <w:rPr>
          <w:rFonts w:ascii="Arial" w:eastAsia="Arial" w:hAnsi="Arial" w:cs="Arial"/>
          <w:bCs/>
          <w:i/>
          <w:iCs/>
          <w:szCs w:val="28"/>
          <w:lang w:val="uk-UA" w:eastAsia="ru-RU"/>
        </w:rPr>
        <w:t>к.ю.н., доцент Мурзановська А. В.</w:t>
      </w:r>
    </w:p>
    <w:p w14:paraId="7DD8FA5F" w14:textId="77777777" w:rsidR="00532C25" w:rsidRPr="00511005" w:rsidRDefault="00532C25" w:rsidP="00532C25">
      <w:pPr>
        <w:spacing w:line="264" w:lineRule="auto"/>
        <w:ind w:left="360" w:firstLine="360"/>
        <w:rPr>
          <w:rFonts w:ascii="Arial" w:eastAsia="Arial" w:hAnsi="Arial" w:cs="Arial"/>
          <w:szCs w:val="28"/>
          <w:lang w:val="uk-UA" w:eastAsia="ru-RU"/>
        </w:rPr>
      </w:pPr>
    </w:p>
    <w:p w14:paraId="080A18AF" w14:textId="77777777" w:rsidR="00532C25" w:rsidRPr="00511005" w:rsidRDefault="00532C25" w:rsidP="00532C25">
      <w:pPr>
        <w:tabs>
          <w:tab w:val="left" w:pos="7088"/>
        </w:tabs>
        <w:spacing w:line="264" w:lineRule="auto"/>
        <w:ind w:firstLine="0"/>
        <w:rPr>
          <w:rFonts w:ascii="Arial" w:eastAsia="Arial" w:hAnsi="Arial" w:cs="Arial"/>
          <w:b/>
          <w:szCs w:val="28"/>
          <w:lang w:val="uk-UA" w:eastAsia="ru-RU" w:bidi="uk-UA"/>
        </w:rPr>
      </w:pPr>
    </w:p>
    <w:p w14:paraId="0661A2F5" w14:textId="77777777" w:rsidR="00532C25" w:rsidRPr="00511005" w:rsidRDefault="00532C25" w:rsidP="00532C25">
      <w:pPr>
        <w:tabs>
          <w:tab w:val="left" w:pos="7088"/>
        </w:tabs>
        <w:spacing w:line="264" w:lineRule="auto"/>
        <w:ind w:firstLine="0"/>
        <w:jc w:val="center"/>
        <w:rPr>
          <w:rFonts w:ascii="Arial" w:eastAsia="Arial" w:hAnsi="Arial" w:cs="Arial"/>
          <w:b/>
          <w:i/>
          <w:iCs/>
          <w:szCs w:val="28"/>
          <w:lang w:val="ru" w:eastAsia="ru-RU" w:bidi="uk-UA"/>
        </w:rPr>
      </w:pPr>
      <w:r w:rsidRPr="00511005">
        <w:rPr>
          <w:rFonts w:ascii="Arial" w:eastAsia="Arial" w:hAnsi="Arial" w:cs="Arial"/>
          <w:b/>
          <w:i/>
          <w:iCs/>
          <w:szCs w:val="28"/>
          <w:lang w:val="ru" w:eastAsia="ru-RU" w:bidi="uk-UA"/>
        </w:rPr>
        <w:t>Петрик Вікторія Василівна, Спринчук Артем Валерійович</w:t>
      </w:r>
    </w:p>
    <w:p w14:paraId="6AB53903"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студенти 1</w:t>
      </w:r>
      <w:r w:rsidRPr="00511005">
        <w:rPr>
          <w:rFonts w:ascii="Arial" w:eastAsia="Times New Roman" w:hAnsi="Arial" w:cs="Arial"/>
          <w:bCs/>
          <w:iCs/>
          <w:szCs w:val="28"/>
          <w:lang w:val="uk-UA" w:eastAsia="ru-RU"/>
        </w:rPr>
        <w:t xml:space="preserve">-го курсу </w:t>
      </w:r>
      <w:r w:rsidRPr="00511005">
        <w:rPr>
          <w:rFonts w:ascii="Arial" w:eastAsia="Arial" w:hAnsi="Arial" w:cs="Arial"/>
          <w:noProof/>
          <w:szCs w:val="28"/>
          <w:lang w:val="ru" w:eastAsia="ru-RU"/>
        </w:rPr>
        <w:t>магістратури</w:t>
      </w:r>
    </w:p>
    <w:p w14:paraId="4559282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0865D72E"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5FCBAFB" w14:textId="77777777" w:rsidR="00532C25" w:rsidRPr="00511005" w:rsidRDefault="00532C25" w:rsidP="00532C25">
      <w:pPr>
        <w:tabs>
          <w:tab w:val="left" w:pos="7088"/>
        </w:tabs>
        <w:spacing w:line="264" w:lineRule="auto"/>
        <w:ind w:firstLine="0"/>
        <w:jc w:val="center"/>
        <w:rPr>
          <w:rFonts w:ascii="Arial" w:eastAsia="Arial" w:hAnsi="Arial" w:cs="Arial"/>
          <w:szCs w:val="28"/>
          <w:lang w:val="ru" w:eastAsia="ru-RU" w:bidi="uk-UA"/>
        </w:rPr>
      </w:pPr>
    </w:p>
    <w:p w14:paraId="0B9DFCAA" w14:textId="77777777" w:rsidR="00532C25" w:rsidRPr="00511005" w:rsidRDefault="00532C25" w:rsidP="00532C25">
      <w:pPr>
        <w:tabs>
          <w:tab w:val="left" w:pos="7088"/>
        </w:tabs>
        <w:spacing w:line="264" w:lineRule="auto"/>
        <w:ind w:firstLine="0"/>
        <w:jc w:val="center"/>
        <w:rPr>
          <w:rFonts w:ascii="Arial" w:eastAsia="Arial" w:hAnsi="Arial" w:cs="Arial"/>
          <w:b/>
          <w:szCs w:val="28"/>
          <w:lang w:val="ru" w:eastAsia="ru-RU" w:bidi="uk-UA"/>
        </w:rPr>
      </w:pPr>
      <w:r w:rsidRPr="00511005">
        <w:rPr>
          <w:rFonts w:ascii="Arial" w:eastAsia="Arial" w:hAnsi="Arial" w:cs="Arial"/>
          <w:b/>
          <w:szCs w:val="28"/>
          <w:lang w:val="ru" w:eastAsia="ru-RU" w:bidi="uk-UA"/>
        </w:rPr>
        <w:t xml:space="preserve">ПРЕД’ЯВЛЕННЯ </w:t>
      </w:r>
      <w:r w:rsidRPr="00511005">
        <w:rPr>
          <w:rFonts w:ascii="Arial" w:eastAsia="Arial" w:hAnsi="Arial" w:cs="Arial"/>
          <w:b/>
          <w:szCs w:val="28"/>
          <w:lang w:val="uk-UA" w:eastAsia="ru-RU" w:bidi="uk-UA"/>
        </w:rPr>
        <w:t xml:space="preserve">ОСОБИ </w:t>
      </w:r>
      <w:r w:rsidRPr="00511005">
        <w:rPr>
          <w:rFonts w:ascii="Arial" w:eastAsia="Arial" w:hAnsi="Arial" w:cs="Arial"/>
          <w:b/>
          <w:szCs w:val="28"/>
          <w:lang w:val="ru" w:eastAsia="ru-RU" w:bidi="uk-UA"/>
        </w:rPr>
        <w:t>ДЛЯ ВПІЗНАННЯ</w:t>
      </w:r>
      <w:r w:rsidRPr="00511005">
        <w:rPr>
          <w:rFonts w:ascii="Arial" w:eastAsia="Arial" w:hAnsi="Arial" w:cs="Arial"/>
          <w:b/>
          <w:szCs w:val="28"/>
          <w:lang w:val="uk-UA" w:eastAsia="ru-RU" w:bidi="uk-UA"/>
        </w:rPr>
        <w:t xml:space="preserve">: </w:t>
      </w:r>
      <w:r w:rsidRPr="00511005">
        <w:rPr>
          <w:rFonts w:ascii="Arial" w:eastAsia="Arial" w:hAnsi="Arial" w:cs="Arial"/>
          <w:b/>
          <w:szCs w:val="28"/>
          <w:lang w:val="ru" w:eastAsia="ru-RU" w:bidi="uk-UA"/>
        </w:rPr>
        <w:t>ПСИХОЛОГІЧНА ДОСТОВІРНІСТЬ ТА ПРАВОВІ РИЗИКИ</w:t>
      </w:r>
    </w:p>
    <w:p w14:paraId="46F2B231"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Пред’явлення особи для впізнання є одн</w:t>
      </w:r>
      <w:r w:rsidRPr="00511005">
        <w:rPr>
          <w:rFonts w:ascii="Arial" w:eastAsia="Arial" w:hAnsi="Arial" w:cs="Arial"/>
          <w:bCs/>
          <w:szCs w:val="28"/>
          <w:lang w:val="uk-UA" w:eastAsia="ru-RU" w:bidi="uk-UA"/>
        </w:rPr>
        <w:t>ією</w:t>
      </w:r>
      <w:r w:rsidRPr="00511005">
        <w:rPr>
          <w:rFonts w:ascii="Arial" w:eastAsia="Arial" w:hAnsi="Arial" w:cs="Arial"/>
          <w:bCs/>
          <w:szCs w:val="28"/>
          <w:lang w:val="ru" w:eastAsia="ru-RU" w:bidi="uk-UA"/>
        </w:rPr>
        <w:t xml:space="preserve"> із слідч</w:t>
      </w:r>
      <w:r w:rsidRPr="00511005">
        <w:rPr>
          <w:rFonts w:ascii="Arial" w:eastAsia="Arial" w:hAnsi="Arial" w:cs="Arial"/>
          <w:bCs/>
          <w:szCs w:val="28"/>
          <w:lang w:val="uk-UA" w:eastAsia="ru-RU" w:bidi="uk-UA"/>
        </w:rPr>
        <w:t>их</w:t>
      </w:r>
      <w:r w:rsidRPr="00511005">
        <w:rPr>
          <w:rFonts w:ascii="Arial" w:eastAsia="Arial" w:hAnsi="Arial" w:cs="Arial"/>
          <w:bCs/>
          <w:szCs w:val="28"/>
          <w:lang w:val="ru" w:eastAsia="ru-RU" w:bidi="uk-UA"/>
        </w:rPr>
        <w:t xml:space="preserve"> (розшуков</w:t>
      </w:r>
      <w:r w:rsidRPr="00511005">
        <w:rPr>
          <w:rFonts w:ascii="Arial" w:eastAsia="Arial" w:hAnsi="Arial" w:cs="Arial"/>
          <w:bCs/>
          <w:szCs w:val="28"/>
          <w:lang w:val="uk-UA" w:eastAsia="ru-RU" w:bidi="uk-UA"/>
        </w:rPr>
        <w:t>их</w:t>
      </w:r>
      <w:r w:rsidRPr="00511005">
        <w:rPr>
          <w:rFonts w:ascii="Arial" w:eastAsia="Arial" w:hAnsi="Arial" w:cs="Arial"/>
          <w:bCs/>
          <w:szCs w:val="28"/>
          <w:lang w:val="ru" w:eastAsia="ru-RU" w:bidi="uk-UA"/>
        </w:rPr>
        <w:t xml:space="preserve">) дій у кримінальному процесі, що спрямована на встановлення особи, яка можливо вчинила кримінальне правопорушення. Попри свою поширеність і усталену практику застосування, ця процедура є надзвичайно складною з точки зору забезпечення як правової чистоти, так і психологічної достовірності. Суть впізнання полягає у порівнянні образу особи, що залишився в пам’яті свідка або потерпілого, з реальною особою. Водночас ефективність цієї процедури залежить не лише від точності пам’яті особи, яка впізнає, а й від способу організації слідчої дії, ступеня її нейтральності, а також від умов, за яких ця пам’ять формувалася. Тому актуальним є глибоке наукове осмислення психологічних чинників, що впливають на </w:t>
      </w:r>
      <w:r w:rsidRPr="00511005">
        <w:rPr>
          <w:rFonts w:ascii="Arial" w:eastAsia="Arial" w:hAnsi="Arial" w:cs="Arial"/>
          <w:bCs/>
          <w:szCs w:val="28"/>
          <w:lang w:val="ru" w:eastAsia="ru-RU" w:bidi="uk-UA"/>
        </w:rPr>
        <w:lastRenderedPageBreak/>
        <w:t>достовірність пред’явлення для впізнання, та правових ризиків, пов’язаних із цією слідчою дією.</w:t>
      </w:r>
    </w:p>
    <w:p w14:paraId="67AAD0A0"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Законодавче регулювання пред’явлення для впізнання в Україні міститься у Кримінальному процесуальному кодексі України</w:t>
      </w:r>
      <w:r w:rsidRPr="00511005">
        <w:rPr>
          <w:rFonts w:ascii="Arial" w:eastAsia="Arial" w:hAnsi="Arial" w:cs="Arial"/>
          <w:bCs/>
          <w:szCs w:val="28"/>
          <w:lang w:val="uk-UA" w:eastAsia="ru-RU" w:bidi="uk-UA"/>
        </w:rPr>
        <w:t xml:space="preserve"> (далі – КПК) </w:t>
      </w:r>
      <w:r w:rsidRPr="00511005">
        <w:rPr>
          <w:rFonts w:ascii="Arial" w:eastAsia="Arial" w:hAnsi="Arial" w:cs="Arial"/>
          <w:bCs/>
          <w:szCs w:val="28"/>
          <w:lang w:val="ru" w:eastAsia="ru-RU" w:bidi="uk-UA"/>
        </w:rPr>
        <w:t>[1]. Ст</w:t>
      </w:r>
      <w:r w:rsidRPr="00511005">
        <w:rPr>
          <w:rFonts w:ascii="Arial" w:eastAsia="Arial" w:hAnsi="Arial" w:cs="Arial"/>
          <w:bCs/>
          <w:szCs w:val="28"/>
          <w:lang w:val="uk-UA" w:eastAsia="ru-RU" w:bidi="uk-UA"/>
        </w:rPr>
        <w:t>.</w:t>
      </w:r>
      <w:r w:rsidRPr="00511005">
        <w:rPr>
          <w:rFonts w:ascii="Arial" w:eastAsia="Arial" w:hAnsi="Arial" w:cs="Arial"/>
          <w:bCs/>
          <w:szCs w:val="28"/>
          <w:lang w:val="ru" w:eastAsia="ru-RU" w:bidi="uk-UA"/>
        </w:rPr>
        <w:t xml:space="preserve"> 228 КПК визначає загальні правила проведення цієї слідчої</w:t>
      </w:r>
      <w:r w:rsidRPr="00511005">
        <w:rPr>
          <w:rFonts w:ascii="Arial" w:eastAsia="Arial" w:hAnsi="Arial" w:cs="Arial"/>
          <w:bCs/>
          <w:szCs w:val="28"/>
          <w:lang w:val="uk-UA" w:eastAsia="ru-RU" w:bidi="uk-UA"/>
        </w:rPr>
        <w:t xml:space="preserve"> (розшукової)</w:t>
      </w:r>
      <w:r w:rsidRPr="00511005">
        <w:rPr>
          <w:rFonts w:ascii="Arial" w:eastAsia="Arial" w:hAnsi="Arial" w:cs="Arial"/>
          <w:bCs/>
          <w:szCs w:val="28"/>
          <w:lang w:val="ru" w:eastAsia="ru-RU" w:bidi="uk-UA"/>
        </w:rPr>
        <w:t xml:space="preserve"> дії. Зокрема, вона встановлює необхідність пред’являти особу для впізнання в присутності щонайменше </w:t>
      </w:r>
      <w:r w:rsidRPr="00511005">
        <w:rPr>
          <w:rFonts w:ascii="Arial" w:eastAsia="Arial" w:hAnsi="Arial" w:cs="Arial"/>
          <w:bCs/>
          <w:szCs w:val="28"/>
          <w:lang w:val="uk-UA" w:eastAsia="ru-RU" w:bidi="uk-UA"/>
        </w:rPr>
        <w:t>трьох</w:t>
      </w:r>
      <w:r w:rsidRPr="00511005">
        <w:rPr>
          <w:rFonts w:ascii="Arial" w:eastAsia="Arial" w:hAnsi="Arial" w:cs="Arial"/>
          <w:bCs/>
          <w:szCs w:val="28"/>
          <w:lang w:val="ru" w:eastAsia="ru-RU" w:bidi="uk-UA"/>
        </w:rPr>
        <w:t xml:space="preserve"> осіб, які не мають різких відмінностей у віці, зовнішності та одязі. Водночас закон не деталізує психологічні особливості впізнання, що створює значний простір для помилок у практиці. У поєднанні з відсутністю спеціальної підготовки осіб, які організовують такі слідчі</w:t>
      </w:r>
      <w:r w:rsidRPr="00511005">
        <w:rPr>
          <w:rFonts w:ascii="Arial" w:eastAsia="Arial" w:hAnsi="Arial" w:cs="Arial"/>
          <w:bCs/>
          <w:szCs w:val="28"/>
          <w:lang w:val="uk-UA" w:eastAsia="ru-RU" w:bidi="uk-UA"/>
        </w:rPr>
        <w:t xml:space="preserve"> (розшукові)</w:t>
      </w:r>
      <w:r w:rsidRPr="00511005">
        <w:rPr>
          <w:rFonts w:ascii="Arial" w:eastAsia="Arial" w:hAnsi="Arial" w:cs="Arial"/>
          <w:bCs/>
          <w:szCs w:val="28"/>
          <w:lang w:val="ru" w:eastAsia="ru-RU" w:bidi="uk-UA"/>
        </w:rPr>
        <w:t xml:space="preserve"> дії, це призводить до порушень прав учасників процесу і ставить під сумнів допустимість одержаних доказів у суді.</w:t>
      </w:r>
    </w:p>
    <w:p w14:paraId="1F126743"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Психологічна достовірність впізнання тісно пов’язана з особливостями функціонування пам’яті людини. Наукові дослідження в галузі когнітивної психології доводять, що пам’ять є конструктивним процесом, схильним до впливу зовнішніх факторів, таких як стрес, тривожність, навіювання, упередження або навіть просто час. У багатьох випадках свідки формують спогади про події під впливом емоційних переживань, що значно знижує точність відтворення образу зловмисника. Крім того, встановлено, що після тривалого часу, який минає між моментом події і моментом впізнання, точність спогадів значно погіршується, що може стати джерелом судової помилки.</w:t>
      </w:r>
    </w:p>
    <w:p w14:paraId="201046B7"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Не менш важливим є питання впливу навідних запитань та очікувань слідчого. Так званий ефект навіювання може неусвідомлено змінювати спогади особи, яка впізнає. Наприклад, якщо особа, яку пред’являють для впізнання, стоїть у центрі групи або якось виокремлена, то в учасника процедури може виникнути помилкове враження, що саме ця особа є злочинцем. Такі ситуації можуть бути підсилені навіть тоном голосу або невербальними сигналами слідчого. В результаті</w:t>
      </w:r>
      <w:r w:rsidRPr="00511005">
        <w:rPr>
          <w:rFonts w:ascii="Arial" w:eastAsia="Arial" w:hAnsi="Arial" w:cs="Arial"/>
          <w:bCs/>
          <w:szCs w:val="28"/>
          <w:lang w:val="uk-UA" w:eastAsia="ru-RU" w:bidi="uk-UA"/>
        </w:rPr>
        <w:t xml:space="preserve"> – </w:t>
      </w:r>
      <w:r w:rsidRPr="00511005">
        <w:rPr>
          <w:rFonts w:ascii="Arial" w:eastAsia="Arial" w:hAnsi="Arial" w:cs="Arial"/>
          <w:bCs/>
          <w:szCs w:val="28"/>
          <w:lang w:val="ru" w:eastAsia="ru-RU" w:bidi="uk-UA"/>
        </w:rPr>
        <w:t>підвищується ризик хибного впізнання, яке може мати фатальні наслідки для підозрюваного.</w:t>
      </w:r>
    </w:p>
    <w:p w14:paraId="2B759800"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Юридична практика</w:t>
      </w:r>
      <w:r w:rsidRPr="00511005">
        <w:rPr>
          <w:rFonts w:ascii="Arial" w:eastAsia="Arial" w:hAnsi="Arial" w:cs="Arial"/>
          <w:bCs/>
          <w:szCs w:val="28"/>
          <w:lang w:val="uk-UA" w:eastAsia="ru-RU" w:bidi="uk-UA"/>
        </w:rPr>
        <w:t xml:space="preserve"> </w:t>
      </w:r>
      <w:r w:rsidRPr="00511005">
        <w:rPr>
          <w:rFonts w:ascii="Arial" w:eastAsia="Arial" w:hAnsi="Arial" w:cs="Arial"/>
          <w:bCs/>
          <w:szCs w:val="28"/>
          <w:lang w:val="ru" w:eastAsia="ru-RU" w:bidi="uk-UA"/>
        </w:rPr>
        <w:t xml:space="preserve">засвідчує численні випадки, коли помилки при впізнанні ставали ключовими підставами для винесення </w:t>
      </w:r>
      <w:r w:rsidRPr="00511005">
        <w:rPr>
          <w:rFonts w:ascii="Arial" w:eastAsia="Arial" w:hAnsi="Arial" w:cs="Arial"/>
          <w:bCs/>
          <w:szCs w:val="28"/>
          <w:lang w:val="uk-UA" w:eastAsia="ru-RU" w:bidi="uk-UA"/>
        </w:rPr>
        <w:t xml:space="preserve">необ’єктивних </w:t>
      </w:r>
      <w:r w:rsidRPr="00511005">
        <w:rPr>
          <w:rFonts w:ascii="Arial" w:eastAsia="Arial" w:hAnsi="Arial" w:cs="Arial"/>
          <w:bCs/>
          <w:szCs w:val="28"/>
          <w:lang w:val="ru" w:eastAsia="ru-RU" w:bidi="uk-UA"/>
        </w:rPr>
        <w:t>вироків.</w:t>
      </w:r>
    </w:p>
    <w:p w14:paraId="5954F058"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uk-UA" w:eastAsia="ru-RU" w:bidi="uk-UA"/>
        </w:rPr>
        <w:t>Так наприклад, у</w:t>
      </w:r>
      <w:r w:rsidRPr="00511005">
        <w:rPr>
          <w:rFonts w:ascii="Arial" w:eastAsia="Arial" w:hAnsi="Arial" w:cs="Arial"/>
          <w:bCs/>
          <w:szCs w:val="28"/>
          <w:lang w:val="ru" w:eastAsia="ru-RU" w:bidi="uk-UA"/>
        </w:rPr>
        <w:t xml:space="preserve"> вироку Орджонікідзевського міського суду Дніпропетровської області від 29 березня 2021 року у справі № 184/500/18 [2] суд визнав недопустимим доказом протокол пред’явлення особи для впізнання, оскільки слідча дія була проведена з порушенням встановленого порядку, що призвело до істотного порушення прав обвинуваченого. Зокрема, суд встановив, що під час проведення впізнання 13 грудня 2017 року потерпілий мав можливість безпосередньо спостерігати за особами, які пред’являлися для впізнання, включаючи обвинуваченого. Це суперечить вимогам кримінального процесуального законодавства, яке передбачає </w:t>
      </w:r>
      <w:r w:rsidRPr="00511005">
        <w:rPr>
          <w:rFonts w:ascii="Arial" w:eastAsia="Arial" w:hAnsi="Arial" w:cs="Arial"/>
          <w:bCs/>
          <w:szCs w:val="28"/>
          <w:lang w:val="ru" w:eastAsia="ru-RU" w:bidi="uk-UA"/>
        </w:rPr>
        <w:lastRenderedPageBreak/>
        <w:t>проведення впізнання таким чином, щоб уникнути впливу на особу що проводить впізнання та забезпечити об'єктивність процедури. Суд зазначив, що така організація слідчої</w:t>
      </w:r>
      <w:r w:rsidRPr="00511005">
        <w:rPr>
          <w:rFonts w:ascii="Arial" w:eastAsia="Arial" w:hAnsi="Arial" w:cs="Arial"/>
          <w:bCs/>
          <w:szCs w:val="28"/>
          <w:lang w:val="uk-UA" w:eastAsia="ru-RU" w:bidi="uk-UA"/>
        </w:rPr>
        <w:t xml:space="preserve"> (розшукової)</w:t>
      </w:r>
      <w:r w:rsidRPr="00511005">
        <w:rPr>
          <w:rFonts w:ascii="Arial" w:eastAsia="Arial" w:hAnsi="Arial" w:cs="Arial"/>
          <w:bCs/>
          <w:szCs w:val="28"/>
          <w:lang w:val="ru" w:eastAsia="ru-RU" w:bidi="uk-UA"/>
        </w:rPr>
        <w:t xml:space="preserve"> дії порушила право обвинуваченого на захист</w:t>
      </w:r>
      <w:r w:rsidRPr="00511005">
        <w:rPr>
          <w:rFonts w:ascii="Arial" w:eastAsia="Arial" w:hAnsi="Arial" w:cs="Arial"/>
          <w:bCs/>
          <w:szCs w:val="28"/>
          <w:lang w:val="uk-UA" w:eastAsia="ru-RU" w:bidi="uk-UA"/>
        </w:rPr>
        <w:t xml:space="preserve">. </w:t>
      </w:r>
      <w:r w:rsidRPr="00511005">
        <w:rPr>
          <w:rFonts w:ascii="Arial" w:eastAsia="Arial" w:hAnsi="Arial" w:cs="Arial"/>
          <w:bCs/>
          <w:szCs w:val="28"/>
          <w:lang w:val="ru" w:eastAsia="ru-RU" w:bidi="uk-UA"/>
        </w:rPr>
        <w:t>Цей випадок ілюструє важливість дотримання процесуальних норм при проведенні впізнання, оскільки порушення встановленого порядку може призвести до визнання отриманих доказів недопустимими та вплинути на обґрунтованість вироку.</w:t>
      </w:r>
    </w:p>
    <w:p w14:paraId="2A955096"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 xml:space="preserve">Міжнародний досвід, зокрема практика Європейського суду з прав людини, свідчить про підвищену увагу до процесуальних гарантій при проведенні впізнання. </w:t>
      </w:r>
    </w:p>
    <w:p w14:paraId="3D41648E"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 xml:space="preserve">У справі </w:t>
      </w:r>
      <w:r w:rsidRPr="00511005">
        <w:rPr>
          <w:rFonts w:ascii="Arial" w:eastAsia="Arial" w:hAnsi="Arial" w:cs="Arial"/>
          <w:bCs/>
          <w:szCs w:val="28"/>
          <w:lang w:val="uk-UA" w:eastAsia="ru-RU" w:bidi="uk-UA"/>
        </w:rPr>
        <w:t>«</w:t>
      </w:r>
      <w:r w:rsidRPr="00511005">
        <w:rPr>
          <w:rFonts w:ascii="Arial" w:eastAsia="Arial" w:hAnsi="Arial" w:cs="Arial"/>
          <w:bCs/>
          <w:szCs w:val="28"/>
          <w:lang w:val="ru" w:eastAsia="ru-RU" w:bidi="uk-UA"/>
        </w:rPr>
        <w:t>Джулай проти України</w:t>
      </w:r>
      <w:r w:rsidRPr="00511005">
        <w:rPr>
          <w:rFonts w:ascii="Arial" w:eastAsia="Arial" w:hAnsi="Arial" w:cs="Arial"/>
          <w:bCs/>
          <w:szCs w:val="28"/>
          <w:lang w:val="uk-UA" w:eastAsia="ru-RU" w:bidi="uk-UA"/>
        </w:rPr>
        <w:t xml:space="preserve">» </w:t>
      </w:r>
      <w:r w:rsidRPr="00511005">
        <w:rPr>
          <w:rFonts w:ascii="Arial" w:eastAsia="Arial" w:hAnsi="Arial" w:cs="Arial"/>
          <w:bCs/>
          <w:szCs w:val="28"/>
          <w:lang w:val="ru" w:eastAsia="ru-RU" w:bidi="uk-UA"/>
        </w:rPr>
        <w:t>(</w:t>
      </w:r>
      <w:r w:rsidRPr="00511005">
        <w:rPr>
          <w:rFonts w:ascii="Arial" w:eastAsia="Arial" w:hAnsi="Arial" w:cs="Arial"/>
          <w:bCs/>
          <w:i/>
          <w:iCs/>
          <w:szCs w:val="28"/>
          <w:lang w:val="ru" w:eastAsia="ru-RU" w:bidi="uk-UA"/>
        </w:rPr>
        <w:t>Julay v. Ukraine</w:t>
      </w:r>
      <w:r w:rsidRPr="00511005">
        <w:rPr>
          <w:rFonts w:ascii="Arial" w:eastAsia="Arial" w:hAnsi="Arial" w:cs="Arial"/>
          <w:bCs/>
          <w:szCs w:val="28"/>
          <w:lang w:val="ru" w:eastAsia="ru-RU" w:bidi="uk-UA"/>
        </w:rPr>
        <w:t>, заява № 24439/06) [3] Європейський суд з прав людини дійшов висновку, що під час кримінального провадження проти заявника мали місце порушення процесуальних гарантій, передбачених статтею 6 Конвенції про захист прав людини і основоположних свобод, яка гарантує право на справедливий суд. Одним із ключових аспектів справи стало порушення процедури впізнання особи, що суттєво вплинуло на загальну оцінку справедливості судового розгляду.</w:t>
      </w:r>
    </w:p>
    <w:p w14:paraId="10BB822A"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Особливу увагу необхідно приділяти захисту прав осіб, які можуть бути помилково впізнані як підозрювані. З огляду на це, слідчі органи мають суворо дотримуватись процесуальних норм і уникати створення ситуацій, що можуть бути інтерпретовані як тиск на особу, яка впізнає [4</w:t>
      </w:r>
      <w:r w:rsidRPr="00511005">
        <w:rPr>
          <w:rFonts w:ascii="Arial" w:eastAsia="Arial" w:hAnsi="Arial" w:cs="Arial"/>
          <w:bCs/>
          <w:szCs w:val="28"/>
          <w:lang w:val="uk-UA" w:eastAsia="ru-RU" w:bidi="uk-UA"/>
        </w:rPr>
        <w:t>, с. 1</w:t>
      </w:r>
      <w:r w:rsidRPr="00511005">
        <w:rPr>
          <w:rFonts w:ascii="Arial" w:eastAsia="Arial" w:hAnsi="Arial" w:cs="Arial"/>
          <w:bCs/>
          <w:szCs w:val="28"/>
          <w:lang w:val="ru" w:eastAsia="ru-RU" w:bidi="uk-UA"/>
        </w:rPr>
        <w:t>20]. Правова держава не може собі дозволити побудову обвинувачення на основі сумнівних і ненадійних доказів, зокрема таких, як впізнання, здійснене в умовах психологічного або процесуального тиску. Системне порушення цих норм здатне підірвати довіру суспільства до правосуддя та створити прецеденти, що суперечать міжнародним стандартам.</w:t>
      </w:r>
    </w:p>
    <w:p w14:paraId="047D524A"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 xml:space="preserve">Важливо також відзначити, що психологічна достовірність впізнання залежить не тільки від свідка, а й від організації самої процедури. Використання </w:t>
      </w:r>
      <w:r w:rsidRPr="00511005">
        <w:rPr>
          <w:rFonts w:ascii="Arial" w:eastAsia="Arial" w:hAnsi="Arial" w:cs="Arial"/>
          <w:bCs/>
          <w:szCs w:val="28"/>
          <w:lang w:val="uk-UA" w:eastAsia="ru-RU" w:bidi="uk-UA"/>
        </w:rPr>
        <w:t>«</w:t>
      </w:r>
      <w:r w:rsidRPr="00511005">
        <w:rPr>
          <w:rFonts w:ascii="Arial" w:eastAsia="Arial" w:hAnsi="Arial" w:cs="Arial"/>
          <w:bCs/>
          <w:szCs w:val="28"/>
          <w:lang w:val="ru" w:eastAsia="ru-RU" w:bidi="uk-UA"/>
        </w:rPr>
        <w:t>сліпого</w:t>
      </w:r>
      <w:r w:rsidRPr="00511005">
        <w:rPr>
          <w:rFonts w:ascii="Arial" w:eastAsia="Arial" w:hAnsi="Arial" w:cs="Arial"/>
          <w:bCs/>
          <w:szCs w:val="28"/>
          <w:lang w:val="uk-UA" w:eastAsia="ru-RU" w:bidi="uk-UA"/>
        </w:rPr>
        <w:t>»</w:t>
      </w:r>
      <w:r w:rsidRPr="00511005">
        <w:rPr>
          <w:rFonts w:ascii="Arial" w:eastAsia="Arial" w:hAnsi="Arial" w:cs="Arial"/>
          <w:bCs/>
          <w:szCs w:val="28"/>
          <w:lang w:val="ru" w:eastAsia="ru-RU" w:bidi="uk-UA"/>
        </w:rPr>
        <w:t xml:space="preserve"> методу, коли особа, яка проводить впізнання, не знає, хто саме є підозрюваним, значно знижує ризик навіювання і помилок. У країнах з розвиненою системою кримінального правосуддя ця практика стала стандартом. В Україні її застосування поки що є епізодичним, що зумовлює потребу у впровадженні відповідних методичних рекомендацій та уніфікованих протоколів слідчих (розшукових) дій.</w:t>
      </w:r>
    </w:p>
    <w:p w14:paraId="56CA89DE"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 xml:space="preserve">Ще одним ризиком, пов’язаним із впізнанням, є можливість формування штучних спогадів або реконструкцій подій. Коли свідок декілька разів переглядає фото- чи відеоматеріали, це може призвести до того, що запам’ятовується саме зображення з матеріалів справи, а не реальний образ злочинця. Такий феномен особливо характерний для тривалих досудових процесів. Він ще раз підтверджує, наскільки важливо проводити </w:t>
      </w:r>
      <w:r w:rsidRPr="00511005">
        <w:rPr>
          <w:rFonts w:ascii="Arial" w:eastAsia="Arial" w:hAnsi="Arial" w:cs="Arial"/>
          <w:bCs/>
          <w:szCs w:val="28"/>
          <w:lang w:val="ru" w:eastAsia="ru-RU" w:bidi="uk-UA"/>
        </w:rPr>
        <w:lastRenderedPageBreak/>
        <w:t>впізнання якомога швидше після події і в умовах, що виключають зовнішній вплив.</w:t>
      </w:r>
    </w:p>
    <w:p w14:paraId="3317F133"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Крім того, сучасні технології дають нові можливості, але й породжують нові ризики. Застосування відеофіксації та цифрових засобів ідентифікації осіб має потенціал підвищити об’єктивність процесу, але вимагає чіткого правового регулювання. Недостатність таких норм у законодавстві України створює прогалини, які можуть бути використані як на користь, так і проти підозрюваних чи свідків [5</w:t>
      </w:r>
      <w:r w:rsidRPr="00511005">
        <w:rPr>
          <w:rFonts w:ascii="Arial" w:eastAsia="Arial" w:hAnsi="Arial" w:cs="Arial"/>
          <w:bCs/>
          <w:szCs w:val="28"/>
          <w:lang w:val="uk-UA" w:eastAsia="ru-RU" w:bidi="uk-UA"/>
        </w:rPr>
        <w:t>, с. 159</w:t>
      </w:r>
      <w:r w:rsidRPr="00511005">
        <w:rPr>
          <w:rFonts w:ascii="Arial" w:eastAsia="Arial" w:hAnsi="Arial" w:cs="Arial"/>
          <w:bCs/>
          <w:szCs w:val="28"/>
          <w:lang w:val="ru" w:eastAsia="ru-RU" w:bidi="uk-UA"/>
        </w:rPr>
        <w:t>]</w:t>
      </w:r>
      <w:r w:rsidRPr="00511005">
        <w:rPr>
          <w:rFonts w:ascii="Arial" w:eastAsia="Arial" w:hAnsi="Arial" w:cs="Arial"/>
          <w:bCs/>
          <w:szCs w:val="28"/>
          <w:lang w:val="uk-UA" w:eastAsia="ru-RU" w:bidi="uk-UA"/>
        </w:rPr>
        <w:t xml:space="preserve">. </w:t>
      </w:r>
      <w:r w:rsidRPr="00511005">
        <w:rPr>
          <w:rFonts w:ascii="Arial" w:eastAsia="Arial" w:hAnsi="Arial" w:cs="Arial"/>
          <w:bCs/>
          <w:szCs w:val="28"/>
          <w:lang w:val="ru" w:eastAsia="ru-RU" w:bidi="uk-UA"/>
        </w:rPr>
        <w:t>Наприклад, питання допустимості цифрових реконструкцій обличчя на основі штучного інтелекту ще не врегульоване належним чином, хоча такі технології вже активно застосовуються в інших країнах.</w:t>
      </w:r>
    </w:p>
    <w:p w14:paraId="388D0C6B"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Для зменшення правових ризиків і підвищення психологічної достовірності пред’явлення для впізнання необхідно здійснити низку заходів. Насамперед ідеться про навчання слідчих та оперативних працівників основам когнітивної психології, а також про створення єдиної методологічної бази проведення слідчих дій. Законодавче забезпечення цієї сфери має бути більш деталізованим, щоб мінімізувати суб’єктивізм і правові зловживання. Водночас доцільним є запровадження інституційної форми контролю за дотриманням прав людини при проведенні впізнання, зокрема шляхом участі адвоката або незалежного спостерігача.</w:t>
      </w:r>
    </w:p>
    <w:p w14:paraId="16222503"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r w:rsidRPr="00511005">
        <w:rPr>
          <w:rFonts w:ascii="Arial" w:eastAsia="Arial" w:hAnsi="Arial" w:cs="Arial"/>
          <w:bCs/>
          <w:szCs w:val="28"/>
          <w:lang w:val="ru" w:eastAsia="ru-RU" w:bidi="uk-UA"/>
        </w:rPr>
        <w:t xml:space="preserve">У підсумку варто зазначити, що процедура пред’явлення для впізнання є важливим елементом кримінального процесу, який, однак, потребує системного удосконалення з огляду на наявні психологічні й правові виклики. Дотримання принципів законності, об’єктивності та недопущення дискримінації має бути фундаментом для удосконалення цього інструменту. Лише </w:t>
      </w:r>
      <w:proofErr w:type="gramStart"/>
      <w:r w:rsidRPr="00511005">
        <w:rPr>
          <w:rFonts w:ascii="Arial" w:eastAsia="Arial" w:hAnsi="Arial" w:cs="Arial"/>
          <w:bCs/>
          <w:szCs w:val="28"/>
          <w:lang w:val="ru" w:eastAsia="ru-RU" w:bidi="uk-UA"/>
        </w:rPr>
        <w:t>за умов</w:t>
      </w:r>
      <w:proofErr w:type="gramEnd"/>
      <w:r w:rsidRPr="00511005">
        <w:rPr>
          <w:rFonts w:ascii="Arial" w:eastAsia="Arial" w:hAnsi="Arial" w:cs="Arial"/>
          <w:bCs/>
          <w:szCs w:val="28"/>
          <w:lang w:val="ru" w:eastAsia="ru-RU" w:bidi="uk-UA"/>
        </w:rPr>
        <w:t xml:space="preserve"> належного правового та методичного забезпечення можна досягти балансу між інтересами правосуддя і захистом прав людини, що, у свою чергу, є запорукою справедливого судового розгляду.</w:t>
      </w:r>
    </w:p>
    <w:p w14:paraId="36F2AA26" w14:textId="77777777" w:rsidR="00532C25" w:rsidRPr="00511005" w:rsidRDefault="00532C25" w:rsidP="00532C25">
      <w:pPr>
        <w:tabs>
          <w:tab w:val="left" w:pos="7088"/>
        </w:tabs>
        <w:spacing w:line="264" w:lineRule="auto"/>
        <w:rPr>
          <w:rFonts w:ascii="Arial" w:eastAsia="Arial" w:hAnsi="Arial" w:cs="Arial"/>
          <w:bCs/>
          <w:szCs w:val="28"/>
          <w:lang w:val="ru" w:eastAsia="ru-RU" w:bidi="uk-UA"/>
        </w:rPr>
      </w:pPr>
    </w:p>
    <w:p w14:paraId="16764747" w14:textId="77777777" w:rsidR="00532C25" w:rsidRPr="00511005" w:rsidRDefault="00532C25" w:rsidP="00532C25">
      <w:pPr>
        <w:tabs>
          <w:tab w:val="left" w:pos="7088"/>
        </w:tabs>
        <w:spacing w:line="264" w:lineRule="auto"/>
        <w:jc w:val="center"/>
        <w:rPr>
          <w:rFonts w:ascii="Arial" w:eastAsia="Arial" w:hAnsi="Arial" w:cs="Arial"/>
          <w:b/>
          <w:szCs w:val="28"/>
          <w:lang w:val="uk-UA" w:eastAsia="ru-RU" w:bidi="uk-UA"/>
        </w:rPr>
      </w:pPr>
      <w:r w:rsidRPr="00511005">
        <w:rPr>
          <w:rFonts w:ascii="Arial" w:eastAsia="Arial" w:hAnsi="Arial" w:cs="Arial"/>
          <w:b/>
          <w:szCs w:val="28"/>
          <w:lang w:val="uk-UA" w:eastAsia="ru-RU" w:bidi="uk-UA"/>
        </w:rPr>
        <w:t>Список використаних джерел</w:t>
      </w:r>
    </w:p>
    <w:p w14:paraId="52992F9B" w14:textId="77777777" w:rsidR="00532C25" w:rsidRPr="00511005" w:rsidRDefault="00532C25" w:rsidP="00532C25">
      <w:pPr>
        <w:widowControl w:val="0"/>
        <w:tabs>
          <w:tab w:val="left" w:pos="993"/>
          <w:tab w:val="left" w:pos="7088"/>
        </w:tabs>
        <w:autoSpaceDE w:val="0"/>
        <w:autoSpaceDN w:val="0"/>
        <w:adjustRightInd w:val="0"/>
        <w:spacing w:line="264" w:lineRule="auto"/>
        <w:ind w:firstLine="0"/>
        <w:rPr>
          <w:rFonts w:ascii="Arial" w:eastAsia="Arial" w:hAnsi="Arial" w:cs="Arial"/>
          <w:bCs/>
          <w:szCs w:val="28"/>
          <w:lang w:val="uk-UA" w:eastAsia="ru-RU" w:bidi="uk-UA"/>
        </w:rPr>
      </w:pPr>
      <w:r w:rsidRPr="00511005">
        <w:rPr>
          <w:rFonts w:ascii="Arial" w:eastAsia="Arial" w:hAnsi="Arial" w:cs="Arial"/>
          <w:bCs/>
          <w:szCs w:val="28"/>
          <w:lang w:val="uk-UA" w:eastAsia="ru-RU" w:bidi="uk-UA"/>
        </w:rPr>
        <w:t xml:space="preserve">1. </w:t>
      </w:r>
      <w:r w:rsidRPr="00511005">
        <w:rPr>
          <w:rFonts w:ascii="Arial" w:eastAsia="Arial" w:hAnsi="Arial" w:cs="Arial"/>
          <w:bCs/>
          <w:szCs w:val="28"/>
          <w:lang w:val="ru" w:eastAsia="ru-RU" w:bidi="uk-UA"/>
        </w:rPr>
        <w:t>Кримінальний процесуальний кодекс України</w:t>
      </w:r>
      <w:r w:rsidRPr="00511005">
        <w:rPr>
          <w:rFonts w:ascii="Arial" w:eastAsia="Arial" w:hAnsi="Arial" w:cs="Arial"/>
          <w:bCs/>
          <w:szCs w:val="28"/>
          <w:lang w:val="uk-UA" w:eastAsia="ru-RU" w:bidi="uk-UA"/>
        </w:rPr>
        <w:t xml:space="preserve"> </w:t>
      </w:r>
      <w:r w:rsidRPr="00511005">
        <w:rPr>
          <w:rFonts w:ascii="Arial" w:eastAsia="Arial" w:hAnsi="Arial" w:cs="Arial"/>
          <w:bCs/>
          <w:szCs w:val="28"/>
          <w:lang w:val="ru" w:eastAsia="ru-RU" w:bidi="uk-UA"/>
        </w:rPr>
        <w:t xml:space="preserve">від 13.04.2012 № 4651-VI. URL: </w:t>
      </w:r>
      <w:hyperlink r:id="rId2269" w:history="1">
        <w:r w:rsidRPr="00511005">
          <w:rPr>
            <w:rFonts w:ascii="Arial" w:eastAsia="Arial" w:hAnsi="Arial" w:cs="Arial"/>
            <w:szCs w:val="28"/>
            <w:lang w:val="ru" w:eastAsia="ru-RU" w:bidi="uk-UA"/>
          </w:rPr>
          <w:t>https://zakon.rada.gov.ua/laws/show/4651-17</w:t>
        </w:r>
      </w:hyperlink>
      <w:r w:rsidRPr="00511005">
        <w:rPr>
          <w:rFonts w:ascii="Arial" w:eastAsia="Arial" w:hAnsi="Arial" w:cs="Arial"/>
          <w:bCs/>
          <w:szCs w:val="28"/>
          <w:lang w:val="uk-UA" w:eastAsia="ru-RU" w:bidi="uk-UA"/>
        </w:rPr>
        <w:t xml:space="preserve"> </w:t>
      </w:r>
    </w:p>
    <w:p w14:paraId="59C42BB8" w14:textId="77777777" w:rsidR="00532C25" w:rsidRPr="00511005" w:rsidRDefault="00532C25" w:rsidP="00532C25">
      <w:pPr>
        <w:widowControl w:val="0"/>
        <w:tabs>
          <w:tab w:val="left" w:pos="993"/>
          <w:tab w:val="left" w:pos="7088"/>
        </w:tabs>
        <w:autoSpaceDE w:val="0"/>
        <w:autoSpaceDN w:val="0"/>
        <w:adjustRightInd w:val="0"/>
        <w:spacing w:line="264" w:lineRule="auto"/>
        <w:ind w:firstLine="0"/>
        <w:rPr>
          <w:rFonts w:ascii="Arial" w:eastAsia="Arial" w:hAnsi="Arial" w:cs="Arial"/>
          <w:bCs/>
          <w:szCs w:val="28"/>
          <w:lang w:val="uk-UA" w:eastAsia="ru-RU" w:bidi="uk-UA"/>
        </w:rPr>
      </w:pPr>
      <w:r w:rsidRPr="00511005">
        <w:rPr>
          <w:rFonts w:ascii="Arial" w:eastAsia="Arial" w:hAnsi="Arial" w:cs="Arial"/>
          <w:bCs/>
          <w:szCs w:val="28"/>
          <w:lang w:val="uk-UA" w:eastAsia="ru-RU" w:bidi="uk-UA"/>
        </w:rPr>
        <w:t xml:space="preserve">2. Вирок Орджонікідзевського міського суду Дніпропетровської області від 29.03.2021 у справі № 184/500/18 </w:t>
      </w:r>
      <w:r w:rsidRPr="00511005">
        <w:rPr>
          <w:rFonts w:ascii="Arial" w:eastAsia="Arial" w:hAnsi="Arial" w:cs="Arial"/>
          <w:bCs/>
          <w:szCs w:val="28"/>
          <w:lang w:val="ru" w:eastAsia="ru-RU" w:bidi="uk-UA"/>
        </w:rPr>
        <w:t>URL</w:t>
      </w:r>
      <w:r w:rsidRPr="00511005">
        <w:rPr>
          <w:rFonts w:ascii="Arial" w:eastAsia="Arial" w:hAnsi="Arial" w:cs="Arial"/>
          <w:bCs/>
          <w:szCs w:val="28"/>
          <w:lang w:val="uk-UA" w:eastAsia="ru-RU" w:bidi="uk-UA"/>
        </w:rPr>
        <w:t>:</w:t>
      </w:r>
      <w:r w:rsidRPr="00511005">
        <w:rPr>
          <w:rFonts w:ascii="Arial" w:eastAsia="Arial" w:hAnsi="Arial" w:cs="Arial"/>
          <w:szCs w:val="28"/>
          <w:lang w:val="uk-UA" w:eastAsia="ru-RU"/>
        </w:rPr>
        <w:t xml:space="preserve"> </w:t>
      </w:r>
      <w:hyperlink r:id="rId2270" w:history="1">
        <w:r w:rsidRPr="00511005">
          <w:rPr>
            <w:rFonts w:ascii="Arial" w:eastAsia="Arial" w:hAnsi="Arial" w:cs="Arial"/>
            <w:szCs w:val="28"/>
            <w:lang w:val="ru" w:eastAsia="ru-RU" w:bidi="uk-UA"/>
          </w:rPr>
          <w:t>https://youcontrol.com.ua/catalog/court-document/95889523/</w:t>
        </w:r>
      </w:hyperlink>
      <w:r w:rsidRPr="00511005">
        <w:rPr>
          <w:rFonts w:ascii="Arial" w:eastAsia="Arial" w:hAnsi="Arial" w:cs="Arial"/>
          <w:bCs/>
          <w:szCs w:val="28"/>
          <w:lang w:val="uk-UA" w:eastAsia="ru-RU" w:bidi="uk-UA"/>
        </w:rPr>
        <w:t>.</w:t>
      </w:r>
    </w:p>
    <w:p w14:paraId="55CE0696" w14:textId="77777777" w:rsidR="00532C25" w:rsidRPr="00511005" w:rsidRDefault="00532C25" w:rsidP="00532C25">
      <w:pPr>
        <w:widowControl w:val="0"/>
        <w:tabs>
          <w:tab w:val="left" w:pos="993"/>
          <w:tab w:val="left" w:pos="7088"/>
        </w:tabs>
        <w:autoSpaceDE w:val="0"/>
        <w:autoSpaceDN w:val="0"/>
        <w:adjustRightInd w:val="0"/>
        <w:spacing w:line="264" w:lineRule="auto"/>
        <w:ind w:firstLine="0"/>
        <w:rPr>
          <w:rFonts w:ascii="Arial" w:eastAsia="Arial" w:hAnsi="Arial" w:cs="Arial"/>
          <w:bCs/>
          <w:szCs w:val="28"/>
          <w:lang w:val="uk-UA" w:eastAsia="ru-RU" w:bidi="uk-UA"/>
        </w:rPr>
      </w:pPr>
      <w:r w:rsidRPr="00511005">
        <w:rPr>
          <w:rFonts w:ascii="Arial" w:eastAsia="Arial" w:hAnsi="Arial" w:cs="Arial"/>
          <w:bCs/>
          <w:szCs w:val="28"/>
          <w:lang w:val="uk-UA" w:eastAsia="ru-RU" w:bidi="uk-UA"/>
        </w:rPr>
        <w:t>3. Рішення Європейського Суду з прав людини у справі Джулай проти України (</w:t>
      </w:r>
      <w:r w:rsidRPr="00511005">
        <w:rPr>
          <w:rFonts w:ascii="Arial" w:eastAsia="Arial" w:hAnsi="Arial" w:cs="Arial"/>
          <w:bCs/>
          <w:i/>
          <w:iCs/>
          <w:szCs w:val="28"/>
          <w:lang w:val="ru" w:eastAsia="ru-RU" w:bidi="uk-UA"/>
        </w:rPr>
        <w:t>Julay</w:t>
      </w:r>
      <w:r w:rsidRPr="00511005">
        <w:rPr>
          <w:rFonts w:ascii="Arial" w:eastAsia="Arial" w:hAnsi="Arial" w:cs="Arial"/>
          <w:bCs/>
          <w:i/>
          <w:iCs/>
          <w:szCs w:val="28"/>
          <w:lang w:val="uk-UA" w:eastAsia="ru-RU" w:bidi="uk-UA"/>
        </w:rPr>
        <w:t xml:space="preserve"> </w:t>
      </w:r>
      <w:r w:rsidRPr="00511005">
        <w:rPr>
          <w:rFonts w:ascii="Arial" w:eastAsia="Arial" w:hAnsi="Arial" w:cs="Arial"/>
          <w:bCs/>
          <w:i/>
          <w:iCs/>
          <w:szCs w:val="28"/>
          <w:lang w:val="ru" w:eastAsia="ru-RU" w:bidi="uk-UA"/>
        </w:rPr>
        <w:t>vs</w:t>
      </w:r>
      <w:r w:rsidRPr="00511005">
        <w:rPr>
          <w:rFonts w:ascii="Arial" w:eastAsia="Arial" w:hAnsi="Arial" w:cs="Arial"/>
          <w:bCs/>
          <w:i/>
          <w:iCs/>
          <w:szCs w:val="28"/>
          <w:lang w:val="uk-UA" w:eastAsia="ru-RU" w:bidi="uk-UA"/>
        </w:rPr>
        <w:t xml:space="preserve">. </w:t>
      </w:r>
      <w:r w:rsidRPr="00511005">
        <w:rPr>
          <w:rFonts w:ascii="Arial" w:eastAsia="Arial" w:hAnsi="Arial" w:cs="Arial"/>
          <w:bCs/>
          <w:i/>
          <w:iCs/>
          <w:szCs w:val="28"/>
          <w:lang w:val="ru" w:eastAsia="ru-RU" w:bidi="uk-UA"/>
        </w:rPr>
        <w:t>Ukraine</w:t>
      </w:r>
      <w:r w:rsidRPr="00511005">
        <w:rPr>
          <w:rFonts w:ascii="Arial" w:eastAsia="Arial" w:hAnsi="Arial" w:cs="Arial"/>
          <w:bCs/>
          <w:i/>
          <w:iCs/>
          <w:szCs w:val="28"/>
          <w:lang w:val="uk-UA" w:eastAsia="ru-RU" w:bidi="uk-UA"/>
        </w:rPr>
        <w:t>.</w:t>
      </w:r>
      <w:r w:rsidRPr="00511005">
        <w:rPr>
          <w:rFonts w:ascii="Arial" w:eastAsia="Arial" w:hAnsi="Arial" w:cs="Arial"/>
          <w:bCs/>
          <w:szCs w:val="28"/>
          <w:lang w:val="uk-UA" w:eastAsia="ru-RU" w:bidi="uk-UA"/>
        </w:rPr>
        <w:t xml:space="preserve"> Заява № 24439/06) від 03.06.2014 р. </w:t>
      </w:r>
      <w:r w:rsidRPr="00511005">
        <w:rPr>
          <w:rFonts w:ascii="Arial" w:eastAsia="Arial" w:hAnsi="Arial" w:cs="Arial"/>
          <w:bCs/>
          <w:szCs w:val="28"/>
          <w:lang w:val="ru" w:eastAsia="ru-RU" w:bidi="uk-UA"/>
        </w:rPr>
        <w:t>URL</w:t>
      </w:r>
      <w:r w:rsidRPr="00511005">
        <w:rPr>
          <w:rFonts w:ascii="Arial" w:eastAsia="Arial" w:hAnsi="Arial" w:cs="Arial"/>
          <w:bCs/>
          <w:szCs w:val="28"/>
          <w:lang w:val="uk-UA" w:eastAsia="ru-RU" w:bidi="uk-UA"/>
        </w:rPr>
        <w:t xml:space="preserve">: </w:t>
      </w:r>
      <w:hyperlink r:id="rId2271" w:anchor="Text" w:history="1">
        <w:r w:rsidRPr="00511005">
          <w:rPr>
            <w:rFonts w:ascii="Arial" w:eastAsia="Arial" w:hAnsi="Arial" w:cs="Arial"/>
            <w:szCs w:val="28"/>
            <w:lang w:val="ru" w:eastAsia="ru-RU" w:bidi="uk-UA"/>
          </w:rPr>
          <w:t>https</w:t>
        </w:r>
        <w:r w:rsidRPr="00511005">
          <w:rPr>
            <w:rFonts w:ascii="Arial" w:eastAsia="Arial" w:hAnsi="Arial" w:cs="Arial"/>
            <w:szCs w:val="28"/>
            <w:lang w:val="uk-UA" w:eastAsia="ru-RU" w:bidi="uk-UA"/>
          </w:rPr>
          <w:t>://</w:t>
        </w:r>
        <w:r w:rsidRPr="00511005">
          <w:rPr>
            <w:rFonts w:ascii="Arial" w:eastAsia="Arial" w:hAnsi="Arial" w:cs="Arial"/>
            <w:szCs w:val="28"/>
            <w:lang w:val="ru" w:eastAsia="ru-RU" w:bidi="uk-UA"/>
          </w:rPr>
          <w:t>zakon</w:t>
        </w:r>
        <w:r w:rsidRPr="00511005">
          <w:rPr>
            <w:rFonts w:ascii="Arial" w:eastAsia="Arial" w:hAnsi="Arial" w:cs="Arial"/>
            <w:szCs w:val="28"/>
            <w:lang w:val="uk-UA" w:eastAsia="ru-RU" w:bidi="uk-UA"/>
          </w:rPr>
          <w:t>.</w:t>
        </w:r>
        <w:r w:rsidRPr="00511005">
          <w:rPr>
            <w:rFonts w:ascii="Arial" w:eastAsia="Arial" w:hAnsi="Arial" w:cs="Arial"/>
            <w:szCs w:val="28"/>
            <w:lang w:val="ru" w:eastAsia="ru-RU" w:bidi="uk-UA"/>
          </w:rPr>
          <w:t>rada</w:t>
        </w:r>
        <w:r w:rsidRPr="00511005">
          <w:rPr>
            <w:rFonts w:ascii="Arial" w:eastAsia="Arial" w:hAnsi="Arial" w:cs="Arial"/>
            <w:szCs w:val="28"/>
            <w:lang w:val="uk-UA" w:eastAsia="ru-RU" w:bidi="uk-UA"/>
          </w:rPr>
          <w:t>.</w:t>
        </w:r>
        <w:r w:rsidRPr="00511005">
          <w:rPr>
            <w:rFonts w:ascii="Arial" w:eastAsia="Arial" w:hAnsi="Arial" w:cs="Arial"/>
            <w:szCs w:val="28"/>
            <w:lang w:val="ru" w:eastAsia="ru-RU" w:bidi="uk-UA"/>
          </w:rPr>
          <w:t>gov</w:t>
        </w:r>
        <w:r w:rsidRPr="00511005">
          <w:rPr>
            <w:rFonts w:ascii="Arial" w:eastAsia="Arial" w:hAnsi="Arial" w:cs="Arial"/>
            <w:szCs w:val="28"/>
            <w:lang w:val="uk-UA" w:eastAsia="ru-RU" w:bidi="uk-UA"/>
          </w:rPr>
          <w:t>.</w:t>
        </w:r>
        <w:r w:rsidRPr="00511005">
          <w:rPr>
            <w:rFonts w:ascii="Arial" w:eastAsia="Arial" w:hAnsi="Arial" w:cs="Arial"/>
            <w:szCs w:val="28"/>
            <w:lang w:val="ru" w:eastAsia="ru-RU" w:bidi="uk-UA"/>
          </w:rPr>
          <w:t>ua</w:t>
        </w:r>
        <w:r w:rsidRPr="00511005">
          <w:rPr>
            <w:rFonts w:ascii="Arial" w:eastAsia="Arial" w:hAnsi="Arial" w:cs="Arial"/>
            <w:szCs w:val="28"/>
            <w:lang w:val="uk-UA" w:eastAsia="ru-RU" w:bidi="uk-UA"/>
          </w:rPr>
          <w:t>/</w:t>
        </w:r>
        <w:r w:rsidRPr="00511005">
          <w:rPr>
            <w:rFonts w:ascii="Arial" w:eastAsia="Arial" w:hAnsi="Arial" w:cs="Arial"/>
            <w:szCs w:val="28"/>
            <w:lang w:val="ru" w:eastAsia="ru-RU" w:bidi="uk-UA"/>
          </w:rPr>
          <w:t>laws</w:t>
        </w:r>
        <w:r w:rsidRPr="00511005">
          <w:rPr>
            <w:rFonts w:ascii="Arial" w:eastAsia="Arial" w:hAnsi="Arial" w:cs="Arial"/>
            <w:szCs w:val="28"/>
            <w:lang w:val="uk-UA" w:eastAsia="ru-RU" w:bidi="uk-UA"/>
          </w:rPr>
          <w:t>/</w:t>
        </w:r>
        <w:r w:rsidRPr="00511005">
          <w:rPr>
            <w:rFonts w:ascii="Arial" w:eastAsia="Arial" w:hAnsi="Arial" w:cs="Arial"/>
            <w:szCs w:val="28"/>
            <w:lang w:val="ru" w:eastAsia="ru-RU" w:bidi="uk-UA"/>
          </w:rPr>
          <w:t>show</w:t>
        </w:r>
        <w:r w:rsidRPr="00511005">
          <w:rPr>
            <w:rFonts w:ascii="Arial" w:eastAsia="Arial" w:hAnsi="Arial" w:cs="Arial"/>
            <w:szCs w:val="28"/>
            <w:lang w:val="uk-UA" w:eastAsia="ru-RU" w:bidi="uk-UA"/>
          </w:rPr>
          <w:t>/974_</w:t>
        </w:r>
        <w:r w:rsidRPr="00511005">
          <w:rPr>
            <w:rFonts w:ascii="Arial" w:eastAsia="Arial" w:hAnsi="Arial" w:cs="Arial"/>
            <w:szCs w:val="28"/>
            <w:lang w:val="ru" w:eastAsia="ru-RU" w:bidi="uk-UA"/>
          </w:rPr>
          <w:t>a</w:t>
        </w:r>
        <w:r w:rsidRPr="00511005">
          <w:rPr>
            <w:rFonts w:ascii="Arial" w:eastAsia="Arial" w:hAnsi="Arial" w:cs="Arial"/>
            <w:szCs w:val="28"/>
            <w:lang w:val="uk-UA" w:eastAsia="ru-RU" w:bidi="uk-UA"/>
          </w:rPr>
          <w:t>12#</w:t>
        </w:r>
        <w:r w:rsidRPr="00511005">
          <w:rPr>
            <w:rFonts w:ascii="Arial" w:eastAsia="Arial" w:hAnsi="Arial" w:cs="Arial"/>
            <w:szCs w:val="28"/>
            <w:lang w:val="ru" w:eastAsia="ru-RU" w:bidi="uk-UA"/>
          </w:rPr>
          <w:t>Text</w:t>
        </w:r>
      </w:hyperlink>
      <w:r w:rsidRPr="00511005">
        <w:rPr>
          <w:rFonts w:ascii="Arial" w:eastAsia="Arial" w:hAnsi="Arial" w:cs="Arial"/>
          <w:bCs/>
          <w:szCs w:val="28"/>
          <w:lang w:val="uk-UA" w:eastAsia="ru-RU" w:bidi="uk-UA"/>
        </w:rPr>
        <w:t>.</w:t>
      </w:r>
    </w:p>
    <w:p w14:paraId="5BDF930A" w14:textId="77777777" w:rsidR="00532C25" w:rsidRPr="00511005" w:rsidRDefault="00532C25" w:rsidP="00532C25">
      <w:pPr>
        <w:widowControl w:val="0"/>
        <w:tabs>
          <w:tab w:val="left" w:pos="993"/>
          <w:tab w:val="left" w:pos="7088"/>
        </w:tabs>
        <w:autoSpaceDE w:val="0"/>
        <w:autoSpaceDN w:val="0"/>
        <w:adjustRightInd w:val="0"/>
        <w:spacing w:line="264" w:lineRule="auto"/>
        <w:ind w:firstLine="0"/>
        <w:rPr>
          <w:rFonts w:ascii="Arial" w:eastAsia="Arial" w:hAnsi="Arial" w:cs="Arial"/>
          <w:szCs w:val="28"/>
          <w:shd w:val="clear" w:color="auto" w:fill="FFFFFF"/>
          <w:lang w:val="uk-UA" w:eastAsia="ru-RU"/>
        </w:rPr>
      </w:pPr>
      <w:r w:rsidRPr="00511005">
        <w:rPr>
          <w:rFonts w:ascii="Arial" w:eastAsia="Arial" w:hAnsi="Arial" w:cs="Arial"/>
          <w:bCs/>
          <w:szCs w:val="28"/>
          <w:lang w:val="uk-UA" w:eastAsia="ru-RU" w:bidi="uk-UA"/>
        </w:rPr>
        <w:t xml:space="preserve">4. </w:t>
      </w:r>
      <w:r w:rsidRPr="00511005">
        <w:rPr>
          <w:rFonts w:ascii="Arial" w:eastAsia="Arial" w:hAnsi="Arial" w:cs="Arial"/>
          <w:szCs w:val="28"/>
          <w:shd w:val="clear" w:color="auto" w:fill="FFFFFF"/>
          <w:lang w:val="ru" w:eastAsia="ru-RU"/>
        </w:rPr>
        <w:t>Нирка</w:t>
      </w:r>
      <w:r w:rsidRPr="00511005">
        <w:rPr>
          <w:rFonts w:ascii="Arial" w:eastAsia="Arial" w:hAnsi="Arial" w:cs="Arial"/>
          <w:szCs w:val="28"/>
          <w:shd w:val="clear" w:color="auto" w:fill="FFFFFF"/>
          <w:lang w:val="uk-UA" w:eastAsia="ru-RU"/>
        </w:rPr>
        <w:t> </w:t>
      </w:r>
      <w:r w:rsidRPr="00511005">
        <w:rPr>
          <w:rFonts w:ascii="Arial" w:eastAsia="Arial" w:hAnsi="Arial" w:cs="Arial"/>
          <w:szCs w:val="28"/>
          <w:shd w:val="clear" w:color="auto" w:fill="FFFFFF"/>
          <w:lang w:val="ru" w:eastAsia="ru-RU"/>
        </w:rPr>
        <w:t>Є</w:t>
      </w:r>
      <w:r w:rsidRPr="00511005">
        <w:rPr>
          <w:rFonts w:ascii="Arial" w:eastAsia="Arial" w:hAnsi="Arial" w:cs="Arial"/>
          <w:szCs w:val="28"/>
          <w:shd w:val="clear" w:color="auto" w:fill="FFFFFF"/>
          <w:lang w:val="uk-UA" w:eastAsia="ru-RU"/>
        </w:rPr>
        <w:t>. </w:t>
      </w:r>
      <w:r w:rsidRPr="00511005">
        <w:rPr>
          <w:rFonts w:ascii="Arial" w:eastAsia="Arial" w:hAnsi="Arial" w:cs="Arial"/>
          <w:szCs w:val="28"/>
          <w:shd w:val="clear" w:color="auto" w:fill="FFFFFF"/>
          <w:lang w:val="ru" w:eastAsia="ru-RU"/>
        </w:rPr>
        <w:t>О</w:t>
      </w:r>
      <w:r w:rsidRPr="00511005">
        <w:rPr>
          <w:rFonts w:ascii="Arial" w:eastAsia="Arial" w:hAnsi="Arial" w:cs="Arial"/>
          <w:szCs w:val="28"/>
          <w:shd w:val="clear" w:color="auto" w:fill="FFFFFF"/>
          <w:lang w:val="uk-UA" w:eastAsia="ru-RU"/>
        </w:rPr>
        <w:t xml:space="preserve">. </w:t>
      </w:r>
      <w:r w:rsidRPr="00511005">
        <w:rPr>
          <w:rFonts w:ascii="Arial" w:eastAsia="Arial" w:hAnsi="Arial" w:cs="Arial"/>
          <w:szCs w:val="28"/>
          <w:shd w:val="clear" w:color="auto" w:fill="FFFFFF"/>
          <w:lang w:val="ru" w:eastAsia="ru-RU"/>
        </w:rPr>
        <w:t>Теоретичне обґрунтування підстав та умов пред’явлення для впізнання у кримінальному провадженні.</w:t>
      </w:r>
      <w:r w:rsidRPr="00511005">
        <w:rPr>
          <w:rFonts w:ascii="Arial" w:eastAsia="Arial" w:hAnsi="Arial" w:cs="Arial"/>
          <w:szCs w:val="28"/>
          <w:shd w:val="clear" w:color="auto" w:fill="FFFFFF"/>
          <w:lang w:val="uk-UA" w:eastAsia="ru-RU"/>
        </w:rPr>
        <w:t xml:space="preserve"> </w:t>
      </w:r>
      <w:r w:rsidRPr="00511005">
        <w:rPr>
          <w:rFonts w:ascii="Arial" w:eastAsia="Arial" w:hAnsi="Arial" w:cs="Arial"/>
          <w:i/>
          <w:iCs/>
          <w:szCs w:val="28"/>
          <w:shd w:val="clear" w:color="auto" w:fill="FFFFFF"/>
          <w:lang w:val="ru" w:eastAsia="ru-RU"/>
        </w:rPr>
        <w:t>Правовий часопис Донбасу</w:t>
      </w:r>
      <w:r w:rsidRPr="00511005">
        <w:rPr>
          <w:rFonts w:ascii="Arial" w:eastAsia="Arial" w:hAnsi="Arial" w:cs="Arial"/>
          <w:szCs w:val="28"/>
          <w:shd w:val="clear" w:color="auto" w:fill="FFFFFF"/>
          <w:lang w:val="uk-UA" w:eastAsia="ru-RU"/>
        </w:rPr>
        <w:t xml:space="preserve">. </w:t>
      </w:r>
      <w:r w:rsidRPr="00511005">
        <w:rPr>
          <w:rFonts w:ascii="Arial" w:eastAsia="Arial" w:hAnsi="Arial" w:cs="Arial"/>
          <w:szCs w:val="28"/>
          <w:shd w:val="clear" w:color="auto" w:fill="FFFFFF"/>
          <w:lang w:val="ru" w:eastAsia="ru-RU"/>
        </w:rPr>
        <w:t>2022</w:t>
      </w:r>
      <w:r w:rsidRPr="00511005">
        <w:rPr>
          <w:rFonts w:ascii="Arial" w:eastAsia="Arial" w:hAnsi="Arial" w:cs="Arial"/>
          <w:szCs w:val="28"/>
          <w:shd w:val="clear" w:color="auto" w:fill="FFFFFF"/>
          <w:lang w:val="uk-UA" w:eastAsia="ru-RU"/>
        </w:rPr>
        <w:t xml:space="preserve">. № 4 (81) ч. 2. С. </w:t>
      </w:r>
      <w:r w:rsidRPr="00511005">
        <w:rPr>
          <w:rFonts w:ascii="Arial" w:eastAsia="Arial" w:hAnsi="Arial" w:cs="Arial"/>
          <w:szCs w:val="28"/>
          <w:shd w:val="clear" w:color="auto" w:fill="FFFFFF"/>
          <w:lang w:val="ru" w:eastAsia="ru-RU"/>
        </w:rPr>
        <w:t>118-122.</w:t>
      </w:r>
      <w:r w:rsidRPr="00511005">
        <w:rPr>
          <w:rFonts w:ascii="Arial" w:eastAsia="Arial" w:hAnsi="Arial" w:cs="Arial"/>
          <w:szCs w:val="28"/>
          <w:shd w:val="clear" w:color="auto" w:fill="FFFFFF"/>
          <w:lang w:val="uk-UA" w:eastAsia="ru-RU"/>
        </w:rPr>
        <w:t xml:space="preserve"> </w:t>
      </w:r>
      <w:r w:rsidRPr="00511005">
        <w:rPr>
          <w:rFonts w:ascii="Arial" w:eastAsia="Arial" w:hAnsi="Arial" w:cs="Arial"/>
          <w:szCs w:val="28"/>
          <w:lang w:val="en-US" w:eastAsia="ru-RU"/>
        </w:rPr>
        <w:t>DOI</w:t>
      </w:r>
      <w:r w:rsidRPr="00511005">
        <w:rPr>
          <w:rFonts w:ascii="Arial" w:eastAsia="Arial" w:hAnsi="Arial" w:cs="Arial"/>
          <w:szCs w:val="28"/>
          <w:lang w:val="ru" w:eastAsia="ru-RU"/>
        </w:rPr>
        <w:t xml:space="preserve"> </w:t>
      </w:r>
      <w:r w:rsidRPr="00511005">
        <w:rPr>
          <w:rFonts w:ascii="Arial" w:eastAsia="Arial" w:hAnsi="Arial" w:cs="Arial"/>
          <w:szCs w:val="28"/>
          <w:lang w:val="en-US" w:eastAsia="ru-RU"/>
        </w:rPr>
        <w:t>https</w:t>
      </w:r>
      <w:r w:rsidRPr="00511005">
        <w:rPr>
          <w:rFonts w:ascii="Arial" w:eastAsia="Arial" w:hAnsi="Arial" w:cs="Arial"/>
          <w:szCs w:val="28"/>
          <w:lang w:val="ru" w:eastAsia="ru-RU"/>
        </w:rPr>
        <w:t>://</w:t>
      </w:r>
      <w:r w:rsidRPr="00511005">
        <w:rPr>
          <w:rFonts w:ascii="Arial" w:eastAsia="Arial" w:hAnsi="Arial" w:cs="Arial"/>
          <w:szCs w:val="28"/>
          <w:lang w:val="en-US" w:eastAsia="ru-RU"/>
        </w:rPr>
        <w:t>doi</w:t>
      </w:r>
      <w:r w:rsidRPr="00511005">
        <w:rPr>
          <w:rFonts w:ascii="Arial" w:eastAsia="Arial" w:hAnsi="Arial" w:cs="Arial"/>
          <w:szCs w:val="28"/>
          <w:lang w:val="ru" w:eastAsia="ru-RU"/>
        </w:rPr>
        <w:t>.</w:t>
      </w:r>
      <w:r w:rsidRPr="00511005">
        <w:rPr>
          <w:rFonts w:ascii="Arial" w:eastAsia="Arial" w:hAnsi="Arial" w:cs="Arial"/>
          <w:szCs w:val="28"/>
          <w:lang w:val="en-US" w:eastAsia="ru-RU"/>
        </w:rPr>
        <w:t>org</w:t>
      </w:r>
      <w:r w:rsidRPr="00511005">
        <w:rPr>
          <w:rFonts w:ascii="Arial" w:eastAsia="Arial" w:hAnsi="Arial" w:cs="Arial"/>
          <w:szCs w:val="28"/>
          <w:lang w:val="ru" w:eastAsia="ru-RU"/>
        </w:rPr>
        <w:t xml:space="preserve">/10.32782/2523-4269-2022-81-4-2-118-122 </w:t>
      </w:r>
      <w:r w:rsidRPr="00511005">
        <w:rPr>
          <w:rFonts w:ascii="Arial" w:eastAsia="Arial" w:hAnsi="Arial" w:cs="Arial"/>
          <w:szCs w:val="28"/>
          <w:shd w:val="clear" w:color="auto" w:fill="FFFFFF"/>
          <w:lang w:val="en-US" w:eastAsia="ru-RU"/>
        </w:rPr>
        <w:t>URL</w:t>
      </w:r>
      <w:r w:rsidRPr="00511005">
        <w:rPr>
          <w:rFonts w:ascii="Arial" w:eastAsia="Arial" w:hAnsi="Arial" w:cs="Arial"/>
          <w:szCs w:val="28"/>
          <w:shd w:val="clear" w:color="auto" w:fill="FFFFFF"/>
          <w:lang w:val="ru" w:eastAsia="ru-RU"/>
        </w:rPr>
        <w:t xml:space="preserve">: </w:t>
      </w:r>
      <w:hyperlink r:id="rId2272" w:history="1">
        <w:r w:rsidRPr="00511005">
          <w:rPr>
            <w:rFonts w:ascii="Arial" w:eastAsia="Arial" w:hAnsi="Arial" w:cs="Arial"/>
            <w:szCs w:val="28"/>
            <w:shd w:val="clear" w:color="auto" w:fill="FFFFFF"/>
            <w:lang w:val="en-US" w:eastAsia="ru-RU"/>
          </w:rPr>
          <w:t>https</w:t>
        </w:r>
        <w:r w:rsidRPr="00511005">
          <w:rPr>
            <w:rFonts w:ascii="Arial" w:eastAsia="Arial" w:hAnsi="Arial" w:cs="Arial"/>
            <w:szCs w:val="28"/>
            <w:shd w:val="clear" w:color="auto" w:fill="FFFFFF"/>
            <w:lang w:val="ru" w:eastAsia="ru-RU"/>
          </w:rPr>
          <w:t>://</w:t>
        </w:r>
        <w:r w:rsidRPr="00511005">
          <w:rPr>
            <w:rFonts w:ascii="Arial" w:eastAsia="Arial" w:hAnsi="Arial" w:cs="Arial"/>
            <w:szCs w:val="28"/>
            <w:shd w:val="clear" w:color="auto" w:fill="FFFFFF"/>
            <w:lang w:val="en-US" w:eastAsia="ru-RU"/>
          </w:rPr>
          <w:t>surl</w:t>
        </w:r>
        <w:r w:rsidRPr="00511005">
          <w:rPr>
            <w:rFonts w:ascii="Arial" w:eastAsia="Arial" w:hAnsi="Arial" w:cs="Arial"/>
            <w:szCs w:val="28"/>
            <w:shd w:val="clear" w:color="auto" w:fill="FFFFFF"/>
            <w:lang w:val="ru" w:eastAsia="ru-RU"/>
          </w:rPr>
          <w:t>.</w:t>
        </w:r>
        <w:r w:rsidRPr="00511005">
          <w:rPr>
            <w:rFonts w:ascii="Arial" w:eastAsia="Arial" w:hAnsi="Arial" w:cs="Arial"/>
            <w:szCs w:val="28"/>
            <w:shd w:val="clear" w:color="auto" w:fill="FFFFFF"/>
            <w:lang w:val="en-US" w:eastAsia="ru-RU"/>
          </w:rPr>
          <w:t>li</w:t>
        </w:r>
        <w:r w:rsidRPr="00511005">
          <w:rPr>
            <w:rFonts w:ascii="Arial" w:eastAsia="Arial" w:hAnsi="Arial" w:cs="Arial"/>
            <w:szCs w:val="28"/>
            <w:shd w:val="clear" w:color="auto" w:fill="FFFFFF"/>
            <w:lang w:val="ru" w:eastAsia="ru-RU"/>
          </w:rPr>
          <w:t>/</w:t>
        </w:r>
        <w:r w:rsidRPr="00511005">
          <w:rPr>
            <w:rFonts w:ascii="Arial" w:eastAsia="Arial" w:hAnsi="Arial" w:cs="Arial"/>
            <w:szCs w:val="28"/>
            <w:shd w:val="clear" w:color="auto" w:fill="FFFFFF"/>
            <w:lang w:val="en-US" w:eastAsia="ru-RU"/>
          </w:rPr>
          <w:t>wnvcps</w:t>
        </w:r>
      </w:hyperlink>
      <w:r w:rsidRPr="00511005">
        <w:rPr>
          <w:rFonts w:ascii="Arial" w:eastAsia="Arial" w:hAnsi="Arial" w:cs="Arial"/>
          <w:szCs w:val="28"/>
          <w:shd w:val="clear" w:color="auto" w:fill="FFFFFF"/>
          <w:lang w:val="uk-UA" w:eastAsia="ru-RU"/>
        </w:rPr>
        <w:t>.</w:t>
      </w:r>
    </w:p>
    <w:p w14:paraId="2B18CBB6" w14:textId="77777777" w:rsidR="00532C25" w:rsidRPr="00511005" w:rsidRDefault="00532C25" w:rsidP="00532C25">
      <w:pPr>
        <w:widowControl w:val="0"/>
        <w:tabs>
          <w:tab w:val="left" w:pos="993"/>
          <w:tab w:val="left" w:pos="7088"/>
        </w:tabs>
        <w:autoSpaceDE w:val="0"/>
        <w:autoSpaceDN w:val="0"/>
        <w:adjustRightInd w:val="0"/>
        <w:spacing w:line="264" w:lineRule="auto"/>
        <w:ind w:firstLine="0"/>
        <w:rPr>
          <w:rFonts w:ascii="Arial" w:eastAsia="Arial" w:hAnsi="Arial" w:cs="Arial"/>
          <w:bCs/>
          <w:szCs w:val="28"/>
          <w:lang w:val="uk-UA" w:eastAsia="ru-RU" w:bidi="uk-UA"/>
        </w:rPr>
      </w:pPr>
      <w:r w:rsidRPr="00511005">
        <w:rPr>
          <w:rFonts w:ascii="Arial" w:eastAsia="Arial" w:hAnsi="Arial" w:cs="Arial"/>
          <w:szCs w:val="28"/>
          <w:shd w:val="clear" w:color="auto" w:fill="FFFFFF"/>
          <w:lang w:val="uk-UA" w:eastAsia="ru-RU"/>
        </w:rPr>
        <w:lastRenderedPageBreak/>
        <w:t xml:space="preserve">5. </w:t>
      </w:r>
      <w:r w:rsidRPr="00511005">
        <w:rPr>
          <w:rFonts w:ascii="Arial" w:eastAsia="Arial" w:hAnsi="Arial" w:cs="Arial"/>
          <w:bCs/>
          <w:szCs w:val="28"/>
          <w:lang w:val="ru" w:eastAsia="ru-RU" w:bidi="uk-UA"/>
        </w:rPr>
        <w:t>Мамульчик</w:t>
      </w:r>
      <w:r w:rsidRPr="00511005">
        <w:rPr>
          <w:rFonts w:ascii="Arial" w:eastAsia="Arial" w:hAnsi="Arial" w:cs="Arial"/>
          <w:bCs/>
          <w:szCs w:val="28"/>
          <w:lang w:val="uk-UA" w:eastAsia="ru-RU" w:bidi="uk-UA"/>
        </w:rPr>
        <w:t xml:space="preserve"> А. А. П</w:t>
      </w:r>
      <w:r w:rsidRPr="00511005">
        <w:rPr>
          <w:rFonts w:ascii="Arial" w:eastAsia="Arial" w:hAnsi="Arial" w:cs="Arial"/>
          <w:bCs/>
          <w:szCs w:val="28"/>
          <w:lang w:val="ru" w:eastAsia="ru-RU" w:bidi="uk-UA"/>
        </w:rPr>
        <w:t>ред’явлення для впізнання: характеристика та особливості проведення.</w:t>
      </w:r>
      <w:r w:rsidRPr="00511005">
        <w:rPr>
          <w:rFonts w:ascii="Arial" w:eastAsia="Arial" w:hAnsi="Arial" w:cs="Arial"/>
          <w:bCs/>
          <w:szCs w:val="28"/>
          <w:lang w:val="uk-UA" w:eastAsia="ru-RU" w:bidi="uk-UA"/>
        </w:rPr>
        <w:t xml:space="preserve"> </w:t>
      </w:r>
      <w:r w:rsidRPr="00511005">
        <w:rPr>
          <w:rFonts w:ascii="Arial" w:eastAsia="Arial" w:hAnsi="Arial" w:cs="Arial"/>
          <w:iCs/>
          <w:szCs w:val="28"/>
          <w:lang w:val="ru" w:eastAsia="ru-RU"/>
        </w:rPr>
        <w:t xml:space="preserve">Кримінальне судочинство: сучасний стан та перспективи </w:t>
      </w:r>
      <w:r w:rsidRPr="00511005">
        <w:rPr>
          <w:rFonts w:ascii="Arial" w:eastAsia="Arial" w:hAnsi="Arial" w:cs="Arial"/>
          <w:iCs/>
          <w:position w:val="-2"/>
          <w:szCs w:val="28"/>
          <w:lang w:val="ru" w:eastAsia="ru-RU"/>
        </w:rPr>
        <w:t xml:space="preserve">К823 </w:t>
      </w:r>
      <w:r w:rsidRPr="00511005">
        <w:rPr>
          <w:rFonts w:ascii="Arial" w:eastAsia="Arial" w:hAnsi="Arial" w:cs="Arial"/>
          <w:iCs/>
          <w:szCs w:val="28"/>
          <w:lang w:val="ru" w:eastAsia="ru-RU"/>
        </w:rPr>
        <w:t>розвитку: матеріали міжвідом. наук.-практ. конф. (Київ, 28 квіт. 2023 р.)</w:t>
      </w:r>
      <w:r w:rsidRPr="00511005">
        <w:rPr>
          <w:rFonts w:ascii="Arial" w:eastAsia="Arial" w:hAnsi="Arial" w:cs="Arial"/>
          <w:szCs w:val="28"/>
          <w:lang w:val="ru" w:eastAsia="ru-RU"/>
        </w:rPr>
        <w:t>.</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 xml:space="preserve">Київ: </w:t>
      </w:r>
      <w:r w:rsidRPr="00511005">
        <w:rPr>
          <w:rFonts w:ascii="Arial" w:eastAsia="Arial" w:hAnsi="Arial" w:cs="Arial"/>
          <w:i/>
          <w:szCs w:val="28"/>
          <w:lang w:val="ru" w:eastAsia="ru-RU"/>
        </w:rPr>
        <w:t>Нац. акад. внутр.</w:t>
      </w:r>
      <w:r w:rsidRPr="00511005">
        <w:rPr>
          <w:rFonts w:ascii="Arial" w:eastAsia="Arial" w:hAnsi="Arial" w:cs="Arial"/>
          <w:i/>
          <w:szCs w:val="28"/>
          <w:lang w:val="uk-UA" w:eastAsia="ru-RU"/>
        </w:rPr>
        <w:t xml:space="preserve"> справ</w:t>
      </w:r>
      <w:r w:rsidRPr="00511005">
        <w:rPr>
          <w:rFonts w:ascii="Arial" w:eastAsia="Arial" w:hAnsi="Arial" w:cs="Arial"/>
          <w:szCs w:val="28"/>
          <w:lang w:val="uk-UA" w:eastAsia="ru-RU"/>
        </w:rPr>
        <w:t>,</w:t>
      </w:r>
      <w:r w:rsidRPr="00511005">
        <w:rPr>
          <w:rFonts w:ascii="Arial" w:eastAsia="Arial" w:hAnsi="Arial" w:cs="Arial"/>
          <w:szCs w:val="28"/>
          <w:lang w:val="ru" w:eastAsia="ru-RU"/>
        </w:rPr>
        <w:t xml:space="preserve"> </w:t>
      </w:r>
      <w:r w:rsidRPr="00511005">
        <w:rPr>
          <w:rFonts w:ascii="Arial" w:eastAsia="Arial" w:hAnsi="Arial" w:cs="Arial"/>
          <w:bCs/>
          <w:szCs w:val="28"/>
          <w:lang w:val="ru" w:eastAsia="ru-RU" w:bidi="uk-UA"/>
        </w:rPr>
        <w:t>2023.</w:t>
      </w:r>
      <w:r w:rsidRPr="00511005">
        <w:rPr>
          <w:rFonts w:ascii="Arial" w:eastAsia="Arial" w:hAnsi="Arial" w:cs="Arial"/>
          <w:bCs/>
          <w:szCs w:val="28"/>
          <w:lang w:val="uk-UA" w:eastAsia="ru-RU" w:bidi="uk-UA"/>
        </w:rPr>
        <w:t xml:space="preserve"> 336 с. С. 158-160. </w:t>
      </w:r>
      <w:r w:rsidRPr="00511005">
        <w:rPr>
          <w:rFonts w:ascii="Arial" w:eastAsia="Arial" w:hAnsi="Arial" w:cs="Arial"/>
          <w:szCs w:val="28"/>
          <w:shd w:val="clear" w:color="auto" w:fill="FFFFFF"/>
          <w:lang w:val="pl-PL" w:eastAsia="ru-RU"/>
        </w:rPr>
        <w:t>URL:</w:t>
      </w:r>
      <w:r w:rsidRPr="00511005">
        <w:rPr>
          <w:rFonts w:ascii="Arial" w:eastAsia="Arial" w:hAnsi="Arial" w:cs="Arial"/>
          <w:szCs w:val="28"/>
          <w:shd w:val="clear" w:color="auto" w:fill="FFFFFF"/>
          <w:lang w:val="uk-UA" w:eastAsia="ru-RU"/>
        </w:rPr>
        <w:t xml:space="preserve"> </w:t>
      </w:r>
      <w:hyperlink r:id="rId2273" w:history="1">
        <w:r w:rsidRPr="00511005">
          <w:rPr>
            <w:rFonts w:ascii="Arial" w:eastAsia="Arial" w:hAnsi="Arial" w:cs="Arial"/>
            <w:szCs w:val="28"/>
            <w:shd w:val="clear" w:color="auto" w:fill="FFFFFF"/>
            <w:lang w:val="pl-PL" w:eastAsia="ru-RU"/>
          </w:rPr>
          <w:t>https://www.navs.edu.ua/files/kafedru/kkp/2023/zbirnyk_konf_280423.pdf</w:t>
        </w:r>
      </w:hyperlink>
      <w:r w:rsidRPr="00511005">
        <w:rPr>
          <w:rFonts w:ascii="Arial" w:eastAsia="Arial" w:hAnsi="Arial" w:cs="Arial"/>
          <w:szCs w:val="28"/>
          <w:shd w:val="clear" w:color="auto" w:fill="FFFFFF"/>
          <w:lang w:val="uk-UA" w:eastAsia="ru-RU"/>
        </w:rPr>
        <w:t xml:space="preserve">. </w:t>
      </w:r>
    </w:p>
    <w:p w14:paraId="714BE03A" w14:textId="77777777" w:rsidR="00532C25" w:rsidRPr="00511005" w:rsidRDefault="00532C25" w:rsidP="00532C25">
      <w:pPr>
        <w:tabs>
          <w:tab w:val="left" w:pos="993"/>
          <w:tab w:val="left" w:pos="7088"/>
        </w:tabs>
        <w:spacing w:line="264" w:lineRule="auto"/>
        <w:contextualSpacing/>
        <w:rPr>
          <w:rFonts w:ascii="Arial" w:eastAsia="Calibri" w:hAnsi="Arial" w:cs="Arial"/>
          <w:b/>
          <w:bCs/>
          <w:szCs w:val="28"/>
          <w:lang w:val="uk-UA"/>
        </w:rPr>
      </w:pPr>
    </w:p>
    <w:p w14:paraId="06E60C7B" w14:textId="77777777" w:rsidR="00532C25" w:rsidRPr="00511005" w:rsidRDefault="00532C25" w:rsidP="00532C25">
      <w:pPr>
        <w:tabs>
          <w:tab w:val="left" w:pos="993"/>
          <w:tab w:val="left" w:pos="7088"/>
        </w:tabs>
        <w:spacing w:line="264" w:lineRule="auto"/>
        <w:contextualSpacing/>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пред’явлення для впізнання, кримінальний процес, психологічна достовірність, правові ризики, впізнання особи, доказування.</w:t>
      </w:r>
    </w:p>
    <w:p w14:paraId="42798474" w14:textId="77777777" w:rsidR="00532C25" w:rsidRPr="00511005" w:rsidRDefault="00532C25" w:rsidP="00532C25">
      <w:pPr>
        <w:tabs>
          <w:tab w:val="left" w:pos="993"/>
          <w:tab w:val="left" w:pos="7088"/>
        </w:tabs>
        <w:spacing w:line="264" w:lineRule="auto"/>
        <w:contextualSpacing/>
        <w:rPr>
          <w:rFonts w:ascii="Arial" w:eastAsia="Calibri" w:hAnsi="Arial" w:cs="Arial"/>
          <w:bCs/>
          <w:szCs w:val="28"/>
          <w:lang w:val="uk-UA" w:bidi="uk-UA"/>
        </w:rPr>
      </w:pPr>
      <w:r w:rsidRPr="00511005">
        <w:rPr>
          <w:rFonts w:ascii="Arial" w:eastAsia="Calibri" w:hAnsi="Arial" w:cs="Arial"/>
          <w:b/>
          <w:bCs/>
          <w:i/>
          <w:szCs w:val="28"/>
          <w:lang w:val="uk-UA" w:bidi="uk-UA"/>
        </w:rPr>
        <w:t xml:space="preserve">Key words: </w:t>
      </w:r>
      <w:r w:rsidRPr="00511005">
        <w:rPr>
          <w:rFonts w:ascii="Arial" w:eastAsia="Calibri" w:hAnsi="Arial" w:cs="Arial"/>
          <w:bCs/>
          <w:szCs w:val="28"/>
          <w:lang w:val="uk-UA" w:bidi="uk-UA"/>
        </w:rPr>
        <w:t>presentation for identification, criminal process, psychological credibility, legal risks, personal identification, evidence.</w:t>
      </w:r>
    </w:p>
    <w:p w14:paraId="4ADB31B4" w14:textId="77777777" w:rsidR="00532C25" w:rsidRPr="00511005" w:rsidRDefault="00532C25" w:rsidP="00532C25">
      <w:pPr>
        <w:tabs>
          <w:tab w:val="left" w:pos="993"/>
          <w:tab w:val="left" w:pos="7088"/>
        </w:tabs>
        <w:spacing w:line="264" w:lineRule="auto"/>
        <w:contextualSpacing/>
        <w:rPr>
          <w:rFonts w:ascii="Arial" w:eastAsia="Calibri" w:hAnsi="Arial" w:cs="Arial"/>
          <w:bCs/>
          <w:i/>
          <w:iCs/>
          <w:szCs w:val="28"/>
          <w:lang w:val="uk-UA" w:bidi="uk-UA"/>
        </w:rPr>
      </w:pPr>
      <w:r w:rsidRPr="00511005">
        <w:rPr>
          <w:rFonts w:ascii="Arial" w:eastAsia="Calibri" w:hAnsi="Arial" w:cs="Arial"/>
          <w:b/>
          <w:bCs/>
          <w:i/>
          <w:iCs/>
          <w:szCs w:val="28"/>
          <w:lang w:val="uk-UA" w:bidi="uk-UA"/>
        </w:rPr>
        <w:t xml:space="preserve">Науковий керівник: </w:t>
      </w:r>
      <w:r w:rsidRPr="00511005">
        <w:rPr>
          <w:rFonts w:ascii="Arial" w:eastAsia="Calibri" w:hAnsi="Arial" w:cs="Arial"/>
          <w:bCs/>
          <w:i/>
          <w:iCs/>
          <w:szCs w:val="28"/>
          <w:lang w:val="uk-UA" w:bidi="uk-UA"/>
        </w:rPr>
        <w:t>к.ю.н., доцент Мурзановська А. В.</w:t>
      </w:r>
    </w:p>
    <w:p w14:paraId="560E9EE1" w14:textId="77777777" w:rsidR="00532C25" w:rsidRPr="00511005" w:rsidRDefault="00532C25" w:rsidP="00532C25">
      <w:pPr>
        <w:spacing w:line="264" w:lineRule="auto"/>
        <w:ind w:left="360" w:firstLine="360"/>
        <w:rPr>
          <w:rFonts w:ascii="Arial" w:eastAsia="Arial" w:hAnsi="Arial" w:cs="Arial"/>
          <w:szCs w:val="28"/>
          <w:lang w:val="uk-UA" w:eastAsia="ru-RU"/>
        </w:rPr>
      </w:pPr>
    </w:p>
    <w:p w14:paraId="09F20B70" w14:textId="77777777" w:rsidR="00532C25" w:rsidRPr="00511005" w:rsidRDefault="00532C25" w:rsidP="00532C25">
      <w:pPr>
        <w:spacing w:line="264" w:lineRule="auto"/>
        <w:ind w:left="360" w:firstLine="360"/>
        <w:rPr>
          <w:rFonts w:ascii="Arial" w:eastAsia="Arial" w:hAnsi="Arial" w:cs="Arial"/>
          <w:szCs w:val="28"/>
          <w:lang w:val="uk-UA" w:eastAsia="ru-RU"/>
        </w:rPr>
      </w:pPr>
    </w:p>
    <w:p w14:paraId="25AD782B" w14:textId="77777777" w:rsidR="00532C25" w:rsidRPr="00511005" w:rsidRDefault="00532C25" w:rsidP="00532C25">
      <w:pPr>
        <w:spacing w:line="264" w:lineRule="auto"/>
        <w:ind w:firstLine="0"/>
        <w:jc w:val="center"/>
        <w:rPr>
          <w:rFonts w:ascii="Arial" w:eastAsia="Calibri" w:hAnsi="Arial" w:cs="Arial"/>
          <w:b/>
          <w:bCs/>
          <w:i/>
          <w:iCs/>
          <w:szCs w:val="28"/>
          <w:lang w:val="ru" w:eastAsia="ru-RU"/>
        </w:rPr>
      </w:pPr>
      <w:r w:rsidRPr="00511005">
        <w:rPr>
          <w:rFonts w:ascii="Arial" w:eastAsia="Calibri" w:hAnsi="Arial" w:cs="Arial"/>
          <w:b/>
          <w:bCs/>
          <w:i/>
          <w:iCs/>
          <w:szCs w:val="28"/>
          <w:lang w:val="ru" w:eastAsia="ru-RU"/>
        </w:rPr>
        <w:t>Письменна Ксенія Ігорівна</w:t>
      </w:r>
    </w:p>
    <w:p w14:paraId="0AE7D11B"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студентка 1-го курсу магістратури</w:t>
      </w:r>
    </w:p>
    <w:p w14:paraId="7A4DB738"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27AEB50"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0A21B3B" w14:textId="77777777" w:rsidR="00532C25" w:rsidRPr="00511005" w:rsidRDefault="00532C25" w:rsidP="00532C25">
      <w:pPr>
        <w:spacing w:line="264" w:lineRule="auto"/>
        <w:ind w:firstLine="0"/>
        <w:jc w:val="center"/>
        <w:rPr>
          <w:rFonts w:ascii="Arial" w:eastAsia="Arial" w:hAnsi="Arial" w:cs="Arial"/>
          <w:caps/>
          <w:szCs w:val="28"/>
          <w:lang w:val="ru" w:eastAsia="ru-RU"/>
        </w:rPr>
      </w:pPr>
    </w:p>
    <w:p w14:paraId="35FB5EA1" w14:textId="77777777" w:rsidR="00532C25" w:rsidRPr="00511005" w:rsidRDefault="00532C25" w:rsidP="00532C25">
      <w:pPr>
        <w:spacing w:line="264" w:lineRule="auto"/>
        <w:ind w:firstLine="0"/>
        <w:jc w:val="center"/>
        <w:rPr>
          <w:rFonts w:ascii="Arial" w:eastAsia="Arial" w:hAnsi="Arial" w:cs="Arial"/>
          <w:b/>
          <w:bCs/>
          <w:caps/>
          <w:szCs w:val="28"/>
          <w:lang w:val="ru" w:eastAsia="ru-RU"/>
        </w:rPr>
      </w:pPr>
      <w:r w:rsidRPr="00511005">
        <w:rPr>
          <w:rFonts w:ascii="Arial" w:eastAsia="Arial" w:hAnsi="Arial" w:cs="Arial"/>
          <w:b/>
          <w:bCs/>
          <w:caps/>
          <w:szCs w:val="28"/>
          <w:lang w:val="ru" w:eastAsia="ru-RU"/>
        </w:rPr>
        <w:t>Проблематика допиту свідка, якого у подальшому визнано підозрюваним</w:t>
      </w:r>
    </w:p>
    <w:p w14:paraId="076A292C" w14:textId="77777777" w:rsidR="00532C25" w:rsidRPr="00511005" w:rsidRDefault="00532C25" w:rsidP="00532C25">
      <w:pPr>
        <w:spacing w:line="264" w:lineRule="auto"/>
        <w:ind w:firstLine="720"/>
        <w:rPr>
          <w:rFonts w:ascii="Arial" w:eastAsia="Arial" w:hAnsi="Arial" w:cs="Arial"/>
          <w:szCs w:val="28"/>
          <w:lang w:eastAsia="ru-RU"/>
        </w:rPr>
      </w:pPr>
      <w:r w:rsidRPr="00511005">
        <w:rPr>
          <w:rFonts w:ascii="Arial" w:eastAsia="Arial" w:hAnsi="Arial" w:cs="Arial"/>
          <w:szCs w:val="28"/>
          <w:lang w:val="ru" w:eastAsia="ru-RU"/>
        </w:rPr>
        <w:t xml:space="preserve">Згідно зі ст. 65 Кримінального процесуального кодексу України (далі – КПК України) [1], свідком вважається фізична особа, котрій відомі або можуть бути відомі обставини, що підлягають доказуванню у кримінальному провадженні, і яка викликана для давання показань. Визначаючи процесуальну роль та статус свідка, законодавець врахував дві ключові ознаки, які відрізняють його від інших учасників кримінального провадження. По-перше, свідок має бути обізнаний з обставинами конкретного кримінального правопорушення, а </w:t>
      </w:r>
      <w:proofErr w:type="gramStart"/>
      <w:r w:rsidRPr="00511005">
        <w:rPr>
          <w:rFonts w:ascii="Arial" w:eastAsia="Arial" w:hAnsi="Arial" w:cs="Arial"/>
          <w:szCs w:val="28"/>
          <w:lang w:val="ru" w:eastAsia="ru-RU"/>
        </w:rPr>
        <w:t>по-друге</w:t>
      </w:r>
      <w:proofErr w:type="gramEnd"/>
      <w:r w:rsidRPr="00511005">
        <w:rPr>
          <w:rFonts w:ascii="Arial" w:eastAsia="Arial" w:hAnsi="Arial" w:cs="Arial"/>
          <w:szCs w:val="28"/>
          <w:lang w:val="ru" w:eastAsia="ru-RU"/>
        </w:rPr>
        <w:t xml:space="preserve"> – повинен бути викликаний для надання показань у статусі свідка. Одержання особою повістки про виклик або ознайомлення з її змістом у інший спосіб є моментом набуття правового статусу свідка [2, с. 80]. Свідка, як правило, попереджають про кримінальну відповідальність за надання завідомо неправдивих показань або за відмову від давання показань слідчому, прокурору, слідчому судді чи суду. Також, серед обов’язків свідка є зобов’язання давати правдиві показання під час досудового розслідування та судового розгляду. Важливо, що свідок має право відмовитися від дачі показань лише у випадках, коли вони стосуються нього самого, близьких родичів або членів сім’ї та можуть бути використані для підозри чи обвинувачення у вчиненні кримінального правопорушення, а також якщо йдеться про відомості, які заборонено розголошувати. Ці та інші права та обов’язки, гарантії та відповідальність складають його процесуальний статус як учасника кримінального провадження. </w:t>
      </w:r>
    </w:p>
    <w:p w14:paraId="0EBA38EE" w14:textId="77777777" w:rsidR="00532C25" w:rsidRPr="00511005" w:rsidRDefault="00532C25" w:rsidP="00532C25">
      <w:pPr>
        <w:spacing w:line="264" w:lineRule="auto"/>
        <w:ind w:firstLine="720"/>
        <w:rPr>
          <w:rFonts w:ascii="Arial" w:eastAsia="Arial" w:hAnsi="Arial" w:cs="Arial"/>
          <w:szCs w:val="28"/>
          <w:lang w:val="ru" w:eastAsia="ru-RU"/>
        </w:rPr>
      </w:pPr>
      <w:r w:rsidRPr="00511005">
        <w:rPr>
          <w:rFonts w:ascii="Arial" w:eastAsia="Arial" w:hAnsi="Arial" w:cs="Arial"/>
          <w:szCs w:val="28"/>
          <w:lang w:val="ru" w:eastAsia="ru-RU"/>
        </w:rPr>
        <w:lastRenderedPageBreak/>
        <w:t xml:space="preserve">Статусу підозрюваного особа набуває з моменту вручення їй письмового повідомлення про підозру. Підозрюваним є особа, якій у встановленому КПК України порядку повідомлено про підозру, особа, затримана за підозрою у вчиненні кримінального правопорушення, або особа, щодо якої складено повідомлення про підозру, але через невстановлення її місцезнаходження це повідомлення не було вручено, хоча вжито заходів для його вручення у спосіб, передбачений КПК України. Важливо, що підозрюваний має право відмовитися від давання показань та відповідей на запитання. Підозрюваний не попереджається про відповідальність за завідомо неправдиві показання, а тому може говорити неправду без юридичних наслідків для себе. </w:t>
      </w:r>
    </w:p>
    <w:p w14:paraId="1926C1EE" w14:textId="77777777" w:rsidR="00532C25" w:rsidRPr="00511005" w:rsidRDefault="00532C25" w:rsidP="00532C25">
      <w:pPr>
        <w:spacing w:line="264" w:lineRule="auto"/>
        <w:ind w:firstLine="720"/>
        <w:rPr>
          <w:rFonts w:ascii="Arial" w:eastAsia="Arial" w:hAnsi="Arial" w:cs="Arial"/>
          <w:szCs w:val="28"/>
          <w:lang w:val="ru" w:eastAsia="ru-RU"/>
        </w:rPr>
      </w:pPr>
      <w:r w:rsidRPr="00511005">
        <w:rPr>
          <w:rFonts w:ascii="Arial" w:eastAsia="Arial" w:hAnsi="Arial" w:cs="Arial"/>
          <w:szCs w:val="28"/>
          <w:lang w:val="ru" w:eastAsia="ru-RU"/>
        </w:rPr>
        <w:t xml:space="preserve">Отже, ми бачимо, що процесуальний статус цих учасників кримінального провадження кардинально відрізняється. </w:t>
      </w:r>
    </w:p>
    <w:p w14:paraId="7EEA752A" w14:textId="77777777" w:rsidR="00532C25" w:rsidRPr="00511005" w:rsidRDefault="00532C25" w:rsidP="00532C25">
      <w:pPr>
        <w:spacing w:line="264" w:lineRule="auto"/>
        <w:ind w:firstLine="720"/>
        <w:rPr>
          <w:rFonts w:ascii="Arial" w:eastAsia="Arial" w:hAnsi="Arial" w:cs="Arial"/>
          <w:szCs w:val="28"/>
          <w:lang w:eastAsia="ru-RU"/>
        </w:rPr>
      </w:pPr>
      <w:r w:rsidRPr="00511005">
        <w:rPr>
          <w:rFonts w:ascii="Arial" w:eastAsia="Arial" w:hAnsi="Arial" w:cs="Arial"/>
          <w:szCs w:val="28"/>
          <w:lang w:val="ru" w:eastAsia="ru-RU"/>
        </w:rPr>
        <w:t>У звичайних умовах свідок допомагає слідству з’ясувати обставини справи, його показання застосовують як докази, але на практиці часто буває, що особа, яку допитували у якості свідка, набуває статусу підозрюваного, тоді постає питання про можливість використання раніше отриманих свідчень від цієї особи у якості доказів. Бувають випадки, коли сторона обвинувачення викликає особу на допит у якості свідка, про що зазначено у повістці, а потім змінює статус свідка на статус підозрюваного одразу після прибуття особи до органів слідства, або відразу після проведення допиту майбутнього підозрюваного в якості свідка. Такі докази недопустимі, це безумовно пряме порушення прав і свобод людини</w:t>
      </w:r>
      <w:r w:rsidRPr="00511005">
        <w:rPr>
          <w:rFonts w:ascii="Arial" w:eastAsia="Arial" w:hAnsi="Arial" w:cs="Arial"/>
          <w:szCs w:val="28"/>
          <w:lang w:eastAsia="ru-RU"/>
        </w:rPr>
        <w:t>.</w:t>
      </w:r>
      <w:r w:rsidRPr="00511005">
        <w:rPr>
          <w:rFonts w:ascii="Arial" w:eastAsia="Arial" w:hAnsi="Arial" w:cs="Arial"/>
          <w:szCs w:val="28"/>
          <w:lang w:val="ru" w:eastAsia="ru-RU"/>
        </w:rPr>
        <w:t xml:space="preserve"> Законодавець у ст. 87 КПК України визначає, що недопустимими визнаються докази, отримані в результаті істотного порушення прав і свобод людини, гарантованих Конституцією, законами України та міжнародними договорами, згода на обов’язковість яких надана Верховною Радою України. Недопустимими є також будь-які інші докази, здобуті на основі інформації, отриманої внаслідок таких порушень. Так, у п. 1 ч. 3 ст. 87 КПК України є пряма вказівка на те, що недопустимими є докази, що були отримані з показань свідка, якого в подальшому було визнано підозрюваним чи обвинуваченим у цьому кримінальному провадженні. Ці докази суд обов’язково має визнавати недопустимими під час будь-якого судового розгляду. Зміст цього положення свідчить про те, що дана норма підлягає застосуванню у випадках, коли на момент отримання показань від свідка вже існували об’єктивні дані, які вказували на можливість визнання його підозрюваним чи обвинуваченим [3, с. 203]. Незважаючи на наявність у такої особи права на мовчання та захист від самовикриття, слідчий або прокурор вчиняє дії, спрямовані на отримання від неї показань. Саме такі дії, а не сам факт отримання свідчень від особи, яка згодом стала підозрюваним чи обвинуваченим, повинні розцінюватися як істотне порушення прав людини та основоположних свобод</w:t>
      </w:r>
      <w:r w:rsidRPr="00511005">
        <w:rPr>
          <w:rFonts w:ascii="Arial" w:eastAsia="Arial" w:hAnsi="Arial" w:cs="Arial"/>
          <w:szCs w:val="28"/>
          <w:lang w:eastAsia="ru-RU"/>
        </w:rPr>
        <w:t>.</w:t>
      </w:r>
    </w:p>
    <w:p w14:paraId="039DC4D2" w14:textId="77777777" w:rsidR="00532C25" w:rsidRPr="00511005" w:rsidRDefault="00532C25" w:rsidP="00532C25">
      <w:pPr>
        <w:spacing w:line="264" w:lineRule="auto"/>
        <w:ind w:firstLine="720"/>
        <w:rPr>
          <w:rFonts w:ascii="Arial" w:eastAsia="Arial" w:hAnsi="Arial" w:cs="Arial"/>
          <w:szCs w:val="28"/>
          <w:lang w:val="ru" w:eastAsia="ru-RU"/>
        </w:rPr>
      </w:pPr>
      <w:r w:rsidRPr="00511005">
        <w:rPr>
          <w:rFonts w:ascii="Arial" w:eastAsia="Arial" w:hAnsi="Arial" w:cs="Arial"/>
          <w:szCs w:val="28"/>
          <w:lang w:val="ru" w:eastAsia="ru-RU"/>
        </w:rPr>
        <w:lastRenderedPageBreak/>
        <w:t xml:space="preserve">Верховний Суд України неодноразово розглядав питання допустимості доказів, отриманих від особи, яка спочатку була допитана як свідок, а згодом набула статусу підозрюваного. Зокрема, суд підкреслює, що використання таких свідчень може порушувати право особи не свідчити проти себе та право на захист. У своїх рішеннях Верховний Суд наголошує на необхідності дотримання процесуальних гарантій та обов’язку слідчих органів змінювати статус особи на підозрюваного, щойно для цього з’являються підстави. У справі № 162/512/16-к від 18.05.2021 р. Верховний Суд розглянув питання допустимості доказів, отриманих від особи, яка спочатку була допитана як свідок, а згодом набула статусу підозрюваного. Суд дійшов висновку про недопустимість таких доказів, підкресливши необхідність дотримання процесуальних гарантій та прав особи на захист </w:t>
      </w:r>
      <w:r w:rsidRPr="00511005">
        <w:rPr>
          <w:rFonts w:ascii="Arial" w:eastAsia="Arial" w:hAnsi="Arial" w:cs="Arial"/>
          <w:szCs w:val="28"/>
          <w:lang w:eastAsia="ru-RU"/>
        </w:rPr>
        <w:t>[4]</w:t>
      </w:r>
      <w:r w:rsidRPr="00511005">
        <w:rPr>
          <w:rFonts w:ascii="Arial" w:eastAsia="Arial" w:hAnsi="Arial" w:cs="Arial"/>
          <w:szCs w:val="28"/>
          <w:lang w:val="ru" w:eastAsia="ru-RU"/>
        </w:rPr>
        <w:t xml:space="preserve">.​ </w:t>
      </w:r>
    </w:p>
    <w:p w14:paraId="569469CE" w14:textId="77777777" w:rsidR="00532C25" w:rsidRPr="00511005" w:rsidRDefault="00532C25" w:rsidP="00532C25">
      <w:pPr>
        <w:spacing w:line="264" w:lineRule="auto"/>
        <w:ind w:firstLine="720"/>
        <w:rPr>
          <w:rFonts w:ascii="Arial" w:eastAsia="Arial" w:hAnsi="Arial" w:cs="Arial"/>
          <w:szCs w:val="28"/>
          <w:lang w:val="ru" w:eastAsia="ru-RU"/>
        </w:rPr>
      </w:pPr>
      <w:r w:rsidRPr="00511005">
        <w:rPr>
          <w:rFonts w:ascii="Arial" w:eastAsia="Arial" w:hAnsi="Arial" w:cs="Arial"/>
          <w:szCs w:val="28"/>
          <w:lang w:val="ru" w:eastAsia="ru-RU"/>
        </w:rPr>
        <w:t xml:space="preserve">Також, як приклад можна навести справу «Navone and Others v. Monaco» (заява № 62880/11). ЄСПЛ розглянув ситуацію, де особи були допитані без належного інформування про їхній статус та права. Суд визнав, що держава порушила статтю 6 Конвенції (право на справедливий суд), оскільки заявники фактично були підозрюваними, але їх допитували без належних правових гарантій. Суд підкреслив, що процесуальні права мають надаватися особі з моменту, коли вона об’єктивно може вважатися підозрюваною, а не лише після офіційного висунення обвинувачення </w:t>
      </w:r>
      <w:r w:rsidRPr="00511005">
        <w:rPr>
          <w:rFonts w:ascii="Arial" w:eastAsia="Arial" w:hAnsi="Arial" w:cs="Arial"/>
          <w:szCs w:val="28"/>
          <w:lang w:eastAsia="ru-RU"/>
        </w:rPr>
        <w:t>[5]</w:t>
      </w:r>
      <w:r w:rsidRPr="00511005">
        <w:rPr>
          <w:rFonts w:ascii="Arial" w:eastAsia="Arial" w:hAnsi="Arial" w:cs="Arial"/>
          <w:szCs w:val="28"/>
          <w:lang w:val="ru" w:eastAsia="ru-RU"/>
        </w:rPr>
        <w:t>.</w:t>
      </w:r>
    </w:p>
    <w:p w14:paraId="16ABE28C" w14:textId="77777777" w:rsidR="00532C25" w:rsidRPr="00511005" w:rsidRDefault="00532C25" w:rsidP="00532C25">
      <w:pPr>
        <w:spacing w:line="264" w:lineRule="auto"/>
        <w:ind w:firstLine="720"/>
        <w:rPr>
          <w:rFonts w:ascii="Arial" w:eastAsia="Arial" w:hAnsi="Arial" w:cs="Arial"/>
          <w:szCs w:val="28"/>
          <w:lang w:val="ru" w:eastAsia="ru-RU"/>
        </w:rPr>
      </w:pPr>
      <w:r w:rsidRPr="00511005">
        <w:rPr>
          <w:rFonts w:ascii="Arial" w:eastAsia="Arial" w:hAnsi="Arial" w:cs="Arial"/>
          <w:szCs w:val="28"/>
          <w:lang w:val="ru" w:eastAsia="ru-RU"/>
        </w:rPr>
        <w:t xml:space="preserve">Також, як приклад з судової практики можна навести справу, яку було розглянуто колегією суддів Заводського районного суду м. Миколаєва від 25.03.2020 р. Згідно з позицією обвинувачення у ОСОБИ_1 виник умисел на заподіяння смерті ОСОБІ_2 на грунті неприязних відносин, який було реалізовано. Вбивши ОСОБУ_2, ОСОБА_1 продовжував жити в квартирі з трупом, оскільки боявся комусь повідомити. Через деякий час ОСОБА_1 повідомив ОСОБІ_3 про те, що ОСОБА_2 мертвий і знаходиться в їх спільному помешканні, після чого ОСОБА_3 повідомив про це в поліцію. Під час досудового розслідування було проведено низку процесуальних дій, в тому числі слідчий експеримент, під час якого ОСОБА_1 знаходився в процесуальному статусі свідка. Результати цієї слідчої дії (а саме протокол) були використані стороною обвинувачення вже після надання ОСОБІ_1 статусу обвинуваченого. На підставі недопустимості результатів інших слідчих дій та слідчого експерименту судом було винесено виправдовувальний вирок та ОСОБУ_1 було визнано невинуватим у пред’явленому обвинуваченні за ч. 1 ст. 115 КК України </w:t>
      </w:r>
      <w:r w:rsidRPr="00511005">
        <w:rPr>
          <w:rFonts w:ascii="Arial" w:eastAsia="Arial" w:hAnsi="Arial" w:cs="Arial"/>
          <w:szCs w:val="28"/>
          <w:lang w:eastAsia="ru-RU"/>
        </w:rPr>
        <w:t>[6]</w:t>
      </w:r>
      <w:r w:rsidRPr="00511005">
        <w:rPr>
          <w:rFonts w:ascii="Arial" w:eastAsia="Arial" w:hAnsi="Arial" w:cs="Arial"/>
          <w:szCs w:val="28"/>
          <w:lang w:val="ru" w:eastAsia="ru-RU"/>
        </w:rPr>
        <w:t xml:space="preserve">. </w:t>
      </w:r>
    </w:p>
    <w:p w14:paraId="5B1EDF1D" w14:textId="77777777" w:rsidR="00532C25" w:rsidRPr="00511005" w:rsidRDefault="00532C25" w:rsidP="00532C25">
      <w:pPr>
        <w:spacing w:line="264" w:lineRule="auto"/>
        <w:ind w:firstLine="720"/>
        <w:rPr>
          <w:rFonts w:ascii="Arial" w:eastAsia="Arial" w:hAnsi="Arial" w:cs="Arial"/>
          <w:szCs w:val="28"/>
          <w:lang w:val="ru" w:eastAsia="ru-RU"/>
        </w:rPr>
      </w:pPr>
      <w:r w:rsidRPr="00511005">
        <w:rPr>
          <w:rFonts w:ascii="Arial" w:eastAsia="Arial" w:hAnsi="Arial" w:cs="Arial"/>
          <w:szCs w:val="28"/>
          <w:lang w:val="ru" w:eastAsia="ru-RU"/>
        </w:rPr>
        <w:t xml:space="preserve">Отже, свідчення, що були отримані від особи, процесуальний статус якої згодом змінився зі свідка на підозрюваного мають бути визнані недопустимими, якщо у сторони обвинувачення були наявні факти, що могли свідчити про те, що у подальшому данній особі може бути пред’явлена підозра. Це положення КПК України забезпечує гарантії </w:t>
      </w:r>
      <w:r w:rsidRPr="00511005">
        <w:rPr>
          <w:rFonts w:ascii="Arial" w:eastAsia="Arial" w:hAnsi="Arial" w:cs="Arial"/>
          <w:szCs w:val="28"/>
          <w:lang w:val="ru" w:eastAsia="ru-RU"/>
        </w:rPr>
        <w:lastRenderedPageBreak/>
        <w:t xml:space="preserve">дотримання прав учасників кримінального провадження та збереження критерію допустимості доказів. </w:t>
      </w:r>
    </w:p>
    <w:p w14:paraId="4A623599" w14:textId="77777777" w:rsidR="00532C25" w:rsidRPr="00511005" w:rsidRDefault="00532C25" w:rsidP="00532C25">
      <w:pPr>
        <w:spacing w:line="264" w:lineRule="auto"/>
        <w:ind w:firstLine="720"/>
        <w:rPr>
          <w:rFonts w:ascii="Arial" w:eastAsia="Arial" w:hAnsi="Arial" w:cs="Arial"/>
          <w:szCs w:val="28"/>
          <w:lang w:val="ru" w:eastAsia="ru-RU"/>
        </w:rPr>
      </w:pPr>
    </w:p>
    <w:p w14:paraId="34AF1529" w14:textId="77777777" w:rsidR="00532C25" w:rsidRPr="00511005" w:rsidRDefault="00532C25" w:rsidP="00532C25">
      <w:pPr>
        <w:keepNext/>
        <w:widowControl w:val="0"/>
        <w:spacing w:line="264" w:lineRule="auto"/>
        <w:ind w:firstLine="0"/>
        <w:jc w:val="center"/>
        <w:rPr>
          <w:rFonts w:ascii="Arial" w:eastAsia="Times New Roman" w:hAnsi="Arial" w:cs="Arial"/>
          <w:b/>
          <w:iCs/>
          <w:szCs w:val="28"/>
          <w:lang w:val="ru" w:eastAsia="ru-RU"/>
        </w:rPr>
      </w:pPr>
      <w:r w:rsidRPr="00511005">
        <w:rPr>
          <w:rFonts w:ascii="Arial" w:eastAsia="Times New Roman" w:hAnsi="Arial" w:cs="Arial"/>
          <w:b/>
          <w:iCs/>
          <w:szCs w:val="28"/>
          <w:lang w:val="uk-UA" w:eastAsia="ru-RU"/>
        </w:rPr>
        <w:t>Список використаних джерел</w:t>
      </w:r>
    </w:p>
    <w:p w14:paraId="3BCB92EC" w14:textId="77777777" w:rsidR="00532C25" w:rsidRPr="00511005" w:rsidRDefault="00532C25" w:rsidP="003F6A5D">
      <w:pPr>
        <w:numPr>
          <w:ilvl w:val="0"/>
          <w:numId w:val="600"/>
        </w:numPr>
        <w:spacing w:line="264" w:lineRule="auto"/>
        <w:jc w:val="left"/>
        <w:rPr>
          <w:rFonts w:ascii="Arial" w:hAnsi="Arial" w:cs="Arial"/>
          <w:bCs/>
          <w:szCs w:val="28"/>
          <w:lang w:eastAsia="zh-CN"/>
        </w:rPr>
      </w:pPr>
      <w:r w:rsidRPr="00511005">
        <w:rPr>
          <w:rFonts w:ascii="Arial" w:hAnsi="Arial" w:cs="Arial"/>
          <w:bCs/>
          <w:szCs w:val="28"/>
          <w:lang w:val="uk-UA" w:eastAsia="zh-CN"/>
        </w:rPr>
        <w:t xml:space="preserve">Кримінальний процесуальний кодекс України. </w:t>
      </w:r>
      <w:bookmarkStart w:id="282" w:name="_Hlk195640170"/>
      <w:r w:rsidRPr="00511005">
        <w:rPr>
          <w:rFonts w:ascii="Arial" w:hAnsi="Arial" w:cs="Arial"/>
          <w:bCs/>
          <w:szCs w:val="28"/>
          <w:lang w:val="en-US" w:eastAsia="zh-CN"/>
        </w:rPr>
        <w:t>URL</w:t>
      </w:r>
      <w:r w:rsidRPr="00511005">
        <w:rPr>
          <w:rFonts w:ascii="Arial" w:hAnsi="Arial" w:cs="Arial"/>
          <w:bCs/>
          <w:szCs w:val="28"/>
          <w:lang w:val="uk-UA" w:eastAsia="zh-CN"/>
        </w:rPr>
        <w:t>:</w:t>
      </w:r>
      <w:bookmarkEnd w:id="282"/>
      <w:r w:rsidRPr="00511005">
        <w:rPr>
          <w:rFonts w:ascii="Arial" w:hAnsi="Arial" w:cs="Arial"/>
          <w:bCs/>
          <w:szCs w:val="28"/>
          <w:lang w:eastAsia="zh-CN"/>
        </w:rPr>
        <w:t xml:space="preserve"> </w:t>
      </w:r>
      <w:hyperlink r:id="rId2274" w:anchor="Text"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zakon</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laws</w:t>
        </w:r>
        <w:r w:rsidRPr="00511005">
          <w:rPr>
            <w:rFonts w:ascii="Arial" w:hAnsi="Arial" w:cs="Arial"/>
            <w:szCs w:val="28"/>
            <w:lang w:eastAsia="zh-CN"/>
          </w:rPr>
          <w:t>/</w:t>
        </w:r>
        <w:r w:rsidRPr="00511005">
          <w:rPr>
            <w:rFonts w:ascii="Arial" w:hAnsi="Arial" w:cs="Arial"/>
            <w:szCs w:val="28"/>
            <w:lang w:val="en-US" w:eastAsia="zh-CN"/>
          </w:rPr>
          <w:t>show</w:t>
        </w:r>
        <w:r w:rsidRPr="00511005">
          <w:rPr>
            <w:rFonts w:ascii="Arial" w:hAnsi="Arial" w:cs="Arial"/>
            <w:szCs w:val="28"/>
            <w:lang w:eastAsia="zh-CN"/>
          </w:rPr>
          <w:t>/4651-17#</w:t>
        </w:r>
        <w:r w:rsidRPr="00511005">
          <w:rPr>
            <w:rFonts w:ascii="Arial" w:hAnsi="Arial" w:cs="Arial"/>
            <w:szCs w:val="28"/>
            <w:lang w:val="en-US" w:eastAsia="zh-CN"/>
          </w:rPr>
          <w:t>Text</w:t>
        </w:r>
      </w:hyperlink>
      <w:r w:rsidRPr="00511005">
        <w:rPr>
          <w:rFonts w:ascii="Arial" w:hAnsi="Arial" w:cs="Arial"/>
          <w:bCs/>
          <w:szCs w:val="28"/>
          <w:lang w:val="uk-UA" w:eastAsia="zh-CN"/>
        </w:rPr>
        <w:t>.</w:t>
      </w:r>
    </w:p>
    <w:p w14:paraId="0BD03716" w14:textId="77777777" w:rsidR="00532C25" w:rsidRPr="00511005" w:rsidRDefault="00532C25" w:rsidP="003F6A5D">
      <w:pPr>
        <w:numPr>
          <w:ilvl w:val="0"/>
          <w:numId w:val="600"/>
        </w:numPr>
        <w:spacing w:line="264" w:lineRule="auto"/>
        <w:jc w:val="left"/>
        <w:rPr>
          <w:rFonts w:ascii="Arial" w:hAnsi="Arial" w:cs="Arial"/>
          <w:bCs/>
          <w:szCs w:val="28"/>
          <w:lang w:eastAsia="zh-CN"/>
        </w:rPr>
      </w:pPr>
      <w:r w:rsidRPr="00511005">
        <w:rPr>
          <w:rFonts w:ascii="Arial" w:hAnsi="Arial" w:cs="Arial"/>
          <w:bCs/>
          <w:iCs/>
          <w:szCs w:val="28"/>
          <w:lang w:eastAsia="zh-CN"/>
        </w:rPr>
        <w:t>Закревська Т.</w:t>
      </w:r>
      <w:r w:rsidRPr="00511005">
        <w:rPr>
          <w:rFonts w:ascii="Arial" w:hAnsi="Arial" w:cs="Arial"/>
          <w:bCs/>
          <w:iCs/>
          <w:szCs w:val="28"/>
          <w:lang w:val="en-GB" w:eastAsia="zh-CN"/>
        </w:rPr>
        <w:t> </w:t>
      </w:r>
      <w:r w:rsidRPr="00511005">
        <w:rPr>
          <w:rFonts w:ascii="Arial" w:hAnsi="Arial" w:cs="Arial"/>
          <w:bCs/>
          <w:iCs/>
          <w:szCs w:val="28"/>
          <w:lang w:eastAsia="zh-CN"/>
        </w:rPr>
        <w:t xml:space="preserve">О. Правовий статус свідка у кримінальному провадженні. </w:t>
      </w:r>
      <w:r w:rsidRPr="00511005">
        <w:rPr>
          <w:rFonts w:ascii="Arial" w:hAnsi="Arial" w:cs="Arial"/>
          <w:bCs/>
          <w:i/>
          <w:szCs w:val="28"/>
          <w:lang w:eastAsia="zh-CN"/>
        </w:rPr>
        <w:t>Науковий вісник Міжнародного гуманітарного університету</w:t>
      </w:r>
      <w:r w:rsidRPr="00511005">
        <w:rPr>
          <w:rFonts w:ascii="Arial" w:hAnsi="Arial" w:cs="Arial"/>
          <w:bCs/>
          <w:iCs/>
          <w:szCs w:val="28"/>
          <w:lang w:eastAsia="zh-CN"/>
        </w:rPr>
        <w:t xml:space="preserve">. Сер.: Юриспруденція. 2020. № 48. С. 78-82. </w:t>
      </w:r>
      <w:r w:rsidRPr="00511005">
        <w:rPr>
          <w:rFonts w:ascii="Arial" w:hAnsi="Arial" w:cs="Arial"/>
          <w:bCs/>
          <w:szCs w:val="28"/>
          <w:lang w:val="en-US" w:eastAsia="zh-CN"/>
        </w:rPr>
        <w:t>DOI</w:t>
      </w:r>
      <w:r w:rsidRPr="00511005">
        <w:rPr>
          <w:rFonts w:ascii="Arial" w:hAnsi="Arial" w:cs="Arial"/>
          <w:bCs/>
          <w:szCs w:val="28"/>
          <w:lang w:eastAsia="zh-CN"/>
        </w:rPr>
        <w:t xml:space="preserve"> </w:t>
      </w:r>
      <w:hyperlink r:id="rId2275"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doi</w:t>
        </w:r>
        <w:r w:rsidRPr="00511005">
          <w:rPr>
            <w:rFonts w:ascii="Arial" w:hAnsi="Arial" w:cs="Arial"/>
            <w:szCs w:val="28"/>
            <w:lang w:eastAsia="zh-CN"/>
          </w:rPr>
          <w:t>.</w:t>
        </w:r>
        <w:r w:rsidRPr="00511005">
          <w:rPr>
            <w:rFonts w:ascii="Arial" w:hAnsi="Arial" w:cs="Arial"/>
            <w:szCs w:val="28"/>
            <w:lang w:val="en-US" w:eastAsia="zh-CN"/>
          </w:rPr>
          <w:t>org</w:t>
        </w:r>
        <w:r w:rsidRPr="00511005">
          <w:rPr>
            <w:rFonts w:ascii="Arial" w:hAnsi="Arial" w:cs="Arial"/>
            <w:szCs w:val="28"/>
            <w:lang w:eastAsia="zh-CN"/>
          </w:rPr>
          <w:t>/10.32841/2307-1745.2020.48.17</w:t>
        </w:r>
      </w:hyperlink>
      <w:r w:rsidRPr="00511005">
        <w:rPr>
          <w:rFonts w:ascii="Arial" w:hAnsi="Arial" w:cs="Arial"/>
          <w:bCs/>
          <w:szCs w:val="28"/>
          <w:lang w:eastAsia="zh-CN"/>
        </w:rPr>
        <w:t xml:space="preserve">. </w:t>
      </w:r>
    </w:p>
    <w:p w14:paraId="4DDE082E" w14:textId="77777777" w:rsidR="00532C25" w:rsidRPr="00511005" w:rsidRDefault="00532C25" w:rsidP="003F6A5D">
      <w:pPr>
        <w:numPr>
          <w:ilvl w:val="0"/>
          <w:numId w:val="600"/>
        </w:numPr>
        <w:spacing w:line="264" w:lineRule="auto"/>
        <w:jc w:val="left"/>
        <w:rPr>
          <w:rFonts w:ascii="Arial" w:hAnsi="Arial" w:cs="Arial"/>
          <w:bCs/>
          <w:szCs w:val="28"/>
          <w:lang w:val="en-US" w:eastAsia="zh-CN"/>
        </w:rPr>
      </w:pPr>
      <w:r w:rsidRPr="00511005">
        <w:rPr>
          <w:rFonts w:ascii="Arial" w:hAnsi="Arial" w:cs="Arial"/>
          <w:bCs/>
          <w:szCs w:val="28"/>
          <w:lang w:val="uk-UA" w:eastAsia="zh-CN"/>
        </w:rPr>
        <w:t>Науково-практичний коментар Кримінального процесуального кодексу України. За редакцією С. В. Ківалова та С. І. Кравченко. Одеса. Фенікс, 2020. 924 с.</w:t>
      </w:r>
    </w:p>
    <w:p w14:paraId="59ECA799" w14:textId="77777777" w:rsidR="00532C25" w:rsidRPr="00511005" w:rsidRDefault="00532C25" w:rsidP="003F6A5D">
      <w:pPr>
        <w:numPr>
          <w:ilvl w:val="0"/>
          <w:numId w:val="600"/>
        </w:numPr>
        <w:spacing w:line="264" w:lineRule="auto"/>
        <w:jc w:val="left"/>
        <w:rPr>
          <w:rFonts w:ascii="Arial" w:hAnsi="Arial" w:cs="Arial"/>
          <w:bCs/>
          <w:szCs w:val="28"/>
          <w:lang w:eastAsia="zh-CN"/>
        </w:rPr>
      </w:pPr>
      <w:r w:rsidRPr="00511005">
        <w:rPr>
          <w:rFonts w:ascii="Arial" w:hAnsi="Arial" w:cs="Arial"/>
          <w:bCs/>
          <w:szCs w:val="28"/>
          <w:lang w:val="uk-UA" w:eastAsia="zh-CN"/>
        </w:rPr>
        <w:t>Постанова Верховного Суду від 18.05.2021 р. по справі № 162/512/1</w:t>
      </w:r>
      <w:bookmarkStart w:id="283" w:name="_Hlk195640727"/>
      <w:r w:rsidRPr="00511005">
        <w:rPr>
          <w:rFonts w:ascii="Arial" w:hAnsi="Arial" w:cs="Arial"/>
          <w:bCs/>
          <w:szCs w:val="28"/>
          <w:lang w:val="uk-UA" w:eastAsia="zh-CN"/>
        </w:rPr>
        <w:t>6-к, провадження № 51- 261км21.</w:t>
      </w:r>
      <w:r w:rsidRPr="00511005">
        <w:rPr>
          <w:rFonts w:ascii="Arial" w:hAnsi="Arial" w:cs="Arial"/>
          <w:bCs/>
          <w:szCs w:val="28"/>
          <w:lang w:val="en-US" w:eastAsia="zh-CN"/>
        </w:rPr>
        <w:t>URL</w:t>
      </w:r>
      <w:r w:rsidRPr="00511005">
        <w:rPr>
          <w:rFonts w:ascii="Arial" w:hAnsi="Arial" w:cs="Arial"/>
          <w:bCs/>
          <w:szCs w:val="28"/>
          <w:lang w:val="uk-UA" w:eastAsia="zh-CN"/>
        </w:rPr>
        <w:t>:</w:t>
      </w:r>
      <w:bookmarkEnd w:id="283"/>
      <w:r w:rsidRPr="00511005">
        <w:rPr>
          <w:rFonts w:ascii="Arial" w:hAnsi="Arial" w:cs="Arial"/>
          <w:bCs/>
          <w:szCs w:val="28"/>
          <w:lang w:val="uk-UA" w:eastAsia="zh-CN"/>
        </w:rPr>
        <w:fldChar w:fldCharType="begin"/>
      </w:r>
      <w:r w:rsidRPr="00511005">
        <w:rPr>
          <w:rFonts w:ascii="Arial" w:hAnsi="Arial" w:cs="Arial"/>
          <w:bCs/>
          <w:szCs w:val="28"/>
          <w:lang w:val="uk-UA" w:eastAsia="zh-CN"/>
        </w:rPr>
        <w:instrText xml:space="preserve"> HYPERLINK "https://reyestr.court.gov.ua/Review/97034837" </w:instrText>
      </w:r>
      <w:r w:rsidRPr="00511005">
        <w:rPr>
          <w:rFonts w:ascii="Arial" w:hAnsi="Arial" w:cs="Arial"/>
          <w:bCs/>
          <w:szCs w:val="28"/>
          <w:lang w:val="uk-UA" w:eastAsia="zh-CN"/>
        </w:rPr>
        <w:fldChar w:fldCharType="separate"/>
      </w:r>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reyestr</w:t>
      </w:r>
      <w:r w:rsidRPr="00511005">
        <w:rPr>
          <w:rFonts w:ascii="Arial" w:hAnsi="Arial" w:cs="Arial"/>
          <w:szCs w:val="28"/>
          <w:lang w:eastAsia="zh-CN"/>
        </w:rPr>
        <w:t>.</w:t>
      </w:r>
      <w:r w:rsidRPr="00511005">
        <w:rPr>
          <w:rFonts w:ascii="Arial" w:hAnsi="Arial" w:cs="Arial"/>
          <w:szCs w:val="28"/>
          <w:lang w:val="en-US" w:eastAsia="zh-CN"/>
        </w:rPr>
        <w:t>court</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Review</w:t>
      </w:r>
      <w:r w:rsidRPr="00511005">
        <w:rPr>
          <w:rFonts w:ascii="Arial" w:hAnsi="Arial" w:cs="Arial"/>
          <w:szCs w:val="28"/>
          <w:lang w:eastAsia="zh-CN"/>
        </w:rPr>
        <w:t>/97034837</w:t>
      </w:r>
      <w:r w:rsidRPr="00511005">
        <w:rPr>
          <w:rFonts w:ascii="Arial" w:hAnsi="Arial" w:cs="Arial"/>
          <w:bCs/>
          <w:szCs w:val="28"/>
          <w:lang w:val="uk-UA" w:eastAsia="zh-CN"/>
        </w:rPr>
        <w:fldChar w:fldCharType="end"/>
      </w:r>
      <w:r w:rsidRPr="00511005">
        <w:rPr>
          <w:rFonts w:ascii="Arial" w:hAnsi="Arial" w:cs="Arial"/>
          <w:bCs/>
          <w:szCs w:val="28"/>
          <w:lang w:eastAsia="zh-CN"/>
        </w:rPr>
        <w:t>.</w:t>
      </w:r>
    </w:p>
    <w:p w14:paraId="66E67F15" w14:textId="77777777" w:rsidR="00532C25" w:rsidRPr="00511005" w:rsidRDefault="00532C25" w:rsidP="003F6A5D">
      <w:pPr>
        <w:numPr>
          <w:ilvl w:val="0"/>
          <w:numId w:val="600"/>
        </w:numPr>
        <w:spacing w:line="264" w:lineRule="auto"/>
        <w:jc w:val="left"/>
        <w:rPr>
          <w:rFonts w:ascii="Arial" w:hAnsi="Arial" w:cs="Arial"/>
          <w:bCs/>
          <w:szCs w:val="28"/>
          <w:lang w:eastAsia="zh-CN"/>
        </w:rPr>
      </w:pPr>
      <w:r w:rsidRPr="00511005">
        <w:rPr>
          <w:rFonts w:ascii="Arial" w:hAnsi="Arial" w:cs="Arial"/>
          <w:bCs/>
          <w:szCs w:val="28"/>
          <w:lang w:val="uk-UA" w:eastAsia="zh-CN"/>
        </w:rPr>
        <w:t>Рішення Європейського суду з прав людини від 24.10.2013 р. № 62880/11 Navone and Others v. Monaco.</w:t>
      </w:r>
      <w:r w:rsidRPr="00511005">
        <w:rPr>
          <w:rFonts w:ascii="Arial" w:hAnsi="Arial" w:cs="Arial"/>
          <w:bCs/>
          <w:szCs w:val="28"/>
          <w:lang w:val="en-US" w:eastAsia="zh-CN"/>
        </w:rPr>
        <w:t>URL</w:t>
      </w:r>
      <w:r w:rsidRPr="00511005">
        <w:rPr>
          <w:rFonts w:ascii="Arial" w:hAnsi="Arial" w:cs="Arial"/>
          <w:bCs/>
          <w:szCs w:val="28"/>
          <w:lang w:val="uk-UA" w:eastAsia="zh-CN"/>
        </w:rPr>
        <w:t>:</w:t>
      </w:r>
      <w:hyperlink r:id="rId2276" w:anchor="{%22itemid%22:[%22001-127230%22]}"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hudoc</w:t>
        </w:r>
        <w:r w:rsidRPr="00511005">
          <w:rPr>
            <w:rFonts w:ascii="Arial" w:hAnsi="Arial" w:cs="Arial"/>
            <w:szCs w:val="28"/>
            <w:lang w:eastAsia="zh-CN"/>
          </w:rPr>
          <w:t>.</w:t>
        </w:r>
        <w:r w:rsidRPr="00511005">
          <w:rPr>
            <w:rFonts w:ascii="Arial" w:hAnsi="Arial" w:cs="Arial"/>
            <w:szCs w:val="28"/>
            <w:lang w:val="en-US" w:eastAsia="zh-CN"/>
          </w:rPr>
          <w:t>echr</w:t>
        </w:r>
        <w:r w:rsidRPr="00511005">
          <w:rPr>
            <w:rFonts w:ascii="Arial" w:hAnsi="Arial" w:cs="Arial"/>
            <w:szCs w:val="28"/>
            <w:lang w:eastAsia="zh-CN"/>
          </w:rPr>
          <w:t>.</w:t>
        </w:r>
        <w:r w:rsidRPr="00511005">
          <w:rPr>
            <w:rFonts w:ascii="Arial" w:hAnsi="Arial" w:cs="Arial"/>
            <w:szCs w:val="28"/>
            <w:lang w:val="en-US" w:eastAsia="zh-CN"/>
          </w:rPr>
          <w:t>coe</w:t>
        </w:r>
        <w:r w:rsidRPr="00511005">
          <w:rPr>
            <w:rFonts w:ascii="Arial" w:hAnsi="Arial" w:cs="Arial"/>
            <w:szCs w:val="28"/>
            <w:lang w:eastAsia="zh-CN"/>
          </w:rPr>
          <w:t>.</w:t>
        </w:r>
        <w:r w:rsidRPr="00511005">
          <w:rPr>
            <w:rFonts w:ascii="Arial" w:hAnsi="Arial" w:cs="Arial"/>
            <w:szCs w:val="28"/>
            <w:lang w:val="en-US" w:eastAsia="zh-CN"/>
          </w:rPr>
          <w:t>int</w:t>
        </w:r>
        <w:r w:rsidRPr="00511005">
          <w:rPr>
            <w:rFonts w:ascii="Arial" w:hAnsi="Arial" w:cs="Arial"/>
            <w:szCs w:val="28"/>
            <w:lang w:eastAsia="zh-CN"/>
          </w:rPr>
          <w:t>/</w:t>
        </w:r>
        <w:r w:rsidRPr="00511005">
          <w:rPr>
            <w:rFonts w:ascii="Arial" w:hAnsi="Arial" w:cs="Arial"/>
            <w:szCs w:val="28"/>
            <w:lang w:val="en-US" w:eastAsia="zh-CN"/>
          </w:rPr>
          <w:t>eng</w:t>
        </w:r>
        <w:r w:rsidRPr="00511005">
          <w:rPr>
            <w:rFonts w:ascii="Arial" w:hAnsi="Arial" w:cs="Arial"/>
            <w:szCs w:val="28"/>
            <w:lang w:eastAsia="zh-CN"/>
          </w:rPr>
          <w:t>#{%22</w:t>
        </w:r>
        <w:r w:rsidRPr="00511005">
          <w:rPr>
            <w:rFonts w:ascii="Arial" w:hAnsi="Arial" w:cs="Arial"/>
            <w:szCs w:val="28"/>
            <w:lang w:val="en-US" w:eastAsia="zh-CN"/>
          </w:rPr>
          <w:t>itemid</w:t>
        </w:r>
        <w:r w:rsidRPr="00511005">
          <w:rPr>
            <w:rFonts w:ascii="Arial" w:hAnsi="Arial" w:cs="Arial"/>
            <w:szCs w:val="28"/>
            <w:lang w:eastAsia="zh-CN"/>
          </w:rPr>
          <w:t>%22:[%22001-127230%22]}</w:t>
        </w:r>
      </w:hyperlink>
      <w:r w:rsidRPr="00511005">
        <w:rPr>
          <w:rFonts w:ascii="Arial" w:hAnsi="Arial" w:cs="Arial"/>
          <w:bCs/>
          <w:szCs w:val="28"/>
          <w:lang w:val="uk-UA" w:eastAsia="zh-CN"/>
        </w:rPr>
        <w:t>.</w:t>
      </w:r>
    </w:p>
    <w:p w14:paraId="33A6350D" w14:textId="77777777" w:rsidR="00532C25" w:rsidRPr="00511005" w:rsidRDefault="00532C25" w:rsidP="003F6A5D">
      <w:pPr>
        <w:numPr>
          <w:ilvl w:val="0"/>
          <w:numId w:val="600"/>
        </w:numPr>
        <w:spacing w:line="264" w:lineRule="auto"/>
        <w:jc w:val="left"/>
        <w:rPr>
          <w:rFonts w:ascii="Arial" w:hAnsi="Arial" w:cs="Arial"/>
          <w:bCs/>
          <w:szCs w:val="28"/>
          <w:lang w:eastAsia="zh-CN"/>
        </w:rPr>
      </w:pPr>
      <w:r w:rsidRPr="00511005">
        <w:rPr>
          <w:rFonts w:ascii="Arial" w:hAnsi="Arial" w:cs="Arial"/>
          <w:bCs/>
          <w:szCs w:val="28"/>
          <w:lang w:val="uk-UA" w:eastAsia="zh-CN"/>
        </w:rPr>
        <w:t xml:space="preserve">Вирок Заводського районного суду м. Миколаїв від 25.03.2020 р. URL: </w:t>
      </w:r>
      <w:hyperlink r:id="rId2277"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reyestr</w:t>
        </w:r>
        <w:r w:rsidRPr="00511005">
          <w:rPr>
            <w:rFonts w:ascii="Arial" w:hAnsi="Arial" w:cs="Arial"/>
            <w:szCs w:val="28"/>
            <w:lang w:eastAsia="zh-CN"/>
          </w:rPr>
          <w:t>.</w:t>
        </w:r>
        <w:r w:rsidRPr="00511005">
          <w:rPr>
            <w:rFonts w:ascii="Arial" w:hAnsi="Arial" w:cs="Arial"/>
            <w:szCs w:val="28"/>
            <w:lang w:val="en-US" w:eastAsia="zh-CN"/>
          </w:rPr>
          <w:t>court</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Review</w:t>
        </w:r>
        <w:r w:rsidRPr="00511005">
          <w:rPr>
            <w:rFonts w:ascii="Arial" w:hAnsi="Arial" w:cs="Arial"/>
            <w:szCs w:val="28"/>
            <w:lang w:eastAsia="zh-CN"/>
          </w:rPr>
          <w:t>/88442230</w:t>
        </w:r>
      </w:hyperlink>
      <w:r w:rsidRPr="00511005">
        <w:rPr>
          <w:rFonts w:ascii="Arial" w:hAnsi="Arial" w:cs="Arial"/>
          <w:bCs/>
          <w:szCs w:val="28"/>
          <w:lang w:val="uk-UA" w:eastAsia="zh-CN"/>
        </w:rPr>
        <w:t xml:space="preserve">. </w:t>
      </w:r>
    </w:p>
    <w:p w14:paraId="0A4E0732" w14:textId="77777777" w:rsidR="00532C25" w:rsidRPr="00511005" w:rsidRDefault="00532C25" w:rsidP="00532C25">
      <w:pPr>
        <w:keepNext/>
        <w:widowControl w:val="0"/>
        <w:spacing w:line="264" w:lineRule="auto"/>
        <w:rPr>
          <w:rFonts w:ascii="Arial" w:eastAsia="Times New Roman" w:hAnsi="Arial" w:cs="Arial"/>
          <w:b/>
          <w:iCs/>
          <w:szCs w:val="28"/>
          <w:lang w:val="ru" w:eastAsia="ru-RU"/>
        </w:rPr>
      </w:pPr>
    </w:p>
    <w:p w14:paraId="6E76C9F9" w14:textId="77777777" w:rsidR="00532C25" w:rsidRPr="00511005" w:rsidRDefault="00532C25" w:rsidP="00532C25">
      <w:pPr>
        <w:keepNext/>
        <w:widowControl w:val="0"/>
        <w:spacing w:line="264" w:lineRule="auto"/>
        <w:rPr>
          <w:rFonts w:ascii="Arial" w:eastAsia="Times New Roman" w:hAnsi="Arial" w:cs="Arial"/>
          <w:bCs/>
          <w:iCs/>
          <w:szCs w:val="28"/>
          <w:lang w:val="ru" w:eastAsia="ru-RU"/>
        </w:rPr>
      </w:pPr>
      <w:r w:rsidRPr="00511005">
        <w:rPr>
          <w:rFonts w:ascii="Arial" w:eastAsia="Times New Roman" w:hAnsi="Arial" w:cs="Arial"/>
          <w:b/>
          <w:i/>
          <w:iCs/>
          <w:szCs w:val="28"/>
          <w:lang w:val="ru" w:eastAsia="ru-RU"/>
        </w:rPr>
        <w:t xml:space="preserve">Ключові слова: </w:t>
      </w:r>
      <w:r w:rsidRPr="00511005">
        <w:rPr>
          <w:rFonts w:ascii="Arial" w:eastAsia="Times New Roman" w:hAnsi="Arial" w:cs="Arial"/>
          <w:bCs/>
          <w:iCs/>
          <w:szCs w:val="28"/>
          <w:lang w:val="ru" w:eastAsia="ru-RU"/>
        </w:rPr>
        <w:t>кримінальне провадження, свідок, підозрюваний, процесуальний статус, недопустимі докази.</w:t>
      </w:r>
    </w:p>
    <w:p w14:paraId="5E2F5A3A" w14:textId="77777777" w:rsidR="00532C25" w:rsidRPr="00511005" w:rsidRDefault="00532C25" w:rsidP="00532C25">
      <w:pPr>
        <w:keepNext/>
        <w:widowControl w:val="0"/>
        <w:spacing w:line="264" w:lineRule="auto"/>
        <w:rPr>
          <w:rFonts w:ascii="Arial" w:eastAsia="Times New Roman" w:hAnsi="Arial" w:cs="Arial"/>
          <w:bCs/>
          <w:iCs/>
          <w:szCs w:val="28"/>
          <w:lang w:val="en-US" w:eastAsia="ru-RU"/>
        </w:rPr>
      </w:pPr>
      <w:r w:rsidRPr="00511005">
        <w:rPr>
          <w:rFonts w:ascii="Arial" w:eastAsia="Times New Roman" w:hAnsi="Arial" w:cs="Arial"/>
          <w:b/>
          <w:i/>
          <w:iCs/>
          <w:szCs w:val="28"/>
          <w:lang w:val="en" w:eastAsia="ru-RU"/>
        </w:rPr>
        <w:t xml:space="preserve">Key words: </w:t>
      </w:r>
      <w:r w:rsidRPr="00511005">
        <w:rPr>
          <w:rFonts w:ascii="Arial" w:eastAsia="Times New Roman" w:hAnsi="Arial" w:cs="Arial"/>
          <w:bCs/>
          <w:iCs/>
          <w:szCs w:val="28"/>
          <w:lang w:val="en-GB" w:eastAsia="ru-RU"/>
        </w:rPr>
        <w:t xml:space="preserve">criminal proceedings, </w:t>
      </w:r>
      <w:r w:rsidRPr="00511005">
        <w:rPr>
          <w:rFonts w:ascii="Arial" w:eastAsia="Times New Roman" w:hAnsi="Arial" w:cs="Arial"/>
          <w:bCs/>
          <w:iCs/>
          <w:szCs w:val="28"/>
          <w:lang w:val="en" w:eastAsia="ru-RU"/>
        </w:rPr>
        <w:t>witness</w:t>
      </w:r>
      <w:r w:rsidRPr="00511005">
        <w:rPr>
          <w:rFonts w:ascii="Arial" w:eastAsia="Times New Roman" w:hAnsi="Arial" w:cs="Arial"/>
          <w:bCs/>
          <w:iCs/>
          <w:szCs w:val="28"/>
          <w:lang w:val="en-US" w:eastAsia="ru-RU"/>
        </w:rPr>
        <w:t xml:space="preserve">, </w:t>
      </w:r>
      <w:r w:rsidRPr="00511005">
        <w:rPr>
          <w:rFonts w:ascii="Arial" w:eastAsia="Times New Roman" w:hAnsi="Arial" w:cs="Arial"/>
          <w:bCs/>
          <w:iCs/>
          <w:szCs w:val="28"/>
          <w:lang w:val="en" w:eastAsia="ru-RU"/>
        </w:rPr>
        <w:t>suspect</w:t>
      </w:r>
      <w:r w:rsidRPr="00511005">
        <w:rPr>
          <w:rFonts w:ascii="Arial" w:eastAsia="Times New Roman" w:hAnsi="Arial" w:cs="Arial"/>
          <w:bCs/>
          <w:iCs/>
          <w:szCs w:val="28"/>
          <w:lang w:val="en-US" w:eastAsia="ru-RU"/>
        </w:rPr>
        <w:t xml:space="preserve">, </w:t>
      </w:r>
      <w:r w:rsidRPr="00511005">
        <w:rPr>
          <w:rFonts w:ascii="Arial" w:eastAsia="Times New Roman" w:hAnsi="Arial" w:cs="Arial"/>
          <w:bCs/>
          <w:iCs/>
          <w:szCs w:val="28"/>
          <w:lang w:val="en" w:eastAsia="ru-RU"/>
        </w:rPr>
        <w:t>procedural</w:t>
      </w:r>
      <w:r w:rsidRPr="00511005">
        <w:rPr>
          <w:rFonts w:ascii="Arial" w:eastAsia="Times New Roman" w:hAnsi="Arial" w:cs="Arial"/>
          <w:bCs/>
          <w:iCs/>
          <w:szCs w:val="28"/>
          <w:lang w:val="en-US" w:eastAsia="ru-RU"/>
        </w:rPr>
        <w:t xml:space="preserve"> </w:t>
      </w:r>
      <w:r w:rsidRPr="00511005">
        <w:rPr>
          <w:rFonts w:ascii="Arial" w:eastAsia="Times New Roman" w:hAnsi="Arial" w:cs="Arial"/>
          <w:bCs/>
          <w:iCs/>
          <w:szCs w:val="28"/>
          <w:lang w:val="en" w:eastAsia="ru-RU"/>
        </w:rPr>
        <w:t>status</w:t>
      </w:r>
      <w:r w:rsidRPr="00511005">
        <w:rPr>
          <w:rFonts w:ascii="Arial" w:eastAsia="Times New Roman" w:hAnsi="Arial" w:cs="Arial"/>
          <w:bCs/>
          <w:iCs/>
          <w:szCs w:val="28"/>
          <w:lang w:val="en-US" w:eastAsia="ru-RU"/>
        </w:rPr>
        <w:t xml:space="preserve">, </w:t>
      </w:r>
      <w:r w:rsidRPr="00511005">
        <w:rPr>
          <w:rFonts w:ascii="Arial" w:eastAsia="Times New Roman" w:hAnsi="Arial" w:cs="Arial"/>
          <w:bCs/>
          <w:iCs/>
          <w:szCs w:val="28"/>
          <w:lang w:val="en" w:eastAsia="ru-RU"/>
        </w:rPr>
        <w:t>inadmissible</w:t>
      </w:r>
      <w:r w:rsidRPr="00511005">
        <w:rPr>
          <w:rFonts w:ascii="Arial" w:eastAsia="Times New Roman" w:hAnsi="Arial" w:cs="Arial"/>
          <w:bCs/>
          <w:iCs/>
          <w:szCs w:val="28"/>
          <w:lang w:val="en-US" w:eastAsia="ru-RU"/>
        </w:rPr>
        <w:t xml:space="preserve"> </w:t>
      </w:r>
      <w:r w:rsidRPr="00511005">
        <w:rPr>
          <w:rFonts w:ascii="Arial" w:eastAsia="Times New Roman" w:hAnsi="Arial" w:cs="Arial"/>
          <w:bCs/>
          <w:iCs/>
          <w:szCs w:val="28"/>
          <w:lang w:val="en" w:eastAsia="ru-RU"/>
        </w:rPr>
        <w:t>evidence</w:t>
      </w:r>
      <w:r w:rsidRPr="00511005">
        <w:rPr>
          <w:rFonts w:ascii="Arial" w:eastAsia="Times New Roman" w:hAnsi="Arial" w:cs="Arial"/>
          <w:bCs/>
          <w:iCs/>
          <w:szCs w:val="28"/>
          <w:lang w:val="en-US" w:eastAsia="ru-RU"/>
        </w:rPr>
        <w:t>.</w:t>
      </w:r>
    </w:p>
    <w:p w14:paraId="59A55E2D" w14:textId="77777777" w:rsidR="00532C25" w:rsidRPr="00511005" w:rsidRDefault="00532C25" w:rsidP="00532C25">
      <w:pPr>
        <w:keepNext/>
        <w:widowControl w:val="0"/>
        <w:spacing w:line="264" w:lineRule="auto"/>
        <w:rPr>
          <w:rFonts w:ascii="Arial" w:eastAsia="Times New Roman" w:hAnsi="Arial" w:cs="Arial"/>
          <w:bCs/>
          <w:i/>
          <w:szCs w:val="28"/>
          <w:lang w:val="ru" w:eastAsia="ru-RU"/>
        </w:rPr>
      </w:pPr>
      <w:r w:rsidRPr="00511005">
        <w:rPr>
          <w:rFonts w:ascii="Arial" w:eastAsia="Times New Roman" w:hAnsi="Arial" w:cs="Arial"/>
          <w:b/>
          <w:bCs/>
          <w:i/>
          <w:szCs w:val="28"/>
          <w:lang w:val="ru" w:eastAsia="ru-RU"/>
        </w:rPr>
        <w:t xml:space="preserve">Науковий керівник: </w:t>
      </w:r>
      <w:r w:rsidRPr="00511005">
        <w:rPr>
          <w:rFonts w:ascii="Arial" w:eastAsia="Times New Roman" w:hAnsi="Arial" w:cs="Arial"/>
          <w:bCs/>
          <w:i/>
          <w:szCs w:val="28"/>
          <w:lang w:val="ru" w:eastAsia="ru-RU"/>
        </w:rPr>
        <w:t>к.ю.н.,</w:t>
      </w:r>
      <w:r w:rsidRPr="00511005">
        <w:rPr>
          <w:rFonts w:ascii="Arial" w:eastAsia="Times New Roman" w:hAnsi="Arial" w:cs="Arial"/>
          <w:i/>
          <w:szCs w:val="28"/>
          <w:lang w:val="ru" w:eastAsia="ru-RU"/>
        </w:rPr>
        <w:t xml:space="preserve"> доцент Мурзановська А. В.</w:t>
      </w:r>
    </w:p>
    <w:p w14:paraId="381ACEE6" w14:textId="77777777" w:rsidR="00532C25" w:rsidRPr="00511005" w:rsidRDefault="00532C25" w:rsidP="00532C25">
      <w:pPr>
        <w:keepNext/>
        <w:widowControl w:val="0"/>
        <w:spacing w:line="264" w:lineRule="auto"/>
        <w:ind w:firstLine="0"/>
        <w:rPr>
          <w:rFonts w:ascii="Arial" w:eastAsia="Times New Roman" w:hAnsi="Arial" w:cs="Arial"/>
          <w:bCs/>
          <w:iCs/>
          <w:szCs w:val="28"/>
          <w:lang w:val="ru" w:eastAsia="ru-RU"/>
        </w:rPr>
      </w:pPr>
    </w:p>
    <w:p w14:paraId="77800C44" w14:textId="77777777" w:rsidR="00532C25" w:rsidRPr="00511005" w:rsidRDefault="00532C25" w:rsidP="00532C25">
      <w:pPr>
        <w:spacing w:line="264" w:lineRule="auto"/>
        <w:ind w:left="567" w:firstLine="0"/>
        <w:jc w:val="center"/>
        <w:rPr>
          <w:rFonts w:ascii="Arial" w:hAnsi="Arial" w:cs="Arial"/>
          <w:b/>
          <w:bCs/>
          <w:i/>
          <w:szCs w:val="28"/>
          <w:lang w:val="uk-UA" w:eastAsia="zh-CN"/>
        </w:rPr>
      </w:pPr>
      <w:r w:rsidRPr="00511005">
        <w:rPr>
          <w:rFonts w:ascii="Arial" w:hAnsi="Arial" w:cs="Arial"/>
          <w:b/>
          <w:bCs/>
          <w:i/>
          <w:szCs w:val="28"/>
          <w:lang w:val="uk-UA" w:eastAsia="zh-CN"/>
        </w:rPr>
        <w:t>Рачок Анна Ігорівна</w:t>
      </w:r>
    </w:p>
    <w:p w14:paraId="06638E2F"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34524FC1"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4CA7F2C"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77D8F93" w14:textId="77777777" w:rsidR="00532C25" w:rsidRPr="00511005" w:rsidRDefault="00532C25" w:rsidP="00532C25">
      <w:pPr>
        <w:spacing w:line="264" w:lineRule="auto"/>
        <w:ind w:firstLine="0"/>
        <w:rPr>
          <w:rFonts w:ascii="Arial" w:eastAsia="Arial" w:hAnsi="Arial" w:cs="Arial"/>
          <w:b/>
          <w:bCs/>
          <w:i/>
          <w:iCs/>
          <w:szCs w:val="28"/>
          <w:lang w:val="uk-UA" w:eastAsia="ru-RU"/>
        </w:rPr>
      </w:pPr>
    </w:p>
    <w:p w14:paraId="26F9FD61" w14:textId="77777777" w:rsidR="00532C25" w:rsidRPr="00511005" w:rsidRDefault="00532C25" w:rsidP="00532C25">
      <w:pPr>
        <w:spacing w:line="264" w:lineRule="auto"/>
        <w:ind w:firstLine="0"/>
        <w:jc w:val="center"/>
        <w:rPr>
          <w:rFonts w:ascii="Arial" w:eastAsia="Arial" w:hAnsi="Arial" w:cs="Arial"/>
          <w:b/>
          <w:bCs/>
          <w:szCs w:val="28"/>
          <w:lang w:val="uk-UA" w:eastAsia="ru-RU"/>
        </w:rPr>
      </w:pPr>
      <w:r w:rsidRPr="00511005">
        <w:rPr>
          <w:rFonts w:ascii="Arial" w:eastAsia="Arial" w:hAnsi="Arial" w:cs="Arial"/>
          <w:b/>
          <w:bCs/>
          <w:szCs w:val="28"/>
          <w:lang w:val="uk-UA" w:eastAsia="ru-RU"/>
        </w:rPr>
        <w:t>СПІВВІДНОШЕННЯ ПОНЯТТЯ ПРОЦЕСУ ДОКАЗУВАННЯ ВІДПОВІДНО ДО КРИМІНАЛЬНОГО ПРОЦЕСУАЛЬНОГО КОДЕКСУ УКРАЇНИ ТА ЗАКОНОДАВСТВА ІНШИХ ДЕРЖАВ</w:t>
      </w:r>
    </w:p>
    <w:p w14:paraId="5F7A3932"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 xml:space="preserve">Процес доказування є невідʼємною складовою правозастосування, адже саме на його основі і встановлюються фактичні обставини кримінального правопорушення та відповідно приймаються процесуальні рішення. Термін «доказування» можна трактувати через ч. 2 ст. 91 </w:t>
      </w:r>
      <w:r w:rsidRPr="00511005">
        <w:rPr>
          <w:rFonts w:ascii="Arial" w:eastAsia="Arial" w:hAnsi="Arial" w:cs="Arial"/>
          <w:szCs w:val="28"/>
          <w:lang w:val="uk-UA" w:eastAsia="ru-RU"/>
        </w:rPr>
        <w:lastRenderedPageBreak/>
        <w:t xml:space="preserve">Кримінального процесуального кодексу України (надалі - КПК), де зазначено, що «доказування у кримінальному провадженні охоплює процес збирання, перевірки та оцінки доказів для встановлення обставин, що мають значення для справи» [1]. Проте поняття “доказування” може також стосуватися іншої процесуальної діяльності – формування та аргументованого обґрунтування певної позиції з метою переконання слідчого судді або суду в необхідності ухвалення відповідного процесуального рішення [2, </w:t>
      </w:r>
      <w:r w:rsidRPr="00511005">
        <w:rPr>
          <w:rFonts w:ascii="Arial" w:eastAsia="Arial" w:hAnsi="Arial" w:cs="Arial"/>
          <w:szCs w:val="28"/>
          <w:lang w:val="en-US" w:eastAsia="ru-RU"/>
        </w:rPr>
        <w:t>c</w:t>
      </w:r>
      <w:r w:rsidRPr="00511005">
        <w:rPr>
          <w:rFonts w:ascii="Arial" w:eastAsia="Arial" w:hAnsi="Arial" w:cs="Arial"/>
          <w:szCs w:val="28"/>
          <w:lang w:val="uk-UA" w:eastAsia="ru-RU"/>
        </w:rPr>
        <w:t>. 39]. Таким чином, можна розрізняти два основних види доказування:</w:t>
      </w:r>
    </w:p>
    <w:p w14:paraId="6EF10D86"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 xml:space="preserve">1. </w:t>
      </w:r>
      <w:r w:rsidRPr="00511005">
        <w:rPr>
          <w:rFonts w:ascii="Arial" w:eastAsia="Arial" w:hAnsi="Arial" w:cs="Arial"/>
          <w:b/>
          <w:bCs/>
          <w:szCs w:val="28"/>
          <w:lang w:val="uk-UA" w:eastAsia="ru-RU"/>
        </w:rPr>
        <w:t xml:space="preserve">Доказування як встановлення фактичних обставин кримінального правопорушення </w:t>
      </w:r>
      <w:r w:rsidRPr="00511005">
        <w:rPr>
          <w:rFonts w:ascii="Arial" w:eastAsia="Arial" w:hAnsi="Arial" w:cs="Arial"/>
          <w:szCs w:val="28"/>
          <w:lang w:val="uk-UA" w:eastAsia="ru-RU"/>
        </w:rPr>
        <w:t>– ця діяльність передбачає збирання, перевірку та оцінку доказів (ч. 2 ст. 91 КПК). Її здійснюють суб’єкти кримінального провадження, відповідальні за ведення справи, з метою ухвалення процесуального рішення. Крім того, деякі учасники процесу, зокрема сторона захисту, мають право самостійно збирати докази (ч. 3 ст. 93 КПК).</w:t>
      </w:r>
    </w:p>
    <w:p w14:paraId="30A0D022"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 xml:space="preserve">2. </w:t>
      </w:r>
      <w:r w:rsidRPr="00511005">
        <w:rPr>
          <w:rFonts w:ascii="Arial" w:eastAsia="Arial" w:hAnsi="Arial" w:cs="Arial"/>
          <w:b/>
          <w:bCs/>
          <w:szCs w:val="28"/>
          <w:lang w:val="uk-UA" w:eastAsia="ru-RU"/>
        </w:rPr>
        <w:t>Доказування як аргументація позиції у кримінальному процесі</w:t>
      </w:r>
      <w:r w:rsidRPr="00511005">
        <w:rPr>
          <w:rFonts w:ascii="Arial" w:eastAsia="Arial" w:hAnsi="Arial" w:cs="Arial"/>
          <w:szCs w:val="28"/>
          <w:lang w:val="uk-UA" w:eastAsia="ru-RU"/>
        </w:rPr>
        <w:t xml:space="preserve"> – цей вид доказування спрямований на доведення певної точки зору перед адресатом (наприклад, слідчим суддею або судом), до якого звертаються учасники процесу з клопотанням про прийняття певного рішення.</w:t>
      </w:r>
    </w:p>
    <w:p w14:paraId="245D64F8" w14:textId="77777777" w:rsidR="00532C25" w:rsidRPr="00511005" w:rsidRDefault="00532C25" w:rsidP="00532C25">
      <w:pPr>
        <w:spacing w:line="264" w:lineRule="auto"/>
        <w:ind w:firstLine="720"/>
        <w:rPr>
          <w:rFonts w:ascii="Arial" w:eastAsia="Times New Roman" w:hAnsi="Arial" w:cs="Arial"/>
          <w:szCs w:val="28"/>
          <w:lang w:val="uk-UA" w:eastAsia="en-GB"/>
        </w:rPr>
      </w:pPr>
      <w:r w:rsidRPr="00511005">
        <w:rPr>
          <w:rFonts w:ascii="Arial" w:eastAsia="Times New Roman" w:hAnsi="Arial" w:cs="Arial"/>
          <w:szCs w:val="28"/>
          <w:lang w:val="uk-UA" w:eastAsia="en-GB"/>
        </w:rPr>
        <w:t xml:space="preserve">В своїй практиці Верховний суд дійшов до висновку, що </w:t>
      </w:r>
      <w:r w:rsidRPr="00511005">
        <w:rPr>
          <w:rFonts w:ascii="Arial" w:eastAsia="Times New Roman" w:hAnsi="Arial" w:cs="Arial"/>
          <w:szCs w:val="28"/>
          <w:lang w:eastAsia="en-GB"/>
        </w:rPr>
        <w:t>судові дебати - обов’язкова частина стадії судового розгляду, в якій виступають його учасники з аналізом доказів, які були досліджені в судовому розгляді, та пропозиціями про вирішення кримінального провадження. Під час судових дебатів найбільшою мірою проявляється така загальна засада кримінального провадження, як змагальність сторін у доведенні перед судом переконливості їхніх правових позицій, що у свою чергу сприяє всебічному, повному та неупередженому дослідженню всіх обставин кримінального провадження та постановленню законного й обґрунтованого рішення суду</w:t>
      </w:r>
      <w:r w:rsidRPr="00511005">
        <w:rPr>
          <w:rFonts w:ascii="Arial" w:eastAsia="Times New Roman" w:hAnsi="Arial" w:cs="Arial"/>
          <w:szCs w:val="28"/>
          <w:lang w:val="uk-UA" w:eastAsia="en-GB"/>
        </w:rPr>
        <w:t xml:space="preserve"> </w:t>
      </w:r>
      <w:r w:rsidRPr="00511005">
        <w:rPr>
          <w:rFonts w:ascii="Arial" w:eastAsia="Times New Roman" w:hAnsi="Arial" w:cs="Arial"/>
          <w:szCs w:val="28"/>
          <w:lang w:eastAsia="en-GB"/>
        </w:rPr>
        <w:t>[3].</w:t>
      </w:r>
    </w:p>
    <w:p w14:paraId="2DF755E9" w14:textId="77777777" w:rsidR="00532C25" w:rsidRPr="00511005" w:rsidRDefault="00532C25" w:rsidP="00532C25">
      <w:pPr>
        <w:spacing w:line="264" w:lineRule="auto"/>
        <w:ind w:firstLine="720"/>
        <w:rPr>
          <w:rFonts w:ascii="Arial" w:eastAsia="Times New Roman" w:hAnsi="Arial" w:cs="Arial"/>
          <w:szCs w:val="28"/>
          <w:lang w:eastAsia="en-GB"/>
        </w:rPr>
      </w:pPr>
      <w:r w:rsidRPr="00511005">
        <w:rPr>
          <w:rFonts w:ascii="Arial" w:eastAsia="Times New Roman" w:hAnsi="Arial" w:cs="Arial"/>
          <w:szCs w:val="28"/>
          <w:lang w:val="uk-UA" w:eastAsia="en-GB"/>
        </w:rPr>
        <w:t>Однак, розмежування цих двох аспектів доказування є важливим для правильного визначення ролі кожного учасника кримінального провадження, зокрема для встановлення обов’язку щодо збирання, перевірки та оцінки доказів.</w:t>
      </w:r>
    </w:p>
    <w:p w14:paraId="04A7A0FE"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За КПК Федеративної республіки Німеччини від 1 лютого 1877 р. (із останніми змінами від 9 жовтня 2020 року), варто зазначити той факт, що немає конкретної статті, котра би чітко зазначала щодо процесу доказування, проте аналізуючи весь КПК Федеративної республіки Німеччини, то варто зазначити, що процес доказування визначається рядом принципів та правил, що гарантують справедливий судовий розгляд. Основні аспекти доказування в німецькому кримінальному процесі включають у себе [3]:</w:t>
      </w:r>
    </w:p>
    <w:p w14:paraId="2DD7DF7B" w14:textId="77777777" w:rsidR="00532C25" w:rsidRPr="00511005" w:rsidRDefault="00532C25" w:rsidP="00532C25">
      <w:pPr>
        <w:spacing w:line="264" w:lineRule="auto"/>
        <w:ind w:firstLine="720"/>
        <w:rPr>
          <w:rFonts w:ascii="Arial" w:eastAsia="Arial" w:hAnsi="Arial" w:cs="Arial"/>
          <w:szCs w:val="28"/>
          <w:lang w:val="ru" w:eastAsia="ru-RU"/>
        </w:rPr>
      </w:pPr>
      <w:r w:rsidRPr="00511005">
        <w:rPr>
          <w:rFonts w:ascii="Arial" w:eastAsia="Arial" w:hAnsi="Arial" w:cs="Arial"/>
          <w:b/>
          <w:bCs/>
          <w:szCs w:val="28"/>
          <w:lang w:val="uk-UA" w:eastAsia="ru-RU"/>
        </w:rPr>
        <w:lastRenderedPageBreak/>
        <w:t>1.Принцип вільної оцінки доказів</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Freie</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Beweisw</w:t>
      </w:r>
      <w:r w:rsidRPr="00511005">
        <w:rPr>
          <w:rFonts w:ascii="Arial" w:eastAsia="Arial" w:hAnsi="Arial" w:cs="Arial"/>
          <w:szCs w:val="28"/>
          <w:lang w:val="uk-UA" w:eastAsia="ru-RU"/>
        </w:rPr>
        <w:t>ü</w:t>
      </w:r>
      <w:r w:rsidRPr="00511005">
        <w:rPr>
          <w:rFonts w:ascii="Arial" w:eastAsia="Arial" w:hAnsi="Arial" w:cs="Arial"/>
          <w:szCs w:val="28"/>
          <w:lang w:val="ru" w:eastAsia="ru-RU"/>
        </w:rPr>
        <w:t>rdigung</w:t>
      </w:r>
      <w:r w:rsidRPr="00511005">
        <w:rPr>
          <w:rFonts w:ascii="Arial" w:eastAsia="Arial" w:hAnsi="Arial" w:cs="Arial"/>
          <w:szCs w:val="28"/>
          <w:lang w:val="uk-UA" w:eastAsia="ru-RU"/>
        </w:rPr>
        <w:t>, § 286). Тобто, суд оцінює докази на власний розсуд, проте в цей же момент, не керуючись формальними правилами щодо їхньої сили чи допустимості, окрім тих обмежень, які передбачені законом.</w:t>
      </w:r>
    </w:p>
    <w:p w14:paraId="4DA535CB" w14:textId="77777777" w:rsidR="00532C25" w:rsidRPr="00511005" w:rsidRDefault="00532C25" w:rsidP="00532C25">
      <w:pPr>
        <w:spacing w:line="264" w:lineRule="auto"/>
        <w:ind w:firstLine="720"/>
        <w:rPr>
          <w:rFonts w:ascii="Arial" w:eastAsia="Arial" w:hAnsi="Arial" w:cs="Arial"/>
          <w:szCs w:val="28"/>
          <w:lang w:val="ru" w:eastAsia="ru-RU"/>
        </w:rPr>
      </w:pPr>
      <w:r w:rsidRPr="00511005">
        <w:rPr>
          <w:rFonts w:ascii="Arial" w:eastAsia="Arial" w:hAnsi="Arial" w:cs="Arial"/>
          <w:b/>
          <w:bCs/>
          <w:szCs w:val="28"/>
          <w:lang w:val="uk-UA" w:eastAsia="ru-RU"/>
        </w:rPr>
        <w:t>2.Принцип безпосередньості</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Unmittelbarkeitsprinzip, § 250</w:t>
      </w:r>
      <w:r w:rsidRPr="00511005">
        <w:rPr>
          <w:rFonts w:ascii="Arial" w:eastAsia="Arial" w:hAnsi="Arial" w:cs="Arial"/>
          <w:szCs w:val="28"/>
          <w:lang w:val="uk-UA" w:eastAsia="ru-RU"/>
        </w:rPr>
        <w:t xml:space="preserve">). Суд має отримувати докази безпосередньо, тобто вислуховувати свідків особисто, а не через письмові показання чи через протоколи. </w:t>
      </w:r>
    </w:p>
    <w:p w14:paraId="560D8ADB" w14:textId="77777777" w:rsidR="00532C25" w:rsidRPr="00511005" w:rsidRDefault="00532C25" w:rsidP="00532C25">
      <w:pPr>
        <w:spacing w:line="264" w:lineRule="auto"/>
        <w:ind w:firstLine="720"/>
        <w:rPr>
          <w:rFonts w:ascii="Arial" w:eastAsia="Arial" w:hAnsi="Arial" w:cs="Arial"/>
          <w:szCs w:val="28"/>
          <w:lang w:val="ru" w:eastAsia="ru-RU"/>
        </w:rPr>
      </w:pPr>
      <w:r w:rsidRPr="00511005">
        <w:rPr>
          <w:rFonts w:ascii="Arial" w:eastAsia="Arial" w:hAnsi="Arial" w:cs="Arial"/>
          <w:b/>
          <w:bCs/>
          <w:szCs w:val="28"/>
          <w:lang w:val="uk-UA" w:eastAsia="ru-RU"/>
        </w:rPr>
        <w:t>3.Принцип заборони використання недопустимих доказів</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Beweisverwertungsverbot</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 xml:space="preserve">§ </w:t>
      </w:r>
      <w:r w:rsidRPr="00511005">
        <w:rPr>
          <w:rFonts w:ascii="Arial" w:eastAsia="Arial" w:hAnsi="Arial" w:cs="Arial"/>
          <w:szCs w:val="28"/>
          <w:lang w:val="uk-UA" w:eastAsia="ru-RU"/>
        </w:rPr>
        <w:t>136а). Законодавець мав на увазі те, що докази, які отримані з порушенням чинного законодавства (до прикладу, під примусом), можуть бути визнані недійсними.</w:t>
      </w:r>
    </w:p>
    <w:p w14:paraId="6094D2CA"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Окрім цього, у своїй роботі «Кримінальне процесуальне право» («</w:t>
      </w:r>
      <w:r w:rsidRPr="00511005">
        <w:rPr>
          <w:rFonts w:ascii="Arial" w:eastAsia="Arial" w:hAnsi="Arial" w:cs="Arial"/>
          <w:szCs w:val="28"/>
          <w:lang w:val="ru" w:eastAsia="ru-RU"/>
        </w:rPr>
        <w:t>Strafverfahrensrecht</w:t>
      </w:r>
      <w:r w:rsidRPr="00511005">
        <w:rPr>
          <w:rFonts w:ascii="Arial" w:eastAsia="Arial" w:hAnsi="Arial" w:cs="Arial"/>
          <w:szCs w:val="28"/>
          <w:lang w:val="uk-UA" w:eastAsia="ru-RU"/>
        </w:rPr>
        <w:t>») Клаус Роксін зазначав, що процес доказування, окрім вище зазначених принципів повинен в себе включати ще принцип офіційного розслідування (</w:t>
      </w:r>
      <w:r w:rsidRPr="00511005">
        <w:rPr>
          <w:rFonts w:ascii="Arial" w:eastAsia="Arial" w:hAnsi="Arial" w:cs="Arial"/>
          <w:szCs w:val="28"/>
          <w:lang w:val="ru" w:eastAsia="ru-RU"/>
        </w:rPr>
        <w:t>Amtsermittlungsgrundsatz</w:t>
      </w:r>
      <w:r w:rsidRPr="00511005">
        <w:rPr>
          <w:rFonts w:ascii="Arial" w:eastAsia="Arial" w:hAnsi="Arial" w:cs="Arial"/>
          <w:szCs w:val="28"/>
          <w:lang w:val="uk-UA" w:eastAsia="ru-RU"/>
        </w:rPr>
        <w:t>). Оскільки, німецький кримінальний процес побудований на інквізиційному принципі, тобто на суд і органи прокуратури покладено обовʼязок активно встановлювати істину, а не просто оцінювати докази, котрі подані сторонами [5].</w:t>
      </w:r>
    </w:p>
    <w:p w14:paraId="48678A6A"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 xml:space="preserve">Ситуація подібна і у Кримінальному процесуальному кодексі Королівства Нідерландів. Процес доказування у Кримінальному процесуальному кодексі Королівства Нідерландів регулюється з урахуванням принципів справедливого розгляду та дотримання прав людини. Ось деякі ключові положення [6]: </w:t>
      </w:r>
    </w:p>
    <w:p w14:paraId="4735E816" w14:textId="77777777" w:rsidR="00532C25" w:rsidRPr="00511005" w:rsidRDefault="00532C25" w:rsidP="00532C25">
      <w:pPr>
        <w:spacing w:line="264" w:lineRule="auto"/>
        <w:ind w:firstLine="720"/>
        <w:rPr>
          <w:rFonts w:ascii="Arial" w:eastAsia="Arial" w:hAnsi="Arial" w:cs="Arial"/>
          <w:szCs w:val="28"/>
          <w:lang w:val="ru" w:eastAsia="ru-RU"/>
        </w:rPr>
      </w:pPr>
      <w:r w:rsidRPr="00511005">
        <w:rPr>
          <w:rFonts w:ascii="Arial" w:eastAsia="Arial" w:hAnsi="Arial" w:cs="Arial"/>
          <w:b/>
          <w:bCs/>
          <w:szCs w:val="28"/>
          <w:lang w:val="uk-UA" w:eastAsia="ru-RU"/>
        </w:rPr>
        <w:t>1.Принцип вільної оцінки доказів</w:t>
      </w:r>
      <w:r w:rsidRPr="00511005">
        <w:rPr>
          <w:rFonts w:ascii="Arial" w:eastAsia="Arial" w:hAnsi="Arial" w:cs="Arial"/>
          <w:szCs w:val="28"/>
          <w:lang w:val="uk-UA" w:eastAsia="ru-RU"/>
        </w:rPr>
        <w:t xml:space="preserve"> (ст. 338 КПК Королівства Нідерландів).</w:t>
      </w:r>
    </w:p>
    <w:p w14:paraId="7A157D30"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xml:space="preserve">Зазначена стаття </w:t>
      </w:r>
      <w:r w:rsidRPr="00511005">
        <w:rPr>
          <w:rFonts w:ascii="Arial" w:eastAsia="Arial" w:hAnsi="Arial" w:cs="Arial"/>
          <w:szCs w:val="28"/>
          <w:lang w:val="ru" w:eastAsia="ru-RU"/>
        </w:rPr>
        <w:t xml:space="preserve">КПК </w:t>
      </w:r>
      <w:r w:rsidRPr="00511005">
        <w:rPr>
          <w:rFonts w:ascii="Arial" w:eastAsia="Arial" w:hAnsi="Arial" w:cs="Arial"/>
          <w:szCs w:val="28"/>
          <w:lang w:val="uk-UA" w:eastAsia="ru-RU"/>
        </w:rPr>
        <w:t xml:space="preserve">Королівства </w:t>
      </w:r>
      <w:r w:rsidRPr="00511005">
        <w:rPr>
          <w:rFonts w:ascii="Arial" w:eastAsia="Arial" w:hAnsi="Arial" w:cs="Arial"/>
          <w:szCs w:val="28"/>
          <w:lang w:val="ru" w:eastAsia="ru-RU"/>
        </w:rPr>
        <w:t>Нідерландів встановлює, що суд може визнати обвинуваченого винним лише за наявності достатніх законних доказів, які переконують суд у його винуватості. Це надає суддям свободу оцінювати докази на власний розсуд.</w:t>
      </w:r>
    </w:p>
    <w:p w14:paraId="25709B8A"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
          <w:bCs/>
          <w:szCs w:val="28"/>
          <w:lang w:val="uk-UA" w:eastAsia="ru-RU"/>
        </w:rPr>
        <w:t>2.Принцип допустимості доказів</w:t>
      </w:r>
      <w:r w:rsidRPr="00511005">
        <w:rPr>
          <w:rFonts w:ascii="Arial" w:eastAsia="Arial" w:hAnsi="Arial" w:cs="Arial"/>
          <w:szCs w:val="28"/>
          <w:lang w:val="uk-UA" w:eastAsia="ru-RU"/>
        </w:rPr>
        <w:t xml:space="preserve"> (ст. 339 КПК Королівства Нідерландів). Дана стаття чинного КПК Королівства </w:t>
      </w:r>
      <w:r w:rsidRPr="00511005">
        <w:rPr>
          <w:rFonts w:ascii="Arial" w:eastAsia="Arial" w:hAnsi="Arial" w:cs="Arial"/>
          <w:szCs w:val="28"/>
          <w:lang w:val="ru" w:eastAsia="ru-RU"/>
        </w:rPr>
        <w:t>Нідерландів визначає види доказів, які можуть бути використані в суді</w:t>
      </w:r>
      <w:r w:rsidRPr="00511005">
        <w:rPr>
          <w:rFonts w:ascii="Arial" w:eastAsia="Arial" w:hAnsi="Arial" w:cs="Arial"/>
          <w:szCs w:val="28"/>
          <w:lang w:val="uk-UA" w:eastAsia="ru-RU"/>
        </w:rPr>
        <w:t xml:space="preserve">, а саме: </w:t>
      </w:r>
      <w:r w:rsidRPr="00511005">
        <w:rPr>
          <w:rFonts w:ascii="Arial" w:eastAsia="Arial" w:hAnsi="Arial" w:cs="Arial"/>
          <w:szCs w:val="28"/>
          <w:lang w:val="ru" w:eastAsia="ru-RU"/>
        </w:rPr>
        <w:t>показання свідків, експертні висновки, документи, заяви обвинуваченого та результати огляду місця події або обшуку.</w:t>
      </w:r>
      <w:r w:rsidRPr="00511005">
        <w:rPr>
          <w:rFonts w:ascii="Arial" w:eastAsia="Arial" w:hAnsi="Arial" w:cs="Arial"/>
          <w:szCs w:val="28"/>
          <w:lang w:val="uk-UA" w:eastAsia="ru-RU"/>
        </w:rPr>
        <w:t xml:space="preserve"> </w:t>
      </w:r>
    </w:p>
    <w:p w14:paraId="6C0BD5C5"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Серед нідерландських вчених, а саме - Кікі Твіск, Маріякі Дубелар та Чарльз Бергер зазначали в своїй роботі, котра має назву: «Докази та переконання: дослідження оцінки доказів у кримінальних справах» зазначали, що дані принципи, котрі закріплені в КПК Королівства Нідерландів є важливі, проте варто зауважити ще те, що використання спеціальних методів збору доказів, також, посідає вагоме значення у процесі доказування, оскільки у випадках, коли докази збираються спеціальними службами, такими як Служба розвідки та безпеки (</w:t>
      </w:r>
      <w:r w:rsidRPr="00511005">
        <w:rPr>
          <w:rFonts w:ascii="Arial" w:eastAsia="Arial" w:hAnsi="Arial" w:cs="Arial"/>
          <w:szCs w:val="28"/>
          <w:lang w:val="ru" w:eastAsia="ru-RU"/>
        </w:rPr>
        <w:t>AIVD</w:t>
      </w:r>
      <w:r w:rsidRPr="00511005">
        <w:rPr>
          <w:rFonts w:ascii="Arial" w:eastAsia="Arial" w:hAnsi="Arial" w:cs="Arial"/>
          <w:szCs w:val="28"/>
          <w:lang w:val="uk-UA" w:eastAsia="ru-RU"/>
        </w:rPr>
        <w:t xml:space="preserve">), застосовуються </w:t>
      </w:r>
      <w:r w:rsidRPr="00511005">
        <w:rPr>
          <w:rFonts w:ascii="Arial" w:eastAsia="Arial" w:hAnsi="Arial" w:cs="Arial"/>
          <w:szCs w:val="28"/>
          <w:lang w:val="uk-UA" w:eastAsia="ru-RU"/>
        </w:rPr>
        <w:lastRenderedPageBreak/>
        <w:t xml:space="preserve">особливі процедури, передбачені законодавством про національну безпеку. </w:t>
      </w:r>
      <w:r w:rsidRPr="00511005">
        <w:rPr>
          <w:rFonts w:ascii="Arial" w:eastAsia="Arial" w:hAnsi="Arial" w:cs="Arial"/>
          <w:szCs w:val="28"/>
          <w:lang w:val="ru" w:eastAsia="ru-RU"/>
        </w:rPr>
        <w:t>Однак такі докази повинні бути отримані законним шляхом і не порушувати права обвинуваченого</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w:t>
      </w:r>
      <w:r w:rsidRPr="00511005">
        <w:rPr>
          <w:rFonts w:ascii="Arial" w:eastAsia="Arial" w:hAnsi="Arial" w:cs="Arial"/>
          <w:szCs w:val="28"/>
          <w:lang w:val="uk-UA" w:eastAsia="ru-RU"/>
        </w:rPr>
        <w:t>7</w:t>
      </w:r>
      <w:r w:rsidRPr="00511005">
        <w:rPr>
          <w:rFonts w:ascii="Arial" w:eastAsia="Arial" w:hAnsi="Arial" w:cs="Arial"/>
          <w:szCs w:val="28"/>
          <w:lang w:val="ru" w:eastAsia="ru-RU"/>
        </w:rPr>
        <w:t>].</w:t>
      </w:r>
    </w:p>
    <w:p w14:paraId="1D14E233"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Ситуація в польському кримінальному – процесуальному законодавстві – аналогічна. Проте, окрім вище зазначених принципів, доказування у кримінальному процесі Польщі ґрунтується ще:</w:t>
      </w:r>
    </w:p>
    <w:p w14:paraId="45368D47"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
          <w:bCs/>
          <w:szCs w:val="28"/>
          <w:lang w:val="uk-UA" w:eastAsia="ru-RU"/>
        </w:rPr>
        <w:t>Принципі обʼєктивної істини</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zasada</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prawdy</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obiektywnej</w:t>
      </w:r>
      <w:r w:rsidRPr="00511005">
        <w:rPr>
          <w:rFonts w:ascii="Arial" w:eastAsia="Arial" w:hAnsi="Arial" w:cs="Arial"/>
          <w:szCs w:val="28"/>
          <w:lang w:val="uk-UA" w:eastAsia="ru-RU"/>
        </w:rPr>
        <w:t>). Що варто трактувати, як ргани досудового розслідування та суд зобов’язані всебічно і повно дослідити всі обставини справи, як ті, що обтяжують обвинуваченого, так і ті, що виправдовують чи пом’якшують вину [8].</w:t>
      </w:r>
    </w:p>
    <w:p w14:paraId="58D6B2F6"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ru" w:eastAsia="ru-RU"/>
        </w:rPr>
        <w:t xml:space="preserve">Відомий </w:t>
      </w:r>
      <w:r w:rsidRPr="00511005">
        <w:rPr>
          <w:rFonts w:ascii="Arial" w:eastAsia="Arial" w:hAnsi="Arial" w:cs="Arial"/>
          <w:szCs w:val="28"/>
          <w:lang w:val="uk-UA" w:eastAsia="ru-RU"/>
        </w:rPr>
        <w:t>професор Скорупка (</w:t>
      </w:r>
      <w:r w:rsidRPr="00511005">
        <w:rPr>
          <w:rFonts w:ascii="Arial" w:eastAsia="Arial" w:hAnsi="Arial" w:cs="Arial"/>
          <w:szCs w:val="28"/>
          <w:lang w:val="ru" w:eastAsia="ru-RU"/>
        </w:rPr>
        <w:t>Prof. dr hab. Jerzy Skorupka</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польський процесуаліст, автор численних робіт, присвячених кримінальному процесу та доказуванню. Його наукова діяльність охоплює широкий спектр питань, пов’язаних із доказуванням у кримінальному процесі Польщі, зокрема:</w:t>
      </w:r>
    </w:p>
    <w:p w14:paraId="3F9C5CDC"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
          <w:bCs/>
          <w:szCs w:val="28"/>
          <w:lang w:val="uk-UA" w:eastAsia="ru-RU"/>
        </w:rPr>
        <w:t>1.Допустимість доказів</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dopuszczalno</w:t>
      </w:r>
      <w:r w:rsidRPr="00511005">
        <w:rPr>
          <w:rFonts w:ascii="Arial" w:eastAsia="Arial" w:hAnsi="Arial" w:cs="Arial"/>
          <w:szCs w:val="28"/>
          <w:lang w:val="uk-UA" w:eastAsia="ru-RU"/>
        </w:rPr>
        <w:t xml:space="preserve">ść </w:t>
      </w:r>
      <w:r w:rsidRPr="00511005">
        <w:rPr>
          <w:rFonts w:ascii="Arial" w:eastAsia="Arial" w:hAnsi="Arial" w:cs="Arial"/>
          <w:szCs w:val="28"/>
          <w:lang w:val="ru" w:eastAsia="ru-RU"/>
        </w:rPr>
        <w:t>dowod</w:t>
      </w:r>
      <w:r w:rsidRPr="00511005">
        <w:rPr>
          <w:rFonts w:ascii="Arial" w:eastAsia="Arial" w:hAnsi="Arial" w:cs="Arial"/>
          <w:szCs w:val="28"/>
          <w:lang w:val="uk-UA" w:eastAsia="ru-RU"/>
        </w:rPr>
        <w:t>ó</w:t>
      </w:r>
      <w:r w:rsidRPr="00511005">
        <w:rPr>
          <w:rFonts w:ascii="Arial" w:eastAsia="Arial" w:hAnsi="Arial" w:cs="Arial"/>
          <w:szCs w:val="28"/>
          <w:lang w:val="ru" w:eastAsia="ru-RU"/>
        </w:rPr>
        <w:t>w</w:t>
      </w:r>
      <w:r w:rsidRPr="00511005">
        <w:rPr>
          <w:rFonts w:ascii="Arial" w:eastAsia="Arial" w:hAnsi="Arial" w:cs="Arial"/>
          <w:szCs w:val="28"/>
          <w:lang w:val="uk-UA" w:eastAsia="ru-RU"/>
        </w:rPr>
        <w:t>): Скорупка аналізує критерії, за якими докази визнаються допустимими в судовому процесі, підкреслюючи важливість дотримання процесуальних норм при їх збиранні та поданні.</w:t>
      </w:r>
    </w:p>
    <w:p w14:paraId="6CA3476D"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2.</w:t>
      </w:r>
      <w:r w:rsidRPr="00511005">
        <w:rPr>
          <w:rFonts w:ascii="Arial" w:eastAsia="Arial" w:hAnsi="Arial" w:cs="Arial"/>
          <w:b/>
          <w:bCs/>
          <w:szCs w:val="28"/>
          <w:lang w:val="uk-UA" w:eastAsia="ru-RU"/>
        </w:rPr>
        <w:t>Свобода оцінки доказів</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swobodna</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ocena</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dowod</w:t>
      </w:r>
      <w:r w:rsidRPr="00511005">
        <w:rPr>
          <w:rFonts w:ascii="Arial" w:eastAsia="Arial" w:hAnsi="Arial" w:cs="Arial"/>
          <w:szCs w:val="28"/>
          <w:lang w:val="uk-UA" w:eastAsia="ru-RU"/>
        </w:rPr>
        <w:t>ó</w:t>
      </w:r>
      <w:r w:rsidRPr="00511005">
        <w:rPr>
          <w:rFonts w:ascii="Arial" w:eastAsia="Arial" w:hAnsi="Arial" w:cs="Arial"/>
          <w:szCs w:val="28"/>
          <w:lang w:val="ru" w:eastAsia="ru-RU"/>
        </w:rPr>
        <w:t>w</w:t>
      </w:r>
      <w:r w:rsidRPr="00511005">
        <w:rPr>
          <w:rFonts w:ascii="Arial" w:eastAsia="Arial" w:hAnsi="Arial" w:cs="Arial"/>
          <w:szCs w:val="28"/>
          <w:lang w:val="uk-UA" w:eastAsia="ru-RU"/>
        </w:rPr>
        <w:t>): Він досліджує принцип вільної оцінки доказів судом, наголошуючи на необхідності обґрунтування судових рішень та використання логіки, знань і життєвого досвіду при оцінці доказового матеріалу.</w:t>
      </w:r>
    </w:p>
    <w:p w14:paraId="4EF802D4"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3.</w:t>
      </w:r>
      <w:r w:rsidRPr="00511005">
        <w:rPr>
          <w:rFonts w:ascii="Arial" w:eastAsia="Arial" w:hAnsi="Arial" w:cs="Arial"/>
          <w:b/>
          <w:bCs/>
          <w:szCs w:val="28"/>
          <w:lang w:val="ru" w:eastAsia="ru-RU"/>
        </w:rPr>
        <w:t>Заборона використання незаконно отриманих доказів</w:t>
      </w:r>
      <w:r w:rsidRPr="00511005">
        <w:rPr>
          <w:rFonts w:ascii="Arial" w:eastAsia="Arial" w:hAnsi="Arial" w:cs="Arial"/>
          <w:szCs w:val="28"/>
          <w:lang w:val="ru" w:eastAsia="ru-RU"/>
        </w:rPr>
        <w:t xml:space="preserve"> (owoce zatrutego drzewa): Скорупка розглядає доктрину “плодів отруєного дерева”, підкреслюючи, що докази, отримані з порушенням закону, не можуть бути використані в кримінальному процесі [</w:t>
      </w:r>
      <w:r w:rsidRPr="00511005">
        <w:rPr>
          <w:rFonts w:ascii="Arial" w:eastAsia="Arial" w:hAnsi="Arial" w:cs="Arial"/>
          <w:szCs w:val="28"/>
          <w:lang w:val="uk-UA" w:eastAsia="ru-RU"/>
        </w:rPr>
        <w:t>9</w:t>
      </w:r>
      <w:r w:rsidRPr="00511005">
        <w:rPr>
          <w:rFonts w:ascii="Arial" w:eastAsia="Arial" w:hAnsi="Arial" w:cs="Arial"/>
          <w:szCs w:val="28"/>
          <w:lang w:val="ru" w:eastAsia="ru-RU"/>
        </w:rPr>
        <w:t>].</w:t>
      </w:r>
    </w:p>
    <w:p w14:paraId="1B915DF4"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Отже, можна дійти до висновку, що підхід нашого законодавця є чітким та логічним в порівнянні з іншими проаналізованими зарубіжними країнами. Слід памʼятати, що намагаючись ставати на шлях до Євроінтеграції не слід бездумно копіювати досвід іноземних країн, важливо з розумом підходити до аналізу законодавства інших країн, звичайно, варто переймати лише найкраще та найважливіше для досягнення бажаного результату.</w:t>
      </w:r>
    </w:p>
    <w:p w14:paraId="32CE1270" w14:textId="77777777" w:rsidR="00532C25" w:rsidRPr="00511005" w:rsidRDefault="00532C25" w:rsidP="00532C25">
      <w:pPr>
        <w:spacing w:line="264" w:lineRule="auto"/>
        <w:ind w:firstLine="720"/>
        <w:rPr>
          <w:rFonts w:ascii="Arial" w:eastAsia="Arial" w:hAnsi="Arial" w:cs="Arial"/>
          <w:b/>
          <w:bCs/>
          <w:szCs w:val="28"/>
          <w:lang w:val="uk-UA" w:eastAsia="ru-RU"/>
        </w:rPr>
      </w:pPr>
    </w:p>
    <w:p w14:paraId="26A62064" w14:textId="77777777" w:rsidR="00532C25" w:rsidRPr="00511005" w:rsidRDefault="00532C25" w:rsidP="00532C25">
      <w:pPr>
        <w:spacing w:line="264" w:lineRule="auto"/>
        <w:ind w:firstLine="720"/>
        <w:jc w:val="center"/>
        <w:rPr>
          <w:rFonts w:ascii="Arial" w:eastAsia="Arial" w:hAnsi="Arial" w:cs="Arial"/>
          <w:b/>
          <w:bCs/>
          <w:szCs w:val="28"/>
          <w:lang w:val="uk-UA" w:eastAsia="ru-RU"/>
        </w:rPr>
      </w:pPr>
      <w:r w:rsidRPr="00511005">
        <w:rPr>
          <w:rFonts w:ascii="Arial" w:eastAsia="Arial" w:hAnsi="Arial" w:cs="Arial"/>
          <w:b/>
          <w:bCs/>
          <w:szCs w:val="28"/>
          <w:lang w:val="uk-UA" w:eastAsia="ru-RU"/>
        </w:rPr>
        <w:t>Список використаних джерел</w:t>
      </w:r>
    </w:p>
    <w:p w14:paraId="4E355DAA"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 xml:space="preserve">1. Кримінальний процесуальний кодекс України : Закон України від 13.04.2012 р. No 4651-VI / Верховна Рада України. URL: </w:t>
      </w:r>
      <w:hyperlink r:id="rId2278" w:anchor="Text" w:history="1">
        <w:r w:rsidRPr="00511005">
          <w:rPr>
            <w:rFonts w:ascii="Arial" w:eastAsia="Arial" w:hAnsi="Arial" w:cs="Arial"/>
            <w:szCs w:val="28"/>
            <w:lang w:val="ru" w:eastAsia="ru-RU"/>
          </w:rPr>
          <w:t>https</w:t>
        </w:r>
        <w:r w:rsidRPr="00511005">
          <w:rPr>
            <w:rFonts w:ascii="Arial" w:eastAsia="Arial" w:hAnsi="Arial" w:cs="Arial"/>
            <w:szCs w:val="28"/>
            <w:lang w:val="uk-UA" w:eastAsia="ru-RU"/>
          </w:rPr>
          <w:t>://</w:t>
        </w:r>
        <w:r w:rsidRPr="00511005">
          <w:rPr>
            <w:rFonts w:ascii="Arial" w:eastAsia="Arial" w:hAnsi="Arial" w:cs="Arial"/>
            <w:szCs w:val="28"/>
            <w:lang w:val="ru" w:eastAsia="ru-RU"/>
          </w:rPr>
          <w:t>zakon</w:t>
        </w:r>
        <w:r w:rsidRPr="00511005">
          <w:rPr>
            <w:rFonts w:ascii="Arial" w:eastAsia="Arial" w:hAnsi="Arial" w:cs="Arial"/>
            <w:szCs w:val="28"/>
            <w:lang w:val="uk-UA" w:eastAsia="ru-RU"/>
          </w:rPr>
          <w:t>.</w:t>
        </w:r>
        <w:r w:rsidRPr="00511005">
          <w:rPr>
            <w:rFonts w:ascii="Arial" w:eastAsia="Arial" w:hAnsi="Arial" w:cs="Arial"/>
            <w:szCs w:val="28"/>
            <w:lang w:val="ru" w:eastAsia="ru-RU"/>
          </w:rPr>
          <w:t>rada</w:t>
        </w:r>
        <w:r w:rsidRPr="00511005">
          <w:rPr>
            <w:rFonts w:ascii="Arial" w:eastAsia="Arial" w:hAnsi="Arial" w:cs="Arial"/>
            <w:szCs w:val="28"/>
            <w:lang w:val="uk-UA" w:eastAsia="ru-RU"/>
          </w:rPr>
          <w:t>.</w:t>
        </w:r>
        <w:r w:rsidRPr="00511005">
          <w:rPr>
            <w:rFonts w:ascii="Arial" w:eastAsia="Arial" w:hAnsi="Arial" w:cs="Arial"/>
            <w:szCs w:val="28"/>
            <w:lang w:val="ru" w:eastAsia="ru-RU"/>
          </w:rPr>
          <w:t>gov</w:t>
        </w:r>
        <w:r w:rsidRPr="00511005">
          <w:rPr>
            <w:rFonts w:ascii="Arial" w:eastAsia="Arial" w:hAnsi="Arial" w:cs="Arial"/>
            <w:szCs w:val="28"/>
            <w:lang w:val="uk-UA" w:eastAsia="ru-RU"/>
          </w:rPr>
          <w:t>.</w:t>
        </w:r>
        <w:r w:rsidRPr="00511005">
          <w:rPr>
            <w:rFonts w:ascii="Arial" w:eastAsia="Arial" w:hAnsi="Arial" w:cs="Arial"/>
            <w:szCs w:val="28"/>
            <w:lang w:val="ru" w:eastAsia="ru-RU"/>
          </w:rPr>
          <w:t>ua</w:t>
        </w:r>
        <w:r w:rsidRPr="00511005">
          <w:rPr>
            <w:rFonts w:ascii="Arial" w:eastAsia="Arial" w:hAnsi="Arial" w:cs="Arial"/>
            <w:szCs w:val="28"/>
            <w:lang w:val="uk-UA" w:eastAsia="ru-RU"/>
          </w:rPr>
          <w:t>/</w:t>
        </w:r>
        <w:r w:rsidRPr="00511005">
          <w:rPr>
            <w:rFonts w:ascii="Arial" w:eastAsia="Arial" w:hAnsi="Arial" w:cs="Arial"/>
            <w:szCs w:val="28"/>
            <w:lang w:val="ru" w:eastAsia="ru-RU"/>
          </w:rPr>
          <w:t>laws</w:t>
        </w:r>
        <w:r w:rsidRPr="00511005">
          <w:rPr>
            <w:rFonts w:ascii="Arial" w:eastAsia="Arial" w:hAnsi="Arial" w:cs="Arial"/>
            <w:szCs w:val="28"/>
            <w:lang w:val="uk-UA" w:eastAsia="ru-RU"/>
          </w:rPr>
          <w:t>/</w:t>
        </w:r>
        <w:r w:rsidRPr="00511005">
          <w:rPr>
            <w:rFonts w:ascii="Arial" w:eastAsia="Arial" w:hAnsi="Arial" w:cs="Arial"/>
            <w:szCs w:val="28"/>
            <w:lang w:val="ru" w:eastAsia="ru-RU"/>
          </w:rPr>
          <w:t>show</w:t>
        </w:r>
        <w:r w:rsidRPr="00511005">
          <w:rPr>
            <w:rFonts w:ascii="Arial" w:eastAsia="Arial" w:hAnsi="Arial" w:cs="Arial"/>
            <w:szCs w:val="28"/>
            <w:lang w:val="uk-UA" w:eastAsia="ru-RU"/>
          </w:rPr>
          <w:t>/4651-17#</w:t>
        </w:r>
        <w:r w:rsidRPr="00511005">
          <w:rPr>
            <w:rFonts w:ascii="Arial" w:eastAsia="Arial" w:hAnsi="Arial" w:cs="Arial"/>
            <w:szCs w:val="28"/>
            <w:lang w:val="ru" w:eastAsia="ru-RU"/>
          </w:rPr>
          <w:t>Text</w:t>
        </w:r>
      </w:hyperlink>
      <w:r w:rsidRPr="00511005">
        <w:rPr>
          <w:rFonts w:ascii="Arial" w:eastAsia="Arial" w:hAnsi="Arial" w:cs="Arial"/>
          <w:szCs w:val="28"/>
          <w:lang w:val="uk-UA" w:eastAsia="ru-RU"/>
        </w:rPr>
        <w:t xml:space="preserve">. </w:t>
      </w:r>
    </w:p>
    <w:p w14:paraId="70572B94"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 xml:space="preserve">2. Гуртієва Л.М., Лукашкіна Т.В. Теорія доказів у кримінальному провадженні : навч.-метод. посібник. Вид. 2-ге, доп. [Електронне видання] / Л.М. Гуртієва, Т.В. Лукашкіна ; Нац. ун-т «Одес. юрид. академія». Одеса : Фенікс, 2024. 192 с. </w:t>
      </w:r>
      <w:r w:rsidRPr="00511005">
        <w:rPr>
          <w:rFonts w:ascii="Arial" w:eastAsia="Arial" w:hAnsi="Arial" w:cs="Arial"/>
          <w:szCs w:val="28"/>
          <w:lang w:val="en-GB" w:eastAsia="ru-RU"/>
        </w:rPr>
        <w:t>URL</w:t>
      </w:r>
      <w:r w:rsidRPr="00511005">
        <w:rPr>
          <w:rFonts w:ascii="Arial" w:eastAsia="Arial" w:hAnsi="Arial" w:cs="Arial"/>
          <w:szCs w:val="28"/>
          <w:lang w:val="uk-UA" w:eastAsia="ru-RU"/>
        </w:rPr>
        <w:t xml:space="preserve">: </w:t>
      </w:r>
      <w:hyperlink r:id="rId2279" w:history="1">
        <w:r w:rsidRPr="00511005">
          <w:rPr>
            <w:rFonts w:ascii="Arial" w:eastAsia="Arial" w:hAnsi="Arial" w:cs="Arial"/>
            <w:szCs w:val="28"/>
            <w:lang w:val="en-GB" w:eastAsia="ru-RU"/>
          </w:rPr>
          <w:t>https</w:t>
        </w:r>
        <w:r w:rsidRPr="00511005">
          <w:rPr>
            <w:rFonts w:ascii="Arial" w:eastAsia="Arial" w:hAnsi="Arial" w:cs="Arial"/>
            <w:szCs w:val="28"/>
            <w:lang w:val="ru" w:eastAsia="ru-RU"/>
          </w:rPr>
          <w:t>://</w:t>
        </w:r>
        <w:r w:rsidRPr="00511005">
          <w:rPr>
            <w:rFonts w:ascii="Arial" w:eastAsia="Arial" w:hAnsi="Arial" w:cs="Arial"/>
            <w:szCs w:val="28"/>
            <w:lang w:val="en-GB" w:eastAsia="ru-RU"/>
          </w:rPr>
          <w:t>dspace</w:t>
        </w:r>
        <w:r w:rsidRPr="00511005">
          <w:rPr>
            <w:rFonts w:ascii="Arial" w:eastAsia="Arial" w:hAnsi="Arial" w:cs="Arial"/>
            <w:szCs w:val="28"/>
            <w:lang w:val="ru" w:eastAsia="ru-RU"/>
          </w:rPr>
          <w:t>.</w:t>
        </w:r>
        <w:r w:rsidRPr="00511005">
          <w:rPr>
            <w:rFonts w:ascii="Arial" w:eastAsia="Arial" w:hAnsi="Arial" w:cs="Arial"/>
            <w:szCs w:val="28"/>
            <w:lang w:val="en-GB" w:eastAsia="ru-RU"/>
          </w:rPr>
          <w:t>onua</w:t>
        </w:r>
        <w:r w:rsidRPr="00511005">
          <w:rPr>
            <w:rFonts w:ascii="Arial" w:eastAsia="Arial" w:hAnsi="Arial" w:cs="Arial"/>
            <w:szCs w:val="28"/>
            <w:lang w:val="ru" w:eastAsia="ru-RU"/>
          </w:rPr>
          <w:t>.</w:t>
        </w:r>
        <w:r w:rsidRPr="00511005">
          <w:rPr>
            <w:rFonts w:ascii="Arial" w:eastAsia="Arial" w:hAnsi="Arial" w:cs="Arial"/>
            <w:szCs w:val="28"/>
            <w:lang w:val="en-GB" w:eastAsia="ru-RU"/>
          </w:rPr>
          <w:t>edu</w:t>
        </w:r>
        <w:r w:rsidRPr="00511005">
          <w:rPr>
            <w:rFonts w:ascii="Arial" w:eastAsia="Arial" w:hAnsi="Arial" w:cs="Arial"/>
            <w:szCs w:val="28"/>
            <w:lang w:val="ru" w:eastAsia="ru-RU"/>
          </w:rPr>
          <w:t>.</w:t>
        </w:r>
        <w:r w:rsidRPr="00511005">
          <w:rPr>
            <w:rFonts w:ascii="Arial" w:eastAsia="Arial" w:hAnsi="Arial" w:cs="Arial"/>
            <w:szCs w:val="28"/>
            <w:lang w:val="en-GB" w:eastAsia="ru-RU"/>
          </w:rPr>
          <w:t>ua</w:t>
        </w:r>
        <w:r w:rsidRPr="00511005">
          <w:rPr>
            <w:rFonts w:ascii="Arial" w:eastAsia="Arial" w:hAnsi="Arial" w:cs="Arial"/>
            <w:szCs w:val="28"/>
            <w:lang w:val="ru" w:eastAsia="ru-RU"/>
          </w:rPr>
          <w:t>/</w:t>
        </w:r>
        <w:r w:rsidRPr="00511005">
          <w:rPr>
            <w:rFonts w:ascii="Arial" w:eastAsia="Arial" w:hAnsi="Arial" w:cs="Arial"/>
            <w:szCs w:val="28"/>
            <w:lang w:val="en-GB" w:eastAsia="ru-RU"/>
          </w:rPr>
          <w:t>handle</w:t>
        </w:r>
        <w:r w:rsidRPr="00511005">
          <w:rPr>
            <w:rFonts w:ascii="Arial" w:eastAsia="Arial" w:hAnsi="Arial" w:cs="Arial"/>
            <w:szCs w:val="28"/>
            <w:lang w:val="ru" w:eastAsia="ru-RU"/>
          </w:rPr>
          <w:t>/11300/27369</w:t>
        </w:r>
      </w:hyperlink>
      <w:r w:rsidRPr="00511005">
        <w:rPr>
          <w:rFonts w:ascii="Arial" w:eastAsia="Arial" w:hAnsi="Arial" w:cs="Arial"/>
          <w:szCs w:val="28"/>
          <w:lang w:val="uk-UA" w:eastAsia="ru-RU"/>
        </w:rPr>
        <w:t xml:space="preserve">. </w:t>
      </w:r>
    </w:p>
    <w:p w14:paraId="5B2FD163"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lastRenderedPageBreak/>
        <w:t>3.</w:t>
      </w:r>
      <w:r w:rsidRPr="00511005">
        <w:rPr>
          <w:rFonts w:ascii="Arial" w:eastAsia="Arial" w:hAnsi="Arial" w:cs="Arial"/>
          <w:szCs w:val="28"/>
          <w:lang w:val="ru" w:eastAsia="ru-RU"/>
        </w:rPr>
        <w:t xml:space="preserve"> Постанова колегії суддів Першої судової палати Касаційного кримінального суду у складі Верховного Суду від 19</w:t>
      </w:r>
      <w:r w:rsidRPr="00511005">
        <w:rPr>
          <w:rFonts w:ascii="Arial" w:eastAsia="Arial" w:hAnsi="Arial" w:cs="Arial"/>
          <w:szCs w:val="28"/>
          <w:lang w:val="uk-UA" w:eastAsia="ru-RU"/>
        </w:rPr>
        <w:t>.07.</w:t>
      </w:r>
      <w:r w:rsidRPr="00511005">
        <w:rPr>
          <w:rFonts w:ascii="Arial" w:eastAsia="Arial" w:hAnsi="Arial" w:cs="Arial"/>
          <w:szCs w:val="28"/>
          <w:lang w:val="ru" w:eastAsia="ru-RU"/>
        </w:rPr>
        <w:t>2022 року</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справа N727/13085/18</w:t>
      </w:r>
      <w:r w:rsidRPr="00511005">
        <w:rPr>
          <w:rFonts w:ascii="Arial" w:eastAsia="Arial" w:hAnsi="Arial" w:cs="Arial"/>
          <w:szCs w:val="28"/>
          <w:lang w:val="uk-UA" w:eastAsia="ru-RU"/>
        </w:rPr>
        <w:t xml:space="preserve">, судове провадження - </w:t>
      </w:r>
      <w:r w:rsidRPr="00511005">
        <w:rPr>
          <w:rFonts w:ascii="Arial" w:eastAsia="Arial" w:hAnsi="Arial" w:cs="Arial"/>
          <w:szCs w:val="28"/>
          <w:lang w:val="ru" w:eastAsia="ru-RU"/>
        </w:rPr>
        <w:t>51-10250км18</w:t>
      </w:r>
      <w:r w:rsidRPr="00511005">
        <w:rPr>
          <w:rFonts w:ascii="Arial" w:eastAsia="Arial" w:hAnsi="Arial" w:cs="Arial"/>
          <w:szCs w:val="28"/>
          <w:lang w:val="uk-UA" w:eastAsia="ru-RU"/>
        </w:rPr>
        <w:t xml:space="preserve">. </w:t>
      </w:r>
      <w:r w:rsidRPr="00511005">
        <w:rPr>
          <w:rFonts w:ascii="Arial" w:eastAsia="Arial" w:hAnsi="Arial" w:cs="Arial"/>
          <w:i/>
          <w:iCs/>
          <w:szCs w:val="28"/>
          <w:lang w:val="uk-UA" w:eastAsia="ru-RU"/>
        </w:rPr>
        <w:t>Єдиний реєстр судових рішень.</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URL</w:t>
      </w:r>
      <w:r w:rsidRPr="00511005">
        <w:rPr>
          <w:rFonts w:ascii="Arial" w:eastAsia="Arial" w:hAnsi="Arial" w:cs="Arial"/>
          <w:szCs w:val="28"/>
          <w:lang w:eastAsia="ru-RU"/>
        </w:rPr>
        <w:t>:</w:t>
      </w:r>
      <w:r w:rsidRPr="00511005">
        <w:rPr>
          <w:rFonts w:ascii="Arial" w:eastAsia="Arial" w:hAnsi="Arial" w:cs="Arial"/>
          <w:szCs w:val="28"/>
          <w:lang w:val="en-US" w:eastAsia="ru-RU"/>
        </w:rPr>
        <w:t> </w:t>
      </w:r>
      <w:hyperlink r:id="rId2280" w:history="1">
        <w:r w:rsidRPr="00511005">
          <w:rPr>
            <w:rFonts w:ascii="Arial" w:eastAsia="Arial" w:hAnsi="Arial" w:cs="Arial"/>
            <w:szCs w:val="28"/>
            <w:lang w:val="en-US" w:eastAsia="ru-RU"/>
          </w:rPr>
          <w:t>https</w:t>
        </w:r>
        <w:r w:rsidRPr="00511005">
          <w:rPr>
            <w:rFonts w:ascii="Arial" w:eastAsia="Arial" w:hAnsi="Arial" w:cs="Arial"/>
            <w:szCs w:val="28"/>
            <w:lang w:eastAsia="ru-RU"/>
          </w:rPr>
          <w:t>://</w:t>
        </w:r>
        <w:r w:rsidRPr="00511005">
          <w:rPr>
            <w:rFonts w:ascii="Arial" w:eastAsia="Arial" w:hAnsi="Arial" w:cs="Arial"/>
            <w:szCs w:val="28"/>
            <w:lang w:val="en-US" w:eastAsia="ru-RU"/>
          </w:rPr>
          <w:t>reyestr</w:t>
        </w:r>
        <w:r w:rsidRPr="00511005">
          <w:rPr>
            <w:rFonts w:ascii="Arial" w:eastAsia="Arial" w:hAnsi="Arial" w:cs="Arial"/>
            <w:szCs w:val="28"/>
            <w:lang w:eastAsia="ru-RU"/>
          </w:rPr>
          <w:t>.</w:t>
        </w:r>
        <w:r w:rsidRPr="00511005">
          <w:rPr>
            <w:rFonts w:ascii="Arial" w:eastAsia="Arial" w:hAnsi="Arial" w:cs="Arial"/>
            <w:szCs w:val="28"/>
            <w:lang w:val="en-US" w:eastAsia="ru-RU"/>
          </w:rPr>
          <w:t>court</w:t>
        </w:r>
        <w:r w:rsidRPr="00511005">
          <w:rPr>
            <w:rFonts w:ascii="Arial" w:eastAsia="Arial" w:hAnsi="Arial" w:cs="Arial"/>
            <w:szCs w:val="28"/>
            <w:lang w:eastAsia="ru-RU"/>
          </w:rPr>
          <w:t>.</w:t>
        </w:r>
        <w:r w:rsidRPr="00511005">
          <w:rPr>
            <w:rFonts w:ascii="Arial" w:eastAsia="Arial" w:hAnsi="Arial" w:cs="Arial"/>
            <w:szCs w:val="28"/>
            <w:lang w:val="en-US" w:eastAsia="ru-RU"/>
          </w:rPr>
          <w:t>gov</w:t>
        </w:r>
        <w:r w:rsidRPr="00511005">
          <w:rPr>
            <w:rFonts w:ascii="Arial" w:eastAsia="Arial" w:hAnsi="Arial" w:cs="Arial"/>
            <w:szCs w:val="28"/>
            <w:lang w:eastAsia="ru-RU"/>
          </w:rPr>
          <w:t>.</w:t>
        </w:r>
        <w:r w:rsidRPr="00511005">
          <w:rPr>
            <w:rFonts w:ascii="Arial" w:eastAsia="Arial" w:hAnsi="Arial" w:cs="Arial"/>
            <w:szCs w:val="28"/>
            <w:lang w:val="en-US" w:eastAsia="ru-RU"/>
          </w:rPr>
          <w:t>ua</w:t>
        </w:r>
        <w:r w:rsidRPr="00511005">
          <w:rPr>
            <w:rFonts w:ascii="Arial" w:eastAsia="Arial" w:hAnsi="Arial" w:cs="Arial"/>
            <w:szCs w:val="28"/>
            <w:lang w:eastAsia="ru-RU"/>
          </w:rPr>
          <w:t>/</w:t>
        </w:r>
        <w:r w:rsidRPr="00511005">
          <w:rPr>
            <w:rFonts w:ascii="Arial" w:eastAsia="Arial" w:hAnsi="Arial" w:cs="Arial"/>
            <w:szCs w:val="28"/>
            <w:lang w:val="en-US" w:eastAsia="ru-RU"/>
          </w:rPr>
          <w:t>Review</w:t>
        </w:r>
        <w:r w:rsidRPr="00511005">
          <w:rPr>
            <w:rFonts w:ascii="Arial" w:eastAsia="Arial" w:hAnsi="Arial" w:cs="Arial"/>
            <w:szCs w:val="28"/>
            <w:lang w:eastAsia="ru-RU"/>
          </w:rPr>
          <w:t>/105359481</w:t>
        </w:r>
      </w:hyperlink>
      <w:r w:rsidRPr="00511005">
        <w:rPr>
          <w:rFonts w:ascii="Arial" w:eastAsia="Arial" w:hAnsi="Arial" w:cs="Arial"/>
          <w:szCs w:val="28"/>
          <w:lang w:val="uk-UA" w:eastAsia="ru-RU"/>
        </w:rPr>
        <w:t xml:space="preserve">. </w:t>
      </w:r>
    </w:p>
    <w:p w14:paraId="5480B049"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 xml:space="preserve">4. Deutsches Strafgesetzbuch aus 01.02.1877. URL: </w:t>
      </w:r>
      <w:hyperlink r:id="rId2281" w:history="1">
        <w:r w:rsidRPr="00511005">
          <w:rPr>
            <w:rFonts w:ascii="Arial" w:eastAsia="Arial" w:hAnsi="Arial" w:cs="Arial"/>
            <w:szCs w:val="28"/>
            <w:lang w:val="en-US" w:eastAsia="ru-RU"/>
          </w:rPr>
          <w:t>https://dejure.org/gesetze/StGB/3.html</w:t>
        </w:r>
      </w:hyperlink>
      <w:r w:rsidRPr="00511005">
        <w:rPr>
          <w:rFonts w:ascii="Arial" w:eastAsia="Arial" w:hAnsi="Arial" w:cs="Arial"/>
          <w:szCs w:val="28"/>
          <w:lang w:val="uk-UA" w:eastAsia="ru-RU"/>
        </w:rPr>
        <w:t xml:space="preserve">. </w:t>
      </w:r>
    </w:p>
    <w:p w14:paraId="67F7BAE2" w14:textId="77777777" w:rsidR="00532C25" w:rsidRPr="00511005" w:rsidRDefault="00532C25" w:rsidP="00532C25">
      <w:pPr>
        <w:spacing w:line="264" w:lineRule="auto"/>
        <w:ind w:firstLine="720"/>
        <w:rPr>
          <w:rFonts w:ascii="Arial" w:eastAsia="Arial" w:hAnsi="Arial" w:cs="Arial"/>
          <w:szCs w:val="28"/>
          <w:lang w:val="de-DE" w:eastAsia="ru-RU"/>
        </w:rPr>
      </w:pPr>
      <w:r w:rsidRPr="00511005">
        <w:rPr>
          <w:rFonts w:ascii="Arial" w:eastAsia="Arial" w:hAnsi="Arial" w:cs="Arial"/>
          <w:szCs w:val="28"/>
          <w:lang w:val="uk-UA" w:eastAsia="ru-RU"/>
        </w:rPr>
        <w:t xml:space="preserve">5. </w:t>
      </w:r>
      <w:r w:rsidRPr="00511005">
        <w:rPr>
          <w:rFonts w:ascii="Arial" w:eastAsia="Arial" w:hAnsi="Arial" w:cs="Arial"/>
          <w:szCs w:val="28"/>
          <w:lang w:val="de-DE" w:eastAsia="ru-RU"/>
        </w:rPr>
        <w:t>Claus</w:t>
      </w:r>
      <w:r w:rsidRPr="00511005">
        <w:rPr>
          <w:rFonts w:ascii="Arial" w:eastAsia="Arial" w:hAnsi="Arial" w:cs="Arial"/>
          <w:szCs w:val="28"/>
          <w:lang w:val="uk-UA" w:eastAsia="ru-RU"/>
        </w:rPr>
        <w:t xml:space="preserve"> </w:t>
      </w:r>
      <w:r w:rsidRPr="00511005">
        <w:rPr>
          <w:rFonts w:ascii="Arial" w:eastAsia="Arial" w:hAnsi="Arial" w:cs="Arial"/>
          <w:szCs w:val="28"/>
          <w:lang w:val="de-DE" w:eastAsia="ru-RU"/>
        </w:rPr>
        <w:t>Roxin</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 xml:space="preserve">Strafverfahrensrecht </w:t>
      </w:r>
      <w:r w:rsidRPr="00511005">
        <w:rPr>
          <w:rFonts w:ascii="Arial" w:eastAsia="Arial" w:hAnsi="Arial" w:cs="Arial"/>
          <w:szCs w:val="28"/>
          <w:lang w:val="de-DE" w:eastAsia="ru-RU"/>
        </w:rPr>
        <w:t>aus 2011. URL</w:t>
      </w:r>
      <w:r w:rsidRPr="00511005">
        <w:rPr>
          <w:rFonts w:ascii="Arial" w:eastAsia="Arial" w:hAnsi="Arial" w:cs="Arial"/>
          <w:szCs w:val="28"/>
          <w:lang w:val="uk-UA" w:eastAsia="ru-RU"/>
        </w:rPr>
        <w:t xml:space="preserve">: </w:t>
      </w:r>
      <w:hyperlink r:id="rId2282" w:history="1">
        <w:r w:rsidRPr="00511005">
          <w:rPr>
            <w:rFonts w:ascii="Arial" w:eastAsia="Arial" w:hAnsi="Arial" w:cs="Arial"/>
            <w:szCs w:val="28"/>
            <w:lang w:val="en-US" w:eastAsia="ru-RU"/>
          </w:rPr>
          <w:t>https://www.degruyter.com/document/doi/10.1515/zstw.2011.209/html</w:t>
        </w:r>
      </w:hyperlink>
      <w:r w:rsidRPr="00511005">
        <w:rPr>
          <w:rFonts w:ascii="Arial" w:eastAsia="Arial" w:hAnsi="Arial" w:cs="Arial"/>
          <w:szCs w:val="28"/>
          <w:lang w:val="uk-UA" w:eastAsia="ru-RU"/>
        </w:rPr>
        <w:t xml:space="preserve">. </w:t>
      </w:r>
    </w:p>
    <w:p w14:paraId="25C94C31"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 xml:space="preserve">6. Criminal Procedure Code of Netherlands adopted from 08.10.2012. </w:t>
      </w:r>
      <w:hyperlink r:id="rId2283" w:history="1">
        <w:r w:rsidRPr="00511005">
          <w:rPr>
            <w:rFonts w:ascii="Arial" w:eastAsia="Arial" w:hAnsi="Arial" w:cs="Arial"/>
            <w:szCs w:val="28"/>
            <w:lang w:val="ru" w:eastAsia="ru-RU"/>
          </w:rPr>
          <w:t>URL:https://sherloc.unodc.org/cld/uploads/res/document/nld/1921/criminal_procedure_code_of_the_netherlands_html/Code_of_Criminal_Procedure_incorporating_amendments_up_to_October_2012.pdf</w:t>
        </w:r>
      </w:hyperlink>
      <w:r w:rsidRPr="00511005">
        <w:rPr>
          <w:rFonts w:ascii="Arial" w:eastAsia="Arial" w:hAnsi="Arial" w:cs="Arial"/>
          <w:szCs w:val="28"/>
          <w:lang w:val="uk-UA" w:eastAsia="ru-RU"/>
        </w:rPr>
        <w:t xml:space="preserve">. </w:t>
      </w:r>
    </w:p>
    <w:p w14:paraId="367CB058"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7.</w:t>
      </w:r>
      <w:r w:rsidRPr="00511005">
        <w:rPr>
          <w:rFonts w:ascii="Arial" w:eastAsia="Arial" w:hAnsi="Arial" w:cs="Arial"/>
          <w:szCs w:val="28"/>
          <w:lang w:val="de-DE" w:eastAsia="ru-RU"/>
        </w:rPr>
        <w:t xml:space="preserve"> </w:t>
      </w:r>
      <w:r w:rsidRPr="00511005">
        <w:rPr>
          <w:rFonts w:ascii="Arial" w:eastAsia="Arial" w:hAnsi="Arial" w:cs="Arial"/>
          <w:szCs w:val="28"/>
          <w:lang w:val="uk-UA" w:eastAsia="ru-RU"/>
        </w:rPr>
        <w:t xml:space="preserve">Kiki Twisk, Marieke Dubelaar en Charles Berger. De kenniskloof verkend: een onderzoek naar de waardering van (complex) in strafzaken. </w:t>
      </w:r>
      <w:r w:rsidRPr="00511005">
        <w:rPr>
          <w:rFonts w:ascii="Arial" w:eastAsia="Arial" w:hAnsi="Arial" w:cs="Arial"/>
          <w:szCs w:val="28"/>
          <w:lang w:val="pl-PL" w:eastAsia="ru-RU"/>
        </w:rPr>
        <w:t>URL</w:t>
      </w:r>
      <w:r w:rsidRPr="00511005">
        <w:rPr>
          <w:rFonts w:ascii="Arial" w:eastAsia="Arial" w:hAnsi="Arial" w:cs="Arial"/>
          <w:szCs w:val="28"/>
          <w:lang w:val="uk-UA" w:eastAsia="ru-RU"/>
        </w:rPr>
        <w:t xml:space="preserve">: </w:t>
      </w:r>
      <w:hyperlink r:id="rId2284" w:history="1">
        <w:r w:rsidRPr="00511005">
          <w:rPr>
            <w:rFonts w:ascii="Arial" w:eastAsia="Arial" w:hAnsi="Arial" w:cs="Arial"/>
            <w:szCs w:val="28"/>
            <w:lang w:val="pl-PL" w:eastAsia="ru-RU"/>
          </w:rPr>
          <w:t>https://repository.ubn.ru.nl/bitstream/handle/2066/232140/232140.pdf?sequence=1</w:t>
        </w:r>
      </w:hyperlink>
      <w:r w:rsidRPr="00511005">
        <w:rPr>
          <w:rFonts w:ascii="Arial" w:eastAsia="Arial" w:hAnsi="Arial" w:cs="Arial"/>
          <w:szCs w:val="28"/>
          <w:lang w:val="pl-PL" w:eastAsia="ru-RU"/>
        </w:rPr>
        <w:t xml:space="preserve">. </w:t>
      </w:r>
    </w:p>
    <w:p w14:paraId="6885F0D0"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 xml:space="preserve">8. </w:t>
      </w:r>
      <w:r w:rsidRPr="00511005">
        <w:rPr>
          <w:rFonts w:ascii="Arial" w:eastAsia="Arial" w:hAnsi="Arial" w:cs="Arial"/>
          <w:szCs w:val="28"/>
          <w:lang w:val="pl-PL" w:eastAsia="ru-RU"/>
        </w:rPr>
        <w:t>Kodeks postępowania karnego</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z dnia 6 czerwca 1997 r.</w:t>
      </w:r>
      <w:r w:rsidRPr="00511005">
        <w:rPr>
          <w:rFonts w:ascii="Arial" w:eastAsia="Arial" w:hAnsi="Arial" w:cs="Arial"/>
          <w:szCs w:val="28"/>
          <w:lang w:val="uk-UA" w:eastAsia="ru-RU"/>
        </w:rPr>
        <w:t xml:space="preserve"> </w:t>
      </w:r>
      <w:hyperlink r:id="rId2285" w:history="1">
        <w:r w:rsidRPr="00511005">
          <w:rPr>
            <w:rFonts w:ascii="Arial" w:eastAsia="Arial" w:hAnsi="Arial" w:cs="Arial"/>
            <w:szCs w:val="28"/>
            <w:lang w:val="pl-PL" w:eastAsia="ru-RU"/>
          </w:rPr>
          <w:t>URL: https://isap.sejm.gov.pl/isap.nsf/download.xsp/WDU19970890555/U/D19970555Lj.pdf</w:t>
        </w:r>
      </w:hyperlink>
      <w:r w:rsidRPr="00511005">
        <w:rPr>
          <w:rFonts w:ascii="Arial" w:eastAsia="Arial" w:hAnsi="Arial" w:cs="Arial"/>
          <w:szCs w:val="28"/>
          <w:lang w:val="uk-UA" w:eastAsia="ru-RU"/>
        </w:rPr>
        <w:t xml:space="preserve">. </w:t>
      </w:r>
    </w:p>
    <w:p w14:paraId="75745B63"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szCs w:val="28"/>
          <w:lang w:val="uk-UA" w:eastAsia="ru-RU"/>
        </w:rPr>
        <w:t xml:space="preserve">9. </w:t>
      </w:r>
      <w:r w:rsidRPr="00511005">
        <w:rPr>
          <w:rFonts w:ascii="Arial" w:eastAsia="Arial" w:hAnsi="Arial" w:cs="Arial"/>
          <w:szCs w:val="28"/>
          <w:lang w:val="pl-PL" w:eastAsia="ru-RU"/>
        </w:rPr>
        <w:t>Jerzy Skorupka</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Standard</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dost</w:t>
      </w:r>
      <w:r w:rsidRPr="00511005">
        <w:rPr>
          <w:rFonts w:ascii="Arial" w:eastAsia="Arial" w:hAnsi="Arial" w:cs="Arial"/>
          <w:szCs w:val="28"/>
          <w:lang w:val="uk-UA" w:eastAsia="ru-RU"/>
        </w:rPr>
        <w:t>ę</w:t>
      </w:r>
      <w:r w:rsidRPr="00511005">
        <w:rPr>
          <w:rFonts w:ascii="Arial" w:eastAsia="Arial" w:hAnsi="Arial" w:cs="Arial"/>
          <w:szCs w:val="28"/>
          <w:lang w:val="pl-PL" w:eastAsia="ru-RU"/>
        </w:rPr>
        <w:t>pu</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do</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informacji</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o</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podstawie</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dowodowej</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tymczasowego</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aresztowania</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w</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prawie</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unii</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europejskiej</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i</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prawie</w:t>
      </w:r>
      <w:r w:rsidRPr="00511005">
        <w:rPr>
          <w:rFonts w:ascii="Arial" w:eastAsia="Arial" w:hAnsi="Arial" w:cs="Arial"/>
          <w:szCs w:val="28"/>
          <w:lang w:val="uk-UA" w:eastAsia="ru-RU"/>
        </w:rPr>
        <w:t xml:space="preserve"> </w:t>
      </w:r>
      <w:r w:rsidRPr="00511005">
        <w:rPr>
          <w:rFonts w:ascii="Arial" w:eastAsia="Arial" w:hAnsi="Arial" w:cs="Arial"/>
          <w:szCs w:val="28"/>
          <w:lang w:val="pl-PL" w:eastAsia="ru-RU"/>
        </w:rPr>
        <w:t>polskim</w:t>
      </w:r>
      <w:r w:rsidRPr="00511005">
        <w:rPr>
          <w:rFonts w:ascii="Arial" w:eastAsia="Arial" w:hAnsi="Arial" w:cs="Arial"/>
          <w:szCs w:val="28"/>
          <w:lang w:val="uk-UA" w:eastAsia="ru-RU"/>
        </w:rPr>
        <w:t xml:space="preserve">. URL: </w:t>
      </w:r>
      <w:hyperlink r:id="rId2286" w:history="1">
        <w:r w:rsidRPr="00511005">
          <w:rPr>
            <w:rFonts w:ascii="Arial" w:eastAsia="Arial" w:hAnsi="Arial" w:cs="Arial"/>
            <w:szCs w:val="28"/>
            <w:lang w:val="ru" w:eastAsia="ru-RU"/>
          </w:rPr>
          <w:t>https://surl.li/kdjhba</w:t>
        </w:r>
      </w:hyperlink>
      <w:r w:rsidRPr="00511005">
        <w:rPr>
          <w:rFonts w:ascii="Arial" w:eastAsia="Arial" w:hAnsi="Arial" w:cs="Arial"/>
          <w:szCs w:val="28"/>
          <w:lang w:val="uk-UA" w:eastAsia="ru-RU"/>
        </w:rPr>
        <w:t xml:space="preserve">. </w:t>
      </w:r>
    </w:p>
    <w:p w14:paraId="0BE2E086" w14:textId="77777777" w:rsidR="00532C25" w:rsidRPr="00511005" w:rsidRDefault="00532C25" w:rsidP="00532C25">
      <w:pPr>
        <w:spacing w:line="264" w:lineRule="auto"/>
        <w:ind w:firstLine="720"/>
        <w:rPr>
          <w:rFonts w:ascii="Arial" w:eastAsia="Arial" w:hAnsi="Arial" w:cs="Arial"/>
          <w:b/>
          <w:bCs/>
          <w:szCs w:val="28"/>
          <w:lang w:val="uk-UA" w:eastAsia="ru-RU"/>
        </w:rPr>
      </w:pPr>
    </w:p>
    <w:p w14:paraId="19CC3C64"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
          <w:bCs/>
          <w:i/>
          <w:szCs w:val="28"/>
          <w:lang w:val="uk-UA" w:eastAsia="ru-RU"/>
        </w:rPr>
        <w:t xml:space="preserve">Ключові слова: </w:t>
      </w:r>
      <w:r w:rsidRPr="00511005">
        <w:rPr>
          <w:rFonts w:ascii="Arial" w:eastAsia="Arial" w:hAnsi="Arial" w:cs="Arial"/>
          <w:szCs w:val="28"/>
          <w:lang w:val="uk-UA" w:eastAsia="ru-RU"/>
        </w:rPr>
        <w:t xml:space="preserve">процес доказування, поняття, особливості, вчені, Кримінальний процесуальний кодекс, зарубіжні країни, визначення. </w:t>
      </w:r>
    </w:p>
    <w:p w14:paraId="4B357549" w14:textId="77777777" w:rsidR="00532C25" w:rsidRPr="00511005" w:rsidRDefault="00532C25" w:rsidP="00532C25">
      <w:pPr>
        <w:spacing w:line="264" w:lineRule="auto"/>
        <w:ind w:firstLine="720"/>
        <w:rPr>
          <w:rFonts w:ascii="Arial" w:eastAsia="Arial" w:hAnsi="Arial" w:cs="Arial"/>
          <w:szCs w:val="28"/>
          <w:lang w:val="uk-UA" w:eastAsia="ru-RU"/>
        </w:rPr>
      </w:pPr>
      <w:r w:rsidRPr="00511005">
        <w:rPr>
          <w:rFonts w:ascii="Arial" w:eastAsia="Arial" w:hAnsi="Arial" w:cs="Arial"/>
          <w:b/>
          <w:bCs/>
          <w:i/>
          <w:szCs w:val="28"/>
          <w:lang w:val="uk-UA" w:eastAsia="ru-RU"/>
        </w:rPr>
        <w:t xml:space="preserve">Key words: </w:t>
      </w:r>
      <w:r w:rsidRPr="00511005">
        <w:rPr>
          <w:rFonts w:ascii="Arial" w:eastAsia="Arial" w:hAnsi="Arial" w:cs="Arial"/>
          <w:szCs w:val="28"/>
          <w:lang w:val="uk-UA" w:eastAsia="ru-RU"/>
        </w:rPr>
        <w:t>process of proof, concept, features, scientists, Criminal Procedure Code, foreign countries, definition.</w:t>
      </w:r>
    </w:p>
    <w:p w14:paraId="5CE14AC2" w14:textId="77777777" w:rsidR="00532C25" w:rsidRPr="00511005" w:rsidRDefault="00532C25" w:rsidP="00532C25">
      <w:pPr>
        <w:spacing w:line="264" w:lineRule="auto"/>
        <w:ind w:firstLine="708"/>
        <w:rPr>
          <w:rFonts w:ascii="Arial" w:eastAsia="Arial" w:hAnsi="Arial" w:cs="Arial"/>
          <w:b/>
          <w:i/>
          <w:iCs/>
          <w:szCs w:val="28"/>
          <w:lang w:val="uk-UA" w:eastAsia="ru-RU"/>
        </w:rPr>
      </w:pPr>
      <w:r w:rsidRPr="00511005">
        <w:rPr>
          <w:rFonts w:ascii="Arial" w:eastAsia="Arial" w:hAnsi="Arial" w:cs="Arial"/>
          <w:b/>
          <w:bCs/>
          <w:i/>
          <w:iCs/>
          <w:szCs w:val="28"/>
          <w:lang w:val="uk-UA" w:eastAsia="ru-RU"/>
        </w:rPr>
        <w:t xml:space="preserve">Науковий керівник: </w:t>
      </w:r>
      <w:r w:rsidRPr="00511005">
        <w:rPr>
          <w:rFonts w:ascii="Arial" w:eastAsia="Arial" w:hAnsi="Arial" w:cs="Arial"/>
          <w:i/>
          <w:iCs/>
          <w:szCs w:val="28"/>
          <w:lang w:val="uk-UA" w:eastAsia="ru-RU"/>
        </w:rPr>
        <w:t>к.ю.н., доцент Гуртієва Л.М.</w:t>
      </w:r>
    </w:p>
    <w:p w14:paraId="49FDDB21" w14:textId="77777777" w:rsidR="00532C25" w:rsidRPr="00511005" w:rsidRDefault="00532C25" w:rsidP="00532C25">
      <w:pPr>
        <w:spacing w:line="264" w:lineRule="auto"/>
        <w:ind w:firstLine="567"/>
        <w:rPr>
          <w:rFonts w:ascii="Arial" w:eastAsia="Arial" w:hAnsi="Arial" w:cs="Arial"/>
          <w:b/>
          <w:bCs/>
          <w:szCs w:val="28"/>
          <w:lang w:val="uk-UA" w:eastAsia="ru-RU"/>
        </w:rPr>
      </w:pPr>
    </w:p>
    <w:p w14:paraId="2ACC54FC" w14:textId="77777777" w:rsidR="00532C25" w:rsidRPr="00511005" w:rsidRDefault="00532C25" w:rsidP="00532C25">
      <w:pPr>
        <w:spacing w:line="264" w:lineRule="auto"/>
        <w:ind w:firstLine="567"/>
        <w:rPr>
          <w:rFonts w:ascii="Arial" w:eastAsia="Arial" w:hAnsi="Arial" w:cs="Arial"/>
          <w:b/>
          <w:bCs/>
          <w:szCs w:val="28"/>
          <w:lang w:val="uk-UA" w:eastAsia="ru-RU"/>
        </w:rPr>
      </w:pPr>
    </w:p>
    <w:p w14:paraId="7BE512C6" w14:textId="77777777" w:rsidR="00532C25" w:rsidRPr="00511005" w:rsidRDefault="00532C25" w:rsidP="00532C25">
      <w:pPr>
        <w:spacing w:line="264" w:lineRule="auto"/>
        <w:ind w:firstLine="0"/>
        <w:jc w:val="center"/>
        <w:rPr>
          <w:rFonts w:ascii="Arial" w:eastAsia="Arial" w:hAnsi="Arial" w:cs="Arial"/>
          <w:b/>
          <w:bCs/>
          <w:i/>
          <w:szCs w:val="28"/>
          <w:lang w:val="uk-UA" w:eastAsia="ru-RU"/>
        </w:rPr>
      </w:pPr>
      <w:r w:rsidRPr="00511005">
        <w:rPr>
          <w:rFonts w:ascii="Arial" w:eastAsia="Arial" w:hAnsi="Arial" w:cs="Arial"/>
          <w:b/>
          <w:bCs/>
          <w:i/>
          <w:szCs w:val="28"/>
          <w:lang w:val="uk-UA" w:eastAsia="ru-RU"/>
        </w:rPr>
        <w:t>Резнік Наталія Вікторівна</w:t>
      </w:r>
    </w:p>
    <w:p w14:paraId="1E0E1DDC"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студентка 4-го курсу </w:t>
      </w:r>
    </w:p>
    <w:p w14:paraId="1E9C3201"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93702DD"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7E75C274" w14:textId="77777777" w:rsidR="00532C25" w:rsidRPr="00511005" w:rsidRDefault="00532C25" w:rsidP="00532C25">
      <w:pPr>
        <w:spacing w:line="264" w:lineRule="auto"/>
        <w:ind w:firstLine="0"/>
        <w:jc w:val="center"/>
        <w:rPr>
          <w:rFonts w:ascii="Arial" w:eastAsia="Arial" w:hAnsi="Arial" w:cs="Arial"/>
          <w:b/>
          <w:bCs/>
          <w:iCs/>
          <w:szCs w:val="28"/>
          <w:lang w:val="uk-UA" w:eastAsia="ru-RU"/>
        </w:rPr>
      </w:pPr>
    </w:p>
    <w:p w14:paraId="06B1EB1C" w14:textId="77777777" w:rsidR="00532C25" w:rsidRPr="00511005" w:rsidRDefault="00532C25" w:rsidP="00532C25">
      <w:pPr>
        <w:spacing w:line="264" w:lineRule="auto"/>
        <w:ind w:firstLine="0"/>
        <w:jc w:val="center"/>
        <w:rPr>
          <w:rFonts w:ascii="Arial" w:eastAsia="Arial" w:hAnsi="Arial" w:cs="Arial"/>
          <w:b/>
          <w:bCs/>
          <w:iCs/>
          <w:szCs w:val="28"/>
          <w:lang w:val="uk-UA" w:eastAsia="ru-RU"/>
        </w:rPr>
      </w:pPr>
      <w:r w:rsidRPr="00511005">
        <w:rPr>
          <w:rFonts w:ascii="Arial" w:eastAsia="Arial" w:hAnsi="Arial" w:cs="Arial"/>
          <w:b/>
          <w:bCs/>
          <w:iCs/>
          <w:szCs w:val="28"/>
          <w:lang w:val="uk-UA" w:eastAsia="ru-RU"/>
        </w:rPr>
        <w:t xml:space="preserve">АНАЛІЗ ОКРЕМИХ ПОМИЛОК СКЛАДАННЯ </w:t>
      </w:r>
    </w:p>
    <w:p w14:paraId="72953429" w14:textId="77777777" w:rsidR="00532C25" w:rsidRPr="00511005" w:rsidRDefault="00532C25" w:rsidP="00532C25">
      <w:pPr>
        <w:spacing w:line="264" w:lineRule="auto"/>
        <w:ind w:firstLine="0"/>
        <w:jc w:val="center"/>
        <w:rPr>
          <w:rFonts w:ascii="Arial" w:eastAsia="Arial" w:hAnsi="Arial" w:cs="Arial"/>
          <w:b/>
          <w:bCs/>
          <w:iCs/>
          <w:szCs w:val="28"/>
          <w:lang w:val="uk-UA" w:eastAsia="ru-RU"/>
        </w:rPr>
      </w:pPr>
      <w:r w:rsidRPr="00511005">
        <w:rPr>
          <w:rFonts w:ascii="Arial" w:eastAsia="Arial" w:hAnsi="Arial" w:cs="Arial"/>
          <w:b/>
          <w:bCs/>
          <w:iCs/>
          <w:szCs w:val="28"/>
          <w:lang w:val="uk-UA" w:eastAsia="ru-RU"/>
        </w:rPr>
        <w:t>ОБВИНУВАЛЬНОГО АКТУ</w:t>
      </w:r>
    </w:p>
    <w:p w14:paraId="60FF026D"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 xml:space="preserve">Обвинувальний акт, згідно з ч. 4 ст. 110 Кримінального процесуального кодексу України (далі- КПК), є одним з підсумкових рішень стадії досудового розслідування, в якому особі висувається обвинувачення у вчиненні кримінального правопорушення. Зауважимо, що є перелік певних умов прийняття процесуальних рішень, що, в загальному, ґрунтуються на вимогах </w:t>
      </w:r>
      <w:r w:rsidRPr="00511005">
        <w:rPr>
          <w:rFonts w:ascii="Arial" w:eastAsia="Arial" w:hAnsi="Arial" w:cs="Arial"/>
          <w:szCs w:val="28"/>
          <w:lang w:val="uk-UA" w:eastAsia="ru-RU"/>
        </w:rPr>
        <w:lastRenderedPageBreak/>
        <w:t>законодавства. А саме: належний суб’єкт прийняття рішення, наявність підстав його прийняття, застосування певного стандарту доказування, наявність визначених строків, відповідність законодавству структури та змісту процесуального рішення, а також вимога до законності та обґрунтованості рішення [2, с. 427-428].</w:t>
      </w:r>
    </w:p>
    <w:p w14:paraId="320D016A"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Проаналізувавши статтю 291 КПК, дійдемо висновку, що деякі умови щодо складення обвинувального акту законодавець чітко визначає, а саме, коло суб`єктів котрі можуть складати обвинувальний акт- слідчий, дізнавач, при умові що в подальшому він буде погоджений з прокурором, або ж сам прокурор коли він не погоджується з обвинувальним актом котрий склав дізнавач та слідчий. Змістовне наповнення обвинувального акту визначає ч.2 ст.291 КПК, а саме: «1) найменування кримінального провадження та його реєстраційний номер; 2) анкетні відомості кожного обвинуваченого (прізвище, ім’я, по батькові, дата та місце народження, місце проживання, громадянство); 3) анкетні відомості кожного потерпілого (прізвище, ім’я, по батькові, дата та місце народження, місце проживання, громадянство); 3</w:t>
      </w:r>
      <w:r w:rsidRPr="00511005">
        <w:rPr>
          <w:rFonts w:ascii="Arial" w:eastAsia="Arial" w:hAnsi="Arial" w:cs="Arial"/>
          <w:b/>
          <w:bCs/>
          <w:szCs w:val="28"/>
          <w:vertAlign w:val="superscript"/>
          <w:lang w:val="uk-UA" w:eastAsia="ru-RU"/>
        </w:rPr>
        <w:t>-1</w:t>
      </w:r>
      <w:r w:rsidRPr="00511005">
        <w:rPr>
          <w:rFonts w:ascii="Arial" w:eastAsia="Arial" w:hAnsi="Arial" w:cs="Arial"/>
          <w:szCs w:val="28"/>
          <w:lang w:val="uk-UA" w:eastAsia="ru-RU"/>
        </w:rPr>
        <w:t>) анкетні відомості викривача (прізвище, ім’я, по батькові, дата та місце народження, місце проживання, громадянство); 4) прізвище, ім’я, по батькові та займана посада слідчого, прокурора; 5) виклад фактичних обставин кримінального правопорушення, які прокурор вважає встановленими, правову кваліфікацію кримінального правопорушення з посиланням на положення закону і статті (частини статті) закону України про кримінальну відповідальність та формулювання обвинувачення; 6) обставини, які обтяжують чи пом’якшують покарання; 7) розмір шкоди, завданої кримінальним правопорушенням; 7</w:t>
      </w:r>
      <w:r w:rsidRPr="00511005">
        <w:rPr>
          <w:rFonts w:ascii="Arial" w:eastAsia="Arial" w:hAnsi="Arial" w:cs="Arial"/>
          <w:b/>
          <w:bCs/>
          <w:szCs w:val="28"/>
          <w:vertAlign w:val="superscript"/>
          <w:lang w:val="uk-UA" w:eastAsia="ru-RU"/>
        </w:rPr>
        <w:t>-1</w:t>
      </w:r>
      <w:r w:rsidRPr="00511005">
        <w:rPr>
          <w:rFonts w:ascii="Arial" w:eastAsia="Arial" w:hAnsi="Arial" w:cs="Arial"/>
          <w:szCs w:val="28"/>
          <w:lang w:val="uk-UA" w:eastAsia="ru-RU"/>
        </w:rPr>
        <w:t>) підстави застосування заходів кримінально-правового характеру щодо юридичної особи, які прокурор вважає встановленими; 8) розмір витрат на залучення експерта (у разі проведення експертизи під час досудового розслідування); 8</w:t>
      </w:r>
      <w:r w:rsidRPr="00511005">
        <w:rPr>
          <w:rFonts w:ascii="Arial" w:eastAsia="Arial" w:hAnsi="Arial" w:cs="Arial"/>
          <w:b/>
          <w:bCs/>
          <w:szCs w:val="28"/>
          <w:vertAlign w:val="superscript"/>
          <w:lang w:val="uk-UA" w:eastAsia="ru-RU"/>
        </w:rPr>
        <w:t>1</w:t>
      </w:r>
      <w:r w:rsidRPr="00511005">
        <w:rPr>
          <w:rFonts w:ascii="Arial" w:eastAsia="Arial" w:hAnsi="Arial" w:cs="Arial"/>
          <w:szCs w:val="28"/>
          <w:lang w:val="uk-UA" w:eastAsia="ru-RU"/>
        </w:rPr>
        <w:t>) розмір пропонованої винагороди викривачу; 9) дату та місце його складення та затвердження» [1].</w:t>
      </w:r>
    </w:p>
    <w:p w14:paraId="37FC15FA"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Досить частою є практика, коли слідчі, дізнавачі чи прокурори під час складання обвинувального акту допускають помилки, розгляньмо деякі з них.</w:t>
      </w:r>
    </w:p>
    <w:p w14:paraId="5CE3E2D2"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b/>
          <w:bCs/>
          <w:szCs w:val="28"/>
          <w:lang w:val="uk-UA" w:eastAsia="ru-RU"/>
        </w:rPr>
        <w:t xml:space="preserve">Неповний виклад фактичних обставин. </w:t>
      </w:r>
      <w:r w:rsidRPr="00511005">
        <w:rPr>
          <w:rFonts w:ascii="Arial" w:eastAsia="Arial" w:hAnsi="Arial" w:cs="Arial"/>
          <w:szCs w:val="28"/>
          <w:lang w:val="uk-UA" w:eastAsia="ru-RU"/>
        </w:rPr>
        <w:t xml:space="preserve">Згідно з п. 5 ч. 2 ст. 291 КПК, обвинувальний акт повинен містити опис фактичних обставин кримінального правопорушення, які прокурор вважає доведеними, а також правову кваліфікацію цього правопорушення з посиланням на відповідні положення закону про кримінальну відповідальність (статті та частини статей), включаючи формулювання обвинувачення. </w:t>
      </w:r>
    </w:p>
    <w:p w14:paraId="2D818BAD"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 xml:space="preserve">Формулювання обвинувачення має базуватися на обставинах, що підтверджені наявними доказами щодо події кримінального </w:t>
      </w:r>
      <w:r w:rsidRPr="00511005">
        <w:rPr>
          <w:rFonts w:ascii="Arial" w:eastAsia="Arial" w:hAnsi="Arial" w:cs="Arial"/>
          <w:szCs w:val="28"/>
          <w:lang w:val="uk-UA" w:eastAsia="ru-RU"/>
        </w:rPr>
        <w:lastRenderedPageBreak/>
        <w:t xml:space="preserve">правопорушення, форми вини, мотиву та мети, а також інших фактів, що впливають на тяжкість кримінального правопорушення. </w:t>
      </w:r>
    </w:p>
    <w:p w14:paraId="5DD82936"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 xml:space="preserve">Правова кваліфікація дій підозрюваного повинна включати не тільки посилання на конкретну статтю й частину закону, але й точне формулювання таких елементів, як об’єктивна сторона кримінального правопорушення та його кваліфікуючі ознаки. Досить часто на практиці, обвинувальний акт дублює зміст підозри, яка вручалася особі і не містить чіткого формулювання обвинувачення. Зазначимо, що через недотримання вимог КПК щодо викладу фактичних обставин кримінального правопорушення та формулювання обвинувачення повертається значна кількість обвинувальних актів. Проте апеляційні суди часто скасовують відповідні ухвали. </w:t>
      </w:r>
    </w:p>
    <w:p w14:paraId="48B1F3C1"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 xml:space="preserve">Важливо зазначити, що в КПК відсутнє нормативне, розмежування між поняттями «виклад фактичних обставин кримінального правопорушення» та «формулювання обвинувачення», а також їх визначення, навіть у загальних рисах. Суди апеляційної інстанції, в випадках необхідності мотивувати свої рішення, досить часто звертаються до доктрини кримінального процесу. Наприклад, в ухвалі Київського апеляційного суду від 23.06. 2022 </w:t>
      </w:r>
      <w:r w:rsidRPr="00511005">
        <w:rPr>
          <w:rFonts w:ascii="Arial" w:eastAsia="Arial" w:hAnsi="Arial" w:cs="Arial"/>
          <w:szCs w:val="28"/>
          <w:shd w:val="clear" w:color="auto" w:fill="FFFFFF"/>
          <w:lang w:val="uk-UA" w:eastAsia="ru-RU"/>
        </w:rPr>
        <w:t>по справі 761/16458/16-к, суд наголошує, що «</w:t>
      </w:r>
      <w:r w:rsidRPr="00511005">
        <w:rPr>
          <w:rFonts w:ascii="Arial" w:eastAsia="Arial" w:hAnsi="Arial" w:cs="Arial"/>
          <w:szCs w:val="28"/>
          <w:lang w:val="uk-UA" w:eastAsia="ru-RU"/>
        </w:rPr>
        <w:t>закон вимагає обов`язкове відображення в обвинувальному акті трьох складників: 1) фактичних обставин кримінального правопорушення; 2) правової кваліфікації (в теорії кримінального процесу використовується назва «формула обвинувачення»); 3) формулювання обвинувачення.</w:t>
      </w:r>
    </w:p>
    <w:p w14:paraId="6DE1059B"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В доктрині кримінального процесу під формулюванням обвинувачення розуміється короткий виклад тексту диспозиції кримінально-правової норми, порушення якої інкримінується особі, фабула обвинувачення виступає фактичною моделлю вчиненого злочину, а юридичне формулювання (формула та формулювання обвинувачення) - це правова модель злочину, вказівка на кримінально-правові норми, порушення яких інкримінується обвинуваченому» [5].</w:t>
      </w:r>
    </w:p>
    <w:p w14:paraId="6CA10AFC"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 xml:space="preserve">В даній ситуації варто звернутися і до практики Верховного Суду та ЄСПЛ. До прикладу, в рішенні від 25.07.2000, ухваленому у справі «Маттоціа проти Італії» (Mattoccia v. Italy), детально визначено: «Обвинувачений у вчиненні злочину має бути негайно і детально поінформований про причину обвинувачення, тобто про ті факти матеріальної дійсності, які нібито мали місце і є підставою для висунення обвинувачення; а також про характер обвинувачення, тобто юридичну кваліфікацію згаданих фактів. Хоча ступінь детальності інформування обвинуваченого залежить від обставин конкретної справи, однак у будь-якому випадку відомості, надані обвинуваченому, повинні бути достатніми для повного розуміння останнім суті висунутого проти нього обвинувачення, що є необхідним для підготовки адекватного захисту. У цьому відношенні обсяг та доречність наданої </w:t>
      </w:r>
      <w:r w:rsidRPr="00511005">
        <w:rPr>
          <w:rFonts w:ascii="Arial" w:eastAsia="Arial" w:hAnsi="Arial" w:cs="Arial"/>
          <w:szCs w:val="28"/>
          <w:lang w:val="uk-UA" w:eastAsia="ru-RU"/>
        </w:rPr>
        <w:lastRenderedPageBreak/>
        <w:t>обвинуваченому інформації слід оцінювати крізь призму положення, закріпленого у п.«b» ч.3 ст.6 конвенції. Аналогічно слід оцінювати інформацію про зміни, які мали місце в обвинуваченні, включаючи зміни причини обвинувачення» [4, п. 59]. В даній ситуації, виклад фактичних обставин в обвинувальному акті розглядається не лише як помилка з процесуального боку, а і як безпосереднє порушення права обвинуваченого на захист, за відсутності повного інформування стосовно обвинувачення.</w:t>
      </w:r>
    </w:p>
    <w:p w14:paraId="792F532A" w14:textId="77777777" w:rsidR="00532C25" w:rsidRPr="00511005" w:rsidRDefault="00532C25" w:rsidP="00532C25">
      <w:pPr>
        <w:spacing w:line="264" w:lineRule="auto"/>
        <w:rPr>
          <w:rFonts w:ascii="Arial" w:eastAsia="Arial" w:hAnsi="Arial" w:cs="Arial"/>
          <w:szCs w:val="28"/>
          <w:shd w:val="clear" w:color="auto" w:fill="FFFFFF"/>
          <w:lang w:val="uk-UA" w:eastAsia="ru-RU"/>
        </w:rPr>
      </w:pPr>
      <w:r w:rsidRPr="00511005">
        <w:rPr>
          <w:rFonts w:ascii="Arial" w:eastAsia="Arial" w:hAnsi="Arial" w:cs="Arial"/>
          <w:szCs w:val="28"/>
          <w:shd w:val="clear" w:color="auto" w:fill="FFFFFF"/>
          <w:lang w:val="uk-UA" w:eastAsia="ru-RU"/>
        </w:rPr>
        <w:t>Свого часу Вищий спеціалізований суд України з розгляду цивільних і кримінальних справ наголошував, що суд, постановляючи вирок у межах неконкретного обвинувачення, що викладене в обвинувальному акті, що не містило всіх обов’язкових елементів складу злочину, повторює недоліки сторони обвинувачення, і може постановити незаконне й необгрунтоване рішення [3].</w:t>
      </w:r>
    </w:p>
    <w:p w14:paraId="27966892" w14:textId="77777777" w:rsidR="00532C25" w:rsidRPr="00511005" w:rsidRDefault="00532C25" w:rsidP="00532C25">
      <w:pPr>
        <w:spacing w:line="264" w:lineRule="auto"/>
        <w:rPr>
          <w:rFonts w:ascii="Arial" w:eastAsia="Arial" w:hAnsi="Arial" w:cs="Arial"/>
          <w:szCs w:val="28"/>
          <w:shd w:val="clear" w:color="auto" w:fill="FFFFFF"/>
          <w:lang w:val="uk-UA" w:eastAsia="ru-RU"/>
        </w:rPr>
      </w:pPr>
      <w:r w:rsidRPr="00511005">
        <w:rPr>
          <w:rFonts w:ascii="Arial" w:eastAsia="Arial" w:hAnsi="Arial" w:cs="Arial"/>
          <w:b/>
          <w:bCs/>
          <w:szCs w:val="28"/>
          <w:shd w:val="clear" w:color="auto" w:fill="FFFFFF"/>
          <w:lang w:val="uk-UA" w:eastAsia="ru-RU"/>
        </w:rPr>
        <w:t xml:space="preserve">Істотне порушення в змістовному наповненні обвинувального акту. </w:t>
      </w:r>
      <w:r w:rsidRPr="00511005">
        <w:rPr>
          <w:rFonts w:ascii="Arial" w:eastAsia="Arial" w:hAnsi="Arial" w:cs="Arial"/>
          <w:szCs w:val="28"/>
          <w:shd w:val="clear" w:color="auto" w:fill="FFFFFF"/>
          <w:lang w:val="uk-UA" w:eastAsia="ru-RU"/>
        </w:rPr>
        <w:t>Змістовне наповнення обвинувального акту, як вже частково зазначалося, формується на основі переліку що міститься в ч. 2 ст. 291 КПК. За загальним правилом, перелік істотних порушень відсутній, проте їх визначають, як недотримання правил ст. 291 КПК. Зазвичай в даному випадку суддя в підготовчому засіданні постановляє ухвалу про повернення обвинувального акту прокурору для усунення недоліків в розумні строки, що визначаються в ухвалі.</w:t>
      </w:r>
    </w:p>
    <w:p w14:paraId="50367BAF"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shd w:val="clear" w:color="auto" w:fill="FFFFFF"/>
          <w:lang w:val="uk-UA" w:eastAsia="ru-RU"/>
        </w:rPr>
        <w:t xml:space="preserve">При цьому варто зазначити, що </w:t>
      </w:r>
      <w:r w:rsidRPr="00511005">
        <w:rPr>
          <w:rFonts w:ascii="Arial" w:eastAsia="Arial" w:hAnsi="Arial" w:cs="Arial"/>
          <w:szCs w:val="28"/>
          <w:lang w:val="uk-UA" w:eastAsia="ru-RU"/>
        </w:rPr>
        <w:t>повернення обвинувального акта є правом, а не обов’язком суду, і приводом для нього може стати не будь-яка формальна невідповідність вимогам КПК, а лише та, яка реально перешкоджає призначенню судового розгляду. Крім того, у практиці зустрічаються випадки, коли обвинувальний акт повертається зі стадії судового розгляду, що викликає питання адекватності сприйняття кримінальних процесуальних норм, адже КПК дозволяє прийняти таке рішення виключно на стадії підготовчого провадження.</w:t>
      </w:r>
    </w:p>
    <w:p w14:paraId="5533CFD3"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b/>
          <w:bCs/>
          <w:szCs w:val="28"/>
          <w:lang w:val="uk-UA" w:eastAsia="ru-RU"/>
        </w:rPr>
        <w:t xml:space="preserve">Висновок. </w:t>
      </w:r>
      <w:r w:rsidRPr="00511005">
        <w:rPr>
          <w:rFonts w:ascii="Arial" w:eastAsia="Arial" w:hAnsi="Arial" w:cs="Arial"/>
          <w:szCs w:val="28"/>
          <w:lang w:val="uk-UA" w:eastAsia="ru-RU"/>
        </w:rPr>
        <w:t xml:space="preserve">Процесуальні рішення, які виносяться в кримінальному провадженні, особливо підсумкові, є досить важливими етапами кожної з стадій кримінального провадження. Підсумкове рішення, зокрема обвинувальний акт, має бути чітким, відповідати нормам, що встановлені законом. А саме, містити повний виклад фактичних обставин, на основі яких буде сформульовано обвинувачення стосовно особи, що буде свідчити як про дотримання процесуальних норм, так і про наявність однієї з складових права особи на захист. </w:t>
      </w:r>
    </w:p>
    <w:p w14:paraId="3FB8B708" w14:textId="77777777" w:rsidR="00532C25" w:rsidRPr="00511005" w:rsidRDefault="00532C25" w:rsidP="00532C25">
      <w:pPr>
        <w:spacing w:line="264" w:lineRule="auto"/>
        <w:rPr>
          <w:rFonts w:ascii="Arial" w:eastAsia="Arial" w:hAnsi="Arial" w:cs="Arial"/>
          <w:szCs w:val="28"/>
          <w:lang w:val="uk-UA" w:eastAsia="ru-RU"/>
        </w:rPr>
      </w:pPr>
      <w:r w:rsidRPr="00511005">
        <w:rPr>
          <w:rFonts w:ascii="Arial" w:eastAsia="Arial" w:hAnsi="Arial" w:cs="Arial"/>
          <w:szCs w:val="28"/>
          <w:lang w:val="uk-UA" w:eastAsia="ru-RU"/>
        </w:rPr>
        <w:t>На нашу думку, питання змістовного наповнення обвинувального акту достатньо добре врегульовано в КПК, а зазначені вище проблеми виникають через недостатнє роз’яснення даних норм на практиці, іншими словами недостатність, як таких, правових позицій Верховного Суду стосовно даного питання.</w:t>
      </w:r>
    </w:p>
    <w:p w14:paraId="2C527E88" w14:textId="77777777" w:rsidR="00532C25" w:rsidRPr="00511005" w:rsidRDefault="00532C25" w:rsidP="00532C25">
      <w:pPr>
        <w:spacing w:line="264" w:lineRule="auto"/>
        <w:rPr>
          <w:rFonts w:ascii="Arial" w:eastAsia="Arial" w:hAnsi="Arial" w:cs="Arial"/>
          <w:b/>
          <w:bCs/>
          <w:szCs w:val="28"/>
          <w:lang w:val="uk-UA" w:eastAsia="ru-RU"/>
        </w:rPr>
      </w:pPr>
    </w:p>
    <w:p w14:paraId="73CCEBF6" w14:textId="77777777" w:rsidR="00532C25" w:rsidRPr="00511005" w:rsidRDefault="00532C25" w:rsidP="00532C25">
      <w:pPr>
        <w:spacing w:line="264" w:lineRule="auto"/>
        <w:jc w:val="center"/>
        <w:rPr>
          <w:rFonts w:ascii="Arial" w:eastAsia="Arial" w:hAnsi="Arial" w:cs="Arial"/>
          <w:szCs w:val="28"/>
          <w:lang w:val="uk-UA" w:eastAsia="ru-RU"/>
        </w:rPr>
      </w:pPr>
      <w:r w:rsidRPr="00511005">
        <w:rPr>
          <w:rFonts w:ascii="Arial" w:eastAsia="Arial" w:hAnsi="Arial" w:cs="Arial"/>
          <w:b/>
          <w:bCs/>
          <w:szCs w:val="28"/>
          <w:lang w:val="uk-UA" w:eastAsia="ru-RU"/>
        </w:rPr>
        <w:t>Список використаних джерел</w:t>
      </w:r>
    </w:p>
    <w:p w14:paraId="1785444A" w14:textId="77777777" w:rsidR="00532C25" w:rsidRPr="00511005" w:rsidRDefault="00532C25" w:rsidP="00532C25">
      <w:pPr>
        <w:spacing w:line="264" w:lineRule="auto"/>
        <w:ind w:firstLine="0"/>
        <w:rPr>
          <w:rFonts w:ascii="Arial" w:hAnsi="Arial" w:cs="Arial"/>
          <w:szCs w:val="28"/>
          <w:lang w:val="uk-UA" w:eastAsia="zh-CN"/>
        </w:rPr>
      </w:pPr>
      <w:r w:rsidRPr="00511005">
        <w:rPr>
          <w:rFonts w:ascii="Arial" w:hAnsi="Arial" w:cs="Arial"/>
          <w:szCs w:val="28"/>
          <w:lang w:val="uk-UA" w:eastAsia="zh-CN"/>
        </w:rPr>
        <w:t xml:space="preserve">1. Кримінальний процесуальний кодекс України: Закон України від 13.04.2012р. № 4651-VI. Верховна Рада України. URL: </w:t>
      </w:r>
      <w:hyperlink r:id="rId2287" w:anchor="Text"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zakon</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laws</w:t>
        </w:r>
        <w:r w:rsidRPr="00511005">
          <w:rPr>
            <w:rFonts w:ascii="Arial" w:hAnsi="Arial" w:cs="Arial"/>
            <w:szCs w:val="28"/>
            <w:lang w:eastAsia="zh-CN"/>
          </w:rPr>
          <w:t>/</w:t>
        </w:r>
        <w:r w:rsidRPr="00511005">
          <w:rPr>
            <w:rFonts w:ascii="Arial" w:hAnsi="Arial" w:cs="Arial"/>
            <w:szCs w:val="28"/>
            <w:lang w:val="en-US" w:eastAsia="zh-CN"/>
          </w:rPr>
          <w:t>show</w:t>
        </w:r>
        <w:r w:rsidRPr="00511005">
          <w:rPr>
            <w:rFonts w:ascii="Arial" w:hAnsi="Arial" w:cs="Arial"/>
            <w:szCs w:val="28"/>
            <w:lang w:eastAsia="zh-CN"/>
          </w:rPr>
          <w:t>/4651-17#</w:t>
        </w:r>
        <w:r w:rsidRPr="00511005">
          <w:rPr>
            <w:rFonts w:ascii="Arial" w:hAnsi="Arial" w:cs="Arial"/>
            <w:szCs w:val="28"/>
            <w:lang w:val="en-US" w:eastAsia="zh-CN"/>
          </w:rPr>
          <w:t>Text</w:t>
        </w:r>
      </w:hyperlink>
      <w:r w:rsidRPr="00511005">
        <w:rPr>
          <w:rFonts w:ascii="Arial" w:hAnsi="Arial" w:cs="Arial"/>
          <w:szCs w:val="28"/>
          <w:lang w:val="uk-UA" w:eastAsia="zh-CN"/>
        </w:rPr>
        <w:t xml:space="preserve">. </w:t>
      </w:r>
    </w:p>
    <w:p w14:paraId="6E99918A" w14:textId="77777777" w:rsidR="00532C25" w:rsidRPr="00511005" w:rsidRDefault="00532C25" w:rsidP="00532C25">
      <w:pPr>
        <w:spacing w:line="264" w:lineRule="auto"/>
        <w:ind w:firstLine="0"/>
        <w:rPr>
          <w:rFonts w:ascii="Arial" w:hAnsi="Arial" w:cs="Arial"/>
          <w:szCs w:val="28"/>
          <w:lang w:val="uk-UA" w:eastAsia="zh-CN"/>
        </w:rPr>
      </w:pPr>
      <w:r w:rsidRPr="00511005">
        <w:rPr>
          <w:rFonts w:ascii="Arial" w:hAnsi="Arial" w:cs="Arial"/>
          <w:szCs w:val="28"/>
          <w:lang w:val="uk-UA" w:eastAsia="zh-CN"/>
        </w:rPr>
        <w:t xml:space="preserve">2. </w:t>
      </w:r>
      <w:r w:rsidRPr="00511005">
        <w:rPr>
          <w:rFonts w:ascii="Arial" w:hAnsi="Arial" w:cs="Arial"/>
          <w:bCs/>
          <w:szCs w:val="28"/>
          <w:lang w:val="uk-UA" w:eastAsia="zh-CN"/>
        </w:rPr>
        <w:t>Гуртієва Л.М., Лукашкіна Т.В.</w:t>
      </w:r>
      <w:r w:rsidRPr="00511005">
        <w:rPr>
          <w:rFonts w:ascii="Arial" w:hAnsi="Arial" w:cs="Arial"/>
          <w:b/>
          <w:szCs w:val="28"/>
          <w:lang w:val="uk-UA" w:eastAsia="zh-CN"/>
        </w:rPr>
        <w:t xml:space="preserve"> </w:t>
      </w:r>
      <w:r w:rsidRPr="00511005">
        <w:rPr>
          <w:rFonts w:ascii="Arial" w:hAnsi="Arial" w:cs="Arial"/>
          <w:bCs/>
          <w:szCs w:val="28"/>
          <w:lang w:val="uk-UA" w:eastAsia="zh-CN"/>
        </w:rPr>
        <w:t xml:space="preserve">До питання про загальні умови прийняття процесуальних рішень у кримінальному провадженні України. </w:t>
      </w:r>
      <w:r w:rsidRPr="00511005">
        <w:rPr>
          <w:rFonts w:ascii="Arial" w:hAnsi="Arial" w:cs="Arial"/>
          <w:bCs/>
          <w:i/>
          <w:iCs/>
          <w:szCs w:val="28"/>
          <w:lang w:val="uk-UA" w:eastAsia="zh-CN"/>
        </w:rPr>
        <w:t>Європейські орієнтири розвитку України: науково-практичний вимір в умовах воєнних викликів</w:t>
      </w:r>
      <w:r w:rsidRPr="00511005">
        <w:rPr>
          <w:rFonts w:ascii="Arial" w:hAnsi="Arial" w:cs="Arial"/>
          <w:bCs/>
          <w:szCs w:val="28"/>
          <w:lang w:val="uk-UA" w:eastAsia="zh-CN"/>
        </w:rPr>
        <w:t xml:space="preserve"> : матеріали Міжнар.наук.-практ. конф. (Одеса, 26 квітня 2024 р.) / за заг. ред. С. В. Ківалова. Одеса : Фенікс, 2024. С. 427-429. URL:</w:t>
      </w:r>
      <w:r w:rsidRPr="00511005">
        <w:rPr>
          <w:rFonts w:ascii="Arial" w:hAnsi="Arial" w:cs="Arial"/>
          <w:b/>
          <w:bCs/>
          <w:szCs w:val="28"/>
          <w:lang w:val="uk-UA" w:eastAsia="zh-CN"/>
        </w:rPr>
        <w:t xml:space="preserve"> </w:t>
      </w:r>
      <w:hyperlink r:id="rId2288" w:history="1">
        <w:r w:rsidRPr="00511005">
          <w:rPr>
            <w:rFonts w:ascii="Arial" w:hAnsi="Arial" w:cs="Arial"/>
            <w:szCs w:val="28"/>
            <w:lang w:val="pl-PL" w:eastAsia="zh-CN"/>
          </w:rPr>
          <w:t>https://dspace.onua.edu.ua/items/c77ed43d-fe00-43d4-958d-0f60923956cd</w:t>
        </w:r>
      </w:hyperlink>
      <w:r w:rsidRPr="00511005">
        <w:rPr>
          <w:rFonts w:ascii="Arial" w:hAnsi="Arial" w:cs="Arial"/>
          <w:szCs w:val="28"/>
          <w:lang w:val="pl-PL" w:eastAsia="zh-CN"/>
        </w:rPr>
        <w:t xml:space="preserve">. </w:t>
      </w:r>
    </w:p>
    <w:p w14:paraId="14713FFD" w14:textId="77777777" w:rsidR="00532C25" w:rsidRPr="00511005" w:rsidRDefault="00532C25" w:rsidP="00532C25">
      <w:pPr>
        <w:spacing w:line="264" w:lineRule="auto"/>
        <w:ind w:firstLine="0"/>
        <w:rPr>
          <w:rFonts w:ascii="Arial" w:hAnsi="Arial" w:cs="Arial"/>
          <w:szCs w:val="28"/>
          <w:lang w:val="uk-UA" w:eastAsia="zh-CN"/>
        </w:rPr>
      </w:pPr>
      <w:r w:rsidRPr="00511005">
        <w:rPr>
          <w:rFonts w:ascii="Arial" w:hAnsi="Arial" w:cs="Arial"/>
          <w:szCs w:val="28"/>
          <w:lang w:val="uk-UA" w:eastAsia="zh-CN"/>
        </w:rPr>
        <w:t xml:space="preserve">3. Про порядок здійснення підготовчого судового провадження відповідно до Кримінального процесуального кодексу України: лист Вищого спеціалізованого суду України з розгляду цивільних і кримінальних справ № 223–1430/0/4–12 </w:t>
      </w:r>
      <w:r w:rsidRPr="00511005">
        <w:rPr>
          <w:rFonts w:ascii="Arial" w:hAnsi="Arial" w:cs="Arial"/>
          <w:szCs w:val="28"/>
          <w:shd w:val="clear" w:color="auto" w:fill="FFFFFF"/>
          <w:lang w:val="uk-UA" w:eastAsia="zh-CN"/>
        </w:rPr>
        <w:t xml:space="preserve">від 03.10.2012. </w:t>
      </w:r>
      <w:r w:rsidRPr="00511005">
        <w:rPr>
          <w:rFonts w:ascii="Arial" w:hAnsi="Arial" w:cs="Arial"/>
          <w:szCs w:val="28"/>
          <w:lang w:val="uk-UA" w:eastAsia="zh-CN"/>
        </w:rPr>
        <w:t xml:space="preserve">URL: </w:t>
      </w:r>
      <w:hyperlink r:id="rId2289" w:anchor="Text" w:history="1">
        <w:r w:rsidRPr="00511005">
          <w:rPr>
            <w:rFonts w:ascii="Arial" w:hAnsi="Arial" w:cs="Arial"/>
            <w:szCs w:val="28"/>
            <w:shd w:val="clear" w:color="auto" w:fill="FFFFFF"/>
            <w:lang w:val="pl-PL" w:eastAsia="zh-CN"/>
          </w:rPr>
          <w:t>https://zakon.rada.gov.ua/laws/show/v1430740-12#Text</w:t>
        </w:r>
      </w:hyperlink>
      <w:r w:rsidRPr="00511005">
        <w:rPr>
          <w:rFonts w:ascii="Arial" w:hAnsi="Arial" w:cs="Arial"/>
          <w:szCs w:val="28"/>
          <w:shd w:val="clear" w:color="auto" w:fill="FFFFFF"/>
          <w:lang w:val="uk-UA" w:eastAsia="zh-CN"/>
        </w:rPr>
        <w:t xml:space="preserve">. </w:t>
      </w:r>
    </w:p>
    <w:p w14:paraId="57B09344" w14:textId="77777777" w:rsidR="00532C25" w:rsidRPr="00511005" w:rsidRDefault="00532C25" w:rsidP="00532C25">
      <w:pPr>
        <w:spacing w:line="264" w:lineRule="auto"/>
        <w:ind w:firstLine="0"/>
        <w:rPr>
          <w:rFonts w:ascii="Arial" w:hAnsi="Arial" w:cs="Arial"/>
          <w:szCs w:val="28"/>
          <w:lang w:val="uk-UA" w:eastAsia="zh-CN"/>
        </w:rPr>
      </w:pPr>
      <w:r w:rsidRPr="00511005">
        <w:rPr>
          <w:rFonts w:ascii="Arial" w:hAnsi="Arial" w:cs="Arial"/>
          <w:szCs w:val="28"/>
          <w:lang w:val="uk-UA" w:eastAsia="zh-CN"/>
        </w:rPr>
        <w:t xml:space="preserve">4. Рішення ЄСПЛ у </w:t>
      </w:r>
      <w:hyperlink r:id="rId2290" w:history="1">
        <w:r w:rsidRPr="00511005">
          <w:rPr>
            <w:rFonts w:ascii="Arial" w:hAnsi="Arial" w:cs="Arial"/>
            <w:szCs w:val="28"/>
            <w:lang w:val="uk-UA" w:eastAsia="zh-CN"/>
          </w:rPr>
          <w:t>справі Маттоціа проти Італії</w:t>
        </w:r>
      </w:hyperlink>
      <w:r w:rsidRPr="00511005">
        <w:rPr>
          <w:rFonts w:ascii="Arial" w:hAnsi="Arial" w:cs="Arial"/>
          <w:szCs w:val="28"/>
          <w:lang w:val="uk-UA" w:eastAsia="zh-CN"/>
        </w:rPr>
        <w:t xml:space="preserve"> (</w:t>
      </w:r>
      <w:r w:rsidRPr="00511005">
        <w:rPr>
          <w:rFonts w:ascii="Arial" w:hAnsi="Arial" w:cs="Arial"/>
          <w:szCs w:val="28"/>
          <w:lang w:val="en-US" w:eastAsia="zh-CN"/>
        </w:rPr>
        <w:t>Mattoccia</w:t>
      </w:r>
      <w:r w:rsidRPr="00511005">
        <w:rPr>
          <w:rFonts w:ascii="Arial" w:hAnsi="Arial" w:cs="Arial"/>
          <w:szCs w:val="28"/>
          <w:lang w:val="uk-UA" w:eastAsia="zh-CN"/>
        </w:rPr>
        <w:t xml:space="preserve"> </w:t>
      </w:r>
      <w:r w:rsidRPr="00511005">
        <w:rPr>
          <w:rFonts w:ascii="Arial" w:hAnsi="Arial" w:cs="Arial"/>
          <w:szCs w:val="28"/>
          <w:lang w:val="en-US" w:eastAsia="zh-CN"/>
        </w:rPr>
        <w:t>v</w:t>
      </w:r>
      <w:r w:rsidRPr="00511005">
        <w:rPr>
          <w:rFonts w:ascii="Arial" w:hAnsi="Arial" w:cs="Arial"/>
          <w:szCs w:val="28"/>
          <w:lang w:val="uk-UA" w:eastAsia="zh-CN"/>
        </w:rPr>
        <w:t xml:space="preserve">. </w:t>
      </w:r>
      <w:r w:rsidRPr="00511005">
        <w:rPr>
          <w:rFonts w:ascii="Arial" w:hAnsi="Arial" w:cs="Arial"/>
          <w:szCs w:val="28"/>
          <w:lang w:val="en-US" w:eastAsia="zh-CN"/>
        </w:rPr>
        <w:t>Italy</w:t>
      </w:r>
      <w:r w:rsidRPr="00511005">
        <w:rPr>
          <w:rFonts w:ascii="Arial" w:hAnsi="Arial" w:cs="Arial"/>
          <w:szCs w:val="28"/>
          <w:lang w:val="uk-UA" w:eastAsia="zh-CN"/>
        </w:rPr>
        <w:t xml:space="preserve">) від 04.08.2001. Заява № </w:t>
      </w:r>
      <w:hyperlink w:tgtFrame="_blank" w:history="1">
        <w:r w:rsidRPr="00511005">
          <w:rPr>
            <w:rFonts w:ascii="Arial" w:hAnsi="Arial" w:cs="Arial"/>
            <w:szCs w:val="28"/>
            <w:lang w:val="uk-UA"/>
          </w:rPr>
          <w:t>23969/94</w:t>
        </w:r>
      </w:hyperlink>
      <w:r w:rsidRPr="00511005">
        <w:rPr>
          <w:rFonts w:ascii="Arial" w:hAnsi="Arial" w:cs="Arial"/>
          <w:szCs w:val="28"/>
          <w:lang w:val="uk-UA"/>
        </w:rPr>
        <w:t xml:space="preserve">. </w:t>
      </w:r>
      <w:r w:rsidRPr="00511005">
        <w:rPr>
          <w:rFonts w:ascii="Arial" w:hAnsi="Arial" w:cs="Arial"/>
          <w:szCs w:val="28"/>
          <w:lang w:val="en-US" w:eastAsia="zh-CN"/>
        </w:rPr>
        <w:t>URL</w:t>
      </w:r>
      <w:r w:rsidRPr="00511005">
        <w:rPr>
          <w:rFonts w:ascii="Arial" w:hAnsi="Arial" w:cs="Arial"/>
          <w:szCs w:val="28"/>
          <w:lang w:val="uk-UA" w:eastAsia="zh-CN"/>
        </w:rPr>
        <w:t xml:space="preserve">: </w:t>
      </w:r>
      <w:hyperlink r:id="rId2291" w:anchor="Text" w:history="1">
        <w:r w:rsidRPr="00511005">
          <w:rPr>
            <w:rFonts w:ascii="Arial" w:hAnsi="Arial" w:cs="Arial"/>
            <w:szCs w:val="28"/>
            <w:lang w:val="en-US" w:eastAsia="zh-CN"/>
          </w:rPr>
          <w:t>https</w:t>
        </w:r>
        <w:r w:rsidRPr="00511005">
          <w:rPr>
            <w:rFonts w:ascii="Arial" w:hAnsi="Arial" w:cs="Arial"/>
            <w:szCs w:val="28"/>
            <w:lang w:eastAsia="zh-CN"/>
          </w:rPr>
          <w:t>://</w:t>
        </w:r>
        <w:r w:rsidRPr="00511005">
          <w:rPr>
            <w:rFonts w:ascii="Arial" w:hAnsi="Arial" w:cs="Arial"/>
            <w:szCs w:val="28"/>
            <w:lang w:val="en-US" w:eastAsia="zh-CN"/>
          </w:rPr>
          <w:t>zakon</w:t>
        </w:r>
        <w:r w:rsidRPr="00511005">
          <w:rPr>
            <w:rFonts w:ascii="Arial" w:hAnsi="Arial" w:cs="Arial"/>
            <w:szCs w:val="28"/>
            <w:lang w:eastAsia="zh-CN"/>
          </w:rPr>
          <w:t>.</w:t>
        </w:r>
        <w:r w:rsidRPr="00511005">
          <w:rPr>
            <w:rFonts w:ascii="Arial" w:hAnsi="Arial" w:cs="Arial"/>
            <w:szCs w:val="28"/>
            <w:lang w:val="en-US" w:eastAsia="zh-CN"/>
          </w:rPr>
          <w:t>rada</w:t>
        </w:r>
        <w:r w:rsidRPr="00511005">
          <w:rPr>
            <w:rFonts w:ascii="Arial" w:hAnsi="Arial" w:cs="Arial"/>
            <w:szCs w:val="28"/>
            <w:lang w:eastAsia="zh-CN"/>
          </w:rPr>
          <w:t>.</w:t>
        </w:r>
        <w:r w:rsidRPr="00511005">
          <w:rPr>
            <w:rFonts w:ascii="Arial" w:hAnsi="Arial" w:cs="Arial"/>
            <w:szCs w:val="28"/>
            <w:lang w:val="en-US" w:eastAsia="zh-CN"/>
          </w:rPr>
          <w:t>gov</w:t>
        </w:r>
        <w:r w:rsidRPr="00511005">
          <w:rPr>
            <w:rFonts w:ascii="Arial" w:hAnsi="Arial" w:cs="Arial"/>
            <w:szCs w:val="28"/>
            <w:lang w:eastAsia="zh-CN"/>
          </w:rPr>
          <w:t>.</w:t>
        </w:r>
        <w:r w:rsidRPr="00511005">
          <w:rPr>
            <w:rFonts w:ascii="Arial" w:hAnsi="Arial" w:cs="Arial"/>
            <w:szCs w:val="28"/>
            <w:lang w:val="en-US" w:eastAsia="zh-CN"/>
          </w:rPr>
          <w:t>ua</w:t>
        </w:r>
        <w:r w:rsidRPr="00511005">
          <w:rPr>
            <w:rFonts w:ascii="Arial" w:hAnsi="Arial" w:cs="Arial"/>
            <w:szCs w:val="28"/>
            <w:lang w:eastAsia="zh-CN"/>
          </w:rPr>
          <w:t>/</w:t>
        </w:r>
        <w:r w:rsidRPr="00511005">
          <w:rPr>
            <w:rFonts w:ascii="Arial" w:hAnsi="Arial" w:cs="Arial"/>
            <w:szCs w:val="28"/>
            <w:lang w:val="en-US" w:eastAsia="zh-CN"/>
          </w:rPr>
          <w:t>laws</w:t>
        </w:r>
        <w:r w:rsidRPr="00511005">
          <w:rPr>
            <w:rFonts w:ascii="Arial" w:hAnsi="Arial" w:cs="Arial"/>
            <w:szCs w:val="28"/>
            <w:lang w:eastAsia="zh-CN"/>
          </w:rPr>
          <w:t>/</w:t>
        </w:r>
        <w:r w:rsidRPr="00511005">
          <w:rPr>
            <w:rFonts w:ascii="Arial" w:hAnsi="Arial" w:cs="Arial"/>
            <w:szCs w:val="28"/>
            <w:lang w:val="en-US" w:eastAsia="zh-CN"/>
          </w:rPr>
          <w:t>show</w:t>
        </w:r>
        <w:r w:rsidRPr="00511005">
          <w:rPr>
            <w:rFonts w:ascii="Arial" w:hAnsi="Arial" w:cs="Arial"/>
            <w:szCs w:val="28"/>
            <w:lang w:eastAsia="zh-CN"/>
          </w:rPr>
          <w:t>/980_004#</w:t>
        </w:r>
        <w:r w:rsidRPr="00511005">
          <w:rPr>
            <w:rFonts w:ascii="Arial" w:hAnsi="Arial" w:cs="Arial"/>
            <w:szCs w:val="28"/>
            <w:lang w:val="en-US" w:eastAsia="zh-CN"/>
          </w:rPr>
          <w:t>Text</w:t>
        </w:r>
      </w:hyperlink>
      <w:r w:rsidRPr="00511005">
        <w:rPr>
          <w:rFonts w:ascii="Arial" w:hAnsi="Arial" w:cs="Arial"/>
          <w:szCs w:val="28"/>
          <w:lang w:val="uk-UA" w:eastAsia="zh-CN"/>
        </w:rPr>
        <w:t xml:space="preserve">. </w:t>
      </w:r>
    </w:p>
    <w:p w14:paraId="2C0E870C" w14:textId="77777777" w:rsidR="00532C25" w:rsidRPr="00511005" w:rsidRDefault="00532C25" w:rsidP="00532C25">
      <w:pPr>
        <w:spacing w:line="264" w:lineRule="auto"/>
        <w:ind w:firstLine="0"/>
        <w:rPr>
          <w:rFonts w:ascii="Arial" w:hAnsi="Arial" w:cs="Arial"/>
          <w:szCs w:val="28"/>
          <w:lang w:val="uk-UA" w:eastAsia="zh-CN"/>
        </w:rPr>
      </w:pPr>
      <w:r w:rsidRPr="00511005">
        <w:rPr>
          <w:rFonts w:ascii="Arial" w:hAnsi="Arial" w:cs="Arial"/>
          <w:szCs w:val="28"/>
          <w:lang w:val="uk-UA" w:eastAsia="zh-CN"/>
        </w:rPr>
        <w:t xml:space="preserve">5. </w:t>
      </w:r>
      <w:r w:rsidRPr="00511005">
        <w:rPr>
          <w:rFonts w:ascii="Arial" w:hAnsi="Arial" w:cs="Arial"/>
          <w:kern w:val="36"/>
          <w:szCs w:val="28"/>
          <w:lang w:val="uk-UA" w:eastAsia="zh-CN"/>
        </w:rPr>
        <w:t>Ухвала Київського апеляційного суду від 23.06.2022 по справі 761/16458/16-к (</w:t>
      </w:r>
      <w:r w:rsidRPr="00511005">
        <w:rPr>
          <w:rFonts w:ascii="Arial" w:hAnsi="Arial" w:cs="Arial"/>
          <w:szCs w:val="28"/>
          <w:shd w:val="clear" w:color="auto" w:fill="FFFFFF"/>
          <w:lang w:val="uk-UA" w:eastAsia="zh-CN"/>
        </w:rPr>
        <w:t>Провадження №11-кп/</w:t>
      </w:r>
      <w:hyperlink r:id="rId2292" w:history="1">
        <w:r w:rsidRPr="00511005">
          <w:rPr>
            <w:rFonts w:ascii="Arial" w:hAnsi="Arial" w:cs="Arial"/>
            <w:szCs w:val="28"/>
            <w:lang w:eastAsia="zh-CN"/>
          </w:rPr>
          <w:t>824/868/20</w:t>
        </w:r>
      </w:hyperlink>
      <w:r w:rsidRPr="00511005">
        <w:rPr>
          <w:rFonts w:ascii="Arial" w:hAnsi="Arial" w:cs="Arial"/>
          <w:szCs w:val="28"/>
          <w:shd w:val="clear" w:color="auto" w:fill="FFFFFF"/>
          <w:lang w:val="uk-UA" w:eastAsia="zh-CN"/>
        </w:rPr>
        <w:t xml:space="preserve">22). </w:t>
      </w:r>
      <w:r w:rsidRPr="00511005">
        <w:rPr>
          <w:rFonts w:ascii="Arial" w:hAnsi="Arial" w:cs="Arial"/>
          <w:szCs w:val="28"/>
          <w:lang w:val="uk-UA" w:eastAsia="zh-CN"/>
        </w:rPr>
        <w:t xml:space="preserve">URL: </w:t>
      </w:r>
      <w:hyperlink r:id="rId2293" w:history="1">
        <w:r w:rsidRPr="00511005">
          <w:rPr>
            <w:rFonts w:ascii="Arial" w:hAnsi="Arial" w:cs="Arial"/>
            <w:szCs w:val="28"/>
            <w:lang w:val="pl-PL" w:eastAsia="zh-CN"/>
          </w:rPr>
          <w:t>https://opendatabot.ua/court/105139018-66e50ad207b49ba4f405a219daa85330?utm_source=chatgpt.com</w:t>
        </w:r>
      </w:hyperlink>
      <w:r w:rsidRPr="00511005">
        <w:rPr>
          <w:rFonts w:ascii="Arial" w:hAnsi="Arial" w:cs="Arial"/>
          <w:szCs w:val="28"/>
          <w:lang w:val="pl-PL" w:eastAsia="zh-CN"/>
        </w:rPr>
        <w:t xml:space="preserve">. </w:t>
      </w:r>
    </w:p>
    <w:p w14:paraId="445FAE0D" w14:textId="77777777" w:rsidR="00532C25" w:rsidRPr="00511005" w:rsidRDefault="00532C25" w:rsidP="00532C25">
      <w:pPr>
        <w:spacing w:line="264" w:lineRule="auto"/>
        <w:ind w:firstLine="360"/>
        <w:rPr>
          <w:rFonts w:ascii="Arial" w:hAnsi="Arial" w:cs="Arial"/>
          <w:b/>
          <w:szCs w:val="28"/>
          <w:lang w:val="uk-UA" w:eastAsia="zh-CN"/>
        </w:rPr>
      </w:pPr>
    </w:p>
    <w:p w14:paraId="25A508A2" w14:textId="77777777" w:rsidR="00532C25" w:rsidRPr="00511005" w:rsidRDefault="00532C25" w:rsidP="00532C25">
      <w:pPr>
        <w:spacing w:line="264" w:lineRule="auto"/>
        <w:ind w:firstLine="360"/>
        <w:rPr>
          <w:rFonts w:ascii="Arial" w:hAnsi="Arial" w:cs="Arial"/>
          <w:szCs w:val="28"/>
          <w:lang w:val="uk-UA" w:eastAsia="zh-CN"/>
        </w:rPr>
      </w:pPr>
      <w:r w:rsidRPr="00511005">
        <w:rPr>
          <w:rFonts w:ascii="Arial" w:hAnsi="Arial" w:cs="Arial"/>
          <w:b/>
          <w:i/>
          <w:szCs w:val="28"/>
          <w:lang w:val="uk-UA" w:eastAsia="zh-CN"/>
        </w:rPr>
        <w:t xml:space="preserve">Ключові слова: </w:t>
      </w:r>
      <w:r w:rsidRPr="00511005">
        <w:rPr>
          <w:rFonts w:ascii="Arial" w:hAnsi="Arial" w:cs="Arial"/>
          <w:bCs/>
          <w:szCs w:val="28"/>
          <w:lang w:val="uk-UA" w:eastAsia="zh-CN"/>
        </w:rPr>
        <w:t xml:space="preserve">обвинувальний акт, виклад фактичних обставин, формулювання обвинувачення, підготовче провадження. </w:t>
      </w:r>
    </w:p>
    <w:p w14:paraId="4748F582" w14:textId="77777777" w:rsidR="00532C25" w:rsidRPr="00511005" w:rsidRDefault="00532C25" w:rsidP="00532C25">
      <w:pPr>
        <w:spacing w:line="264" w:lineRule="auto"/>
        <w:ind w:firstLine="360"/>
        <w:rPr>
          <w:rFonts w:ascii="Arial" w:hAnsi="Arial" w:cs="Arial"/>
          <w:szCs w:val="28"/>
          <w:lang w:val="uk-UA" w:eastAsia="zh-CN"/>
        </w:rPr>
      </w:pPr>
      <w:r w:rsidRPr="00511005">
        <w:rPr>
          <w:rFonts w:ascii="Arial" w:hAnsi="Arial" w:cs="Arial"/>
          <w:b/>
          <w:i/>
          <w:szCs w:val="28"/>
          <w:lang w:val="uk-UA" w:eastAsia="zh-CN"/>
        </w:rPr>
        <w:t xml:space="preserve">Key words: </w:t>
      </w:r>
      <w:r w:rsidRPr="00511005">
        <w:rPr>
          <w:rFonts w:ascii="Arial" w:hAnsi="Arial" w:cs="Arial"/>
          <w:szCs w:val="28"/>
          <w:lang w:val="uk-UA" w:eastAsia="zh-CN"/>
        </w:rPr>
        <w:t>indictment, statement of facts, wording of charges, preparatory proceedings.</w:t>
      </w:r>
    </w:p>
    <w:p w14:paraId="54FF6114" w14:textId="77777777" w:rsidR="00532C25" w:rsidRPr="00511005" w:rsidRDefault="00532C25" w:rsidP="00532C25">
      <w:pPr>
        <w:spacing w:line="264" w:lineRule="auto"/>
        <w:ind w:left="360" w:firstLine="0"/>
        <w:rPr>
          <w:rFonts w:ascii="Arial" w:hAnsi="Arial" w:cs="Arial"/>
          <w:szCs w:val="28"/>
          <w:lang w:val="uk-UA" w:eastAsia="zh-CN"/>
        </w:rPr>
      </w:pPr>
      <w:r w:rsidRPr="00511005">
        <w:rPr>
          <w:rFonts w:ascii="Arial" w:hAnsi="Arial" w:cs="Arial"/>
          <w:b/>
          <w:i/>
          <w:szCs w:val="28"/>
          <w:lang w:val="uk-UA" w:eastAsia="zh-CN"/>
        </w:rPr>
        <w:t xml:space="preserve">Науковий керівник: </w:t>
      </w:r>
      <w:r w:rsidRPr="00511005">
        <w:rPr>
          <w:rFonts w:ascii="Arial" w:hAnsi="Arial" w:cs="Arial"/>
          <w:i/>
          <w:szCs w:val="28"/>
          <w:lang w:val="uk-UA" w:eastAsia="zh-CN"/>
        </w:rPr>
        <w:t>к.ю.н., доцент Гуртієва Л.М.</w:t>
      </w:r>
    </w:p>
    <w:p w14:paraId="643C28D6" w14:textId="77777777" w:rsidR="00532C25" w:rsidRPr="00511005" w:rsidRDefault="00532C25" w:rsidP="00532C25">
      <w:pPr>
        <w:spacing w:line="264" w:lineRule="auto"/>
        <w:ind w:firstLine="0"/>
        <w:rPr>
          <w:rFonts w:ascii="Arial" w:eastAsia="Arial" w:hAnsi="Arial" w:cs="Arial"/>
          <w:szCs w:val="28"/>
          <w:lang w:val="uk-UA" w:eastAsia="ru-RU"/>
        </w:rPr>
      </w:pPr>
    </w:p>
    <w:p w14:paraId="72F77B25" w14:textId="77777777" w:rsidR="00532C25" w:rsidRPr="00511005" w:rsidRDefault="00532C25" w:rsidP="00532C25">
      <w:pPr>
        <w:spacing w:line="264" w:lineRule="auto"/>
        <w:ind w:firstLine="0"/>
        <w:jc w:val="center"/>
        <w:textAlignment w:val="baseline"/>
        <w:rPr>
          <w:rFonts w:ascii="Arial" w:eastAsia="Times New Roman" w:hAnsi="Arial" w:cs="Arial"/>
          <w:szCs w:val="28"/>
          <w:lang w:val="uk-UA" w:eastAsia="zh-CN"/>
        </w:rPr>
      </w:pPr>
      <w:r w:rsidRPr="00511005">
        <w:rPr>
          <w:rFonts w:ascii="Arial" w:eastAsia="Times New Roman" w:hAnsi="Arial" w:cs="Arial"/>
          <w:b/>
          <w:bCs/>
          <w:i/>
          <w:iCs/>
          <w:szCs w:val="28"/>
          <w:lang w:val="uk-UA" w:eastAsia="zh-CN"/>
        </w:rPr>
        <w:t>Рожко Дмитро Андрійович</w:t>
      </w:r>
    </w:p>
    <w:p w14:paraId="1B3C3FBE"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 1-го курсу магістратури</w:t>
      </w:r>
    </w:p>
    <w:p w14:paraId="716614E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43C69DC"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CB600A7" w14:textId="77777777" w:rsidR="00532C25" w:rsidRPr="00511005" w:rsidRDefault="00532C25" w:rsidP="00532C25">
      <w:pPr>
        <w:spacing w:line="264" w:lineRule="auto"/>
        <w:ind w:firstLine="0"/>
        <w:jc w:val="center"/>
        <w:textAlignment w:val="baseline"/>
        <w:rPr>
          <w:rFonts w:ascii="Arial" w:eastAsia="Times New Roman" w:hAnsi="Arial" w:cs="Arial"/>
          <w:szCs w:val="28"/>
          <w:lang w:val="uk-UA" w:eastAsia="zh-CN"/>
        </w:rPr>
      </w:pPr>
      <w:r w:rsidRPr="00511005">
        <w:rPr>
          <w:rFonts w:ascii="Arial" w:eastAsia="Times New Roman" w:hAnsi="Arial" w:cs="Arial"/>
          <w:b/>
          <w:bCs/>
          <w:i/>
          <w:iCs/>
          <w:szCs w:val="28"/>
          <w:lang w:val="uk-UA" w:eastAsia="zh-CN"/>
        </w:rPr>
        <w:t>Манів Надія Романівна</w:t>
      </w:r>
    </w:p>
    <w:p w14:paraId="7D43D783" w14:textId="77777777" w:rsidR="00532C25" w:rsidRPr="00511005" w:rsidRDefault="00532C25" w:rsidP="00532C25">
      <w:pPr>
        <w:spacing w:line="264" w:lineRule="auto"/>
        <w:ind w:firstLine="0"/>
        <w:jc w:val="center"/>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 xml:space="preserve">студентка 1-го курсу магістратури </w:t>
      </w:r>
      <w:r w:rsidRPr="00511005">
        <w:rPr>
          <w:rFonts w:ascii="Arial" w:eastAsia="Times New Roman" w:hAnsi="Arial" w:cs="Arial"/>
          <w:szCs w:val="28"/>
          <w:lang w:val="uk-UA" w:eastAsia="zh-CN"/>
        </w:rPr>
        <w:br/>
        <w:t>факультету судового та міжнародного права</w:t>
      </w:r>
    </w:p>
    <w:p w14:paraId="2EAFBC6B" w14:textId="77777777" w:rsidR="00532C25" w:rsidRPr="00511005" w:rsidRDefault="00532C25" w:rsidP="00532C25">
      <w:pPr>
        <w:spacing w:line="264" w:lineRule="auto"/>
        <w:ind w:firstLine="0"/>
        <w:jc w:val="center"/>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Національного університету «Одеська юридична академія»</w:t>
      </w:r>
    </w:p>
    <w:p w14:paraId="26DC2A37" w14:textId="77777777" w:rsidR="00532C25" w:rsidRPr="00511005" w:rsidRDefault="00532C25" w:rsidP="00532C25">
      <w:pPr>
        <w:spacing w:line="264" w:lineRule="auto"/>
        <w:ind w:firstLine="0"/>
        <w:textAlignment w:val="baseline"/>
        <w:rPr>
          <w:rFonts w:ascii="Arial" w:eastAsia="Times New Roman" w:hAnsi="Arial" w:cs="Arial"/>
          <w:szCs w:val="28"/>
          <w:lang w:val="uk-UA" w:eastAsia="zh-CN"/>
        </w:rPr>
      </w:pPr>
    </w:p>
    <w:p w14:paraId="674C558C" w14:textId="77777777" w:rsidR="00532C25" w:rsidRPr="00511005" w:rsidRDefault="00532C25" w:rsidP="00532C25">
      <w:pPr>
        <w:spacing w:line="264" w:lineRule="auto"/>
        <w:ind w:firstLine="0"/>
        <w:jc w:val="center"/>
        <w:textAlignment w:val="baseline"/>
        <w:rPr>
          <w:rFonts w:ascii="Arial" w:eastAsia="Times New Roman" w:hAnsi="Arial" w:cs="Arial"/>
          <w:szCs w:val="28"/>
          <w:lang w:val="uk-UA" w:eastAsia="zh-CN"/>
        </w:rPr>
      </w:pPr>
      <w:r w:rsidRPr="00511005">
        <w:rPr>
          <w:rFonts w:ascii="Arial" w:eastAsia="Times New Roman" w:hAnsi="Arial" w:cs="Arial"/>
          <w:b/>
          <w:bCs/>
          <w:szCs w:val="28"/>
          <w:lang w:val="uk-UA" w:eastAsia="zh-CN"/>
        </w:rPr>
        <w:t>ПРОБЛЕМАТИКА ДОПУСТИМОСТІ ВИКОРИСТАННЯ ГІПНОЗУ ЯК ІНСТРУМЕНТУ ОТРИМАННЯ ДОКАЗІВ</w:t>
      </w:r>
    </w:p>
    <w:p w14:paraId="767AC654"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lastRenderedPageBreak/>
        <w:t>Останнім часом науковці та практики все активніше обговорюють можливість використання гіпнозу на етапі досудового розслідування як одного з нетрадиційних методів здобуття важливої для кримінального провадження інформації. Це зумовлено прагненням забезпечити більш ефективне, повне та оперативне розслідування злочинів. Водночас, єдиного погляду на допустимість та доцільність такого підходу досі не сформовано. </w:t>
      </w:r>
    </w:p>
    <w:p w14:paraId="5F1788FD"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Гіпноз – це тимчасовий стан свідомості, який супроводжується її звуженням, подібним до сну, та різкою концентрацією уваги на змісті навіювання. Такий стан пов’язаний зі змінами у функціонуванні механізмів індивідуального контролю та самосвідомості. Він виникає внаслідок спеціальних дій гіпнотизера або в результаті цілеспрямованого самонавіювання [1, с. 249]. </w:t>
      </w:r>
    </w:p>
    <w:p w14:paraId="24EF3125"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У середині 1960-х років, на основі проведених досліджень, було розроблено метод так званого «слідчого» гіпнозу – застосування гіпнорепродукції (репродуктивного гіпнозу) з метою активізації в пам’яті допитуваних осіб раніше забутих, але важливих обставин кримінальної події. Уже в той період питання використання гіпнозу у процесі розкриття та розслідування злочинів розглядалося з позицій його правової допустимості та моральної обґрунтованості в межах кримінального судочинства [2, с. 142]. </w:t>
      </w:r>
    </w:p>
    <w:p w14:paraId="073D2D1D"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Правомірність застосування гіпнозу при розслідуванні кримінальних правопорушень і достовірність отриманої інформації викликають сумніви, адже гіпноз передбачає глибоке втручання у свідомість людини та активний вплив на неї. А. Ю. Севастьянова та З. І. Пшенічнова, посилаючись на ст. 28 Конституції України, наголошують, що жодна людина без її вільної згоди не може бути піддана медичним, науковим чи іншим дослідам. Цей принцип, на їхню думку, має бути відображений у кожному можливому способі отримання доказів. Однак, як підкреслюють дослідниці, використання гіпнозу у кримінальному процесі супроводжується низкою ризиків. Зокрема, неможливо повністю гарантувати, що гіпнолог залишатиметься об’єктивним і не впливатиме на допитуваного в напрямі, вигідному для сторони провадження [4, с. 312-313]. </w:t>
      </w:r>
    </w:p>
    <w:p w14:paraId="50F86EC0"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Деякі дослідники вважають, що гіпноз ще не готовий до впровадження в Україні через відсутність науково обґрунтованого механізму. Як зазначається: «...в Україні наразі відсутні законодавчі підстави для використання гіпнозу (гіпнологів) в інтересах правоохоронних органів чи будь-яких інших суб’єктів кримінального процесу. Також, свідчення, отримані від особи в стані гіпнозу, не можуть вважатися доказами у процесуальному сенсі» [3, с. 275]. </w:t>
      </w:r>
    </w:p>
    <w:p w14:paraId="65BDA4F3"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 xml:space="preserve">Узагальнюючи позиції науковців, можна виокремити такі основні негативні аспекти використання гіпнозу в кримінальному провадженні: ризик зловживання особливим психічним станом загіпнотизованої особи шляхом </w:t>
      </w:r>
      <w:r w:rsidRPr="00511005">
        <w:rPr>
          <w:rFonts w:ascii="Arial" w:eastAsia="Times New Roman" w:hAnsi="Arial" w:cs="Arial"/>
          <w:szCs w:val="28"/>
          <w:lang w:val="uk-UA" w:eastAsia="zh-CN"/>
        </w:rPr>
        <w:lastRenderedPageBreak/>
        <w:t xml:space="preserve">нав’язування їй певної інформації; сумнівна наукова обґрунтованість методу, що викликає критику щодо його достовірності та ефективності; відсутність нормативно-правових підстав для застосування гіпнозу в межах кримінального процесу та діяльності його учасників. </w:t>
      </w:r>
    </w:p>
    <w:p w14:paraId="376DD904"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На наш погляд, хоча окремі позиції щодо заборони гіпнозу під час проведення слідчих (розшукових) дій є доволі категоричними, вони мають логічне підґрунтя. Водночас і протилежна точка зору – про можливість застосування гіпнозу за певних умов – виглядає аргументовано та заслуговує на увагу. </w:t>
      </w:r>
    </w:p>
    <w:p w14:paraId="0C2B4706"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Практика зарубіжних країн показує, що використання гіпнозу в роботі правоохоронців підвищує ефективність розслідування злочинів. Серед таких країн, де гіпноз активно використовується в правоохоронній діяльності з дотриманням принципів законності та захисту прав людини, можна виокремити США, Канаду, Великобританію, Австралію та Ізраїль [2, с. 143]. </w:t>
      </w:r>
    </w:p>
    <w:p w14:paraId="7350591D"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У цьому контексті А. П. Черненко надає певне роз’яснення, зазначаючи, що у країнах, де дозволено використання гіпнозу, зазвичай відсутнє чітке формальне визначення поняття «доказ», що значно відрізняє їхню правову систему від національної. В Україні ж існує законодавчо закріплене визначення доказів, встановлені їхні ознаки та процесуальні вимоги. Саме тому запозичення досвіду цих держав і спроба його механічного перенесення на вітчизняну практику є некоректним. З урахуванням норм чинного законодавства України, інформація, отримана за допомогою гіпнозу, не може визнаватися допустимим доказом, що робить подібне обґрунтування неприйнятним [5, с. 269]. </w:t>
      </w:r>
    </w:p>
    <w:p w14:paraId="6C77A69E"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Заслуговує на увагу позиція Л. Д. Удалової, яка підкреслює, що гіпноз – це не «тваринний магнетизм» і не прояв шарлатанства, а науково обґрунтований медичний метод, що вже понад століття активно використовується в медицині, психології та психіатрії. Дослідниця підтримує думку, з якою важко не погодитись: застосування гіпнозу допустиме лише тоді, коли вичерпані всі інші можливості отримання інформації. При цьому відомості, здобуті за допомогою гіпнорепродукції, мають носити лише орієнтовний характер і обов’язково підлягати ретельній перевірці в подальшому розслідуванні [6, с. 508-509]. </w:t>
      </w:r>
    </w:p>
    <w:p w14:paraId="453FE99E"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 xml:space="preserve">Л. Д. Удалова пропонує рекомендації щодо врегулювання спірних моментів і забезпечення безпечного використання гіпнозу на практиці. Зокрема, вона наголошує на таких умовах: а) проведення процедури виключно за умови добровільної згоди особи, яка підлягає опитуванню; б) гіпносеанс має здійснюватися лише кваліфікованим фахівцем – гіпнологом з медичною освітою за спеціальністю «лікар-психотерапевт», а також з юридичною підготовкою у сфері кримінального процесу та криміналістики; в) необхідно забезпечити неупередженість гіпнолога та виключити застосування навідних запитань чи нав’язування неправдивої інформації; г) </w:t>
      </w:r>
      <w:r w:rsidRPr="00511005">
        <w:rPr>
          <w:rFonts w:ascii="Arial" w:eastAsia="Times New Roman" w:hAnsi="Arial" w:cs="Arial"/>
          <w:szCs w:val="28"/>
          <w:lang w:val="uk-UA" w:eastAsia="zh-CN"/>
        </w:rPr>
        <w:lastRenderedPageBreak/>
        <w:t>гіпнорепродукційний сеанс має бути обов’язково з відеофіксацією; д) у разі відсутності перешкод для проведення сеансу дозволяється присутність понятих; е) сеанс не може проводитись із особами, які мають медичні протипоказання до гіпнозу; є) присутність слідчих та оперативних працівників під час сеансу заборонена; ж) гіпнолог зобов’язаний дотримуватись конфіденційності та не розголошувати відомості, що становлять таємницю слідства; з) допускається участь у процедурі захисника, педагога, перекладача – за умови попереднього ознайомлення з порядком проведення гіпнорепродукції. Ці пропозиції спрямовані на створення чіткої та безпечної правової основи для потенційного застосування гіпнозу у кримінальному процесі [7, с. 51]. У цьому контексті Л. Д. Удалова пропонує внести зміни до Кримінального процесуального кодексу України, доповнивши його спеціальною статтею під назвою «Допит гіпнолога». На її думку, у протоколі такого допиту має бути детально зафіксовано весь хід проведення процедури опитування в стані гіпнозу [6, с. 511-512]. </w:t>
      </w:r>
    </w:p>
    <w:p w14:paraId="3FF233BB"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Попри зацікавленість у гіпнозі як методі активізації пам’яті, на сьогодні він не визнається процесуальним способом отримання доказів. Його застосування у рамках оперативно-розшукової діяльності підтримується деякими теоретиками, однак викликає суперечки щодо правомірності й ефективності. Ситуація ускладнюється, коли особа відмовляється давати показання або посилається на втрату пам’яті. У таких випадках слідчий стикається з процесуальними обмеженнями, які ставить його у складне становище, адже закон не передбачає інших шляхів, окрім звернення до додаткових джерел інформації. Проте, на практиці вони часто відсутні, що призводить до закриття проваджень через брак доказів, зниження розкриття злочинів і, як наслідок, зростання рівня злочинності.</w:t>
      </w:r>
    </w:p>
    <w:p w14:paraId="49B764E6"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На сучасному етапі розвитку суспільства доцільно дозволити використання гіпнозу як допоміжного засобу отримання інформації – виключно за добровільної згоди особи та лише тоді, коли вичерпані всі інші способи збирання доказів. Отримані таким чином дані повинні мати орієнтовний характер і використовуватись лише для сприяння розкриттю та розслідуванню злочинів, що сприятиме розширенню ефективних засобів боротьби зі злочинністю. </w:t>
      </w:r>
    </w:p>
    <w:p w14:paraId="1BA6AED6"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p>
    <w:p w14:paraId="648E1511" w14:textId="77777777" w:rsidR="00532C25" w:rsidRPr="00511005" w:rsidRDefault="00532C25" w:rsidP="00532C25">
      <w:pPr>
        <w:spacing w:line="264" w:lineRule="auto"/>
        <w:ind w:firstLine="540"/>
        <w:jc w:val="center"/>
        <w:textAlignment w:val="baseline"/>
        <w:rPr>
          <w:rFonts w:ascii="Arial" w:eastAsia="Times New Roman" w:hAnsi="Arial" w:cs="Arial"/>
          <w:szCs w:val="28"/>
          <w:lang w:val="uk-UA" w:eastAsia="zh-CN"/>
        </w:rPr>
      </w:pPr>
      <w:r w:rsidRPr="00511005">
        <w:rPr>
          <w:rFonts w:ascii="Arial" w:eastAsia="Times New Roman" w:hAnsi="Arial" w:cs="Arial"/>
          <w:b/>
          <w:bCs/>
          <w:szCs w:val="28"/>
          <w:lang w:val="uk-UA" w:eastAsia="zh-CN"/>
        </w:rPr>
        <w:t>Список використаної джерел</w:t>
      </w:r>
    </w:p>
    <w:p w14:paraId="39CB1866" w14:textId="77777777" w:rsidR="00532C25" w:rsidRPr="00511005" w:rsidRDefault="00532C25" w:rsidP="003F6A5D">
      <w:pPr>
        <w:numPr>
          <w:ilvl w:val="0"/>
          <w:numId w:val="601"/>
        </w:numPr>
        <w:tabs>
          <w:tab w:val="left" w:pos="851"/>
        </w:tabs>
        <w:spacing w:line="264" w:lineRule="auto"/>
        <w:ind w:left="0" w:firstLine="540"/>
        <w:jc w:val="left"/>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 xml:space="preserve">Шнайдерман М. Ю., Гіпноз як метод отримання інформації: питання можливостей та допустимості. URL: </w:t>
      </w:r>
      <w:hyperlink r:id="rId2294" w:tgtFrame="_blank" w:history="1">
        <w:r w:rsidRPr="00511005">
          <w:rPr>
            <w:rFonts w:ascii="Arial" w:eastAsia="Times New Roman" w:hAnsi="Arial" w:cs="Arial"/>
            <w:szCs w:val="28"/>
            <w:lang w:val="uk-UA" w:eastAsia="zh-CN"/>
          </w:rPr>
          <w:t>https://dspace.onu.edu.ua/server/api/core/bitstreams/7511a196-23ec-4a53-a384-442f9b93538f/content</w:t>
        </w:r>
      </w:hyperlink>
      <w:r w:rsidRPr="00511005">
        <w:rPr>
          <w:rFonts w:ascii="Arial" w:eastAsia="Times New Roman" w:hAnsi="Arial" w:cs="Arial"/>
          <w:szCs w:val="28"/>
          <w:lang w:val="uk-UA" w:eastAsia="zh-CN"/>
        </w:rPr>
        <w:t xml:space="preserve">. </w:t>
      </w:r>
    </w:p>
    <w:p w14:paraId="3F73D81F" w14:textId="77777777" w:rsidR="00532C25" w:rsidRPr="00511005" w:rsidRDefault="00532C25" w:rsidP="003F6A5D">
      <w:pPr>
        <w:numPr>
          <w:ilvl w:val="0"/>
          <w:numId w:val="601"/>
        </w:numPr>
        <w:tabs>
          <w:tab w:val="left" w:pos="851"/>
        </w:tabs>
        <w:spacing w:line="264" w:lineRule="auto"/>
        <w:ind w:left="0" w:firstLine="540"/>
        <w:jc w:val="left"/>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 xml:space="preserve">Данкевич М. С. Правомірність застосування гіпнозу під час допиту потерпілих і свідків та процесуальне значення відомостей, отриманих за </w:t>
      </w:r>
      <w:r w:rsidRPr="00511005">
        <w:rPr>
          <w:rFonts w:ascii="Arial" w:eastAsia="Times New Roman" w:hAnsi="Arial" w:cs="Arial"/>
          <w:szCs w:val="28"/>
          <w:lang w:val="uk-UA" w:eastAsia="zh-CN"/>
        </w:rPr>
        <w:lastRenderedPageBreak/>
        <w:t xml:space="preserve">його результатами. </w:t>
      </w:r>
      <w:r w:rsidRPr="00511005">
        <w:rPr>
          <w:rFonts w:ascii="Arial" w:eastAsia="Times New Roman" w:hAnsi="Arial" w:cs="Arial"/>
          <w:i/>
          <w:iCs/>
          <w:szCs w:val="28"/>
          <w:lang w:val="uk-UA" w:eastAsia="zh-CN"/>
        </w:rPr>
        <w:t xml:space="preserve">Вісник кримінального судочинства. </w:t>
      </w:r>
      <w:r w:rsidRPr="00511005">
        <w:rPr>
          <w:rFonts w:ascii="Arial" w:eastAsia="Times New Roman" w:hAnsi="Arial" w:cs="Arial"/>
          <w:szCs w:val="28"/>
          <w:lang w:val="uk-UA" w:eastAsia="zh-CN"/>
        </w:rPr>
        <w:t xml:space="preserve">2018. № 1. С. 140-147. URL: </w:t>
      </w:r>
      <w:hyperlink r:id="rId2295" w:tgtFrame="_blank" w:history="1">
        <w:r w:rsidRPr="00511005">
          <w:rPr>
            <w:rFonts w:ascii="Arial" w:eastAsia="Times New Roman" w:hAnsi="Arial" w:cs="Arial"/>
            <w:szCs w:val="28"/>
            <w:lang w:val="uk-UA" w:eastAsia="zh-CN"/>
          </w:rPr>
          <w:t>https://vkslaw.com.ua/index.php/journal/article/view/254/226</w:t>
        </w:r>
      </w:hyperlink>
      <w:r w:rsidRPr="00511005">
        <w:rPr>
          <w:rFonts w:ascii="Arial" w:eastAsia="Times New Roman" w:hAnsi="Arial" w:cs="Arial"/>
          <w:szCs w:val="28"/>
          <w:lang w:val="uk-UA" w:eastAsia="zh-CN"/>
        </w:rPr>
        <w:t xml:space="preserve">. </w:t>
      </w:r>
    </w:p>
    <w:p w14:paraId="5A36F9A6" w14:textId="77777777" w:rsidR="00532C25" w:rsidRPr="00511005" w:rsidRDefault="00532C25" w:rsidP="003F6A5D">
      <w:pPr>
        <w:numPr>
          <w:ilvl w:val="0"/>
          <w:numId w:val="601"/>
        </w:numPr>
        <w:tabs>
          <w:tab w:val="left" w:pos="851"/>
        </w:tabs>
        <w:spacing w:line="264" w:lineRule="auto"/>
        <w:ind w:left="0" w:firstLine="540"/>
        <w:jc w:val="left"/>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 xml:space="preserve">Савченко В. А., Королишин І. М., Про допустимість використання гіпнозу при розкритті і розслідуванні злочинів. </w:t>
      </w:r>
      <w:r w:rsidRPr="00511005">
        <w:rPr>
          <w:rFonts w:ascii="Arial" w:eastAsia="Times New Roman" w:hAnsi="Arial" w:cs="Arial"/>
          <w:i/>
          <w:iCs/>
          <w:szCs w:val="28"/>
          <w:lang w:val="uk-UA" w:eastAsia="zh-CN"/>
        </w:rPr>
        <w:t>Прикарпатський юридичний вісник.</w:t>
      </w:r>
      <w:r w:rsidRPr="00511005">
        <w:rPr>
          <w:rFonts w:ascii="Arial" w:eastAsia="Times New Roman" w:hAnsi="Arial" w:cs="Arial"/>
          <w:szCs w:val="28"/>
          <w:lang w:val="uk-UA" w:eastAsia="zh-CN"/>
        </w:rPr>
        <w:t xml:space="preserve"> 2014. Випуск 1 (4). С. 272‒280. URL: </w:t>
      </w:r>
      <w:hyperlink r:id="rId2296" w:tgtFrame="_blank" w:history="1">
        <w:r w:rsidRPr="00511005">
          <w:rPr>
            <w:rFonts w:ascii="Arial" w:eastAsia="Times New Roman" w:hAnsi="Arial" w:cs="Arial"/>
            <w:szCs w:val="28"/>
            <w:lang w:val="uk-UA" w:eastAsia="zh-CN"/>
          </w:rPr>
          <w:t>http://pjv.nuoua.od.ua/v1_2014/28.pdf</w:t>
        </w:r>
      </w:hyperlink>
      <w:r w:rsidRPr="00511005">
        <w:rPr>
          <w:rFonts w:ascii="Arial" w:eastAsia="Times New Roman" w:hAnsi="Arial" w:cs="Arial"/>
          <w:szCs w:val="28"/>
          <w:lang w:val="uk-UA" w:eastAsia="zh-CN"/>
        </w:rPr>
        <w:t xml:space="preserve">. </w:t>
      </w:r>
    </w:p>
    <w:p w14:paraId="0A142DB9" w14:textId="77777777" w:rsidR="00532C25" w:rsidRPr="00511005" w:rsidRDefault="00532C25" w:rsidP="003F6A5D">
      <w:pPr>
        <w:numPr>
          <w:ilvl w:val="0"/>
          <w:numId w:val="601"/>
        </w:numPr>
        <w:tabs>
          <w:tab w:val="left" w:pos="851"/>
        </w:tabs>
        <w:spacing w:line="264" w:lineRule="auto"/>
        <w:ind w:left="0" w:firstLine="540"/>
        <w:jc w:val="left"/>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 xml:space="preserve">Севастьянова А. Ю., Пшенічнова З. І., Проблеми використання доказів, отриманих нетрадиційними способами, у кримінальному провадженні. </w:t>
      </w:r>
      <w:r w:rsidRPr="00511005">
        <w:rPr>
          <w:rFonts w:ascii="Arial" w:eastAsia="Times New Roman" w:hAnsi="Arial" w:cs="Arial"/>
          <w:i/>
          <w:iCs/>
          <w:szCs w:val="28"/>
          <w:lang w:val="uk-UA" w:eastAsia="zh-CN"/>
        </w:rPr>
        <w:t>Молодий вчений.</w:t>
      </w:r>
      <w:r w:rsidRPr="00511005">
        <w:rPr>
          <w:rFonts w:ascii="Arial" w:eastAsia="Times New Roman" w:hAnsi="Arial" w:cs="Arial"/>
          <w:szCs w:val="28"/>
          <w:lang w:val="uk-UA" w:eastAsia="zh-CN"/>
        </w:rPr>
        <w:t xml:space="preserve"> 2017. № 12 (52). С. 311-315. URL: </w:t>
      </w:r>
      <w:hyperlink r:id="rId2297" w:tgtFrame="_blank" w:history="1">
        <w:r w:rsidRPr="00511005">
          <w:rPr>
            <w:rFonts w:ascii="Arial" w:eastAsia="Times New Roman" w:hAnsi="Arial" w:cs="Arial"/>
            <w:szCs w:val="28"/>
            <w:lang w:val="uk-UA" w:eastAsia="zh-CN"/>
          </w:rPr>
          <w:t>http://molodyvcheny.in.ua/files/journal/2017/12/72.pdf</w:t>
        </w:r>
      </w:hyperlink>
      <w:r w:rsidRPr="00511005">
        <w:rPr>
          <w:rFonts w:ascii="Arial" w:eastAsia="Times New Roman" w:hAnsi="Arial" w:cs="Arial"/>
          <w:szCs w:val="28"/>
          <w:lang w:val="uk-UA" w:eastAsia="zh-CN"/>
        </w:rPr>
        <w:t xml:space="preserve">. </w:t>
      </w:r>
    </w:p>
    <w:p w14:paraId="432AD292" w14:textId="77777777" w:rsidR="00532C25" w:rsidRPr="00511005" w:rsidRDefault="00532C25" w:rsidP="003F6A5D">
      <w:pPr>
        <w:numPr>
          <w:ilvl w:val="0"/>
          <w:numId w:val="601"/>
        </w:numPr>
        <w:tabs>
          <w:tab w:val="left" w:pos="851"/>
        </w:tabs>
        <w:spacing w:line="264" w:lineRule="auto"/>
        <w:ind w:left="0" w:firstLine="540"/>
        <w:jc w:val="left"/>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 xml:space="preserve">Черненко А.П. Використання гіпнозу під час проведення вербальних слідчих (розшукових) дій у контексті верховенства права особи у кримінальному провадженні. </w:t>
      </w:r>
      <w:r w:rsidRPr="00511005">
        <w:rPr>
          <w:rFonts w:ascii="Arial" w:eastAsia="Times New Roman" w:hAnsi="Arial" w:cs="Arial"/>
          <w:i/>
          <w:iCs/>
          <w:szCs w:val="28"/>
          <w:lang w:val="uk-UA" w:eastAsia="zh-CN"/>
        </w:rPr>
        <w:t xml:space="preserve">Матеріали Міжнародної науково-практичної конференції (ДДУВС, 25.02.2022) </w:t>
      </w:r>
      <w:r w:rsidRPr="00511005">
        <w:rPr>
          <w:rFonts w:ascii="Arial" w:eastAsia="Times New Roman" w:hAnsi="Arial" w:cs="Arial"/>
          <w:szCs w:val="28"/>
          <w:lang w:val="uk-UA" w:eastAsia="zh-CN"/>
        </w:rPr>
        <w:t xml:space="preserve">С. 267-270. URL: </w:t>
      </w:r>
      <w:hyperlink r:id="rId2298" w:tgtFrame="_blank" w:history="1">
        <w:r w:rsidRPr="00511005">
          <w:rPr>
            <w:rFonts w:ascii="Arial" w:eastAsia="Times New Roman" w:hAnsi="Arial" w:cs="Arial"/>
            <w:szCs w:val="28"/>
            <w:lang w:val="uk-UA" w:eastAsia="zh-CN"/>
          </w:rPr>
          <w:t>https://er.dduvs.edu.ua/bitstream/123456789/9405/1/82.pdf</w:t>
        </w:r>
      </w:hyperlink>
      <w:r w:rsidRPr="00511005">
        <w:rPr>
          <w:rFonts w:ascii="Arial" w:eastAsia="Times New Roman" w:hAnsi="Arial" w:cs="Arial"/>
          <w:szCs w:val="28"/>
          <w:lang w:val="uk-UA" w:eastAsia="zh-CN"/>
        </w:rPr>
        <w:t xml:space="preserve">. </w:t>
      </w:r>
    </w:p>
    <w:p w14:paraId="5CDD0600" w14:textId="77777777" w:rsidR="00532C25" w:rsidRPr="00511005" w:rsidRDefault="00532C25" w:rsidP="003F6A5D">
      <w:pPr>
        <w:numPr>
          <w:ilvl w:val="0"/>
          <w:numId w:val="601"/>
        </w:numPr>
        <w:tabs>
          <w:tab w:val="left" w:pos="851"/>
        </w:tabs>
        <w:spacing w:line="264" w:lineRule="auto"/>
        <w:ind w:left="0" w:firstLine="540"/>
        <w:jc w:val="left"/>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 xml:space="preserve">Удалова Л. Д. Деякі проблемні питання застосування гіпнозу при отриманні вербальної інформації </w:t>
      </w:r>
      <w:r w:rsidRPr="00511005">
        <w:rPr>
          <w:rFonts w:ascii="Arial" w:eastAsia="Times New Roman" w:hAnsi="Arial" w:cs="Arial"/>
          <w:i/>
          <w:iCs/>
          <w:szCs w:val="28"/>
          <w:lang w:val="uk-UA" w:eastAsia="zh-CN"/>
        </w:rPr>
        <w:t xml:space="preserve">«Криміналістика ХХ1 століття» </w:t>
      </w:r>
      <w:r w:rsidRPr="00511005">
        <w:rPr>
          <w:rFonts w:ascii="Arial" w:eastAsia="Times New Roman" w:hAnsi="Arial" w:cs="Arial"/>
          <w:szCs w:val="28"/>
          <w:lang w:val="uk-UA" w:eastAsia="zh-CN"/>
        </w:rPr>
        <w:t>матер. Міжнар. наук.-практ. Конфер., Харків, 25-26 листопада 2010 р. Харків, 2010. С. 508-512. </w:t>
      </w:r>
    </w:p>
    <w:p w14:paraId="263C1B79" w14:textId="77777777" w:rsidR="00532C25" w:rsidRPr="00511005" w:rsidRDefault="00532C25" w:rsidP="003F6A5D">
      <w:pPr>
        <w:numPr>
          <w:ilvl w:val="0"/>
          <w:numId w:val="601"/>
        </w:numPr>
        <w:tabs>
          <w:tab w:val="left" w:pos="851"/>
        </w:tabs>
        <w:spacing w:line="264" w:lineRule="auto"/>
        <w:ind w:left="0" w:firstLine="540"/>
        <w:jc w:val="left"/>
        <w:textAlignment w:val="baseline"/>
        <w:rPr>
          <w:rFonts w:ascii="Arial" w:eastAsia="Times New Roman" w:hAnsi="Arial" w:cs="Arial"/>
          <w:szCs w:val="28"/>
          <w:lang w:val="uk-UA" w:eastAsia="zh-CN"/>
        </w:rPr>
      </w:pPr>
      <w:r w:rsidRPr="00511005">
        <w:rPr>
          <w:rFonts w:ascii="Arial" w:eastAsia="Times New Roman" w:hAnsi="Arial" w:cs="Arial"/>
          <w:szCs w:val="28"/>
          <w:lang w:val="uk-UA" w:eastAsia="zh-CN"/>
        </w:rPr>
        <w:t xml:space="preserve">Удалова Л. Деякі проблемні питання застосування гіпнозу при отриманні вербальної інформації. </w:t>
      </w:r>
      <w:r w:rsidRPr="00511005">
        <w:rPr>
          <w:rFonts w:ascii="Arial" w:eastAsia="Times New Roman" w:hAnsi="Arial" w:cs="Arial"/>
          <w:i/>
          <w:iCs/>
          <w:szCs w:val="28"/>
          <w:lang w:val="uk-UA" w:eastAsia="zh-CN"/>
        </w:rPr>
        <w:t>Вісник Національної академії прокуратури України.</w:t>
      </w:r>
      <w:r w:rsidRPr="00511005">
        <w:rPr>
          <w:rFonts w:ascii="Arial" w:eastAsia="Times New Roman" w:hAnsi="Arial" w:cs="Arial"/>
          <w:szCs w:val="28"/>
          <w:lang w:val="uk-UA" w:eastAsia="zh-CN"/>
        </w:rPr>
        <w:t xml:space="preserve"> 2008. № 4. С. 47-52. </w:t>
      </w:r>
    </w:p>
    <w:p w14:paraId="6AF6B2E4" w14:textId="77777777" w:rsidR="00532C25" w:rsidRPr="00511005" w:rsidRDefault="00532C25" w:rsidP="00532C25">
      <w:pPr>
        <w:spacing w:line="264" w:lineRule="auto"/>
        <w:ind w:firstLine="540"/>
        <w:textAlignment w:val="baseline"/>
        <w:rPr>
          <w:rFonts w:ascii="Arial" w:eastAsia="Times New Roman" w:hAnsi="Arial" w:cs="Arial"/>
          <w:b/>
          <w:bCs/>
          <w:szCs w:val="28"/>
          <w:lang w:val="uk-UA" w:eastAsia="zh-CN"/>
        </w:rPr>
      </w:pPr>
    </w:p>
    <w:p w14:paraId="1539CF0A"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b/>
          <w:bCs/>
          <w:i/>
          <w:szCs w:val="28"/>
          <w:lang w:val="uk-UA" w:eastAsia="zh-CN"/>
        </w:rPr>
        <w:t xml:space="preserve">Ключові слова: </w:t>
      </w:r>
      <w:r w:rsidRPr="00511005">
        <w:rPr>
          <w:rFonts w:ascii="Arial" w:eastAsia="Times New Roman" w:hAnsi="Arial" w:cs="Arial"/>
          <w:szCs w:val="28"/>
          <w:lang w:val="uk-UA" w:eastAsia="zh-CN"/>
        </w:rPr>
        <w:t>кримінальне провадження, слудчі (розшукові) дії, слідчий гіпноз, гіпносеанс, допустимість, права людини, допит. </w:t>
      </w:r>
    </w:p>
    <w:p w14:paraId="65C86FFF"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b/>
          <w:bCs/>
          <w:i/>
          <w:szCs w:val="28"/>
          <w:lang w:val="en-US" w:eastAsia="zh-CN"/>
        </w:rPr>
        <w:t xml:space="preserve">Key words: </w:t>
      </w:r>
      <w:r w:rsidRPr="00511005">
        <w:rPr>
          <w:rFonts w:ascii="Arial" w:eastAsia="Times New Roman" w:hAnsi="Arial" w:cs="Arial"/>
          <w:szCs w:val="28"/>
          <w:lang w:val="en-US" w:eastAsia="zh-CN"/>
        </w:rPr>
        <w:t>criminal proceedings, investigative (search) actions, investigative hypnosis, hypnosis session, admissibility, human rights, interrogation.</w:t>
      </w:r>
      <w:r w:rsidRPr="00511005">
        <w:rPr>
          <w:rFonts w:ascii="Arial" w:eastAsia="Times New Roman" w:hAnsi="Arial" w:cs="Arial"/>
          <w:szCs w:val="28"/>
          <w:lang w:val="uk-UA" w:eastAsia="zh-CN"/>
        </w:rPr>
        <w:t> </w:t>
      </w:r>
    </w:p>
    <w:p w14:paraId="557D80C6" w14:textId="77777777" w:rsidR="00532C25" w:rsidRPr="00511005" w:rsidRDefault="00532C25" w:rsidP="00532C25">
      <w:pPr>
        <w:spacing w:line="264" w:lineRule="auto"/>
        <w:ind w:firstLine="540"/>
        <w:textAlignment w:val="baseline"/>
        <w:rPr>
          <w:rFonts w:ascii="Arial" w:eastAsia="Times New Roman" w:hAnsi="Arial" w:cs="Arial"/>
          <w:szCs w:val="28"/>
          <w:lang w:val="uk-UA" w:eastAsia="zh-CN"/>
        </w:rPr>
      </w:pPr>
      <w:r w:rsidRPr="00511005">
        <w:rPr>
          <w:rFonts w:ascii="Arial" w:eastAsia="Times New Roman" w:hAnsi="Arial" w:cs="Arial"/>
          <w:b/>
          <w:i/>
          <w:iCs/>
          <w:szCs w:val="28"/>
          <w:lang w:val="uk-UA" w:eastAsia="zh-CN"/>
        </w:rPr>
        <w:t xml:space="preserve">Науковий керівник: </w:t>
      </w:r>
      <w:r w:rsidRPr="00511005">
        <w:rPr>
          <w:rFonts w:ascii="Arial" w:eastAsia="Times New Roman" w:hAnsi="Arial" w:cs="Arial"/>
          <w:i/>
          <w:iCs/>
          <w:szCs w:val="28"/>
          <w:lang w:val="uk-UA" w:eastAsia="zh-CN"/>
        </w:rPr>
        <w:t>к.ю.н., доцент Мурзановська А.В.</w:t>
      </w:r>
      <w:r w:rsidRPr="00511005">
        <w:rPr>
          <w:rFonts w:ascii="Arial" w:eastAsia="Times New Roman" w:hAnsi="Arial" w:cs="Arial"/>
          <w:szCs w:val="28"/>
          <w:lang w:val="uk-UA" w:eastAsia="zh-CN"/>
        </w:rPr>
        <w:t> </w:t>
      </w:r>
    </w:p>
    <w:p w14:paraId="4AC1FE6D" w14:textId="77777777" w:rsidR="00532C25" w:rsidRPr="00511005" w:rsidRDefault="00532C25" w:rsidP="00532C25">
      <w:pPr>
        <w:spacing w:line="264" w:lineRule="auto"/>
        <w:rPr>
          <w:rFonts w:ascii="Arial" w:eastAsia="Arial" w:hAnsi="Arial" w:cs="Arial"/>
          <w:b/>
          <w:i/>
          <w:szCs w:val="28"/>
          <w:lang w:val="ru" w:eastAsia="ru-RU"/>
        </w:rPr>
      </w:pPr>
    </w:p>
    <w:p w14:paraId="0F4A74EA" w14:textId="77777777" w:rsidR="00532C25" w:rsidRPr="00511005" w:rsidRDefault="00532C25" w:rsidP="00532C25">
      <w:pPr>
        <w:spacing w:line="264" w:lineRule="auto"/>
        <w:jc w:val="center"/>
        <w:rPr>
          <w:rFonts w:ascii="Arial" w:eastAsia="Arial" w:hAnsi="Arial" w:cs="Arial"/>
          <w:szCs w:val="28"/>
          <w:lang w:val="ru" w:eastAsia="ru-RU"/>
        </w:rPr>
      </w:pPr>
      <w:r w:rsidRPr="00511005">
        <w:rPr>
          <w:rFonts w:ascii="Arial" w:eastAsia="Arial" w:hAnsi="Arial" w:cs="Arial"/>
          <w:b/>
          <w:i/>
          <w:szCs w:val="28"/>
          <w:lang w:val="ru" w:eastAsia="ru-RU"/>
        </w:rPr>
        <w:t>Скороход Катерина Віталіївна, Мельник Марʼяна Ігорівна</w:t>
      </w:r>
    </w:p>
    <w:p w14:paraId="3673FC4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студентки 1</w:t>
      </w:r>
      <w:r w:rsidRPr="00511005">
        <w:rPr>
          <w:rFonts w:ascii="Arial" w:eastAsia="Times New Roman" w:hAnsi="Arial" w:cs="Arial"/>
          <w:bCs/>
          <w:iCs/>
          <w:szCs w:val="28"/>
          <w:lang w:val="uk-UA" w:eastAsia="ru-RU"/>
        </w:rPr>
        <w:t xml:space="preserve">-го курсу </w:t>
      </w:r>
      <w:r w:rsidRPr="00511005">
        <w:rPr>
          <w:rFonts w:ascii="Arial" w:eastAsia="Arial" w:hAnsi="Arial" w:cs="Arial"/>
          <w:noProof/>
          <w:szCs w:val="28"/>
          <w:lang w:val="ru" w:eastAsia="ru-RU"/>
        </w:rPr>
        <w:t>магістратури</w:t>
      </w:r>
    </w:p>
    <w:p w14:paraId="1AA18C94"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429AD55E"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8F85B8D" w14:textId="77777777" w:rsidR="00532C25" w:rsidRPr="00511005" w:rsidRDefault="00532C25" w:rsidP="00532C25">
      <w:pPr>
        <w:spacing w:line="264" w:lineRule="auto"/>
        <w:ind w:firstLine="0"/>
        <w:jc w:val="left"/>
        <w:rPr>
          <w:rFonts w:ascii="Arial" w:eastAsia="Arial" w:hAnsi="Arial" w:cs="Arial"/>
          <w:szCs w:val="28"/>
          <w:lang w:val="ru" w:eastAsia="ru-RU"/>
        </w:rPr>
      </w:pPr>
    </w:p>
    <w:p w14:paraId="7ADD1958" w14:textId="77777777" w:rsidR="00532C25" w:rsidRPr="00511005" w:rsidRDefault="00532C25" w:rsidP="00532C25">
      <w:pPr>
        <w:spacing w:line="264" w:lineRule="auto"/>
        <w:ind w:firstLine="0"/>
        <w:jc w:val="center"/>
        <w:rPr>
          <w:rFonts w:ascii="Arial" w:eastAsia="Arial" w:hAnsi="Arial" w:cs="Arial"/>
          <w:b/>
          <w:spacing w:val="-18"/>
          <w:szCs w:val="28"/>
          <w:lang w:val="ru" w:eastAsia="ru-RU"/>
        </w:rPr>
      </w:pPr>
      <w:r w:rsidRPr="00511005">
        <w:rPr>
          <w:rFonts w:ascii="Arial" w:eastAsia="Arial" w:hAnsi="Arial" w:cs="Arial"/>
          <w:b/>
          <w:szCs w:val="28"/>
          <w:lang w:val="ru" w:eastAsia="ru-RU"/>
        </w:rPr>
        <w:t>РОЗМЕЖУВАННЯ</w:t>
      </w:r>
      <w:r w:rsidRPr="00511005">
        <w:rPr>
          <w:rFonts w:ascii="Arial" w:eastAsia="Arial" w:hAnsi="Arial" w:cs="Arial"/>
          <w:b/>
          <w:spacing w:val="-18"/>
          <w:szCs w:val="28"/>
          <w:lang w:val="ru" w:eastAsia="ru-RU"/>
        </w:rPr>
        <w:t xml:space="preserve"> </w:t>
      </w:r>
      <w:r w:rsidRPr="00511005">
        <w:rPr>
          <w:rFonts w:ascii="Arial" w:eastAsia="Arial" w:hAnsi="Arial" w:cs="Arial"/>
          <w:b/>
          <w:szCs w:val="28"/>
          <w:lang w:val="ru" w:eastAsia="ru-RU"/>
        </w:rPr>
        <w:t>ТАКИХ</w:t>
      </w:r>
      <w:r w:rsidRPr="00511005">
        <w:rPr>
          <w:rFonts w:ascii="Arial" w:eastAsia="Arial" w:hAnsi="Arial" w:cs="Arial"/>
          <w:b/>
          <w:spacing w:val="-17"/>
          <w:szCs w:val="28"/>
          <w:lang w:val="ru" w:eastAsia="ru-RU"/>
        </w:rPr>
        <w:t xml:space="preserve"> </w:t>
      </w:r>
      <w:r w:rsidRPr="00511005">
        <w:rPr>
          <w:rFonts w:ascii="Arial" w:eastAsia="Arial" w:hAnsi="Arial" w:cs="Arial"/>
          <w:b/>
          <w:szCs w:val="28"/>
          <w:lang w:val="ru" w:eastAsia="ru-RU"/>
        </w:rPr>
        <w:t>СЛІДЧИХ</w:t>
      </w:r>
      <w:r w:rsidRPr="00511005">
        <w:rPr>
          <w:rFonts w:ascii="Arial" w:eastAsia="Arial" w:hAnsi="Arial" w:cs="Arial"/>
          <w:b/>
          <w:spacing w:val="-18"/>
          <w:szCs w:val="28"/>
          <w:lang w:val="ru" w:eastAsia="ru-RU"/>
        </w:rPr>
        <w:t xml:space="preserve"> </w:t>
      </w:r>
      <w:r w:rsidRPr="00511005">
        <w:rPr>
          <w:rFonts w:ascii="Arial" w:eastAsia="Arial" w:hAnsi="Arial" w:cs="Arial"/>
          <w:b/>
          <w:szCs w:val="28"/>
          <w:lang w:val="ru" w:eastAsia="ru-RU"/>
        </w:rPr>
        <w:t>(РОЗШУКОВИХ)</w:t>
      </w:r>
      <w:r w:rsidRPr="00511005">
        <w:rPr>
          <w:rFonts w:ascii="Arial" w:eastAsia="Arial" w:hAnsi="Arial" w:cs="Arial"/>
          <w:b/>
          <w:spacing w:val="-17"/>
          <w:szCs w:val="28"/>
          <w:lang w:val="ru" w:eastAsia="ru-RU"/>
        </w:rPr>
        <w:t xml:space="preserve"> </w:t>
      </w:r>
      <w:r w:rsidRPr="00511005">
        <w:rPr>
          <w:rFonts w:ascii="Arial" w:eastAsia="Arial" w:hAnsi="Arial" w:cs="Arial"/>
          <w:b/>
          <w:szCs w:val="28"/>
          <w:lang w:val="ru" w:eastAsia="ru-RU"/>
        </w:rPr>
        <w:t>ДІЙ</w:t>
      </w:r>
      <w:r w:rsidRPr="00511005">
        <w:rPr>
          <w:rFonts w:ascii="Arial" w:eastAsia="Arial" w:hAnsi="Arial" w:cs="Arial"/>
          <w:b/>
          <w:spacing w:val="-18"/>
          <w:szCs w:val="28"/>
          <w:lang w:val="ru" w:eastAsia="ru-RU"/>
        </w:rPr>
        <w:t xml:space="preserve"> </w:t>
      </w:r>
    </w:p>
    <w:p w14:paraId="0F223F1B" w14:textId="77777777" w:rsidR="00532C25" w:rsidRPr="00511005" w:rsidRDefault="00532C25" w:rsidP="00532C25">
      <w:pPr>
        <w:spacing w:line="264" w:lineRule="auto"/>
        <w:ind w:firstLine="0"/>
        <w:jc w:val="center"/>
        <w:rPr>
          <w:rFonts w:ascii="Arial" w:eastAsia="Arial" w:hAnsi="Arial" w:cs="Arial"/>
          <w:b/>
          <w:szCs w:val="28"/>
          <w:lang w:val="ru" w:eastAsia="ru-RU"/>
        </w:rPr>
      </w:pPr>
      <w:r w:rsidRPr="00511005">
        <w:rPr>
          <w:rFonts w:ascii="Arial" w:eastAsia="Arial" w:hAnsi="Arial" w:cs="Arial"/>
          <w:b/>
          <w:szCs w:val="28"/>
          <w:lang w:val="ru" w:eastAsia="ru-RU"/>
        </w:rPr>
        <w:t>ЯК ОГЛЯД І ОБШУК</w:t>
      </w:r>
    </w:p>
    <w:p w14:paraId="2FDBA548"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Проблема чіткого розмежування між оглядом і обшуком тривалий час залишається однією з найскладніших у дослідженні слідчих (розшукових) дій у кримінальному процесі. Така ситуація значною мірою обумовлена недосконалістю чинного правового регулювання. Водночас, між цими процесуальними заходами існують суттєві відмінності як у підставах їх </w:t>
      </w:r>
      <w:r w:rsidRPr="00511005">
        <w:rPr>
          <w:rFonts w:ascii="Arial" w:eastAsia="Times New Roman" w:hAnsi="Arial" w:cs="Arial"/>
          <w:szCs w:val="28"/>
          <w:lang w:val="uk-UA"/>
        </w:rPr>
        <w:lastRenderedPageBreak/>
        <w:t>здійснення, так і в певних особливостях проведення. Тому для науковців і практиків надзвичайно важливо чітко визначати межі між цими видами процесуальних дій.</w:t>
      </w:r>
    </w:p>
    <w:p w14:paraId="18609705"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О. А.</w:t>
      </w:r>
      <w:r w:rsidRPr="00511005">
        <w:rPr>
          <w:rFonts w:ascii="Arial" w:eastAsia="Times New Roman" w:hAnsi="Arial" w:cs="Arial"/>
          <w:spacing w:val="3"/>
          <w:szCs w:val="28"/>
          <w:lang w:val="uk-UA"/>
        </w:rPr>
        <w:t> </w:t>
      </w:r>
      <w:r w:rsidRPr="00511005">
        <w:rPr>
          <w:rFonts w:ascii="Arial" w:eastAsia="Times New Roman" w:hAnsi="Arial" w:cs="Arial"/>
          <w:szCs w:val="28"/>
          <w:lang w:val="uk-UA"/>
        </w:rPr>
        <w:t>Лучко</w:t>
      </w:r>
      <w:r w:rsidRPr="00511005">
        <w:rPr>
          <w:rFonts w:ascii="Arial" w:eastAsia="Times New Roman" w:hAnsi="Arial" w:cs="Arial"/>
          <w:spacing w:val="6"/>
          <w:szCs w:val="28"/>
          <w:lang w:val="uk-UA"/>
        </w:rPr>
        <w:t xml:space="preserve"> </w:t>
      </w:r>
      <w:r w:rsidRPr="00511005">
        <w:rPr>
          <w:rFonts w:ascii="Arial" w:eastAsia="Times New Roman" w:hAnsi="Arial" w:cs="Arial"/>
          <w:szCs w:val="28"/>
          <w:lang w:val="uk-UA"/>
        </w:rPr>
        <w:t>акцентує</w:t>
      </w:r>
      <w:r w:rsidRPr="00511005">
        <w:rPr>
          <w:rFonts w:ascii="Arial" w:eastAsia="Times New Roman" w:hAnsi="Arial" w:cs="Arial"/>
          <w:spacing w:val="5"/>
          <w:szCs w:val="28"/>
          <w:lang w:val="uk-UA"/>
        </w:rPr>
        <w:t xml:space="preserve"> </w:t>
      </w:r>
      <w:r w:rsidRPr="00511005">
        <w:rPr>
          <w:rFonts w:ascii="Arial" w:eastAsia="Times New Roman" w:hAnsi="Arial" w:cs="Arial"/>
          <w:szCs w:val="28"/>
          <w:lang w:val="uk-UA"/>
        </w:rPr>
        <w:t>увагу</w:t>
      </w:r>
      <w:r w:rsidRPr="00511005">
        <w:rPr>
          <w:rFonts w:ascii="Arial" w:eastAsia="Times New Roman" w:hAnsi="Arial" w:cs="Arial"/>
          <w:spacing w:val="6"/>
          <w:szCs w:val="28"/>
          <w:lang w:val="uk-UA"/>
        </w:rPr>
        <w:t xml:space="preserve"> </w:t>
      </w:r>
      <w:r w:rsidRPr="00511005">
        <w:rPr>
          <w:rFonts w:ascii="Arial" w:eastAsia="Times New Roman" w:hAnsi="Arial" w:cs="Arial"/>
          <w:szCs w:val="28"/>
          <w:lang w:val="uk-UA"/>
        </w:rPr>
        <w:t>на</w:t>
      </w:r>
      <w:r w:rsidRPr="00511005">
        <w:rPr>
          <w:rFonts w:ascii="Arial" w:eastAsia="Times New Roman" w:hAnsi="Arial" w:cs="Arial"/>
          <w:spacing w:val="5"/>
          <w:szCs w:val="28"/>
          <w:lang w:val="uk-UA"/>
        </w:rPr>
        <w:t xml:space="preserve"> </w:t>
      </w:r>
      <w:r w:rsidRPr="00511005">
        <w:rPr>
          <w:rFonts w:ascii="Arial" w:eastAsia="Times New Roman" w:hAnsi="Arial" w:cs="Arial"/>
          <w:szCs w:val="28"/>
          <w:lang w:val="uk-UA"/>
        </w:rPr>
        <w:t>наступних</w:t>
      </w:r>
      <w:r w:rsidRPr="00511005">
        <w:rPr>
          <w:rFonts w:ascii="Arial" w:eastAsia="Times New Roman" w:hAnsi="Arial" w:cs="Arial"/>
          <w:spacing w:val="6"/>
          <w:szCs w:val="28"/>
          <w:lang w:val="uk-UA"/>
        </w:rPr>
        <w:t xml:space="preserve"> </w:t>
      </w:r>
      <w:r w:rsidRPr="00511005">
        <w:rPr>
          <w:rFonts w:ascii="Arial" w:eastAsia="Times New Roman" w:hAnsi="Arial" w:cs="Arial"/>
          <w:szCs w:val="28"/>
          <w:lang w:val="uk-UA"/>
        </w:rPr>
        <w:t>спільних</w:t>
      </w:r>
      <w:r w:rsidRPr="00511005">
        <w:rPr>
          <w:rFonts w:ascii="Arial" w:eastAsia="Times New Roman" w:hAnsi="Arial" w:cs="Arial"/>
          <w:spacing w:val="5"/>
          <w:szCs w:val="28"/>
          <w:lang w:val="uk-UA"/>
        </w:rPr>
        <w:t xml:space="preserve"> </w:t>
      </w:r>
      <w:r w:rsidRPr="00511005">
        <w:rPr>
          <w:rFonts w:ascii="Arial" w:eastAsia="Times New Roman" w:hAnsi="Arial" w:cs="Arial"/>
          <w:szCs w:val="28"/>
          <w:lang w:val="uk-UA"/>
        </w:rPr>
        <w:t>рисах</w:t>
      </w:r>
      <w:r w:rsidRPr="00511005">
        <w:rPr>
          <w:rFonts w:ascii="Arial" w:eastAsia="Times New Roman" w:hAnsi="Arial" w:cs="Arial"/>
          <w:spacing w:val="-7"/>
          <w:szCs w:val="28"/>
          <w:lang w:val="uk-UA"/>
        </w:rPr>
        <w:t xml:space="preserve"> </w:t>
      </w:r>
      <w:r w:rsidRPr="00511005">
        <w:rPr>
          <w:rFonts w:ascii="Arial" w:eastAsia="Times New Roman" w:hAnsi="Arial" w:cs="Arial"/>
          <w:spacing w:val="-2"/>
          <w:szCs w:val="28"/>
          <w:lang w:val="uk-UA"/>
        </w:rPr>
        <w:t xml:space="preserve">обшуку та огляду: 1) </w:t>
      </w:r>
      <w:r w:rsidRPr="00511005">
        <w:rPr>
          <w:rFonts w:ascii="Arial" w:eastAsia="Times New Roman" w:hAnsi="Arial" w:cs="Arial"/>
          <w:szCs w:val="28"/>
          <w:lang w:val="uk-UA"/>
        </w:rPr>
        <w:t>мета проведення; 2) протокольна</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форма</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фіксації;</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3)</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час</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проведення</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[1,</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с. 118-119]. Разом з тим Верховний Суд численну кількість разів звертає увагу на неприпустимість</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проведення</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обшуку</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під</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виглядом</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огляду</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[2;</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3].</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У</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зв’язку</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з цим спостерігається потреба у виділенні суттєвих відмінностей між даними слідчими (розшуковими) діями, які є досить подібними через свою форму проведення.</w:t>
      </w:r>
    </w:p>
    <w:p w14:paraId="4C8E68D1"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Для початку сформулюємо поняття. Обшук слід розглядати як обґрунтовану доказами слідчу (розшукову) дію, що здійснюється у примусовому порядку та передбачає цілеспрямоване обстеження житла, інших приміщень, будівель, споруд, транспортних засобів, робочих місць, земельних ділянок, які перебувають у володінні</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особи, яка обшукується,</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членів її</w:t>
      </w:r>
      <w:r w:rsidRPr="00511005">
        <w:rPr>
          <w:rFonts w:ascii="Arial" w:eastAsia="Times New Roman" w:hAnsi="Arial" w:cs="Arial"/>
          <w:spacing w:val="40"/>
          <w:szCs w:val="28"/>
          <w:lang w:val="uk-UA"/>
        </w:rPr>
        <w:t xml:space="preserve"> </w:t>
      </w:r>
      <w:r w:rsidRPr="00511005">
        <w:rPr>
          <w:rFonts w:ascii="Arial" w:eastAsia="Times New Roman" w:hAnsi="Arial" w:cs="Arial"/>
          <w:szCs w:val="28"/>
          <w:lang w:val="uk-UA"/>
        </w:rPr>
        <w:t>родини,</w:t>
      </w:r>
      <w:r w:rsidRPr="00511005">
        <w:rPr>
          <w:rFonts w:ascii="Arial" w:eastAsia="Times New Roman" w:hAnsi="Arial" w:cs="Arial"/>
          <w:spacing w:val="40"/>
          <w:szCs w:val="28"/>
          <w:lang w:val="uk-UA"/>
        </w:rPr>
        <w:t xml:space="preserve"> </w:t>
      </w:r>
      <w:r w:rsidRPr="00511005">
        <w:rPr>
          <w:rFonts w:ascii="Arial" w:eastAsia="Times New Roman" w:hAnsi="Arial" w:cs="Arial"/>
          <w:szCs w:val="28"/>
          <w:lang w:val="uk-UA"/>
        </w:rPr>
        <w:t>юридичної</w:t>
      </w:r>
      <w:r w:rsidRPr="00511005">
        <w:rPr>
          <w:rFonts w:ascii="Arial" w:eastAsia="Times New Roman" w:hAnsi="Arial" w:cs="Arial"/>
          <w:spacing w:val="40"/>
          <w:szCs w:val="28"/>
          <w:lang w:val="uk-UA"/>
        </w:rPr>
        <w:t xml:space="preserve"> </w:t>
      </w:r>
      <w:r w:rsidRPr="00511005">
        <w:rPr>
          <w:rFonts w:ascii="Arial" w:eastAsia="Times New Roman" w:hAnsi="Arial" w:cs="Arial"/>
          <w:szCs w:val="28"/>
          <w:lang w:val="uk-UA"/>
        </w:rPr>
        <w:t>особи</w:t>
      </w:r>
      <w:r w:rsidRPr="00511005">
        <w:rPr>
          <w:rFonts w:ascii="Arial" w:eastAsia="Times New Roman" w:hAnsi="Arial" w:cs="Arial"/>
          <w:spacing w:val="40"/>
          <w:szCs w:val="28"/>
          <w:lang w:val="uk-UA"/>
        </w:rPr>
        <w:t xml:space="preserve"> </w:t>
      </w:r>
      <w:r w:rsidRPr="00511005">
        <w:rPr>
          <w:rFonts w:ascii="Arial" w:eastAsia="Times New Roman" w:hAnsi="Arial" w:cs="Arial"/>
          <w:szCs w:val="28"/>
          <w:lang w:val="uk-UA"/>
        </w:rPr>
        <w:t>або</w:t>
      </w:r>
      <w:r w:rsidRPr="00511005">
        <w:rPr>
          <w:rFonts w:ascii="Arial" w:eastAsia="Times New Roman" w:hAnsi="Arial" w:cs="Arial"/>
          <w:spacing w:val="38"/>
          <w:szCs w:val="28"/>
          <w:lang w:val="uk-UA"/>
        </w:rPr>
        <w:t xml:space="preserve"> </w:t>
      </w:r>
      <w:r w:rsidRPr="00511005">
        <w:rPr>
          <w:rFonts w:ascii="Arial" w:eastAsia="Times New Roman" w:hAnsi="Arial" w:cs="Arial"/>
          <w:szCs w:val="28"/>
          <w:lang w:val="uk-UA"/>
        </w:rPr>
        <w:t>окремих</w:t>
      </w:r>
      <w:r w:rsidRPr="00511005">
        <w:rPr>
          <w:rFonts w:ascii="Arial" w:eastAsia="Times New Roman" w:hAnsi="Arial" w:cs="Arial"/>
          <w:spacing w:val="38"/>
          <w:szCs w:val="28"/>
          <w:lang w:val="uk-UA"/>
        </w:rPr>
        <w:t xml:space="preserve"> </w:t>
      </w:r>
      <w:r w:rsidRPr="00511005">
        <w:rPr>
          <w:rFonts w:ascii="Arial" w:eastAsia="Times New Roman" w:hAnsi="Arial" w:cs="Arial"/>
          <w:szCs w:val="28"/>
          <w:lang w:val="uk-UA"/>
        </w:rPr>
        <w:t>осіб.</w:t>
      </w:r>
      <w:r w:rsidRPr="00511005">
        <w:rPr>
          <w:rFonts w:ascii="Arial" w:eastAsia="Times New Roman" w:hAnsi="Arial" w:cs="Arial"/>
          <w:spacing w:val="38"/>
          <w:szCs w:val="28"/>
          <w:lang w:val="uk-UA"/>
        </w:rPr>
        <w:t xml:space="preserve"> </w:t>
      </w:r>
      <w:r w:rsidRPr="00511005">
        <w:rPr>
          <w:rFonts w:ascii="Arial" w:eastAsia="Times New Roman" w:hAnsi="Arial" w:cs="Arial"/>
          <w:szCs w:val="28"/>
          <w:lang w:val="uk-UA"/>
        </w:rPr>
        <w:t>Основною</w:t>
      </w:r>
      <w:r w:rsidRPr="00511005">
        <w:rPr>
          <w:rFonts w:ascii="Arial" w:eastAsia="Times New Roman" w:hAnsi="Arial" w:cs="Arial"/>
          <w:spacing w:val="38"/>
          <w:szCs w:val="28"/>
          <w:lang w:val="uk-UA"/>
        </w:rPr>
        <w:t xml:space="preserve"> </w:t>
      </w:r>
      <w:r w:rsidRPr="00511005">
        <w:rPr>
          <w:rFonts w:ascii="Arial" w:eastAsia="Times New Roman" w:hAnsi="Arial" w:cs="Arial"/>
          <w:szCs w:val="28"/>
          <w:lang w:val="uk-UA"/>
        </w:rPr>
        <w:t>метою</w:t>
      </w:r>
      <w:r w:rsidRPr="00511005">
        <w:rPr>
          <w:rFonts w:ascii="Arial" w:eastAsia="Times New Roman" w:hAnsi="Arial" w:cs="Arial"/>
          <w:spacing w:val="38"/>
          <w:szCs w:val="28"/>
          <w:lang w:val="uk-UA"/>
        </w:rPr>
        <w:t xml:space="preserve"> </w:t>
      </w:r>
      <w:r w:rsidRPr="00511005">
        <w:rPr>
          <w:rFonts w:ascii="Arial" w:eastAsia="Times New Roman" w:hAnsi="Arial" w:cs="Arial"/>
          <w:szCs w:val="28"/>
          <w:lang w:val="uk-UA"/>
        </w:rPr>
        <w:t>такої процесуальної дії є виявлення, фіксація та вилучення доказів, що стосуються обставин вчинення кримінального правопорушення, а також пошук знарядь злочину, майна, здобутого злочинним шляхом, предметів, документів чи інших речей, які можуть мати доказове значення у кримінальному провадженні. За змістом ст. ст. 223, 237 КПК України огляд, в свою чергу, це слідча дія, що має на своїй меті отримання (збирання) доказів або перевірку вже здобутих доказів у певному кримінальному провадженні, яка проводиться під час досудового розслідування кримінального правопорушення.</w:t>
      </w:r>
    </w:p>
    <w:p w14:paraId="0E57F724" w14:textId="77777777" w:rsidR="00532C25" w:rsidRPr="00511005" w:rsidRDefault="00532C25" w:rsidP="00532C25">
      <w:pPr>
        <w:widowControl w:val="0"/>
        <w:autoSpaceDE w:val="0"/>
        <w:autoSpaceDN w:val="0"/>
        <w:spacing w:line="264" w:lineRule="auto"/>
        <w:rPr>
          <w:rFonts w:ascii="Arial" w:eastAsia="Times New Roman" w:hAnsi="Arial" w:cs="Arial"/>
          <w:spacing w:val="-2"/>
          <w:szCs w:val="28"/>
          <w:lang w:val="uk-UA"/>
        </w:rPr>
      </w:pPr>
      <w:r w:rsidRPr="00511005">
        <w:rPr>
          <w:rFonts w:ascii="Arial" w:eastAsia="Times New Roman" w:hAnsi="Arial" w:cs="Arial"/>
          <w:szCs w:val="28"/>
          <w:lang w:val="uk-UA"/>
        </w:rPr>
        <w:t>Отже, вважаємо, що найперша ознака задля розмежування огляду і обшуку є правові підстави для здійснення даних слідчих дій. Підставою для початку огляду місця події являється наявність даних про скоєння кримінального правопорушення, що фіксується</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у</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процесуальній</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формі.</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За</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відсутності таких даних проведення огляду місця події не вбачається за можливе. Огляд місця події є не лише однією з перших та невідкладних слідчих дій, а також способом збирання доказів. Тож, якщо присутня</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об’єктивна</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інформація,</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яка свідчить про вчинення кримінального правопорушення</w:t>
      </w:r>
      <w:r w:rsidRPr="00511005">
        <w:rPr>
          <w:rFonts w:ascii="Arial" w:eastAsia="Times New Roman" w:hAnsi="Arial" w:cs="Arial"/>
          <w:spacing w:val="-12"/>
          <w:szCs w:val="28"/>
          <w:lang w:val="uk-UA"/>
        </w:rPr>
        <w:t xml:space="preserve"> </w:t>
      </w:r>
      <w:r w:rsidRPr="00511005">
        <w:rPr>
          <w:rFonts w:ascii="Arial" w:eastAsia="Times New Roman" w:hAnsi="Arial" w:cs="Arial"/>
          <w:szCs w:val="28"/>
          <w:lang w:val="uk-UA"/>
        </w:rPr>
        <w:t>і</w:t>
      </w:r>
      <w:r w:rsidRPr="00511005">
        <w:rPr>
          <w:rFonts w:ascii="Arial" w:eastAsia="Times New Roman" w:hAnsi="Arial" w:cs="Arial"/>
          <w:spacing w:val="-12"/>
          <w:szCs w:val="28"/>
          <w:lang w:val="uk-UA"/>
        </w:rPr>
        <w:t xml:space="preserve"> </w:t>
      </w:r>
      <w:r w:rsidRPr="00511005">
        <w:rPr>
          <w:rFonts w:ascii="Arial" w:eastAsia="Times New Roman" w:hAnsi="Arial" w:cs="Arial"/>
          <w:szCs w:val="28"/>
          <w:lang w:val="uk-UA"/>
        </w:rPr>
        <w:t>зумовлює</w:t>
      </w:r>
      <w:r w:rsidRPr="00511005">
        <w:rPr>
          <w:rFonts w:ascii="Arial" w:eastAsia="Times New Roman" w:hAnsi="Arial" w:cs="Arial"/>
          <w:spacing w:val="-12"/>
          <w:szCs w:val="28"/>
          <w:lang w:val="uk-UA"/>
        </w:rPr>
        <w:t xml:space="preserve"> </w:t>
      </w:r>
      <w:r w:rsidRPr="00511005">
        <w:rPr>
          <w:rFonts w:ascii="Arial" w:eastAsia="Times New Roman" w:hAnsi="Arial" w:cs="Arial"/>
          <w:szCs w:val="28"/>
          <w:lang w:val="uk-UA"/>
        </w:rPr>
        <w:t>потребу у здійсненні огляду, слідчий чи прокурор негайно має ухвалити рішення про його початок. Змога провести його до внесення даних до Єдиного реєстру досудових розслідувань зумовлюється необхідністю швидкого його проведення, що, за думкою О.А. Лучко, вирізняє його від обшуку, який можна здійснити виключно після внесення відповідних відомостей до</w:t>
      </w:r>
      <w:r w:rsidRPr="00511005">
        <w:rPr>
          <w:rFonts w:ascii="Arial" w:eastAsia="Times New Roman" w:hAnsi="Arial" w:cs="Arial"/>
          <w:spacing w:val="-1"/>
          <w:szCs w:val="28"/>
          <w:lang w:val="uk-UA"/>
        </w:rPr>
        <w:t xml:space="preserve"> </w:t>
      </w:r>
      <w:r w:rsidRPr="00511005">
        <w:rPr>
          <w:rFonts w:ascii="Arial" w:eastAsia="Times New Roman" w:hAnsi="Arial" w:cs="Arial"/>
          <w:szCs w:val="28"/>
          <w:lang w:val="uk-UA"/>
        </w:rPr>
        <w:t>ЄРДР. Ухвала</w:t>
      </w:r>
      <w:r w:rsidRPr="00511005">
        <w:rPr>
          <w:rFonts w:ascii="Arial" w:eastAsia="Times New Roman" w:hAnsi="Arial" w:cs="Arial"/>
          <w:spacing w:val="-1"/>
          <w:szCs w:val="28"/>
          <w:lang w:val="uk-UA"/>
        </w:rPr>
        <w:t xml:space="preserve"> слідчого </w:t>
      </w:r>
      <w:r w:rsidRPr="00511005">
        <w:rPr>
          <w:rFonts w:ascii="Arial" w:eastAsia="Times New Roman" w:hAnsi="Arial" w:cs="Arial"/>
          <w:szCs w:val="28"/>
          <w:lang w:val="uk-UA"/>
        </w:rPr>
        <w:t>судді про надання дозволу на проведення обшуку є підставою для законного проведення такої слідчої дії, тому що тільки він уповноважений оцінити</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дотримання</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 xml:space="preserve">співмірності потреби у втручанні в права осіб та </w:t>
      </w:r>
      <w:r w:rsidRPr="00511005">
        <w:rPr>
          <w:rFonts w:ascii="Arial" w:eastAsia="Times New Roman" w:hAnsi="Arial" w:cs="Arial"/>
          <w:szCs w:val="28"/>
          <w:lang w:val="uk-UA"/>
        </w:rPr>
        <w:lastRenderedPageBreak/>
        <w:t xml:space="preserve">обґрунтованості проведення обшуку, відповідності його цілі та завданням у кожному окремому </w:t>
      </w:r>
      <w:r w:rsidRPr="00511005">
        <w:rPr>
          <w:rFonts w:ascii="Arial" w:eastAsia="Times New Roman" w:hAnsi="Arial" w:cs="Arial"/>
          <w:spacing w:val="-2"/>
          <w:szCs w:val="28"/>
          <w:lang w:val="uk-UA"/>
        </w:rPr>
        <w:t>випадку.</w:t>
      </w:r>
    </w:p>
    <w:p w14:paraId="5FB0D20E"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Аби провести огляд достатньо відповідного рішення, прийнятого слідчим, прокурором, яке не має бути викладене у письмовій формі, в той час як для проведення обшуку – необхідно виключно ухвала слідчого судді суду першої інстанції (ч. 2 ст. 30 Конституції України та ч. 2 ст. 244 КПК України) , якщо наявні</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достатні підстави вважати, що</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розшукувані</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речі,</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майно,</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відомості</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перебувають</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в</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певному місці чи у володінні певної особи і за наявності вмотивованого, обґрунтованого клопотання прокурора або слідчого, погодженого з прокурором.</w:t>
      </w:r>
    </w:p>
    <w:p w14:paraId="1D7742D9"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На наш погляд, другою ознакою, за якою ми відмежовуватимемо ці процесуальні дії будуть їхні різновиди. З огляду на характер обʼєктів, які обшукуються, чинний КПК України виокремлює: обшук житла особи, обшук іншого володіння особи та обшук особи (особистий обшук). Якщо говорити про огляд, то кримінально-процесуальний закон розрізняє такі види: 1) огляд місцевості; 2) огляд приміщень; 3) огляд речей; 4) огляд документів; 5) огляд трупа; 6) огляд трупа, пов’язаний з ексгумацією.</w:t>
      </w:r>
    </w:p>
    <w:p w14:paraId="034C378F"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Як третю підставу для розрізнення обшуку і огляду вважаємо за необхідне виокремити ступінь обмеження конституційних прав і свобод людини і громадянина протягом здійснення даних слідчих (розшукових) дій, оскільки обшук значно сильніше обмежує їх, бо порушується заборона не втручатися до приватного і сімейного життя особи, її житла органам державної влади.</w:t>
      </w:r>
    </w:p>
    <w:p w14:paraId="1DFC0952"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Схожість між обшуком та оглядом зумовлена тим, що обидві ці слідчі (розшукові) дії спрямовані на досягнення спільної мети – виявлення та фіксацію об’єктів, що мають доказове значення у кримінальному провадженні. Водночас, як слушно зауважує О. А. Лучко, основна відмінність полягає в характері їх проведення:</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обшук</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є</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примусовим</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заходом,</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що</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допускає</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обстеження</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житла, іншого</w:t>
      </w:r>
      <w:r w:rsidRPr="00511005">
        <w:rPr>
          <w:rFonts w:ascii="Arial" w:eastAsia="Times New Roman" w:hAnsi="Arial" w:cs="Arial"/>
          <w:spacing w:val="67"/>
          <w:szCs w:val="28"/>
          <w:lang w:val="uk-UA"/>
        </w:rPr>
        <w:t xml:space="preserve"> </w:t>
      </w:r>
      <w:r w:rsidRPr="00511005">
        <w:rPr>
          <w:rFonts w:ascii="Arial" w:eastAsia="Times New Roman" w:hAnsi="Arial" w:cs="Arial"/>
          <w:szCs w:val="28"/>
          <w:lang w:val="uk-UA"/>
        </w:rPr>
        <w:t>володіння</w:t>
      </w:r>
      <w:r w:rsidRPr="00511005">
        <w:rPr>
          <w:rFonts w:ascii="Arial" w:eastAsia="Times New Roman" w:hAnsi="Arial" w:cs="Arial"/>
          <w:spacing w:val="67"/>
          <w:szCs w:val="28"/>
          <w:lang w:val="uk-UA"/>
        </w:rPr>
        <w:t xml:space="preserve"> </w:t>
      </w:r>
      <w:r w:rsidRPr="00511005">
        <w:rPr>
          <w:rFonts w:ascii="Arial" w:eastAsia="Times New Roman" w:hAnsi="Arial" w:cs="Arial"/>
          <w:szCs w:val="28"/>
          <w:lang w:val="uk-UA"/>
        </w:rPr>
        <w:t>чи</w:t>
      </w:r>
      <w:r w:rsidRPr="00511005">
        <w:rPr>
          <w:rFonts w:ascii="Arial" w:eastAsia="Times New Roman" w:hAnsi="Arial" w:cs="Arial"/>
          <w:spacing w:val="67"/>
          <w:szCs w:val="28"/>
          <w:lang w:val="uk-UA"/>
        </w:rPr>
        <w:t xml:space="preserve"> </w:t>
      </w:r>
      <w:r w:rsidRPr="00511005">
        <w:rPr>
          <w:rFonts w:ascii="Arial" w:eastAsia="Times New Roman" w:hAnsi="Arial" w:cs="Arial"/>
          <w:szCs w:val="28"/>
          <w:lang w:val="uk-UA"/>
        </w:rPr>
        <w:t>особи</w:t>
      </w:r>
      <w:r w:rsidRPr="00511005">
        <w:rPr>
          <w:rFonts w:ascii="Arial" w:eastAsia="Times New Roman" w:hAnsi="Arial" w:cs="Arial"/>
          <w:spacing w:val="67"/>
          <w:szCs w:val="28"/>
          <w:lang w:val="uk-UA"/>
        </w:rPr>
        <w:t xml:space="preserve"> </w:t>
      </w:r>
      <w:r w:rsidRPr="00511005">
        <w:rPr>
          <w:rFonts w:ascii="Arial" w:eastAsia="Times New Roman" w:hAnsi="Arial" w:cs="Arial"/>
          <w:szCs w:val="28"/>
          <w:lang w:val="uk-UA"/>
        </w:rPr>
        <w:t>без</w:t>
      </w:r>
      <w:r w:rsidRPr="00511005">
        <w:rPr>
          <w:rFonts w:ascii="Arial" w:eastAsia="Times New Roman" w:hAnsi="Arial" w:cs="Arial"/>
          <w:spacing w:val="67"/>
          <w:szCs w:val="28"/>
          <w:lang w:val="uk-UA"/>
        </w:rPr>
        <w:t xml:space="preserve"> </w:t>
      </w:r>
      <w:r w:rsidRPr="00511005">
        <w:rPr>
          <w:rFonts w:ascii="Arial" w:eastAsia="Times New Roman" w:hAnsi="Arial" w:cs="Arial"/>
          <w:szCs w:val="28"/>
          <w:lang w:val="uk-UA"/>
        </w:rPr>
        <w:t>її</w:t>
      </w:r>
      <w:r w:rsidRPr="00511005">
        <w:rPr>
          <w:rFonts w:ascii="Arial" w:eastAsia="Times New Roman" w:hAnsi="Arial" w:cs="Arial"/>
          <w:spacing w:val="67"/>
          <w:szCs w:val="28"/>
          <w:lang w:val="uk-UA"/>
        </w:rPr>
        <w:t xml:space="preserve"> </w:t>
      </w:r>
      <w:r w:rsidRPr="00511005">
        <w:rPr>
          <w:rFonts w:ascii="Arial" w:eastAsia="Times New Roman" w:hAnsi="Arial" w:cs="Arial"/>
          <w:szCs w:val="28"/>
          <w:lang w:val="uk-UA"/>
        </w:rPr>
        <w:t>згоди</w:t>
      </w:r>
      <w:r w:rsidRPr="00511005">
        <w:rPr>
          <w:rFonts w:ascii="Arial" w:eastAsia="Times New Roman" w:hAnsi="Arial" w:cs="Arial"/>
          <w:spacing w:val="67"/>
          <w:szCs w:val="28"/>
          <w:lang w:val="uk-UA"/>
        </w:rPr>
        <w:t xml:space="preserve"> </w:t>
      </w:r>
      <w:r w:rsidRPr="00511005">
        <w:rPr>
          <w:rFonts w:ascii="Arial" w:eastAsia="Times New Roman" w:hAnsi="Arial" w:cs="Arial"/>
          <w:szCs w:val="28"/>
          <w:lang w:val="uk-UA"/>
        </w:rPr>
        <w:t>та</w:t>
      </w:r>
      <w:r w:rsidRPr="00511005">
        <w:rPr>
          <w:rFonts w:ascii="Arial" w:eastAsia="Times New Roman" w:hAnsi="Arial" w:cs="Arial"/>
          <w:spacing w:val="67"/>
          <w:szCs w:val="28"/>
          <w:lang w:val="uk-UA"/>
        </w:rPr>
        <w:t xml:space="preserve"> </w:t>
      </w:r>
      <w:r w:rsidRPr="00511005">
        <w:rPr>
          <w:rFonts w:ascii="Arial" w:eastAsia="Times New Roman" w:hAnsi="Arial" w:cs="Arial"/>
          <w:szCs w:val="28"/>
          <w:lang w:val="uk-UA"/>
        </w:rPr>
        <w:t>навіть</w:t>
      </w:r>
      <w:r w:rsidRPr="00511005">
        <w:rPr>
          <w:rFonts w:ascii="Arial" w:eastAsia="Times New Roman" w:hAnsi="Arial" w:cs="Arial"/>
          <w:spacing w:val="67"/>
          <w:szCs w:val="28"/>
          <w:lang w:val="uk-UA"/>
        </w:rPr>
        <w:t xml:space="preserve"> </w:t>
      </w:r>
      <w:r w:rsidRPr="00511005">
        <w:rPr>
          <w:rFonts w:ascii="Arial" w:eastAsia="Times New Roman" w:hAnsi="Arial" w:cs="Arial"/>
          <w:szCs w:val="28"/>
          <w:lang w:val="uk-UA"/>
        </w:rPr>
        <w:t>всупереч</w:t>
      </w:r>
      <w:r w:rsidRPr="00511005">
        <w:rPr>
          <w:rFonts w:ascii="Arial" w:eastAsia="Times New Roman" w:hAnsi="Arial" w:cs="Arial"/>
          <w:spacing w:val="67"/>
          <w:szCs w:val="28"/>
          <w:lang w:val="uk-UA"/>
        </w:rPr>
        <w:t xml:space="preserve"> </w:t>
      </w:r>
      <w:r w:rsidRPr="00511005">
        <w:rPr>
          <w:rFonts w:ascii="Arial" w:eastAsia="Times New Roman" w:hAnsi="Arial" w:cs="Arial"/>
          <w:szCs w:val="28"/>
          <w:lang w:val="uk-UA"/>
        </w:rPr>
        <w:t>її</w:t>
      </w:r>
      <w:r w:rsidRPr="00511005">
        <w:rPr>
          <w:rFonts w:ascii="Arial" w:eastAsia="Times New Roman" w:hAnsi="Arial" w:cs="Arial"/>
          <w:spacing w:val="67"/>
          <w:szCs w:val="28"/>
          <w:lang w:val="uk-UA"/>
        </w:rPr>
        <w:t xml:space="preserve"> </w:t>
      </w:r>
      <w:r w:rsidRPr="00511005">
        <w:rPr>
          <w:rFonts w:ascii="Arial" w:eastAsia="Times New Roman" w:hAnsi="Arial" w:cs="Arial"/>
          <w:szCs w:val="28"/>
          <w:lang w:val="uk-UA"/>
        </w:rPr>
        <w:t>волі,</w:t>
      </w:r>
      <w:r w:rsidRPr="00511005">
        <w:rPr>
          <w:rFonts w:ascii="Arial" w:eastAsia="Times New Roman" w:hAnsi="Arial" w:cs="Arial"/>
          <w:spacing w:val="40"/>
          <w:szCs w:val="28"/>
          <w:lang w:val="uk-UA"/>
        </w:rPr>
        <w:t xml:space="preserve"> </w:t>
      </w:r>
      <w:r w:rsidRPr="00511005">
        <w:rPr>
          <w:rFonts w:ascii="Arial" w:eastAsia="Times New Roman" w:hAnsi="Arial" w:cs="Arial"/>
          <w:szCs w:val="28"/>
          <w:lang w:val="uk-UA"/>
        </w:rPr>
        <w:t>що супроводжується втручанням у приватне життя особи [1; с. 119]. Саме це виступає четвертою підставою для прояснення різниці між цими слідчими (розшуковими) діями, а саме – добровільність і</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згода</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особи,</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щодо якої вони провадяться.</w:t>
      </w:r>
    </w:p>
    <w:p w14:paraId="68FE543F"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На нашу думку, пʼятою підставою для розрізнення доречно виокремити коло осіб, що задіяні під час даних дій. Так само, як і під час обшуку, при проведенні огляду до участі в цій слідчій (розшуковій) дії можуть залучатися потерпілий, підозрюваний, їхні захисники, законні представники та інші учасники кримінального провадження. Крім того, для отримання кваліфікованої допомоги у вирішенні низки</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певних</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питань,</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що</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потребують спеціальних знань, слідчий або прокурор має право залучати до участі в огляді чи обшуку відповідних спеціалістів.</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Але,</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ключовою</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відмінністю</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 xml:space="preserve">тут буде положення ч. 7 ст. 223 КПК України, де вказано, що до участі в </w:t>
      </w:r>
      <w:r w:rsidRPr="00511005">
        <w:rPr>
          <w:rFonts w:ascii="Arial" w:eastAsia="Times New Roman" w:hAnsi="Arial" w:cs="Arial"/>
          <w:szCs w:val="28"/>
          <w:lang w:val="uk-UA"/>
        </w:rPr>
        <w:lastRenderedPageBreak/>
        <w:t>проведенні обшуку обов’язковим є залучення не менше аніж двох понятих в незалежності від використання якихось технічних пристроїв або засобів для фіксування, крім особливостей, встановлених ст. 615 КПК.</w:t>
      </w:r>
    </w:p>
    <w:p w14:paraId="7FF2F456"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Як шосту підставу для розмежування можна визначити виокремлену правознавцями Ю. П. Аленіним та В. Г. Клепіковським, а саме – ступінь обізнаності уповноваженої особи щодо об’єктів, які мають бути виявлені під час проведення відповідної процесуальної дії [4, с. 366]. Відповідно до ч. 3 ст. 234 КПК</w:t>
      </w:r>
      <w:r w:rsidRPr="00511005">
        <w:rPr>
          <w:rFonts w:ascii="Arial" w:eastAsia="Times New Roman" w:hAnsi="Arial" w:cs="Arial"/>
          <w:spacing w:val="-3"/>
          <w:szCs w:val="28"/>
          <w:lang w:val="uk-UA"/>
        </w:rPr>
        <w:t xml:space="preserve"> </w:t>
      </w:r>
      <w:r w:rsidRPr="00511005">
        <w:rPr>
          <w:rFonts w:ascii="Arial" w:eastAsia="Times New Roman" w:hAnsi="Arial" w:cs="Arial"/>
          <w:szCs w:val="28"/>
          <w:lang w:val="uk-UA"/>
        </w:rPr>
        <w:t>України,</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у</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клопотанні</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слідчого</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або прокурора про надання дозволу на проведення обшуку обов’язково повинні зазначатися індивідуальні або родові ознаки речей, документів, іншого майна чи осіб, які підлягають відшуканню. Це</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означає, що вже на етапі ініціювання обшуку уповноважена особа повинна чітко усвідомлювати, що саме вона має намір віднайти. Натомість під час проведення огляду, особливо огляду місця події, слідчий, дізнавач чи прокурор часто не мають попередньої інформації про те, які саме об’єкти мають</w:t>
      </w:r>
      <w:r w:rsidRPr="00511005">
        <w:rPr>
          <w:rFonts w:ascii="Arial" w:eastAsia="Times New Roman" w:hAnsi="Arial" w:cs="Arial"/>
          <w:spacing w:val="29"/>
          <w:szCs w:val="28"/>
          <w:lang w:val="uk-UA"/>
        </w:rPr>
        <w:t xml:space="preserve"> </w:t>
      </w:r>
      <w:r w:rsidRPr="00511005">
        <w:rPr>
          <w:rFonts w:ascii="Arial" w:eastAsia="Times New Roman" w:hAnsi="Arial" w:cs="Arial"/>
          <w:szCs w:val="28"/>
          <w:lang w:val="uk-UA"/>
        </w:rPr>
        <w:t>бути</w:t>
      </w:r>
      <w:r w:rsidRPr="00511005">
        <w:rPr>
          <w:rFonts w:ascii="Arial" w:eastAsia="Times New Roman" w:hAnsi="Arial" w:cs="Arial"/>
          <w:spacing w:val="29"/>
          <w:szCs w:val="28"/>
          <w:lang w:val="uk-UA"/>
        </w:rPr>
        <w:t xml:space="preserve"> </w:t>
      </w:r>
      <w:r w:rsidRPr="00511005">
        <w:rPr>
          <w:rFonts w:ascii="Arial" w:eastAsia="Times New Roman" w:hAnsi="Arial" w:cs="Arial"/>
          <w:szCs w:val="28"/>
          <w:lang w:val="uk-UA"/>
        </w:rPr>
        <w:t>виявлені.</w:t>
      </w:r>
      <w:r w:rsidRPr="00511005">
        <w:rPr>
          <w:rFonts w:ascii="Arial" w:eastAsia="Times New Roman" w:hAnsi="Arial" w:cs="Arial"/>
          <w:spacing w:val="29"/>
          <w:szCs w:val="28"/>
          <w:lang w:val="uk-UA"/>
        </w:rPr>
        <w:t xml:space="preserve"> </w:t>
      </w:r>
      <w:r w:rsidRPr="00511005">
        <w:rPr>
          <w:rFonts w:ascii="Arial" w:eastAsia="Times New Roman" w:hAnsi="Arial" w:cs="Arial"/>
          <w:szCs w:val="28"/>
          <w:lang w:val="uk-UA"/>
        </w:rPr>
        <w:t>Такий</w:t>
      </w:r>
      <w:r w:rsidRPr="00511005">
        <w:rPr>
          <w:rFonts w:ascii="Arial" w:eastAsia="Times New Roman" w:hAnsi="Arial" w:cs="Arial"/>
          <w:spacing w:val="29"/>
          <w:szCs w:val="28"/>
          <w:lang w:val="uk-UA"/>
        </w:rPr>
        <w:t xml:space="preserve"> </w:t>
      </w:r>
      <w:r w:rsidRPr="00511005">
        <w:rPr>
          <w:rFonts w:ascii="Arial" w:eastAsia="Times New Roman" w:hAnsi="Arial" w:cs="Arial"/>
          <w:szCs w:val="28"/>
          <w:lang w:val="uk-UA"/>
        </w:rPr>
        <w:t>огляд</w:t>
      </w:r>
      <w:r w:rsidRPr="00511005">
        <w:rPr>
          <w:rFonts w:ascii="Arial" w:eastAsia="Times New Roman" w:hAnsi="Arial" w:cs="Arial"/>
          <w:spacing w:val="29"/>
          <w:szCs w:val="28"/>
          <w:lang w:val="uk-UA"/>
        </w:rPr>
        <w:t xml:space="preserve"> </w:t>
      </w:r>
      <w:r w:rsidRPr="00511005">
        <w:rPr>
          <w:rFonts w:ascii="Arial" w:eastAsia="Times New Roman" w:hAnsi="Arial" w:cs="Arial"/>
          <w:szCs w:val="28"/>
          <w:lang w:val="uk-UA"/>
        </w:rPr>
        <w:t>зазвичай</w:t>
      </w:r>
      <w:r w:rsidRPr="00511005">
        <w:rPr>
          <w:rFonts w:ascii="Arial" w:eastAsia="Times New Roman" w:hAnsi="Arial" w:cs="Arial"/>
          <w:spacing w:val="29"/>
          <w:szCs w:val="28"/>
          <w:lang w:val="uk-UA"/>
        </w:rPr>
        <w:t xml:space="preserve"> </w:t>
      </w:r>
      <w:r w:rsidRPr="00511005">
        <w:rPr>
          <w:rFonts w:ascii="Arial" w:eastAsia="Times New Roman" w:hAnsi="Arial" w:cs="Arial"/>
          <w:szCs w:val="28"/>
          <w:lang w:val="uk-UA"/>
        </w:rPr>
        <w:t xml:space="preserve">здійснюється на первинному етапі досудового розслідування, іноді навіть до того, як будуть внесені відповідні дані до ЄРДР, що зумовлює обмежену поінформованість учасників процесу щодо конкретних об’єктів огляду чи можливого вилучення речей і </w:t>
      </w:r>
      <w:r w:rsidRPr="00511005">
        <w:rPr>
          <w:rFonts w:ascii="Arial" w:eastAsia="Times New Roman" w:hAnsi="Arial" w:cs="Arial"/>
          <w:spacing w:val="-2"/>
          <w:szCs w:val="28"/>
          <w:lang w:val="uk-UA"/>
        </w:rPr>
        <w:t>документів.</w:t>
      </w:r>
    </w:p>
    <w:p w14:paraId="26948653"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Отже, у висновку хочемо зазначити, що незважаючи на те, що огляд та обшук мають риси подібність, які свідчать про їхню схожість, що під час практичної діяльності</w:t>
      </w:r>
      <w:r w:rsidRPr="00511005">
        <w:rPr>
          <w:rFonts w:ascii="Arial" w:eastAsia="Times New Roman" w:hAnsi="Arial" w:cs="Arial"/>
          <w:spacing w:val="-6"/>
          <w:szCs w:val="28"/>
          <w:lang w:val="uk-UA"/>
        </w:rPr>
        <w:t xml:space="preserve"> </w:t>
      </w:r>
      <w:r w:rsidRPr="00511005">
        <w:rPr>
          <w:rFonts w:ascii="Arial" w:eastAsia="Times New Roman" w:hAnsi="Arial" w:cs="Arial"/>
          <w:szCs w:val="28"/>
          <w:lang w:val="uk-UA"/>
        </w:rPr>
        <w:t>може</w:t>
      </w:r>
      <w:r w:rsidRPr="00511005">
        <w:rPr>
          <w:rFonts w:ascii="Arial" w:eastAsia="Times New Roman" w:hAnsi="Arial" w:cs="Arial"/>
          <w:spacing w:val="-6"/>
          <w:szCs w:val="28"/>
          <w:lang w:val="uk-UA"/>
        </w:rPr>
        <w:t xml:space="preserve"> </w:t>
      </w:r>
      <w:r w:rsidRPr="00511005">
        <w:rPr>
          <w:rFonts w:ascii="Arial" w:eastAsia="Times New Roman" w:hAnsi="Arial" w:cs="Arial"/>
          <w:szCs w:val="28"/>
          <w:lang w:val="uk-UA"/>
        </w:rPr>
        <w:t>призвести до підміни першого поняття другим, при розмежуванні цих слідчих (розшукових) дій та з’ясуванні їх законності судами за основу беруть аналіз фактичних дій дізнавача, слідчого, прокурора, які вчинялися під час процесуальної дії, оскільки вони мають</w:t>
      </w:r>
      <w:r w:rsidRPr="00511005">
        <w:rPr>
          <w:rFonts w:ascii="Arial" w:eastAsia="Times New Roman" w:hAnsi="Arial" w:cs="Arial"/>
          <w:spacing w:val="40"/>
          <w:szCs w:val="28"/>
          <w:lang w:val="uk-UA"/>
        </w:rPr>
        <w:t xml:space="preserve"> </w:t>
      </w:r>
      <w:r w:rsidRPr="00511005">
        <w:rPr>
          <w:rFonts w:ascii="Arial" w:eastAsia="Times New Roman" w:hAnsi="Arial" w:cs="Arial"/>
          <w:szCs w:val="28"/>
          <w:lang w:val="uk-UA"/>
        </w:rPr>
        <w:t>низку дуже вагомих відмінностей.</w:t>
      </w:r>
    </w:p>
    <w:p w14:paraId="2AF1D407"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p>
    <w:p w14:paraId="1A5FDB06" w14:textId="77777777" w:rsidR="00532C25" w:rsidRPr="00511005" w:rsidRDefault="00532C25" w:rsidP="00532C25">
      <w:pPr>
        <w:widowControl w:val="0"/>
        <w:autoSpaceDE w:val="0"/>
        <w:autoSpaceDN w:val="0"/>
        <w:spacing w:line="264" w:lineRule="auto"/>
        <w:jc w:val="center"/>
        <w:rPr>
          <w:rFonts w:ascii="Arial" w:eastAsia="Times New Roman" w:hAnsi="Arial" w:cs="Arial"/>
          <w:szCs w:val="28"/>
          <w:lang w:val="uk-UA"/>
        </w:rPr>
      </w:pPr>
      <w:r w:rsidRPr="00511005">
        <w:rPr>
          <w:rFonts w:ascii="Arial" w:eastAsia="Times New Roman" w:hAnsi="Arial" w:cs="Arial"/>
          <w:b/>
          <w:bCs/>
          <w:szCs w:val="28"/>
          <w:lang w:val="uk-UA"/>
        </w:rPr>
        <w:t>Список використаних джерел</w:t>
      </w:r>
    </w:p>
    <w:p w14:paraId="6A623DC8" w14:textId="77777777" w:rsidR="00532C25" w:rsidRPr="00511005" w:rsidRDefault="00532C25" w:rsidP="003F6A5D">
      <w:pPr>
        <w:widowControl w:val="0"/>
        <w:numPr>
          <w:ilvl w:val="1"/>
          <w:numId w:val="602"/>
        </w:numPr>
        <w:tabs>
          <w:tab w:val="left" w:pos="743"/>
        </w:tabs>
        <w:autoSpaceDE w:val="0"/>
        <w:autoSpaceDN w:val="0"/>
        <w:spacing w:line="264" w:lineRule="auto"/>
        <w:ind w:left="0" w:firstLine="709"/>
        <w:jc w:val="left"/>
        <w:rPr>
          <w:rFonts w:ascii="Arial" w:eastAsia="Calibri" w:hAnsi="Arial" w:cs="Arial"/>
          <w:szCs w:val="28"/>
        </w:rPr>
      </w:pPr>
      <w:r w:rsidRPr="00511005">
        <w:rPr>
          <w:rFonts w:ascii="Arial" w:eastAsia="Calibri" w:hAnsi="Arial" w:cs="Arial"/>
          <w:szCs w:val="28"/>
        </w:rPr>
        <w:t>Лучко О.</w:t>
      </w:r>
      <w:r w:rsidRPr="00511005">
        <w:rPr>
          <w:rFonts w:ascii="Arial" w:eastAsia="Calibri" w:hAnsi="Arial" w:cs="Arial"/>
          <w:szCs w:val="28"/>
          <w:lang w:val="en-GB"/>
        </w:rPr>
        <w:t> </w:t>
      </w:r>
      <w:r w:rsidRPr="00511005">
        <w:rPr>
          <w:rFonts w:ascii="Arial" w:eastAsia="Calibri" w:hAnsi="Arial" w:cs="Arial"/>
          <w:szCs w:val="28"/>
        </w:rPr>
        <w:t xml:space="preserve">А. Співвідношення огляду з обшуком у кримінальному досудовому провадженні. </w:t>
      </w:r>
      <w:r w:rsidRPr="00511005">
        <w:rPr>
          <w:rFonts w:ascii="Arial" w:eastAsia="Calibri" w:hAnsi="Arial" w:cs="Arial"/>
          <w:i/>
          <w:iCs/>
          <w:szCs w:val="28"/>
        </w:rPr>
        <w:t>Європейські перспективи</w:t>
      </w:r>
      <w:r w:rsidRPr="00511005">
        <w:rPr>
          <w:rFonts w:ascii="Arial" w:eastAsia="Calibri" w:hAnsi="Arial" w:cs="Arial"/>
          <w:szCs w:val="28"/>
        </w:rPr>
        <w:t xml:space="preserve">. 2020. № 3. С. </w:t>
      </w:r>
      <w:r w:rsidRPr="00511005">
        <w:rPr>
          <w:rFonts w:ascii="Arial" w:eastAsia="Calibri" w:hAnsi="Arial" w:cs="Arial"/>
          <w:spacing w:val="-2"/>
          <w:szCs w:val="28"/>
        </w:rPr>
        <w:t xml:space="preserve">117-121. </w:t>
      </w:r>
      <w:r w:rsidRPr="00511005">
        <w:rPr>
          <w:rFonts w:ascii="Arial" w:eastAsia="Calibri" w:hAnsi="Arial" w:cs="Arial"/>
          <w:spacing w:val="-2"/>
          <w:szCs w:val="28"/>
          <w:lang w:val="en-GB"/>
        </w:rPr>
        <w:t>URL</w:t>
      </w:r>
      <w:r w:rsidRPr="00511005">
        <w:rPr>
          <w:rFonts w:ascii="Arial" w:eastAsia="Calibri" w:hAnsi="Arial" w:cs="Arial"/>
          <w:spacing w:val="-2"/>
          <w:szCs w:val="28"/>
        </w:rPr>
        <w:t xml:space="preserve">: </w:t>
      </w:r>
      <w:hyperlink r:id="rId2299" w:history="1">
        <w:r w:rsidRPr="00511005">
          <w:rPr>
            <w:rFonts w:ascii="Arial" w:eastAsia="Calibri" w:hAnsi="Arial" w:cs="Arial"/>
            <w:szCs w:val="28"/>
            <w:lang w:val="en-GB"/>
          </w:rPr>
          <w:t>https</w:t>
        </w:r>
        <w:r w:rsidRPr="00511005">
          <w:rPr>
            <w:rFonts w:ascii="Arial" w:eastAsia="Calibri" w:hAnsi="Arial" w:cs="Arial"/>
            <w:szCs w:val="28"/>
          </w:rPr>
          <w:t>://</w:t>
        </w:r>
        <w:r w:rsidRPr="00511005">
          <w:rPr>
            <w:rFonts w:ascii="Arial" w:eastAsia="Calibri" w:hAnsi="Arial" w:cs="Arial"/>
            <w:szCs w:val="28"/>
            <w:lang w:val="en-GB"/>
          </w:rPr>
          <w:t>ep</w:t>
        </w:r>
        <w:r w:rsidRPr="00511005">
          <w:rPr>
            <w:rFonts w:ascii="Arial" w:eastAsia="Calibri" w:hAnsi="Arial" w:cs="Arial"/>
            <w:szCs w:val="28"/>
          </w:rPr>
          <w:t>.</w:t>
        </w:r>
        <w:r w:rsidRPr="00511005">
          <w:rPr>
            <w:rFonts w:ascii="Arial" w:eastAsia="Calibri" w:hAnsi="Arial" w:cs="Arial"/>
            <w:szCs w:val="28"/>
            <w:lang w:val="en-GB"/>
          </w:rPr>
          <w:t>unesco</w:t>
        </w:r>
        <w:r w:rsidRPr="00511005">
          <w:rPr>
            <w:rFonts w:ascii="Arial" w:eastAsia="Calibri" w:hAnsi="Arial" w:cs="Arial"/>
            <w:szCs w:val="28"/>
          </w:rPr>
          <w:t>-</w:t>
        </w:r>
        <w:r w:rsidRPr="00511005">
          <w:rPr>
            <w:rFonts w:ascii="Arial" w:eastAsia="Calibri" w:hAnsi="Arial" w:cs="Arial"/>
            <w:szCs w:val="28"/>
            <w:lang w:val="en-GB"/>
          </w:rPr>
          <w:t>socio</w:t>
        </w:r>
        <w:r w:rsidRPr="00511005">
          <w:rPr>
            <w:rFonts w:ascii="Arial" w:eastAsia="Calibri" w:hAnsi="Arial" w:cs="Arial"/>
            <w:szCs w:val="28"/>
          </w:rPr>
          <w:t>.</w:t>
        </w:r>
        <w:r w:rsidRPr="00511005">
          <w:rPr>
            <w:rFonts w:ascii="Arial" w:eastAsia="Calibri" w:hAnsi="Arial" w:cs="Arial"/>
            <w:szCs w:val="28"/>
            <w:lang w:val="en-GB"/>
          </w:rPr>
          <w:t>in</w:t>
        </w:r>
        <w:r w:rsidRPr="00511005">
          <w:rPr>
            <w:rFonts w:ascii="Arial" w:eastAsia="Calibri" w:hAnsi="Arial" w:cs="Arial"/>
            <w:szCs w:val="28"/>
          </w:rPr>
          <w:t>.</w:t>
        </w:r>
        <w:r w:rsidRPr="00511005">
          <w:rPr>
            <w:rFonts w:ascii="Arial" w:eastAsia="Calibri" w:hAnsi="Arial" w:cs="Arial"/>
            <w:szCs w:val="28"/>
            <w:lang w:val="en-GB"/>
          </w:rPr>
          <w:t>ua</w:t>
        </w:r>
        <w:r w:rsidRPr="00511005">
          <w:rPr>
            <w:rFonts w:ascii="Arial" w:eastAsia="Calibri" w:hAnsi="Arial" w:cs="Arial"/>
            <w:szCs w:val="28"/>
          </w:rPr>
          <w:t>/</w:t>
        </w:r>
        <w:r w:rsidRPr="00511005">
          <w:rPr>
            <w:rFonts w:ascii="Arial" w:eastAsia="Calibri" w:hAnsi="Arial" w:cs="Arial"/>
            <w:szCs w:val="28"/>
            <w:lang w:val="en-GB"/>
          </w:rPr>
          <w:t>wp</w:t>
        </w:r>
        <w:r w:rsidRPr="00511005">
          <w:rPr>
            <w:rFonts w:ascii="Arial" w:eastAsia="Calibri" w:hAnsi="Arial" w:cs="Arial"/>
            <w:szCs w:val="28"/>
          </w:rPr>
          <w:t>-</w:t>
        </w:r>
        <w:r w:rsidRPr="00511005">
          <w:rPr>
            <w:rFonts w:ascii="Arial" w:eastAsia="Calibri" w:hAnsi="Arial" w:cs="Arial"/>
            <w:szCs w:val="28"/>
            <w:lang w:val="en-GB"/>
          </w:rPr>
          <w:t>content</w:t>
        </w:r>
        <w:r w:rsidRPr="00511005">
          <w:rPr>
            <w:rFonts w:ascii="Arial" w:eastAsia="Calibri" w:hAnsi="Arial" w:cs="Arial"/>
            <w:szCs w:val="28"/>
          </w:rPr>
          <w:t>/</w:t>
        </w:r>
        <w:r w:rsidRPr="00511005">
          <w:rPr>
            <w:rFonts w:ascii="Arial" w:eastAsia="Calibri" w:hAnsi="Arial" w:cs="Arial"/>
            <w:szCs w:val="28"/>
            <w:lang w:val="en-GB"/>
          </w:rPr>
          <w:t>uploads</w:t>
        </w:r>
        <w:r w:rsidRPr="00511005">
          <w:rPr>
            <w:rFonts w:ascii="Arial" w:eastAsia="Calibri" w:hAnsi="Arial" w:cs="Arial"/>
            <w:szCs w:val="28"/>
          </w:rPr>
          <w:t>/2020/12/117-_</w:t>
        </w:r>
        <w:r w:rsidRPr="00511005">
          <w:rPr>
            <w:rFonts w:ascii="Arial" w:eastAsia="Calibri" w:hAnsi="Arial" w:cs="Arial"/>
            <w:szCs w:val="28"/>
            <w:lang w:val="en-GB"/>
          </w:rPr>
          <w:t>Luchko</w:t>
        </w:r>
        <w:r w:rsidRPr="00511005">
          <w:rPr>
            <w:rFonts w:ascii="Arial" w:eastAsia="Calibri" w:hAnsi="Arial" w:cs="Arial"/>
            <w:szCs w:val="28"/>
          </w:rPr>
          <w:t>.</w:t>
        </w:r>
        <w:r w:rsidRPr="00511005">
          <w:rPr>
            <w:rFonts w:ascii="Arial" w:eastAsia="Calibri" w:hAnsi="Arial" w:cs="Arial"/>
            <w:szCs w:val="28"/>
            <w:lang w:val="en-GB"/>
          </w:rPr>
          <w:t>pdf</w:t>
        </w:r>
      </w:hyperlink>
      <w:r w:rsidRPr="00511005">
        <w:rPr>
          <w:rFonts w:ascii="Arial" w:eastAsia="Calibri" w:hAnsi="Arial" w:cs="Arial"/>
          <w:szCs w:val="28"/>
        </w:rPr>
        <w:t xml:space="preserve">. </w:t>
      </w:r>
    </w:p>
    <w:p w14:paraId="55E9223B" w14:textId="77777777" w:rsidR="00532C25" w:rsidRPr="00511005" w:rsidRDefault="00532C25" w:rsidP="003F6A5D">
      <w:pPr>
        <w:widowControl w:val="0"/>
        <w:numPr>
          <w:ilvl w:val="1"/>
          <w:numId w:val="602"/>
        </w:numPr>
        <w:tabs>
          <w:tab w:val="left" w:pos="743"/>
        </w:tabs>
        <w:autoSpaceDE w:val="0"/>
        <w:autoSpaceDN w:val="0"/>
        <w:spacing w:line="264" w:lineRule="auto"/>
        <w:ind w:left="0" w:firstLine="709"/>
        <w:jc w:val="left"/>
        <w:rPr>
          <w:rFonts w:ascii="Arial" w:eastAsia="Calibri" w:hAnsi="Arial" w:cs="Arial"/>
          <w:szCs w:val="28"/>
        </w:rPr>
      </w:pPr>
      <w:r w:rsidRPr="00511005">
        <w:rPr>
          <w:rFonts w:ascii="Arial" w:eastAsia="Calibri" w:hAnsi="Arial" w:cs="Arial"/>
          <w:szCs w:val="28"/>
        </w:rPr>
        <w:t xml:space="preserve">Постанова Верховного Суду від 07.06.2018 року, справа № 740/5066/15-к. URL: </w:t>
      </w:r>
      <w:hyperlink r:id="rId2300" w:history="1">
        <w:r w:rsidRPr="00511005">
          <w:rPr>
            <w:rFonts w:ascii="Arial" w:eastAsia="Calibri" w:hAnsi="Arial" w:cs="Arial"/>
            <w:szCs w:val="28"/>
          </w:rPr>
          <w:t>https://reyestr.court.gov.ua/Review/74598730</w:t>
        </w:r>
      </w:hyperlink>
      <w:r w:rsidRPr="00511005">
        <w:rPr>
          <w:rFonts w:ascii="Arial" w:eastAsia="Calibri" w:hAnsi="Arial" w:cs="Arial"/>
          <w:szCs w:val="28"/>
          <w:lang w:val="uk-UA"/>
        </w:rPr>
        <w:t xml:space="preserve">. </w:t>
      </w:r>
    </w:p>
    <w:p w14:paraId="6BD325F2" w14:textId="77777777" w:rsidR="00532C25" w:rsidRPr="00511005" w:rsidRDefault="00532C25" w:rsidP="003F6A5D">
      <w:pPr>
        <w:widowControl w:val="0"/>
        <w:numPr>
          <w:ilvl w:val="1"/>
          <w:numId w:val="602"/>
        </w:numPr>
        <w:tabs>
          <w:tab w:val="left" w:pos="743"/>
          <w:tab w:val="left" w:pos="827"/>
        </w:tabs>
        <w:autoSpaceDE w:val="0"/>
        <w:autoSpaceDN w:val="0"/>
        <w:spacing w:line="264" w:lineRule="auto"/>
        <w:ind w:left="0" w:firstLine="709"/>
        <w:jc w:val="left"/>
        <w:rPr>
          <w:rFonts w:ascii="Arial" w:eastAsia="Calibri" w:hAnsi="Arial" w:cs="Arial"/>
          <w:szCs w:val="28"/>
        </w:rPr>
      </w:pPr>
      <w:r w:rsidRPr="00511005">
        <w:rPr>
          <w:rFonts w:ascii="Arial" w:eastAsia="Calibri" w:hAnsi="Arial" w:cs="Arial"/>
          <w:szCs w:val="28"/>
        </w:rPr>
        <w:tab/>
        <w:t>Постанова Верховного Суду від 26.02.2019, справа</w:t>
      </w:r>
      <w:r w:rsidRPr="00511005">
        <w:rPr>
          <w:rFonts w:ascii="Arial" w:eastAsia="Calibri" w:hAnsi="Arial" w:cs="Arial"/>
          <w:spacing w:val="-10"/>
          <w:szCs w:val="28"/>
        </w:rPr>
        <w:t xml:space="preserve"> </w:t>
      </w:r>
      <w:r w:rsidRPr="00511005">
        <w:rPr>
          <w:rFonts w:ascii="Arial" w:eastAsia="Calibri" w:hAnsi="Arial" w:cs="Arial"/>
          <w:szCs w:val="28"/>
        </w:rPr>
        <w:t>№</w:t>
      </w:r>
      <w:r w:rsidRPr="00511005">
        <w:rPr>
          <w:rFonts w:ascii="Arial" w:eastAsia="Calibri" w:hAnsi="Arial" w:cs="Arial"/>
          <w:spacing w:val="-10"/>
          <w:szCs w:val="28"/>
        </w:rPr>
        <w:t xml:space="preserve"> </w:t>
      </w:r>
      <w:r w:rsidRPr="00511005">
        <w:rPr>
          <w:rFonts w:ascii="Arial" w:eastAsia="Calibri" w:hAnsi="Arial" w:cs="Arial"/>
          <w:szCs w:val="28"/>
        </w:rPr>
        <w:t xml:space="preserve">266/4000/14-к. URL: </w:t>
      </w:r>
      <w:hyperlink r:id="rId2301" w:history="1">
        <w:r w:rsidRPr="00511005">
          <w:rPr>
            <w:rFonts w:ascii="Arial" w:eastAsia="Calibri" w:hAnsi="Arial" w:cs="Arial"/>
            <w:szCs w:val="28"/>
          </w:rPr>
          <w:t>https://reyestr.court.gov.ua/Review/80304896</w:t>
        </w:r>
      </w:hyperlink>
      <w:r w:rsidRPr="00511005">
        <w:rPr>
          <w:rFonts w:ascii="Arial" w:eastAsia="Calibri" w:hAnsi="Arial" w:cs="Arial"/>
          <w:szCs w:val="28"/>
          <w:lang w:val="uk-UA"/>
        </w:rPr>
        <w:t xml:space="preserve">. </w:t>
      </w:r>
    </w:p>
    <w:p w14:paraId="1E63A010" w14:textId="77777777" w:rsidR="00532C25" w:rsidRPr="00511005" w:rsidRDefault="00532C25" w:rsidP="003F6A5D">
      <w:pPr>
        <w:widowControl w:val="0"/>
        <w:numPr>
          <w:ilvl w:val="1"/>
          <w:numId w:val="602"/>
        </w:numPr>
        <w:tabs>
          <w:tab w:val="left" w:pos="743"/>
        </w:tabs>
        <w:autoSpaceDE w:val="0"/>
        <w:autoSpaceDN w:val="0"/>
        <w:spacing w:line="264" w:lineRule="auto"/>
        <w:ind w:left="0" w:firstLine="709"/>
        <w:jc w:val="left"/>
        <w:rPr>
          <w:rFonts w:ascii="Arial" w:eastAsia="Calibri" w:hAnsi="Arial" w:cs="Arial"/>
          <w:szCs w:val="28"/>
        </w:rPr>
      </w:pPr>
      <w:r w:rsidRPr="00511005">
        <w:rPr>
          <w:rFonts w:ascii="Arial" w:eastAsia="Calibri" w:hAnsi="Arial" w:cs="Arial"/>
          <w:szCs w:val="28"/>
        </w:rPr>
        <w:t>Аленін Ю. П., Клепіковський В. Г. До</w:t>
      </w:r>
      <w:r w:rsidRPr="00511005">
        <w:rPr>
          <w:rFonts w:ascii="Arial" w:eastAsia="Calibri" w:hAnsi="Arial" w:cs="Arial"/>
          <w:spacing w:val="-11"/>
          <w:szCs w:val="28"/>
        </w:rPr>
        <w:t xml:space="preserve"> </w:t>
      </w:r>
      <w:r w:rsidRPr="00511005">
        <w:rPr>
          <w:rFonts w:ascii="Arial" w:eastAsia="Calibri" w:hAnsi="Arial" w:cs="Arial"/>
          <w:szCs w:val="28"/>
        </w:rPr>
        <w:t>питання</w:t>
      </w:r>
      <w:r w:rsidRPr="00511005">
        <w:rPr>
          <w:rFonts w:ascii="Arial" w:eastAsia="Calibri" w:hAnsi="Arial" w:cs="Arial"/>
          <w:spacing w:val="-11"/>
          <w:szCs w:val="28"/>
        </w:rPr>
        <w:t xml:space="preserve"> </w:t>
      </w:r>
      <w:r w:rsidRPr="00511005">
        <w:rPr>
          <w:rFonts w:ascii="Arial" w:eastAsia="Calibri" w:hAnsi="Arial" w:cs="Arial"/>
          <w:szCs w:val="28"/>
        </w:rPr>
        <w:t>розмежування</w:t>
      </w:r>
      <w:r w:rsidRPr="00511005">
        <w:rPr>
          <w:rFonts w:ascii="Arial" w:eastAsia="Calibri" w:hAnsi="Arial" w:cs="Arial"/>
          <w:spacing w:val="-11"/>
          <w:szCs w:val="28"/>
        </w:rPr>
        <w:t xml:space="preserve"> </w:t>
      </w:r>
      <w:r w:rsidRPr="00511005">
        <w:rPr>
          <w:rFonts w:ascii="Arial" w:eastAsia="Calibri" w:hAnsi="Arial" w:cs="Arial"/>
          <w:szCs w:val="28"/>
        </w:rPr>
        <w:t xml:space="preserve">огляду та обшуку у кримінальному процесі. </w:t>
      </w:r>
      <w:r w:rsidRPr="00511005">
        <w:rPr>
          <w:rFonts w:ascii="Arial" w:eastAsia="Calibri" w:hAnsi="Arial" w:cs="Arial"/>
          <w:i/>
          <w:iCs/>
          <w:szCs w:val="28"/>
        </w:rPr>
        <w:t>Юридичний науковий електронний журнал</w:t>
      </w:r>
      <w:r w:rsidRPr="00511005">
        <w:rPr>
          <w:rFonts w:ascii="Arial" w:eastAsia="Calibri" w:hAnsi="Arial" w:cs="Arial"/>
          <w:szCs w:val="28"/>
        </w:rPr>
        <w:t>.</w:t>
      </w:r>
      <w:r w:rsidRPr="00511005">
        <w:rPr>
          <w:rFonts w:ascii="Arial" w:eastAsia="Calibri" w:hAnsi="Arial" w:cs="Arial"/>
          <w:spacing w:val="40"/>
          <w:szCs w:val="28"/>
        </w:rPr>
        <w:t xml:space="preserve"> </w:t>
      </w:r>
      <w:r w:rsidRPr="00511005">
        <w:rPr>
          <w:rFonts w:ascii="Arial" w:eastAsia="Calibri" w:hAnsi="Arial" w:cs="Arial"/>
          <w:szCs w:val="28"/>
        </w:rPr>
        <w:t>2021.</w:t>
      </w:r>
      <w:r w:rsidRPr="00511005">
        <w:rPr>
          <w:rFonts w:ascii="Arial" w:eastAsia="Calibri" w:hAnsi="Arial" w:cs="Arial"/>
          <w:spacing w:val="40"/>
          <w:szCs w:val="28"/>
        </w:rPr>
        <w:t xml:space="preserve"> </w:t>
      </w:r>
      <w:r w:rsidRPr="00511005">
        <w:rPr>
          <w:rFonts w:ascii="Arial" w:eastAsia="Calibri" w:hAnsi="Arial" w:cs="Arial"/>
          <w:szCs w:val="28"/>
        </w:rPr>
        <w:t xml:space="preserve">№ 9. С. 364-366. </w:t>
      </w:r>
      <w:r w:rsidRPr="00511005">
        <w:rPr>
          <w:rFonts w:ascii="Arial" w:eastAsia="Calibri" w:hAnsi="Arial" w:cs="Arial"/>
          <w:szCs w:val="28"/>
          <w:lang w:val="en-GB"/>
        </w:rPr>
        <w:t>URL</w:t>
      </w:r>
      <w:r w:rsidRPr="00511005">
        <w:rPr>
          <w:rFonts w:ascii="Arial" w:eastAsia="Calibri" w:hAnsi="Arial" w:cs="Arial"/>
          <w:szCs w:val="28"/>
        </w:rPr>
        <w:t xml:space="preserve">: </w:t>
      </w:r>
      <w:hyperlink r:id="rId2302">
        <w:r w:rsidRPr="00511005">
          <w:rPr>
            <w:rFonts w:ascii="Arial" w:eastAsia="Calibri" w:hAnsi="Arial" w:cs="Arial"/>
            <w:spacing w:val="-2"/>
            <w:szCs w:val="28"/>
            <w:u w:color="1154CC"/>
          </w:rPr>
          <w:t>http://lsej.org.ua/9_2021/93.pdf</w:t>
        </w:r>
      </w:hyperlink>
      <w:r w:rsidRPr="00511005">
        <w:rPr>
          <w:rFonts w:ascii="Arial" w:eastAsia="Calibri" w:hAnsi="Arial" w:cs="Arial"/>
          <w:spacing w:val="-2"/>
          <w:szCs w:val="28"/>
          <w:u w:color="1154CC"/>
          <w:lang w:val="uk-UA"/>
        </w:rPr>
        <w:t xml:space="preserve">. </w:t>
      </w:r>
    </w:p>
    <w:p w14:paraId="6F00560F" w14:textId="77777777" w:rsidR="00532C25" w:rsidRPr="00511005" w:rsidRDefault="00532C25" w:rsidP="00532C25">
      <w:pPr>
        <w:spacing w:line="264" w:lineRule="auto"/>
        <w:rPr>
          <w:rFonts w:ascii="Arial" w:eastAsia="Arial" w:hAnsi="Arial" w:cs="Arial"/>
          <w:b/>
          <w:szCs w:val="28"/>
          <w:lang w:val="ru" w:eastAsia="ru-RU"/>
        </w:rPr>
      </w:pPr>
    </w:p>
    <w:p w14:paraId="7AF26BE4" w14:textId="77777777" w:rsidR="00532C25" w:rsidRPr="00511005" w:rsidRDefault="00532C25" w:rsidP="00532C25">
      <w:pPr>
        <w:spacing w:line="264" w:lineRule="auto"/>
        <w:rPr>
          <w:rFonts w:ascii="Arial" w:eastAsia="Arial" w:hAnsi="Arial" w:cs="Arial"/>
          <w:spacing w:val="-2"/>
          <w:szCs w:val="28"/>
          <w:lang w:val="ru" w:eastAsia="ru-RU"/>
        </w:rPr>
      </w:pPr>
      <w:r w:rsidRPr="00511005">
        <w:rPr>
          <w:rFonts w:ascii="Arial" w:eastAsia="Arial" w:hAnsi="Arial" w:cs="Arial"/>
          <w:b/>
          <w:bCs/>
          <w:i/>
          <w:szCs w:val="28"/>
          <w:lang w:val="ru" w:eastAsia="ru-RU"/>
        </w:rPr>
        <w:lastRenderedPageBreak/>
        <w:t xml:space="preserve">Ключові слова: </w:t>
      </w:r>
      <w:r w:rsidRPr="00511005">
        <w:rPr>
          <w:rFonts w:ascii="Arial" w:eastAsia="Arial" w:hAnsi="Arial" w:cs="Arial"/>
          <w:spacing w:val="-14"/>
          <w:szCs w:val="28"/>
          <w:lang w:val="ru" w:eastAsia="ru-RU"/>
        </w:rPr>
        <w:t>кримінальне провадження, слідчі (розшукові) дії,</w:t>
      </w:r>
      <w:r w:rsidRPr="00511005">
        <w:rPr>
          <w:rFonts w:ascii="Arial" w:eastAsia="Arial" w:hAnsi="Arial" w:cs="Arial"/>
          <w:b/>
          <w:bCs/>
          <w:spacing w:val="-14"/>
          <w:szCs w:val="28"/>
          <w:lang w:val="ru" w:eastAsia="ru-RU"/>
        </w:rPr>
        <w:t xml:space="preserve"> </w:t>
      </w:r>
      <w:r w:rsidRPr="00511005">
        <w:rPr>
          <w:rFonts w:ascii="Arial" w:eastAsia="Arial" w:hAnsi="Arial" w:cs="Arial"/>
          <w:szCs w:val="28"/>
          <w:lang w:val="ru" w:eastAsia="ru-RU"/>
        </w:rPr>
        <w:t>обшук,</w:t>
      </w:r>
      <w:r w:rsidRPr="00511005">
        <w:rPr>
          <w:rFonts w:ascii="Arial" w:eastAsia="Arial" w:hAnsi="Arial" w:cs="Arial"/>
          <w:spacing w:val="-15"/>
          <w:szCs w:val="28"/>
          <w:lang w:val="ru" w:eastAsia="ru-RU"/>
        </w:rPr>
        <w:t xml:space="preserve"> </w:t>
      </w:r>
      <w:r w:rsidRPr="00511005">
        <w:rPr>
          <w:rFonts w:ascii="Arial" w:eastAsia="Arial" w:hAnsi="Arial" w:cs="Arial"/>
          <w:szCs w:val="28"/>
          <w:lang w:val="ru" w:eastAsia="ru-RU"/>
        </w:rPr>
        <w:t>огляд,</w:t>
      </w:r>
      <w:r w:rsidRPr="00511005">
        <w:rPr>
          <w:rFonts w:ascii="Arial" w:eastAsia="Arial" w:hAnsi="Arial" w:cs="Arial"/>
          <w:spacing w:val="-14"/>
          <w:szCs w:val="28"/>
          <w:lang w:val="ru" w:eastAsia="ru-RU"/>
        </w:rPr>
        <w:t xml:space="preserve"> </w:t>
      </w:r>
      <w:r w:rsidRPr="00511005">
        <w:rPr>
          <w:rFonts w:ascii="Arial" w:eastAsia="Arial" w:hAnsi="Arial" w:cs="Arial"/>
          <w:szCs w:val="28"/>
          <w:lang w:val="ru" w:eastAsia="ru-RU"/>
        </w:rPr>
        <w:t>огляд</w:t>
      </w:r>
      <w:r w:rsidRPr="00511005">
        <w:rPr>
          <w:rFonts w:ascii="Arial" w:eastAsia="Arial" w:hAnsi="Arial" w:cs="Arial"/>
          <w:spacing w:val="-15"/>
          <w:szCs w:val="28"/>
          <w:lang w:val="ru" w:eastAsia="ru-RU"/>
        </w:rPr>
        <w:t xml:space="preserve"> </w:t>
      </w:r>
      <w:r w:rsidRPr="00511005">
        <w:rPr>
          <w:rFonts w:ascii="Arial" w:eastAsia="Arial" w:hAnsi="Arial" w:cs="Arial"/>
          <w:szCs w:val="28"/>
          <w:lang w:val="ru" w:eastAsia="ru-RU"/>
        </w:rPr>
        <w:t>місця</w:t>
      </w:r>
      <w:r w:rsidRPr="00511005">
        <w:rPr>
          <w:rFonts w:ascii="Arial" w:eastAsia="Arial" w:hAnsi="Arial" w:cs="Arial"/>
          <w:spacing w:val="-14"/>
          <w:szCs w:val="28"/>
          <w:lang w:val="ru" w:eastAsia="ru-RU"/>
        </w:rPr>
        <w:t xml:space="preserve"> </w:t>
      </w:r>
      <w:r w:rsidRPr="00511005">
        <w:rPr>
          <w:rFonts w:ascii="Arial" w:eastAsia="Arial" w:hAnsi="Arial" w:cs="Arial"/>
          <w:spacing w:val="-2"/>
          <w:szCs w:val="28"/>
          <w:lang w:val="ru" w:eastAsia="ru-RU"/>
        </w:rPr>
        <w:t>події.</w:t>
      </w:r>
    </w:p>
    <w:p w14:paraId="41220024" w14:textId="77777777" w:rsidR="00532C25" w:rsidRPr="00511005" w:rsidRDefault="00532C25" w:rsidP="00532C25">
      <w:pPr>
        <w:spacing w:line="264" w:lineRule="auto"/>
        <w:rPr>
          <w:rFonts w:ascii="Arial" w:eastAsia="Arial" w:hAnsi="Arial" w:cs="Arial"/>
          <w:szCs w:val="28"/>
          <w:lang w:val="en-US" w:eastAsia="ru-RU"/>
        </w:rPr>
      </w:pPr>
      <w:r w:rsidRPr="00511005">
        <w:rPr>
          <w:rFonts w:ascii="Arial" w:eastAsia="Arial" w:hAnsi="Arial" w:cs="Arial"/>
          <w:b/>
          <w:bCs/>
          <w:i/>
          <w:szCs w:val="28"/>
          <w:lang w:val="en-US" w:eastAsia="ru-RU"/>
        </w:rPr>
        <w:t xml:space="preserve">Key words: </w:t>
      </w:r>
      <w:r w:rsidRPr="00511005">
        <w:rPr>
          <w:rFonts w:ascii="Arial" w:eastAsia="Arial" w:hAnsi="Arial" w:cs="Arial"/>
          <w:szCs w:val="28"/>
          <w:lang w:val="en-US" w:eastAsia="ru-RU"/>
        </w:rPr>
        <w:t>criminal proceedings, investigative (search) actions,</w:t>
      </w:r>
      <w:r w:rsidRPr="00511005">
        <w:rPr>
          <w:rFonts w:ascii="Arial" w:eastAsia="Arial" w:hAnsi="Arial" w:cs="Arial"/>
          <w:b/>
          <w:bCs/>
          <w:szCs w:val="28"/>
          <w:lang w:val="en-US" w:eastAsia="ru-RU"/>
        </w:rPr>
        <w:t xml:space="preserve"> </w:t>
      </w:r>
      <w:r w:rsidRPr="00511005">
        <w:rPr>
          <w:rFonts w:ascii="Arial" w:eastAsia="Arial" w:hAnsi="Arial" w:cs="Arial"/>
          <w:szCs w:val="28"/>
          <w:lang w:val="en-US" w:eastAsia="ru-RU"/>
        </w:rPr>
        <w:t>search, inspection, scene inspection.</w:t>
      </w:r>
    </w:p>
    <w:p w14:paraId="506C37B9" w14:textId="77777777" w:rsidR="00532C25" w:rsidRPr="00511005" w:rsidRDefault="00532C25" w:rsidP="00532C25">
      <w:pPr>
        <w:widowControl w:val="0"/>
        <w:autoSpaceDE w:val="0"/>
        <w:autoSpaceDN w:val="0"/>
        <w:spacing w:line="264" w:lineRule="auto"/>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Pr="00511005">
        <w:rPr>
          <w:rFonts w:ascii="Arial" w:eastAsia="Times New Roman" w:hAnsi="Arial" w:cs="Arial"/>
          <w:i/>
          <w:iCs/>
          <w:szCs w:val="28"/>
          <w:lang w:val="uk-UA"/>
        </w:rPr>
        <w:t>к.ю.н., доцент</w:t>
      </w:r>
      <w:r w:rsidRPr="00511005">
        <w:rPr>
          <w:rFonts w:ascii="Arial" w:eastAsia="Times New Roman" w:hAnsi="Arial" w:cs="Arial"/>
          <w:i/>
          <w:iCs/>
          <w:spacing w:val="-17"/>
          <w:szCs w:val="28"/>
          <w:lang w:val="uk-UA"/>
        </w:rPr>
        <w:t xml:space="preserve"> </w:t>
      </w:r>
      <w:r w:rsidRPr="00511005">
        <w:rPr>
          <w:rFonts w:ascii="Arial" w:eastAsia="Times New Roman" w:hAnsi="Arial" w:cs="Arial"/>
          <w:i/>
          <w:iCs/>
          <w:szCs w:val="28"/>
          <w:lang w:val="uk-UA"/>
        </w:rPr>
        <w:t>Мурзановська</w:t>
      </w:r>
      <w:r w:rsidRPr="00511005">
        <w:rPr>
          <w:rFonts w:ascii="Arial" w:eastAsia="Times New Roman" w:hAnsi="Arial" w:cs="Arial"/>
          <w:i/>
          <w:iCs/>
          <w:spacing w:val="-18"/>
          <w:szCs w:val="28"/>
          <w:lang w:val="uk-UA"/>
        </w:rPr>
        <w:t xml:space="preserve"> </w:t>
      </w:r>
      <w:r w:rsidRPr="00511005">
        <w:rPr>
          <w:rFonts w:ascii="Arial" w:eastAsia="Times New Roman" w:hAnsi="Arial" w:cs="Arial"/>
          <w:i/>
          <w:iCs/>
          <w:szCs w:val="28"/>
          <w:lang w:val="uk-UA"/>
        </w:rPr>
        <w:t>А.В.</w:t>
      </w:r>
    </w:p>
    <w:p w14:paraId="62A29B75" w14:textId="77777777" w:rsidR="00532C25" w:rsidRPr="00511005" w:rsidRDefault="00532C25" w:rsidP="00532C25">
      <w:pPr>
        <w:spacing w:line="264" w:lineRule="auto"/>
        <w:ind w:left="360" w:firstLine="360"/>
        <w:rPr>
          <w:rFonts w:ascii="Arial" w:eastAsia="Arial" w:hAnsi="Arial" w:cs="Arial"/>
          <w:szCs w:val="28"/>
          <w:lang w:val="uk-UA" w:eastAsia="ru-RU"/>
        </w:rPr>
      </w:pPr>
    </w:p>
    <w:p w14:paraId="1332BCE3" w14:textId="77777777" w:rsidR="00532C25" w:rsidRPr="00511005" w:rsidRDefault="00532C25" w:rsidP="00532C25">
      <w:pPr>
        <w:spacing w:line="264" w:lineRule="auto"/>
        <w:ind w:left="360" w:firstLine="360"/>
        <w:rPr>
          <w:rFonts w:ascii="Arial" w:eastAsia="Arial" w:hAnsi="Arial" w:cs="Arial"/>
          <w:szCs w:val="28"/>
          <w:lang w:val="uk-UA" w:eastAsia="ru-RU"/>
        </w:rPr>
      </w:pPr>
    </w:p>
    <w:p w14:paraId="1C84FABA" w14:textId="77777777" w:rsidR="00532C25" w:rsidRPr="00511005" w:rsidRDefault="00532C25" w:rsidP="00532C25">
      <w:pPr>
        <w:spacing w:line="264" w:lineRule="auto"/>
        <w:ind w:firstLine="0"/>
        <w:jc w:val="center"/>
        <w:rPr>
          <w:rFonts w:ascii="Arial" w:eastAsia="Arial" w:hAnsi="Arial" w:cs="Arial"/>
          <w:b/>
          <w:i/>
          <w:szCs w:val="28"/>
          <w:lang w:val="ru" w:eastAsia="ru-RU"/>
        </w:rPr>
      </w:pPr>
      <w:r w:rsidRPr="00511005">
        <w:rPr>
          <w:rFonts w:ascii="Arial" w:eastAsia="Arial" w:hAnsi="Arial" w:cs="Arial"/>
          <w:b/>
          <w:i/>
          <w:szCs w:val="28"/>
          <w:lang w:val="ru" w:eastAsia="ru-RU"/>
        </w:rPr>
        <w:t>Тарасова Вероніка Олександрівна</w:t>
      </w:r>
    </w:p>
    <w:p w14:paraId="34937621" w14:textId="77777777" w:rsidR="00532C25" w:rsidRPr="00511005" w:rsidRDefault="00532C25" w:rsidP="00532C25">
      <w:pPr>
        <w:spacing w:line="264" w:lineRule="auto"/>
        <w:ind w:firstLine="0"/>
        <w:jc w:val="center"/>
        <w:rPr>
          <w:rFonts w:ascii="Arial" w:eastAsia="Arial" w:hAnsi="Arial" w:cs="Arial"/>
          <w:szCs w:val="28"/>
          <w:lang w:val="ru" w:eastAsia="ru-RU"/>
        </w:rPr>
      </w:pPr>
      <w:r w:rsidRPr="00511005">
        <w:rPr>
          <w:rFonts w:ascii="Arial" w:eastAsia="Arial" w:hAnsi="Arial" w:cs="Arial"/>
          <w:szCs w:val="28"/>
          <w:lang w:val="ru" w:eastAsia="ru-RU"/>
        </w:rPr>
        <w:t>студентка 3-го курсу факультету адвокатури та антикорупційної діяльності</w:t>
      </w:r>
    </w:p>
    <w:p w14:paraId="1827B18C" w14:textId="77777777" w:rsidR="00532C25" w:rsidRPr="00511005" w:rsidRDefault="00532C25" w:rsidP="00532C25">
      <w:pPr>
        <w:spacing w:line="264" w:lineRule="auto"/>
        <w:ind w:firstLine="0"/>
        <w:jc w:val="center"/>
        <w:rPr>
          <w:rFonts w:ascii="Arial" w:eastAsia="Arial" w:hAnsi="Arial" w:cs="Arial"/>
          <w:szCs w:val="28"/>
          <w:lang w:val="ru" w:eastAsia="ru-RU"/>
        </w:rPr>
      </w:pPr>
      <w:r w:rsidRPr="00511005">
        <w:rPr>
          <w:rFonts w:ascii="Arial" w:eastAsia="Arial" w:hAnsi="Arial" w:cs="Arial"/>
          <w:szCs w:val="28"/>
          <w:lang w:val="ru" w:eastAsia="ru-RU"/>
        </w:rPr>
        <w:t>Національного університету «Одеська юридична академія»</w:t>
      </w:r>
    </w:p>
    <w:p w14:paraId="45D30E5E" w14:textId="77777777" w:rsidR="00532C25" w:rsidRPr="00511005" w:rsidRDefault="00532C25" w:rsidP="00532C25">
      <w:pPr>
        <w:spacing w:line="264" w:lineRule="auto"/>
        <w:ind w:firstLine="0"/>
        <w:jc w:val="center"/>
        <w:rPr>
          <w:rFonts w:ascii="Arial" w:eastAsia="Arial" w:hAnsi="Arial" w:cs="Arial"/>
          <w:b/>
          <w:i/>
          <w:szCs w:val="28"/>
          <w:lang w:val="ru" w:eastAsia="ru-RU"/>
        </w:rPr>
      </w:pPr>
    </w:p>
    <w:p w14:paraId="4CDB0311" w14:textId="77777777" w:rsidR="00532C25" w:rsidRPr="00511005" w:rsidRDefault="00532C25" w:rsidP="00532C25">
      <w:pPr>
        <w:spacing w:line="264" w:lineRule="auto"/>
        <w:ind w:firstLine="0"/>
        <w:jc w:val="center"/>
        <w:rPr>
          <w:rFonts w:ascii="Arial" w:eastAsia="Arial" w:hAnsi="Arial" w:cs="Arial"/>
          <w:b/>
          <w:szCs w:val="28"/>
          <w:lang w:val="ru" w:eastAsia="ru-RU"/>
        </w:rPr>
      </w:pPr>
      <w:r w:rsidRPr="00511005">
        <w:rPr>
          <w:rFonts w:ascii="Arial" w:eastAsia="Arial" w:hAnsi="Arial" w:cs="Arial"/>
          <w:b/>
          <w:szCs w:val="28"/>
          <w:lang w:val="ru" w:eastAsia="ru-RU"/>
        </w:rPr>
        <w:t>ТАКТИЧНІ АСПЕКТИ УЧАСТІ АДВОКАТА ПІД ЧАС ПРОВЕДЕННЯ ДОПИТУ СВІДКУ</w:t>
      </w:r>
    </w:p>
    <w:p w14:paraId="091171A1"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У демократичному суспільстві, де фундаментальні принципи справедливості, рівності сторін і змагальності є основою кримінального судочинства, діяльність адвоката набуває особливого значення. Його участь у процесі не обмежується лише захистом підозрюваного чи обвинуваченого, а передбачає активну правозастосовну та тактичну взаємодію з усіма етапами кримінального провадження. Однією з ключових процесуальних дій, де адвокат може суттєво вплинути на перебіг слідства, є допит свідка.</w:t>
      </w:r>
    </w:p>
    <w:p w14:paraId="7D40E7C7"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Тактична роль адвоката під час допиту свідка має визначальний вплив на формування доказової бази у справі. Від того, наскільки професійно захисник підготується до цієї слідчої дії, обере ефективну лінію поведінки, сформулює запитання, залежить не лише достовірність отриманих даних, а й подальше спрямування розслідування. Це вимагає від адвоката не тільки глибоких знань матеріального та процесуального права, а й розуміння психології допитуваної особи, здатності передбачати хід подій, миттєво реагувати на зміну ситуації.</w:t>
      </w:r>
    </w:p>
    <w:p w14:paraId="3E08C9A2"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Попри формалізацію процесуальних гарантій, на практиці участь адвоката в допиті свідка часто супроводжується труднощами: обмеженням у праві на активну участь, формальним підходом до його зауважень, перешкоджанням з боку сторони обвинувачення. Це зумовлює потребу в дослідженні саме тактичного аспекту ролі адвоката, що дозволяє розкрити не лише юридичні, а й практичні засади його участі.</w:t>
      </w:r>
    </w:p>
    <w:p w14:paraId="722C2DEE"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Тож можу запевнити, тема тактичної участі адвоката в допиті свідка є не лише актуальною, а й соціально значущою у контексті гарантування права на захист, забезпечення справедливого правосуддя та недопущення зловживання процесуальними інструментами в системі кримінального судочинства.</w:t>
      </w:r>
    </w:p>
    <w:p w14:paraId="23EAFAC0" w14:textId="77777777" w:rsidR="00532C25" w:rsidRPr="00511005" w:rsidRDefault="00532C25" w:rsidP="00532C25">
      <w:pPr>
        <w:spacing w:line="264" w:lineRule="auto"/>
        <w:ind w:firstLine="0"/>
        <w:rPr>
          <w:rFonts w:ascii="Arial" w:eastAsia="Arial" w:hAnsi="Arial" w:cs="Arial"/>
          <w:szCs w:val="28"/>
          <w:lang w:val="ru" w:eastAsia="ru-RU"/>
        </w:rPr>
      </w:pPr>
      <w:r w:rsidRPr="00511005">
        <w:rPr>
          <w:rFonts w:ascii="Arial" w:eastAsia="Arial" w:hAnsi="Arial" w:cs="Arial"/>
          <w:szCs w:val="28"/>
          <w:lang w:val="ru" w:eastAsia="ru-RU"/>
        </w:rPr>
        <w:t>Участь адвоката у допиті свідка регламентована низкою положень Кримінального процесуального кодексу України, зокрема статтями 66 і 224 [</w:t>
      </w:r>
      <w:r w:rsidRPr="00511005">
        <w:rPr>
          <w:rFonts w:ascii="Arial" w:eastAsia="Arial" w:hAnsi="Arial" w:cs="Arial"/>
          <w:szCs w:val="28"/>
          <w:lang w:eastAsia="ru-RU"/>
        </w:rPr>
        <w:t>1</w:t>
      </w:r>
      <w:r w:rsidRPr="00511005">
        <w:rPr>
          <w:rFonts w:ascii="Arial" w:eastAsia="Arial" w:hAnsi="Arial" w:cs="Arial"/>
          <w:szCs w:val="28"/>
          <w:lang w:val="ru" w:eastAsia="ru-RU"/>
        </w:rPr>
        <w:t xml:space="preserve">], і виступає важливою гарантією реалізації права на захист, яке прямо </w:t>
      </w:r>
      <w:r w:rsidRPr="00511005">
        <w:rPr>
          <w:rFonts w:ascii="Arial" w:eastAsia="Arial" w:hAnsi="Arial" w:cs="Arial"/>
          <w:szCs w:val="28"/>
          <w:lang w:val="ru" w:eastAsia="ru-RU"/>
        </w:rPr>
        <w:lastRenderedPageBreak/>
        <w:t>зазначене статтею 59 Конституції України [2]. Аналізуючи зміст цих норм у світлі правозастосовної практики, слід підкреслити, що функціональне навантаження, яке покладається на адвоката під час допиту свідка, є набагато глибшим, ніж проста присутність.</w:t>
      </w:r>
    </w:p>
    <w:p w14:paraId="08A251D3" w14:textId="77777777" w:rsidR="00532C25" w:rsidRPr="00511005" w:rsidRDefault="00532C25" w:rsidP="00532C25">
      <w:pPr>
        <w:spacing w:line="264" w:lineRule="auto"/>
        <w:ind w:firstLine="0"/>
        <w:rPr>
          <w:rFonts w:ascii="Arial" w:eastAsia="Arial" w:hAnsi="Arial" w:cs="Arial"/>
          <w:szCs w:val="28"/>
          <w:lang w:val="ru" w:eastAsia="ru-RU"/>
        </w:rPr>
      </w:pPr>
      <w:r w:rsidRPr="00511005">
        <w:rPr>
          <w:rFonts w:ascii="Arial" w:eastAsia="Arial" w:hAnsi="Arial" w:cs="Arial"/>
          <w:szCs w:val="28"/>
          <w:lang w:val="ru" w:eastAsia="ru-RU"/>
        </w:rPr>
        <w:t>Закон прямо передбачає право захисника бути присутнім під час слідчих (розшукових) дій, у тому числі й допиту свідка</w:t>
      </w:r>
      <w:r w:rsidRPr="00511005">
        <w:rPr>
          <w:rFonts w:ascii="Arial" w:eastAsia="Arial" w:hAnsi="Arial" w:cs="Arial"/>
          <w:szCs w:val="28"/>
          <w:lang w:eastAsia="ru-RU"/>
        </w:rPr>
        <w:t xml:space="preserve"> [1]</w:t>
      </w:r>
      <w:r w:rsidRPr="00511005">
        <w:rPr>
          <w:rFonts w:ascii="Arial" w:eastAsia="Arial" w:hAnsi="Arial" w:cs="Arial"/>
          <w:szCs w:val="28"/>
          <w:lang w:val="ru" w:eastAsia="ru-RU"/>
        </w:rPr>
        <w:t>. Це право не є факультативним, а обов’язковим елементом належного представництва та реалізації права на захист. Окрім присутності, адвокат має право ініціювати запитання, робити зауваження щодо процедури, фіксувати порушення, які в подальшому можуть стати підставою для визнання доказів недопустимими.</w:t>
      </w:r>
    </w:p>
    <w:p w14:paraId="5629B65C"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Допит свідка — це не лише спосіб отримання фактичних даних, а й потенційна ділянка впливу на хід кримінального провадження. Адвокат, володіючи відповідними правовими інструментами, виконує процесуальну функцію стримування слідчого органу від зловживань, а також сприяє отриманню об’єктивної та повної інформації.</w:t>
      </w:r>
    </w:p>
    <w:p w14:paraId="1945D5CB" w14:textId="77777777" w:rsidR="00532C25" w:rsidRPr="00511005" w:rsidRDefault="00532C25" w:rsidP="00532C25">
      <w:pPr>
        <w:spacing w:line="264" w:lineRule="auto"/>
        <w:ind w:firstLine="708"/>
        <w:rPr>
          <w:rFonts w:ascii="Arial" w:eastAsia="Arial" w:hAnsi="Arial" w:cs="Arial"/>
          <w:szCs w:val="28"/>
          <w:lang w:val="ru" w:eastAsia="ru-RU"/>
        </w:rPr>
      </w:pPr>
      <w:proofErr w:type="gramStart"/>
      <w:r w:rsidRPr="00511005">
        <w:rPr>
          <w:rFonts w:ascii="Arial" w:eastAsia="Arial" w:hAnsi="Arial" w:cs="Arial"/>
          <w:szCs w:val="28"/>
          <w:lang w:val="ru" w:eastAsia="ru-RU"/>
        </w:rPr>
        <w:t>У межах</w:t>
      </w:r>
      <w:proofErr w:type="gramEnd"/>
      <w:r w:rsidRPr="00511005">
        <w:rPr>
          <w:rFonts w:ascii="Arial" w:eastAsia="Arial" w:hAnsi="Arial" w:cs="Arial"/>
          <w:szCs w:val="28"/>
          <w:lang w:val="ru" w:eastAsia="ru-RU"/>
        </w:rPr>
        <w:t xml:space="preserve"> кримінального провадження саме допит свідка часто відіграє вирішальну роль, слугуючи точкою перетину інтересів сторони захисту та обвинувачення, об’єктивної істини та потенційної маніпуляції. У цьому процесі адвокат має виступати не лише формальним учасником, а фактичним стратегом, який вміє передбачати динаміку допиту, адаптуватися до ситуації та непомітно впливати на її розвиток. Його завдання — бути «невидимим диригентом», який контролює ситуацію, зберігаючи баланс між активністю та витриманістю.</w:t>
      </w:r>
    </w:p>
    <w:p w14:paraId="27279594"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Підготовка до допиту розпочинається з формування запитальної стратегії, що включає вибір типів запитань — відкритих, уточнюючих чи альтернативних. Кожне запитання повинно мати чітку процесуальну та тактичну мету: викриття суперечностей, отримання нової інформації або підтвердження вже наявної доказової бази. Варто враховувати, що невдало сформульоване питання втрачає потенційну доказову цінність, тоді як надто навідне запитання може бути підставою для заяви про тиск. У цьому контексті формулювання запитів є тонким інструментом — їх ефективність залежить від контексту, психологічного стану свідка та особливостей конкретної справи.</w:t>
      </w:r>
    </w:p>
    <w:p w14:paraId="34A21786"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 xml:space="preserve">Водночас дотримання процесуальної форми є обов’язковим елементом професійної поведінки захисника. Адвокат зобов’язаний оперативно реагувати на порушення: фіксувати відмову у внесенні питань </w:t>
      </w:r>
      <w:proofErr w:type="gramStart"/>
      <w:r w:rsidRPr="00511005">
        <w:rPr>
          <w:rFonts w:ascii="Arial" w:eastAsia="Arial" w:hAnsi="Arial" w:cs="Arial"/>
          <w:szCs w:val="28"/>
          <w:lang w:val="ru" w:eastAsia="ru-RU"/>
        </w:rPr>
        <w:t>до протоколу</w:t>
      </w:r>
      <w:proofErr w:type="gramEnd"/>
      <w:r w:rsidRPr="00511005">
        <w:rPr>
          <w:rFonts w:ascii="Arial" w:eastAsia="Arial" w:hAnsi="Arial" w:cs="Arial"/>
          <w:szCs w:val="28"/>
          <w:lang w:val="ru" w:eastAsia="ru-RU"/>
        </w:rPr>
        <w:t>, заперечувати проти маніпулятивної поведінки слідчого, вказувати на недопустимі дії. Ці зауваження не лише захищають інтереси клієнта, а й можуть у подальшому стати підставою для визнання доказів недопустимими.</w:t>
      </w:r>
      <w:r w:rsidRPr="00511005">
        <w:rPr>
          <w:rFonts w:ascii="Arial" w:eastAsia="Times New Roman" w:hAnsi="Arial" w:cs="Arial"/>
          <w:szCs w:val="28"/>
          <w:lang w:val="ru" w:eastAsia="uk-UA"/>
        </w:rPr>
        <w:t xml:space="preserve"> </w:t>
      </w:r>
      <w:r w:rsidRPr="00511005">
        <w:rPr>
          <w:rFonts w:ascii="Arial" w:eastAsia="Arial" w:hAnsi="Arial" w:cs="Arial"/>
          <w:szCs w:val="28"/>
          <w:lang w:val="ru" w:eastAsia="ru-RU"/>
        </w:rPr>
        <w:t xml:space="preserve">Когутич І.І. справедливо акцентує увагу на тому, що у разі, коли захисник, підписуючи протокол слідчої (розшукової) дії, не зазначить про допущені порушення вимог Кримінального процесуального кодексу або </w:t>
      </w:r>
      <w:r w:rsidRPr="00511005">
        <w:rPr>
          <w:rFonts w:ascii="Arial" w:eastAsia="Arial" w:hAnsi="Arial" w:cs="Arial"/>
          <w:szCs w:val="28"/>
          <w:lang w:val="ru" w:eastAsia="ru-RU"/>
        </w:rPr>
        <w:lastRenderedPageBreak/>
        <w:t xml:space="preserve">порушення прав і законних інтересів підозрюваного, у подальшому в межах судового розгляду буде вкрай складно ставити питання про недопустимість доказів, отриманих у результаті такої дії </w:t>
      </w:r>
      <w:r w:rsidRPr="00511005">
        <w:rPr>
          <w:rFonts w:ascii="Arial" w:eastAsia="Arial" w:hAnsi="Arial" w:cs="Arial"/>
          <w:szCs w:val="28"/>
          <w:lang w:eastAsia="ru-RU"/>
        </w:rPr>
        <w:t>[3, с. 175]</w:t>
      </w:r>
      <w:r w:rsidRPr="00511005">
        <w:rPr>
          <w:rFonts w:ascii="Arial" w:eastAsia="Arial" w:hAnsi="Arial" w:cs="Arial"/>
          <w:szCs w:val="28"/>
          <w:lang w:val="ru" w:eastAsia="ru-RU"/>
        </w:rPr>
        <w:t>. Таким чином, фіксація порушень на етапі досудового розслідування є ключовою умовою для захисту процесуальних прав підзахисного в суді.</w:t>
      </w:r>
    </w:p>
    <w:p w14:paraId="496D3177"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Після завершення допиту настає етап аналітичного опрацювання його результатів. Аналізу підлягає не лише зміст відповідей, а й невербальна поведінка, логічна послідовність, емоційні реакції, відповідність наданих свідчень попереднім показанням. Виявлення суперечностей, прогалин у знаннях, сумнівів у правдивості свідка можуть мати вирішальне значення для захисту в судовому процесі.</w:t>
      </w:r>
    </w:p>
    <w:p w14:paraId="7D0F8E80"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Окремо варто наголосити на етичному компоненті діяльності адвоката. Незважаючи на високий емоційний градус кримінального процесу, професійна поведінка захисника повинна бути витриманою, ввічливою та відповідати стандартам етики. Повага до свідка, навіть за умови його ворожості, є проявом не лише правосвідомості, а й стратегічної далекоглядності. Проте така повага не повинна означати поступливості: адвокат має контролювати процес, не вдаючись до конфронтації.</w:t>
      </w:r>
    </w:p>
    <w:p w14:paraId="58DAB065"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Насамкінець, необхідно зазначити, що технічна фіксація допиту (аудіо- або відеозапис) є не рекомендацією, а обов’язковою умовою ефективного захисту. Це забезпечує достовірність протоколу та унеможливлює спотворення змісту свідчень у подальшому.</w:t>
      </w:r>
    </w:p>
    <w:p w14:paraId="58AE021C"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Як зазначає у своїй науковій роботі О. Дудко: «Після завершення допиту адвокату доцільно забезпечити доступ до офіційно зафіксованих свідчень. Для цього він має право звернутися до слідчого з проханням надати копію протоколу допиту або самостійно здійснити аудіо- чи відеофіксацію процесу» [4, с. 177]. Я вважаю це правильним тактичним кроком, адже наявність у сторони захисту точного письмового відтворення наданих пояснень відіграє критично важливу роль. Зокрема, у випадку повторного допиту або можливої зміни процесуального статусу свідка, така документація значно полегшує побудову захисної позиції, зокрема в контексті підготовки до допиту в якості підозрюваного чи обвинуваченого.</w:t>
      </w:r>
    </w:p>
    <w:p w14:paraId="2693C9D6"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ru" w:eastAsia="ru-RU"/>
        </w:rPr>
        <w:t>У підсумку, адвокатська участь у допиті свідка — це комплексне поєднання правових знань, психологічної чутливості, етичної витриманості та стратегічного мислення. Цей процес нагадує інтелектуальну гру — адвокат повинен знати, коли діяти активно, а коли вдатися до вичікування. І пам’ятати, що за кожним запитанням стоїть не лише норма закону, а й людська доля, яку він покликаний захистити.</w:t>
      </w:r>
    </w:p>
    <w:p w14:paraId="0EB2CC2B" w14:textId="77777777" w:rsidR="00532C25" w:rsidRPr="00511005" w:rsidRDefault="00532C25" w:rsidP="00532C25">
      <w:pPr>
        <w:spacing w:line="264" w:lineRule="auto"/>
        <w:ind w:firstLine="0"/>
        <w:rPr>
          <w:rFonts w:ascii="Arial" w:eastAsia="Arial" w:hAnsi="Arial" w:cs="Arial"/>
          <w:szCs w:val="28"/>
          <w:lang w:val="ru" w:eastAsia="ru-RU"/>
        </w:rPr>
      </w:pPr>
    </w:p>
    <w:p w14:paraId="7C4F54A6" w14:textId="77777777" w:rsidR="00532C25" w:rsidRPr="00511005" w:rsidRDefault="00532C25" w:rsidP="00532C25">
      <w:pPr>
        <w:spacing w:line="264" w:lineRule="auto"/>
        <w:ind w:firstLine="0"/>
        <w:jc w:val="center"/>
        <w:rPr>
          <w:rFonts w:ascii="Arial" w:eastAsia="Arial" w:hAnsi="Arial" w:cs="Arial"/>
          <w:b/>
          <w:szCs w:val="28"/>
          <w:lang w:val="ru" w:eastAsia="ru-RU"/>
        </w:rPr>
      </w:pPr>
      <w:r w:rsidRPr="00511005">
        <w:rPr>
          <w:rFonts w:ascii="Arial" w:eastAsia="Arial" w:hAnsi="Arial" w:cs="Arial"/>
          <w:b/>
          <w:szCs w:val="28"/>
          <w:lang w:val="uk-UA" w:eastAsia="ru-RU"/>
        </w:rPr>
        <w:t>Список використаних джерел</w:t>
      </w:r>
    </w:p>
    <w:p w14:paraId="0A6F6C01" w14:textId="77777777" w:rsidR="00532C25" w:rsidRPr="00511005" w:rsidRDefault="00532C25" w:rsidP="00532C25">
      <w:pPr>
        <w:spacing w:line="264" w:lineRule="auto"/>
        <w:ind w:firstLine="0"/>
        <w:rPr>
          <w:rFonts w:ascii="Arial" w:eastAsia="Arial" w:hAnsi="Arial" w:cs="Arial"/>
          <w:szCs w:val="28"/>
          <w:lang w:val="pl-PL" w:eastAsia="ru-RU"/>
        </w:rPr>
      </w:pPr>
      <w:r w:rsidRPr="00511005">
        <w:rPr>
          <w:rFonts w:ascii="Arial" w:eastAsia="Arial" w:hAnsi="Arial" w:cs="Arial"/>
          <w:szCs w:val="28"/>
          <w:lang w:val="ru" w:eastAsia="ru-RU"/>
        </w:rPr>
        <w:lastRenderedPageBreak/>
        <w:t xml:space="preserve">1. Кримінальний процесуальний кодекс України: Кодекс України від 13.04.2012 № 4651-VI: станом на 26 груд. </w:t>
      </w:r>
      <w:r w:rsidRPr="00511005">
        <w:rPr>
          <w:rFonts w:ascii="Arial" w:eastAsia="Arial" w:hAnsi="Arial" w:cs="Arial"/>
          <w:szCs w:val="28"/>
          <w:lang w:val="pl-PL" w:eastAsia="ru-RU"/>
        </w:rPr>
        <w:t xml:space="preserve">2024 </w:t>
      </w:r>
      <w:r w:rsidRPr="00511005">
        <w:rPr>
          <w:rFonts w:ascii="Arial" w:eastAsia="Arial" w:hAnsi="Arial" w:cs="Arial"/>
          <w:szCs w:val="28"/>
          <w:lang w:val="ru" w:eastAsia="ru-RU"/>
        </w:rPr>
        <w:t>р</w:t>
      </w:r>
      <w:r w:rsidRPr="00511005">
        <w:rPr>
          <w:rFonts w:ascii="Arial" w:eastAsia="Arial" w:hAnsi="Arial" w:cs="Arial"/>
          <w:szCs w:val="28"/>
          <w:lang w:val="pl-PL" w:eastAsia="ru-RU"/>
        </w:rPr>
        <w:t xml:space="preserve">. URL: </w:t>
      </w:r>
      <w:hyperlink r:id="rId2303" w:anchor="Text" w:history="1">
        <w:r w:rsidRPr="00511005">
          <w:rPr>
            <w:rFonts w:ascii="Arial" w:eastAsia="Arial" w:hAnsi="Arial" w:cs="Arial"/>
            <w:szCs w:val="28"/>
            <w:lang w:val="pl-PL" w:eastAsia="ru-RU"/>
          </w:rPr>
          <w:t>https://zakon.rada.gov.ua/laws/show/4651-17#Text</w:t>
        </w:r>
      </w:hyperlink>
      <w:r w:rsidRPr="00511005">
        <w:rPr>
          <w:rFonts w:ascii="Arial" w:eastAsia="Arial" w:hAnsi="Arial" w:cs="Arial"/>
          <w:szCs w:val="28"/>
          <w:lang w:val="pl-PL" w:eastAsia="ru-RU"/>
        </w:rPr>
        <w:t>.</w:t>
      </w:r>
    </w:p>
    <w:p w14:paraId="6F8F140A"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ru" w:eastAsia="ru-RU"/>
        </w:rPr>
        <w:t xml:space="preserve">2. Конституція України: Закон України від 28.06.1996 р. № 254к/96-ВР. URL: </w:t>
      </w:r>
      <w:hyperlink r:id="rId2304" w:history="1">
        <w:r w:rsidRPr="00511005">
          <w:rPr>
            <w:rFonts w:ascii="Arial" w:eastAsia="Arial" w:hAnsi="Arial" w:cs="Arial"/>
            <w:szCs w:val="28"/>
            <w:lang w:val="ru" w:eastAsia="ru-RU"/>
          </w:rPr>
          <w:t>https://zakon.rada.gov.ua/go/254к/96-вр</w:t>
        </w:r>
      </w:hyperlink>
      <w:r w:rsidRPr="00511005">
        <w:rPr>
          <w:rFonts w:ascii="Arial" w:eastAsia="Arial" w:hAnsi="Arial" w:cs="Arial"/>
          <w:szCs w:val="28"/>
          <w:lang w:val="uk-UA" w:eastAsia="ru-RU"/>
        </w:rPr>
        <w:t>.</w:t>
      </w:r>
    </w:p>
    <w:p w14:paraId="5F00ADE1" w14:textId="77777777" w:rsidR="00532C25" w:rsidRPr="00511005" w:rsidRDefault="00532C25" w:rsidP="00532C25">
      <w:pPr>
        <w:spacing w:line="264" w:lineRule="auto"/>
        <w:ind w:firstLine="0"/>
        <w:rPr>
          <w:rFonts w:ascii="Arial" w:eastAsia="Arial" w:hAnsi="Arial" w:cs="Arial"/>
          <w:szCs w:val="28"/>
          <w:lang w:val="ru" w:eastAsia="ru-RU"/>
        </w:rPr>
      </w:pPr>
      <w:r w:rsidRPr="00511005">
        <w:rPr>
          <w:rFonts w:ascii="Arial" w:eastAsia="Arial" w:hAnsi="Arial" w:cs="Arial"/>
          <w:szCs w:val="28"/>
          <w:lang w:val="ru" w:eastAsia="ru-RU"/>
        </w:rPr>
        <w:t>3. Когутич І. Судовий допит: процесуальне і криміналістичне дослідження: дис. – Львівський національний університет імені Івана Франка, 2016, с.</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175.</w:t>
      </w:r>
    </w:p>
    <w:p w14:paraId="381B8075" w14:textId="77777777" w:rsidR="00532C25" w:rsidRPr="00511005" w:rsidRDefault="00532C25" w:rsidP="00532C25">
      <w:pPr>
        <w:spacing w:line="264" w:lineRule="auto"/>
        <w:ind w:firstLine="0"/>
        <w:rPr>
          <w:rFonts w:ascii="Arial" w:eastAsia="Arial" w:hAnsi="Arial" w:cs="Arial"/>
          <w:szCs w:val="28"/>
          <w:lang w:val="ru" w:eastAsia="ru-RU"/>
        </w:rPr>
      </w:pPr>
      <w:r w:rsidRPr="00511005">
        <w:rPr>
          <w:rFonts w:ascii="Arial" w:eastAsia="Arial" w:hAnsi="Arial" w:cs="Arial"/>
          <w:szCs w:val="28"/>
          <w:lang w:eastAsia="ru-RU"/>
        </w:rPr>
        <w:t xml:space="preserve">4. </w:t>
      </w:r>
      <w:r w:rsidRPr="00511005">
        <w:rPr>
          <w:rFonts w:ascii="Arial" w:eastAsia="Arial" w:hAnsi="Arial" w:cs="Arial"/>
          <w:szCs w:val="28"/>
          <w:lang w:val="ru" w:eastAsia="ru-RU"/>
        </w:rPr>
        <w:t>Дудко О. Помилки адвоката під час проведення допиту на стадії досудового розслідування. Підприємництво, господарство і право. 2019. №. 10. 177 с.</w:t>
      </w:r>
    </w:p>
    <w:p w14:paraId="121BDBAD" w14:textId="77777777" w:rsidR="00532C25" w:rsidRPr="00511005" w:rsidRDefault="00532C25" w:rsidP="00532C25">
      <w:pPr>
        <w:spacing w:line="264" w:lineRule="auto"/>
        <w:ind w:firstLine="0"/>
        <w:rPr>
          <w:rFonts w:ascii="Arial" w:eastAsia="Arial" w:hAnsi="Arial" w:cs="Arial"/>
          <w:szCs w:val="28"/>
          <w:lang w:eastAsia="ru-RU"/>
        </w:rPr>
      </w:pPr>
    </w:p>
    <w:p w14:paraId="51C74726" w14:textId="77777777" w:rsidR="00532C25" w:rsidRPr="00511005" w:rsidRDefault="00532C25" w:rsidP="00532C25">
      <w:pPr>
        <w:spacing w:line="264" w:lineRule="auto"/>
        <w:ind w:firstLine="708"/>
        <w:rPr>
          <w:rFonts w:ascii="Arial" w:eastAsia="Calibri" w:hAnsi="Arial" w:cs="Arial"/>
          <w:noProof/>
          <w:szCs w:val="28"/>
          <w:lang w:eastAsia="ru-RU"/>
        </w:rPr>
      </w:pPr>
      <w:r w:rsidRPr="00511005">
        <w:rPr>
          <w:rFonts w:ascii="Arial" w:eastAsia="Calibri" w:hAnsi="Arial" w:cs="Arial"/>
          <w:b/>
          <w:i/>
          <w:noProof/>
          <w:szCs w:val="28"/>
          <w:lang w:eastAsia="ru-RU"/>
        </w:rPr>
        <w:t xml:space="preserve">Ключові слова: </w:t>
      </w:r>
      <w:r w:rsidRPr="00511005">
        <w:rPr>
          <w:rFonts w:ascii="Arial" w:eastAsia="Calibri" w:hAnsi="Arial" w:cs="Arial"/>
          <w:noProof/>
          <w:szCs w:val="28"/>
          <w:lang w:eastAsia="ru-RU"/>
        </w:rPr>
        <w:t>адвокат, допит свідка, кримінальний процес, процесуальні гарантії, право на захист, тактика допиту</w:t>
      </w:r>
    </w:p>
    <w:p w14:paraId="65016BB2" w14:textId="77777777" w:rsidR="00532C25" w:rsidRPr="00511005" w:rsidRDefault="00532C25" w:rsidP="00532C25">
      <w:pPr>
        <w:spacing w:line="264" w:lineRule="auto"/>
        <w:ind w:firstLine="708"/>
        <w:rPr>
          <w:rFonts w:ascii="Arial" w:eastAsia="Calibri" w:hAnsi="Arial" w:cs="Arial"/>
          <w:noProof/>
          <w:szCs w:val="28"/>
          <w:lang w:val="en-US" w:eastAsia="ru-RU"/>
        </w:rPr>
      </w:pPr>
      <w:r w:rsidRPr="00511005">
        <w:rPr>
          <w:rFonts w:ascii="Arial" w:eastAsia="Calibri" w:hAnsi="Arial" w:cs="Arial"/>
          <w:b/>
          <w:i/>
          <w:noProof/>
          <w:szCs w:val="28"/>
          <w:lang w:val="en-US" w:eastAsia="ru-RU"/>
        </w:rPr>
        <w:t xml:space="preserve">Key words: </w:t>
      </w:r>
      <w:r w:rsidRPr="00511005">
        <w:rPr>
          <w:rFonts w:ascii="Arial" w:eastAsia="Calibri" w:hAnsi="Arial" w:cs="Arial"/>
          <w:noProof/>
          <w:szCs w:val="28"/>
          <w:lang w:val="en-US" w:eastAsia="ru-RU"/>
        </w:rPr>
        <w:t>lawyer, witness interrogation, criminal trial, procedural guarantees, right to defense, interrogation tactics</w:t>
      </w:r>
    </w:p>
    <w:p w14:paraId="028D8547"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Calibri" w:hAnsi="Arial" w:cs="Arial"/>
          <w:b/>
          <w:i/>
          <w:noProof/>
          <w:szCs w:val="28"/>
          <w:lang w:eastAsia="ru-RU"/>
        </w:rPr>
        <w:t xml:space="preserve">Науковий керівник: </w:t>
      </w:r>
      <w:r w:rsidRPr="00511005">
        <w:rPr>
          <w:rFonts w:ascii="Arial" w:eastAsia="Times New Roman" w:hAnsi="Arial" w:cs="Arial"/>
          <w:bCs/>
          <w:i/>
          <w:iCs/>
          <w:szCs w:val="28"/>
          <w:lang w:val="ru" w:eastAsia="ru-RU"/>
        </w:rPr>
        <w:t>к.ю.н., доцент Стоянов М.М.</w:t>
      </w:r>
    </w:p>
    <w:p w14:paraId="0A3EA0B4" w14:textId="77777777" w:rsidR="00532C25" w:rsidRPr="00511005" w:rsidRDefault="00532C25" w:rsidP="00532C25">
      <w:pPr>
        <w:spacing w:line="264" w:lineRule="auto"/>
        <w:ind w:firstLine="0"/>
        <w:rPr>
          <w:rFonts w:ascii="Arial" w:eastAsia="Arial" w:hAnsi="Arial" w:cs="Arial"/>
          <w:szCs w:val="28"/>
          <w:lang w:val="ru" w:eastAsia="ru-RU"/>
        </w:rPr>
      </w:pPr>
    </w:p>
    <w:p w14:paraId="1FA7DDCE" w14:textId="77777777" w:rsidR="00532C25" w:rsidRPr="00511005" w:rsidRDefault="00532C25" w:rsidP="00532C25">
      <w:pPr>
        <w:spacing w:line="264" w:lineRule="auto"/>
        <w:ind w:firstLine="0"/>
        <w:jc w:val="center"/>
        <w:rPr>
          <w:rFonts w:ascii="Arial" w:eastAsia="Arial" w:hAnsi="Arial" w:cs="Arial"/>
          <w:b/>
          <w:i/>
          <w:szCs w:val="28"/>
          <w:lang w:val="uk-UA" w:eastAsia="ru-RU"/>
        </w:rPr>
      </w:pPr>
      <w:r w:rsidRPr="00511005">
        <w:rPr>
          <w:rFonts w:ascii="Arial" w:eastAsia="Arial" w:hAnsi="Arial" w:cs="Arial"/>
          <w:b/>
          <w:i/>
          <w:szCs w:val="28"/>
          <w:lang w:val="uk-UA" w:eastAsia="ru-RU"/>
        </w:rPr>
        <w:t>Храмченкова Марія Вадимівна</w:t>
      </w:r>
    </w:p>
    <w:p w14:paraId="05F4EC17" w14:textId="77777777" w:rsidR="00532C25" w:rsidRPr="00511005" w:rsidRDefault="00532C25" w:rsidP="00532C25">
      <w:pPr>
        <w:spacing w:line="264" w:lineRule="auto"/>
        <w:ind w:firstLine="0"/>
        <w:jc w:val="center"/>
        <w:rPr>
          <w:rFonts w:ascii="Arial" w:eastAsia="Arial" w:hAnsi="Arial" w:cs="Arial"/>
          <w:szCs w:val="28"/>
          <w:lang w:val="uk-UA" w:eastAsia="ru-RU"/>
        </w:rPr>
      </w:pPr>
      <w:r w:rsidRPr="00511005">
        <w:rPr>
          <w:rFonts w:ascii="Arial" w:eastAsia="Arial" w:hAnsi="Arial" w:cs="Arial"/>
          <w:szCs w:val="28"/>
          <w:lang w:val="uk-UA" w:eastAsia="ru-RU"/>
        </w:rPr>
        <w:t>студентка 3-го курсу факультету адвокатури та антикорупційної діяльності</w:t>
      </w:r>
    </w:p>
    <w:p w14:paraId="2011E4CB" w14:textId="77777777" w:rsidR="00532C25" w:rsidRPr="00511005" w:rsidRDefault="00532C25" w:rsidP="00532C25">
      <w:pPr>
        <w:spacing w:line="264" w:lineRule="auto"/>
        <w:ind w:firstLine="0"/>
        <w:jc w:val="center"/>
        <w:rPr>
          <w:rFonts w:ascii="Arial" w:eastAsia="Arial" w:hAnsi="Arial" w:cs="Arial"/>
          <w:szCs w:val="28"/>
          <w:lang w:val="uk-UA" w:eastAsia="ru-RU"/>
        </w:rPr>
      </w:pPr>
      <w:r w:rsidRPr="00511005">
        <w:rPr>
          <w:rFonts w:ascii="Arial" w:eastAsia="Arial" w:hAnsi="Arial" w:cs="Arial"/>
          <w:szCs w:val="28"/>
          <w:lang w:val="uk-UA" w:eastAsia="ru-RU"/>
        </w:rPr>
        <w:t>Національного університету «Одеська юридична академія»</w:t>
      </w:r>
    </w:p>
    <w:p w14:paraId="698304F1" w14:textId="77777777" w:rsidR="00532C25" w:rsidRPr="00511005" w:rsidRDefault="00532C25" w:rsidP="00532C25">
      <w:pPr>
        <w:spacing w:line="264" w:lineRule="auto"/>
        <w:ind w:firstLine="3969"/>
        <w:rPr>
          <w:rFonts w:ascii="Arial" w:eastAsia="Arial" w:hAnsi="Arial" w:cs="Arial"/>
          <w:b/>
          <w:i/>
          <w:szCs w:val="28"/>
          <w:lang w:val="uk-UA" w:eastAsia="ru-RU"/>
        </w:rPr>
      </w:pPr>
    </w:p>
    <w:p w14:paraId="626174CB" w14:textId="77777777" w:rsidR="00532C25" w:rsidRPr="00511005" w:rsidRDefault="00532C25" w:rsidP="00532C25">
      <w:pPr>
        <w:spacing w:line="264" w:lineRule="auto"/>
        <w:ind w:firstLine="0"/>
        <w:jc w:val="center"/>
        <w:rPr>
          <w:rFonts w:ascii="Arial" w:eastAsia="Arial" w:hAnsi="Arial" w:cs="Arial"/>
          <w:b/>
          <w:szCs w:val="28"/>
          <w:lang w:val="ru" w:eastAsia="ru-RU"/>
        </w:rPr>
      </w:pPr>
      <w:r w:rsidRPr="00511005">
        <w:rPr>
          <w:rFonts w:ascii="Arial" w:eastAsia="Arial" w:hAnsi="Arial" w:cs="Arial"/>
          <w:b/>
          <w:szCs w:val="28"/>
          <w:lang w:val="ru" w:eastAsia="ru-RU"/>
        </w:rPr>
        <w:t>ЗАБОРОНЕНІ МЕТОДИ СЛІДСТВА ПІД ЧАС ПРОВЕДЕННЯ НЕГЛАСНИХ СЛІДЧИХ РОЗШУКОВИХ ДІЙ</w:t>
      </w:r>
    </w:p>
    <w:p w14:paraId="4FCA6CCE" w14:textId="77777777" w:rsidR="00532C25" w:rsidRPr="00511005" w:rsidRDefault="00532C25" w:rsidP="00532C25">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Розвиток інституту негласних слідчих (розшукових) дій</w:t>
      </w:r>
      <w:r w:rsidRPr="00511005">
        <w:rPr>
          <w:rFonts w:ascii="Arial" w:eastAsia="Times New Roman" w:hAnsi="Arial" w:cs="Arial"/>
          <w:szCs w:val="28"/>
          <w:lang w:val="uk-UA" w:eastAsia="ru-RU"/>
        </w:rPr>
        <w:t xml:space="preserve"> (НСРД)</w:t>
      </w:r>
      <w:r w:rsidRPr="00511005">
        <w:rPr>
          <w:rFonts w:ascii="Arial" w:eastAsia="Times New Roman" w:hAnsi="Arial" w:cs="Arial"/>
          <w:szCs w:val="28"/>
          <w:lang w:eastAsia="ru-RU"/>
        </w:rPr>
        <w:t xml:space="preserve"> становить важливий етап реформування кримінального процесуального законодавства України. Ефективність боротьби зі злочинністю значною мірою залежить від законного застосування НСРД, проте гостро постає питання дотримання балансу між необхідністю забезпечення публічних інтересів у кримінальному провадженні та захистом прав і свобод особи. Проблеми визначення та правового регулювання заборонених методів слідства під час проведення НСРД залишаються актуальними та потребують ґрунтовного наукового осмислення, особливо у світлі практики Європейського суду з прав людини та недоліків національного законодавства. Зокрема, потребує чіткого окреслення межа між правомірним використанням обману як тактичного прийому та недопустимим підбурюванням особи до вчинення злочину.</w:t>
      </w:r>
    </w:p>
    <w:p w14:paraId="23BD0B9B" w14:textId="77777777" w:rsidR="00532C25" w:rsidRPr="00511005" w:rsidRDefault="00532C25" w:rsidP="00532C25">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Відповідно до ст. 246 КПК України, НСРД є різновидом слідчих (розшукових) дій, відомості про факт та методи проведення яких не підлягають розголошенню та проводяться у випадках, якщо відомості про злочин та особу, яка його вчинила, неможливо отримати в інший спосіб [</w:t>
      </w:r>
      <w:r w:rsidRPr="00511005">
        <w:rPr>
          <w:rFonts w:ascii="Arial" w:eastAsia="Times New Roman" w:hAnsi="Arial" w:cs="Arial"/>
          <w:szCs w:val="28"/>
          <w:lang w:val="uk-UA" w:eastAsia="ru-RU"/>
        </w:rPr>
        <w:t>1</w:t>
      </w:r>
      <w:r w:rsidRPr="00511005">
        <w:rPr>
          <w:rFonts w:ascii="Arial" w:eastAsia="Times New Roman" w:hAnsi="Arial" w:cs="Arial"/>
          <w:szCs w:val="28"/>
          <w:lang w:eastAsia="ru-RU"/>
        </w:rPr>
        <w:t xml:space="preserve">]. Специфіка НСРД полягає у їх негласному характері та суттєвому втручанні у гарантовані Конституцією України права особи, зокрема на повагу до </w:t>
      </w:r>
      <w:r w:rsidRPr="00511005">
        <w:rPr>
          <w:rFonts w:ascii="Arial" w:eastAsia="Times New Roman" w:hAnsi="Arial" w:cs="Arial"/>
          <w:szCs w:val="28"/>
          <w:lang w:eastAsia="ru-RU"/>
        </w:rPr>
        <w:lastRenderedPageBreak/>
        <w:t>приватного життя, таємницю кореспонденції, недоторканність житла тощо. Саме тому законодавець у ст. 253 КПК передбачив необхідність повідомлення осіб, щодо яких проводилися НСРД, про такий факт у встановленому законом випадках і порядку. Чинний КПК України встановлює суворі обмеження для застосування НСРД: можливість їх проведення лише щодо тяжких або особливо тяжких злочинів; виключно за ухвалою слідчого судді (окрім випадків, передбачених КПК); неможливість отримання відомостей про злочин та особу, яка його вчинила, в інший спосіб [</w:t>
      </w:r>
      <w:r w:rsidRPr="00511005">
        <w:rPr>
          <w:rFonts w:ascii="Arial" w:eastAsia="Times New Roman" w:hAnsi="Arial" w:cs="Arial"/>
          <w:szCs w:val="28"/>
          <w:lang w:val="uk-UA" w:eastAsia="ru-RU"/>
        </w:rPr>
        <w:t>1</w:t>
      </w:r>
      <w:r w:rsidRPr="00511005">
        <w:rPr>
          <w:rFonts w:ascii="Arial" w:eastAsia="Times New Roman" w:hAnsi="Arial" w:cs="Arial"/>
          <w:szCs w:val="28"/>
          <w:lang w:eastAsia="ru-RU"/>
        </w:rPr>
        <w:t>].</w:t>
      </w:r>
    </w:p>
    <w:p w14:paraId="2672FAF3" w14:textId="77777777" w:rsidR="00532C25" w:rsidRPr="00511005" w:rsidRDefault="00532C25" w:rsidP="00532C25">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Аналіз норм Конституції України, КПК України, Закону України "Про оперативно-розшукову діяльність", а також міжнародно-правових актів дозволяє визначити ключові заборонені методи слідства під час проведення НСРД. До них належать примушування до давання показань та самовикриття, що закріплено у ст. 62 Конституції України, ст. 18 КПК України, що забороняє домагатися показань особи шляхом насильства, погроз або інших незаконних заходів. Також забороненими є катування та нелюдське поводження згідно зі ст. 28 Конституції України, ст. 11 КПК України, а також ст. 3 Конвенції про захист прав людини і основоположних свобод [</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 Не допускається необґрунтоване втручання у приватне життя, що охоплює порушення права на недоторканність житла, таємницю листування, телефонних розмов, телеграфної та іншої кореспонденції, гарантованих ст. 30, 31 Конституції України та ст. 8 Конвенції</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3</w:t>
      </w:r>
      <w:r w:rsidRPr="00511005">
        <w:rPr>
          <w:rFonts w:ascii="Arial" w:eastAsia="Times New Roman" w:hAnsi="Arial" w:cs="Arial"/>
          <w:szCs w:val="28"/>
          <w:lang w:eastAsia="ru-RU"/>
        </w:rPr>
        <w:t>]. Забороняється підбурювання та провокація злочину, що полягає у схилянні особи до вчинення злочину з метою подальшого викриття. Не допускається обман щодо правового статусу та певних обставин кримінального провадження, що включає введення в оману щодо процесуальних прав, обов'язків, статусу особи у провадженні.</w:t>
      </w:r>
    </w:p>
    <w:p w14:paraId="2411F440" w14:textId="77777777" w:rsidR="00532C25" w:rsidRPr="00511005" w:rsidRDefault="00532C25" w:rsidP="00532C25">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Особливо гостро в контексті НСРД постає проблема розмежування законних методів розслідування та провокації злочину. Попри відсутність прямого визначення провокації у КПК України, її заборона випливає з інших нормативно-правових актів та практики ЄСПЛ. Відповідно до позиції ЄСПЛ, викладеної у численних рішеннях ("Тейксейра де Кастро проти Португалії", "Раманаускас проти Литви", "Банніков проти Росії"), провокація злочину існує, коли службові особи не обмежуються пасивним розслідуванням, а здійснюють такий вплив на особу, що підбурює її до вчинення правопорушення, яке інакше не було б вчинене</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4</w:t>
      </w:r>
      <w:r w:rsidRPr="00511005">
        <w:rPr>
          <w:rFonts w:ascii="Arial" w:eastAsia="Times New Roman" w:hAnsi="Arial" w:cs="Arial"/>
          <w:szCs w:val="28"/>
          <w:lang w:eastAsia="ru-RU"/>
        </w:rPr>
        <w:t>].</w:t>
      </w:r>
    </w:p>
    <w:p w14:paraId="5FD40906" w14:textId="77777777" w:rsidR="00532C25" w:rsidRPr="00511005" w:rsidRDefault="00532C25" w:rsidP="00532C25">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Ключовими критеріями для розмежування провокації та допустимого розслідування виступають наявність попередньої інформації про злочинну діяльність особи, характер поведінки правоохоронних органів, наявність гарантій від зловживань. ЄСПЛ у справі «Ваньян проти Росії» вказав, що операція має ґрунтуватися на конкретних та достатніх фактах, які свідчать про можливу злочинну діяльність [</w:t>
      </w:r>
      <w:r w:rsidRPr="00511005">
        <w:rPr>
          <w:rFonts w:ascii="Arial" w:eastAsia="Times New Roman" w:hAnsi="Arial" w:cs="Arial"/>
          <w:szCs w:val="28"/>
          <w:lang w:val="uk-UA" w:eastAsia="ru-RU"/>
        </w:rPr>
        <w:t>5</w:t>
      </w:r>
      <w:r w:rsidRPr="00511005">
        <w:rPr>
          <w:rFonts w:ascii="Arial" w:eastAsia="Times New Roman" w:hAnsi="Arial" w:cs="Arial"/>
          <w:szCs w:val="28"/>
          <w:lang w:eastAsia="ru-RU"/>
        </w:rPr>
        <w:t xml:space="preserve">]. У справі «Худобін проти Росії» ЄСПЛ </w:t>
      </w:r>
      <w:r w:rsidRPr="00511005">
        <w:rPr>
          <w:rFonts w:ascii="Arial" w:eastAsia="Times New Roman" w:hAnsi="Arial" w:cs="Arial"/>
          <w:szCs w:val="28"/>
          <w:lang w:eastAsia="ru-RU"/>
        </w:rPr>
        <w:lastRenderedPageBreak/>
        <w:t>зазначив, що поліція повинна «приєднатися» до злочину, а не ініціювати його [</w:t>
      </w:r>
      <w:r w:rsidRPr="00511005">
        <w:rPr>
          <w:rFonts w:ascii="Arial" w:eastAsia="Times New Roman" w:hAnsi="Arial" w:cs="Arial"/>
          <w:szCs w:val="28"/>
          <w:lang w:val="uk-UA" w:eastAsia="ru-RU"/>
        </w:rPr>
        <w:t>6</w:t>
      </w:r>
      <w:r w:rsidRPr="00511005">
        <w:rPr>
          <w:rFonts w:ascii="Arial" w:eastAsia="Times New Roman" w:hAnsi="Arial" w:cs="Arial"/>
          <w:szCs w:val="28"/>
          <w:lang w:eastAsia="ru-RU"/>
        </w:rPr>
        <w:t xml:space="preserve">]. </w:t>
      </w:r>
    </w:p>
    <w:p w14:paraId="646B19D9" w14:textId="77777777" w:rsidR="00532C25" w:rsidRPr="00511005" w:rsidRDefault="00532C25" w:rsidP="00532C25">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 xml:space="preserve">Обман як метод проведення слідчих дій має бути чітко розмежований з провокацією. Якщо провокація підбурює до вчинення злочину, то обман може бути допустимим тактичним прийомом для встановлення істини, якщо він не впливає на свободу волевиявлення особи, не спонукає до вчинення злочину та не порушує фундаментальні права людини. У чинному КПК України, на відміну від КПК 1960 року, не містить прямої заборони щодо використання обману під час проведення слідчих дій. </w:t>
      </w:r>
      <w:r w:rsidRPr="00511005">
        <w:rPr>
          <w:rFonts w:ascii="Arial" w:eastAsia="Times New Roman" w:hAnsi="Arial" w:cs="Arial"/>
          <w:szCs w:val="28"/>
          <w:lang w:val="uk-UA" w:eastAsia="ru-RU"/>
        </w:rPr>
        <w:t xml:space="preserve">Старий КПК </w:t>
      </w:r>
      <w:r w:rsidRPr="00511005">
        <w:rPr>
          <w:rFonts w:ascii="Arial" w:eastAsia="Times New Roman" w:hAnsi="Arial" w:cs="Arial"/>
          <w:szCs w:val="28"/>
          <w:lang w:eastAsia="ru-RU"/>
        </w:rPr>
        <w:t>у ст. 22 забороняв домагатися показань обвинуваченого та інших осіб, які беруть участь у справі, шляхом насильства, погроз та інших незаконних заходів, включаючи обман [</w:t>
      </w:r>
      <w:r w:rsidRPr="00511005">
        <w:rPr>
          <w:rFonts w:ascii="Arial" w:eastAsia="Times New Roman" w:hAnsi="Arial" w:cs="Arial"/>
          <w:szCs w:val="28"/>
          <w:lang w:val="uk-UA" w:eastAsia="ru-RU"/>
        </w:rPr>
        <w:t>1</w:t>
      </w:r>
      <w:r w:rsidRPr="00511005">
        <w:rPr>
          <w:rFonts w:ascii="Arial" w:eastAsia="Times New Roman" w:hAnsi="Arial" w:cs="Arial"/>
          <w:szCs w:val="28"/>
          <w:lang w:eastAsia="ru-RU"/>
        </w:rPr>
        <w:t>]. Проте відсутність прямої заборони не означає допустимості будь-якого обману. Використання обману обмежується загальними засадами кримінального провадження, вимогами щодо допустимості доказів, рішеннями ЄСПЛ, які формують правові позиції щодо справедливого судового розгляду. Важливим критерієм розмежування є вплив обману на добровільність дій особи</w:t>
      </w:r>
      <w:r w:rsidRPr="00511005">
        <w:rPr>
          <w:rFonts w:ascii="Arial" w:eastAsia="Times New Roman" w:hAnsi="Arial" w:cs="Arial"/>
          <w:szCs w:val="28"/>
          <w:lang w:val="uk-UA" w:eastAsia="ru-RU"/>
        </w:rPr>
        <w:t>, тобто я</w:t>
      </w:r>
      <w:r w:rsidRPr="00511005">
        <w:rPr>
          <w:rFonts w:ascii="Arial" w:eastAsia="Times New Roman" w:hAnsi="Arial" w:cs="Arial"/>
          <w:szCs w:val="28"/>
          <w:lang w:eastAsia="ru-RU"/>
        </w:rPr>
        <w:t>кщо обман впливає на свободу волевиявлення та призводить до надання показань або інших доказів, які особа не надала б за інших обставин, такий обман має визнаватися неприпустимим.</w:t>
      </w:r>
    </w:p>
    <w:p w14:paraId="7BCB7E88" w14:textId="77777777" w:rsidR="00532C25" w:rsidRPr="00511005" w:rsidRDefault="00532C25" w:rsidP="00532C25">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 xml:space="preserve">Європейський суд з прав людини сформував значний масив правових позицій щодо заборонених методів слідства, які мають враховуватися при проведенні НСРД. У справі «Биков проти Росії» ЄСПЛ розглянув питання використання «радіоперехоплення» та зазначив, що для оцінки допустимості такого методу слід враховувати: чи було втручання у приватне життя законним, чи були дотримані процесуальні гарантії, чи мала особа можливість оскаржити достовірність доказів [7]. У справі «Раманаускас проти Литви» суд встановив базові критерії розмежування провокації та допустимого розслідування, зокрема пасивний характер поведінки правоохоронних органів [8]. </w:t>
      </w:r>
    </w:p>
    <w:p w14:paraId="48C22C67" w14:textId="77777777" w:rsidR="00532C25" w:rsidRPr="00511005" w:rsidRDefault="00532C25" w:rsidP="00532C25">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 xml:space="preserve">Враховуючи виявлені проблеми та прогалини у правовому регулюванні, доцільно запропонувати шляхи вдосконалення нормативної бази щодо заборонених методів слідства під час проведення НСРД. Насамперед необхідне закріплення чіткої заборони провокації злочину в КПК України з визначенням її поняття та критеріїв відмежування від законних методів розслідування. Важливим є впровадження додаткових гарантій від зловживань під час проведення НСРД, зокрема, посилення судового контролю та прокурорського нагляду. Варто приділити увагу деталізації порядку документування НСРД для забезпечення можливості подальшої перевірки законності їх проведення. Доцільно визначити межі допустимого використання обману під час проведення НСРД з урахуванням практики ЄСПЛ та засад кримінального провадження. Необхідна розробка чітких </w:t>
      </w:r>
      <w:r w:rsidRPr="00511005">
        <w:rPr>
          <w:rFonts w:ascii="Arial" w:eastAsia="Times New Roman" w:hAnsi="Arial" w:cs="Arial"/>
          <w:szCs w:val="28"/>
          <w:lang w:eastAsia="ru-RU"/>
        </w:rPr>
        <w:lastRenderedPageBreak/>
        <w:t>критеріїв розмежування законного впровадження негласних агентів та неприпустимої провокації злочину.</w:t>
      </w:r>
    </w:p>
    <w:p w14:paraId="5C2E5524" w14:textId="77777777" w:rsidR="00532C25" w:rsidRPr="00511005" w:rsidRDefault="00532C25" w:rsidP="00532C25">
      <w:pPr>
        <w:spacing w:line="264" w:lineRule="auto"/>
        <w:ind w:firstLine="567"/>
        <w:rPr>
          <w:rFonts w:ascii="Arial" w:eastAsia="Times New Roman" w:hAnsi="Arial" w:cs="Arial"/>
          <w:szCs w:val="28"/>
          <w:lang w:eastAsia="ru-RU"/>
        </w:rPr>
      </w:pPr>
      <w:r w:rsidRPr="00511005">
        <w:rPr>
          <w:rFonts w:ascii="Arial" w:eastAsia="Times New Roman" w:hAnsi="Arial" w:cs="Arial"/>
          <w:szCs w:val="28"/>
          <w:lang w:eastAsia="ru-RU"/>
        </w:rPr>
        <w:t>Аналіз національного законодавства та практики ЄСПЛ дозволяє констатувати недосконалість правового регулювання заборонених методів слідства під час проведення НСРД. Відсутність чітких законодавчих заборон щодо провокації злочину та використання обману створює ризики порушення прав і свобод людини у кримінальному провадженні. Особливе занепокоєння викликає відсутність у чинному КПК України прямої заборони використання обману при проведенні слідчих дій. Така законодавча прогалина потребує усунення шляхом внесення відповідних змін до КПК України. Правові позиції ЄСПЛ щодо заборонених методів слідства мають стати орієнтиром для формування національної правозастосовної практики та вдосконалення законодавства. Важливо забезпечити баланс між ефективністю розслідування та дотриманням прав і свобод людини, що є основоположним принципом правової держави.</w:t>
      </w:r>
    </w:p>
    <w:p w14:paraId="78852B3A" w14:textId="77777777" w:rsidR="00532C25" w:rsidRPr="00511005" w:rsidRDefault="00532C25" w:rsidP="00532C25">
      <w:pPr>
        <w:spacing w:line="264" w:lineRule="auto"/>
        <w:ind w:firstLine="567"/>
        <w:rPr>
          <w:rFonts w:ascii="Arial" w:eastAsia="Arial" w:hAnsi="Arial" w:cs="Arial"/>
          <w:b/>
          <w:szCs w:val="28"/>
          <w:lang w:val="uk-UA" w:eastAsia="ru-RU"/>
        </w:rPr>
      </w:pPr>
    </w:p>
    <w:p w14:paraId="27D85884" w14:textId="77777777" w:rsidR="00532C25" w:rsidRPr="00511005" w:rsidRDefault="00532C25" w:rsidP="00532C25">
      <w:pPr>
        <w:spacing w:line="264" w:lineRule="auto"/>
        <w:ind w:firstLine="567"/>
        <w:jc w:val="center"/>
        <w:rPr>
          <w:rFonts w:ascii="Arial" w:eastAsia="Arial" w:hAnsi="Arial" w:cs="Arial"/>
          <w:b/>
          <w:szCs w:val="28"/>
          <w:lang w:val="uk-UA" w:eastAsia="ru-RU"/>
        </w:rPr>
      </w:pPr>
      <w:r w:rsidRPr="00511005">
        <w:rPr>
          <w:rFonts w:ascii="Arial" w:eastAsia="Arial" w:hAnsi="Arial" w:cs="Arial"/>
          <w:b/>
          <w:szCs w:val="28"/>
          <w:lang w:val="uk-UA" w:eastAsia="ru-RU"/>
        </w:rPr>
        <w:t>Список використаних джерел</w:t>
      </w:r>
    </w:p>
    <w:p w14:paraId="31C890F4"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xml:space="preserve">1. </w:t>
      </w:r>
      <w:r w:rsidRPr="00511005">
        <w:rPr>
          <w:rFonts w:ascii="Arial" w:eastAsia="Arial" w:hAnsi="Arial" w:cs="Arial"/>
          <w:szCs w:val="28"/>
          <w:lang w:val="ru" w:eastAsia="ru-RU"/>
        </w:rPr>
        <w:t xml:space="preserve">Кримінальний процесуальний кодекс України: Закон України від 13 квітня 2012 року № 4651-VI. URL: </w:t>
      </w:r>
      <w:hyperlink r:id="rId2305" w:anchor="Text" w:history="1">
        <w:r w:rsidRPr="00511005">
          <w:rPr>
            <w:rFonts w:ascii="Arial" w:eastAsia="Arial" w:hAnsi="Arial" w:cs="Arial"/>
            <w:szCs w:val="28"/>
            <w:lang w:val="ru" w:eastAsia="ru-RU"/>
          </w:rPr>
          <w:t>https://zakon.rada.gov.ua/laws/show/4651-17#Text</w:t>
        </w:r>
      </w:hyperlink>
      <w:r w:rsidRPr="00511005">
        <w:rPr>
          <w:rFonts w:ascii="Arial" w:eastAsia="Arial" w:hAnsi="Arial" w:cs="Arial"/>
          <w:szCs w:val="28"/>
          <w:lang w:val="ru" w:eastAsia="ru-RU"/>
        </w:rPr>
        <w:t xml:space="preserve">. </w:t>
      </w:r>
    </w:p>
    <w:p w14:paraId="766DA1AD"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ru" w:eastAsia="ru-RU"/>
        </w:rPr>
        <w:t xml:space="preserve">2. Конституція України: Закон України від 28 червня 1996 року № 254к/96-ВР. </w:t>
      </w:r>
      <w:r w:rsidRPr="00511005">
        <w:rPr>
          <w:rFonts w:ascii="Arial" w:eastAsia="Arial" w:hAnsi="Arial" w:cs="Arial"/>
          <w:szCs w:val="28"/>
          <w:lang w:val="pl-PL" w:eastAsia="ru-RU"/>
        </w:rPr>
        <w:t xml:space="preserve">URL: </w:t>
      </w:r>
      <w:hyperlink r:id="rId2306" w:anchor="Text" w:history="1">
        <w:r w:rsidRPr="00511005">
          <w:rPr>
            <w:rFonts w:ascii="Arial" w:eastAsia="Arial" w:hAnsi="Arial" w:cs="Arial"/>
            <w:szCs w:val="28"/>
            <w:lang w:val="pl-PL" w:eastAsia="ru-RU"/>
          </w:rPr>
          <w:t>https://zakon.rada.gov.ua/laws/show/254%D0%BA/96-%D0%B2%D1%80#Text</w:t>
        </w:r>
      </w:hyperlink>
      <w:r w:rsidRPr="00511005">
        <w:rPr>
          <w:rFonts w:ascii="Arial" w:eastAsia="Arial" w:hAnsi="Arial" w:cs="Arial"/>
          <w:szCs w:val="28"/>
          <w:lang w:val="pl-PL" w:eastAsia="ru-RU"/>
        </w:rPr>
        <w:t xml:space="preserve">. </w:t>
      </w:r>
    </w:p>
    <w:p w14:paraId="66E05D29" w14:textId="77777777" w:rsidR="00532C25" w:rsidRPr="00511005" w:rsidRDefault="00532C25" w:rsidP="00532C25">
      <w:pPr>
        <w:spacing w:line="264" w:lineRule="auto"/>
        <w:ind w:firstLine="0"/>
        <w:rPr>
          <w:rFonts w:ascii="Arial" w:eastAsia="Arial" w:hAnsi="Arial" w:cs="Arial"/>
          <w:szCs w:val="28"/>
          <w:lang w:val="ru" w:eastAsia="ru-RU"/>
        </w:rPr>
      </w:pPr>
      <w:r w:rsidRPr="00511005">
        <w:rPr>
          <w:rFonts w:ascii="Arial" w:eastAsia="Arial" w:hAnsi="Arial" w:cs="Arial"/>
          <w:szCs w:val="28"/>
          <w:lang w:val="ru" w:eastAsia="ru-RU"/>
        </w:rPr>
        <w:t xml:space="preserve">3. Європейська конвенція з прав людини (Конвенція про захист прав і основних свобод людини від 04.11.1950). URL: </w:t>
      </w:r>
      <w:hyperlink r:id="rId2307" w:anchor="Text" w:history="1">
        <w:r w:rsidRPr="00511005">
          <w:rPr>
            <w:rFonts w:ascii="Arial" w:eastAsia="Arial" w:hAnsi="Arial" w:cs="Arial"/>
            <w:szCs w:val="28"/>
            <w:lang w:val="ru" w:eastAsia="ru-RU"/>
          </w:rPr>
          <w:t>https://zakon.rada.gov.ua/laws/show/995_004#Text</w:t>
        </w:r>
      </w:hyperlink>
      <w:r w:rsidRPr="00511005">
        <w:rPr>
          <w:rFonts w:ascii="Arial" w:eastAsia="Arial" w:hAnsi="Arial" w:cs="Arial"/>
          <w:szCs w:val="28"/>
          <w:lang w:val="ru" w:eastAsia="ru-RU"/>
        </w:rPr>
        <w:t xml:space="preserve">. </w:t>
      </w:r>
    </w:p>
    <w:p w14:paraId="4862DCB7" w14:textId="77777777" w:rsidR="00532C25" w:rsidRPr="00511005" w:rsidRDefault="00532C25" w:rsidP="00532C25">
      <w:pPr>
        <w:spacing w:line="264" w:lineRule="auto"/>
        <w:ind w:firstLine="0"/>
        <w:rPr>
          <w:rFonts w:ascii="Arial" w:eastAsia="Arial" w:hAnsi="Arial" w:cs="Arial"/>
          <w:szCs w:val="28"/>
          <w:lang w:eastAsia="ru-RU"/>
        </w:rPr>
      </w:pPr>
      <w:r w:rsidRPr="00511005">
        <w:rPr>
          <w:rFonts w:ascii="Arial" w:eastAsia="Arial" w:hAnsi="Arial" w:cs="Arial"/>
          <w:szCs w:val="28"/>
          <w:lang w:val="ru" w:eastAsia="ru-RU"/>
        </w:rPr>
        <w:t xml:space="preserve">4. Солодко Є. </w:t>
      </w:r>
      <w:r w:rsidRPr="00511005">
        <w:rPr>
          <w:rFonts w:ascii="Arial" w:eastAsia="Arial" w:hAnsi="Arial" w:cs="Arial"/>
          <w:bCs/>
          <w:szCs w:val="28"/>
          <w:lang w:val="ru" w:eastAsia="ru-RU"/>
        </w:rPr>
        <w:t xml:space="preserve">Операція провокація. Юридична газета. 2015. </w:t>
      </w:r>
      <w:r w:rsidRPr="00511005">
        <w:rPr>
          <w:rFonts w:ascii="Arial" w:eastAsia="Arial" w:hAnsi="Arial" w:cs="Arial"/>
          <w:szCs w:val="28"/>
          <w:lang w:val="en-US" w:eastAsia="ru-RU"/>
        </w:rPr>
        <w:t>URL</w:t>
      </w:r>
      <w:r w:rsidRPr="00511005">
        <w:rPr>
          <w:rFonts w:ascii="Arial" w:eastAsia="Arial" w:hAnsi="Arial" w:cs="Arial"/>
          <w:szCs w:val="28"/>
          <w:lang w:eastAsia="ru-RU"/>
        </w:rPr>
        <w:t xml:space="preserve"> : </w:t>
      </w:r>
      <w:hyperlink r:id="rId2308" w:history="1">
        <w:r w:rsidRPr="00511005">
          <w:rPr>
            <w:rFonts w:ascii="Arial" w:eastAsia="Arial" w:hAnsi="Arial" w:cs="Arial"/>
            <w:szCs w:val="28"/>
            <w:lang w:val="en-US" w:eastAsia="ru-RU"/>
          </w:rPr>
          <w:t>https</w:t>
        </w:r>
        <w:r w:rsidRPr="00511005">
          <w:rPr>
            <w:rFonts w:ascii="Arial" w:eastAsia="Arial" w:hAnsi="Arial" w:cs="Arial"/>
            <w:szCs w:val="28"/>
            <w:lang w:eastAsia="ru-RU"/>
          </w:rPr>
          <w:t>://</w:t>
        </w:r>
        <w:r w:rsidRPr="00511005">
          <w:rPr>
            <w:rFonts w:ascii="Arial" w:eastAsia="Arial" w:hAnsi="Arial" w:cs="Arial"/>
            <w:szCs w:val="28"/>
            <w:lang w:val="en-US" w:eastAsia="ru-RU"/>
          </w:rPr>
          <w:t>yur</w:t>
        </w:r>
        <w:r w:rsidRPr="00511005">
          <w:rPr>
            <w:rFonts w:ascii="Arial" w:eastAsia="Arial" w:hAnsi="Arial" w:cs="Arial"/>
            <w:szCs w:val="28"/>
            <w:lang w:eastAsia="ru-RU"/>
          </w:rPr>
          <w:t>-</w:t>
        </w:r>
        <w:r w:rsidRPr="00511005">
          <w:rPr>
            <w:rFonts w:ascii="Arial" w:eastAsia="Arial" w:hAnsi="Arial" w:cs="Arial"/>
            <w:szCs w:val="28"/>
            <w:lang w:val="en-US" w:eastAsia="ru-RU"/>
          </w:rPr>
          <w:t>gazeta</w:t>
        </w:r>
        <w:r w:rsidRPr="00511005">
          <w:rPr>
            <w:rFonts w:ascii="Arial" w:eastAsia="Arial" w:hAnsi="Arial" w:cs="Arial"/>
            <w:szCs w:val="28"/>
            <w:lang w:eastAsia="ru-RU"/>
          </w:rPr>
          <w:t>.</w:t>
        </w:r>
        <w:r w:rsidRPr="00511005">
          <w:rPr>
            <w:rFonts w:ascii="Arial" w:eastAsia="Arial" w:hAnsi="Arial" w:cs="Arial"/>
            <w:szCs w:val="28"/>
            <w:lang w:val="en-US" w:eastAsia="ru-RU"/>
          </w:rPr>
          <w:t>com</w:t>
        </w:r>
        <w:r w:rsidRPr="00511005">
          <w:rPr>
            <w:rFonts w:ascii="Arial" w:eastAsia="Arial" w:hAnsi="Arial" w:cs="Arial"/>
            <w:szCs w:val="28"/>
            <w:lang w:eastAsia="ru-RU"/>
          </w:rPr>
          <w:t>/</w:t>
        </w:r>
        <w:r w:rsidRPr="00511005">
          <w:rPr>
            <w:rFonts w:ascii="Arial" w:eastAsia="Arial" w:hAnsi="Arial" w:cs="Arial"/>
            <w:szCs w:val="28"/>
            <w:lang w:val="en-US" w:eastAsia="ru-RU"/>
          </w:rPr>
          <w:t>publications</w:t>
        </w:r>
        <w:r w:rsidRPr="00511005">
          <w:rPr>
            <w:rFonts w:ascii="Arial" w:eastAsia="Arial" w:hAnsi="Arial" w:cs="Arial"/>
            <w:szCs w:val="28"/>
            <w:lang w:eastAsia="ru-RU"/>
          </w:rPr>
          <w:t>/</w:t>
        </w:r>
        <w:r w:rsidRPr="00511005">
          <w:rPr>
            <w:rFonts w:ascii="Arial" w:eastAsia="Arial" w:hAnsi="Arial" w:cs="Arial"/>
            <w:szCs w:val="28"/>
            <w:lang w:val="en-US" w:eastAsia="ru-RU"/>
          </w:rPr>
          <w:t>practice</w:t>
        </w:r>
        <w:r w:rsidRPr="00511005">
          <w:rPr>
            <w:rFonts w:ascii="Arial" w:eastAsia="Arial" w:hAnsi="Arial" w:cs="Arial"/>
            <w:szCs w:val="28"/>
            <w:lang w:eastAsia="ru-RU"/>
          </w:rPr>
          <w:t>/</w:t>
        </w:r>
        <w:r w:rsidRPr="00511005">
          <w:rPr>
            <w:rFonts w:ascii="Arial" w:eastAsia="Arial" w:hAnsi="Arial" w:cs="Arial"/>
            <w:szCs w:val="28"/>
            <w:lang w:val="en-US" w:eastAsia="ru-RU"/>
          </w:rPr>
          <w:t>kriminalne</w:t>
        </w:r>
        <w:r w:rsidRPr="00511005">
          <w:rPr>
            <w:rFonts w:ascii="Arial" w:eastAsia="Arial" w:hAnsi="Arial" w:cs="Arial"/>
            <w:szCs w:val="28"/>
            <w:lang w:eastAsia="ru-RU"/>
          </w:rPr>
          <w:t>-</w:t>
        </w:r>
        <w:r w:rsidRPr="00511005">
          <w:rPr>
            <w:rFonts w:ascii="Arial" w:eastAsia="Arial" w:hAnsi="Arial" w:cs="Arial"/>
            <w:szCs w:val="28"/>
            <w:lang w:val="en-US" w:eastAsia="ru-RU"/>
          </w:rPr>
          <w:t>pravotaproces</w:t>
        </w:r>
        <w:r w:rsidRPr="00511005">
          <w:rPr>
            <w:rFonts w:ascii="Arial" w:eastAsia="Arial" w:hAnsi="Arial" w:cs="Arial"/>
            <w:szCs w:val="28"/>
            <w:lang w:eastAsia="ru-RU"/>
          </w:rPr>
          <w:t>/</w:t>
        </w:r>
        <w:r w:rsidRPr="00511005">
          <w:rPr>
            <w:rFonts w:ascii="Arial" w:eastAsia="Arial" w:hAnsi="Arial" w:cs="Arial"/>
            <w:szCs w:val="28"/>
            <w:lang w:val="en-US" w:eastAsia="ru-RU"/>
          </w:rPr>
          <w:t>operaciyaprovokaciya</w:t>
        </w:r>
        <w:r w:rsidRPr="00511005">
          <w:rPr>
            <w:rFonts w:ascii="Arial" w:eastAsia="Arial" w:hAnsi="Arial" w:cs="Arial"/>
            <w:szCs w:val="28"/>
            <w:lang w:eastAsia="ru-RU"/>
          </w:rPr>
          <w:t>.</w:t>
        </w:r>
        <w:r w:rsidRPr="00511005">
          <w:rPr>
            <w:rFonts w:ascii="Arial" w:eastAsia="Arial" w:hAnsi="Arial" w:cs="Arial"/>
            <w:szCs w:val="28"/>
            <w:lang w:val="en-US" w:eastAsia="ru-RU"/>
          </w:rPr>
          <w:t>html</w:t>
        </w:r>
      </w:hyperlink>
      <w:r w:rsidRPr="00511005">
        <w:rPr>
          <w:rFonts w:ascii="Arial" w:eastAsia="Arial" w:hAnsi="Arial" w:cs="Arial"/>
          <w:szCs w:val="28"/>
          <w:lang w:val="ru" w:eastAsia="ru-RU"/>
        </w:rPr>
        <w:t xml:space="preserve">. </w:t>
      </w:r>
    </w:p>
    <w:p w14:paraId="13BA24C3" w14:textId="77777777" w:rsidR="00532C25" w:rsidRPr="00511005" w:rsidRDefault="00532C25" w:rsidP="00532C25">
      <w:pPr>
        <w:spacing w:line="264" w:lineRule="auto"/>
        <w:ind w:firstLine="0"/>
        <w:rPr>
          <w:rFonts w:ascii="Arial" w:eastAsia="Arial" w:hAnsi="Arial" w:cs="Arial"/>
          <w:szCs w:val="28"/>
          <w:lang w:val="ru" w:eastAsia="ru-RU"/>
        </w:rPr>
      </w:pPr>
      <w:r w:rsidRPr="00511005">
        <w:rPr>
          <w:rFonts w:ascii="Arial" w:eastAsia="Arial" w:hAnsi="Arial" w:cs="Arial"/>
          <w:szCs w:val="28"/>
          <w:lang w:eastAsia="ru-RU"/>
        </w:rPr>
        <w:t xml:space="preserve">5. </w:t>
      </w:r>
      <w:r w:rsidRPr="00511005">
        <w:rPr>
          <w:rFonts w:ascii="Arial" w:eastAsia="Arial" w:hAnsi="Arial" w:cs="Arial"/>
          <w:szCs w:val="28"/>
          <w:lang w:val="ru" w:eastAsia="ru-RU"/>
        </w:rPr>
        <w:t xml:space="preserve">Справа «Ваньян проти Росії» </w:t>
      </w:r>
      <w:r w:rsidRPr="00511005">
        <w:rPr>
          <w:rFonts w:ascii="Arial" w:eastAsia="Arial" w:hAnsi="Arial" w:cs="Arial"/>
          <w:szCs w:val="28"/>
          <w:shd w:val="clear" w:color="auto" w:fill="FFFFFF"/>
          <w:lang w:val="ru" w:eastAsia="ru-RU"/>
        </w:rPr>
        <w:t xml:space="preserve">№53203/99. Рішення ЄСПЛ від 15.12.2005 р. </w:t>
      </w:r>
      <w:proofErr w:type="gramStart"/>
      <w:r w:rsidRPr="00511005">
        <w:rPr>
          <w:rFonts w:ascii="Arial" w:eastAsia="Arial" w:hAnsi="Arial" w:cs="Arial"/>
          <w:szCs w:val="28"/>
          <w:lang w:val="en-US" w:eastAsia="ru-RU"/>
        </w:rPr>
        <w:t>URL</w:t>
      </w:r>
      <w:r w:rsidRPr="00511005">
        <w:rPr>
          <w:rFonts w:ascii="Arial" w:eastAsia="Arial" w:hAnsi="Arial" w:cs="Arial"/>
          <w:szCs w:val="28"/>
          <w:lang w:val="ru" w:eastAsia="ru-RU"/>
        </w:rPr>
        <w:t xml:space="preserve"> :</w:t>
      </w:r>
      <w:proofErr w:type="gramEnd"/>
      <w:r w:rsidRPr="00511005">
        <w:rPr>
          <w:rFonts w:ascii="Arial" w:eastAsia="Arial" w:hAnsi="Arial" w:cs="Arial"/>
          <w:szCs w:val="28"/>
          <w:lang w:val="ru" w:eastAsia="ru-RU"/>
        </w:rPr>
        <w:t xml:space="preserve"> </w:t>
      </w:r>
      <w:hyperlink r:id="rId2309" w:history="1">
        <w:r w:rsidRPr="00511005">
          <w:rPr>
            <w:rFonts w:ascii="Arial" w:eastAsia="Arial" w:hAnsi="Arial" w:cs="Arial"/>
            <w:szCs w:val="28"/>
            <w:lang w:val="ru" w:eastAsia="ru-RU"/>
          </w:rPr>
          <w:t>https://surli.cc/kkxgmb</w:t>
        </w:r>
      </w:hyperlink>
      <w:r w:rsidRPr="00511005">
        <w:rPr>
          <w:rFonts w:ascii="Arial" w:eastAsia="Arial" w:hAnsi="Arial" w:cs="Arial"/>
          <w:szCs w:val="28"/>
          <w:lang w:val="uk-UA" w:eastAsia="ru-RU"/>
        </w:rPr>
        <w:t xml:space="preserve">. </w:t>
      </w:r>
    </w:p>
    <w:p w14:paraId="6720FCDE" w14:textId="77777777" w:rsidR="00532C25" w:rsidRPr="00511005" w:rsidRDefault="00532C25" w:rsidP="00532C25">
      <w:pPr>
        <w:spacing w:line="264" w:lineRule="auto"/>
        <w:ind w:firstLine="0"/>
        <w:rPr>
          <w:rFonts w:ascii="Arial" w:eastAsia="Arial" w:hAnsi="Arial" w:cs="Arial"/>
          <w:szCs w:val="28"/>
          <w:lang w:val="ru" w:eastAsia="ru-RU"/>
        </w:rPr>
      </w:pPr>
      <w:r w:rsidRPr="00511005">
        <w:rPr>
          <w:rFonts w:ascii="Arial" w:eastAsia="Arial" w:hAnsi="Arial" w:cs="Arial"/>
          <w:szCs w:val="28"/>
          <w:lang w:val="uk-UA" w:eastAsia="ru-RU"/>
        </w:rPr>
        <w:t xml:space="preserve">6. </w:t>
      </w:r>
      <w:r w:rsidRPr="00511005">
        <w:rPr>
          <w:rFonts w:ascii="Arial" w:eastAsia="Arial" w:hAnsi="Arial" w:cs="Arial"/>
          <w:szCs w:val="28"/>
          <w:lang w:val="ru" w:eastAsia="ru-RU"/>
        </w:rPr>
        <w:t xml:space="preserve">Справа «Худобін проти Росії» (Khudobin v. Russia) №59696/00. </w:t>
      </w:r>
      <w:r w:rsidRPr="00511005">
        <w:rPr>
          <w:rFonts w:ascii="Arial" w:eastAsia="Arial" w:hAnsi="Arial" w:cs="Arial"/>
          <w:szCs w:val="28"/>
          <w:shd w:val="clear" w:color="auto" w:fill="FFFFFF"/>
          <w:lang w:val="ru" w:eastAsia="ru-RU"/>
        </w:rPr>
        <w:t>Рішення ЄСПЛ</w:t>
      </w:r>
      <w:r w:rsidRPr="00511005">
        <w:rPr>
          <w:rFonts w:ascii="Arial" w:eastAsia="Arial" w:hAnsi="Arial" w:cs="Arial"/>
          <w:szCs w:val="28"/>
          <w:lang w:val="ru" w:eastAsia="ru-RU"/>
        </w:rPr>
        <w:t xml:space="preserve"> від 26.10.2006 р. </w:t>
      </w:r>
      <w:proofErr w:type="gramStart"/>
      <w:r w:rsidRPr="00511005">
        <w:rPr>
          <w:rFonts w:ascii="Arial" w:eastAsia="Arial" w:hAnsi="Arial" w:cs="Arial"/>
          <w:szCs w:val="28"/>
          <w:lang w:val="en-US" w:eastAsia="ru-RU"/>
        </w:rPr>
        <w:t>URL</w:t>
      </w:r>
      <w:r w:rsidRPr="00511005">
        <w:rPr>
          <w:rFonts w:ascii="Arial" w:eastAsia="Arial" w:hAnsi="Arial" w:cs="Arial"/>
          <w:szCs w:val="28"/>
          <w:lang w:val="ru" w:eastAsia="ru-RU"/>
        </w:rPr>
        <w:t xml:space="preserve"> :</w:t>
      </w:r>
      <w:proofErr w:type="gramEnd"/>
      <w:r w:rsidRPr="00511005">
        <w:rPr>
          <w:rFonts w:ascii="Arial" w:eastAsia="Arial" w:hAnsi="Arial" w:cs="Arial"/>
          <w:szCs w:val="28"/>
          <w:lang w:val="ru" w:eastAsia="ru-RU"/>
        </w:rPr>
        <w:t xml:space="preserve"> </w:t>
      </w:r>
      <w:hyperlink r:id="rId2310" w:history="1">
        <w:r w:rsidRPr="00511005">
          <w:rPr>
            <w:rFonts w:ascii="Arial" w:eastAsia="Arial" w:hAnsi="Arial" w:cs="Arial"/>
            <w:szCs w:val="28"/>
            <w:lang w:val="ru" w:eastAsia="ru-RU"/>
          </w:rPr>
          <w:t>https://ips.ligazakon.net/document/SO4867</w:t>
        </w:r>
      </w:hyperlink>
      <w:r w:rsidRPr="00511005">
        <w:rPr>
          <w:rFonts w:ascii="Arial" w:eastAsia="Arial" w:hAnsi="Arial" w:cs="Arial"/>
          <w:szCs w:val="28"/>
          <w:lang w:val="ru" w:eastAsia="ru-RU"/>
        </w:rPr>
        <w:t xml:space="preserve"> </w:t>
      </w:r>
    </w:p>
    <w:p w14:paraId="7791BB0B" w14:textId="77777777" w:rsidR="00532C25" w:rsidRPr="00511005" w:rsidRDefault="00532C25" w:rsidP="00532C25">
      <w:pPr>
        <w:spacing w:line="264" w:lineRule="auto"/>
        <w:ind w:firstLine="0"/>
        <w:rPr>
          <w:rFonts w:ascii="Arial" w:eastAsia="Arial" w:hAnsi="Arial" w:cs="Arial"/>
          <w:szCs w:val="28"/>
          <w:lang w:val="ru" w:eastAsia="ru-RU"/>
        </w:rPr>
      </w:pPr>
      <w:r w:rsidRPr="00511005">
        <w:rPr>
          <w:rFonts w:ascii="Arial" w:eastAsia="Arial" w:hAnsi="Arial" w:cs="Arial"/>
          <w:szCs w:val="28"/>
          <w:lang w:val="uk-UA" w:eastAsia="ru-RU"/>
        </w:rPr>
        <w:t xml:space="preserve">7. </w:t>
      </w:r>
      <w:r w:rsidRPr="00511005">
        <w:rPr>
          <w:rFonts w:ascii="Arial" w:eastAsia="Arial" w:hAnsi="Arial" w:cs="Arial"/>
          <w:szCs w:val="28"/>
          <w:lang w:val="ru" w:eastAsia="ru-RU"/>
        </w:rPr>
        <w:t xml:space="preserve">Справа «Биков проти Росії» №4378/02. </w:t>
      </w:r>
      <w:r w:rsidRPr="00511005">
        <w:rPr>
          <w:rFonts w:ascii="Arial" w:eastAsia="Arial" w:hAnsi="Arial" w:cs="Arial"/>
          <w:szCs w:val="28"/>
          <w:shd w:val="clear" w:color="auto" w:fill="FFFFFF"/>
          <w:lang w:val="ru" w:eastAsia="ru-RU"/>
        </w:rPr>
        <w:t>Рішення ЄСПЛ</w:t>
      </w:r>
      <w:r w:rsidRPr="00511005">
        <w:rPr>
          <w:rFonts w:ascii="Arial" w:eastAsia="Arial" w:hAnsi="Arial" w:cs="Arial"/>
          <w:szCs w:val="28"/>
          <w:lang w:val="ru" w:eastAsia="ru-RU"/>
        </w:rPr>
        <w:t xml:space="preserve"> від 10.03.2009 р. </w:t>
      </w:r>
      <w:proofErr w:type="gramStart"/>
      <w:r w:rsidRPr="00511005">
        <w:rPr>
          <w:rFonts w:ascii="Arial" w:eastAsia="Arial" w:hAnsi="Arial" w:cs="Arial"/>
          <w:szCs w:val="28"/>
          <w:lang w:val="en-US" w:eastAsia="ru-RU"/>
        </w:rPr>
        <w:t>URL</w:t>
      </w:r>
      <w:r w:rsidRPr="00511005">
        <w:rPr>
          <w:rFonts w:ascii="Arial" w:eastAsia="Arial" w:hAnsi="Arial" w:cs="Arial"/>
          <w:szCs w:val="28"/>
          <w:lang w:val="ru" w:eastAsia="ru-RU"/>
        </w:rPr>
        <w:t xml:space="preserve"> :</w:t>
      </w:r>
      <w:proofErr w:type="gramEnd"/>
      <w:r w:rsidRPr="00511005">
        <w:rPr>
          <w:rFonts w:ascii="Arial" w:eastAsia="Arial" w:hAnsi="Arial" w:cs="Arial"/>
          <w:szCs w:val="28"/>
          <w:lang w:val="ru" w:eastAsia="ru-RU"/>
        </w:rPr>
        <w:t xml:space="preserve"> </w:t>
      </w:r>
      <w:hyperlink r:id="rId2311" w:history="1">
        <w:r w:rsidRPr="00511005">
          <w:rPr>
            <w:rFonts w:ascii="Arial" w:eastAsia="Arial" w:hAnsi="Arial" w:cs="Arial"/>
            <w:szCs w:val="28"/>
            <w:lang w:val="ru" w:eastAsia="ru-RU"/>
          </w:rPr>
          <w:t>https://surl.lu/erpimh</w:t>
        </w:r>
      </w:hyperlink>
      <w:r w:rsidRPr="00511005">
        <w:rPr>
          <w:rFonts w:ascii="Arial" w:eastAsia="Arial" w:hAnsi="Arial" w:cs="Arial"/>
          <w:szCs w:val="28"/>
          <w:lang w:val="uk-UA" w:eastAsia="ru-RU"/>
        </w:rPr>
        <w:t xml:space="preserve">. </w:t>
      </w:r>
    </w:p>
    <w:p w14:paraId="2CC19281" w14:textId="77777777" w:rsidR="00532C25" w:rsidRPr="00511005" w:rsidRDefault="00532C25" w:rsidP="00532C25">
      <w:pPr>
        <w:spacing w:line="264" w:lineRule="auto"/>
        <w:ind w:firstLine="0"/>
        <w:rPr>
          <w:rFonts w:ascii="Arial" w:eastAsia="Arial" w:hAnsi="Arial" w:cs="Arial"/>
          <w:szCs w:val="28"/>
          <w:lang w:val="ru" w:eastAsia="ru-RU"/>
        </w:rPr>
      </w:pPr>
      <w:r w:rsidRPr="00511005">
        <w:rPr>
          <w:rFonts w:ascii="Arial" w:eastAsia="Arial" w:hAnsi="Arial" w:cs="Arial"/>
          <w:szCs w:val="28"/>
          <w:lang w:val="uk-UA" w:eastAsia="ru-RU"/>
        </w:rPr>
        <w:t xml:space="preserve">8. </w:t>
      </w:r>
      <w:r w:rsidRPr="00511005">
        <w:rPr>
          <w:rFonts w:ascii="Arial" w:eastAsia="Arial" w:hAnsi="Arial" w:cs="Arial"/>
          <w:szCs w:val="28"/>
          <w:lang w:val="ru" w:eastAsia="ru-RU"/>
        </w:rPr>
        <w:t xml:space="preserve">Справа «Раманаускас проти Литви» №55146/14. </w:t>
      </w:r>
      <w:r w:rsidRPr="00511005">
        <w:rPr>
          <w:rFonts w:ascii="Arial" w:eastAsia="Arial" w:hAnsi="Arial" w:cs="Arial"/>
          <w:szCs w:val="28"/>
          <w:shd w:val="clear" w:color="auto" w:fill="FFFFFF"/>
          <w:lang w:val="ru" w:eastAsia="ru-RU"/>
        </w:rPr>
        <w:t>Рішення ЄСПЛ</w:t>
      </w:r>
      <w:r w:rsidRPr="00511005">
        <w:rPr>
          <w:rFonts w:ascii="Arial" w:eastAsia="Arial" w:hAnsi="Arial" w:cs="Arial"/>
          <w:szCs w:val="28"/>
          <w:lang w:val="ru" w:eastAsia="ru-RU"/>
        </w:rPr>
        <w:t xml:space="preserve"> від 05.02.2008 р. </w:t>
      </w:r>
      <w:proofErr w:type="gramStart"/>
      <w:r w:rsidRPr="00511005">
        <w:rPr>
          <w:rFonts w:ascii="Arial" w:eastAsia="Arial" w:hAnsi="Arial" w:cs="Arial"/>
          <w:szCs w:val="28"/>
          <w:lang w:val="en-US" w:eastAsia="ru-RU"/>
        </w:rPr>
        <w:t>URL</w:t>
      </w:r>
      <w:r w:rsidRPr="00511005">
        <w:rPr>
          <w:rFonts w:ascii="Arial" w:eastAsia="Arial" w:hAnsi="Arial" w:cs="Arial"/>
          <w:szCs w:val="28"/>
          <w:lang w:val="ru" w:eastAsia="ru-RU"/>
        </w:rPr>
        <w:t xml:space="preserve"> :</w:t>
      </w:r>
      <w:proofErr w:type="gramEnd"/>
      <w:r w:rsidRPr="00511005">
        <w:rPr>
          <w:rFonts w:ascii="Arial" w:eastAsia="Arial" w:hAnsi="Arial" w:cs="Arial"/>
          <w:szCs w:val="28"/>
          <w:lang w:val="ru" w:eastAsia="ru-RU"/>
        </w:rPr>
        <w:t xml:space="preserve"> </w:t>
      </w:r>
      <w:hyperlink r:id="rId2312" w:history="1">
        <w:r w:rsidRPr="00511005">
          <w:rPr>
            <w:rFonts w:ascii="Arial" w:eastAsia="Arial" w:hAnsi="Arial" w:cs="Arial"/>
            <w:szCs w:val="28"/>
            <w:lang w:val="ru" w:eastAsia="ru-RU"/>
          </w:rPr>
          <w:t>https://ips.ligazakon.net/document/SO5138</w:t>
        </w:r>
      </w:hyperlink>
      <w:r w:rsidRPr="00511005">
        <w:rPr>
          <w:rFonts w:ascii="Arial" w:eastAsia="Arial" w:hAnsi="Arial" w:cs="Arial"/>
          <w:szCs w:val="28"/>
          <w:lang w:val="ru" w:eastAsia="ru-RU"/>
        </w:rPr>
        <w:t xml:space="preserve">. </w:t>
      </w:r>
    </w:p>
    <w:p w14:paraId="191E1BEF" w14:textId="77777777" w:rsidR="00532C25" w:rsidRPr="00511005" w:rsidRDefault="00532C25" w:rsidP="00532C25">
      <w:pPr>
        <w:spacing w:line="264" w:lineRule="auto"/>
        <w:ind w:firstLine="0"/>
        <w:rPr>
          <w:rFonts w:ascii="Arial" w:eastAsia="Arial" w:hAnsi="Arial" w:cs="Arial"/>
          <w:szCs w:val="28"/>
          <w:lang w:val="uk-UA" w:eastAsia="ru-RU"/>
        </w:rPr>
      </w:pPr>
    </w:p>
    <w:p w14:paraId="332254BA"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b/>
          <w:i/>
          <w:szCs w:val="28"/>
          <w:lang w:val="uk-UA" w:eastAsia="ru-RU"/>
        </w:rPr>
        <w:t xml:space="preserve">Ключові слова: </w:t>
      </w:r>
      <w:r w:rsidRPr="00511005">
        <w:rPr>
          <w:rFonts w:ascii="Arial" w:eastAsia="Arial" w:hAnsi="Arial" w:cs="Arial"/>
          <w:szCs w:val="28"/>
          <w:lang w:val="uk-UA" w:eastAsia="ru-RU"/>
        </w:rPr>
        <w:t>негласні слідчі (розшукові) дії, заборонені методи слідства, провокація злочину, обман у кримінальному провадженні, практика ЄСПЛ, допустимість доказів, правові гарантії, баланс інтересів.</w:t>
      </w:r>
    </w:p>
    <w:p w14:paraId="47192030"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b/>
          <w:i/>
          <w:szCs w:val="28"/>
          <w:lang w:val="en-US" w:eastAsia="ru-RU"/>
        </w:rPr>
        <w:lastRenderedPageBreak/>
        <w:t xml:space="preserve">Key words: </w:t>
      </w:r>
      <w:r w:rsidRPr="00511005">
        <w:rPr>
          <w:rFonts w:ascii="Arial" w:eastAsia="Arial" w:hAnsi="Arial" w:cs="Arial"/>
          <w:szCs w:val="28"/>
          <w:lang w:val="en-US" w:eastAsia="ru-RU"/>
        </w:rPr>
        <w:t>covert investigative (search) actions, prohibited investigative methods, provocation of a crime, deception in criminal proceedings, ECHR practice, admissibility of evidence, legal guarantees, balance of interests.</w:t>
      </w:r>
    </w:p>
    <w:p w14:paraId="29F4A941" w14:textId="77777777" w:rsidR="00532C25" w:rsidRPr="00511005" w:rsidRDefault="00532C25" w:rsidP="00532C25">
      <w:pPr>
        <w:spacing w:line="264" w:lineRule="auto"/>
        <w:ind w:firstLine="708"/>
        <w:rPr>
          <w:rFonts w:ascii="Arial" w:eastAsia="Arial" w:hAnsi="Arial" w:cs="Arial"/>
          <w:i/>
          <w:szCs w:val="28"/>
          <w:lang w:val="uk-UA" w:eastAsia="ru-RU"/>
        </w:rPr>
      </w:pPr>
      <w:r w:rsidRPr="00511005">
        <w:rPr>
          <w:rFonts w:ascii="Arial" w:eastAsia="Arial" w:hAnsi="Arial" w:cs="Arial"/>
          <w:b/>
          <w:i/>
          <w:szCs w:val="28"/>
          <w:lang w:val="uk-UA" w:eastAsia="ru-RU"/>
        </w:rPr>
        <w:t xml:space="preserve">Науковий керівник: </w:t>
      </w:r>
      <w:r w:rsidRPr="00511005">
        <w:rPr>
          <w:rFonts w:ascii="Arial" w:eastAsia="Arial" w:hAnsi="Arial" w:cs="Arial"/>
          <w:i/>
          <w:szCs w:val="28"/>
          <w:lang w:val="uk-UA" w:eastAsia="ru-RU"/>
        </w:rPr>
        <w:t xml:space="preserve">к.ю.н., доцент </w:t>
      </w:r>
      <w:r w:rsidRPr="00511005">
        <w:rPr>
          <w:rFonts w:ascii="Arial" w:eastAsia="Arial" w:hAnsi="Arial" w:cs="Arial"/>
          <w:bCs/>
          <w:i/>
          <w:szCs w:val="28"/>
          <w:lang w:val="ru" w:eastAsia="ru-RU"/>
        </w:rPr>
        <w:t>Стоянов</w:t>
      </w:r>
      <w:r w:rsidRPr="00511005">
        <w:rPr>
          <w:rFonts w:ascii="Arial" w:eastAsia="Arial" w:hAnsi="Arial" w:cs="Arial"/>
          <w:i/>
          <w:szCs w:val="28"/>
          <w:lang w:val="ru" w:eastAsia="ru-RU"/>
        </w:rPr>
        <w:t> </w:t>
      </w:r>
      <w:r w:rsidRPr="00511005">
        <w:rPr>
          <w:rFonts w:ascii="Arial" w:eastAsia="Arial" w:hAnsi="Arial" w:cs="Arial"/>
          <w:i/>
          <w:szCs w:val="28"/>
          <w:lang w:val="uk-UA" w:eastAsia="ru-RU"/>
        </w:rPr>
        <w:t>М.М.</w:t>
      </w:r>
    </w:p>
    <w:p w14:paraId="2A0DF7F5" w14:textId="77777777" w:rsidR="00532C25" w:rsidRPr="00511005" w:rsidRDefault="00532C25" w:rsidP="00532C25">
      <w:pPr>
        <w:spacing w:line="264" w:lineRule="auto"/>
        <w:ind w:left="360" w:firstLine="360"/>
        <w:rPr>
          <w:rFonts w:ascii="Arial" w:eastAsia="Arial" w:hAnsi="Arial" w:cs="Arial"/>
          <w:szCs w:val="28"/>
          <w:lang w:val="uk-UA" w:eastAsia="ru-RU"/>
        </w:rPr>
      </w:pPr>
    </w:p>
    <w:p w14:paraId="74EE4792" w14:textId="77777777" w:rsidR="00532C25" w:rsidRPr="00511005" w:rsidRDefault="00532C25" w:rsidP="00532C25">
      <w:pPr>
        <w:spacing w:line="264" w:lineRule="auto"/>
        <w:ind w:left="1134" w:right="1134" w:firstLine="0"/>
        <w:jc w:val="center"/>
        <w:rPr>
          <w:rFonts w:ascii="Arial" w:eastAsia="Calibri" w:hAnsi="Arial" w:cs="Arial"/>
          <w:b/>
          <w:i/>
          <w:szCs w:val="28"/>
          <w:lang w:val="ru" w:eastAsia="ru-RU"/>
        </w:rPr>
      </w:pPr>
      <w:r w:rsidRPr="00511005">
        <w:rPr>
          <w:rFonts w:ascii="Arial" w:eastAsia="Calibri" w:hAnsi="Arial" w:cs="Arial"/>
          <w:b/>
          <w:i/>
          <w:szCs w:val="28"/>
          <w:lang w:val="ru" w:eastAsia="ru-RU"/>
        </w:rPr>
        <w:t>Черняк Андрій Юрійович</w:t>
      </w:r>
    </w:p>
    <w:p w14:paraId="743C9682"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 xml:space="preserve">студент 3-го курсу </w:t>
      </w:r>
    </w:p>
    <w:p w14:paraId="5366FDC6" w14:textId="77777777" w:rsidR="00532C25" w:rsidRPr="00511005" w:rsidRDefault="00532C25" w:rsidP="00532C25">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31227B35" w14:textId="77777777" w:rsidR="00532C25" w:rsidRPr="00511005" w:rsidRDefault="00532C25" w:rsidP="00532C25">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2DD77C6" w14:textId="77777777" w:rsidR="00532C25" w:rsidRPr="00511005" w:rsidRDefault="00532C25" w:rsidP="00532C25">
      <w:pPr>
        <w:spacing w:line="264" w:lineRule="auto"/>
        <w:ind w:firstLine="0"/>
        <w:jc w:val="center"/>
        <w:rPr>
          <w:rFonts w:ascii="Arial" w:eastAsia="Calibri" w:hAnsi="Arial" w:cs="Arial"/>
          <w:bCs/>
          <w:i/>
          <w:szCs w:val="28"/>
          <w:lang w:val="ru" w:eastAsia="ru-RU"/>
        </w:rPr>
      </w:pPr>
    </w:p>
    <w:p w14:paraId="5548A066" w14:textId="77777777" w:rsidR="00532C25" w:rsidRPr="00511005" w:rsidRDefault="00532C25" w:rsidP="00532C25">
      <w:pPr>
        <w:spacing w:line="264" w:lineRule="auto"/>
        <w:ind w:firstLine="0"/>
        <w:jc w:val="center"/>
        <w:rPr>
          <w:rFonts w:ascii="Arial" w:eastAsia="Arial" w:hAnsi="Arial" w:cs="Arial"/>
          <w:szCs w:val="28"/>
          <w:lang w:val="ru" w:eastAsia="ru-RU"/>
        </w:rPr>
      </w:pPr>
      <w:r w:rsidRPr="00511005">
        <w:rPr>
          <w:rFonts w:ascii="Arial" w:eastAsia="Calibri" w:hAnsi="Arial" w:cs="Arial"/>
          <w:b/>
          <w:szCs w:val="28"/>
          <w:lang w:val="ru" w:eastAsia="ru-RU"/>
        </w:rPr>
        <w:t>ДЕЯКІ ПРОБЛЕМНІ АСПЕКТИ ЗАТРИМАННЯ БЕЗ УХВАЛИ СЛІДЧОГО СУДДІ</w:t>
      </w:r>
    </w:p>
    <w:p w14:paraId="5E3E4F1B" w14:textId="77777777" w:rsidR="00532C25" w:rsidRPr="00511005" w:rsidRDefault="00532C25" w:rsidP="00532C25">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Затримання є одним із найбільш поширених на практиці заходів забезпечення у кримінальному провадженні, який нерідко стає початковою точкою в кримінальному процесі. Водночас саме затримання передбачає первинне, суттєве обмеження прав та свобод затриманої особи, які гарантуються не лише КПК України, а й Європейською конвенцією з прав людини. Зважаючи на це, порушення, допущені під час затримання, призводять не лише до недопустимості доказів, а й до відповідальності держави в ЄСПЛ, що й обумовлює актуальність даної теми в сучасних умовах.</w:t>
      </w:r>
    </w:p>
    <w:p w14:paraId="176DA7C9" w14:textId="77777777" w:rsidR="00532C25" w:rsidRPr="00511005" w:rsidRDefault="00532C25" w:rsidP="00532C25">
      <w:pPr>
        <w:widowControl w:val="0"/>
        <w:autoSpaceDE w:val="0"/>
        <w:autoSpaceDN w:val="0"/>
        <w:spacing w:line="264" w:lineRule="auto"/>
        <w:ind w:left="23" w:right="9" w:firstLine="685"/>
        <w:rPr>
          <w:rFonts w:ascii="Arial" w:eastAsia="Times New Roman" w:hAnsi="Arial" w:cs="Arial"/>
          <w:szCs w:val="28"/>
          <w:lang w:val="uk-UA"/>
        </w:rPr>
      </w:pPr>
      <w:r w:rsidRPr="00511005">
        <w:rPr>
          <w:rFonts w:ascii="Arial" w:eastAsia="Times New Roman" w:hAnsi="Arial" w:cs="Arial"/>
          <w:szCs w:val="28"/>
          <w:lang w:val="uk-UA"/>
        </w:rPr>
        <w:t>Кримінально-процесуальне законодавство передбачає два види затримання, а саме:</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затримання</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на</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підставі</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ухвали</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слідчого</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судді</w:t>
      </w:r>
      <w:r w:rsidRPr="00511005">
        <w:rPr>
          <w:rFonts w:ascii="Arial" w:eastAsia="Times New Roman" w:hAnsi="Arial" w:cs="Arial"/>
          <w:spacing w:val="-3"/>
          <w:szCs w:val="28"/>
          <w:lang w:val="uk-UA"/>
        </w:rPr>
        <w:t xml:space="preserve"> </w:t>
      </w:r>
      <w:r w:rsidRPr="00511005">
        <w:rPr>
          <w:rFonts w:ascii="Arial" w:eastAsia="Times New Roman" w:hAnsi="Arial" w:cs="Arial"/>
          <w:szCs w:val="28"/>
          <w:lang w:val="uk-UA"/>
        </w:rPr>
        <w:t>та</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затримання</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без</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ухвали слідчого судді. У даній роботі найбільшу увагу хотілося б приділити останньому виду, оскільки саме такий вид є найпоширенішим у кримінальному провадженні, під час якого виникає найбільше процесуальних помилок.</w:t>
      </w:r>
    </w:p>
    <w:p w14:paraId="64CA8FDA" w14:textId="77777777" w:rsidR="00532C25" w:rsidRPr="00511005" w:rsidRDefault="00532C25" w:rsidP="00532C25">
      <w:pPr>
        <w:widowControl w:val="0"/>
        <w:autoSpaceDE w:val="0"/>
        <w:autoSpaceDN w:val="0"/>
        <w:spacing w:line="264" w:lineRule="auto"/>
        <w:ind w:left="23" w:right="9" w:firstLine="685"/>
        <w:rPr>
          <w:rFonts w:ascii="Arial" w:eastAsia="Times New Roman" w:hAnsi="Arial" w:cs="Arial"/>
          <w:szCs w:val="28"/>
          <w:lang w:val="uk-UA"/>
        </w:rPr>
      </w:pPr>
      <w:r w:rsidRPr="00511005">
        <w:rPr>
          <w:rFonts w:ascii="Arial" w:eastAsia="Times New Roman" w:hAnsi="Arial" w:cs="Arial"/>
          <w:szCs w:val="28"/>
          <w:lang w:val="uk-UA"/>
        </w:rPr>
        <w:t xml:space="preserve">Визначаючи мету затримання без ухвали слідчого судді, слід наголосити, що вона не є сталою і варіюється залежно від фактичних обставин кримінального правопорушення. Зокрема, таке затримання може здійснюватися з метою: 1. Припинення кримінального правопорушення, яке вчиняється. 2. З’ясування причетності особи до вже вчиненого кримінального правопорушення. 3. Забезпечення участі особи у слідчих, процесуальних діях, зокрема у розгляді клопотання про застосування запобіжного заходу. 4. Забезпечення безпеки осіб, які перебувають на місці події. 5. Віднайдення та збереження речових доказів, пов’язаних із вчиненим кримінальним правопорушенням. </w:t>
      </w:r>
    </w:p>
    <w:p w14:paraId="49FD8320" w14:textId="77777777" w:rsidR="00532C25" w:rsidRPr="00511005" w:rsidRDefault="00532C25" w:rsidP="00532C25">
      <w:pPr>
        <w:widowControl w:val="0"/>
        <w:autoSpaceDE w:val="0"/>
        <w:autoSpaceDN w:val="0"/>
        <w:spacing w:line="264" w:lineRule="auto"/>
        <w:ind w:left="23" w:right="7" w:firstLine="685"/>
        <w:rPr>
          <w:rFonts w:ascii="Arial" w:eastAsia="Times New Roman" w:hAnsi="Arial" w:cs="Arial"/>
          <w:szCs w:val="28"/>
          <w:lang w:val="uk-UA"/>
        </w:rPr>
      </w:pPr>
      <w:r w:rsidRPr="00511005">
        <w:rPr>
          <w:rFonts w:ascii="Arial" w:eastAsia="Times New Roman" w:hAnsi="Arial" w:cs="Arial"/>
          <w:szCs w:val="28"/>
          <w:lang w:val="uk-UA"/>
        </w:rPr>
        <w:t>Національне право визначає низку основних критеріїв, коли затримання є обґрунтованим. По-перше, особа може бути затримана при вчиненні або замаху на вчинення кримінального правопорушення; безпосередньо після вчинення кримінального правопорушення [2].</w:t>
      </w:r>
    </w:p>
    <w:p w14:paraId="1D9C2FCE" w14:textId="77777777" w:rsidR="00532C25" w:rsidRPr="00511005" w:rsidRDefault="00532C25" w:rsidP="00532C25">
      <w:pPr>
        <w:widowControl w:val="0"/>
        <w:autoSpaceDE w:val="0"/>
        <w:autoSpaceDN w:val="0"/>
        <w:spacing w:line="264" w:lineRule="auto"/>
        <w:ind w:left="23" w:firstLine="685"/>
        <w:rPr>
          <w:rFonts w:ascii="Arial" w:eastAsia="Times New Roman" w:hAnsi="Arial" w:cs="Arial"/>
          <w:szCs w:val="28"/>
          <w:lang w:val="uk-UA"/>
        </w:rPr>
      </w:pPr>
      <w:r w:rsidRPr="00511005">
        <w:rPr>
          <w:rFonts w:ascii="Arial" w:eastAsia="Times New Roman" w:hAnsi="Arial" w:cs="Arial"/>
          <w:szCs w:val="28"/>
          <w:lang w:val="uk-UA"/>
        </w:rPr>
        <w:t xml:space="preserve">Тобто, затриманню має передувати вчинення злочину. КПК України не </w:t>
      </w:r>
      <w:r w:rsidRPr="00511005">
        <w:rPr>
          <w:rFonts w:ascii="Arial" w:eastAsia="Times New Roman" w:hAnsi="Arial" w:cs="Arial"/>
          <w:szCs w:val="28"/>
          <w:lang w:val="uk-UA"/>
        </w:rPr>
        <w:lastRenderedPageBreak/>
        <w:t>передбачає превентивного затримання.</w:t>
      </w:r>
    </w:p>
    <w:p w14:paraId="0BE2A8C3" w14:textId="77777777" w:rsidR="00532C25" w:rsidRPr="00511005" w:rsidRDefault="00532C25" w:rsidP="00532C25">
      <w:pPr>
        <w:widowControl w:val="0"/>
        <w:autoSpaceDE w:val="0"/>
        <w:autoSpaceDN w:val="0"/>
        <w:spacing w:line="264" w:lineRule="auto"/>
        <w:ind w:left="23" w:right="12" w:firstLine="685"/>
        <w:rPr>
          <w:rFonts w:ascii="Arial" w:eastAsia="Times New Roman" w:hAnsi="Arial" w:cs="Arial"/>
          <w:spacing w:val="-2"/>
          <w:szCs w:val="28"/>
          <w:lang w:val="uk-UA"/>
        </w:rPr>
      </w:pPr>
      <w:r w:rsidRPr="00511005">
        <w:rPr>
          <w:rFonts w:ascii="Arial" w:eastAsia="Times New Roman" w:hAnsi="Arial" w:cs="Arial"/>
          <w:szCs w:val="28"/>
          <w:lang w:val="uk-UA"/>
        </w:rPr>
        <w:t>По-друге,</w:t>
      </w:r>
      <w:r w:rsidRPr="00511005">
        <w:rPr>
          <w:rFonts w:ascii="Arial" w:eastAsia="Times New Roman" w:hAnsi="Arial" w:cs="Arial"/>
          <w:spacing w:val="-4"/>
          <w:szCs w:val="28"/>
          <w:lang w:val="uk-UA"/>
        </w:rPr>
        <w:t xml:space="preserve"> </w:t>
      </w:r>
      <w:r w:rsidRPr="00511005">
        <w:rPr>
          <w:rFonts w:ascii="Arial" w:eastAsia="Times New Roman" w:hAnsi="Arial" w:cs="Arial"/>
          <w:szCs w:val="28"/>
          <w:lang w:val="uk-UA"/>
        </w:rPr>
        <w:t>закон</w:t>
      </w:r>
      <w:r w:rsidRPr="00511005">
        <w:rPr>
          <w:rFonts w:ascii="Arial" w:eastAsia="Times New Roman" w:hAnsi="Arial" w:cs="Arial"/>
          <w:spacing w:val="-3"/>
          <w:szCs w:val="28"/>
          <w:lang w:val="uk-UA"/>
        </w:rPr>
        <w:t xml:space="preserve"> </w:t>
      </w:r>
      <w:r w:rsidRPr="00511005">
        <w:rPr>
          <w:rFonts w:ascii="Arial" w:eastAsia="Times New Roman" w:hAnsi="Arial" w:cs="Arial"/>
          <w:szCs w:val="28"/>
          <w:lang w:val="uk-UA"/>
        </w:rPr>
        <w:t>не</w:t>
      </w:r>
      <w:r w:rsidRPr="00511005">
        <w:rPr>
          <w:rFonts w:ascii="Arial" w:eastAsia="Times New Roman" w:hAnsi="Arial" w:cs="Arial"/>
          <w:spacing w:val="-3"/>
          <w:szCs w:val="28"/>
          <w:lang w:val="uk-UA"/>
        </w:rPr>
        <w:t xml:space="preserve"> </w:t>
      </w:r>
      <w:r w:rsidRPr="00511005">
        <w:rPr>
          <w:rFonts w:ascii="Arial" w:eastAsia="Times New Roman" w:hAnsi="Arial" w:cs="Arial"/>
          <w:szCs w:val="28"/>
          <w:lang w:val="uk-UA"/>
        </w:rPr>
        <w:t>ставить</w:t>
      </w:r>
      <w:r w:rsidRPr="00511005">
        <w:rPr>
          <w:rFonts w:ascii="Arial" w:eastAsia="Times New Roman" w:hAnsi="Arial" w:cs="Arial"/>
          <w:spacing w:val="-4"/>
          <w:szCs w:val="28"/>
          <w:lang w:val="uk-UA"/>
        </w:rPr>
        <w:t xml:space="preserve"> </w:t>
      </w:r>
      <w:r w:rsidRPr="00511005">
        <w:rPr>
          <w:rFonts w:ascii="Arial" w:eastAsia="Times New Roman" w:hAnsi="Arial" w:cs="Arial"/>
          <w:szCs w:val="28"/>
          <w:lang w:val="uk-UA"/>
        </w:rPr>
        <w:t>перед</w:t>
      </w:r>
      <w:r w:rsidRPr="00511005">
        <w:rPr>
          <w:rFonts w:ascii="Arial" w:eastAsia="Times New Roman" w:hAnsi="Arial" w:cs="Arial"/>
          <w:spacing w:val="-2"/>
          <w:szCs w:val="28"/>
          <w:lang w:val="uk-UA"/>
        </w:rPr>
        <w:t xml:space="preserve"> </w:t>
      </w:r>
      <w:r w:rsidRPr="00511005">
        <w:rPr>
          <w:rFonts w:ascii="Arial" w:eastAsia="Times New Roman" w:hAnsi="Arial" w:cs="Arial"/>
          <w:szCs w:val="28"/>
          <w:lang w:val="uk-UA"/>
        </w:rPr>
        <w:t>поліцейським</w:t>
      </w:r>
      <w:r w:rsidRPr="00511005">
        <w:rPr>
          <w:rFonts w:ascii="Arial" w:eastAsia="Times New Roman" w:hAnsi="Arial" w:cs="Arial"/>
          <w:spacing w:val="-3"/>
          <w:szCs w:val="28"/>
          <w:lang w:val="uk-UA"/>
        </w:rPr>
        <w:t xml:space="preserve"> </w:t>
      </w:r>
      <w:r w:rsidRPr="00511005">
        <w:rPr>
          <w:rFonts w:ascii="Arial" w:eastAsia="Times New Roman" w:hAnsi="Arial" w:cs="Arial"/>
          <w:szCs w:val="28"/>
          <w:lang w:val="uk-UA"/>
        </w:rPr>
        <w:t>вимоги</w:t>
      </w:r>
      <w:r w:rsidRPr="00511005">
        <w:rPr>
          <w:rFonts w:ascii="Arial" w:eastAsia="Times New Roman" w:hAnsi="Arial" w:cs="Arial"/>
          <w:spacing w:val="-3"/>
          <w:szCs w:val="28"/>
          <w:lang w:val="uk-UA"/>
        </w:rPr>
        <w:t xml:space="preserve"> </w:t>
      </w:r>
      <w:r w:rsidRPr="00511005">
        <w:rPr>
          <w:rFonts w:ascii="Arial" w:eastAsia="Times New Roman" w:hAnsi="Arial" w:cs="Arial"/>
          <w:szCs w:val="28"/>
          <w:lang w:val="uk-UA"/>
        </w:rPr>
        <w:t>вже</w:t>
      </w:r>
      <w:r w:rsidRPr="00511005">
        <w:rPr>
          <w:rFonts w:ascii="Arial" w:eastAsia="Times New Roman" w:hAnsi="Arial" w:cs="Arial"/>
          <w:spacing w:val="-3"/>
          <w:szCs w:val="28"/>
          <w:lang w:val="uk-UA"/>
        </w:rPr>
        <w:t xml:space="preserve"> </w:t>
      </w:r>
      <w:r w:rsidRPr="00511005">
        <w:rPr>
          <w:rFonts w:ascii="Arial" w:eastAsia="Times New Roman" w:hAnsi="Arial" w:cs="Arial"/>
          <w:szCs w:val="28"/>
          <w:lang w:val="uk-UA"/>
        </w:rPr>
        <w:t>в</w:t>
      </w:r>
      <w:r w:rsidRPr="00511005">
        <w:rPr>
          <w:rFonts w:ascii="Arial" w:eastAsia="Times New Roman" w:hAnsi="Arial" w:cs="Arial"/>
          <w:spacing w:val="-4"/>
          <w:szCs w:val="28"/>
          <w:lang w:val="uk-UA"/>
        </w:rPr>
        <w:t xml:space="preserve"> </w:t>
      </w:r>
      <w:r w:rsidRPr="00511005">
        <w:rPr>
          <w:rFonts w:ascii="Arial" w:eastAsia="Times New Roman" w:hAnsi="Arial" w:cs="Arial"/>
          <w:szCs w:val="28"/>
          <w:lang w:val="uk-UA"/>
        </w:rPr>
        <w:t>момент</w:t>
      </w:r>
      <w:r w:rsidRPr="00511005">
        <w:rPr>
          <w:rFonts w:ascii="Arial" w:eastAsia="Times New Roman" w:hAnsi="Arial" w:cs="Arial"/>
          <w:spacing w:val="-4"/>
          <w:szCs w:val="28"/>
          <w:lang w:val="uk-UA"/>
        </w:rPr>
        <w:t xml:space="preserve"> </w:t>
      </w:r>
      <w:r w:rsidRPr="00511005">
        <w:rPr>
          <w:rFonts w:ascii="Arial" w:eastAsia="Times New Roman" w:hAnsi="Arial" w:cs="Arial"/>
          <w:szCs w:val="28"/>
          <w:lang w:val="uk-UA"/>
        </w:rPr>
        <w:t xml:space="preserve">затримання переконатися поза розумним сумнівом у тому, що особа, яку він підозрює у вчиненні злочину, насправді його вчинила. Для цього існують наступні етапи кримінального </w:t>
      </w:r>
      <w:r w:rsidRPr="00511005">
        <w:rPr>
          <w:rFonts w:ascii="Arial" w:eastAsia="Times New Roman" w:hAnsi="Arial" w:cs="Arial"/>
          <w:spacing w:val="-2"/>
          <w:szCs w:val="28"/>
          <w:lang w:val="uk-UA"/>
        </w:rPr>
        <w:t>провадження [4].</w:t>
      </w:r>
    </w:p>
    <w:p w14:paraId="1170F9CA" w14:textId="77777777" w:rsidR="00532C25" w:rsidRPr="00511005" w:rsidRDefault="00532C25" w:rsidP="00532C25">
      <w:pPr>
        <w:widowControl w:val="0"/>
        <w:autoSpaceDE w:val="0"/>
        <w:autoSpaceDN w:val="0"/>
        <w:spacing w:line="264" w:lineRule="auto"/>
        <w:ind w:left="23" w:right="12" w:firstLine="685"/>
        <w:rPr>
          <w:rFonts w:ascii="Arial" w:eastAsia="Times New Roman" w:hAnsi="Arial" w:cs="Arial"/>
          <w:szCs w:val="28"/>
          <w:lang w:val="uk-UA"/>
        </w:rPr>
      </w:pPr>
      <w:r w:rsidRPr="00511005">
        <w:rPr>
          <w:rFonts w:ascii="Arial" w:eastAsia="Times New Roman" w:hAnsi="Arial" w:cs="Arial"/>
          <w:spacing w:val="-2"/>
          <w:szCs w:val="28"/>
          <w:lang w:val="uk-UA"/>
        </w:rPr>
        <w:t>По-третє, затримання має бути невідкладним. Під невідкладністю слід розуміти необхідність затримання особи без зволікань – одразу після вчинення злочину або його припинення. Разом із тим, затримання визнається невідкладним і в тих випадках, якщо є достатні підстави вважати, що особа має намір ухилитися від кримінальної відповідальності шляхом втечі. Зазначене стосується, зокрема, осіб, які підозрюються у вчиненні тяжкого чи особливо тяжкого корупційного злочину, віднесеного до підслідності НАБУ, а також осіб, підозрюваних у вчиненні кримінальних правопорушень, передбачених статтями 255, 255-1, 255-2 КК України.</w:t>
      </w:r>
    </w:p>
    <w:p w14:paraId="362B6FA8" w14:textId="77777777" w:rsidR="00532C25" w:rsidRPr="00511005" w:rsidRDefault="00532C25" w:rsidP="00532C25">
      <w:pPr>
        <w:widowControl w:val="0"/>
        <w:autoSpaceDE w:val="0"/>
        <w:autoSpaceDN w:val="0"/>
        <w:spacing w:line="264" w:lineRule="auto"/>
        <w:ind w:left="23" w:right="8" w:firstLine="685"/>
        <w:rPr>
          <w:rFonts w:ascii="Arial" w:eastAsia="Times New Roman" w:hAnsi="Arial" w:cs="Arial"/>
          <w:szCs w:val="28"/>
          <w:lang w:val="uk-UA"/>
        </w:rPr>
      </w:pPr>
      <w:r w:rsidRPr="00511005">
        <w:rPr>
          <w:rFonts w:ascii="Arial" w:eastAsia="Times New Roman" w:hAnsi="Arial" w:cs="Arial"/>
          <w:szCs w:val="28"/>
          <w:lang w:val="uk-UA"/>
        </w:rPr>
        <w:t>Посадова особа, яка здійснила затримання, зобов’язана негайно поінформувати затриманого зрозумілою для нього мовою про підстави затримання та злочин, у вчиненні якого його підозрюють. Водночас на цю особу покладається обов’язок роз’яснити затриманому його права: на захист, на медичну допомогу, на надання пояснень чи показань або на відмову від будь-яких коментарів щодо підозри. Також затриманий має право повідомити інших осіб про своє затримання та місце перебування, а також вимагати перевірки правомірності затримання. Крім того, посадова особа повинна негайно повідомити про факт затримання центр з надання безоплатної правової допомоги, який фіксує повідомлення та призначає захисника, якщо затриманий не має власного. Після фактичного затримання особи, роз’яснення їй прав обов’язково складається протокол, у якому зазначаються місце, дата й точний час фактичного затримання. Під фактичним затриманням розуміється конкретна година та хвилина, коли особа відповідно до ст. 209 КПК України опинилася під контролем уповноваженої особи, а не час прибуття СОГ, початок складення протоколу. Також у протоколі зазначаються підстави затримання, відомості про час та особу, яку повідомлено про затримання, повідомлення центру надання безоплатної правової допомоги із зазначенням часу, реєстраційного номера повідомлення та прізвища особи, яка його прийняла.</w:t>
      </w:r>
    </w:p>
    <w:p w14:paraId="3B675F7E" w14:textId="77777777" w:rsidR="00532C25" w:rsidRPr="00511005" w:rsidRDefault="00532C25" w:rsidP="00532C25">
      <w:pPr>
        <w:widowControl w:val="0"/>
        <w:autoSpaceDE w:val="0"/>
        <w:autoSpaceDN w:val="0"/>
        <w:spacing w:line="264" w:lineRule="auto"/>
        <w:ind w:left="23" w:right="8" w:firstLine="685"/>
        <w:rPr>
          <w:rFonts w:ascii="Arial" w:eastAsia="Times New Roman" w:hAnsi="Arial" w:cs="Arial"/>
          <w:szCs w:val="28"/>
          <w:lang w:val="uk-UA"/>
        </w:rPr>
      </w:pPr>
      <w:r w:rsidRPr="00511005">
        <w:rPr>
          <w:rFonts w:ascii="Arial" w:eastAsia="Times New Roman" w:hAnsi="Arial" w:cs="Arial"/>
          <w:szCs w:val="28"/>
          <w:lang w:val="uk-UA"/>
        </w:rPr>
        <w:t>Також</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протокол</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має</w:t>
      </w:r>
      <w:r w:rsidRPr="00511005">
        <w:rPr>
          <w:rFonts w:ascii="Arial" w:eastAsia="Times New Roman" w:hAnsi="Arial" w:cs="Arial"/>
          <w:spacing w:val="-18"/>
          <w:szCs w:val="28"/>
          <w:lang w:val="uk-UA"/>
        </w:rPr>
        <w:t xml:space="preserve"> </w:t>
      </w:r>
      <w:r w:rsidRPr="00511005">
        <w:rPr>
          <w:rFonts w:ascii="Arial" w:eastAsia="Times New Roman" w:hAnsi="Arial" w:cs="Arial"/>
          <w:szCs w:val="28"/>
          <w:lang w:val="uk-UA"/>
        </w:rPr>
        <w:t>містити</w:t>
      </w:r>
      <w:r w:rsidRPr="00511005">
        <w:rPr>
          <w:rFonts w:ascii="Arial" w:eastAsia="Times New Roman" w:hAnsi="Arial" w:cs="Arial"/>
          <w:spacing w:val="-12"/>
          <w:szCs w:val="28"/>
          <w:lang w:val="uk-UA"/>
        </w:rPr>
        <w:t xml:space="preserve"> </w:t>
      </w:r>
      <w:r w:rsidRPr="00511005">
        <w:rPr>
          <w:rFonts w:ascii="Arial" w:eastAsia="Times New Roman" w:hAnsi="Arial" w:cs="Arial"/>
          <w:szCs w:val="28"/>
          <w:lang w:val="uk-UA"/>
        </w:rPr>
        <w:t>результати</w:t>
      </w:r>
      <w:r w:rsidRPr="00511005">
        <w:rPr>
          <w:rFonts w:ascii="Arial" w:eastAsia="Times New Roman" w:hAnsi="Arial" w:cs="Arial"/>
          <w:spacing w:val="-17"/>
          <w:szCs w:val="28"/>
          <w:lang w:val="uk-UA"/>
        </w:rPr>
        <w:t xml:space="preserve"> </w:t>
      </w:r>
      <w:r w:rsidRPr="00511005">
        <w:rPr>
          <w:rFonts w:ascii="Arial" w:eastAsia="Times New Roman" w:hAnsi="Arial" w:cs="Arial"/>
          <w:szCs w:val="28"/>
          <w:lang w:val="uk-UA"/>
        </w:rPr>
        <w:t>особистого</w:t>
      </w:r>
      <w:r w:rsidRPr="00511005">
        <w:rPr>
          <w:rFonts w:ascii="Arial" w:eastAsia="Times New Roman" w:hAnsi="Arial" w:cs="Arial"/>
          <w:spacing w:val="-16"/>
          <w:szCs w:val="28"/>
          <w:lang w:val="uk-UA"/>
        </w:rPr>
        <w:t xml:space="preserve"> </w:t>
      </w:r>
      <w:r w:rsidRPr="00511005">
        <w:rPr>
          <w:rFonts w:ascii="Arial" w:eastAsia="Times New Roman" w:hAnsi="Arial" w:cs="Arial"/>
          <w:szCs w:val="28"/>
          <w:lang w:val="uk-UA"/>
        </w:rPr>
        <w:t>обшуку,</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клопотання,</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заяви</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чи скарги затриманого якщо такі надходили, а також повний бути перелік його процесуальних прав та обов’язків. КПК</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не</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вимагає</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складення</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протоколу</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затримання</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в</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ту</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ж</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годину,</w:t>
      </w:r>
      <w:r w:rsidRPr="00511005">
        <w:rPr>
          <w:rFonts w:ascii="Arial" w:eastAsia="Times New Roman" w:hAnsi="Arial" w:cs="Arial"/>
          <w:spacing w:val="-10"/>
          <w:szCs w:val="28"/>
          <w:lang w:val="uk-UA"/>
        </w:rPr>
        <w:t xml:space="preserve"> в</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яку</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особу</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було затримано. Зокрема, ч. 5 ст. 208 КПК вказує на саму обов’язковість складення протоколу затримання із зазначенням у ньому години та хвилини затримання [1]. Тобто,</w:t>
      </w:r>
      <w:r w:rsidRPr="00511005">
        <w:rPr>
          <w:rFonts w:ascii="Arial" w:eastAsia="Times New Roman" w:hAnsi="Arial" w:cs="Arial"/>
          <w:spacing w:val="-6"/>
          <w:szCs w:val="28"/>
          <w:lang w:val="uk-UA"/>
        </w:rPr>
        <w:t xml:space="preserve"> </w:t>
      </w:r>
      <w:r w:rsidRPr="00511005">
        <w:rPr>
          <w:rFonts w:ascii="Arial" w:eastAsia="Times New Roman" w:hAnsi="Arial" w:cs="Arial"/>
          <w:szCs w:val="28"/>
          <w:lang w:val="uk-UA"/>
        </w:rPr>
        <w:t>це</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означає,</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що</w:t>
      </w:r>
      <w:r w:rsidRPr="00511005">
        <w:rPr>
          <w:rFonts w:ascii="Arial" w:eastAsia="Times New Roman" w:hAnsi="Arial" w:cs="Arial"/>
          <w:spacing w:val="-5"/>
          <w:szCs w:val="28"/>
          <w:lang w:val="uk-UA"/>
        </w:rPr>
        <w:t xml:space="preserve"> </w:t>
      </w:r>
      <w:r w:rsidRPr="00511005">
        <w:rPr>
          <w:rFonts w:ascii="Arial" w:eastAsia="Times New Roman" w:hAnsi="Arial" w:cs="Arial"/>
          <w:szCs w:val="28"/>
          <w:lang w:val="uk-UA"/>
        </w:rPr>
        <w:t>КПК</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допускає</w:t>
      </w:r>
      <w:r w:rsidRPr="00511005">
        <w:rPr>
          <w:rFonts w:ascii="Arial" w:eastAsia="Times New Roman" w:hAnsi="Arial" w:cs="Arial"/>
          <w:spacing w:val="-5"/>
          <w:szCs w:val="28"/>
          <w:lang w:val="uk-UA"/>
        </w:rPr>
        <w:t xml:space="preserve"> </w:t>
      </w:r>
      <w:r w:rsidRPr="00511005">
        <w:rPr>
          <w:rFonts w:ascii="Arial" w:eastAsia="Times New Roman" w:hAnsi="Arial" w:cs="Arial"/>
          <w:szCs w:val="28"/>
          <w:lang w:val="uk-UA"/>
        </w:rPr>
        <w:t>випадки,</w:t>
      </w:r>
      <w:r w:rsidRPr="00511005">
        <w:rPr>
          <w:rFonts w:ascii="Arial" w:eastAsia="Times New Roman" w:hAnsi="Arial" w:cs="Arial"/>
          <w:spacing w:val="-6"/>
          <w:szCs w:val="28"/>
          <w:lang w:val="uk-UA"/>
        </w:rPr>
        <w:t xml:space="preserve"> </w:t>
      </w:r>
      <w:r w:rsidRPr="00511005">
        <w:rPr>
          <w:rFonts w:ascii="Arial" w:eastAsia="Times New Roman" w:hAnsi="Arial" w:cs="Arial"/>
          <w:szCs w:val="28"/>
          <w:lang w:val="uk-UA"/>
        </w:rPr>
        <w:t>коли</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фактичне</w:t>
      </w:r>
      <w:r w:rsidRPr="00511005">
        <w:rPr>
          <w:rFonts w:ascii="Arial" w:eastAsia="Times New Roman" w:hAnsi="Arial" w:cs="Arial"/>
          <w:spacing w:val="-5"/>
          <w:szCs w:val="28"/>
          <w:lang w:val="uk-UA"/>
        </w:rPr>
        <w:t xml:space="preserve"> </w:t>
      </w:r>
      <w:r w:rsidRPr="00511005">
        <w:rPr>
          <w:rFonts w:ascii="Arial" w:eastAsia="Times New Roman" w:hAnsi="Arial" w:cs="Arial"/>
          <w:szCs w:val="28"/>
          <w:lang w:val="uk-UA"/>
        </w:rPr>
        <w:t>затримання</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особи</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й складення</w:t>
      </w:r>
      <w:r w:rsidRPr="00511005">
        <w:rPr>
          <w:rFonts w:ascii="Arial" w:eastAsia="Times New Roman" w:hAnsi="Arial" w:cs="Arial"/>
          <w:spacing w:val="-12"/>
          <w:szCs w:val="28"/>
          <w:lang w:val="uk-UA"/>
        </w:rPr>
        <w:t xml:space="preserve"> </w:t>
      </w:r>
      <w:r w:rsidRPr="00511005">
        <w:rPr>
          <w:rFonts w:ascii="Arial" w:eastAsia="Times New Roman" w:hAnsi="Arial" w:cs="Arial"/>
          <w:szCs w:val="28"/>
          <w:lang w:val="uk-UA"/>
        </w:rPr>
        <w:t>протоколу</w:t>
      </w:r>
      <w:r w:rsidRPr="00511005">
        <w:rPr>
          <w:rFonts w:ascii="Arial" w:eastAsia="Times New Roman" w:hAnsi="Arial" w:cs="Arial"/>
          <w:spacing w:val="-7"/>
          <w:szCs w:val="28"/>
          <w:lang w:val="uk-UA"/>
        </w:rPr>
        <w:t xml:space="preserve"> </w:t>
      </w:r>
      <w:r w:rsidRPr="00511005">
        <w:rPr>
          <w:rFonts w:ascii="Arial" w:eastAsia="Times New Roman" w:hAnsi="Arial" w:cs="Arial"/>
          <w:szCs w:val="28"/>
          <w:lang w:val="uk-UA"/>
        </w:rPr>
        <w:t>можуть</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не</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збігатися</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в</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часі</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з</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урахуванням</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lastRenderedPageBreak/>
        <w:t>певних</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умов.</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При</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 xml:space="preserve">цьому, як зауважив Касаційний кримінальний суд: «Запізніле складення протоколу про затримання особи є виправданим у тій ситуації, коли об’єктивні причини спонукали уповноважену особу діяти саме таким чином» </w:t>
      </w:r>
      <w:r w:rsidRPr="00511005">
        <w:rPr>
          <w:rFonts w:ascii="Arial" w:eastAsia="Times New Roman" w:hAnsi="Arial" w:cs="Arial"/>
          <w:szCs w:val="28"/>
        </w:rPr>
        <w:t>[8].</w:t>
      </w:r>
    </w:p>
    <w:p w14:paraId="07C727FD" w14:textId="77777777" w:rsidR="00532C25" w:rsidRPr="00511005" w:rsidRDefault="00532C25" w:rsidP="00532C25">
      <w:pPr>
        <w:widowControl w:val="0"/>
        <w:autoSpaceDE w:val="0"/>
        <w:autoSpaceDN w:val="0"/>
        <w:spacing w:line="264" w:lineRule="auto"/>
        <w:ind w:left="23" w:right="14" w:firstLine="685"/>
        <w:rPr>
          <w:rFonts w:ascii="Arial" w:eastAsia="Times New Roman" w:hAnsi="Arial" w:cs="Arial"/>
          <w:szCs w:val="28"/>
          <w:lang w:val="uk-UA"/>
        </w:rPr>
      </w:pPr>
      <w:r w:rsidRPr="00511005">
        <w:rPr>
          <w:rFonts w:ascii="Arial" w:eastAsia="Times New Roman" w:hAnsi="Arial" w:cs="Arial"/>
          <w:szCs w:val="28"/>
          <w:lang w:val="uk-UA"/>
        </w:rPr>
        <w:t>З моменту фактичного затримання особи, коли вона силою або через підкорення наказу змушена залишатися поряд з уповноваженою особою, починається відлік встановлених законом строків. Після закінчення цих строків особа підлягає негайному звільненню. Зокрема, звільнення є обов’язковим, якщо протягом 24 годин не було вручено повідомлення про підозру, якщо особу не доставлено до суду для розгляду клопотання про запобіжний захід у межах 60 годин або якщо загальний строк перебування під вартою перевищив 72 години.</w:t>
      </w:r>
    </w:p>
    <w:p w14:paraId="7E55C5C3" w14:textId="77777777" w:rsidR="00532C25" w:rsidRPr="00511005" w:rsidRDefault="00532C25" w:rsidP="00532C25">
      <w:pPr>
        <w:widowControl w:val="0"/>
        <w:autoSpaceDE w:val="0"/>
        <w:autoSpaceDN w:val="0"/>
        <w:spacing w:line="264" w:lineRule="auto"/>
        <w:ind w:left="23" w:right="13" w:firstLine="685"/>
        <w:rPr>
          <w:rFonts w:ascii="Arial" w:eastAsia="Times New Roman" w:hAnsi="Arial" w:cs="Arial"/>
          <w:szCs w:val="28"/>
          <w:lang w:val="uk-UA"/>
        </w:rPr>
      </w:pPr>
      <w:r w:rsidRPr="00511005">
        <w:rPr>
          <w:rFonts w:ascii="Arial" w:eastAsia="Times New Roman" w:hAnsi="Arial" w:cs="Arial"/>
          <w:szCs w:val="28"/>
          <w:lang w:val="uk-UA"/>
        </w:rPr>
        <w:t>Аналізуючи постанови ККС ВС та рішення ЄСПЛ у справах щодо України, можна виокремити основні проблематичні аспекти досліджуваної теми. Основним серед таких проблематичних аспектів є недодержання прав та свобод затриманої особи. Це включає, зокрема, право відмовитися від дачі показань, а також право на захисника. Неналежне роз’яснення затриманій особі зазначених прав, як і проведення процесуальних чи слідчих дій без участі захисника, становить істотне порушення права на захист. У свою чергу, це зумовлює очевидну недопустимість отриманих у таких спосіб доказів. Щоб продемонструвати обов’язковість дотримання таких прав у кримінальному провадженні, до прикладу можна привести рішення Верховного Суду, ухваленого</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колегією</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суддів</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Третьої</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судової</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палати</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Касаційного</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кримінального</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суду</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від 27 листопада 2019 року у справі № 686/19218/17</w:t>
      </w:r>
      <w:r w:rsidRPr="00511005">
        <w:rPr>
          <w:rFonts w:ascii="Arial" w:eastAsia="Times New Roman" w:hAnsi="Arial" w:cs="Arial"/>
          <w:i/>
          <w:iCs/>
          <w:szCs w:val="28"/>
          <w:lang w:val="uk-UA"/>
        </w:rPr>
        <w:t xml:space="preserve"> </w:t>
      </w:r>
      <w:r w:rsidRPr="00511005">
        <w:rPr>
          <w:rFonts w:ascii="Arial" w:eastAsia="Times New Roman" w:hAnsi="Arial" w:cs="Arial"/>
          <w:szCs w:val="28"/>
          <w:lang w:val="uk-UA"/>
        </w:rPr>
        <w:t>(провадження № 51-3118 км 19) [3].</w:t>
      </w:r>
    </w:p>
    <w:p w14:paraId="3B90B42A" w14:textId="77777777" w:rsidR="00532C25" w:rsidRPr="00511005" w:rsidRDefault="00532C25" w:rsidP="00532C25">
      <w:pPr>
        <w:spacing w:line="264" w:lineRule="auto"/>
        <w:rPr>
          <w:rFonts w:ascii="Arial" w:eastAsia="Calibri" w:hAnsi="Arial" w:cs="Arial"/>
          <w:szCs w:val="28"/>
          <w:lang w:val="ru" w:eastAsia="uk-UA"/>
        </w:rPr>
      </w:pPr>
      <w:r w:rsidRPr="00511005">
        <w:rPr>
          <w:rFonts w:ascii="Arial" w:eastAsia="Calibri" w:hAnsi="Arial" w:cs="Arial"/>
          <w:szCs w:val="28"/>
          <w:lang w:val="ru" w:eastAsia="uk-UA"/>
        </w:rPr>
        <w:t>У даному рішенні Суд дійшов висновку, що затримання, а також досудове розслідування проводилося з порушенням вимог КПК, зокрема – право особи на захист. Так, було</w:t>
      </w:r>
      <w:r w:rsidRPr="00511005">
        <w:rPr>
          <w:rFonts w:ascii="Arial" w:eastAsia="Calibri" w:hAnsi="Arial" w:cs="Arial"/>
          <w:bCs/>
          <w:szCs w:val="28"/>
          <w:lang w:val="ru" w:eastAsia="uk-UA"/>
        </w:rPr>
        <w:t xml:space="preserve"> встановлено, що пред’явлення особи для впізнання відбулося 17 серпня 2017 року о 23:03 та о 23:37. Водночас у протоколі про затримання, складеному лише 18 серпня, зазначено час затримання – 23:40 17 серпня. При цьому повідомлення органу, уповноваженого на надання безоплатної правової допомоги, було здійснено лише о 23:44 17 серпня.</w:t>
      </w:r>
      <w:r w:rsidRPr="00511005">
        <w:rPr>
          <w:rFonts w:ascii="Arial" w:eastAsia="Calibri" w:hAnsi="Arial" w:cs="Arial"/>
          <w:szCs w:val="28"/>
          <w:lang w:val="ru" w:eastAsia="uk-UA"/>
        </w:rPr>
        <w:t xml:space="preserve"> </w:t>
      </w:r>
      <w:r w:rsidRPr="00511005">
        <w:rPr>
          <w:rFonts w:ascii="Arial" w:eastAsia="Arial" w:hAnsi="Arial" w:cs="Arial"/>
          <w:szCs w:val="28"/>
          <w:lang w:val="ru" w:eastAsia="ru-RU"/>
        </w:rPr>
        <w:t>Таким чином, слідчі дії у вигляді пред`явлення особи для впізнання було проведено до складання протоколу про його затримання та до призначення йому захисника, що безпосередньо свідчить про недопустимість доказів отриманих внаслідок істотного порушення прав та свобод людини, гарантованих законом.</w:t>
      </w:r>
    </w:p>
    <w:p w14:paraId="395C7F82" w14:textId="77777777" w:rsidR="00532C25" w:rsidRPr="00511005" w:rsidRDefault="00532C25" w:rsidP="00532C25">
      <w:pPr>
        <w:widowControl w:val="0"/>
        <w:autoSpaceDE w:val="0"/>
        <w:autoSpaceDN w:val="0"/>
        <w:spacing w:line="264" w:lineRule="auto"/>
        <w:ind w:left="23" w:right="8" w:firstLine="685"/>
        <w:rPr>
          <w:rFonts w:ascii="Arial" w:eastAsia="Times New Roman" w:hAnsi="Arial" w:cs="Arial"/>
          <w:szCs w:val="28"/>
          <w:lang w:val="uk-UA"/>
        </w:rPr>
      </w:pPr>
      <w:r w:rsidRPr="00511005">
        <w:rPr>
          <w:rFonts w:ascii="Arial" w:eastAsia="Times New Roman" w:hAnsi="Arial" w:cs="Arial"/>
          <w:szCs w:val="28"/>
          <w:lang w:val="uk-UA"/>
        </w:rPr>
        <w:t>Недотримання</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прав</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та</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свобод,</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у</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свою</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чергу,</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також</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в</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подальшому</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може</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 xml:space="preserve">призвести до відповідальності держави в ЄСПЛ за порушення статті 5 Європейської конвенції з прав людини. Зокрема, у справі «Нечипорук і Йонкало проти України» ЄСПЛ зазначив, що оскільки під час затримання за вчинення адміністративного проступку із особою проводяться слідчі дії як з </w:t>
      </w:r>
      <w:r w:rsidRPr="00511005">
        <w:rPr>
          <w:rFonts w:ascii="Arial" w:eastAsia="Times New Roman" w:hAnsi="Arial" w:cs="Arial"/>
          <w:szCs w:val="28"/>
          <w:lang w:val="uk-UA"/>
        </w:rPr>
        <w:lastRenderedPageBreak/>
        <w:t>підозрюваним у кримінальній справі про вбивство, таке затримання насправді було частиною тримання під вартою, про яке йдеться у статті 5 Конвенції, але без забезпечення процесуальних прав, зокрема права на захист [5]. Аналогічного</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рішення</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дійшов</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Європейський</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суд</w:t>
      </w:r>
      <w:r w:rsidRPr="00511005">
        <w:rPr>
          <w:rFonts w:ascii="Arial" w:eastAsia="Times New Roman" w:hAnsi="Arial" w:cs="Arial"/>
          <w:spacing w:val="-8"/>
          <w:szCs w:val="28"/>
          <w:lang w:val="uk-UA"/>
        </w:rPr>
        <w:t xml:space="preserve"> </w:t>
      </w:r>
      <w:r w:rsidRPr="00511005">
        <w:rPr>
          <w:rFonts w:ascii="Arial" w:eastAsia="Times New Roman" w:hAnsi="Arial" w:cs="Arial"/>
          <w:szCs w:val="28"/>
          <w:lang w:val="uk-UA"/>
        </w:rPr>
        <w:t>з</w:t>
      </w:r>
      <w:r w:rsidRPr="00511005">
        <w:rPr>
          <w:rFonts w:ascii="Arial" w:eastAsia="Times New Roman" w:hAnsi="Arial" w:cs="Arial"/>
          <w:spacing w:val="-16"/>
          <w:szCs w:val="28"/>
          <w:lang w:val="uk-UA"/>
        </w:rPr>
        <w:t xml:space="preserve"> </w:t>
      </w:r>
      <w:r w:rsidRPr="00511005">
        <w:rPr>
          <w:rFonts w:ascii="Arial" w:eastAsia="Times New Roman" w:hAnsi="Arial" w:cs="Arial"/>
          <w:szCs w:val="28"/>
          <w:lang w:val="uk-UA"/>
        </w:rPr>
        <w:t>прав</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людини</w:t>
      </w:r>
      <w:r w:rsidRPr="00511005">
        <w:rPr>
          <w:rFonts w:ascii="Arial" w:eastAsia="Times New Roman" w:hAnsi="Arial" w:cs="Arial"/>
          <w:spacing w:val="-14"/>
          <w:szCs w:val="28"/>
          <w:lang w:val="uk-UA"/>
        </w:rPr>
        <w:t xml:space="preserve"> </w:t>
      </w:r>
      <w:r w:rsidRPr="00511005">
        <w:rPr>
          <w:rFonts w:ascii="Arial" w:eastAsia="Times New Roman" w:hAnsi="Arial" w:cs="Arial"/>
          <w:szCs w:val="28"/>
          <w:lang w:val="uk-UA"/>
        </w:rPr>
        <w:t>у</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іншій</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справі</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від 29 січня 2015 року, Заява №37198/10, «Малик проти України» [6].</w:t>
      </w:r>
    </w:p>
    <w:p w14:paraId="2C94664F" w14:textId="77777777" w:rsidR="00532C25" w:rsidRPr="00511005" w:rsidRDefault="00532C25" w:rsidP="00532C25">
      <w:pPr>
        <w:widowControl w:val="0"/>
        <w:autoSpaceDE w:val="0"/>
        <w:autoSpaceDN w:val="0"/>
        <w:spacing w:line="264" w:lineRule="auto"/>
        <w:ind w:left="23" w:firstLine="685"/>
        <w:rPr>
          <w:rFonts w:ascii="Arial" w:eastAsia="Times New Roman" w:hAnsi="Arial" w:cs="Arial"/>
          <w:szCs w:val="28"/>
          <w:lang w:val="uk-UA"/>
        </w:rPr>
      </w:pPr>
      <w:r w:rsidRPr="00511005">
        <w:rPr>
          <w:rFonts w:ascii="Arial" w:eastAsia="Times New Roman" w:hAnsi="Arial" w:cs="Arial"/>
          <w:szCs w:val="28"/>
          <w:lang w:val="uk-UA"/>
        </w:rPr>
        <w:t>Недодержання правил, які були зазначені вище призводить до подальших порушень, зокрема відсутність належного документального оформлення затримання. Дану думку, підкріплює постанова Верховного Суду</w:t>
      </w:r>
      <w:r w:rsidRPr="00511005">
        <w:rPr>
          <w:rFonts w:ascii="Arial" w:eastAsia="Times New Roman" w:hAnsi="Arial" w:cs="Arial"/>
          <w:szCs w:val="28"/>
        </w:rPr>
        <w:t xml:space="preserve"> </w:t>
      </w:r>
      <w:r w:rsidRPr="00511005">
        <w:rPr>
          <w:rFonts w:ascii="Arial" w:eastAsia="Times New Roman" w:hAnsi="Arial" w:cs="Arial"/>
          <w:szCs w:val="28"/>
          <w:lang w:val="uk-UA"/>
        </w:rPr>
        <w:t>в якій</w:t>
      </w:r>
      <w:r w:rsidRPr="00511005">
        <w:rPr>
          <w:rFonts w:ascii="Arial" w:eastAsia="Times New Roman" w:hAnsi="Arial" w:cs="Arial"/>
          <w:szCs w:val="28"/>
        </w:rPr>
        <w:t xml:space="preserve"> </w:t>
      </w:r>
      <w:r w:rsidRPr="00511005">
        <w:rPr>
          <w:rFonts w:ascii="Arial" w:eastAsia="Times New Roman" w:hAnsi="Arial" w:cs="Arial"/>
          <w:szCs w:val="28"/>
          <w:lang w:val="uk-UA"/>
        </w:rPr>
        <w:t>Суд зазначив, що у цій справі відсутній протокол затримання засудженого. Судами попередніх інстанцій встановлено, що засуджений був затриманий поліцією біля автомобіля близько 21 години 11 жовтня, а ухвалою слідчого судді від 13 жовтня взятий під варту в залі суду. Захист стверджує, що з моменту затримання до взяття під варту засуджений був затриманим за статтею 209 КПК. Суд визнає цей довід обґрунтованим, оскільки 11 та 12 жовтня проводились слідчі дії, під час яких засуджений</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був</w:t>
      </w:r>
      <w:r w:rsidRPr="00511005">
        <w:rPr>
          <w:rFonts w:ascii="Arial" w:eastAsia="Times New Roman" w:hAnsi="Arial" w:cs="Arial"/>
          <w:spacing w:val="-11"/>
          <w:szCs w:val="28"/>
          <w:lang w:val="uk-UA"/>
        </w:rPr>
        <w:t xml:space="preserve"> </w:t>
      </w:r>
      <w:r w:rsidRPr="00511005">
        <w:rPr>
          <w:rFonts w:ascii="Arial" w:eastAsia="Times New Roman" w:hAnsi="Arial" w:cs="Arial"/>
          <w:szCs w:val="28"/>
          <w:lang w:val="uk-UA"/>
        </w:rPr>
        <w:t>прикутий</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наручниками</w:t>
      </w:r>
      <w:r w:rsidRPr="00511005">
        <w:rPr>
          <w:rFonts w:ascii="Arial" w:eastAsia="Times New Roman" w:hAnsi="Arial" w:cs="Arial"/>
          <w:spacing w:val="-12"/>
          <w:szCs w:val="28"/>
          <w:lang w:val="uk-UA"/>
        </w:rPr>
        <w:t xml:space="preserve"> </w:t>
      </w:r>
      <w:r w:rsidRPr="00511005">
        <w:rPr>
          <w:rFonts w:ascii="Arial" w:eastAsia="Times New Roman" w:hAnsi="Arial" w:cs="Arial"/>
          <w:szCs w:val="28"/>
          <w:lang w:val="uk-UA"/>
        </w:rPr>
        <w:t>до</w:t>
      </w:r>
      <w:r w:rsidRPr="00511005">
        <w:rPr>
          <w:rFonts w:ascii="Arial" w:eastAsia="Times New Roman" w:hAnsi="Arial" w:cs="Arial"/>
          <w:spacing w:val="-9"/>
          <w:szCs w:val="28"/>
          <w:lang w:val="uk-UA"/>
        </w:rPr>
        <w:t xml:space="preserve"> </w:t>
      </w:r>
      <w:r w:rsidRPr="00511005">
        <w:rPr>
          <w:rFonts w:ascii="Arial" w:eastAsia="Times New Roman" w:hAnsi="Arial" w:cs="Arial"/>
          <w:szCs w:val="28"/>
          <w:lang w:val="uk-UA"/>
        </w:rPr>
        <w:t>правоохоронця.</w:t>
      </w:r>
      <w:r w:rsidRPr="00511005">
        <w:rPr>
          <w:rFonts w:ascii="Arial" w:eastAsia="Times New Roman" w:hAnsi="Arial" w:cs="Arial"/>
          <w:spacing w:val="-13"/>
          <w:szCs w:val="28"/>
          <w:lang w:val="uk-UA"/>
        </w:rPr>
        <w:t xml:space="preserve"> </w:t>
      </w:r>
      <w:r w:rsidRPr="00511005">
        <w:rPr>
          <w:rFonts w:ascii="Arial" w:eastAsia="Times New Roman" w:hAnsi="Arial" w:cs="Arial"/>
          <w:szCs w:val="28"/>
          <w:lang w:val="uk-UA"/>
        </w:rPr>
        <w:t>Також</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є</w:t>
      </w:r>
      <w:r w:rsidRPr="00511005">
        <w:rPr>
          <w:rFonts w:ascii="Arial" w:eastAsia="Times New Roman" w:hAnsi="Arial" w:cs="Arial"/>
          <w:spacing w:val="-10"/>
          <w:szCs w:val="28"/>
          <w:lang w:val="uk-UA"/>
        </w:rPr>
        <w:t xml:space="preserve"> </w:t>
      </w:r>
      <w:r w:rsidRPr="00511005">
        <w:rPr>
          <w:rFonts w:ascii="Arial" w:eastAsia="Times New Roman" w:hAnsi="Arial" w:cs="Arial"/>
          <w:szCs w:val="28"/>
          <w:lang w:val="uk-UA"/>
        </w:rPr>
        <w:t>відеозапис</w:t>
      </w:r>
      <w:r w:rsidRPr="00511005">
        <w:rPr>
          <w:rFonts w:ascii="Arial" w:eastAsia="Times New Roman" w:hAnsi="Arial" w:cs="Arial"/>
          <w:spacing w:val="-12"/>
          <w:szCs w:val="28"/>
          <w:lang w:val="uk-UA"/>
        </w:rPr>
        <w:t xml:space="preserve"> </w:t>
      </w:r>
      <w:r w:rsidRPr="00511005">
        <w:rPr>
          <w:rFonts w:ascii="Arial" w:eastAsia="Times New Roman" w:hAnsi="Arial" w:cs="Arial"/>
          <w:szCs w:val="28"/>
          <w:lang w:val="uk-UA"/>
        </w:rPr>
        <w:t>слідчого експерименту,</w:t>
      </w:r>
      <w:r w:rsidRPr="00511005">
        <w:rPr>
          <w:rFonts w:ascii="Arial" w:eastAsia="Times New Roman" w:hAnsi="Arial" w:cs="Arial"/>
          <w:spacing w:val="-16"/>
          <w:szCs w:val="28"/>
          <w:lang w:val="uk-UA"/>
        </w:rPr>
        <w:t xml:space="preserve"> </w:t>
      </w:r>
      <w:r w:rsidRPr="00511005">
        <w:rPr>
          <w:rFonts w:ascii="Arial" w:eastAsia="Times New Roman" w:hAnsi="Arial" w:cs="Arial"/>
          <w:szCs w:val="28"/>
          <w:lang w:val="uk-UA"/>
        </w:rPr>
        <w:t>що</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підтверджує</w:t>
      </w:r>
      <w:r w:rsidRPr="00511005">
        <w:rPr>
          <w:rFonts w:ascii="Arial" w:eastAsia="Times New Roman" w:hAnsi="Arial" w:cs="Arial"/>
          <w:spacing w:val="-17"/>
          <w:szCs w:val="28"/>
          <w:lang w:val="uk-UA"/>
        </w:rPr>
        <w:t xml:space="preserve"> </w:t>
      </w:r>
      <w:r w:rsidRPr="00511005">
        <w:rPr>
          <w:rFonts w:ascii="Arial" w:eastAsia="Times New Roman" w:hAnsi="Arial" w:cs="Arial"/>
          <w:szCs w:val="28"/>
          <w:lang w:val="uk-UA"/>
        </w:rPr>
        <w:t>його</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затримання.</w:t>
      </w:r>
      <w:r w:rsidRPr="00511005">
        <w:rPr>
          <w:rFonts w:ascii="Arial" w:eastAsia="Times New Roman" w:hAnsi="Arial" w:cs="Arial"/>
          <w:spacing w:val="-16"/>
          <w:szCs w:val="28"/>
          <w:lang w:val="uk-UA"/>
        </w:rPr>
        <w:t xml:space="preserve"> </w:t>
      </w:r>
      <w:r w:rsidRPr="00511005">
        <w:rPr>
          <w:rFonts w:ascii="Arial" w:eastAsia="Times New Roman" w:hAnsi="Arial" w:cs="Arial"/>
          <w:szCs w:val="28"/>
          <w:lang w:val="uk-UA"/>
        </w:rPr>
        <w:t>Інші</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матеріали</w:t>
      </w:r>
      <w:r w:rsidRPr="00511005">
        <w:rPr>
          <w:rFonts w:ascii="Arial" w:eastAsia="Times New Roman" w:hAnsi="Arial" w:cs="Arial"/>
          <w:spacing w:val="-16"/>
          <w:szCs w:val="28"/>
          <w:lang w:val="uk-UA"/>
        </w:rPr>
        <w:t xml:space="preserve"> </w:t>
      </w:r>
      <w:r w:rsidRPr="00511005">
        <w:rPr>
          <w:rFonts w:ascii="Arial" w:eastAsia="Times New Roman" w:hAnsi="Arial" w:cs="Arial"/>
          <w:szCs w:val="28"/>
          <w:lang w:val="uk-UA"/>
        </w:rPr>
        <w:t>справи</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свідчать,</w:t>
      </w:r>
      <w:r w:rsidRPr="00511005">
        <w:rPr>
          <w:rFonts w:ascii="Arial" w:eastAsia="Times New Roman" w:hAnsi="Arial" w:cs="Arial"/>
          <w:spacing w:val="-16"/>
          <w:szCs w:val="28"/>
          <w:lang w:val="uk-UA"/>
        </w:rPr>
        <w:t xml:space="preserve"> </w:t>
      </w:r>
      <w:r w:rsidRPr="00511005">
        <w:rPr>
          <w:rFonts w:ascii="Arial" w:eastAsia="Times New Roman" w:hAnsi="Arial" w:cs="Arial"/>
          <w:szCs w:val="28"/>
          <w:lang w:val="uk-UA"/>
        </w:rPr>
        <w:t>що</w:t>
      </w:r>
      <w:r w:rsidRPr="00511005">
        <w:rPr>
          <w:rFonts w:ascii="Arial" w:eastAsia="Times New Roman" w:hAnsi="Arial" w:cs="Arial"/>
          <w:spacing w:val="-15"/>
          <w:szCs w:val="28"/>
          <w:lang w:val="uk-UA"/>
        </w:rPr>
        <w:t xml:space="preserve"> </w:t>
      </w:r>
      <w:r w:rsidRPr="00511005">
        <w:rPr>
          <w:rFonts w:ascii="Arial" w:eastAsia="Times New Roman" w:hAnsi="Arial" w:cs="Arial"/>
          <w:szCs w:val="28"/>
          <w:lang w:val="uk-UA"/>
        </w:rPr>
        <w:t>він не мав можливості залишити місце затримання [7].</w:t>
      </w:r>
    </w:p>
    <w:p w14:paraId="5425B47F" w14:textId="77777777" w:rsidR="00532C25" w:rsidRPr="00511005" w:rsidRDefault="00532C25" w:rsidP="00532C25">
      <w:pPr>
        <w:widowControl w:val="0"/>
        <w:autoSpaceDE w:val="0"/>
        <w:autoSpaceDN w:val="0"/>
        <w:spacing w:line="264" w:lineRule="auto"/>
        <w:ind w:left="23" w:right="14" w:firstLine="0"/>
        <w:rPr>
          <w:rFonts w:ascii="Arial" w:eastAsia="Times New Roman" w:hAnsi="Arial" w:cs="Arial"/>
          <w:szCs w:val="28"/>
          <w:lang w:val="uk-UA"/>
        </w:rPr>
      </w:pPr>
      <w:r w:rsidRPr="00511005">
        <w:rPr>
          <w:rFonts w:ascii="Arial" w:eastAsia="Times New Roman" w:hAnsi="Arial" w:cs="Arial"/>
          <w:szCs w:val="28"/>
          <w:lang w:val="uk-UA"/>
        </w:rPr>
        <w:t>Таким чином, навіть якщо затримання документально не зафіксовано, фактичне обмеження вільного пересування особи визнається як затримання.</w:t>
      </w:r>
    </w:p>
    <w:p w14:paraId="458A5722" w14:textId="77777777" w:rsidR="00532C25" w:rsidRPr="00511005" w:rsidRDefault="00532C25" w:rsidP="00532C25">
      <w:pPr>
        <w:widowControl w:val="0"/>
        <w:autoSpaceDE w:val="0"/>
        <w:autoSpaceDN w:val="0"/>
        <w:spacing w:line="264" w:lineRule="auto"/>
        <w:ind w:left="23" w:right="13" w:firstLine="685"/>
        <w:rPr>
          <w:rFonts w:ascii="Arial" w:eastAsia="Times New Roman" w:hAnsi="Arial" w:cs="Arial"/>
          <w:szCs w:val="28"/>
          <w:lang w:val="uk-UA"/>
        </w:rPr>
      </w:pPr>
      <w:r w:rsidRPr="00511005">
        <w:rPr>
          <w:rFonts w:ascii="Arial" w:eastAsia="Times New Roman" w:hAnsi="Arial" w:cs="Arial"/>
          <w:szCs w:val="28"/>
          <w:lang w:val="uk-UA"/>
        </w:rPr>
        <w:t>Отже, підсумовуючи вище викладений матеріал, можна зробити висновок, що затримання є досить-таки важливим та ефективним інструментом у кримінальному процесі, який дає змогу оперативно реагувати на вчинення злочину, забезпечувати невідкладне проведення слідчих дій та запобігати ухиленню підозрюваного від правосуддя. Водночас його застосування потребує чіткого дотримання процесуальних норм, щоб гарантувати захист прав і свобод особи.</w:t>
      </w:r>
    </w:p>
    <w:p w14:paraId="673D9BE0" w14:textId="77777777" w:rsidR="00532C25" w:rsidRPr="00511005" w:rsidRDefault="00532C25" w:rsidP="00532C25">
      <w:pPr>
        <w:widowControl w:val="0"/>
        <w:autoSpaceDE w:val="0"/>
        <w:autoSpaceDN w:val="0"/>
        <w:spacing w:line="264" w:lineRule="auto"/>
        <w:ind w:left="23" w:right="13" w:firstLine="0"/>
        <w:rPr>
          <w:rFonts w:ascii="Arial" w:eastAsia="Times New Roman" w:hAnsi="Arial" w:cs="Arial"/>
          <w:szCs w:val="28"/>
          <w:lang w:val="uk-UA"/>
        </w:rPr>
      </w:pPr>
    </w:p>
    <w:p w14:paraId="4191C920" w14:textId="77777777" w:rsidR="00532C25" w:rsidRPr="00511005" w:rsidRDefault="00532C25" w:rsidP="00532C25">
      <w:pPr>
        <w:widowControl w:val="0"/>
        <w:autoSpaceDE w:val="0"/>
        <w:autoSpaceDN w:val="0"/>
        <w:spacing w:line="264" w:lineRule="auto"/>
        <w:ind w:left="23" w:right="13" w:firstLine="0"/>
        <w:jc w:val="center"/>
        <w:rPr>
          <w:rFonts w:ascii="Arial" w:eastAsia="Times New Roman" w:hAnsi="Arial" w:cs="Arial"/>
          <w:szCs w:val="28"/>
          <w:lang w:val="uk-UA"/>
        </w:rPr>
      </w:pPr>
      <w:r w:rsidRPr="00511005">
        <w:rPr>
          <w:rFonts w:ascii="Arial" w:eastAsia="Times New Roman" w:hAnsi="Arial" w:cs="Arial"/>
          <w:b/>
          <w:bCs/>
          <w:szCs w:val="28"/>
          <w:lang w:val="uk-UA"/>
        </w:rPr>
        <w:t>Список використаних джерел</w:t>
      </w:r>
    </w:p>
    <w:p w14:paraId="10DDA7EB" w14:textId="77777777" w:rsidR="00532C25" w:rsidRPr="00511005" w:rsidRDefault="00532C25" w:rsidP="00532C25">
      <w:pPr>
        <w:tabs>
          <w:tab w:val="left" w:pos="351"/>
        </w:tabs>
        <w:spacing w:line="264" w:lineRule="auto"/>
        <w:ind w:left="12" w:right="10" w:firstLine="0"/>
        <w:rPr>
          <w:rFonts w:ascii="Arial" w:eastAsia="Arial" w:hAnsi="Arial" w:cs="Arial"/>
          <w:szCs w:val="28"/>
          <w:lang w:val="uk-UA" w:eastAsia="ru-RU"/>
        </w:rPr>
      </w:pPr>
      <w:r w:rsidRPr="00511005">
        <w:rPr>
          <w:rFonts w:ascii="Arial" w:eastAsia="Arial" w:hAnsi="Arial" w:cs="Arial"/>
          <w:bCs/>
          <w:szCs w:val="28"/>
          <w:lang w:val="ru" w:eastAsia="ru-RU"/>
        </w:rPr>
        <w:t>1.</w:t>
      </w:r>
      <w:r w:rsidRPr="00511005">
        <w:rPr>
          <w:rFonts w:ascii="Arial" w:eastAsia="Arial" w:hAnsi="Arial" w:cs="Arial"/>
          <w:szCs w:val="28"/>
          <w:lang w:val="ru" w:eastAsia="ru-RU"/>
        </w:rPr>
        <w:t xml:space="preserve"> Кримінально-процесуальний кодекс України: Закон України від 13.04.2012 р. № 4651-VI. URL: </w:t>
      </w:r>
      <w:hyperlink r:id="rId2313" w:anchor="Text">
        <w:r w:rsidRPr="00511005">
          <w:rPr>
            <w:rFonts w:ascii="Arial" w:eastAsia="Arial" w:hAnsi="Arial" w:cs="Arial"/>
            <w:szCs w:val="28"/>
            <w:u w:color="0462C1"/>
            <w:lang w:val="ru" w:eastAsia="ru-RU"/>
          </w:rPr>
          <w:t>https://zakon.rada.gov.ua/laws/show/4651-17#Text</w:t>
        </w:r>
      </w:hyperlink>
      <w:r w:rsidRPr="00511005">
        <w:rPr>
          <w:rFonts w:ascii="Arial" w:eastAsia="Arial" w:hAnsi="Arial" w:cs="Arial"/>
          <w:szCs w:val="28"/>
          <w:u w:color="0462C1"/>
          <w:lang w:val="uk-UA" w:eastAsia="ru-RU"/>
        </w:rPr>
        <w:t xml:space="preserve">. </w:t>
      </w:r>
    </w:p>
    <w:p w14:paraId="227FAD4D" w14:textId="77777777" w:rsidR="00532C25" w:rsidRPr="00511005" w:rsidRDefault="00532C25" w:rsidP="00532C25">
      <w:pPr>
        <w:tabs>
          <w:tab w:val="left" w:pos="282"/>
        </w:tabs>
        <w:spacing w:line="264" w:lineRule="auto"/>
        <w:ind w:left="12" w:right="4" w:firstLine="0"/>
        <w:rPr>
          <w:rFonts w:ascii="Arial" w:eastAsia="Arial" w:hAnsi="Arial" w:cs="Arial"/>
          <w:szCs w:val="28"/>
          <w:lang w:val="uk-UA" w:eastAsia="ru-RU"/>
        </w:rPr>
      </w:pPr>
      <w:r w:rsidRPr="00511005">
        <w:rPr>
          <w:rFonts w:ascii="Arial" w:eastAsia="Arial" w:hAnsi="Arial" w:cs="Arial"/>
          <w:bCs/>
          <w:szCs w:val="28"/>
          <w:lang w:val="ru" w:eastAsia="ru-RU"/>
        </w:rPr>
        <w:t>2.</w:t>
      </w:r>
      <w:r w:rsidRPr="00511005">
        <w:rPr>
          <w:rFonts w:ascii="Arial" w:eastAsia="Arial" w:hAnsi="Arial" w:cs="Arial"/>
          <w:szCs w:val="28"/>
          <w:lang w:val="ru" w:eastAsia="ru-RU"/>
        </w:rPr>
        <w:t xml:space="preserve"> Затримання</w:t>
      </w:r>
      <w:r w:rsidRPr="00511005">
        <w:rPr>
          <w:rFonts w:ascii="Arial" w:eastAsia="Arial" w:hAnsi="Arial" w:cs="Arial"/>
          <w:spacing w:val="-18"/>
          <w:szCs w:val="28"/>
          <w:lang w:val="ru" w:eastAsia="ru-RU"/>
        </w:rPr>
        <w:t xml:space="preserve"> </w:t>
      </w:r>
      <w:r w:rsidRPr="00511005">
        <w:rPr>
          <w:rFonts w:ascii="Arial" w:eastAsia="Arial" w:hAnsi="Arial" w:cs="Arial"/>
          <w:szCs w:val="28"/>
          <w:lang w:val="ru" w:eastAsia="ru-RU"/>
        </w:rPr>
        <w:t>особи,</w:t>
      </w:r>
      <w:r w:rsidRPr="00511005">
        <w:rPr>
          <w:rFonts w:ascii="Arial" w:eastAsia="Arial" w:hAnsi="Arial" w:cs="Arial"/>
          <w:spacing w:val="-17"/>
          <w:szCs w:val="28"/>
          <w:lang w:val="ru" w:eastAsia="ru-RU"/>
        </w:rPr>
        <w:t xml:space="preserve"> </w:t>
      </w:r>
      <w:r w:rsidRPr="00511005">
        <w:rPr>
          <w:rFonts w:ascii="Arial" w:eastAsia="Arial" w:hAnsi="Arial" w:cs="Arial"/>
          <w:szCs w:val="28"/>
          <w:lang w:val="ru" w:eastAsia="ru-RU"/>
        </w:rPr>
        <w:t>що</w:t>
      </w:r>
      <w:r w:rsidRPr="00511005">
        <w:rPr>
          <w:rFonts w:ascii="Arial" w:eastAsia="Arial" w:hAnsi="Arial" w:cs="Arial"/>
          <w:spacing w:val="-16"/>
          <w:szCs w:val="28"/>
          <w:lang w:val="ru" w:eastAsia="ru-RU"/>
        </w:rPr>
        <w:t xml:space="preserve"> </w:t>
      </w:r>
      <w:r w:rsidRPr="00511005">
        <w:rPr>
          <w:rFonts w:ascii="Arial" w:eastAsia="Arial" w:hAnsi="Arial" w:cs="Arial"/>
          <w:szCs w:val="28"/>
          <w:lang w:val="ru" w:eastAsia="ru-RU"/>
        </w:rPr>
        <w:t>вчинила</w:t>
      </w:r>
      <w:r w:rsidRPr="00511005">
        <w:rPr>
          <w:rFonts w:ascii="Arial" w:eastAsia="Arial" w:hAnsi="Arial" w:cs="Arial"/>
          <w:spacing w:val="-16"/>
          <w:szCs w:val="28"/>
          <w:lang w:val="ru" w:eastAsia="ru-RU"/>
        </w:rPr>
        <w:t xml:space="preserve"> </w:t>
      </w:r>
      <w:r w:rsidRPr="00511005">
        <w:rPr>
          <w:rFonts w:ascii="Arial" w:eastAsia="Arial" w:hAnsi="Arial" w:cs="Arial"/>
          <w:szCs w:val="28"/>
          <w:lang w:val="ru" w:eastAsia="ru-RU"/>
        </w:rPr>
        <w:t>кримінальне</w:t>
      </w:r>
      <w:r w:rsidRPr="00511005">
        <w:rPr>
          <w:rFonts w:ascii="Arial" w:eastAsia="Arial" w:hAnsi="Arial" w:cs="Arial"/>
          <w:spacing w:val="-16"/>
          <w:szCs w:val="28"/>
          <w:lang w:val="ru" w:eastAsia="ru-RU"/>
        </w:rPr>
        <w:t xml:space="preserve"> </w:t>
      </w:r>
      <w:r w:rsidRPr="00511005">
        <w:rPr>
          <w:rFonts w:ascii="Arial" w:eastAsia="Arial" w:hAnsi="Arial" w:cs="Arial"/>
          <w:szCs w:val="28"/>
          <w:lang w:val="ru" w:eastAsia="ru-RU"/>
        </w:rPr>
        <w:t>правопорушення:</w:t>
      </w:r>
      <w:r w:rsidRPr="00511005">
        <w:rPr>
          <w:rFonts w:ascii="Arial" w:eastAsia="Arial" w:hAnsi="Arial" w:cs="Arial"/>
          <w:spacing w:val="-10"/>
          <w:szCs w:val="28"/>
          <w:lang w:val="ru" w:eastAsia="ru-RU"/>
        </w:rPr>
        <w:t xml:space="preserve"> </w:t>
      </w:r>
      <w:r w:rsidRPr="00511005">
        <w:rPr>
          <w:rFonts w:ascii="Arial" w:eastAsia="Arial" w:hAnsi="Arial" w:cs="Arial"/>
          <w:szCs w:val="28"/>
          <w:lang w:val="ru" w:eastAsia="ru-RU"/>
        </w:rPr>
        <w:t>кримінально-правовий та</w:t>
      </w:r>
      <w:r w:rsidRPr="00511005">
        <w:rPr>
          <w:rFonts w:ascii="Arial" w:eastAsia="Arial" w:hAnsi="Arial" w:cs="Arial"/>
          <w:spacing w:val="-12"/>
          <w:szCs w:val="28"/>
          <w:lang w:val="ru" w:eastAsia="ru-RU"/>
        </w:rPr>
        <w:t xml:space="preserve"> </w:t>
      </w:r>
      <w:r w:rsidRPr="00511005">
        <w:rPr>
          <w:rFonts w:ascii="Arial" w:eastAsia="Arial" w:hAnsi="Arial" w:cs="Arial"/>
          <w:szCs w:val="28"/>
          <w:lang w:val="ru" w:eastAsia="ru-RU"/>
        </w:rPr>
        <w:t>кримінально-процесуальний</w:t>
      </w:r>
      <w:r w:rsidRPr="00511005">
        <w:rPr>
          <w:rFonts w:ascii="Arial" w:eastAsia="Arial" w:hAnsi="Arial" w:cs="Arial"/>
          <w:spacing w:val="-11"/>
          <w:szCs w:val="28"/>
          <w:lang w:val="ru" w:eastAsia="ru-RU"/>
        </w:rPr>
        <w:t xml:space="preserve"> </w:t>
      </w:r>
      <w:r w:rsidRPr="00511005">
        <w:rPr>
          <w:rFonts w:ascii="Arial" w:eastAsia="Arial" w:hAnsi="Arial" w:cs="Arial"/>
          <w:szCs w:val="28"/>
          <w:lang w:val="ru" w:eastAsia="ru-RU"/>
        </w:rPr>
        <w:t>аспект</w:t>
      </w:r>
      <w:r w:rsidRPr="00511005">
        <w:rPr>
          <w:rFonts w:ascii="Arial" w:eastAsia="Arial" w:hAnsi="Arial" w:cs="Arial"/>
          <w:spacing w:val="-8"/>
          <w:szCs w:val="28"/>
          <w:lang w:val="ru" w:eastAsia="ru-RU"/>
        </w:rPr>
        <w:t xml:space="preserve"> </w:t>
      </w:r>
      <w:r w:rsidRPr="00511005">
        <w:rPr>
          <w:rFonts w:ascii="Arial" w:eastAsia="Arial" w:hAnsi="Arial" w:cs="Arial"/>
          <w:szCs w:val="28"/>
          <w:lang w:val="ru" w:eastAsia="ru-RU"/>
        </w:rPr>
        <w:t>/</w:t>
      </w:r>
      <w:r w:rsidRPr="00511005">
        <w:rPr>
          <w:rFonts w:ascii="Arial" w:eastAsia="Arial" w:hAnsi="Arial" w:cs="Arial"/>
          <w:spacing w:val="-13"/>
          <w:szCs w:val="28"/>
          <w:lang w:val="ru" w:eastAsia="ru-RU"/>
        </w:rPr>
        <w:t xml:space="preserve"> </w:t>
      </w:r>
      <w:r w:rsidRPr="00511005">
        <w:rPr>
          <w:rFonts w:ascii="Arial" w:eastAsia="Arial" w:hAnsi="Arial" w:cs="Arial"/>
          <w:szCs w:val="28"/>
          <w:lang w:val="ru" w:eastAsia="ru-RU"/>
        </w:rPr>
        <w:t>Д.</w:t>
      </w:r>
      <w:r w:rsidRPr="00511005">
        <w:rPr>
          <w:rFonts w:ascii="Arial" w:eastAsia="Arial" w:hAnsi="Arial" w:cs="Arial"/>
          <w:spacing w:val="-12"/>
          <w:szCs w:val="28"/>
          <w:lang w:val="ru" w:eastAsia="ru-RU"/>
        </w:rPr>
        <w:t xml:space="preserve"> </w:t>
      </w:r>
      <w:r w:rsidRPr="00511005">
        <w:rPr>
          <w:rFonts w:ascii="Arial" w:eastAsia="Arial" w:hAnsi="Arial" w:cs="Arial"/>
          <w:szCs w:val="28"/>
          <w:lang w:val="ru" w:eastAsia="ru-RU"/>
        </w:rPr>
        <w:t>О.</w:t>
      </w:r>
      <w:r w:rsidRPr="00511005">
        <w:rPr>
          <w:rFonts w:ascii="Arial" w:eastAsia="Arial" w:hAnsi="Arial" w:cs="Arial"/>
          <w:spacing w:val="-12"/>
          <w:szCs w:val="28"/>
          <w:lang w:val="ru" w:eastAsia="ru-RU"/>
        </w:rPr>
        <w:t xml:space="preserve"> </w:t>
      </w:r>
      <w:r w:rsidRPr="00511005">
        <w:rPr>
          <w:rFonts w:ascii="Arial" w:eastAsia="Arial" w:hAnsi="Arial" w:cs="Arial"/>
          <w:szCs w:val="28"/>
          <w:lang w:val="ru" w:eastAsia="ru-RU"/>
        </w:rPr>
        <w:t>Тимофєєв,</w:t>
      </w:r>
      <w:r w:rsidRPr="00511005">
        <w:rPr>
          <w:rFonts w:ascii="Arial" w:eastAsia="Arial" w:hAnsi="Arial" w:cs="Arial"/>
          <w:spacing w:val="-12"/>
          <w:szCs w:val="28"/>
          <w:lang w:val="ru" w:eastAsia="ru-RU"/>
        </w:rPr>
        <w:t xml:space="preserve"> </w:t>
      </w:r>
      <w:r w:rsidRPr="00511005">
        <w:rPr>
          <w:rFonts w:ascii="Arial" w:eastAsia="Arial" w:hAnsi="Arial" w:cs="Arial"/>
          <w:szCs w:val="28"/>
          <w:lang w:val="ru" w:eastAsia="ru-RU"/>
        </w:rPr>
        <w:t>О.</w:t>
      </w:r>
      <w:r w:rsidRPr="00511005">
        <w:rPr>
          <w:rFonts w:ascii="Arial" w:eastAsia="Arial" w:hAnsi="Arial" w:cs="Arial"/>
          <w:spacing w:val="-14"/>
          <w:szCs w:val="28"/>
          <w:lang w:val="ru" w:eastAsia="ru-RU"/>
        </w:rPr>
        <w:t xml:space="preserve"> </w:t>
      </w:r>
      <w:r w:rsidRPr="00511005">
        <w:rPr>
          <w:rFonts w:ascii="Arial" w:eastAsia="Arial" w:hAnsi="Arial" w:cs="Arial"/>
          <w:szCs w:val="28"/>
          <w:lang w:val="ru" w:eastAsia="ru-RU"/>
        </w:rPr>
        <w:t>С.</w:t>
      </w:r>
      <w:r w:rsidRPr="00511005">
        <w:rPr>
          <w:rFonts w:ascii="Arial" w:eastAsia="Arial" w:hAnsi="Arial" w:cs="Arial"/>
          <w:spacing w:val="-12"/>
          <w:szCs w:val="28"/>
          <w:lang w:val="ru" w:eastAsia="ru-RU"/>
        </w:rPr>
        <w:t xml:space="preserve"> </w:t>
      </w:r>
      <w:r w:rsidRPr="00511005">
        <w:rPr>
          <w:rFonts w:ascii="Arial" w:eastAsia="Arial" w:hAnsi="Arial" w:cs="Arial"/>
          <w:szCs w:val="28"/>
          <w:lang w:val="ru" w:eastAsia="ru-RU"/>
        </w:rPr>
        <w:t>Бісюк,</w:t>
      </w:r>
      <w:r w:rsidRPr="00511005">
        <w:rPr>
          <w:rFonts w:ascii="Arial" w:eastAsia="Arial" w:hAnsi="Arial" w:cs="Arial"/>
          <w:spacing w:val="-12"/>
          <w:szCs w:val="28"/>
          <w:lang w:val="ru" w:eastAsia="ru-RU"/>
        </w:rPr>
        <w:t xml:space="preserve"> </w:t>
      </w:r>
      <w:r w:rsidRPr="00511005">
        <w:rPr>
          <w:rFonts w:ascii="Arial" w:eastAsia="Arial" w:hAnsi="Arial" w:cs="Arial"/>
          <w:szCs w:val="28"/>
          <w:lang w:val="ru" w:eastAsia="ru-RU"/>
        </w:rPr>
        <w:t>Том</w:t>
      </w:r>
      <w:r w:rsidRPr="00511005">
        <w:rPr>
          <w:rFonts w:ascii="Arial" w:eastAsia="Arial" w:hAnsi="Arial" w:cs="Arial"/>
          <w:spacing w:val="-14"/>
          <w:szCs w:val="28"/>
          <w:lang w:val="ru" w:eastAsia="ru-RU"/>
        </w:rPr>
        <w:t xml:space="preserve"> </w:t>
      </w:r>
      <w:r w:rsidRPr="00511005">
        <w:rPr>
          <w:rFonts w:ascii="Arial" w:eastAsia="Arial" w:hAnsi="Arial" w:cs="Arial"/>
          <w:szCs w:val="28"/>
          <w:lang w:val="ru" w:eastAsia="ru-RU"/>
        </w:rPr>
        <w:t>3</w:t>
      </w:r>
      <w:r w:rsidRPr="00511005">
        <w:rPr>
          <w:rFonts w:ascii="Arial" w:eastAsia="Arial" w:hAnsi="Arial" w:cs="Arial"/>
          <w:spacing w:val="-11"/>
          <w:szCs w:val="28"/>
          <w:lang w:val="ru" w:eastAsia="ru-RU"/>
        </w:rPr>
        <w:t xml:space="preserve"> </w:t>
      </w:r>
      <w:r w:rsidRPr="00511005">
        <w:rPr>
          <w:rFonts w:ascii="Arial" w:eastAsia="Arial" w:hAnsi="Arial" w:cs="Arial"/>
          <w:szCs w:val="28"/>
          <w:lang w:val="ru" w:eastAsia="ru-RU"/>
        </w:rPr>
        <w:t>№</w:t>
      </w:r>
      <w:r w:rsidRPr="00511005">
        <w:rPr>
          <w:rFonts w:ascii="Arial" w:eastAsia="Arial" w:hAnsi="Arial" w:cs="Arial"/>
          <w:spacing w:val="-13"/>
          <w:szCs w:val="28"/>
          <w:lang w:val="ru" w:eastAsia="ru-RU"/>
        </w:rPr>
        <w:t xml:space="preserve"> </w:t>
      </w:r>
      <w:r w:rsidRPr="00511005">
        <w:rPr>
          <w:rFonts w:ascii="Arial" w:eastAsia="Arial" w:hAnsi="Arial" w:cs="Arial"/>
          <w:szCs w:val="28"/>
          <w:lang w:val="ru" w:eastAsia="ru-RU"/>
        </w:rPr>
        <w:t>82</w:t>
      </w:r>
      <w:r w:rsidRPr="00511005">
        <w:rPr>
          <w:rFonts w:ascii="Arial" w:eastAsia="Arial" w:hAnsi="Arial" w:cs="Arial"/>
          <w:spacing w:val="-11"/>
          <w:szCs w:val="28"/>
          <w:lang w:val="ru" w:eastAsia="ru-RU"/>
        </w:rPr>
        <w:t xml:space="preserve"> </w:t>
      </w:r>
      <w:r w:rsidRPr="00511005">
        <w:rPr>
          <w:rFonts w:ascii="Arial" w:eastAsia="Arial" w:hAnsi="Arial" w:cs="Arial"/>
          <w:szCs w:val="28"/>
          <w:lang w:val="ru" w:eastAsia="ru-RU"/>
        </w:rPr>
        <w:t xml:space="preserve">(2024): Науковий вісник Ужгородського національного університету. Серія: Право, </w:t>
      </w:r>
      <w:r w:rsidRPr="00511005">
        <w:rPr>
          <w:rFonts w:ascii="Arial" w:eastAsia="Arial" w:hAnsi="Arial" w:cs="Arial"/>
          <w:szCs w:val="28"/>
          <w:lang w:val="uk-UA" w:eastAsia="ru-RU"/>
        </w:rPr>
        <w:t>С</w:t>
      </w:r>
      <w:r w:rsidRPr="00511005">
        <w:rPr>
          <w:rFonts w:ascii="Arial" w:eastAsia="Arial" w:hAnsi="Arial" w:cs="Arial"/>
          <w:szCs w:val="28"/>
          <w:lang w:val="ru" w:eastAsia="ru-RU"/>
        </w:rPr>
        <w:t>.</w:t>
      </w:r>
      <w:r w:rsidRPr="00511005">
        <w:rPr>
          <w:rFonts w:ascii="Arial" w:eastAsia="Arial" w:hAnsi="Arial" w:cs="Arial"/>
          <w:szCs w:val="28"/>
          <w:lang w:val="uk-UA" w:eastAsia="ru-RU"/>
        </w:rPr>
        <w:t xml:space="preserve"> </w:t>
      </w:r>
      <w:r w:rsidRPr="00511005">
        <w:rPr>
          <w:rFonts w:ascii="Arial" w:eastAsia="Arial" w:hAnsi="Arial" w:cs="Arial"/>
          <w:szCs w:val="28"/>
          <w:lang w:val="ru" w:eastAsia="ru-RU"/>
        </w:rPr>
        <w:t xml:space="preserve">33-39. </w:t>
      </w:r>
      <w:r w:rsidRPr="00511005">
        <w:rPr>
          <w:rFonts w:ascii="Arial" w:eastAsia="Arial" w:hAnsi="Arial" w:cs="Arial"/>
          <w:szCs w:val="28"/>
          <w:lang w:val="en-US" w:eastAsia="ru-RU"/>
        </w:rPr>
        <w:t>URL</w:t>
      </w:r>
      <w:r w:rsidRPr="00511005">
        <w:rPr>
          <w:rFonts w:ascii="Arial" w:eastAsia="Arial" w:hAnsi="Arial" w:cs="Arial"/>
          <w:szCs w:val="28"/>
          <w:lang w:eastAsia="ru-RU"/>
        </w:rPr>
        <w:t xml:space="preserve">: </w:t>
      </w:r>
      <w:hyperlink r:id="rId2314">
        <w:r w:rsidRPr="00511005">
          <w:rPr>
            <w:rFonts w:ascii="Arial" w:eastAsia="Arial" w:hAnsi="Arial" w:cs="Arial"/>
            <w:szCs w:val="28"/>
            <w:u w:color="0462C1"/>
            <w:lang w:val="en-US" w:eastAsia="ru-RU"/>
          </w:rPr>
          <w:t>https</w:t>
        </w:r>
        <w:r w:rsidRPr="00511005">
          <w:rPr>
            <w:rFonts w:ascii="Arial" w:eastAsia="Arial" w:hAnsi="Arial" w:cs="Arial"/>
            <w:szCs w:val="28"/>
            <w:u w:color="0462C1"/>
            <w:lang w:eastAsia="ru-RU"/>
          </w:rPr>
          <w:t>://</w:t>
        </w:r>
        <w:r w:rsidRPr="00511005">
          <w:rPr>
            <w:rFonts w:ascii="Arial" w:eastAsia="Arial" w:hAnsi="Arial" w:cs="Arial"/>
            <w:szCs w:val="28"/>
            <w:u w:color="0462C1"/>
            <w:lang w:val="en-US" w:eastAsia="ru-RU"/>
          </w:rPr>
          <w:t>visnyk</w:t>
        </w:r>
        <w:r w:rsidRPr="00511005">
          <w:rPr>
            <w:rFonts w:ascii="Arial" w:eastAsia="Arial" w:hAnsi="Arial" w:cs="Arial"/>
            <w:szCs w:val="28"/>
            <w:u w:color="0462C1"/>
            <w:lang w:eastAsia="ru-RU"/>
          </w:rPr>
          <w:t>-</w:t>
        </w:r>
        <w:r w:rsidRPr="00511005">
          <w:rPr>
            <w:rFonts w:ascii="Arial" w:eastAsia="Arial" w:hAnsi="Arial" w:cs="Arial"/>
            <w:szCs w:val="28"/>
            <w:u w:color="0462C1"/>
            <w:lang w:val="en-US" w:eastAsia="ru-RU"/>
          </w:rPr>
          <w:t>juris</w:t>
        </w:r>
        <w:r w:rsidRPr="00511005">
          <w:rPr>
            <w:rFonts w:ascii="Arial" w:eastAsia="Arial" w:hAnsi="Arial" w:cs="Arial"/>
            <w:szCs w:val="28"/>
            <w:u w:color="0462C1"/>
            <w:lang w:eastAsia="ru-RU"/>
          </w:rPr>
          <w:t>-</w:t>
        </w:r>
        <w:r w:rsidRPr="00511005">
          <w:rPr>
            <w:rFonts w:ascii="Arial" w:eastAsia="Arial" w:hAnsi="Arial" w:cs="Arial"/>
            <w:szCs w:val="28"/>
            <w:u w:color="0462C1"/>
            <w:lang w:val="en-US" w:eastAsia="ru-RU"/>
          </w:rPr>
          <w:t>uzhnu</w:t>
        </w:r>
        <w:r w:rsidRPr="00511005">
          <w:rPr>
            <w:rFonts w:ascii="Arial" w:eastAsia="Arial" w:hAnsi="Arial" w:cs="Arial"/>
            <w:szCs w:val="28"/>
            <w:u w:color="0462C1"/>
            <w:lang w:eastAsia="ru-RU"/>
          </w:rPr>
          <w:t>.</w:t>
        </w:r>
        <w:r w:rsidRPr="00511005">
          <w:rPr>
            <w:rFonts w:ascii="Arial" w:eastAsia="Arial" w:hAnsi="Arial" w:cs="Arial"/>
            <w:szCs w:val="28"/>
            <w:u w:color="0462C1"/>
            <w:lang w:val="en-US" w:eastAsia="ru-RU"/>
          </w:rPr>
          <w:t>com</w:t>
        </w:r>
        <w:r w:rsidRPr="00511005">
          <w:rPr>
            <w:rFonts w:ascii="Arial" w:eastAsia="Arial" w:hAnsi="Arial" w:cs="Arial"/>
            <w:szCs w:val="28"/>
            <w:u w:color="0462C1"/>
            <w:lang w:eastAsia="ru-RU"/>
          </w:rPr>
          <w:t>/</w:t>
        </w:r>
        <w:r w:rsidRPr="00511005">
          <w:rPr>
            <w:rFonts w:ascii="Arial" w:eastAsia="Arial" w:hAnsi="Arial" w:cs="Arial"/>
            <w:szCs w:val="28"/>
            <w:u w:color="0462C1"/>
            <w:lang w:val="en-US" w:eastAsia="ru-RU"/>
          </w:rPr>
          <w:t>wp</w:t>
        </w:r>
        <w:r w:rsidRPr="00511005">
          <w:rPr>
            <w:rFonts w:ascii="Arial" w:eastAsia="Arial" w:hAnsi="Arial" w:cs="Arial"/>
            <w:szCs w:val="28"/>
            <w:u w:color="0462C1"/>
            <w:lang w:eastAsia="ru-RU"/>
          </w:rPr>
          <w:t>-</w:t>
        </w:r>
        <w:r w:rsidRPr="00511005">
          <w:rPr>
            <w:rFonts w:ascii="Arial" w:eastAsia="Arial" w:hAnsi="Arial" w:cs="Arial"/>
            <w:szCs w:val="28"/>
            <w:u w:color="0462C1"/>
            <w:lang w:val="en-US" w:eastAsia="ru-RU"/>
          </w:rPr>
          <w:t>content</w:t>
        </w:r>
        <w:r w:rsidRPr="00511005">
          <w:rPr>
            <w:rFonts w:ascii="Arial" w:eastAsia="Arial" w:hAnsi="Arial" w:cs="Arial"/>
            <w:szCs w:val="28"/>
            <w:u w:color="0462C1"/>
            <w:lang w:eastAsia="ru-RU"/>
          </w:rPr>
          <w:t>/</w:t>
        </w:r>
        <w:r w:rsidRPr="00511005">
          <w:rPr>
            <w:rFonts w:ascii="Arial" w:eastAsia="Arial" w:hAnsi="Arial" w:cs="Arial"/>
            <w:szCs w:val="28"/>
            <w:u w:color="0462C1"/>
            <w:lang w:val="en-US" w:eastAsia="ru-RU"/>
          </w:rPr>
          <w:t>uploads</w:t>
        </w:r>
        <w:r w:rsidRPr="00511005">
          <w:rPr>
            <w:rFonts w:ascii="Arial" w:eastAsia="Arial" w:hAnsi="Arial" w:cs="Arial"/>
            <w:szCs w:val="28"/>
            <w:u w:color="0462C1"/>
            <w:lang w:eastAsia="ru-RU"/>
          </w:rPr>
          <w:t>/2024/05/7-2.</w:t>
        </w:r>
        <w:r w:rsidRPr="00511005">
          <w:rPr>
            <w:rFonts w:ascii="Arial" w:eastAsia="Arial" w:hAnsi="Arial" w:cs="Arial"/>
            <w:szCs w:val="28"/>
            <w:u w:color="0462C1"/>
            <w:lang w:val="en-US" w:eastAsia="ru-RU"/>
          </w:rPr>
          <w:t>pdf</w:t>
        </w:r>
      </w:hyperlink>
      <w:r w:rsidRPr="00511005">
        <w:rPr>
          <w:rFonts w:ascii="Arial" w:eastAsia="Arial" w:hAnsi="Arial" w:cs="Arial"/>
          <w:szCs w:val="28"/>
          <w:u w:color="0462C1"/>
          <w:lang w:val="uk-UA" w:eastAsia="ru-RU"/>
        </w:rPr>
        <w:t xml:space="preserve">. </w:t>
      </w:r>
    </w:p>
    <w:p w14:paraId="17282F07" w14:textId="77777777" w:rsidR="00532C25" w:rsidRPr="00511005" w:rsidRDefault="00532C25" w:rsidP="00532C25">
      <w:pPr>
        <w:tabs>
          <w:tab w:val="left" w:pos="346"/>
        </w:tabs>
        <w:spacing w:line="264" w:lineRule="auto"/>
        <w:ind w:left="12" w:right="16" w:firstLine="0"/>
        <w:rPr>
          <w:rFonts w:ascii="Arial" w:eastAsia="Arial" w:hAnsi="Arial" w:cs="Arial"/>
          <w:szCs w:val="28"/>
          <w:lang w:val="uk-UA" w:eastAsia="ru-RU"/>
        </w:rPr>
      </w:pPr>
      <w:r w:rsidRPr="00511005">
        <w:rPr>
          <w:rFonts w:ascii="Arial" w:eastAsia="Arial" w:hAnsi="Arial" w:cs="Arial"/>
          <w:bCs/>
          <w:szCs w:val="28"/>
          <w:lang w:val="ru" w:eastAsia="ru-RU"/>
        </w:rPr>
        <w:t>3.</w:t>
      </w:r>
      <w:r w:rsidRPr="00511005">
        <w:rPr>
          <w:rFonts w:ascii="Arial" w:eastAsia="Arial" w:hAnsi="Arial" w:cs="Arial"/>
          <w:szCs w:val="28"/>
          <w:lang w:val="ru" w:eastAsia="ru-RU"/>
        </w:rPr>
        <w:t xml:space="preserve"> Постанова Верховного Суду, ухваленого</w:t>
      </w:r>
      <w:r w:rsidRPr="00511005">
        <w:rPr>
          <w:rFonts w:ascii="Arial" w:eastAsia="Arial" w:hAnsi="Arial" w:cs="Arial"/>
          <w:spacing w:val="-15"/>
          <w:szCs w:val="28"/>
          <w:lang w:val="ru" w:eastAsia="ru-RU"/>
        </w:rPr>
        <w:t xml:space="preserve"> </w:t>
      </w:r>
      <w:r w:rsidRPr="00511005">
        <w:rPr>
          <w:rFonts w:ascii="Arial" w:eastAsia="Arial" w:hAnsi="Arial" w:cs="Arial"/>
          <w:szCs w:val="28"/>
          <w:lang w:val="ru" w:eastAsia="ru-RU"/>
        </w:rPr>
        <w:t>колегією</w:t>
      </w:r>
      <w:r w:rsidRPr="00511005">
        <w:rPr>
          <w:rFonts w:ascii="Arial" w:eastAsia="Arial" w:hAnsi="Arial" w:cs="Arial"/>
          <w:spacing w:val="-14"/>
          <w:szCs w:val="28"/>
          <w:lang w:val="ru" w:eastAsia="ru-RU"/>
        </w:rPr>
        <w:t xml:space="preserve"> </w:t>
      </w:r>
      <w:r w:rsidRPr="00511005">
        <w:rPr>
          <w:rFonts w:ascii="Arial" w:eastAsia="Arial" w:hAnsi="Arial" w:cs="Arial"/>
          <w:szCs w:val="28"/>
          <w:lang w:val="ru" w:eastAsia="ru-RU"/>
        </w:rPr>
        <w:t>суддів</w:t>
      </w:r>
      <w:r w:rsidRPr="00511005">
        <w:rPr>
          <w:rFonts w:ascii="Arial" w:eastAsia="Arial" w:hAnsi="Arial" w:cs="Arial"/>
          <w:spacing w:val="-14"/>
          <w:szCs w:val="28"/>
          <w:lang w:val="ru" w:eastAsia="ru-RU"/>
        </w:rPr>
        <w:t xml:space="preserve"> </w:t>
      </w:r>
      <w:r w:rsidRPr="00511005">
        <w:rPr>
          <w:rFonts w:ascii="Arial" w:eastAsia="Arial" w:hAnsi="Arial" w:cs="Arial"/>
          <w:szCs w:val="28"/>
          <w:lang w:val="ru" w:eastAsia="ru-RU"/>
        </w:rPr>
        <w:t>Третьої</w:t>
      </w:r>
      <w:r w:rsidRPr="00511005">
        <w:rPr>
          <w:rFonts w:ascii="Arial" w:eastAsia="Arial" w:hAnsi="Arial" w:cs="Arial"/>
          <w:spacing w:val="-13"/>
          <w:szCs w:val="28"/>
          <w:lang w:val="ru" w:eastAsia="ru-RU"/>
        </w:rPr>
        <w:t xml:space="preserve"> </w:t>
      </w:r>
      <w:r w:rsidRPr="00511005">
        <w:rPr>
          <w:rFonts w:ascii="Arial" w:eastAsia="Arial" w:hAnsi="Arial" w:cs="Arial"/>
          <w:szCs w:val="28"/>
          <w:lang w:val="ru" w:eastAsia="ru-RU"/>
        </w:rPr>
        <w:t>судової</w:t>
      </w:r>
      <w:r w:rsidRPr="00511005">
        <w:rPr>
          <w:rFonts w:ascii="Arial" w:eastAsia="Arial" w:hAnsi="Arial" w:cs="Arial"/>
          <w:spacing w:val="-15"/>
          <w:szCs w:val="28"/>
          <w:lang w:val="ru" w:eastAsia="ru-RU"/>
        </w:rPr>
        <w:t xml:space="preserve"> </w:t>
      </w:r>
      <w:r w:rsidRPr="00511005">
        <w:rPr>
          <w:rFonts w:ascii="Arial" w:eastAsia="Arial" w:hAnsi="Arial" w:cs="Arial"/>
          <w:szCs w:val="28"/>
          <w:lang w:val="ru" w:eastAsia="ru-RU"/>
        </w:rPr>
        <w:t>палати</w:t>
      </w:r>
      <w:r w:rsidRPr="00511005">
        <w:rPr>
          <w:rFonts w:ascii="Arial" w:eastAsia="Arial" w:hAnsi="Arial" w:cs="Arial"/>
          <w:spacing w:val="-13"/>
          <w:szCs w:val="28"/>
          <w:lang w:val="ru" w:eastAsia="ru-RU"/>
        </w:rPr>
        <w:t xml:space="preserve"> </w:t>
      </w:r>
      <w:r w:rsidRPr="00511005">
        <w:rPr>
          <w:rFonts w:ascii="Arial" w:eastAsia="Arial" w:hAnsi="Arial" w:cs="Arial"/>
          <w:szCs w:val="28"/>
          <w:lang w:val="ru" w:eastAsia="ru-RU"/>
        </w:rPr>
        <w:t>Касаційного</w:t>
      </w:r>
      <w:r w:rsidRPr="00511005">
        <w:rPr>
          <w:rFonts w:ascii="Arial" w:eastAsia="Arial" w:hAnsi="Arial" w:cs="Arial"/>
          <w:spacing w:val="-13"/>
          <w:szCs w:val="28"/>
          <w:lang w:val="ru" w:eastAsia="ru-RU"/>
        </w:rPr>
        <w:t xml:space="preserve"> </w:t>
      </w:r>
      <w:r w:rsidRPr="00511005">
        <w:rPr>
          <w:rFonts w:ascii="Arial" w:eastAsia="Arial" w:hAnsi="Arial" w:cs="Arial"/>
          <w:szCs w:val="28"/>
          <w:lang w:val="ru" w:eastAsia="ru-RU"/>
        </w:rPr>
        <w:t>кримінального</w:t>
      </w:r>
      <w:r w:rsidRPr="00511005">
        <w:rPr>
          <w:rFonts w:ascii="Arial" w:eastAsia="Arial" w:hAnsi="Arial" w:cs="Arial"/>
          <w:spacing w:val="-13"/>
          <w:szCs w:val="28"/>
          <w:lang w:val="ru" w:eastAsia="ru-RU"/>
        </w:rPr>
        <w:t xml:space="preserve"> </w:t>
      </w:r>
      <w:r w:rsidRPr="00511005">
        <w:rPr>
          <w:rFonts w:ascii="Arial" w:eastAsia="Arial" w:hAnsi="Arial" w:cs="Arial"/>
          <w:szCs w:val="28"/>
          <w:lang w:val="ru" w:eastAsia="ru-RU"/>
        </w:rPr>
        <w:t>суду</w:t>
      </w:r>
      <w:r w:rsidRPr="00511005">
        <w:rPr>
          <w:rFonts w:ascii="Arial" w:eastAsia="Arial" w:hAnsi="Arial" w:cs="Arial"/>
          <w:spacing w:val="-13"/>
          <w:szCs w:val="28"/>
          <w:lang w:val="ru" w:eastAsia="ru-RU"/>
        </w:rPr>
        <w:t xml:space="preserve"> </w:t>
      </w:r>
      <w:r w:rsidRPr="00511005">
        <w:rPr>
          <w:rFonts w:ascii="Arial" w:eastAsia="Arial" w:hAnsi="Arial" w:cs="Arial"/>
          <w:szCs w:val="28"/>
          <w:lang w:val="ru" w:eastAsia="ru-RU"/>
        </w:rPr>
        <w:t xml:space="preserve">від 27 листопада 2019 року у справі № 686/19218/17 (провадження № 51-3118 км 19). </w:t>
      </w:r>
      <w:r w:rsidRPr="00511005">
        <w:rPr>
          <w:rFonts w:ascii="Arial" w:eastAsia="Arial" w:hAnsi="Arial" w:cs="Arial"/>
          <w:szCs w:val="28"/>
          <w:lang w:val="en-US" w:eastAsia="ru-RU"/>
        </w:rPr>
        <w:t>URL</w:t>
      </w:r>
      <w:r w:rsidRPr="00511005">
        <w:rPr>
          <w:rFonts w:ascii="Arial" w:eastAsia="Arial" w:hAnsi="Arial" w:cs="Arial"/>
          <w:szCs w:val="28"/>
          <w:lang w:val="ru" w:eastAsia="ru-RU"/>
        </w:rPr>
        <w:t xml:space="preserve">: </w:t>
      </w:r>
      <w:hyperlink r:id="rId2315" w:history="1">
        <w:r w:rsidRPr="00511005">
          <w:rPr>
            <w:rFonts w:ascii="Arial" w:eastAsia="Arial" w:hAnsi="Arial" w:cs="Arial"/>
            <w:szCs w:val="28"/>
            <w:lang w:val="ru" w:eastAsia="ru-RU"/>
          </w:rPr>
          <w:t>Єдиний державний реєстр судових рішень</w:t>
        </w:r>
      </w:hyperlink>
      <w:r w:rsidRPr="00511005">
        <w:rPr>
          <w:rFonts w:ascii="Arial" w:eastAsia="Arial" w:hAnsi="Arial" w:cs="Arial"/>
          <w:szCs w:val="28"/>
          <w:lang w:val="ru" w:eastAsia="ru-RU"/>
        </w:rPr>
        <w:t xml:space="preserve">. </w:t>
      </w:r>
    </w:p>
    <w:p w14:paraId="7BA0E107" w14:textId="77777777" w:rsidR="00532C25" w:rsidRPr="00511005" w:rsidRDefault="00532C25" w:rsidP="00532C25">
      <w:pPr>
        <w:tabs>
          <w:tab w:val="left" w:pos="327"/>
        </w:tabs>
        <w:spacing w:line="264" w:lineRule="auto"/>
        <w:ind w:left="12" w:right="5" w:firstLine="0"/>
        <w:rPr>
          <w:rFonts w:ascii="Arial" w:eastAsia="Arial" w:hAnsi="Arial" w:cs="Arial"/>
          <w:szCs w:val="28"/>
          <w:lang w:val="uk-UA" w:eastAsia="ru-RU"/>
        </w:rPr>
      </w:pPr>
      <w:r w:rsidRPr="00511005">
        <w:rPr>
          <w:rFonts w:ascii="Arial" w:eastAsia="Arial" w:hAnsi="Arial" w:cs="Arial"/>
          <w:bCs/>
          <w:szCs w:val="28"/>
          <w:lang w:val="uk-UA" w:eastAsia="ru-RU"/>
        </w:rPr>
        <w:lastRenderedPageBreak/>
        <w:t>4.</w:t>
      </w:r>
      <w:r w:rsidRPr="00511005">
        <w:rPr>
          <w:rFonts w:ascii="Arial" w:eastAsia="Arial" w:hAnsi="Arial" w:cs="Arial"/>
          <w:szCs w:val="28"/>
          <w:lang w:val="uk-UA" w:eastAsia="ru-RU"/>
        </w:rPr>
        <w:t xml:space="preserve"> Постанова Верховного суду, ухваленого колегією суддів Першої судової палати у складі</w:t>
      </w:r>
      <w:r w:rsidRPr="00511005">
        <w:rPr>
          <w:rFonts w:ascii="Arial" w:eastAsia="Arial" w:hAnsi="Arial" w:cs="Arial"/>
          <w:spacing w:val="-14"/>
          <w:szCs w:val="28"/>
          <w:lang w:val="uk-UA" w:eastAsia="ru-RU"/>
        </w:rPr>
        <w:t xml:space="preserve"> </w:t>
      </w:r>
      <w:r w:rsidRPr="00511005">
        <w:rPr>
          <w:rFonts w:ascii="Arial" w:eastAsia="Arial" w:hAnsi="Arial" w:cs="Arial"/>
          <w:szCs w:val="28"/>
          <w:lang w:val="uk-UA" w:eastAsia="ru-RU"/>
        </w:rPr>
        <w:t>Касаційного</w:t>
      </w:r>
      <w:r w:rsidRPr="00511005">
        <w:rPr>
          <w:rFonts w:ascii="Arial" w:eastAsia="Arial" w:hAnsi="Arial" w:cs="Arial"/>
          <w:spacing w:val="-17"/>
          <w:szCs w:val="28"/>
          <w:lang w:val="uk-UA" w:eastAsia="ru-RU"/>
        </w:rPr>
        <w:t xml:space="preserve"> </w:t>
      </w:r>
      <w:r w:rsidRPr="00511005">
        <w:rPr>
          <w:rFonts w:ascii="Arial" w:eastAsia="Arial" w:hAnsi="Arial" w:cs="Arial"/>
          <w:szCs w:val="28"/>
          <w:lang w:val="uk-UA" w:eastAsia="ru-RU"/>
        </w:rPr>
        <w:t>кримінального</w:t>
      </w:r>
      <w:r w:rsidRPr="00511005">
        <w:rPr>
          <w:rFonts w:ascii="Arial" w:eastAsia="Arial" w:hAnsi="Arial" w:cs="Arial"/>
          <w:spacing w:val="-15"/>
          <w:szCs w:val="28"/>
          <w:lang w:val="uk-UA" w:eastAsia="ru-RU"/>
        </w:rPr>
        <w:t xml:space="preserve"> </w:t>
      </w:r>
      <w:r w:rsidRPr="00511005">
        <w:rPr>
          <w:rFonts w:ascii="Arial" w:eastAsia="Arial" w:hAnsi="Arial" w:cs="Arial"/>
          <w:szCs w:val="28"/>
          <w:lang w:val="uk-UA" w:eastAsia="ru-RU"/>
        </w:rPr>
        <w:t>суду</w:t>
      </w:r>
      <w:r w:rsidRPr="00511005">
        <w:rPr>
          <w:rFonts w:ascii="Arial" w:eastAsia="Arial" w:hAnsi="Arial" w:cs="Arial"/>
          <w:spacing w:val="-15"/>
          <w:szCs w:val="28"/>
          <w:lang w:val="uk-UA" w:eastAsia="ru-RU"/>
        </w:rPr>
        <w:t xml:space="preserve"> </w:t>
      </w:r>
      <w:r w:rsidRPr="00511005">
        <w:rPr>
          <w:rFonts w:ascii="Arial" w:eastAsia="Arial" w:hAnsi="Arial" w:cs="Arial"/>
          <w:szCs w:val="28"/>
          <w:lang w:val="uk-UA" w:eastAsia="ru-RU"/>
        </w:rPr>
        <w:t>від</w:t>
      </w:r>
      <w:r w:rsidRPr="00511005">
        <w:rPr>
          <w:rFonts w:ascii="Arial" w:eastAsia="Arial" w:hAnsi="Arial" w:cs="Arial"/>
          <w:spacing w:val="-17"/>
          <w:szCs w:val="28"/>
          <w:lang w:val="uk-UA" w:eastAsia="ru-RU"/>
        </w:rPr>
        <w:t xml:space="preserve"> </w:t>
      </w:r>
      <w:r w:rsidRPr="00511005">
        <w:rPr>
          <w:rFonts w:ascii="Arial" w:eastAsia="Arial" w:hAnsi="Arial" w:cs="Arial"/>
          <w:szCs w:val="28"/>
          <w:lang w:val="uk-UA" w:eastAsia="ru-RU"/>
        </w:rPr>
        <w:t>15</w:t>
      </w:r>
      <w:r w:rsidRPr="00511005">
        <w:rPr>
          <w:rFonts w:ascii="Arial" w:eastAsia="Arial" w:hAnsi="Arial" w:cs="Arial"/>
          <w:spacing w:val="-15"/>
          <w:szCs w:val="28"/>
          <w:lang w:val="uk-UA" w:eastAsia="ru-RU"/>
        </w:rPr>
        <w:t xml:space="preserve"> </w:t>
      </w:r>
      <w:r w:rsidRPr="00511005">
        <w:rPr>
          <w:rFonts w:ascii="Arial" w:eastAsia="Arial" w:hAnsi="Arial" w:cs="Arial"/>
          <w:szCs w:val="28"/>
          <w:lang w:val="uk-UA" w:eastAsia="ru-RU"/>
        </w:rPr>
        <w:t>червня</w:t>
      </w:r>
      <w:r w:rsidRPr="00511005">
        <w:rPr>
          <w:rFonts w:ascii="Arial" w:eastAsia="Arial" w:hAnsi="Arial" w:cs="Arial"/>
          <w:spacing w:val="-18"/>
          <w:szCs w:val="28"/>
          <w:lang w:val="uk-UA" w:eastAsia="ru-RU"/>
        </w:rPr>
        <w:t xml:space="preserve"> </w:t>
      </w:r>
      <w:r w:rsidRPr="00511005">
        <w:rPr>
          <w:rFonts w:ascii="Arial" w:eastAsia="Arial" w:hAnsi="Arial" w:cs="Arial"/>
          <w:szCs w:val="28"/>
          <w:lang w:val="uk-UA" w:eastAsia="ru-RU"/>
        </w:rPr>
        <w:t>2021</w:t>
      </w:r>
      <w:r w:rsidRPr="00511005">
        <w:rPr>
          <w:rFonts w:ascii="Arial" w:eastAsia="Arial" w:hAnsi="Arial" w:cs="Arial"/>
          <w:spacing w:val="-16"/>
          <w:szCs w:val="28"/>
          <w:lang w:val="uk-UA" w:eastAsia="ru-RU"/>
        </w:rPr>
        <w:t xml:space="preserve"> </w:t>
      </w:r>
      <w:r w:rsidRPr="00511005">
        <w:rPr>
          <w:rFonts w:ascii="Arial" w:eastAsia="Arial" w:hAnsi="Arial" w:cs="Arial"/>
          <w:szCs w:val="28"/>
          <w:lang w:val="uk-UA" w:eastAsia="ru-RU"/>
        </w:rPr>
        <w:t>року</w:t>
      </w:r>
      <w:r w:rsidRPr="00511005">
        <w:rPr>
          <w:rFonts w:ascii="Arial" w:eastAsia="Arial" w:hAnsi="Arial" w:cs="Arial"/>
          <w:spacing w:val="-15"/>
          <w:szCs w:val="28"/>
          <w:lang w:val="uk-UA" w:eastAsia="ru-RU"/>
        </w:rPr>
        <w:t xml:space="preserve"> </w:t>
      </w:r>
      <w:r w:rsidRPr="00511005">
        <w:rPr>
          <w:rFonts w:ascii="Arial" w:eastAsia="Arial" w:hAnsi="Arial" w:cs="Arial"/>
          <w:szCs w:val="28"/>
          <w:lang w:val="uk-UA" w:eastAsia="ru-RU"/>
        </w:rPr>
        <w:t>у</w:t>
      </w:r>
      <w:r w:rsidRPr="00511005">
        <w:rPr>
          <w:rFonts w:ascii="Arial" w:eastAsia="Arial" w:hAnsi="Arial" w:cs="Arial"/>
          <w:spacing w:val="-15"/>
          <w:szCs w:val="28"/>
          <w:lang w:val="uk-UA" w:eastAsia="ru-RU"/>
        </w:rPr>
        <w:t xml:space="preserve"> </w:t>
      </w:r>
      <w:r w:rsidRPr="00511005">
        <w:rPr>
          <w:rFonts w:ascii="Arial" w:eastAsia="Arial" w:hAnsi="Arial" w:cs="Arial"/>
          <w:szCs w:val="28"/>
          <w:lang w:val="uk-UA" w:eastAsia="ru-RU"/>
        </w:rPr>
        <w:t>справі</w:t>
      </w:r>
      <w:r w:rsidRPr="00511005">
        <w:rPr>
          <w:rFonts w:ascii="Arial" w:eastAsia="Arial" w:hAnsi="Arial" w:cs="Arial"/>
          <w:spacing w:val="-9"/>
          <w:szCs w:val="28"/>
          <w:lang w:val="uk-UA" w:eastAsia="ru-RU"/>
        </w:rPr>
        <w:t xml:space="preserve"> </w:t>
      </w:r>
      <w:r w:rsidRPr="00511005">
        <w:rPr>
          <w:rFonts w:ascii="Arial" w:eastAsia="Arial" w:hAnsi="Arial" w:cs="Arial"/>
          <w:szCs w:val="28"/>
          <w:lang w:val="uk-UA" w:eastAsia="ru-RU"/>
        </w:rPr>
        <w:t>№</w:t>
      </w:r>
      <w:r w:rsidRPr="00511005">
        <w:rPr>
          <w:rFonts w:ascii="Arial" w:eastAsia="Arial" w:hAnsi="Arial" w:cs="Arial"/>
          <w:spacing w:val="-15"/>
          <w:szCs w:val="28"/>
          <w:lang w:val="uk-UA" w:eastAsia="ru-RU"/>
        </w:rPr>
        <w:t xml:space="preserve"> </w:t>
      </w:r>
      <w:r w:rsidRPr="00511005">
        <w:rPr>
          <w:rFonts w:ascii="Arial" w:eastAsia="Arial" w:hAnsi="Arial" w:cs="Arial"/>
          <w:szCs w:val="28"/>
          <w:lang w:val="uk-UA" w:eastAsia="ru-RU"/>
        </w:rPr>
        <w:t xml:space="preserve">204/6541/16- к (провадження № 51-2172км19) </w:t>
      </w:r>
      <w:r w:rsidRPr="00511005">
        <w:rPr>
          <w:rFonts w:ascii="Arial" w:eastAsia="Arial" w:hAnsi="Arial" w:cs="Arial"/>
          <w:szCs w:val="28"/>
          <w:lang w:val="ru" w:eastAsia="ru-RU"/>
        </w:rPr>
        <w:t>URL</w:t>
      </w:r>
      <w:r w:rsidRPr="00511005">
        <w:rPr>
          <w:rFonts w:ascii="Arial" w:eastAsia="Arial" w:hAnsi="Arial" w:cs="Arial"/>
          <w:szCs w:val="28"/>
          <w:lang w:val="uk-UA" w:eastAsia="ru-RU"/>
        </w:rPr>
        <w:t xml:space="preserve">: </w:t>
      </w:r>
      <w:hyperlink r:id="rId2316">
        <w:r w:rsidRPr="00511005">
          <w:rPr>
            <w:rFonts w:ascii="Arial" w:eastAsia="Arial" w:hAnsi="Arial" w:cs="Arial"/>
            <w:szCs w:val="28"/>
            <w:u w:color="0462C1"/>
            <w:lang w:val="uk-UA" w:eastAsia="ru-RU"/>
          </w:rPr>
          <w:t>Єдиний державний реєстр судових рішень</w:t>
        </w:r>
      </w:hyperlink>
      <w:r w:rsidRPr="00511005">
        <w:rPr>
          <w:rFonts w:ascii="Arial" w:eastAsia="Arial" w:hAnsi="Arial" w:cs="Arial"/>
          <w:szCs w:val="28"/>
          <w:u w:color="0462C1"/>
          <w:lang w:val="uk-UA" w:eastAsia="ru-RU"/>
        </w:rPr>
        <w:t xml:space="preserve">. </w:t>
      </w:r>
    </w:p>
    <w:p w14:paraId="65E5C04D" w14:textId="77777777" w:rsidR="00532C25" w:rsidRPr="00511005" w:rsidRDefault="00532C25" w:rsidP="00532C25">
      <w:pPr>
        <w:tabs>
          <w:tab w:val="left" w:pos="361"/>
        </w:tabs>
        <w:spacing w:line="264" w:lineRule="auto"/>
        <w:ind w:left="12" w:right="15" w:firstLine="0"/>
        <w:rPr>
          <w:rFonts w:ascii="Arial" w:eastAsia="Arial" w:hAnsi="Arial" w:cs="Arial"/>
          <w:szCs w:val="28"/>
          <w:lang w:val="ru" w:eastAsia="ru-RU"/>
        </w:rPr>
      </w:pPr>
      <w:r w:rsidRPr="00511005">
        <w:rPr>
          <w:rFonts w:ascii="Arial" w:eastAsia="Arial" w:hAnsi="Arial" w:cs="Arial"/>
          <w:bCs/>
          <w:szCs w:val="28"/>
          <w:lang w:val="ru" w:eastAsia="ru-RU"/>
        </w:rPr>
        <w:t>5.</w:t>
      </w:r>
      <w:r w:rsidRPr="00511005">
        <w:rPr>
          <w:rFonts w:ascii="Arial" w:eastAsia="Arial" w:hAnsi="Arial" w:cs="Arial"/>
          <w:szCs w:val="28"/>
          <w:lang w:val="ru" w:eastAsia="ru-RU"/>
        </w:rPr>
        <w:t xml:space="preserve"> Рішення Європейського суду з прав людини від 21 квітня 2011 року, Заява № 42310/04, «Нечипорук і Йонкало проти України». URL: </w:t>
      </w:r>
      <w:hyperlink r:id="rId2317" w:anchor="Text">
        <w:r w:rsidRPr="00511005">
          <w:rPr>
            <w:rFonts w:ascii="Arial" w:eastAsia="Arial" w:hAnsi="Arial" w:cs="Arial"/>
            <w:spacing w:val="-2"/>
            <w:szCs w:val="28"/>
            <w:u w:color="0462C1"/>
            <w:lang w:val="ru" w:eastAsia="ru-RU"/>
          </w:rPr>
          <w:t>https://zakon.rada.gov.ua/laws/show/974_683#Text</w:t>
        </w:r>
      </w:hyperlink>
    </w:p>
    <w:p w14:paraId="3A0F466E" w14:textId="77777777" w:rsidR="00532C25" w:rsidRPr="00511005" w:rsidRDefault="00532C25" w:rsidP="00532C25">
      <w:pPr>
        <w:tabs>
          <w:tab w:val="left" w:pos="284"/>
        </w:tabs>
        <w:spacing w:line="264" w:lineRule="auto"/>
        <w:ind w:left="12" w:firstLine="0"/>
        <w:rPr>
          <w:rFonts w:ascii="Arial" w:eastAsia="Arial" w:hAnsi="Arial" w:cs="Arial"/>
          <w:szCs w:val="28"/>
          <w:lang w:val="uk-UA" w:eastAsia="ru-RU"/>
        </w:rPr>
      </w:pPr>
      <w:r w:rsidRPr="00511005">
        <w:rPr>
          <w:rFonts w:ascii="Arial" w:eastAsia="Arial" w:hAnsi="Arial" w:cs="Arial"/>
          <w:bCs/>
          <w:szCs w:val="28"/>
          <w:lang w:val="ru" w:eastAsia="ru-RU"/>
        </w:rPr>
        <w:t>6.</w:t>
      </w:r>
      <w:r w:rsidRPr="00511005">
        <w:rPr>
          <w:rFonts w:ascii="Arial" w:eastAsia="Arial" w:hAnsi="Arial" w:cs="Arial"/>
          <w:szCs w:val="28"/>
          <w:lang w:val="ru" w:eastAsia="ru-RU"/>
        </w:rPr>
        <w:t xml:space="preserve"> Рішення</w:t>
      </w:r>
      <w:r w:rsidRPr="00511005">
        <w:rPr>
          <w:rFonts w:ascii="Arial" w:eastAsia="Arial" w:hAnsi="Arial" w:cs="Arial"/>
          <w:spacing w:val="-15"/>
          <w:szCs w:val="28"/>
          <w:lang w:val="ru" w:eastAsia="ru-RU"/>
        </w:rPr>
        <w:t xml:space="preserve"> </w:t>
      </w:r>
      <w:r w:rsidRPr="00511005">
        <w:rPr>
          <w:rFonts w:ascii="Arial" w:eastAsia="Arial" w:hAnsi="Arial" w:cs="Arial"/>
          <w:szCs w:val="28"/>
          <w:lang w:val="ru" w:eastAsia="ru-RU"/>
        </w:rPr>
        <w:t>Європейського</w:t>
      </w:r>
      <w:r w:rsidRPr="00511005">
        <w:rPr>
          <w:rFonts w:ascii="Arial" w:eastAsia="Arial" w:hAnsi="Arial" w:cs="Arial"/>
          <w:spacing w:val="-11"/>
          <w:szCs w:val="28"/>
          <w:lang w:val="ru" w:eastAsia="ru-RU"/>
        </w:rPr>
        <w:t xml:space="preserve"> </w:t>
      </w:r>
      <w:r w:rsidRPr="00511005">
        <w:rPr>
          <w:rFonts w:ascii="Arial" w:eastAsia="Arial" w:hAnsi="Arial" w:cs="Arial"/>
          <w:szCs w:val="28"/>
          <w:lang w:val="ru" w:eastAsia="ru-RU"/>
        </w:rPr>
        <w:t>суду</w:t>
      </w:r>
      <w:r w:rsidRPr="00511005">
        <w:rPr>
          <w:rFonts w:ascii="Arial" w:eastAsia="Arial" w:hAnsi="Arial" w:cs="Arial"/>
          <w:spacing w:val="-12"/>
          <w:szCs w:val="28"/>
          <w:lang w:val="ru" w:eastAsia="ru-RU"/>
        </w:rPr>
        <w:t xml:space="preserve"> </w:t>
      </w:r>
      <w:r w:rsidRPr="00511005">
        <w:rPr>
          <w:rFonts w:ascii="Arial" w:eastAsia="Arial" w:hAnsi="Arial" w:cs="Arial"/>
          <w:szCs w:val="28"/>
          <w:lang w:val="ru" w:eastAsia="ru-RU"/>
        </w:rPr>
        <w:t>з</w:t>
      </w:r>
      <w:r w:rsidRPr="00511005">
        <w:rPr>
          <w:rFonts w:ascii="Arial" w:eastAsia="Arial" w:hAnsi="Arial" w:cs="Arial"/>
          <w:spacing w:val="-13"/>
          <w:szCs w:val="28"/>
          <w:lang w:val="ru" w:eastAsia="ru-RU"/>
        </w:rPr>
        <w:t xml:space="preserve"> </w:t>
      </w:r>
      <w:r w:rsidRPr="00511005">
        <w:rPr>
          <w:rFonts w:ascii="Arial" w:eastAsia="Arial" w:hAnsi="Arial" w:cs="Arial"/>
          <w:szCs w:val="28"/>
          <w:lang w:val="ru" w:eastAsia="ru-RU"/>
        </w:rPr>
        <w:t>прав</w:t>
      </w:r>
      <w:r w:rsidRPr="00511005">
        <w:rPr>
          <w:rFonts w:ascii="Arial" w:eastAsia="Arial" w:hAnsi="Arial" w:cs="Arial"/>
          <w:spacing w:val="-13"/>
          <w:szCs w:val="28"/>
          <w:lang w:val="ru" w:eastAsia="ru-RU"/>
        </w:rPr>
        <w:t xml:space="preserve"> </w:t>
      </w:r>
      <w:r w:rsidRPr="00511005">
        <w:rPr>
          <w:rFonts w:ascii="Arial" w:eastAsia="Arial" w:hAnsi="Arial" w:cs="Arial"/>
          <w:szCs w:val="28"/>
          <w:lang w:val="ru" w:eastAsia="ru-RU"/>
        </w:rPr>
        <w:t>людини</w:t>
      </w:r>
      <w:r w:rsidRPr="00511005">
        <w:rPr>
          <w:rFonts w:ascii="Arial" w:eastAsia="Arial" w:hAnsi="Arial" w:cs="Arial"/>
          <w:spacing w:val="-12"/>
          <w:szCs w:val="28"/>
          <w:lang w:val="ru" w:eastAsia="ru-RU"/>
        </w:rPr>
        <w:t xml:space="preserve"> </w:t>
      </w:r>
      <w:r w:rsidRPr="00511005">
        <w:rPr>
          <w:rFonts w:ascii="Arial" w:eastAsia="Arial" w:hAnsi="Arial" w:cs="Arial"/>
          <w:szCs w:val="28"/>
          <w:lang w:val="ru" w:eastAsia="ru-RU"/>
        </w:rPr>
        <w:t>від</w:t>
      </w:r>
      <w:r w:rsidRPr="00511005">
        <w:rPr>
          <w:rFonts w:ascii="Arial" w:eastAsia="Arial" w:hAnsi="Arial" w:cs="Arial"/>
          <w:spacing w:val="-12"/>
          <w:szCs w:val="28"/>
          <w:lang w:val="ru" w:eastAsia="ru-RU"/>
        </w:rPr>
        <w:t xml:space="preserve"> </w:t>
      </w:r>
      <w:r w:rsidRPr="00511005">
        <w:rPr>
          <w:rFonts w:ascii="Arial" w:eastAsia="Arial" w:hAnsi="Arial" w:cs="Arial"/>
          <w:szCs w:val="28"/>
          <w:lang w:val="ru" w:eastAsia="ru-RU"/>
        </w:rPr>
        <w:t>29</w:t>
      </w:r>
      <w:r w:rsidRPr="00511005">
        <w:rPr>
          <w:rFonts w:ascii="Arial" w:eastAsia="Arial" w:hAnsi="Arial" w:cs="Arial"/>
          <w:spacing w:val="-11"/>
          <w:szCs w:val="28"/>
          <w:lang w:val="ru" w:eastAsia="ru-RU"/>
        </w:rPr>
        <w:t xml:space="preserve"> </w:t>
      </w:r>
      <w:r w:rsidRPr="00511005">
        <w:rPr>
          <w:rFonts w:ascii="Arial" w:eastAsia="Arial" w:hAnsi="Arial" w:cs="Arial"/>
          <w:szCs w:val="28"/>
          <w:lang w:val="ru" w:eastAsia="ru-RU"/>
        </w:rPr>
        <w:t>січня</w:t>
      </w:r>
      <w:r w:rsidRPr="00511005">
        <w:rPr>
          <w:rFonts w:ascii="Arial" w:eastAsia="Arial" w:hAnsi="Arial" w:cs="Arial"/>
          <w:spacing w:val="-13"/>
          <w:szCs w:val="28"/>
          <w:lang w:val="ru" w:eastAsia="ru-RU"/>
        </w:rPr>
        <w:t xml:space="preserve"> </w:t>
      </w:r>
      <w:r w:rsidRPr="00511005">
        <w:rPr>
          <w:rFonts w:ascii="Arial" w:eastAsia="Arial" w:hAnsi="Arial" w:cs="Arial"/>
          <w:szCs w:val="28"/>
          <w:lang w:val="ru" w:eastAsia="ru-RU"/>
        </w:rPr>
        <w:t>2015</w:t>
      </w:r>
      <w:r w:rsidRPr="00511005">
        <w:rPr>
          <w:rFonts w:ascii="Arial" w:eastAsia="Arial" w:hAnsi="Arial" w:cs="Arial"/>
          <w:spacing w:val="-11"/>
          <w:szCs w:val="28"/>
          <w:lang w:val="ru" w:eastAsia="ru-RU"/>
        </w:rPr>
        <w:t xml:space="preserve"> </w:t>
      </w:r>
      <w:r w:rsidRPr="00511005">
        <w:rPr>
          <w:rFonts w:ascii="Arial" w:eastAsia="Arial" w:hAnsi="Arial" w:cs="Arial"/>
          <w:szCs w:val="28"/>
          <w:lang w:val="ru" w:eastAsia="ru-RU"/>
        </w:rPr>
        <w:t>року,</w:t>
      </w:r>
      <w:r w:rsidRPr="00511005">
        <w:rPr>
          <w:rFonts w:ascii="Arial" w:eastAsia="Arial" w:hAnsi="Arial" w:cs="Arial"/>
          <w:spacing w:val="-6"/>
          <w:szCs w:val="28"/>
          <w:lang w:val="ru" w:eastAsia="ru-RU"/>
        </w:rPr>
        <w:t xml:space="preserve"> </w:t>
      </w:r>
      <w:r w:rsidRPr="00511005">
        <w:rPr>
          <w:rFonts w:ascii="Arial" w:eastAsia="Arial" w:hAnsi="Arial" w:cs="Arial"/>
          <w:szCs w:val="28"/>
          <w:lang w:val="ru" w:eastAsia="ru-RU"/>
        </w:rPr>
        <w:t>Заява</w:t>
      </w:r>
      <w:r w:rsidRPr="00511005">
        <w:rPr>
          <w:rFonts w:ascii="Arial" w:eastAsia="Arial" w:hAnsi="Arial" w:cs="Arial"/>
          <w:spacing w:val="-12"/>
          <w:szCs w:val="28"/>
          <w:lang w:val="ru" w:eastAsia="ru-RU"/>
        </w:rPr>
        <w:t xml:space="preserve"> </w:t>
      </w:r>
      <w:r w:rsidRPr="00511005">
        <w:rPr>
          <w:rFonts w:ascii="Arial" w:eastAsia="Arial" w:hAnsi="Arial" w:cs="Arial"/>
          <w:spacing w:val="-2"/>
          <w:szCs w:val="28"/>
          <w:lang w:val="ru" w:eastAsia="ru-RU"/>
        </w:rPr>
        <w:t>№37198/10,</w:t>
      </w:r>
      <w:r w:rsidRPr="00511005">
        <w:rPr>
          <w:rFonts w:ascii="Arial" w:eastAsia="Arial" w:hAnsi="Arial" w:cs="Arial"/>
          <w:spacing w:val="-2"/>
          <w:szCs w:val="28"/>
          <w:lang w:val="uk-UA" w:eastAsia="ru-RU"/>
        </w:rPr>
        <w:t xml:space="preserve"> </w:t>
      </w:r>
      <w:r w:rsidRPr="00511005">
        <w:rPr>
          <w:rFonts w:ascii="Arial" w:eastAsia="Arial" w:hAnsi="Arial" w:cs="Arial"/>
          <w:szCs w:val="28"/>
          <w:lang w:val="ru" w:eastAsia="ru-RU"/>
        </w:rPr>
        <w:t>«Малик</w:t>
      </w:r>
      <w:r w:rsidRPr="00511005">
        <w:rPr>
          <w:rFonts w:ascii="Arial" w:eastAsia="Arial" w:hAnsi="Arial" w:cs="Arial"/>
          <w:spacing w:val="-7"/>
          <w:szCs w:val="28"/>
          <w:lang w:val="ru" w:eastAsia="ru-RU"/>
        </w:rPr>
        <w:t xml:space="preserve"> </w:t>
      </w:r>
      <w:r w:rsidRPr="00511005">
        <w:rPr>
          <w:rFonts w:ascii="Arial" w:eastAsia="Arial" w:hAnsi="Arial" w:cs="Arial"/>
          <w:szCs w:val="28"/>
          <w:lang w:val="ru" w:eastAsia="ru-RU"/>
        </w:rPr>
        <w:t>проти</w:t>
      </w:r>
      <w:r w:rsidRPr="00511005">
        <w:rPr>
          <w:rFonts w:ascii="Arial" w:eastAsia="Arial" w:hAnsi="Arial" w:cs="Arial"/>
          <w:spacing w:val="-5"/>
          <w:szCs w:val="28"/>
          <w:lang w:val="ru" w:eastAsia="ru-RU"/>
        </w:rPr>
        <w:t xml:space="preserve"> </w:t>
      </w:r>
      <w:r w:rsidRPr="00511005">
        <w:rPr>
          <w:rFonts w:ascii="Arial" w:eastAsia="Arial" w:hAnsi="Arial" w:cs="Arial"/>
          <w:szCs w:val="28"/>
          <w:lang w:val="ru" w:eastAsia="ru-RU"/>
        </w:rPr>
        <w:t>України».</w:t>
      </w:r>
      <w:r w:rsidRPr="00511005">
        <w:rPr>
          <w:rFonts w:ascii="Arial" w:eastAsia="Arial" w:hAnsi="Arial" w:cs="Arial"/>
          <w:spacing w:val="-5"/>
          <w:szCs w:val="28"/>
          <w:lang w:val="ru" w:eastAsia="ru-RU"/>
        </w:rPr>
        <w:t xml:space="preserve"> </w:t>
      </w:r>
      <w:r w:rsidRPr="00511005">
        <w:rPr>
          <w:rFonts w:ascii="Arial" w:eastAsia="Arial" w:hAnsi="Arial" w:cs="Arial"/>
          <w:szCs w:val="28"/>
          <w:lang w:val="pl-PL" w:eastAsia="ru-RU"/>
        </w:rPr>
        <w:t>URL:</w:t>
      </w:r>
      <w:r w:rsidRPr="00511005">
        <w:rPr>
          <w:rFonts w:ascii="Arial" w:eastAsia="Arial" w:hAnsi="Arial" w:cs="Arial"/>
          <w:spacing w:val="-6"/>
          <w:szCs w:val="28"/>
          <w:lang w:val="pl-PL" w:eastAsia="ru-RU"/>
        </w:rPr>
        <w:t xml:space="preserve"> </w:t>
      </w:r>
      <w:hyperlink r:id="rId2318" w:anchor="Text">
        <w:r w:rsidRPr="00511005">
          <w:rPr>
            <w:rFonts w:ascii="Arial" w:eastAsia="Arial" w:hAnsi="Arial" w:cs="Arial"/>
            <w:spacing w:val="-2"/>
            <w:szCs w:val="28"/>
            <w:u w:color="0462C1"/>
            <w:lang w:val="pl-PL" w:eastAsia="ru-RU"/>
          </w:rPr>
          <w:t>https://zakon.rada.gov.ua/laws/show/974_a61#Text</w:t>
        </w:r>
      </w:hyperlink>
      <w:r w:rsidRPr="00511005">
        <w:rPr>
          <w:rFonts w:ascii="Arial" w:eastAsia="Arial" w:hAnsi="Arial" w:cs="Arial"/>
          <w:spacing w:val="-2"/>
          <w:szCs w:val="28"/>
          <w:u w:color="0462C1"/>
          <w:lang w:val="uk-UA" w:eastAsia="ru-RU"/>
        </w:rPr>
        <w:t xml:space="preserve">. </w:t>
      </w:r>
    </w:p>
    <w:p w14:paraId="770DB87C" w14:textId="77777777" w:rsidR="00532C25" w:rsidRPr="00511005" w:rsidRDefault="00532C25" w:rsidP="00532C25">
      <w:pPr>
        <w:tabs>
          <w:tab w:val="left" w:pos="347"/>
        </w:tabs>
        <w:spacing w:line="264" w:lineRule="auto"/>
        <w:ind w:left="12" w:right="8" w:firstLine="0"/>
        <w:rPr>
          <w:rFonts w:ascii="Arial" w:eastAsia="Arial" w:hAnsi="Arial" w:cs="Arial"/>
          <w:szCs w:val="28"/>
          <w:lang w:val="uk-UA" w:eastAsia="ru-RU"/>
        </w:rPr>
      </w:pPr>
      <w:r w:rsidRPr="00511005">
        <w:rPr>
          <w:rFonts w:ascii="Arial" w:eastAsia="Arial" w:hAnsi="Arial" w:cs="Arial"/>
          <w:bCs/>
          <w:szCs w:val="28"/>
          <w:lang w:val="uk-UA" w:eastAsia="ru-RU"/>
        </w:rPr>
        <w:t>7.</w:t>
      </w:r>
      <w:r w:rsidRPr="00511005">
        <w:rPr>
          <w:rFonts w:ascii="Arial" w:eastAsia="Arial" w:hAnsi="Arial" w:cs="Arial"/>
          <w:szCs w:val="28"/>
          <w:lang w:val="uk-UA" w:eastAsia="ru-RU"/>
        </w:rPr>
        <w:t xml:space="preserve"> Постанова Верховного Суду, ухваленого колегією суддів Першої судової палати Касаційного кримінального суду від 10 жовтня 2023 року у справі № 754/2553/18 (провадження 51-2275км21). </w:t>
      </w:r>
      <w:r w:rsidRPr="00511005">
        <w:rPr>
          <w:rFonts w:ascii="Arial" w:eastAsia="Arial" w:hAnsi="Arial" w:cs="Arial"/>
          <w:szCs w:val="28"/>
          <w:lang w:val="ru" w:eastAsia="ru-RU"/>
        </w:rPr>
        <w:t>URL</w:t>
      </w:r>
      <w:r w:rsidRPr="00511005">
        <w:rPr>
          <w:rFonts w:ascii="Arial" w:eastAsia="Arial" w:hAnsi="Arial" w:cs="Arial"/>
          <w:szCs w:val="28"/>
          <w:lang w:val="uk-UA" w:eastAsia="ru-RU"/>
        </w:rPr>
        <w:t xml:space="preserve">: </w:t>
      </w:r>
      <w:hyperlink r:id="rId2319">
        <w:r w:rsidRPr="00511005">
          <w:rPr>
            <w:rFonts w:ascii="Arial" w:eastAsia="Arial" w:hAnsi="Arial" w:cs="Arial"/>
            <w:szCs w:val="28"/>
            <w:u w:color="0000FF"/>
            <w:lang w:val="uk-UA" w:eastAsia="ru-RU"/>
          </w:rPr>
          <w:t>Єдиний державний реєстр судових рішень</w:t>
        </w:r>
      </w:hyperlink>
      <w:r w:rsidRPr="00511005">
        <w:rPr>
          <w:rFonts w:ascii="Arial" w:eastAsia="Arial" w:hAnsi="Arial" w:cs="Arial"/>
          <w:szCs w:val="28"/>
          <w:u w:color="0000FF"/>
          <w:lang w:val="uk-UA" w:eastAsia="ru-RU"/>
        </w:rPr>
        <w:t xml:space="preserve">. </w:t>
      </w:r>
    </w:p>
    <w:p w14:paraId="646B54AC" w14:textId="77777777" w:rsidR="00532C25" w:rsidRPr="00511005" w:rsidRDefault="00532C25" w:rsidP="00532C25">
      <w:pPr>
        <w:spacing w:line="264" w:lineRule="auto"/>
        <w:ind w:left="720" w:firstLine="0"/>
        <w:rPr>
          <w:rFonts w:ascii="Arial" w:eastAsia="Arial" w:hAnsi="Arial" w:cs="Arial"/>
          <w:b/>
          <w:szCs w:val="28"/>
          <w:lang w:val="ru" w:eastAsia="ru-RU"/>
        </w:rPr>
      </w:pPr>
    </w:p>
    <w:p w14:paraId="049C2C6B" w14:textId="77777777" w:rsidR="00532C25" w:rsidRPr="00511005" w:rsidRDefault="00532C25" w:rsidP="00532C25">
      <w:pPr>
        <w:spacing w:line="264" w:lineRule="auto"/>
        <w:ind w:left="720" w:firstLine="0"/>
        <w:rPr>
          <w:rFonts w:ascii="Arial" w:eastAsia="Arial" w:hAnsi="Arial" w:cs="Arial"/>
          <w:szCs w:val="28"/>
          <w:lang w:val="ru" w:eastAsia="ru-RU"/>
        </w:rPr>
      </w:pPr>
      <w:r w:rsidRPr="00511005">
        <w:rPr>
          <w:rFonts w:ascii="Arial" w:eastAsia="Arial" w:hAnsi="Arial" w:cs="Arial"/>
          <w:b/>
          <w:i/>
          <w:szCs w:val="28"/>
          <w:lang w:val="ru" w:eastAsia="ru-RU"/>
        </w:rPr>
        <w:t xml:space="preserve">Ключові слова: </w:t>
      </w:r>
      <w:r w:rsidRPr="00511005">
        <w:rPr>
          <w:rFonts w:ascii="Arial" w:eastAsia="Arial" w:hAnsi="Arial" w:cs="Arial"/>
          <w:szCs w:val="28"/>
          <w:lang w:val="ru" w:eastAsia="ru-RU"/>
        </w:rPr>
        <w:t>затримання,</w:t>
      </w:r>
      <w:r w:rsidRPr="00511005">
        <w:rPr>
          <w:rFonts w:ascii="Arial" w:eastAsia="Arial" w:hAnsi="Arial" w:cs="Arial"/>
          <w:spacing w:val="-9"/>
          <w:szCs w:val="28"/>
          <w:lang w:val="ru" w:eastAsia="ru-RU"/>
        </w:rPr>
        <w:t xml:space="preserve"> </w:t>
      </w:r>
      <w:r w:rsidRPr="00511005">
        <w:rPr>
          <w:rFonts w:ascii="Arial" w:eastAsia="Arial" w:hAnsi="Arial" w:cs="Arial"/>
          <w:szCs w:val="28"/>
          <w:lang w:val="ru" w:eastAsia="ru-RU"/>
        </w:rPr>
        <w:t>проблематика,</w:t>
      </w:r>
      <w:r w:rsidRPr="00511005">
        <w:rPr>
          <w:rFonts w:ascii="Arial" w:eastAsia="Arial" w:hAnsi="Arial" w:cs="Arial"/>
          <w:spacing w:val="-6"/>
          <w:szCs w:val="28"/>
          <w:lang w:val="ru" w:eastAsia="ru-RU"/>
        </w:rPr>
        <w:t xml:space="preserve"> </w:t>
      </w:r>
      <w:r w:rsidRPr="00511005">
        <w:rPr>
          <w:rFonts w:ascii="Arial" w:eastAsia="Arial" w:hAnsi="Arial" w:cs="Arial"/>
          <w:szCs w:val="28"/>
          <w:lang w:val="ru" w:eastAsia="ru-RU"/>
        </w:rPr>
        <w:t>порушення,</w:t>
      </w:r>
      <w:r w:rsidRPr="00511005">
        <w:rPr>
          <w:rFonts w:ascii="Arial" w:eastAsia="Arial" w:hAnsi="Arial" w:cs="Arial"/>
          <w:spacing w:val="-9"/>
          <w:szCs w:val="28"/>
          <w:lang w:val="ru" w:eastAsia="ru-RU"/>
        </w:rPr>
        <w:t xml:space="preserve"> </w:t>
      </w:r>
      <w:r w:rsidRPr="00511005">
        <w:rPr>
          <w:rFonts w:ascii="Arial" w:eastAsia="Arial" w:hAnsi="Arial" w:cs="Arial"/>
          <w:szCs w:val="28"/>
          <w:lang w:val="ru" w:eastAsia="ru-RU"/>
        </w:rPr>
        <w:t>судова</w:t>
      </w:r>
      <w:r w:rsidRPr="00511005">
        <w:rPr>
          <w:rFonts w:ascii="Arial" w:eastAsia="Arial" w:hAnsi="Arial" w:cs="Arial"/>
          <w:spacing w:val="-11"/>
          <w:szCs w:val="28"/>
          <w:lang w:val="ru" w:eastAsia="ru-RU"/>
        </w:rPr>
        <w:t xml:space="preserve"> </w:t>
      </w:r>
      <w:r w:rsidRPr="00511005">
        <w:rPr>
          <w:rFonts w:ascii="Arial" w:eastAsia="Arial" w:hAnsi="Arial" w:cs="Arial"/>
          <w:spacing w:val="-2"/>
          <w:szCs w:val="28"/>
          <w:lang w:val="ru" w:eastAsia="ru-RU"/>
        </w:rPr>
        <w:t>практика.</w:t>
      </w:r>
    </w:p>
    <w:p w14:paraId="7660C7DB" w14:textId="77777777" w:rsidR="00532C25" w:rsidRPr="00511005" w:rsidRDefault="00532C25" w:rsidP="00532C25">
      <w:pPr>
        <w:spacing w:line="264" w:lineRule="auto"/>
        <w:ind w:left="720" w:firstLine="0"/>
        <w:rPr>
          <w:rFonts w:ascii="Arial" w:eastAsia="Arial" w:hAnsi="Arial" w:cs="Arial"/>
          <w:szCs w:val="28"/>
          <w:lang w:val="en-US" w:eastAsia="ru-RU"/>
        </w:rPr>
      </w:pPr>
      <w:r w:rsidRPr="00511005">
        <w:rPr>
          <w:rFonts w:ascii="Arial" w:eastAsia="Arial" w:hAnsi="Arial" w:cs="Arial"/>
          <w:b/>
          <w:i/>
          <w:szCs w:val="28"/>
          <w:lang w:val="en-US" w:eastAsia="ru-RU"/>
        </w:rPr>
        <w:t xml:space="preserve">Key words: </w:t>
      </w:r>
      <w:r w:rsidRPr="00511005">
        <w:rPr>
          <w:rFonts w:ascii="Arial" w:eastAsia="Arial" w:hAnsi="Arial" w:cs="Arial"/>
          <w:szCs w:val="28"/>
          <w:lang w:val="en-US" w:eastAsia="ru-RU"/>
        </w:rPr>
        <w:t>detention,</w:t>
      </w:r>
      <w:r w:rsidRPr="00511005">
        <w:rPr>
          <w:rFonts w:ascii="Arial" w:eastAsia="Arial" w:hAnsi="Arial" w:cs="Arial"/>
          <w:spacing w:val="-6"/>
          <w:szCs w:val="28"/>
          <w:lang w:val="en-US" w:eastAsia="ru-RU"/>
        </w:rPr>
        <w:t xml:space="preserve"> </w:t>
      </w:r>
      <w:r w:rsidRPr="00511005">
        <w:rPr>
          <w:rFonts w:ascii="Arial" w:eastAsia="Arial" w:hAnsi="Arial" w:cs="Arial"/>
          <w:szCs w:val="28"/>
          <w:lang w:val="en-US" w:eastAsia="ru-RU"/>
        </w:rPr>
        <w:t>issues,</w:t>
      </w:r>
      <w:r w:rsidRPr="00511005">
        <w:rPr>
          <w:rFonts w:ascii="Arial" w:eastAsia="Arial" w:hAnsi="Arial" w:cs="Arial"/>
          <w:spacing w:val="-6"/>
          <w:szCs w:val="28"/>
          <w:lang w:val="en-US" w:eastAsia="ru-RU"/>
        </w:rPr>
        <w:t xml:space="preserve"> </w:t>
      </w:r>
      <w:r w:rsidRPr="00511005">
        <w:rPr>
          <w:rFonts w:ascii="Arial" w:eastAsia="Arial" w:hAnsi="Arial" w:cs="Arial"/>
          <w:szCs w:val="28"/>
          <w:lang w:val="en-US" w:eastAsia="ru-RU"/>
        </w:rPr>
        <w:t>violations,</w:t>
      </w:r>
      <w:r w:rsidRPr="00511005">
        <w:rPr>
          <w:rFonts w:ascii="Arial" w:eastAsia="Arial" w:hAnsi="Arial" w:cs="Arial"/>
          <w:spacing w:val="-6"/>
          <w:szCs w:val="28"/>
          <w:lang w:val="en-US" w:eastAsia="ru-RU"/>
        </w:rPr>
        <w:t xml:space="preserve"> </w:t>
      </w:r>
      <w:r w:rsidRPr="00511005">
        <w:rPr>
          <w:rFonts w:ascii="Arial" w:eastAsia="Arial" w:hAnsi="Arial" w:cs="Arial"/>
          <w:szCs w:val="28"/>
          <w:lang w:val="en-US" w:eastAsia="ru-RU"/>
        </w:rPr>
        <w:t>judicial</w:t>
      </w:r>
      <w:r w:rsidRPr="00511005">
        <w:rPr>
          <w:rFonts w:ascii="Arial" w:eastAsia="Arial" w:hAnsi="Arial" w:cs="Arial"/>
          <w:spacing w:val="-5"/>
          <w:szCs w:val="28"/>
          <w:lang w:val="en-US" w:eastAsia="ru-RU"/>
        </w:rPr>
        <w:t xml:space="preserve"> </w:t>
      </w:r>
      <w:r w:rsidRPr="00511005">
        <w:rPr>
          <w:rFonts w:ascii="Arial" w:eastAsia="Arial" w:hAnsi="Arial" w:cs="Arial"/>
          <w:spacing w:val="-2"/>
          <w:szCs w:val="28"/>
          <w:lang w:val="en-US" w:eastAsia="ru-RU"/>
        </w:rPr>
        <w:t>practice.</w:t>
      </w:r>
    </w:p>
    <w:p w14:paraId="79E0053B" w14:textId="77777777" w:rsidR="00532C25" w:rsidRPr="00511005" w:rsidRDefault="00532C25" w:rsidP="00532C25">
      <w:pPr>
        <w:spacing w:line="264" w:lineRule="auto"/>
        <w:ind w:left="720" w:firstLine="0"/>
        <w:rPr>
          <w:rFonts w:ascii="Arial" w:eastAsia="Arial" w:hAnsi="Arial" w:cs="Arial"/>
          <w:i/>
          <w:szCs w:val="28"/>
          <w:lang w:val="ru" w:eastAsia="ru-RU"/>
        </w:rPr>
      </w:pPr>
      <w:r w:rsidRPr="00511005">
        <w:rPr>
          <w:rFonts w:ascii="Arial" w:eastAsia="Arial" w:hAnsi="Arial" w:cs="Arial"/>
          <w:b/>
          <w:i/>
          <w:szCs w:val="28"/>
          <w:lang w:val="ru" w:eastAsia="ru-RU"/>
        </w:rPr>
        <w:t xml:space="preserve">Науковий керівник: </w:t>
      </w:r>
      <w:r w:rsidRPr="00511005">
        <w:rPr>
          <w:rFonts w:ascii="Arial" w:eastAsia="Arial" w:hAnsi="Arial" w:cs="Arial"/>
          <w:i/>
          <w:szCs w:val="28"/>
          <w:lang w:val="ru" w:eastAsia="ru-RU"/>
        </w:rPr>
        <w:t>к.ю.н.</w:t>
      </w:r>
      <w:r w:rsidRPr="00511005">
        <w:rPr>
          <w:rFonts w:ascii="Arial" w:eastAsia="Arial" w:hAnsi="Arial" w:cs="Arial"/>
          <w:i/>
          <w:spacing w:val="-7"/>
          <w:szCs w:val="28"/>
          <w:lang w:val="ru" w:eastAsia="ru-RU"/>
        </w:rPr>
        <w:t xml:space="preserve"> </w:t>
      </w:r>
      <w:r w:rsidRPr="00511005">
        <w:rPr>
          <w:rFonts w:ascii="Arial" w:eastAsia="Arial" w:hAnsi="Arial" w:cs="Arial"/>
          <w:i/>
          <w:szCs w:val="28"/>
          <w:lang w:val="ru" w:eastAsia="ru-RU"/>
        </w:rPr>
        <w:t>доцент</w:t>
      </w:r>
      <w:r w:rsidRPr="00511005">
        <w:rPr>
          <w:rFonts w:ascii="Arial" w:eastAsia="Arial" w:hAnsi="Arial" w:cs="Arial"/>
          <w:i/>
          <w:spacing w:val="-9"/>
          <w:szCs w:val="28"/>
          <w:lang w:val="ru" w:eastAsia="ru-RU"/>
        </w:rPr>
        <w:t xml:space="preserve"> </w:t>
      </w:r>
      <w:r w:rsidRPr="00511005">
        <w:rPr>
          <w:rFonts w:ascii="Arial" w:eastAsia="Arial" w:hAnsi="Arial" w:cs="Arial"/>
          <w:i/>
          <w:szCs w:val="28"/>
          <w:lang w:val="ru" w:eastAsia="ru-RU"/>
        </w:rPr>
        <w:t>Пожар</w:t>
      </w:r>
      <w:r w:rsidRPr="00511005">
        <w:rPr>
          <w:rFonts w:ascii="Arial" w:eastAsia="Arial" w:hAnsi="Arial" w:cs="Arial"/>
          <w:i/>
          <w:spacing w:val="-7"/>
          <w:szCs w:val="28"/>
          <w:lang w:val="ru" w:eastAsia="ru-RU"/>
        </w:rPr>
        <w:t xml:space="preserve"> </w:t>
      </w:r>
      <w:r w:rsidRPr="00511005">
        <w:rPr>
          <w:rFonts w:ascii="Arial" w:eastAsia="Arial" w:hAnsi="Arial" w:cs="Arial"/>
          <w:i/>
          <w:spacing w:val="-4"/>
          <w:szCs w:val="28"/>
          <w:lang w:val="ru" w:eastAsia="ru-RU"/>
        </w:rPr>
        <w:t>В.Г.</w:t>
      </w:r>
    </w:p>
    <w:p w14:paraId="22359F32" w14:textId="77777777" w:rsidR="00532C25" w:rsidRPr="00511005" w:rsidRDefault="00532C25" w:rsidP="00532C25">
      <w:pPr>
        <w:spacing w:line="264" w:lineRule="auto"/>
        <w:ind w:left="360" w:firstLine="360"/>
        <w:rPr>
          <w:rFonts w:ascii="Arial" w:eastAsia="Arial" w:hAnsi="Arial" w:cs="Arial"/>
          <w:szCs w:val="28"/>
          <w:lang w:val="ru" w:eastAsia="ru-RU"/>
        </w:rPr>
      </w:pPr>
    </w:p>
    <w:p w14:paraId="7E291741" w14:textId="77777777" w:rsidR="00532C25" w:rsidRPr="00511005" w:rsidRDefault="00532C25" w:rsidP="00532C25">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Янковська Марія – Антуанетта Віталіївна</w:t>
      </w:r>
    </w:p>
    <w:p w14:paraId="096E0D81" w14:textId="77777777" w:rsidR="00532C25" w:rsidRPr="00511005" w:rsidRDefault="00532C25" w:rsidP="00532C25">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3-го курсу факультету адвокатури та антикорупційної діяльності</w:t>
      </w:r>
    </w:p>
    <w:p w14:paraId="5E08CF20" w14:textId="77777777" w:rsidR="00532C25" w:rsidRPr="00511005" w:rsidRDefault="00532C25" w:rsidP="00532C25">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2FEE07C" w14:textId="77777777" w:rsidR="00532C25" w:rsidRPr="00511005" w:rsidRDefault="00532C25" w:rsidP="00532C25">
      <w:pPr>
        <w:spacing w:line="264" w:lineRule="auto"/>
        <w:ind w:firstLine="0"/>
        <w:jc w:val="center"/>
        <w:rPr>
          <w:rFonts w:ascii="Arial" w:eastAsia="Arial" w:hAnsi="Arial" w:cs="Arial"/>
          <w:b/>
          <w:szCs w:val="28"/>
          <w:lang w:val="uk-UA" w:eastAsia="ru-RU"/>
        </w:rPr>
      </w:pPr>
    </w:p>
    <w:p w14:paraId="56F6B110" w14:textId="77777777" w:rsidR="00532C25" w:rsidRPr="00511005" w:rsidRDefault="00532C25" w:rsidP="00532C25">
      <w:pPr>
        <w:spacing w:line="264" w:lineRule="auto"/>
        <w:ind w:firstLine="0"/>
        <w:jc w:val="center"/>
        <w:rPr>
          <w:rFonts w:ascii="Arial" w:eastAsia="Arial" w:hAnsi="Arial" w:cs="Arial"/>
          <w:b/>
          <w:szCs w:val="28"/>
          <w:lang w:val="uk-UA" w:eastAsia="ru-RU"/>
        </w:rPr>
      </w:pPr>
      <w:r w:rsidRPr="00511005">
        <w:rPr>
          <w:rFonts w:ascii="Arial" w:eastAsia="Arial" w:hAnsi="Arial" w:cs="Arial"/>
          <w:b/>
          <w:szCs w:val="28"/>
          <w:lang w:val="uk-UA" w:eastAsia="ru-RU"/>
        </w:rPr>
        <w:t>РИЗИКИ ДИСКРИМІНАЦІЇ ТА УПЕРЕДЖЕНОСТІ ПРИ ВИКОРИСТАННІ ШІ У КРИМІНАЛЬНОМУ СУДОЧИНСТВІ</w:t>
      </w:r>
    </w:p>
    <w:p w14:paraId="50F39F9C" w14:textId="77777777" w:rsidR="00532C25" w:rsidRPr="00511005" w:rsidRDefault="00532C25" w:rsidP="00532C25">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На сучасному етапі кримінальне судочинство все більше інтегрує технологічні інновації, до яких відносимо передусім штучний інтелект та алгоритмічні системи, що розробляються на його основі. Їх основним завданням є оцінка ризиків, прогнозування поведінки підозрюваних, а іноді, навіть допомога суддям у винесенні судових рішень. Такі алгоритми представлені як інструменти, що гарантують об’єктивність та неупередженість, однак разом з великою кількістю переваг, ці технології мають ряд серйозних недоліків, які полягають не лише у проблематиці їх застосування у технічному плані, а й у серйозних наслідках, що поглиблюють вже існуючі проблеми кримінального правосуддя.</w:t>
      </w:r>
    </w:p>
    <w:p w14:paraId="2D3EF39F"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Times New Roman" w:hAnsi="Arial" w:cs="Arial"/>
          <w:szCs w:val="28"/>
          <w:lang w:val="uk-UA" w:eastAsia="ru-RU"/>
        </w:rPr>
        <w:t xml:space="preserve">Зокрема йдеться про ризики відтворення або навіть посилення упередженості та дискримінації. В ідеалі, машинний інтелект має бути абсолютно нейтральним, це робить його універсальним помічником, що опирається лише на факти та завдання, які йому надаються. На практиці ж бачимо, що новітні системи можуть не лише базуватись у своїй роботі на вже існуючі стереотипи та упередження, а й підсилювати їх. Яскраво це </w:t>
      </w:r>
      <w:r w:rsidRPr="00511005">
        <w:rPr>
          <w:rFonts w:ascii="Arial" w:eastAsia="Times New Roman" w:hAnsi="Arial" w:cs="Arial"/>
          <w:szCs w:val="28"/>
          <w:lang w:val="uk-UA" w:eastAsia="ru-RU"/>
        </w:rPr>
        <w:lastRenderedPageBreak/>
        <w:t xml:space="preserve">демонструє алгоритмічна система </w:t>
      </w:r>
      <w:r w:rsidRPr="00511005">
        <w:rPr>
          <w:rFonts w:ascii="Arial" w:eastAsia="Arial" w:hAnsi="Arial" w:cs="Arial"/>
          <w:szCs w:val="28"/>
          <w:lang w:val="en-US" w:eastAsia="ru-RU"/>
        </w:rPr>
        <w:t>COMPAS</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Correctional</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Offender</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Management</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Profiling</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for</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Alternative</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Sanctions</w:t>
      </w:r>
      <w:r w:rsidRPr="00511005">
        <w:rPr>
          <w:rFonts w:ascii="Arial" w:eastAsia="Arial" w:hAnsi="Arial" w:cs="Arial"/>
          <w:szCs w:val="28"/>
          <w:lang w:val="uk-UA" w:eastAsia="ru-RU"/>
        </w:rPr>
        <w:t xml:space="preserve">), розроблена компанією </w:t>
      </w:r>
      <w:r w:rsidRPr="00511005">
        <w:rPr>
          <w:rFonts w:ascii="Arial" w:eastAsia="Arial" w:hAnsi="Arial" w:cs="Arial"/>
          <w:szCs w:val="28"/>
          <w:lang w:val="ru" w:eastAsia="ru-RU"/>
        </w:rPr>
        <w:t xml:space="preserve">Northpointe (нині Equivant). Ця система широко застосовується в судах США для оцінки ризику рецидиву обвинувачених.​ У 2016 році дослідження, проведене ProPublica, виявило, що COMPAS має расову упередженість. </w:t>
      </w:r>
      <w:r w:rsidRPr="00511005">
        <w:rPr>
          <w:rFonts w:ascii="Arial" w:eastAsia="Arial" w:hAnsi="Arial" w:cs="Arial"/>
          <w:szCs w:val="28"/>
          <w:lang w:val="uk-UA" w:eastAsia="ru-RU"/>
        </w:rPr>
        <w:t>Вдалося встановити, що</w:t>
      </w:r>
      <w:r w:rsidRPr="00511005">
        <w:rPr>
          <w:rFonts w:ascii="Arial" w:eastAsia="Arial" w:hAnsi="Arial" w:cs="Arial"/>
          <w:szCs w:val="28"/>
          <w:lang w:val="ru" w:eastAsia="ru-RU"/>
        </w:rPr>
        <w:t xml:space="preserve"> афроамериканські обвинувачені частіше отримували високі оцінки ризику рецидиву, навіть якщо не вчиняли повторних кримінальних правопорушень, тоді як білошкірі обвинувачені з такими ж самими або</w:t>
      </w:r>
      <w:r w:rsidRPr="00511005">
        <w:rPr>
          <w:rFonts w:ascii="Arial" w:eastAsia="Arial" w:hAnsi="Arial" w:cs="Arial"/>
          <w:szCs w:val="28"/>
          <w:lang w:val="uk-UA" w:eastAsia="ru-RU"/>
        </w:rPr>
        <w:t xml:space="preserve"> навіть</w:t>
      </w:r>
      <w:r w:rsidRPr="00511005">
        <w:rPr>
          <w:rFonts w:ascii="Arial" w:eastAsia="Arial" w:hAnsi="Arial" w:cs="Arial"/>
          <w:szCs w:val="28"/>
          <w:lang w:val="ru" w:eastAsia="ru-RU"/>
        </w:rPr>
        <w:t xml:space="preserve"> гіршими показниками</w:t>
      </w:r>
      <w:r w:rsidRPr="00511005">
        <w:rPr>
          <w:rFonts w:ascii="Arial" w:eastAsia="Arial" w:hAnsi="Arial" w:cs="Arial"/>
          <w:szCs w:val="28"/>
          <w:lang w:val="uk-UA" w:eastAsia="ru-RU"/>
        </w:rPr>
        <w:t>,</w:t>
      </w:r>
      <w:r w:rsidRPr="00511005">
        <w:rPr>
          <w:rFonts w:ascii="Arial" w:eastAsia="Arial" w:hAnsi="Arial" w:cs="Arial"/>
          <w:szCs w:val="28"/>
          <w:lang w:val="ru" w:eastAsia="ru-RU"/>
        </w:rPr>
        <w:t xml:space="preserve"> отримували </w:t>
      </w:r>
      <w:r w:rsidRPr="00511005">
        <w:rPr>
          <w:rFonts w:ascii="Arial" w:eastAsia="Arial" w:hAnsi="Arial" w:cs="Arial"/>
          <w:szCs w:val="28"/>
          <w:lang w:val="uk-UA" w:eastAsia="ru-RU"/>
        </w:rPr>
        <w:t xml:space="preserve">значно </w:t>
      </w:r>
      <w:r w:rsidRPr="00511005">
        <w:rPr>
          <w:rFonts w:ascii="Arial" w:eastAsia="Arial" w:hAnsi="Arial" w:cs="Arial"/>
          <w:szCs w:val="28"/>
          <w:lang w:val="ru" w:eastAsia="ru-RU"/>
        </w:rPr>
        <w:t xml:space="preserve">нижчі оцінки ризику. Це стало потужним аргументом у дискусіях про </w:t>
      </w:r>
      <w:r w:rsidRPr="00511005">
        <w:rPr>
          <w:rFonts w:ascii="Arial" w:eastAsia="Arial" w:hAnsi="Arial" w:cs="Arial"/>
          <w:b/>
          <w:bCs/>
          <w:szCs w:val="28"/>
          <w:lang w:val="ru" w:eastAsia="ru-RU"/>
        </w:rPr>
        <w:t>алгоритмічну дискримінацію</w:t>
      </w:r>
      <w:r w:rsidRPr="00511005">
        <w:rPr>
          <w:rFonts w:ascii="Arial" w:eastAsia="Arial" w:hAnsi="Arial" w:cs="Arial"/>
          <w:b/>
          <w:szCs w:val="28"/>
          <w:lang w:val="ru" w:eastAsia="ru-RU"/>
        </w:rPr>
        <w:t xml:space="preserve">, </w:t>
      </w:r>
      <w:r w:rsidRPr="00511005">
        <w:rPr>
          <w:rFonts w:ascii="Arial" w:eastAsia="Arial" w:hAnsi="Arial" w:cs="Arial"/>
          <w:b/>
          <w:bCs/>
          <w:szCs w:val="28"/>
          <w:lang w:val="ru" w:eastAsia="ru-RU"/>
        </w:rPr>
        <w:t>відсутність прозорості</w:t>
      </w:r>
      <w:r w:rsidRPr="00511005">
        <w:rPr>
          <w:rFonts w:ascii="Arial" w:eastAsia="Arial" w:hAnsi="Arial" w:cs="Arial"/>
          <w:b/>
          <w:szCs w:val="28"/>
          <w:lang w:val="ru" w:eastAsia="ru-RU"/>
        </w:rPr>
        <w:t xml:space="preserve"> та </w:t>
      </w:r>
      <w:r w:rsidRPr="00511005">
        <w:rPr>
          <w:rFonts w:ascii="Arial" w:eastAsia="Arial" w:hAnsi="Arial" w:cs="Arial"/>
          <w:b/>
          <w:bCs/>
          <w:szCs w:val="28"/>
          <w:lang w:val="ru" w:eastAsia="ru-RU"/>
        </w:rPr>
        <w:t>обмеженість судового контролю</w:t>
      </w:r>
      <w:r w:rsidRPr="00511005">
        <w:rPr>
          <w:rFonts w:ascii="Arial" w:eastAsia="Arial" w:hAnsi="Arial" w:cs="Arial"/>
          <w:szCs w:val="28"/>
          <w:lang w:val="ru" w:eastAsia="ru-RU"/>
        </w:rPr>
        <w:t xml:space="preserve"> [3]. </w:t>
      </w:r>
    </w:p>
    <w:p w14:paraId="6314ED55" w14:textId="77777777" w:rsidR="00532C25" w:rsidRPr="00511005" w:rsidRDefault="00532C25" w:rsidP="00532C25">
      <w:pPr>
        <w:spacing w:line="264" w:lineRule="auto"/>
        <w:ind w:firstLine="708"/>
        <w:rPr>
          <w:rFonts w:ascii="Arial" w:eastAsia="Arial" w:hAnsi="Arial" w:cs="Arial"/>
          <w:szCs w:val="28"/>
          <w:lang w:val="ru" w:eastAsia="ru-RU"/>
        </w:rPr>
      </w:pPr>
      <w:r w:rsidRPr="00511005">
        <w:rPr>
          <w:rFonts w:ascii="Arial" w:eastAsia="Arial" w:hAnsi="Arial" w:cs="Arial"/>
          <w:szCs w:val="28"/>
          <w:lang w:val="uk-UA" w:eastAsia="ru-RU"/>
        </w:rPr>
        <w:t>Аналогічні висновки були опубліковані в журналі</w:t>
      </w:r>
      <w:r w:rsidRPr="00511005">
        <w:rPr>
          <w:rFonts w:ascii="Arial" w:eastAsia="Arial" w:hAnsi="Arial" w:cs="Arial"/>
          <w:i/>
          <w:szCs w:val="28"/>
          <w:lang w:val="uk-UA" w:eastAsia="ru-RU"/>
        </w:rPr>
        <w:t xml:space="preserve"> </w:t>
      </w:r>
      <w:r w:rsidRPr="00511005">
        <w:rPr>
          <w:rFonts w:ascii="Arial" w:eastAsia="Arial" w:hAnsi="Arial" w:cs="Arial"/>
          <w:i/>
          <w:iCs/>
          <w:szCs w:val="28"/>
          <w:lang w:val="ru" w:eastAsia="ru-RU"/>
        </w:rPr>
        <w:t>Research</w:t>
      </w:r>
      <w:r w:rsidRPr="00511005">
        <w:rPr>
          <w:rFonts w:ascii="Arial" w:eastAsia="Arial" w:hAnsi="Arial" w:cs="Arial"/>
          <w:i/>
          <w:iCs/>
          <w:szCs w:val="28"/>
          <w:lang w:val="uk-UA" w:eastAsia="ru-RU"/>
        </w:rPr>
        <w:t xml:space="preserve"> </w:t>
      </w:r>
      <w:r w:rsidRPr="00511005">
        <w:rPr>
          <w:rFonts w:ascii="Arial" w:eastAsia="Arial" w:hAnsi="Arial" w:cs="Arial"/>
          <w:i/>
          <w:iCs/>
          <w:szCs w:val="28"/>
          <w:lang w:val="ru" w:eastAsia="ru-RU"/>
        </w:rPr>
        <w:t>Outreach</w:t>
      </w:r>
      <w:r w:rsidRPr="00511005">
        <w:rPr>
          <w:rFonts w:ascii="Arial" w:eastAsia="Arial" w:hAnsi="Arial" w:cs="Arial"/>
          <w:szCs w:val="28"/>
          <w:lang w:val="uk-UA" w:eastAsia="ru-RU"/>
        </w:rPr>
        <w:t xml:space="preserve">, які вкотре продемонстрували, що застосування </w:t>
      </w:r>
      <w:r w:rsidRPr="00511005">
        <w:rPr>
          <w:rFonts w:ascii="Arial" w:eastAsia="Arial" w:hAnsi="Arial" w:cs="Arial"/>
          <w:szCs w:val="28"/>
          <w:lang w:val="ru" w:eastAsia="ru-RU"/>
        </w:rPr>
        <w:t>COMPAS</w:t>
      </w:r>
      <w:r w:rsidRPr="00511005">
        <w:rPr>
          <w:rFonts w:ascii="Arial" w:eastAsia="Arial" w:hAnsi="Arial" w:cs="Arial"/>
          <w:szCs w:val="28"/>
          <w:lang w:val="uk-UA" w:eastAsia="ru-RU"/>
        </w:rPr>
        <w:t xml:space="preserve"> має не лише полегшувати роботу суддям, а й виключати можливість винесення несправедливих рішень щодо запобіжних заходів або умовно-дострокового звільнення </w:t>
      </w:r>
      <w:r w:rsidRPr="00511005">
        <w:rPr>
          <w:rFonts w:ascii="Arial" w:eastAsia="Arial" w:hAnsi="Arial" w:cs="Arial"/>
          <w:szCs w:val="28"/>
          <w:lang w:val="ru" w:eastAsia="ru-RU"/>
        </w:rPr>
        <w:t xml:space="preserve">[6]. </w:t>
      </w:r>
    </w:p>
    <w:p w14:paraId="34E1B62A"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Окрім цього, проблема дискримінації йде на ряду з фактом того, що судді можуть використовувати результати алгоритмічних оцінок не як об’єктивну підказку, а як засіб легітимізації власних рішень, які були ухвалені на основі лише суб’єктивного досвіду або внутрішніх переконань. Виходячи з цього, стає очевидно, що використання алгоритмічних інструментів становить не стільки аналітичну цінність, а більше як ефективний засіб грамотного виправдання незаконних та тенденційних рішень [5].</w:t>
      </w:r>
    </w:p>
    <w:p w14:paraId="52162C65"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Не можемо не сказати про проблему непрозорості використання ШІ у кримінальному судочинстві. Маємо на увазі неможливість перевірки роботи алгоритмів, оскарження результатів оцінок, що були зроблені на їх основі. Закритий вихідний код — є ключовою проблемою, у згаданій нами раніше системі </w:t>
      </w:r>
      <w:r w:rsidRPr="00511005">
        <w:rPr>
          <w:rFonts w:ascii="Arial" w:eastAsia="Arial" w:hAnsi="Arial" w:cs="Arial"/>
          <w:szCs w:val="28"/>
          <w:lang w:val="en-US" w:eastAsia="ru-RU"/>
        </w:rPr>
        <w:t>COMPAS</w:t>
      </w:r>
      <w:r w:rsidRPr="00511005">
        <w:rPr>
          <w:rFonts w:ascii="Arial" w:eastAsia="Arial" w:hAnsi="Arial" w:cs="Arial"/>
          <w:szCs w:val="28"/>
          <w:lang w:val="uk-UA" w:eastAsia="ru-RU"/>
        </w:rPr>
        <w:t xml:space="preserve">. Це означає, що для підозрюваних та їх адвокатів є неможливою перевірка формування оцінки ризику рецидиву кримінального правопорушення, наприклад, відповідно — про ефективний захист прав не може йти мови. Всі ці фактори лише посилюють недовіру громадськості до правосуддя, особливо це стосується найбільш вразливих груп, що найчастіше стають жертвами дискримінації, яка в свою чергу, завдяки машинному розумі, набуває нових рис у технологічній формі [4]. З вище сказаного, можемо стверджувати, що «нейтральність» алгоритмічних систем зараз викликає лише недовіру та сумніви. Без належної системної перевірки та контролю, ці системи будуть лише поглиблювати існуючи у кримінальному судочинстві проблеми, під виглядом неупередженого аналізу та обчислень. </w:t>
      </w:r>
    </w:p>
    <w:p w14:paraId="37B1EEF1"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Поряд з проблемою упередженості та дискримінації, виникає низка серйозних юридичних викликів. Зокрема говоримо про відповідність </w:t>
      </w:r>
      <w:r w:rsidRPr="00511005">
        <w:rPr>
          <w:rFonts w:ascii="Arial" w:eastAsia="Arial" w:hAnsi="Arial" w:cs="Arial"/>
          <w:szCs w:val="28"/>
          <w:lang w:val="uk-UA" w:eastAsia="ru-RU"/>
        </w:rPr>
        <w:lastRenderedPageBreak/>
        <w:t>процедури використання ШІ та наслідків їх застосування, принципу права на справедливий суд, що прямо гарантуються статтею 6 Європейської конвенції з прав людини [1]. Адже про яке правосуддя можна говорити, коли рішення, що будується на суто суб’єктивному факторі або на основі аналізу, упередженої інформації, тепер повністю може бути легітимізоване штучним інтелектом, і аргументоване у найбільш переконливому вигляді. Також необхідно зазначити про відсутність чітких механізмів відповідальності. Це також величезний виклик, адже якщо рішення приймаються з застосуванням штучного розуму, то хто нестиме відповідальність, якщо будуть виявлені помилки. Адже мова йде не лише про технічні проблеми — а про особистість, життя якої мало бути в руках професійного судді, натомість — стало жертвою машини.</w:t>
      </w:r>
    </w:p>
    <w:p w14:paraId="40285BA2"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Times New Roman" w:hAnsi="Arial" w:cs="Arial"/>
          <w:szCs w:val="28"/>
          <w:lang w:val="uk-UA" w:eastAsia="ru-RU"/>
        </w:rPr>
        <w:t xml:space="preserve">Що стосується України, то впровадження алгоритмічних систем у кримінальне судочинство та діяльність правоохоронних органів перебуває лише на етапі обговорень та розробок. Причиною цьому є вже класичний набір викликів: низький рівень цифровізації кримінального судочинства, відсутність правової регламентації процедур їх застосування та механізмів відповідальності, брак кваліфікованих кадрів, велика кількість ризиків, пов’язаних з дотриманням прав та свобод людини і надзвичайно низький рівень фінансування. Підтвердженням складності імплементації ШІ у кримінальний процес, слугують влучні зауваження В.І. Тереметського, який зазначив, що навіть за наявності політичної волі впроваджувати цифрові технології у механізми винесення рішень чи провадження інших процесуальних дій, існує суттєвий ризик порушення засад верховенства права, а також принципів неупередженості та рівності перед законом </w:t>
      </w:r>
      <w:r w:rsidRPr="00511005">
        <w:rPr>
          <w:rFonts w:ascii="Arial" w:eastAsia="Arial" w:hAnsi="Arial" w:cs="Arial"/>
          <w:szCs w:val="28"/>
          <w:lang w:val="uk-UA" w:eastAsia="ru-RU"/>
        </w:rPr>
        <w:t>[2].</w:t>
      </w:r>
    </w:p>
    <w:p w14:paraId="675025A6" w14:textId="77777777" w:rsidR="00532C25" w:rsidRPr="00511005" w:rsidRDefault="00532C25" w:rsidP="00532C25">
      <w:pPr>
        <w:spacing w:line="264" w:lineRule="auto"/>
        <w:ind w:firstLine="708"/>
        <w:rPr>
          <w:rFonts w:ascii="Arial" w:eastAsia="Arial" w:hAnsi="Arial" w:cs="Arial"/>
          <w:szCs w:val="28"/>
          <w:lang w:val="uk-UA" w:eastAsia="ru-RU"/>
        </w:rPr>
      </w:pPr>
      <w:r w:rsidRPr="00511005">
        <w:rPr>
          <w:rFonts w:ascii="Arial" w:eastAsia="Arial" w:hAnsi="Arial" w:cs="Arial"/>
          <w:szCs w:val="28"/>
          <w:lang w:val="uk-UA" w:eastAsia="ru-RU"/>
        </w:rPr>
        <w:t xml:space="preserve">У підсумок скажемо, що алгоритмічні системи справді мають потенціал для трансформації кримінального судочинства. Проте їх застосування породжує велику кількість дискусійних питань. Ми цілком погоджуємось, що судові рішення мають виноситись швидше ніж є наразі, має бути зменшене навантаження на судову систему, проте все ж таки, перевагу необхідно надавати критичному ретельному підходу до винесення рішень і мінімально, принаймні поки що, застосовувати ШІ для цього. Це дозволить уникнути поглиблення вже існуючих проблем та стереотипів; дасть час аби пропрацювати нормативно збалансоване забезпечення процедур кримінального судочинства, орієнтуючись на всебічне дотримання прав людини. </w:t>
      </w:r>
    </w:p>
    <w:p w14:paraId="08C13C4E" w14:textId="77777777" w:rsidR="00532C25" w:rsidRPr="00511005" w:rsidRDefault="00532C25" w:rsidP="00532C25">
      <w:pPr>
        <w:spacing w:line="264" w:lineRule="auto"/>
        <w:ind w:firstLine="0"/>
        <w:rPr>
          <w:rFonts w:ascii="Arial" w:eastAsia="Arial" w:hAnsi="Arial" w:cs="Arial"/>
          <w:b/>
          <w:szCs w:val="28"/>
          <w:lang w:val="uk-UA" w:eastAsia="ru-RU"/>
        </w:rPr>
      </w:pPr>
    </w:p>
    <w:p w14:paraId="78333E7F" w14:textId="77777777" w:rsidR="00532C25" w:rsidRPr="00511005" w:rsidRDefault="00532C25" w:rsidP="00532C25">
      <w:pPr>
        <w:spacing w:line="264" w:lineRule="auto"/>
        <w:ind w:firstLine="0"/>
        <w:jc w:val="center"/>
        <w:rPr>
          <w:rFonts w:ascii="Arial" w:eastAsia="Arial" w:hAnsi="Arial" w:cs="Arial"/>
          <w:b/>
          <w:szCs w:val="28"/>
          <w:lang w:val="uk-UA" w:eastAsia="ru-RU"/>
        </w:rPr>
      </w:pPr>
      <w:r w:rsidRPr="00511005">
        <w:rPr>
          <w:rFonts w:ascii="Arial" w:eastAsia="Arial" w:hAnsi="Arial" w:cs="Arial"/>
          <w:b/>
          <w:szCs w:val="28"/>
          <w:lang w:val="uk-UA" w:eastAsia="ru-RU"/>
        </w:rPr>
        <w:t>Список використаних джерел</w:t>
      </w:r>
    </w:p>
    <w:p w14:paraId="60F176E3"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xml:space="preserve">1. Конвенція про захист прав людини і основоположних свобод: Конвенція Ради Європи від 04.11.1950: станом на 1серп. 2021р. </w:t>
      </w:r>
      <w:r w:rsidRPr="00511005">
        <w:rPr>
          <w:rFonts w:ascii="Arial" w:eastAsia="Arial" w:hAnsi="Arial" w:cs="Arial"/>
          <w:szCs w:val="28"/>
          <w:lang w:val="pl-PL" w:eastAsia="ru-RU"/>
        </w:rPr>
        <w:t>URL</w:t>
      </w:r>
      <w:r w:rsidRPr="00511005">
        <w:rPr>
          <w:rFonts w:ascii="Arial" w:eastAsia="Arial" w:hAnsi="Arial" w:cs="Arial"/>
          <w:szCs w:val="28"/>
          <w:lang w:val="uk-UA" w:eastAsia="ru-RU"/>
        </w:rPr>
        <w:t xml:space="preserve">: </w:t>
      </w:r>
      <w:hyperlink r:id="rId2320" w:anchor="Text" w:history="1">
        <w:r w:rsidRPr="00511005">
          <w:rPr>
            <w:rFonts w:ascii="Arial" w:eastAsia="Arial" w:hAnsi="Arial" w:cs="Arial"/>
            <w:szCs w:val="28"/>
            <w:lang w:val="pl-PL" w:eastAsia="ru-RU"/>
          </w:rPr>
          <w:t>https://zakon.rada.gov.ua/laws/show/995_004#Text</w:t>
        </w:r>
      </w:hyperlink>
      <w:r w:rsidRPr="00511005">
        <w:rPr>
          <w:rFonts w:ascii="Arial" w:eastAsia="Arial" w:hAnsi="Arial" w:cs="Arial"/>
          <w:szCs w:val="28"/>
          <w:lang w:val="uk-UA" w:eastAsia="ru-RU"/>
        </w:rPr>
        <w:t xml:space="preserve">. </w:t>
      </w:r>
    </w:p>
    <w:p w14:paraId="2A6AB9E8" w14:textId="77777777" w:rsidR="00532C25" w:rsidRPr="00511005" w:rsidRDefault="00532C25" w:rsidP="00532C25">
      <w:pPr>
        <w:spacing w:line="264" w:lineRule="auto"/>
        <w:ind w:firstLine="0"/>
        <w:rPr>
          <w:rFonts w:ascii="Arial" w:eastAsia="Times New Roman" w:hAnsi="Arial" w:cs="Arial"/>
          <w:szCs w:val="28"/>
          <w:lang w:val="uk-UA" w:eastAsia="ru-RU"/>
        </w:rPr>
      </w:pPr>
      <w:r w:rsidRPr="00511005">
        <w:rPr>
          <w:rFonts w:ascii="Arial" w:eastAsia="Arial" w:hAnsi="Arial" w:cs="Arial"/>
          <w:szCs w:val="28"/>
          <w:lang w:val="uk-UA" w:eastAsia="ru-RU"/>
        </w:rPr>
        <w:lastRenderedPageBreak/>
        <w:t xml:space="preserve">2. Тереметський В.І., Ковальчук І.В. Штучний інтелект як фактор цифрової трансформації правосуддя в Україні. Науковий вісник Національної академії внутрішніх справ, 2024. № 1. С. 106–115. </w:t>
      </w:r>
      <w:r w:rsidRPr="00511005">
        <w:rPr>
          <w:rFonts w:ascii="Arial" w:eastAsia="Arial" w:hAnsi="Arial" w:cs="Arial"/>
          <w:szCs w:val="28"/>
          <w:lang w:val="en-US" w:eastAsia="ru-RU"/>
        </w:rPr>
        <w:t>URL</w:t>
      </w:r>
      <w:r w:rsidRPr="00511005">
        <w:rPr>
          <w:rFonts w:ascii="Arial" w:eastAsia="Arial" w:hAnsi="Arial" w:cs="Arial"/>
          <w:szCs w:val="28"/>
          <w:lang w:eastAsia="ru-RU"/>
        </w:rPr>
        <w:t xml:space="preserve">: </w:t>
      </w:r>
      <w:hyperlink r:id="rId2321" w:tgtFrame="_new" w:history="1">
        <w:r w:rsidRPr="00511005">
          <w:rPr>
            <w:rFonts w:ascii="Arial" w:eastAsia="Arial" w:hAnsi="Arial" w:cs="Arial"/>
            <w:szCs w:val="28"/>
            <w:lang w:val="en-US" w:eastAsia="ru-RU"/>
          </w:rPr>
          <w:t>https</w:t>
        </w:r>
        <w:r w:rsidRPr="00511005">
          <w:rPr>
            <w:rFonts w:ascii="Arial" w:eastAsia="Arial" w:hAnsi="Arial" w:cs="Arial"/>
            <w:szCs w:val="28"/>
            <w:lang w:eastAsia="ru-RU"/>
          </w:rPr>
          <w:t>://</w:t>
        </w:r>
        <w:r w:rsidRPr="00511005">
          <w:rPr>
            <w:rFonts w:ascii="Arial" w:eastAsia="Arial" w:hAnsi="Arial" w:cs="Arial"/>
            <w:szCs w:val="28"/>
            <w:lang w:val="en-US" w:eastAsia="ru-RU"/>
          </w:rPr>
          <w:t>repository</w:t>
        </w:r>
        <w:r w:rsidRPr="00511005">
          <w:rPr>
            <w:rFonts w:ascii="Arial" w:eastAsia="Arial" w:hAnsi="Arial" w:cs="Arial"/>
            <w:szCs w:val="28"/>
            <w:lang w:eastAsia="ru-RU"/>
          </w:rPr>
          <w:t>.</w:t>
        </w:r>
        <w:r w:rsidRPr="00511005">
          <w:rPr>
            <w:rFonts w:ascii="Arial" w:eastAsia="Arial" w:hAnsi="Arial" w:cs="Arial"/>
            <w:szCs w:val="28"/>
            <w:lang w:val="en-US" w:eastAsia="ru-RU"/>
          </w:rPr>
          <w:t>ndippp</w:t>
        </w:r>
        <w:r w:rsidRPr="00511005">
          <w:rPr>
            <w:rFonts w:ascii="Arial" w:eastAsia="Arial" w:hAnsi="Arial" w:cs="Arial"/>
            <w:szCs w:val="28"/>
            <w:lang w:eastAsia="ru-RU"/>
          </w:rPr>
          <w:t>.</w:t>
        </w:r>
        <w:r w:rsidRPr="00511005">
          <w:rPr>
            <w:rFonts w:ascii="Arial" w:eastAsia="Arial" w:hAnsi="Arial" w:cs="Arial"/>
            <w:szCs w:val="28"/>
            <w:lang w:val="en-US" w:eastAsia="ru-RU"/>
          </w:rPr>
          <w:t>gov</w:t>
        </w:r>
        <w:r w:rsidRPr="00511005">
          <w:rPr>
            <w:rFonts w:ascii="Arial" w:eastAsia="Arial" w:hAnsi="Arial" w:cs="Arial"/>
            <w:szCs w:val="28"/>
            <w:lang w:eastAsia="ru-RU"/>
          </w:rPr>
          <w:t>.</w:t>
        </w:r>
        <w:r w:rsidRPr="00511005">
          <w:rPr>
            <w:rFonts w:ascii="Arial" w:eastAsia="Arial" w:hAnsi="Arial" w:cs="Arial"/>
            <w:szCs w:val="28"/>
            <w:lang w:val="en-US" w:eastAsia="ru-RU"/>
          </w:rPr>
          <w:t>ua</w:t>
        </w:r>
        <w:r w:rsidRPr="00511005">
          <w:rPr>
            <w:rFonts w:ascii="Arial" w:eastAsia="Arial" w:hAnsi="Arial" w:cs="Arial"/>
            <w:szCs w:val="28"/>
            <w:lang w:eastAsia="ru-RU"/>
          </w:rPr>
          <w:t>/</w:t>
        </w:r>
        <w:r w:rsidRPr="00511005">
          <w:rPr>
            <w:rFonts w:ascii="Arial" w:eastAsia="Arial" w:hAnsi="Arial" w:cs="Arial"/>
            <w:szCs w:val="28"/>
            <w:lang w:val="en-US" w:eastAsia="ru-RU"/>
          </w:rPr>
          <w:t>bitstream</w:t>
        </w:r>
        <w:r w:rsidRPr="00511005">
          <w:rPr>
            <w:rFonts w:ascii="Arial" w:eastAsia="Arial" w:hAnsi="Arial" w:cs="Arial"/>
            <w:szCs w:val="28"/>
            <w:lang w:eastAsia="ru-RU"/>
          </w:rPr>
          <w:t>/</w:t>
        </w:r>
        <w:r w:rsidRPr="00511005">
          <w:rPr>
            <w:rFonts w:ascii="Arial" w:eastAsia="Arial" w:hAnsi="Arial" w:cs="Arial"/>
            <w:szCs w:val="28"/>
            <w:lang w:val="en-US" w:eastAsia="ru-RU"/>
          </w:rPr>
          <w:t>handle</w:t>
        </w:r>
        <w:r w:rsidRPr="00511005">
          <w:rPr>
            <w:rFonts w:ascii="Arial" w:eastAsia="Arial" w:hAnsi="Arial" w:cs="Arial"/>
            <w:szCs w:val="28"/>
            <w:lang w:eastAsia="ru-RU"/>
          </w:rPr>
          <w:t>/765432198/913/106-115-2024-1-</w:t>
        </w:r>
        <w:r w:rsidRPr="00511005">
          <w:rPr>
            <w:rFonts w:ascii="Arial" w:eastAsia="Arial" w:hAnsi="Arial" w:cs="Arial"/>
            <w:szCs w:val="28"/>
            <w:lang w:val="en-US" w:eastAsia="ru-RU"/>
          </w:rPr>
          <w:t>FP</w:t>
        </w:r>
        <w:r w:rsidRPr="00511005">
          <w:rPr>
            <w:rFonts w:ascii="Arial" w:eastAsia="Arial" w:hAnsi="Arial" w:cs="Arial"/>
            <w:szCs w:val="28"/>
            <w:lang w:eastAsia="ru-RU"/>
          </w:rPr>
          <w:t>-</w:t>
        </w:r>
        <w:r w:rsidRPr="00511005">
          <w:rPr>
            <w:rFonts w:ascii="Arial" w:eastAsia="Arial" w:hAnsi="Arial" w:cs="Arial"/>
            <w:szCs w:val="28"/>
            <w:lang w:val="en-US" w:eastAsia="ru-RU"/>
          </w:rPr>
          <w:t>Teremetskyi</w:t>
        </w:r>
        <w:r w:rsidRPr="00511005">
          <w:rPr>
            <w:rFonts w:ascii="Arial" w:eastAsia="Arial" w:hAnsi="Arial" w:cs="Arial"/>
            <w:szCs w:val="28"/>
            <w:lang w:eastAsia="ru-RU"/>
          </w:rPr>
          <w:t>%2</w:t>
        </w:r>
        <w:r w:rsidRPr="00511005">
          <w:rPr>
            <w:rFonts w:ascii="Arial" w:eastAsia="Arial" w:hAnsi="Arial" w:cs="Arial"/>
            <w:szCs w:val="28"/>
            <w:lang w:val="en-US" w:eastAsia="ru-RU"/>
          </w:rPr>
          <w:t>CKovalchuk</w:t>
        </w:r>
        <w:r w:rsidRPr="00511005">
          <w:rPr>
            <w:rFonts w:ascii="Arial" w:eastAsia="Arial" w:hAnsi="Arial" w:cs="Arial"/>
            <w:szCs w:val="28"/>
            <w:lang w:eastAsia="ru-RU"/>
          </w:rPr>
          <w:t>_13.</w:t>
        </w:r>
        <w:r w:rsidRPr="00511005">
          <w:rPr>
            <w:rFonts w:ascii="Arial" w:eastAsia="Arial" w:hAnsi="Arial" w:cs="Arial"/>
            <w:szCs w:val="28"/>
            <w:lang w:val="en-US" w:eastAsia="ru-RU"/>
          </w:rPr>
          <w:t>pdf</w:t>
        </w:r>
        <w:r w:rsidRPr="00511005">
          <w:rPr>
            <w:rFonts w:ascii="Arial" w:eastAsia="Arial" w:hAnsi="Arial" w:cs="Arial"/>
            <w:szCs w:val="28"/>
            <w:lang w:eastAsia="ru-RU"/>
          </w:rPr>
          <w:t>?</w:t>
        </w:r>
        <w:r w:rsidRPr="00511005">
          <w:rPr>
            <w:rFonts w:ascii="Arial" w:eastAsia="Arial" w:hAnsi="Arial" w:cs="Arial"/>
            <w:szCs w:val="28"/>
            <w:lang w:val="en-US" w:eastAsia="ru-RU"/>
          </w:rPr>
          <w:t>isAllowed</w:t>
        </w:r>
        <w:r w:rsidRPr="00511005">
          <w:rPr>
            <w:rFonts w:ascii="Arial" w:eastAsia="Arial" w:hAnsi="Arial" w:cs="Arial"/>
            <w:szCs w:val="28"/>
            <w:lang w:eastAsia="ru-RU"/>
          </w:rPr>
          <w:t>=</w:t>
        </w:r>
        <w:r w:rsidRPr="00511005">
          <w:rPr>
            <w:rFonts w:ascii="Arial" w:eastAsia="Arial" w:hAnsi="Arial" w:cs="Arial"/>
            <w:szCs w:val="28"/>
            <w:lang w:val="en-US" w:eastAsia="ru-RU"/>
          </w:rPr>
          <w:t>y</w:t>
        </w:r>
        <w:r w:rsidRPr="00511005">
          <w:rPr>
            <w:rFonts w:ascii="Arial" w:eastAsia="Arial" w:hAnsi="Arial" w:cs="Arial"/>
            <w:szCs w:val="28"/>
            <w:lang w:eastAsia="ru-RU"/>
          </w:rPr>
          <w:t>&amp;</w:t>
        </w:r>
        <w:r w:rsidRPr="00511005">
          <w:rPr>
            <w:rFonts w:ascii="Arial" w:eastAsia="Arial" w:hAnsi="Arial" w:cs="Arial"/>
            <w:szCs w:val="28"/>
            <w:lang w:val="en-US" w:eastAsia="ru-RU"/>
          </w:rPr>
          <w:t>sequence</w:t>
        </w:r>
        <w:r w:rsidRPr="00511005">
          <w:rPr>
            <w:rFonts w:ascii="Arial" w:eastAsia="Arial" w:hAnsi="Arial" w:cs="Arial"/>
            <w:szCs w:val="28"/>
            <w:lang w:eastAsia="ru-RU"/>
          </w:rPr>
          <w:t>=1</w:t>
        </w:r>
      </w:hyperlink>
      <w:r w:rsidRPr="00511005">
        <w:rPr>
          <w:rFonts w:ascii="Arial" w:eastAsia="Arial" w:hAnsi="Arial" w:cs="Arial"/>
          <w:szCs w:val="28"/>
          <w:lang w:val="ru" w:eastAsia="ru-RU"/>
        </w:rPr>
        <w:t xml:space="preserve">. </w:t>
      </w:r>
    </w:p>
    <w:p w14:paraId="5B6AD225"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Times New Roman" w:hAnsi="Arial" w:cs="Arial"/>
          <w:szCs w:val="28"/>
          <w:lang w:val="uk-UA" w:eastAsia="ru-RU"/>
        </w:rPr>
        <w:t xml:space="preserve">3. </w:t>
      </w:r>
      <w:r w:rsidRPr="00511005">
        <w:rPr>
          <w:rFonts w:ascii="Arial" w:eastAsia="Arial" w:hAnsi="Arial" w:cs="Arial"/>
          <w:szCs w:val="28"/>
          <w:lang w:val="en-US" w:eastAsia="ru-RU"/>
        </w:rPr>
        <w:t xml:space="preserve">Angwin J., Larson J., Mattu S., Kirchner L. Machine Bias // ProPublica. – 2016. – 23 </w:t>
      </w:r>
      <w:r w:rsidRPr="00511005">
        <w:rPr>
          <w:rFonts w:ascii="Arial" w:eastAsia="Arial" w:hAnsi="Arial" w:cs="Arial"/>
          <w:szCs w:val="28"/>
          <w:lang w:val="ru" w:eastAsia="ru-RU"/>
        </w:rPr>
        <w:t>травня</w:t>
      </w:r>
      <w:r w:rsidRPr="00511005">
        <w:rPr>
          <w:rFonts w:ascii="Arial" w:eastAsia="Arial" w:hAnsi="Arial" w:cs="Arial"/>
          <w:szCs w:val="28"/>
          <w:lang w:val="en-US" w:eastAsia="ru-RU"/>
        </w:rPr>
        <w:t xml:space="preserve">. </w:t>
      </w:r>
      <w:r w:rsidRPr="00511005">
        <w:rPr>
          <w:rFonts w:ascii="Arial" w:eastAsia="Arial" w:hAnsi="Arial" w:cs="Arial"/>
          <w:szCs w:val="28"/>
          <w:lang w:val="pl-PL" w:eastAsia="ru-RU"/>
        </w:rPr>
        <w:t xml:space="preserve">URL: </w:t>
      </w:r>
      <w:hyperlink r:id="rId2322" w:history="1">
        <w:r w:rsidRPr="00511005">
          <w:rPr>
            <w:rFonts w:ascii="Arial" w:eastAsia="Arial" w:hAnsi="Arial" w:cs="Arial"/>
            <w:szCs w:val="28"/>
            <w:lang w:val="pl-PL" w:eastAsia="ru-RU"/>
          </w:rPr>
          <w:t>https://www.propublica.org/article/machine-bias-risk-assessments-in-criminal-sentencing</w:t>
        </w:r>
      </w:hyperlink>
      <w:r w:rsidRPr="00511005">
        <w:rPr>
          <w:rFonts w:ascii="Arial" w:eastAsia="Arial" w:hAnsi="Arial" w:cs="Arial"/>
          <w:szCs w:val="28"/>
          <w:lang w:val="pl-PL" w:eastAsia="ru-RU"/>
        </w:rPr>
        <w:t>.</w:t>
      </w:r>
    </w:p>
    <w:p w14:paraId="2C0CBF9E"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b/>
          <w:bCs/>
          <w:szCs w:val="28"/>
          <w:lang w:val="uk-UA" w:eastAsia="ru-RU"/>
        </w:rPr>
        <w:t xml:space="preserve">4. </w:t>
      </w:r>
      <w:r w:rsidRPr="00511005">
        <w:rPr>
          <w:rFonts w:ascii="Arial" w:eastAsia="Arial" w:hAnsi="Arial" w:cs="Arial"/>
          <w:b/>
          <w:bCs/>
          <w:szCs w:val="28"/>
          <w:lang w:val="en-US" w:eastAsia="ru-RU"/>
        </w:rPr>
        <w:t>Bagaric</w:t>
      </w:r>
      <w:r w:rsidRPr="00511005">
        <w:rPr>
          <w:rFonts w:ascii="Arial" w:eastAsia="Arial" w:hAnsi="Arial" w:cs="Arial"/>
          <w:b/>
          <w:bCs/>
          <w:szCs w:val="28"/>
          <w:lang w:val="uk-UA" w:eastAsia="ru-RU"/>
        </w:rPr>
        <w:t xml:space="preserve"> </w:t>
      </w:r>
      <w:r w:rsidRPr="00511005">
        <w:rPr>
          <w:rFonts w:ascii="Arial" w:eastAsia="Arial" w:hAnsi="Arial" w:cs="Arial"/>
          <w:b/>
          <w:bCs/>
          <w:szCs w:val="28"/>
          <w:lang w:val="en-US" w:eastAsia="ru-RU"/>
        </w:rPr>
        <w:t>M</w:t>
      </w:r>
      <w:r w:rsidRPr="00511005">
        <w:rPr>
          <w:rFonts w:ascii="Arial" w:eastAsia="Arial" w:hAnsi="Arial" w:cs="Arial"/>
          <w:b/>
          <w:bCs/>
          <w:szCs w:val="28"/>
          <w:lang w:val="uk-UA" w:eastAsia="ru-RU"/>
        </w:rPr>
        <w:t xml:space="preserve">., </w:t>
      </w:r>
      <w:r w:rsidRPr="00511005">
        <w:rPr>
          <w:rFonts w:ascii="Arial" w:eastAsia="Arial" w:hAnsi="Arial" w:cs="Arial"/>
          <w:b/>
          <w:bCs/>
          <w:szCs w:val="28"/>
          <w:lang w:val="en-US" w:eastAsia="ru-RU"/>
        </w:rPr>
        <w:t>Svilar</w:t>
      </w:r>
      <w:r w:rsidRPr="00511005">
        <w:rPr>
          <w:rFonts w:ascii="Arial" w:eastAsia="Arial" w:hAnsi="Arial" w:cs="Arial"/>
          <w:b/>
          <w:bCs/>
          <w:szCs w:val="28"/>
          <w:lang w:val="uk-UA" w:eastAsia="ru-RU"/>
        </w:rPr>
        <w:t xml:space="preserve"> </w:t>
      </w:r>
      <w:r w:rsidRPr="00511005">
        <w:rPr>
          <w:rFonts w:ascii="Arial" w:eastAsia="Arial" w:hAnsi="Arial" w:cs="Arial"/>
          <w:b/>
          <w:bCs/>
          <w:szCs w:val="28"/>
          <w:lang w:val="en-US" w:eastAsia="ru-RU"/>
        </w:rPr>
        <w:t>J</w:t>
      </w:r>
      <w:r w:rsidRPr="00511005">
        <w:rPr>
          <w:rFonts w:ascii="Arial" w:eastAsia="Arial" w:hAnsi="Arial" w:cs="Arial"/>
          <w:b/>
          <w:bCs/>
          <w:szCs w:val="28"/>
          <w:lang w:val="uk-UA" w:eastAsia="ru-RU"/>
        </w:rPr>
        <w:t xml:space="preserve">., </w:t>
      </w:r>
      <w:r w:rsidRPr="00511005">
        <w:rPr>
          <w:rFonts w:ascii="Arial" w:eastAsia="Arial" w:hAnsi="Arial" w:cs="Arial"/>
          <w:b/>
          <w:bCs/>
          <w:szCs w:val="28"/>
          <w:lang w:val="en-US" w:eastAsia="ru-RU"/>
        </w:rPr>
        <w:t>Bull</w:t>
      </w:r>
      <w:r w:rsidRPr="00511005">
        <w:rPr>
          <w:rFonts w:ascii="Arial" w:eastAsia="Arial" w:hAnsi="Arial" w:cs="Arial"/>
          <w:b/>
          <w:bCs/>
          <w:szCs w:val="28"/>
          <w:lang w:val="uk-UA" w:eastAsia="ru-RU"/>
        </w:rPr>
        <w:t xml:space="preserve"> </w:t>
      </w:r>
      <w:r w:rsidRPr="00511005">
        <w:rPr>
          <w:rFonts w:ascii="Arial" w:eastAsia="Arial" w:hAnsi="Arial" w:cs="Arial"/>
          <w:b/>
          <w:bCs/>
          <w:szCs w:val="28"/>
          <w:lang w:val="en-US" w:eastAsia="ru-RU"/>
        </w:rPr>
        <w:t>M</w:t>
      </w:r>
      <w:r w:rsidRPr="00511005">
        <w:rPr>
          <w:rFonts w:ascii="Arial" w:eastAsia="Arial" w:hAnsi="Arial" w:cs="Arial"/>
          <w:b/>
          <w:bCs/>
          <w:szCs w:val="28"/>
          <w:lang w:val="uk-UA" w:eastAsia="ru-RU"/>
        </w:rPr>
        <w:t xml:space="preserve">. </w:t>
      </w:r>
      <w:r w:rsidRPr="00511005">
        <w:rPr>
          <w:rFonts w:ascii="Arial" w:eastAsia="Arial" w:hAnsi="Arial" w:cs="Arial"/>
          <w:szCs w:val="28"/>
          <w:lang w:val="en-US" w:eastAsia="ru-RU"/>
        </w:rPr>
        <w:t>The Solution to the Pervasive Bias and Discrimination in the Criminal Justice System: Transparent and Fair Artificial Intelligence</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 xml:space="preserve">// American Criminal Law Review. 2022. </w:t>
      </w:r>
      <w:r w:rsidRPr="00511005">
        <w:rPr>
          <w:rFonts w:ascii="Arial" w:eastAsia="Arial" w:hAnsi="Arial" w:cs="Arial"/>
          <w:szCs w:val="28"/>
          <w:lang w:val="ru" w:eastAsia="ru-RU"/>
        </w:rPr>
        <w:t>Т</w:t>
      </w:r>
      <w:r w:rsidRPr="00511005">
        <w:rPr>
          <w:rFonts w:ascii="Arial" w:eastAsia="Arial" w:hAnsi="Arial" w:cs="Arial"/>
          <w:szCs w:val="28"/>
          <w:lang w:val="en-US" w:eastAsia="ru-RU"/>
        </w:rPr>
        <w:t xml:space="preserve">. 59, № 1. URL: </w:t>
      </w:r>
      <w:hyperlink r:id="rId2323" w:history="1">
        <w:r w:rsidRPr="00511005">
          <w:rPr>
            <w:rFonts w:ascii="Arial" w:eastAsia="Arial" w:hAnsi="Arial" w:cs="Arial"/>
            <w:szCs w:val="28"/>
            <w:lang w:val="en-US" w:eastAsia="ru-RU"/>
          </w:rPr>
          <w:t>https://surl.lu/zqwwdc</w:t>
        </w:r>
      </w:hyperlink>
      <w:r w:rsidRPr="00511005">
        <w:rPr>
          <w:rFonts w:ascii="Arial" w:eastAsia="Arial" w:hAnsi="Arial" w:cs="Arial"/>
          <w:szCs w:val="28"/>
          <w:lang w:val="uk-UA" w:eastAsia="ru-RU"/>
        </w:rPr>
        <w:t xml:space="preserve">. </w:t>
      </w:r>
    </w:p>
    <w:p w14:paraId="001FD2A4"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b/>
          <w:bCs/>
          <w:szCs w:val="28"/>
          <w:lang w:val="uk-UA" w:eastAsia="ru-RU"/>
        </w:rPr>
        <w:t xml:space="preserve">5. </w:t>
      </w:r>
      <w:r w:rsidRPr="00511005">
        <w:rPr>
          <w:rFonts w:ascii="Arial" w:eastAsia="Arial" w:hAnsi="Arial" w:cs="Arial"/>
          <w:b/>
          <w:bCs/>
          <w:szCs w:val="28"/>
          <w:lang w:val="ru" w:eastAsia="ru-RU"/>
        </w:rPr>
        <w:t>Е</w:t>
      </w:r>
      <w:r w:rsidRPr="00511005">
        <w:rPr>
          <w:rFonts w:ascii="Arial" w:eastAsia="Arial" w:hAnsi="Arial" w:cs="Arial"/>
          <w:b/>
          <w:bCs/>
          <w:szCs w:val="28"/>
          <w:lang w:val="en-US" w:eastAsia="ru-RU"/>
        </w:rPr>
        <w:t>sthappan S.</w:t>
      </w:r>
      <w:r w:rsidRPr="00511005">
        <w:rPr>
          <w:rFonts w:ascii="Arial" w:eastAsia="Arial" w:hAnsi="Arial" w:cs="Arial"/>
          <w:szCs w:val="28"/>
          <w:lang w:val="en-US" w:eastAsia="ru-RU"/>
        </w:rPr>
        <w:t xml:space="preserve"> Judges are using algorithms to justify doing what they already want</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 The Verge</w:t>
      </w:r>
      <w:r w:rsidRPr="00511005">
        <w:rPr>
          <w:rFonts w:ascii="Arial" w:eastAsia="Arial" w:hAnsi="Arial" w:cs="Arial"/>
          <w:szCs w:val="28"/>
          <w:lang w:val="uk-UA" w:eastAsia="ru-RU"/>
        </w:rPr>
        <w:t xml:space="preserve">, </w:t>
      </w:r>
      <w:r w:rsidRPr="00511005">
        <w:rPr>
          <w:rFonts w:ascii="Arial" w:eastAsia="Arial" w:hAnsi="Arial" w:cs="Arial"/>
          <w:szCs w:val="28"/>
          <w:lang w:val="en-US" w:eastAsia="ru-RU"/>
        </w:rPr>
        <w:t>2024.</w:t>
      </w:r>
      <w:r w:rsidRPr="00511005">
        <w:rPr>
          <w:rFonts w:ascii="Arial" w:eastAsia="Arial" w:hAnsi="Arial" w:cs="Arial"/>
          <w:szCs w:val="28"/>
          <w:lang w:val="uk-UA" w:eastAsia="ru-RU"/>
        </w:rPr>
        <w:t xml:space="preserve"> 30 жовтня.</w:t>
      </w:r>
    </w:p>
    <w:p w14:paraId="5FE08091"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en-US" w:eastAsia="ru-RU"/>
        </w:rPr>
        <w:t>URL</w:t>
      </w:r>
      <w:r w:rsidRPr="00511005">
        <w:rPr>
          <w:rFonts w:ascii="Arial" w:eastAsia="Arial" w:hAnsi="Arial" w:cs="Arial"/>
          <w:szCs w:val="28"/>
          <w:lang w:val="uk-UA" w:eastAsia="ru-RU"/>
        </w:rPr>
        <w:t>:</w:t>
      </w:r>
      <w:hyperlink r:id="rId2324" w:history="1">
        <w:r w:rsidRPr="00511005">
          <w:rPr>
            <w:rFonts w:ascii="Arial" w:eastAsia="Arial" w:hAnsi="Arial" w:cs="Arial"/>
            <w:szCs w:val="28"/>
            <w:lang w:val="en-US" w:eastAsia="ru-RU"/>
          </w:rPr>
          <w:t>https</w:t>
        </w:r>
        <w:r w:rsidRPr="00511005">
          <w:rPr>
            <w:rFonts w:ascii="Arial" w:eastAsia="Arial" w:hAnsi="Arial" w:cs="Arial"/>
            <w:szCs w:val="28"/>
            <w:lang w:val="uk-UA" w:eastAsia="ru-RU"/>
          </w:rPr>
          <w:t>://</w:t>
        </w:r>
        <w:r w:rsidRPr="00511005">
          <w:rPr>
            <w:rFonts w:ascii="Arial" w:eastAsia="Arial" w:hAnsi="Arial" w:cs="Arial"/>
            <w:szCs w:val="28"/>
            <w:lang w:val="en-US" w:eastAsia="ru-RU"/>
          </w:rPr>
          <w:t>www</w:t>
        </w:r>
        <w:r w:rsidRPr="00511005">
          <w:rPr>
            <w:rFonts w:ascii="Arial" w:eastAsia="Arial" w:hAnsi="Arial" w:cs="Arial"/>
            <w:szCs w:val="28"/>
            <w:lang w:val="uk-UA" w:eastAsia="ru-RU"/>
          </w:rPr>
          <w:t>.</w:t>
        </w:r>
        <w:r w:rsidRPr="00511005">
          <w:rPr>
            <w:rFonts w:ascii="Arial" w:eastAsia="Arial" w:hAnsi="Arial" w:cs="Arial"/>
            <w:szCs w:val="28"/>
            <w:lang w:val="en-US" w:eastAsia="ru-RU"/>
          </w:rPr>
          <w:t>theverge</w:t>
        </w:r>
        <w:r w:rsidRPr="00511005">
          <w:rPr>
            <w:rFonts w:ascii="Arial" w:eastAsia="Arial" w:hAnsi="Arial" w:cs="Arial"/>
            <w:szCs w:val="28"/>
            <w:lang w:val="uk-UA" w:eastAsia="ru-RU"/>
          </w:rPr>
          <w:t>.</w:t>
        </w:r>
        <w:r w:rsidRPr="00511005">
          <w:rPr>
            <w:rFonts w:ascii="Arial" w:eastAsia="Arial" w:hAnsi="Arial" w:cs="Arial"/>
            <w:szCs w:val="28"/>
            <w:lang w:val="en-US" w:eastAsia="ru-RU"/>
          </w:rPr>
          <w:t>com</w:t>
        </w:r>
        <w:r w:rsidRPr="00511005">
          <w:rPr>
            <w:rFonts w:ascii="Arial" w:eastAsia="Arial" w:hAnsi="Arial" w:cs="Arial"/>
            <w:szCs w:val="28"/>
            <w:lang w:val="uk-UA" w:eastAsia="ru-RU"/>
          </w:rPr>
          <w:t>/2024/10/30/24281924/</w:t>
        </w:r>
        <w:r w:rsidRPr="00511005">
          <w:rPr>
            <w:rFonts w:ascii="Arial" w:eastAsia="Arial" w:hAnsi="Arial" w:cs="Arial"/>
            <w:szCs w:val="28"/>
            <w:lang w:val="en-US" w:eastAsia="ru-RU"/>
          </w:rPr>
          <w:t>pretrial</w:t>
        </w:r>
        <w:r w:rsidRPr="00511005">
          <w:rPr>
            <w:rFonts w:ascii="Arial" w:eastAsia="Arial" w:hAnsi="Arial" w:cs="Arial"/>
            <w:szCs w:val="28"/>
            <w:lang w:val="uk-UA" w:eastAsia="ru-RU"/>
          </w:rPr>
          <w:t>-</w:t>
        </w:r>
        <w:r w:rsidRPr="00511005">
          <w:rPr>
            <w:rFonts w:ascii="Arial" w:eastAsia="Arial" w:hAnsi="Arial" w:cs="Arial"/>
            <w:szCs w:val="28"/>
            <w:lang w:val="en-US" w:eastAsia="ru-RU"/>
          </w:rPr>
          <w:t>risk</w:t>
        </w:r>
        <w:r w:rsidRPr="00511005">
          <w:rPr>
            <w:rFonts w:ascii="Arial" w:eastAsia="Arial" w:hAnsi="Arial" w:cs="Arial"/>
            <w:szCs w:val="28"/>
            <w:lang w:val="uk-UA" w:eastAsia="ru-RU"/>
          </w:rPr>
          <w:t>-</w:t>
        </w:r>
        <w:r w:rsidRPr="00511005">
          <w:rPr>
            <w:rFonts w:ascii="Arial" w:eastAsia="Arial" w:hAnsi="Arial" w:cs="Arial"/>
            <w:szCs w:val="28"/>
            <w:lang w:val="en-US" w:eastAsia="ru-RU"/>
          </w:rPr>
          <w:t>assessment</w:t>
        </w:r>
        <w:r w:rsidRPr="00511005">
          <w:rPr>
            <w:rFonts w:ascii="Arial" w:eastAsia="Arial" w:hAnsi="Arial" w:cs="Arial"/>
            <w:szCs w:val="28"/>
            <w:lang w:val="uk-UA" w:eastAsia="ru-RU"/>
          </w:rPr>
          <w:t>-</w:t>
        </w:r>
        <w:r w:rsidRPr="00511005">
          <w:rPr>
            <w:rFonts w:ascii="Arial" w:eastAsia="Arial" w:hAnsi="Arial" w:cs="Arial"/>
            <w:szCs w:val="28"/>
            <w:lang w:val="en-US" w:eastAsia="ru-RU"/>
          </w:rPr>
          <w:t>algorithms</w:t>
        </w:r>
        <w:r w:rsidRPr="00511005">
          <w:rPr>
            <w:rFonts w:ascii="Arial" w:eastAsia="Arial" w:hAnsi="Arial" w:cs="Arial"/>
            <w:szCs w:val="28"/>
            <w:lang w:val="uk-UA" w:eastAsia="ru-RU"/>
          </w:rPr>
          <w:t>-</w:t>
        </w:r>
        <w:r w:rsidRPr="00511005">
          <w:rPr>
            <w:rFonts w:ascii="Arial" w:eastAsia="Arial" w:hAnsi="Arial" w:cs="Arial"/>
            <w:szCs w:val="28"/>
            <w:lang w:val="en-US" w:eastAsia="ru-RU"/>
          </w:rPr>
          <w:t>research</w:t>
        </w:r>
      </w:hyperlink>
    </w:p>
    <w:p w14:paraId="42B13436" w14:textId="77777777" w:rsidR="00532C25" w:rsidRPr="00511005" w:rsidRDefault="00532C25" w:rsidP="00532C25">
      <w:pPr>
        <w:spacing w:line="264" w:lineRule="auto"/>
        <w:ind w:firstLine="0"/>
        <w:rPr>
          <w:rFonts w:ascii="Arial" w:eastAsia="Arial" w:hAnsi="Arial" w:cs="Arial"/>
          <w:szCs w:val="28"/>
          <w:lang w:val="uk-UA" w:eastAsia="ru-RU"/>
        </w:rPr>
      </w:pPr>
      <w:r w:rsidRPr="00511005">
        <w:rPr>
          <w:rFonts w:ascii="Arial" w:eastAsia="Arial" w:hAnsi="Arial" w:cs="Arial"/>
          <w:szCs w:val="28"/>
          <w:lang w:val="uk-UA" w:eastAsia="ru-RU"/>
        </w:rPr>
        <w:t xml:space="preserve">6. </w:t>
      </w:r>
      <w:r w:rsidRPr="00511005">
        <w:rPr>
          <w:rFonts w:ascii="Arial" w:eastAsia="Arial" w:hAnsi="Arial" w:cs="Arial"/>
          <w:szCs w:val="28"/>
          <w:lang w:val="en-US" w:eastAsia="ru-RU"/>
        </w:rPr>
        <w:t xml:space="preserve">Justice served? Discrimination in algorithmic risk assessment // Research Outreach. </w:t>
      </w:r>
      <w:r w:rsidRPr="00511005">
        <w:rPr>
          <w:rFonts w:ascii="Arial" w:eastAsia="Arial" w:hAnsi="Arial" w:cs="Arial"/>
          <w:szCs w:val="28"/>
          <w:lang w:val="pl-PL" w:eastAsia="ru-RU"/>
        </w:rPr>
        <w:t xml:space="preserve">2023 URL: </w:t>
      </w:r>
      <w:hyperlink r:id="rId2325" w:tgtFrame="_new" w:history="1">
        <w:r w:rsidRPr="00511005">
          <w:rPr>
            <w:rFonts w:ascii="Arial" w:eastAsia="Arial" w:hAnsi="Arial" w:cs="Arial"/>
            <w:szCs w:val="28"/>
            <w:lang w:val="pl-PL" w:eastAsia="ru-RU"/>
          </w:rPr>
          <w:t>https://researchoutreach.org/articles/justice-served-discrimination-in-algorithmic-risk-assessment/</w:t>
        </w:r>
      </w:hyperlink>
      <w:r w:rsidRPr="00511005">
        <w:rPr>
          <w:rFonts w:ascii="Arial" w:eastAsia="Arial" w:hAnsi="Arial" w:cs="Arial"/>
          <w:szCs w:val="28"/>
          <w:lang w:val="pl-PL" w:eastAsia="ru-RU"/>
        </w:rPr>
        <w:t xml:space="preserve">. </w:t>
      </w:r>
    </w:p>
    <w:p w14:paraId="232CD54F" w14:textId="77777777" w:rsidR="00532C25" w:rsidRPr="00511005" w:rsidRDefault="00532C25" w:rsidP="00532C25">
      <w:pPr>
        <w:spacing w:line="264" w:lineRule="auto"/>
        <w:ind w:firstLine="708"/>
        <w:rPr>
          <w:rFonts w:ascii="Arial" w:eastAsia="Arial" w:hAnsi="Arial" w:cs="Arial"/>
          <w:b/>
          <w:szCs w:val="28"/>
          <w:lang w:val="uk-UA" w:eastAsia="ru-RU"/>
        </w:rPr>
      </w:pPr>
    </w:p>
    <w:p w14:paraId="09FFFB70" w14:textId="77777777" w:rsidR="00532C25" w:rsidRPr="00511005" w:rsidRDefault="00532C25" w:rsidP="00532C25">
      <w:pPr>
        <w:spacing w:line="264" w:lineRule="auto"/>
        <w:ind w:firstLine="708"/>
        <w:rPr>
          <w:rFonts w:ascii="Arial" w:eastAsia="Times New Roman" w:hAnsi="Arial" w:cs="Arial"/>
          <w:szCs w:val="28"/>
          <w:lang w:val="uk-UA" w:eastAsia="ru-RU"/>
        </w:rPr>
      </w:pPr>
      <w:r w:rsidRPr="00511005">
        <w:rPr>
          <w:rFonts w:ascii="Arial" w:eastAsia="Arial" w:hAnsi="Arial" w:cs="Arial"/>
          <w:b/>
          <w:i/>
          <w:szCs w:val="28"/>
          <w:lang w:val="uk-UA" w:eastAsia="ru-RU"/>
        </w:rPr>
        <w:t xml:space="preserve">Ключові слова: </w:t>
      </w:r>
      <w:r w:rsidRPr="00511005">
        <w:rPr>
          <w:rFonts w:ascii="Arial" w:eastAsia="Arial" w:hAnsi="Arial" w:cs="Arial"/>
          <w:szCs w:val="28"/>
          <w:lang w:val="uk-UA" w:eastAsia="ru-RU"/>
        </w:rPr>
        <w:t xml:space="preserve">штучний </w:t>
      </w:r>
      <w:r w:rsidRPr="00511005">
        <w:rPr>
          <w:rFonts w:ascii="Arial" w:eastAsia="Times New Roman" w:hAnsi="Arial" w:cs="Arial"/>
          <w:bCs/>
          <w:szCs w:val="28"/>
          <w:lang w:val="uk-UA" w:eastAsia="ru-RU"/>
        </w:rPr>
        <w:t>інтелект,</w:t>
      </w:r>
      <w:r w:rsidRPr="00511005">
        <w:rPr>
          <w:rFonts w:ascii="Arial" w:eastAsia="Times New Roman" w:hAnsi="Arial" w:cs="Arial"/>
          <w:szCs w:val="28"/>
          <w:lang w:val="uk-UA" w:eastAsia="ru-RU"/>
        </w:rPr>
        <w:t xml:space="preserve"> </w:t>
      </w:r>
      <w:r w:rsidRPr="00511005">
        <w:rPr>
          <w:rFonts w:ascii="Arial" w:eastAsia="Times New Roman" w:hAnsi="Arial" w:cs="Arial"/>
          <w:bCs/>
          <w:szCs w:val="28"/>
          <w:lang w:val="uk-UA" w:eastAsia="ru-RU"/>
        </w:rPr>
        <w:t>упередженість</w:t>
      </w:r>
      <w:r w:rsidRPr="00511005">
        <w:rPr>
          <w:rFonts w:ascii="Arial" w:eastAsia="Times New Roman" w:hAnsi="Arial" w:cs="Arial"/>
          <w:szCs w:val="28"/>
          <w:lang w:val="uk-UA" w:eastAsia="ru-RU"/>
        </w:rPr>
        <w:t xml:space="preserve">, дискримінація, кримінальне судочинство, алгоритмічні системи. </w:t>
      </w:r>
    </w:p>
    <w:p w14:paraId="3C5DB2F5" w14:textId="77777777" w:rsidR="00532C25" w:rsidRPr="00511005" w:rsidRDefault="00532C25" w:rsidP="00532C25">
      <w:pPr>
        <w:spacing w:line="264" w:lineRule="auto"/>
        <w:ind w:firstLine="708"/>
        <w:rPr>
          <w:rFonts w:ascii="Arial" w:eastAsia="Times New Roman" w:hAnsi="Arial" w:cs="Arial"/>
          <w:szCs w:val="28"/>
          <w:lang w:val="en-US" w:eastAsia="ru-RU"/>
        </w:rPr>
      </w:pPr>
      <w:r w:rsidRPr="00511005">
        <w:rPr>
          <w:rFonts w:ascii="Arial" w:eastAsia="Arial" w:hAnsi="Arial" w:cs="Arial"/>
          <w:b/>
          <w:i/>
          <w:szCs w:val="28"/>
          <w:lang w:val="en-US" w:eastAsia="ru-RU"/>
        </w:rPr>
        <w:t xml:space="preserve">Key words: </w:t>
      </w:r>
      <w:r w:rsidRPr="00511005">
        <w:rPr>
          <w:rFonts w:ascii="Arial" w:eastAsia="Arial" w:hAnsi="Arial" w:cs="Arial"/>
          <w:szCs w:val="28"/>
          <w:lang w:val="en-US" w:eastAsia="ru-RU"/>
        </w:rPr>
        <w:t>ar</w:t>
      </w:r>
      <w:r w:rsidRPr="00511005">
        <w:rPr>
          <w:rFonts w:ascii="Arial" w:eastAsia="Times New Roman" w:hAnsi="Arial" w:cs="Arial"/>
          <w:iCs/>
          <w:szCs w:val="28"/>
          <w:lang w:val="en-US" w:eastAsia="ru-RU"/>
        </w:rPr>
        <w:t>tificial intelligence, bias, discrimination, criminal justice, algorithmic systems.</w:t>
      </w:r>
    </w:p>
    <w:p w14:paraId="71A72E7A" w14:textId="77777777" w:rsidR="00532C25" w:rsidRPr="00511005" w:rsidRDefault="00532C25" w:rsidP="00532C25">
      <w:pPr>
        <w:spacing w:line="264" w:lineRule="auto"/>
        <w:ind w:firstLine="708"/>
        <w:rPr>
          <w:rFonts w:ascii="Arial" w:eastAsia="Arial" w:hAnsi="Arial" w:cs="Arial"/>
          <w:i/>
          <w:szCs w:val="28"/>
          <w:lang w:val="uk-UA" w:eastAsia="ru-RU"/>
        </w:rPr>
      </w:pPr>
      <w:r w:rsidRPr="00511005">
        <w:rPr>
          <w:rFonts w:ascii="Arial" w:eastAsia="Arial" w:hAnsi="Arial" w:cs="Arial"/>
          <w:b/>
          <w:i/>
          <w:szCs w:val="28"/>
          <w:lang w:val="uk-UA" w:eastAsia="ru-RU"/>
        </w:rPr>
        <w:t xml:space="preserve">Науковий керівник: </w:t>
      </w:r>
      <w:r w:rsidRPr="00511005">
        <w:rPr>
          <w:rFonts w:ascii="Arial" w:eastAsia="Arial" w:hAnsi="Arial" w:cs="Arial"/>
          <w:i/>
          <w:szCs w:val="28"/>
          <w:lang w:val="uk-UA" w:eastAsia="ru-RU"/>
        </w:rPr>
        <w:t xml:space="preserve">к.ю.н., доцент Стоянов М.М. </w:t>
      </w:r>
    </w:p>
    <w:p w14:paraId="35AEF77B" w14:textId="77777777" w:rsidR="00532C25" w:rsidRPr="00511005" w:rsidRDefault="00532C25" w:rsidP="00532C25">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1458F896" w14:textId="77777777" w:rsidR="00532C25" w:rsidRPr="00511005" w:rsidRDefault="00532C25" w:rsidP="00532C25">
      <w:pPr>
        <w:keepNext/>
        <w:suppressAutoHyphens/>
        <w:spacing w:line="264" w:lineRule="auto"/>
        <w:ind w:firstLine="0"/>
        <w:jc w:val="left"/>
        <w:rPr>
          <w:rFonts w:ascii="Arial" w:hAnsi="Arial" w:cs="Arial"/>
          <w:szCs w:val="28"/>
        </w:rPr>
      </w:pPr>
    </w:p>
    <w:p w14:paraId="2AD0771B" w14:textId="5CDEA6C0" w:rsidR="00532C25" w:rsidRPr="00511005" w:rsidRDefault="00532C25" w:rsidP="00532C25">
      <w:pPr>
        <w:pStyle w:val="aa"/>
        <w:spacing w:before="0" w:after="0" w:line="264" w:lineRule="auto"/>
        <w:rPr>
          <w:rFonts w:ascii="Arial" w:hAnsi="Arial" w:cs="Arial"/>
          <w:color w:val="auto"/>
          <w:sz w:val="28"/>
          <w:szCs w:val="28"/>
        </w:rPr>
      </w:pPr>
      <w:bookmarkStart w:id="284" w:name="_Toc208299008"/>
      <w:r w:rsidRPr="00511005">
        <w:rPr>
          <w:rFonts w:ascii="Arial" w:hAnsi="Arial" w:cs="Arial"/>
          <w:color w:val="auto"/>
          <w:sz w:val="28"/>
          <w:szCs w:val="28"/>
        </w:rPr>
        <w:t xml:space="preserve">СЕКЦІЯ </w:t>
      </w:r>
      <w:r w:rsidRPr="00511005">
        <w:rPr>
          <w:rFonts w:ascii="Arial" w:hAnsi="Arial" w:cs="Arial"/>
          <w:color w:val="auto"/>
          <w:sz w:val="28"/>
          <w:szCs w:val="28"/>
          <w:lang w:val="ru-RU"/>
        </w:rPr>
        <w:t>1</w:t>
      </w:r>
      <w:r>
        <w:rPr>
          <w:rFonts w:ascii="Arial" w:hAnsi="Arial" w:cs="Arial"/>
          <w:color w:val="auto"/>
          <w:sz w:val="28"/>
          <w:szCs w:val="28"/>
          <w:lang w:val="en-US"/>
        </w:rPr>
        <w:t>7</w:t>
      </w:r>
      <w:r w:rsidRPr="00511005">
        <w:rPr>
          <w:rFonts w:ascii="Arial" w:hAnsi="Arial" w:cs="Arial"/>
          <w:color w:val="auto"/>
          <w:sz w:val="28"/>
          <w:szCs w:val="28"/>
          <w:lang w:val="ru-RU"/>
        </w:rPr>
        <w:t>. СУЧАСНІ НАПРЯМИ ЗАБЕЗПЕЧЕННЯ КІБЕРЗАХИСТУ ТА УДОСКОНАЛЕННЯ ІТ</w:t>
      </w:r>
      <w:bookmarkEnd w:id="284"/>
      <w:r w:rsidRPr="00511005">
        <w:rPr>
          <w:rFonts w:ascii="Arial" w:hAnsi="Arial" w:cs="Arial"/>
          <w:color w:val="auto"/>
          <w:sz w:val="28"/>
          <w:szCs w:val="28"/>
        </w:rPr>
        <w:t xml:space="preserve"> </w:t>
      </w:r>
    </w:p>
    <w:p w14:paraId="1A7603F4" w14:textId="77777777" w:rsidR="00532C25" w:rsidRPr="00511005" w:rsidRDefault="00532C25" w:rsidP="00532C25">
      <w:pPr>
        <w:keepNext/>
        <w:spacing w:line="264" w:lineRule="auto"/>
        <w:ind w:firstLine="0"/>
        <w:jc w:val="left"/>
        <w:rPr>
          <w:rFonts w:ascii="Arial" w:hAnsi="Arial" w:cs="Arial"/>
          <w:szCs w:val="28"/>
        </w:rPr>
      </w:pPr>
    </w:p>
    <w:p w14:paraId="3C826382" w14:textId="77777777" w:rsidR="00532C25" w:rsidRPr="00511005" w:rsidRDefault="00532C25" w:rsidP="00532C25">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Баррейро Фонтела Максим</w:t>
      </w:r>
    </w:p>
    <w:p w14:paraId="71305115" w14:textId="77777777" w:rsidR="00532C25" w:rsidRPr="00511005" w:rsidRDefault="00532C25" w:rsidP="00532C25">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студент 1-го курсу факультету кібербезпеки та інформаційних технологій</w:t>
      </w:r>
    </w:p>
    <w:p w14:paraId="65A3912E" w14:textId="77777777" w:rsidR="00532C25" w:rsidRPr="00511005" w:rsidRDefault="00532C25" w:rsidP="00532C25">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4F0589F8" w14:textId="77777777" w:rsidR="00532C25" w:rsidRPr="00511005" w:rsidRDefault="00532C25" w:rsidP="00532C25">
      <w:pPr>
        <w:spacing w:line="264" w:lineRule="auto"/>
        <w:ind w:firstLine="0"/>
        <w:jc w:val="center"/>
        <w:rPr>
          <w:rFonts w:ascii="Arial" w:eastAsia="Calibri" w:hAnsi="Arial" w:cs="Arial"/>
          <w:iCs/>
          <w:szCs w:val="28"/>
        </w:rPr>
      </w:pPr>
    </w:p>
    <w:p w14:paraId="228ADD64" w14:textId="77777777" w:rsidR="00532C25" w:rsidRPr="00511005" w:rsidRDefault="00532C25" w:rsidP="00532C25">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ЗАСТОСУВАННЯ МАТРИЦЬ У ПРОГРАМУВАННІ</w:t>
      </w:r>
    </w:p>
    <w:p w14:paraId="445C0731"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Розглянута тема є вкрай актуальною, тому що матриці переслідують нас всюди: від масивів у програмуванні до реалізації штучного інтелекту. Отже можемо проаналізувати, де вони застосовуються.</w:t>
      </w:r>
    </w:p>
    <w:p w14:paraId="198CAFAE"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Перед тим як щось застосовувати, нам потрібно розібрати, як саме це працює. Не може водій машини їздити та не розуміти, як працює двигун.</w:t>
      </w:r>
    </w:p>
    <w:p w14:paraId="453C67A0"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Вектор — математичний обʼєкт, який характеризується довжиною і напрямком </w:t>
      </w:r>
      <w:r w:rsidRPr="00511005">
        <w:rPr>
          <w:rFonts w:ascii="Arial" w:eastAsia="Calibri" w:hAnsi="Arial" w:cs="Arial"/>
          <w:szCs w:val="28"/>
        </w:rPr>
        <w:t>[1]</w:t>
      </w:r>
      <w:r w:rsidRPr="00511005">
        <w:rPr>
          <w:rFonts w:ascii="Arial" w:eastAsia="Calibri" w:hAnsi="Arial" w:cs="Arial"/>
          <w:szCs w:val="28"/>
          <w:lang w:val="uk-UA"/>
        </w:rPr>
        <w:t>. Лише знаючи це, ми вже можемо будувати цілі світи, у яких діють свої правила. Ми можемо сприймати вектори декількома способами:</w:t>
      </w:r>
    </w:p>
    <w:p w14:paraId="39602E8E" w14:textId="77777777" w:rsidR="00532C25" w:rsidRPr="00511005" w:rsidRDefault="00532C25" w:rsidP="003F6A5D">
      <w:pPr>
        <w:numPr>
          <w:ilvl w:val="0"/>
          <w:numId w:val="689"/>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Як студент фізик — візуалізація у вигляді стрілки з кінчиком, куди вона спрямована;</w:t>
      </w:r>
    </w:p>
    <w:p w14:paraId="39E6D7BA" w14:textId="77777777" w:rsidR="00532C25" w:rsidRPr="00511005" w:rsidRDefault="00532C25" w:rsidP="003F6A5D">
      <w:pPr>
        <w:numPr>
          <w:ilvl w:val="0"/>
          <w:numId w:val="689"/>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Як студент математик — визначаємо як елемент векторного простору, цей погляд є абстрактним, і найважчим для інтуїтивного розуміння цього поняття;</w:t>
      </w:r>
    </w:p>
    <w:p w14:paraId="67EEC1C0" w14:textId="77777777" w:rsidR="00532C25" w:rsidRPr="00511005" w:rsidRDefault="00532C25" w:rsidP="003F6A5D">
      <w:pPr>
        <w:numPr>
          <w:ilvl w:val="0"/>
          <w:numId w:val="689"/>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Як студент компʼютерних наук — даємо означення, як впорядкованому списку чисел;</w:t>
      </w:r>
    </w:p>
    <w:p w14:paraId="4D8BD205"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Для початку нам потрібно бачення студента фізика, таким чином ми зможемо пояснити та візуалізувати дві головні операції з векторами: їх додавання та множення на скаляр. </w:t>
      </w:r>
      <w:r w:rsidRPr="00511005">
        <w:rPr>
          <w:rFonts w:ascii="Arial" w:eastAsia="Calibri" w:hAnsi="Arial" w:cs="Arial"/>
          <w:noProof/>
          <w:szCs w:val="28"/>
          <w:lang w:val="uk-UA" w:eastAsia="ru-RU"/>
        </w:rPr>
        <w:t>Нехай є декартова прямокутна система координат, там ми зобразимо одиничну матрицю:</w:t>
      </w:r>
    </w:p>
    <w:p w14:paraId="0804D98B" w14:textId="77777777" w:rsidR="00532C25" w:rsidRPr="00511005" w:rsidRDefault="00532C25" w:rsidP="00532C25">
      <w:pPr>
        <w:spacing w:line="264" w:lineRule="auto"/>
        <w:ind w:firstLine="0"/>
        <w:jc w:val="center"/>
        <w:rPr>
          <w:rFonts w:ascii="Arial" w:eastAsia="Calibri" w:hAnsi="Arial" w:cs="Arial"/>
          <w:noProof/>
          <w:szCs w:val="28"/>
          <w:lang w:val="uk-UA" w:eastAsia="ru-RU"/>
        </w:rPr>
      </w:pPr>
      <w:r w:rsidRPr="00511005">
        <w:rPr>
          <w:rFonts w:ascii="Arial" w:eastAsia="Calibri" w:hAnsi="Arial" w:cs="Arial"/>
          <w:noProof/>
          <w:szCs w:val="28"/>
          <w:lang w:val="en-US" w:eastAsia="ru-RU"/>
        </w:rPr>
        <w:t>E</w:t>
      </w:r>
      <w:r w:rsidRPr="00511005">
        <w:rPr>
          <w:rFonts w:ascii="Arial" w:eastAsia="Calibri" w:hAnsi="Arial" w:cs="Arial"/>
          <w:noProof/>
          <w:szCs w:val="28"/>
          <w:lang w:eastAsia="ru-RU"/>
        </w:rPr>
        <w:t xml:space="preserve"> = </w:t>
      </w:r>
      <m:oMath>
        <m:d>
          <m:dPr>
            <m:ctrlPr>
              <w:rPr>
                <w:rFonts w:ascii="Cambria Math" w:eastAsia="Calibri" w:hAnsi="Cambria Math" w:cs="Arial"/>
                <w:i/>
                <w:noProof/>
                <w:szCs w:val="28"/>
                <w:lang w:val="en-US" w:eastAsia="ru-RU"/>
              </w:rPr>
            </m:ctrlPr>
          </m:dPr>
          <m:e>
            <m:m>
              <m:mPr>
                <m:mcs>
                  <m:mc>
                    <m:mcPr>
                      <m:count m:val="2"/>
                      <m:mcJc m:val="center"/>
                    </m:mcPr>
                  </m:mc>
                </m:mcs>
                <m:ctrlPr>
                  <w:rPr>
                    <w:rFonts w:ascii="Cambria Math" w:eastAsia="Calibri" w:hAnsi="Cambria Math" w:cs="Arial"/>
                    <w:i/>
                    <w:noProof/>
                    <w:szCs w:val="28"/>
                    <w:lang w:val="en-US" w:eastAsia="ru-RU"/>
                  </w:rPr>
                </m:ctrlPr>
              </m:mPr>
              <m:mr>
                <m:e>
                  <m:r>
                    <w:rPr>
                      <w:rFonts w:ascii="Cambria Math" w:eastAsia="Calibri" w:hAnsi="Cambria Math" w:cs="Arial"/>
                      <w:noProof/>
                      <w:szCs w:val="28"/>
                    </w:rPr>
                    <m:t>1</m:t>
                  </m:r>
                </m:e>
                <m:e>
                  <m:r>
                    <w:rPr>
                      <w:rFonts w:ascii="Cambria Math" w:eastAsia="Calibri" w:hAnsi="Cambria Math" w:cs="Arial"/>
                      <w:noProof/>
                      <w:szCs w:val="28"/>
                    </w:rPr>
                    <m:t>0</m:t>
                  </m:r>
                </m:e>
              </m:mr>
              <m:mr>
                <m:e>
                  <m:r>
                    <w:rPr>
                      <w:rFonts w:ascii="Cambria Math" w:eastAsia="Calibri" w:hAnsi="Cambria Math" w:cs="Arial"/>
                      <w:noProof/>
                      <w:szCs w:val="28"/>
                    </w:rPr>
                    <m:t>0</m:t>
                  </m:r>
                </m:e>
                <m:e>
                  <m:r>
                    <w:rPr>
                      <w:rFonts w:ascii="Cambria Math" w:eastAsia="Calibri" w:hAnsi="Cambria Math" w:cs="Arial"/>
                      <w:noProof/>
                      <w:szCs w:val="28"/>
                    </w:rPr>
                    <m:t>1</m:t>
                  </m:r>
                </m:e>
              </m:mr>
            </m:m>
          </m:e>
        </m:d>
      </m:oMath>
    </w:p>
    <w:p w14:paraId="3D1A672A"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noProof/>
          <w:szCs w:val="28"/>
          <w:lang w:val="en-US"/>
        </w:rPr>
        <mc:AlternateContent>
          <mc:Choice Requires="wpg">
            <w:drawing>
              <wp:anchor distT="0" distB="0" distL="114300" distR="114300" simplePos="0" relativeHeight="251667456" behindDoc="1" locked="0" layoutInCell="1" allowOverlap="1" wp14:anchorId="0B310CC5" wp14:editId="73C399E9">
                <wp:simplePos x="0" y="0"/>
                <wp:positionH relativeFrom="margin">
                  <wp:align>left</wp:align>
                </wp:positionH>
                <wp:positionV relativeFrom="paragraph">
                  <wp:posOffset>8890</wp:posOffset>
                </wp:positionV>
                <wp:extent cx="1342800" cy="1990800"/>
                <wp:effectExtent l="0" t="0" r="0" b="9525"/>
                <wp:wrapTight wrapText="bothSides">
                  <wp:wrapPolygon edited="0">
                    <wp:start x="0" y="0"/>
                    <wp:lineTo x="0" y="21497"/>
                    <wp:lineTo x="21150" y="21497"/>
                    <wp:lineTo x="21150" y="0"/>
                    <wp:lineTo x="0" y="0"/>
                  </wp:wrapPolygon>
                </wp:wrapTight>
                <wp:docPr id="5" name="Группа 5"/>
                <wp:cNvGraphicFramePr/>
                <a:graphic xmlns:a="http://schemas.openxmlformats.org/drawingml/2006/main">
                  <a:graphicData uri="http://schemas.microsoft.com/office/word/2010/wordprocessingGroup">
                    <wpg:wgp>
                      <wpg:cNvGrpSpPr/>
                      <wpg:grpSpPr>
                        <a:xfrm>
                          <a:off x="0" y="0"/>
                          <a:ext cx="1342800" cy="1990800"/>
                          <a:chOff x="0" y="0"/>
                          <a:chExt cx="1695450" cy="2623820"/>
                        </a:xfrm>
                      </wpg:grpSpPr>
                      <pic:pic xmlns:pic="http://schemas.openxmlformats.org/drawingml/2006/picture">
                        <pic:nvPicPr>
                          <pic:cNvPr id="1" name="Рисунок 1"/>
                          <pic:cNvPicPr>
                            <a:picLocks noChangeAspect="1"/>
                          </pic:cNvPicPr>
                        </pic:nvPicPr>
                        <pic:blipFill rotWithShape="1">
                          <a:blip r:embed="rId2326" cstate="print">
                            <a:extLst>
                              <a:ext uri="{28A0092B-C50C-407E-A947-70E740481C1C}">
                                <a14:useLocalDpi xmlns:a14="http://schemas.microsoft.com/office/drawing/2010/main" val="0"/>
                              </a:ext>
                            </a:extLst>
                          </a:blip>
                          <a:srcRect l="24255" t="29334" r="857" b="17152"/>
                          <a:stretch/>
                        </pic:blipFill>
                        <pic:spPr bwMode="auto">
                          <a:xfrm>
                            <a:off x="0" y="0"/>
                            <a:ext cx="1695450" cy="2623820"/>
                          </a:xfrm>
                          <a:prstGeom prst="rect">
                            <a:avLst/>
                          </a:prstGeom>
                          <a:ln>
                            <a:noFill/>
                          </a:ln>
                          <a:extLst>
                            <a:ext uri="{53640926-AAD7-44D8-BBD7-CCE9431645EC}">
                              <a14:shadowObscured xmlns:a14="http://schemas.microsoft.com/office/drawing/2010/main"/>
                            </a:ext>
                          </a:extLst>
                        </pic:spPr>
                      </pic:pic>
                      <wps:wsp>
                        <wps:cNvPr id="2" name="Прямая со стрелкой 2"/>
                        <wps:cNvCnPr/>
                        <wps:spPr>
                          <a:xfrm>
                            <a:off x="161925" y="1695450"/>
                            <a:ext cx="771525" cy="0"/>
                          </a:xfrm>
                          <a:prstGeom prst="straightConnector1">
                            <a:avLst/>
                          </a:prstGeom>
                          <a:noFill/>
                          <a:ln w="19050" cap="flat" cmpd="sng" algn="ctr">
                            <a:solidFill>
                              <a:srgbClr val="FF0000"/>
                            </a:solidFill>
                            <a:prstDash val="solid"/>
                            <a:miter lim="800000"/>
                            <a:tailEnd type="triangle"/>
                          </a:ln>
                          <a:effectLst/>
                        </wps:spPr>
                        <wps:bodyPr/>
                      </wps:wsp>
                      <wps:wsp>
                        <wps:cNvPr id="3" name="Прямая со стрелкой 3"/>
                        <wps:cNvCnPr/>
                        <wps:spPr>
                          <a:xfrm flipH="1" flipV="1">
                            <a:off x="152400" y="933450"/>
                            <a:ext cx="6350" cy="759460"/>
                          </a:xfrm>
                          <a:prstGeom prst="straightConnector1">
                            <a:avLst/>
                          </a:prstGeom>
                          <a:noFill/>
                          <a:ln w="19050" cap="flat" cmpd="sng" algn="ctr">
                            <a:solidFill>
                              <a:srgbClr val="0070C0"/>
                            </a:solidFill>
                            <a:prstDash val="solid"/>
                            <a:miter lim="800000"/>
                            <a:tailEnd type="triangle"/>
                          </a:ln>
                          <a:effectLst/>
                        </wps:spPr>
                        <wps:bodyPr/>
                      </wps:wsp>
                      <wps:wsp>
                        <wps:cNvPr id="4" name="Овал 4"/>
                        <wps:cNvSpPr/>
                        <wps:spPr>
                          <a:xfrm>
                            <a:off x="123825" y="1666875"/>
                            <a:ext cx="73025" cy="67310"/>
                          </a:xfrm>
                          <a:prstGeom prst="ellipse">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group w14:anchorId="3FA79C9F" id="Группа 5" o:spid="_x0000_s1026" style="position:absolute;margin-left:0;margin-top:.7pt;width:105.75pt;height:156.75pt;z-index:-251649024;mso-position-horizontal:left;mso-position-horizontal-relative:margin;mso-width-relative:margin;mso-height-relative:margin" coordsize="16954,262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7" type="#_x0000_t75" style="position:absolute;width:16954;height:26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">
                  <v:imagedata r:id="rId2392" o:title="" croptop="19224f" cropbottom="11241f" cropleft="15896f" cropright="562f"/>
                </v:shape>
                <v:shapetype id="_x0000_t32" coordsize="21600,21600" o:spt="32" o:oned="t" path="m,l21600,21600e" filled="f">
                  <v:path arrowok="t" fillok="f" o:connecttype="none"/>
                  <o:lock v:ext="edit" shapetype="t"/>
                </v:shapetype>
                <v:shape id="Прямая со стрелкой 2" o:spid="_x0000_s1028" type="#_x0000_t32" style="position:absolute;left:1619;top:16954;width:77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" strokecolor="red" strokeweight="1.5pt">
                  <v:stroke endarrow="block" joinstyle="miter"/>
                </v:shape>
                <v:shape id="Прямая со стрелкой 3" o:spid="_x0000_s1029" type="#_x0000_t32" style="position:absolute;left:1524;top:9334;width:63;height:759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" strokecolor="#0070c0" strokeweight="1.5pt">
                  <v:stroke endarrow="block" joinstyle="miter"/>
                </v:shape>
                <v:oval id="Овал 4" o:spid="_x0000_s1030" style="position:absolute;left:1238;top:16668;width:730;height:6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" fillcolor="windowText" strokecolor="windowText" strokeweight="1pt">
                  <v:stroke joinstyle="miter"/>
                </v:oval>
                <w10:wrap type="tight" anchorx="margin"/>
              </v:group>
            </w:pict>
          </mc:Fallback>
        </mc:AlternateContent>
      </w:r>
      <w:r w:rsidRPr="00511005">
        <w:rPr>
          <w:rFonts w:ascii="Arial" w:eastAsia="Calibri" w:hAnsi="Arial" w:cs="Arial"/>
          <w:szCs w:val="28"/>
          <w:lang w:val="uk-UA"/>
        </w:rPr>
        <w:t>За допомогою візуалізації матриці, ми можемо зрозуміти як саме практично її можна застосувати.</w:t>
      </w:r>
    </w:p>
    <w:p w14:paraId="38F47C8B"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Беремо одиничну матрицю, але потрібно змінити одиниці на </w:t>
      </w:r>
      <w:r w:rsidRPr="00511005">
        <w:rPr>
          <w:rFonts w:ascii="Arial" w:eastAsia="Calibri" w:hAnsi="Arial" w:cs="Arial"/>
          <w:szCs w:val="28"/>
          <w:lang w:val="en-US"/>
        </w:rPr>
        <w:t>s</w:t>
      </w:r>
      <w:r w:rsidRPr="00511005">
        <w:rPr>
          <w:rFonts w:ascii="Arial" w:eastAsia="Calibri" w:hAnsi="Arial" w:cs="Arial"/>
          <w:szCs w:val="28"/>
          <w:vertAlign w:val="subscript"/>
          <w:lang w:val="en-US"/>
        </w:rPr>
        <w:t>x</w:t>
      </w:r>
      <w:r w:rsidRPr="00511005">
        <w:rPr>
          <w:rFonts w:ascii="Arial" w:eastAsia="Calibri" w:hAnsi="Arial" w:cs="Arial"/>
          <w:szCs w:val="28"/>
          <w:lang w:val="uk-UA"/>
        </w:rPr>
        <w:t xml:space="preserve"> та </w:t>
      </w:r>
      <w:r w:rsidRPr="00511005">
        <w:rPr>
          <w:rFonts w:ascii="Arial" w:eastAsia="Calibri" w:hAnsi="Arial" w:cs="Arial"/>
          <w:szCs w:val="28"/>
          <w:lang w:val="en-US"/>
        </w:rPr>
        <w:t>s</w:t>
      </w:r>
      <w:r w:rsidRPr="00511005">
        <w:rPr>
          <w:rFonts w:ascii="Arial" w:eastAsia="Calibri" w:hAnsi="Arial" w:cs="Arial"/>
          <w:szCs w:val="28"/>
          <w:vertAlign w:val="subscript"/>
          <w:lang w:val="en-US"/>
        </w:rPr>
        <w:t>y</w:t>
      </w:r>
      <w:r w:rsidRPr="00511005">
        <w:rPr>
          <w:rFonts w:ascii="Arial" w:eastAsia="Calibri" w:hAnsi="Arial" w:cs="Arial"/>
          <w:szCs w:val="28"/>
          <w:vertAlign w:val="subscript"/>
          <w:lang w:val="uk-UA"/>
        </w:rPr>
        <w:t xml:space="preserve"> </w:t>
      </w:r>
      <w:r w:rsidRPr="00511005">
        <w:rPr>
          <w:rFonts w:ascii="Arial" w:eastAsia="Calibri" w:hAnsi="Arial" w:cs="Arial"/>
          <w:szCs w:val="28"/>
          <w:lang w:val="uk-UA"/>
        </w:rPr>
        <w:t>відповідно. Отримаємо матрицю масштабування</w:t>
      </w:r>
      <w:r w:rsidRPr="00511005">
        <w:rPr>
          <w:rFonts w:ascii="Arial" w:eastAsia="Calibri" w:hAnsi="Arial" w:cs="Arial"/>
          <w:szCs w:val="28"/>
        </w:rPr>
        <w:t>[2]</w:t>
      </w:r>
      <w:r w:rsidRPr="00511005">
        <w:rPr>
          <w:rFonts w:ascii="Arial" w:eastAsia="Calibri" w:hAnsi="Arial" w:cs="Arial"/>
          <w:szCs w:val="28"/>
          <w:lang w:val="uk-UA"/>
        </w:rPr>
        <w:t>, назвемо її S:</w:t>
      </w:r>
    </w:p>
    <w:p w14:paraId="165AA283" w14:textId="77777777" w:rsidR="00532C25" w:rsidRPr="00511005" w:rsidRDefault="00532C25" w:rsidP="00532C25">
      <w:pPr>
        <w:spacing w:line="264" w:lineRule="auto"/>
        <w:ind w:firstLine="0"/>
        <w:jc w:val="center"/>
        <w:rPr>
          <w:rFonts w:ascii="Arial" w:eastAsia="Times New Roman" w:hAnsi="Arial" w:cs="Arial"/>
          <w:szCs w:val="28"/>
        </w:rPr>
      </w:pPr>
      <w:r w:rsidRPr="00511005">
        <w:rPr>
          <w:rFonts w:ascii="Arial" w:eastAsia="Calibri" w:hAnsi="Arial" w:cs="Arial"/>
          <w:noProof/>
          <w:szCs w:val="28"/>
          <w:lang w:val="en-US"/>
        </w:rPr>
        <mc:AlternateContent>
          <mc:Choice Requires="wps">
            <w:drawing>
              <wp:anchor distT="0" distB="0" distL="114300" distR="114300" simplePos="0" relativeHeight="251668480" behindDoc="1" locked="0" layoutInCell="1" allowOverlap="1" wp14:anchorId="31F47043" wp14:editId="0983947B">
                <wp:simplePos x="0" y="0"/>
                <wp:positionH relativeFrom="margin">
                  <wp:align>left</wp:align>
                </wp:positionH>
                <wp:positionV relativeFrom="paragraph">
                  <wp:posOffset>161290</wp:posOffset>
                </wp:positionV>
                <wp:extent cx="2153285" cy="400050"/>
                <wp:effectExtent l="0" t="0" r="0" b="0"/>
                <wp:wrapTight wrapText="bothSides">
                  <wp:wrapPolygon edited="0">
                    <wp:start x="0" y="0"/>
                    <wp:lineTo x="0" y="20571"/>
                    <wp:lineTo x="21403" y="20571"/>
                    <wp:lineTo x="21403" y="0"/>
                    <wp:lineTo x="0" y="0"/>
                  </wp:wrapPolygon>
                </wp:wrapTight>
                <wp:docPr id="7" name="Надпись 7"/>
                <wp:cNvGraphicFramePr/>
                <a:graphic xmlns:a="http://schemas.openxmlformats.org/drawingml/2006/main">
                  <a:graphicData uri="http://schemas.microsoft.com/office/word/2010/wordprocessingShape">
                    <wps:wsp>
                      <wps:cNvSpPr txBox="1"/>
                      <wps:spPr>
                        <a:xfrm>
                          <a:off x="0" y="0"/>
                          <a:ext cx="2153652" cy="400050"/>
                        </a:xfrm>
                        <a:prstGeom prst="rect">
                          <a:avLst/>
                        </a:prstGeom>
                        <a:solidFill>
                          <a:prstClr val="white"/>
                        </a:solidFill>
                        <a:ln>
                          <a:noFill/>
                        </a:ln>
                      </wps:spPr>
                      <wps:txbx>
                        <w:txbxContent>
                          <w:p w14:paraId="4FF1A9A4" w14:textId="77777777" w:rsidR="00532C25" w:rsidRPr="008C65CA" w:rsidRDefault="00532C25" w:rsidP="00532C25">
                            <w:pPr>
                              <w:pStyle w:val="af6"/>
                              <w:rPr>
                                <w:rFonts w:ascii="Times New Roman" w:hAnsi="Times New Roman" w:cs="Times New Roman"/>
                                <w:noProof/>
                              </w:rPr>
                            </w:pPr>
                            <w:r w:rsidRPr="008C65CA">
                              <w:t xml:space="preserve">Рис. </w:t>
                            </w:r>
                            <w:fldSimple w:instr=" SEQ Рис. \* ARABIC ">
                              <w:r>
                                <w:rPr>
                                  <w:noProof/>
                                </w:rPr>
                                <w:t>1</w:t>
                              </w:r>
                            </w:fldSimple>
                            <w:r w:rsidRPr="008C65CA">
                              <w:rPr>
                                <w:lang w:val="en-US"/>
                              </w:rPr>
                              <w:t xml:space="preserve"> </w:t>
                            </w:r>
                            <w:r w:rsidRPr="008C65CA">
                              <w:rPr>
                                <w:lang w:val="uk-UA"/>
                              </w:rPr>
                              <w:t xml:space="preserve">Ілюстрація матриці </w:t>
                            </w:r>
                            <w:r w:rsidRPr="008C65CA">
                              <w:rPr>
                                <w:lang w:val="en-US"/>
                              </w:rPr>
                              <w: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F47043" id="_x0000_t202" coordsize="21600,21600" o:spt="202" path="m,l,21600r21600,l21600,xe">
                <v:stroke joinstyle="miter"/>
                <v:path gradientshapeok="t" o:connecttype="rect"/>
              </v:shapetype>
              <v:shape id="Надпись 7" o:spid="_x0000_s1026" type="#_x0000_t202" style="position:absolute;left:0;text-align:left;margin-left:0;margin-top:12.7pt;width:169.55pt;height:31.5pt;z-index:-2516480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" stroked="f">
                <v:textbox inset="0,0,0,0">
                  <w:txbxContent>
                    <w:p w14:paraId="4FF1A9A4" w14:textId="77777777" w:rsidR="00532C25" w:rsidRPr="008C65CA" w:rsidRDefault="00532C25" w:rsidP="00532C25">
                      <w:pPr>
                        <w:pStyle w:val="af6"/>
                        <w:rPr>
                          <w:rFonts w:ascii="Times New Roman" w:hAnsi="Times New Roman" w:cs="Times New Roman"/>
                          <w:noProof/>
                        </w:rPr>
                      </w:pPr>
                      <w:r w:rsidRPr="008C65CA">
                        <w:t xml:space="preserve">Рис. </w:t>
                      </w:r>
                      <w:fldSimple w:instr=" SEQ Рис. \* ARABIC ">
                        <w:r>
                          <w:rPr>
                            <w:noProof/>
                          </w:rPr>
                          <w:t>1</w:t>
                        </w:r>
                      </w:fldSimple>
                      <w:r w:rsidRPr="008C65CA">
                        <w:rPr>
                          <w:lang w:val="en-US"/>
                        </w:rPr>
                        <w:t xml:space="preserve"> </w:t>
                      </w:r>
                      <w:r w:rsidRPr="008C65CA">
                        <w:rPr>
                          <w:lang w:val="uk-UA"/>
                        </w:rPr>
                        <w:t xml:space="preserve">Ілюстрація матриці </w:t>
                      </w:r>
                      <w:r w:rsidRPr="008C65CA">
                        <w:rPr>
                          <w:lang w:val="en-US"/>
                        </w:rPr>
                        <w:t>E</w:t>
                      </w:r>
                    </w:p>
                  </w:txbxContent>
                </v:textbox>
                <w10:wrap type="tight" anchorx="margin"/>
              </v:shape>
            </w:pict>
          </mc:Fallback>
        </mc:AlternateContent>
      </w:r>
      <w:r w:rsidRPr="00511005">
        <w:rPr>
          <w:rFonts w:ascii="Arial" w:eastAsia="Calibri" w:hAnsi="Arial" w:cs="Arial"/>
          <w:szCs w:val="28"/>
          <w:lang w:val="en-US"/>
        </w:rPr>
        <w:t>S</w:t>
      </w:r>
      <w:r w:rsidRPr="00511005">
        <w:rPr>
          <w:rFonts w:ascii="Arial" w:eastAsia="Calibri" w:hAnsi="Arial" w:cs="Arial"/>
          <w:szCs w:val="28"/>
        </w:rPr>
        <w:t xml:space="preserve"> = </w:t>
      </w:r>
      <m:oMath>
        <m:d>
          <m:dPr>
            <m:ctrlPr>
              <w:rPr>
                <w:rFonts w:ascii="Cambria Math" w:eastAsia="Calibri" w:hAnsi="Cambria Math" w:cs="Arial"/>
                <w:i/>
                <w:szCs w:val="28"/>
                <w:lang w:val="en-US"/>
              </w:rPr>
            </m:ctrlPr>
          </m:dPr>
          <m:e>
            <m:m>
              <m:mPr>
                <m:mcs>
                  <m:mc>
                    <m:mcPr>
                      <m:count m:val="2"/>
                      <m:mcJc m:val="center"/>
                    </m:mcPr>
                  </m:mc>
                </m:mcs>
                <m:ctrlPr>
                  <w:rPr>
                    <w:rFonts w:ascii="Cambria Math" w:eastAsia="Calibri" w:hAnsi="Cambria Math" w:cs="Arial"/>
                    <w:i/>
                    <w:szCs w:val="28"/>
                    <w:lang w:val="en-US"/>
                  </w:rPr>
                </m:ctrlPr>
              </m:mPr>
              <m:mr>
                <m:e>
                  <m:sSub>
                    <m:sSubPr>
                      <m:ctrlPr>
                        <w:rPr>
                          <w:rFonts w:ascii="Cambria Math" w:eastAsia="Calibri" w:hAnsi="Cambria Math" w:cs="Arial"/>
                          <w:i/>
                          <w:szCs w:val="28"/>
                          <w:lang w:val="en-US"/>
                        </w:rPr>
                      </m:ctrlPr>
                    </m:sSubPr>
                    <m:e>
                      <m:r>
                        <w:rPr>
                          <w:rFonts w:ascii="Cambria Math" w:eastAsia="Calibri" w:hAnsi="Cambria Math" w:cs="Arial"/>
                          <w:szCs w:val="28"/>
                          <w:lang w:val="en-US"/>
                        </w:rPr>
                        <m:t>s</m:t>
                      </m:r>
                    </m:e>
                    <m:sub>
                      <m:r>
                        <w:rPr>
                          <w:rFonts w:ascii="Cambria Math" w:eastAsia="Calibri" w:hAnsi="Cambria Math" w:cs="Arial"/>
                          <w:szCs w:val="28"/>
                          <w:lang w:val="en-US"/>
                        </w:rPr>
                        <m:t>x</m:t>
                      </m:r>
                    </m:sub>
                  </m:sSub>
                </m:e>
                <m:e>
                  <m:r>
                    <w:rPr>
                      <w:rFonts w:ascii="Cambria Math" w:eastAsia="Calibri" w:hAnsi="Cambria Math" w:cs="Arial"/>
                      <w:szCs w:val="28"/>
                    </w:rPr>
                    <m:t>0</m:t>
                  </m:r>
                </m:e>
              </m:mr>
              <m:mr>
                <m:e>
                  <m:r>
                    <w:rPr>
                      <w:rFonts w:ascii="Cambria Math" w:eastAsia="Calibri" w:hAnsi="Cambria Math" w:cs="Arial"/>
                      <w:szCs w:val="28"/>
                    </w:rPr>
                    <m:t>0</m:t>
                  </m:r>
                </m:e>
                <m:e>
                  <m:sSub>
                    <m:sSubPr>
                      <m:ctrlPr>
                        <w:rPr>
                          <w:rFonts w:ascii="Cambria Math" w:eastAsia="Calibri" w:hAnsi="Cambria Math" w:cs="Arial"/>
                          <w:i/>
                          <w:szCs w:val="28"/>
                          <w:lang w:val="en-US"/>
                        </w:rPr>
                      </m:ctrlPr>
                    </m:sSubPr>
                    <m:e>
                      <m:r>
                        <w:rPr>
                          <w:rFonts w:ascii="Cambria Math" w:eastAsia="Calibri" w:hAnsi="Cambria Math" w:cs="Arial"/>
                          <w:szCs w:val="28"/>
                          <w:lang w:val="en-US"/>
                        </w:rPr>
                        <m:t>s</m:t>
                      </m:r>
                    </m:e>
                    <m:sub>
                      <m:r>
                        <w:rPr>
                          <w:rFonts w:ascii="Cambria Math" w:eastAsia="Calibri" w:hAnsi="Cambria Math" w:cs="Arial"/>
                          <w:szCs w:val="28"/>
                          <w:lang w:val="en-US"/>
                        </w:rPr>
                        <m:t>y</m:t>
                      </m:r>
                    </m:sub>
                  </m:sSub>
                </m:e>
              </m:mr>
            </m:m>
          </m:e>
        </m:d>
      </m:oMath>
    </w:p>
    <w:p w14:paraId="2E19300B"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Calibri" w:hAnsi="Arial" w:cs="Arial"/>
          <w:szCs w:val="28"/>
          <w:lang w:val="en-US"/>
        </w:rPr>
        <w:t>s</w:t>
      </w:r>
      <w:r w:rsidRPr="00511005">
        <w:rPr>
          <w:rFonts w:ascii="Arial" w:eastAsia="Calibri" w:hAnsi="Arial" w:cs="Arial"/>
          <w:szCs w:val="28"/>
          <w:vertAlign w:val="subscript"/>
          <w:lang w:val="en-US"/>
        </w:rPr>
        <w:t>x</w:t>
      </w:r>
      <w:r w:rsidRPr="00511005">
        <w:rPr>
          <w:rFonts w:ascii="Arial" w:eastAsia="Calibri" w:hAnsi="Arial" w:cs="Arial"/>
          <w:szCs w:val="28"/>
          <w:vertAlign w:val="subscript"/>
          <w:lang w:val="uk-UA"/>
        </w:rPr>
        <w:t xml:space="preserve"> </w:t>
      </w:r>
      <w:r w:rsidRPr="00511005">
        <w:rPr>
          <w:rFonts w:ascii="Arial" w:eastAsia="Calibri" w:hAnsi="Arial" w:cs="Arial"/>
          <w:szCs w:val="28"/>
          <w:lang w:val="uk-UA"/>
        </w:rPr>
        <w:t>— коефіцієнт масштабування по осі X;</w:t>
      </w:r>
    </w:p>
    <w:p w14:paraId="1754CF2B" w14:textId="77777777" w:rsidR="00532C25" w:rsidRPr="00511005" w:rsidRDefault="00532C25" w:rsidP="00532C25">
      <w:pPr>
        <w:spacing w:line="264" w:lineRule="auto"/>
        <w:ind w:firstLine="0"/>
        <w:rPr>
          <w:rFonts w:ascii="Arial" w:eastAsia="Calibri" w:hAnsi="Arial" w:cs="Arial"/>
          <w:szCs w:val="28"/>
        </w:rPr>
      </w:pPr>
      <w:r w:rsidRPr="00511005">
        <w:rPr>
          <w:rFonts w:ascii="Arial" w:eastAsia="Calibri" w:hAnsi="Arial" w:cs="Arial"/>
          <w:szCs w:val="28"/>
          <w:lang w:val="en-US"/>
        </w:rPr>
        <w:t>s</w:t>
      </w:r>
      <w:r w:rsidRPr="00511005">
        <w:rPr>
          <w:rFonts w:ascii="Arial" w:eastAsia="Calibri" w:hAnsi="Arial" w:cs="Arial"/>
          <w:szCs w:val="28"/>
          <w:vertAlign w:val="subscript"/>
          <w:lang w:val="en-US"/>
        </w:rPr>
        <w:t>y</w:t>
      </w:r>
      <w:r w:rsidRPr="00511005">
        <w:rPr>
          <w:rFonts w:ascii="Arial" w:eastAsia="Calibri" w:hAnsi="Arial" w:cs="Arial"/>
          <w:szCs w:val="28"/>
          <w:vertAlign w:val="subscript"/>
          <w:lang w:val="uk-UA"/>
        </w:rPr>
        <w:t xml:space="preserve"> </w:t>
      </w:r>
      <w:r w:rsidRPr="00511005">
        <w:rPr>
          <w:rFonts w:ascii="Arial" w:eastAsia="Calibri" w:hAnsi="Arial" w:cs="Arial"/>
          <w:szCs w:val="28"/>
          <w:lang w:val="uk-UA"/>
        </w:rPr>
        <w:t xml:space="preserve">— коефіцієнт масштабування по осі </w:t>
      </w:r>
      <w:r w:rsidRPr="00511005">
        <w:rPr>
          <w:rFonts w:ascii="Arial" w:eastAsia="Calibri" w:hAnsi="Arial" w:cs="Arial"/>
          <w:szCs w:val="28"/>
          <w:lang w:val="en-US"/>
        </w:rPr>
        <w:t>Y</w:t>
      </w:r>
      <w:r w:rsidRPr="00511005">
        <w:rPr>
          <w:rFonts w:ascii="Arial" w:eastAsia="Calibri" w:hAnsi="Arial" w:cs="Arial"/>
          <w:szCs w:val="28"/>
        </w:rPr>
        <w:t>;</w:t>
      </w:r>
    </w:p>
    <w:p w14:paraId="2B9C6ECD"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Calibri" w:hAnsi="Arial" w:cs="Arial"/>
          <w:noProof/>
          <w:szCs w:val="28"/>
          <w:lang w:val="en-US"/>
        </w:rPr>
        <w:lastRenderedPageBreak/>
        <mc:AlternateContent>
          <mc:Choice Requires="wps">
            <w:drawing>
              <wp:anchor distT="0" distB="0" distL="114300" distR="114300" simplePos="0" relativeHeight="251670528" behindDoc="1" locked="0" layoutInCell="1" allowOverlap="1" wp14:anchorId="17E3F9DE" wp14:editId="1FF5828E">
                <wp:simplePos x="0" y="0"/>
                <wp:positionH relativeFrom="column">
                  <wp:posOffset>3810</wp:posOffset>
                </wp:positionH>
                <wp:positionV relativeFrom="paragraph">
                  <wp:posOffset>2050415</wp:posOffset>
                </wp:positionV>
                <wp:extent cx="1342390" cy="635"/>
                <wp:effectExtent l="0" t="0" r="0" b="0"/>
                <wp:wrapTight wrapText="bothSides">
                  <wp:wrapPolygon edited="0">
                    <wp:start x="0" y="0"/>
                    <wp:lineTo x="0" y="21600"/>
                    <wp:lineTo x="21600" y="21600"/>
                    <wp:lineTo x="21600" y="0"/>
                  </wp:wrapPolygon>
                </wp:wrapTight>
                <wp:docPr id="8" name="Надпись 8"/>
                <wp:cNvGraphicFramePr/>
                <a:graphic xmlns:a="http://schemas.openxmlformats.org/drawingml/2006/main">
                  <a:graphicData uri="http://schemas.microsoft.com/office/word/2010/wordprocessingShape">
                    <wps:wsp>
                      <wps:cNvSpPr txBox="1"/>
                      <wps:spPr>
                        <a:xfrm>
                          <a:off x="0" y="0"/>
                          <a:ext cx="1342390" cy="635"/>
                        </a:xfrm>
                        <a:prstGeom prst="rect">
                          <a:avLst/>
                        </a:prstGeom>
                        <a:solidFill>
                          <a:prstClr val="white"/>
                        </a:solidFill>
                        <a:ln>
                          <a:noFill/>
                        </a:ln>
                      </wps:spPr>
                      <wps:txbx>
                        <w:txbxContent>
                          <w:p w14:paraId="0505CBD4" w14:textId="77777777" w:rsidR="00532C25" w:rsidRPr="000963C7" w:rsidRDefault="00532C25" w:rsidP="00532C25">
                            <w:pPr>
                              <w:pStyle w:val="af6"/>
                              <w:rPr>
                                <w:rFonts w:ascii="Times New Roman" w:hAnsi="Times New Roman" w:cs="Times New Roman"/>
                                <w:noProof/>
                              </w:rPr>
                            </w:pPr>
                            <w:r w:rsidRPr="000963C7">
                              <w:t xml:space="preserve">Рис. </w:t>
                            </w:r>
                            <w:fldSimple w:instr=" SEQ Рис. \* ARABIC ">
                              <w:r>
                                <w:rPr>
                                  <w:noProof/>
                                </w:rPr>
                                <w:t>2</w:t>
                              </w:r>
                            </w:fldSimple>
                            <w:r w:rsidRPr="000963C7">
                              <w:rPr>
                                <w:lang w:val="uk-UA"/>
                              </w:rPr>
                              <w:t xml:space="preserve"> Візуалізація зеленого квадрату та векторів, що описують довжини його сторін</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7E3F9DE" id="Надпись 8" o:spid="_x0000_s1027" type="#_x0000_t202" style="position:absolute;left:0;text-align:left;margin-left:.3pt;margin-top:161.45pt;width:105.7pt;height:.05pt;z-index:-251645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" stroked="f">
                <v:textbox style="mso-fit-shape-to-text:t" inset="0,0,0,0">
                  <w:txbxContent>
                    <w:p w14:paraId="0505CBD4" w14:textId="77777777" w:rsidR="00532C25" w:rsidRPr="000963C7" w:rsidRDefault="00532C25" w:rsidP="00532C25">
                      <w:pPr>
                        <w:pStyle w:val="af6"/>
                        <w:rPr>
                          <w:rFonts w:ascii="Times New Roman" w:hAnsi="Times New Roman" w:cs="Times New Roman"/>
                          <w:noProof/>
                        </w:rPr>
                      </w:pPr>
                      <w:r w:rsidRPr="000963C7">
                        <w:t xml:space="preserve">Рис. </w:t>
                      </w:r>
                      <w:fldSimple w:instr=" SEQ Рис. \* ARABIC ">
                        <w:r>
                          <w:rPr>
                            <w:noProof/>
                          </w:rPr>
                          <w:t>2</w:t>
                        </w:r>
                      </w:fldSimple>
                      <w:r w:rsidRPr="000963C7">
                        <w:rPr>
                          <w:lang w:val="uk-UA"/>
                        </w:rPr>
                        <w:t xml:space="preserve"> Візуалізація зеленого квадрату та векторів, що описують довжини його сторін</w:t>
                      </w:r>
                    </w:p>
                  </w:txbxContent>
                </v:textbox>
                <w10:wrap type="tight"/>
              </v:shape>
            </w:pict>
          </mc:Fallback>
        </mc:AlternateContent>
      </w:r>
      <w:r w:rsidRPr="00511005">
        <w:rPr>
          <w:rFonts w:ascii="Arial" w:eastAsia="Calibri" w:hAnsi="Arial" w:cs="Arial"/>
          <w:noProof/>
          <w:szCs w:val="28"/>
          <w:lang w:val="en-US"/>
        </w:rPr>
        <mc:AlternateContent>
          <mc:Choice Requires="wpg">
            <w:drawing>
              <wp:anchor distT="0" distB="0" distL="114300" distR="114300" simplePos="0" relativeHeight="251669504" behindDoc="1" locked="0" layoutInCell="1" allowOverlap="1" wp14:anchorId="289E5150" wp14:editId="5CA227BA">
                <wp:simplePos x="0" y="0"/>
                <wp:positionH relativeFrom="column">
                  <wp:posOffset>3810</wp:posOffset>
                </wp:positionH>
                <wp:positionV relativeFrom="paragraph">
                  <wp:posOffset>2540</wp:posOffset>
                </wp:positionV>
                <wp:extent cx="1342390" cy="1990725"/>
                <wp:effectExtent l="0" t="0" r="0" b="0"/>
                <wp:wrapTight wrapText="bothSides">
                  <wp:wrapPolygon edited="0">
                    <wp:start x="0" y="0"/>
                    <wp:lineTo x="0" y="21497"/>
                    <wp:lineTo x="21150" y="21497"/>
                    <wp:lineTo x="21150" y="0"/>
                    <wp:lineTo x="0" y="0"/>
                  </wp:wrapPolygon>
                </wp:wrapTight>
                <wp:docPr id="6" name="Группа 6"/>
                <wp:cNvGraphicFramePr/>
                <a:graphic xmlns:a="http://schemas.openxmlformats.org/drawingml/2006/main">
                  <a:graphicData uri="http://schemas.microsoft.com/office/word/2010/wordprocessingGroup">
                    <wpg:wgp>
                      <wpg:cNvGrpSpPr/>
                      <wpg:grpSpPr>
                        <a:xfrm>
                          <a:off x="0" y="0"/>
                          <a:ext cx="1342390" cy="1990725"/>
                          <a:chOff x="0" y="0"/>
                          <a:chExt cx="1342390" cy="1990725"/>
                        </a:xfrm>
                      </wpg:grpSpPr>
                      <wpg:grpSp>
                        <wpg:cNvPr id="9" name="Группа 9"/>
                        <wpg:cNvGrpSpPr/>
                        <wpg:grpSpPr>
                          <a:xfrm>
                            <a:off x="0" y="0"/>
                            <a:ext cx="1342390" cy="1990725"/>
                            <a:chOff x="0" y="0"/>
                            <a:chExt cx="1695450" cy="2623820"/>
                          </a:xfrm>
                        </wpg:grpSpPr>
                        <pic:pic xmlns:pic="http://schemas.openxmlformats.org/drawingml/2006/picture">
                          <pic:nvPicPr>
                            <pic:cNvPr id="10" name="Рисунок 10"/>
                            <pic:cNvPicPr>
                              <a:picLocks noChangeAspect="1"/>
                            </pic:cNvPicPr>
                          </pic:nvPicPr>
                          <pic:blipFill rotWithShape="1">
                            <a:blip r:embed="rId2326" cstate="print">
                              <a:extLst>
                                <a:ext uri="{28A0092B-C50C-407E-A947-70E740481C1C}">
                                  <a14:useLocalDpi xmlns:a14="http://schemas.microsoft.com/office/drawing/2010/main" val="0"/>
                                </a:ext>
                              </a:extLst>
                            </a:blip>
                            <a:srcRect l="24255" t="29334" r="857" b="17152"/>
                            <a:stretch/>
                          </pic:blipFill>
                          <pic:spPr bwMode="auto">
                            <a:xfrm>
                              <a:off x="0" y="0"/>
                              <a:ext cx="1695450" cy="2623820"/>
                            </a:xfrm>
                            <a:prstGeom prst="rect">
                              <a:avLst/>
                            </a:prstGeom>
                            <a:ln>
                              <a:noFill/>
                            </a:ln>
                            <a:extLst>
                              <a:ext uri="{53640926-AAD7-44D8-BBD7-CCE9431645EC}">
                                <a14:shadowObscured xmlns:a14="http://schemas.microsoft.com/office/drawing/2010/main"/>
                              </a:ext>
                            </a:extLst>
                          </pic:spPr>
                        </pic:pic>
                        <wps:wsp>
                          <wps:cNvPr id="13" name="Овал 13"/>
                          <wps:cNvSpPr/>
                          <wps:spPr>
                            <a:xfrm>
                              <a:off x="123825" y="1666875"/>
                              <a:ext cx="73025" cy="67310"/>
                            </a:xfrm>
                            <a:prstGeom prst="ellipse">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4" name="Прямоугольник 14"/>
                        <wps:cNvSpPr/>
                        <wps:spPr>
                          <a:xfrm>
                            <a:off x="133350" y="704850"/>
                            <a:ext cx="608221" cy="575557"/>
                          </a:xfrm>
                          <a:prstGeom prst="rect">
                            <a:avLst/>
                          </a:prstGeom>
                          <a:solidFill>
                            <a:srgbClr val="92D050"/>
                          </a:solidFill>
                          <a:ln w="31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ая со стрелкой 15"/>
                        <wps:cNvCnPr/>
                        <wps:spPr>
                          <a:xfrm>
                            <a:off x="114300" y="1276350"/>
                            <a:ext cx="628650" cy="0"/>
                          </a:xfrm>
                          <a:prstGeom prst="straightConnector1">
                            <a:avLst/>
                          </a:prstGeom>
                          <a:noFill/>
                          <a:ln w="19050" cap="flat" cmpd="sng" algn="ctr">
                            <a:solidFill>
                              <a:sysClr val="windowText" lastClr="000000"/>
                            </a:solidFill>
                            <a:prstDash val="solid"/>
                            <a:miter lim="800000"/>
                            <a:tailEnd type="triangle"/>
                          </a:ln>
                          <a:effectLst/>
                        </wps:spPr>
                        <wps:bodyPr/>
                      </wps:wsp>
                      <wps:wsp>
                        <wps:cNvPr id="16" name="Прямая со стрелкой 16"/>
                        <wps:cNvCnPr/>
                        <wps:spPr>
                          <a:xfrm flipH="1" flipV="1">
                            <a:off x="123825" y="704850"/>
                            <a:ext cx="5027" cy="576211"/>
                          </a:xfrm>
                          <a:prstGeom prst="straightConnector1">
                            <a:avLst/>
                          </a:prstGeom>
                          <a:noFill/>
                          <a:ln w="19050" cap="flat" cmpd="sng" algn="ctr">
                            <a:solidFill>
                              <a:sysClr val="windowText" lastClr="000000"/>
                            </a:solidFill>
                            <a:prstDash val="solid"/>
                            <a:miter lim="800000"/>
                            <a:tailEnd type="triangle"/>
                          </a:ln>
                          <a:effectLst/>
                        </wps:spPr>
                        <wps:bodyPr/>
                      </wps:wsp>
                    </wpg:wgp>
                  </a:graphicData>
                </a:graphic>
                <wp14:sizeRelV relativeFrom="margin">
                  <wp14:pctHeight>0</wp14:pctHeight>
                </wp14:sizeRelV>
              </wp:anchor>
            </w:drawing>
          </mc:Choice>
          <mc:Fallback xmlns:w16sdtdh="http://schemas.microsoft.com/office/word/2020/wordml/sdtdatahash">
            <w:pict>
              <v:group w14:anchorId="48970D8E" id="Группа 6" o:spid="_x0000_s1026" style="position:absolute;margin-left:.3pt;margin-top:.2pt;width:105.7pt;height:156.75pt;z-index:-251646976;mso-height-relative:margin" coordsize="13423,199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">
                <v:group id="Группа 9" o:spid="_x0000_s1027" style="position:absolute;width:13423;height:19907" coordsize="16954,262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shape id="Рисунок 10" o:spid="_x0000_s1028" type="#_x0000_t75" style="position:absolute;width:16954;height:26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">
                    <v:imagedata r:id="rId2392" o:title="" croptop="19224f" cropbottom="11241f" cropleft="15896f" cropright="562f"/>
                  </v:shape>
                  <v:oval id="Овал 13" o:spid="_x0000_s1029" style="position:absolute;left:1238;top:16668;width:730;height:6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" fillcolor="windowText" strokecolor="windowText" strokeweight="1pt">
                    <v:stroke joinstyle="miter"/>
                  </v:oval>
                </v:group>
                <v:rect id="Прямоугольник 14" o:spid="_x0000_s1030" style="position:absolute;left:1333;top:7048;width:6082;height:57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" fillcolor="#92d050" strokecolor="windowText" strokeweight=".25pt"/>
                <v:shape id="Прямая со стрелкой 15" o:spid="_x0000_s1031" type="#_x0000_t32" style="position:absolute;left:1143;top:12763;width:62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" strokecolor="windowText" strokeweight="1.5pt">
                  <v:stroke endarrow="block" joinstyle="miter"/>
                </v:shape>
                <v:shape id="Прямая со стрелкой 16" o:spid="_x0000_s1032" type="#_x0000_t32" style="position:absolute;left:1238;top:7048;width:50;height:576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" strokecolor="windowText" strokeweight="1.5pt">
                  <v:stroke endarrow="block" joinstyle="miter"/>
                </v:shape>
                <w10:wrap type="tight"/>
              </v:group>
            </w:pict>
          </mc:Fallback>
        </mc:AlternateContent>
      </w:r>
      <w:r w:rsidRPr="00511005">
        <w:rPr>
          <w:rFonts w:ascii="Arial" w:eastAsia="Calibri" w:hAnsi="Arial" w:cs="Arial"/>
          <w:szCs w:val="28"/>
          <w:lang w:val="uk-UA"/>
        </w:rPr>
        <w:t>Нехай є квадрат у декартовій прямокутній системі координат, який має центр у точці</w:t>
      </w:r>
      <w:r w:rsidRPr="00511005">
        <w:rPr>
          <w:rFonts w:ascii="Arial" w:eastAsia="Calibri" w:hAnsi="Arial" w:cs="Arial"/>
          <w:szCs w:val="28"/>
        </w:rPr>
        <w:t xml:space="preserve"> </w:t>
      </w:r>
      <w:r w:rsidRPr="00511005">
        <w:rPr>
          <w:rFonts w:ascii="Arial" w:eastAsia="Calibri" w:hAnsi="Arial" w:cs="Arial"/>
          <w:szCs w:val="28"/>
          <w:lang w:val="en-US"/>
        </w:rPr>
        <w:t>x</w:t>
      </w:r>
      <w:r w:rsidRPr="00511005">
        <w:rPr>
          <w:rFonts w:ascii="Arial" w:eastAsia="Calibri" w:hAnsi="Arial" w:cs="Arial"/>
          <w:szCs w:val="28"/>
          <w:vertAlign w:val="subscript"/>
        </w:rPr>
        <w:t xml:space="preserve">0 </w:t>
      </w:r>
      <w:r w:rsidRPr="00511005">
        <w:rPr>
          <w:rFonts w:ascii="Arial" w:eastAsia="Calibri" w:hAnsi="Arial" w:cs="Arial"/>
          <w:szCs w:val="28"/>
        </w:rPr>
        <w:t>=</w:t>
      </w:r>
      <w:r w:rsidRPr="00511005">
        <w:rPr>
          <w:rFonts w:ascii="Arial" w:eastAsia="Calibri" w:hAnsi="Arial" w:cs="Arial"/>
          <w:szCs w:val="28"/>
          <w:lang w:val="uk-UA"/>
        </w:rPr>
        <w:t xml:space="preserve"> </w:t>
      </w:r>
      <m:oMath>
        <m:d>
          <m:dPr>
            <m:ctrlPr>
              <w:rPr>
                <w:rFonts w:ascii="Cambria Math" w:eastAsia="Calibri" w:hAnsi="Cambria Math" w:cs="Arial"/>
                <w:i/>
                <w:szCs w:val="28"/>
                <w:lang w:val="uk-UA"/>
              </w:rPr>
            </m:ctrlPr>
          </m:dPr>
          <m:e>
            <m:m>
              <m:mPr>
                <m:mcs>
                  <m:mc>
                    <m:mcPr>
                      <m:count m:val="1"/>
                      <m:mcJc m:val="center"/>
                    </m:mcPr>
                  </m:mc>
                </m:mcs>
                <m:ctrlPr>
                  <w:rPr>
                    <w:rFonts w:ascii="Cambria Math" w:eastAsia="Calibri" w:hAnsi="Cambria Math" w:cs="Arial"/>
                    <w:i/>
                    <w:szCs w:val="28"/>
                    <w:lang w:val="uk-UA"/>
                  </w:rPr>
                </m:ctrlPr>
              </m:mPr>
              <m:mr>
                <m:e>
                  <m:r>
                    <w:rPr>
                      <w:rFonts w:ascii="Cambria Math" w:eastAsia="Calibri" w:hAnsi="Cambria Math" w:cs="Arial"/>
                      <w:szCs w:val="28"/>
                      <w:lang w:val="uk-UA"/>
                    </w:rPr>
                    <m:t>0</m:t>
                  </m:r>
                </m:e>
              </m:mr>
              <m:mr>
                <m:e>
                  <m:r>
                    <w:rPr>
                      <w:rFonts w:ascii="Cambria Math" w:eastAsia="Calibri" w:hAnsi="Cambria Math" w:cs="Arial"/>
                      <w:szCs w:val="28"/>
                      <w:lang w:val="uk-UA"/>
                    </w:rPr>
                    <m:t>0</m:t>
                  </m:r>
                </m:e>
              </m:mr>
            </m:m>
          </m:e>
        </m:d>
      </m:oMath>
      <w:r w:rsidRPr="00511005">
        <w:rPr>
          <w:rFonts w:ascii="Arial" w:eastAsia="Times New Roman" w:hAnsi="Arial" w:cs="Arial"/>
          <w:szCs w:val="28"/>
          <w:lang w:val="uk-UA"/>
        </w:rPr>
        <w:t>, довжини сторін квадрата описуються деякими векторами</w:t>
      </w:r>
      <w:r w:rsidRPr="00511005">
        <w:rPr>
          <w:rFonts w:ascii="Arial" w:eastAsia="Times New Roman" w:hAnsi="Arial" w:cs="Arial"/>
          <w:szCs w:val="28"/>
        </w:rPr>
        <w:t xml:space="preserve"> </w:t>
      </w:r>
      <m:oMath>
        <m:acc>
          <m:accPr>
            <m:chr m:val="⃗"/>
            <m:ctrlPr>
              <w:rPr>
                <w:rFonts w:ascii="Cambria Math" w:eastAsia="Times New Roman" w:hAnsi="Cambria Math" w:cs="Arial"/>
                <w:i/>
                <w:szCs w:val="28"/>
                <w:lang w:val="en-US"/>
              </w:rPr>
            </m:ctrlPr>
          </m:accPr>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u</m:t>
                </m:r>
              </m:e>
              <m:sub>
                <m:r>
                  <w:rPr>
                    <w:rFonts w:ascii="Cambria Math" w:eastAsia="Times New Roman" w:hAnsi="Cambria Math" w:cs="Arial"/>
                    <w:szCs w:val="28"/>
                  </w:rPr>
                  <m:t>1</m:t>
                </m:r>
              </m:sub>
            </m:sSub>
          </m:e>
        </m:acc>
      </m:oMath>
      <w:r w:rsidRPr="00511005">
        <w:rPr>
          <w:rFonts w:ascii="Arial" w:eastAsia="Times New Roman" w:hAnsi="Arial" w:cs="Arial"/>
          <w:szCs w:val="28"/>
          <w:vertAlign w:val="subscript"/>
        </w:rPr>
        <w:t xml:space="preserve"> </w:t>
      </w:r>
      <w:r w:rsidRPr="00511005">
        <w:rPr>
          <w:rFonts w:ascii="Arial" w:eastAsia="Times New Roman" w:hAnsi="Arial" w:cs="Arial"/>
          <w:szCs w:val="28"/>
        </w:rPr>
        <w:t xml:space="preserve">і </w:t>
      </w:r>
      <m:oMath>
        <m:acc>
          <m:accPr>
            <m:chr m:val="⃗"/>
            <m:ctrlPr>
              <w:rPr>
                <w:rFonts w:ascii="Cambria Math" w:eastAsia="Times New Roman" w:hAnsi="Cambria Math" w:cs="Arial"/>
                <w:i/>
                <w:szCs w:val="28"/>
                <w:lang w:val="en-US"/>
              </w:rPr>
            </m:ctrlPr>
          </m:accPr>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u</m:t>
                </m:r>
              </m:e>
              <m:sub>
                <m:r>
                  <w:rPr>
                    <w:rFonts w:ascii="Cambria Math" w:eastAsia="Times New Roman" w:hAnsi="Cambria Math" w:cs="Arial"/>
                    <w:szCs w:val="28"/>
                  </w:rPr>
                  <m:t>2</m:t>
                </m:r>
              </m:sub>
            </m:sSub>
          </m:e>
        </m:acc>
      </m:oMath>
      <w:r w:rsidRPr="00511005">
        <w:rPr>
          <w:rFonts w:ascii="Arial" w:eastAsia="Times New Roman" w:hAnsi="Arial" w:cs="Arial"/>
          <w:szCs w:val="28"/>
          <w:lang w:val="uk-UA"/>
        </w:rPr>
        <w:t>.</w:t>
      </w:r>
    </w:p>
    <w:p w14:paraId="2B538192" w14:textId="77777777" w:rsidR="00532C25" w:rsidRPr="00511005" w:rsidRDefault="005938AD" w:rsidP="00532C25">
      <w:pPr>
        <w:spacing w:line="264" w:lineRule="auto"/>
        <w:ind w:firstLine="0"/>
        <w:rPr>
          <w:rFonts w:ascii="Arial" w:eastAsia="Times New Roman" w:hAnsi="Arial" w:cs="Arial"/>
          <w:szCs w:val="28"/>
        </w:rPr>
      </w:pPr>
      <m:oMath>
        <m:acc>
          <m:accPr>
            <m:chr m:val="⃗"/>
            <m:ctrlPr>
              <w:rPr>
                <w:rFonts w:ascii="Cambria Math" w:eastAsia="Times New Roman" w:hAnsi="Cambria Math" w:cs="Arial"/>
                <w:i/>
                <w:szCs w:val="28"/>
                <w:lang w:val="en-US"/>
              </w:rPr>
            </m:ctrlPr>
          </m:accPr>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u</m:t>
                </m:r>
              </m:e>
              <m:sub>
                <m:r>
                  <w:rPr>
                    <w:rFonts w:ascii="Cambria Math" w:eastAsia="Times New Roman" w:hAnsi="Cambria Math" w:cs="Arial"/>
                    <w:szCs w:val="28"/>
                    <w:lang w:val="uk-UA"/>
                  </w:rPr>
                  <m:t>1</m:t>
                </m:r>
              </m:sub>
            </m:sSub>
          </m:e>
        </m:acc>
        <m:r>
          <m:rPr>
            <m:sty m:val="p"/>
          </m:rPr>
          <w:rPr>
            <w:rFonts w:ascii="Cambria Math" w:eastAsia="Times New Roman" w:hAnsi="Cambria Math" w:cs="Arial"/>
            <w:szCs w:val="28"/>
            <w:vertAlign w:val="subscript"/>
            <w:lang w:val="uk-UA"/>
          </w:rPr>
          <m:t xml:space="preserve">= </m:t>
        </m:r>
        <m:d>
          <m:dPr>
            <m:ctrlPr>
              <w:rPr>
                <w:rFonts w:ascii="Cambria Math" w:eastAsia="Times New Roman" w:hAnsi="Cambria Math" w:cs="Arial"/>
                <w:szCs w:val="28"/>
                <w:vertAlign w:val="subscript"/>
              </w:rPr>
            </m:ctrlPr>
          </m:dPr>
          <m:e>
            <m:m>
              <m:mPr>
                <m:mcs>
                  <m:mc>
                    <m:mcPr>
                      <m:count m:val="1"/>
                      <m:mcJc m:val="center"/>
                    </m:mcPr>
                  </m:mc>
                </m:mcs>
                <m:ctrlPr>
                  <w:rPr>
                    <w:rFonts w:ascii="Cambria Math" w:eastAsia="Times New Roman" w:hAnsi="Cambria Math" w:cs="Arial"/>
                    <w:szCs w:val="28"/>
                    <w:vertAlign w:val="subscript"/>
                  </w:rPr>
                </m:ctrlPr>
              </m:mPr>
              <m:mr>
                <m:e>
                  <m:r>
                    <w:rPr>
                      <w:rFonts w:ascii="Cambria Math" w:eastAsia="Times New Roman" w:hAnsi="Cambria Math" w:cs="Arial"/>
                      <w:szCs w:val="28"/>
                      <w:vertAlign w:val="subscript"/>
                      <w:lang w:val="uk-UA"/>
                    </w:rPr>
                    <m:t>1</m:t>
                  </m:r>
                </m:e>
              </m:mr>
              <m:mr>
                <m:e>
                  <m:r>
                    <w:rPr>
                      <w:rFonts w:ascii="Cambria Math" w:eastAsia="Times New Roman" w:hAnsi="Cambria Math" w:cs="Arial"/>
                      <w:szCs w:val="28"/>
                      <w:vertAlign w:val="subscript"/>
                      <w:lang w:val="uk-UA"/>
                    </w:rPr>
                    <m:t>0</m:t>
                  </m:r>
                </m:e>
              </m:mr>
            </m:m>
          </m:e>
        </m:d>
      </m:oMath>
      <w:r w:rsidR="00532C25" w:rsidRPr="00511005">
        <w:rPr>
          <w:rFonts w:ascii="Arial" w:eastAsia="Times New Roman" w:hAnsi="Arial" w:cs="Arial"/>
          <w:szCs w:val="28"/>
          <w:vertAlign w:val="subscript"/>
          <w:lang w:val="uk-UA"/>
        </w:rPr>
        <w:t xml:space="preserve"> </w:t>
      </w:r>
      <w:r w:rsidR="00532C25" w:rsidRPr="00511005">
        <w:rPr>
          <w:rFonts w:ascii="Arial" w:eastAsia="Times New Roman" w:hAnsi="Arial" w:cs="Arial"/>
          <w:szCs w:val="28"/>
          <w:vertAlign w:val="subscript"/>
          <w:lang w:val="uk-UA"/>
        </w:rPr>
        <w:tab/>
      </w:r>
      <m:oMath>
        <m:acc>
          <m:accPr>
            <m:chr m:val="⃗"/>
            <m:ctrlPr>
              <w:rPr>
                <w:rFonts w:ascii="Cambria Math" w:eastAsia="Times New Roman" w:hAnsi="Cambria Math" w:cs="Arial"/>
                <w:i/>
                <w:szCs w:val="28"/>
                <w:lang w:val="en-US"/>
              </w:rPr>
            </m:ctrlPr>
          </m:accPr>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u</m:t>
                </m:r>
              </m:e>
              <m:sub>
                <m:r>
                  <w:rPr>
                    <w:rFonts w:ascii="Cambria Math" w:eastAsia="Times New Roman" w:hAnsi="Cambria Math" w:cs="Arial"/>
                    <w:szCs w:val="28"/>
                    <w:lang w:val="uk-UA"/>
                  </w:rPr>
                  <m:t>2</m:t>
                </m:r>
              </m:sub>
            </m:sSub>
          </m:e>
        </m:acc>
        <m:r>
          <m:rPr>
            <m:sty m:val="p"/>
          </m:rPr>
          <w:rPr>
            <w:rFonts w:ascii="Cambria Math" w:eastAsia="Times New Roman" w:hAnsi="Cambria Math" w:cs="Arial"/>
            <w:szCs w:val="28"/>
            <w:lang w:val="uk-UA"/>
          </w:rPr>
          <m:t xml:space="preserve">= </m:t>
        </m:r>
        <m:d>
          <m:dPr>
            <m:ctrlPr>
              <w:rPr>
                <w:rFonts w:ascii="Cambria Math" w:eastAsia="Times New Roman" w:hAnsi="Cambria Math" w:cs="Arial"/>
                <w:szCs w:val="28"/>
                <w:lang w:val="uk-UA"/>
              </w:rPr>
            </m:ctrlPr>
          </m:dPr>
          <m:e>
            <m:m>
              <m:mPr>
                <m:mcs>
                  <m:mc>
                    <m:mcPr>
                      <m:count m:val="1"/>
                      <m:mcJc m:val="center"/>
                    </m:mcPr>
                  </m:mc>
                </m:mcs>
                <m:ctrlPr>
                  <w:rPr>
                    <w:rFonts w:ascii="Cambria Math" w:eastAsia="Times New Roman" w:hAnsi="Cambria Math" w:cs="Arial"/>
                    <w:szCs w:val="28"/>
                    <w:lang w:val="uk-UA"/>
                  </w:rPr>
                </m:ctrlPr>
              </m:mPr>
              <m:mr>
                <m:e>
                  <m:r>
                    <w:rPr>
                      <w:rFonts w:ascii="Cambria Math" w:eastAsia="Times New Roman" w:hAnsi="Cambria Math" w:cs="Arial"/>
                      <w:szCs w:val="28"/>
                      <w:lang w:val="uk-UA"/>
                    </w:rPr>
                    <m:t>0</m:t>
                  </m:r>
                </m:e>
              </m:mr>
              <m:mr>
                <m:e>
                  <m:r>
                    <w:rPr>
                      <w:rFonts w:ascii="Cambria Math" w:eastAsia="Times New Roman" w:hAnsi="Cambria Math" w:cs="Arial"/>
                      <w:szCs w:val="28"/>
                      <w:lang w:val="uk-UA"/>
                    </w:rPr>
                    <m:t>1</m:t>
                  </m:r>
                </m:e>
              </m:mr>
            </m:m>
          </m:e>
        </m:d>
      </m:oMath>
      <w:r w:rsidR="00532C25" w:rsidRPr="00511005">
        <w:rPr>
          <w:rFonts w:ascii="Arial" w:eastAsia="Times New Roman" w:hAnsi="Arial" w:cs="Arial"/>
          <w:szCs w:val="28"/>
          <w:lang w:val="uk-UA"/>
        </w:rPr>
        <w:t xml:space="preserve"> </w:t>
      </w:r>
    </w:p>
    <w:p w14:paraId="3D9E8260"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Матриця </w:t>
      </w:r>
      <m:oMath>
        <m:r>
          <w:rPr>
            <w:rFonts w:ascii="Cambria Math" w:eastAsia="Times New Roman" w:hAnsi="Cambria Math" w:cs="Arial"/>
            <w:szCs w:val="28"/>
            <w:lang w:val="en-US"/>
          </w:rPr>
          <m:t>A</m:t>
        </m:r>
        <m:r>
          <w:rPr>
            <w:rFonts w:ascii="Cambria Math" w:eastAsia="Times New Roman" w:hAnsi="Cambria Math" w:cs="Arial"/>
            <w:szCs w:val="28"/>
          </w:rPr>
          <m:t xml:space="preserve">= </m:t>
        </m:r>
        <m:d>
          <m:dPr>
            <m:ctrlPr>
              <w:rPr>
                <w:rFonts w:ascii="Cambria Math" w:eastAsia="Times New Roman" w:hAnsi="Cambria Math" w:cs="Arial"/>
                <w:i/>
                <w:szCs w:val="28"/>
                <w:lang w:val="en-US"/>
              </w:rPr>
            </m:ctrlPr>
          </m:dPr>
          <m:e>
            <m:m>
              <m:mPr>
                <m:mcs>
                  <m:mc>
                    <m:mcPr>
                      <m:count m:val="2"/>
                      <m:mcJc m:val="center"/>
                    </m:mcPr>
                  </m:mc>
                </m:mcs>
                <m:ctrlPr>
                  <w:rPr>
                    <w:rFonts w:ascii="Cambria Math" w:eastAsia="Times New Roman" w:hAnsi="Cambria Math" w:cs="Arial"/>
                    <w:i/>
                    <w:szCs w:val="28"/>
                    <w:lang w:val="en-US"/>
                  </w:rPr>
                </m:ctrlPr>
              </m:mPr>
              <m:mr>
                <m:e>
                  <m:r>
                    <w:rPr>
                      <w:rFonts w:ascii="Cambria Math" w:eastAsia="Times New Roman" w:hAnsi="Cambria Math" w:cs="Arial"/>
                      <w:szCs w:val="28"/>
                    </w:rPr>
                    <m:t>1</m:t>
                  </m:r>
                </m:e>
                <m:e>
                  <m:r>
                    <w:rPr>
                      <w:rFonts w:ascii="Cambria Math" w:eastAsia="Times New Roman" w:hAnsi="Cambria Math" w:cs="Arial"/>
                      <w:szCs w:val="28"/>
                    </w:rPr>
                    <m:t>0</m:t>
                  </m:r>
                </m:e>
              </m:mr>
              <m:mr>
                <m:e>
                  <m:r>
                    <w:rPr>
                      <w:rFonts w:ascii="Cambria Math" w:eastAsia="Times New Roman" w:hAnsi="Cambria Math" w:cs="Arial"/>
                      <w:szCs w:val="28"/>
                    </w:rPr>
                    <m:t>0</m:t>
                  </m:r>
                </m:e>
                <m:e>
                  <m:r>
                    <w:rPr>
                      <w:rFonts w:ascii="Cambria Math" w:eastAsia="Times New Roman" w:hAnsi="Cambria Math" w:cs="Arial"/>
                      <w:szCs w:val="28"/>
                    </w:rPr>
                    <m:t>1</m:t>
                  </m:r>
                </m:e>
              </m:mr>
            </m:m>
          </m:e>
        </m:d>
      </m:oMath>
      <w:r w:rsidRPr="00511005">
        <w:rPr>
          <w:rFonts w:ascii="Arial" w:eastAsia="Times New Roman" w:hAnsi="Arial" w:cs="Arial"/>
          <w:szCs w:val="28"/>
          <w:lang w:val="uk-UA"/>
        </w:rPr>
        <w:t xml:space="preserve"> містить координати векторів </w:t>
      </w:r>
      <m:oMath>
        <m:acc>
          <m:accPr>
            <m:chr m:val="⃗"/>
            <m:ctrlPr>
              <w:rPr>
                <w:rFonts w:ascii="Cambria Math" w:eastAsia="Times New Roman" w:hAnsi="Cambria Math" w:cs="Arial"/>
                <w:i/>
                <w:szCs w:val="28"/>
                <w:lang w:val="en-US"/>
              </w:rPr>
            </m:ctrlPr>
          </m:accPr>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u</m:t>
                </m:r>
              </m:e>
              <m:sub>
                <m:r>
                  <w:rPr>
                    <w:rFonts w:ascii="Cambria Math" w:eastAsia="Times New Roman" w:hAnsi="Cambria Math" w:cs="Arial"/>
                    <w:szCs w:val="28"/>
                  </w:rPr>
                  <m:t>1</m:t>
                </m:r>
              </m:sub>
            </m:sSub>
          </m:e>
        </m:acc>
      </m:oMath>
      <w:r w:rsidRPr="00511005">
        <w:rPr>
          <w:rFonts w:ascii="Arial" w:eastAsia="Times New Roman" w:hAnsi="Arial" w:cs="Arial"/>
          <w:szCs w:val="28"/>
          <w:lang w:val="uk-UA"/>
        </w:rPr>
        <w:t xml:space="preserve"> і </w:t>
      </w:r>
      <m:oMath>
        <m:acc>
          <m:accPr>
            <m:chr m:val="⃗"/>
            <m:ctrlPr>
              <w:rPr>
                <w:rFonts w:ascii="Cambria Math" w:eastAsia="Times New Roman" w:hAnsi="Cambria Math" w:cs="Arial"/>
                <w:i/>
                <w:szCs w:val="28"/>
                <w:lang w:val="en-US"/>
              </w:rPr>
            </m:ctrlPr>
          </m:accPr>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u</m:t>
                </m:r>
              </m:e>
              <m:sub>
                <m:r>
                  <w:rPr>
                    <w:rFonts w:ascii="Cambria Math" w:eastAsia="Times New Roman" w:hAnsi="Cambria Math" w:cs="Arial"/>
                    <w:szCs w:val="28"/>
                  </w:rPr>
                  <m:t>2</m:t>
                </m:r>
              </m:sub>
            </m:sSub>
          </m:e>
        </m:acc>
      </m:oMath>
      <w:r w:rsidRPr="00511005">
        <w:rPr>
          <w:rFonts w:ascii="Arial" w:eastAsia="Times New Roman" w:hAnsi="Arial" w:cs="Arial"/>
          <w:szCs w:val="28"/>
          <w:lang w:val="uk-UA"/>
        </w:rPr>
        <w:t>.</w:t>
      </w:r>
    </w:p>
    <w:p w14:paraId="04FC6988" w14:textId="77777777" w:rsidR="00532C25" w:rsidRPr="00511005" w:rsidRDefault="00532C25" w:rsidP="00532C25">
      <w:pPr>
        <w:spacing w:line="264" w:lineRule="auto"/>
        <w:ind w:firstLine="0"/>
        <w:rPr>
          <w:rFonts w:ascii="Arial" w:eastAsia="Times New Roman" w:hAnsi="Arial" w:cs="Arial"/>
          <w:szCs w:val="28"/>
          <w:lang w:val="uk-UA"/>
        </w:rPr>
      </w:pPr>
      <m:oMath>
        <m:r>
          <w:rPr>
            <w:rFonts w:ascii="Cambria Math" w:eastAsia="Times New Roman" w:hAnsi="Cambria Math" w:cs="Arial"/>
            <w:szCs w:val="28"/>
            <w:vertAlign w:val="subscript"/>
            <w:lang w:val="en-US"/>
          </w:rPr>
          <m:t>S</m:t>
        </m:r>
        <m:r>
          <w:rPr>
            <w:rFonts w:ascii="Cambria Math" w:eastAsia="Times New Roman" w:hAnsi="Cambria Math" w:cs="Arial"/>
            <w:szCs w:val="28"/>
            <w:vertAlign w:val="subscript"/>
          </w:rPr>
          <m:t xml:space="preserve">= </m:t>
        </m:r>
        <m:d>
          <m:dPr>
            <m:ctrlPr>
              <w:rPr>
                <w:rFonts w:ascii="Cambria Math" w:eastAsia="Times New Roman" w:hAnsi="Cambria Math" w:cs="Arial"/>
                <w:i/>
                <w:szCs w:val="28"/>
                <w:vertAlign w:val="subscript"/>
                <w:lang w:val="en-US"/>
              </w:rPr>
            </m:ctrlPr>
          </m:dPr>
          <m:e>
            <m:m>
              <m:mPr>
                <m:mcs>
                  <m:mc>
                    <m:mcPr>
                      <m:count m:val="2"/>
                      <m:mcJc m:val="center"/>
                    </m:mcPr>
                  </m:mc>
                </m:mcs>
                <m:ctrlPr>
                  <w:rPr>
                    <w:rFonts w:ascii="Cambria Math" w:eastAsia="Times New Roman" w:hAnsi="Cambria Math" w:cs="Arial"/>
                    <w:i/>
                    <w:szCs w:val="28"/>
                    <w:vertAlign w:val="subscript"/>
                    <w:lang w:val="en-US"/>
                  </w:rPr>
                </m:ctrlPr>
              </m:mPr>
              <m:mr>
                <m:e>
                  <m:r>
                    <w:rPr>
                      <w:rFonts w:ascii="Cambria Math" w:eastAsia="Times New Roman" w:hAnsi="Cambria Math" w:cs="Arial"/>
                      <w:szCs w:val="28"/>
                      <w:vertAlign w:val="subscript"/>
                    </w:rPr>
                    <m:t>1.5</m:t>
                  </m:r>
                </m:e>
                <m:e>
                  <m:r>
                    <w:rPr>
                      <w:rFonts w:ascii="Cambria Math" w:eastAsia="Times New Roman" w:hAnsi="Cambria Math" w:cs="Arial"/>
                      <w:szCs w:val="28"/>
                      <w:vertAlign w:val="subscript"/>
                    </w:rPr>
                    <m:t>0</m:t>
                  </m:r>
                </m:e>
              </m:mr>
              <m:mr>
                <m:e>
                  <m:r>
                    <w:rPr>
                      <w:rFonts w:ascii="Cambria Math" w:eastAsia="Times New Roman" w:hAnsi="Cambria Math" w:cs="Arial"/>
                      <w:szCs w:val="28"/>
                      <w:vertAlign w:val="subscript"/>
                    </w:rPr>
                    <m:t>0</m:t>
                  </m:r>
                </m:e>
                <m:e>
                  <m:r>
                    <w:rPr>
                      <w:rFonts w:ascii="Cambria Math" w:eastAsia="Times New Roman" w:hAnsi="Cambria Math" w:cs="Arial"/>
                      <w:szCs w:val="28"/>
                      <w:vertAlign w:val="subscript"/>
                    </w:rPr>
                    <m:t>2</m:t>
                  </m:r>
                </m:e>
              </m:mr>
            </m:m>
          </m:e>
        </m:d>
        <m:r>
          <w:rPr>
            <w:rFonts w:ascii="Cambria Math" w:eastAsia="Times New Roman" w:hAnsi="Cambria Math" w:cs="Arial"/>
            <w:szCs w:val="28"/>
            <w:vertAlign w:val="subscript"/>
          </w:rPr>
          <m:t xml:space="preserve"> </m:t>
        </m:r>
      </m:oMath>
      <w:r w:rsidRPr="00511005">
        <w:rPr>
          <w:rFonts w:ascii="Arial" w:eastAsia="Times New Roman" w:hAnsi="Arial" w:cs="Arial"/>
          <w:szCs w:val="28"/>
          <w:lang w:val="uk-UA"/>
        </w:rPr>
        <w:t xml:space="preserve">— матриця, яка збільшить координати </w:t>
      </w:r>
      <m:oMath>
        <m:acc>
          <m:accPr>
            <m:chr m:val="⃗"/>
            <m:ctrlPr>
              <w:rPr>
                <w:rFonts w:ascii="Cambria Math" w:eastAsia="Times New Roman" w:hAnsi="Cambria Math" w:cs="Arial"/>
                <w:i/>
                <w:szCs w:val="28"/>
                <w:lang w:val="en-US"/>
              </w:rPr>
            </m:ctrlPr>
          </m:accPr>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u</m:t>
                </m:r>
              </m:e>
              <m:sub>
                <m:r>
                  <w:rPr>
                    <w:rFonts w:ascii="Cambria Math" w:eastAsia="Times New Roman" w:hAnsi="Cambria Math" w:cs="Arial"/>
                    <w:szCs w:val="28"/>
                  </w:rPr>
                  <m:t>1</m:t>
                </m:r>
              </m:sub>
            </m:sSub>
          </m:e>
        </m:acc>
      </m:oMath>
      <w:r w:rsidRPr="00511005">
        <w:rPr>
          <w:rFonts w:ascii="Arial" w:eastAsia="Times New Roman" w:hAnsi="Arial" w:cs="Arial"/>
          <w:szCs w:val="28"/>
          <w:lang w:val="uk-UA"/>
        </w:rPr>
        <w:t xml:space="preserve"> у 1.5 та </w:t>
      </w:r>
      <m:oMath>
        <m:acc>
          <m:accPr>
            <m:chr m:val="⃗"/>
            <m:ctrlPr>
              <w:rPr>
                <w:rFonts w:ascii="Cambria Math" w:eastAsia="Times New Roman" w:hAnsi="Cambria Math" w:cs="Arial"/>
                <w:i/>
                <w:szCs w:val="28"/>
                <w:lang w:val="en-US"/>
              </w:rPr>
            </m:ctrlPr>
          </m:accPr>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u</m:t>
                </m:r>
              </m:e>
              <m:sub>
                <m:r>
                  <w:rPr>
                    <w:rFonts w:ascii="Cambria Math" w:eastAsia="Times New Roman" w:hAnsi="Cambria Math" w:cs="Arial"/>
                    <w:szCs w:val="28"/>
                  </w:rPr>
                  <m:t>2</m:t>
                </m:r>
              </m:sub>
            </m:sSub>
          </m:e>
        </m:acc>
      </m:oMath>
      <w:r w:rsidRPr="00511005">
        <w:rPr>
          <w:rFonts w:ascii="Arial" w:eastAsia="Times New Roman" w:hAnsi="Arial" w:cs="Arial"/>
          <w:szCs w:val="28"/>
          <w:lang w:val="uk-UA"/>
        </w:rPr>
        <w:t xml:space="preserve"> у 2 рази.</w:t>
      </w:r>
    </w:p>
    <w:p w14:paraId="626932E9"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 xml:space="preserve">Якщо ми помножемо матриці </w:t>
      </w:r>
      <w:r w:rsidRPr="00511005">
        <w:rPr>
          <w:rFonts w:ascii="Arial" w:eastAsia="Calibri" w:hAnsi="Arial" w:cs="Arial"/>
          <w:szCs w:val="28"/>
          <w:lang w:val="en-US"/>
        </w:rPr>
        <w:t>S</w:t>
      </w:r>
      <w:r w:rsidRPr="00511005">
        <w:rPr>
          <w:rFonts w:ascii="Arial" w:eastAsia="Calibri" w:hAnsi="Arial" w:cs="Arial"/>
          <w:szCs w:val="28"/>
        </w:rPr>
        <w:t xml:space="preserve"> </w:t>
      </w:r>
      <w:r w:rsidRPr="00511005">
        <w:rPr>
          <w:rFonts w:ascii="Arial" w:eastAsia="Calibri" w:hAnsi="Arial" w:cs="Arial"/>
          <w:szCs w:val="28"/>
          <w:lang w:val="uk-UA"/>
        </w:rPr>
        <w:t>на</w:t>
      </w:r>
      <w:r w:rsidRPr="00511005">
        <w:rPr>
          <w:rFonts w:ascii="Arial" w:eastAsia="Calibri" w:hAnsi="Arial" w:cs="Arial"/>
          <w:szCs w:val="28"/>
        </w:rPr>
        <w:t xml:space="preserve"> </w:t>
      </w:r>
      <w:r w:rsidRPr="00511005">
        <w:rPr>
          <w:rFonts w:ascii="Arial" w:eastAsia="Calibri" w:hAnsi="Arial" w:cs="Arial"/>
          <w:szCs w:val="28"/>
          <w:lang w:val="en-US"/>
        </w:rPr>
        <w:t>A</w:t>
      </w:r>
      <w:r w:rsidRPr="00511005">
        <w:rPr>
          <w:rFonts w:ascii="Arial" w:eastAsia="Calibri" w:hAnsi="Arial" w:cs="Arial"/>
          <w:szCs w:val="28"/>
          <w:lang w:val="uk-UA"/>
        </w:rPr>
        <w:t>, то ми отримаємо</w:t>
      </w:r>
      <w:r w:rsidRPr="00511005">
        <w:rPr>
          <w:rFonts w:ascii="Arial" w:eastAsia="Calibri" w:hAnsi="Arial" w:cs="Arial"/>
          <w:szCs w:val="28"/>
        </w:rPr>
        <w:t xml:space="preserve"> </w:t>
      </w:r>
      <w:r w:rsidRPr="00511005">
        <w:rPr>
          <w:rFonts w:ascii="Arial" w:eastAsia="Calibri" w:hAnsi="Arial" w:cs="Arial"/>
          <w:szCs w:val="28"/>
          <w:lang w:val="en-US"/>
        </w:rPr>
        <w:t>A</w:t>
      </w:r>
      <w:r w:rsidRPr="00511005">
        <w:rPr>
          <w:rFonts w:ascii="Arial" w:eastAsia="Calibri" w:hAnsi="Arial" w:cs="Arial"/>
          <w:szCs w:val="28"/>
          <w:vertAlign w:val="subscript"/>
          <w:lang w:val="en-US"/>
        </w:rPr>
        <w:t>T</w:t>
      </w:r>
      <w:r w:rsidRPr="00511005">
        <w:rPr>
          <w:rFonts w:ascii="Arial" w:eastAsia="Calibri" w:hAnsi="Arial" w:cs="Arial"/>
          <w:szCs w:val="28"/>
          <w:vertAlign w:val="subscript"/>
          <w:lang w:val="uk-UA"/>
        </w:rPr>
        <w:t xml:space="preserve"> </w:t>
      </w:r>
      <w:r w:rsidRPr="00511005">
        <w:rPr>
          <w:rFonts w:ascii="Arial" w:eastAsia="Calibri" w:hAnsi="Arial" w:cs="Arial"/>
          <w:szCs w:val="28"/>
          <w:lang w:val="uk-UA"/>
        </w:rPr>
        <w:t xml:space="preserve">— трансформовану матрицю </w:t>
      </w:r>
      <w:r w:rsidRPr="00511005">
        <w:rPr>
          <w:rFonts w:ascii="Arial" w:eastAsia="Calibri" w:hAnsi="Arial" w:cs="Arial"/>
          <w:szCs w:val="28"/>
          <w:lang w:val="en-US"/>
        </w:rPr>
        <w:t>A</w:t>
      </w:r>
      <w:r w:rsidRPr="00511005">
        <w:rPr>
          <w:rFonts w:ascii="Arial" w:eastAsia="Calibri" w:hAnsi="Arial" w:cs="Arial"/>
          <w:szCs w:val="28"/>
          <w:lang w:val="uk-UA"/>
        </w:rPr>
        <w:t>:</w:t>
      </w:r>
    </w:p>
    <w:p w14:paraId="78D310CC" w14:textId="77777777" w:rsidR="00532C25" w:rsidRPr="00511005" w:rsidRDefault="005938AD" w:rsidP="00532C25">
      <w:pPr>
        <w:spacing w:line="264" w:lineRule="auto"/>
        <w:ind w:firstLine="0"/>
        <w:rPr>
          <w:rFonts w:ascii="Arial" w:eastAsia="Times New Roman" w:hAnsi="Arial" w:cs="Arial"/>
          <w:szCs w:val="28"/>
        </w:rPr>
      </w:pPr>
      <m:oMathPara>
        <m:oMath>
          <m:d>
            <m:dPr>
              <m:ctrlPr>
                <w:rPr>
                  <w:rFonts w:ascii="Cambria Math" w:eastAsia="Calibri" w:hAnsi="Cambria Math" w:cs="Arial"/>
                  <w:i/>
                  <w:szCs w:val="28"/>
                  <w:vertAlign w:val="subscript"/>
                  <w:lang w:val="uk-UA"/>
                </w:rPr>
              </m:ctrlPr>
            </m:dPr>
            <m:e>
              <m:m>
                <m:mPr>
                  <m:mcs>
                    <m:mc>
                      <m:mcPr>
                        <m:count m:val="2"/>
                        <m:mcJc m:val="center"/>
                      </m:mcPr>
                    </m:mc>
                  </m:mcs>
                  <m:ctrlPr>
                    <w:rPr>
                      <w:rFonts w:ascii="Cambria Math" w:eastAsia="Calibri" w:hAnsi="Cambria Math" w:cs="Arial"/>
                      <w:i/>
                      <w:szCs w:val="28"/>
                      <w:vertAlign w:val="subscript"/>
                      <w:lang w:val="uk-UA"/>
                    </w:rPr>
                  </m:ctrlPr>
                </m:mPr>
                <m:mr>
                  <m:e>
                    <m:r>
                      <w:rPr>
                        <w:rFonts w:ascii="Cambria Math" w:eastAsia="Calibri" w:hAnsi="Cambria Math" w:cs="Arial"/>
                        <w:szCs w:val="28"/>
                        <w:vertAlign w:val="subscript"/>
                        <w:lang w:val="uk-UA"/>
                      </w:rPr>
                      <m:t>1.5</m:t>
                    </m:r>
                  </m:e>
                  <m:e>
                    <m:r>
                      <w:rPr>
                        <w:rFonts w:ascii="Cambria Math" w:eastAsia="Calibri" w:hAnsi="Cambria Math" w:cs="Arial"/>
                        <w:szCs w:val="28"/>
                        <w:vertAlign w:val="subscript"/>
                        <w:lang w:val="uk-UA"/>
                      </w:rPr>
                      <m:t>0</m:t>
                    </m:r>
                  </m:e>
                </m:mr>
                <m:mr>
                  <m:e>
                    <m:r>
                      <w:rPr>
                        <w:rFonts w:ascii="Cambria Math" w:eastAsia="Calibri" w:hAnsi="Cambria Math" w:cs="Arial"/>
                        <w:szCs w:val="28"/>
                        <w:vertAlign w:val="subscript"/>
                        <w:lang w:val="uk-UA"/>
                      </w:rPr>
                      <m:t>0</m:t>
                    </m:r>
                  </m:e>
                  <m:e>
                    <m:r>
                      <w:rPr>
                        <w:rFonts w:ascii="Cambria Math" w:eastAsia="Calibri" w:hAnsi="Cambria Math" w:cs="Arial"/>
                        <w:szCs w:val="28"/>
                        <w:vertAlign w:val="subscript"/>
                        <w:lang w:val="uk-UA"/>
                      </w:rPr>
                      <m:t>2</m:t>
                    </m:r>
                  </m:e>
                </m:mr>
              </m:m>
            </m:e>
          </m:d>
          <m:d>
            <m:dPr>
              <m:ctrlPr>
                <w:rPr>
                  <w:rFonts w:ascii="Cambria Math" w:eastAsia="Calibri" w:hAnsi="Cambria Math" w:cs="Arial"/>
                  <w:i/>
                  <w:szCs w:val="28"/>
                  <w:vertAlign w:val="subscript"/>
                  <w:lang w:val="uk-UA"/>
                </w:rPr>
              </m:ctrlPr>
            </m:dPr>
            <m:e>
              <m:m>
                <m:mPr>
                  <m:mcs>
                    <m:mc>
                      <m:mcPr>
                        <m:count m:val="2"/>
                        <m:mcJc m:val="center"/>
                      </m:mcPr>
                    </m:mc>
                  </m:mcs>
                  <m:ctrlPr>
                    <w:rPr>
                      <w:rFonts w:ascii="Cambria Math" w:eastAsia="Calibri" w:hAnsi="Cambria Math" w:cs="Arial"/>
                      <w:i/>
                      <w:szCs w:val="28"/>
                      <w:vertAlign w:val="subscript"/>
                      <w:lang w:val="uk-UA"/>
                    </w:rPr>
                  </m:ctrlPr>
                </m:mPr>
                <m:mr>
                  <m:e>
                    <m:r>
                      <w:rPr>
                        <w:rFonts w:ascii="Cambria Math" w:eastAsia="Calibri" w:hAnsi="Cambria Math" w:cs="Arial"/>
                        <w:szCs w:val="28"/>
                        <w:vertAlign w:val="subscript"/>
                        <w:lang w:val="uk-UA"/>
                      </w:rPr>
                      <m:t>1</m:t>
                    </m:r>
                  </m:e>
                  <m:e>
                    <m:r>
                      <w:rPr>
                        <w:rFonts w:ascii="Cambria Math" w:eastAsia="Calibri" w:hAnsi="Cambria Math" w:cs="Arial"/>
                        <w:szCs w:val="28"/>
                        <w:vertAlign w:val="subscript"/>
                        <w:lang w:val="uk-UA"/>
                      </w:rPr>
                      <m:t>0</m:t>
                    </m:r>
                  </m:e>
                </m:mr>
                <m:mr>
                  <m:e>
                    <m:r>
                      <w:rPr>
                        <w:rFonts w:ascii="Cambria Math" w:eastAsia="Calibri" w:hAnsi="Cambria Math" w:cs="Arial"/>
                        <w:szCs w:val="28"/>
                        <w:vertAlign w:val="subscript"/>
                        <w:lang w:val="uk-UA"/>
                      </w:rPr>
                      <m:t>0</m:t>
                    </m:r>
                  </m:e>
                  <m:e>
                    <m:r>
                      <w:rPr>
                        <w:rFonts w:ascii="Cambria Math" w:eastAsia="Calibri" w:hAnsi="Cambria Math" w:cs="Arial"/>
                        <w:szCs w:val="28"/>
                        <w:vertAlign w:val="subscript"/>
                        <w:lang w:val="uk-UA"/>
                      </w:rPr>
                      <m:t>1</m:t>
                    </m:r>
                  </m:e>
                </m:mr>
              </m:m>
            </m:e>
          </m:d>
          <m:r>
            <w:rPr>
              <w:rFonts w:ascii="Cambria Math" w:eastAsia="Calibri" w:hAnsi="Cambria Math" w:cs="Arial"/>
              <w:szCs w:val="28"/>
              <w:vertAlign w:val="subscript"/>
              <w:lang w:val="uk-UA"/>
            </w:rPr>
            <m:t>=</m:t>
          </m:r>
          <m:d>
            <m:dPr>
              <m:ctrlPr>
                <w:rPr>
                  <w:rFonts w:ascii="Cambria Math" w:eastAsia="Calibri" w:hAnsi="Cambria Math" w:cs="Arial"/>
                  <w:i/>
                  <w:szCs w:val="28"/>
                  <w:vertAlign w:val="subscript"/>
                  <w:lang w:val="uk-UA"/>
                </w:rPr>
              </m:ctrlPr>
            </m:dPr>
            <m:e>
              <m:m>
                <m:mPr>
                  <m:mcs>
                    <m:mc>
                      <m:mcPr>
                        <m:count m:val="2"/>
                        <m:mcJc m:val="center"/>
                      </m:mcPr>
                    </m:mc>
                  </m:mcs>
                  <m:ctrlPr>
                    <w:rPr>
                      <w:rFonts w:ascii="Cambria Math" w:eastAsia="Calibri" w:hAnsi="Cambria Math" w:cs="Arial"/>
                      <w:i/>
                      <w:szCs w:val="28"/>
                      <w:vertAlign w:val="subscript"/>
                      <w:lang w:val="uk-UA"/>
                    </w:rPr>
                  </m:ctrlPr>
                </m:mPr>
                <m:mr>
                  <m:e>
                    <m:r>
                      <w:rPr>
                        <w:rFonts w:ascii="Cambria Math" w:eastAsia="Calibri" w:hAnsi="Cambria Math" w:cs="Arial"/>
                        <w:szCs w:val="28"/>
                        <w:vertAlign w:val="subscript"/>
                        <w:lang w:val="uk-UA"/>
                      </w:rPr>
                      <m:t>1.5</m:t>
                    </m:r>
                  </m:e>
                  <m:e>
                    <m:r>
                      <w:rPr>
                        <w:rFonts w:ascii="Cambria Math" w:eastAsia="Calibri" w:hAnsi="Cambria Math" w:cs="Arial"/>
                        <w:szCs w:val="28"/>
                        <w:vertAlign w:val="subscript"/>
                        <w:lang w:val="uk-UA"/>
                      </w:rPr>
                      <m:t>0</m:t>
                    </m:r>
                  </m:e>
                </m:mr>
                <m:mr>
                  <m:e>
                    <m:r>
                      <w:rPr>
                        <w:rFonts w:ascii="Cambria Math" w:eastAsia="Calibri" w:hAnsi="Cambria Math" w:cs="Arial"/>
                        <w:szCs w:val="28"/>
                        <w:vertAlign w:val="subscript"/>
                        <w:lang w:val="uk-UA"/>
                      </w:rPr>
                      <m:t>0</m:t>
                    </m:r>
                  </m:e>
                  <m:e>
                    <m:r>
                      <w:rPr>
                        <w:rFonts w:ascii="Cambria Math" w:eastAsia="Calibri" w:hAnsi="Cambria Math" w:cs="Arial"/>
                        <w:szCs w:val="28"/>
                        <w:vertAlign w:val="subscript"/>
                        <w:lang w:val="uk-UA"/>
                      </w:rPr>
                      <m:t>2</m:t>
                    </m:r>
                  </m:e>
                </m:mr>
              </m:m>
            </m:e>
          </m:d>
        </m:oMath>
      </m:oMathPara>
    </w:p>
    <w:p w14:paraId="5438617D" w14:textId="77777777" w:rsidR="00532C25" w:rsidRPr="00511005" w:rsidRDefault="00532C25" w:rsidP="00532C25">
      <w:pPr>
        <w:spacing w:line="264" w:lineRule="auto"/>
        <w:ind w:firstLine="0"/>
        <w:rPr>
          <w:rFonts w:ascii="Arial" w:eastAsia="Times New Roman" w:hAnsi="Arial" w:cs="Arial"/>
          <w:szCs w:val="28"/>
          <w:vertAlign w:val="subscript"/>
          <w:lang w:val="uk-UA"/>
        </w:rPr>
      </w:pPr>
      <w:r w:rsidRPr="00511005">
        <w:rPr>
          <w:rFonts w:ascii="Arial" w:eastAsia="Times New Roman" w:hAnsi="Arial" w:cs="Arial"/>
          <w:szCs w:val="28"/>
        </w:rPr>
        <w:t xml:space="preserve">Розмір квадрату збільшився у 1.5 та </w:t>
      </w:r>
      <w:r w:rsidRPr="00511005">
        <w:rPr>
          <w:rFonts w:ascii="Arial" w:eastAsia="Times New Roman" w:hAnsi="Arial" w:cs="Arial"/>
          <w:szCs w:val="28"/>
          <w:lang w:val="uk-UA"/>
        </w:rPr>
        <w:t xml:space="preserve">в </w:t>
      </w:r>
      <w:r w:rsidRPr="00511005">
        <w:rPr>
          <w:rFonts w:ascii="Arial" w:eastAsia="Times New Roman" w:hAnsi="Arial" w:cs="Arial"/>
          <w:szCs w:val="28"/>
        </w:rPr>
        <w:t xml:space="preserve">2 рази по осі Х та </w:t>
      </w:r>
      <w:r w:rsidRPr="00511005">
        <w:rPr>
          <w:rFonts w:ascii="Arial" w:eastAsia="Times New Roman" w:hAnsi="Arial" w:cs="Arial"/>
          <w:szCs w:val="28"/>
          <w:lang w:val="en-US"/>
        </w:rPr>
        <w:t>Y</w:t>
      </w:r>
      <w:r w:rsidRPr="00511005">
        <w:rPr>
          <w:rFonts w:ascii="Arial" w:eastAsia="Times New Roman" w:hAnsi="Arial" w:cs="Arial"/>
          <w:szCs w:val="28"/>
          <w:lang w:val="uk-UA"/>
        </w:rPr>
        <w:t xml:space="preserve"> відповідно.</w:t>
      </w:r>
    </w:p>
    <w:p w14:paraId="1200CA29"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На цьому простому прикладі ми побачили практичне застосування матриці масштабування, але нам потрібно врахувати, що замість квадрату можуть бути об’єкти будь-якої складності: графічні, текстові, тощо.</w:t>
      </w:r>
    </w:p>
    <w:p w14:paraId="435840E4" w14:textId="77777777" w:rsidR="00532C25" w:rsidRPr="00511005" w:rsidRDefault="00532C25" w:rsidP="00532C25">
      <w:pPr>
        <w:spacing w:line="264" w:lineRule="auto"/>
        <w:ind w:firstLine="0"/>
        <w:rPr>
          <w:rFonts w:ascii="Arial" w:eastAsia="Times New Roman" w:hAnsi="Arial" w:cs="Arial"/>
          <w:szCs w:val="28"/>
        </w:rPr>
      </w:pPr>
      <w:r w:rsidRPr="00511005">
        <w:rPr>
          <w:rFonts w:ascii="Arial" w:eastAsia="Times New Roman" w:hAnsi="Arial" w:cs="Arial"/>
          <w:szCs w:val="28"/>
          <w:lang w:val="uk-UA"/>
        </w:rPr>
        <w:t>Тепер ми як розробники комп</w:t>
      </w:r>
      <w:r w:rsidRPr="00511005">
        <w:rPr>
          <w:rFonts w:ascii="Arial" w:eastAsia="Times New Roman" w:hAnsi="Arial" w:cs="Arial"/>
          <w:szCs w:val="28"/>
        </w:rPr>
        <w:t>’</w:t>
      </w:r>
      <w:r w:rsidRPr="00511005">
        <w:rPr>
          <w:rFonts w:ascii="Arial" w:eastAsia="Times New Roman" w:hAnsi="Arial" w:cs="Arial"/>
          <w:szCs w:val="28"/>
          <w:lang w:val="uk-UA"/>
        </w:rPr>
        <w:t>ютерної гри в 2</w:t>
      </w:r>
      <w:r w:rsidRPr="00511005">
        <w:rPr>
          <w:rFonts w:ascii="Arial" w:eastAsia="Times New Roman" w:hAnsi="Arial" w:cs="Arial"/>
          <w:szCs w:val="28"/>
          <w:lang w:val="en-US"/>
        </w:rPr>
        <w:t>D</w:t>
      </w:r>
      <w:r w:rsidRPr="00511005">
        <w:rPr>
          <w:rFonts w:ascii="Arial" w:eastAsia="Times New Roman" w:hAnsi="Arial" w:cs="Arial"/>
          <w:szCs w:val="28"/>
        </w:rPr>
        <w:t xml:space="preserve">, хочемо виконати поворот </w:t>
      </w:r>
      <w:r w:rsidRPr="00511005">
        <w:rPr>
          <w:rFonts w:ascii="Arial" w:eastAsia="Times New Roman" w:hAnsi="Arial" w:cs="Arial"/>
          <w:szCs w:val="28"/>
          <w:lang w:val="uk-UA"/>
        </w:rPr>
        <w:t>прямокутника, який ми отримали вище</w:t>
      </w:r>
      <w:r w:rsidRPr="00511005">
        <w:rPr>
          <w:rFonts w:ascii="Arial" w:eastAsia="Times New Roman" w:hAnsi="Arial" w:cs="Arial"/>
          <w:szCs w:val="28"/>
        </w:rPr>
        <w:t xml:space="preserve"> на </w:t>
      </w:r>
      <m:oMath>
        <m:f>
          <m:fPr>
            <m:ctrlPr>
              <w:rPr>
                <w:rFonts w:ascii="Cambria Math" w:eastAsia="Times New Roman" w:hAnsi="Cambria Math" w:cs="Arial"/>
                <w:i/>
                <w:szCs w:val="28"/>
              </w:rPr>
            </m:ctrlPr>
          </m:fPr>
          <m:num>
            <m:r>
              <w:rPr>
                <w:rFonts w:ascii="Cambria Math" w:eastAsia="Times New Roman" w:hAnsi="Cambria Math" w:cs="Arial"/>
                <w:szCs w:val="28"/>
              </w:rPr>
              <m:t>π</m:t>
            </m:r>
          </m:num>
          <m:den>
            <m:r>
              <w:rPr>
                <w:rFonts w:ascii="Cambria Math" w:eastAsia="Times New Roman" w:hAnsi="Cambria Math" w:cs="Arial"/>
                <w:szCs w:val="28"/>
              </w:rPr>
              <m:t>4</m:t>
            </m:r>
          </m:den>
        </m:f>
      </m:oMath>
      <w:r w:rsidRPr="00511005">
        <w:rPr>
          <w:rFonts w:ascii="Arial" w:eastAsia="Times New Roman" w:hAnsi="Arial" w:cs="Arial"/>
          <w:szCs w:val="28"/>
          <w:lang w:val="uk-UA"/>
        </w:rPr>
        <w:t xml:space="preserve"> </w:t>
      </w:r>
      <w:r w:rsidRPr="00511005">
        <w:rPr>
          <w:rFonts w:ascii="Arial" w:eastAsia="Times New Roman" w:hAnsi="Arial" w:cs="Arial"/>
          <w:szCs w:val="28"/>
        </w:rPr>
        <w:t>радіан</w:t>
      </w:r>
      <w:r w:rsidRPr="00511005">
        <w:rPr>
          <w:rFonts w:ascii="Arial" w:eastAsia="Times New Roman" w:hAnsi="Arial" w:cs="Arial"/>
          <w:szCs w:val="28"/>
          <w:lang w:val="uk-UA"/>
        </w:rPr>
        <w:t xml:space="preserve"> проти годинникової стрілки, тоді застосуємо матрицю </w:t>
      </w:r>
      <w:proofErr w:type="gramStart"/>
      <w:r w:rsidRPr="00511005">
        <w:rPr>
          <w:rFonts w:ascii="Arial" w:eastAsia="Times New Roman" w:hAnsi="Arial" w:cs="Arial"/>
          <w:szCs w:val="28"/>
          <w:lang w:val="uk-UA"/>
        </w:rPr>
        <w:t>повороту</w:t>
      </w:r>
      <w:r w:rsidRPr="00511005">
        <w:rPr>
          <w:rFonts w:ascii="Arial" w:eastAsia="Times New Roman" w:hAnsi="Arial" w:cs="Arial"/>
          <w:szCs w:val="28"/>
        </w:rPr>
        <w:t>[</w:t>
      </w:r>
      <w:proofErr w:type="gramEnd"/>
      <w:r w:rsidRPr="00511005">
        <w:rPr>
          <w:rFonts w:ascii="Arial" w:eastAsia="Times New Roman" w:hAnsi="Arial" w:cs="Arial"/>
          <w:szCs w:val="28"/>
        </w:rPr>
        <w:t>3]</w:t>
      </w:r>
      <w:r w:rsidRPr="00511005">
        <w:rPr>
          <w:rFonts w:ascii="Arial" w:eastAsia="Times New Roman" w:hAnsi="Arial" w:cs="Arial"/>
          <w:szCs w:val="28"/>
          <w:lang w:val="uk-UA"/>
        </w:rPr>
        <w:t xml:space="preserve"> та назвемо її </w:t>
      </w:r>
      <w:r w:rsidRPr="00511005">
        <w:rPr>
          <w:rFonts w:ascii="Arial" w:eastAsia="Times New Roman" w:hAnsi="Arial" w:cs="Arial"/>
          <w:szCs w:val="28"/>
          <w:lang w:val="en-US"/>
        </w:rPr>
        <w:t>R</w:t>
      </w:r>
      <w:r w:rsidRPr="00511005">
        <w:rPr>
          <w:rFonts w:ascii="Arial" w:eastAsia="Times New Roman" w:hAnsi="Arial" w:cs="Arial"/>
          <w:szCs w:val="28"/>
        </w:rPr>
        <w:t>:</w:t>
      </w:r>
    </w:p>
    <w:p w14:paraId="2BBE34EF" w14:textId="77777777" w:rsidR="00532C25" w:rsidRPr="00511005" w:rsidRDefault="00532C25" w:rsidP="00532C25">
      <w:pPr>
        <w:spacing w:line="264" w:lineRule="auto"/>
        <w:ind w:firstLine="0"/>
        <w:rPr>
          <w:rFonts w:ascii="Arial" w:eastAsia="Times New Roman" w:hAnsi="Arial" w:cs="Arial"/>
          <w:szCs w:val="28"/>
          <w:lang w:val="en-US"/>
        </w:rPr>
      </w:pPr>
      <m:oMathPara>
        <m:oMath>
          <m:r>
            <w:rPr>
              <w:rFonts w:ascii="Cambria Math" w:eastAsia="Times New Roman" w:hAnsi="Cambria Math" w:cs="Arial"/>
              <w:szCs w:val="28"/>
              <w:lang w:val="en-US"/>
            </w:rPr>
            <m:t xml:space="preserve">R= </m:t>
          </m:r>
          <m:d>
            <m:dPr>
              <m:ctrlPr>
                <w:rPr>
                  <w:rFonts w:ascii="Cambria Math" w:eastAsia="Times New Roman" w:hAnsi="Cambria Math" w:cs="Arial"/>
                  <w:i/>
                  <w:szCs w:val="28"/>
                  <w:lang w:val="en-US"/>
                </w:rPr>
              </m:ctrlPr>
            </m:dPr>
            <m:e>
              <m:m>
                <m:mPr>
                  <m:mcs>
                    <m:mc>
                      <m:mcPr>
                        <m:count m:val="2"/>
                        <m:mcJc m:val="center"/>
                      </m:mcPr>
                    </m:mc>
                  </m:mcs>
                  <m:ctrlPr>
                    <w:rPr>
                      <w:rFonts w:ascii="Cambria Math" w:eastAsia="Times New Roman" w:hAnsi="Cambria Math" w:cs="Arial"/>
                      <w:i/>
                      <w:szCs w:val="28"/>
                      <w:lang w:val="en-US"/>
                    </w:rPr>
                  </m:ctrlPr>
                </m:mPr>
                <m:mr>
                  <m:e>
                    <m:func>
                      <m:funcPr>
                        <m:ctrlPr>
                          <w:rPr>
                            <w:rFonts w:ascii="Cambria Math" w:eastAsia="Times New Roman" w:hAnsi="Cambria Math" w:cs="Arial"/>
                            <w:i/>
                            <w:szCs w:val="28"/>
                            <w:lang w:val="en-US"/>
                          </w:rPr>
                        </m:ctrlPr>
                      </m:funcPr>
                      <m:fName>
                        <m:r>
                          <m:rPr>
                            <m:sty m:val="p"/>
                          </m:rPr>
                          <w:rPr>
                            <w:rFonts w:ascii="Cambria Math" w:eastAsia="Calibri" w:hAnsi="Cambria Math" w:cs="Arial"/>
                            <w:szCs w:val="28"/>
                            <w:lang w:val="en-US"/>
                          </w:rPr>
                          <m:t>cos</m:t>
                        </m:r>
                      </m:fName>
                      <m:e>
                        <m:r>
                          <w:rPr>
                            <w:rFonts w:ascii="Cambria Math" w:eastAsia="Times New Roman" w:hAnsi="Cambria Math" w:cs="Arial"/>
                            <w:szCs w:val="28"/>
                            <w:lang w:val="en-US"/>
                          </w:rPr>
                          <m:t>x</m:t>
                        </m:r>
                      </m:e>
                    </m:func>
                  </m:e>
                  <m:e>
                    <m:r>
                      <w:rPr>
                        <w:rFonts w:ascii="Cambria Math" w:eastAsia="Times New Roman" w:hAnsi="Cambria Math" w:cs="Arial"/>
                        <w:szCs w:val="28"/>
                        <w:lang w:val="en-US"/>
                      </w:rPr>
                      <m:t>-</m:t>
                    </m:r>
                    <m:func>
                      <m:funcPr>
                        <m:ctrlPr>
                          <w:rPr>
                            <w:rFonts w:ascii="Cambria Math" w:eastAsia="Times New Roman" w:hAnsi="Cambria Math" w:cs="Arial"/>
                            <w:i/>
                            <w:szCs w:val="28"/>
                            <w:lang w:val="en-US"/>
                          </w:rPr>
                        </m:ctrlPr>
                      </m:funcPr>
                      <m:fName>
                        <m:r>
                          <m:rPr>
                            <m:sty m:val="p"/>
                          </m:rPr>
                          <w:rPr>
                            <w:rFonts w:ascii="Cambria Math" w:eastAsia="Calibri" w:hAnsi="Cambria Math" w:cs="Arial"/>
                            <w:szCs w:val="28"/>
                            <w:lang w:val="en-US"/>
                          </w:rPr>
                          <m:t>sin</m:t>
                        </m:r>
                      </m:fName>
                      <m:e>
                        <m:r>
                          <w:rPr>
                            <w:rFonts w:ascii="Cambria Math" w:eastAsia="Times New Roman" w:hAnsi="Cambria Math" w:cs="Arial"/>
                            <w:szCs w:val="28"/>
                            <w:lang w:val="en-US"/>
                          </w:rPr>
                          <m:t>x</m:t>
                        </m:r>
                      </m:e>
                    </m:func>
                  </m:e>
                </m:mr>
                <m:mr>
                  <m:e>
                    <m:func>
                      <m:funcPr>
                        <m:ctrlPr>
                          <w:rPr>
                            <w:rFonts w:ascii="Cambria Math" w:eastAsia="Times New Roman" w:hAnsi="Cambria Math" w:cs="Arial"/>
                            <w:i/>
                            <w:szCs w:val="28"/>
                            <w:lang w:val="en-US"/>
                          </w:rPr>
                        </m:ctrlPr>
                      </m:funcPr>
                      <m:fName>
                        <m:r>
                          <m:rPr>
                            <m:sty m:val="p"/>
                          </m:rPr>
                          <w:rPr>
                            <w:rFonts w:ascii="Cambria Math" w:eastAsia="Calibri" w:hAnsi="Cambria Math" w:cs="Arial"/>
                            <w:szCs w:val="28"/>
                            <w:lang w:val="en-US"/>
                          </w:rPr>
                          <m:t>sin</m:t>
                        </m:r>
                      </m:fName>
                      <m:e>
                        <m:r>
                          <w:rPr>
                            <w:rFonts w:ascii="Cambria Math" w:eastAsia="Times New Roman" w:hAnsi="Cambria Math" w:cs="Arial"/>
                            <w:szCs w:val="28"/>
                            <w:lang w:val="en-US"/>
                          </w:rPr>
                          <m:t>x</m:t>
                        </m:r>
                      </m:e>
                    </m:func>
                  </m:e>
                  <m:e>
                    <m:func>
                      <m:funcPr>
                        <m:ctrlPr>
                          <w:rPr>
                            <w:rFonts w:ascii="Cambria Math" w:eastAsia="Times New Roman" w:hAnsi="Cambria Math" w:cs="Arial"/>
                            <w:i/>
                            <w:szCs w:val="28"/>
                            <w:lang w:val="en-US"/>
                          </w:rPr>
                        </m:ctrlPr>
                      </m:funcPr>
                      <m:fName>
                        <m:r>
                          <m:rPr>
                            <m:sty m:val="p"/>
                          </m:rPr>
                          <w:rPr>
                            <w:rFonts w:ascii="Cambria Math" w:eastAsia="Calibri" w:hAnsi="Cambria Math" w:cs="Arial"/>
                            <w:szCs w:val="28"/>
                            <w:lang w:val="en-US"/>
                          </w:rPr>
                          <m:t>cos</m:t>
                        </m:r>
                      </m:fName>
                      <m:e>
                        <m:r>
                          <w:rPr>
                            <w:rFonts w:ascii="Cambria Math" w:eastAsia="Times New Roman" w:hAnsi="Cambria Math" w:cs="Arial"/>
                            <w:szCs w:val="28"/>
                            <w:lang w:val="en-US"/>
                          </w:rPr>
                          <m:t>x</m:t>
                        </m:r>
                      </m:e>
                    </m:func>
                  </m:e>
                </m:mr>
              </m:m>
            </m:e>
          </m:d>
        </m:oMath>
      </m:oMathPara>
    </w:p>
    <w:p w14:paraId="3B0180F4"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Times New Roman" w:hAnsi="Arial" w:cs="Arial"/>
          <w:szCs w:val="28"/>
          <w:lang w:val="uk-UA"/>
        </w:rPr>
        <w:t xml:space="preserve">Підставивши до х значення </w:t>
      </w:r>
      <m:oMath>
        <m:f>
          <m:fPr>
            <m:ctrlPr>
              <w:rPr>
                <w:rFonts w:ascii="Cambria Math" w:eastAsia="Times New Roman" w:hAnsi="Cambria Math" w:cs="Arial"/>
                <w:i/>
                <w:szCs w:val="28"/>
              </w:rPr>
            </m:ctrlPr>
          </m:fPr>
          <m:num>
            <m:r>
              <w:rPr>
                <w:rFonts w:ascii="Cambria Math" w:eastAsia="Times New Roman" w:hAnsi="Cambria Math" w:cs="Arial"/>
                <w:szCs w:val="28"/>
              </w:rPr>
              <m:t>π</m:t>
            </m:r>
          </m:num>
          <m:den>
            <m:r>
              <w:rPr>
                <w:rFonts w:ascii="Cambria Math" w:eastAsia="Times New Roman" w:hAnsi="Cambria Math" w:cs="Arial"/>
                <w:szCs w:val="28"/>
              </w:rPr>
              <m:t>4</m:t>
            </m:r>
          </m:den>
        </m:f>
      </m:oMath>
      <w:r w:rsidRPr="00511005">
        <w:rPr>
          <w:rFonts w:ascii="Arial" w:eastAsia="Times New Roman" w:hAnsi="Arial" w:cs="Arial"/>
          <w:szCs w:val="28"/>
        </w:rPr>
        <w:t xml:space="preserve"> та помноживши на матрицю</w:t>
      </w:r>
      <w:r w:rsidRPr="00511005">
        <w:rPr>
          <w:rFonts w:ascii="Arial" w:eastAsia="Calibri" w:hAnsi="Arial" w:cs="Arial"/>
          <w:szCs w:val="28"/>
        </w:rPr>
        <w:t xml:space="preserve"> </w:t>
      </w:r>
      <w:r w:rsidRPr="00511005">
        <w:rPr>
          <w:rFonts w:ascii="Arial" w:eastAsia="Calibri" w:hAnsi="Arial" w:cs="Arial"/>
          <w:szCs w:val="28"/>
          <w:lang w:val="en-US"/>
        </w:rPr>
        <w:t>A</w:t>
      </w:r>
      <w:r w:rsidRPr="00511005">
        <w:rPr>
          <w:rFonts w:ascii="Arial" w:eastAsia="Calibri" w:hAnsi="Arial" w:cs="Arial"/>
          <w:szCs w:val="28"/>
          <w:vertAlign w:val="subscript"/>
          <w:lang w:val="en-US"/>
        </w:rPr>
        <w:t>T</w:t>
      </w:r>
      <w:r w:rsidRPr="00511005">
        <w:rPr>
          <w:rFonts w:ascii="Arial" w:eastAsia="Calibri" w:hAnsi="Arial" w:cs="Arial"/>
          <w:szCs w:val="28"/>
          <w:lang w:val="uk-UA"/>
        </w:rPr>
        <w:t>, отримаємо:</w:t>
      </w:r>
    </w:p>
    <w:p w14:paraId="43BCD919" w14:textId="77777777" w:rsidR="00532C25" w:rsidRPr="00511005" w:rsidRDefault="005938AD" w:rsidP="00532C25">
      <w:pPr>
        <w:spacing w:line="264" w:lineRule="auto"/>
        <w:ind w:firstLine="0"/>
        <w:rPr>
          <w:rFonts w:ascii="Arial" w:eastAsia="Times New Roman" w:hAnsi="Arial" w:cs="Arial"/>
          <w:szCs w:val="28"/>
          <w:vertAlign w:val="subscript"/>
          <w:lang w:val="uk-UA"/>
        </w:rPr>
      </w:pPr>
      <m:oMathPara>
        <m:oMath>
          <m:d>
            <m:dPr>
              <m:ctrlPr>
                <w:rPr>
                  <w:rFonts w:ascii="Cambria Math" w:eastAsia="Calibri" w:hAnsi="Cambria Math" w:cs="Arial"/>
                  <w:i/>
                  <w:szCs w:val="28"/>
                  <w:vertAlign w:val="subscript"/>
                  <w:lang w:val="uk-UA"/>
                </w:rPr>
              </m:ctrlPr>
            </m:dPr>
            <m:e>
              <m:m>
                <m:mPr>
                  <m:mcs>
                    <m:mc>
                      <m:mcPr>
                        <m:count m:val="2"/>
                        <m:mcJc m:val="center"/>
                      </m:mcPr>
                    </m:mc>
                  </m:mcs>
                  <m:ctrlPr>
                    <w:rPr>
                      <w:rFonts w:ascii="Cambria Math" w:eastAsia="Calibri" w:hAnsi="Cambria Math" w:cs="Arial"/>
                      <w:i/>
                      <w:szCs w:val="28"/>
                      <w:vertAlign w:val="subscript"/>
                      <w:lang w:val="uk-UA"/>
                    </w:rPr>
                  </m:ctrlPr>
                </m:mPr>
                <m:mr>
                  <m:e>
                    <m:func>
                      <m:funcPr>
                        <m:ctrlPr>
                          <w:rPr>
                            <w:rFonts w:ascii="Cambria Math" w:eastAsia="Calibri" w:hAnsi="Cambria Math" w:cs="Arial"/>
                            <w:i/>
                            <w:szCs w:val="28"/>
                            <w:vertAlign w:val="subscript"/>
                            <w:lang w:val="uk-UA"/>
                          </w:rPr>
                        </m:ctrlPr>
                      </m:funcPr>
                      <m:fName>
                        <m:r>
                          <m:rPr>
                            <m:sty m:val="p"/>
                          </m:rPr>
                          <w:rPr>
                            <w:rFonts w:ascii="Cambria Math" w:eastAsia="Calibri" w:hAnsi="Cambria Math" w:cs="Arial"/>
                            <w:szCs w:val="28"/>
                            <w:vertAlign w:val="subscript"/>
                            <w:lang w:val="uk-UA"/>
                          </w:rPr>
                          <m:t>cos</m:t>
                        </m:r>
                      </m:fName>
                      <m:e>
                        <m:r>
                          <m:rPr>
                            <m:sty m:val="p"/>
                          </m:rPr>
                          <w:rPr>
                            <w:rFonts w:ascii="Cambria Math" w:eastAsia="Times New Roman" w:hAnsi="Cambria Math" w:cs="Arial"/>
                            <w:szCs w:val="28"/>
                          </w:rPr>
                          <m:t xml:space="preserve"> </m:t>
                        </m:r>
                        <m:f>
                          <m:fPr>
                            <m:ctrlPr>
                              <w:rPr>
                                <w:rFonts w:ascii="Cambria Math" w:eastAsia="Times New Roman" w:hAnsi="Cambria Math" w:cs="Arial"/>
                                <w:i/>
                                <w:szCs w:val="28"/>
                              </w:rPr>
                            </m:ctrlPr>
                          </m:fPr>
                          <m:num>
                            <m:r>
                              <w:rPr>
                                <w:rFonts w:ascii="Cambria Math" w:eastAsia="Times New Roman" w:hAnsi="Cambria Math" w:cs="Arial"/>
                                <w:szCs w:val="28"/>
                              </w:rPr>
                              <m:t>π</m:t>
                            </m:r>
                          </m:num>
                          <m:den>
                            <m:r>
                              <w:rPr>
                                <w:rFonts w:ascii="Cambria Math" w:eastAsia="Times New Roman" w:hAnsi="Cambria Math" w:cs="Arial"/>
                                <w:szCs w:val="28"/>
                              </w:rPr>
                              <m:t>4</m:t>
                            </m:r>
                          </m:den>
                        </m:f>
                        <m:r>
                          <m:rPr>
                            <m:sty m:val="p"/>
                          </m:rPr>
                          <w:rPr>
                            <w:rFonts w:ascii="Cambria Math" w:eastAsia="Times New Roman" w:hAnsi="Cambria Math" w:cs="Arial"/>
                            <w:szCs w:val="28"/>
                          </w:rPr>
                          <m:t xml:space="preserve"> </m:t>
                        </m:r>
                      </m:e>
                    </m:func>
                  </m:e>
                  <m:e>
                    <m:r>
                      <w:rPr>
                        <w:rFonts w:ascii="Cambria Math" w:eastAsia="Calibri" w:hAnsi="Cambria Math" w:cs="Arial"/>
                        <w:szCs w:val="28"/>
                        <w:vertAlign w:val="subscript"/>
                        <w:lang w:val="uk-UA"/>
                      </w:rPr>
                      <m:t>-</m:t>
                    </m:r>
                    <m:func>
                      <m:funcPr>
                        <m:ctrlPr>
                          <w:rPr>
                            <w:rFonts w:ascii="Cambria Math" w:eastAsia="Calibri" w:hAnsi="Cambria Math" w:cs="Arial"/>
                            <w:i/>
                            <w:szCs w:val="28"/>
                            <w:vertAlign w:val="subscript"/>
                            <w:lang w:val="uk-UA"/>
                          </w:rPr>
                        </m:ctrlPr>
                      </m:funcPr>
                      <m:fName>
                        <m:r>
                          <m:rPr>
                            <m:sty m:val="p"/>
                          </m:rPr>
                          <w:rPr>
                            <w:rFonts w:ascii="Cambria Math" w:eastAsia="Calibri" w:hAnsi="Cambria Math" w:cs="Arial"/>
                            <w:szCs w:val="28"/>
                            <w:vertAlign w:val="subscript"/>
                            <w:lang w:val="uk-UA"/>
                          </w:rPr>
                          <m:t>sin</m:t>
                        </m:r>
                      </m:fName>
                      <m:e>
                        <m:r>
                          <m:rPr>
                            <m:sty m:val="p"/>
                          </m:rPr>
                          <w:rPr>
                            <w:rFonts w:ascii="Cambria Math" w:eastAsia="Times New Roman" w:hAnsi="Cambria Math" w:cs="Arial"/>
                            <w:szCs w:val="28"/>
                          </w:rPr>
                          <m:t xml:space="preserve"> </m:t>
                        </m:r>
                        <m:f>
                          <m:fPr>
                            <m:ctrlPr>
                              <w:rPr>
                                <w:rFonts w:ascii="Cambria Math" w:eastAsia="Times New Roman" w:hAnsi="Cambria Math" w:cs="Arial"/>
                                <w:i/>
                                <w:szCs w:val="28"/>
                              </w:rPr>
                            </m:ctrlPr>
                          </m:fPr>
                          <m:num>
                            <m:r>
                              <w:rPr>
                                <w:rFonts w:ascii="Cambria Math" w:eastAsia="Times New Roman" w:hAnsi="Cambria Math" w:cs="Arial"/>
                                <w:szCs w:val="28"/>
                              </w:rPr>
                              <m:t>π</m:t>
                            </m:r>
                          </m:num>
                          <m:den>
                            <m:r>
                              <w:rPr>
                                <w:rFonts w:ascii="Cambria Math" w:eastAsia="Times New Roman" w:hAnsi="Cambria Math" w:cs="Arial"/>
                                <w:szCs w:val="28"/>
                              </w:rPr>
                              <m:t>4</m:t>
                            </m:r>
                          </m:den>
                        </m:f>
                        <m:r>
                          <m:rPr>
                            <m:sty m:val="p"/>
                          </m:rPr>
                          <w:rPr>
                            <w:rFonts w:ascii="Cambria Math" w:eastAsia="Times New Roman" w:hAnsi="Cambria Math" w:cs="Arial"/>
                            <w:szCs w:val="28"/>
                          </w:rPr>
                          <m:t xml:space="preserve"> </m:t>
                        </m:r>
                      </m:e>
                    </m:func>
                  </m:e>
                </m:mr>
                <m:mr>
                  <m:e>
                    <m:func>
                      <m:funcPr>
                        <m:ctrlPr>
                          <w:rPr>
                            <w:rFonts w:ascii="Cambria Math" w:eastAsia="Calibri" w:hAnsi="Cambria Math" w:cs="Arial"/>
                            <w:i/>
                            <w:szCs w:val="28"/>
                            <w:vertAlign w:val="subscript"/>
                            <w:lang w:val="uk-UA"/>
                          </w:rPr>
                        </m:ctrlPr>
                      </m:funcPr>
                      <m:fName>
                        <m:r>
                          <m:rPr>
                            <m:sty m:val="p"/>
                          </m:rPr>
                          <w:rPr>
                            <w:rFonts w:ascii="Cambria Math" w:eastAsia="Calibri" w:hAnsi="Cambria Math" w:cs="Arial"/>
                            <w:szCs w:val="28"/>
                            <w:vertAlign w:val="subscript"/>
                            <w:lang w:val="uk-UA"/>
                          </w:rPr>
                          <m:t>sin</m:t>
                        </m:r>
                      </m:fName>
                      <m:e>
                        <m:r>
                          <m:rPr>
                            <m:sty m:val="p"/>
                          </m:rPr>
                          <w:rPr>
                            <w:rFonts w:ascii="Cambria Math" w:eastAsia="Times New Roman" w:hAnsi="Cambria Math" w:cs="Arial"/>
                            <w:szCs w:val="28"/>
                          </w:rPr>
                          <m:t xml:space="preserve"> </m:t>
                        </m:r>
                        <m:f>
                          <m:fPr>
                            <m:ctrlPr>
                              <w:rPr>
                                <w:rFonts w:ascii="Cambria Math" w:eastAsia="Times New Roman" w:hAnsi="Cambria Math" w:cs="Arial"/>
                                <w:i/>
                                <w:szCs w:val="28"/>
                              </w:rPr>
                            </m:ctrlPr>
                          </m:fPr>
                          <m:num>
                            <m:r>
                              <w:rPr>
                                <w:rFonts w:ascii="Cambria Math" w:eastAsia="Times New Roman" w:hAnsi="Cambria Math" w:cs="Arial"/>
                                <w:szCs w:val="28"/>
                              </w:rPr>
                              <m:t>π</m:t>
                            </m:r>
                          </m:num>
                          <m:den>
                            <m:r>
                              <w:rPr>
                                <w:rFonts w:ascii="Cambria Math" w:eastAsia="Times New Roman" w:hAnsi="Cambria Math" w:cs="Arial"/>
                                <w:szCs w:val="28"/>
                              </w:rPr>
                              <m:t>4</m:t>
                            </m:r>
                          </m:den>
                        </m:f>
                        <m:r>
                          <m:rPr>
                            <m:sty m:val="p"/>
                          </m:rPr>
                          <w:rPr>
                            <w:rFonts w:ascii="Cambria Math" w:eastAsia="Times New Roman" w:hAnsi="Cambria Math" w:cs="Arial"/>
                            <w:szCs w:val="28"/>
                          </w:rPr>
                          <m:t xml:space="preserve"> </m:t>
                        </m:r>
                      </m:e>
                    </m:func>
                  </m:e>
                  <m:e>
                    <m:func>
                      <m:funcPr>
                        <m:ctrlPr>
                          <w:rPr>
                            <w:rFonts w:ascii="Cambria Math" w:eastAsia="Calibri" w:hAnsi="Cambria Math" w:cs="Arial"/>
                            <w:i/>
                            <w:szCs w:val="28"/>
                            <w:vertAlign w:val="subscript"/>
                            <w:lang w:val="uk-UA"/>
                          </w:rPr>
                        </m:ctrlPr>
                      </m:funcPr>
                      <m:fName>
                        <m:r>
                          <m:rPr>
                            <m:sty m:val="p"/>
                          </m:rPr>
                          <w:rPr>
                            <w:rFonts w:ascii="Cambria Math" w:eastAsia="Calibri" w:hAnsi="Cambria Math" w:cs="Arial"/>
                            <w:szCs w:val="28"/>
                            <w:vertAlign w:val="subscript"/>
                            <w:lang w:val="uk-UA"/>
                          </w:rPr>
                          <m:t>cos</m:t>
                        </m:r>
                      </m:fName>
                      <m:e>
                        <m:r>
                          <m:rPr>
                            <m:sty m:val="p"/>
                          </m:rPr>
                          <w:rPr>
                            <w:rFonts w:ascii="Cambria Math" w:eastAsia="Times New Roman" w:hAnsi="Cambria Math" w:cs="Arial"/>
                            <w:szCs w:val="28"/>
                          </w:rPr>
                          <m:t xml:space="preserve"> </m:t>
                        </m:r>
                        <m:f>
                          <m:fPr>
                            <m:ctrlPr>
                              <w:rPr>
                                <w:rFonts w:ascii="Cambria Math" w:eastAsia="Times New Roman" w:hAnsi="Cambria Math" w:cs="Arial"/>
                                <w:i/>
                                <w:szCs w:val="28"/>
                              </w:rPr>
                            </m:ctrlPr>
                          </m:fPr>
                          <m:num>
                            <m:r>
                              <w:rPr>
                                <w:rFonts w:ascii="Cambria Math" w:eastAsia="Times New Roman" w:hAnsi="Cambria Math" w:cs="Arial"/>
                                <w:szCs w:val="28"/>
                              </w:rPr>
                              <m:t>π</m:t>
                            </m:r>
                          </m:num>
                          <m:den>
                            <m:r>
                              <w:rPr>
                                <w:rFonts w:ascii="Cambria Math" w:eastAsia="Times New Roman" w:hAnsi="Cambria Math" w:cs="Arial"/>
                                <w:szCs w:val="28"/>
                              </w:rPr>
                              <m:t>4</m:t>
                            </m:r>
                          </m:den>
                        </m:f>
                        <m:r>
                          <m:rPr>
                            <m:sty m:val="p"/>
                          </m:rPr>
                          <w:rPr>
                            <w:rFonts w:ascii="Cambria Math" w:eastAsia="Times New Roman" w:hAnsi="Cambria Math" w:cs="Arial"/>
                            <w:szCs w:val="28"/>
                          </w:rPr>
                          <m:t xml:space="preserve"> </m:t>
                        </m:r>
                      </m:e>
                    </m:func>
                  </m:e>
                </m:mr>
              </m:m>
            </m:e>
          </m:d>
          <m:d>
            <m:dPr>
              <m:ctrlPr>
                <w:rPr>
                  <w:rFonts w:ascii="Cambria Math" w:eastAsia="Calibri" w:hAnsi="Cambria Math" w:cs="Arial"/>
                  <w:i/>
                  <w:szCs w:val="28"/>
                  <w:vertAlign w:val="subscript"/>
                  <w:lang w:val="uk-UA"/>
                </w:rPr>
              </m:ctrlPr>
            </m:dPr>
            <m:e>
              <m:m>
                <m:mPr>
                  <m:mcs>
                    <m:mc>
                      <m:mcPr>
                        <m:count m:val="2"/>
                        <m:mcJc m:val="center"/>
                      </m:mcPr>
                    </m:mc>
                  </m:mcs>
                  <m:ctrlPr>
                    <w:rPr>
                      <w:rFonts w:ascii="Cambria Math" w:eastAsia="Calibri" w:hAnsi="Cambria Math" w:cs="Arial"/>
                      <w:i/>
                      <w:szCs w:val="28"/>
                      <w:vertAlign w:val="subscript"/>
                      <w:lang w:val="uk-UA"/>
                    </w:rPr>
                  </m:ctrlPr>
                </m:mPr>
                <m:mr>
                  <m:e>
                    <m:r>
                      <w:rPr>
                        <w:rFonts w:ascii="Cambria Math" w:eastAsia="Calibri" w:hAnsi="Cambria Math" w:cs="Arial"/>
                        <w:szCs w:val="28"/>
                        <w:vertAlign w:val="subscript"/>
                        <w:lang w:val="uk-UA"/>
                      </w:rPr>
                      <m:t>1.5</m:t>
                    </m:r>
                  </m:e>
                  <m:e>
                    <m:r>
                      <w:rPr>
                        <w:rFonts w:ascii="Cambria Math" w:eastAsia="Calibri" w:hAnsi="Cambria Math" w:cs="Arial"/>
                        <w:szCs w:val="28"/>
                        <w:vertAlign w:val="subscript"/>
                        <w:lang w:val="uk-UA"/>
                      </w:rPr>
                      <m:t>0</m:t>
                    </m:r>
                  </m:e>
                </m:mr>
                <m:mr>
                  <m:e>
                    <m:r>
                      <w:rPr>
                        <w:rFonts w:ascii="Cambria Math" w:eastAsia="Calibri" w:hAnsi="Cambria Math" w:cs="Arial"/>
                        <w:szCs w:val="28"/>
                        <w:vertAlign w:val="subscript"/>
                        <w:lang w:val="uk-UA"/>
                      </w:rPr>
                      <m:t>0</m:t>
                    </m:r>
                  </m:e>
                  <m:e>
                    <m:r>
                      <w:rPr>
                        <w:rFonts w:ascii="Cambria Math" w:eastAsia="Calibri" w:hAnsi="Cambria Math" w:cs="Arial"/>
                        <w:szCs w:val="28"/>
                        <w:vertAlign w:val="subscript"/>
                        <w:lang w:val="uk-UA"/>
                      </w:rPr>
                      <m:t>2</m:t>
                    </m:r>
                  </m:e>
                </m:mr>
              </m:m>
            </m:e>
          </m:d>
          <m:r>
            <w:rPr>
              <w:rFonts w:ascii="Cambria Math" w:eastAsia="Calibri" w:hAnsi="Cambria Math" w:cs="Arial"/>
              <w:szCs w:val="28"/>
              <w:vertAlign w:val="subscript"/>
              <w:lang w:val="uk-UA"/>
            </w:rPr>
            <m:t xml:space="preserve"> = </m:t>
          </m:r>
          <m:d>
            <m:dPr>
              <m:ctrlPr>
                <w:rPr>
                  <w:rFonts w:ascii="Cambria Math" w:eastAsia="Calibri" w:hAnsi="Cambria Math" w:cs="Arial"/>
                  <w:i/>
                  <w:szCs w:val="28"/>
                  <w:vertAlign w:val="subscript"/>
                  <w:lang w:val="uk-UA"/>
                </w:rPr>
              </m:ctrlPr>
            </m:dPr>
            <m:e>
              <m:m>
                <m:mPr>
                  <m:mcs>
                    <m:mc>
                      <m:mcPr>
                        <m:count m:val="2"/>
                        <m:mcJc m:val="center"/>
                      </m:mcPr>
                    </m:mc>
                  </m:mcs>
                  <m:ctrlPr>
                    <w:rPr>
                      <w:rFonts w:ascii="Cambria Math" w:eastAsia="Calibri" w:hAnsi="Cambria Math" w:cs="Arial"/>
                      <w:i/>
                      <w:szCs w:val="28"/>
                      <w:vertAlign w:val="subscript"/>
                      <w:lang w:val="uk-UA"/>
                    </w:rPr>
                  </m:ctrlPr>
                </m:mPr>
                <m:mr>
                  <m:e>
                    <m:f>
                      <m:fPr>
                        <m:ctrlPr>
                          <w:rPr>
                            <w:rFonts w:ascii="Cambria Math" w:eastAsia="Calibri" w:hAnsi="Cambria Math" w:cs="Arial"/>
                            <w:i/>
                            <w:szCs w:val="28"/>
                            <w:vertAlign w:val="subscript"/>
                            <w:lang w:val="uk-UA"/>
                          </w:rPr>
                        </m:ctrlPr>
                      </m:fPr>
                      <m:num>
                        <m:rad>
                          <m:radPr>
                            <m:degHide m:val="1"/>
                            <m:ctrlPr>
                              <w:rPr>
                                <w:rFonts w:ascii="Cambria Math" w:eastAsia="Calibri" w:hAnsi="Cambria Math" w:cs="Arial"/>
                                <w:i/>
                                <w:szCs w:val="28"/>
                                <w:vertAlign w:val="subscript"/>
                                <w:lang w:val="uk-UA"/>
                              </w:rPr>
                            </m:ctrlPr>
                          </m:radPr>
                          <m:deg/>
                          <m:e>
                            <m:r>
                              <w:rPr>
                                <w:rFonts w:ascii="Cambria Math" w:eastAsia="Calibri" w:hAnsi="Cambria Math" w:cs="Arial"/>
                                <w:szCs w:val="28"/>
                                <w:vertAlign w:val="subscript"/>
                                <w:lang w:val="uk-UA"/>
                              </w:rPr>
                              <m:t>2</m:t>
                            </m:r>
                          </m:e>
                        </m:rad>
                      </m:num>
                      <m:den>
                        <m:r>
                          <w:rPr>
                            <w:rFonts w:ascii="Cambria Math" w:eastAsia="Calibri" w:hAnsi="Cambria Math" w:cs="Arial"/>
                            <w:szCs w:val="28"/>
                            <w:vertAlign w:val="subscript"/>
                            <w:lang w:val="uk-UA"/>
                          </w:rPr>
                          <m:t>2</m:t>
                        </m:r>
                      </m:den>
                    </m:f>
                  </m:e>
                  <m:e>
                    <m:r>
                      <w:rPr>
                        <w:rFonts w:ascii="Cambria Math" w:eastAsia="Calibri" w:hAnsi="Cambria Math" w:cs="Arial"/>
                        <w:szCs w:val="28"/>
                        <w:vertAlign w:val="subscript"/>
                        <w:lang w:val="uk-UA"/>
                      </w:rPr>
                      <m:t>-</m:t>
                    </m:r>
                    <m:f>
                      <m:fPr>
                        <m:ctrlPr>
                          <w:rPr>
                            <w:rFonts w:ascii="Cambria Math" w:eastAsia="Calibri" w:hAnsi="Cambria Math" w:cs="Arial"/>
                            <w:i/>
                            <w:szCs w:val="28"/>
                            <w:vertAlign w:val="subscript"/>
                            <w:lang w:val="uk-UA"/>
                          </w:rPr>
                        </m:ctrlPr>
                      </m:fPr>
                      <m:num>
                        <m:rad>
                          <m:radPr>
                            <m:degHide m:val="1"/>
                            <m:ctrlPr>
                              <w:rPr>
                                <w:rFonts w:ascii="Cambria Math" w:eastAsia="Calibri" w:hAnsi="Cambria Math" w:cs="Arial"/>
                                <w:i/>
                                <w:szCs w:val="28"/>
                                <w:vertAlign w:val="subscript"/>
                                <w:lang w:val="uk-UA"/>
                              </w:rPr>
                            </m:ctrlPr>
                          </m:radPr>
                          <m:deg/>
                          <m:e>
                            <m:r>
                              <w:rPr>
                                <w:rFonts w:ascii="Cambria Math" w:eastAsia="Calibri" w:hAnsi="Cambria Math" w:cs="Arial"/>
                                <w:szCs w:val="28"/>
                                <w:vertAlign w:val="subscript"/>
                                <w:lang w:val="uk-UA"/>
                              </w:rPr>
                              <m:t>2</m:t>
                            </m:r>
                          </m:e>
                        </m:rad>
                      </m:num>
                      <m:den>
                        <m:r>
                          <w:rPr>
                            <w:rFonts w:ascii="Cambria Math" w:eastAsia="Calibri" w:hAnsi="Cambria Math" w:cs="Arial"/>
                            <w:szCs w:val="28"/>
                            <w:vertAlign w:val="subscript"/>
                            <w:lang w:val="uk-UA"/>
                          </w:rPr>
                          <m:t>2</m:t>
                        </m:r>
                      </m:den>
                    </m:f>
                  </m:e>
                </m:mr>
                <m:mr>
                  <m:e>
                    <m:f>
                      <m:fPr>
                        <m:ctrlPr>
                          <w:rPr>
                            <w:rFonts w:ascii="Cambria Math" w:eastAsia="Calibri" w:hAnsi="Cambria Math" w:cs="Arial"/>
                            <w:i/>
                            <w:szCs w:val="28"/>
                            <w:vertAlign w:val="subscript"/>
                            <w:lang w:val="uk-UA"/>
                          </w:rPr>
                        </m:ctrlPr>
                      </m:fPr>
                      <m:num>
                        <m:rad>
                          <m:radPr>
                            <m:degHide m:val="1"/>
                            <m:ctrlPr>
                              <w:rPr>
                                <w:rFonts w:ascii="Cambria Math" w:eastAsia="Calibri" w:hAnsi="Cambria Math" w:cs="Arial"/>
                                <w:i/>
                                <w:szCs w:val="28"/>
                                <w:vertAlign w:val="subscript"/>
                                <w:lang w:val="uk-UA"/>
                              </w:rPr>
                            </m:ctrlPr>
                          </m:radPr>
                          <m:deg/>
                          <m:e>
                            <m:r>
                              <w:rPr>
                                <w:rFonts w:ascii="Cambria Math" w:eastAsia="Calibri" w:hAnsi="Cambria Math" w:cs="Arial"/>
                                <w:szCs w:val="28"/>
                                <w:vertAlign w:val="subscript"/>
                                <w:lang w:val="uk-UA"/>
                              </w:rPr>
                              <m:t>2</m:t>
                            </m:r>
                          </m:e>
                        </m:rad>
                      </m:num>
                      <m:den>
                        <m:r>
                          <w:rPr>
                            <w:rFonts w:ascii="Cambria Math" w:eastAsia="Calibri" w:hAnsi="Cambria Math" w:cs="Arial"/>
                            <w:szCs w:val="28"/>
                            <w:vertAlign w:val="subscript"/>
                            <w:lang w:val="uk-UA"/>
                          </w:rPr>
                          <m:t>2</m:t>
                        </m:r>
                      </m:den>
                    </m:f>
                  </m:e>
                  <m:e>
                    <m:f>
                      <m:fPr>
                        <m:ctrlPr>
                          <w:rPr>
                            <w:rFonts w:ascii="Cambria Math" w:eastAsia="Calibri" w:hAnsi="Cambria Math" w:cs="Arial"/>
                            <w:i/>
                            <w:szCs w:val="28"/>
                            <w:vertAlign w:val="subscript"/>
                            <w:lang w:val="uk-UA"/>
                          </w:rPr>
                        </m:ctrlPr>
                      </m:fPr>
                      <m:num>
                        <m:rad>
                          <m:radPr>
                            <m:degHide m:val="1"/>
                            <m:ctrlPr>
                              <w:rPr>
                                <w:rFonts w:ascii="Cambria Math" w:eastAsia="Calibri" w:hAnsi="Cambria Math" w:cs="Arial"/>
                                <w:i/>
                                <w:szCs w:val="28"/>
                                <w:vertAlign w:val="subscript"/>
                                <w:lang w:val="uk-UA"/>
                              </w:rPr>
                            </m:ctrlPr>
                          </m:radPr>
                          <m:deg/>
                          <m:e>
                            <m:r>
                              <w:rPr>
                                <w:rFonts w:ascii="Cambria Math" w:eastAsia="Calibri" w:hAnsi="Cambria Math" w:cs="Arial"/>
                                <w:szCs w:val="28"/>
                                <w:vertAlign w:val="subscript"/>
                                <w:lang w:val="uk-UA"/>
                              </w:rPr>
                              <m:t>2</m:t>
                            </m:r>
                          </m:e>
                        </m:rad>
                      </m:num>
                      <m:den>
                        <m:r>
                          <w:rPr>
                            <w:rFonts w:ascii="Cambria Math" w:eastAsia="Calibri" w:hAnsi="Cambria Math" w:cs="Arial"/>
                            <w:szCs w:val="28"/>
                            <w:vertAlign w:val="subscript"/>
                            <w:lang w:val="uk-UA"/>
                          </w:rPr>
                          <m:t>2</m:t>
                        </m:r>
                      </m:den>
                    </m:f>
                  </m:e>
                </m:mr>
              </m:m>
            </m:e>
          </m:d>
          <m:d>
            <m:dPr>
              <m:ctrlPr>
                <w:rPr>
                  <w:rFonts w:ascii="Cambria Math" w:eastAsia="Calibri" w:hAnsi="Cambria Math" w:cs="Arial"/>
                  <w:i/>
                  <w:szCs w:val="28"/>
                  <w:vertAlign w:val="subscript"/>
                  <w:lang w:val="uk-UA"/>
                </w:rPr>
              </m:ctrlPr>
            </m:dPr>
            <m:e>
              <m:m>
                <m:mPr>
                  <m:mcs>
                    <m:mc>
                      <m:mcPr>
                        <m:count m:val="2"/>
                        <m:mcJc m:val="center"/>
                      </m:mcPr>
                    </m:mc>
                  </m:mcs>
                  <m:ctrlPr>
                    <w:rPr>
                      <w:rFonts w:ascii="Cambria Math" w:eastAsia="Calibri" w:hAnsi="Cambria Math" w:cs="Arial"/>
                      <w:i/>
                      <w:szCs w:val="28"/>
                      <w:vertAlign w:val="subscript"/>
                      <w:lang w:val="uk-UA"/>
                    </w:rPr>
                  </m:ctrlPr>
                </m:mPr>
                <m:mr>
                  <m:e>
                    <m:r>
                      <w:rPr>
                        <w:rFonts w:ascii="Cambria Math" w:eastAsia="Calibri" w:hAnsi="Cambria Math" w:cs="Arial"/>
                        <w:szCs w:val="28"/>
                        <w:vertAlign w:val="subscript"/>
                        <w:lang w:val="uk-UA"/>
                      </w:rPr>
                      <m:t>1.5</m:t>
                    </m:r>
                  </m:e>
                  <m:e>
                    <m:r>
                      <w:rPr>
                        <w:rFonts w:ascii="Cambria Math" w:eastAsia="Calibri" w:hAnsi="Cambria Math" w:cs="Arial"/>
                        <w:szCs w:val="28"/>
                        <w:vertAlign w:val="subscript"/>
                        <w:lang w:val="uk-UA"/>
                      </w:rPr>
                      <m:t>0</m:t>
                    </m:r>
                  </m:e>
                </m:mr>
                <m:mr>
                  <m:e>
                    <m:r>
                      <w:rPr>
                        <w:rFonts w:ascii="Cambria Math" w:eastAsia="Calibri" w:hAnsi="Cambria Math" w:cs="Arial"/>
                        <w:szCs w:val="28"/>
                        <w:vertAlign w:val="subscript"/>
                        <w:lang w:val="uk-UA"/>
                      </w:rPr>
                      <m:t>0</m:t>
                    </m:r>
                  </m:e>
                  <m:e>
                    <m:r>
                      <w:rPr>
                        <w:rFonts w:ascii="Cambria Math" w:eastAsia="Calibri" w:hAnsi="Cambria Math" w:cs="Arial"/>
                        <w:szCs w:val="28"/>
                        <w:vertAlign w:val="subscript"/>
                        <w:lang w:val="uk-UA"/>
                      </w:rPr>
                      <m:t>2</m:t>
                    </m:r>
                  </m:e>
                </m:mr>
              </m:m>
            </m:e>
          </m:d>
          <m:r>
            <w:rPr>
              <w:rFonts w:ascii="Cambria Math" w:eastAsia="Calibri" w:hAnsi="Cambria Math" w:cs="Arial"/>
              <w:szCs w:val="28"/>
              <w:vertAlign w:val="subscript"/>
              <w:lang w:val="uk-UA"/>
            </w:rPr>
            <m:t xml:space="preserve">= </m:t>
          </m:r>
          <m:d>
            <m:dPr>
              <m:ctrlPr>
                <w:rPr>
                  <w:rFonts w:ascii="Cambria Math" w:eastAsia="Calibri" w:hAnsi="Cambria Math" w:cs="Arial"/>
                  <w:i/>
                  <w:szCs w:val="28"/>
                  <w:vertAlign w:val="subscript"/>
                  <w:lang w:val="uk-UA"/>
                </w:rPr>
              </m:ctrlPr>
            </m:dPr>
            <m:e>
              <m:m>
                <m:mPr>
                  <m:mcs>
                    <m:mc>
                      <m:mcPr>
                        <m:count m:val="2"/>
                        <m:mcJc m:val="center"/>
                      </m:mcPr>
                    </m:mc>
                  </m:mcs>
                  <m:ctrlPr>
                    <w:rPr>
                      <w:rFonts w:ascii="Cambria Math" w:eastAsia="Calibri" w:hAnsi="Cambria Math" w:cs="Arial"/>
                      <w:i/>
                      <w:szCs w:val="28"/>
                      <w:vertAlign w:val="subscript"/>
                      <w:lang w:val="uk-UA"/>
                    </w:rPr>
                  </m:ctrlPr>
                </m:mPr>
                <m:mr>
                  <m:e>
                    <m:f>
                      <m:fPr>
                        <m:ctrlPr>
                          <w:rPr>
                            <w:rFonts w:ascii="Cambria Math" w:eastAsia="Calibri" w:hAnsi="Cambria Math" w:cs="Arial"/>
                            <w:i/>
                            <w:szCs w:val="28"/>
                            <w:vertAlign w:val="subscript"/>
                            <w:lang w:val="uk-UA"/>
                          </w:rPr>
                        </m:ctrlPr>
                      </m:fPr>
                      <m:num>
                        <m:r>
                          <w:rPr>
                            <w:rFonts w:ascii="Cambria Math" w:eastAsia="Calibri" w:hAnsi="Cambria Math" w:cs="Arial"/>
                            <w:szCs w:val="28"/>
                            <w:vertAlign w:val="subscript"/>
                            <w:lang w:val="uk-UA"/>
                          </w:rPr>
                          <m:t>3</m:t>
                        </m:r>
                        <m:rad>
                          <m:radPr>
                            <m:degHide m:val="1"/>
                            <m:ctrlPr>
                              <w:rPr>
                                <w:rFonts w:ascii="Cambria Math" w:eastAsia="Calibri" w:hAnsi="Cambria Math" w:cs="Arial"/>
                                <w:i/>
                                <w:szCs w:val="28"/>
                                <w:vertAlign w:val="subscript"/>
                                <w:lang w:val="uk-UA"/>
                              </w:rPr>
                            </m:ctrlPr>
                          </m:radPr>
                          <m:deg/>
                          <m:e>
                            <m:r>
                              <w:rPr>
                                <w:rFonts w:ascii="Cambria Math" w:eastAsia="Calibri" w:hAnsi="Cambria Math" w:cs="Arial"/>
                                <w:szCs w:val="28"/>
                                <w:vertAlign w:val="subscript"/>
                                <w:lang w:val="uk-UA"/>
                              </w:rPr>
                              <m:t>2</m:t>
                            </m:r>
                          </m:e>
                        </m:rad>
                      </m:num>
                      <m:den>
                        <m:r>
                          <w:rPr>
                            <w:rFonts w:ascii="Cambria Math" w:eastAsia="Calibri" w:hAnsi="Cambria Math" w:cs="Arial"/>
                            <w:szCs w:val="28"/>
                            <w:vertAlign w:val="subscript"/>
                            <w:lang w:val="uk-UA"/>
                          </w:rPr>
                          <m:t>4</m:t>
                        </m:r>
                      </m:den>
                    </m:f>
                  </m:e>
                  <m:e>
                    <m:r>
                      <w:rPr>
                        <w:rFonts w:ascii="Cambria Math" w:eastAsia="Calibri" w:hAnsi="Cambria Math" w:cs="Arial"/>
                        <w:szCs w:val="28"/>
                        <w:vertAlign w:val="subscript"/>
                        <w:lang w:val="uk-UA"/>
                      </w:rPr>
                      <m:t>-</m:t>
                    </m:r>
                    <m:rad>
                      <m:radPr>
                        <m:degHide m:val="1"/>
                        <m:ctrlPr>
                          <w:rPr>
                            <w:rFonts w:ascii="Cambria Math" w:eastAsia="Calibri" w:hAnsi="Cambria Math" w:cs="Arial"/>
                            <w:i/>
                            <w:szCs w:val="28"/>
                            <w:vertAlign w:val="subscript"/>
                            <w:lang w:val="uk-UA"/>
                          </w:rPr>
                        </m:ctrlPr>
                      </m:radPr>
                      <m:deg/>
                      <m:e>
                        <m:r>
                          <w:rPr>
                            <w:rFonts w:ascii="Cambria Math" w:eastAsia="Calibri" w:hAnsi="Cambria Math" w:cs="Arial"/>
                            <w:szCs w:val="28"/>
                            <w:vertAlign w:val="subscript"/>
                            <w:lang w:val="uk-UA"/>
                          </w:rPr>
                          <m:t>2</m:t>
                        </m:r>
                      </m:e>
                    </m:rad>
                  </m:e>
                </m:mr>
                <m:mr>
                  <m:e>
                    <m:f>
                      <m:fPr>
                        <m:ctrlPr>
                          <w:rPr>
                            <w:rFonts w:ascii="Cambria Math" w:eastAsia="Calibri" w:hAnsi="Cambria Math" w:cs="Arial"/>
                            <w:i/>
                            <w:szCs w:val="28"/>
                            <w:vertAlign w:val="subscript"/>
                            <w:lang w:val="uk-UA"/>
                          </w:rPr>
                        </m:ctrlPr>
                      </m:fPr>
                      <m:num>
                        <m:r>
                          <w:rPr>
                            <w:rFonts w:ascii="Cambria Math" w:eastAsia="Calibri" w:hAnsi="Cambria Math" w:cs="Arial"/>
                            <w:szCs w:val="28"/>
                            <w:vertAlign w:val="subscript"/>
                            <w:lang w:val="uk-UA"/>
                          </w:rPr>
                          <m:t>3</m:t>
                        </m:r>
                        <m:rad>
                          <m:radPr>
                            <m:degHide m:val="1"/>
                            <m:ctrlPr>
                              <w:rPr>
                                <w:rFonts w:ascii="Cambria Math" w:eastAsia="Calibri" w:hAnsi="Cambria Math" w:cs="Arial"/>
                                <w:i/>
                                <w:szCs w:val="28"/>
                                <w:vertAlign w:val="subscript"/>
                                <w:lang w:val="uk-UA"/>
                              </w:rPr>
                            </m:ctrlPr>
                          </m:radPr>
                          <m:deg/>
                          <m:e>
                            <m:r>
                              <w:rPr>
                                <w:rFonts w:ascii="Cambria Math" w:eastAsia="Calibri" w:hAnsi="Cambria Math" w:cs="Arial"/>
                                <w:szCs w:val="28"/>
                                <w:vertAlign w:val="subscript"/>
                                <w:lang w:val="uk-UA"/>
                              </w:rPr>
                              <m:t>2</m:t>
                            </m:r>
                          </m:e>
                        </m:rad>
                      </m:num>
                      <m:den>
                        <m:r>
                          <w:rPr>
                            <w:rFonts w:ascii="Cambria Math" w:eastAsia="Calibri" w:hAnsi="Cambria Math" w:cs="Arial"/>
                            <w:szCs w:val="28"/>
                            <w:vertAlign w:val="subscript"/>
                            <w:lang w:val="uk-UA"/>
                          </w:rPr>
                          <m:t>4</m:t>
                        </m:r>
                      </m:den>
                    </m:f>
                  </m:e>
                  <m:e>
                    <m:rad>
                      <m:radPr>
                        <m:degHide m:val="1"/>
                        <m:ctrlPr>
                          <w:rPr>
                            <w:rFonts w:ascii="Cambria Math" w:eastAsia="Calibri" w:hAnsi="Cambria Math" w:cs="Arial"/>
                            <w:i/>
                            <w:szCs w:val="28"/>
                            <w:vertAlign w:val="subscript"/>
                            <w:lang w:val="uk-UA"/>
                          </w:rPr>
                        </m:ctrlPr>
                      </m:radPr>
                      <m:deg/>
                      <m:e>
                        <m:r>
                          <w:rPr>
                            <w:rFonts w:ascii="Cambria Math" w:eastAsia="Calibri" w:hAnsi="Cambria Math" w:cs="Arial"/>
                            <w:szCs w:val="28"/>
                            <w:vertAlign w:val="subscript"/>
                            <w:lang w:val="uk-UA"/>
                          </w:rPr>
                          <m:t>2</m:t>
                        </m:r>
                      </m:e>
                    </m:rad>
                  </m:e>
                </m:mr>
              </m:m>
            </m:e>
          </m:d>
        </m:oMath>
      </m:oMathPara>
    </w:p>
    <w:p w14:paraId="3EE1605C"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Отримана матриця дає нам два вектори, які повернуті на 45</w:t>
      </w:r>
      <m:oMath>
        <m:r>
          <w:rPr>
            <w:rFonts w:ascii="Cambria Math" w:eastAsia="Times New Roman" w:hAnsi="Cambria Math" w:cs="Arial"/>
            <w:szCs w:val="28"/>
            <w:lang w:val="uk-UA"/>
          </w:rPr>
          <m:t>°</m:t>
        </m:r>
      </m:oMath>
      <w:r w:rsidRPr="00511005">
        <w:rPr>
          <w:rFonts w:ascii="Arial" w:eastAsia="Times New Roman" w:hAnsi="Arial" w:cs="Arial"/>
          <w:szCs w:val="28"/>
          <w:lang w:val="uk-UA"/>
        </w:rPr>
        <w:t xml:space="preserve"> відносно попередніх результатів. Якщо ми хочемо здійснити поворот за годинниковою стрілкою, тоді замість х підставимо –х у формулу:</w:t>
      </w:r>
    </w:p>
    <w:p w14:paraId="673A7FD0" w14:textId="77777777" w:rsidR="00532C25" w:rsidRPr="00511005" w:rsidRDefault="00532C25" w:rsidP="00532C25">
      <w:pPr>
        <w:spacing w:line="264" w:lineRule="auto"/>
        <w:ind w:firstLine="0"/>
        <w:rPr>
          <w:rFonts w:ascii="Arial" w:eastAsia="Times New Roman" w:hAnsi="Arial" w:cs="Arial"/>
          <w:szCs w:val="28"/>
          <w:lang w:val="en-US"/>
        </w:rPr>
      </w:pPr>
      <m:oMathPara>
        <m:oMath>
          <m:r>
            <w:rPr>
              <w:rFonts w:ascii="Cambria Math" w:eastAsia="Times New Roman" w:hAnsi="Cambria Math" w:cs="Arial"/>
              <w:szCs w:val="28"/>
              <w:lang w:val="en-US"/>
            </w:rPr>
            <m:t xml:space="preserve">R= </m:t>
          </m:r>
          <m:d>
            <m:dPr>
              <m:ctrlPr>
                <w:rPr>
                  <w:rFonts w:ascii="Cambria Math" w:eastAsia="Times New Roman" w:hAnsi="Cambria Math" w:cs="Arial"/>
                  <w:i/>
                  <w:szCs w:val="28"/>
                  <w:lang w:val="en-US"/>
                </w:rPr>
              </m:ctrlPr>
            </m:dPr>
            <m:e>
              <m:m>
                <m:mPr>
                  <m:mcs>
                    <m:mc>
                      <m:mcPr>
                        <m:count m:val="2"/>
                        <m:mcJc m:val="center"/>
                      </m:mcPr>
                    </m:mc>
                  </m:mcs>
                  <m:ctrlPr>
                    <w:rPr>
                      <w:rFonts w:ascii="Cambria Math" w:eastAsia="Times New Roman" w:hAnsi="Cambria Math" w:cs="Arial"/>
                      <w:i/>
                      <w:szCs w:val="28"/>
                      <w:lang w:val="en-US"/>
                    </w:rPr>
                  </m:ctrlPr>
                </m:mPr>
                <m:mr>
                  <m:e>
                    <m:func>
                      <m:funcPr>
                        <m:ctrlPr>
                          <w:rPr>
                            <w:rFonts w:ascii="Cambria Math" w:eastAsia="Times New Roman" w:hAnsi="Cambria Math" w:cs="Arial"/>
                            <w:i/>
                            <w:szCs w:val="28"/>
                            <w:lang w:val="en-US"/>
                          </w:rPr>
                        </m:ctrlPr>
                      </m:funcPr>
                      <m:fName>
                        <m:r>
                          <m:rPr>
                            <m:sty m:val="p"/>
                          </m:rPr>
                          <w:rPr>
                            <w:rFonts w:ascii="Cambria Math" w:eastAsia="Calibri" w:hAnsi="Cambria Math" w:cs="Arial"/>
                            <w:szCs w:val="28"/>
                            <w:lang w:val="en-US"/>
                          </w:rPr>
                          <m:t>cos</m:t>
                        </m:r>
                      </m:fName>
                      <m:e>
                        <m:r>
                          <w:rPr>
                            <w:rFonts w:ascii="Cambria Math" w:eastAsia="Times New Roman" w:hAnsi="Cambria Math" w:cs="Arial"/>
                            <w:szCs w:val="28"/>
                            <w:lang w:val="en-US"/>
                          </w:rPr>
                          <m:t>x</m:t>
                        </m:r>
                      </m:e>
                    </m:func>
                  </m:e>
                  <m:e>
                    <m:func>
                      <m:funcPr>
                        <m:ctrlPr>
                          <w:rPr>
                            <w:rFonts w:ascii="Cambria Math" w:eastAsia="Times New Roman" w:hAnsi="Cambria Math" w:cs="Arial"/>
                            <w:i/>
                            <w:szCs w:val="28"/>
                            <w:lang w:val="en-US"/>
                          </w:rPr>
                        </m:ctrlPr>
                      </m:funcPr>
                      <m:fName>
                        <m:r>
                          <m:rPr>
                            <m:sty m:val="p"/>
                          </m:rPr>
                          <w:rPr>
                            <w:rFonts w:ascii="Cambria Math" w:eastAsia="Calibri" w:hAnsi="Cambria Math" w:cs="Arial"/>
                            <w:szCs w:val="28"/>
                            <w:lang w:val="en-US"/>
                          </w:rPr>
                          <m:t>sin</m:t>
                        </m:r>
                      </m:fName>
                      <m:e>
                        <m:r>
                          <w:rPr>
                            <w:rFonts w:ascii="Cambria Math" w:eastAsia="Times New Roman" w:hAnsi="Cambria Math" w:cs="Arial"/>
                            <w:szCs w:val="28"/>
                            <w:lang w:val="en-US"/>
                          </w:rPr>
                          <m:t>x</m:t>
                        </m:r>
                      </m:e>
                    </m:func>
                  </m:e>
                </m:mr>
                <m:mr>
                  <m:e>
                    <m:func>
                      <m:funcPr>
                        <m:ctrlPr>
                          <w:rPr>
                            <w:rFonts w:ascii="Cambria Math" w:eastAsia="Times New Roman" w:hAnsi="Cambria Math" w:cs="Arial"/>
                            <w:i/>
                            <w:szCs w:val="28"/>
                            <w:lang w:val="en-US"/>
                          </w:rPr>
                        </m:ctrlPr>
                      </m:funcPr>
                      <m:fName>
                        <m:r>
                          <m:rPr>
                            <m:sty m:val="p"/>
                          </m:rPr>
                          <w:rPr>
                            <w:rFonts w:ascii="Cambria Math" w:eastAsia="Calibri" w:hAnsi="Cambria Math" w:cs="Arial"/>
                            <w:szCs w:val="28"/>
                            <w:lang w:val="en-US"/>
                          </w:rPr>
                          <m:t>-sin</m:t>
                        </m:r>
                      </m:fName>
                      <m:e>
                        <m:r>
                          <w:rPr>
                            <w:rFonts w:ascii="Cambria Math" w:eastAsia="Times New Roman" w:hAnsi="Cambria Math" w:cs="Arial"/>
                            <w:szCs w:val="28"/>
                            <w:lang w:val="en-US"/>
                          </w:rPr>
                          <m:t>x</m:t>
                        </m:r>
                      </m:e>
                    </m:func>
                  </m:e>
                  <m:e>
                    <m:func>
                      <m:funcPr>
                        <m:ctrlPr>
                          <w:rPr>
                            <w:rFonts w:ascii="Cambria Math" w:eastAsia="Times New Roman" w:hAnsi="Cambria Math" w:cs="Arial"/>
                            <w:i/>
                            <w:szCs w:val="28"/>
                            <w:lang w:val="en-US"/>
                          </w:rPr>
                        </m:ctrlPr>
                      </m:funcPr>
                      <m:fName>
                        <m:r>
                          <m:rPr>
                            <m:sty m:val="p"/>
                          </m:rPr>
                          <w:rPr>
                            <w:rFonts w:ascii="Cambria Math" w:eastAsia="Calibri" w:hAnsi="Cambria Math" w:cs="Arial"/>
                            <w:szCs w:val="28"/>
                            <w:lang w:val="en-US"/>
                          </w:rPr>
                          <m:t>cos</m:t>
                        </m:r>
                      </m:fName>
                      <m:e>
                        <m:r>
                          <w:rPr>
                            <w:rFonts w:ascii="Cambria Math" w:eastAsia="Times New Roman" w:hAnsi="Cambria Math" w:cs="Arial"/>
                            <w:szCs w:val="28"/>
                            <w:lang w:val="en-US"/>
                          </w:rPr>
                          <m:t>x</m:t>
                        </m:r>
                      </m:e>
                    </m:func>
                  </m:e>
                </m:mr>
              </m:m>
            </m:e>
          </m:d>
        </m:oMath>
      </m:oMathPara>
    </w:p>
    <w:p w14:paraId="4A4638F6" w14:textId="77777777" w:rsidR="00532C25" w:rsidRPr="00511005" w:rsidRDefault="00532C25" w:rsidP="00532C25">
      <w:pPr>
        <w:spacing w:line="264" w:lineRule="auto"/>
        <w:ind w:firstLine="0"/>
        <w:rPr>
          <w:rFonts w:ascii="Arial" w:eastAsia="Times New Roman" w:hAnsi="Arial" w:cs="Arial"/>
          <w:szCs w:val="28"/>
        </w:rPr>
      </w:pPr>
      <w:r w:rsidRPr="00511005">
        <w:rPr>
          <w:rFonts w:ascii="Arial" w:eastAsia="Times New Roman" w:hAnsi="Arial" w:cs="Arial"/>
          <w:szCs w:val="28"/>
          <w:lang w:val="uk-UA"/>
        </w:rPr>
        <w:t>Ми навчилися робити два важливих перетворення, але залишилося ще одне — паралельний перенос. Іноді нам доведеться переміщати наші об</w:t>
      </w:r>
      <w:r w:rsidRPr="00511005">
        <w:rPr>
          <w:rFonts w:ascii="Arial" w:eastAsia="Times New Roman" w:hAnsi="Arial" w:cs="Arial"/>
          <w:szCs w:val="28"/>
        </w:rPr>
        <w:t>’</w:t>
      </w:r>
      <w:r w:rsidRPr="00511005">
        <w:rPr>
          <w:rFonts w:ascii="Arial" w:eastAsia="Times New Roman" w:hAnsi="Arial" w:cs="Arial"/>
          <w:szCs w:val="28"/>
          <w:lang w:val="uk-UA"/>
        </w:rPr>
        <w:t xml:space="preserve">єкти довільним чином. Для цього використаємо матрицю паралельного переносу </w:t>
      </w:r>
      <w:r w:rsidRPr="00511005">
        <w:rPr>
          <w:rFonts w:ascii="Arial" w:eastAsia="Times New Roman" w:hAnsi="Arial" w:cs="Arial"/>
          <w:szCs w:val="28"/>
          <w:lang w:val="en-US"/>
        </w:rPr>
        <w:t>T</w:t>
      </w:r>
      <w:r w:rsidRPr="00511005">
        <w:rPr>
          <w:rFonts w:ascii="Arial" w:eastAsia="Times New Roman" w:hAnsi="Arial" w:cs="Arial"/>
          <w:szCs w:val="28"/>
        </w:rPr>
        <w:t>:</w:t>
      </w:r>
    </w:p>
    <w:p w14:paraId="03040C83" w14:textId="77777777" w:rsidR="00532C25" w:rsidRPr="00511005" w:rsidRDefault="00532C25" w:rsidP="00532C25">
      <w:pPr>
        <w:spacing w:line="264" w:lineRule="auto"/>
        <w:ind w:firstLine="0"/>
        <w:rPr>
          <w:rFonts w:ascii="Arial" w:eastAsia="Times New Roman" w:hAnsi="Arial" w:cs="Arial"/>
          <w:szCs w:val="28"/>
          <w:lang w:val="en-US"/>
        </w:rPr>
      </w:pPr>
      <m:oMathPara>
        <m:oMathParaPr>
          <m:jc m:val="center"/>
        </m:oMathParaPr>
        <m:oMath>
          <m:r>
            <w:rPr>
              <w:rFonts w:ascii="Cambria Math" w:eastAsia="Times New Roman" w:hAnsi="Cambria Math" w:cs="Arial"/>
              <w:szCs w:val="28"/>
              <w:lang w:val="en-US"/>
            </w:rPr>
            <m:t xml:space="preserve">T= </m:t>
          </m:r>
          <m:d>
            <m:dPr>
              <m:ctrlPr>
                <w:rPr>
                  <w:rFonts w:ascii="Cambria Math" w:eastAsia="Times New Roman" w:hAnsi="Cambria Math" w:cs="Arial"/>
                  <w:i/>
                  <w:szCs w:val="28"/>
                  <w:lang w:val="en-US"/>
                </w:rPr>
              </m:ctrlPr>
            </m:dPr>
            <m:e>
              <m:m>
                <m:mPr>
                  <m:mcs>
                    <m:mc>
                      <m:mcPr>
                        <m:count m:val="3"/>
                        <m:mcJc m:val="center"/>
                      </m:mcPr>
                    </m:mc>
                  </m:mcs>
                  <m:ctrlPr>
                    <w:rPr>
                      <w:rFonts w:ascii="Cambria Math" w:eastAsia="Times New Roman" w:hAnsi="Cambria Math" w:cs="Arial"/>
                      <w:i/>
                      <w:szCs w:val="28"/>
                      <w:lang w:val="en-US"/>
                    </w:rPr>
                  </m:ctrlPr>
                </m:mPr>
                <m:mr>
                  <m:e>
                    <m:r>
                      <w:rPr>
                        <w:rFonts w:ascii="Cambria Math" w:eastAsia="Times New Roman" w:hAnsi="Cambria Math" w:cs="Arial"/>
                        <w:szCs w:val="28"/>
                        <w:lang w:val="en-US"/>
                      </w:rPr>
                      <m:t>1</m:t>
                    </m:r>
                  </m:e>
                  <m:e>
                    <m:r>
                      <w:rPr>
                        <w:rFonts w:ascii="Cambria Math" w:eastAsia="Times New Roman" w:hAnsi="Cambria Math" w:cs="Arial"/>
                        <w:szCs w:val="28"/>
                        <w:lang w:val="en-US"/>
                      </w:rPr>
                      <m:t>0</m:t>
                    </m:r>
                  </m:e>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d</m:t>
                        </m:r>
                      </m:e>
                      <m:sub>
                        <m:r>
                          <w:rPr>
                            <w:rFonts w:ascii="Cambria Math" w:eastAsia="Times New Roman" w:hAnsi="Cambria Math" w:cs="Arial"/>
                            <w:szCs w:val="28"/>
                            <w:lang w:val="en-US"/>
                          </w:rPr>
                          <m:t>x</m:t>
                        </m:r>
                      </m:sub>
                    </m:sSub>
                  </m:e>
                </m:mr>
                <m:mr>
                  <m:e>
                    <m:r>
                      <w:rPr>
                        <w:rFonts w:ascii="Cambria Math" w:eastAsia="Times New Roman" w:hAnsi="Cambria Math" w:cs="Arial"/>
                        <w:szCs w:val="28"/>
                        <w:lang w:val="en-US"/>
                      </w:rPr>
                      <m:t>0</m:t>
                    </m:r>
                  </m:e>
                  <m:e>
                    <m:r>
                      <w:rPr>
                        <w:rFonts w:ascii="Cambria Math" w:eastAsia="Times New Roman" w:hAnsi="Cambria Math" w:cs="Arial"/>
                        <w:szCs w:val="28"/>
                        <w:lang w:val="en-US"/>
                      </w:rPr>
                      <m:t>1</m:t>
                    </m:r>
                  </m:e>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d</m:t>
                        </m:r>
                      </m:e>
                      <m:sub>
                        <m:r>
                          <w:rPr>
                            <w:rFonts w:ascii="Cambria Math" w:eastAsia="Times New Roman" w:hAnsi="Cambria Math" w:cs="Arial"/>
                            <w:szCs w:val="28"/>
                            <w:lang w:val="en-US"/>
                          </w:rPr>
                          <m:t>y</m:t>
                        </m:r>
                      </m:sub>
                    </m:sSub>
                  </m:e>
                </m:mr>
                <m:mr>
                  <m:e>
                    <m:r>
                      <w:rPr>
                        <w:rFonts w:ascii="Cambria Math" w:eastAsia="Times New Roman" w:hAnsi="Cambria Math" w:cs="Arial"/>
                        <w:szCs w:val="28"/>
                        <w:lang w:val="en-US"/>
                      </w:rPr>
                      <m:t>0</m:t>
                    </m:r>
                  </m:e>
                  <m:e>
                    <m:r>
                      <w:rPr>
                        <w:rFonts w:ascii="Cambria Math" w:eastAsia="Times New Roman" w:hAnsi="Cambria Math" w:cs="Arial"/>
                        <w:szCs w:val="28"/>
                        <w:lang w:val="en-US"/>
                      </w:rPr>
                      <m:t>0</m:t>
                    </m:r>
                  </m:e>
                  <m:e>
                    <m:r>
                      <w:rPr>
                        <w:rFonts w:ascii="Cambria Math" w:eastAsia="Times New Roman" w:hAnsi="Cambria Math" w:cs="Arial"/>
                        <w:szCs w:val="28"/>
                        <w:lang w:val="en-US"/>
                      </w:rPr>
                      <m:t>1</m:t>
                    </m:r>
                  </m:e>
                </m:mr>
              </m:m>
            </m:e>
          </m:d>
        </m:oMath>
      </m:oMathPara>
    </w:p>
    <w:p w14:paraId="4D60BA95" w14:textId="77777777" w:rsidR="00532C25" w:rsidRPr="00511005" w:rsidRDefault="00532C25" w:rsidP="00532C25">
      <w:pPr>
        <w:spacing w:line="264" w:lineRule="auto"/>
        <w:ind w:firstLine="0"/>
        <w:rPr>
          <w:rFonts w:ascii="Arial" w:eastAsia="Times New Roman" w:hAnsi="Arial" w:cs="Arial"/>
          <w:szCs w:val="28"/>
        </w:rPr>
      </w:pPr>
      <w:r w:rsidRPr="00511005">
        <w:rPr>
          <w:rFonts w:ascii="Arial" w:eastAsia="Times New Roman" w:hAnsi="Arial" w:cs="Arial"/>
          <w:szCs w:val="28"/>
          <w:lang w:val="en-US"/>
        </w:rPr>
        <w:t>d</w:t>
      </w:r>
      <w:r w:rsidRPr="00511005">
        <w:rPr>
          <w:rFonts w:ascii="Arial" w:eastAsia="Times New Roman" w:hAnsi="Arial" w:cs="Arial"/>
          <w:szCs w:val="28"/>
          <w:vertAlign w:val="subscript"/>
          <w:lang w:val="en-US"/>
        </w:rPr>
        <w:t>x</w:t>
      </w:r>
      <w:r w:rsidRPr="00511005">
        <w:rPr>
          <w:rFonts w:ascii="Arial" w:eastAsia="Times New Roman" w:hAnsi="Arial" w:cs="Arial"/>
          <w:szCs w:val="28"/>
          <w:vertAlign w:val="subscript"/>
        </w:rPr>
        <w:t xml:space="preserve"> </w:t>
      </w:r>
      <w:r w:rsidRPr="00511005">
        <w:rPr>
          <w:rFonts w:ascii="Arial" w:eastAsia="Times New Roman" w:hAnsi="Arial" w:cs="Arial"/>
          <w:szCs w:val="28"/>
        </w:rPr>
        <w:t xml:space="preserve">— зміщення по осі </w:t>
      </w:r>
      <w:r w:rsidRPr="00511005">
        <w:rPr>
          <w:rFonts w:ascii="Arial" w:eastAsia="Times New Roman" w:hAnsi="Arial" w:cs="Arial"/>
          <w:szCs w:val="28"/>
          <w:lang w:val="en-US"/>
        </w:rPr>
        <w:t>X</w:t>
      </w:r>
      <w:r w:rsidRPr="00511005">
        <w:rPr>
          <w:rFonts w:ascii="Arial" w:eastAsia="Times New Roman" w:hAnsi="Arial" w:cs="Arial"/>
          <w:szCs w:val="28"/>
        </w:rPr>
        <w:t>;</w:t>
      </w:r>
    </w:p>
    <w:p w14:paraId="12E2BA6E" w14:textId="77777777" w:rsidR="00532C25" w:rsidRPr="00511005" w:rsidRDefault="00532C25" w:rsidP="00532C25">
      <w:pPr>
        <w:spacing w:line="264" w:lineRule="auto"/>
        <w:ind w:firstLine="0"/>
        <w:rPr>
          <w:rFonts w:ascii="Arial" w:eastAsia="Times New Roman" w:hAnsi="Arial" w:cs="Arial"/>
          <w:szCs w:val="28"/>
        </w:rPr>
      </w:pPr>
      <w:r w:rsidRPr="00511005">
        <w:rPr>
          <w:rFonts w:ascii="Arial" w:eastAsia="Times New Roman" w:hAnsi="Arial" w:cs="Arial"/>
          <w:szCs w:val="28"/>
          <w:lang w:val="en-US"/>
        </w:rPr>
        <w:lastRenderedPageBreak/>
        <w:t>d</w:t>
      </w:r>
      <w:r w:rsidRPr="00511005">
        <w:rPr>
          <w:rFonts w:ascii="Arial" w:eastAsia="Times New Roman" w:hAnsi="Arial" w:cs="Arial"/>
          <w:szCs w:val="28"/>
          <w:vertAlign w:val="subscript"/>
          <w:lang w:val="en-US"/>
        </w:rPr>
        <w:t>y</w:t>
      </w:r>
      <w:r w:rsidRPr="00511005">
        <w:rPr>
          <w:rFonts w:ascii="Arial" w:eastAsia="Times New Roman" w:hAnsi="Arial" w:cs="Arial"/>
          <w:szCs w:val="28"/>
          <w:vertAlign w:val="subscript"/>
        </w:rPr>
        <w:t xml:space="preserve"> </w:t>
      </w:r>
      <w:r w:rsidRPr="00511005">
        <w:rPr>
          <w:rFonts w:ascii="Arial" w:eastAsia="Times New Roman" w:hAnsi="Arial" w:cs="Arial"/>
          <w:szCs w:val="28"/>
        </w:rPr>
        <w:t xml:space="preserve">— зміщення по осі </w:t>
      </w:r>
      <w:r w:rsidRPr="00511005">
        <w:rPr>
          <w:rFonts w:ascii="Arial" w:eastAsia="Times New Roman" w:hAnsi="Arial" w:cs="Arial"/>
          <w:szCs w:val="28"/>
          <w:lang w:val="en-US"/>
        </w:rPr>
        <w:t>Y</w:t>
      </w:r>
      <w:r w:rsidRPr="00511005">
        <w:rPr>
          <w:rFonts w:ascii="Arial" w:eastAsia="Times New Roman" w:hAnsi="Arial" w:cs="Arial"/>
          <w:szCs w:val="28"/>
        </w:rPr>
        <w:t>;</w:t>
      </w:r>
    </w:p>
    <w:p w14:paraId="1F16BF57"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Нехай існує деяка точка </w:t>
      </w:r>
      <w:r w:rsidRPr="00511005">
        <w:rPr>
          <w:rFonts w:ascii="Arial" w:eastAsia="Times New Roman" w:hAnsi="Arial" w:cs="Arial"/>
          <w:szCs w:val="28"/>
          <w:lang w:val="en-US"/>
        </w:rPr>
        <w:t>M</w:t>
      </w:r>
      <w:r w:rsidRPr="00511005">
        <w:rPr>
          <w:rFonts w:ascii="Arial" w:eastAsia="Times New Roman" w:hAnsi="Arial" w:cs="Arial"/>
          <w:szCs w:val="28"/>
        </w:rPr>
        <w:t xml:space="preserve"> (</w:t>
      </w:r>
      <w:r w:rsidRPr="00511005">
        <w:rPr>
          <w:rFonts w:ascii="Arial" w:eastAsia="Times New Roman" w:hAnsi="Arial" w:cs="Arial"/>
          <w:szCs w:val="28"/>
          <w:lang w:val="en-US"/>
        </w:rPr>
        <w:t>x</w:t>
      </w:r>
      <w:r w:rsidRPr="00511005">
        <w:rPr>
          <w:rFonts w:ascii="Arial" w:eastAsia="Times New Roman" w:hAnsi="Arial" w:cs="Arial"/>
          <w:szCs w:val="28"/>
        </w:rPr>
        <w:t xml:space="preserve">; </w:t>
      </w:r>
      <w:r w:rsidRPr="00511005">
        <w:rPr>
          <w:rFonts w:ascii="Arial" w:eastAsia="Times New Roman" w:hAnsi="Arial" w:cs="Arial"/>
          <w:szCs w:val="28"/>
          <w:lang w:val="en-US"/>
        </w:rPr>
        <w:t>y</w:t>
      </w:r>
      <w:r w:rsidRPr="00511005">
        <w:rPr>
          <w:rFonts w:ascii="Arial" w:eastAsia="Times New Roman" w:hAnsi="Arial" w:cs="Arial"/>
          <w:szCs w:val="28"/>
        </w:rPr>
        <w:t>)</w:t>
      </w:r>
      <w:r w:rsidRPr="00511005">
        <w:rPr>
          <w:rFonts w:ascii="Arial" w:eastAsia="Times New Roman" w:hAnsi="Arial" w:cs="Arial"/>
          <w:szCs w:val="28"/>
          <w:lang w:val="uk-UA"/>
        </w:rPr>
        <w:t xml:space="preserve">, тоді ми можемо записати матрицю </w:t>
      </w:r>
      <m:oMath>
        <m:r>
          <w:rPr>
            <w:rFonts w:ascii="Cambria Math" w:eastAsia="Times New Roman" w:hAnsi="Cambria Math" w:cs="Arial"/>
            <w:szCs w:val="28"/>
            <w:lang w:val="uk-UA"/>
          </w:rPr>
          <m:t xml:space="preserve">M= </m:t>
        </m:r>
        <m:d>
          <m:dPr>
            <m:ctrlPr>
              <w:rPr>
                <w:rFonts w:ascii="Cambria Math" w:eastAsia="Times New Roman" w:hAnsi="Cambria Math" w:cs="Arial"/>
                <w:i/>
                <w:szCs w:val="28"/>
                <w:lang w:val="uk-UA"/>
              </w:rPr>
            </m:ctrlPr>
          </m:dPr>
          <m:e>
            <m:m>
              <m:mPr>
                <m:mcs>
                  <m:mc>
                    <m:mcPr>
                      <m:count m:val="1"/>
                      <m:mcJc m:val="center"/>
                    </m:mcPr>
                  </m:mc>
                </m:mcs>
                <m:ctrlPr>
                  <w:rPr>
                    <w:rFonts w:ascii="Cambria Math" w:eastAsia="Times New Roman" w:hAnsi="Cambria Math" w:cs="Arial"/>
                    <w:i/>
                    <w:szCs w:val="28"/>
                    <w:lang w:val="uk-UA"/>
                  </w:rPr>
                </m:ctrlPr>
              </m:mPr>
              <m:mr>
                <m:e>
                  <m:r>
                    <w:rPr>
                      <w:rFonts w:ascii="Cambria Math" w:eastAsia="Times New Roman" w:hAnsi="Cambria Math" w:cs="Arial"/>
                      <w:szCs w:val="28"/>
                      <w:lang w:val="uk-UA"/>
                    </w:rPr>
                    <m:t>x</m:t>
                  </m:r>
                </m:e>
              </m:mr>
              <m:mr>
                <m:e>
                  <m:r>
                    <w:rPr>
                      <w:rFonts w:ascii="Cambria Math" w:eastAsia="Times New Roman" w:hAnsi="Cambria Math" w:cs="Arial"/>
                      <w:szCs w:val="28"/>
                      <w:lang w:val="uk-UA"/>
                    </w:rPr>
                    <m:t>y</m:t>
                  </m:r>
                </m:e>
              </m:mr>
            </m:m>
          </m:e>
        </m:d>
      </m:oMath>
      <w:r w:rsidRPr="00511005">
        <w:rPr>
          <w:rFonts w:ascii="Arial" w:eastAsia="Times New Roman" w:hAnsi="Arial" w:cs="Arial"/>
          <w:szCs w:val="28"/>
          <w:lang w:val="uk-UA"/>
        </w:rPr>
        <w:t xml:space="preserve">, але якщо ми спробуємо помножити </w:t>
      </w:r>
      <w:r w:rsidRPr="00511005">
        <w:rPr>
          <w:rFonts w:ascii="Arial" w:eastAsia="Times New Roman" w:hAnsi="Arial" w:cs="Arial"/>
          <w:szCs w:val="28"/>
          <w:lang w:val="en-US"/>
        </w:rPr>
        <w:t>T</w:t>
      </w:r>
      <w:r w:rsidRPr="00511005">
        <w:rPr>
          <w:rFonts w:ascii="Arial" w:eastAsia="Times New Roman" w:hAnsi="Arial" w:cs="Arial"/>
          <w:szCs w:val="28"/>
        </w:rPr>
        <w:t xml:space="preserve"> </w:t>
      </w:r>
      <w:r w:rsidRPr="00511005">
        <w:rPr>
          <w:rFonts w:ascii="Arial" w:eastAsia="Times New Roman" w:hAnsi="Arial" w:cs="Arial"/>
          <w:szCs w:val="28"/>
          <w:lang w:val="uk-UA"/>
        </w:rPr>
        <w:t xml:space="preserve">на </w:t>
      </w:r>
      <w:r w:rsidRPr="00511005">
        <w:rPr>
          <w:rFonts w:ascii="Arial" w:eastAsia="Times New Roman" w:hAnsi="Arial" w:cs="Arial"/>
          <w:szCs w:val="28"/>
          <w:lang w:val="en-US"/>
        </w:rPr>
        <w:t>M</w:t>
      </w:r>
      <w:r w:rsidRPr="00511005">
        <w:rPr>
          <w:rFonts w:ascii="Arial" w:eastAsia="Times New Roman" w:hAnsi="Arial" w:cs="Arial"/>
          <w:szCs w:val="28"/>
          <w:lang w:val="uk-UA"/>
        </w:rPr>
        <w:t xml:space="preserve">, побачимо, що матриці не узгоджені між собою. Тоді додаємо третю координату до нашої матриці </w:t>
      </w:r>
      <w:r w:rsidRPr="00511005">
        <w:rPr>
          <w:rFonts w:ascii="Arial" w:eastAsia="Times New Roman" w:hAnsi="Arial" w:cs="Arial"/>
          <w:szCs w:val="28"/>
          <w:lang w:val="en-US"/>
        </w:rPr>
        <w:t>M</w:t>
      </w:r>
      <w:r w:rsidRPr="00511005">
        <w:rPr>
          <w:rFonts w:ascii="Arial" w:eastAsia="Times New Roman" w:hAnsi="Arial" w:cs="Arial"/>
          <w:szCs w:val="28"/>
          <w:lang w:val="uk-UA"/>
        </w:rPr>
        <w:t>, та даємо їй значення, яке рівне одиниці:</w:t>
      </w:r>
      <w:r w:rsidRPr="00511005">
        <w:rPr>
          <w:rFonts w:ascii="Arial" w:eastAsia="Times New Roman" w:hAnsi="Arial" w:cs="Arial"/>
          <w:szCs w:val="28"/>
          <w:lang w:val="uk-UA"/>
        </w:rPr>
        <w:tab/>
      </w:r>
      <m:oMath>
        <m:sSub>
          <m:sSubPr>
            <m:ctrlPr>
              <w:rPr>
                <w:rFonts w:ascii="Cambria Math" w:eastAsia="Times New Roman" w:hAnsi="Cambria Math" w:cs="Arial"/>
                <w:i/>
                <w:szCs w:val="28"/>
                <w:lang w:val="uk-UA"/>
              </w:rPr>
            </m:ctrlPr>
          </m:sSubPr>
          <m:e>
            <m:r>
              <w:rPr>
                <w:rFonts w:ascii="Cambria Math" w:eastAsia="Times New Roman" w:hAnsi="Cambria Math" w:cs="Arial"/>
                <w:szCs w:val="28"/>
                <w:lang w:val="uk-UA"/>
              </w:rPr>
              <m:t>M</m:t>
            </m:r>
          </m:e>
          <m:sub>
            <m:r>
              <w:rPr>
                <w:rFonts w:ascii="Cambria Math" w:eastAsia="Times New Roman" w:hAnsi="Cambria Math" w:cs="Arial"/>
                <w:szCs w:val="28"/>
                <w:lang w:val="uk-UA"/>
              </w:rPr>
              <m:t>T</m:t>
            </m:r>
          </m:sub>
        </m:sSub>
        <m:r>
          <w:rPr>
            <w:rFonts w:ascii="Cambria Math" w:eastAsia="Times New Roman" w:hAnsi="Cambria Math" w:cs="Arial"/>
            <w:szCs w:val="28"/>
            <w:lang w:val="uk-UA"/>
          </w:rPr>
          <m:t xml:space="preserve">= </m:t>
        </m:r>
        <m:d>
          <m:dPr>
            <m:ctrlPr>
              <w:rPr>
                <w:rFonts w:ascii="Cambria Math" w:eastAsia="Times New Roman" w:hAnsi="Cambria Math" w:cs="Arial"/>
                <w:i/>
                <w:szCs w:val="28"/>
                <w:lang w:val="uk-UA"/>
              </w:rPr>
            </m:ctrlPr>
          </m:dPr>
          <m:e>
            <m:m>
              <m:mPr>
                <m:mcs>
                  <m:mc>
                    <m:mcPr>
                      <m:count m:val="1"/>
                      <m:mcJc m:val="center"/>
                    </m:mcPr>
                  </m:mc>
                </m:mcs>
                <m:ctrlPr>
                  <w:rPr>
                    <w:rFonts w:ascii="Cambria Math" w:eastAsia="Times New Roman" w:hAnsi="Cambria Math" w:cs="Arial"/>
                    <w:i/>
                    <w:szCs w:val="28"/>
                    <w:lang w:val="uk-UA"/>
                  </w:rPr>
                </m:ctrlPr>
              </m:mPr>
              <m:mr>
                <m:e>
                  <m:r>
                    <w:rPr>
                      <w:rFonts w:ascii="Cambria Math" w:eastAsia="Times New Roman" w:hAnsi="Cambria Math" w:cs="Arial"/>
                      <w:szCs w:val="28"/>
                      <w:lang w:val="uk-UA"/>
                    </w:rPr>
                    <m:t>x</m:t>
                  </m:r>
                </m:e>
              </m:mr>
              <m:mr>
                <m:e>
                  <m:r>
                    <w:rPr>
                      <w:rFonts w:ascii="Cambria Math" w:eastAsia="Times New Roman" w:hAnsi="Cambria Math" w:cs="Arial"/>
                      <w:szCs w:val="28"/>
                      <w:lang w:val="uk-UA"/>
                    </w:rPr>
                    <m:t>y</m:t>
                  </m:r>
                </m:e>
              </m:mr>
              <m:mr>
                <m:e>
                  <m:r>
                    <w:rPr>
                      <w:rFonts w:ascii="Cambria Math" w:eastAsia="Times New Roman" w:hAnsi="Cambria Math" w:cs="Arial"/>
                      <w:szCs w:val="28"/>
                      <w:lang w:val="uk-UA"/>
                    </w:rPr>
                    <m:t>1</m:t>
                  </m:r>
                </m:e>
              </m:mr>
            </m:m>
          </m:e>
        </m:d>
      </m:oMath>
    </w:p>
    <w:p w14:paraId="46B73AFB" w14:textId="77777777" w:rsidR="00532C25" w:rsidRPr="00511005" w:rsidRDefault="00532C25" w:rsidP="00532C25">
      <w:pPr>
        <w:tabs>
          <w:tab w:val="left" w:pos="709"/>
        </w:tabs>
        <w:spacing w:line="264" w:lineRule="auto"/>
        <w:ind w:firstLine="0"/>
        <w:rPr>
          <w:rFonts w:ascii="Arial" w:eastAsia="Times New Roman" w:hAnsi="Arial" w:cs="Arial"/>
          <w:szCs w:val="28"/>
        </w:rPr>
      </w:pPr>
      <w:r w:rsidRPr="00511005">
        <w:rPr>
          <w:rFonts w:ascii="Arial" w:eastAsia="Times New Roman" w:hAnsi="Arial" w:cs="Arial"/>
          <w:szCs w:val="28"/>
          <w:lang w:val="uk-UA"/>
        </w:rPr>
        <w:t>Ми представляємо двовимірний об</w:t>
      </w:r>
      <w:r w:rsidRPr="00511005">
        <w:rPr>
          <w:rFonts w:ascii="Arial" w:eastAsia="Times New Roman" w:hAnsi="Arial" w:cs="Arial"/>
          <w:szCs w:val="28"/>
        </w:rPr>
        <w:t>’</w:t>
      </w:r>
      <w:r w:rsidRPr="00511005">
        <w:rPr>
          <w:rFonts w:ascii="Arial" w:eastAsia="Times New Roman" w:hAnsi="Arial" w:cs="Arial"/>
          <w:szCs w:val="28"/>
          <w:lang w:val="uk-UA"/>
        </w:rPr>
        <w:t xml:space="preserve">єкт як тривимірний, але третя координата потрібна для узгодження з матрицею </w:t>
      </w:r>
      <w:r w:rsidRPr="00511005">
        <w:rPr>
          <w:rFonts w:ascii="Arial" w:eastAsia="Times New Roman" w:hAnsi="Arial" w:cs="Arial"/>
          <w:szCs w:val="28"/>
          <w:lang w:val="en-US"/>
        </w:rPr>
        <w:t>T</w:t>
      </w:r>
      <w:r w:rsidRPr="00511005">
        <w:rPr>
          <w:rFonts w:ascii="Arial" w:eastAsia="Times New Roman" w:hAnsi="Arial" w:cs="Arial"/>
          <w:szCs w:val="28"/>
          <w:lang w:val="uk-UA"/>
        </w:rPr>
        <w:t xml:space="preserve"> та не буде впливати на необхідний нам результат. Проаналізуємо множення матриці </w:t>
      </w:r>
      <w:r w:rsidRPr="00511005">
        <w:rPr>
          <w:rFonts w:ascii="Arial" w:eastAsia="Times New Roman" w:hAnsi="Arial" w:cs="Arial"/>
          <w:szCs w:val="28"/>
          <w:lang w:val="en-US"/>
        </w:rPr>
        <w:t>M</w:t>
      </w:r>
      <w:r w:rsidRPr="00511005">
        <w:rPr>
          <w:rFonts w:ascii="Arial" w:eastAsia="Times New Roman" w:hAnsi="Arial" w:cs="Arial"/>
          <w:szCs w:val="28"/>
          <w:vertAlign w:val="subscript"/>
          <w:lang w:val="en-US"/>
        </w:rPr>
        <w:t>T</w:t>
      </w:r>
      <w:r w:rsidRPr="00511005">
        <w:rPr>
          <w:rFonts w:ascii="Arial" w:eastAsia="Times New Roman" w:hAnsi="Arial" w:cs="Arial"/>
          <w:szCs w:val="28"/>
          <w:vertAlign w:val="subscript"/>
          <w:lang w:val="uk-UA"/>
        </w:rPr>
        <w:t xml:space="preserve"> </w:t>
      </w:r>
      <w:r w:rsidRPr="00511005">
        <w:rPr>
          <w:rFonts w:ascii="Arial" w:eastAsia="Times New Roman" w:hAnsi="Arial" w:cs="Arial"/>
          <w:szCs w:val="28"/>
          <w:lang w:val="uk-UA"/>
        </w:rPr>
        <w:t xml:space="preserve">на </w:t>
      </w:r>
      <w:r w:rsidRPr="00511005">
        <w:rPr>
          <w:rFonts w:ascii="Arial" w:eastAsia="Times New Roman" w:hAnsi="Arial" w:cs="Arial"/>
          <w:szCs w:val="28"/>
          <w:lang w:val="en-GB"/>
        </w:rPr>
        <w:t>T</w:t>
      </w:r>
      <w:r w:rsidRPr="00511005">
        <w:rPr>
          <w:rFonts w:ascii="Arial" w:eastAsia="Times New Roman" w:hAnsi="Arial" w:cs="Arial"/>
          <w:szCs w:val="28"/>
        </w:rPr>
        <w:t>:</w:t>
      </w:r>
    </w:p>
    <w:p w14:paraId="7E5E88DF" w14:textId="77777777" w:rsidR="00532C25" w:rsidRPr="00511005" w:rsidRDefault="005938AD" w:rsidP="00532C25">
      <w:pPr>
        <w:spacing w:line="264" w:lineRule="auto"/>
        <w:ind w:firstLine="0"/>
        <w:rPr>
          <w:rFonts w:ascii="Arial" w:eastAsia="Times New Roman" w:hAnsi="Arial" w:cs="Arial"/>
          <w:szCs w:val="28"/>
          <w:lang w:val="uk-UA"/>
        </w:rPr>
      </w:pPr>
      <m:oMath>
        <m:d>
          <m:dPr>
            <m:ctrlPr>
              <w:rPr>
                <w:rFonts w:ascii="Cambria Math" w:eastAsia="Times New Roman" w:hAnsi="Cambria Math" w:cs="Arial"/>
                <w:i/>
                <w:szCs w:val="28"/>
                <w:lang w:val="en-US"/>
              </w:rPr>
            </m:ctrlPr>
          </m:dPr>
          <m:e>
            <m:m>
              <m:mPr>
                <m:mcs>
                  <m:mc>
                    <m:mcPr>
                      <m:count m:val="3"/>
                      <m:mcJc m:val="center"/>
                    </m:mcPr>
                  </m:mc>
                </m:mcs>
                <m:ctrlPr>
                  <w:rPr>
                    <w:rFonts w:ascii="Cambria Math" w:eastAsia="Times New Roman" w:hAnsi="Cambria Math" w:cs="Arial"/>
                    <w:i/>
                    <w:szCs w:val="28"/>
                    <w:lang w:val="en-US"/>
                  </w:rPr>
                </m:ctrlPr>
              </m:mPr>
              <m:mr>
                <m:e>
                  <m:r>
                    <w:rPr>
                      <w:rFonts w:ascii="Cambria Math" w:eastAsia="Times New Roman" w:hAnsi="Cambria Math" w:cs="Arial"/>
                      <w:szCs w:val="28"/>
                      <w:lang w:val="uk-UA"/>
                    </w:rPr>
                    <m:t>1</m:t>
                  </m:r>
                </m:e>
                <m:e>
                  <m:r>
                    <w:rPr>
                      <w:rFonts w:ascii="Cambria Math" w:eastAsia="Times New Roman" w:hAnsi="Cambria Math" w:cs="Arial"/>
                      <w:szCs w:val="28"/>
                      <w:lang w:val="uk-UA"/>
                    </w:rPr>
                    <m:t>0</m:t>
                  </m:r>
                </m:e>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d</m:t>
                      </m:r>
                    </m:e>
                    <m:sub>
                      <m:r>
                        <w:rPr>
                          <w:rFonts w:ascii="Cambria Math" w:eastAsia="Times New Roman" w:hAnsi="Cambria Math" w:cs="Arial"/>
                          <w:szCs w:val="28"/>
                          <w:lang w:val="en-US"/>
                        </w:rPr>
                        <m:t>x</m:t>
                      </m:r>
                    </m:sub>
                  </m:sSub>
                </m:e>
              </m:mr>
              <m:mr>
                <m:e>
                  <m:r>
                    <w:rPr>
                      <w:rFonts w:ascii="Cambria Math" w:eastAsia="Times New Roman" w:hAnsi="Cambria Math" w:cs="Arial"/>
                      <w:szCs w:val="28"/>
                      <w:lang w:val="uk-UA"/>
                    </w:rPr>
                    <m:t>0</m:t>
                  </m:r>
                </m:e>
                <m:e>
                  <m:r>
                    <w:rPr>
                      <w:rFonts w:ascii="Cambria Math" w:eastAsia="Times New Roman" w:hAnsi="Cambria Math" w:cs="Arial"/>
                      <w:szCs w:val="28"/>
                      <w:lang w:val="uk-UA"/>
                    </w:rPr>
                    <m:t>1</m:t>
                  </m:r>
                </m:e>
                <m:e>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d</m:t>
                      </m:r>
                    </m:e>
                    <m:sub>
                      <m:r>
                        <w:rPr>
                          <w:rFonts w:ascii="Cambria Math" w:eastAsia="Times New Roman" w:hAnsi="Cambria Math" w:cs="Arial"/>
                          <w:szCs w:val="28"/>
                          <w:lang w:val="en-US"/>
                        </w:rPr>
                        <m:t>y</m:t>
                      </m:r>
                    </m:sub>
                  </m:sSub>
                </m:e>
              </m:mr>
              <m:mr>
                <m:e>
                  <m:r>
                    <w:rPr>
                      <w:rFonts w:ascii="Cambria Math" w:eastAsia="Times New Roman" w:hAnsi="Cambria Math" w:cs="Arial"/>
                      <w:szCs w:val="28"/>
                      <w:lang w:val="uk-UA"/>
                    </w:rPr>
                    <m:t>0</m:t>
                  </m:r>
                </m:e>
                <m:e>
                  <m:r>
                    <w:rPr>
                      <w:rFonts w:ascii="Cambria Math" w:eastAsia="Times New Roman" w:hAnsi="Cambria Math" w:cs="Arial"/>
                      <w:szCs w:val="28"/>
                      <w:lang w:val="uk-UA"/>
                    </w:rPr>
                    <m:t>0</m:t>
                  </m:r>
                </m:e>
                <m:e>
                  <m:r>
                    <w:rPr>
                      <w:rFonts w:ascii="Cambria Math" w:eastAsia="Times New Roman" w:hAnsi="Cambria Math" w:cs="Arial"/>
                      <w:szCs w:val="28"/>
                      <w:lang w:val="uk-UA"/>
                    </w:rPr>
                    <m:t>1</m:t>
                  </m:r>
                </m:e>
              </m:mr>
            </m:m>
          </m:e>
        </m:d>
        <m:d>
          <m:dPr>
            <m:ctrlPr>
              <w:rPr>
                <w:rFonts w:ascii="Cambria Math" w:eastAsia="Times New Roman" w:hAnsi="Cambria Math" w:cs="Arial"/>
                <w:i/>
                <w:szCs w:val="28"/>
                <w:lang w:val="uk-UA"/>
              </w:rPr>
            </m:ctrlPr>
          </m:dPr>
          <m:e>
            <m:m>
              <m:mPr>
                <m:mcs>
                  <m:mc>
                    <m:mcPr>
                      <m:count m:val="1"/>
                      <m:mcJc m:val="center"/>
                    </m:mcPr>
                  </m:mc>
                </m:mcs>
                <m:ctrlPr>
                  <w:rPr>
                    <w:rFonts w:ascii="Cambria Math" w:eastAsia="Times New Roman" w:hAnsi="Cambria Math" w:cs="Arial"/>
                    <w:i/>
                    <w:szCs w:val="28"/>
                    <w:lang w:val="uk-UA"/>
                  </w:rPr>
                </m:ctrlPr>
              </m:mPr>
              <m:mr>
                <m:e>
                  <m:r>
                    <w:rPr>
                      <w:rFonts w:ascii="Cambria Math" w:eastAsia="Times New Roman" w:hAnsi="Cambria Math" w:cs="Arial"/>
                      <w:szCs w:val="28"/>
                      <w:lang w:val="uk-UA"/>
                    </w:rPr>
                    <m:t>x</m:t>
                  </m:r>
                </m:e>
              </m:mr>
              <m:mr>
                <m:e>
                  <m:r>
                    <w:rPr>
                      <w:rFonts w:ascii="Cambria Math" w:eastAsia="Times New Roman" w:hAnsi="Cambria Math" w:cs="Arial"/>
                      <w:szCs w:val="28"/>
                      <w:lang w:val="uk-UA"/>
                    </w:rPr>
                    <m:t>y</m:t>
                  </m:r>
                </m:e>
              </m:mr>
              <m:mr>
                <m:e>
                  <m:r>
                    <w:rPr>
                      <w:rFonts w:ascii="Cambria Math" w:eastAsia="Times New Roman" w:hAnsi="Cambria Math" w:cs="Arial"/>
                      <w:szCs w:val="28"/>
                      <w:lang w:val="uk-UA"/>
                    </w:rPr>
                    <m:t>1</m:t>
                  </m:r>
                </m:e>
              </m:mr>
            </m:m>
          </m:e>
        </m:d>
      </m:oMath>
      <w:r w:rsidR="00532C25" w:rsidRPr="00511005">
        <w:rPr>
          <w:rFonts w:ascii="Arial" w:eastAsia="Times New Roman" w:hAnsi="Arial" w:cs="Arial"/>
          <w:szCs w:val="28"/>
          <w:lang w:val="uk-UA"/>
        </w:rPr>
        <w:t xml:space="preserve"> = </w:t>
      </w:r>
      <m:oMath>
        <m:d>
          <m:dPr>
            <m:ctrlPr>
              <w:rPr>
                <w:rFonts w:ascii="Cambria Math" w:eastAsia="Times New Roman" w:hAnsi="Cambria Math" w:cs="Arial"/>
                <w:i/>
                <w:szCs w:val="28"/>
                <w:lang w:val="uk-UA"/>
              </w:rPr>
            </m:ctrlPr>
          </m:dPr>
          <m:e>
            <m:m>
              <m:mPr>
                <m:mcs>
                  <m:mc>
                    <m:mcPr>
                      <m:count m:val="1"/>
                      <m:mcJc m:val="center"/>
                    </m:mcPr>
                  </m:mc>
                </m:mcs>
                <m:ctrlPr>
                  <w:rPr>
                    <w:rFonts w:ascii="Cambria Math" w:eastAsia="Times New Roman" w:hAnsi="Cambria Math" w:cs="Arial"/>
                    <w:i/>
                    <w:szCs w:val="28"/>
                    <w:lang w:val="uk-UA"/>
                  </w:rPr>
                </m:ctrlPr>
              </m:mPr>
              <m:mr>
                <m:e>
                  <m:r>
                    <w:rPr>
                      <w:rFonts w:ascii="Cambria Math" w:eastAsia="Times New Roman" w:hAnsi="Cambria Math" w:cs="Arial"/>
                      <w:szCs w:val="28"/>
                      <w:lang w:val="uk-UA"/>
                    </w:rPr>
                    <m:t>х+</m:t>
                  </m:r>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d</m:t>
                      </m:r>
                    </m:e>
                    <m:sub>
                      <m:r>
                        <w:rPr>
                          <w:rFonts w:ascii="Cambria Math" w:eastAsia="Times New Roman" w:hAnsi="Cambria Math" w:cs="Arial"/>
                          <w:szCs w:val="28"/>
                          <w:lang w:val="en-US"/>
                        </w:rPr>
                        <m:t>x</m:t>
                      </m:r>
                    </m:sub>
                  </m:sSub>
                  <m:r>
                    <w:rPr>
                      <w:rFonts w:ascii="Cambria Math" w:eastAsia="Times New Roman" w:hAnsi="Cambria Math" w:cs="Arial"/>
                      <w:szCs w:val="28"/>
                      <w:lang w:val="uk-UA"/>
                    </w:rPr>
                    <m:t xml:space="preserve"> </m:t>
                  </m:r>
                </m:e>
              </m:mr>
              <m:mr>
                <m:e>
                  <m:r>
                    <w:rPr>
                      <w:rFonts w:ascii="Cambria Math" w:eastAsia="Times New Roman" w:hAnsi="Cambria Math" w:cs="Arial"/>
                      <w:szCs w:val="28"/>
                      <w:lang w:val="en-US"/>
                    </w:rPr>
                    <m:t>y</m:t>
                  </m:r>
                  <m:r>
                    <w:rPr>
                      <w:rFonts w:ascii="Cambria Math" w:eastAsia="Times New Roman" w:hAnsi="Cambria Math" w:cs="Arial"/>
                      <w:szCs w:val="28"/>
                      <w:lang w:val="uk-UA"/>
                    </w:rPr>
                    <m:t>+</m:t>
                  </m:r>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d</m:t>
                      </m:r>
                    </m:e>
                    <m:sub>
                      <m:r>
                        <w:rPr>
                          <w:rFonts w:ascii="Cambria Math" w:eastAsia="Times New Roman" w:hAnsi="Cambria Math" w:cs="Arial"/>
                          <w:szCs w:val="28"/>
                          <w:lang w:val="en-US"/>
                        </w:rPr>
                        <m:t>y</m:t>
                      </m:r>
                    </m:sub>
                  </m:sSub>
                </m:e>
              </m:mr>
              <m:mr>
                <m:e>
                  <m:r>
                    <w:rPr>
                      <w:rFonts w:ascii="Cambria Math" w:eastAsia="Times New Roman" w:hAnsi="Cambria Math" w:cs="Arial"/>
                      <w:szCs w:val="28"/>
                      <w:lang w:val="uk-UA"/>
                    </w:rPr>
                    <m:t>1</m:t>
                  </m:r>
                </m:e>
              </m:mr>
            </m:m>
          </m:e>
        </m:d>
      </m:oMath>
    </w:p>
    <w:p w14:paraId="0BB5BD1D"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Нехай </w:t>
      </w:r>
      <w:r w:rsidRPr="00511005">
        <w:rPr>
          <w:rFonts w:ascii="Arial" w:eastAsia="Times New Roman" w:hAnsi="Arial" w:cs="Arial"/>
          <w:szCs w:val="28"/>
          <w:lang w:val="en-US"/>
        </w:rPr>
        <w:t>x</w:t>
      </w:r>
      <w:r w:rsidRPr="00511005">
        <w:rPr>
          <w:rFonts w:ascii="Arial" w:eastAsia="Times New Roman" w:hAnsi="Arial" w:cs="Arial"/>
          <w:szCs w:val="28"/>
          <w:vertAlign w:val="subscript"/>
          <w:lang w:val="en-US"/>
        </w:rPr>
        <w:t>T</w:t>
      </w:r>
      <w:r w:rsidRPr="00511005">
        <w:rPr>
          <w:rFonts w:ascii="Arial" w:eastAsia="Times New Roman" w:hAnsi="Arial" w:cs="Arial"/>
          <w:szCs w:val="28"/>
          <w:lang w:val="uk-UA"/>
        </w:rPr>
        <w:t xml:space="preserve"> = </w:t>
      </w:r>
      <w:r w:rsidRPr="00511005">
        <w:rPr>
          <w:rFonts w:ascii="Arial" w:eastAsia="Times New Roman" w:hAnsi="Arial" w:cs="Arial"/>
          <w:szCs w:val="28"/>
          <w:lang w:val="en-US"/>
        </w:rPr>
        <w:t>x</w:t>
      </w:r>
      <w:r w:rsidRPr="00511005">
        <w:rPr>
          <w:rFonts w:ascii="Arial" w:eastAsia="Times New Roman" w:hAnsi="Arial" w:cs="Arial"/>
          <w:szCs w:val="28"/>
          <w:lang w:val="uk-UA"/>
        </w:rPr>
        <w:t xml:space="preserve"> + </w:t>
      </w:r>
      <w:r w:rsidRPr="00511005">
        <w:rPr>
          <w:rFonts w:ascii="Arial" w:eastAsia="Times New Roman" w:hAnsi="Arial" w:cs="Arial"/>
          <w:szCs w:val="28"/>
          <w:lang w:val="en-US"/>
        </w:rPr>
        <w:t>d</w:t>
      </w:r>
      <w:r w:rsidRPr="00511005">
        <w:rPr>
          <w:rFonts w:ascii="Arial" w:eastAsia="Times New Roman" w:hAnsi="Arial" w:cs="Arial"/>
          <w:szCs w:val="28"/>
          <w:vertAlign w:val="subscript"/>
          <w:lang w:val="en-US"/>
        </w:rPr>
        <w:t>x</w:t>
      </w:r>
      <w:r w:rsidRPr="00511005">
        <w:rPr>
          <w:rFonts w:ascii="Arial" w:eastAsia="Times New Roman" w:hAnsi="Arial" w:cs="Arial"/>
          <w:szCs w:val="28"/>
          <w:lang w:val="uk-UA"/>
        </w:rPr>
        <w:t xml:space="preserve">; </w:t>
      </w:r>
      <w:r w:rsidRPr="00511005">
        <w:rPr>
          <w:rFonts w:ascii="Arial" w:eastAsia="Times New Roman" w:hAnsi="Arial" w:cs="Arial"/>
          <w:szCs w:val="28"/>
          <w:lang w:val="uk-UA"/>
        </w:rPr>
        <w:tab/>
      </w:r>
      <w:r w:rsidRPr="00511005">
        <w:rPr>
          <w:rFonts w:ascii="Arial" w:eastAsia="Times New Roman" w:hAnsi="Arial" w:cs="Arial"/>
          <w:szCs w:val="28"/>
          <w:lang w:val="en-US"/>
        </w:rPr>
        <w:t>y</w:t>
      </w:r>
      <w:r w:rsidRPr="00511005">
        <w:rPr>
          <w:rFonts w:ascii="Arial" w:eastAsia="Times New Roman" w:hAnsi="Arial" w:cs="Arial"/>
          <w:szCs w:val="28"/>
          <w:vertAlign w:val="subscript"/>
          <w:lang w:val="en-US"/>
        </w:rPr>
        <w:t>T</w:t>
      </w:r>
      <w:r w:rsidRPr="00511005">
        <w:rPr>
          <w:rFonts w:ascii="Arial" w:eastAsia="Times New Roman" w:hAnsi="Arial" w:cs="Arial"/>
          <w:szCs w:val="28"/>
          <w:lang w:val="uk-UA"/>
        </w:rPr>
        <w:t xml:space="preserve"> = </w:t>
      </w:r>
      <w:r w:rsidRPr="00511005">
        <w:rPr>
          <w:rFonts w:ascii="Arial" w:eastAsia="Times New Roman" w:hAnsi="Arial" w:cs="Arial"/>
          <w:szCs w:val="28"/>
          <w:lang w:val="en-US"/>
        </w:rPr>
        <w:t>y</w:t>
      </w:r>
      <w:r w:rsidRPr="00511005">
        <w:rPr>
          <w:rFonts w:ascii="Arial" w:eastAsia="Times New Roman" w:hAnsi="Arial" w:cs="Arial"/>
          <w:szCs w:val="28"/>
          <w:lang w:val="uk-UA"/>
        </w:rPr>
        <w:t xml:space="preserve"> + </w:t>
      </w:r>
      <w:r w:rsidRPr="00511005">
        <w:rPr>
          <w:rFonts w:ascii="Arial" w:eastAsia="Times New Roman" w:hAnsi="Arial" w:cs="Arial"/>
          <w:szCs w:val="28"/>
          <w:lang w:val="en-US"/>
        </w:rPr>
        <w:t>d</w:t>
      </w:r>
      <w:r w:rsidRPr="00511005">
        <w:rPr>
          <w:rFonts w:ascii="Arial" w:eastAsia="Times New Roman" w:hAnsi="Arial" w:cs="Arial"/>
          <w:szCs w:val="28"/>
          <w:vertAlign w:val="subscript"/>
          <w:lang w:val="en-US"/>
        </w:rPr>
        <w:t>y</w:t>
      </w:r>
      <w:r w:rsidRPr="00511005">
        <w:rPr>
          <w:rFonts w:ascii="Arial" w:eastAsia="Times New Roman" w:hAnsi="Arial" w:cs="Arial"/>
          <w:szCs w:val="28"/>
          <w:lang w:val="uk-UA"/>
        </w:rPr>
        <w:t>;</w:t>
      </w:r>
    </w:p>
    <w:p w14:paraId="5624BCCD"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Тоді </w:t>
      </w:r>
      <w:r w:rsidRPr="00511005">
        <w:rPr>
          <w:rFonts w:ascii="Arial" w:eastAsia="Times New Roman" w:hAnsi="Arial" w:cs="Arial"/>
          <w:szCs w:val="28"/>
          <w:lang w:val="en-US"/>
        </w:rPr>
        <w:t>x</w:t>
      </w:r>
      <w:r w:rsidRPr="00511005">
        <w:rPr>
          <w:rFonts w:ascii="Arial" w:eastAsia="Times New Roman" w:hAnsi="Arial" w:cs="Arial"/>
          <w:szCs w:val="28"/>
          <w:vertAlign w:val="subscript"/>
          <w:lang w:val="en-US"/>
        </w:rPr>
        <w:t>T</w:t>
      </w:r>
      <w:r w:rsidRPr="00511005">
        <w:rPr>
          <w:rFonts w:ascii="Arial" w:eastAsia="Times New Roman" w:hAnsi="Arial" w:cs="Arial"/>
          <w:szCs w:val="28"/>
          <w:vertAlign w:val="subscript"/>
          <w:lang w:val="uk-UA"/>
        </w:rPr>
        <w:t xml:space="preserve"> </w:t>
      </w:r>
      <w:r w:rsidRPr="00511005">
        <w:rPr>
          <w:rFonts w:ascii="Arial" w:eastAsia="Times New Roman" w:hAnsi="Arial" w:cs="Arial"/>
          <w:szCs w:val="28"/>
          <w:lang w:val="uk-UA"/>
        </w:rPr>
        <w:t xml:space="preserve">і </w:t>
      </w:r>
      <w:r w:rsidRPr="00511005">
        <w:rPr>
          <w:rFonts w:ascii="Arial" w:eastAsia="Times New Roman" w:hAnsi="Arial" w:cs="Arial"/>
          <w:szCs w:val="28"/>
          <w:lang w:val="en-US"/>
        </w:rPr>
        <w:t>y</w:t>
      </w:r>
      <w:r w:rsidRPr="00511005">
        <w:rPr>
          <w:rFonts w:ascii="Arial" w:eastAsia="Times New Roman" w:hAnsi="Arial" w:cs="Arial"/>
          <w:szCs w:val="28"/>
          <w:vertAlign w:val="subscript"/>
          <w:lang w:val="en-US"/>
        </w:rPr>
        <w:t>T</w:t>
      </w:r>
      <w:r w:rsidRPr="00511005">
        <w:rPr>
          <w:rFonts w:ascii="Arial" w:eastAsia="Times New Roman" w:hAnsi="Arial" w:cs="Arial"/>
          <w:szCs w:val="28"/>
          <w:vertAlign w:val="subscript"/>
          <w:lang w:val="uk-UA"/>
        </w:rPr>
        <w:t xml:space="preserve"> </w:t>
      </w:r>
      <w:r w:rsidRPr="00511005">
        <w:rPr>
          <w:rFonts w:ascii="Arial" w:eastAsia="Times New Roman" w:hAnsi="Arial" w:cs="Arial"/>
          <w:szCs w:val="28"/>
          <w:lang w:val="uk-UA"/>
        </w:rPr>
        <w:t xml:space="preserve">— це координати зміщення об’єкта, а одиниця так і залишилася одиницею, отже вона не впливає на те, куди перемістилися координати точок </w:t>
      </w:r>
      <w:r w:rsidRPr="00511005">
        <w:rPr>
          <w:rFonts w:ascii="Arial" w:eastAsia="Times New Roman" w:hAnsi="Arial" w:cs="Arial"/>
          <w:szCs w:val="28"/>
          <w:lang w:val="en-US"/>
        </w:rPr>
        <w:t>x</w:t>
      </w:r>
      <w:r w:rsidRPr="00511005">
        <w:rPr>
          <w:rFonts w:ascii="Arial" w:eastAsia="Times New Roman" w:hAnsi="Arial" w:cs="Arial"/>
          <w:szCs w:val="28"/>
          <w:lang w:val="uk-UA"/>
        </w:rPr>
        <w:t xml:space="preserve"> та</w:t>
      </w:r>
      <w:r w:rsidRPr="00511005">
        <w:rPr>
          <w:rFonts w:ascii="Arial" w:eastAsia="Times New Roman" w:hAnsi="Arial" w:cs="Arial"/>
          <w:szCs w:val="28"/>
        </w:rPr>
        <w:t xml:space="preserve"> </w:t>
      </w:r>
      <w:r w:rsidRPr="00511005">
        <w:rPr>
          <w:rFonts w:ascii="Arial" w:eastAsia="Times New Roman" w:hAnsi="Arial" w:cs="Arial"/>
          <w:szCs w:val="28"/>
          <w:lang w:val="en-US"/>
        </w:rPr>
        <w:t>y</w:t>
      </w:r>
      <w:r w:rsidRPr="00511005">
        <w:rPr>
          <w:rFonts w:ascii="Arial" w:eastAsia="Times New Roman" w:hAnsi="Arial" w:cs="Arial"/>
          <w:szCs w:val="28"/>
          <w:lang w:val="uk-UA"/>
        </w:rPr>
        <w:t>.</w:t>
      </w:r>
    </w:p>
    <w:p w14:paraId="5A6BF84F"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Переходимо до рекомендаційних систем, вони потрібні для того, щоб ми могли пов</w:t>
      </w:r>
      <w:r w:rsidRPr="00511005">
        <w:rPr>
          <w:rFonts w:ascii="Arial" w:eastAsia="Times New Roman" w:hAnsi="Arial" w:cs="Arial"/>
          <w:szCs w:val="28"/>
        </w:rPr>
        <w:t>’</w:t>
      </w:r>
      <w:r w:rsidRPr="00511005">
        <w:rPr>
          <w:rFonts w:ascii="Arial" w:eastAsia="Times New Roman" w:hAnsi="Arial" w:cs="Arial"/>
          <w:szCs w:val="28"/>
          <w:lang w:val="uk-UA"/>
        </w:rPr>
        <w:t>язати користувачів та їх оцінки для деяких цифрових продуктів у систему та більш ефективно керувати вподобаннями для кожної особи. Одразу перейдемо до прикладу</w:t>
      </w:r>
      <w:r w:rsidRPr="00511005">
        <w:rPr>
          <w:rFonts w:ascii="Arial" w:eastAsia="Times New Roman" w:hAnsi="Arial" w:cs="Arial"/>
          <w:szCs w:val="28"/>
          <w:lang w:val="uk-UA"/>
        </w:rPr>
        <w:tab/>
        <w:t xml:space="preserve"> та відобразимо таблицю з інформацією про оцінки фільмів від користувачів.</w:t>
      </w:r>
    </w:p>
    <w:tbl>
      <w:tblPr>
        <w:tblStyle w:val="2d"/>
        <w:tblW w:w="0" w:type="auto"/>
        <w:tblLook w:val="04A0" w:firstRow="1" w:lastRow="0" w:firstColumn="1" w:lastColumn="0" w:noHBand="0" w:noVBand="1"/>
      </w:tblPr>
      <w:tblGrid>
        <w:gridCol w:w="2477"/>
        <w:gridCol w:w="2478"/>
        <w:gridCol w:w="2478"/>
        <w:gridCol w:w="2478"/>
      </w:tblGrid>
      <w:tr w:rsidR="00532C25" w:rsidRPr="00511005" w14:paraId="5778359A" w14:textId="77777777" w:rsidTr="006E3306">
        <w:tc>
          <w:tcPr>
            <w:tcW w:w="2477" w:type="dxa"/>
          </w:tcPr>
          <w:p w14:paraId="7B21E7DB" w14:textId="77777777" w:rsidR="00532C25" w:rsidRPr="00511005" w:rsidRDefault="00532C25" w:rsidP="006E3306">
            <w:pPr>
              <w:spacing w:line="264" w:lineRule="auto"/>
              <w:ind w:firstLine="0"/>
              <w:rPr>
                <w:rFonts w:ascii="Arial" w:eastAsia="Times New Roman" w:hAnsi="Arial" w:cs="Arial"/>
                <w:szCs w:val="28"/>
                <w:lang w:val="uk-UA"/>
              </w:rPr>
            </w:pPr>
          </w:p>
        </w:tc>
        <w:tc>
          <w:tcPr>
            <w:tcW w:w="2478" w:type="dxa"/>
          </w:tcPr>
          <w:p w14:paraId="5EC8B1BF"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Фільм А</w:t>
            </w:r>
          </w:p>
        </w:tc>
        <w:tc>
          <w:tcPr>
            <w:tcW w:w="2478" w:type="dxa"/>
          </w:tcPr>
          <w:p w14:paraId="5457C986"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Фільм В</w:t>
            </w:r>
          </w:p>
        </w:tc>
        <w:tc>
          <w:tcPr>
            <w:tcW w:w="2478" w:type="dxa"/>
          </w:tcPr>
          <w:p w14:paraId="46DAEB0D"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Фільм С</w:t>
            </w:r>
          </w:p>
        </w:tc>
      </w:tr>
      <w:tr w:rsidR="00532C25" w:rsidRPr="00511005" w14:paraId="29010EC8" w14:textId="77777777" w:rsidTr="006E3306">
        <w:tc>
          <w:tcPr>
            <w:tcW w:w="2477" w:type="dxa"/>
          </w:tcPr>
          <w:p w14:paraId="39AD33A8"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Користувач А</w:t>
            </w:r>
          </w:p>
        </w:tc>
        <w:tc>
          <w:tcPr>
            <w:tcW w:w="2478" w:type="dxa"/>
          </w:tcPr>
          <w:p w14:paraId="44A37E49"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5</w:t>
            </w:r>
          </w:p>
        </w:tc>
        <w:tc>
          <w:tcPr>
            <w:tcW w:w="2478" w:type="dxa"/>
          </w:tcPr>
          <w:p w14:paraId="4F309095"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3</w:t>
            </w:r>
          </w:p>
        </w:tc>
        <w:tc>
          <w:tcPr>
            <w:tcW w:w="2478" w:type="dxa"/>
          </w:tcPr>
          <w:p w14:paraId="15278AB5"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4</w:t>
            </w:r>
          </w:p>
        </w:tc>
      </w:tr>
      <w:tr w:rsidR="00532C25" w:rsidRPr="00511005" w14:paraId="20A76FB9" w14:textId="77777777" w:rsidTr="006E3306">
        <w:tc>
          <w:tcPr>
            <w:tcW w:w="2477" w:type="dxa"/>
          </w:tcPr>
          <w:p w14:paraId="28A0DE02"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Користувач В</w:t>
            </w:r>
          </w:p>
        </w:tc>
        <w:tc>
          <w:tcPr>
            <w:tcW w:w="2478" w:type="dxa"/>
          </w:tcPr>
          <w:p w14:paraId="3E71B3EA"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4</w:t>
            </w:r>
          </w:p>
        </w:tc>
        <w:tc>
          <w:tcPr>
            <w:tcW w:w="2478" w:type="dxa"/>
          </w:tcPr>
          <w:p w14:paraId="2B0FF2E6"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0</w:t>
            </w:r>
          </w:p>
        </w:tc>
        <w:tc>
          <w:tcPr>
            <w:tcW w:w="2478" w:type="dxa"/>
          </w:tcPr>
          <w:p w14:paraId="1DE621B2" w14:textId="77777777" w:rsidR="00532C25" w:rsidRPr="00511005" w:rsidRDefault="00532C25" w:rsidP="006E3306">
            <w:pPr>
              <w:spacing w:line="264" w:lineRule="auto"/>
              <w:ind w:firstLine="0"/>
              <w:rPr>
                <w:rFonts w:ascii="Arial" w:hAnsi="Arial" w:cs="Arial"/>
                <w:szCs w:val="28"/>
                <w:lang w:val="uk-UA"/>
              </w:rPr>
            </w:pPr>
            <w:r w:rsidRPr="00511005">
              <w:rPr>
                <w:rFonts w:ascii="Arial" w:hAnsi="Arial" w:cs="Arial"/>
                <w:szCs w:val="28"/>
                <w:lang w:val="uk-UA"/>
              </w:rPr>
              <w:t>5</w:t>
            </w:r>
          </w:p>
        </w:tc>
      </w:tr>
      <w:tr w:rsidR="00532C25" w:rsidRPr="00511005" w14:paraId="163C7022" w14:textId="77777777" w:rsidTr="006E3306">
        <w:tc>
          <w:tcPr>
            <w:tcW w:w="2477" w:type="dxa"/>
          </w:tcPr>
          <w:p w14:paraId="5275DFAD"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Користувач С</w:t>
            </w:r>
          </w:p>
        </w:tc>
        <w:tc>
          <w:tcPr>
            <w:tcW w:w="2478" w:type="dxa"/>
          </w:tcPr>
          <w:p w14:paraId="0F12D707"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0</w:t>
            </w:r>
          </w:p>
        </w:tc>
        <w:tc>
          <w:tcPr>
            <w:tcW w:w="2478" w:type="dxa"/>
          </w:tcPr>
          <w:p w14:paraId="60CFDF96" w14:textId="77777777" w:rsidR="00532C25" w:rsidRPr="00511005" w:rsidRDefault="00532C25" w:rsidP="006E3306">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2</w:t>
            </w:r>
          </w:p>
        </w:tc>
        <w:tc>
          <w:tcPr>
            <w:tcW w:w="2478" w:type="dxa"/>
          </w:tcPr>
          <w:p w14:paraId="21C1789A" w14:textId="77777777" w:rsidR="00532C25" w:rsidRPr="00511005" w:rsidRDefault="00532C25" w:rsidP="006E3306">
            <w:pPr>
              <w:keepNext/>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3</w:t>
            </w:r>
          </w:p>
        </w:tc>
      </w:tr>
    </w:tbl>
    <w:p w14:paraId="27A68711" w14:textId="77777777" w:rsidR="00532C25" w:rsidRPr="00511005" w:rsidRDefault="00532C25" w:rsidP="00532C25">
      <w:pPr>
        <w:spacing w:line="264" w:lineRule="auto"/>
        <w:ind w:firstLine="0"/>
        <w:rPr>
          <w:rFonts w:ascii="Arial" w:eastAsia="Calibri" w:hAnsi="Arial" w:cs="Arial"/>
          <w:i/>
          <w:iCs/>
          <w:szCs w:val="28"/>
          <w:lang w:val="uk-UA"/>
        </w:rPr>
      </w:pPr>
      <w:r w:rsidRPr="00511005">
        <w:rPr>
          <w:rFonts w:ascii="Arial" w:eastAsia="Calibri" w:hAnsi="Arial" w:cs="Arial"/>
          <w:i/>
          <w:iCs/>
          <w:szCs w:val="28"/>
        </w:rPr>
        <w:t xml:space="preserve">Табл. </w:t>
      </w:r>
      <w:r w:rsidRPr="00511005">
        <w:rPr>
          <w:rFonts w:ascii="Arial" w:eastAsia="Calibri" w:hAnsi="Arial" w:cs="Arial"/>
          <w:i/>
          <w:iCs/>
          <w:szCs w:val="28"/>
        </w:rPr>
        <w:fldChar w:fldCharType="begin"/>
      </w:r>
      <w:r w:rsidRPr="00511005">
        <w:rPr>
          <w:rFonts w:ascii="Arial" w:eastAsia="Calibri" w:hAnsi="Arial" w:cs="Arial"/>
          <w:i/>
          <w:iCs/>
          <w:szCs w:val="28"/>
        </w:rPr>
        <w:instrText xml:space="preserve"> SEQ Табл. \* ARABIC </w:instrText>
      </w:r>
      <w:r w:rsidRPr="00511005">
        <w:rPr>
          <w:rFonts w:ascii="Arial" w:eastAsia="Calibri" w:hAnsi="Arial" w:cs="Arial"/>
          <w:i/>
          <w:iCs/>
          <w:szCs w:val="28"/>
        </w:rPr>
        <w:fldChar w:fldCharType="separate"/>
      </w:r>
      <w:r>
        <w:rPr>
          <w:rFonts w:ascii="Arial" w:eastAsia="Calibri" w:hAnsi="Arial" w:cs="Arial"/>
          <w:i/>
          <w:iCs/>
          <w:noProof/>
          <w:szCs w:val="28"/>
        </w:rPr>
        <w:t>1</w:t>
      </w:r>
      <w:r w:rsidRPr="00511005">
        <w:rPr>
          <w:rFonts w:ascii="Arial" w:eastAsia="Calibri" w:hAnsi="Arial" w:cs="Arial"/>
          <w:i/>
          <w:iCs/>
          <w:noProof/>
          <w:szCs w:val="28"/>
        </w:rPr>
        <w:fldChar w:fldCharType="end"/>
      </w:r>
      <w:r w:rsidRPr="00511005">
        <w:rPr>
          <w:rFonts w:ascii="Arial" w:eastAsia="Calibri" w:hAnsi="Arial" w:cs="Arial"/>
          <w:i/>
          <w:iCs/>
          <w:szCs w:val="28"/>
          <w:lang w:val="uk-UA"/>
        </w:rPr>
        <w:t xml:space="preserve"> Оцінки фільмів від користувачів</w:t>
      </w:r>
    </w:p>
    <w:p w14:paraId="3A98724A"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Користувач А оцінив Фільм А на 5. Фільм В на 3, Фільм С на 4;</w:t>
      </w:r>
    </w:p>
    <w:p w14:paraId="056555EE"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Користувач В оцінив Фільм А на 4, Фільм В на 0 (не дивився), Фільм С на 5;</w:t>
      </w:r>
    </w:p>
    <w:p w14:paraId="1B9E4529"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Запишемо цю інформацію за допомогою матриць:</w:t>
      </w:r>
    </w:p>
    <w:p w14:paraId="21CFE421" w14:textId="77777777" w:rsidR="00532C25" w:rsidRPr="00511005" w:rsidRDefault="005938AD" w:rsidP="00532C25">
      <w:pPr>
        <w:spacing w:line="264" w:lineRule="auto"/>
        <w:ind w:firstLine="0"/>
        <w:jc w:val="center"/>
        <w:rPr>
          <w:rFonts w:ascii="Arial" w:eastAsia="Times New Roman" w:hAnsi="Arial" w:cs="Arial"/>
          <w:szCs w:val="28"/>
          <w:lang w:val="en-US"/>
        </w:rPr>
      </w:pPr>
      <m:oMath>
        <m:sSub>
          <m:sSubPr>
            <m:ctrlPr>
              <w:rPr>
                <w:rFonts w:ascii="Cambria Math" w:eastAsia="Calibri" w:hAnsi="Cambria Math" w:cs="Arial"/>
                <w:i/>
                <w:szCs w:val="28"/>
                <w:lang w:val="en-US"/>
              </w:rPr>
            </m:ctrlPr>
          </m:sSubPr>
          <m:e>
            <m:r>
              <w:rPr>
                <w:rFonts w:ascii="Cambria Math" w:eastAsia="Calibri" w:hAnsi="Cambria Math" w:cs="Arial"/>
                <w:szCs w:val="28"/>
                <w:lang w:val="en-US"/>
              </w:rPr>
              <m:t>U</m:t>
            </m:r>
          </m:e>
          <m:sub>
            <m:r>
              <w:rPr>
                <w:rFonts w:ascii="Cambria Math" w:eastAsia="Calibri" w:hAnsi="Cambria Math" w:cs="Arial"/>
                <w:szCs w:val="28"/>
                <w:lang w:val="en-US"/>
              </w:rPr>
              <m:t>A</m:t>
            </m:r>
          </m:sub>
        </m:sSub>
        <m:r>
          <w:rPr>
            <w:rFonts w:ascii="Cambria Math" w:eastAsia="Calibri" w:hAnsi="Cambria Math" w:cs="Arial"/>
            <w:szCs w:val="28"/>
            <w:lang w:val="en-US"/>
          </w:rPr>
          <m:t xml:space="preserve">= </m:t>
        </m:r>
        <m:d>
          <m:dPr>
            <m:ctrlPr>
              <w:rPr>
                <w:rFonts w:ascii="Cambria Math" w:eastAsia="Calibri" w:hAnsi="Cambria Math" w:cs="Arial"/>
                <w:i/>
                <w:szCs w:val="28"/>
                <w:lang w:val="en-US"/>
              </w:rPr>
            </m:ctrlPr>
          </m:dPr>
          <m:e>
            <m:m>
              <m:mPr>
                <m:mcs>
                  <m:mc>
                    <m:mcPr>
                      <m:count m:val="1"/>
                      <m:mcJc m:val="center"/>
                    </m:mcPr>
                  </m:mc>
                </m:mcs>
                <m:ctrlPr>
                  <w:rPr>
                    <w:rFonts w:ascii="Cambria Math" w:eastAsia="Calibri" w:hAnsi="Cambria Math" w:cs="Arial"/>
                    <w:i/>
                    <w:szCs w:val="28"/>
                    <w:lang w:val="en-US"/>
                  </w:rPr>
                </m:ctrlPr>
              </m:mPr>
              <m:mr>
                <m:e>
                  <m:r>
                    <w:rPr>
                      <w:rFonts w:ascii="Cambria Math" w:eastAsia="Calibri" w:hAnsi="Cambria Math" w:cs="Arial"/>
                      <w:szCs w:val="28"/>
                      <w:lang w:val="en-US"/>
                    </w:rPr>
                    <m:t>5</m:t>
                  </m:r>
                </m:e>
              </m:mr>
              <m:mr>
                <m:e>
                  <m:r>
                    <w:rPr>
                      <w:rFonts w:ascii="Cambria Math" w:eastAsia="Calibri" w:hAnsi="Cambria Math" w:cs="Arial"/>
                      <w:szCs w:val="28"/>
                      <w:lang w:val="en-US"/>
                    </w:rPr>
                    <m:t>3</m:t>
                  </m:r>
                </m:e>
              </m:mr>
              <m:mr>
                <m:e>
                  <m:r>
                    <w:rPr>
                      <w:rFonts w:ascii="Cambria Math" w:eastAsia="Calibri" w:hAnsi="Cambria Math" w:cs="Arial"/>
                      <w:szCs w:val="28"/>
                      <w:lang w:val="en-US"/>
                    </w:rPr>
                    <m:t>4</m:t>
                  </m:r>
                </m:e>
              </m:mr>
            </m:m>
          </m:e>
        </m:d>
      </m:oMath>
      <w:r w:rsidR="00532C25" w:rsidRPr="00511005">
        <w:rPr>
          <w:rFonts w:ascii="Arial" w:eastAsia="Times New Roman" w:hAnsi="Arial" w:cs="Arial"/>
          <w:szCs w:val="28"/>
          <w:lang w:val="en-US"/>
        </w:rPr>
        <w:tab/>
      </w:r>
      <w:r w:rsidR="00532C25" w:rsidRPr="00511005">
        <w:rPr>
          <w:rFonts w:ascii="Arial" w:eastAsia="Times New Roman" w:hAnsi="Arial" w:cs="Arial"/>
          <w:szCs w:val="28"/>
          <w:lang w:val="en-US"/>
        </w:rPr>
        <w:tab/>
      </w:r>
      <m:oMath>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U</m:t>
            </m:r>
          </m:e>
          <m:sub>
            <m:r>
              <w:rPr>
                <w:rFonts w:ascii="Cambria Math" w:eastAsia="Times New Roman" w:hAnsi="Cambria Math" w:cs="Arial"/>
                <w:szCs w:val="28"/>
                <w:lang w:val="en-US"/>
              </w:rPr>
              <m:t>B</m:t>
            </m:r>
          </m:sub>
        </m:sSub>
        <m:r>
          <w:rPr>
            <w:rFonts w:ascii="Cambria Math" w:eastAsia="Times New Roman" w:hAnsi="Cambria Math" w:cs="Arial"/>
            <w:szCs w:val="28"/>
            <w:lang w:val="en-US"/>
          </w:rPr>
          <m:t xml:space="preserve">= </m:t>
        </m:r>
        <m:d>
          <m:dPr>
            <m:ctrlPr>
              <w:rPr>
                <w:rFonts w:ascii="Cambria Math" w:eastAsia="Times New Roman" w:hAnsi="Cambria Math" w:cs="Arial"/>
                <w:i/>
                <w:szCs w:val="28"/>
                <w:lang w:val="en-US"/>
              </w:rPr>
            </m:ctrlPr>
          </m:dPr>
          <m:e>
            <m:m>
              <m:mPr>
                <m:mcs>
                  <m:mc>
                    <m:mcPr>
                      <m:count m:val="1"/>
                      <m:mcJc m:val="center"/>
                    </m:mcPr>
                  </m:mc>
                </m:mcs>
                <m:ctrlPr>
                  <w:rPr>
                    <w:rFonts w:ascii="Cambria Math" w:eastAsia="Times New Roman" w:hAnsi="Cambria Math" w:cs="Arial"/>
                    <w:i/>
                    <w:szCs w:val="28"/>
                    <w:lang w:val="en-US"/>
                  </w:rPr>
                </m:ctrlPr>
              </m:mPr>
              <m:mr>
                <m:e>
                  <m:r>
                    <w:rPr>
                      <w:rFonts w:ascii="Cambria Math" w:eastAsia="Times New Roman" w:hAnsi="Cambria Math" w:cs="Arial"/>
                      <w:szCs w:val="28"/>
                      <w:lang w:val="en-US"/>
                    </w:rPr>
                    <m:t>4</m:t>
                  </m:r>
                </m:e>
              </m:mr>
              <m:mr>
                <m:e>
                  <m:r>
                    <w:rPr>
                      <w:rFonts w:ascii="Cambria Math" w:eastAsia="Times New Roman" w:hAnsi="Cambria Math" w:cs="Arial"/>
                      <w:szCs w:val="28"/>
                      <w:lang w:val="en-US"/>
                    </w:rPr>
                    <m:t>0</m:t>
                  </m:r>
                </m:e>
              </m:mr>
              <m:mr>
                <m:e>
                  <m:r>
                    <w:rPr>
                      <w:rFonts w:ascii="Cambria Math" w:eastAsia="Times New Roman" w:hAnsi="Cambria Math" w:cs="Arial"/>
                      <w:szCs w:val="28"/>
                      <w:lang w:val="en-US"/>
                    </w:rPr>
                    <m:t>5</m:t>
                  </m:r>
                </m:e>
              </m:mr>
            </m:m>
          </m:e>
        </m:d>
      </m:oMath>
    </w:p>
    <w:p w14:paraId="3F6F7C3D"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Згадаємо формулу скалярного добутку векторів та звідти отримаємо косинус кута між двома векторами:</w:t>
      </w:r>
      <w:r w:rsidRPr="00511005">
        <w:rPr>
          <w:rFonts w:ascii="Arial" w:eastAsia="Times New Roman" w:hAnsi="Arial" w:cs="Arial"/>
          <w:szCs w:val="28"/>
          <w:lang w:val="uk-UA"/>
        </w:rPr>
        <w:tab/>
      </w:r>
      <m:oMath>
        <m:acc>
          <m:accPr>
            <m:chr m:val="⃗"/>
            <m:ctrlPr>
              <w:rPr>
                <w:rFonts w:ascii="Cambria Math" w:eastAsia="Times New Roman" w:hAnsi="Cambria Math" w:cs="Arial"/>
                <w:i/>
                <w:szCs w:val="28"/>
                <w:lang w:val="uk-UA"/>
              </w:rPr>
            </m:ctrlPr>
          </m:accPr>
          <m:e>
            <m:r>
              <w:rPr>
                <w:rFonts w:ascii="Cambria Math" w:eastAsia="Times New Roman" w:hAnsi="Cambria Math" w:cs="Arial"/>
                <w:szCs w:val="28"/>
                <w:lang w:val="en-US"/>
              </w:rPr>
              <m:t>a</m:t>
            </m:r>
          </m:e>
        </m:acc>
        <m:r>
          <w:rPr>
            <w:rFonts w:ascii="Cambria Math" w:eastAsia="Times New Roman" w:hAnsi="Cambria Math" w:cs="Arial"/>
            <w:szCs w:val="28"/>
            <w:lang w:val="uk-UA"/>
          </w:rPr>
          <m:t>⋅</m:t>
        </m:r>
        <m:acc>
          <m:accPr>
            <m:chr m:val="⃗"/>
            <m:ctrlPr>
              <w:rPr>
                <w:rFonts w:ascii="Cambria Math" w:eastAsia="Times New Roman" w:hAnsi="Cambria Math" w:cs="Arial"/>
                <w:i/>
                <w:szCs w:val="28"/>
                <w:lang w:val="uk-UA"/>
              </w:rPr>
            </m:ctrlPr>
          </m:accPr>
          <m:e>
            <m:r>
              <w:rPr>
                <w:rFonts w:ascii="Cambria Math" w:eastAsia="Times New Roman" w:hAnsi="Cambria Math" w:cs="Arial"/>
                <w:szCs w:val="28"/>
                <w:lang w:val="uk-UA"/>
              </w:rPr>
              <m:t>b</m:t>
            </m:r>
          </m:e>
        </m:acc>
        <m:r>
          <w:rPr>
            <w:rFonts w:ascii="Cambria Math" w:eastAsia="Times New Roman" w:hAnsi="Cambria Math" w:cs="Arial"/>
            <w:szCs w:val="28"/>
            <w:lang w:val="uk-UA"/>
          </w:rPr>
          <m:t>=</m:t>
        </m:r>
        <m:d>
          <m:dPr>
            <m:begChr m:val="|"/>
            <m:endChr m:val="|"/>
            <m:ctrlPr>
              <w:rPr>
                <w:rFonts w:ascii="Cambria Math" w:eastAsia="Times New Roman" w:hAnsi="Cambria Math" w:cs="Arial"/>
                <w:i/>
                <w:szCs w:val="28"/>
                <w:lang w:val="en-US"/>
              </w:rPr>
            </m:ctrlPr>
          </m:dPr>
          <m:e>
            <m:acc>
              <m:accPr>
                <m:chr m:val="⃗"/>
                <m:ctrlPr>
                  <w:rPr>
                    <w:rFonts w:ascii="Cambria Math" w:eastAsia="Times New Roman" w:hAnsi="Cambria Math" w:cs="Arial"/>
                    <w:i/>
                    <w:szCs w:val="28"/>
                    <w:lang w:val="uk-UA"/>
                  </w:rPr>
                </m:ctrlPr>
              </m:accPr>
              <m:e>
                <m:r>
                  <w:rPr>
                    <w:rFonts w:ascii="Cambria Math" w:eastAsia="Times New Roman" w:hAnsi="Cambria Math" w:cs="Arial"/>
                    <w:szCs w:val="28"/>
                    <w:lang w:val="en-US"/>
                  </w:rPr>
                  <m:t>a</m:t>
                </m:r>
              </m:e>
            </m:acc>
          </m:e>
        </m:d>
        <m:d>
          <m:dPr>
            <m:begChr m:val="|"/>
            <m:endChr m:val="|"/>
            <m:ctrlPr>
              <w:rPr>
                <w:rFonts w:ascii="Cambria Math" w:eastAsia="Times New Roman" w:hAnsi="Cambria Math" w:cs="Arial"/>
                <w:i/>
                <w:szCs w:val="28"/>
                <w:lang w:val="en-US"/>
              </w:rPr>
            </m:ctrlPr>
          </m:dPr>
          <m:e>
            <m:acc>
              <m:accPr>
                <m:chr m:val="⃗"/>
                <m:ctrlPr>
                  <w:rPr>
                    <w:rFonts w:ascii="Cambria Math" w:eastAsia="Times New Roman" w:hAnsi="Cambria Math" w:cs="Arial"/>
                    <w:i/>
                    <w:szCs w:val="28"/>
                    <w:lang w:val="uk-UA"/>
                  </w:rPr>
                </m:ctrlPr>
              </m:accPr>
              <m:e>
                <m:r>
                  <w:rPr>
                    <w:rFonts w:ascii="Cambria Math" w:eastAsia="Times New Roman" w:hAnsi="Cambria Math" w:cs="Arial"/>
                    <w:szCs w:val="28"/>
                    <w:lang w:val="uk-UA"/>
                  </w:rPr>
                  <m:t>b</m:t>
                </m:r>
              </m:e>
            </m:acc>
          </m:e>
        </m:d>
        <m:func>
          <m:funcPr>
            <m:ctrlPr>
              <w:rPr>
                <w:rFonts w:ascii="Cambria Math" w:eastAsia="Times New Roman" w:hAnsi="Cambria Math" w:cs="Arial"/>
                <w:i/>
                <w:szCs w:val="28"/>
                <w:lang w:val="en-US"/>
              </w:rPr>
            </m:ctrlPr>
          </m:funcPr>
          <m:fName>
            <m:r>
              <m:rPr>
                <m:sty m:val="p"/>
              </m:rPr>
              <w:rPr>
                <w:rFonts w:ascii="Cambria Math" w:eastAsia="Calibri" w:hAnsi="Cambria Math" w:cs="Arial"/>
                <w:szCs w:val="28"/>
                <w:lang w:val="en-US"/>
              </w:rPr>
              <m:t>cos</m:t>
            </m:r>
          </m:fName>
          <m:e>
            <m:r>
              <w:rPr>
                <w:rFonts w:ascii="Cambria Math" w:eastAsia="Times New Roman" w:hAnsi="Cambria Math" w:cs="Arial"/>
                <w:szCs w:val="28"/>
                <w:lang w:val="en-US"/>
              </w:rPr>
              <m:t>φ</m:t>
            </m:r>
            <m:r>
              <w:rPr>
                <w:rFonts w:ascii="Cambria Math" w:eastAsia="Times New Roman" w:hAnsi="Cambria Math" w:cs="Arial"/>
                <w:szCs w:val="28"/>
                <w:lang w:val="uk-UA"/>
              </w:rPr>
              <m:t>→</m:t>
            </m:r>
            <m:func>
              <m:funcPr>
                <m:ctrlPr>
                  <w:rPr>
                    <w:rFonts w:ascii="Cambria Math" w:eastAsia="Times New Roman" w:hAnsi="Cambria Math" w:cs="Arial"/>
                    <w:i/>
                    <w:szCs w:val="28"/>
                    <w:lang w:val="en-US"/>
                  </w:rPr>
                </m:ctrlPr>
              </m:funcPr>
              <m:fName>
                <m:r>
                  <m:rPr>
                    <m:sty m:val="p"/>
                  </m:rPr>
                  <w:rPr>
                    <w:rFonts w:ascii="Cambria Math" w:eastAsia="Calibri" w:hAnsi="Cambria Math" w:cs="Arial"/>
                    <w:szCs w:val="28"/>
                    <w:lang w:val="en-US"/>
                  </w:rPr>
                  <m:t>cos</m:t>
                </m:r>
              </m:fName>
              <m:e>
                <m:r>
                  <w:rPr>
                    <w:rFonts w:ascii="Cambria Math" w:eastAsia="Times New Roman" w:hAnsi="Cambria Math" w:cs="Arial"/>
                    <w:szCs w:val="28"/>
                    <w:lang w:val="en-US"/>
                  </w:rPr>
                  <m:t>φ</m:t>
                </m:r>
                <m:r>
                  <w:rPr>
                    <w:rFonts w:ascii="Cambria Math" w:eastAsia="Times New Roman" w:hAnsi="Cambria Math" w:cs="Arial"/>
                    <w:szCs w:val="28"/>
                    <w:lang w:val="uk-UA"/>
                  </w:rPr>
                  <m:t xml:space="preserve">= </m:t>
                </m:r>
                <m:f>
                  <m:fPr>
                    <m:ctrlPr>
                      <w:rPr>
                        <w:rFonts w:ascii="Cambria Math" w:eastAsia="Times New Roman" w:hAnsi="Cambria Math" w:cs="Arial"/>
                        <w:i/>
                        <w:szCs w:val="28"/>
                        <w:lang w:val="en-US"/>
                      </w:rPr>
                    </m:ctrlPr>
                  </m:fPr>
                  <m:num>
                    <m:acc>
                      <m:accPr>
                        <m:chr m:val="⃗"/>
                        <m:ctrlPr>
                          <w:rPr>
                            <w:rFonts w:ascii="Cambria Math" w:eastAsia="Times New Roman" w:hAnsi="Cambria Math" w:cs="Arial"/>
                            <w:i/>
                            <w:szCs w:val="28"/>
                            <w:lang w:val="uk-UA"/>
                          </w:rPr>
                        </m:ctrlPr>
                      </m:accPr>
                      <m:e>
                        <m:r>
                          <w:rPr>
                            <w:rFonts w:ascii="Cambria Math" w:eastAsia="Times New Roman" w:hAnsi="Cambria Math" w:cs="Arial"/>
                            <w:szCs w:val="28"/>
                            <w:lang w:val="en-US"/>
                          </w:rPr>
                          <m:t>a</m:t>
                        </m:r>
                      </m:e>
                    </m:acc>
                    <m:r>
                      <w:rPr>
                        <w:rFonts w:ascii="Cambria Math" w:eastAsia="Times New Roman" w:hAnsi="Cambria Math" w:cs="Arial"/>
                        <w:szCs w:val="28"/>
                        <w:lang w:val="uk-UA"/>
                      </w:rPr>
                      <m:t>⋅</m:t>
                    </m:r>
                    <m:acc>
                      <m:accPr>
                        <m:chr m:val="⃗"/>
                        <m:ctrlPr>
                          <w:rPr>
                            <w:rFonts w:ascii="Cambria Math" w:eastAsia="Times New Roman" w:hAnsi="Cambria Math" w:cs="Arial"/>
                            <w:i/>
                            <w:szCs w:val="28"/>
                            <w:lang w:val="uk-UA"/>
                          </w:rPr>
                        </m:ctrlPr>
                      </m:accPr>
                      <m:e>
                        <m:r>
                          <w:rPr>
                            <w:rFonts w:ascii="Cambria Math" w:eastAsia="Times New Roman" w:hAnsi="Cambria Math" w:cs="Arial"/>
                            <w:szCs w:val="28"/>
                            <w:lang w:val="uk-UA"/>
                          </w:rPr>
                          <m:t>b</m:t>
                        </m:r>
                      </m:e>
                    </m:acc>
                  </m:num>
                  <m:den>
                    <m:d>
                      <m:dPr>
                        <m:begChr m:val="|"/>
                        <m:endChr m:val="|"/>
                        <m:ctrlPr>
                          <w:rPr>
                            <w:rFonts w:ascii="Cambria Math" w:eastAsia="Times New Roman" w:hAnsi="Cambria Math" w:cs="Arial"/>
                            <w:i/>
                            <w:szCs w:val="28"/>
                            <w:lang w:val="en-US"/>
                          </w:rPr>
                        </m:ctrlPr>
                      </m:dPr>
                      <m:e>
                        <m:acc>
                          <m:accPr>
                            <m:chr m:val="⃗"/>
                            <m:ctrlPr>
                              <w:rPr>
                                <w:rFonts w:ascii="Cambria Math" w:eastAsia="Times New Roman" w:hAnsi="Cambria Math" w:cs="Arial"/>
                                <w:i/>
                                <w:szCs w:val="28"/>
                                <w:lang w:val="uk-UA"/>
                              </w:rPr>
                            </m:ctrlPr>
                          </m:accPr>
                          <m:e>
                            <m:r>
                              <w:rPr>
                                <w:rFonts w:ascii="Cambria Math" w:eastAsia="Times New Roman" w:hAnsi="Cambria Math" w:cs="Arial"/>
                                <w:szCs w:val="28"/>
                                <w:lang w:val="en-US"/>
                              </w:rPr>
                              <m:t>a</m:t>
                            </m:r>
                          </m:e>
                        </m:acc>
                      </m:e>
                    </m:d>
                    <m:d>
                      <m:dPr>
                        <m:begChr m:val="|"/>
                        <m:endChr m:val="|"/>
                        <m:ctrlPr>
                          <w:rPr>
                            <w:rFonts w:ascii="Cambria Math" w:eastAsia="Times New Roman" w:hAnsi="Cambria Math" w:cs="Arial"/>
                            <w:i/>
                            <w:szCs w:val="28"/>
                            <w:lang w:val="en-US"/>
                          </w:rPr>
                        </m:ctrlPr>
                      </m:dPr>
                      <m:e>
                        <m:acc>
                          <m:accPr>
                            <m:chr m:val="⃗"/>
                            <m:ctrlPr>
                              <w:rPr>
                                <w:rFonts w:ascii="Cambria Math" w:eastAsia="Times New Roman" w:hAnsi="Cambria Math" w:cs="Arial"/>
                                <w:i/>
                                <w:szCs w:val="28"/>
                                <w:lang w:val="uk-UA"/>
                              </w:rPr>
                            </m:ctrlPr>
                          </m:accPr>
                          <m:e>
                            <m:r>
                              <w:rPr>
                                <w:rFonts w:ascii="Cambria Math" w:eastAsia="Times New Roman" w:hAnsi="Cambria Math" w:cs="Arial"/>
                                <w:szCs w:val="28"/>
                                <w:lang w:val="uk-UA"/>
                              </w:rPr>
                              <m:t>b</m:t>
                            </m:r>
                          </m:e>
                        </m:acc>
                      </m:e>
                    </m:d>
                  </m:den>
                </m:f>
                <m:r>
                  <w:rPr>
                    <w:rFonts w:ascii="Cambria Math" w:eastAsia="Times New Roman" w:hAnsi="Cambria Math" w:cs="Arial"/>
                    <w:szCs w:val="28"/>
                    <w:lang w:val="uk-UA"/>
                  </w:rPr>
                  <m:t xml:space="preserve"> </m:t>
                </m:r>
              </m:e>
            </m:func>
            <m:r>
              <w:rPr>
                <w:rFonts w:ascii="Cambria Math" w:eastAsia="Times New Roman" w:hAnsi="Cambria Math" w:cs="Arial"/>
                <w:szCs w:val="28"/>
                <w:lang w:val="uk-UA"/>
              </w:rPr>
              <m:t xml:space="preserve"> </m:t>
            </m:r>
          </m:e>
        </m:func>
      </m:oMath>
    </w:p>
    <w:p w14:paraId="32FDF71E"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Calibri" w:hAnsi="Arial" w:cs="Arial"/>
          <w:szCs w:val="28"/>
          <w:lang w:val="uk-UA"/>
        </w:rPr>
        <w:t xml:space="preserve">Використавши формулу, знайдемо косинус кута між векторами </w:t>
      </w:r>
      <m:oMath>
        <m:sSub>
          <m:sSubPr>
            <m:ctrlPr>
              <w:rPr>
                <w:rFonts w:ascii="Cambria Math" w:eastAsia="Calibri" w:hAnsi="Cambria Math" w:cs="Arial"/>
                <w:i/>
                <w:szCs w:val="28"/>
                <w:lang w:val="en-US"/>
              </w:rPr>
            </m:ctrlPr>
          </m:sSubPr>
          <m:e>
            <m:r>
              <w:rPr>
                <w:rFonts w:ascii="Cambria Math" w:eastAsia="Calibri" w:hAnsi="Cambria Math" w:cs="Arial"/>
                <w:szCs w:val="28"/>
                <w:lang w:val="en-US"/>
              </w:rPr>
              <m:t>U</m:t>
            </m:r>
          </m:e>
          <m:sub>
            <m:r>
              <w:rPr>
                <w:rFonts w:ascii="Cambria Math" w:eastAsia="Calibri" w:hAnsi="Cambria Math" w:cs="Arial"/>
                <w:szCs w:val="28"/>
                <w:lang w:val="en-US"/>
              </w:rPr>
              <m:t>A</m:t>
            </m:r>
          </m:sub>
        </m:sSub>
      </m:oMath>
      <w:r w:rsidRPr="00511005">
        <w:rPr>
          <w:rFonts w:ascii="Arial" w:eastAsia="Times New Roman" w:hAnsi="Arial" w:cs="Arial"/>
          <w:szCs w:val="28"/>
          <w:lang w:val="uk-UA"/>
        </w:rPr>
        <w:t xml:space="preserve"> та </w:t>
      </w:r>
      <m:oMath>
        <m:sSub>
          <m:sSubPr>
            <m:ctrlPr>
              <w:rPr>
                <w:rFonts w:ascii="Cambria Math" w:eastAsia="Times New Roman" w:hAnsi="Cambria Math" w:cs="Arial"/>
                <w:i/>
                <w:szCs w:val="28"/>
                <w:lang w:val="en-US"/>
              </w:rPr>
            </m:ctrlPr>
          </m:sSubPr>
          <m:e>
            <m:r>
              <w:rPr>
                <w:rFonts w:ascii="Cambria Math" w:eastAsia="Times New Roman" w:hAnsi="Cambria Math" w:cs="Arial"/>
                <w:szCs w:val="28"/>
                <w:lang w:val="en-US"/>
              </w:rPr>
              <m:t>U</m:t>
            </m:r>
          </m:e>
          <m:sub>
            <m:r>
              <w:rPr>
                <w:rFonts w:ascii="Cambria Math" w:eastAsia="Times New Roman" w:hAnsi="Cambria Math" w:cs="Arial"/>
                <w:szCs w:val="28"/>
                <w:lang w:val="en-US"/>
              </w:rPr>
              <m:t>B</m:t>
            </m:r>
          </m:sub>
        </m:sSub>
      </m:oMath>
      <w:r w:rsidRPr="00511005">
        <w:rPr>
          <w:rFonts w:ascii="Arial" w:eastAsia="Times New Roman" w:hAnsi="Arial" w:cs="Arial"/>
          <w:szCs w:val="28"/>
        </w:rPr>
        <w:t>,</w:t>
      </w:r>
      <w:r w:rsidRPr="00511005">
        <w:rPr>
          <w:rFonts w:ascii="Arial" w:eastAsia="Times New Roman" w:hAnsi="Arial" w:cs="Arial"/>
          <w:szCs w:val="28"/>
          <w:lang w:val="uk-UA"/>
        </w:rPr>
        <w:t xml:space="preserve"> отримавши те, наскільки оцінки користувачів повʼязані між собою.</w:t>
      </w:r>
    </w:p>
    <w:p w14:paraId="53FE1443" w14:textId="77777777" w:rsidR="00532C25" w:rsidRPr="00511005" w:rsidRDefault="005938AD" w:rsidP="00532C25">
      <w:pPr>
        <w:spacing w:line="264" w:lineRule="auto"/>
        <w:ind w:firstLine="0"/>
        <w:rPr>
          <w:rFonts w:ascii="Arial" w:eastAsia="Times New Roman" w:hAnsi="Arial" w:cs="Arial"/>
          <w:szCs w:val="28"/>
          <w:lang w:val="uk-UA"/>
        </w:rPr>
      </w:pPr>
      <m:oMathPara>
        <m:oMath>
          <m:func>
            <m:funcPr>
              <m:ctrlPr>
                <w:rPr>
                  <w:rFonts w:ascii="Cambria Math" w:eastAsia="Times New Roman" w:hAnsi="Cambria Math" w:cs="Arial"/>
                  <w:i/>
                  <w:szCs w:val="28"/>
                  <w:lang w:val="uk-UA"/>
                </w:rPr>
              </m:ctrlPr>
            </m:funcPr>
            <m:fName>
              <m:r>
                <m:rPr>
                  <m:sty m:val="p"/>
                </m:rPr>
                <w:rPr>
                  <w:rFonts w:ascii="Cambria Math" w:eastAsia="Calibri" w:hAnsi="Cambria Math" w:cs="Arial"/>
                  <w:szCs w:val="28"/>
                  <w:lang w:val="uk-UA"/>
                </w:rPr>
                <m:t>cos</m:t>
              </m:r>
            </m:fName>
            <m:e>
              <m:r>
                <w:rPr>
                  <w:rFonts w:ascii="Cambria Math" w:eastAsia="Times New Roman" w:hAnsi="Cambria Math" w:cs="Arial"/>
                  <w:szCs w:val="28"/>
                  <w:lang w:val="uk-UA"/>
                </w:rPr>
                <m:t>φ</m:t>
              </m:r>
            </m:e>
          </m:func>
          <m:r>
            <w:rPr>
              <w:rFonts w:ascii="Cambria Math" w:eastAsia="Times New Roman" w:hAnsi="Cambria Math" w:cs="Arial"/>
              <w:szCs w:val="28"/>
              <w:lang w:val="uk-UA"/>
            </w:rPr>
            <m:t xml:space="preserve">= </m:t>
          </m:r>
          <m:f>
            <m:fPr>
              <m:ctrlPr>
                <w:rPr>
                  <w:rFonts w:ascii="Cambria Math" w:eastAsia="Times New Roman" w:hAnsi="Cambria Math" w:cs="Arial"/>
                  <w:i/>
                  <w:szCs w:val="28"/>
                  <w:lang w:val="uk-UA"/>
                </w:rPr>
              </m:ctrlPr>
            </m:fPr>
            <m:num>
              <m:r>
                <w:rPr>
                  <w:rFonts w:ascii="Cambria Math" w:eastAsia="Times New Roman" w:hAnsi="Cambria Math" w:cs="Arial"/>
                  <w:szCs w:val="28"/>
                  <w:lang w:val="uk-UA"/>
                </w:rPr>
                <m:t>40</m:t>
              </m:r>
            </m:num>
            <m:den>
              <m:r>
                <w:rPr>
                  <w:rFonts w:ascii="Cambria Math" w:eastAsia="Times New Roman" w:hAnsi="Cambria Math" w:cs="Arial"/>
                  <w:szCs w:val="28"/>
                  <w:lang w:val="en-GB"/>
                </w:rPr>
                <m:t>5</m:t>
              </m:r>
              <m:rad>
                <m:radPr>
                  <m:degHide m:val="1"/>
                  <m:ctrlPr>
                    <w:rPr>
                      <w:rFonts w:ascii="Cambria Math" w:eastAsia="Times New Roman" w:hAnsi="Cambria Math" w:cs="Arial"/>
                      <w:i/>
                      <w:szCs w:val="28"/>
                    </w:rPr>
                  </m:ctrlPr>
                </m:radPr>
                <m:deg>
                  <m:ctrlPr>
                    <w:rPr>
                      <w:rFonts w:ascii="Cambria Math" w:eastAsia="Times New Roman" w:hAnsi="Cambria Math" w:cs="Arial"/>
                      <w:i/>
                      <w:szCs w:val="28"/>
                      <w:lang w:val="en-GB"/>
                    </w:rPr>
                  </m:ctrlPr>
                </m:deg>
                <m:e>
                  <m:r>
                    <w:rPr>
                      <w:rFonts w:ascii="Cambria Math" w:eastAsia="Times New Roman" w:hAnsi="Cambria Math" w:cs="Arial"/>
                      <w:szCs w:val="28"/>
                      <w:lang w:val="en-GB"/>
                    </w:rPr>
                    <m:t>2</m:t>
                  </m:r>
                </m:e>
              </m:rad>
              <m:r>
                <w:rPr>
                  <w:rFonts w:ascii="Cambria Math" w:eastAsia="Times New Roman" w:hAnsi="Cambria Math" w:cs="Arial"/>
                  <w:szCs w:val="28"/>
                  <w:lang w:val="en-GB"/>
                </w:rPr>
                <m:t>*√41</m:t>
              </m:r>
            </m:den>
          </m:f>
          <m:r>
            <w:rPr>
              <w:rFonts w:ascii="Cambria Math" w:eastAsia="Times New Roman" w:hAnsi="Cambria Math" w:cs="Arial"/>
              <w:szCs w:val="28"/>
              <w:lang w:val="uk-UA"/>
            </w:rPr>
            <m:t xml:space="preserve">≈0.88 </m:t>
          </m:r>
        </m:oMath>
      </m:oMathPara>
    </w:p>
    <w:p w14:paraId="555C2A6D"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Програмно ми можемо визначити, що якщо: </w:t>
      </w:r>
      <m:oMath>
        <m:r>
          <w:rPr>
            <w:rFonts w:ascii="Cambria Math" w:eastAsia="Times New Roman" w:hAnsi="Cambria Math" w:cs="Arial"/>
            <w:szCs w:val="28"/>
            <w:lang w:val="uk-UA"/>
          </w:rPr>
          <m:t>0.85</m:t>
        </m:r>
        <m:func>
          <m:funcPr>
            <m:ctrlPr>
              <w:rPr>
                <w:rFonts w:ascii="Cambria Math" w:eastAsia="Times New Roman" w:hAnsi="Cambria Math" w:cs="Arial"/>
                <w:i/>
                <w:szCs w:val="28"/>
                <w:lang w:val="uk-UA"/>
              </w:rPr>
            </m:ctrlPr>
          </m:funcPr>
          <m:fName>
            <m:r>
              <m:rPr>
                <m:sty m:val="p"/>
              </m:rPr>
              <w:rPr>
                <w:rFonts w:ascii="Cambria Math" w:eastAsia="Calibri" w:hAnsi="Cambria Math" w:cs="Arial"/>
                <w:szCs w:val="28"/>
                <w:lang w:val="uk-UA"/>
              </w:rPr>
              <m:t>≤cos</m:t>
            </m:r>
          </m:fName>
          <m:e>
            <m:r>
              <w:rPr>
                <w:rFonts w:ascii="Cambria Math" w:eastAsia="Times New Roman" w:hAnsi="Cambria Math" w:cs="Arial"/>
                <w:szCs w:val="28"/>
                <w:lang w:val="uk-UA"/>
              </w:rPr>
              <m:t>φ</m:t>
            </m:r>
          </m:e>
        </m:func>
        <m:r>
          <w:rPr>
            <w:rFonts w:ascii="Cambria Math" w:eastAsia="Times New Roman" w:hAnsi="Cambria Math" w:cs="Arial"/>
            <w:szCs w:val="28"/>
            <w:lang w:val="uk-UA"/>
          </w:rPr>
          <m:t xml:space="preserve"> ≤1</m:t>
        </m:r>
      </m:oMath>
      <w:r w:rsidRPr="00511005">
        <w:rPr>
          <w:rFonts w:ascii="Arial" w:eastAsia="Times New Roman" w:hAnsi="Arial" w:cs="Arial"/>
          <w:szCs w:val="28"/>
          <w:lang w:val="uk-UA"/>
        </w:rPr>
        <w:t xml:space="preserve">, тоді ми будемо рекомендувати Користувачу А та Користувачу В ті ж самі фільми. Працюючи </w:t>
      </w:r>
      <w:r w:rsidRPr="00511005">
        <w:rPr>
          <w:rFonts w:ascii="Arial" w:eastAsia="Times New Roman" w:hAnsi="Arial" w:cs="Arial"/>
          <w:szCs w:val="28"/>
          <w:lang w:val="uk-UA"/>
        </w:rPr>
        <w:lastRenderedPageBreak/>
        <w:t>з величезною базою даних з інформацією від користувачів, жанрами, категоріями, віковими обмеженнями, тощо, ми зможемо пов’язати рекомендації фільмів для користувачів. Ідея може бути ускладнена та допрацьована, і реалізувати її можна не тільки з фільмами.</w:t>
      </w:r>
    </w:p>
    <w:p w14:paraId="4BD47A81"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b/>
          <w:szCs w:val="28"/>
          <w:lang w:val="uk-UA"/>
        </w:rPr>
        <w:t xml:space="preserve">Висновок: </w:t>
      </w:r>
      <w:r w:rsidRPr="00511005">
        <w:rPr>
          <w:rFonts w:ascii="Arial" w:eastAsia="Times New Roman" w:hAnsi="Arial" w:cs="Arial"/>
          <w:szCs w:val="28"/>
          <w:lang w:val="uk-UA"/>
        </w:rPr>
        <w:t>Із проаналізованої теми було надано конкретні ідеї , які можливо застосувати у програмуванні з відповідними ілюстраціями, формулами, таблицями та прикладами, де саме це можна використовувати.</w:t>
      </w:r>
    </w:p>
    <w:p w14:paraId="316C77B6" w14:textId="77777777" w:rsidR="00532C25" w:rsidRPr="00511005" w:rsidRDefault="00532C25" w:rsidP="00532C25">
      <w:pPr>
        <w:spacing w:line="264" w:lineRule="auto"/>
        <w:ind w:firstLine="0"/>
        <w:rPr>
          <w:rFonts w:ascii="Arial" w:eastAsia="Times New Roman" w:hAnsi="Arial" w:cs="Arial"/>
          <w:szCs w:val="28"/>
          <w:lang w:val="uk-UA"/>
        </w:rPr>
      </w:pPr>
    </w:p>
    <w:p w14:paraId="29395A95" w14:textId="77777777" w:rsidR="00532C25" w:rsidRPr="00511005" w:rsidRDefault="00532C25" w:rsidP="00532C25">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1854DB53" w14:textId="77777777" w:rsidR="00532C25" w:rsidRPr="00511005" w:rsidRDefault="00532C25" w:rsidP="003F6A5D">
      <w:pPr>
        <w:numPr>
          <w:ilvl w:val="0"/>
          <w:numId w:val="690"/>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Вектор: </w:t>
      </w:r>
      <w:hyperlink r:id="rId2393" w:history="1">
        <w:r w:rsidRPr="00511005">
          <w:rPr>
            <w:rFonts w:ascii="Arial" w:eastAsia="Times New Roman" w:hAnsi="Arial" w:cs="Arial"/>
            <w:szCs w:val="28"/>
            <w:lang w:val="uk-UA"/>
          </w:rPr>
          <w:t>uk.wikipedia.org/wiki/Вектор_(математика)</w:t>
        </w:r>
      </w:hyperlink>
    </w:p>
    <w:p w14:paraId="0A6EC6CA" w14:textId="77777777" w:rsidR="00532C25" w:rsidRPr="00511005" w:rsidRDefault="00532C25" w:rsidP="003F6A5D">
      <w:pPr>
        <w:numPr>
          <w:ilvl w:val="0"/>
          <w:numId w:val="690"/>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Матриця паралельного переносу: </w:t>
      </w:r>
      <w:hyperlink r:id="rId2394" w:history="1">
        <w:r w:rsidRPr="00511005">
          <w:rPr>
            <w:rFonts w:ascii="Arial" w:eastAsia="Times New Roman" w:hAnsi="Arial" w:cs="Arial"/>
            <w:szCs w:val="28"/>
            <w:lang w:val="uk-UA"/>
          </w:rPr>
          <w:t>https://disted.edu.vn.ua/courses/learn/13422</w:t>
        </w:r>
      </w:hyperlink>
    </w:p>
    <w:p w14:paraId="56CCD95F" w14:textId="77777777" w:rsidR="00532C25" w:rsidRPr="00511005" w:rsidRDefault="00532C25" w:rsidP="003F6A5D">
      <w:pPr>
        <w:numPr>
          <w:ilvl w:val="0"/>
          <w:numId w:val="690"/>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Матриця повороту: </w:t>
      </w:r>
      <w:hyperlink r:id="rId2395" w:history="1">
        <w:r w:rsidRPr="00511005">
          <w:rPr>
            <w:rFonts w:ascii="Arial" w:eastAsia="Times New Roman" w:hAnsi="Arial" w:cs="Arial"/>
            <w:szCs w:val="28"/>
            <w:lang w:val="uk-UA"/>
          </w:rPr>
          <w:t>https://docs.godotengine.org/uk/4.x/tutorials/math/matrices_and_transforms.html</w:t>
        </w:r>
      </w:hyperlink>
    </w:p>
    <w:p w14:paraId="0BBBEEE0"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Pr="00511005">
        <w:rPr>
          <w:rFonts w:ascii="Arial" w:eastAsia="Times New Roman" w:hAnsi="Arial" w:cs="Arial"/>
          <w:szCs w:val="28"/>
          <w:lang w:val="uk-UA"/>
        </w:rPr>
        <w:t>вектор, матриця, перетворення, масштабування, поворот, паралельне перенесення, рекомендаційні системи, скалярний добуток.</w:t>
      </w:r>
    </w:p>
    <w:p w14:paraId="43C7C74A" w14:textId="77777777" w:rsidR="00532C25" w:rsidRPr="00511005" w:rsidRDefault="00532C25" w:rsidP="00532C25">
      <w:pPr>
        <w:spacing w:line="264" w:lineRule="auto"/>
        <w:ind w:firstLine="0"/>
        <w:rPr>
          <w:rFonts w:ascii="Arial" w:eastAsia="Times New Roman" w:hAnsi="Arial" w:cs="Arial"/>
          <w:szCs w:val="28"/>
          <w:lang w:val="uk-UA"/>
        </w:rPr>
      </w:pPr>
      <w:r w:rsidRPr="00511005">
        <w:rPr>
          <w:rFonts w:ascii="Arial" w:eastAsia="Times New Roman" w:hAnsi="Arial" w:cs="Arial"/>
          <w:b/>
          <w:i/>
          <w:szCs w:val="28"/>
          <w:lang w:val="en"/>
        </w:rPr>
        <w:t xml:space="preserve">Key words: </w:t>
      </w:r>
      <w:r w:rsidRPr="00511005">
        <w:rPr>
          <w:rFonts w:ascii="Arial" w:eastAsia="Times New Roman" w:hAnsi="Arial" w:cs="Arial"/>
          <w:szCs w:val="28"/>
          <w:lang w:val="en"/>
        </w:rPr>
        <w:t>vector</w:t>
      </w:r>
      <w:r w:rsidRPr="00511005">
        <w:rPr>
          <w:rFonts w:ascii="Arial" w:eastAsia="Times New Roman" w:hAnsi="Arial" w:cs="Arial"/>
          <w:szCs w:val="28"/>
          <w:lang w:val="uk-UA"/>
        </w:rPr>
        <w:t xml:space="preserve">, </w:t>
      </w:r>
      <w:r w:rsidRPr="00511005">
        <w:rPr>
          <w:rFonts w:ascii="Arial" w:eastAsia="Times New Roman" w:hAnsi="Arial" w:cs="Arial"/>
          <w:szCs w:val="28"/>
          <w:lang w:val="en"/>
        </w:rPr>
        <w:t>matrix</w:t>
      </w:r>
      <w:r w:rsidRPr="00511005">
        <w:rPr>
          <w:rFonts w:ascii="Arial" w:eastAsia="Times New Roman" w:hAnsi="Arial" w:cs="Arial"/>
          <w:szCs w:val="28"/>
          <w:lang w:val="uk-UA"/>
        </w:rPr>
        <w:t xml:space="preserve">, </w:t>
      </w:r>
      <w:r w:rsidRPr="00511005">
        <w:rPr>
          <w:rFonts w:ascii="Arial" w:eastAsia="Times New Roman" w:hAnsi="Arial" w:cs="Arial"/>
          <w:szCs w:val="28"/>
          <w:lang w:val="en"/>
        </w:rPr>
        <w:t>transformation</w:t>
      </w:r>
      <w:r w:rsidRPr="00511005">
        <w:rPr>
          <w:rFonts w:ascii="Arial" w:eastAsia="Times New Roman" w:hAnsi="Arial" w:cs="Arial"/>
          <w:szCs w:val="28"/>
          <w:lang w:val="uk-UA"/>
        </w:rPr>
        <w:t xml:space="preserve">, </w:t>
      </w:r>
      <w:r w:rsidRPr="00511005">
        <w:rPr>
          <w:rFonts w:ascii="Arial" w:eastAsia="Times New Roman" w:hAnsi="Arial" w:cs="Arial"/>
          <w:szCs w:val="28"/>
          <w:lang w:val="en"/>
        </w:rPr>
        <w:t>scaling</w:t>
      </w:r>
      <w:r w:rsidRPr="00511005">
        <w:rPr>
          <w:rFonts w:ascii="Arial" w:eastAsia="Times New Roman" w:hAnsi="Arial" w:cs="Arial"/>
          <w:szCs w:val="28"/>
          <w:lang w:val="uk-UA"/>
        </w:rPr>
        <w:t xml:space="preserve">, </w:t>
      </w:r>
      <w:r w:rsidRPr="00511005">
        <w:rPr>
          <w:rFonts w:ascii="Arial" w:eastAsia="Times New Roman" w:hAnsi="Arial" w:cs="Arial"/>
          <w:szCs w:val="28"/>
          <w:lang w:val="en"/>
        </w:rPr>
        <w:t>rotation</w:t>
      </w:r>
      <w:r w:rsidRPr="00511005">
        <w:rPr>
          <w:rFonts w:ascii="Arial" w:eastAsia="Times New Roman" w:hAnsi="Arial" w:cs="Arial"/>
          <w:szCs w:val="28"/>
          <w:lang w:val="uk-UA"/>
        </w:rPr>
        <w:t xml:space="preserve">, </w:t>
      </w:r>
      <w:r w:rsidRPr="00511005">
        <w:rPr>
          <w:rFonts w:ascii="Arial" w:eastAsia="Times New Roman" w:hAnsi="Arial" w:cs="Arial"/>
          <w:szCs w:val="28"/>
          <w:lang w:val="en"/>
        </w:rPr>
        <w:t>parallel</w:t>
      </w:r>
      <w:r w:rsidRPr="00511005">
        <w:rPr>
          <w:rFonts w:ascii="Arial" w:eastAsia="Times New Roman" w:hAnsi="Arial" w:cs="Arial"/>
          <w:szCs w:val="28"/>
          <w:lang w:val="uk-UA"/>
        </w:rPr>
        <w:t xml:space="preserve"> </w:t>
      </w:r>
      <w:r w:rsidRPr="00511005">
        <w:rPr>
          <w:rFonts w:ascii="Arial" w:eastAsia="Times New Roman" w:hAnsi="Arial" w:cs="Arial"/>
          <w:szCs w:val="28"/>
          <w:lang w:val="en"/>
        </w:rPr>
        <w:t>transfer</w:t>
      </w:r>
      <w:r w:rsidRPr="00511005">
        <w:rPr>
          <w:rFonts w:ascii="Arial" w:eastAsia="Times New Roman" w:hAnsi="Arial" w:cs="Arial"/>
          <w:szCs w:val="28"/>
          <w:lang w:val="uk-UA"/>
        </w:rPr>
        <w:t xml:space="preserve">, </w:t>
      </w:r>
      <w:r w:rsidRPr="00511005">
        <w:rPr>
          <w:rFonts w:ascii="Arial" w:eastAsia="Times New Roman" w:hAnsi="Arial" w:cs="Arial"/>
          <w:szCs w:val="28"/>
          <w:lang w:val="en"/>
        </w:rPr>
        <w:t>recommender</w:t>
      </w:r>
      <w:r w:rsidRPr="00511005">
        <w:rPr>
          <w:rFonts w:ascii="Arial" w:eastAsia="Times New Roman" w:hAnsi="Arial" w:cs="Arial"/>
          <w:szCs w:val="28"/>
          <w:lang w:val="uk-UA"/>
        </w:rPr>
        <w:t xml:space="preserve"> </w:t>
      </w:r>
      <w:r w:rsidRPr="00511005">
        <w:rPr>
          <w:rFonts w:ascii="Arial" w:eastAsia="Times New Roman" w:hAnsi="Arial" w:cs="Arial"/>
          <w:szCs w:val="28"/>
          <w:lang w:val="en"/>
        </w:rPr>
        <w:t>systems</w:t>
      </w:r>
      <w:r w:rsidRPr="00511005">
        <w:rPr>
          <w:rFonts w:ascii="Arial" w:eastAsia="Times New Roman" w:hAnsi="Arial" w:cs="Arial"/>
          <w:szCs w:val="28"/>
          <w:lang w:val="uk-UA"/>
        </w:rPr>
        <w:t xml:space="preserve">, </w:t>
      </w:r>
      <w:r w:rsidRPr="00511005">
        <w:rPr>
          <w:rFonts w:ascii="Arial" w:eastAsia="Times New Roman" w:hAnsi="Arial" w:cs="Arial"/>
          <w:szCs w:val="28"/>
          <w:lang w:val="en"/>
        </w:rPr>
        <w:t>scalar</w:t>
      </w:r>
      <w:r w:rsidRPr="00511005">
        <w:rPr>
          <w:rFonts w:ascii="Arial" w:eastAsia="Times New Roman" w:hAnsi="Arial" w:cs="Arial"/>
          <w:szCs w:val="28"/>
          <w:lang w:val="uk-UA"/>
        </w:rPr>
        <w:t xml:space="preserve"> </w:t>
      </w:r>
      <w:r w:rsidRPr="00511005">
        <w:rPr>
          <w:rFonts w:ascii="Arial" w:eastAsia="Times New Roman" w:hAnsi="Arial" w:cs="Arial"/>
          <w:szCs w:val="28"/>
          <w:lang w:val="en"/>
        </w:rPr>
        <w:t>product</w:t>
      </w:r>
      <w:r w:rsidRPr="00511005">
        <w:rPr>
          <w:rFonts w:ascii="Arial" w:eastAsia="Times New Roman" w:hAnsi="Arial" w:cs="Arial"/>
          <w:szCs w:val="28"/>
          <w:lang w:val="uk-UA"/>
        </w:rPr>
        <w:t>.</w:t>
      </w:r>
    </w:p>
    <w:p w14:paraId="62353966" w14:textId="77777777" w:rsidR="00532C25" w:rsidRPr="00511005" w:rsidRDefault="00532C25" w:rsidP="00532C25">
      <w:pPr>
        <w:spacing w:line="264" w:lineRule="auto"/>
        <w:ind w:firstLine="0"/>
        <w:rPr>
          <w:rFonts w:ascii="Arial" w:eastAsia="Times New Roman" w:hAnsi="Arial" w:cs="Arial"/>
          <w:bCs/>
          <w:szCs w:val="28"/>
          <w:lang w:val="uk-UA"/>
        </w:rPr>
      </w:pPr>
      <w:r w:rsidRPr="00511005">
        <w:rPr>
          <w:rFonts w:ascii="Arial" w:eastAsia="Times New Roman" w:hAnsi="Arial" w:cs="Arial"/>
          <w:b/>
          <w:i/>
          <w:szCs w:val="28"/>
          <w:lang w:val="uk-UA"/>
        </w:rPr>
        <w:t xml:space="preserve">Науковий керівник: </w:t>
      </w:r>
      <w:r w:rsidRPr="00511005">
        <w:rPr>
          <w:rFonts w:ascii="Arial" w:eastAsia="Times New Roman" w:hAnsi="Arial" w:cs="Arial"/>
          <w:bCs/>
          <w:szCs w:val="28"/>
          <w:lang w:val="uk-UA"/>
        </w:rPr>
        <w:t>старший викладач Баландіна Н.М.</w:t>
      </w:r>
    </w:p>
    <w:p w14:paraId="2EE7DDE4" w14:textId="77777777" w:rsidR="00532C25" w:rsidRPr="00511005" w:rsidRDefault="00532C25" w:rsidP="00532C25">
      <w:pPr>
        <w:spacing w:line="264" w:lineRule="auto"/>
        <w:ind w:firstLine="0"/>
        <w:rPr>
          <w:rFonts w:ascii="Arial" w:eastAsia="Times New Roman" w:hAnsi="Arial" w:cs="Arial"/>
          <w:szCs w:val="28"/>
        </w:rPr>
      </w:pPr>
    </w:p>
    <w:p w14:paraId="10383385" w14:textId="77777777" w:rsidR="00532C25" w:rsidRPr="00511005" w:rsidRDefault="00532C25" w:rsidP="00532C25">
      <w:pPr>
        <w:spacing w:line="264" w:lineRule="auto"/>
        <w:jc w:val="center"/>
        <w:rPr>
          <w:rFonts w:ascii="Arial" w:eastAsia="Calibri" w:hAnsi="Arial" w:cs="Arial"/>
          <w:b/>
          <w:bCs/>
          <w:i/>
          <w:szCs w:val="28"/>
          <w:lang w:val="uk-UA"/>
        </w:rPr>
      </w:pPr>
      <w:r w:rsidRPr="00511005">
        <w:rPr>
          <w:rFonts w:ascii="Arial" w:eastAsia="Calibri" w:hAnsi="Arial" w:cs="Arial"/>
          <w:b/>
          <w:bCs/>
          <w:i/>
          <w:szCs w:val="28"/>
          <w:lang w:val="uk-UA"/>
        </w:rPr>
        <w:t>Вазіян Анастасія Сергіївна</w:t>
      </w:r>
    </w:p>
    <w:p w14:paraId="571D37ED" w14:textId="77777777" w:rsidR="00532C25" w:rsidRPr="00511005" w:rsidRDefault="00532C25" w:rsidP="00532C25">
      <w:pPr>
        <w:spacing w:line="264" w:lineRule="auto"/>
        <w:jc w:val="center"/>
        <w:rPr>
          <w:rFonts w:ascii="Arial" w:eastAsia="Calibri" w:hAnsi="Arial" w:cs="Arial"/>
          <w:iCs/>
          <w:szCs w:val="28"/>
          <w:lang w:val="uk-UA"/>
        </w:rPr>
      </w:pPr>
      <w:r w:rsidRPr="00511005">
        <w:rPr>
          <w:rFonts w:ascii="Arial" w:eastAsia="Calibri" w:hAnsi="Arial" w:cs="Arial"/>
          <w:iCs/>
          <w:szCs w:val="28"/>
          <w:lang w:val="uk-UA"/>
        </w:rPr>
        <w:t>студентка 1-го курсу факультету судового та міжнародного права</w:t>
      </w:r>
    </w:p>
    <w:p w14:paraId="16F76B4C" w14:textId="77777777" w:rsidR="00532C25" w:rsidRPr="00511005" w:rsidRDefault="00532C25" w:rsidP="00532C25">
      <w:pPr>
        <w:tabs>
          <w:tab w:val="left" w:pos="1134"/>
        </w:tabs>
        <w:spacing w:line="264" w:lineRule="auto"/>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2CDC012D" w14:textId="77777777" w:rsidR="00532C25" w:rsidRPr="00511005" w:rsidRDefault="00532C25" w:rsidP="00532C25">
      <w:pPr>
        <w:tabs>
          <w:tab w:val="left" w:pos="1134"/>
        </w:tabs>
        <w:spacing w:line="264" w:lineRule="auto"/>
        <w:jc w:val="center"/>
        <w:rPr>
          <w:rFonts w:ascii="Arial" w:eastAsia="Calibri" w:hAnsi="Arial" w:cs="Arial"/>
          <w:iCs/>
          <w:szCs w:val="28"/>
          <w:lang w:val="uk-UA"/>
        </w:rPr>
      </w:pPr>
    </w:p>
    <w:p w14:paraId="0F25E887" w14:textId="77777777" w:rsidR="00532C25" w:rsidRPr="00511005" w:rsidRDefault="00532C25" w:rsidP="00532C25">
      <w:pPr>
        <w:keepNext/>
        <w:spacing w:line="264" w:lineRule="auto"/>
        <w:ind w:firstLine="0"/>
        <w:jc w:val="center"/>
        <w:rPr>
          <w:rFonts w:ascii="Arial" w:eastAsia="Times New Roman" w:hAnsi="Arial" w:cs="Arial"/>
          <w:b/>
          <w:kern w:val="28"/>
          <w:szCs w:val="28"/>
          <w:lang w:val="uk-UA"/>
        </w:rPr>
      </w:pPr>
      <w:r w:rsidRPr="00511005">
        <w:rPr>
          <w:rFonts w:ascii="Arial" w:eastAsia="Times New Roman" w:hAnsi="Arial" w:cs="Arial"/>
          <w:b/>
          <w:kern w:val="28"/>
          <w:szCs w:val="28"/>
          <w:lang w:val="uk-UA"/>
        </w:rPr>
        <w:t xml:space="preserve">ПОРУШЕННЯ КОМПАНІЯМИ </w:t>
      </w:r>
      <w:r w:rsidRPr="00511005">
        <w:rPr>
          <w:rFonts w:ascii="Arial" w:eastAsia="Times New Roman" w:hAnsi="Arial" w:cs="Arial"/>
          <w:b/>
          <w:kern w:val="28"/>
          <w:szCs w:val="28"/>
        </w:rPr>
        <w:t>APPLE</w:t>
      </w:r>
      <w:r w:rsidRPr="00511005">
        <w:rPr>
          <w:rFonts w:ascii="Arial" w:eastAsia="Times New Roman" w:hAnsi="Arial" w:cs="Arial"/>
          <w:b/>
          <w:kern w:val="28"/>
          <w:szCs w:val="28"/>
          <w:lang w:val="uk-UA"/>
        </w:rPr>
        <w:t xml:space="preserve"> </w:t>
      </w:r>
      <w:r w:rsidRPr="00511005">
        <w:rPr>
          <w:rFonts w:ascii="Arial" w:eastAsia="Times New Roman" w:hAnsi="Arial" w:cs="Arial"/>
          <w:b/>
          <w:kern w:val="28"/>
          <w:szCs w:val="28"/>
        </w:rPr>
        <w:t>I</w:t>
      </w:r>
      <w:r w:rsidRPr="00511005">
        <w:rPr>
          <w:rFonts w:ascii="Arial" w:eastAsia="Times New Roman" w:hAnsi="Arial" w:cs="Arial"/>
          <w:b/>
          <w:kern w:val="28"/>
          <w:szCs w:val="28"/>
          <w:lang w:val="uk-UA"/>
        </w:rPr>
        <w:t xml:space="preserve"> </w:t>
      </w:r>
      <w:r w:rsidRPr="00511005">
        <w:rPr>
          <w:rFonts w:ascii="Arial" w:eastAsia="Times New Roman" w:hAnsi="Arial" w:cs="Arial"/>
          <w:b/>
          <w:kern w:val="28"/>
          <w:szCs w:val="28"/>
        </w:rPr>
        <w:t>META</w:t>
      </w:r>
      <w:r w:rsidRPr="00511005">
        <w:rPr>
          <w:rFonts w:ascii="Arial" w:eastAsia="Times New Roman" w:hAnsi="Arial" w:cs="Arial"/>
          <w:b/>
          <w:kern w:val="28"/>
          <w:szCs w:val="28"/>
          <w:lang w:val="uk-UA"/>
        </w:rPr>
        <w:br/>
        <w:t>ЗАКОНУ ЄС ПРО ЦИФРОВІ РИНКИ (</w:t>
      </w:r>
      <w:r w:rsidRPr="00511005">
        <w:rPr>
          <w:rFonts w:ascii="Arial" w:eastAsia="Times New Roman" w:hAnsi="Arial" w:cs="Arial"/>
          <w:b/>
          <w:kern w:val="28"/>
          <w:szCs w:val="28"/>
        </w:rPr>
        <w:t>DMA</w:t>
      </w:r>
      <w:r w:rsidRPr="00511005">
        <w:rPr>
          <w:rFonts w:ascii="Arial" w:eastAsia="Times New Roman" w:hAnsi="Arial" w:cs="Arial"/>
          <w:b/>
          <w:kern w:val="28"/>
          <w:szCs w:val="28"/>
          <w:lang w:val="uk-UA"/>
        </w:rPr>
        <w:t>)</w:t>
      </w:r>
    </w:p>
    <w:p w14:paraId="3C5639F7"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У сучасному цифровому середовищі зростання впливу великих технологічних корпорацій викликає дедалі більше занепокоєння у регуляторних органів різних країн світу. З метою забезпечення справедливої конкуренції, рівного доступу до цифрових платформ та захисту прав споживачів, Європейський Союз запровадив нову нормативно-правову базу, що регулює діяльність цифрових гігантів. Одним із ключових елементів цієї системи став Закон про цифрові ринки (Digital Markets Act, скорочено – DMA), який набув чинності у 2023 році [1].</w:t>
      </w:r>
    </w:p>
    <w:p w14:paraId="52FA980A"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 xml:space="preserve">DMA покликаний встановити чіткі правила для так званих «gatekeeper» – великих платформ, що мають значний вплив на внутрішній ринок ЄС, виступають посередниками між бізнесом та споживачами і здатні фактично контролювати доступ до цифрових ринків. До таких компаній зазвичай належать провідні глобальні гравці, які володіють мільйонами активних користувачів і домінують у сфері електронної комерції, мобільних додатків, соціальних мереж чи онлайн-послуг. 6 вересня 2023 року до «gatekeepers» </w:t>
      </w:r>
      <w:r w:rsidRPr="00511005">
        <w:rPr>
          <w:rFonts w:ascii="Arial" w:eastAsia="Calibri" w:hAnsi="Arial" w:cs="Arial"/>
          <w:szCs w:val="28"/>
          <w:lang w:val="uk-UA"/>
        </w:rPr>
        <w:lastRenderedPageBreak/>
        <w:t>були офіційно віднесені: Google (Alphabet), Apple, Amazon, Meta (Facebook), Microsoft, ByteDance (TikTok) [2].</w:t>
      </w:r>
    </w:p>
    <w:p w14:paraId="72A79344"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bCs/>
          <w:szCs w:val="28"/>
          <w:lang w:val="uk-UA"/>
        </w:rPr>
        <w:t>Основна мета DMA</w:t>
      </w:r>
      <w:r w:rsidRPr="00511005">
        <w:rPr>
          <w:rFonts w:ascii="Arial" w:eastAsia="Calibri" w:hAnsi="Arial" w:cs="Arial"/>
          <w:szCs w:val="28"/>
          <w:lang w:val="uk-UA"/>
        </w:rPr>
        <w:t xml:space="preserve"> – запобігти зловживанню ринковою владою та забезпечити відкритість цифрових платформ для бізнесу та інновацій. Закон встановлює низку обов’язків і заборон для платформ, зокрема: заборону нав’язування власних сервісів, зобов’язання надати бізнес-користувачам доступ до даних, можливість вільного інформування користувачів про альтернативи, обов’язок забезпечити сумісність і прозорість алгоритмів тощо.</w:t>
      </w:r>
    </w:p>
    <w:p w14:paraId="21C99D87"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Застосування DMA знаменує собою перехід від постфактум-регулювання до превентивного підходу, де порушення караються заздалегідь встановленими механізмами, включаючи значні штрафи, обмеження діяльності на ринку або навіть примусове подрібнення компанії у виняткових випадках. Цей нормативний акт є частиною ширшої цифрової стратегії ЄС, спрямованої на створення безпечного, інноваційного та конкурентного цифрового простору, де права як споживачів, так і підприємців захищено на найвищому рівні. У цьому контексті аналіз перших реальних кейсів застосування DMA дозволяє оцінити ефективність нової регуляторної парадигми в умовах глобалізованої цифрової економіки.</w:t>
      </w:r>
    </w:p>
    <w:p w14:paraId="4EAD0767"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Однією з перших компаній, що потрапили під регуляторну перевірку Європейської комісії за недотримання положень Digital Markets Act стала Apple. Основне порушення полягало у перешкоджанні розробникам додатків вільно інформувати користувачів про альтернативні способи придбання товарів і послуг поза межами App Store [3].</w:t>
      </w:r>
    </w:p>
    <w:p w14:paraId="5F01DF92"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Згідно з DMA, розробники мають право:</w:t>
      </w:r>
    </w:p>
    <w:p w14:paraId="65EAC61E"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безкоштовно повідомляти користувачів про наявність альтернативних, дешевших каналів покупки;</w:t>
      </w:r>
    </w:p>
    <w:p w14:paraId="7ABF642E"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направляти їх за межі платформи (наприклад, на власні вебсайти) без блокувань з боку Apple;</w:t>
      </w:r>
    </w:p>
    <w:p w14:paraId="1B733F82"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не платити комісію Apple у 15–30% при продажі цифрових товарів поза App Store.</w:t>
      </w:r>
    </w:p>
    <w:p w14:paraId="2F582F60"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Проте Apple встановила низку технічних і контрактних обмежень, які ускладнювали або робили неможливим реалізацію цих прав:</w:t>
      </w:r>
    </w:p>
    <w:p w14:paraId="651E44D9"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розробникам було заборонено додавати активні посилання або кнопки, які вели б користувача на сторонні сайти для здійснення покупок;</w:t>
      </w:r>
    </w:p>
    <w:p w14:paraId="554423E7"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у політиках Apple застосовувалась вимога отримувати схвалення на будь-яке інформування користувачів про зовнішні способи оплати;</w:t>
      </w:r>
    </w:p>
    <w:p w14:paraId="3222446A"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Apple залишала за собою право не допускати додатки до App Store, якщо ті намагались обійти комісію компанії.</w:t>
      </w:r>
    </w:p>
    <w:p w14:paraId="67A754C5"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 xml:space="preserve">Європейська комісія встановила, що такі дії створювали недобросовісну конкуренцію, позбавляючи користувачів можливості </w:t>
      </w:r>
      <w:r w:rsidRPr="00511005">
        <w:rPr>
          <w:rFonts w:ascii="Arial" w:eastAsia="Calibri" w:hAnsi="Arial" w:cs="Arial"/>
          <w:szCs w:val="28"/>
          <w:lang w:val="uk-UA"/>
        </w:rPr>
        <w:lastRenderedPageBreak/>
        <w:t>обирати вигідніші умови. Водночас розробники не могли на рівних умовах конкурувати на ринку цифрових сервісів.</w:t>
      </w:r>
    </w:p>
    <w:p w14:paraId="196C0799"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Ще однією компанією, проти якої було висунуто звинувачення в порушенні правил поводження з персональними даними користувачів, зокрема в контексті отримання згоди на персоналізовану рекламу стала компанія Meta Platforms яка володіє Facebook, Instagram та WhatsApp [4]. Згідно з DMA, великі цифрові платформи повинні:</w:t>
      </w:r>
    </w:p>
    <w:p w14:paraId="606C3FFD"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чітко і добровільно отримувати згоду користувачів на використання їхніх персональних даних, зібраних із різних сервісів компанії;</w:t>
      </w:r>
    </w:p>
    <w:p w14:paraId="33DFAAB9"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надавати реальну альтернативу, тобто користувач повинен мати можливість користуватися сервісом без персоналізованої реклами, не втрачаючи базового функціоналу.</w:t>
      </w:r>
    </w:p>
    <w:p w14:paraId="26A53E92"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Однак у листопаді 2023 року Meta впровадила модель «погоджуйся або плати», яка передбачала:</w:t>
      </w:r>
    </w:p>
    <w:p w14:paraId="2C5E25D5"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або користувач дає згоду на обробку персональних даних і продовжує користуватись Facebook/Instagram безкоштовно (з рекламою);</w:t>
      </w:r>
    </w:p>
    <w:p w14:paraId="32DE1819"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або відмовляється — і змушений оформити платну підписку (10 євро/міс. на один обліковий запис без реклами).</w:t>
      </w:r>
    </w:p>
    <w:p w14:paraId="0D4F4802"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На думку Європейської комісії, така модель:</w:t>
      </w:r>
    </w:p>
    <w:p w14:paraId="358A2ECC"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тисне на вибір користувача, змушуючи його фактично «купувати приватність»;</w:t>
      </w:r>
    </w:p>
    <w:p w14:paraId="1132192F"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не забезпечує справжньої альтернативи, адже користування без реклами стало платним, і така політика не відповідає вимогам DMA;</w:t>
      </w:r>
    </w:p>
    <w:p w14:paraId="49FCE814"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порушує принцип добровільності згоди, оскільки ставить користувача в нерівні умови.</w:t>
      </w:r>
    </w:p>
    <w:p w14:paraId="06603677"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Apple рішуче не погодилась із рішенням Європейської комісії про накладення штрафу у розмірі 500 млн євро. Компанія публічно заявила, що на її думку, вжиті нею заходи з лібералізації політики App Store відповідають положенням Закону про цифрові ринки (DMA). Зокрема, Apple вказує, що:</w:t>
      </w:r>
    </w:p>
    <w:p w14:paraId="341615A0"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Вона дозволила розробникам додатків інформувати користувачів про інші способи придбання товарів та послуг поза межами App Store.</w:t>
      </w:r>
    </w:p>
    <w:p w14:paraId="4E485CE9"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Всі нові умови були ретельно розроблені з урахуванням вимог безпеки, захисту даних та якості користувацького досвіду.</w:t>
      </w:r>
    </w:p>
    <w:p w14:paraId="492142EA"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Компанія заявила про готовність оскаржити штраф у судовому порядку, вважаючи його необґрунтованим і таким, що ставить під загрозу принципи контролю якості цифрового середовища.</w:t>
      </w:r>
    </w:p>
    <w:p w14:paraId="1C10F6E8"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Однак, Європейська комісія визнала вжиті Apple зміни лише формальними. На думку регулятора, Apple фактично не надала розробникам реальної можливості направляти користувачів до альтернативних платформ без технічних або фінансових бар’єрів. Наслідки для Apple:</w:t>
      </w:r>
    </w:p>
    <w:p w14:paraId="51DCEB56"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lastRenderedPageBreak/>
        <w:t>Фінансові: штраф у розмірі 500 млн євро; можливе накладення нових санкцій у разі повторного порушення – до 20% глобального обороту.</w:t>
      </w:r>
    </w:p>
    <w:p w14:paraId="233D1FE8"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Репутаційні: посилення критики компанії в ЄС, зменшення довіри з боку цифрових партнерів і розробників.</w:t>
      </w:r>
    </w:p>
    <w:p w14:paraId="7AFDBCB4"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Регуляторні: зобов’язання внести повноцінні зміни в політику App Store протягом 60 днів з моменту рішення; у разі невиконання — нові санкції.</w:t>
      </w:r>
    </w:p>
    <w:p w14:paraId="733D32C8"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Meta Platforms Inc., оштрафована на 200 млн євро, також відкинула звинувачення у порушенні DMA. Її офіційна позиція полягає у тому, що:</w:t>
      </w:r>
    </w:p>
    <w:p w14:paraId="0DD22A5B"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Модель «згода або підписка» (Consent or Pay) була створена з урахуванням вимог GDPR і DMA.</w:t>
      </w:r>
    </w:p>
    <w:p w14:paraId="52AF96BC"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Користувачі в ЄС мають вибір: надати згоду на персоналізовану рекламу або оплатити передплату на Facebook та Instagram без реклами.</w:t>
      </w:r>
    </w:p>
    <w:p w14:paraId="3536948C"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Meta стверджує, що реалізує принцип прозорості і надає чітку інформацію про умови користування своїми платформами.</w:t>
      </w:r>
    </w:p>
    <w:p w14:paraId="09ED8811"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Європейська комісія, втім, вважає, що дана модель порушує DMA, оскільки:</w:t>
      </w:r>
    </w:p>
    <w:p w14:paraId="7889B968"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Змусити користувача платити за відмову від збору персональних даних — це неповноцінний вибір, який суперечить принципу добровільної згоди.</w:t>
      </w:r>
    </w:p>
    <w:p w14:paraId="569AC4B0" w14:textId="77777777" w:rsidR="00532C25" w:rsidRPr="00511005" w:rsidRDefault="00532C25" w:rsidP="003F6A5D">
      <w:pPr>
        <w:numPr>
          <w:ilvl w:val="0"/>
          <w:numId w:val="696"/>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Компанія не надала альтернативу з аналогічною функціональністю без збору персональних даних безкоштовно.</w:t>
      </w:r>
    </w:p>
    <w:p w14:paraId="0A788229"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 xml:space="preserve">Наслідки для Meta: фінансові: штраф у розмірі 200 млн євро; можливе збільшення суми при повторних перевірках. </w:t>
      </w:r>
    </w:p>
    <w:p w14:paraId="4C2619CA"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Можемо зробити висновок що порушення, допущені Apple та Meta, стали яскравим прикладом того, як великі цифрові корпорації намагаються зберегти контроль над ринками, навіть усупереч законодавству. З одного боку, Apple прагнула зберегти монополію App Store, обмежуючи альтернативні канали розповсюдження додатків та перешкоджаючи розробникам інформувати користувачів про вигідніші умови. З іншого боку, Meta використала модель “плати або погоджуйся”, яка по суті позбавляла користувача справжнього вибору та права на захист персональних даних.</w:t>
      </w:r>
    </w:p>
    <w:p w14:paraId="6CB82B61"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Європейська комісія продемонструвала жорстку і послідовну позицію, вимагаючи від компаній не лише сплати штрафів на сотні мільйонів євро, а й реального усунення порушень у встановлені терміни. Це підтверджує намір ЄС ефективно впроваджувати принципи цифрової справедливості, прозорості й конкуренції на ринку.</w:t>
      </w:r>
    </w:p>
    <w:p w14:paraId="70650FA3"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Отже, ситуація з Apple і Meta є важливим прецедентом у сфері цифрового права, що засвідчив: незалежно від масштабу компанії, порушення норм законодавства ЄС більше не залишаються безкарними. У перспективі це сприятиме більш відкритому та безпечному цифровому середовищу як для споживачів, так і для бізнесу.</w:t>
      </w:r>
    </w:p>
    <w:p w14:paraId="7015D387" w14:textId="77777777" w:rsidR="00532C25" w:rsidRPr="00511005" w:rsidRDefault="00532C25" w:rsidP="00532C25">
      <w:pPr>
        <w:tabs>
          <w:tab w:val="left" w:pos="1134"/>
        </w:tabs>
        <w:spacing w:line="264" w:lineRule="auto"/>
        <w:rPr>
          <w:rFonts w:ascii="Arial" w:eastAsia="Calibri" w:hAnsi="Arial" w:cs="Arial"/>
          <w:szCs w:val="28"/>
          <w:lang w:val="uk-UA"/>
        </w:rPr>
      </w:pPr>
    </w:p>
    <w:p w14:paraId="1060D0DD" w14:textId="77777777" w:rsidR="00532C25" w:rsidRPr="00511005" w:rsidRDefault="00532C25" w:rsidP="00532C25">
      <w:pPr>
        <w:tabs>
          <w:tab w:val="left" w:pos="1134"/>
        </w:tabs>
        <w:spacing w:line="264" w:lineRule="auto"/>
        <w:jc w:val="center"/>
        <w:rPr>
          <w:rFonts w:ascii="Arial" w:eastAsia="Calibri" w:hAnsi="Arial" w:cs="Arial"/>
          <w:szCs w:val="28"/>
          <w:lang w:val="uk-UA"/>
        </w:rPr>
      </w:pPr>
      <w:r w:rsidRPr="00511005">
        <w:rPr>
          <w:rFonts w:ascii="Arial" w:eastAsia="Calibri" w:hAnsi="Arial" w:cs="Arial"/>
          <w:b/>
          <w:szCs w:val="28"/>
          <w:lang w:val="uk-UA"/>
        </w:rPr>
        <w:lastRenderedPageBreak/>
        <w:t>Список використаних джерел</w:t>
      </w:r>
    </w:p>
    <w:p w14:paraId="6D397AA2"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 xml:space="preserve">1. Digital Markets Act (DMA). </w:t>
      </w:r>
      <w:r w:rsidRPr="00511005">
        <w:rPr>
          <w:rFonts w:ascii="Arial" w:eastAsia="Calibri" w:hAnsi="Arial" w:cs="Arial"/>
          <w:szCs w:val="28"/>
          <w:lang w:val="en-US"/>
        </w:rPr>
        <w:t>URL</w:t>
      </w:r>
      <w:r w:rsidRPr="00511005">
        <w:rPr>
          <w:rFonts w:ascii="Arial" w:eastAsia="Calibri" w:hAnsi="Arial" w:cs="Arial"/>
          <w:szCs w:val="28"/>
          <w:lang w:val="uk-UA"/>
        </w:rPr>
        <w:t xml:space="preserve">: </w:t>
      </w:r>
      <w:r w:rsidRPr="00511005">
        <w:rPr>
          <w:rFonts w:ascii="Arial" w:eastAsia="Calibri" w:hAnsi="Arial" w:cs="Arial"/>
          <w:szCs w:val="28"/>
          <w:lang w:val="en-US"/>
        </w:rPr>
        <w:t>https</w:t>
      </w:r>
      <w:r w:rsidRPr="00511005">
        <w:rPr>
          <w:rFonts w:ascii="Arial" w:eastAsia="Calibri" w:hAnsi="Arial" w:cs="Arial"/>
          <w:szCs w:val="28"/>
          <w:lang w:val="uk-UA"/>
        </w:rPr>
        <w:t>://</w:t>
      </w:r>
      <w:r w:rsidRPr="00511005">
        <w:rPr>
          <w:rFonts w:ascii="Arial" w:eastAsia="Calibri" w:hAnsi="Arial" w:cs="Arial"/>
          <w:szCs w:val="28"/>
          <w:lang w:val="en-US"/>
        </w:rPr>
        <w:t>digital</w:t>
      </w:r>
      <w:r w:rsidRPr="00511005">
        <w:rPr>
          <w:rFonts w:ascii="Arial" w:eastAsia="Calibri" w:hAnsi="Arial" w:cs="Arial"/>
          <w:szCs w:val="28"/>
          <w:lang w:val="uk-UA"/>
        </w:rPr>
        <w:t>-</w:t>
      </w:r>
      <w:r w:rsidRPr="00511005">
        <w:rPr>
          <w:rFonts w:ascii="Arial" w:eastAsia="Calibri" w:hAnsi="Arial" w:cs="Arial"/>
          <w:szCs w:val="28"/>
          <w:lang w:val="en-US"/>
        </w:rPr>
        <w:t>markets</w:t>
      </w:r>
      <w:r w:rsidRPr="00511005">
        <w:rPr>
          <w:rFonts w:ascii="Arial" w:eastAsia="Calibri" w:hAnsi="Arial" w:cs="Arial"/>
          <w:szCs w:val="28"/>
          <w:lang w:val="uk-UA"/>
        </w:rPr>
        <w:t>-</w:t>
      </w:r>
      <w:r w:rsidRPr="00511005">
        <w:rPr>
          <w:rFonts w:ascii="Arial" w:eastAsia="Calibri" w:hAnsi="Arial" w:cs="Arial"/>
          <w:szCs w:val="28"/>
          <w:lang w:val="en-US"/>
        </w:rPr>
        <w:t>act</w:t>
      </w:r>
      <w:r w:rsidRPr="00511005">
        <w:rPr>
          <w:rFonts w:ascii="Arial" w:eastAsia="Calibri" w:hAnsi="Arial" w:cs="Arial"/>
          <w:szCs w:val="28"/>
          <w:lang w:val="uk-UA"/>
        </w:rPr>
        <w:t>.</w:t>
      </w:r>
      <w:r w:rsidRPr="00511005">
        <w:rPr>
          <w:rFonts w:ascii="Arial" w:eastAsia="Calibri" w:hAnsi="Arial" w:cs="Arial"/>
          <w:szCs w:val="28"/>
          <w:lang w:val="en-US"/>
        </w:rPr>
        <w:t>ec</w:t>
      </w:r>
      <w:r w:rsidRPr="00511005">
        <w:rPr>
          <w:rFonts w:ascii="Arial" w:eastAsia="Calibri" w:hAnsi="Arial" w:cs="Arial"/>
          <w:szCs w:val="28"/>
          <w:lang w:val="uk-UA"/>
        </w:rPr>
        <w:t>.</w:t>
      </w:r>
      <w:r w:rsidRPr="00511005">
        <w:rPr>
          <w:rFonts w:ascii="Arial" w:eastAsia="Calibri" w:hAnsi="Arial" w:cs="Arial"/>
          <w:szCs w:val="28"/>
          <w:lang w:val="en-US"/>
        </w:rPr>
        <w:t>europa</w:t>
      </w:r>
      <w:r w:rsidRPr="00511005">
        <w:rPr>
          <w:rFonts w:ascii="Arial" w:eastAsia="Calibri" w:hAnsi="Arial" w:cs="Arial"/>
          <w:szCs w:val="28"/>
          <w:lang w:val="uk-UA"/>
        </w:rPr>
        <w:t>.</w:t>
      </w:r>
      <w:r w:rsidRPr="00511005">
        <w:rPr>
          <w:rFonts w:ascii="Arial" w:eastAsia="Calibri" w:hAnsi="Arial" w:cs="Arial"/>
          <w:szCs w:val="28"/>
          <w:lang w:val="en-US"/>
        </w:rPr>
        <w:t>eu</w:t>
      </w:r>
      <w:r w:rsidRPr="00511005">
        <w:rPr>
          <w:rFonts w:ascii="Arial" w:eastAsia="Calibri" w:hAnsi="Arial" w:cs="Arial"/>
          <w:szCs w:val="28"/>
          <w:lang w:val="uk-UA"/>
        </w:rPr>
        <w:t>/</w:t>
      </w:r>
      <w:r w:rsidRPr="00511005">
        <w:rPr>
          <w:rFonts w:ascii="Arial" w:eastAsia="Calibri" w:hAnsi="Arial" w:cs="Arial"/>
          <w:szCs w:val="28"/>
          <w:lang w:val="en-US"/>
        </w:rPr>
        <w:t>index</w:t>
      </w:r>
      <w:r w:rsidRPr="00511005">
        <w:rPr>
          <w:rFonts w:ascii="Arial" w:eastAsia="Calibri" w:hAnsi="Arial" w:cs="Arial"/>
          <w:szCs w:val="28"/>
          <w:lang w:val="uk-UA"/>
        </w:rPr>
        <w:t>_</w:t>
      </w:r>
      <w:r w:rsidRPr="00511005">
        <w:rPr>
          <w:rFonts w:ascii="Arial" w:eastAsia="Calibri" w:hAnsi="Arial" w:cs="Arial"/>
          <w:szCs w:val="28"/>
          <w:lang w:val="en-US"/>
        </w:rPr>
        <w:t>en</w:t>
      </w:r>
      <w:r w:rsidRPr="00511005">
        <w:rPr>
          <w:rFonts w:ascii="Arial" w:eastAsia="Calibri" w:hAnsi="Arial" w:cs="Arial"/>
          <w:szCs w:val="28"/>
          <w:lang w:val="uk-UA"/>
        </w:rPr>
        <w:t xml:space="preserve">/ </w:t>
      </w:r>
    </w:p>
    <w:p w14:paraId="51229C93" w14:textId="77777777" w:rsidR="00532C25" w:rsidRPr="00511005" w:rsidRDefault="00532C25" w:rsidP="00532C25">
      <w:pPr>
        <w:tabs>
          <w:tab w:val="left" w:pos="1134"/>
        </w:tabs>
        <w:spacing w:line="264" w:lineRule="auto"/>
        <w:rPr>
          <w:rFonts w:ascii="Arial" w:eastAsia="Calibri" w:hAnsi="Arial" w:cs="Arial"/>
          <w:szCs w:val="28"/>
          <w:lang w:val="en-US"/>
        </w:rPr>
      </w:pPr>
      <w:r w:rsidRPr="00511005">
        <w:rPr>
          <w:rFonts w:ascii="Arial" w:eastAsia="Calibri" w:hAnsi="Arial" w:cs="Arial"/>
          <w:szCs w:val="28"/>
          <w:lang w:val="uk-UA"/>
        </w:rPr>
        <w:t xml:space="preserve">2. The European Commission designates six gatekeepers under the Digital Markets Act </w:t>
      </w:r>
      <w:r w:rsidRPr="00511005">
        <w:rPr>
          <w:rFonts w:ascii="Arial" w:eastAsia="Calibri" w:hAnsi="Arial" w:cs="Arial"/>
          <w:szCs w:val="28"/>
          <w:lang w:val="en-US"/>
        </w:rPr>
        <w:t>URL: https://surl.li/fiqbbs.</w:t>
      </w:r>
    </w:p>
    <w:p w14:paraId="37DD99D5" w14:textId="77777777" w:rsidR="00532C25" w:rsidRPr="00511005" w:rsidRDefault="00532C25" w:rsidP="00532C25">
      <w:pPr>
        <w:tabs>
          <w:tab w:val="left" w:pos="1134"/>
        </w:tabs>
        <w:spacing w:line="264" w:lineRule="auto"/>
        <w:rPr>
          <w:rFonts w:ascii="Arial" w:eastAsia="Calibri" w:hAnsi="Arial" w:cs="Arial"/>
          <w:szCs w:val="28"/>
          <w:lang w:val="en-US"/>
        </w:rPr>
      </w:pPr>
      <w:r w:rsidRPr="00511005">
        <w:rPr>
          <w:rFonts w:ascii="Arial" w:eastAsia="Calibri" w:hAnsi="Arial" w:cs="Arial"/>
          <w:szCs w:val="28"/>
          <w:lang w:val="uk-UA"/>
        </w:rPr>
        <w:t xml:space="preserve">3. Apple to appeal €500M digital fine over EU’s silence in compliance talks </w:t>
      </w:r>
      <w:r w:rsidRPr="00511005">
        <w:rPr>
          <w:rFonts w:ascii="Arial" w:eastAsia="Calibri" w:hAnsi="Arial" w:cs="Arial"/>
          <w:szCs w:val="28"/>
          <w:lang w:val="en-US"/>
        </w:rPr>
        <w:t>URL: https://surl.li/wknuux.</w:t>
      </w:r>
    </w:p>
    <w:p w14:paraId="4B633F78"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szCs w:val="28"/>
          <w:lang w:val="uk-UA"/>
        </w:rPr>
        <w:t>4. Commission finds Apple and Meta in breach of the Digital Markets Act URL: https://ec.europa.eu/commission/presscorner/detail/en/ip_25_1085.</w:t>
      </w:r>
    </w:p>
    <w:p w14:paraId="3986B630" w14:textId="77777777" w:rsidR="00532C25" w:rsidRPr="00511005" w:rsidRDefault="00532C25" w:rsidP="00532C25">
      <w:pPr>
        <w:tabs>
          <w:tab w:val="left" w:pos="1134"/>
        </w:tabs>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Закон про цифрові ринки, Європейський Союз, персональні дані, регулювання, Apple, Meta.</w:t>
      </w:r>
    </w:p>
    <w:p w14:paraId="00080FE1" w14:textId="77777777" w:rsidR="00532C25" w:rsidRPr="00511005" w:rsidRDefault="00532C25" w:rsidP="00532C25">
      <w:pPr>
        <w:tabs>
          <w:tab w:val="left" w:pos="1134"/>
        </w:tabs>
        <w:spacing w:line="264" w:lineRule="auto"/>
        <w:rPr>
          <w:rFonts w:ascii="Arial" w:eastAsia="Times New Roman" w:hAnsi="Arial" w:cs="Arial"/>
          <w:b/>
          <w:bCs/>
          <w:i/>
          <w:iCs/>
          <w:szCs w:val="28"/>
          <w:lang w:val="en-US" w:eastAsia="uk-UA"/>
        </w:rPr>
      </w:pPr>
      <w:r w:rsidRPr="00511005">
        <w:rPr>
          <w:rFonts w:ascii="Arial" w:eastAsia="Calibri" w:hAnsi="Arial" w:cs="Arial"/>
          <w:b/>
          <w:i/>
          <w:szCs w:val="28"/>
          <w:lang w:val="uk-UA"/>
        </w:rPr>
        <w:t xml:space="preserve">Key words: </w:t>
      </w:r>
      <w:r w:rsidRPr="00511005">
        <w:rPr>
          <w:rFonts w:ascii="Arial" w:eastAsia="Calibri" w:hAnsi="Arial" w:cs="Arial"/>
          <w:szCs w:val="28"/>
          <w:lang w:val="uk-UA"/>
        </w:rPr>
        <w:t>Digital Markets Act, European Union, personal data, regulation, Apple, Meta.</w:t>
      </w:r>
    </w:p>
    <w:p w14:paraId="5055E64E" w14:textId="77777777" w:rsidR="00532C25" w:rsidRPr="00511005" w:rsidRDefault="00532C25" w:rsidP="00532C25">
      <w:pPr>
        <w:spacing w:line="264" w:lineRule="auto"/>
        <w:ind w:firstLine="708"/>
        <w:rPr>
          <w:rFonts w:ascii="Arial" w:eastAsia="Times New Roman" w:hAnsi="Arial" w:cs="Arial"/>
          <w:i/>
          <w:iCs/>
          <w:szCs w:val="28"/>
          <w:lang w:eastAsia="uk-UA"/>
        </w:rPr>
      </w:pPr>
      <w:r w:rsidRPr="00511005">
        <w:rPr>
          <w:rFonts w:ascii="Arial" w:eastAsia="Times New Roman" w:hAnsi="Arial" w:cs="Arial"/>
          <w:b/>
          <w:i/>
          <w:iCs/>
          <w:szCs w:val="28"/>
          <w:lang w:eastAsia="uk-UA"/>
        </w:rPr>
        <w:t xml:space="preserve">Науковий керівник: </w:t>
      </w:r>
      <w:r w:rsidRPr="00511005">
        <w:rPr>
          <w:rFonts w:ascii="Arial" w:eastAsia="Times New Roman" w:hAnsi="Arial" w:cs="Arial"/>
          <w:i/>
          <w:iCs/>
          <w:szCs w:val="28"/>
          <w:lang w:eastAsia="uk-UA"/>
        </w:rPr>
        <w:t>к.ю.н., доцент Чанишев Р.І.</w:t>
      </w:r>
    </w:p>
    <w:p w14:paraId="0A7127B1" w14:textId="77777777" w:rsidR="00532C25" w:rsidRPr="00511005" w:rsidRDefault="00532C25" w:rsidP="00532C25">
      <w:pPr>
        <w:spacing w:line="264" w:lineRule="auto"/>
        <w:ind w:firstLine="0"/>
        <w:rPr>
          <w:rFonts w:ascii="Arial" w:eastAsia="Times New Roman" w:hAnsi="Arial" w:cs="Arial"/>
          <w:i/>
          <w:iCs/>
          <w:szCs w:val="28"/>
          <w:lang w:eastAsia="uk-UA"/>
        </w:rPr>
      </w:pPr>
    </w:p>
    <w:p w14:paraId="320C5AE3" w14:textId="77777777" w:rsidR="00532C25" w:rsidRPr="00511005" w:rsidRDefault="00532C25" w:rsidP="00532C25">
      <w:pPr>
        <w:spacing w:line="264" w:lineRule="auto"/>
        <w:ind w:firstLine="0"/>
        <w:rPr>
          <w:rFonts w:ascii="Arial" w:eastAsia="Times New Roman" w:hAnsi="Arial" w:cs="Arial"/>
          <w:i/>
          <w:iCs/>
          <w:szCs w:val="28"/>
          <w:lang w:eastAsia="uk-UA"/>
        </w:rPr>
      </w:pPr>
    </w:p>
    <w:p w14:paraId="1F07890A" w14:textId="77777777" w:rsidR="00532C25" w:rsidRPr="00511005" w:rsidRDefault="00532C25" w:rsidP="00532C25">
      <w:pPr>
        <w:spacing w:line="264" w:lineRule="auto"/>
        <w:ind w:firstLine="0"/>
        <w:jc w:val="center"/>
        <w:rPr>
          <w:rFonts w:ascii="Arial" w:eastAsia="Calibri" w:hAnsi="Arial" w:cs="Arial"/>
          <w:b/>
          <w:bCs/>
          <w:i/>
          <w:szCs w:val="28"/>
          <w:lang w:val="uk-UA"/>
        </w:rPr>
      </w:pPr>
      <w:r w:rsidRPr="00511005">
        <w:rPr>
          <w:rFonts w:ascii="Arial" w:eastAsia="Calibri" w:hAnsi="Arial" w:cs="Arial"/>
          <w:b/>
          <w:bCs/>
          <w:i/>
          <w:szCs w:val="28"/>
          <w:lang w:val="uk-UA"/>
        </w:rPr>
        <w:t>Верба Костянтин Віталійович</w:t>
      </w:r>
    </w:p>
    <w:p w14:paraId="7F20FE8D"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 4-го курсу факультету кібербезпеки та інформаційних технологій</w:t>
      </w:r>
    </w:p>
    <w:p w14:paraId="2FD250B9"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26F9975" w14:textId="77777777" w:rsidR="00532C25" w:rsidRPr="00511005" w:rsidRDefault="00532C25" w:rsidP="00532C25">
      <w:pPr>
        <w:spacing w:line="264" w:lineRule="auto"/>
        <w:ind w:firstLine="0"/>
        <w:jc w:val="center"/>
        <w:rPr>
          <w:rFonts w:ascii="Arial" w:eastAsia="Calibri" w:hAnsi="Arial" w:cs="Arial"/>
          <w:szCs w:val="28"/>
          <w:lang w:val="uk-UA"/>
        </w:rPr>
      </w:pPr>
    </w:p>
    <w:p w14:paraId="7E5EE595" w14:textId="77777777" w:rsidR="00532C25" w:rsidRPr="00511005" w:rsidRDefault="00532C25" w:rsidP="00532C25">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РОЗРОБКА ANDROID-ЗАСТОСУНКУ ДЛЯ ОБМІНУ МИТТЄВИМИ ПОВІДОМЛЕННЯМИ</w:t>
      </w:r>
    </w:p>
    <w:p w14:paraId="199A7B4B"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Сучасний світ потребує швидкості й надійності від усіх його аспектів. Так само це й впливає на тему мобільних застосунків. Користувацькі запити зростають й потребують нових рішень у цій галузі. Більшість з існуючих систем не пропонують прозорість та захищеність спілкування. Отже, основна мета роботи – це проектування та розробка сучасного рішення, що буде, як функціонально так і візуально, задовольняти потреби користувача [1].</w:t>
      </w:r>
    </w:p>
    <w:p w14:paraId="5678B0F4"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Об’єктом дослідження є Android-застосунки для обміну миттєвими повідомленнями, із урахуванням більшості доступної інформації.</w:t>
      </w:r>
    </w:p>
    <w:p w14:paraId="6F297022"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Дослідження складається з трьох етапів, кожен з яких має значний вплив на кінцевий продукт.</w:t>
      </w:r>
    </w:p>
    <w:p w14:paraId="23BFACFB"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1. Дослідження та аналіз існуючих рішень. Проведено пошук та збір інформації у галузі месенджерів. Для закріплення результатів проведено дослідження (SWOT-аналіз), поглиблений аналіз деталей проектів [2].</w:t>
      </w:r>
    </w:p>
    <w:p w14:paraId="0B5BF0EE"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2. Проектування та розробка застосунка. Формування головної цілі на основі отриманих результатів після дослідження рішень. Побудова користувацьких потреб та створення персонального переліку необхідних аспектів. Як результат, розробка застосунка згідно із планом.</w:t>
      </w:r>
    </w:p>
    <w:p w14:paraId="61368279"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3. Тестування та порівняння результатів. Кінцевий етап, який включає у себе ретельне дослідження слабких та сильних сторін отриманого проекту. Визначення помилок та їх потенційних рішень.</w:t>
      </w:r>
    </w:p>
    <w:p w14:paraId="033835A6"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За результатами дослідження було зазначено, що більшість із сучасних рішень мають доволі зрозумілий інтерфейс й використовують відносно безпечні протоколи шифрування й обміну інформацією (Telegram, WhatsApp) [3]. Але, у час коли інтернет-загрози зростають, велику значимість для користувачів відіграє відкритість вихідного коду. Згідно дослідженню лише «Signal» є безпечним, зрозумілим й з відкритим вихідним кодом [4].</w:t>
      </w:r>
    </w:p>
    <w:p w14:paraId="1E6EE50B"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На основі проведених аналізів було створено застосунок для операційної системи Android на базі фреймворку Xamarin.Forms у Visual Studio. Таке рішення дозволяє створювати зручний й гнучкий інтерфейс, який буде підходити під сучасні рамки. Серверна реалізація, натомість, була виконана із використанням мови програмування Python та фреймворку Flask. Користувацька інформація зберігається лише на сервері під керуванням SQLite, а паролі додатково проходять процес хешування, що зберігає їх у випадку компрометації бази даних чи перехоплені. Навігаційна модель мобільного застосунка, що містить усі вікна та можливі переходи між екранами, зображена на рисунку.</w:t>
      </w:r>
    </w:p>
    <w:p w14:paraId="1F559245"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Для розробки безпечного середовища спілкування було застосовано сучасні протоколи для обміну інформацією та криптографію. Клієнт спілкується із сервером за підтримки HTTPS, що дозволяє шифровано обмінюватись даними та значно знижує можливість перехоплення та компрометації повідомлень.</w:t>
      </w:r>
    </w:p>
    <w:p w14:paraId="30D91F2F"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Зв’язок між користувачами створюється окремо для кожного створеного чату. Виконується це за допомогою пари симетричних та асиметричних криптографічних шифрувань (AES+RSA). Такий підхід часто використовується у системах, де збереження інформації займає ключову позицію.</w:t>
      </w:r>
    </w:p>
    <w:p w14:paraId="148E17CE"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Тестування додатка підтвердило мету та напрям дослідження. Додаток має простий й зрозумілий інтерфейс та доволі високий рівень цілісності інформації.</w:t>
      </w:r>
    </w:p>
    <w:p w14:paraId="2A34097D"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Практична цінність полягає у фактичному створенні працездатного додатку, що може закривати деякі потреби й може бути використаний у реальних сценаріях. Розроблений продукт є успішним проектом, що показує відповідність до визначених потреб у світі мобільних рішень. Отриманий результат показує можливість масштабування й подальшого розвитку цілого проекту. Реалізація подібного додатку дозволила отримати не лише працюючу систему, але й цінний досвід у сфері кожного з етапів розробки мобільних додатків.</w:t>
      </w:r>
    </w:p>
    <w:p w14:paraId="295CB71C"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noProof/>
          <w:szCs w:val="28"/>
          <w:lang w:val="uk-UA"/>
        </w:rPr>
        <w:lastRenderedPageBreak/>
        <w:drawing>
          <wp:inline distT="0" distB="0" distL="0" distR="0" wp14:anchorId="53DAF737" wp14:editId="124AE15C">
            <wp:extent cx="3949700" cy="4399234"/>
            <wp:effectExtent l="0" t="0" r="0" b="1905"/>
            <wp:docPr id="20" name="Рисунок 20" descr="Изображение выглядит как текст, снимок экрана, программное обеспечение, дизайн&#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descr="Изображение выглядит как текст, снимок экрана, программное обеспечение, дизайн&#10;&#10;Контент, сгенерированный ИИ, может содержать ошибки."/>
                    <pic:cNvPicPr>
                      <a:picLocks noChangeAspect="1" noChangeArrowheads="1"/>
                    </pic:cNvPicPr>
                  </pic:nvPicPr>
                  <pic:blipFill>
                    <a:blip r:embed="rId2396" cstate="print">
                      <a:extLst>
                        <a:ext uri="{28A0092B-C50C-407E-A947-70E740481C1C}">
                          <a14:useLocalDpi xmlns:a14="http://schemas.microsoft.com/office/drawing/2010/main" val="0"/>
                        </a:ext>
                      </a:extLst>
                    </a:blip>
                    <a:srcRect/>
                    <a:stretch>
                      <a:fillRect/>
                    </a:stretch>
                  </pic:blipFill>
                  <pic:spPr bwMode="auto">
                    <a:xfrm>
                      <a:off x="0" y="0"/>
                      <a:ext cx="3963348" cy="4414435"/>
                    </a:xfrm>
                    <a:prstGeom prst="rect">
                      <a:avLst/>
                    </a:prstGeom>
                    <a:noFill/>
                    <a:ln>
                      <a:noFill/>
                    </a:ln>
                  </pic:spPr>
                </pic:pic>
              </a:graphicData>
            </a:graphic>
          </wp:inline>
        </w:drawing>
      </w:r>
    </w:p>
    <w:p w14:paraId="64E97793"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Рисунок 1 – Навігаційна модель мобільного застосунка</w:t>
      </w:r>
    </w:p>
    <w:p w14:paraId="6B9D2A67" w14:textId="77777777" w:rsidR="00532C25" w:rsidRPr="00511005" w:rsidRDefault="00532C25" w:rsidP="00532C25">
      <w:pPr>
        <w:spacing w:line="264" w:lineRule="auto"/>
        <w:jc w:val="center"/>
        <w:rPr>
          <w:rFonts w:ascii="Arial" w:eastAsia="Calibri" w:hAnsi="Arial" w:cs="Arial"/>
          <w:b/>
          <w:szCs w:val="28"/>
          <w:lang w:val="uk-UA"/>
        </w:rPr>
      </w:pPr>
    </w:p>
    <w:p w14:paraId="07708FC2" w14:textId="77777777" w:rsidR="00532C25" w:rsidRPr="00511005" w:rsidRDefault="00532C25" w:rsidP="00532C25">
      <w:pPr>
        <w:spacing w:line="264" w:lineRule="auto"/>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0447ACF8" w14:textId="77777777" w:rsidR="00532C25" w:rsidRPr="00511005" w:rsidRDefault="00532C25" w:rsidP="00532C25">
      <w:pPr>
        <w:tabs>
          <w:tab w:val="left" w:pos="993"/>
        </w:tabs>
        <w:spacing w:line="264" w:lineRule="auto"/>
        <w:rPr>
          <w:rFonts w:ascii="Arial" w:eastAsia="Calibri" w:hAnsi="Arial" w:cs="Arial"/>
          <w:szCs w:val="28"/>
          <w:lang w:val="uk-UA"/>
        </w:rPr>
      </w:pPr>
      <w:r w:rsidRPr="00511005">
        <w:rPr>
          <w:rFonts w:ascii="Arial" w:eastAsia="Calibri" w:hAnsi="Arial" w:cs="Arial"/>
          <w:szCs w:val="28"/>
          <w:lang w:val="uk-UA"/>
        </w:rPr>
        <w:t>1. K. K. Aggarwal, Yogesh Singh. Software Engineering. Google Books. URL: https://is.gd/1Ui60L</w:t>
      </w:r>
    </w:p>
    <w:p w14:paraId="4CC34F01" w14:textId="77777777" w:rsidR="00532C25" w:rsidRPr="00511005" w:rsidRDefault="00532C25" w:rsidP="00532C25">
      <w:pPr>
        <w:tabs>
          <w:tab w:val="left" w:pos="993"/>
        </w:tabs>
        <w:spacing w:line="264" w:lineRule="auto"/>
        <w:rPr>
          <w:rFonts w:ascii="Arial" w:eastAsia="Calibri" w:hAnsi="Arial" w:cs="Arial"/>
          <w:szCs w:val="28"/>
          <w:lang w:val="uk-UA"/>
        </w:rPr>
      </w:pPr>
      <w:r w:rsidRPr="00511005">
        <w:rPr>
          <w:rFonts w:ascii="Arial" w:eastAsia="Calibri" w:hAnsi="Arial" w:cs="Arial"/>
          <w:szCs w:val="28"/>
          <w:lang w:val="uk-UA"/>
        </w:rPr>
        <w:t>2. Contributors to Wikimedia projects. SWOT analysis - Wikipedia. Wikipedia, the free encyclopedia. URL: https://en.wikipedia.org/wiki/SWOT_analysis</w:t>
      </w:r>
    </w:p>
    <w:p w14:paraId="7BBAB9F1" w14:textId="77777777" w:rsidR="00532C25" w:rsidRPr="00511005" w:rsidRDefault="00532C25" w:rsidP="00532C25">
      <w:pPr>
        <w:tabs>
          <w:tab w:val="left" w:pos="993"/>
        </w:tabs>
        <w:spacing w:line="264" w:lineRule="auto"/>
        <w:rPr>
          <w:rFonts w:ascii="Arial" w:eastAsia="Calibri" w:hAnsi="Arial" w:cs="Arial"/>
          <w:szCs w:val="28"/>
          <w:lang w:val="uk-UA"/>
        </w:rPr>
      </w:pPr>
      <w:r w:rsidRPr="00511005">
        <w:rPr>
          <w:rFonts w:ascii="Arial" w:eastAsia="Calibri" w:hAnsi="Arial" w:cs="Arial"/>
          <w:szCs w:val="28"/>
          <w:lang w:val="uk-UA"/>
        </w:rPr>
        <w:t>3. Telegram Messenger SWOT Analysis. Canvas Bussines Model. URL: https://canvasbusinessmodel.com/products/telegram-messenger-swot-analysis.</w:t>
      </w:r>
    </w:p>
    <w:p w14:paraId="457C57EC" w14:textId="77777777" w:rsidR="00532C25" w:rsidRPr="00511005" w:rsidRDefault="00532C25" w:rsidP="00532C25">
      <w:pPr>
        <w:tabs>
          <w:tab w:val="left" w:pos="993"/>
        </w:tabs>
        <w:spacing w:line="264" w:lineRule="auto"/>
        <w:rPr>
          <w:rFonts w:ascii="Arial" w:eastAsia="Calibri" w:hAnsi="Arial" w:cs="Arial"/>
          <w:szCs w:val="28"/>
          <w:lang w:val="uk-UA"/>
        </w:rPr>
      </w:pPr>
      <w:r w:rsidRPr="00511005">
        <w:rPr>
          <w:rFonts w:ascii="Arial" w:eastAsia="Calibri" w:hAnsi="Arial" w:cs="Arial"/>
          <w:szCs w:val="28"/>
          <w:lang w:val="uk-UA"/>
        </w:rPr>
        <w:t>4. Signal SWOT Analysis. Canvas Bussines Model. URL: https://canvasbusinessmodel.com/products/signal-swot-analysis.</w:t>
      </w:r>
    </w:p>
    <w:p w14:paraId="4E45DEDC"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b/>
          <w:bCs/>
          <w:i/>
          <w:iCs/>
          <w:szCs w:val="28"/>
          <w:lang w:val="uk-UA"/>
        </w:rPr>
        <w:t xml:space="preserve">Ключові слова: </w:t>
      </w:r>
      <w:r w:rsidRPr="00511005">
        <w:rPr>
          <w:rFonts w:ascii="Arial" w:eastAsia="Calibri" w:hAnsi="Arial" w:cs="Arial"/>
          <w:szCs w:val="28"/>
          <w:lang w:val="uk-UA"/>
        </w:rPr>
        <w:t>мобільний застосунок, Android-застосунок, месенджер, обмін повідомленнями, Xamarin.Forms, Python, C.</w:t>
      </w:r>
    </w:p>
    <w:p w14:paraId="69838DDD" w14:textId="77777777" w:rsidR="00532C25" w:rsidRPr="00511005" w:rsidRDefault="00532C25" w:rsidP="00532C25">
      <w:pPr>
        <w:spacing w:line="264" w:lineRule="auto"/>
        <w:rPr>
          <w:rFonts w:ascii="Arial" w:eastAsia="Calibri" w:hAnsi="Arial" w:cs="Arial"/>
          <w:szCs w:val="28"/>
          <w:lang w:val="en-US"/>
        </w:rPr>
      </w:pPr>
      <w:r w:rsidRPr="00511005">
        <w:rPr>
          <w:rFonts w:ascii="Arial" w:eastAsia="Calibri" w:hAnsi="Arial" w:cs="Arial"/>
          <w:b/>
          <w:bCs/>
          <w:i/>
          <w:iCs/>
          <w:szCs w:val="28"/>
          <w:lang w:val="en-US"/>
        </w:rPr>
        <w:t xml:space="preserve">Key words: </w:t>
      </w:r>
      <w:r w:rsidRPr="00511005">
        <w:rPr>
          <w:rFonts w:ascii="Arial" w:eastAsia="Calibri" w:hAnsi="Arial" w:cs="Arial"/>
          <w:szCs w:val="28"/>
          <w:lang w:val="en-US"/>
        </w:rPr>
        <w:t>mobile application, android application, messenger, messaging, Xamarin.Forms, Python, C#.</w:t>
      </w:r>
    </w:p>
    <w:p w14:paraId="76E63F5C" w14:textId="77777777" w:rsidR="00532C25" w:rsidRPr="00511005" w:rsidRDefault="00532C25" w:rsidP="00532C25">
      <w:pPr>
        <w:spacing w:line="264" w:lineRule="auto"/>
        <w:ind w:firstLine="708"/>
        <w:rPr>
          <w:rFonts w:ascii="Arial" w:eastAsia="Calibri" w:hAnsi="Arial" w:cs="Arial"/>
          <w:szCs w:val="28"/>
          <w:lang w:val="uk-UA"/>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i/>
          <w:iCs/>
          <w:szCs w:val="28"/>
          <w:lang w:val="uk-UA"/>
        </w:rPr>
        <w:t>к.т.н., доцент Чикунов П.О.</w:t>
      </w:r>
    </w:p>
    <w:p w14:paraId="7A1991B9" w14:textId="77777777" w:rsidR="00532C25" w:rsidRPr="00511005" w:rsidRDefault="00532C25" w:rsidP="00532C25">
      <w:pPr>
        <w:spacing w:line="264" w:lineRule="auto"/>
        <w:ind w:firstLine="0"/>
        <w:jc w:val="left"/>
        <w:rPr>
          <w:rFonts w:ascii="Arial" w:eastAsia="Calibri" w:hAnsi="Arial" w:cs="Arial"/>
          <w:b/>
          <w:bCs/>
          <w:i/>
          <w:iCs/>
          <w:szCs w:val="28"/>
        </w:rPr>
      </w:pPr>
      <w:r w:rsidRPr="00511005">
        <w:rPr>
          <w:rFonts w:ascii="Arial" w:eastAsia="Calibri" w:hAnsi="Arial" w:cs="Arial"/>
          <w:b/>
          <w:bCs/>
          <w:i/>
          <w:iCs/>
          <w:szCs w:val="28"/>
        </w:rPr>
        <w:br w:type="page"/>
      </w:r>
    </w:p>
    <w:p w14:paraId="41F8563A" w14:textId="77777777" w:rsidR="00532C25" w:rsidRPr="00511005" w:rsidRDefault="00532C25" w:rsidP="00532C25">
      <w:pPr>
        <w:spacing w:line="264" w:lineRule="auto"/>
        <w:ind w:firstLine="0"/>
        <w:jc w:val="center"/>
        <w:rPr>
          <w:rFonts w:ascii="Arial" w:eastAsia="Calibri" w:hAnsi="Arial" w:cs="Arial"/>
          <w:b/>
          <w:bCs/>
          <w:i/>
          <w:iCs/>
          <w:szCs w:val="28"/>
        </w:rPr>
      </w:pPr>
      <w:r w:rsidRPr="00511005">
        <w:rPr>
          <w:rFonts w:ascii="Arial" w:eastAsia="Calibri" w:hAnsi="Arial" w:cs="Arial"/>
          <w:b/>
          <w:bCs/>
          <w:i/>
          <w:iCs/>
          <w:szCs w:val="28"/>
        </w:rPr>
        <w:lastRenderedPageBreak/>
        <w:t>Голосова Ірина Дмитрівна</w:t>
      </w:r>
    </w:p>
    <w:p w14:paraId="6F10B7D3"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rPr>
        <w:t xml:space="preserve">студентка 4-го курсу </w:t>
      </w:r>
      <w:r w:rsidRPr="00511005">
        <w:rPr>
          <w:rFonts w:ascii="Arial" w:eastAsia="Calibri" w:hAnsi="Arial" w:cs="Arial"/>
          <w:szCs w:val="28"/>
          <w:lang w:val="uk-UA"/>
        </w:rPr>
        <w:t>факультету кібербезпеки та інформаційних технологій</w:t>
      </w:r>
      <w:r w:rsidRPr="00511005">
        <w:rPr>
          <w:rFonts w:ascii="Arial" w:eastAsia="Calibri" w:hAnsi="Arial" w:cs="Arial"/>
          <w:szCs w:val="28"/>
          <w:lang w:val="uk-UA"/>
        </w:rPr>
        <w:br/>
        <w:t>Національного університету «Одеська юридична академія»</w:t>
      </w:r>
    </w:p>
    <w:p w14:paraId="6F6901CD" w14:textId="77777777" w:rsidR="00532C25" w:rsidRPr="00511005" w:rsidRDefault="00532C25" w:rsidP="00532C25">
      <w:pPr>
        <w:spacing w:line="264" w:lineRule="auto"/>
        <w:ind w:firstLine="0"/>
        <w:jc w:val="center"/>
        <w:rPr>
          <w:rFonts w:ascii="Arial" w:eastAsia="Calibri" w:hAnsi="Arial" w:cs="Arial"/>
          <w:szCs w:val="28"/>
          <w:lang w:val="uk-UA"/>
        </w:rPr>
      </w:pPr>
    </w:p>
    <w:p w14:paraId="2A7701E5" w14:textId="77777777" w:rsidR="00532C25" w:rsidRPr="00511005" w:rsidRDefault="00532C25" w:rsidP="00532C25">
      <w:pPr>
        <w:spacing w:line="264" w:lineRule="auto"/>
        <w:ind w:firstLine="0"/>
        <w:jc w:val="center"/>
        <w:rPr>
          <w:rFonts w:ascii="Arial" w:eastAsia="Calibri" w:hAnsi="Arial" w:cs="Arial"/>
          <w:b/>
          <w:bCs/>
          <w:i/>
          <w:iCs/>
          <w:szCs w:val="28"/>
          <w:lang w:val="uk-UA"/>
        </w:rPr>
      </w:pPr>
      <w:r w:rsidRPr="00511005">
        <w:rPr>
          <w:rFonts w:ascii="Arial" w:eastAsia="Calibri" w:hAnsi="Arial" w:cs="Arial"/>
          <w:b/>
          <w:bCs/>
          <w:szCs w:val="28"/>
          <w:lang w:val="uk-UA"/>
        </w:rPr>
        <w:t xml:space="preserve">СИСТЕМА АВТОМАТИЗАЦІЇ РОЗРАХУНКУ ЗАРОБІТНОЇ ПЛАТИ </w:t>
      </w:r>
      <w:r w:rsidRPr="00511005">
        <w:rPr>
          <w:rFonts w:ascii="Arial" w:eastAsia="Calibri" w:hAnsi="Arial" w:cs="Arial"/>
          <w:b/>
          <w:bCs/>
          <w:szCs w:val="28"/>
          <w:lang w:val="uk-UA"/>
        </w:rPr>
        <w:br/>
        <w:t>ТА ОБЛІКУ РОБОЧОГО ЧАСУ</w:t>
      </w:r>
    </w:p>
    <w:p w14:paraId="329081BD" w14:textId="77777777" w:rsidR="00532C25" w:rsidRPr="00511005" w:rsidRDefault="00532C25" w:rsidP="00532C25">
      <w:pPr>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Сучасний етап розвитку інформаційних технологій висуває нові вимоги до організації облікових процесів на підприємствах. Особливо це стосується малого та середнього бізнесу, де часто відсутні окремі фахівці з обліку та кадрового діловодства </w:t>
      </w:r>
      <w:r w:rsidRPr="00511005">
        <w:rPr>
          <w:rFonts w:ascii="Arial" w:eastAsia="Calibri" w:hAnsi="Arial" w:cs="Arial"/>
          <w:szCs w:val="28"/>
        </w:rPr>
        <w:t>[1, 2]</w:t>
      </w:r>
      <w:r w:rsidRPr="00511005">
        <w:rPr>
          <w:rFonts w:ascii="Arial" w:eastAsia="Calibri" w:hAnsi="Arial" w:cs="Arial"/>
          <w:szCs w:val="28"/>
          <w:lang w:val="uk-UA"/>
        </w:rPr>
        <w:t>. Саме ця проблема стала основним мотиватором для розробки даної системи, яка поєднує в собі функції обліку робочого часу та автоматичного розрахунку заробітної плати.</w:t>
      </w:r>
    </w:p>
    <w:p w14:paraId="6CCDF770" w14:textId="77777777" w:rsidR="00532C25" w:rsidRPr="00511005" w:rsidRDefault="00532C25" w:rsidP="00532C25">
      <w:pPr>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В ході підготовки до розробки було проведено глибокий аналіз ринку програмних продуктів подібного призначення</w:t>
      </w:r>
      <w:r w:rsidRPr="00511005">
        <w:rPr>
          <w:rFonts w:ascii="Arial" w:eastAsia="Calibri" w:hAnsi="Arial" w:cs="Arial"/>
          <w:szCs w:val="28"/>
        </w:rPr>
        <w:t xml:space="preserve"> [2 – 5]</w:t>
      </w:r>
      <w:r w:rsidRPr="00511005">
        <w:rPr>
          <w:rFonts w:ascii="Arial" w:eastAsia="Calibri" w:hAnsi="Arial" w:cs="Arial"/>
          <w:szCs w:val="28"/>
          <w:lang w:val="uk-UA"/>
        </w:rPr>
        <w:t>. Дослідження показало, що більшість існуючих рішень мають суттєві недоліки: одні надто складні для невеликих підприємств, інші – обмежені у функціоналі, треті – потребують значних фінансових витрат на впровадження та підтримку [5]. Крім того, багато з цих систем не враховують специфіку українського законодавства у сфері оплати праці </w:t>
      </w:r>
      <w:r w:rsidRPr="00511005">
        <w:rPr>
          <w:rFonts w:ascii="Arial" w:eastAsia="Calibri" w:hAnsi="Arial" w:cs="Arial"/>
          <w:szCs w:val="28"/>
        </w:rPr>
        <w:t>[8]</w:t>
      </w:r>
      <w:r w:rsidRPr="00511005">
        <w:rPr>
          <w:rFonts w:ascii="Arial" w:eastAsia="Calibri" w:hAnsi="Arial" w:cs="Arial"/>
          <w:szCs w:val="28"/>
          <w:lang w:val="uk-UA"/>
        </w:rPr>
        <w:t>.</w:t>
      </w:r>
    </w:p>
    <w:p w14:paraId="349A8457" w14:textId="77777777" w:rsidR="00532C25" w:rsidRPr="00511005" w:rsidRDefault="00532C25" w:rsidP="00532C25">
      <w:pPr>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Основним технічним рішенням стало використання сучасного стеку веб-технологій</w:t>
      </w:r>
      <w:r w:rsidRPr="00511005">
        <w:rPr>
          <w:rFonts w:ascii="Arial" w:eastAsia="Calibri" w:hAnsi="Arial" w:cs="Arial"/>
          <w:szCs w:val="28"/>
        </w:rPr>
        <w:t xml:space="preserve"> [1]</w:t>
      </w:r>
      <w:r w:rsidRPr="00511005">
        <w:rPr>
          <w:rFonts w:ascii="Arial" w:eastAsia="Calibri" w:hAnsi="Arial" w:cs="Arial"/>
          <w:szCs w:val="28"/>
          <w:lang w:val="uk-UA"/>
        </w:rPr>
        <w:t>. Для back-end розробки був обраний Python з фреймворком Flask, що дозволило реалізувати складну бізнес-логіку при відносно невеликих витратах на розробку [3]. Використання SQLite як системи керування базами даних забезпечило стабільне зберігання інформації без необхідності розгортання додаткових серверних рішень. Front-end частина була реалізована за допомогою класичного набору веб-технологій: HTML5 для розмітки, CSS3 для стилізації та JavaScript для реалізації інтерактивності.</w:t>
      </w:r>
    </w:p>
    <w:p w14:paraId="26D3D2CD" w14:textId="77777777" w:rsidR="00532C25" w:rsidRPr="00511005" w:rsidRDefault="00532C25" w:rsidP="00532C25">
      <w:pPr>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Важливим аспектом проекту стало забезпечення зручності роботи з системою для користувачів з різним рівнем комп'ютерної підготовки</w:t>
      </w:r>
      <w:r w:rsidRPr="00511005">
        <w:rPr>
          <w:rFonts w:ascii="Arial" w:eastAsia="Calibri" w:hAnsi="Arial" w:cs="Arial"/>
          <w:szCs w:val="28"/>
        </w:rPr>
        <w:t xml:space="preserve"> [4]</w:t>
      </w:r>
      <w:r w:rsidRPr="00511005">
        <w:rPr>
          <w:rFonts w:ascii="Arial" w:eastAsia="Calibri" w:hAnsi="Arial" w:cs="Arial"/>
          <w:szCs w:val="28"/>
          <w:lang w:val="uk-UA"/>
        </w:rPr>
        <w:t>. Інтерфейс був розроблений з урахуванням принципів зручного використання, що дозволило мінімізувати час навчання роботі з системою. Для керівників підприємств реалізовано зручний інструментарій для контролю робочого часу співробітників та аналізу трудових показників.</w:t>
      </w:r>
    </w:p>
    <w:p w14:paraId="274ACA1B" w14:textId="77777777" w:rsidR="00532C25" w:rsidRPr="00511005" w:rsidRDefault="00532C25" w:rsidP="00532C25">
      <w:pPr>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Система безпеки включає кілька рівнів захисту даних. Основним елементом стало хешування паролів за допомогою алгоритму SHA-256, що забезпечує надійний захист облікових записів користувачів</w:t>
      </w:r>
      <w:r w:rsidRPr="00511005">
        <w:rPr>
          <w:rFonts w:ascii="Arial" w:eastAsia="Calibri" w:hAnsi="Arial" w:cs="Arial"/>
          <w:szCs w:val="28"/>
        </w:rPr>
        <w:t xml:space="preserve"> [6]</w:t>
      </w:r>
      <w:r w:rsidRPr="00511005">
        <w:rPr>
          <w:rFonts w:ascii="Arial" w:eastAsia="Calibri" w:hAnsi="Arial" w:cs="Arial"/>
          <w:szCs w:val="28"/>
          <w:lang w:val="uk-UA"/>
        </w:rPr>
        <w:t>. Додатково реалізовано систему обмеження доступу до конфіденційної інформації, яка дозволяє кожному користувачеві бачити лише ті дані, які стосуються безпосередньо його роботи [6].</w:t>
      </w:r>
    </w:p>
    <w:p w14:paraId="7B383A28" w14:textId="77777777" w:rsidR="00532C25" w:rsidRPr="00511005" w:rsidRDefault="00532C25" w:rsidP="00532C25">
      <w:pPr>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Процес тестування системи включав кілька етапів: від юніт-тестування окремих модулів до комплексного навантажувального тестування</w:t>
      </w:r>
      <w:r w:rsidRPr="00511005">
        <w:rPr>
          <w:rFonts w:ascii="Arial" w:eastAsia="Calibri" w:hAnsi="Arial" w:cs="Arial"/>
          <w:szCs w:val="28"/>
        </w:rPr>
        <w:t xml:space="preserve"> [7]</w:t>
      </w:r>
      <w:r w:rsidRPr="00511005">
        <w:rPr>
          <w:rFonts w:ascii="Arial" w:eastAsia="Calibri" w:hAnsi="Arial" w:cs="Arial"/>
          <w:szCs w:val="28"/>
          <w:lang w:val="uk-UA"/>
        </w:rPr>
        <w:t xml:space="preserve">. </w:t>
      </w:r>
      <w:r w:rsidRPr="00511005">
        <w:rPr>
          <w:rFonts w:ascii="Arial" w:eastAsia="Calibri" w:hAnsi="Arial" w:cs="Arial"/>
          <w:szCs w:val="28"/>
          <w:lang w:val="uk-UA"/>
        </w:rPr>
        <w:lastRenderedPageBreak/>
        <w:t>Особливу увагу приділено перевірці коректності розрахунків заробітної плати, оскільки саме ця функція є ключовою для системи. Тестування проводилось на різних наборах вхідних даних, включаючи граничні значення та нестандартні ситуації.</w:t>
      </w:r>
    </w:p>
    <w:p w14:paraId="371C1442" w14:textId="77777777" w:rsidR="00532C25" w:rsidRPr="00511005" w:rsidRDefault="00532C25" w:rsidP="00532C25">
      <w:pPr>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Результатом роботи став повноцінний програмний продукт, який вже готовий до впровадження на малих та середніх підприємствах</w:t>
      </w:r>
      <w:r w:rsidRPr="00511005">
        <w:rPr>
          <w:rFonts w:ascii="Arial" w:eastAsia="Calibri" w:hAnsi="Arial" w:cs="Arial"/>
          <w:szCs w:val="28"/>
        </w:rPr>
        <w:t xml:space="preserve"> [7]</w:t>
      </w:r>
      <w:r w:rsidRPr="00511005">
        <w:rPr>
          <w:rFonts w:ascii="Arial" w:eastAsia="Calibri" w:hAnsi="Arial" w:cs="Arial"/>
          <w:szCs w:val="28"/>
          <w:lang w:val="uk-UA"/>
        </w:rPr>
        <w:t>. Система демонструє стабільну роботу при одночасній роботі до 100 користувачів, що цілком відповідає потребам цільової аудиторії. Запропоноване рішення дозволяє не тільки автоматизувати рутинні облікові процеси, але й забезпечує прозорість розрахунків для всіх учасників трудового процесу.</w:t>
      </w:r>
    </w:p>
    <w:p w14:paraId="4B41E80A" w14:textId="77777777" w:rsidR="00532C25" w:rsidRPr="00511005" w:rsidRDefault="00532C25" w:rsidP="00532C25">
      <w:pPr>
        <w:widowControl w:val="0"/>
        <w:spacing w:line="264" w:lineRule="auto"/>
        <w:ind w:firstLine="567"/>
        <w:rPr>
          <w:rFonts w:ascii="Arial" w:eastAsia="Calibri" w:hAnsi="Arial" w:cs="Arial"/>
          <w:szCs w:val="28"/>
          <w:lang w:val="uk-UA"/>
        </w:rPr>
      </w:pPr>
      <w:r w:rsidRPr="00511005">
        <w:rPr>
          <w:rFonts w:ascii="Arial" w:eastAsia="Calibri" w:hAnsi="Arial" w:cs="Arial"/>
          <w:szCs w:val="28"/>
          <w:lang w:val="uk-UA"/>
        </w:rPr>
        <w:t xml:space="preserve">Перспективи подальшого розвитку системи включають розширення функціоналу за рахунок додавання нових модулів, таких як аналітика трудових показників, інтеграція з банківськими системами для автоматичного нарахування заробітної плати, а також розробка мобільного додатка для зручної роботи з системою </w:t>
      </w:r>
      <w:r w:rsidRPr="00511005">
        <w:rPr>
          <w:rFonts w:ascii="Arial" w:eastAsia="Calibri" w:hAnsi="Arial" w:cs="Arial"/>
          <w:szCs w:val="28"/>
        </w:rPr>
        <w:t>[4, 5]</w:t>
      </w:r>
      <w:r w:rsidRPr="00511005">
        <w:rPr>
          <w:rFonts w:ascii="Arial" w:eastAsia="Calibri" w:hAnsi="Arial" w:cs="Arial"/>
          <w:szCs w:val="28"/>
          <w:lang w:val="uk-UA"/>
        </w:rPr>
        <w:t>. Важливим напрямком розвитку є також адаптація системи до змін у трудовому законодавстві, що дозволить забезпечити її актуальність у довгостроковій перспективі</w:t>
      </w:r>
      <w:r w:rsidRPr="00511005">
        <w:rPr>
          <w:rFonts w:ascii="Arial" w:eastAsia="Calibri" w:hAnsi="Arial" w:cs="Arial"/>
          <w:szCs w:val="28"/>
        </w:rPr>
        <w:t xml:space="preserve"> [8]</w:t>
      </w:r>
      <w:r w:rsidRPr="00511005">
        <w:rPr>
          <w:rFonts w:ascii="Arial" w:eastAsia="Calibri" w:hAnsi="Arial" w:cs="Arial"/>
          <w:szCs w:val="28"/>
          <w:lang w:val="uk-UA"/>
        </w:rPr>
        <w:t>.</w:t>
      </w:r>
    </w:p>
    <w:p w14:paraId="3A6FAD16"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Розроблена система автоматизації розрахунку заробітної плати та обліку робочого часу є сучасним та ефективним рішенням для малих і середніх підприємств. Використання веб-технологій на базі Python та Flask забезпечило оптимальне поєднання продуктивності та економічної доцільності [3]. Система відрізняється адаптацією до вимог українського трудового законодавства, що підвищує її практичну цінність</w:t>
      </w:r>
      <w:r w:rsidRPr="00511005">
        <w:rPr>
          <w:rFonts w:ascii="Arial" w:eastAsia="Calibri" w:hAnsi="Arial" w:cs="Arial"/>
          <w:szCs w:val="28"/>
        </w:rPr>
        <w:t xml:space="preserve"> [8]</w:t>
      </w:r>
      <w:r w:rsidRPr="00511005">
        <w:rPr>
          <w:rFonts w:ascii="Arial" w:eastAsia="Calibri" w:hAnsi="Arial" w:cs="Arial"/>
          <w:szCs w:val="28"/>
          <w:lang w:val="uk-UA"/>
        </w:rPr>
        <w:t>. Інтуїтивно зрозумілий інтерфейс значно спрощує процес освоєння для користувачів з різним рівнем підготовки</w:t>
      </w:r>
      <w:r w:rsidRPr="00511005">
        <w:rPr>
          <w:rFonts w:ascii="Arial" w:eastAsia="Calibri" w:hAnsi="Arial" w:cs="Arial"/>
          <w:szCs w:val="28"/>
        </w:rPr>
        <w:t xml:space="preserve"> [4]</w:t>
      </w:r>
      <w:r w:rsidRPr="00511005">
        <w:rPr>
          <w:rFonts w:ascii="Arial" w:eastAsia="Calibri" w:hAnsi="Arial" w:cs="Arial"/>
          <w:szCs w:val="28"/>
          <w:lang w:val="uk-UA"/>
        </w:rPr>
        <w:t>.</w:t>
      </w:r>
    </w:p>
    <w:p w14:paraId="694FFC9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Важливою перевагою системи є реалізація надійних механізмів захисту даних, зокрема через використання алгоритму SHA-256 для хешування паролів [6]. Проведені тести підтвердили стабільність роботи навіть за умов одночасного доступу великої кількості користувачів</w:t>
      </w:r>
      <w:r w:rsidRPr="00511005">
        <w:rPr>
          <w:rFonts w:ascii="Arial" w:eastAsia="Calibri" w:hAnsi="Arial" w:cs="Arial"/>
          <w:szCs w:val="28"/>
        </w:rPr>
        <w:t xml:space="preserve"> [7]</w:t>
      </w:r>
      <w:r w:rsidRPr="00511005">
        <w:rPr>
          <w:rFonts w:ascii="Arial" w:eastAsia="Calibri" w:hAnsi="Arial" w:cs="Arial"/>
          <w:szCs w:val="28"/>
          <w:lang w:val="uk-UA"/>
        </w:rPr>
        <w:t>. Автоматизація облікових процесів усуває ризик людських помилок і забезпечує прозорість нарахувань.</w:t>
      </w:r>
    </w:p>
    <w:p w14:paraId="3C99C6E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Перспективи вдосконалення системи пов'язані з розширенням функціоналу, інтеграцією з банківськими платіжними системами та розробкою мобільного додатка. Додаткова адаптація до змін законодавства дозволить підтримувати актуальність рішення у довгостроковій перспективі. Впровадження цієї системи відкриває нові можливості для оптимізації бізнес-процесів і підвищення ефективності управління персоналом.</w:t>
      </w:r>
    </w:p>
    <w:p w14:paraId="72717A64" w14:textId="77777777" w:rsidR="00532C25" w:rsidRPr="00511005" w:rsidRDefault="00532C25" w:rsidP="00532C25">
      <w:pPr>
        <w:spacing w:line="264" w:lineRule="auto"/>
        <w:ind w:firstLine="720"/>
        <w:rPr>
          <w:rFonts w:ascii="Arial" w:eastAsia="Calibri" w:hAnsi="Arial" w:cs="Arial"/>
          <w:szCs w:val="28"/>
          <w:lang w:val="uk-UA"/>
        </w:rPr>
      </w:pPr>
    </w:p>
    <w:p w14:paraId="067137AE" w14:textId="77777777" w:rsidR="00532C25" w:rsidRPr="00511005" w:rsidRDefault="00532C25" w:rsidP="00532C25">
      <w:pPr>
        <w:widowControl w:val="0"/>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4071D0AC" w14:textId="77777777" w:rsidR="00532C25" w:rsidRPr="00511005" w:rsidRDefault="00532C25" w:rsidP="003F6A5D">
      <w:pPr>
        <w:widowControl w:val="0"/>
        <w:numPr>
          <w:ilvl w:val="0"/>
          <w:numId w:val="69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Розробка </w:t>
      </w:r>
      <w:r w:rsidRPr="00511005">
        <w:rPr>
          <w:rFonts w:ascii="Arial" w:eastAsia="Calibri" w:hAnsi="Arial" w:cs="Arial"/>
          <w:szCs w:val="28"/>
          <w:lang w:val="en-US"/>
        </w:rPr>
        <w:t>API</w:t>
      </w:r>
      <w:r w:rsidRPr="00511005">
        <w:rPr>
          <w:rFonts w:ascii="Arial" w:eastAsia="Calibri" w:hAnsi="Arial" w:cs="Arial"/>
          <w:szCs w:val="28"/>
          <w:lang w:val="uk-UA"/>
        </w:rPr>
        <w:t xml:space="preserve"> на </w:t>
      </w:r>
      <w:r w:rsidRPr="00511005">
        <w:rPr>
          <w:rFonts w:ascii="Arial" w:eastAsia="Calibri" w:hAnsi="Arial" w:cs="Arial"/>
          <w:szCs w:val="28"/>
          <w:lang w:val="en-US"/>
        </w:rPr>
        <w:t>Python</w:t>
      </w:r>
      <w:r w:rsidRPr="00511005">
        <w:rPr>
          <w:rFonts w:ascii="Arial" w:eastAsia="Calibri" w:hAnsi="Arial" w:cs="Arial"/>
          <w:szCs w:val="28"/>
          <w:lang w:val="uk-UA"/>
        </w:rPr>
        <w:t xml:space="preserve">: </w:t>
      </w:r>
      <w:r w:rsidRPr="00511005">
        <w:rPr>
          <w:rFonts w:ascii="Arial" w:eastAsia="Calibri" w:hAnsi="Arial" w:cs="Arial"/>
          <w:szCs w:val="28"/>
          <w:lang w:val="en-US"/>
        </w:rPr>
        <w:t>realpython</w:t>
      </w:r>
      <w:r w:rsidRPr="00511005">
        <w:rPr>
          <w:rFonts w:ascii="Arial" w:eastAsia="Calibri" w:hAnsi="Arial" w:cs="Arial"/>
          <w:szCs w:val="28"/>
          <w:lang w:val="uk-UA"/>
        </w:rPr>
        <w:t>.</w:t>
      </w:r>
      <w:r w:rsidRPr="00511005">
        <w:rPr>
          <w:rFonts w:ascii="Arial" w:eastAsia="Calibri" w:hAnsi="Arial" w:cs="Arial"/>
          <w:szCs w:val="28"/>
          <w:lang w:val="en-US"/>
        </w:rPr>
        <w:t>com</w:t>
      </w:r>
      <w:r w:rsidRPr="00511005">
        <w:rPr>
          <w:rFonts w:ascii="Arial" w:eastAsia="Calibri" w:hAnsi="Arial" w:cs="Arial"/>
          <w:szCs w:val="28"/>
          <w:lang w:val="uk-UA"/>
        </w:rPr>
        <w:t>/</w:t>
      </w:r>
      <w:r w:rsidRPr="00511005">
        <w:rPr>
          <w:rFonts w:ascii="Arial" w:eastAsia="Calibri" w:hAnsi="Arial" w:cs="Arial"/>
          <w:szCs w:val="28"/>
          <w:lang w:val="en-US"/>
        </w:rPr>
        <w:t>api</w:t>
      </w:r>
      <w:r w:rsidRPr="00511005">
        <w:rPr>
          <w:rFonts w:ascii="Arial" w:eastAsia="Calibri" w:hAnsi="Arial" w:cs="Arial"/>
          <w:szCs w:val="28"/>
          <w:lang w:val="uk-UA"/>
        </w:rPr>
        <w:t>-</w:t>
      </w:r>
      <w:r w:rsidRPr="00511005">
        <w:rPr>
          <w:rFonts w:ascii="Arial" w:eastAsia="Calibri" w:hAnsi="Arial" w:cs="Arial"/>
          <w:szCs w:val="28"/>
          <w:lang w:val="en-US"/>
        </w:rPr>
        <w:t>integration</w:t>
      </w:r>
      <w:r w:rsidRPr="00511005">
        <w:rPr>
          <w:rFonts w:ascii="Arial" w:eastAsia="Calibri" w:hAnsi="Arial" w:cs="Arial"/>
          <w:szCs w:val="28"/>
          <w:lang w:val="uk-UA"/>
        </w:rPr>
        <w:t xml:space="preserve"> (дата звернення: 26.04.2025).</w:t>
      </w:r>
    </w:p>
    <w:p w14:paraId="695F34BE" w14:textId="77777777" w:rsidR="00532C25" w:rsidRPr="00511005" w:rsidRDefault="00532C25" w:rsidP="003F6A5D">
      <w:pPr>
        <w:widowControl w:val="0"/>
        <w:numPr>
          <w:ilvl w:val="0"/>
          <w:numId w:val="69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Коваленко В.В. "Сучасні системи автоматизації кадрового обліку" </w:t>
      </w:r>
      <w:r w:rsidRPr="00511005">
        <w:rPr>
          <w:rFonts w:ascii="Arial" w:eastAsia="Calibri" w:hAnsi="Arial" w:cs="Arial"/>
          <w:szCs w:val="28"/>
          <w:lang w:val="uk-UA"/>
        </w:rPr>
        <w:lastRenderedPageBreak/>
        <w:t>// Вісник КНЕУ. – 2022. – №3. – С.45-52.</w:t>
      </w:r>
    </w:p>
    <w:p w14:paraId="04774A33" w14:textId="77777777" w:rsidR="00532C25" w:rsidRPr="00511005" w:rsidRDefault="00532C25" w:rsidP="003F6A5D">
      <w:pPr>
        <w:widowControl w:val="0"/>
        <w:numPr>
          <w:ilvl w:val="0"/>
          <w:numId w:val="69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Петрова О.М. Web-розробка на Python: від основ до професійних рішень. – Харків: Фоліо, 2021.</w:t>
      </w:r>
    </w:p>
    <w:p w14:paraId="6F662C97" w14:textId="77777777" w:rsidR="00532C25" w:rsidRPr="00511005" w:rsidRDefault="00532C25" w:rsidP="003F6A5D">
      <w:pPr>
        <w:widowControl w:val="0"/>
        <w:numPr>
          <w:ilvl w:val="0"/>
          <w:numId w:val="69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Іваненко С.О. "Інноваційні підходи до автоматизації обліку робочого часу в умовах цифрової трансформації" // Цифрова економіка та технології. – 2025. – №2. – С. 78-89.</w:t>
      </w:r>
    </w:p>
    <w:p w14:paraId="3DC9812F" w14:textId="77777777" w:rsidR="00532C25" w:rsidRPr="00511005" w:rsidRDefault="00532C25" w:rsidP="003F6A5D">
      <w:pPr>
        <w:widowControl w:val="0"/>
        <w:numPr>
          <w:ilvl w:val="0"/>
          <w:numId w:val="69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Smith J., Lee H. "Advanced Web Applications for Small Businesses: Flask and Beyond" // International Journal of IT Solutions. – 2025. – Vol. 12. – P. 112-125.</w:t>
      </w:r>
    </w:p>
    <w:p w14:paraId="766DCA4D" w14:textId="77777777" w:rsidR="00532C25" w:rsidRPr="00511005" w:rsidRDefault="00532C25" w:rsidP="003F6A5D">
      <w:pPr>
        <w:widowControl w:val="0"/>
        <w:numPr>
          <w:ilvl w:val="0"/>
          <w:numId w:val="69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Козлов Д.В., Мельник А.А. "Безпека даних у веб-додатках: сучасні алгоритми шифрування та захисту" // Кібербезпека та інформаційні технології. – 2025. – №1. – С. 34-47.</w:t>
      </w:r>
    </w:p>
    <w:p w14:paraId="6CF6F131" w14:textId="77777777" w:rsidR="00532C25" w:rsidRPr="00511005" w:rsidRDefault="00532C25" w:rsidP="003F6A5D">
      <w:pPr>
        <w:widowControl w:val="0"/>
        <w:numPr>
          <w:ilvl w:val="0"/>
          <w:numId w:val="69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Brown L. "AI-Driven Automation in HR and Payroll Systems" // Tech Innovations Review. – 2025. – Vol. 8. – P. 55-68.</w:t>
      </w:r>
    </w:p>
    <w:p w14:paraId="588FE381" w14:textId="77777777" w:rsidR="00532C25" w:rsidRPr="00511005" w:rsidRDefault="00532C25" w:rsidP="003F6A5D">
      <w:pPr>
        <w:widowControl w:val="0"/>
        <w:numPr>
          <w:ilvl w:val="0"/>
          <w:numId w:val="697"/>
        </w:numPr>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Шевченко М.П. "Адаптація програмних рішень до змін трудового законодавства України" // Право та інформаційні технології. – 2025. – №4. – </w:t>
      </w:r>
      <w:r w:rsidRPr="00511005">
        <w:rPr>
          <w:rFonts w:ascii="Arial" w:eastAsia="Calibri" w:hAnsi="Arial" w:cs="Arial"/>
          <w:szCs w:val="28"/>
          <w:lang w:val="uk-UA"/>
        </w:rPr>
        <w:br/>
        <w:t>С. 22-35.</w:t>
      </w:r>
    </w:p>
    <w:p w14:paraId="2317ABB3" w14:textId="77777777" w:rsidR="00532C25" w:rsidRPr="00511005" w:rsidRDefault="00532C25" w:rsidP="00532C25">
      <w:pPr>
        <w:spacing w:line="264" w:lineRule="auto"/>
        <w:ind w:firstLine="567"/>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автоматизація, заробітна плата, облік робочого часу, веб-додаток, кібербезпека, веб-розробка, HR-автоматизація, інформаційні технології.</w:t>
      </w:r>
    </w:p>
    <w:p w14:paraId="5E22B1B7" w14:textId="77777777" w:rsidR="00532C25" w:rsidRPr="00511005" w:rsidRDefault="00532C25" w:rsidP="00532C25">
      <w:pPr>
        <w:spacing w:line="264" w:lineRule="auto"/>
        <w:ind w:firstLine="567"/>
        <w:rPr>
          <w:rFonts w:ascii="Arial" w:eastAsia="Calibri" w:hAnsi="Arial" w:cs="Arial"/>
          <w:szCs w:val="28"/>
          <w:lang w:val="en-US"/>
        </w:rPr>
      </w:pPr>
      <w:r w:rsidRPr="00511005">
        <w:rPr>
          <w:rFonts w:ascii="Arial" w:eastAsia="Calibri" w:hAnsi="Arial" w:cs="Arial"/>
          <w:b/>
          <w:bCs/>
          <w:i/>
          <w:szCs w:val="28"/>
          <w:lang w:val="en-US"/>
        </w:rPr>
        <w:t xml:space="preserve">Key words: </w:t>
      </w:r>
      <w:r w:rsidRPr="00511005">
        <w:rPr>
          <w:rFonts w:ascii="Arial" w:eastAsia="Calibri" w:hAnsi="Arial" w:cs="Arial"/>
          <w:szCs w:val="28"/>
          <w:lang w:val="en-US"/>
        </w:rPr>
        <w:t>automation, salary, accounting for working hours, web application, cybersecurity, web development, HR automation, information technology.</w:t>
      </w:r>
    </w:p>
    <w:p w14:paraId="7408A274" w14:textId="77777777" w:rsidR="00532C25" w:rsidRPr="00511005" w:rsidRDefault="00532C25" w:rsidP="00532C25">
      <w:pPr>
        <w:spacing w:line="264" w:lineRule="auto"/>
        <w:ind w:firstLine="567"/>
        <w:rPr>
          <w:rFonts w:ascii="Arial" w:eastAsia="Calibri" w:hAnsi="Arial" w:cs="Arial"/>
          <w:szCs w:val="28"/>
          <w:lang w:val="uk-UA"/>
        </w:rPr>
      </w:pPr>
      <w:r w:rsidRPr="00511005">
        <w:rPr>
          <w:rFonts w:ascii="Arial" w:eastAsia="Calibri" w:hAnsi="Arial" w:cs="Arial"/>
          <w:b/>
          <w:i/>
          <w:iCs/>
          <w:szCs w:val="28"/>
        </w:rPr>
        <w:t xml:space="preserve">Науковий керівник: </w:t>
      </w:r>
      <w:r w:rsidRPr="00511005">
        <w:rPr>
          <w:rFonts w:ascii="Arial" w:eastAsia="Calibri" w:hAnsi="Arial" w:cs="Arial"/>
          <w:i/>
          <w:iCs/>
          <w:szCs w:val="28"/>
        </w:rPr>
        <w:t>к</w:t>
      </w:r>
      <w:r w:rsidRPr="00511005">
        <w:rPr>
          <w:rFonts w:ascii="Arial" w:eastAsia="Calibri" w:hAnsi="Arial" w:cs="Arial"/>
          <w:i/>
          <w:iCs/>
          <w:szCs w:val="28"/>
          <w:lang w:val="uk-UA"/>
        </w:rPr>
        <w:t>.</w:t>
      </w:r>
      <w:r w:rsidRPr="00511005">
        <w:rPr>
          <w:rFonts w:ascii="Arial" w:eastAsia="Calibri" w:hAnsi="Arial" w:cs="Arial"/>
          <w:i/>
          <w:iCs/>
          <w:szCs w:val="28"/>
        </w:rPr>
        <w:t>т</w:t>
      </w:r>
      <w:r w:rsidRPr="00511005">
        <w:rPr>
          <w:rFonts w:ascii="Arial" w:eastAsia="Calibri" w:hAnsi="Arial" w:cs="Arial"/>
          <w:i/>
          <w:iCs/>
          <w:szCs w:val="28"/>
          <w:lang w:val="uk-UA"/>
        </w:rPr>
        <w:t>.</w:t>
      </w:r>
      <w:r w:rsidRPr="00511005">
        <w:rPr>
          <w:rFonts w:ascii="Arial" w:eastAsia="Calibri" w:hAnsi="Arial" w:cs="Arial"/>
          <w:i/>
          <w:iCs/>
          <w:szCs w:val="28"/>
        </w:rPr>
        <w:t>н</w:t>
      </w:r>
      <w:r w:rsidRPr="00511005">
        <w:rPr>
          <w:rFonts w:ascii="Arial" w:eastAsia="Calibri" w:hAnsi="Arial" w:cs="Arial"/>
          <w:i/>
          <w:iCs/>
          <w:szCs w:val="28"/>
          <w:lang w:val="uk-UA"/>
        </w:rPr>
        <w:t xml:space="preserve">. </w:t>
      </w:r>
      <w:r w:rsidRPr="00511005">
        <w:rPr>
          <w:rFonts w:ascii="Arial" w:eastAsia="Calibri" w:hAnsi="Arial" w:cs="Arial"/>
          <w:i/>
          <w:iCs/>
          <w:szCs w:val="28"/>
        </w:rPr>
        <w:t>Гура В.І.</w:t>
      </w:r>
    </w:p>
    <w:p w14:paraId="0A4D2857" w14:textId="77777777" w:rsidR="00532C25" w:rsidRPr="00511005" w:rsidRDefault="00532C25" w:rsidP="00532C25">
      <w:pPr>
        <w:spacing w:line="264" w:lineRule="auto"/>
        <w:ind w:firstLine="0"/>
        <w:rPr>
          <w:rFonts w:ascii="Arial" w:eastAsia="Calibri" w:hAnsi="Arial" w:cs="Arial"/>
          <w:szCs w:val="28"/>
          <w:lang w:val="uk-UA"/>
        </w:rPr>
      </w:pPr>
    </w:p>
    <w:p w14:paraId="4D11502C" w14:textId="77777777" w:rsidR="00532C25" w:rsidRPr="00511005" w:rsidRDefault="00532C25" w:rsidP="00532C25">
      <w:pPr>
        <w:spacing w:line="264" w:lineRule="auto"/>
        <w:ind w:firstLine="0"/>
        <w:rPr>
          <w:rFonts w:ascii="Arial" w:eastAsia="Calibri" w:hAnsi="Arial" w:cs="Arial"/>
          <w:szCs w:val="28"/>
          <w:lang w:val="uk-UA"/>
        </w:rPr>
      </w:pPr>
    </w:p>
    <w:p w14:paraId="2C3D7529" w14:textId="77777777" w:rsidR="00532C25" w:rsidRPr="00511005" w:rsidRDefault="00532C25" w:rsidP="00532C25">
      <w:pPr>
        <w:widowControl w:val="0"/>
        <w:suppressAutoHyphens/>
        <w:spacing w:line="264" w:lineRule="auto"/>
        <w:ind w:firstLine="0"/>
        <w:jc w:val="center"/>
        <w:rPr>
          <w:rFonts w:ascii="Arial" w:eastAsia="Arial" w:hAnsi="Arial" w:cs="Arial"/>
          <w:kern w:val="1"/>
          <w:szCs w:val="28"/>
          <w:lang w:val="uk-UA" w:eastAsia="ar-SA"/>
        </w:rPr>
      </w:pPr>
      <w:bookmarkStart w:id="285" w:name="_Hlk149570995"/>
      <w:r w:rsidRPr="00511005">
        <w:rPr>
          <w:rFonts w:ascii="Arial" w:eastAsia="Arial" w:hAnsi="Arial" w:cs="Arial"/>
          <w:b/>
          <w:i/>
          <w:iCs/>
          <w:kern w:val="1"/>
          <w:szCs w:val="28"/>
          <w:lang w:val="uk-UA" w:eastAsia="ar-SA"/>
        </w:rPr>
        <w:t>Дем’янова Тетяна</w:t>
      </w:r>
      <w:r w:rsidRPr="00511005">
        <w:rPr>
          <w:rFonts w:ascii="Arial" w:eastAsia="Arial" w:hAnsi="Arial" w:cs="Arial"/>
          <w:kern w:val="1"/>
          <w:szCs w:val="28"/>
          <w:lang w:val="uk-UA" w:eastAsia="ar-SA"/>
        </w:rPr>
        <w:t xml:space="preserve"> </w:t>
      </w:r>
    </w:p>
    <w:p w14:paraId="4CC4832E" w14:textId="77777777" w:rsidR="00532C25" w:rsidRPr="00511005" w:rsidRDefault="00532C25" w:rsidP="00532C25">
      <w:pPr>
        <w:widowControl w:val="0"/>
        <w:suppressAutoHyphens/>
        <w:spacing w:line="264" w:lineRule="auto"/>
        <w:ind w:firstLine="0"/>
        <w:jc w:val="center"/>
        <w:rPr>
          <w:rFonts w:ascii="Arial" w:eastAsia="Arial" w:hAnsi="Arial" w:cs="Arial"/>
          <w:kern w:val="1"/>
          <w:szCs w:val="28"/>
          <w:lang w:val="uk-UA" w:eastAsia="ar-SA"/>
        </w:rPr>
      </w:pPr>
      <w:r w:rsidRPr="00511005">
        <w:rPr>
          <w:rFonts w:ascii="Arial" w:eastAsia="Arial" w:hAnsi="Arial" w:cs="Arial"/>
          <w:kern w:val="1"/>
          <w:szCs w:val="28"/>
          <w:lang w:val="uk-UA" w:eastAsia="ar-SA"/>
        </w:rPr>
        <w:t>студентка 4-го курсу факультету кібербезпеки та інформаційних технологій Національного університету «Одеська юридична академія»</w:t>
      </w:r>
    </w:p>
    <w:p w14:paraId="29E95B05" w14:textId="77777777" w:rsidR="00532C25" w:rsidRPr="00511005" w:rsidRDefault="00532C25" w:rsidP="00532C25">
      <w:pPr>
        <w:widowControl w:val="0"/>
        <w:suppressAutoHyphens/>
        <w:spacing w:line="264" w:lineRule="auto"/>
        <w:ind w:firstLine="0"/>
        <w:jc w:val="center"/>
        <w:rPr>
          <w:rFonts w:ascii="Arial" w:eastAsia="Arial" w:hAnsi="Arial" w:cs="Arial"/>
          <w:kern w:val="1"/>
          <w:szCs w:val="28"/>
          <w:lang w:val="uk-UA" w:eastAsia="ar-SA"/>
        </w:rPr>
      </w:pPr>
    </w:p>
    <w:p w14:paraId="7855AA73" w14:textId="77777777" w:rsidR="00532C25" w:rsidRPr="00511005" w:rsidRDefault="00532C25" w:rsidP="00532C25">
      <w:pPr>
        <w:spacing w:line="264" w:lineRule="auto"/>
        <w:ind w:firstLine="0"/>
        <w:jc w:val="center"/>
        <w:rPr>
          <w:rFonts w:ascii="Arial" w:eastAsia="Calibri" w:hAnsi="Arial" w:cs="Arial"/>
          <w:b/>
          <w:caps/>
          <w:szCs w:val="28"/>
          <w:lang w:val="uk-UA"/>
        </w:rPr>
      </w:pPr>
      <w:r w:rsidRPr="00511005">
        <w:rPr>
          <w:rFonts w:ascii="Arial" w:eastAsia="Calibri" w:hAnsi="Arial" w:cs="Arial"/>
          <w:b/>
          <w:caps/>
          <w:szCs w:val="28"/>
          <w:lang w:val="uk-UA"/>
        </w:rPr>
        <w:t>CRM-системи як інструмент для розвитку малого бізнесу</w:t>
      </w:r>
    </w:p>
    <w:bookmarkEnd w:id="285"/>
    <w:p w14:paraId="0979039A" w14:textId="77777777" w:rsidR="00532C25" w:rsidRPr="00511005" w:rsidRDefault="00532C25" w:rsidP="00532C25">
      <w:pPr>
        <w:spacing w:line="264" w:lineRule="auto"/>
        <w:ind w:firstLineChars="252" w:firstLine="706"/>
        <w:rPr>
          <w:rFonts w:ascii="Arial" w:eastAsia="Arial" w:hAnsi="Arial" w:cs="Arial"/>
          <w:szCs w:val="28"/>
          <w:lang w:val="uk-UA"/>
        </w:rPr>
      </w:pPr>
      <w:r w:rsidRPr="00511005">
        <w:rPr>
          <w:rFonts w:ascii="Arial" w:eastAsia="Arial" w:hAnsi="Arial" w:cs="Arial"/>
          <w:szCs w:val="28"/>
          <w:lang w:val="uk-UA"/>
        </w:rPr>
        <w:t xml:space="preserve">У сучасному діловому світі конкуренція зростає з кожним днем, навіть у творчих нішах, на кшталт </w:t>
      </w:r>
      <w:r w:rsidRPr="00511005">
        <w:rPr>
          <w:rFonts w:ascii="Arial" w:eastAsia="Arial" w:hAnsi="Arial" w:cs="Arial"/>
          <w:i/>
          <w:szCs w:val="28"/>
          <w:lang w:val="uk-UA"/>
        </w:rPr>
        <w:t>handmade</w:t>
      </w:r>
      <w:r w:rsidRPr="00511005">
        <w:rPr>
          <w:rFonts w:ascii="Arial" w:eastAsia="Arial" w:hAnsi="Arial" w:cs="Arial"/>
          <w:szCs w:val="28"/>
          <w:lang w:val="uk-UA"/>
        </w:rPr>
        <w:t xml:space="preserve"> виробів. Щоб бути успішними, підприємці мусять не лише виробляти якісний продукт, але й вибудовувати взаємини з клієнтами, тож саме для цього існують CRM-системи</w:t>
      </w:r>
      <w:r w:rsidRPr="00511005">
        <w:rPr>
          <w:rFonts w:ascii="Arial" w:eastAsia="Arial" w:hAnsi="Arial" w:cs="Arial"/>
          <w:szCs w:val="28"/>
          <w:vertAlign w:val="superscript"/>
          <w:lang w:val="uk-UA"/>
        </w:rPr>
        <w:t xml:space="preserve"> </w:t>
      </w:r>
      <w:r w:rsidRPr="00511005">
        <w:rPr>
          <w:rFonts w:ascii="Arial" w:eastAsia="Arial" w:hAnsi="Arial" w:cs="Arial"/>
          <w:szCs w:val="28"/>
          <w:lang w:val="uk-UA"/>
        </w:rPr>
        <w:t>– інструменти, які допомагають автоматизувати взаємодію з клієнтами, збільшити обсяги продажів та покращити сервіс [1].</w:t>
      </w:r>
    </w:p>
    <w:p w14:paraId="028BEE4F" w14:textId="77777777" w:rsidR="00532C25" w:rsidRPr="00511005" w:rsidRDefault="00532C25" w:rsidP="00532C25">
      <w:pPr>
        <w:spacing w:line="264" w:lineRule="auto"/>
        <w:ind w:firstLineChars="252" w:firstLine="706"/>
        <w:rPr>
          <w:rFonts w:ascii="Arial" w:eastAsia="Arial" w:hAnsi="Arial" w:cs="Arial"/>
          <w:szCs w:val="28"/>
          <w:lang w:val="uk-UA"/>
        </w:rPr>
      </w:pPr>
      <w:r w:rsidRPr="00511005">
        <w:rPr>
          <w:rFonts w:ascii="Arial" w:eastAsia="Arial" w:hAnsi="Arial" w:cs="Arial"/>
          <w:szCs w:val="28"/>
          <w:lang w:val="uk-UA"/>
        </w:rPr>
        <w:t xml:space="preserve">CRM-система дає змогу вибудувати міцну систему повторних продажів, завдяки збереженій інформації про замовлення та уподобання клієнта, можна запропонувати йому нові вироби, які якнайкраще відповідатимуть його смаку чи попереднім покупкам. Це створює відчуття персонального підходу, що надзвичайно цінне у </w:t>
      </w:r>
      <w:r w:rsidRPr="00511005">
        <w:rPr>
          <w:rFonts w:ascii="Arial" w:eastAsia="Arial" w:hAnsi="Arial" w:cs="Arial"/>
          <w:i/>
          <w:szCs w:val="28"/>
          <w:lang w:val="uk-UA"/>
        </w:rPr>
        <w:t>handmade</w:t>
      </w:r>
      <w:r w:rsidRPr="00511005">
        <w:rPr>
          <w:rFonts w:ascii="Arial" w:eastAsia="Arial" w:hAnsi="Arial" w:cs="Arial"/>
          <w:szCs w:val="28"/>
          <w:lang w:val="uk-UA"/>
        </w:rPr>
        <w:t xml:space="preserve">-сфері [2]. Крім </w:t>
      </w:r>
      <w:r w:rsidRPr="00511005">
        <w:rPr>
          <w:rFonts w:ascii="Arial" w:eastAsia="Arial" w:hAnsi="Arial" w:cs="Arial"/>
          <w:szCs w:val="28"/>
          <w:lang w:val="uk-UA"/>
        </w:rPr>
        <w:lastRenderedPageBreak/>
        <w:t>того, CRM допомагає зменшити кількість помилок у замовленнях, наприклад: система може автоматично нагадувати про кінцеві терміни, попереджати про залишки матеріалів, що закінчуються, або фіксувати зміни в замовленні. Самє таким чином бізнес виглядає професійніше в очах клієнтів, що підвищує довіру і лояльність до бренду.</w:t>
      </w:r>
    </w:p>
    <w:p w14:paraId="4D420B7D" w14:textId="77777777" w:rsidR="00532C25" w:rsidRPr="00511005" w:rsidRDefault="00532C25" w:rsidP="00532C25">
      <w:pPr>
        <w:spacing w:line="264" w:lineRule="auto"/>
        <w:ind w:firstLineChars="252" w:firstLine="706"/>
        <w:rPr>
          <w:rFonts w:ascii="Arial" w:eastAsia="Arial" w:hAnsi="Arial" w:cs="Arial"/>
          <w:szCs w:val="28"/>
          <w:lang w:val="uk-UA"/>
        </w:rPr>
      </w:pPr>
      <w:r w:rsidRPr="00511005">
        <w:rPr>
          <w:rFonts w:ascii="Arial" w:eastAsia="Arial" w:hAnsi="Arial" w:cs="Arial"/>
          <w:szCs w:val="28"/>
          <w:lang w:val="uk-UA"/>
        </w:rPr>
        <w:t xml:space="preserve">Також </w:t>
      </w:r>
      <w:r w:rsidRPr="00511005">
        <w:rPr>
          <w:rFonts w:ascii="Arial" w:eastAsia="Arial" w:hAnsi="Arial" w:cs="Arial"/>
          <w:i/>
          <w:szCs w:val="28"/>
          <w:lang w:val="uk-UA"/>
        </w:rPr>
        <w:t>handmade</w:t>
      </w:r>
      <w:r w:rsidRPr="00511005">
        <w:rPr>
          <w:rFonts w:ascii="Arial" w:eastAsia="Arial" w:hAnsi="Arial" w:cs="Arial"/>
          <w:szCs w:val="28"/>
          <w:lang w:val="uk-UA"/>
        </w:rPr>
        <w:t xml:space="preserve"> часто працює в невеликих обсягах: один майстер або невеличка команда робить все – від виробництва до просування, що створює високе навантаження та потребу в автоматизації. Окрім того, вироби ручної роботи активно просуваються через соцмережі, а замовлення можуть надходити одночасно з кількох каналів </w:t>
      </w:r>
      <w:r w:rsidRPr="00511005">
        <w:rPr>
          <w:rFonts w:ascii="Arial" w:eastAsia="Calibri" w:hAnsi="Arial" w:cs="Arial"/>
          <w:szCs w:val="28"/>
          <w:lang w:val="uk-UA"/>
        </w:rPr>
        <w:t>–</w:t>
      </w:r>
      <w:r w:rsidRPr="00511005">
        <w:rPr>
          <w:rFonts w:ascii="Arial" w:eastAsia="Arial" w:hAnsi="Arial" w:cs="Arial"/>
          <w:szCs w:val="28"/>
          <w:lang w:val="uk-UA"/>
        </w:rPr>
        <w:t xml:space="preserve"> соціальних мереж Instagram, Facebook, сайтів, ярмарок, це доволі ускладнює обробку запитів і вимагає централізованого управління. Часті оновлення асортименту, обмежена кількість продукції та необхідність точного планування виробництва – ще одні виклики, з якими допомагає впоратися правильно підібрана CRM-система, бо для малого </w:t>
      </w:r>
      <w:r w:rsidRPr="00511005">
        <w:rPr>
          <w:rFonts w:ascii="Arial" w:eastAsia="Arial" w:hAnsi="Arial" w:cs="Arial"/>
          <w:i/>
          <w:szCs w:val="28"/>
          <w:lang w:val="uk-UA"/>
        </w:rPr>
        <w:t>handmade</w:t>
      </w:r>
      <w:r w:rsidRPr="00511005">
        <w:rPr>
          <w:rFonts w:ascii="Arial" w:eastAsia="Arial" w:hAnsi="Arial" w:cs="Arial"/>
          <w:szCs w:val="28"/>
          <w:lang w:val="uk-UA"/>
        </w:rPr>
        <w:t>-бізнесу дуже важливо, щоб система не вимагала тривалого навчання або технічних знань, простий, інтуїтивно зрозумілий інтерфейс дозволяє швидко впровадити систему в роботу і одразу почати отримувати результат, не витрачаючи час на адаптацію.</w:t>
      </w:r>
    </w:p>
    <w:p w14:paraId="79BF9C7E" w14:textId="77777777" w:rsidR="00532C25" w:rsidRPr="00511005" w:rsidRDefault="00532C25" w:rsidP="00532C25">
      <w:pPr>
        <w:spacing w:line="264" w:lineRule="auto"/>
        <w:ind w:firstLineChars="252" w:firstLine="706"/>
        <w:rPr>
          <w:rFonts w:ascii="Arial" w:eastAsia="Arial" w:hAnsi="Arial" w:cs="Arial"/>
          <w:szCs w:val="28"/>
          <w:lang w:val="uk-UA"/>
        </w:rPr>
      </w:pPr>
      <w:r w:rsidRPr="00511005">
        <w:rPr>
          <w:rFonts w:ascii="Arial" w:eastAsia="Arial" w:hAnsi="Arial" w:cs="Arial"/>
          <w:szCs w:val="28"/>
          <w:lang w:val="uk-UA"/>
        </w:rPr>
        <w:t xml:space="preserve">Малий бізнес має обмежений бюджет, тому вартість CRM-системи має бути адекватною. Багато сервісів пропонують безкоштовні тарифи або базові плани за доступною ціною, що ідеально підходить на початкових етапах розвитку </w:t>
      </w:r>
      <w:r w:rsidRPr="00511005">
        <w:rPr>
          <w:rFonts w:ascii="Arial" w:eastAsia="Arial" w:hAnsi="Arial" w:cs="Arial"/>
          <w:i/>
          <w:szCs w:val="28"/>
          <w:lang w:val="uk-UA"/>
        </w:rPr>
        <w:t>handmade</w:t>
      </w:r>
      <w:r w:rsidRPr="00511005">
        <w:rPr>
          <w:rFonts w:ascii="Arial" w:eastAsia="Arial" w:hAnsi="Arial" w:cs="Arial"/>
          <w:szCs w:val="28"/>
          <w:lang w:val="uk-UA"/>
        </w:rPr>
        <w:t>-проєкту (рис. 1).</w:t>
      </w:r>
    </w:p>
    <w:p w14:paraId="46E375B3" w14:textId="77777777" w:rsidR="00532C25" w:rsidRPr="00511005" w:rsidRDefault="00532C25" w:rsidP="00532C25">
      <w:pPr>
        <w:spacing w:line="264" w:lineRule="auto"/>
        <w:ind w:firstLine="0"/>
        <w:jc w:val="center"/>
        <w:rPr>
          <w:rFonts w:ascii="Arial" w:eastAsia="Arial" w:hAnsi="Arial" w:cs="Arial"/>
          <w:szCs w:val="28"/>
          <w:lang w:val="uk-UA"/>
        </w:rPr>
      </w:pPr>
      <w:r w:rsidRPr="00511005">
        <w:rPr>
          <w:rFonts w:ascii="Arial" w:eastAsia="Arial" w:hAnsi="Arial" w:cs="Arial"/>
          <w:noProof/>
          <w:szCs w:val="28"/>
          <w:lang w:val="uk-UA" w:eastAsia="ru-RU"/>
        </w:rPr>
        <w:drawing>
          <wp:inline distT="0" distB="0" distL="0" distR="0" wp14:anchorId="5DB43ADF" wp14:editId="66435C8B">
            <wp:extent cx="4915535" cy="2310765"/>
            <wp:effectExtent l="19050" t="0" r="0" b="0"/>
            <wp:docPr id="11" name="Рисунок 1" descr="Изображение выглядит как текст, снимок экрана, Шрифт, диаграмма&#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descr="Изображение выглядит как текст, снимок экрана, Шрифт, диаграмма&#10;&#10;Контент, сгенерированный ИИ, может содержать ошибки."/>
                    <pic:cNvPicPr/>
                  </pic:nvPicPr>
                  <pic:blipFill>
                    <a:blip r:embed="rId2397" cstate="print">
                      <a:extLst>
                        <a:ext uri="{28A0092B-C50C-407E-A947-70E740481C1C}">
                          <a14:useLocalDpi xmlns:a14="http://schemas.microsoft.com/office/drawing/2010/main" val="0"/>
                        </a:ext>
                      </a:extLst>
                    </a:blip>
                    <a:stretch>
                      <a:fillRect/>
                    </a:stretch>
                  </pic:blipFill>
                  <pic:spPr>
                    <a:xfrm>
                      <a:off x="0" y="0"/>
                      <a:ext cx="4915535" cy="2310765"/>
                    </a:xfrm>
                    <a:prstGeom prst="rect">
                      <a:avLst/>
                    </a:prstGeom>
                  </pic:spPr>
                </pic:pic>
              </a:graphicData>
            </a:graphic>
          </wp:inline>
        </w:drawing>
      </w:r>
    </w:p>
    <w:p w14:paraId="1F272B79" w14:textId="77777777" w:rsidR="00532C25" w:rsidRPr="00511005" w:rsidRDefault="00532C25" w:rsidP="00532C25">
      <w:pPr>
        <w:spacing w:line="264" w:lineRule="auto"/>
        <w:ind w:firstLine="0"/>
        <w:jc w:val="center"/>
        <w:rPr>
          <w:rFonts w:ascii="Arial" w:eastAsia="Arial" w:hAnsi="Arial" w:cs="Arial"/>
          <w:szCs w:val="28"/>
          <w:lang w:val="uk-UA"/>
        </w:rPr>
      </w:pPr>
      <w:r w:rsidRPr="00511005">
        <w:rPr>
          <w:rFonts w:ascii="Arial" w:eastAsia="Arial" w:hAnsi="Arial" w:cs="Arial"/>
          <w:szCs w:val="28"/>
          <w:lang w:val="uk-UA"/>
        </w:rPr>
        <w:t xml:space="preserve">Рисунок 1 </w:t>
      </w:r>
      <w:r w:rsidRPr="00511005">
        <w:rPr>
          <w:rFonts w:ascii="Arial" w:eastAsia="Times New Roman" w:hAnsi="Arial" w:cs="Arial"/>
          <w:szCs w:val="28"/>
          <w:lang w:val="uk-UA" w:eastAsia="ru-RU"/>
        </w:rPr>
        <w:t>–</w:t>
      </w:r>
      <w:r w:rsidRPr="00511005">
        <w:rPr>
          <w:rFonts w:ascii="Arial" w:eastAsia="Arial" w:hAnsi="Arial" w:cs="Arial"/>
          <w:szCs w:val="28"/>
          <w:lang w:val="uk-UA"/>
        </w:rPr>
        <w:t xml:space="preserve"> Взаємозв’язок критеріїв для вибору CRM-системи</w:t>
      </w:r>
    </w:p>
    <w:p w14:paraId="3CBB7376" w14:textId="77777777" w:rsidR="00532C25" w:rsidRPr="00511005" w:rsidRDefault="00532C25" w:rsidP="00532C25">
      <w:pPr>
        <w:spacing w:line="264" w:lineRule="auto"/>
        <w:ind w:firstLineChars="252" w:firstLine="706"/>
        <w:rPr>
          <w:rFonts w:ascii="Arial" w:eastAsia="Times New Roman" w:hAnsi="Arial" w:cs="Arial"/>
          <w:szCs w:val="28"/>
          <w:lang w:val="uk-UA" w:eastAsia="ru-RU"/>
        </w:rPr>
      </w:pPr>
      <w:r w:rsidRPr="00511005">
        <w:rPr>
          <w:rFonts w:ascii="Arial" w:eastAsia="Arial" w:hAnsi="Arial" w:cs="Arial"/>
          <w:szCs w:val="28"/>
          <w:lang w:val="uk-UA"/>
        </w:rPr>
        <w:t xml:space="preserve">Кожен </w:t>
      </w:r>
      <w:r w:rsidRPr="00511005">
        <w:rPr>
          <w:rFonts w:ascii="Arial" w:eastAsia="Arial" w:hAnsi="Arial" w:cs="Arial"/>
          <w:i/>
          <w:szCs w:val="28"/>
          <w:lang w:val="uk-UA"/>
        </w:rPr>
        <w:t>handmade</w:t>
      </w:r>
      <w:r w:rsidRPr="00511005">
        <w:rPr>
          <w:rFonts w:ascii="Arial" w:eastAsia="Arial" w:hAnsi="Arial" w:cs="Arial"/>
          <w:szCs w:val="28"/>
          <w:lang w:val="uk-UA"/>
        </w:rPr>
        <w:t>-бізнес має власні особливості: хтось шиє одяг, хтось виготовляє прикраси чи косметику, однак, важливо, щоб CRM можна було налаштувати під власні процеси – додати потрібні поля, етапи замовлення, теги для клієнтів тощо, що зробить систему максимально ефективною саме для спеціалізованої моделі роботи.</w:t>
      </w:r>
      <w:r w:rsidRPr="00511005">
        <w:rPr>
          <w:rFonts w:ascii="Arial" w:eastAsia="Times New Roman" w:hAnsi="Arial" w:cs="Arial"/>
          <w:szCs w:val="28"/>
          <w:lang w:val="uk-UA" w:eastAsia="ru-RU"/>
        </w:rPr>
        <w:t xml:space="preserve"> Тому, проаналізувавши існуючі варіанти, вибір звузився до чотирьох найбільш відповідних програмних рішень для умов малого </w:t>
      </w:r>
      <w:r w:rsidRPr="00511005">
        <w:rPr>
          <w:rFonts w:ascii="Arial" w:eastAsia="Times New Roman" w:hAnsi="Arial" w:cs="Arial"/>
          <w:i/>
          <w:szCs w:val="28"/>
          <w:lang w:val="uk-UA" w:eastAsia="ru-RU"/>
        </w:rPr>
        <w:t>handmade</w:t>
      </w:r>
      <w:r w:rsidRPr="00511005">
        <w:rPr>
          <w:rFonts w:ascii="Arial" w:eastAsia="Times New Roman" w:hAnsi="Arial" w:cs="Arial"/>
          <w:szCs w:val="28"/>
          <w:lang w:val="uk-UA" w:eastAsia="ru-RU"/>
        </w:rPr>
        <w:t>-бізнесу:</w:t>
      </w:r>
    </w:p>
    <w:p w14:paraId="7E4939AC" w14:textId="77777777" w:rsidR="00532C25" w:rsidRPr="00511005" w:rsidRDefault="00532C25" w:rsidP="00532C25">
      <w:pPr>
        <w:spacing w:line="264" w:lineRule="auto"/>
        <w:ind w:firstLineChars="252" w:firstLine="706"/>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KeyCRM – адаптована до </w:t>
      </w:r>
      <w:r w:rsidRPr="00511005">
        <w:rPr>
          <w:rFonts w:ascii="Arial" w:eastAsia="Arial" w:hAnsi="Arial" w:cs="Arial"/>
          <w:szCs w:val="28"/>
          <w:lang w:val="uk-UA"/>
        </w:rPr>
        <w:t>українського</w:t>
      </w:r>
      <w:r w:rsidRPr="00511005">
        <w:rPr>
          <w:rFonts w:ascii="Arial" w:eastAsia="Times New Roman" w:hAnsi="Arial" w:cs="Arial"/>
          <w:szCs w:val="28"/>
          <w:lang w:val="uk-UA" w:eastAsia="ru-RU"/>
        </w:rPr>
        <w:t xml:space="preserve"> ринку та забезпечує інтеграцію з локальними маркетплейсами [3];</w:t>
      </w:r>
    </w:p>
    <w:p w14:paraId="5A368A72" w14:textId="77777777" w:rsidR="00532C25" w:rsidRPr="00511005" w:rsidRDefault="00532C25" w:rsidP="00532C25">
      <w:pPr>
        <w:spacing w:line="264" w:lineRule="auto"/>
        <w:ind w:firstLineChars="252" w:firstLine="706"/>
        <w:rPr>
          <w:rFonts w:ascii="Arial" w:eastAsia="Times New Roman" w:hAnsi="Arial" w:cs="Arial"/>
          <w:szCs w:val="28"/>
          <w:lang w:val="uk-UA" w:eastAsia="ru-RU"/>
        </w:rPr>
      </w:pPr>
      <w:r w:rsidRPr="00511005">
        <w:rPr>
          <w:rFonts w:ascii="Arial" w:eastAsia="Times New Roman" w:hAnsi="Arial" w:cs="Arial"/>
          <w:szCs w:val="28"/>
          <w:lang w:val="uk-UA" w:eastAsia="ru-RU"/>
        </w:rPr>
        <w:t>Trello – простий і безкоштовний інструмент для візуального управління замовленнями [4];</w:t>
      </w:r>
    </w:p>
    <w:p w14:paraId="796A2721" w14:textId="77777777" w:rsidR="00532C25" w:rsidRPr="00511005" w:rsidRDefault="00532C25" w:rsidP="00532C25">
      <w:pPr>
        <w:spacing w:line="264" w:lineRule="auto"/>
        <w:ind w:firstLineChars="252" w:firstLine="706"/>
        <w:rPr>
          <w:rFonts w:ascii="Arial" w:eastAsia="Times New Roman" w:hAnsi="Arial" w:cs="Arial"/>
          <w:szCs w:val="28"/>
          <w:lang w:val="uk-UA" w:eastAsia="ru-RU"/>
        </w:rPr>
      </w:pPr>
      <w:r w:rsidRPr="00511005">
        <w:rPr>
          <w:rFonts w:ascii="Arial" w:eastAsia="Times New Roman" w:hAnsi="Arial" w:cs="Arial"/>
          <w:szCs w:val="28"/>
          <w:lang w:val="uk-UA" w:eastAsia="ru-RU"/>
        </w:rPr>
        <w:t>HubSpot</w:t>
      </w:r>
      <w:r w:rsidRPr="00511005">
        <w:rPr>
          <w:rFonts w:ascii="Arial" w:eastAsia="Times New Roman" w:hAnsi="Arial" w:cs="Arial"/>
          <w:b/>
          <w:bCs/>
          <w:szCs w:val="28"/>
          <w:lang w:val="uk-UA" w:eastAsia="ru-RU"/>
        </w:rPr>
        <w:t xml:space="preserve"> </w:t>
      </w:r>
      <w:r w:rsidRPr="00511005">
        <w:rPr>
          <w:rFonts w:ascii="Arial" w:eastAsia="Times New Roman" w:hAnsi="Arial" w:cs="Arial"/>
          <w:szCs w:val="28"/>
          <w:lang w:val="uk-UA" w:eastAsia="ru-RU"/>
        </w:rPr>
        <w:t>CRM – пропонує зручний інтерфейс та базову автоматизацію для тих, хто продає через сайт чи e-mail [5];</w:t>
      </w:r>
    </w:p>
    <w:p w14:paraId="786C1685" w14:textId="77777777" w:rsidR="00532C25" w:rsidRPr="00511005" w:rsidRDefault="00532C25" w:rsidP="00532C25">
      <w:pPr>
        <w:spacing w:line="264" w:lineRule="auto"/>
        <w:ind w:firstLineChars="252" w:firstLine="706"/>
        <w:rPr>
          <w:rFonts w:ascii="Arial" w:eastAsia="Times New Roman" w:hAnsi="Arial" w:cs="Arial"/>
          <w:szCs w:val="28"/>
          <w:lang w:val="uk-UA" w:eastAsia="ru-RU"/>
        </w:rPr>
      </w:pPr>
      <w:r w:rsidRPr="00511005">
        <w:rPr>
          <w:rFonts w:ascii="Arial" w:eastAsia="Times New Roman" w:hAnsi="Arial" w:cs="Arial"/>
          <w:szCs w:val="28"/>
          <w:lang w:val="uk-UA" w:eastAsia="ru-RU"/>
        </w:rPr>
        <w:t>Zoho CRM – універсальне рішення з широкими можливостями кастомізації, що підійде підприємцям, які прагнуть структурованого підходу до роботи з клієнтами [6].</w:t>
      </w:r>
    </w:p>
    <w:p w14:paraId="65A8DE21" w14:textId="77777777" w:rsidR="00532C25" w:rsidRPr="00511005" w:rsidRDefault="00532C25" w:rsidP="00532C25">
      <w:pPr>
        <w:spacing w:line="264" w:lineRule="auto"/>
        <w:ind w:firstLineChars="252" w:firstLine="706"/>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Вибір серед вище наведених </w:t>
      </w:r>
      <w:r w:rsidRPr="00511005">
        <w:rPr>
          <w:rFonts w:ascii="Arial" w:eastAsia="Arial" w:hAnsi="Arial" w:cs="Arial"/>
          <w:szCs w:val="28"/>
          <w:lang w:val="uk-UA"/>
        </w:rPr>
        <w:t>CRM-систем</w:t>
      </w:r>
      <w:r w:rsidRPr="00511005">
        <w:rPr>
          <w:rFonts w:ascii="Arial" w:eastAsia="Times New Roman" w:hAnsi="Arial" w:cs="Arial"/>
          <w:szCs w:val="28"/>
          <w:lang w:val="uk-UA" w:eastAsia="ru-RU"/>
        </w:rPr>
        <w:t xml:space="preserve"> залежить від масштабу бізнесу, каналів продажу, потреб в автоматизації та бюджету (табл. 1).</w:t>
      </w:r>
    </w:p>
    <w:p w14:paraId="1A5E94E5" w14:textId="77777777" w:rsidR="00532C25" w:rsidRPr="00511005" w:rsidRDefault="00532C25" w:rsidP="00532C25">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Таблиця 1. Храктеристики CRM-систем</w:t>
      </w:r>
    </w:p>
    <w:tbl>
      <w:tblPr>
        <w:tblW w:w="9580"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43"/>
        <w:gridCol w:w="1666"/>
        <w:gridCol w:w="1775"/>
        <w:gridCol w:w="1836"/>
        <w:gridCol w:w="2491"/>
      </w:tblGrid>
      <w:tr w:rsidR="00532C25" w:rsidRPr="00511005" w14:paraId="109E8E1C" w14:textId="77777777" w:rsidTr="006E3306">
        <w:trPr>
          <w:trHeight w:val="255"/>
          <w:tblHeader/>
          <w:tblCellSpacing w:w="15" w:type="dxa"/>
          <w:jc w:val="center"/>
        </w:trPr>
        <w:tc>
          <w:tcPr>
            <w:tcW w:w="0" w:type="auto"/>
            <w:vAlign w:val="center"/>
            <w:hideMark/>
          </w:tcPr>
          <w:p w14:paraId="3982E72A" w14:textId="77777777" w:rsidR="00532C25" w:rsidRPr="00511005" w:rsidRDefault="00532C25" w:rsidP="006E3306">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Критерій</w:t>
            </w:r>
          </w:p>
        </w:tc>
        <w:tc>
          <w:tcPr>
            <w:tcW w:w="0" w:type="auto"/>
            <w:vAlign w:val="center"/>
            <w:hideMark/>
          </w:tcPr>
          <w:p w14:paraId="6DEB0528" w14:textId="77777777" w:rsidR="00532C25" w:rsidRPr="00511005" w:rsidRDefault="00532C25" w:rsidP="006E3306">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KeyCRM</w:t>
            </w:r>
          </w:p>
        </w:tc>
        <w:tc>
          <w:tcPr>
            <w:tcW w:w="0" w:type="auto"/>
            <w:vAlign w:val="center"/>
            <w:hideMark/>
          </w:tcPr>
          <w:p w14:paraId="6C31B3A2" w14:textId="77777777" w:rsidR="00532C25" w:rsidRPr="00511005" w:rsidRDefault="00532C25" w:rsidP="006E3306">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Trello</w:t>
            </w:r>
          </w:p>
        </w:tc>
        <w:tc>
          <w:tcPr>
            <w:tcW w:w="0" w:type="auto"/>
            <w:vAlign w:val="center"/>
            <w:hideMark/>
          </w:tcPr>
          <w:p w14:paraId="49C54177" w14:textId="77777777" w:rsidR="00532C25" w:rsidRPr="00511005" w:rsidRDefault="00532C25" w:rsidP="006E3306">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HubSpot CRM</w:t>
            </w:r>
          </w:p>
        </w:tc>
        <w:tc>
          <w:tcPr>
            <w:tcW w:w="0" w:type="auto"/>
            <w:vAlign w:val="center"/>
            <w:hideMark/>
          </w:tcPr>
          <w:p w14:paraId="2F6D5690" w14:textId="77777777" w:rsidR="00532C25" w:rsidRPr="00511005" w:rsidRDefault="00532C25" w:rsidP="006E3306">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Zoho CRM</w:t>
            </w:r>
          </w:p>
        </w:tc>
      </w:tr>
      <w:tr w:rsidR="00532C25" w:rsidRPr="00511005" w14:paraId="5E39F402" w14:textId="77777777" w:rsidTr="006E3306">
        <w:trPr>
          <w:trHeight w:val="807"/>
          <w:tblCellSpacing w:w="15" w:type="dxa"/>
          <w:jc w:val="center"/>
        </w:trPr>
        <w:tc>
          <w:tcPr>
            <w:tcW w:w="0" w:type="auto"/>
            <w:vAlign w:val="center"/>
            <w:hideMark/>
          </w:tcPr>
          <w:p w14:paraId="2DBE79B3"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Інтерфейс українською</w:t>
            </w:r>
          </w:p>
        </w:tc>
        <w:tc>
          <w:tcPr>
            <w:tcW w:w="0" w:type="auto"/>
            <w:vAlign w:val="center"/>
            <w:hideMark/>
          </w:tcPr>
          <w:p w14:paraId="7F4FA456"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Українська</w:t>
            </w:r>
          </w:p>
        </w:tc>
        <w:tc>
          <w:tcPr>
            <w:tcW w:w="0" w:type="auto"/>
            <w:vAlign w:val="center"/>
            <w:hideMark/>
          </w:tcPr>
          <w:p w14:paraId="2D606F0E"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Можна налаштувати</w:t>
            </w:r>
          </w:p>
        </w:tc>
        <w:tc>
          <w:tcPr>
            <w:tcW w:w="0" w:type="auto"/>
            <w:vAlign w:val="center"/>
            <w:hideMark/>
          </w:tcPr>
          <w:p w14:paraId="679130A5"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Англійська</w:t>
            </w:r>
          </w:p>
        </w:tc>
        <w:tc>
          <w:tcPr>
            <w:tcW w:w="0" w:type="auto"/>
            <w:vAlign w:val="center"/>
            <w:hideMark/>
          </w:tcPr>
          <w:p w14:paraId="48040B7F"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Англійська</w:t>
            </w:r>
          </w:p>
        </w:tc>
      </w:tr>
      <w:tr w:rsidR="00532C25" w:rsidRPr="00511005" w14:paraId="220A182C" w14:textId="77777777" w:rsidTr="006E3306">
        <w:trPr>
          <w:trHeight w:val="821"/>
          <w:tblCellSpacing w:w="15" w:type="dxa"/>
          <w:jc w:val="center"/>
        </w:trPr>
        <w:tc>
          <w:tcPr>
            <w:tcW w:w="0" w:type="auto"/>
            <w:vAlign w:val="center"/>
            <w:hideMark/>
          </w:tcPr>
          <w:p w14:paraId="7052C7A4"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Безкоштовна версія</w:t>
            </w:r>
          </w:p>
        </w:tc>
        <w:tc>
          <w:tcPr>
            <w:tcW w:w="0" w:type="auto"/>
            <w:vAlign w:val="center"/>
            <w:hideMark/>
          </w:tcPr>
          <w:p w14:paraId="32C1D364"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Тільки тестовий період</w:t>
            </w:r>
          </w:p>
        </w:tc>
        <w:tc>
          <w:tcPr>
            <w:tcW w:w="0" w:type="auto"/>
            <w:vAlign w:val="center"/>
            <w:hideMark/>
          </w:tcPr>
          <w:p w14:paraId="50D7840F"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Повністю безкоштовна</w:t>
            </w:r>
          </w:p>
        </w:tc>
        <w:tc>
          <w:tcPr>
            <w:tcW w:w="0" w:type="auto"/>
            <w:vAlign w:val="center"/>
            <w:hideMark/>
          </w:tcPr>
          <w:p w14:paraId="76F22064"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Назавжди безкоштовна</w:t>
            </w:r>
          </w:p>
        </w:tc>
        <w:tc>
          <w:tcPr>
            <w:tcW w:w="0" w:type="auto"/>
            <w:vAlign w:val="center"/>
            <w:hideMark/>
          </w:tcPr>
          <w:p w14:paraId="41D1A094"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До 3 користувачів</w:t>
            </w:r>
          </w:p>
        </w:tc>
      </w:tr>
      <w:tr w:rsidR="00532C25" w:rsidRPr="00511005" w14:paraId="4F1F86D7" w14:textId="77777777" w:rsidTr="006E3306">
        <w:trPr>
          <w:trHeight w:val="821"/>
          <w:tblCellSpacing w:w="15" w:type="dxa"/>
          <w:jc w:val="center"/>
        </w:trPr>
        <w:tc>
          <w:tcPr>
            <w:tcW w:w="0" w:type="auto"/>
            <w:vAlign w:val="center"/>
            <w:hideMark/>
          </w:tcPr>
          <w:p w14:paraId="784E119E"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Інтеграції з маркетплейсами</w:t>
            </w:r>
          </w:p>
        </w:tc>
        <w:tc>
          <w:tcPr>
            <w:tcW w:w="0" w:type="auto"/>
            <w:vAlign w:val="center"/>
            <w:hideMark/>
          </w:tcPr>
          <w:p w14:paraId="6606DF18"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Prom, Rozetka, Etsy, Shopify</w:t>
            </w:r>
          </w:p>
        </w:tc>
        <w:tc>
          <w:tcPr>
            <w:tcW w:w="0" w:type="auto"/>
            <w:vAlign w:val="center"/>
            <w:hideMark/>
          </w:tcPr>
          <w:p w14:paraId="30A98FEF"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Немає</w:t>
            </w:r>
          </w:p>
        </w:tc>
        <w:tc>
          <w:tcPr>
            <w:tcW w:w="0" w:type="auto"/>
            <w:vAlign w:val="center"/>
            <w:hideMark/>
          </w:tcPr>
          <w:p w14:paraId="74039318"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Лише через платні плагіни</w:t>
            </w:r>
          </w:p>
        </w:tc>
        <w:tc>
          <w:tcPr>
            <w:tcW w:w="0" w:type="auto"/>
            <w:vAlign w:val="center"/>
            <w:hideMark/>
          </w:tcPr>
          <w:p w14:paraId="482F06AA"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Потрібні додаткові модулі</w:t>
            </w:r>
          </w:p>
        </w:tc>
      </w:tr>
      <w:tr w:rsidR="00532C25" w:rsidRPr="00511005" w14:paraId="675C8AFF" w14:textId="77777777" w:rsidTr="006E3306">
        <w:trPr>
          <w:trHeight w:val="821"/>
          <w:tblCellSpacing w:w="15" w:type="dxa"/>
          <w:jc w:val="center"/>
        </w:trPr>
        <w:tc>
          <w:tcPr>
            <w:tcW w:w="0" w:type="auto"/>
            <w:vAlign w:val="center"/>
            <w:hideMark/>
          </w:tcPr>
          <w:p w14:paraId="0784D334"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Інтеграції з соцмережами</w:t>
            </w:r>
          </w:p>
        </w:tc>
        <w:tc>
          <w:tcPr>
            <w:tcW w:w="0" w:type="auto"/>
            <w:vAlign w:val="center"/>
            <w:hideMark/>
          </w:tcPr>
          <w:p w14:paraId="0DA7375A"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Instagram, Facebook, Telegram</w:t>
            </w:r>
          </w:p>
        </w:tc>
        <w:tc>
          <w:tcPr>
            <w:tcW w:w="0" w:type="auto"/>
            <w:vAlign w:val="center"/>
            <w:hideMark/>
          </w:tcPr>
          <w:p w14:paraId="630339C8"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Можна вручну додавати лінки</w:t>
            </w:r>
          </w:p>
        </w:tc>
        <w:tc>
          <w:tcPr>
            <w:tcW w:w="0" w:type="auto"/>
            <w:vAlign w:val="center"/>
            <w:hideMark/>
          </w:tcPr>
          <w:p w14:paraId="0DCC8F71"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Частково через платні плагіни</w:t>
            </w:r>
          </w:p>
        </w:tc>
        <w:tc>
          <w:tcPr>
            <w:tcW w:w="0" w:type="auto"/>
            <w:vAlign w:val="center"/>
            <w:hideMark/>
          </w:tcPr>
          <w:p w14:paraId="7BA79719"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Є Facebook/Instagram інтергації</w:t>
            </w:r>
          </w:p>
        </w:tc>
      </w:tr>
      <w:tr w:rsidR="00532C25" w:rsidRPr="00511005" w14:paraId="09038CC6" w14:textId="77777777" w:rsidTr="006E3306">
        <w:trPr>
          <w:trHeight w:val="807"/>
          <w:tblCellSpacing w:w="15" w:type="dxa"/>
          <w:jc w:val="center"/>
        </w:trPr>
        <w:tc>
          <w:tcPr>
            <w:tcW w:w="0" w:type="auto"/>
            <w:vAlign w:val="center"/>
            <w:hideMark/>
          </w:tcPr>
          <w:p w14:paraId="644D4EA6"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Автоматизація процесів</w:t>
            </w:r>
          </w:p>
        </w:tc>
        <w:tc>
          <w:tcPr>
            <w:tcW w:w="0" w:type="auto"/>
            <w:vAlign w:val="center"/>
            <w:hideMark/>
          </w:tcPr>
          <w:p w14:paraId="04CF135F"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Повноцінна (листи, статуси, нотифікації)</w:t>
            </w:r>
          </w:p>
        </w:tc>
        <w:tc>
          <w:tcPr>
            <w:tcW w:w="0" w:type="auto"/>
            <w:vAlign w:val="center"/>
            <w:hideMark/>
          </w:tcPr>
          <w:p w14:paraId="1726C78E"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Немає автоматизації</w:t>
            </w:r>
          </w:p>
        </w:tc>
        <w:tc>
          <w:tcPr>
            <w:tcW w:w="0" w:type="auto"/>
            <w:vAlign w:val="center"/>
            <w:hideMark/>
          </w:tcPr>
          <w:p w14:paraId="45C25439"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Базова у безкоштовній версії</w:t>
            </w:r>
          </w:p>
        </w:tc>
        <w:tc>
          <w:tcPr>
            <w:tcW w:w="0" w:type="auto"/>
            <w:vAlign w:val="center"/>
            <w:hideMark/>
          </w:tcPr>
          <w:p w14:paraId="4B25ED0B"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Гнучка автоматизація навіть у безкоштовному тарифі</w:t>
            </w:r>
          </w:p>
        </w:tc>
      </w:tr>
      <w:tr w:rsidR="00532C25" w:rsidRPr="00511005" w14:paraId="6EC2662A" w14:textId="77777777" w:rsidTr="006E3306">
        <w:trPr>
          <w:trHeight w:val="565"/>
          <w:tblCellSpacing w:w="15" w:type="dxa"/>
          <w:jc w:val="center"/>
        </w:trPr>
        <w:tc>
          <w:tcPr>
            <w:tcW w:w="0" w:type="auto"/>
            <w:vAlign w:val="center"/>
            <w:hideMark/>
          </w:tcPr>
          <w:p w14:paraId="683C503C"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Простота використання</w:t>
            </w:r>
          </w:p>
        </w:tc>
        <w:tc>
          <w:tcPr>
            <w:tcW w:w="0" w:type="auto"/>
            <w:vAlign w:val="center"/>
            <w:hideMark/>
          </w:tcPr>
          <w:p w14:paraId="6CDEF280"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Інтуїтивно просто</w:t>
            </w:r>
          </w:p>
        </w:tc>
        <w:tc>
          <w:tcPr>
            <w:tcW w:w="0" w:type="auto"/>
            <w:vAlign w:val="center"/>
            <w:hideMark/>
          </w:tcPr>
          <w:p w14:paraId="4009F722"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Дуже просто</w:t>
            </w:r>
          </w:p>
        </w:tc>
        <w:tc>
          <w:tcPr>
            <w:tcW w:w="0" w:type="auto"/>
            <w:vAlign w:val="center"/>
            <w:hideMark/>
          </w:tcPr>
          <w:p w14:paraId="595ABD13"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Простий інтерфейс</w:t>
            </w:r>
          </w:p>
        </w:tc>
        <w:tc>
          <w:tcPr>
            <w:tcW w:w="0" w:type="auto"/>
            <w:vAlign w:val="center"/>
            <w:hideMark/>
          </w:tcPr>
          <w:p w14:paraId="0914670F"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Трохи складніше, потребує часу</w:t>
            </w:r>
          </w:p>
        </w:tc>
      </w:tr>
      <w:tr w:rsidR="00532C25" w:rsidRPr="00511005" w14:paraId="742A5561" w14:textId="77777777" w:rsidTr="006E3306">
        <w:trPr>
          <w:trHeight w:val="552"/>
          <w:tblCellSpacing w:w="15" w:type="dxa"/>
          <w:jc w:val="center"/>
        </w:trPr>
        <w:tc>
          <w:tcPr>
            <w:tcW w:w="0" w:type="auto"/>
            <w:vAlign w:val="center"/>
            <w:hideMark/>
          </w:tcPr>
          <w:p w14:paraId="32D6508B"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Мобільний додаток</w:t>
            </w:r>
          </w:p>
        </w:tc>
        <w:tc>
          <w:tcPr>
            <w:tcW w:w="0" w:type="auto"/>
            <w:vAlign w:val="center"/>
            <w:hideMark/>
          </w:tcPr>
          <w:p w14:paraId="62DCC4ED"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Є</w:t>
            </w:r>
          </w:p>
        </w:tc>
        <w:tc>
          <w:tcPr>
            <w:tcW w:w="0" w:type="auto"/>
            <w:vAlign w:val="center"/>
            <w:hideMark/>
          </w:tcPr>
          <w:p w14:paraId="4A7BAF88"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Є</w:t>
            </w:r>
          </w:p>
        </w:tc>
        <w:tc>
          <w:tcPr>
            <w:tcW w:w="0" w:type="auto"/>
            <w:vAlign w:val="center"/>
            <w:hideMark/>
          </w:tcPr>
          <w:p w14:paraId="0609E2C8"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Є</w:t>
            </w:r>
          </w:p>
        </w:tc>
        <w:tc>
          <w:tcPr>
            <w:tcW w:w="0" w:type="auto"/>
            <w:vAlign w:val="center"/>
            <w:hideMark/>
          </w:tcPr>
          <w:p w14:paraId="444DB520"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Є</w:t>
            </w:r>
          </w:p>
        </w:tc>
      </w:tr>
      <w:tr w:rsidR="00532C25" w:rsidRPr="00511005" w14:paraId="75D14563" w14:textId="77777777" w:rsidTr="006E3306">
        <w:trPr>
          <w:trHeight w:val="821"/>
          <w:tblCellSpacing w:w="15" w:type="dxa"/>
          <w:jc w:val="center"/>
        </w:trPr>
        <w:tc>
          <w:tcPr>
            <w:tcW w:w="0" w:type="auto"/>
            <w:vAlign w:val="center"/>
            <w:hideMark/>
          </w:tcPr>
          <w:p w14:paraId="171A5264"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Ідеально для handmade?</w:t>
            </w:r>
          </w:p>
        </w:tc>
        <w:tc>
          <w:tcPr>
            <w:tcW w:w="0" w:type="auto"/>
            <w:vAlign w:val="center"/>
            <w:hideMark/>
          </w:tcPr>
          <w:p w14:paraId="67D78C62"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Створено з урахування</w:t>
            </w:r>
            <w:r w:rsidRPr="00511005">
              <w:rPr>
                <w:rFonts w:ascii="Arial" w:eastAsia="Times New Roman" w:hAnsi="Arial" w:cs="Arial"/>
                <w:szCs w:val="28"/>
                <w:lang w:val="uk-UA" w:eastAsia="ru-RU"/>
              </w:rPr>
              <w:lastRenderedPageBreak/>
              <w:t>м реалій ринку</w:t>
            </w:r>
          </w:p>
        </w:tc>
        <w:tc>
          <w:tcPr>
            <w:tcW w:w="0" w:type="auto"/>
            <w:vAlign w:val="center"/>
            <w:hideMark/>
          </w:tcPr>
          <w:p w14:paraId="5331856F"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Тимчасове рішення або “чернетка”</w:t>
            </w:r>
          </w:p>
        </w:tc>
        <w:tc>
          <w:tcPr>
            <w:tcW w:w="0" w:type="auto"/>
            <w:vAlign w:val="center"/>
            <w:hideMark/>
          </w:tcPr>
          <w:p w14:paraId="2DD8DA80"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Добре для e-mail/сайт-продажів</w:t>
            </w:r>
          </w:p>
        </w:tc>
        <w:tc>
          <w:tcPr>
            <w:tcW w:w="0" w:type="auto"/>
            <w:vAlign w:val="center"/>
            <w:hideMark/>
          </w:tcPr>
          <w:p w14:paraId="73433EE8"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Добре для структурованого продажу</w:t>
            </w:r>
          </w:p>
        </w:tc>
      </w:tr>
      <w:tr w:rsidR="00532C25" w:rsidRPr="00511005" w14:paraId="5D046E54" w14:textId="77777777" w:rsidTr="006E3306">
        <w:trPr>
          <w:trHeight w:val="807"/>
          <w:tblCellSpacing w:w="15" w:type="dxa"/>
          <w:jc w:val="center"/>
        </w:trPr>
        <w:tc>
          <w:tcPr>
            <w:tcW w:w="0" w:type="auto"/>
            <w:vAlign w:val="center"/>
            <w:hideMark/>
          </w:tcPr>
          <w:p w14:paraId="785FD196"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Ціна</w:t>
            </w:r>
          </w:p>
        </w:tc>
        <w:tc>
          <w:tcPr>
            <w:tcW w:w="0" w:type="auto"/>
            <w:vAlign w:val="center"/>
            <w:hideMark/>
          </w:tcPr>
          <w:p w14:paraId="0EF8539E"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від ~350 грн/міс</w:t>
            </w:r>
          </w:p>
        </w:tc>
        <w:tc>
          <w:tcPr>
            <w:tcW w:w="0" w:type="auto"/>
            <w:vAlign w:val="center"/>
            <w:hideMark/>
          </w:tcPr>
          <w:p w14:paraId="67AC8C11"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Безкоштовно</w:t>
            </w:r>
          </w:p>
        </w:tc>
        <w:tc>
          <w:tcPr>
            <w:tcW w:w="0" w:type="auto"/>
            <w:vAlign w:val="center"/>
            <w:hideMark/>
          </w:tcPr>
          <w:p w14:paraId="618666CE"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Безкоштовний план</w:t>
            </w:r>
          </w:p>
        </w:tc>
        <w:tc>
          <w:tcPr>
            <w:tcW w:w="0" w:type="auto"/>
            <w:vAlign w:val="center"/>
            <w:hideMark/>
          </w:tcPr>
          <w:p w14:paraId="7C22C59F"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Безкоштовний / від $14/міс</w:t>
            </w:r>
          </w:p>
        </w:tc>
      </w:tr>
    </w:tbl>
    <w:p w14:paraId="0E09793D" w14:textId="77777777" w:rsidR="00532C25" w:rsidRPr="00511005" w:rsidRDefault="00532C25" w:rsidP="00532C25">
      <w:pPr>
        <w:spacing w:line="264" w:lineRule="auto"/>
        <w:ind w:firstLineChars="252" w:firstLine="706"/>
        <w:rPr>
          <w:rFonts w:ascii="Arial" w:eastAsia="Arial" w:hAnsi="Arial" w:cs="Arial"/>
          <w:szCs w:val="28"/>
          <w:lang w:val="uk-UA"/>
        </w:rPr>
      </w:pPr>
      <w:bookmarkStart w:id="286" w:name="_Hlk149573461"/>
      <w:r w:rsidRPr="00511005">
        <w:rPr>
          <w:rFonts w:ascii="Arial" w:eastAsia="Arial" w:hAnsi="Arial" w:cs="Arial"/>
          <w:szCs w:val="28"/>
          <w:lang w:val="uk-UA"/>
        </w:rPr>
        <w:t>Якщо користувач розглядає можливість використання будь-якої CRM-системи для своїх маркетингових цілей, йому слід зосередитися на докладній статистиці взаємодії з клієнтами та надійності інструментів автоматизації маркетингових процесів.</w:t>
      </w:r>
    </w:p>
    <w:p w14:paraId="1C7CE225" w14:textId="77777777" w:rsidR="00532C25" w:rsidRPr="00511005" w:rsidRDefault="00532C25" w:rsidP="00532C25">
      <w:pPr>
        <w:spacing w:line="264" w:lineRule="auto"/>
        <w:ind w:firstLineChars="252" w:firstLine="706"/>
        <w:rPr>
          <w:rFonts w:ascii="Arial" w:eastAsia="Arial" w:hAnsi="Arial" w:cs="Arial"/>
          <w:szCs w:val="28"/>
          <w:lang w:val="uk-UA"/>
        </w:rPr>
      </w:pPr>
    </w:p>
    <w:p w14:paraId="7DFC55C4" w14:textId="77777777" w:rsidR="00532C25" w:rsidRPr="00511005" w:rsidRDefault="00532C25" w:rsidP="00532C25">
      <w:pPr>
        <w:widowControl w:val="0"/>
        <w:suppressAutoHyphens/>
        <w:spacing w:line="264" w:lineRule="auto"/>
        <w:ind w:firstLine="0"/>
        <w:jc w:val="center"/>
        <w:rPr>
          <w:rFonts w:ascii="Arial" w:eastAsia="Arial" w:hAnsi="Arial" w:cs="Arial"/>
          <w:b/>
          <w:i/>
          <w:kern w:val="1"/>
          <w:szCs w:val="28"/>
          <w:lang w:val="uk-UA" w:eastAsia="ar-SA"/>
        </w:rPr>
      </w:pPr>
      <w:r w:rsidRPr="00511005">
        <w:rPr>
          <w:rFonts w:ascii="Arial" w:eastAsia="Arial" w:hAnsi="Arial" w:cs="Arial"/>
          <w:b/>
          <w:bCs/>
          <w:kern w:val="1"/>
          <w:szCs w:val="28"/>
          <w:lang w:val="uk-UA" w:eastAsia="ar-SA"/>
        </w:rPr>
        <w:t>Список використаних джерел</w:t>
      </w:r>
    </w:p>
    <w:bookmarkEnd w:id="286"/>
    <w:p w14:paraId="54734679" w14:textId="77777777" w:rsidR="00532C25" w:rsidRPr="00511005" w:rsidRDefault="00532C25" w:rsidP="00532C25">
      <w:pPr>
        <w:widowControl w:val="0"/>
        <w:suppressAutoHyphens/>
        <w:spacing w:line="264" w:lineRule="auto"/>
        <w:rPr>
          <w:rFonts w:ascii="Arial" w:eastAsia="Arial" w:hAnsi="Arial" w:cs="Arial"/>
          <w:kern w:val="1"/>
          <w:szCs w:val="28"/>
          <w:lang w:val="uk-UA" w:eastAsia="ar-SA"/>
        </w:rPr>
      </w:pPr>
      <w:r w:rsidRPr="00511005">
        <w:rPr>
          <w:rFonts w:ascii="Arial" w:eastAsia="Arial" w:hAnsi="Arial" w:cs="Arial"/>
          <w:kern w:val="1"/>
          <w:szCs w:val="28"/>
          <w:lang w:val="uk-UA" w:eastAsia="ar-SA"/>
        </w:rPr>
        <w:t>1. Кошелєв М., Бурак Н. Є. Огляд особливостей сучасної CRM системи Salesforce. – 2021. URL: https://sci.ldubgd.edu.ua/bitstream/123456789/9278/1/Kosheliev.pdf.</w:t>
      </w:r>
    </w:p>
    <w:p w14:paraId="65637CFA" w14:textId="77777777" w:rsidR="00532C25" w:rsidRPr="00511005" w:rsidRDefault="00532C25" w:rsidP="00532C25">
      <w:pPr>
        <w:widowControl w:val="0"/>
        <w:suppressAutoHyphens/>
        <w:spacing w:line="264" w:lineRule="auto"/>
        <w:rPr>
          <w:rFonts w:ascii="Arial" w:eastAsia="Arial" w:hAnsi="Arial" w:cs="Arial"/>
          <w:kern w:val="1"/>
          <w:szCs w:val="28"/>
          <w:lang w:val="uk-UA" w:eastAsia="ar-SA"/>
        </w:rPr>
      </w:pPr>
      <w:r w:rsidRPr="00511005">
        <w:rPr>
          <w:rFonts w:ascii="Arial" w:eastAsia="Arial" w:hAnsi="Arial" w:cs="Arial"/>
          <w:kern w:val="1"/>
          <w:szCs w:val="28"/>
          <w:lang w:val="uk-UA" w:eastAsia="ar-SA"/>
        </w:rPr>
        <w:t>2. Birau M. M. Handmaking a better future: A scoping review on the role of handmade activities in advancing individual and societal well</w:t>
      </w:r>
      <w:r w:rsidRPr="00511005">
        <w:rPr>
          <w:rFonts w:ascii="Cambria Math" w:eastAsia="Arial" w:hAnsi="Cambria Math" w:cs="Cambria Math"/>
          <w:kern w:val="1"/>
          <w:szCs w:val="28"/>
          <w:lang w:val="uk-UA" w:eastAsia="ar-SA"/>
        </w:rPr>
        <w:t>‐</w:t>
      </w:r>
      <w:r w:rsidRPr="00511005">
        <w:rPr>
          <w:rFonts w:ascii="Arial" w:eastAsia="Arial" w:hAnsi="Arial" w:cs="Arial"/>
          <w:kern w:val="1"/>
          <w:szCs w:val="28"/>
          <w:lang w:val="uk-UA" w:eastAsia="ar-SA"/>
        </w:rPr>
        <w:t>being //Psychology &amp; Marketing. – 2025. – Т. 42. – №. 1. – С. 44-63.</w:t>
      </w:r>
    </w:p>
    <w:p w14:paraId="34BE67AD" w14:textId="77777777" w:rsidR="00532C25" w:rsidRPr="00511005" w:rsidRDefault="00532C25" w:rsidP="00532C25">
      <w:pPr>
        <w:widowControl w:val="0"/>
        <w:suppressAutoHyphens/>
        <w:spacing w:line="264" w:lineRule="auto"/>
        <w:rPr>
          <w:rFonts w:ascii="Arial" w:eastAsia="Arial" w:hAnsi="Arial" w:cs="Arial"/>
          <w:kern w:val="1"/>
          <w:szCs w:val="28"/>
          <w:lang w:val="uk-UA" w:eastAsia="ar-SA"/>
        </w:rPr>
      </w:pPr>
      <w:r w:rsidRPr="00511005">
        <w:rPr>
          <w:rFonts w:ascii="Arial" w:eastAsia="Arial" w:hAnsi="Arial" w:cs="Arial"/>
          <w:kern w:val="1"/>
          <w:szCs w:val="28"/>
          <w:lang w:val="uk-UA" w:eastAsia="ar-SA"/>
        </w:rPr>
        <w:t xml:space="preserve">3. KeyCRM. URL: </w:t>
      </w:r>
      <w:hyperlink r:id="rId2398" w:history="1">
        <w:r w:rsidRPr="00511005">
          <w:rPr>
            <w:rFonts w:ascii="Arial" w:eastAsia="Arial" w:hAnsi="Arial" w:cs="Arial"/>
            <w:kern w:val="1"/>
            <w:szCs w:val="28"/>
            <w:lang w:val="uk-UA" w:eastAsia="ar-SA"/>
          </w:rPr>
          <w:t>https://keycrm.app/</w:t>
        </w:r>
      </w:hyperlink>
      <w:r w:rsidRPr="00511005">
        <w:rPr>
          <w:rFonts w:ascii="Arial" w:eastAsia="Arial" w:hAnsi="Arial" w:cs="Arial"/>
          <w:kern w:val="1"/>
          <w:szCs w:val="28"/>
          <w:lang w:val="uk-UA" w:eastAsia="ar-SA"/>
        </w:rPr>
        <w:t>. (Дата звернення: 2.05.25).</w:t>
      </w:r>
    </w:p>
    <w:p w14:paraId="079C1E0F" w14:textId="77777777" w:rsidR="00532C25" w:rsidRPr="00511005" w:rsidRDefault="00532C25" w:rsidP="00532C25">
      <w:pPr>
        <w:widowControl w:val="0"/>
        <w:suppressAutoHyphens/>
        <w:spacing w:line="264" w:lineRule="auto"/>
        <w:rPr>
          <w:rFonts w:ascii="Arial" w:eastAsia="Arial" w:hAnsi="Arial" w:cs="Arial"/>
          <w:kern w:val="1"/>
          <w:szCs w:val="28"/>
          <w:lang w:val="uk-UA" w:eastAsia="ar-SA"/>
        </w:rPr>
      </w:pPr>
      <w:r w:rsidRPr="00511005">
        <w:rPr>
          <w:rFonts w:ascii="Arial" w:eastAsia="Arial" w:hAnsi="Arial" w:cs="Arial"/>
          <w:kern w:val="1"/>
          <w:szCs w:val="28"/>
          <w:lang w:val="uk-UA" w:eastAsia="ar-SA"/>
        </w:rPr>
        <w:t>4. Trello. URL: https://trello.com/. (Дата звернення: 2.05.25).</w:t>
      </w:r>
    </w:p>
    <w:p w14:paraId="0B39E07F" w14:textId="77777777" w:rsidR="00532C25" w:rsidRPr="00511005" w:rsidRDefault="00532C25" w:rsidP="00532C25">
      <w:pPr>
        <w:widowControl w:val="0"/>
        <w:suppressAutoHyphens/>
        <w:spacing w:line="264" w:lineRule="auto"/>
        <w:rPr>
          <w:rFonts w:ascii="Arial" w:eastAsia="Arial" w:hAnsi="Arial" w:cs="Arial"/>
          <w:kern w:val="1"/>
          <w:szCs w:val="28"/>
          <w:lang w:val="uk-UA" w:eastAsia="ar-SA"/>
        </w:rPr>
      </w:pPr>
      <w:r w:rsidRPr="00511005">
        <w:rPr>
          <w:rFonts w:ascii="Arial" w:eastAsia="Arial" w:hAnsi="Arial" w:cs="Arial"/>
          <w:kern w:val="1"/>
          <w:szCs w:val="28"/>
          <w:lang w:val="uk-UA" w:eastAsia="ar-SA"/>
        </w:rPr>
        <w:t xml:space="preserve">5. Hubspot. URL: </w:t>
      </w:r>
      <w:hyperlink r:id="rId2399" w:history="1">
        <w:r w:rsidRPr="00511005">
          <w:rPr>
            <w:rFonts w:ascii="Arial" w:eastAsia="Arial" w:hAnsi="Arial" w:cs="Arial"/>
            <w:kern w:val="1"/>
            <w:szCs w:val="28"/>
            <w:lang w:val="uk-UA" w:eastAsia="ar-SA"/>
          </w:rPr>
          <w:t>https://www.hubspot.com/products/crm</w:t>
        </w:r>
      </w:hyperlink>
      <w:r w:rsidRPr="00511005">
        <w:rPr>
          <w:rFonts w:ascii="Arial" w:eastAsia="Arial" w:hAnsi="Arial" w:cs="Arial"/>
          <w:kern w:val="1"/>
          <w:szCs w:val="28"/>
          <w:lang w:val="uk-UA" w:eastAsia="ar-SA"/>
        </w:rPr>
        <w:t>. (Дата звернення: 2.05.25).</w:t>
      </w:r>
    </w:p>
    <w:p w14:paraId="466620B5" w14:textId="77777777" w:rsidR="00532C25" w:rsidRPr="00511005" w:rsidRDefault="00532C25" w:rsidP="00532C25">
      <w:pPr>
        <w:widowControl w:val="0"/>
        <w:suppressAutoHyphens/>
        <w:spacing w:line="264" w:lineRule="auto"/>
        <w:rPr>
          <w:rFonts w:ascii="Arial" w:eastAsia="Arial" w:hAnsi="Arial" w:cs="Arial"/>
          <w:kern w:val="1"/>
          <w:szCs w:val="28"/>
          <w:lang w:val="uk-UA" w:eastAsia="ar-SA"/>
        </w:rPr>
      </w:pPr>
      <w:r w:rsidRPr="00511005">
        <w:rPr>
          <w:rFonts w:ascii="Arial" w:eastAsia="Arial" w:hAnsi="Arial" w:cs="Arial"/>
          <w:kern w:val="1"/>
          <w:szCs w:val="28"/>
          <w:lang w:val="uk-UA" w:eastAsia="ar-SA"/>
        </w:rPr>
        <w:t xml:space="preserve">6. Zoho. URL: </w:t>
      </w:r>
      <w:hyperlink r:id="rId2400" w:history="1">
        <w:r w:rsidRPr="00511005">
          <w:rPr>
            <w:rFonts w:ascii="Arial" w:eastAsia="Arial" w:hAnsi="Arial" w:cs="Arial"/>
            <w:kern w:val="1"/>
            <w:szCs w:val="28"/>
            <w:lang w:val="uk-UA" w:eastAsia="ar-SA"/>
          </w:rPr>
          <w:t>https://www.zoho.com/crm/</w:t>
        </w:r>
      </w:hyperlink>
      <w:r w:rsidRPr="00511005">
        <w:rPr>
          <w:rFonts w:ascii="Arial" w:eastAsia="Arial" w:hAnsi="Arial" w:cs="Arial"/>
          <w:kern w:val="1"/>
          <w:szCs w:val="28"/>
          <w:lang w:val="uk-UA" w:eastAsia="ar-SA"/>
        </w:rPr>
        <w:t>. (Дата звернення: 2.05.25).</w:t>
      </w:r>
    </w:p>
    <w:p w14:paraId="57019EE9" w14:textId="77777777" w:rsidR="00532C25" w:rsidRPr="00511005" w:rsidRDefault="00532C25" w:rsidP="00532C25">
      <w:pPr>
        <w:widowControl w:val="0"/>
        <w:suppressAutoHyphens/>
        <w:spacing w:line="264" w:lineRule="auto"/>
        <w:rPr>
          <w:rFonts w:ascii="Arial" w:eastAsia="Arial" w:hAnsi="Arial" w:cs="Arial"/>
          <w:kern w:val="1"/>
          <w:szCs w:val="28"/>
          <w:lang w:val="uk-UA" w:eastAsia="ar-SA"/>
        </w:rPr>
      </w:pPr>
      <w:r w:rsidRPr="00511005">
        <w:rPr>
          <w:rFonts w:ascii="Arial" w:eastAsia="Times New Roman" w:hAnsi="Arial" w:cs="Arial"/>
          <w:b/>
          <w:i/>
          <w:szCs w:val="28"/>
          <w:lang w:val="uk-UA" w:eastAsia="ru-RU"/>
        </w:rPr>
        <w:t xml:space="preserve">Ключові слова: </w:t>
      </w:r>
      <w:r w:rsidRPr="00511005">
        <w:rPr>
          <w:rFonts w:ascii="Arial" w:eastAsia="Times New Roman" w:hAnsi="Arial" w:cs="Arial"/>
          <w:szCs w:val="28"/>
          <w:lang w:val="uk-UA" w:eastAsia="ru-RU"/>
        </w:rPr>
        <w:t xml:space="preserve">handmade-бізнес, </w:t>
      </w:r>
      <w:r w:rsidRPr="00511005">
        <w:rPr>
          <w:rFonts w:ascii="Arial" w:eastAsia="Arial" w:hAnsi="Arial" w:cs="Arial"/>
          <w:kern w:val="1"/>
          <w:szCs w:val="28"/>
          <w:lang w:val="uk-UA" w:eastAsia="ar-SA"/>
        </w:rPr>
        <w:t>CRM-системи, планування виробництва, handmade-сфера, handmade-проєкти</w:t>
      </w:r>
    </w:p>
    <w:p w14:paraId="743A44B5" w14:textId="77777777" w:rsidR="00532C25" w:rsidRPr="00511005" w:rsidRDefault="00532C25" w:rsidP="00532C25">
      <w:pPr>
        <w:widowControl w:val="0"/>
        <w:suppressAutoHyphen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Pr="00511005">
        <w:rPr>
          <w:rFonts w:ascii="Arial" w:eastAsia="Times New Roman" w:hAnsi="Arial" w:cs="Arial"/>
          <w:szCs w:val="28"/>
          <w:lang w:val="uk-UA" w:eastAsia="ru-RU"/>
        </w:rPr>
        <w:t>handmade-business, CRM-systems, production planning, handmade-sphere, handmade-projects</w:t>
      </w:r>
    </w:p>
    <w:p w14:paraId="7A6ABB74" w14:textId="77777777" w:rsidR="00532C25" w:rsidRPr="00511005" w:rsidRDefault="00532C25" w:rsidP="00532C25">
      <w:pPr>
        <w:spacing w:line="264" w:lineRule="auto"/>
        <w:ind w:firstLine="708"/>
        <w:rPr>
          <w:rFonts w:ascii="Arial" w:eastAsia="Calibri" w:hAnsi="Arial" w:cs="Arial"/>
          <w:bCs/>
          <w:i/>
          <w:iCs/>
          <w:szCs w:val="28"/>
          <w:lang w:val="uk-UA"/>
        </w:rPr>
      </w:pPr>
      <w:r w:rsidRPr="00511005">
        <w:rPr>
          <w:rFonts w:ascii="Arial" w:eastAsia="Times New Roman" w:hAnsi="Arial" w:cs="Arial"/>
          <w:b/>
          <w:bCs/>
          <w:i/>
          <w:iCs/>
          <w:szCs w:val="28"/>
          <w:shd w:val="clear" w:color="auto" w:fill="FFFFFF"/>
          <w:lang w:val="uk-UA"/>
        </w:rPr>
        <w:t xml:space="preserve">Науковий керівник: </w:t>
      </w:r>
      <w:r w:rsidRPr="00511005">
        <w:rPr>
          <w:rFonts w:ascii="Arial" w:eastAsia="Times New Roman" w:hAnsi="Arial" w:cs="Arial"/>
          <w:bCs/>
          <w:i/>
          <w:iCs/>
          <w:szCs w:val="28"/>
          <w:shd w:val="clear" w:color="auto" w:fill="FFFFFF"/>
          <w:lang w:val="uk-UA"/>
        </w:rPr>
        <w:t>к.т.н., доц. Задерейко О. В.</w:t>
      </w:r>
    </w:p>
    <w:p w14:paraId="6BA639F7" w14:textId="77777777" w:rsidR="00532C25" w:rsidRPr="00511005" w:rsidRDefault="00532C25" w:rsidP="00532C25">
      <w:pPr>
        <w:spacing w:line="264" w:lineRule="auto"/>
        <w:ind w:firstLine="0"/>
        <w:rPr>
          <w:rFonts w:ascii="Arial" w:eastAsia="Calibri" w:hAnsi="Arial" w:cs="Arial"/>
          <w:szCs w:val="28"/>
          <w:lang w:val="uk-UA"/>
        </w:rPr>
      </w:pPr>
    </w:p>
    <w:p w14:paraId="630A9710" w14:textId="77777777" w:rsidR="00532C25" w:rsidRPr="00511005" w:rsidRDefault="00532C25" w:rsidP="00532C25">
      <w:pPr>
        <w:spacing w:line="264" w:lineRule="auto"/>
        <w:ind w:firstLine="0"/>
        <w:rPr>
          <w:rFonts w:ascii="Arial" w:eastAsia="Calibri" w:hAnsi="Arial" w:cs="Arial"/>
          <w:szCs w:val="28"/>
          <w:lang w:val="uk-UA"/>
        </w:rPr>
      </w:pPr>
    </w:p>
    <w:p w14:paraId="28523507" w14:textId="77777777" w:rsidR="00532C25" w:rsidRPr="00511005" w:rsidRDefault="00532C25" w:rsidP="00532C25">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Карпов Артем Ігорович</w:t>
      </w:r>
    </w:p>
    <w:p w14:paraId="74C91CD0" w14:textId="77777777" w:rsidR="00532C25" w:rsidRPr="00511005" w:rsidRDefault="00532C25" w:rsidP="00532C25">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студент 4-го курсу факультету кібербезпеки та інформаційних технологій</w:t>
      </w:r>
      <w:r w:rsidRPr="00511005">
        <w:rPr>
          <w:rFonts w:ascii="Arial" w:eastAsia="Calibri" w:hAnsi="Arial" w:cs="Arial"/>
          <w:iCs/>
          <w:szCs w:val="28"/>
          <w:lang w:val="uk-UA"/>
        </w:rPr>
        <w:br/>
        <w:t>Національного університету «Одеська юридична академія»</w:t>
      </w:r>
    </w:p>
    <w:p w14:paraId="62635E82" w14:textId="77777777" w:rsidR="00532C25" w:rsidRPr="00511005" w:rsidRDefault="00532C25" w:rsidP="00532C25">
      <w:pPr>
        <w:spacing w:line="264" w:lineRule="auto"/>
        <w:ind w:firstLine="0"/>
        <w:jc w:val="center"/>
        <w:rPr>
          <w:rFonts w:ascii="Arial" w:eastAsia="Calibri" w:hAnsi="Arial" w:cs="Arial"/>
          <w:iCs/>
          <w:szCs w:val="28"/>
          <w:lang w:val="uk-UA"/>
        </w:rPr>
      </w:pPr>
    </w:p>
    <w:p w14:paraId="192D8050" w14:textId="77777777" w:rsidR="00532C25" w:rsidRPr="00511005" w:rsidRDefault="00532C25" w:rsidP="00532C25">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ВЕБОРІЄНТОВАНА ІНФОРМАЦІЙНА СИСТЕМА ДЛЯ ОБЛІКУ КОМУНАЛЬНИХ ПОСЛУГ</w:t>
      </w:r>
    </w:p>
    <w:p w14:paraId="01A043CD"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На сучасному етапі цифрової трансформації зростає потреба у впровадженні ефективних ІТ-рішень у сфері комунального обліку. Особливо актуальною є проблема ведення обліку комунальних послуг у невеликих житлових кооперативах, садових товариствах і приватному секторі, де часто відсутні централізовані системи управління або ж наявні лише паперові </w:t>
      </w:r>
      <w:r w:rsidRPr="00511005">
        <w:rPr>
          <w:rFonts w:ascii="Arial" w:eastAsia="Calibri" w:hAnsi="Arial" w:cs="Arial"/>
          <w:szCs w:val="28"/>
          <w:lang w:val="uk-UA"/>
        </w:rPr>
        <w:lastRenderedPageBreak/>
        <w:t>форми звітності. Саме ця проблема стала основною мотивацією для розробки веборієнтованої інформаційної системи, що дозволяє зробити весь процес більш зручним, а головне прозорим.</w:t>
      </w:r>
    </w:p>
    <w:p w14:paraId="7C55AE91"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Підготовчий етап проєкту включав аналіз наявних програмних рішень, які здебільшого не враховують специфіку українського малого ЖКГ-сектору. Виявлено такі недоліки: складність розгортання, закритість коду, відсутність підтримки локальних тарифів, обмеження в адаптації під потреби користувачів з мінімальними технічними навичками. Це зумовило рішення про розробку власної системи з відкритою архітектурою, простою у використанні та здатною масштабуватись відповідно до потреб спільноти.</w:t>
      </w:r>
    </w:p>
    <w:p w14:paraId="7E16D920"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У якості технічної бази було обрано стек сучасних веб-технологій: Java як основна мова програмування, Spring Framework для реалізації back-end логіки, MySQL – як система керування базами даних, що забезпечує надійне зберігання показників та облікових даних. Клієнтська частина реалізована з використанням HTML5, CSS3 та JavaScript, що дозволило створити зручний та адаптивний інтерфейс для доступу до системи через веббраузер.</w:t>
      </w:r>
    </w:p>
    <w:p w14:paraId="4D948DF2"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Особлива увага приділялась зручності взаємодії користувача з системою. Інтерфейс розроблено таким чином, щоб мінімізувати кількість дій для внесення показників та перегляду інформації інших мешканців. Головним завданням було зробити системи, яку дозволить відслідковувати хто, коли і скільки заплатив. Це робиться для того, щоб через одну людину не страждав весь кооператив, щоб всі платили вчасно і достатньо, інакше воду вимикають всім, навіть тим хто платить.</w:t>
      </w:r>
    </w:p>
    <w:p w14:paraId="5716575A"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З метою забезпечення безпеки впроваджено декілька рівнів захисту: хешування паролів із використанням надійного алгоритму, автентифікацію, перевірку введених даних та обмеження доступу до чужої інформації. </w:t>
      </w:r>
    </w:p>
    <w:p w14:paraId="0F21FAC1"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Під час тестування було проведено модульне, інтеграційне та навантажувальне випробування системи. Основний акцент зроблено на коректність розрахунків у різних тарифних умовах, стійкість до помилок введення та одночасну роботу кількох користувачів. Система успішно пройшла випробування при паралельному використанні до 50 користувачів – цього достатньо для умов дачного кооперативу.</w:t>
      </w:r>
    </w:p>
    <w:p w14:paraId="259D7689"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У результаті реалізовано веборієнтовану інформаційну систему, що дозволяє значно спростити облік спожитих ресурсів, зменшити вплив людського фактору та підвищити прозорість розрахунків. Рішення є адаптованим до українських реалій, доступним у використанні та придатним до масштабування.</w:t>
      </w:r>
    </w:p>
    <w:p w14:paraId="24D936FE"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Користувачі можуть зареєструватися, увійти і на головній сторінці з таблицями вносити свої дані та одночасно переглядати дані інших, це дозволить слідкувати як за своїми рахунками, так і за рахунками інших.</w:t>
      </w:r>
    </w:p>
    <w:p w14:paraId="3C1F8437"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Перспективи подальшого розвитку системи включають створення мобільного застосунку, реалізацію платіжної інтеграції з банками, </w:t>
      </w:r>
      <w:r w:rsidRPr="00511005">
        <w:rPr>
          <w:rFonts w:ascii="Arial" w:eastAsia="Calibri" w:hAnsi="Arial" w:cs="Arial"/>
          <w:szCs w:val="28"/>
          <w:lang w:val="uk-UA"/>
        </w:rPr>
        <w:lastRenderedPageBreak/>
        <w:t>автоматичне формування рахунків, візуалізацію статистичних даних у вигляді діаграм та інтеграцію з іншими сервісами для покращення користувацького досвіду.</w:t>
      </w:r>
    </w:p>
    <w:p w14:paraId="202018EF"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Таким чином, розроблена система є сучасним, надійним і ефективним інструментом автоматизації обліку комунальних послуг у малих житлових об’єднаннях. Вона поєднує технологічну гнучкість із практичною цінністю, забезпечуючи високий потенціал її подальшого розвитку й впровадження.</w:t>
      </w:r>
    </w:p>
    <w:p w14:paraId="0A695255" w14:textId="77777777" w:rsidR="00532C25" w:rsidRPr="00511005" w:rsidRDefault="00532C25" w:rsidP="00532C25">
      <w:pPr>
        <w:spacing w:line="264" w:lineRule="auto"/>
        <w:rPr>
          <w:rFonts w:ascii="Arial" w:eastAsia="Calibri" w:hAnsi="Arial" w:cs="Arial"/>
          <w:szCs w:val="28"/>
          <w:lang w:val="uk-UA"/>
        </w:rPr>
      </w:pPr>
    </w:p>
    <w:p w14:paraId="058841A0" w14:textId="77777777" w:rsidR="00532C25" w:rsidRPr="00511005" w:rsidRDefault="00532C25" w:rsidP="00532C25">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74A5A2F"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Офіційна документація Java Spring. URL: </w:t>
      </w:r>
      <w:hyperlink r:id="rId2401" w:history="1">
        <w:r w:rsidRPr="00511005">
          <w:rPr>
            <w:rFonts w:ascii="Arial" w:eastAsia="Calibri" w:hAnsi="Arial" w:cs="Arial"/>
            <w:szCs w:val="28"/>
            <w:lang w:val="uk-UA"/>
          </w:rPr>
          <w:t xml:space="preserve"> https://spring.io/</w:t>
        </w:r>
      </w:hyperlink>
      <w:r w:rsidRPr="00511005">
        <w:rPr>
          <w:rFonts w:ascii="Arial" w:eastAsia="Calibri" w:hAnsi="Arial" w:cs="Arial"/>
          <w:szCs w:val="28"/>
          <w:lang w:val="uk-UA"/>
        </w:rPr>
        <w:t xml:space="preserve"> (дата звернення: 26.04.2025).</w:t>
      </w:r>
    </w:p>
    <w:p w14:paraId="5A72ACB7"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Документація Java Spring Framework. URL: </w:t>
      </w:r>
      <w:hyperlink r:id="rId2402" w:history="1">
        <w:r w:rsidRPr="00511005">
          <w:rPr>
            <w:rFonts w:ascii="Arial" w:eastAsia="Calibri" w:hAnsi="Arial" w:cs="Arial"/>
            <w:szCs w:val="28"/>
            <w:lang w:val="uk-UA"/>
          </w:rPr>
          <w:t>https://docs.spring.io/springframework/docs/current/reference/html/</w:t>
        </w:r>
      </w:hyperlink>
      <w:r w:rsidRPr="00511005">
        <w:rPr>
          <w:rFonts w:ascii="Arial" w:eastAsia="Calibri" w:hAnsi="Arial" w:cs="Arial"/>
          <w:szCs w:val="28"/>
          <w:lang w:val="uk-UA"/>
        </w:rPr>
        <w:t xml:space="preserve"> (дата звернення: 26.04.2025).</w:t>
      </w:r>
    </w:p>
    <w:p w14:paraId="7C58DB0B"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Документація HTML. URL: </w:t>
      </w:r>
      <w:hyperlink r:id="rId2403" w:history="1">
        <w:r w:rsidRPr="00511005">
          <w:rPr>
            <w:rFonts w:ascii="Arial" w:eastAsia="Calibri" w:hAnsi="Arial" w:cs="Arial"/>
            <w:szCs w:val="28"/>
            <w:lang w:val="uk-UA"/>
          </w:rPr>
          <w:t>https://developer.mozilla.org/en-US/docs/Web/HTML</w:t>
        </w:r>
      </w:hyperlink>
      <w:r w:rsidRPr="00511005">
        <w:rPr>
          <w:rFonts w:ascii="Arial" w:eastAsia="Calibri" w:hAnsi="Arial" w:cs="Arial"/>
          <w:szCs w:val="28"/>
          <w:lang w:val="uk-UA"/>
        </w:rPr>
        <w:t xml:space="preserve"> (дата звернення: 26.04.2025).</w:t>
      </w:r>
    </w:p>
    <w:p w14:paraId="77D82AC8"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Офіційна документація MySQL. URL: </w:t>
      </w:r>
      <w:hyperlink r:id="rId2404" w:history="1">
        <w:r w:rsidRPr="00511005">
          <w:rPr>
            <w:rFonts w:ascii="Arial" w:eastAsia="Calibri" w:hAnsi="Arial" w:cs="Arial"/>
            <w:szCs w:val="28"/>
            <w:lang w:val="uk-UA"/>
          </w:rPr>
          <w:t>https://dev.mysql.com/doc/</w:t>
        </w:r>
      </w:hyperlink>
      <w:r w:rsidRPr="00511005">
        <w:rPr>
          <w:rFonts w:ascii="Arial" w:eastAsia="Calibri" w:hAnsi="Arial" w:cs="Arial"/>
          <w:szCs w:val="28"/>
          <w:lang w:val="uk-UA"/>
        </w:rPr>
        <w:t xml:space="preserve"> (дата звернення: 26.04.2025).</w:t>
      </w:r>
    </w:p>
    <w:p w14:paraId="3AEE292D"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Документація CSS. URL: </w:t>
      </w:r>
      <w:hyperlink r:id="rId2405" w:history="1">
        <w:r w:rsidRPr="00511005">
          <w:rPr>
            <w:rFonts w:ascii="Arial" w:eastAsia="Calibri" w:hAnsi="Arial" w:cs="Arial"/>
            <w:szCs w:val="28"/>
            <w:lang w:val="uk-UA"/>
          </w:rPr>
          <w:t>https://developer.mozilla.org/en-US/docs/Web/CSS</w:t>
        </w:r>
      </w:hyperlink>
      <w:r w:rsidRPr="00511005">
        <w:rPr>
          <w:rFonts w:ascii="Arial" w:eastAsia="Calibri" w:hAnsi="Arial" w:cs="Arial"/>
          <w:szCs w:val="28"/>
          <w:lang w:val="uk-UA"/>
        </w:rPr>
        <w:t xml:space="preserve"> (дата звернення: 26.04.2025).</w:t>
      </w:r>
    </w:p>
    <w:p w14:paraId="5DAE7A30"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Документація JavaScript. URL: </w:t>
      </w:r>
      <w:hyperlink r:id="rId2406" w:history="1">
        <w:r w:rsidRPr="00511005">
          <w:rPr>
            <w:rFonts w:ascii="Arial" w:eastAsia="Calibri" w:hAnsi="Arial" w:cs="Arial"/>
            <w:szCs w:val="28"/>
            <w:lang w:val="uk-UA"/>
          </w:rPr>
          <w:t>https://developer.mozilla.org/en-US/docs/Web/JavaScript</w:t>
        </w:r>
      </w:hyperlink>
      <w:r w:rsidRPr="00511005">
        <w:rPr>
          <w:rFonts w:ascii="Arial" w:eastAsia="Calibri" w:hAnsi="Arial" w:cs="Arial"/>
          <w:szCs w:val="28"/>
          <w:lang w:val="uk-UA"/>
        </w:rPr>
        <w:t xml:space="preserve"> (дата звернення: 26.04.2025).</w:t>
      </w:r>
    </w:p>
    <w:p w14:paraId="09927149"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Офіційна документація Bootstrap. URL: </w:t>
      </w:r>
      <w:hyperlink r:id="rId2407" w:history="1">
        <w:r w:rsidRPr="00511005">
          <w:rPr>
            <w:rFonts w:ascii="Arial" w:eastAsia="Calibri" w:hAnsi="Arial" w:cs="Arial"/>
            <w:szCs w:val="28"/>
            <w:lang w:val="uk-UA"/>
          </w:rPr>
          <w:t>https://getbootstrap.com/</w:t>
        </w:r>
      </w:hyperlink>
      <w:r w:rsidRPr="00511005">
        <w:rPr>
          <w:rFonts w:ascii="Arial" w:eastAsia="Calibri" w:hAnsi="Arial" w:cs="Arial"/>
          <w:szCs w:val="28"/>
          <w:lang w:val="uk-UA"/>
        </w:rPr>
        <w:t xml:space="preserve"> (дата звернення: 26.04.2025).</w:t>
      </w:r>
    </w:p>
    <w:p w14:paraId="5210BBEF"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Документація Spring Security. URL: </w:t>
      </w:r>
      <w:hyperlink r:id="rId2408" w:history="1">
        <w:r w:rsidRPr="00511005">
          <w:rPr>
            <w:rFonts w:ascii="Arial" w:eastAsia="Calibri" w:hAnsi="Arial" w:cs="Arial"/>
            <w:szCs w:val="28"/>
            <w:lang w:val="uk-UA"/>
          </w:rPr>
          <w:t>https://docs.spring.io/spring-security/reference/index.html</w:t>
        </w:r>
      </w:hyperlink>
      <w:r w:rsidRPr="00511005">
        <w:rPr>
          <w:rFonts w:ascii="Arial" w:eastAsia="Calibri" w:hAnsi="Arial" w:cs="Arial"/>
          <w:szCs w:val="28"/>
          <w:lang w:val="uk-UA"/>
        </w:rPr>
        <w:t xml:space="preserve"> (дата звернення: 26.04.2025).</w:t>
      </w:r>
    </w:p>
    <w:p w14:paraId="6706A56D"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Документація Spring Boot. URL: </w:t>
      </w:r>
      <w:hyperlink r:id="rId2409" w:anchor="overview" w:history="1">
        <w:r w:rsidRPr="00511005">
          <w:rPr>
            <w:rFonts w:ascii="Arial" w:eastAsia="Calibri" w:hAnsi="Arial" w:cs="Arial"/>
            <w:szCs w:val="28"/>
            <w:lang w:val="uk-UA"/>
          </w:rPr>
          <w:t>https://spring.io/projects/spring-boot#overview</w:t>
        </w:r>
      </w:hyperlink>
      <w:r w:rsidRPr="00511005">
        <w:rPr>
          <w:rFonts w:ascii="Arial" w:eastAsia="Calibri" w:hAnsi="Arial" w:cs="Arial"/>
          <w:szCs w:val="28"/>
          <w:lang w:val="uk-UA"/>
        </w:rPr>
        <w:t xml:space="preserve"> (дата звернення: 26.04.2025).</w:t>
      </w:r>
    </w:p>
    <w:p w14:paraId="05052C21"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Інструкції Spring. URL: </w:t>
      </w:r>
      <w:hyperlink r:id="rId2410" w:history="1">
        <w:r w:rsidRPr="00511005">
          <w:rPr>
            <w:rFonts w:ascii="Arial" w:eastAsia="Calibri" w:hAnsi="Arial" w:cs="Arial"/>
            <w:szCs w:val="28"/>
            <w:lang w:val="uk-UA"/>
          </w:rPr>
          <w:t>https://spring.io/guides</w:t>
        </w:r>
      </w:hyperlink>
      <w:r w:rsidRPr="00511005">
        <w:rPr>
          <w:rFonts w:ascii="Arial" w:eastAsia="Calibri" w:hAnsi="Arial" w:cs="Arial"/>
          <w:szCs w:val="28"/>
          <w:lang w:val="uk-UA"/>
        </w:rPr>
        <w:t xml:space="preserve"> (дата звернення: 26.04.2025).</w:t>
      </w:r>
    </w:p>
    <w:p w14:paraId="327AA630"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Java. URL: </w:t>
      </w:r>
      <w:hyperlink r:id="rId2411" w:history="1">
        <w:r w:rsidRPr="00511005">
          <w:rPr>
            <w:rFonts w:ascii="Arial" w:eastAsia="Calibri" w:hAnsi="Arial" w:cs="Arial"/>
            <w:szCs w:val="28"/>
            <w:lang w:val="uk-UA"/>
          </w:rPr>
          <w:t>https://dev.java/</w:t>
        </w:r>
      </w:hyperlink>
      <w:r w:rsidRPr="00511005">
        <w:rPr>
          <w:rFonts w:ascii="Arial" w:eastAsia="Calibri" w:hAnsi="Arial" w:cs="Arial"/>
          <w:szCs w:val="28"/>
          <w:lang w:val="uk-UA"/>
        </w:rPr>
        <w:t xml:space="preserve"> (дата звернення: 26.04.2025).</w:t>
      </w:r>
    </w:p>
    <w:p w14:paraId="26463BC2" w14:textId="77777777" w:rsidR="00532C25" w:rsidRPr="00511005" w:rsidRDefault="00532C25" w:rsidP="003F6A5D">
      <w:pPr>
        <w:numPr>
          <w:ilvl w:val="0"/>
          <w:numId w:val="698"/>
        </w:numPr>
        <w:tabs>
          <w:tab w:val="clear" w:pos="720"/>
          <w:tab w:val="left" w:pos="1134"/>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 xml:space="preserve">Підручник JS. URL: </w:t>
      </w:r>
      <w:hyperlink r:id="rId2412" w:history="1">
        <w:r w:rsidRPr="00511005">
          <w:rPr>
            <w:rFonts w:ascii="Arial" w:eastAsia="Calibri" w:hAnsi="Arial" w:cs="Arial"/>
            <w:szCs w:val="28"/>
            <w:lang w:val="uk-UA"/>
          </w:rPr>
          <w:t>https://uk.javascript.info/</w:t>
        </w:r>
      </w:hyperlink>
      <w:r w:rsidRPr="00511005">
        <w:rPr>
          <w:rFonts w:ascii="Arial" w:eastAsia="Calibri" w:hAnsi="Arial" w:cs="Arial"/>
          <w:szCs w:val="28"/>
          <w:lang w:val="uk-UA"/>
        </w:rPr>
        <w:t xml:space="preserve"> (дата звернення: 26.04.2025).</w:t>
      </w:r>
    </w:p>
    <w:p w14:paraId="6F6F3D6B" w14:textId="77777777" w:rsidR="00532C25" w:rsidRPr="00511005" w:rsidRDefault="00532C25" w:rsidP="00532C25">
      <w:pPr>
        <w:spacing w:line="264" w:lineRule="auto"/>
        <w:rPr>
          <w:rFonts w:ascii="Arial" w:eastAsia="Calibri" w:hAnsi="Arial" w:cs="Arial"/>
          <w:bCs/>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bCs/>
          <w:szCs w:val="28"/>
          <w:lang w:val="uk-UA"/>
        </w:rPr>
        <w:t>MySQL, інформаційна система, облік комунальних послуг мова програмування Java.</w:t>
      </w:r>
    </w:p>
    <w:p w14:paraId="199417B4"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Key words: </w:t>
      </w:r>
      <w:r w:rsidRPr="00511005">
        <w:rPr>
          <w:rFonts w:ascii="Arial" w:eastAsia="Calibri" w:hAnsi="Arial" w:cs="Arial"/>
          <w:szCs w:val="28"/>
          <w:lang w:val="uk-UA"/>
        </w:rPr>
        <w:t>information system, utility accounting, Java programming language</w:t>
      </w:r>
    </w:p>
    <w:p w14:paraId="615E022C" w14:textId="77777777" w:rsidR="00532C25" w:rsidRPr="00511005" w:rsidRDefault="00532C25" w:rsidP="00532C25">
      <w:pPr>
        <w:spacing w:line="264" w:lineRule="auto"/>
        <w:ind w:firstLine="708"/>
        <w:rPr>
          <w:rFonts w:ascii="Arial" w:eastAsia="Calibri" w:hAnsi="Arial" w:cs="Arial"/>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к.т.н. доцент Гура В.I.</w:t>
      </w:r>
    </w:p>
    <w:p w14:paraId="6E862B26" w14:textId="77777777" w:rsidR="00532C25" w:rsidRPr="00511005" w:rsidRDefault="00532C25" w:rsidP="00532C25">
      <w:pPr>
        <w:spacing w:line="264" w:lineRule="auto"/>
        <w:ind w:firstLine="0"/>
        <w:rPr>
          <w:rFonts w:ascii="Arial" w:eastAsia="Calibri" w:hAnsi="Arial" w:cs="Arial"/>
          <w:szCs w:val="28"/>
          <w:lang w:val="uk-UA"/>
        </w:rPr>
      </w:pPr>
    </w:p>
    <w:p w14:paraId="2C32307D" w14:textId="77777777" w:rsidR="00532C25" w:rsidRPr="00511005" w:rsidRDefault="00532C25" w:rsidP="00532C25">
      <w:pPr>
        <w:spacing w:line="264" w:lineRule="auto"/>
        <w:ind w:firstLine="0"/>
        <w:rPr>
          <w:rFonts w:ascii="Arial" w:eastAsia="Calibri" w:hAnsi="Arial" w:cs="Arial"/>
          <w:szCs w:val="28"/>
          <w:lang w:val="uk-UA"/>
        </w:rPr>
      </w:pPr>
    </w:p>
    <w:p w14:paraId="1C7B039A" w14:textId="77777777" w:rsidR="00532C25" w:rsidRPr="00511005" w:rsidRDefault="00532C25" w:rsidP="00532C25">
      <w:pPr>
        <w:spacing w:after="200" w:line="276" w:lineRule="auto"/>
        <w:ind w:firstLine="0"/>
        <w:jc w:val="left"/>
        <w:rPr>
          <w:rFonts w:ascii="Arial" w:eastAsia="Calibri" w:hAnsi="Arial" w:cs="Arial"/>
          <w:b/>
          <w:i/>
          <w:szCs w:val="28"/>
          <w:lang w:val="uk-UA"/>
        </w:rPr>
      </w:pPr>
      <w:r w:rsidRPr="00511005">
        <w:rPr>
          <w:rFonts w:ascii="Arial" w:eastAsia="Calibri" w:hAnsi="Arial" w:cs="Arial"/>
          <w:b/>
          <w:i/>
          <w:szCs w:val="28"/>
          <w:lang w:val="uk-UA"/>
        </w:rPr>
        <w:br w:type="page"/>
      </w:r>
    </w:p>
    <w:p w14:paraId="3645FCC5" w14:textId="77777777" w:rsidR="00532C25" w:rsidRPr="00511005" w:rsidRDefault="00532C25" w:rsidP="00532C25">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lastRenderedPageBreak/>
        <w:t>Ломановська Анастасія Володимирівна</w:t>
      </w:r>
    </w:p>
    <w:p w14:paraId="35FED288"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4-го курсу факультету кібербезпеки та інформаційних технологій</w:t>
      </w:r>
    </w:p>
    <w:p w14:paraId="0BDF7165"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160DD5D5" w14:textId="77777777" w:rsidR="00532C25" w:rsidRPr="00511005" w:rsidRDefault="00532C25" w:rsidP="00532C25">
      <w:pPr>
        <w:spacing w:line="264" w:lineRule="auto"/>
        <w:ind w:firstLine="0"/>
        <w:jc w:val="center"/>
        <w:rPr>
          <w:rFonts w:ascii="Arial" w:eastAsia="Calibri" w:hAnsi="Arial" w:cs="Arial"/>
          <w:szCs w:val="28"/>
          <w:lang w:val="uk-UA"/>
        </w:rPr>
      </w:pPr>
    </w:p>
    <w:p w14:paraId="2BD11151" w14:textId="77777777" w:rsidR="00532C25" w:rsidRPr="00511005" w:rsidRDefault="00532C25" w:rsidP="00532C25">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ГІБРИДНИЙ МОБІЛЬНИЙ ЗАСТОСУНОК ДЛЯ ФІТНЕС-ЦЕНТРА</w:t>
      </w:r>
    </w:p>
    <w:p w14:paraId="0E92081A"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Стрімкий розвиток цифрових технологій створює нові можливості для автоматизації бізнес-процесів у сфері фітнес-послуг. Впровадження мобільних застосунків дозволяє значно покращити комунікацію з клієнтами, спростити організацію тренувань та оптимізувати адміністративні завдання. Гібридні мобільні застосунки стають ефективним рішенням завдяки своїй універсальності та здатності працювати на різних платформах, таких як Android, iOS та Windows.</w:t>
      </w:r>
    </w:p>
    <w:p w14:paraId="134D7F5A"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Метою виконання роботи є проєктування, розробка та тестування гібридного мобільного застосунку для фітнес-центра. Об'єктом роботи є процеси проєктування, програмної реалізації та функціонального тестування гібридних мобільних застосунків. Предметом дослідження є техніки, інструменти, алгоритми розробки та реалізації гібридних мобільних застосунків для ОС Android, IOS, Windows.</w:t>
      </w:r>
    </w:p>
    <w:p w14:paraId="1F1B5220"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Кваліфікаційна робота присвячена розробці гібридного мобільного застосунку для фітнес-центру, який забезпечує управління персональними та груповими тренуваннями, адміністрування процесів і взаємодію з клієнтами. У процесі дослідження було проаналізовано популярні фітнес-платформи для визначення їхніх сильних та слабких сторін, що дозволило врахувати найкращі практики і уникнути типових недоліків конкурентів.</w:t>
      </w:r>
    </w:p>
    <w:p w14:paraId="762A5277"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Проведений аналіз популярних фітнес-платформ дозволив визначити сильні та слабкі сторони конкурентів. Врахування найкращих практик (планування тренувань, відстеження прогресу, зручний інтерфейс) дозволило уникнути поширених недоліків та створити конкурентоздатний продукт.</w:t>
      </w:r>
    </w:p>
    <w:p w14:paraId="50AA8BF3"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Виконано огляд технологій розробки, проєктування архітектури, організації бази даних. Використання платформи Xamarin та архітектури MVVM забезпечує розробку продуктивного і гнучкого застосунку, орієнтованого на зручність роботи як для клієнтів, так і для персоналу фітнес-центру. Платформа Xamarin [1] є оптимальним вибором для крос-платформної розробки з підтримкою Android, iOS та UWP. Використання Xamarin.Forms дозволило забезпечити високу продуктивність та інтеграцію з корпоративними сервісами Microsoft.</w:t>
      </w:r>
    </w:p>
    <w:p w14:paraId="39C7D8B2"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Ефективне застосування маркетингових інструментів (визначення цільової аудиторії, збір даних про потреби, аналіз критеріїв вибору) дозволило створити стратегію позиціонування застосунку на ринку.</w:t>
      </w:r>
    </w:p>
    <w:p w14:paraId="42D10253"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Визначено функціональні та нефункціональні вимоги для трьох основних ролей: клієнта, тренера та адміністратора. Запропонована </w:t>
      </w:r>
      <w:r w:rsidRPr="00511005">
        <w:rPr>
          <w:rFonts w:ascii="Arial" w:eastAsia="Calibri" w:hAnsi="Arial" w:cs="Arial"/>
          <w:szCs w:val="28"/>
          <w:lang w:val="uk-UA"/>
        </w:rPr>
        <w:lastRenderedPageBreak/>
        <w:t>структура бази даних забезпечує ефективне зберігання та обробку даних. Використання архітектури MVVM спрощує підтримку коду та забезпечує гнучкість у розробці.</w:t>
      </w:r>
    </w:p>
    <w:p w14:paraId="675305F0"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Розроблена структура бази даних мобільного застосунку для фітнес-центру, що забезпечуватиме зручне зберігання даних про користувачів, розклад занять, бронювання, платежі та відгуки (рис. 1). Структура забезпечує швидкий та ефективний доступ до даних, легке масштабування, підтримку інтеграції з іншими сервісами. Такий підхід дозволяє створити гнучку і надійну архітектуру, яка відповідатиме як поточним, так і майбутнім потребам фітнес-центру та його користувачів. Візуалізація структури БД у вигляді ER-діаграми виконана у сервісі DRAW.IO з використанням мови PlantUML.</w:t>
      </w:r>
    </w:p>
    <w:p w14:paraId="7717B594"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noProof/>
          <w:szCs w:val="28"/>
          <w:lang w:val="uk-UA"/>
        </w:rPr>
        <w:drawing>
          <wp:inline distT="0" distB="0" distL="0" distR="0" wp14:anchorId="4142310A" wp14:editId="23601FBB">
            <wp:extent cx="5605888" cy="5508172"/>
            <wp:effectExtent l="0" t="0" r="0" b="0"/>
            <wp:docPr id="126072802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13">
                      <a:extLst>
                        <a:ext uri="{28A0092B-C50C-407E-A947-70E740481C1C}">
                          <a14:useLocalDpi xmlns:a14="http://schemas.microsoft.com/office/drawing/2010/main" val="0"/>
                        </a:ext>
                      </a:extLst>
                    </a:blip>
                    <a:srcRect/>
                    <a:stretch>
                      <a:fillRect/>
                    </a:stretch>
                  </pic:blipFill>
                  <pic:spPr bwMode="auto">
                    <a:xfrm>
                      <a:off x="0" y="0"/>
                      <a:ext cx="5713441" cy="5613850"/>
                    </a:xfrm>
                    <a:prstGeom prst="rect">
                      <a:avLst/>
                    </a:prstGeom>
                    <a:noFill/>
                    <a:ln>
                      <a:noFill/>
                    </a:ln>
                  </pic:spPr>
                </pic:pic>
              </a:graphicData>
            </a:graphic>
          </wp:inline>
        </w:drawing>
      </w:r>
    </w:p>
    <w:p w14:paraId="639DF675"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Рисунок 1 </w:t>
      </w:r>
      <w:r w:rsidRPr="00511005">
        <w:rPr>
          <w:rFonts w:ascii="Arial" w:eastAsia="Times New Roman" w:hAnsi="Arial" w:cs="Arial"/>
          <w:szCs w:val="28"/>
          <w:lang w:val="uk-UA" w:eastAsia="ru-RU"/>
        </w:rPr>
        <w:t>–</w:t>
      </w:r>
      <w:r w:rsidRPr="00511005">
        <w:rPr>
          <w:rFonts w:ascii="Arial" w:eastAsia="Calibri" w:hAnsi="Arial" w:cs="Arial"/>
          <w:szCs w:val="28"/>
          <w:lang w:val="uk-UA"/>
        </w:rPr>
        <w:t xml:space="preserve"> ER-діаграма бази даних</w:t>
      </w:r>
    </w:p>
    <w:p w14:paraId="3E04E4E9"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Інтерфейс користувача розроблено з використанням Xamarin.Forms, що дозволило швидко вносити зміни та тестувати їх у реальному часі. Використання Flayout-шаблону спростило навігацію між сторінками та забезпечило стандартні елементи інтерфейсу. Для роботи з локальною </w:t>
      </w:r>
      <w:r w:rsidRPr="00511005">
        <w:rPr>
          <w:rFonts w:ascii="Arial" w:eastAsia="Calibri" w:hAnsi="Arial" w:cs="Arial"/>
          <w:szCs w:val="28"/>
          <w:lang w:val="uk-UA"/>
        </w:rPr>
        <w:lastRenderedPageBreak/>
        <w:t>базою даних SQLite [2] створено модель даних та сервісний клас, що дозволило реалізувати основні запити.</w:t>
      </w:r>
    </w:p>
    <w:p w14:paraId="5CCE8287"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Тестування застосунку включало перевірку коректності інтерфейсу, функціональних компонентів та продуктивності [4]. Використання емулятору дозволило перевірити працездатність застосунку на платформах Android та UWP [3]. Результати тестування підтвердили, що всі функціональні вимоги були успішно реалізовані, а застосунок готовий до використання. </w:t>
      </w:r>
    </w:p>
    <w:p w14:paraId="7972649C"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Гібридний мобільний застосунок для фітнес-центру є сучасним, функціональним та зручним інструментом, який відповідає потребам користувачів і сприяє підвищенню ефективності роботи фітнес-центру.</w:t>
      </w:r>
    </w:p>
    <w:p w14:paraId="348AA045" w14:textId="77777777" w:rsidR="00532C25" w:rsidRPr="00511005" w:rsidRDefault="00532C25" w:rsidP="00532C25">
      <w:pPr>
        <w:spacing w:line="264" w:lineRule="auto"/>
        <w:jc w:val="center"/>
        <w:rPr>
          <w:rFonts w:ascii="Arial" w:eastAsia="Calibri" w:hAnsi="Arial" w:cs="Arial"/>
          <w:szCs w:val="28"/>
          <w:lang w:val="uk-UA"/>
        </w:rPr>
      </w:pPr>
      <w:r w:rsidRPr="00511005">
        <w:rPr>
          <w:rFonts w:ascii="Arial" w:eastAsia="Calibri" w:hAnsi="Arial" w:cs="Arial"/>
          <w:noProof/>
          <w:szCs w:val="28"/>
          <w:lang w:val="uk-UA"/>
        </w:rPr>
        <w:drawing>
          <wp:inline distT="0" distB="0" distL="0" distR="0" wp14:anchorId="39AE0D45" wp14:editId="653FDCB7">
            <wp:extent cx="5309088" cy="4920343"/>
            <wp:effectExtent l="0" t="0" r="6350" b="0"/>
            <wp:docPr id="9554376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5437642" name=""/>
                    <pic:cNvPicPr/>
                  </pic:nvPicPr>
                  <pic:blipFill>
                    <a:blip r:embed="rId2414"/>
                    <a:stretch>
                      <a:fillRect/>
                    </a:stretch>
                  </pic:blipFill>
                  <pic:spPr>
                    <a:xfrm>
                      <a:off x="0" y="0"/>
                      <a:ext cx="5384002" cy="4989771"/>
                    </a:xfrm>
                    <a:prstGeom prst="rect">
                      <a:avLst/>
                    </a:prstGeom>
                  </pic:spPr>
                </pic:pic>
              </a:graphicData>
            </a:graphic>
          </wp:inline>
        </w:drawing>
      </w:r>
    </w:p>
    <w:p w14:paraId="45334A9D" w14:textId="77777777" w:rsidR="00532C25" w:rsidRPr="00511005" w:rsidRDefault="00532C25" w:rsidP="00532C25">
      <w:pPr>
        <w:spacing w:line="264" w:lineRule="auto"/>
        <w:jc w:val="center"/>
        <w:rPr>
          <w:rFonts w:ascii="Arial" w:eastAsia="Calibri" w:hAnsi="Arial" w:cs="Arial"/>
          <w:szCs w:val="28"/>
          <w:lang w:val="uk-UA"/>
        </w:rPr>
      </w:pPr>
      <w:r w:rsidRPr="00511005">
        <w:rPr>
          <w:rFonts w:ascii="Arial" w:eastAsia="Calibri" w:hAnsi="Arial" w:cs="Arial"/>
          <w:szCs w:val="28"/>
          <w:lang w:val="uk-UA"/>
        </w:rPr>
        <w:t xml:space="preserve">Рисунок 2 </w:t>
      </w:r>
      <w:r w:rsidRPr="00511005">
        <w:rPr>
          <w:rFonts w:ascii="Arial" w:eastAsia="Times New Roman" w:hAnsi="Arial" w:cs="Arial"/>
          <w:szCs w:val="28"/>
          <w:lang w:val="uk-UA" w:eastAsia="ru-RU"/>
        </w:rPr>
        <w:t>–</w:t>
      </w:r>
      <w:r w:rsidRPr="00511005">
        <w:rPr>
          <w:rFonts w:ascii="Arial" w:eastAsia="Calibri" w:hAnsi="Arial" w:cs="Arial"/>
          <w:szCs w:val="28"/>
          <w:lang w:val="uk-UA"/>
        </w:rPr>
        <w:t xml:space="preserve"> Функціональне тестування мобільного застосунку в емуляторі</w:t>
      </w:r>
    </w:p>
    <w:p w14:paraId="5BC230D1" w14:textId="77777777" w:rsidR="00532C25" w:rsidRPr="00511005" w:rsidRDefault="00532C25" w:rsidP="00532C25">
      <w:pPr>
        <w:spacing w:line="264" w:lineRule="auto"/>
        <w:jc w:val="center"/>
        <w:rPr>
          <w:rFonts w:ascii="Arial" w:eastAsia="Calibri" w:hAnsi="Arial" w:cs="Arial"/>
          <w:b/>
          <w:szCs w:val="28"/>
          <w:lang w:val="uk-UA"/>
        </w:rPr>
      </w:pPr>
    </w:p>
    <w:p w14:paraId="43D79C37" w14:textId="77777777" w:rsidR="00532C25" w:rsidRPr="00511005" w:rsidRDefault="00532C25" w:rsidP="00532C25">
      <w:pPr>
        <w:spacing w:line="264" w:lineRule="auto"/>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4190BF19"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1. Microsoft Learn – Документація Xamarin.Forms. URL: https://learn.microsoft.com/ en-us/previous-versions/xamarin/xamarin-forms/</w:t>
      </w:r>
    </w:p>
    <w:p w14:paraId="6900091B"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2. SQLite – Alphabetical List of Documents. URL: https://www.sqlite.org/doclist.html.</w:t>
      </w:r>
    </w:p>
    <w:p w14:paraId="416A47A5"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3. Universal Windows Platform documentation. URL: https://learn.microsoft.com/uk-ua/windows/uwp/</w:t>
      </w:r>
    </w:p>
    <w:p w14:paraId="254B61EE"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4. Чек лист тестування мобільного застосунку. URL: https://brander.ua/blog/chek-lyst-testuvannya-mobilnoho-zastosunku</w:t>
      </w:r>
    </w:p>
    <w:p w14:paraId="57F8AAE5"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фітнес-центр, гібридний застосунок, Xamarin, SQLite, MVVM, Android, IOS, UWP.</w:t>
      </w:r>
    </w:p>
    <w:p w14:paraId="79C0FF4F"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Key words: </w:t>
      </w:r>
      <w:r w:rsidRPr="00511005">
        <w:rPr>
          <w:rFonts w:ascii="Arial" w:eastAsia="Calibri" w:hAnsi="Arial" w:cs="Arial"/>
          <w:szCs w:val="28"/>
          <w:lang w:val="uk-UA"/>
        </w:rPr>
        <w:t>fitness center, hybrid application, Xamarin, SQLite, MVVM, Android, IOS, UWP.</w:t>
      </w:r>
    </w:p>
    <w:p w14:paraId="7C0F7E05" w14:textId="77777777" w:rsidR="00532C25" w:rsidRPr="00511005" w:rsidRDefault="00532C25" w:rsidP="00532C25">
      <w:pPr>
        <w:spacing w:line="264" w:lineRule="auto"/>
        <w:ind w:firstLine="708"/>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i/>
          <w:iCs/>
          <w:szCs w:val="28"/>
          <w:lang w:val="uk-UA"/>
        </w:rPr>
        <w:t>к.т.н., доцент Чикунов П.О.</w:t>
      </w:r>
    </w:p>
    <w:p w14:paraId="79627DA0" w14:textId="77777777" w:rsidR="00532C25" w:rsidRPr="00511005" w:rsidRDefault="00532C25" w:rsidP="00532C25">
      <w:pPr>
        <w:spacing w:line="264" w:lineRule="auto"/>
        <w:jc w:val="center"/>
        <w:rPr>
          <w:rFonts w:ascii="Arial" w:eastAsia="Calibri" w:hAnsi="Arial" w:cs="Arial"/>
          <w:b/>
          <w:i/>
          <w:szCs w:val="28"/>
          <w:shd w:val="clear" w:color="auto" w:fill="FFFFFF"/>
          <w:lang w:val="uk-UA"/>
        </w:rPr>
      </w:pPr>
    </w:p>
    <w:p w14:paraId="527A4E0C" w14:textId="77777777" w:rsidR="00532C25" w:rsidRPr="00511005" w:rsidRDefault="00532C25" w:rsidP="00532C25">
      <w:pPr>
        <w:spacing w:line="264" w:lineRule="auto"/>
        <w:ind w:firstLine="0"/>
        <w:jc w:val="center"/>
        <w:rPr>
          <w:rFonts w:ascii="Arial" w:eastAsia="Calibri" w:hAnsi="Arial" w:cs="Arial"/>
          <w:b/>
          <w:i/>
          <w:szCs w:val="28"/>
          <w:shd w:val="clear" w:color="auto" w:fill="FFFFFF"/>
          <w:lang w:val="uk-UA"/>
        </w:rPr>
      </w:pPr>
    </w:p>
    <w:p w14:paraId="391103FE" w14:textId="77777777" w:rsidR="00532C25" w:rsidRPr="00511005" w:rsidRDefault="00532C25" w:rsidP="00532C25">
      <w:pPr>
        <w:spacing w:line="264" w:lineRule="auto"/>
        <w:ind w:firstLine="0"/>
        <w:jc w:val="center"/>
        <w:rPr>
          <w:rFonts w:ascii="Arial" w:eastAsia="Calibri" w:hAnsi="Arial" w:cs="Arial"/>
          <w:b/>
          <w:i/>
          <w:szCs w:val="28"/>
          <w:shd w:val="clear" w:color="auto" w:fill="FFFFFF"/>
          <w:lang w:val="uk-UA"/>
        </w:rPr>
      </w:pPr>
      <w:r w:rsidRPr="00511005">
        <w:rPr>
          <w:rFonts w:ascii="Arial" w:eastAsia="Calibri" w:hAnsi="Arial" w:cs="Arial"/>
          <w:b/>
          <w:i/>
          <w:szCs w:val="28"/>
          <w:shd w:val="clear" w:color="auto" w:fill="FFFFFF"/>
          <w:lang w:val="uk-UA"/>
        </w:rPr>
        <w:t>Нігуренко Аміна</w:t>
      </w:r>
    </w:p>
    <w:p w14:paraId="5CD2F4BF" w14:textId="77777777" w:rsidR="00532C25" w:rsidRPr="00511005" w:rsidRDefault="00532C25" w:rsidP="00532C25">
      <w:pPr>
        <w:spacing w:line="264" w:lineRule="auto"/>
        <w:ind w:firstLine="0"/>
        <w:jc w:val="center"/>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студентка 4-го курсу факультету кібербезпеки та інформаційних технологій</w:t>
      </w:r>
    </w:p>
    <w:p w14:paraId="24043C8C" w14:textId="77777777" w:rsidR="00532C25" w:rsidRPr="00511005" w:rsidRDefault="00532C25" w:rsidP="00532C25">
      <w:pPr>
        <w:spacing w:line="264" w:lineRule="auto"/>
        <w:ind w:firstLine="0"/>
        <w:jc w:val="center"/>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Національного університету «Одеська юридична академія»</w:t>
      </w:r>
    </w:p>
    <w:p w14:paraId="519395AF" w14:textId="77777777" w:rsidR="00532C25" w:rsidRPr="00511005" w:rsidRDefault="00532C25" w:rsidP="00532C25">
      <w:pPr>
        <w:spacing w:line="264" w:lineRule="auto"/>
        <w:ind w:firstLine="0"/>
        <w:jc w:val="center"/>
        <w:rPr>
          <w:rFonts w:ascii="Arial" w:eastAsia="Calibri" w:hAnsi="Arial" w:cs="Arial"/>
          <w:b/>
          <w:bCs/>
          <w:caps/>
          <w:szCs w:val="28"/>
          <w:lang w:val="uk-UA"/>
        </w:rPr>
      </w:pPr>
    </w:p>
    <w:p w14:paraId="25E237B6" w14:textId="77777777" w:rsidR="00532C25" w:rsidRPr="00511005" w:rsidRDefault="00532C25" w:rsidP="00532C25">
      <w:pPr>
        <w:spacing w:line="264" w:lineRule="auto"/>
        <w:ind w:firstLine="0"/>
        <w:jc w:val="center"/>
        <w:rPr>
          <w:rFonts w:ascii="Arial" w:eastAsia="Calibri" w:hAnsi="Arial" w:cs="Arial"/>
          <w:b/>
          <w:bCs/>
          <w:caps/>
          <w:szCs w:val="28"/>
          <w:lang w:val="uk-UA"/>
        </w:rPr>
      </w:pPr>
      <w:r w:rsidRPr="00511005">
        <w:rPr>
          <w:rFonts w:ascii="Arial" w:eastAsia="Calibri" w:hAnsi="Arial" w:cs="Arial"/>
          <w:b/>
          <w:bCs/>
          <w:caps/>
          <w:szCs w:val="28"/>
          <w:lang w:val="uk-UA"/>
        </w:rPr>
        <w:t>Використання соціальних мереж як інструмент управління брендом</w:t>
      </w:r>
    </w:p>
    <w:p w14:paraId="7280127D"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В умовах цифрової трансформації бізнес-процесів та інтенсивної діджиталізації комунікацій соціальні мережі набули статусу фундаментального елемента стратегії управління брендом. За даними Digital Global Overview Report, кількість користувачів соціальних мереж у світі перевищила 4,9 мільярда, що становить приблизно 62% світового населення [2]. Така значна аудиторія формує унікальні можливості для компаній щодо встановлення безпосереднього контакту з цільовими споживачами, формування впізнаваності та посилення лояльності до бренду. Динамічні зміни алгоритмів соціальних платформ і зростаюча інформаційна перенасиченість вимагають від маркетологів розробки комплексних стратегій для ефективного позиціонування в цифровому середовищі.</w:t>
      </w:r>
    </w:p>
    <w:p w14:paraId="3652294A"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Наукова спільнота визнає трансформаційний вплив соціальних мереж на маркетингові комунікації. Відповідно до досліджень, комунікаційна модель «багато хто до багатьох» інтегрує моделі «один до багатьох» і «один до одного», що принципово змінює підходи до управління брендом [1]. Акцент переноситься з монологічних контрольованих комунікацій на створення відкритого діалогу з аудиторією, де споживачі набувають статусу активних співтворців бренду.</w:t>
      </w:r>
    </w:p>
    <w:p w14:paraId="0906DAAC"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Системний підхід до управління брендом через соціальні мережі передбачає інтеграцію цифрових каналів у загальну маркетингову стратегію компанії. Цей процес реалізується через п'ять взаємопов'язаних етапів, щоб детальніше переглянути слід звернутися до рис. 1 [1].</w:t>
      </w:r>
    </w:p>
    <w:p w14:paraId="66FFA357"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noProof/>
          <w:szCs w:val="28"/>
          <w:lang w:val="uk-UA"/>
        </w:rPr>
        <mc:AlternateContent>
          <mc:Choice Requires="wpg">
            <w:drawing>
              <wp:inline distT="0" distB="0" distL="0" distR="0" wp14:anchorId="5E0351B7" wp14:editId="4062AF46">
                <wp:extent cx="5707380" cy="308610"/>
                <wp:effectExtent l="9525" t="9525" r="7620" b="5715"/>
                <wp:docPr id="243347227"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07380" cy="308610"/>
                          <a:chOff x="0" y="0"/>
                          <a:chExt cx="57073" cy="3086"/>
                        </a:xfrm>
                      </wpg:grpSpPr>
                      <wps:wsp>
                        <wps:cNvPr id="617165847" name="Надпись 1"/>
                        <wps:cNvSpPr txBox="1">
                          <a:spLocks noChangeArrowheads="1"/>
                        </wps:cNvSpPr>
                        <wps:spPr bwMode="auto">
                          <a:xfrm>
                            <a:off x="0" y="0"/>
                            <a:ext cx="10134" cy="2895"/>
                          </a:xfrm>
                          <a:prstGeom prst="rect">
                            <a:avLst/>
                          </a:prstGeom>
                          <a:solidFill>
                            <a:srgbClr val="FFFFFF"/>
                          </a:solidFill>
                          <a:ln w="6350">
                            <a:solidFill>
                              <a:srgbClr val="000000"/>
                            </a:solidFill>
                            <a:miter lim="800000"/>
                            <a:headEnd/>
                            <a:tailEnd/>
                          </a:ln>
                        </wps:spPr>
                        <wps:txbx>
                          <w:txbxContent>
                            <w:p w14:paraId="4A692FEC" w14:textId="77777777" w:rsidR="00532C25" w:rsidRPr="00D9751F" w:rsidRDefault="00532C25" w:rsidP="00532C25">
                              <w:pPr>
                                <w:ind w:firstLine="0"/>
                                <w:rPr>
                                  <w:rFonts w:cs="Times New Roman"/>
                                  <w:sz w:val="24"/>
                                  <w:szCs w:val="24"/>
                                </w:rPr>
                              </w:pPr>
                              <w:r w:rsidRPr="00D9751F">
                                <w:rPr>
                                  <w:rFonts w:cs="Times New Roman"/>
                                  <w:sz w:val="24"/>
                                  <w:szCs w:val="24"/>
                                </w:rPr>
                                <w:t>Моніторинг</w:t>
                              </w:r>
                            </w:p>
                          </w:txbxContent>
                        </wps:txbx>
                        <wps:bodyPr rot="0" vert="horz" wrap="square" lIns="91440" tIns="45720" rIns="91440" bIns="45720" anchor="t" anchorCtr="0" upright="1">
                          <a:noAutofit/>
                        </wps:bodyPr>
                      </wps:wsp>
                      <wps:wsp>
                        <wps:cNvPr id="1372492356" name="Надпись 2"/>
                        <wps:cNvSpPr txBox="1">
                          <a:spLocks noChangeArrowheads="1"/>
                        </wps:cNvSpPr>
                        <wps:spPr bwMode="auto">
                          <a:xfrm>
                            <a:off x="12382" y="0"/>
                            <a:ext cx="10135" cy="2895"/>
                          </a:xfrm>
                          <a:prstGeom prst="rect">
                            <a:avLst/>
                          </a:prstGeom>
                          <a:solidFill>
                            <a:srgbClr val="FFFFFF"/>
                          </a:solidFill>
                          <a:ln w="6350">
                            <a:solidFill>
                              <a:srgbClr val="000000"/>
                            </a:solidFill>
                            <a:miter lim="800000"/>
                            <a:headEnd/>
                            <a:tailEnd/>
                          </a:ln>
                        </wps:spPr>
                        <wps:txbx>
                          <w:txbxContent>
                            <w:p w14:paraId="40605B82" w14:textId="77777777" w:rsidR="00532C25" w:rsidRPr="00D9751F" w:rsidRDefault="00532C25" w:rsidP="00532C25">
                              <w:pPr>
                                <w:ind w:firstLine="0"/>
                                <w:rPr>
                                  <w:rFonts w:cs="Times New Roman"/>
                                  <w:sz w:val="24"/>
                                  <w:szCs w:val="24"/>
                                </w:rPr>
                              </w:pPr>
                              <w:r>
                                <w:rPr>
                                  <w:rFonts w:cs="Times New Roman"/>
                                  <w:sz w:val="24"/>
                                  <w:szCs w:val="24"/>
                                </w:rPr>
                                <w:t>Інтеграція</w:t>
                              </w:r>
                            </w:p>
                          </w:txbxContent>
                        </wps:txbx>
                        <wps:bodyPr rot="0" vert="horz" wrap="square" lIns="91440" tIns="45720" rIns="91440" bIns="45720" anchor="t" anchorCtr="0" upright="1">
                          <a:noAutofit/>
                        </wps:bodyPr>
                      </wps:wsp>
                      <wps:wsp>
                        <wps:cNvPr id="1761650683" name="Надпись 3"/>
                        <wps:cNvSpPr txBox="1">
                          <a:spLocks noChangeArrowheads="1"/>
                        </wps:cNvSpPr>
                        <wps:spPr bwMode="auto">
                          <a:xfrm>
                            <a:off x="24765" y="63"/>
                            <a:ext cx="10134" cy="2896"/>
                          </a:xfrm>
                          <a:prstGeom prst="rect">
                            <a:avLst/>
                          </a:prstGeom>
                          <a:solidFill>
                            <a:srgbClr val="FFFFFF"/>
                          </a:solidFill>
                          <a:ln w="6350">
                            <a:solidFill>
                              <a:srgbClr val="000000"/>
                            </a:solidFill>
                            <a:miter lim="800000"/>
                            <a:headEnd/>
                            <a:tailEnd/>
                          </a:ln>
                        </wps:spPr>
                        <wps:txbx>
                          <w:txbxContent>
                            <w:p w14:paraId="4BA35DD9" w14:textId="77777777" w:rsidR="00532C25" w:rsidRPr="00D9751F" w:rsidRDefault="00532C25" w:rsidP="00532C25">
                              <w:pPr>
                                <w:ind w:firstLine="0"/>
                                <w:rPr>
                                  <w:rFonts w:cs="Times New Roman"/>
                                  <w:sz w:val="24"/>
                                  <w:szCs w:val="24"/>
                                </w:rPr>
                              </w:pPr>
                              <w:r>
                                <w:rPr>
                                  <w:rFonts w:cs="Times New Roman"/>
                                  <w:sz w:val="24"/>
                                  <w:szCs w:val="24"/>
                                </w:rPr>
                                <w:t>Взаємодія</w:t>
                              </w:r>
                            </w:p>
                          </w:txbxContent>
                        </wps:txbx>
                        <wps:bodyPr rot="0" vert="horz" wrap="square" lIns="91440" tIns="45720" rIns="91440" bIns="45720" anchor="t" anchorCtr="0" upright="1">
                          <a:noAutofit/>
                        </wps:bodyPr>
                      </wps:wsp>
                      <wps:wsp>
                        <wps:cNvPr id="802925300" name="Надпись 4"/>
                        <wps:cNvSpPr txBox="1">
                          <a:spLocks noChangeArrowheads="1"/>
                        </wps:cNvSpPr>
                        <wps:spPr bwMode="auto">
                          <a:xfrm>
                            <a:off x="36703" y="190"/>
                            <a:ext cx="10134" cy="2896"/>
                          </a:xfrm>
                          <a:prstGeom prst="rect">
                            <a:avLst/>
                          </a:prstGeom>
                          <a:solidFill>
                            <a:srgbClr val="FFFFFF"/>
                          </a:solidFill>
                          <a:ln w="6350">
                            <a:solidFill>
                              <a:srgbClr val="000000"/>
                            </a:solidFill>
                            <a:miter lim="800000"/>
                            <a:headEnd/>
                            <a:tailEnd/>
                          </a:ln>
                        </wps:spPr>
                        <wps:txbx>
                          <w:txbxContent>
                            <w:p w14:paraId="55541C95" w14:textId="77777777" w:rsidR="00532C25" w:rsidRPr="00D9751F" w:rsidRDefault="00532C25" w:rsidP="00532C25">
                              <w:pPr>
                                <w:ind w:firstLine="0"/>
                                <w:rPr>
                                  <w:rFonts w:cs="Times New Roman"/>
                                  <w:sz w:val="24"/>
                                  <w:szCs w:val="24"/>
                                </w:rPr>
                              </w:pPr>
                              <w:r>
                                <w:rPr>
                                  <w:rFonts w:cs="Times New Roman"/>
                                  <w:sz w:val="24"/>
                                  <w:szCs w:val="24"/>
                                </w:rPr>
                                <w:t>Активація</w:t>
                              </w:r>
                            </w:p>
                          </w:txbxContent>
                        </wps:txbx>
                        <wps:bodyPr rot="0" vert="horz" wrap="square" lIns="91440" tIns="45720" rIns="91440" bIns="45720" anchor="t" anchorCtr="0" upright="1">
                          <a:noAutofit/>
                        </wps:bodyPr>
                      </wps:wsp>
                      <wps:wsp>
                        <wps:cNvPr id="1736897257" name="Надпись 5"/>
                        <wps:cNvSpPr txBox="1">
                          <a:spLocks noChangeArrowheads="1"/>
                        </wps:cNvSpPr>
                        <wps:spPr bwMode="auto">
                          <a:xfrm>
                            <a:off x="48768" y="127"/>
                            <a:ext cx="8305" cy="2895"/>
                          </a:xfrm>
                          <a:prstGeom prst="rect">
                            <a:avLst/>
                          </a:prstGeom>
                          <a:solidFill>
                            <a:srgbClr val="FFFFFF"/>
                          </a:solidFill>
                          <a:ln w="6350">
                            <a:solidFill>
                              <a:srgbClr val="000000"/>
                            </a:solidFill>
                            <a:miter lim="800000"/>
                            <a:headEnd/>
                            <a:tailEnd/>
                          </a:ln>
                        </wps:spPr>
                        <wps:txbx>
                          <w:txbxContent>
                            <w:p w14:paraId="16D9564D" w14:textId="77777777" w:rsidR="00532C25" w:rsidRPr="00D9751F" w:rsidRDefault="00532C25" w:rsidP="00532C25">
                              <w:pPr>
                                <w:ind w:firstLine="0"/>
                                <w:rPr>
                                  <w:rFonts w:cs="Times New Roman"/>
                                  <w:sz w:val="24"/>
                                  <w:szCs w:val="24"/>
                                </w:rPr>
                              </w:pPr>
                              <w:r>
                                <w:rPr>
                                  <w:rFonts w:cs="Times New Roman"/>
                                  <w:sz w:val="24"/>
                                  <w:szCs w:val="24"/>
                                </w:rPr>
                                <w:t>Оцінка</w:t>
                              </w:r>
                            </w:p>
                          </w:txbxContent>
                        </wps:txbx>
                        <wps:bodyPr rot="0" vert="horz" wrap="square" lIns="91440" tIns="45720" rIns="91440" bIns="45720" anchor="t" anchorCtr="0" upright="1">
                          <a:noAutofit/>
                        </wps:bodyPr>
                      </wps:wsp>
                      <wps:wsp>
                        <wps:cNvPr id="1674846748" name="Прямая со стрелкой 6"/>
                        <wps:cNvCnPr>
                          <a:cxnSpLocks noChangeShapeType="1"/>
                        </wps:cNvCnPr>
                        <wps:spPr bwMode="auto">
                          <a:xfrm flipV="1">
                            <a:off x="10223" y="1206"/>
                            <a:ext cx="2210" cy="76"/>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840678346" name="Прямая со стрелкой 7"/>
                        <wps:cNvCnPr>
                          <a:cxnSpLocks noChangeShapeType="1"/>
                        </wps:cNvCnPr>
                        <wps:spPr bwMode="auto">
                          <a:xfrm>
                            <a:off x="22542" y="1206"/>
                            <a:ext cx="2210" cy="76"/>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401180762" name="Прямая со стрелкой 9"/>
                        <wps:cNvCnPr>
                          <a:cxnSpLocks noChangeShapeType="1"/>
                        </wps:cNvCnPr>
                        <wps:spPr bwMode="auto">
                          <a:xfrm>
                            <a:off x="34861" y="1524"/>
                            <a:ext cx="1981" cy="76"/>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511953051" name="Прямая со стрелкой 10"/>
                        <wps:cNvCnPr>
                          <a:cxnSpLocks noChangeShapeType="1"/>
                        </wps:cNvCnPr>
                        <wps:spPr bwMode="auto">
                          <a:xfrm>
                            <a:off x="46926" y="1524"/>
                            <a:ext cx="1905" cy="114"/>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E0351B7" id="Группа 1" o:spid="_x0000_s1028" style="width:449.4pt;height:24.3pt;mso-position-horizontal-relative:char;mso-position-vertical-relative:line" coordsize="57073,30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">
                <v:shape id="Надпись 1" o:spid="_x0000_s1029" type="#_x0000_t202" style="position:absolute;width:10134;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" strokeweight=".5pt">
                  <v:textbox>
                    <w:txbxContent>
                      <w:p w14:paraId="4A692FEC" w14:textId="77777777" w:rsidR="00532C25" w:rsidRPr="00D9751F" w:rsidRDefault="00532C25" w:rsidP="00532C25">
                        <w:pPr>
                          <w:ind w:firstLine="0"/>
                          <w:rPr>
                            <w:rFonts w:cs="Times New Roman"/>
                            <w:sz w:val="24"/>
                            <w:szCs w:val="24"/>
                          </w:rPr>
                        </w:pPr>
                        <w:r w:rsidRPr="00D9751F">
                          <w:rPr>
                            <w:rFonts w:cs="Times New Roman"/>
                            <w:sz w:val="24"/>
                            <w:szCs w:val="24"/>
                          </w:rPr>
                          <w:t>Моніторинг</w:t>
                        </w:r>
                      </w:p>
                    </w:txbxContent>
                  </v:textbox>
                </v:shape>
                <v:shape id="Надпись 2" o:spid="_x0000_s1030" type="#_x0000_t202" style="position:absolute;left:12382;width:10135;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" strokeweight=".5pt">
                  <v:textbox>
                    <w:txbxContent>
                      <w:p w14:paraId="40605B82" w14:textId="77777777" w:rsidR="00532C25" w:rsidRPr="00D9751F" w:rsidRDefault="00532C25" w:rsidP="00532C25">
                        <w:pPr>
                          <w:ind w:firstLine="0"/>
                          <w:rPr>
                            <w:rFonts w:cs="Times New Roman"/>
                            <w:sz w:val="24"/>
                            <w:szCs w:val="24"/>
                          </w:rPr>
                        </w:pPr>
                        <w:r>
                          <w:rPr>
                            <w:rFonts w:cs="Times New Roman"/>
                            <w:sz w:val="24"/>
                            <w:szCs w:val="24"/>
                          </w:rPr>
                          <w:t>Інтеграція</w:t>
                        </w:r>
                      </w:p>
                    </w:txbxContent>
                  </v:textbox>
                </v:shape>
                <v:shape id="Надпись 3" o:spid="_x0000_s1031" type="#_x0000_t202" style="position:absolute;left:24765;top:63;width:10134;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" strokeweight=".5pt">
                  <v:textbox>
                    <w:txbxContent>
                      <w:p w14:paraId="4BA35DD9" w14:textId="77777777" w:rsidR="00532C25" w:rsidRPr="00D9751F" w:rsidRDefault="00532C25" w:rsidP="00532C25">
                        <w:pPr>
                          <w:ind w:firstLine="0"/>
                          <w:rPr>
                            <w:rFonts w:cs="Times New Roman"/>
                            <w:sz w:val="24"/>
                            <w:szCs w:val="24"/>
                          </w:rPr>
                        </w:pPr>
                        <w:r>
                          <w:rPr>
                            <w:rFonts w:cs="Times New Roman"/>
                            <w:sz w:val="24"/>
                            <w:szCs w:val="24"/>
                          </w:rPr>
                          <w:t>Взаємодія</w:t>
                        </w:r>
                      </w:p>
                    </w:txbxContent>
                  </v:textbox>
                </v:shape>
                <v:shape id="Надпись 4" o:spid="_x0000_s1032" type="#_x0000_t202" style="position:absolute;left:36703;top:190;width:10134;height:28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" strokeweight=".5pt">
                  <v:textbox>
                    <w:txbxContent>
                      <w:p w14:paraId="55541C95" w14:textId="77777777" w:rsidR="00532C25" w:rsidRPr="00D9751F" w:rsidRDefault="00532C25" w:rsidP="00532C25">
                        <w:pPr>
                          <w:ind w:firstLine="0"/>
                          <w:rPr>
                            <w:rFonts w:cs="Times New Roman"/>
                            <w:sz w:val="24"/>
                            <w:szCs w:val="24"/>
                          </w:rPr>
                        </w:pPr>
                        <w:r>
                          <w:rPr>
                            <w:rFonts w:cs="Times New Roman"/>
                            <w:sz w:val="24"/>
                            <w:szCs w:val="24"/>
                          </w:rPr>
                          <w:t>Активація</w:t>
                        </w:r>
                      </w:p>
                    </w:txbxContent>
                  </v:textbox>
                </v:shape>
                <v:shape id="Надпись 5" o:spid="_x0000_s1033" type="#_x0000_t202" style="position:absolute;left:48768;top:127;width:8305;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" strokeweight=".5pt">
                  <v:textbox>
                    <w:txbxContent>
                      <w:p w14:paraId="16D9564D" w14:textId="77777777" w:rsidR="00532C25" w:rsidRPr="00D9751F" w:rsidRDefault="00532C25" w:rsidP="00532C25">
                        <w:pPr>
                          <w:ind w:firstLine="0"/>
                          <w:rPr>
                            <w:rFonts w:cs="Times New Roman"/>
                            <w:sz w:val="24"/>
                            <w:szCs w:val="24"/>
                          </w:rPr>
                        </w:pPr>
                        <w:r>
                          <w:rPr>
                            <w:rFonts w:cs="Times New Roman"/>
                            <w:sz w:val="24"/>
                            <w:szCs w:val="24"/>
                          </w:rPr>
                          <w:t>Оцінка</w:t>
                        </w:r>
                      </w:p>
                    </w:txbxContent>
                  </v:textbox>
                </v:shape>
                <v:shapetype id="_x0000_t32" coordsize="21600,21600" o:spt="32" o:oned="t" path="m,l21600,21600e" filled="f">
                  <v:path arrowok="t" fillok="f" o:connecttype="none"/>
                  <o:lock v:ext="edit" shapetype="t"/>
                </v:shapetype>
                <v:shape id="Прямая со стрелкой 6" o:spid="_x0000_s1034" type="#_x0000_t32" style="position:absolute;left:10223;top:1206;width:2210;height:7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" strokeweight=".5pt">
                  <v:stroke endarrow="block" joinstyle="miter"/>
                </v:shape>
                <v:shape id="Прямая со стрелкой 7" o:spid="_x0000_s1035" type="#_x0000_t32" style="position:absolute;left:22542;top:1206;width:2210;height: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" strokeweight=".5pt">
                  <v:stroke endarrow="block" joinstyle="miter"/>
                </v:shape>
                <v:shape id="Прямая со стрелкой 9" o:spid="_x0000_s1036" type="#_x0000_t32" style="position:absolute;left:34861;top:1524;width:1981;height: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" strokeweight=".5pt">
                  <v:stroke endarrow="block" joinstyle="miter"/>
                </v:shape>
                <v:shape id="Прямая со стрелкой 10" o:spid="_x0000_s1037" type="#_x0000_t32" style="position:absolute;left:46926;top:1524;width:1905;height: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" strokeweight=".5pt">
                  <v:stroke endarrow="block" joinstyle="miter"/>
                </v:shape>
                <w10:anchorlock/>
              </v:group>
            </w:pict>
          </mc:Fallback>
        </mc:AlternateContent>
      </w:r>
    </w:p>
    <w:p w14:paraId="782A3CE9"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Рисунок 1 </w:t>
      </w:r>
      <w:r w:rsidRPr="00511005">
        <w:rPr>
          <w:rFonts w:ascii="Arial" w:eastAsia="Times New Roman" w:hAnsi="Arial" w:cs="Arial"/>
          <w:szCs w:val="28"/>
          <w:lang w:val="uk-UA" w:eastAsia="ru-RU"/>
        </w:rPr>
        <w:t>–</w:t>
      </w:r>
      <w:r w:rsidRPr="00511005">
        <w:rPr>
          <w:rFonts w:ascii="Arial" w:eastAsia="Calibri" w:hAnsi="Arial" w:cs="Arial"/>
          <w:szCs w:val="28"/>
          <w:lang w:val="uk-UA"/>
        </w:rPr>
        <w:t xml:space="preserve"> П’ять взаємопов’язаних етапів.</w:t>
      </w:r>
    </w:p>
    <w:p w14:paraId="076F9D9A"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За дослідженням Sprout Social, 64% споживачів очікують персоналізованої взаємодії від брендів у соціальних мережах, а 76% зазначають готовність здійснити покупку після позитивної інтеракції з компанією в цифровому середовищі [3].</w:t>
      </w:r>
    </w:p>
    <w:p w14:paraId="5FFDC03C"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Соціальні мережі як маркетинговий інструмент спрямовані на встановлення двосторонньої комунікації з потенційними та існуючими клієнтами через інтерактивні платформи. Ключовою перевагою їх використання є можливість збору та аналізу великих масивів даних про поведінку користувачів, що дозволяє маркетологам точніше сегментувати аудиторію та персоналізувати контент відповідно до потреб кожного сегмента. У таблиці 1 представлені ключові функції соціальних мереж в управлінні брендом [4, 5].</w:t>
      </w:r>
    </w:p>
    <w:p w14:paraId="24C4ACD8"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Таблиця 1 </w:t>
      </w:r>
      <w:r w:rsidRPr="00511005">
        <w:rPr>
          <w:rFonts w:ascii="Arial" w:eastAsia="Times New Roman" w:hAnsi="Arial" w:cs="Arial"/>
          <w:szCs w:val="28"/>
          <w:lang w:val="uk-UA" w:eastAsia="ru-RU"/>
        </w:rPr>
        <w:t>–</w:t>
      </w:r>
      <w:r w:rsidRPr="00511005">
        <w:rPr>
          <w:rFonts w:ascii="Arial" w:eastAsia="Calibri" w:hAnsi="Arial" w:cs="Arial"/>
          <w:szCs w:val="28"/>
          <w:lang w:val="uk-UA"/>
        </w:rPr>
        <w:t xml:space="preserve"> Функції соціальних мереж в управлінні брендом</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08"/>
        <w:gridCol w:w="2083"/>
        <w:gridCol w:w="7420"/>
      </w:tblGrid>
      <w:tr w:rsidR="00532C25" w:rsidRPr="00511005" w14:paraId="1F84C533" w14:textId="77777777" w:rsidTr="006E3306">
        <w:trPr>
          <w:tblHeader/>
          <w:tblCellSpacing w:w="15" w:type="dxa"/>
          <w:jc w:val="center"/>
        </w:trPr>
        <w:tc>
          <w:tcPr>
            <w:tcW w:w="0" w:type="auto"/>
            <w:vAlign w:val="center"/>
            <w:hideMark/>
          </w:tcPr>
          <w:p w14:paraId="2827954A" w14:textId="77777777" w:rsidR="00532C25" w:rsidRPr="00511005" w:rsidRDefault="00532C25" w:rsidP="006E3306">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w:t>
            </w:r>
          </w:p>
        </w:tc>
        <w:tc>
          <w:tcPr>
            <w:tcW w:w="1491" w:type="dxa"/>
            <w:vAlign w:val="center"/>
            <w:hideMark/>
          </w:tcPr>
          <w:p w14:paraId="119701EA" w14:textId="77777777" w:rsidR="00532C25" w:rsidRPr="00511005" w:rsidRDefault="00532C25" w:rsidP="006E3306">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Функція</w:t>
            </w:r>
          </w:p>
        </w:tc>
        <w:tc>
          <w:tcPr>
            <w:tcW w:w="7442" w:type="dxa"/>
            <w:vAlign w:val="center"/>
            <w:hideMark/>
          </w:tcPr>
          <w:p w14:paraId="6931332A" w14:textId="77777777" w:rsidR="00532C25" w:rsidRPr="00511005" w:rsidRDefault="00532C25" w:rsidP="006E3306">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Характеристика</w:t>
            </w:r>
          </w:p>
        </w:tc>
      </w:tr>
      <w:tr w:rsidR="00532C25" w:rsidRPr="00511005" w14:paraId="50FCB2B9" w14:textId="77777777" w:rsidTr="006E3306">
        <w:trPr>
          <w:tblCellSpacing w:w="15" w:type="dxa"/>
          <w:jc w:val="center"/>
        </w:trPr>
        <w:tc>
          <w:tcPr>
            <w:tcW w:w="0" w:type="auto"/>
            <w:vAlign w:val="center"/>
            <w:hideMark/>
          </w:tcPr>
          <w:p w14:paraId="438E016E"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1</w:t>
            </w:r>
          </w:p>
        </w:tc>
        <w:tc>
          <w:tcPr>
            <w:tcW w:w="1491" w:type="dxa"/>
            <w:vAlign w:val="center"/>
            <w:hideMark/>
          </w:tcPr>
          <w:p w14:paraId="39D9B2E0"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Формування впізнаваності</w:t>
            </w:r>
          </w:p>
        </w:tc>
        <w:tc>
          <w:tcPr>
            <w:tcW w:w="7442" w:type="dxa"/>
            <w:vAlign w:val="center"/>
            <w:hideMark/>
          </w:tcPr>
          <w:p w14:paraId="6FB01403"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Регулярна присутність у стрічках новин користувачів збільшує рівень знання про бренд. Через унікальний візуальний стиль, тон комунікації та контентну стратегію компанії можуть закріпити чіткий образ бренду у свідомості споживачів.</w:t>
            </w:r>
          </w:p>
        </w:tc>
      </w:tr>
      <w:tr w:rsidR="00532C25" w:rsidRPr="00511005" w14:paraId="758A6EE6" w14:textId="77777777" w:rsidTr="006E3306">
        <w:trPr>
          <w:tblCellSpacing w:w="15" w:type="dxa"/>
          <w:jc w:val="center"/>
        </w:trPr>
        <w:tc>
          <w:tcPr>
            <w:tcW w:w="0" w:type="auto"/>
            <w:vAlign w:val="center"/>
            <w:hideMark/>
          </w:tcPr>
          <w:p w14:paraId="096131F6"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2</w:t>
            </w:r>
          </w:p>
        </w:tc>
        <w:tc>
          <w:tcPr>
            <w:tcW w:w="1491" w:type="dxa"/>
            <w:vAlign w:val="center"/>
            <w:hideMark/>
          </w:tcPr>
          <w:p w14:paraId="70C65A2B"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Залучення аудиторії</w:t>
            </w:r>
          </w:p>
        </w:tc>
        <w:tc>
          <w:tcPr>
            <w:tcW w:w="7442" w:type="dxa"/>
            <w:vAlign w:val="center"/>
            <w:hideMark/>
          </w:tcPr>
          <w:p w14:paraId="047E1F7B"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Інтерактивний контент (опитування, конкурси, обговорення) стимулює користувачів взаємодіяти з брендом, збільшуючи органічне охоплення та формуючи активну спільноту прихильників компанії.</w:t>
            </w:r>
          </w:p>
        </w:tc>
      </w:tr>
      <w:tr w:rsidR="00532C25" w:rsidRPr="00511005" w14:paraId="3451C224" w14:textId="77777777" w:rsidTr="006E3306">
        <w:trPr>
          <w:tblCellSpacing w:w="15" w:type="dxa"/>
          <w:jc w:val="center"/>
        </w:trPr>
        <w:tc>
          <w:tcPr>
            <w:tcW w:w="0" w:type="auto"/>
            <w:vAlign w:val="center"/>
            <w:hideMark/>
          </w:tcPr>
          <w:p w14:paraId="5ACD56C1"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3</w:t>
            </w:r>
          </w:p>
        </w:tc>
        <w:tc>
          <w:tcPr>
            <w:tcW w:w="1491" w:type="dxa"/>
            <w:vAlign w:val="center"/>
            <w:hideMark/>
          </w:tcPr>
          <w:p w14:paraId="128604DB"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Управління репутацією</w:t>
            </w:r>
          </w:p>
        </w:tc>
        <w:tc>
          <w:tcPr>
            <w:tcW w:w="7442" w:type="dxa"/>
            <w:vAlign w:val="center"/>
            <w:hideMark/>
          </w:tcPr>
          <w:p w14:paraId="3A74F7C3"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Моніторинг згадувань, оперативне реагування на відгуки та проактивне вирішення проблемних ситуацій дозволяють сформувати позитивний імідж бренду та запобігти репутаційним кризам.</w:t>
            </w:r>
          </w:p>
        </w:tc>
      </w:tr>
      <w:tr w:rsidR="00532C25" w:rsidRPr="00511005" w14:paraId="20DCACEE" w14:textId="77777777" w:rsidTr="006E3306">
        <w:trPr>
          <w:tblCellSpacing w:w="15" w:type="dxa"/>
          <w:jc w:val="center"/>
        </w:trPr>
        <w:tc>
          <w:tcPr>
            <w:tcW w:w="0" w:type="auto"/>
            <w:vAlign w:val="center"/>
            <w:hideMark/>
          </w:tcPr>
          <w:p w14:paraId="3F91B1CD"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4</w:t>
            </w:r>
          </w:p>
        </w:tc>
        <w:tc>
          <w:tcPr>
            <w:tcW w:w="1491" w:type="dxa"/>
            <w:vAlign w:val="center"/>
            <w:hideMark/>
          </w:tcPr>
          <w:p w14:paraId="535ECD54"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Персоналізація комунікації</w:t>
            </w:r>
          </w:p>
        </w:tc>
        <w:tc>
          <w:tcPr>
            <w:tcW w:w="7442" w:type="dxa"/>
            <w:vAlign w:val="center"/>
            <w:hideMark/>
          </w:tcPr>
          <w:p w14:paraId="76F7F0C5"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Аналіз даних про поведінку користувачів дозволяє створювати таргетовані повідомлення, що відповідають інтересам конкретних сегментів аудиторії, підвищуючи релевантність контенту.</w:t>
            </w:r>
          </w:p>
        </w:tc>
      </w:tr>
      <w:tr w:rsidR="00532C25" w:rsidRPr="00511005" w14:paraId="49F00231" w14:textId="77777777" w:rsidTr="006E3306">
        <w:trPr>
          <w:tblCellSpacing w:w="15" w:type="dxa"/>
          <w:jc w:val="center"/>
        </w:trPr>
        <w:tc>
          <w:tcPr>
            <w:tcW w:w="0" w:type="auto"/>
            <w:vAlign w:val="center"/>
            <w:hideMark/>
          </w:tcPr>
          <w:p w14:paraId="4CE2E793"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5</w:t>
            </w:r>
          </w:p>
        </w:tc>
        <w:tc>
          <w:tcPr>
            <w:tcW w:w="1491" w:type="dxa"/>
            <w:vAlign w:val="center"/>
            <w:hideMark/>
          </w:tcPr>
          <w:p w14:paraId="37DAC653"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Стимулювання продажів</w:t>
            </w:r>
          </w:p>
        </w:tc>
        <w:tc>
          <w:tcPr>
            <w:tcW w:w="7442" w:type="dxa"/>
            <w:vAlign w:val="center"/>
            <w:hideMark/>
          </w:tcPr>
          <w:p w14:paraId="5EF72269" w14:textId="77777777" w:rsidR="00532C25" w:rsidRPr="00511005" w:rsidRDefault="00532C25" w:rsidP="006E33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Через промо-акції, спеціальні пропозиції та інтеграцію інструментів електронної комерції соціальні мережі перетворюються на повноцінний канал продажів, скорочуючи шлях споживача до покупки.</w:t>
            </w:r>
          </w:p>
        </w:tc>
      </w:tr>
    </w:tbl>
    <w:p w14:paraId="1790E8CC"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Сучасні тенденції в управлінні брендом через соціальні мережі демонструють зростаючу роль автентичності та соціальної відповідальності. Згідно з дослідженнями HubSpot, 71% споживачів надають перевагу брендам, які демонструють чітку соціальну позицію та дотримуються етичних принципів у своїй комунікації [6]. Це стимулює компанії інтегрувати </w:t>
      </w:r>
      <w:r w:rsidRPr="00511005">
        <w:rPr>
          <w:rFonts w:ascii="Arial" w:eastAsia="Calibri" w:hAnsi="Arial" w:cs="Arial"/>
          <w:szCs w:val="28"/>
          <w:lang w:val="uk-UA"/>
        </w:rPr>
        <w:lastRenderedPageBreak/>
        <w:t>соціально значущі ініціативи у свої контентні стратегії, посилюючи емоційний зв'язок з аудиторією.</w:t>
      </w:r>
    </w:p>
    <w:p w14:paraId="2D3F892A"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Отже, ефективне використання соціальних мереж як інструменту управління брендом потребує інтеграції аналітичного підходу, автентичного контенту та інноваційних технологій. В умовах інтенсифікації цифрової конкуренції компаніям необхідно імплементувати комплексні стратегії присутності в соціальних мережах, що поєднують диференційоване позиціонування, консистентну комунікацію та проактивну взаємодію з аудиторією для формування стійкої лояльності до бренду.</w:t>
      </w:r>
    </w:p>
    <w:p w14:paraId="797DECCB" w14:textId="77777777" w:rsidR="00532C25" w:rsidRPr="00511005" w:rsidRDefault="00532C25" w:rsidP="00532C25">
      <w:pPr>
        <w:spacing w:line="264" w:lineRule="auto"/>
        <w:rPr>
          <w:rFonts w:ascii="Arial" w:eastAsia="Calibri" w:hAnsi="Arial" w:cs="Arial"/>
          <w:szCs w:val="28"/>
          <w:lang w:val="uk-UA"/>
        </w:rPr>
      </w:pPr>
    </w:p>
    <w:p w14:paraId="6EF20E18" w14:textId="77777777" w:rsidR="00532C25" w:rsidRPr="00511005" w:rsidRDefault="00532C25" w:rsidP="00532C25">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5713B3B7" w14:textId="77777777" w:rsidR="00532C25" w:rsidRPr="00511005" w:rsidRDefault="00532C25" w:rsidP="00532C25">
      <w:pPr>
        <w:spacing w:line="264" w:lineRule="auto"/>
        <w:rPr>
          <w:rFonts w:ascii="Arial" w:eastAsia="Calibri" w:hAnsi="Arial" w:cs="Arial"/>
          <w:i/>
          <w:iCs/>
          <w:szCs w:val="28"/>
          <w:lang w:val="uk-UA"/>
        </w:rPr>
      </w:pPr>
      <w:r w:rsidRPr="00511005">
        <w:rPr>
          <w:rFonts w:ascii="Arial" w:eastAsia="Calibri" w:hAnsi="Arial" w:cs="Arial"/>
          <w:szCs w:val="28"/>
          <w:lang w:val="uk-UA"/>
        </w:rPr>
        <w:t xml:space="preserve">1. Бойчук І. В., Балук Н.Р. Комунікаційна модель взаємодії в Інтернеті. </w:t>
      </w:r>
      <w:r w:rsidRPr="00511005">
        <w:rPr>
          <w:rFonts w:ascii="Arial" w:eastAsia="Calibri" w:hAnsi="Arial" w:cs="Arial"/>
          <w:i/>
          <w:iCs/>
          <w:szCs w:val="28"/>
          <w:lang w:val="uk-UA"/>
        </w:rPr>
        <w:t xml:space="preserve">Маркетингові технології в умовах глобалізації економіки України. </w:t>
      </w:r>
      <w:r w:rsidRPr="00511005">
        <w:rPr>
          <w:rFonts w:ascii="Arial" w:eastAsia="Calibri" w:hAnsi="Arial" w:cs="Arial"/>
          <w:szCs w:val="28"/>
          <w:lang w:val="uk-UA"/>
        </w:rPr>
        <w:t>2020.</w:t>
      </w:r>
    </w:p>
    <w:p w14:paraId="29E25D35"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2. Digital Global Overview Report. 2023. URL: </w:t>
      </w:r>
      <w:hyperlink r:id="rId2415" w:history="1">
        <w:r w:rsidRPr="00511005">
          <w:rPr>
            <w:rFonts w:ascii="Arial" w:eastAsia="Calibri" w:hAnsi="Arial" w:cs="Arial"/>
            <w:szCs w:val="28"/>
            <w:lang w:val="uk-UA"/>
          </w:rPr>
          <w:t>https://datareportal.com/reports/digital-2023-global-overview-report</w:t>
        </w:r>
      </w:hyperlink>
      <w:r w:rsidRPr="00511005">
        <w:rPr>
          <w:rFonts w:ascii="Arial" w:eastAsia="Calibri" w:hAnsi="Arial" w:cs="Arial"/>
          <w:szCs w:val="28"/>
          <w:lang w:val="uk-UA"/>
        </w:rPr>
        <w:t xml:space="preserve"> </w:t>
      </w:r>
      <w:r w:rsidRPr="00511005">
        <w:rPr>
          <w:rFonts w:ascii="Arial" w:eastAsia="Times New Roman" w:hAnsi="Arial" w:cs="Arial"/>
          <w:szCs w:val="28"/>
          <w:lang w:val="uk-UA"/>
        </w:rPr>
        <w:t>(Дата звернення: 2025-05-10).</w:t>
      </w:r>
    </w:p>
    <w:p w14:paraId="6C1E790B"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3. Sprout Social. 2023. URL: </w:t>
      </w:r>
      <w:hyperlink r:id="rId2416" w:history="1">
        <w:r w:rsidRPr="00511005">
          <w:rPr>
            <w:rFonts w:ascii="Arial" w:eastAsia="Calibri" w:hAnsi="Arial" w:cs="Arial"/>
            <w:szCs w:val="28"/>
            <w:lang w:val="uk-UA"/>
          </w:rPr>
          <w:t>https://sproutsocial.com/</w:t>
        </w:r>
      </w:hyperlink>
      <w:r w:rsidRPr="00511005">
        <w:rPr>
          <w:rFonts w:ascii="Arial" w:eastAsia="Calibri" w:hAnsi="Arial" w:cs="Arial"/>
          <w:szCs w:val="28"/>
          <w:lang w:val="uk-UA"/>
        </w:rPr>
        <w:t xml:space="preserve"> </w:t>
      </w:r>
      <w:r w:rsidRPr="00511005">
        <w:rPr>
          <w:rFonts w:ascii="Arial" w:eastAsia="Times New Roman" w:hAnsi="Arial" w:cs="Arial"/>
          <w:szCs w:val="28"/>
          <w:lang w:val="uk-UA"/>
        </w:rPr>
        <w:t>(Дата звернення: 2025-05-10).</w:t>
      </w:r>
    </w:p>
    <w:p w14:paraId="68167D13"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4. Козінова М.М., Каліна І.І. Стратегії побудови бренду в епоху соціальних мереж. 2025.</w:t>
      </w:r>
    </w:p>
    <w:p w14:paraId="41C93943" w14:textId="77777777" w:rsidR="00532C25" w:rsidRPr="00511005" w:rsidRDefault="00532C25" w:rsidP="00532C25">
      <w:pPr>
        <w:spacing w:line="264" w:lineRule="auto"/>
        <w:rPr>
          <w:rFonts w:ascii="Arial" w:eastAsia="Calibri" w:hAnsi="Arial" w:cs="Arial"/>
          <w:i/>
          <w:iCs/>
          <w:szCs w:val="28"/>
          <w:lang w:val="uk-UA"/>
        </w:rPr>
      </w:pPr>
      <w:r w:rsidRPr="00511005">
        <w:rPr>
          <w:rFonts w:ascii="Arial" w:eastAsia="Calibri" w:hAnsi="Arial" w:cs="Arial"/>
          <w:szCs w:val="28"/>
          <w:lang w:val="uk-UA"/>
        </w:rPr>
        <w:t xml:space="preserve">5. Бабаченко Лариса Валентинівна, Бабаченко Лариса Валентинівна, Голенок Богдан Романович. Соціальний медіа маркетинг як складова маркетингової комунікаційної політики підприємства. </w:t>
      </w:r>
      <w:r w:rsidRPr="00511005">
        <w:rPr>
          <w:rFonts w:ascii="Arial" w:eastAsia="Calibri" w:hAnsi="Arial" w:cs="Arial"/>
          <w:i/>
          <w:iCs/>
          <w:szCs w:val="28"/>
          <w:lang w:val="uk-UA"/>
        </w:rPr>
        <w:t xml:space="preserve">Економіка та суспільство. </w:t>
      </w:r>
      <w:r w:rsidRPr="00511005">
        <w:rPr>
          <w:rFonts w:ascii="Arial" w:eastAsia="Calibri" w:hAnsi="Arial" w:cs="Arial"/>
          <w:szCs w:val="28"/>
          <w:lang w:val="uk-UA"/>
        </w:rPr>
        <w:t>Випуск №57. 2023.</w:t>
      </w:r>
    </w:p>
    <w:p w14:paraId="5FA6A6BD"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6. HubSpot. 2023. URL: </w:t>
      </w:r>
      <w:hyperlink r:id="rId2417" w:history="1">
        <w:r w:rsidRPr="00511005">
          <w:rPr>
            <w:rFonts w:ascii="Arial" w:eastAsia="Calibri" w:hAnsi="Arial" w:cs="Arial"/>
            <w:szCs w:val="28"/>
            <w:lang w:val="uk-UA"/>
          </w:rPr>
          <w:t>https://blog.hubspot.com/marketing/shopping-trends</w:t>
        </w:r>
      </w:hyperlink>
      <w:r w:rsidRPr="00511005">
        <w:rPr>
          <w:rFonts w:ascii="Arial" w:eastAsia="Calibri" w:hAnsi="Arial" w:cs="Arial"/>
          <w:szCs w:val="28"/>
          <w:lang w:val="uk-UA"/>
        </w:rPr>
        <w:t xml:space="preserve"> </w:t>
      </w:r>
      <w:r w:rsidRPr="00511005">
        <w:rPr>
          <w:rFonts w:ascii="Arial" w:eastAsia="Times New Roman" w:hAnsi="Arial" w:cs="Arial"/>
          <w:szCs w:val="28"/>
          <w:lang w:val="uk-UA"/>
        </w:rPr>
        <w:t>(Дата звернення: 2025-05-10).</w:t>
      </w:r>
    </w:p>
    <w:p w14:paraId="175793FA"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управління брендом, соціальні мережі, персоналізація, цифрова стратегія, взаємодія з аудиторією, аналітика, репутація бренду.</w:t>
      </w:r>
    </w:p>
    <w:p w14:paraId="15D4A634"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Key words: </w:t>
      </w:r>
      <w:r w:rsidRPr="00511005">
        <w:rPr>
          <w:rFonts w:ascii="Arial" w:eastAsia="Calibri" w:hAnsi="Arial" w:cs="Arial"/>
          <w:szCs w:val="28"/>
          <w:lang w:val="uk-UA"/>
        </w:rPr>
        <w:t>brand management, social media, personalization, digital strategy, audience engagement, analytics, brand reputation.</w:t>
      </w:r>
    </w:p>
    <w:p w14:paraId="19F8DE34" w14:textId="77777777" w:rsidR="00532C25" w:rsidRPr="00511005" w:rsidRDefault="00532C25" w:rsidP="00532C25">
      <w:pPr>
        <w:spacing w:line="264" w:lineRule="auto"/>
        <w:ind w:firstLine="708"/>
        <w:rPr>
          <w:rFonts w:ascii="Arial" w:eastAsia="Calibri" w:hAnsi="Arial" w:cs="Arial"/>
          <w:bCs/>
          <w:i/>
          <w:iCs/>
          <w:szCs w:val="28"/>
          <w:lang w:val="uk-UA"/>
        </w:rPr>
      </w:pPr>
      <w:r w:rsidRPr="00511005">
        <w:rPr>
          <w:rFonts w:ascii="Arial" w:eastAsia="Times New Roman" w:hAnsi="Arial" w:cs="Arial"/>
          <w:b/>
          <w:bCs/>
          <w:i/>
          <w:iCs/>
          <w:szCs w:val="28"/>
          <w:shd w:val="clear" w:color="auto" w:fill="FFFFFF"/>
          <w:lang w:val="uk-UA"/>
        </w:rPr>
        <w:t xml:space="preserve">Науковий керівник: </w:t>
      </w:r>
      <w:r w:rsidRPr="00511005">
        <w:rPr>
          <w:rFonts w:ascii="Arial" w:eastAsia="Times New Roman" w:hAnsi="Arial" w:cs="Arial"/>
          <w:bCs/>
          <w:i/>
          <w:iCs/>
          <w:szCs w:val="28"/>
          <w:shd w:val="clear" w:color="auto" w:fill="FFFFFF"/>
          <w:lang w:val="uk-UA"/>
        </w:rPr>
        <w:t>к.т.н., доц. Задерейко О. В.</w:t>
      </w:r>
    </w:p>
    <w:p w14:paraId="7B71250A" w14:textId="77777777" w:rsidR="00532C25" w:rsidRPr="00511005" w:rsidRDefault="00532C25" w:rsidP="00532C25">
      <w:pPr>
        <w:spacing w:line="264" w:lineRule="auto"/>
        <w:ind w:firstLine="0"/>
        <w:rPr>
          <w:rFonts w:ascii="Arial" w:eastAsia="Calibri" w:hAnsi="Arial" w:cs="Arial"/>
          <w:szCs w:val="28"/>
          <w:lang w:val="uk-UA"/>
        </w:rPr>
      </w:pPr>
    </w:p>
    <w:p w14:paraId="3EA6DAA8" w14:textId="77777777" w:rsidR="00532C25" w:rsidRPr="00511005" w:rsidRDefault="00532C25" w:rsidP="00532C25">
      <w:pPr>
        <w:spacing w:line="264" w:lineRule="auto"/>
        <w:ind w:firstLine="0"/>
        <w:jc w:val="center"/>
        <w:rPr>
          <w:rFonts w:ascii="Arial" w:eastAsia="Calibri" w:hAnsi="Arial" w:cs="Arial"/>
          <w:b/>
          <w:i/>
          <w:szCs w:val="28"/>
          <w:shd w:val="clear" w:color="auto" w:fill="FFFFFF"/>
          <w:lang w:val="uk-UA"/>
        </w:rPr>
      </w:pPr>
      <w:r w:rsidRPr="00511005">
        <w:rPr>
          <w:rFonts w:ascii="Arial" w:eastAsia="Calibri" w:hAnsi="Arial" w:cs="Arial"/>
          <w:b/>
          <w:i/>
          <w:szCs w:val="28"/>
          <w:shd w:val="clear" w:color="auto" w:fill="FFFFFF"/>
          <w:lang w:val="uk-UA"/>
        </w:rPr>
        <w:t>Осадчук Анастасія</w:t>
      </w:r>
    </w:p>
    <w:p w14:paraId="221F39C6"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4-го курсу факультету кібербезпеки та інформаційних технологій</w:t>
      </w:r>
    </w:p>
    <w:p w14:paraId="22F81322" w14:textId="77777777" w:rsidR="00532C25" w:rsidRPr="00511005" w:rsidRDefault="00532C25" w:rsidP="00532C25">
      <w:pPr>
        <w:spacing w:line="264" w:lineRule="auto"/>
        <w:ind w:firstLine="0"/>
        <w:jc w:val="center"/>
        <w:rPr>
          <w:rFonts w:ascii="Arial" w:eastAsia="Calibri" w:hAnsi="Arial" w:cs="Arial"/>
          <w:b/>
          <w:iCs/>
          <w:caps/>
          <w:szCs w:val="28"/>
          <w:shd w:val="clear" w:color="auto" w:fill="FFFFFF"/>
          <w:lang w:val="uk-UA"/>
        </w:rPr>
      </w:pPr>
      <w:r w:rsidRPr="00511005">
        <w:rPr>
          <w:rFonts w:ascii="Arial" w:eastAsia="Calibri" w:hAnsi="Arial" w:cs="Arial"/>
          <w:szCs w:val="28"/>
          <w:lang w:val="uk-UA"/>
        </w:rPr>
        <w:t>Національного університету «Одеська юридична академія»</w:t>
      </w:r>
    </w:p>
    <w:p w14:paraId="2202CDA7" w14:textId="77777777" w:rsidR="00532C25" w:rsidRPr="00511005" w:rsidRDefault="00532C25" w:rsidP="00532C25">
      <w:pPr>
        <w:spacing w:line="264" w:lineRule="auto"/>
        <w:ind w:firstLine="0"/>
        <w:jc w:val="center"/>
        <w:rPr>
          <w:rFonts w:ascii="Arial" w:eastAsia="Calibri" w:hAnsi="Arial" w:cs="Arial"/>
          <w:b/>
          <w:iCs/>
          <w:caps/>
          <w:szCs w:val="28"/>
          <w:shd w:val="clear" w:color="auto" w:fill="FFFFFF"/>
          <w:lang w:val="uk-UA"/>
        </w:rPr>
      </w:pPr>
    </w:p>
    <w:p w14:paraId="60985263" w14:textId="77777777" w:rsidR="00532C25" w:rsidRPr="00511005" w:rsidRDefault="00532C25" w:rsidP="00532C25">
      <w:pPr>
        <w:spacing w:line="264" w:lineRule="auto"/>
        <w:ind w:firstLine="0"/>
        <w:jc w:val="center"/>
        <w:rPr>
          <w:rFonts w:ascii="Arial" w:eastAsia="Calibri" w:hAnsi="Arial" w:cs="Arial"/>
          <w:b/>
          <w:iCs/>
          <w:szCs w:val="28"/>
          <w:shd w:val="clear" w:color="auto" w:fill="FFFFFF"/>
          <w:lang w:val="uk-UA"/>
        </w:rPr>
      </w:pPr>
      <w:r w:rsidRPr="00511005">
        <w:rPr>
          <w:rFonts w:ascii="Arial" w:eastAsia="Calibri" w:hAnsi="Arial" w:cs="Arial"/>
          <w:b/>
          <w:iCs/>
          <w:caps/>
          <w:szCs w:val="28"/>
          <w:shd w:val="clear" w:color="auto" w:fill="FFFFFF"/>
          <w:lang w:val="uk-UA"/>
        </w:rPr>
        <w:t>Впровадження Big Data-аналітики для динамічного ціноутворення в телекомунікаційній галузі</w:t>
      </w:r>
    </w:p>
    <w:p w14:paraId="4E9D8E2F"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Динамічне ціноутворення в телеком-індустрії передбачає автоматичне коригування вартості послуг, враховуючи безліч факторів у режимі реального часу. Цей підхід дозволяє операторам збільшити прибутки, </w:t>
      </w:r>
      <w:r w:rsidRPr="00511005">
        <w:rPr>
          <w:rFonts w:ascii="Arial" w:eastAsia="Calibri" w:hAnsi="Arial" w:cs="Arial"/>
          <w:szCs w:val="28"/>
          <w:lang w:val="uk-UA"/>
        </w:rPr>
        <w:lastRenderedPageBreak/>
        <w:t>зберігати конкурентоспроможність та покращувати задоволеність клієнтів. Зі збільшенням обсягів даних, що генеруються користувачами та мережевою інфраструктурою, традиційні Big Data-інструменти вже нездатні обробити всю складність інформації. Саме тому впровадження рішень Big Data є ключовим для успішного динамічного ціноутворення [1].</w:t>
      </w:r>
    </w:p>
    <w:p w14:paraId="0D648256"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Динамічне ціноутворення — це стратегія управління тарифами, що передбачає автоматичну зміну цін на послуги в залежності від показників попиту, поведінки користувачів та конкурентного середовища.</w:t>
      </w:r>
    </w:p>
    <w:p w14:paraId="63E8C7E0"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Застосовуються різні моделі:</w:t>
      </w:r>
    </w:p>
    <w:p w14:paraId="7448C3C6" w14:textId="77777777" w:rsidR="00532C25" w:rsidRPr="00511005" w:rsidRDefault="00532C25" w:rsidP="003F6A5D">
      <w:pPr>
        <w:numPr>
          <w:ilvl w:val="0"/>
          <w:numId w:val="69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Правила на основі часових проміжків;</w:t>
      </w:r>
    </w:p>
    <w:p w14:paraId="268B763F" w14:textId="77777777" w:rsidR="00532C25" w:rsidRPr="00511005" w:rsidRDefault="00532C25" w:rsidP="003F6A5D">
      <w:pPr>
        <w:numPr>
          <w:ilvl w:val="0"/>
          <w:numId w:val="69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Моніторинг попиту та пропозиції;</w:t>
      </w:r>
    </w:p>
    <w:p w14:paraId="4F441757" w14:textId="77777777" w:rsidR="00532C25" w:rsidRPr="00511005" w:rsidRDefault="00532C25" w:rsidP="003F6A5D">
      <w:pPr>
        <w:numPr>
          <w:ilvl w:val="0"/>
          <w:numId w:val="69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Ціноутворення за цінністю;</w:t>
      </w:r>
    </w:p>
    <w:p w14:paraId="02405740" w14:textId="77777777" w:rsidR="00532C25" w:rsidRPr="00511005" w:rsidRDefault="00532C25" w:rsidP="003F6A5D">
      <w:pPr>
        <w:numPr>
          <w:ilvl w:val="0"/>
          <w:numId w:val="69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Персоналізоване ціноутворення для окремих сегментів.</w:t>
      </w:r>
    </w:p>
    <w:p w14:paraId="795FE247"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Big Data-аналітика дозволяє обробляти великі обсяги структурованих і неструктурованих даних, такі як [2]:</w:t>
      </w:r>
    </w:p>
    <w:p w14:paraId="6E78A831" w14:textId="77777777" w:rsidR="00532C25" w:rsidRPr="00511005" w:rsidRDefault="00532C25" w:rsidP="003F6A5D">
      <w:pPr>
        <w:numPr>
          <w:ilvl w:val="0"/>
          <w:numId w:val="69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CRM та журнали взаємодій;</w:t>
      </w:r>
    </w:p>
    <w:p w14:paraId="25D94E06" w14:textId="77777777" w:rsidR="00532C25" w:rsidRPr="00511005" w:rsidRDefault="00532C25" w:rsidP="003F6A5D">
      <w:pPr>
        <w:numPr>
          <w:ilvl w:val="0"/>
          <w:numId w:val="69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Дані мережевого навантаження;</w:t>
      </w:r>
    </w:p>
    <w:p w14:paraId="1C92F727" w14:textId="77777777" w:rsidR="00532C25" w:rsidRPr="00511005" w:rsidRDefault="00532C25" w:rsidP="003F6A5D">
      <w:pPr>
        <w:numPr>
          <w:ilvl w:val="0"/>
          <w:numId w:val="699"/>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Зовнішні дані.</w:t>
      </w:r>
    </w:p>
    <w:p w14:paraId="4D2044C5"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Нижче надана таблиця 1, що висвітлює ключові моменти впровадження аналізу великих даних (Big Data) для динамічного ціноутворення в телекомунікація. Вона розкриває основні кроки та елементи цього процесу, від збору даних до моніторингу й оптимізації. Кожен пункт доповнено прикладами технологічних рішень, перевагами та потенційними проблемами, з якими можуть зіткнутися підприємства.</w:t>
      </w:r>
    </w:p>
    <w:p w14:paraId="69FB1CD8"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Таблиця 1</w:t>
      </w:r>
      <w:r w:rsidRPr="00511005">
        <w:rPr>
          <w:rFonts w:ascii="Arial" w:eastAsia="Times New Roman" w:hAnsi="Arial" w:cs="Arial"/>
          <w:szCs w:val="28"/>
          <w:lang w:val="uk-UA" w:eastAsia="ru-RU"/>
        </w:rPr>
        <w:t>–</w:t>
      </w:r>
      <w:r w:rsidRPr="00511005">
        <w:rPr>
          <w:rFonts w:ascii="Arial" w:eastAsia="Calibri" w:hAnsi="Arial" w:cs="Arial"/>
          <w:szCs w:val="28"/>
          <w:lang w:val="uk-UA"/>
        </w:rPr>
        <w:t xml:space="preserve"> Ключові моменти впровадження аналізу великих даних</w:t>
      </w:r>
    </w:p>
    <w:tbl>
      <w:tblPr>
        <w:tblW w:w="99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AFAFA"/>
        <w:tblLayout w:type="fixed"/>
        <w:tblCellMar>
          <w:left w:w="0" w:type="dxa"/>
          <w:right w:w="0" w:type="dxa"/>
        </w:tblCellMar>
        <w:tblLook w:val="04A0" w:firstRow="1" w:lastRow="0" w:firstColumn="1" w:lastColumn="0" w:noHBand="0" w:noVBand="1"/>
      </w:tblPr>
      <w:tblGrid>
        <w:gridCol w:w="1980"/>
        <w:gridCol w:w="1843"/>
        <w:gridCol w:w="2268"/>
        <w:gridCol w:w="2252"/>
        <w:gridCol w:w="1568"/>
      </w:tblGrid>
      <w:tr w:rsidR="00532C25" w:rsidRPr="00511005" w14:paraId="0E5B00DE" w14:textId="77777777" w:rsidTr="006E3306">
        <w:trPr>
          <w:trHeight w:val="228"/>
          <w:tblHeader/>
          <w:jc w:val="center"/>
        </w:trPr>
        <w:tc>
          <w:tcPr>
            <w:tcW w:w="1980" w:type="dxa"/>
            <w:shd w:val="clear" w:color="auto" w:fill="FAFAFA"/>
            <w:tcMar>
              <w:top w:w="0" w:type="dxa"/>
              <w:left w:w="0" w:type="dxa"/>
              <w:bottom w:w="137" w:type="dxa"/>
              <w:right w:w="0" w:type="dxa"/>
            </w:tcMar>
            <w:vAlign w:val="center"/>
            <w:hideMark/>
          </w:tcPr>
          <w:p w14:paraId="618E7E28" w14:textId="77777777" w:rsidR="00532C25" w:rsidRPr="00511005" w:rsidRDefault="00532C25" w:rsidP="006E3306">
            <w:pPr>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Аспект</w:t>
            </w:r>
          </w:p>
        </w:tc>
        <w:tc>
          <w:tcPr>
            <w:tcW w:w="1843" w:type="dxa"/>
            <w:shd w:val="clear" w:color="auto" w:fill="FAFAFA"/>
            <w:tcMar>
              <w:top w:w="0" w:type="dxa"/>
              <w:left w:w="0" w:type="dxa"/>
              <w:bottom w:w="137" w:type="dxa"/>
              <w:right w:w="0" w:type="dxa"/>
            </w:tcMar>
            <w:vAlign w:val="center"/>
            <w:hideMark/>
          </w:tcPr>
          <w:p w14:paraId="328AAFC1" w14:textId="77777777" w:rsidR="00532C25" w:rsidRPr="00511005" w:rsidRDefault="00532C25" w:rsidP="006E3306">
            <w:pPr>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Опис</w:t>
            </w:r>
          </w:p>
        </w:tc>
        <w:tc>
          <w:tcPr>
            <w:tcW w:w="2268" w:type="dxa"/>
            <w:shd w:val="clear" w:color="auto" w:fill="FAFAFA"/>
            <w:tcMar>
              <w:top w:w="0" w:type="dxa"/>
              <w:left w:w="0" w:type="dxa"/>
              <w:bottom w:w="137" w:type="dxa"/>
              <w:right w:w="0" w:type="dxa"/>
            </w:tcMar>
            <w:vAlign w:val="center"/>
            <w:hideMark/>
          </w:tcPr>
          <w:p w14:paraId="0D85562F" w14:textId="77777777" w:rsidR="00532C25" w:rsidRPr="00511005" w:rsidRDefault="00532C25" w:rsidP="006E3306">
            <w:pPr>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Приклад/Технологія</w:t>
            </w:r>
          </w:p>
        </w:tc>
        <w:tc>
          <w:tcPr>
            <w:tcW w:w="2252" w:type="dxa"/>
            <w:shd w:val="clear" w:color="auto" w:fill="FAFAFA"/>
            <w:tcMar>
              <w:top w:w="0" w:type="dxa"/>
              <w:left w:w="0" w:type="dxa"/>
              <w:bottom w:w="137" w:type="dxa"/>
              <w:right w:w="0" w:type="dxa"/>
            </w:tcMar>
            <w:vAlign w:val="center"/>
            <w:hideMark/>
          </w:tcPr>
          <w:p w14:paraId="4F47FF19" w14:textId="77777777" w:rsidR="00532C25" w:rsidRPr="00511005" w:rsidRDefault="00532C25" w:rsidP="006E3306">
            <w:pPr>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Переваги</w:t>
            </w:r>
          </w:p>
        </w:tc>
        <w:tc>
          <w:tcPr>
            <w:tcW w:w="1568" w:type="dxa"/>
            <w:shd w:val="clear" w:color="auto" w:fill="FAFAFA"/>
            <w:tcMar>
              <w:top w:w="0" w:type="dxa"/>
              <w:left w:w="0" w:type="dxa"/>
              <w:bottom w:w="137" w:type="dxa"/>
              <w:right w:w="0" w:type="dxa"/>
            </w:tcMar>
            <w:vAlign w:val="center"/>
            <w:hideMark/>
          </w:tcPr>
          <w:p w14:paraId="18123A80" w14:textId="77777777" w:rsidR="00532C25" w:rsidRPr="00511005" w:rsidRDefault="00532C25" w:rsidP="006E3306">
            <w:pPr>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Виклики</w:t>
            </w:r>
          </w:p>
        </w:tc>
      </w:tr>
      <w:tr w:rsidR="00532C25" w:rsidRPr="00511005" w14:paraId="23C3163A" w14:textId="77777777" w:rsidTr="006E3306">
        <w:trPr>
          <w:trHeight w:val="1408"/>
          <w:jc w:val="center"/>
        </w:trPr>
        <w:tc>
          <w:tcPr>
            <w:tcW w:w="1980" w:type="dxa"/>
            <w:shd w:val="clear" w:color="auto" w:fill="FAFAFA"/>
            <w:tcMar>
              <w:top w:w="137" w:type="dxa"/>
              <w:left w:w="0" w:type="dxa"/>
              <w:bottom w:w="137" w:type="dxa"/>
              <w:right w:w="0" w:type="dxa"/>
            </w:tcMar>
            <w:vAlign w:val="center"/>
            <w:hideMark/>
          </w:tcPr>
          <w:p w14:paraId="543CF93F"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Збір даних</w:t>
            </w:r>
          </w:p>
        </w:tc>
        <w:tc>
          <w:tcPr>
            <w:tcW w:w="1843" w:type="dxa"/>
            <w:shd w:val="clear" w:color="auto" w:fill="FAFAFA"/>
            <w:tcMar>
              <w:top w:w="137" w:type="dxa"/>
              <w:left w:w="0" w:type="dxa"/>
              <w:bottom w:w="137" w:type="dxa"/>
              <w:right w:w="0" w:type="dxa"/>
            </w:tcMar>
            <w:vAlign w:val="center"/>
            <w:hideMark/>
          </w:tcPr>
          <w:p w14:paraId="4232D35B"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Збір великих обсягів структурованих і неструктурованих даних з різних джерел.</w:t>
            </w:r>
          </w:p>
        </w:tc>
        <w:tc>
          <w:tcPr>
            <w:tcW w:w="2268" w:type="dxa"/>
            <w:shd w:val="clear" w:color="auto" w:fill="FAFAFA"/>
            <w:tcMar>
              <w:top w:w="137" w:type="dxa"/>
              <w:left w:w="0" w:type="dxa"/>
              <w:bottom w:w="137" w:type="dxa"/>
              <w:right w:w="0" w:type="dxa"/>
            </w:tcMar>
            <w:vAlign w:val="center"/>
            <w:hideMark/>
          </w:tcPr>
          <w:p w14:paraId="32E3325C"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CRM-системи, журнали дзвінків, дані мережевого навантаження, зовнішні дані (конкуренти, ринок).</w:t>
            </w:r>
          </w:p>
        </w:tc>
        <w:tc>
          <w:tcPr>
            <w:tcW w:w="2252" w:type="dxa"/>
            <w:shd w:val="clear" w:color="auto" w:fill="FAFAFA"/>
            <w:tcMar>
              <w:top w:w="137" w:type="dxa"/>
              <w:left w:w="0" w:type="dxa"/>
              <w:bottom w:w="137" w:type="dxa"/>
              <w:right w:w="0" w:type="dxa"/>
            </w:tcMar>
            <w:vAlign w:val="center"/>
            <w:hideMark/>
          </w:tcPr>
          <w:p w14:paraId="510FC744"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Повне уявлення про поведінку клієнтів і ринкові тенденції.</w:t>
            </w:r>
          </w:p>
        </w:tc>
        <w:tc>
          <w:tcPr>
            <w:tcW w:w="1568" w:type="dxa"/>
            <w:shd w:val="clear" w:color="auto" w:fill="FAFAFA"/>
            <w:tcMar>
              <w:top w:w="137" w:type="dxa"/>
              <w:left w:w="0" w:type="dxa"/>
              <w:bottom w:w="137" w:type="dxa"/>
              <w:right w:w="0" w:type="dxa"/>
            </w:tcMar>
            <w:vAlign w:val="center"/>
            <w:hideMark/>
          </w:tcPr>
          <w:p w14:paraId="655C5F5B"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Потребує інтеграції різних джерел даних і забезпечення їх якості.</w:t>
            </w:r>
          </w:p>
        </w:tc>
      </w:tr>
      <w:tr w:rsidR="00532C25" w:rsidRPr="00511005" w14:paraId="1A6E93BD" w14:textId="77777777" w:rsidTr="006E3306">
        <w:trPr>
          <w:trHeight w:val="942"/>
          <w:jc w:val="center"/>
        </w:trPr>
        <w:tc>
          <w:tcPr>
            <w:tcW w:w="1980" w:type="dxa"/>
            <w:shd w:val="clear" w:color="auto" w:fill="FAFAFA"/>
            <w:tcMar>
              <w:top w:w="137" w:type="dxa"/>
              <w:left w:w="0" w:type="dxa"/>
              <w:bottom w:w="137" w:type="dxa"/>
              <w:right w:w="0" w:type="dxa"/>
            </w:tcMar>
            <w:vAlign w:val="center"/>
            <w:hideMark/>
          </w:tcPr>
          <w:p w14:paraId="0E3885B1"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Сховище даних</w:t>
            </w:r>
          </w:p>
        </w:tc>
        <w:tc>
          <w:tcPr>
            <w:tcW w:w="1843" w:type="dxa"/>
            <w:shd w:val="clear" w:color="auto" w:fill="FAFAFA"/>
            <w:tcMar>
              <w:top w:w="137" w:type="dxa"/>
              <w:left w:w="0" w:type="dxa"/>
              <w:bottom w:w="137" w:type="dxa"/>
              <w:right w:w="0" w:type="dxa"/>
            </w:tcMar>
            <w:vAlign w:val="center"/>
            <w:hideMark/>
          </w:tcPr>
          <w:p w14:paraId="296D89E1"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Централізоване сховище для зберігання і </w:t>
            </w:r>
            <w:r w:rsidRPr="00511005">
              <w:rPr>
                <w:rFonts w:ascii="Arial" w:eastAsia="Times New Roman" w:hAnsi="Arial" w:cs="Arial"/>
                <w:szCs w:val="28"/>
                <w:lang w:val="uk-UA" w:eastAsia="uk-UA"/>
              </w:rPr>
              <w:lastRenderedPageBreak/>
              <w:t>обробки даних.</w:t>
            </w:r>
          </w:p>
        </w:tc>
        <w:tc>
          <w:tcPr>
            <w:tcW w:w="2268" w:type="dxa"/>
            <w:shd w:val="clear" w:color="auto" w:fill="FAFAFA"/>
            <w:tcMar>
              <w:top w:w="137" w:type="dxa"/>
              <w:left w:w="0" w:type="dxa"/>
              <w:bottom w:w="137" w:type="dxa"/>
              <w:right w:w="0" w:type="dxa"/>
            </w:tcMar>
            <w:vAlign w:val="center"/>
            <w:hideMark/>
          </w:tcPr>
          <w:p w14:paraId="6A4F4784"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Data Lake на базі Hadoop/Spark.</w:t>
            </w:r>
          </w:p>
        </w:tc>
        <w:tc>
          <w:tcPr>
            <w:tcW w:w="2252" w:type="dxa"/>
            <w:shd w:val="clear" w:color="auto" w:fill="FAFAFA"/>
            <w:tcMar>
              <w:top w:w="137" w:type="dxa"/>
              <w:left w:w="0" w:type="dxa"/>
              <w:bottom w:w="137" w:type="dxa"/>
              <w:right w:w="0" w:type="dxa"/>
            </w:tcMar>
            <w:vAlign w:val="center"/>
            <w:hideMark/>
          </w:tcPr>
          <w:p w14:paraId="7E77776E"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Масштабованість і гнучкість у зберіганні великих обсягів даних.</w:t>
            </w:r>
          </w:p>
        </w:tc>
        <w:tc>
          <w:tcPr>
            <w:tcW w:w="1568" w:type="dxa"/>
            <w:shd w:val="clear" w:color="auto" w:fill="FAFAFA"/>
            <w:tcMar>
              <w:top w:w="137" w:type="dxa"/>
              <w:left w:w="0" w:type="dxa"/>
              <w:bottom w:w="137" w:type="dxa"/>
              <w:right w:w="0" w:type="dxa"/>
            </w:tcMar>
            <w:vAlign w:val="center"/>
            <w:hideMark/>
          </w:tcPr>
          <w:p w14:paraId="482DA70E"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Вимоги до інфраструктури і управління даними.</w:t>
            </w:r>
          </w:p>
        </w:tc>
      </w:tr>
      <w:tr w:rsidR="00532C25" w:rsidRPr="00511005" w14:paraId="260BEF63" w14:textId="77777777" w:rsidTr="006E3306">
        <w:trPr>
          <w:trHeight w:val="1182"/>
          <w:jc w:val="center"/>
        </w:trPr>
        <w:tc>
          <w:tcPr>
            <w:tcW w:w="1980" w:type="dxa"/>
            <w:shd w:val="clear" w:color="auto" w:fill="FAFAFA"/>
            <w:tcMar>
              <w:top w:w="137" w:type="dxa"/>
              <w:left w:w="0" w:type="dxa"/>
              <w:bottom w:w="137" w:type="dxa"/>
              <w:right w:w="0" w:type="dxa"/>
            </w:tcMar>
            <w:vAlign w:val="center"/>
            <w:hideMark/>
          </w:tcPr>
          <w:p w14:paraId="1F26705C"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Обробка даних</w:t>
            </w:r>
          </w:p>
        </w:tc>
        <w:tc>
          <w:tcPr>
            <w:tcW w:w="1843" w:type="dxa"/>
            <w:shd w:val="clear" w:color="auto" w:fill="FAFAFA"/>
            <w:tcMar>
              <w:top w:w="137" w:type="dxa"/>
              <w:left w:w="0" w:type="dxa"/>
              <w:bottom w:w="137" w:type="dxa"/>
              <w:right w:w="0" w:type="dxa"/>
            </w:tcMar>
            <w:vAlign w:val="center"/>
            <w:hideMark/>
          </w:tcPr>
          <w:p w14:paraId="20B143D4"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Обробка даних в режимі реального часу для отримання інсайтів.</w:t>
            </w:r>
          </w:p>
        </w:tc>
        <w:tc>
          <w:tcPr>
            <w:tcW w:w="2268" w:type="dxa"/>
            <w:shd w:val="clear" w:color="auto" w:fill="FAFAFA"/>
            <w:tcMar>
              <w:top w:w="137" w:type="dxa"/>
              <w:left w:w="0" w:type="dxa"/>
              <w:bottom w:w="137" w:type="dxa"/>
              <w:right w:w="0" w:type="dxa"/>
            </w:tcMar>
            <w:vAlign w:val="center"/>
            <w:hideMark/>
          </w:tcPr>
          <w:p w14:paraId="4B83DDA7"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Apache Kafka, Spark Streaming.</w:t>
            </w:r>
          </w:p>
        </w:tc>
        <w:tc>
          <w:tcPr>
            <w:tcW w:w="2252" w:type="dxa"/>
            <w:shd w:val="clear" w:color="auto" w:fill="FAFAFA"/>
            <w:tcMar>
              <w:top w:w="137" w:type="dxa"/>
              <w:left w:w="0" w:type="dxa"/>
              <w:bottom w:w="137" w:type="dxa"/>
              <w:right w:w="0" w:type="dxa"/>
            </w:tcMar>
            <w:vAlign w:val="center"/>
            <w:hideMark/>
          </w:tcPr>
          <w:p w14:paraId="1CDB2E01"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Швидке реагування на зміни і можливість оперативного коригування цін.</w:t>
            </w:r>
          </w:p>
        </w:tc>
        <w:tc>
          <w:tcPr>
            <w:tcW w:w="1568" w:type="dxa"/>
            <w:shd w:val="clear" w:color="auto" w:fill="FAFAFA"/>
            <w:tcMar>
              <w:top w:w="137" w:type="dxa"/>
              <w:left w:w="0" w:type="dxa"/>
              <w:bottom w:w="137" w:type="dxa"/>
              <w:right w:w="0" w:type="dxa"/>
            </w:tcMar>
            <w:vAlign w:val="center"/>
            <w:hideMark/>
          </w:tcPr>
          <w:p w14:paraId="1F80AA24"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Складність налаштування і підтримки потокової обробки даних.</w:t>
            </w:r>
          </w:p>
        </w:tc>
      </w:tr>
      <w:tr w:rsidR="00532C25" w:rsidRPr="00511005" w14:paraId="60DD6B0D" w14:textId="77777777" w:rsidTr="006E3306">
        <w:trPr>
          <w:trHeight w:val="1425"/>
          <w:jc w:val="center"/>
        </w:trPr>
        <w:tc>
          <w:tcPr>
            <w:tcW w:w="1980" w:type="dxa"/>
            <w:shd w:val="clear" w:color="auto" w:fill="FAFAFA"/>
            <w:tcMar>
              <w:top w:w="137" w:type="dxa"/>
              <w:left w:w="0" w:type="dxa"/>
              <w:bottom w:w="137" w:type="dxa"/>
              <w:right w:w="0" w:type="dxa"/>
            </w:tcMar>
            <w:vAlign w:val="center"/>
            <w:hideMark/>
          </w:tcPr>
          <w:p w14:paraId="32EB674E"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Аналітичні моделі</w:t>
            </w:r>
          </w:p>
        </w:tc>
        <w:tc>
          <w:tcPr>
            <w:tcW w:w="1843" w:type="dxa"/>
            <w:shd w:val="clear" w:color="auto" w:fill="FAFAFA"/>
            <w:tcMar>
              <w:top w:w="137" w:type="dxa"/>
              <w:left w:w="0" w:type="dxa"/>
              <w:bottom w:w="137" w:type="dxa"/>
              <w:right w:w="0" w:type="dxa"/>
            </w:tcMar>
            <w:vAlign w:val="center"/>
            <w:hideMark/>
          </w:tcPr>
          <w:p w14:paraId="0BE6F9F9"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Розробка моделей машинного навчання для прогнозування і оптимізації цін.</w:t>
            </w:r>
          </w:p>
        </w:tc>
        <w:tc>
          <w:tcPr>
            <w:tcW w:w="2268" w:type="dxa"/>
            <w:shd w:val="clear" w:color="auto" w:fill="FAFAFA"/>
            <w:tcMar>
              <w:top w:w="137" w:type="dxa"/>
              <w:left w:w="0" w:type="dxa"/>
              <w:bottom w:w="137" w:type="dxa"/>
              <w:right w:w="0" w:type="dxa"/>
            </w:tcMar>
            <w:vAlign w:val="center"/>
            <w:hideMark/>
          </w:tcPr>
          <w:p w14:paraId="371088BE"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Регресійні моделі, кластеризація (K-means, DBSCAN), рекомендаційні системи.</w:t>
            </w:r>
          </w:p>
        </w:tc>
        <w:tc>
          <w:tcPr>
            <w:tcW w:w="2252" w:type="dxa"/>
            <w:shd w:val="clear" w:color="auto" w:fill="FAFAFA"/>
            <w:tcMar>
              <w:top w:w="137" w:type="dxa"/>
              <w:left w:w="0" w:type="dxa"/>
              <w:bottom w:w="137" w:type="dxa"/>
              <w:right w:w="0" w:type="dxa"/>
            </w:tcMar>
            <w:vAlign w:val="center"/>
            <w:hideMark/>
          </w:tcPr>
          <w:p w14:paraId="105ABF36"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Точне прогнозування попиту і персоналізовані пропозиції для клієнтів.</w:t>
            </w:r>
          </w:p>
        </w:tc>
        <w:tc>
          <w:tcPr>
            <w:tcW w:w="1568" w:type="dxa"/>
            <w:shd w:val="clear" w:color="auto" w:fill="FAFAFA"/>
            <w:tcMar>
              <w:top w:w="137" w:type="dxa"/>
              <w:left w:w="0" w:type="dxa"/>
              <w:bottom w:w="137" w:type="dxa"/>
              <w:right w:w="0" w:type="dxa"/>
            </w:tcMar>
            <w:vAlign w:val="center"/>
            <w:hideMark/>
          </w:tcPr>
          <w:p w14:paraId="04663A76"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Потребує кваліфікованих фахівців і постійного донавчання моделей.</w:t>
            </w:r>
          </w:p>
        </w:tc>
      </w:tr>
      <w:tr w:rsidR="00532C25" w:rsidRPr="00511005" w14:paraId="03A5D1B1" w14:textId="77777777" w:rsidTr="006E3306">
        <w:trPr>
          <w:trHeight w:val="1182"/>
          <w:jc w:val="center"/>
        </w:trPr>
        <w:tc>
          <w:tcPr>
            <w:tcW w:w="1980" w:type="dxa"/>
            <w:shd w:val="clear" w:color="auto" w:fill="FAFAFA"/>
            <w:tcMar>
              <w:top w:w="137" w:type="dxa"/>
              <w:left w:w="0" w:type="dxa"/>
              <w:bottom w:w="137" w:type="dxa"/>
              <w:right w:w="0" w:type="dxa"/>
            </w:tcMar>
            <w:vAlign w:val="center"/>
            <w:hideMark/>
          </w:tcPr>
          <w:p w14:paraId="2960B5AE"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Інтеграція з бізнес-системами</w:t>
            </w:r>
          </w:p>
        </w:tc>
        <w:tc>
          <w:tcPr>
            <w:tcW w:w="1843" w:type="dxa"/>
            <w:shd w:val="clear" w:color="auto" w:fill="FAFAFA"/>
            <w:tcMar>
              <w:top w:w="137" w:type="dxa"/>
              <w:left w:w="0" w:type="dxa"/>
              <w:bottom w:w="137" w:type="dxa"/>
              <w:right w:w="0" w:type="dxa"/>
            </w:tcMar>
            <w:vAlign w:val="center"/>
            <w:hideMark/>
          </w:tcPr>
          <w:p w14:paraId="7E269386"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Інтеграція з існуючими системами для автоматизації ціноутворення.</w:t>
            </w:r>
          </w:p>
        </w:tc>
        <w:tc>
          <w:tcPr>
            <w:tcW w:w="2268" w:type="dxa"/>
            <w:shd w:val="clear" w:color="auto" w:fill="FAFAFA"/>
            <w:tcMar>
              <w:top w:w="137" w:type="dxa"/>
              <w:left w:w="0" w:type="dxa"/>
              <w:bottom w:w="137" w:type="dxa"/>
              <w:right w:w="0" w:type="dxa"/>
            </w:tcMar>
            <w:vAlign w:val="center"/>
            <w:hideMark/>
          </w:tcPr>
          <w:p w14:paraId="28F6682D"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BSS/OSS системи, ERP.</w:t>
            </w:r>
          </w:p>
        </w:tc>
        <w:tc>
          <w:tcPr>
            <w:tcW w:w="2252" w:type="dxa"/>
            <w:shd w:val="clear" w:color="auto" w:fill="FAFAFA"/>
            <w:tcMar>
              <w:top w:w="137" w:type="dxa"/>
              <w:left w:w="0" w:type="dxa"/>
              <w:bottom w:w="137" w:type="dxa"/>
              <w:right w:w="0" w:type="dxa"/>
            </w:tcMar>
            <w:vAlign w:val="center"/>
            <w:hideMark/>
          </w:tcPr>
          <w:p w14:paraId="100760CA"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Автоматизація процесів і зменшення людського фактору.</w:t>
            </w:r>
          </w:p>
        </w:tc>
        <w:tc>
          <w:tcPr>
            <w:tcW w:w="1568" w:type="dxa"/>
            <w:shd w:val="clear" w:color="auto" w:fill="FAFAFA"/>
            <w:tcMar>
              <w:top w:w="137" w:type="dxa"/>
              <w:left w:w="0" w:type="dxa"/>
              <w:bottom w:w="137" w:type="dxa"/>
              <w:right w:w="0" w:type="dxa"/>
            </w:tcMar>
            <w:vAlign w:val="center"/>
            <w:hideMark/>
          </w:tcPr>
          <w:p w14:paraId="0618E214"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Складність інтеграції з legacy-системами і забезпечення сумісності.</w:t>
            </w:r>
          </w:p>
        </w:tc>
      </w:tr>
      <w:tr w:rsidR="00532C25" w:rsidRPr="00511005" w14:paraId="412B7CF3" w14:textId="77777777" w:rsidTr="006E3306">
        <w:trPr>
          <w:trHeight w:val="1182"/>
          <w:jc w:val="center"/>
        </w:trPr>
        <w:tc>
          <w:tcPr>
            <w:tcW w:w="1980" w:type="dxa"/>
            <w:shd w:val="clear" w:color="auto" w:fill="FAFAFA"/>
            <w:tcMar>
              <w:top w:w="137" w:type="dxa"/>
              <w:left w:w="0" w:type="dxa"/>
              <w:bottom w:w="137" w:type="dxa"/>
              <w:right w:w="0" w:type="dxa"/>
            </w:tcMar>
            <w:vAlign w:val="center"/>
            <w:hideMark/>
          </w:tcPr>
          <w:p w14:paraId="0B6A1E2A"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Моніторинг і оптимізація</w:t>
            </w:r>
          </w:p>
        </w:tc>
        <w:tc>
          <w:tcPr>
            <w:tcW w:w="1843" w:type="dxa"/>
            <w:shd w:val="clear" w:color="auto" w:fill="FAFAFA"/>
            <w:tcMar>
              <w:top w:w="137" w:type="dxa"/>
              <w:left w:w="0" w:type="dxa"/>
              <w:bottom w:w="137" w:type="dxa"/>
              <w:right w:w="0" w:type="dxa"/>
            </w:tcMar>
            <w:vAlign w:val="center"/>
            <w:hideMark/>
          </w:tcPr>
          <w:p w14:paraId="0113E0D7"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Відстеження метрик і показників ефективності.</w:t>
            </w:r>
          </w:p>
        </w:tc>
        <w:tc>
          <w:tcPr>
            <w:tcW w:w="2268" w:type="dxa"/>
            <w:shd w:val="clear" w:color="auto" w:fill="FAFAFA"/>
            <w:tcMar>
              <w:top w:w="137" w:type="dxa"/>
              <w:left w:w="0" w:type="dxa"/>
              <w:bottom w:w="137" w:type="dxa"/>
              <w:right w:w="0" w:type="dxa"/>
            </w:tcMar>
            <w:vAlign w:val="center"/>
            <w:hideMark/>
          </w:tcPr>
          <w:p w14:paraId="72A558B1"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MLOps-платформи (MLflow, Kubeflow), моніторинг якості моделей.</w:t>
            </w:r>
          </w:p>
        </w:tc>
        <w:tc>
          <w:tcPr>
            <w:tcW w:w="2252" w:type="dxa"/>
            <w:shd w:val="clear" w:color="auto" w:fill="FAFAFA"/>
            <w:tcMar>
              <w:top w:w="137" w:type="dxa"/>
              <w:left w:w="0" w:type="dxa"/>
              <w:bottom w:w="137" w:type="dxa"/>
              <w:right w:w="0" w:type="dxa"/>
            </w:tcMar>
            <w:vAlign w:val="center"/>
            <w:hideMark/>
          </w:tcPr>
          <w:p w14:paraId="4C486E2B"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Постійне вдосконалення моделей і процесів на основі актуальних даних.</w:t>
            </w:r>
          </w:p>
        </w:tc>
        <w:tc>
          <w:tcPr>
            <w:tcW w:w="1568" w:type="dxa"/>
            <w:shd w:val="clear" w:color="auto" w:fill="FAFAFA"/>
            <w:tcMar>
              <w:top w:w="137" w:type="dxa"/>
              <w:left w:w="0" w:type="dxa"/>
              <w:bottom w:w="137" w:type="dxa"/>
              <w:right w:w="0" w:type="dxa"/>
            </w:tcMar>
            <w:vAlign w:val="center"/>
            <w:hideMark/>
          </w:tcPr>
          <w:p w14:paraId="11B75458"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Вимоги до регулярного моніторингу і оновлення моделей.</w:t>
            </w:r>
          </w:p>
        </w:tc>
      </w:tr>
      <w:tr w:rsidR="00532C25" w:rsidRPr="00511005" w14:paraId="5F9A2EB5" w14:textId="77777777" w:rsidTr="006E3306">
        <w:trPr>
          <w:trHeight w:val="1182"/>
          <w:jc w:val="center"/>
        </w:trPr>
        <w:tc>
          <w:tcPr>
            <w:tcW w:w="1980" w:type="dxa"/>
            <w:shd w:val="clear" w:color="auto" w:fill="FAFAFA"/>
            <w:tcMar>
              <w:top w:w="137" w:type="dxa"/>
              <w:left w:w="0" w:type="dxa"/>
              <w:bottom w:w="137" w:type="dxa"/>
              <w:right w:w="0" w:type="dxa"/>
            </w:tcMar>
            <w:vAlign w:val="center"/>
            <w:hideMark/>
          </w:tcPr>
          <w:p w14:paraId="3C654CF8"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Безпека і конфіденційність</w:t>
            </w:r>
          </w:p>
        </w:tc>
        <w:tc>
          <w:tcPr>
            <w:tcW w:w="1843" w:type="dxa"/>
            <w:shd w:val="clear" w:color="auto" w:fill="FAFAFA"/>
            <w:tcMar>
              <w:top w:w="137" w:type="dxa"/>
              <w:left w:w="0" w:type="dxa"/>
              <w:bottom w:w="137" w:type="dxa"/>
              <w:right w:w="0" w:type="dxa"/>
            </w:tcMar>
            <w:vAlign w:val="center"/>
            <w:hideMark/>
          </w:tcPr>
          <w:p w14:paraId="1546A601"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Захист даних клієнтів і забезпечення </w:t>
            </w:r>
            <w:r w:rsidRPr="00511005">
              <w:rPr>
                <w:rFonts w:ascii="Arial" w:eastAsia="Times New Roman" w:hAnsi="Arial" w:cs="Arial"/>
                <w:szCs w:val="28"/>
                <w:lang w:val="uk-UA" w:eastAsia="uk-UA"/>
              </w:rPr>
              <w:lastRenderedPageBreak/>
              <w:t>конфіденційності.</w:t>
            </w:r>
          </w:p>
        </w:tc>
        <w:tc>
          <w:tcPr>
            <w:tcW w:w="2268" w:type="dxa"/>
            <w:shd w:val="clear" w:color="auto" w:fill="FAFAFA"/>
            <w:tcMar>
              <w:top w:w="137" w:type="dxa"/>
              <w:left w:w="0" w:type="dxa"/>
              <w:bottom w:w="137" w:type="dxa"/>
              <w:right w:w="0" w:type="dxa"/>
            </w:tcMar>
            <w:vAlign w:val="center"/>
            <w:hideMark/>
          </w:tcPr>
          <w:p w14:paraId="525B3B05"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Шифрування даних, анонімізація, дотримання </w:t>
            </w:r>
            <w:r w:rsidRPr="00511005">
              <w:rPr>
                <w:rFonts w:ascii="Arial" w:eastAsia="Times New Roman" w:hAnsi="Arial" w:cs="Arial"/>
                <w:szCs w:val="28"/>
                <w:lang w:val="uk-UA" w:eastAsia="uk-UA"/>
              </w:rPr>
              <w:lastRenderedPageBreak/>
              <w:t>нормативних вимог (GDPR).</w:t>
            </w:r>
          </w:p>
        </w:tc>
        <w:tc>
          <w:tcPr>
            <w:tcW w:w="2252" w:type="dxa"/>
            <w:shd w:val="clear" w:color="auto" w:fill="FAFAFA"/>
            <w:tcMar>
              <w:top w:w="137" w:type="dxa"/>
              <w:left w:w="0" w:type="dxa"/>
              <w:bottom w:w="137" w:type="dxa"/>
              <w:right w:w="0" w:type="dxa"/>
            </w:tcMar>
            <w:vAlign w:val="center"/>
            <w:hideMark/>
          </w:tcPr>
          <w:p w14:paraId="10F413AC"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Захист персональних даних клієнтів і </w:t>
            </w:r>
            <w:r w:rsidRPr="00511005">
              <w:rPr>
                <w:rFonts w:ascii="Arial" w:eastAsia="Times New Roman" w:hAnsi="Arial" w:cs="Arial"/>
                <w:szCs w:val="28"/>
                <w:lang w:val="uk-UA" w:eastAsia="uk-UA"/>
              </w:rPr>
              <w:lastRenderedPageBreak/>
              <w:t>дотримання законодавства.</w:t>
            </w:r>
          </w:p>
        </w:tc>
        <w:tc>
          <w:tcPr>
            <w:tcW w:w="1568" w:type="dxa"/>
            <w:shd w:val="clear" w:color="auto" w:fill="FAFAFA"/>
            <w:tcMar>
              <w:top w:w="137" w:type="dxa"/>
              <w:left w:w="0" w:type="dxa"/>
              <w:bottom w:w="137" w:type="dxa"/>
              <w:right w:w="0" w:type="dxa"/>
            </w:tcMar>
            <w:vAlign w:val="center"/>
            <w:hideMark/>
          </w:tcPr>
          <w:p w14:paraId="7EA373B0"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Вимоги до забезпечення безпеки даних і </w:t>
            </w:r>
            <w:r w:rsidRPr="00511005">
              <w:rPr>
                <w:rFonts w:ascii="Arial" w:eastAsia="Times New Roman" w:hAnsi="Arial" w:cs="Arial"/>
                <w:szCs w:val="28"/>
                <w:lang w:val="uk-UA" w:eastAsia="uk-UA"/>
              </w:rPr>
              <w:lastRenderedPageBreak/>
              <w:t>управління доступами.</w:t>
            </w:r>
          </w:p>
        </w:tc>
      </w:tr>
      <w:tr w:rsidR="00532C25" w:rsidRPr="00511005" w14:paraId="5691EA5C" w14:textId="77777777" w:rsidTr="006E3306">
        <w:trPr>
          <w:trHeight w:val="1182"/>
          <w:jc w:val="center"/>
        </w:trPr>
        <w:tc>
          <w:tcPr>
            <w:tcW w:w="1980" w:type="dxa"/>
            <w:shd w:val="clear" w:color="auto" w:fill="FAFAFA"/>
            <w:tcMar>
              <w:top w:w="137" w:type="dxa"/>
              <w:left w:w="0" w:type="dxa"/>
              <w:bottom w:w="137" w:type="dxa"/>
              <w:right w:w="0" w:type="dxa"/>
            </w:tcMar>
            <w:vAlign w:val="center"/>
            <w:hideMark/>
          </w:tcPr>
          <w:p w14:paraId="38FEB4B0"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lastRenderedPageBreak/>
              <w:t>Персоналізація цін</w:t>
            </w:r>
          </w:p>
        </w:tc>
        <w:tc>
          <w:tcPr>
            <w:tcW w:w="1843" w:type="dxa"/>
            <w:shd w:val="clear" w:color="auto" w:fill="FAFAFA"/>
            <w:tcMar>
              <w:top w:w="137" w:type="dxa"/>
              <w:left w:w="0" w:type="dxa"/>
              <w:bottom w:w="137" w:type="dxa"/>
              <w:right w:w="0" w:type="dxa"/>
            </w:tcMar>
            <w:vAlign w:val="center"/>
            <w:hideMark/>
          </w:tcPr>
          <w:p w14:paraId="1E66A319"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Адаптація цін для кожного клієнта на основі його поведінки та історії покупок.</w:t>
            </w:r>
          </w:p>
        </w:tc>
        <w:tc>
          <w:tcPr>
            <w:tcW w:w="2268" w:type="dxa"/>
            <w:shd w:val="clear" w:color="auto" w:fill="FAFAFA"/>
            <w:tcMar>
              <w:top w:w="137" w:type="dxa"/>
              <w:left w:w="0" w:type="dxa"/>
              <w:bottom w:w="137" w:type="dxa"/>
              <w:right w:w="0" w:type="dxa"/>
            </w:tcMar>
            <w:vAlign w:val="center"/>
            <w:hideMark/>
          </w:tcPr>
          <w:p w14:paraId="628BC3C8"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Рекомендаційні системи, алгоритми персоналізації.</w:t>
            </w:r>
          </w:p>
        </w:tc>
        <w:tc>
          <w:tcPr>
            <w:tcW w:w="2252" w:type="dxa"/>
            <w:shd w:val="clear" w:color="auto" w:fill="FAFAFA"/>
            <w:tcMar>
              <w:top w:w="137" w:type="dxa"/>
              <w:left w:w="0" w:type="dxa"/>
              <w:bottom w:w="137" w:type="dxa"/>
              <w:right w:w="0" w:type="dxa"/>
            </w:tcMar>
            <w:vAlign w:val="center"/>
            <w:hideMark/>
          </w:tcPr>
          <w:p w14:paraId="26E2B75C"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Збільшення лояльності клієнтів і підвищення конверсії.</w:t>
            </w:r>
          </w:p>
        </w:tc>
        <w:tc>
          <w:tcPr>
            <w:tcW w:w="1568" w:type="dxa"/>
            <w:shd w:val="clear" w:color="auto" w:fill="FAFAFA"/>
            <w:tcMar>
              <w:top w:w="137" w:type="dxa"/>
              <w:left w:w="0" w:type="dxa"/>
              <w:bottom w:w="137" w:type="dxa"/>
              <w:right w:w="0" w:type="dxa"/>
            </w:tcMar>
            <w:vAlign w:val="center"/>
            <w:hideMark/>
          </w:tcPr>
          <w:p w14:paraId="62A106E2"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Потребує точних даних про клієнтів і етичних розглядів.</w:t>
            </w:r>
          </w:p>
        </w:tc>
      </w:tr>
      <w:tr w:rsidR="00532C25" w:rsidRPr="00511005" w14:paraId="0AE395E6" w14:textId="77777777" w:rsidTr="006E3306">
        <w:trPr>
          <w:trHeight w:val="1182"/>
          <w:jc w:val="center"/>
        </w:trPr>
        <w:tc>
          <w:tcPr>
            <w:tcW w:w="1980" w:type="dxa"/>
            <w:shd w:val="clear" w:color="auto" w:fill="FAFAFA"/>
            <w:tcMar>
              <w:top w:w="137" w:type="dxa"/>
              <w:left w:w="0" w:type="dxa"/>
              <w:bottom w:w="137" w:type="dxa"/>
              <w:right w:w="0" w:type="dxa"/>
            </w:tcMar>
            <w:vAlign w:val="center"/>
            <w:hideMark/>
          </w:tcPr>
          <w:p w14:paraId="36D8B898"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Оптимізація ресурсів</w:t>
            </w:r>
          </w:p>
        </w:tc>
        <w:tc>
          <w:tcPr>
            <w:tcW w:w="1843" w:type="dxa"/>
            <w:shd w:val="clear" w:color="auto" w:fill="FAFAFA"/>
            <w:tcMar>
              <w:top w:w="137" w:type="dxa"/>
              <w:left w:w="0" w:type="dxa"/>
              <w:bottom w:w="137" w:type="dxa"/>
              <w:right w:w="0" w:type="dxa"/>
            </w:tcMar>
            <w:vAlign w:val="center"/>
            <w:hideMark/>
          </w:tcPr>
          <w:p w14:paraId="332E6BA6"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Оптимізація використання мережевих ресурсів і зниження витрат.</w:t>
            </w:r>
          </w:p>
        </w:tc>
        <w:tc>
          <w:tcPr>
            <w:tcW w:w="2268" w:type="dxa"/>
            <w:shd w:val="clear" w:color="auto" w:fill="FAFAFA"/>
            <w:tcMar>
              <w:top w:w="137" w:type="dxa"/>
              <w:left w:w="0" w:type="dxa"/>
              <w:bottom w:w="137" w:type="dxa"/>
              <w:right w:w="0" w:type="dxa"/>
            </w:tcMar>
            <w:vAlign w:val="center"/>
            <w:hideMark/>
          </w:tcPr>
          <w:p w14:paraId="16E47D46"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Аналіз навантаження мережі, прогнозування пікових періодів.</w:t>
            </w:r>
          </w:p>
        </w:tc>
        <w:tc>
          <w:tcPr>
            <w:tcW w:w="2252" w:type="dxa"/>
            <w:shd w:val="clear" w:color="auto" w:fill="FAFAFA"/>
            <w:tcMar>
              <w:top w:w="137" w:type="dxa"/>
              <w:left w:w="0" w:type="dxa"/>
              <w:bottom w:w="137" w:type="dxa"/>
              <w:right w:w="0" w:type="dxa"/>
            </w:tcMar>
            <w:vAlign w:val="center"/>
            <w:hideMark/>
          </w:tcPr>
          <w:p w14:paraId="56A6A239"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Ефективне використання ресурсів і зниження операційних витрат.</w:t>
            </w:r>
          </w:p>
        </w:tc>
        <w:tc>
          <w:tcPr>
            <w:tcW w:w="1568" w:type="dxa"/>
            <w:shd w:val="clear" w:color="auto" w:fill="FAFAFA"/>
            <w:tcMar>
              <w:top w:w="137" w:type="dxa"/>
              <w:left w:w="0" w:type="dxa"/>
              <w:bottom w:w="137" w:type="dxa"/>
              <w:right w:w="0" w:type="dxa"/>
            </w:tcMar>
            <w:vAlign w:val="center"/>
            <w:hideMark/>
          </w:tcPr>
          <w:p w14:paraId="51AA3C99"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Потребує точного прогнозування і моніторингу мережі.</w:t>
            </w:r>
          </w:p>
        </w:tc>
      </w:tr>
      <w:tr w:rsidR="00532C25" w:rsidRPr="00511005" w14:paraId="289CF2E4" w14:textId="77777777" w:rsidTr="006E3306">
        <w:trPr>
          <w:trHeight w:val="1182"/>
          <w:jc w:val="center"/>
        </w:trPr>
        <w:tc>
          <w:tcPr>
            <w:tcW w:w="1980" w:type="dxa"/>
            <w:shd w:val="clear" w:color="auto" w:fill="FAFAFA"/>
            <w:tcMar>
              <w:top w:w="137" w:type="dxa"/>
              <w:left w:w="0" w:type="dxa"/>
              <w:bottom w:w="137" w:type="dxa"/>
              <w:right w:w="0" w:type="dxa"/>
            </w:tcMar>
            <w:vAlign w:val="center"/>
            <w:hideMark/>
          </w:tcPr>
          <w:p w14:paraId="57FA43A3"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Конкурентний аналіз</w:t>
            </w:r>
          </w:p>
        </w:tc>
        <w:tc>
          <w:tcPr>
            <w:tcW w:w="1843" w:type="dxa"/>
            <w:shd w:val="clear" w:color="auto" w:fill="FAFAFA"/>
            <w:tcMar>
              <w:top w:w="137" w:type="dxa"/>
              <w:left w:w="0" w:type="dxa"/>
              <w:bottom w:w="137" w:type="dxa"/>
              <w:right w:w="0" w:type="dxa"/>
            </w:tcMar>
            <w:vAlign w:val="center"/>
            <w:hideMark/>
          </w:tcPr>
          <w:p w14:paraId="3701AF10"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Аналіз цін і пропозицій конкурентів для адаптації власної стратегії.</w:t>
            </w:r>
          </w:p>
        </w:tc>
        <w:tc>
          <w:tcPr>
            <w:tcW w:w="2268" w:type="dxa"/>
            <w:shd w:val="clear" w:color="auto" w:fill="FAFAFA"/>
            <w:tcMar>
              <w:top w:w="137" w:type="dxa"/>
              <w:left w:w="0" w:type="dxa"/>
              <w:bottom w:w="137" w:type="dxa"/>
              <w:right w:w="0" w:type="dxa"/>
            </w:tcMar>
            <w:vAlign w:val="center"/>
            <w:hideMark/>
          </w:tcPr>
          <w:p w14:paraId="56A5D366"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Веб-скрейпінг, аналіз конкурентних даних.</w:t>
            </w:r>
          </w:p>
        </w:tc>
        <w:tc>
          <w:tcPr>
            <w:tcW w:w="2252" w:type="dxa"/>
            <w:shd w:val="clear" w:color="auto" w:fill="FAFAFA"/>
            <w:tcMar>
              <w:top w:w="137" w:type="dxa"/>
              <w:left w:w="0" w:type="dxa"/>
              <w:bottom w:w="137" w:type="dxa"/>
              <w:right w:w="0" w:type="dxa"/>
            </w:tcMar>
            <w:vAlign w:val="center"/>
            <w:hideMark/>
          </w:tcPr>
          <w:p w14:paraId="32ABE10C"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Підвищення конкурентоспроможності і адаптація до ринкових змін.</w:t>
            </w:r>
          </w:p>
        </w:tc>
        <w:tc>
          <w:tcPr>
            <w:tcW w:w="1568" w:type="dxa"/>
            <w:shd w:val="clear" w:color="auto" w:fill="FAFAFA"/>
            <w:tcMar>
              <w:top w:w="137" w:type="dxa"/>
              <w:left w:w="0" w:type="dxa"/>
              <w:bottom w:w="137" w:type="dxa"/>
              <w:right w:w="0" w:type="dxa"/>
            </w:tcMar>
            <w:vAlign w:val="center"/>
            <w:hideMark/>
          </w:tcPr>
          <w:p w14:paraId="06E55FE8"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Потребує постійного моніторингу і оновлення даних про конкурентів.</w:t>
            </w:r>
          </w:p>
        </w:tc>
      </w:tr>
      <w:tr w:rsidR="00532C25" w:rsidRPr="00511005" w14:paraId="122C54FA" w14:textId="77777777" w:rsidTr="006E3306">
        <w:trPr>
          <w:trHeight w:val="1425"/>
          <w:jc w:val="center"/>
        </w:trPr>
        <w:tc>
          <w:tcPr>
            <w:tcW w:w="1980" w:type="dxa"/>
            <w:shd w:val="clear" w:color="auto" w:fill="FAFAFA"/>
            <w:tcMar>
              <w:top w:w="137" w:type="dxa"/>
              <w:left w:w="0" w:type="dxa"/>
              <w:bottom w:w="137" w:type="dxa"/>
              <w:right w:w="0" w:type="dxa"/>
            </w:tcMar>
            <w:vAlign w:val="center"/>
            <w:hideMark/>
          </w:tcPr>
          <w:p w14:paraId="281EE3BB"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Клієнтський досвід</w:t>
            </w:r>
          </w:p>
        </w:tc>
        <w:tc>
          <w:tcPr>
            <w:tcW w:w="1843" w:type="dxa"/>
            <w:shd w:val="clear" w:color="auto" w:fill="FAFAFA"/>
            <w:tcMar>
              <w:top w:w="137" w:type="dxa"/>
              <w:left w:w="0" w:type="dxa"/>
              <w:bottom w:w="137" w:type="dxa"/>
              <w:right w:w="0" w:type="dxa"/>
            </w:tcMar>
            <w:vAlign w:val="center"/>
            <w:hideMark/>
          </w:tcPr>
          <w:p w14:paraId="44133AAD"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Покращення взаємодії з клієнтами на основі аналізу даних.</w:t>
            </w:r>
          </w:p>
        </w:tc>
        <w:tc>
          <w:tcPr>
            <w:tcW w:w="2268" w:type="dxa"/>
            <w:shd w:val="clear" w:color="auto" w:fill="FAFAFA"/>
            <w:tcMar>
              <w:top w:w="137" w:type="dxa"/>
              <w:left w:w="0" w:type="dxa"/>
              <w:bottom w:w="137" w:type="dxa"/>
              <w:right w:w="0" w:type="dxa"/>
            </w:tcMar>
            <w:vAlign w:val="center"/>
            <w:hideMark/>
          </w:tcPr>
          <w:p w14:paraId="30BECC1A"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Аналіз відгуків клієнтів, чат-боти з AI.</w:t>
            </w:r>
          </w:p>
        </w:tc>
        <w:tc>
          <w:tcPr>
            <w:tcW w:w="2252" w:type="dxa"/>
            <w:shd w:val="clear" w:color="auto" w:fill="FAFAFA"/>
            <w:tcMar>
              <w:top w:w="137" w:type="dxa"/>
              <w:left w:w="0" w:type="dxa"/>
              <w:bottom w:w="137" w:type="dxa"/>
              <w:right w:w="0" w:type="dxa"/>
            </w:tcMar>
            <w:vAlign w:val="center"/>
            <w:hideMark/>
          </w:tcPr>
          <w:p w14:paraId="22A8BF57" w14:textId="77777777" w:rsidR="00532C25" w:rsidRPr="00511005" w:rsidRDefault="00532C25" w:rsidP="006E3306">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Підвищення задоволеності клієнтів і покращення сервісу.</w:t>
            </w:r>
          </w:p>
        </w:tc>
        <w:tc>
          <w:tcPr>
            <w:tcW w:w="1568" w:type="dxa"/>
            <w:shd w:val="clear" w:color="auto" w:fill="FAFAFA"/>
            <w:tcMar>
              <w:top w:w="137" w:type="dxa"/>
              <w:left w:w="0" w:type="dxa"/>
              <w:bottom w:w="137" w:type="dxa"/>
              <w:right w:w="0" w:type="dxa"/>
            </w:tcMar>
            <w:vAlign w:val="center"/>
            <w:hideMark/>
          </w:tcPr>
          <w:p w14:paraId="3EC1216E" w14:textId="77777777" w:rsidR="00532C25" w:rsidRPr="00511005" w:rsidRDefault="00532C25" w:rsidP="006E3306">
            <w:pPr>
              <w:keepNext/>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Потребує інтеграції з каналами зв'язку і аналізу великих обсягів текстових даних.</w:t>
            </w:r>
          </w:p>
        </w:tc>
      </w:tr>
    </w:tbl>
    <w:p w14:paraId="49C4B065"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Таблиця представляє собою опис ключових елементів керування даними та ціноутворення в телекомунікаційних підприємствах, включаючи збирання інформації з різних джерел, централізоване збереження, обробку </w:t>
      </w:r>
      <w:r w:rsidRPr="00511005">
        <w:rPr>
          <w:rFonts w:ascii="Arial" w:eastAsia="Calibri" w:hAnsi="Arial" w:cs="Arial"/>
          <w:szCs w:val="28"/>
          <w:lang w:val="uk-UA"/>
        </w:rPr>
        <w:lastRenderedPageBreak/>
        <w:t>у режимі реального часу, створення аналітичних моделей, інтеграцію з бізнес-системами, моніторинг та оптимізацію, забезпечення безпеки та конфіденційності, персоналізацію тарифів, оптимізацію ресурсів, аналіз конкуренції та покращення обслуговування клієнтів. Кожен пункт супроводжується прикладами технологій, перевагами та викликами, що полегшує розуміння складних процесів та ідентифікацію ключових факторів для поліпшення бізнесу [3].</w:t>
      </w:r>
    </w:p>
    <w:p w14:paraId="19AFE7AA"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Отже, впровадження аналітики великих даних (Big Data) для динамічного ціноутворення в телекомунікаційній галузі – це ключовий крок до зростання ефективності бізнесу. Динамічне ціноутворення надає операторам можливість автоматично змінювати вартість послуг миттєво, зважаючи на різноманітні фактори, серед яких – попит, звички споживачів та конкурентна обстановка. Це сприяє зростанню прибутків, підтримці конкурентоздатності та покращенню задоволення клієнтів.</w:t>
      </w:r>
    </w:p>
    <w:p w14:paraId="0C57177D" w14:textId="77777777" w:rsidR="00532C25" w:rsidRPr="00511005" w:rsidRDefault="00532C25" w:rsidP="00532C25">
      <w:pPr>
        <w:spacing w:line="264" w:lineRule="auto"/>
        <w:rPr>
          <w:rFonts w:ascii="Arial" w:eastAsia="Calibri" w:hAnsi="Arial" w:cs="Arial"/>
          <w:szCs w:val="28"/>
          <w:lang w:val="uk-UA"/>
        </w:rPr>
      </w:pPr>
    </w:p>
    <w:p w14:paraId="042CC8C4" w14:textId="77777777" w:rsidR="00532C25" w:rsidRPr="00511005" w:rsidRDefault="00532C25" w:rsidP="00532C25">
      <w:pPr>
        <w:spacing w:line="264" w:lineRule="auto"/>
        <w:ind w:firstLine="0"/>
        <w:jc w:val="center"/>
        <w:rPr>
          <w:rFonts w:ascii="Arial" w:eastAsia="Calibri" w:hAnsi="Arial" w:cs="Arial"/>
          <w:b/>
          <w:bCs/>
          <w:i/>
          <w:iCs/>
          <w:szCs w:val="28"/>
          <w:lang w:val="uk-UA"/>
        </w:rPr>
      </w:pPr>
      <w:r w:rsidRPr="00511005">
        <w:rPr>
          <w:rFonts w:ascii="Arial" w:eastAsia="Calibri" w:hAnsi="Arial" w:cs="Arial"/>
          <w:b/>
          <w:bCs/>
          <w:szCs w:val="28"/>
          <w:lang w:val="uk-UA"/>
        </w:rPr>
        <w:t>Список використаних джерел</w:t>
      </w:r>
    </w:p>
    <w:p w14:paraId="451EBD14"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 Dr. Jagreet Kaur Gill. AI Agents in Action: Reshaping Dynamic Pricing and Plans Adjustments. 2024. С. 3-8. URL: https://www.akira.ai/blog/ai-agents-in-dynamic-pricing-and-plans-adjustments?utm_source=chatgpt.com </w:t>
      </w:r>
      <w:r w:rsidRPr="00511005">
        <w:rPr>
          <w:rFonts w:ascii="Arial" w:eastAsia="Calibri" w:hAnsi="Arial" w:cs="Arial"/>
          <w:szCs w:val="28"/>
          <w:lang w:val="uk-UA"/>
        </w:rPr>
        <w:t>(Дата звернення: 6.05.25).</w:t>
      </w:r>
    </w:p>
    <w:p w14:paraId="474872BF"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2. Cem Dilmegani. Dynamic Pricing Algorithms in 2025: Top 3 Models. 2024. Вип. №5. С. 4. URL: https://research.aimultiple.com/dynamic-pricing-algorithm/?utm_source=chatgpt.com </w:t>
      </w:r>
      <w:r w:rsidRPr="00511005">
        <w:rPr>
          <w:rFonts w:ascii="Arial" w:eastAsia="Calibri" w:hAnsi="Arial" w:cs="Arial"/>
          <w:szCs w:val="28"/>
          <w:lang w:val="uk-UA"/>
        </w:rPr>
        <w:t>(Дата звернення: 2.05.25).</w:t>
      </w:r>
    </w:p>
    <w:p w14:paraId="4166D1FE"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3. Пархоменко О. Ю., Дармосюк В. М. Застосування технологій BIG DATA для аналізу ризиків і можливостей у підприємницькій діяльності. – 2025. URL: http://dspace.mnau.edu.ua/jspui/bitstream/123456789/20065/1/p_323_76953988-28-31.pdf. </w:t>
      </w:r>
      <w:bookmarkStart w:id="287" w:name="_Hlk197952055"/>
      <w:r w:rsidRPr="00511005">
        <w:rPr>
          <w:rFonts w:ascii="Arial" w:eastAsia="Calibri" w:hAnsi="Arial" w:cs="Arial"/>
          <w:szCs w:val="28"/>
          <w:lang w:val="uk-UA"/>
        </w:rPr>
        <w:t>(Дата звернення: 2.05.25).</w:t>
      </w:r>
      <w:bookmarkEnd w:id="287"/>
    </w:p>
    <w:p w14:paraId="2092D77D" w14:textId="77777777" w:rsidR="00532C25" w:rsidRPr="00511005" w:rsidRDefault="00532C25" w:rsidP="00532C25">
      <w:pPr>
        <w:widowControl w:val="0"/>
        <w:suppressAutoHyphens/>
        <w:spacing w:line="264" w:lineRule="auto"/>
        <w:rPr>
          <w:rFonts w:ascii="Arial" w:eastAsia="Times New Roman" w:hAnsi="Arial" w:cs="Arial"/>
          <w:kern w:val="1"/>
          <w:szCs w:val="28"/>
          <w:lang w:val="uk-UA" w:eastAsia="uk-UA"/>
        </w:rPr>
      </w:pPr>
      <w:r w:rsidRPr="00511005">
        <w:rPr>
          <w:rFonts w:ascii="Arial" w:eastAsia="Times New Roman" w:hAnsi="Arial" w:cs="Arial"/>
          <w:b/>
          <w:i/>
          <w:szCs w:val="28"/>
          <w:lang w:val="uk-UA" w:eastAsia="ru-RU"/>
        </w:rPr>
        <w:t xml:space="preserve">Ключові слова: </w:t>
      </w:r>
      <w:r w:rsidRPr="00511005">
        <w:rPr>
          <w:rFonts w:ascii="Arial" w:eastAsia="Times New Roman" w:hAnsi="Arial" w:cs="Arial"/>
          <w:i/>
          <w:iCs/>
          <w:kern w:val="1"/>
          <w:szCs w:val="28"/>
          <w:lang w:val="uk-UA" w:eastAsia="uk-UA"/>
        </w:rPr>
        <w:t>конкурентний аналіз, динамічне моделі ціноутворення, аналітика великих даних</w:t>
      </w:r>
    </w:p>
    <w:p w14:paraId="3C61A490" w14:textId="77777777" w:rsidR="00532C25" w:rsidRPr="00511005" w:rsidRDefault="00532C25" w:rsidP="00532C25">
      <w:pPr>
        <w:widowControl w:val="0"/>
        <w:suppressAutoHyphens/>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Pr="00511005">
        <w:rPr>
          <w:rFonts w:ascii="Arial" w:eastAsia="Times New Roman" w:hAnsi="Arial" w:cs="Arial"/>
          <w:i/>
          <w:iCs/>
          <w:szCs w:val="28"/>
          <w:lang w:val="uk-UA" w:eastAsia="ru-RU"/>
        </w:rPr>
        <w:t>competitive analysis, dynamic pricing models, big data analytics</w:t>
      </w:r>
    </w:p>
    <w:p w14:paraId="08F2ED1A" w14:textId="77777777" w:rsidR="00532C25" w:rsidRPr="00511005" w:rsidRDefault="00532C25" w:rsidP="00532C25">
      <w:pPr>
        <w:spacing w:line="264" w:lineRule="auto"/>
        <w:ind w:firstLine="708"/>
        <w:rPr>
          <w:rFonts w:ascii="Arial" w:eastAsia="Calibri" w:hAnsi="Arial" w:cs="Arial"/>
          <w:bCs/>
          <w:i/>
          <w:iCs/>
          <w:szCs w:val="28"/>
          <w:lang w:val="uk-UA"/>
        </w:rPr>
      </w:pPr>
      <w:r w:rsidRPr="00511005">
        <w:rPr>
          <w:rFonts w:ascii="Arial" w:eastAsia="Times New Roman" w:hAnsi="Arial" w:cs="Arial"/>
          <w:b/>
          <w:bCs/>
          <w:i/>
          <w:iCs/>
          <w:szCs w:val="28"/>
          <w:shd w:val="clear" w:color="auto" w:fill="FFFFFF"/>
          <w:lang w:val="uk-UA"/>
        </w:rPr>
        <w:t xml:space="preserve">Науковий керівник: </w:t>
      </w:r>
      <w:r w:rsidRPr="00511005">
        <w:rPr>
          <w:rFonts w:ascii="Arial" w:eastAsia="Times New Roman" w:hAnsi="Arial" w:cs="Arial"/>
          <w:bCs/>
          <w:i/>
          <w:iCs/>
          <w:szCs w:val="28"/>
          <w:shd w:val="clear" w:color="auto" w:fill="FFFFFF"/>
          <w:lang w:val="uk-UA"/>
        </w:rPr>
        <w:t>к.т.н., доц. Задерейко О. В.</w:t>
      </w:r>
    </w:p>
    <w:p w14:paraId="6A7EA82E" w14:textId="77777777" w:rsidR="00532C25" w:rsidRPr="00511005" w:rsidRDefault="00532C25" w:rsidP="00532C25">
      <w:pPr>
        <w:spacing w:line="264" w:lineRule="auto"/>
        <w:ind w:firstLine="0"/>
        <w:rPr>
          <w:rFonts w:ascii="Arial" w:eastAsia="Calibri" w:hAnsi="Arial" w:cs="Arial"/>
          <w:szCs w:val="28"/>
          <w:lang w:val="uk-UA"/>
        </w:rPr>
      </w:pPr>
    </w:p>
    <w:p w14:paraId="1806CD39" w14:textId="77777777" w:rsidR="00532C25" w:rsidRPr="00511005" w:rsidRDefault="00532C25" w:rsidP="00532C25">
      <w:pPr>
        <w:spacing w:line="264" w:lineRule="auto"/>
        <w:ind w:firstLine="0"/>
        <w:rPr>
          <w:rFonts w:ascii="Arial" w:eastAsia="Calibri" w:hAnsi="Arial" w:cs="Arial"/>
          <w:szCs w:val="28"/>
          <w:lang w:val="uk-UA"/>
        </w:rPr>
      </w:pPr>
    </w:p>
    <w:p w14:paraId="57FBB562" w14:textId="77777777" w:rsidR="00532C25" w:rsidRPr="00511005" w:rsidRDefault="00532C25" w:rsidP="00532C25">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Косяк Микола Владиславович</w:t>
      </w:r>
    </w:p>
    <w:p w14:paraId="6E6A5AD9" w14:textId="77777777" w:rsidR="00532C25" w:rsidRPr="00511005" w:rsidRDefault="00532C25" w:rsidP="00532C25">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студент 4-го курсу факультету кібербезпеки та інформаційних технологій</w:t>
      </w:r>
      <w:r w:rsidRPr="00511005">
        <w:rPr>
          <w:rFonts w:ascii="Arial" w:eastAsia="Calibri" w:hAnsi="Arial" w:cs="Arial"/>
          <w:iCs/>
          <w:szCs w:val="28"/>
          <w:lang w:val="uk-UA"/>
        </w:rPr>
        <w:br/>
        <w:t>Національного університету «Одеська юридична академія»</w:t>
      </w:r>
    </w:p>
    <w:p w14:paraId="012C2668"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РОЗРОБКА МОБІЛЬНОГО ЗАСТОСУНКУ ДЛЯ УПРАВЛІННЯ ОСОБИСТИМИ ФІНАНСАМИ. АНАЛІЗ КОНКУРЕНТІВ</w:t>
      </w:r>
    </w:p>
    <w:p w14:paraId="15CA02B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У сучасному світі управління особистими фінансами набуває дедалі більшої актуальності через економічну нестабільність, зростання цін та </w:t>
      </w:r>
      <w:r w:rsidRPr="00511005">
        <w:rPr>
          <w:rFonts w:ascii="Arial" w:eastAsia="Calibri" w:hAnsi="Arial" w:cs="Arial"/>
          <w:szCs w:val="28"/>
          <w:lang w:val="uk-UA"/>
        </w:rPr>
        <w:lastRenderedPageBreak/>
        <w:t>потребу в раціональному розподілі коштів. Мобільні застосунки для фінансового менеджменту, такі як Monefy, Wallet та Money Manager, стали популярними інструментами, що допомагають користувачам відстежувати доходи, витрати та планувати бюджет. Проте більшість таких застосунків мають стандартний дизайн і обмежену гнучкість у кастомізації, що відкриває простір для створення нових рішень із сучасним інтерфейсом і розширеним функціоналом.</w:t>
      </w:r>
    </w:p>
    <w:p w14:paraId="01D7741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Мій мобільний застосунок, розроблений для платформи Android за допомогою Java в середовищі Android Studio, спрямований на вирішення цих проблем. Він використовує локальну базу даних SQLite для зберігання інформації про рахунки, категорії доходів і витрат, транзакції та перекази. Застосунок вирізняється неоморфним дизайном із прозорими елементами, градієнтними вставками, плавними анімаціями та підтримкою темної теми, що відповідає сучасним трендам у мобільній розробці [1]. Основна мета — забезпечити зручність, інтуїтивність і естетичну привабливість для користувачів, які прагнуть ефективно керувати фінансами. </w:t>
      </w:r>
    </w:p>
    <w:p w14:paraId="418D3F27" w14:textId="77777777" w:rsidR="00532C25" w:rsidRPr="00511005" w:rsidRDefault="00532C25" w:rsidP="00532C25">
      <w:pPr>
        <w:spacing w:line="264" w:lineRule="auto"/>
        <w:ind w:firstLine="720"/>
        <w:jc w:val="center"/>
        <w:rPr>
          <w:rFonts w:ascii="Arial" w:eastAsia="Calibri" w:hAnsi="Arial" w:cs="Arial"/>
          <w:b/>
          <w:bCs/>
          <w:szCs w:val="28"/>
          <w:lang w:val="uk-UA"/>
        </w:rPr>
      </w:pPr>
      <w:r w:rsidRPr="00511005">
        <w:rPr>
          <w:rFonts w:ascii="Arial" w:eastAsia="Calibri" w:hAnsi="Arial" w:cs="Arial"/>
          <w:b/>
          <w:bCs/>
          <w:szCs w:val="28"/>
          <w:lang w:val="uk-UA"/>
        </w:rPr>
        <w:t>Аналіз та порівняння конкурентів</w:t>
      </w:r>
    </w:p>
    <w:p w14:paraId="62BCA47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У сфері мобільних фінансових менеджерів провідними гравцями є Monefy, Wallet і Money Manager. Кожен із цих застосунків має свої сильні сторони, але також певні обмеження, що створюють можливості для нових рішень. </w:t>
      </w:r>
    </w:p>
    <w:p w14:paraId="79FEEBA8" w14:textId="77777777" w:rsidR="00532C25" w:rsidRPr="00511005" w:rsidRDefault="00532C25" w:rsidP="00532C25">
      <w:pPr>
        <w:spacing w:line="264" w:lineRule="auto"/>
        <w:ind w:firstLine="720"/>
        <w:rPr>
          <w:rFonts w:ascii="Arial" w:eastAsia="Calibri" w:hAnsi="Arial" w:cs="Arial"/>
          <w:b/>
          <w:bCs/>
          <w:szCs w:val="28"/>
          <w:lang w:val="uk-UA"/>
        </w:rPr>
      </w:pPr>
      <w:r w:rsidRPr="00511005">
        <w:rPr>
          <w:rFonts w:ascii="Arial" w:eastAsia="Calibri" w:hAnsi="Arial" w:cs="Arial"/>
          <w:b/>
          <w:bCs/>
          <w:szCs w:val="28"/>
          <w:lang w:val="uk-UA"/>
        </w:rPr>
        <w:t>1. Monefy</w:t>
      </w:r>
    </w:p>
    <w:p w14:paraId="43A3783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Monefy [2] — це популярний фінансовий менеджер, відомий своєю простотою та зручним інтерфейсом. Застосунок дозволяє швидко додавати транзакції, переглядати статистику за допомогою кругових діаграм і синхронізувати дані через хмарні сервіси. </w:t>
      </w:r>
    </w:p>
    <w:p w14:paraId="71482DFF"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Плюси Monefy: </w:t>
      </w:r>
    </w:p>
    <w:p w14:paraId="7919832C" w14:textId="77777777" w:rsidR="00532C25" w:rsidRPr="00511005" w:rsidRDefault="00532C25" w:rsidP="003F6A5D">
      <w:pPr>
        <w:numPr>
          <w:ilvl w:val="0"/>
          <w:numId w:val="702"/>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простота використання: інтуїтивний інтерфейс дозволяє швидко додавати транзакції;</w:t>
      </w:r>
    </w:p>
    <w:p w14:paraId="62CA32C8" w14:textId="77777777" w:rsidR="00532C25" w:rsidRPr="00511005" w:rsidRDefault="00532C25" w:rsidP="003F6A5D">
      <w:pPr>
        <w:numPr>
          <w:ilvl w:val="0"/>
          <w:numId w:val="702"/>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кругова діаграма: наочна візуалізація витрат за категоріями;</w:t>
      </w:r>
    </w:p>
    <w:p w14:paraId="020B0FFB" w14:textId="77777777" w:rsidR="00532C25" w:rsidRPr="00511005" w:rsidRDefault="00532C25" w:rsidP="003F6A5D">
      <w:pPr>
        <w:numPr>
          <w:ilvl w:val="0"/>
          <w:numId w:val="702"/>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синхронізація: можливість зберігати дані в хмарі для доступу з кількох пристроїв.</w:t>
      </w:r>
    </w:p>
    <w:p w14:paraId="7D70C42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Мінуси Monefy: </w:t>
      </w:r>
    </w:p>
    <w:p w14:paraId="6A231B29" w14:textId="77777777" w:rsidR="00532C25" w:rsidRPr="00511005" w:rsidRDefault="00532C25" w:rsidP="003F6A5D">
      <w:pPr>
        <w:numPr>
          <w:ilvl w:val="0"/>
          <w:numId w:val="703"/>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обмежений дизайн: інтерфейс виглядає застарілим і не підтримує сучасні стилі, такі як неаморфізм;</w:t>
      </w:r>
    </w:p>
    <w:p w14:paraId="5FD5EDCD" w14:textId="77777777" w:rsidR="00532C25" w:rsidRPr="00511005" w:rsidRDefault="00532C25" w:rsidP="003F6A5D">
      <w:pPr>
        <w:numPr>
          <w:ilvl w:val="0"/>
          <w:numId w:val="703"/>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відсутність темної теми в безкоштовній версії: темна тема доступна лише в платній версії;</w:t>
      </w:r>
    </w:p>
    <w:p w14:paraId="2D10BF9E" w14:textId="77777777" w:rsidR="00532C25" w:rsidRPr="00511005" w:rsidRDefault="00532C25" w:rsidP="003F6A5D">
      <w:pPr>
        <w:numPr>
          <w:ilvl w:val="0"/>
          <w:numId w:val="703"/>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обмежена кастомізація: користувачі не можуть створювати складні категорії чи налаштовувати діаграми;</w:t>
      </w:r>
    </w:p>
    <w:p w14:paraId="7693EAAF" w14:textId="77777777" w:rsidR="00532C25" w:rsidRPr="00511005" w:rsidRDefault="00532C25" w:rsidP="003F6A5D">
      <w:pPr>
        <w:numPr>
          <w:ilvl w:val="0"/>
          <w:numId w:val="703"/>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обмежена взаємодія з різними валютами в безкоштовній версії.</w:t>
      </w:r>
    </w:p>
    <w:p w14:paraId="239F370F" w14:textId="77777777" w:rsidR="00532C25" w:rsidRPr="00511005" w:rsidRDefault="00532C25" w:rsidP="00532C25">
      <w:pPr>
        <w:spacing w:line="264" w:lineRule="auto"/>
        <w:ind w:firstLine="720"/>
        <w:rPr>
          <w:rFonts w:ascii="Arial" w:eastAsia="Calibri" w:hAnsi="Arial" w:cs="Arial"/>
          <w:b/>
          <w:bCs/>
          <w:szCs w:val="28"/>
          <w:lang w:val="uk-UA"/>
        </w:rPr>
      </w:pPr>
      <w:r w:rsidRPr="00511005">
        <w:rPr>
          <w:rFonts w:ascii="Arial" w:eastAsia="Calibri" w:hAnsi="Arial" w:cs="Arial"/>
          <w:b/>
          <w:bCs/>
          <w:szCs w:val="28"/>
          <w:lang w:val="uk-UA"/>
        </w:rPr>
        <w:t>2. Wallet</w:t>
      </w:r>
    </w:p>
    <w:p w14:paraId="2E0FFB1D"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lastRenderedPageBreak/>
        <w:t xml:space="preserve">Wallet [3] — це фінансовий менеджер із акцентом на детальну аналітику та інтеграцію з банківськими рахунками. Застосунок пропонує розширені звіти, планування бюджету та синхронізацію з фінансовими установами. </w:t>
      </w:r>
    </w:p>
    <w:p w14:paraId="3621580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Плюси Wallet: </w:t>
      </w:r>
    </w:p>
    <w:p w14:paraId="383A21B7"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інтеграція з банками: автоматичний імпорт транзакцій із банківських рахунків;</w:t>
      </w:r>
    </w:p>
    <w:p w14:paraId="292C2CEB"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детальна аналітика: розширені звіти за категоріями, періодами та типами витрат;</w:t>
      </w:r>
    </w:p>
    <w:p w14:paraId="1EC3F922"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планування бюджету: можливість встановлювати ліміти витрат на місяць.</w:t>
      </w:r>
    </w:p>
    <w:p w14:paraId="5F3944F2"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Мінуси Wallet: </w:t>
      </w:r>
    </w:p>
    <w:p w14:paraId="3316EF93"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складність для новачків: велика кількість функцій може бути незручною для початківців;</w:t>
      </w:r>
    </w:p>
    <w:p w14:paraId="11F1B751"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обмеження безкоштовної версії: ключові функції, такі як створення більше трьох рахунків та інші, доступні лише в платній версії;</w:t>
      </w:r>
    </w:p>
    <w:p w14:paraId="01125AE6"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стандартний дизайн: інтерфейс не вирізняється сучасними елементами, такими як анімації чи прозорість.</w:t>
      </w:r>
    </w:p>
    <w:p w14:paraId="3835CD12" w14:textId="77777777" w:rsidR="00532C25" w:rsidRPr="00511005" w:rsidRDefault="00532C25" w:rsidP="00532C25">
      <w:pPr>
        <w:spacing w:line="264" w:lineRule="auto"/>
        <w:ind w:firstLine="720"/>
        <w:rPr>
          <w:rFonts w:ascii="Arial" w:eastAsia="Calibri" w:hAnsi="Arial" w:cs="Arial"/>
          <w:b/>
          <w:bCs/>
          <w:szCs w:val="28"/>
          <w:lang w:val="uk-UA"/>
        </w:rPr>
      </w:pPr>
      <w:r w:rsidRPr="00511005">
        <w:rPr>
          <w:rFonts w:ascii="Arial" w:eastAsia="Calibri" w:hAnsi="Arial" w:cs="Arial"/>
          <w:b/>
          <w:bCs/>
          <w:szCs w:val="28"/>
          <w:lang w:val="uk-UA"/>
        </w:rPr>
        <w:t>3. Money Manager</w:t>
      </w:r>
    </w:p>
    <w:p w14:paraId="0309092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Money Manager [4] — це застосунок із гнучкими інструментами для управління фінансами, включаючи облік активів, транзакцій і бюджетів. Він підтримує детальну статистику та експорт даних. </w:t>
      </w:r>
    </w:p>
    <w:p w14:paraId="0CAFF0E9"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Плюси Money Manager: </w:t>
      </w:r>
    </w:p>
    <w:p w14:paraId="54B9DDC8"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гнучкість: підтримка обліку активів, позик і складних категорій;</w:t>
      </w:r>
    </w:p>
    <w:p w14:paraId="797E28E5"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експорт даних: можливість зберігати звіти у форматі excel або pdf;</w:t>
      </w:r>
    </w:p>
    <w:p w14:paraId="77F3D5A5"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офлайн-режим: усі функції доступні без підключення до інтернету.</w:t>
      </w:r>
    </w:p>
    <w:p w14:paraId="60580FE7"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Мінуси Money Manager: </w:t>
      </w:r>
    </w:p>
    <w:p w14:paraId="2D66FF97"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 xml:space="preserve">застарілий інтерфейс: дизайн не відповідає сучасним стандартам, бракує анімацій і темної теми. </w:t>
      </w:r>
    </w:p>
    <w:p w14:paraId="63680232"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обмежена автоматизація: відсутність інтеграції з банківськими сервісами;</w:t>
      </w:r>
    </w:p>
    <w:p w14:paraId="282916CD"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складність навігації: меню може бути незручним для швидкого доступу до функцій;</w:t>
      </w:r>
    </w:p>
    <w:p w14:paraId="4B5C79C2"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нестандартна система взаємодії з рахунками, що може визвати складнощі при переході з іншого застосунку.</w:t>
      </w:r>
    </w:p>
    <w:p w14:paraId="35B7E5AA" w14:textId="77777777" w:rsidR="00532C25" w:rsidRPr="00511005" w:rsidRDefault="00532C25" w:rsidP="00532C25">
      <w:pPr>
        <w:spacing w:line="264" w:lineRule="auto"/>
        <w:ind w:firstLine="720"/>
        <w:rPr>
          <w:rFonts w:ascii="Arial" w:eastAsia="Calibri" w:hAnsi="Arial" w:cs="Arial"/>
          <w:b/>
          <w:bCs/>
          <w:szCs w:val="28"/>
          <w:lang w:val="uk-UA"/>
        </w:rPr>
      </w:pPr>
      <w:r w:rsidRPr="00511005">
        <w:rPr>
          <w:rFonts w:ascii="Arial" w:eastAsia="Calibri" w:hAnsi="Arial" w:cs="Arial"/>
          <w:b/>
          <w:bCs/>
          <w:szCs w:val="28"/>
          <w:lang w:val="uk-UA"/>
        </w:rPr>
        <w:t>4. Мій застосунок</w:t>
      </w:r>
    </w:p>
    <w:p w14:paraId="6AF26A98"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Мій застосунок поєднує найкращі риси конкурентів, усуваючи їхні недоліки, і пропонує унікальні функції, які роблять його конкурентоспроможним. </w:t>
      </w:r>
    </w:p>
    <w:p w14:paraId="70F04021"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Плюси розробленого застосунку: </w:t>
      </w:r>
    </w:p>
    <w:p w14:paraId="4BD91604"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lastRenderedPageBreak/>
        <w:t>сучасний дизайн: неоморфний стиль із прозорими елементами, градієнтними вставками, плавними анімаціями та підтримкою темної теми створює приємний користувацький досвід [5];</w:t>
      </w:r>
    </w:p>
    <w:p w14:paraId="622E842C"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інтуїтивна навігація: продумане розташування меню забезпечує швидкий доступ до всіх функцій;</w:t>
      </w:r>
    </w:p>
    <w:p w14:paraId="2D917B54"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 xml:space="preserve">гнучка аналітика: кругова діаграма для рахунків, сортування транзакцій за датами та періодами, а також статистика за категоріями; </w:t>
      </w:r>
    </w:p>
    <w:p w14:paraId="41351C35"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потенціал розвитку: у розробці перебуває модуль бюджетування для встановлення місячних лімітів та хмарна синхроніація, а в майбутньому планується монетизація через преміум-функції та інтеграція з банківськими API [6].</w:t>
      </w:r>
    </w:p>
    <w:p w14:paraId="2D87FD2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b/>
          <w:bCs/>
          <w:szCs w:val="28"/>
          <w:lang w:val="uk-UA"/>
        </w:rPr>
        <w:t>Мінуси розробленого застосунку:</w:t>
      </w:r>
      <w:r w:rsidRPr="00511005">
        <w:rPr>
          <w:rFonts w:ascii="Arial" w:eastAsia="Calibri" w:hAnsi="Arial" w:cs="Arial"/>
          <w:szCs w:val="28"/>
          <w:lang w:val="uk-UA"/>
        </w:rPr>
        <w:t xml:space="preserve"> </w:t>
      </w:r>
    </w:p>
    <w:p w14:paraId="5507FAEA"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відсутність хмарної синхронізації: наразі дані зберігаються лише локально через SQLite;</w:t>
      </w:r>
    </w:p>
    <w:p w14:paraId="2E31C7DD"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обмежений функціонал бюджетування: модуль планування бюджету ще в розробці;</w:t>
      </w:r>
    </w:p>
    <w:p w14:paraId="46CD2F7E" w14:textId="77777777" w:rsidR="00532C25" w:rsidRPr="00511005" w:rsidRDefault="00532C25" w:rsidP="003F6A5D">
      <w:pPr>
        <w:numPr>
          <w:ilvl w:val="0"/>
          <w:numId w:val="704"/>
        </w:numPr>
        <w:tabs>
          <w:tab w:val="clear" w:pos="720"/>
        </w:tabs>
        <w:spacing w:line="264" w:lineRule="auto"/>
        <w:ind w:left="0" w:firstLine="720"/>
        <w:rPr>
          <w:rFonts w:ascii="Arial" w:eastAsia="Calibri" w:hAnsi="Arial" w:cs="Arial"/>
          <w:szCs w:val="28"/>
          <w:lang w:val="uk-UA"/>
        </w:rPr>
      </w:pPr>
      <w:r w:rsidRPr="00511005">
        <w:rPr>
          <w:rFonts w:ascii="Arial" w:eastAsia="Calibri" w:hAnsi="Arial" w:cs="Arial"/>
          <w:szCs w:val="28"/>
          <w:lang w:val="uk-UA"/>
        </w:rPr>
        <w:t>відсутність інтеграції з банками: на відміну від Wallet, застосунок не підтримує автоматичний імпорт транзакцій.</w:t>
      </w:r>
    </w:p>
    <w:p w14:paraId="48A3D62E"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Аналіз конкурентів показує, що Monefy, Wallet і Money Manager пропонують зручні інструменти для управління фінансами, але мають обмеження в дизайні, кастомізації чи автоматизації. Мій застосунок вирізняється сучасним неоморфним дизайном, інтуїтивною навігацією та потенціалом для розвитку, що робить його привабливим для користувачів, які шукають стильне та функціональне рішення. Унікальний інтерфейс і підтримка темної теми забезпечують конкурентну перевагу, а заплановані оновлення, такі як бюджетування та інтеграція з онлайн-сервісами, відкривають перспективи для виходу на ринок [7]. </w:t>
      </w:r>
    </w:p>
    <w:p w14:paraId="505C81A5"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Приклади головних сторінок та вікон розробленого застосунку, які ілюструють його функціонал: </w:t>
      </w:r>
    </w:p>
    <w:p w14:paraId="07E6761B" w14:textId="77777777" w:rsidR="00532C25" w:rsidRPr="00511005" w:rsidRDefault="00532C25" w:rsidP="003F6A5D">
      <w:pPr>
        <w:numPr>
          <w:ilvl w:val="0"/>
          <w:numId w:val="700"/>
        </w:numPr>
        <w:spacing w:line="264" w:lineRule="auto"/>
        <w:ind w:left="0" w:firstLine="720"/>
        <w:rPr>
          <w:rFonts w:ascii="Arial" w:eastAsia="Calibri" w:hAnsi="Arial" w:cs="Arial"/>
          <w:b/>
          <w:bCs/>
          <w:szCs w:val="28"/>
          <w:lang w:val="uk-UA"/>
        </w:rPr>
      </w:pPr>
      <w:r w:rsidRPr="00511005">
        <w:rPr>
          <w:rFonts w:ascii="Arial" w:eastAsia="Calibri" w:hAnsi="Arial" w:cs="Arial"/>
          <w:szCs w:val="28"/>
          <w:lang w:val="uk-UA"/>
        </w:rPr>
        <w:t>Сторінка рахунків (рис. 1): відображає список рахунків із круговою діаграмою для аналізу витрат. Підтримує темну тему, що забезпечує комфортне використання в умовах низької освітленості.</w:t>
      </w:r>
    </w:p>
    <w:p w14:paraId="2F4D9126"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noProof/>
          <w:szCs w:val="28"/>
          <w:lang w:val="uk-UA" w:eastAsia="ru-RU"/>
        </w:rPr>
        <w:lastRenderedPageBreak/>
        <w:drawing>
          <wp:inline distT="0" distB="0" distL="0" distR="0" wp14:anchorId="24EAE972" wp14:editId="630A8C29">
            <wp:extent cx="1654329" cy="3498850"/>
            <wp:effectExtent l="0" t="0" r="3175" b="6350"/>
            <wp:docPr id="12" name="Рисунок 12" descr="Изображение выглядит как текст, снимок экрана, программное обеспечение, Мультимедийное программное обеспечение&#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текст, снимок экрана, программное обеспечение, Мультимедийное программное обеспечение&#10;&#10;Контент, сгенерированный ИИ, может содержать ошибки."/>
                    <pic:cNvPicPr>
                      <a:picLocks noChangeAspect="1" noChangeArrowheads="1"/>
                    </pic:cNvPicPr>
                  </pic:nvPicPr>
                  <pic:blipFill>
                    <a:blip r:embed="rId2418" cstate="print">
                      <a:extLst>
                        <a:ext uri="{28A0092B-C50C-407E-A947-70E740481C1C}">
                          <a14:useLocalDpi xmlns:a14="http://schemas.microsoft.com/office/drawing/2010/main" val="0"/>
                        </a:ext>
                      </a:extLst>
                    </a:blip>
                    <a:srcRect/>
                    <a:stretch>
                      <a:fillRect/>
                    </a:stretch>
                  </pic:blipFill>
                  <pic:spPr bwMode="auto">
                    <a:xfrm>
                      <a:off x="0" y="0"/>
                      <a:ext cx="1669176" cy="3530252"/>
                    </a:xfrm>
                    <a:prstGeom prst="rect">
                      <a:avLst/>
                    </a:prstGeom>
                    <a:noFill/>
                    <a:ln>
                      <a:noFill/>
                    </a:ln>
                  </pic:spPr>
                </pic:pic>
              </a:graphicData>
            </a:graphic>
          </wp:inline>
        </w:drawing>
      </w:r>
      <w:r w:rsidRPr="00511005">
        <w:rPr>
          <w:rFonts w:ascii="Arial" w:eastAsia="Calibri" w:hAnsi="Arial" w:cs="Arial"/>
          <w:szCs w:val="28"/>
          <w:lang w:val="uk-UA"/>
        </w:rPr>
        <w:br/>
        <w:t xml:space="preserve">Рисунок 1 </w:t>
      </w:r>
      <w:r w:rsidRPr="00511005">
        <w:rPr>
          <w:rFonts w:ascii="Arial" w:eastAsia="Calibri" w:hAnsi="Arial" w:cs="Arial"/>
          <w:szCs w:val="28"/>
          <w:lang w:val="uk-UA"/>
        </w:rPr>
        <w:sym w:font="Symbol" w:char="F02D"/>
      </w:r>
      <w:r w:rsidRPr="00511005">
        <w:rPr>
          <w:rFonts w:ascii="Arial" w:eastAsia="Calibri" w:hAnsi="Arial" w:cs="Arial"/>
          <w:szCs w:val="28"/>
          <w:lang w:val="uk-UA"/>
        </w:rPr>
        <w:t xml:space="preserve"> Сторінка рахунків із круговою діаграмою та темною темою</w:t>
      </w:r>
    </w:p>
    <w:p w14:paraId="4DC62024" w14:textId="77777777" w:rsidR="00532C25" w:rsidRPr="00511005" w:rsidRDefault="00532C25" w:rsidP="003F6A5D">
      <w:pPr>
        <w:numPr>
          <w:ilvl w:val="0"/>
          <w:numId w:val="700"/>
        </w:numPr>
        <w:spacing w:line="264" w:lineRule="auto"/>
        <w:ind w:left="0" w:firstLine="720"/>
        <w:rPr>
          <w:rFonts w:ascii="Arial" w:eastAsia="Calibri" w:hAnsi="Arial" w:cs="Arial"/>
          <w:b/>
          <w:bCs/>
          <w:szCs w:val="28"/>
          <w:lang w:val="uk-UA"/>
        </w:rPr>
      </w:pPr>
      <w:r w:rsidRPr="00511005">
        <w:rPr>
          <w:rFonts w:ascii="Arial" w:eastAsia="Calibri" w:hAnsi="Arial" w:cs="Arial"/>
          <w:szCs w:val="28"/>
          <w:lang w:val="uk-UA"/>
        </w:rPr>
        <w:t>Сторінка редагування рахунку рис. 2): дозволяє користувачам створювати, редагувати або видаляти рахунки, вказуючи назву, баланс, тип і валюту. Прозорі елементи та градієнтні вставки додають естетичності.</w:t>
      </w:r>
    </w:p>
    <w:p w14:paraId="44CBEDE7"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noProof/>
          <w:szCs w:val="28"/>
          <w:lang w:val="uk-UA"/>
        </w:rPr>
        <w:drawing>
          <wp:inline distT="0" distB="0" distL="0" distR="0" wp14:anchorId="26AFE141" wp14:editId="446144B8">
            <wp:extent cx="1422400" cy="3008328"/>
            <wp:effectExtent l="0" t="0" r="6350" b="1905"/>
            <wp:docPr id="694482486" name="Рисунок 694482486" descr="Изображение выглядит как текст, снимок экрана, дизайн&#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482486" name="Рисунок 694482486" descr="Изображение выглядит как текст, снимок экрана, дизайн&#10;&#10;Контент, сгенерированный ИИ, может содержать ошибки."/>
                    <pic:cNvPicPr>
                      <a:picLocks noChangeAspect="1" noChangeArrowheads="1"/>
                    </pic:cNvPicPr>
                  </pic:nvPicPr>
                  <pic:blipFill>
                    <a:blip r:embed="rId2419" cstate="print">
                      <a:extLst>
                        <a:ext uri="{28A0092B-C50C-407E-A947-70E740481C1C}">
                          <a14:useLocalDpi xmlns:a14="http://schemas.microsoft.com/office/drawing/2010/main" val="0"/>
                        </a:ext>
                      </a:extLst>
                    </a:blip>
                    <a:srcRect/>
                    <a:stretch>
                      <a:fillRect/>
                    </a:stretch>
                  </pic:blipFill>
                  <pic:spPr bwMode="auto">
                    <a:xfrm>
                      <a:off x="0" y="0"/>
                      <a:ext cx="1432376" cy="3029426"/>
                    </a:xfrm>
                    <a:prstGeom prst="rect">
                      <a:avLst/>
                    </a:prstGeom>
                    <a:noFill/>
                    <a:ln>
                      <a:noFill/>
                    </a:ln>
                  </pic:spPr>
                </pic:pic>
              </a:graphicData>
            </a:graphic>
          </wp:inline>
        </w:drawing>
      </w:r>
      <w:r w:rsidRPr="00511005">
        <w:rPr>
          <w:rFonts w:ascii="Arial" w:eastAsia="Calibri" w:hAnsi="Arial" w:cs="Arial"/>
          <w:szCs w:val="28"/>
          <w:lang w:val="uk-UA"/>
        </w:rPr>
        <w:br/>
        <w:t xml:space="preserve">Рисунок 2 </w:t>
      </w:r>
      <w:r w:rsidRPr="00511005">
        <w:rPr>
          <w:rFonts w:ascii="Arial" w:eastAsia="Calibri" w:hAnsi="Arial" w:cs="Arial"/>
          <w:szCs w:val="28"/>
          <w:lang w:val="uk-UA"/>
        </w:rPr>
        <w:sym w:font="Symbol" w:char="F02D"/>
      </w:r>
      <w:r w:rsidRPr="00511005">
        <w:rPr>
          <w:rFonts w:ascii="Arial" w:eastAsia="Calibri" w:hAnsi="Arial" w:cs="Arial"/>
          <w:szCs w:val="28"/>
          <w:lang w:val="uk-UA"/>
        </w:rPr>
        <w:t xml:space="preserve"> Вікно редагування рахунку</w:t>
      </w:r>
    </w:p>
    <w:p w14:paraId="5E72952D" w14:textId="77777777" w:rsidR="00532C25" w:rsidRPr="00511005" w:rsidRDefault="00532C25" w:rsidP="003F6A5D">
      <w:pPr>
        <w:numPr>
          <w:ilvl w:val="0"/>
          <w:numId w:val="700"/>
        </w:numPr>
        <w:spacing w:line="264" w:lineRule="auto"/>
        <w:ind w:left="0" w:firstLine="720"/>
        <w:rPr>
          <w:rFonts w:ascii="Arial" w:eastAsia="Calibri" w:hAnsi="Arial" w:cs="Arial"/>
          <w:szCs w:val="28"/>
          <w:lang w:val="uk-UA"/>
        </w:rPr>
      </w:pPr>
      <w:r w:rsidRPr="00511005">
        <w:rPr>
          <w:rFonts w:ascii="Arial" w:eastAsia="Calibri" w:hAnsi="Arial" w:cs="Arial"/>
          <w:szCs w:val="28"/>
          <w:lang w:val="uk-UA"/>
        </w:rPr>
        <w:t>Сторінка категорій (рис. 3): користувачі можуть додавати, редагувати та видаляти власні категорії доходів і витрат, налаштовуючи їх назви, типи та кольори для зручної ідентифікації.</w:t>
      </w:r>
    </w:p>
    <w:p w14:paraId="6CD1CC84"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noProof/>
          <w:szCs w:val="28"/>
          <w:lang w:val="uk-UA"/>
        </w:rPr>
        <w:lastRenderedPageBreak/>
        <w:drawing>
          <wp:inline distT="0" distB="0" distL="0" distR="0" wp14:anchorId="629612F8" wp14:editId="3262A2EA">
            <wp:extent cx="1570261" cy="3321050"/>
            <wp:effectExtent l="0" t="0" r="0" b="0"/>
            <wp:docPr id="17" name="Рисунок 17" descr="Изображение выглядит как текст, снимок экрана, Операционная система, программное обеспечение&#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текст, снимок экрана, Операционная система, программное обеспечение&#10;&#10;Контент, сгенерированный ИИ, может содержать ошибки."/>
                    <pic:cNvPicPr>
                      <a:picLocks noChangeAspect="1" noChangeArrowheads="1"/>
                    </pic:cNvPicPr>
                  </pic:nvPicPr>
                  <pic:blipFill>
                    <a:blip r:embed="rId2420" cstate="print">
                      <a:extLst>
                        <a:ext uri="{28A0092B-C50C-407E-A947-70E740481C1C}">
                          <a14:useLocalDpi xmlns:a14="http://schemas.microsoft.com/office/drawing/2010/main" val="0"/>
                        </a:ext>
                      </a:extLst>
                    </a:blip>
                    <a:srcRect/>
                    <a:stretch>
                      <a:fillRect/>
                    </a:stretch>
                  </pic:blipFill>
                  <pic:spPr bwMode="auto">
                    <a:xfrm>
                      <a:off x="0" y="0"/>
                      <a:ext cx="1584900" cy="3352011"/>
                    </a:xfrm>
                    <a:prstGeom prst="rect">
                      <a:avLst/>
                    </a:prstGeom>
                    <a:noFill/>
                    <a:ln>
                      <a:noFill/>
                    </a:ln>
                  </pic:spPr>
                </pic:pic>
              </a:graphicData>
            </a:graphic>
          </wp:inline>
        </w:drawing>
      </w:r>
      <w:r w:rsidRPr="00511005">
        <w:rPr>
          <w:rFonts w:ascii="Arial" w:eastAsia="Calibri" w:hAnsi="Arial" w:cs="Arial"/>
          <w:szCs w:val="28"/>
          <w:lang w:val="uk-UA"/>
        </w:rPr>
        <w:br/>
        <w:t xml:space="preserve">Рисунок 3 </w:t>
      </w:r>
      <w:r w:rsidRPr="00511005">
        <w:rPr>
          <w:rFonts w:ascii="Arial" w:eastAsia="Calibri" w:hAnsi="Arial" w:cs="Arial"/>
          <w:szCs w:val="28"/>
          <w:lang w:val="uk-UA"/>
        </w:rPr>
        <w:sym w:font="Symbol" w:char="F02D"/>
      </w:r>
      <w:r w:rsidRPr="00511005">
        <w:rPr>
          <w:rFonts w:ascii="Arial" w:eastAsia="Calibri" w:hAnsi="Arial" w:cs="Arial"/>
          <w:szCs w:val="28"/>
          <w:lang w:val="uk-UA"/>
        </w:rPr>
        <w:t xml:space="preserve"> Сторінка створення категорій</w:t>
      </w:r>
    </w:p>
    <w:p w14:paraId="479FD6BE" w14:textId="77777777" w:rsidR="00532C25" w:rsidRPr="00511005" w:rsidRDefault="00532C25" w:rsidP="003F6A5D">
      <w:pPr>
        <w:numPr>
          <w:ilvl w:val="0"/>
          <w:numId w:val="700"/>
        </w:numPr>
        <w:tabs>
          <w:tab w:val="clear" w:pos="720"/>
        </w:tabs>
        <w:spacing w:line="264" w:lineRule="auto"/>
        <w:ind w:left="0" w:firstLine="720"/>
        <w:contextualSpacing/>
        <w:rPr>
          <w:rFonts w:ascii="Arial" w:eastAsia="Calibri" w:hAnsi="Arial" w:cs="Arial"/>
          <w:szCs w:val="28"/>
          <w:lang w:val="uk-UA"/>
        </w:rPr>
      </w:pPr>
      <w:r w:rsidRPr="00511005">
        <w:rPr>
          <w:rFonts w:ascii="Arial" w:eastAsia="Calibri" w:hAnsi="Arial" w:cs="Arial"/>
          <w:szCs w:val="28"/>
          <w:lang w:val="uk-UA"/>
        </w:rPr>
        <w:t>Також окрім цього вже реалізовані сторінки перегляду та редагування транзакцій та переводів, вікно доступне з будь-якого місця застосунку для створення транзакцій та переводів, а також сторінка для перегляду статистики по категоріям за обраний період.</w:t>
      </w:r>
    </w:p>
    <w:p w14:paraId="59FE1B5A"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Застосунок розроблено в Android Studio з використанням Java та SQLite, що забезпечує стабільність і швидкодію [1]. Інтерфейс базується на принципах Material Design із додаванням неоморфних елементів для створення унікального стилю [5]. </w:t>
      </w:r>
    </w:p>
    <w:p w14:paraId="046C2DDB" w14:textId="77777777" w:rsidR="00532C25" w:rsidRPr="00511005" w:rsidRDefault="00532C25" w:rsidP="00532C25">
      <w:pPr>
        <w:spacing w:line="264" w:lineRule="auto"/>
        <w:ind w:firstLine="720"/>
        <w:rPr>
          <w:rFonts w:ascii="Arial" w:eastAsia="Calibri" w:hAnsi="Arial" w:cs="Arial"/>
          <w:szCs w:val="28"/>
          <w:lang w:val="uk-UA"/>
        </w:rPr>
      </w:pPr>
      <w:r w:rsidRPr="00511005">
        <w:rPr>
          <w:rFonts w:ascii="Arial" w:eastAsia="Calibri" w:hAnsi="Arial" w:cs="Arial"/>
          <w:szCs w:val="28"/>
          <w:lang w:val="uk-UA"/>
        </w:rPr>
        <w:t xml:space="preserve">Мобільний застосунок для управління особистими фінансами, розроблений у рамках цього проекту, пропонує зручне та сучасне рішення для відстеження доходів, витрат і планування бюджету. Завдяки неаморфному дизайну, інтуїтивній навігації та гнучким інструментам аналітики він вигідно вирізняється серед конкурентів, таких як Monefy, Wallet і Money Manager. Хоча застосунок має певні обмеження, такі як відсутність хмарної синхронізації чи інтеграції з банками, його потенціал для розвитку, включаючи модуль бюджетування та майбутню монетизацію, робить його перспективним для виходу на ринок. Подальший розвиток із додаванням нових функцій і оптимізацією інтерфейсу дозволить створити конкурентоспроможний продукт, що відповідає потребам сучасних користувачів. </w:t>
      </w:r>
    </w:p>
    <w:p w14:paraId="4527DC16" w14:textId="77777777" w:rsidR="00532C25" w:rsidRPr="00511005" w:rsidRDefault="00532C25" w:rsidP="00532C25">
      <w:pPr>
        <w:spacing w:line="264" w:lineRule="auto"/>
        <w:ind w:firstLine="720"/>
        <w:rPr>
          <w:rFonts w:ascii="Arial" w:eastAsia="Calibri" w:hAnsi="Arial" w:cs="Arial"/>
          <w:szCs w:val="28"/>
          <w:lang w:val="uk-UA"/>
        </w:rPr>
      </w:pPr>
    </w:p>
    <w:p w14:paraId="2533144E"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b/>
          <w:bCs/>
          <w:szCs w:val="28"/>
          <w:lang w:val="uk-UA"/>
        </w:rPr>
        <w:t>Список використаних джерел</w:t>
      </w:r>
    </w:p>
    <w:p w14:paraId="339EC5C9" w14:textId="77777777" w:rsidR="00532C25" w:rsidRPr="00511005" w:rsidRDefault="00532C25" w:rsidP="003F6A5D">
      <w:pPr>
        <w:numPr>
          <w:ilvl w:val="0"/>
          <w:numId w:val="701"/>
        </w:numPr>
        <w:tabs>
          <w:tab w:val="clear" w:pos="720"/>
          <w:tab w:val="left" w:pos="1134"/>
        </w:tabs>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Android Developers. Офіційна документація. URL: </w:t>
      </w:r>
      <w:hyperlink r:id="rId2421" w:history="1">
        <w:r w:rsidRPr="00511005">
          <w:rPr>
            <w:rFonts w:ascii="Arial" w:eastAsia="Calibri" w:hAnsi="Arial" w:cs="Arial"/>
            <w:szCs w:val="28"/>
            <w:lang w:val="uk-UA"/>
          </w:rPr>
          <w:t>https://developer.android.com/docs</w:t>
        </w:r>
      </w:hyperlink>
      <w:r w:rsidRPr="00511005">
        <w:rPr>
          <w:rFonts w:ascii="Arial" w:eastAsia="Calibri" w:hAnsi="Arial" w:cs="Arial"/>
          <w:szCs w:val="28"/>
          <w:lang w:val="uk-UA"/>
        </w:rPr>
        <w:t xml:space="preserve"> (дата звернення: 26.04.2025). </w:t>
      </w:r>
    </w:p>
    <w:p w14:paraId="6D167480" w14:textId="77777777" w:rsidR="00532C25" w:rsidRPr="00511005" w:rsidRDefault="00532C25" w:rsidP="003F6A5D">
      <w:pPr>
        <w:numPr>
          <w:ilvl w:val="0"/>
          <w:numId w:val="701"/>
        </w:numPr>
        <w:tabs>
          <w:tab w:val="clear" w:pos="720"/>
          <w:tab w:val="left" w:pos="1134"/>
        </w:tabs>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Monefy. Офіційний сайт. URL: </w:t>
      </w:r>
      <w:hyperlink r:id="rId2422" w:history="1">
        <w:r w:rsidRPr="00511005">
          <w:rPr>
            <w:rFonts w:ascii="Arial" w:eastAsia="Calibri" w:hAnsi="Arial" w:cs="Arial"/>
            <w:szCs w:val="28"/>
            <w:lang w:val="uk-UA"/>
          </w:rPr>
          <w:t>https://monefy.me/</w:t>
        </w:r>
      </w:hyperlink>
      <w:r w:rsidRPr="00511005">
        <w:rPr>
          <w:rFonts w:ascii="Arial" w:eastAsia="Calibri" w:hAnsi="Arial" w:cs="Arial"/>
          <w:szCs w:val="28"/>
          <w:lang w:val="uk-UA"/>
        </w:rPr>
        <w:t xml:space="preserve"> (дата звернення: 26.04.2025). </w:t>
      </w:r>
    </w:p>
    <w:p w14:paraId="11805374" w14:textId="77777777" w:rsidR="00532C25" w:rsidRPr="00511005" w:rsidRDefault="00532C25" w:rsidP="003F6A5D">
      <w:pPr>
        <w:numPr>
          <w:ilvl w:val="0"/>
          <w:numId w:val="701"/>
        </w:numPr>
        <w:tabs>
          <w:tab w:val="clear" w:pos="720"/>
          <w:tab w:val="left" w:pos="1134"/>
        </w:tabs>
        <w:spacing w:line="264" w:lineRule="auto"/>
        <w:ind w:left="0" w:firstLine="709"/>
        <w:rPr>
          <w:rFonts w:ascii="Arial" w:eastAsia="Calibri" w:hAnsi="Arial" w:cs="Arial"/>
          <w:szCs w:val="28"/>
          <w:lang w:val="uk-UA"/>
        </w:rPr>
      </w:pPr>
      <w:r w:rsidRPr="00511005">
        <w:rPr>
          <w:rFonts w:ascii="Arial" w:eastAsia="Calibri" w:hAnsi="Arial" w:cs="Arial"/>
          <w:szCs w:val="28"/>
          <w:lang w:val="uk-UA"/>
        </w:rPr>
        <w:lastRenderedPageBreak/>
        <w:t xml:space="preserve">Wallet. Офіційний сайт. URL: </w:t>
      </w:r>
      <w:hyperlink r:id="rId2423" w:history="1">
        <w:r w:rsidRPr="00511005">
          <w:rPr>
            <w:rFonts w:ascii="Arial" w:eastAsia="Calibri" w:hAnsi="Arial" w:cs="Arial"/>
            <w:szCs w:val="28"/>
            <w:lang w:val="uk-UA"/>
          </w:rPr>
          <w:t>https://budgetbakers.com/</w:t>
        </w:r>
      </w:hyperlink>
      <w:r w:rsidRPr="00511005">
        <w:rPr>
          <w:rFonts w:ascii="Arial" w:eastAsia="Calibri" w:hAnsi="Arial" w:cs="Arial"/>
          <w:szCs w:val="28"/>
          <w:lang w:val="uk-UA"/>
        </w:rPr>
        <w:t xml:space="preserve"> (дата звернення: 26.04.2025). </w:t>
      </w:r>
    </w:p>
    <w:p w14:paraId="030E53D9" w14:textId="77777777" w:rsidR="00532C25" w:rsidRPr="00511005" w:rsidRDefault="00532C25" w:rsidP="003F6A5D">
      <w:pPr>
        <w:numPr>
          <w:ilvl w:val="0"/>
          <w:numId w:val="701"/>
        </w:numPr>
        <w:tabs>
          <w:tab w:val="clear" w:pos="720"/>
          <w:tab w:val="left" w:pos="1134"/>
        </w:tabs>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Money Manager. Офіційний сайт. URL: </w:t>
      </w:r>
      <w:hyperlink r:id="rId2424" w:history="1">
        <w:r w:rsidRPr="00511005">
          <w:rPr>
            <w:rFonts w:ascii="Arial" w:eastAsia="Calibri" w:hAnsi="Arial" w:cs="Arial"/>
            <w:szCs w:val="28"/>
            <w:lang w:val="uk-UA"/>
          </w:rPr>
          <w:t>https://www.realbyteapps.com/</w:t>
        </w:r>
      </w:hyperlink>
      <w:r w:rsidRPr="00511005">
        <w:rPr>
          <w:rFonts w:ascii="Arial" w:eastAsia="Calibri" w:hAnsi="Arial" w:cs="Arial"/>
          <w:szCs w:val="28"/>
          <w:lang w:val="uk-UA"/>
        </w:rPr>
        <w:t xml:space="preserve"> (дата звернення: 26.04.2025). </w:t>
      </w:r>
    </w:p>
    <w:p w14:paraId="57B362FA" w14:textId="77777777" w:rsidR="00532C25" w:rsidRPr="00511005" w:rsidRDefault="00532C25" w:rsidP="003F6A5D">
      <w:pPr>
        <w:numPr>
          <w:ilvl w:val="0"/>
          <w:numId w:val="701"/>
        </w:numPr>
        <w:tabs>
          <w:tab w:val="clear" w:pos="720"/>
          <w:tab w:val="left" w:pos="1134"/>
        </w:tabs>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Material Design. Принципи дизайну. URL: </w:t>
      </w:r>
      <w:hyperlink r:id="rId2425" w:history="1">
        <w:r w:rsidRPr="00511005">
          <w:rPr>
            <w:rFonts w:ascii="Arial" w:eastAsia="Calibri" w:hAnsi="Arial" w:cs="Arial"/>
            <w:szCs w:val="28"/>
            <w:lang w:val="uk-UA"/>
          </w:rPr>
          <w:t>https://material.io/design</w:t>
        </w:r>
      </w:hyperlink>
      <w:r w:rsidRPr="00511005">
        <w:rPr>
          <w:rFonts w:ascii="Arial" w:eastAsia="Calibri" w:hAnsi="Arial" w:cs="Arial"/>
          <w:szCs w:val="28"/>
          <w:lang w:val="uk-UA"/>
        </w:rPr>
        <w:t xml:space="preserve"> (дата звернення: 26.04.2025). </w:t>
      </w:r>
    </w:p>
    <w:p w14:paraId="17E9050A" w14:textId="77777777" w:rsidR="00532C25" w:rsidRPr="00511005" w:rsidRDefault="00532C25" w:rsidP="003F6A5D">
      <w:pPr>
        <w:numPr>
          <w:ilvl w:val="0"/>
          <w:numId w:val="701"/>
        </w:numPr>
        <w:tabs>
          <w:tab w:val="clear" w:pos="720"/>
          <w:tab w:val="left" w:pos="1134"/>
        </w:tabs>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SQLite. Офіційна документація. URL: </w:t>
      </w:r>
      <w:hyperlink r:id="rId2426" w:history="1">
        <w:r w:rsidRPr="00511005">
          <w:rPr>
            <w:rFonts w:ascii="Arial" w:eastAsia="Calibri" w:hAnsi="Arial" w:cs="Arial"/>
            <w:szCs w:val="28"/>
            <w:lang w:val="uk-UA"/>
          </w:rPr>
          <w:t>https://www.sqlite.org/docs.html</w:t>
        </w:r>
      </w:hyperlink>
      <w:r w:rsidRPr="00511005">
        <w:rPr>
          <w:rFonts w:ascii="Arial" w:eastAsia="Calibri" w:hAnsi="Arial" w:cs="Arial"/>
          <w:szCs w:val="28"/>
          <w:lang w:val="uk-UA"/>
        </w:rPr>
        <w:t xml:space="preserve"> (дата звернення: 26.04.2025). </w:t>
      </w:r>
    </w:p>
    <w:p w14:paraId="6173108C" w14:textId="77777777" w:rsidR="00532C25" w:rsidRPr="00511005" w:rsidRDefault="00532C25" w:rsidP="003F6A5D">
      <w:pPr>
        <w:numPr>
          <w:ilvl w:val="0"/>
          <w:numId w:val="701"/>
        </w:numPr>
        <w:tabs>
          <w:tab w:val="clear" w:pos="720"/>
          <w:tab w:val="left" w:pos="1134"/>
        </w:tabs>
        <w:spacing w:line="264" w:lineRule="auto"/>
        <w:ind w:left="0" w:firstLine="709"/>
        <w:rPr>
          <w:rFonts w:ascii="Arial" w:eastAsia="Calibri" w:hAnsi="Arial" w:cs="Arial"/>
          <w:szCs w:val="28"/>
          <w:lang w:val="uk-UA"/>
        </w:rPr>
      </w:pPr>
      <w:r w:rsidRPr="00511005">
        <w:rPr>
          <w:rFonts w:ascii="Arial" w:eastAsia="Calibri" w:hAnsi="Arial" w:cs="Arial"/>
          <w:szCs w:val="28"/>
          <w:lang w:val="uk-UA"/>
        </w:rPr>
        <w:t xml:space="preserve">Statista. Mobile app market statistics. URL: </w:t>
      </w:r>
      <w:hyperlink r:id="rId2427" w:history="1">
        <w:r w:rsidRPr="00511005">
          <w:rPr>
            <w:rFonts w:ascii="Arial" w:eastAsia="Calibri" w:hAnsi="Arial" w:cs="Arial"/>
            <w:szCs w:val="28"/>
            <w:lang w:val="uk-UA"/>
          </w:rPr>
          <w:t>https://www.statista.com/topics/1002/mobile-app-usage/</w:t>
        </w:r>
      </w:hyperlink>
      <w:r w:rsidRPr="00511005">
        <w:rPr>
          <w:rFonts w:ascii="Arial" w:eastAsia="Calibri" w:hAnsi="Arial" w:cs="Arial"/>
          <w:szCs w:val="28"/>
          <w:lang w:val="uk-UA"/>
        </w:rPr>
        <w:t xml:space="preserve"> (дата звернення: 26.04.2025).</w:t>
      </w:r>
    </w:p>
    <w:p w14:paraId="164EA261" w14:textId="77777777" w:rsidR="00532C25" w:rsidRPr="00511005" w:rsidRDefault="00532C25" w:rsidP="00532C25">
      <w:pPr>
        <w:spacing w:line="264" w:lineRule="auto"/>
        <w:ind w:firstLine="851"/>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Pr="00511005">
        <w:rPr>
          <w:rFonts w:ascii="Arial" w:eastAsia="Calibri" w:hAnsi="Arial" w:cs="Arial"/>
          <w:szCs w:val="28"/>
          <w:lang w:val="uk-UA"/>
        </w:rPr>
        <w:t>Мобільний застосунок, управління фінансами, Android, неоморфний дизайн</w:t>
      </w:r>
    </w:p>
    <w:p w14:paraId="61B81CB5" w14:textId="77777777" w:rsidR="00532C25" w:rsidRPr="00511005" w:rsidRDefault="00532C25" w:rsidP="00532C25">
      <w:pPr>
        <w:spacing w:line="264" w:lineRule="auto"/>
        <w:ind w:firstLine="851"/>
        <w:rPr>
          <w:rFonts w:ascii="Arial" w:eastAsia="Calibri" w:hAnsi="Arial" w:cs="Arial"/>
          <w:szCs w:val="28"/>
          <w:lang w:val="uk-UA"/>
        </w:rPr>
      </w:pPr>
      <w:r w:rsidRPr="00511005">
        <w:rPr>
          <w:rFonts w:ascii="Arial" w:eastAsia="Calibri" w:hAnsi="Arial" w:cs="Arial"/>
          <w:b/>
          <w:bCs/>
          <w:i/>
          <w:szCs w:val="28"/>
          <w:lang w:val="uk-UA"/>
        </w:rPr>
        <w:t xml:space="preserve">Key words: </w:t>
      </w:r>
      <w:r w:rsidRPr="00511005">
        <w:rPr>
          <w:rFonts w:ascii="Arial" w:eastAsia="Calibri" w:hAnsi="Arial" w:cs="Arial"/>
          <w:szCs w:val="28"/>
          <w:lang w:val="uk-UA"/>
        </w:rPr>
        <w:t>Mobile application, financial management, Android, neomorphic design</w:t>
      </w:r>
    </w:p>
    <w:p w14:paraId="6F3231CE" w14:textId="77777777" w:rsidR="00532C25" w:rsidRPr="00511005" w:rsidRDefault="00532C25" w:rsidP="00532C25">
      <w:pPr>
        <w:spacing w:line="264" w:lineRule="auto"/>
        <w:ind w:firstLine="708"/>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Pr="00511005">
        <w:rPr>
          <w:rFonts w:ascii="Arial" w:eastAsia="Calibri" w:hAnsi="Arial" w:cs="Arial"/>
          <w:i/>
          <w:iCs/>
          <w:szCs w:val="28"/>
          <w:lang w:val="uk-UA"/>
        </w:rPr>
        <w:t>к.т.н. доцент Гура В.I.</w:t>
      </w:r>
    </w:p>
    <w:p w14:paraId="73AD94CF" w14:textId="77777777" w:rsidR="00532C25" w:rsidRPr="00511005" w:rsidRDefault="00532C25" w:rsidP="00532C25">
      <w:pPr>
        <w:spacing w:line="264" w:lineRule="auto"/>
        <w:ind w:firstLine="708"/>
        <w:rPr>
          <w:rFonts w:ascii="Arial" w:eastAsia="Calibri" w:hAnsi="Arial" w:cs="Arial"/>
          <w:i/>
          <w:iCs/>
          <w:szCs w:val="28"/>
          <w:lang w:val="uk-UA"/>
        </w:rPr>
      </w:pPr>
    </w:p>
    <w:p w14:paraId="6532B578" w14:textId="77777777" w:rsidR="00532C25" w:rsidRPr="00511005" w:rsidRDefault="00532C25" w:rsidP="00532C25">
      <w:pPr>
        <w:spacing w:line="264" w:lineRule="auto"/>
        <w:ind w:firstLine="708"/>
        <w:rPr>
          <w:rFonts w:ascii="Arial" w:eastAsia="Calibri" w:hAnsi="Arial" w:cs="Arial"/>
          <w:szCs w:val="28"/>
          <w:lang w:val="uk-UA"/>
        </w:rPr>
      </w:pPr>
    </w:p>
    <w:p w14:paraId="6568A890" w14:textId="77777777" w:rsidR="00532C25" w:rsidRPr="00511005" w:rsidRDefault="00532C25" w:rsidP="00532C25">
      <w:pPr>
        <w:keepNext/>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Гурін Євген Павлович</w:t>
      </w:r>
    </w:p>
    <w:p w14:paraId="7B1792B2"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 2-го курсу факультету кібербезпеки та інформаційних технологій</w:t>
      </w:r>
      <w:r w:rsidRPr="00511005">
        <w:rPr>
          <w:rFonts w:ascii="Arial" w:eastAsia="Calibri" w:hAnsi="Arial" w:cs="Arial"/>
          <w:szCs w:val="28"/>
          <w:lang w:val="uk-UA"/>
        </w:rPr>
        <w:br/>
        <w:t>Національного університету «Одеська юридична академія»</w:t>
      </w:r>
    </w:p>
    <w:p w14:paraId="5263B691" w14:textId="77777777" w:rsidR="00532C25" w:rsidRPr="00511005" w:rsidRDefault="00532C25" w:rsidP="00532C25">
      <w:pPr>
        <w:spacing w:line="264" w:lineRule="auto"/>
        <w:ind w:firstLine="0"/>
        <w:jc w:val="center"/>
        <w:rPr>
          <w:rFonts w:ascii="Arial" w:eastAsia="Calibri" w:hAnsi="Arial" w:cs="Arial"/>
          <w:szCs w:val="28"/>
          <w:lang w:val="uk-UA"/>
        </w:rPr>
      </w:pPr>
    </w:p>
    <w:p w14:paraId="565FB4E9" w14:textId="77777777" w:rsidR="00532C25" w:rsidRPr="00511005" w:rsidRDefault="00532C25" w:rsidP="00532C25">
      <w:pPr>
        <w:keepNext/>
        <w:widowControl w:val="0"/>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ВИКОРИСТАННЯ БЕЗПЕЧНИХ ЗАЛЕЖНОСТЕЙ</w:t>
      </w:r>
      <w:r w:rsidRPr="00511005">
        <w:rPr>
          <w:rFonts w:ascii="Arial" w:eastAsia="Calibri" w:hAnsi="Arial" w:cs="Arial"/>
          <w:b/>
          <w:bCs/>
          <w:szCs w:val="28"/>
          <w:lang w:val="uk-UA"/>
        </w:rPr>
        <w:br/>
        <w:t>У ЗАСТОСУНКАХ JAVASCRIPT</w:t>
      </w:r>
    </w:p>
    <w:p w14:paraId="30AC3F7D" w14:textId="77777777" w:rsidR="00532C25" w:rsidRPr="00511005" w:rsidRDefault="00532C25" w:rsidP="00532C25">
      <w:pPr>
        <w:keepNext/>
        <w:widowControl w:val="0"/>
        <w:spacing w:line="264" w:lineRule="auto"/>
        <w:ind w:firstLine="567"/>
        <w:rPr>
          <w:rFonts w:ascii="Arial" w:eastAsia="Calibri" w:hAnsi="Arial" w:cs="Arial"/>
          <w:szCs w:val="28"/>
          <w:lang w:val="uk-UA"/>
        </w:rPr>
      </w:pPr>
      <w:r w:rsidRPr="00511005">
        <w:rPr>
          <w:rFonts w:ascii="Arial" w:eastAsia="Calibri" w:hAnsi="Arial" w:cs="Arial"/>
          <w:b/>
          <w:bCs/>
          <w:szCs w:val="28"/>
          <w:lang w:val="uk-UA"/>
        </w:rPr>
        <w:tab/>
      </w:r>
      <w:r w:rsidRPr="00511005">
        <w:rPr>
          <w:rFonts w:ascii="Arial" w:eastAsia="Calibri" w:hAnsi="Arial" w:cs="Arial"/>
          <w:szCs w:val="28"/>
          <w:lang w:val="uk-UA"/>
        </w:rPr>
        <w:t>У сучасній веброзробці будь-який проєкт, розроблений мовою JavaScript, будь це front-end чи back-end, формується зі сторонніх пакетів (модулів), підключених за допомогою спеціальних програм – менеджерів залежностей (приклади програм: npm, yarn, pnpm тощо). Такий механізм імпорту додаткових програмних модулей називається software supply chain (ланцюг постачання програмного забезпечення). Причому зі збільшенням кількості імпортованих сторонніх файлів збільшується й складність підтримки ланцюга постачання. Зазначена проблема є особливо актуальною для проєктів середнього та великого розміру, які є особливо вразливими до сторонніх атак. Залежності застосунку, безпека яких не забезпечена на достатньому рівні, є платформою експлуатації критичних атак на програмне забезпечення, включаючи віддалене видалення коду проєкту (RCE); зміна логіки авторизації, що призводить до витоку даних користувачів; крадіжку токенів, паролів тощо.</w:t>
      </w:r>
    </w:p>
    <w:p w14:paraId="5B0C6704" w14:textId="77777777" w:rsidR="00532C25" w:rsidRPr="00511005" w:rsidRDefault="00532C25" w:rsidP="00532C25">
      <w:pPr>
        <w:keepNext/>
        <w:widowControl w:val="0"/>
        <w:spacing w:line="264" w:lineRule="auto"/>
        <w:rPr>
          <w:rFonts w:ascii="Arial" w:eastAsia="Calibri" w:hAnsi="Arial" w:cs="Arial"/>
          <w:szCs w:val="28"/>
          <w:lang w:val="uk-UA"/>
        </w:rPr>
      </w:pPr>
      <w:r w:rsidRPr="00511005">
        <w:rPr>
          <w:rFonts w:ascii="Arial" w:eastAsia="Calibri" w:hAnsi="Arial" w:cs="Arial"/>
          <w:szCs w:val="28"/>
          <w:lang w:val="uk-UA"/>
        </w:rPr>
        <w:t xml:space="preserve">Серед найбільш популярних методів атак, що використовують вразливість залежностей, є supply chain-атаки - впровадження шкідливого коду у відкритий пакет, бібліотеку, або репозиторій, які імпортуються, або вже використовуються у проєктах. Небезпечність такої атаки полягає у </w:t>
      </w:r>
      <w:r w:rsidRPr="00511005">
        <w:rPr>
          <w:rFonts w:ascii="Arial" w:eastAsia="Calibri" w:hAnsi="Arial" w:cs="Arial"/>
          <w:szCs w:val="28"/>
          <w:lang w:val="uk-UA"/>
        </w:rPr>
        <w:lastRenderedPageBreak/>
        <w:t>складності розпізнавання помилки на етапі розробки застосунку. У більшості випадків метою впровадження шкідливого коду є доступ до кінцевих версій застосунку. Жертвами таких ін’єкцій найчастіше є open-source проєкти, де у такий спосіб компрометується весь проєкт. Серед бібліотек, що були зламані у такий спосіб, є faker.js та colors.js [</w:t>
      </w:r>
      <w:r w:rsidRPr="00511005">
        <w:rPr>
          <w:rFonts w:ascii="Arial" w:eastAsia="Calibri" w:hAnsi="Arial" w:cs="Arial"/>
          <w:szCs w:val="28"/>
          <w:lang w:val="uk-UA"/>
        </w:rPr>
        <w:fldChar w:fldCharType="begin"/>
      </w:r>
      <w:r w:rsidRPr="00511005">
        <w:rPr>
          <w:rFonts w:ascii="Arial" w:eastAsia="Calibri" w:hAnsi="Arial" w:cs="Arial"/>
          <w:szCs w:val="28"/>
          <w:lang w:val="uk-UA"/>
        </w:rPr>
        <w:instrText xml:space="preserve"> REF _Ref197610189 \r \h  \* MERGEFORMAT </w:instrText>
      </w:r>
      <w:r w:rsidRPr="00511005">
        <w:rPr>
          <w:rFonts w:ascii="Arial" w:eastAsia="Calibri" w:hAnsi="Arial" w:cs="Arial"/>
          <w:szCs w:val="28"/>
          <w:lang w:val="uk-UA"/>
        </w:rPr>
      </w:r>
      <w:r w:rsidRPr="00511005">
        <w:rPr>
          <w:rFonts w:ascii="Arial" w:eastAsia="Calibri" w:hAnsi="Arial" w:cs="Arial"/>
          <w:szCs w:val="28"/>
          <w:lang w:val="uk-UA"/>
        </w:rPr>
        <w:fldChar w:fldCharType="separate"/>
      </w:r>
      <w:r>
        <w:rPr>
          <w:rFonts w:ascii="Arial" w:eastAsia="Calibri" w:hAnsi="Arial" w:cs="Arial"/>
          <w:szCs w:val="28"/>
          <w:lang w:val="uk-UA"/>
        </w:rPr>
        <w:t>1</w:t>
      </w:r>
      <w:r w:rsidRPr="00511005">
        <w:rPr>
          <w:rFonts w:ascii="Arial" w:eastAsia="Calibri" w:hAnsi="Arial" w:cs="Arial"/>
          <w:szCs w:val="28"/>
          <w:lang w:val="uk-UA"/>
        </w:rPr>
        <w:fldChar w:fldCharType="end"/>
      </w:r>
      <w:r w:rsidRPr="00511005">
        <w:rPr>
          <w:rFonts w:ascii="Arial" w:eastAsia="Calibri" w:hAnsi="Arial" w:cs="Arial"/>
          <w:szCs w:val="28"/>
          <w:lang w:val="uk-UA"/>
        </w:rPr>
        <w:t xml:space="preserve">]. Схожим на цей метод атаки також є Malicious code injection – ін’єкція шкідливого коду точково в потрібний модуль, для доступу до апаратного забезпечення з метою крадіжки даних, криптомайнингу, бекдорингу тощо. Прикладом є атака на модуль ua-parser-js (https://www.npmjs.com/package/ua-parser-js), що був скомпрометований, та запускав криптомайнинговий скрипт при завантаженні. Основна відмінність цих двох атак полягає у різних кінцевих цілях – supply chain-атаки націлені на злам кінцевого проєкту, malicious code injection - на доступ до апаратного забезпечення комп’ютера, що використовує шкідливий модуль. </w:t>
      </w:r>
    </w:p>
    <w:p w14:paraId="05D8DEAC" w14:textId="77777777" w:rsidR="00532C25" w:rsidRPr="00511005" w:rsidRDefault="00532C25" w:rsidP="00532C25">
      <w:pPr>
        <w:keepNext/>
        <w:widowControl w:val="0"/>
        <w:spacing w:line="264" w:lineRule="auto"/>
        <w:rPr>
          <w:rFonts w:ascii="Arial" w:eastAsia="Calibri" w:hAnsi="Arial" w:cs="Arial"/>
          <w:szCs w:val="28"/>
          <w:lang w:val="uk-UA"/>
        </w:rPr>
      </w:pPr>
      <w:r w:rsidRPr="00511005">
        <w:rPr>
          <w:rFonts w:ascii="Arial" w:eastAsia="Calibri" w:hAnsi="Arial" w:cs="Arial"/>
          <w:szCs w:val="28"/>
          <w:lang w:val="uk-UA"/>
        </w:rPr>
        <w:t>Розглядаючи іншу популярну атаку – типо-сквотинг (Typosquatting), стикаємось з інакшим підходом до атаки – недбалість розробника. Метод зламу ґрунтується на створенні шкідливого пакету з назвою, що схожа на назву іншого популярного пакету (expresss замість express, loadash замість lodash тощо). У зоні ризику цих атак є розробники-новачки, що не знають назв потрібних бібліотек, та автоматизовані скрипти завантаження модулів, що використовують недбало написаний алгоритм пошуку (наприклад – відповідність назви модулю перевіряється за першими чотирма символами назви, замість повної перевірки). Як наслідок, у розробника або користувача (у залежності від виду скрипту) під час npm install миттєво завантажується модуль (через скрипт postinstall), що запускає потрібний шкідливий код. Недбалість розробника можна використати навіть не завантажуючи свій код, натомість – використати недолік іншого коду. Така атака використовує vulnerable dependencies – вразливості у легітимних пакетах , що надає можливість виконувати XSS-, DoS-атаки, SSRF (підробка запитів сервера) тощо. Найбільш вразливими є проєкти, використовуючі застарілі модулі, що не підтримуються тривалий проміжок часу.</w:t>
      </w:r>
    </w:p>
    <w:p w14:paraId="6BE31445" w14:textId="77777777" w:rsidR="00532C25" w:rsidRPr="00511005" w:rsidRDefault="00532C25" w:rsidP="00532C25">
      <w:pPr>
        <w:keepNext/>
        <w:widowControl w:val="0"/>
        <w:spacing w:line="264" w:lineRule="auto"/>
        <w:rPr>
          <w:rFonts w:ascii="Arial" w:eastAsia="Calibri" w:hAnsi="Arial" w:cs="Arial"/>
          <w:szCs w:val="28"/>
          <w:lang w:val="uk-UA"/>
        </w:rPr>
      </w:pPr>
      <w:r w:rsidRPr="00511005">
        <w:rPr>
          <w:rFonts w:ascii="Arial" w:eastAsia="Calibri" w:hAnsi="Arial" w:cs="Arial"/>
          <w:szCs w:val="28"/>
          <w:lang w:val="uk-UA"/>
        </w:rPr>
        <w:t xml:space="preserve">Всі методи зламу спираються на npm (або інший менеджер пакетів), що автоматично завантажує велику кількість залежностей, що і призводить до непередбачуваних наслідків. Вирішенням цієї проблеми є аудит імпортованих залежностей, для чого вже є розроблені рішення. Серед них – npm audit, вбудований інструмент, що перевіряє валідність залежностей на наявність відомих CVE (Common Vulnerabilities and Exposures, також відома як база даних загальновідомих вразливостей інформаційної безпеки). Крім вбудованих інструментів npm є й інші сервіси: Snyk, Dependabot, GitHub Security Alerts – сервіси для автоматичної перевірки та оновлення залежностей; OWASP Dependency Check – сервіс для CI/CD систем для сканування залежностей на рівні всього проєкту. Практика аудиту має стати регулярною для кожного проєкта, незалежно від його розміру та мети </w:t>
      </w:r>
      <w:r w:rsidRPr="00511005">
        <w:rPr>
          <w:rFonts w:ascii="Arial" w:eastAsia="Calibri" w:hAnsi="Arial" w:cs="Arial"/>
          <w:szCs w:val="28"/>
          <w:lang w:val="uk-UA"/>
        </w:rPr>
        <w:lastRenderedPageBreak/>
        <w:t>використання, проте багато розробників нехтують безпекою застосунку, що потім викликає відповідні наслідки.</w:t>
      </w:r>
    </w:p>
    <w:p w14:paraId="018D8638" w14:textId="77777777" w:rsidR="00532C25" w:rsidRPr="00511005" w:rsidRDefault="00532C25" w:rsidP="00532C25">
      <w:pPr>
        <w:keepNext/>
        <w:widowControl w:val="0"/>
        <w:spacing w:line="264" w:lineRule="auto"/>
        <w:rPr>
          <w:rFonts w:ascii="Arial" w:eastAsia="Calibri" w:hAnsi="Arial" w:cs="Arial"/>
          <w:szCs w:val="28"/>
          <w:lang w:val="uk-UA"/>
        </w:rPr>
      </w:pPr>
      <w:r w:rsidRPr="00511005">
        <w:rPr>
          <w:rFonts w:ascii="Arial" w:eastAsia="Calibri" w:hAnsi="Arial" w:cs="Arial"/>
          <w:szCs w:val="28"/>
          <w:lang w:val="uk-UA"/>
        </w:rPr>
        <w:t xml:space="preserve">Значна кількість залежностей не імпортуються безпосередньо, а додаються як залежності інших пакетів (транзитивні залежності). Така ієрархія є складнішою в управлінні, та може містити приховані загрози, про які було написано вище. Для оптимізації управління рекомендовані практики використання спеціальних інструментів для перевірки дерева залежностей (npm ls, npm dedupe), встановлення lock-файлів (package-lock.json, yarn.lock) для фіксації безпечної версії та впровадження політик white-list/black-list для дозволених бібліотек. До попередніх рішень з кібербезпеки слід додати політику мінімальної довіри до залежностей, що включає в себе використання тільки необхідних бібліотек, ізоляція коду залежностей та обмеження доступу стороннього коду до критичних ресурсів прокєту. </w:t>
      </w:r>
    </w:p>
    <w:p w14:paraId="2D62BC3B" w14:textId="77777777" w:rsidR="00532C25" w:rsidRPr="00511005" w:rsidRDefault="00532C25" w:rsidP="00532C25">
      <w:pPr>
        <w:keepNext/>
        <w:widowControl w:val="0"/>
        <w:spacing w:line="264" w:lineRule="auto"/>
        <w:rPr>
          <w:rFonts w:ascii="Arial" w:eastAsia="Calibri" w:hAnsi="Arial" w:cs="Arial"/>
          <w:szCs w:val="28"/>
          <w:lang w:val="uk-UA"/>
        </w:rPr>
      </w:pPr>
      <w:r w:rsidRPr="00511005">
        <w:rPr>
          <w:rFonts w:ascii="Arial" w:eastAsia="Calibri" w:hAnsi="Arial" w:cs="Arial"/>
          <w:szCs w:val="28"/>
          <w:lang w:val="uk-UA"/>
        </w:rPr>
        <w:t xml:space="preserve">Крім спеціальних практик, у будь-якому застосунку мають бути впроваджені архітектурні та проєктні рішення з безпеки. Правильно спроєктована система мінімізує ризики проникнення шкідливого коду, обмежує потенційні наслідки атак, оптимізує масштабування застосунку з урахуванням безпеки. Кібербезпека застосунку має бути саме складовою архітектурного проєктування (security-by-deisgn), а не додатковим етапом. </w:t>
      </w:r>
    </w:p>
    <w:p w14:paraId="3FDBEB84" w14:textId="77777777" w:rsidR="00532C25" w:rsidRPr="00511005" w:rsidRDefault="00532C25" w:rsidP="00532C25">
      <w:pPr>
        <w:keepNext/>
        <w:widowControl w:val="0"/>
        <w:spacing w:line="264" w:lineRule="auto"/>
        <w:rPr>
          <w:rFonts w:ascii="Arial" w:eastAsia="Calibri" w:hAnsi="Arial" w:cs="Arial"/>
          <w:szCs w:val="28"/>
          <w:lang w:val="uk-UA"/>
        </w:rPr>
      </w:pPr>
      <w:r w:rsidRPr="00511005">
        <w:rPr>
          <w:rFonts w:ascii="Arial" w:eastAsia="Calibri" w:hAnsi="Arial" w:cs="Arial"/>
          <w:szCs w:val="28"/>
          <w:lang w:val="uk-UA"/>
        </w:rPr>
        <w:t>Архітектурна безпека значною мірою базується на коректній та безпечній реалізації алгоритмів авторизації, аутентифікації та взаємодії між клієнтською та серверною стороною. Застосування перевірених стандартів, таких як OAuth 2.0, OpenID Connect або JWT, забезпечує надійне управління доступом, тоді як реалізація role-based UI rendering на клієнті дозволяє уникнути несанкціонованого виконання дій. Розмежування функціональності між фронтендом та бекендом забезпечує ізоляцію критичних операцій – всі обчислення, що стосуються безпеки застосунку, мають відбуватись на стороні серверу [</w:t>
      </w:r>
      <w:r w:rsidRPr="00511005">
        <w:rPr>
          <w:rFonts w:ascii="Arial" w:eastAsia="Calibri" w:hAnsi="Arial" w:cs="Arial"/>
          <w:szCs w:val="28"/>
          <w:lang w:val="uk-UA"/>
        </w:rPr>
        <w:fldChar w:fldCharType="begin"/>
      </w:r>
      <w:r w:rsidRPr="00511005">
        <w:rPr>
          <w:rFonts w:ascii="Arial" w:eastAsia="Calibri" w:hAnsi="Arial" w:cs="Arial"/>
          <w:szCs w:val="28"/>
          <w:lang w:val="uk-UA"/>
        </w:rPr>
        <w:instrText xml:space="preserve"> REF _Ref197610280 \r \h  \* MERGEFORMAT </w:instrText>
      </w:r>
      <w:r w:rsidRPr="00511005">
        <w:rPr>
          <w:rFonts w:ascii="Arial" w:eastAsia="Calibri" w:hAnsi="Arial" w:cs="Arial"/>
          <w:szCs w:val="28"/>
          <w:lang w:val="uk-UA"/>
        </w:rPr>
      </w:r>
      <w:r w:rsidRPr="00511005">
        <w:rPr>
          <w:rFonts w:ascii="Arial" w:eastAsia="Calibri" w:hAnsi="Arial" w:cs="Arial"/>
          <w:szCs w:val="28"/>
          <w:lang w:val="uk-UA"/>
        </w:rPr>
        <w:fldChar w:fldCharType="separate"/>
      </w:r>
      <w:r>
        <w:rPr>
          <w:rFonts w:ascii="Arial" w:eastAsia="Calibri" w:hAnsi="Arial" w:cs="Arial"/>
          <w:szCs w:val="28"/>
          <w:lang w:val="uk-UA"/>
        </w:rPr>
        <w:t>2</w:t>
      </w:r>
      <w:r w:rsidRPr="00511005">
        <w:rPr>
          <w:rFonts w:ascii="Arial" w:eastAsia="Calibri" w:hAnsi="Arial" w:cs="Arial"/>
          <w:szCs w:val="28"/>
          <w:lang w:val="uk-UA"/>
        </w:rPr>
        <w:fldChar w:fldCharType="end"/>
      </w:r>
      <w:r w:rsidRPr="00511005">
        <w:rPr>
          <w:rFonts w:ascii="Arial" w:eastAsia="Calibri" w:hAnsi="Arial" w:cs="Arial"/>
          <w:szCs w:val="28"/>
          <w:lang w:val="uk-UA"/>
        </w:rPr>
        <w:t xml:space="preserve">]. Доповненням цієї архітектури політиками Content Security Policy (CSP) дозволяє суттєво обмежити джерела виконуваного коду, запобігаючи можливості виконання XSS-атак та впровадженню сторонніх скриптів. Такий підхід формує цілісну систему оборони застосунку, де права доступу, захист межі клієнт-сервер і контроль джерел є взаємодоповнюючими, можна сказати симбіотичними, елементами кіберзахисту. Окрім проєктування та розробки, не менш важливим є етап розгортання проєкту. В цілях мінімізації вразливостей, слід використовувати шаблон розгортання з підвищеним рівнем безпеки. Застосування стандартизованих, перевірених шаблонів дозволяє уникнути більшості людських помилок, що трапляються під час налаштування середовища та забезпечує повторюваність безпечних конфігурацій. </w:t>
      </w:r>
    </w:p>
    <w:p w14:paraId="72E70240" w14:textId="77777777" w:rsidR="00532C25" w:rsidRPr="00511005" w:rsidRDefault="00532C25" w:rsidP="00532C25">
      <w:pPr>
        <w:keepNext/>
        <w:widowControl w:val="0"/>
        <w:spacing w:line="264" w:lineRule="auto"/>
        <w:rPr>
          <w:rFonts w:ascii="Arial" w:eastAsia="Calibri" w:hAnsi="Arial" w:cs="Arial"/>
          <w:szCs w:val="28"/>
          <w:lang w:val="uk-UA"/>
        </w:rPr>
      </w:pPr>
      <w:r w:rsidRPr="00511005">
        <w:rPr>
          <w:rFonts w:ascii="Arial" w:eastAsia="Calibri" w:hAnsi="Arial" w:cs="Arial"/>
          <w:szCs w:val="28"/>
          <w:lang w:val="uk-UA"/>
        </w:rPr>
        <w:t xml:space="preserve">Перед випуском проєкту, уся система кіберзахисту має буди протестована, це є фундаментальною складовою у забезпеченні цілісності та надійності таких інформаційних систем. Одним із провідних напрямів є </w:t>
      </w:r>
      <w:r w:rsidRPr="00511005">
        <w:rPr>
          <w:rFonts w:ascii="Arial" w:eastAsia="Calibri" w:hAnsi="Arial" w:cs="Arial"/>
          <w:szCs w:val="28"/>
          <w:lang w:val="uk-UA"/>
        </w:rPr>
        <w:lastRenderedPageBreak/>
        <w:t>статичний аналіз коду (SAST), що дає змогу ідентифікувати вразливості ще на етапі розробки, без потреби в його виконанні. Доповненням до SAST виступає динамічне тестування безпеки (DAST), яке забезпечує перевірку поведінки застосунку у реальному середовищі виконання. Особливої уваги потребують вразливості типу XSS (Cross-Site Scripting), CSRF (Cross-Site Request Forgery), SQL-інʼєкції, а також витоки конфіденційної інформації. У сучасних практиках дедалі ширше впроваджуються автоматизовані інструменти безпеки (наприклад, Snyk, SonarQube, OWASP ZAP), що інтегруються у CI/CD-пайплайни з метою безперервного моніторингу коду. Додаткові методи, зокрема fuzz-тестування та імітаційні атаки (penetration testing), підвищують глибину виявлення неочевидних вразливостей і підсилюють загальний рівень кібербезпеки програмного забезпечення [</w:t>
      </w:r>
      <w:r w:rsidRPr="00511005">
        <w:rPr>
          <w:rFonts w:ascii="Arial" w:eastAsia="Calibri" w:hAnsi="Arial" w:cs="Arial"/>
          <w:szCs w:val="28"/>
          <w:lang w:val="uk-UA"/>
        </w:rPr>
        <w:fldChar w:fldCharType="begin"/>
      </w:r>
      <w:r w:rsidRPr="00511005">
        <w:rPr>
          <w:rFonts w:ascii="Arial" w:eastAsia="Calibri" w:hAnsi="Arial" w:cs="Arial"/>
          <w:szCs w:val="28"/>
          <w:lang w:val="uk-UA"/>
        </w:rPr>
        <w:instrText xml:space="preserve"> REF _Ref197610417 \r \h  \* MERGEFORMAT </w:instrText>
      </w:r>
      <w:r w:rsidRPr="00511005">
        <w:rPr>
          <w:rFonts w:ascii="Arial" w:eastAsia="Calibri" w:hAnsi="Arial" w:cs="Arial"/>
          <w:szCs w:val="28"/>
          <w:lang w:val="uk-UA"/>
        </w:rPr>
      </w:r>
      <w:r w:rsidRPr="00511005">
        <w:rPr>
          <w:rFonts w:ascii="Arial" w:eastAsia="Calibri" w:hAnsi="Arial" w:cs="Arial"/>
          <w:szCs w:val="28"/>
          <w:lang w:val="uk-UA"/>
        </w:rPr>
        <w:fldChar w:fldCharType="separate"/>
      </w:r>
      <w:r>
        <w:rPr>
          <w:rFonts w:ascii="Arial" w:eastAsia="Calibri" w:hAnsi="Arial" w:cs="Arial"/>
          <w:szCs w:val="28"/>
          <w:lang w:val="uk-UA"/>
        </w:rPr>
        <w:t>3</w:t>
      </w:r>
      <w:r w:rsidRPr="00511005">
        <w:rPr>
          <w:rFonts w:ascii="Arial" w:eastAsia="Calibri" w:hAnsi="Arial" w:cs="Arial"/>
          <w:szCs w:val="28"/>
          <w:lang w:val="uk-UA"/>
        </w:rPr>
        <w:fldChar w:fldCharType="end"/>
      </w:r>
      <w:r w:rsidRPr="00511005">
        <w:rPr>
          <w:rFonts w:ascii="Arial" w:eastAsia="Calibri" w:hAnsi="Arial" w:cs="Arial"/>
          <w:szCs w:val="28"/>
          <w:lang w:val="uk-UA"/>
        </w:rPr>
        <w:t>].</w:t>
      </w:r>
    </w:p>
    <w:p w14:paraId="234E4AF0" w14:textId="77777777" w:rsidR="00532C25" w:rsidRPr="00511005" w:rsidRDefault="00532C25" w:rsidP="00532C25">
      <w:pPr>
        <w:keepNext/>
        <w:widowControl w:val="0"/>
        <w:spacing w:line="264" w:lineRule="auto"/>
        <w:rPr>
          <w:rFonts w:ascii="Arial" w:eastAsia="Calibri" w:hAnsi="Arial" w:cs="Arial"/>
          <w:szCs w:val="28"/>
          <w:lang w:val="uk-UA"/>
        </w:rPr>
      </w:pPr>
      <w:r w:rsidRPr="00511005">
        <w:rPr>
          <w:rFonts w:ascii="Arial" w:eastAsia="Calibri" w:hAnsi="Arial" w:cs="Arial"/>
          <w:szCs w:val="28"/>
          <w:lang w:val="uk-UA"/>
        </w:rPr>
        <w:t>Комплексна система захисту неможлива без наявності протоколів інцидентного реагування та механізмів журналювання. Застосування методів обробки інцидентів у JavaScript-застосунках передбачає розгортання розподілених систем логування, здатних фіксувати критичні події, порушення політик безпеки, аномальні шаблони взаємодії користувачів. Логи повинні бути криптографічно захищеними та централізовано агрегованими для забезпечення достовірності і подальшого аналізу. У випадку виявлення інциденту система має реалізовувати автоматизовані механізми виявлення та локалізації загроз, такі як ізоляція підозрілих компонентів, оповіщення операторів або примусове завершення сесій. Ефективне реагування передбачає не лише технічну реалізацію, але й організаційно-управлінські процедури: наявність формалізованих планів реагування (IRP), сценаріїв відновлення після атак та процедур інформування зацікавлених сторін.</w:t>
      </w:r>
    </w:p>
    <w:p w14:paraId="0D9D8C11" w14:textId="77777777" w:rsidR="00532C25" w:rsidRPr="00511005" w:rsidRDefault="00532C25" w:rsidP="00532C25">
      <w:pPr>
        <w:keepNext/>
        <w:widowControl w:val="0"/>
        <w:spacing w:line="264" w:lineRule="auto"/>
        <w:rPr>
          <w:rFonts w:ascii="Arial" w:eastAsia="Calibri" w:hAnsi="Arial" w:cs="Arial"/>
          <w:szCs w:val="28"/>
          <w:lang w:val="uk-UA"/>
        </w:rPr>
      </w:pPr>
      <w:r w:rsidRPr="00511005">
        <w:rPr>
          <w:rFonts w:ascii="Arial" w:eastAsia="Calibri" w:hAnsi="Arial" w:cs="Arial"/>
          <w:szCs w:val="28"/>
          <w:lang w:val="uk-UA"/>
        </w:rPr>
        <w:t xml:space="preserve">Безпека програмного забезпечення, зокрема в екосистемі JavaScript, великою мірою залежить від професійної свідомості й компетентності розробників. Тому важливо впроваджувати систематичне підвищення кваліфікації персоналу у сфері безпечного програмування, що включає вивчення OWASP-рекомендацій, моделей загроз, методів захисту API, а також особливостей обробки автентифікаційних даних. </w:t>
      </w:r>
    </w:p>
    <w:p w14:paraId="70132876" w14:textId="77777777" w:rsidR="00532C25" w:rsidRPr="00511005" w:rsidRDefault="00532C25" w:rsidP="00532C25">
      <w:pPr>
        <w:keepNext/>
        <w:widowControl w:val="0"/>
        <w:spacing w:line="264" w:lineRule="auto"/>
        <w:rPr>
          <w:rFonts w:ascii="Arial" w:eastAsia="Calibri" w:hAnsi="Arial" w:cs="Arial"/>
          <w:szCs w:val="28"/>
          <w:lang w:val="uk-UA"/>
        </w:rPr>
      </w:pPr>
      <w:r w:rsidRPr="00511005">
        <w:rPr>
          <w:rFonts w:ascii="Arial" w:eastAsia="Calibri" w:hAnsi="Arial" w:cs="Arial"/>
          <w:szCs w:val="28"/>
          <w:lang w:val="uk-UA"/>
        </w:rPr>
        <w:t xml:space="preserve">Таким чином, в умовах стрімкого розвитку ІТ індустрії, зокрема JavaScript-екосистеми, питання кібербезпеки програмного забезпечення стає ключовим аспектом життєвого циклу проєкту. Масове використання сторонніх залежностей значно розширює потенціал кібератак. Для ефективної протидії цим загрозам розробникам слід впроваджувати комплексні заходи, що включають аудит залежностей, дотримання принципів архітектурної безпеки, використання перевірених стандартів авторизації та аутентифікації, а також реалізацію засобів моніторингу та реагування на інциденти. Лише інтегрований і проактивний підхід дозволяє гарантувати стійкість JavaScript-застосунків до сучасних кіберзагроз та </w:t>
      </w:r>
      <w:r w:rsidRPr="00511005">
        <w:rPr>
          <w:rFonts w:ascii="Arial" w:eastAsia="Calibri" w:hAnsi="Arial" w:cs="Arial"/>
          <w:szCs w:val="28"/>
          <w:lang w:val="uk-UA"/>
        </w:rPr>
        <w:lastRenderedPageBreak/>
        <w:t>забезпечити довіру до цифрових сервісів у довгостроковій перспективі.</w:t>
      </w:r>
    </w:p>
    <w:p w14:paraId="2A04313A" w14:textId="77777777" w:rsidR="00532C25" w:rsidRPr="00511005" w:rsidRDefault="00532C25" w:rsidP="00532C25">
      <w:pPr>
        <w:keepNext/>
        <w:widowControl w:val="0"/>
        <w:spacing w:line="264" w:lineRule="auto"/>
        <w:rPr>
          <w:rFonts w:ascii="Arial" w:eastAsia="Calibri" w:hAnsi="Arial" w:cs="Arial"/>
          <w:szCs w:val="28"/>
          <w:lang w:val="uk-UA"/>
        </w:rPr>
      </w:pPr>
    </w:p>
    <w:p w14:paraId="7DE1495F" w14:textId="77777777" w:rsidR="00532C25" w:rsidRPr="00511005" w:rsidRDefault="00532C25" w:rsidP="00532C25">
      <w:pPr>
        <w:keepNext/>
        <w:widowControl w:val="0"/>
        <w:spacing w:line="264" w:lineRule="auto"/>
        <w:ind w:firstLine="0"/>
        <w:jc w:val="center"/>
        <w:rPr>
          <w:rFonts w:ascii="Arial" w:eastAsia="Calibri" w:hAnsi="Arial" w:cs="Arial"/>
          <w:b/>
          <w:iCs/>
          <w:szCs w:val="28"/>
          <w:lang w:val="uk-UA"/>
        </w:rPr>
      </w:pPr>
      <w:r w:rsidRPr="00511005">
        <w:rPr>
          <w:rFonts w:ascii="Arial" w:eastAsia="Calibri" w:hAnsi="Arial" w:cs="Arial"/>
          <w:b/>
          <w:iCs/>
          <w:szCs w:val="28"/>
          <w:lang w:val="uk-UA"/>
        </w:rPr>
        <w:t>Список використаних джерел</w:t>
      </w:r>
    </w:p>
    <w:p w14:paraId="46C8B068" w14:textId="77777777" w:rsidR="00532C25" w:rsidRPr="00511005" w:rsidRDefault="00532C25" w:rsidP="003F6A5D">
      <w:pPr>
        <w:keepNext/>
        <w:widowControl w:val="0"/>
        <w:numPr>
          <w:ilvl w:val="0"/>
          <w:numId w:val="705"/>
        </w:numPr>
        <w:tabs>
          <w:tab w:val="left" w:pos="993"/>
        </w:tabs>
        <w:spacing w:line="264" w:lineRule="auto"/>
        <w:ind w:left="0" w:firstLine="709"/>
        <w:contextualSpacing/>
        <w:rPr>
          <w:rFonts w:ascii="Arial" w:eastAsia="Calibri" w:hAnsi="Arial" w:cs="Arial"/>
          <w:bCs/>
          <w:szCs w:val="28"/>
          <w:lang w:val="uk-UA"/>
        </w:rPr>
      </w:pPr>
      <w:bookmarkStart w:id="288" w:name="_Ref197610189"/>
      <w:r w:rsidRPr="00511005">
        <w:rPr>
          <w:rFonts w:ascii="Arial" w:eastAsia="Calibri" w:hAnsi="Arial" w:cs="Arial"/>
          <w:bCs/>
          <w:szCs w:val="28"/>
          <w:lang w:val="uk-UA"/>
        </w:rPr>
        <w:t xml:space="preserve">What really happened to faker.js? URL: </w:t>
      </w:r>
      <w:hyperlink r:id="rId2428" w:history="1">
        <w:r w:rsidRPr="00511005">
          <w:rPr>
            <w:rFonts w:ascii="Arial" w:eastAsia="Calibri" w:hAnsi="Arial" w:cs="Arial"/>
            <w:bCs/>
            <w:szCs w:val="28"/>
            <w:lang w:val="uk-UA"/>
          </w:rPr>
          <w:t>https://shay-ag13200.medium.com/what-really-happened-to-faker-js-cd3b464beb7</w:t>
        </w:r>
      </w:hyperlink>
      <w:bookmarkEnd w:id="288"/>
    </w:p>
    <w:p w14:paraId="1C245907" w14:textId="77777777" w:rsidR="00532C25" w:rsidRPr="00511005" w:rsidRDefault="00532C25" w:rsidP="003F6A5D">
      <w:pPr>
        <w:keepNext/>
        <w:widowControl w:val="0"/>
        <w:numPr>
          <w:ilvl w:val="0"/>
          <w:numId w:val="705"/>
        </w:numPr>
        <w:tabs>
          <w:tab w:val="left" w:pos="993"/>
        </w:tabs>
        <w:spacing w:line="264" w:lineRule="auto"/>
        <w:ind w:left="0" w:firstLine="709"/>
        <w:contextualSpacing/>
        <w:rPr>
          <w:rFonts w:ascii="Arial" w:eastAsia="Calibri" w:hAnsi="Arial" w:cs="Arial"/>
          <w:bCs/>
          <w:szCs w:val="28"/>
          <w:lang w:val="uk-UA"/>
        </w:rPr>
      </w:pPr>
      <w:bookmarkStart w:id="289" w:name="_Ref197610280"/>
      <w:r w:rsidRPr="00511005">
        <w:rPr>
          <w:rFonts w:ascii="Arial" w:eastAsia="Calibri" w:hAnsi="Arial" w:cs="Arial"/>
          <w:bCs/>
          <w:szCs w:val="28"/>
          <w:lang w:val="uk-UA"/>
        </w:rPr>
        <w:t xml:space="preserve">Best JavaScript cybersecurity practices. URL: </w:t>
      </w:r>
      <w:hyperlink r:id="rId2429" w:history="1">
        <w:r w:rsidRPr="00511005">
          <w:rPr>
            <w:rFonts w:ascii="Arial" w:eastAsia="Calibri" w:hAnsi="Arial" w:cs="Arial"/>
            <w:bCs/>
            <w:szCs w:val="28"/>
            <w:lang w:val="uk-UA"/>
          </w:rPr>
          <w:t>https://www.aptori.com/blog/javascript-security-a-secure-coding-checklist-for-developers</w:t>
        </w:r>
      </w:hyperlink>
      <w:bookmarkEnd w:id="289"/>
    </w:p>
    <w:p w14:paraId="397833D1" w14:textId="77777777" w:rsidR="00532C25" w:rsidRPr="00511005" w:rsidRDefault="00532C25" w:rsidP="003F6A5D">
      <w:pPr>
        <w:keepNext/>
        <w:widowControl w:val="0"/>
        <w:numPr>
          <w:ilvl w:val="0"/>
          <w:numId w:val="705"/>
        </w:numPr>
        <w:tabs>
          <w:tab w:val="left" w:pos="993"/>
        </w:tabs>
        <w:spacing w:line="264" w:lineRule="auto"/>
        <w:ind w:left="0" w:firstLine="709"/>
        <w:contextualSpacing/>
        <w:rPr>
          <w:rFonts w:ascii="Arial" w:eastAsia="Calibri" w:hAnsi="Arial" w:cs="Arial"/>
          <w:bCs/>
          <w:szCs w:val="28"/>
          <w:lang w:val="uk-UA"/>
        </w:rPr>
      </w:pPr>
      <w:bookmarkStart w:id="290" w:name="_Ref197610417"/>
      <w:r w:rsidRPr="00511005">
        <w:rPr>
          <w:rFonts w:ascii="Arial" w:eastAsia="Calibri" w:hAnsi="Arial" w:cs="Arial"/>
          <w:bCs/>
          <w:szCs w:val="28"/>
          <w:lang w:val="uk-UA"/>
        </w:rPr>
        <w:t xml:space="preserve">Secure coding best practices. URL: </w:t>
      </w:r>
      <w:hyperlink r:id="rId2430" w:history="1">
        <w:r w:rsidRPr="00511005">
          <w:rPr>
            <w:rFonts w:ascii="Arial" w:eastAsia="Calibri" w:hAnsi="Arial" w:cs="Arial"/>
            <w:bCs/>
            <w:szCs w:val="28"/>
            <w:lang w:val="uk-UA"/>
          </w:rPr>
          <w:t>https://blog.codacy.com/owasp-top-10</w:t>
        </w:r>
      </w:hyperlink>
      <w:bookmarkEnd w:id="290"/>
    </w:p>
    <w:p w14:paraId="53689D56" w14:textId="77777777" w:rsidR="00532C25" w:rsidRPr="00511005" w:rsidRDefault="00532C25" w:rsidP="00532C25">
      <w:pPr>
        <w:keepNext/>
        <w:widowControl w:val="0"/>
        <w:spacing w:line="264" w:lineRule="auto"/>
        <w:rPr>
          <w:rFonts w:ascii="Arial" w:eastAsia="Calibri" w:hAnsi="Arial" w:cs="Arial"/>
          <w:bCs/>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bCs/>
          <w:szCs w:val="28"/>
          <w:lang w:val="uk-UA"/>
        </w:rPr>
        <w:t>кібербезпека, кібератаки, JavaScript, програмні модулі, DevOpsSec.</w:t>
      </w:r>
    </w:p>
    <w:p w14:paraId="6F68BFDC" w14:textId="77777777" w:rsidR="00532C25" w:rsidRPr="00511005" w:rsidRDefault="00532C25" w:rsidP="00532C25">
      <w:pPr>
        <w:keepNext/>
        <w:widowControl w:val="0"/>
        <w:spacing w:line="264" w:lineRule="auto"/>
        <w:rPr>
          <w:rFonts w:ascii="Arial" w:eastAsia="Calibri" w:hAnsi="Arial" w:cs="Arial"/>
          <w:bCs/>
          <w:szCs w:val="28"/>
          <w:lang w:val="uk-UA"/>
        </w:rPr>
      </w:pPr>
      <w:r w:rsidRPr="00511005">
        <w:rPr>
          <w:rFonts w:ascii="Arial" w:eastAsia="Calibri" w:hAnsi="Arial" w:cs="Arial"/>
          <w:b/>
          <w:i/>
          <w:szCs w:val="28"/>
          <w:lang w:val="uk-UA"/>
        </w:rPr>
        <w:t xml:space="preserve">Key words: </w:t>
      </w:r>
      <w:r w:rsidRPr="00511005">
        <w:rPr>
          <w:rFonts w:ascii="Arial" w:eastAsia="Calibri" w:hAnsi="Arial" w:cs="Arial"/>
          <w:bCs/>
          <w:szCs w:val="28"/>
          <w:lang w:val="uk-UA"/>
        </w:rPr>
        <w:t>cybersecurity, cyberattacks, JavaScript, program modules, DevOpsSec.</w:t>
      </w:r>
    </w:p>
    <w:p w14:paraId="20955009" w14:textId="77777777" w:rsidR="00532C25" w:rsidRPr="00511005" w:rsidRDefault="00532C25" w:rsidP="00532C25">
      <w:pPr>
        <w:keepNext/>
        <w:widowControl w:val="0"/>
        <w:spacing w:line="264" w:lineRule="auto"/>
        <w:ind w:firstLine="708"/>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i/>
          <w:iCs/>
          <w:szCs w:val="28"/>
          <w:lang w:val="uk-UA"/>
        </w:rPr>
        <w:t xml:space="preserve">PhD Грезіна О.М. </w:t>
      </w:r>
    </w:p>
    <w:p w14:paraId="1B2C3F84" w14:textId="77777777" w:rsidR="00532C25" w:rsidRPr="00511005" w:rsidRDefault="00532C25" w:rsidP="00532C25">
      <w:pPr>
        <w:keepNext/>
        <w:widowControl w:val="0"/>
        <w:spacing w:line="264" w:lineRule="auto"/>
        <w:rPr>
          <w:rFonts w:ascii="Arial" w:eastAsia="Calibri" w:hAnsi="Arial" w:cs="Arial"/>
          <w:bCs/>
          <w:i/>
          <w:iCs/>
          <w:szCs w:val="28"/>
          <w:lang w:val="uk-UA"/>
        </w:rPr>
      </w:pPr>
    </w:p>
    <w:p w14:paraId="0B8D610E" w14:textId="77777777" w:rsidR="00532C25" w:rsidRPr="00511005" w:rsidRDefault="00532C25" w:rsidP="00532C25">
      <w:pPr>
        <w:keepNext/>
        <w:widowControl w:val="0"/>
        <w:spacing w:line="264" w:lineRule="auto"/>
        <w:rPr>
          <w:rFonts w:ascii="Arial" w:eastAsia="Calibri" w:hAnsi="Arial" w:cs="Arial"/>
          <w:bCs/>
          <w:i/>
          <w:iCs/>
          <w:szCs w:val="28"/>
          <w:lang w:val="uk-UA"/>
        </w:rPr>
      </w:pPr>
    </w:p>
    <w:p w14:paraId="49D10F1B" w14:textId="77777777" w:rsidR="00532C25" w:rsidRPr="00511005" w:rsidRDefault="00532C25" w:rsidP="00532C25">
      <w:pPr>
        <w:spacing w:line="264" w:lineRule="auto"/>
        <w:ind w:firstLine="0"/>
        <w:contextualSpacing/>
        <w:jc w:val="center"/>
        <w:rPr>
          <w:rFonts w:ascii="Arial" w:eastAsia="Times New Roman" w:hAnsi="Arial" w:cs="Arial"/>
          <w:b/>
          <w:bCs/>
          <w:i/>
          <w:iCs/>
          <w:szCs w:val="28"/>
          <w:lang w:val="uk-UA"/>
        </w:rPr>
      </w:pPr>
    </w:p>
    <w:p w14:paraId="743D6169" w14:textId="77777777" w:rsidR="00532C25" w:rsidRPr="00511005" w:rsidRDefault="00532C25" w:rsidP="00532C25">
      <w:pPr>
        <w:spacing w:line="264" w:lineRule="auto"/>
        <w:ind w:firstLine="0"/>
        <w:contextualSpacing/>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Корнійчук Микола Миколайович</w:t>
      </w:r>
    </w:p>
    <w:p w14:paraId="71CEFAD8" w14:textId="77777777" w:rsidR="00532C25" w:rsidRPr="00511005" w:rsidRDefault="00532C25" w:rsidP="00532C25">
      <w:pPr>
        <w:spacing w:line="264" w:lineRule="auto"/>
        <w:ind w:firstLine="0"/>
        <w:contextualSpacing/>
        <w:jc w:val="center"/>
        <w:rPr>
          <w:rFonts w:ascii="Arial" w:eastAsia="Times New Roman" w:hAnsi="Arial" w:cs="Arial"/>
          <w:szCs w:val="28"/>
          <w:lang w:val="uk-UA"/>
        </w:rPr>
      </w:pPr>
      <w:r w:rsidRPr="00511005">
        <w:rPr>
          <w:rFonts w:ascii="Arial" w:eastAsia="Times New Roman" w:hAnsi="Arial" w:cs="Arial"/>
          <w:szCs w:val="28"/>
          <w:lang w:val="uk-UA"/>
        </w:rPr>
        <w:t>студент 4-го курсу факультету кібербезпеки та інформаційних технологій</w:t>
      </w:r>
    </w:p>
    <w:p w14:paraId="2C7A1A7E" w14:textId="77777777" w:rsidR="00532C25" w:rsidRPr="00511005" w:rsidRDefault="00532C25" w:rsidP="00532C25">
      <w:pPr>
        <w:spacing w:line="264" w:lineRule="auto"/>
        <w:ind w:firstLine="0"/>
        <w:contextualSpacing/>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63572E83" w14:textId="77777777" w:rsidR="00532C25" w:rsidRPr="00511005" w:rsidRDefault="00532C25" w:rsidP="00532C25">
      <w:pPr>
        <w:spacing w:line="264" w:lineRule="auto"/>
        <w:ind w:firstLine="0"/>
        <w:contextualSpacing/>
        <w:jc w:val="center"/>
        <w:rPr>
          <w:rFonts w:ascii="Arial" w:eastAsia="Times New Roman" w:hAnsi="Arial" w:cs="Arial"/>
          <w:szCs w:val="28"/>
          <w:lang w:val="uk-UA"/>
        </w:rPr>
      </w:pPr>
    </w:p>
    <w:p w14:paraId="22A03028" w14:textId="77777777" w:rsidR="00532C25" w:rsidRPr="00511005" w:rsidRDefault="00532C25" w:rsidP="00532C25">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ПІДХОДИ ДО РЕАЛІЗАЦІЇ МОДАЛЬНИХ ВІКОН У ВЕБЗАСТОСУНКАХ СТВОРЕНИХ ЗА ДОПОМОГОЮ REACT ТА NEXT JS</w:t>
      </w:r>
    </w:p>
    <w:p w14:paraId="76643CD4" w14:textId="77777777" w:rsidR="00532C25" w:rsidRPr="00511005" w:rsidRDefault="00532C25" w:rsidP="00532C25">
      <w:pPr>
        <w:spacing w:line="264" w:lineRule="auto"/>
        <w:rPr>
          <w:rFonts w:ascii="Arial" w:eastAsia="Times New Roman" w:hAnsi="Arial" w:cs="Arial"/>
          <w:szCs w:val="28"/>
          <w:lang w:val="uk-UA"/>
        </w:rPr>
      </w:pPr>
      <w:r w:rsidRPr="00511005">
        <w:rPr>
          <w:rFonts w:ascii="Arial" w:eastAsia="Times New Roman" w:hAnsi="Arial" w:cs="Arial"/>
          <w:szCs w:val="28"/>
          <w:lang w:val="uk-UA"/>
        </w:rPr>
        <w:t>Модальне вікно є важливим елементом більшості вебзастосунків, призначення якого полягає у фокусуванні уваги користувача на певному об’єкті та виконанні певної дії. Зазвичай модальне вікно перешкоджає взаємодії користувача з іншими елементами інтерфейсу, допоки він не виконає запропоновану дію або вікно не буде закрито.</w:t>
      </w:r>
    </w:p>
    <w:p w14:paraId="7E7E8A19" w14:textId="77777777" w:rsidR="00532C25" w:rsidRPr="00511005" w:rsidRDefault="00532C25" w:rsidP="00532C25">
      <w:pPr>
        <w:spacing w:line="264" w:lineRule="auto"/>
        <w:contextualSpacing/>
        <w:rPr>
          <w:rFonts w:ascii="Arial" w:eastAsia="Times New Roman" w:hAnsi="Arial" w:cs="Arial"/>
          <w:szCs w:val="28"/>
          <w:lang w:val="uk-UA"/>
        </w:rPr>
      </w:pPr>
      <w:r w:rsidRPr="00511005">
        <w:rPr>
          <w:rFonts w:ascii="Arial" w:eastAsia="Times New Roman" w:hAnsi="Arial" w:cs="Arial"/>
          <w:szCs w:val="28"/>
          <w:lang w:val="uk-UA"/>
        </w:rPr>
        <w:t>Нативний підхід до реалізації модальних вікон з’явився у HTML5 через елемент dialog. Безперечною його перевагою є висока доступність (accessibility), що забезпечується особливостями усталеної поведінки [1]. Нативність має певні недоліки, специфічні для застосунків, побудованих із застосуванням концепції Virtual DOM, яку зокрема використовує і React, оскільки доведеться застосувати додаткові інструменти для «інтеграції» dialog у загальний потік процесів відстеження змін та оновлення Virtual DOM та справжнього DOM. У React це досягається застосуванням useRef, що дозволяє маніпулювати об’єктами справжнього DOM через створення посилання на них [2]. Проте лишається питання відстеження поточного стану вікна (відкрите або закрите) та його зміни, яке має вирішуватися специфічними інструментами React.</w:t>
      </w:r>
    </w:p>
    <w:p w14:paraId="5784CF4D" w14:textId="77777777" w:rsidR="00532C25" w:rsidRPr="00511005" w:rsidRDefault="00532C25" w:rsidP="00532C25">
      <w:pPr>
        <w:spacing w:line="264" w:lineRule="auto"/>
        <w:contextualSpacing/>
        <w:rPr>
          <w:rFonts w:ascii="Arial" w:eastAsia="Times New Roman" w:hAnsi="Arial" w:cs="Arial"/>
          <w:szCs w:val="28"/>
          <w:lang w:val="uk-UA"/>
        </w:rPr>
      </w:pPr>
      <w:r w:rsidRPr="00511005">
        <w:rPr>
          <w:rFonts w:ascii="Arial" w:eastAsia="Times New Roman" w:hAnsi="Arial" w:cs="Arial"/>
          <w:szCs w:val="28"/>
          <w:lang w:val="uk-UA"/>
        </w:rPr>
        <w:lastRenderedPageBreak/>
        <w:t>Бібліотека React пропонує два основні підходи до створення модальних вікон. Один – за допомогою useState контролює та змінює стан вікна, позиціювання у DOM відповідного звичайного компонента при цьому є стандартним, а візуальне позиціювання (ефект накладення поверх) досягається виключно засобами CSS-стилів. Другий – через використання спеціального API Portals, що дозволяє здійснювати рендер компонента модального вікна в явно вказаному вузлі DOM-дерева на будь-якому рівні: часто на рівні тегу body або шляхом створення спеціального div-контейнера з id modal [3]. Питання керування станом при цьому виіршується аналогічно до попереднього підходу, однак поширення подій створених у порталі відбувається по Virtual DOM-дереву, а не реальному, що ускладнює його використання. Ще однією подібною варіацією є використання для керування станом параметрів запиту (URL search params). У разі, якщо переспрямування на новий URL відбувається у клієнтському коді за допомогою інструментів React, матимемо модальне вікно, що за швидкістю відкриття/закриття лише незначно поступається варіантам з useState та createPortal, оскільки потребує взаємодії з URL API для «повідомлення» React про відповідні зміни стану. У разі, якщо переспрямування відбувається на сервері, можлива значна затримка у відображенні зміни стану вікна.</w:t>
      </w:r>
    </w:p>
    <w:p w14:paraId="1D119E4F" w14:textId="77777777" w:rsidR="00532C25" w:rsidRPr="00511005" w:rsidRDefault="00532C25" w:rsidP="00532C25">
      <w:pPr>
        <w:spacing w:line="264" w:lineRule="auto"/>
        <w:contextualSpacing/>
        <w:rPr>
          <w:rFonts w:ascii="Arial" w:eastAsia="Times New Roman" w:hAnsi="Arial" w:cs="Arial"/>
          <w:szCs w:val="28"/>
          <w:lang w:val="uk-UA"/>
        </w:rPr>
      </w:pPr>
      <w:r w:rsidRPr="00511005">
        <w:rPr>
          <w:rFonts w:ascii="Arial" w:eastAsia="Times New Roman" w:hAnsi="Arial" w:cs="Arial"/>
          <w:szCs w:val="28"/>
          <w:lang w:val="uk-UA"/>
        </w:rPr>
        <w:t>NextJS із повноцінним впровадженням у 14 версії нового роутера App Router пропонує власний специфічний підхід до реалізації модальних вікон. Для цього мають використовуватися так звані паралельні та перехоплені маршрути (parallel and intercepted routes) [4]. Призначення parallel routes полягає у композиції сторінки з окремих блоків, які існують паралельно і рендеринг яких може бути оптимізовано. Intercepted routes дозволяють за допомогою внутрішніх механізмів маршрутизації відображати контент спеціального компонента, накладаючи його на контент основної сторінки, на якій відбулося перехоплення. При цьому видимий URL замінюється на URL спеціального компонента. Швидкість роботи такого підходу залежить від того, чи необхідне для рендерингу такого спеціального компонента завантаження додаткових даних, адже звертання до сервера у таких випадках може впливати на швидкодію, що однак можна подолати використанням механізмів кешування. Керування станом вікна при цьому є автоматичним і неявним у тому сенсі, що стан встановлюється не за допомогою стандартних інструментів React на кшталт useState, а шляхом навігації з використанням спеціального компонента Link, який теж може відігравати роль в оптимізації через застосування prefetching.</w:t>
      </w:r>
    </w:p>
    <w:p w14:paraId="47F2EE4D" w14:textId="77777777" w:rsidR="00532C25" w:rsidRPr="00511005" w:rsidRDefault="00532C25" w:rsidP="00532C25">
      <w:pPr>
        <w:spacing w:line="264" w:lineRule="auto"/>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4DACE341" w14:textId="77777777" w:rsidR="00532C25" w:rsidRPr="00511005" w:rsidRDefault="00532C25" w:rsidP="003F6A5D">
      <w:pPr>
        <w:numPr>
          <w:ilvl w:val="0"/>
          <w:numId w:val="813"/>
        </w:numPr>
        <w:tabs>
          <w:tab w:val="left" w:pos="993"/>
        </w:tabs>
        <w:spacing w:line="264" w:lineRule="auto"/>
        <w:ind w:left="153" w:hanging="437"/>
        <w:contextualSpacing/>
        <w:rPr>
          <w:rFonts w:ascii="Arial" w:eastAsia="Times New Roman" w:hAnsi="Arial" w:cs="Arial"/>
          <w:szCs w:val="28"/>
          <w:lang w:val="uk-UA"/>
        </w:rPr>
      </w:pPr>
      <w:r w:rsidRPr="00511005">
        <w:rPr>
          <w:rFonts w:ascii="Arial" w:eastAsia="Times New Roman" w:hAnsi="Arial" w:cs="Arial"/>
          <w:szCs w:val="28"/>
          <w:lang w:val="uk-UA"/>
        </w:rPr>
        <w:t xml:space="preserve">The Dialog Element. Mdn web docs. URL: </w:t>
      </w:r>
      <w:hyperlink r:id="rId2431" w:history="1">
        <w:r w:rsidRPr="00511005">
          <w:rPr>
            <w:rFonts w:ascii="Arial" w:eastAsia="Times New Roman" w:hAnsi="Arial" w:cs="Arial"/>
            <w:szCs w:val="28"/>
            <w:lang w:val="uk-UA"/>
          </w:rPr>
          <w:t>https://developer.mozilla.org/en-US/docs/Web/HTML/Element/dialog</w:t>
        </w:r>
      </w:hyperlink>
      <w:r w:rsidRPr="00511005">
        <w:rPr>
          <w:rFonts w:ascii="Arial" w:eastAsia="Times New Roman" w:hAnsi="Arial" w:cs="Arial"/>
          <w:szCs w:val="28"/>
          <w:lang w:val="uk-UA"/>
        </w:rPr>
        <w:t>.</w:t>
      </w:r>
    </w:p>
    <w:p w14:paraId="7C9701F0" w14:textId="77777777" w:rsidR="00532C25" w:rsidRPr="00511005" w:rsidRDefault="00532C25" w:rsidP="003F6A5D">
      <w:pPr>
        <w:numPr>
          <w:ilvl w:val="0"/>
          <w:numId w:val="813"/>
        </w:numPr>
        <w:tabs>
          <w:tab w:val="left" w:pos="993"/>
        </w:tabs>
        <w:spacing w:line="264" w:lineRule="auto"/>
        <w:ind w:left="153" w:hanging="437"/>
        <w:contextualSpacing/>
        <w:rPr>
          <w:rFonts w:ascii="Arial" w:eastAsia="Times New Roman" w:hAnsi="Arial" w:cs="Arial"/>
          <w:szCs w:val="28"/>
          <w:lang w:val="uk-UA"/>
        </w:rPr>
      </w:pPr>
      <w:r w:rsidRPr="00511005">
        <w:rPr>
          <w:rFonts w:ascii="Arial" w:eastAsia="Times New Roman" w:hAnsi="Arial" w:cs="Arial"/>
          <w:szCs w:val="28"/>
          <w:lang w:val="uk-UA"/>
        </w:rPr>
        <w:t xml:space="preserve">useRef. React API Refecence: Hooks. URL: </w:t>
      </w:r>
      <w:hyperlink r:id="rId2432" w:history="1">
        <w:r w:rsidRPr="00511005">
          <w:rPr>
            <w:rFonts w:ascii="Arial" w:eastAsia="Times New Roman" w:hAnsi="Arial" w:cs="Arial"/>
            <w:szCs w:val="28"/>
            <w:lang w:val="uk-UA"/>
          </w:rPr>
          <w:t>https://react.dev/reference/react/useRef</w:t>
        </w:r>
      </w:hyperlink>
    </w:p>
    <w:p w14:paraId="48323F69" w14:textId="77777777" w:rsidR="00532C25" w:rsidRPr="00511005" w:rsidRDefault="00532C25" w:rsidP="003F6A5D">
      <w:pPr>
        <w:numPr>
          <w:ilvl w:val="0"/>
          <w:numId w:val="813"/>
        </w:numPr>
        <w:tabs>
          <w:tab w:val="left" w:pos="993"/>
        </w:tabs>
        <w:spacing w:line="264" w:lineRule="auto"/>
        <w:ind w:left="153" w:hanging="437"/>
        <w:contextualSpacing/>
        <w:rPr>
          <w:rFonts w:ascii="Arial" w:eastAsia="Times New Roman" w:hAnsi="Arial" w:cs="Arial"/>
          <w:szCs w:val="28"/>
          <w:lang w:val="uk-UA"/>
        </w:rPr>
      </w:pPr>
      <w:r w:rsidRPr="00511005">
        <w:rPr>
          <w:rFonts w:ascii="Arial" w:eastAsia="Times New Roman" w:hAnsi="Arial" w:cs="Arial"/>
          <w:szCs w:val="28"/>
          <w:lang w:val="uk-UA"/>
        </w:rPr>
        <w:lastRenderedPageBreak/>
        <w:t xml:space="preserve">useRef. React API Refecence: APIs. URL: </w:t>
      </w:r>
      <w:hyperlink r:id="rId2433" w:history="1">
        <w:r w:rsidRPr="00511005">
          <w:rPr>
            <w:rFonts w:ascii="Arial" w:eastAsia="Times New Roman" w:hAnsi="Arial" w:cs="Arial"/>
            <w:szCs w:val="28"/>
            <w:lang w:val="uk-UA"/>
          </w:rPr>
          <w:t>https://react.dev/reference/react-dom/createPortal</w:t>
        </w:r>
      </w:hyperlink>
    </w:p>
    <w:p w14:paraId="4AB77649" w14:textId="77777777" w:rsidR="00532C25" w:rsidRPr="00511005" w:rsidRDefault="00532C25" w:rsidP="003F6A5D">
      <w:pPr>
        <w:numPr>
          <w:ilvl w:val="0"/>
          <w:numId w:val="813"/>
        </w:numPr>
        <w:tabs>
          <w:tab w:val="left" w:pos="993"/>
        </w:tabs>
        <w:spacing w:line="264" w:lineRule="auto"/>
        <w:ind w:left="153" w:hanging="437"/>
        <w:contextualSpacing/>
        <w:rPr>
          <w:rFonts w:ascii="Arial" w:eastAsia="Times New Roman" w:hAnsi="Arial" w:cs="Arial"/>
          <w:szCs w:val="28"/>
          <w:lang w:val="uk-UA"/>
        </w:rPr>
      </w:pPr>
      <w:r w:rsidRPr="00511005">
        <w:rPr>
          <w:rFonts w:ascii="Arial" w:eastAsia="Times New Roman" w:hAnsi="Arial" w:cs="Arial"/>
          <w:szCs w:val="28"/>
          <w:lang w:val="uk-UA"/>
        </w:rPr>
        <w:t>NextJS Docs. Routing. Parallel Routes. URL: https://nextjs.org/docs/app/building-your-application/routing/parallel-routes#modals</w:t>
      </w:r>
    </w:p>
    <w:p w14:paraId="7B41B1DF" w14:textId="77777777" w:rsidR="00532C25" w:rsidRPr="00511005" w:rsidRDefault="00532C25" w:rsidP="00532C25">
      <w:pPr>
        <w:spacing w:line="264" w:lineRule="auto"/>
        <w:contextualSpacing/>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Pr="00511005">
        <w:rPr>
          <w:rFonts w:ascii="Arial" w:eastAsia="Times New Roman" w:hAnsi="Arial" w:cs="Arial"/>
          <w:szCs w:val="28"/>
          <w:lang w:val="uk-UA"/>
        </w:rPr>
        <w:t>модальне вікно, вебпрограмування, вебдизайн, інтерфейс.</w:t>
      </w:r>
    </w:p>
    <w:p w14:paraId="2251B2AC" w14:textId="77777777" w:rsidR="00532C25" w:rsidRPr="00511005" w:rsidRDefault="00532C25" w:rsidP="00532C25">
      <w:pPr>
        <w:spacing w:line="264" w:lineRule="auto"/>
        <w:contextualSpacing/>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Pr="00511005">
        <w:rPr>
          <w:rFonts w:ascii="Arial" w:eastAsia="Times New Roman" w:hAnsi="Arial" w:cs="Arial"/>
          <w:szCs w:val="28"/>
          <w:lang w:val="uk-UA"/>
        </w:rPr>
        <w:t>modal window, web programming, web design, interface.</w:t>
      </w:r>
    </w:p>
    <w:p w14:paraId="3340314C" w14:textId="77777777" w:rsidR="00532C25" w:rsidRPr="00511005" w:rsidRDefault="00532C25" w:rsidP="00532C25">
      <w:pPr>
        <w:spacing w:line="264" w:lineRule="auto"/>
        <w:ind w:firstLine="708"/>
        <w:contextualSpacing/>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Pr="00511005">
        <w:rPr>
          <w:rFonts w:ascii="Arial" w:eastAsia="Times New Roman" w:hAnsi="Arial" w:cs="Arial"/>
          <w:i/>
          <w:iCs/>
          <w:szCs w:val="28"/>
          <w:lang w:val="uk-UA"/>
        </w:rPr>
        <w:t>к. т. н., доцент, Трофименко О. Г.</w:t>
      </w:r>
    </w:p>
    <w:p w14:paraId="40B00F05" w14:textId="77777777" w:rsidR="00532C25" w:rsidRPr="00511005" w:rsidRDefault="00532C25" w:rsidP="00532C25">
      <w:pPr>
        <w:spacing w:line="264" w:lineRule="auto"/>
        <w:contextualSpacing/>
        <w:rPr>
          <w:rFonts w:ascii="Arial" w:eastAsia="Times New Roman" w:hAnsi="Arial" w:cs="Arial"/>
          <w:i/>
          <w:iCs/>
          <w:szCs w:val="28"/>
          <w:lang w:val="uk-UA"/>
        </w:rPr>
      </w:pPr>
    </w:p>
    <w:p w14:paraId="3D3D0790" w14:textId="77777777" w:rsidR="00532C25" w:rsidRPr="00511005" w:rsidRDefault="00532C25" w:rsidP="00532C25">
      <w:pPr>
        <w:spacing w:line="264" w:lineRule="auto"/>
        <w:contextualSpacing/>
        <w:rPr>
          <w:rFonts w:ascii="Arial" w:eastAsia="Times New Roman" w:hAnsi="Arial" w:cs="Arial"/>
          <w:i/>
          <w:iCs/>
          <w:szCs w:val="28"/>
          <w:lang w:val="uk-UA"/>
        </w:rPr>
      </w:pPr>
    </w:p>
    <w:p w14:paraId="6957E37F" w14:textId="77777777" w:rsidR="00532C25" w:rsidRPr="00511005" w:rsidRDefault="00532C25" w:rsidP="00532C25">
      <w:pPr>
        <w:spacing w:line="264" w:lineRule="auto"/>
        <w:ind w:firstLine="0"/>
        <w:jc w:val="center"/>
        <w:textAlignment w:val="baseline"/>
        <w:rPr>
          <w:rFonts w:ascii="Arial" w:eastAsia="Times New Roman" w:hAnsi="Arial" w:cs="Arial"/>
          <w:b/>
          <w:i/>
          <w:iCs/>
          <w:szCs w:val="28"/>
          <w:lang w:val="uk-UA" w:eastAsia="ru-RU"/>
        </w:rPr>
      </w:pPr>
      <w:r w:rsidRPr="00511005">
        <w:rPr>
          <w:rFonts w:ascii="Arial" w:eastAsia="Times New Roman" w:hAnsi="Arial" w:cs="Arial"/>
          <w:b/>
          <w:i/>
          <w:iCs/>
          <w:szCs w:val="28"/>
          <w:lang w:val="uk-UA" w:eastAsia="ru-RU"/>
        </w:rPr>
        <w:t>Роговський Ян Сергійович</w:t>
      </w:r>
    </w:p>
    <w:p w14:paraId="6BBF6436" w14:textId="77777777" w:rsidR="00532C25" w:rsidRPr="00511005" w:rsidRDefault="00532C25" w:rsidP="00532C25">
      <w:pPr>
        <w:spacing w:line="264" w:lineRule="auto"/>
        <w:ind w:firstLine="0"/>
        <w:jc w:val="center"/>
        <w:textAlignment w:val="baseline"/>
        <w:rPr>
          <w:rFonts w:ascii="Arial" w:eastAsia="Times New Roman" w:hAnsi="Arial" w:cs="Arial"/>
          <w:szCs w:val="28"/>
          <w:lang w:val="uk-UA" w:eastAsia="ru-RU"/>
        </w:rPr>
      </w:pPr>
      <w:r w:rsidRPr="00511005">
        <w:rPr>
          <w:rFonts w:ascii="Arial" w:eastAsia="Times New Roman" w:hAnsi="Arial" w:cs="Arial"/>
          <w:szCs w:val="28"/>
          <w:lang w:val="uk-UA" w:eastAsia="ru-RU"/>
        </w:rPr>
        <w:t>студент 2-го курсу факультету кібербезпеки та інформаційних технологій</w:t>
      </w:r>
    </w:p>
    <w:p w14:paraId="28746D18" w14:textId="77777777" w:rsidR="00532C25" w:rsidRPr="00511005" w:rsidRDefault="00532C25" w:rsidP="00532C25">
      <w:pPr>
        <w:spacing w:line="264" w:lineRule="auto"/>
        <w:ind w:firstLine="0"/>
        <w:jc w:val="center"/>
        <w:textAlignment w:val="baseline"/>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58A06C4" w14:textId="77777777" w:rsidR="00532C25" w:rsidRPr="00511005" w:rsidRDefault="00532C25" w:rsidP="00532C25">
      <w:pPr>
        <w:spacing w:line="264" w:lineRule="auto"/>
        <w:ind w:firstLine="0"/>
        <w:jc w:val="center"/>
        <w:textAlignment w:val="baseline"/>
        <w:rPr>
          <w:rFonts w:ascii="Arial" w:eastAsia="Times New Roman" w:hAnsi="Arial" w:cs="Arial"/>
          <w:szCs w:val="28"/>
          <w:lang w:val="uk-UA" w:eastAsia="ru-RU"/>
        </w:rPr>
      </w:pPr>
    </w:p>
    <w:p w14:paraId="6B3246E5" w14:textId="77777777" w:rsidR="00532C25" w:rsidRPr="00511005" w:rsidRDefault="00532C25" w:rsidP="00532C25">
      <w:pPr>
        <w:spacing w:line="264" w:lineRule="auto"/>
        <w:jc w:val="center"/>
        <w:textAlignment w:val="baseline"/>
        <w:rPr>
          <w:rFonts w:ascii="Arial" w:eastAsia="Times New Roman" w:hAnsi="Arial" w:cs="Arial"/>
          <w:b/>
          <w:szCs w:val="28"/>
          <w:lang w:val="uk-UA" w:eastAsia="ru-RU"/>
        </w:rPr>
      </w:pPr>
      <w:r w:rsidRPr="00511005">
        <w:rPr>
          <w:rFonts w:ascii="Arial" w:eastAsia="Times New Roman" w:hAnsi="Arial" w:cs="Arial"/>
          <w:b/>
          <w:szCs w:val="28"/>
          <w:lang w:val="uk-UA" w:eastAsia="ru-RU"/>
        </w:rPr>
        <w:t>БЛОКЧЕЙН-ТЕХНОЛОГІЇ У СФЕРІ ІНФОРМАЦІЙНОЇ БЕЗПЕКИ: ПЕРСПЕКТИВИ ТА ВИКЛИКИ</w:t>
      </w:r>
    </w:p>
    <w:p w14:paraId="02D6BA27" w14:textId="77777777" w:rsidR="00532C25" w:rsidRPr="00511005" w:rsidRDefault="00532C25" w:rsidP="00532C25">
      <w:pPr>
        <w:spacing w:line="264" w:lineRule="auto"/>
        <w:ind w:firstLine="708"/>
        <w:rPr>
          <w:rFonts w:ascii="Arial" w:eastAsia="Calibri" w:hAnsi="Arial" w:cs="Arial"/>
          <w:bCs/>
          <w:kern w:val="36"/>
          <w:szCs w:val="28"/>
          <w:lang w:val="uk-UA"/>
        </w:rPr>
      </w:pPr>
      <w:r w:rsidRPr="00511005">
        <w:rPr>
          <w:rFonts w:ascii="Arial" w:eastAsia="Calibri" w:hAnsi="Arial" w:cs="Arial"/>
          <w:bCs/>
          <w:kern w:val="36"/>
          <w:szCs w:val="28"/>
          <w:lang w:val="uk-UA"/>
        </w:rPr>
        <w:t>Інформаційна безпека залишається одним із критичних аспектів цифрової економіки. За даними звіту Світового економічного форуму, фінансові втрати від кібератак значно збільшуються щороку, що стимулює пошук нових методів захисту інформації [1]. В умовах постійно зростаючих загроз розробка інноваційних підходів до безпеки є пріоритетним завданням як для окремих організацій, так і для цілих держав.</w:t>
      </w:r>
    </w:p>
    <w:p w14:paraId="02B0207F" w14:textId="77777777" w:rsidR="00532C25" w:rsidRPr="00511005" w:rsidRDefault="00532C25" w:rsidP="00532C25">
      <w:pPr>
        <w:spacing w:line="264" w:lineRule="auto"/>
        <w:ind w:firstLine="708"/>
        <w:rPr>
          <w:rFonts w:ascii="Arial" w:eastAsia="Calibri" w:hAnsi="Arial" w:cs="Arial"/>
          <w:bCs/>
          <w:kern w:val="36"/>
          <w:szCs w:val="28"/>
          <w:lang w:val="uk-UA"/>
        </w:rPr>
      </w:pPr>
      <w:r w:rsidRPr="00511005">
        <w:rPr>
          <w:rFonts w:ascii="Arial" w:eastAsia="Calibri" w:hAnsi="Arial" w:cs="Arial"/>
          <w:bCs/>
          <w:kern w:val="36"/>
          <w:szCs w:val="28"/>
          <w:lang w:val="uk-UA"/>
        </w:rPr>
        <w:t>Блокчейн-технологія, спочатку представлена ​​як основа криптовалюти Bitcoin, продемонструвала потенціал далеко за межами фінансової сфери. В останні роки спостерігається значне зростання досліджень, присвячених використанню блокчейну як інструменту забезпечення інформаційної безпеки. Згідно з дослідженнями, блокчейн пропонує унікальні можливості для захисту даних та систем від різних типів кібератак [2].</w:t>
      </w:r>
    </w:p>
    <w:p w14:paraId="39DB4FB4" w14:textId="77777777" w:rsidR="00532C25" w:rsidRPr="00511005" w:rsidRDefault="00532C25" w:rsidP="00532C25">
      <w:pPr>
        <w:spacing w:line="264" w:lineRule="auto"/>
        <w:ind w:firstLine="708"/>
        <w:rPr>
          <w:rFonts w:ascii="Arial" w:eastAsia="Calibri" w:hAnsi="Arial" w:cs="Arial"/>
          <w:bCs/>
          <w:kern w:val="36"/>
          <w:szCs w:val="28"/>
          <w:lang w:val="uk-UA"/>
        </w:rPr>
      </w:pPr>
      <w:r w:rsidRPr="00511005">
        <w:rPr>
          <w:rFonts w:ascii="Arial" w:eastAsia="Calibri" w:hAnsi="Arial" w:cs="Arial"/>
          <w:bCs/>
          <w:kern w:val="36"/>
          <w:szCs w:val="28"/>
          <w:lang w:val="uk-UA"/>
        </w:rPr>
        <w:t>Однією з ключових переваг блокчейн-технологій є децентралізована архітектура, яка значно підвищує стійкість систем до різних видів атак. Відсутність єдиної точки відмови робить блокчейн-системи значно надійнішими порівняно з традиційними централізованими рішеннями. Як відзначають Hewa та ін. у своєму дослідженні технології блокчейн в галузі IoT-безпеки, «розподілена природа блокчейну істотно знижує ефективність DDoS-атак, оскільки зловмисникам необхідно одночасно нейтралізувати значну кількість вузлів мережі для досягнення успіху» [3].</w:t>
      </w:r>
    </w:p>
    <w:p w14:paraId="2D8D7345" w14:textId="77777777" w:rsidR="00532C25" w:rsidRPr="00511005" w:rsidRDefault="00532C25" w:rsidP="00532C25">
      <w:pPr>
        <w:spacing w:line="264" w:lineRule="auto"/>
        <w:ind w:firstLine="708"/>
        <w:rPr>
          <w:rFonts w:ascii="Arial" w:eastAsia="Calibri" w:hAnsi="Arial" w:cs="Arial"/>
          <w:bCs/>
          <w:kern w:val="36"/>
          <w:szCs w:val="28"/>
          <w:lang w:val="uk-UA"/>
        </w:rPr>
      </w:pPr>
      <w:r w:rsidRPr="00511005">
        <w:rPr>
          <w:rFonts w:ascii="Arial" w:eastAsia="Calibri" w:hAnsi="Arial" w:cs="Arial"/>
          <w:bCs/>
          <w:kern w:val="36"/>
          <w:szCs w:val="28"/>
          <w:lang w:val="uk-UA"/>
        </w:rPr>
        <w:t xml:space="preserve">Технологія блокчейн забезпечує високий рівень цілісності даних за рахунок криптографічних алгоритмів та механізму консенсусу. Записані в блокчейн дані практично неможливо змінити, що робить цю технологію незамінною для систем, що потребують надійного аудиту. Згідно з дослідженням Makhdoom та ін., «використання блокчейна для забезпечення </w:t>
      </w:r>
      <w:r w:rsidRPr="00511005">
        <w:rPr>
          <w:rFonts w:ascii="Arial" w:eastAsia="Calibri" w:hAnsi="Arial" w:cs="Arial"/>
          <w:bCs/>
          <w:kern w:val="36"/>
          <w:szCs w:val="28"/>
          <w:lang w:val="uk-UA"/>
        </w:rPr>
        <w:lastRenderedPageBreak/>
        <w:t>цілісності даних дозволяє створити практично незмінний запис подій, забезпечуючи високий рівень достовірності та підзвітності» [2].</w:t>
      </w:r>
    </w:p>
    <w:p w14:paraId="268BE9D2" w14:textId="77777777" w:rsidR="00532C25" w:rsidRPr="00511005" w:rsidRDefault="00532C25" w:rsidP="00532C25">
      <w:pPr>
        <w:spacing w:line="264" w:lineRule="auto"/>
        <w:ind w:firstLine="708"/>
        <w:rPr>
          <w:rFonts w:ascii="Arial" w:eastAsia="Calibri" w:hAnsi="Arial" w:cs="Arial"/>
          <w:bCs/>
          <w:kern w:val="36"/>
          <w:szCs w:val="28"/>
          <w:lang w:val="uk-UA"/>
        </w:rPr>
      </w:pPr>
      <w:r w:rsidRPr="00511005">
        <w:rPr>
          <w:rFonts w:ascii="Arial" w:eastAsia="Calibri" w:hAnsi="Arial" w:cs="Arial"/>
          <w:bCs/>
          <w:kern w:val="36"/>
          <w:szCs w:val="28"/>
          <w:lang w:val="uk-UA"/>
        </w:rPr>
        <w:t>Блокчейн-технології пропонують інноваційні механізми аутентифікації та керування доступом на основі криптографічних ключів. У дослідженні Nguyen та ін. зазначається, що «системи аутентифікації на основі блокчейну забезпечують значно більш високу стійкість до атак фішингу в порівнянні з традиційними методами» [4]. Особливо ефективними є такі рішення в контексті управління цифровими ідентифікаторами та доступом до критичної інфраструктури.</w:t>
      </w:r>
    </w:p>
    <w:p w14:paraId="6095E944" w14:textId="77777777" w:rsidR="00532C25" w:rsidRPr="00511005" w:rsidRDefault="00532C25" w:rsidP="00532C25">
      <w:pPr>
        <w:spacing w:line="264" w:lineRule="auto"/>
        <w:ind w:firstLine="708"/>
        <w:rPr>
          <w:rFonts w:ascii="Arial" w:eastAsia="Calibri" w:hAnsi="Arial" w:cs="Arial"/>
          <w:bCs/>
          <w:kern w:val="36"/>
          <w:szCs w:val="28"/>
          <w:lang w:val="uk-UA"/>
        </w:rPr>
      </w:pPr>
      <w:r w:rsidRPr="00511005">
        <w:rPr>
          <w:rFonts w:ascii="Arial" w:eastAsia="Calibri" w:hAnsi="Arial" w:cs="Arial"/>
          <w:bCs/>
          <w:kern w:val="36"/>
          <w:szCs w:val="28"/>
          <w:lang w:val="uk-UA"/>
        </w:rPr>
        <w:t xml:space="preserve">Незважаючи на значні переваги, блокчейн технології стикаються з проблемами масштабованості, особливо при роботі з великими обсягами даних. </w:t>
      </w:r>
    </w:p>
    <w:p w14:paraId="7222B695" w14:textId="77777777" w:rsidR="00532C25" w:rsidRPr="00511005" w:rsidRDefault="00532C25" w:rsidP="00532C25">
      <w:pPr>
        <w:spacing w:line="264" w:lineRule="auto"/>
        <w:ind w:firstLine="708"/>
        <w:rPr>
          <w:rFonts w:ascii="Arial" w:eastAsia="Calibri" w:hAnsi="Arial" w:cs="Arial"/>
          <w:bCs/>
          <w:kern w:val="36"/>
          <w:szCs w:val="28"/>
          <w:lang w:val="uk-UA"/>
        </w:rPr>
      </w:pPr>
      <w:r w:rsidRPr="00511005">
        <w:rPr>
          <w:rFonts w:ascii="Arial" w:eastAsia="Calibri" w:hAnsi="Arial" w:cs="Arial"/>
          <w:bCs/>
          <w:kern w:val="36"/>
          <w:szCs w:val="28"/>
          <w:lang w:val="uk-UA"/>
        </w:rPr>
        <w:t>Високе енергоспоживання, характерне деяких алгоритмів консенсусу, залишається серйозним недоліком блокчейн-технологій. За даними дослідження Kumar та ін, «річне споживання електроенергії тільки мережею Bitcoin можна порівняти з енергоспоживанням невеликих країн» [5]. Для широкого впровадження блокчейну у системи інформаційної безпеки необхідний перехід до більш енергоефективних алгоритмів консенсусу.</w:t>
      </w:r>
    </w:p>
    <w:p w14:paraId="38C36D03" w14:textId="77777777" w:rsidR="00532C25" w:rsidRPr="00511005" w:rsidRDefault="00532C25" w:rsidP="00532C25">
      <w:pPr>
        <w:spacing w:line="264" w:lineRule="auto"/>
        <w:ind w:firstLine="708"/>
        <w:rPr>
          <w:rFonts w:ascii="Arial" w:eastAsia="Calibri" w:hAnsi="Arial" w:cs="Arial"/>
          <w:bCs/>
          <w:kern w:val="36"/>
          <w:szCs w:val="28"/>
          <w:lang w:val="uk-UA"/>
        </w:rPr>
      </w:pPr>
      <w:r w:rsidRPr="00511005">
        <w:rPr>
          <w:rFonts w:ascii="Arial" w:eastAsia="Calibri" w:hAnsi="Arial" w:cs="Arial"/>
          <w:bCs/>
          <w:kern w:val="36"/>
          <w:szCs w:val="28"/>
          <w:lang w:val="uk-UA"/>
        </w:rPr>
        <w:t>Впровадження блокчейн-технологій у системи інформаційної безпеки пов'язане з різними регуляторними викликами. Відсутність єдиних міжнародних стандартів та нормативної бази значно ускладнює інтеграцію блокчейн-рішень у існуючі інфраструктури безпеки. Особливо гострою є проблема в контексті транскордонної передачі даних та відповідності вимогам різних юрисдикцій.</w:t>
      </w:r>
    </w:p>
    <w:p w14:paraId="3C39E1BC" w14:textId="77777777" w:rsidR="00532C25" w:rsidRPr="00511005" w:rsidRDefault="00532C25" w:rsidP="00532C25">
      <w:pPr>
        <w:spacing w:line="264" w:lineRule="auto"/>
        <w:ind w:firstLine="708"/>
        <w:rPr>
          <w:rFonts w:ascii="Arial" w:eastAsia="Calibri" w:hAnsi="Arial" w:cs="Arial"/>
          <w:bCs/>
          <w:kern w:val="36"/>
          <w:szCs w:val="28"/>
          <w:lang w:val="uk-UA"/>
        </w:rPr>
      </w:pPr>
      <w:r w:rsidRPr="00511005">
        <w:rPr>
          <w:rFonts w:ascii="Arial" w:eastAsia="Calibri" w:hAnsi="Arial" w:cs="Arial"/>
          <w:bCs/>
          <w:kern w:val="36"/>
          <w:szCs w:val="28"/>
          <w:lang w:val="uk-UA"/>
        </w:rPr>
        <w:t>Одним із найперспективніших напрямків розвитку блокчейн-технологій у сфері інформаційної безпеки є їх інтеграція зі штучним інтелектом. Комбінація цих технологій дозволяє створювати самонавчені системи захисту, здатні адаптуватися до нових загроз. У дослідженні Makhdoom та ін. зазначається, що: «системи безпеки на основі блокчейну та ІІ демонструють значно більш високу ефективність у виявленні нових типів загроз порівняно з традиційними рішеннями» [2].</w:t>
      </w:r>
    </w:p>
    <w:p w14:paraId="1395B461" w14:textId="77777777" w:rsidR="00532C25" w:rsidRPr="00511005" w:rsidRDefault="00532C25" w:rsidP="00532C25">
      <w:pPr>
        <w:spacing w:line="264" w:lineRule="auto"/>
        <w:ind w:firstLine="708"/>
        <w:rPr>
          <w:rFonts w:ascii="Arial" w:eastAsia="Calibri" w:hAnsi="Arial" w:cs="Arial"/>
          <w:bCs/>
          <w:kern w:val="36"/>
          <w:szCs w:val="28"/>
          <w:lang w:val="uk-UA"/>
        </w:rPr>
      </w:pPr>
      <w:r w:rsidRPr="00511005">
        <w:rPr>
          <w:rFonts w:ascii="Arial" w:eastAsia="Calibri" w:hAnsi="Arial" w:cs="Arial"/>
          <w:szCs w:val="28"/>
          <w:lang w:val="uk-UA"/>
        </w:rPr>
        <w:t>Проведений аналіз показує, що блокчейн-технології мають значний потенціал для трансформації підходів до забезпечення інформаційної безпеки.</w:t>
      </w:r>
      <w:r w:rsidRPr="00511005">
        <w:rPr>
          <w:rFonts w:ascii="Arial" w:eastAsia="Calibri" w:hAnsi="Arial" w:cs="Arial"/>
          <w:bCs/>
          <w:kern w:val="36"/>
          <w:szCs w:val="28"/>
          <w:lang w:val="uk-UA"/>
        </w:rPr>
        <w:t xml:space="preserve"> </w:t>
      </w:r>
      <w:r w:rsidRPr="00511005">
        <w:rPr>
          <w:rFonts w:ascii="Arial" w:eastAsia="Calibri" w:hAnsi="Arial" w:cs="Arial"/>
          <w:szCs w:val="28"/>
          <w:lang w:val="uk-UA"/>
        </w:rPr>
        <w:t>Однак для повноцінної реалізації цього потенціалу необхідно подолати низку існуючих обмежень, пов'язаних з масштабованістю, енергоспоживанням та регуляторними аспектами.</w:t>
      </w:r>
      <w:r w:rsidRPr="00511005">
        <w:rPr>
          <w:rFonts w:ascii="Arial" w:eastAsia="Calibri" w:hAnsi="Arial" w:cs="Arial"/>
          <w:bCs/>
          <w:kern w:val="36"/>
          <w:szCs w:val="28"/>
          <w:lang w:val="uk-UA"/>
        </w:rPr>
        <w:t xml:space="preserve"> </w:t>
      </w:r>
    </w:p>
    <w:p w14:paraId="7135A0DC" w14:textId="77777777" w:rsidR="00532C25" w:rsidRPr="00511005" w:rsidRDefault="00532C25" w:rsidP="00532C25">
      <w:pPr>
        <w:spacing w:line="264" w:lineRule="auto"/>
        <w:ind w:firstLine="708"/>
        <w:rPr>
          <w:rFonts w:ascii="Arial" w:eastAsia="Calibri" w:hAnsi="Arial" w:cs="Arial"/>
          <w:b/>
          <w:szCs w:val="28"/>
          <w:lang w:val="uk-UA"/>
        </w:rPr>
      </w:pPr>
    </w:p>
    <w:p w14:paraId="31691DE5" w14:textId="77777777" w:rsidR="00532C25" w:rsidRPr="00511005" w:rsidRDefault="00532C25" w:rsidP="00532C25">
      <w:pPr>
        <w:spacing w:line="264" w:lineRule="auto"/>
        <w:ind w:left="72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28ACAB57" w14:textId="77777777" w:rsidR="00532C25" w:rsidRPr="00511005" w:rsidRDefault="00532C25" w:rsidP="003F6A5D">
      <w:pPr>
        <w:numPr>
          <w:ilvl w:val="0"/>
          <w:numId w:val="706"/>
        </w:numPr>
        <w:tabs>
          <w:tab w:val="clear" w:pos="720"/>
          <w:tab w:val="num" w:pos="0"/>
        </w:tabs>
        <w:spacing w:line="264" w:lineRule="auto"/>
        <w:ind w:left="0" w:firstLine="0"/>
        <w:rPr>
          <w:rFonts w:ascii="Arial" w:eastAsia="Calibri" w:hAnsi="Arial" w:cs="Arial"/>
          <w:szCs w:val="28"/>
          <w:lang w:val="uk-UA"/>
        </w:rPr>
      </w:pPr>
      <w:r w:rsidRPr="00511005">
        <w:rPr>
          <w:rFonts w:ascii="Arial" w:eastAsia="Calibri" w:hAnsi="Arial" w:cs="Arial"/>
          <w:szCs w:val="28"/>
          <w:lang w:val="uk-UA"/>
        </w:rPr>
        <w:t xml:space="preserve">World Economic Forum. «The Global Risks Report 2024, 19th Edition» Geneva: WEF Publishing, 2024. URL: </w:t>
      </w:r>
      <w:hyperlink r:id="rId2434" w:history="1">
        <w:r w:rsidRPr="00511005">
          <w:rPr>
            <w:rFonts w:ascii="Arial" w:eastAsia="Calibri" w:hAnsi="Arial" w:cs="Arial"/>
            <w:szCs w:val="28"/>
            <w:lang w:val="uk-UA"/>
          </w:rPr>
          <w:t>https://www.weforum.org/publications/global-risks-report-2025/</w:t>
        </w:r>
      </w:hyperlink>
      <w:r w:rsidRPr="00511005">
        <w:rPr>
          <w:rFonts w:ascii="Arial" w:eastAsia="Calibri" w:hAnsi="Arial" w:cs="Arial"/>
          <w:szCs w:val="28"/>
          <w:lang w:val="uk-UA"/>
        </w:rPr>
        <w:t xml:space="preserve"> </w:t>
      </w:r>
    </w:p>
    <w:p w14:paraId="0335F795" w14:textId="77777777" w:rsidR="00532C25" w:rsidRPr="00511005" w:rsidRDefault="00532C25" w:rsidP="003F6A5D">
      <w:pPr>
        <w:numPr>
          <w:ilvl w:val="0"/>
          <w:numId w:val="706"/>
        </w:numPr>
        <w:tabs>
          <w:tab w:val="clear" w:pos="720"/>
          <w:tab w:val="num" w:pos="0"/>
        </w:tabs>
        <w:spacing w:line="264" w:lineRule="auto"/>
        <w:ind w:left="0" w:firstLine="0"/>
        <w:rPr>
          <w:rFonts w:ascii="Arial" w:eastAsia="Calibri" w:hAnsi="Arial" w:cs="Arial"/>
          <w:szCs w:val="28"/>
          <w:lang w:val="uk-UA"/>
        </w:rPr>
      </w:pPr>
      <w:r w:rsidRPr="00511005">
        <w:rPr>
          <w:rFonts w:ascii="Arial" w:eastAsia="Calibri" w:hAnsi="Arial" w:cs="Arial"/>
          <w:szCs w:val="28"/>
          <w:lang w:val="uk-UA"/>
        </w:rPr>
        <w:lastRenderedPageBreak/>
        <w:t xml:space="preserve">Makhdoom, I., Zhou, I., Abolhasan, M., Lipman, J., &amp; Ni, W. PrivySharing: A blockchain-based framework for privacy-preserving and secure data sharing in smart cities. </w:t>
      </w:r>
      <w:r w:rsidRPr="00511005">
        <w:rPr>
          <w:rFonts w:ascii="Arial" w:eastAsia="Calibri" w:hAnsi="Arial" w:cs="Arial"/>
          <w:i/>
          <w:szCs w:val="28"/>
          <w:lang w:val="uk-UA"/>
        </w:rPr>
        <w:t>Computers &amp; Security</w:t>
      </w:r>
      <w:r w:rsidRPr="00511005">
        <w:rPr>
          <w:rFonts w:ascii="Arial" w:eastAsia="Calibri" w:hAnsi="Arial" w:cs="Arial"/>
          <w:szCs w:val="28"/>
          <w:lang w:val="uk-UA"/>
        </w:rPr>
        <w:t>. 2023. Vol. 124. URL:</w:t>
      </w:r>
      <w:hyperlink r:id="rId2435" w:history="1">
        <w:r w:rsidRPr="00511005">
          <w:rPr>
            <w:rFonts w:ascii="Arial" w:eastAsia="Calibri" w:hAnsi="Arial" w:cs="Arial"/>
            <w:szCs w:val="28"/>
            <w:lang w:val="uk-UA"/>
          </w:rPr>
          <w:t>https://doi.org/10.1016/j.cose.2022.102947</w:t>
        </w:r>
      </w:hyperlink>
    </w:p>
    <w:p w14:paraId="4867D3D7" w14:textId="77777777" w:rsidR="00532C25" w:rsidRPr="00511005" w:rsidRDefault="00532C25" w:rsidP="003F6A5D">
      <w:pPr>
        <w:numPr>
          <w:ilvl w:val="0"/>
          <w:numId w:val="706"/>
        </w:numPr>
        <w:tabs>
          <w:tab w:val="clear" w:pos="720"/>
          <w:tab w:val="num" w:pos="0"/>
        </w:tabs>
        <w:spacing w:line="264" w:lineRule="auto"/>
        <w:ind w:left="0" w:firstLine="0"/>
        <w:rPr>
          <w:rFonts w:ascii="Arial" w:eastAsia="Calibri" w:hAnsi="Arial" w:cs="Arial"/>
          <w:szCs w:val="28"/>
          <w:lang w:val="uk-UA"/>
        </w:rPr>
      </w:pPr>
      <w:r w:rsidRPr="00511005">
        <w:rPr>
          <w:rFonts w:ascii="Arial" w:eastAsia="Calibri" w:hAnsi="Arial" w:cs="Arial"/>
          <w:szCs w:val="28"/>
          <w:lang w:val="uk-UA"/>
        </w:rPr>
        <w:t xml:space="preserve">Hewa, T., Bracken, A., Ylianttila, M., &amp; Liyanage, M. Blockchain-based security solutions for IoT systems. </w:t>
      </w:r>
      <w:r w:rsidRPr="00511005">
        <w:rPr>
          <w:rFonts w:ascii="Arial" w:eastAsia="Calibri" w:hAnsi="Arial" w:cs="Arial"/>
          <w:i/>
          <w:szCs w:val="28"/>
          <w:lang w:val="uk-UA"/>
        </w:rPr>
        <w:t>Wireless Networks</w:t>
      </w:r>
      <w:r w:rsidRPr="00511005">
        <w:rPr>
          <w:rFonts w:ascii="Arial" w:eastAsia="Calibri" w:hAnsi="Arial" w:cs="Arial"/>
          <w:szCs w:val="28"/>
          <w:lang w:val="uk-UA"/>
        </w:rPr>
        <w:t>. 2023, Vol. 29. URL:</w:t>
      </w:r>
      <w:hyperlink r:id="rId2436" w:history="1">
        <w:r w:rsidRPr="00511005">
          <w:rPr>
            <w:rFonts w:ascii="Arial" w:eastAsia="Calibri" w:hAnsi="Arial" w:cs="Arial"/>
            <w:szCs w:val="28"/>
            <w:lang w:val="uk-UA"/>
          </w:rPr>
          <w:t>https://doi.org/10.1007/s11276-023-03303-x</w:t>
        </w:r>
      </w:hyperlink>
    </w:p>
    <w:p w14:paraId="5236A83D" w14:textId="77777777" w:rsidR="00532C25" w:rsidRPr="00511005" w:rsidRDefault="00532C25" w:rsidP="003F6A5D">
      <w:pPr>
        <w:numPr>
          <w:ilvl w:val="0"/>
          <w:numId w:val="706"/>
        </w:numPr>
        <w:tabs>
          <w:tab w:val="clear" w:pos="720"/>
          <w:tab w:val="num" w:pos="0"/>
        </w:tabs>
        <w:spacing w:line="264" w:lineRule="auto"/>
        <w:ind w:left="0" w:firstLine="0"/>
        <w:rPr>
          <w:rFonts w:ascii="Arial" w:eastAsia="Calibri" w:hAnsi="Arial" w:cs="Arial"/>
          <w:szCs w:val="28"/>
          <w:lang w:val="uk-UA"/>
        </w:rPr>
      </w:pPr>
      <w:r w:rsidRPr="00511005">
        <w:rPr>
          <w:rFonts w:ascii="Arial" w:eastAsia="Calibri" w:hAnsi="Arial" w:cs="Arial"/>
          <w:szCs w:val="28"/>
          <w:lang w:val="uk-UA"/>
        </w:rPr>
        <w:t xml:space="preserve">Nguyen, C.T., Hoang, D.T., Nguyen, D.N., Niyato, D., Nguyen, H.T., &amp; Dutkiewicz, E. Proof-of-Stake Consensus Mechanisms for Future Blockchain Networks: Fundamentals, Applications and Opportunities. </w:t>
      </w:r>
      <w:r w:rsidRPr="00511005">
        <w:rPr>
          <w:rFonts w:ascii="Arial" w:eastAsia="Calibri" w:hAnsi="Arial" w:cs="Arial"/>
          <w:i/>
          <w:szCs w:val="28"/>
          <w:lang w:val="uk-UA"/>
        </w:rPr>
        <w:t>IEEE Access</w:t>
      </w:r>
      <w:r w:rsidRPr="00511005">
        <w:rPr>
          <w:rFonts w:ascii="Arial" w:eastAsia="Calibri" w:hAnsi="Arial" w:cs="Arial"/>
          <w:szCs w:val="28"/>
          <w:lang w:val="uk-UA"/>
        </w:rPr>
        <w:t>. 2023. URL:</w:t>
      </w:r>
      <w:hyperlink r:id="rId2437" w:history="1">
        <w:r w:rsidRPr="00511005">
          <w:rPr>
            <w:rFonts w:ascii="Arial" w:eastAsia="Calibri" w:hAnsi="Arial" w:cs="Arial"/>
            <w:szCs w:val="28"/>
            <w:lang w:val="uk-UA"/>
          </w:rPr>
          <w:t>https://doi.org/10.1109/ACCESS.2019.2925010</w:t>
        </w:r>
      </w:hyperlink>
    </w:p>
    <w:p w14:paraId="15E1016E" w14:textId="77777777" w:rsidR="00532C25" w:rsidRPr="00511005" w:rsidRDefault="00532C25" w:rsidP="003F6A5D">
      <w:pPr>
        <w:numPr>
          <w:ilvl w:val="0"/>
          <w:numId w:val="706"/>
        </w:numPr>
        <w:tabs>
          <w:tab w:val="clear" w:pos="720"/>
          <w:tab w:val="num" w:pos="0"/>
        </w:tabs>
        <w:spacing w:line="264" w:lineRule="auto"/>
        <w:ind w:left="0" w:firstLine="0"/>
        <w:rPr>
          <w:rFonts w:ascii="Arial" w:eastAsia="Calibri" w:hAnsi="Arial" w:cs="Arial"/>
          <w:szCs w:val="28"/>
          <w:lang w:val="uk-UA"/>
        </w:rPr>
      </w:pPr>
      <w:r w:rsidRPr="00511005">
        <w:rPr>
          <w:rFonts w:ascii="Arial" w:eastAsia="Calibri" w:hAnsi="Arial" w:cs="Arial"/>
          <w:szCs w:val="28"/>
          <w:lang w:val="uk-UA"/>
        </w:rPr>
        <w:t xml:space="preserve">Kumar R., Tripathi R., &amp; Marchang N. Distributed ledger security: Evolution, taxonomy and open challenges. </w:t>
      </w:r>
      <w:r w:rsidRPr="00511005">
        <w:rPr>
          <w:rFonts w:ascii="Arial" w:eastAsia="Calibri" w:hAnsi="Arial" w:cs="Arial"/>
          <w:i/>
          <w:szCs w:val="28"/>
          <w:lang w:val="uk-UA"/>
        </w:rPr>
        <w:t>Journal of Network and Computer Applications</w:t>
      </w:r>
      <w:r w:rsidRPr="00511005">
        <w:rPr>
          <w:rFonts w:ascii="Arial" w:eastAsia="Calibri" w:hAnsi="Arial" w:cs="Arial"/>
          <w:szCs w:val="28"/>
          <w:lang w:val="uk-UA"/>
        </w:rPr>
        <w:t xml:space="preserve">. 2023. Vol. 216. URL: </w:t>
      </w:r>
      <w:hyperlink r:id="rId2438" w:history="1">
        <w:r w:rsidRPr="00511005">
          <w:rPr>
            <w:rFonts w:ascii="Arial" w:eastAsia="Calibri" w:hAnsi="Arial" w:cs="Arial"/>
            <w:szCs w:val="28"/>
            <w:lang w:val="uk-UA"/>
          </w:rPr>
          <w:t>https://doi.org/10.1016/j.jnca.2023.103618</w:t>
        </w:r>
      </w:hyperlink>
    </w:p>
    <w:p w14:paraId="7400A78F"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Pr="00511005">
        <w:rPr>
          <w:rFonts w:ascii="Arial" w:eastAsia="Calibri" w:hAnsi="Arial" w:cs="Arial"/>
          <w:szCs w:val="28"/>
          <w:lang w:val="uk-UA"/>
        </w:rPr>
        <w:t xml:space="preserve">Інформаційна безпека, блокчейн, кіберзагрози, децентралізована архітектура, аутентифікація. </w:t>
      </w:r>
    </w:p>
    <w:p w14:paraId="5829078B"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Key words: </w:t>
      </w:r>
      <w:r w:rsidRPr="00511005">
        <w:rPr>
          <w:rFonts w:ascii="Arial" w:eastAsia="Calibri" w:hAnsi="Arial" w:cs="Arial"/>
          <w:szCs w:val="28"/>
          <w:lang w:val="uk-UA"/>
        </w:rPr>
        <w:t>Information security, blockchain, cyber threats, decentralized architecture, authentication.</w:t>
      </w:r>
    </w:p>
    <w:p w14:paraId="39133D3B" w14:textId="77777777" w:rsidR="00532C25" w:rsidRPr="00511005" w:rsidRDefault="00532C25" w:rsidP="00532C25">
      <w:pPr>
        <w:keepNext/>
        <w:widowControl w:val="0"/>
        <w:spacing w:line="264" w:lineRule="auto"/>
        <w:ind w:firstLine="708"/>
        <w:rPr>
          <w:rFonts w:ascii="Arial" w:eastAsia="Calibri" w:hAnsi="Arial" w:cs="Arial"/>
          <w:bCs/>
          <w:i/>
          <w:iCs/>
          <w:szCs w:val="28"/>
          <w:lang w:val="uk-UA"/>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i/>
          <w:iCs/>
          <w:szCs w:val="28"/>
          <w:lang w:val="uk-UA"/>
        </w:rPr>
        <w:t xml:space="preserve">PhD Грезіна О.М. </w:t>
      </w:r>
    </w:p>
    <w:p w14:paraId="3220E331" w14:textId="77777777" w:rsidR="00532C25" w:rsidRPr="00511005" w:rsidRDefault="00532C25" w:rsidP="00532C25">
      <w:pPr>
        <w:spacing w:line="264" w:lineRule="auto"/>
        <w:ind w:firstLine="0"/>
        <w:rPr>
          <w:rFonts w:ascii="Arial" w:eastAsia="Times New Roman" w:hAnsi="Arial" w:cs="Arial"/>
          <w:szCs w:val="28"/>
          <w:lang w:val="uk-UA"/>
        </w:rPr>
      </w:pPr>
    </w:p>
    <w:p w14:paraId="32B891B6" w14:textId="77777777" w:rsidR="00532C25" w:rsidRPr="00511005" w:rsidRDefault="00532C25" w:rsidP="00532C25">
      <w:pPr>
        <w:spacing w:line="264" w:lineRule="auto"/>
        <w:ind w:firstLine="0"/>
        <w:rPr>
          <w:rFonts w:ascii="Arial" w:eastAsia="Times New Roman" w:hAnsi="Arial" w:cs="Arial"/>
          <w:szCs w:val="28"/>
        </w:rPr>
      </w:pPr>
    </w:p>
    <w:p w14:paraId="6DBAD4D2" w14:textId="77777777" w:rsidR="00532C25" w:rsidRPr="00511005" w:rsidRDefault="00532C25" w:rsidP="00532C25">
      <w:pPr>
        <w:suppressAutoHyphens/>
        <w:spacing w:line="264" w:lineRule="auto"/>
        <w:ind w:firstLine="0"/>
        <w:jc w:val="center"/>
        <w:rPr>
          <w:rFonts w:ascii="Arial" w:eastAsia="MS Mincho" w:hAnsi="Arial" w:cs="Arial"/>
          <w:b/>
          <w:bCs/>
          <w:i/>
          <w:iCs/>
          <w:szCs w:val="28"/>
          <w:lang w:eastAsia="ru-RU"/>
        </w:rPr>
      </w:pPr>
      <w:r w:rsidRPr="00511005">
        <w:rPr>
          <w:rFonts w:ascii="Arial" w:eastAsia="MS Mincho" w:hAnsi="Arial" w:cs="Arial"/>
          <w:b/>
          <w:bCs/>
          <w:i/>
          <w:iCs/>
          <w:szCs w:val="28"/>
          <w:lang w:eastAsia="ru-RU"/>
        </w:rPr>
        <w:t>Середа Максим</w:t>
      </w:r>
    </w:p>
    <w:p w14:paraId="33837719" w14:textId="77777777" w:rsidR="00532C25" w:rsidRPr="00511005" w:rsidRDefault="00532C25" w:rsidP="00532C25">
      <w:pPr>
        <w:suppressAutoHyphens/>
        <w:spacing w:line="264" w:lineRule="auto"/>
        <w:ind w:firstLine="0"/>
        <w:jc w:val="center"/>
        <w:rPr>
          <w:rFonts w:ascii="Arial" w:eastAsia="MS Mincho" w:hAnsi="Arial" w:cs="Arial"/>
          <w:szCs w:val="28"/>
          <w:lang w:val="uk-UA" w:eastAsia="ru-RU"/>
        </w:rPr>
      </w:pPr>
      <w:r w:rsidRPr="00511005">
        <w:rPr>
          <w:rFonts w:ascii="Arial" w:eastAsia="MS Mincho" w:hAnsi="Arial" w:cs="Arial"/>
          <w:szCs w:val="28"/>
          <w:lang w:val="uk-UA" w:eastAsia="ru-RU"/>
        </w:rPr>
        <w:t xml:space="preserve">студент 4-го курсу факультету кібербезпеки та інформаційних технологій </w:t>
      </w:r>
    </w:p>
    <w:p w14:paraId="557CC8D5" w14:textId="77777777" w:rsidR="00532C25" w:rsidRPr="00511005" w:rsidRDefault="00532C25" w:rsidP="00532C25">
      <w:pPr>
        <w:suppressAutoHyphens/>
        <w:spacing w:line="264" w:lineRule="auto"/>
        <w:ind w:firstLine="0"/>
        <w:jc w:val="center"/>
        <w:rPr>
          <w:rFonts w:ascii="Arial" w:eastAsia="MS Mincho" w:hAnsi="Arial" w:cs="Arial"/>
          <w:szCs w:val="28"/>
        </w:rPr>
      </w:pPr>
      <w:r w:rsidRPr="00511005">
        <w:rPr>
          <w:rFonts w:ascii="Arial" w:eastAsia="MS Mincho" w:hAnsi="Arial" w:cs="Arial"/>
          <w:szCs w:val="28"/>
          <w:lang w:val="uk-UA" w:eastAsia="ru-RU"/>
        </w:rPr>
        <w:t>Національного університету «Одеська юридична академія»</w:t>
      </w:r>
    </w:p>
    <w:p w14:paraId="2F31698C" w14:textId="77777777" w:rsidR="00532C25" w:rsidRPr="00511005" w:rsidRDefault="00532C25" w:rsidP="00532C25">
      <w:pPr>
        <w:suppressAutoHyphens/>
        <w:spacing w:line="264" w:lineRule="auto"/>
        <w:ind w:firstLine="0"/>
        <w:jc w:val="center"/>
        <w:rPr>
          <w:rFonts w:ascii="Arial" w:eastAsia="MS Mincho" w:hAnsi="Arial" w:cs="Arial"/>
          <w:i/>
          <w:iCs/>
          <w:szCs w:val="28"/>
          <w:lang w:val="uk-UA" w:eastAsia="ru-RU"/>
        </w:rPr>
      </w:pPr>
    </w:p>
    <w:p w14:paraId="15AAF55B" w14:textId="77777777" w:rsidR="00532C25" w:rsidRPr="00511005" w:rsidRDefault="00532C25" w:rsidP="00532C25">
      <w:pPr>
        <w:suppressAutoHyphens/>
        <w:spacing w:line="264" w:lineRule="auto"/>
        <w:ind w:right="113" w:firstLine="0"/>
        <w:jc w:val="center"/>
        <w:rPr>
          <w:rFonts w:ascii="Arial" w:eastAsia="MS Mincho" w:hAnsi="Arial" w:cs="Arial"/>
          <w:szCs w:val="28"/>
        </w:rPr>
      </w:pPr>
      <w:r w:rsidRPr="00511005">
        <w:rPr>
          <w:rFonts w:ascii="Arial" w:eastAsia="MS Mincho" w:hAnsi="Arial" w:cs="Arial"/>
          <w:b/>
          <w:szCs w:val="28"/>
        </w:rPr>
        <w:t>СИСТЕМА ЗАХИСТУ ТА РЕЗЕРВНОГО КОПІЮВАННЯ ДАНИХ ВЕБСЕРВЕРУ</w:t>
      </w:r>
    </w:p>
    <w:p w14:paraId="5A936133"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У сучасному цифровому світі резервне копіювання відіграє критично важливу роль. З розвитком технологій і все більшим переходом до цифрових форматів, дані стали однією з найцінніших форм власності, будь то для бізнесу, державних органів чи приватних осіб. Дані стають основою для ухвалення рішень, розвитку інновацій та забезпечення функціонування </w:t>
      </w:r>
      <w:proofErr w:type="gramStart"/>
      <w:r w:rsidRPr="00511005">
        <w:rPr>
          <w:rFonts w:ascii="Arial" w:eastAsia="MS Mincho" w:hAnsi="Arial" w:cs="Arial"/>
          <w:szCs w:val="28"/>
        </w:rPr>
        <w:t>суспільства[</w:t>
      </w:r>
      <w:proofErr w:type="gramEnd"/>
      <w:r w:rsidRPr="00511005">
        <w:rPr>
          <w:rFonts w:ascii="Arial" w:eastAsia="MS Mincho" w:hAnsi="Arial" w:cs="Arial"/>
          <w:szCs w:val="28"/>
        </w:rPr>
        <w:t xml:space="preserve">1],[2]. Обсяг даних постійно зростає. Резервне копіювання стає невід’ємною частиною управління даними </w:t>
      </w:r>
      <w:proofErr w:type="gramStart"/>
      <w:r w:rsidRPr="00511005">
        <w:rPr>
          <w:rFonts w:ascii="Arial" w:eastAsia="MS Mincho" w:hAnsi="Arial" w:cs="Arial"/>
          <w:szCs w:val="28"/>
        </w:rPr>
        <w:t>в будь</w:t>
      </w:r>
      <w:proofErr w:type="gramEnd"/>
      <w:r w:rsidRPr="00511005">
        <w:rPr>
          <w:rFonts w:ascii="Arial" w:eastAsia="MS Mincho" w:hAnsi="Arial" w:cs="Arial"/>
          <w:szCs w:val="28"/>
        </w:rPr>
        <w:t xml:space="preserve">-якому масштабі – від індивідуальних користувачів до великих корпорацій. Воно забезпечує збереження даних, дозволяючи відновити їх у разі будь-яких непередбачених обставин, таких як апаратні збої, вірусні атаки або навіть фізичні катастрофи, як-от пожежі чи повені. </w:t>
      </w:r>
    </w:p>
    <w:p w14:paraId="6304C3C2"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Сьогодні, коли практично всі аспекти нашого життя та бізнесу пов'язані з цифровими технологіями, втрата даних може мати катастрофічні наслідки. Навіть короткочасна втрата доступу до важливих файлів може викликати </w:t>
      </w:r>
      <w:r w:rsidRPr="00511005">
        <w:rPr>
          <w:rFonts w:ascii="Arial" w:eastAsia="MS Mincho" w:hAnsi="Arial" w:cs="Arial"/>
          <w:szCs w:val="28"/>
        </w:rPr>
        <w:lastRenderedPageBreak/>
        <w:t xml:space="preserve">значні перебої в роботі бізнесу, а для окремих користувачів – призвести до втрати незамінних спогадів чи особистих документів. </w:t>
      </w:r>
    </w:p>
    <w:p w14:paraId="48D6C856"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Однак із розвитком технологій зростає і кількість потенційних загроз, які можуть поставити під загрозу безпеку даних. Стратегія резервного копіювання є ключовим елементом забезпечення надійності та безпеки інформаційних систем. Вона визначає порядок, частоту та засоби створення копій даних для запобігання їх втраті у разі збоїв або непередбачуваних ситуацій. Резервне копіювання - це "остання лінія оборони". </w:t>
      </w:r>
    </w:p>
    <w:p w14:paraId="72D0636E"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До резервного копіювання пред'являється ряд вимог, які склалися з практикою використання та відновлення даних. Зокрема, резервні копії не повинні зберігатися на робочій станції проєкту. Це повинна бути окрема станція, дуже бажано фізично відокремлена від робочої. Різні кімнати, в ідеалі - різні будівлі. Ця вимога пов'язана зі тим, що якщо резервна копія зберігається на робочій станції, доступ до резервної копії буде втрачено, коли станція не буде видалена. Фізичний підрозділ також забезпечує додаткову безпеку резервного копіювання. Слід пам'ятати, що крім кібератаки, на робочу станцію може бути оказано суто фізичний вплив: пожежа, затоплення приміщень, пошкодження внаслідок військових дій.</w:t>
      </w:r>
    </w:p>
    <w:p w14:paraId="3F836B25"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Так, з одного боку, резервні копії даних повинні зберігатися окремо від загальної інфраструктури (в ідеалі окремо фізично та географічно), щоб її вихід з ладу не вплинув на бекапи. Однак, з іншого боку, зберігання резервних копій даних має виключати або мінімізувати ризики доступу до них третіх осіб, оскільки в цьому випадку виникають додаткові загрози. По-перше, існує загроза витоку даних, а </w:t>
      </w:r>
      <w:proofErr w:type="gramStart"/>
      <w:r w:rsidRPr="00511005">
        <w:rPr>
          <w:rFonts w:ascii="Arial" w:eastAsia="MS Mincho" w:hAnsi="Arial" w:cs="Arial"/>
          <w:szCs w:val="28"/>
        </w:rPr>
        <w:t>по-друге</w:t>
      </w:r>
      <w:proofErr w:type="gramEnd"/>
      <w:r w:rsidRPr="00511005">
        <w:rPr>
          <w:rFonts w:ascii="Arial" w:eastAsia="MS Mincho" w:hAnsi="Arial" w:cs="Arial"/>
          <w:szCs w:val="28"/>
        </w:rPr>
        <w:t>, зловмисники, які атакують основну станцію, можуть досягти своєї мети, включаючи знищення резервних копій даних, і таким чином досягти своєї мети. Тому особливу увагу слід приділити зберіганню резервних копій даних, а самі дані повинні бути зашифровані. Також необхідно провести «вправи» з тестового відновлення системи з резервної копії даних, щоб переконатися, що в разі реального збою все буде працювати адекватно.</w:t>
      </w:r>
    </w:p>
    <w:p w14:paraId="2FB251C5"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Процедуру відновлення після збоїв і повної втрати продуктивності системи можна звести до наступних етапів: </w:t>
      </w:r>
    </w:p>
    <w:p w14:paraId="66F7B88C"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 відновлення та тестування функціонування hardware; </w:t>
      </w:r>
    </w:p>
    <w:p w14:paraId="486FC5B9"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після відновлення апаратної частини - установка і розгортання програмної частини (така операція може включати в себе установку операційної системи, установку програмного забезпечення - СУБД, веб-серверів і так далі);</w:t>
      </w:r>
    </w:p>
    <w:p w14:paraId="03013582"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розпакування та відновлення з резервних копій даних (баз даних сайтів, баз даних користувачів та транзакцій користувачів тощо).</w:t>
      </w:r>
    </w:p>
    <w:p w14:paraId="606E73E6"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Резервування може використовувати одну з трьох </w:t>
      </w:r>
      <w:proofErr w:type="gramStart"/>
      <w:r w:rsidRPr="00511005">
        <w:rPr>
          <w:rFonts w:ascii="Arial" w:eastAsia="MS Mincho" w:hAnsi="Arial" w:cs="Arial"/>
          <w:szCs w:val="28"/>
        </w:rPr>
        <w:t>стратегій[</w:t>
      </w:r>
      <w:proofErr w:type="gramEnd"/>
      <w:r w:rsidRPr="00511005">
        <w:rPr>
          <w:rFonts w:ascii="Arial" w:eastAsia="MS Mincho" w:hAnsi="Arial" w:cs="Arial"/>
          <w:szCs w:val="28"/>
        </w:rPr>
        <w:t>3]:</w:t>
      </w:r>
    </w:p>
    <w:p w14:paraId="086116D4"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Повний бекап (full backup)</w:t>
      </w:r>
    </w:p>
    <w:p w14:paraId="0FB56616"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Інкрементальний бекап (incremental backup)</w:t>
      </w:r>
    </w:p>
    <w:p w14:paraId="3D1A0DC5"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lastRenderedPageBreak/>
        <w:t>- Диференціальний бекап (differential backup)</w:t>
      </w:r>
    </w:p>
    <w:p w14:paraId="2B8F05C0"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При повному бекапі щоразу створюється повна копія всієї системи, точніше всіх тих даних, які ви визначили для резервного копіювання при постановці завдання. Для зменшення підсумкового обсягу резервної копії всі дані стискаються до архіву.</w:t>
      </w:r>
    </w:p>
    <w:p w14:paraId="28DC5FA8"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Інкрементальний бекап набагато економніший і швидший, ніж повний бекап, оскільки в цьому процесі копіюються ті файли, які змінилися з часу попереднього резервного копіювання. Вихідні дані, записані спочатку, не перезаписуються. </w:t>
      </w:r>
    </w:p>
    <w:p w14:paraId="294E7FC2"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При диференційному бекапі відбувається копіювання «наростаючим результатом»: кожен змінений файл у кожній наступній точці бекапу копіюється заново. Диференціальний бекап виграє перед інкрементальним у разі швидкості відновлення даних – час на цю операцію у нього менший, оскільки порівнюються повні копії та не потрібно поетапного відновлення.</w:t>
      </w:r>
    </w:p>
    <w:p w14:paraId="4387F325"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Однією з найбільш поширених практичних реалізацій системи резервування на практиці є методологія 3-2-1, яка гарантує належний захист даних і доступність резервних копій даних у разі потреби [4]. </w:t>
      </w:r>
    </w:p>
    <w:p w14:paraId="518798B9"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В абревіатурі 3-2-1 закодовані наступні етапи методики. 3 - це три копії даних – це включає оригінальні дані та щонайменше дві резервні копії. 2 - це два різних типи сховища. Це можуть бути як внутрішній жорсткий диск, так і зовнішній жорсткий диск, так і інший зовнішній накопичувач або хмарне середовище резервного копіювання. 1 - одна Фізично віддалена копія за межами робочого простіру. Таким чином 3-2-1 це три копії даних, які зберігаються на двох різних типах носіїв, при цьому одна копія даних розміщується у віддаленому місці. Таким чином, дана методологія поєднує в собі ефективність, віддаленість і економічність роботи з резервуванням.</w:t>
      </w:r>
    </w:p>
    <w:p w14:paraId="59FAD995"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Ключовим елементом процесів резервного копіювання та відновлення є автоматизація загального </w:t>
      </w:r>
      <w:proofErr w:type="gramStart"/>
      <w:r w:rsidRPr="00511005">
        <w:rPr>
          <w:rFonts w:ascii="Arial" w:eastAsia="MS Mincho" w:hAnsi="Arial" w:cs="Arial"/>
          <w:szCs w:val="28"/>
        </w:rPr>
        <w:t>процесу[</w:t>
      </w:r>
      <w:proofErr w:type="gramEnd"/>
      <w:r w:rsidRPr="00511005">
        <w:rPr>
          <w:rFonts w:ascii="Arial" w:eastAsia="MS Mincho" w:hAnsi="Arial" w:cs="Arial"/>
          <w:szCs w:val="28"/>
        </w:rPr>
        <w:t>5]. Людський фактор, будучи залученим до робочого процесу, вносить ризики невиконання і системних збоїв. Тому резервуваяня має здійснюватися автоматично і, в ідеалі, з мінімальною участю людини.</w:t>
      </w:r>
    </w:p>
    <w:p w14:paraId="077A03F2" w14:textId="77777777" w:rsidR="00532C25" w:rsidRPr="00511005" w:rsidRDefault="00532C25" w:rsidP="00532C25">
      <w:pPr>
        <w:suppressAutoHyphens/>
        <w:spacing w:line="264" w:lineRule="auto"/>
        <w:rPr>
          <w:rFonts w:ascii="Arial" w:eastAsia="MS Mincho" w:hAnsi="Arial" w:cs="Arial"/>
          <w:szCs w:val="28"/>
        </w:rPr>
      </w:pPr>
    </w:p>
    <w:p w14:paraId="6EF61415" w14:textId="77777777" w:rsidR="00532C25" w:rsidRPr="00511005" w:rsidRDefault="00532C25" w:rsidP="00532C25">
      <w:pPr>
        <w:suppressAutoHyphens/>
        <w:spacing w:line="264" w:lineRule="auto"/>
        <w:ind w:firstLine="0"/>
        <w:contextualSpacing/>
        <w:jc w:val="center"/>
        <w:rPr>
          <w:rFonts w:ascii="Arial" w:eastAsia="MS Mincho" w:hAnsi="Arial" w:cs="Arial"/>
          <w:szCs w:val="28"/>
        </w:rPr>
      </w:pPr>
      <w:r w:rsidRPr="00511005">
        <w:rPr>
          <w:rFonts w:ascii="Arial" w:eastAsia="MS Mincho" w:hAnsi="Arial" w:cs="Arial"/>
          <w:b/>
          <w:szCs w:val="28"/>
          <w:lang w:val="uk-UA"/>
        </w:rPr>
        <w:t>Список використаних джерел</w:t>
      </w:r>
    </w:p>
    <w:p w14:paraId="716D5A2B" w14:textId="77777777" w:rsidR="00532C25" w:rsidRPr="00511005" w:rsidRDefault="00532C25" w:rsidP="003F6A5D">
      <w:pPr>
        <w:numPr>
          <w:ilvl w:val="0"/>
          <w:numId w:val="692"/>
        </w:numPr>
        <w:suppressAutoHyphens/>
        <w:spacing w:line="264" w:lineRule="auto"/>
        <w:ind w:hanging="720"/>
        <w:contextualSpacing/>
        <w:jc w:val="left"/>
        <w:rPr>
          <w:rFonts w:ascii="Arial" w:eastAsia="MS Mincho" w:hAnsi="Arial" w:cs="Arial"/>
          <w:szCs w:val="28"/>
          <w:lang w:val="en-US"/>
        </w:rPr>
      </w:pPr>
      <w:r w:rsidRPr="00511005">
        <w:rPr>
          <w:rFonts w:ascii="Arial" w:eastAsia="MS Mincho" w:hAnsi="Arial" w:cs="Arial"/>
          <w:szCs w:val="28"/>
          <w:lang w:val="uk-UA"/>
        </w:rPr>
        <w:t>AI Attacks On The Rise - Amazon Fights 1 Billion+ Threats A Day [Електронний ресурс]. – Режим доступу : https://accuknox.com/blog/ai-attacks-on-the-rise (дата звернення: 2025-04-13). – Назва з екрана.</w:t>
      </w:r>
    </w:p>
    <w:p w14:paraId="0B291D3C" w14:textId="77777777" w:rsidR="00532C25" w:rsidRPr="00511005" w:rsidRDefault="00532C25" w:rsidP="003F6A5D">
      <w:pPr>
        <w:numPr>
          <w:ilvl w:val="0"/>
          <w:numId w:val="692"/>
        </w:numPr>
        <w:suppressAutoHyphens/>
        <w:spacing w:line="264" w:lineRule="auto"/>
        <w:ind w:hanging="720"/>
        <w:contextualSpacing/>
        <w:jc w:val="left"/>
        <w:rPr>
          <w:rFonts w:ascii="Arial" w:eastAsia="MS Mincho" w:hAnsi="Arial" w:cs="Arial"/>
          <w:szCs w:val="28"/>
          <w:lang w:val="en-US"/>
        </w:rPr>
      </w:pPr>
      <w:r w:rsidRPr="00511005">
        <w:rPr>
          <w:rFonts w:ascii="Arial" w:eastAsia="MS Mincho" w:hAnsi="Arial" w:cs="Arial"/>
          <w:szCs w:val="28"/>
          <w:lang w:val="uk-UA"/>
        </w:rPr>
        <w:t>Amazon Web Services Data Breach in 2025 [Електронний ресурс]. – Режим доступу : https://www.breachsense.com/breaches/amazon-web-services-data-breach/ (дата звернення: 2025-04-13). – Назва з екрана.</w:t>
      </w:r>
    </w:p>
    <w:p w14:paraId="435332C8" w14:textId="77777777" w:rsidR="00532C25" w:rsidRPr="00511005" w:rsidRDefault="00532C25" w:rsidP="003F6A5D">
      <w:pPr>
        <w:numPr>
          <w:ilvl w:val="0"/>
          <w:numId w:val="692"/>
        </w:numPr>
        <w:suppressAutoHyphens/>
        <w:spacing w:line="264" w:lineRule="auto"/>
        <w:ind w:hanging="720"/>
        <w:contextualSpacing/>
        <w:jc w:val="left"/>
        <w:rPr>
          <w:rFonts w:ascii="Arial" w:eastAsia="MS Mincho" w:hAnsi="Arial" w:cs="Arial"/>
          <w:szCs w:val="28"/>
          <w:lang w:val="en-US"/>
        </w:rPr>
      </w:pPr>
      <w:r w:rsidRPr="00511005">
        <w:rPr>
          <w:rFonts w:ascii="Arial" w:eastAsia="MS Mincho" w:hAnsi="Arial" w:cs="Arial"/>
          <w:szCs w:val="28"/>
          <w:lang w:val="uk-UA"/>
        </w:rPr>
        <w:t>Full vs. Incremental vs. Differential: Comparing Backup Types | TechTarget [Електронний ресурс]. – Режим доступу : https://www.techtarget.com/searchdatabackup/tip/Data-backup-types-</w:t>
      </w:r>
      <w:r w:rsidRPr="00511005">
        <w:rPr>
          <w:rFonts w:ascii="Arial" w:eastAsia="MS Mincho" w:hAnsi="Arial" w:cs="Arial"/>
          <w:szCs w:val="28"/>
          <w:lang w:val="uk-UA"/>
        </w:rPr>
        <w:lastRenderedPageBreak/>
        <w:t>explained-Full-incremental-differential-and-incremental-forever-backup (дата звернення: 2025-04-13). – Назва з екрана.</w:t>
      </w:r>
    </w:p>
    <w:p w14:paraId="69CFEE08" w14:textId="77777777" w:rsidR="00532C25" w:rsidRPr="00511005" w:rsidRDefault="00532C25" w:rsidP="003F6A5D">
      <w:pPr>
        <w:numPr>
          <w:ilvl w:val="0"/>
          <w:numId w:val="692"/>
        </w:numPr>
        <w:suppressAutoHyphens/>
        <w:spacing w:line="264" w:lineRule="auto"/>
        <w:ind w:hanging="720"/>
        <w:contextualSpacing/>
        <w:jc w:val="left"/>
        <w:rPr>
          <w:rFonts w:ascii="Arial" w:eastAsia="MS Mincho" w:hAnsi="Arial" w:cs="Arial"/>
          <w:szCs w:val="28"/>
        </w:rPr>
      </w:pPr>
      <w:r w:rsidRPr="00511005">
        <w:rPr>
          <w:rFonts w:ascii="Arial" w:eastAsia="MS Mincho" w:hAnsi="Arial" w:cs="Arial"/>
          <w:szCs w:val="28"/>
          <w:lang w:val="uk-UA"/>
        </w:rPr>
        <w:t>What Is the 3-2-1 Backup Strategy? | Pure Storage [Електронний ресурс]. – Режим доступу : https://www.purestorage.com/knowledge/3-2-1-backup-strategy.html (дата звернення: 2025-04-13). – Назва з екрана.</w:t>
      </w:r>
    </w:p>
    <w:p w14:paraId="68EB9EC4" w14:textId="77777777" w:rsidR="00532C25" w:rsidRPr="00511005" w:rsidRDefault="00532C25" w:rsidP="003F6A5D">
      <w:pPr>
        <w:numPr>
          <w:ilvl w:val="0"/>
          <w:numId w:val="692"/>
        </w:numPr>
        <w:suppressAutoHyphens/>
        <w:spacing w:line="264" w:lineRule="auto"/>
        <w:ind w:hanging="720"/>
        <w:contextualSpacing/>
        <w:jc w:val="left"/>
        <w:rPr>
          <w:rFonts w:ascii="Arial" w:eastAsia="MS Mincho" w:hAnsi="Arial" w:cs="Arial"/>
          <w:szCs w:val="28"/>
          <w:lang w:val="uk-UA"/>
        </w:rPr>
      </w:pPr>
      <w:r w:rsidRPr="00511005">
        <w:rPr>
          <w:rFonts w:ascii="Arial" w:eastAsia="MS Mincho" w:hAnsi="Arial" w:cs="Arial"/>
          <w:szCs w:val="28"/>
          <w:lang w:val="uk-UA"/>
        </w:rPr>
        <w:t>What is Linux Server Automation? | 5 Best Tools to Automate System Admin Tasks on Linux - AttuneOps [Електронний ресурс]. – Режим доступу : https://attuneops.io/linux-server-automation/ (дата звернення: 2025-04-13). – Назва з екрана.</w:t>
      </w:r>
    </w:p>
    <w:p w14:paraId="3236BAB1" w14:textId="77777777" w:rsidR="00532C25" w:rsidRPr="00511005" w:rsidRDefault="00532C25" w:rsidP="00532C25">
      <w:pPr>
        <w:suppressAutoHyphens/>
        <w:spacing w:line="264" w:lineRule="auto"/>
        <w:contextualSpacing/>
        <w:rPr>
          <w:rFonts w:ascii="Arial" w:eastAsia="MS Mincho" w:hAnsi="Arial" w:cs="Arial"/>
          <w:szCs w:val="28"/>
          <w:lang w:val="uk-UA"/>
        </w:rPr>
      </w:pPr>
      <w:r w:rsidRPr="00511005">
        <w:rPr>
          <w:rFonts w:ascii="Arial" w:eastAsia="MS Mincho" w:hAnsi="Arial" w:cs="Arial"/>
          <w:b/>
          <w:i/>
          <w:szCs w:val="28"/>
          <w:lang w:val="uk-UA"/>
        </w:rPr>
        <w:t xml:space="preserve">Ключові слова: </w:t>
      </w:r>
      <w:r w:rsidRPr="00511005">
        <w:rPr>
          <w:rFonts w:ascii="Arial" w:eastAsia="MS Mincho" w:hAnsi="Arial" w:cs="Arial"/>
          <w:szCs w:val="28"/>
          <w:lang w:val="uk-UA"/>
        </w:rPr>
        <w:t>резервні копії, кіберзагрози, бекапи, кібератака, мережева інфраструктура, кіберзагрози, резервування, стійкість функціонування, інформаційно-комунікаційні системи</w:t>
      </w:r>
    </w:p>
    <w:p w14:paraId="78A4EAF2" w14:textId="77777777" w:rsidR="00532C25" w:rsidRPr="00511005" w:rsidRDefault="00532C25" w:rsidP="00532C25">
      <w:pPr>
        <w:suppressAutoHyphens/>
        <w:spacing w:line="264" w:lineRule="auto"/>
        <w:contextualSpacing/>
        <w:rPr>
          <w:rFonts w:ascii="Arial" w:eastAsia="MS Mincho" w:hAnsi="Arial" w:cs="Arial"/>
          <w:szCs w:val="28"/>
          <w:lang w:val="uk-UA"/>
        </w:rPr>
      </w:pPr>
      <w:r w:rsidRPr="00511005">
        <w:rPr>
          <w:rFonts w:ascii="Arial" w:eastAsia="MS Mincho" w:hAnsi="Arial" w:cs="Arial"/>
          <w:b/>
          <w:i/>
          <w:szCs w:val="28"/>
          <w:lang w:val="uk-UA"/>
        </w:rPr>
        <w:t xml:space="preserve">Key words: </w:t>
      </w:r>
      <w:r w:rsidRPr="00511005">
        <w:rPr>
          <w:rFonts w:ascii="Arial" w:eastAsia="MS Mincho" w:hAnsi="Arial" w:cs="Arial"/>
          <w:szCs w:val="28"/>
          <w:lang w:val="uk-UA"/>
        </w:rPr>
        <w:t>backups, cyber attack, cyber threats, information and communication systems, network infrastructure, redundancy</w:t>
      </w:r>
    </w:p>
    <w:p w14:paraId="69D62D2A" w14:textId="77777777" w:rsidR="00532C25" w:rsidRPr="00511005" w:rsidRDefault="00532C25" w:rsidP="00532C25">
      <w:pPr>
        <w:keepNext/>
        <w:widowControl w:val="0"/>
        <w:spacing w:line="264" w:lineRule="auto"/>
        <w:ind w:firstLine="708"/>
        <w:rPr>
          <w:rFonts w:ascii="Arial" w:eastAsia="MS Mincho" w:hAnsi="Arial" w:cs="Arial"/>
          <w:b/>
          <w:bCs/>
          <w:i/>
          <w:iCs/>
          <w:szCs w:val="28"/>
          <w:lang w:eastAsia="ru-RU"/>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szCs w:val="28"/>
          <w:lang w:val="uk-UA"/>
        </w:rPr>
        <w:t xml:space="preserve">к.т.н., доцент </w:t>
      </w:r>
      <w:r w:rsidRPr="00511005">
        <w:rPr>
          <w:rFonts w:ascii="Arial" w:eastAsia="MS Mincho" w:hAnsi="Arial" w:cs="Arial"/>
          <w:szCs w:val="28"/>
          <w:lang w:eastAsia="ru-RU"/>
        </w:rPr>
        <w:t>Бойко</w:t>
      </w:r>
      <w:r w:rsidRPr="00511005">
        <w:rPr>
          <w:rFonts w:ascii="Arial" w:eastAsia="MS Mincho" w:hAnsi="Arial" w:cs="Arial"/>
          <w:b/>
          <w:bCs/>
          <w:i/>
          <w:iCs/>
          <w:szCs w:val="28"/>
          <w:lang w:eastAsia="ru-RU"/>
        </w:rPr>
        <w:t xml:space="preserve"> </w:t>
      </w:r>
      <w:r w:rsidRPr="00511005">
        <w:rPr>
          <w:rFonts w:ascii="Arial" w:eastAsia="Calibri" w:hAnsi="Arial" w:cs="Arial"/>
          <w:bCs/>
          <w:szCs w:val="28"/>
          <w:lang w:val="uk-UA"/>
        </w:rPr>
        <w:t>В.</w:t>
      </w:r>
    </w:p>
    <w:p w14:paraId="588F89C9" w14:textId="77777777" w:rsidR="00532C25" w:rsidRPr="00511005" w:rsidRDefault="00532C25" w:rsidP="00532C25">
      <w:pPr>
        <w:suppressAutoHyphens/>
        <w:spacing w:line="264" w:lineRule="auto"/>
        <w:ind w:firstLine="0"/>
        <w:jc w:val="center"/>
        <w:rPr>
          <w:rFonts w:ascii="Arial" w:eastAsia="Times New Roman" w:hAnsi="Arial" w:cs="Arial"/>
          <w:b/>
          <w:i/>
          <w:iCs/>
          <w:szCs w:val="28"/>
          <w:lang w:eastAsia="ru-RU"/>
        </w:rPr>
      </w:pPr>
    </w:p>
    <w:p w14:paraId="15A5C295" w14:textId="77777777" w:rsidR="00532C25" w:rsidRPr="00511005" w:rsidRDefault="00532C25" w:rsidP="00532C25">
      <w:pPr>
        <w:suppressAutoHyphens/>
        <w:spacing w:line="264" w:lineRule="auto"/>
        <w:ind w:firstLine="0"/>
        <w:jc w:val="center"/>
        <w:rPr>
          <w:rFonts w:ascii="Arial" w:eastAsia="Times New Roman" w:hAnsi="Arial" w:cs="Arial"/>
          <w:b/>
          <w:i/>
          <w:iCs/>
          <w:szCs w:val="28"/>
          <w:lang w:eastAsia="ru-RU"/>
        </w:rPr>
      </w:pPr>
    </w:p>
    <w:p w14:paraId="13268A73" w14:textId="77777777" w:rsidR="00532C25" w:rsidRPr="00511005" w:rsidRDefault="00532C25" w:rsidP="00532C25">
      <w:pPr>
        <w:suppressAutoHyphens/>
        <w:spacing w:line="264" w:lineRule="auto"/>
        <w:ind w:firstLine="0"/>
        <w:jc w:val="center"/>
        <w:rPr>
          <w:rFonts w:ascii="Arial" w:eastAsia="Times New Roman" w:hAnsi="Arial" w:cs="Arial"/>
          <w:i/>
          <w:iCs/>
          <w:szCs w:val="28"/>
          <w:lang w:eastAsia="ru-RU"/>
        </w:rPr>
      </w:pPr>
      <w:r w:rsidRPr="00511005">
        <w:rPr>
          <w:rFonts w:ascii="Arial" w:eastAsia="Times New Roman" w:hAnsi="Arial" w:cs="Arial"/>
          <w:b/>
          <w:i/>
          <w:iCs/>
          <w:szCs w:val="28"/>
          <w:lang w:eastAsia="ru-RU"/>
        </w:rPr>
        <w:t>Слободянюк Володимир</w:t>
      </w:r>
    </w:p>
    <w:p w14:paraId="489A19B8" w14:textId="77777777" w:rsidR="00532C25" w:rsidRPr="00511005" w:rsidRDefault="00532C25" w:rsidP="00532C25">
      <w:pPr>
        <w:suppressAutoHyphen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 4-го курсу </w:t>
      </w:r>
      <w:r w:rsidRPr="00511005">
        <w:rPr>
          <w:rFonts w:ascii="Arial" w:eastAsia="Times New Roman" w:hAnsi="Arial" w:cs="Arial"/>
          <w:szCs w:val="28"/>
          <w:lang w:eastAsia="ru-RU"/>
        </w:rPr>
        <w:t>факультету кібербезпеки та інформаційних технологій</w:t>
      </w:r>
    </w:p>
    <w:p w14:paraId="5AD98DAC" w14:textId="77777777" w:rsidR="00532C25" w:rsidRPr="00511005" w:rsidRDefault="00532C25" w:rsidP="00532C25">
      <w:pPr>
        <w:suppressAutoHyphens/>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671CD38D" w14:textId="77777777" w:rsidR="00532C25" w:rsidRPr="00511005" w:rsidRDefault="00532C25" w:rsidP="00532C25">
      <w:pPr>
        <w:suppressAutoHyphens/>
        <w:spacing w:line="264" w:lineRule="auto"/>
        <w:ind w:firstLine="0"/>
        <w:jc w:val="center"/>
        <w:rPr>
          <w:rFonts w:ascii="Arial" w:eastAsia="Times New Roman" w:hAnsi="Arial" w:cs="Arial"/>
          <w:szCs w:val="28"/>
          <w:lang w:eastAsia="ru-RU"/>
        </w:rPr>
      </w:pPr>
    </w:p>
    <w:p w14:paraId="57ECC0C8" w14:textId="77777777" w:rsidR="00532C25" w:rsidRPr="00511005" w:rsidRDefault="00532C25" w:rsidP="00532C25">
      <w:pPr>
        <w:suppressAutoHyphens/>
        <w:spacing w:line="264" w:lineRule="auto"/>
        <w:ind w:firstLine="0"/>
        <w:jc w:val="center"/>
        <w:rPr>
          <w:rFonts w:ascii="Arial" w:eastAsia="Times New Roman" w:hAnsi="Arial" w:cs="Arial"/>
          <w:i/>
          <w:szCs w:val="28"/>
          <w:lang w:val="uk-UA" w:eastAsia="ru-RU"/>
        </w:rPr>
      </w:pPr>
      <w:r w:rsidRPr="00511005">
        <w:rPr>
          <w:rFonts w:ascii="Arial" w:eastAsia="Times New Roman" w:hAnsi="Arial" w:cs="Arial"/>
          <w:b/>
          <w:bCs/>
          <w:iCs/>
          <w:szCs w:val="28"/>
          <w:lang w:val="uk-UA" w:eastAsia="ru-RU"/>
        </w:rPr>
        <w:t>ПОРІВНЯННЯ ЕФЕКТИВНОСТІ ЗАСОБІВ АНОНІМІЗАЦІЇ ТРАФІКУ КОРИСТУВАЧА</w:t>
      </w:r>
    </w:p>
    <w:p w14:paraId="30AC9C76"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 умовах швидкого розвитку цифрових технологій і зростаючого рівня контролю за онлайн-активністю, питання конфіденційності в Інтернеті стає особливо важливим. Сьогоднішня інформаційна екосистема загрожує приватності користувачів через державні структури, комерційні компанії та постачальників інтернет-послуг, які можуть масштабно моніторити, збирати, аналізувати і зберігати персональні дані.</w:t>
      </w:r>
    </w:p>
    <w:p w14:paraId="68FB329B"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таких обставинах засоби анонімізації трафіку стають ключовим елементом цифрової безпеки. Анонімізація дозволяє приховувати особисту інформацію, місцезнаходження, історію переглядів та інші характеристики цифрової ідентичності, даючи користувачам можливість залишатися непоміченими в кіберпросторі і зберігати своє право на приватність.</w:t>
      </w:r>
    </w:p>
    <w:p w14:paraId="07D1590D"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Беручи до уваги різноманітність технологій анонімізації — таких як мережі Tor, I2P, VPN-сервіси та інші — є потреба в комплексному аналізі їхньої ефективності. Це включає не лише здатність окремого інструменту приховувати IP-адресу користувача чи шифрувати трафік, але й його опірність сучасним методам деанонімізації, простоту у використанні, продуктивність, а також можливість долати блокування і цензуру.</w:t>
      </w:r>
    </w:p>
    <w:p w14:paraId="0551FB0D"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Тому дослідження, спрямоване на оцінку ефективності різних засобів анонімізації користувацького трафіку, стає актуальним через необхідність </w:t>
      </w:r>
      <w:r w:rsidRPr="00511005">
        <w:rPr>
          <w:rFonts w:ascii="Arial" w:eastAsia="Times New Roman" w:hAnsi="Arial" w:cs="Arial"/>
          <w:szCs w:val="28"/>
          <w:lang w:val="uk-UA" w:eastAsia="ru-RU"/>
        </w:rPr>
        <w:lastRenderedPageBreak/>
        <w:t>підвищення рівня інформаційної безпеки, захисту персональних даних і протидії репресивному або комерційно мотивованому контролю в цифровому середовищі.</w:t>
      </w:r>
    </w:p>
    <w:p w14:paraId="3518E575"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Серед найвідоміших інструментів анонімізації — мережі Tor, I2P та VPN-сервіси. Кожна з цих технологій має унікальну архітектуру, переваги і недоліки, що роблять їх доцільними для різних видів застосування.</w:t>
      </w:r>
    </w:p>
    <w:p w14:paraId="17279B23"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Tor (The Onion Router) — це багаторівнева система маршрутизації, яка надає високий рівень анонімності через шифрування даних на кількох вузлах мережі. Це значно ускладнює відстеження джерела запиту навіть для потужних супротивників. Основні недоліки Tor включають порівняно низьку швидкість з'єднання і вразливість до аналізу трафіку з боку глобальних учасників. [1]</w:t>
      </w:r>
    </w:p>
    <w:p w14:paraId="65775B30"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I2P (Invisible Internet Project) є децентралізованою анонімною мережею, яка захищає дані шляхом двостороннього тунелювання та динамічних маршрутів. Вона більшою мірою підходить для доступу до внутрішніх сервісів (eepsites), ніж для серфінгу в глобальному інтернеті, що знижує її універсальність в порівнянні з Tor. [2]</w:t>
      </w:r>
    </w:p>
    <w:p w14:paraId="2EF23999" w14:textId="77777777" w:rsidR="00532C25" w:rsidRPr="00511005" w:rsidRDefault="00532C25" w:rsidP="00532C25">
      <w:pPr>
        <w:suppressAutoHyphen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VPN (Virtual Private Network) є популярним засобом захисту трафіку через тунелювання. VPN-сервери шифрують усі передані дані, приховуючи справжню IP-адресу користувача. Проте ефективність VPN прямо залежить від політики конфіденційності провайдера послуг — ненадійний VPN може стати джерелом витоку даних або співпрацювати з державними органами.</w:t>
      </w:r>
      <w:r w:rsidRPr="00511005">
        <w:rPr>
          <w:rFonts w:ascii="Arial" w:eastAsia="Times New Roman" w:hAnsi="Arial" w:cs="Arial"/>
          <w:szCs w:val="28"/>
          <w:lang w:eastAsia="ru-RU"/>
        </w:rPr>
        <w:t xml:space="preserve"> [3]</w:t>
      </w:r>
    </w:p>
    <w:p w14:paraId="1D987169" w14:textId="77777777" w:rsidR="00532C25" w:rsidRPr="00511005" w:rsidRDefault="00532C25" w:rsidP="00532C25">
      <w:pPr>
        <w:suppressAutoHyphens/>
        <w:spacing w:line="264" w:lineRule="auto"/>
        <w:rPr>
          <w:rFonts w:ascii="Arial" w:eastAsia="Times New Roman" w:hAnsi="Arial" w:cs="Arial"/>
          <w:szCs w:val="28"/>
          <w:lang w:eastAsia="ru-RU"/>
        </w:rPr>
      </w:pPr>
      <w:r w:rsidRPr="00511005">
        <w:rPr>
          <w:rFonts w:ascii="Arial" w:eastAsia="Times New Roman" w:hAnsi="Arial" w:cs="Arial"/>
          <w:szCs w:val="28"/>
          <w:lang w:val="uk-UA" w:eastAsia="ru-RU"/>
        </w:rPr>
        <w:t xml:space="preserve">Важливим аспектом ефективності засобів анонімізації є їхня опірність атакам деанонімізації, зокрема таким як кореляційний аналіз трафіку, таймінгові атаки та атаки за допомогою скомпрометованих вузлів. Наприклад, у мережі Tor кореляційна атака може бути реалізована за допомогою спостереження за входом і виходом трафіку одночасно, що дозволяє потенційно відновити маршрут користувача. Для зменшення ризиків користувачам рекомендується поєднувати Tor із додатковими інструментами, наприклад, мостовими вузлами або мультивузловим VPN. </w:t>
      </w:r>
      <w:r w:rsidRPr="00511005">
        <w:rPr>
          <w:rFonts w:ascii="Arial" w:eastAsia="Times New Roman" w:hAnsi="Arial" w:cs="Arial"/>
          <w:szCs w:val="28"/>
          <w:lang w:eastAsia="ru-RU"/>
        </w:rPr>
        <w:t>[4]</w:t>
      </w:r>
    </w:p>
    <w:p w14:paraId="7C437FEA"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Ще одним важливим критерієм є легкість виявлення використання анонімізаційного засобу. Наприклад, використання звичайного VPN легко виявляється за IP-адресами, які належать відомим провайдерам. Tor, у свою чергу, також має відкритий список вузлів, що дозволяє багатьом сайтам блокувати його трафік. I2P менш відомий і рідше блокується, однак обмежена сумісність з відкритим Інтернетом робить його менш гнучким.</w:t>
      </w:r>
    </w:p>
    <w:p w14:paraId="448F2BBE"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сучасних умовах активно розвиваються також гібридні підходи до анонімізації, що поєднують елементи різних технологій. Наприклад, поєднання Tor з децентралізованими VPN (dVPN), або застосування </w:t>
      </w:r>
      <w:r w:rsidRPr="00511005">
        <w:rPr>
          <w:rFonts w:ascii="Arial" w:eastAsia="Times New Roman" w:hAnsi="Arial" w:cs="Arial"/>
          <w:szCs w:val="28"/>
          <w:lang w:val="uk-UA" w:eastAsia="ru-RU"/>
        </w:rPr>
        <w:lastRenderedPageBreak/>
        <w:t>обфускації трафіку, дозволяє значно підвищити стійкість до виявлення та блокування. [5]</w:t>
      </w:r>
    </w:p>
    <w:p w14:paraId="438DFC0E"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Порівняльний аналіз сучасних засобів анонімізації трафіку здійснювався за низкою ключових критеріїв, що мають суттєве значення у контексті забезпечення конфіденційності та безпеки користувача. Зокрема, до таких критеріїв було віднесено рівень анонімності, який забезпечує кожен з інструментів; швидкість з’єднання та загальну продуктивність, стійкість до атак деанонімізації та інших векторів впливу з боку потенційного супротивника; рівень доступності для пересічного користувача, а також відкритість коду і архітектурних рішень, що дозволяє здійснювати незалежний аудит безпеки.</w:t>
      </w:r>
    </w:p>
    <w:p w14:paraId="390B6B5F"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 результатами проведеного аналізу встановлено, що мережа Tor демонструє найвищий рівень анонімності серед досліджуваних технологій, завдяки своїй багаторівневій системі шифрування та децентралізованій інфраструктурі. Разом із тим, VPN-сервіси виявилися найбільш зручними у використанні та здатними забезпечити значно вищу швидкість з’єднання, що є критично важливим для щоденної діяльності користувачів. У свою чергу, мережа I2P показала високу ефективність у внутрішній комунікації між анонімними суб'єктами, хоча її інтеграція з відкритим Інтернетом залишається обмеженою.</w:t>
      </w:r>
    </w:p>
    <w:p w14:paraId="0622DD87"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Загалом, жоден із розглянутих засобів анонімізації не є універсальним рішенням, яке здатне повною мірою задовольнити всі потреби користувача. Доцільність використання того чи іншого інструменту визначається переважно моделлю загроз, з якою має справу конкретна особа. Наприклад, у випадках, коли основною метою є уникнення стеження з боку локального постачальника інтернет-послуг, цілком достатнім може бути використання якісного VPN-сервісу з перевіреною репутацією. Водночас, якщо йдеться про протидію глобальному моніторингу, що здійснюється ресурсно потужними структурами, мережа Tor виглядає як більш адекватне рішення.</w:t>
      </w:r>
    </w:p>
    <w:p w14:paraId="0299387F" w14:textId="77777777" w:rsidR="00532C25" w:rsidRPr="00511005" w:rsidRDefault="00532C25" w:rsidP="00532C25">
      <w:pPr>
        <w:suppressAutoHyphen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Особливу увагу слід звернути на можливість комбінованого використання кількох інструментів анонімізації, зокрема таких конфігурацій як VPN поверх Tor або навпаки. Такий підхід може значно підвищити загальний рівень захисту та ускладнити процес деанонімізації. Однак застосування подібних рішень потребує високого рівня обізнаності, ретельного налаштування системи, а також глибокого розуміння принципів роботи кожного з обраних засобів. Недостатньо грамотне використання навіть найефективнішого інструменту може не лише нівелювати очікуваний захисний ефект, а й створити хибне відчуття безпеки.</w:t>
      </w:r>
    </w:p>
    <w:p w14:paraId="4B19194F" w14:textId="77777777" w:rsidR="00532C25" w:rsidRPr="00511005" w:rsidRDefault="00532C25" w:rsidP="00532C25">
      <w:pPr>
        <w:suppressAutoHyphens/>
        <w:spacing w:line="264" w:lineRule="auto"/>
        <w:rPr>
          <w:rFonts w:ascii="Arial" w:eastAsia="Times New Roman" w:hAnsi="Arial" w:cs="Arial"/>
          <w:szCs w:val="28"/>
          <w:lang w:val="uk-UA" w:eastAsia="ru-RU"/>
        </w:rPr>
      </w:pPr>
    </w:p>
    <w:p w14:paraId="1CECB5E2" w14:textId="77777777" w:rsidR="00532C25" w:rsidRPr="00511005" w:rsidRDefault="00532C25" w:rsidP="00532C25">
      <w:pPr>
        <w:suppressAutoHyphens/>
        <w:spacing w:line="264" w:lineRule="auto"/>
        <w:ind w:firstLine="0"/>
        <w:contextualSpacing/>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Списки використаних джерел:</w:t>
      </w:r>
    </w:p>
    <w:p w14:paraId="400A62D6" w14:textId="77777777" w:rsidR="00532C25" w:rsidRPr="00511005" w:rsidRDefault="00532C25" w:rsidP="003F6A5D">
      <w:pPr>
        <w:numPr>
          <w:ilvl w:val="0"/>
          <w:numId w:val="693"/>
        </w:numPr>
        <w:suppressAutoHyphens/>
        <w:spacing w:line="264" w:lineRule="auto"/>
        <w:ind w:left="0" w:firstLine="709"/>
        <w:contextualSpacing/>
        <w:jc w:val="left"/>
        <w:rPr>
          <w:rFonts w:ascii="Arial" w:eastAsia="Times New Roman" w:hAnsi="Arial" w:cs="Arial"/>
          <w:szCs w:val="28"/>
          <w:lang w:val="pl-PL" w:eastAsia="ru-RU"/>
        </w:rPr>
      </w:pPr>
      <w:r w:rsidRPr="00511005">
        <w:rPr>
          <w:rFonts w:ascii="Arial" w:eastAsia="Times New Roman" w:hAnsi="Arial" w:cs="Arial"/>
          <w:szCs w:val="28"/>
          <w:lang w:val="en-US" w:eastAsia="ru-RU"/>
        </w:rPr>
        <w:t xml:space="preserve">The Tor Project. How Tor Works. </w:t>
      </w:r>
      <w:r w:rsidRPr="00511005">
        <w:rPr>
          <w:rFonts w:ascii="Arial" w:eastAsia="Times New Roman" w:hAnsi="Arial" w:cs="Arial"/>
          <w:szCs w:val="28"/>
          <w:lang w:val="pl-PL" w:eastAsia="ru-RU"/>
        </w:rPr>
        <w:t xml:space="preserve">URL: </w:t>
      </w:r>
      <w:bookmarkStart w:id="291" w:name="__DdeLink__61_3472494883"/>
      <w:r w:rsidRPr="00511005">
        <w:rPr>
          <w:rFonts w:ascii="Arial" w:eastAsia="Times New Roman" w:hAnsi="Arial" w:cs="Arial"/>
          <w:szCs w:val="28"/>
          <w:lang w:val="pl-PL" w:eastAsia="ru-RU"/>
        </w:rPr>
        <w:t>https://shorturl.at/8jAWL</w:t>
      </w:r>
      <w:bookmarkEnd w:id="291"/>
      <w:r w:rsidRPr="00511005">
        <w:rPr>
          <w:rFonts w:ascii="Arial" w:eastAsia="Times New Roman" w:hAnsi="Arial" w:cs="Arial"/>
          <w:szCs w:val="28"/>
          <w:lang w:val="pl-PL" w:eastAsia="ru-RU"/>
        </w:rPr>
        <w:t>.</w:t>
      </w:r>
    </w:p>
    <w:p w14:paraId="697E8D5F" w14:textId="77777777" w:rsidR="00532C25" w:rsidRPr="00511005" w:rsidRDefault="00532C25" w:rsidP="003F6A5D">
      <w:pPr>
        <w:numPr>
          <w:ilvl w:val="0"/>
          <w:numId w:val="693"/>
        </w:numPr>
        <w:suppressAutoHyphens/>
        <w:spacing w:line="264" w:lineRule="auto"/>
        <w:ind w:left="0" w:firstLine="709"/>
        <w:jc w:val="left"/>
        <w:rPr>
          <w:rFonts w:ascii="Arial" w:eastAsia="Times New Roman" w:hAnsi="Arial" w:cs="Arial"/>
          <w:szCs w:val="28"/>
          <w:lang w:val="pl-PL"/>
        </w:rPr>
      </w:pPr>
      <w:r w:rsidRPr="00511005">
        <w:rPr>
          <w:rFonts w:ascii="Arial" w:eastAsia="Times New Roman" w:hAnsi="Arial" w:cs="Arial"/>
          <w:szCs w:val="28"/>
          <w:lang w:val="en-US" w:eastAsia="ru-RU"/>
        </w:rPr>
        <w:t xml:space="preserve">I2P Project. Introduction to I2P. </w:t>
      </w:r>
      <w:r w:rsidRPr="00511005">
        <w:rPr>
          <w:rFonts w:ascii="Arial" w:eastAsia="Times New Roman" w:hAnsi="Arial" w:cs="Arial"/>
          <w:szCs w:val="28"/>
          <w:lang w:val="pl-PL" w:eastAsia="ru-RU"/>
        </w:rPr>
        <w:t>URL</w:t>
      </w:r>
      <w:r w:rsidRPr="00511005">
        <w:rPr>
          <w:rFonts w:ascii="Arial" w:eastAsia="Times New Roman" w:hAnsi="Arial" w:cs="Arial"/>
          <w:szCs w:val="28"/>
          <w:lang w:val="uk-UA" w:eastAsia="ru-RU"/>
        </w:rPr>
        <w:t>:</w:t>
      </w:r>
      <w:r w:rsidRPr="00511005">
        <w:rPr>
          <w:rFonts w:ascii="Arial" w:eastAsia="Times New Roman" w:hAnsi="Arial" w:cs="Arial"/>
          <w:szCs w:val="28"/>
          <w:lang w:val="pl-PL" w:eastAsia="ru-RU"/>
        </w:rPr>
        <w:t xml:space="preserve"> https://shorturl.at/gaUtA.</w:t>
      </w:r>
    </w:p>
    <w:p w14:paraId="3702695A" w14:textId="77777777" w:rsidR="00532C25" w:rsidRPr="00511005" w:rsidRDefault="00532C25" w:rsidP="003F6A5D">
      <w:pPr>
        <w:numPr>
          <w:ilvl w:val="0"/>
          <w:numId w:val="693"/>
        </w:numPr>
        <w:suppressAutoHyphens/>
        <w:spacing w:line="264" w:lineRule="auto"/>
        <w:ind w:left="0" w:firstLine="709"/>
        <w:contextualSpacing/>
        <w:jc w:val="left"/>
        <w:rPr>
          <w:rFonts w:ascii="Arial" w:eastAsia="Times New Roman" w:hAnsi="Arial" w:cs="Arial"/>
          <w:szCs w:val="28"/>
          <w:lang w:val="pl-PL" w:eastAsia="ru-RU"/>
        </w:rPr>
      </w:pPr>
      <w:r w:rsidRPr="00511005">
        <w:rPr>
          <w:rFonts w:ascii="Arial" w:eastAsia="Times New Roman" w:hAnsi="Arial" w:cs="Arial"/>
          <w:szCs w:val="28"/>
          <w:lang w:val="en-US" w:eastAsia="ru-RU"/>
        </w:rPr>
        <w:lastRenderedPageBreak/>
        <w:t xml:space="preserve">PrivacyTools.io. VPN Comparison Chart. </w:t>
      </w:r>
      <w:r w:rsidRPr="00511005">
        <w:rPr>
          <w:rFonts w:ascii="Arial" w:eastAsia="Times New Roman" w:hAnsi="Arial" w:cs="Arial"/>
          <w:szCs w:val="28"/>
          <w:lang w:val="pl-PL" w:eastAsia="ru-RU"/>
        </w:rPr>
        <w:t xml:space="preserve">URL: </w:t>
      </w:r>
      <w:hyperlink r:id="rId2439">
        <w:r w:rsidRPr="00511005">
          <w:rPr>
            <w:rFonts w:ascii="Arial" w:eastAsia="Times New Roman" w:hAnsi="Arial" w:cs="Arial"/>
            <w:szCs w:val="28"/>
            <w:lang w:val="pl-PL" w:eastAsia="ru-RU"/>
          </w:rPr>
          <w:t>https://shorturl.at/3ClKv</w:t>
        </w:r>
      </w:hyperlink>
      <w:r w:rsidRPr="00511005">
        <w:rPr>
          <w:rFonts w:ascii="Arial" w:eastAsia="Times New Roman" w:hAnsi="Arial" w:cs="Arial"/>
          <w:szCs w:val="28"/>
          <w:lang w:val="pl-PL" w:eastAsia="ru-RU"/>
        </w:rPr>
        <w:t>.</w:t>
      </w:r>
    </w:p>
    <w:p w14:paraId="7290747D" w14:textId="77777777" w:rsidR="00532C25" w:rsidRPr="00511005" w:rsidRDefault="00532C25" w:rsidP="003F6A5D">
      <w:pPr>
        <w:numPr>
          <w:ilvl w:val="0"/>
          <w:numId w:val="693"/>
        </w:numPr>
        <w:suppressAutoHyphens/>
        <w:spacing w:line="264" w:lineRule="auto"/>
        <w:ind w:left="0" w:firstLine="709"/>
        <w:contextualSpacing/>
        <w:jc w:val="left"/>
        <w:rPr>
          <w:rFonts w:ascii="Arial" w:eastAsia="Times New Roman" w:hAnsi="Arial" w:cs="Arial"/>
          <w:szCs w:val="28"/>
          <w:lang w:val="en-US" w:eastAsia="ru-RU"/>
        </w:rPr>
      </w:pPr>
      <w:r w:rsidRPr="00511005">
        <w:rPr>
          <w:rFonts w:ascii="Arial" w:eastAsia="Times New Roman" w:hAnsi="Arial" w:cs="Arial"/>
          <w:szCs w:val="28"/>
          <w:lang w:val="en-GB" w:eastAsia="ru-RU"/>
        </w:rPr>
        <w:t xml:space="preserve">Nasr M., Houmansadr A. DeepCorr: Stron Flow Correlation Attacks on Tor using Deep Learning. URL: </w:t>
      </w:r>
      <w:hyperlink r:id="rId2440">
        <w:r w:rsidRPr="00511005">
          <w:rPr>
            <w:rFonts w:ascii="Arial" w:eastAsia="Times New Roman" w:hAnsi="Arial" w:cs="Arial"/>
            <w:szCs w:val="28"/>
            <w:lang w:val="en-GB" w:eastAsia="ru-RU"/>
          </w:rPr>
          <w:t>https://shorturl.at/OzlOC</w:t>
        </w:r>
      </w:hyperlink>
    </w:p>
    <w:p w14:paraId="2AD1D49A" w14:textId="77777777" w:rsidR="00532C25" w:rsidRPr="00511005" w:rsidRDefault="00532C25" w:rsidP="003F6A5D">
      <w:pPr>
        <w:numPr>
          <w:ilvl w:val="0"/>
          <w:numId w:val="693"/>
        </w:numPr>
        <w:suppressAutoHyphens/>
        <w:spacing w:line="264" w:lineRule="auto"/>
        <w:ind w:left="0" w:firstLine="709"/>
        <w:contextualSpacing/>
        <w:jc w:val="left"/>
        <w:rPr>
          <w:rFonts w:ascii="Arial" w:eastAsia="Times New Roman" w:hAnsi="Arial" w:cs="Arial"/>
          <w:szCs w:val="28"/>
          <w:lang w:eastAsia="ru-RU"/>
        </w:rPr>
      </w:pPr>
      <w:r w:rsidRPr="00511005">
        <w:rPr>
          <w:rFonts w:ascii="Arial" w:eastAsia="Times New Roman" w:hAnsi="Arial" w:cs="Arial"/>
          <w:szCs w:val="28"/>
          <w:lang w:val="en-GB" w:eastAsia="ru-RU"/>
        </w:rPr>
        <w:t>ITest</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 xml:space="preserve">Маскування і шифрування трафіку, для для чого і як це робити, і в чому користь. </w:t>
      </w:r>
      <w:r w:rsidRPr="00511005">
        <w:rPr>
          <w:rFonts w:ascii="Arial" w:eastAsia="Times New Roman" w:hAnsi="Arial" w:cs="Arial"/>
          <w:szCs w:val="28"/>
          <w:lang w:val="en-GB" w:eastAsia="ru-RU"/>
        </w:rPr>
        <w:t xml:space="preserve">URL: </w:t>
      </w:r>
      <w:hyperlink r:id="rId2441">
        <w:r w:rsidRPr="00511005">
          <w:rPr>
            <w:rFonts w:ascii="Arial" w:eastAsia="Aptos Display" w:hAnsi="Arial" w:cs="Arial"/>
            <w:szCs w:val="28"/>
            <w:lang w:eastAsia="ru-RU"/>
          </w:rPr>
          <w:t>https://shorturl.at/L9AJ3</w:t>
        </w:r>
      </w:hyperlink>
    </w:p>
    <w:p w14:paraId="4ED5CEB8" w14:textId="77777777" w:rsidR="00532C25" w:rsidRPr="00511005" w:rsidRDefault="00532C25" w:rsidP="00532C25">
      <w:pPr>
        <w:suppressAutoHyphens/>
        <w:spacing w:line="264" w:lineRule="auto"/>
        <w:rPr>
          <w:rFonts w:ascii="Arial" w:eastAsia="Times New Roman" w:hAnsi="Arial" w:cs="Arial"/>
          <w:bCs/>
          <w:szCs w:val="28"/>
          <w:lang w:val="uk-UA" w:eastAsia="ru-RU"/>
        </w:rPr>
      </w:pPr>
      <w:r w:rsidRPr="00511005">
        <w:rPr>
          <w:rFonts w:ascii="Arial" w:eastAsia="Times New Roman" w:hAnsi="Arial" w:cs="Arial"/>
          <w:b/>
          <w:i/>
          <w:szCs w:val="28"/>
          <w:lang w:val="uk-UA" w:eastAsia="ru-RU"/>
        </w:rPr>
        <w:t xml:space="preserve">Ключові слова: </w:t>
      </w:r>
      <w:r w:rsidRPr="00511005">
        <w:rPr>
          <w:rFonts w:ascii="Arial" w:eastAsia="Times New Roman" w:hAnsi="Arial" w:cs="Arial"/>
          <w:bCs/>
          <w:szCs w:val="28"/>
          <w:lang w:val="uk-UA" w:eastAsia="ru-RU"/>
        </w:rPr>
        <w:t xml:space="preserve">анонімність, Tor, VPN, I2P, трафік, кібербезпека, конфіденційність. </w:t>
      </w:r>
    </w:p>
    <w:p w14:paraId="7B683A36" w14:textId="77777777" w:rsidR="00532C25" w:rsidRPr="00511005" w:rsidRDefault="00532C25" w:rsidP="00532C25">
      <w:pPr>
        <w:suppressAutoHyphens/>
        <w:spacing w:line="264" w:lineRule="auto"/>
        <w:contextualSpacing/>
        <w:rPr>
          <w:rFonts w:ascii="Arial" w:eastAsia="Times New Roman" w:hAnsi="Arial" w:cs="Arial"/>
          <w:bCs/>
          <w:szCs w:val="28"/>
          <w:lang w:val="en-US" w:eastAsia="ru-RU"/>
        </w:rPr>
      </w:pPr>
      <w:r w:rsidRPr="00511005">
        <w:rPr>
          <w:rFonts w:ascii="Arial" w:eastAsia="Times New Roman" w:hAnsi="Arial" w:cs="Arial"/>
          <w:b/>
          <w:i/>
          <w:szCs w:val="28"/>
          <w:lang w:val="uk-UA" w:eastAsia="ru-RU"/>
        </w:rPr>
        <w:t xml:space="preserve">Key words: </w:t>
      </w:r>
      <w:r w:rsidRPr="00511005">
        <w:rPr>
          <w:rFonts w:ascii="Arial" w:eastAsia="Times New Roman" w:hAnsi="Arial" w:cs="Arial"/>
          <w:bCs/>
          <w:szCs w:val="28"/>
          <w:lang w:val="en-US" w:eastAsia="ru-RU"/>
        </w:rPr>
        <w:t>A</w:t>
      </w:r>
      <w:r w:rsidRPr="00511005">
        <w:rPr>
          <w:rFonts w:ascii="Arial" w:eastAsia="Times New Roman" w:hAnsi="Arial" w:cs="Arial"/>
          <w:bCs/>
          <w:szCs w:val="28"/>
          <w:lang w:val="uk-UA" w:eastAsia="ru-RU"/>
        </w:rPr>
        <w:t>nonymity, Tor, VPN, I2P, traffic, cybersecurity, privacy</w:t>
      </w:r>
    </w:p>
    <w:p w14:paraId="688E33DC" w14:textId="77777777" w:rsidR="00532C25" w:rsidRPr="00511005" w:rsidRDefault="00532C25" w:rsidP="00532C25">
      <w:pPr>
        <w:keepNext/>
        <w:widowControl w:val="0"/>
        <w:spacing w:line="264" w:lineRule="auto"/>
        <w:ind w:firstLine="708"/>
        <w:rPr>
          <w:rFonts w:ascii="Arial" w:eastAsia="MS Mincho" w:hAnsi="Arial" w:cs="Arial"/>
          <w:b/>
          <w:bCs/>
          <w:i/>
          <w:iCs/>
          <w:szCs w:val="28"/>
          <w:lang w:eastAsia="ru-RU"/>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szCs w:val="28"/>
          <w:lang w:val="uk-UA"/>
        </w:rPr>
        <w:t xml:space="preserve">к.т.н., доцент </w:t>
      </w:r>
      <w:r w:rsidRPr="00511005">
        <w:rPr>
          <w:rFonts w:ascii="Arial" w:eastAsia="MS Mincho" w:hAnsi="Arial" w:cs="Arial"/>
          <w:szCs w:val="28"/>
          <w:lang w:eastAsia="ru-RU"/>
        </w:rPr>
        <w:t>Бойко</w:t>
      </w:r>
      <w:r w:rsidRPr="00511005">
        <w:rPr>
          <w:rFonts w:ascii="Arial" w:eastAsia="MS Mincho" w:hAnsi="Arial" w:cs="Arial"/>
          <w:b/>
          <w:bCs/>
          <w:i/>
          <w:iCs/>
          <w:szCs w:val="28"/>
          <w:lang w:eastAsia="ru-RU"/>
        </w:rPr>
        <w:t xml:space="preserve"> </w:t>
      </w:r>
      <w:r w:rsidRPr="00511005">
        <w:rPr>
          <w:rFonts w:ascii="Arial" w:eastAsia="Calibri" w:hAnsi="Arial" w:cs="Arial"/>
          <w:bCs/>
          <w:szCs w:val="28"/>
          <w:lang w:val="uk-UA"/>
        </w:rPr>
        <w:t>В.</w:t>
      </w:r>
    </w:p>
    <w:p w14:paraId="32685DB5" w14:textId="77777777" w:rsidR="00532C25" w:rsidRPr="00511005" w:rsidRDefault="00532C25" w:rsidP="00532C25">
      <w:pPr>
        <w:spacing w:line="264" w:lineRule="auto"/>
        <w:ind w:firstLine="0"/>
        <w:rPr>
          <w:rFonts w:ascii="Arial" w:eastAsia="Calibri" w:hAnsi="Arial" w:cs="Arial"/>
          <w:szCs w:val="28"/>
          <w:lang w:val="en-US"/>
        </w:rPr>
      </w:pPr>
    </w:p>
    <w:p w14:paraId="68DFB9F9" w14:textId="77777777" w:rsidR="00532C25" w:rsidRPr="00511005" w:rsidRDefault="00532C25" w:rsidP="00532C25">
      <w:pPr>
        <w:suppressAutoHyphens/>
        <w:spacing w:line="264" w:lineRule="auto"/>
        <w:ind w:firstLine="0"/>
        <w:jc w:val="center"/>
        <w:rPr>
          <w:rFonts w:ascii="Arial" w:eastAsia="MS Mincho" w:hAnsi="Arial" w:cs="Arial"/>
          <w:b/>
          <w:bCs/>
          <w:i/>
          <w:iCs/>
          <w:szCs w:val="28"/>
          <w:lang w:eastAsia="ru-RU"/>
        </w:rPr>
      </w:pPr>
      <w:r w:rsidRPr="00511005">
        <w:rPr>
          <w:rFonts w:ascii="Arial" w:eastAsia="MS Mincho" w:hAnsi="Arial" w:cs="Arial"/>
          <w:b/>
          <w:bCs/>
          <w:i/>
          <w:iCs/>
          <w:szCs w:val="28"/>
          <w:lang w:eastAsia="ru-RU"/>
        </w:rPr>
        <w:t xml:space="preserve">Ханов Богдан </w:t>
      </w:r>
    </w:p>
    <w:p w14:paraId="69EE81C3" w14:textId="77777777" w:rsidR="00532C25" w:rsidRPr="00511005" w:rsidRDefault="00532C25" w:rsidP="00532C25">
      <w:pPr>
        <w:suppressAutoHyphens/>
        <w:spacing w:line="264" w:lineRule="auto"/>
        <w:ind w:firstLine="0"/>
        <w:jc w:val="center"/>
        <w:rPr>
          <w:rFonts w:ascii="Arial" w:eastAsia="MS Mincho" w:hAnsi="Arial" w:cs="Arial"/>
          <w:szCs w:val="28"/>
          <w:lang w:val="uk-UA" w:eastAsia="ru-RU"/>
        </w:rPr>
      </w:pPr>
      <w:r w:rsidRPr="00511005">
        <w:rPr>
          <w:rFonts w:ascii="Arial" w:eastAsia="MS Mincho" w:hAnsi="Arial" w:cs="Arial"/>
          <w:szCs w:val="28"/>
          <w:lang w:val="uk-UA" w:eastAsia="ru-RU"/>
        </w:rPr>
        <w:t>студент 4-го курсу факультету кібербезпеки та інформаційних технологій</w:t>
      </w:r>
    </w:p>
    <w:p w14:paraId="7DF4FCCA" w14:textId="77777777" w:rsidR="00532C25" w:rsidRPr="00511005" w:rsidRDefault="00532C25" w:rsidP="00532C25">
      <w:pPr>
        <w:suppressAutoHyphens/>
        <w:spacing w:line="264" w:lineRule="auto"/>
        <w:ind w:firstLine="0"/>
        <w:jc w:val="center"/>
        <w:rPr>
          <w:rFonts w:ascii="Arial" w:eastAsia="MS Mincho" w:hAnsi="Arial" w:cs="Arial"/>
          <w:szCs w:val="28"/>
          <w:lang w:val="uk-UA" w:eastAsia="ru-RU"/>
        </w:rPr>
      </w:pPr>
      <w:r w:rsidRPr="00511005">
        <w:rPr>
          <w:rFonts w:ascii="Arial" w:eastAsia="MS Mincho" w:hAnsi="Arial" w:cs="Arial"/>
          <w:szCs w:val="28"/>
          <w:lang w:val="uk-UA" w:eastAsia="ru-RU"/>
        </w:rPr>
        <w:t>Національного університету «Одеська юридична академія»</w:t>
      </w:r>
    </w:p>
    <w:p w14:paraId="3A92C140" w14:textId="77777777" w:rsidR="00532C25" w:rsidRPr="00511005" w:rsidRDefault="00532C25" w:rsidP="00532C25">
      <w:pPr>
        <w:suppressAutoHyphens/>
        <w:spacing w:line="264" w:lineRule="auto"/>
        <w:ind w:firstLine="0"/>
        <w:jc w:val="center"/>
        <w:rPr>
          <w:rFonts w:ascii="Arial" w:eastAsia="MS Mincho" w:hAnsi="Arial" w:cs="Arial"/>
          <w:szCs w:val="28"/>
        </w:rPr>
      </w:pPr>
    </w:p>
    <w:p w14:paraId="2B0C956F" w14:textId="77777777" w:rsidR="00532C25" w:rsidRPr="00511005" w:rsidRDefault="00532C25" w:rsidP="00532C25">
      <w:pPr>
        <w:suppressAutoHyphens/>
        <w:spacing w:line="264" w:lineRule="auto"/>
        <w:ind w:right="113" w:firstLine="0"/>
        <w:jc w:val="center"/>
        <w:rPr>
          <w:rFonts w:ascii="Arial" w:eastAsia="MS Mincho" w:hAnsi="Arial" w:cs="Arial"/>
          <w:szCs w:val="28"/>
        </w:rPr>
      </w:pPr>
      <w:r w:rsidRPr="00511005">
        <w:rPr>
          <w:rFonts w:ascii="Arial" w:eastAsia="MS Mincho" w:hAnsi="Arial" w:cs="Arial"/>
          <w:b/>
          <w:szCs w:val="28"/>
        </w:rPr>
        <w:t>ПРОФІЛАКТИКА ТА ЗАХИСТ ВІД АТАК, ЩО ВИКОРИСТОВУЮТЬ МЕТОДИ СОЦІАЛЬНОЇ ІНЖЕНЕРІЇ</w:t>
      </w:r>
    </w:p>
    <w:p w14:paraId="1CCD8D5B"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У сучасну цифрову епоху організації, державні інститути та суспільство загалом виявляються все більш залежними від інформаційних систем. Зростання ролі ІТ-інфраструктури у забезпеченні життєдіяльності держави, бізнесу та приватного сектору супроводжується підвищенням актуальності проблеми захисту інформаційних ресурсів. Однією з найнебезпечніших форм загроз є соціальна інженерія — сукупність методів маніпуляції свідомістю користувачів з метою отримання несанкціонованого доступу до інформації або систем.</w:t>
      </w:r>
    </w:p>
    <w:p w14:paraId="14B4A138"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Соціальна інженерія характеризується високим рівнем ефективності через використання психологічного впливу замість подолання технічних бар’єрів. Згідно з дослідженнями, понад 60% кіберінцидентів так чи інакше пов’язані з використанням соціо-психологічних методів впливу на користувачів (MDPI, 2019). Така статистика вказує на критичну вразливість людського фактора, який виступає основною мішенню зловмисників.</w:t>
      </w:r>
    </w:p>
    <w:p w14:paraId="7099ADEB"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Основною проблемою соціальної інженерії є її здатність експлуатувати слабкі сторони поведінки людини, включаючи недооцінювання ризиків, довірливість, необізнаність щодо методів атак, а також емоційні реакції на стресові або маніпулятивні сигнали. Найпоширенішими формами атак соціальної інженерії залишаються фішинг, спірінг (спеціалізований фішинг), аплінг (baiting) та телефонне шахрайство (vishing). Згідно з даними статистики кіберзлочинності, фішинг охоплює понад 70% загальної кількості атак цього типу (Statistics of Cybercrime, 2020).</w:t>
      </w:r>
    </w:p>
    <w:p w14:paraId="52B202A3"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Одним із ключових напрямів підвищення стійкості до соціальної інженерії є впровадження системної профілактики таких атак. Профілактика включає не лише пасивний захист, але й активне формування </w:t>
      </w:r>
      <w:proofErr w:type="gramStart"/>
      <w:r w:rsidRPr="00511005">
        <w:rPr>
          <w:rFonts w:ascii="Arial" w:eastAsia="MS Mincho" w:hAnsi="Arial" w:cs="Arial"/>
          <w:szCs w:val="28"/>
        </w:rPr>
        <w:t>у персоналу</w:t>
      </w:r>
      <w:proofErr w:type="gramEnd"/>
      <w:r w:rsidRPr="00511005">
        <w:rPr>
          <w:rFonts w:ascii="Arial" w:eastAsia="MS Mincho" w:hAnsi="Arial" w:cs="Arial"/>
          <w:szCs w:val="28"/>
        </w:rPr>
        <w:t xml:space="preserve"> </w:t>
      </w:r>
      <w:r w:rsidRPr="00511005">
        <w:rPr>
          <w:rFonts w:ascii="Arial" w:eastAsia="MS Mincho" w:hAnsi="Arial" w:cs="Arial"/>
          <w:szCs w:val="28"/>
        </w:rPr>
        <w:lastRenderedPageBreak/>
        <w:t xml:space="preserve">навичок розпізнавання загроз. Ефективними визнано проведення регулярних тренінгів з моделювання реальних сценаріїв атак, що дозволяє працівникам на практиці навчитися виявляти фішингові листи, підозрілі дзвінки та інші маніпулятивні дії. </w:t>
      </w:r>
    </w:p>
    <w:p w14:paraId="121C0135"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Також варто запроваджувати політику мінімального доступу до інформації, коли кожен співробітник має доступ лише до тієї інформації, яка необхідна для виконання його посадових обов’язків. Важливо також впроваджувати обов’язкові процедури верифікації під час обміну конфіденційними даними. </w:t>
      </w:r>
    </w:p>
    <w:p w14:paraId="5767077F"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Системне оновлення технічних засобів безпеки, моніторинг поведінкових аномалій користувачів, аналіз інцидентів та зворотний зв'язок після кожного інциденту є фундаментом для створення адаптивної системи захисту, здатної запобігати не лише стандартним схемам атак, але й новим, високотехнологічним методам соціального впливу.</w:t>
      </w:r>
    </w:p>
    <w:p w14:paraId="26978AA6"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Одним із підходів до ефективної протидії є концепція "Kill Chain", розроблена для структурованого аналізу кібератак. </w:t>
      </w:r>
    </w:p>
    <w:p w14:paraId="1EAED148" w14:textId="77777777" w:rsidR="00532C25" w:rsidRPr="00511005" w:rsidRDefault="00532C25" w:rsidP="00532C25">
      <w:pPr>
        <w:suppressAutoHyphens/>
        <w:spacing w:line="264" w:lineRule="auto"/>
        <w:rPr>
          <w:rFonts w:ascii="Arial" w:eastAsia="MS Mincho" w:hAnsi="Arial" w:cs="Arial"/>
          <w:szCs w:val="28"/>
          <w:lang w:val="en-US"/>
        </w:rPr>
      </w:pPr>
      <w:r w:rsidRPr="00511005">
        <w:rPr>
          <w:rFonts w:ascii="Arial" w:eastAsia="MS Mincho" w:hAnsi="Arial" w:cs="Arial"/>
          <w:szCs w:val="28"/>
        </w:rPr>
        <w:t xml:space="preserve">Вона передбачає такі фази: </w:t>
      </w:r>
    </w:p>
    <w:p w14:paraId="339F7BDE" w14:textId="77777777" w:rsidR="00532C25" w:rsidRPr="00511005" w:rsidRDefault="00532C25" w:rsidP="003F6A5D">
      <w:pPr>
        <w:numPr>
          <w:ilvl w:val="0"/>
          <w:numId w:val="694"/>
        </w:numPr>
        <w:suppressAutoHyphens/>
        <w:spacing w:line="264" w:lineRule="auto"/>
        <w:ind w:firstLine="709"/>
        <w:contextualSpacing/>
        <w:jc w:val="left"/>
        <w:rPr>
          <w:rFonts w:ascii="Arial" w:eastAsia="MS Mincho" w:hAnsi="Arial" w:cs="Arial"/>
          <w:szCs w:val="28"/>
          <w:lang w:val="en-US"/>
        </w:rPr>
      </w:pPr>
      <w:r w:rsidRPr="00511005">
        <w:rPr>
          <w:rFonts w:ascii="Arial" w:eastAsia="MS Mincho" w:hAnsi="Arial" w:cs="Arial"/>
          <w:szCs w:val="28"/>
        </w:rPr>
        <w:t xml:space="preserve">розвідка (вивчення потенційної жертви), </w:t>
      </w:r>
    </w:p>
    <w:p w14:paraId="085FBCC8" w14:textId="77777777" w:rsidR="00532C25" w:rsidRPr="00511005" w:rsidRDefault="00532C25" w:rsidP="003F6A5D">
      <w:pPr>
        <w:numPr>
          <w:ilvl w:val="0"/>
          <w:numId w:val="694"/>
        </w:numPr>
        <w:suppressAutoHyphens/>
        <w:spacing w:line="264" w:lineRule="auto"/>
        <w:ind w:firstLine="709"/>
        <w:contextualSpacing/>
        <w:jc w:val="left"/>
        <w:rPr>
          <w:rFonts w:ascii="Arial" w:eastAsia="MS Mincho" w:hAnsi="Arial" w:cs="Arial"/>
          <w:szCs w:val="28"/>
        </w:rPr>
      </w:pPr>
      <w:r w:rsidRPr="00511005">
        <w:rPr>
          <w:rFonts w:ascii="Arial" w:eastAsia="MS Mincho" w:hAnsi="Arial" w:cs="Arial"/>
          <w:szCs w:val="28"/>
        </w:rPr>
        <w:t xml:space="preserve">вибір методу атаки, початкове проникнення (компрометація), </w:t>
      </w:r>
    </w:p>
    <w:p w14:paraId="5BDA02EC" w14:textId="77777777" w:rsidR="00532C25" w:rsidRPr="00511005" w:rsidRDefault="00532C25" w:rsidP="003F6A5D">
      <w:pPr>
        <w:numPr>
          <w:ilvl w:val="0"/>
          <w:numId w:val="694"/>
        </w:numPr>
        <w:suppressAutoHyphens/>
        <w:spacing w:line="264" w:lineRule="auto"/>
        <w:ind w:firstLine="709"/>
        <w:contextualSpacing/>
        <w:jc w:val="left"/>
        <w:rPr>
          <w:rFonts w:ascii="Arial" w:eastAsia="MS Mincho" w:hAnsi="Arial" w:cs="Arial"/>
          <w:szCs w:val="28"/>
        </w:rPr>
      </w:pPr>
      <w:r w:rsidRPr="00511005">
        <w:rPr>
          <w:rFonts w:ascii="Arial" w:eastAsia="MS Mincho" w:hAnsi="Arial" w:cs="Arial"/>
          <w:szCs w:val="28"/>
        </w:rPr>
        <w:t xml:space="preserve">заволодіння обліковими даними або іншими активами, </w:t>
      </w:r>
    </w:p>
    <w:p w14:paraId="55AEEF66" w14:textId="77777777" w:rsidR="00532C25" w:rsidRPr="00511005" w:rsidRDefault="00532C25" w:rsidP="003F6A5D">
      <w:pPr>
        <w:numPr>
          <w:ilvl w:val="0"/>
          <w:numId w:val="694"/>
        </w:numPr>
        <w:suppressAutoHyphens/>
        <w:spacing w:line="264" w:lineRule="auto"/>
        <w:ind w:firstLine="709"/>
        <w:contextualSpacing/>
        <w:jc w:val="left"/>
        <w:rPr>
          <w:rFonts w:ascii="Arial" w:eastAsia="MS Mincho" w:hAnsi="Arial" w:cs="Arial"/>
          <w:szCs w:val="28"/>
        </w:rPr>
      </w:pPr>
      <w:r w:rsidRPr="00511005">
        <w:rPr>
          <w:rFonts w:ascii="Arial" w:eastAsia="MS Mincho" w:hAnsi="Arial" w:cs="Arial"/>
          <w:szCs w:val="28"/>
        </w:rPr>
        <w:t xml:space="preserve">завершення або знищення слідів (IEEE, 2018). </w:t>
      </w:r>
    </w:p>
    <w:p w14:paraId="332309D3"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Застосування заходів на кожному етапі дозволяє суттєво знизити ймовірність успішного вторгнення.</w:t>
      </w:r>
    </w:p>
    <w:p w14:paraId="623CC176"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Юридичний захист у сфері протидії соціальній інженерії базується на нормах національного та міжнародного права. Наприклад, Кримінальний кодекс України передбачає відповідальність за несанкціоноване втручання </w:t>
      </w:r>
      <w:proofErr w:type="gramStart"/>
      <w:r w:rsidRPr="00511005">
        <w:rPr>
          <w:rFonts w:ascii="Arial" w:eastAsia="MS Mincho" w:hAnsi="Arial" w:cs="Arial"/>
          <w:szCs w:val="28"/>
        </w:rPr>
        <w:t>в роботу</w:t>
      </w:r>
      <w:proofErr w:type="gramEnd"/>
      <w:r w:rsidRPr="00511005">
        <w:rPr>
          <w:rFonts w:ascii="Arial" w:eastAsia="MS Mincho" w:hAnsi="Arial" w:cs="Arial"/>
          <w:szCs w:val="28"/>
        </w:rPr>
        <w:t xml:space="preserve"> електронних обчислювальних машин (ст. 361), розповсюдження шкідливих програм (ст. 361-1) та незаконне збирання інформації (ст. 163, 182). Міжнародні стандарти (наприклад, Будапештська конвенція про кіберзлочинність) також забезпечують нормативну базу для міжнародного співробітництва.</w:t>
      </w:r>
    </w:p>
    <w:p w14:paraId="4FD6B597"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Організаційні заходи охоплюють формування культури кібербезпеки в установах, зокрема через регулярні тренінги, симуляції фішингових атак, розробку політик інформаційної безпеки. Дослідження Information Management &amp; Computer Security (2008) підтверджують, що систематичне навчання персоналу дозволяє знизити ризики успішного застосування соціальної інженерії на 20–30%.</w:t>
      </w:r>
    </w:p>
    <w:p w14:paraId="7B014701"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Технічні засоби захисту включають впровадження багатофакторної автентифікації, систем виявлення аномальної активності, антивірусного та антифішингового програмного забезпечення, а також політик мінімізації </w:t>
      </w:r>
      <w:r w:rsidRPr="00511005">
        <w:rPr>
          <w:rFonts w:ascii="Arial" w:eastAsia="MS Mincho" w:hAnsi="Arial" w:cs="Arial"/>
          <w:szCs w:val="28"/>
        </w:rPr>
        <w:lastRenderedPageBreak/>
        <w:t>прав доступу. Як зазначається у виданні MDPI (2019), поєднання технічних і поведінкових заходів забезпечує найвищий рівень захисту.</w:t>
      </w:r>
    </w:p>
    <w:p w14:paraId="7B0DF9CE" w14:textId="77777777" w:rsidR="00532C25" w:rsidRPr="00511005" w:rsidRDefault="00532C25" w:rsidP="00532C25">
      <w:pPr>
        <w:suppressAutoHyphens/>
        <w:spacing w:line="264" w:lineRule="auto"/>
        <w:rPr>
          <w:rFonts w:ascii="Arial" w:eastAsia="MS Mincho" w:hAnsi="Arial" w:cs="Arial"/>
          <w:szCs w:val="28"/>
        </w:rPr>
      </w:pPr>
      <w:r w:rsidRPr="00511005">
        <w:rPr>
          <w:rFonts w:ascii="Arial" w:eastAsia="MS Mincho" w:hAnsi="Arial" w:cs="Arial"/>
          <w:szCs w:val="28"/>
        </w:rPr>
        <w:t xml:space="preserve">Таким чином, соціальна інженерія залишається однією з найсерйозніших загроз кібербезпеці в умовах цифрової трансформації. Особливу небезпеку становить труднощі виявлення таких атак, оскільки вони часто не залишають цифрових слідів. Комплексний підхід, що включає правове регулювання, підвищення цифрової грамотності, розробку превентивних організаційних заходів та використання сучасних технологій захисту, є найбільш ефективною стратегією для протидії цим загрозам. </w:t>
      </w:r>
    </w:p>
    <w:p w14:paraId="62354B32" w14:textId="77777777" w:rsidR="00532C25" w:rsidRPr="00511005" w:rsidRDefault="00532C25" w:rsidP="00532C25">
      <w:pPr>
        <w:suppressAutoHyphens/>
        <w:spacing w:line="264" w:lineRule="auto"/>
        <w:rPr>
          <w:rFonts w:ascii="Arial" w:eastAsia="MS Mincho" w:hAnsi="Arial" w:cs="Arial"/>
          <w:szCs w:val="28"/>
          <w:lang w:val="uk-UA"/>
        </w:rPr>
      </w:pPr>
      <w:r w:rsidRPr="00511005">
        <w:rPr>
          <w:rFonts w:ascii="Arial" w:eastAsia="MS Mincho" w:hAnsi="Arial" w:cs="Arial"/>
          <w:szCs w:val="28"/>
        </w:rPr>
        <w:t>Отже, боротьба з соціальною інженерією не може обмежуватись технічними рішеннями — вона потребує системного, міждисциплінарного підходу, що включає правову політику, освітню діяльність, управління ризиками та впровадження новітніх ІТ-інструментів. У перспективі лише синергія цих елементів дозволить побудувати надійну модель кіберзахисту, здатну протистояти еволюціонуючим викликам інформаційного суспільства</w:t>
      </w:r>
      <w:r w:rsidRPr="00511005">
        <w:rPr>
          <w:rFonts w:ascii="Arial" w:eastAsia="MS Mincho" w:hAnsi="Arial" w:cs="Arial"/>
          <w:szCs w:val="28"/>
          <w:lang w:val="uk-UA"/>
        </w:rPr>
        <w:t>.</w:t>
      </w:r>
    </w:p>
    <w:p w14:paraId="3192A4A4" w14:textId="77777777" w:rsidR="00532C25" w:rsidRPr="00511005" w:rsidRDefault="00532C25" w:rsidP="00532C25">
      <w:pPr>
        <w:suppressAutoHyphens/>
        <w:spacing w:line="264" w:lineRule="auto"/>
        <w:ind w:firstLine="0"/>
        <w:rPr>
          <w:rFonts w:ascii="Arial" w:eastAsia="MS Mincho" w:hAnsi="Arial" w:cs="Arial"/>
          <w:szCs w:val="28"/>
          <w:lang w:val="uk-UA"/>
        </w:rPr>
      </w:pPr>
    </w:p>
    <w:p w14:paraId="61C2FB7F" w14:textId="77777777" w:rsidR="00532C25" w:rsidRPr="00511005" w:rsidRDefault="00532C25" w:rsidP="00532C25">
      <w:pPr>
        <w:suppressAutoHyphens/>
        <w:spacing w:line="264" w:lineRule="auto"/>
        <w:ind w:firstLine="0"/>
        <w:contextualSpacing/>
        <w:jc w:val="center"/>
        <w:rPr>
          <w:rFonts w:ascii="Arial" w:eastAsia="MS Mincho" w:hAnsi="Arial" w:cs="Arial"/>
          <w:b/>
          <w:bCs/>
          <w:szCs w:val="28"/>
          <w:lang w:val="en-US"/>
        </w:rPr>
      </w:pPr>
      <w:r w:rsidRPr="00511005">
        <w:rPr>
          <w:rFonts w:ascii="Arial" w:eastAsia="MS Mincho" w:hAnsi="Arial" w:cs="Arial"/>
          <w:b/>
          <w:bCs/>
          <w:szCs w:val="28"/>
          <w:lang w:val="uk-UA"/>
        </w:rPr>
        <w:t>Список використаних джерел</w:t>
      </w:r>
    </w:p>
    <w:p w14:paraId="103721C3" w14:textId="77777777" w:rsidR="00532C25" w:rsidRPr="00511005" w:rsidRDefault="00532C25" w:rsidP="003F6A5D">
      <w:pPr>
        <w:numPr>
          <w:ilvl w:val="0"/>
          <w:numId w:val="695"/>
        </w:numPr>
        <w:suppressAutoHyphens/>
        <w:spacing w:line="264" w:lineRule="auto"/>
        <w:ind w:hanging="720"/>
        <w:contextualSpacing/>
        <w:jc w:val="left"/>
        <w:rPr>
          <w:rFonts w:ascii="Arial" w:eastAsia="MS Mincho" w:hAnsi="Arial" w:cs="Arial"/>
          <w:szCs w:val="28"/>
          <w:lang w:val="pl-PL"/>
        </w:rPr>
      </w:pPr>
      <w:r w:rsidRPr="00511005">
        <w:rPr>
          <w:rFonts w:ascii="Arial" w:eastAsia="MS Mincho" w:hAnsi="Arial" w:cs="Arial"/>
          <w:szCs w:val="28"/>
          <w:lang w:val="en-US"/>
        </w:rPr>
        <w:t xml:space="preserve">MDPI. Social Engineering Attacks: A Survey. </w:t>
      </w:r>
      <w:r w:rsidRPr="00511005">
        <w:rPr>
          <w:rFonts w:ascii="Arial" w:eastAsia="MS Mincho" w:hAnsi="Arial" w:cs="Arial"/>
          <w:szCs w:val="28"/>
          <w:lang w:val="pl-PL"/>
        </w:rPr>
        <w:t xml:space="preserve">2019. URL: </w:t>
      </w:r>
      <w:hyperlink r:id="rId2442">
        <w:r w:rsidRPr="00511005">
          <w:rPr>
            <w:rFonts w:ascii="Arial" w:eastAsia="MS Mincho" w:hAnsi="Arial" w:cs="Arial"/>
            <w:szCs w:val="28"/>
            <w:lang w:val="pl-PL"/>
          </w:rPr>
          <w:t>https://www.mdpi.com/1999-5903/11/4/89</w:t>
        </w:r>
      </w:hyperlink>
      <w:r w:rsidRPr="00511005">
        <w:rPr>
          <w:rFonts w:ascii="Arial" w:eastAsia="MS Mincho" w:hAnsi="Arial" w:cs="Arial"/>
          <w:szCs w:val="28"/>
          <w:lang w:val="uk-UA"/>
        </w:rPr>
        <w:t xml:space="preserve"> </w:t>
      </w:r>
    </w:p>
    <w:p w14:paraId="2E16FB86" w14:textId="77777777" w:rsidR="00532C25" w:rsidRPr="00511005" w:rsidRDefault="00532C25" w:rsidP="003F6A5D">
      <w:pPr>
        <w:numPr>
          <w:ilvl w:val="0"/>
          <w:numId w:val="695"/>
        </w:numPr>
        <w:suppressAutoHyphens/>
        <w:spacing w:line="264" w:lineRule="auto"/>
        <w:ind w:hanging="720"/>
        <w:contextualSpacing/>
        <w:jc w:val="left"/>
        <w:rPr>
          <w:rFonts w:ascii="Arial" w:eastAsia="MS Mincho" w:hAnsi="Arial" w:cs="Arial"/>
          <w:szCs w:val="28"/>
          <w:lang w:val="en-US"/>
        </w:rPr>
      </w:pPr>
      <w:r w:rsidRPr="00511005">
        <w:rPr>
          <w:rFonts w:ascii="Arial" w:eastAsia="MS Mincho" w:hAnsi="Arial" w:cs="Arial"/>
          <w:szCs w:val="28"/>
          <w:lang w:val="en-US"/>
        </w:rPr>
        <w:t xml:space="preserve">IEEE Xplore. Social engineering as an attack vector for ransomware. 2018. URL: </w:t>
      </w:r>
      <w:hyperlink r:id="rId2443">
        <w:r w:rsidRPr="00511005">
          <w:rPr>
            <w:rFonts w:ascii="Arial" w:eastAsia="MS Mincho" w:hAnsi="Arial" w:cs="Arial"/>
            <w:szCs w:val="28"/>
            <w:lang w:val="en-US"/>
          </w:rPr>
          <w:t>https://ieeexplore.ieee.org/document/8229528</w:t>
        </w:r>
      </w:hyperlink>
      <w:r w:rsidRPr="00511005">
        <w:rPr>
          <w:rFonts w:ascii="Arial" w:eastAsia="MS Mincho" w:hAnsi="Arial" w:cs="Arial"/>
          <w:szCs w:val="28"/>
          <w:lang w:val="uk-UA"/>
        </w:rPr>
        <w:t xml:space="preserve"> </w:t>
      </w:r>
    </w:p>
    <w:p w14:paraId="42BC1AAC" w14:textId="77777777" w:rsidR="00532C25" w:rsidRPr="00511005" w:rsidRDefault="00532C25" w:rsidP="003F6A5D">
      <w:pPr>
        <w:numPr>
          <w:ilvl w:val="0"/>
          <w:numId w:val="695"/>
        </w:numPr>
        <w:suppressAutoHyphens/>
        <w:spacing w:line="264" w:lineRule="auto"/>
        <w:ind w:hanging="720"/>
        <w:contextualSpacing/>
        <w:jc w:val="left"/>
        <w:rPr>
          <w:rFonts w:ascii="Arial" w:eastAsia="MS Mincho" w:hAnsi="Arial" w:cs="Arial"/>
          <w:szCs w:val="28"/>
          <w:lang w:val="en-US"/>
        </w:rPr>
      </w:pPr>
      <w:r w:rsidRPr="00511005">
        <w:rPr>
          <w:rFonts w:ascii="Arial" w:eastAsia="MS Mincho" w:hAnsi="Arial" w:cs="Arial"/>
          <w:szCs w:val="28"/>
          <w:lang w:val="en-US"/>
        </w:rPr>
        <w:t xml:space="preserve">Information Management &amp; Computer Security. A test of interventions for security threats from social engineering. 2008. URL: </w:t>
      </w:r>
      <w:hyperlink r:id="rId2444">
        <w:r w:rsidRPr="00511005">
          <w:rPr>
            <w:rFonts w:ascii="Arial" w:eastAsia="MS Mincho" w:hAnsi="Arial" w:cs="Arial"/>
            <w:szCs w:val="28"/>
            <w:lang w:val="en-US"/>
          </w:rPr>
          <w:t>https://sci-hub.se/10.1108/09685220810920549/full</w:t>
        </w:r>
      </w:hyperlink>
      <w:r w:rsidRPr="00511005">
        <w:rPr>
          <w:rFonts w:ascii="Arial" w:eastAsia="MS Mincho" w:hAnsi="Arial" w:cs="Arial"/>
          <w:szCs w:val="28"/>
          <w:lang w:val="uk-UA"/>
        </w:rPr>
        <w:t xml:space="preserve"> </w:t>
      </w:r>
    </w:p>
    <w:p w14:paraId="45580DE7" w14:textId="77777777" w:rsidR="00532C25" w:rsidRPr="00511005" w:rsidRDefault="00532C25" w:rsidP="003F6A5D">
      <w:pPr>
        <w:numPr>
          <w:ilvl w:val="0"/>
          <w:numId w:val="695"/>
        </w:numPr>
        <w:suppressAutoHyphens/>
        <w:spacing w:line="264" w:lineRule="auto"/>
        <w:ind w:hanging="720"/>
        <w:contextualSpacing/>
        <w:jc w:val="left"/>
        <w:rPr>
          <w:rFonts w:ascii="Arial" w:eastAsia="MS Mincho" w:hAnsi="Arial" w:cs="Arial"/>
          <w:szCs w:val="28"/>
          <w:lang w:val="pl-PL"/>
        </w:rPr>
      </w:pPr>
      <w:r w:rsidRPr="00511005">
        <w:rPr>
          <w:rFonts w:ascii="Arial" w:eastAsia="MS Mincho" w:hAnsi="Arial" w:cs="Arial"/>
          <w:szCs w:val="28"/>
          <w:lang w:val="en-US"/>
        </w:rPr>
        <w:t xml:space="preserve">Statistics of Cybercrime from 2016 to the First Half of 2020. </w:t>
      </w:r>
      <w:r w:rsidRPr="00511005">
        <w:rPr>
          <w:rFonts w:ascii="Arial" w:eastAsia="MS Mincho" w:hAnsi="Arial" w:cs="Arial"/>
          <w:szCs w:val="28"/>
          <w:lang w:val="pl-PL"/>
        </w:rPr>
        <w:t xml:space="preserve">URL: </w:t>
      </w:r>
      <w:hyperlink r:id="rId2445">
        <w:r w:rsidRPr="00511005">
          <w:rPr>
            <w:rFonts w:ascii="Arial" w:eastAsia="MS Mincho" w:hAnsi="Arial" w:cs="Arial"/>
            <w:szCs w:val="28"/>
            <w:lang w:val="pl-PL"/>
          </w:rPr>
          <w:t>https://scholar.google.com.ua/scholar?hl=ru&amp;as_sdt=0%2C5&amp;q=social+engeneering+statistics+part+of&amp;btnG</w:t>
        </w:r>
      </w:hyperlink>
      <w:r w:rsidRPr="00511005">
        <w:rPr>
          <w:rFonts w:ascii="Arial" w:eastAsia="MS Mincho" w:hAnsi="Arial" w:cs="Arial"/>
          <w:szCs w:val="28"/>
          <w:lang w:val="pl-PL"/>
        </w:rPr>
        <w:t>=</w:t>
      </w:r>
      <w:r w:rsidRPr="00511005">
        <w:rPr>
          <w:rFonts w:ascii="Arial" w:eastAsia="MS Mincho" w:hAnsi="Arial" w:cs="Arial"/>
          <w:szCs w:val="28"/>
          <w:lang w:val="uk-UA"/>
        </w:rPr>
        <w:t xml:space="preserve"> </w:t>
      </w:r>
    </w:p>
    <w:p w14:paraId="5E1A3374" w14:textId="77777777" w:rsidR="00532C25" w:rsidRPr="00511005" w:rsidRDefault="00532C25" w:rsidP="00532C25">
      <w:pPr>
        <w:suppressAutoHyphens/>
        <w:spacing w:line="264" w:lineRule="auto"/>
        <w:ind w:firstLine="0"/>
        <w:contextualSpacing/>
        <w:rPr>
          <w:rFonts w:ascii="Arial" w:eastAsia="MS Mincho" w:hAnsi="Arial" w:cs="Arial"/>
          <w:szCs w:val="28"/>
          <w:lang w:val="pl-PL"/>
        </w:rPr>
      </w:pPr>
    </w:p>
    <w:p w14:paraId="2E34CF7E" w14:textId="77777777" w:rsidR="00532C25" w:rsidRPr="00511005" w:rsidRDefault="00532C25" w:rsidP="00532C25">
      <w:pPr>
        <w:suppressAutoHyphens/>
        <w:spacing w:line="264" w:lineRule="auto"/>
        <w:ind w:firstLine="851"/>
        <w:contextualSpacing/>
        <w:rPr>
          <w:rFonts w:ascii="Arial" w:eastAsia="MS Mincho" w:hAnsi="Arial" w:cs="Arial"/>
          <w:szCs w:val="28"/>
          <w:lang w:val="uk-UA"/>
        </w:rPr>
      </w:pPr>
      <w:r w:rsidRPr="00511005">
        <w:rPr>
          <w:rFonts w:ascii="Arial" w:eastAsia="MS Mincho" w:hAnsi="Arial" w:cs="Arial"/>
          <w:b/>
          <w:i/>
          <w:szCs w:val="28"/>
          <w:lang w:val="en-US"/>
        </w:rPr>
        <w:t xml:space="preserve">Ключові слова: </w:t>
      </w:r>
      <w:r w:rsidRPr="00511005">
        <w:rPr>
          <w:rFonts w:ascii="Arial" w:eastAsia="MS Mincho" w:hAnsi="Arial" w:cs="Arial"/>
          <w:szCs w:val="28"/>
          <w:lang w:val="en-US"/>
        </w:rPr>
        <w:t>соціальна</w:t>
      </w:r>
      <w:r w:rsidRPr="00511005">
        <w:rPr>
          <w:rFonts w:ascii="Arial" w:eastAsia="MS Mincho" w:hAnsi="Arial" w:cs="Arial"/>
          <w:szCs w:val="28"/>
          <w:lang w:val="pl-PL"/>
        </w:rPr>
        <w:t xml:space="preserve"> </w:t>
      </w:r>
      <w:r w:rsidRPr="00511005">
        <w:rPr>
          <w:rFonts w:ascii="Arial" w:eastAsia="MS Mincho" w:hAnsi="Arial" w:cs="Arial"/>
          <w:szCs w:val="28"/>
          <w:lang w:val="en-US"/>
        </w:rPr>
        <w:t>інженерія</w:t>
      </w:r>
      <w:r w:rsidRPr="00511005">
        <w:rPr>
          <w:rFonts w:ascii="Arial" w:eastAsia="MS Mincho" w:hAnsi="Arial" w:cs="Arial"/>
          <w:szCs w:val="28"/>
          <w:lang w:val="pl-PL"/>
        </w:rPr>
        <w:t xml:space="preserve">, </w:t>
      </w:r>
      <w:r w:rsidRPr="00511005">
        <w:rPr>
          <w:rFonts w:ascii="Arial" w:eastAsia="MS Mincho" w:hAnsi="Arial" w:cs="Arial"/>
          <w:szCs w:val="28"/>
          <w:lang w:val="en-US"/>
        </w:rPr>
        <w:t>кібербезпека</w:t>
      </w:r>
      <w:r w:rsidRPr="00511005">
        <w:rPr>
          <w:rFonts w:ascii="Arial" w:eastAsia="MS Mincho" w:hAnsi="Arial" w:cs="Arial"/>
          <w:szCs w:val="28"/>
          <w:lang w:val="pl-PL"/>
        </w:rPr>
        <w:t xml:space="preserve">, </w:t>
      </w:r>
      <w:r w:rsidRPr="00511005">
        <w:rPr>
          <w:rFonts w:ascii="Arial" w:eastAsia="MS Mincho" w:hAnsi="Arial" w:cs="Arial"/>
          <w:szCs w:val="28"/>
          <w:lang w:val="en-US"/>
        </w:rPr>
        <w:t>інформаційні</w:t>
      </w:r>
      <w:r w:rsidRPr="00511005">
        <w:rPr>
          <w:rFonts w:ascii="Arial" w:eastAsia="MS Mincho" w:hAnsi="Arial" w:cs="Arial"/>
          <w:szCs w:val="28"/>
          <w:lang w:val="pl-PL"/>
        </w:rPr>
        <w:t xml:space="preserve"> </w:t>
      </w:r>
      <w:r w:rsidRPr="00511005">
        <w:rPr>
          <w:rFonts w:ascii="Arial" w:eastAsia="MS Mincho" w:hAnsi="Arial" w:cs="Arial"/>
          <w:szCs w:val="28"/>
          <w:lang w:val="en-US"/>
        </w:rPr>
        <w:t>системи</w:t>
      </w:r>
      <w:r w:rsidRPr="00511005">
        <w:rPr>
          <w:rFonts w:ascii="Arial" w:eastAsia="MS Mincho" w:hAnsi="Arial" w:cs="Arial"/>
          <w:szCs w:val="28"/>
          <w:lang w:val="pl-PL"/>
        </w:rPr>
        <w:t xml:space="preserve">, </w:t>
      </w:r>
      <w:r w:rsidRPr="00511005">
        <w:rPr>
          <w:rFonts w:ascii="Arial" w:eastAsia="MS Mincho" w:hAnsi="Arial" w:cs="Arial"/>
          <w:szCs w:val="28"/>
          <w:lang w:val="en-US"/>
        </w:rPr>
        <w:t>ІТ</w:t>
      </w:r>
      <w:r w:rsidRPr="00511005">
        <w:rPr>
          <w:rFonts w:ascii="Arial" w:eastAsia="MS Mincho" w:hAnsi="Arial" w:cs="Arial"/>
          <w:szCs w:val="28"/>
          <w:lang w:val="pl-PL"/>
        </w:rPr>
        <w:t>-</w:t>
      </w:r>
      <w:r w:rsidRPr="00511005">
        <w:rPr>
          <w:rFonts w:ascii="Arial" w:eastAsia="MS Mincho" w:hAnsi="Arial" w:cs="Arial"/>
          <w:szCs w:val="28"/>
          <w:lang w:val="en-US"/>
        </w:rPr>
        <w:t>інфраструктура</w:t>
      </w:r>
      <w:r w:rsidRPr="00511005">
        <w:rPr>
          <w:rFonts w:ascii="Arial" w:eastAsia="MS Mincho" w:hAnsi="Arial" w:cs="Arial"/>
          <w:szCs w:val="28"/>
          <w:lang w:val="pl-PL"/>
        </w:rPr>
        <w:t xml:space="preserve">, </w:t>
      </w:r>
      <w:r w:rsidRPr="00511005">
        <w:rPr>
          <w:rFonts w:ascii="Arial" w:eastAsia="MS Mincho" w:hAnsi="Arial" w:cs="Arial"/>
          <w:szCs w:val="28"/>
          <w:lang w:val="en-US"/>
        </w:rPr>
        <w:t>захист</w:t>
      </w:r>
      <w:r w:rsidRPr="00511005">
        <w:rPr>
          <w:rFonts w:ascii="Arial" w:eastAsia="MS Mincho" w:hAnsi="Arial" w:cs="Arial"/>
          <w:szCs w:val="28"/>
          <w:lang w:val="pl-PL"/>
        </w:rPr>
        <w:t xml:space="preserve"> </w:t>
      </w:r>
      <w:r w:rsidRPr="00511005">
        <w:rPr>
          <w:rFonts w:ascii="Arial" w:eastAsia="MS Mincho" w:hAnsi="Arial" w:cs="Arial"/>
          <w:szCs w:val="28"/>
          <w:lang w:val="en-US"/>
        </w:rPr>
        <w:t>інформаційних</w:t>
      </w:r>
      <w:r w:rsidRPr="00511005">
        <w:rPr>
          <w:rFonts w:ascii="Arial" w:eastAsia="MS Mincho" w:hAnsi="Arial" w:cs="Arial"/>
          <w:szCs w:val="28"/>
          <w:lang w:val="pl-PL"/>
        </w:rPr>
        <w:t xml:space="preserve"> </w:t>
      </w:r>
      <w:r w:rsidRPr="00511005">
        <w:rPr>
          <w:rFonts w:ascii="Arial" w:eastAsia="MS Mincho" w:hAnsi="Arial" w:cs="Arial"/>
          <w:szCs w:val="28"/>
          <w:lang w:val="en-US"/>
        </w:rPr>
        <w:t>ресурсів</w:t>
      </w:r>
      <w:r w:rsidRPr="00511005">
        <w:rPr>
          <w:rFonts w:ascii="Arial" w:eastAsia="MS Mincho" w:hAnsi="Arial" w:cs="Arial"/>
          <w:szCs w:val="28"/>
          <w:lang w:val="pl-PL"/>
        </w:rPr>
        <w:t xml:space="preserve">, </w:t>
      </w:r>
      <w:r w:rsidRPr="00511005">
        <w:rPr>
          <w:rFonts w:ascii="Arial" w:eastAsia="MS Mincho" w:hAnsi="Arial" w:cs="Arial"/>
          <w:szCs w:val="28"/>
          <w:lang w:val="en-US"/>
        </w:rPr>
        <w:t>психологічний</w:t>
      </w:r>
      <w:r w:rsidRPr="00511005">
        <w:rPr>
          <w:rFonts w:ascii="Arial" w:eastAsia="MS Mincho" w:hAnsi="Arial" w:cs="Arial"/>
          <w:szCs w:val="28"/>
          <w:lang w:val="pl-PL"/>
        </w:rPr>
        <w:t xml:space="preserve"> </w:t>
      </w:r>
      <w:r w:rsidRPr="00511005">
        <w:rPr>
          <w:rFonts w:ascii="Arial" w:eastAsia="MS Mincho" w:hAnsi="Arial" w:cs="Arial"/>
          <w:szCs w:val="28"/>
          <w:lang w:val="en-US"/>
        </w:rPr>
        <w:t>вплив</w:t>
      </w:r>
      <w:r w:rsidRPr="00511005">
        <w:rPr>
          <w:rFonts w:ascii="Arial" w:eastAsia="MS Mincho" w:hAnsi="Arial" w:cs="Arial"/>
          <w:szCs w:val="28"/>
          <w:lang w:val="pl-PL"/>
        </w:rPr>
        <w:t xml:space="preserve">, </w:t>
      </w:r>
      <w:r w:rsidRPr="00511005">
        <w:rPr>
          <w:rFonts w:ascii="Arial" w:eastAsia="MS Mincho" w:hAnsi="Arial" w:cs="Arial"/>
          <w:szCs w:val="28"/>
          <w:lang w:val="en-US"/>
        </w:rPr>
        <w:t>людський</w:t>
      </w:r>
      <w:r w:rsidRPr="00511005">
        <w:rPr>
          <w:rFonts w:ascii="Arial" w:eastAsia="MS Mincho" w:hAnsi="Arial" w:cs="Arial"/>
          <w:szCs w:val="28"/>
          <w:lang w:val="pl-PL"/>
        </w:rPr>
        <w:t xml:space="preserve"> </w:t>
      </w:r>
      <w:r w:rsidRPr="00511005">
        <w:rPr>
          <w:rFonts w:ascii="Arial" w:eastAsia="MS Mincho" w:hAnsi="Arial" w:cs="Arial"/>
          <w:szCs w:val="28"/>
          <w:lang w:val="en-US"/>
        </w:rPr>
        <w:t>фактор</w:t>
      </w:r>
      <w:r w:rsidRPr="00511005">
        <w:rPr>
          <w:rFonts w:ascii="Arial" w:eastAsia="MS Mincho" w:hAnsi="Arial" w:cs="Arial"/>
          <w:szCs w:val="28"/>
          <w:lang w:val="pl-PL"/>
        </w:rPr>
        <w:t xml:space="preserve">, </w:t>
      </w:r>
      <w:r w:rsidRPr="00511005">
        <w:rPr>
          <w:rFonts w:ascii="Arial" w:eastAsia="MS Mincho" w:hAnsi="Arial" w:cs="Arial"/>
          <w:szCs w:val="28"/>
          <w:lang w:val="en-US"/>
        </w:rPr>
        <w:t>фішинг</w:t>
      </w:r>
      <w:r w:rsidRPr="00511005">
        <w:rPr>
          <w:rFonts w:ascii="Arial" w:eastAsia="MS Mincho" w:hAnsi="Arial" w:cs="Arial"/>
          <w:szCs w:val="28"/>
          <w:lang w:val="pl-PL"/>
        </w:rPr>
        <w:t xml:space="preserve">, </w:t>
      </w:r>
      <w:r w:rsidRPr="00511005">
        <w:rPr>
          <w:rFonts w:ascii="Arial" w:eastAsia="MS Mincho" w:hAnsi="Arial" w:cs="Arial"/>
          <w:szCs w:val="28"/>
          <w:lang w:val="en-US"/>
        </w:rPr>
        <w:t>спірінг</w:t>
      </w:r>
      <w:r w:rsidRPr="00511005">
        <w:rPr>
          <w:rFonts w:ascii="Arial" w:eastAsia="MS Mincho" w:hAnsi="Arial" w:cs="Arial"/>
          <w:szCs w:val="28"/>
          <w:lang w:val="pl-PL"/>
        </w:rPr>
        <w:t xml:space="preserve">, </w:t>
      </w:r>
      <w:r w:rsidRPr="00511005">
        <w:rPr>
          <w:rFonts w:ascii="Arial" w:eastAsia="MS Mincho" w:hAnsi="Arial" w:cs="Arial"/>
          <w:szCs w:val="28"/>
          <w:lang w:val="en-US"/>
        </w:rPr>
        <w:t>аплінг</w:t>
      </w:r>
      <w:r w:rsidRPr="00511005">
        <w:rPr>
          <w:rFonts w:ascii="Arial" w:eastAsia="MS Mincho" w:hAnsi="Arial" w:cs="Arial"/>
          <w:szCs w:val="28"/>
          <w:lang w:val="pl-PL"/>
        </w:rPr>
        <w:t xml:space="preserve">, </w:t>
      </w:r>
      <w:r w:rsidRPr="00511005">
        <w:rPr>
          <w:rFonts w:ascii="Arial" w:eastAsia="MS Mincho" w:hAnsi="Arial" w:cs="Arial"/>
          <w:szCs w:val="28"/>
          <w:lang w:val="en-US"/>
        </w:rPr>
        <w:t>телефонне</w:t>
      </w:r>
      <w:r w:rsidRPr="00511005">
        <w:rPr>
          <w:rFonts w:ascii="Arial" w:eastAsia="MS Mincho" w:hAnsi="Arial" w:cs="Arial"/>
          <w:szCs w:val="28"/>
          <w:lang w:val="pl-PL"/>
        </w:rPr>
        <w:t xml:space="preserve"> </w:t>
      </w:r>
      <w:r w:rsidRPr="00511005">
        <w:rPr>
          <w:rFonts w:ascii="Arial" w:eastAsia="MS Mincho" w:hAnsi="Arial" w:cs="Arial"/>
          <w:szCs w:val="28"/>
          <w:lang w:val="en-US"/>
        </w:rPr>
        <w:t>шахрайство</w:t>
      </w:r>
      <w:r w:rsidRPr="00511005">
        <w:rPr>
          <w:rFonts w:ascii="Arial" w:eastAsia="MS Mincho" w:hAnsi="Arial" w:cs="Arial"/>
          <w:szCs w:val="28"/>
          <w:lang w:val="pl-PL"/>
        </w:rPr>
        <w:t xml:space="preserve">, </w:t>
      </w:r>
      <w:r w:rsidRPr="00511005">
        <w:rPr>
          <w:rFonts w:ascii="Arial" w:eastAsia="MS Mincho" w:hAnsi="Arial" w:cs="Arial"/>
          <w:szCs w:val="28"/>
          <w:lang w:val="en-US"/>
        </w:rPr>
        <w:t>профілактика</w:t>
      </w:r>
      <w:r w:rsidRPr="00511005">
        <w:rPr>
          <w:rFonts w:ascii="Arial" w:eastAsia="MS Mincho" w:hAnsi="Arial" w:cs="Arial"/>
          <w:szCs w:val="28"/>
          <w:lang w:val="pl-PL"/>
        </w:rPr>
        <w:t xml:space="preserve"> </w:t>
      </w:r>
      <w:r w:rsidRPr="00511005">
        <w:rPr>
          <w:rFonts w:ascii="Arial" w:eastAsia="MS Mincho" w:hAnsi="Arial" w:cs="Arial"/>
          <w:szCs w:val="28"/>
          <w:lang w:val="en-US"/>
        </w:rPr>
        <w:t>атак</w:t>
      </w:r>
      <w:r w:rsidRPr="00511005">
        <w:rPr>
          <w:rFonts w:ascii="Arial" w:eastAsia="MS Mincho" w:hAnsi="Arial" w:cs="Arial"/>
          <w:szCs w:val="28"/>
          <w:lang w:val="pl-PL"/>
        </w:rPr>
        <w:t xml:space="preserve">, </w:t>
      </w:r>
      <w:r w:rsidRPr="00511005">
        <w:rPr>
          <w:rFonts w:ascii="Arial" w:eastAsia="MS Mincho" w:hAnsi="Arial" w:cs="Arial"/>
          <w:szCs w:val="28"/>
          <w:lang w:val="en-US"/>
        </w:rPr>
        <w:t>політика</w:t>
      </w:r>
      <w:r w:rsidRPr="00511005">
        <w:rPr>
          <w:rFonts w:ascii="Arial" w:eastAsia="MS Mincho" w:hAnsi="Arial" w:cs="Arial"/>
          <w:szCs w:val="28"/>
          <w:lang w:val="pl-PL"/>
        </w:rPr>
        <w:t xml:space="preserve"> </w:t>
      </w:r>
      <w:r w:rsidRPr="00511005">
        <w:rPr>
          <w:rFonts w:ascii="Arial" w:eastAsia="MS Mincho" w:hAnsi="Arial" w:cs="Arial"/>
          <w:szCs w:val="28"/>
          <w:lang w:val="en-US"/>
        </w:rPr>
        <w:t>мінімального</w:t>
      </w:r>
      <w:r w:rsidRPr="00511005">
        <w:rPr>
          <w:rFonts w:ascii="Arial" w:eastAsia="MS Mincho" w:hAnsi="Arial" w:cs="Arial"/>
          <w:szCs w:val="28"/>
          <w:lang w:val="pl-PL"/>
        </w:rPr>
        <w:t xml:space="preserve"> </w:t>
      </w:r>
      <w:r w:rsidRPr="00511005">
        <w:rPr>
          <w:rFonts w:ascii="Arial" w:eastAsia="MS Mincho" w:hAnsi="Arial" w:cs="Arial"/>
          <w:szCs w:val="28"/>
          <w:lang w:val="en-US"/>
        </w:rPr>
        <w:t>доступу</w:t>
      </w:r>
      <w:r w:rsidRPr="00511005">
        <w:rPr>
          <w:rFonts w:ascii="Arial" w:eastAsia="MS Mincho" w:hAnsi="Arial" w:cs="Arial"/>
          <w:szCs w:val="28"/>
          <w:lang w:val="pl-PL"/>
        </w:rPr>
        <w:t xml:space="preserve">, </w:t>
      </w:r>
      <w:r w:rsidRPr="00511005">
        <w:rPr>
          <w:rFonts w:ascii="Arial" w:eastAsia="MS Mincho" w:hAnsi="Arial" w:cs="Arial"/>
          <w:szCs w:val="28"/>
          <w:lang w:val="en-US"/>
        </w:rPr>
        <w:t>верифікація</w:t>
      </w:r>
      <w:r w:rsidRPr="00511005">
        <w:rPr>
          <w:rFonts w:ascii="Arial" w:eastAsia="MS Mincho" w:hAnsi="Arial" w:cs="Arial"/>
          <w:szCs w:val="28"/>
          <w:lang w:val="pl-PL"/>
        </w:rPr>
        <w:t xml:space="preserve"> </w:t>
      </w:r>
      <w:r w:rsidRPr="00511005">
        <w:rPr>
          <w:rFonts w:ascii="Arial" w:eastAsia="MS Mincho" w:hAnsi="Arial" w:cs="Arial"/>
          <w:szCs w:val="28"/>
          <w:lang w:val="en-US"/>
        </w:rPr>
        <w:t>даних</w:t>
      </w:r>
      <w:r w:rsidRPr="00511005">
        <w:rPr>
          <w:rFonts w:ascii="Arial" w:eastAsia="MS Mincho" w:hAnsi="Arial" w:cs="Arial"/>
          <w:szCs w:val="28"/>
          <w:lang w:val="pl-PL"/>
        </w:rPr>
        <w:t xml:space="preserve">, </w:t>
      </w:r>
      <w:r w:rsidRPr="00511005">
        <w:rPr>
          <w:rFonts w:ascii="Arial" w:eastAsia="MS Mincho" w:hAnsi="Arial" w:cs="Arial"/>
          <w:szCs w:val="28"/>
          <w:lang w:val="en-US"/>
        </w:rPr>
        <w:t>поведінкові</w:t>
      </w:r>
      <w:r w:rsidRPr="00511005">
        <w:rPr>
          <w:rFonts w:ascii="Arial" w:eastAsia="MS Mincho" w:hAnsi="Arial" w:cs="Arial"/>
          <w:szCs w:val="28"/>
          <w:lang w:val="pl-PL"/>
        </w:rPr>
        <w:t xml:space="preserve"> </w:t>
      </w:r>
      <w:r w:rsidRPr="00511005">
        <w:rPr>
          <w:rFonts w:ascii="Arial" w:eastAsia="MS Mincho" w:hAnsi="Arial" w:cs="Arial"/>
          <w:szCs w:val="28"/>
          <w:lang w:val="en-US"/>
        </w:rPr>
        <w:t>аномалії</w:t>
      </w:r>
      <w:r w:rsidRPr="00511005">
        <w:rPr>
          <w:rFonts w:ascii="Arial" w:eastAsia="MS Mincho" w:hAnsi="Arial" w:cs="Arial"/>
          <w:szCs w:val="28"/>
          <w:lang w:val="pl-PL"/>
        </w:rPr>
        <w:t xml:space="preserve">, </w:t>
      </w:r>
      <w:r w:rsidRPr="00511005">
        <w:rPr>
          <w:rFonts w:ascii="Arial" w:eastAsia="MS Mincho" w:hAnsi="Arial" w:cs="Arial"/>
          <w:szCs w:val="28"/>
          <w:lang w:val="en-US"/>
        </w:rPr>
        <w:t>концепція</w:t>
      </w:r>
      <w:r w:rsidRPr="00511005">
        <w:rPr>
          <w:rFonts w:ascii="Arial" w:eastAsia="MS Mincho" w:hAnsi="Arial" w:cs="Arial"/>
          <w:szCs w:val="28"/>
          <w:lang w:val="pl-PL"/>
        </w:rPr>
        <w:t xml:space="preserve"> Kill Chain, </w:t>
      </w:r>
      <w:r w:rsidRPr="00511005">
        <w:rPr>
          <w:rFonts w:ascii="Arial" w:eastAsia="MS Mincho" w:hAnsi="Arial" w:cs="Arial"/>
          <w:szCs w:val="28"/>
          <w:lang w:val="en-US"/>
        </w:rPr>
        <w:t>кібератаки</w:t>
      </w:r>
      <w:r w:rsidRPr="00511005">
        <w:rPr>
          <w:rFonts w:ascii="Arial" w:eastAsia="MS Mincho" w:hAnsi="Arial" w:cs="Arial"/>
          <w:szCs w:val="28"/>
          <w:lang w:val="uk-UA"/>
        </w:rPr>
        <w:t>.</w:t>
      </w:r>
    </w:p>
    <w:p w14:paraId="3B08F342" w14:textId="77777777" w:rsidR="00532C25" w:rsidRPr="00511005" w:rsidRDefault="00532C25" w:rsidP="00532C25">
      <w:pPr>
        <w:suppressAutoHyphens/>
        <w:spacing w:line="264" w:lineRule="auto"/>
        <w:ind w:firstLine="851"/>
        <w:contextualSpacing/>
        <w:rPr>
          <w:rFonts w:ascii="Arial" w:eastAsia="MS Mincho" w:hAnsi="Arial" w:cs="Arial"/>
          <w:szCs w:val="28"/>
          <w:lang w:val="uk-UA"/>
        </w:rPr>
      </w:pPr>
      <w:r w:rsidRPr="00511005">
        <w:rPr>
          <w:rFonts w:ascii="Arial" w:eastAsia="MS Mincho" w:hAnsi="Arial" w:cs="Arial"/>
          <w:b/>
          <w:i/>
          <w:szCs w:val="28"/>
          <w:lang w:val="uk-UA"/>
        </w:rPr>
        <w:t xml:space="preserve">Key words: </w:t>
      </w:r>
      <w:r w:rsidRPr="00511005">
        <w:rPr>
          <w:rFonts w:ascii="Arial" w:eastAsia="MS Mincho" w:hAnsi="Arial" w:cs="Arial"/>
          <w:szCs w:val="28"/>
          <w:lang w:val="uk-UA"/>
        </w:rPr>
        <w:t>social engineering, cybersecurity, information systems, IT infrastructure, information resource protection, psychological influence, human factor, phishing, spear phishing, baiting, telephone fraud (vishing), attack prevention, least privilege policy, data verification, behavioral anomalies, Kill Chain concept, cyberattacks.</w:t>
      </w:r>
    </w:p>
    <w:p w14:paraId="616906B0" w14:textId="77777777" w:rsidR="00532C25" w:rsidRPr="00511005" w:rsidRDefault="00532C25" w:rsidP="00532C25">
      <w:pPr>
        <w:keepNext/>
        <w:widowControl w:val="0"/>
        <w:spacing w:line="264" w:lineRule="auto"/>
        <w:ind w:firstLine="708"/>
        <w:rPr>
          <w:rFonts w:ascii="Arial" w:eastAsia="MS Mincho" w:hAnsi="Arial" w:cs="Arial"/>
          <w:b/>
          <w:bCs/>
          <w:i/>
          <w:iCs/>
          <w:szCs w:val="28"/>
          <w:lang w:eastAsia="ru-RU"/>
        </w:rPr>
      </w:pPr>
      <w:r w:rsidRPr="00511005">
        <w:rPr>
          <w:rFonts w:ascii="Arial" w:eastAsia="Calibri" w:hAnsi="Arial" w:cs="Arial"/>
          <w:b/>
          <w:bCs/>
          <w:i/>
          <w:iCs/>
          <w:szCs w:val="28"/>
          <w:lang w:val="uk-UA"/>
        </w:rPr>
        <w:t xml:space="preserve">Науковий керівник: </w:t>
      </w:r>
      <w:r w:rsidRPr="00511005">
        <w:rPr>
          <w:rFonts w:ascii="Arial" w:eastAsia="Calibri" w:hAnsi="Arial" w:cs="Arial"/>
          <w:bCs/>
          <w:szCs w:val="28"/>
          <w:lang w:val="uk-UA"/>
        </w:rPr>
        <w:t xml:space="preserve">к.т.н., доцент </w:t>
      </w:r>
      <w:r w:rsidRPr="00511005">
        <w:rPr>
          <w:rFonts w:ascii="Arial" w:eastAsia="MS Mincho" w:hAnsi="Arial" w:cs="Arial"/>
          <w:szCs w:val="28"/>
          <w:lang w:eastAsia="ru-RU"/>
        </w:rPr>
        <w:t>Бойко</w:t>
      </w:r>
      <w:r w:rsidRPr="00511005">
        <w:rPr>
          <w:rFonts w:ascii="Arial" w:eastAsia="MS Mincho" w:hAnsi="Arial" w:cs="Arial"/>
          <w:b/>
          <w:bCs/>
          <w:i/>
          <w:iCs/>
          <w:szCs w:val="28"/>
          <w:lang w:eastAsia="ru-RU"/>
        </w:rPr>
        <w:t xml:space="preserve"> </w:t>
      </w:r>
      <w:r w:rsidRPr="00511005">
        <w:rPr>
          <w:rFonts w:ascii="Arial" w:eastAsia="Calibri" w:hAnsi="Arial" w:cs="Arial"/>
          <w:bCs/>
          <w:szCs w:val="28"/>
          <w:lang w:val="uk-UA"/>
        </w:rPr>
        <w:t>В.</w:t>
      </w:r>
    </w:p>
    <w:p w14:paraId="1532745E" w14:textId="77777777" w:rsidR="00532C25" w:rsidRPr="00511005" w:rsidRDefault="00532C25" w:rsidP="00532C25">
      <w:pPr>
        <w:spacing w:line="264" w:lineRule="auto"/>
        <w:ind w:firstLine="0"/>
        <w:rPr>
          <w:rFonts w:ascii="Arial" w:eastAsia="Calibri" w:hAnsi="Arial" w:cs="Arial"/>
          <w:szCs w:val="28"/>
          <w:lang w:val="uk-UA"/>
        </w:rPr>
      </w:pPr>
    </w:p>
    <w:p w14:paraId="4BA6F93D" w14:textId="77777777" w:rsidR="00532C25" w:rsidRPr="00511005" w:rsidRDefault="00532C25" w:rsidP="00532C25">
      <w:pPr>
        <w:spacing w:line="264" w:lineRule="auto"/>
        <w:ind w:firstLine="0"/>
        <w:rPr>
          <w:rFonts w:ascii="Arial" w:eastAsia="Calibri" w:hAnsi="Arial" w:cs="Arial"/>
          <w:szCs w:val="28"/>
          <w:lang w:val="en-US"/>
        </w:rPr>
      </w:pPr>
    </w:p>
    <w:p w14:paraId="5FB470C0" w14:textId="77777777" w:rsidR="00532C25" w:rsidRPr="00511005" w:rsidRDefault="00532C25" w:rsidP="00532C25">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rPr>
        <w:lastRenderedPageBreak/>
        <w:br/>
        <w:t xml:space="preserve">Плачинда </w:t>
      </w:r>
      <w:r w:rsidRPr="00511005">
        <w:rPr>
          <w:rFonts w:ascii="Arial" w:eastAsia="Calibri" w:hAnsi="Arial" w:cs="Arial"/>
          <w:b/>
          <w:i/>
          <w:szCs w:val="28"/>
          <w:lang w:val="uk-UA"/>
        </w:rPr>
        <w:t>Анастасія Павлівна</w:t>
      </w:r>
    </w:p>
    <w:p w14:paraId="28565C8E" w14:textId="77777777" w:rsidR="00532C25" w:rsidRPr="00511005" w:rsidRDefault="00532C25" w:rsidP="00532C25">
      <w:pPr>
        <w:tabs>
          <w:tab w:val="left" w:pos="1350"/>
        </w:tabs>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 xml:space="preserve">студентка 1-го курсу факультету адвокатури та антикорупційної діяльності </w:t>
      </w:r>
    </w:p>
    <w:p w14:paraId="14296F28" w14:textId="77777777" w:rsidR="00532C25" w:rsidRPr="00511005" w:rsidRDefault="00532C25" w:rsidP="00532C25">
      <w:pPr>
        <w:tabs>
          <w:tab w:val="left" w:pos="1350"/>
        </w:tabs>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149A1485" w14:textId="77777777" w:rsidR="00532C25" w:rsidRPr="00511005" w:rsidRDefault="00532C25" w:rsidP="00532C25">
      <w:pPr>
        <w:tabs>
          <w:tab w:val="left" w:pos="1350"/>
        </w:tabs>
        <w:spacing w:line="264" w:lineRule="auto"/>
        <w:ind w:firstLine="0"/>
        <w:jc w:val="center"/>
        <w:rPr>
          <w:rFonts w:ascii="Arial" w:eastAsia="Calibri" w:hAnsi="Arial" w:cs="Arial"/>
          <w:b/>
          <w:iCs/>
          <w:szCs w:val="28"/>
          <w:lang w:val="uk-UA"/>
        </w:rPr>
      </w:pPr>
    </w:p>
    <w:p w14:paraId="7611F4A0" w14:textId="77777777" w:rsidR="00532C25" w:rsidRPr="00511005" w:rsidRDefault="00532C25" w:rsidP="00532C25">
      <w:pPr>
        <w:tabs>
          <w:tab w:val="left" w:pos="1350"/>
        </w:tabs>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ЗАСТОСУВАННЯ МАТРИЧНИХ ОБЧИСЛЕНЬ У МОДЕЛЮВАННІ БІЗНЕС-ПРОЦЕСІВ</w:t>
      </w:r>
    </w:p>
    <w:p w14:paraId="29E294D0"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Сучасний етап розвитку економіки та управління підприємствами характеризується стрімким ускладненням бізнес-процесів, що зумовлює потребу в застосуванні науково обґрунтованих методів моделювання. Одним із таких підходів є використання матричних обчислень — потужного інструменту прикладної математики, що дозволяє структурувати та аналізувати багатокомпонентні процеси в системі управління організацією. У моделюванні бізнес-процесів матриці виступають не лише як форма представлення даних, але й як засіб формалізації взаємозв'язків між різними елементами системи. Вони дозволяють розглядати складні економічні взаємодії у вигляді систем лінійних рівнянь, знаходити рішення задач оптимізації, а також здійснювати прогнозування розвитку ситуацій у межах сценарного планування. Застосування матричних моделей охоплює різні сфери бізнес-діяльності: від управління виробничими ресурсами до фінансового аналізу та логістичного планування. Матричний підхід дає змогу скоротити час ухвалення управлінських рішень, зменшити вплив суб'єктивного чинника, а також підвищити точність розрахунків.</w:t>
      </w:r>
    </w:p>
    <w:p w14:paraId="7473BE9C"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Проблема полягає в тому, що традиційні методи опису та аналізу бізнес-процесів не враховують усієї складності їхньої взаємозалежності, не забезпечують достатнього рівня формалізації для точної кількісної оцінки й оптимізації. Особливо це актуально для великих промислових підприємств, де тисячі параметрів і рішень щодня впливають на кінцевий результат. Недостатність гнучкості й обґрунтованості управлінських рішень призводить до втрати ресурсів, зниження ефективності виробництва та управління ризиками. З цієї причини виникає необхідність у використанні матричних моделей як засобу кількісного аналізу взаємодії компонентів бізнесу. Шлях вирішення цієї проблеми — розробка і впровадження удосконаленої методики матричного бізнес-моделювання. Побудова матриць витрат, результативності, ефективності й ризиків дає змогу структурувати великі обсяги даних, знаходити приховані взаємозв’язки, проводити сценарне планування та оцінювати наслідки рішень до їх реалізації. Особливо ефективним є поєднання матричного аналізу з сучасними інформаційними системами, що забезпечує автоматизацію розрахунків, динамічну візуалізацію та гнучке управління параметрами моделей.</w:t>
      </w:r>
    </w:p>
    <w:p w14:paraId="176458B7"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Матриця — це математичний об'єкт, записаний у вигляді прямокутної таблиці чисел (чи елементів кільця), який допускає виконання основних </w:t>
      </w:r>
      <w:r w:rsidRPr="00511005">
        <w:rPr>
          <w:rFonts w:ascii="Arial" w:eastAsia="Times New Roman" w:hAnsi="Arial" w:cs="Arial"/>
          <w:szCs w:val="28"/>
          <w:lang w:val="uk-UA" w:eastAsia="ru-RU"/>
        </w:rPr>
        <w:lastRenderedPageBreak/>
        <w:t xml:space="preserve">операцій, таких як додавання, віднімання, множення та множення на скаляр. Зазвичай, матриці представляються у вигляді двовимірних прямокутних таблиць. У деяких випадках розглядаються також багатовимірні або непрямокутні матриці, однак у цій статті розгляд обмежується класичними прямокутними матрицями. Вивченням властивостей і застосуванням матриць займається окрема галузь математики — теорія матриць. Матриці є особливо корисними у тих випадках, коли необхідно представити дані, що залежать від двох категорій. Наприклад, вони широко використовуються для збереження коефіцієнтів у системах лінійних рівнянь, а також для опису лінійних перетворень у векторних просторах. Матричний підхід є також основою економіко-математичних моделей у форматі «витрати–випуск», відомої як модель Леонтьєва [1]. Така модель дозволяє визначити, скільки продукції має бути вироблено в кожному секторі економіки для задоволення як проміжного попиту, так і кінцевого споживання. Цей підхід дозволяє з високою точністю прогнозувати зміни в структурі економіки залежно від попиту. Зокрема, застосування міжгалузевого балансу дозволяє виявити «вузькі місця» у виробничому ланцюжку підприємства та запропоновано шляхи їх усунення. Завдяки матричному підходу можливо визначити оптимальний розподіл ресурсів між цехами або виробничими лініями. Наприклад, у виробництві продукції А, В і С із трьох видів сировини застосовується матриця, яка демонструє, скільки одиниць кожного ресурсу потрібно на одиницю продукції. Множачи цю матрицю на вектор планового випуску, отримуємо вектор потреб у ресурсах. У логістиці матриці широко застосовуються для опису маршрутів постачання, транспортних витрат і взаємозв’язків між складами, виробництвами та споживачами. Класичним прикладом є транспортна задача, в якій необхідно знайти оптимальне постачання товару з кількох складів до кількох пунктів призначення при мінімальних витратах. В цьому випадку використовується матриця транспортних витрат C, матриця обсягів постачання X, вектори наявних запасів S і попиту D. Задача формулюється як мінімізація функції витрат </w:t>
      </w:r>
      <m:oMath>
        <m:r>
          <w:rPr>
            <w:rFonts w:ascii="Cambria Math" w:eastAsia="Times New Roman" w:hAnsi="Cambria Math" w:cs="Arial"/>
            <w:szCs w:val="28"/>
            <w:lang w:val="uk-UA" w:eastAsia="ru-RU"/>
          </w:rPr>
          <m:t xml:space="preserve">Z = ΣΣ </m:t>
        </m:r>
        <m:sSub>
          <m:sSubPr>
            <m:ctrlPr>
              <w:rPr>
                <w:rFonts w:ascii="Cambria Math" w:eastAsia="Times New Roman" w:hAnsi="Cambria Math" w:cs="Arial"/>
                <w:i/>
                <w:szCs w:val="28"/>
                <w:lang w:val="uk-UA" w:eastAsia="ru-RU"/>
              </w:rPr>
            </m:ctrlPr>
          </m:sSubPr>
          <m:e>
            <m:r>
              <w:rPr>
                <w:rFonts w:ascii="Cambria Math" w:eastAsia="Times New Roman" w:hAnsi="Cambria Math" w:cs="Arial"/>
                <w:szCs w:val="28"/>
                <w:lang w:val="uk-UA" w:eastAsia="ru-RU"/>
              </w:rPr>
              <m:t>c</m:t>
            </m:r>
          </m:e>
          <m:sub>
            <m:r>
              <w:rPr>
                <w:rFonts w:ascii="Cambria Math" w:eastAsia="Times New Roman" w:hAnsi="Cambria Math" w:cs="Arial"/>
                <w:szCs w:val="28"/>
                <w:lang w:val="uk-UA" w:eastAsia="ru-RU"/>
              </w:rPr>
              <m:t>ij</m:t>
            </m:r>
          </m:sub>
        </m:sSub>
        <m:r>
          <w:rPr>
            <w:rFonts w:ascii="Cambria Math" w:eastAsia="Times New Roman" w:hAnsi="Cambria Math" w:cs="Arial"/>
            <w:szCs w:val="28"/>
            <w:lang w:val="uk-UA" w:eastAsia="ru-RU"/>
          </w:rPr>
          <m:t xml:space="preserve">* </m:t>
        </m:r>
        <m:sSub>
          <m:sSubPr>
            <m:ctrlPr>
              <w:rPr>
                <w:rFonts w:ascii="Cambria Math" w:eastAsia="Times New Roman" w:hAnsi="Cambria Math" w:cs="Arial"/>
                <w:i/>
                <w:szCs w:val="28"/>
                <w:lang w:val="uk-UA" w:eastAsia="ru-RU"/>
              </w:rPr>
            </m:ctrlPr>
          </m:sSubPr>
          <m:e>
            <m:r>
              <w:rPr>
                <w:rFonts w:ascii="Cambria Math" w:eastAsia="Times New Roman" w:hAnsi="Cambria Math" w:cs="Arial"/>
                <w:szCs w:val="28"/>
                <w:lang w:val="uk-UA" w:eastAsia="ru-RU"/>
              </w:rPr>
              <m:t>x</m:t>
            </m:r>
          </m:e>
          <m:sub>
            <m:r>
              <w:rPr>
                <w:rFonts w:ascii="Cambria Math" w:eastAsia="Times New Roman" w:hAnsi="Cambria Math" w:cs="Arial"/>
                <w:szCs w:val="28"/>
                <w:lang w:val="uk-UA" w:eastAsia="ru-RU"/>
              </w:rPr>
              <m:t>ij</m:t>
            </m:r>
          </m:sub>
        </m:sSub>
        <m:r>
          <w:rPr>
            <w:rFonts w:ascii="Cambria Math" w:eastAsia="Times New Roman" w:hAnsi="Cambria Math" w:cs="Arial"/>
            <w:szCs w:val="28"/>
            <w:lang w:val="uk-UA" w:eastAsia="ru-RU"/>
          </w:rPr>
          <m:t xml:space="preserve"> </m:t>
        </m:r>
      </m:oMath>
      <w:r w:rsidRPr="00511005">
        <w:rPr>
          <w:rFonts w:ascii="Arial" w:eastAsia="Times New Roman" w:hAnsi="Arial" w:cs="Arial"/>
          <w:szCs w:val="28"/>
          <w:lang w:val="uk-UA" w:eastAsia="ru-RU"/>
        </w:rPr>
        <w:t xml:space="preserve">за умови обмежень балансу ресурсів і попиту. Це дозволяє побудувати оптимальні маршрути доставки, зменшити витрати і підвищити ефективність логістичних операцій [2]. Також, матричний підхід дозволяє також аналізувати фінансові потоки підприємства. Наприклад, бюджетні моделі з великою кількістю статей доходів і витрат зручно представляти у вигляді матриць. У моделюванні грошових потоків застосовуються матриці надходжень, витрат, амортизації, податків тощо. </w:t>
      </w:r>
    </w:p>
    <w:p w14:paraId="7FAC29A3"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Матриця, як базова математична структура, дозволяє представляти бізнес-процеси у вигляді системи взаємозалежних змінних. Наприклад, у задачі оптимізації виробництва для трьох продуктів, які виготовляються з трьох ресурсів, можна побудувати матрицю витрат:</w:t>
      </w:r>
      <w:r w:rsidRPr="00511005">
        <w:rPr>
          <w:rFonts w:ascii="Arial" w:eastAsia="Times New Roman" w:hAnsi="Arial" w:cs="Arial"/>
          <w:szCs w:val="28"/>
          <w:lang w:val="uk-UA" w:eastAsia="ru-RU"/>
        </w:rPr>
        <w:tab/>
      </w:r>
      <w:r w:rsidRPr="00511005">
        <w:rPr>
          <w:rFonts w:ascii="Arial" w:eastAsia="Times New Roman" w:hAnsi="Arial" w:cs="Arial"/>
          <w:szCs w:val="28"/>
          <w:lang w:val="uk-UA" w:eastAsia="ru-RU"/>
        </w:rPr>
        <w:tab/>
      </w:r>
      <w:r w:rsidRPr="00511005">
        <w:rPr>
          <w:rFonts w:ascii="Arial" w:eastAsia="Times New Roman" w:hAnsi="Arial" w:cs="Arial"/>
          <w:szCs w:val="28"/>
          <w:lang w:val="uk-UA" w:eastAsia="ru-RU"/>
        </w:rPr>
        <w:tab/>
      </w:r>
      <w:r w:rsidRPr="00511005">
        <w:rPr>
          <w:rFonts w:ascii="Arial" w:eastAsia="Times New Roman" w:hAnsi="Arial" w:cs="Arial"/>
          <w:szCs w:val="28"/>
          <w:lang w:val="uk-UA" w:eastAsia="ru-RU"/>
        </w:rPr>
        <w:tab/>
      </w:r>
      <w:r w:rsidRPr="00511005">
        <w:rPr>
          <w:rFonts w:ascii="Arial" w:eastAsia="Times New Roman" w:hAnsi="Arial" w:cs="Arial"/>
          <w:szCs w:val="28"/>
          <w:lang w:val="uk-UA" w:eastAsia="ru-RU"/>
        </w:rPr>
        <w:tab/>
      </w:r>
      <w:r w:rsidRPr="00511005">
        <w:rPr>
          <w:rFonts w:ascii="Arial" w:eastAsia="Times New Roman" w:hAnsi="Arial" w:cs="Arial"/>
          <w:szCs w:val="28"/>
          <w:lang w:val="uk-UA" w:eastAsia="ru-RU"/>
        </w:rPr>
        <w:tab/>
      </w:r>
    </w:p>
    <w:p w14:paraId="0AC64529"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А</w:t>
      </w:r>
      <w:r w:rsidRPr="00511005">
        <w:rPr>
          <w:rFonts w:ascii="Arial" w:eastAsia="Times New Roman" w:hAnsi="Arial" w:cs="Arial"/>
          <w:i/>
          <w:szCs w:val="28"/>
          <w:lang w:val="uk-UA" w:eastAsia="ru-RU"/>
        </w:rPr>
        <w:t xml:space="preserve">= </w:t>
      </w:r>
      <m:oMath>
        <m:d>
          <m:dPr>
            <m:ctrlPr>
              <w:rPr>
                <w:rFonts w:ascii="Cambria Math" w:eastAsia="Times New Roman" w:hAnsi="Cambria Math" w:cs="Arial"/>
                <w:i/>
                <w:szCs w:val="28"/>
                <w:lang w:val="en-US" w:eastAsia="ru-RU"/>
              </w:rPr>
            </m:ctrlPr>
          </m:dPr>
          <m:e>
            <m:m>
              <m:mPr>
                <m:mcs>
                  <m:mc>
                    <m:mcPr>
                      <m:count m:val="3"/>
                      <m:mcJc m:val="center"/>
                    </m:mcPr>
                  </m:mc>
                </m:mcs>
                <m:ctrlPr>
                  <w:rPr>
                    <w:rFonts w:ascii="Cambria Math" w:eastAsia="Times New Roman" w:hAnsi="Cambria Math" w:cs="Arial"/>
                    <w:i/>
                    <w:szCs w:val="28"/>
                    <w:lang w:val="en-US" w:eastAsia="ru-RU"/>
                  </w:rPr>
                </m:ctrlPr>
              </m:mPr>
              <m:mr>
                <m:e>
                  <m:r>
                    <w:rPr>
                      <w:rFonts w:ascii="Cambria Math" w:eastAsia="Times New Roman" w:hAnsi="Cambria Math" w:cs="Arial"/>
                      <w:szCs w:val="28"/>
                      <w:lang w:val="uk-UA" w:eastAsia="ru-RU"/>
                    </w:rPr>
                    <m:t>2</m:t>
                  </m:r>
                </m:e>
                <m:e>
                  <m:r>
                    <w:rPr>
                      <w:rFonts w:ascii="Cambria Math" w:eastAsia="Times New Roman" w:hAnsi="Cambria Math" w:cs="Arial"/>
                      <w:szCs w:val="28"/>
                      <w:lang w:val="uk-UA" w:eastAsia="ru-RU"/>
                    </w:rPr>
                    <m:t>1</m:t>
                  </m:r>
                </m:e>
                <m:e>
                  <m:r>
                    <w:rPr>
                      <w:rFonts w:ascii="Cambria Math" w:eastAsia="Times New Roman" w:hAnsi="Cambria Math" w:cs="Arial"/>
                      <w:szCs w:val="28"/>
                      <w:lang w:val="uk-UA" w:eastAsia="ru-RU"/>
                    </w:rPr>
                    <m:t>3</m:t>
                  </m:r>
                </m:e>
              </m:mr>
              <m:mr>
                <m:e>
                  <m:r>
                    <w:rPr>
                      <w:rFonts w:ascii="Cambria Math" w:eastAsia="Times New Roman" w:hAnsi="Cambria Math" w:cs="Arial"/>
                      <w:szCs w:val="28"/>
                      <w:lang w:val="uk-UA" w:eastAsia="ru-RU"/>
                    </w:rPr>
                    <m:t>1</m:t>
                  </m:r>
                </m:e>
                <m:e>
                  <m:r>
                    <w:rPr>
                      <w:rFonts w:ascii="Cambria Math" w:eastAsia="Times New Roman" w:hAnsi="Cambria Math" w:cs="Arial"/>
                      <w:szCs w:val="28"/>
                      <w:lang w:val="uk-UA" w:eastAsia="ru-RU"/>
                    </w:rPr>
                    <m:t>2</m:t>
                  </m:r>
                </m:e>
                <m:e>
                  <m:r>
                    <w:rPr>
                      <w:rFonts w:ascii="Cambria Math" w:eastAsia="Times New Roman" w:hAnsi="Cambria Math" w:cs="Arial"/>
                      <w:szCs w:val="28"/>
                      <w:lang w:val="uk-UA" w:eastAsia="ru-RU"/>
                    </w:rPr>
                    <m:t>1</m:t>
                  </m:r>
                </m:e>
              </m:mr>
              <m:mr>
                <m:e>
                  <m:r>
                    <w:rPr>
                      <w:rFonts w:ascii="Cambria Math" w:eastAsia="Times New Roman" w:hAnsi="Cambria Math" w:cs="Arial"/>
                      <w:szCs w:val="28"/>
                      <w:lang w:val="uk-UA" w:eastAsia="ru-RU"/>
                    </w:rPr>
                    <m:t>3</m:t>
                  </m:r>
                </m:e>
                <m:e>
                  <m:r>
                    <w:rPr>
                      <w:rFonts w:ascii="Cambria Math" w:eastAsia="Times New Roman" w:hAnsi="Cambria Math" w:cs="Arial"/>
                      <w:szCs w:val="28"/>
                      <w:lang w:val="uk-UA" w:eastAsia="ru-RU"/>
                    </w:rPr>
                    <m:t>2</m:t>
                  </m:r>
                </m:e>
                <m:e>
                  <m:r>
                    <w:rPr>
                      <w:rFonts w:ascii="Cambria Math" w:eastAsia="Times New Roman" w:hAnsi="Cambria Math" w:cs="Arial"/>
                      <w:szCs w:val="28"/>
                      <w:lang w:val="uk-UA" w:eastAsia="ru-RU"/>
                    </w:rPr>
                    <m:t>2</m:t>
                  </m:r>
                </m:e>
              </m:mr>
            </m:m>
          </m:e>
        </m:d>
      </m:oMath>
      <w:r w:rsidRPr="00511005">
        <w:rPr>
          <w:rFonts w:ascii="Arial" w:eastAsia="Times New Roman" w:hAnsi="Arial" w:cs="Arial"/>
          <w:szCs w:val="28"/>
          <w:lang w:val="uk-UA" w:eastAsia="ru-RU"/>
        </w:rPr>
        <w:t xml:space="preserve">, де кожен елемент </w:t>
      </w:r>
      <m:oMath>
        <m:sSub>
          <m:sSubPr>
            <m:ctrlPr>
              <w:rPr>
                <w:rFonts w:ascii="Cambria Math" w:eastAsia="Times New Roman" w:hAnsi="Cambria Math" w:cs="Arial"/>
                <w:i/>
                <w:szCs w:val="28"/>
                <w:lang w:val="uk-UA" w:eastAsia="ru-RU"/>
              </w:rPr>
            </m:ctrlPr>
          </m:sSubPr>
          <m:e>
            <m:r>
              <w:rPr>
                <w:rFonts w:ascii="Cambria Math" w:eastAsia="Times New Roman" w:hAnsi="Cambria Math" w:cs="Arial"/>
                <w:szCs w:val="28"/>
                <w:lang w:val="uk-UA" w:eastAsia="ru-RU"/>
              </w:rPr>
              <m:t>a</m:t>
            </m:r>
          </m:e>
          <m:sub>
            <m:r>
              <w:rPr>
                <w:rFonts w:ascii="Cambria Math" w:eastAsia="Times New Roman" w:hAnsi="Cambria Math" w:cs="Arial"/>
                <w:szCs w:val="28"/>
                <w:lang w:val="uk-UA" w:eastAsia="ru-RU"/>
              </w:rPr>
              <m:t>ij</m:t>
            </m:r>
          </m:sub>
        </m:sSub>
      </m:oMath>
      <w:r w:rsidRPr="00511005">
        <w:rPr>
          <w:rFonts w:ascii="Arial" w:eastAsia="Times New Roman" w:hAnsi="Arial" w:cs="Arial"/>
          <w:szCs w:val="28"/>
          <w:lang w:val="uk-UA" w:eastAsia="ru-RU"/>
        </w:rPr>
        <w:t xml:space="preserve"> відображає кількість </w:t>
      </w:r>
      <w:r w:rsidRPr="00511005">
        <w:rPr>
          <w:rFonts w:ascii="Arial" w:eastAsia="Times New Roman" w:hAnsi="Arial" w:cs="Arial"/>
          <w:i/>
          <w:szCs w:val="28"/>
          <w:lang w:val="uk-UA" w:eastAsia="ru-RU"/>
        </w:rPr>
        <w:t>i</w:t>
      </w:r>
      <w:r w:rsidRPr="00511005">
        <w:rPr>
          <w:rFonts w:ascii="Arial" w:eastAsia="Times New Roman" w:hAnsi="Arial" w:cs="Arial"/>
          <w:szCs w:val="28"/>
          <w:lang w:val="uk-UA" w:eastAsia="ru-RU"/>
        </w:rPr>
        <w:t xml:space="preserve">-го ресурсу, що витрачається на одиницю </w:t>
      </w:r>
      <w:r w:rsidRPr="00511005">
        <w:rPr>
          <w:rFonts w:ascii="Arial" w:eastAsia="Times New Roman" w:hAnsi="Arial" w:cs="Arial"/>
          <w:i/>
          <w:szCs w:val="28"/>
          <w:lang w:val="uk-UA" w:eastAsia="ru-RU"/>
        </w:rPr>
        <w:t>j</w:t>
      </w:r>
      <w:r w:rsidRPr="00511005">
        <w:rPr>
          <w:rFonts w:ascii="Arial" w:eastAsia="Times New Roman" w:hAnsi="Arial" w:cs="Arial"/>
          <w:szCs w:val="28"/>
          <w:lang w:val="uk-UA" w:eastAsia="ru-RU"/>
        </w:rPr>
        <w:t xml:space="preserve">-го продукту. Вектор наявних ресурсів </w:t>
      </w:r>
      <m:oMath>
        <m:r>
          <w:rPr>
            <w:rFonts w:ascii="Cambria Math" w:eastAsia="Times New Roman" w:hAnsi="Cambria Math" w:cs="Arial"/>
            <w:szCs w:val="28"/>
            <w:lang w:val="uk-UA" w:eastAsia="ru-RU"/>
          </w:rPr>
          <m:t xml:space="preserve">b = </m:t>
        </m:r>
        <m:sSup>
          <m:sSupPr>
            <m:ctrlPr>
              <w:rPr>
                <w:rFonts w:ascii="Cambria Math" w:eastAsia="Times New Roman" w:hAnsi="Cambria Math" w:cs="Arial"/>
                <w:i/>
                <w:szCs w:val="28"/>
                <w:lang w:val="uk-UA" w:eastAsia="ru-RU"/>
              </w:rPr>
            </m:ctrlPr>
          </m:sSupPr>
          <m:e>
            <m:r>
              <w:rPr>
                <w:rFonts w:ascii="Cambria Math" w:eastAsia="Times New Roman" w:hAnsi="Cambria Math" w:cs="Arial"/>
                <w:szCs w:val="28"/>
                <w:lang w:val="uk-UA" w:eastAsia="ru-RU"/>
              </w:rPr>
              <m:t>[100, 80, 90]</m:t>
            </m:r>
          </m:e>
          <m:sup>
            <m:r>
              <w:rPr>
                <w:rFonts w:ascii="Cambria Math" w:eastAsia="Times New Roman" w:hAnsi="Cambria Math" w:cs="Arial"/>
                <w:szCs w:val="28"/>
                <w:lang w:val="uk-UA" w:eastAsia="ru-RU"/>
              </w:rPr>
              <m:t>T</m:t>
            </m:r>
          </m:sup>
        </m:sSup>
      </m:oMath>
      <w:r w:rsidRPr="00511005">
        <w:rPr>
          <w:rFonts w:ascii="Arial" w:eastAsia="Times New Roman" w:hAnsi="Arial" w:cs="Arial"/>
          <w:szCs w:val="28"/>
          <w:lang w:val="uk-UA" w:eastAsia="ru-RU"/>
        </w:rPr>
        <w:t xml:space="preserve">. Задача зводиться до визначення вектора </w:t>
      </w:r>
      <m:oMath>
        <m:r>
          <w:rPr>
            <w:rFonts w:ascii="Cambria Math" w:eastAsia="Times New Roman" w:hAnsi="Cambria Math" w:cs="Arial"/>
            <w:szCs w:val="28"/>
            <w:lang w:val="uk-UA" w:eastAsia="ru-RU"/>
          </w:rPr>
          <m:t xml:space="preserve">x = </m:t>
        </m:r>
        <m:sSup>
          <m:sSupPr>
            <m:ctrlPr>
              <w:rPr>
                <w:rFonts w:ascii="Cambria Math" w:eastAsia="Times New Roman" w:hAnsi="Cambria Math" w:cs="Arial"/>
                <w:i/>
                <w:szCs w:val="28"/>
                <w:lang w:val="uk-UA" w:eastAsia="ru-RU"/>
              </w:rPr>
            </m:ctrlPr>
          </m:sSupPr>
          <m:e>
            <m:r>
              <w:rPr>
                <w:rFonts w:ascii="Cambria Math" w:eastAsia="Times New Roman" w:hAnsi="Cambria Math" w:cs="Arial"/>
                <w:szCs w:val="28"/>
                <w:lang w:val="uk-UA" w:eastAsia="ru-RU"/>
              </w:rPr>
              <m:t>[</m:t>
            </m:r>
            <m:sSub>
              <m:sSubPr>
                <m:ctrlPr>
                  <w:rPr>
                    <w:rFonts w:ascii="Cambria Math" w:eastAsia="Times New Roman" w:hAnsi="Cambria Math" w:cs="Arial"/>
                    <w:i/>
                    <w:szCs w:val="28"/>
                    <w:lang w:val="uk-UA" w:eastAsia="ru-RU"/>
                  </w:rPr>
                </m:ctrlPr>
              </m:sSubPr>
              <m:e>
                <m:r>
                  <w:rPr>
                    <w:rFonts w:ascii="Cambria Math" w:eastAsia="Times New Roman" w:hAnsi="Cambria Math" w:cs="Arial"/>
                    <w:szCs w:val="28"/>
                    <w:lang w:val="uk-UA" w:eastAsia="ru-RU"/>
                  </w:rPr>
                  <m:t>x</m:t>
                </m:r>
              </m:e>
              <m:sub>
                <m:r>
                  <w:rPr>
                    <w:rFonts w:ascii="Cambria Math" w:eastAsia="Times New Roman" w:hAnsi="Cambria Math" w:cs="Arial"/>
                    <w:szCs w:val="28"/>
                    <w:lang w:val="uk-UA" w:eastAsia="ru-RU"/>
                  </w:rPr>
                  <m:t>1</m:t>
                </m:r>
              </m:sub>
            </m:sSub>
            <m:r>
              <w:rPr>
                <w:rFonts w:ascii="Cambria Math" w:eastAsia="Times New Roman" w:hAnsi="Cambria Math" w:cs="Arial"/>
                <w:szCs w:val="28"/>
                <w:lang w:val="uk-UA" w:eastAsia="ru-RU"/>
              </w:rPr>
              <m:t>,</m:t>
            </m:r>
            <m:sSub>
              <m:sSubPr>
                <m:ctrlPr>
                  <w:rPr>
                    <w:rFonts w:ascii="Cambria Math" w:eastAsia="Times New Roman" w:hAnsi="Cambria Math" w:cs="Arial"/>
                    <w:i/>
                    <w:szCs w:val="28"/>
                    <w:lang w:val="uk-UA" w:eastAsia="ru-RU"/>
                  </w:rPr>
                </m:ctrlPr>
              </m:sSubPr>
              <m:e>
                <m:r>
                  <w:rPr>
                    <w:rFonts w:ascii="Cambria Math" w:eastAsia="Times New Roman" w:hAnsi="Cambria Math" w:cs="Arial"/>
                    <w:szCs w:val="28"/>
                    <w:lang w:val="uk-UA" w:eastAsia="ru-RU"/>
                  </w:rPr>
                  <m:t>x</m:t>
                </m:r>
              </m:e>
              <m:sub>
                <m:r>
                  <w:rPr>
                    <w:rFonts w:ascii="Cambria Math" w:eastAsia="Times New Roman" w:hAnsi="Cambria Math" w:cs="Arial"/>
                    <w:szCs w:val="28"/>
                    <w:lang w:val="uk-UA" w:eastAsia="ru-RU"/>
                  </w:rPr>
                  <m:t>2</m:t>
                </m:r>
              </m:sub>
            </m:sSub>
            <m:r>
              <w:rPr>
                <w:rFonts w:ascii="Cambria Math" w:eastAsia="Times New Roman" w:hAnsi="Cambria Math" w:cs="Arial"/>
                <w:szCs w:val="28"/>
                <w:lang w:val="uk-UA" w:eastAsia="ru-RU"/>
              </w:rPr>
              <m:t xml:space="preserve">, </m:t>
            </m:r>
            <m:sSub>
              <m:sSubPr>
                <m:ctrlPr>
                  <w:rPr>
                    <w:rFonts w:ascii="Cambria Math" w:eastAsia="Times New Roman" w:hAnsi="Cambria Math" w:cs="Arial"/>
                    <w:i/>
                    <w:szCs w:val="28"/>
                    <w:lang w:val="uk-UA" w:eastAsia="ru-RU"/>
                  </w:rPr>
                </m:ctrlPr>
              </m:sSubPr>
              <m:e>
                <m:r>
                  <w:rPr>
                    <w:rFonts w:ascii="Cambria Math" w:eastAsia="Times New Roman" w:hAnsi="Cambria Math" w:cs="Arial"/>
                    <w:szCs w:val="28"/>
                    <w:lang w:val="uk-UA" w:eastAsia="ru-RU"/>
                  </w:rPr>
                  <m:t>x</m:t>
                </m:r>
              </m:e>
              <m:sub>
                <m:r>
                  <w:rPr>
                    <w:rFonts w:ascii="Cambria Math" w:eastAsia="Times New Roman" w:hAnsi="Cambria Math" w:cs="Arial"/>
                    <w:szCs w:val="28"/>
                    <w:lang w:val="uk-UA" w:eastAsia="ru-RU"/>
                  </w:rPr>
                  <m:t>3</m:t>
                </m:r>
              </m:sub>
            </m:sSub>
            <m:r>
              <w:rPr>
                <w:rFonts w:ascii="Cambria Math" w:eastAsia="Times New Roman" w:hAnsi="Cambria Math" w:cs="Arial"/>
                <w:szCs w:val="28"/>
                <w:lang w:val="uk-UA" w:eastAsia="ru-RU"/>
              </w:rPr>
              <m:t>]</m:t>
            </m:r>
          </m:e>
          <m:sup>
            <m:r>
              <w:rPr>
                <w:rFonts w:ascii="Cambria Math" w:eastAsia="Times New Roman" w:hAnsi="Cambria Math" w:cs="Arial"/>
                <w:szCs w:val="28"/>
                <w:lang w:val="uk-UA" w:eastAsia="ru-RU"/>
              </w:rPr>
              <m:t>T</m:t>
            </m:r>
          </m:sup>
        </m:sSup>
      </m:oMath>
      <w:r w:rsidRPr="00511005">
        <w:rPr>
          <w:rFonts w:ascii="Arial" w:eastAsia="Times New Roman" w:hAnsi="Arial" w:cs="Arial"/>
          <w:szCs w:val="28"/>
          <w:lang w:val="uk-UA" w:eastAsia="ru-RU"/>
        </w:rPr>
        <w:t xml:space="preserve"> – кількості кожного продукту – для максимального використання ресурсів без перевищення їхнього обсягу: A * x ≤ b.</w:t>
      </w:r>
    </w:p>
    <w:p w14:paraId="7357DB95"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статті [3] на прикладі гірничо-збагачувальних підприємств Кривбасу показано, що оптимізація виробничої структури за допомогою матричних методів дозволяє значно знизити витрати та підвищити ефективність розподілу ресурсів. Автори пропонують алгоритм побудови матриці ресурсозатрат та методику трансформації системи виробництва у напрямку її балансування відповідно до планових потреб. Наприклад, якщо одна дільниця перевантажена, а інша недозавантажена, матричне моделювання дозволяє ідентифікувати цей дисбаланс і запропонувати оптимізаційні зміни. Особливої уваги заслуговує застосування матричних моделей для оцінки доцільності використання аутсорсингу на промислових підприємствах [4]. У роботі розроблено аналітичну матрицю з кількісними критеріями (вартість, якість, ризики, компетенції) та побудовано модель, що дозволяє зіставляти ефективність внутрішнього виконання функцій із зовнішнім замовленням. Для кожної альтернативи формується вектор оцінок, а рішення приймається на основі обчислення скалярного добутку з вектором ваг критеріїв. Такий підхід дає змогу формалізувати суб’єктивні оцінки й забезпечити об’єктивність вибору.</w:t>
      </w:r>
    </w:p>
    <w:p w14:paraId="0C8FCAFC"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w:t>
      </w:r>
      <w:r w:rsidRPr="00511005">
        <w:rPr>
          <w:rFonts w:ascii="Arial" w:eastAsia="Times New Roman" w:hAnsi="Arial" w:cs="Arial"/>
          <w:szCs w:val="28"/>
          <w:lang w:eastAsia="ru-RU"/>
        </w:rPr>
        <w:t>HR</w:t>
      </w:r>
      <w:r w:rsidRPr="00511005">
        <w:rPr>
          <w:rFonts w:ascii="Arial" w:eastAsia="Times New Roman" w:hAnsi="Arial" w:cs="Arial"/>
          <w:szCs w:val="28"/>
          <w:lang w:val="uk-UA" w:eastAsia="ru-RU"/>
        </w:rPr>
        <w:t xml:space="preserve">-менеджменті застосовується матриця компетенцій — табличне відображення відповідності знань і навичок працівників вимогам посад. Наприклад, якщо у працівника </w:t>
      </w:r>
      <w:r w:rsidRPr="00511005">
        <w:rPr>
          <w:rFonts w:ascii="Arial" w:eastAsia="Times New Roman" w:hAnsi="Arial" w:cs="Arial"/>
          <w:szCs w:val="28"/>
          <w:lang w:eastAsia="ru-RU"/>
        </w:rPr>
        <w:t>A</w:t>
      </w:r>
      <w:r w:rsidRPr="00511005">
        <w:rPr>
          <w:rFonts w:ascii="Arial" w:eastAsia="Times New Roman" w:hAnsi="Arial" w:cs="Arial"/>
          <w:szCs w:val="28"/>
          <w:lang w:val="uk-UA" w:eastAsia="ru-RU"/>
        </w:rPr>
        <w:t xml:space="preserve"> високий рівень навичок програмування (9 з 10), аналітики (8 з 10), але низький рівень комунікації (4 з 10), і ці ж критерії оцінюються для всіх працівників, формується матриця, яку можна порівнювати із вектором вимог до конкретної посади через скалярний добуток, що дає загальну придатність: </w:t>
      </w:r>
      <w:r w:rsidRPr="00511005">
        <w:rPr>
          <w:rFonts w:ascii="Arial" w:eastAsia="Times New Roman" w:hAnsi="Arial" w:cs="Arial"/>
          <w:szCs w:val="28"/>
          <w:lang w:eastAsia="ru-RU"/>
        </w:rPr>
        <w:t>E</w:t>
      </w:r>
      <w:r w:rsidRPr="00511005">
        <w:rPr>
          <w:rFonts w:ascii="Arial" w:eastAsia="Times New Roman" w:hAnsi="Arial" w:cs="Arial"/>
          <w:szCs w:val="28"/>
          <w:lang w:val="uk-UA" w:eastAsia="ru-RU"/>
        </w:rPr>
        <w:t xml:space="preserve"> = </w:t>
      </w:r>
      <w:r w:rsidRPr="00511005">
        <w:rPr>
          <w:rFonts w:ascii="Arial" w:eastAsia="Times New Roman" w:hAnsi="Arial" w:cs="Arial"/>
          <w:szCs w:val="28"/>
          <w:lang w:eastAsia="ru-RU"/>
        </w:rPr>
        <w:t>C</w:t>
      </w:r>
      <w:r w:rsidRPr="00511005">
        <w:rPr>
          <w:rFonts w:ascii="Arial" w:eastAsia="Times New Roman" w:hAnsi="Arial" w:cs="Arial"/>
          <w:szCs w:val="28"/>
          <w:lang w:val="uk-UA" w:eastAsia="ru-RU"/>
        </w:rPr>
        <w:t xml:space="preserve"> * </w:t>
      </w:r>
      <w:r w:rsidRPr="00511005">
        <w:rPr>
          <w:rFonts w:ascii="Arial" w:eastAsia="Times New Roman" w:hAnsi="Arial" w:cs="Arial"/>
          <w:szCs w:val="28"/>
          <w:lang w:eastAsia="ru-RU"/>
        </w:rPr>
        <w:t>R</w:t>
      </w:r>
      <w:r w:rsidRPr="00511005">
        <w:rPr>
          <w:rFonts w:ascii="Arial" w:eastAsia="Times New Roman" w:hAnsi="Arial" w:cs="Arial"/>
          <w:szCs w:val="28"/>
          <w:lang w:val="uk-UA" w:eastAsia="ru-RU"/>
        </w:rPr>
        <w:t xml:space="preserve">, де </w:t>
      </w:r>
      <w:r w:rsidRPr="00511005">
        <w:rPr>
          <w:rFonts w:ascii="Arial" w:eastAsia="Times New Roman" w:hAnsi="Arial" w:cs="Arial"/>
          <w:szCs w:val="28"/>
          <w:lang w:eastAsia="ru-RU"/>
        </w:rPr>
        <w:t>C</w:t>
      </w:r>
      <w:r w:rsidRPr="00511005">
        <w:rPr>
          <w:rFonts w:ascii="Arial" w:eastAsia="Times New Roman" w:hAnsi="Arial" w:cs="Arial"/>
          <w:szCs w:val="28"/>
          <w:lang w:val="uk-UA" w:eastAsia="ru-RU"/>
        </w:rPr>
        <w:t xml:space="preserve"> — матриця компетенцій, </w:t>
      </w:r>
      <w:r w:rsidRPr="00511005">
        <w:rPr>
          <w:rFonts w:ascii="Arial" w:eastAsia="Times New Roman" w:hAnsi="Arial" w:cs="Arial"/>
          <w:szCs w:val="28"/>
          <w:lang w:eastAsia="ru-RU"/>
        </w:rPr>
        <w:t>R</w:t>
      </w:r>
      <w:r w:rsidRPr="00511005">
        <w:rPr>
          <w:rFonts w:ascii="Arial" w:eastAsia="Times New Roman" w:hAnsi="Arial" w:cs="Arial"/>
          <w:szCs w:val="28"/>
          <w:lang w:val="uk-UA" w:eastAsia="ru-RU"/>
        </w:rPr>
        <w:t xml:space="preserve"> — вектор вагових коефіцієнтів для кожного критерію. Це дозволяє обрати найбільш відповідного кандидата. Інтеграція матричних моделей у сучасні інформаційні системи управління (</w:t>
      </w:r>
      <w:r w:rsidRPr="00511005">
        <w:rPr>
          <w:rFonts w:ascii="Arial" w:eastAsia="Times New Roman" w:hAnsi="Arial" w:cs="Arial"/>
          <w:szCs w:val="28"/>
          <w:lang w:eastAsia="ru-RU"/>
        </w:rPr>
        <w:t>ERP</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CRM</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BI</w:t>
      </w:r>
      <w:r w:rsidRPr="00511005">
        <w:rPr>
          <w:rFonts w:ascii="Arial" w:eastAsia="Times New Roman" w:hAnsi="Arial" w:cs="Arial"/>
          <w:szCs w:val="28"/>
          <w:lang w:val="uk-UA" w:eastAsia="ru-RU"/>
        </w:rPr>
        <w:t xml:space="preserve">-системи) дає змогу проводити швидку обробку сценаріїв і моделювати альтернативи, враховуючи багатофакторний вплив. Наприклад, у середовищі </w:t>
      </w:r>
      <w:r w:rsidRPr="00511005">
        <w:rPr>
          <w:rFonts w:ascii="Arial" w:eastAsia="Times New Roman" w:hAnsi="Arial" w:cs="Arial"/>
          <w:szCs w:val="28"/>
          <w:lang w:eastAsia="ru-RU"/>
        </w:rPr>
        <w:t>Excel</w:t>
      </w:r>
      <w:r w:rsidRPr="00511005">
        <w:rPr>
          <w:rFonts w:ascii="Arial" w:eastAsia="Times New Roman" w:hAnsi="Arial" w:cs="Arial"/>
          <w:szCs w:val="28"/>
          <w:lang w:val="uk-UA" w:eastAsia="ru-RU"/>
        </w:rPr>
        <w:t xml:space="preserve"> чи </w:t>
      </w:r>
      <w:r w:rsidRPr="00511005">
        <w:rPr>
          <w:rFonts w:ascii="Arial" w:eastAsia="Times New Roman" w:hAnsi="Arial" w:cs="Arial"/>
          <w:szCs w:val="28"/>
          <w:lang w:eastAsia="ru-RU"/>
        </w:rPr>
        <w:t>Power</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eastAsia="ru-RU"/>
        </w:rPr>
        <w:t>BI</w:t>
      </w:r>
      <w:r w:rsidRPr="00511005">
        <w:rPr>
          <w:rFonts w:ascii="Arial" w:eastAsia="Times New Roman" w:hAnsi="Arial" w:cs="Arial"/>
          <w:szCs w:val="28"/>
          <w:lang w:val="uk-UA" w:eastAsia="ru-RU"/>
        </w:rPr>
        <w:t xml:space="preserve"> за допомогою </w:t>
      </w:r>
      <w:r w:rsidRPr="00511005">
        <w:rPr>
          <w:rFonts w:ascii="Arial" w:eastAsia="Times New Roman" w:hAnsi="Arial" w:cs="Arial"/>
          <w:szCs w:val="28"/>
          <w:lang w:eastAsia="ru-RU"/>
        </w:rPr>
        <w:t>DAX</w:t>
      </w:r>
      <w:r w:rsidRPr="00511005">
        <w:rPr>
          <w:rFonts w:ascii="Arial" w:eastAsia="Times New Roman" w:hAnsi="Arial" w:cs="Arial"/>
          <w:szCs w:val="28"/>
          <w:lang w:val="uk-UA" w:eastAsia="ru-RU"/>
        </w:rPr>
        <w:t>-формул можна створювати аналітичні моделі на основі матриць даних продажів, клієнтської активності, логістики [5].</w:t>
      </w:r>
    </w:p>
    <w:p w14:paraId="036ACFBC" w14:textId="77777777" w:rsidR="00532C25" w:rsidRPr="00511005" w:rsidRDefault="00532C25" w:rsidP="00532C25">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Загалом, матричні обчислення дозволяють представити складні бізнес-процеси у компактній, формалізованій формі, що полегшує їх аналіз, візуалізацію та оптимізацію. Завдяки цьому керівники отримують дієвий інструмент для управління організацією у складному та змінному </w:t>
      </w:r>
      <w:r w:rsidRPr="00511005">
        <w:rPr>
          <w:rFonts w:ascii="Arial" w:eastAsia="Times New Roman" w:hAnsi="Arial" w:cs="Arial"/>
          <w:szCs w:val="28"/>
          <w:lang w:val="uk-UA" w:eastAsia="ru-RU"/>
        </w:rPr>
        <w:lastRenderedPageBreak/>
        <w:t>середовищі. У поєднанні з сучасними ІТ-рішеннями матриці стають основою для побудови цифрових двійників підприємства, що імітують його роботу та дозволяють тестувати управлінські гіпотези без ризику для реального бізнесу.</w:t>
      </w:r>
    </w:p>
    <w:p w14:paraId="33B01CE4" w14:textId="77777777" w:rsidR="00532C25" w:rsidRPr="00511005" w:rsidRDefault="00532C25" w:rsidP="00532C25">
      <w:pPr>
        <w:spacing w:line="264" w:lineRule="auto"/>
        <w:rPr>
          <w:rFonts w:ascii="Arial" w:eastAsia="Times New Roman" w:hAnsi="Arial" w:cs="Arial"/>
          <w:szCs w:val="28"/>
          <w:lang w:val="uk-UA" w:eastAsia="ru-RU"/>
        </w:rPr>
      </w:pPr>
    </w:p>
    <w:p w14:paraId="06511625" w14:textId="77777777" w:rsidR="00532C25" w:rsidRPr="00511005" w:rsidRDefault="00532C25" w:rsidP="00532C25">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6FCB4F92" w14:textId="77777777" w:rsidR="00532C25" w:rsidRPr="00511005" w:rsidRDefault="00532C25" w:rsidP="003F6A5D">
      <w:pPr>
        <w:numPr>
          <w:ilvl w:val="0"/>
          <w:numId w:val="691"/>
        </w:numPr>
        <w:spacing w:line="264" w:lineRule="auto"/>
        <w:ind w:hanging="720"/>
        <w:contextualSpacing/>
        <w:jc w:val="left"/>
        <w:rPr>
          <w:rFonts w:ascii="Arial" w:eastAsia="Times New Roman" w:hAnsi="Arial" w:cs="Arial"/>
          <w:szCs w:val="28"/>
          <w:lang w:eastAsia="ru-RU"/>
        </w:rPr>
      </w:pPr>
      <w:r w:rsidRPr="00511005">
        <w:rPr>
          <w:rFonts w:ascii="Arial" w:eastAsia="Times New Roman" w:hAnsi="Arial" w:cs="Arial"/>
          <w:szCs w:val="28"/>
          <w:lang w:val="uk-UA" w:eastAsia="ru-RU"/>
        </w:rPr>
        <w:t xml:space="preserve">Ляшенко, О. І. (2013). Міжгалузеві балансові моделі багатоукладної економіки. </w:t>
      </w:r>
      <w:r w:rsidRPr="00511005">
        <w:rPr>
          <w:rFonts w:ascii="Arial" w:eastAsia="Times New Roman" w:hAnsi="Arial" w:cs="Arial"/>
          <w:szCs w:val="28"/>
          <w:lang w:eastAsia="ru-RU"/>
        </w:rPr>
        <w:t xml:space="preserve">Проблеми економіки, 2, 226–229.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hyperlink r:id="rId2446" w:history="1">
        <w:r w:rsidRPr="00511005">
          <w:rPr>
            <w:rFonts w:ascii="Arial" w:eastAsia="Times New Roman" w:hAnsi="Arial" w:cs="Arial"/>
            <w:szCs w:val="28"/>
            <w:lang w:val="en-US" w:eastAsia="ru-RU"/>
          </w:rPr>
          <w:t>https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www</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problecon</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com</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export</w:t>
        </w:r>
        <w:r w:rsidRPr="00511005">
          <w:rPr>
            <w:rFonts w:ascii="Arial" w:eastAsia="Times New Roman" w:hAnsi="Arial" w:cs="Arial"/>
            <w:szCs w:val="28"/>
            <w:lang w:eastAsia="ru-RU"/>
          </w:rPr>
          <w:t>_</w:t>
        </w:r>
        <w:r w:rsidRPr="00511005">
          <w:rPr>
            <w:rFonts w:ascii="Arial" w:eastAsia="Times New Roman" w:hAnsi="Arial" w:cs="Arial"/>
            <w:szCs w:val="28"/>
            <w:lang w:val="en-US" w:eastAsia="ru-RU"/>
          </w:rPr>
          <w:t>pdf</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problems</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of</w:t>
        </w:r>
        <w:r w:rsidRPr="00511005">
          <w:rPr>
            <w:rFonts w:ascii="Arial" w:eastAsia="Times New Roman" w:hAnsi="Arial" w:cs="Arial"/>
            <w:szCs w:val="28"/>
            <w:lang w:eastAsia="ru-RU"/>
          </w:rPr>
          <w:t>-</w:t>
        </w:r>
        <w:r w:rsidRPr="00511005">
          <w:rPr>
            <w:rFonts w:ascii="Arial" w:eastAsia="Times New Roman" w:hAnsi="Arial" w:cs="Arial"/>
            <w:szCs w:val="28"/>
            <w:lang w:val="en-US" w:eastAsia="ru-RU"/>
          </w:rPr>
          <w:t>economy</w:t>
        </w:r>
        <w:r w:rsidRPr="00511005">
          <w:rPr>
            <w:rFonts w:ascii="Arial" w:eastAsia="Times New Roman" w:hAnsi="Arial" w:cs="Arial"/>
            <w:szCs w:val="28"/>
            <w:lang w:eastAsia="ru-RU"/>
          </w:rPr>
          <w:t>-2013-2_0-</w:t>
        </w:r>
        <w:r w:rsidRPr="00511005">
          <w:rPr>
            <w:rFonts w:ascii="Arial" w:eastAsia="Times New Roman" w:hAnsi="Arial" w:cs="Arial"/>
            <w:szCs w:val="28"/>
            <w:lang w:val="en-US" w:eastAsia="ru-RU"/>
          </w:rPr>
          <w:t>pages</w:t>
        </w:r>
        <w:r w:rsidRPr="00511005">
          <w:rPr>
            <w:rFonts w:ascii="Arial" w:eastAsia="Times New Roman" w:hAnsi="Arial" w:cs="Arial"/>
            <w:szCs w:val="28"/>
            <w:lang w:eastAsia="ru-RU"/>
          </w:rPr>
          <w:t>-226_229.</w:t>
        </w:r>
        <w:r w:rsidRPr="00511005">
          <w:rPr>
            <w:rFonts w:ascii="Arial" w:eastAsia="Times New Roman" w:hAnsi="Arial" w:cs="Arial"/>
            <w:szCs w:val="28"/>
            <w:lang w:val="en-US" w:eastAsia="ru-RU"/>
          </w:rPr>
          <w:t>pdf</w:t>
        </w:r>
      </w:hyperlink>
    </w:p>
    <w:p w14:paraId="65B894D7" w14:textId="77777777" w:rsidR="00532C25" w:rsidRPr="00511005" w:rsidRDefault="00532C25" w:rsidP="003F6A5D">
      <w:pPr>
        <w:numPr>
          <w:ilvl w:val="0"/>
          <w:numId w:val="691"/>
        </w:numPr>
        <w:spacing w:line="264" w:lineRule="auto"/>
        <w:ind w:hanging="720"/>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Козаченко, Г. В. Основи дослідження операцій у транспортних системах: навчальний посібник / Г. В. Козаченко, І. В. Гончаренко, В. В. Гончаренко. — Дніпро: Університет митної справи та фінансів, 2021. — 240 с. —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w:t>
      </w:r>
      <w:hyperlink r:id="rId2447" w:history="1">
        <w:r w:rsidRPr="00511005">
          <w:rPr>
            <w:rFonts w:ascii="Arial" w:eastAsia="Times New Roman" w:hAnsi="Arial" w:cs="Arial"/>
            <w:szCs w:val="28"/>
            <w:lang w:val="uk-UA" w:eastAsia="ru-RU"/>
          </w:rPr>
          <w:t>https://crust.ust.edu.ua/bitstream/123456789/8967/1/Kozachenko_textbook.pdf</w:t>
        </w:r>
      </w:hyperlink>
      <w:r w:rsidRPr="00511005">
        <w:rPr>
          <w:rFonts w:ascii="Arial" w:eastAsia="Times New Roman" w:hAnsi="Arial" w:cs="Arial"/>
          <w:szCs w:val="28"/>
          <w:lang w:val="uk-UA" w:eastAsia="ru-RU"/>
        </w:rPr>
        <w:t>.</w:t>
      </w:r>
    </w:p>
    <w:p w14:paraId="7532DF3C" w14:textId="77777777" w:rsidR="00532C25" w:rsidRPr="00511005" w:rsidRDefault="00532C25" w:rsidP="003F6A5D">
      <w:pPr>
        <w:numPr>
          <w:ilvl w:val="0"/>
          <w:numId w:val="691"/>
        </w:numPr>
        <w:spacing w:line="264" w:lineRule="auto"/>
        <w:ind w:hanging="720"/>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Легеза, Ю. О., Хайлова, Т. В., Роженко, О. В., Залялова, І. М. (2021). Удосконалення методики матричного бізнес-моделювання як інструменту підвищення ефективності управління підприємством (на прикладі гірничо-добувних залізорудних підприємств Кривбасу). Фінанси, облік і аудит, 3(20).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hyperlink r:id="rId2448" w:history="1">
        <w:r w:rsidRPr="00511005">
          <w:rPr>
            <w:rFonts w:ascii="Arial" w:eastAsia="Times New Roman" w:hAnsi="Arial" w:cs="Arial"/>
            <w:szCs w:val="28"/>
            <w:lang w:val="uk-UA" w:eastAsia="ru-RU"/>
          </w:rPr>
          <w:t>https://fkd.net.ua/index.php/fkd/article/view/1954/1972</w:t>
        </w:r>
      </w:hyperlink>
    </w:p>
    <w:p w14:paraId="3BAAE68D" w14:textId="77777777" w:rsidR="00532C25" w:rsidRPr="00511005" w:rsidRDefault="00532C25" w:rsidP="003F6A5D">
      <w:pPr>
        <w:numPr>
          <w:ilvl w:val="0"/>
          <w:numId w:val="691"/>
        </w:numPr>
        <w:spacing w:line="264" w:lineRule="auto"/>
        <w:ind w:hanging="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Микало, І. (2013). Матричний метод оцінювання доцільності застосування аутсорсингу промисловими підприємствами. Економіка та держава, №12.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w:t>
      </w:r>
      <w:r w:rsidRPr="00511005">
        <w:rPr>
          <w:rFonts w:ascii="Arial" w:eastAsia="Times New Roman" w:hAnsi="Arial" w:cs="Arial"/>
          <w:szCs w:val="28"/>
          <w:lang w:eastAsia="ru-RU"/>
        </w:rPr>
        <w:t xml:space="preserve"> </w:t>
      </w:r>
      <w:hyperlink r:id="rId2449" w:history="1">
        <w:r w:rsidRPr="00511005">
          <w:rPr>
            <w:rFonts w:ascii="Arial" w:eastAsia="Times New Roman" w:hAnsi="Arial" w:cs="Arial"/>
            <w:szCs w:val="28"/>
            <w:lang w:val="uk-UA" w:eastAsia="ru-RU"/>
          </w:rPr>
          <w:t>http://www.economy.nayka.com.ua/?op=1&amp;z=3132</w:t>
        </w:r>
      </w:hyperlink>
    </w:p>
    <w:p w14:paraId="265B7C7A" w14:textId="77777777" w:rsidR="00532C25" w:rsidRPr="00511005" w:rsidRDefault="00532C25" w:rsidP="003F6A5D">
      <w:pPr>
        <w:numPr>
          <w:ilvl w:val="0"/>
          <w:numId w:val="691"/>
        </w:numPr>
        <w:spacing w:line="264" w:lineRule="auto"/>
        <w:ind w:hanging="720"/>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Матриця компетенцій – ефективний інструмент управління зарплатними очікуваннями [Електронний ресурс] // Hurma. — 2021. — </w:t>
      </w:r>
      <w:r w:rsidRPr="00511005">
        <w:rPr>
          <w:rFonts w:ascii="Arial" w:eastAsia="Times New Roman" w:hAnsi="Arial" w:cs="Arial"/>
          <w:szCs w:val="28"/>
          <w:lang w:val="en-US" w:eastAsia="ru-RU"/>
        </w:rPr>
        <w:t>URL</w:t>
      </w:r>
      <w:r w:rsidRPr="00511005">
        <w:rPr>
          <w:rFonts w:ascii="Arial" w:eastAsia="Times New Roman" w:hAnsi="Arial" w:cs="Arial"/>
          <w:szCs w:val="28"/>
          <w:lang w:val="uk-UA" w:eastAsia="ru-RU"/>
        </w:rPr>
        <w:t xml:space="preserve">: </w:t>
      </w:r>
      <w:hyperlink r:id="rId2450" w:history="1">
        <w:r w:rsidRPr="00511005">
          <w:rPr>
            <w:rFonts w:ascii="Arial" w:eastAsia="Times New Roman" w:hAnsi="Arial" w:cs="Arial"/>
            <w:szCs w:val="28"/>
            <w:lang w:val="uk-UA" w:eastAsia="ru-RU"/>
          </w:rPr>
          <w:t>https://hurma.work/blog/matryczya-kompetenczij-efektyvnyj-instrument-upravlinnya-zarplatnymy-ochikuvannyamy/</w:t>
        </w:r>
      </w:hyperlink>
    </w:p>
    <w:p w14:paraId="1EC31237" w14:textId="77777777" w:rsidR="00532C25" w:rsidRPr="00511005" w:rsidRDefault="00532C25" w:rsidP="00532C25">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Pr="00511005">
        <w:rPr>
          <w:rFonts w:ascii="Arial" w:eastAsia="Times New Roman" w:hAnsi="Arial" w:cs="Arial"/>
          <w:szCs w:val="28"/>
          <w:lang w:val="uk-UA" w:eastAsia="ru-RU"/>
        </w:rPr>
        <w:t>матричні обчислення, бізнес-процеси, моделювання, оптимізація, система лінійних рівнянь.</w:t>
      </w:r>
    </w:p>
    <w:p w14:paraId="3C9E7CCE" w14:textId="77777777" w:rsidR="00532C25" w:rsidRPr="00511005" w:rsidRDefault="00532C25" w:rsidP="00532C25">
      <w:pPr>
        <w:spacing w:line="264" w:lineRule="auto"/>
        <w:ind w:firstLine="0"/>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matrix</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computations</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business</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processes</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modeling</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optimization</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systems</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of</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linear</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equations</w:t>
      </w:r>
      <w:r w:rsidRPr="00511005">
        <w:rPr>
          <w:rFonts w:ascii="Arial" w:eastAsia="Times New Roman" w:hAnsi="Arial" w:cs="Arial"/>
          <w:szCs w:val="28"/>
          <w:lang w:val="uk-UA" w:eastAsia="ru-RU"/>
        </w:rPr>
        <w:t xml:space="preserve">. </w:t>
      </w:r>
    </w:p>
    <w:p w14:paraId="2726C6DA" w14:textId="77777777" w:rsidR="00532C25" w:rsidRPr="00511005" w:rsidRDefault="00532C25" w:rsidP="00532C25">
      <w:pPr>
        <w:spacing w:line="264" w:lineRule="auto"/>
        <w:ind w:firstLine="0"/>
        <w:rPr>
          <w:rFonts w:ascii="Arial" w:eastAsia="Times New Roman" w:hAnsi="Arial" w:cs="Arial"/>
          <w:bCs/>
          <w:szCs w:val="28"/>
        </w:rPr>
      </w:pPr>
      <w:r w:rsidRPr="00511005">
        <w:rPr>
          <w:rFonts w:ascii="Arial" w:eastAsia="Times New Roman" w:hAnsi="Arial" w:cs="Arial"/>
          <w:b/>
          <w:i/>
          <w:szCs w:val="28"/>
          <w:lang w:val="uk-UA"/>
        </w:rPr>
        <w:t xml:space="preserve">Науковий керівник: </w:t>
      </w:r>
      <w:r w:rsidRPr="00511005">
        <w:rPr>
          <w:rFonts w:ascii="Arial" w:eastAsia="Times New Roman" w:hAnsi="Arial" w:cs="Arial"/>
          <w:bCs/>
          <w:szCs w:val="28"/>
          <w:lang w:val="uk-UA"/>
        </w:rPr>
        <w:t>старший викладач Баландіна Н.М.</w:t>
      </w:r>
    </w:p>
    <w:p w14:paraId="15A74EC6" w14:textId="77777777" w:rsidR="00532C25" w:rsidRPr="00511005" w:rsidRDefault="00532C25" w:rsidP="00532C25">
      <w:pPr>
        <w:spacing w:line="264" w:lineRule="auto"/>
        <w:ind w:firstLine="0"/>
        <w:rPr>
          <w:rFonts w:ascii="Arial" w:eastAsia="Calibri" w:hAnsi="Arial" w:cs="Arial"/>
          <w:szCs w:val="28"/>
        </w:rPr>
      </w:pPr>
    </w:p>
    <w:p w14:paraId="4E85B089" w14:textId="77777777" w:rsidR="00532C25" w:rsidRPr="00511005" w:rsidRDefault="00532C25" w:rsidP="00532C25">
      <w:pPr>
        <w:spacing w:line="264" w:lineRule="auto"/>
        <w:ind w:firstLine="0"/>
        <w:jc w:val="center"/>
        <w:rPr>
          <w:rFonts w:ascii="Arial" w:eastAsia="Calibri" w:hAnsi="Arial" w:cs="Arial"/>
          <w:b/>
          <w:bCs/>
          <w:i/>
          <w:iCs/>
          <w:szCs w:val="28"/>
          <w:lang w:val="uk-UA"/>
        </w:rPr>
      </w:pPr>
      <w:r w:rsidRPr="00511005">
        <w:rPr>
          <w:rFonts w:ascii="Arial" w:eastAsia="Calibri" w:hAnsi="Arial" w:cs="Arial"/>
          <w:b/>
          <w:bCs/>
          <w:i/>
          <w:iCs/>
          <w:szCs w:val="28"/>
          <w:lang w:val="uk-UA"/>
        </w:rPr>
        <w:t>Яворський Віктор Олексійович</w:t>
      </w:r>
    </w:p>
    <w:p w14:paraId="79D250DB"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 5-го курсу факультету кібербезпеки та інформаційних технологій</w:t>
      </w:r>
    </w:p>
    <w:p w14:paraId="1474E0A4"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62DAA973" w14:textId="77777777" w:rsidR="00532C25" w:rsidRPr="00511005" w:rsidRDefault="00532C25" w:rsidP="00532C25">
      <w:pPr>
        <w:spacing w:line="264" w:lineRule="auto"/>
        <w:ind w:firstLine="0"/>
        <w:jc w:val="center"/>
        <w:rPr>
          <w:rFonts w:ascii="Arial" w:eastAsia="Calibri" w:hAnsi="Arial" w:cs="Arial"/>
          <w:szCs w:val="28"/>
          <w:lang w:val="uk-UA"/>
        </w:rPr>
      </w:pPr>
    </w:p>
    <w:p w14:paraId="79A3919E" w14:textId="77777777" w:rsidR="00532C25" w:rsidRPr="00511005" w:rsidRDefault="00532C25" w:rsidP="00532C25">
      <w:pPr>
        <w:spacing w:line="264" w:lineRule="auto"/>
        <w:ind w:firstLine="0"/>
        <w:jc w:val="center"/>
        <w:rPr>
          <w:rFonts w:ascii="Arial" w:eastAsia="Calibri" w:hAnsi="Arial" w:cs="Arial"/>
          <w:b/>
          <w:bCs/>
          <w:caps/>
          <w:szCs w:val="28"/>
          <w:lang w:val="uk-UA"/>
        </w:rPr>
      </w:pPr>
      <w:r w:rsidRPr="00511005">
        <w:rPr>
          <w:rFonts w:ascii="Arial" w:eastAsia="Calibri" w:hAnsi="Arial" w:cs="Arial"/>
          <w:b/>
          <w:bCs/>
          <w:caps/>
          <w:szCs w:val="28"/>
          <w:lang w:val="uk-UA"/>
        </w:rPr>
        <w:t>створення 2D-анімацій у відеоігрІ</w:t>
      </w:r>
    </w:p>
    <w:p w14:paraId="1316495F" w14:textId="77777777" w:rsidR="00532C25" w:rsidRPr="00511005" w:rsidRDefault="00532C25" w:rsidP="00532C25">
      <w:pPr>
        <w:widowControl w:val="0"/>
        <w:autoSpaceDE w:val="0"/>
        <w:autoSpaceDN w:val="0"/>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 xml:space="preserve">У сучасній індустрії відеоігор 2D-анімація зберігає популярність серед </w:t>
      </w:r>
      <w:r w:rsidRPr="00511005">
        <w:rPr>
          <w:rFonts w:ascii="Arial" w:eastAsia="Times New Roman" w:hAnsi="Arial" w:cs="Arial"/>
          <w:szCs w:val="28"/>
          <w:lang w:val="uk-UA"/>
        </w:rPr>
        <w:lastRenderedPageBreak/>
        <w:t>незалежних розробників завдяки економічності та естетичній виразності. Проте традиційна покадрова анімація, яка передбачає створення окремих спрайтів для кожного кадру руху, створює значні труднощі в умовах обмежених ресурсів. Наприклад, персонаж із чотирма напрямами руху та п’ятьма діями (ходьба, стрибок, атака, взаємодія, смерть) потребує 60–80 спрайтів, що збільшує обсяг графічних активів до 10–50 МБ, ускладнює управління файлами та підвищує системні вимоги гри. Будь-яка зміна дизайну, як-от коригування кольору одягу чи деталей, вимагає повного реекспорту всіх кадрів, що робить процес трудомістким і економічно невигідним. Ці обмеження є критичними для інді-розробників, які не мають доступу до професійних художніх ресурсів чи великих бюджетів.</w:t>
      </w:r>
    </w:p>
    <w:p w14:paraId="59097570" w14:textId="77777777" w:rsidR="00532C25" w:rsidRPr="00511005" w:rsidRDefault="00532C25" w:rsidP="00532C25">
      <w:pPr>
        <w:widowControl w:val="0"/>
        <w:autoSpaceDE w:val="0"/>
        <w:autoSpaceDN w:val="0"/>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Ефективним рішенням є кісткова (скелетна) анімація, яка оптимізує створення анімацій шляхом сегментації персонажа на окремі елементи, пов’язані ієрархічною структурою кісток. Кожна частина – голова, кінцівки, тулуб – рухається як компонент системи, де, наприклад, кисть руки підпорядковується передпліччю, а воно – плечу, забезпечуючи природну кінематику без потреби в численних спрайтах. Цей метод зменшує обсяг графічних даних, спрощує модифікацію анімацій і дозволяє створювати динамічні рухи з мінімальними ресурсами. У середовищі Unity кісткова анімація реалізується через комплекс інструментів, зокрема 2D Animation Package, Skinning Editor, 2D PSD Importer, редактор Animation і систему Animator, що забезпечують повний цикл створення та інтеграції анімацій [1].</w:t>
      </w:r>
    </w:p>
    <w:p w14:paraId="5AEB1ECE"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Процес створення кісткової анімації складається з п’яти етапів (рису. 1).</w:t>
      </w:r>
    </w:p>
    <w:p w14:paraId="0909ABDE" w14:textId="77777777" w:rsidR="00532C25" w:rsidRPr="00511005" w:rsidRDefault="00532C25" w:rsidP="00532C25">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noProof/>
          <w:szCs w:val="28"/>
          <w:lang w:val="uk-UA"/>
        </w:rPr>
        <w:drawing>
          <wp:inline distT="0" distB="0" distL="0" distR="0" wp14:anchorId="0D10B74A" wp14:editId="555441E9">
            <wp:extent cx="5924550" cy="2533453"/>
            <wp:effectExtent l="0" t="0" r="0" b="635"/>
            <wp:docPr id="2030078706" name="Рисунок 2030078706" descr="Изображение выглядит как текст, снимок экрана, Шрифт, число&#10;&#10;Контент, сгенерированный ИИ, может содержать ошиб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078706" name="Рисунок 2030078706" descr="Изображение выглядит как текст, снимок экрана, Шрифт, число&#10;&#10;Контент, сгенерированный ИИ, может содержать ошибки."/>
                    <pic:cNvPicPr>
                      <a:picLocks noChangeAspect="1" noChangeArrowheads="1"/>
                    </pic:cNvPicPr>
                  </pic:nvPicPr>
                  <pic:blipFill>
                    <a:blip r:embed="rId2451">
                      <a:extLst>
                        <a:ext uri="{28A0092B-C50C-407E-A947-70E740481C1C}">
                          <a14:useLocalDpi xmlns:a14="http://schemas.microsoft.com/office/drawing/2010/main" val="0"/>
                        </a:ext>
                      </a:extLst>
                    </a:blip>
                    <a:srcRect/>
                    <a:stretch>
                      <a:fillRect/>
                    </a:stretch>
                  </pic:blipFill>
                  <pic:spPr bwMode="auto">
                    <a:xfrm>
                      <a:off x="0" y="0"/>
                      <a:ext cx="5935847" cy="2538284"/>
                    </a:xfrm>
                    <a:prstGeom prst="rect">
                      <a:avLst/>
                    </a:prstGeom>
                    <a:noFill/>
                  </pic:spPr>
                </pic:pic>
              </a:graphicData>
            </a:graphic>
          </wp:inline>
        </w:drawing>
      </w:r>
    </w:p>
    <w:p w14:paraId="53130DC2" w14:textId="77777777" w:rsidR="00532C25" w:rsidRPr="00511005" w:rsidRDefault="00532C25" w:rsidP="00532C25">
      <w:pPr>
        <w:widowControl w:val="0"/>
        <w:autoSpaceDE w:val="0"/>
        <w:autoSpaceDN w:val="0"/>
        <w:spacing w:line="264" w:lineRule="auto"/>
        <w:ind w:firstLine="0"/>
        <w:jc w:val="center"/>
        <w:rPr>
          <w:rFonts w:ascii="Arial" w:eastAsia="Times New Roman" w:hAnsi="Arial" w:cs="Arial"/>
          <w:szCs w:val="28"/>
          <w:lang w:val="uk-UA"/>
        </w:rPr>
      </w:pPr>
      <w:bookmarkStart w:id="292" w:name="_Hlk195878153"/>
      <w:r w:rsidRPr="00511005">
        <w:rPr>
          <w:rFonts w:ascii="Arial" w:eastAsia="Times New Roman" w:hAnsi="Arial" w:cs="Arial"/>
          <w:szCs w:val="28"/>
          <w:lang w:val="uk-UA"/>
        </w:rPr>
        <w:t>Рисунок 1 – Схема процесу створення персонажа для кісткової анімації</w:t>
      </w:r>
    </w:p>
    <w:bookmarkEnd w:id="292"/>
    <w:p w14:paraId="1D03A877" w14:textId="77777777" w:rsidR="00532C25" w:rsidRPr="00511005" w:rsidRDefault="00532C25" w:rsidP="00532C25">
      <w:pPr>
        <w:widowControl w:val="0"/>
        <w:autoSpaceDE w:val="0"/>
        <w:autoSpaceDN w:val="0"/>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На першому етапі в Adobe Photoshop розробляється стилізоване зображення персонажа, де кожна частина тіла – голова, тулуб, руки, ноги, сукня, волосся – розміщується на окремому шарі, як показано на рис. 2.</w:t>
      </w:r>
    </w:p>
    <w:p w14:paraId="3062A0AB" w14:textId="77777777" w:rsidR="00532C25" w:rsidRPr="00511005" w:rsidRDefault="00532C25" w:rsidP="00532C25">
      <w:pPr>
        <w:widowControl w:val="0"/>
        <w:autoSpaceDE w:val="0"/>
        <w:autoSpaceDN w:val="0"/>
        <w:spacing w:line="264" w:lineRule="auto"/>
        <w:ind w:firstLine="708"/>
        <w:jc w:val="center"/>
        <w:rPr>
          <w:rFonts w:ascii="Arial" w:eastAsia="Times New Roman" w:hAnsi="Arial" w:cs="Arial"/>
          <w:szCs w:val="28"/>
          <w:lang w:val="uk-UA"/>
        </w:rPr>
      </w:pPr>
      <w:r w:rsidRPr="00511005">
        <w:rPr>
          <w:rFonts w:ascii="Arial" w:eastAsia="Times New Roman" w:hAnsi="Arial" w:cs="Arial"/>
          <w:noProof/>
          <w:szCs w:val="28"/>
          <w:lang w:val="uk-UA"/>
          <w14:ligatures w14:val="standardContextual"/>
        </w:rPr>
        <w:lastRenderedPageBreak/>
        <w:drawing>
          <wp:inline distT="0" distB="0" distL="0" distR="0" wp14:anchorId="1C71720C" wp14:editId="4730E723">
            <wp:extent cx="2857500" cy="3010922"/>
            <wp:effectExtent l="0" t="0" r="0" b="0"/>
            <wp:docPr id="1077403555" name="Рисунок 1077403555" descr="Изображение выглядит как мультфильм, снимок экрана, Аним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мультфильм, снимок экрана, Анимация&#10;&#10;Автоматически созданное описание"/>
                    <pic:cNvPicPr/>
                  </pic:nvPicPr>
                  <pic:blipFill>
                    <a:blip r:embed="rId2452" cstate="print">
                      <a:extLst>
                        <a:ext uri="{28A0092B-C50C-407E-A947-70E740481C1C}">
                          <a14:useLocalDpi xmlns:a14="http://schemas.microsoft.com/office/drawing/2010/main" val="0"/>
                        </a:ext>
                      </a:extLst>
                    </a:blip>
                    <a:stretch>
                      <a:fillRect/>
                    </a:stretch>
                  </pic:blipFill>
                  <pic:spPr>
                    <a:xfrm>
                      <a:off x="0" y="0"/>
                      <a:ext cx="2861224" cy="3014846"/>
                    </a:xfrm>
                    <a:prstGeom prst="rect">
                      <a:avLst/>
                    </a:prstGeom>
                  </pic:spPr>
                </pic:pic>
              </a:graphicData>
            </a:graphic>
          </wp:inline>
        </w:drawing>
      </w:r>
    </w:p>
    <w:p w14:paraId="52BA85E1" w14:textId="77777777" w:rsidR="00532C25" w:rsidRPr="00511005" w:rsidRDefault="00532C25" w:rsidP="00532C25">
      <w:pPr>
        <w:widowControl w:val="0"/>
        <w:autoSpaceDE w:val="0"/>
        <w:autoSpaceDN w:val="0"/>
        <w:spacing w:line="264" w:lineRule="auto"/>
        <w:ind w:firstLine="708"/>
        <w:jc w:val="center"/>
        <w:rPr>
          <w:rFonts w:ascii="Arial" w:eastAsia="Times New Roman" w:hAnsi="Arial" w:cs="Arial"/>
          <w:szCs w:val="28"/>
          <w:lang w:val="uk-UA"/>
        </w:rPr>
      </w:pPr>
      <w:r w:rsidRPr="00511005">
        <w:rPr>
          <w:rFonts w:ascii="Arial" w:eastAsia="Times New Roman" w:hAnsi="Arial" w:cs="Arial"/>
          <w:szCs w:val="28"/>
          <w:lang w:val="uk-UA"/>
        </w:rPr>
        <w:t>Рисунок 2 – Підготовка персонажа в Adobe Photoshop</w:t>
      </w:r>
    </w:p>
    <w:p w14:paraId="58AEE6B2" w14:textId="77777777" w:rsidR="00532C25" w:rsidRPr="00511005" w:rsidRDefault="00532C25" w:rsidP="00532C25">
      <w:pPr>
        <w:widowControl w:val="0"/>
        <w:autoSpaceDE w:val="0"/>
        <w:autoSpaceDN w:val="0"/>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Така структура шарів враховує перспективу та майбутню ієрархію рухів, забезпечуючи гнучкість при подальшій обробці. Зображення експортується у форматі PSB для збереження шарів [2]. На другому етапі PSB-файл імпортується до Unity через пакет 2D PSD Importer, який автоматично розпізнає шари як окремі спрайти, зберігаючи їхню структуру для подальшої роботи.</w:t>
      </w:r>
    </w:p>
    <w:p w14:paraId="48D53253" w14:textId="77777777" w:rsidR="00532C25" w:rsidRPr="00511005" w:rsidRDefault="00532C25" w:rsidP="00532C25">
      <w:pPr>
        <w:widowControl w:val="0"/>
        <w:autoSpaceDE w:val="0"/>
        <w:autoSpaceDN w:val="0"/>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На третьому етапі в Unity за допомогою інструмента Skinning Editor створюється кістковий скелет [3]. Кістки (bones) задаються вручну або автоматично для кожного сегмента персонажа, після чого проводиться скінінг – визначення ваг пікселів, які вказують, які ділянки спрайта підпорядковуються конкретній кістці. Наприклад, при русі торсу кістка грудної клітини впливає на пов’язані сегменти – шию, руки, голову, забезпечуючи плавну деформацію, як зображено на рис. 3.</w:t>
      </w:r>
    </w:p>
    <w:p w14:paraId="35F87710" w14:textId="77777777" w:rsidR="00532C25" w:rsidRPr="00511005" w:rsidRDefault="00532C25" w:rsidP="00532C25">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noProof/>
          <w:szCs w:val="28"/>
          <w:lang w:val="uk-UA"/>
          <w14:ligatures w14:val="standardContextual"/>
        </w:rPr>
        <w:lastRenderedPageBreak/>
        <w:drawing>
          <wp:inline distT="0" distB="0" distL="0" distR="0" wp14:anchorId="3A200D12" wp14:editId="7AA23FD5">
            <wp:extent cx="3009900" cy="4259580"/>
            <wp:effectExtent l="0" t="0" r="0" b="7620"/>
            <wp:docPr id="1221812160" name="Рисунок 1221812160" descr="Изображение выглядит как снимок экрана, Мультимедийное программное обеспечение, Графическое программное обеспечение, Анимац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снимок экрана, Мультимедийное программное обеспечение, Графическое программное обеспечение, Анимация&#10;&#10;Автоматически созданное описание"/>
                    <pic:cNvPicPr/>
                  </pic:nvPicPr>
                  <pic:blipFill rotWithShape="1">
                    <a:blip r:embed="rId2453" cstate="print">
                      <a:extLst>
                        <a:ext uri="{28A0092B-C50C-407E-A947-70E740481C1C}">
                          <a14:useLocalDpi xmlns:a14="http://schemas.microsoft.com/office/drawing/2010/main" val="0"/>
                        </a:ext>
                      </a:extLst>
                    </a:blip>
                    <a:srcRect l="15603" t="11196" r="16057" b="5582"/>
                    <a:stretch/>
                  </pic:blipFill>
                  <pic:spPr bwMode="auto">
                    <a:xfrm>
                      <a:off x="0" y="0"/>
                      <a:ext cx="3009900" cy="4259580"/>
                    </a:xfrm>
                    <a:prstGeom prst="rect">
                      <a:avLst/>
                    </a:prstGeom>
                    <a:ln>
                      <a:noFill/>
                    </a:ln>
                    <a:extLst>
                      <a:ext uri="{53640926-AAD7-44D8-BBD7-CCE9431645EC}">
                        <a14:shadowObscured xmlns:a14="http://schemas.microsoft.com/office/drawing/2010/main"/>
                      </a:ext>
                    </a:extLst>
                  </pic:spPr>
                </pic:pic>
              </a:graphicData>
            </a:graphic>
          </wp:inline>
        </w:drawing>
      </w:r>
    </w:p>
    <w:p w14:paraId="17FC83A5" w14:textId="77777777" w:rsidR="00532C25" w:rsidRPr="00511005" w:rsidRDefault="00532C25" w:rsidP="00532C25">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Рисунок 3 – Кісткова структура персонажа в Unity</w:t>
      </w:r>
    </w:p>
    <w:p w14:paraId="4D531AD2" w14:textId="77777777" w:rsidR="00532C25" w:rsidRPr="00511005" w:rsidRDefault="00532C25" w:rsidP="00532C25">
      <w:pPr>
        <w:widowControl w:val="0"/>
        <w:autoSpaceDE w:val="0"/>
        <w:autoSpaceDN w:val="0"/>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Цей етап дозволяє отримати природну кінематику з будь-яким спрайтом без створення спрайтів для кожного заголовка ступеня. На четвертому етапі в редакторі Animation створюється анімація, вводячи значення, яких набувають кістки в певні моменти часу. Зокрема, для ходьби вказується початкове і кінцеве положення ніг і рук, а Unity автоматично обчислює рух між кожним кадром, полегшуючи процес створення анімації.</w:t>
      </w:r>
    </w:p>
    <w:p w14:paraId="0838C7E1" w14:textId="77777777" w:rsidR="00532C25" w:rsidRPr="00511005" w:rsidRDefault="00532C25" w:rsidP="00532C25">
      <w:pPr>
        <w:widowControl w:val="0"/>
        <w:autoSpaceDE w:val="0"/>
        <w:autoSpaceDN w:val="0"/>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П’ятий етап полягає в налаштуванні системи Animator у Unity для керування переходами між анімаціями. Animator використовує ієрархію кісток, як показано на рис. 4, для створення станів (хода, атака) та умов їхньої активації, які реагують на дії гравця чи ігрові події. Ця система дозволяє реалізувати складні анімаційні послідовності, як-от: перехід від ходьби до стрибка, без потреби ручного редагування кожного стану [4]. Додатково застосовується 2D Inverse Kinematics (IK), що дає змогу задавати кінцеву точку руху (положення ноги на поверхні), а проміжні кістки автоматично коригуються, підвищуючи реалістичність рухів, наприклад, через інерцію волосся чи сукні.</w:t>
      </w:r>
    </w:p>
    <w:p w14:paraId="0558B133" w14:textId="77777777" w:rsidR="00532C25" w:rsidRPr="00511005" w:rsidRDefault="00532C25" w:rsidP="00532C25">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noProof/>
          <w:szCs w:val="28"/>
          <w:lang w:val="uk-UA"/>
          <w14:ligatures w14:val="standardContextual"/>
        </w:rPr>
        <w:lastRenderedPageBreak/>
        <w:drawing>
          <wp:inline distT="0" distB="0" distL="0" distR="0" wp14:anchorId="3D77B57B" wp14:editId="347A0720">
            <wp:extent cx="1379220" cy="2705100"/>
            <wp:effectExtent l="0" t="0" r="0" b="0"/>
            <wp:docPr id="18" name="Рисунок 18" descr="Изображение выглядит как текст, снимок экрана, Мультимедийное программное обеспечение, Графическое программное обеспеч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Изображение выглядит как текст, снимок экрана, Мультимедийное программное обеспечение, Графическое программное обеспечение&#10;&#10;Автоматически созданное описание"/>
                    <pic:cNvPicPr/>
                  </pic:nvPicPr>
                  <pic:blipFill rotWithShape="1">
                    <a:blip r:embed="rId2454">
                      <a:extLst>
                        <a:ext uri="{28A0092B-C50C-407E-A947-70E740481C1C}">
                          <a14:useLocalDpi xmlns:a14="http://schemas.microsoft.com/office/drawing/2010/main" val="0"/>
                        </a:ext>
                      </a:extLst>
                    </a:blip>
                    <a:srcRect t="8327" r="78107" b="656"/>
                    <a:stretch/>
                  </pic:blipFill>
                  <pic:spPr bwMode="auto">
                    <a:xfrm>
                      <a:off x="0" y="0"/>
                      <a:ext cx="1379220" cy="2705100"/>
                    </a:xfrm>
                    <a:prstGeom prst="rect">
                      <a:avLst/>
                    </a:prstGeom>
                    <a:ln>
                      <a:noFill/>
                    </a:ln>
                    <a:extLst>
                      <a:ext uri="{53640926-AAD7-44D8-BBD7-CCE9431645EC}">
                        <a14:shadowObscured xmlns:a14="http://schemas.microsoft.com/office/drawing/2010/main"/>
                      </a:ext>
                    </a:extLst>
                  </pic:spPr>
                </pic:pic>
              </a:graphicData>
            </a:graphic>
          </wp:inline>
        </w:drawing>
      </w:r>
    </w:p>
    <w:p w14:paraId="36929651" w14:textId="77777777" w:rsidR="00532C25" w:rsidRPr="00511005" w:rsidRDefault="00532C25" w:rsidP="00532C25">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Рисунок 4 – Ієрархія кісток в Unity</w:t>
      </w:r>
    </w:p>
    <w:p w14:paraId="309D8262" w14:textId="77777777" w:rsidR="00532C25" w:rsidRPr="00511005" w:rsidRDefault="00532C25" w:rsidP="00532C25">
      <w:pPr>
        <w:widowControl w:val="0"/>
        <w:autoSpaceDE w:val="0"/>
        <w:autoSpaceDN w:val="0"/>
        <w:spacing w:line="264" w:lineRule="auto"/>
        <w:ind w:firstLine="708"/>
        <w:rPr>
          <w:rFonts w:ascii="Arial" w:eastAsia="Times New Roman" w:hAnsi="Arial" w:cs="Arial"/>
          <w:szCs w:val="28"/>
          <w:lang w:val="uk-UA"/>
        </w:rPr>
      </w:pPr>
      <w:r w:rsidRPr="00511005">
        <w:rPr>
          <w:rFonts w:ascii="Arial" w:eastAsia="Times New Roman" w:hAnsi="Arial" w:cs="Arial"/>
          <w:szCs w:val="28"/>
          <w:lang w:val="uk-UA"/>
        </w:rPr>
        <w:t>Такий підхід дозволив усунути обмеження покадрової анімації. Обсяг графічних активів скоротився до 1–5 МБ порівняно з 10–50 МБ, що знизило системні вимоги гри. Час створення анімацій зменшився з 20–40 годин до 5–10 годин, завдяки автоматизації через ключові кадри та інтерполяцію в редакторі Animation. Модифікація рухів чи дизайну стала можливою через коригування параметрів кісток у Skinning Editor, без потреби в нових спрайтах. Використання 2D Inverse Kinematics забезпечило адаптивність рухів, наприклад, коригування положення ніг до поверхні чи динаміку сукні і волосся, що додало візуальної виразності. Ці результати підтверджують ефективність кісткової анімації для проєктів з обмеженим бюджетом.</w:t>
      </w:r>
    </w:p>
    <w:p w14:paraId="259FC517" w14:textId="77777777" w:rsidR="00532C25" w:rsidRPr="00511005" w:rsidRDefault="00532C25" w:rsidP="00532C25">
      <w:pPr>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Зручність кісткової анімації полягає в її універсальності для інді-розробки, особливо в процедурно згенерованих чи free-to-play іграх, де потрібна варіативність персонажів. Інструменти Unity – 2D Animation Package, 2D PSD Importer, Skinning Editor, Animation, Animator – дозволяють створити інтегроване середовище, яке робить метод доступним навіть для розробників із мінімальним досвідом. Кісткова анімація оптимізує робочі процеси, зменшує витрати на графіку та підвищує адаптивність персонажів, що має потенціал для встановлення нового стандарту в 2D-анімації.</w:t>
      </w:r>
    </w:p>
    <w:p w14:paraId="7D58D4E0" w14:textId="77777777" w:rsidR="00532C25" w:rsidRPr="00511005" w:rsidRDefault="00532C25" w:rsidP="00532C25">
      <w:pPr>
        <w:autoSpaceDE w:val="0"/>
        <w:autoSpaceDN w:val="0"/>
        <w:spacing w:line="264" w:lineRule="auto"/>
        <w:rPr>
          <w:rFonts w:ascii="Arial" w:eastAsia="Times New Roman" w:hAnsi="Arial" w:cs="Arial"/>
          <w:szCs w:val="28"/>
          <w:lang w:val="uk-UA"/>
        </w:rPr>
      </w:pPr>
    </w:p>
    <w:p w14:paraId="53EB8731" w14:textId="77777777" w:rsidR="00532C25" w:rsidRPr="00511005" w:rsidRDefault="00532C25" w:rsidP="00532C25">
      <w:pPr>
        <w:widowControl w:val="0"/>
        <w:autoSpaceDE w:val="0"/>
        <w:autoSpaceDN w:val="0"/>
        <w:spacing w:line="264" w:lineRule="auto"/>
        <w:ind w:firstLine="708"/>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0DAE3959" w14:textId="77777777" w:rsidR="00532C25" w:rsidRPr="00511005" w:rsidRDefault="00532C25" w:rsidP="003F6A5D">
      <w:pPr>
        <w:widowControl w:val="0"/>
        <w:numPr>
          <w:ilvl w:val="0"/>
          <w:numId w:val="707"/>
        </w:numPr>
        <w:tabs>
          <w:tab w:val="left" w:pos="1134"/>
        </w:tabs>
        <w:autoSpaceDE w:val="0"/>
        <w:autoSpaceDN w:val="0"/>
        <w:spacing w:line="264" w:lineRule="auto"/>
        <w:ind w:left="0" w:firstLine="709"/>
        <w:contextualSpacing/>
        <w:rPr>
          <w:rFonts w:ascii="Arial" w:eastAsia="Times New Roman" w:hAnsi="Arial" w:cs="Arial"/>
          <w:szCs w:val="28"/>
          <w:lang w:val="uk-UA"/>
        </w:rPr>
      </w:pPr>
      <w:r w:rsidRPr="00511005">
        <w:rPr>
          <w:rFonts w:ascii="Arial" w:eastAsia="Times New Roman" w:hAnsi="Arial" w:cs="Arial"/>
          <w:szCs w:val="28"/>
          <w:lang w:val="uk-UA"/>
        </w:rPr>
        <w:t xml:space="preserve">Unity Manual: 2D Animation. URL: </w:t>
      </w:r>
      <w:hyperlink r:id="rId2455" w:history="1">
        <w:r w:rsidRPr="00511005">
          <w:rPr>
            <w:rFonts w:ascii="Arial" w:eastAsia="Times New Roman" w:hAnsi="Arial" w:cs="Arial"/>
            <w:szCs w:val="28"/>
            <w:lang w:val="uk-UA"/>
          </w:rPr>
          <w:t>https://docs.unity3d.com/Packages/com.unity.2d.animation@latest</w:t>
        </w:r>
      </w:hyperlink>
    </w:p>
    <w:p w14:paraId="6FDAB6F0" w14:textId="77777777" w:rsidR="00532C25" w:rsidRPr="00511005" w:rsidRDefault="00532C25" w:rsidP="003F6A5D">
      <w:pPr>
        <w:widowControl w:val="0"/>
        <w:numPr>
          <w:ilvl w:val="0"/>
          <w:numId w:val="707"/>
        </w:numPr>
        <w:tabs>
          <w:tab w:val="left" w:pos="1134"/>
        </w:tabs>
        <w:autoSpaceDE w:val="0"/>
        <w:autoSpaceDN w:val="0"/>
        <w:spacing w:line="264" w:lineRule="auto"/>
        <w:ind w:left="0" w:firstLine="709"/>
        <w:contextualSpacing/>
        <w:rPr>
          <w:rFonts w:ascii="Arial" w:eastAsia="Times New Roman" w:hAnsi="Arial" w:cs="Arial"/>
          <w:szCs w:val="28"/>
          <w:lang w:val="uk-UA"/>
        </w:rPr>
      </w:pPr>
      <w:r w:rsidRPr="00511005">
        <w:rPr>
          <w:rFonts w:ascii="Arial" w:eastAsia="Times New Roman" w:hAnsi="Arial" w:cs="Arial"/>
          <w:szCs w:val="28"/>
          <w:lang w:val="uk-UA"/>
        </w:rPr>
        <w:t xml:space="preserve">Layers in Photoshop. URL: </w:t>
      </w:r>
      <w:hyperlink r:id="rId2456" w:history="1">
        <w:r w:rsidRPr="00511005">
          <w:rPr>
            <w:rFonts w:ascii="Arial" w:eastAsia="Times New Roman" w:hAnsi="Arial" w:cs="Arial"/>
            <w:szCs w:val="28"/>
            <w:lang w:val="uk-UA"/>
          </w:rPr>
          <w:t>https://helpx.adobe.com/photoshop/using/layer-basics.html</w:t>
        </w:r>
      </w:hyperlink>
    </w:p>
    <w:p w14:paraId="34A90A74" w14:textId="77777777" w:rsidR="00532C25" w:rsidRPr="00511005" w:rsidRDefault="00532C25" w:rsidP="003F6A5D">
      <w:pPr>
        <w:widowControl w:val="0"/>
        <w:numPr>
          <w:ilvl w:val="0"/>
          <w:numId w:val="707"/>
        </w:numPr>
        <w:tabs>
          <w:tab w:val="left" w:pos="1134"/>
        </w:tabs>
        <w:autoSpaceDE w:val="0"/>
        <w:autoSpaceDN w:val="0"/>
        <w:spacing w:line="264" w:lineRule="auto"/>
        <w:ind w:left="0" w:firstLine="709"/>
        <w:contextualSpacing/>
        <w:rPr>
          <w:rFonts w:ascii="Arial" w:eastAsia="Times New Roman" w:hAnsi="Arial" w:cs="Arial"/>
          <w:szCs w:val="28"/>
          <w:lang w:val="uk-UA"/>
        </w:rPr>
      </w:pPr>
      <w:r w:rsidRPr="00511005">
        <w:rPr>
          <w:rFonts w:ascii="Arial" w:eastAsia="Times New Roman" w:hAnsi="Arial" w:cs="Arial"/>
          <w:szCs w:val="28"/>
          <w:lang w:val="uk-UA"/>
        </w:rPr>
        <w:t xml:space="preserve">Actor skinning and weighting workflow. URL: </w:t>
      </w:r>
      <w:hyperlink r:id="rId2457" w:history="1">
        <w:r w:rsidRPr="00511005">
          <w:rPr>
            <w:rFonts w:ascii="Arial" w:eastAsia="Times New Roman" w:hAnsi="Arial" w:cs="Arial"/>
            <w:szCs w:val="28"/>
            <w:lang w:val="uk-UA"/>
          </w:rPr>
          <w:t>https://docs.unity3d.com/Packages/com.unity.2d.animation@9.2/manual/CharacterRig.html</w:t>
        </w:r>
      </w:hyperlink>
    </w:p>
    <w:p w14:paraId="5402C1F5" w14:textId="77777777" w:rsidR="00532C25" w:rsidRPr="00511005" w:rsidRDefault="00532C25" w:rsidP="003F6A5D">
      <w:pPr>
        <w:widowControl w:val="0"/>
        <w:numPr>
          <w:ilvl w:val="0"/>
          <w:numId w:val="707"/>
        </w:numPr>
        <w:tabs>
          <w:tab w:val="left" w:pos="1134"/>
        </w:tabs>
        <w:autoSpaceDE w:val="0"/>
        <w:autoSpaceDN w:val="0"/>
        <w:spacing w:line="264" w:lineRule="auto"/>
        <w:ind w:left="0" w:firstLine="709"/>
        <w:contextualSpacing/>
        <w:rPr>
          <w:rFonts w:ascii="Arial" w:eastAsia="Calibri" w:hAnsi="Arial" w:cs="Arial"/>
          <w:szCs w:val="28"/>
          <w:lang w:val="uk-UA"/>
        </w:rPr>
      </w:pPr>
      <w:r w:rsidRPr="00511005">
        <w:rPr>
          <w:rFonts w:ascii="Arial" w:eastAsia="Times New Roman" w:hAnsi="Arial" w:cs="Arial"/>
          <w:szCs w:val="28"/>
          <w:lang w:val="uk-UA"/>
        </w:rPr>
        <w:t xml:space="preserve">Трофименко О. Г., Задерейко О. В., Баландіна Н. М., Толокнов А. А., Гусельніков І. М. Векторна алгебра для розробки ігор. </w:t>
      </w:r>
      <w:r w:rsidRPr="00511005">
        <w:rPr>
          <w:rFonts w:ascii="Arial" w:eastAsia="Times New Roman" w:hAnsi="Arial" w:cs="Arial"/>
          <w:i/>
          <w:iCs/>
          <w:szCs w:val="28"/>
          <w:lang w:val="uk-UA"/>
        </w:rPr>
        <w:t xml:space="preserve">Кібербезпека: </w:t>
      </w:r>
      <w:r w:rsidRPr="00511005">
        <w:rPr>
          <w:rFonts w:ascii="Arial" w:eastAsia="Times New Roman" w:hAnsi="Arial" w:cs="Arial"/>
          <w:i/>
          <w:iCs/>
          <w:szCs w:val="28"/>
          <w:lang w:val="uk-UA"/>
        </w:rPr>
        <w:lastRenderedPageBreak/>
        <w:t xml:space="preserve">освіта, наука, техніка. </w:t>
      </w:r>
      <w:r w:rsidRPr="00511005">
        <w:rPr>
          <w:rFonts w:ascii="Arial" w:eastAsia="Times New Roman" w:hAnsi="Arial" w:cs="Arial"/>
          <w:szCs w:val="28"/>
          <w:lang w:val="uk-UA"/>
        </w:rPr>
        <w:t xml:space="preserve">2024. № 2(26). С. 71-80. DOI: </w:t>
      </w:r>
      <w:hyperlink r:id="rId2458" w:history="1">
        <w:r w:rsidRPr="00511005">
          <w:rPr>
            <w:rFonts w:ascii="Arial" w:eastAsia="Calibri" w:hAnsi="Arial" w:cs="Arial"/>
            <w:szCs w:val="28"/>
            <w:lang w:val="uk-UA"/>
          </w:rPr>
          <w:t>https://doi.org/10.28925/2663-4023.2024.26.626</w:t>
        </w:r>
      </w:hyperlink>
      <w:r w:rsidRPr="00511005">
        <w:rPr>
          <w:rFonts w:ascii="Arial" w:eastAsia="Calibri" w:hAnsi="Arial" w:cs="Arial"/>
          <w:szCs w:val="28"/>
          <w:lang w:val="uk-UA"/>
        </w:rPr>
        <w:t>.</w:t>
      </w:r>
    </w:p>
    <w:p w14:paraId="08D7A83A"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Pr="00511005">
        <w:rPr>
          <w:rFonts w:ascii="Arial" w:eastAsia="Times New Roman" w:hAnsi="Arial" w:cs="Arial"/>
          <w:szCs w:val="28"/>
          <w:lang w:val="uk-UA"/>
        </w:rPr>
        <w:t>2D-анімація, спрайт, кісткова анімація, Unity, Skinning Editor, Photoshop, ключові кадри, оптимізація, розробка ігор.</w:t>
      </w:r>
    </w:p>
    <w:p w14:paraId="545D72D7" w14:textId="77777777" w:rsidR="00532C25" w:rsidRPr="00511005" w:rsidRDefault="00532C25" w:rsidP="00532C25">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Pr="00511005">
        <w:rPr>
          <w:rFonts w:ascii="Arial" w:eastAsia="Times New Roman" w:hAnsi="Arial" w:cs="Arial"/>
          <w:szCs w:val="28"/>
          <w:lang w:val="uk-UA"/>
        </w:rPr>
        <w:t>2D animation, sprite, skeletal animation, Unity, Skinning Editor, Photoshop, keyframes, optimization, game development.</w:t>
      </w:r>
    </w:p>
    <w:p w14:paraId="200B7DAC" w14:textId="77777777" w:rsidR="00532C25" w:rsidRPr="00511005" w:rsidRDefault="00532C25" w:rsidP="00532C25">
      <w:pPr>
        <w:widowControl w:val="0"/>
        <w:autoSpaceDE w:val="0"/>
        <w:autoSpaceDN w:val="0"/>
        <w:spacing w:line="264" w:lineRule="auto"/>
        <w:ind w:firstLine="708"/>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Pr="00511005">
        <w:rPr>
          <w:rFonts w:ascii="Arial" w:eastAsia="Times New Roman" w:hAnsi="Arial" w:cs="Arial"/>
          <w:szCs w:val="28"/>
          <w:lang w:val="uk-UA"/>
        </w:rPr>
        <w:t>к.т.н., доцент Трофименко О.Г.</w:t>
      </w:r>
    </w:p>
    <w:p w14:paraId="73E0E19C" w14:textId="77777777" w:rsidR="00532C25" w:rsidRPr="00511005" w:rsidRDefault="00532C25" w:rsidP="00532C25">
      <w:pPr>
        <w:keepNext/>
        <w:widowControl w:val="0"/>
        <w:spacing w:line="264" w:lineRule="auto"/>
        <w:rPr>
          <w:rFonts w:ascii="Arial" w:eastAsia="Calibri" w:hAnsi="Arial" w:cs="Arial"/>
          <w:bCs/>
          <w:i/>
          <w:iCs/>
          <w:szCs w:val="28"/>
          <w:lang w:val="uk-UA"/>
        </w:rPr>
      </w:pPr>
    </w:p>
    <w:p w14:paraId="153C0B5F" w14:textId="77777777" w:rsidR="00532C25" w:rsidRPr="00511005" w:rsidRDefault="00532C25" w:rsidP="00532C25">
      <w:pPr>
        <w:spacing w:line="264" w:lineRule="auto"/>
        <w:ind w:firstLine="0"/>
        <w:jc w:val="left"/>
        <w:rPr>
          <w:rFonts w:ascii="Arial" w:eastAsia="Calibri" w:hAnsi="Arial" w:cs="Arial"/>
          <w:b/>
          <w:bCs/>
          <w:i/>
          <w:szCs w:val="28"/>
          <w:lang w:val="uk-UA"/>
        </w:rPr>
      </w:pPr>
    </w:p>
    <w:p w14:paraId="3B8CEBFE" w14:textId="77777777" w:rsidR="00532C25" w:rsidRPr="00511005" w:rsidRDefault="00532C25" w:rsidP="00532C25">
      <w:pPr>
        <w:spacing w:line="264" w:lineRule="auto"/>
        <w:ind w:firstLine="0"/>
        <w:jc w:val="center"/>
        <w:rPr>
          <w:rFonts w:ascii="Arial" w:eastAsia="Calibri" w:hAnsi="Arial" w:cs="Arial"/>
          <w:b/>
          <w:bCs/>
          <w:szCs w:val="28"/>
          <w:lang w:val="uk-UA"/>
        </w:rPr>
      </w:pPr>
      <w:r w:rsidRPr="00511005">
        <w:rPr>
          <w:rFonts w:ascii="Arial" w:eastAsia="Calibri" w:hAnsi="Arial" w:cs="Arial"/>
          <w:b/>
          <w:bCs/>
          <w:i/>
          <w:szCs w:val="28"/>
          <w:lang w:val="uk-UA"/>
        </w:rPr>
        <w:t>Ящук Георгій</w:t>
      </w:r>
    </w:p>
    <w:p w14:paraId="284636C2" w14:textId="77777777" w:rsidR="00532C25" w:rsidRPr="00511005" w:rsidRDefault="00532C25" w:rsidP="00532C25">
      <w:pPr>
        <w:spacing w:line="264" w:lineRule="auto"/>
        <w:ind w:firstLine="0"/>
        <w:jc w:val="center"/>
        <w:rPr>
          <w:rFonts w:ascii="Arial" w:eastAsia="Calibri" w:hAnsi="Arial" w:cs="Arial"/>
          <w:i/>
          <w:iCs/>
          <w:szCs w:val="28"/>
          <w:lang w:val="uk-UA"/>
        </w:rPr>
      </w:pPr>
      <w:r w:rsidRPr="00511005">
        <w:rPr>
          <w:rFonts w:ascii="Arial" w:eastAsia="Calibri" w:hAnsi="Arial" w:cs="Arial"/>
          <w:szCs w:val="28"/>
          <w:lang w:val="uk-UA"/>
        </w:rPr>
        <w:t>студент 1-го</w:t>
      </w:r>
      <w:r w:rsidRPr="00511005">
        <w:rPr>
          <w:rFonts w:ascii="Arial" w:eastAsia="Calibri" w:hAnsi="Arial" w:cs="Arial"/>
          <w:i/>
          <w:iCs/>
          <w:szCs w:val="28"/>
          <w:lang w:val="uk-UA"/>
        </w:rPr>
        <w:t xml:space="preserve"> </w:t>
      </w:r>
      <w:r w:rsidRPr="00511005">
        <w:rPr>
          <w:rFonts w:ascii="Arial" w:eastAsia="Calibri" w:hAnsi="Arial" w:cs="Arial"/>
          <w:iCs/>
          <w:szCs w:val="28"/>
          <w:lang w:val="uk-UA"/>
        </w:rPr>
        <w:t>курсу факультету кібербезпеки та інформаційних технологій</w:t>
      </w:r>
      <w:r w:rsidRPr="00511005">
        <w:rPr>
          <w:rFonts w:ascii="Arial" w:eastAsia="Calibri" w:hAnsi="Arial" w:cs="Arial"/>
          <w:iCs/>
          <w:szCs w:val="28"/>
          <w:lang w:val="uk-UA"/>
        </w:rPr>
        <w:br/>
        <w:t>Національного університету «Одеська юридична академія»</w:t>
      </w:r>
    </w:p>
    <w:p w14:paraId="28AF6EE5" w14:textId="77777777" w:rsidR="00532C25" w:rsidRPr="00511005" w:rsidRDefault="00532C25" w:rsidP="00532C25">
      <w:pPr>
        <w:spacing w:line="264" w:lineRule="auto"/>
        <w:ind w:firstLine="0"/>
        <w:jc w:val="center"/>
        <w:rPr>
          <w:rFonts w:ascii="Arial" w:eastAsia="Calibri" w:hAnsi="Arial" w:cs="Arial"/>
          <w:b/>
          <w:bCs/>
          <w:szCs w:val="28"/>
          <w:lang w:val="uk-UA"/>
        </w:rPr>
      </w:pPr>
    </w:p>
    <w:p w14:paraId="6D3E066E" w14:textId="77777777" w:rsidR="00532C25" w:rsidRPr="00511005" w:rsidRDefault="00532C25" w:rsidP="00532C25">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ВИКОРИСТАННЯ МОВИ ПРОГРАМУВАННЯ АСЕМБЛЕРА У СФЕРІ IT</w:t>
      </w:r>
    </w:p>
    <w:p w14:paraId="7F898F7C"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Мова програмування асемблер є одним з головних здобутків для системного програмування. Головна відмінність полягає у прямій взаємодії з апаратними ресурсами обчислювальних пристроїв (регістрами процесора, його пам’яттю, портами введення-виведення тощо), що дозволяє досягти їх максимально ефективного використання [1, с. 15]. На відміну від мов програмування, таких як Python чи C++, які інтерпретуються або компілюються відповідно, проходячи через кілька рівнів абстракції, командний набір асемблера працює безпосередньо з машинними інструкціями у символьній формі, що робить його незамінним у вирішенні кола вузько спеціалізованих задач.</w:t>
      </w:r>
    </w:p>
    <w:p w14:paraId="5B528D0B"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 xml:space="preserve">Перші версії асемблерів з’явилися в 40-ч роках XX ст. Разом із розробкою комп’ютерів першого покоління (наприклад, EDSAC). Вони виникли як альтернатива програмуванню у двійковому коді, де кожна команда розробників мала мнемонічне позначення (наприклад, mov </w:t>
      </w:r>
      <w:r w:rsidRPr="00511005">
        <w:rPr>
          <w:rFonts w:ascii="Arial" w:eastAsia="Calibri" w:hAnsi="Arial" w:cs="Arial"/>
          <w:szCs w:val="28"/>
          <w:lang w:val="uk-UA"/>
        </w:rPr>
        <w:noBreakHyphen/>
        <w:t xml:space="preserve"> для переміщення даних, add – для додавання) [3]. Суттєвий прорив стався з появою архітектури x86, для якої були створенні версії асемблера, такі як MASM та NASM, що дозволяють працювати з макросами та модулями.</w:t>
      </w:r>
    </w:p>
    <w:p w14:paraId="08F9C8B9"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Ключові особливості асемблера:</w:t>
      </w:r>
    </w:p>
    <w:p w14:paraId="71961FFF"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один-до-одного відповідність між інструкціями асемблера та машинним кодом;</w:t>
      </w:r>
    </w:p>
    <w:p w14:paraId="27565BB8"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регістрова адресація – прямий доступ до регістрів процесора (наприклад, eax, ebx у x86);</w:t>
      </w:r>
    </w:p>
    <w:p w14:paraId="370972D8"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робота з пам’яттю через адресні режими (наприклад, пряма адресація, індексна адресація);</w:t>
      </w:r>
    </w:p>
    <w:p w14:paraId="00878983"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оптимізація на рівні тактів процесора, що критично для систем реального часу [2, с. 45].</w:t>
      </w:r>
    </w:p>
    <w:p w14:paraId="6AB30D2D"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Асемблер є основою для створення компонентів, де продуктивність та мінімальні накладні витрати є пріоритетом, а саме:</w:t>
      </w:r>
    </w:p>
    <w:p w14:paraId="720D6617"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lastRenderedPageBreak/>
        <w:t>реалізація ядра операційної систем: до прикладу можно призвести функції для обробки переривань (IRQ) у Windows та Linux написані на асемблері для продуктивного реагування на апаратні події [1, с. 32];</w:t>
      </w:r>
    </w:p>
    <w:p w14:paraId="0712777F"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реалізація драйверів пристроїв, забезпечує прямий доступ до пристроїв, які підключені до системної плати, без посередників;</w:t>
      </w:r>
    </w:p>
    <w:p w14:paraId="6A7EEF6B"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реалізацію BIOS/UEFI-firmware, де фізичний обсяг пам’яті обмежений, а кожен байт коду має суттєве значення.</w:t>
      </w:r>
    </w:p>
    <w:p w14:paraId="22B3C320"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Як зазначає Нестеренко С. О. – “Використання MASM32 дозволяє створювати програми з часом виконання менше 1 мікросекунди, що неможливо досягти на С++ через накладні витрати runtime`у” [2, с. 89].</w:t>
      </w:r>
    </w:p>
    <w:p w14:paraId="655161A3"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До прикладу приводимо застосування мови асемблера в деяких галузях IT-сфери.</w:t>
      </w:r>
    </w:p>
    <w:p w14:paraId="7E1BA133" w14:textId="77777777" w:rsidR="00532C25" w:rsidRPr="00511005" w:rsidRDefault="00532C25" w:rsidP="00532C25">
      <w:pPr>
        <w:tabs>
          <w:tab w:val="left" w:pos="993"/>
        </w:tabs>
        <w:spacing w:line="264" w:lineRule="auto"/>
        <w:contextualSpacing/>
        <w:rPr>
          <w:rFonts w:ascii="Arial" w:eastAsia="Calibri" w:hAnsi="Arial" w:cs="Arial"/>
          <w:szCs w:val="28"/>
          <w:lang w:val="uk-UA"/>
        </w:rPr>
      </w:pPr>
      <w:r w:rsidRPr="00511005">
        <w:rPr>
          <w:rFonts w:ascii="Arial" w:eastAsia="Calibri" w:hAnsi="Arial" w:cs="Arial"/>
          <w:szCs w:val="28"/>
          <w:lang w:val="uk-UA"/>
        </w:rPr>
        <w:t>1. Оптимізація критичних ділянок коду.</w:t>
      </w:r>
    </w:p>
    <w:p w14:paraId="05040C74"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У ігровій індустрії мова асемблера є ключовим інструментом для оптимізації операцій, де кожен такт є вирішальним. Наприклад, у рушії Unreal Engine для прискорення рендерингу 3D-графіки використовуються SIMD-інструкції, такі як pmululq – для множення безнакових 32-бітних чисел, або raddd – для додавання чотирьох 32-бітних чисел за один такт [3]. Ці інструкції, які реалізовані на мові асемблера, дозволяють одночасно обробляти 128 біт даних, що дає прискорення у матричному перетворенню (наприклад, обчислення освітлення або переміщення об’єктів) у 3-4 рази швидше порівняно з кодом на С++.</w:t>
      </w:r>
    </w:p>
    <w:p w14:paraId="075E796A"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Приклад коду для поелементного множення векторів SSE:</w:t>
      </w:r>
    </w:p>
    <w:p w14:paraId="4E647E9F"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 Перемножити перші чотири 32-бітні числа з плавучою крапкою з двох областей пам’яті</w:t>
      </w:r>
    </w:p>
    <w:p w14:paraId="005A6C90"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movaps xmm0, [matrixA] ;Завантаження 16 байт з matrixA у регістр xmm0</w:t>
      </w:r>
    </w:p>
    <w:p w14:paraId="280378C7"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movaps xmm1, [matrixB] ;Завантаження 16 байт з matrixB у регістр xmm1</w:t>
      </w:r>
    </w:p>
    <w:p w14:paraId="283D2112"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mulps xmm, xmm1 ;Перемножити 4 пари 32-бітних чисел з плавучою крапкою</w:t>
      </w:r>
    </w:p>
    <w:p w14:paraId="4C2A68EF" w14:textId="77777777" w:rsidR="00532C25" w:rsidRPr="00511005" w:rsidRDefault="00532C25" w:rsidP="00532C25">
      <w:pPr>
        <w:tabs>
          <w:tab w:val="left" w:pos="709"/>
        </w:tabs>
        <w:spacing w:line="264" w:lineRule="auto"/>
        <w:ind w:firstLine="0"/>
        <w:rPr>
          <w:rFonts w:ascii="Arial" w:eastAsia="Calibri" w:hAnsi="Arial" w:cs="Arial"/>
          <w:szCs w:val="28"/>
          <w:lang w:val="uk-UA"/>
        </w:rPr>
      </w:pPr>
      <w:r w:rsidRPr="00511005">
        <w:rPr>
          <w:rFonts w:ascii="Arial" w:eastAsia="Calibri" w:hAnsi="Arial" w:cs="Arial"/>
          <w:szCs w:val="28"/>
          <w:lang w:val="uk-UA"/>
        </w:rPr>
        <w:t>movaps [result], xmm0 ;Зберегти результати</w:t>
      </w:r>
    </w:p>
    <w:p w14:paraId="120877E9" w14:textId="77777777" w:rsidR="00532C25" w:rsidRPr="00511005" w:rsidRDefault="00532C25" w:rsidP="00532C25">
      <w:pPr>
        <w:tabs>
          <w:tab w:val="left" w:pos="993"/>
        </w:tabs>
        <w:spacing w:line="264" w:lineRule="auto"/>
        <w:contextualSpacing/>
        <w:rPr>
          <w:rFonts w:ascii="Arial" w:eastAsia="Calibri" w:hAnsi="Arial" w:cs="Arial"/>
          <w:szCs w:val="28"/>
          <w:lang w:val="uk-UA"/>
        </w:rPr>
      </w:pPr>
      <w:r w:rsidRPr="00511005">
        <w:rPr>
          <w:rFonts w:ascii="Arial" w:eastAsia="Calibri" w:hAnsi="Arial" w:cs="Arial"/>
          <w:szCs w:val="28"/>
          <w:lang w:val="uk-UA"/>
        </w:rPr>
        <w:t>2. Кібербезпека та реверс-інженіринг.</w:t>
      </w:r>
    </w:p>
    <w:p w14:paraId="69ECEC60"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Мова асемблера є основою для аналізу шкідливого програмного забезпечення (ПЗ), оскільки зловмисники нерідко застосовують обфускацію (заплутування коду) для ускладнення дизасемблювання. Наприклад, вірусне ПЗ ransmoware WannaCry використовувало упаковку (packing) та динамічне завантаження бібліотек, що знижує можливість аналізу без розуміння мови асемблера [1, с. 49].</w:t>
      </w:r>
    </w:p>
    <w:p w14:paraId="41350AB2"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Приклад фрагменту коду шкідливого ПЗ:</w:t>
      </w:r>
    </w:p>
    <w:p w14:paraId="2AE8371E"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xor eax, eax</w:t>
      </w:r>
      <w:r w:rsidRPr="00511005">
        <w:rPr>
          <w:rFonts w:ascii="Arial" w:eastAsia="Calibri" w:hAnsi="Arial" w:cs="Arial"/>
          <w:szCs w:val="28"/>
          <w:lang w:val="uk-UA"/>
        </w:rPr>
        <w:tab/>
      </w:r>
      <w:r w:rsidRPr="00511005">
        <w:rPr>
          <w:rFonts w:ascii="Arial" w:eastAsia="Calibri" w:hAnsi="Arial" w:cs="Arial"/>
          <w:szCs w:val="28"/>
          <w:lang w:val="uk-UA"/>
        </w:rPr>
        <w:tab/>
        <w:t>; Обнулити eax</w:t>
      </w:r>
    </w:p>
    <w:p w14:paraId="29973551"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mov ebx, [esp+0x4]</w:t>
      </w:r>
      <w:r w:rsidRPr="00511005">
        <w:rPr>
          <w:rFonts w:ascii="Arial" w:eastAsia="Calibri" w:hAnsi="Arial" w:cs="Arial"/>
          <w:szCs w:val="28"/>
          <w:lang w:val="uk-UA"/>
        </w:rPr>
        <w:tab/>
        <w:t>; Завантажити аргумент</w:t>
      </w:r>
    </w:p>
    <w:p w14:paraId="28E53FD7"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call decrypt_payload</w:t>
      </w:r>
      <w:r w:rsidRPr="00511005">
        <w:rPr>
          <w:rFonts w:ascii="Arial" w:eastAsia="Calibri" w:hAnsi="Arial" w:cs="Arial"/>
          <w:szCs w:val="28"/>
          <w:lang w:val="uk-UA"/>
        </w:rPr>
        <w:tab/>
        <w:t>; Виклик функції дешифрування</w:t>
      </w:r>
    </w:p>
    <w:p w14:paraId="7DCEE5A8"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jmp eax</w:t>
      </w:r>
      <w:r w:rsidRPr="00511005">
        <w:rPr>
          <w:rFonts w:ascii="Arial" w:eastAsia="Calibri" w:hAnsi="Arial" w:cs="Arial"/>
          <w:szCs w:val="28"/>
          <w:lang w:val="uk-UA"/>
        </w:rPr>
        <w:tab/>
      </w:r>
      <w:r w:rsidRPr="00511005">
        <w:rPr>
          <w:rFonts w:ascii="Arial" w:eastAsia="Calibri" w:hAnsi="Arial" w:cs="Arial"/>
          <w:szCs w:val="28"/>
          <w:lang w:val="uk-UA"/>
        </w:rPr>
        <w:tab/>
      </w:r>
      <w:r w:rsidRPr="00511005">
        <w:rPr>
          <w:rFonts w:ascii="Arial" w:eastAsia="Calibri" w:hAnsi="Arial" w:cs="Arial"/>
          <w:szCs w:val="28"/>
          <w:lang w:val="uk-UA"/>
        </w:rPr>
        <w:tab/>
        <w:t>; Перехід до розшифрованого коду</w:t>
      </w:r>
    </w:p>
    <w:p w14:paraId="054D53F9"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3. Вбудовані системи.</w:t>
      </w:r>
    </w:p>
    <w:p w14:paraId="029B2757"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lastRenderedPageBreak/>
        <w:t>У мікроконтролерах (наприклад, STM32) мова асемблера використовується для написання bootloader – коду, який ініціалізує апаратуратну частину перед запуском основної програми.</w:t>
      </w:r>
    </w:p>
    <w:p w14:paraId="1540EAB5"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Наведемо приклади етапів ініціалізації на мові асемблера:</w:t>
      </w:r>
    </w:p>
    <w:p w14:paraId="7678DAC6"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налаштування тактової частоти:</w:t>
      </w:r>
    </w:p>
    <w:p w14:paraId="156DD78B"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 Налаштування тактової частоти (тільки перший крок)</w:t>
      </w:r>
    </w:p>
    <w:p w14:paraId="31F29B7B"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ldr r0, =RCC_BASE</w:t>
      </w:r>
    </w:p>
    <w:p w14:paraId="43438910"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ldr r1, [r0, #RCC_CR]</w:t>
      </w:r>
    </w:p>
    <w:p w14:paraId="10EDFA51"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orr r1, #RCC_CR_HSEON</w:t>
      </w:r>
    </w:p>
    <w:p w14:paraId="14A89E31"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str r1, [r0, #RCC_CR]</w:t>
      </w:r>
    </w:p>
    <w:p w14:paraId="23C96A16"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ініціалізування стекової пам’яті:</w:t>
      </w:r>
    </w:p>
    <w:p w14:paraId="00F78EE2"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ldr sp, =_estack ; Встановити стековий покажчик</w:t>
      </w:r>
    </w:p>
    <w:p w14:paraId="3431331E"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налаштування векторів переривань:</w:t>
      </w:r>
    </w:p>
    <w:p w14:paraId="5E82D685"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.word _estack</w:t>
      </w:r>
      <w:r w:rsidRPr="00511005">
        <w:rPr>
          <w:rFonts w:ascii="Arial" w:eastAsia="Calibri" w:hAnsi="Arial" w:cs="Arial"/>
          <w:szCs w:val="28"/>
          <w:lang w:val="uk-UA"/>
        </w:rPr>
        <w:tab/>
      </w:r>
      <w:r w:rsidRPr="00511005">
        <w:rPr>
          <w:rFonts w:ascii="Arial" w:eastAsia="Calibri" w:hAnsi="Arial" w:cs="Arial"/>
          <w:szCs w:val="28"/>
          <w:lang w:val="uk-UA"/>
        </w:rPr>
        <w:tab/>
        <w:t>; Вектор скидання (адреса стеку)</w:t>
      </w:r>
    </w:p>
    <w:p w14:paraId="5C6CA2BD" w14:textId="77777777" w:rsidR="00532C25" w:rsidRPr="00511005" w:rsidRDefault="00532C25" w:rsidP="00532C25">
      <w:pPr>
        <w:spacing w:line="264" w:lineRule="auto"/>
        <w:ind w:firstLine="0"/>
        <w:rPr>
          <w:rFonts w:ascii="Arial" w:eastAsia="Calibri" w:hAnsi="Arial" w:cs="Arial"/>
          <w:szCs w:val="28"/>
          <w:lang w:val="uk-UA"/>
        </w:rPr>
      </w:pPr>
      <w:r w:rsidRPr="00511005">
        <w:rPr>
          <w:rFonts w:ascii="Arial" w:eastAsia="Calibri" w:hAnsi="Arial" w:cs="Arial"/>
          <w:szCs w:val="28"/>
          <w:lang w:val="uk-UA"/>
        </w:rPr>
        <w:t>.word Reset_Handler</w:t>
      </w:r>
      <w:r w:rsidRPr="00511005">
        <w:rPr>
          <w:rFonts w:ascii="Arial" w:eastAsia="Calibri" w:hAnsi="Arial" w:cs="Arial"/>
          <w:szCs w:val="28"/>
          <w:lang w:val="uk-UA"/>
        </w:rPr>
        <w:tab/>
        <w:t>; Вектор старту програми</w:t>
      </w:r>
    </w:p>
    <w:p w14:paraId="4EAC1CE7"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Вивчення мови асемблера формує глибоке розуміння архітектури комп’ютерних систем. Робота з регістрами, використання стекової пам’яті, механізми обробки винятків – все і не тільке є необхідним для вивчення мови асемблера. Як зауважує Іщерков С.М., що студенти, як засвоїли мову асемблера, краще розуміють принципи роботи компіляторів та можуть писати більш ефективний код на високорівневих мовах [1, с. 28].</w:t>
      </w:r>
    </w:p>
    <w:p w14:paraId="3BDDA781"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Насамперед, треба розуміти, які відмінності є у мови асемблера та мови програмування високого рівня (наприклад С++). В табл. 1 наведено порівняння мов програмування.</w:t>
      </w:r>
    </w:p>
    <w:p w14:paraId="416FD4AF" w14:textId="77777777" w:rsidR="00532C25" w:rsidRPr="00511005" w:rsidRDefault="00532C25" w:rsidP="00532C25">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Таблиця 1 – Порівняння асемблера та мови програмування високого рівня С++</w:t>
      </w:r>
    </w:p>
    <w:tbl>
      <w:tblPr>
        <w:tblStyle w:val="44"/>
        <w:tblW w:w="0" w:type="auto"/>
        <w:jc w:val="center"/>
        <w:tblLook w:val="04A0" w:firstRow="1" w:lastRow="0" w:firstColumn="1" w:lastColumn="0" w:noHBand="0" w:noVBand="1"/>
      </w:tblPr>
      <w:tblGrid>
        <w:gridCol w:w="2768"/>
        <w:gridCol w:w="3595"/>
        <w:gridCol w:w="3548"/>
      </w:tblGrid>
      <w:tr w:rsidR="00532C25" w:rsidRPr="00511005" w14:paraId="41A9D8AB" w14:textId="77777777" w:rsidTr="006E3306">
        <w:trPr>
          <w:jc w:val="center"/>
        </w:trPr>
        <w:tc>
          <w:tcPr>
            <w:tcW w:w="2802" w:type="dxa"/>
            <w:vAlign w:val="center"/>
          </w:tcPr>
          <w:p w14:paraId="7A3F08B9" w14:textId="77777777" w:rsidR="00532C25" w:rsidRPr="00511005" w:rsidRDefault="00532C25" w:rsidP="006E3306">
            <w:pPr>
              <w:tabs>
                <w:tab w:val="left" w:pos="709"/>
              </w:tabs>
              <w:spacing w:line="264" w:lineRule="auto"/>
              <w:ind w:firstLine="0"/>
              <w:jc w:val="center"/>
              <w:rPr>
                <w:rFonts w:ascii="Arial" w:hAnsi="Arial" w:cs="Arial"/>
                <w:b/>
                <w:bCs/>
                <w:szCs w:val="28"/>
                <w:lang w:val="uk-UA"/>
              </w:rPr>
            </w:pPr>
            <w:r w:rsidRPr="00511005">
              <w:rPr>
                <w:rFonts w:ascii="Arial" w:hAnsi="Arial" w:cs="Arial"/>
                <w:b/>
                <w:bCs/>
                <w:szCs w:val="28"/>
                <w:lang w:val="uk-UA"/>
              </w:rPr>
              <w:t>Критерій</w:t>
            </w:r>
          </w:p>
        </w:tc>
        <w:tc>
          <w:tcPr>
            <w:tcW w:w="3685" w:type="dxa"/>
            <w:vAlign w:val="center"/>
          </w:tcPr>
          <w:p w14:paraId="5F3EA887" w14:textId="77777777" w:rsidR="00532C25" w:rsidRPr="00511005" w:rsidRDefault="00532C25" w:rsidP="006E3306">
            <w:pPr>
              <w:tabs>
                <w:tab w:val="left" w:pos="709"/>
              </w:tabs>
              <w:spacing w:line="264" w:lineRule="auto"/>
              <w:ind w:firstLine="0"/>
              <w:jc w:val="center"/>
              <w:rPr>
                <w:rFonts w:ascii="Arial" w:hAnsi="Arial" w:cs="Arial"/>
                <w:b/>
                <w:bCs/>
                <w:szCs w:val="28"/>
                <w:lang w:val="uk-UA"/>
              </w:rPr>
            </w:pPr>
            <w:r w:rsidRPr="00511005">
              <w:rPr>
                <w:rFonts w:ascii="Arial" w:hAnsi="Arial" w:cs="Arial"/>
                <w:b/>
                <w:bCs/>
                <w:szCs w:val="28"/>
                <w:lang w:val="uk-UA"/>
              </w:rPr>
              <w:t>Асемблер</w:t>
            </w:r>
          </w:p>
        </w:tc>
        <w:tc>
          <w:tcPr>
            <w:tcW w:w="3650" w:type="dxa"/>
            <w:vAlign w:val="center"/>
          </w:tcPr>
          <w:p w14:paraId="01D41EAF" w14:textId="77777777" w:rsidR="00532C25" w:rsidRPr="00511005" w:rsidRDefault="00532C25" w:rsidP="006E3306">
            <w:pPr>
              <w:tabs>
                <w:tab w:val="left" w:pos="709"/>
              </w:tabs>
              <w:spacing w:line="264" w:lineRule="auto"/>
              <w:ind w:firstLine="0"/>
              <w:jc w:val="center"/>
              <w:rPr>
                <w:rFonts w:ascii="Arial" w:hAnsi="Arial" w:cs="Arial"/>
                <w:b/>
                <w:bCs/>
                <w:szCs w:val="28"/>
                <w:lang w:val="uk-UA"/>
              </w:rPr>
            </w:pPr>
            <w:r w:rsidRPr="00511005">
              <w:rPr>
                <w:rFonts w:ascii="Arial" w:hAnsi="Arial" w:cs="Arial"/>
                <w:b/>
                <w:bCs/>
                <w:szCs w:val="28"/>
                <w:lang w:val="uk-UA"/>
              </w:rPr>
              <w:t>С++</w:t>
            </w:r>
          </w:p>
        </w:tc>
      </w:tr>
      <w:tr w:rsidR="00532C25" w:rsidRPr="00511005" w14:paraId="5F93EC6B" w14:textId="77777777" w:rsidTr="006E3306">
        <w:trPr>
          <w:jc w:val="center"/>
        </w:trPr>
        <w:tc>
          <w:tcPr>
            <w:tcW w:w="2802" w:type="dxa"/>
            <w:vAlign w:val="center"/>
          </w:tcPr>
          <w:p w14:paraId="2BEA01B3"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Швидкодія</w:t>
            </w:r>
          </w:p>
        </w:tc>
        <w:tc>
          <w:tcPr>
            <w:tcW w:w="3685" w:type="dxa"/>
            <w:vAlign w:val="center"/>
          </w:tcPr>
          <w:p w14:paraId="4B4FF7E2"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Максимальна</w:t>
            </w:r>
          </w:p>
        </w:tc>
        <w:tc>
          <w:tcPr>
            <w:tcW w:w="3650" w:type="dxa"/>
            <w:vAlign w:val="center"/>
          </w:tcPr>
          <w:p w14:paraId="55E57A5C"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Залежить від оптимізації</w:t>
            </w:r>
          </w:p>
        </w:tc>
      </w:tr>
      <w:tr w:rsidR="00532C25" w:rsidRPr="00511005" w14:paraId="338A39DB" w14:textId="77777777" w:rsidTr="006E3306">
        <w:trPr>
          <w:jc w:val="center"/>
        </w:trPr>
        <w:tc>
          <w:tcPr>
            <w:tcW w:w="2802" w:type="dxa"/>
            <w:vAlign w:val="center"/>
          </w:tcPr>
          <w:p w14:paraId="48E1AC46"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Апаратний контроль</w:t>
            </w:r>
          </w:p>
        </w:tc>
        <w:tc>
          <w:tcPr>
            <w:tcW w:w="3685" w:type="dxa"/>
            <w:vAlign w:val="center"/>
          </w:tcPr>
          <w:p w14:paraId="149AC662"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Повний</w:t>
            </w:r>
          </w:p>
        </w:tc>
        <w:tc>
          <w:tcPr>
            <w:tcW w:w="3650" w:type="dxa"/>
            <w:vAlign w:val="center"/>
          </w:tcPr>
          <w:p w14:paraId="10B965FC"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Обмежений</w:t>
            </w:r>
          </w:p>
        </w:tc>
      </w:tr>
      <w:tr w:rsidR="00532C25" w:rsidRPr="00511005" w14:paraId="07819F6C" w14:textId="77777777" w:rsidTr="006E3306">
        <w:trPr>
          <w:jc w:val="center"/>
        </w:trPr>
        <w:tc>
          <w:tcPr>
            <w:tcW w:w="2802" w:type="dxa"/>
            <w:vAlign w:val="center"/>
          </w:tcPr>
          <w:p w14:paraId="58DA6112"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Переносимість</w:t>
            </w:r>
          </w:p>
        </w:tc>
        <w:tc>
          <w:tcPr>
            <w:tcW w:w="3685" w:type="dxa"/>
            <w:vAlign w:val="center"/>
          </w:tcPr>
          <w:p w14:paraId="4CCAD990"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Залежить від архітектури апаратного забезпечення</w:t>
            </w:r>
          </w:p>
        </w:tc>
        <w:tc>
          <w:tcPr>
            <w:tcW w:w="3650" w:type="dxa"/>
            <w:vAlign w:val="center"/>
          </w:tcPr>
          <w:p w14:paraId="1D0943FA"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Висока</w:t>
            </w:r>
          </w:p>
        </w:tc>
      </w:tr>
      <w:tr w:rsidR="00532C25" w:rsidRPr="00511005" w14:paraId="3426A43B" w14:textId="77777777" w:rsidTr="006E3306">
        <w:trPr>
          <w:jc w:val="center"/>
        </w:trPr>
        <w:tc>
          <w:tcPr>
            <w:tcW w:w="2802" w:type="dxa"/>
            <w:vAlign w:val="center"/>
          </w:tcPr>
          <w:p w14:paraId="12CD9E4C"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Складність розробки</w:t>
            </w:r>
          </w:p>
        </w:tc>
        <w:tc>
          <w:tcPr>
            <w:tcW w:w="3685" w:type="dxa"/>
            <w:vAlign w:val="center"/>
          </w:tcPr>
          <w:p w14:paraId="753E7597"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Висока</w:t>
            </w:r>
          </w:p>
        </w:tc>
        <w:tc>
          <w:tcPr>
            <w:tcW w:w="3650" w:type="dxa"/>
            <w:vAlign w:val="center"/>
          </w:tcPr>
          <w:p w14:paraId="78321398" w14:textId="77777777" w:rsidR="00532C25" w:rsidRPr="00511005" w:rsidRDefault="00532C25" w:rsidP="006E3306">
            <w:pPr>
              <w:tabs>
                <w:tab w:val="left" w:pos="709"/>
              </w:tabs>
              <w:spacing w:line="264" w:lineRule="auto"/>
              <w:ind w:firstLine="0"/>
              <w:jc w:val="center"/>
              <w:rPr>
                <w:rFonts w:ascii="Arial" w:hAnsi="Arial" w:cs="Arial"/>
                <w:szCs w:val="28"/>
                <w:lang w:val="uk-UA"/>
              </w:rPr>
            </w:pPr>
            <w:r w:rsidRPr="00511005">
              <w:rPr>
                <w:rFonts w:ascii="Arial" w:hAnsi="Arial" w:cs="Arial"/>
                <w:szCs w:val="28"/>
                <w:lang w:val="uk-UA"/>
              </w:rPr>
              <w:t>Низька</w:t>
            </w:r>
          </w:p>
        </w:tc>
      </w:tr>
    </w:tbl>
    <w:p w14:paraId="49774892"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t>Незважаючи на те, що більшість профільних спеціалістів вважають, що з мовою асемблера треба прощаватись, насамперед, вона залишається затребуваною у таких галузях:</w:t>
      </w:r>
    </w:p>
    <w:p w14:paraId="0027DA6A"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квантові комп’ютери – для написання інструкцій для квантових процесорів (наприклад QASM);</w:t>
      </w:r>
    </w:p>
    <w:p w14:paraId="13F2D207"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Інтернет речей (IoT) – для оптимізації енергоспоживання сенсорів;</w:t>
      </w:r>
    </w:p>
    <w:p w14:paraId="65700EE3" w14:textId="77777777" w:rsidR="00532C25" w:rsidRPr="00511005" w:rsidRDefault="00532C25" w:rsidP="003F6A5D">
      <w:pPr>
        <w:numPr>
          <w:ilvl w:val="0"/>
          <w:numId w:val="708"/>
        </w:numPr>
        <w:tabs>
          <w:tab w:val="left" w:pos="993"/>
        </w:tabs>
        <w:spacing w:line="264" w:lineRule="auto"/>
        <w:ind w:left="0" w:firstLine="709"/>
        <w:contextualSpacing/>
        <w:rPr>
          <w:rFonts w:ascii="Arial" w:eastAsia="Calibri" w:hAnsi="Arial" w:cs="Arial"/>
          <w:szCs w:val="28"/>
          <w:lang w:val="uk-UA"/>
        </w:rPr>
      </w:pPr>
      <w:r w:rsidRPr="00511005">
        <w:rPr>
          <w:rFonts w:ascii="Arial" w:eastAsia="Calibri" w:hAnsi="Arial" w:cs="Arial"/>
          <w:szCs w:val="28"/>
          <w:lang w:val="uk-UA"/>
        </w:rPr>
        <w:t>Криптографія – для реалізації алгоритмів з мінімальним часом виконання (наприклад, AES та інших).</w:t>
      </w:r>
    </w:p>
    <w:p w14:paraId="16F81974" w14:textId="77777777" w:rsidR="00532C25" w:rsidRPr="00511005" w:rsidRDefault="00532C25" w:rsidP="00532C25">
      <w:pPr>
        <w:tabs>
          <w:tab w:val="left" w:pos="709"/>
        </w:tabs>
        <w:spacing w:line="264" w:lineRule="auto"/>
        <w:rPr>
          <w:rFonts w:ascii="Arial" w:eastAsia="Calibri" w:hAnsi="Arial" w:cs="Arial"/>
          <w:szCs w:val="28"/>
          <w:lang w:val="uk-UA"/>
        </w:rPr>
      </w:pPr>
      <w:r w:rsidRPr="00511005">
        <w:rPr>
          <w:rFonts w:ascii="Arial" w:eastAsia="Calibri" w:hAnsi="Arial" w:cs="Arial"/>
          <w:szCs w:val="28"/>
          <w:lang w:val="uk-UA"/>
        </w:rPr>
        <w:lastRenderedPageBreak/>
        <w:t>Підсумовуючи можна стверджувати, що мова асемблера залишається затребуваною у системному програмуванні, де необхідно мати поглиблений контроль над апаратними ресурсами. Його вивчення вдосконалює та доповнює технічні знання та навички, формує системне мислення, яке необхідне для розробки складних IT-рішень [3]. Як писав Нестеренко С. О. – “Без розуміння асемблера неможливо стати експертом у комп’ютерних технологіях” [2, с. 159].</w:t>
      </w:r>
    </w:p>
    <w:p w14:paraId="46F52DEA" w14:textId="77777777" w:rsidR="00532C25" w:rsidRPr="00511005" w:rsidRDefault="00532C25" w:rsidP="00532C25">
      <w:pPr>
        <w:tabs>
          <w:tab w:val="left" w:pos="709"/>
        </w:tabs>
        <w:spacing w:line="264" w:lineRule="auto"/>
        <w:rPr>
          <w:rFonts w:ascii="Arial" w:eastAsia="Calibri" w:hAnsi="Arial" w:cs="Arial"/>
          <w:szCs w:val="28"/>
          <w:lang w:val="uk-UA"/>
        </w:rPr>
      </w:pPr>
    </w:p>
    <w:p w14:paraId="46EF3B61" w14:textId="77777777" w:rsidR="00532C25" w:rsidRPr="00511005" w:rsidRDefault="00532C25" w:rsidP="00532C25">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62C5DC1E"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1. Іщерков С. М. Основи мови асемблер. 2004 р. Івано-Франківськ. 52 с. URL: https://xp4stm90bvzr.frontroute.org/s11/6/1/6/1/6/61616.pdf.</w:t>
      </w:r>
      <w:r w:rsidRPr="00511005">
        <w:rPr>
          <w:rFonts w:ascii="Arial" w:eastAsia="Calibri" w:hAnsi="Arial" w:cs="Arial"/>
          <w:szCs w:val="28"/>
        </w:rPr>
        <w:t xml:space="preserve"> </w:t>
      </w:r>
    </w:p>
    <w:p w14:paraId="5B9A499B"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2. Нестеренко С. О. Системне програмування. Архітектура ПК та асемблер MASM32. 2018 р. Чернігів. 163 с. URL: https://surl.li/wsjeub. </w:t>
      </w:r>
    </w:p>
    <w:p w14:paraId="4906AFED" w14:textId="77777777" w:rsidR="00532C25" w:rsidRPr="00511005" w:rsidRDefault="00532C25" w:rsidP="00532C25">
      <w:pPr>
        <w:spacing w:line="264" w:lineRule="auto"/>
        <w:rPr>
          <w:rFonts w:ascii="Arial" w:eastAsia="Calibri" w:hAnsi="Arial" w:cs="Arial"/>
          <w:szCs w:val="28"/>
          <w:lang w:val="uk-UA"/>
        </w:rPr>
      </w:pPr>
      <w:r w:rsidRPr="00511005">
        <w:rPr>
          <w:rFonts w:ascii="Arial" w:eastAsia="Calibri" w:hAnsi="Arial" w:cs="Arial"/>
          <w:szCs w:val="28"/>
          <w:lang w:val="uk-UA"/>
        </w:rPr>
        <w:t xml:space="preserve">3. Мова асемблера – Вікіпедія. URL: https://surl.lu/wsivzj. </w:t>
      </w:r>
    </w:p>
    <w:p w14:paraId="2097F12A" w14:textId="77777777" w:rsidR="00532C25" w:rsidRPr="00511005" w:rsidRDefault="00532C25" w:rsidP="00532C25">
      <w:pPr>
        <w:spacing w:line="264" w:lineRule="auto"/>
        <w:contextualSpacing/>
        <w:rPr>
          <w:rFonts w:ascii="Arial" w:eastAsia="Calibri" w:hAnsi="Arial" w:cs="Arial"/>
          <w:szCs w:val="28"/>
          <w:lang w:val="uk-UA"/>
        </w:rPr>
      </w:pPr>
      <w:r w:rsidRPr="00511005">
        <w:rPr>
          <w:rFonts w:ascii="Arial" w:eastAsia="Calibri" w:hAnsi="Arial" w:cs="Arial"/>
          <w:b/>
          <w:bCs/>
          <w:i/>
          <w:iCs/>
          <w:szCs w:val="28"/>
          <w:lang w:val="uk-UA"/>
        </w:rPr>
        <w:t xml:space="preserve">Ключові слова: </w:t>
      </w:r>
      <w:r w:rsidRPr="00511005">
        <w:rPr>
          <w:rFonts w:ascii="Arial" w:eastAsia="Calibri" w:hAnsi="Arial" w:cs="Arial"/>
          <w:szCs w:val="28"/>
          <w:lang w:val="uk-UA"/>
        </w:rPr>
        <w:t>асемблер, інструмент, програмний код, відмінності мови асемблера.</w:t>
      </w:r>
    </w:p>
    <w:p w14:paraId="000B987A" w14:textId="77777777" w:rsidR="00532C25" w:rsidRPr="00511005" w:rsidRDefault="00532C25" w:rsidP="00532C25">
      <w:pPr>
        <w:spacing w:line="264" w:lineRule="auto"/>
        <w:contextualSpacing/>
        <w:rPr>
          <w:rFonts w:ascii="Arial" w:eastAsia="Calibri" w:hAnsi="Arial" w:cs="Arial"/>
          <w:szCs w:val="28"/>
          <w:lang w:val="uk-UA"/>
        </w:rPr>
      </w:pPr>
      <w:r w:rsidRPr="00511005">
        <w:rPr>
          <w:rFonts w:ascii="Arial" w:eastAsia="Calibri" w:hAnsi="Arial" w:cs="Arial"/>
          <w:b/>
          <w:bCs/>
          <w:i/>
          <w:iCs/>
          <w:szCs w:val="28"/>
          <w:lang w:val="uk-UA"/>
        </w:rPr>
        <w:t xml:space="preserve">Key words: </w:t>
      </w:r>
      <w:r w:rsidRPr="00511005">
        <w:rPr>
          <w:rFonts w:ascii="Arial" w:eastAsia="Calibri" w:hAnsi="Arial" w:cs="Arial"/>
          <w:szCs w:val="28"/>
          <w:lang w:val="uk-UA"/>
        </w:rPr>
        <w:t>assembler, tool, program code, assembly language differences.</w:t>
      </w:r>
    </w:p>
    <w:p w14:paraId="57E526FB" w14:textId="77777777" w:rsidR="00532C25" w:rsidRPr="00511005" w:rsidRDefault="00532C25" w:rsidP="00532C25">
      <w:pPr>
        <w:spacing w:line="264" w:lineRule="auto"/>
        <w:ind w:firstLine="708"/>
        <w:contextualSpacing/>
        <w:rPr>
          <w:rFonts w:ascii="Arial" w:eastAsia="Calibri" w:hAnsi="Arial" w:cs="Arial"/>
          <w:szCs w:val="28"/>
          <w:lang w:val="uk-UA"/>
        </w:rPr>
      </w:pPr>
      <w:bookmarkStart w:id="293" w:name="_Hlk197673550"/>
      <w:r w:rsidRPr="00511005">
        <w:rPr>
          <w:rFonts w:ascii="Arial" w:eastAsia="Times New Roman" w:hAnsi="Arial" w:cs="Arial"/>
          <w:b/>
          <w:bCs/>
          <w:i/>
          <w:iCs/>
          <w:szCs w:val="28"/>
          <w:shd w:val="clear" w:color="auto" w:fill="FFFFFF"/>
        </w:rPr>
        <w:t xml:space="preserve">Науковий керівник: </w:t>
      </w:r>
      <w:r w:rsidRPr="00511005">
        <w:rPr>
          <w:rFonts w:ascii="Arial" w:eastAsia="Times New Roman" w:hAnsi="Arial" w:cs="Arial"/>
          <w:bCs/>
          <w:szCs w:val="28"/>
          <w:shd w:val="clear" w:color="auto" w:fill="FFFFFF"/>
        </w:rPr>
        <w:t>к.т.н., доц. Задерейко О. В.</w:t>
      </w:r>
      <w:bookmarkEnd w:id="293"/>
    </w:p>
    <w:p w14:paraId="0D1560E7" w14:textId="77777777" w:rsidR="00532C25" w:rsidRPr="00511005" w:rsidRDefault="00532C25" w:rsidP="00532C25">
      <w:pPr>
        <w:spacing w:line="264" w:lineRule="auto"/>
        <w:ind w:firstLine="0"/>
        <w:rPr>
          <w:rFonts w:ascii="Arial" w:eastAsia="Calibri" w:hAnsi="Arial" w:cs="Arial"/>
          <w:szCs w:val="28"/>
        </w:rPr>
      </w:pPr>
    </w:p>
    <w:p w14:paraId="08332662" w14:textId="77777777" w:rsidR="00532C25" w:rsidRPr="00511005" w:rsidRDefault="00532C25" w:rsidP="00532C25">
      <w:pPr>
        <w:keepNext/>
        <w:spacing w:line="264" w:lineRule="auto"/>
        <w:ind w:firstLine="0"/>
        <w:rPr>
          <w:rFonts w:ascii="Arial" w:eastAsia="Times New Roman" w:hAnsi="Arial" w:cs="Arial"/>
          <w:szCs w:val="28"/>
          <w:lang w:eastAsia="ru-RU"/>
        </w:rPr>
      </w:pPr>
    </w:p>
    <w:p w14:paraId="2D543460" w14:textId="77777777" w:rsidR="00532C25" w:rsidRPr="00511005" w:rsidRDefault="00532C25" w:rsidP="00532C25">
      <w:pPr>
        <w:keepNext/>
        <w:spacing w:line="264" w:lineRule="auto"/>
        <w:ind w:firstLine="0"/>
        <w:jc w:val="left"/>
        <w:rPr>
          <w:rFonts w:ascii="Arial" w:eastAsia="NSimSun" w:hAnsi="Arial" w:cs="Arial"/>
          <w:kern w:val="2"/>
          <w:szCs w:val="28"/>
          <w:lang w:val="uk-UA" w:eastAsia="zh-CN" w:bidi="hi-IN"/>
        </w:rPr>
      </w:pPr>
      <w:r w:rsidRPr="00511005">
        <w:rPr>
          <w:rFonts w:ascii="Arial" w:hAnsi="Arial" w:cs="Arial"/>
          <w:szCs w:val="28"/>
          <w:lang w:val="uk-UA"/>
        </w:rPr>
        <w:br w:type="page"/>
      </w:r>
    </w:p>
    <w:p w14:paraId="126A1840" w14:textId="77777777" w:rsidR="00532C25" w:rsidRPr="00511005" w:rsidRDefault="00532C25" w:rsidP="00532C25">
      <w:pPr>
        <w:keepNext/>
        <w:suppressAutoHyphens/>
        <w:spacing w:line="264" w:lineRule="auto"/>
        <w:ind w:firstLine="0"/>
        <w:jc w:val="left"/>
        <w:rPr>
          <w:rFonts w:ascii="Arial" w:hAnsi="Arial" w:cs="Arial"/>
          <w:szCs w:val="28"/>
          <w:lang w:val="uk-UA"/>
        </w:rPr>
      </w:pPr>
    </w:p>
    <w:p w14:paraId="2BA690D3" w14:textId="30BDB68C" w:rsidR="003F5D68" w:rsidRPr="00511005" w:rsidRDefault="003F5D68" w:rsidP="003A292D">
      <w:pPr>
        <w:pStyle w:val="aa"/>
        <w:spacing w:before="0" w:after="0" w:line="264" w:lineRule="auto"/>
        <w:rPr>
          <w:rFonts w:ascii="Arial" w:hAnsi="Arial" w:cs="Arial"/>
          <w:color w:val="auto"/>
          <w:sz w:val="28"/>
          <w:szCs w:val="28"/>
        </w:rPr>
      </w:pPr>
      <w:bookmarkStart w:id="294" w:name="_Toc208299009"/>
      <w:r w:rsidRPr="00511005">
        <w:rPr>
          <w:rFonts w:ascii="Arial" w:hAnsi="Arial" w:cs="Arial"/>
          <w:color w:val="auto"/>
          <w:sz w:val="28"/>
          <w:szCs w:val="28"/>
        </w:rPr>
        <w:t xml:space="preserve">СЕКЦІЯ </w:t>
      </w:r>
      <w:r w:rsidR="00256A2F" w:rsidRPr="00511005">
        <w:rPr>
          <w:rFonts w:ascii="Arial" w:hAnsi="Arial" w:cs="Arial"/>
          <w:color w:val="auto"/>
          <w:sz w:val="28"/>
          <w:szCs w:val="28"/>
          <w:lang w:val="ru-RU"/>
        </w:rPr>
        <w:t>1</w:t>
      </w:r>
      <w:r w:rsidR="00532C25">
        <w:rPr>
          <w:rFonts w:ascii="Arial" w:hAnsi="Arial" w:cs="Arial"/>
          <w:color w:val="auto"/>
          <w:sz w:val="28"/>
          <w:szCs w:val="28"/>
          <w:lang w:val="en-US"/>
        </w:rPr>
        <w:t>8</w:t>
      </w:r>
      <w:r w:rsidR="00256A2F" w:rsidRPr="00511005">
        <w:rPr>
          <w:rFonts w:ascii="Arial" w:hAnsi="Arial" w:cs="Arial"/>
          <w:color w:val="auto"/>
          <w:sz w:val="28"/>
          <w:szCs w:val="28"/>
          <w:lang w:val="ru-RU"/>
        </w:rPr>
        <w:t>. ЕКОНОМІКО-ПРАВОВІ ЗАСАДИ РОЗВИТКУ УКРАЇНИ</w:t>
      </w:r>
      <w:bookmarkEnd w:id="294"/>
      <w:r w:rsidR="00256A2F" w:rsidRPr="00511005">
        <w:rPr>
          <w:rFonts w:ascii="Arial" w:hAnsi="Arial" w:cs="Arial"/>
          <w:color w:val="auto"/>
          <w:sz w:val="28"/>
          <w:szCs w:val="28"/>
        </w:rPr>
        <w:t xml:space="preserve"> </w:t>
      </w:r>
    </w:p>
    <w:p w14:paraId="300EB60F" w14:textId="1810C738" w:rsidR="003F5D68" w:rsidRPr="00511005" w:rsidRDefault="003F5D68" w:rsidP="003A292D">
      <w:pPr>
        <w:keepNext/>
        <w:spacing w:line="264" w:lineRule="auto"/>
        <w:ind w:firstLine="0"/>
        <w:jc w:val="left"/>
        <w:rPr>
          <w:rFonts w:ascii="Arial" w:hAnsi="Arial" w:cs="Arial"/>
          <w:szCs w:val="28"/>
        </w:rPr>
      </w:pPr>
    </w:p>
    <w:p w14:paraId="54D27E66" w14:textId="77777777" w:rsidR="00AE57E7" w:rsidRPr="00511005" w:rsidRDefault="00AE57E7" w:rsidP="003A292D">
      <w:pPr>
        <w:spacing w:line="264" w:lineRule="auto"/>
        <w:ind w:firstLine="0"/>
        <w:jc w:val="center"/>
        <w:rPr>
          <w:rFonts w:ascii="Arial" w:eastAsia="Calibri" w:hAnsi="Arial" w:cs="Arial"/>
          <w:b/>
          <w:bCs/>
          <w:i/>
          <w:kern w:val="2"/>
          <w:szCs w:val="28"/>
          <w:lang w:val="uk-UA"/>
          <w14:ligatures w14:val="standardContextual"/>
        </w:rPr>
      </w:pPr>
      <w:r w:rsidRPr="00511005">
        <w:rPr>
          <w:rFonts w:ascii="Arial" w:eastAsia="Calibri" w:hAnsi="Arial" w:cs="Arial"/>
          <w:b/>
          <w:bCs/>
          <w:i/>
          <w:kern w:val="2"/>
          <w:szCs w:val="28"/>
          <w:lang w:val="uk-UA"/>
          <w14:ligatures w14:val="standardContextual"/>
        </w:rPr>
        <w:t>Безгі</w:t>
      </w:r>
      <w:r w:rsidRPr="00511005">
        <w:rPr>
          <w:rFonts w:ascii="Arial" w:eastAsia="Malgun Gothic" w:hAnsi="Arial" w:cs="Arial"/>
          <w:b/>
          <w:bCs/>
          <w:i/>
          <w:kern w:val="2"/>
          <w:szCs w:val="28"/>
          <w:lang w:val="uk-UA"/>
          <w14:ligatures w14:val="standardContextual"/>
        </w:rPr>
        <w:t>нова</w:t>
      </w:r>
      <w:r w:rsidRPr="00511005">
        <w:rPr>
          <w:rFonts w:ascii="Arial" w:eastAsia="Calibri" w:hAnsi="Arial" w:cs="Arial"/>
          <w:b/>
          <w:bCs/>
          <w:i/>
          <w:kern w:val="2"/>
          <w:szCs w:val="28"/>
          <w:lang w:val="uk-UA"/>
          <w14:ligatures w14:val="standardContextual"/>
        </w:rPr>
        <w:t xml:space="preserve"> </w:t>
      </w:r>
      <w:r w:rsidRPr="00511005">
        <w:rPr>
          <w:rFonts w:ascii="Arial" w:eastAsia="Malgun Gothic" w:hAnsi="Arial" w:cs="Arial"/>
          <w:b/>
          <w:bCs/>
          <w:i/>
          <w:kern w:val="2"/>
          <w:szCs w:val="28"/>
          <w:lang w:val="uk-UA"/>
          <w14:ligatures w14:val="standardContextual"/>
        </w:rPr>
        <w:t>Карина</w:t>
      </w:r>
      <w:r w:rsidRPr="00511005">
        <w:rPr>
          <w:rFonts w:ascii="Arial" w:eastAsia="Calibri" w:hAnsi="Arial" w:cs="Arial"/>
          <w:b/>
          <w:bCs/>
          <w:i/>
          <w:kern w:val="2"/>
          <w:szCs w:val="28"/>
          <w:lang w:val="uk-UA"/>
          <w14:ligatures w14:val="standardContextual"/>
        </w:rPr>
        <w:t xml:space="preserve"> </w:t>
      </w:r>
      <w:r w:rsidRPr="00511005">
        <w:rPr>
          <w:rFonts w:ascii="Arial" w:eastAsia="Malgun Gothic" w:hAnsi="Arial" w:cs="Arial"/>
          <w:b/>
          <w:bCs/>
          <w:i/>
          <w:kern w:val="2"/>
          <w:szCs w:val="28"/>
          <w:lang w:val="uk-UA"/>
          <w14:ligatures w14:val="standardContextual"/>
        </w:rPr>
        <w:t>Павл</w:t>
      </w:r>
      <w:r w:rsidRPr="00511005">
        <w:rPr>
          <w:rFonts w:ascii="Arial" w:eastAsia="Calibri" w:hAnsi="Arial" w:cs="Arial"/>
          <w:b/>
          <w:bCs/>
          <w:i/>
          <w:kern w:val="2"/>
          <w:szCs w:val="28"/>
          <w:lang w:val="uk-UA"/>
          <w14:ligatures w14:val="standardContextual"/>
        </w:rPr>
        <w:t>і</w:t>
      </w:r>
      <w:r w:rsidRPr="00511005">
        <w:rPr>
          <w:rFonts w:ascii="Arial" w:eastAsia="Malgun Gothic" w:hAnsi="Arial" w:cs="Arial"/>
          <w:b/>
          <w:bCs/>
          <w:i/>
          <w:kern w:val="2"/>
          <w:szCs w:val="28"/>
          <w:lang w:val="uk-UA"/>
          <w14:ligatures w14:val="standardContextual"/>
        </w:rPr>
        <w:t>вна</w:t>
      </w:r>
    </w:p>
    <w:p w14:paraId="2A47F70F" w14:textId="0E6D16C8" w:rsidR="00AE57E7" w:rsidRPr="00511005" w:rsidRDefault="00536AAB" w:rsidP="003A292D">
      <w:pPr>
        <w:spacing w:line="264" w:lineRule="auto"/>
        <w:ind w:firstLine="0"/>
        <w:jc w:val="center"/>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студентка 4-го курсу факультету адвокатури та антикорупційної діяльності</w:t>
      </w:r>
    </w:p>
    <w:p w14:paraId="25DDB26C" w14:textId="3EBA13F4" w:rsidR="00AE57E7" w:rsidRPr="00511005" w:rsidRDefault="007B2628" w:rsidP="003A292D">
      <w:pPr>
        <w:spacing w:line="264" w:lineRule="auto"/>
        <w:ind w:firstLine="0"/>
        <w:jc w:val="center"/>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Національного університету «Одеська юридична академія»</w:t>
      </w:r>
    </w:p>
    <w:p w14:paraId="4512A703" w14:textId="77777777" w:rsidR="00AE57E7" w:rsidRPr="00511005" w:rsidRDefault="00AE57E7" w:rsidP="003A292D">
      <w:pPr>
        <w:spacing w:line="264" w:lineRule="auto"/>
        <w:ind w:firstLine="0"/>
        <w:jc w:val="center"/>
        <w:rPr>
          <w:rFonts w:ascii="Arial" w:eastAsia="Calibri" w:hAnsi="Arial" w:cs="Arial"/>
          <w:kern w:val="2"/>
          <w:szCs w:val="28"/>
          <w:lang w:val="uk-UA"/>
          <w14:ligatures w14:val="standardContextual"/>
        </w:rPr>
      </w:pPr>
    </w:p>
    <w:p w14:paraId="779DE665" w14:textId="77777777" w:rsidR="00AE57E7" w:rsidRPr="00511005" w:rsidRDefault="00AE57E7" w:rsidP="003A292D">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РОЛЬ СОЦІ</w:t>
      </w:r>
      <w:r w:rsidRPr="00511005">
        <w:rPr>
          <w:rFonts w:ascii="Arial" w:eastAsia="Malgun Gothic" w:hAnsi="Arial" w:cs="Arial"/>
          <w:b/>
          <w:bCs/>
          <w:kern w:val="2"/>
          <w:szCs w:val="28"/>
          <w:lang w:val="uk-UA"/>
          <w14:ligatures w14:val="standardContextual"/>
        </w:rPr>
        <w:t>АЛЬНИХ</w:t>
      </w:r>
      <w:r w:rsidRPr="00511005">
        <w:rPr>
          <w:rFonts w:ascii="Arial" w:eastAsia="Calibri" w:hAnsi="Arial" w:cs="Arial"/>
          <w:b/>
          <w:bCs/>
          <w:kern w:val="2"/>
          <w:szCs w:val="28"/>
          <w:lang w:val="uk-UA"/>
          <w14:ligatures w14:val="standardContextual"/>
        </w:rPr>
        <w:t xml:space="preserve"> </w:t>
      </w:r>
      <w:r w:rsidRPr="00511005">
        <w:rPr>
          <w:rFonts w:ascii="Arial" w:eastAsia="Malgun Gothic" w:hAnsi="Arial" w:cs="Arial"/>
          <w:b/>
          <w:bCs/>
          <w:kern w:val="2"/>
          <w:szCs w:val="28"/>
          <w:lang w:val="uk-UA"/>
          <w14:ligatures w14:val="standardContextual"/>
        </w:rPr>
        <w:t>МЕРЕЖ</w:t>
      </w:r>
      <w:r w:rsidRPr="00511005">
        <w:rPr>
          <w:rFonts w:ascii="Arial" w:eastAsia="Calibri" w:hAnsi="Arial" w:cs="Arial"/>
          <w:b/>
          <w:bCs/>
          <w:kern w:val="2"/>
          <w:szCs w:val="28"/>
          <w:lang w:val="uk-UA"/>
          <w14:ligatures w14:val="standardContextual"/>
        </w:rPr>
        <w:t xml:space="preserve"> </w:t>
      </w:r>
      <w:r w:rsidRPr="00511005">
        <w:rPr>
          <w:rFonts w:ascii="Arial" w:eastAsia="Malgun Gothic" w:hAnsi="Arial" w:cs="Arial"/>
          <w:b/>
          <w:bCs/>
          <w:kern w:val="2"/>
          <w:szCs w:val="28"/>
          <w:lang w:val="uk-UA"/>
          <w14:ligatures w14:val="standardContextual"/>
        </w:rPr>
        <w:t>У</w:t>
      </w:r>
      <w:r w:rsidRPr="00511005">
        <w:rPr>
          <w:rFonts w:ascii="Arial" w:eastAsia="Calibri" w:hAnsi="Arial" w:cs="Arial"/>
          <w:b/>
          <w:bCs/>
          <w:kern w:val="2"/>
          <w:szCs w:val="28"/>
          <w:lang w:val="uk-UA"/>
          <w14:ligatures w14:val="standardContextual"/>
        </w:rPr>
        <w:t xml:space="preserve"> </w:t>
      </w:r>
      <w:r w:rsidRPr="00511005">
        <w:rPr>
          <w:rFonts w:ascii="Arial" w:eastAsia="Malgun Gothic" w:hAnsi="Arial" w:cs="Arial"/>
          <w:b/>
          <w:bCs/>
          <w:kern w:val="2"/>
          <w:szCs w:val="28"/>
          <w:lang w:val="uk-UA"/>
          <w14:ligatures w14:val="standardContextual"/>
        </w:rPr>
        <w:t>ЗМ</w:t>
      </w:r>
      <w:r w:rsidRPr="00511005">
        <w:rPr>
          <w:rFonts w:ascii="Arial" w:eastAsia="Calibri" w:hAnsi="Arial" w:cs="Arial"/>
          <w:b/>
          <w:bCs/>
          <w:kern w:val="2"/>
          <w:szCs w:val="28"/>
          <w:lang w:val="uk-UA"/>
          <w14:ligatures w14:val="standardContextual"/>
        </w:rPr>
        <w:t>І</w:t>
      </w:r>
      <w:r w:rsidRPr="00511005">
        <w:rPr>
          <w:rFonts w:ascii="Arial" w:eastAsia="Malgun Gothic" w:hAnsi="Arial" w:cs="Arial"/>
          <w:b/>
          <w:bCs/>
          <w:kern w:val="2"/>
          <w:szCs w:val="28"/>
          <w:lang w:val="uk-UA"/>
          <w14:ligatures w14:val="standardContextual"/>
        </w:rPr>
        <w:t>Н</w:t>
      </w:r>
      <w:r w:rsidRPr="00511005">
        <w:rPr>
          <w:rFonts w:ascii="Arial" w:eastAsia="Calibri" w:hAnsi="Arial" w:cs="Arial"/>
          <w:b/>
          <w:bCs/>
          <w:kern w:val="2"/>
          <w:szCs w:val="28"/>
          <w:lang w:val="uk-UA"/>
          <w14:ligatures w14:val="standardContextual"/>
        </w:rPr>
        <w:t xml:space="preserve">І </w:t>
      </w:r>
      <w:r w:rsidRPr="00511005">
        <w:rPr>
          <w:rFonts w:ascii="Arial" w:eastAsia="Malgun Gothic" w:hAnsi="Arial" w:cs="Arial"/>
          <w:b/>
          <w:bCs/>
          <w:kern w:val="2"/>
          <w:szCs w:val="28"/>
          <w:lang w:val="uk-UA"/>
          <w14:ligatures w14:val="standardContextual"/>
        </w:rPr>
        <w:t>СТРАТЕГ</w:t>
      </w:r>
      <w:r w:rsidRPr="00511005">
        <w:rPr>
          <w:rFonts w:ascii="Arial" w:eastAsia="Calibri" w:hAnsi="Arial" w:cs="Arial"/>
          <w:b/>
          <w:bCs/>
          <w:kern w:val="2"/>
          <w:szCs w:val="28"/>
          <w:lang w:val="uk-UA"/>
          <w14:ligatures w14:val="standardContextual"/>
        </w:rPr>
        <w:t>І</w:t>
      </w:r>
      <w:r w:rsidRPr="00511005">
        <w:rPr>
          <w:rFonts w:ascii="Arial" w:eastAsia="Malgun Gothic" w:hAnsi="Arial" w:cs="Arial"/>
          <w:b/>
          <w:bCs/>
          <w:kern w:val="2"/>
          <w:szCs w:val="28"/>
          <w:lang w:val="uk-UA"/>
          <w14:ligatures w14:val="standardContextual"/>
        </w:rPr>
        <w:t>Й</w:t>
      </w:r>
      <w:r w:rsidRPr="00511005">
        <w:rPr>
          <w:rFonts w:ascii="Arial" w:eastAsia="Calibri" w:hAnsi="Arial" w:cs="Arial"/>
          <w:b/>
          <w:bCs/>
          <w:kern w:val="2"/>
          <w:szCs w:val="28"/>
          <w:lang w:val="uk-UA"/>
          <w14:ligatures w14:val="standardContextual"/>
        </w:rPr>
        <w:t xml:space="preserve"> І</w:t>
      </w:r>
      <w:r w:rsidRPr="00511005">
        <w:rPr>
          <w:rFonts w:ascii="Arial" w:eastAsia="Malgun Gothic" w:hAnsi="Arial" w:cs="Arial"/>
          <w:b/>
          <w:bCs/>
          <w:kern w:val="2"/>
          <w:szCs w:val="28"/>
          <w:lang w:val="uk-UA"/>
          <w14:ligatures w14:val="standardContextual"/>
        </w:rPr>
        <w:t>НТЕРНЕТ</w:t>
      </w:r>
      <w:r w:rsidRPr="00511005">
        <w:rPr>
          <w:rFonts w:ascii="Arial" w:eastAsia="Calibri" w:hAnsi="Arial" w:cs="Arial"/>
          <w:b/>
          <w:bCs/>
          <w:kern w:val="2"/>
          <w:szCs w:val="28"/>
          <w:lang w:val="uk-UA"/>
          <w14:ligatures w14:val="standardContextual"/>
        </w:rPr>
        <w:t>-</w:t>
      </w:r>
      <w:r w:rsidRPr="00511005">
        <w:rPr>
          <w:rFonts w:ascii="Arial" w:eastAsia="Malgun Gothic" w:hAnsi="Arial" w:cs="Arial"/>
          <w:b/>
          <w:bCs/>
          <w:kern w:val="2"/>
          <w:szCs w:val="28"/>
          <w:lang w:val="uk-UA"/>
          <w14:ligatures w14:val="standardContextual"/>
        </w:rPr>
        <w:t>МАРКЕТИНГУ</w:t>
      </w:r>
    </w:p>
    <w:p w14:paraId="7F9C9564"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У контексті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економ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w:t>
      </w:r>
      <w:r w:rsidRPr="00511005">
        <w:rPr>
          <w:rFonts w:ascii="Arial" w:eastAsia="Calibri" w:hAnsi="Arial" w:cs="Arial"/>
          <w:kern w:val="2"/>
          <w:szCs w:val="28"/>
          <w:lang w:val="uk-UA"/>
          <w14:ligatures w14:val="standardContextual"/>
        </w:rPr>
        <w:t xml:space="preserve">і мережі </w:t>
      </w:r>
      <w:r w:rsidRPr="00511005">
        <w:rPr>
          <w:rFonts w:ascii="Arial" w:eastAsia="Malgun Gothic" w:hAnsi="Arial" w:cs="Arial"/>
          <w:kern w:val="2"/>
          <w:szCs w:val="28"/>
          <w:lang w:val="uk-UA"/>
          <w14:ligatures w14:val="standardContextual"/>
        </w:rPr>
        <w:t>перетворилися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чний</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нструмент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маркетингових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вплива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повед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споживач</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але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трансформац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моделей</w:t>
      </w:r>
      <w:r w:rsidRPr="00511005">
        <w:rPr>
          <w:rFonts w:ascii="Arial" w:eastAsia="Calibri" w:hAnsi="Arial" w:cs="Arial"/>
          <w:kern w:val="2"/>
          <w:szCs w:val="28"/>
          <w:lang w:val="uk-UA"/>
          <w14:ligatures w14:val="standardContextual"/>
        </w:rPr>
        <w:t>. Ї</w:t>
      </w:r>
      <w:r w:rsidRPr="00511005">
        <w:rPr>
          <w:rFonts w:ascii="Arial" w:eastAsia="Malgun Gothic" w:hAnsi="Arial" w:cs="Arial"/>
          <w:kern w:val="2"/>
          <w:szCs w:val="28"/>
          <w:lang w:val="uk-UA"/>
          <w14:ligatures w14:val="standardContextual"/>
        </w:rPr>
        <w:t>хня</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нтерактивн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зуальна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динам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потенц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зованого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контенту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створюють</w:t>
      </w:r>
      <w:r w:rsidRPr="00511005">
        <w:rPr>
          <w:rFonts w:ascii="Arial" w:eastAsia="Calibri" w:hAnsi="Arial" w:cs="Arial"/>
          <w:kern w:val="2"/>
          <w:szCs w:val="28"/>
          <w:lang w:val="uk-UA"/>
          <w14:ligatures w14:val="standardContextual"/>
        </w:rPr>
        <w:t xml:space="preserve"> нову які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вза</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мод</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брендами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аудитор</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Особливо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актуальност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процеси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набувають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умовах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коли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змушений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адаптуватися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турбулентного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середовища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збер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гаючи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споживач</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зм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цнюючи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конкурентоспроможн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w:t>
      </w:r>
    </w:p>
    <w:p w14:paraId="351C2254"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Роль соці</w:t>
      </w:r>
      <w:r w:rsidRPr="00511005">
        <w:rPr>
          <w:rFonts w:ascii="Arial" w:eastAsia="Malgun Gothic" w:hAnsi="Arial" w:cs="Arial"/>
          <w:kern w:val="2"/>
          <w:szCs w:val="28"/>
          <w:lang w:val="uk-UA"/>
          <w14:ligatures w14:val="standardContextual"/>
        </w:rPr>
        <w:t>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мереж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формуванн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маркетингово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базу</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концепц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нтерактивного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маркетингу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кап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талу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емоц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брендингу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межах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парадигми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маркетингов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зусилля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фокусуються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продажу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побудов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вготривалих взає</w:t>
      </w:r>
      <w:r w:rsidRPr="00511005">
        <w:rPr>
          <w:rFonts w:ascii="Arial" w:eastAsia="Malgun Gothic" w:hAnsi="Arial" w:cs="Arial"/>
          <w:kern w:val="2"/>
          <w:szCs w:val="28"/>
          <w:lang w:val="uk-UA"/>
          <w14:ligatures w14:val="standardContextual"/>
        </w:rPr>
        <w:t>мин</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ключову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роль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гра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контент</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ор</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нтована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юн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ор</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нтована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модель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вза</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мод</w:t>
      </w:r>
      <w:r w:rsidRPr="00511005">
        <w:rPr>
          <w:rFonts w:ascii="Arial" w:eastAsia="Calibri" w:hAnsi="Arial" w:cs="Arial"/>
          <w:kern w:val="2"/>
          <w:szCs w:val="28"/>
          <w:lang w:val="uk-UA"/>
          <w14:ligatures w14:val="standardContextual"/>
        </w:rPr>
        <w:t>ії.</w:t>
      </w:r>
    </w:p>
    <w:p w14:paraId="135DB3E1"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Сучасні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маркетингу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середовищ</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дедал</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нтуються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концепц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Times New Roman" w:hAnsi="Arial" w:cs="Arial"/>
          <w:kern w:val="2"/>
          <w:szCs w:val="28"/>
          <w:lang w:val="uk-UA"/>
          <w14:ligatures w14:val="standardContextual"/>
        </w:rPr>
        <w:t>SMM (social media marketing)</w:t>
      </w:r>
      <w:r w:rsidRPr="00511005">
        <w:rPr>
          <w:rFonts w:ascii="Arial" w:eastAsia="Calibri" w:hAnsi="Arial" w:cs="Arial"/>
          <w:kern w:val="2"/>
          <w:szCs w:val="28"/>
          <w:lang w:val="uk-UA"/>
          <w14:ligatures w14:val="standardContextual"/>
        </w:rPr>
        <w:t xml:space="preserve"> як ключового чинника побудови бренду, створення кліє</w:t>
      </w:r>
      <w:r w:rsidRPr="00511005">
        <w:rPr>
          <w:rFonts w:ascii="Arial" w:eastAsia="Malgun Gothic" w:hAnsi="Arial" w:cs="Arial"/>
          <w:kern w:val="2"/>
          <w:szCs w:val="28"/>
          <w:lang w:val="uk-UA"/>
          <w14:ligatures w14:val="standardContextual"/>
        </w:rPr>
        <w:t>нтсько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лояльност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стимулювання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продаж</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нструмент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застосування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алгоритм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машинного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навчання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контенту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споживчим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досв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йсн</w:t>
      </w:r>
      <w:r w:rsidRPr="00511005">
        <w:rPr>
          <w:rFonts w:ascii="Arial" w:eastAsia="Calibri" w:hAnsi="Arial" w:cs="Arial"/>
          <w:kern w:val="2"/>
          <w:szCs w:val="28"/>
          <w:lang w:val="uk-UA"/>
          <w14:ligatures w14:val="standardContextual"/>
        </w:rPr>
        <w:t>ювати ці</w:t>
      </w:r>
      <w:r w:rsidRPr="00511005">
        <w:rPr>
          <w:rFonts w:ascii="Arial" w:eastAsia="Malgun Gothic" w:hAnsi="Arial" w:cs="Arial"/>
          <w:kern w:val="2"/>
          <w:szCs w:val="28"/>
          <w:lang w:val="uk-UA"/>
          <w14:ligatures w14:val="standardContextual"/>
        </w:rPr>
        <w:t>леспрямовану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споживачами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реальному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час</w:t>
      </w:r>
      <w:r w:rsidRPr="00511005">
        <w:rPr>
          <w:rFonts w:ascii="Arial" w:eastAsia="Calibri" w:hAnsi="Arial" w:cs="Arial"/>
          <w:kern w:val="2"/>
          <w:szCs w:val="28"/>
          <w:lang w:val="uk-UA"/>
          <w14:ligatures w14:val="standardContextual"/>
        </w:rPr>
        <w:t>і [3].</w:t>
      </w:r>
    </w:p>
    <w:p w14:paraId="0CCA7D88"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Соці</w:t>
      </w:r>
      <w:r w:rsidRPr="00511005">
        <w:rPr>
          <w:rFonts w:ascii="Arial" w:eastAsia="Malgun Gothic" w:hAnsi="Arial" w:cs="Arial"/>
          <w:kern w:val="2"/>
          <w:szCs w:val="28"/>
          <w:lang w:val="uk-UA"/>
          <w14:ligatures w14:val="standardContextual"/>
        </w:rPr>
        <w:t>альн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платформи</w:t>
      </w:r>
      <w:r w:rsidRPr="00511005">
        <w:rPr>
          <w:rFonts w:ascii="Arial" w:eastAsia="Calibri" w:hAnsi="Arial" w:cs="Arial"/>
          <w:kern w:val="2"/>
          <w:szCs w:val="28"/>
          <w:lang w:val="uk-UA"/>
          <w14:ligatures w14:val="standardContextual"/>
        </w:rPr>
        <w:t xml:space="preserve"> (Facebook, Instagram, TikTok, LinkedIn, Twitter/X) </w:t>
      </w:r>
      <w:r w:rsidRPr="00511005">
        <w:rPr>
          <w:rFonts w:ascii="Arial" w:eastAsia="Malgun Gothic" w:hAnsi="Arial" w:cs="Arial"/>
          <w:kern w:val="2"/>
          <w:szCs w:val="28"/>
          <w:lang w:val="uk-UA"/>
          <w14:ligatures w14:val="standardContextual"/>
        </w:rPr>
        <w:t>стали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середовищем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створення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неформально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автентично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бренду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сво</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аудитор</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центр</w:t>
      </w:r>
      <w:r w:rsidRPr="00511005">
        <w:rPr>
          <w:rFonts w:ascii="Arial" w:eastAsia="Calibri" w:hAnsi="Arial" w:cs="Arial"/>
          <w:kern w:val="2"/>
          <w:szCs w:val="28"/>
          <w:lang w:val="uk-UA"/>
          <w14:ligatures w14:val="standardContextual"/>
        </w:rPr>
        <w:t>і уваги маркетологі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опинилися</w:t>
      </w:r>
      <w:r w:rsidRPr="00511005">
        <w:rPr>
          <w:rFonts w:ascii="Arial" w:eastAsia="Calibri" w:hAnsi="Arial" w:cs="Arial"/>
          <w:kern w:val="2"/>
          <w:szCs w:val="28"/>
          <w:lang w:val="uk-UA"/>
          <w14:ligatures w14:val="standardContextual"/>
        </w:rPr>
        <w:t xml:space="preserve"> </w:t>
      </w:r>
      <w:r w:rsidRPr="00511005">
        <w:rPr>
          <w:rFonts w:ascii="Arial" w:eastAsia="Times New Roman" w:hAnsi="Arial" w:cs="Arial"/>
          <w:kern w:val="2"/>
          <w:szCs w:val="28"/>
          <w:lang w:val="uk-UA"/>
          <w14:ligatures w14:val="standardContextual"/>
        </w:rPr>
        <w:t xml:space="preserve">впливові </w:t>
      </w:r>
      <w:r w:rsidRPr="00511005">
        <w:rPr>
          <w:rFonts w:ascii="Arial" w:eastAsia="Malgun Gothic" w:hAnsi="Arial" w:cs="Arial"/>
          <w:kern w:val="2"/>
          <w:szCs w:val="28"/>
          <w:lang w:val="uk-UA"/>
          <w14:ligatures w14:val="standardContextual"/>
        </w:rPr>
        <w:t>особи</w:t>
      </w:r>
      <w:r w:rsidRPr="00511005">
        <w:rPr>
          <w:rFonts w:ascii="Arial" w:eastAsia="Times New Roman"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нфлюенсери</w:t>
      </w:r>
      <w:r w:rsidRPr="00511005">
        <w:rPr>
          <w:rFonts w:ascii="Arial" w:eastAsia="Times New Roman" w:hAnsi="Arial" w:cs="Arial"/>
          <w:kern w:val="2"/>
          <w:szCs w:val="28"/>
          <w:lang w:val="uk-UA"/>
          <w14:ligatures w14:val="standardContextual"/>
        </w:rPr>
        <w:t>)</w:t>
      </w:r>
      <w:r w:rsidRPr="00511005">
        <w:rPr>
          <w:rFonts w:ascii="Arial" w:eastAsia="Calibri" w:hAnsi="Arial" w:cs="Arial"/>
          <w:kern w:val="2"/>
          <w:szCs w:val="28"/>
          <w:lang w:val="uk-UA"/>
          <w14:ligatures w14:val="standardContextual"/>
        </w:rPr>
        <w:t xml:space="preserve">, </w:t>
      </w:r>
      <w:r w:rsidRPr="00511005">
        <w:rPr>
          <w:rFonts w:ascii="Arial" w:eastAsia="Times New Roman" w:hAnsi="Arial" w:cs="Arial"/>
          <w:kern w:val="2"/>
          <w:szCs w:val="28"/>
          <w:lang w:val="uk-UA"/>
          <w14:ligatures w14:val="standardContextual"/>
        </w:rPr>
        <w:t>UGC-контент (user-generated content)</w:t>
      </w:r>
      <w:r w:rsidRPr="00511005">
        <w:rPr>
          <w:rFonts w:ascii="Arial" w:eastAsia="Calibri" w:hAnsi="Arial" w:cs="Arial"/>
          <w:kern w:val="2"/>
          <w:szCs w:val="28"/>
          <w:lang w:val="uk-UA"/>
          <w14:ligatures w14:val="standardContextual"/>
        </w:rPr>
        <w:t xml:space="preserve">, </w:t>
      </w:r>
      <w:r w:rsidRPr="00511005">
        <w:rPr>
          <w:rFonts w:ascii="Arial" w:eastAsia="Times New Roman" w:hAnsi="Arial" w:cs="Arial"/>
          <w:kern w:val="2"/>
          <w:szCs w:val="28"/>
          <w:lang w:val="uk-UA"/>
          <w14:ligatures w14:val="standardContextual"/>
        </w:rPr>
        <w:t>таргетована реклама</w:t>
      </w:r>
      <w:r w:rsidRPr="00511005">
        <w:rPr>
          <w:rFonts w:ascii="Arial" w:eastAsia="Calibri" w:hAnsi="Arial" w:cs="Arial"/>
          <w:kern w:val="2"/>
          <w:szCs w:val="28"/>
          <w:lang w:val="uk-UA"/>
          <w14:ligatures w14:val="standardContextual"/>
        </w:rPr>
        <w:t>, яка базує</w:t>
      </w:r>
      <w:r w:rsidRPr="00511005">
        <w:rPr>
          <w:rFonts w:ascii="Arial" w:eastAsia="Malgun Gothic" w:hAnsi="Arial" w:cs="Arial"/>
          <w:kern w:val="2"/>
          <w:szCs w:val="28"/>
          <w:lang w:val="uk-UA"/>
          <w14:ligatures w14:val="standardContextual"/>
        </w:rPr>
        <w:t>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повед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нков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Times New Roman" w:hAnsi="Arial" w:cs="Arial"/>
          <w:kern w:val="2"/>
          <w:szCs w:val="28"/>
          <w:lang w:val="uk-UA"/>
          <w14:ligatures w14:val="standardContextual"/>
        </w:rPr>
        <w:t>ві</w:t>
      </w:r>
      <w:r w:rsidRPr="00511005">
        <w:rPr>
          <w:rFonts w:ascii="Arial" w:eastAsia="Malgun Gothic" w:hAnsi="Arial" w:cs="Arial"/>
          <w:kern w:val="2"/>
          <w:szCs w:val="28"/>
          <w:lang w:val="uk-UA"/>
          <w14:ligatures w14:val="standardContextual"/>
        </w:rPr>
        <w:t>зуальний</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стор</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тел</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нг</w:t>
      </w:r>
      <w:r w:rsidRPr="00511005">
        <w:rPr>
          <w:rFonts w:ascii="Arial" w:eastAsia="Calibri" w:hAnsi="Arial" w:cs="Arial"/>
          <w:kern w:val="2"/>
          <w:szCs w:val="28"/>
          <w:lang w:val="uk-UA"/>
          <w14:ligatures w14:val="standardContextual"/>
        </w:rPr>
        <w:t xml:space="preserve">, що формує </w:t>
      </w:r>
      <w:r w:rsidRPr="00511005">
        <w:rPr>
          <w:rFonts w:ascii="Arial" w:eastAsia="Malgun Gothic" w:hAnsi="Arial" w:cs="Arial"/>
          <w:kern w:val="2"/>
          <w:szCs w:val="28"/>
          <w:lang w:val="uk-UA"/>
          <w14:ligatures w14:val="standardContextual"/>
        </w:rPr>
        <w:t>емоц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зв’язок</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брендом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елементи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докор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нюют</w:t>
      </w:r>
      <w:r w:rsidRPr="00511005">
        <w:rPr>
          <w:rFonts w:ascii="Arial" w:eastAsia="Calibri" w:hAnsi="Arial" w:cs="Arial"/>
          <w:kern w:val="2"/>
          <w:szCs w:val="28"/>
          <w:lang w:val="uk-UA"/>
          <w14:ligatures w14:val="standardContextual"/>
        </w:rPr>
        <w:t xml:space="preserve">ь класичну воронку продажу, наближаючи її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циклу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алогу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знесом</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споживачем</w:t>
      </w:r>
      <w:r w:rsidRPr="00511005">
        <w:rPr>
          <w:rFonts w:ascii="Arial" w:eastAsia="Calibri" w:hAnsi="Arial" w:cs="Arial"/>
          <w:kern w:val="2"/>
          <w:szCs w:val="28"/>
          <w:lang w:val="uk-UA"/>
          <w14:ligatures w14:val="standardContextual"/>
        </w:rPr>
        <w:t xml:space="preserve"> [1].</w:t>
      </w:r>
    </w:p>
    <w:p w14:paraId="4F3E8620"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Окрі</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цього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мереж</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стимулюють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Times New Roman" w:hAnsi="Arial" w:cs="Arial"/>
          <w:kern w:val="2"/>
          <w:szCs w:val="28"/>
          <w:lang w:val="uk-UA"/>
          <w14:ligatures w14:val="standardContextual"/>
        </w:rPr>
        <w:t>омні</w:t>
      </w:r>
      <w:r w:rsidRPr="00511005">
        <w:rPr>
          <w:rFonts w:ascii="Arial" w:eastAsia="Malgun Gothic" w:hAnsi="Arial" w:cs="Arial"/>
          <w:kern w:val="2"/>
          <w:szCs w:val="28"/>
          <w:lang w:val="uk-UA"/>
          <w14:ligatures w14:val="standardContextual"/>
        </w:rPr>
        <w:t>канального</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маркетингу</w:t>
      </w:r>
      <w:r w:rsidRPr="00511005">
        <w:rPr>
          <w:rFonts w:ascii="Arial" w:eastAsia="Calibri" w:hAnsi="Arial" w:cs="Arial"/>
          <w:kern w:val="2"/>
          <w:szCs w:val="28"/>
          <w:lang w:val="uk-UA"/>
          <w14:ligatures w14:val="standardContextual"/>
        </w:rPr>
        <w:t>, де взає</w:t>
      </w:r>
      <w:r w:rsidRPr="00511005">
        <w:rPr>
          <w:rFonts w:ascii="Arial" w:eastAsia="Malgun Gothic" w:hAnsi="Arial" w:cs="Arial"/>
          <w:kern w:val="2"/>
          <w:szCs w:val="28"/>
          <w:lang w:val="uk-UA"/>
          <w14:ligatures w14:val="standardContextual"/>
        </w:rPr>
        <w:t>мод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дбува</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одночасно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через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канали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урахуванням ї</w:t>
      </w:r>
      <w:r w:rsidRPr="00511005">
        <w:rPr>
          <w:rFonts w:ascii="Arial" w:eastAsia="Malgun Gothic" w:hAnsi="Arial" w:cs="Arial"/>
          <w:kern w:val="2"/>
          <w:szCs w:val="28"/>
          <w:lang w:val="uk-UA"/>
          <w14:ligatures w14:val="standardContextual"/>
        </w:rPr>
        <w:t>хн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ндив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дуальних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потреб</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емоц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lastRenderedPageBreak/>
        <w:t>попереднього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досв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вза</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мод</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брендом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передбача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автоматизац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гнучке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адаптування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залежно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зворотного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зв’язку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режим</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реального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часу</w:t>
      </w:r>
      <w:r w:rsidRPr="00511005">
        <w:rPr>
          <w:rFonts w:ascii="Arial" w:eastAsia="Calibri" w:hAnsi="Arial" w:cs="Arial"/>
          <w:kern w:val="2"/>
          <w:szCs w:val="28"/>
          <w:lang w:val="uk-UA"/>
          <w14:ligatures w14:val="standardContextual"/>
        </w:rPr>
        <w:t xml:space="preserve"> [2].</w:t>
      </w:r>
    </w:p>
    <w:p w14:paraId="2CAC4A8D"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Значного значення набуває </w:t>
      </w:r>
      <w:r w:rsidRPr="00511005">
        <w:rPr>
          <w:rFonts w:ascii="Arial" w:eastAsia="Malgun Gothic" w:hAnsi="Arial" w:cs="Arial"/>
          <w:kern w:val="2"/>
          <w:szCs w:val="28"/>
          <w:lang w:val="uk-UA"/>
          <w14:ligatures w14:val="standardContextual"/>
        </w:rPr>
        <w:t>також</w:t>
      </w:r>
      <w:r w:rsidRPr="00511005">
        <w:rPr>
          <w:rFonts w:ascii="Arial" w:eastAsia="Calibri" w:hAnsi="Arial" w:cs="Arial"/>
          <w:kern w:val="2"/>
          <w:szCs w:val="28"/>
          <w:lang w:val="uk-UA"/>
          <w14:ligatures w14:val="standardContextual"/>
        </w:rPr>
        <w:t xml:space="preserve"> </w:t>
      </w:r>
      <w:r w:rsidRPr="00511005">
        <w:rPr>
          <w:rFonts w:ascii="Arial" w:eastAsia="Times New Roman" w:hAnsi="Arial" w:cs="Arial"/>
          <w:kern w:val="2"/>
          <w:szCs w:val="28"/>
          <w:lang w:val="uk-UA"/>
          <w14:ligatures w14:val="standardContextual"/>
        </w:rPr>
        <w:t>репутаці</w:t>
      </w:r>
      <w:r w:rsidRPr="00511005">
        <w:rPr>
          <w:rFonts w:ascii="Arial" w:eastAsia="Malgun Gothic" w:hAnsi="Arial" w:cs="Arial"/>
          <w:kern w:val="2"/>
          <w:szCs w:val="28"/>
          <w:lang w:val="uk-UA"/>
          <w14:ligatures w14:val="standardContextual"/>
        </w:rPr>
        <w:t>йний</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менеджмент</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альних</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мережах</w:t>
      </w:r>
      <w:r w:rsidRPr="00511005">
        <w:rPr>
          <w:rFonts w:ascii="Arial" w:eastAsia="Calibri" w:hAnsi="Arial" w:cs="Arial"/>
          <w:kern w:val="2"/>
          <w:szCs w:val="28"/>
          <w:lang w:val="uk-UA"/>
          <w14:ligatures w14:val="standardContextual"/>
        </w:rPr>
        <w:t>, оскі</w:t>
      </w:r>
      <w:r w:rsidRPr="00511005">
        <w:rPr>
          <w:rFonts w:ascii="Arial" w:eastAsia="Malgun Gothic" w:hAnsi="Arial" w:cs="Arial"/>
          <w:kern w:val="2"/>
          <w:szCs w:val="28"/>
          <w:lang w:val="uk-UA"/>
          <w14:ligatures w14:val="standardContextual"/>
        </w:rPr>
        <w:t>льки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сучасн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споживач</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схильн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негайно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реакц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позитивний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негативний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досв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оперативно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реагують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звернення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скарги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або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дгуки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цнюють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свою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конку</w:t>
      </w:r>
      <w:r w:rsidRPr="00511005">
        <w:rPr>
          <w:rFonts w:ascii="Arial" w:eastAsia="Calibri" w:hAnsi="Arial" w:cs="Arial"/>
          <w:kern w:val="2"/>
          <w:szCs w:val="28"/>
          <w:lang w:val="uk-UA"/>
          <w14:ligatures w14:val="standardContextual"/>
        </w:rPr>
        <w:t>рентну позиці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бренду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знижують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ризики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криз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ії.</w:t>
      </w:r>
    </w:p>
    <w:p w14:paraId="68B4BD4A"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У контексті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мереж</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також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виконують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роль</w:t>
      </w:r>
      <w:r w:rsidRPr="00511005">
        <w:rPr>
          <w:rFonts w:ascii="Arial" w:eastAsia="Calibri" w:hAnsi="Arial" w:cs="Arial"/>
          <w:kern w:val="2"/>
          <w:szCs w:val="28"/>
          <w:lang w:val="uk-UA"/>
          <w14:ligatures w14:val="standardContextual"/>
        </w:rPr>
        <w:t xml:space="preserve"> </w:t>
      </w:r>
      <w:r w:rsidRPr="00511005">
        <w:rPr>
          <w:rFonts w:ascii="Arial" w:eastAsia="Times New Roman" w:hAnsi="Arial" w:cs="Arial"/>
          <w:kern w:val="2"/>
          <w:szCs w:val="28"/>
          <w:lang w:val="uk-UA"/>
          <w14:ligatures w14:val="standardContextual"/>
        </w:rPr>
        <w:t>соці</w:t>
      </w:r>
      <w:r w:rsidRPr="00511005">
        <w:rPr>
          <w:rFonts w:ascii="Arial" w:eastAsia="Malgun Gothic" w:hAnsi="Arial" w:cs="Arial"/>
          <w:kern w:val="2"/>
          <w:szCs w:val="28"/>
          <w:lang w:val="uk-UA"/>
          <w14:ligatures w14:val="standardContextual"/>
        </w:rPr>
        <w:t>ального</w:t>
      </w:r>
      <w:r w:rsidRPr="00511005">
        <w:rPr>
          <w:rFonts w:ascii="Arial" w:eastAsia="Times New Roman"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ндикатора</w:t>
      </w:r>
      <w:r w:rsidRPr="00511005">
        <w:rPr>
          <w:rFonts w:ascii="Arial" w:eastAsia="Calibri" w:hAnsi="Arial" w:cs="Arial"/>
          <w:kern w:val="2"/>
          <w:szCs w:val="28"/>
          <w:lang w:val="uk-UA"/>
          <w14:ligatures w14:val="standardContextual"/>
        </w:rPr>
        <w:t>, ві</w:t>
      </w:r>
      <w:r w:rsidRPr="00511005">
        <w:rPr>
          <w:rFonts w:ascii="Arial" w:eastAsia="Malgun Gothic" w:hAnsi="Arial" w:cs="Arial"/>
          <w:kern w:val="2"/>
          <w:szCs w:val="28"/>
          <w:lang w:val="uk-UA"/>
          <w14:ligatures w14:val="standardContextual"/>
        </w:rPr>
        <w:t>дображаючи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громадськ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настро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створю</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додатков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виклики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можливост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ських компані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одного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боку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потребу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льш</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чутливого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етичного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дходу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контенту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ншого</w:t>
      </w:r>
      <w:r w:rsidRPr="00511005">
        <w:rPr>
          <w:rFonts w:ascii="Arial" w:eastAsia="Calibri" w:hAnsi="Arial" w:cs="Arial"/>
          <w:kern w:val="2"/>
          <w:szCs w:val="28"/>
          <w:lang w:val="uk-UA"/>
          <w14:ligatures w14:val="standardContextual"/>
        </w:rPr>
        <w:t xml:space="preserve"> – дає </w:t>
      </w:r>
      <w:r w:rsidRPr="00511005">
        <w:rPr>
          <w:rFonts w:ascii="Arial" w:eastAsia="Malgun Gothic" w:hAnsi="Arial" w:cs="Arial"/>
          <w:kern w:val="2"/>
          <w:szCs w:val="28"/>
          <w:lang w:val="uk-UA"/>
          <w14:ligatures w14:val="standardContextual"/>
        </w:rPr>
        <w:t>змогу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сильн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позиц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бренду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залучати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аудитор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важливих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атив</w:t>
      </w:r>
      <w:r w:rsidRPr="00511005">
        <w:rPr>
          <w:rFonts w:ascii="Arial" w:eastAsia="Calibri" w:hAnsi="Arial" w:cs="Arial"/>
          <w:kern w:val="2"/>
          <w:szCs w:val="28"/>
          <w:lang w:val="uk-UA"/>
          <w14:ligatures w14:val="standardContextual"/>
        </w:rPr>
        <w:t>.</w:t>
      </w:r>
    </w:p>
    <w:p w14:paraId="78CEB751"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Соці</w:t>
      </w:r>
      <w:r w:rsidRPr="00511005">
        <w:rPr>
          <w:rFonts w:ascii="Arial" w:eastAsia="Malgun Gothic" w:hAnsi="Arial" w:cs="Arial"/>
          <w:kern w:val="2"/>
          <w:szCs w:val="28"/>
          <w:lang w:val="uk-UA"/>
          <w14:ligatures w14:val="standardContextual"/>
        </w:rPr>
        <w:t>альн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мереж</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стали</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нструментом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w:t>
      </w:r>
      <w:r w:rsidRPr="00511005">
        <w:rPr>
          <w:rFonts w:ascii="Arial" w:eastAsia="Calibri" w:hAnsi="Arial" w:cs="Arial"/>
          <w:kern w:val="2"/>
          <w:szCs w:val="28"/>
          <w:lang w:val="uk-UA"/>
          <w14:ligatures w14:val="standardContextual"/>
        </w:rPr>
        <w:t>сування товарі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консол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льнот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навколо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бренд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використовують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платформи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репутац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гуман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тарних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атив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аспорою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жнародними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партнерами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Попри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обмеженн</w:t>
      </w:r>
      <w:r w:rsidRPr="00511005">
        <w:rPr>
          <w:rFonts w:ascii="Arial" w:eastAsia="Calibri" w:hAnsi="Arial" w:cs="Arial"/>
          <w:kern w:val="2"/>
          <w:szCs w:val="28"/>
          <w:lang w:val="uk-UA"/>
          <w14:ligatures w14:val="standardContextual"/>
        </w:rPr>
        <w:t>я ресурсі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мал</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мства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можуть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досягати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високо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ефективност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завдяки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креативному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контенту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використанню</w:t>
      </w:r>
      <w:r w:rsidRPr="00511005">
        <w:rPr>
          <w:rFonts w:ascii="Arial" w:eastAsia="Calibri" w:hAnsi="Arial" w:cs="Arial"/>
          <w:kern w:val="2"/>
          <w:szCs w:val="28"/>
          <w:lang w:val="uk-UA"/>
          <w14:ligatures w14:val="standardContextual"/>
        </w:rPr>
        <w:t xml:space="preserve"> UGC (user-generated content)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кро</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нфлюенсер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[4].</w:t>
      </w:r>
    </w:p>
    <w:p w14:paraId="2D5B8CCC"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У контексті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трансформац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глобал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процес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розвиток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нац</w:t>
      </w:r>
      <w:r w:rsidRPr="00511005">
        <w:rPr>
          <w:rFonts w:ascii="Arial" w:eastAsia="Calibri" w:hAnsi="Arial" w:cs="Arial"/>
          <w:kern w:val="2"/>
          <w:szCs w:val="28"/>
          <w:lang w:val="uk-UA"/>
          <w14:ligatures w14:val="standardContextual"/>
        </w:rPr>
        <w:t>іональних центрі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маркетингу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брендингу</w:t>
      </w:r>
      <w:r w:rsidRPr="00511005">
        <w:rPr>
          <w:rFonts w:ascii="Arial" w:eastAsia="Calibri"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критично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важливим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малих</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середн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мств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Створення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державно</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приватних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або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верситетських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хаб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забезпечить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методичну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консультац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сфер</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маркетингу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акумулюючи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передов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жнародн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практики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центри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сприятимуть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локал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ії 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швидк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адаптац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МСП</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динам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тенденц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мережах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двищуючи</w:t>
      </w:r>
      <w:r w:rsidRPr="00511005">
        <w:rPr>
          <w:rFonts w:ascii="Arial" w:eastAsia="Calibri" w:hAnsi="Arial" w:cs="Arial"/>
          <w:kern w:val="2"/>
          <w:szCs w:val="28"/>
          <w:lang w:val="uk-UA"/>
          <w14:ligatures w14:val="standardContextual"/>
        </w:rPr>
        <w:t xml:space="preserve"> ї</w:t>
      </w:r>
      <w:r w:rsidRPr="00511005">
        <w:rPr>
          <w:rFonts w:ascii="Arial" w:eastAsia="Malgun Gothic" w:hAnsi="Arial" w:cs="Arial"/>
          <w:kern w:val="2"/>
          <w:szCs w:val="28"/>
          <w:lang w:val="uk-UA"/>
          <w14:ligatures w14:val="standardContextual"/>
        </w:rPr>
        <w:t>хню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конкурентоспроможн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w:t>
      </w:r>
    </w:p>
    <w:p w14:paraId="2C353704"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нтеграц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штучного</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w:t>
      </w:r>
      <w:r w:rsidRPr="00511005">
        <w:rPr>
          <w:rFonts w:ascii="Arial" w:eastAsia="Calibri" w:hAnsi="Arial" w:cs="Arial"/>
          <w:kern w:val="2"/>
          <w:szCs w:val="28"/>
          <w:lang w:val="uk-UA"/>
          <w14:ligatures w14:val="standardContextual"/>
        </w:rPr>
        <w:t>лекту у стратегі</w:t>
      </w:r>
      <w:r w:rsidRPr="00511005">
        <w:rPr>
          <w:rFonts w:ascii="Arial" w:eastAsia="Malgun Gothic" w:hAnsi="Arial" w:cs="Arial"/>
          <w:kern w:val="2"/>
          <w:szCs w:val="28"/>
          <w:lang w:val="uk-UA"/>
          <w14:ligatures w14:val="standardContextual"/>
        </w:rPr>
        <w:t>чне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контентом</w:t>
      </w:r>
      <w:r w:rsidRPr="00511005">
        <w:rPr>
          <w:rFonts w:ascii="Arial" w:eastAsia="Calibri"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необх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умовою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оптим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маркетингових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процес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І-і</w:t>
      </w:r>
      <w:r w:rsidRPr="00511005">
        <w:rPr>
          <w:rFonts w:ascii="Arial" w:eastAsia="Malgun Gothic" w:hAnsi="Arial" w:cs="Arial"/>
          <w:kern w:val="2"/>
          <w:szCs w:val="28"/>
          <w:lang w:val="uk-UA"/>
          <w14:ligatures w14:val="standardContextual"/>
        </w:rPr>
        <w:t>нструмент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зокрема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прогнозно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повед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користувач</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автоматизованого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створення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зованого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контенту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глибокого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w:t>
      </w:r>
      <w:r w:rsidRPr="00511005">
        <w:rPr>
          <w:rFonts w:ascii="Arial" w:eastAsia="Calibri" w:hAnsi="Arial" w:cs="Arial"/>
          <w:kern w:val="2"/>
          <w:szCs w:val="28"/>
          <w:lang w:val="uk-UA"/>
          <w14:ligatures w14:val="standardContextual"/>
        </w:rPr>
        <w:t>лі</w:t>
      </w:r>
      <w:r w:rsidRPr="00511005">
        <w:rPr>
          <w:rFonts w:ascii="Arial" w:eastAsia="Malgun Gothic" w:hAnsi="Arial" w:cs="Arial"/>
          <w:kern w:val="2"/>
          <w:szCs w:val="28"/>
          <w:lang w:val="uk-UA"/>
          <w14:ligatures w14:val="standardContextual"/>
        </w:rPr>
        <w:t>зу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ефективност</w:t>
      </w:r>
      <w:r w:rsidRPr="00511005">
        <w:rPr>
          <w:rFonts w:ascii="Arial" w:eastAsia="Calibri" w:hAnsi="Arial" w:cs="Arial"/>
          <w:kern w:val="2"/>
          <w:szCs w:val="28"/>
          <w:lang w:val="uk-UA"/>
          <w14:ligatures w14:val="standardContextual"/>
        </w:rPr>
        <w:t xml:space="preserve">і (A/B </w:t>
      </w:r>
      <w:r w:rsidRPr="00511005">
        <w:rPr>
          <w:rFonts w:ascii="Arial" w:eastAsia="Malgun Gothic" w:hAnsi="Arial" w:cs="Arial"/>
          <w:kern w:val="2"/>
          <w:szCs w:val="28"/>
          <w:lang w:val="uk-UA"/>
          <w14:ligatures w14:val="standardContextual"/>
        </w:rPr>
        <w:t>тестування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теплов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карти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настро</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лодобово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нтсько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через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чат</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боти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зниження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витрат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прискорення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маркетингових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цикл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точност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прийняття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w:t>
      </w:r>
    </w:p>
    <w:p w14:paraId="108C642E"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Осві</w:t>
      </w:r>
      <w:r w:rsidRPr="00511005">
        <w:rPr>
          <w:rFonts w:ascii="Arial" w:eastAsia="Malgun Gothic" w:hAnsi="Arial" w:cs="Arial"/>
          <w:kern w:val="2"/>
          <w:szCs w:val="28"/>
          <w:lang w:val="uk-UA"/>
          <w14:ligatures w14:val="standardContextual"/>
        </w:rPr>
        <w:t>тн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програми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дг</w:t>
      </w:r>
      <w:r w:rsidRPr="00511005">
        <w:rPr>
          <w:rFonts w:ascii="Arial" w:eastAsia="Calibri" w:hAnsi="Arial" w:cs="Arial"/>
          <w:kern w:val="2"/>
          <w:szCs w:val="28"/>
          <w:lang w:val="uk-UA"/>
          <w14:ligatures w14:val="standardContextual"/>
        </w:rPr>
        <w:t>отовки цифрових маркетологі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нового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покол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охоплювати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актуальн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напрями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SMM-</w:t>
      </w:r>
      <w:r w:rsidRPr="00511005">
        <w:rPr>
          <w:rFonts w:ascii="Arial" w:eastAsia="Malgun Gothic" w:hAnsi="Arial" w:cs="Arial"/>
          <w:kern w:val="2"/>
          <w:szCs w:val="28"/>
          <w:lang w:val="uk-UA"/>
          <w14:ligatures w14:val="standardContextual"/>
        </w:rPr>
        <w:t>менеджмент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тел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нг</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мережах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соцмереж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впраця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нфлюенсерами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етичн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аспекти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Залучення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lastRenderedPageBreak/>
        <w:t>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верситет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І</w:t>
      </w:r>
      <w:r w:rsidRPr="00511005">
        <w:rPr>
          <w:rFonts w:ascii="Arial" w:eastAsia="Malgun Gothic" w:hAnsi="Arial" w:cs="Arial"/>
          <w:kern w:val="2"/>
          <w:szCs w:val="28"/>
          <w:lang w:val="uk-UA"/>
          <w14:ligatures w14:val="standardContextual"/>
        </w:rPr>
        <w:t>Т</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ко</w:t>
      </w:r>
      <w:r w:rsidRPr="00511005">
        <w:rPr>
          <w:rFonts w:ascii="Arial" w:eastAsia="Calibri" w:hAnsi="Arial" w:cs="Arial"/>
          <w:kern w:val="2"/>
          <w:szCs w:val="28"/>
          <w:lang w:val="uk-UA"/>
          <w14:ligatures w14:val="standardContextual"/>
        </w:rPr>
        <w:t>мпані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цифрових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агентств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також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створення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механ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крогрант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або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ваучер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МСП</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сприятиме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двищенню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квал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ф</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фах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розвитку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кадрового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алу</w:t>
      </w:r>
      <w:r w:rsidRPr="00511005">
        <w:rPr>
          <w:rFonts w:ascii="Arial" w:eastAsia="Calibri" w:hAnsi="Arial" w:cs="Arial"/>
          <w:kern w:val="2"/>
          <w:szCs w:val="28"/>
          <w:lang w:val="uk-UA"/>
          <w14:ligatures w14:val="standardContextual"/>
        </w:rPr>
        <w:t>.</w:t>
      </w:r>
    </w:p>
    <w:p w14:paraId="74EBF660"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Соці</w:t>
      </w:r>
      <w:r w:rsidRPr="00511005">
        <w:rPr>
          <w:rFonts w:ascii="Arial" w:eastAsia="Malgun Gothic" w:hAnsi="Arial" w:cs="Arial"/>
          <w:kern w:val="2"/>
          <w:szCs w:val="28"/>
          <w:lang w:val="uk-UA"/>
          <w14:ligatures w14:val="standardContextual"/>
        </w:rPr>
        <w:t>альн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мереж</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грають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ключову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роль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ребрендингу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глобальному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вико</w:t>
      </w:r>
      <w:r w:rsidRPr="00511005">
        <w:rPr>
          <w:rFonts w:ascii="Arial" w:eastAsia="Calibri" w:hAnsi="Arial" w:cs="Arial"/>
          <w:kern w:val="2"/>
          <w:szCs w:val="28"/>
          <w:lang w:val="uk-UA"/>
          <w14:ligatures w14:val="standardContextual"/>
        </w:rPr>
        <w:t>нуючи функці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публ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дипломат</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Кампан</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спрямован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просування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продукц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креативно</w:t>
      </w:r>
      <w:r w:rsidRPr="00511005">
        <w:rPr>
          <w:rFonts w:ascii="Arial" w:eastAsia="Calibri" w:hAnsi="Arial" w:cs="Arial"/>
          <w:kern w:val="2"/>
          <w:szCs w:val="28"/>
          <w:lang w:val="uk-UA"/>
          <w14:ligatures w14:val="standardContextual"/>
        </w:rPr>
        <w:t>ї і</w:t>
      </w:r>
      <w:r w:rsidRPr="00511005">
        <w:rPr>
          <w:rFonts w:ascii="Arial" w:eastAsia="Malgun Gothic" w:hAnsi="Arial" w:cs="Arial"/>
          <w:kern w:val="2"/>
          <w:szCs w:val="28"/>
          <w:lang w:val="uk-UA"/>
          <w14:ligatures w14:val="standardContextual"/>
        </w:rPr>
        <w:t>ндустр</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стартап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культури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також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жнародн</w:t>
      </w:r>
      <w:r w:rsidRPr="00511005">
        <w:rPr>
          <w:rFonts w:ascii="Arial" w:eastAsia="Calibri" w:hAnsi="Arial" w:cs="Arial"/>
          <w:kern w:val="2"/>
          <w:szCs w:val="28"/>
          <w:lang w:val="uk-UA"/>
          <w14:ligatures w14:val="standardContextual"/>
        </w:rPr>
        <w:t>і і</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ативи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участ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бренд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амбасадор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аспори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позитивний</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Акц</w:t>
      </w:r>
      <w:r w:rsidRPr="00511005">
        <w:rPr>
          <w:rFonts w:ascii="Arial" w:eastAsia="Calibri" w:hAnsi="Arial" w:cs="Arial"/>
          <w:kern w:val="2"/>
          <w:szCs w:val="28"/>
          <w:lang w:val="uk-UA"/>
          <w14:ligatures w14:val="standardContextual"/>
        </w:rPr>
        <w:t>ент на темах сталості, і</w:t>
      </w:r>
      <w:r w:rsidRPr="00511005">
        <w:rPr>
          <w:rFonts w:ascii="Arial" w:eastAsia="Malgun Gothic" w:hAnsi="Arial" w:cs="Arial"/>
          <w:kern w:val="2"/>
          <w:szCs w:val="28"/>
          <w:lang w:val="uk-UA"/>
          <w14:ligatures w14:val="standardContextual"/>
        </w:rPr>
        <w:t>нклюз</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трансформац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нностей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посилю</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глобальну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приваблив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ни</w:t>
      </w:r>
      <w:r w:rsidRPr="00511005">
        <w:rPr>
          <w:rFonts w:ascii="Arial" w:eastAsia="Calibri" w:hAnsi="Arial" w:cs="Arial"/>
          <w:kern w:val="2"/>
          <w:szCs w:val="28"/>
          <w:lang w:val="uk-UA"/>
          <w14:ligatures w14:val="standardContextual"/>
        </w:rPr>
        <w:t>.</w:t>
      </w:r>
    </w:p>
    <w:p w14:paraId="1B57AD86"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Побудова сталих цифрових спі</w:t>
      </w:r>
      <w:r w:rsidRPr="00511005">
        <w:rPr>
          <w:rFonts w:ascii="Arial" w:eastAsia="Malgun Gothic" w:hAnsi="Arial" w:cs="Arial"/>
          <w:kern w:val="2"/>
          <w:szCs w:val="28"/>
          <w:lang w:val="uk-UA"/>
          <w14:ligatures w14:val="standardContextual"/>
        </w:rPr>
        <w:t>льнот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навколо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бренд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шляхом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переходу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community-based marketing є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важливим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Залучення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ауд</w:t>
      </w:r>
      <w:r w:rsidRPr="00511005">
        <w:rPr>
          <w:rFonts w:ascii="Arial" w:eastAsia="Calibri" w:hAnsi="Arial" w:cs="Arial"/>
          <w:kern w:val="2"/>
          <w:szCs w:val="28"/>
          <w:lang w:val="uk-UA"/>
          <w14:ligatures w14:val="standardContextual"/>
        </w:rPr>
        <w:t xml:space="preserve">иторії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створення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контенту</w:t>
      </w:r>
      <w:r w:rsidRPr="00511005">
        <w:rPr>
          <w:rFonts w:ascii="Arial" w:eastAsia="Calibri" w:hAnsi="Arial" w:cs="Arial"/>
          <w:kern w:val="2"/>
          <w:szCs w:val="28"/>
          <w:lang w:val="uk-UA"/>
          <w14:ligatures w14:val="standardContextual"/>
        </w:rPr>
        <w:t xml:space="preserve"> (UGC), </w:t>
      </w:r>
      <w:r w:rsidRPr="00511005">
        <w:rPr>
          <w:rFonts w:ascii="Arial" w:eastAsia="Malgun Gothic" w:hAnsi="Arial" w:cs="Arial"/>
          <w:kern w:val="2"/>
          <w:szCs w:val="28"/>
          <w:lang w:val="uk-UA"/>
          <w14:ligatures w14:val="standardContextual"/>
        </w:rPr>
        <w:t>розвиток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амбасадорських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програм</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кро</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нфлюенсерами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двостороннього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алогу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льнот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днаних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деями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еколог</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допомоги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культури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сприяють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двищенню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лояльност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ох</w:t>
      </w:r>
      <w:r w:rsidRPr="00511005">
        <w:rPr>
          <w:rFonts w:ascii="Arial" w:eastAsia="Calibri" w:hAnsi="Arial" w:cs="Arial"/>
          <w:kern w:val="2"/>
          <w:szCs w:val="28"/>
          <w:lang w:val="uk-UA"/>
          <w14:ligatures w14:val="standardContextual"/>
        </w:rPr>
        <w:t>оплення та довгострокового зростання бренді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w:t>
      </w:r>
    </w:p>
    <w:p w14:paraId="0DA8AFD8"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Отже, роль соці</w:t>
      </w:r>
      <w:r w:rsidRPr="00511005">
        <w:rPr>
          <w:rFonts w:ascii="Arial" w:eastAsia="Malgun Gothic" w:hAnsi="Arial" w:cs="Arial"/>
          <w:kern w:val="2"/>
          <w:szCs w:val="28"/>
          <w:lang w:val="uk-UA"/>
          <w14:ligatures w14:val="standardContextual"/>
        </w:rPr>
        <w:t>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мереж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сучасному</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нтернет</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маркетингу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обмежу</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ть</w:t>
      </w:r>
      <w:r w:rsidRPr="00511005">
        <w:rPr>
          <w:rFonts w:ascii="Arial" w:eastAsia="Calibri" w:hAnsi="Arial" w:cs="Arial"/>
          <w:kern w:val="2"/>
          <w:szCs w:val="28"/>
          <w:lang w:val="uk-UA"/>
          <w14:ligatures w14:val="standardContextual"/>
        </w:rPr>
        <w:t>ся лише каналом просування. Це – стратегі</w:t>
      </w:r>
      <w:r w:rsidRPr="00511005">
        <w:rPr>
          <w:rFonts w:ascii="Arial" w:eastAsia="Malgun Gothic" w:hAnsi="Arial" w:cs="Arial"/>
          <w:kern w:val="2"/>
          <w:szCs w:val="28"/>
          <w:lang w:val="uk-UA"/>
          <w14:ligatures w14:val="standardContextual"/>
        </w:rPr>
        <w:t>чна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платформа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вза</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мод</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побудови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довгострокових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дносин</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формування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бренду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яка</w:t>
      </w:r>
      <w:r w:rsidRPr="00511005">
        <w:rPr>
          <w:rFonts w:ascii="Arial" w:eastAsia="Calibri" w:hAnsi="Arial" w:cs="Arial"/>
          <w:kern w:val="2"/>
          <w:szCs w:val="28"/>
          <w:lang w:val="uk-UA"/>
          <w14:ligatures w14:val="standardContextual"/>
        </w:rPr>
        <w:t xml:space="preserve"> вимагає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гнучкост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дкритост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технолог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дготовки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глибокого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розум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повед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нкових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патерн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споживач</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w:t>
      </w:r>
    </w:p>
    <w:p w14:paraId="1B6EB3DC" w14:textId="77777777" w:rsidR="00AE57E7" w:rsidRPr="00511005" w:rsidRDefault="00AE57E7" w:rsidP="003A292D">
      <w:pPr>
        <w:spacing w:line="264" w:lineRule="auto"/>
        <w:jc w:val="center"/>
        <w:rPr>
          <w:rFonts w:ascii="Arial" w:eastAsia="Arial" w:hAnsi="Arial" w:cs="Arial"/>
          <w:b/>
          <w:kern w:val="1"/>
          <w:szCs w:val="28"/>
          <w:lang w:val="uk-UA" w:eastAsia="ar-SA"/>
          <w14:ligatures w14:val="standardContextual"/>
        </w:rPr>
      </w:pPr>
    </w:p>
    <w:p w14:paraId="00F6AFDB" w14:textId="6ED48DFF" w:rsidR="00AE57E7" w:rsidRPr="00511005" w:rsidRDefault="007B2628" w:rsidP="007B2628">
      <w:pPr>
        <w:spacing w:line="264" w:lineRule="auto"/>
        <w:ind w:firstLine="0"/>
        <w:jc w:val="center"/>
        <w:rPr>
          <w:rFonts w:ascii="Arial" w:eastAsia="Arial" w:hAnsi="Arial" w:cs="Arial"/>
          <w:b/>
          <w:kern w:val="1"/>
          <w:szCs w:val="28"/>
          <w:lang w:val="uk-UA" w:eastAsia="ar-SA"/>
          <w14:ligatures w14:val="standardContextual"/>
        </w:rPr>
      </w:pPr>
      <w:r w:rsidRPr="00511005">
        <w:rPr>
          <w:rFonts w:ascii="Arial" w:eastAsia="Arial" w:hAnsi="Arial" w:cs="Arial"/>
          <w:b/>
          <w:kern w:val="1"/>
          <w:szCs w:val="28"/>
          <w:lang w:val="uk-UA" w:eastAsia="ar-SA"/>
          <w14:ligatures w14:val="standardContextual"/>
        </w:rPr>
        <w:t>Список використаних джерел</w:t>
      </w:r>
    </w:p>
    <w:p w14:paraId="12C50920" w14:textId="77777777" w:rsidR="00AE57E7" w:rsidRPr="00511005" w:rsidRDefault="00AE57E7" w:rsidP="003F6A5D">
      <w:pPr>
        <w:numPr>
          <w:ilvl w:val="0"/>
          <w:numId w:val="736"/>
        </w:numPr>
        <w:tabs>
          <w:tab w:val="left" w:pos="1134"/>
          <w:tab w:val="left" w:pos="1276"/>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Social media stats worldwide. Statcounter: URL: </w:t>
      </w:r>
      <w:hyperlink r:id="rId2459" w:history="1">
        <w:r w:rsidRPr="00511005">
          <w:rPr>
            <w:rFonts w:ascii="Arial" w:eastAsia="Calibri" w:hAnsi="Arial" w:cs="Arial"/>
            <w:kern w:val="2"/>
            <w:szCs w:val="28"/>
            <w:lang w:val="uk-UA"/>
            <w14:ligatures w14:val="standardContextual"/>
          </w:rPr>
          <w:t>https://gs.statcounter.com/social-media-stats#monthly-200903-202012-bar</w:t>
        </w:r>
      </w:hyperlink>
      <w:r w:rsidRPr="00511005">
        <w:rPr>
          <w:rFonts w:ascii="Arial" w:eastAsia="Calibri" w:hAnsi="Arial" w:cs="Arial"/>
          <w:kern w:val="2"/>
          <w:szCs w:val="28"/>
          <w:lang w:val="uk-UA"/>
          <w14:ligatures w14:val="standardContextual"/>
        </w:rPr>
        <w:t xml:space="preserve"> </w:t>
      </w:r>
    </w:p>
    <w:p w14:paraId="2BFBDCAE" w14:textId="77777777" w:rsidR="00AE57E7" w:rsidRPr="00511005" w:rsidRDefault="00AE57E7" w:rsidP="003F6A5D">
      <w:pPr>
        <w:numPr>
          <w:ilvl w:val="0"/>
          <w:numId w:val="736"/>
        </w:numPr>
        <w:tabs>
          <w:tab w:val="left" w:pos="1134"/>
          <w:tab w:val="left" w:pos="1276"/>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Соцмережі як джерело інформації. Research &amp; Branding Group. </w:t>
      </w:r>
      <w:hyperlink r:id="rId2460" w:history="1">
        <w:r w:rsidRPr="00511005">
          <w:rPr>
            <w:rFonts w:ascii="Arial" w:eastAsia="Calibri" w:hAnsi="Arial" w:cs="Arial"/>
            <w:kern w:val="2"/>
            <w:szCs w:val="28"/>
            <w:lang w:val="uk-UA"/>
            <w14:ligatures w14:val="standardContextual"/>
          </w:rPr>
          <w:t>URL:http://rb.com.ua/uk/blog-uk/omnibus-uk/socmerezhi-jak-dzherelo-informacii/</w:t>
        </w:r>
      </w:hyperlink>
      <w:r w:rsidRPr="00511005">
        <w:rPr>
          <w:rFonts w:ascii="Arial" w:eastAsia="Calibri" w:hAnsi="Arial" w:cs="Arial"/>
          <w:kern w:val="2"/>
          <w:szCs w:val="28"/>
          <w:lang w:val="uk-UA"/>
          <w14:ligatures w14:val="standardContextual"/>
        </w:rPr>
        <w:t xml:space="preserve"> </w:t>
      </w:r>
    </w:p>
    <w:p w14:paraId="784DCC32" w14:textId="77777777" w:rsidR="00AE57E7" w:rsidRPr="00511005" w:rsidRDefault="00AE57E7" w:rsidP="003F6A5D">
      <w:pPr>
        <w:numPr>
          <w:ilvl w:val="0"/>
          <w:numId w:val="736"/>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 чого складається інтернет-маркетинг: стратегії, інструменти, тренди. URL</w:t>
      </w:r>
      <w:hyperlink r:id="rId2461" w:history="1">
        <w:r w:rsidRPr="00511005">
          <w:rPr>
            <w:rFonts w:ascii="Arial" w:eastAsia="Calibri" w:hAnsi="Arial" w:cs="Arial"/>
            <w:kern w:val="2"/>
            <w:szCs w:val="28"/>
            <w:lang w:val="uk-UA"/>
            <w14:ligatures w14:val="standardContextual"/>
          </w:rPr>
          <w:t>: https://sprava.ua/blog/ z-chogo-skladaetysya-internet-marketing</w:t>
        </w:r>
      </w:hyperlink>
    </w:p>
    <w:p w14:paraId="5B9F9F93" w14:textId="77777777" w:rsidR="00AE57E7" w:rsidRPr="00511005" w:rsidRDefault="00AE57E7" w:rsidP="003F6A5D">
      <w:pPr>
        <w:numPr>
          <w:ilvl w:val="0"/>
          <w:numId w:val="736"/>
        </w:numPr>
        <w:tabs>
          <w:tab w:val="left" w:pos="1134"/>
          <w:tab w:val="left" w:pos="1276"/>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Волошин М. В. Комунікативні платформи соціальних інтернет-мереж. URL: </w:t>
      </w:r>
      <w:hyperlink r:id="rId2462" w:history="1">
        <w:r w:rsidRPr="00511005">
          <w:rPr>
            <w:rFonts w:ascii="Arial" w:eastAsia="Calibri" w:hAnsi="Arial" w:cs="Arial"/>
            <w:kern w:val="2"/>
            <w:szCs w:val="28"/>
            <w:lang w:val="uk-UA"/>
            <w14:ligatures w14:val="standardContextual"/>
          </w:rPr>
          <w:t>http://nbuv.gov.ua/UJRN/Ippss_2015_29-30_41</w:t>
        </w:r>
      </w:hyperlink>
      <w:r w:rsidRPr="00511005">
        <w:rPr>
          <w:rFonts w:ascii="Arial" w:eastAsia="Calibri" w:hAnsi="Arial" w:cs="Arial"/>
          <w:kern w:val="2"/>
          <w:szCs w:val="28"/>
          <w:lang w:val="uk-UA"/>
          <w14:ligatures w14:val="standardContextual"/>
        </w:rPr>
        <w:t xml:space="preserve"> </w:t>
      </w:r>
    </w:p>
    <w:p w14:paraId="15B9A0F3" w14:textId="77777777" w:rsidR="00AE57E7" w:rsidRPr="00511005" w:rsidRDefault="00AE57E7" w:rsidP="003A292D">
      <w:pPr>
        <w:spacing w:line="264" w:lineRule="auto"/>
        <w:rPr>
          <w:rFonts w:ascii="Arial" w:eastAsia="Calibri" w:hAnsi="Arial" w:cs="Arial"/>
          <w:b/>
          <w:bCs/>
          <w:kern w:val="2"/>
          <w:szCs w:val="28"/>
          <w:lang w:val="uk-UA"/>
          <w14:ligatures w14:val="standardContextual"/>
        </w:rPr>
      </w:pPr>
    </w:p>
    <w:p w14:paraId="0D6035E4" w14:textId="5CF37790" w:rsidR="00AE57E7" w:rsidRPr="00511005" w:rsidRDefault="007B2628"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b/>
          <w:bCs/>
          <w:i/>
          <w:kern w:val="2"/>
          <w:szCs w:val="28"/>
          <w:lang w:val="uk-UA"/>
          <w14:ligatures w14:val="standardContextual"/>
        </w:rPr>
        <w:t xml:space="preserve">Ключові слова: </w:t>
      </w:r>
      <w:r w:rsidR="00AE57E7" w:rsidRPr="00511005">
        <w:rPr>
          <w:rFonts w:ascii="Arial" w:eastAsia="Calibri" w:hAnsi="Arial" w:cs="Arial"/>
          <w:kern w:val="2"/>
          <w:szCs w:val="28"/>
          <w:lang w:val="uk-UA"/>
          <w14:ligatures w14:val="standardContextual"/>
        </w:rPr>
        <w:t>соці</w:t>
      </w:r>
      <w:r w:rsidR="00AE57E7" w:rsidRPr="00511005">
        <w:rPr>
          <w:rFonts w:ascii="Arial" w:eastAsia="Malgun Gothic" w:hAnsi="Arial" w:cs="Arial"/>
          <w:kern w:val="2"/>
          <w:szCs w:val="28"/>
          <w:lang w:val="uk-UA"/>
          <w14:ligatures w14:val="standardContextual"/>
        </w:rPr>
        <w:t>альн</w:t>
      </w:r>
      <w:r w:rsidR="00AE57E7" w:rsidRPr="00511005">
        <w:rPr>
          <w:rFonts w:ascii="Arial" w:eastAsia="Calibri" w:hAnsi="Arial" w:cs="Arial"/>
          <w:kern w:val="2"/>
          <w:szCs w:val="28"/>
          <w:lang w:val="uk-UA"/>
          <w14:ligatures w14:val="standardContextual"/>
        </w:rPr>
        <w:t xml:space="preserve">і </w:t>
      </w:r>
      <w:r w:rsidR="00AE57E7" w:rsidRPr="00511005">
        <w:rPr>
          <w:rFonts w:ascii="Arial" w:eastAsia="Malgun Gothic" w:hAnsi="Arial" w:cs="Arial"/>
          <w:kern w:val="2"/>
          <w:szCs w:val="28"/>
          <w:lang w:val="uk-UA"/>
          <w14:ligatures w14:val="standardContextual"/>
        </w:rPr>
        <w:t>мереж</w:t>
      </w:r>
      <w:r w:rsidR="00AE57E7" w:rsidRPr="00511005">
        <w:rPr>
          <w:rFonts w:ascii="Arial" w:eastAsia="Calibri" w:hAnsi="Arial" w:cs="Arial"/>
          <w:kern w:val="2"/>
          <w:szCs w:val="28"/>
          <w:lang w:val="uk-UA"/>
          <w14:ligatures w14:val="standardContextual"/>
        </w:rPr>
        <w:t>і, і</w:t>
      </w:r>
      <w:r w:rsidR="00AE57E7" w:rsidRPr="00511005">
        <w:rPr>
          <w:rFonts w:ascii="Arial" w:eastAsia="Malgun Gothic" w:hAnsi="Arial" w:cs="Arial"/>
          <w:kern w:val="2"/>
          <w:szCs w:val="28"/>
          <w:lang w:val="uk-UA"/>
          <w14:ligatures w14:val="standardContextual"/>
        </w:rPr>
        <w:t>нструменти</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маркетингу</w:t>
      </w:r>
      <w:r w:rsidR="00AE57E7" w:rsidRPr="00511005">
        <w:rPr>
          <w:rFonts w:ascii="Arial" w:eastAsia="Calibri" w:hAnsi="Arial" w:cs="Arial"/>
          <w:kern w:val="2"/>
          <w:szCs w:val="28"/>
          <w:lang w:val="uk-UA"/>
          <w14:ligatures w14:val="standardContextual"/>
        </w:rPr>
        <w:t>, соці</w:t>
      </w:r>
      <w:r w:rsidR="00AE57E7" w:rsidRPr="00511005">
        <w:rPr>
          <w:rFonts w:ascii="Arial" w:eastAsia="Malgun Gothic" w:hAnsi="Arial" w:cs="Arial"/>
          <w:kern w:val="2"/>
          <w:szCs w:val="28"/>
          <w:lang w:val="uk-UA"/>
          <w14:ligatures w14:val="standardContextual"/>
        </w:rPr>
        <w:t>альн</w:t>
      </w:r>
      <w:r w:rsidR="00AE57E7" w:rsidRPr="00511005">
        <w:rPr>
          <w:rFonts w:ascii="Arial" w:eastAsia="Calibri" w:hAnsi="Arial" w:cs="Arial"/>
          <w:kern w:val="2"/>
          <w:szCs w:val="28"/>
          <w:lang w:val="uk-UA"/>
          <w14:ligatures w14:val="standardContextual"/>
        </w:rPr>
        <w:t>і і</w:t>
      </w:r>
      <w:r w:rsidR="00AE57E7" w:rsidRPr="00511005">
        <w:rPr>
          <w:rFonts w:ascii="Arial" w:eastAsia="Malgun Gothic" w:hAnsi="Arial" w:cs="Arial"/>
          <w:kern w:val="2"/>
          <w:szCs w:val="28"/>
          <w:lang w:val="uk-UA"/>
          <w14:ligatures w14:val="standardContextual"/>
        </w:rPr>
        <w:t>н</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ц</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ативи</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маркетингов</w:t>
      </w:r>
      <w:r w:rsidR="00AE57E7" w:rsidRPr="00511005">
        <w:rPr>
          <w:rFonts w:ascii="Arial" w:eastAsia="Calibri" w:hAnsi="Arial" w:cs="Arial"/>
          <w:kern w:val="2"/>
          <w:szCs w:val="28"/>
          <w:lang w:val="uk-UA"/>
          <w14:ligatures w14:val="standardContextual"/>
        </w:rPr>
        <w:t xml:space="preserve">і </w:t>
      </w:r>
      <w:r w:rsidR="00AE57E7" w:rsidRPr="00511005">
        <w:rPr>
          <w:rFonts w:ascii="Arial" w:eastAsia="Malgun Gothic" w:hAnsi="Arial" w:cs="Arial"/>
          <w:kern w:val="2"/>
          <w:szCs w:val="28"/>
          <w:lang w:val="uk-UA"/>
          <w14:ligatures w14:val="standardContextual"/>
        </w:rPr>
        <w:t>комун</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кац</w:t>
      </w:r>
      <w:r w:rsidR="00AE57E7" w:rsidRPr="00511005">
        <w:rPr>
          <w:rFonts w:ascii="Arial" w:eastAsia="Calibri" w:hAnsi="Arial" w:cs="Arial"/>
          <w:kern w:val="2"/>
          <w:szCs w:val="28"/>
          <w:lang w:val="uk-UA"/>
          <w14:ligatures w14:val="standardContextual"/>
        </w:rPr>
        <w:t>ії.</w:t>
      </w:r>
    </w:p>
    <w:p w14:paraId="3F00145D" w14:textId="7569CDA6" w:rsidR="00AE57E7" w:rsidRPr="00511005" w:rsidRDefault="007B2628" w:rsidP="003A292D">
      <w:pPr>
        <w:spacing w:line="264" w:lineRule="auto"/>
        <w:rPr>
          <w:rFonts w:ascii="Arial" w:eastAsia="Times New Roman" w:hAnsi="Arial" w:cs="Arial"/>
          <w:kern w:val="2"/>
          <w:szCs w:val="28"/>
          <w:lang w:val="uk-UA"/>
          <w14:ligatures w14:val="standardContextual"/>
        </w:rPr>
      </w:pPr>
      <w:r w:rsidRPr="00511005">
        <w:rPr>
          <w:rFonts w:ascii="Arial" w:eastAsia="Times New Roman" w:hAnsi="Arial" w:cs="Arial"/>
          <w:b/>
          <w:bCs/>
          <w:i/>
          <w:kern w:val="2"/>
          <w:szCs w:val="28"/>
          <w:lang w:val="uk-UA"/>
          <w14:ligatures w14:val="standardContextual"/>
        </w:rPr>
        <w:t xml:space="preserve">Key words: </w:t>
      </w:r>
      <w:r w:rsidR="00AE57E7" w:rsidRPr="00511005">
        <w:rPr>
          <w:rFonts w:ascii="Arial" w:eastAsia="Times New Roman" w:hAnsi="Arial" w:cs="Arial"/>
          <w:kern w:val="2"/>
          <w:szCs w:val="28"/>
          <w:lang w:val="uk-UA"/>
          <w14:ligatures w14:val="standardContextual"/>
        </w:rPr>
        <w:t>social networks, marketing tools, social initiatives, marketing communications.</w:t>
      </w:r>
    </w:p>
    <w:p w14:paraId="011A17E5" w14:textId="3D1AE809" w:rsidR="00AE57E7" w:rsidRPr="00511005" w:rsidRDefault="007B2628" w:rsidP="003A292D">
      <w:pPr>
        <w:spacing w:line="264" w:lineRule="auto"/>
        <w:rPr>
          <w:rFonts w:ascii="Arial" w:eastAsia="Calibri" w:hAnsi="Arial" w:cs="Arial"/>
          <w:kern w:val="2"/>
          <w:szCs w:val="28"/>
          <w:lang w:val="uk-UA"/>
          <w14:ligatures w14:val="standardContextual"/>
        </w:rPr>
      </w:pPr>
      <w:r w:rsidRPr="00511005">
        <w:rPr>
          <w:rFonts w:ascii="Arial" w:eastAsia="Arial" w:hAnsi="Arial" w:cs="Arial"/>
          <w:b/>
          <w:i/>
          <w:kern w:val="1"/>
          <w:szCs w:val="28"/>
          <w:lang w:val="uk-UA" w:eastAsia="ar-SA"/>
          <w14:ligatures w14:val="standardContextual"/>
        </w:rPr>
        <w:t xml:space="preserve">Науковий керівник: </w:t>
      </w:r>
      <w:r w:rsidR="00AE57E7" w:rsidRPr="00511005">
        <w:rPr>
          <w:rFonts w:ascii="Arial" w:eastAsia="Arial" w:hAnsi="Arial" w:cs="Arial"/>
          <w:i/>
          <w:kern w:val="1"/>
          <w:szCs w:val="28"/>
          <w:lang w:val="uk-UA" w:eastAsia="ar-SA"/>
          <w14:ligatures w14:val="standardContextual"/>
        </w:rPr>
        <w:t>к.е.н., доцент</w:t>
      </w:r>
      <w:r w:rsidRPr="00511005">
        <w:rPr>
          <w:rFonts w:ascii="Arial" w:eastAsia="Arial" w:hAnsi="Arial" w:cs="Arial"/>
          <w:i/>
          <w:kern w:val="1"/>
          <w:szCs w:val="28"/>
          <w:lang w:val="uk-UA" w:eastAsia="ar-SA"/>
          <w14:ligatures w14:val="standardContextual"/>
        </w:rPr>
        <w:t xml:space="preserve"> </w:t>
      </w:r>
      <w:r w:rsidR="00AE57E7" w:rsidRPr="00511005">
        <w:rPr>
          <w:rFonts w:ascii="Arial" w:eastAsia="Arial" w:hAnsi="Arial" w:cs="Arial"/>
          <w:i/>
          <w:kern w:val="1"/>
          <w:szCs w:val="28"/>
          <w:lang w:val="uk-UA" w:eastAsia="ar-SA"/>
          <w14:ligatures w14:val="standardContextual"/>
        </w:rPr>
        <w:t>Редіна Є.В.</w:t>
      </w:r>
    </w:p>
    <w:p w14:paraId="61135314" w14:textId="77777777" w:rsidR="00AE57E7" w:rsidRPr="00511005" w:rsidRDefault="00AE57E7" w:rsidP="003A292D">
      <w:pPr>
        <w:spacing w:line="264" w:lineRule="auto"/>
        <w:jc w:val="center"/>
        <w:rPr>
          <w:rFonts w:ascii="Arial" w:eastAsia="Times New Roman" w:hAnsi="Arial" w:cs="Arial"/>
          <w:b/>
          <w:i/>
          <w:iCs/>
          <w:szCs w:val="28"/>
          <w:lang w:val="uk-UA" w:eastAsia="ru-RU"/>
        </w:rPr>
      </w:pPr>
    </w:p>
    <w:p w14:paraId="3D670A85" w14:textId="77777777" w:rsidR="00AE57E7" w:rsidRPr="00511005" w:rsidRDefault="00AE57E7" w:rsidP="003A292D">
      <w:pPr>
        <w:spacing w:line="264" w:lineRule="auto"/>
        <w:ind w:firstLine="0"/>
        <w:jc w:val="left"/>
        <w:rPr>
          <w:rFonts w:ascii="Arial" w:eastAsia="Times New Roman" w:hAnsi="Arial" w:cs="Arial"/>
          <w:b/>
          <w:i/>
          <w:iCs/>
          <w:szCs w:val="28"/>
          <w:lang w:val="uk-UA" w:eastAsia="ru-RU"/>
        </w:rPr>
      </w:pPr>
      <w:r w:rsidRPr="00511005">
        <w:rPr>
          <w:rFonts w:ascii="Arial" w:eastAsia="Times New Roman" w:hAnsi="Arial" w:cs="Arial"/>
          <w:b/>
          <w:i/>
          <w:iCs/>
          <w:szCs w:val="28"/>
          <w:lang w:val="uk-UA" w:eastAsia="ru-RU"/>
        </w:rPr>
        <w:br w:type="page"/>
      </w:r>
    </w:p>
    <w:p w14:paraId="350B76F8" w14:textId="77777777" w:rsidR="00AE57E7" w:rsidRPr="00511005" w:rsidRDefault="00AE57E7" w:rsidP="003A292D">
      <w:pPr>
        <w:spacing w:line="264" w:lineRule="auto"/>
        <w:ind w:firstLine="0"/>
        <w:jc w:val="center"/>
        <w:rPr>
          <w:rFonts w:ascii="Arial" w:eastAsia="Times New Roman" w:hAnsi="Arial" w:cs="Arial"/>
          <w:b/>
          <w:i/>
          <w:iCs/>
          <w:szCs w:val="28"/>
          <w:lang w:val="uk-UA" w:eastAsia="ru-RU"/>
        </w:rPr>
      </w:pPr>
      <w:r w:rsidRPr="00511005">
        <w:rPr>
          <w:rFonts w:ascii="Arial" w:eastAsia="Times New Roman" w:hAnsi="Arial" w:cs="Arial"/>
          <w:b/>
          <w:i/>
          <w:iCs/>
          <w:szCs w:val="28"/>
          <w:lang w:val="uk-UA" w:eastAsia="ru-RU"/>
        </w:rPr>
        <w:lastRenderedPageBreak/>
        <w:t xml:space="preserve">Бессмертна Ангеліна Михайлівна </w:t>
      </w:r>
    </w:p>
    <w:p w14:paraId="13DFDC17" w14:textId="16FE8084" w:rsidR="00AE57E7" w:rsidRPr="00511005" w:rsidRDefault="00536AAB" w:rsidP="003A292D">
      <w:pPr>
        <w:spacing w:line="264" w:lineRule="auto"/>
        <w:ind w:firstLine="0"/>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студентка 4-го курсу факультету адвокатури та антикорупційної діяльності</w:t>
      </w:r>
    </w:p>
    <w:p w14:paraId="0E0B2996" w14:textId="1F0B8311" w:rsidR="00AE57E7" w:rsidRPr="00511005" w:rsidRDefault="007B2628" w:rsidP="003A292D">
      <w:pPr>
        <w:spacing w:line="264" w:lineRule="auto"/>
        <w:ind w:firstLine="0"/>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p>
    <w:p w14:paraId="5D47210E" w14:textId="77777777" w:rsidR="00AE57E7" w:rsidRPr="00511005" w:rsidRDefault="00AE57E7" w:rsidP="003A292D">
      <w:pPr>
        <w:spacing w:line="264" w:lineRule="auto"/>
        <w:ind w:firstLine="0"/>
        <w:jc w:val="center"/>
        <w:rPr>
          <w:rFonts w:ascii="Arial" w:eastAsia="Times New Roman" w:hAnsi="Arial" w:cs="Arial"/>
          <w:b/>
          <w:szCs w:val="28"/>
          <w:lang w:val="uk-UA" w:eastAsia="ru-RU"/>
        </w:rPr>
      </w:pPr>
    </w:p>
    <w:p w14:paraId="0CCBED75" w14:textId="77777777" w:rsidR="00AE57E7" w:rsidRPr="00511005" w:rsidRDefault="00AE57E7"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ВПЛИВ МУЛЬТИКУЛЬТУРНИХ КОМАНД НА ЕФЕКТИВНІСТЬ БІЗНЕСУ</w:t>
      </w:r>
    </w:p>
    <w:p w14:paraId="06614D0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Сучасні глобальні умови трансформували підходи до ведення бізнесу, визначивши мультикультурні команди як ключовий елемент корпоративного середовища. Такі команди, що об’єднують представників різних культур, забезпечують бізнесу можливість ефективного функціонування на міжнародних ринках і здобуття конкурентних переваг за рахунок різноманітності перспектив і підходів. Проте їхня діяльність супроводжується низькими викликами, які потребують розробки та впровадження дієвих стратегій управління.</w:t>
      </w:r>
    </w:p>
    <w:p w14:paraId="5DD5409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Мультикультурні команди являють собою групу фахівців із різних культурних контекстів, об’єднаних спільними цілями та завданнями. Вони виступають як цілеспрямована соціальна система, що взаємодіє як усередині, так і в зовнішньому середовищі [1]. Основною перевагою такої команди є їхній потенціал для залучення різноманітних поглядів, що сприяє інноваційному мисленню та творчому вирішенню завдань. Різноплановий досвід учасників дозволяє провести глибший аналіз проблем і розробити нестандартні підходи до їх розв'язання.</w:t>
      </w:r>
    </w:p>
    <w:p w14:paraId="591ABC89"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Ключовим чинником ефективності мультикультурних команд є лідерство. Успішний керівник виконує не тільки функцію координатора, але й роль посередника між культурами, сприяючи подоланню непорозумінь і налагодженню конструктивної взаємодії. Важливе значення має психічний інтелект лідера, який дозволяє розвивати індивідуальні особливості членів команди та створювати сприятливі умови для співпраці. Гнучкість і адаптивність також є критично важливими якостями управління в контексті роботи з міжнародними командами, хоча це вимагає швидкого реагування на зміни та пошуку компромісних рішень. Крім того, ефективний лідер має вміти мотивувати працівників із урахуванням їхніх культурних цінностей, що досягає продуктивності і мінімізує конфлікти [2].</w:t>
      </w:r>
    </w:p>
    <w:p w14:paraId="71BFC70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Для бізнес-структур, орієнтованих на міжнародні ринки, мультикультурні команди надають значні стратегічні переваги. Представники різних культур краще усвідомлюють потреби локальних ринків, що сприяє розробці адаптованих маркетингових стратегій і ідеальному продукту відповідно до специфіки регіонів. Така різноманітність позитивно також впливає на репутацію бізнесу, підкреслюючи її відкритість і толерантність.</w:t>
      </w:r>
    </w:p>
    <w:p w14:paraId="65427F8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Разом із тим функціонування мультикультурних команд пов'язане з певними труднощами. Основні перешкоди включають мовні бар'єри, культурні відмінності, різноманітність комунікаційних стилів, інтерпретацію </w:t>
      </w:r>
      <w:r w:rsidRPr="00511005">
        <w:rPr>
          <w:rFonts w:ascii="Arial" w:eastAsia="Times New Roman" w:hAnsi="Arial" w:cs="Arial"/>
          <w:szCs w:val="28"/>
          <w:lang w:val="uk-UA" w:eastAsia="ru-RU"/>
        </w:rPr>
        <w:lastRenderedPageBreak/>
        <w:t>невербальних сигналів, а також стереотипи й упередження. Різний рівень володіння робочою мовою може ускладнювати обмін інформацією та призводити до непорозумінь чи конфліктів. Наприклад, недостатнє знання англійської мови часто стає причиною комунікаційних бар'єрів. Культурні особливості, такі як традиції, цінності й робочі підходи, також впливають на взаємодію. У східних культурах, наприклад, відкрита критика зазвичай уникає, тоді як у західних традиціях прямий зворотний зв’язок є стандартом [3].</w:t>
      </w:r>
    </w:p>
    <w:p w14:paraId="4322415E"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Додаткові труднощі забезпечують через відмінності в комунікаційних стилях: одні культури надають перевагу прямолінійному спілкуванню, інші – непрямим формам висловлювання. Невербальні сигнали, зокрема міміка, жести та інтонація, можуть інтерпретуватися по-різному залежно від культурного контексту, що ускладнює взаєморозуміння. Вплив стереотипів і упереджень також не слід недооцінювати, відсутність хибних уявлень про представників іншої культури може перешкодити співпраці.</w:t>
      </w:r>
    </w:p>
    <w:p w14:paraId="14329442" w14:textId="77777777" w:rsidR="00AE57E7" w:rsidRPr="00511005" w:rsidRDefault="00AE57E7" w:rsidP="007D4E4E">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Ефективність мультикультурних команд залежить від впровадження стратегій управління міжкультурними відмінностями. Серед основних інструментів і напрямів вирішення проблеми виділяються такі:</w:t>
      </w:r>
    </w:p>
    <w:p w14:paraId="736E6B09" w14:textId="77777777" w:rsidR="00AE57E7" w:rsidRPr="00511005" w:rsidRDefault="00AE57E7" w:rsidP="003F6A5D">
      <w:pPr>
        <w:numPr>
          <w:ilvl w:val="0"/>
          <w:numId w:val="709"/>
        </w:numPr>
        <w:tabs>
          <w:tab w:val="left" w:pos="993"/>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Проведення регулярних навчальних програм успішним учасникам команд розвивати навички адаптації, розуміння культурних особливостей і толерантності до відмінностей. Такі тренінги можуть включати кейс-стаді, рольові ігри та аналіз реальних ситуацій.</w:t>
      </w:r>
    </w:p>
    <w:p w14:paraId="6E0D27E9" w14:textId="77777777" w:rsidR="00AE57E7" w:rsidRPr="00511005" w:rsidRDefault="00AE57E7" w:rsidP="003F6A5D">
      <w:pPr>
        <w:numPr>
          <w:ilvl w:val="0"/>
          <w:numId w:val="709"/>
        </w:numPr>
        <w:tabs>
          <w:tab w:val="left" w:pos="993"/>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Розробка спільних цінностей, норм і правил поведінки сприяння інтеграції працівників із різними культурами в єдине робоче середовище. Це може передбачати створення кодексу поведінки або організацію корпоративних заходів для зміцнення командного духу.</w:t>
      </w:r>
    </w:p>
    <w:p w14:paraId="09C1085D" w14:textId="77777777" w:rsidR="00AE57E7" w:rsidRPr="00511005" w:rsidRDefault="00AE57E7" w:rsidP="003F6A5D">
      <w:pPr>
        <w:numPr>
          <w:ilvl w:val="0"/>
          <w:numId w:val="709"/>
        </w:numPr>
        <w:tabs>
          <w:tab w:val="left" w:pos="993"/>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Застосування адаптивних підходів до спілкування, таких як використання кількох мов у робочому процесі чи врахування культурних особливостей у стилі взаємодії, зменшує ризик конфліктів і ефективність обміну інформацією.</w:t>
      </w:r>
    </w:p>
    <w:p w14:paraId="4D6A8EDB" w14:textId="77777777" w:rsidR="00AE57E7" w:rsidRPr="00511005" w:rsidRDefault="00AE57E7" w:rsidP="003F6A5D">
      <w:pPr>
        <w:numPr>
          <w:ilvl w:val="0"/>
          <w:numId w:val="709"/>
        </w:numPr>
        <w:tabs>
          <w:tab w:val="left" w:pos="993"/>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Експерти з міжнародного менеджменту можуть допомогти командам у вирішенні конфліктів, проведених переговорів і налагодженні співпраці, особливо на початкових етапах роботи.</w:t>
      </w:r>
    </w:p>
    <w:p w14:paraId="0BF754CF" w14:textId="77777777" w:rsidR="00AE57E7" w:rsidRPr="00511005" w:rsidRDefault="00AE57E7" w:rsidP="003F6A5D">
      <w:pPr>
        <w:numPr>
          <w:ilvl w:val="0"/>
          <w:numId w:val="709"/>
        </w:numPr>
        <w:tabs>
          <w:tab w:val="left" w:pos="993"/>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Використання автоматизованих перекладачів, платформи для спільної роботи (наприклад, Slack, Microsoft Teams) і програмного забезпечення для аналізу комунікаційних стилів (наприклад, інструменти на базі штучного інтелекту) полегшує подолання мовних і культурних бар’єрів.</w:t>
      </w:r>
    </w:p>
    <w:p w14:paraId="2A7D363C" w14:textId="77777777" w:rsidR="00AE57E7" w:rsidRPr="00511005" w:rsidRDefault="00AE57E7" w:rsidP="003F6A5D">
      <w:pPr>
        <w:numPr>
          <w:ilvl w:val="0"/>
          <w:numId w:val="709"/>
        </w:numPr>
        <w:tabs>
          <w:tab w:val="left" w:pos="993"/>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Організація наставництва, коли більш досвідчені члени команди допомагають новим учасникам адаптуватися до мультикультурного середовища, сприяючи швидкій інтеграції та підвищенню продуктивності.</w:t>
      </w:r>
    </w:p>
    <w:p w14:paraId="209655A5" w14:textId="77777777" w:rsidR="00AE57E7" w:rsidRPr="00511005" w:rsidRDefault="00AE57E7" w:rsidP="003F6A5D">
      <w:pPr>
        <w:numPr>
          <w:ilvl w:val="0"/>
          <w:numId w:val="709"/>
        </w:numPr>
        <w:tabs>
          <w:tab w:val="left" w:pos="993"/>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Впровадження структурованих механізмів зворотного зв'язку, таких як анонімні опитування чи регулярні командні обговорення, дозволяє вчасно виявляти проблеми та коригувати підходи до управління.</w:t>
      </w:r>
    </w:p>
    <w:p w14:paraId="4260571C" w14:textId="77777777" w:rsidR="00AE57E7" w:rsidRPr="00511005" w:rsidRDefault="00AE57E7" w:rsidP="007D4E4E">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перспективі значення мультикультурних команд для бізнесу лише зростатиме. Глобальні корпорації дедалі активніше інвестують у розвиток міжкультурних компетенцій працівників, що підвищує їх рівень конкурентоспроможності. Технологічні інновації, зокрема штучний інтелект та автоматизовані системи перекладу, сприяють зниженню мовних бар’єрів та підвищенню ефективності комунікації. Розвиток дистанційної роботи також стимулює створення віртуальних мультикультурних команд, відкриваючи нові горизонти для бізнесу у глобальному масштабі.</w:t>
      </w:r>
    </w:p>
    <w:p w14:paraId="04FAA18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мультикультурні команди є інструментом сучасного бізнесу, надаючи доступ до різноманітних ідей, культурного досвіду та стратегічних можливостей на міжнародній арені. Водночас їхня успішна діяльність вимагає системного підходу до управління міжкультурними відмінностями та подолання комунікаційних бар’єрів за допомогою широкого спектру інструментів і стратегій. У контексті глобалізації розвиток міжкультурних компетенцій стає необхідною передумовою для досягнення організаційного успіху.</w:t>
      </w:r>
    </w:p>
    <w:p w14:paraId="1E141934" w14:textId="77777777" w:rsidR="00AE57E7" w:rsidRPr="00511005" w:rsidRDefault="00AE57E7" w:rsidP="003A292D">
      <w:pPr>
        <w:spacing w:line="264" w:lineRule="auto"/>
        <w:rPr>
          <w:rFonts w:ascii="Arial" w:eastAsia="Times New Roman" w:hAnsi="Arial" w:cs="Arial"/>
          <w:szCs w:val="28"/>
          <w:lang w:val="uk-UA" w:eastAsia="ru-RU"/>
        </w:rPr>
      </w:pPr>
    </w:p>
    <w:p w14:paraId="0417B337" w14:textId="3A8AFFA5" w:rsidR="00AE57E7" w:rsidRPr="00511005" w:rsidRDefault="007B2628" w:rsidP="007B2628">
      <w:pPr>
        <w:keepNext/>
        <w:widowControl w:val="0"/>
        <w:spacing w:line="264" w:lineRule="auto"/>
        <w:ind w:firstLine="0"/>
        <w:jc w:val="center"/>
        <w:rPr>
          <w:rFonts w:ascii="Arial" w:eastAsia="Times New Roman" w:hAnsi="Arial" w:cs="Arial"/>
          <w:b/>
          <w:szCs w:val="28"/>
          <w:lang w:val="uk-UA" w:eastAsia="ru-RU"/>
        </w:rPr>
      </w:pPr>
      <w:bookmarkStart w:id="295" w:name="_Hlk197947096"/>
      <w:r w:rsidRPr="00511005">
        <w:rPr>
          <w:rFonts w:ascii="Arial" w:eastAsia="Times New Roman" w:hAnsi="Arial" w:cs="Arial"/>
          <w:b/>
          <w:szCs w:val="28"/>
          <w:lang w:val="uk-UA" w:eastAsia="ru-RU"/>
        </w:rPr>
        <w:t>Список використаних джерел</w:t>
      </w:r>
    </w:p>
    <w:bookmarkEnd w:id="295"/>
    <w:p w14:paraId="1C42F7DC" w14:textId="77777777" w:rsidR="00AE57E7" w:rsidRPr="00511005" w:rsidRDefault="00AE57E7" w:rsidP="003F6A5D">
      <w:pPr>
        <w:numPr>
          <w:ilvl w:val="0"/>
          <w:numId w:val="710"/>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Князєва Т. В. Міжнародний маркетинг: навч. посібник. Київ: НАУ, 2019. 164 с.</w:t>
      </w:r>
    </w:p>
    <w:p w14:paraId="502B7336" w14:textId="77777777" w:rsidR="00AE57E7" w:rsidRPr="00511005" w:rsidRDefault="00AE57E7" w:rsidP="003F6A5D">
      <w:pPr>
        <w:numPr>
          <w:ilvl w:val="0"/>
          <w:numId w:val="710"/>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Девід С. Томас, Марк Ф. Петерсон. Міжкультурний менеджмент: основні поняття. 4-е видання. 2017. 336 с.</w:t>
      </w:r>
    </w:p>
    <w:p w14:paraId="2DEFB29D" w14:textId="77777777" w:rsidR="00AE57E7" w:rsidRPr="00511005" w:rsidRDefault="00AE57E7" w:rsidP="003F6A5D">
      <w:pPr>
        <w:numPr>
          <w:ilvl w:val="0"/>
          <w:numId w:val="710"/>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Денні С. Культура та її вплив на управління: критика та емпіричний тест. В Міжнародний менеджмент: теорія і практика. Лондон: Pearson Education, 2003. 315 с.</w:t>
      </w:r>
    </w:p>
    <w:p w14:paraId="5FA3FC43" w14:textId="77777777" w:rsidR="00AE57E7" w:rsidRPr="00511005" w:rsidRDefault="00AE57E7" w:rsidP="003F6A5D">
      <w:pPr>
        <w:numPr>
          <w:ilvl w:val="0"/>
          <w:numId w:val="710"/>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Halverson CB., Tirmizi SA. Ефективні мультикультурні команди: теорія і практика. Springer Science &amp; Business Media, 2008. 432 с.</w:t>
      </w:r>
    </w:p>
    <w:p w14:paraId="31117E44" w14:textId="77777777" w:rsidR="00AE57E7" w:rsidRPr="00511005" w:rsidRDefault="00AE57E7" w:rsidP="003A292D">
      <w:pPr>
        <w:spacing w:line="264" w:lineRule="auto"/>
        <w:ind w:left="709"/>
        <w:rPr>
          <w:rFonts w:ascii="Arial" w:eastAsia="Times New Roman" w:hAnsi="Arial" w:cs="Arial"/>
          <w:szCs w:val="28"/>
          <w:lang w:val="uk-UA" w:eastAsia="ru-RU"/>
        </w:rPr>
      </w:pPr>
    </w:p>
    <w:p w14:paraId="0725CE13" w14:textId="18F14C0E"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мультикультурні команди, ефективність бізнесу, міжкультурна комунікація, культурні відмінності, адаптивне управління, міжнародний менеджмент.</w:t>
      </w:r>
    </w:p>
    <w:p w14:paraId="505F5A6F" w14:textId="108949F9"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AE57E7" w:rsidRPr="00511005">
        <w:rPr>
          <w:rFonts w:ascii="Arial" w:eastAsia="Times New Roman" w:hAnsi="Arial" w:cs="Arial"/>
          <w:szCs w:val="28"/>
          <w:lang w:val="uk-UA" w:eastAsia="ru-RU"/>
        </w:rPr>
        <w:t>multicultural teams, business efficiency, intercultural communication, cultural differences, adaptive management, international management.</w:t>
      </w:r>
    </w:p>
    <w:p w14:paraId="751D429E" w14:textId="77737287" w:rsidR="00AE57E7" w:rsidRPr="00511005" w:rsidRDefault="007B2628" w:rsidP="003A292D">
      <w:pPr>
        <w:spacing w:line="264" w:lineRule="auto"/>
        <w:rPr>
          <w:rFonts w:ascii="Arial" w:eastAsia="Times New Roman" w:hAnsi="Arial" w:cs="Arial"/>
          <w:iCs/>
          <w:szCs w:val="28"/>
          <w:lang w:val="uk-UA" w:eastAsia="ru-RU"/>
        </w:rPr>
      </w:pPr>
      <w:r w:rsidRPr="00511005">
        <w:rPr>
          <w:rFonts w:ascii="Arial" w:eastAsia="Times New Roman" w:hAnsi="Arial" w:cs="Arial"/>
          <w:b/>
          <w:i/>
          <w:szCs w:val="28"/>
          <w:lang w:val="uk-UA" w:eastAsia="ru-RU"/>
        </w:rPr>
        <w:t xml:space="preserve">Науковий керівник: </w:t>
      </w:r>
      <w:r w:rsidR="00AE57E7" w:rsidRPr="00511005">
        <w:rPr>
          <w:rFonts w:ascii="Arial" w:eastAsia="Times New Roman" w:hAnsi="Arial" w:cs="Arial"/>
          <w:iCs/>
          <w:szCs w:val="28"/>
          <w:lang w:val="uk-UA" w:eastAsia="ru-RU"/>
        </w:rPr>
        <w:t>к.е.н., доцент Котлубай В.О.</w:t>
      </w:r>
    </w:p>
    <w:p w14:paraId="7E918F9F" w14:textId="77777777" w:rsidR="00AE57E7" w:rsidRPr="00511005" w:rsidRDefault="00AE57E7" w:rsidP="003A292D">
      <w:pPr>
        <w:spacing w:line="264" w:lineRule="auto"/>
        <w:rPr>
          <w:rFonts w:ascii="Arial" w:eastAsia="Times New Roman" w:hAnsi="Arial" w:cs="Arial"/>
          <w:szCs w:val="28"/>
          <w:lang w:val="uk-UA" w:eastAsia="ru-RU"/>
        </w:rPr>
      </w:pPr>
    </w:p>
    <w:p w14:paraId="313FBA14" w14:textId="77777777" w:rsidR="00AE57E7" w:rsidRPr="00511005" w:rsidRDefault="00AE57E7" w:rsidP="003A292D">
      <w:pPr>
        <w:spacing w:line="264" w:lineRule="auto"/>
        <w:ind w:firstLine="0"/>
        <w:jc w:val="left"/>
        <w:rPr>
          <w:rFonts w:ascii="Arial" w:eastAsia="Calibri" w:hAnsi="Arial" w:cs="Arial"/>
          <w:b/>
          <w:noProof/>
          <w:szCs w:val="28"/>
          <w:lang w:val="uk-UA"/>
        </w:rPr>
      </w:pPr>
      <w:r w:rsidRPr="00511005">
        <w:rPr>
          <w:rFonts w:ascii="Arial" w:eastAsia="Calibri" w:hAnsi="Arial" w:cs="Arial"/>
          <w:b/>
          <w:noProof/>
          <w:szCs w:val="28"/>
          <w:lang w:val="uk-UA"/>
        </w:rPr>
        <w:br w:type="page"/>
      </w:r>
    </w:p>
    <w:p w14:paraId="74D259B8" w14:textId="1B4BFF6E" w:rsidR="00AE57E7" w:rsidRPr="00511005" w:rsidRDefault="00AE57E7" w:rsidP="003A292D">
      <w:pPr>
        <w:spacing w:line="264" w:lineRule="auto"/>
        <w:ind w:firstLine="0"/>
        <w:jc w:val="center"/>
        <w:rPr>
          <w:rFonts w:ascii="Arial" w:eastAsia="Calibri" w:hAnsi="Arial" w:cs="Arial"/>
          <w:b/>
          <w:i/>
          <w:iCs/>
          <w:noProof/>
          <w:szCs w:val="28"/>
          <w:lang w:val="uk-UA"/>
        </w:rPr>
      </w:pPr>
      <w:r w:rsidRPr="00511005">
        <w:rPr>
          <w:rFonts w:ascii="Arial" w:eastAsia="Calibri" w:hAnsi="Arial" w:cs="Arial"/>
          <w:b/>
          <w:i/>
          <w:iCs/>
          <w:noProof/>
          <w:szCs w:val="28"/>
          <w:lang w:val="uk-UA"/>
        </w:rPr>
        <w:lastRenderedPageBreak/>
        <w:t>Белаковська Софія Леонідівна</w:t>
      </w:r>
    </w:p>
    <w:p w14:paraId="62F18BEA" w14:textId="77777777" w:rsidR="001D1A08" w:rsidRPr="00511005" w:rsidRDefault="001D1A08" w:rsidP="003A292D">
      <w:pPr>
        <w:spacing w:line="264" w:lineRule="auto"/>
        <w:ind w:hanging="142"/>
        <w:jc w:val="center"/>
        <w:rPr>
          <w:rFonts w:ascii="Arial" w:eastAsia="Calibri" w:hAnsi="Arial" w:cs="Arial"/>
          <w:bCs/>
          <w:noProof/>
          <w:szCs w:val="28"/>
          <w:lang w:val="uk-UA"/>
        </w:rPr>
      </w:pPr>
      <w:r w:rsidRPr="00511005">
        <w:rPr>
          <w:rFonts w:ascii="Arial" w:eastAsia="Calibri" w:hAnsi="Arial" w:cs="Arial"/>
          <w:bCs/>
          <w:noProof/>
          <w:szCs w:val="28"/>
          <w:lang w:val="uk-UA"/>
        </w:rPr>
        <w:t>с</w:t>
      </w:r>
      <w:r w:rsidR="00536AAB" w:rsidRPr="00511005">
        <w:rPr>
          <w:rFonts w:ascii="Arial" w:eastAsia="Calibri" w:hAnsi="Arial" w:cs="Arial"/>
          <w:bCs/>
          <w:noProof/>
          <w:szCs w:val="28"/>
          <w:lang w:val="uk-UA"/>
        </w:rPr>
        <w:t xml:space="preserve">тудентка 4-го курсу </w:t>
      </w:r>
      <w:r w:rsidR="00AE57E7" w:rsidRPr="00511005">
        <w:rPr>
          <w:rFonts w:ascii="Arial" w:eastAsia="Calibri" w:hAnsi="Arial" w:cs="Arial"/>
          <w:bCs/>
          <w:noProof/>
          <w:szCs w:val="28"/>
          <w:lang w:val="uk-UA"/>
        </w:rPr>
        <w:t>факультету адвокатури та антикорупційної</w:t>
      </w:r>
      <w:r w:rsidRPr="00511005">
        <w:rPr>
          <w:rFonts w:ascii="Arial" w:eastAsia="Calibri" w:hAnsi="Arial" w:cs="Arial"/>
          <w:bCs/>
          <w:noProof/>
          <w:szCs w:val="28"/>
          <w:lang w:val="uk-UA"/>
        </w:rPr>
        <w:t xml:space="preserve"> </w:t>
      </w:r>
      <w:r w:rsidR="00AE57E7" w:rsidRPr="00511005">
        <w:rPr>
          <w:rFonts w:ascii="Arial" w:eastAsia="Calibri" w:hAnsi="Arial" w:cs="Arial"/>
          <w:bCs/>
          <w:noProof/>
          <w:szCs w:val="28"/>
          <w:lang w:val="uk-UA"/>
        </w:rPr>
        <w:t>діяльності</w:t>
      </w:r>
    </w:p>
    <w:p w14:paraId="10147BD5" w14:textId="4A6FFF0A" w:rsidR="00AE57E7" w:rsidRPr="00511005" w:rsidRDefault="001D1A08" w:rsidP="003A292D">
      <w:pPr>
        <w:spacing w:line="264" w:lineRule="auto"/>
        <w:ind w:hanging="142"/>
        <w:jc w:val="center"/>
        <w:rPr>
          <w:rFonts w:ascii="Arial" w:eastAsia="Calibri" w:hAnsi="Arial" w:cs="Arial"/>
          <w:bCs/>
          <w:noProof/>
          <w:szCs w:val="28"/>
          <w:lang w:val="uk-UA"/>
        </w:rPr>
      </w:pPr>
      <w:r w:rsidRPr="00511005">
        <w:rPr>
          <w:rFonts w:ascii="Arial" w:eastAsia="Calibri" w:hAnsi="Arial" w:cs="Arial"/>
          <w:bCs/>
          <w:noProof/>
          <w:szCs w:val="28"/>
          <w:lang w:val="uk-UA"/>
        </w:rPr>
        <w:t>Н</w:t>
      </w:r>
      <w:r w:rsidR="00AE57E7" w:rsidRPr="00511005">
        <w:rPr>
          <w:rFonts w:ascii="Arial" w:eastAsia="Calibri" w:hAnsi="Arial" w:cs="Arial"/>
          <w:bCs/>
          <w:noProof/>
          <w:szCs w:val="28"/>
          <w:lang w:val="uk-UA"/>
        </w:rPr>
        <w:t>аціональн</w:t>
      </w:r>
      <w:r w:rsidRPr="00511005">
        <w:rPr>
          <w:rFonts w:ascii="Arial" w:eastAsia="Calibri" w:hAnsi="Arial" w:cs="Arial"/>
          <w:bCs/>
          <w:noProof/>
          <w:szCs w:val="28"/>
          <w:lang w:val="uk-UA"/>
        </w:rPr>
        <w:t>ого</w:t>
      </w:r>
      <w:r w:rsidR="00AE57E7" w:rsidRPr="00511005">
        <w:rPr>
          <w:rFonts w:ascii="Arial" w:eastAsia="Calibri" w:hAnsi="Arial" w:cs="Arial"/>
          <w:bCs/>
          <w:noProof/>
          <w:szCs w:val="28"/>
          <w:lang w:val="uk-UA"/>
        </w:rPr>
        <w:t xml:space="preserve"> університет</w:t>
      </w:r>
      <w:r w:rsidRPr="00511005">
        <w:rPr>
          <w:rFonts w:ascii="Arial" w:eastAsia="Calibri" w:hAnsi="Arial" w:cs="Arial"/>
          <w:bCs/>
          <w:noProof/>
          <w:szCs w:val="28"/>
          <w:lang w:val="uk-UA"/>
        </w:rPr>
        <w:t>у</w:t>
      </w:r>
      <w:r w:rsidR="00AE57E7" w:rsidRPr="00511005">
        <w:rPr>
          <w:rFonts w:ascii="Arial" w:eastAsia="Calibri" w:hAnsi="Arial" w:cs="Arial"/>
          <w:bCs/>
          <w:noProof/>
          <w:szCs w:val="28"/>
          <w:lang w:val="uk-UA"/>
        </w:rPr>
        <w:t xml:space="preserve"> «Одеська юридична академія»</w:t>
      </w:r>
    </w:p>
    <w:p w14:paraId="7CDF42E9" w14:textId="77777777" w:rsidR="00AE57E7" w:rsidRPr="00511005" w:rsidRDefault="00AE57E7" w:rsidP="003A292D">
      <w:pPr>
        <w:spacing w:line="264" w:lineRule="auto"/>
        <w:ind w:firstLine="0"/>
        <w:jc w:val="center"/>
        <w:rPr>
          <w:rFonts w:ascii="Arial" w:eastAsia="Calibri" w:hAnsi="Arial" w:cs="Arial"/>
          <w:b/>
          <w:noProof/>
          <w:szCs w:val="28"/>
          <w:lang w:val="uk-UA"/>
        </w:rPr>
      </w:pPr>
    </w:p>
    <w:p w14:paraId="1C16EF1D" w14:textId="77777777" w:rsidR="00AE57E7" w:rsidRPr="00511005" w:rsidRDefault="00AE57E7" w:rsidP="003A292D">
      <w:pPr>
        <w:spacing w:line="264" w:lineRule="auto"/>
        <w:ind w:firstLine="0"/>
        <w:jc w:val="center"/>
        <w:rPr>
          <w:rFonts w:ascii="Arial" w:eastAsia="Calibri" w:hAnsi="Arial" w:cs="Arial"/>
          <w:b/>
          <w:noProof/>
          <w:szCs w:val="28"/>
          <w:lang w:val="uk-UA"/>
        </w:rPr>
      </w:pPr>
      <w:r w:rsidRPr="00511005">
        <w:rPr>
          <w:rFonts w:ascii="Arial" w:eastAsia="Calibri" w:hAnsi="Arial" w:cs="Arial"/>
          <w:b/>
          <w:noProof/>
          <w:szCs w:val="28"/>
          <w:lang w:val="uk-UA"/>
        </w:rPr>
        <w:t>ПЕРЕДУМОВИ ВПРОВАДЖЕННЯ ПРИНЦИПІВ ЕФЕКТИВНОГО КОРПОРАТИВНОГО УПРАВЛІННЯ ДЛЯ ЗМІЦНЕННЯ ДІЛОВОЇ РЕПУТАЦІЇ ОРГАНІЗАЦІЇ</w:t>
      </w:r>
    </w:p>
    <w:p w14:paraId="36DFF8CA" w14:textId="77777777" w:rsidR="00AE57E7" w:rsidRPr="00511005" w:rsidRDefault="00AE57E7" w:rsidP="003A292D">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У сучасних умовах трансформації ринкових відносин та загострення конкурентної боротьби корпоративне управління перетворилося на один із ключових чинників формування стабільної, стійкої та репутаційно привабливої організації. Репутація компанії сьогодні є не лише іміджевим активом, а й елементом її капіталу, що безпосередньо впливає на довіру інвесторів, ділових партнерів і суспільства загалом. Саме тому впровадження принципів ефективного корпоративного управління стає не просто актуальним, а необхідним для сучасного підприємства, яке прагне до сталого розвитку.</w:t>
      </w:r>
    </w:p>
    <w:p w14:paraId="49581B46" w14:textId="77777777" w:rsidR="00AE57E7" w:rsidRPr="00511005" w:rsidRDefault="00AE57E7" w:rsidP="003A292D">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Становлення корпоративного управління у світі відбулося під впливом економічних криз, фінансових скандалів і зростання вимог до прозорості бізнесу. Як показує досвід розвинених країн, ефективне корпоративне управління дозволяє компаніям не лише мінімізувати ризики, а й формувати довгострокову репутаційну стійкість. В українських реаліях це набуває особливої актуальності, враховуючи виклики, пов’язані з інтеграцією у глобальні економічні процеси, посиленням уваги до ESG-факторів та необхідністю відновлення довіри до національного бізнесу.</w:t>
      </w:r>
    </w:p>
    <w:p w14:paraId="541B279E" w14:textId="77777777" w:rsidR="00AE57E7" w:rsidRPr="00511005" w:rsidRDefault="00AE57E7" w:rsidP="003A292D">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Передумови для впровадження принципів корпоративного управління мають багатошарову природу. По-перше, це економічні чинники: прагнення залучити інвестиції, підвищити ринкову вартість компанії, забезпечити її стійкість в умовах мінливого середовища. По-друге, правові чинники: імплементація міжнародних стандартів корпоративного управління, рекомендацій Організації економічного співробітництва та розвитку (OECD), а також гармонізація національного законодавства. По-третє, культурні чинники: зміна очікувань суспільства щодо етичності та відповідальності бізнесу, що зумовлює потребу у дотриманні стандартів корпоративної соціальної відповідальності.</w:t>
      </w:r>
    </w:p>
    <w:p w14:paraId="30CBB469" w14:textId="77777777" w:rsidR="00AE57E7" w:rsidRPr="00511005" w:rsidRDefault="00AE57E7" w:rsidP="003A292D">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Як зазначають Безус П. І. та Шатненко Л. О., розвиток принципів корпоративного управління відбувається під впливом двох взаємопов’язаних процесів: удосконалення внутрішніх механізмів управління компанією та зростання вимог з боку зацікавлених сторін щодо відкритості та підзвітності бізнесу [1]. Тобто мова йде не лише про механічне виконання формальних процедур, а про впровадження реальних змін у корпоративну культуру.</w:t>
      </w:r>
    </w:p>
    <w:p w14:paraId="11D4FC16" w14:textId="77777777" w:rsidR="00AE57E7" w:rsidRPr="00511005" w:rsidRDefault="00AE57E7" w:rsidP="003A292D">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lastRenderedPageBreak/>
        <w:t>Одним із визначальних факторів у зміцненні ділової репутації компанії є прозорість ухвалення рішень, відкритість фінансової інформації, етичність корпоративної поведінки. Наявність кодексів корпоративної етики, антикорупційних програм, політик комплаєнсу стає важливою ознакою відповідальної компанії. Бобровська О. Ю. підкреслює, що побудова корпоративного способу організації діяльності, заснованого на чітко визначених цінностях і принципах, створює передумови для довгострокової довіри до бізнесу як з боку внутрішніх стейкхолдерів, так і зовнішніх партнерів [2].</w:t>
      </w:r>
    </w:p>
    <w:p w14:paraId="32D78699" w14:textId="77777777" w:rsidR="00AE57E7" w:rsidRPr="00511005" w:rsidRDefault="00AE57E7" w:rsidP="003A292D">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Особливого значення набуває інституціональне забезпечення корпоративного управління: формування дієвих наглядових рад, незалежних аудиторських комітетів, систем внутрішнього контролю. Як зазначає Дибач І. Л., для вітчизняних компаній особливо актуальним є перехід від номінального до реального корпоративного контролю, що передбачає активну участь власників і наглядових органів у стратегічному плануванні та оцінці діяльності топ-менеджменту [4].</w:t>
      </w:r>
    </w:p>
    <w:p w14:paraId="115374AD" w14:textId="77777777" w:rsidR="00AE57E7" w:rsidRPr="00511005" w:rsidRDefault="00AE57E7" w:rsidP="003A292D">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Проте на шляху впровадження ефективних принципів управління існують певні виклики. Це, зокрема, недосконалість корпоративного законодавства, слабка судова система, низький рівень корпоративної культури, недостатній розвиток інституту незалежних директорів. Бочарова Н. А. звертає увагу на те, що становлення системи корпоративного менеджменту в Україні ускладнюється також історичними особливостями - домінуванням корпоративних структур, де основні рішення приймаються у вузькому колі власників без належної прозорості [3].</w:t>
      </w:r>
    </w:p>
    <w:p w14:paraId="49AFC333" w14:textId="77777777" w:rsidR="00AE57E7" w:rsidRPr="00511005" w:rsidRDefault="00AE57E7" w:rsidP="003A292D">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Водночас у сучасних умовах компанії, які ігнорують принципи належного корпоративного управління, стикаються з репутаційними ризиками, втрачають конкурентні переваги, відчувають складнощі у залученні інвестицій та кредитування. Репутаційні втрати дедалі частіше мають прямий фінансовий вимір, оскільки довіра стала одним із найцінніших активів бізнесу в XXI столітті.</w:t>
      </w:r>
    </w:p>
    <w:p w14:paraId="76E057C3" w14:textId="77777777" w:rsidR="00AE57E7" w:rsidRPr="00511005" w:rsidRDefault="00AE57E7" w:rsidP="003A292D">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t>Таким чином, упровадження принципів ефективного корпоративного управління є не лише інструментом підвищення внутрішньої ефективності організації, а й важливим чинником формування її позитивного іміджу. Відповідальне, відкрите і підзвітне управління дозволяє зміцнити довіру до компанії, забезпечити її стійкий розвиток і підвищити привабливість для всіх зацікавлених сторін. Формування сильної ділової репутації через впровадження високих стандартів корпоративного управління стає запорукою довгострокового успіху організації у складному і мінливому глобальному середовищі.</w:t>
      </w:r>
    </w:p>
    <w:p w14:paraId="1793C4AF" w14:textId="77777777" w:rsidR="00AE57E7" w:rsidRPr="00511005" w:rsidRDefault="00AE57E7" w:rsidP="003A292D">
      <w:pPr>
        <w:tabs>
          <w:tab w:val="left" w:pos="851"/>
        </w:tabs>
        <w:spacing w:line="264" w:lineRule="auto"/>
        <w:ind w:left="709" w:firstLine="0"/>
        <w:contextualSpacing/>
        <w:jc w:val="center"/>
        <w:rPr>
          <w:rFonts w:ascii="Arial" w:eastAsia="Times New Roman" w:hAnsi="Arial" w:cs="Arial"/>
          <w:b/>
          <w:bCs/>
          <w:noProof/>
          <w:szCs w:val="28"/>
          <w:lang w:val="uk-UA" w:eastAsia="ru-RU"/>
        </w:rPr>
      </w:pPr>
      <w:bookmarkStart w:id="296" w:name="_Ref194738685"/>
    </w:p>
    <w:p w14:paraId="1AED3655" w14:textId="146C8BB3" w:rsidR="00AE57E7" w:rsidRPr="00511005" w:rsidRDefault="007B2628" w:rsidP="007B2628">
      <w:pPr>
        <w:tabs>
          <w:tab w:val="left" w:pos="851"/>
        </w:tabs>
        <w:spacing w:line="264" w:lineRule="auto"/>
        <w:ind w:left="709" w:firstLine="0"/>
        <w:contextualSpacing/>
        <w:jc w:val="center"/>
        <w:rPr>
          <w:rFonts w:ascii="Arial" w:eastAsia="Calibri" w:hAnsi="Arial" w:cs="Arial"/>
          <w:bCs/>
          <w:noProof/>
          <w:szCs w:val="28"/>
          <w:lang w:val="uk-UA"/>
        </w:rPr>
      </w:pPr>
      <w:r w:rsidRPr="00511005">
        <w:rPr>
          <w:rFonts w:ascii="Arial" w:eastAsia="Times New Roman" w:hAnsi="Arial" w:cs="Arial"/>
          <w:b/>
          <w:bCs/>
          <w:noProof/>
          <w:szCs w:val="28"/>
          <w:lang w:val="uk-UA" w:eastAsia="ru-RU"/>
        </w:rPr>
        <w:t>Список використаних джерел</w:t>
      </w:r>
    </w:p>
    <w:p w14:paraId="194A1CAB" w14:textId="77777777" w:rsidR="00AE57E7" w:rsidRPr="00511005" w:rsidRDefault="00AE57E7" w:rsidP="003F6A5D">
      <w:pPr>
        <w:numPr>
          <w:ilvl w:val="0"/>
          <w:numId w:val="744"/>
        </w:numPr>
        <w:tabs>
          <w:tab w:val="left" w:pos="851"/>
        </w:tabs>
        <w:spacing w:line="264" w:lineRule="auto"/>
        <w:ind w:left="0" w:firstLine="709"/>
        <w:contextualSpacing/>
        <w:jc w:val="left"/>
        <w:rPr>
          <w:rFonts w:ascii="Arial" w:eastAsia="Calibri" w:hAnsi="Arial" w:cs="Arial"/>
          <w:bCs/>
          <w:noProof/>
          <w:szCs w:val="28"/>
          <w:lang w:val="uk-UA"/>
        </w:rPr>
      </w:pPr>
      <w:r w:rsidRPr="00511005">
        <w:rPr>
          <w:rFonts w:ascii="Arial" w:eastAsia="Calibri" w:hAnsi="Arial" w:cs="Arial"/>
          <w:bCs/>
          <w:noProof/>
          <w:szCs w:val="28"/>
          <w:lang w:val="uk-UA"/>
        </w:rPr>
        <w:lastRenderedPageBreak/>
        <w:t xml:space="preserve">Безус П. І., Шатненко Л. О. Еволюція принципів корпоративного управління. </w:t>
      </w:r>
      <w:r w:rsidRPr="00511005">
        <w:rPr>
          <w:rFonts w:ascii="Arial" w:eastAsia="Calibri" w:hAnsi="Arial" w:cs="Arial"/>
          <w:bCs/>
          <w:i/>
          <w:iCs/>
          <w:noProof/>
          <w:szCs w:val="28"/>
          <w:lang w:val="uk-UA"/>
        </w:rPr>
        <w:t>Ефективна економіка.</w:t>
      </w:r>
      <w:r w:rsidRPr="00511005">
        <w:rPr>
          <w:rFonts w:ascii="Arial" w:eastAsia="Calibri" w:hAnsi="Arial" w:cs="Arial"/>
          <w:bCs/>
          <w:noProof/>
          <w:szCs w:val="28"/>
          <w:lang w:val="uk-UA"/>
        </w:rPr>
        <w:t xml:space="preserve"> 2018. № 1. URL: </w:t>
      </w:r>
      <w:hyperlink r:id="rId2463" w:history="1">
        <w:r w:rsidRPr="00511005">
          <w:rPr>
            <w:rFonts w:ascii="Arial" w:eastAsia="Calibri" w:hAnsi="Arial" w:cs="Arial"/>
            <w:bCs/>
            <w:noProof/>
            <w:szCs w:val="28"/>
            <w:lang w:val="uk-UA"/>
          </w:rPr>
          <w:t>http://www.economy.nayka.com.ua/?op=1&amp;z=606</w:t>
        </w:r>
      </w:hyperlink>
      <w:bookmarkEnd w:id="296"/>
      <w:r w:rsidRPr="00511005">
        <w:rPr>
          <w:rFonts w:ascii="Arial" w:eastAsia="Calibri" w:hAnsi="Arial" w:cs="Arial"/>
          <w:bCs/>
          <w:noProof/>
          <w:szCs w:val="28"/>
          <w:lang w:val="uk-UA"/>
        </w:rPr>
        <w:t>.</w:t>
      </w:r>
    </w:p>
    <w:p w14:paraId="4B3A9207" w14:textId="77777777" w:rsidR="00AE57E7" w:rsidRPr="00511005" w:rsidRDefault="00AE57E7" w:rsidP="003F6A5D">
      <w:pPr>
        <w:numPr>
          <w:ilvl w:val="0"/>
          <w:numId w:val="744"/>
        </w:numPr>
        <w:tabs>
          <w:tab w:val="left" w:pos="851"/>
        </w:tabs>
        <w:spacing w:line="264" w:lineRule="auto"/>
        <w:ind w:left="0" w:firstLine="709"/>
        <w:contextualSpacing/>
        <w:jc w:val="left"/>
        <w:rPr>
          <w:rFonts w:ascii="Arial" w:eastAsia="Calibri" w:hAnsi="Arial" w:cs="Arial"/>
          <w:bCs/>
          <w:noProof/>
          <w:szCs w:val="28"/>
          <w:lang w:val="uk-UA"/>
        </w:rPr>
      </w:pPr>
      <w:bookmarkStart w:id="297" w:name="_Ref194739834"/>
      <w:r w:rsidRPr="00511005">
        <w:rPr>
          <w:rFonts w:ascii="Arial" w:eastAsia="Calibri" w:hAnsi="Arial" w:cs="Arial"/>
          <w:bCs/>
          <w:noProof/>
          <w:szCs w:val="28"/>
          <w:lang w:val="uk-UA"/>
        </w:rPr>
        <w:t xml:space="preserve">Бобровська О. Ю. Концептуальні складові формування і реалізації корпоративного способу організації діяльності в економічних і соціальних системах. </w:t>
      </w:r>
      <w:r w:rsidRPr="00511005">
        <w:rPr>
          <w:rFonts w:ascii="Arial" w:eastAsia="Calibri" w:hAnsi="Arial" w:cs="Arial"/>
          <w:bCs/>
          <w:i/>
          <w:iCs/>
          <w:noProof/>
          <w:szCs w:val="28"/>
          <w:lang w:val="uk-UA"/>
        </w:rPr>
        <w:t>Держава та регіони</w:t>
      </w:r>
      <w:r w:rsidRPr="00511005">
        <w:rPr>
          <w:rFonts w:ascii="Arial" w:eastAsia="Calibri" w:hAnsi="Arial" w:cs="Arial"/>
          <w:bCs/>
          <w:noProof/>
          <w:szCs w:val="28"/>
          <w:lang w:val="uk-UA"/>
        </w:rPr>
        <w:t xml:space="preserve">. 2023. № 1 (127). С. 25–34. </w:t>
      </w:r>
      <w:hyperlink r:id="rId2464" w:history="1">
        <w:r w:rsidRPr="00511005">
          <w:rPr>
            <w:rFonts w:ascii="Arial" w:eastAsia="Calibri" w:hAnsi="Arial" w:cs="Arial"/>
            <w:bCs/>
            <w:noProof/>
            <w:szCs w:val="28"/>
            <w:lang w:val="uk-UA"/>
          </w:rPr>
          <w:t>URL:http://www.econom.stateandregions.zp.ua/journal/2023/1_2023/6.pdf</w:t>
        </w:r>
      </w:hyperlink>
      <w:bookmarkEnd w:id="297"/>
      <w:r w:rsidRPr="00511005">
        <w:rPr>
          <w:rFonts w:ascii="Arial" w:eastAsia="Calibri" w:hAnsi="Arial" w:cs="Arial"/>
          <w:bCs/>
          <w:noProof/>
          <w:szCs w:val="28"/>
          <w:lang w:val="uk-UA"/>
        </w:rPr>
        <w:t>.</w:t>
      </w:r>
    </w:p>
    <w:p w14:paraId="21010271" w14:textId="77777777" w:rsidR="00AE57E7" w:rsidRPr="00511005" w:rsidRDefault="00AE57E7" w:rsidP="003F6A5D">
      <w:pPr>
        <w:numPr>
          <w:ilvl w:val="0"/>
          <w:numId w:val="744"/>
        </w:numPr>
        <w:tabs>
          <w:tab w:val="left" w:pos="851"/>
        </w:tabs>
        <w:spacing w:line="264" w:lineRule="auto"/>
        <w:ind w:left="0" w:firstLine="709"/>
        <w:contextualSpacing/>
        <w:jc w:val="left"/>
        <w:rPr>
          <w:rFonts w:ascii="Arial" w:eastAsia="Calibri" w:hAnsi="Arial" w:cs="Arial"/>
          <w:bCs/>
          <w:noProof/>
          <w:szCs w:val="28"/>
          <w:lang w:val="uk-UA"/>
        </w:rPr>
      </w:pPr>
      <w:bookmarkStart w:id="298" w:name="_Ref194739662"/>
      <w:r w:rsidRPr="00511005">
        <w:rPr>
          <w:rFonts w:ascii="Arial" w:eastAsia="Calibri" w:hAnsi="Arial" w:cs="Arial"/>
          <w:bCs/>
          <w:noProof/>
          <w:szCs w:val="28"/>
          <w:lang w:val="uk-UA"/>
        </w:rPr>
        <w:t xml:space="preserve">Бочарова Н. А. Особливості становлення системи корпоративного менеджменту в Україні. </w:t>
      </w:r>
      <w:r w:rsidRPr="00511005">
        <w:rPr>
          <w:rFonts w:ascii="Arial" w:eastAsia="Calibri" w:hAnsi="Arial" w:cs="Arial"/>
          <w:bCs/>
          <w:i/>
          <w:iCs/>
          <w:noProof/>
          <w:szCs w:val="28"/>
          <w:lang w:val="uk-UA"/>
        </w:rPr>
        <w:t>Економіка транспортного комплексу.</w:t>
      </w:r>
      <w:r w:rsidRPr="00511005">
        <w:rPr>
          <w:rFonts w:ascii="Arial" w:eastAsia="Calibri" w:hAnsi="Arial" w:cs="Arial"/>
          <w:bCs/>
          <w:noProof/>
          <w:szCs w:val="28"/>
          <w:lang w:val="uk-UA"/>
        </w:rPr>
        <w:t xml:space="preserve"> 2021. №. 38. </w:t>
      </w:r>
      <w:r w:rsidRPr="00511005">
        <w:rPr>
          <w:rFonts w:ascii="Arial" w:eastAsia="Calibri" w:hAnsi="Arial" w:cs="Arial"/>
          <w:bCs/>
          <w:noProof/>
          <w:szCs w:val="28"/>
          <w:lang w:val="uk-UA"/>
        </w:rPr>
        <w:br/>
        <w:t>С. 18–32</w:t>
      </w:r>
      <w:bookmarkEnd w:id="298"/>
      <w:r w:rsidRPr="00511005">
        <w:rPr>
          <w:rFonts w:ascii="Arial" w:eastAsia="Calibri" w:hAnsi="Arial" w:cs="Arial"/>
          <w:bCs/>
          <w:noProof/>
          <w:szCs w:val="28"/>
          <w:lang w:val="uk-UA"/>
        </w:rPr>
        <w:t>.</w:t>
      </w:r>
    </w:p>
    <w:p w14:paraId="3EC7721B" w14:textId="77777777" w:rsidR="00AE57E7" w:rsidRPr="00511005" w:rsidRDefault="00AE57E7" w:rsidP="003F6A5D">
      <w:pPr>
        <w:numPr>
          <w:ilvl w:val="0"/>
          <w:numId w:val="744"/>
        </w:numPr>
        <w:tabs>
          <w:tab w:val="left" w:pos="851"/>
        </w:tabs>
        <w:spacing w:line="264" w:lineRule="auto"/>
        <w:ind w:left="0" w:firstLine="709"/>
        <w:contextualSpacing/>
        <w:jc w:val="left"/>
        <w:rPr>
          <w:rFonts w:ascii="Arial" w:eastAsia="Calibri" w:hAnsi="Arial" w:cs="Arial"/>
          <w:bCs/>
          <w:i/>
          <w:iCs/>
          <w:noProof/>
          <w:szCs w:val="28"/>
          <w:lang w:val="uk-UA"/>
        </w:rPr>
      </w:pPr>
      <w:bookmarkStart w:id="299" w:name="_Ref194740263"/>
      <w:r w:rsidRPr="00511005">
        <w:rPr>
          <w:rFonts w:ascii="Arial" w:eastAsia="Calibri" w:hAnsi="Arial" w:cs="Arial"/>
          <w:bCs/>
          <w:noProof/>
          <w:szCs w:val="28"/>
          <w:lang w:val="uk-UA"/>
        </w:rPr>
        <w:t>Дибач І.Л. Формування та розвиток корпоративного управління</w:t>
      </w:r>
      <w:r w:rsidRPr="00511005">
        <w:rPr>
          <w:rFonts w:ascii="Arial" w:eastAsia="Calibri" w:hAnsi="Arial" w:cs="Arial"/>
          <w:bCs/>
          <w:i/>
          <w:iCs/>
          <w:noProof/>
          <w:szCs w:val="28"/>
          <w:lang w:val="uk-UA"/>
        </w:rPr>
        <w:t xml:space="preserve">. Економіка та менеджмент. Облік і фінанси. </w:t>
      </w:r>
      <w:r w:rsidRPr="00511005">
        <w:rPr>
          <w:rFonts w:ascii="Arial" w:eastAsia="Calibri" w:hAnsi="Arial" w:cs="Arial"/>
          <w:bCs/>
          <w:noProof/>
          <w:szCs w:val="28"/>
          <w:lang w:val="uk-UA"/>
        </w:rPr>
        <w:t>2019. № 3 (85). С. 138-147</w:t>
      </w:r>
      <w:bookmarkEnd w:id="299"/>
      <w:r w:rsidRPr="00511005">
        <w:rPr>
          <w:rFonts w:ascii="Arial" w:eastAsia="Calibri" w:hAnsi="Arial" w:cs="Arial"/>
          <w:bCs/>
          <w:noProof/>
          <w:szCs w:val="28"/>
          <w:lang w:val="uk-UA"/>
        </w:rPr>
        <w:t>.</w:t>
      </w:r>
    </w:p>
    <w:p w14:paraId="04715379" w14:textId="10E25EEA" w:rsidR="00AE57E7" w:rsidRPr="00511005" w:rsidRDefault="007B2628" w:rsidP="003A292D">
      <w:pPr>
        <w:spacing w:line="264" w:lineRule="auto"/>
        <w:ind w:left="709"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корпоративне управління, організація, ділова репутація, принципи.</w:t>
      </w:r>
    </w:p>
    <w:p w14:paraId="0A9BFE62" w14:textId="3704246B" w:rsidR="00AE57E7" w:rsidRPr="00511005" w:rsidRDefault="007B2628" w:rsidP="003A292D">
      <w:pPr>
        <w:spacing w:line="264" w:lineRule="auto"/>
        <w:ind w:left="709"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AE57E7" w:rsidRPr="00511005">
        <w:rPr>
          <w:rFonts w:ascii="Arial" w:eastAsia="Times New Roman" w:hAnsi="Arial" w:cs="Arial"/>
          <w:szCs w:val="28"/>
          <w:lang w:val="uk-UA" w:eastAsia="ru-RU"/>
        </w:rPr>
        <w:t xml:space="preserve">сorporate </w:t>
      </w:r>
      <w:r w:rsidR="00AE57E7" w:rsidRPr="00511005">
        <w:rPr>
          <w:rFonts w:ascii="Arial" w:eastAsia="Times New Roman" w:hAnsi="Arial" w:cs="Arial"/>
          <w:szCs w:val="28"/>
          <w:lang w:val="en-US" w:eastAsia="ru-RU"/>
        </w:rPr>
        <w:t>g</w:t>
      </w:r>
      <w:r w:rsidR="00AE57E7" w:rsidRPr="00511005">
        <w:rPr>
          <w:rFonts w:ascii="Arial" w:eastAsia="Times New Roman" w:hAnsi="Arial" w:cs="Arial"/>
          <w:szCs w:val="28"/>
          <w:lang w:val="uk-UA" w:eastAsia="ru-RU"/>
        </w:rPr>
        <w:t>overnance</w:t>
      </w:r>
      <w:r w:rsidR="00AE57E7" w:rsidRPr="00511005">
        <w:rPr>
          <w:rFonts w:ascii="Arial" w:eastAsia="Times New Roman" w:hAnsi="Arial" w:cs="Arial"/>
          <w:szCs w:val="28"/>
          <w:lang w:val="en-US" w:eastAsia="ru-RU"/>
        </w:rPr>
        <w:t>, o</w:t>
      </w:r>
      <w:r w:rsidR="00AE57E7" w:rsidRPr="00511005">
        <w:rPr>
          <w:rFonts w:ascii="Arial" w:eastAsia="Times New Roman" w:hAnsi="Arial" w:cs="Arial"/>
          <w:szCs w:val="28"/>
          <w:lang w:val="uk-UA" w:eastAsia="ru-RU"/>
        </w:rPr>
        <w:t>rganization</w:t>
      </w:r>
      <w:r w:rsidR="00AE57E7" w:rsidRPr="00511005">
        <w:rPr>
          <w:rFonts w:ascii="Arial" w:eastAsia="Times New Roman" w:hAnsi="Arial" w:cs="Arial"/>
          <w:szCs w:val="28"/>
          <w:lang w:val="en-US" w:eastAsia="ru-RU"/>
        </w:rPr>
        <w:t>, b</w:t>
      </w:r>
      <w:r w:rsidR="00AE57E7" w:rsidRPr="00511005">
        <w:rPr>
          <w:rFonts w:ascii="Arial" w:eastAsia="Times New Roman" w:hAnsi="Arial" w:cs="Arial"/>
          <w:szCs w:val="28"/>
          <w:lang w:val="uk-UA" w:eastAsia="ru-RU"/>
        </w:rPr>
        <w:t xml:space="preserve">usiness </w:t>
      </w:r>
      <w:r w:rsidR="00AE57E7" w:rsidRPr="00511005">
        <w:rPr>
          <w:rFonts w:ascii="Arial" w:eastAsia="Times New Roman" w:hAnsi="Arial" w:cs="Arial"/>
          <w:szCs w:val="28"/>
          <w:lang w:val="en-US" w:eastAsia="ru-RU"/>
        </w:rPr>
        <w:t>r</w:t>
      </w:r>
      <w:r w:rsidR="00AE57E7" w:rsidRPr="00511005">
        <w:rPr>
          <w:rFonts w:ascii="Arial" w:eastAsia="Times New Roman" w:hAnsi="Arial" w:cs="Arial"/>
          <w:szCs w:val="28"/>
          <w:lang w:val="uk-UA" w:eastAsia="ru-RU"/>
        </w:rPr>
        <w:t>eputation</w:t>
      </w:r>
      <w:r w:rsidR="00AE57E7" w:rsidRPr="00511005">
        <w:rPr>
          <w:rFonts w:ascii="Arial" w:eastAsia="Times New Roman" w:hAnsi="Arial" w:cs="Arial"/>
          <w:szCs w:val="28"/>
          <w:lang w:val="en-US" w:eastAsia="ru-RU"/>
        </w:rPr>
        <w:t>, p</w:t>
      </w:r>
      <w:r w:rsidR="00AE57E7" w:rsidRPr="00511005">
        <w:rPr>
          <w:rFonts w:ascii="Arial" w:eastAsia="Times New Roman" w:hAnsi="Arial" w:cs="Arial"/>
          <w:szCs w:val="28"/>
          <w:lang w:val="uk-UA" w:eastAsia="ru-RU"/>
        </w:rPr>
        <w:t>rinciples.</w:t>
      </w:r>
    </w:p>
    <w:p w14:paraId="1D7ABCA3" w14:textId="269F7865" w:rsidR="00AE57E7" w:rsidRPr="00511005" w:rsidRDefault="007B2628" w:rsidP="003A292D">
      <w:pPr>
        <w:spacing w:line="264" w:lineRule="auto"/>
        <w:ind w:left="709"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Науковий керівник: </w:t>
      </w:r>
      <w:r w:rsidR="00AE57E7" w:rsidRPr="00511005">
        <w:rPr>
          <w:rFonts w:ascii="Arial" w:eastAsia="Times New Roman" w:hAnsi="Arial" w:cs="Arial"/>
          <w:i/>
          <w:szCs w:val="28"/>
          <w:lang w:val="uk-UA" w:eastAsia="ru-RU"/>
        </w:rPr>
        <w:t>к.е.н., доцент Примаченко І.Ф.</w:t>
      </w:r>
    </w:p>
    <w:p w14:paraId="08A37430" w14:textId="77777777" w:rsidR="00AE57E7" w:rsidRPr="00511005" w:rsidRDefault="00AE57E7" w:rsidP="003A292D">
      <w:pPr>
        <w:spacing w:line="264" w:lineRule="auto"/>
        <w:rPr>
          <w:rFonts w:ascii="Arial" w:eastAsia="Times New Roman" w:hAnsi="Arial" w:cs="Arial"/>
          <w:szCs w:val="28"/>
          <w:lang w:val="uk-UA" w:eastAsia="ru-RU"/>
        </w:rPr>
      </w:pPr>
    </w:p>
    <w:p w14:paraId="01AD070B" w14:textId="77777777" w:rsidR="00AE57E7" w:rsidRPr="00511005" w:rsidRDefault="00AE57E7"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Боєва Крістіна Олексіївна</w:t>
      </w:r>
    </w:p>
    <w:p w14:paraId="65F3EDE9" w14:textId="77777777" w:rsidR="00AE57E7" w:rsidRPr="00511005" w:rsidRDefault="00AE57E7"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5-го курсу центру заочного та дистанційного навчання</w:t>
      </w:r>
    </w:p>
    <w:p w14:paraId="59FAF756" w14:textId="53B00976" w:rsidR="00AE57E7"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BEF7A1C" w14:textId="77777777" w:rsidR="00AE57E7" w:rsidRPr="00511005" w:rsidRDefault="00AE57E7" w:rsidP="003A292D">
      <w:pPr>
        <w:keepNext/>
        <w:widowControl w:val="0"/>
        <w:spacing w:line="264" w:lineRule="auto"/>
        <w:ind w:firstLine="0"/>
        <w:jc w:val="center"/>
        <w:rPr>
          <w:rFonts w:ascii="Arial" w:eastAsia="Times New Roman" w:hAnsi="Arial" w:cs="Arial"/>
          <w:szCs w:val="28"/>
          <w:lang w:val="uk-UA" w:eastAsia="ru-RU"/>
        </w:rPr>
      </w:pPr>
    </w:p>
    <w:p w14:paraId="7D2C2BCE" w14:textId="77777777" w:rsidR="00AE57E7" w:rsidRPr="00511005" w:rsidRDefault="00AE57E7" w:rsidP="003A292D">
      <w:pPr>
        <w:keepNext/>
        <w:widowControl w:val="0"/>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УПРАВЛІННЯ РОЗВИТКОМ КЛІЄНТООРІЄНТОВАНОСТІ БІЗНЕСУ В СФЕРІ НАДАННЯ ОСВІТНІХ ПОСЛУГ В УМОВАХ ВОЄННОГО ЧАСУ</w:t>
      </w:r>
    </w:p>
    <w:p w14:paraId="2299816A"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Актуальність забезпечення клієнтоорієнтованості в освітній сфері сьогодні набуває особливого значення у зв'язку з глобальними трансформаціями ринку освітніх послуг. Особливо гостро це питання постає в Україні, де воєнний стан створив безпрецедентні виклики для всіх суб'єктів освітнього ринку, змушуючи їх радикально переосмислювати свої бізнес-моделі та підходи до взаємодії з клієнтами.</w:t>
      </w:r>
    </w:p>
    <w:p w14:paraId="7606717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 умовах воєнного стану в Україні освітній бізнес стикається з численними викликами, що впливають на рівень клієнтоорієнтованості. Зокрема, зниження платоспроможності населення та зміна пріоритетів споживачів призводять до скорочення попиту на додаткові освітні послуги [1]. Крім того, ускладнення логістики та комунікацій через переміщення населення та перебої в інфраструктурі створюють перешкоди для стабільної взаємодії між компаніями та споживачами освітніх послуг [2].</w:t>
      </w:r>
    </w:p>
    <w:p w14:paraId="703C81C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Серед інших проблем варто відзначити втрату довіри клієнтів до освітніх закладів, які не адаптувалися до нових умов та не враховують змін у потребах споживачів. Недостатній рівень персоналізації, шаблонне надання послуг, відсутність емоційної підтримки та гнучких форматів </w:t>
      </w:r>
      <w:r w:rsidRPr="00511005">
        <w:rPr>
          <w:rFonts w:ascii="Arial" w:eastAsia="Times New Roman" w:hAnsi="Arial" w:cs="Arial"/>
          <w:szCs w:val="28"/>
          <w:lang w:val="uk-UA" w:eastAsia="ru-RU"/>
        </w:rPr>
        <w:lastRenderedPageBreak/>
        <w:t>навчання знижують задоволеність клієнтів [3]. Окрім того, у багатьох організаціях спостерігається низький рівень цифровізації процесів, що гальмує швидку адаптацію до умов віддаленої роботи та навчання [4].</w:t>
      </w:r>
    </w:p>
    <w:p w14:paraId="5C4C9B1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Додатково, в умовах високої невизначеності освітній бізнес часто стикається з внутрішніми управлінськими бар'єрами. Зокрема, ускладнюється процес стратегічного прийняття рішень через відсутність чітких мотиваційних механізмів та недостатню гнучкість у реагуванні на зовнішні виклики. Це послаблює здатність організацій зберігати клієнтоорієнтовану модель в умовах кризи [10].</w:t>
      </w:r>
    </w:p>
    <w:p w14:paraId="01E5D649"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бракує системного підходу до ризик-менеджменту в проєктуванні освітніх послуг: зниження уваги до оцінки ризиків втрати клієнтів, нестабільності попиту чи комунікаційних збоїв обмежує адаптивність компаній. Використання ризик-орієнтованого підходу дало б змогу забезпечити більш сталу та передбачувану взаємодію з клієнтами навіть в умовах невизначеності [11].</w:t>
      </w:r>
    </w:p>
    <w:p w14:paraId="695A72B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Аналіз виявлених проблем дозволяє сформулювати комплекс практичних рекомендацій щодо розвитку клієнтоорієнтованості освітнього бізнесу в умовах воєнного часу. Рекомендації спрямовані на підвищення адаптивності, покращення комунікації з клієнтами та забезпечення стійкості бізнес-моделей в умовах невизначеності:</w:t>
      </w:r>
    </w:p>
    <w:p w14:paraId="4DEF4879" w14:textId="77777777" w:rsidR="00AE57E7" w:rsidRPr="00511005" w:rsidRDefault="00AE57E7" w:rsidP="003F6A5D">
      <w:pPr>
        <w:numPr>
          <w:ilvl w:val="0"/>
          <w:numId w:val="712"/>
        </w:numPr>
        <w:tabs>
          <w:tab w:val="left" w:pos="851"/>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Розробка гнучкої клієнтоорієнтованої стратегії. Вона має враховувати потребу в оперативній адаптації до зовнішніх змін, включати онлайн-інструменти взаємодії з клієнтами, автоматизацію процесів зворотного зв'язку та персоналізовану підтримку споживача [5]. Реалізація цієї рекомендації передбачає створення крос-функціональних команд з представників різних підрозділів для регулярного перегляду та коригування стратегії взаємодії з клієнтами відповідно до зміни зовнішніх умов.</w:t>
      </w:r>
    </w:p>
    <w:p w14:paraId="6FBC15B5" w14:textId="77777777" w:rsidR="00AE57E7" w:rsidRPr="00511005" w:rsidRDefault="00AE57E7" w:rsidP="003F6A5D">
      <w:pPr>
        <w:numPr>
          <w:ilvl w:val="0"/>
          <w:numId w:val="712"/>
        </w:numPr>
        <w:tabs>
          <w:tab w:val="left" w:pos="851"/>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Персоналізація освітніх програм. Персоналізація змісту освітніх програм та використання гнучких форматів навчання (зокрема, асинхронних і змішаних) сприятимуть підвищенню задоволеності клієнтів та їхньої довіри до бренду [6]. Впровадження цього підходу потребує розробки модульних програм з можливістю індивідуального налаштування шляху навчання, а також інвестицій у технологічну інфраструктуру для забезпечення різних форматів доступу до навчальних матеріалів.</w:t>
      </w:r>
    </w:p>
    <w:p w14:paraId="1D99B319" w14:textId="77777777" w:rsidR="00AE57E7" w:rsidRPr="00511005" w:rsidRDefault="00AE57E7" w:rsidP="003F6A5D">
      <w:pPr>
        <w:numPr>
          <w:ilvl w:val="0"/>
          <w:numId w:val="712"/>
        </w:numPr>
        <w:tabs>
          <w:tab w:val="left" w:pos="851"/>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Диференціація цінової політики. Використання інструментів диференціації вартості освітніх послуг з урахуванням платоспроможності різних категорій населення дозволить розширити охоплення цільової аудиторії [7]. Практична імплементація включає розробку гнучких тарифних планів, системи знижок та спеціальних пропозицій для вразливих категорій населення, що сприятиме збереженню клієнтської бази навіть в умовах економічної нестабільності.</w:t>
      </w:r>
    </w:p>
    <w:p w14:paraId="2C7880C1" w14:textId="77777777" w:rsidR="00AE57E7" w:rsidRPr="00511005" w:rsidRDefault="00AE57E7" w:rsidP="003F6A5D">
      <w:pPr>
        <w:numPr>
          <w:ilvl w:val="0"/>
          <w:numId w:val="712"/>
        </w:numPr>
        <w:tabs>
          <w:tab w:val="left" w:pos="851"/>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Розвиток емоційного інтелекту персоналу. Особливу увагу слід приділяти розвитку емоційного інтелекту, навичок комунікації в умовах кризи та роботі з вразливими групами клієнтів [8]. Для реалізації цієї рекомендації доцільно запровадити регулярні тренінги та воркшопи для персоналу з питань емпатичної комунікації, управління стресом та конфліктами, а також створити системи підтримки для самих працівників освітніх закладів.</w:t>
      </w:r>
    </w:p>
    <w:p w14:paraId="25F02835" w14:textId="77777777" w:rsidR="00AE57E7" w:rsidRPr="00511005" w:rsidRDefault="00AE57E7" w:rsidP="003F6A5D">
      <w:pPr>
        <w:numPr>
          <w:ilvl w:val="0"/>
          <w:numId w:val="712"/>
        </w:numPr>
        <w:tabs>
          <w:tab w:val="left" w:pos="851"/>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Соціальна відповідальність. Проведення безкоштовних освітніх заходів, підтримка учнів з постраждалих регіонів та впровадження стипендіальних програм сприятимуть формуванню позитивного іміджу компанії [9]. Ця ініціатива може бути реалізована через партнерство з благодійними фондами, громадськими організаціями та місцевими органами влади для створення спільних освітніх програм соціального спрямування.</w:t>
      </w:r>
    </w:p>
    <w:p w14:paraId="094346A9" w14:textId="77777777" w:rsidR="00AE57E7" w:rsidRPr="00511005" w:rsidRDefault="00AE57E7" w:rsidP="003F6A5D">
      <w:pPr>
        <w:numPr>
          <w:ilvl w:val="0"/>
          <w:numId w:val="712"/>
        </w:numPr>
        <w:tabs>
          <w:tab w:val="left" w:pos="851"/>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Удосконалення системи мотивації персоналу. Варто впровадити системи внутрішньої мотивації персоналу, які дозволять активізувати залученість працівників до клієнтоорієнтованих рішень, зменшити організаційний опір та посилити гнучкість управління [10]. Реалізація цієї рекомендації передбачає розробку KPI, пов'язаних із задоволеністю клієнтів, впровадження системи визнання досягнень у сфері клієнтського сервісу та залучення працівників до процесу прийняття рішень щодо вдосконалення освітніх послуг.</w:t>
      </w:r>
    </w:p>
    <w:p w14:paraId="74FA66DB" w14:textId="77777777" w:rsidR="00AE57E7" w:rsidRPr="00511005" w:rsidRDefault="00AE57E7" w:rsidP="003F6A5D">
      <w:pPr>
        <w:numPr>
          <w:ilvl w:val="0"/>
          <w:numId w:val="712"/>
        </w:numPr>
        <w:tabs>
          <w:tab w:val="left" w:pos="851"/>
        </w:tabs>
        <w:spacing w:line="264" w:lineRule="auto"/>
        <w:ind w:left="0" w:firstLine="709"/>
        <w:rPr>
          <w:rFonts w:ascii="Arial" w:eastAsia="Times New Roman" w:hAnsi="Arial" w:cs="Arial"/>
          <w:szCs w:val="28"/>
          <w:lang w:val="uk-UA" w:eastAsia="ru-RU"/>
        </w:rPr>
      </w:pPr>
      <w:r w:rsidRPr="00511005">
        <w:rPr>
          <w:rFonts w:ascii="Arial" w:eastAsia="Times New Roman" w:hAnsi="Arial" w:cs="Arial"/>
          <w:szCs w:val="28"/>
          <w:lang w:val="uk-UA" w:eastAsia="ru-RU"/>
        </w:rPr>
        <w:t>Впровадження ризик-менеджменту. Формування внутрішніх протоколів управління ризиками (втрата клієнтів, зриви комунікацій, попередження репутаційних загроз) сприятиме підвищенню стабільності та стійкості клієнтоорієнтованої моделі в умовах воєнного стану [11]. Практичне впровадження включає створення матриці ризиків, розробку сценаріїв реагування на різні типи кризових ситуацій та регулярний аудит ефективності системи управління ризиками.</w:t>
      </w:r>
    </w:p>
    <w:p w14:paraId="4548D8DE" w14:textId="77777777" w:rsidR="00AE57E7" w:rsidRPr="00511005" w:rsidRDefault="00AE57E7" w:rsidP="00B56F28">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Освітні заклади, які зможуть ефективно впровадити запропоновані рекомендації, не лише збережуть свою конкурентоспроможність в умовах кризи, але й створять потужний фундамент для стрімкого розвитку в повоєнний період. Клієнтоорієнтований підхід, підкріплений гнучкими управлінськими механізмами, стане запорукою сталого розвитку освітньої галузі та її здатності виконувати свою соціальну місію навіть у найскладніших умовах.</w:t>
      </w:r>
    </w:p>
    <w:p w14:paraId="16B4997D" w14:textId="77777777" w:rsidR="00AE57E7" w:rsidRPr="00511005" w:rsidRDefault="00AE57E7" w:rsidP="003A292D">
      <w:pPr>
        <w:keepNext/>
        <w:widowControl w:val="0"/>
        <w:spacing w:line="264" w:lineRule="auto"/>
        <w:jc w:val="left"/>
        <w:rPr>
          <w:rFonts w:ascii="Arial" w:eastAsia="Times New Roman" w:hAnsi="Arial" w:cs="Arial"/>
          <w:b/>
          <w:szCs w:val="28"/>
          <w:lang w:val="uk-UA" w:eastAsia="ru-RU"/>
        </w:rPr>
      </w:pPr>
    </w:p>
    <w:p w14:paraId="297105E9" w14:textId="7547149F" w:rsidR="00AE57E7" w:rsidRPr="00511005" w:rsidRDefault="007B2628" w:rsidP="007B2628">
      <w:pPr>
        <w:keepNext/>
        <w:widowControl w:val="0"/>
        <w:tabs>
          <w:tab w:val="left" w:pos="993"/>
        </w:tabs>
        <w:spacing w:line="264" w:lineRule="auto"/>
        <w:ind w:firstLine="0"/>
        <w:jc w:val="center"/>
        <w:rPr>
          <w:rFonts w:ascii="Arial" w:eastAsia="Times New Roman" w:hAnsi="Arial" w:cs="Arial"/>
          <w:b/>
          <w:iCs/>
          <w:szCs w:val="28"/>
          <w:lang w:val="uk-UA" w:eastAsia="ru-RU"/>
        </w:rPr>
      </w:pPr>
      <w:r w:rsidRPr="00511005">
        <w:rPr>
          <w:rFonts w:ascii="Arial" w:eastAsia="Times New Roman" w:hAnsi="Arial" w:cs="Arial"/>
          <w:b/>
          <w:iCs/>
          <w:szCs w:val="28"/>
          <w:lang w:val="uk-UA" w:eastAsia="ru-RU"/>
        </w:rPr>
        <w:t>Список використаних джерел</w:t>
      </w:r>
    </w:p>
    <w:p w14:paraId="6FFC89A4" w14:textId="77777777" w:rsidR="00AE57E7" w:rsidRPr="00511005" w:rsidRDefault="00AE57E7" w:rsidP="003F6A5D">
      <w:pPr>
        <w:numPr>
          <w:ilvl w:val="0"/>
          <w:numId w:val="713"/>
        </w:numPr>
        <w:shd w:val="clear" w:color="auto" w:fill="FFFFFF"/>
        <w:tabs>
          <w:tab w:val="left" w:pos="993"/>
        </w:tabs>
        <w:spacing w:line="264" w:lineRule="auto"/>
        <w:ind w:left="0" w:firstLine="709"/>
        <w:contextualSpacing/>
        <w:jc w:val="left"/>
        <w:rPr>
          <w:rFonts w:ascii="Arial" w:eastAsia="Times New Roman" w:hAnsi="Arial" w:cs="Arial"/>
          <w:kern w:val="2"/>
          <w:szCs w:val="28"/>
          <w:lang w:val="uk-UA" w:eastAsia="ru-RU"/>
          <w14:ligatures w14:val="standardContextual"/>
        </w:rPr>
      </w:pPr>
      <w:r w:rsidRPr="00511005">
        <w:rPr>
          <w:rFonts w:ascii="Arial" w:eastAsia="Times New Roman" w:hAnsi="Arial" w:cs="Arial"/>
          <w:bCs/>
          <w:kern w:val="2"/>
          <w:szCs w:val="28"/>
          <w:lang w:val="uk-UA" w:eastAsia="ru-RU"/>
          <w14:ligatures w14:val="standardContextual"/>
        </w:rPr>
        <w:t>Міністерство освіти і науки України</w:t>
      </w:r>
      <w:r w:rsidRPr="00511005">
        <w:rPr>
          <w:rFonts w:ascii="Arial" w:eastAsia="Times New Roman" w:hAnsi="Arial" w:cs="Arial"/>
          <w:b/>
          <w:bCs/>
          <w:kern w:val="2"/>
          <w:szCs w:val="28"/>
          <w:lang w:val="uk-UA" w:eastAsia="ru-RU"/>
          <w14:ligatures w14:val="standardContextual"/>
        </w:rPr>
        <w:t>.</w:t>
      </w:r>
      <w:r w:rsidRPr="00511005">
        <w:rPr>
          <w:rFonts w:ascii="Arial" w:eastAsia="Times New Roman" w:hAnsi="Arial" w:cs="Arial"/>
          <w:kern w:val="2"/>
          <w:szCs w:val="28"/>
          <w:lang w:val="uk-UA" w:eastAsia="ru-RU"/>
          <w14:ligatures w14:val="standardContextual"/>
        </w:rPr>
        <w:t> Перехідна книга Міністерства освіти і науки України. Київ: МОН України, 2023. URL: https://mon.gov.ua/static-objects/mon/sites/1/news/2023/03/21/Transition.book.2023.pdf.</w:t>
      </w:r>
    </w:p>
    <w:p w14:paraId="46395C27" w14:textId="77777777" w:rsidR="00AE57E7" w:rsidRPr="00511005" w:rsidRDefault="00AE57E7" w:rsidP="003F6A5D">
      <w:pPr>
        <w:numPr>
          <w:ilvl w:val="0"/>
          <w:numId w:val="713"/>
        </w:numPr>
        <w:shd w:val="clear" w:color="auto" w:fill="FFFFFF"/>
        <w:tabs>
          <w:tab w:val="left" w:pos="993"/>
        </w:tabs>
        <w:spacing w:line="264" w:lineRule="auto"/>
        <w:ind w:left="0" w:firstLine="709"/>
        <w:contextualSpacing/>
        <w:jc w:val="left"/>
        <w:rPr>
          <w:rFonts w:ascii="Arial" w:eastAsia="Times New Roman" w:hAnsi="Arial" w:cs="Arial"/>
          <w:kern w:val="2"/>
          <w:szCs w:val="28"/>
          <w:lang w:val="uk-UA" w:eastAsia="ru-RU"/>
          <w14:ligatures w14:val="standardContextual"/>
        </w:rPr>
      </w:pPr>
      <w:r w:rsidRPr="00511005">
        <w:rPr>
          <w:rFonts w:ascii="Arial" w:eastAsia="Times New Roman" w:hAnsi="Arial" w:cs="Arial"/>
          <w:bCs/>
          <w:kern w:val="2"/>
          <w:szCs w:val="28"/>
          <w:lang w:val="uk-UA" w:eastAsia="ru-RU"/>
          <w14:ligatures w14:val="standardContextual"/>
        </w:rPr>
        <w:lastRenderedPageBreak/>
        <w:t>Освітній омбудсмен України.</w:t>
      </w:r>
      <w:r w:rsidRPr="00511005">
        <w:rPr>
          <w:rFonts w:ascii="Arial" w:eastAsia="Times New Roman" w:hAnsi="Arial" w:cs="Arial"/>
          <w:kern w:val="2"/>
          <w:szCs w:val="28"/>
          <w:lang w:val="uk-UA" w:eastAsia="ru-RU"/>
          <w14:ligatures w14:val="standardContextual"/>
        </w:rPr>
        <w:t> Освіта в умовах воєнного стану. Київ, 2022. URL: https://eo.gov.ua/osvita-v-umovakh-voiennoho-stanu/2022/04/11//</w:t>
      </w:r>
    </w:p>
    <w:p w14:paraId="21911C83" w14:textId="77777777" w:rsidR="00AE57E7" w:rsidRPr="00511005" w:rsidRDefault="00AE57E7" w:rsidP="003F6A5D">
      <w:pPr>
        <w:numPr>
          <w:ilvl w:val="0"/>
          <w:numId w:val="713"/>
        </w:numPr>
        <w:shd w:val="clear" w:color="auto" w:fill="FFFFFF"/>
        <w:tabs>
          <w:tab w:val="left" w:pos="993"/>
        </w:tabs>
        <w:spacing w:line="264" w:lineRule="auto"/>
        <w:ind w:left="0" w:firstLine="709"/>
        <w:contextualSpacing/>
        <w:jc w:val="left"/>
        <w:rPr>
          <w:rFonts w:ascii="Arial" w:eastAsia="Times New Roman" w:hAnsi="Arial" w:cs="Arial"/>
          <w:kern w:val="2"/>
          <w:szCs w:val="28"/>
          <w:lang w:val="uk-UA" w:eastAsia="ru-RU"/>
          <w14:ligatures w14:val="standardContextual"/>
        </w:rPr>
      </w:pPr>
      <w:r w:rsidRPr="00511005">
        <w:rPr>
          <w:rFonts w:ascii="Arial" w:eastAsia="Times New Roman" w:hAnsi="Arial" w:cs="Arial"/>
          <w:bCs/>
          <w:kern w:val="2"/>
          <w:szCs w:val="28"/>
          <w:lang w:val="uk-UA" w:eastAsia="ru-RU"/>
          <w14:ligatures w14:val="standardContextual"/>
        </w:rPr>
        <w:t>Сідлецький С., Шандар А.</w:t>
      </w:r>
      <w:r w:rsidRPr="00511005">
        <w:rPr>
          <w:rFonts w:ascii="Arial" w:eastAsia="Times New Roman" w:hAnsi="Arial" w:cs="Arial"/>
          <w:kern w:val="2"/>
          <w:szCs w:val="28"/>
          <w:lang w:val="uk-UA" w:eastAsia="ru-RU"/>
          <w14:ligatures w14:val="standardContextual"/>
        </w:rPr>
        <w:t xml:space="preserve"> Вища освіта в Україні в умовах воєнного стану: виклики та пріоритети. </w:t>
      </w:r>
      <w:r w:rsidRPr="00511005">
        <w:rPr>
          <w:rFonts w:ascii="Arial" w:eastAsia="Times New Roman" w:hAnsi="Arial" w:cs="Arial"/>
          <w:i/>
          <w:iCs/>
          <w:kern w:val="2"/>
          <w:szCs w:val="28"/>
          <w:lang w:val="uk-UA" w:eastAsia="ru-RU"/>
          <w14:ligatures w14:val="standardContextual"/>
        </w:rPr>
        <w:t>Економіка та суспільство.</w:t>
      </w:r>
      <w:r w:rsidRPr="00511005">
        <w:rPr>
          <w:rFonts w:ascii="Arial" w:eastAsia="Times New Roman" w:hAnsi="Arial" w:cs="Arial"/>
          <w:kern w:val="2"/>
          <w:szCs w:val="28"/>
          <w:lang w:val="uk-UA" w:eastAsia="ru-RU"/>
          <w14:ligatures w14:val="standardContextual"/>
        </w:rPr>
        <w:t xml:space="preserve"> 2024. №64. С. 151. </w:t>
      </w:r>
    </w:p>
    <w:p w14:paraId="56FF86FC" w14:textId="77777777" w:rsidR="00AE57E7" w:rsidRPr="00511005" w:rsidRDefault="00AE57E7" w:rsidP="003F6A5D">
      <w:pPr>
        <w:numPr>
          <w:ilvl w:val="0"/>
          <w:numId w:val="713"/>
        </w:numPr>
        <w:shd w:val="clear" w:color="auto" w:fill="FFFFFF"/>
        <w:tabs>
          <w:tab w:val="left" w:pos="993"/>
        </w:tabs>
        <w:spacing w:line="264" w:lineRule="auto"/>
        <w:ind w:left="0" w:firstLine="709"/>
        <w:contextualSpacing/>
        <w:jc w:val="left"/>
        <w:rPr>
          <w:rFonts w:ascii="Arial" w:eastAsia="Times New Roman" w:hAnsi="Arial" w:cs="Arial"/>
          <w:kern w:val="2"/>
          <w:szCs w:val="28"/>
          <w:lang w:val="uk-UA" w:eastAsia="ru-RU"/>
          <w14:ligatures w14:val="standardContextual"/>
        </w:rPr>
      </w:pPr>
      <w:r w:rsidRPr="00511005">
        <w:rPr>
          <w:rFonts w:ascii="Arial" w:eastAsia="Times New Roman" w:hAnsi="Arial" w:cs="Arial"/>
          <w:bCs/>
          <w:kern w:val="2"/>
          <w:szCs w:val="28"/>
          <w:lang w:val="uk-UA" w:eastAsia="ru-RU"/>
          <w14:ligatures w14:val="standardContextual"/>
        </w:rPr>
        <w:t>Цифровізація як інструмент забезпечення якості надання освітніх послуг з урахуванням європейського досвіду : колективна монографія / за ред. А. В. Череп, І. М. Дашко, Ю. О. Огренич, О. Г. Череп. Запоріжжя : Видавець ФОП Мокшанов В. В., 2024. 300 с.</w:t>
      </w:r>
    </w:p>
    <w:p w14:paraId="23EA50A2" w14:textId="77777777" w:rsidR="00AE57E7" w:rsidRPr="00511005" w:rsidRDefault="00AE57E7" w:rsidP="003F6A5D">
      <w:pPr>
        <w:numPr>
          <w:ilvl w:val="0"/>
          <w:numId w:val="713"/>
        </w:numPr>
        <w:shd w:val="clear" w:color="auto" w:fill="FFFFFF"/>
        <w:tabs>
          <w:tab w:val="left" w:pos="993"/>
        </w:tabs>
        <w:spacing w:line="264" w:lineRule="auto"/>
        <w:ind w:left="0" w:firstLine="709"/>
        <w:contextualSpacing/>
        <w:jc w:val="left"/>
        <w:rPr>
          <w:rFonts w:ascii="Arial" w:eastAsia="Times New Roman" w:hAnsi="Arial" w:cs="Arial"/>
          <w:kern w:val="2"/>
          <w:szCs w:val="28"/>
          <w:lang w:val="uk-UA" w:eastAsia="ru-RU"/>
          <w14:ligatures w14:val="standardContextual"/>
        </w:rPr>
      </w:pPr>
      <w:r w:rsidRPr="00511005">
        <w:rPr>
          <w:rFonts w:ascii="Arial" w:eastAsia="Times New Roman" w:hAnsi="Arial" w:cs="Arial"/>
          <w:bCs/>
          <w:kern w:val="2"/>
          <w:szCs w:val="28"/>
          <w:lang w:val="uk-UA" w:eastAsia="ru-RU"/>
          <w14:ligatures w14:val="standardContextual"/>
        </w:rPr>
        <w:t>Науково-методичний збірник</w:t>
      </w:r>
      <w:r w:rsidRPr="00511005">
        <w:rPr>
          <w:rFonts w:ascii="Arial" w:eastAsia="Times New Roman" w:hAnsi="Arial" w:cs="Arial"/>
          <w:b/>
          <w:bCs/>
          <w:kern w:val="2"/>
          <w:szCs w:val="28"/>
          <w:lang w:val="uk-UA" w:eastAsia="ru-RU"/>
          <w14:ligatures w14:val="standardContextual"/>
        </w:rPr>
        <w:t>.</w:t>
      </w:r>
      <w:r w:rsidRPr="00511005">
        <w:rPr>
          <w:rFonts w:ascii="Arial" w:eastAsia="Times New Roman" w:hAnsi="Arial" w:cs="Arial"/>
          <w:kern w:val="2"/>
          <w:szCs w:val="28"/>
          <w:lang w:val="uk-UA" w:eastAsia="ru-RU"/>
          <w14:ligatures w14:val="standardContextual"/>
        </w:rPr>
        <w:t> Освіта України в умовах воєнного стану: інноваційна та проєктна діяльність. Київ: МОН України, 2022.</w:t>
      </w:r>
      <w:r w:rsidRPr="00511005">
        <w:rPr>
          <w:rFonts w:ascii="Arial" w:eastAsia="Times New Roman" w:hAnsi="Arial" w:cs="Arial"/>
          <w:szCs w:val="28"/>
          <w:lang w:val="uk-UA" w:eastAsia="ru-RU"/>
        </w:rPr>
        <w:t xml:space="preserve"> </w:t>
      </w:r>
      <w:r w:rsidRPr="00511005">
        <w:rPr>
          <w:rFonts w:ascii="Arial" w:eastAsia="Times New Roman" w:hAnsi="Arial" w:cs="Arial"/>
          <w:kern w:val="2"/>
          <w:szCs w:val="28"/>
          <w:lang w:val="uk-UA" w:eastAsia="ru-RU"/>
          <w14:ligatures w14:val="standardContextual"/>
        </w:rPr>
        <w:t>URL: https://mon.gov.ua/static-objects/mon/sites/1/zagalna%20serednya/serpneva-konferencia/2022/Mizhn.serpn.ped.nauk-prakt.konferentsiya/Nauk-metod.zbirnyk-Osv.Ukrayiny.v.umovakh.voyennoho.stanu-%20Innovatsiyna.ta.proyektna.diyalnist.pdf/.</w:t>
      </w:r>
    </w:p>
    <w:p w14:paraId="6F241D95" w14:textId="77777777" w:rsidR="00AE57E7" w:rsidRPr="00511005" w:rsidRDefault="00AE57E7" w:rsidP="003F6A5D">
      <w:pPr>
        <w:numPr>
          <w:ilvl w:val="0"/>
          <w:numId w:val="713"/>
        </w:numPr>
        <w:tabs>
          <w:tab w:val="left" w:pos="993"/>
        </w:tabs>
        <w:spacing w:line="264" w:lineRule="auto"/>
        <w:ind w:left="0" w:firstLine="709"/>
        <w:contextualSpacing/>
        <w:jc w:val="left"/>
        <w:rPr>
          <w:rFonts w:ascii="Arial" w:eastAsia="Times New Roman" w:hAnsi="Arial" w:cs="Arial"/>
          <w:kern w:val="2"/>
          <w:szCs w:val="28"/>
          <w:lang w:val="uk-UA" w:eastAsia="ru-RU"/>
          <w14:ligatures w14:val="standardContextual"/>
        </w:rPr>
      </w:pPr>
      <w:r w:rsidRPr="00511005">
        <w:rPr>
          <w:rFonts w:ascii="Arial" w:eastAsia="Times New Roman" w:hAnsi="Arial" w:cs="Arial"/>
          <w:bCs/>
          <w:kern w:val="2"/>
          <w:szCs w:val="28"/>
          <w:lang w:val="uk-UA" w:eastAsia="ru-RU"/>
          <w14:ligatures w14:val="standardContextual"/>
        </w:rPr>
        <w:t>Гринькевич О.С.</w:t>
      </w:r>
      <w:r w:rsidRPr="00511005">
        <w:rPr>
          <w:rFonts w:ascii="Arial" w:eastAsia="Times New Roman" w:hAnsi="Arial" w:cs="Arial"/>
          <w:kern w:val="2"/>
          <w:szCs w:val="28"/>
          <w:lang w:val="uk-UA" w:eastAsia="ru-RU"/>
          <w14:ligatures w14:val="standardContextual"/>
        </w:rPr>
        <w:t> Управління конкурентоспроможністю вищої освіти в Україні: інституційний аналіз і моніторинг. Львів: ЛНУ імені Івана Франка, 2018. 43 c.</w:t>
      </w:r>
    </w:p>
    <w:p w14:paraId="578FC8F3" w14:textId="77777777" w:rsidR="00AE57E7" w:rsidRPr="00511005" w:rsidRDefault="00AE57E7" w:rsidP="003F6A5D">
      <w:pPr>
        <w:numPr>
          <w:ilvl w:val="0"/>
          <w:numId w:val="713"/>
        </w:numPr>
        <w:tabs>
          <w:tab w:val="left" w:pos="993"/>
        </w:tabs>
        <w:spacing w:line="264" w:lineRule="auto"/>
        <w:ind w:left="0" w:firstLine="709"/>
        <w:contextualSpacing/>
        <w:jc w:val="left"/>
        <w:rPr>
          <w:rFonts w:ascii="Arial" w:eastAsia="Times New Roman" w:hAnsi="Arial" w:cs="Arial"/>
          <w:kern w:val="2"/>
          <w:szCs w:val="28"/>
          <w:lang w:val="uk-UA" w:eastAsia="ru-RU"/>
          <w14:ligatures w14:val="standardContextual"/>
        </w:rPr>
      </w:pPr>
      <w:r w:rsidRPr="00511005">
        <w:rPr>
          <w:rFonts w:ascii="Arial" w:eastAsia="Times New Roman" w:hAnsi="Arial" w:cs="Arial"/>
          <w:bCs/>
          <w:kern w:val="2"/>
          <w:szCs w:val="28"/>
          <w:lang w:val="uk-UA" w:eastAsia="ru-RU"/>
          <w14:ligatures w14:val="standardContextual"/>
        </w:rPr>
        <w:t>Кремень В.Г., Луговий В.І., Саух П.Ю.</w:t>
      </w:r>
      <w:r w:rsidRPr="00511005">
        <w:rPr>
          <w:rFonts w:ascii="Arial" w:eastAsia="Times New Roman" w:hAnsi="Arial" w:cs="Arial"/>
          <w:kern w:val="2"/>
          <w:szCs w:val="28"/>
          <w:lang w:val="uk-UA" w:eastAsia="ru-RU"/>
          <w14:ligatures w14:val="standardContextual"/>
        </w:rPr>
        <w:t xml:space="preserve"> Вища освіта України в умовах воєнного стану та післявоєнного відновлення: виклики і відповіді. </w:t>
      </w:r>
      <w:r w:rsidRPr="00511005">
        <w:rPr>
          <w:rFonts w:ascii="Arial" w:eastAsia="Times New Roman" w:hAnsi="Arial" w:cs="Arial"/>
          <w:i/>
          <w:iCs/>
          <w:kern w:val="2"/>
          <w:szCs w:val="28"/>
          <w:lang w:val="uk-UA" w:eastAsia="ru-RU"/>
          <w14:ligatures w14:val="standardContextual"/>
        </w:rPr>
        <w:t>Вісник Національної академії педагогічних наук України.</w:t>
      </w:r>
      <w:r w:rsidRPr="00511005">
        <w:rPr>
          <w:rFonts w:ascii="Arial" w:eastAsia="Times New Roman" w:hAnsi="Arial" w:cs="Arial"/>
          <w:kern w:val="2"/>
          <w:szCs w:val="28"/>
          <w:lang w:val="uk-UA" w:eastAsia="ru-RU"/>
          <w14:ligatures w14:val="standardContextual"/>
        </w:rPr>
        <w:t> 2023. Т. 5, №2. С. 1–5.</w:t>
      </w:r>
    </w:p>
    <w:p w14:paraId="421CFACD" w14:textId="77777777" w:rsidR="00AE57E7" w:rsidRPr="00511005" w:rsidRDefault="00AE57E7" w:rsidP="003F6A5D">
      <w:pPr>
        <w:numPr>
          <w:ilvl w:val="0"/>
          <w:numId w:val="713"/>
        </w:numPr>
        <w:shd w:val="clear" w:color="auto" w:fill="FFFFFF"/>
        <w:tabs>
          <w:tab w:val="left" w:pos="993"/>
        </w:tabs>
        <w:spacing w:line="264" w:lineRule="auto"/>
        <w:ind w:left="0" w:firstLine="709"/>
        <w:contextualSpacing/>
        <w:jc w:val="left"/>
        <w:rPr>
          <w:rFonts w:ascii="Arial" w:eastAsia="Times New Roman" w:hAnsi="Arial" w:cs="Arial"/>
          <w:kern w:val="2"/>
          <w:szCs w:val="28"/>
          <w:lang w:val="uk-UA" w:eastAsia="ru-RU"/>
          <w14:ligatures w14:val="standardContextual"/>
        </w:rPr>
      </w:pPr>
      <w:r w:rsidRPr="00511005">
        <w:rPr>
          <w:rFonts w:ascii="Arial" w:eastAsia="Times New Roman" w:hAnsi="Arial" w:cs="Arial"/>
          <w:bCs/>
          <w:kern w:val="2"/>
          <w:szCs w:val="28"/>
          <w:lang w:val="uk-UA" w:eastAsia="ru-RU"/>
          <w14:ligatures w14:val="standardContextual"/>
        </w:rPr>
        <w:t>Лук’яненко Д.Г., Антонюк Л.Л., Василькова Н.В., Ільницький Д.О.</w:t>
      </w:r>
      <w:r w:rsidRPr="00511005">
        <w:rPr>
          <w:rFonts w:ascii="Arial" w:eastAsia="Times New Roman" w:hAnsi="Arial" w:cs="Arial"/>
          <w:kern w:val="2"/>
          <w:szCs w:val="28"/>
          <w:lang w:val="uk-UA" w:eastAsia="ru-RU"/>
          <w14:ligatures w14:val="standardContextual"/>
        </w:rPr>
        <w:t> Конкурентні моделі управління якістю вищої освіти у XXI столітті: монографія. Київ: КНЕУ, 2019. 380 C.</w:t>
      </w:r>
    </w:p>
    <w:p w14:paraId="6CCE7338" w14:textId="361BE109" w:rsidR="00AE57E7" w:rsidRPr="00511005" w:rsidRDefault="00AE57E7" w:rsidP="003F6A5D">
      <w:pPr>
        <w:numPr>
          <w:ilvl w:val="0"/>
          <w:numId w:val="713"/>
        </w:numPr>
        <w:shd w:val="clear" w:color="auto" w:fill="FFFFFF"/>
        <w:tabs>
          <w:tab w:val="left" w:pos="993"/>
        </w:tabs>
        <w:spacing w:line="264" w:lineRule="auto"/>
        <w:ind w:left="0" w:firstLine="709"/>
        <w:contextualSpacing/>
        <w:jc w:val="left"/>
        <w:rPr>
          <w:rFonts w:ascii="Arial" w:eastAsia="Times New Roman" w:hAnsi="Arial" w:cs="Arial"/>
          <w:kern w:val="2"/>
          <w:szCs w:val="28"/>
          <w:lang w:val="uk-UA" w:eastAsia="ru-RU"/>
          <w14:ligatures w14:val="standardContextual"/>
        </w:rPr>
      </w:pPr>
      <w:r w:rsidRPr="00511005">
        <w:rPr>
          <w:rFonts w:ascii="Arial" w:eastAsia="Times New Roman" w:hAnsi="Arial" w:cs="Arial"/>
          <w:bCs/>
          <w:kern w:val="2"/>
          <w:szCs w:val="28"/>
          <w:lang w:val="uk-UA" w:eastAsia="ru-RU"/>
          <w14:ligatures w14:val="standardContextual"/>
        </w:rPr>
        <w:t>Міністерство освіти і науки України.</w:t>
      </w:r>
      <w:r w:rsidRPr="00511005">
        <w:rPr>
          <w:rFonts w:ascii="Arial" w:eastAsia="Times New Roman" w:hAnsi="Arial" w:cs="Arial"/>
          <w:kern w:val="2"/>
          <w:szCs w:val="28"/>
          <w:lang w:val="uk-UA" w:eastAsia="ru-RU"/>
          <w14:ligatures w14:val="standardContextual"/>
        </w:rPr>
        <w:t> Освіта України в умовах воєнного стану: інформаційно-аналітичний збірник. Київ: МОН України, 2022.</w:t>
      </w:r>
      <w:r w:rsidRPr="00511005">
        <w:rPr>
          <w:rFonts w:ascii="Arial" w:eastAsia="Times New Roman" w:hAnsi="Arial" w:cs="Arial"/>
          <w:szCs w:val="28"/>
          <w:lang w:val="uk-UA" w:eastAsia="ru-RU"/>
        </w:rPr>
        <w:t xml:space="preserve"> </w:t>
      </w:r>
      <w:r w:rsidRPr="00511005">
        <w:rPr>
          <w:rFonts w:ascii="Arial" w:eastAsia="Times New Roman" w:hAnsi="Arial" w:cs="Arial"/>
          <w:kern w:val="2"/>
          <w:szCs w:val="28"/>
          <w:lang w:val="uk-UA" w:eastAsia="ru-RU"/>
          <w14:ligatures w14:val="standardContextual"/>
        </w:rPr>
        <w:t>URL:</w:t>
      </w:r>
      <w:r w:rsidR="007B2628" w:rsidRPr="00511005">
        <w:rPr>
          <w:rFonts w:ascii="Arial" w:eastAsia="Times New Roman" w:hAnsi="Arial" w:cs="Arial"/>
          <w:kern w:val="2"/>
          <w:szCs w:val="28"/>
          <w:lang w:val="uk-UA" w:eastAsia="ru-RU"/>
          <w14:ligatures w14:val="standardContextual"/>
        </w:rPr>
        <w:t xml:space="preserve"> </w:t>
      </w:r>
      <w:r w:rsidRPr="00511005">
        <w:rPr>
          <w:rFonts w:ascii="Arial" w:eastAsia="Times New Roman" w:hAnsi="Arial" w:cs="Arial"/>
          <w:kern w:val="2"/>
          <w:szCs w:val="28"/>
          <w:lang w:val="uk-UA" w:eastAsia="ru-RU"/>
          <w14:ligatures w14:val="standardContextual"/>
        </w:rPr>
        <w:t>https://mon.gov.ua/static-objects/mon/sites/1/zagalna%20serednya/serpneva-konferencia/2022/Mizhn.serpn.ped.nauk-prakt.konferentsiya/Inform-analityc.zbirn-Osvita.Ukrayiny.v.umovakh.voyennoho.stanu.22.08.2022.pdf.</w:t>
      </w:r>
    </w:p>
    <w:p w14:paraId="47272900" w14:textId="77777777" w:rsidR="00AE57E7" w:rsidRPr="00511005" w:rsidRDefault="00AE57E7" w:rsidP="003F6A5D">
      <w:pPr>
        <w:numPr>
          <w:ilvl w:val="0"/>
          <w:numId w:val="713"/>
        </w:numPr>
        <w:shd w:val="clear" w:color="auto" w:fill="FFFFFF"/>
        <w:tabs>
          <w:tab w:val="left" w:pos="993"/>
        </w:tabs>
        <w:spacing w:line="264" w:lineRule="auto"/>
        <w:ind w:left="0" w:firstLine="709"/>
        <w:contextualSpacing/>
        <w:jc w:val="left"/>
        <w:rPr>
          <w:rFonts w:ascii="Arial" w:eastAsia="Times New Roman" w:hAnsi="Arial" w:cs="Arial"/>
          <w:kern w:val="2"/>
          <w:szCs w:val="28"/>
          <w:lang w:val="uk-UA" w:eastAsia="ru-RU"/>
          <w14:ligatures w14:val="standardContextual"/>
        </w:rPr>
      </w:pPr>
      <w:r w:rsidRPr="00511005">
        <w:rPr>
          <w:rFonts w:ascii="Arial" w:eastAsia="Times New Roman" w:hAnsi="Arial" w:cs="Arial"/>
          <w:szCs w:val="28"/>
          <w:lang w:val="uk-UA" w:eastAsia="ru-RU"/>
        </w:rPr>
        <w:t xml:space="preserve">Котлубай В.О., Корнілова О.В., Кузнецова Л.В. Реалізація мотиваційних механізмів у процесі прийняття стратегічних управлінських рішень. </w:t>
      </w:r>
      <w:r w:rsidRPr="00511005">
        <w:rPr>
          <w:rFonts w:ascii="Arial" w:eastAsia="Times New Roman" w:hAnsi="Arial" w:cs="Arial"/>
          <w:i/>
          <w:iCs/>
          <w:szCs w:val="28"/>
          <w:lang w:val="uk-UA" w:eastAsia="ru-RU"/>
        </w:rPr>
        <w:t>Наукові інновації та передові технології (Серія «Управління та адміністрування»)</w:t>
      </w:r>
      <w:r w:rsidRPr="00511005">
        <w:rPr>
          <w:rFonts w:ascii="Arial" w:eastAsia="Times New Roman" w:hAnsi="Arial" w:cs="Arial"/>
          <w:szCs w:val="28"/>
          <w:lang w:val="uk-UA" w:eastAsia="ru-RU"/>
        </w:rPr>
        <w:t xml:space="preserve">. 2025. №3(43). С. 350–362. URL: </w:t>
      </w:r>
      <w:hyperlink r:id="rId2465" w:tgtFrame="_new" w:history="1">
        <w:r w:rsidRPr="00511005">
          <w:rPr>
            <w:rFonts w:ascii="Arial" w:eastAsia="Times New Roman" w:hAnsi="Arial" w:cs="Arial"/>
            <w:szCs w:val="28"/>
            <w:lang w:val="uk-UA" w:eastAsia="ru-RU"/>
          </w:rPr>
          <w:t>http://perspectives.pp.ua/index.php/nauka/article/view/21134/21108</w:t>
        </w:r>
      </w:hyperlink>
      <w:r w:rsidRPr="00511005">
        <w:rPr>
          <w:rFonts w:ascii="Arial" w:eastAsia="Times New Roman" w:hAnsi="Arial" w:cs="Arial"/>
          <w:szCs w:val="28"/>
          <w:lang w:val="uk-UA" w:eastAsia="ru-RU"/>
        </w:rPr>
        <w:t>.</w:t>
      </w:r>
    </w:p>
    <w:p w14:paraId="445CB001" w14:textId="77777777" w:rsidR="00AE57E7" w:rsidRPr="00511005" w:rsidRDefault="00AE57E7" w:rsidP="003F6A5D">
      <w:pPr>
        <w:numPr>
          <w:ilvl w:val="0"/>
          <w:numId w:val="713"/>
        </w:numPr>
        <w:shd w:val="clear" w:color="auto" w:fill="FFFFFF"/>
        <w:tabs>
          <w:tab w:val="left" w:pos="993"/>
        </w:tabs>
        <w:spacing w:line="264" w:lineRule="auto"/>
        <w:ind w:left="0" w:firstLine="709"/>
        <w:contextualSpacing/>
        <w:jc w:val="left"/>
        <w:rPr>
          <w:rFonts w:ascii="Arial" w:eastAsia="Times New Roman" w:hAnsi="Arial" w:cs="Arial"/>
          <w:kern w:val="2"/>
          <w:szCs w:val="28"/>
          <w:lang w:val="uk-UA" w:eastAsia="ru-RU"/>
          <w14:ligatures w14:val="standardContextual"/>
        </w:rPr>
      </w:pPr>
      <w:r w:rsidRPr="00511005">
        <w:rPr>
          <w:rFonts w:ascii="Arial" w:eastAsia="Times New Roman" w:hAnsi="Arial" w:cs="Arial"/>
          <w:szCs w:val="28"/>
          <w:lang w:val="uk-UA" w:eastAsia="ru-RU"/>
        </w:rPr>
        <w:t xml:space="preserve">Kibik, O., Slobodianiuk, O., Kotlubai, V., Belous, K., Kornilova, O., &amp; Prymachenko, I. (2025). Managing Sustainable Development Projects Through a Risk-Oriented Framework. </w:t>
      </w:r>
      <w:r w:rsidRPr="00511005">
        <w:rPr>
          <w:rFonts w:ascii="Arial" w:eastAsia="Times New Roman" w:hAnsi="Arial" w:cs="Arial"/>
          <w:i/>
          <w:iCs/>
          <w:szCs w:val="28"/>
          <w:lang w:val="uk-UA" w:eastAsia="ru-RU"/>
        </w:rPr>
        <w:t>International Journal of Organizational Leadership</w:t>
      </w:r>
      <w:r w:rsidRPr="00511005">
        <w:rPr>
          <w:rFonts w:ascii="Arial" w:eastAsia="Times New Roman" w:hAnsi="Arial" w:cs="Arial"/>
          <w:szCs w:val="28"/>
          <w:lang w:val="uk-UA" w:eastAsia="ru-RU"/>
        </w:rPr>
        <w:t xml:space="preserve">, 14 (Special Issue 2025), 95–106. </w:t>
      </w:r>
      <w:hyperlink r:id="rId2466" w:tgtFrame="_new" w:history="1">
        <w:r w:rsidRPr="00511005">
          <w:rPr>
            <w:rFonts w:ascii="Arial" w:eastAsia="Times New Roman" w:hAnsi="Arial" w:cs="Arial"/>
            <w:szCs w:val="28"/>
            <w:lang w:val="uk-UA" w:eastAsia="ru-RU"/>
          </w:rPr>
          <w:t>https://doi.org/10.33844/ijol.2025.60462</w:t>
        </w:r>
      </w:hyperlink>
      <w:r w:rsidRPr="00511005">
        <w:rPr>
          <w:rFonts w:ascii="Arial" w:eastAsia="Times New Roman" w:hAnsi="Arial" w:cs="Arial"/>
          <w:szCs w:val="28"/>
          <w:lang w:val="uk-UA" w:eastAsia="ru-RU"/>
        </w:rPr>
        <w:t>.</w:t>
      </w:r>
    </w:p>
    <w:p w14:paraId="32D8E963" w14:textId="77777777" w:rsidR="00AE57E7" w:rsidRPr="00511005" w:rsidRDefault="00AE57E7" w:rsidP="003A292D">
      <w:pPr>
        <w:keepNext/>
        <w:spacing w:line="264" w:lineRule="auto"/>
        <w:rPr>
          <w:rFonts w:ascii="Arial" w:eastAsia="Times New Roman" w:hAnsi="Arial" w:cs="Arial"/>
          <w:kern w:val="2"/>
          <w:szCs w:val="28"/>
          <w:lang w:val="uk-UA" w:eastAsia="ru-RU"/>
          <w14:ligatures w14:val="standardContextual"/>
        </w:rPr>
      </w:pPr>
    </w:p>
    <w:p w14:paraId="467E3855" w14:textId="13FE7C61" w:rsidR="00AE57E7" w:rsidRPr="00511005" w:rsidRDefault="007B2628" w:rsidP="003A292D">
      <w:pPr>
        <w:keepNext/>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освітній бізнес, клієнтоорієнтованість, управління, воєнний час, адаптація, антикризове мислення, довіра, стабільність, гнучкість, ціннісна взаємодія.</w:t>
      </w:r>
    </w:p>
    <w:p w14:paraId="7343E5A6" w14:textId="5AB039AB" w:rsidR="00AE57E7" w:rsidRPr="00511005" w:rsidRDefault="007B2628" w:rsidP="003A292D">
      <w:pPr>
        <w:keepNext/>
        <w:spacing w:line="264" w:lineRule="auto"/>
        <w:rPr>
          <w:rFonts w:ascii="Arial" w:eastAsia="Times New Roman" w:hAnsi="Arial" w:cs="Arial"/>
          <w:bCs/>
          <w:szCs w:val="28"/>
          <w:lang w:val="uk-UA" w:eastAsia="ru-RU"/>
        </w:rPr>
      </w:pPr>
      <w:r w:rsidRPr="00511005">
        <w:rPr>
          <w:rFonts w:ascii="Arial" w:eastAsia="Times New Roman" w:hAnsi="Arial" w:cs="Arial"/>
          <w:b/>
          <w:i/>
          <w:szCs w:val="28"/>
          <w:lang w:val="uk-UA" w:eastAsia="ru-RU"/>
        </w:rPr>
        <w:t xml:space="preserve">Key words: </w:t>
      </w:r>
      <w:r w:rsidR="00AE57E7" w:rsidRPr="00511005">
        <w:rPr>
          <w:rFonts w:ascii="Arial" w:eastAsia="Times New Roman" w:hAnsi="Arial" w:cs="Arial"/>
          <w:bCs/>
          <w:szCs w:val="28"/>
          <w:lang w:val="uk-UA" w:eastAsia="ru-RU"/>
        </w:rPr>
        <w:t>educational business, customer orientation, management, wartime, adaptation, crisis thinking, trust, stability, flexibility, value interaction.</w:t>
      </w:r>
    </w:p>
    <w:p w14:paraId="0ECE0A2B" w14:textId="42547600" w:rsidR="00AE57E7" w:rsidRPr="00511005" w:rsidRDefault="007B2628" w:rsidP="003A292D">
      <w:pPr>
        <w:keepNext/>
        <w:spacing w:line="264" w:lineRule="auto"/>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AE57E7" w:rsidRPr="00511005">
        <w:rPr>
          <w:rFonts w:ascii="Arial" w:eastAsia="Times New Roman" w:hAnsi="Arial" w:cs="Arial"/>
          <w:bCs/>
          <w:i/>
          <w:iCs/>
          <w:szCs w:val="28"/>
          <w:lang w:val="uk-UA" w:eastAsia="ru-RU"/>
        </w:rPr>
        <w:t>к.е.н., доц. Котлубай В.О.</w:t>
      </w:r>
    </w:p>
    <w:p w14:paraId="16F8A955" w14:textId="77777777" w:rsidR="001D1A08" w:rsidRPr="00511005" w:rsidRDefault="001D1A08" w:rsidP="003A292D">
      <w:pPr>
        <w:spacing w:line="264" w:lineRule="auto"/>
        <w:ind w:firstLine="0"/>
        <w:jc w:val="left"/>
        <w:rPr>
          <w:rFonts w:ascii="Arial" w:eastAsia="Times New Roman" w:hAnsi="Arial" w:cs="Arial"/>
          <w:bCs/>
          <w:i/>
          <w:iCs/>
          <w:szCs w:val="28"/>
          <w:lang w:val="uk-UA" w:eastAsia="ru-RU"/>
        </w:rPr>
      </w:pPr>
    </w:p>
    <w:p w14:paraId="1168C6A7" w14:textId="5C84E9F5" w:rsidR="00AE57E7" w:rsidRPr="00511005" w:rsidRDefault="00AE57E7" w:rsidP="003A292D">
      <w:pPr>
        <w:spacing w:line="264" w:lineRule="auto"/>
        <w:ind w:firstLine="0"/>
        <w:jc w:val="left"/>
        <w:rPr>
          <w:rFonts w:ascii="Arial" w:eastAsia="Times New Roman" w:hAnsi="Arial" w:cs="Arial"/>
          <w:bCs/>
          <w:i/>
          <w:iCs/>
          <w:szCs w:val="28"/>
          <w:lang w:val="uk-UA" w:eastAsia="ru-RU"/>
        </w:rPr>
      </w:pPr>
    </w:p>
    <w:p w14:paraId="7B999C87" w14:textId="77777777" w:rsidR="00AE57E7" w:rsidRPr="00511005" w:rsidRDefault="00AE57E7" w:rsidP="003A292D">
      <w:pPr>
        <w:shd w:val="clear" w:color="auto" w:fill="FFFFFF"/>
        <w:spacing w:line="264" w:lineRule="auto"/>
        <w:ind w:firstLine="0"/>
        <w:jc w:val="center"/>
        <w:rPr>
          <w:rFonts w:ascii="Arial" w:eastAsia="Calibri" w:hAnsi="Arial" w:cs="Arial"/>
          <w:b/>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t xml:space="preserve">Гаджиєв </w:t>
      </w:r>
      <w:r w:rsidRPr="00511005">
        <w:rPr>
          <w:rFonts w:ascii="Arial" w:eastAsia="Calibri" w:hAnsi="Arial" w:cs="Arial"/>
          <w:b/>
          <w:i/>
          <w:kern w:val="2"/>
          <w:szCs w:val="28"/>
          <w:lang w:val="uk-UA"/>
          <w14:ligatures w14:val="standardContextual"/>
        </w:rPr>
        <w:t>Денис Ні</w:t>
      </w:r>
      <w:r w:rsidRPr="00511005">
        <w:rPr>
          <w:rFonts w:ascii="Arial" w:eastAsia="Malgun Gothic" w:hAnsi="Arial" w:cs="Arial"/>
          <w:b/>
          <w:i/>
          <w:kern w:val="2"/>
          <w:szCs w:val="28"/>
          <w:lang w:val="uk-UA"/>
          <w14:ligatures w14:val="standardContextual"/>
        </w:rPr>
        <w:t>зам</w:t>
      </w:r>
      <w:r w:rsidRPr="00511005">
        <w:rPr>
          <w:rFonts w:ascii="Arial" w:eastAsia="Calibri" w:hAnsi="Arial" w:cs="Arial"/>
          <w:b/>
          <w:i/>
          <w:kern w:val="2"/>
          <w:szCs w:val="28"/>
          <w:lang w:val="uk-UA"/>
          <w14:ligatures w14:val="standardContextual"/>
        </w:rPr>
        <w:t>іє</w:t>
      </w:r>
      <w:r w:rsidRPr="00511005">
        <w:rPr>
          <w:rFonts w:ascii="Arial" w:eastAsia="Malgun Gothic" w:hAnsi="Arial" w:cs="Arial"/>
          <w:b/>
          <w:i/>
          <w:kern w:val="2"/>
          <w:szCs w:val="28"/>
          <w:lang w:val="uk-UA"/>
          <w14:ligatures w14:val="standardContextual"/>
        </w:rPr>
        <w:t>вич</w:t>
      </w:r>
      <w:r w:rsidRPr="00511005">
        <w:rPr>
          <w:rFonts w:ascii="Arial" w:eastAsia="Calibri" w:hAnsi="Arial" w:cs="Arial"/>
          <w:b/>
          <w:bCs/>
          <w:i/>
          <w:iCs/>
          <w:kern w:val="2"/>
          <w:szCs w:val="28"/>
          <w:lang w:val="uk-UA"/>
          <w14:ligatures w14:val="standardContextual"/>
        </w:rPr>
        <w:t xml:space="preserve"> </w:t>
      </w:r>
    </w:p>
    <w:p w14:paraId="4F16D928" w14:textId="3CF40050" w:rsidR="00AE57E7" w:rsidRPr="00511005" w:rsidRDefault="00536AAB" w:rsidP="003A292D">
      <w:pPr>
        <w:shd w:val="clear" w:color="auto" w:fill="FFFFFF"/>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iCs/>
          <w:kern w:val="2"/>
          <w:szCs w:val="28"/>
          <w:lang w:val="uk-UA"/>
          <w14:ligatures w14:val="standardContextual"/>
        </w:rPr>
        <w:t>студент 4-го курсу факультету адвокатури та антикорупційної діяльності</w:t>
      </w:r>
    </w:p>
    <w:p w14:paraId="3A95C5F3" w14:textId="64649B38" w:rsidR="00AE57E7" w:rsidRPr="00511005" w:rsidRDefault="007B2628" w:rsidP="003A292D">
      <w:pPr>
        <w:shd w:val="clear" w:color="auto" w:fill="FFFFFF"/>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iCs/>
          <w:kern w:val="2"/>
          <w:szCs w:val="28"/>
          <w:lang w:val="uk-UA"/>
          <w14:ligatures w14:val="standardContextual"/>
        </w:rPr>
        <w:t>Національного університету «Одеська юридична академія»</w:t>
      </w:r>
    </w:p>
    <w:p w14:paraId="1ED7BCC4" w14:textId="77777777" w:rsidR="00AE57E7" w:rsidRPr="00511005" w:rsidRDefault="00AE57E7" w:rsidP="003A292D">
      <w:pPr>
        <w:spacing w:line="264" w:lineRule="auto"/>
        <w:ind w:firstLine="0"/>
        <w:jc w:val="center"/>
        <w:rPr>
          <w:rFonts w:ascii="Arial" w:eastAsia="Calibri" w:hAnsi="Arial" w:cs="Arial"/>
          <w:b/>
          <w:bCs/>
          <w:kern w:val="2"/>
          <w:szCs w:val="28"/>
          <w:lang w:val="uk-UA"/>
          <w14:ligatures w14:val="standardContextual"/>
        </w:rPr>
      </w:pPr>
    </w:p>
    <w:p w14:paraId="55717B9A" w14:textId="77777777" w:rsidR="00AE57E7" w:rsidRPr="00511005" w:rsidRDefault="00AE57E7" w:rsidP="003A292D">
      <w:pPr>
        <w:spacing w:line="264" w:lineRule="auto"/>
        <w:ind w:firstLine="0"/>
        <w:jc w:val="center"/>
        <w:rPr>
          <w:rFonts w:ascii="Arial" w:eastAsia="Times New Roman" w:hAnsi="Arial" w:cs="Arial"/>
          <w:b/>
          <w:kern w:val="2"/>
          <w:szCs w:val="28"/>
          <w:lang w:val="uk-UA"/>
          <w14:ligatures w14:val="standardContextual"/>
        </w:rPr>
      </w:pPr>
      <w:r w:rsidRPr="00511005">
        <w:rPr>
          <w:rFonts w:ascii="Arial" w:eastAsia="Times New Roman" w:hAnsi="Arial" w:cs="Arial"/>
          <w:b/>
          <w:kern w:val="2"/>
          <w:szCs w:val="28"/>
          <w:lang w:val="uk-UA"/>
          <w14:ligatures w14:val="standardContextual"/>
        </w:rPr>
        <w:t>ТРАНСФОРМАЦІ</w:t>
      </w:r>
      <w:r w:rsidRPr="00511005">
        <w:rPr>
          <w:rFonts w:ascii="Arial" w:eastAsia="Malgun Gothic" w:hAnsi="Arial" w:cs="Arial"/>
          <w:b/>
          <w:kern w:val="2"/>
          <w:szCs w:val="28"/>
          <w:lang w:val="uk-UA"/>
          <w14:ligatures w14:val="standardContextual"/>
        </w:rPr>
        <w:t>ЙНИЙ</w:t>
      </w:r>
      <w:r w:rsidRPr="00511005">
        <w:rPr>
          <w:rFonts w:ascii="Arial" w:eastAsia="Times New Roman"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ПОТЕНЦ</w:t>
      </w:r>
      <w:r w:rsidRPr="00511005">
        <w:rPr>
          <w:rFonts w:ascii="Arial" w:eastAsia="Times New Roman" w:hAnsi="Arial" w:cs="Arial"/>
          <w:b/>
          <w:kern w:val="2"/>
          <w:szCs w:val="28"/>
          <w:lang w:val="uk-UA"/>
          <w14:ligatures w14:val="standardContextual"/>
        </w:rPr>
        <w:t>І</w:t>
      </w:r>
      <w:r w:rsidRPr="00511005">
        <w:rPr>
          <w:rFonts w:ascii="Arial" w:eastAsia="Malgun Gothic" w:hAnsi="Arial" w:cs="Arial"/>
          <w:b/>
          <w:kern w:val="2"/>
          <w:szCs w:val="28"/>
          <w:lang w:val="uk-UA"/>
          <w14:ligatures w14:val="standardContextual"/>
        </w:rPr>
        <w:t>АЛ</w:t>
      </w:r>
      <w:r w:rsidRPr="00511005">
        <w:rPr>
          <w:rFonts w:ascii="Arial" w:eastAsia="Times New Roman" w:hAnsi="Arial" w:cs="Arial"/>
          <w:b/>
          <w:kern w:val="2"/>
          <w:szCs w:val="28"/>
          <w:lang w:val="uk-UA"/>
          <w14:ligatures w14:val="standardContextual"/>
        </w:rPr>
        <w:t xml:space="preserve"> CRM-</w:t>
      </w:r>
      <w:r w:rsidRPr="00511005">
        <w:rPr>
          <w:rFonts w:ascii="Arial" w:eastAsia="Malgun Gothic" w:hAnsi="Arial" w:cs="Arial"/>
          <w:b/>
          <w:kern w:val="2"/>
          <w:szCs w:val="28"/>
          <w:lang w:val="uk-UA"/>
          <w14:ligatures w14:val="standardContextual"/>
        </w:rPr>
        <w:t>СИСТЕМ</w:t>
      </w:r>
      <w:r w:rsidRPr="00511005">
        <w:rPr>
          <w:rFonts w:ascii="Arial" w:eastAsia="Times New Roman"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У</w:t>
      </w:r>
      <w:r w:rsidRPr="00511005">
        <w:rPr>
          <w:rFonts w:ascii="Arial" w:eastAsia="Times New Roman"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ЗАБЕЗПЕЧЕНН</w:t>
      </w:r>
      <w:r w:rsidRPr="00511005">
        <w:rPr>
          <w:rFonts w:ascii="Arial" w:eastAsia="Times New Roman" w:hAnsi="Arial" w:cs="Arial"/>
          <w:b/>
          <w:kern w:val="2"/>
          <w:szCs w:val="28"/>
          <w:lang w:val="uk-UA"/>
          <w14:ligatures w14:val="standardContextual"/>
        </w:rPr>
        <w:t xml:space="preserve">І </w:t>
      </w:r>
      <w:r w:rsidRPr="00511005">
        <w:rPr>
          <w:rFonts w:ascii="Arial" w:eastAsia="Malgun Gothic" w:hAnsi="Arial" w:cs="Arial"/>
          <w:b/>
          <w:kern w:val="2"/>
          <w:szCs w:val="28"/>
          <w:lang w:val="uk-UA"/>
          <w14:ligatures w14:val="standardContextual"/>
        </w:rPr>
        <w:t>КОНКУРЕНТОСПРОМОЖНОСТ</w:t>
      </w:r>
      <w:r w:rsidRPr="00511005">
        <w:rPr>
          <w:rFonts w:ascii="Arial" w:eastAsia="Times New Roman" w:hAnsi="Arial" w:cs="Arial"/>
          <w:b/>
          <w:kern w:val="2"/>
          <w:szCs w:val="28"/>
          <w:lang w:val="uk-UA"/>
          <w14:ligatures w14:val="standardContextual"/>
        </w:rPr>
        <w:t xml:space="preserve">І </w:t>
      </w:r>
      <w:r w:rsidRPr="00511005">
        <w:rPr>
          <w:rFonts w:ascii="Arial" w:eastAsia="Malgun Gothic" w:hAnsi="Arial" w:cs="Arial"/>
          <w:b/>
          <w:kern w:val="2"/>
          <w:szCs w:val="28"/>
          <w:lang w:val="uk-UA"/>
          <w14:ligatures w14:val="standardContextual"/>
        </w:rPr>
        <w:t>Б</w:t>
      </w:r>
      <w:r w:rsidRPr="00511005">
        <w:rPr>
          <w:rFonts w:ascii="Arial" w:eastAsia="Times New Roman" w:hAnsi="Arial" w:cs="Arial"/>
          <w:b/>
          <w:kern w:val="2"/>
          <w:szCs w:val="28"/>
          <w:lang w:val="uk-UA"/>
          <w14:ligatures w14:val="standardContextual"/>
        </w:rPr>
        <w:t>І</w:t>
      </w:r>
      <w:r w:rsidRPr="00511005">
        <w:rPr>
          <w:rFonts w:ascii="Arial" w:eastAsia="Malgun Gothic" w:hAnsi="Arial" w:cs="Arial"/>
          <w:b/>
          <w:kern w:val="2"/>
          <w:szCs w:val="28"/>
          <w:lang w:val="uk-UA"/>
          <w14:ligatures w14:val="standardContextual"/>
        </w:rPr>
        <w:t>ЗНЕСУ</w:t>
      </w:r>
    </w:p>
    <w:p w14:paraId="7D9F98F6"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У сучасних умовах глобалізації та цифровізації бізнес-процесів системи управління взаємовідносинами з клієнтами (CRM) стали невід’ємною складовою стратегічного розвитку підприємств. Вони дозволяють організаціям переходити від фрагментованих і реактивних моделей взаємодії з клієнтами до інтегрованих, проактивних і даних орієнтованих стратегій. У попередні десятиліття управління відносинами з клієнтами характеризувалося переважанням аналогових і фрагментованих підходів. Дані про клієнтів, як правило, зберігалися у паперових журналах, картотеках або базових електронних таблицях, що створювало значні виклики для систематизації та аналізу інформації [1, с. 45]. Відсутність інтеграції між підрозділами призводила до дублювання даних, їхньої невідповідності та обмеженої доступності. Процеси взаємодії з клієнтами були переважно реактивними, орієнтованими на відповідь на запити, а не на прогнозування потреб чи персоналізацію пропозицій. Такий підхід знижував ефективність операційної діяльності, ускладнював масштабування бізнесу та негативно впливав на рівень утримання клієнтів, оскільки підприємства не могли адекватно реагувати на ринкові зміни чи передбачати поведінку споживачів [2, с. 112].</w:t>
      </w:r>
    </w:p>
    <w:p w14:paraId="6EBC0349"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Розвиток інформаційних технологій і поява CRM-систем докорінно змінили підходи до управління клієнтськими відносинами. Сучасні CRM-платформи забезпечують централізоване зберігання даних, автоматизацію бізнес-процесів і розширені аналітичні можливості. Завдяки інтеграції з іншими корпоративними системами (наприклад, ERP, маркетинговими платформами), CRM-системи створюють єдину інформаційну екосистему, що підтримує прийняття рішень у реальному часі [3, с. 78].</w:t>
      </w:r>
    </w:p>
    <w:p w14:paraId="3DD6F358"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Інновації, такі як штучний інтелект і машинне навчання, розширили функціонал CRM, уможлививши прогнозну аналітику, аналіз настроїв </w:t>
      </w:r>
      <w:r w:rsidRPr="00511005">
        <w:rPr>
          <w:rFonts w:ascii="Arial" w:eastAsia="Times New Roman" w:hAnsi="Arial" w:cs="Arial"/>
          <w:szCs w:val="28"/>
          <w:lang w:val="uk-UA"/>
        </w:rPr>
        <w:lastRenderedPageBreak/>
        <w:t>клієнтів і автоматизацію рутинних завдань. Хмарні технології зробили CRM-системи доступними для малих і середніх підприємств, усунувши бар’єри, пов’язані з високими початковими витратами на інфраструктуру [4, с. 23]. У результаті бізнеси можуть оптимізувати воронки продажів, підвищувати ефективність маркетингових кампаній і забезпечувати персоналізований клієнтський досвід, що сприяє зростанню лояльності та доходів.</w:t>
      </w:r>
    </w:p>
    <w:p w14:paraId="7A423921"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Для забезпечення максимальної ефективності CRM-систем підприємствам необхідно впроваджувати їх у рамках комплексного, системного підходу, який враховує організаційні, технологічні та регуляторні аспекти. Запропонований підхід включає наступні етапи: </w:t>
      </w:r>
    </w:p>
    <w:p w14:paraId="59968FBD"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1. Стратегі</w:t>
      </w:r>
      <w:r w:rsidRPr="00511005">
        <w:rPr>
          <w:rFonts w:ascii="Arial" w:eastAsia="Malgun Gothic" w:hAnsi="Arial" w:cs="Arial"/>
          <w:kern w:val="2"/>
          <w:szCs w:val="28"/>
          <w:lang w:val="uk-UA"/>
          <w14:ligatures w14:val="standardContextual"/>
        </w:rPr>
        <w:t>чна</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нтеграц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планування</w:t>
      </w:r>
      <w:r w:rsidRPr="00511005">
        <w:rPr>
          <w:rFonts w:ascii="Arial" w:eastAsia="Calibri" w:hAnsi="Arial" w:cs="Arial"/>
          <w:kern w:val="2"/>
          <w:szCs w:val="28"/>
          <w:lang w:val="uk-UA"/>
          <w14:ligatures w14:val="standardContextual"/>
        </w:rPr>
        <w:t>. Впровадження CRM-систем починає</w:t>
      </w:r>
      <w:r w:rsidRPr="00511005">
        <w:rPr>
          <w:rFonts w:ascii="Arial" w:eastAsia="Malgun Gothic" w:hAnsi="Arial" w:cs="Arial"/>
          <w:kern w:val="2"/>
          <w:szCs w:val="28"/>
          <w:lang w:val="uk-UA"/>
          <w14:ligatures w14:val="standardContextual"/>
        </w:rPr>
        <w:t>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визначення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лей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узгоджених</w:t>
      </w:r>
      <w:r w:rsidRPr="00511005">
        <w:rPr>
          <w:rFonts w:ascii="Arial" w:eastAsia="Calibri" w:hAnsi="Arial" w:cs="Arial"/>
          <w:kern w:val="2"/>
          <w:szCs w:val="28"/>
          <w:lang w:val="uk-UA"/>
          <w14:ligatures w14:val="standardContextual"/>
        </w:rPr>
        <w:t xml:space="preserve"> із бі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лояльност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зростання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продаж</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оптим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витрат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цьому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етап</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проводиться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аудит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процес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завдання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вибору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платформи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враховуючи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масштаб</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функц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ональн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 і</w:t>
      </w:r>
      <w:r w:rsidRPr="00511005">
        <w:rPr>
          <w:rFonts w:ascii="Arial" w:eastAsia="Malgun Gothic" w:hAnsi="Arial" w:cs="Arial"/>
          <w:kern w:val="2"/>
          <w:szCs w:val="28"/>
          <w:lang w:val="uk-UA"/>
          <w14:ligatures w14:val="standardContextual"/>
        </w:rPr>
        <w:t>нтегра</w:t>
      </w:r>
      <w:r w:rsidRPr="00511005">
        <w:rPr>
          <w:rFonts w:ascii="Arial" w:eastAsia="Calibri" w:hAnsi="Arial" w:cs="Arial"/>
          <w:kern w:val="2"/>
          <w:szCs w:val="28"/>
          <w:lang w:val="uk-UA"/>
          <w14:ligatures w14:val="standardContextual"/>
        </w:rPr>
        <w:t>ці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можливост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наприклад</w:t>
      </w:r>
      <w:r w:rsidRPr="00511005">
        <w:rPr>
          <w:rFonts w:ascii="Arial" w:eastAsia="Calibri" w:hAnsi="Arial" w:cs="Arial"/>
          <w:kern w:val="2"/>
          <w:szCs w:val="28"/>
          <w:lang w:val="uk-UA"/>
          <w14:ligatures w14:val="standardContextual"/>
        </w:rPr>
        <w:t>, Salesforce для великих компані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а HubSpot - для малих. Успі</w:t>
      </w:r>
      <w:r w:rsidRPr="00511005">
        <w:rPr>
          <w:rFonts w:ascii="Arial" w:eastAsia="Malgun Gothic" w:hAnsi="Arial" w:cs="Arial"/>
          <w:kern w:val="2"/>
          <w:szCs w:val="28"/>
          <w:lang w:val="uk-UA"/>
          <w14:ligatures w14:val="standardContextual"/>
        </w:rPr>
        <w:t>шн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залежить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залучення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вництва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наявност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дорожньо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карти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w:t>
      </w:r>
    </w:p>
    <w:p w14:paraId="00151D1B"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2. Навчання та адаптаці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персоналу</w:t>
      </w:r>
      <w:r w:rsidRPr="00511005">
        <w:rPr>
          <w:rFonts w:ascii="Arial" w:eastAsia="Calibri" w:hAnsi="Arial" w:cs="Arial"/>
          <w:kern w:val="2"/>
          <w:szCs w:val="28"/>
          <w:lang w:val="uk-UA"/>
          <w14:ligatures w14:val="standardContextual"/>
        </w:rPr>
        <w:t>. Ефективні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CRM </w:t>
      </w:r>
      <w:r w:rsidRPr="00511005">
        <w:rPr>
          <w:rFonts w:ascii="Arial" w:eastAsia="Malgun Gothic" w:hAnsi="Arial" w:cs="Arial"/>
          <w:kern w:val="2"/>
          <w:szCs w:val="28"/>
          <w:lang w:val="uk-UA"/>
          <w14:ligatures w14:val="standardContextual"/>
        </w:rPr>
        <w:t>залежить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готовност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персо</w:t>
      </w:r>
      <w:r w:rsidRPr="00511005">
        <w:rPr>
          <w:rFonts w:ascii="Arial" w:eastAsia="Calibri" w:hAnsi="Arial" w:cs="Arial"/>
          <w:kern w:val="2"/>
          <w:szCs w:val="28"/>
          <w:lang w:val="uk-UA"/>
          <w14:ligatures w14:val="standardContextual"/>
        </w:rPr>
        <w:t>налу. Необхі</w:t>
      </w:r>
      <w:r w:rsidRPr="00511005">
        <w:rPr>
          <w:rFonts w:ascii="Arial" w:eastAsia="Malgun Gothic" w:hAnsi="Arial" w:cs="Arial"/>
          <w:kern w:val="2"/>
          <w:szCs w:val="28"/>
          <w:lang w:val="uk-UA"/>
          <w14:ligatures w14:val="standardContextual"/>
        </w:rPr>
        <w:t>дн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навчальн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програми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охоплювати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базов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функц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культури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передбача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перех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нту</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тивного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заснованих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Мотивац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механ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трен</w:t>
      </w:r>
      <w:r w:rsidRPr="00511005">
        <w:rPr>
          <w:rFonts w:ascii="Arial" w:eastAsia="Calibri" w:hAnsi="Arial" w:cs="Arial"/>
          <w:kern w:val="2"/>
          <w:szCs w:val="28"/>
          <w:lang w:val="uk-UA"/>
          <w14:ligatures w14:val="standardContextual"/>
        </w:rPr>
        <w:t xml:space="preserve">інги, база знань) сприяють адаптації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w:t>
      </w:r>
    </w:p>
    <w:p w14:paraId="450A474F"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3. І</w:t>
      </w:r>
      <w:r w:rsidRPr="00511005">
        <w:rPr>
          <w:rFonts w:ascii="Arial" w:eastAsia="Malgun Gothic" w:hAnsi="Arial" w:cs="Arial"/>
          <w:kern w:val="2"/>
          <w:szCs w:val="28"/>
          <w:lang w:val="uk-UA"/>
          <w14:ligatures w14:val="standardContextual"/>
        </w:rPr>
        <w:t>нтеграц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CRM повинна консолі</w:t>
      </w:r>
      <w:r w:rsidRPr="00511005">
        <w:rPr>
          <w:rFonts w:ascii="Arial" w:eastAsia="Malgun Gothic" w:hAnsi="Arial" w:cs="Arial"/>
          <w:kern w:val="2"/>
          <w:szCs w:val="28"/>
          <w:lang w:val="uk-UA"/>
          <w14:ligatures w14:val="standardContextual"/>
        </w:rPr>
        <w:t>дувати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ERP,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тичних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платформ</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канал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створення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повного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проф</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Важливо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автоматизований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даними</w:t>
      </w:r>
      <w:r w:rsidRPr="00511005">
        <w:rPr>
          <w:rFonts w:ascii="Arial" w:eastAsia="Calibri" w:hAnsi="Arial" w:cs="Arial"/>
          <w:kern w:val="2"/>
          <w:szCs w:val="28"/>
          <w:lang w:val="uk-UA"/>
          <w14:ligatures w14:val="standardContextual"/>
        </w:rPr>
        <w:t xml:space="preserve"> (API), </w:t>
      </w:r>
      <w:r w:rsidRPr="00511005">
        <w:rPr>
          <w:rFonts w:ascii="Arial" w:eastAsia="Malgun Gothic" w:hAnsi="Arial" w:cs="Arial"/>
          <w:kern w:val="2"/>
          <w:szCs w:val="28"/>
          <w:lang w:val="uk-UA"/>
          <w14:ligatures w14:val="standardContextual"/>
        </w:rPr>
        <w:t>стандартиз</w:t>
      </w:r>
      <w:r w:rsidRPr="00511005">
        <w:rPr>
          <w:rFonts w:ascii="Arial" w:eastAsia="Calibri" w:hAnsi="Arial" w:cs="Arial"/>
          <w:kern w:val="2"/>
          <w:szCs w:val="28"/>
          <w:lang w:val="uk-UA"/>
          <w14:ligatures w14:val="standardContextual"/>
        </w:rPr>
        <w:t>аці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очищення</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Над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критично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вплива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маркетинг</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продаж</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Необх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також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координац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дрозд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ну</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w:t>
      </w:r>
    </w:p>
    <w:p w14:paraId="365E8BE0"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4. Персоналі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нтського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досв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ду</w:t>
      </w:r>
      <w:r w:rsidRPr="00511005">
        <w:rPr>
          <w:rFonts w:ascii="Arial" w:eastAsia="Calibri" w:hAnsi="Arial" w:cs="Arial"/>
          <w:kern w:val="2"/>
          <w:szCs w:val="28"/>
          <w:lang w:val="uk-UA"/>
          <w14:ligatures w14:val="standardContextual"/>
        </w:rPr>
        <w:t>. CRM-системи забезпечують сегментаці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втоматизаці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зованих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вза</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мод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тригери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пропозиц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знижки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адаптувати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контент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реальному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час</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релевантн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лояльн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потребу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ретельного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w:t>
      </w:r>
    </w:p>
    <w:p w14:paraId="6428E03F"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5. Штучний і</w:t>
      </w:r>
      <w:r w:rsidRPr="00511005">
        <w:rPr>
          <w:rFonts w:ascii="Arial" w:eastAsia="Malgun Gothic" w:hAnsi="Arial" w:cs="Arial"/>
          <w:kern w:val="2"/>
          <w:szCs w:val="28"/>
          <w:lang w:val="uk-UA"/>
          <w14:ligatures w14:val="standardContextual"/>
        </w:rPr>
        <w:t>нтелект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тика</w:t>
      </w:r>
      <w:r w:rsidRPr="00511005">
        <w:rPr>
          <w:rFonts w:ascii="Arial" w:eastAsia="Calibri" w:hAnsi="Arial" w:cs="Arial"/>
          <w:kern w:val="2"/>
          <w:szCs w:val="28"/>
          <w:lang w:val="uk-UA"/>
          <w14:ligatures w14:val="standardContextual"/>
        </w:rPr>
        <w:t>. І</w:t>
      </w:r>
      <w:r w:rsidRPr="00511005">
        <w:rPr>
          <w:rFonts w:ascii="Arial" w:eastAsia="Malgun Gothic" w:hAnsi="Arial" w:cs="Arial"/>
          <w:kern w:val="2"/>
          <w:szCs w:val="28"/>
          <w:lang w:val="uk-UA"/>
          <w14:ligatures w14:val="standardContextual"/>
        </w:rPr>
        <w:t>нтеграц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штучного</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нтелекту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розширю</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можливост</w:t>
      </w:r>
      <w:r w:rsidRPr="00511005">
        <w:rPr>
          <w:rFonts w:ascii="Arial" w:eastAsia="Calibri" w:hAnsi="Arial" w:cs="Arial"/>
          <w:kern w:val="2"/>
          <w:szCs w:val="28"/>
          <w:lang w:val="uk-UA"/>
          <w14:ligatures w14:val="standardContextual"/>
        </w:rPr>
        <w:t xml:space="preserve">і CRM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прогнозування поведі</w:t>
      </w:r>
      <w:r w:rsidRPr="00511005">
        <w:rPr>
          <w:rFonts w:ascii="Arial" w:eastAsia="Malgun Gothic" w:hAnsi="Arial" w:cs="Arial"/>
          <w:kern w:val="2"/>
          <w:szCs w:val="28"/>
          <w:lang w:val="uk-UA"/>
          <w14:ligatures w14:val="standardContextual"/>
        </w:rPr>
        <w:t>нки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автоматизованого</w:t>
      </w:r>
      <w:r w:rsidRPr="00511005">
        <w:rPr>
          <w:rFonts w:ascii="Arial" w:eastAsia="Calibri" w:hAnsi="Arial" w:cs="Arial"/>
          <w:kern w:val="2"/>
          <w:szCs w:val="28"/>
          <w:lang w:val="uk-UA"/>
          <w14:ligatures w14:val="standardContextual"/>
        </w:rPr>
        <w:t xml:space="preserve"> обслуговування (чат-боти), аналі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у настрої</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допомага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сво</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часно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реагувати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ризики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ефективн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вза</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мод</w:t>
      </w:r>
      <w:r w:rsidRPr="00511005">
        <w:rPr>
          <w:rFonts w:ascii="Arial" w:eastAsia="Calibri" w:hAnsi="Arial" w:cs="Arial"/>
          <w:kern w:val="2"/>
          <w:szCs w:val="28"/>
          <w:lang w:val="uk-UA"/>
          <w14:ligatures w14:val="standardContextual"/>
        </w:rPr>
        <w:t xml:space="preserve">ії. Важливим є </w:t>
      </w:r>
      <w:r w:rsidRPr="00511005">
        <w:rPr>
          <w:rFonts w:ascii="Arial" w:eastAsia="Malgun Gothic" w:hAnsi="Arial" w:cs="Arial"/>
          <w:kern w:val="2"/>
          <w:szCs w:val="28"/>
          <w:lang w:val="uk-UA"/>
          <w14:ligatures w14:val="standardContextual"/>
        </w:rPr>
        <w:t>забезпечення</w:t>
      </w:r>
      <w:r w:rsidRPr="00511005">
        <w:rPr>
          <w:rFonts w:ascii="Arial" w:eastAsia="Calibri" w:hAnsi="Arial" w:cs="Arial"/>
          <w:kern w:val="2"/>
          <w:szCs w:val="28"/>
          <w:lang w:val="uk-UA"/>
          <w14:ligatures w14:val="standardContextual"/>
        </w:rPr>
        <w:t xml:space="preserve"> навчання моделей і </w:t>
      </w:r>
      <w:r w:rsidRPr="00511005">
        <w:rPr>
          <w:rFonts w:ascii="Arial" w:eastAsia="Malgun Gothic" w:hAnsi="Arial" w:cs="Arial"/>
          <w:kern w:val="2"/>
          <w:szCs w:val="28"/>
          <w:lang w:val="uk-UA"/>
          <w14:ligatures w14:val="standardContextual"/>
        </w:rPr>
        <w:t>вза</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мод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тиками</w:t>
      </w:r>
      <w:r w:rsidRPr="00511005">
        <w:rPr>
          <w:rFonts w:ascii="Arial" w:eastAsia="Calibri" w:hAnsi="Arial" w:cs="Arial"/>
          <w:kern w:val="2"/>
          <w:szCs w:val="28"/>
          <w:lang w:val="uk-UA"/>
          <w14:ligatures w14:val="standardContextual"/>
        </w:rPr>
        <w:t>.</w:t>
      </w:r>
    </w:p>
    <w:p w14:paraId="0F2FC2DB"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lastRenderedPageBreak/>
        <w:t>6. Моні</w:t>
      </w:r>
      <w:r w:rsidRPr="00511005">
        <w:rPr>
          <w:rFonts w:ascii="Arial" w:eastAsia="Malgun Gothic" w:hAnsi="Arial" w:cs="Arial"/>
          <w:kern w:val="2"/>
          <w:szCs w:val="28"/>
          <w:lang w:val="uk-UA"/>
          <w14:ligatures w14:val="standardContextual"/>
        </w:rPr>
        <w:t>торинг</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гнучк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Оці</w:t>
      </w:r>
      <w:r w:rsidRPr="00511005">
        <w:rPr>
          <w:rFonts w:ascii="Arial" w:eastAsia="Malgun Gothic" w:hAnsi="Arial" w:cs="Arial"/>
          <w:kern w:val="2"/>
          <w:szCs w:val="28"/>
          <w:lang w:val="uk-UA"/>
          <w14:ligatures w14:val="standardContextual"/>
        </w:rPr>
        <w:t>нювання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результативност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CRM-систем базує</w:t>
      </w:r>
      <w:r w:rsidRPr="00511005">
        <w:rPr>
          <w:rFonts w:ascii="Arial" w:eastAsia="Malgun Gothic" w:hAnsi="Arial" w:cs="Arial"/>
          <w:kern w:val="2"/>
          <w:szCs w:val="28"/>
          <w:lang w:val="uk-UA"/>
          <w14:ligatures w14:val="standardContextual"/>
        </w:rPr>
        <w:t>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ключових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показник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ефективност</w:t>
      </w:r>
      <w:r w:rsidRPr="00511005">
        <w:rPr>
          <w:rFonts w:ascii="Arial" w:eastAsia="Calibri" w:hAnsi="Arial" w:cs="Arial"/>
          <w:kern w:val="2"/>
          <w:szCs w:val="28"/>
          <w:lang w:val="uk-UA"/>
          <w14:ligatures w14:val="standardContextual"/>
        </w:rPr>
        <w:t xml:space="preserve">і (Key Performance Indicators, KPI), які </w:t>
      </w:r>
      <w:r w:rsidRPr="00511005">
        <w:rPr>
          <w:rFonts w:ascii="Arial" w:eastAsia="Malgun Gothic" w:hAnsi="Arial" w:cs="Arial"/>
          <w:kern w:val="2"/>
          <w:szCs w:val="28"/>
          <w:lang w:val="uk-UA"/>
          <w14:ligatures w14:val="standardContextual"/>
        </w:rPr>
        <w:t>мають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бути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адаптован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особливостей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модел</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мства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базових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метрик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використовуються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показники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чистий</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ндекс</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лояльност</w:t>
      </w:r>
      <w:r w:rsidRPr="00511005">
        <w:rPr>
          <w:rFonts w:ascii="Arial" w:eastAsia="Calibri" w:hAnsi="Arial" w:cs="Arial"/>
          <w:kern w:val="2"/>
          <w:szCs w:val="28"/>
          <w:lang w:val="uk-UA"/>
          <w14:ligatures w14:val="standardContextual"/>
        </w:rPr>
        <w:t>і (NPS), який ві</w:t>
      </w:r>
      <w:r w:rsidRPr="00511005">
        <w:rPr>
          <w:rFonts w:ascii="Arial" w:eastAsia="Malgun Gothic" w:hAnsi="Arial" w:cs="Arial"/>
          <w:kern w:val="2"/>
          <w:szCs w:val="28"/>
          <w:lang w:val="uk-UA"/>
          <w14:ligatures w14:val="standardContextual"/>
        </w:rPr>
        <w:t>добража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готовн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рекомендувати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задоволеност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(CSAT), який оці</w:t>
      </w:r>
      <w:r w:rsidRPr="00511005">
        <w:rPr>
          <w:rFonts w:ascii="Arial" w:eastAsia="Malgun Gothic" w:hAnsi="Arial" w:cs="Arial"/>
          <w:kern w:val="2"/>
          <w:szCs w:val="28"/>
          <w:lang w:val="uk-UA"/>
          <w14:ligatures w14:val="standardContextual"/>
        </w:rPr>
        <w:t>ню</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обслуговування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нтський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досв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рентабельн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маркетингових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нвестиц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(ROMI), який визначає </w:t>
      </w:r>
      <w:r w:rsidRPr="00511005">
        <w:rPr>
          <w:rFonts w:ascii="Arial" w:eastAsia="Malgun Gothic" w:hAnsi="Arial" w:cs="Arial"/>
          <w:kern w:val="2"/>
          <w:szCs w:val="28"/>
          <w:lang w:val="uk-UA"/>
          <w14:ligatures w14:val="standardContextual"/>
        </w:rPr>
        <w:t>ефективн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використання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ресурс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кампан</w:t>
      </w:r>
      <w:r w:rsidRPr="00511005">
        <w:rPr>
          <w:rFonts w:ascii="Arial" w:eastAsia="Calibri" w:hAnsi="Arial" w:cs="Arial"/>
          <w:kern w:val="2"/>
          <w:szCs w:val="28"/>
          <w:lang w:val="uk-UA"/>
          <w14:ligatures w14:val="standardContextual"/>
        </w:rPr>
        <w:t>ії; коефі</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конверс</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повторних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покупок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час</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обробки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запит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вень</w:t>
      </w:r>
      <w:r w:rsidRPr="00511005">
        <w:rPr>
          <w:rFonts w:ascii="Arial" w:eastAsia="Calibri" w:hAnsi="Arial" w:cs="Arial"/>
          <w:kern w:val="2"/>
          <w:szCs w:val="28"/>
          <w:lang w:val="uk-UA"/>
          <w14:ligatures w14:val="standardContextual"/>
        </w:rPr>
        <w:t xml:space="preserve"> утримання кліє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тощо</w:t>
      </w:r>
      <w:r w:rsidRPr="00511005">
        <w:rPr>
          <w:rFonts w:ascii="Arial" w:eastAsia="Calibri" w:hAnsi="Arial" w:cs="Arial"/>
          <w:kern w:val="2"/>
          <w:szCs w:val="28"/>
          <w:lang w:val="uk-UA"/>
          <w14:ligatures w14:val="standardContextual"/>
        </w:rPr>
        <w:t xml:space="preserve">. Регулярний аудит дозволяє </w:t>
      </w:r>
      <w:r w:rsidRPr="00511005">
        <w:rPr>
          <w:rFonts w:ascii="Arial" w:eastAsia="Malgun Gothic" w:hAnsi="Arial" w:cs="Arial"/>
          <w:kern w:val="2"/>
          <w:szCs w:val="28"/>
          <w:lang w:val="uk-UA"/>
          <w14:ligatures w14:val="standardContextual"/>
        </w:rPr>
        <w:t>коригувати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процеси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виявляти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зони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покращення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Гнучк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передбача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оновлення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конф</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гурац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адаптац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технолог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w:t>
      </w:r>
    </w:p>
    <w:p w14:paraId="3653099A"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7. Кі</w:t>
      </w:r>
      <w:r w:rsidRPr="00511005">
        <w:rPr>
          <w:rFonts w:ascii="Arial" w:eastAsia="Malgun Gothic" w:hAnsi="Arial" w:cs="Arial"/>
          <w:kern w:val="2"/>
          <w:szCs w:val="28"/>
          <w:lang w:val="uk-UA"/>
          <w14:ligatures w14:val="standardContextual"/>
        </w:rPr>
        <w:t>бербезпека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регуляторна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CRM-системи мають гарантувати безпеку даних (шифрування, автентифі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аудит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Важливо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дотримуватись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стандарт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(GDPR, CCPA)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прозор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обробки</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Регулярна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безпеки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цню</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репутац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ії.</w:t>
      </w:r>
    </w:p>
    <w:p w14:paraId="2AA41BB5" w14:textId="77777777" w:rsidR="00AE57E7" w:rsidRPr="00511005" w:rsidRDefault="00AE57E7" w:rsidP="003A292D">
      <w:pPr>
        <w:spacing w:line="264" w:lineRule="auto"/>
        <w:rPr>
          <w:rFonts w:ascii="Arial" w:eastAsia="Calibri" w:hAnsi="Arial" w:cs="Arial"/>
          <w:kern w:val="2"/>
          <w:szCs w:val="28"/>
          <w:shd w:val="clear" w:color="auto" w:fill="EEEAE7"/>
          <w:lang w:val="uk-UA"/>
          <w14:ligatures w14:val="standardContextual"/>
        </w:rPr>
      </w:pPr>
      <w:r w:rsidRPr="00511005">
        <w:rPr>
          <w:rFonts w:ascii="Arial" w:eastAsia="Calibri" w:hAnsi="Arial" w:cs="Arial"/>
          <w:kern w:val="2"/>
          <w:szCs w:val="28"/>
          <w:lang w:val="uk-UA"/>
          <w14:ligatures w14:val="standardContextual"/>
        </w:rPr>
        <w:t xml:space="preserve">Запропоновані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 xml:space="preserve">екомендації </w:t>
      </w:r>
      <w:r w:rsidRPr="00511005">
        <w:rPr>
          <w:rFonts w:ascii="Arial" w:eastAsia="Malgun Gothic" w:hAnsi="Arial" w:cs="Arial"/>
          <w:kern w:val="2"/>
          <w:szCs w:val="28"/>
          <w:lang w:val="uk-UA"/>
          <w14:ligatures w14:val="standardContextual"/>
        </w:rPr>
        <w:t>забезпечують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комплексний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CRM-</w:t>
      </w:r>
      <w:r w:rsidRPr="00511005">
        <w:rPr>
          <w:rFonts w:ascii="Arial" w:eastAsia="Malgun Gothic" w:hAnsi="Arial" w:cs="Arial"/>
          <w:kern w:val="2"/>
          <w:szCs w:val="28"/>
          <w:lang w:val="uk-UA"/>
          <w14:ligatures w14:val="standardContextual"/>
        </w:rPr>
        <w:t>систем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мствам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максим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зувати</w:t>
      </w:r>
      <w:r w:rsidRPr="00511005">
        <w:rPr>
          <w:rFonts w:ascii="Arial" w:eastAsia="Calibri" w:hAnsi="Arial" w:cs="Arial"/>
          <w:kern w:val="2"/>
          <w:szCs w:val="28"/>
          <w:lang w:val="uk-UA"/>
          <w14:ligatures w14:val="standardContextual"/>
        </w:rPr>
        <w:t xml:space="preserve"> ї</w:t>
      </w:r>
      <w:r w:rsidRPr="00511005">
        <w:rPr>
          <w:rFonts w:ascii="Arial" w:eastAsia="Malgun Gothic" w:hAnsi="Arial" w:cs="Arial"/>
          <w:kern w:val="2"/>
          <w:szCs w:val="28"/>
          <w:lang w:val="uk-UA"/>
          <w14:ligatures w14:val="standardContextual"/>
        </w:rPr>
        <w:t>хн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трансформац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чна</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нтеграц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узгоджен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лями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навчання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цифрову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культуру</w:t>
      </w:r>
      <w:r w:rsidRPr="00511005">
        <w:rPr>
          <w:rFonts w:ascii="Arial" w:eastAsia="Calibri" w:hAnsi="Arial" w:cs="Arial"/>
          <w:kern w:val="2"/>
          <w:szCs w:val="28"/>
          <w:lang w:val="uk-UA"/>
          <w14:ligatures w14:val="standardContextual"/>
        </w:rPr>
        <w:t>, інтеграці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створю</w:t>
      </w:r>
      <w:r w:rsidRPr="00511005">
        <w:rPr>
          <w:rFonts w:ascii="Arial" w:eastAsia="Calibri" w:hAnsi="Arial" w:cs="Arial"/>
          <w:kern w:val="2"/>
          <w:szCs w:val="28"/>
          <w:lang w:val="uk-UA"/>
          <w14:ligatures w14:val="standardContextual"/>
        </w:rPr>
        <w:t>є є</w:t>
      </w:r>
      <w:r w:rsidRPr="00511005">
        <w:rPr>
          <w:rFonts w:ascii="Arial" w:eastAsia="Malgun Gothic" w:hAnsi="Arial" w:cs="Arial"/>
          <w:kern w:val="2"/>
          <w:szCs w:val="28"/>
          <w:lang w:val="uk-UA"/>
          <w14:ligatures w14:val="standardContextual"/>
        </w:rPr>
        <w:t>дине</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середовище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лояльн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дкрива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можливост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проактивного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торинг</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адаптивн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бербезпека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гаранту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стандартам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захо</w:t>
      </w:r>
      <w:r w:rsidRPr="00511005">
        <w:rPr>
          <w:rFonts w:ascii="Arial" w:eastAsia="Calibri" w:hAnsi="Arial" w:cs="Arial"/>
          <w:kern w:val="2"/>
          <w:szCs w:val="28"/>
          <w:lang w:val="uk-UA"/>
          <w14:ligatures w14:val="standardContextual"/>
        </w:rPr>
        <w:t>ди дозволяють пі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мствам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оптим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внутр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процеси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але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досягти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конкурентоспроможност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умовах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економ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ки</w:t>
      </w:r>
      <w:r w:rsidRPr="00511005">
        <w:rPr>
          <w:rFonts w:ascii="Arial" w:eastAsia="Calibri" w:hAnsi="Arial" w:cs="Arial"/>
          <w:kern w:val="2"/>
          <w:szCs w:val="28"/>
          <w:lang w:val="uk-UA"/>
          <w14:ligatures w14:val="standardContextual"/>
        </w:rPr>
        <w:t xml:space="preserve">. </w:t>
      </w:r>
    </w:p>
    <w:p w14:paraId="74C7C285" w14:textId="77777777" w:rsidR="00AE57E7" w:rsidRPr="00511005" w:rsidRDefault="00AE57E7" w:rsidP="003A292D">
      <w:pPr>
        <w:spacing w:line="264" w:lineRule="auto"/>
        <w:rPr>
          <w:rFonts w:ascii="Arial" w:eastAsia="Calibri" w:hAnsi="Arial" w:cs="Arial"/>
          <w:kern w:val="2"/>
          <w:szCs w:val="28"/>
          <w:lang w:val="uk-UA"/>
          <w14:ligatures w14:val="standardContextual"/>
        </w:rPr>
      </w:pPr>
    </w:p>
    <w:p w14:paraId="2E7E6B5E" w14:textId="6885BB57" w:rsidR="00AE57E7" w:rsidRPr="00511005" w:rsidRDefault="007B2628" w:rsidP="007B2628">
      <w:pPr>
        <w:spacing w:line="264" w:lineRule="auto"/>
        <w:ind w:firstLine="0"/>
        <w:jc w:val="center"/>
        <w:rPr>
          <w:rFonts w:ascii="Arial" w:eastAsia="Calibri" w:hAnsi="Arial" w:cs="Arial"/>
          <w:kern w:val="2"/>
          <w:szCs w:val="28"/>
          <w:lang w:val="uk-UA"/>
          <w14:ligatures w14:val="standardContextual"/>
        </w:rPr>
      </w:pPr>
      <w:r w:rsidRPr="00511005">
        <w:rPr>
          <w:rFonts w:ascii="Arial" w:eastAsia="Times New Roman" w:hAnsi="Arial" w:cs="Arial"/>
          <w:b/>
          <w:iCs/>
          <w:kern w:val="2"/>
          <w:szCs w:val="28"/>
          <w:lang w:val="uk-UA" w:eastAsia="ru-RU"/>
          <w14:ligatures w14:val="standardContextual"/>
        </w:rPr>
        <w:t>Список використаних джерел</w:t>
      </w:r>
    </w:p>
    <w:p w14:paraId="42E9C326" w14:textId="77777777" w:rsidR="00AE57E7" w:rsidRPr="00511005" w:rsidRDefault="00AE57E7" w:rsidP="003F6A5D">
      <w:pPr>
        <w:numPr>
          <w:ilvl w:val="0"/>
          <w:numId w:val="737"/>
        </w:numPr>
        <w:tabs>
          <w:tab w:val="left" w:pos="993"/>
        </w:tabs>
        <w:spacing w:line="264" w:lineRule="auto"/>
        <w:ind w:left="0" w:firstLine="709"/>
        <w:contextualSpacing/>
        <w:jc w:val="left"/>
        <w:rPr>
          <w:rFonts w:ascii="Arial" w:eastAsia="Calibri" w:hAnsi="Arial" w:cs="Arial"/>
          <w:bCs/>
          <w:kern w:val="2"/>
          <w:szCs w:val="28"/>
          <w:lang w:val="uk-UA"/>
          <w14:ligatures w14:val="standardContextual"/>
        </w:rPr>
      </w:pPr>
      <w:r w:rsidRPr="00511005">
        <w:rPr>
          <w:rFonts w:ascii="Arial" w:eastAsia="Calibri" w:hAnsi="Arial" w:cs="Arial"/>
          <w:bCs/>
          <w:kern w:val="2"/>
          <w:szCs w:val="28"/>
          <w:lang w:val="uk-UA"/>
          <w14:ligatures w14:val="standardContextual"/>
        </w:rPr>
        <w:t>Мозгова Г.В., Морозов А.О., Фомі</w:t>
      </w:r>
      <w:r w:rsidRPr="00511005">
        <w:rPr>
          <w:rFonts w:ascii="Arial" w:eastAsia="Malgun Gothic" w:hAnsi="Arial" w:cs="Arial"/>
          <w:bCs/>
          <w:kern w:val="2"/>
          <w:szCs w:val="28"/>
          <w:lang w:val="uk-UA"/>
          <w14:ligatures w14:val="standardContextual"/>
        </w:rPr>
        <w:t>н</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О</w:t>
      </w:r>
      <w:r w:rsidRPr="00511005">
        <w:rPr>
          <w:rFonts w:ascii="Arial" w:eastAsia="Calibri" w:hAnsi="Arial" w:cs="Arial"/>
          <w:bCs/>
          <w:kern w:val="2"/>
          <w:szCs w:val="28"/>
          <w:lang w:val="uk-UA"/>
          <w14:ligatures w14:val="standardContextual"/>
        </w:rPr>
        <w:t>.</w:t>
      </w:r>
      <w:r w:rsidRPr="00511005">
        <w:rPr>
          <w:rFonts w:ascii="Arial" w:eastAsia="Malgun Gothic" w:hAnsi="Arial" w:cs="Arial"/>
          <w:bCs/>
          <w:kern w:val="2"/>
          <w:szCs w:val="28"/>
          <w:lang w:val="uk-UA"/>
          <w14:ligatures w14:val="standardContextual"/>
        </w:rPr>
        <w:t>Д</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Використання</w:t>
      </w:r>
      <w:r w:rsidRPr="00511005">
        <w:rPr>
          <w:rFonts w:ascii="Arial" w:eastAsia="Calibri" w:hAnsi="Arial" w:cs="Arial"/>
          <w:bCs/>
          <w:kern w:val="2"/>
          <w:szCs w:val="28"/>
          <w:lang w:val="uk-UA"/>
          <w14:ligatures w14:val="standardContextual"/>
        </w:rPr>
        <w:t xml:space="preserve"> CRM-</w:t>
      </w:r>
      <w:r w:rsidRPr="00511005">
        <w:rPr>
          <w:rFonts w:ascii="Arial" w:eastAsia="Malgun Gothic" w:hAnsi="Arial" w:cs="Arial"/>
          <w:bCs/>
          <w:kern w:val="2"/>
          <w:szCs w:val="28"/>
          <w:lang w:val="uk-UA"/>
          <w14:ligatures w14:val="standardContextual"/>
        </w:rPr>
        <w:t>систем</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на</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укра</w:t>
      </w:r>
      <w:r w:rsidRPr="00511005">
        <w:rPr>
          <w:rFonts w:ascii="Arial" w:eastAsia="Calibri" w:hAnsi="Arial" w:cs="Arial"/>
          <w:bCs/>
          <w:kern w:val="2"/>
          <w:szCs w:val="28"/>
          <w:lang w:val="uk-UA"/>
          <w14:ligatures w14:val="standardContextual"/>
        </w:rPr>
        <w:t>ї</w:t>
      </w:r>
      <w:r w:rsidRPr="00511005">
        <w:rPr>
          <w:rFonts w:ascii="Arial" w:eastAsia="Malgun Gothic" w:hAnsi="Arial" w:cs="Arial"/>
          <w:bCs/>
          <w:kern w:val="2"/>
          <w:szCs w:val="28"/>
          <w:lang w:val="uk-UA"/>
          <w14:ligatures w14:val="standardContextual"/>
        </w:rPr>
        <w:t>нському</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ринку</w:t>
      </w:r>
      <w:r w:rsidRPr="00511005">
        <w:rPr>
          <w:rFonts w:ascii="Arial" w:eastAsia="Calibri" w:hAnsi="Arial" w:cs="Arial"/>
          <w:bCs/>
          <w:kern w:val="2"/>
          <w:szCs w:val="28"/>
          <w:lang w:val="uk-UA"/>
          <w14:ligatures w14:val="standardContextual"/>
        </w:rPr>
        <w:t xml:space="preserve">: особливості </w:t>
      </w:r>
      <w:r w:rsidRPr="00511005">
        <w:rPr>
          <w:rFonts w:ascii="Arial" w:eastAsia="Malgun Gothic" w:hAnsi="Arial" w:cs="Arial"/>
          <w:bCs/>
          <w:kern w:val="2"/>
          <w:szCs w:val="28"/>
          <w:lang w:val="uk-UA"/>
          <w14:ligatures w14:val="standardContextual"/>
        </w:rPr>
        <w:t>та</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перспективи</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Проблеми</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системного</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п</w:t>
      </w:r>
      <w:r w:rsidRPr="00511005">
        <w:rPr>
          <w:rFonts w:ascii="Arial" w:eastAsia="Calibri" w:hAnsi="Arial" w:cs="Arial"/>
          <w:bCs/>
          <w:kern w:val="2"/>
          <w:szCs w:val="28"/>
          <w:lang w:val="uk-UA"/>
          <w14:ligatures w14:val="standardContextual"/>
        </w:rPr>
        <w:t>і</w:t>
      </w:r>
      <w:r w:rsidRPr="00511005">
        <w:rPr>
          <w:rFonts w:ascii="Arial" w:eastAsia="Malgun Gothic" w:hAnsi="Arial" w:cs="Arial"/>
          <w:bCs/>
          <w:kern w:val="2"/>
          <w:szCs w:val="28"/>
          <w:lang w:val="uk-UA"/>
          <w14:ligatures w14:val="standardContextual"/>
        </w:rPr>
        <w:t>дходу</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в</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економ</w:t>
      </w:r>
      <w:r w:rsidRPr="00511005">
        <w:rPr>
          <w:rFonts w:ascii="Arial" w:eastAsia="Calibri" w:hAnsi="Arial" w:cs="Arial"/>
          <w:bCs/>
          <w:kern w:val="2"/>
          <w:szCs w:val="28"/>
          <w:lang w:val="uk-UA"/>
          <w14:ligatures w14:val="standardContextual"/>
        </w:rPr>
        <w:t>і</w:t>
      </w:r>
      <w:r w:rsidRPr="00511005">
        <w:rPr>
          <w:rFonts w:ascii="Arial" w:eastAsia="Malgun Gothic" w:hAnsi="Arial" w:cs="Arial"/>
          <w:bCs/>
          <w:kern w:val="2"/>
          <w:szCs w:val="28"/>
          <w:lang w:val="uk-UA"/>
          <w14:ligatures w14:val="standardContextual"/>
        </w:rPr>
        <w:t>ц</w:t>
      </w:r>
      <w:r w:rsidRPr="00511005">
        <w:rPr>
          <w:rFonts w:ascii="Arial" w:eastAsia="Calibri" w:hAnsi="Arial" w:cs="Arial"/>
          <w:bCs/>
          <w:kern w:val="2"/>
          <w:szCs w:val="28"/>
          <w:lang w:val="uk-UA"/>
          <w14:ligatures w14:val="standardContextual"/>
        </w:rPr>
        <w:t xml:space="preserve">і. 2017. </w:t>
      </w:r>
      <w:r w:rsidRPr="00511005">
        <w:rPr>
          <w:rFonts w:ascii="Arial" w:eastAsia="Malgun Gothic" w:hAnsi="Arial" w:cs="Arial"/>
          <w:bCs/>
          <w:kern w:val="2"/>
          <w:szCs w:val="28"/>
          <w:lang w:val="uk-UA"/>
          <w14:ligatures w14:val="standardContextual"/>
        </w:rPr>
        <w:t>Вип</w:t>
      </w:r>
      <w:r w:rsidRPr="00511005">
        <w:rPr>
          <w:rFonts w:ascii="Arial" w:eastAsia="Calibri" w:hAnsi="Arial" w:cs="Arial"/>
          <w:bCs/>
          <w:kern w:val="2"/>
          <w:szCs w:val="28"/>
          <w:lang w:val="uk-UA"/>
          <w14:ligatures w14:val="standardContextual"/>
        </w:rPr>
        <w:t xml:space="preserve">. 2. </w:t>
      </w:r>
      <w:r w:rsidRPr="00511005">
        <w:rPr>
          <w:rFonts w:ascii="Arial" w:eastAsia="Malgun Gothic" w:hAnsi="Arial" w:cs="Arial"/>
          <w:bCs/>
          <w:kern w:val="2"/>
          <w:szCs w:val="28"/>
          <w:lang w:val="uk-UA"/>
          <w14:ligatures w14:val="standardContextual"/>
        </w:rPr>
        <w:t>С</w:t>
      </w:r>
      <w:r w:rsidRPr="00511005">
        <w:rPr>
          <w:rFonts w:ascii="Arial" w:eastAsia="Calibri" w:hAnsi="Arial" w:cs="Arial"/>
          <w:bCs/>
          <w:kern w:val="2"/>
          <w:szCs w:val="28"/>
          <w:lang w:val="uk-UA"/>
          <w14:ligatures w14:val="standardContextual"/>
        </w:rPr>
        <w:t>. 89-94.</w:t>
      </w:r>
    </w:p>
    <w:p w14:paraId="076CFAC1" w14:textId="77777777" w:rsidR="007B2628" w:rsidRPr="00511005" w:rsidRDefault="00AE57E7" w:rsidP="003F6A5D">
      <w:pPr>
        <w:numPr>
          <w:ilvl w:val="0"/>
          <w:numId w:val="737"/>
        </w:numPr>
        <w:tabs>
          <w:tab w:val="left" w:pos="993"/>
        </w:tabs>
        <w:spacing w:line="264" w:lineRule="auto"/>
        <w:ind w:left="0" w:firstLine="709"/>
        <w:contextualSpacing/>
        <w:jc w:val="left"/>
        <w:rPr>
          <w:rFonts w:ascii="Arial" w:eastAsia="Calibri" w:hAnsi="Arial" w:cs="Arial"/>
          <w:bCs/>
          <w:kern w:val="2"/>
          <w:szCs w:val="28"/>
          <w:lang w:val="uk-UA"/>
          <w14:ligatures w14:val="standardContextual"/>
        </w:rPr>
      </w:pPr>
      <w:r w:rsidRPr="00511005">
        <w:rPr>
          <w:rFonts w:ascii="Arial" w:eastAsia="Calibri" w:hAnsi="Arial" w:cs="Arial"/>
          <w:bCs/>
          <w:kern w:val="2"/>
          <w:szCs w:val="28"/>
          <w:lang w:val="uk-UA"/>
          <w14:ligatures w14:val="standardContextual"/>
        </w:rPr>
        <w:t xml:space="preserve">Шпортько Г., Вишневська М. Критерії </w:t>
      </w:r>
      <w:r w:rsidRPr="00511005">
        <w:rPr>
          <w:rFonts w:ascii="Arial" w:eastAsia="Malgun Gothic" w:hAnsi="Arial" w:cs="Arial"/>
          <w:bCs/>
          <w:kern w:val="2"/>
          <w:szCs w:val="28"/>
          <w:lang w:val="uk-UA"/>
          <w14:ligatures w14:val="standardContextual"/>
        </w:rPr>
        <w:t>вибору</w:t>
      </w:r>
      <w:r w:rsidRPr="00511005">
        <w:rPr>
          <w:rFonts w:ascii="Arial" w:eastAsia="Calibri" w:hAnsi="Arial" w:cs="Arial"/>
          <w:bCs/>
          <w:kern w:val="2"/>
          <w:szCs w:val="28"/>
          <w:lang w:val="uk-UA"/>
          <w14:ligatures w14:val="standardContextual"/>
        </w:rPr>
        <w:t xml:space="preserve"> CRM-</w:t>
      </w:r>
      <w:r w:rsidRPr="00511005">
        <w:rPr>
          <w:rFonts w:ascii="Arial" w:eastAsia="Malgun Gothic" w:hAnsi="Arial" w:cs="Arial"/>
          <w:bCs/>
          <w:kern w:val="2"/>
          <w:szCs w:val="28"/>
          <w:lang w:val="uk-UA"/>
          <w14:ligatures w14:val="standardContextual"/>
        </w:rPr>
        <w:t>система</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Трансформац</w:t>
      </w:r>
      <w:r w:rsidRPr="00511005">
        <w:rPr>
          <w:rFonts w:ascii="Arial" w:eastAsia="Calibri" w:hAnsi="Arial" w:cs="Arial"/>
          <w:bCs/>
          <w:kern w:val="2"/>
          <w:szCs w:val="28"/>
          <w:lang w:val="uk-UA"/>
          <w14:ligatures w14:val="standardContextual"/>
        </w:rPr>
        <w:t>і</w:t>
      </w:r>
      <w:r w:rsidRPr="00511005">
        <w:rPr>
          <w:rFonts w:ascii="Arial" w:eastAsia="Malgun Gothic" w:hAnsi="Arial" w:cs="Arial"/>
          <w:bCs/>
          <w:kern w:val="2"/>
          <w:szCs w:val="28"/>
          <w:lang w:val="uk-UA"/>
          <w14:ligatures w14:val="standardContextual"/>
        </w:rPr>
        <w:t>я</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податково</w:t>
      </w:r>
      <w:r w:rsidRPr="00511005">
        <w:rPr>
          <w:rFonts w:ascii="Arial" w:eastAsia="Calibri" w:hAnsi="Arial" w:cs="Arial"/>
          <w:bCs/>
          <w:kern w:val="2"/>
          <w:szCs w:val="28"/>
          <w:lang w:val="uk-UA"/>
          <w14:ligatures w14:val="standardContextual"/>
        </w:rPr>
        <w:t xml:space="preserve">ї </w:t>
      </w:r>
      <w:r w:rsidRPr="00511005">
        <w:rPr>
          <w:rFonts w:ascii="Arial" w:eastAsia="Malgun Gothic" w:hAnsi="Arial" w:cs="Arial"/>
          <w:bCs/>
          <w:kern w:val="2"/>
          <w:szCs w:val="28"/>
          <w:lang w:val="uk-UA"/>
          <w14:ligatures w14:val="standardContextual"/>
        </w:rPr>
        <w:t>та</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обл</w:t>
      </w:r>
      <w:r w:rsidRPr="00511005">
        <w:rPr>
          <w:rFonts w:ascii="Arial" w:eastAsia="Calibri" w:hAnsi="Arial" w:cs="Arial"/>
          <w:bCs/>
          <w:kern w:val="2"/>
          <w:szCs w:val="28"/>
          <w:lang w:val="uk-UA"/>
          <w14:ligatures w14:val="standardContextual"/>
        </w:rPr>
        <w:t>і</w:t>
      </w:r>
      <w:r w:rsidRPr="00511005">
        <w:rPr>
          <w:rFonts w:ascii="Arial" w:eastAsia="Malgun Gothic" w:hAnsi="Arial" w:cs="Arial"/>
          <w:bCs/>
          <w:kern w:val="2"/>
          <w:szCs w:val="28"/>
          <w:lang w:val="uk-UA"/>
          <w14:ligatures w14:val="standardContextual"/>
        </w:rPr>
        <w:t>ково</w:t>
      </w:r>
      <w:r w:rsidRPr="00511005">
        <w:rPr>
          <w:rFonts w:ascii="Arial" w:eastAsia="Calibri" w:hAnsi="Arial" w:cs="Arial"/>
          <w:bCs/>
          <w:kern w:val="2"/>
          <w:szCs w:val="28"/>
          <w:lang w:val="uk-UA"/>
          <w14:ligatures w14:val="standardContextual"/>
        </w:rPr>
        <w:t>-</w:t>
      </w:r>
      <w:r w:rsidRPr="00511005">
        <w:rPr>
          <w:rFonts w:ascii="Arial" w:eastAsia="Malgun Gothic" w:hAnsi="Arial" w:cs="Arial"/>
          <w:bCs/>
          <w:kern w:val="2"/>
          <w:szCs w:val="28"/>
          <w:lang w:val="uk-UA"/>
          <w14:ligatures w14:val="standardContextual"/>
        </w:rPr>
        <w:t>анал</w:t>
      </w:r>
      <w:r w:rsidRPr="00511005">
        <w:rPr>
          <w:rFonts w:ascii="Arial" w:eastAsia="Calibri" w:hAnsi="Arial" w:cs="Arial"/>
          <w:bCs/>
          <w:kern w:val="2"/>
          <w:szCs w:val="28"/>
          <w:lang w:val="uk-UA"/>
          <w14:ligatures w14:val="standardContextual"/>
        </w:rPr>
        <w:t>і</w:t>
      </w:r>
      <w:r w:rsidRPr="00511005">
        <w:rPr>
          <w:rFonts w:ascii="Arial" w:eastAsia="Malgun Gothic" w:hAnsi="Arial" w:cs="Arial"/>
          <w:bCs/>
          <w:kern w:val="2"/>
          <w:szCs w:val="28"/>
          <w:lang w:val="uk-UA"/>
          <w14:ligatures w14:val="standardContextual"/>
        </w:rPr>
        <w:t>тично</w:t>
      </w:r>
      <w:r w:rsidRPr="00511005">
        <w:rPr>
          <w:rFonts w:ascii="Arial" w:eastAsia="Calibri" w:hAnsi="Arial" w:cs="Arial"/>
          <w:bCs/>
          <w:kern w:val="2"/>
          <w:szCs w:val="28"/>
          <w:lang w:val="uk-UA"/>
          <w14:ligatures w14:val="standardContextual"/>
        </w:rPr>
        <w:t xml:space="preserve">ї </w:t>
      </w:r>
      <w:r w:rsidRPr="00511005">
        <w:rPr>
          <w:rFonts w:ascii="Arial" w:eastAsia="Malgun Gothic" w:hAnsi="Arial" w:cs="Arial"/>
          <w:bCs/>
          <w:kern w:val="2"/>
          <w:szCs w:val="28"/>
          <w:lang w:val="uk-UA"/>
          <w14:ligatures w14:val="standardContextual"/>
        </w:rPr>
        <w:t>систем</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в</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контекст</w:t>
      </w:r>
      <w:r w:rsidRPr="00511005">
        <w:rPr>
          <w:rFonts w:ascii="Arial" w:eastAsia="Calibri" w:hAnsi="Arial" w:cs="Arial"/>
          <w:bCs/>
          <w:kern w:val="2"/>
          <w:szCs w:val="28"/>
          <w:lang w:val="uk-UA"/>
          <w14:ligatures w14:val="standardContextual"/>
        </w:rPr>
        <w:t xml:space="preserve">і </w:t>
      </w:r>
      <w:r w:rsidRPr="00511005">
        <w:rPr>
          <w:rFonts w:ascii="Arial" w:eastAsia="Malgun Gothic" w:hAnsi="Arial" w:cs="Arial"/>
          <w:bCs/>
          <w:kern w:val="2"/>
          <w:szCs w:val="28"/>
          <w:lang w:val="uk-UA"/>
          <w14:ligatures w14:val="standardContextual"/>
        </w:rPr>
        <w:t>сучасних</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кризових</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явищ</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матер</w:t>
      </w:r>
      <w:r w:rsidRPr="00511005">
        <w:rPr>
          <w:rFonts w:ascii="Arial" w:eastAsia="Calibri" w:hAnsi="Arial" w:cs="Arial"/>
          <w:bCs/>
          <w:kern w:val="2"/>
          <w:szCs w:val="28"/>
          <w:lang w:val="uk-UA"/>
          <w14:ligatures w14:val="standardContextual"/>
        </w:rPr>
        <w:t>і</w:t>
      </w:r>
      <w:r w:rsidRPr="00511005">
        <w:rPr>
          <w:rFonts w:ascii="Arial" w:eastAsia="Malgun Gothic" w:hAnsi="Arial" w:cs="Arial"/>
          <w:bCs/>
          <w:kern w:val="2"/>
          <w:szCs w:val="28"/>
          <w:lang w:val="uk-UA"/>
          <w14:ligatures w14:val="standardContextual"/>
        </w:rPr>
        <w:t>али</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М</w:t>
      </w:r>
      <w:r w:rsidRPr="00511005">
        <w:rPr>
          <w:rFonts w:ascii="Arial" w:eastAsia="Calibri" w:hAnsi="Arial" w:cs="Arial"/>
          <w:bCs/>
          <w:kern w:val="2"/>
          <w:szCs w:val="28"/>
          <w:lang w:val="uk-UA"/>
          <w14:ligatures w14:val="standardContextual"/>
        </w:rPr>
        <w:t>і</w:t>
      </w:r>
      <w:r w:rsidRPr="00511005">
        <w:rPr>
          <w:rFonts w:ascii="Arial" w:eastAsia="Malgun Gothic" w:hAnsi="Arial" w:cs="Arial"/>
          <w:bCs/>
          <w:kern w:val="2"/>
          <w:szCs w:val="28"/>
          <w:lang w:val="uk-UA"/>
          <w14:ligatures w14:val="standardContextual"/>
        </w:rPr>
        <w:t>ж</w:t>
      </w:r>
      <w:r w:rsidRPr="00511005">
        <w:rPr>
          <w:rFonts w:ascii="Arial" w:eastAsia="Calibri" w:hAnsi="Arial" w:cs="Arial"/>
          <w:bCs/>
          <w:kern w:val="2"/>
          <w:szCs w:val="28"/>
          <w:lang w:val="uk-UA"/>
          <w14:ligatures w14:val="standardContextual"/>
        </w:rPr>
        <w:t xml:space="preserve">народної </w:t>
      </w:r>
      <w:r w:rsidRPr="00511005">
        <w:rPr>
          <w:rFonts w:ascii="Arial" w:eastAsia="Malgun Gothic" w:hAnsi="Arial" w:cs="Arial"/>
          <w:bCs/>
          <w:kern w:val="2"/>
          <w:szCs w:val="28"/>
          <w:lang w:val="uk-UA"/>
          <w14:ligatures w14:val="standardContextual"/>
        </w:rPr>
        <w:t>науково</w:t>
      </w:r>
      <w:r w:rsidRPr="00511005">
        <w:rPr>
          <w:rFonts w:ascii="Arial" w:eastAsia="Calibri" w:hAnsi="Arial" w:cs="Arial"/>
          <w:bCs/>
          <w:kern w:val="2"/>
          <w:szCs w:val="28"/>
          <w:lang w:val="uk-UA"/>
          <w14:ligatures w14:val="standardContextual"/>
        </w:rPr>
        <w:t>-</w:t>
      </w:r>
      <w:r w:rsidRPr="00511005">
        <w:rPr>
          <w:rFonts w:ascii="Arial" w:eastAsia="Malgun Gothic" w:hAnsi="Arial" w:cs="Arial"/>
          <w:bCs/>
          <w:kern w:val="2"/>
          <w:szCs w:val="28"/>
          <w:lang w:val="uk-UA"/>
          <w14:ligatures w14:val="standardContextual"/>
        </w:rPr>
        <w:t>практично</w:t>
      </w:r>
      <w:r w:rsidRPr="00511005">
        <w:rPr>
          <w:rFonts w:ascii="Arial" w:eastAsia="Calibri" w:hAnsi="Arial" w:cs="Arial"/>
          <w:bCs/>
          <w:kern w:val="2"/>
          <w:szCs w:val="28"/>
          <w:lang w:val="uk-UA"/>
          <w14:ligatures w14:val="standardContextual"/>
        </w:rPr>
        <w:t xml:space="preserve">ї </w:t>
      </w:r>
      <w:r w:rsidRPr="00511005">
        <w:rPr>
          <w:rFonts w:ascii="Arial" w:eastAsia="Malgun Gothic" w:hAnsi="Arial" w:cs="Arial"/>
          <w:bCs/>
          <w:kern w:val="2"/>
          <w:szCs w:val="28"/>
          <w:lang w:val="uk-UA"/>
          <w14:ligatures w14:val="standardContextual"/>
        </w:rPr>
        <w:t>конференц</w:t>
      </w:r>
      <w:r w:rsidRPr="00511005">
        <w:rPr>
          <w:rFonts w:ascii="Arial" w:eastAsia="Calibri" w:hAnsi="Arial" w:cs="Arial"/>
          <w:bCs/>
          <w:kern w:val="2"/>
          <w:szCs w:val="28"/>
          <w:lang w:val="uk-UA"/>
          <w14:ligatures w14:val="standardContextual"/>
        </w:rPr>
        <w:t xml:space="preserve">ії, </w:t>
      </w:r>
      <w:r w:rsidRPr="00511005">
        <w:rPr>
          <w:rFonts w:ascii="Arial" w:eastAsia="Malgun Gothic" w:hAnsi="Arial" w:cs="Arial"/>
          <w:bCs/>
          <w:kern w:val="2"/>
          <w:szCs w:val="28"/>
          <w:lang w:val="uk-UA"/>
          <w14:ligatures w14:val="standardContextual"/>
        </w:rPr>
        <w:t>м</w:t>
      </w:r>
      <w:r w:rsidRPr="00511005">
        <w:rPr>
          <w:rFonts w:ascii="Arial" w:eastAsia="Calibri" w:hAnsi="Arial" w:cs="Arial"/>
          <w:bCs/>
          <w:kern w:val="2"/>
          <w:szCs w:val="28"/>
          <w:lang w:val="uk-UA"/>
          <w14:ligatures w14:val="standardContextual"/>
        </w:rPr>
        <w:t xml:space="preserve">. </w:t>
      </w:r>
      <w:r w:rsidRPr="00511005">
        <w:rPr>
          <w:rFonts w:ascii="Arial" w:eastAsia="Malgun Gothic" w:hAnsi="Arial" w:cs="Arial"/>
          <w:bCs/>
          <w:kern w:val="2"/>
          <w:szCs w:val="28"/>
          <w:lang w:val="uk-UA"/>
          <w14:ligatures w14:val="standardContextual"/>
        </w:rPr>
        <w:t>Черн</w:t>
      </w:r>
      <w:r w:rsidRPr="00511005">
        <w:rPr>
          <w:rFonts w:ascii="Arial" w:eastAsia="Calibri" w:hAnsi="Arial" w:cs="Arial"/>
          <w:bCs/>
          <w:kern w:val="2"/>
          <w:szCs w:val="28"/>
          <w:lang w:val="uk-UA"/>
          <w14:ligatures w14:val="standardContextual"/>
        </w:rPr>
        <w:t>і</w:t>
      </w:r>
      <w:r w:rsidRPr="00511005">
        <w:rPr>
          <w:rFonts w:ascii="Arial" w:eastAsia="Malgun Gothic" w:hAnsi="Arial" w:cs="Arial"/>
          <w:bCs/>
          <w:kern w:val="2"/>
          <w:szCs w:val="28"/>
          <w:lang w:val="uk-UA"/>
          <w14:ligatures w14:val="standardContextual"/>
        </w:rPr>
        <w:t>вц</w:t>
      </w:r>
      <w:r w:rsidRPr="00511005">
        <w:rPr>
          <w:rFonts w:ascii="Arial" w:eastAsia="Calibri" w:hAnsi="Arial" w:cs="Arial"/>
          <w:bCs/>
          <w:kern w:val="2"/>
          <w:szCs w:val="28"/>
          <w:lang w:val="uk-UA"/>
          <w14:ligatures w14:val="standardContextual"/>
        </w:rPr>
        <w:t>і. 20 травня 2021 р. Черні</w:t>
      </w:r>
      <w:r w:rsidRPr="00511005">
        <w:rPr>
          <w:rFonts w:ascii="Arial" w:eastAsia="Malgun Gothic" w:hAnsi="Arial" w:cs="Arial"/>
          <w:bCs/>
          <w:kern w:val="2"/>
          <w:szCs w:val="28"/>
          <w:lang w:val="uk-UA"/>
          <w14:ligatures w14:val="standardContextual"/>
        </w:rPr>
        <w:t>вц</w:t>
      </w:r>
      <w:r w:rsidRPr="00511005">
        <w:rPr>
          <w:rFonts w:ascii="Arial" w:eastAsia="Calibri" w:hAnsi="Arial" w:cs="Arial"/>
          <w:bCs/>
          <w:kern w:val="2"/>
          <w:szCs w:val="28"/>
          <w:lang w:val="uk-UA"/>
          <w14:ligatures w14:val="standardContextual"/>
        </w:rPr>
        <w:t xml:space="preserve">і: </w:t>
      </w:r>
      <w:r w:rsidRPr="00511005">
        <w:rPr>
          <w:rFonts w:ascii="Arial" w:eastAsia="Malgun Gothic" w:hAnsi="Arial" w:cs="Arial"/>
          <w:bCs/>
          <w:kern w:val="2"/>
          <w:szCs w:val="28"/>
          <w:lang w:val="uk-UA"/>
          <w14:ligatures w14:val="standardContextual"/>
        </w:rPr>
        <w:t>Технодрук</w:t>
      </w:r>
      <w:r w:rsidRPr="00511005">
        <w:rPr>
          <w:rFonts w:ascii="Arial" w:eastAsia="Calibri" w:hAnsi="Arial" w:cs="Arial"/>
          <w:bCs/>
          <w:kern w:val="2"/>
          <w:szCs w:val="28"/>
          <w:lang w:val="uk-UA"/>
          <w14:ligatures w14:val="standardContextual"/>
        </w:rPr>
        <w:t xml:space="preserve">, 2021. 379 </w:t>
      </w:r>
      <w:r w:rsidRPr="00511005">
        <w:rPr>
          <w:rFonts w:ascii="Arial" w:eastAsia="Malgun Gothic" w:hAnsi="Arial" w:cs="Arial"/>
          <w:bCs/>
          <w:kern w:val="2"/>
          <w:szCs w:val="28"/>
          <w:lang w:val="uk-UA"/>
          <w14:ligatures w14:val="standardContextual"/>
        </w:rPr>
        <w:t>с</w:t>
      </w:r>
      <w:r w:rsidRPr="00511005">
        <w:rPr>
          <w:rFonts w:ascii="Arial" w:eastAsia="Calibri" w:hAnsi="Arial" w:cs="Arial"/>
          <w:bCs/>
          <w:kern w:val="2"/>
          <w:szCs w:val="28"/>
          <w:lang w:val="uk-UA"/>
          <w14:ligatures w14:val="standardContextual"/>
        </w:rPr>
        <w:t>.</w:t>
      </w:r>
    </w:p>
    <w:p w14:paraId="4D867FCB" w14:textId="50B69488" w:rsidR="00AE57E7" w:rsidRPr="00511005" w:rsidRDefault="00AE57E7" w:rsidP="003F6A5D">
      <w:pPr>
        <w:numPr>
          <w:ilvl w:val="0"/>
          <w:numId w:val="737"/>
        </w:numPr>
        <w:tabs>
          <w:tab w:val="left" w:pos="993"/>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Янчук Т., Боє</w:t>
      </w:r>
      <w:r w:rsidRPr="00511005">
        <w:rPr>
          <w:rFonts w:ascii="Arial" w:eastAsia="Malgun Gothic" w:hAnsi="Arial" w:cs="Arial"/>
          <w:kern w:val="2"/>
          <w:szCs w:val="28"/>
          <w:lang w:val="uk-UA"/>
          <w14:ligatures w14:val="standardContextual"/>
        </w:rPr>
        <w:t>нко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w:t>
      </w:r>
      <w:r w:rsidRPr="00511005">
        <w:rPr>
          <w:rFonts w:ascii="Arial" w:eastAsia="Calibri" w:hAnsi="Arial" w:cs="Arial"/>
          <w:bCs/>
          <w:kern w:val="2"/>
          <w:szCs w:val="28"/>
          <w:lang w:val="uk-UA"/>
          <w14:ligatures w14:val="standardContextual"/>
        </w:rPr>
        <w:t>CRM</w:t>
      </w:r>
      <w:r w:rsidRPr="00511005">
        <w:rPr>
          <w:rFonts w:ascii="Arial" w:eastAsia="Calibri" w:hAnsi="Arial" w:cs="Arial"/>
          <w:kern w:val="2"/>
          <w:szCs w:val="28"/>
          <w:lang w:val="uk-UA"/>
          <w14:ligatures w14:val="standardContextual"/>
        </w:rPr>
        <w:t xml:space="preserve"> -систем як засі</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маркетингово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яльност</w:t>
      </w:r>
      <w:r w:rsidRPr="00511005">
        <w:rPr>
          <w:rFonts w:ascii="Arial" w:eastAsia="Calibri" w:hAnsi="Arial" w:cs="Arial"/>
          <w:kern w:val="2"/>
          <w:szCs w:val="28"/>
          <w:lang w:val="uk-UA"/>
          <w14:ligatures w14:val="standardContextual"/>
        </w:rPr>
        <w:t>і. URL: https://economyandsociety.in.ua/index.php/journal/article/view/2269/2192</w:t>
      </w:r>
    </w:p>
    <w:p w14:paraId="3BE16E81" w14:textId="77777777" w:rsidR="00AE57E7" w:rsidRPr="00511005" w:rsidRDefault="00AE57E7" w:rsidP="003F6A5D">
      <w:pPr>
        <w:numPr>
          <w:ilvl w:val="0"/>
          <w:numId w:val="737"/>
        </w:numPr>
        <w:tabs>
          <w:tab w:val="left" w:pos="993"/>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lastRenderedPageBreak/>
        <w:t>Гордіє</w:t>
      </w:r>
      <w:r w:rsidRPr="00511005">
        <w:rPr>
          <w:rFonts w:ascii="Arial" w:eastAsia="Malgun Gothic" w:hAnsi="Arial" w:cs="Arial"/>
          <w:kern w:val="2"/>
          <w:szCs w:val="28"/>
          <w:lang w:val="uk-UA"/>
          <w14:ligatures w14:val="standardContextual"/>
        </w:rPr>
        <w:t>нко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Особливост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CRM-</w:t>
      </w:r>
      <w:r w:rsidRPr="00511005">
        <w:rPr>
          <w:rFonts w:ascii="Arial" w:eastAsia="Malgun Gothic" w:hAnsi="Arial" w:cs="Arial"/>
          <w:kern w:val="2"/>
          <w:szCs w:val="28"/>
          <w:lang w:val="uk-UA"/>
          <w14:ligatures w14:val="standardContextual"/>
        </w:rPr>
        <w:t>систем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яльн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мств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аудит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оподаткування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сучасн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концепц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розвитку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Зб</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матер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VІІ </w:t>
      </w:r>
      <w:r w:rsidRPr="00511005">
        <w:rPr>
          <w:rFonts w:ascii="Arial" w:eastAsia="Malgun Gothic" w:hAnsi="Arial" w:cs="Arial"/>
          <w:kern w:val="2"/>
          <w:szCs w:val="28"/>
          <w:lang w:val="uk-UA"/>
          <w14:ligatures w14:val="standardContextual"/>
        </w:rPr>
        <w:t>Всеукра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науко</w:t>
      </w:r>
      <w:r w:rsidRPr="00511005">
        <w:rPr>
          <w:rFonts w:ascii="Arial" w:eastAsia="Calibri" w:hAnsi="Arial" w:cs="Arial"/>
          <w:kern w:val="2"/>
          <w:szCs w:val="28"/>
          <w:lang w:val="uk-UA"/>
          <w14:ligatures w14:val="standardContextual"/>
        </w:rPr>
        <w:t xml:space="preserve">во-практичної </w:t>
      </w:r>
      <w:r w:rsidRPr="00511005">
        <w:rPr>
          <w:rFonts w:ascii="Arial" w:eastAsia="Malgun Gothic" w:hAnsi="Arial" w:cs="Arial"/>
          <w:kern w:val="2"/>
          <w:szCs w:val="28"/>
          <w:lang w:val="uk-UA"/>
          <w14:ligatures w14:val="standardContextual"/>
        </w:rPr>
        <w:t>студентсько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конференц</w:t>
      </w:r>
      <w:r w:rsidRPr="00511005">
        <w:rPr>
          <w:rFonts w:ascii="Arial" w:eastAsia="Calibri" w:hAnsi="Arial" w:cs="Arial"/>
          <w:kern w:val="2"/>
          <w:szCs w:val="28"/>
          <w:lang w:val="uk-UA"/>
          <w14:ligatures w14:val="standardContextual"/>
        </w:rPr>
        <w:t>ії. 11 травня 2021 р. Киї</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КНЕУ</w:t>
      </w:r>
      <w:r w:rsidRPr="00511005">
        <w:rPr>
          <w:rFonts w:ascii="Arial" w:eastAsia="Calibri" w:hAnsi="Arial" w:cs="Arial"/>
          <w:kern w:val="2"/>
          <w:szCs w:val="28"/>
          <w:lang w:val="uk-UA"/>
          <w14:ligatures w14:val="standardContextual"/>
        </w:rPr>
        <w:t xml:space="preserve">, 2021. </w:t>
      </w:r>
      <w:r w:rsidRPr="00511005">
        <w:rPr>
          <w:rFonts w:ascii="Arial" w:eastAsia="Malgun Gothic" w:hAnsi="Arial" w:cs="Arial"/>
          <w:kern w:val="2"/>
          <w:szCs w:val="28"/>
          <w:lang w:val="uk-UA"/>
          <w14:ligatures w14:val="standardContextual"/>
        </w:rPr>
        <w:t>С</w:t>
      </w:r>
      <w:r w:rsidRPr="00511005">
        <w:rPr>
          <w:rFonts w:ascii="Arial" w:eastAsia="Calibri" w:hAnsi="Arial" w:cs="Arial"/>
          <w:kern w:val="2"/>
          <w:szCs w:val="28"/>
          <w:lang w:val="uk-UA"/>
          <w14:ligatures w14:val="standardContextual"/>
        </w:rPr>
        <w:t>. 446-448.</w:t>
      </w:r>
    </w:p>
    <w:p w14:paraId="525929F2" w14:textId="19221134" w:rsidR="00AE57E7" w:rsidRPr="00511005" w:rsidRDefault="007B2628" w:rsidP="003A292D">
      <w:pPr>
        <w:spacing w:line="264" w:lineRule="auto"/>
        <w:rPr>
          <w:rFonts w:ascii="Arial" w:eastAsia="Calibri" w:hAnsi="Arial" w:cs="Arial"/>
          <w:b/>
          <w:bCs/>
          <w:kern w:val="2"/>
          <w:szCs w:val="28"/>
          <w:lang w:val="uk-UA"/>
          <w14:ligatures w14:val="standardContextual"/>
        </w:rPr>
      </w:pPr>
      <w:r w:rsidRPr="00511005">
        <w:rPr>
          <w:rFonts w:ascii="Arial" w:eastAsia="Calibri" w:hAnsi="Arial" w:cs="Arial"/>
          <w:b/>
          <w:bCs/>
          <w:i/>
          <w:kern w:val="2"/>
          <w:szCs w:val="28"/>
          <w:lang w:val="uk-UA"/>
          <w14:ligatures w14:val="standardContextual"/>
        </w:rPr>
        <w:t xml:space="preserve">Ключові слова: </w:t>
      </w:r>
      <w:r w:rsidR="00AE57E7" w:rsidRPr="00511005">
        <w:rPr>
          <w:rFonts w:ascii="Arial" w:eastAsia="Calibri" w:hAnsi="Arial" w:cs="Arial"/>
          <w:kern w:val="2"/>
          <w:szCs w:val="28"/>
          <w:lang w:val="uk-UA"/>
          <w14:ligatures w14:val="standardContextual"/>
        </w:rPr>
        <w:t>CRM-системи, управлі</w:t>
      </w:r>
      <w:r w:rsidR="00AE57E7" w:rsidRPr="00511005">
        <w:rPr>
          <w:rFonts w:ascii="Arial" w:eastAsia="Malgun Gothic" w:hAnsi="Arial" w:cs="Arial"/>
          <w:kern w:val="2"/>
          <w:szCs w:val="28"/>
          <w:lang w:val="uk-UA"/>
          <w14:ligatures w14:val="standardContextual"/>
        </w:rPr>
        <w:t>ння</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вза</w:t>
      </w:r>
      <w:r w:rsidR="00AE57E7" w:rsidRPr="00511005">
        <w:rPr>
          <w:rFonts w:ascii="Arial" w:eastAsia="Calibri" w:hAnsi="Arial" w:cs="Arial"/>
          <w:kern w:val="2"/>
          <w:szCs w:val="28"/>
          <w:lang w:val="uk-UA"/>
          <w14:ligatures w14:val="standardContextual"/>
        </w:rPr>
        <w:t>є</w:t>
      </w:r>
      <w:r w:rsidR="00AE57E7" w:rsidRPr="00511005">
        <w:rPr>
          <w:rFonts w:ascii="Arial" w:eastAsia="Malgun Gothic" w:hAnsi="Arial" w:cs="Arial"/>
          <w:kern w:val="2"/>
          <w:szCs w:val="28"/>
          <w:lang w:val="uk-UA"/>
          <w14:ligatures w14:val="standardContextual"/>
        </w:rPr>
        <w:t>минами</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з</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кл</w:t>
      </w:r>
      <w:r w:rsidR="00AE57E7" w:rsidRPr="00511005">
        <w:rPr>
          <w:rFonts w:ascii="Arial" w:eastAsia="Calibri" w:hAnsi="Arial" w:cs="Arial"/>
          <w:kern w:val="2"/>
          <w:szCs w:val="28"/>
          <w:lang w:val="uk-UA"/>
          <w14:ligatures w14:val="standardContextual"/>
        </w:rPr>
        <w:t>іє</w:t>
      </w:r>
      <w:r w:rsidR="00AE57E7" w:rsidRPr="00511005">
        <w:rPr>
          <w:rFonts w:ascii="Arial" w:eastAsia="Malgun Gothic" w:hAnsi="Arial" w:cs="Arial"/>
          <w:kern w:val="2"/>
          <w:szCs w:val="28"/>
          <w:lang w:val="uk-UA"/>
          <w14:ligatures w14:val="standardContextual"/>
        </w:rPr>
        <w:t>нтами</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д</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джитал</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зац</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я</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автоматизац</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я</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б</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знесу</w:t>
      </w:r>
      <w:r w:rsidR="00AE57E7" w:rsidRPr="00511005">
        <w:rPr>
          <w:rFonts w:ascii="Arial" w:eastAsia="Calibri" w:hAnsi="Arial" w:cs="Arial"/>
          <w:kern w:val="2"/>
          <w:szCs w:val="28"/>
          <w:lang w:val="uk-UA"/>
          <w14:ligatures w14:val="standardContextual"/>
        </w:rPr>
        <w:t>, кі</w:t>
      </w:r>
      <w:r w:rsidR="00AE57E7" w:rsidRPr="00511005">
        <w:rPr>
          <w:rFonts w:ascii="Arial" w:eastAsia="Malgun Gothic" w:hAnsi="Arial" w:cs="Arial"/>
          <w:kern w:val="2"/>
          <w:szCs w:val="28"/>
          <w:lang w:val="uk-UA"/>
          <w14:ligatures w14:val="standardContextual"/>
        </w:rPr>
        <w:t>бербезпека</w:t>
      </w:r>
      <w:r w:rsidR="00AE57E7" w:rsidRPr="00511005">
        <w:rPr>
          <w:rFonts w:ascii="Arial" w:eastAsia="Calibri" w:hAnsi="Arial" w:cs="Arial"/>
          <w:kern w:val="2"/>
          <w:szCs w:val="28"/>
          <w:lang w:val="uk-UA"/>
          <w14:ligatures w14:val="standardContextual"/>
        </w:rPr>
        <w:t>.</w:t>
      </w:r>
    </w:p>
    <w:p w14:paraId="41AB1603" w14:textId="04C9D713" w:rsidR="00AE57E7" w:rsidRPr="00511005" w:rsidRDefault="007B2628" w:rsidP="003A292D">
      <w:pPr>
        <w:spacing w:line="264" w:lineRule="auto"/>
        <w:rPr>
          <w:rFonts w:ascii="Arial" w:eastAsia="Calibri" w:hAnsi="Arial" w:cs="Arial"/>
          <w:b/>
          <w:bCs/>
          <w:kern w:val="2"/>
          <w:szCs w:val="28"/>
          <w:lang w:val="uk-UA"/>
          <w14:ligatures w14:val="standardContextual"/>
        </w:rPr>
      </w:pPr>
      <w:r w:rsidRPr="00511005">
        <w:rPr>
          <w:rFonts w:ascii="Arial" w:eastAsia="Calibri" w:hAnsi="Arial" w:cs="Arial"/>
          <w:b/>
          <w:bCs/>
          <w:i/>
          <w:kern w:val="2"/>
          <w:szCs w:val="28"/>
          <w:lang w:val="uk-UA"/>
          <w14:ligatures w14:val="standardContextual"/>
        </w:rPr>
        <w:t xml:space="preserve">Key words: </w:t>
      </w:r>
      <w:r w:rsidR="00AE57E7" w:rsidRPr="00511005">
        <w:rPr>
          <w:rFonts w:ascii="Arial" w:eastAsia="Calibri" w:hAnsi="Arial" w:cs="Arial"/>
          <w:kern w:val="2"/>
          <w:szCs w:val="28"/>
          <w:lang w:val="uk-UA"/>
          <w14:ligatures w14:val="standardContextual"/>
        </w:rPr>
        <w:t>CRM systems, customer relationship management, digitalization, business automation, cybersecurity.</w:t>
      </w:r>
    </w:p>
    <w:p w14:paraId="5B78368C" w14:textId="4EDA768F" w:rsidR="00AE57E7" w:rsidRPr="00511005" w:rsidRDefault="007B2628" w:rsidP="003A292D">
      <w:pPr>
        <w:spacing w:line="264" w:lineRule="auto"/>
        <w:contextualSpacing/>
        <w:rPr>
          <w:rFonts w:ascii="Arial" w:eastAsia="Calibri" w:hAnsi="Arial" w:cs="Arial"/>
          <w:iCs/>
          <w:kern w:val="2"/>
          <w:szCs w:val="28"/>
          <w:lang w:val="uk-UA"/>
          <w14:ligatures w14:val="standardContextual"/>
        </w:rPr>
      </w:pPr>
      <w:r w:rsidRPr="00511005">
        <w:rPr>
          <w:rFonts w:ascii="Arial" w:eastAsia="Calibri" w:hAnsi="Arial" w:cs="Arial"/>
          <w:b/>
          <w:i/>
          <w:kern w:val="2"/>
          <w:szCs w:val="28"/>
          <w:lang w:val="uk-UA"/>
          <w14:ligatures w14:val="standardContextual"/>
        </w:rPr>
        <w:t xml:space="preserve">Науковий керівник: </w:t>
      </w:r>
      <w:r w:rsidR="00AE57E7" w:rsidRPr="00511005">
        <w:rPr>
          <w:rFonts w:ascii="Arial" w:eastAsia="Calibri" w:hAnsi="Arial" w:cs="Arial"/>
          <w:iCs/>
          <w:kern w:val="2"/>
          <w:szCs w:val="28"/>
          <w:lang w:val="uk-UA"/>
          <w14:ligatures w14:val="standardContextual"/>
        </w:rPr>
        <w:t>к.е.н., доцент Редіна Є.В.</w:t>
      </w:r>
    </w:p>
    <w:p w14:paraId="2E032ACF" w14:textId="4A8E1F64" w:rsidR="00B56F28" w:rsidRPr="00511005" w:rsidRDefault="00B56F28" w:rsidP="003A292D">
      <w:pPr>
        <w:spacing w:line="264" w:lineRule="auto"/>
        <w:contextualSpacing/>
        <w:rPr>
          <w:rFonts w:ascii="Arial" w:eastAsia="Calibri" w:hAnsi="Arial" w:cs="Arial"/>
          <w:i/>
          <w:kern w:val="2"/>
          <w:szCs w:val="28"/>
          <w:lang w:val="uk-UA"/>
          <w14:ligatures w14:val="standardContextual"/>
        </w:rPr>
      </w:pPr>
    </w:p>
    <w:p w14:paraId="49571126" w14:textId="77777777" w:rsidR="00B56F28" w:rsidRPr="00511005" w:rsidRDefault="00B56F28" w:rsidP="003A292D">
      <w:pPr>
        <w:spacing w:line="264" w:lineRule="auto"/>
        <w:contextualSpacing/>
        <w:rPr>
          <w:rFonts w:ascii="Arial" w:eastAsia="Calibri" w:hAnsi="Arial" w:cs="Arial"/>
          <w:i/>
          <w:kern w:val="2"/>
          <w:szCs w:val="28"/>
          <w:lang w:val="uk-UA"/>
          <w14:ligatures w14:val="standardContextual"/>
        </w:rPr>
      </w:pPr>
    </w:p>
    <w:p w14:paraId="2DD18150" w14:textId="77777777" w:rsidR="00AE57E7" w:rsidRPr="00511005" w:rsidRDefault="00AE57E7"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Гаспарян Георгій Сергійович</w:t>
      </w:r>
    </w:p>
    <w:p w14:paraId="595A957B" w14:textId="1F76B128" w:rsidR="00AE57E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 4-го курсу факультету адвокатури та антикорупційної діяльності</w:t>
      </w:r>
    </w:p>
    <w:p w14:paraId="03256B1A" w14:textId="5BE70225" w:rsidR="00AE57E7"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4D8A68A3" w14:textId="77777777" w:rsidR="00AE57E7" w:rsidRPr="00511005" w:rsidRDefault="00AE57E7" w:rsidP="003A292D">
      <w:pPr>
        <w:spacing w:line="264" w:lineRule="auto"/>
        <w:ind w:firstLine="0"/>
        <w:jc w:val="center"/>
        <w:rPr>
          <w:rFonts w:ascii="Arial" w:eastAsia="Times New Roman" w:hAnsi="Arial" w:cs="Arial"/>
          <w:szCs w:val="28"/>
          <w:lang w:val="uk-UA" w:eastAsia="ru-RU"/>
        </w:rPr>
      </w:pPr>
    </w:p>
    <w:p w14:paraId="51DD04CA" w14:textId="77777777" w:rsidR="00AE57E7" w:rsidRPr="00511005" w:rsidRDefault="00AE57E7"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ДИВЕРСИФІКАЦІЯ БІЗНЕСУ ЯК СТРАТЕГІЧНИЙ ІНСТРУМЕНТ ПІДВИЩЕННЯ КОНКУРЕНТОСПРОМОЖНОСТІ ПІДПРИЄМСТВА</w:t>
      </w:r>
    </w:p>
    <w:p w14:paraId="270DA67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Ключовим стратегічним напрямом, який дозволяє підприємствам зберігати стабільність, забезпечувати зростання, є диверсифікація бізнесу.</w:t>
      </w:r>
    </w:p>
    <w:p w14:paraId="51B8822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Диверсифікація бізнесу – це стратегічний процес розширення сфери діяльності підприємства, що включає освоєння нових ринків, виробництво нових товарів або послуг, зміну бізнес-моделі чи географії функціонування.</w:t>
      </w:r>
    </w:p>
    <w:p w14:paraId="2E658788"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Основна мета диверсифікації – зниження ризиків, підвищення гнучкості управління, оптимізація ресурсів і зміцнення позицій підприємства на ринку. У сучасній економічній практиці вона виступає інструментом мінімізації залежності від одного виду продукції або ринку та способом забезпечення довгострокової конкурентоспроможності [1].</w:t>
      </w:r>
    </w:p>
    <w:p w14:paraId="080D27D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Конкуренція як фундаментальний економічний процес взаємодії, взаємозв'язку та боротьби між господарюючими суб'єктами виступає рушійною силою розвитку бізнесу та вдосконалення його діяльності. В сучасних умовах конкурентна боротьба набуває нових форм та характеристик, серед яких: інтенсифікація конкурентних відносин на глобальному рівні, зростання ролі інноваційних факторів конкурентоспроможності, підвищення значущості інтелектуального капіталу та нематеріальних активів, трансформація методів конкурентної взаємодії від прямого протистояння до різноманітних форм кооперації та коопетиції. В таких умовах підприємства змушені шукати нові джерела конкурентних переваг, одним з яких стає стратегічна диверсифікація бізнесу.</w:t>
      </w:r>
    </w:p>
    <w:p w14:paraId="7BBDA51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Диверсифікація бізнесу є стратегічним підходом до розвитку підприємства, що передбачає розширення сфер діяльності, асортименту продукції, географічних ринків або способів конкурентної боротьби з метою підвищення адаптивності бізнесу до зовнішніх змін, зниження ризиків та </w:t>
      </w:r>
      <w:r w:rsidRPr="00511005">
        <w:rPr>
          <w:rFonts w:ascii="Arial" w:eastAsia="Times New Roman" w:hAnsi="Arial" w:cs="Arial"/>
          <w:szCs w:val="28"/>
          <w:lang w:val="uk-UA" w:eastAsia="ru-RU"/>
        </w:rPr>
        <w:lastRenderedPageBreak/>
        <w:t>зміцнення конкурентних позицій. На відміну від спеціалізації, що фокусується на поглибленні компетенцій у певній вузькій сфері, диверсифікація орієнтована на експансію в нові галузі, освоєння нових продуктів або ринків, що дозволяє підприємству формувати багатовимірні конкурентні переваги [1].</w:t>
      </w:r>
    </w:p>
    <w:p w14:paraId="357247B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Існує кілька основних видів диверсифікації бізнесу, кожен з яких має специфічний вплив на конкурентоспроможність. Горизонтальна диверсифікація дозволяє зміцнити ринкові позиції за рахунок економії на масштабі та комплексного задоволення потреб цільових споживачів. Вертикальна диверсифікація, спрямована на інтеграцію підприємства в суміжні ланки виробничого ланцюга, забезпечує контроль над ресурсами, каналами дистрибуції та підвищує операційну ефективність. Конгломератна диверсифікація, що полягає у входженні в принципово нові галузі дозволяє розподілити ризики між різними галузями економіки та забезпечити фінансову стабільність підприємства в умовах галузевих криз [2].</w:t>
      </w:r>
    </w:p>
    <w:p w14:paraId="7C36A09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Ефективна реалізація стратегії диверсифікації потребує чіткого розуміння поточного конкурентного становища підприємства та динаміки конкурентного середовища. Аналіз конкурентних переваг та недоліків, виявлення ключових факторів успіху в галузі, оцінка інтенсивності та характеру конкурентної боротьби, визначення основних конкурентів та їхніх стратегій становлять необхідну інформаційну базу для формування оптимальної моделі диверсифікації. При цьому важливо враховувати не лише поточну конкурентну ситуацію, але й прогнозувати її розвиток, оцінювати потенційні конкурентні загрози та можливості. [3]</w:t>
      </w:r>
    </w:p>
    <w:p w14:paraId="56BB513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Вибір конкретних напрямків диверсифікації повинен базуватися на системному аналізі потенціалу їх впливу на конкурентоспроможність підприємства. Ключовими критеріями оцінки можуть бути: привабливість галузі для диверсифікації (темпи зростання, рівень рентабельності, структура конкуренції, бар'єри входу), потенціал синергії з існуючим бізнесом, відповідність стратегічним цілям підприємства, необхідні інвестиції та очікувана окупність. Особливу увагу слід приділяти оцінці конкурентних ризиків, пов'язаних з входженням у нові сфери діяльності, включаючи реакцію існуючих гравців ринку, потенційні торговельні та технологічні бар'єри, репутаційні ризики.</w:t>
      </w:r>
    </w:p>
    <w:p w14:paraId="6B268F5A"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Важливим аспектом реалізації стратегії диверсифікації є формування відповідної організаційної структури, що забезпечує ефективне управління диверсифікованим бізнесом. В залежності від рівня взаємозв'язку між різними напрямками діяльності можуть застосовуватися різні моделі організації: від створення автономних бізнес-одиниць до формування інтегрованих структур з централізованими функціями управління. Ключовим викликом при цьому є забезпечення балансу між автономністю окремих </w:t>
      </w:r>
      <w:r w:rsidRPr="00511005">
        <w:rPr>
          <w:rFonts w:ascii="Arial" w:eastAsia="Times New Roman" w:hAnsi="Arial" w:cs="Arial"/>
          <w:szCs w:val="28"/>
          <w:lang w:val="uk-UA" w:eastAsia="ru-RU"/>
        </w:rPr>
        <w:lastRenderedPageBreak/>
        <w:t>бізнес-напрямків та їх інтеграцією для досягнення синергетичного ефекту [3].</w:t>
      </w:r>
    </w:p>
    <w:p w14:paraId="415665A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диверсифікація виступає важливою передумовою довгострокової стабільності підприємства, інструментом підвищення його адаптивності та стійкості до ринкових коливань. В умовах сучасних викликів стратегічне управління диверсифікацією набуває особливої актуальності, адже саме від якості прийнятих рішень у цій сфері залежить здатність підприємства забезпечити конкурентні переваги та сталий розвиток.</w:t>
      </w:r>
    </w:p>
    <w:p w14:paraId="2A85CE18" w14:textId="77777777" w:rsidR="00AE57E7" w:rsidRPr="00511005" w:rsidRDefault="00AE57E7" w:rsidP="003A292D">
      <w:pPr>
        <w:spacing w:line="264" w:lineRule="auto"/>
        <w:rPr>
          <w:rFonts w:ascii="Arial" w:eastAsia="Times New Roman" w:hAnsi="Arial" w:cs="Arial"/>
          <w:szCs w:val="28"/>
          <w:lang w:val="uk-UA" w:eastAsia="ru-RU"/>
        </w:rPr>
      </w:pPr>
    </w:p>
    <w:p w14:paraId="6A404B2E" w14:textId="1D62C449" w:rsidR="00AE57E7"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3F910318" w14:textId="77777777" w:rsidR="00AE57E7" w:rsidRPr="00511005" w:rsidRDefault="00AE57E7" w:rsidP="003F6A5D">
      <w:pPr>
        <w:numPr>
          <w:ilvl w:val="0"/>
          <w:numId w:val="725"/>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Згурська О.М., Ващенко О.О., Гужавіна І.В. Концептуальна характеристика категоріального апарату «диверсифікація діяльності підприємства». </w:t>
      </w:r>
      <w:r w:rsidRPr="00511005">
        <w:rPr>
          <w:rFonts w:ascii="Arial" w:eastAsia="Times New Roman" w:hAnsi="Arial" w:cs="Arial"/>
          <w:i/>
          <w:szCs w:val="28"/>
          <w:lang w:val="uk-UA" w:eastAsia="ru-RU"/>
        </w:rPr>
        <w:t>Економіка та держава.</w:t>
      </w:r>
      <w:r w:rsidRPr="00511005">
        <w:rPr>
          <w:rFonts w:ascii="Arial" w:eastAsia="Times New Roman" w:hAnsi="Arial" w:cs="Arial"/>
          <w:szCs w:val="28"/>
          <w:lang w:val="uk-UA" w:eastAsia="ru-RU"/>
        </w:rPr>
        <w:t xml:space="preserve"> 2021. № 5. С. 22-27. URL: </w:t>
      </w:r>
      <w:hyperlink r:id="rId2467" w:history="1">
        <w:r w:rsidRPr="00511005">
          <w:rPr>
            <w:rFonts w:ascii="Arial" w:eastAsia="Times New Roman" w:hAnsi="Arial" w:cs="Arial"/>
            <w:szCs w:val="28"/>
            <w:lang w:val="uk-UA" w:eastAsia="ru-RU"/>
          </w:rPr>
          <w:t>http://nbuv.gov.ua/</w:t>
        </w:r>
        <w:r w:rsidRPr="00511005">
          <w:rPr>
            <w:rFonts w:ascii="Arial" w:eastAsia="Times New Roman" w:hAnsi="Arial" w:cs="Arial"/>
            <w:szCs w:val="28"/>
            <w:lang w:val="en-US" w:eastAsia="ru-RU"/>
          </w:rPr>
          <w:t xml:space="preserve"> </w:t>
        </w:r>
      </w:hyperlink>
      <w:r w:rsidRPr="00511005">
        <w:rPr>
          <w:rFonts w:ascii="Arial" w:eastAsia="Times New Roman" w:hAnsi="Arial" w:cs="Arial"/>
          <w:szCs w:val="28"/>
          <w:lang w:val="uk-UA" w:eastAsia="ru-RU"/>
        </w:rPr>
        <w:t xml:space="preserve"> </w:t>
      </w:r>
    </w:p>
    <w:p w14:paraId="39309253" w14:textId="27C9882B" w:rsidR="00AE57E7" w:rsidRPr="00511005" w:rsidRDefault="00AE57E7" w:rsidP="003F6A5D">
      <w:pPr>
        <w:numPr>
          <w:ilvl w:val="0"/>
          <w:numId w:val="725"/>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Івченко Л. Диверсифікація діяльності підприємств як чинник їх економічного зростання. </w:t>
      </w:r>
      <w:r w:rsidRPr="00511005">
        <w:rPr>
          <w:rFonts w:ascii="Arial" w:eastAsia="Times New Roman" w:hAnsi="Arial" w:cs="Arial"/>
          <w:i/>
          <w:szCs w:val="28"/>
          <w:lang w:val="uk-UA" w:eastAsia="ru-RU"/>
        </w:rPr>
        <w:t>Інститут бухгалтерського обліку, контроль та аналіз в умовах глобалізації. Міжнародний збірник наукових праць</w:t>
      </w:r>
      <w:r w:rsidRPr="00511005">
        <w:rPr>
          <w:rFonts w:ascii="Arial" w:eastAsia="Times New Roman" w:hAnsi="Arial" w:cs="Arial"/>
          <w:szCs w:val="28"/>
          <w:lang w:val="uk-UA" w:eastAsia="ru-RU"/>
        </w:rPr>
        <w:t>. Випуск 1. 2016. с. 99-107.</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URL: </w:t>
      </w:r>
      <w:hyperlink r:id="rId2468" w:history="1">
        <w:r w:rsidRPr="00511005">
          <w:rPr>
            <w:rFonts w:ascii="Arial" w:eastAsia="Times New Roman" w:hAnsi="Arial" w:cs="Arial"/>
            <w:szCs w:val="28"/>
            <w:lang w:val="uk-UA" w:eastAsia="ru-RU"/>
          </w:rPr>
          <w:t>http://dspace.wunu.edu.ua/</w:t>
        </w:r>
      </w:hyperlink>
      <w:r w:rsidRPr="00511005">
        <w:rPr>
          <w:rFonts w:ascii="Arial" w:eastAsia="Times New Roman" w:hAnsi="Arial" w:cs="Arial"/>
          <w:szCs w:val="28"/>
          <w:lang w:val="uk-UA" w:eastAsia="ru-RU"/>
        </w:rPr>
        <w:t xml:space="preserve"> </w:t>
      </w:r>
    </w:p>
    <w:p w14:paraId="176A557E" w14:textId="4AE3FEB0" w:rsidR="00AE57E7" w:rsidRPr="00511005" w:rsidRDefault="00AE57E7" w:rsidP="003F6A5D">
      <w:pPr>
        <w:numPr>
          <w:ilvl w:val="0"/>
          <w:numId w:val="725"/>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Теймур А. Касумов Сучасні підходи оцінки до оцінювання ефективності диверсифікації бізнес-процесів в нестабільних економічних умовах. </w:t>
      </w:r>
      <w:r w:rsidRPr="00511005">
        <w:rPr>
          <w:rFonts w:ascii="Arial" w:eastAsia="Times New Roman" w:hAnsi="Arial" w:cs="Arial"/>
          <w:i/>
          <w:szCs w:val="28"/>
          <w:lang w:val="uk-UA" w:eastAsia="ru-RU"/>
        </w:rPr>
        <w:t>Актуальні проблеми економіки</w:t>
      </w:r>
      <w:r w:rsidRPr="00511005">
        <w:rPr>
          <w:rFonts w:ascii="Arial" w:eastAsia="Times New Roman" w:hAnsi="Arial" w:cs="Arial"/>
          <w:szCs w:val="28"/>
          <w:lang w:val="uk-UA" w:eastAsia="ru-RU"/>
        </w:rPr>
        <w:t xml:space="preserve"> № 6 (276), 2024. С. 34-44.</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URL: </w:t>
      </w:r>
      <w:hyperlink r:id="rId2469" w:history="1">
        <w:r w:rsidRPr="00511005">
          <w:rPr>
            <w:rFonts w:ascii="Arial" w:eastAsia="Times New Roman" w:hAnsi="Arial" w:cs="Arial"/>
            <w:szCs w:val="28"/>
            <w:lang w:val="uk-UA" w:eastAsia="ru-RU"/>
          </w:rPr>
          <w:t>https://eco-science.net/</w:t>
        </w:r>
      </w:hyperlink>
      <w:r w:rsidRPr="00511005">
        <w:rPr>
          <w:rFonts w:ascii="Arial" w:eastAsia="Times New Roman" w:hAnsi="Arial" w:cs="Arial"/>
          <w:szCs w:val="28"/>
          <w:lang w:val="en-US" w:eastAsia="ru-RU"/>
        </w:rPr>
        <w:t xml:space="preserve"> </w:t>
      </w:r>
    </w:p>
    <w:p w14:paraId="655E865B" w14:textId="10EB6007"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диверсифікація бізнесу, стратегія розвитку, конкурентоспроможність, управління ризиками, адаптація підприємства, типи диверсифікації.</w:t>
      </w:r>
    </w:p>
    <w:p w14:paraId="76554B1D" w14:textId="6FF72C4D" w:rsidR="00AE57E7" w:rsidRPr="00511005" w:rsidRDefault="007B2628" w:rsidP="003A292D">
      <w:pPr>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AE57E7" w:rsidRPr="00511005">
        <w:rPr>
          <w:rFonts w:ascii="Arial" w:eastAsia="Times New Roman" w:hAnsi="Arial" w:cs="Arial"/>
          <w:szCs w:val="28"/>
          <w:lang w:val="en-US" w:eastAsia="ru-RU"/>
        </w:rPr>
        <w:t>business diversification, development strategy, competitiveness, risk management, enterprise adaptation, types of diversification.</w:t>
      </w:r>
    </w:p>
    <w:p w14:paraId="412F939E" w14:textId="2BC20F9D" w:rsidR="00AE57E7" w:rsidRPr="00511005" w:rsidRDefault="007B2628" w:rsidP="003A292D">
      <w:pPr>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AE57E7" w:rsidRPr="00511005">
        <w:rPr>
          <w:rFonts w:ascii="Arial" w:eastAsia="Times New Roman" w:hAnsi="Arial" w:cs="Arial"/>
          <w:i/>
          <w:szCs w:val="28"/>
          <w:lang w:val="uk-UA" w:eastAsia="ru-RU"/>
        </w:rPr>
        <w:t>д.е.н., професор Слободянюк О.В.</w:t>
      </w:r>
    </w:p>
    <w:p w14:paraId="772D0041" w14:textId="77777777" w:rsidR="001D1A08" w:rsidRPr="00511005" w:rsidRDefault="001D1A08" w:rsidP="003A292D">
      <w:pPr>
        <w:spacing w:line="264" w:lineRule="auto"/>
        <w:ind w:firstLine="0"/>
        <w:jc w:val="left"/>
        <w:rPr>
          <w:rFonts w:ascii="Arial" w:eastAsia="Times New Roman" w:hAnsi="Arial" w:cs="Arial"/>
          <w:b/>
          <w:iCs/>
          <w:szCs w:val="28"/>
          <w:lang w:val="uk-UA" w:eastAsia="ru-RU"/>
        </w:rPr>
      </w:pPr>
    </w:p>
    <w:p w14:paraId="1A45758B" w14:textId="77777777" w:rsidR="001D1A08" w:rsidRPr="00511005" w:rsidRDefault="001D1A08" w:rsidP="003A292D">
      <w:pPr>
        <w:spacing w:line="264" w:lineRule="auto"/>
        <w:ind w:firstLine="0"/>
        <w:jc w:val="left"/>
        <w:rPr>
          <w:rFonts w:ascii="Arial" w:eastAsia="Times New Roman" w:hAnsi="Arial" w:cs="Arial"/>
          <w:b/>
          <w:iCs/>
          <w:szCs w:val="28"/>
          <w:lang w:val="uk-UA" w:eastAsia="ru-RU"/>
        </w:rPr>
      </w:pPr>
    </w:p>
    <w:p w14:paraId="5D1B7948" w14:textId="77777777" w:rsidR="00AE57E7" w:rsidRPr="00511005" w:rsidRDefault="00AE57E7" w:rsidP="003A292D">
      <w:pPr>
        <w:spacing w:line="264" w:lineRule="auto"/>
        <w:ind w:firstLine="0"/>
        <w:jc w:val="center"/>
        <w:rPr>
          <w:rFonts w:ascii="Arial" w:eastAsia="Times New Roman" w:hAnsi="Arial" w:cs="Arial"/>
          <w:b/>
          <w:bCs/>
          <w:i/>
          <w:szCs w:val="28"/>
          <w:lang w:val="uk-UA" w:eastAsia="ru-RU"/>
        </w:rPr>
      </w:pPr>
      <w:r w:rsidRPr="00511005">
        <w:rPr>
          <w:rFonts w:ascii="Arial" w:eastAsia="Times New Roman" w:hAnsi="Arial" w:cs="Arial"/>
          <w:b/>
          <w:bCs/>
          <w:i/>
          <w:szCs w:val="28"/>
          <w:lang w:val="uk-UA" w:eastAsia="ru-RU"/>
        </w:rPr>
        <w:t>Гашамлі Фаталі</w:t>
      </w:r>
    </w:p>
    <w:p w14:paraId="02089F25" w14:textId="1E2F9E39" w:rsidR="00AE57E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 4-го курсу факультету адвокатури та антикорупційної діяльності</w:t>
      </w:r>
    </w:p>
    <w:p w14:paraId="1FCDF5B5" w14:textId="5F59CD6C" w:rsidR="00AE57E7" w:rsidRPr="00511005" w:rsidRDefault="007B2628" w:rsidP="003A292D">
      <w:pPr>
        <w:spacing w:line="264" w:lineRule="auto"/>
        <w:ind w:firstLine="0"/>
        <w:jc w:val="center"/>
        <w:rPr>
          <w:rFonts w:ascii="Arial" w:eastAsia="Times New Roman" w:hAnsi="Arial" w:cs="Arial"/>
          <w:b/>
          <w:szCs w:val="28"/>
          <w:shd w:val="clear" w:color="auto" w:fill="FFFFFF"/>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3B57DB20" w14:textId="77777777" w:rsidR="00AE57E7" w:rsidRPr="00511005" w:rsidRDefault="00AE57E7" w:rsidP="003A292D">
      <w:pPr>
        <w:spacing w:line="264" w:lineRule="auto"/>
        <w:ind w:firstLine="0"/>
        <w:jc w:val="center"/>
        <w:rPr>
          <w:rFonts w:ascii="Arial" w:eastAsia="Calibri" w:hAnsi="Arial" w:cs="Arial"/>
          <w:b/>
          <w:bCs/>
          <w:szCs w:val="28"/>
          <w:lang w:val="uk-UA" w:eastAsia="ru-RU"/>
        </w:rPr>
      </w:pPr>
    </w:p>
    <w:p w14:paraId="347E3836" w14:textId="77777777" w:rsidR="00AE57E7" w:rsidRPr="00511005" w:rsidRDefault="00AE57E7" w:rsidP="003A292D">
      <w:pPr>
        <w:spacing w:line="264" w:lineRule="auto"/>
        <w:ind w:firstLine="0"/>
        <w:jc w:val="center"/>
        <w:rPr>
          <w:rFonts w:ascii="Arial" w:eastAsia="Calibri" w:hAnsi="Arial" w:cs="Arial"/>
          <w:b/>
          <w:bCs/>
          <w:szCs w:val="28"/>
          <w:lang w:val="uk-UA" w:eastAsia="ru-RU"/>
        </w:rPr>
      </w:pPr>
      <w:r w:rsidRPr="00511005">
        <w:rPr>
          <w:rFonts w:ascii="Arial" w:eastAsia="Calibri" w:hAnsi="Arial" w:cs="Arial"/>
          <w:b/>
          <w:bCs/>
          <w:szCs w:val="28"/>
          <w:lang w:val="uk-UA" w:eastAsia="ru-RU"/>
        </w:rPr>
        <w:t>ПРЕВЕНТИВНЕ УПРАВЛІННЯ КОНФЛІКТАМИ В БІЗНЕС-СТРУКТУРІ</w:t>
      </w:r>
    </w:p>
    <w:p w14:paraId="693F446F"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Конфлікти - невід'ємна частина функціонування бізнес-структур. Вони виникають через протиріччя, спричинені як внутрішніми процесами, так і особистісними особливостями працівників. У бізнес-середовищі конфлікти можуть знижувати продуктивність, погіршувати атмосферу в колективі й навіть шкодити репутації. Проте за правильного підходу конфлікти можуть </w:t>
      </w:r>
      <w:r w:rsidRPr="00511005">
        <w:rPr>
          <w:rFonts w:ascii="Arial" w:eastAsia="Times New Roman" w:hAnsi="Arial" w:cs="Arial"/>
          <w:szCs w:val="28"/>
          <w:lang w:val="uk-UA" w:eastAsia="ru-RU"/>
        </w:rPr>
        <w:lastRenderedPageBreak/>
        <w:t>стати поштовхом до позитивних змін - від удосконалення процесів до створення інноваційних рішень.</w:t>
      </w:r>
    </w:p>
    <w:p w14:paraId="3B3147D7"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Як зазначає О. А. Біловодська, конфлікти - одна з найпоширеніших форм взаємодії в бізнес-структурах. Їх необхідно аналізувати з урахуванням загальної конфліктології, адаптованої до специфіки бізнесу. Важливо розрізняти професійні конфлікти та особисті, щоб правильно ідентифікувати їх причини [1]. Так, напруга між відділами через нечіткий розподіл завдань може помилково сприйматись як особиста неприязнь, хоча справжня причина криється в організаційній структурі.</w:t>
      </w:r>
    </w:p>
    <w:p w14:paraId="6C9DE40F"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Конфлікти в бізнес-структурах мають низку особливостей:</w:t>
      </w:r>
    </w:p>
    <w:p w14:paraId="0043154E" w14:textId="77777777" w:rsidR="00AE57E7" w:rsidRPr="00511005" w:rsidRDefault="00AE57E7" w:rsidP="003F6A5D">
      <w:pPr>
        <w:numPr>
          <w:ilvl w:val="0"/>
          <w:numId w:val="716"/>
        </w:numPr>
        <w:tabs>
          <w:tab w:val="left" w:pos="1134"/>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вони зазвичай обмежені рамками певного відділу чи проєктної команди;</w:t>
      </w:r>
    </w:p>
    <w:p w14:paraId="2894FC92" w14:textId="77777777" w:rsidR="00AE57E7" w:rsidRPr="00511005" w:rsidRDefault="00AE57E7" w:rsidP="003F6A5D">
      <w:pPr>
        <w:numPr>
          <w:ilvl w:val="0"/>
          <w:numId w:val="716"/>
        </w:numPr>
        <w:tabs>
          <w:tab w:val="left" w:pos="1134"/>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складна система ролей може маскувати справжні причини напруги;</w:t>
      </w:r>
    </w:p>
    <w:p w14:paraId="76AA3F75" w14:textId="77777777" w:rsidR="00AE57E7" w:rsidRPr="00511005" w:rsidRDefault="00AE57E7" w:rsidP="003F6A5D">
      <w:pPr>
        <w:numPr>
          <w:ilvl w:val="0"/>
          <w:numId w:val="716"/>
        </w:numPr>
        <w:tabs>
          <w:tab w:val="left" w:pos="1134"/>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закритість корпоративної культури вимагає підтримки позитивної атмосфери та психологічного комфорту [2];</w:t>
      </w:r>
    </w:p>
    <w:p w14:paraId="7C517299" w14:textId="77777777" w:rsidR="00AE57E7" w:rsidRPr="00511005" w:rsidRDefault="00AE57E7" w:rsidP="003F6A5D">
      <w:pPr>
        <w:numPr>
          <w:ilvl w:val="0"/>
          <w:numId w:val="716"/>
        </w:numPr>
        <w:tabs>
          <w:tab w:val="left" w:pos="1134"/>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вони часто мають латентний характер, проявляючись лише в кризових ситуаціях;</w:t>
      </w:r>
    </w:p>
    <w:p w14:paraId="5BA6449A" w14:textId="77777777" w:rsidR="00AE57E7" w:rsidRPr="00511005" w:rsidRDefault="00AE57E7" w:rsidP="003F6A5D">
      <w:pPr>
        <w:numPr>
          <w:ilvl w:val="0"/>
          <w:numId w:val="716"/>
        </w:numPr>
        <w:tabs>
          <w:tab w:val="left" w:pos="1134"/>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конфлікти можуть відображати приховану боротьбу за ресурси, вплив або авторитет у колективі.</w:t>
      </w:r>
    </w:p>
    <w:p w14:paraId="14A2ACE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бізнесі конфлікти нерідко виконують функцію індикатора управлінських помилок. Конфлікт між підрозділами з продажів і маркетингу може свідчити про відсутність єдиної стратегії просування продукту. У цьому випадку конфлікт, хоч і деструктивний на перший погляд, виконує важливу роль в ідентифікації недоліків в організації внутрішньої комунікації.</w:t>
      </w:r>
    </w:p>
    <w:p w14:paraId="3FCEDA8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Л. М. Ачкасова, Т. О. Водолажська та Ю. О. Бекетов підкреслюють, що ефективна система управління конфліктами зменшує їх кількість за рахунок профілактичних заходів і формування гармонійних відносин у колективі [3]. Водночас сучасна наука визнає, що конфлікти є неминучими. За правильного підходу вони можуть стати джерелом розвитку. </w:t>
      </w:r>
    </w:p>
    <w:p w14:paraId="7DA33081" w14:textId="77777777" w:rsidR="00AE57E7" w:rsidRPr="00511005" w:rsidRDefault="00AE57E7" w:rsidP="003A292D">
      <w:pPr>
        <w:tabs>
          <w:tab w:val="left" w:pos="851"/>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Для ефективного управління конфліктами необхідно чітко розрізняти:</w:t>
      </w:r>
    </w:p>
    <w:p w14:paraId="7888CA88" w14:textId="77777777" w:rsidR="00AE57E7" w:rsidRPr="00511005" w:rsidRDefault="00AE57E7" w:rsidP="003F6A5D">
      <w:pPr>
        <w:numPr>
          <w:ilvl w:val="1"/>
          <w:numId w:val="714"/>
        </w:numPr>
        <w:tabs>
          <w:tab w:val="left" w:pos="851"/>
          <w:tab w:val="num" w:pos="1843"/>
        </w:tabs>
        <w:spacing w:line="264" w:lineRule="auto"/>
        <w:ind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Причини (глибинні чинники): </w:t>
      </w:r>
    </w:p>
    <w:p w14:paraId="32CEC568" w14:textId="77777777" w:rsidR="00AE57E7" w:rsidRPr="00511005" w:rsidRDefault="00AE57E7" w:rsidP="003F6A5D">
      <w:pPr>
        <w:numPr>
          <w:ilvl w:val="0"/>
          <w:numId w:val="717"/>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об'єктивні (внутрішні організаційні фактори - дублювання обов'язків, обмеженість ресурсів, несправедлива система винагороди, жорстка централізація прийняття рішень);</w:t>
      </w:r>
    </w:p>
    <w:p w14:paraId="41780651" w14:textId="77777777" w:rsidR="00AE57E7" w:rsidRPr="00511005" w:rsidRDefault="00AE57E7" w:rsidP="003F6A5D">
      <w:pPr>
        <w:numPr>
          <w:ilvl w:val="0"/>
          <w:numId w:val="717"/>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суб'єктивні (особистісні якості - імпульсивність, боротьба за владу, психологічна несумісність).</w:t>
      </w:r>
    </w:p>
    <w:p w14:paraId="34971B9B" w14:textId="77777777" w:rsidR="00AE57E7" w:rsidRPr="00511005" w:rsidRDefault="00AE57E7" w:rsidP="003F6A5D">
      <w:pPr>
        <w:numPr>
          <w:ilvl w:val="1"/>
          <w:numId w:val="714"/>
        </w:numPr>
        <w:tabs>
          <w:tab w:val="left" w:pos="851"/>
          <w:tab w:val="num" w:pos="1701"/>
        </w:tabs>
        <w:spacing w:line="264" w:lineRule="auto"/>
        <w:ind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Приводи (зовнішні прояви):</w:t>
      </w:r>
    </w:p>
    <w:p w14:paraId="240ADC68" w14:textId="77777777" w:rsidR="00AE57E7" w:rsidRPr="00511005" w:rsidRDefault="00AE57E7" w:rsidP="003F6A5D">
      <w:pPr>
        <w:numPr>
          <w:ilvl w:val="0"/>
          <w:numId w:val="718"/>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ситуативні фактори - перевантаження, зміни в керівництві, конкуренція за бонуси, непорозуміння в комунікації.</w:t>
      </w:r>
    </w:p>
    <w:p w14:paraId="4FB6461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Конфлікти можуть мати як деструктивний, так і конструктивний потенціал. Деструктивні конфлікти призводять до емоційного вигорання </w:t>
      </w:r>
      <w:r w:rsidRPr="00511005">
        <w:rPr>
          <w:rFonts w:ascii="Arial" w:eastAsia="Times New Roman" w:hAnsi="Arial" w:cs="Arial"/>
          <w:szCs w:val="28"/>
          <w:lang w:val="uk-UA" w:eastAsia="ru-RU"/>
        </w:rPr>
        <w:lastRenderedPageBreak/>
        <w:t>працівників, саботажу, зниження мотивації, зменшення продуктивності, збільшення плинності кадрів і втрати ключових працівників. Репутаційні збитки компанії через публічні конфлікти теж не є рідкістю.</w:t>
      </w:r>
    </w:p>
    <w:p w14:paraId="1EACB98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Натомість конструктивні конфлікти сприяють розвитку: вони виявляють слабкі місця, стимулюють комунікацію й генерують нові ідеї. Наприклад, суперечка між командою продажів і відділом логістики щодо оптимальних термінів поставки може дозволити перебудувати логістику, скоротити витрати та покращити обслуговування клієнтів.</w:t>
      </w:r>
    </w:p>
    <w:p w14:paraId="63572917"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Превентивне управління конфліктами включає як організаційні, так і поведінкові інструменти:</w:t>
      </w:r>
    </w:p>
    <w:p w14:paraId="21D05384" w14:textId="77777777" w:rsidR="00AE57E7" w:rsidRPr="00511005" w:rsidRDefault="00AE57E7" w:rsidP="003F6A5D">
      <w:pPr>
        <w:numPr>
          <w:ilvl w:val="0"/>
          <w:numId w:val="718"/>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анонімні опитування, інтерв’ю, фокус-групи для виявлення слабких місць. У разі виявлення зон ризику - впровадження коригувальних заходів;</w:t>
      </w:r>
    </w:p>
    <w:p w14:paraId="5020A19B" w14:textId="77777777" w:rsidR="00AE57E7" w:rsidRPr="00511005" w:rsidRDefault="00AE57E7" w:rsidP="003F6A5D">
      <w:pPr>
        <w:numPr>
          <w:ilvl w:val="0"/>
          <w:numId w:val="718"/>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регулярне навчання працівників навичкам активного слухання, асертивного спілкування та розв’язання конфліктів без ескалації;</w:t>
      </w:r>
    </w:p>
    <w:p w14:paraId="0EE4890F" w14:textId="77777777" w:rsidR="00AE57E7" w:rsidRPr="00511005" w:rsidRDefault="00AE57E7" w:rsidP="003F6A5D">
      <w:pPr>
        <w:numPr>
          <w:ilvl w:val="0"/>
          <w:numId w:val="718"/>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створення прозорих посадових інструкцій і матриць відповідальності. Наприклад, використання RACI-матриці дозволяє чітко окреслити зони відповідальності кожного учасника процесу;</w:t>
      </w:r>
    </w:p>
    <w:p w14:paraId="706ABE71" w14:textId="77777777" w:rsidR="00AE57E7" w:rsidRPr="00511005" w:rsidRDefault="00AE57E7" w:rsidP="003F6A5D">
      <w:pPr>
        <w:numPr>
          <w:ilvl w:val="0"/>
          <w:numId w:val="718"/>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залучення зовнішніх або внутрішніх фасилітаторів для підтримки діалогу в командах з високим рівнем напруги;</w:t>
      </w:r>
    </w:p>
    <w:p w14:paraId="4A18E585" w14:textId="77777777" w:rsidR="00AE57E7" w:rsidRPr="00511005" w:rsidRDefault="00AE57E7" w:rsidP="003F6A5D">
      <w:pPr>
        <w:numPr>
          <w:ilvl w:val="0"/>
          <w:numId w:val="718"/>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використання ігрових підходів (симуляції, ділові ігри, ролеві сценарії) для зміцнення взаєморозуміння та емпатії;</w:t>
      </w:r>
    </w:p>
    <w:p w14:paraId="3829EB85" w14:textId="77777777" w:rsidR="00AE57E7" w:rsidRPr="00511005" w:rsidRDefault="00AE57E7" w:rsidP="003F6A5D">
      <w:pPr>
        <w:numPr>
          <w:ilvl w:val="0"/>
          <w:numId w:val="718"/>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адаптаційні програми для новачків із призначенням наставника, що сприяє зниженню рівня тривожності та швидшій інтеграції у колектив;</w:t>
      </w:r>
    </w:p>
    <w:p w14:paraId="3B3D1CBE" w14:textId="77777777" w:rsidR="00AE57E7" w:rsidRPr="00511005" w:rsidRDefault="00AE57E7" w:rsidP="003F6A5D">
      <w:pPr>
        <w:numPr>
          <w:ilvl w:val="0"/>
          <w:numId w:val="718"/>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використання даних для виявлення потенційних зон конфліктів, аналіз плинності кадрів, опитувань задоволеності працівників, відстеження залученості;</w:t>
      </w:r>
    </w:p>
    <w:p w14:paraId="32846D2E" w14:textId="77777777" w:rsidR="00AE57E7" w:rsidRPr="00511005" w:rsidRDefault="00AE57E7" w:rsidP="003F6A5D">
      <w:pPr>
        <w:numPr>
          <w:ilvl w:val="0"/>
          <w:numId w:val="718"/>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регулярні one-on-one зустрічі, платформи для анонімних звернень, внутрішні чат-боти для моніторингу настроїв у колективі;</w:t>
      </w:r>
    </w:p>
    <w:p w14:paraId="1D5D547B" w14:textId="77777777" w:rsidR="00AE57E7" w:rsidRPr="00511005" w:rsidRDefault="00AE57E7" w:rsidP="003F6A5D">
      <w:pPr>
        <w:numPr>
          <w:ilvl w:val="0"/>
          <w:numId w:val="718"/>
        </w:numPr>
        <w:tabs>
          <w:tab w:val="left" w:pos="851"/>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неформальні зустрічі, тимбілдинги, святкування спільних досягнень — особливо важливі в гібридних форматах роботи, де відсутність фізичної присутності може посилювати відчуття ізоляції.</w:t>
      </w:r>
    </w:p>
    <w:p w14:paraId="207EB333"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Особливої уваги потребує ситуація в гібридних командах. У таких структурах конфлікти часто виникають через асиметричний доступ до інформації, відсутність випадкової взаємодії («коридорного спілкування») та розмитість меж комунікації. Успішні бізнес-структури впроваджують практики digital-first комунікацій: єдині цифрові канали, календарі доступності, прозорі правила онлайн-взаємодії, щотижневі статус-наради.</w:t>
      </w:r>
    </w:p>
    <w:p w14:paraId="37AD6E11" w14:textId="3152137A"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Отже, конфлікти в бізнес-структурах - це не лише виклик, а й можливість. Превентивне управління конфліктами через комплексну систему заходів дозволяє перетворити внутрішні суперечності на </w:t>
      </w:r>
      <w:r w:rsidRPr="00511005">
        <w:rPr>
          <w:rFonts w:ascii="Arial" w:eastAsia="Times New Roman" w:hAnsi="Arial" w:cs="Arial"/>
          <w:szCs w:val="28"/>
          <w:lang w:val="uk-UA" w:eastAsia="ru-RU"/>
        </w:rPr>
        <w:lastRenderedPageBreak/>
        <w:t>каталізатор розвитку, зміцнити команду, підвищити лояльність персоналу та підсилити репутацію компанії на ринку.</w:t>
      </w:r>
    </w:p>
    <w:p w14:paraId="34C20BEF" w14:textId="135096C9" w:rsidR="003510C8" w:rsidRPr="00511005" w:rsidRDefault="003510C8" w:rsidP="003A292D">
      <w:pPr>
        <w:spacing w:line="264" w:lineRule="auto"/>
        <w:rPr>
          <w:rFonts w:ascii="Arial" w:eastAsia="Times New Roman" w:hAnsi="Arial" w:cs="Arial"/>
          <w:szCs w:val="28"/>
          <w:lang w:val="uk-UA" w:eastAsia="ru-RU"/>
        </w:rPr>
      </w:pPr>
    </w:p>
    <w:p w14:paraId="15B55106" w14:textId="30464BC6" w:rsidR="003510C8" w:rsidRPr="00511005" w:rsidRDefault="007B2628" w:rsidP="007B2628">
      <w:pPr>
        <w:spacing w:line="264" w:lineRule="auto"/>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082005B0" w14:textId="77777777" w:rsidR="00AE57E7" w:rsidRPr="00511005" w:rsidRDefault="00AE57E7" w:rsidP="003F6A5D">
      <w:pPr>
        <w:numPr>
          <w:ilvl w:val="0"/>
          <w:numId w:val="715"/>
        </w:numPr>
        <w:tabs>
          <w:tab w:val="num"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Біловодська О. А., Кириченко Т. В. Управління конфліктами в системі управління людським потенціалом підприємств. Економіка і суспільство. 2017. Вип. 10. С. 177–182.</w:t>
      </w:r>
    </w:p>
    <w:p w14:paraId="4F86D760" w14:textId="77777777" w:rsidR="00AE57E7" w:rsidRPr="00511005" w:rsidRDefault="00AE57E7" w:rsidP="003F6A5D">
      <w:pPr>
        <w:numPr>
          <w:ilvl w:val="0"/>
          <w:numId w:val="715"/>
        </w:numPr>
        <w:tabs>
          <w:tab w:val="num"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Ващенко І. В. Конфлікти: сучасний стан, проблеми та напрямки їх вирішення в органах внутрішніх справ : монографія. Харків: ОВС, 2002. 256 с.</w:t>
      </w:r>
    </w:p>
    <w:p w14:paraId="03015EB0" w14:textId="77777777" w:rsidR="00AE57E7" w:rsidRPr="00511005" w:rsidRDefault="00AE57E7" w:rsidP="003F6A5D">
      <w:pPr>
        <w:numPr>
          <w:ilvl w:val="0"/>
          <w:numId w:val="715"/>
        </w:numPr>
        <w:tabs>
          <w:tab w:val="num"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Ачкасова Л. М., Водолажська Т. О., Бекетов Ю. О. Управління конфліктами на підприємствах. Економіка транспортного комплексу. 2022. Вип. 40. С. 22–34.</w:t>
      </w:r>
    </w:p>
    <w:p w14:paraId="669A2D1F" w14:textId="77777777" w:rsidR="00AE57E7" w:rsidRPr="00511005" w:rsidRDefault="00AE57E7" w:rsidP="003F6A5D">
      <w:pPr>
        <w:numPr>
          <w:ilvl w:val="0"/>
          <w:numId w:val="715"/>
        </w:numPr>
        <w:tabs>
          <w:tab w:val="num"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Ведмідь Я. О. Управління персоналом підприємства. Миколаїв: ЧНУ ім. Петра Могили, 2021. 92 с.</w:t>
      </w:r>
    </w:p>
    <w:p w14:paraId="43C1FE64" w14:textId="77777777" w:rsidR="00AE57E7" w:rsidRPr="00511005" w:rsidRDefault="00AE57E7" w:rsidP="003A292D">
      <w:pPr>
        <w:spacing w:line="264" w:lineRule="auto"/>
        <w:rPr>
          <w:rFonts w:ascii="Arial" w:eastAsia="Calibri" w:hAnsi="Arial" w:cs="Arial"/>
          <w:szCs w:val="28"/>
          <w:lang w:val="uk-UA" w:eastAsia="ru-RU"/>
        </w:rPr>
      </w:pPr>
    </w:p>
    <w:p w14:paraId="0449240A" w14:textId="26DC0145" w:rsidR="00AE57E7" w:rsidRPr="00511005" w:rsidRDefault="007B2628" w:rsidP="003A292D">
      <w:pPr>
        <w:spacing w:line="264" w:lineRule="auto"/>
        <w:rPr>
          <w:rFonts w:ascii="Arial" w:eastAsia="Calibri" w:hAnsi="Arial" w:cs="Arial"/>
          <w:szCs w:val="28"/>
          <w:lang w:val="uk-UA" w:eastAsia="ru-RU"/>
        </w:rPr>
      </w:pPr>
      <w:r w:rsidRPr="00511005">
        <w:rPr>
          <w:rFonts w:ascii="Arial" w:eastAsia="Calibri" w:hAnsi="Arial" w:cs="Arial"/>
          <w:b/>
          <w:bCs/>
          <w:i/>
          <w:szCs w:val="28"/>
          <w:lang w:val="uk-UA" w:eastAsia="ru-RU"/>
        </w:rPr>
        <w:t xml:space="preserve">Ключові слова: </w:t>
      </w:r>
      <w:r w:rsidR="00AE57E7" w:rsidRPr="00511005">
        <w:rPr>
          <w:rFonts w:ascii="Arial" w:eastAsia="Calibri" w:hAnsi="Arial" w:cs="Arial"/>
          <w:szCs w:val="28"/>
          <w:lang w:val="uk-UA" w:eastAsia="ru-RU"/>
        </w:rPr>
        <w:t>бренд-менеджмент, комунікаційна стратегія, бренд-архітектура, цифрова трансформація, соціальні медіа, репутаційний капітал, маркетингові комунікації, соціальна відповідальність, локальні бренди.</w:t>
      </w:r>
    </w:p>
    <w:p w14:paraId="04F841B8" w14:textId="4E6950B8" w:rsidR="00AE57E7" w:rsidRPr="00511005" w:rsidRDefault="007B2628" w:rsidP="003A292D">
      <w:pPr>
        <w:spacing w:line="264" w:lineRule="auto"/>
        <w:rPr>
          <w:rFonts w:ascii="Arial" w:eastAsia="Calibri" w:hAnsi="Arial" w:cs="Arial"/>
          <w:szCs w:val="28"/>
          <w:lang w:val="uk-UA" w:eastAsia="ru-RU"/>
        </w:rPr>
      </w:pPr>
      <w:r w:rsidRPr="00511005">
        <w:rPr>
          <w:rFonts w:ascii="Arial" w:eastAsia="Calibri" w:hAnsi="Arial" w:cs="Arial"/>
          <w:b/>
          <w:bCs/>
          <w:i/>
          <w:szCs w:val="28"/>
          <w:lang w:val="uk-UA" w:eastAsia="ru-RU"/>
        </w:rPr>
        <w:t xml:space="preserve">Key words: </w:t>
      </w:r>
      <w:r w:rsidR="00AE57E7" w:rsidRPr="00511005">
        <w:rPr>
          <w:rFonts w:ascii="Arial" w:eastAsia="Calibri" w:hAnsi="Arial" w:cs="Arial"/>
          <w:szCs w:val="28"/>
          <w:lang w:val="uk-UA" w:eastAsia="ru-RU"/>
        </w:rPr>
        <w:t>preventive conflict management, corporate culture, constructive conflicts, destructive conflicts, reputational damage, team building, hybrid teams, digital communications, conflict analytics.</w:t>
      </w:r>
    </w:p>
    <w:p w14:paraId="42FDD828" w14:textId="2A675FFA" w:rsidR="00AE57E7" w:rsidRPr="00511005" w:rsidRDefault="007B2628" w:rsidP="003A292D">
      <w:pPr>
        <w:spacing w:line="264" w:lineRule="auto"/>
        <w:rPr>
          <w:rFonts w:ascii="Arial" w:eastAsia="Calibri" w:hAnsi="Arial" w:cs="Arial"/>
          <w:i/>
          <w:iCs/>
          <w:szCs w:val="28"/>
          <w:lang w:val="uk-UA" w:eastAsia="ru-RU"/>
        </w:rPr>
      </w:pPr>
      <w:r w:rsidRPr="00511005">
        <w:rPr>
          <w:rFonts w:ascii="Arial" w:eastAsia="Calibri" w:hAnsi="Arial" w:cs="Arial"/>
          <w:b/>
          <w:i/>
          <w:iCs/>
          <w:szCs w:val="28"/>
          <w:lang w:val="uk-UA" w:eastAsia="ru-RU"/>
        </w:rPr>
        <w:t xml:space="preserve">Науковий керівник: </w:t>
      </w:r>
      <w:r w:rsidR="00AE57E7" w:rsidRPr="00511005">
        <w:rPr>
          <w:rFonts w:ascii="Arial" w:eastAsia="Calibri" w:hAnsi="Arial" w:cs="Arial"/>
          <w:i/>
          <w:iCs/>
          <w:szCs w:val="28"/>
          <w:lang w:val="uk-UA" w:eastAsia="ru-RU"/>
        </w:rPr>
        <w:t>к.е.н., доцент Котлубай В.О.</w:t>
      </w:r>
    </w:p>
    <w:p w14:paraId="1F5A45BC" w14:textId="77777777" w:rsidR="00AE57E7" w:rsidRPr="00511005" w:rsidRDefault="00AE57E7" w:rsidP="003A292D">
      <w:pPr>
        <w:spacing w:line="264" w:lineRule="auto"/>
        <w:rPr>
          <w:rFonts w:ascii="Arial" w:eastAsia="Times New Roman" w:hAnsi="Arial" w:cs="Arial"/>
          <w:szCs w:val="28"/>
          <w:lang w:val="uk-UA" w:eastAsia="ru-RU"/>
        </w:rPr>
      </w:pPr>
    </w:p>
    <w:p w14:paraId="6531F08C" w14:textId="23FDA280" w:rsidR="00AE57E7" w:rsidRPr="00511005" w:rsidRDefault="00AE57E7" w:rsidP="003A292D">
      <w:pPr>
        <w:spacing w:line="264" w:lineRule="auto"/>
        <w:ind w:firstLine="0"/>
        <w:jc w:val="left"/>
        <w:rPr>
          <w:rFonts w:ascii="Arial" w:eastAsia="Times New Roman" w:hAnsi="Arial" w:cs="Arial"/>
          <w:b/>
          <w:i/>
          <w:szCs w:val="28"/>
          <w:lang w:val="uk-UA" w:eastAsia="ru-RU"/>
        </w:rPr>
      </w:pPr>
    </w:p>
    <w:p w14:paraId="47E60DFD" w14:textId="77777777" w:rsidR="00AE57E7" w:rsidRPr="00511005" w:rsidRDefault="00AE57E7"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Голота Дарина Євгенівна</w:t>
      </w:r>
    </w:p>
    <w:p w14:paraId="5FB388A9" w14:textId="5A74FDCA" w:rsidR="00AE57E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4-го курсу факультету адвокатури та антикорупційної діяльності</w:t>
      </w:r>
      <w:r w:rsidR="00AE57E7"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058EAEDD" w14:textId="77777777" w:rsidR="00AE57E7" w:rsidRPr="00511005" w:rsidRDefault="00AE57E7" w:rsidP="003A292D">
      <w:pPr>
        <w:keepNext/>
        <w:spacing w:line="264" w:lineRule="auto"/>
        <w:ind w:firstLine="0"/>
        <w:jc w:val="center"/>
        <w:rPr>
          <w:rFonts w:ascii="Arial" w:eastAsia="Times New Roman" w:hAnsi="Arial" w:cs="Arial"/>
          <w:i/>
          <w:szCs w:val="28"/>
          <w:lang w:val="uk-UA" w:eastAsia="ru-RU"/>
        </w:rPr>
      </w:pPr>
    </w:p>
    <w:p w14:paraId="4DD7043D" w14:textId="77777777" w:rsidR="00AE57E7" w:rsidRPr="00511005" w:rsidRDefault="00AE57E7" w:rsidP="003A292D">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 xml:space="preserve">ПІДВИЩЕННЯ ЕФЕКТИВНОСТІ УПРАВЛІННЯ КОМАНДОЮ </w:t>
      </w:r>
    </w:p>
    <w:p w14:paraId="4CCA7B97" w14:textId="77777777" w:rsidR="00AE57E7" w:rsidRPr="00511005" w:rsidRDefault="00AE57E7" w:rsidP="003A292D">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В УМОВАХ НЕСТАБІЛЬНОСТІ</w:t>
      </w:r>
    </w:p>
    <w:p w14:paraId="0EF42B1F"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Економічна нестабільність, війна, ринкові коливання та соціальні зміни вимагають від компаній швидкої адаптації, гнучкості й стійкості. Команди є основою операційної діяльності, від їхньої ефективності залежить здатність організації досягати цілей у кризових умовах. Нестабільність ускладнює координацію, мотивацію та продуктивність, що робить необхідним пошук нових підходів до управління. Дослідження цієї теми дозволяє розробити рішення для підвищення результативності функціонування команд, що є критично важливим для збереження конкурентоспроможності бізнесу у період невизначеності. </w:t>
      </w:r>
    </w:p>
    <w:p w14:paraId="482700E1"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lastRenderedPageBreak/>
        <w:t>Команда визначається як група людей, об’єднаних спільною метою, завданнями та цінностями, які координують свої дії для досягнення високих результатів. Ознаками команди є спільна мета та завдання, координація дій, взаємна довіра та відкритість, підтримка та взаємодопомога, спільне прийняття рішень та відповідальність за кінцевий результат. Відповідно, на відміну від простої групи, команда вирізняється взаємодією, згуртованістю та синергетичним ефектом, де спільна робота перевищує суму індивідуальних зусиль [1, 2].</w:t>
      </w:r>
    </w:p>
    <w:p w14:paraId="1B598F8F"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Команда відіграє центральну роль у діяльності організації, забезпечуючи виконання стратегічних і оперативних завдань, підвищення продуктивності та інноваційність. У сучасному бізнесі, де швидкість адаптації до змін є критично важливою, команди стають інструментом реалізації складних проєктів і джерелом творчих рішень. Вони сприяють ефективному розподілу ресурсів, зниженню витрат і мінімізації помилок завдяки чіткій координації. Крім того, командна робота підвищує мотивацію працівників через відчуття причетності та взаємопідтримку, що позитивно впливає на загальну атмосферу й корпоративну культуру організації. У нестабільних умовах команди забезпечують гнучкість і стійкість, дозволяючи швидко реагувати на зовнішні виклики, такі як економічні кризи чи технологічні зміни.</w:t>
      </w:r>
    </w:p>
    <w:p w14:paraId="55E50FEE"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Основи управління командою базуються на чіткому визначенні цілей, розподілі ролей, ефективній комунікації та мотивації. Лідер відіграє ключову роль, створюючи умови для злагодженої роботи, вирішення конфліктів і адаптації до змін. </w:t>
      </w:r>
    </w:p>
    <w:p w14:paraId="4FA0F307" w14:textId="77777777" w:rsidR="00AE57E7" w:rsidRPr="00511005" w:rsidRDefault="00AE57E7"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rPr>
        <w:t xml:space="preserve">У нестабільному середовищі управління набуває особливої специфіки: пріоритетність завдань, прозора комунікація, емоційна підтримка, гнучкість процесів і автономія стають принципами, що забезпечують виживання та продуктивність. </w:t>
      </w:r>
      <w:r w:rsidRPr="00511005">
        <w:rPr>
          <w:rFonts w:ascii="Arial" w:eastAsia="Times New Roman" w:hAnsi="Arial" w:cs="Arial"/>
          <w:szCs w:val="28"/>
          <w:lang w:val="uk-UA" w:eastAsia="uk-UA"/>
        </w:rPr>
        <w:t>Ці принципи формують адаптивну систему управління, де пріоритетність і гнучкість забезпечують виживання, комунікація й автономія прискорюють реакцію на зміни, а емоційна підтримка зберігає людський потенціал. Їхня ефективність залежить від уміння менеджерів балансувати між контролем і свободою, а також між короткостроковими діями та довгостроковою стійкістю, що робить їх універсальними для будь-якої кризової ситуації [3].</w:t>
      </w:r>
    </w:p>
    <w:p w14:paraId="6C983E04"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Теорія організаційної стійкості підкреслює важливість швидкої адаптації та згуртованості, а ситуаційне лідерство дозволяє коригувати стиль управління залежно від обставин [4]. Відповідно до цього, створення крос-функціональних команд із спеціалістів різних підрозділів компанії для оперативної реорганізації в умовах нестабільності здатне прискорити прийняття рішень, знизити залежність від окремих працівників, сприяти адаптації команди через спільну відповідальність і взаємопідтримку, а також зменшити страх перед змінами завдяки регулярним тренуванням. У </w:t>
      </w:r>
      <w:r w:rsidRPr="00511005">
        <w:rPr>
          <w:rFonts w:ascii="Arial" w:eastAsia="Times New Roman" w:hAnsi="Arial" w:cs="Arial"/>
          <w:szCs w:val="28"/>
          <w:lang w:val="uk-UA"/>
        </w:rPr>
        <w:lastRenderedPageBreak/>
        <w:t>нестабільному середовищі швидкість реакції є критичною [5]. Крос-функціональні команди об’єднують експертизу з різних сфер, дозволяючи оперативно аналізувати ситуацію з різних перспектив і знаходити комплексні рішення. «Кризові групи» можуть у реальному часі узгоджувати перерозподіл ресурсів. Це усуває затримки, пов’язані з вертикальною комунікацією між підрозділами, що підтверджується теорією кризового менеджменту про необхідність швидкого реагування [5].</w:t>
      </w:r>
    </w:p>
    <w:p w14:paraId="278FFD91"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Нестабільність у діяльності сучасних українських компаній призводить до дефіциту персоналу через міграцію чи мобілізацію, що робить компанії вразливими до втрати ключових спеціалістів. Крос-функціональні команди розподіляють знання та навички між учасниками. Це знижує ризик зупинки процесів через відсутність одного працівника, адже команда здатна компенсувати прогалини. Теорія організаційної стійкості підкреслює важливість децентралізації компетенцій для підвищення гнучкості, що особливо актуально для компанії у кризових умовах [4].</w:t>
      </w:r>
    </w:p>
    <w:p w14:paraId="59FF5C8C"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У компанії невизначеність щодо ролей і страх перед змінами демотивують працівників, особливо коли вони змушені освоювати нові інструменти та адаптуватися до змін. Крос-функціональні команди створюють середовище спільної відповідальності, де учасники підтримують одне одного, обмінюються досвідом і разом долають труднощі. Це відповідає </w:t>
      </w:r>
      <w:r w:rsidRPr="00511005">
        <w:rPr>
          <w:rFonts w:ascii="Arial" w:eastAsia="Times New Roman" w:hAnsi="Arial" w:cs="Arial"/>
          <w:szCs w:val="28"/>
          <w:lang w:val="en-US"/>
        </w:rPr>
        <w:t>ghbywbgfv</w:t>
      </w:r>
      <w:r w:rsidRPr="00511005">
        <w:rPr>
          <w:rFonts w:ascii="Arial" w:eastAsia="Times New Roman" w:hAnsi="Arial" w:cs="Arial"/>
          <w:szCs w:val="28"/>
          <w:lang w:val="uk-UA"/>
        </w:rPr>
        <w:t xml:space="preserve"> командної динаміки, де згуртованість (етап «нормалізації») підвищує продуктивність. </w:t>
      </w:r>
    </w:p>
    <w:p w14:paraId="348E3B88"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Регулярні тренування крос-функціональних «кризових груп» у вигляді симуляції перерозподілу завдань чи роботи з новими завданнями дозволять працівникам відпрацьовувати навички в безпечному середовищі. Це знижує опір змінам, оскільки команда набуває впевненості у своїй здатності справлятися з нестандартними ситуаціями. Розвиток компетенцій (фактор «досягнення») підвищує внутрішню мотивацію. У компанії такі тренування можуть допомогти працівникам почуватися підготовленими до раптових змін.</w:t>
      </w:r>
    </w:p>
    <w:p w14:paraId="4F8E8D9F"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Створення крос-функціональних команд із спеціалістів різних підрозділів компанії для оперативної реорганізації в умовах нестабільності має операційні та значні економічні переваги. Такий підхід дозволяє знизити витрати, підвищити доходи та оптимізувати ресурси, що робить його економічно виправданим. Крос-функціональні команди, які оперативно перерозподіляють завдання в реальному часі, мінімізують затримки. </w:t>
      </w:r>
    </w:p>
    <w:p w14:paraId="2ADBF5F6"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Крос-функціональні команди, підкріплені технологіями та підтримкою, забезпечують компанії операційну стійкість і фінансовий зиск, трансформуючи виклики нестабільності в можливості для розвитку. Формування таких команд має довгострокові переваги: зниження залежності від окремих працівників через розподіл знань, оптимізацію ресурсів і підвищення продуктивності сприяють стійкості компанії у кризових умовах. </w:t>
      </w:r>
      <w:r w:rsidRPr="00511005">
        <w:rPr>
          <w:rFonts w:ascii="Arial" w:eastAsia="Times New Roman" w:hAnsi="Arial" w:cs="Arial"/>
          <w:szCs w:val="28"/>
          <w:lang w:val="uk-UA"/>
        </w:rPr>
        <w:lastRenderedPageBreak/>
        <w:t>Незважаючи на обмеження, такі як потреба в початковій організації та час на адаптацію, витрати на створення та функціонування таких команд є виправданими, враховуючи швидке повернення інвестицій і значний фінансовий ефект.</w:t>
      </w:r>
    </w:p>
    <w:p w14:paraId="5377B91B"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Таким чином, нестабільність вимагає від компанії швидкого реагування на ринкові зміни. Крос-функціональні команди прискорюють рішення. Створення крос-функціональних команд знижує залежність від окремих працівників і підвищує гнучкість. У компанії такі команди можуть оперативно вирішувати проблеми у кризових ситуаціях. Регулярні тренування цих команд зменшують страх перед змінами, сприяючи адаптації через згуртованість і впевненість працівників. Сучасні команди з спільними цілями та координацією, підкріплені крос-функціональністю, підвищують ефективність управління бізнес-структурами в умовах нестабільності, забезпечуючи адаптивність, конкурентоспроможність і високий рівень прибутковості. </w:t>
      </w:r>
    </w:p>
    <w:p w14:paraId="33051960"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Ефективна команда є основою успіху організації, а її управління в умовах нестабільності вимагає балансу між контролем і свободою, фокусом на ключових задачах і підтримкою людського потенціалу. </w:t>
      </w:r>
    </w:p>
    <w:p w14:paraId="65AB462C" w14:textId="77777777" w:rsidR="00AE57E7" w:rsidRPr="00511005" w:rsidRDefault="00AE57E7" w:rsidP="003A292D">
      <w:pPr>
        <w:spacing w:line="264" w:lineRule="auto"/>
        <w:rPr>
          <w:rFonts w:ascii="Arial" w:eastAsia="Calibri" w:hAnsi="Arial" w:cs="Arial"/>
          <w:szCs w:val="28"/>
          <w:lang w:val="uk-UA"/>
        </w:rPr>
      </w:pPr>
    </w:p>
    <w:p w14:paraId="76AFFF11" w14:textId="07AEB07D" w:rsidR="00AE57E7" w:rsidRPr="00511005" w:rsidRDefault="007B2628" w:rsidP="007B2628">
      <w:pPr>
        <w:keepNext/>
        <w:widowControl w:val="0"/>
        <w:spacing w:line="264" w:lineRule="auto"/>
        <w:ind w:left="36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58D91D65"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1. Куряча Н.В. Тимбілдинг на підприємстві: сутність і призначення. Причорноморські економічні студії. 2023. № 79. С. 114–118.</w:t>
      </w:r>
    </w:p>
    <w:p w14:paraId="1C498D07"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2. Ливч Д. Як створити ефективну команду. URL: https://buduysvoe.com/publications/yak-stvoryty-efektyvnu-komandu. </w:t>
      </w:r>
    </w:p>
    <w:p w14:paraId="4CB3F725" w14:textId="77777777" w:rsidR="00AE57E7" w:rsidRPr="00511005" w:rsidRDefault="00AE57E7"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eastAsia="uk-UA"/>
        </w:rPr>
        <w:t>3</w:t>
      </w:r>
      <w:r w:rsidRPr="00511005">
        <w:rPr>
          <w:rFonts w:ascii="Arial" w:eastAsia="Times New Roman" w:hAnsi="Arial" w:cs="Arial"/>
          <w:szCs w:val="28"/>
          <w:lang w:val="uk-UA" w:eastAsia="uk-UA"/>
        </w:rPr>
        <w:t xml:space="preserve">. Корнілова О.В., Кузнєцова Л.В. Управління персоналом. Тайм-менеджмент: навч.-метод. посібник [Електронне видання]; нац. ун-т «Одеська юридична академія». Одеса: Фенікс, 2024. 108 с. </w:t>
      </w:r>
      <w:r w:rsidRPr="00511005">
        <w:rPr>
          <w:rFonts w:ascii="Arial" w:eastAsia="Times New Roman" w:hAnsi="Arial" w:cs="Arial"/>
          <w:szCs w:val="28"/>
          <w:lang w:val="en-US" w:eastAsia="uk-UA"/>
        </w:rPr>
        <w:t>URL</w:t>
      </w:r>
      <w:r w:rsidRPr="00511005">
        <w:rPr>
          <w:rFonts w:ascii="Arial" w:eastAsia="Times New Roman" w:hAnsi="Arial" w:cs="Arial"/>
          <w:szCs w:val="28"/>
          <w:lang w:val="uk-UA" w:eastAsia="uk-UA"/>
        </w:rPr>
        <w:t xml:space="preserve">: </w:t>
      </w:r>
      <w:hyperlink r:id="rId2470" w:history="1">
        <w:r w:rsidRPr="00511005">
          <w:rPr>
            <w:rFonts w:ascii="Arial" w:eastAsia="Times New Roman" w:hAnsi="Arial" w:cs="Arial"/>
            <w:szCs w:val="28"/>
            <w:lang w:val="uk-UA" w:eastAsia="uk-UA"/>
          </w:rPr>
          <w:t>https://hdl.handle.net/11300/27829</w:t>
        </w:r>
      </w:hyperlink>
    </w:p>
    <w:p w14:paraId="2F1D29B9" w14:textId="184F0D15" w:rsidR="00AE57E7" w:rsidRPr="00511005" w:rsidRDefault="00AE57E7" w:rsidP="003A292D">
      <w:pPr>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w:t>
      </w:r>
      <w:r w:rsidRPr="00511005">
        <w:rPr>
          <w:rFonts w:ascii="Arial" w:eastAsia="Calibri" w:hAnsi="Arial" w:cs="Arial"/>
          <w:szCs w:val="28"/>
          <w:lang w:val="uk-UA"/>
        </w:rPr>
        <w:t>Монастирський Г.Л. Теорія організації: підручник. 2-е видання, доповнене й перероблене. Тернопіль: ЗУНУ, 2020. 329 с.</w:t>
      </w:r>
      <w:r w:rsidR="007B2628" w:rsidRPr="00511005">
        <w:rPr>
          <w:rFonts w:ascii="Arial" w:eastAsia="Times New Roman" w:hAnsi="Arial" w:cs="Arial"/>
          <w:szCs w:val="28"/>
          <w:lang w:val="uk-UA" w:eastAsia="uk-UA"/>
        </w:rPr>
        <w:t xml:space="preserve"> </w:t>
      </w:r>
    </w:p>
    <w:p w14:paraId="0CD66B89" w14:textId="77777777" w:rsidR="00AE57E7" w:rsidRPr="00511005" w:rsidRDefault="00AE57E7" w:rsidP="003A292D">
      <w:pPr>
        <w:spacing w:line="264" w:lineRule="auto"/>
        <w:rPr>
          <w:rFonts w:ascii="Arial" w:eastAsia="Times New Roman" w:hAnsi="Arial" w:cs="Arial"/>
          <w:szCs w:val="28"/>
          <w:lang w:val="uk-UA" w:eastAsia="uk-UA"/>
        </w:rPr>
      </w:pPr>
      <w:r w:rsidRPr="00511005">
        <w:rPr>
          <w:rFonts w:ascii="Arial" w:eastAsia="Calibri" w:hAnsi="Arial" w:cs="Arial"/>
          <w:bCs/>
          <w:szCs w:val="28"/>
          <w:lang w:val="uk-UA"/>
        </w:rPr>
        <w:t xml:space="preserve">5. </w:t>
      </w:r>
      <w:r w:rsidRPr="00511005">
        <w:rPr>
          <w:rFonts w:ascii="Arial" w:eastAsia="Times New Roman" w:hAnsi="Arial" w:cs="Arial"/>
          <w:bCs/>
          <w:szCs w:val="28"/>
          <w:lang w:val="uk-UA" w:eastAsia="uk-UA"/>
        </w:rPr>
        <w:t>Кібік О., Котлубай В., Белоус К., Корнілова О., Калмикова Н., Кузнецова Л. Розробка та реалізація стратегічних рішень в умовах змін: навчальний посібник. Одеса: Електронне</w:t>
      </w:r>
      <w:r w:rsidRPr="00511005">
        <w:rPr>
          <w:rFonts w:ascii="Arial" w:eastAsia="Times New Roman" w:hAnsi="Arial" w:cs="Arial"/>
          <w:szCs w:val="28"/>
          <w:lang w:val="uk-UA" w:eastAsia="uk-UA"/>
        </w:rPr>
        <w:t xml:space="preserve"> видання. 2024. 216 с.</w:t>
      </w:r>
    </w:p>
    <w:p w14:paraId="18E82BA2" w14:textId="77777777" w:rsidR="00AE57E7" w:rsidRPr="00511005" w:rsidRDefault="00AE57E7" w:rsidP="003A292D">
      <w:pPr>
        <w:spacing w:line="264" w:lineRule="auto"/>
        <w:rPr>
          <w:rFonts w:ascii="Arial" w:eastAsia="Calibri" w:hAnsi="Arial" w:cs="Arial"/>
          <w:b/>
          <w:szCs w:val="28"/>
          <w:lang w:val="uk-UA"/>
        </w:rPr>
      </w:pPr>
    </w:p>
    <w:p w14:paraId="1DDE968F" w14:textId="0D000AF7"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szCs w:val="28"/>
          <w:lang w:val="uk-UA"/>
        </w:rPr>
        <w:t>управління, команда, управління командою, цифровізація, нестабільність, ефективність.</w:t>
      </w:r>
    </w:p>
    <w:p w14:paraId="7F42A1F8" w14:textId="778D2F0A"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Key words: </w:t>
      </w:r>
      <w:r w:rsidR="00AE57E7" w:rsidRPr="00511005">
        <w:rPr>
          <w:rFonts w:ascii="Arial" w:eastAsia="Calibri" w:hAnsi="Arial" w:cs="Arial"/>
          <w:szCs w:val="28"/>
          <w:lang w:val="en-US"/>
        </w:rPr>
        <w:t>m</w:t>
      </w:r>
      <w:r w:rsidR="00AE57E7" w:rsidRPr="00511005">
        <w:rPr>
          <w:rFonts w:ascii="Arial" w:eastAsia="Calibri" w:hAnsi="Arial" w:cs="Arial"/>
          <w:szCs w:val="28"/>
          <w:lang w:val="uk-UA"/>
        </w:rPr>
        <w:t>anagement</w:t>
      </w:r>
      <w:r w:rsidR="00AE57E7" w:rsidRPr="00511005">
        <w:rPr>
          <w:rFonts w:ascii="Arial" w:eastAsia="Calibri" w:hAnsi="Arial" w:cs="Arial"/>
          <w:szCs w:val="28"/>
          <w:lang w:val="en-US"/>
        </w:rPr>
        <w:t>, team, team management, d</w:t>
      </w:r>
      <w:r w:rsidR="00AE57E7" w:rsidRPr="00511005">
        <w:rPr>
          <w:rFonts w:ascii="Arial" w:eastAsia="Calibri" w:hAnsi="Arial" w:cs="Arial"/>
          <w:szCs w:val="28"/>
          <w:lang w:val="uk-UA"/>
        </w:rPr>
        <w:t>igitalization</w:t>
      </w:r>
      <w:r w:rsidR="00AE57E7" w:rsidRPr="00511005">
        <w:rPr>
          <w:rFonts w:ascii="Arial" w:eastAsia="Calibri" w:hAnsi="Arial" w:cs="Arial"/>
          <w:szCs w:val="28"/>
          <w:lang w:val="en-US"/>
        </w:rPr>
        <w:t>, instability, efficiency.</w:t>
      </w:r>
    </w:p>
    <w:p w14:paraId="3A4CA5E0" w14:textId="705ABA6B"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Науковий керівник: </w:t>
      </w:r>
      <w:r w:rsidR="00AE57E7" w:rsidRPr="00511005">
        <w:rPr>
          <w:rFonts w:ascii="Arial" w:eastAsia="Calibri" w:hAnsi="Arial" w:cs="Arial"/>
          <w:i/>
          <w:szCs w:val="28"/>
          <w:lang w:val="uk-UA"/>
        </w:rPr>
        <w:t>д.е.н., професор Кібік О.М.</w:t>
      </w:r>
    </w:p>
    <w:p w14:paraId="298442BD" w14:textId="77777777" w:rsidR="00AE57E7" w:rsidRPr="00511005" w:rsidRDefault="00AE57E7" w:rsidP="003A292D">
      <w:pPr>
        <w:spacing w:line="264" w:lineRule="auto"/>
        <w:rPr>
          <w:rFonts w:ascii="Arial" w:eastAsia="Calibri" w:hAnsi="Arial" w:cs="Arial"/>
          <w:szCs w:val="28"/>
          <w:lang w:val="uk-UA"/>
        </w:rPr>
      </w:pPr>
    </w:p>
    <w:p w14:paraId="5201279F" w14:textId="77777777" w:rsidR="00AE57E7" w:rsidRPr="00511005" w:rsidRDefault="00AE57E7" w:rsidP="003A292D">
      <w:pPr>
        <w:spacing w:line="264" w:lineRule="auto"/>
        <w:ind w:firstLine="0"/>
        <w:jc w:val="left"/>
        <w:rPr>
          <w:rFonts w:ascii="Arial" w:eastAsia="Calibri" w:hAnsi="Arial" w:cs="Arial"/>
          <w:b/>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br w:type="page"/>
      </w:r>
    </w:p>
    <w:p w14:paraId="1159EC3C" w14:textId="77777777" w:rsidR="00AE57E7" w:rsidRPr="00511005" w:rsidRDefault="00AE57E7" w:rsidP="003A292D">
      <w:pPr>
        <w:spacing w:line="264" w:lineRule="auto"/>
        <w:ind w:firstLine="0"/>
        <w:jc w:val="center"/>
        <w:rPr>
          <w:rFonts w:ascii="Arial" w:eastAsia="Calibri" w:hAnsi="Arial" w:cs="Arial"/>
          <w:b/>
          <w:bCs/>
          <w:i/>
          <w:iCs/>
          <w:kern w:val="2"/>
          <w:szCs w:val="28"/>
          <w:lang w:val="uk-UA"/>
          <w14:ligatures w14:val="standardContextual"/>
        </w:rPr>
      </w:pPr>
      <w:r w:rsidRPr="00511005">
        <w:rPr>
          <w:rFonts w:ascii="Arial" w:eastAsia="Calibri" w:hAnsi="Arial" w:cs="Arial"/>
          <w:b/>
          <w:bCs/>
          <w:i/>
          <w:iCs/>
          <w:kern w:val="2"/>
          <w:szCs w:val="28"/>
          <w:lang w:val="uk-UA"/>
          <w14:ligatures w14:val="standardContextual"/>
        </w:rPr>
        <w:lastRenderedPageBreak/>
        <w:t xml:space="preserve">Гонца Варвара Сергіївна </w:t>
      </w:r>
    </w:p>
    <w:p w14:paraId="41C87BBC" w14:textId="0BCE9869" w:rsidR="00AE57E7" w:rsidRPr="00511005" w:rsidRDefault="00BE3972" w:rsidP="003A292D">
      <w:pPr>
        <w:spacing w:line="264" w:lineRule="auto"/>
        <w:ind w:firstLine="0"/>
        <w:contextualSpacing/>
        <w:mirrorIndents/>
        <w:jc w:val="center"/>
        <w:rPr>
          <w:rFonts w:ascii="Arial" w:eastAsia="Calibri" w:hAnsi="Arial" w:cs="Arial"/>
          <w:iCs/>
          <w:kern w:val="2"/>
          <w:szCs w:val="28"/>
          <w:lang w:val="uk-UA"/>
          <w14:ligatures w14:val="standardContextual"/>
        </w:rPr>
      </w:pPr>
      <w:r w:rsidRPr="00511005">
        <w:rPr>
          <w:rFonts w:ascii="Arial" w:eastAsia="Calibri" w:hAnsi="Arial" w:cs="Arial"/>
          <w:kern w:val="2"/>
          <w:szCs w:val="28"/>
          <w:lang w:val="uk-UA"/>
          <w14:ligatures w14:val="standardContextual"/>
        </w:rPr>
        <w:t xml:space="preserve">студентка 1-го курсу </w:t>
      </w:r>
      <w:r w:rsidR="00536AAB" w:rsidRPr="00511005">
        <w:rPr>
          <w:rFonts w:ascii="Arial" w:eastAsia="Calibri" w:hAnsi="Arial" w:cs="Arial"/>
          <w:kern w:val="2"/>
          <w:szCs w:val="28"/>
          <w:lang w:val="uk-UA"/>
          <w14:ligatures w14:val="standardContextual"/>
        </w:rPr>
        <w:t>факультету адвокатури та антикорупційної діяльності</w:t>
      </w:r>
    </w:p>
    <w:p w14:paraId="433FAF24" w14:textId="18BD0DDD" w:rsidR="00AE57E7" w:rsidRPr="00511005" w:rsidRDefault="007B2628" w:rsidP="003A292D">
      <w:pPr>
        <w:spacing w:line="264" w:lineRule="auto"/>
        <w:ind w:firstLine="0"/>
        <w:contextualSpacing/>
        <w:mirrorIndents/>
        <w:jc w:val="center"/>
        <w:rPr>
          <w:rFonts w:ascii="Arial" w:eastAsia="Calibri" w:hAnsi="Arial" w:cs="Arial"/>
          <w:i/>
          <w:kern w:val="2"/>
          <w:szCs w:val="28"/>
          <w:lang w:val="uk-UA"/>
          <w14:ligatures w14:val="standardContextual"/>
        </w:rPr>
      </w:pPr>
      <w:r w:rsidRPr="00511005">
        <w:rPr>
          <w:rFonts w:ascii="Arial" w:eastAsia="Calibri" w:hAnsi="Arial" w:cs="Arial"/>
          <w:iCs/>
          <w:kern w:val="2"/>
          <w:szCs w:val="28"/>
          <w:lang w:val="uk-UA"/>
          <w14:ligatures w14:val="standardContextual"/>
        </w:rPr>
        <w:t>Національного університету «Одеська юридична академія»</w:t>
      </w:r>
    </w:p>
    <w:p w14:paraId="7D2EDBBB" w14:textId="77777777" w:rsidR="00AE57E7" w:rsidRPr="00511005" w:rsidRDefault="00AE57E7" w:rsidP="003A292D">
      <w:pPr>
        <w:spacing w:line="264" w:lineRule="auto"/>
        <w:ind w:firstLine="0"/>
        <w:jc w:val="center"/>
        <w:rPr>
          <w:rFonts w:ascii="Arial" w:eastAsia="Calibri" w:hAnsi="Arial" w:cs="Arial"/>
          <w:b/>
          <w:bCs/>
          <w:iCs/>
          <w:kern w:val="2"/>
          <w:szCs w:val="28"/>
          <w:lang w:val="uk-UA"/>
          <w14:ligatures w14:val="standardContextual"/>
        </w:rPr>
      </w:pPr>
    </w:p>
    <w:p w14:paraId="09B0851B" w14:textId="77777777" w:rsidR="00AE57E7" w:rsidRPr="00511005" w:rsidRDefault="00AE57E7" w:rsidP="003A292D">
      <w:pPr>
        <w:spacing w:line="264" w:lineRule="auto"/>
        <w:ind w:firstLine="0"/>
        <w:jc w:val="center"/>
        <w:rPr>
          <w:rFonts w:ascii="Arial" w:eastAsia="Calibri" w:hAnsi="Arial" w:cs="Arial"/>
          <w:b/>
          <w:bCs/>
          <w:iCs/>
          <w:kern w:val="2"/>
          <w:szCs w:val="28"/>
          <w:lang w:val="uk-UA"/>
          <w14:ligatures w14:val="standardContextual"/>
        </w:rPr>
      </w:pPr>
      <w:r w:rsidRPr="00511005">
        <w:rPr>
          <w:rFonts w:ascii="Arial" w:eastAsia="Calibri" w:hAnsi="Arial" w:cs="Arial"/>
          <w:b/>
          <w:bCs/>
          <w:iCs/>
          <w:kern w:val="2"/>
          <w:szCs w:val="28"/>
          <w:lang w:val="uk-UA"/>
          <w14:ligatures w14:val="standardContextual"/>
        </w:rPr>
        <w:t>ЦИФРОВА ТРАНСФОРМАЦІЯ ЯК ІНСТРУМЕНТ СТІЙКОСТІ МАЛОГО БІЗНЕСУ В УМОВАХ ВІЙНИ</w:t>
      </w:r>
    </w:p>
    <w:p w14:paraId="53EF0D23"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Повномасштабна війна, яка триває в Україні з 2014 року, стала безпрецедентним викликом для малого бізнесу. Збройна агресія спричинила масштабні руйнування інфраструктури, дестабілізацію економічної ситуації, зменшення обсягів внутрішнього попиту, порушення логістичних ланцюгів і масове вимушене переміщення населення. У таких умовах підприємці змушені шукати нові підходи до збереження економічної активності, адаптації бізнес-процесів та забезпечення мінімальної життєздатності компаній. Цифровізація, як процес, стала не просто інструментом розвитку, а й справжнім рятівним колом в таких умовах. Цифрові технології відкривають для малого бізнесу певні можливості до виживання і відновлення, від використання соціальних мереж для просування, так і до автоматизації процесів продажу. </w:t>
      </w:r>
    </w:p>
    <w:p w14:paraId="14D7D7A0"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Застосування цифрових технологій дозволило багатьом представникам малого бізнесу забезпечити базову функціональність підприємств, переорієнтуватися на нові ринки, оптимізувати витрати та зберегти зв’язок із цільовими споживачами. Зокрема, інструменти цифрового маркетингу, соціальні мережі, електронна комерція, CRM-системи та сервіси автоматизації продажів стали критично важливими для адаптації до нових економічних реалій. Ці технології не лише підвищують гнучкість і мобільність бізнесу, а й створюють підґрунтя для його подальшої трансформації у післявоєнний період. [5]</w:t>
      </w:r>
    </w:p>
    <w:p w14:paraId="3777DBC9"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Серед ключових аспектів, які актуалізувалися у 2022–2024 роках, слід виокремити: економічні виклики; логістичні обмеження; психосоціальні навантаження. </w:t>
      </w:r>
      <w:r w:rsidRPr="00511005">
        <w:rPr>
          <w:rFonts w:ascii="Arial" w:eastAsia="Calibri" w:hAnsi="Arial" w:cs="Arial"/>
          <w:kern w:val="2"/>
          <w:szCs w:val="28"/>
          <w:lang w:val="uk-UA"/>
          <w14:ligatures w14:val="standardContextual"/>
        </w:rPr>
        <w:tab/>
        <w:t>Перш за все, економічна нестабільність стала одним із ключових викликів. Зростання інфляції, знецінення національної валюти та зниження купівельної спроможності населення призвели до скорочення попиту на товари та послуги. Крім того, порушення ланцюгів постачання через бойові дії ускладнило доступ до сировини та товарів, що особливо критично для малого бізнесу з обмеженими ресурсами.</w:t>
      </w:r>
    </w:p>
    <w:p w14:paraId="0C376C83" w14:textId="77777777" w:rsidR="00AE57E7" w:rsidRPr="00511005" w:rsidRDefault="00AE57E7" w:rsidP="003A292D">
      <w:pPr>
        <w:spacing w:line="264" w:lineRule="auto"/>
        <w:rPr>
          <w:rFonts w:ascii="Arial" w:eastAsia="Calibri" w:hAnsi="Arial" w:cs="Arial"/>
          <w:iCs/>
          <w:kern w:val="2"/>
          <w:szCs w:val="28"/>
          <w:lang w:val="uk-UA"/>
          <w14:ligatures w14:val="standardContextual"/>
        </w:rPr>
      </w:pPr>
      <w:r w:rsidRPr="00511005">
        <w:rPr>
          <w:rFonts w:ascii="Arial" w:eastAsia="Calibri" w:hAnsi="Arial" w:cs="Arial"/>
          <w:iCs/>
          <w:kern w:val="2"/>
          <w:szCs w:val="28"/>
          <w:lang w:val="uk-UA"/>
          <w14:ligatures w14:val="standardContextual"/>
        </w:rPr>
        <w:tab/>
        <w:t>Фізичні загрози також є важливим аспектом функціонування малих бізнесів. Бойові дії призвели до руйнування інфраструктури: магазинів, складів, офісів. У містах, таких як Харків чи Херсон, багато малих підприємств втратили свої приміщення. Водночас масове переміщення підприємців і працівників із прифронтової зони до більш безпечних регіонів змусило багатьох залишити бізнес або починати його з нуля, що вимагає значних фінансових витрат і зусиль.</w:t>
      </w:r>
    </w:p>
    <w:p w14:paraId="454AA3CC" w14:textId="77777777" w:rsidR="00AE57E7" w:rsidRPr="00511005" w:rsidRDefault="00AE57E7" w:rsidP="003A292D">
      <w:pPr>
        <w:spacing w:line="264" w:lineRule="auto"/>
        <w:rPr>
          <w:rFonts w:ascii="Arial" w:eastAsia="Calibri" w:hAnsi="Arial" w:cs="Arial"/>
          <w:iCs/>
          <w:kern w:val="2"/>
          <w:szCs w:val="28"/>
          <w:lang w:val="uk-UA"/>
          <w14:ligatures w14:val="standardContextual"/>
        </w:rPr>
      </w:pPr>
      <w:r w:rsidRPr="00511005">
        <w:rPr>
          <w:rFonts w:ascii="Arial" w:eastAsia="Calibri" w:hAnsi="Arial" w:cs="Arial"/>
          <w:iCs/>
          <w:kern w:val="2"/>
          <w:szCs w:val="28"/>
          <w:lang w:val="uk-UA"/>
          <w14:ligatures w14:val="standardContextual"/>
        </w:rPr>
        <w:lastRenderedPageBreak/>
        <w:tab/>
        <w:t>Нарешті, психологічний тиск і постійна напруга додатково ускладнюють ситуацію. Загроза обстрілів, втрата близьких і невизначеність майбутнього створюють з</w:t>
      </w:r>
      <w:r w:rsidRPr="00511005">
        <w:rPr>
          <w:rFonts w:ascii="Arial" w:eastAsia="Times New Roman" w:hAnsi="Arial" w:cs="Arial"/>
          <w:szCs w:val="28"/>
          <w:lang w:val="uk-UA" w:eastAsia="ru-RU"/>
        </w:rPr>
        <w:t xml:space="preserve">начне емоційне навантаження </w:t>
      </w:r>
      <w:r w:rsidRPr="00511005">
        <w:rPr>
          <w:rFonts w:ascii="Arial" w:eastAsia="Calibri" w:hAnsi="Arial" w:cs="Arial"/>
          <w:iCs/>
          <w:kern w:val="2"/>
          <w:szCs w:val="28"/>
          <w:lang w:val="uk-UA"/>
          <w14:ligatures w14:val="standardContextual"/>
        </w:rPr>
        <w:t>для власників і працівників аби продовжувати діяльність. [6]</w:t>
      </w:r>
    </w:p>
    <w:p w14:paraId="5B7AAA8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Calibri" w:hAnsi="Arial" w:cs="Arial"/>
          <w:iCs/>
          <w:kern w:val="2"/>
          <w:szCs w:val="28"/>
          <w:lang w:val="uk-UA"/>
          <w14:ligatures w14:val="standardContextual"/>
        </w:rPr>
        <w:tab/>
      </w:r>
      <w:r w:rsidRPr="00511005">
        <w:rPr>
          <w:rFonts w:ascii="Arial" w:eastAsia="Times New Roman" w:hAnsi="Arial" w:cs="Arial"/>
          <w:szCs w:val="28"/>
          <w:lang w:val="uk-UA" w:eastAsia="ru-RU"/>
        </w:rPr>
        <w:t>У таких умовах цифровізація стала ключовим інструментом, який дозволяє підприємствам зберігати клієнтів, оптимізувати процеси та знаходити нові шляхи до удосконалення. Цифровізація охоплює кілька напрямів: онлайн-присутність, електронна комерція, автоматизація бізнес-процесів та логістики. Саме вони сприяють швидкій адаптації малого бізнесу.</w:t>
      </w:r>
    </w:p>
    <w:p w14:paraId="0BEC68E4"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Times New Roman" w:hAnsi="Arial" w:cs="Arial"/>
          <w:szCs w:val="28"/>
          <w:lang w:val="uk-UA" w:eastAsia="ru-RU"/>
        </w:rPr>
        <w:tab/>
      </w:r>
      <w:r w:rsidRPr="00511005">
        <w:rPr>
          <w:rFonts w:ascii="Arial" w:eastAsia="Calibri" w:hAnsi="Arial" w:cs="Arial"/>
          <w:kern w:val="2"/>
          <w:szCs w:val="28"/>
          <w:lang w:val="uk-UA"/>
          <w14:ligatures w14:val="standardContextual"/>
        </w:rPr>
        <w:t xml:space="preserve">Одним із основних напрямів цифровізації є використання цифрових каналів для просування товарів і послуг. Соціальні мережі та онлайн-платформи дозволяють малим підприємствам створювати віртуальні магазини та взаємодіяти з клієнтами. Такі рішення є доступними для малих підприємств, оскільки не потребують складної технічної інфраструктури чи великих фінансових ресурсів, що особливо важливо в умовах обмежених можливостей. </w:t>
      </w:r>
    </w:p>
    <w:p w14:paraId="0780ABA1"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Розвиток електронної комерції значно спрощує процес виживання малих бізнесів. Онлайн-майданчики надають можливість розширювати ринки збуту, дозволяючи підприємствам продавати товари клієнтам у різних регіонах України. Впровадження цифрових інструментів для обробки платежів спрощує взаємодію з покупцями, підвищуючи їхню довіру та зручність. Це дозволяє малим бізнесам частково компенсувати втрати від скорочення офлайн-продажів і залишатися конкурентоспроможними навіть у складних економічних умовах.</w:t>
      </w:r>
    </w:p>
    <w:p w14:paraId="6E44E6D3"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Автоматизація бізнес-процесів є ще одним важливим аспектом цифровізації. Використання спеціалізованого програмного забезпечення для управління клієнтською базою та продажами допомагає малим підприємствам скорочувати час на рутинні завдання та підвищувати ефективність роботи. Хмарні сервіси забезпечують можливість віддаленої співпраці, що є критично важливим для бізнесів, чиї працівники розкидані по різних регіонах через війну. Вона також охоплює вдосконалення внутрішніх операцій, таких як документообіг і бухгалтерія. Впровадження цифрових рішень для аналізу даних і звітності допомагає малим підприємствам краще розуміти потреби клієнтів і адаптувати свої пропозиції до змін на ринку. Такі технології дозволяють малим бізнесам оптимізувати витрати, підтримувати безперебійну комунікацію, підвищувати продуктивність і ефективніше розподіляти обмежені ресурси, зосереджуючись на стратегічних завданнях навіть у нестабільних умовах.</w:t>
      </w:r>
    </w:p>
    <w:p w14:paraId="6458145A"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Перехід на технології допомагає підприємствам долати поточні виклики війни, підтримувати стабільну діяльність і створювати основу для майбутнього відновлення та розвитку. [1]</w:t>
      </w:r>
    </w:p>
    <w:p w14:paraId="2211A986"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lastRenderedPageBreak/>
        <w:tab/>
        <w:t>Держава та міжнародні партнери відіграють важливу роль у підтримці цифровізації малого бізнесу в Україні, особливо в умовах війни. Державні програми, такі як "єРобота", надають мікрогранти для створення та розвитку бізнесів, що включають фінансування цифрових рішень, як-от придбання програмного забезпечення чи обладнання для онлайн-продажів. Навчальні ініціативи через портал "Дія.Бізнес" допомагають підприємцям опановувати цифрові інструменти, зокрема створення сайтів і маркетинг у соціальних мережах. Крім того, держава сприяє доступу до технологій, надаючи пільгові кредити для модернізації бізнес-процесів, що дозволяє малим підприємствам впроваджувати хмарні сервіси та автоматизацію. [3,4]</w:t>
      </w:r>
    </w:p>
    <w:p w14:paraId="1AA13194"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Міжнародні організації також активно підтримують український малий бізнес. Програми USAID надають гранти для розвитку онлайн-маркетингу, вдосконалення бізнес-процесів і виходу на зовнішні ринки. Google пропонує гранти та хмарні сервіси для стартапів, які створюють цифрові продукти, а Meta проводить тренінги з просування в соціальних мережах. Ці ініціативи допомагають підприємствам адаптуватися до воєнних умов. [2]</w:t>
      </w:r>
    </w:p>
    <w:p w14:paraId="34F7C193"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 xml:space="preserve">Цифровізація малого бізнесу в Україні стикається з низкою викликів, які ускладнюють її впровадження під час війни. Недостатня цифрова грамотність підприємців є одним з основних проблемним питанням. Багато власників малого бізнесу не мають достатніх знань для роботи з онлайн-платформами чи інструментами автоматизації, що обмежує їхню здатність створювати ефективні сайти чи просувати товари в соціальних мережах. </w:t>
      </w:r>
    </w:p>
    <w:p w14:paraId="1FC9F0D5"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Обмежений доступ до фінансів також гальмує цифровізацію. Придбання програмного забезпечення, обладнання чи хмарних сервісів вимагає значних інвестицій, які недоступні для малих підприємств із низькими доходами через економічну нестабільність. Це особливо відчутно для бізнесів у регіонах, де війна знищила основні джерела прибутку.</w:t>
      </w:r>
    </w:p>
    <w:p w14:paraId="2128D959"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Кіберзагрози становлять серйозний ризик у воєнний час. Зростання атак на цифрові платформи ускладнює захист даних клієнтів і фінансової інформації. Малі бізнеси, які не мають ресурсів для впровадження сучасних систем захисту, стають вразливими до витоків інформації.</w:t>
      </w:r>
    </w:p>
    <w:p w14:paraId="3726E720"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Необхідність навчання та адаптації працівників додає складнощів. Впровадження нових технологій вимагає від персоналу освоєння цифрових інструментів, таких як CRM-системи чи аналітика продажів. Однак брак часу та ресурсів для навчання ускладнює цей процес. Ці виклики потребують комплексних рішень, щоб забезпечити ефективну цифровізацію малого бізнесу. [5]</w:t>
      </w:r>
    </w:p>
    <w:p w14:paraId="6A7D8E83"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b/>
        <w:t xml:space="preserve">Таким чином, цифровізація є ефективним інструментом для порятунку малого бізнесу в Україні під час війни. Її впровадження дозволяє </w:t>
      </w:r>
      <w:r w:rsidRPr="00511005">
        <w:rPr>
          <w:rFonts w:ascii="Arial" w:eastAsia="Calibri" w:hAnsi="Arial" w:cs="Arial"/>
          <w:kern w:val="2"/>
          <w:szCs w:val="28"/>
          <w:lang w:val="uk-UA"/>
          <w14:ligatures w14:val="standardContextual"/>
        </w:rPr>
        <w:lastRenderedPageBreak/>
        <w:t>підприємствам підтримувати діяльність, розширювати ринки збуту через онлайн-канали, оптимізувати процеси за допомогою автоматизації та залучати клієнтів через соціальні мережі. Цифрові технології сприяють адаптації до економічної нестабільності, підвищують стійкість бізнесу та створюють можливості для розвитку. Державна підтримка та міжнародна допомога забезпечують доступ до фінансів і навчання, хоча виклики, такі як низька цифрова грамотність і кіберзагрози, потребують уваги. Для підвищення ефективності варто розширювати освітні програми та вдосконалювати захист даних, що сприятиме сталому розвитку малого бізнесу в умовах кризи.</w:t>
      </w:r>
    </w:p>
    <w:p w14:paraId="6DD13A43" w14:textId="77777777" w:rsidR="00AE57E7" w:rsidRPr="00511005" w:rsidRDefault="00AE57E7" w:rsidP="003A292D">
      <w:pPr>
        <w:spacing w:line="264" w:lineRule="auto"/>
        <w:jc w:val="center"/>
        <w:rPr>
          <w:rFonts w:ascii="Arial" w:eastAsia="Calibri" w:hAnsi="Arial" w:cs="Arial"/>
          <w:b/>
          <w:bCs/>
          <w:kern w:val="2"/>
          <w:szCs w:val="28"/>
          <w:lang w:val="uk-UA"/>
          <w14:ligatures w14:val="standardContextual"/>
        </w:rPr>
      </w:pPr>
    </w:p>
    <w:p w14:paraId="0EB51427" w14:textId="6F98C10C" w:rsidR="00AE57E7" w:rsidRPr="00511005" w:rsidRDefault="007B2628" w:rsidP="007B2628">
      <w:pPr>
        <w:spacing w:line="264" w:lineRule="auto"/>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Список використаних джерел</w:t>
      </w:r>
    </w:p>
    <w:p w14:paraId="53D2E0BA" w14:textId="77777777" w:rsidR="00AE57E7" w:rsidRPr="00511005" w:rsidRDefault="00AE57E7" w:rsidP="003F6A5D">
      <w:pPr>
        <w:numPr>
          <w:ilvl w:val="0"/>
          <w:numId w:val="735"/>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Сухорукова Г. Як технології впливали на український бізнес у 2024 році: результати дослідження Kyivstar Business Hub / Kyivstar Business Hub. 2024. </w:t>
      </w:r>
    </w:p>
    <w:p w14:paraId="5C042120" w14:textId="77777777" w:rsidR="00AE57E7" w:rsidRPr="00511005" w:rsidRDefault="00AE57E7" w:rsidP="003A292D">
      <w:pPr>
        <w:tabs>
          <w:tab w:val="left" w:pos="1134"/>
        </w:tabs>
        <w:spacing w:line="264" w:lineRule="auto"/>
        <w:contextualSpacing/>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URL: </w:t>
      </w:r>
      <w:hyperlink r:id="rId2471" w:history="1">
        <w:r w:rsidRPr="00511005">
          <w:rPr>
            <w:rFonts w:ascii="Arial" w:eastAsia="Calibri" w:hAnsi="Arial" w:cs="Arial"/>
            <w:kern w:val="2"/>
            <w:szCs w:val="28"/>
            <w:lang w:val="uk-UA"/>
            <w14:ligatures w14:val="standardContextual"/>
          </w:rPr>
          <w:t>https://hub.kyivstar.ua/articles/yak-tehnologiyi-vplivali-na-ukrayinskij-biznes-u-2024-roczi-rezultati-doslidzhennya-kyivstar-business-hub</w:t>
        </w:r>
      </w:hyperlink>
      <w:r w:rsidRPr="00511005">
        <w:rPr>
          <w:rFonts w:ascii="Arial" w:eastAsia="Calibri" w:hAnsi="Arial" w:cs="Arial"/>
          <w:kern w:val="2"/>
          <w:szCs w:val="28"/>
          <w:lang w:val="uk-UA"/>
          <w14:ligatures w14:val="standardContextual"/>
        </w:rPr>
        <w:t xml:space="preserve"> </w:t>
      </w:r>
    </w:p>
    <w:p w14:paraId="2577B57F" w14:textId="77777777" w:rsidR="00AE57E7" w:rsidRPr="00511005" w:rsidRDefault="00AE57E7" w:rsidP="003F6A5D">
      <w:pPr>
        <w:numPr>
          <w:ilvl w:val="0"/>
          <w:numId w:val="735"/>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Малий та середній бізнес отримає більше грантів на відновлення та розвиток від USAID / Кабінет Міністрів України. 2023. URL: </w:t>
      </w:r>
      <w:hyperlink r:id="rId2472" w:history="1">
        <w:r w:rsidRPr="00511005">
          <w:rPr>
            <w:rFonts w:ascii="Arial" w:eastAsia="Calibri" w:hAnsi="Arial" w:cs="Arial"/>
            <w:kern w:val="2"/>
            <w:szCs w:val="28"/>
            <w:lang w:val="uk-UA"/>
            <w14:ligatures w14:val="standardContextual"/>
          </w:rPr>
          <w:t>https://www.kmu.gov.ua/news/malyi-ta-serednii-biznes-otrymaie-bilshe-hrantiv-na-vidnovlennia-ta-rozvytok-vid-usaid</w:t>
        </w:r>
      </w:hyperlink>
      <w:r w:rsidRPr="00511005">
        <w:rPr>
          <w:rFonts w:ascii="Arial" w:eastAsia="Calibri" w:hAnsi="Arial" w:cs="Arial"/>
          <w:kern w:val="2"/>
          <w:szCs w:val="28"/>
          <w:lang w:val="uk-UA"/>
          <w14:ligatures w14:val="standardContextual"/>
        </w:rPr>
        <w:t xml:space="preserve"> </w:t>
      </w:r>
    </w:p>
    <w:p w14:paraId="7C7AA00D" w14:textId="77777777" w:rsidR="00AE57E7" w:rsidRPr="00511005" w:rsidRDefault="00AE57E7" w:rsidP="003F6A5D">
      <w:pPr>
        <w:numPr>
          <w:ilvl w:val="0"/>
          <w:numId w:val="735"/>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Про Дія.Бізнес / Національний проєкт із розвитку підприємництва Дія.Бізнес. – URL: </w:t>
      </w:r>
      <w:hyperlink r:id="rId2473" w:history="1">
        <w:r w:rsidRPr="00511005">
          <w:rPr>
            <w:rFonts w:ascii="Arial" w:eastAsia="Calibri" w:hAnsi="Arial" w:cs="Arial"/>
            <w:kern w:val="2"/>
            <w:szCs w:val="28"/>
            <w:lang w:val="uk-UA"/>
            <w14:ligatures w14:val="standardContextual"/>
          </w:rPr>
          <w:t>https://business.diia.gov.ua/about</w:t>
        </w:r>
      </w:hyperlink>
      <w:r w:rsidRPr="00511005">
        <w:rPr>
          <w:rFonts w:ascii="Arial" w:eastAsia="Calibri" w:hAnsi="Arial" w:cs="Arial"/>
          <w:kern w:val="2"/>
          <w:szCs w:val="28"/>
          <w:lang w:val="uk-UA"/>
          <w14:ligatures w14:val="standardContextual"/>
        </w:rPr>
        <w:t xml:space="preserve"> </w:t>
      </w:r>
    </w:p>
    <w:p w14:paraId="075B078A" w14:textId="77777777" w:rsidR="00AE57E7" w:rsidRPr="00511005" w:rsidRDefault="00AE57E7" w:rsidP="003F6A5D">
      <w:pPr>
        <w:numPr>
          <w:ilvl w:val="0"/>
          <w:numId w:val="735"/>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єРобота. Гранти від держави на відкриття чи розвиток бізнесу / Міністерство економіки України. 2025. URL: </w:t>
      </w:r>
      <w:hyperlink r:id="rId2474" w:history="1">
        <w:r w:rsidRPr="00511005">
          <w:rPr>
            <w:rFonts w:ascii="Arial" w:eastAsia="Calibri" w:hAnsi="Arial" w:cs="Arial"/>
            <w:kern w:val="2"/>
            <w:szCs w:val="28"/>
            <w:lang w:val="uk-UA"/>
            <w14:ligatures w14:val="standardContextual"/>
          </w:rPr>
          <w:t>https://me.gov.ua/Documents/Detail?lang=uk-UA&amp;id=94321ef8-1418-479c-a69f-f3d0fdb8b977&amp;title=Robota-GrantiVidDerzhaviNaVidkrittiaChiRozvitokBiznesu</w:t>
        </w:r>
      </w:hyperlink>
      <w:r w:rsidRPr="00511005">
        <w:rPr>
          <w:rFonts w:ascii="Arial" w:eastAsia="Calibri" w:hAnsi="Arial" w:cs="Arial"/>
          <w:kern w:val="2"/>
          <w:szCs w:val="28"/>
          <w:lang w:val="uk-UA"/>
          <w14:ligatures w14:val="standardContextual"/>
        </w:rPr>
        <w:t xml:space="preserve"> </w:t>
      </w:r>
    </w:p>
    <w:p w14:paraId="4A3CF380" w14:textId="77777777" w:rsidR="00AE57E7" w:rsidRPr="00511005" w:rsidRDefault="00AE57E7" w:rsidP="003F6A5D">
      <w:pPr>
        <w:numPr>
          <w:ilvl w:val="0"/>
          <w:numId w:val="735"/>
        </w:numPr>
        <w:tabs>
          <w:tab w:val="left" w:pos="1134"/>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Assessment of the Impact of the War on Micro-, Small-, and Medium-sized Enterprises in Ukraine. Kyiv: United Nations Development Programme in Ukraine. 2024. 84 p.</w:t>
      </w:r>
    </w:p>
    <w:p w14:paraId="1F566273" w14:textId="77777777" w:rsidR="00AE57E7" w:rsidRPr="00511005" w:rsidRDefault="00AE57E7" w:rsidP="003F6A5D">
      <w:pPr>
        <w:numPr>
          <w:ilvl w:val="0"/>
          <w:numId w:val="735"/>
        </w:numPr>
        <w:tabs>
          <w:tab w:val="left" w:pos="1134"/>
        </w:tabs>
        <w:spacing w:line="264" w:lineRule="auto"/>
        <w:ind w:left="0" w:firstLine="709"/>
        <w:contextualSpacing/>
        <w:jc w:val="left"/>
        <w:rPr>
          <w:rFonts w:ascii="Arial" w:eastAsia="Calibri" w:hAnsi="Arial" w:cs="Arial"/>
          <w:b/>
          <w:bCs/>
          <w:kern w:val="2"/>
          <w:szCs w:val="28"/>
          <w:lang w:val="uk-UA"/>
          <w14:ligatures w14:val="standardContextual"/>
        </w:rPr>
      </w:pPr>
      <w:r w:rsidRPr="00511005">
        <w:rPr>
          <w:rFonts w:ascii="Arial" w:eastAsia="Calibri" w:hAnsi="Arial" w:cs="Arial"/>
          <w:kern w:val="2"/>
          <w:szCs w:val="28"/>
          <w:lang w:val="uk-UA"/>
          <w14:ligatures w14:val="standardContextual"/>
        </w:rPr>
        <w:t xml:space="preserve">Third Rapid Damage and Needs Assessment (RDNA3), February 2022 – December 2023 / World Bank, Government of Ukraine, European Union, United Nations. – Washington: World Bank, 2024. 182 p. </w:t>
      </w:r>
    </w:p>
    <w:p w14:paraId="500B8D4C" w14:textId="77777777" w:rsidR="00AE57E7" w:rsidRPr="00511005" w:rsidRDefault="00AE57E7" w:rsidP="003A292D">
      <w:pPr>
        <w:spacing w:line="264" w:lineRule="auto"/>
        <w:rPr>
          <w:rFonts w:ascii="Arial" w:eastAsia="Times New Roman" w:hAnsi="Arial" w:cs="Arial"/>
          <w:b/>
          <w:bCs/>
          <w:szCs w:val="28"/>
          <w:lang w:val="uk-UA" w:eastAsia="ru-RU"/>
        </w:rPr>
      </w:pPr>
    </w:p>
    <w:p w14:paraId="66388D4D" w14:textId="0EC0E30D"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AE57E7" w:rsidRPr="00511005">
        <w:rPr>
          <w:rFonts w:ascii="Arial" w:eastAsia="Times New Roman" w:hAnsi="Arial" w:cs="Arial"/>
          <w:szCs w:val="28"/>
          <w:lang w:val="uk-UA" w:eastAsia="ru-RU"/>
        </w:rPr>
        <w:t>цифровізація, малий бізнес, економічна нестабільність, електронна комерція, соціальні мережі, автоматизація, державна підтримка, гранти, цифрова грамотність.</w:t>
      </w:r>
    </w:p>
    <w:p w14:paraId="2291A402" w14:textId="3F6DBDC9"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AE57E7" w:rsidRPr="00511005">
        <w:rPr>
          <w:rFonts w:ascii="Arial" w:eastAsia="Times New Roman" w:hAnsi="Arial" w:cs="Arial"/>
          <w:szCs w:val="28"/>
          <w:lang w:val="uk-UA" w:eastAsia="ru-RU"/>
        </w:rPr>
        <w:t>digitalization, small business, economic instability, e-commerce, social media, automation, state support, grants, digital literacy.</w:t>
      </w:r>
    </w:p>
    <w:p w14:paraId="484D9CD2" w14:textId="3BFE9F8B" w:rsidR="00AE57E7" w:rsidRPr="00511005" w:rsidRDefault="007B2628" w:rsidP="003A292D">
      <w:pPr>
        <w:spacing w:line="264" w:lineRule="auto"/>
        <w:jc w:val="left"/>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AE57E7" w:rsidRPr="00511005">
        <w:rPr>
          <w:rFonts w:ascii="Arial" w:eastAsia="Times New Roman" w:hAnsi="Arial" w:cs="Arial"/>
          <w:i/>
          <w:iCs/>
          <w:szCs w:val="28"/>
          <w:lang w:val="uk-UA" w:eastAsia="ru-RU"/>
        </w:rPr>
        <w:t xml:space="preserve">к. е. н., доцент Редіна Є.В. </w:t>
      </w:r>
    </w:p>
    <w:p w14:paraId="6485F1B0" w14:textId="77777777" w:rsidR="00AE57E7" w:rsidRPr="00511005" w:rsidRDefault="00AE57E7" w:rsidP="003A292D">
      <w:pPr>
        <w:spacing w:line="264" w:lineRule="auto"/>
        <w:rPr>
          <w:rFonts w:ascii="Arial" w:eastAsia="Times New Roman" w:hAnsi="Arial" w:cs="Arial"/>
          <w:szCs w:val="28"/>
          <w:lang w:val="uk-UA" w:eastAsia="ru-RU"/>
        </w:rPr>
      </w:pPr>
    </w:p>
    <w:p w14:paraId="0195DF22" w14:textId="679ADDA4" w:rsidR="00AE57E7" w:rsidRPr="00511005" w:rsidRDefault="00AE57E7" w:rsidP="003A292D">
      <w:pPr>
        <w:spacing w:line="264" w:lineRule="auto"/>
        <w:ind w:firstLine="0"/>
        <w:jc w:val="left"/>
        <w:rPr>
          <w:rFonts w:ascii="Arial" w:eastAsia="Calibri" w:hAnsi="Arial" w:cs="Arial"/>
          <w:b/>
          <w:i/>
          <w:iCs/>
          <w:szCs w:val="28"/>
          <w:lang w:val="uk-UA"/>
        </w:rPr>
      </w:pPr>
    </w:p>
    <w:p w14:paraId="6D9DC7EE" w14:textId="77777777" w:rsidR="00AE57E7" w:rsidRPr="00511005" w:rsidRDefault="00AE57E7" w:rsidP="003A292D">
      <w:pPr>
        <w:spacing w:line="264" w:lineRule="auto"/>
        <w:ind w:firstLine="0"/>
        <w:jc w:val="center"/>
        <w:rPr>
          <w:rFonts w:ascii="Arial" w:eastAsia="Calibri" w:hAnsi="Arial" w:cs="Arial"/>
          <w:b/>
          <w:i/>
          <w:iCs/>
          <w:szCs w:val="28"/>
          <w:lang w:val="uk-UA"/>
        </w:rPr>
      </w:pPr>
      <w:r w:rsidRPr="00511005">
        <w:rPr>
          <w:rFonts w:ascii="Arial" w:eastAsia="Calibri" w:hAnsi="Arial" w:cs="Arial"/>
          <w:b/>
          <w:i/>
          <w:iCs/>
          <w:szCs w:val="28"/>
          <w:lang w:val="uk-UA"/>
        </w:rPr>
        <w:t>Григоренко Андрій Геннадієвич</w:t>
      </w:r>
    </w:p>
    <w:p w14:paraId="590BF896" w14:textId="630C71A7" w:rsidR="00AE57E7" w:rsidRPr="00511005" w:rsidRDefault="00536AAB" w:rsidP="003A292D">
      <w:pPr>
        <w:spacing w:line="264" w:lineRule="auto"/>
        <w:ind w:firstLine="0"/>
        <w:jc w:val="center"/>
        <w:rPr>
          <w:rFonts w:ascii="Arial" w:eastAsia="Calibri" w:hAnsi="Arial" w:cs="Arial"/>
          <w:bCs/>
          <w:szCs w:val="28"/>
          <w:lang w:val="uk-UA"/>
        </w:rPr>
      </w:pPr>
      <w:r w:rsidRPr="00511005">
        <w:rPr>
          <w:rFonts w:ascii="Arial" w:eastAsia="Calibri" w:hAnsi="Arial" w:cs="Arial"/>
          <w:bCs/>
          <w:szCs w:val="28"/>
          <w:lang w:val="uk-UA"/>
        </w:rPr>
        <w:t>студент 4-го курсу факультету адвокатури та антикорупційної діяльності</w:t>
      </w:r>
    </w:p>
    <w:p w14:paraId="3B4C72ED" w14:textId="3B35DB35" w:rsidR="00AE57E7" w:rsidRPr="00511005" w:rsidRDefault="007B2628" w:rsidP="003A292D">
      <w:pPr>
        <w:spacing w:line="264" w:lineRule="auto"/>
        <w:ind w:firstLine="0"/>
        <w:jc w:val="center"/>
        <w:rPr>
          <w:rFonts w:ascii="Arial" w:eastAsia="Calibri" w:hAnsi="Arial" w:cs="Arial"/>
          <w:bCs/>
          <w:szCs w:val="28"/>
          <w:lang w:val="uk-UA"/>
        </w:rPr>
      </w:pPr>
      <w:r w:rsidRPr="00511005">
        <w:rPr>
          <w:rFonts w:ascii="Arial" w:eastAsia="Calibri" w:hAnsi="Arial" w:cs="Arial"/>
          <w:bCs/>
          <w:szCs w:val="28"/>
        </w:rPr>
        <w:t>Національного університету «Одеська юридична академія»</w:t>
      </w:r>
    </w:p>
    <w:p w14:paraId="7EE1BF2B" w14:textId="77777777" w:rsidR="00AE57E7" w:rsidRPr="00511005" w:rsidRDefault="00AE57E7" w:rsidP="003A292D">
      <w:pPr>
        <w:spacing w:line="264" w:lineRule="auto"/>
        <w:ind w:firstLine="0"/>
        <w:jc w:val="center"/>
        <w:rPr>
          <w:rFonts w:ascii="Arial" w:eastAsia="Calibri" w:hAnsi="Arial" w:cs="Arial"/>
          <w:bCs/>
          <w:i/>
          <w:iCs/>
          <w:szCs w:val="28"/>
          <w:lang w:val="uk-UA"/>
        </w:rPr>
      </w:pPr>
    </w:p>
    <w:p w14:paraId="356FC2FE" w14:textId="77777777" w:rsidR="00AE57E7" w:rsidRPr="00511005" w:rsidRDefault="00AE57E7" w:rsidP="003A292D">
      <w:pPr>
        <w:spacing w:line="264" w:lineRule="auto"/>
        <w:ind w:firstLine="0"/>
        <w:jc w:val="center"/>
        <w:rPr>
          <w:rFonts w:ascii="Arial" w:eastAsia="Calibri" w:hAnsi="Arial" w:cs="Arial"/>
          <w:b/>
          <w:szCs w:val="28"/>
        </w:rPr>
      </w:pPr>
      <w:r w:rsidRPr="00511005">
        <w:rPr>
          <w:rFonts w:ascii="Arial" w:eastAsia="Calibri" w:hAnsi="Arial" w:cs="Arial"/>
          <w:b/>
          <w:szCs w:val="28"/>
          <w:lang w:val="uk-UA"/>
        </w:rPr>
        <w:t xml:space="preserve">ОКРЕМІ АСПЕКТИ </w:t>
      </w:r>
      <w:r w:rsidRPr="00511005">
        <w:rPr>
          <w:rFonts w:ascii="Arial" w:eastAsia="Calibri" w:hAnsi="Arial" w:cs="Arial"/>
          <w:b/>
          <w:szCs w:val="28"/>
        </w:rPr>
        <w:t>ВПЛИВ</w:t>
      </w:r>
      <w:r w:rsidRPr="00511005">
        <w:rPr>
          <w:rFonts w:ascii="Arial" w:eastAsia="Calibri" w:hAnsi="Arial" w:cs="Arial"/>
          <w:b/>
          <w:szCs w:val="28"/>
          <w:lang w:val="uk-UA"/>
        </w:rPr>
        <w:t>У</w:t>
      </w:r>
      <w:r w:rsidRPr="00511005">
        <w:rPr>
          <w:rFonts w:ascii="Arial" w:eastAsia="Calibri" w:hAnsi="Arial" w:cs="Arial"/>
          <w:b/>
          <w:szCs w:val="28"/>
        </w:rPr>
        <w:t xml:space="preserve"> КОРПОРАТИВНОЇ КУЛЬТУРИ ТА УПРАВЛІННЯ НА ЕФЕКТИВНІСТЬ ОРГАНІЗАЦІЇ</w:t>
      </w:r>
    </w:p>
    <w:p w14:paraId="1B98532E" w14:textId="77777777" w:rsidR="00AE57E7" w:rsidRPr="00511005" w:rsidRDefault="00AE57E7" w:rsidP="003A292D">
      <w:pPr>
        <w:spacing w:line="264" w:lineRule="auto"/>
        <w:rPr>
          <w:rFonts w:ascii="Arial" w:eastAsia="Calibri" w:hAnsi="Arial" w:cs="Arial"/>
          <w:bCs/>
          <w:szCs w:val="28"/>
        </w:rPr>
      </w:pPr>
      <w:r w:rsidRPr="00511005">
        <w:rPr>
          <w:rFonts w:ascii="Arial" w:eastAsia="Calibri" w:hAnsi="Arial" w:cs="Arial"/>
          <w:bCs/>
          <w:szCs w:val="28"/>
        </w:rPr>
        <w:t xml:space="preserve">У сучасних умовах бізнес-середовища питання корпоративної відповідальності набуває особливої важливості. Бізнес ХХІ ст. вимагає від організацій відкритості та відповідальності, оскільки клієнти та інвестори дедалі більше орієнтуються на етичні принципи. Корпоративна відповідальність сприяє формуванню довіри, що, в свою чергу, веде до створення стабільних і тривалих відносин з партнерами та споживачами. Дотримання етичних стандартів дозволяє уникнути правових і репутаційних ризиків. Споживачі віддають перевагу брендам, які підтримують сталий розвиток і активно займаються соціальними ініціативами, що в підсумку зміцнює їхню позицію </w:t>
      </w:r>
      <w:proofErr w:type="gramStart"/>
      <w:r w:rsidRPr="00511005">
        <w:rPr>
          <w:rFonts w:ascii="Arial" w:eastAsia="Calibri" w:hAnsi="Arial" w:cs="Arial"/>
          <w:bCs/>
          <w:szCs w:val="28"/>
        </w:rPr>
        <w:t>на ринку</w:t>
      </w:r>
      <w:proofErr w:type="gramEnd"/>
      <w:r w:rsidRPr="00511005">
        <w:rPr>
          <w:rFonts w:ascii="Arial" w:eastAsia="Calibri" w:hAnsi="Arial" w:cs="Arial"/>
          <w:bCs/>
          <w:szCs w:val="28"/>
        </w:rPr>
        <w:t>.</w:t>
      </w:r>
    </w:p>
    <w:p w14:paraId="3DBBDB6F" w14:textId="77777777" w:rsidR="00AE57E7" w:rsidRPr="00511005" w:rsidRDefault="00AE57E7" w:rsidP="003A292D">
      <w:pPr>
        <w:spacing w:line="264" w:lineRule="auto"/>
        <w:rPr>
          <w:rFonts w:ascii="Arial" w:eastAsia="Calibri" w:hAnsi="Arial" w:cs="Arial"/>
          <w:bCs/>
          <w:szCs w:val="28"/>
        </w:rPr>
      </w:pPr>
      <w:r w:rsidRPr="00511005">
        <w:rPr>
          <w:rFonts w:ascii="Arial" w:eastAsia="Calibri" w:hAnsi="Arial" w:cs="Arial"/>
          <w:bCs/>
          <w:szCs w:val="28"/>
        </w:rPr>
        <w:t>Наприклад, компанія Patagonia відома своєю етичною політикою та ініціативами щодо захисту навколишнього середовища, що стало основою для її лояльної клієнтської бази. Завдяки цьому бренду вдалося не лише зберегти свою репутацію, але й збільшити продажі на 30% у 2022 році, що демонструє ефективність корпоративної відповідальності в бізнесі</w:t>
      </w:r>
      <w:r w:rsidRPr="00511005">
        <w:rPr>
          <w:rFonts w:ascii="Arial" w:eastAsia="Calibri" w:hAnsi="Arial" w:cs="Arial"/>
          <w:bCs/>
          <w:szCs w:val="28"/>
          <w:lang w:val="uk-UA"/>
        </w:rPr>
        <w:t xml:space="preserve"> </w:t>
      </w:r>
      <w:r w:rsidRPr="00511005">
        <w:rPr>
          <w:rFonts w:ascii="Arial" w:eastAsia="Times New Roman" w:hAnsi="Arial" w:cs="Arial"/>
          <w:szCs w:val="28"/>
          <w:lang w:val="uk-UA" w:eastAsia="ru-RU"/>
        </w:rPr>
        <w:t>[5]</w:t>
      </w:r>
      <w:r w:rsidRPr="00511005">
        <w:rPr>
          <w:rFonts w:ascii="Arial" w:eastAsia="Calibri" w:hAnsi="Arial" w:cs="Arial"/>
          <w:bCs/>
          <w:szCs w:val="28"/>
        </w:rPr>
        <w:t>.</w:t>
      </w:r>
    </w:p>
    <w:p w14:paraId="6ADE155A" w14:textId="77777777" w:rsidR="00AE57E7" w:rsidRPr="00511005" w:rsidRDefault="00AE57E7" w:rsidP="003A292D">
      <w:pPr>
        <w:spacing w:line="264" w:lineRule="auto"/>
        <w:rPr>
          <w:rFonts w:ascii="Arial" w:eastAsia="Calibri" w:hAnsi="Arial" w:cs="Arial"/>
          <w:bCs/>
          <w:szCs w:val="28"/>
        </w:rPr>
      </w:pPr>
      <w:r w:rsidRPr="00511005">
        <w:rPr>
          <w:rFonts w:ascii="Arial" w:eastAsia="Calibri" w:hAnsi="Arial" w:cs="Arial"/>
          <w:bCs/>
          <w:szCs w:val="28"/>
        </w:rPr>
        <w:t>У зв'язку з цим, розвиток системи корпоративного управління стає ключовим фактором забезпечення сталого розвитку і довгострокового успіху компаній. Ефективне корпоративне управління підвищує інвестиційну привабливість бізнесу та сприяє гармонії інтересів усіх стейкхолдерів. Актуальність цієї теми також зумовлена зростаючими вимогами суспільства до прозорості бізнесу та потребою впровадження сучасних механізмів корпоративного управління, які забезпечують стійкий розвиток організацій і відповідність міжнародним стандартам.</w:t>
      </w:r>
    </w:p>
    <w:p w14:paraId="64E60A57" w14:textId="77777777" w:rsidR="00AE57E7" w:rsidRPr="00511005" w:rsidRDefault="00AE57E7" w:rsidP="003A292D">
      <w:pPr>
        <w:spacing w:line="264" w:lineRule="auto"/>
        <w:rPr>
          <w:rFonts w:ascii="Arial" w:eastAsia="Calibri" w:hAnsi="Arial" w:cs="Arial"/>
          <w:bCs/>
          <w:szCs w:val="28"/>
        </w:rPr>
      </w:pPr>
      <w:r w:rsidRPr="00511005">
        <w:rPr>
          <w:rFonts w:ascii="Arial" w:eastAsia="Calibri" w:hAnsi="Arial" w:cs="Arial"/>
          <w:bCs/>
          <w:szCs w:val="28"/>
        </w:rPr>
        <w:t>Одним із значущих етапів реформування корпоративного управління в Україні є прийняття Закону України «Про внесення змін до деяких законодавчих актів України щодо вдосконалення корпоративного управління» (від 19.03.2024 № 3587-IX)</w:t>
      </w:r>
      <w:r w:rsidRPr="00511005">
        <w:rPr>
          <w:rFonts w:ascii="Arial" w:eastAsia="Calibri" w:hAnsi="Arial" w:cs="Arial"/>
          <w:bCs/>
          <w:szCs w:val="28"/>
          <w:lang w:val="uk-UA"/>
        </w:rPr>
        <w:t xml:space="preserve"> </w:t>
      </w:r>
      <w:r w:rsidRPr="00511005">
        <w:rPr>
          <w:rFonts w:ascii="Arial" w:eastAsia="Times New Roman" w:hAnsi="Arial" w:cs="Arial"/>
          <w:szCs w:val="28"/>
          <w:lang w:val="uk-UA" w:eastAsia="ru-RU"/>
        </w:rPr>
        <w:t>[3]</w:t>
      </w:r>
      <w:r w:rsidRPr="00511005">
        <w:rPr>
          <w:rFonts w:ascii="Arial" w:eastAsia="Calibri" w:hAnsi="Arial" w:cs="Arial"/>
          <w:bCs/>
          <w:szCs w:val="28"/>
        </w:rPr>
        <w:t>. Цей закон має важливе значення для забезпечення прозорого і ефективного управління державними бізнес-структурами, особливо в умовах війни. Зміни, внесені цим законом, покликані зменшити корупційні ризики та підвищити конкурентоспроможність державних підприємств на міжнародній арені.</w:t>
      </w:r>
    </w:p>
    <w:p w14:paraId="68279421" w14:textId="77777777" w:rsidR="00AE57E7" w:rsidRPr="00511005" w:rsidRDefault="00AE57E7" w:rsidP="003A292D">
      <w:pPr>
        <w:spacing w:line="264" w:lineRule="auto"/>
        <w:rPr>
          <w:rFonts w:ascii="Arial" w:eastAsia="Calibri" w:hAnsi="Arial" w:cs="Arial"/>
          <w:bCs/>
          <w:szCs w:val="28"/>
          <w:lang w:val="uk-UA"/>
        </w:rPr>
      </w:pPr>
      <w:r w:rsidRPr="00511005">
        <w:rPr>
          <w:rFonts w:ascii="Arial" w:eastAsia="Calibri" w:hAnsi="Arial" w:cs="Arial"/>
          <w:bCs/>
          <w:szCs w:val="28"/>
        </w:rPr>
        <w:t xml:space="preserve">Законом передбачено заходи, що сприяють гармонізації українського законодавства з міжнародними стандартами, зокрема європейськими регуляціями. Це створює більш конкурентоспроможну бізнес-середу і підвищує довіру з боку інвесторів і громадськості. Впровадження нових </w:t>
      </w:r>
      <w:r w:rsidRPr="00511005">
        <w:rPr>
          <w:rFonts w:ascii="Arial" w:eastAsia="Calibri" w:hAnsi="Arial" w:cs="Arial"/>
          <w:bCs/>
          <w:szCs w:val="28"/>
        </w:rPr>
        <w:lastRenderedPageBreak/>
        <w:t>механізмів контролю за діяльністю наглядових рад забезпечує більшу підзвітність, що сприяє зниженню неефективності у керівництві державними підприємствами</w:t>
      </w:r>
      <w:r w:rsidRPr="00511005">
        <w:rPr>
          <w:rFonts w:ascii="Arial" w:eastAsia="Calibri" w:hAnsi="Arial" w:cs="Arial"/>
          <w:bCs/>
          <w:szCs w:val="28"/>
          <w:lang w:val="uk-UA"/>
        </w:rPr>
        <w:t xml:space="preserve"> </w:t>
      </w:r>
      <w:r w:rsidRPr="00511005">
        <w:rPr>
          <w:rFonts w:ascii="Arial" w:eastAsia="Times New Roman" w:hAnsi="Arial" w:cs="Arial"/>
          <w:szCs w:val="28"/>
          <w:lang w:val="uk-UA" w:eastAsia="ru-RU"/>
        </w:rPr>
        <w:t>[2]</w:t>
      </w:r>
      <w:r w:rsidRPr="00511005">
        <w:rPr>
          <w:rFonts w:ascii="Arial" w:eastAsia="Calibri" w:hAnsi="Arial" w:cs="Arial"/>
          <w:bCs/>
          <w:szCs w:val="28"/>
        </w:rPr>
        <w:t>. Завдяки комплексному підходу до реформування, державні бізнес-структури отримують нові можливості для стабільного розвитку та підвищення інвестиційної привабливості.</w:t>
      </w:r>
      <w:r w:rsidRPr="00511005">
        <w:rPr>
          <w:rFonts w:ascii="Arial" w:eastAsia="Calibri" w:hAnsi="Arial" w:cs="Arial"/>
          <w:bCs/>
          <w:szCs w:val="28"/>
          <w:lang w:val="uk-UA"/>
        </w:rPr>
        <w:t xml:space="preserve"> </w:t>
      </w:r>
    </w:p>
    <w:p w14:paraId="516A9EBD" w14:textId="77777777" w:rsidR="00AE57E7" w:rsidRPr="00511005" w:rsidRDefault="00AE57E7" w:rsidP="003A292D">
      <w:pPr>
        <w:spacing w:line="264" w:lineRule="auto"/>
        <w:rPr>
          <w:rFonts w:ascii="Arial" w:eastAsia="Calibri" w:hAnsi="Arial" w:cs="Arial"/>
          <w:bCs/>
          <w:szCs w:val="28"/>
        </w:rPr>
      </w:pPr>
      <w:r w:rsidRPr="00511005">
        <w:rPr>
          <w:rFonts w:ascii="Arial" w:eastAsia="Calibri" w:hAnsi="Arial" w:cs="Arial"/>
          <w:bCs/>
          <w:szCs w:val="28"/>
        </w:rPr>
        <w:t>Розвинена корпоративна культура є важливим компонентом ефективного корпоративного управління. Вона сприяє підвищенню конкурентоспроможності, адаптивності до змін у зовнішньому середовищі та стабільності бізнесу. Наприклад, компанія Google має відому корпоративну культуру, що базується на інноваціях, повазі та відкритості. Це дозволяє компанії залишатися лідером у технологічному секторі, що підтверджує і її стабільне зростання — в 2023 році її виручка перевищила 290 мільярдів доларів США</w:t>
      </w:r>
      <w:r w:rsidRPr="00511005">
        <w:rPr>
          <w:rFonts w:ascii="Arial" w:eastAsia="Calibri" w:hAnsi="Arial" w:cs="Arial"/>
          <w:bCs/>
          <w:szCs w:val="28"/>
          <w:lang w:val="uk-UA"/>
        </w:rPr>
        <w:t xml:space="preserve"> </w:t>
      </w:r>
      <w:r w:rsidRPr="00511005">
        <w:rPr>
          <w:rFonts w:ascii="Arial" w:eastAsia="Calibri" w:hAnsi="Arial" w:cs="Arial"/>
          <w:bCs/>
          <w:szCs w:val="28"/>
        </w:rPr>
        <w:t>[</w:t>
      </w:r>
      <w:r w:rsidRPr="00511005">
        <w:rPr>
          <w:rFonts w:ascii="Arial" w:eastAsia="Calibri" w:hAnsi="Arial" w:cs="Arial"/>
          <w:bCs/>
          <w:szCs w:val="28"/>
          <w:lang w:val="uk-UA"/>
        </w:rPr>
        <w:t>4</w:t>
      </w:r>
      <w:r w:rsidRPr="00511005">
        <w:rPr>
          <w:rFonts w:ascii="Arial" w:eastAsia="Calibri" w:hAnsi="Arial" w:cs="Arial"/>
          <w:bCs/>
          <w:szCs w:val="28"/>
        </w:rPr>
        <w:t>].</w:t>
      </w:r>
    </w:p>
    <w:p w14:paraId="02588FF5" w14:textId="77777777" w:rsidR="00AE57E7" w:rsidRPr="00511005" w:rsidRDefault="00AE57E7" w:rsidP="003A292D">
      <w:pPr>
        <w:spacing w:line="264" w:lineRule="auto"/>
        <w:rPr>
          <w:rFonts w:ascii="Arial" w:eastAsia="Calibri" w:hAnsi="Arial" w:cs="Arial"/>
          <w:bCs/>
          <w:szCs w:val="28"/>
        </w:rPr>
      </w:pPr>
      <w:r w:rsidRPr="00511005">
        <w:rPr>
          <w:rFonts w:ascii="Arial" w:eastAsia="Calibri" w:hAnsi="Arial" w:cs="Arial"/>
          <w:bCs/>
          <w:szCs w:val="28"/>
        </w:rPr>
        <w:t>Центральним елементом корпоративної культури є спільно розділені цінності, які орієнтують співробітників на досягнення загальних цілей</w:t>
      </w:r>
      <w:r w:rsidRPr="00511005">
        <w:rPr>
          <w:rFonts w:ascii="Arial" w:eastAsia="Calibri" w:hAnsi="Arial" w:cs="Arial"/>
          <w:bCs/>
          <w:szCs w:val="28"/>
          <w:lang w:val="uk-UA"/>
        </w:rPr>
        <w:t xml:space="preserve"> </w:t>
      </w:r>
      <w:r w:rsidRPr="00511005">
        <w:rPr>
          <w:rFonts w:ascii="Arial" w:eastAsia="Times New Roman" w:hAnsi="Arial" w:cs="Arial"/>
          <w:szCs w:val="28"/>
          <w:lang w:val="uk-UA" w:eastAsia="ru-RU"/>
        </w:rPr>
        <w:t>[1]</w:t>
      </w:r>
      <w:r w:rsidRPr="00511005">
        <w:rPr>
          <w:rFonts w:ascii="Arial" w:eastAsia="Calibri" w:hAnsi="Arial" w:cs="Arial"/>
          <w:bCs/>
          <w:szCs w:val="28"/>
        </w:rPr>
        <w:t>. Це включає чесність, інноваційність, повагу до клієнтів і колег, а також відповідальне ставлення до роботи.</w:t>
      </w:r>
    </w:p>
    <w:p w14:paraId="1A974E92" w14:textId="77777777" w:rsidR="00AE57E7" w:rsidRPr="00511005" w:rsidRDefault="00AE57E7" w:rsidP="003A292D">
      <w:pPr>
        <w:spacing w:line="264" w:lineRule="auto"/>
        <w:rPr>
          <w:rFonts w:ascii="Arial" w:eastAsia="Calibri" w:hAnsi="Arial" w:cs="Arial"/>
          <w:bCs/>
          <w:szCs w:val="28"/>
        </w:rPr>
      </w:pPr>
      <w:r w:rsidRPr="00511005">
        <w:rPr>
          <w:rFonts w:ascii="Arial" w:eastAsia="Calibri" w:hAnsi="Arial" w:cs="Arial"/>
          <w:bCs/>
          <w:szCs w:val="28"/>
        </w:rPr>
        <w:t>Атмосфера відповідальності, створена на основі корпоративної культури, допомагає уникати конфліктів інтересів і забезпечує справедливе ставлення до всіх зацікавлених сторін. Крім того, корпоративна культура сприяє залученню та утриманню талановитих працівників, підвищуючи їхню задоволеність роботою та лояльність до компанії. Вона також зміцнює репутацію організації, що є важливим фактором для залучення нових клієнтів і партнерів.</w:t>
      </w:r>
    </w:p>
    <w:p w14:paraId="39AE0318" w14:textId="77777777" w:rsidR="00AE57E7" w:rsidRPr="00511005" w:rsidRDefault="00AE57E7" w:rsidP="003A292D">
      <w:pPr>
        <w:spacing w:line="264" w:lineRule="auto"/>
        <w:rPr>
          <w:rFonts w:ascii="Arial" w:eastAsia="Calibri" w:hAnsi="Arial" w:cs="Arial"/>
          <w:bCs/>
          <w:szCs w:val="28"/>
        </w:rPr>
      </w:pPr>
      <w:r w:rsidRPr="00511005">
        <w:rPr>
          <w:rFonts w:ascii="Arial" w:eastAsia="Calibri" w:hAnsi="Arial" w:cs="Arial"/>
          <w:bCs/>
          <w:szCs w:val="28"/>
        </w:rPr>
        <w:t>У сучасних умовах зростає роль корпоративного управління у забезпеченні прозорості бізнесу та протидії корупції. Впровадження антикорупційних політик, а також ефективних механізмів внутрішнього контролю, стає необхідною частиною системи корпоративного управління. Це дозволяє не лише підвищити ефективність бізнесу, але й зменшити ризики для компанії в умовах економічної нестабільності.</w:t>
      </w:r>
    </w:p>
    <w:p w14:paraId="63B98835" w14:textId="77777777" w:rsidR="00AE57E7" w:rsidRPr="00511005" w:rsidRDefault="00AE57E7" w:rsidP="003A292D">
      <w:pPr>
        <w:spacing w:line="264" w:lineRule="auto"/>
        <w:rPr>
          <w:rFonts w:ascii="Arial" w:eastAsia="Calibri" w:hAnsi="Arial" w:cs="Arial"/>
          <w:bCs/>
          <w:szCs w:val="28"/>
        </w:rPr>
      </w:pPr>
      <w:r w:rsidRPr="00511005">
        <w:rPr>
          <w:rFonts w:ascii="Arial" w:eastAsia="Calibri" w:hAnsi="Arial" w:cs="Arial"/>
          <w:bCs/>
          <w:szCs w:val="28"/>
        </w:rPr>
        <w:t>Загалом, ефективність системи корпоративного управління визначається здатністю організації забезпечувати баланс між економічною ефективністю та соціальною відповідальністю</w:t>
      </w:r>
      <w:r w:rsidRPr="00511005">
        <w:rPr>
          <w:rFonts w:ascii="Arial" w:eastAsia="Calibri" w:hAnsi="Arial" w:cs="Arial"/>
          <w:bCs/>
          <w:szCs w:val="28"/>
          <w:lang w:val="uk-UA"/>
        </w:rPr>
        <w:t xml:space="preserve">, що </w:t>
      </w:r>
      <w:r w:rsidRPr="00511005">
        <w:rPr>
          <w:rFonts w:ascii="Arial" w:eastAsia="Calibri" w:hAnsi="Arial" w:cs="Arial"/>
          <w:bCs/>
          <w:szCs w:val="28"/>
        </w:rPr>
        <w:t>досягається через постійне вдосконалення управлінських механізмів, а також через адаптацію до нових викликів, що постають перед бізнесом у глобальному середовищі.</w:t>
      </w:r>
    </w:p>
    <w:p w14:paraId="5FAB46F3" w14:textId="77777777" w:rsidR="00AE57E7" w:rsidRPr="00511005" w:rsidRDefault="00AE57E7" w:rsidP="003A292D">
      <w:pPr>
        <w:spacing w:line="264" w:lineRule="auto"/>
        <w:rPr>
          <w:rFonts w:ascii="Arial" w:eastAsia="Calibri" w:hAnsi="Arial" w:cs="Arial"/>
          <w:bCs/>
          <w:szCs w:val="28"/>
        </w:rPr>
      </w:pPr>
    </w:p>
    <w:p w14:paraId="48CDAF1E" w14:textId="069E8668" w:rsidR="00AE57E7" w:rsidRPr="00511005" w:rsidRDefault="007B2628" w:rsidP="007B2628">
      <w:pPr>
        <w:spacing w:line="264" w:lineRule="auto"/>
        <w:ind w:firstLine="0"/>
        <w:jc w:val="center"/>
        <w:rPr>
          <w:rFonts w:ascii="Arial" w:eastAsia="Calibri" w:hAnsi="Arial" w:cs="Arial"/>
          <w:b/>
          <w:i/>
          <w:iCs/>
          <w:szCs w:val="28"/>
          <w:lang w:val="uk-UA"/>
        </w:rPr>
      </w:pPr>
      <w:r w:rsidRPr="00511005">
        <w:rPr>
          <w:rFonts w:ascii="Arial" w:eastAsia="Calibri" w:hAnsi="Arial" w:cs="Arial"/>
          <w:b/>
          <w:i/>
          <w:iCs/>
          <w:szCs w:val="28"/>
          <w:lang w:val="uk-UA"/>
        </w:rPr>
        <w:t>Список використаних джерел</w:t>
      </w:r>
    </w:p>
    <w:p w14:paraId="15C3FFBF" w14:textId="77777777" w:rsidR="00AE57E7" w:rsidRPr="00511005" w:rsidRDefault="00AE57E7" w:rsidP="003F6A5D">
      <w:pPr>
        <w:numPr>
          <w:ilvl w:val="0"/>
          <w:numId w:val="721"/>
        </w:numPr>
        <w:spacing w:line="264" w:lineRule="auto"/>
        <w:ind w:left="0" w:firstLine="709"/>
        <w:contextualSpacing/>
        <w:jc w:val="left"/>
        <w:rPr>
          <w:rFonts w:ascii="Arial" w:eastAsia="Times New Roman" w:hAnsi="Arial" w:cs="Arial"/>
          <w:szCs w:val="28"/>
          <w:lang w:val="uk-UA" w:eastAsia="ru-RU"/>
        </w:rPr>
      </w:pPr>
      <w:bookmarkStart w:id="300" w:name="_Ref193699388"/>
      <w:r w:rsidRPr="00511005">
        <w:rPr>
          <w:rFonts w:ascii="Arial" w:eastAsia="Times New Roman" w:hAnsi="Arial" w:cs="Arial"/>
          <w:szCs w:val="28"/>
          <w:lang w:val="uk-UA" w:eastAsia="ru-RU"/>
        </w:rPr>
        <w:t xml:space="preserve">Квілінський О.С. Організаційне забезпечення управління розвитком промислового підприємства на прикладі діючої організаційної структури управління. </w:t>
      </w:r>
      <w:r w:rsidRPr="00511005">
        <w:rPr>
          <w:rFonts w:ascii="Arial" w:eastAsia="Times New Roman" w:hAnsi="Arial" w:cs="Arial"/>
          <w:i/>
          <w:iCs/>
          <w:szCs w:val="28"/>
          <w:lang w:val="uk-UA" w:eastAsia="ru-RU"/>
        </w:rPr>
        <w:t>Науковий погляд: економіка та управління</w:t>
      </w:r>
      <w:r w:rsidRPr="00511005">
        <w:rPr>
          <w:rFonts w:ascii="Arial" w:eastAsia="Times New Roman" w:hAnsi="Arial" w:cs="Arial"/>
          <w:szCs w:val="28"/>
          <w:lang w:val="uk-UA" w:eastAsia="ru-RU"/>
        </w:rPr>
        <w:t>. 2020. №2 (68). C 134-137.</w:t>
      </w:r>
      <w:bookmarkEnd w:id="300"/>
    </w:p>
    <w:p w14:paraId="1B3700CE" w14:textId="77777777" w:rsidR="00AE57E7" w:rsidRPr="00511005" w:rsidRDefault="00AE57E7" w:rsidP="003F6A5D">
      <w:pPr>
        <w:numPr>
          <w:ilvl w:val="0"/>
          <w:numId w:val="721"/>
        </w:numPr>
        <w:spacing w:line="264" w:lineRule="auto"/>
        <w:ind w:left="0" w:firstLine="709"/>
        <w:contextualSpacing/>
        <w:jc w:val="left"/>
        <w:rPr>
          <w:rFonts w:ascii="Arial" w:eastAsia="Times New Roman" w:hAnsi="Arial" w:cs="Arial"/>
          <w:szCs w:val="28"/>
          <w:lang w:val="uk-UA" w:eastAsia="ru-RU"/>
        </w:rPr>
      </w:pPr>
      <w:bookmarkStart w:id="301" w:name="_Ref193698509"/>
      <w:r w:rsidRPr="00511005">
        <w:rPr>
          <w:rFonts w:ascii="Arial" w:eastAsia="Times New Roman" w:hAnsi="Arial" w:cs="Arial"/>
          <w:szCs w:val="28"/>
          <w:lang w:val="uk-UA" w:eastAsia="ru-RU"/>
        </w:rPr>
        <w:lastRenderedPageBreak/>
        <w:t>Підписано Закон України, який запускає реформу корпоративного управління! URL: https://www.rada.gov.ua/news/news_kom/247273.html</w:t>
      </w:r>
      <w:bookmarkEnd w:id="301"/>
      <w:r w:rsidRPr="00511005">
        <w:rPr>
          <w:rFonts w:ascii="Arial" w:eastAsia="Times New Roman" w:hAnsi="Arial" w:cs="Arial"/>
          <w:szCs w:val="28"/>
          <w:lang w:val="uk-UA" w:eastAsia="ru-RU"/>
        </w:rPr>
        <w:t>.</w:t>
      </w:r>
    </w:p>
    <w:p w14:paraId="28269E14" w14:textId="77777777" w:rsidR="00AE57E7" w:rsidRPr="00511005" w:rsidRDefault="00AE57E7" w:rsidP="003F6A5D">
      <w:pPr>
        <w:numPr>
          <w:ilvl w:val="0"/>
          <w:numId w:val="721"/>
        </w:numPr>
        <w:spacing w:line="264" w:lineRule="auto"/>
        <w:ind w:left="0" w:firstLine="709"/>
        <w:contextualSpacing/>
        <w:jc w:val="left"/>
        <w:rPr>
          <w:rFonts w:ascii="Arial" w:eastAsia="Times New Roman" w:hAnsi="Arial" w:cs="Arial"/>
          <w:szCs w:val="28"/>
          <w:lang w:val="uk-UA" w:eastAsia="ru-RU"/>
        </w:rPr>
      </w:pPr>
      <w:bookmarkStart w:id="302" w:name="_Ref193698410"/>
      <w:r w:rsidRPr="00511005">
        <w:rPr>
          <w:rFonts w:ascii="Arial" w:eastAsia="Times New Roman" w:hAnsi="Arial" w:cs="Arial"/>
          <w:szCs w:val="28"/>
          <w:lang w:val="uk-UA" w:eastAsia="ru-RU"/>
        </w:rPr>
        <w:t xml:space="preserve">Про внесення змін до деяких законодавчих актів України щодо вдосконалення корпоративного управління. Закон України від 19.03.2024 № 3587-IX. </w:t>
      </w:r>
      <w:r w:rsidRPr="00511005">
        <w:rPr>
          <w:rFonts w:ascii="Arial" w:eastAsia="Times New Roman" w:hAnsi="Arial" w:cs="Arial"/>
          <w:i/>
          <w:iCs/>
          <w:szCs w:val="28"/>
          <w:lang w:val="uk-UA" w:eastAsia="ru-RU"/>
        </w:rPr>
        <w:t>Відомості Верховної Ради України</w:t>
      </w:r>
      <w:r w:rsidRPr="00511005">
        <w:rPr>
          <w:rFonts w:ascii="Arial" w:eastAsia="Times New Roman" w:hAnsi="Arial" w:cs="Arial"/>
          <w:szCs w:val="28"/>
          <w:lang w:val="uk-UA" w:eastAsia="ru-RU"/>
        </w:rPr>
        <w:t>. 2024. № 26. Ст. 1649.</w:t>
      </w:r>
      <w:bookmarkEnd w:id="302"/>
    </w:p>
    <w:p w14:paraId="6C8B246E" w14:textId="77777777" w:rsidR="00AE57E7" w:rsidRPr="00511005" w:rsidRDefault="00AE57E7" w:rsidP="003F6A5D">
      <w:pPr>
        <w:numPr>
          <w:ilvl w:val="0"/>
          <w:numId w:val="721"/>
        </w:numPr>
        <w:spacing w:line="264" w:lineRule="auto"/>
        <w:ind w:left="0" w:firstLine="709"/>
        <w:contextualSpacing/>
        <w:jc w:val="left"/>
        <w:rPr>
          <w:rFonts w:ascii="Arial" w:eastAsia="Times New Roman" w:hAnsi="Arial" w:cs="Arial"/>
          <w:szCs w:val="28"/>
          <w:lang w:val="uk-UA" w:eastAsia="ru-RU"/>
        </w:rPr>
      </w:pPr>
      <w:r w:rsidRPr="00511005">
        <w:rPr>
          <w:rFonts w:ascii="Arial" w:eastAsia="Calibri" w:hAnsi="Arial" w:cs="Arial"/>
          <w:bCs/>
          <w:szCs w:val="28"/>
        </w:rPr>
        <w:t>Як Netflix, Google та інші компанії створюють унікальні корпоративні культури: 6 книг для натхнення</w:t>
      </w:r>
      <w:r w:rsidRPr="00511005">
        <w:rPr>
          <w:rFonts w:ascii="Arial" w:eastAsia="Calibri" w:hAnsi="Arial" w:cs="Arial"/>
          <w:bCs/>
          <w:szCs w:val="28"/>
          <w:lang w:val="uk-UA"/>
        </w:rPr>
        <w:t xml:space="preserve">. </w:t>
      </w:r>
      <w:r w:rsidRPr="00511005">
        <w:rPr>
          <w:rFonts w:ascii="Arial" w:eastAsia="Calibri" w:hAnsi="Arial" w:cs="Arial"/>
          <w:bCs/>
          <w:szCs w:val="28"/>
          <w:lang w:val="pl-PL"/>
        </w:rPr>
        <w:t>URL</w:t>
      </w:r>
      <w:r w:rsidRPr="00511005">
        <w:rPr>
          <w:rFonts w:ascii="Arial" w:eastAsia="Calibri" w:hAnsi="Arial" w:cs="Arial"/>
          <w:bCs/>
          <w:szCs w:val="28"/>
          <w:lang w:val="uk-UA"/>
        </w:rPr>
        <w:t xml:space="preserve">: </w:t>
      </w:r>
      <w:hyperlink r:id="rId2475" w:history="1">
        <w:r w:rsidRPr="00511005">
          <w:rPr>
            <w:rFonts w:ascii="Arial" w:eastAsia="Calibri" w:hAnsi="Arial" w:cs="Arial"/>
            <w:bCs/>
            <w:szCs w:val="28"/>
            <w:lang w:val="uk-UA"/>
          </w:rPr>
          <w:t>https://budni.robota.ua/corporate-culture/yak-netflix-google-ta-inshi-kompaniyi-stvoryuyut-unikalni-korporativni-kulturi-6-knig-dlya-nathnennya</w:t>
        </w:r>
      </w:hyperlink>
      <w:r w:rsidRPr="00511005">
        <w:rPr>
          <w:rFonts w:ascii="Arial" w:eastAsia="Calibri" w:hAnsi="Arial" w:cs="Arial"/>
          <w:bCs/>
          <w:szCs w:val="28"/>
          <w:lang w:val="uk-UA"/>
        </w:rPr>
        <w:t xml:space="preserve"> </w:t>
      </w:r>
    </w:p>
    <w:p w14:paraId="31016E86" w14:textId="77777777" w:rsidR="00AE57E7" w:rsidRPr="00511005" w:rsidRDefault="00AE57E7" w:rsidP="003F6A5D">
      <w:pPr>
        <w:numPr>
          <w:ilvl w:val="0"/>
          <w:numId w:val="721"/>
        </w:numPr>
        <w:spacing w:line="264" w:lineRule="auto"/>
        <w:ind w:left="0" w:firstLine="709"/>
        <w:contextualSpacing/>
        <w:jc w:val="left"/>
        <w:rPr>
          <w:rFonts w:ascii="Arial" w:eastAsia="Times New Roman" w:hAnsi="Arial" w:cs="Arial"/>
          <w:szCs w:val="28"/>
          <w:lang w:val="uk-UA" w:eastAsia="ru-RU"/>
        </w:rPr>
      </w:pPr>
      <w:bookmarkStart w:id="303" w:name="_Ref193699637"/>
      <w:r w:rsidRPr="00511005">
        <w:rPr>
          <w:rFonts w:ascii="Arial" w:eastAsia="Times New Roman" w:hAnsi="Arial" w:cs="Arial"/>
          <w:szCs w:val="28"/>
          <w:lang w:val="uk-UA" w:eastAsia="ru-RU"/>
        </w:rPr>
        <w:t xml:space="preserve">Patagonia. URL: </w:t>
      </w:r>
      <w:hyperlink r:id="rId2476" w:history="1">
        <w:r w:rsidRPr="00511005">
          <w:rPr>
            <w:rFonts w:ascii="Arial" w:eastAsia="Times New Roman" w:hAnsi="Arial" w:cs="Arial"/>
            <w:szCs w:val="28"/>
            <w:lang w:val="uk-UA" w:eastAsia="ru-RU"/>
          </w:rPr>
          <w:t>https://www.patagonia.com/home/</w:t>
        </w:r>
      </w:hyperlink>
      <w:bookmarkEnd w:id="303"/>
      <w:r w:rsidRPr="00511005">
        <w:rPr>
          <w:rFonts w:ascii="Arial" w:eastAsia="Times New Roman" w:hAnsi="Arial" w:cs="Arial"/>
          <w:szCs w:val="28"/>
          <w:lang w:val="uk-UA" w:eastAsia="ru-RU"/>
        </w:rPr>
        <w:t>.</w:t>
      </w:r>
    </w:p>
    <w:p w14:paraId="1EF9C726" w14:textId="77777777" w:rsidR="00AE57E7" w:rsidRPr="00511005" w:rsidRDefault="00AE57E7" w:rsidP="003A292D">
      <w:pPr>
        <w:spacing w:line="264" w:lineRule="auto"/>
        <w:rPr>
          <w:rFonts w:ascii="Arial" w:eastAsia="Times New Roman" w:hAnsi="Arial" w:cs="Arial"/>
          <w:szCs w:val="28"/>
          <w:lang w:val="uk-UA" w:eastAsia="ru-RU"/>
        </w:rPr>
      </w:pPr>
    </w:p>
    <w:p w14:paraId="6F59C6AE" w14:textId="77617032" w:rsidR="00AE57E7" w:rsidRPr="00511005" w:rsidRDefault="007B2628" w:rsidP="003A292D">
      <w:pPr>
        <w:spacing w:line="264" w:lineRule="auto"/>
        <w:rPr>
          <w:rFonts w:ascii="Arial" w:eastAsia="Calibri" w:hAnsi="Arial" w:cs="Arial"/>
          <w:bCs/>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bCs/>
          <w:szCs w:val="28"/>
          <w:lang w:val="uk-UA"/>
        </w:rPr>
        <w:t>корпоративна культура, ефективність, управління корпоративною культурою.</w:t>
      </w:r>
    </w:p>
    <w:p w14:paraId="62280528" w14:textId="2D9D19FE" w:rsidR="00AE57E7" w:rsidRPr="00511005" w:rsidRDefault="007B2628" w:rsidP="003A292D">
      <w:pPr>
        <w:spacing w:line="264" w:lineRule="auto"/>
        <w:rPr>
          <w:rFonts w:ascii="Arial" w:eastAsia="Calibri" w:hAnsi="Arial" w:cs="Arial"/>
          <w:bCs/>
          <w:szCs w:val="28"/>
          <w:lang w:val="en-US"/>
        </w:rPr>
      </w:pPr>
      <w:r w:rsidRPr="00511005">
        <w:rPr>
          <w:rFonts w:ascii="Arial" w:eastAsia="Calibri" w:hAnsi="Arial" w:cs="Arial"/>
          <w:b/>
          <w:i/>
          <w:szCs w:val="28"/>
          <w:lang w:val="uk-UA"/>
        </w:rPr>
        <w:t xml:space="preserve">Key words: </w:t>
      </w:r>
      <w:r w:rsidR="00AE57E7" w:rsidRPr="00511005">
        <w:rPr>
          <w:rFonts w:ascii="Arial" w:eastAsia="Calibri" w:hAnsi="Arial" w:cs="Arial"/>
          <w:bCs/>
          <w:szCs w:val="28"/>
          <w:lang w:val="uk-UA"/>
        </w:rPr>
        <w:t>сorporate culture, еffectiveness, мanagement of corporate culture.</w:t>
      </w:r>
    </w:p>
    <w:p w14:paraId="345ACACA" w14:textId="2E88D5A1" w:rsidR="00AE57E7" w:rsidRPr="00511005" w:rsidRDefault="007B2628" w:rsidP="003A292D">
      <w:pPr>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AE57E7" w:rsidRPr="00511005">
        <w:rPr>
          <w:rFonts w:ascii="Arial" w:eastAsia="Times New Roman" w:hAnsi="Arial" w:cs="Arial"/>
          <w:i/>
          <w:iCs/>
          <w:szCs w:val="28"/>
          <w:lang w:val="en-US" w:eastAsia="ru-RU"/>
        </w:rPr>
        <w:t>PhD</w:t>
      </w:r>
      <w:r w:rsidR="00AE57E7" w:rsidRPr="00511005">
        <w:rPr>
          <w:rFonts w:ascii="Arial" w:eastAsia="Times New Roman" w:hAnsi="Arial" w:cs="Arial"/>
          <w:i/>
          <w:iCs/>
          <w:szCs w:val="28"/>
          <w:lang w:val="uk-UA" w:eastAsia="ru-RU"/>
        </w:rPr>
        <w:t>., доцент Корнілова О.В.</w:t>
      </w:r>
    </w:p>
    <w:p w14:paraId="1A227982" w14:textId="77777777" w:rsidR="00AE57E7" w:rsidRPr="00511005" w:rsidRDefault="00AE57E7" w:rsidP="003A292D">
      <w:pPr>
        <w:spacing w:line="264" w:lineRule="auto"/>
        <w:rPr>
          <w:rFonts w:ascii="Arial" w:eastAsia="Times New Roman" w:hAnsi="Arial" w:cs="Arial"/>
          <w:szCs w:val="28"/>
          <w:lang w:val="uk-UA" w:eastAsia="ru-RU"/>
        </w:rPr>
      </w:pPr>
    </w:p>
    <w:p w14:paraId="379C26B3" w14:textId="77777777" w:rsidR="00AE57E7" w:rsidRPr="00511005" w:rsidRDefault="00AE57E7" w:rsidP="003A292D">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Зідрашко Олександра Олександрівна</w:t>
      </w:r>
    </w:p>
    <w:p w14:paraId="7C857CE3" w14:textId="5CC149F6" w:rsidR="00AE57E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3-го курсу факультету адвокатури та антикорупційної діяльності</w:t>
      </w:r>
      <w:r w:rsidR="00AE57E7"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281504D5" w14:textId="77777777" w:rsidR="00AE57E7" w:rsidRPr="00511005" w:rsidRDefault="00AE57E7" w:rsidP="003A292D">
      <w:pPr>
        <w:keepNext/>
        <w:spacing w:line="264" w:lineRule="auto"/>
        <w:ind w:firstLine="0"/>
        <w:jc w:val="center"/>
        <w:rPr>
          <w:rFonts w:ascii="Arial" w:eastAsia="Times New Roman" w:hAnsi="Arial" w:cs="Arial"/>
          <w:i/>
          <w:szCs w:val="28"/>
          <w:lang w:val="uk-UA" w:eastAsia="ru-RU"/>
        </w:rPr>
      </w:pPr>
    </w:p>
    <w:p w14:paraId="4967164D" w14:textId="77777777" w:rsidR="00AE57E7" w:rsidRPr="00511005" w:rsidRDefault="00AE57E7" w:rsidP="003A292D">
      <w:pPr>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eastAsia="ru-RU"/>
        </w:rPr>
        <w:t>РОЛЬ МЕНЕДЖМЕНТУ В УМОВАХ ЦИФРОВОЇ ТРАНСФОРМАЦІЇ</w:t>
      </w:r>
    </w:p>
    <w:p w14:paraId="12CF6749" w14:textId="77777777" w:rsidR="00AE57E7" w:rsidRPr="00511005" w:rsidRDefault="00AE57E7" w:rsidP="003A292D">
      <w:pPr>
        <w:spacing w:line="264" w:lineRule="auto"/>
        <w:jc w:val="center"/>
        <w:rPr>
          <w:rFonts w:ascii="Arial" w:eastAsia="Times New Roman" w:hAnsi="Arial" w:cs="Arial"/>
          <w:b/>
          <w:szCs w:val="28"/>
          <w:lang w:eastAsia="ru-RU"/>
        </w:rPr>
      </w:pPr>
    </w:p>
    <w:p w14:paraId="39BA10C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Сучасна економіка України перебуває на етапі активних трансформацій, зумовлених глобальними тенденціями цифровізації. Цифрова трансформація змінює підходи до управління бізнесом, створюючи нові можливості для економічного зростання, але водночас вимагаючи від менеджерів адаптації до нових викликів. Згідно з даними Всесвітнього економічного форуму, до 2025 року цифрова економіка може становити до 25% світового ВВП, що підкреслює її значення для національних економік [1].</w:t>
      </w:r>
    </w:p>
    <w:p w14:paraId="32231B35"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 Україні цифрова трансформація підтримується державними ініціативами, такими як «Дія» та програми розвитку електронної комерції, однак лише 30% організацій активно використовують цифрові інструменти в управлінні [2]. У цьому контексті менеджмент відіграє ключову роль у формуванні економічних стратегій, спрямованих на забезпечення конкурентоспроможності та сталого розвитку. </w:t>
      </w:r>
    </w:p>
    <w:p w14:paraId="07D78378"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Цифрова трансформація передбачає інтеграцію цифрових технологій у всі аспекти діяльності організації, включаючи управління, маркетинг, виробництво та взаємодію з клієнтами. Цей процес кардинально змінює бізнес-моделі, сприяючи підвищенню ефективності та створенню нових </w:t>
      </w:r>
      <w:r w:rsidRPr="00511005">
        <w:rPr>
          <w:rFonts w:ascii="Arial" w:eastAsia="Times New Roman" w:hAnsi="Arial" w:cs="Arial"/>
          <w:szCs w:val="28"/>
          <w:lang w:val="uk-UA" w:eastAsia="ru-RU"/>
        </w:rPr>
        <w:lastRenderedPageBreak/>
        <w:t>джерел доходів. Наприклад, використання аналітики великих даних (big data) дозволяє прогнозувати ринкові тенденції, а автоматизація бізнес-процесів знижує операційні витрати [3]. В Україні цифрова трансформація набирає обертів завдяки розвитку ІТ-сектору, який генерує понад 4% ВВП [4].</w:t>
      </w:r>
    </w:p>
    <w:p w14:paraId="71DB437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Проте впровадження цифрових технологій супроводжується низкою викликів, зокрема:</w:t>
      </w:r>
    </w:p>
    <w:p w14:paraId="03B756BE" w14:textId="77777777" w:rsidR="00AE57E7" w:rsidRPr="00511005" w:rsidRDefault="00AE57E7" w:rsidP="003F6A5D">
      <w:pPr>
        <w:numPr>
          <w:ilvl w:val="0"/>
          <w:numId w:val="722"/>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Нестача кваліфікованих кадрів. Більшість українських організацій стикаються з дефіцитом фахівців, які володіють навичками роботи з цифровими інструментами, такими як штучний інтелект чи хмарні технології.</w:t>
      </w:r>
    </w:p>
    <w:p w14:paraId="2B8760E9" w14:textId="77777777" w:rsidR="00AE57E7" w:rsidRPr="00511005" w:rsidRDefault="00AE57E7" w:rsidP="003F6A5D">
      <w:pPr>
        <w:numPr>
          <w:ilvl w:val="0"/>
          <w:numId w:val="722"/>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Фінансові обмеження. Впровадження інновацій вимагає значних інвестицій, що є проблемою для малого та середнього бізнесу.</w:t>
      </w:r>
    </w:p>
    <w:p w14:paraId="039D92BB" w14:textId="77777777" w:rsidR="00AE57E7" w:rsidRPr="00511005" w:rsidRDefault="00AE57E7" w:rsidP="003F6A5D">
      <w:pPr>
        <w:numPr>
          <w:ilvl w:val="0"/>
          <w:numId w:val="722"/>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Опір змінам. Традиційні підходи до управління та корпоративна культура часто стають бар’єрами для цифровізації.</w:t>
      </w:r>
    </w:p>
    <w:p w14:paraId="4F12B95E"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Попри ці виклики, цифрова трансформація відкриває широкі можливості. Наприклад, електронна комерція дозволяє українським організаціям виходити на міжнародні ринки, а використання CRM-систем сприяє покращенню клієнтського досвіду. Успішні кейси, зокрема маркетплейс Rozetka чи ІТ-компанія SoftServe, демонструють, що цифрова трансформація може стати драйвером економічного зростання.</w:t>
      </w:r>
    </w:p>
    <w:p w14:paraId="1C5E3626"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Цифрова трансформація вимагає від менеджерів нових знань і навичок. За даними досліджень, 70% керівників вважають, що їм бракує компетенцій для ефективного управління в умовах цифровізації [5]. Основні компетенції, які стають необхідними, є такими:</w:t>
      </w:r>
    </w:p>
    <w:p w14:paraId="655011F7" w14:textId="77777777" w:rsidR="00AE57E7" w:rsidRPr="00511005" w:rsidRDefault="00AE57E7" w:rsidP="003F6A5D">
      <w:pPr>
        <w:numPr>
          <w:ilvl w:val="0"/>
          <w:numId w:val="724"/>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bCs/>
          <w:szCs w:val="28"/>
          <w:lang w:val="uk-UA" w:eastAsia="ru-RU"/>
        </w:rPr>
        <w:t>Цифрова грамотність</w:t>
      </w:r>
      <w:r w:rsidRPr="00511005">
        <w:rPr>
          <w:rFonts w:ascii="Arial" w:eastAsia="Times New Roman" w:hAnsi="Arial" w:cs="Arial"/>
          <w:szCs w:val="28"/>
          <w:lang w:val="uk-UA" w:eastAsia="ru-RU"/>
        </w:rPr>
        <w:t>.</w:t>
      </w:r>
    </w:p>
    <w:p w14:paraId="4BCE197B" w14:textId="77777777" w:rsidR="00AE57E7" w:rsidRPr="00511005" w:rsidRDefault="00AE57E7" w:rsidP="003F6A5D">
      <w:pPr>
        <w:numPr>
          <w:ilvl w:val="0"/>
          <w:numId w:val="724"/>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bCs/>
          <w:szCs w:val="28"/>
          <w:lang w:val="uk-UA" w:eastAsia="ru-RU"/>
        </w:rPr>
        <w:t>Стратегічне мислення.</w:t>
      </w:r>
    </w:p>
    <w:p w14:paraId="3CB45AFA" w14:textId="77777777" w:rsidR="00AE57E7" w:rsidRPr="00511005" w:rsidRDefault="00AE57E7" w:rsidP="003F6A5D">
      <w:pPr>
        <w:numPr>
          <w:ilvl w:val="0"/>
          <w:numId w:val="724"/>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bCs/>
          <w:szCs w:val="28"/>
          <w:lang w:val="uk-UA" w:eastAsia="ru-RU"/>
        </w:rPr>
        <w:t>Лідерство.</w:t>
      </w:r>
    </w:p>
    <w:p w14:paraId="6E12F3BF" w14:textId="77777777" w:rsidR="00AE57E7" w:rsidRPr="00511005" w:rsidRDefault="00AE57E7" w:rsidP="003F6A5D">
      <w:pPr>
        <w:numPr>
          <w:ilvl w:val="0"/>
          <w:numId w:val="724"/>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bCs/>
          <w:szCs w:val="28"/>
          <w:lang w:val="uk-UA" w:eastAsia="ru-RU"/>
        </w:rPr>
        <w:t>Аналітичні навички.</w:t>
      </w:r>
      <w:r w:rsidRPr="00511005">
        <w:rPr>
          <w:rFonts w:ascii="Arial" w:eastAsia="Times New Roman" w:hAnsi="Arial" w:cs="Arial"/>
          <w:szCs w:val="28"/>
          <w:lang w:val="uk-UA" w:eastAsia="ru-RU"/>
        </w:rPr>
        <w:t xml:space="preserve"> </w:t>
      </w:r>
    </w:p>
    <w:p w14:paraId="681DD8C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Для розвитку цих компетенцій менеджерам необхідно інвестувати в професійне навчання, брати участь у тренінгах і співпрацювати з ІТ-фахівцями. Наприклад, проходження курсів з Agile/Scrum чи аналітики даних може значно підвищити ефективність управління [3].</w:t>
      </w:r>
    </w:p>
    <w:p w14:paraId="5C131866"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Менеджмент відіграє ключову роль у реалізації економічних стратегій, спрямованих на забезпечення цифрової трансформації організацій, що є критично важливим у сучасних умовах глобальної конкуренції та технологічного прогресу. Ефективне управління виступає основним рушієм інтеграції цифрових технологій у бізнес-процеси, сприяючи підвищенню продуктивності, оптимізації ресурсів та створенню нових ринкових можливостей. У цьому контексті менеджери виконують низку стратегічно важливих функцій, які охоплюють розробку довгострокових планів, </w:t>
      </w:r>
      <w:r w:rsidRPr="00511005">
        <w:rPr>
          <w:rFonts w:ascii="Arial" w:eastAsia="Times New Roman" w:hAnsi="Arial" w:cs="Arial"/>
          <w:szCs w:val="28"/>
          <w:lang w:val="uk-UA" w:eastAsia="ru-RU"/>
        </w:rPr>
        <w:lastRenderedPageBreak/>
        <w:t>управління організаційними змінами та впровадження інноваційних підходів, що відповідають викликам цифрової економіки.</w:t>
      </w:r>
    </w:p>
    <w:p w14:paraId="639BD86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Одним із основних завдань менеджменту є розробка стратегій, які враховують глобальні тенденції цифровізації та технологічні інновації. Ці стратегії мають бути ґрунтовними, базуватися на аналізі ринкових трендів і передбачати впровадження сучасних інформаційних систем, таких як системи планування ресурсів організації (ERP), наприклад, SAP або Oracle. Такі системи дозволяють оптимізувати управління ресурсами, автоматизувати бізнес-процеси та підвищувати операційну ефективність. Крім того, стратегічне планування передбачає врахування довгострокових цілей організації, зокрема її адаптацію до швидкозмінного технологічного середовища, що вимагає від менеджерів глибокого розуміння як технологічних, так і економічних аспектів [4].</w:t>
      </w:r>
    </w:p>
    <w:p w14:paraId="6CCA7921"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Ще одним важливим аспектом діяльності менеджерів є управління організаційними змінами, які супроводжують процес цифрової трансформації. Впровадження нових технологій часто стикається з опором з боку працівників через страх перед невідомим, брак необхідних навичок або зміну звичних робочих процесів. Для подолання цих бар’єрів менеджери повинні розробляти комплексні програми навчання, спрямовані на підвищення цифрової грамотності персоналу, а також створювати мотиваційні механізми, які сприяють адаптації до нових умов. Ефективне управління змінами передбачає не лише технічну підготовку, але й формування організаційної культури, відкритої до інновацій, що є запорукою успішного переходу до цифрових технологій.</w:t>
      </w:r>
    </w:p>
    <w:p w14:paraId="2E95D549"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Інноваційний підхід у менеджменті забезпечує конкурентоспроможність організацій у цифрову епоху. Впровадження сучасних інструментів, таких як автоматизація маркетингових процесів, аналітика великих даних або використання чат-ботів на основі штучного інтелекту, дозволяє організаціям створювати нові продукти та послуги, що відповідають мінливим потребам ринку. Такі технології не лише підвищують ефективність взаємодії з клієнтами, але й сприяють розвитку нових бізнес-моделей, які забезпечують стійке економічне зростання. Інноваційний менеджмент вимагає від керівників здатності до швидкого реагування на технологічні зміни та вміння інтегрувати нові рішення в стратегічний розвиток організації.</w:t>
      </w:r>
    </w:p>
    <w:p w14:paraId="4524136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Яскравим прикладом успішного застосування менеджменту в контексті цифрової трансформації є діяльність американської ІТ-компанії EPAM Systems, яка займає провідні позиції на глобальному ринку інформаційних технологій. Завдяки ефективному управлінню, систематичному впровадженню цифрових технологій та значним інвестиціям у розвиток людського капіталу, EPAM демонструє високі показники продуктивності та інноваційності. Досвід компанії підкреслює важливість поєднання </w:t>
      </w:r>
      <w:r w:rsidRPr="00511005">
        <w:rPr>
          <w:rFonts w:ascii="Arial" w:eastAsia="Times New Roman" w:hAnsi="Arial" w:cs="Arial"/>
          <w:szCs w:val="28"/>
          <w:lang w:val="uk-UA" w:eastAsia="ru-RU"/>
        </w:rPr>
        <w:lastRenderedPageBreak/>
        <w:t>технологічних інновацій із стратегічним управлінням, що дозволяє не лише адаптуватися до змін, але й формувати нові стандарти в галузі. Інвестиції в цифрові інструменти, такі як хмарні технології чи аналітичні платформи, у поєднанні з фокусом на професійний розвиток працівників, створюють міцну основу для економічного зростання та посилення конкурентних позицій на міжнародному рівні[5]</w:t>
      </w:r>
    </w:p>
    <w:p w14:paraId="1408637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Для ефективної реалізації економічних стратегій у контексті цифрової трансформації менеджерам необхідно зосередитися на кількох ключових напрямах. Спочатку варто інвестувати в професійне навчання персоналу, зокрема через організацію тренінгів із цифрових технологій, що сприятиме підвищенню конкурентоспроможності організації. Далі, застосування хмарних сервісів, таких як Microsoft Azure або Google Cloud, забезпечує зниження витрат на інфраструктуру та підвищує гнучкість бізнес-процесів. Крім того, активна взаємодія з державними ініціативами, наприклад, участь у грантових програмах на кшталт «Цифрова трансформація МСБ»</w:t>
      </w:r>
      <w:r w:rsidRPr="00511005">
        <w:rPr>
          <w:rFonts w:ascii="Arial" w:eastAsia="Times New Roman" w:hAnsi="Arial" w:cs="Arial"/>
          <w:szCs w:val="28"/>
          <w:lang w:eastAsia="ru-RU"/>
        </w:rPr>
        <w:t>[6]</w:t>
      </w:r>
      <w:r w:rsidRPr="00511005">
        <w:rPr>
          <w:rFonts w:ascii="Arial" w:eastAsia="Times New Roman" w:hAnsi="Arial" w:cs="Arial"/>
          <w:szCs w:val="28"/>
          <w:lang w:val="uk-UA" w:eastAsia="ru-RU"/>
        </w:rPr>
        <w:t>, може забезпечити фінансування для інноваційних проєктів. Також упровадження інструментів аналітики даних, таких як Power BI чи Tableau, дозволяє менеджерам приймати обґрунтовані рішення на основі емпіричних даних. Нарешті, розвиток партнерств із ІТ-компаніями та стартапами сприяє обміну досвідом і прискорює впровадження інноваційних рішень, що є важливим для адаптації до умов цифрової економіки. Цифрова трансформація є невід’ємною частиною економічного розвитку України, а менеджмент відіграє ключову роль у реалізації стратегій, спрямованих на підвищення конкурентоспроможності. Успішна адаптація до нових умов вимагає від менеджерів розвитку нових компетенцій, гнучкості та інноваційного підходу. Українські компанії, які активно впроваджують цифрові технології, демонструють значний потенціал для зростання на внутрішньому та міжнародному ринках. Подальші дослідження можуть бути зосереджені на аналізі впливу цифрової трансформації на окремі сектори економіки, такі як агропромисловий комплекс чи енергетика.</w:t>
      </w:r>
    </w:p>
    <w:p w14:paraId="20DD2719" w14:textId="77777777" w:rsidR="00AE57E7" w:rsidRPr="00511005" w:rsidRDefault="00AE57E7" w:rsidP="003A292D">
      <w:pPr>
        <w:spacing w:line="264" w:lineRule="auto"/>
        <w:jc w:val="left"/>
        <w:rPr>
          <w:rFonts w:ascii="Arial" w:eastAsia="Times New Roman" w:hAnsi="Arial" w:cs="Arial"/>
          <w:szCs w:val="28"/>
          <w:lang w:val="uk-UA" w:eastAsia="ru-RU"/>
        </w:rPr>
      </w:pPr>
    </w:p>
    <w:p w14:paraId="5F31B383" w14:textId="1C3E95AC" w:rsidR="00AE57E7" w:rsidRPr="00511005" w:rsidRDefault="007B2628" w:rsidP="007B2628">
      <w:pPr>
        <w:keepNext/>
        <w:widowControl w:val="0"/>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10C082BB" w14:textId="77777777" w:rsidR="00AE57E7" w:rsidRPr="00511005" w:rsidRDefault="00AE57E7" w:rsidP="003F6A5D">
      <w:pPr>
        <w:numPr>
          <w:ilvl w:val="0"/>
          <w:numId w:val="723"/>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The Future of Jobs Report 2025. World Economic Forum. URL: https://www.weforum.org/publications/the-future-of-jobs-report-2025/. </w:t>
      </w:r>
    </w:p>
    <w:p w14:paraId="4464071E" w14:textId="77777777" w:rsidR="00AE57E7" w:rsidRPr="00511005" w:rsidRDefault="00AE57E7" w:rsidP="003F6A5D">
      <w:pPr>
        <w:numPr>
          <w:ilvl w:val="0"/>
          <w:numId w:val="723"/>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Цифрова трансформація економіки України в умовах війни. Національний інститут стратегічних досліджень. URL: </w:t>
      </w:r>
      <w:hyperlink r:id="rId2477" w:history="1">
        <w:r w:rsidRPr="00511005">
          <w:rPr>
            <w:rFonts w:ascii="Arial" w:eastAsia="Times New Roman" w:hAnsi="Arial" w:cs="Arial"/>
            <w:szCs w:val="28"/>
            <w:lang w:val="uk-UA" w:eastAsia="ru-RU"/>
          </w:rPr>
          <w:t>https://niss.gov.ua/news/komentari-ekspertiv/tsyfrova-transformatsiya-ekonomiky-ukrayiny-v-umovakh-viyny-traven-2024</w:t>
        </w:r>
      </w:hyperlink>
      <w:r w:rsidRPr="00511005">
        <w:rPr>
          <w:rFonts w:ascii="Arial" w:eastAsia="Times New Roman" w:hAnsi="Arial" w:cs="Arial"/>
          <w:szCs w:val="28"/>
          <w:lang w:val="uk-UA" w:eastAsia="ru-RU"/>
        </w:rPr>
        <w:t>.</w:t>
      </w:r>
    </w:p>
    <w:p w14:paraId="4C71D2CE" w14:textId="77777777" w:rsidR="00AE57E7" w:rsidRPr="00511005" w:rsidRDefault="00AE57E7" w:rsidP="003F6A5D">
      <w:pPr>
        <w:numPr>
          <w:ilvl w:val="0"/>
          <w:numId w:val="723"/>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Котлер Ф., Картаджайя Х., Сетьяван Ї. Маркетинг 4.0. Від традиційного до цифрового. Київ: КМ-БУКС, 2019. 208 с. </w:t>
      </w:r>
    </w:p>
    <w:p w14:paraId="45B0F88F" w14:textId="77777777" w:rsidR="00AE57E7" w:rsidRPr="00511005" w:rsidRDefault="00AE57E7" w:rsidP="003F6A5D">
      <w:pPr>
        <w:numPr>
          <w:ilvl w:val="0"/>
          <w:numId w:val="723"/>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Планування ресурсів підприємства. Вікіпедія. URL: https://uk.wikipedia.org/wiki/Планування_ресурсів_підприємства (дата звернення: 29.04.2025). </w:t>
      </w:r>
    </w:p>
    <w:p w14:paraId="313C69FB" w14:textId="77777777" w:rsidR="00AE57E7" w:rsidRPr="00511005" w:rsidRDefault="00AE57E7" w:rsidP="003F6A5D">
      <w:pPr>
        <w:numPr>
          <w:ilvl w:val="0"/>
          <w:numId w:val="723"/>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Evolution and Transformation since 1993. EPAM Systems. URL: </w:t>
      </w:r>
      <w:hyperlink r:id="rId2478" w:history="1">
        <w:r w:rsidRPr="00511005">
          <w:rPr>
            <w:rFonts w:ascii="Arial" w:eastAsia="Times New Roman" w:hAnsi="Arial" w:cs="Arial"/>
            <w:szCs w:val="28"/>
            <w:lang w:val="uk-UA" w:eastAsia="ru-RU"/>
          </w:rPr>
          <w:t>https://www.epam.com/about/who-we-are/history</w:t>
        </w:r>
      </w:hyperlink>
      <w:r w:rsidRPr="00511005">
        <w:rPr>
          <w:rFonts w:ascii="Arial" w:eastAsia="Times New Roman" w:hAnsi="Arial" w:cs="Arial"/>
          <w:szCs w:val="28"/>
          <w:lang w:val="uk-UA" w:eastAsia="ru-RU"/>
        </w:rPr>
        <w:t>.</w:t>
      </w:r>
    </w:p>
    <w:p w14:paraId="75BA8877" w14:textId="77777777" w:rsidR="00AE57E7" w:rsidRPr="00511005" w:rsidRDefault="00AE57E7" w:rsidP="003F6A5D">
      <w:pPr>
        <w:numPr>
          <w:ilvl w:val="0"/>
          <w:numId w:val="723"/>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Бородіна А., Могилевська О., Перерва Т. Цифрова трансформація малого та середнього бізнесу в Україні з використанням блокчейну. </w:t>
      </w:r>
      <w:r w:rsidRPr="00511005">
        <w:rPr>
          <w:rFonts w:ascii="Arial" w:eastAsia="Times New Roman" w:hAnsi="Arial" w:cs="Arial"/>
          <w:i/>
          <w:iCs/>
          <w:szCs w:val="28"/>
          <w:lang w:val="uk-UA" w:eastAsia="ru-RU"/>
        </w:rPr>
        <w:t>Київський економічний науковий журнал</w:t>
      </w:r>
      <w:r w:rsidRPr="00511005">
        <w:rPr>
          <w:rFonts w:ascii="Arial" w:eastAsia="Times New Roman" w:hAnsi="Arial" w:cs="Arial"/>
          <w:szCs w:val="28"/>
          <w:lang w:val="uk-UA" w:eastAsia="ru-RU"/>
        </w:rPr>
        <w:t xml:space="preserve">. 2024. № 7. С. 31-35. URL: </w:t>
      </w:r>
      <w:hyperlink r:id="rId2479" w:history="1">
        <w:r w:rsidRPr="00511005">
          <w:rPr>
            <w:rFonts w:ascii="Arial" w:eastAsia="Times New Roman" w:hAnsi="Arial" w:cs="Arial"/>
            <w:szCs w:val="28"/>
            <w:lang w:val="uk-UA" w:eastAsia="ru-RU"/>
          </w:rPr>
          <w:t>https://doi.org/10.32782/2786-765X/2024-7-4</w:t>
        </w:r>
      </w:hyperlink>
      <w:r w:rsidRPr="00511005">
        <w:rPr>
          <w:rFonts w:ascii="Arial" w:eastAsia="Times New Roman" w:hAnsi="Arial" w:cs="Arial"/>
          <w:szCs w:val="28"/>
          <w:lang w:val="uk-UA" w:eastAsia="ru-RU"/>
        </w:rPr>
        <w:t>.</w:t>
      </w:r>
    </w:p>
    <w:p w14:paraId="1012259C" w14:textId="34B9FD31"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менеджмент, цифрова трансормація, цифровізація, організаційні зміни, інновації.</w:t>
      </w:r>
    </w:p>
    <w:p w14:paraId="23398633" w14:textId="7EAF467B" w:rsidR="00AE57E7" w:rsidRPr="00511005" w:rsidRDefault="007B2628" w:rsidP="003A292D">
      <w:pPr>
        <w:spacing w:line="264" w:lineRule="auto"/>
        <w:jc w:val="left"/>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AE57E7" w:rsidRPr="00511005">
        <w:rPr>
          <w:rFonts w:ascii="Arial" w:eastAsia="Times New Roman" w:hAnsi="Arial" w:cs="Arial"/>
          <w:szCs w:val="28"/>
          <w:lang w:val="en-US" w:eastAsia="ru-RU"/>
        </w:rPr>
        <w:t>m</w:t>
      </w:r>
      <w:r w:rsidR="00AE57E7" w:rsidRPr="00511005">
        <w:rPr>
          <w:rFonts w:ascii="Arial" w:eastAsia="Times New Roman" w:hAnsi="Arial" w:cs="Arial"/>
          <w:szCs w:val="28"/>
          <w:lang w:val="uk-UA" w:eastAsia="ru-RU"/>
        </w:rPr>
        <w:t>anagement</w:t>
      </w:r>
      <w:r w:rsidR="00AE57E7" w:rsidRPr="00511005">
        <w:rPr>
          <w:rFonts w:ascii="Arial" w:eastAsia="Times New Roman" w:hAnsi="Arial" w:cs="Arial"/>
          <w:szCs w:val="28"/>
          <w:lang w:val="en-US" w:eastAsia="ru-RU"/>
        </w:rPr>
        <w:t>, d</w:t>
      </w:r>
      <w:r w:rsidR="00AE57E7" w:rsidRPr="00511005">
        <w:rPr>
          <w:rFonts w:ascii="Arial" w:eastAsia="Times New Roman" w:hAnsi="Arial" w:cs="Arial"/>
          <w:szCs w:val="28"/>
          <w:lang w:val="uk-UA" w:eastAsia="ru-RU"/>
        </w:rPr>
        <w:t>igital transformation</w:t>
      </w:r>
      <w:r w:rsidR="00AE57E7" w:rsidRPr="00511005">
        <w:rPr>
          <w:rFonts w:ascii="Arial" w:eastAsia="Times New Roman" w:hAnsi="Arial" w:cs="Arial"/>
          <w:szCs w:val="28"/>
          <w:lang w:val="en-US" w:eastAsia="ru-RU"/>
        </w:rPr>
        <w:t>, d</w:t>
      </w:r>
      <w:r w:rsidR="00AE57E7" w:rsidRPr="00511005">
        <w:rPr>
          <w:rFonts w:ascii="Arial" w:eastAsia="Times New Roman" w:hAnsi="Arial" w:cs="Arial"/>
          <w:szCs w:val="28"/>
          <w:lang w:val="uk-UA" w:eastAsia="ru-RU"/>
        </w:rPr>
        <w:t>igitalization</w:t>
      </w:r>
      <w:r w:rsidR="00AE57E7" w:rsidRPr="00511005">
        <w:rPr>
          <w:rFonts w:ascii="Arial" w:eastAsia="Times New Roman" w:hAnsi="Arial" w:cs="Arial"/>
          <w:szCs w:val="28"/>
          <w:lang w:val="en-US" w:eastAsia="ru-RU"/>
        </w:rPr>
        <w:t>, o</w:t>
      </w:r>
      <w:r w:rsidR="00AE57E7" w:rsidRPr="00511005">
        <w:rPr>
          <w:rFonts w:ascii="Arial" w:eastAsia="Times New Roman" w:hAnsi="Arial" w:cs="Arial"/>
          <w:szCs w:val="28"/>
          <w:lang w:val="uk-UA" w:eastAsia="ru-RU"/>
        </w:rPr>
        <w:t>rganizational changes</w:t>
      </w:r>
      <w:r w:rsidR="00AE57E7" w:rsidRPr="00511005">
        <w:rPr>
          <w:rFonts w:ascii="Arial" w:eastAsia="Times New Roman" w:hAnsi="Arial" w:cs="Arial"/>
          <w:szCs w:val="28"/>
          <w:lang w:val="en-US" w:eastAsia="ru-RU"/>
        </w:rPr>
        <w:t>, i</w:t>
      </w:r>
      <w:r w:rsidR="00AE57E7" w:rsidRPr="00511005">
        <w:rPr>
          <w:rFonts w:ascii="Arial" w:eastAsia="Times New Roman" w:hAnsi="Arial" w:cs="Arial"/>
          <w:szCs w:val="28"/>
          <w:lang w:val="uk-UA" w:eastAsia="ru-RU"/>
        </w:rPr>
        <w:t>nnovations.</w:t>
      </w:r>
    </w:p>
    <w:p w14:paraId="70DE12AA" w14:textId="2C39C622" w:rsidR="00AE57E7" w:rsidRPr="00511005" w:rsidRDefault="007B2628" w:rsidP="003A292D">
      <w:pPr>
        <w:spacing w:line="264" w:lineRule="auto"/>
        <w:jc w:val="left"/>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AE57E7" w:rsidRPr="00511005">
        <w:rPr>
          <w:rFonts w:ascii="Arial" w:eastAsia="Times New Roman" w:hAnsi="Arial" w:cs="Arial"/>
          <w:i/>
          <w:szCs w:val="28"/>
          <w:lang w:val="uk-UA" w:eastAsia="ru-RU"/>
        </w:rPr>
        <w:t>д.е.н., професор Кібік О.М.</w:t>
      </w:r>
    </w:p>
    <w:p w14:paraId="3F72CC56" w14:textId="3215CBBF" w:rsidR="00B56F28" w:rsidRPr="00511005" w:rsidRDefault="00B56F28" w:rsidP="003A292D">
      <w:pPr>
        <w:spacing w:line="264" w:lineRule="auto"/>
        <w:jc w:val="left"/>
        <w:rPr>
          <w:rFonts w:ascii="Arial" w:eastAsia="Times New Roman" w:hAnsi="Arial" w:cs="Arial"/>
          <w:i/>
          <w:szCs w:val="28"/>
          <w:lang w:val="uk-UA" w:eastAsia="ru-RU"/>
        </w:rPr>
      </w:pPr>
    </w:p>
    <w:p w14:paraId="09362353" w14:textId="77777777" w:rsidR="00B56F28" w:rsidRPr="00511005" w:rsidRDefault="00B56F28" w:rsidP="003A292D">
      <w:pPr>
        <w:spacing w:line="264" w:lineRule="auto"/>
        <w:jc w:val="left"/>
        <w:rPr>
          <w:rFonts w:ascii="Arial" w:eastAsia="Times New Roman" w:hAnsi="Arial" w:cs="Arial"/>
          <w:szCs w:val="28"/>
          <w:lang w:val="uk-UA" w:eastAsia="ru-RU"/>
        </w:rPr>
      </w:pPr>
    </w:p>
    <w:p w14:paraId="127EF02F" w14:textId="77777777" w:rsidR="00AE57E7" w:rsidRPr="00511005" w:rsidRDefault="00AE57E7" w:rsidP="003A292D">
      <w:pPr>
        <w:spacing w:line="264" w:lineRule="auto"/>
        <w:ind w:firstLine="0"/>
        <w:jc w:val="center"/>
        <w:rPr>
          <w:rFonts w:ascii="Arial" w:eastAsia="Arial" w:hAnsi="Arial" w:cs="Arial"/>
          <w:b/>
          <w:i/>
          <w:kern w:val="1"/>
          <w:szCs w:val="28"/>
          <w:lang w:val="uk-UA" w:eastAsia="ar-SA"/>
          <w14:ligatures w14:val="standardContextual"/>
        </w:rPr>
      </w:pPr>
      <w:r w:rsidRPr="00511005">
        <w:rPr>
          <w:rFonts w:ascii="Arial" w:eastAsia="Arial" w:hAnsi="Arial" w:cs="Arial"/>
          <w:b/>
          <w:i/>
          <w:kern w:val="1"/>
          <w:szCs w:val="28"/>
          <w:lang w:val="uk-UA" w:eastAsia="ar-SA"/>
          <w14:ligatures w14:val="standardContextual"/>
        </w:rPr>
        <w:t>Каратай Тетяна Костянтинівна</w:t>
      </w:r>
    </w:p>
    <w:p w14:paraId="2AD0E842" w14:textId="5F7EDAAD" w:rsidR="00AE57E7" w:rsidRPr="00511005" w:rsidRDefault="00536AAB" w:rsidP="003A292D">
      <w:pPr>
        <w:spacing w:line="264" w:lineRule="auto"/>
        <w:ind w:firstLine="0"/>
        <w:jc w:val="center"/>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студентка 4-го курсу факультету адвокатури та антикорупційної діяльності</w:t>
      </w:r>
    </w:p>
    <w:p w14:paraId="2B6AF3C2" w14:textId="45BB3D28" w:rsidR="00AE57E7" w:rsidRPr="00511005" w:rsidRDefault="007B2628" w:rsidP="003A292D">
      <w:pPr>
        <w:spacing w:line="264" w:lineRule="auto"/>
        <w:ind w:firstLine="0"/>
        <w:jc w:val="center"/>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Національного університету «Одеська юридична академія»</w:t>
      </w:r>
    </w:p>
    <w:p w14:paraId="411633C4" w14:textId="77777777" w:rsidR="00AE57E7" w:rsidRPr="00511005" w:rsidRDefault="00AE57E7" w:rsidP="003A292D">
      <w:pPr>
        <w:spacing w:line="264" w:lineRule="auto"/>
        <w:ind w:firstLine="0"/>
        <w:rPr>
          <w:rFonts w:ascii="Arial" w:eastAsia="Arial" w:hAnsi="Arial" w:cs="Arial"/>
          <w:b/>
          <w:kern w:val="1"/>
          <w:szCs w:val="28"/>
          <w:lang w:val="uk-UA" w:eastAsia="ar-SA"/>
          <w14:ligatures w14:val="standardContextual"/>
        </w:rPr>
      </w:pPr>
    </w:p>
    <w:p w14:paraId="0BCCBB53" w14:textId="77777777" w:rsidR="00AE57E7" w:rsidRPr="00511005" w:rsidRDefault="00AE57E7" w:rsidP="003A292D">
      <w:pPr>
        <w:spacing w:line="264" w:lineRule="auto"/>
        <w:ind w:firstLine="0"/>
        <w:jc w:val="center"/>
        <w:rPr>
          <w:rFonts w:ascii="Arial" w:eastAsia="Arial" w:hAnsi="Arial" w:cs="Arial"/>
          <w:b/>
          <w:kern w:val="1"/>
          <w:szCs w:val="28"/>
          <w:lang w:val="uk-UA" w:eastAsia="ar-SA"/>
          <w14:ligatures w14:val="standardContextual"/>
        </w:rPr>
      </w:pPr>
      <w:r w:rsidRPr="00511005">
        <w:rPr>
          <w:rFonts w:ascii="Arial" w:eastAsia="Arial" w:hAnsi="Arial" w:cs="Arial"/>
          <w:b/>
          <w:kern w:val="1"/>
          <w:szCs w:val="28"/>
          <w:lang w:val="uk-UA" w:eastAsia="ar-SA"/>
          <w14:ligatures w14:val="standardContextual"/>
        </w:rPr>
        <w:t>BIG DATA ЯК ІНСТРУМЕНТ ЕКОНОМІЧНОГО ВІДНОВЛЕННЯ УКРАЇНИ</w:t>
      </w:r>
    </w:p>
    <w:p w14:paraId="483B1FD1" w14:textId="77777777" w:rsidR="00AE57E7" w:rsidRPr="00511005" w:rsidRDefault="00AE57E7" w:rsidP="003A292D">
      <w:pPr>
        <w:spacing w:line="264" w:lineRule="auto"/>
        <w:ind w:firstLine="0"/>
        <w:rPr>
          <w:rFonts w:ascii="Arial" w:eastAsia="Arial" w:hAnsi="Arial" w:cs="Arial"/>
          <w:kern w:val="1"/>
          <w:szCs w:val="28"/>
          <w:lang w:val="uk-UA" w:eastAsia="ar-SA"/>
          <w14:ligatures w14:val="standardContextual"/>
        </w:rPr>
      </w:pPr>
    </w:p>
    <w:p w14:paraId="1F406567"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Arial" w:hAnsi="Arial" w:cs="Arial"/>
          <w:kern w:val="1"/>
          <w:szCs w:val="28"/>
          <w:lang w:val="uk-UA" w:eastAsia="ar-SA"/>
          <w14:ligatures w14:val="standardContextual"/>
        </w:rPr>
        <w:t xml:space="preserve">Після початку повномасштабного вторгнення Україна зіштовхнулася з безпрецедентними викликами, що охоплюють усі сфери життя </w:t>
      </w:r>
      <w:r w:rsidRPr="00511005">
        <w:rPr>
          <w:rFonts w:ascii="Arial" w:eastAsia="Calibri" w:hAnsi="Arial" w:cs="Arial"/>
          <w:kern w:val="2"/>
          <w:szCs w:val="28"/>
          <w:lang w:val="uk-UA"/>
          <w14:ligatures w14:val="standardContextual"/>
        </w:rPr>
        <w:t>–</w:t>
      </w:r>
      <w:r w:rsidRPr="00511005">
        <w:rPr>
          <w:rFonts w:ascii="Arial" w:eastAsia="Arial" w:hAnsi="Arial" w:cs="Arial"/>
          <w:kern w:val="1"/>
          <w:szCs w:val="28"/>
          <w:lang w:val="uk-UA" w:eastAsia="ar-SA"/>
          <w14:ligatures w14:val="standardContextual"/>
        </w:rPr>
        <w:t xml:space="preserve"> від національної безпеки до соціально-економічної стабільності. </w:t>
      </w:r>
      <w:r w:rsidRPr="00511005">
        <w:rPr>
          <w:rFonts w:ascii="Arial" w:eastAsia="Calibri" w:hAnsi="Arial" w:cs="Arial"/>
          <w:kern w:val="2"/>
          <w:szCs w:val="28"/>
          <w:lang w:val="uk-UA"/>
          <w14:ligatures w14:val="standardContextual"/>
        </w:rPr>
        <w:t xml:space="preserve">В умовах воєнного часу та посткризового відновлення критично важливою передумовою ефективного державного управління виступає впровадження сучасних цифрових технологій, насамперед технологій аналізу великих даних (Big Data). Застосування Big Data дозволяє урядовим структурам, приватному сектору та міжнародним партнерам оперативно оцінювати соціально-економічні процеси, ідентифікувати тренди, прогнозувати ризики та формувати цілісні стратегії сталого розвитку. </w:t>
      </w:r>
    </w:p>
    <w:p w14:paraId="047ED70B"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Arial" w:hAnsi="Arial" w:cs="Arial"/>
          <w:kern w:val="1"/>
          <w:szCs w:val="28"/>
          <w:lang w:val="uk-UA" w:eastAsia="ar-SA"/>
          <w14:ligatures w14:val="standardContextual"/>
        </w:rPr>
        <w:t>Big Data охоплює обробку масивів структурованих та неструктурованих даних, які надходять з різних джерел: реєстрів, соціальних мереж, супутникових знімків, цифрових платформ, відкритих даних урядових органів тощо. На основі цієї інформації можливо будувати економічні моделі, оцінювати потреби населення, прогнозувати зміни на ринку праці, визначати ефективність програм реконструкції, а також використовувати для прозорого контролю за використанням ресурсів [2]</w:t>
      </w:r>
      <w:r w:rsidRPr="00511005">
        <w:rPr>
          <w:rFonts w:ascii="Arial" w:eastAsia="Calibri" w:hAnsi="Arial" w:cs="Arial"/>
          <w:kern w:val="2"/>
          <w:szCs w:val="28"/>
          <w:lang w:val="uk-UA"/>
          <w14:ligatures w14:val="standardContextual"/>
        </w:rPr>
        <w:t>.</w:t>
      </w:r>
    </w:p>
    <w:p w14:paraId="110C846F" w14:textId="77777777" w:rsidR="00AE57E7" w:rsidRPr="00511005" w:rsidRDefault="00AE57E7" w:rsidP="003A292D">
      <w:pPr>
        <w:spacing w:line="264" w:lineRule="auto"/>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 xml:space="preserve">На практиці Big Data застосовуються для аналізу обсягів руйнувань, моніторингу потоків внутрішньо переміщених осіб, контролю за ефективністю відбудови та антикорупційного нагляду. Наприклад, дані про </w:t>
      </w:r>
      <w:r w:rsidRPr="00511005">
        <w:rPr>
          <w:rFonts w:ascii="Arial" w:eastAsia="Arial" w:hAnsi="Arial" w:cs="Arial"/>
          <w:kern w:val="1"/>
          <w:szCs w:val="28"/>
          <w:lang w:val="uk-UA" w:eastAsia="ar-SA"/>
          <w14:ligatures w14:val="standardContextual"/>
        </w:rPr>
        <w:lastRenderedPageBreak/>
        <w:t xml:space="preserve">переміщення ВПО у поєднанні з інформацією про стан інфраструктури дозволяють визначати пріоритети для будівництва тимчасового житла, шкіл, лікарень. У сфері енергетики аналітика на основі супутникових знімків дозволяє швидко фіксувати пошкодження енергетичної інфраструктури [3]. Завдяки інструментам Big Data державні органи можуть ефективніше відстежувати обсяги гуманітарної допомоги, забезпечувати її прозорий розподіл, фіксувати порушення та оперативно реагувати на них [4]. </w:t>
      </w:r>
    </w:p>
    <w:p w14:paraId="28415C16" w14:textId="77777777" w:rsidR="00AE57E7" w:rsidRPr="00511005" w:rsidRDefault="00AE57E7" w:rsidP="003A292D">
      <w:pPr>
        <w:spacing w:line="264" w:lineRule="auto"/>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Інструменти аналізу великих даних вже використовуються на практиці в межах національних і міжнародних програм відновлення. У межах міжнародних ініціатив Україна вже отримує допомогу у створенні цифрових мап руйнувань, аналізу потоків внутрішньо переміщених осіб та визначення потреб у критичній інфраструктурі [2].</w:t>
      </w:r>
    </w:p>
    <w:p w14:paraId="6E766F96" w14:textId="77777777" w:rsidR="00AE57E7" w:rsidRPr="00511005" w:rsidRDefault="00AE57E7" w:rsidP="003A292D">
      <w:pPr>
        <w:spacing w:line="264" w:lineRule="auto"/>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Аналітика на основі великих даних є невід’ємною складовою нової інноваційної моделі економічного розвитку. Використання аналітичних систем, що базуються на великих даних, дозволяє урядовим органам реагувати швидше та ефективніше на виклики воєнного і післявоєнного періодів.</w:t>
      </w:r>
    </w:p>
    <w:p w14:paraId="50A3C527" w14:textId="77777777" w:rsidR="00AE57E7" w:rsidRPr="00511005" w:rsidRDefault="00AE57E7" w:rsidP="003A292D">
      <w:pPr>
        <w:spacing w:line="264" w:lineRule="auto"/>
        <w:rPr>
          <w:rFonts w:ascii="Arial" w:eastAsia="Arial" w:hAnsi="Arial" w:cs="Arial"/>
          <w:kern w:val="1"/>
          <w:szCs w:val="28"/>
          <w:lang w:val="uk-UA" w:eastAsia="ar-SA"/>
          <w14:ligatures w14:val="standardContextual"/>
        </w:rPr>
      </w:pPr>
      <w:r w:rsidRPr="00511005">
        <w:rPr>
          <w:rFonts w:ascii="Arial" w:eastAsia="Calibri" w:hAnsi="Arial" w:cs="Arial"/>
          <w:kern w:val="2"/>
          <w:szCs w:val="28"/>
          <w:lang w:val="uk-UA"/>
          <w14:ligatures w14:val="standardContextual"/>
        </w:rPr>
        <w:t>Разом з тим, широке впровадження Big Data у публічне управління супроводжується низкою серйозних правових викликів.</w:t>
      </w:r>
      <w:r w:rsidRPr="00511005">
        <w:rPr>
          <w:rFonts w:ascii="Arial" w:eastAsia="Arial" w:hAnsi="Arial" w:cs="Arial"/>
          <w:kern w:val="1"/>
          <w:szCs w:val="28"/>
          <w:lang w:val="uk-UA" w:eastAsia="ar-SA"/>
          <w14:ligatures w14:val="standardContextual"/>
        </w:rPr>
        <w:t xml:space="preserve"> Так, в Україні досі відсутня цілісна нормативно-правова база, яка б регулювала процес обробки, захисту й використання великих даних у державному управлінні [1]. Цифрові рішення не можуть бути ефективними без відповідного правового регулювання. Питання захисту персональних даних, безпеки інформації, прозорості алгоритмів аналізу та визначення відповідальності за використання даних залишаються відкритими. Крім того, існує суттєва проблема неузгодженості механізмів обміну даними між державними органами [3].</w:t>
      </w:r>
    </w:p>
    <w:p w14:paraId="35CF4628"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Закон України «Про захист персональних даних» потребує суттєвого оновлення відповідно до стандартів ЄС, зокрема положень Загального регламенту щодо захисту даних (GDPR)</w:t>
      </w:r>
      <w:r w:rsidRPr="00511005">
        <w:rPr>
          <w:rFonts w:ascii="Arial" w:eastAsia="Arial" w:hAnsi="Arial" w:cs="Arial"/>
          <w:kern w:val="1"/>
          <w:szCs w:val="28"/>
          <w:lang w:val="uk-UA" w:eastAsia="ar-SA"/>
          <w14:ligatures w14:val="standardContextual"/>
        </w:rPr>
        <w:t xml:space="preserve"> [</w:t>
      </w:r>
      <w:r w:rsidRPr="00511005">
        <w:rPr>
          <w:rFonts w:ascii="Arial" w:eastAsia="Arial" w:hAnsi="Arial" w:cs="Arial"/>
          <w:kern w:val="1"/>
          <w:szCs w:val="28"/>
          <w:lang w:eastAsia="ar-SA"/>
          <w14:ligatures w14:val="standardContextual"/>
        </w:rPr>
        <w:t xml:space="preserve">6, </w:t>
      </w:r>
      <w:r w:rsidRPr="00511005">
        <w:rPr>
          <w:rFonts w:ascii="Arial" w:eastAsia="Arial" w:hAnsi="Arial" w:cs="Arial"/>
          <w:kern w:val="1"/>
          <w:szCs w:val="28"/>
          <w:lang w:val="uk-UA" w:eastAsia="ar-SA"/>
          <w14:ligatures w14:val="standardContextual"/>
        </w:rPr>
        <w:t xml:space="preserve">7]. </w:t>
      </w:r>
      <w:r w:rsidRPr="00511005">
        <w:rPr>
          <w:rFonts w:ascii="Arial" w:eastAsia="Calibri" w:hAnsi="Arial" w:cs="Arial"/>
          <w:kern w:val="2"/>
          <w:szCs w:val="28"/>
          <w:lang w:val="uk-UA"/>
          <w14:ligatures w14:val="standardContextual"/>
        </w:rPr>
        <w:t xml:space="preserve">Уразливість персоніфікованої інформації, що широко використовується в </w:t>
      </w:r>
      <w:r w:rsidRPr="00511005">
        <w:rPr>
          <w:rFonts w:ascii="Arial" w:eastAsia="Calibri" w:hAnsi="Arial" w:cs="Arial"/>
          <w:kern w:val="2"/>
          <w:szCs w:val="28"/>
          <w14:ligatures w14:val="standardContextual"/>
        </w:rPr>
        <w:t>Big</w:t>
      </w:r>
      <w:r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14:ligatures w14:val="standardContextual"/>
        </w:rPr>
        <w:t>Data</w:t>
      </w:r>
      <w:r w:rsidRPr="00511005">
        <w:rPr>
          <w:rFonts w:ascii="Arial" w:eastAsia="Calibri" w:hAnsi="Arial" w:cs="Arial"/>
          <w:kern w:val="2"/>
          <w:szCs w:val="28"/>
          <w:lang w:val="uk-UA"/>
          <w14:ligatures w14:val="standardContextual"/>
        </w:rPr>
        <w:t>-аналітиці, вимагає впровадження ефективних механізмів анонімізації та обмеження доступу до ідентифікаційних даних. Крім того</w:t>
      </w:r>
      <w:r w:rsidRPr="00511005">
        <w:rPr>
          <w:rFonts w:ascii="Arial" w:eastAsia="Arial" w:hAnsi="Arial" w:cs="Arial"/>
          <w:kern w:val="1"/>
          <w:szCs w:val="28"/>
          <w:lang w:val="uk-UA" w:eastAsia="ar-SA"/>
          <w14:ligatures w14:val="standardContextual"/>
        </w:rPr>
        <w:t>, а</w:t>
      </w:r>
      <w:r w:rsidRPr="00511005">
        <w:rPr>
          <w:rFonts w:ascii="Arial" w:eastAsia="Calibri" w:hAnsi="Arial" w:cs="Arial"/>
          <w:kern w:val="2"/>
          <w:szCs w:val="28"/>
          <w:lang w:val="uk-UA"/>
          <w14:ligatures w14:val="standardContextual"/>
        </w:rPr>
        <w:t xml:space="preserve">ктуальним залишається питання правової відповідальності у випадках, коли помилкові або шкідливі управлінські рішення були прийняті на основі аналітики </w:t>
      </w:r>
      <w:r w:rsidRPr="00511005">
        <w:rPr>
          <w:rFonts w:ascii="Arial" w:eastAsia="Calibri" w:hAnsi="Arial" w:cs="Arial"/>
          <w:kern w:val="2"/>
          <w:szCs w:val="28"/>
          <w14:ligatures w14:val="standardContextual"/>
        </w:rPr>
        <w:t>Big</w:t>
      </w:r>
      <w:r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14:ligatures w14:val="standardContextual"/>
        </w:rPr>
        <w:t>Data</w:t>
      </w:r>
      <w:r w:rsidRPr="00511005">
        <w:rPr>
          <w:rFonts w:ascii="Arial" w:eastAsia="Calibri" w:hAnsi="Arial" w:cs="Arial"/>
          <w:kern w:val="2"/>
          <w:szCs w:val="28"/>
          <w:lang w:val="uk-UA"/>
          <w14:ligatures w14:val="standardContextual"/>
        </w:rPr>
        <w:t>. Відсутність чітко визначених суб’єктів відповідальності (розробники алгоритмів, оператори систем, державні службовці тощо) створює ризик безкарності та знижує довіру до цифрових рішень. Додатковим бар’єром є фрагментарність міжвідомчої взаємодії: відсутність єдиних протоколів обміну даними, розпорошеність інформації у відомчих базах, несумісність форматів – усе це ускладнює інтеграцію та централізовану аналітику [1; 3].</w:t>
      </w:r>
    </w:p>
    <w:p w14:paraId="6BC32FF7" w14:textId="77777777" w:rsidR="00AE57E7" w:rsidRPr="00511005" w:rsidRDefault="00AE57E7" w:rsidP="003A292D">
      <w:pPr>
        <w:spacing w:line="264" w:lineRule="auto"/>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lastRenderedPageBreak/>
        <w:t xml:space="preserve">Формування комплексного підходу до регулювання ШІ і Big Data із чітко визначеними етичними та правовими межами є необхідністю, </w:t>
      </w:r>
      <w:r w:rsidRPr="00511005">
        <w:rPr>
          <w:rFonts w:ascii="Arial" w:eastAsia="Arial" w:hAnsi="Arial" w:cs="Arial"/>
          <w:bCs/>
          <w:kern w:val="1"/>
          <w:szCs w:val="28"/>
          <w:lang w:val="uk-UA" w:eastAsia="ar-SA"/>
          <w14:ligatures w14:val="standardContextual"/>
        </w:rPr>
        <w:t>оскільки їхнє використання має значний вплив на права людини, прозорість управлінських рішень та безпеку обробки даних, особливо в умовах цифровізації державного сектора та зростання обсягів чутливої інформації</w:t>
      </w:r>
      <w:r w:rsidRPr="00511005">
        <w:rPr>
          <w:rFonts w:ascii="Arial" w:eastAsia="Arial" w:hAnsi="Arial" w:cs="Arial"/>
          <w:kern w:val="1"/>
          <w:szCs w:val="28"/>
          <w:lang w:val="uk-UA" w:eastAsia="ar-SA"/>
          <w14:ligatures w14:val="standardContextual"/>
        </w:rPr>
        <w:t>. [</w:t>
      </w:r>
      <w:r w:rsidRPr="00511005">
        <w:rPr>
          <w:rFonts w:ascii="Arial" w:eastAsia="Arial" w:hAnsi="Arial" w:cs="Arial"/>
          <w:kern w:val="1"/>
          <w:szCs w:val="28"/>
          <w:lang w:eastAsia="ar-SA"/>
          <w14:ligatures w14:val="standardContextual"/>
        </w:rPr>
        <w:t>5</w:t>
      </w:r>
      <w:r w:rsidRPr="00511005">
        <w:rPr>
          <w:rFonts w:ascii="Arial" w:eastAsia="Arial" w:hAnsi="Arial" w:cs="Arial"/>
          <w:kern w:val="1"/>
          <w:szCs w:val="28"/>
          <w:lang w:val="uk-UA" w:eastAsia="ar-SA"/>
          <w14:ligatures w14:val="standardContextual"/>
        </w:rPr>
        <w:t>]. Також, як зазначено у висновках Національної ради з питань телебачення і радіомовлення, необхідною є адаптація українського законодавства до правових стандартів ЄС у сфері відкритих даних.</w:t>
      </w:r>
    </w:p>
    <w:p w14:paraId="3A1402DA" w14:textId="77777777" w:rsidR="00AE57E7" w:rsidRPr="00511005" w:rsidRDefault="00AE57E7" w:rsidP="003A292D">
      <w:pPr>
        <w:spacing w:line="264" w:lineRule="auto"/>
        <w:rPr>
          <w:rFonts w:ascii="Arial" w:eastAsia="Times New Roman" w:hAnsi="Arial" w:cs="Arial"/>
          <w:kern w:val="2"/>
          <w:szCs w:val="28"/>
          <w:lang w:val="uk-UA"/>
          <w14:ligatures w14:val="standardContextual"/>
        </w:rPr>
      </w:pPr>
      <w:r w:rsidRPr="00511005">
        <w:rPr>
          <w:rFonts w:ascii="Arial" w:eastAsia="Times New Roman" w:hAnsi="Arial" w:cs="Arial"/>
          <w:kern w:val="2"/>
          <w:szCs w:val="28"/>
          <w:lang w:val="uk-UA"/>
          <w14:ligatures w14:val="standardContextual"/>
        </w:rPr>
        <w:t xml:space="preserve">Застосування технологій </w:t>
      </w:r>
      <w:r w:rsidRPr="00511005">
        <w:rPr>
          <w:rFonts w:ascii="Arial" w:eastAsia="Times New Roman" w:hAnsi="Arial" w:cs="Arial"/>
          <w:kern w:val="2"/>
          <w:szCs w:val="28"/>
          <w14:ligatures w14:val="standardContextual"/>
        </w:rPr>
        <w:t>Big</w:t>
      </w:r>
      <w:r w:rsidRPr="00511005">
        <w:rPr>
          <w:rFonts w:ascii="Arial" w:eastAsia="Times New Roman" w:hAnsi="Arial" w:cs="Arial"/>
          <w:kern w:val="2"/>
          <w:szCs w:val="28"/>
          <w:lang w:val="uk-UA"/>
          <w14:ligatures w14:val="standardContextual"/>
        </w:rPr>
        <w:t xml:space="preserve"> </w:t>
      </w:r>
      <w:r w:rsidRPr="00511005">
        <w:rPr>
          <w:rFonts w:ascii="Arial" w:eastAsia="Times New Roman" w:hAnsi="Arial" w:cs="Arial"/>
          <w:kern w:val="2"/>
          <w:szCs w:val="28"/>
          <w14:ligatures w14:val="standardContextual"/>
        </w:rPr>
        <w:t>Data</w:t>
      </w:r>
      <w:r w:rsidRPr="00511005">
        <w:rPr>
          <w:rFonts w:ascii="Arial" w:eastAsia="Times New Roman" w:hAnsi="Arial" w:cs="Arial"/>
          <w:kern w:val="2"/>
          <w:szCs w:val="28"/>
          <w:lang w:val="uk-UA"/>
          <w14:ligatures w14:val="standardContextual"/>
        </w:rPr>
        <w:t xml:space="preserve"> у сфері економічного відновлення України дозволяє досягти суттєвого підвищення ефективності державних і приватних ініціатив завдяки точному прогнозуванню, моделюванню сценаріїв та прийняттю рішень на основі даних. Зокрема, інструменти аналізу великих даних дозволяють оптимізувати використання бюджетних коштів, мінімізувати ризики нецільового фінансування, скорочувати витрати на адміністрування програм відновлення. Такі рішення забезпечують підвищення </w:t>
      </w:r>
      <w:r w:rsidRPr="00511005">
        <w:rPr>
          <w:rFonts w:ascii="Arial" w:eastAsia="Times New Roman" w:hAnsi="Arial" w:cs="Arial"/>
          <w:kern w:val="2"/>
          <w:szCs w:val="28"/>
          <w14:ligatures w14:val="standardContextual"/>
        </w:rPr>
        <w:t>ROI</w:t>
      </w:r>
      <w:r w:rsidRPr="00511005">
        <w:rPr>
          <w:rFonts w:ascii="Arial" w:eastAsia="Times New Roman" w:hAnsi="Arial" w:cs="Arial"/>
          <w:kern w:val="2"/>
          <w:szCs w:val="28"/>
          <w:lang w:val="uk-UA"/>
          <w14:ligatures w14:val="standardContextual"/>
        </w:rPr>
        <w:t xml:space="preserve"> (</w:t>
      </w:r>
      <w:r w:rsidRPr="00511005">
        <w:rPr>
          <w:rFonts w:ascii="Arial" w:eastAsia="Times New Roman" w:hAnsi="Arial" w:cs="Arial"/>
          <w:kern w:val="2"/>
          <w:szCs w:val="28"/>
          <w14:ligatures w14:val="standardContextual"/>
        </w:rPr>
        <w:t>Return</w:t>
      </w:r>
      <w:r w:rsidRPr="00511005">
        <w:rPr>
          <w:rFonts w:ascii="Arial" w:eastAsia="Times New Roman" w:hAnsi="Arial" w:cs="Arial"/>
          <w:kern w:val="2"/>
          <w:szCs w:val="28"/>
          <w:lang w:val="uk-UA"/>
          <w14:ligatures w14:val="standardContextual"/>
        </w:rPr>
        <w:t xml:space="preserve"> </w:t>
      </w:r>
      <w:r w:rsidRPr="00511005">
        <w:rPr>
          <w:rFonts w:ascii="Arial" w:eastAsia="Times New Roman" w:hAnsi="Arial" w:cs="Arial"/>
          <w:kern w:val="2"/>
          <w:szCs w:val="28"/>
          <w14:ligatures w14:val="standardContextual"/>
        </w:rPr>
        <w:t>on</w:t>
      </w:r>
      <w:r w:rsidRPr="00511005">
        <w:rPr>
          <w:rFonts w:ascii="Arial" w:eastAsia="Times New Roman" w:hAnsi="Arial" w:cs="Arial"/>
          <w:kern w:val="2"/>
          <w:szCs w:val="28"/>
          <w:lang w:val="uk-UA"/>
          <w14:ligatures w14:val="standardContextual"/>
        </w:rPr>
        <w:t xml:space="preserve"> </w:t>
      </w:r>
      <w:r w:rsidRPr="00511005">
        <w:rPr>
          <w:rFonts w:ascii="Arial" w:eastAsia="Times New Roman" w:hAnsi="Arial" w:cs="Arial"/>
          <w:kern w:val="2"/>
          <w:szCs w:val="28"/>
          <w14:ligatures w14:val="standardContextual"/>
        </w:rPr>
        <w:t>Investment</w:t>
      </w:r>
      <w:r w:rsidRPr="00511005">
        <w:rPr>
          <w:rFonts w:ascii="Arial" w:eastAsia="Times New Roman" w:hAnsi="Arial" w:cs="Arial"/>
          <w:kern w:val="2"/>
          <w:szCs w:val="28"/>
          <w:lang w:val="uk-UA"/>
          <w14:ligatures w14:val="standardContextual"/>
        </w:rPr>
        <w:t xml:space="preserve">) державних інфраструктурних проектів, а також </w:t>
      </w:r>
      <w:r w:rsidRPr="00511005">
        <w:rPr>
          <w:rFonts w:ascii="Arial" w:eastAsia="Times New Roman" w:hAnsi="Arial" w:cs="Arial"/>
          <w:kern w:val="2"/>
          <w:szCs w:val="28"/>
          <w14:ligatures w14:val="standardContextual"/>
        </w:rPr>
        <w:t>ROMI</w:t>
      </w:r>
      <w:r w:rsidRPr="00511005">
        <w:rPr>
          <w:rFonts w:ascii="Arial" w:eastAsia="Times New Roman" w:hAnsi="Arial" w:cs="Arial"/>
          <w:kern w:val="2"/>
          <w:szCs w:val="28"/>
          <w:lang w:val="uk-UA"/>
          <w14:ligatures w14:val="standardContextual"/>
        </w:rPr>
        <w:t xml:space="preserve"> (</w:t>
      </w:r>
      <w:r w:rsidRPr="00511005">
        <w:rPr>
          <w:rFonts w:ascii="Arial" w:eastAsia="Times New Roman" w:hAnsi="Arial" w:cs="Arial"/>
          <w:kern w:val="2"/>
          <w:szCs w:val="28"/>
          <w14:ligatures w14:val="standardContextual"/>
        </w:rPr>
        <w:t>Return</w:t>
      </w:r>
      <w:r w:rsidRPr="00511005">
        <w:rPr>
          <w:rFonts w:ascii="Arial" w:eastAsia="Times New Roman" w:hAnsi="Arial" w:cs="Arial"/>
          <w:kern w:val="2"/>
          <w:szCs w:val="28"/>
          <w:lang w:val="uk-UA"/>
          <w14:ligatures w14:val="standardContextual"/>
        </w:rPr>
        <w:t xml:space="preserve"> </w:t>
      </w:r>
      <w:r w:rsidRPr="00511005">
        <w:rPr>
          <w:rFonts w:ascii="Arial" w:eastAsia="Times New Roman" w:hAnsi="Arial" w:cs="Arial"/>
          <w:kern w:val="2"/>
          <w:szCs w:val="28"/>
          <w14:ligatures w14:val="standardContextual"/>
        </w:rPr>
        <w:t>on</w:t>
      </w:r>
      <w:r w:rsidRPr="00511005">
        <w:rPr>
          <w:rFonts w:ascii="Arial" w:eastAsia="Times New Roman" w:hAnsi="Arial" w:cs="Arial"/>
          <w:kern w:val="2"/>
          <w:szCs w:val="28"/>
          <w:lang w:val="uk-UA"/>
          <w14:ligatures w14:val="standardContextual"/>
        </w:rPr>
        <w:t xml:space="preserve"> </w:t>
      </w:r>
      <w:r w:rsidRPr="00511005">
        <w:rPr>
          <w:rFonts w:ascii="Arial" w:eastAsia="Times New Roman" w:hAnsi="Arial" w:cs="Arial"/>
          <w:kern w:val="2"/>
          <w:szCs w:val="28"/>
          <w14:ligatures w14:val="standardContextual"/>
        </w:rPr>
        <w:t>Marketing</w:t>
      </w:r>
      <w:r w:rsidRPr="00511005">
        <w:rPr>
          <w:rFonts w:ascii="Arial" w:eastAsia="Times New Roman" w:hAnsi="Arial" w:cs="Arial"/>
          <w:kern w:val="2"/>
          <w:szCs w:val="28"/>
          <w:lang w:val="uk-UA"/>
          <w14:ligatures w14:val="standardContextual"/>
        </w:rPr>
        <w:t xml:space="preserve"> </w:t>
      </w:r>
      <w:r w:rsidRPr="00511005">
        <w:rPr>
          <w:rFonts w:ascii="Arial" w:eastAsia="Times New Roman" w:hAnsi="Arial" w:cs="Arial"/>
          <w:kern w:val="2"/>
          <w:szCs w:val="28"/>
          <w14:ligatures w14:val="standardContextual"/>
        </w:rPr>
        <w:t>Investment</w:t>
      </w:r>
      <w:r w:rsidRPr="00511005">
        <w:rPr>
          <w:rFonts w:ascii="Arial" w:eastAsia="Times New Roman" w:hAnsi="Arial" w:cs="Arial"/>
          <w:kern w:val="2"/>
          <w:szCs w:val="28"/>
          <w:lang w:val="uk-UA"/>
          <w14:ligatures w14:val="standardContextual"/>
        </w:rPr>
        <w:t xml:space="preserve">) у проєктах, що передбачають залучення населення до відновлювальних ініціатив. Наприклад, аналітика потреб населення на основі соціально-демографічних даних і супутникового моніторингу дозволяє точніше визначати регіони, де першочергово необхідне відновлення шкіл, лікарень чи доріг, а отже </w:t>
      </w:r>
      <w:r w:rsidRPr="00511005">
        <w:rPr>
          <w:rFonts w:ascii="Arial" w:eastAsia="Calibri" w:hAnsi="Arial" w:cs="Arial"/>
          <w:kern w:val="2"/>
          <w:szCs w:val="28"/>
          <w:lang w:val="uk-UA"/>
          <w14:ligatures w14:val="standardContextual"/>
        </w:rPr>
        <w:t>–</w:t>
      </w:r>
      <w:r w:rsidRPr="00511005">
        <w:rPr>
          <w:rFonts w:ascii="Arial" w:eastAsia="Times New Roman" w:hAnsi="Arial" w:cs="Arial"/>
          <w:kern w:val="2"/>
          <w:szCs w:val="28"/>
          <w:lang w:val="uk-UA"/>
          <w14:ligatures w14:val="standardContextual"/>
        </w:rPr>
        <w:t xml:space="preserve"> ухвалювати економічно обґрунтовані рішення з максимальним соціальним ефектом.</w:t>
      </w:r>
    </w:p>
    <w:p w14:paraId="2CBE433B" w14:textId="77777777" w:rsidR="00AE57E7" w:rsidRPr="00511005" w:rsidRDefault="00AE57E7" w:rsidP="003A292D">
      <w:pPr>
        <w:spacing w:line="264" w:lineRule="auto"/>
        <w:rPr>
          <w:rFonts w:ascii="Arial" w:eastAsia="Times New Roman" w:hAnsi="Arial" w:cs="Arial"/>
          <w:kern w:val="2"/>
          <w:szCs w:val="28"/>
          <w14:ligatures w14:val="standardContextual"/>
        </w:rPr>
      </w:pPr>
      <w:r w:rsidRPr="00511005">
        <w:rPr>
          <w:rFonts w:ascii="Arial" w:eastAsia="Times New Roman" w:hAnsi="Arial" w:cs="Arial"/>
          <w:kern w:val="2"/>
          <w:szCs w:val="28"/>
          <w:lang w:val="uk-UA"/>
          <w14:ligatures w14:val="standardContextual"/>
        </w:rPr>
        <w:t xml:space="preserve">На мікроекономічному рівні </w:t>
      </w:r>
      <w:r w:rsidRPr="00511005">
        <w:rPr>
          <w:rFonts w:ascii="Arial" w:eastAsia="Times New Roman" w:hAnsi="Arial" w:cs="Arial"/>
          <w:kern w:val="2"/>
          <w:szCs w:val="28"/>
          <w14:ligatures w14:val="standardContextual"/>
        </w:rPr>
        <w:t>Big</w:t>
      </w:r>
      <w:r w:rsidRPr="00511005">
        <w:rPr>
          <w:rFonts w:ascii="Arial" w:eastAsia="Times New Roman" w:hAnsi="Arial" w:cs="Arial"/>
          <w:kern w:val="2"/>
          <w:szCs w:val="28"/>
          <w:lang w:val="uk-UA"/>
          <w14:ligatures w14:val="standardContextual"/>
        </w:rPr>
        <w:t xml:space="preserve"> </w:t>
      </w:r>
      <w:r w:rsidRPr="00511005">
        <w:rPr>
          <w:rFonts w:ascii="Arial" w:eastAsia="Times New Roman" w:hAnsi="Arial" w:cs="Arial"/>
          <w:kern w:val="2"/>
          <w:szCs w:val="28"/>
          <w14:ligatures w14:val="standardContextual"/>
        </w:rPr>
        <w:t>Data</w:t>
      </w:r>
      <w:r w:rsidRPr="00511005">
        <w:rPr>
          <w:rFonts w:ascii="Arial" w:eastAsia="Times New Roman" w:hAnsi="Arial" w:cs="Arial"/>
          <w:kern w:val="2"/>
          <w:szCs w:val="28"/>
          <w:lang w:val="uk-UA"/>
          <w14:ligatures w14:val="standardContextual"/>
        </w:rPr>
        <w:t xml:space="preserve"> відкриває широкі можливості для адаптації малого та середнього бізнесу до нових умов функціонування в період відбудови. Використовуючи дані про зміни у споживчій поведінці, переміщення населення, локальні економічні тренди та конкурентне середовище, підприємці можуть формувати ефективні маркетингові стратегії, знаходити нові цільові сегменти, оптимізувати логістику та знижувати транзакційні витрати. Особливо актуальними є інструменти геоаналітики, які допомагають бізнесу приймати рішення щодо розташування торгових точок, складів чи філій на основі динаміки попиту та платоспроможності населення. </w:t>
      </w:r>
      <w:r w:rsidRPr="00511005">
        <w:rPr>
          <w:rFonts w:ascii="Arial" w:eastAsia="Times New Roman" w:hAnsi="Arial" w:cs="Arial"/>
          <w:kern w:val="2"/>
          <w:szCs w:val="28"/>
          <w14:ligatures w14:val="standardContextual"/>
        </w:rPr>
        <w:t>У такий спосіб Big Data не лише стимулює зростання підприємницької активності, а й сприяє формуванню нової моделі стійкого економічного розвитку на основі даних.</w:t>
      </w:r>
    </w:p>
    <w:p w14:paraId="1A2606B4" w14:textId="77777777" w:rsidR="00AE57E7" w:rsidRPr="00511005" w:rsidRDefault="00AE57E7" w:rsidP="003A292D">
      <w:pPr>
        <w:spacing w:line="264" w:lineRule="auto"/>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Ефективне використання технологій Big Data в економічному відновленні України вимагає не лише технічної модернізації, а й створення збалансованої правової екосистеми. Така система має забезпечити прозорість, безпеку та справедливе використання даних як у публічному, так і в приватному секторах. Успішна цифровізація державного управління є можливою лише за умови синхронізації технологічного розвитку з юридичними нормами.</w:t>
      </w:r>
    </w:p>
    <w:p w14:paraId="3FDBD9D1" w14:textId="77777777" w:rsidR="00AE57E7" w:rsidRPr="00511005" w:rsidRDefault="00AE57E7" w:rsidP="003A292D">
      <w:pPr>
        <w:spacing w:line="264" w:lineRule="auto"/>
        <w:jc w:val="center"/>
        <w:rPr>
          <w:rFonts w:ascii="Arial" w:eastAsia="Arial" w:hAnsi="Arial" w:cs="Arial"/>
          <w:b/>
          <w:kern w:val="1"/>
          <w:szCs w:val="28"/>
          <w:lang w:val="uk-UA" w:eastAsia="ar-SA"/>
          <w14:ligatures w14:val="standardContextual"/>
        </w:rPr>
      </w:pPr>
    </w:p>
    <w:p w14:paraId="70400A21" w14:textId="3BA73122" w:rsidR="00AE57E7" w:rsidRPr="00511005" w:rsidRDefault="007B2628" w:rsidP="007B2628">
      <w:pPr>
        <w:spacing w:line="264" w:lineRule="auto"/>
        <w:ind w:firstLine="0"/>
        <w:jc w:val="center"/>
        <w:rPr>
          <w:rFonts w:ascii="Arial" w:eastAsia="Arial" w:hAnsi="Arial" w:cs="Arial"/>
          <w:b/>
          <w:kern w:val="1"/>
          <w:szCs w:val="28"/>
          <w:lang w:val="uk-UA" w:eastAsia="ar-SA"/>
          <w14:ligatures w14:val="standardContextual"/>
        </w:rPr>
      </w:pPr>
      <w:r w:rsidRPr="00511005">
        <w:rPr>
          <w:rFonts w:ascii="Arial" w:eastAsia="Arial" w:hAnsi="Arial" w:cs="Arial"/>
          <w:b/>
          <w:kern w:val="1"/>
          <w:szCs w:val="28"/>
          <w:lang w:val="uk-UA" w:eastAsia="ar-SA"/>
          <w14:ligatures w14:val="standardContextual"/>
        </w:rPr>
        <w:t>Список використаних джерел</w:t>
      </w:r>
    </w:p>
    <w:p w14:paraId="63D180B5" w14:textId="77777777" w:rsidR="00AE57E7" w:rsidRPr="00511005" w:rsidRDefault="00AE57E7" w:rsidP="003F6A5D">
      <w:pPr>
        <w:numPr>
          <w:ilvl w:val="0"/>
          <w:numId w:val="743"/>
        </w:numPr>
        <w:spacing w:line="264" w:lineRule="auto"/>
        <w:ind w:left="0" w:firstLine="709"/>
        <w:contextualSpacing/>
        <w:jc w:val="left"/>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 xml:space="preserve">Дмитрів А. В., Гевко І. Б. Особливості застосування технологій Big Data в управлінні соціально-економічними процесами. Менеджмент та підприємництво: тренди розвитку. 2023. №2. С. 244–256. </w:t>
      </w:r>
    </w:p>
    <w:p w14:paraId="77438F2B" w14:textId="77777777" w:rsidR="00AE57E7" w:rsidRPr="00511005" w:rsidRDefault="00AE57E7" w:rsidP="003F6A5D">
      <w:pPr>
        <w:numPr>
          <w:ilvl w:val="0"/>
          <w:numId w:val="743"/>
        </w:numPr>
        <w:spacing w:line="264" w:lineRule="auto"/>
        <w:ind w:left="0" w:firstLine="709"/>
        <w:contextualSpacing/>
        <w:jc w:val="left"/>
        <w:rPr>
          <w:rFonts w:ascii="Arial" w:eastAsia="Arial" w:hAnsi="Arial" w:cs="Arial"/>
          <w:b/>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 xml:space="preserve">Семенюк А. С. Big Data у сфері державного управління: проблеми правового забезпечення. Юридичний бюлетень. 2022. №1(1). С. 25–34. </w:t>
      </w:r>
    </w:p>
    <w:p w14:paraId="75D868A4" w14:textId="77777777" w:rsidR="00AE57E7" w:rsidRPr="00511005" w:rsidRDefault="00AE57E7" w:rsidP="003F6A5D">
      <w:pPr>
        <w:numPr>
          <w:ilvl w:val="0"/>
          <w:numId w:val="743"/>
        </w:numPr>
        <w:spacing w:line="264" w:lineRule="auto"/>
        <w:ind w:left="0" w:firstLine="709"/>
        <w:contextualSpacing/>
        <w:jc w:val="left"/>
        <w:rPr>
          <w:rFonts w:ascii="Arial" w:eastAsia="Arial" w:hAnsi="Arial" w:cs="Arial"/>
          <w:b/>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 xml:space="preserve">Міністерство цифрової трансформації України. Біла книга з регулювання штучного інтелекту в Україні. 2023. </w:t>
      </w:r>
      <w:r w:rsidRPr="00511005">
        <w:rPr>
          <w:rFonts w:ascii="Arial" w:eastAsia="Arial" w:hAnsi="Arial" w:cs="Arial"/>
          <w:kern w:val="1"/>
          <w:szCs w:val="28"/>
          <w:lang w:eastAsia="ar-SA"/>
          <w14:ligatures w14:val="standardContextual"/>
        </w:rPr>
        <w:t>URL</w:t>
      </w:r>
      <w:r w:rsidRPr="00511005">
        <w:rPr>
          <w:rFonts w:ascii="Arial" w:eastAsia="Arial" w:hAnsi="Arial" w:cs="Arial"/>
          <w:kern w:val="1"/>
          <w:szCs w:val="28"/>
          <w:lang w:val="uk-UA" w:eastAsia="ar-SA"/>
          <w14:ligatures w14:val="standardContextual"/>
        </w:rPr>
        <w:t>:</w:t>
      </w:r>
      <w:r w:rsidRPr="00511005">
        <w:rPr>
          <w:rFonts w:ascii="Arial" w:eastAsia="Arial" w:hAnsi="Arial" w:cs="Arial"/>
          <w:kern w:val="1"/>
          <w:szCs w:val="28"/>
          <w:lang w:eastAsia="ar-SA"/>
          <w14:ligatures w14:val="standardContextual"/>
        </w:rPr>
        <w:t xml:space="preserve"> </w:t>
      </w:r>
      <w:hyperlink r:id="rId2480" w:history="1">
        <w:r w:rsidRPr="00511005">
          <w:rPr>
            <w:rFonts w:ascii="Arial" w:eastAsia="Arial" w:hAnsi="Arial" w:cs="Arial"/>
            <w:kern w:val="1"/>
            <w:szCs w:val="28"/>
            <w:lang w:val="uk-UA" w:eastAsia="ar-SA"/>
            <w14:ligatures w14:val="standardContextual"/>
          </w:rPr>
          <w:t>https://thedigital.gov.ua/storage/uploads/files/page/community/docs/Біла_книга_з_регулювання_ШІ_в_Україні_АНГЛ.pdf</w:t>
        </w:r>
      </w:hyperlink>
      <w:r w:rsidRPr="00511005">
        <w:rPr>
          <w:rFonts w:ascii="Arial" w:eastAsia="Arial" w:hAnsi="Arial" w:cs="Arial"/>
          <w:kern w:val="1"/>
          <w:szCs w:val="28"/>
          <w:lang w:val="uk-UA" w:eastAsia="ar-SA"/>
          <w14:ligatures w14:val="standardContextual"/>
        </w:rPr>
        <w:t xml:space="preserve"> </w:t>
      </w:r>
    </w:p>
    <w:p w14:paraId="0A335DE2" w14:textId="77777777" w:rsidR="00AE57E7" w:rsidRPr="00511005" w:rsidRDefault="00AE57E7" w:rsidP="003F6A5D">
      <w:pPr>
        <w:numPr>
          <w:ilvl w:val="0"/>
          <w:numId w:val="743"/>
        </w:numPr>
        <w:spacing w:line="264" w:lineRule="auto"/>
        <w:ind w:left="0" w:firstLine="709"/>
        <w:contextualSpacing/>
        <w:jc w:val="left"/>
        <w:rPr>
          <w:rFonts w:ascii="Arial" w:eastAsia="Arial" w:hAnsi="Arial" w:cs="Arial"/>
          <w:b/>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 xml:space="preserve">РНБО України. Рішення щодо посилення безпеки електронних комунікаційних систем. 2023. </w:t>
      </w:r>
      <w:hyperlink r:id="rId2481" w:history="1">
        <w:r w:rsidRPr="00511005">
          <w:rPr>
            <w:rFonts w:ascii="Arial" w:eastAsia="Arial" w:hAnsi="Arial" w:cs="Arial"/>
            <w:kern w:val="1"/>
            <w:szCs w:val="28"/>
            <w:lang w:val="uk-UA" w:eastAsia="ar-SA"/>
            <w14:ligatures w14:val="standardContextual"/>
          </w:rPr>
          <w:t>https://www.rnbo.gov.ua/en/Diialnist/6743.html</w:t>
        </w:r>
      </w:hyperlink>
      <w:r w:rsidRPr="00511005">
        <w:rPr>
          <w:rFonts w:ascii="Arial" w:eastAsia="Arial" w:hAnsi="Arial" w:cs="Arial"/>
          <w:kern w:val="1"/>
          <w:szCs w:val="28"/>
          <w:lang w:val="uk-UA" w:eastAsia="ar-SA"/>
          <w14:ligatures w14:val="standardContextual"/>
        </w:rPr>
        <w:t xml:space="preserve"> </w:t>
      </w:r>
    </w:p>
    <w:p w14:paraId="6FA555C8" w14:textId="77777777" w:rsidR="00AE57E7" w:rsidRPr="00511005" w:rsidRDefault="00AE57E7" w:rsidP="003F6A5D">
      <w:pPr>
        <w:numPr>
          <w:ilvl w:val="0"/>
          <w:numId w:val="743"/>
        </w:numPr>
        <w:spacing w:line="264" w:lineRule="auto"/>
        <w:ind w:left="0" w:firstLine="709"/>
        <w:contextualSpacing/>
        <w:jc w:val="left"/>
        <w:rPr>
          <w:rFonts w:ascii="Arial" w:eastAsia="Arial" w:hAnsi="Arial" w:cs="Arial"/>
          <w:b/>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 xml:space="preserve">Тарасенко О. Аналіз політики у сфері ШІ в Україні: нормативний вплив на цифрову трансформацію. Наукові записки СумДУ. Серія: Економіка. 2023. №3. </w:t>
      </w:r>
      <w:r w:rsidRPr="00511005">
        <w:rPr>
          <w:rFonts w:ascii="Arial" w:eastAsia="Arial" w:hAnsi="Arial" w:cs="Arial"/>
          <w:kern w:val="1"/>
          <w:szCs w:val="28"/>
          <w:lang w:eastAsia="ar-SA"/>
          <w14:ligatures w14:val="standardContextual"/>
        </w:rPr>
        <w:t>URL</w:t>
      </w:r>
      <w:r w:rsidRPr="00511005">
        <w:rPr>
          <w:rFonts w:ascii="Arial" w:eastAsia="Arial" w:hAnsi="Arial" w:cs="Arial"/>
          <w:kern w:val="1"/>
          <w:szCs w:val="28"/>
          <w:lang w:val="uk-UA" w:eastAsia="ar-SA"/>
          <w14:ligatures w14:val="standardContextual"/>
        </w:rPr>
        <w:t>:</w:t>
      </w:r>
      <w:r w:rsidRPr="00511005">
        <w:rPr>
          <w:rFonts w:ascii="Arial" w:eastAsia="Arial" w:hAnsi="Arial" w:cs="Arial"/>
          <w:kern w:val="1"/>
          <w:szCs w:val="28"/>
          <w:lang w:eastAsia="ar-SA"/>
          <w14:ligatures w14:val="standardContextual"/>
        </w:rPr>
        <w:t xml:space="preserve"> </w:t>
      </w:r>
      <w:hyperlink r:id="rId2482" w:history="1">
        <w:r w:rsidRPr="00511005">
          <w:rPr>
            <w:rFonts w:ascii="Arial" w:eastAsia="Arial" w:hAnsi="Arial" w:cs="Arial"/>
            <w:kern w:val="1"/>
            <w:szCs w:val="28"/>
            <w:lang w:val="uk-UA" w:eastAsia="ar-SA"/>
            <w14:ligatures w14:val="standardContextual"/>
          </w:rPr>
          <w:t>https://essuir.sumdu.edu.ua/bitstream/123456789/96436/1/Tarasenko_AI%20policy.pdf</w:t>
        </w:r>
      </w:hyperlink>
      <w:r w:rsidRPr="00511005">
        <w:rPr>
          <w:rFonts w:ascii="Arial" w:eastAsia="Arial" w:hAnsi="Arial" w:cs="Arial"/>
          <w:kern w:val="1"/>
          <w:szCs w:val="28"/>
          <w:lang w:val="uk-UA" w:eastAsia="ar-SA"/>
          <w14:ligatures w14:val="standardContextual"/>
        </w:rPr>
        <w:t xml:space="preserve"> </w:t>
      </w:r>
    </w:p>
    <w:p w14:paraId="34D8B9B7" w14:textId="77777777" w:rsidR="00AE57E7" w:rsidRPr="00511005" w:rsidRDefault="00AE57E7" w:rsidP="003F6A5D">
      <w:pPr>
        <w:numPr>
          <w:ilvl w:val="0"/>
          <w:numId w:val="743"/>
        </w:numPr>
        <w:spacing w:line="264" w:lineRule="auto"/>
        <w:ind w:left="0" w:firstLine="709"/>
        <w:contextualSpacing/>
        <w:jc w:val="left"/>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 xml:space="preserve">Закон України №2297–VІ «Про захист персональних даних» . </w:t>
      </w:r>
      <w:r w:rsidRPr="00511005">
        <w:rPr>
          <w:rFonts w:ascii="Arial" w:eastAsia="Arial" w:hAnsi="Arial" w:cs="Arial"/>
          <w:kern w:val="1"/>
          <w:szCs w:val="28"/>
          <w:lang w:eastAsia="ar-SA"/>
          <w14:ligatures w14:val="standardContextual"/>
        </w:rPr>
        <w:t>URL</w:t>
      </w:r>
      <w:r w:rsidRPr="00511005">
        <w:rPr>
          <w:rFonts w:ascii="Arial" w:eastAsia="Arial" w:hAnsi="Arial" w:cs="Arial"/>
          <w:kern w:val="1"/>
          <w:szCs w:val="28"/>
          <w:lang w:val="uk-UA" w:eastAsia="ar-SA"/>
          <w14:ligatures w14:val="standardContextual"/>
        </w:rPr>
        <w:t>:</w:t>
      </w:r>
      <w:r w:rsidRPr="00511005">
        <w:rPr>
          <w:rFonts w:ascii="Arial" w:eastAsia="Arial" w:hAnsi="Arial" w:cs="Arial"/>
          <w:kern w:val="1"/>
          <w:szCs w:val="28"/>
          <w:lang w:eastAsia="ar-SA"/>
          <w14:ligatures w14:val="standardContextual"/>
        </w:rPr>
        <w:t xml:space="preserve"> </w:t>
      </w:r>
      <w:hyperlink r:id="rId2483" w:history="1">
        <w:r w:rsidRPr="00511005">
          <w:rPr>
            <w:rFonts w:ascii="Arial" w:eastAsia="Arial" w:hAnsi="Arial" w:cs="Arial"/>
            <w:kern w:val="1"/>
            <w:szCs w:val="28"/>
            <w:lang w:val="uk-UA" w:eastAsia="ar-SA"/>
            <w14:ligatures w14:val="standardContextual"/>
          </w:rPr>
          <w:t>https://www.president.gov.ua/documents/2297vi-11567</w:t>
        </w:r>
      </w:hyperlink>
    </w:p>
    <w:p w14:paraId="79597639" w14:textId="6DAAB87A" w:rsidR="00AE57E7" w:rsidRPr="00511005" w:rsidRDefault="00AE57E7" w:rsidP="003F6A5D">
      <w:pPr>
        <w:numPr>
          <w:ilvl w:val="0"/>
          <w:numId w:val="743"/>
        </w:numPr>
        <w:spacing w:line="264" w:lineRule="auto"/>
        <w:ind w:left="0" w:firstLine="709"/>
        <w:contextualSpacing/>
        <w:jc w:val="left"/>
        <w:rPr>
          <w:rFonts w:ascii="Arial" w:eastAsia="Arial" w:hAnsi="Arial" w:cs="Arial"/>
          <w:kern w:val="1"/>
          <w:szCs w:val="28"/>
          <w:lang w:val="uk-UA" w:eastAsia="ar-SA"/>
          <w14:ligatures w14:val="standardContextual"/>
        </w:rPr>
      </w:pPr>
      <w:r w:rsidRPr="00511005">
        <w:rPr>
          <w:rFonts w:ascii="Arial" w:eastAsia="Arial" w:hAnsi="Arial" w:cs="Arial"/>
          <w:kern w:val="1"/>
          <w:szCs w:val="28"/>
          <w:lang w:val="uk-UA" w:eastAsia="ar-SA"/>
          <w14:ligatures w14:val="standardContextual"/>
        </w:rPr>
        <w:t>General Data Protection Regulation</w:t>
      </w:r>
      <w:r w:rsidRPr="00511005">
        <w:rPr>
          <w:rFonts w:ascii="Arial" w:eastAsia="Arial" w:hAnsi="Arial" w:cs="Arial"/>
          <w:kern w:val="1"/>
          <w:szCs w:val="28"/>
          <w:lang w:eastAsia="ar-SA"/>
          <w14:ligatures w14:val="standardContextual"/>
        </w:rPr>
        <w:t>. URL</w:t>
      </w:r>
      <w:r w:rsidRPr="00511005">
        <w:rPr>
          <w:rFonts w:ascii="Arial" w:eastAsia="Arial" w:hAnsi="Arial" w:cs="Arial"/>
          <w:kern w:val="1"/>
          <w:szCs w:val="28"/>
          <w:lang w:val="uk-UA" w:eastAsia="ar-SA"/>
          <w14:ligatures w14:val="standardContextual"/>
        </w:rPr>
        <w:t>:</w:t>
      </w:r>
      <w:r w:rsidR="007B2628" w:rsidRPr="00511005">
        <w:rPr>
          <w:rFonts w:ascii="Arial" w:eastAsia="Arial" w:hAnsi="Arial" w:cs="Arial"/>
          <w:kern w:val="1"/>
          <w:szCs w:val="28"/>
          <w:lang w:eastAsia="ar-SA"/>
          <w14:ligatures w14:val="standardContextual"/>
        </w:rPr>
        <w:t xml:space="preserve"> </w:t>
      </w:r>
      <w:hyperlink r:id="rId2484" w:history="1">
        <w:r w:rsidRPr="00511005">
          <w:rPr>
            <w:rFonts w:ascii="Arial" w:eastAsia="Arial" w:hAnsi="Arial" w:cs="Arial"/>
            <w:kern w:val="1"/>
            <w:szCs w:val="28"/>
            <w:lang w:val="uk-UA" w:eastAsia="ar-SA"/>
            <w14:ligatures w14:val="standardContextual"/>
          </w:rPr>
          <w:t>https://gdpr-info.eu</w:t>
        </w:r>
      </w:hyperlink>
    </w:p>
    <w:p w14:paraId="78195341" w14:textId="77777777" w:rsidR="00AE57E7" w:rsidRPr="00511005" w:rsidRDefault="00AE57E7" w:rsidP="003A292D">
      <w:pPr>
        <w:spacing w:line="264" w:lineRule="auto"/>
        <w:rPr>
          <w:rFonts w:ascii="Arial" w:eastAsia="Arial" w:hAnsi="Arial" w:cs="Arial"/>
          <w:b/>
          <w:kern w:val="1"/>
          <w:szCs w:val="28"/>
          <w:lang w:val="uk-UA" w:eastAsia="ar-SA"/>
          <w14:ligatures w14:val="standardContextual"/>
        </w:rPr>
      </w:pPr>
    </w:p>
    <w:p w14:paraId="7E9BC9D7" w14:textId="6A890C20" w:rsidR="00AE57E7" w:rsidRPr="00511005" w:rsidRDefault="007B2628" w:rsidP="003A292D">
      <w:pPr>
        <w:spacing w:line="264" w:lineRule="auto"/>
        <w:rPr>
          <w:rFonts w:ascii="Arial" w:eastAsia="Arial" w:hAnsi="Arial" w:cs="Arial"/>
          <w:kern w:val="1"/>
          <w:szCs w:val="28"/>
          <w:lang w:val="uk-UA" w:eastAsia="ar-SA"/>
          <w14:ligatures w14:val="standardContextual"/>
        </w:rPr>
      </w:pPr>
      <w:r w:rsidRPr="00511005">
        <w:rPr>
          <w:rFonts w:ascii="Arial" w:eastAsia="Arial" w:hAnsi="Arial" w:cs="Arial"/>
          <w:b/>
          <w:i/>
          <w:kern w:val="1"/>
          <w:szCs w:val="28"/>
          <w:lang w:val="uk-UA" w:eastAsia="ar-SA"/>
          <w14:ligatures w14:val="standardContextual"/>
        </w:rPr>
        <w:t xml:space="preserve">Ключові слова: </w:t>
      </w:r>
      <w:r w:rsidR="00AE57E7" w:rsidRPr="00511005">
        <w:rPr>
          <w:rFonts w:ascii="Arial" w:eastAsia="Arial" w:hAnsi="Arial" w:cs="Arial"/>
          <w:kern w:val="1"/>
          <w:szCs w:val="28"/>
          <w:lang w:val="uk-UA" w:eastAsia="ar-SA"/>
          <w14:ligatures w14:val="standardContextual"/>
        </w:rPr>
        <w:t>Big Data, державне управління, правове регулювання, цифрова трансформація, економічне відновлення</w:t>
      </w:r>
    </w:p>
    <w:p w14:paraId="399B263B" w14:textId="34CFE987" w:rsidR="00AE57E7" w:rsidRPr="00511005" w:rsidRDefault="007B2628" w:rsidP="003A292D">
      <w:pPr>
        <w:spacing w:line="264" w:lineRule="auto"/>
        <w:rPr>
          <w:rFonts w:ascii="Arial" w:eastAsia="Arial" w:hAnsi="Arial" w:cs="Arial"/>
          <w:kern w:val="1"/>
          <w:szCs w:val="28"/>
          <w:lang w:val="uk-UA" w:eastAsia="ar-SA"/>
          <w14:ligatures w14:val="standardContextual"/>
        </w:rPr>
      </w:pPr>
      <w:r w:rsidRPr="00511005">
        <w:rPr>
          <w:rFonts w:ascii="Arial" w:eastAsia="Arial" w:hAnsi="Arial" w:cs="Arial"/>
          <w:b/>
          <w:i/>
          <w:kern w:val="1"/>
          <w:szCs w:val="28"/>
          <w:lang w:val="uk-UA" w:eastAsia="ar-SA"/>
          <w14:ligatures w14:val="standardContextual"/>
        </w:rPr>
        <w:t xml:space="preserve">Key words: </w:t>
      </w:r>
      <w:r w:rsidR="00AE57E7" w:rsidRPr="00511005">
        <w:rPr>
          <w:rFonts w:ascii="Arial" w:eastAsia="Arial" w:hAnsi="Arial" w:cs="Arial"/>
          <w:kern w:val="1"/>
          <w:szCs w:val="28"/>
          <w:lang w:val="uk-UA" w:eastAsia="ar-SA"/>
          <w14:ligatures w14:val="standardContextual"/>
        </w:rPr>
        <w:t>Big Data, public administration, legal regulation, digital transformation, economic recovery</w:t>
      </w:r>
    </w:p>
    <w:p w14:paraId="10167948" w14:textId="4205DDE2" w:rsidR="00AE57E7" w:rsidRPr="00511005" w:rsidRDefault="007B2628" w:rsidP="003A292D">
      <w:pPr>
        <w:spacing w:line="264" w:lineRule="auto"/>
        <w:rPr>
          <w:rFonts w:ascii="Arial" w:eastAsia="Calibri" w:hAnsi="Arial" w:cs="Arial"/>
          <w:kern w:val="2"/>
          <w:szCs w:val="28"/>
          <w:lang w:val="uk-UA"/>
          <w14:ligatures w14:val="standardContextual"/>
        </w:rPr>
      </w:pPr>
      <w:r w:rsidRPr="00511005">
        <w:rPr>
          <w:rFonts w:ascii="Arial" w:eastAsia="Arial" w:hAnsi="Arial" w:cs="Arial"/>
          <w:b/>
          <w:i/>
          <w:kern w:val="1"/>
          <w:szCs w:val="28"/>
          <w:lang w:val="uk-UA" w:eastAsia="ar-SA"/>
          <w14:ligatures w14:val="standardContextual"/>
        </w:rPr>
        <w:t xml:space="preserve">Науковий керівник: </w:t>
      </w:r>
      <w:r w:rsidR="00AE57E7" w:rsidRPr="00511005">
        <w:rPr>
          <w:rFonts w:ascii="Arial" w:eastAsia="Arial" w:hAnsi="Arial" w:cs="Arial"/>
          <w:i/>
          <w:kern w:val="1"/>
          <w:szCs w:val="28"/>
          <w:lang w:val="uk-UA" w:eastAsia="ar-SA"/>
          <w14:ligatures w14:val="standardContextual"/>
        </w:rPr>
        <w:t>к.е.н., доцент</w:t>
      </w:r>
      <w:r w:rsidRPr="00511005">
        <w:rPr>
          <w:rFonts w:ascii="Arial" w:eastAsia="Arial" w:hAnsi="Arial" w:cs="Arial"/>
          <w:i/>
          <w:kern w:val="1"/>
          <w:szCs w:val="28"/>
          <w:lang w:val="uk-UA" w:eastAsia="ar-SA"/>
          <w14:ligatures w14:val="standardContextual"/>
        </w:rPr>
        <w:t xml:space="preserve"> </w:t>
      </w:r>
      <w:r w:rsidR="00AE57E7" w:rsidRPr="00511005">
        <w:rPr>
          <w:rFonts w:ascii="Arial" w:eastAsia="Arial" w:hAnsi="Arial" w:cs="Arial"/>
          <w:i/>
          <w:kern w:val="1"/>
          <w:szCs w:val="28"/>
          <w:lang w:val="uk-UA" w:eastAsia="ar-SA"/>
          <w14:ligatures w14:val="standardContextual"/>
        </w:rPr>
        <w:t>Редіна Є.В.</w:t>
      </w:r>
    </w:p>
    <w:p w14:paraId="49377C73" w14:textId="77777777" w:rsidR="00AE57E7" w:rsidRPr="00511005" w:rsidRDefault="00AE57E7" w:rsidP="003A292D">
      <w:pPr>
        <w:spacing w:line="264" w:lineRule="auto"/>
        <w:jc w:val="left"/>
        <w:rPr>
          <w:rFonts w:ascii="Arial" w:eastAsia="Times New Roman" w:hAnsi="Arial" w:cs="Arial"/>
          <w:szCs w:val="28"/>
          <w:lang w:val="uk-UA" w:eastAsia="ru-RU"/>
        </w:rPr>
      </w:pPr>
    </w:p>
    <w:p w14:paraId="2C8FDE34" w14:textId="77777777" w:rsidR="001D1A08" w:rsidRPr="00511005" w:rsidRDefault="001D1A08" w:rsidP="003A292D">
      <w:pPr>
        <w:spacing w:line="264" w:lineRule="auto"/>
        <w:ind w:firstLine="0"/>
        <w:jc w:val="left"/>
        <w:rPr>
          <w:rFonts w:ascii="Arial" w:eastAsia="Times New Roman" w:hAnsi="Arial" w:cs="Arial"/>
          <w:b/>
          <w:bCs/>
          <w:i/>
          <w:iCs/>
          <w:szCs w:val="28"/>
          <w:lang w:val="uk-UA" w:eastAsia="uk-UA"/>
        </w:rPr>
      </w:pPr>
    </w:p>
    <w:p w14:paraId="70AE1194" w14:textId="264C3740" w:rsidR="00AE57E7" w:rsidRPr="00511005" w:rsidRDefault="00AE57E7" w:rsidP="003A292D">
      <w:pPr>
        <w:spacing w:line="264" w:lineRule="auto"/>
        <w:ind w:firstLine="0"/>
        <w:jc w:val="left"/>
        <w:rPr>
          <w:rFonts w:ascii="Arial" w:eastAsia="Times New Roman" w:hAnsi="Arial" w:cs="Arial"/>
          <w:b/>
          <w:bCs/>
          <w:i/>
          <w:iCs/>
          <w:szCs w:val="28"/>
          <w:lang w:val="uk-UA" w:eastAsia="uk-UA"/>
        </w:rPr>
      </w:pPr>
    </w:p>
    <w:p w14:paraId="60E557BF" w14:textId="77777777" w:rsidR="00AE57E7" w:rsidRPr="00511005" w:rsidRDefault="00AE57E7" w:rsidP="003A292D">
      <w:pPr>
        <w:spacing w:line="264" w:lineRule="auto"/>
        <w:ind w:firstLine="0"/>
        <w:jc w:val="center"/>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Катюжанська Анастасія Євгеніївна</w:t>
      </w:r>
    </w:p>
    <w:p w14:paraId="59641353" w14:textId="0496224C" w:rsidR="00AE57E7" w:rsidRPr="00511005" w:rsidRDefault="00536AAB"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2-го курсу факультету адвокатури та антикорупційної діяльності</w:t>
      </w:r>
    </w:p>
    <w:p w14:paraId="6F46484B" w14:textId="3AFE5778" w:rsidR="00AE57E7" w:rsidRPr="00511005" w:rsidRDefault="007B2628" w:rsidP="003A292D">
      <w:pPr>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kern w:val="2"/>
          <w:szCs w:val="28"/>
          <w:lang w:val="uk-UA" w:eastAsia="uk-UA"/>
          <w14:ligatures w14:val="standardContextual"/>
        </w:rPr>
        <w:t>Національного університету «Одеська юридична академія»</w:t>
      </w:r>
    </w:p>
    <w:p w14:paraId="765049B9" w14:textId="77777777" w:rsidR="00AE57E7" w:rsidRPr="00511005" w:rsidRDefault="00AE57E7" w:rsidP="003A292D">
      <w:pPr>
        <w:spacing w:line="264" w:lineRule="auto"/>
        <w:ind w:firstLine="0"/>
        <w:rPr>
          <w:rFonts w:ascii="Arial" w:eastAsia="Times New Roman" w:hAnsi="Arial" w:cs="Arial"/>
          <w:b/>
          <w:bCs/>
          <w:szCs w:val="28"/>
          <w:lang w:val="uk-UA" w:eastAsia="uk-UA"/>
        </w:rPr>
      </w:pPr>
    </w:p>
    <w:p w14:paraId="01292E61" w14:textId="77777777" w:rsidR="00AE57E7" w:rsidRPr="00511005" w:rsidRDefault="00AE57E7" w:rsidP="003A292D">
      <w:pPr>
        <w:spacing w:line="264" w:lineRule="auto"/>
        <w:ind w:firstLine="567"/>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СТРАТЕГІЇ ЕФЕКТИВНОГО УПРАВЛІННЯ МАЛИМ ТА СЕРЕДНІМ БІЗНЕСОМ ДЛЯ ПІСЛЯВОЄННОГО ЕКОНОМІЧНОГО ЗРОСТАННЯ УКРАЇНИ</w:t>
      </w:r>
    </w:p>
    <w:p w14:paraId="23E4EF92" w14:textId="77777777" w:rsidR="00AE57E7" w:rsidRPr="00511005" w:rsidRDefault="00AE57E7"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Малий та середній бізнес (МСБ) є основою економічного розвитку України, особливо в умовах післявоєнного відновлення, коли економіка зазнає значних потрясінь через воєнний стан, енергетичну кризу, зруйновану інфраструктуру та міграцію робочої сили. МСБ становить </w:t>
      </w:r>
      <w:r w:rsidRPr="00511005">
        <w:rPr>
          <w:rFonts w:ascii="Arial" w:eastAsia="Times New Roman" w:hAnsi="Arial" w:cs="Arial"/>
          <w:szCs w:val="28"/>
          <w:lang w:val="uk-UA" w:eastAsia="ru-RU"/>
        </w:rPr>
        <w:lastRenderedPageBreak/>
        <w:t>переважну більшість бізнесу і забезпечує значний внесок у економіку, створюючи робочі місця, стимулюючи інновації та формуючи конкурентне ринкове середовище. За даними Державної служби статистики України, до кінця 2024 року частка МСБ у загальній кількості бізнесу перевищувала 99%, а їхній внесок у валовий внутрішній продукт складав близько 58% [4]. Малий бізнес забезпечує понад 70% нових робочих місць, що підкреслює його соціально-економічну значущість [4]. Ефективне управління МСБ у післявоєнний період стає вирішальним для мобілізації внутрішнього потенціалу та забезпечення сталого економічного зростання.</w:t>
      </w:r>
    </w:p>
    <w:p w14:paraId="20C76D96" w14:textId="77777777" w:rsidR="00AE57E7" w:rsidRPr="00511005" w:rsidRDefault="00AE57E7"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Сектор МСБ стикається з низкою системних викликів, які обмежують його розвиток. Нестабільність податкової політики, зокрема часті зміни в законодавстві та складність адміністрування податків, ускладнює довгострокове планування та стримує інвестиції. Підприємці витрачають значні ресурси на фіскальну звітність, що знижує рівень їх конкурентоспроможності. Обмежений доступ до фінансування є серйозним бар’єром: за даними Національного банку України, у 2024 році лише 18% малого бізнесу отримали банківські кредити через жорсткі умови та недосконалість фінансових продуктів [1]. Тінізація економіки залишається значною проблемою: за оцінками Міністерства економіки України, у 2023 році тіньова економіка становила близько 31% ВВП, причому значна частка припадала на МСБ [3]. Наведене відображає низьку довіру до державних інститутів і складність легалізації бізнесу. Відставання у цифровій трансформації, зокрема низьке використання автоматизації та цифрових платформ, обмежує ефективність і конкурентоспроможність МСБ, особливо в умовах післявоєнних викликів, таких як потреба у швидкій адаптації до ринкових змін.</w:t>
      </w:r>
    </w:p>
    <w:p w14:paraId="1DC3E5A7" w14:textId="77777777" w:rsidR="00AE57E7" w:rsidRPr="00511005" w:rsidRDefault="00AE57E7"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Для подолання цих проблем і забезпечення післявоєнного економічного зростання необхідні стратегії ефективного управління МСБ, які враховують сучасні виклики та ринкові реалії. Основними стратегічними підходами є:</w:t>
      </w:r>
    </w:p>
    <w:p w14:paraId="7F4E04CE" w14:textId="77777777" w:rsidR="00AE57E7" w:rsidRPr="00511005" w:rsidRDefault="00AE57E7" w:rsidP="003F6A5D">
      <w:pPr>
        <w:numPr>
          <w:ilvl w:val="0"/>
          <w:numId w:val="746"/>
        </w:numPr>
        <w:tabs>
          <w:tab w:val="num" w:pos="851"/>
          <w:tab w:val="left" w:pos="993"/>
        </w:tabs>
        <w:spacing w:line="264" w:lineRule="auto"/>
        <w:ind w:left="0" w:firstLine="567"/>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Впровадження інформаційних технологій, таких як системи управління ресурсами (ERP), електронна комерція та цифрові платформи для взаємодії з клієнтами, дозволяє автоматизувати операції, знижувати витрати та підвищувати якість обслуговування. Так, використання CRM-систем допомагає МСБ персоналізувати пропозиції для клієнтів, а онлайн-платформи розширюють ринки збуту. Цифровізація є критично важливою для післявоєнного відновлення, оскільки дозволяє підприємствам швидко адаптуватися до змін попиту та логістичних обмежень.</w:t>
      </w:r>
    </w:p>
    <w:p w14:paraId="6F1B3FD1" w14:textId="77777777" w:rsidR="00AE57E7" w:rsidRPr="00511005" w:rsidRDefault="00AE57E7" w:rsidP="003F6A5D">
      <w:pPr>
        <w:numPr>
          <w:ilvl w:val="0"/>
          <w:numId w:val="746"/>
        </w:numPr>
        <w:tabs>
          <w:tab w:val="num" w:pos="851"/>
          <w:tab w:val="left" w:pos="993"/>
        </w:tabs>
        <w:spacing w:line="264" w:lineRule="auto"/>
        <w:ind w:left="0" w:firstLine="567"/>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Організація навчальних програм із фінансового планування, маркетингу, цифрових навичок і стратегічного управління підвищує кваліфікацію керівників МСБ. Такі програми допомагають підприємцям ефективно управляти ресурсами, розробляти бізнес-стратегії та впроваджувати інновації. У післявоєнний період освіта є ключем до </w:t>
      </w:r>
      <w:r w:rsidRPr="00511005">
        <w:rPr>
          <w:rFonts w:ascii="Arial" w:eastAsia="Times New Roman" w:hAnsi="Arial" w:cs="Arial"/>
          <w:szCs w:val="28"/>
          <w:lang w:val="uk-UA" w:eastAsia="ru-RU"/>
        </w:rPr>
        <w:lastRenderedPageBreak/>
        <w:t>адаптації до нових ринкових умов, таких як зростання попиту на екологічні продукти чи цифрові сервіси.</w:t>
      </w:r>
    </w:p>
    <w:p w14:paraId="036C2998" w14:textId="77777777" w:rsidR="00AE57E7" w:rsidRPr="00511005" w:rsidRDefault="00AE57E7" w:rsidP="003F6A5D">
      <w:pPr>
        <w:numPr>
          <w:ilvl w:val="0"/>
          <w:numId w:val="746"/>
        </w:numPr>
        <w:tabs>
          <w:tab w:val="num" w:pos="851"/>
          <w:tab w:val="left" w:pos="993"/>
        </w:tabs>
        <w:spacing w:line="264" w:lineRule="auto"/>
        <w:ind w:left="0" w:firstLine="567"/>
        <w:jc w:val="left"/>
        <w:rPr>
          <w:rFonts w:ascii="Arial" w:eastAsia="Times New Roman" w:hAnsi="Arial" w:cs="Arial"/>
          <w:szCs w:val="28"/>
          <w:lang w:val="uk-UA" w:eastAsia="ru-RU"/>
        </w:rPr>
      </w:pPr>
      <w:r w:rsidRPr="00511005">
        <w:rPr>
          <w:rFonts w:ascii="Arial" w:eastAsia="Times New Roman" w:hAnsi="Arial" w:cs="Arial"/>
          <w:szCs w:val="28"/>
          <w:lang w:val="uk-UA" w:eastAsia="ru-RU"/>
        </w:rPr>
        <w:t>Створення кластерів і бізнес-асоціацій сприяє обміну досвідом, ресурсами та технологіями між МСБ. Кластери дозволяють спільно вирішувати проблеми, такі як доступ до фінансування чи ринків, і підвищують конкурентоспроможність через економію на масштабі. У післявоєнний період кластери можуть стати основою для відновлення регіональних економік, наприклад, через кооперацію у відбудові інфраструктури чи агросекторі.</w:t>
      </w:r>
    </w:p>
    <w:p w14:paraId="678458A6" w14:textId="77777777" w:rsidR="00AE57E7" w:rsidRPr="00511005" w:rsidRDefault="00AE57E7" w:rsidP="003F6A5D">
      <w:pPr>
        <w:numPr>
          <w:ilvl w:val="0"/>
          <w:numId w:val="746"/>
        </w:numPr>
        <w:tabs>
          <w:tab w:val="num" w:pos="851"/>
          <w:tab w:val="left" w:pos="993"/>
        </w:tabs>
        <w:spacing w:line="264" w:lineRule="auto"/>
        <w:ind w:left="0" w:firstLine="567"/>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Розвиток експортного потенціалу через консультаційні послуги, участь у міжнародних виставках і торгових місіях допомагає МСБ розширювати ринки збуту та диверсифікувати доходи. Наведена стратегія є особливо актуальною для післявоєнної України, де доступ до європейських ринків може компенсувати втрати внутрішнього попиту.</w:t>
      </w:r>
    </w:p>
    <w:p w14:paraId="5B49CD7E" w14:textId="77777777" w:rsidR="00AE57E7" w:rsidRPr="00511005" w:rsidRDefault="00AE57E7" w:rsidP="003F6A5D">
      <w:pPr>
        <w:numPr>
          <w:ilvl w:val="0"/>
          <w:numId w:val="746"/>
        </w:numPr>
        <w:tabs>
          <w:tab w:val="num" w:pos="851"/>
          <w:tab w:val="left" w:pos="993"/>
        </w:tabs>
        <w:spacing w:line="264" w:lineRule="auto"/>
        <w:ind w:left="0" w:firstLine="567"/>
        <w:jc w:val="left"/>
        <w:rPr>
          <w:rFonts w:ascii="Arial" w:eastAsia="Times New Roman" w:hAnsi="Arial" w:cs="Arial"/>
          <w:szCs w:val="28"/>
          <w:lang w:val="uk-UA" w:eastAsia="ru-RU"/>
        </w:rPr>
      </w:pPr>
      <w:r w:rsidRPr="00511005">
        <w:rPr>
          <w:rFonts w:ascii="Arial" w:eastAsia="Times New Roman" w:hAnsi="Arial" w:cs="Arial"/>
          <w:szCs w:val="28"/>
          <w:lang w:val="uk-UA" w:eastAsia="ru-RU"/>
        </w:rPr>
        <w:t>Створення інноваційних центрів, бізнес-інкубаторів і технопарків забезпечує МСБ доступ до сучасного обладнання, фінансування та експертизи. Наведені структури підтримують стартапи та технологічні компанії, які можуть стати рушієм економічного відновлення, наприклад, у сферах зеленої енергетики чи цифрових сервісів.</w:t>
      </w:r>
    </w:p>
    <w:p w14:paraId="395D37E9" w14:textId="77777777" w:rsidR="00AE57E7" w:rsidRPr="00511005" w:rsidRDefault="00AE57E7"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Державна підтримка є необхідною умовою для реалізації наведених стратегій. Спрощення регуляторних вимог і стабілізація податкової політики підвищать передбачуваність бізнес-середовища. Розширення програм доступного кредитування, таких як «Доступні кредити 5-7-9%», із адаптацією до потреб різних галузей, сприятиме фінансуванню інноваційних проєктів [2]. Прозорий доступ МСБ до державних закупівель, зокрема в інфраструктурних і соціальних проєктах, підтримає їхню інтеграцію в економічні процеси. Так, залучення МСБ до відновлення доріг чи енергетичних об’єктів може стати драйвером їхнього зростання.</w:t>
      </w:r>
    </w:p>
    <w:p w14:paraId="4836B704" w14:textId="77777777" w:rsidR="00AE57E7" w:rsidRPr="00511005" w:rsidRDefault="00AE57E7"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Інтеграція МСБ у міжнародні ланцюги постачання потребує державної підтримки через консультаційні послуги та організацію участі в міжнародних заходах. Покращення інфраструктури, включаючи транспортну, енергетичну та цифрову складові, зменшить логістичні витрати та забезпечить стабільне енергопостачання, що є критично важливим у післявоєнний період. Зміцнення правового захисту МСБ через реформу судової системи та захист прав власності підвищить довіру до держави та сприятиме легалізації бізнесу. Активна взаємодія з бізнес-асоціаціями дозволить враховувати потреби МСБ у формуванні політики, забезпечуючи її відповідність реальним викликам.</w:t>
      </w:r>
    </w:p>
    <w:p w14:paraId="7617F854" w14:textId="77777777" w:rsidR="00AE57E7" w:rsidRPr="00511005" w:rsidRDefault="00AE57E7" w:rsidP="003A292D">
      <w:pPr>
        <w:spacing w:line="264" w:lineRule="auto"/>
        <w:ind w:firstLine="567"/>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післявоєнний період МСБ має стати рушієм економічного відновлення України. Запропоновані стратегії – цифрова трансформація, освіта, кластерна кооперація, експортна орієнтація та інноваційний розвиток – дозволяють сектору подолати системні виклики та реалізувати свій </w:t>
      </w:r>
      <w:r w:rsidRPr="00511005">
        <w:rPr>
          <w:rFonts w:ascii="Arial" w:eastAsia="Times New Roman" w:hAnsi="Arial" w:cs="Arial"/>
          <w:szCs w:val="28"/>
          <w:lang w:val="uk-UA" w:eastAsia="ru-RU"/>
        </w:rPr>
        <w:lastRenderedPageBreak/>
        <w:t>потенціал. Комплексна державна підтримка, що включає стабільне регулювання, доступ до фінансування, покращення інфраструктури та правовий захист, створить сприятливе середовище для розвитку МСБ. Тісна співпраця між державою, бізнесом і громадянським суспільством забезпечить формування стійкої економічної системи, у якій МСБ відіграватиме центральну роль у соціальній стабільності та економічному зростанні України.</w:t>
      </w:r>
    </w:p>
    <w:p w14:paraId="109EB397" w14:textId="77777777" w:rsidR="00AE57E7" w:rsidRPr="00511005" w:rsidRDefault="00AE57E7" w:rsidP="003A292D">
      <w:pPr>
        <w:spacing w:line="264" w:lineRule="auto"/>
        <w:ind w:firstLine="708"/>
        <w:rPr>
          <w:rFonts w:ascii="Arial" w:eastAsia="Times New Roman" w:hAnsi="Arial" w:cs="Arial"/>
          <w:szCs w:val="28"/>
          <w:lang w:val="uk-UA" w:eastAsia="uk-UA"/>
        </w:rPr>
      </w:pPr>
    </w:p>
    <w:p w14:paraId="335C721C" w14:textId="6DACFB58" w:rsidR="00AE57E7" w:rsidRPr="00511005" w:rsidRDefault="007B2628" w:rsidP="007B2628">
      <w:pPr>
        <w:spacing w:line="264" w:lineRule="auto"/>
        <w:ind w:firstLine="708"/>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7C92763B" w14:textId="77777777" w:rsidR="00AE57E7" w:rsidRPr="00511005" w:rsidRDefault="00AE57E7" w:rsidP="003F6A5D">
      <w:pPr>
        <w:numPr>
          <w:ilvl w:val="0"/>
          <w:numId w:val="745"/>
        </w:numPr>
        <w:tabs>
          <w:tab w:val="left" w:pos="851"/>
        </w:tabs>
        <w:spacing w:line="264" w:lineRule="auto"/>
        <w:ind w:left="0" w:firstLine="567"/>
        <w:contextualSpacing/>
        <w:jc w:val="left"/>
        <w:rPr>
          <w:rFonts w:ascii="Arial" w:eastAsia="Times New Roman" w:hAnsi="Arial" w:cs="Arial"/>
          <w:szCs w:val="28"/>
          <w:lang w:val="uk-UA" w:eastAsia="uk-UA"/>
        </w:rPr>
      </w:pPr>
      <w:r w:rsidRPr="00511005">
        <w:rPr>
          <w:rFonts w:ascii="Arial" w:eastAsia="Times New Roman" w:hAnsi="Arial" w:cs="Arial"/>
          <w:kern w:val="2"/>
          <w:szCs w:val="28"/>
          <w:lang w:val="uk-UA" w:eastAsia="uk-UA"/>
          <w14:ligatures w14:val="standardContextual"/>
        </w:rPr>
        <w:t>В Україні зросло кредитування малого та середнього бізнесу, - НБУ. «Дебет-Кредит» - Бухгалтерські новини. URL: https://news.dtkt.ua/finance/bank-system/96193-v-ukrayini-zroslo-kredituvannia-malogo-ta-serednyogo-biznesu-nbu?utm_source.</w:t>
      </w:r>
    </w:p>
    <w:p w14:paraId="19CEC260" w14:textId="77777777" w:rsidR="00AE57E7" w:rsidRPr="00511005" w:rsidRDefault="00AE57E7" w:rsidP="003F6A5D">
      <w:pPr>
        <w:numPr>
          <w:ilvl w:val="0"/>
          <w:numId w:val="745"/>
        </w:numPr>
        <w:tabs>
          <w:tab w:val="left" w:pos="851"/>
        </w:tabs>
        <w:spacing w:line="264" w:lineRule="auto"/>
        <w:ind w:left="0" w:firstLine="567"/>
        <w:contextualSpacing/>
        <w:jc w:val="left"/>
        <w:rPr>
          <w:rFonts w:ascii="Arial" w:eastAsia="Times New Roman" w:hAnsi="Arial" w:cs="Arial"/>
          <w:szCs w:val="28"/>
          <w:lang w:val="uk-UA" w:eastAsia="uk-UA"/>
        </w:rPr>
      </w:pPr>
      <w:r w:rsidRPr="00511005">
        <w:rPr>
          <w:rFonts w:ascii="Arial" w:eastAsia="Times New Roman" w:hAnsi="Arial" w:cs="Arial"/>
          <w:kern w:val="2"/>
          <w:szCs w:val="28"/>
          <w:lang w:val="uk-UA" w:eastAsia="uk-UA"/>
          <w14:ligatures w14:val="standardContextual"/>
        </w:rPr>
        <w:t>Державна програма доступного кредитування малого бізнесу 5-7-9%. Райффайзен Банк. Офіційний сайт. URL: https://raiffeisen.ua/uk/aem/news/2024/standard-news/derzhavna-prohrama-dostupnoho-kredytuvannia-maloho-biznesu-5-7-9.html.</w:t>
      </w:r>
    </w:p>
    <w:p w14:paraId="2C03A9FA" w14:textId="77777777" w:rsidR="00AE57E7" w:rsidRPr="00511005" w:rsidRDefault="00AE57E7" w:rsidP="003F6A5D">
      <w:pPr>
        <w:numPr>
          <w:ilvl w:val="0"/>
          <w:numId w:val="745"/>
        </w:numPr>
        <w:tabs>
          <w:tab w:val="left" w:pos="851"/>
        </w:tabs>
        <w:spacing w:line="264" w:lineRule="auto"/>
        <w:ind w:left="0" w:firstLine="567"/>
        <w:contextualSpacing/>
        <w:jc w:val="left"/>
        <w:rPr>
          <w:rFonts w:ascii="Arial" w:eastAsia="Times New Roman" w:hAnsi="Arial" w:cs="Arial"/>
          <w:szCs w:val="28"/>
          <w:lang w:val="uk-UA" w:eastAsia="uk-UA"/>
        </w:rPr>
      </w:pPr>
      <w:r w:rsidRPr="00511005">
        <w:rPr>
          <w:rFonts w:ascii="Arial" w:eastAsia="Times New Roman" w:hAnsi="Arial" w:cs="Arial"/>
          <w:kern w:val="2"/>
          <w:szCs w:val="28"/>
          <w:lang w:val="uk-UA" w:eastAsia="uk-UA"/>
          <w14:ligatures w14:val="standardContextual"/>
        </w:rPr>
        <w:t>Рівень тіньової економіки в Україні та світі 2023. Finway. URL: https://finway.com.ua/riven-tinovoyi-ekonomiky-ukrayini-sviti/?utm_source.</w:t>
      </w:r>
    </w:p>
    <w:p w14:paraId="239CB224" w14:textId="77777777" w:rsidR="00AE57E7" w:rsidRPr="00511005" w:rsidRDefault="00AE57E7" w:rsidP="003F6A5D">
      <w:pPr>
        <w:numPr>
          <w:ilvl w:val="0"/>
          <w:numId w:val="745"/>
        </w:numPr>
        <w:tabs>
          <w:tab w:val="left" w:pos="851"/>
        </w:tabs>
        <w:spacing w:line="264" w:lineRule="auto"/>
        <w:ind w:left="0" w:firstLine="567"/>
        <w:contextualSpacing/>
        <w:jc w:val="left"/>
        <w:rPr>
          <w:rFonts w:ascii="Arial" w:eastAsia="Times New Roman" w:hAnsi="Arial" w:cs="Arial"/>
          <w:szCs w:val="28"/>
          <w:lang w:val="uk-UA" w:eastAsia="uk-UA"/>
        </w:rPr>
      </w:pPr>
      <w:r w:rsidRPr="00511005">
        <w:rPr>
          <w:rFonts w:ascii="Arial" w:eastAsia="Times New Roman" w:hAnsi="Arial" w:cs="Arial"/>
          <w:kern w:val="2"/>
          <w:szCs w:val="28"/>
          <w:lang w:val="uk-UA" w:eastAsia="uk-UA"/>
          <w14:ligatures w14:val="standardContextual"/>
        </w:rPr>
        <w:t>Структурні зміни в економіці України та її регіонів. Державна служба статистики України. Державна служба статистики України. URL: https://stat.gov.ua/uk/releases/strukturni-zminy-v-ekonomitsi-ukrayiny-ta-yiyi-rehioniv?utm_source.</w:t>
      </w:r>
    </w:p>
    <w:p w14:paraId="4D6ACC25" w14:textId="77777777" w:rsidR="00AE57E7" w:rsidRPr="00511005" w:rsidRDefault="00AE57E7" w:rsidP="003A292D">
      <w:pPr>
        <w:spacing w:line="264" w:lineRule="auto"/>
        <w:ind w:left="708" w:firstLine="0"/>
        <w:rPr>
          <w:rFonts w:ascii="Arial" w:eastAsia="Times New Roman" w:hAnsi="Arial" w:cs="Arial"/>
          <w:szCs w:val="28"/>
          <w:lang w:val="uk-UA" w:eastAsia="uk-UA"/>
        </w:rPr>
      </w:pPr>
    </w:p>
    <w:p w14:paraId="152682B5" w14:textId="5ACBD23D" w:rsidR="00AE57E7" w:rsidRPr="00511005" w:rsidRDefault="007B2628"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AE57E7" w:rsidRPr="00511005">
        <w:rPr>
          <w:rFonts w:ascii="Arial" w:eastAsia="Times New Roman" w:hAnsi="Arial" w:cs="Arial"/>
          <w:szCs w:val="28"/>
          <w:lang w:val="uk-UA" w:eastAsia="uk-UA"/>
        </w:rPr>
        <w:t>малий та середній бізнес, МСБ, післявоєнне відновлення, економічне зростання, управління бізнесом, цифрова трансформація, державна підтримка, інновації, тіньова економіка, експортний потенціал.</w:t>
      </w:r>
    </w:p>
    <w:p w14:paraId="01711660" w14:textId="54239DB4" w:rsidR="00AE57E7" w:rsidRPr="00511005" w:rsidRDefault="007B2628" w:rsidP="003A292D">
      <w:pPr>
        <w:spacing w:line="264" w:lineRule="auto"/>
        <w:ind w:firstLine="567"/>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Key words: </w:t>
      </w:r>
      <w:r w:rsidR="00AE57E7" w:rsidRPr="00511005">
        <w:rPr>
          <w:rFonts w:ascii="Arial" w:eastAsia="Times New Roman" w:hAnsi="Arial" w:cs="Arial"/>
          <w:szCs w:val="28"/>
          <w:lang w:val="uk-UA" w:eastAsia="uk-UA"/>
        </w:rPr>
        <w:t>small and medium-sized business, SMEs, post-war recovery, economic growth, business management, digital transformation, state support, innovation, shadow economy, export potential.</w:t>
      </w:r>
    </w:p>
    <w:p w14:paraId="6A741253" w14:textId="792802EF" w:rsidR="00AE57E7" w:rsidRPr="00511005" w:rsidRDefault="007B2628" w:rsidP="003A292D">
      <w:pPr>
        <w:spacing w:line="264" w:lineRule="auto"/>
        <w:ind w:firstLine="567"/>
        <w:rPr>
          <w:rFonts w:ascii="Arial" w:eastAsia="Times New Roman" w:hAnsi="Arial" w:cs="Arial"/>
          <w:i/>
          <w:iCs/>
          <w:kern w:val="2"/>
          <w:szCs w:val="28"/>
          <w:lang w:val="uk-UA" w:eastAsia="uk-UA"/>
          <w14:ligatures w14:val="standardContextual"/>
        </w:rPr>
      </w:pPr>
      <w:r w:rsidRPr="00511005">
        <w:rPr>
          <w:rFonts w:ascii="Arial" w:eastAsia="Times New Roman" w:hAnsi="Arial" w:cs="Arial"/>
          <w:b/>
          <w:i/>
          <w:iCs/>
          <w:szCs w:val="28"/>
          <w:lang w:val="uk-UA" w:eastAsia="uk-UA"/>
        </w:rPr>
        <w:t xml:space="preserve">Науковий керівник: </w:t>
      </w:r>
      <w:r w:rsidR="00AE57E7" w:rsidRPr="00511005">
        <w:rPr>
          <w:rFonts w:ascii="Arial" w:eastAsia="Times New Roman" w:hAnsi="Arial" w:cs="Arial"/>
          <w:i/>
          <w:iCs/>
          <w:szCs w:val="28"/>
          <w:lang w:val="uk-UA" w:eastAsia="uk-UA"/>
        </w:rPr>
        <w:t>к.е.н., доцент Котлубай В. О.</w:t>
      </w:r>
    </w:p>
    <w:p w14:paraId="01EFF5DD" w14:textId="77777777" w:rsidR="00AE57E7" w:rsidRPr="00511005" w:rsidRDefault="00AE57E7" w:rsidP="003A292D">
      <w:pPr>
        <w:spacing w:line="264" w:lineRule="auto"/>
        <w:jc w:val="left"/>
        <w:rPr>
          <w:rFonts w:ascii="Arial" w:eastAsia="Times New Roman" w:hAnsi="Arial" w:cs="Arial"/>
          <w:szCs w:val="28"/>
          <w:lang w:val="uk-UA" w:eastAsia="ru-RU"/>
        </w:rPr>
      </w:pPr>
    </w:p>
    <w:p w14:paraId="23E8BD21" w14:textId="77777777" w:rsidR="001D1A08" w:rsidRPr="00511005" w:rsidRDefault="001D1A08" w:rsidP="003A292D">
      <w:pPr>
        <w:spacing w:line="264" w:lineRule="auto"/>
        <w:ind w:firstLine="0"/>
        <w:jc w:val="left"/>
        <w:rPr>
          <w:rFonts w:ascii="Arial" w:eastAsia="Times New Roman" w:hAnsi="Arial" w:cs="Arial"/>
          <w:b/>
          <w:i/>
          <w:szCs w:val="28"/>
          <w:lang w:val="uk-UA" w:eastAsia="ru-RU"/>
        </w:rPr>
      </w:pPr>
    </w:p>
    <w:p w14:paraId="41314819" w14:textId="77777777" w:rsidR="00AE57E7" w:rsidRPr="00511005" w:rsidRDefault="00AE57E7"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Кінч Кирило Олексійович</w:t>
      </w:r>
    </w:p>
    <w:p w14:paraId="1AA7CB90" w14:textId="571DD4AD" w:rsidR="00AE57E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 4-го курсу факультету адвокатури та антикорупційної діяльності</w:t>
      </w:r>
    </w:p>
    <w:p w14:paraId="32391D0B" w14:textId="0AF8B732" w:rsidR="00AE57E7"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541BFEA5" w14:textId="77777777" w:rsidR="00AE57E7" w:rsidRPr="00511005" w:rsidRDefault="00AE57E7" w:rsidP="003A292D">
      <w:pPr>
        <w:spacing w:line="264" w:lineRule="auto"/>
        <w:ind w:firstLine="0"/>
        <w:jc w:val="center"/>
        <w:rPr>
          <w:rFonts w:ascii="Arial" w:eastAsia="Times New Roman" w:hAnsi="Arial" w:cs="Arial"/>
          <w:szCs w:val="28"/>
          <w:lang w:val="uk-UA" w:eastAsia="ru-RU"/>
        </w:rPr>
      </w:pPr>
    </w:p>
    <w:p w14:paraId="5104DD00" w14:textId="77777777" w:rsidR="00AE57E7" w:rsidRPr="00511005" w:rsidRDefault="00AE57E7"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ЦИФРОВІ СТРАТЕГІЇ ЯК ІНСТРУМЕНТ ПІДВИЩЕННЯ ЕФЕКТИВНОСТІ ФУНКЦІОНУВАННЯ ОРГАНІЗАЦІЙ</w:t>
      </w:r>
    </w:p>
    <w:p w14:paraId="429F39C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 умовах стрімкого прогресу інформаційних технологій та глобальної цифровізації господарства, відбувається докорінна перебудова підходів до </w:t>
      </w:r>
      <w:r w:rsidRPr="00511005">
        <w:rPr>
          <w:rFonts w:ascii="Arial" w:eastAsia="Times New Roman" w:hAnsi="Arial" w:cs="Arial"/>
          <w:szCs w:val="28"/>
          <w:lang w:val="uk-UA" w:eastAsia="ru-RU"/>
        </w:rPr>
        <w:lastRenderedPageBreak/>
        <w:t xml:space="preserve">стратегічного планування та розвитку організацій. Сучасні інформаційні технології створюють фундамент для системної цифровізації всіх аспектів діяльності підприємств. </w:t>
      </w:r>
    </w:p>
    <w:p w14:paraId="7177FC33"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Цифровізація як процес інтеграції призводить до фундаментальних змін у способах функціонування організацій та створення цінності для клієнтів, стає каталізатором розробки принципово нових стратегічних підходів. Саме на основі цифровізації формуються цифрові стратегії, які перетворюються не просто на технічне оновлення, а на стратегічний імператив для забезпечення конкурентоспроможності та сталого розвитку підприємств у XXI столітті. [1].</w:t>
      </w:r>
    </w:p>
    <w:p w14:paraId="2313353A"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Цифрова стратегія є комплексним планом трансформації бізнесу на основі цифрових технологій, що визначає, як організація використовуватиме цифрові інструменти та платформи для досягнення бізнес-цілей, створення конкурентних переваг та підвищення ефективності функціонування. </w:t>
      </w:r>
    </w:p>
    <w:p w14:paraId="32EDBFE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 відміну від ІТ-стратегій, орієнтованих переважно на технологічну інфраструктуру, цифрові стратегії охоплюють всі аспекти діяльності організації, включаючи бізнес-модель, клієнтський досвід, операційні процеси та корпоративну культуру [2].</w:t>
      </w:r>
    </w:p>
    <w:p w14:paraId="65E8900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Характерними особливостями сучасних цифрових стратегій виступають клієнтоцентричність, інноваційність, гнучкість (agility) та орієнтація на дані (data-driven approach), що дозволяє організаціям своєчасно адаптуватися до мінливих умов цифрової економіки.</w:t>
      </w:r>
    </w:p>
    <w:p w14:paraId="25E97D5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Розробка ефективної цифрової стратегії потребує чіткого розуміння рівня цифрової зрілості організації та конкурентного ландшафту галузі. Оцінка цифрової зрілості включає аналіз таких компонентів, як технологічна інфраструктура, цифрові компетенції персоналу, процеси управління даними, ступінь цифровізації бізнес-процесів та цифровий клієнтський досвід. На основі визначеного рівня цифрової зрілості організації формуються стратегічні цілі цифрової трансформації та обираються відповідні інструменти їх досягнення. Важливим аспектом розробки цифрової стратегії є збалансування швидких тактичних цифрових ініціатив, що забезпечують короткострокові результати, та довгострокових системних проєктів цифрової трансформації [3].</w:t>
      </w:r>
    </w:p>
    <w:p w14:paraId="09791EB6"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Результативність імплементації цифрових стратегій залежить від ефективної системи управління цифровими змінами в організації. Ключовими елементами такої системи є організаційна структура з визначеними ролями та відповідальністю за цифрову трансформацію, наявність кваліфікованих лідерів змін, ефективна комунікація цифрової стратегії всередині організації та залучення персоналу до процесу цифрових перетворень. Особливого значення набуває створення крос-функціональних команд, що об'єднують фахівців з різних напрямків діяльності компанії для реалізації цифрових ініціатив. </w:t>
      </w:r>
    </w:p>
    <w:p w14:paraId="069BEBE3"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Розвиток цифрової культури, що характеризується інноваційністю, готовністю до експериментів та адаптивністю, є необхідною умовою успішної реалізації цифрової стратегії. При цьому, важливо забезпечити баланс між цифровими інноваціями та управлінням ризиками, пов'язаними з впровадженням нових технологій, включаючи кібербезпеку, захист персональних даних та етичні аспекти використання штучного інтелекту [4].</w:t>
      </w:r>
    </w:p>
    <w:p w14:paraId="26B506AF"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Структурними компонентами ефективної цифрової стратегії є: чітке бачення цифрового розвитку організації, портфель цифрових ініціатив з визначеними пріоритетами, план розвитку технологічної інфраструктури, програма формування цифрових компетенцій персоналу та дорожня карта цифрової трансформації.</w:t>
      </w:r>
    </w:p>
    <w:p w14:paraId="09CE294A"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контексті стратегічного розвитку організацій цифрові технології виступають ключовими інструментами реалізації стратегічних цілей і поділяються на: аналітичні (Big Data, Business Intelligence), що забезпечують інформаційну основу прийняття стратегічних рішень; трансформаційні (штучний інтелект, автоматизація, цифрові платформи), що створюють нові бізнес-можливості; інтеграційні (API, екосистемні рішення), що забезпечують синергію бізнес-процесів; та комунікаційні (цифровий маркетинг, омніканальність), що трансформують взаємодію з клієнтами [5].</w:t>
      </w:r>
    </w:p>
    <w:p w14:paraId="4512BAD3"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цифрові стратегії стають визначальним інструментом підвищення ефективності функціонування сучасних організацій в умовах глобальної цифровізації. Успішна розробка та реалізація цифрових стратегій потребує системного підходу, щодо трансформації бізнес-моделей, розвитку цифрової культури та впровадженню інноваційних технологій.</w:t>
      </w:r>
    </w:p>
    <w:p w14:paraId="7A95FA4E" w14:textId="77777777" w:rsidR="00AE57E7" w:rsidRPr="00511005" w:rsidRDefault="00AE57E7" w:rsidP="003A292D">
      <w:pPr>
        <w:spacing w:line="264" w:lineRule="auto"/>
        <w:rPr>
          <w:rFonts w:ascii="Arial" w:eastAsia="Times New Roman" w:hAnsi="Arial" w:cs="Arial"/>
          <w:szCs w:val="28"/>
          <w:lang w:val="uk-UA" w:eastAsia="ru-RU"/>
        </w:rPr>
      </w:pPr>
    </w:p>
    <w:p w14:paraId="66B07161" w14:textId="6A0E3863" w:rsidR="00AE57E7"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19FA7793" w14:textId="77777777" w:rsidR="00AE57E7" w:rsidRPr="00511005" w:rsidRDefault="00AE57E7" w:rsidP="003F6A5D">
      <w:pPr>
        <w:numPr>
          <w:ilvl w:val="0"/>
          <w:numId w:val="73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Панкратова О. Цифровізація як сучасний тренд розвитку менеджменту. </w:t>
      </w:r>
      <w:r w:rsidRPr="00511005">
        <w:rPr>
          <w:rFonts w:ascii="Arial" w:eastAsia="Times New Roman" w:hAnsi="Arial" w:cs="Arial"/>
          <w:i/>
          <w:szCs w:val="28"/>
          <w:lang w:val="uk-UA" w:eastAsia="ru-RU"/>
        </w:rPr>
        <w:t>Економіка та суспільство</w:t>
      </w:r>
      <w:r w:rsidRPr="00511005">
        <w:rPr>
          <w:rFonts w:ascii="Arial" w:eastAsia="Times New Roman" w:hAnsi="Arial" w:cs="Arial"/>
          <w:szCs w:val="28"/>
          <w:lang w:val="uk-UA" w:eastAsia="ru-RU"/>
        </w:rPr>
        <w:t xml:space="preserve">, (33). 2021 https://doi.org/10.32782/2524-0072/2021-33-55 </w:t>
      </w:r>
    </w:p>
    <w:p w14:paraId="38C9F401" w14:textId="773C163E" w:rsidR="00AE57E7" w:rsidRPr="00511005" w:rsidRDefault="00AE57E7" w:rsidP="003F6A5D">
      <w:pPr>
        <w:numPr>
          <w:ilvl w:val="0"/>
          <w:numId w:val="73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Цифрова стратегія: посібник із переосмислення бізнесу / Суніл Гупта : пер. з англ. І. Ковалишеної.</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К. : Вид. група КМ-БУКС, 2020.</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320 с.</w:t>
      </w:r>
      <w:r w:rsidR="007B2628" w:rsidRPr="00511005">
        <w:rPr>
          <w:rFonts w:ascii="Arial" w:eastAsia="Times New Roman" w:hAnsi="Arial" w:cs="Arial"/>
          <w:szCs w:val="28"/>
          <w:lang w:val="uk-UA" w:eastAsia="ru-RU"/>
        </w:rPr>
        <w:t xml:space="preserve"> </w:t>
      </w:r>
    </w:p>
    <w:p w14:paraId="755AA6E5" w14:textId="77777777" w:rsidR="007B2628" w:rsidRPr="00511005" w:rsidRDefault="00AE57E7" w:rsidP="003F6A5D">
      <w:pPr>
        <w:numPr>
          <w:ilvl w:val="0"/>
          <w:numId w:val="73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Кіржецька М., Кіржецький Ю. Особливості цифрової стратегії підприємства залежно від розміру бізнесу. </w:t>
      </w:r>
      <w:r w:rsidRPr="00511005">
        <w:rPr>
          <w:rFonts w:ascii="Arial" w:eastAsia="Times New Roman" w:hAnsi="Arial" w:cs="Arial"/>
          <w:i/>
          <w:szCs w:val="28"/>
          <w:lang w:val="uk-UA" w:eastAsia="ru-RU"/>
        </w:rPr>
        <w:t>Галицький економічний вісник</w:t>
      </w:r>
      <w:r w:rsidRPr="00511005">
        <w:rPr>
          <w:rFonts w:ascii="Arial" w:eastAsia="Times New Roman" w:hAnsi="Arial" w:cs="Arial"/>
          <w:szCs w:val="28"/>
          <w:lang w:val="uk-UA" w:eastAsia="ru-RU"/>
        </w:rPr>
        <w:t xml:space="preserve">. 2020. № 5(66). С. 7–15. </w:t>
      </w:r>
      <w:r w:rsidRPr="00511005">
        <w:rPr>
          <w:rFonts w:ascii="Arial" w:eastAsia="Times New Roman" w:hAnsi="Arial" w:cs="Arial"/>
          <w:szCs w:val="28"/>
          <w:lang w:val="uk-UA" w:eastAsia="ru-RU"/>
        </w:rPr>
        <w:cr/>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4. Ванг Д. Цифрова культура: особливості та її основні характеристики / Д. Ванг, О. О. Дольська // </w:t>
      </w:r>
      <w:r w:rsidRPr="00511005">
        <w:rPr>
          <w:rFonts w:ascii="Arial" w:eastAsia="Times New Roman" w:hAnsi="Arial" w:cs="Arial"/>
          <w:i/>
          <w:szCs w:val="28"/>
          <w:lang w:val="uk-UA" w:eastAsia="ru-RU"/>
        </w:rPr>
        <w:t>Актуальні проблеми філософії та соціології</w:t>
      </w:r>
      <w:r w:rsidRPr="00511005">
        <w:rPr>
          <w:rFonts w:ascii="Arial" w:eastAsia="Times New Roman" w:hAnsi="Arial" w:cs="Arial"/>
          <w:szCs w:val="28"/>
          <w:lang w:val="uk-UA" w:eastAsia="ru-RU"/>
        </w:rPr>
        <w:t>. – 2023. – Вип. 41. – С. 15-21.</w:t>
      </w:r>
    </w:p>
    <w:p w14:paraId="19EC6045" w14:textId="7ADC6D51" w:rsidR="00AE57E7" w:rsidRPr="00511005" w:rsidRDefault="00AE57E7" w:rsidP="003F6A5D">
      <w:pPr>
        <w:numPr>
          <w:ilvl w:val="0"/>
          <w:numId w:val="732"/>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Шостак Л.В., Слободянюк О.В.</w:t>
      </w:r>
      <w:r w:rsidRPr="00511005">
        <w:rPr>
          <w:rFonts w:ascii="Arial" w:eastAsia="Times New Roman" w:hAnsi="Arial" w:cs="Arial"/>
          <w:szCs w:val="28"/>
          <w:lang w:val="uk-UA" w:eastAsia="ru-RU"/>
        </w:rPr>
        <w:tab/>
        <w:t>Перспективи розвитку вітчизняного бізнесу за умов цифровізації.</w:t>
      </w:r>
      <w:r w:rsidRPr="00511005">
        <w:rPr>
          <w:rFonts w:ascii="Arial" w:eastAsia="Times New Roman" w:hAnsi="Arial" w:cs="Arial"/>
          <w:szCs w:val="28"/>
          <w:lang w:val="uk-UA" w:eastAsia="ru-RU"/>
        </w:rPr>
        <w:tab/>
      </w:r>
      <w:r w:rsidRPr="00511005">
        <w:rPr>
          <w:rFonts w:ascii="Arial" w:eastAsia="Times New Roman" w:hAnsi="Arial" w:cs="Arial"/>
          <w:i/>
          <w:szCs w:val="28"/>
          <w:lang w:val="uk-UA" w:eastAsia="ru-RU"/>
        </w:rPr>
        <w:t>Причорноморські економічні студії.</w:t>
      </w:r>
      <w:r w:rsidRPr="00511005">
        <w:rPr>
          <w:rFonts w:ascii="Arial" w:eastAsia="Times New Roman" w:hAnsi="Arial" w:cs="Arial"/>
          <w:szCs w:val="28"/>
          <w:lang w:val="uk-UA" w:eastAsia="ru-RU"/>
        </w:rPr>
        <w:t xml:space="preserve"> 2021. Випуск №70/2021. C. 104-109. http://bses.in.ua/journals/2021/70_2021/18.pdf</w:t>
      </w:r>
    </w:p>
    <w:p w14:paraId="1C35FBEE" w14:textId="2C0E88CA"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lastRenderedPageBreak/>
        <w:t xml:space="preserve">Ключові слова: </w:t>
      </w:r>
      <w:r w:rsidR="00AE57E7" w:rsidRPr="00511005">
        <w:rPr>
          <w:rFonts w:ascii="Arial" w:eastAsia="Times New Roman" w:hAnsi="Arial" w:cs="Arial"/>
          <w:szCs w:val="28"/>
          <w:lang w:val="uk-UA" w:eastAsia="ru-RU"/>
        </w:rPr>
        <w:t>цифрові стратегії, інформаційні технології, ефективність, цифровізація, цифрова культура.</w:t>
      </w:r>
    </w:p>
    <w:p w14:paraId="5E0E8A2A" w14:textId="2B6E1049" w:rsidR="00AE57E7" w:rsidRPr="00511005" w:rsidRDefault="007B2628" w:rsidP="003A292D">
      <w:pPr>
        <w:spacing w:line="264" w:lineRule="auto"/>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00AE57E7" w:rsidRPr="00511005">
        <w:rPr>
          <w:rFonts w:ascii="Arial" w:eastAsia="Times New Roman" w:hAnsi="Arial" w:cs="Arial"/>
          <w:szCs w:val="28"/>
          <w:lang w:val="en-US" w:eastAsia="ru-RU"/>
        </w:rPr>
        <w:t>digital strategies, information technologies, efficiency, digitalization, digital culture.</w:t>
      </w:r>
    </w:p>
    <w:p w14:paraId="6ED749A4" w14:textId="61772B84" w:rsidR="00AE57E7" w:rsidRPr="00511005" w:rsidRDefault="007B2628" w:rsidP="003A292D">
      <w:pPr>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AE57E7" w:rsidRPr="00511005">
        <w:rPr>
          <w:rFonts w:ascii="Arial" w:eastAsia="Times New Roman" w:hAnsi="Arial" w:cs="Arial"/>
          <w:i/>
          <w:szCs w:val="28"/>
          <w:lang w:val="uk-UA" w:eastAsia="ru-RU"/>
        </w:rPr>
        <w:t>д.е.н., професор Слободянюк О.В.</w:t>
      </w:r>
    </w:p>
    <w:p w14:paraId="5431175B" w14:textId="77777777" w:rsidR="00AE57E7" w:rsidRPr="00511005" w:rsidRDefault="00AE57E7" w:rsidP="003A292D">
      <w:pPr>
        <w:spacing w:line="264" w:lineRule="auto"/>
        <w:rPr>
          <w:rFonts w:ascii="Arial" w:eastAsia="Times New Roman" w:hAnsi="Arial" w:cs="Arial"/>
          <w:szCs w:val="28"/>
          <w:lang w:val="uk-UA" w:eastAsia="ru-RU"/>
        </w:rPr>
      </w:pPr>
    </w:p>
    <w:p w14:paraId="7A59E4C8" w14:textId="77777777" w:rsidR="00AE57E7" w:rsidRPr="00511005" w:rsidRDefault="00AE57E7" w:rsidP="003A292D">
      <w:pPr>
        <w:spacing w:line="264" w:lineRule="auto"/>
        <w:ind w:firstLine="0"/>
        <w:jc w:val="center"/>
        <w:rPr>
          <w:rFonts w:ascii="Arial" w:eastAsia="Times New Roman" w:hAnsi="Arial" w:cs="Arial"/>
          <w:b/>
          <w:bCs/>
          <w:i/>
          <w:szCs w:val="28"/>
          <w:lang w:val="uk-UA" w:eastAsia="ru-RU"/>
        </w:rPr>
      </w:pPr>
      <w:r w:rsidRPr="00511005">
        <w:rPr>
          <w:rFonts w:ascii="Arial" w:eastAsia="Times New Roman" w:hAnsi="Arial" w:cs="Arial"/>
          <w:b/>
          <w:bCs/>
          <w:i/>
          <w:szCs w:val="28"/>
          <w:lang w:val="uk-UA" w:eastAsia="ru-RU"/>
        </w:rPr>
        <w:t>Клименко Сергій Євгенійович</w:t>
      </w:r>
    </w:p>
    <w:p w14:paraId="65AACDFB" w14:textId="55BDE380" w:rsidR="00AE57E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 4-го курсу факультету адвокатури та антикорупційної діяльності</w:t>
      </w:r>
    </w:p>
    <w:p w14:paraId="64AD03CD" w14:textId="382C29D8" w:rsidR="00AE57E7" w:rsidRPr="00511005" w:rsidRDefault="007B2628" w:rsidP="003A292D">
      <w:pPr>
        <w:spacing w:line="264" w:lineRule="auto"/>
        <w:ind w:firstLine="0"/>
        <w:jc w:val="center"/>
        <w:rPr>
          <w:rFonts w:ascii="Arial" w:eastAsia="Times New Roman" w:hAnsi="Arial" w:cs="Arial"/>
          <w:b/>
          <w:szCs w:val="28"/>
          <w:shd w:val="clear" w:color="auto" w:fill="FFFFFF"/>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5C77C5B5" w14:textId="77777777" w:rsidR="00AE57E7" w:rsidRPr="00511005" w:rsidRDefault="00AE57E7" w:rsidP="003A292D">
      <w:pPr>
        <w:spacing w:line="264" w:lineRule="auto"/>
        <w:ind w:firstLine="0"/>
        <w:jc w:val="center"/>
        <w:rPr>
          <w:rFonts w:ascii="Arial" w:eastAsia="Times New Roman" w:hAnsi="Arial" w:cs="Arial"/>
          <w:b/>
          <w:szCs w:val="28"/>
          <w:shd w:val="clear" w:color="auto" w:fill="FFFFFF"/>
          <w:lang w:val="uk-UA" w:eastAsia="ru-RU"/>
        </w:rPr>
      </w:pPr>
    </w:p>
    <w:p w14:paraId="79E8A2B7" w14:textId="77777777" w:rsidR="00AE57E7" w:rsidRPr="00511005" w:rsidRDefault="00AE57E7" w:rsidP="003A292D">
      <w:pPr>
        <w:spacing w:line="264" w:lineRule="auto"/>
        <w:ind w:firstLine="0"/>
        <w:jc w:val="center"/>
        <w:rPr>
          <w:rFonts w:ascii="Arial" w:eastAsia="Times New Roman" w:hAnsi="Arial" w:cs="Arial"/>
          <w:b/>
          <w:bCs/>
          <w:szCs w:val="28"/>
          <w:shd w:val="clear" w:color="auto" w:fill="FFFFFF"/>
          <w:lang w:val="uk-UA" w:eastAsia="ru-RU"/>
        </w:rPr>
      </w:pPr>
      <w:r w:rsidRPr="00511005">
        <w:rPr>
          <w:rFonts w:ascii="Arial" w:eastAsia="Times New Roman" w:hAnsi="Arial" w:cs="Arial"/>
          <w:b/>
          <w:bCs/>
          <w:szCs w:val="28"/>
          <w:shd w:val="clear" w:color="auto" w:fill="FFFFFF"/>
          <w:lang w:val="uk-UA" w:eastAsia="ru-RU"/>
        </w:rPr>
        <w:t>РОЛЬ СТРАТЕГІЧНОГО УПРАВЛІННЯ БРЕНДОМ У ФОРМУВАННІ КОНКУРЕНТНИХ ПЕРЕВАГ УКРАЇНСЬКОГО БІЗНЕСУ</w:t>
      </w:r>
    </w:p>
    <w:p w14:paraId="6CB7513F"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У сучасних умовах ринкової конкуренції та динамічних змін споживчих преференцій ефективне управління брендом набуває особливого значення. Український бізнес дедалі більше усвідомлює необхідність стратегічного підходу до бренд-менеджменту, який не лише забезпечує впізнаваність продукту чи послуги, але й створює сталі конкурентні переваги. Стратегічне управління брендом охоплює довгострокове планування, розробку унікального позиціонування та узгодження діяльності компанії з цінностями і очікуваннями цільової аудиторії. Успішний бренд – це не просто логотип чи слоган, а цілісна система комунікацій, емоційного зв’язку та репутаційного капіталу, яка формується і підтримується протягом усього життєвого циклу компанії [1]. </w:t>
      </w:r>
    </w:p>
    <w:p w14:paraId="4FB4C703"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Основною метою стратегічного бренд-менеджменту є побудова довіри до бренду, формування позитивного образу в свідомості споживачів та забезпечення стабільної конкурентоспроможності. Одним із ключових аспектів цього процесу є аналіз ринку, визначення позиції бренду в конкурентному середовищі, а також розробка ефективної комунікаційної стратегії. Український ринок характеризується високою динамікою змін, активним розвитком малого та середнього бізнесу, зростаючою цифровізацією і постійними викликами зовнішнього середовища, зокрема воєнними, економічними та соціальними чинниками. У таких умовах стратегічне управління брендом є засобом стабілізації бізнесу, забезпечення лояльності споживачів та адаптації до нових умов. Ефективне стратегічне управління брендом передбачає наявність чітко визначеної місії, бачення і цінностей бренду, які відображаються в усіх аспектах його діяльності – від внутрішньої корпоративної культури до маркетингових кампаній. Сформована бренд-архітектура дозволяє компанії послідовно розробити свою унікальну пропозицію, вирізнятись серед конкурентів та ефективно управляти сприйняттям з боку споживачів. </w:t>
      </w:r>
    </w:p>
    <w:p w14:paraId="654391EF"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До стратегічних інструментів бренд-менеджменту належать брендовий аудит, аналіз сильних і слабких сторін, позиціонування, розробка ключових </w:t>
      </w:r>
      <w:r w:rsidRPr="00511005">
        <w:rPr>
          <w:rFonts w:ascii="Arial" w:eastAsia="Times New Roman" w:hAnsi="Arial" w:cs="Arial"/>
          <w:szCs w:val="28"/>
          <w:shd w:val="clear" w:color="auto" w:fill="FFFFFF"/>
          <w:lang w:val="uk-UA" w:eastAsia="ru-RU"/>
        </w:rPr>
        <w:lastRenderedPageBreak/>
        <w:t xml:space="preserve">повідомлень та іміджевих елементів, планування точок взаємодії з аудиторією. Успішне управління брендом також передбачає інтеграцію маркетингових комунікацій, зокрема цифрових інструментів: соціальних медіа, контент-маркетингу, SEO, email-маркетингу, партнерських програм. Саме цифрове середовище відкриває нові можливості для персоналізованої взаємодії зі споживачем, оперативного зворотного зв’язку та побудови довготривалих стосунків. Соціальні мережі, зокрема Facebook, Instagram, TikTok, стали ключовими платформами для розбудови емоційного зв’язку з брендом, а також каналами трансляції його цінностей і стилю життя. Водночас важливою складовою стратегічного бренд-менеджменту є аналітика. Вимірювання ефективності кампаній, рівня впізнаваності, лояльності клієнтів, частоти згадок у медіа, а також вивчення поведінкових трендів допомагає коригувати стратегію, підвищуючи її результативність. </w:t>
      </w:r>
    </w:p>
    <w:p w14:paraId="6C42617A"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Український бізнес функціонує в унікальному середовищі, яке характеризується нестабільністю макроекономічної ситуації, наслідками війни, високим рівнем конкуренції, низькою платоспроможністю населення, а також недовірою до багатьох вітчизняних компаній. Ці фактори суттєво ускладнюють формування довгострокових стратегій і вимагають адаптивного, інноваційного підходу до бренд-менеджменту.</w:t>
      </w:r>
    </w:p>
    <w:p w14:paraId="49A2757D"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Серед головних проблем, з якими стикаються український бізнес у процесі стратегічного управління брендом, можна виокремити такі: відсутність системного підходу до побудови бренду, обмежені фінансові ресурси на маркетинг і комунікації, нестача кваліфікованих спеціалістів у сфері бренд-менеджменту, а також низький рівень аналітики та використання цифрових інструментів. До цього додаються ризики, пов’язані з безпекою, логістикою, втратою частини ринку через тимчасову окупацію територій або міграцію клієнтів.</w:t>
      </w:r>
    </w:p>
    <w:p w14:paraId="78821319"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Унікальність українського бізнес-середовища формує особливу потребу в стратегічному підході до управління брендом. В умовах нестабільності та високої конкуренції саме бренд може виступати точкою опори, що забезпечує послідовність, довіру та впізнаваність у довгостроковій перспективі. Бренд — це актив, який не лише передає цінності компанії, а й стабілізує споживацьке сприйняття в умовах змін.</w:t>
      </w:r>
    </w:p>
    <w:p w14:paraId="3123AC5B" w14:textId="0386C888"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Згідно з результатами дослідження Київської школи економіки, компанії,</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які розвивали стратегічну комунікацію бренду у 2022–2023 роках, у середньому показали на 28% вищу стійкість до ринкових змін та зберегли більшу частку клієнтів порівняно з конкурентами. У період війни споживачі схильні підтримувати ті бренди, які проявляють соціальну відповідальність, комунікують чесно та стабільно, а також транслюють національні цінності. Таким чином, стратегічне управління брендом набуває не лише економічного, а й соціального значення [2].</w:t>
      </w:r>
    </w:p>
    <w:p w14:paraId="4097E5B7"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lastRenderedPageBreak/>
        <w:t>Особливо актуальним є розвиток локальних брендів малого та середнього бізнесу, які можуть стати каталізаторами економічного відновлення. Успішний бренд дозволяє мікро-бізнесам розширюватися, залучати інвестиції, будувати партнерства та формувати довіру як на внутрішньому, так і на міжнародному ринку. У цьому контексті держава також відіграє роль, створюючи програми підтримки брендів, орієнтованих на експорт .</w:t>
      </w:r>
    </w:p>
    <w:p w14:paraId="1E548256"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Крім того, наявність сильного бренду підвищує репутаційну стійкість бізнесу в умовах інформаційної війни. Коли бізнес-структура має чітку публічну позицію, вона формує захисний імідж, що дозволяє уникнути або ефективно реагувати на кризові ситуації. Таким чином, стратегічне управління брендом перетворюється на механізм не тільки розвитку, а й виживання для українського бізнесу в період трансформації.</w:t>
      </w:r>
    </w:p>
    <w:p w14:paraId="2B18E374"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Для вирішення цих проблем доцільно впроваджувати низку стратегічних рішень. По-перше, українському бізнесу варто зосередитися на побудові чіткої бренд-архітектури, що дозволяє систематизувати і послідовно реалізовувати бренд-стратегію. По-друге, слід максимально використовувати цифрові канали комунікації, які є більш доступними за вартістю, але ефективними у взаємодії зі споживачами. По-третє, необхідно інвестувати в навчання персоналу, створення внутрішньої бренд-культури та розвиток гнучких компетенцій у сфері маркетингу.</w:t>
      </w:r>
    </w:p>
    <w:p w14:paraId="74DA942E"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Крім того, бізнес-структурам рекомендується активно користуватися аналітичними інструментами (Google Analytics, Brandwatch, SimilarWeb тощо), щоб краще розуміти поведінку споживачів, вчасно реагувати на зміну ринкових трендів і формувати релевантні маркетингові повідомлення. Також доцільним є створення стратегічних партнерств із маркетинговими агентствами, SMM-фахівцями та креативними студіями для підсилення бренду навіть у межах обмеженого бюджету.</w:t>
      </w:r>
    </w:p>
    <w:p w14:paraId="6CB36FEF" w14:textId="77777777" w:rsidR="007B2628"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У складних умовах воєнного часу важливо не лише зберігати активність бренду, а й демонструвати соціальну відповідальність, підтримку суспільно важливих ініціатив, що формує позитивний імідж і посилює емоційний зв’язок зі споживачем. Такий підхід зміцнює довіру, що в умовах невизначеності є найціннішим активом для будь-якої компанії.</w:t>
      </w:r>
    </w:p>
    <w:p w14:paraId="70E761F5" w14:textId="31C1A3BE"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Стратегічне управління брендом виступає не лише маркетинговим інструментом, а й інтегрованою частиною корпоративної стратегії. Воно сприяє зміцненню ринкових позицій, залученню інвестицій, підвищенню вартості бізнесу та довготривалій конкурентоспроможності. Успішно розвинені бренди здатні не лише виживати в умовах нестабільності, а й демонструвати стійке зростання, оскільки їхній вплив виходить за межі товарного асортименту і формує додану вартість у свідомості споживача. </w:t>
      </w:r>
    </w:p>
    <w:p w14:paraId="77A5EF09"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lastRenderedPageBreak/>
        <w:t>Стратегічне управління брендом має бути пріоритетним напрямом для українського бізнесу, що прагне до сталого розвитку, посилення впливу на ринку та формування довіри клієнтів у довгостроковій перспективі.</w:t>
      </w:r>
    </w:p>
    <w:p w14:paraId="33D01B64" w14:textId="77777777" w:rsidR="00AE57E7" w:rsidRPr="00511005" w:rsidRDefault="00AE57E7" w:rsidP="003A292D">
      <w:pPr>
        <w:spacing w:line="264" w:lineRule="auto"/>
        <w:rPr>
          <w:rFonts w:ascii="Arial" w:eastAsia="Times New Roman" w:hAnsi="Arial" w:cs="Arial"/>
          <w:szCs w:val="28"/>
          <w:lang w:val="uk-UA" w:eastAsia="ru-RU"/>
        </w:rPr>
      </w:pPr>
    </w:p>
    <w:p w14:paraId="51B78D30" w14:textId="1FE3B6E9" w:rsidR="00AE57E7" w:rsidRPr="00511005" w:rsidRDefault="007B2628" w:rsidP="007B2628">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09B05DAE" w14:textId="77777777" w:rsidR="00AE57E7" w:rsidRPr="00511005" w:rsidRDefault="00AE57E7" w:rsidP="003F6A5D">
      <w:pPr>
        <w:numPr>
          <w:ilvl w:val="0"/>
          <w:numId w:val="711"/>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Мельничук Л. С. Бренд-менеджмент підприємств як фактор успішності на ринку. Наукові праці. Економіка. Випуск №300.</w:t>
      </w:r>
      <w:r w:rsidRPr="00511005">
        <w:rPr>
          <w:rFonts w:ascii="Arial" w:eastAsia="Times New Roman" w:hAnsi="Arial" w:cs="Arial"/>
          <w:i/>
          <w:szCs w:val="28"/>
          <w:lang w:val="uk-UA" w:eastAsia="ru-RU"/>
        </w:rPr>
        <w:t xml:space="preserve"> Т. 312.</w:t>
      </w:r>
      <w:r w:rsidRPr="00511005">
        <w:rPr>
          <w:rFonts w:ascii="Arial" w:eastAsia="Times New Roman" w:hAnsi="Arial" w:cs="Arial"/>
          <w:szCs w:val="28"/>
          <w:lang w:val="uk-UA" w:eastAsia="ru-RU"/>
        </w:rPr>
        <w:t xml:space="preserve"> С. 17-20. </w:t>
      </w:r>
    </w:p>
    <w:p w14:paraId="4E069D9F" w14:textId="5AD47C3C" w:rsidR="00AE57E7" w:rsidRPr="00511005" w:rsidRDefault="00AE57E7" w:rsidP="003F6A5D">
      <w:pPr>
        <w:numPr>
          <w:ilvl w:val="0"/>
          <w:numId w:val="711"/>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Kyiv School of Economics</w:t>
      </w:r>
      <w:r w:rsidRPr="00511005">
        <w:rPr>
          <w:rFonts w:ascii="Arial" w:eastAsia="Times New Roman" w:hAnsi="Arial" w:cs="Arial"/>
          <w:i/>
          <w:szCs w:val="28"/>
          <w:lang w:val="uk-UA" w:eastAsia="ru-RU"/>
        </w:rPr>
        <w:t xml:space="preserve">. </w:t>
      </w:r>
      <w:r w:rsidRPr="00511005">
        <w:rPr>
          <w:rFonts w:ascii="Arial" w:eastAsia="Times New Roman" w:hAnsi="Arial" w:cs="Arial"/>
          <w:iCs/>
          <w:szCs w:val="28"/>
          <w:lang w:val="uk-UA" w:eastAsia="ru-RU"/>
        </w:rPr>
        <w:t>Ukrainian Business Recovery Report: Strategic Brand Communication Impact</w:t>
      </w:r>
      <w:r w:rsidRPr="00511005">
        <w:rPr>
          <w:rFonts w:ascii="Arial" w:eastAsia="Times New Roman" w:hAnsi="Arial" w:cs="Arial"/>
          <w:szCs w:val="28"/>
          <w:lang w:val="uk-UA" w:eastAsia="ru-RU"/>
        </w:rPr>
        <w:t>. KSE Analytical Report, 2023.</w:t>
      </w:r>
      <w:r w:rsidR="007B2628" w:rsidRPr="00511005">
        <w:rPr>
          <w:rFonts w:ascii="Arial" w:eastAsia="Times New Roman" w:hAnsi="Arial" w:cs="Arial"/>
          <w:szCs w:val="28"/>
          <w:lang w:val="uk-UA" w:eastAsia="ru-RU"/>
        </w:rPr>
        <w:t xml:space="preserve"> </w:t>
      </w:r>
      <w:r w:rsidRPr="00511005">
        <w:rPr>
          <w:rFonts w:ascii="Arial" w:eastAsia="Calibri" w:hAnsi="Arial" w:cs="Arial"/>
          <w:szCs w:val="28"/>
          <w:lang w:val="uk-UA"/>
        </w:rPr>
        <w:t xml:space="preserve">URL: </w:t>
      </w:r>
      <w:r w:rsidRPr="00511005">
        <w:rPr>
          <w:rFonts w:ascii="Arial" w:eastAsia="Times New Roman" w:hAnsi="Arial" w:cs="Arial"/>
          <w:szCs w:val="28"/>
          <w:lang w:val="uk-UA" w:eastAsia="ru-RU"/>
        </w:rPr>
        <w:t>https://kse.ua.</w:t>
      </w:r>
    </w:p>
    <w:p w14:paraId="6ED9CC8D" w14:textId="77777777" w:rsidR="00AE57E7" w:rsidRPr="00511005" w:rsidRDefault="00AE57E7" w:rsidP="003F6A5D">
      <w:pPr>
        <w:numPr>
          <w:ilvl w:val="0"/>
          <w:numId w:val="711"/>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Підгурська В. О. Бренд-менеджмент: визначення сутності та місця в системі пов‘язаних категорій. Бізнесінформ.</w:t>
      </w:r>
      <w:r w:rsidRPr="00511005">
        <w:rPr>
          <w:rFonts w:ascii="Arial" w:eastAsia="Times New Roman" w:hAnsi="Arial" w:cs="Arial"/>
          <w:i/>
          <w:szCs w:val="28"/>
          <w:lang w:val="uk-UA" w:eastAsia="ru-RU"/>
        </w:rPr>
        <w:t xml:space="preserve"> </w:t>
      </w:r>
      <w:r w:rsidRPr="00511005">
        <w:rPr>
          <w:rFonts w:ascii="Arial" w:eastAsia="Times New Roman" w:hAnsi="Arial" w:cs="Arial"/>
          <w:szCs w:val="28"/>
          <w:lang w:val="uk-UA" w:eastAsia="ru-RU"/>
        </w:rPr>
        <w:t>Випуск №7</w:t>
      </w:r>
      <w:r w:rsidRPr="00511005">
        <w:rPr>
          <w:rFonts w:ascii="Arial" w:eastAsia="Times New Roman" w:hAnsi="Arial" w:cs="Arial"/>
          <w:i/>
          <w:szCs w:val="28"/>
          <w:lang w:val="uk-UA" w:eastAsia="ru-RU"/>
        </w:rPr>
        <w:t>.</w:t>
      </w:r>
      <w:r w:rsidRPr="00511005">
        <w:rPr>
          <w:rFonts w:ascii="Arial" w:eastAsia="Times New Roman" w:hAnsi="Arial" w:cs="Arial"/>
          <w:szCs w:val="28"/>
          <w:lang w:val="uk-UA" w:eastAsia="ru-RU"/>
        </w:rPr>
        <w:t xml:space="preserve"> 2021. С. 242-247.</w:t>
      </w:r>
    </w:p>
    <w:p w14:paraId="34893DBA" w14:textId="77777777" w:rsidR="00AE57E7" w:rsidRPr="00511005" w:rsidRDefault="00AE57E7" w:rsidP="003F6A5D">
      <w:pPr>
        <w:numPr>
          <w:ilvl w:val="0"/>
          <w:numId w:val="711"/>
        </w:numPr>
        <w:tabs>
          <w:tab w:val="left" w:pos="993"/>
        </w:tabs>
        <w:spacing w:line="264" w:lineRule="auto"/>
        <w:ind w:left="0" w:firstLine="709"/>
        <w:jc w:val="left"/>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Лисенко Д. П. Ключові аспекти бренд-менеджменту. </w:t>
      </w:r>
      <w:r w:rsidRPr="00511005">
        <w:rPr>
          <w:rFonts w:ascii="Arial" w:eastAsia="Times New Roman" w:hAnsi="Arial" w:cs="Arial"/>
          <w:iCs/>
          <w:szCs w:val="28"/>
          <w:shd w:val="clear" w:color="auto" w:fill="FFFFFF"/>
          <w:lang w:val="uk-UA" w:eastAsia="ru-RU"/>
        </w:rPr>
        <w:t>Домінанти соціально-економічного розвитку України у нових реаліях</w:t>
      </w:r>
      <w:r w:rsidRPr="00511005">
        <w:rPr>
          <w:rFonts w:ascii="Arial" w:eastAsia="Times New Roman" w:hAnsi="Arial" w:cs="Arial"/>
          <w:szCs w:val="28"/>
          <w:shd w:val="clear" w:color="auto" w:fill="FFFFFF"/>
          <w:lang w:val="uk-UA" w:eastAsia="ru-RU"/>
        </w:rPr>
        <w:t>. Київський національний університет технологій та дизайну. 2024. URL: https://er.knutd.edu.ua/bitstream/123456789/27433/1/DOMIN_2024_P300-302.pdf.</w:t>
      </w:r>
    </w:p>
    <w:p w14:paraId="1011CFD5" w14:textId="77777777" w:rsidR="00AE57E7" w:rsidRPr="00511005" w:rsidRDefault="00AE57E7" w:rsidP="003F6A5D">
      <w:pPr>
        <w:numPr>
          <w:ilvl w:val="0"/>
          <w:numId w:val="711"/>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shd w:val="clear" w:color="auto" w:fill="FFFFFF"/>
          <w:lang w:val="uk-UA" w:eastAsia="ru-RU"/>
        </w:rPr>
        <w:t>Фірсова А. В., Суслова Т. О. Новітні технології та інструменти маркетингу в бренд–менеджменті підприємства. 2021.</w:t>
      </w:r>
    </w:p>
    <w:p w14:paraId="165EC7E4" w14:textId="77777777" w:rsidR="00AE57E7" w:rsidRPr="00511005" w:rsidRDefault="00AE57E7" w:rsidP="003F6A5D">
      <w:pPr>
        <w:numPr>
          <w:ilvl w:val="0"/>
          <w:numId w:val="711"/>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Kotler P., Keller K. L. </w:t>
      </w:r>
      <w:r w:rsidRPr="00511005">
        <w:rPr>
          <w:rFonts w:ascii="Arial" w:eastAsia="Times New Roman" w:hAnsi="Arial" w:cs="Arial"/>
          <w:bCs/>
          <w:szCs w:val="28"/>
          <w:lang w:val="uk-UA" w:eastAsia="ru-RU"/>
        </w:rPr>
        <w:t>Marketing Management</w:t>
      </w:r>
      <w:r w:rsidRPr="00511005">
        <w:rPr>
          <w:rFonts w:ascii="Arial" w:eastAsia="Times New Roman" w:hAnsi="Arial" w:cs="Arial"/>
          <w:szCs w:val="28"/>
          <w:lang w:val="uk-UA" w:eastAsia="ru-RU"/>
        </w:rPr>
        <w:t>. Pearson Education, 2016. 832 p.</w:t>
      </w:r>
    </w:p>
    <w:p w14:paraId="4D27416E" w14:textId="77777777" w:rsidR="00AE57E7" w:rsidRPr="00511005" w:rsidRDefault="00AE57E7" w:rsidP="003A292D">
      <w:pPr>
        <w:spacing w:line="264" w:lineRule="auto"/>
        <w:rPr>
          <w:rFonts w:ascii="Arial" w:eastAsia="Times New Roman" w:hAnsi="Arial" w:cs="Arial"/>
          <w:szCs w:val="28"/>
          <w:lang w:val="uk-UA" w:eastAsia="ru-RU"/>
        </w:rPr>
      </w:pPr>
    </w:p>
    <w:p w14:paraId="7605FD5D" w14:textId="269E103F"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превентивне управління конфліктами, корпоративна культура, конструктивні конфлікти, деструктивні конфлікти, репутаційні збитки, тимбілдинг, гібридні команди, цифрові комунікації, аналітика конфліктів.</w:t>
      </w:r>
    </w:p>
    <w:p w14:paraId="5ED5C1E8" w14:textId="435D8AF8"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AE57E7" w:rsidRPr="00511005">
        <w:rPr>
          <w:rFonts w:ascii="Arial" w:eastAsia="Times New Roman" w:hAnsi="Arial" w:cs="Arial"/>
          <w:szCs w:val="28"/>
          <w:lang w:val="uk-UA" w:eastAsia="ru-RU"/>
        </w:rPr>
        <w:t>brand management, communication strategy, brand architecture, digital transformation, social media, reputation capital, marketing communications, social responsibility, local brands.</w:t>
      </w:r>
    </w:p>
    <w:p w14:paraId="497CDB7D" w14:textId="64275E52"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Науковий керівник: </w:t>
      </w:r>
      <w:r w:rsidR="00AE57E7" w:rsidRPr="00511005">
        <w:rPr>
          <w:rFonts w:ascii="Arial" w:eastAsia="Times New Roman" w:hAnsi="Arial" w:cs="Arial"/>
          <w:i/>
          <w:szCs w:val="28"/>
          <w:lang w:val="uk-UA" w:eastAsia="ru-RU"/>
        </w:rPr>
        <w:t>к.е.н., доцент Котлубай В.О.</w:t>
      </w:r>
    </w:p>
    <w:p w14:paraId="55FD2E10" w14:textId="77777777" w:rsidR="00AE57E7" w:rsidRPr="00511005" w:rsidRDefault="00AE57E7" w:rsidP="003A292D">
      <w:pPr>
        <w:spacing w:line="264" w:lineRule="auto"/>
        <w:rPr>
          <w:rFonts w:ascii="Arial" w:eastAsia="Times New Roman" w:hAnsi="Arial" w:cs="Arial"/>
          <w:szCs w:val="28"/>
          <w:lang w:val="uk-UA" w:eastAsia="ru-RU"/>
        </w:rPr>
      </w:pPr>
    </w:p>
    <w:p w14:paraId="6CDD0BFA" w14:textId="1DD663BE" w:rsidR="00AE57E7" w:rsidRPr="00511005" w:rsidRDefault="00AE57E7" w:rsidP="003A292D">
      <w:pPr>
        <w:spacing w:line="264" w:lineRule="auto"/>
        <w:ind w:firstLine="0"/>
        <w:jc w:val="left"/>
        <w:rPr>
          <w:rFonts w:ascii="Arial" w:eastAsia="Times New Roman" w:hAnsi="Arial" w:cs="Arial"/>
          <w:b/>
          <w:bCs/>
          <w:i/>
          <w:iCs/>
          <w:szCs w:val="28"/>
          <w:lang w:val="uk-UA" w:eastAsia="ru-RU"/>
        </w:rPr>
      </w:pPr>
    </w:p>
    <w:p w14:paraId="772172CC" w14:textId="77777777" w:rsidR="00AE57E7" w:rsidRPr="00511005" w:rsidRDefault="00AE57E7" w:rsidP="003A292D">
      <w:pPr>
        <w:shd w:val="clear" w:color="auto" w:fill="FFFFFF"/>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Кобилян Анна Данівна</w:t>
      </w:r>
    </w:p>
    <w:p w14:paraId="593DFB69" w14:textId="16C33C78" w:rsidR="00AE57E7" w:rsidRPr="00511005" w:rsidRDefault="00536AAB" w:rsidP="003A292D">
      <w:pPr>
        <w:shd w:val="clear" w:color="auto" w:fill="FFFFFF"/>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4-го курсу факультету адвокатури та антикорупційної діяльності</w:t>
      </w:r>
    </w:p>
    <w:p w14:paraId="39E2DC5D" w14:textId="7A298681" w:rsidR="00AE57E7" w:rsidRPr="00511005" w:rsidRDefault="007B2628" w:rsidP="003A292D">
      <w:pPr>
        <w:shd w:val="clear" w:color="auto" w:fill="FFFFFF"/>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4F2CA0DE" w14:textId="77777777" w:rsidR="00AE57E7" w:rsidRPr="00511005" w:rsidRDefault="00AE57E7" w:rsidP="003A292D">
      <w:pPr>
        <w:spacing w:line="264" w:lineRule="auto"/>
        <w:ind w:firstLine="0"/>
        <w:jc w:val="center"/>
        <w:rPr>
          <w:rFonts w:ascii="Arial" w:eastAsia="Times New Roman" w:hAnsi="Arial" w:cs="Arial"/>
          <w:szCs w:val="28"/>
          <w:lang w:val="uk-UA" w:eastAsia="ru-RU"/>
        </w:rPr>
      </w:pPr>
    </w:p>
    <w:p w14:paraId="7E24509E" w14:textId="77777777" w:rsidR="00AE57E7" w:rsidRPr="00511005" w:rsidRDefault="00AE57E7"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ВАРТІСТЬ КАПІТАЛУ ЯК КЛЮЧОВИЙ ФАКТОР ФІНАНСОВОЇ СТАБІЛЬНОСТІ ТА КОНКУРЕНТОСПРОМОЖНОСТІ ПІДПРИЄМСТВА В УМОВАХ ДИНАМІЧНОГО БІЗНЕС-СЕРЕДОВИЩА</w:t>
      </w:r>
    </w:p>
    <w:p w14:paraId="5235B3C9"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сучасному динамічному бізнес-середовищі ефективне управління капіталом є ключовим фактором успіху будь-якого підприємства. Вартість </w:t>
      </w:r>
      <w:r w:rsidRPr="00511005">
        <w:rPr>
          <w:rFonts w:ascii="Arial" w:eastAsia="Times New Roman" w:hAnsi="Arial" w:cs="Arial"/>
          <w:szCs w:val="28"/>
          <w:lang w:val="uk-UA" w:eastAsia="ru-RU"/>
        </w:rPr>
        <w:lastRenderedPageBreak/>
        <w:t>капіталу, як ключовий фінансовий показник, відображає мінімальну прийнятну норму прибутковості інвестицій та є важливим інструментом для прийняття обґрунтованих управлінських рішень, таких як вибір інвестиційних проєктів, формування структури капіталу та оцінка ефективності діяльності компанії.</w:t>
      </w:r>
    </w:p>
    <w:p w14:paraId="713EFF8E"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Визначення та детальне вивчення факторів, які мають безпосередній вплив на вартість капіталу, є критично важливим завданням для фінансових менеджерів, інвесторів, аналітиків та інших зацікавлених сторін. Ці фактори можуть мати як внутрішнє походження, будучи пов'язаними з діяльністю та характеристиками самого підприємства, так і зовнішній характер, зумовлений макроекономічними умовами, ринковою кон'юнктурою та геополітичними подіями. У загальному фактори можна умовно поділити на макроекономічні, ринкові та специфічні для компанії.</w:t>
      </w:r>
    </w:p>
    <w:p w14:paraId="18DEED1D" w14:textId="4DFEC71F"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Макроекономічні фактори, такі як рівень процентних ставок, інфляція та темпи економічного зростання, визначають загальний контекст для формування вартості грошей та очікування інвесторів [</w:t>
      </w:r>
      <w:r w:rsidRPr="00511005">
        <w:rPr>
          <w:rFonts w:ascii="Arial" w:eastAsia="Times New Roman" w:hAnsi="Arial" w:cs="Arial"/>
          <w:szCs w:val="28"/>
          <w:lang w:val="uk-UA" w:eastAsia="ru-RU"/>
        </w:rPr>
        <w:fldChar w:fldCharType="begin"/>
      </w:r>
      <w:r w:rsidRPr="00511005">
        <w:rPr>
          <w:rFonts w:ascii="Arial" w:eastAsia="Times New Roman" w:hAnsi="Arial" w:cs="Arial"/>
          <w:szCs w:val="28"/>
          <w:lang w:val="uk-UA" w:eastAsia="ru-RU"/>
        </w:rPr>
        <w:instrText xml:space="preserve"> REF _Ref195644457 \r \h </w:instrText>
      </w:r>
      <w:r w:rsidR="008F5AF9" w:rsidRPr="00511005">
        <w:rPr>
          <w:rFonts w:ascii="Arial" w:eastAsia="Times New Roman" w:hAnsi="Arial" w:cs="Arial"/>
          <w:szCs w:val="28"/>
          <w:lang w:val="uk-UA" w:eastAsia="ru-RU"/>
        </w:rPr>
        <w:instrText xml:space="preserve"> \* MERGEFORMAT </w:instrText>
      </w:r>
      <w:r w:rsidRPr="00511005">
        <w:rPr>
          <w:rFonts w:ascii="Arial" w:eastAsia="Times New Roman" w:hAnsi="Arial" w:cs="Arial"/>
          <w:szCs w:val="28"/>
          <w:lang w:val="uk-UA" w:eastAsia="ru-RU"/>
        </w:rPr>
      </w:r>
      <w:r w:rsidRPr="00511005">
        <w:rPr>
          <w:rFonts w:ascii="Arial" w:eastAsia="Times New Roman" w:hAnsi="Arial" w:cs="Arial"/>
          <w:szCs w:val="28"/>
          <w:lang w:val="uk-UA" w:eastAsia="ru-RU"/>
        </w:rPr>
        <w:fldChar w:fldCharType="separate"/>
      </w:r>
      <w:r w:rsidR="006F7CE5">
        <w:rPr>
          <w:rFonts w:ascii="Arial" w:eastAsia="Times New Roman" w:hAnsi="Arial" w:cs="Arial"/>
          <w:szCs w:val="28"/>
          <w:lang w:val="uk-UA" w:eastAsia="ru-RU"/>
        </w:rPr>
        <w:t>3</w:t>
      </w:r>
      <w:r w:rsidRPr="00511005">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xml:space="preserve">, с.189]. </w:t>
      </w:r>
    </w:p>
    <w:p w14:paraId="3B3B3532" w14:textId="578BC101"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Ринкові фактори, включаючи ринкову премію за ризик, галузеві особливості та ліквідність ринку, відображають умови, що склалися на фінансових ринках [</w:t>
      </w:r>
      <w:r w:rsidRPr="00511005">
        <w:rPr>
          <w:rFonts w:ascii="Arial" w:eastAsia="Times New Roman" w:hAnsi="Arial" w:cs="Arial"/>
          <w:szCs w:val="28"/>
          <w:lang w:val="uk-UA" w:eastAsia="ru-RU"/>
        </w:rPr>
        <w:fldChar w:fldCharType="begin"/>
      </w:r>
      <w:r w:rsidRPr="00511005">
        <w:rPr>
          <w:rFonts w:ascii="Arial" w:eastAsia="Times New Roman" w:hAnsi="Arial" w:cs="Arial"/>
          <w:szCs w:val="28"/>
          <w:lang w:val="uk-UA" w:eastAsia="ru-RU"/>
        </w:rPr>
        <w:instrText xml:space="preserve"> REF _Ref193222906 \r \h </w:instrText>
      </w:r>
      <w:r w:rsidR="008F5AF9" w:rsidRPr="00511005">
        <w:rPr>
          <w:rFonts w:ascii="Arial" w:eastAsia="Times New Roman" w:hAnsi="Arial" w:cs="Arial"/>
          <w:szCs w:val="28"/>
          <w:lang w:val="uk-UA" w:eastAsia="ru-RU"/>
        </w:rPr>
        <w:instrText xml:space="preserve"> \* MERGEFORMAT </w:instrText>
      </w:r>
      <w:r w:rsidRPr="00511005">
        <w:rPr>
          <w:rFonts w:ascii="Arial" w:eastAsia="Times New Roman" w:hAnsi="Arial" w:cs="Arial"/>
          <w:szCs w:val="28"/>
          <w:lang w:val="uk-UA" w:eastAsia="ru-RU"/>
        </w:rPr>
      </w:r>
      <w:r w:rsidRPr="00511005">
        <w:rPr>
          <w:rFonts w:ascii="Arial" w:eastAsia="Times New Roman" w:hAnsi="Arial" w:cs="Arial"/>
          <w:szCs w:val="28"/>
          <w:lang w:val="uk-UA" w:eastAsia="ru-RU"/>
        </w:rPr>
        <w:fldChar w:fldCharType="separate"/>
      </w:r>
      <w:r w:rsidR="006F7CE5">
        <w:rPr>
          <w:rFonts w:ascii="Arial" w:eastAsia="Times New Roman" w:hAnsi="Arial" w:cs="Arial"/>
          <w:szCs w:val="28"/>
          <w:lang w:val="uk-UA" w:eastAsia="ru-RU"/>
        </w:rPr>
        <w:t>4</w:t>
      </w:r>
      <w:r w:rsidRPr="00511005">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xml:space="preserve">, с. 77]. </w:t>
      </w:r>
    </w:p>
    <w:p w14:paraId="697499D3" w14:textId="492161BD"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Специфічні фактори компанії, такі як рівень операційного та фінансового ризику, розмір та вік компанії, фінансові показники, дивідендна політика та якість корпоративного управління, відображають її індивідуальні характеристики та поточний фінансовий стан [</w:t>
      </w:r>
      <w:r w:rsidRPr="00511005">
        <w:rPr>
          <w:rFonts w:ascii="Arial" w:eastAsia="Times New Roman" w:hAnsi="Arial" w:cs="Arial"/>
          <w:szCs w:val="28"/>
          <w:lang w:val="uk-UA" w:eastAsia="ru-RU"/>
        </w:rPr>
        <w:fldChar w:fldCharType="begin"/>
      </w:r>
      <w:r w:rsidRPr="00511005">
        <w:rPr>
          <w:rFonts w:ascii="Arial" w:eastAsia="Times New Roman" w:hAnsi="Arial" w:cs="Arial"/>
          <w:szCs w:val="28"/>
          <w:lang w:val="uk-UA" w:eastAsia="ru-RU"/>
        </w:rPr>
        <w:instrText xml:space="preserve"> REF _Ref193222964 \r \h </w:instrText>
      </w:r>
      <w:r w:rsidR="008F5AF9" w:rsidRPr="00511005">
        <w:rPr>
          <w:rFonts w:ascii="Arial" w:eastAsia="Times New Roman" w:hAnsi="Arial" w:cs="Arial"/>
          <w:szCs w:val="28"/>
          <w:lang w:val="uk-UA" w:eastAsia="ru-RU"/>
        </w:rPr>
        <w:instrText xml:space="preserve"> \* MERGEFORMAT </w:instrText>
      </w:r>
      <w:r w:rsidRPr="00511005">
        <w:rPr>
          <w:rFonts w:ascii="Arial" w:eastAsia="Times New Roman" w:hAnsi="Arial" w:cs="Arial"/>
          <w:szCs w:val="28"/>
          <w:lang w:val="uk-UA" w:eastAsia="ru-RU"/>
        </w:rPr>
      </w:r>
      <w:r w:rsidRPr="00511005">
        <w:rPr>
          <w:rFonts w:ascii="Arial" w:eastAsia="Times New Roman" w:hAnsi="Arial" w:cs="Arial"/>
          <w:szCs w:val="28"/>
          <w:lang w:val="uk-UA" w:eastAsia="ru-RU"/>
        </w:rPr>
        <w:fldChar w:fldCharType="separate"/>
      </w:r>
      <w:r w:rsidR="006F7CE5">
        <w:rPr>
          <w:rFonts w:ascii="Arial" w:eastAsia="Times New Roman" w:hAnsi="Arial" w:cs="Arial"/>
          <w:szCs w:val="28"/>
          <w:lang w:val="uk-UA" w:eastAsia="ru-RU"/>
        </w:rPr>
        <w:t>1</w:t>
      </w:r>
      <w:r w:rsidRPr="00511005">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xml:space="preserve">, с.13]. </w:t>
      </w:r>
    </w:p>
    <w:p w14:paraId="393E2B9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Ефективне управління вартістю капіталу дозволяє підприємству не лише забезпечити свою фінансову стабільність, але й отримати суттєві конкурентні переваги. Одним із ключових аспектів є здатність підприємства залучати капітал на вигідніших умовах. Низька вартість капіталу дозволяє фінансувати інвестиційні проєкти з більшою рентабельністю, що, своєю чергою, сприяє розвитку та розширенню бізнесу.</w:t>
      </w:r>
    </w:p>
    <w:p w14:paraId="211BF875"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Оптимізація структури капіталу також відіграє важливу роль у формуванні конкурентних переваг. Ефективне співвідношення між власним та залученим капіталом дозволяє знизити загальну вартість капіталу та підвищити рентабельність підприємства. Крім того, прозорість та ефективне корпоративне управління сприяють зниженню вартості капіталу та підвищенню конкурентоспроможності. Інвестори та кредитори більше довіряють компаніям з високим рівнем прозорості та ефективним управлінням, що дозволяє їм залучати капітал на вигідніших умовах.</w:t>
      </w:r>
    </w:p>
    <w:p w14:paraId="491772DA" w14:textId="05C535C9"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Активне впровадження систем управління ризиками є критично важливим для мінімізації впливу негативних факторів на вартість капіталу. Це передбачає не лише аналіз традиційних фінансових ризиків, але й оцінку та управління ризиками, пов'язаними з геополітичною нестабільністю, змінами в законодавстві та технологічними проривами. Оптимізація </w:t>
      </w:r>
      <w:r w:rsidRPr="00511005">
        <w:rPr>
          <w:rFonts w:ascii="Arial" w:eastAsia="Times New Roman" w:hAnsi="Arial" w:cs="Arial"/>
          <w:szCs w:val="28"/>
          <w:lang w:val="uk-UA" w:eastAsia="ru-RU"/>
        </w:rPr>
        <w:lastRenderedPageBreak/>
        <w:t>структури капіталу, з урахуванням галузевих особливостей та макроекономічних прогнозів, дозволяє знизити вартість залучених коштів та підвищити рентабельність підприємства [</w:t>
      </w:r>
      <w:r w:rsidRPr="00511005">
        <w:rPr>
          <w:rFonts w:ascii="Arial" w:eastAsia="Times New Roman" w:hAnsi="Arial" w:cs="Arial"/>
          <w:szCs w:val="28"/>
          <w:lang w:val="uk-UA" w:eastAsia="ru-RU"/>
        </w:rPr>
        <w:fldChar w:fldCharType="begin"/>
      </w:r>
      <w:r w:rsidRPr="00511005">
        <w:rPr>
          <w:rFonts w:ascii="Arial" w:eastAsia="Times New Roman" w:hAnsi="Arial" w:cs="Arial"/>
          <w:szCs w:val="28"/>
          <w:lang w:val="uk-UA" w:eastAsia="ru-RU"/>
        </w:rPr>
        <w:instrText xml:space="preserve"> REF _Ref195644540 \r \h </w:instrText>
      </w:r>
      <w:r w:rsidR="007B2628" w:rsidRPr="00511005">
        <w:rPr>
          <w:rFonts w:ascii="Arial" w:eastAsia="Times New Roman" w:hAnsi="Arial" w:cs="Arial"/>
          <w:szCs w:val="28"/>
          <w:lang w:val="uk-UA" w:eastAsia="ru-RU"/>
        </w:rPr>
        <w:instrText xml:space="preserve"> \* MERGEFORMAT </w:instrText>
      </w:r>
      <w:r w:rsidRPr="00511005">
        <w:rPr>
          <w:rFonts w:ascii="Arial" w:eastAsia="Times New Roman" w:hAnsi="Arial" w:cs="Arial"/>
          <w:szCs w:val="28"/>
          <w:lang w:val="uk-UA" w:eastAsia="ru-RU"/>
        </w:rPr>
      </w:r>
      <w:r w:rsidRPr="00511005">
        <w:rPr>
          <w:rFonts w:ascii="Arial" w:eastAsia="Times New Roman" w:hAnsi="Arial" w:cs="Arial"/>
          <w:szCs w:val="28"/>
          <w:lang w:val="uk-UA" w:eastAsia="ru-RU"/>
        </w:rPr>
        <w:fldChar w:fldCharType="separate"/>
      </w:r>
      <w:r w:rsidR="006F7CE5">
        <w:rPr>
          <w:rFonts w:ascii="Arial" w:eastAsia="Times New Roman" w:hAnsi="Arial" w:cs="Arial"/>
          <w:szCs w:val="28"/>
          <w:lang w:val="uk-UA" w:eastAsia="ru-RU"/>
        </w:rPr>
        <w:t>2</w:t>
      </w:r>
      <w:r w:rsidRPr="00511005">
        <w:rPr>
          <w:rFonts w:ascii="Arial" w:eastAsia="Times New Roman" w:hAnsi="Arial" w:cs="Arial"/>
          <w:szCs w:val="28"/>
          <w:lang w:val="uk-UA" w:eastAsia="ru-RU"/>
        </w:rPr>
        <w:fldChar w:fldCharType="end"/>
      </w:r>
      <w:r w:rsidRPr="00511005">
        <w:rPr>
          <w:rFonts w:ascii="Arial" w:eastAsia="Times New Roman" w:hAnsi="Arial" w:cs="Arial"/>
          <w:szCs w:val="28"/>
          <w:lang w:val="uk-UA" w:eastAsia="ru-RU"/>
        </w:rPr>
        <w:t>, c. 38].</w:t>
      </w:r>
    </w:p>
    <w:p w14:paraId="239DE093"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Використання інноваційних фінансових інструментів, таких як блокчейн-технології для залучення капіталу або зелене фінансування для проєктів сталого розвитку, дозволяє не лише знизити вартість капіталу, але й підвищити ефективність управління фінансами підприємства. Інвестиції в нематеріальні активи, такі як інтелектуальна власність, брендинг та людський капітал, створюють стійкі конкурентні переваги, що важко скопіювати. Розвиток стратегічного партнерства, включаючи співпрацю з іншими компаніями та залучення стратегічних інвесторів, дозволяє спільно фінансувати проєкти, обмінюватися ресурсами та розширювати доступ до нових ринків.</w:t>
      </w:r>
    </w:p>
    <w:p w14:paraId="7ABD36E6"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Важливим аспектом є також розвиток цифрової трансформації, що передбачає використання сучасних цифрових технологій для оптимізації фінансових процесів та підвищення прозорості. Впровадження систем аналізу даних для прогнозування та управління фінансовими ризиками дозволяє приймати більш обґрунтовані рішення. Управління валютними ризиками, особливо в умовах глобалізації, є необхідним для захисту вартості капіталу від коливань валютних курсів. Використання інструментів хеджування дозволяє мінімізувати ці ризики.</w:t>
      </w:r>
    </w:p>
    <w:p w14:paraId="47F00B0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Для підвищення ефективності управління вартістю капіталу та формування конкурентних переваг підприємствам необхідно: </w:t>
      </w:r>
    </w:p>
    <w:p w14:paraId="5EE477A4" w14:textId="77777777" w:rsidR="00AE57E7" w:rsidRPr="00511005" w:rsidRDefault="00AE57E7" w:rsidP="003F6A5D">
      <w:pPr>
        <w:numPr>
          <w:ilvl w:val="0"/>
          <w:numId w:val="739"/>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акцентувати увагу на нематеріальних активах, інвестуючи в інтелектуальну власність, брендинг та людський капітал; </w:t>
      </w:r>
    </w:p>
    <w:p w14:paraId="7DCEB5D3" w14:textId="77777777" w:rsidR="00AE57E7" w:rsidRPr="00511005" w:rsidRDefault="00AE57E7" w:rsidP="003F6A5D">
      <w:pPr>
        <w:numPr>
          <w:ilvl w:val="0"/>
          <w:numId w:val="739"/>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активно використовувати зелене фінансування, залучаючи інвестиції у проєкти, що відповідають принципам сталого розвитку; </w:t>
      </w:r>
    </w:p>
    <w:p w14:paraId="7E226B64" w14:textId="77777777" w:rsidR="00AE57E7" w:rsidRPr="00511005" w:rsidRDefault="00AE57E7" w:rsidP="003F6A5D">
      <w:pPr>
        <w:numPr>
          <w:ilvl w:val="0"/>
          <w:numId w:val="739"/>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розвивати цифрову трансформацію, використовуючи сучасні цифрові технології для оптимізації фінансових процесів; </w:t>
      </w:r>
    </w:p>
    <w:p w14:paraId="097ED265" w14:textId="77777777" w:rsidR="00AE57E7" w:rsidRPr="00511005" w:rsidRDefault="00AE57E7" w:rsidP="003F6A5D">
      <w:pPr>
        <w:numPr>
          <w:ilvl w:val="0"/>
          <w:numId w:val="739"/>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ефективно управляти валютними ризиками, використовуючи інструменти хеджування; будувати довгострокові відносини з інвесторами на основі довіри та прозорості; </w:t>
      </w:r>
    </w:p>
    <w:p w14:paraId="615A11EE" w14:textId="77777777" w:rsidR="00AE57E7" w:rsidRPr="00511005" w:rsidRDefault="00AE57E7" w:rsidP="003F6A5D">
      <w:pPr>
        <w:numPr>
          <w:ilvl w:val="0"/>
          <w:numId w:val="739"/>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формувати резервні фонди для покриття непередбачених витрат; </w:t>
      </w:r>
    </w:p>
    <w:p w14:paraId="576EBBDD" w14:textId="77777777" w:rsidR="00AE57E7" w:rsidRPr="00511005" w:rsidRDefault="00AE57E7" w:rsidP="003F6A5D">
      <w:pPr>
        <w:numPr>
          <w:ilvl w:val="0"/>
          <w:numId w:val="739"/>
        </w:numPr>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розвивати стратегічне партнерство для спільного фінансування проєктів.</w:t>
      </w:r>
    </w:p>
    <w:p w14:paraId="4E29F669"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вартість капіталу є складним та багатогранним поняттям, на формування якого впливає велика кількість взаємопов'язаних факторів. Розуміння механізмів впливу цих факторів та їхньої взаємодії є ключовим для ефективного управління фінансами підприємства, прийняття обґрунтованих інвестиційних рішень та забезпечення його довгострокової фінансової стабільності та конкурентоздатності.</w:t>
      </w:r>
    </w:p>
    <w:p w14:paraId="3ADEEDEA" w14:textId="77777777" w:rsidR="00AE57E7" w:rsidRPr="00511005" w:rsidRDefault="00AE57E7" w:rsidP="003A292D">
      <w:pPr>
        <w:spacing w:line="264" w:lineRule="auto"/>
        <w:jc w:val="center"/>
        <w:rPr>
          <w:rFonts w:ascii="Arial" w:eastAsia="Times New Roman" w:hAnsi="Arial" w:cs="Arial"/>
          <w:b/>
          <w:bCs/>
          <w:iCs/>
          <w:szCs w:val="28"/>
          <w:lang w:val="uk-UA" w:eastAsia="ru-RU"/>
        </w:rPr>
      </w:pPr>
    </w:p>
    <w:p w14:paraId="155A06B2" w14:textId="015AFC03" w:rsidR="00AE57E7" w:rsidRPr="00511005" w:rsidRDefault="007B2628" w:rsidP="007B2628">
      <w:pPr>
        <w:spacing w:line="264" w:lineRule="auto"/>
        <w:ind w:firstLine="0"/>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Список використаних джерел</w:t>
      </w:r>
    </w:p>
    <w:p w14:paraId="39BFA897" w14:textId="77777777" w:rsidR="00AE57E7" w:rsidRPr="00511005" w:rsidRDefault="00AE57E7" w:rsidP="003F6A5D">
      <w:pPr>
        <w:numPr>
          <w:ilvl w:val="0"/>
          <w:numId w:val="738"/>
        </w:numPr>
        <w:spacing w:line="264" w:lineRule="auto"/>
        <w:ind w:left="0" w:firstLine="709"/>
        <w:contextualSpacing/>
        <w:jc w:val="left"/>
        <w:rPr>
          <w:rFonts w:ascii="Arial" w:eastAsia="Times New Roman" w:hAnsi="Arial" w:cs="Arial"/>
          <w:szCs w:val="28"/>
          <w:lang w:val="uk-UA" w:eastAsia="ru-RU"/>
        </w:rPr>
      </w:pPr>
      <w:bookmarkStart w:id="304" w:name="_Ref193222964"/>
      <w:r w:rsidRPr="00511005">
        <w:rPr>
          <w:rFonts w:ascii="Arial" w:eastAsia="Times New Roman" w:hAnsi="Arial" w:cs="Arial"/>
          <w:szCs w:val="28"/>
          <w:lang w:val="uk-UA" w:eastAsia="ru-RU"/>
        </w:rPr>
        <w:t>Factors Affecting Cost of Capital. </w:t>
      </w:r>
      <w:r w:rsidRPr="00511005">
        <w:rPr>
          <w:rFonts w:ascii="Arial" w:eastAsia="Times New Roman" w:hAnsi="Arial" w:cs="Arial"/>
          <w:i/>
          <w:iCs/>
          <w:szCs w:val="28"/>
          <w:lang w:val="uk-UA" w:eastAsia="ru-RU"/>
        </w:rPr>
        <w:t>Financial Management</w:t>
      </w:r>
      <w:r w:rsidRPr="00511005">
        <w:rPr>
          <w:rFonts w:ascii="Arial" w:eastAsia="Times New Roman" w:hAnsi="Arial" w:cs="Arial"/>
          <w:szCs w:val="28"/>
          <w:lang w:val="uk-UA" w:eastAsia="ru-RU"/>
        </w:rPr>
        <w:t>. URL: </w:t>
      </w:r>
      <w:hyperlink r:id="rId2485" w:tgtFrame="_blank" w:history="1">
        <w:r w:rsidRPr="00511005">
          <w:rPr>
            <w:rFonts w:ascii="Arial" w:eastAsia="Times New Roman" w:hAnsi="Arial" w:cs="Arial"/>
            <w:szCs w:val="28"/>
            <w:lang w:val="uk-UA" w:eastAsia="ru-RU"/>
          </w:rPr>
          <w:t>https://efinancemanagement.com/investment-decisions/factors-affecting-cost-of-capital</w:t>
        </w:r>
      </w:hyperlink>
      <w:r w:rsidRPr="00511005">
        <w:rPr>
          <w:rFonts w:ascii="Arial" w:eastAsia="Times New Roman" w:hAnsi="Arial" w:cs="Arial"/>
          <w:szCs w:val="28"/>
          <w:lang w:val="uk-UA" w:eastAsia="ru-RU"/>
        </w:rPr>
        <w:t> </w:t>
      </w:r>
      <w:bookmarkEnd w:id="304"/>
    </w:p>
    <w:p w14:paraId="08B37F1A" w14:textId="77777777" w:rsidR="00AE57E7" w:rsidRPr="00511005" w:rsidRDefault="00AE57E7" w:rsidP="003F6A5D">
      <w:pPr>
        <w:numPr>
          <w:ilvl w:val="0"/>
          <w:numId w:val="738"/>
        </w:numPr>
        <w:spacing w:line="264" w:lineRule="auto"/>
        <w:ind w:left="0" w:firstLine="709"/>
        <w:contextualSpacing/>
        <w:jc w:val="left"/>
        <w:rPr>
          <w:rFonts w:ascii="Arial" w:eastAsia="Times New Roman" w:hAnsi="Arial" w:cs="Arial"/>
          <w:szCs w:val="28"/>
          <w:lang w:val="uk-UA" w:eastAsia="ru-RU"/>
        </w:rPr>
      </w:pPr>
      <w:bookmarkStart w:id="305" w:name="_Ref195644540"/>
      <w:r w:rsidRPr="00511005">
        <w:rPr>
          <w:rFonts w:ascii="Arial" w:eastAsia="Times New Roman" w:hAnsi="Arial" w:cs="Arial"/>
          <w:szCs w:val="28"/>
          <w:lang w:val="uk-UA" w:eastAsia="ru-RU"/>
        </w:rPr>
        <w:t xml:space="preserve">Дядін А., Бобро Н. Управління капіталом у контексті забезпечення конкурентних переваг суб’єкта підприємницької діяльності роздрібної торгівлі. </w:t>
      </w:r>
      <w:r w:rsidRPr="00511005">
        <w:rPr>
          <w:rFonts w:ascii="Arial" w:eastAsia="Times New Roman" w:hAnsi="Arial" w:cs="Arial"/>
          <w:i/>
          <w:iCs/>
          <w:szCs w:val="28"/>
          <w:lang w:val="uk-UA" w:eastAsia="ru-RU"/>
        </w:rPr>
        <w:t>Право і безпека</w:t>
      </w:r>
      <w:r w:rsidRPr="00511005">
        <w:rPr>
          <w:rFonts w:ascii="Arial" w:eastAsia="Times New Roman" w:hAnsi="Arial" w:cs="Arial"/>
          <w:szCs w:val="28"/>
          <w:lang w:val="uk-UA" w:eastAsia="ru-RU"/>
        </w:rPr>
        <w:t>. 2021. № 1 (80). С. 35-41.</w:t>
      </w:r>
      <w:bookmarkEnd w:id="305"/>
      <w:r w:rsidRPr="00511005">
        <w:rPr>
          <w:rFonts w:ascii="Arial" w:eastAsia="Times New Roman" w:hAnsi="Arial" w:cs="Arial"/>
          <w:szCs w:val="28"/>
          <w:lang w:val="uk-UA" w:eastAsia="ru-RU"/>
        </w:rPr>
        <w:t xml:space="preserve"> </w:t>
      </w:r>
    </w:p>
    <w:p w14:paraId="691FBE8B" w14:textId="77777777" w:rsidR="00AE57E7" w:rsidRPr="00511005" w:rsidRDefault="00AE57E7" w:rsidP="003F6A5D">
      <w:pPr>
        <w:numPr>
          <w:ilvl w:val="0"/>
          <w:numId w:val="738"/>
        </w:numPr>
        <w:spacing w:line="264" w:lineRule="auto"/>
        <w:ind w:left="0" w:firstLine="709"/>
        <w:contextualSpacing/>
        <w:jc w:val="left"/>
        <w:rPr>
          <w:rFonts w:ascii="Arial" w:eastAsia="Times New Roman" w:hAnsi="Arial" w:cs="Arial"/>
          <w:szCs w:val="28"/>
          <w:lang w:val="uk-UA" w:eastAsia="ru-RU"/>
        </w:rPr>
      </w:pPr>
      <w:bookmarkStart w:id="306" w:name="_Hlk193221837"/>
      <w:bookmarkStart w:id="307" w:name="_Ref195644457"/>
      <w:r w:rsidRPr="00511005">
        <w:rPr>
          <w:rFonts w:ascii="Arial" w:eastAsia="Times New Roman" w:hAnsi="Arial" w:cs="Arial"/>
          <w:szCs w:val="28"/>
          <w:lang w:val="uk-UA" w:eastAsia="ru-RU"/>
        </w:rPr>
        <w:t>Конєва </w:t>
      </w:r>
      <w:bookmarkEnd w:id="306"/>
      <w:r w:rsidRPr="00511005">
        <w:rPr>
          <w:rFonts w:ascii="Arial" w:eastAsia="Times New Roman" w:hAnsi="Arial" w:cs="Arial"/>
          <w:szCs w:val="28"/>
          <w:lang w:val="uk-UA" w:eastAsia="ru-RU"/>
        </w:rPr>
        <w:t>Т. Фактори впливу на вартість капіталу сільськогосподарських підприємств України. </w:t>
      </w:r>
      <w:r w:rsidRPr="00511005">
        <w:rPr>
          <w:rFonts w:ascii="Arial" w:eastAsia="Times New Roman" w:hAnsi="Arial" w:cs="Arial"/>
          <w:i/>
          <w:iCs/>
          <w:szCs w:val="28"/>
          <w:lang w:val="uk-UA" w:eastAsia="ru-RU"/>
        </w:rPr>
        <w:t>Науковий вісник Міжнародного гуманітарного університету</w:t>
      </w:r>
      <w:r w:rsidRPr="00511005">
        <w:rPr>
          <w:rFonts w:ascii="Arial" w:eastAsia="Times New Roman" w:hAnsi="Arial" w:cs="Arial"/>
          <w:szCs w:val="28"/>
          <w:lang w:val="uk-UA" w:eastAsia="ru-RU"/>
        </w:rPr>
        <w:t>. С. 187–190.</w:t>
      </w:r>
      <w:bookmarkEnd w:id="307"/>
    </w:p>
    <w:p w14:paraId="01DDB9E2" w14:textId="77777777" w:rsidR="00AE57E7" w:rsidRPr="00511005" w:rsidRDefault="00AE57E7" w:rsidP="003F6A5D">
      <w:pPr>
        <w:numPr>
          <w:ilvl w:val="0"/>
          <w:numId w:val="738"/>
        </w:numPr>
        <w:spacing w:line="264" w:lineRule="auto"/>
        <w:ind w:left="0" w:firstLine="709"/>
        <w:contextualSpacing/>
        <w:jc w:val="left"/>
        <w:rPr>
          <w:rFonts w:ascii="Arial" w:eastAsia="Times New Roman" w:hAnsi="Arial" w:cs="Arial"/>
          <w:szCs w:val="28"/>
          <w:lang w:val="uk-UA" w:eastAsia="ru-RU"/>
        </w:rPr>
      </w:pPr>
      <w:bookmarkStart w:id="308" w:name="_Ref193222906"/>
      <w:r w:rsidRPr="00511005">
        <w:rPr>
          <w:rFonts w:ascii="Arial" w:eastAsia="Times New Roman" w:hAnsi="Arial" w:cs="Arial"/>
          <w:szCs w:val="28"/>
          <w:lang w:val="uk-UA" w:eastAsia="ru-RU"/>
        </w:rPr>
        <w:t xml:space="preserve">Магдалюк О. Управлінські аспекти фінансових моделей формування та зростання вартості капіталу підприємства. </w:t>
      </w:r>
      <w:r w:rsidRPr="00511005">
        <w:rPr>
          <w:rFonts w:ascii="Arial" w:eastAsia="Times New Roman" w:hAnsi="Arial" w:cs="Arial"/>
          <w:i/>
          <w:iCs/>
          <w:szCs w:val="28"/>
          <w:lang w:val="uk-UA" w:eastAsia="ru-RU"/>
        </w:rPr>
        <w:t>Економіка харчової промисловості.</w:t>
      </w:r>
      <w:r w:rsidRPr="00511005">
        <w:rPr>
          <w:rFonts w:ascii="Arial" w:eastAsia="Times New Roman" w:hAnsi="Arial" w:cs="Arial"/>
          <w:szCs w:val="28"/>
          <w:lang w:val="uk-UA" w:eastAsia="ru-RU"/>
        </w:rPr>
        <w:t xml:space="preserve"> 2020. Т. 12, № 2/2020. С. 76–81.</w:t>
      </w:r>
      <w:bookmarkEnd w:id="308"/>
    </w:p>
    <w:p w14:paraId="3230CF58" w14:textId="77777777" w:rsidR="00AE57E7" w:rsidRPr="00511005" w:rsidRDefault="00AE57E7" w:rsidP="003A292D">
      <w:pPr>
        <w:spacing w:line="264" w:lineRule="auto"/>
        <w:contextualSpacing/>
        <w:rPr>
          <w:rFonts w:ascii="Arial" w:eastAsia="Times New Roman" w:hAnsi="Arial" w:cs="Arial"/>
          <w:b/>
          <w:bCs/>
          <w:szCs w:val="28"/>
          <w:lang w:val="uk-UA" w:eastAsia="ru-RU"/>
        </w:rPr>
      </w:pPr>
    </w:p>
    <w:p w14:paraId="158F3E50" w14:textId="34C667A4" w:rsidR="00AE57E7"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AE57E7" w:rsidRPr="00511005">
        <w:rPr>
          <w:rFonts w:ascii="Arial" w:eastAsia="Times New Roman" w:hAnsi="Arial" w:cs="Arial"/>
          <w:szCs w:val="28"/>
          <w:lang w:val="uk-UA" w:eastAsia="ru-RU"/>
        </w:rPr>
        <w:t>вартість капіталу, конкурентні переваги, макроекономічні фактори, ринкові ризики, цифрова трансформація.</w:t>
      </w:r>
    </w:p>
    <w:p w14:paraId="3356374A" w14:textId="50FEC08F" w:rsidR="00AE57E7"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AE57E7" w:rsidRPr="00511005">
        <w:rPr>
          <w:rFonts w:ascii="Arial" w:eastAsia="Times New Roman" w:hAnsi="Arial" w:cs="Arial"/>
          <w:szCs w:val="28"/>
          <w:lang w:val="uk-UA" w:eastAsia="ru-RU"/>
        </w:rPr>
        <w:t>cost of capital, competitive advantages, macroeconomic factors, market risks, digital transformation.</w:t>
      </w:r>
    </w:p>
    <w:p w14:paraId="0D93DC84" w14:textId="0808E626" w:rsidR="00AE57E7" w:rsidRPr="00511005" w:rsidRDefault="007B2628" w:rsidP="003A292D">
      <w:pPr>
        <w:spacing w:line="264" w:lineRule="auto"/>
        <w:contextualSpacing/>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AE57E7" w:rsidRPr="00511005">
        <w:rPr>
          <w:rFonts w:ascii="Arial" w:eastAsia="Times New Roman" w:hAnsi="Arial" w:cs="Arial"/>
          <w:i/>
          <w:szCs w:val="28"/>
          <w:lang w:val="uk-UA" w:eastAsia="ru-RU"/>
        </w:rPr>
        <w:t>к.е.н., доцент Редіна Є.В.</w:t>
      </w:r>
    </w:p>
    <w:p w14:paraId="7C7F6421" w14:textId="77777777" w:rsidR="00AE57E7" w:rsidRPr="00511005" w:rsidRDefault="00AE57E7" w:rsidP="003A292D">
      <w:pPr>
        <w:spacing w:line="264" w:lineRule="auto"/>
        <w:rPr>
          <w:rFonts w:ascii="Arial" w:eastAsia="Times New Roman" w:hAnsi="Arial" w:cs="Arial"/>
          <w:szCs w:val="28"/>
          <w:lang w:val="uk-UA" w:eastAsia="ru-RU"/>
        </w:rPr>
      </w:pPr>
    </w:p>
    <w:p w14:paraId="3E313E53" w14:textId="1ACDDC0B" w:rsidR="00AE57E7" w:rsidRPr="00511005" w:rsidRDefault="00AE57E7" w:rsidP="003A292D">
      <w:pPr>
        <w:spacing w:line="264" w:lineRule="auto"/>
        <w:ind w:firstLine="0"/>
        <w:jc w:val="left"/>
        <w:rPr>
          <w:rFonts w:ascii="Arial" w:eastAsia="Calibri" w:hAnsi="Arial" w:cs="Arial"/>
          <w:b/>
          <w:bCs/>
          <w:i/>
          <w:kern w:val="2"/>
          <w:szCs w:val="28"/>
          <w:lang w:val="uk-UA"/>
          <w14:ligatures w14:val="standardContextual"/>
        </w:rPr>
      </w:pPr>
    </w:p>
    <w:p w14:paraId="0230C535" w14:textId="77777777" w:rsidR="00AE57E7" w:rsidRPr="00511005" w:rsidRDefault="00AE57E7" w:rsidP="003A292D">
      <w:pPr>
        <w:spacing w:line="264" w:lineRule="auto"/>
        <w:ind w:firstLine="0"/>
        <w:jc w:val="center"/>
        <w:rPr>
          <w:rFonts w:ascii="Arial" w:eastAsia="Calibri" w:hAnsi="Arial" w:cs="Arial"/>
          <w:b/>
          <w:bCs/>
          <w:i/>
          <w:kern w:val="2"/>
          <w:szCs w:val="28"/>
          <w:lang w:val="uk-UA"/>
          <w14:ligatures w14:val="standardContextual"/>
        </w:rPr>
      </w:pPr>
      <w:r w:rsidRPr="00511005">
        <w:rPr>
          <w:rFonts w:ascii="Arial" w:eastAsia="Calibri" w:hAnsi="Arial" w:cs="Arial"/>
          <w:b/>
          <w:bCs/>
          <w:i/>
          <w:kern w:val="2"/>
          <w:szCs w:val="28"/>
          <w:lang w:val="uk-UA"/>
          <w14:ligatures w14:val="standardContextual"/>
        </w:rPr>
        <w:t>Крицький Єгор Ігорович</w:t>
      </w:r>
    </w:p>
    <w:p w14:paraId="240A2792" w14:textId="4C8E1323" w:rsidR="00AE57E7" w:rsidRPr="00511005" w:rsidRDefault="00536AAB"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студент 4-го курсу факультету адвокатури та антикорупційної діяльності</w:t>
      </w:r>
      <w:r w:rsidR="00AE57E7" w:rsidRPr="00511005">
        <w:rPr>
          <w:rFonts w:ascii="Arial" w:eastAsia="Calibri" w:hAnsi="Arial" w:cs="Arial"/>
          <w:kern w:val="2"/>
          <w:szCs w:val="28"/>
          <w:lang w:val="uk-UA"/>
          <w14:ligatures w14:val="standardContextual"/>
        </w:rPr>
        <w:t xml:space="preserve"> </w:t>
      </w:r>
    </w:p>
    <w:p w14:paraId="349CD10D" w14:textId="4DB28368" w:rsidR="00AE57E7" w:rsidRPr="00511005" w:rsidRDefault="007B2628"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Національного університету «Одеська юридична академія»</w:t>
      </w:r>
    </w:p>
    <w:p w14:paraId="7F0CB55D" w14:textId="77777777" w:rsidR="00AE57E7" w:rsidRPr="00511005" w:rsidRDefault="00AE57E7" w:rsidP="003A292D">
      <w:pPr>
        <w:spacing w:line="264" w:lineRule="auto"/>
        <w:ind w:firstLine="0"/>
        <w:jc w:val="center"/>
        <w:rPr>
          <w:rFonts w:ascii="Arial" w:eastAsia="Calibri" w:hAnsi="Arial" w:cs="Arial"/>
          <w:b/>
          <w:bCs/>
          <w:kern w:val="2"/>
          <w:szCs w:val="28"/>
          <w:lang w:val="uk-UA"/>
          <w14:ligatures w14:val="standardContextual"/>
        </w:rPr>
      </w:pPr>
    </w:p>
    <w:p w14:paraId="2596A23B" w14:textId="77777777" w:rsidR="00AE57E7" w:rsidRPr="00511005" w:rsidRDefault="00AE57E7" w:rsidP="003A292D">
      <w:pPr>
        <w:spacing w:line="264" w:lineRule="auto"/>
        <w:ind w:firstLine="0"/>
        <w:jc w:val="center"/>
        <w:rPr>
          <w:rFonts w:ascii="Arial" w:eastAsia="Calibri" w:hAnsi="Arial" w:cs="Arial"/>
          <w:b/>
          <w:bCs/>
          <w:kern w:val="2"/>
          <w:szCs w:val="28"/>
          <w:lang w:val="uk-UA"/>
          <w14:ligatures w14:val="standardContextual"/>
        </w:rPr>
      </w:pPr>
      <w:r w:rsidRPr="00511005">
        <w:rPr>
          <w:rFonts w:ascii="Arial" w:eastAsia="Calibri" w:hAnsi="Arial" w:cs="Arial"/>
          <w:b/>
          <w:bCs/>
          <w:kern w:val="2"/>
          <w:szCs w:val="28"/>
          <w:lang w:val="uk-UA"/>
          <w14:ligatures w14:val="standardContextual"/>
        </w:rPr>
        <w:t>КІ</w:t>
      </w:r>
      <w:r w:rsidRPr="00511005">
        <w:rPr>
          <w:rFonts w:ascii="Arial" w:eastAsia="Malgun Gothic" w:hAnsi="Arial" w:cs="Arial"/>
          <w:b/>
          <w:bCs/>
          <w:kern w:val="2"/>
          <w:szCs w:val="28"/>
          <w:lang w:val="uk-UA"/>
          <w14:ligatures w14:val="standardContextual"/>
        </w:rPr>
        <w:t>БЕРБЕЗПЕКА</w:t>
      </w:r>
      <w:r w:rsidRPr="00511005">
        <w:rPr>
          <w:rFonts w:ascii="Arial" w:eastAsia="Calibri" w:hAnsi="Arial" w:cs="Arial"/>
          <w:b/>
          <w:bCs/>
          <w:kern w:val="2"/>
          <w:szCs w:val="28"/>
          <w:lang w:val="uk-UA"/>
          <w14:ligatures w14:val="standardContextual"/>
        </w:rPr>
        <w:t xml:space="preserve"> </w:t>
      </w:r>
      <w:r w:rsidRPr="00511005">
        <w:rPr>
          <w:rFonts w:ascii="Arial" w:eastAsia="Malgun Gothic" w:hAnsi="Arial" w:cs="Arial"/>
          <w:b/>
          <w:bCs/>
          <w:kern w:val="2"/>
          <w:szCs w:val="28"/>
          <w:lang w:val="uk-UA"/>
          <w14:ligatures w14:val="standardContextual"/>
        </w:rPr>
        <w:t>ЯК</w:t>
      </w:r>
      <w:r w:rsidRPr="00511005">
        <w:rPr>
          <w:rFonts w:ascii="Arial" w:eastAsia="Calibri" w:hAnsi="Arial" w:cs="Arial"/>
          <w:b/>
          <w:bCs/>
          <w:kern w:val="2"/>
          <w:szCs w:val="28"/>
          <w:lang w:val="uk-UA"/>
          <w14:ligatures w14:val="standardContextual"/>
        </w:rPr>
        <w:t xml:space="preserve"> КОМПЛЕКСНА ПАРАДИГМА ЗАХИСТУ БІ</w:t>
      </w:r>
      <w:r w:rsidRPr="00511005">
        <w:rPr>
          <w:rFonts w:ascii="Arial" w:eastAsia="Malgun Gothic" w:hAnsi="Arial" w:cs="Arial"/>
          <w:b/>
          <w:bCs/>
          <w:kern w:val="2"/>
          <w:szCs w:val="28"/>
          <w:lang w:val="uk-UA"/>
          <w14:ligatures w14:val="standardContextual"/>
        </w:rPr>
        <w:t>ЗНЕС</w:t>
      </w:r>
      <w:r w:rsidRPr="00511005">
        <w:rPr>
          <w:rFonts w:ascii="Arial" w:eastAsia="Calibri" w:hAnsi="Arial" w:cs="Arial"/>
          <w:b/>
          <w:bCs/>
          <w:kern w:val="2"/>
          <w:szCs w:val="28"/>
          <w:lang w:val="uk-UA"/>
          <w14:ligatures w14:val="standardContextual"/>
        </w:rPr>
        <w:t>-І</w:t>
      </w:r>
      <w:r w:rsidRPr="00511005">
        <w:rPr>
          <w:rFonts w:ascii="Arial" w:eastAsia="Malgun Gothic" w:hAnsi="Arial" w:cs="Arial"/>
          <w:b/>
          <w:bCs/>
          <w:kern w:val="2"/>
          <w:szCs w:val="28"/>
          <w:lang w:val="uk-UA"/>
          <w14:ligatures w14:val="standardContextual"/>
        </w:rPr>
        <w:t>НФРАСТРУКТУРИ</w:t>
      </w:r>
    </w:p>
    <w:p w14:paraId="1EDA6536"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У ХХІ </w:t>
      </w:r>
      <w:r w:rsidRPr="00511005">
        <w:rPr>
          <w:rFonts w:ascii="Arial" w:eastAsia="Malgun Gothic" w:hAnsi="Arial" w:cs="Arial"/>
          <w:kern w:val="2"/>
          <w:szCs w:val="28"/>
          <w:lang w:val="uk-UA"/>
          <w14:ligatures w14:val="standardContextual"/>
        </w:rPr>
        <w:t>стол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тт</w:t>
      </w:r>
      <w:r w:rsidRPr="00511005">
        <w:rPr>
          <w:rFonts w:ascii="Arial" w:eastAsia="Calibri" w:hAnsi="Arial" w:cs="Arial"/>
          <w:kern w:val="2"/>
          <w:szCs w:val="28"/>
          <w:lang w:val="uk-UA"/>
          <w14:ligatures w14:val="standardContextual"/>
        </w:rPr>
        <w:t>і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технолог</w:t>
      </w:r>
      <w:r w:rsidRPr="00511005">
        <w:rPr>
          <w:rFonts w:ascii="Arial" w:eastAsia="Calibri" w:hAnsi="Arial" w:cs="Arial"/>
          <w:kern w:val="2"/>
          <w:szCs w:val="28"/>
          <w:lang w:val="uk-UA"/>
          <w14:ligatures w14:val="standardContextual"/>
        </w:rPr>
        <w:t>ії стали не лише і</w:t>
      </w:r>
      <w:r w:rsidRPr="00511005">
        <w:rPr>
          <w:rFonts w:ascii="Arial" w:eastAsia="Malgun Gothic" w:hAnsi="Arial" w:cs="Arial"/>
          <w:kern w:val="2"/>
          <w:szCs w:val="28"/>
          <w:lang w:val="uk-UA"/>
          <w14:ligatures w14:val="standardContextual"/>
        </w:rPr>
        <w:t>нструментом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обробки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критичним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елементом</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нфраструктури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умовах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питання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бербезпеки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поста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одне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ключових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збереження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конкурентоспроможност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ртуальн</w:t>
      </w:r>
      <w:r w:rsidRPr="00511005">
        <w:rPr>
          <w:rFonts w:ascii="Arial" w:eastAsia="Calibri" w:hAnsi="Arial" w:cs="Arial"/>
          <w:kern w:val="2"/>
          <w:szCs w:val="28"/>
          <w:lang w:val="uk-UA"/>
          <w14:ligatures w14:val="standardContextual"/>
        </w:rPr>
        <w:t xml:space="preserve">і загрози з кожним роком стають дедалі </w:t>
      </w:r>
      <w:r w:rsidRPr="00511005">
        <w:rPr>
          <w:rFonts w:ascii="Arial" w:eastAsia="Malgun Gothic" w:hAnsi="Arial" w:cs="Arial"/>
          <w:kern w:val="2"/>
          <w:szCs w:val="28"/>
          <w:lang w:val="uk-UA"/>
          <w14:ligatures w14:val="standardContextual"/>
        </w:rPr>
        <w:t>складн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вимагаючи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дходу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захисту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сво</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ресурс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w:t>
      </w:r>
    </w:p>
    <w:p w14:paraId="3B698FCD" w14:textId="77777777" w:rsidR="00AE57E7" w:rsidRPr="00511005" w:rsidRDefault="00AE57E7" w:rsidP="003A292D">
      <w:pPr>
        <w:spacing w:line="264" w:lineRule="auto"/>
        <w:rPr>
          <w:rFonts w:ascii="Arial" w:eastAsia="Times New Roman" w:hAnsi="Arial" w:cs="Arial"/>
          <w:kern w:val="2"/>
          <w:szCs w:val="28"/>
          <w:lang w:val="uk-UA"/>
          <w14:ligatures w14:val="standardContextual"/>
        </w:rPr>
      </w:pPr>
      <w:r w:rsidRPr="00511005">
        <w:rPr>
          <w:rFonts w:ascii="Arial" w:eastAsia="Times New Roman" w:hAnsi="Arial" w:cs="Arial"/>
          <w:kern w:val="2"/>
          <w:szCs w:val="28"/>
          <w:lang w:val="uk-UA"/>
          <w14:ligatures w14:val="standardContextual"/>
        </w:rPr>
        <w:t>Кі</w:t>
      </w:r>
      <w:r w:rsidRPr="00511005">
        <w:rPr>
          <w:rFonts w:ascii="Arial" w:eastAsia="Malgun Gothic" w:hAnsi="Arial" w:cs="Arial"/>
          <w:kern w:val="2"/>
          <w:szCs w:val="28"/>
          <w:lang w:val="uk-UA"/>
          <w14:ligatures w14:val="standardContextual"/>
        </w:rPr>
        <w:t>бербезпека</w:t>
      </w:r>
      <w:r w:rsidRPr="00511005">
        <w:rPr>
          <w:rFonts w:ascii="Arial" w:eastAsia="Times New Roman"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спец</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зованою</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критично</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важливою</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складовою</w:t>
      </w:r>
      <w:r w:rsidRPr="00511005">
        <w:rPr>
          <w:rFonts w:ascii="Arial" w:eastAsia="Times New Roman"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нформац</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Times New Roman"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безпеки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Якщо</w:t>
      </w:r>
      <w:r w:rsidRPr="00511005">
        <w:rPr>
          <w:rFonts w:ascii="Arial" w:eastAsia="Times New Roman"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нформац</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безпека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охоплю</w:t>
      </w:r>
      <w:r w:rsidRPr="00511005">
        <w:rPr>
          <w:rFonts w:ascii="Arial" w:eastAsia="Times New Roman"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вс</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аспекти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захисту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включаючи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зичн</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нос</w:t>
      </w:r>
      <w:r w:rsidRPr="00511005">
        <w:rPr>
          <w:rFonts w:ascii="Arial" w:eastAsia="Times New Roman"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то</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бербезпека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зосереджена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виключно</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цифровому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середовищ</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зокрема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комп’ютерних</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мережах</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базах</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Times New Roman"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хмарних</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системах</w:t>
      </w:r>
      <w:r w:rsidRPr="00511005">
        <w:rPr>
          <w:rFonts w:ascii="Arial" w:eastAsia="Times New Roman" w:hAnsi="Arial" w:cs="Arial"/>
          <w:kern w:val="2"/>
          <w:szCs w:val="28"/>
          <w:lang w:val="uk-UA"/>
          <w14:ligatures w14:val="standardContextual"/>
        </w:rPr>
        <w:t xml:space="preserve">. Її </w:t>
      </w:r>
      <w:r w:rsidRPr="00511005">
        <w:rPr>
          <w:rFonts w:ascii="Arial" w:eastAsia="Malgun Gothic" w:hAnsi="Arial" w:cs="Arial"/>
          <w:kern w:val="2"/>
          <w:szCs w:val="28"/>
          <w:lang w:val="uk-UA"/>
          <w14:ligatures w14:val="standardContextual"/>
        </w:rPr>
        <w:t>основними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завданнями</w:t>
      </w:r>
      <w:r w:rsidRPr="00511005">
        <w:rPr>
          <w:rFonts w:ascii="Arial" w:eastAsia="Times New Roman"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запоб</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гання</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w:t>
      </w:r>
      <w:r w:rsidRPr="00511005">
        <w:rPr>
          <w:rFonts w:ascii="Arial" w:eastAsia="Times New Roman" w:hAnsi="Arial" w:cs="Arial"/>
          <w:kern w:val="2"/>
          <w:szCs w:val="28"/>
          <w:lang w:val="uk-UA"/>
          <w14:ligatures w14:val="standardContextual"/>
        </w:rPr>
        <w:t>есанкці</w:t>
      </w:r>
      <w:r w:rsidRPr="00511005">
        <w:rPr>
          <w:rFonts w:ascii="Arial" w:eastAsia="Malgun Gothic" w:hAnsi="Arial" w:cs="Arial"/>
          <w:kern w:val="2"/>
          <w:szCs w:val="28"/>
          <w:lang w:val="uk-UA"/>
          <w14:ligatures w14:val="standardContextual"/>
        </w:rPr>
        <w:t>онованому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доступу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бератакам</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витоку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конф</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денц</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Times New Roman" w:hAnsi="Arial" w:cs="Arial"/>
          <w:kern w:val="2"/>
          <w:szCs w:val="28"/>
          <w:lang w:val="uk-UA"/>
          <w14:ligatures w14:val="standardContextual"/>
        </w:rPr>
        <w:t xml:space="preserve">ї </w:t>
      </w:r>
      <w:r w:rsidRPr="00511005">
        <w:rPr>
          <w:rFonts w:ascii="Arial" w:eastAsia="Times New Roman" w:hAnsi="Arial" w:cs="Arial"/>
          <w:kern w:val="2"/>
          <w:szCs w:val="28"/>
          <w:lang w:val="uk-UA"/>
          <w14:ligatures w14:val="standardContextual"/>
        </w:rPr>
        <w:lastRenderedPageBreak/>
        <w:t>і</w:t>
      </w:r>
      <w:r w:rsidRPr="00511005">
        <w:rPr>
          <w:rFonts w:ascii="Arial" w:eastAsia="Malgun Gothic" w:hAnsi="Arial" w:cs="Arial"/>
          <w:kern w:val="2"/>
          <w:szCs w:val="28"/>
          <w:lang w:val="uk-UA"/>
          <w14:ligatures w14:val="standardContextual"/>
        </w:rPr>
        <w:t>нформац</w:t>
      </w:r>
      <w:r w:rsidRPr="00511005">
        <w:rPr>
          <w:rFonts w:ascii="Arial" w:eastAsia="Times New Roman"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яльност</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шк</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дливих</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програм</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можуть</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завдати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значно</w:t>
      </w:r>
      <w:r w:rsidRPr="00511005">
        <w:rPr>
          <w:rFonts w:ascii="Arial" w:eastAsia="Times New Roman"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шкоди</w:t>
      </w:r>
      <w:r w:rsidRPr="00511005">
        <w:rPr>
          <w:rFonts w:ascii="Arial" w:eastAsia="Times New Roman" w:hAnsi="Arial" w:cs="Arial"/>
          <w:kern w:val="2"/>
          <w:szCs w:val="28"/>
          <w:lang w:val="uk-UA"/>
          <w14:ligatures w14:val="standardContextual"/>
        </w:rPr>
        <w:t>.</w:t>
      </w:r>
    </w:p>
    <w:p w14:paraId="5BBE7460"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Кі</w:t>
      </w:r>
      <w:r w:rsidRPr="00511005">
        <w:rPr>
          <w:rFonts w:ascii="Arial" w:eastAsia="Malgun Gothic" w:hAnsi="Arial" w:cs="Arial"/>
          <w:kern w:val="2"/>
          <w:szCs w:val="28"/>
          <w:lang w:val="uk-UA"/>
          <w14:ligatures w14:val="standardContextual"/>
        </w:rPr>
        <w:t>бербезпека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процес</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захисту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базових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конф</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Calibri" w:hAnsi="Arial" w:cs="Arial"/>
          <w:kern w:val="2"/>
          <w:szCs w:val="28"/>
          <w:lang w:val="uk-UA"/>
          <w14:ligatures w14:val="standardContextual"/>
        </w:rPr>
        <w:t>ї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атак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Вона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також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дома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інформаці</w:t>
      </w:r>
      <w:r w:rsidRPr="00511005">
        <w:rPr>
          <w:rFonts w:ascii="Arial" w:eastAsia="Malgun Gothic" w:hAnsi="Arial" w:cs="Arial"/>
          <w:kern w:val="2"/>
          <w:szCs w:val="28"/>
          <w:lang w:val="uk-UA"/>
          <w14:ligatures w14:val="standardContextual"/>
        </w:rPr>
        <w:t>йна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безпека</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Т</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безпека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заходи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берзахисту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спрямован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боротьбу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загрозами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виникають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усередин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так</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за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межами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[1, c. 55]. </w:t>
      </w:r>
    </w:p>
    <w:p w14:paraId="34837CF7" w14:textId="77777777" w:rsidR="00AE57E7" w:rsidRPr="00511005" w:rsidRDefault="00AE57E7" w:rsidP="003A292D">
      <w:pPr>
        <w:spacing w:line="264" w:lineRule="auto"/>
        <w:rPr>
          <w:rFonts w:ascii="Arial" w:eastAsia="Times New Roman" w:hAnsi="Arial" w:cs="Arial"/>
          <w:kern w:val="2"/>
          <w:szCs w:val="28"/>
          <w:lang w:val="uk-UA"/>
          <w14:ligatures w14:val="standardContextual"/>
        </w:rPr>
      </w:pPr>
      <w:r w:rsidRPr="00511005">
        <w:rPr>
          <w:rFonts w:ascii="Arial" w:eastAsia="Times New Roman" w:hAnsi="Arial" w:cs="Arial"/>
          <w:kern w:val="2"/>
          <w:szCs w:val="28"/>
          <w:lang w:val="uk-UA"/>
          <w14:ligatures w14:val="standardContextual"/>
        </w:rPr>
        <w:t>Кі</w:t>
      </w:r>
      <w:r w:rsidRPr="00511005">
        <w:rPr>
          <w:rFonts w:ascii="Arial" w:eastAsia="Malgun Gothic" w:hAnsi="Arial" w:cs="Arial"/>
          <w:kern w:val="2"/>
          <w:szCs w:val="28"/>
          <w:lang w:val="uk-UA"/>
          <w14:ligatures w14:val="standardContextual"/>
        </w:rPr>
        <w:t>бербезпека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набува</w:t>
      </w:r>
      <w:r w:rsidRPr="00511005">
        <w:rPr>
          <w:rFonts w:ascii="Arial" w:eastAsia="Times New Roman"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особливо</w:t>
      </w:r>
      <w:r w:rsidRPr="00511005">
        <w:rPr>
          <w:rFonts w:ascii="Arial" w:eastAsia="Times New Roman"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ваги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Times New Roman"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сфер</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де</w:t>
      </w:r>
      <w:r w:rsidRPr="00511005">
        <w:rPr>
          <w:rFonts w:ascii="Arial" w:eastAsia="Times New Roman"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нформац</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Times New Roman"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стратег</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чним</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активом</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на</w:t>
      </w:r>
      <w:r w:rsidRPr="00511005">
        <w:rPr>
          <w:rFonts w:ascii="Arial" w:eastAsia="Times New Roman" w:hAnsi="Arial" w:cs="Arial"/>
          <w:kern w:val="2"/>
          <w:szCs w:val="28"/>
          <w:lang w:val="uk-UA"/>
          <w14:ligatures w14:val="standardContextual"/>
        </w:rPr>
        <w:t xml:space="preserve">нсові </w:t>
      </w:r>
      <w:r w:rsidRPr="00511005">
        <w:rPr>
          <w:rFonts w:ascii="Arial" w:eastAsia="Malgun Gothic" w:hAnsi="Arial" w:cs="Arial"/>
          <w:kern w:val="2"/>
          <w:szCs w:val="28"/>
          <w:lang w:val="uk-UA"/>
          <w14:ligatures w14:val="standardContextual"/>
        </w:rPr>
        <w:t>зв</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персональн</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дан</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кл</w:t>
      </w:r>
      <w:r w:rsidRPr="00511005">
        <w:rPr>
          <w:rFonts w:ascii="Arial" w:eastAsia="Times New Roman"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технолог</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розробки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Times New Roman"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нновац</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Times New Roman" w:hAnsi="Arial" w:cs="Arial"/>
          <w:kern w:val="2"/>
          <w:szCs w:val="28"/>
          <w:lang w:val="uk-UA"/>
          <w14:ligatures w14:val="standardContextual"/>
        </w:rPr>
        <w:t>і і</w:t>
      </w:r>
      <w:r w:rsidRPr="00511005">
        <w:rPr>
          <w:rFonts w:ascii="Arial" w:eastAsia="Malgun Gothic" w:hAnsi="Arial" w:cs="Arial"/>
          <w:kern w:val="2"/>
          <w:szCs w:val="28"/>
          <w:lang w:val="uk-UA"/>
          <w14:ligatures w14:val="standardContextual"/>
        </w:rPr>
        <w:t>де</w:t>
      </w:r>
      <w:r w:rsidRPr="00511005">
        <w:rPr>
          <w:rFonts w:ascii="Arial" w:eastAsia="Times New Roman"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мають</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високий</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вень</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конф</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денц</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йност</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й</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потребують</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над</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йного</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захисту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бератаки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можуть</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спричинити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значн</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ф</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нансов</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втрати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але</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завдати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шкоди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репутац</w:t>
      </w:r>
      <w:r w:rsidRPr="00511005">
        <w:rPr>
          <w:rFonts w:ascii="Arial" w:eastAsia="Times New Roman"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компан</w:t>
      </w:r>
      <w:r w:rsidRPr="00511005">
        <w:rPr>
          <w:rFonts w:ascii="Arial" w:eastAsia="Times New Roman"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що</w:t>
      </w:r>
      <w:r w:rsidRPr="00511005">
        <w:rPr>
          <w:rFonts w:ascii="Arial" w:eastAsia="Times New Roman" w:hAnsi="Arial" w:cs="Arial"/>
          <w:kern w:val="2"/>
          <w:szCs w:val="28"/>
          <w:lang w:val="uk-UA"/>
          <w14:ligatures w14:val="standardContextual"/>
        </w:rPr>
        <w:t xml:space="preserve"> в умовах глобальної </w:t>
      </w:r>
      <w:r w:rsidRPr="00511005">
        <w:rPr>
          <w:rFonts w:ascii="Arial" w:eastAsia="Malgun Gothic" w:hAnsi="Arial" w:cs="Arial"/>
          <w:kern w:val="2"/>
          <w:szCs w:val="28"/>
          <w:lang w:val="uk-UA"/>
          <w14:ligatures w14:val="standardContextual"/>
        </w:rPr>
        <w:t>конкуренц</w:t>
      </w:r>
      <w:r w:rsidRPr="00511005">
        <w:rPr>
          <w:rFonts w:ascii="Arial" w:eastAsia="Times New Roman"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може</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мати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критичн</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насл</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дки</w:t>
      </w:r>
      <w:r w:rsidRPr="00511005">
        <w:rPr>
          <w:rFonts w:ascii="Arial" w:eastAsia="Times New Roman" w:hAnsi="Arial" w:cs="Arial"/>
          <w:kern w:val="2"/>
          <w:szCs w:val="28"/>
          <w:lang w:val="uk-UA"/>
          <w14:ligatures w14:val="standardContextual"/>
        </w:rPr>
        <w:t>.</w:t>
      </w:r>
    </w:p>
    <w:p w14:paraId="335DCD66"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У сучасному цифровому середовищі і</w:t>
      </w:r>
      <w:r w:rsidRPr="00511005">
        <w:rPr>
          <w:rFonts w:ascii="Arial" w:eastAsia="Malgun Gothic" w:hAnsi="Arial" w:cs="Arial"/>
          <w:kern w:val="2"/>
          <w:szCs w:val="28"/>
          <w:lang w:val="uk-UA"/>
          <w14:ligatures w14:val="standardContextual"/>
        </w:rPr>
        <w:t>сну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чимало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загроз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Одними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найпоширен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ших</w:t>
      </w:r>
      <w:r w:rsidRPr="00511005">
        <w:rPr>
          <w:rFonts w:ascii="Arial" w:eastAsia="Calibri"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ф</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шинг</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альна</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нженер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DDoS-</w:t>
      </w:r>
      <w:r w:rsidRPr="00511005">
        <w:rPr>
          <w:rFonts w:ascii="Arial" w:eastAsia="Malgun Gothic" w:hAnsi="Arial" w:cs="Arial"/>
          <w:kern w:val="2"/>
          <w:szCs w:val="28"/>
          <w:lang w:val="uk-UA"/>
          <w14:ligatures w14:val="standardContextual"/>
        </w:rPr>
        <w:t>атаки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дливе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програмне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Кожна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несе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ризики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w:t>
      </w:r>
      <w:r w:rsidRPr="00511005">
        <w:rPr>
          <w:rFonts w:ascii="Arial" w:eastAsia="Calibri" w:hAnsi="Arial" w:cs="Arial"/>
          <w:kern w:val="2"/>
          <w:szCs w:val="28"/>
          <w:lang w:val="uk-UA"/>
          <w14:ligatures w14:val="standardContextual"/>
        </w:rPr>
        <w:t>го, але й правового та соці</w:t>
      </w:r>
      <w:r w:rsidRPr="00511005">
        <w:rPr>
          <w:rFonts w:ascii="Arial" w:eastAsia="Malgun Gothic" w:hAnsi="Arial" w:cs="Arial"/>
          <w:kern w:val="2"/>
          <w:szCs w:val="28"/>
          <w:lang w:val="uk-UA"/>
          <w14:ligatures w14:val="standardContextual"/>
        </w:rPr>
        <w:t>ального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характеру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Наприклад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призвести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санкц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боку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державних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регулятор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судових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позов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втрати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[2, c. 47].</w:t>
      </w:r>
    </w:p>
    <w:p w14:paraId="309D8857"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Ефективне управлі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бербезпекою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базу</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ком</w:t>
      </w:r>
      <w:r w:rsidRPr="00511005">
        <w:rPr>
          <w:rFonts w:ascii="Arial" w:eastAsia="Calibri" w:hAnsi="Arial" w:cs="Arial"/>
          <w:kern w:val="2"/>
          <w:szCs w:val="28"/>
          <w:lang w:val="uk-UA"/>
          <w14:ligatures w14:val="standardContextual"/>
        </w:rPr>
        <w:t>плексних пі</w:t>
      </w:r>
      <w:r w:rsidRPr="00511005">
        <w:rPr>
          <w:rFonts w:ascii="Arial" w:eastAsia="Malgun Gothic" w:hAnsi="Arial" w:cs="Arial"/>
          <w:kern w:val="2"/>
          <w:szCs w:val="28"/>
          <w:lang w:val="uk-UA"/>
          <w14:ligatures w14:val="standardContextual"/>
        </w:rPr>
        <w:t>дход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охоплюють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так</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аспекти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захисту</w:t>
      </w:r>
      <w:r w:rsidRPr="00511005">
        <w:rPr>
          <w:rFonts w:ascii="Arial" w:eastAsia="Calibri" w:hAnsi="Arial" w:cs="Arial"/>
          <w:kern w:val="2"/>
          <w:szCs w:val="28"/>
          <w:lang w:val="uk-UA"/>
          <w14:ligatures w14:val="standardContextual"/>
        </w:rPr>
        <w:t>.</w:t>
      </w:r>
    </w:p>
    <w:p w14:paraId="2684339F"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Одніє</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концепц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сфер</w:t>
      </w:r>
      <w:r w:rsidRPr="00511005">
        <w:rPr>
          <w:rFonts w:ascii="Arial" w:eastAsia="Calibri" w:hAnsi="Arial" w:cs="Arial"/>
          <w:kern w:val="2"/>
          <w:szCs w:val="28"/>
          <w:lang w:val="uk-UA"/>
          <w14:ligatures w14:val="standardContextual"/>
        </w:rPr>
        <w:t xml:space="preserve">і є </w:t>
      </w:r>
      <w:r w:rsidRPr="00511005">
        <w:rPr>
          <w:rFonts w:ascii="Arial" w:eastAsia="Malgun Gothic" w:hAnsi="Arial" w:cs="Arial"/>
          <w:kern w:val="2"/>
          <w:szCs w:val="28"/>
          <w:lang w:val="uk-UA"/>
          <w14:ligatures w14:val="standardContextual"/>
        </w:rPr>
        <w:t>ризик</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ор</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нтований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суть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поляга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виявленн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потенц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загроз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можуть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вплинути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проце</w:t>
      </w:r>
      <w:r w:rsidRPr="00511005">
        <w:rPr>
          <w:rFonts w:ascii="Arial" w:eastAsia="Calibri" w:hAnsi="Arial" w:cs="Arial"/>
          <w:kern w:val="2"/>
          <w:szCs w:val="28"/>
          <w:lang w:val="uk-UA"/>
          <w14:ligatures w14:val="standardContextual"/>
        </w:rPr>
        <w:t>си, з подальшим формуванням стратегі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зниження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ризик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Пі</w:t>
      </w:r>
      <w:r w:rsidRPr="00511005">
        <w:rPr>
          <w:rFonts w:ascii="Arial" w:eastAsia="Malgun Gothic" w:hAnsi="Arial" w:cs="Arial"/>
          <w:kern w:val="2"/>
          <w:szCs w:val="28"/>
          <w:lang w:val="uk-UA"/>
          <w14:ligatures w14:val="standardContextual"/>
        </w:rPr>
        <w:t>дх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оптим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ресурси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зосереджуючи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увагу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найб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льш</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критичних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елементах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системи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Застосування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торингових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дстежують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вразливост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опера</w:t>
      </w:r>
      <w:r w:rsidRPr="00511005">
        <w:rPr>
          <w:rFonts w:ascii="Arial" w:eastAsia="Calibri" w:hAnsi="Arial" w:cs="Arial"/>
          <w:kern w:val="2"/>
          <w:szCs w:val="28"/>
          <w:lang w:val="uk-UA"/>
          <w14:ligatures w14:val="standardContextual"/>
        </w:rPr>
        <w:t xml:space="preserve">тивно реагувати на нові </w:t>
      </w:r>
      <w:r w:rsidRPr="00511005">
        <w:rPr>
          <w:rFonts w:ascii="Arial" w:eastAsia="Malgun Gothic" w:hAnsi="Arial" w:cs="Arial"/>
          <w:kern w:val="2"/>
          <w:szCs w:val="28"/>
          <w:lang w:val="uk-UA"/>
          <w14:ligatures w14:val="standardContextual"/>
        </w:rPr>
        <w:t>загрози</w:t>
      </w:r>
      <w:r w:rsidRPr="00511005">
        <w:rPr>
          <w:rFonts w:ascii="Arial" w:eastAsia="Calibri" w:hAnsi="Arial" w:cs="Arial"/>
          <w:kern w:val="2"/>
          <w:szCs w:val="28"/>
          <w:lang w:val="uk-UA"/>
          <w14:ligatures w14:val="standardContextual"/>
        </w:rPr>
        <w:t>.</w:t>
      </w:r>
    </w:p>
    <w:p w14:paraId="38BD0F36"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Важливою складовою системи кі</w:t>
      </w:r>
      <w:r w:rsidRPr="00511005">
        <w:rPr>
          <w:rFonts w:ascii="Arial" w:eastAsia="Malgun Gothic" w:hAnsi="Arial" w:cs="Arial"/>
          <w:kern w:val="2"/>
          <w:szCs w:val="28"/>
          <w:lang w:val="uk-UA"/>
          <w14:ligatures w14:val="standardContextual"/>
        </w:rPr>
        <w:t>берзахисту</w:t>
      </w:r>
      <w:r w:rsidRPr="00511005">
        <w:rPr>
          <w:rFonts w:ascii="Arial" w:eastAsia="Calibri"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багатор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внева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безпека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включа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базов</w:t>
      </w:r>
      <w:r w:rsidRPr="00511005">
        <w:rPr>
          <w:rFonts w:ascii="Arial" w:eastAsia="Calibri" w:hAnsi="Arial" w:cs="Arial"/>
          <w:kern w:val="2"/>
          <w:szCs w:val="28"/>
          <w:lang w:val="uk-UA"/>
          <w14:ligatures w14:val="standardContextual"/>
        </w:rPr>
        <w:t>і і</w:t>
      </w:r>
      <w:r w:rsidRPr="00511005">
        <w:rPr>
          <w:rFonts w:ascii="Arial" w:eastAsia="Malgun Gothic" w:hAnsi="Arial" w:cs="Arial"/>
          <w:kern w:val="2"/>
          <w:szCs w:val="28"/>
          <w:lang w:val="uk-UA"/>
          <w14:ligatures w14:val="standardContextual"/>
        </w:rPr>
        <w:t>нструменти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антив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русне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програмне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жмережев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екрани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льш</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складн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шифрування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багатоф</w:t>
      </w:r>
      <w:r w:rsidRPr="00511005">
        <w:rPr>
          <w:rFonts w:ascii="Arial" w:eastAsia="Calibri" w:hAnsi="Arial" w:cs="Arial"/>
          <w:kern w:val="2"/>
          <w:szCs w:val="28"/>
          <w:lang w:val="uk-UA"/>
          <w14:ligatures w14:val="standardContextual"/>
        </w:rPr>
        <w:t>акторну автентифі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також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контроль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доступу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корпоративних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ресурс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структура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створити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захист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раз</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якщо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одна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ланок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буде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зламана</w:t>
      </w:r>
      <w:r w:rsidRPr="00511005">
        <w:rPr>
          <w:rFonts w:ascii="Arial" w:eastAsia="Calibri" w:hAnsi="Arial" w:cs="Arial"/>
          <w:kern w:val="2"/>
          <w:szCs w:val="28"/>
          <w:lang w:val="uk-UA"/>
          <w14:ligatures w14:val="standardContextual"/>
        </w:rPr>
        <w:t xml:space="preserve"> [3, c. 499].</w:t>
      </w:r>
    </w:p>
    <w:p w14:paraId="47FD6A27"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Нормативно-регламентні </w:t>
      </w:r>
      <w:r w:rsidRPr="00511005">
        <w:rPr>
          <w:rFonts w:ascii="Arial" w:eastAsia="Malgun Gothic" w:hAnsi="Arial" w:cs="Arial"/>
          <w:kern w:val="2"/>
          <w:szCs w:val="28"/>
          <w:lang w:val="uk-UA"/>
          <w14:ligatures w14:val="standardContextual"/>
        </w:rPr>
        <w:t>документи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сфер</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бербезпеки</w:t>
      </w:r>
      <w:r w:rsidRPr="00511005">
        <w:rPr>
          <w:rFonts w:ascii="Arial" w:eastAsia="Calibri" w:hAnsi="Arial" w:cs="Arial"/>
          <w:kern w:val="2"/>
          <w:szCs w:val="28"/>
          <w:lang w:val="uk-UA"/>
          <w14:ligatures w14:val="standardContextual"/>
        </w:rPr>
        <w:t xml:space="preserve"> та внутрі</w:t>
      </w:r>
      <w:r w:rsidRPr="00511005">
        <w:rPr>
          <w:rFonts w:ascii="Arial" w:eastAsia="Malgun Gothic" w:hAnsi="Arial" w:cs="Arial"/>
          <w:kern w:val="2"/>
          <w:szCs w:val="28"/>
          <w:lang w:val="uk-UA"/>
          <w14:ligatures w14:val="standardContextual"/>
        </w:rPr>
        <w:t>шн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регламенти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грають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менш</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важливу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роль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Вони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правила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використання</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нфраструктури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визначають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протоколи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обробки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конф</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Calibri" w:hAnsi="Arial" w:cs="Arial"/>
          <w:kern w:val="2"/>
          <w:szCs w:val="28"/>
          <w:lang w:val="uk-UA"/>
          <w14:ligatures w14:val="standardContextual"/>
        </w:rPr>
        <w:t>ї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описують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порядок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раз</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нцидент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Завдяки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документам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 xml:space="preserve">оже ефективно координувати дії </w:t>
      </w:r>
      <w:r w:rsidRPr="00511005">
        <w:rPr>
          <w:rFonts w:ascii="Arial" w:eastAsia="Malgun Gothic" w:hAnsi="Arial" w:cs="Arial"/>
          <w:kern w:val="2"/>
          <w:szCs w:val="28"/>
          <w:lang w:val="uk-UA"/>
          <w14:ligatures w14:val="standardContextual"/>
        </w:rPr>
        <w:t>персоналу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дотримання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вимог</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законодавства</w:t>
      </w:r>
      <w:r w:rsidRPr="00511005">
        <w:rPr>
          <w:rFonts w:ascii="Arial" w:eastAsia="Calibri" w:hAnsi="Arial" w:cs="Arial"/>
          <w:kern w:val="2"/>
          <w:szCs w:val="28"/>
          <w:lang w:val="uk-UA"/>
          <w14:ligatures w14:val="standardContextual"/>
        </w:rPr>
        <w:t>.</w:t>
      </w:r>
    </w:p>
    <w:p w14:paraId="5FDE2458"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lastRenderedPageBreak/>
        <w:t xml:space="preserve">Не можна залишати поза увагою і </w:t>
      </w:r>
      <w:r w:rsidRPr="00511005">
        <w:rPr>
          <w:rFonts w:ascii="Arial" w:eastAsia="Malgun Gothic" w:hAnsi="Arial" w:cs="Arial"/>
          <w:kern w:val="2"/>
          <w:szCs w:val="28"/>
          <w:lang w:val="uk-UA"/>
          <w14:ligatures w14:val="standardContextual"/>
        </w:rPr>
        <w:t>людський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фактор</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одну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найуразлив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ланок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берзахисту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Саме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навчання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вроб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двищення</w:t>
      </w:r>
      <w:r w:rsidRPr="00511005">
        <w:rPr>
          <w:rFonts w:ascii="Arial" w:eastAsia="Calibri" w:hAnsi="Arial" w:cs="Arial"/>
          <w:kern w:val="2"/>
          <w:szCs w:val="28"/>
          <w:lang w:val="uk-UA"/>
          <w14:ligatures w14:val="standardContextual"/>
        </w:rPr>
        <w:t xml:space="preserve"> ї</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знаност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щодо</w:t>
      </w:r>
      <w:r w:rsidRPr="00511005">
        <w:rPr>
          <w:rFonts w:ascii="Arial" w:eastAsia="Calibri" w:hAnsi="Arial" w:cs="Arial"/>
          <w:kern w:val="2"/>
          <w:szCs w:val="28"/>
          <w:lang w:val="uk-UA"/>
          <w14:ligatures w14:val="standardContextual"/>
        </w:rPr>
        <w:t xml:space="preserve"> сучасних кі</w:t>
      </w:r>
      <w:r w:rsidRPr="00511005">
        <w:rPr>
          <w:rFonts w:ascii="Arial" w:eastAsia="Malgun Gothic" w:hAnsi="Arial" w:cs="Arial"/>
          <w:kern w:val="2"/>
          <w:szCs w:val="28"/>
          <w:lang w:val="uk-UA"/>
          <w14:ligatures w14:val="standardContextual"/>
        </w:rPr>
        <w:t>берзагроз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регулярною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практикою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знавання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шингових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атак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безпечне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користування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паролями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реагування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дозр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базов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знання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мати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кожен</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незалежно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сво</w:t>
      </w:r>
      <w:r w:rsidRPr="00511005">
        <w:rPr>
          <w:rFonts w:ascii="Arial" w:eastAsia="Calibri" w:hAnsi="Arial" w:cs="Arial"/>
          <w:kern w:val="2"/>
          <w:szCs w:val="28"/>
          <w:lang w:val="uk-UA"/>
          <w14:ligatures w14:val="standardContextual"/>
        </w:rPr>
        <w:t xml:space="preserve">єї </w:t>
      </w:r>
      <w:r w:rsidRPr="00511005">
        <w:rPr>
          <w:rFonts w:ascii="Arial" w:eastAsia="Malgun Gothic" w:hAnsi="Arial" w:cs="Arial"/>
          <w:kern w:val="2"/>
          <w:szCs w:val="28"/>
          <w:lang w:val="uk-UA"/>
          <w14:ligatures w14:val="standardContextual"/>
        </w:rPr>
        <w:t>рол</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ії.</w:t>
      </w:r>
    </w:p>
    <w:p w14:paraId="68253D6D" w14:textId="6417D91E"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Ще одним важливим елементом системи кі</w:t>
      </w:r>
      <w:r w:rsidRPr="00511005">
        <w:rPr>
          <w:rFonts w:ascii="Arial" w:eastAsia="Malgun Gothic" w:hAnsi="Arial" w:cs="Arial"/>
          <w:kern w:val="2"/>
          <w:szCs w:val="28"/>
          <w:lang w:val="uk-UA"/>
          <w14:ligatures w14:val="standardContextual"/>
        </w:rPr>
        <w:t>бербезпеки</w:t>
      </w:r>
      <w:r w:rsidRPr="00511005">
        <w:rPr>
          <w:rFonts w:ascii="Arial" w:eastAsia="Calibri"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оперативне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реагування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нциденти</w:t>
      </w:r>
      <w:r w:rsidRPr="00511005">
        <w:rPr>
          <w:rFonts w:ascii="Arial" w:eastAsia="Calibri" w:hAnsi="Arial" w:cs="Arial"/>
          <w:kern w:val="2"/>
          <w:szCs w:val="28"/>
          <w:lang w:val="uk-UA"/>
          <w14:ligatures w14:val="standardContextual"/>
        </w:rPr>
        <w:t>,</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 xml:space="preserve">не лише виявлення загроз у режимі </w:t>
      </w:r>
      <w:r w:rsidRPr="00511005">
        <w:rPr>
          <w:rFonts w:ascii="Arial" w:eastAsia="Malgun Gothic" w:hAnsi="Arial" w:cs="Arial"/>
          <w:kern w:val="2"/>
          <w:szCs w:val="28"/>
          <w:lang w:val="uk-UA"/>
          <w14:ligatures w14:val="standardContextual"/>
        </w:rPr>
        <w:t>реального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часу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але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швидке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реагування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локал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атаки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насл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дновлення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роботи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лкування</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кавленими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сторонами</w:t>
      </w:r>
      <w:r w:rsidRPr="00511005">
        <w:rPr>
          <w:rFonts w:ascii="Arial" w:eastAsia="Calibri" w:hAnsi="Arial" w:cs="Arial"/>
          <w:kern w:val="2"/>
          <w:szCs w:val="28"/>
          <w:lang w:val="uk-UA"/>
          <w14:ligatures w14:val="standardContextual"/>
        </w:rPr>
        <w:t>. Успі</w:t>
      </w:r>
      <w:r w:rsidRPr="00511005">
        <w:rPr>
          <w:rFonts w:ascii="Arial" w:eastAsia="Malgun Gothic" w:hAnsi="Arial" w:cs="Arial"/>
          <w:kern w:val="2"/>
          <w:szCs w:val="28"/>
          <w:lang w:val="uk-UA"/>
          <w14:ligatures w14:val="standardContextual"/>
        </w:rPr>
        <w:t>шне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реагування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можливе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наявност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ч</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тко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розроблених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план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надзвичайних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ситуац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ях</w:t>
      </w:r>
      <w:r w:rsidRPr="00511005">
        <w:rPr>
          <w:rFonts w:ascii="Arial" w:eastAsia="Calibri" w:hAnsi="Arial" w:cs="Arial"/>
          <w:kern w:val="2"/>
          <w:szCs w:val="28"/>
          <w:lang w:val="uk-UA"/>
          <w14:ligatures w14:val="standardContextual"/>
        </w:rPr>
        <w:t>.</w:t>
      </w:r>
    </w:p>
    <w:p w14:paraId="77B2694B"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Крі</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дотримання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жнародних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стандарт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ISO/IEC 27001, GDPR </w:t>
      </w:r>
      <w:r w:rsidRPr="00511005">
        <w:rPr>
          <w:rFonts w:ascii="Arial" w:eastAsia="Malgun Gothic" w:hAnsi="Arial" w:cs="Arial"/>
          <w:kern w:val="2"/>
          <w:szCs w:val="28"/>
          <w:lang w:val="uk-UA"/>
          <w14:ligatures w14:val="standardContextual"/>
        </w:rPr>
        <w:t>чи</w:t>
      </w:r>
      <w:r w:rsidRPr="00511005">
        <w:rPr>
          <w:rFonts w:ascii="Arial" w:eastAsia="Calibri" w:hAnsi="Arial" w:cs="Arial"/>
          <w:kern w:val="2"/>
          <w:szCs w:val="28"/>
          <w:lang w:val="uk-UA"/>
          <w14:ligatures w14:val="standardContextual"/>
        </w:rPr>
        <w:t xml:space="preserve"> NIST,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берзахисту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цнити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партнер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Стандарти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надають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версальну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методолог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побудови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безпеки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забезпечуючи</w:t>
      </w:r>
      <w:r w:rsidRPr="00511005">
        <w:rPr>
          <w:rFonts w:ascii="Arial" w:eastAsia="Calibri" w:hAnsi="Arial" w:cs="Arial"/>
          <w:kern w:val="2"/>
          <w:szCs w:val="28"/>
          <w:lang w:val="uk-UA"/>
          <w14:ligatures w14:val="standardContextual"/>
        </w:rPr>
        <w:t xml:space="preserve"> її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найкращим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товим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практикам</w:t>
      </w:r>
      <w:r w:rsidRPr="00511005">
        <w:rPr>
          <w:rFonts w:ascii="Arial" w:eastAsia="Calibri" w:hAnsi="Arial" w:cs="Arial"/>
          <w:kern w:val="2"/>
          <w:szCs w:val="28"/>
          <w:lang w:val="uk-UA"/>
          <w14:ligatures w14:val="standardContextual"/>
        </w:rPr>
        <w:t xml:space="preserve"> [4, c. 120].</w:t>
      </w:r>
    </w:p>
    <w:p w14:paraId="127E5544" w14:textId="77777777" w:rsidR="00AE57E7" w:rsidRPr="00511005" w:rsidRDefault="00AE57E7" w:rsidP="003A292D">
      <w:pPr>
        <w:spacing w:line="264" w:lineRule="auto"/>
        <w:jc w:val="left"/>
        <w:rPr>
          <w:rFonts w:ascii="Arial" w:eastAsia="Times New Roman" w:hAnsi="Arial" w:cs="Arial"/>
          <w:kern w:val="2"/>
          <w:szCs w:val="28"/>
          <w:lang w:val="uk-UA"/>
          <w14:ligatures w14:val="standardContextual"/>
        </w:rPr>
      </w:pPr>
      <w:r w:rsidRPr="00511005">
        <w:rPr>
          <w:rFonts w:ascii="Arial" w:eastAsia="Times New Roman" w:hAnsi="Arial" w:cs="Arial"/>
          <w:kern w:val="2"/>
          <w:szCs w:val="28"/>
          <w:lang w:val="uk-UA"/>
          <w14:ligatures w14:val="standardContextual"/>
        </w:rPr>
        <w:t xml:space="preserve">У контексті </w:t>
      </w:r>
      <w:r w:rsidRPr="00511005">
        <w:rPr>
          <w:rFonts w:ascii="Arial" w:eastAsia="Malgun Gothic" w:hAnsi="Arial" w:cs="Arial"/>
          <w:kern w:val="2"/>
          <w:szCs w:val="28"/>
          <w:lang w:val="uk-UA"/>
          <w14:ligatures w14:val="standardContextual"/>
        </w:rPr>
        <w:t>вдосконалення</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бербезпеки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доц</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льно</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запропонувати</w:t>
      </w:r>
      <w:r w:rsidRPr="00511005">
        <w:rPr>
          <w:rFonts w:ascii="Arial" w:eastAsia="Calibri" w:hAnsi="Arial" w:cs="Arial"/>
          <w:kern w:val="2"/>
          <w:szCs w:val="28"/>
          <w:lang w:val="uk-UA"/>
          <w14:ligatures w14:val="standardContextual"/>
        </w:rPr>
        <w:t>:</w:t>
      </w:r>
    </w:p>
    <w:p w14:paraId="1399BE4A"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впровадження адаптивних систем кі</w:t>
      </w:r>
      <w:r w:rsidRPr="00511005">
        <w:rPr>
          <w:rFonts w:ascii="Arial" w:eastAsia="Malgun Gothic" w:hAnsi="Arial" w:cs="Arial"/>
          <w:kern w:val="2"/>
          <w:szCs w:val="28"/>
          <w:lang w:val="uk-UA"/>
          <w14:ligatures w14:val="standardContextual"/>
        </w:rPr>
        <w:t>берзахисту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основ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штучного</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нтелекту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здатних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самонавчання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автоматично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актуал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захисних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алгоритм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залежно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типу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загроз</w:t>
      </w:r>
      <w:r w:rsidRPr="00511005">
        <w:rPr>
          <w:rFonts w:ascii="Arial" w:eastAsia="Calibri" w:hAnsi="Arial" w:cs="Arial"/>
          <w:kern w:val="2"/>
          <w:szCs w:val="28"/>
          <w:lang w:val="uk-UA"/>
          <w14:ligatures w14:val="standardContextual"/>
        </w:rPr>
        <w:t>;</w:t>
      </w:r>
    </w:p>
    <w:p w14:paraId="0C25D349"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створення внутрі</w:t>
      </w:r>
      <w:r w:rsidRPr="00511005">
        <w:rPr>
          <w:rFonts w:ascii="Arial" w:eastAsia="Malgun Gothic" w:hAnsi="Arial" w:cs="Arial"/>
          <w:kern w:val="2"/>
          <w:szCs w:val="28"/>
          <w:lang w:val="uk-UA"/>
          <w14:ligatures w14:val="standardContextual"/>
        </w:rPr>
        <w:t>шн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центр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торингу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безпеки</w:t>
      </w:r>
      <w:r w:rsidRPr="00511005">
        <w:rPr>
          <w:rFonts w:ascii="Arial" w:eastAsia="Calibri" w:hAnsi="Arial" w:cs="Arial"/>
          <w:kern w:val="2"/>
          <w:szCs w:val="28"/>
          <w:lang w:val="uk-UA"/>
          <w14:ligatures w14:val="standardContextual"/>
        </w:rPr>
        <w:t xml:space="preserve"> (SOC) </w:t>
      </w:r>
      <w:r w:rsidRPr="00511005">
        <w:rPr>
          <w:rFonts w:ascii="Arial" w:eastAsia="Malgun Gothic" w:hAnsi="Arial" w:cs="Arial"/>
          <w:kern w:val="2"/>
          <w:szCs w:val="28"/>
          <w:lang w:val="uk-UA"/>
          <w14:ligatures w14:val="standardContextual"/>
        </w:rPr>
        <w:t>нав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w:t>
      </w:r>
      <w:r w:rsidRPr="00511005">
        <w:rPr>
          <w:rFonts w:ascii="Arial" w:eastAsia="Calibri" w:hAnsi="Arial" w:cs="Arial"/>
          <w:kern w:val="2"/>
          <w:szCs w:val="28"/>
          <w:lang w:val="uk-UA"/>
          <w14:ligatures w14:val="standardContextual"/>
        </w:rPr>
        <w:t>иє</w:t>
      </w:r>
      <w:r w:rsidRPr="00511005">
        <w:rPr>
          <w:rFonts w:ascii="Arial" w:eastAsia="Malgun Gothic" w:hAnsi="Arial" w:cs="Arial"/>
          <w:kern w:val="2"/>
          <w:szCs w:val="28"/>
          <w:lang w:val="uk-UA"/>
          <w14:ligatures w14:val="standardContextual"/>
        </w:rPr>
        <w:t>мств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метою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лодобового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дстеження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нцидент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w:t>
      </w:r>
    </w:p>
    <w:p w14:paraId="2227460D"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розробку корпоративних програм сертифі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вроб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сфер</w:t>
      </w:r>
      <w:r w:rsidRPr="00511005">
        <w:rPr>
          <w:rFonts w:ascii="Arial" w:eastAsia="Calibri" w:hAnsi="Arial" w:cs="Arial"/>
          <w:kern w:val="2"/>
          <w:szCs w:val="28"/>
          <w:lang w:val="uk-UA"/>
          <w14:ligatures w14:val="standardContextual"/>
        </w:rPr>
        <w:t>і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безпеки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дозволить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знаност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компетентност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персоналу</w:t>
      </w:r>
      <w:r w:rsidRPr="00511005">
        <w:rPr>
          <w:rFonts w:ascii="Arial" w:eastAsia="Calibri" w:hAnsi="Arial" w:cs="Arial"/>
          <w:kern w:val="2"/>
          <w:szCs w:val="28"/>
          <w:lang w:val="uk-UA"/>
          <w14:ligatures w14:val="standardContextual"/>
        </w:rPr>
        <w:t>;</w:t>
      </w:r>
    </w:p>
    <w:p w14:paraId="57B732D8"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і</w:t>
      </w:r>
      <w:r w:rsidRPr="00511005">
        <w:rPr>
          <w:rFonts w:ascii="Arial" w:eastAsia="Malgun Gothic" w:hAnsi="Arial" w:cs="Arial"/>
          <w:kern w:val="2"/>
          <w:szCs w:val="28"/>
          <w:lang w:val="uk-UA"/>
          <w14:ligatures w14:val="standardContextual"/>
        </w:rPr>
        <w:t>нтеграц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нструмент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повед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нкових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патерн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користувач</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внутр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системи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безпеки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раннього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виявлення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аномал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w:t>
      </w:r>
    </w:p>
    <w:p w14:paraId="2A26654E"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розширення спі</w:t>
      </w:r>
      <w:r w:rsidRPr="00511005">
        <w:rPr>
          <w:rFonts w:ascii="Arial" w:eastAsia="Malgun Gothic" w:hAnsi="Arial" w:cs="Arial"/>
          <w:kern w:val="2"/>
          <w:szCs w:val="28"/>
          <w:lang w:val="uk-UA"/>
          <w14:ligatures w14:val="standardContextual"/>
        </w:rPr>
        <w:t>впрац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державою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осв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установами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метою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створення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загальнонац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ональних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хаб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йкост</w:t>
      </w:r>
      <w:r w:rsidRPr="00511005">
        <w:rPr>
          <w:rFonts w:ascii="Arial" w:eastAsia="Calibri" w:hAnsi="Arial" w:cs="Arial"/>
          <w:kern w:val="2"/>
          <w:szCs w:val="28"/>
          <w:lang w:val="uk-UA"/>
          <w14:ligatures w14:val="standardContextual"/>
        </w:rPr>
        <w:t>і [5, c. 284].</w:t>
      </w:r>
    </w:p>
    <w:p w14:paraId="1E093D33"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Успі</w:t>
      </w:r>
      <w:r w:rsidRPr="00511005">
        <w:rPr>
          <w:rFonts w:ascii="Arial" w:eastAsia="Malgun Gothic" w:hAnsi="Arial" w:cs="Arial"/>
          <w:kern w:val="2"/>
          <w:szCs w:val="28"/>
          <w:lang w:val="uk-UA"/>
          <w14:ligatures w14:val="standardContextual"/>
        </w:rPr>
        <w:t>шне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функц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онування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будь</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яко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установи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залежить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здатност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сво</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часно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виявляти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запоб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гати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нейтрал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берзагрози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Сучасн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методи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берзахисту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охоплюють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широкий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спектр</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заход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включаючи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антив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русне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програмне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абезпечення, брандмауери, системи виявлення і </w:t>
      </w:r>
      <w:r w:rsidRPr="00511005">
        <w:rPr>
          <w:rFonts w:ascii="Arial" w:eastAsia="Malgun Gothic" w:hAnsi="Arial" w:cs="Arial"/>
          <w:kern w:val="2"/>
          <w:szCs w:val="28"/>
          <w:lang w:val="uk-UA"/>
          <w14:ligatures w14:val="standardContextual"/>
        </w:rPr>
        <w:t>запоб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гання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вторгнень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шифрування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резервне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також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навчання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багатор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внево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системи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безпеки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значно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знизити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ризики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втрати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конф</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Calibri" w:hAnsi="Arial" w:cs="Arial"/>
          <w:kern w:val="2"/>
          <w:szCs w:val="28"/>
          <w:lang w:val="uk-UA"/>
          <w14:ligatures w14:val="standardContextual"/>
        </w:rPr>
        <w:t>ї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фі</w:t>
      </w:r>
      <w:r w:rsidRPr="00511005">
        <w:rPr>
          <w:rFonts w:ascii="Arial" w:eastAsia="Malgun Gothic" w:hAnsi="Arial" w:cs="Arial"/>
          <w:kern w:val="2"/>
          <w:szCs w:val="28"/>
          <w:lang w:val="uk-UA"/>
          <w14:ligatures w14:val="standardContextual"/>
        </w:rPr>
        <w:t>нансових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збитк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p>
    <w:p w14:paraId="637D9B87"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Отже, кі</w:t>
      </w:r>
      <w:r w:rsidRPr="00511005">
        <w:rPr>
          <w:rFonts w:ascii="Arial" w:eastAsia="Malgun Gothic" w:hAnsi="Arial" w:cs="Arial"/>
          <w:kern w:val="2"/>
          <w:szCs w:val="28"/>
          <w:lang w:val="uk-UA"/>
          <w14:ligatures w14:val="standardContextual"/>
        </w:rPr>
        <w:t>бербезпека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ХХ</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стол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стала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мною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складовою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безпечного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функц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онування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Вона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охоплю</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lastRenderedPageBreak/>
        <w:t>техн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ризиками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жнародним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стандарт</w:t>
      </w:r>
      <w:r w:rsidRPr="00511005">
        <w:rPr>
          <w:rFonts w:ascii="Arial" w:eastAsia="Calibri" w:hAnsi="Arial" w:cs="Arial"/>
          <w:kern w:val="2"/>
          <w:szCs w:val="28"/>
          <w:lang w:val="uk-UA"/>
          <w14:ligatures w14:val="standardContextual"/>
        </w:rPr>
        <w:t>ам та пі</w:t>
      </w:r>
      <w:r w:rsidRPr="00511005">
        <w:rPr>
          <w:rFonts w:ascii="Arial" w:eastAsia="Malgun Gothic" w:hAnsi="Arial" w:cs="Arial"/>
          <w:kern w:val="2"/>
          <w:szCs w:val="28"/>
          <w:lang w:val="uk-UA"/>
          <w14:ligatures w14:val="standardContextual"/>
        </w:rPr>
        <w:t>двищення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знаност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персоналу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комплексно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системи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захисту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мствам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сво</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часно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реагувати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загрози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ризики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середовищ</w:t>
      </w:r>
      <w:r w:rsidRPr="00511005">
        <w:rPr>
          <w:rFonts w:ascii="Arial" w:eastAsia="Calibri" w:hAnsi="Arial" w:cs="Arial"/>
          <w:kern w:val="2"/>
          <w:szCs w:val="28"/>
          <w:lang w:val="uk-UA"/>
          <w14:ligatures w14:val="standardContextual"/>
        </w:rPr>
        <w:t>і.</w:t>
      </w:r>
    </w:p>
    <w:p w14:paraId="64C46740" w14:textId="77777777" w:rsidR="00AE57E7" w:rsidRPr="00511005" w:rsidRDefault="00AE57E7" w:rsidP="003A292D">
      <w:pPr>
        <w:spacing w:line="264" w:lineRule="auto"/>
        <w:jc w:val="left"/>
        <w:rPr>
          <w:rFonts w:ascii="Arial" w:eastAsia="Calibri" w:hAnsi="Arial" w:cs="Arial"/>
          <w:kern w:val="2"/>
          <w:szCs w:val="28"/>
          <w:lang w:val="uk-UA"/>
          <w14:ligatures w14:val="standardContextual"/>
        </w:rPr>
      </w:pPr>
    </w:p>
    <w:p w14:paraId="5DBA00F4" w14:textId="77E343D3" w:rsidR="00AE57E7" w:rsidRPr="00511005" w:rsidRDefault="007B2628" w:rsidP="007B2628">
      <w:pPr>
        <w:keepNext/>
        <w:widowControl w:val="0"/>
        <w:spacing w:line="264" w:lineRule="auto"/>
        <w:ind w:firstLine="0"/>
        <w:jc w:val="center"/>
        <w:rPr>
          <w:rFonts w:ascii="Arial" w:eastAsia="Times New Roman" w:hAnsi="Arial" w:cs="Arial"/>
          <w:b/>
          <w:iCs/>
          <w:kern w:val="2"/>
          <w:szCs w:val="28"/>
          <w:lang w:val="uk-UA" w:eastAsia="ru-RU"/>
          <w14:ligatures w14:val="standardContextual"/>
        </w:rPr>
      </w:pPr>
      <w:r w:rsidRPr="00511005">
        <w:rPr>
          <w:rFonts w:ascii="Arial" w:eastAsia="Times New Roman" w:hAnsi="Arial" w:cs="Arial"/>
          <w:b/>
          <w:iCs/>
          <w:kern w:val="2"/>
          <w:szCs w:val="28"/>
          <w:lang w:val="uk-UA" w:eastAsia="ru-RU"/>
          <w14:ligatures w14:val="standardContextual"/>
        </w:rPr>
        <w:t>Список використаних джерел</w:t>
      </w:r>
    </w:p>
    <w:p w14:paraId="43C37066" w14:textId="77777777" w:rsidR="00AE57E7" w:rsidRPr="00511005" w:rsidRDefault="00AE57E7" w:rsidP="003F6A5D">
      <w:pPr>
        <w:numPr>
          <w:ilvl w:val="0"/>
          <w:numId w:val="740"/>
        </w:numPr>
        <w:tabs>
          <w:tab w:val="left" w:pos="993"/>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Баранов О.А. Про тлумачення та визначення поняття «кі</w:t>
      </w:r>
      <w:r w:rsidRPr="00511005">
        <w:rPr>
          <w:rFonts w:ascii="Arial" w:eastAsia="Malgun Gothic" w:hAnsi="Arial" w:cs="Arial"/>
          <w:kern w:val="2"/>
          <w:szCs w:val="28"/>
          <w:lang w:val="uk-UA"/>
          <w14:ligatures w14:val="standardContextual"/>
        </w:rPr>
        <w:t>бербезпека»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w:t>
      </w:r>
      <w:r w:rsidRPr="00511005">
        <w:rPr>
          <w:rFonts w:ascii="Arial" w:eastAsia="Calibri" w:hAnsi="Arial" w:cs="Arial"/>
          <w:kern w:val="2"/>
          <w:szCs w:val="28"/>
          <w:lang w:val="uk-UA"/>
          <w14:ligatures w14:val="standardContextual"/>
        </w:rPr>
        <w:t>авова і</w:t>
      </w:r>
      <w:r w:rsidRPr="00511005">
        <w:rPr>
          <w:rFonts w:ascii="Arial" w:eastAsia="Malgun Gothic" w:hAnsi="Arial" w:cs="Arial"/>
          <w:kern w:val="2"/>
          <w:szCs w:val="28"/>
          <w:lang w:val="uk-UA"/>
          <w14:ligatures w14:val="standardContextual"/>
        </w:rPr>
        <w:t>нформатика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w:t>
      </w:r>
      <w:r w:rsidRPr="00511005">
        <w:rPr>
          <w:rFonts w:ascii="Arial" w:eastAsia="Calibri" w:hAnsi="Arial" w:cs="Arial"/>
          <w:kern w:val="2"/>
          <w:szCs w:val="28"/>
          <w:lang w:val="uk-UA"/>
          <w14:ligatures w14:val="standardContextual"/>
        </w:rPr>
        <w:t xml:space="preserve"> 2(42). 2020. С. 54-62.</w:t>
      </w:r>
    </w:p>
    <w:p w14:paraId="3BBBD824" w14:textId="77777777" w:rsidR="00AE57E7" w:rsidRPr="00511005" w:rsidRDefault="00AE57E7" w:rsidP="003F6A5D">
      <w:pPr>
        <w:numPr>
          <w:ilvl w:val="0"/>
          <w:numId w:val="740"/>
        </w:numPr>
        <w:tabs>
          <w:tab w:val="left" w:pos="993"/>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Бі</w:t>
      </w:r>
      <w:r w:rsidRPr="00511005">
        <w:rPr>
          <w:rFonts w:ascii="Arial" w:eastAsia="Malgun Gothic" w:hAnsi="Arial" w:cs="Arial"/>
          <w:kern w:val="2"/>
          <w:szCs w:val="28"/>
          <w:lang w:val="uk-UA"/>
          <w14:ligatures w14:val="standardContextual"/>
        </w:rPr>
        <w:t>лявська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Шестак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бербезпека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г</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нова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ера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Calibri" w:hAnsi="Arial" w:cs="Arial"/>
          <w:i/>
          <w:iCs/>
          <w:kern w:val="2"/>
          <w:szCs w:val="28"/>
          <w:lang w:val="uk-UA"/>
          <w14:ligatures w14:val="standardContextual"/>
        </w:rPr>
        <w:t xml:space="preserve">Товари і </w:t>
      </w:r>
      <w:r w:rsidRPr="00511005">
        <w:rPr>
          <w:rFonts w:ascii="Arial" w:eastAsia="Malgun Gothic" w:hAnsi="Arial" w:cs="Arial"/>
          <w:i/>
          <w:iCs/>
          <w:kern w:val="2"/>
          <w:szCs w:val="28"/>
          <w:lang w:val="uk-UA"/>
          <w14:ligatures w14:val="standardContextual"/>
        </w:rPr>
        <w:t>ринки</w:t>
      </w:r>
      <w:r w:rsidRPr="00511005">
        <w:rPr>
          <w:rFonts w:ascii="Arial" w:eastAsia="Calibri" w:hAnsi="Arial" w:cs="Arial"/>
          <w:i/>
          <w:iCs/>
          <w:kern w:val="2"/>
          <w:szCs w:val="28"/>
          <w:lang w:val="uk-UA"/>
          <w14:ligatures w14:val="standardContextual"/>
        </w:rPr>
        <w:t>.</w:t>
      </w:r>
      <w:r w:rsidRPr="00511005">
        <w:rPr>
          <w:rFonts w:ascii="Arial" w:eastAsia="Calibri" w:hAnsi="Arial" w:cs="Arial"/>
          <w:kern w:val="2"/>
          <w:szCs w:val="28"/>
          <w:lang w:val="uk-UA"/>
          <w14:ligatures w14:val="standardContextual"/>
        </w:rPr>
        <w:t xml:space="preserve"> 2022. № 3. С. 47–59.</w:t>
      </w:r>
    </w:p>
    <w:p w14:paraId="305FA3D0" w14:textId="77777777" w:rsidR="00AE57E7" w:rsidRPr="00511005" w:rsidRDefault="00AE57E7" w:rsidP="003F6A5D">
      <w:pPr>
        <w:numPr>
          <w:ilvl w:val="0"/>
          <w:numId w:val="740"/>
        </w:numPr>
        <w:tabs>
          <w:tab w:val="left" w:pos="993"/>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Ві</w:t>
      </w:r>
      <w:r w:rsidRPr="00511005">
        <w:rPr>
          <w:rFonts w:ascii="Arial" w:eastAsia="Malgun Gothic" w:hAnsi="Arial" w:cs="Arial"/>
          <w:kern w:val="2"/>
          <w:szCs w:val="28"/>
          <w:lang w:val="uk-UA"/>
          <w14:ligatures w14:val="standardContextual"/>
        </w:rPr>
        <w:t>тер</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Витер</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тлишин</w:t>
      </w:r>
      <w:r w:rsidRPr="00511005">
        <w:rPr>
          <w:rFonts w:ascii="Arial" w:eastAsia="Calibri" w:hAnsi="Arial" w:cs="Arial"/>
          <w:kern w:val="2"/>
          <w:szCs w:val="28"/>
          <w:lang w:val="uk-UA"/>
          <w14:ligatures w14:val="standardContextual"/>
        </w:rPr>
        <w:t xml:space="preserve">, І. І., </w:t>
      </w:r>
      <w:r w:rsidRPr="00511005">
        <w:rPr>
          <w:rFonts w:ascii="Arial" w:eastAsia="Malgun Gothic" w:hAnsi="Arial" w:cs="Arial"/>
          <w:kern w:val="2"/>
          <w:szCs w:val="28"/>
          <w:lang w:val="uk-UA"/>
          <w14:ligatures w14:val="standardContextual"/>
        </w:rPr>
        <w:t>Светлишин</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Захист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ково</w:t>
      </w:r>
      <w:r w:rsidRPr="00511005">
        <w:rPr>
          <w:rFonts w:ascii="Arial" w:eastAsia="Calibri" w:hAnsi="Arial" w:cs="Arial"/>
          <w:kern w:val="2"/>
          <w:szCs w:val="28"/>
          <w:lang w:val="uk-UA"/>
          <w14:ligatures w14:val="standardContextual"/>
        </w:rPr>
        <w:t>ї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бербезпека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мства</w:t>
      </w:r>
      <w:r w:rsidRPr="00511005">
        <w:rPr>
          <w:rFonts w:ascii="Arial" w:eastAsia="Calibri" w:hAnsi="Arial" w:cs="Arial"/>
          <w:kern w:val="2"/>
          <w:szCs w:val="28"/>
          <w:lang w:val="uk-UA"/>
          <w14:ligatures w14:val="standardContextual"/>
        </w:rPr>
        <w:t xml:space="preserve">. </w:t>
      </w:r>
      <w:r w:rsidRPr="00511005">
        <w:rPr>
          <w:rFonts w:ascii="Arial" w:eastAsia="Calibri" w:hAnsi="Arial" w:cs="Arial"/>
          <w:i/>
          <w:iCs/>
          <w:kern w:val="2"/>
          <w:szCs w:val="28"/>
          <w:lang w:val="uk-UA"/>
          <w14:ligatures w14:val="standardContextual"/>
        </w:rPr>
        <w:t>Економі</w:t>
      </w:r>
      <w:r w:rsidRPr="00511005">
        <w:rPr>
          <w:rFonts w:ascii="Arial" w:eastAsia="Malgun Gothic" w:hAnsi="Arial" w:cs="Arial"/>
          <w:i/>
          <w:iCs/>
          <w:kern w:val="2"/>
          <w:szCs w:val="28"/>
          <w:lang w:val="uk-UA"/>
          <w14:ligatures w14:val="standardContextual"/>
        </w:rPr>
        <w:t>ка</w:t>
      </w:r>
      <w:r w:rsidRPr="00511005">
        <w:rPr>
          <w:rFonts w:ascii="Arial" w:eastAsia="Calibri" w:hAnsi="Arial" w:cs="Arial"/>
          <w:i/>
          <w:iCs/>
          <w:kern w:val="2"/>
          <w:szCs w:val="28"/>
          <w:lang w:val="uk-UA"/>
          <w14:ligatures w14:val="standardContextual"/>
        </w:rPr>
        <w:t xml:space="preserve"> і </w:t>
      </w:r>
      <w:r w:rsidRPr="00511005">
        <w:rPr>
          <w:rFonts w:ascii="Arial" w:eastAsia="Malgun Gothic" w:hAnsi="Arial" w:cs="Arial"/>
          <w:i/>
          <w:iCs/>
          <w:kern w:val="2"/>
          <w:szCs w:val="28"/>
          <w:lang w:val="uk-UA"/>
          <w14:ligatures w14:val="standardContextual"/>
        </w:rPr>
        <w:t>сусп</w:t>
      </w:r>
      <w:r w:rsidRPr="00511005">
        <w:rPr>
          <w:rFonts w:ascii="Arial" w:eastAsia="Calibri" w:hAnsi="Arial" w:cs="Arial"/>
          <w:i/>
          <w:iCs/>
          <w:kern w:val="2"/>
          <w:szCs w:val="28"/>
          <w:lang w:val="uk-UA"/>
          <w14:ligatures w14:val="standardContextual"/>
        </w:rPr>
        <w:t>і</w:t>
      </w:r>
      <w:r w:rsidRPr="00511005">
        <w:rPr>
          <w:rFonts w:ascii="Arial" w:eastAsia="Malgun Gothic" w:hAnsi="Arial" w:cs="Arial"/>
          <w:i/>
          <w:iCs/>
          <w:kern w:val="2"/>
          <w:szCs w:val="28"/>
          <w:lang w:val="uk-UA"/>
          <w14:ligatures w14:val="standardContextual"/>
        </w:rPr>
        <w:t>льство</w:t>
      </w:r>
      <w:r w:rsidRPr="00511005">
        <w:rPr>
          <w:rFonts w:ascii="Arial" w:eastAsia="Calibri" w:hAnsi="Arial" w:cs="Arial"/>
          <w:i/>
          <w:iCs/>
          <w:kern w:val="2"/>
          <w:szCs w:val="28"/>
          <w:lang w:val="uk-UA"/>
          <w14:ligatures w14:val="standardContextual"/>
        </w:rPr>
        <w:t>.</w:t>
      </w:r>
      <w:r w:rsidRPr="00511005">
        <w:rPr>
          <w:rFonts w:ascii="Arial" w:eastAsia="Calibri" w:hAnsi="Arial" w:cs="Arial"/>
          <w:kern w:val="2"/>
          <w:szCs w:val="28"/>
          <w:lang w:val="uk-UA"/>
          <w14:ligatures w14:val="standardContextual"/>
        </w:rPr>
        <w:t>2017. No 11. С.497</w:t>
      </w:r>
      <w:r w:rsidRPr="00511005">
        <w:rPr>
          <w:rFonts w:ascii="Cambria Math" w:eastAsia="Calibri" w:hAnsi="Cambria Math" w:cs="Cambria Math"/>
          <w:kern w:val="2"/>
          <w:szCs w:val="28"/>
          <w:lang w:val="uk-UA"/>
          <w14:ligatures w14:val="standardContextual"/>
        </w:rPr>
        <w:t>‐</w:t>
      </w:r>
      <w:r w:rsidRPr="00511005">
        <w:rPr>
          <w:rFonts w:ascii="Arial" w:eastAsia="Calibri" w:hAnsi="Arial" w:cs="Arial"/>
          <w:kern w:val="2"/>
          <w:szCs w:val="28"/>
          <w:lang w:val="uk-UA"/>
          <w14:ligatures w14:val="standardContextual"/>
        </w:rPr>
        <w:t>502.</w:t>
      </w:r>
    </w:p>
    <w:p w14:paraId="601C2805" w14:textId="77777777" w:rsidR="00AE57E7" w:rsidRPr="00511005" w:rsidRDefault="00AE57E7" w:rsidP="003F6A5D">
      <w:pPr>
        <w:numPr>
          <w:ilvl w:val="0"/>
          <w:numId w:val="740"/>
        </w:numPr>
        <w:tabs>
          <w:tab w:val="left" w:pos="993"/>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Гнатюк С. О. Кі</w:t>
      </w:r>
      <w:r w:rsidRPr="00511005">
        <w:rPr>
          <w:rFonts w:ascii="Arial" w:eastAsia="Malgun Gothic" w:hAnsi="Arial" w:cs="Arial"/>
          <w:kern w:val="2"/>
          <w:szCs w:val="28"/>
          <w:lang w:val="uk-UA"/>
          <w14:ligatures w14:val="standardContextual"/>
        </w:rPr>
        <w:t>бертероризм</w:t>
      </w:r>
      <w:r w:rsidRPr="00511005">
        <w:rPr>
          <w:rFonts w:ascii="Arial" w:eastAsia="Calibri" w:hAnsi="Arial" w:cs="Arial"/>
          <w:kern w:val="2"/>
          <w:szCs w:val="28"/>
          <w:lang w:val="uk-UA"/>
          <w14:ligatures w14:val="standardContextual"/>
        </w:rPr>
        <w:t>: і</w:t>
      </w:r>
      <w:r w:rsidRPr="00511005">
        <w:rPr>
          <w:rFonts w:ascii="Arial" w:eastAsia="Malgun Gothic" w:hAnsi="Arial" w:cs="Arial"/>
          <w:kern w:val="2"/>
          <w:szCs w:val="28"/>
          <w:lang w:val="uk-UA"/>
          <w14:ligatures w14:val="standardContextual"/>
        </w:rPr>
        <w:t>стор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розвитку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сучасн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тенденц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контрзаходи</w:t>
      </w:r>
      <w:r w:rsidRPr="00511005">
        <w:rPr>
          <w:rFonts w:ascii="Arial" w:eastAsia="Calibri" w:hAnsi="Arial" w:cs="Arial"/>
          <w:kern w:val="2"/>
          <w:szCs w:val="28"/>
          <w:lang w:val="uk-UA"/>
          <w14:ligatures w14:val="standardContextual"/>
        </w:rPr>
        <w:t xml:space="preserve">. </w:t>
      </w:r>
      <w:r w:rsidRPr="00511005">
        <w:rPr>
          <w:rFonts w:ascii="Arial" w:eastAsia="Calibri" w:hAnsi="Arial" w:cs="Arial"/>
          <w:i/>
          <w:iCs/>
          <w:kern w:val="2"/>
          <w:szCs w:val="28"/>
          <w:lang w:val="uk-UA"/>
          <w14:ligatures w14:val="standardContextual"/>
        </w:rPr>
        <w:t>Ukrainian Scientific Journal of Information Security</w:t>
      </w:r>
      <w:r w:rsidRPr="00511005">
        <w:rPr>
          <w:rFonts w:ascii="Arial" w:eastAsia="Calibri" w:hAnsi="Arial" w:cs="Arial"/>
          <w:kern w:val="2"/>
          <w:szCs w:val="28"/>
          <w:lang w:val="uk-UA"/>
          <w14:ligatures w14:val="standardContextual"/>
        </w:rPr>
        <w:t>. 2023. №19. С. 118-129.</w:t>
      </w:r>
    </w:p>
    <w:p w14:paraId="33383044" w14:textId="77777777" w:rsidR="00AE57E7" w:rsidRPr="00511005" w:rsidRDefault="00AE57E7" w:rsidP="003F6A5D">
      <w:pPr>
        <w:numPr>
          <w:ilvl w:val="0"/>
          <w:numId w:val="740"/>
        </w:numPr>
        <w:tabs>
          <w:tab w:val="left" w:pos="993"/>
        </w:tabs>
        <w:spacing w:line="264" w:lineRule="auto"/>
        <w:ind w:left="0" w:firstLine="709"/>
        <w:contextualSpacing/>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Остапов С. Е. Технології </w:t>
      </w:r>
      <w:r w:rsidRPr="00511005">
        <w:rPr>
          <w:rFonts w:ascii="Arial" w:eastAsia="Malgun Gothic" w:hAnsi="Arial" w:cs="Arial"/>
          <w:kern w:val="2"/>
          <w:szCs w:val="28"/>
          <w:lang w:val="uk-UA"/>
          <w14:ligatures w14:val="standardContextual"/>
        </w:rPr>
        <w:t>захисту</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 xml:space="preserve">ії : </w:t>
      </w:r>
      <w:r w:rsidRPr="00511005">
        <w:rPr>
          <w:rFonts w:ascii="Arial" w:eastAsia="Malgun Gothic" w:hAnsi="Arial" w:cs="Arial"/>
          <w:kern w:val="2"/>
          <w:szCs w:val="28"/>
          <w:lang w:val="uk-UA"/>
          <w14:ligatures w14:val="standardContextual"/>
        </w:rPr>
        <w:t>навчальний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бник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Хпрьк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 Вид. ХНЕУ, 2021. 476 с.</w:t>
      </w:r>
    </w:p>
    <w:p w14:paraId="0DA0827D" w14:textId="77777777" w:rsidR="00AE57E7" w:rsidRPr="00511005" w:rsidRDefault="00AE57E7" w:rsidP="003A292D">
      <w:pPr>
        <w:tabs>
          <w:tab w:val="left" w:pos="993"/>
        </w:tabs>
        <w:spacing w:line="264" w:lineRule="auto"/>
        <w:rPr>
          <w:rFonts w:ascii="Arial" w:eastAsia="Calibri" w:hAnsi="Arial" w:cs="Arial"/>
          <w:kern w:val="2"/>
          <w:szCs w:val="28"/>
          <w:lang w:val="uk-UA"/>
          <w14:ligatures w14:val="standardContextual"/>
        </w:rPr>
      </w:pPr>
    </w:p>
    <w:p w14:paraId="61BAAA75" w14:textId="46A46A57" w:rsidR="00AE57E7" w:rsidRPr="00511005" w:rsidRDefault="007B2628" w:rsidP="003A292D">
      <w:pPr>
        <w:tabs>
          <w:tab w:val="left" w:pos="993"/>
        </w:tabs>
        <w:spacing w:line="264" w:lineRule="auto"/>
        <w:rPr>
          <w:rFonts w:ascii="Arial" w:eastAsia="Calibri" w:hAnsi="Arial" w:cs="Arial"/>
          <w:kern w:val="2"/>
          <w:szCs w:val="28"/>
          <w:lang w:val="uk-UA"/>
          <w14:ligatures w14:val="standardContextual"/>
        </w:rPr>
      </w:pPr>
      <w:r w:rsidRPr="00511005">
        <w:rPr>
          <w:rFonts w:ascii="Arial" w:eastAsia="Calibri" w:hAnsi="Arial" w:cs="Arial"/>
          <w:b/>
          <w:bCs/>
          <w:i/>
          <w:kern w:val="2"/>
          <w:szCs w:val="28"/>
          <w:lang w:val="uk-UA"/>
          <w14:ligatures w14:val="standardContextual"/>
        </w:rPr>
        <w:t xml:space="preserve">Ключові слова: </w:t>
      </w:r>
      <w:r w:rsidR="00AE57E7" w:rsidRPr="00511005">
        <w:rPr>
          <w:rFonts w:ascii="Arial" w:eastAsia="Calibri" w:hAnsi="Arial" w:cs="Arial"/>
          <w:kern w:val="2"/>
          <w:szCs w:val="28"/>
          <w:lang w:val="uk-UA"/>
          <w14:ligatures w14:val="standardContextual"/>
        </w:rPr>
        <w:t>кі</w:t>
      </w:r>
      <w:r w:rsidR="00AE57E7" w:rsidRPr="00511005">
        <w:rPr>
          <w:rFonts w:ascii="Arial" w:eastAsia="Malgun Gothic" w:hAnsi="Arial" w:cs="Arial"/>
          <w:kern w:val="2"/>
          <w:szCs w:val="28"/>
          <w:lang w:val="uk-UA"/>
          <w14:ligatures w14:val="standardContextual"/>
        </w:rPr>
        <w:t>бербезпека</w:t>
      </w:r>
      <w:r w:rsidR="00AE57E7" w:rsidRPr="00511005">
        <w:rPr>
          <w:rFonts w:ascii="Arial" w:eastAsia="Calibri" w:hAnsi="Arial" w:cs="Arial"/>
          <w:kern w:val="2"/>
          <w:szCs w:val="28"/>
          <w:lang w:val="uk-UA"/>
          <w14:ligatures w14:val="standardContextual"/>
        </w:rPr>
        <w:t>, і</w:t>
      </w:r>
      <w:r w:rsidR="00AE57E7" w:rsidRPr="00511005">
        <w:rPr>
          <w:rFonts w:ascii="Arial" w:eastAsia="Malgun Gothic" w:hAnsi="Arial" w:cs="Arial"/>
          <w:kern w:val="2"/>
          <w:szCs w:val="28"/>
          <w:lang w:val="uk-UA"/>
          <w14:ligatures w14:val="standardContextual"/>
        </w:rPr>
        <w:t>нформац</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йна</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безпека</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к</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бератаки</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захист</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даних</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багатор</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внева</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безпека</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управл</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ння</w:t>
      </w:r>
      <w:r w:rsidR="00AE57E7" w:rsidRPr="00511005">
        <w:rPr>
          <w:rFonts w:ascii="Arial" w:eastAsia="Calibri" w:hAnsi="Arial" w:cs="Arial"/>
          <w:kern w:val="2"/>
          <w:szCs w:val="28"/>
          <w:lang w:val="uk-UA"/>
          <w14:ligatures w14:val="standardContextual"/>
        </w:rPr>
        <w:t xml:space="preserve"> і</w:t>
      </w:r>
      <w:r w:rsidR="00AE57E7" w:rsidRPr="00511005">
        <w:rPr>
          <w:rFonts w:ascii="Arial" w:eastAsia="Malgun Gothic" w:hAnsi="Arial" w:cs="Arial"/>
          <w:kern w:val="2"/>
          <w:szCs w:val="28"/>
          <w:lang w:val="uk-UA"/>
          <w14:ligatures w14:val="standardContextual"/>
        </w:rPr>
        <w:t>нцидентами</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пол</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тика</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безпеки</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ф</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шинг</w:t>
      </w:r>
      <w:r w:rsidR="00AE57E7" w:rsidRPr="00511005">
        <w:rPr>
          <w:rFonts w:ascii="Arial" w:eastAsia="Calibri" w:hAnsi="Arial" w:cs="Arial"/>
          <w:kern w:val="2"/>
          <w:szCs w:val="28"/>
          <w:lang w:val="uk-UA"/>
          <w14:ligatures w14:val="standardContextual"/>
        </w:rPr>
        <w:t>.</w:t>
      </w:r>
    </w:p>
    <w:p w14:paraId="512A3B6C" w14:textId="7801ECA8" w:rsidR="00AE57E7" w:rsidRPr="00511005" w:rsidRDefault="007B2628" w:rsidP="003A292D">
      <w:pPr>
        <w:tabs>
          <w:tab w:val="left" w:pos="993"/>
        </w:tabs>
        <w:spacing w:line="264" w:lineRule="auto"/>
        <w:rPr>
          <w:rFonts w:ascii="Arial" w:eastAsia="Calibri" w:hAnsi="Arial" w:cs="Arial"/>
          <w:kern w:val="2"/>
          <w:szCs w:val="28"/>
          <w:lang w:val="uk-UA"/>
          <w14:ligatures w14:val="standardContextual"/>
        </w:rPr>
      </w:pPr>
      <w:r w:rsidRPr="00511005">
        <w:rPr>
          <w:rFonts w:ascii="Arial" w:eastAsia="Calibri" w:hAnsi="Arial" w:cs="Arial"/>
          <w:b/>
          <w:bCs/>
          <w:i/>
          <w:kern w:val="2"/>
          <w:szCs w:val="28"/>
          <w:lang w:val="uk-UA"/>
          <w14:ligatures w14:val="standardContextual"/>
        </w:rPr>
        <w:t xml:space="preserve">Key words: </w:t>
      </w:r>
      <w:r w:rsidR="00AE57E7" w:rsidRPr="00511005">
        <w:rPr>
          <w:rFonts w:ascii="Arial" w:eastAsia="Calibri" w:hAnsi="Arial" w:cs="Arial"/>
          <w:kern w:val="2"/>
          <w:szCs w:val="28"/>
          <w:lang w:val="uk-UA"/>
          <w14:ligatures w14:val="standardContextual"/>
        </w:rPr>
        <w:t>cybersecurity, information security, cyberattacks, data protection, security policy, phishing.</w:t>
      </w:r>
    </w:p>
    <w:p w14:paraId="5C366DCF" w14:textId="28243098" w:rsidR="00AE57E7" w:rsidRPr="00511005" w:rsidRDefault="007B2628" w:rsidP="003A292D">
      <w:pPr>
        <w:keepNext/>
        <w:spacing w:line="264" w:lineRule="auto"/>
        <w:rPr>
          <w:rFonts w:ascii="Arial" w:eastAsia="Times New Roman" w:hAnsi="Arial" w:cs="Arial"/>
          <w:bCs/>
          <w:i/>
          <w:iCs/>
          <w:kern w:val="2"/>
          <w:szCs w:val="28"/>
          <w:lang w:val="uk-UA" w:eastAsia="ru-RU"/>
          <w14:ligatures w14:val="standardContextual"/>
        </w:rPr>
      </w:pPr>
      <w:r w:rsidRPr="00511005">
        <w:rPr>
          <w:rFonts w:ascii="Arial" w:eastAsia="Times New Roman" w:hAnsi="Arial" w:cs="Arial"/>
          <w:b/>
          <w:bCs/>
          <w:i/>
          <w:iCs/>
          <w:kern w:val="2"/>
          <w:szCs w:val="28"/>
          <w:lang w:val="uk-UA" w:eastAsia="ru-RU"/>
          <w14:ligatures w14:val="standardContextual"/>
        </w:rPr>
        <w:t xml:space="preserve">Науковий керівник: </w:t>
      </w:r>
      <w:r w:rsidR="00AE57E7" w:rsidRPr="00511005">
        <w:rPr>
          <w:rFonts w:ascii="Arial" w:eastAsia="Times New Roman" w:hAnsi="Arial" w:cs="Arial"/>
          <w:bCs/>
          <w:i/>
          <w:iCs/>
          <w:kern w:val="2"/>
          <w:szCs w:val="28"/>
          <w:lang w:val="uk-UA" w:eastAsia="ru-RU"/>
          <w14:ligatures w14:val="standardContextual"/>
        </w:rPr>
        <w:t>к.е.н., доц. Редіна Є.В</w:t>
      </w:r>
    </w:p>
    <w:p w14:paraId="2F1F744B" w14:textId="77777777" w:rsidR="00AE57E7" w:rsidRPr="00511005" w:rsidRDefault="00AE57E7" w:rsidP="003A292D">
      <w:pPr>
        <w:spacing w:line="264" w:lineRule="auto"/>
        <w:jc w:val="center"/>
        <w:rPr>
          <w:rFonts w:ascii="Arial" w:eastAsia="Calibri" w:hAnsi="Arial" w:cs="Arial"/>
          <w:b/>
          <w:i/>
          <w:kern w:val="2"/>
          <w:szCs w:val="28"/>
          <w:lang w:val="uk-UA"/>
          <w14:ligatures w14:val="standardContextual"/>
        </w:rPr>
      </w:pPr>
    </w:p>
    <w:p w14:paraId="64BD2FC5" w14:textId="667F5940" w:rsidR="00AE57E7" w:rsidRPr="00511005" w:rsidRDefault="00AE57E7" w:rsidP="003A292D">
      <w:pPr>
        <w:spacing w:line="264" w:lineRule="auto"/>
        <w:ind w:firstLine="0"/>
        <w:jc w:val="left"/>
        <w:rPr>
          <w:rFonts w:ascii="Arial" w:eastAsia="Calibri" w:hAnsi="Arial" w:cs="Arial"/>
          <w:b/>
          <w:i/>
          <w:szCs w:val="28"/>
          <w:lang w:val="uk-UA"/>
        </w:rPr>
      </w:pPr>
    </w:p>
    <w:p w14:paraId="48DE8031" w14:textId="77777777" w:rsidR="00AE57E7" w:rsidRPr="00511005" w:rsidRDefault="00AE57E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Кругла Аліна Володимирівна</w:t>
      </w:r>
    </w:p>
    <w:p w14:paraId="1AE8B9A9" w14:textId="4ED8653D" w:rsidR="00AE57E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4-го курсу факультету адвокатури та антикорупційної діяльності</w:t>
      </w:r>
    </w:p>
    <w:p w14:paraId="6D274469" w14:textId="36FAE61D" w:rsidR="00AE57E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16785CF1" w14:textId="77777777" w:rsidR="00AE57E7" w:rsidRPr="00511005" w:rsidRDefault="00AE57E7" w:rsidP="003A292D">
      <w:pPr>
        <w:spacing w:line="264" w:lineRule="auto"/>
        <w:ind w:firstLine="0"/>
        <w:rPr>
          <w:rFonts w:ascii="Arial" w:eastAsia="Calibri" w:hAnsi="Arial" w:cs="Arial"/>
          <w:szCs w:val="28"/>
          <w:lang w:val="uk-UA"/>
        </w:rPr>
      </w:pPr>
    </w:p>
    <w:p w14:paraId="22925980" w14:textId="77777777" w:rsidR="00AE57E7" w:rsidRPr="00511005" w:rsidRDefault="00AE57E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ЗАБЕЗПЕЧЕННЯ ЕФЕКТИВНОСТІ ФІНАНСОВОГО МЕНЕДЖМЕНТУ В ОРГАНІЗАЦІЇ У КРИЗОВИХ УМОВАХ</w:t>
      </w:r>
    </w:p>
    <w:p w14:paraId="63805612"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Сучасне глобальне економічне середовище характеризується підвищеною нестабільністю, що проявляється у регулярних фінансово-економічних кризах різної природи та масштабу. Військові конфлікти, пандемії, структурні дисбаланси у світовій економіці, фінансові потрясіння та технологічні трансформації формують новий ландшафт викликів для бізнесу, що потребує переосмислення підходів до фінансового менеджменту організацій. У таких умовах традиційні моделі управління фінансами втрачають ефективність, а здатність швидко адаптуватися до </w:t>
      </w:r>
      <w:r w:rsidRPr="00511005">
        <w:rPr>
          <w:rFonts w:ascii="Arial" w:eastAsia="Calibri" w:hAnsi="Arial" w:cs="Arial"/>
          <w:szCs w:val="28"/>
          <w:lang w:val="uk-UA"/>
        </w:rPr>
        <w:lastRenderedPageBreak/>
        <w:t>кризових явищ стає ключовим фактором не лише розвитку, але й виживання підприємств.</w:t>
      </w:r>
    </w:p>
    <w:p w14:paraId="4D72D0D2"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Фінансовий менеджмент у кризових умовах трансформується із рутинного інструменту управління фінансовими потоками на стратегічний механізм забезпечення фінансової стійкості та безпеки організації. Ефективна система антикризового фінансового менеджменту повинна забезпечувати не лише оперативне реагування на кризові явища, але й формувати превентивні механізми їх попередження, створювати фінансові резерви для подолання кризових наслідків та розробляти стратегії посткризового відновлення. При цьому особливої важливості набуває збалансування короткострокових заходів із збереження ліквідності та платоспроможності з довгостроковими стратегіями забезпечення фінансової стабільності та зростання.</w:t>
      </w:r>
    </w:p>
    <w:p w14:paraId="48C1F1CA"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Фінансовий менеджмент - це система управління фінансовими потоками, капіталом і фінансовими ризиками, спрямована на досягнення стратегічних цілей підприємства. В умовах нестабільності його функції розширюються: від планування й аналізу до побудови системи кризової стійкості. Ефективне фінансове управління забезпечує збереження ліквідності, оптимізацію витрат, диверсифікацію доходів і посилення контролю за виконанням бюджету. [1].</w:t>
      </w:r>
    </w:p>
    <w:p w14:paraId="5365A2A1"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Важливою складовою є антикризове планування, яке передбачає формування резервів, сценарне прогнозування, розробку альтернативних фінансових моделей та гнучку адаптацію до змін. Застосування таких інструментів дозволяє не лише зберегти поточну платоспроможність, а й закласти фундамент для посткризового відновлення.</w:t>
      </w:r>
    </w:p>
    <w:p w14:paraId="7D1CE8EE"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Кризові явища призводять до порушення стабільності грошових потоків, ускладнення доступу до кредитних ресурсів, падіння рентабельності та збільшення частки прострочених зобов’язань. У таких умовах особливо вразливими є підприємства з високим рівнем зовнішнього боргу, низькою ліквідністю та недостатньо гнучкою структурою витрат. Падіння попиту на продукцію, коливання валютного курсу та інфляція поглиблюють ризики неплатоспроможності </w:t>
      </w:r>
      <w:r w:rsidRPr="00511005">
        <w:rPr>
          <w:rFonts w:ascii="Arial" w:eastAsia="Calibri" w:hAnsi="Arial" w:cs="Arial"/>
          <w:szCs w:val="28"/>
        </w:rPr>
        <w:t>[</w:t>
      </w:r>
      <w:r w:rsidRPr="00511005">
        <w:rPr>
          <w:rFonts w:ascii="Arial" w:eastAsia="Calibri" w:hAnsi="Arial" w:cs="Arial"/>
          <w:szCs w:val="28"/>
          <w:lang w:val="uk-UA"/>
        </w:rPr>
        <w:t>2</w:t>
      </w:r>
      <w:r w:rsidRPr="00511005">
        <w:rPr>
          <w:rFonts w:ascii="Arial" w:eastAsia="Calibri" w:hAnsi="Arial" w:cs="Arial"/>
          <w:szCs w:val="28"/>
        </w:rPr>
        <w:t>]</w:t>
      </w:r>
      <w:r w:rsidRPr="00511005">
        <w:rPr>
          <w:rFonts w:ascii="Arial" w:eastAsia="Calibri" w:hAnsi="Arial" w:cs="Arial"/>
          <w:szCs w:val="28"/>
          <w:lang w:val="uk-UA"/>
        </w:rPr>
        <w:t>.</w:t>
      </w:r>
    </w:p>
    <w:p w14:paraId="5920E89F"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Практика показує, що підприємства, які швидко адаптують фінансову стратегію - переходять до захисних бюджетів, зменшують витрати, переглядають інвестиційні пріоритети - мають вищі шанси на збереження ринкових позицій. Такі компанії концентруються на управлінні оборотним капіталом, створенні резервів і посиленні систем внутрішнього контролю.</w:t>
      </w:r>
    </w:p>
    <w:p w14:paraId="5E8906D5"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В умовах кризи фінансовий менеджмент має трансформуватись у більш адаптивну систему. Ключовими напрямами вдосконалення є [3]:</w:t>
      </w:r>
    </w:p>
    <w:p w14:paraId="49D808DF" w14:textId="77777777" w:rsidR="00AE57E7" w:rsidRPr="00511005" w:rsidRDefault="00AE57E7" w:rsidP="003F6A5D">
      <w:pPr>
        <w:numPr>
          <w:ilvl w:val="0"/>
          <w:numId w:val="726"/>
        </w:numPr>
        <w:tabs>
          <w:tab w:val="clear" w:pos="720"/>
          <w:tab w:val="left" w:pos="0"/>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Оптимізація витрат - шляхом впровадження бюджетування за центрами відповідальності, скорочення непродуктивних видатків і зниження постійних витрат.</w:t>
      </w:r>
    </w:p>
    <w:p w14:paraId="7FD937A3" w14:textId="77777777" w:rsidR="00AE57E7" w:rsidRPr="00511005" w:rsidRDefault="00AE57E7" w:rsidP="003F6A5D">
      <w:pPr>
        <w:numPr>
          <w:ilvl w:val="0"/>
          <w:numId w:val="726"/>
        </w:numPr>
        <w:tabs>
          <w:tab w:val="clear" w:pos="720"/>
          <w:tab w:val="left" w:pos="0"/>
          <w:tab w:val="num" w:pos="993"/>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lastRenderedPageBreak/>
        <w:t>Диверсифікація джерел доходу - розвиток нових напрямів діяльності, вихід на альтернативні ринки, зміна структури реалізації.</w:t>
      </w:r>
    </w:p>
    <w:p w14:paraId="4B38663E" w14:textId="77777777" w:rsidR="00AE57E7" w:rsidRPr="00511005" w:rsidRDefault="00AE57E7" w:rsidP="003F6A5D">
      <w:pPr>
        <w:numPr>
          <w:ilvl w:val="0"/>
          <w:numId w:val="726"/>
        </w:numPr>
        <w:tabs>
          <w:tab w:val="clear" w:pos="720"/>
          <w:tab w:val="left" w:pos="0"/>
          <w:tab w:val="num" w:pos="993"/>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Посилення ризик-менеджменту - через створення ризикових профілів, застосування фінансових деривативів, формування страхових резервів.</w:t>
      </w:r>
    </w:p>
    <w:p w14:paraId="4DB74671" w14:textId="77777777" w:rsidR="00AE57E7" w:rsidRPr="00511005" w:rsidRDefault="00AE57E7" w:rsidP="003F6A5D">
      <w:pPr>
        <w:numPr>
          <w:ilvl w:val="0"/>
          <w:numId w:val="726"/>
        </w:numPr>
        <w:tabs>
          <w:tab w:val="clear" w:pos="720"/>
          <w:tab w:val="left" w:pos="0"/>
          <w:tab w:val="num" w:pos="993"/>
        </w:tabs>
        <w:spacing w:line="264" w:lineRule="auto"/>
        <w:ind w:left="0" w:firstLine="709"/>
        <w:jc w:val="left"/>
        <w:rPr>
          <w:rFonts w:ascii="Arial" w:eastAsia="Calibri" w:hAnsi="Arial" w:cs="Arial"/>
          <w:szCs w:val="28"/>
          <w:lang w:val="uk-UA"/>
        </w:rPr>
      </w:pPr>
      <w:r w:rsidRPr="00511005">
        <w:rPr>
          <w:rFonts w:ascii="Arial" w:eastAsia="Calibri" w:hAnsi="Arial" w:cs="Arial"/>
          <w:szCs w:val="28"/>
          <w:lang w:val="uk-UA"/>
        </w:rPr>
        <w:t>Впровадження цифрових технологій - автоматизація бюджетного контролю, використання ERP-систем, аналітичних платформ, хмарних сервісів для звітності.</w:t>
      </w:r>
    </w:p>
    <w:p w14:paraId="0B1648CD"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Приведені заходи формують нову модель фінансового управління — гнучку, проактивну, орієнтовану на стійкий розвиток та адаптацію до швидкоплинних змін.</w:t>
      </w:r>
    </w:p>
    <w:p w14:paraId="70F39B97"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Таким чином ефективність фінансового менеджменту в умовах кризи є визначальним чинником збереження життєздатності підприємства. Саме в такі періоди актуалізується потреба в інтеграції інструментів антикризового управління, глибокого фінансового аналізу, цифровізації процесів і переходу до нових стратегічних підходів. Підприємства, що адаптуються до змін та активно впроваджують сучасні управлінські рішення, мають більше шансів не лише подолати кризу, а й закласти основу для сталого посткризового зростання. Трансформуючи кризові виклики на можливості для оптимізації фінансових процесів та структури капіталу, такі організації здатні забезпечити конкурентні переваги у довгостроковій перспективі та підвищити свою інвестиційну привабливість навіть за несприятливих макроекономічних умов.</w:t>
      </w:r>
    </w:p>
    <w:p w14:paraId="4CA4D5C2" w14:textId="77777777" w:rsidR="00AE57E7" w:rsidRPr="00511005" w:rsidRDefault="00AE57E7" w:rsidP="003A292D">
      <w:pPr>
        <w:spacing w:line="264" w:lineRule="auto"/>
        <w:jc w:val="center"/>
        <w:rPr>
          <w:rFonts w:ascii="Arial" w:eastAsia="Calibri" w:hAnsi="Arial" w:cs="Arial"/>
          <w:b/>
          <w:szCs w:val="28"/>
          <w:lang w:val="uk-UA"/>
        </w:rPr>
      </w:pPr>
    </w:p>
    <w:p w14:paraId="6AA94E83" w14:textId="00FCE177" w:rsidR="00AE57E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7C35EC06" w14:textId="77777777" w:rsidR="00AE57E7" w:rsidRPr="00511005" w:rsidRDefault="00AE57E7" w:rsidP="003F6A5D">
      <w:pPr>
        <w:numPr>
          <w:ilvl w:val="0"/>
          <w:numId w:val="733"/>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Згурська О.М., Ващенко О.О., Гужавіна І.В. Концептуальна характеристика категоріального апарату «диверсифікація діяльності підприємства». </w:t>
      </w:r>
      <w:r w:rsidRPr="00511005">
        <w:rPr>
          <w:rFonts w:ascii="Arial" w:eastAsia="Calibri" w:hAnsi="Arial" w:cs="Arial"/>
          <w:i/>
          <w:szCs w:val="28"/>
          <w:lang w:val="uk-UA"/>
        </w:rPr>
        <w:t>Економіка та держава.</w:t>
      </w:r>
      <w:r w:rsidRPr="00511005">
        <w:rPr>
          <w:rFonts w:ascii="Arial" w:eastAsia="Calibri" w:hAnsi="Arial" w:cs="Arial"/>
          <w:szCs w:val="28"/>
          <w:lang w:val="uk-UA"/>
        </w:rPr>
        <w:t xml:space="preserve"> 2021. № 5. С. 22-27. URL: </w:t>
      </w:r>
      <w:hyperlink r:id="rId2486" w:history="1">
        <w:r w:rsidRPr="00511005">
          <w:rPr>
            <w:rFonts w:ascii="Arial" w:eastAsia="Calibri" w:hAnsi="Arial" w:cs="Arial"/>
            <w:szCs w:val="28"/>
            <w:lang w:val="uk-UA"/>
          </w:rPr>
          <w:t>http://nbuv.gov.ua/</w:t>
        </w:r>
        <w:r w:rsidRPr="00511005">
          <w:rPr>
            <w:rFonts w:ascii="Arial" w:eastAsia="Calibri" w:hAnsi="Arial" w:cs="Arial"/>
            <w:szCs w:val="28"/>
          </w:rPr>
          <w:t xml:space="preserve"> </w:t>
        </w:r>
      </w:hyperlink>
      <w:r w:rsidRPr="00511005">
        <w:rPr>
          <w:rFonts w:ascii="Arial" w:eastAsia="Calibri" w:hAnsi="Arial" w:cs="Arial"/>
          <w:szCs w:val="28"/>
          <w:lang w:val="uk-UA"/>
        </w:rPr>
        <w:t xml:space="preserve"> </w:t>
      </w:r>
    </w:p>
    <w:p w14:paraId="3BACACB9" w14:textId="205430B8" w:rsidR="00AE57E7" w:rsidRPr="00511005" w:rsidRDefault="00AE57E7" w:rsidP="003F6A5D">
      <w:pPr>
        <w:numPr>
          <w:ilvl w:val="0"/>
          <w:numId w:val="733"/>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Івченко Л. Диверсифікація діяльності підприємств як чинник їх економічного зростання. </w:t>
      </w:r>
      <w:r w:rsidRPr="00511005">
        <w:rPr>
          <w:rFonts w:ascii="Arial" w:eastAsia="Calibri" w:hAnsi="Arial" w:cs="Arial"/>
          <w:i/>
          <w:szCs w:val="28"/>
          <w:lang w:val="uk-UA"/>
        </w:rPr>
        <w:t>Інститут бухгалтерського обліку, контроль та аналіз в умовах глобалізації. Міжнародний збірник наукових праць</w:t>
      </w:r>
      <w:r w:rsidRPr="00511005">
        <w:rPr>
          <w:rFonts w:ascii="Arial" w:eastAsia="Calibri" w:hAnsi="Arial" w:cs="Arial"/>
          <w:szCs w:val="28"/>
          <w:lang w:val="uk-UA"/>
        </w:rPr>
        <w:t>. Випуск 1. 2016. с. 99-107.</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URL: </w:t>
      </w:r>
      <w:hyperlink r:id="rId2487" w:history="1">
        <w:r w:rsidRPr="00511005">
          <w:rPr>
            <w:rFonts w:ascii="Arial" w:eastAsia="Calibri" w:hAnsi="Arial" w:cs="Arial"/>
            <w:szCs w:val="28"/>
            <w:lang w:val="uk-UA"/>
          </w:rPr>
          <w:t>http://dspace.wunu.edu.ua/</w:t>
        </w:r>
      </w:hyperlink>
      <w:r w:rsidRPr="00511005">
        <w:rPr>
          <w:rFonts w:ascii="Arial" w:eastAsia="Calibri" w:hAnsi="Arial" w:cs="Arial"/>
          <w:szCs w:val="28"/>
        </w:rPr>
        <w:t xml:space="preserve"> </w:t>
      </w:r>
    </w:p>
    <w:p w14:paraId="6A6B0980" w14:textId="4C3DF540" w:rsidR="00AE57E7" w:rsidRPr="00511005" w:rsidRDefault="00AE57E7" w:rsidP="003F6A5D">
      <w:pPr>
        <w:numPr>
          <w:ilvl w:val="0"/>
          <w:numId w:val="733"/>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Теймур А. Касумов Сучасні підходи оцінки до оцінювання ефективності диверсифікації бізнес-процесів в нестабільних економічних умовах. </w:t>
      </w:r>
      <w:r w:rsidRPr="00511005">
        <w:rPr>
          <w:rFonts w:ascii="Arial" w:eastAsia="Calibri" w:hAnsi="Arial" w:cs="Arial"/>
          <w:i/>
          <w:szCs w:val="28"/>
          <w:lang w:val="uk-UA"/>
        </w:rPr>
        <w:t>Актуальні проблеми економіки</w:t>
      </w:r>
      <w:r w:rsidRPr="00511005">
        <w:rPr>
          <w:rFonts w:ascii="Arial" w:eastAsia="Calibri" w:hAnsi="Arial" w:cs="Arial"/>
          <w:szCs w:val="28"/>
          <w:lang w:val="uk-UA"/>
        </w:rPr>
        <w:t xml:space="preserve"> № 6 (276), 2024. С. 34-44.</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URL: </w:t>
      </w:r>
      <w:hyperlink r:id="rId2488" w:history="1">
        <w:r w:rsidRPr="00511005">
          <w:rPr>
            <w:rFonts w:ascii="Arial" w:eastAsia="Calibri" w:hAnsi="Arial" w:cs="Arial"/>
            <w:szCs w:val="28"/>
            <w:lang w:val="uk-UA"/>
          </w:rPr>
          <w:t>https://eco-science.net/</w:t>
        </w:r>
      </w:hyperlink>
      <w:r w:rsidRPr="00511005">
        <w:rPr>
          <w:rFonts w:ascii="Arial" w:eastAsia="Calibri" w:hAnsi="Arial" w:cs="Arial"/>
          <w:szCs w:val="28"/>
          <w:lang w:val="en-US"/>
        </w:rPr>
        <w:t xml:space="preserve"> </w:t>
      </w:r>
    </w:p>
    <w:p w14:paraId="27585A9A" w14:textId="77777777" w:rsidR="00AE57E7" w:rsidRPr="00511005" w:rsidRDefault="00AE57E7" w:rsidP="003A292D">
      <w:pPr>
        <w:spacing w:line="264" w:lineRule="auto"/>
        <w:rPr>
          <w:rFonts w:ascii="Arial" w:eastAsia="Calibri" w:hAnsi="Arial" w:cs="Arial"/>
          <w:b/>
          <w:szCs w:val="28"/>
          <w:lang w:val="uk-UA"/>
        </w:rPr>
      </w:pPr>
    </w:p>
    <w:p w14:paraId="03989D64" w14:textId="39266862"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szCs w:val="28"/>
          <w:lang w:val="uk-UA"/>
        </w:rPr>
        <w:t>ефективність, фінансовий менеджмент, криза, організація, оптимізація, ризик-менеджмент, диверсифікація.</w:t>
      </w:r>
    </w:p>
    <w:p w14:paraId="10DAB7D5" w14:textId="5A3581FE" w:rsidR="00AE57E7"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efficiency, financial management, crisis, organization, optimization, risk management, diversification.</w:t>
      </w:r>
    </w:p>
    <w:p w14:paraId="31CB2A31" w14:textId="4BD76899" w:rsidR="00AE57E7" w:rsidRPr="00511005" w:rsidRDefault="007B2628" w:rsidP="003A292D">
      <w:pPr>
        <w:spacing w:line="264" w:lineRule="auto"/>
        <w:rPr>
          <w:rFonts w:ascii="Arial" w:eastAsia="Calibri" w:hAnsi="Arial" w:cs="Arial"/>
          <w:i/>
          <w:szCs w:val="28"/>
          <w:lang w:val="uk-UA"/>
        </w:rPr>
      </w:pPr>
      <w:r w:rsidRPr="00511005">
        <w:rPr>
          <w:rFonts w:ascii="Arial" w:eastAsia="Calibri" w:hAnsi="Arial" w:cs="Arial"/>
          <w:b/>
          <w:i/>
          <w:szCs w:val="28"/>
          <w:lang w:val="uk-UA"/>
        </w:rPr>
        <w:lastRenderedPageBreak/>
        <w:t xml:space="preserve">Науковий керівник: </w:t>
      </w:r>
      <w:r w:rsidR="00AE57E7" w:rsidRPr="00511005">
        <w:rPr>
          <w:rFonts w:ascii="Arial" w:eastAsia="Calibri" w:hAnsi="Arial" w:cs="Arial"/>
          <w:i/>
          <w:szCs w:val="28"/>
          <w:lang w:val="uk-UA"/>
        </w:rPr>
        <w:t>д.е.н., професор Слободянюк О.В.</w:t>
      </w:r>
    </w:p>
    <w:p w14:paraId="5A1E5C09" w14:textId="77777777" w:rsidR="00AE57E7" w:rsidRPr="00511005" w:rsidRDefault="00AE57E7" w:rsidP="003A292D">
      <w:pPr>
        <w:spacing w:line="264" w:lineRule="auto"/>
        <w:rPr>
          <w:rFonts w:ascii="Arial" w:eastAsia="Times New Roman" w:hAnsi="Arial" w:cs="Arial"/>
          <w:szCs w:val="28"/>
          <w:lang w:val="uk-UA" w:eastAsia="ru-RU"/>
        </w:rPr>
      </w:pPr>
    </w:p>
    <w:p w14:paraId="59BDB4FD" w14:textId="3E8FE27D" w:rsidR="00AE57E7" w:rsidRPr="00511005" w:rsidRDefault="00AE57E7" w:rsidP="003A292D">
      <w:pPr>
        <w:spacing w:line="264" w:lineRule="auto"/>
        <w:ind w:firstLine="0"/>
        <w:jc w:val="left"/>
        <w:rPr>
          <w:rFonts w:ascii="Arial" w:eastAsia="Calibri" w:hAnsi="Arial" w:cs="Arial"/>
          <w:b/>
          <w:i/>
          <w:kern w:val="2"/>
          <w:szCs w:val="28"/>
          <w:lang w:val="uk-UA"/>
          <w14:ligatures w14:val="standardContextual"/>
        </w:rPr>
      </w:pPr>
    </w:p>
    <w:p w14:paraId="5DD52114" w14:textId="77777777" w:rsidR="00AE57E7" w:rsidRPr="00511005" w:rsidRDefault="00AE57E7" w:rsidP="003A292D">
      <w:pPr>
        <w:spacing w:line="264" w:lineRule="auto"/>
        <w:ind w:firstLine="0"/>
        <w:jc w:val="center"/>
        <w:rPr>
          <w:rFonts w:ascii="Arial" w:eastAsia="Calibri" w:hAnsi="Arial" w:cs="Arial"/>
          <w:b/>
          <w:i/>
          <w:kern w:val="2"/>
          <w:szCs w:val="28"/>
          <w:lang w:val="uk-UA"/>
          <w14:ligatures w14:val="standardContextual"/>
        </w:rPr>
      </w:pPr>
      <w:r w:rsidRPr="00511005">
        <w:rPr>
          <w:rFonts w:ascii="Arial" w:eastAsia="Calibri" w:hAnsi="Arial" w:cs="Arial"/>
          <w:b/>
          <w:i/>
          <w:kern w:val="2"/>
          <w:szCs w:val="28"/>
          <w:lang w:val="uk-UA"/>
          <w14:ligatures w14:val="standardContextual"/>
        </w:rPr>
        <w:t>Кузнєцова Аріна Георгіївна</w:t>
      </w:r>
    </w:p>
    <w:p w14:paraId="3401B119" w14:textId="77777777" w:rsidR="00146592" w:rsidRPr="00511005" w:rsidRDefault="00536AAB"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студентка 4-го курсу факультету адвокатури та антикорупційної діяльності</w:t>
      </w:r>
    </w:p>
    <w:p w14:paraId="724EB25A" w14:textId="4D64EDC0" w:rsidR="00AE57E7" w:rsidRPr="00511005" w:rsidRDefault="007B2628"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Національного університету «Одеська юридична академія»</w:t>
      </w:r>
    </w:p>
    <w:p w14:paraId="501D204E" w14:textId="77777777" w:rsidR="00AE57E7" w:rsidRPr="00511005" w:rsidRDefault="00AE57E7" w:rsidP="003A292D">
      <w:pPr>
        <w:spacing w:line="264" w:lineRule="auto"/>
        <w:ind w:firstLine="0"/>
        <w:jc w:val="center"/>
        <w:rPr>
          <w:rFonts w:ascii="Arial" w:eastAsia="Calibri" w:hAnsi="Arial" w:cs="Arial"/>
          <w:b/>
          <w:kern w:val="2"/>
          <w:szCs w:val="28"/>
          <w:lang w:val="uk-UA"/>
          <w14:ligatures w14:val="standardContextual"/>
        </w:rPr>
      </w:pPr>
    </w:p>
    <w:p w14:paraId="086D22B0" w14:textId="77777777" w:rsidR="00AE57E7" w:rsidRPr="00511005" w:rsidRDefault="00AE57E7" w:rsidP="003A292D">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b/>
          <w:kern w:val="2"/>
          <w:szCs w:val="28"/>
          <w:lang w:val="uk-UA"/>
          <w14:ligatures w14:val="standardContextual"/>
        </w:rPr>
        <w:t>І</w:t>
      </w:r>
      <w:r w:rsidRPr="00511005">
        <w:rPr>
          <w:rFonts w:ascii="Arial" w:eastAsia="Malgun Gothic" w:hAnsi="Arial" w:cs="Arial"/>
          <w:b/>
          <w:kern w:val="2"/>
          <w:szCs w:val="28"/>
          <w:lang w:val="uk-UA"/>
          <w14:ligatures w14:val="standardContextual"/>
        </w:rPr>
        <w:t>ННОВАЦ</w:t>
      </w:r>
      <w:r w:rsidRPr="00511005">
        <w:rPr>
          <w:rFonts w:ascii="Arial" w:eastAsia="Calibri" w:hAnsi="Arial" w:cs="Arial"/>
          <w:b/>
          <w:kern w:val="2"/>
          <w:szCs w:val="28"/>
          <w:lang w:val="uk-UA"/>
          <w14:ligatures w14:val="standardContextual"/>
        </w:rPr>
        <w:t xml:space="preserve">ІЇ </w:t>
      </w:r>
      <w:r w:rsidRPr="00511005">
        <w:rPr>
          <w:rFonts w:ascii="Arial" w:eastAsia="Malgun Gothic" w:hAnsi="Arial" w:cs="Arial"/>
          <w:b/>
          <w:kern w:val="2"/>
          <w:szCs w:val="28"/>
          <w:lang w:val="uk-UA"/>
          <w14:ligatures w14:val="standardContextual"/>
        </w:rPr>
        <w:t>В</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КОРПОРАТИВН</w:t>
      </w:r>
      <w:r w:rsidRPr="00511005">
        <w:rPr>
          <w:rFonts w:ascii="Arial" w:eastAsia="Calibri" w:hAnsi="Arial" w:cs="Arial"/>
          <w:b/>
          <w:kern w:val="2"/>
          <w:szCs w:val="28"/>
          <w:lang w:val="uk-UA"/>
          <w14:ligatures w14:val="standardContextual"/>
        </w:rPr>
        <w:t>І</w:t>
      </w:r>
      <w:r w:rsidRPr="00511005">
        <w:rPr>
          <w:rFonts w:ascii="Arial" w:eastAsia="Malgun Gothic" w:hAnsi="Arial" w:cs="Arial"/>
          <w:b/>
          <w:kern w:val="2"/>
          <w:szCs w:val="28"/>
          <w:lang w:val="uk-UA"/>
          <w14:ligatures w14:val="standardContextual"/>
        </w:rPr>
        <w:t>Й</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КУЛЬТУР</w:t>
      </w:r>
      <w:r w:rsidRPr="00511005">
        <w:rPr>
          <w:rFonts w:ascii="Arial" w:eastAsia="Calibri" w:hAnsi="Arial" w:cs="Arial"/>
          <w:b/>
          <w:kern w:val="2"/>
          <w:szCs w:val="28"/>
          <w:lang w:val="uk-UA"/>
          <w14:ligatures w14:val="standardContextual"/>
        </w:rPr>
        <w:t xml:space="preserve">І </w:t>
      </w:r>
      <w:r w:rsidRPr="00511005">
        <w:rPr>
          <w:rFonts w:ascii="Arial" w:eastAsia="Malgun Gothic" w:hAnsi="Arial" w:cs="Arial"/>
          <w:b/>
          <w:kern w:val="2"/>
          <w:szCs w:val="28"/>
          <w:lang w:val="uk-UA"/>
          <w14:ligatures w14:val="standardContextual"/>
        </w:rPr>
        <w:t>ЯК</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ОСНОВА</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КОНКУРЕНТОСПРОМОЖНОСТ</w:t>
      </w:r>
      <w:r w:rsidRPr="00511005">
        <w:rPr>
          <w:rFonts w:ascii="Arial" w:eastAsia="Calibri" w:hAnsi="Arial" w:cs="Arial"/>
          <w:b/>
          <w:kern w:val="2"/>
          <w:szCs w:val="28"/>
          <w:lang w:val="uk-UA"/>
          <w14:ligatures w14:val="standardContextual"/>
        </w:rPr>
        <w:t xml:space="preserve">І </w:t>
      </w:r>
      <w:r w:rsidRPr="00511005">
        <w:rPr>
          <w:rFonts w:ascii="Arial" w:eastAsia="Malgun Gothic" w:hAnsi="Arial" w:cs="Arial"/>
          <w:b/>
          <w:kern w:val="2"/>
          <w:szCs w:val="28"/>
          <w:lang w:val="uk-UA"/>
          <w14:ligatures w14:val="standardContextual"/>
        </w:rPr>
        <w:t>УКРА</w:t>
      </w:r>
      <w:r w:rsidRPr="00511005">
        <w:rPr>
          <w:rFonts w:ascii="Arial" w:eastAsia="Calibri" w:hAnsi="Arial" w:cs="Arial"/>
          <w:b/>
          <w:kern w:val="2"/>
          <w:szCs w:val="28"/>
          <w:lang w:val="uk-UA"/>
          <w14:ligatures w14:val="standardContextual"/>
        </w:rPr>
        <w:t>Ї</w:t>
      </w:r>
      <w:r w:rsidRPr="00511005">
        <w:rPr>
          <w:rFonts w:ascii="Arial" w:eastAsia="Malgun Gothic" w:hAnsi="Arial" w:cs="Arial"/>
          <w:b/>
          <w:kern w:val="2"/>
          <w:szCs w:val="28"/>
          <w:lang w:val="uk-UA"/>
          <w14:ligatures w14:val="standardContextual"/>
        </w:rPr>
        <w:t>НСЬКОГО</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Б</w:t>
      </w:r>
      <w:r w:rsidRPr="00511005">
        <w:rPr>
          <w:rFonts w:ascii="Arial" w:eastAsia="Calibri" w:hAnsi="Arial" w:cs="Arial"/>
          <w:b/>
          <w:kern w:val="2"/>
          <w:szCs w:val="28"/>
          <w:lang w:val="uk-UA"/>
          <w14:ligatures w14:val="standardContextual"/>
        </w:rPr>
        <w:t>І</w:t>
      </w:r>
      <w:r w:rsidRPr="00511005">
        <w:rPr>
          <w:rFonts w:ascii="Arial" w:eastAsia="Malgun Gothic" w:hAnsi="Arial" w:cs="Arial"/>
          <w:b/>
          <w:kern w:val="2"/>
          <w:szCs w:val="28"/>
          <w:lang w:val="uk-UA"/>
          <w14:ligatures w14:val="standardContextual"/>
        </w:rPr>
        <w:t>ЗНЕСУ</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В</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УМОВАХ</w:t>
      </w:r>
      <w:r w:rsidRPr="00511005">
        <w:rPr>
          <w:rFonts w:ascii="Arial" w:eastAsia="Calibri" w:hAnsi="Arial" w:cs="Arial"/>
          <w:b/>
          <w:kern w:val="2"/>
          <w:szCs w:val="28"/>
          <w:lang w:val="uk-UA"/>
          <w14:ligatures w14:val="standardContextual"/>
        </w:rPr>
        <w:t xml:space="preserve"> ВІ</w:t>
      </w:r>
      <w:r w:rsidRPr="00511005">
        <w:rPr>
          <w:rFonts w:ascii="Arial" w:eastAsia="Malgun Gothic" w:hAnsi="Arial" w:cs="Arial"/>
          <w:b/>
          <w:kern w:val="2"/>
          <w:szCs w:val="28"/>
          <w:lang w:val="uk-UA"/>
          <w14:ligatures w14:val="standardContextual"/>
        </w:rPr>
        <w:t>ЙНИ</w:t>
      </w:r>
    </w:p>
    <w:p w14:paraId="5DD85EF3"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Повномасштабне вторгнення стало потужним каталі</w:t>
      </w:r>
      <w:r w:rsidRPr="00511005">
        <w:rPr>
          <w:rFonts w:ascii="Arial" w:eastAsia="Malgun Gothic" w:hAnsi="Arial" w:cs="Arial"/>
          <w:kern w:val="2"/>
          <w:szCs w:val="28"/>
          <w:lang w:val="uk-UA"/>
          <w14:ligatures w14:val="standardContextual"/>
        </w:rPr>
        <w:t>затором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глибинних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трансформац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середовищ</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впливаючи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вс</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його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аспекти</w:t>
      </w:r>
      <w:r w:rsidRPr="00511005">
        <w:rPr>
          <w:rFonts w:ascii="Arial" w:eastAsia="Calibri" w:hAnsi="Arial" w:cs="Arial"/>
          <w:kern w:val="2"/>
          <w:szCs w:val="28"/>
          <w:lang w:val="uk-UA"/>
          <w14:ligatures w14:val="standardContextual"/>
        </w:rPr>
        <w:t xml:space="preserve"> -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моделей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нтир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ран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спиралися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ринку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тр</w:t>
      </w:r>
      <w:r w:rsidRPr="00511005">
        <w:rPr>
          <w:rFonts w:ascii="Arial" w:eastAsia="Calibri" w:hAnsi="Arial" w:cs="Arial"/>
          <w:kern w:val="2"/>
          <w:szCs w:val="28"/>
          <w:lang w:val="uk-UA"/>
          <w14:ligatures w14:val="standardContextual"/>
        </w:rPr>
        <w:t>адиці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дходи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опинилися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необх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швидко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адаптац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умов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ключовими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факторами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стали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гнучк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креативн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необх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виживання</w:t>
      </w:r>
      <w:r w:rsidRPr="00511005">
        <w:rPr>
          <w:rFonts w:ascii="Arial" w:eastAsia="Calibri" w:hAnsi="Arial" w:cs="Arial"/>
          <w:kern w:val="2"/>
          <w:szCs w:val="28"/>
          <w:lang w:val="uk-UA"/>
          <w14:ligatures w14:val="standardContextual"/>
        </w:rPr>
        <w:t xml:space="preserve"> бі</w:t>
      </w:r>
      <w:r w:rsidRPr="00511005">
        <w:rPr>
          <w:rFonts w:ascii="Arial" w:eastAsia="Malgun Gothic" w:hAnsi="Arial" w:cs="Arial"/>
          <w:kern w:val="2"/>
          <w:szCs w:val="28"/>
          <w:lang w:val="uk-UA"/>
          <w14:ligatures w14:val="standardContextual"/>
        </w:rPr>
        <w:t>знесу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умовах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невизначеност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закладають основу для формування нової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економ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дерства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нтовано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швидк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прийняття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автоном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команд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контекст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повномасштабно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функц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ону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умовах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невизначеност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високих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ризик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w:t>
      </w:r>
      <w:r w:rsidRPr="00511005">
        <w:rPr>
          <w:rFonts w:ascii="Arial" w:eastAsia="Calibri" w:hAnsi="Arial" w:cs="Arial"/>
          <w:kern w:val="2"/>
          <w:szCs w:val="28"/>
          <w:lang w:val="uk-UA"/>
          <w14:ligatures w14:val="standardContextual"/>
        </w:rPr>
        <w:t xml:space="preserve">ресу. Ці </w:t>
      </w:r>
      <w:r w:rsidRPr="00511005">
        <w:rPr>
          <w:rFonts w:ascii="Arial" w:eastAsia="Malgun Gothic" w:hAnsi="Arial" w:cs="Arial"/>
          <w:kern w:val="2"/>
          <w:szCs w:val="28"/>
          <w:lang w:val="uk-UA"/>
          <w14:ligatures w14:val="standardContextual"/>
        </w:rPr>
        <w:t>чинники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актуал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низку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структурних</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операц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проблем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потребують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негайно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трансформац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дход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Ї</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гнорування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короткостроков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так</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довгостроков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негативн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насл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йкост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мств</w:t>
      </w:r>
      <w:r w:rsidRPr="00511005">
        <w:rPr>
          <w:rFonts w:ascii="Arial" w:eastAsia="Calibri" w:hAnsi="Arial" w:cs="Arial"/>
          <w:kern w:val="2"/>
          <w:szCs w:val="28"/>
          <w:lang w:val="uk-UA"/>
          <w14:ligatures w14:val="standardContextual"/>
        </w:rPr>
        <w:t>.</w:t>
      </w:r>
    </w:p>
    <w:p w14:paraId="50BF8624"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Багаторі</w:t>
      </w:r>
      <w:r w:rsidRPr="00511005">
        <w:rPr>
          <w:rFonts w:ascii="Arial" w:eastAsia="Malgun Gothic" w:hAnsi="Arial" w:cs="Arial"/>
          <w:kern w:val="2"/>
          <w:szCs w:val="28"/>
          <w:lang w:val="uk-UA"/>
          <w14:ligatures w14:val="standardContextual"/>
        </w:rPr>
        <w:t>внев</w:t>
      </w:r>
      <w:r w:rsidRPr="00511005">
        <w:rPr>
          <w:rFonts w:ascii="Arial" w:eastAsia="Calibri" w:hAnsi="Arial" w:cs="Arial"/>
          <w:kern w:val="2"/>
          <w:szCs w:val="28"/>
          <w:lang w:val="uk-UA"/>
          <w14:ligatures w14:val="standardContextual"/>
        </w:rPr>
        <w:t>а централі</w:t>
      </w:r>
      <w:r w:rsidRPr="00511005">
        <w:rPr>
          <w:rFonts w:ascii="Arial" w:eastAsia="Malgun Gothic" w:hAnsi="Arial" w:cs="Arial"/>
          <w:kern w:val="2"/>
          <w:szCs w:val="28"/>
          <w:lang w:val="uk-UA"/>
          <w14:ligatures w14:val="standardContextual"/>
        </w:rPr>
        <w:t>зована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характеризу</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жорсткою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вертикаллю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дпорядкування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умовах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кризових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ситуац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виявилась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малоефективною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Процедурна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складн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ухвалення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низька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автономн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дрозд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залежн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директив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вищого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кер</w:t>
      </w:r>
      <w:r w:rsidRPr="00511005">
        <w:rPr>
          <w:rFonts w:ascii="Arial" w:eastAsia="Calibri" w:hAnsi="Arial" w:cs="Arial"/>
          <w:kern w:val="2"/>
          <w:szCs w:val="28"/>
          <w:lang w:val="uk-UA"/>
          <w14:ligatures w14:val="standardContextual"/>
        </w:rPr>
        <w:t xml:space="preserve">івництва призводять до втрати оперативності,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критично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важливо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умовах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швидкоплинних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раз</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дсутност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адаптац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льш</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гнучких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формат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стикаються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ризиком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парал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втратою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можливостей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швидко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реакц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зовні</w:t>
      </w:r>
      <w:r w:rsidRPr="00511005">
        <w:rPr>
          <w:rFonts w:ascii="Arial" w:eastAsia="Malgun Gothic" w:hAnsi="Arial" w:cs="Arial"/>
          <w:kern w:val="2"/>
          <w:szCs w:val="28"/>
          <w:lang w:val="uk-UA"/>
          <w14:ligatures w14:val="standardContextual"/>
        </w:rPr>
        <w:t>шн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виклики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зниженням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внутр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шньо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залученост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Зрештою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спричинити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деградац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процес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ключових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кадр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ддю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проблему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горизонтальних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структур</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 </w:t>
      </w:r>
      <w:r w:rsidRPr="00511005">
        <w:rPr>
          <w:rFonts w:ascii="Arial" w:eastAsia="Malgun Gothic" w:hAnsi="Arial" w:cs="Arial"/>
          <w:kern w:val="2"/>
          <w:szCs w:val="28"/>
          <w:lang w:val="uk-UA"/>
          <w14:ligatures w14:val="standardContextual"/>
        </w:rPr>
        <w:t>моделей</w:t>
      </w:r>
      <w:r w:rsidRPr="00511005">
        <w:rPr>
          <w:rFonts w:ascii="Arial" w:eastAsia="Calibri" w:hAnsi="Arial" w:cs="Arial"/>
          <w:kern w:val="2"/>
          <w:szCs w:val="28"/>
          <w:lang w:val="uk-UA"/>
          <w14:ligatures w14:val="standardContextual"/>
        </w:rPr>
        <w:t xml:space="preserve"> з мі</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мальною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децентрал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прийняття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надати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автоном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командам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значно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скоротити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час</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реагування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Флет</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модел</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особливо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динам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галузях</w:t>
      </w:r>
      <w:r w:rsidRPr="00511005">
        <w:rPr>
          <w:rFonts w:ascii="Arial" w:eastAsia="Calibri" w:hAnsi="Arial" w:cs="Arial"/>
          <w:kern w:val="2"/>
          <w:szCs w:val="28"/>
          <w:lang w:val="uk-UA"/>
          <w14:ligatures w14:val="standardContextual"/>
        </w:rPr>
        <w:t xml:space="preserve"> - IT, </w:t>
      </w:r>
      <w:r w:rsidRPr="00511005">
        <w:rPr>
          <w:rFonts w:ascii="Arial" w:eastAsia="Malgun Gothic" w:hAnsi="Arial" w:cs="Arial"/>
          <w:kern w:val="2"/>
          <w:szCs w:val="28"/>
          <w:lang w:val="uk-UA"/>
          <w14:ligatures w14:val="standardContextual"/>
        </w:rPr>
        <w:t>креативн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економ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цифрових</w:t>
      </w:r>
      <w:r w:rsidRPr="00511005">
        <w:rPr>
          <w:rFonts w:ascii="Arial" w:eastAsia="Calibri" w:hAnsi="Arial" w:cs="Arial"/>
          <w:kern w:val="2"/>
          <w:szCs w:val="28"/>
          <w:lang w:val="uk-UA"/>
          <w14:ligatures w14:val="standardContextual"/>
        </w:rPr>
        <w:t xml:space="preserve"> серві</w:t>
      </w:r>
      <w:r w:rsidRPr="00511005">
        <w:rPr>
          <w:rFonts w:ascii="Arial" w:eastAsia="Malgun Gothic" w:hAnsi="Arial" w:cs="Arial"/>
          <w:kern w:val="2"/>
          <w:szCs w:val="28"/>
          <w:lang w:val="uk-UA"/>
          <w14:ligatures w14:val="standardContextual"/>
        </w:rPr>
        <w:t>сах</w:t>
      </w:r>
      <w:r w:rsidRPr="00511005">
        <w:rPr>
          <w:rFonts w:ascii="Arial" w:eastAsia="Calibri" w:hAnsi="Arial" w:cs="Arial"/>
          <w:kern w:val="2"/>
          <w:szCs w:val="28"/>
          <w:lang w:val="uk-UA"/>
          <w14:ligatures w14:val="standardContextual"/>
        </w:rPr>
        <w:t xml:space="preserve"> - </w:t>
      </w:r>
      <w:r w:rsidRPr="00511005">
        <w:rPr>
          <w:rFonts w:ascii="Arial" w:eastAsia="Malgun Gothic" w:hAnsi="Arial" w:cs="Arial"/>
          <w:kern w:val="2"/>
          <w:szCs w:val="28"/>
          <w:lang w:val="uk-UA"/>
          <w14:ligatures w14:val="standardContextual"/>
        </w:rPr>
        <w:t>де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адаптивн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критичними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виж</w:t>
      </w:r>
      <w:r w:rsidRPr="00511005">
        <w:rPr>
          <w:rFonts w:ascii="Arial" w:eastAsia="Calibri" w:hAnsi="Arial" w:cs="Arial"/>
          <w:kern w:val="2"/>
          <w:szCs w:val="28"/>
          <w:lang w:val="uk-UA"/>
          <w14:ligatures w14:val="standardContextual"/>
        </w:rPr>
        <w:t>ивання. Украї</w:t>
      </w:r>
      <w:r w:rsidRPr="00511005">
        <w:rPr>
          <w:rFonts w:ascii="Arial" w:eastAsia="Malgun Gothic" w:hAnsi="Arial" w:cs="Arial"/>
          <w:kern w:val="2"/>
          <w:szCs w:val="28"/>
          <w:lang w:val="uk-UA"/>
          <w14:ligatures w14:val="standardContextual"/>
        </w:rPr>
        <w:t>нська</w:t>
      </w:r>
      <w:r w:rsidRPr="00511005">
        <w:rPr>
          <w:rFonts w:ascii="Arial" w:eastAsia="Calibri" w:hAnsi="Arial" w:cs="Arial"/>
          <w:kern w:val="2"/>
          <w:szCs w:val="28"/>
          <w:lang w:val="uk-UA"/>
          <w14:ligatures w14:val="standardContextual"/>
        </w:rPr>
        <w:t xml:space="preserve"> IT-</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«Генез</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w:t>
      </w:r>
      <w:r w:rsidRPr="00511005">
        <w:rPr>
          <w:rFonts w:ascii="Arial" w:eastAsia="Calibri"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показовим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lastRenderedPageBreak/>
        <w:t>прикладом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застосування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дходу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Завдяки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автономним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ктним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командам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вона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змогла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швидко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релокувати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частину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запустит</w:t>
      </w:r>
      <w:r w:rsidRPr="00511005">
        <w:rPr>
          <w:rFonts w:ascii="Arial" w:eastAsia="Calibri" w:hAnsi="Arial" w:cs="Arial"/>
          <w:kern w:val="2"/>
          <w:szCs w:val="28"/>
          <w:lang w:val="uk-UA"/>
          <w14:ligatures w14:val="standardContextual"/>
        </w:rPr>
        <w:t xml:space="preserve">и нові </w:t>
      </w:r>
      <w:r w:rsidRPr="00511005">
        <w:rPr>
          <w:rFonts w:ascii="Arial" w:eastAsia="Malgun Gothic" w:hAnsi="Arial" w:cs="Arial"/>
          <w:kern w:val="2"/>
          <w:szCs w:val="28"/>
          <w:lang w:val="uk-UA"/>
          <w14:ligatures w14:val="standardContextual"/>
        </w:rPr>
        <w:t>продукти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вже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2022 </w:t>
      </w:r>
      <w:r w:rsidRPr="00511005">
        <w:rPr>
          <w:rFonts w:ascii="Arial" w:eastAsia="Malgun Gothic" w:hAnsi="Arial" w:cs="Arial"/>
          <w:kern w:val="2"/>
          <w:szCs w:val="28"/>
          <w:lang w:val="uk-UA"/>
          <w14:ligatures w14:val="standardContextual"/>
        </w:rPr>
        <w:t>роц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Це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дчить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модел</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базу</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команд</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роз</w:t>
      </w:r>
      <w:r w:rsidRPr="00511005">
        <w:rPr>
          <w:rFonts w:ascii="Arial" w:eastAsia="Calibri" w:hAnsi="Arial" w:cs="Arial"/>
          <w:kern w:val="2"/>
          <w:szCs w:val="28"/>
          <w:lang w:val="uk-UA"/>
          <w14:ligatures w14:val="standardContextual"/>
        </w:rPr>
        <w:t>поді</w:t>
      </w:r>
      <w:r w:rsidRPr="00511005">
        <w:rPr>
          <w:rFonts w:ascii="Arial" w:eastAsia="Malgun Gothic" w:hAnsi="Arial" w:cs="Arial"/>
          <w:kern w:val="2"/>
          <w:szCs w:val="28"/>
          <w:lang w:val="uk-UA"/>
          <w14:ligatures w14:val="standardContextual"/>
        </w:rPr>
        <w:t>лен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дальност</w:t>
      </w:r>
      <w:r w:rsidRPr="00511005">
        <w:rPr>
          <w:rFonts w:ascii="Arial" w:eastAsia="Calibri" w:hAnsi="Arial" w:cs="Arial"/>
          <w:kern w:val="2"/>
          <w:szCs w:val="28"/>
          <w:lang w:val="uk-UA"/>
          <w14:ligatures w14:val="standardContextual"/>
        </w:rPr>
        <w:t>і [3, 6].</w:t>
      </w:r>
    </w:p>
    <w:p w14:paraId="5E89E233"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Психоемоці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насл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хрон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тривожн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стрес</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емоц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вигорання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негативно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впливають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функц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онування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колектив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знижуючи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продуктивн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двищуючи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плинн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кадр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конфл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загрожу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кадровим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алом</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йною</w:t>
      </w:r>
      <w:r w:rsidRPr="00511005">
        <w:rPr>
          <w:rFonts w:ascii="Arial" w:eastAsia="Calibri" w:hAnsi="Arial" w:cs="Arial"/>
          <w:kern w:val="2"/>
          <w:szCs w:val="28"/>
          <w:lang w:val="uk-UA"/>
          <w14:ligatures w14:val="standardContextual"/>
        </w:rPr>
        <w:t xml:space="preserve"> є</w:t>
      </w:r>
      <w:r w:rsidRPr="00511005">
        <w:rPr>
          <w:rFonts w:ascii="Arial" w:eastAsia="Malgun Gothic" w:hAnsi="Arial" w:cs="Arial"/>
          <w:kern w:val="2"/>
          <w:szCs w:val="28"/>
          <w:lang w:val="uk-UA"/>
          <w14:ligatures w14:val="standardContextual"/>
        </w:rPr>
        <w:t>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дсутн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психолог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посилю</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ризики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шенням</w:t>
      </w:r>
      <w:r w:rsidRPr="00511005">
        <w:rPr>
          <w:rFonts w:ascii="Arial" w:eastAsia="Calibri"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сихологі</w:t>
      </w:r>
      <w:r w:rsidRPr="00511005">
        <w:rPr>
          <w:rFonts w:ascii="Arial" w:eastAsia="Malgun Gothic" w:hAnsi="Arial" w:cs="Arial"/>
          <w:kern w:val="2"/>
          <w:szCs w:val="28"/>
          <w:lang w:val="uk-UA"/>
          <w14:ligatures w14:val="standardContextual"/>
        </w:rPr>
        <w:t>чно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допомоги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включаючи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профес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консультац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анон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мн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серв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кризову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сприя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створенню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середовища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Емоц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дерство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демонстру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емпат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вигорання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алог</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разом</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гнучкими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умовами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w:t>
      </w:r>
      <w:r w:rsidRPr="00511005">
        <w:rPr>
          <w:rFonts w:ascii="Arial" w:eastAsia="Calibri" w:hAnsi="Arial" w:cs="Arial"/>
          <w:kern w:val="2"/>
          <w:szCs w:val="28"/>
          <w:lang w:val="uk-UA"/>
          <w14:ligatures w14:val="standardContextual"/>
        </w:rPr>
        <w:t xml:space="preserve">ці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визнанням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досягнень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знижу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тривожн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згуртован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Приклади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от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платформа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“МенталХаб”</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Ощадбанку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w:t>
      </w:r>
      <w:r w:rsidRPr="00511005">
        <w:rPr>
          <w:rFonts w:ascii="Arial" w:eastAsia="Calibri" w:hAnsi="Arial" w:cs="Arial"/>
          <w:kern w:val="2"/>
          <w:szCs w:val="28"/>
          <w:lang w:val="uk-UA"/>
          <w14:ligatures w14:val="standardContextual"/>
        </w:rPr>
        <w:t xml:space="preserve">well-being </w:t>
      </w:r>
      <w:r w:rsidRPr="00511005">
        <w:rPr>
          <w:rFonts w:ascii="Arial" w:eastAsia="Malgun Gothic" w:hAnsi="Arial" w:cs="Arial"/>
          <w:kern w:val="2"/>
          <w:szCs w:val="28"/>
          <w:lang w:val="uk-UA"/>
          <w14:ligatures w14:val="standardContextual"/>
        </w:rPr>
        <w:t>хаб”</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SoftServe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психотерапевтична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Grammarly, і</w:t>
      </w:r>
      <w:r w:rsidRPr="00511005">
        <w:rPr>
          <w:rFonts w:ascii="Arial" w:eastAsia="Malgun Gothic" w:hAnsi="Arial" w:cs="Arial"/>
          <w:kern w:val="2"/>
          <w:szCs w:val="28"/>
          <w:lang w:val="uk-UA"/>
          <w14:ligatures w14:val="standardContextual"/>
        </w:rPr>
        <w:t>люструють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заход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культуру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ту</w:t>
      </w:r>
      <w:r w:rsidRPr="00511005">
        <w:rPr>
          <w:rFonts w:ascii="Arial" w:eastAsia="Calibri" w:hAnsi="Arial" w:cs="Arial"/>
          <w:kern w:val="2"/>
          <w:szCs w:val="28"/>
          <w:lang w:val="uk-UA"/>
          <w14:ligatures w14:val="standardContextual"/>
        </w:rPr>
        <w:t>рботи, що змі</w:t>
      </w:r>
      <w:r w:rsidRPr="00511005">
        <w:rPr>
          <w:rFonts w:ascii="Arial" w:eastAsia="Malgun Gothic" w:hAnsi="Arial" w:cs="Arial"/>
          <w:kern w:val="2"/>
          <w:szCs w:val="28"/>
          <w:lang w:val="uk-UA"/>
          <w14:ligatures w14:val="standardContextual"/>
        </w:rPr>
        <w:t>цню</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команд</w:t>
      </w:r>
      <w:r w:rsidRPr="00511005">
        <w:rPr>
          <w:rFonts w:ascii="Arial" w:eastAsia="Calibri" w:hAnsi="Arial" w:cs="Arial"/>
          <w:kern w:val="2"/>
          <w:szCs w:val="28"/>
          <w:lang w:val="uk-UA"/>
          <w14:ligatures w14:val="standardContextual"/>
        </w:rPr>
        <w:t xml:space="preserve"> [2, 4, 5].</w:t>
      </w:r>
    </w:p>
    <w:p w14:paraId="6AB7B789"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Повномасштабна ві</w:t>
      </w:r>
      <w:r w:rsidRPr="00511005">
        <w:rPr>
          <w:rFonts w:ascii="Arial" w:eastAsia="Malgun Gothic" w:hAnsi="Arial" w:cs="Arial"/>
          <w:kern w:val="2"/>
          <w:szCs w:val="28"/>
          <w:lang w:val="uk-UA"/>
          <w14:ligatures w14:val="standardContextual"/>
        </w:rPr>
        <w:t>йна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посилила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сусп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акцент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етичн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громадянськ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позиц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знесу</w:t>
      </w:r>
      <w:r w:rsidRPr="00511005">
        <w:rPr>
          <w:rFonts w:ascii="Arial" w:eastAsia="Calibri" w:hAnsi="Arial" w:cs="Arial"/>
          <w:kern w:val="2"/>
          <w:szCs w:val="28"/>
          <w:lang w:val="uk-UA"/>
          <w14:ligatures w14:val="standardContextual"/>
        </w:rPr>
        <w:t>. І</w:t>
      </w:r>
      <w:r w:rsidRPr="00511005">
        <w:rPr>
          <w:rFonts w:ascii="Arial" w:eastAsia="Malgun Gothic" w:hAnsi="Arial" w:cs="Arial"/>
          <w:kern w:val="2"/>
          <w:szCs w:val="28"/>
          <w:lang w:val="uk-UA"/>
          <w14:ligatures w14:val="standardContextual"/>
        </w:rPr>
        <w:t>гнорування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дальност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дсутн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прозорост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загрожують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репутац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втратами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бой</w:t>
      </w:r>
      <w:r w:rsidRPr="00511005">
        <w:rPr>
          <w:rFonts w:ascii="Arial" w:eastAsia="Calibri" w:hAnsi="Arial" w:cs="Arial"/>
          <w:kern w:val="2"/>
          <w:szCs w:val="28"/>
          <w:lang w:val="uk-UA"/>
          <w14:ligatures w14:val="standardContextual"/>
        </w:rPr>
        <w:t xml:space="preserve">котом і </w:t>
      </w:r>
      <w:r w:rsidRPr="00511005">
        <w:rPr>
          <w:rFonts w:ascii="Arial" w:eastAsia="Malgun Gothic" w:hAnsi="Arial" w:cs="Arial"/>
          <w:kern w:val="2"/>
          <w:szCs w:val="28"/>
          <w:lang w:val="uk-UA"/>
          <w14:ligatures w14:val="standardContextual"/>
        </w:rPr>
        <w:t>зниженням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лояльност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Усв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домлення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громадянських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нностей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робить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позиц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обов’язковою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Актив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корпоративно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дальност</w:t>
      </w:r>
      <w:r w:rsidRPr="00511005">
        <w:rPr>
          <w:rFonts w:ascii="Arial" w:eastAsia="Calibri" w:hAnsi="Arial" w:cs="Arial"/>
          <w:kern w:val="2"/>
          <w:szCs w:val="28"/>
          <w:lang w:val="uk-UA"/>
          <w14:ligatures w14:val="standardContextual"/>
        </w:rPr>
        <w:t>і (</w:t>
      </w:r>
      <w:r w:rsidRPr="00511005">
        <w:rPr>
          <w:rFonts w:ascii="Arial" w:eastAsia="Malgun Gothic" w:hAnsi="Arial" w:cs="Arial"/>
          <w:kern w:val="2"/>
          <w:szCs w:val="28"/>
          <w:lang w:val="uk-UA"/>
          <w14:ligatures w14:val="standardContextual"/>
        </w:rPr>
        <w:t>КСВ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через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благод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гуман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тарну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допомогу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волонтерство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w:t>
      </w:r>
      <w:r w:rsidRPr="00511005">
        <w:rPr>
          <w:rFonts w:ascii="Arial" w:eastAsia="Calibri" w:hAnsi="Arial" w:cs="Arial"/>
          <w:kern w:val="2"/>
          <w:szCs w:val="28"/>
          <w:lang w:val="uk-UA"/>
          <w14:ligatures w14:val="standardContextual"/>
        </w:rPr>
        <w:t>у ЗСУ, як у випадках Rozetka (логі</w:t>
      </w:r>
      <w:r w:rsidRPr="00511005">
        <w:rPr>
          <w:rFonts w:ascii="Arial" w:eastAsia="Malgun Gothic" w:hAnsi="Arial" w:cs="Arial"/>
          <w:kern w:val="2"/>
          <w:szCs w:val="28"/>
          <w:lang w:val="uk-UA"/>
          <w14:ligatures w14:val="standardContextual"/>
        </w:rPr>
        <w:t>стика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допомоги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кошт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Нова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Пошта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гуман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тарн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перевезення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фонд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цню</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бренд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лояль</w:t>
      </w:r>
      <w:r w:rsidRPr="00511005">
        <w:rPr>
          <w:rFonts w:ascii="Arial" w:eastAsia="Calibri" w:hAnsi="Arial" w:cs="Arial"/>
          <w:kern w:val="2"/>
          <w:szCs w:val="28"/>
          <w:lang w:val="uk-UA"/>
          <w14:ligatures w14:val="standardContextual"/>
        </w:rPr>
        <w:t>ні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сприя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сталому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розвитку</w:t>
      </w:r>
      <w:r w:rsidRPr="00511005">
        <w:rPr>
          <w:rFonts w:ascii="Arial" w:eastAsia="Calibri" w:hAnsi="Arial" w:cs="Arial"/>
          <w:kern w:val="2"/>
          <w:szCs w:val="28"/>
          <w:lang w:val="uk-UA"/>
          <w14:ligatures w14:val="standardContextual"/>
        </w:rPr>
        <w:t xml:space="preserve"> [1, 4].</w:t>
      </w:r>
    </w:p>
    <w:p w14:paraId="2508EA06" w14:textId="77777777" w:rsidR="00AE57E7" w:rsidRPr="00511005" w:rsidRDefault="00AE57E7" w:rsidP="003A292D">
      <w:pPr>
        <w:tabs>
          <w:tab w:val="left" w:pos="1134"/>
        </w:tabs>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У контексті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глибоких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тра</w:t>
      </w:r>
      <w:r w:rsidRPr="00511005">
        <w:rPr>
          <w:rFonts w:ascii="Arial" w:eastAsia="Calibri" w:hAnsi="Arial" w:cs="Arial"/>
          <w:kern w:val="2"/>
          <w:szCs w:val="28"/>
          <w:lang w:val="uk-UA"/>
          <w14:ligatures w14:val="standardContextual"/>
        </w:rPr>
        <w:t>нсформаці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корпоративна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культура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потребу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гнучко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адаптац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реальност</w:t>
      </w:r>
      <w:r w:rsidRPr="00511005">
        <w:rPr>
          <w:rFonts w:ascii="Arial" w:eastAsia="Calibri" w:hAnsi="Arial" w:cs="Arial"/>
          <w:kern w:val="2"/>
          <w:szCs w:val="28"/>
          <w:lang w:val="uk-UA"/>
          <w14:ligatures w14:val="standardContextual"/>
        </w:rPr>
        <w:t>і. 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корпоративн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культур</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значення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вони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спрямован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працездатност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умовах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кризи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створенн</w:t>
      </w:r>
      <w:r w:rsidRPr="00511005">
        <w:rPr>
          <w:rFonts w:ascii="Arial" w:eastAsia="Calibri" w:hAnsi="Arial" w:cs="Arial"/>
          <w:kern w:val="2"/>
          <w:szCs w:val="28"/>
          <w:lang w:val="uk-UA"/>
          <w14:ligatures w14:val="standardContextual"/>
        </w:rPr>
        <w:t xml:space="preserve">я основ для довгострокової </w:t>
      </w:r>
      <w:r w:rsidRPr="00511005">
        <w:rPr>
          <w:rFonts w:ascii="Arial" w:eastAsia="Malgun Gothic" w:hAnsi="Arial" w:cs="Arial"/>
          <w:kern w:val="2"/>
          <w:szCs w:val="28"/>
          <w:lang w:val="uk-UA"/>
          <w14:ligatures w14:val="standardContextual"/>
        </w:rPr>
        <w:t>конкурентоспроможност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Сучасн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дходи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охоплюють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ключов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напрями</w:t>
      </w:r>
      <w:r w:rsidRPr="00511005">
        <w:rPr>
          <w:rFonts w:ascii="Arial" w:eastAsia="Calibri" w:hAnsi="Arial" w:cs="Arial"/>
          <w:kern w:val="2"/>
          <w:szCs w:val="28"/>
          <w:lang w:val="uk-UA"/>
          <w14:ligatures w14:val="standardContextual"/>
        </w:rPr>
        <w:t>:</w:t>
      </w:r>
    </w:p>
    <w:p w14:paraId="6206A731" w14:textId="77777777" w:rsidR="00AE57E7" w:rsidRPr="00511005" w:rsidRDefault="00AE57E7" w:rsidP="003A292D">
      <w:pPr>
        <w:tabs>
          <w:tab w:val="left" w:pos="1134"/>
        </w:tabs>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1.</w:t>
      </w:r>
      <w:r w:rsidRPr="00511005">
        <w:rPr>
          <w:rFonts w:ascii="Arial" w:eastAsia="Calibri" w:hAnsi="Arial" w:cs="Arial"/>
          <w:kern w:val="2"/>
          <w:szCs w:val="28"/>
          <w:lang w:val="uk-UA"/>
          <w14:ligatures w14:val="standardContextual"/>
        </w:rPr>
        <w:tab/>
        <w:t>Цифрові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внутр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Цифрові </w:t>
      </w:r>
      <w:r w:rsidRPr="00511005">
        <w:rPr>
          <w:rFonts w:ascii="Arial" w:eastAsia="Malgun Gothic" w:hAnsi="Arial" w:cs="Arial"/>
          <w:kern w:val="2"/>
          <w:szCs w:val="28"/>
          <w:lang w:val="uk-UA"/>
          <w14:ligatures w14:val="standardContextual"/>
        </w:rPr>
        <w:t>технолог</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стали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просто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каналом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зв’язку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платформою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дтримки</w:t>
      </w:r>
      <w:r w:rsidRPr="00511005">
        <w:rPr>
          <w:rFonts w:ascii="Arial" w:eastAsia="Calibri" w:hAnsi="Arial" w:cs="Arial"/>
          <w:kern w:val="2"/>
          <w:szCs w:val="28"/>
          <w:lang w:val="uk-UA"/>
          <w14:ligatures w14:val="standardContextual"/>
        </w:rPr>
        <w:t xml:space="preserve"> є</w:t>
      </w:r>
      <w:r w:rsidRPr="00511005">
        <w:rPr>
          <w:rFonts w:ascii="Arial" w:eastAsia="Malgun Gothic" w:hAnsi="Arial" w:cs="Arial"/>
          <w:kern w:val="2"/>
          <w:szCs w:val="28"/>
          <w:lang w:val="uk-UA"/>
          <w14:ligatures w14:val="standardContextual"/>
        </w:rPr>
        <w:t>дност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лояльност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психолог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езпеки спі</w:t>
      </w:r>
      <w:r w:rsidRPr="00511005">
        <w:rPr>
          <w:rFonts w:ascii="Arial" w:eastAsia="Malgun Gothic" w:hAnsi="Arial" w:cs="Arial"/>
          <w:kern w:val="2"/>
          <w:szCs w:val="28"/>
          <w:lang w:val="uk-UA"/>
          <w14:ligatures w14:val="standardContextual"/>
        </w:rPr>
        <w:t>вроб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корпоративних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платформ</w:t>
      </w:r>
      <w:r w:rsidRPr="00511005">
        <w:rPr>
          <w:rFonts w:ascii="Arial" w:eastAsia="Calibri" w:hAnsi="Arial" w:cs="Arial"/>
          <w:kern w:val="2"/>
          <w:szCs w:val="28"/>
          <w:lang w:val="uk-UA"/>
          <w14:ligatures w14:val="standardContextual"/>
        </w:rPr>
        <w:t xml:space="preserve"> (Slack, Microsoft Teams, Zoom, Notion), </w:t>
      </w:r>
      <w:r w:rsidRPr="00511005">
        <w:rPr>
          <w:rFonts w:ascii="Arial" w:eastAsia="Malgun Gothic" w:hAnsi="Arial" w:cs="Arial"/>
          <w:kern w:val="2"/>
          <w:szCs w:val="28"/>
          <w:lang w:val="uk-UA"/>
          <w14:ligatures w14:val="standardContextual"/>
        </w:rPr>
        <w:t>автоматизованих</w:t>
      </w:r>
      <w:r w:rsidRPr="00511005">
        <w:rPr>
          <w:rFonts w:ascii="Arial" w:eastAsia="Calibri" w:hAnsi="Arial" w:cs="Arial"/>
          <w:kern w:val="2"/>
          <w:szCs w:val="28"/>
          <w:lang w:val="uk-UA"/>
          <w14:ligatures w14:val="standardContextual"/>
        </w:rPr>
        <w:t xml:space="preserve"> HRM-</w:t>
      </w:r>
      <w:r w:rsidRPr="00511005">
        <w:rPr>
          <w:rFonts w:ascii="Arial" w:eastAsia="Malgun Gothic" w:hAnsi="Arial" w:cs="Arial"/>
          <w:kern w:val="2"/>
          <w:szCs w:val="28"/>
          <w:lang w:val="uk-UA"/>
          <w14:ligatures w14:val="standardContextual"/>
        </w:rPr>
        <w:t>систем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чат</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бот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застосунк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забезпечити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оперативн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ну</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прозор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прийняття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w:t>
      </w:r>
      <w:r w:rsidRPr="00511005">
        <w:rPr>
          <w:rFonts w:ascii="Arial" w:eastAsia="Calibri" w:hAnsi="Arial" w:cs="Arial"/>
          <w:kern w:val="2"/>
          <w:szCs w:val="28"/>
          <w:lang w:val="uk-UA"/>
          <w14:ligatures w14:val="standardContextual"/>
        </w:rPr>
        <w:t>у взає</w:t>
      </w:r>
      <w:r w:rsidRPr="00511005">
        <w:rPr>
          <w:rFonts w:ascii="Arial" w:eastAsia="Malgun Gothic" w:hAnsi="Arial" w:cs="Arial"/>
          <w:kern w:val="2"/>
          <w:szCs w:val="28"/>
          <w:lang w:val="uk-UA"/>
          <w14:ligatures w14:val="standardContextual"/>
        </w:rPr>
        <w:t>мод</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розпод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лених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командах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 і</w:t>
      </w:r>
      <w:r w:rsidRPr="00511005">
        <w:rPr>
          <w:rFonts w:ascii="Arial" w:eastAsia="Malgun Gothic" w:hAnsi="Arial" w:cs="Arial"/>
          <w:kern w:val="2"/>
          <w:szCs w:val="28"/>
          <w:lang w:val="uk-UA"/>
          <w14:ligatures w14:val="standardContextual"/>
        </w:rPr>
        <w:t>нструменти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сприяють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формуванню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культури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дкритост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зворотного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зв’язку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самоорган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ії.</w:t>
      </w:r>
    </w:p>
    <w:p w14:paraId="3448F9CA" w14:textId="77777777" w:rsidR="00AE57E7" w:rsidRPr="00511005" w:rsidRDefault="00AE57E7" w:rsidP="003A292D">
      <w:pPr>
        <w:tabs>
          <w:tab w:val="left" w:pos="1134"/>
        </w:tabs>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lastRenderedPageBreak/>
        <w:t>2. Формування культури емоці</w:t>
      </w:r>
      <w:r w:rsidRPr="00511005">
        <w:rPr>
          <w:rFonts w:ascii="Arial" w:eastAsia="Malgun Gothic" w:hAnsi="Arial" w:cs="Arial"/>
          <w:kern w:val="2"/>
          <w:szCs w:val="28"/>
          <w:lang w:val="uk-UA"/>
          <w14:ligatures w14:val="standardContextual"/>
        </w:rPr>
        <w:t>йного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дерства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психолог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дтримки</w:t>
      </w:r>
      <w:r w:rsidRPr="00511005">
        <w:rPr>
          <w:rFonts w:ascii="Arial" w:eastAsia="Calibri" w:hAnsi="Arial" w:cs="Arial"/>
          <w:kern w:val="2"/>
          <w:szCs w:val="28"/>
          <w:lang w:val="uk-UA"/>
          <w14:ligatures w14:val="standardContextual"/>
        </w:rPr>
        <w:t>. В умовах стресу, небезпеки та нестабі</w:t>
      </w:r>
      <w:r w:rsidRPr="00511005">
        <w:rPr>
          <w:rFonts w:ascii="Arial" w:eastAsia="Malgun Gothic" w:hAnsi="Arial" w:cs="Arial"/>
          <w:kern w:val="2"/>
          <w:szCs w:val="28"/>
          <w:lang w:val="uk-UA"/>
          <w14:ligatures w14:val="standardContextual"/>
        </w:rPr>
        <w:t>льност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особли</w:t>
      </w:r>
      <w:r w:rsidRPr="00511005">
        <w:rPr>
          <w:rFonts w:ascii="Arial" w:eastAsia="Calibri" w:hAnsi="Arial" w:cs="Arial"/>
          <w:kern w:val="2"/>
          <w:szCs w:val="28"/>
          <w:lang w:val="uk-UA"/>
          <w14:ligatures w14:val="standardContextual"/>
        </w:rPr>
        <w:t xml:space="preserve">вого значення набуває </w:t>
      </w:r>
      <w:r w:rsidRPr="00511005">
        <w:rPr>
          <w:rFonts w:ascii="Arial" w:eastAsia="Malgun Gothic" w:hAnsi="Arial" w:cs="Arial"/>
          <w:kern w:val="2"/>
          <w:szCs w:val="28"/>
          <w:lang w:val="uk-UA"/>
          <w14:ligatures w14:val="standardContextual"/>
        </w:rPr>
        <w:t>розвиток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дерства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нтованого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емпат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ру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Емоц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гентн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нос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культури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благополуччя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забезпечу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психолог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команд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програм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мент</w:t>
      </w:r>
      <w:r w:rsidRPr="00511005">
        <w:rPr>
          <w:rFonts w:ascii="Arial" w:eastAsia="Calibri" w:hAnsi="Arial" w:cs="Arial"/>
          <w:kern w:val="2"/>
          <w:szCs w:val="28"/>
          <w:lang w:val="uk-UA"/>
          <w14:ligatures w14:val="standardContextual"/>
        </w:rPr>
        <w:t>ального здоров’я, внутрі</w:t>
      </w:r>
      <w:r w:rsidRPr="00511005">
        <w:rPr>
          <w:rFonts w:ascii="Arial" w:eastAsia="Malgun Gothic" w:hAnsi="Arial" w:cs="Arial"/>
          <w:kern w:val="2"/>
          <w:szCs w:val="28"/>
          <w:lang w:val="uk-UA"/>
          <w14:ligatures w14:val="standardContextual"/>
        </w:rPr>
        <w:t>шнього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коучингу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кризового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менеджменту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адаптивного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дерства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знизити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емоц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вигорання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зберегти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продуктивн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надзвичайних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обставинах</w:t>
      </w:r>
      <w:r w:rsidRPr="00511005">
        <w:rPr>
          <w:rFonts w:ascii="Arial" w:eastAsia="Calibri" w:hAnsi="Arial" w:cs="Arial"/>
          <w:kern w:val="2"/>
          <w:szCs w:val="28"/>
          <w:lang w:val="uk-UA"/>
          <w14:ligatures w14:val="standardContextual"/>
        </w:rPr>
        <w:t>.</w:t>
      </w:r>
    </w:p>
    <w:p w14:paraId="6EA37EF1" w14:textId="77777777" w:rsidR="00AE57E7" w:rsidRPr="00511005" w:rsidRDefault="00AE57E7" w:rsidP="003A292D">
      <w:pPr>
        <w:tabs>
          <w:tab w:val="left" w:pos="1134"/>
        </w:tabs>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3. Гнучкі </w:t>
      </w:r>
      <w:r w:rsidRPr="00511005">
        <w:rPr>
          <w:rFonts w:ascii="Arial" w:eastAsia="Malgun Gothic" w:hAnsi="Arial" w:cs="Arial"/>
          <w:kern w:val="2"/>
          <w:szCs w:val="28"/>
          <w:lang w:val="uk-UA"/>
          <w14:ligatures w14:val="standardContextual"/>
        </w:rPr>
        <w:t>модел</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ндив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дуал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вза</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мод</w:t>
      </w:r>
      <w:r w:rsidRPr="00511005">
        <w:rPr>
          <w:rFonts w:ascii="Arial" w:eastAsia="Calibri" w:hAnsi="Arial" w:cs="Arial"/>
          <w:kern w:val="2"/>
          <w:szCs w:val="28"/>
          <w:lang w:val="uk-UA"/>
          <w14:ligatures w14:val="standardContextual"/>
        </w:rPr>
        <w:t>ії.</w:t>
      </w:r>
      <w:r w:rsidRPr="00511005">
        <w:rPr>
          <w:rFonts w:ascii="Arial" w:eastAsia="Calibri" w:hAnsi="Arial" w:cs="Arial"/>
          <w:kern w:val="2"/>
          <w:szCs w:val="28"/>
          <w:lang w:val="uk-UA"/>
          <w14:ligatures w14:val="standardContextual"/>
        </w:rPr>
        <w:br/>
        <w:t>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корпоративна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культура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передбача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жорстких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вертикальних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структур</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льш</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гнучких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децентрал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зованих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бридних</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дистанц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формат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роботи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використання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фреймворк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agile і lean,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також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можлив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w:t>
      </w:r>
      <w:r w:rsidRPr="00511005">
        <w:rPr>
          <w:rFonts w:ascii="Arial" w:eastAsia="Calibri" w:hAnsi="Arial" w:cs="Arial"/>
          <w:kern w:val="2"/>
          <w:szCs w:val="28"/>
          <w:lang w:val="uk-UA"/>
          <w14:ligatures w14:val="standardContextual"/>
        </w:rPr>
        <w:t>ь вибору особистих трає</w:t>
      </w:r>
      <w:r w:rsidRPr="00511005">
        <w:rPr>
          <w:rFonts w:ascii="Arial" w:eastAsia="Malgun Gothic" w:hAnsi="Arial" w:cs="Arial"/>
          <w:kern w:val="2"/>
          <w:szCs w:val="28"/>
          <w:lang w:val="uk-UA"/>
          <w14:ligatures w14:val="standardContextual"/>
        </w:rPr>
        <w:t>ктор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кар’</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рного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зростання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сприяють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двищенню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задоволеност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ї</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мотивац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залуче</w:t>
      </w:r>
      <w:r w:rsidRPr="00511005">
        <w:rPr>
          <w:rFonts w:ascii="Arial" w:eastAsia="Calibri" w:hAnsi="Arial" w:cs="Arial"/>
          <w:kern w:val="2"/>
          <w:szCs w:val="28"/>
          <w:lang w:val="uk-UA"/>
          <w14:ligatures w14:val="standardContextual"/>
        </w:rPr>
        <w:t xml:space="preserve">ності.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центр</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культури</w:t>
      </w:r>
      <w:r w:rsidRPr="00511005">
        <w:rPr>
          <w:rFonts w:ascii="Arial" w:eastAsia="Calibri" w:hAnsi="Arial" w:cs="Arial"/>
          <w:kern w:val="2"/>
          <w:szCs w:val="28"/>
          <w:lang w:val="uk-UA"/>
          <w14:ligatures w14:val="standardContextual"/>
        </w:rPr>
        <w:t xml:space="preserve"> – дові</w:t>
      </w:r>
      <w:r w:rsidRPr="00511005">
        <w:rPr>
          <w:rFonts w:ascii="Arial" w:eastAsia="Malgun Gothic" w:hAnsi="Arial" w:cs="Arial"/>
          <w:kern w:val="2"/>
          <w:szCs w:val="28"/>
          <w:lang w:val="uk-UA"/>
          <w14:ligatures w14:val="standardContextual"/>
        </w:rPr>
        <w:t>ра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самост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результативн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w:t>
      </w:r>
    </w:p>
    <w:p w14:paraId="1149C51C" w14:textId="77777777" w:rsidR="00AE57E7" w:rsidRPr="00511005" w:rsidRDefault="00AE57E7" w:rsidP="003A292D">
      <w:pPr>
        <w:tabs>
          <w:tab w:val="left" w:pos="1134"/>
        </w:tabs>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4. </w:t>
      </w:r>
      <w:r w:rsidRPr="00511005">
        <w:rPr>
          <w:rFonts w:ascii="Arial" w:eastAsia="Calibri" w:hAnsi="Arial" w:cs="Arial"/>
          <w:kern w:val="2"/>
          <w:szCs w:val="28"/>
          <w:lang w:val="uk-UA"/>
          <w14:ligatures w14:val="standardContextual"/>
        </w:rPr>
        <w:tab/>
        <w:t>Культура зворотного зв’язку та участі.</w:t>
      </w:r>
      <w:r w:rsidRPr="00511005">
        <w:rPr>
          <w:rFonts w:ascii="Arial" w:eastAsia="Calibri" w:hAnsi="Arial" w:cs="Arial"/>
          <w:kern w:val="2"/>
          <w:szCs w:val="28"/>
          <w:lang w:val="uk-UA"/>
          <w14:ligatures w14:val="standardContextual"/>
        </w:rPr>
        <w:br/>
      </w:r>
      <w:r w:rsidRPr="00511005">
        <w:rPr>
          <w:rFonts w:ascii="Arial" w:eastAsia="Malgun Gothic" w:hAnsi="Arial" w:cs="Arial"/>
          <w:kern w:val="2"/>
          <w:szCs w:val="28"/>
          <w:lang w:val="uk-UA"/>
          <w14:ligatures w14:val="standardContextual"/>
        </w:rPr>
        <w:t>Сучасна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корпорати</w:t>
      </w:r>
      <w:r w:rsidRPr="00511005">
        <w:rPr>
          <w:rFonts w:ascii="Arial" w:eastAsia="Calibri" w:hAnsi="Arial" w:cs="Arial"/>
          <w:kern w:val="2"/>
          <w:szCs w:val="28"/>
          <w:lang w:val="uk-UA"/>
          <w14:ligatures w14:val="standardContextual"/>
        </w:rPr>
        <w:t xml:space="preserve">вна культура має </w:t>
      </w:r>
      <w:r w:rsidRPr="00511005">
        <w:rPr>
          <w:rFonts w:ascii="Arial" w:eastAsia="Malgun Gothic" w:hAnsi="Arial" w:cs="Arial"/>
          <w:kern w:val="2"/>
          <w:szCs w:val="28"/>
          <w:lang w:val="uk-UA"/>
          <w14:ligatures w14:val="standardContextual"/>
        </w:rPr>
        <w:t>бути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Регулярн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практики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дкритого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зворотного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зв’язку</w:t>
      </w:r>
      <w:r w:rsidRPr="00511005">
        <w:rPr>
          <w:rFonts w:ascii="Arial" w:eastAsia="Calibri" w:hAnsi="Arial" w:cs="Arial"/>
          <w:kern w:val="2"/>
          <w:szCs w:val="28"/>
          <w:lang w:val="uk-UA"/>
          <w14:ligatures w14:val="standardContextual"/>
        </w:rPr>
        <w:t xml:space="preserve"> (peer reviews, one-on-one, </w:t>
      </w:r>
      <w:r w:rsidRPr="00511005">
        <w:rPr>
          <w:rFonts w:ascii="Arial" w:eastAsia="Malgun Gothic" w:hAnsi="Arial" w:cs="Arial"/>
          <w:kern w:val="2"/>
          <w:szCs w:val="28"/>
          <w:lang w:val="uk-UA"/>
          <w14:ligatures w14:val="standardContextual"/>
        </w:rPr>
        <w:t>опитування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мату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внутр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хакатони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тч</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сес</w:t>
      </w:r>
      <w:r w:rsidRPr="00511005">
        <w:rPr>
          <w:rFonts w:ascii="Arial" w:eastAsia="Calibri" w:hAnsi="Arial" w:cs="Arial"/>
          <w:kern w:val="2"/>
          <w:szCs w:val="28"/>
          <w:lang w:val="uk-UA"/>
          <w14:ligatures w14:val="standardContextual"/>
        </w:rPr>
        <w:t>ії і</w:t>
      </w:r>
      <w:r w:rsidRPr="00511005">
        <w:rPr>
          <w:rFonts w:ascii="Arial" w:eastAsia="Malgun Gothic" w:hAnsi="Arial" w:cs="Arial"/>
          <w:kern w:val="2"/>
          <w:szCs w:val="28"/>
          <w:lang w:val="uk-UA"/>
          <w14:ligatures w14:val="standardContextual"/>
        </w:rPr>
        <w:t>дей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сес</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участю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вроб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сприяють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двищенню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включення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персоналу</w:t>
      </w:r>
      <w:r w:rsidRPr="00511005">
        <w:rPr>
          <w:rFonts w:ascii="Arial" w:eastAsia="Calibri" w:hAnsi="Arial" w:cs="Arial"/>
          <w:kern w:val="2"/>
          <w:szCs w:val="28"/>
          <w:lang w:val="uk-UA"/>
          <w14:ligatures w14:val="standardContextual"/>
        </w:rPr>
        <w:t xml:space="preserve"> у прийняття рі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почуття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дальност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покращу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горизонтальну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комун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сприя</w:t>
      </w:r>
      <w:r w:rsidRPr="00511005">
        <w:rPr>
          <w:rFonts w:ascii="Arial" w:eastAsia="Calibri" w:hAnsi="Arial" w:cs="Arial"/>
          <w:kern w:val="2"/>
          <w:szCs w:val="28"/>
          <w:lang w:val="uk-UA"/>
          <w14:ligatures w14:val="standardContextual"/>
        </w:rPr>
        <w:t>є 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всередин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ії.</w:t>
      </w:r>
    </w:p>
    <w:p w14:paraId="561B89D4" w14:textId="77777777" w:rsidR="00AE57E7" w:rsidRPr="00511005" w:rsidRDefault="00AE57E7" w:rsidP="003A292D">
      <w:pPr>
        <w:tabs>
          <w:tab w:val="left" w:pos="1134"/>
        </w:tabs>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5. Використання дизайн-мислення у формуванні </w:t>
      </w:r>
      <w:r w:rsidRPr="00511005">
        <w:rPr>
          <w:rFonts w:ascii="Arial" w:eastAsia="Malgun Gothic" w:hAnsi="Arial" w:cs="Arial"/>
          <w:kern w:val="2"/>
          <w:szCs w:val="28"/>
          <w:lang w:val="uk-UA"/>
          <w14:ligatures w14:val="standardContextual"/>
        </w:rPr>
        <w:t>внутр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шнього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середовища</w:t>
      </w:r>
      <w:r w:rsidRPr="00511005">
        <w:rPr>
          <w:rFonts w:ascii="Arial" w:eastAsia="Calibri" w:hAnsi="Arial" w:cs="Arial"/>
          <w:kern w:val="2"/>
          <w:szCs w:val="28"/>
          <w:lang w:val="uk-UA"/>
          <w14:ligatures w14:val="standardContextual"/>
        </w:rPr>
        <w:t>. Дизайн-мислення як методологі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w:t>
      </w:r>
      <w:r w:rsidRPr="00511005">
        <w:rPr>
          <w:rFonts w:ascii="Arial" w:eastAsia="Calibri" w:hAnsi="Arial" w:cs="Arial"/>
          <w:kern w:val="2"/>
          <w:szCs w:val="28"/>
          <w:lang w:val="uk-UA"/>
          <w14:ligatures w14:val="standardContextual"/>
        </w:rPr>
        <w:t xml:space="preserve">ння складних проблем дедалі </w:t>
      </w:r>
      <w:r w:rsidRPr="00511005">
        <w:rPr>
          <w:rFonts w:ascii="Arial" w:eastAsia="Malgun Gothic" w:hAnsi="Arial" w:cs="Arial"/>
          <w:kern w:val="2"/>
          <w:szCs w:val="28"/>
          <w:lang w:val="uk-UA"/>
          <w14:ligatures w14:val="standardContextual"/>
        </w:rPr>
        <w:t>активн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впроваджу</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HR- і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практики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створювати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адаптивне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людиноцентричне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корпоративне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середовище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враховуються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емоц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профес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житт</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потреби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Завдяки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цьому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тьс</w:t>
      </w:r>
      <w:r w:rsidRPr="00511005">
        <w:rPr>
          <w:rFonts w:ascii="Arial" w:eastAsia="Calibri" w:hAnsi="Arial" w:cs="Arial"/>
          <w:kern w:val="2"/>
          <w:szCs w:val="28"/>
          <w:lang w:val="uk-UA"/>
          <w14:ligatures w14:val="standardContextual"/>
        </w:rPr>
        <w:t>я культура експериментування, навчання через ді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вдосконалення</w:t>
      </w:r>
      <w:r w:rsidRPr="00511005">
        <w:rPr>
          <w:rFonts w:ascii="Arial" w:eastAsia="Calibri" w:hAnsi="Arial" w:cs="Arial"/>
          <w:kern w:val="2"/>
          <w:szCs w:val="28"/>
          <w:lang w:val="uk-UA"/>
          <w14:ligatures w14:val="standardContextual"/>
        </w:rPr>
        <w:t>.</w:t>
      </w:r>
    </w:p>
    <w:p w14:paraId="79836EDE" w14:textId="7CF5DED2"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трансформац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корпоративно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культури</w:t>
      </w:r>
      <w:r w:rsidRPr="00511005">
        <w:rPr>
          <w:rFonts w:ascii="Arial" w:eastAsia="Calibri"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багатор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вневими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ждисципл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нарними</w:t>
      </w:r>
      <w:r w:rsidRPr="00511005">
        <w:rPr>
          <w:rFonts w:ascii="Arial" w:eastAsia="Calibri" w:hAnsi="Arial" w:cs="Arial"/>
          <w:kern w:val="2"/>
          <w:szCs w:val="28"/>
          <w:lang w:val="uk-UA"/>
          <w14:ligatures w14:val="standardContextual"/>
        </w:rPr>
        <w:t>. Ї</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забезпечу</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синерг</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людського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кап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талу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w:t>
      </w:r>
      <w:r w:rsidRPr="00511005">
        <w:rPr>
          <w:rFonts w:ascii="Arial" w:eastAsia="Calibri" w:hAnsi="Arial" w:cs="Arial"/>
          <w:kern w:val="2"/>
          <w:szCs w:val="28"/>
          <w:lang w:val="uk-UA"/>
          <w14:ligatures w14:val="standardContextual"/>
        </w:rPr>
        <w:t>влі</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во</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нний</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поство</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нний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саме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дходи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зможуть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адаптивн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перевагу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глобальному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середовищ</w:t>
      </w:r>
      <w:r w:rsidRPr="00511005">
        <w:rPr>
          <w:rFonts w:ascii="Arial" w:eastAsia="Calibri" w:hAnsi="Arial" w:cs="Arial"/>
          <w:kern w:val="2"/>
          <w:szCs w:val="28"/>
          <w:lang w:val="uk-UA"/>
          <w14:ligatures w14:val="standardContextual"/>
        </w:rPr>
        <w:t>і.</w:t>
      </w:r>
    </w:p>
    <w:p w14:paraId="7F721CEA" w14:textId="77777777" w:rsidR="00B56F28" w:rsidRPr="00511005" w:rsidRDefault="00B56F28" w:rsidP="003A292D">
      <w:pPr>
        <w:spacing w:line="264" w:lineRule="auto"/>
        <w:rPr>
          <w:rFonts w:ascii="Arial" w:eastAsia="Calibri" w:hAnsi="Arial" w:cs="Arial"/>
          <w:kern w:val="2"/>
          <w:szCs w:val="28"/>
          <w:lang w:val="uk-UA"/>
          <w14:ligatures w14:val="standardContextual"/>
        </w:rPr>
      </w:pPr>
    </w:p>
    <w:p w14:paraId="42412738" w14:textId="53FC6F3B" w:rsidR="00AE57E7" w:rsidRPr="00511005" w:rsidRDefault="007B2628" w:rsidP="007B2628">
      <w:pPr>
        <w:spacing w:line="264" w:lineRule="auto"/>
        <w:ind w:firstLine="0"/>
        <w:jc w:val="center"/>
        <w:rPr>
          <w:rFonts w:ascii="Arial" w:eastAsia="Calibri" w:hAnsi="Arial" w:cs="Arial"/>
          <w:kern w:val="2"/>
          <w:szCs w:val="28"/>
          <w:lang w:val="uk-UA"/>
          <w14:ligatures w14:val="standardContextual"/>
        </w:rPr>
      </w:pPr>
      <w:r w:rsidRPr="00511005">
        <w:rPr>
          <w:rFonts w:ascii="Arial" w:eastAsia="Calibri" w:hAnsi="Arial" w:cs="Arial"/>
          <w:b/>
          <w:kern w:val="2"/>
          <w:szCs w:val="28"/>
          <w:lang w:val="uk-UA"/>
          <w14:ligatures w14:val="standardContextual"/>
        </w:rPr>
        <w:t>Список використаних джерел</w:t>
      </w:r>
    </w:p>
    <w:p w14:paraId="588A70D3" w14:textId="77777777" w:rsidR="00AE57E7" w:rsidRPr="00511005" w:rsidRDefault="00AE57E7" w:rsidP="003F6A5D">
      <w:pPr>
        <w:numPr>
          <w:ilvl w:val="0"/>
          <w:numId w:val="741"/>
        </w:numPr>
        <w:shd w:val="clear" w:color="auto" w:fill="FFFFFF"/>
        <w:spacing w:line="264" w:lineRule="auto"/>
        <w:ind w:left="0" w:firstLine="709"/>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Rozetka запускає </w:t>
      </w:r>
      <w:r w:rsidRPr="00511005">
        <w:rPr>
          <w:rFonts w:ascii="Arial" w:eastAsia="Malgun Gothic" w:hAnsi="Arial" w:cs="Arial"/>
          <w:kern w:val="2"/>
          <w:szCs w:val="28"/>
          <w:lang w:val="uk-UA"/>
          <w14:ligatures w14:val="standardContextual"/>
        </w:rPr>
        <w:t>платформу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благод</w:t>
      </w:r>
      <w:r w:rsidRPr="00511005">
        <w:rPr>
          <w:rFonts w:ascii="Arial" w:eastAsia="Calibri" w:hAnsi="Arial" w:cs="Arial"/>
          <w:kern w:val="2"/>
          <w:szCs w:val="28"/>
          <w:lang w:val="uk-UA"/>
          <w14:ligatures w14:val="standardContextual"/>
        </w:rPr>
        <w:t>ійникі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спец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альним</w:t>
      </w:r>
      <w:r w:rsidRPr="00511005">
        <w:rPr>
          <w:rFonts w:ascii="Arial" w:eastAsia="Calibri" w:hAnsi="Arial" w:cs="Arial"/>
          <w:kern w:val="2"/>
          <w:szCs w:val="28"/>
          <w:lang w:val="uk-UA"/>
          <w14:ligatures w14:val="standardContextual"/>
        </w:rPr>
        <w:t>и ці</w:t>
      </w:r>
      <w:r w:rsidRPr="00511005">
        <w:rPr>
          <w:rFonts w:ascii="Arial" w:eastAsia="Malgun Gothic" w:hAnsi="Arial" w:cs="Arial"/>
          <w:kern w:val="2"/>
          <w:szCs w:val="28"/>
          <w:lang w:val="uk-UA"/>
          <w14:ligatures w14:val="standardContextual"/>
        </w:rPr>
        <w:t>нами</w:t>
      </w:r>
      <w:r w:rsidRPr="00511005">
        <w:rPr>
          <w:rFonts w:ascii="Arial" w:eastAsia="Calibri" w:hAnsi="Arial" w:cs="Arial"/>
          <w:kern w:val="2"/>
          <w:szCs w:val="28"/>
          <w:lang w:val="uk-UA"/>
          <w14:ligatures w14:val="standardContextual"/>
        </w:rPr>
        <w:t xml:space="preserve">. URL: </w:t>
      </w:r>
      <w:hyperlink r:id="rId2489">
        <w:r w:rsidRPr="00511005">
          <w:rPr>
            <w:rFonts w:ascii="Arial" w:eastAsia="Calibri" w:hAnsi="Arial" w:cs="Arial"/>
            <w:kern w:val="2"/>
            <w:szCs w:val="28"/>
            <w:lang w:val="uk-UA"/>
            <w14:ligatures w14:val="standardContextual"/>
          </w:rPr>
          <w:t>https://nachasi.com/society/2019/08/13/rozetka-platforma/</w:t>
        </w:r>
      </w:hyperlink>
      <w:r w:rsidRPr="00511005">
        <w:rPr>
          <w:rFonts w:ascii="Arial" w:eastAsia="Calibri" w:hAnsi="Arial" w:cs="Arial"/>
          <w:kern w:val="2"/>
          <w:szCs w:val="28"/>
          <w:lang w:val="uk-UA"/>
          <w14:ligatures w14:val="standardContextual"/>
        </w:rPr>
        <w:t xml:space="preserve"> </w:t>
      </w:r>
    </w:p>
    <w:p w14:paraId="5217348E" w14:textId="77777777" w:rsidR="00AE57E7" w:rsidRPr="00511005" w:rsidRDefault="00AE57E7" w:rsidP="003F6A5D">
      <w:pPr>
        <w:numPr>
          <w:ilvl w:val="0"/>
          <w:numId w:val="741"/>
        </w:numPr>
        <w:pBdr>
          <w:top w:val="nil"/>
          <w:left w:val="nil"/>
          <w:bottom w:val="nil"/>
          <w:right w:val="nil"/>
          <w:between w:val="nil"/>
        </w:pBdr>
        <w:spacing w:line="264" w:lineRule="auto"/>
        <w:ind w:left="0" w:firstLine="709"/>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lastRenderedPageBreak/>
        <w:t xml:space="preserve">2. SoftServe Well-being. URL: </w:t>
      </w:r>
      <w:r w:rsidRPr="00511005">
        <w:rPr>
          <w:rFonts w:ascii="Arial" w:eastAsia="Calibri" w:hAnsi="Arial" w:cs="Arial"/>
          <w:kern w:val="2"/>
          <w:szCs w:val="28"/>
          <w:lang w:val="uk-UA"/>
          <w14:ligatures w14:val="standardContextual"/>
        </w:rPr>
        <w:fldChar w:fldCharType="begin"/>
      </w:r>
      <w:r w:rsidRPr="00511005">
        <w:rPr>
          <w:rFonts w:ascii="Arial" w:eastAsia="Calibri" w:hAnsi="Arial" w:cs="Arial"/>
          <w:kern w:val="2"/>
          <w:szCs w:val="28"/>
          <w:lang w:val="uk-UA"/>
          <w14:ligatures w14:val="standardContextual"/>
        </w:rPr>
        <w:instrText xml:space="preserve"> HYPERLINK "https://www.softserveinc.com/en-us/corporate-social-responsibility/well-being </w:instrText>
      </w:r>
    </w:p>
    <w:p w14:paraId="5F48069F" w14:textId="77777777" w:rsidR="00AE57E7" w:rsidRPr="00511005" w:rsidRDefault="00AE57E7" w:rsidP="003F6A5D">
      <w:pPr>
        <w:numPr>
          <w:ilvl w:val="0"/>
          <w:numId w:val="741"/>
        </w:numPr>
        <w:pBdr>
          <w:top w:val="nil"/>
          <w:left w:val="nil"/>
          <w:bottom w:val="nil"/>
          <w:right w:val="nil"/>
          <w:between w:val="nil"/>
        </w:pBdr>
        <w:spacing w:line="264" w:lineRule="auto"/>
        <w:ind w:left="0" w:firstLine="709"/>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instrText xml:space="preserve">" </w:instrText>
      </w:r>
      <w:r w:rsidRPr="00511005">
        <w:rPr>
          <w:rFonts w:ascii="Arial" w:eastAsia="Calibri" w:hAnsi="Arial" w:cs="Arial"/>
          <w:kern w:val="2"/>
          <w:szCs w:val="28"/>
          <w:lang w:val="uk-UA"/>
          <w14:ligatures w14:val="standardContextual"/>
        </w:rPr>
        <w:fldChar w:fldCharType="separate"/>
      </w:r>
      <w:r w:rsidRPr="00511005">
        <w:rPr>
          <w:rFonts w:ascii="Arial" w:eastAsia="Calibri" w:hAnsi="Arial" w:cs="Arial"/>
          <w:kern w:val="2"/>
          <w:szCs w:val="28"/>
          <w:lang w:val="uk-UA"/>
          <w14:ligatures w14:val="standardContextual"/>
        </w:rPr>
        <w:t xml:space="preserve">https://www.softserveinc.com/en-us/corporate-social-responsibility/well-being </w:t>
      </w:r>
    </w:p>
    <w:p w14:paraId="5D4BD639" w14:textId="77777777" w:rsidR="007B2628" w:rsidRPr="00511005" w:rsidRDefault="00AE57E7" w:rsidP="003F6A5D">
      <w:pPr>
        <w:numPr>
          <w:ilvl w:val="0"/>
          <w:numId w:val="741"/>
        </w:numPr>
        <w:pBdr>
          <w:top w:val="nil"/>
          <w:left w:val="nil"/>
          <w:bottom w:val="nil"/>
          <w:right w:val="nil"/>
          <w:between w:val="nil"/>
        </w:pBdr>
        <w:spacing w:line="264" w:lineRule="auto"/>
        <w:ind w:left="0" w:firstLine="709"/>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fldChar w:fldCharType="end"/>
      </w:r>
      <w:r w:rsidRPr="00511005">
        <w:rPr>
          <w:rFonts w:ascii="Arial" w:eastAsia="Calibri" w:hAnsi="Arial" w:cs="Arial"/>
          <w:kern w:val="2"/>
          <w:szCs w:val="28"/>
          <w:lang w:val="uk-UA"/>
          <w14:ligatures w14:val="standardContextual"/>
        </w:rPr>
        <w:t xml:space="preserve"> Беззубко Б., Положенцев Д., Акопов С. Напрями вдосконалення корпоративної </w:t>
      </w:r>
      <w:r w:rsidRPr="00511005">
        <w:rPr>
          <w:rFonts w:ascii="Arial" w:eastAsia="Malgun Gothic" w:hAnsi="Arial" w:cs="Arial"/>
          <w:kern w:val="2"/>
          <w:szCs w:val="28"/>
          <w:lang w:val="uk-UA"/>
          <w14:ligatures w14:val="standardContextual"/>
        </w:rPr>
        <w:t>соц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ально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 xml:space="preserve">ідальності </w:t>
      </w:r>
      <w:r w:rsidRPr="00511005">
        <w:rPr>
          <w:rFonts w:ascii="Arial" w:eastAsia="Malgun Gothic" w:hAnsi="Arial" w:cs="Arial"/>
          <w:kern w:val="2"/>
          <w:szCs w:val="28"/>
          <w:lang w:val="uk-UA"/>
          <w14:ligatures w14:val="standardContextual"/>
        </w:rPr>
        <w:t>нац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онального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нформ</w:t>
      </w:r>
      <w:r w:rsidRPr="00511005">
        <w:rPr>
          <w:rFonts w:ascii="Arial" w:eastAsia="Calibri" w:hAnsi="Arial" w:cs="Arial"/>
          <w:kern w:val="2"/>
          <w:szCs w:val="28"/>
          <w:lang w:val="uk-UA"/>
          <w14:ligatures w14:val="standardContextual"/>
        </w:rPr>
        <w:t xml:space="preserve">. 2024. </w:t>
      </w:r>
      <w:r w:rsidRPr="00511005">
        <w:rPr>
          <w:rFonts w:ascii="Arial" w:eastAsia="Malgun Gothic" w:hAnsi="Arial" w:cs="Arial"/>
          <w:kern w:val="2"/>
          <w:szCs w:val="28"/>
          <w:lang w:val="uk-UA"/>
          <w14:ligatures w14:val="standardContextual"/>
        </w:rPr>
        <w:t>№</w:t>
      </w:r>
      <w:r w:rsidRPr="00511005">
        <w:rPr>
          <w:rFonts w:ascii="Arial" w:eastAsia="Calibri" w:hAnsi="Arial" w:cs="Arial"/>
          <w:kern w:val="2"/>
          <w:szCs w:val="28"/>
          <w:lang w:val="uk-UA"/>
          <w14:ligatures w14:val="standardContextual"/>
        </w:rPr>
        <w:t xml:space="preserve"> 3. </w:t>
      </w:r>
      <w:r w:rsidRPr="00511005">
        <w:rPr>
          <w:rFonts w:ascii="Arial" w:eastAsia="Malgun Gothic" w:hAnsi="Arial" w:cs="Arial"/>
          <w:kern w:val="2"/>
          <w:szCs w:val="28"/>
          <w:lang w:val="uk-UA"/>
          <w14:ligatures w14:val="standardContextual"/>
        </w:rPr>
        <w:t>С</w:t>
      </w:r>
      <w:r w:rsidRPr="00511005">
        <w:rPr>
          <w:rFonts w:ascii="Arial" w:eastAsia="Calibri" w:hAnsi="Arial" w:cs="Arial"/>
          <w:kern w:val="2"/>
          <w:szCs w:val="28"/>
          <w:lang w:val="uk-UA"/>
          <w14:ligatures w14:val="standardContextual"/>
        </w:rPr>
        <w:t>. 21</w:t>
      </w:r>
      <w:r w:rsidRPr="00511005">
        <w:rPr>
          <w:rFonts w:ascii="Arial" w:eastAsia="Malgun Gothic" w:hAnsi="Arial" w:cs="Arial"/>
          <w:kern w:val="2"/>
          <w:szCs w:val="28"/>
          <w:lang w:val="uk-UA"/>
          <w14:ligatures w14:val="standardContextual"/>
        </w:rPr>
        <w:t>–</w:t>
      </w:r>
      <w:r w:rsidRPr="00511005">
        <w:rPr>
          <w:rFonts w:ascii="Arial" w:eastAsia="Calibri" w:hAnsi="Arial" w:cs="Arial"/>
          <w:kern w:val="2"/>
          <w:szCs w:val="28"/>
          <w:lang w:val="uk-UA"/>
          <w14:ligatures w14:val="standardContextual"/>
        </w:rPr>
        <w:t xml:space="preserve">28. </w:t>
      </w:r>
    </w:p>
    <w:p w14:paraId="081CB174" w14:textId="77777777" w:rsidR="007B2628" w:rsidRPr="00511005" w:rsidRDefault="00AE57E7" w:rsidP="003F6A5D">
      <w:pPr>
        <w:numPr>
          <w:ilvl w:val="0"/>
          <w:numId w:val="741"/>
        </w:numPr>
        <w:pBdr>
          <w:top w:val="nil"/>
          <w:left w:val="nil"/>
          <w:bottom w:val="nil"/>
          <w:right w:val="nil"/>
          <w:between w:val="nil"/>
        </w:pBdr>
        <w:shd w:val="clear" w:color="auto" w:fill="FFFFFF"/>
        <w:spacing w:line="264" w:lineRule="auto"/>
        <w:ind w:left="0" w:firstLine="709"/>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Культура турботи: Як Ощадбанк системно розвиває </w:t>
      </w:r>
      <w:r w:rsidRPr="00511005">
        <w:rPr>
          <w:rFonts w:ascii="Arial" w:eastAsia="Malgun Gothic" w:hAnsi="Arial" w:cs="Arial"/>
          <w:kern w:val="2"/>
          <w:szCs w:val="28"/>
          <w:lang w:val="uk-UA"/>
          <w14:ligatures w14:val="standardContextual"/>
        </w:rPr>
        <w:t>програму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ментального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здоров’я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URL: </w:t>
      </w:r>
      <w:hyperlink r:id="rId2490">
        <w:r w:rsidRPr="00511005">
          <w:rPr>
            <w:rFonts w:ascii="Arial" w:eastAsia="Calibri" w:hAnsi="Arial" w:cs="Arial"/>
            <w:kern w:val="2"/>
            <w:szCs w:val="28"/>
            <w:lang w:val="uk-UA"/>
            <w14:ligatures w14:val="standardContextual"/>
          </w:rPr>
          <w:t>https://mc.today/uk/kultura-turboti-yak-oshhadbank-sistemno-rozvivaye-programu-pidtrimki-mentalnogo-zdorov-ya-pratsivnikiv/</w:t>
        </w:r>
      </w:hyperlink>
      <w:r w:rsidRPr="00511005">
        <w:rPr>
          <w:rFonts w:ascii="Arial" w:eastAsia="Calibri" w:hAnsi="Arial" w:cs="Arial"/>
          <w:kern w:val="2"/>
          <w:szCs w:val="28"/>
          <w:lang w:val="uk-UA"/>
          <w14:ligatures w14:val="standardContextual"/>
        </w:rPr>
        <w:t xml:space="preserve"> </w:t>
      </w:r>
    </w:p>
    <w:p w14:paraId="406E81F9" w14:textId="41662EC2" w:rsidR="00AE57E7" w:rsidRPr="00511005" w:rsidRDefault="00AE57E7" w:rsidP="003F6A5D">
      <w:pPr>
        <w:numPr>
          <w:ilvl w:val="0"/>
          <w:numId w:val="741"/>
        </w:numPr>
        <w:pBdr>
          <w:top w:val="nil"/>
          <w:left w:val="nil"/>
          <w:bottom w:val="nil"/>
          <w:right w:val="nil"/>
          <w:between w:val="nil"/>
        </w:pBdr>
        <w:spacing w:line="264" w:lineRule="auto"/>
        <w:ind w:left="0" w:firstLine="709"/>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Чи пі</w:t>
      </w:r>
      <w:r w:rsidRPr="00511005">
        <w:rPr>
          <w:rFonts w:ascii="Arial" w:eastAsia="Malgun Gothic" w:hAnsi="Arial" w:cs="Arial"/>
          <w:kern w:val="2"/>
          <w:szCs w:val="28"/>
          <w:lang w:val="uk-UA"/>
          <w14:ligatures w14:val="standardContextual"/>
        </w:rPr>
        <w:t>клу</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ваша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ментальне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здоров’я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URL: </w:t>
      </w:r>
      <w:hyperlink r:id="rId2491">
        <w:r w:rsidRPr="00511005">
          <w:rPr>
            <w:rFonts w:ascii="Arial" w:eastAsia="Calibri" w:hAnsi="Arial" w:cs="Arial"/>
            <w:kern w:val="2"/>
            <w:szCs w:val="28"/>
            <w:lang w:val="uk-UA"/>
            <w14:ligatures w14:val="standardContextual"/>
          </w:rPr>
          <w:t>https://dou.ua/forums/topic/44568/</w:t>
        </w:r>
      </w:hyperlink>
      <w:r w:rsidRPr="00511005">
        <w:rPr>
          <w:rFonts w:ascii="Arial" w:eastAsia="Calibri" w:hAnsi="Arial" w:cs="Arial"/>
          <w:kern w:val="2"/>
          <w:szCs w:val="28"/>
          <w:lang w:val="uk-UA"/>
          <w14:ligatures w14:val="standardContextual"/>
        </w:rPr>
        <w:t xml:space="preserve"> </w:t>
      </w:r>
    </w:p>
    <w:p w14:paraId="6A7D0D96" w14:textId="77777777" w:rsidR="00AE57E7" w:rsidRPr="00511005" w:rsidRDefault="00AE57E7" w:rsidP="003F6A5D">
      <w:pPr>
        <w:numPr>
          <w:ilvl w:val="0"/>
          <w:numId w:val="741"/>
        </w:numPr>
        <w:shd w:val="clear" w:color="auto" w:fill="FFFFFF"/>
        <w:spacing w:line="264" w:lineRule="auto"/>
        <w:ind w:left="0" w:firstLine="709"/>
        <w:jc w:val="left"/>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Чому велика ві</w:t>
      </w:r>
      <w:r w:rsidRPr="00511005">
        <w:rPr>
          <w:rFonts w:ascii="Arial" w:eastAsia="Malgun Gothic" w:hAnsi="Arial" w:cs="Arial"/>
          <w:kern w:val="2"/>
          <w:szCs w:val="28"/>
          <w:lang w:val="uk-UA"/>
          <w14:ligatures w14:val="standardContextual"/>
        </w:rPr>
        <w:t>йна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навчила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URL: </w:t>
      </w:r>
      <w:hyperlink r:id="rId2492">
        <w:r w:rsidRPr="00511005">
          <w:rPr>
            <w:rFonts w:ascii="Arial" w:eastAsia="Calibri" w:hAnsi="Arial" w:cs="Arial"/>
            <w:kern w:val="2"/>
            <w:szCs w:val="28"/>
            <w:lang w:val="uk-UA"/>
            <w14:ligatures w14:val="standardContextual"/>
          </w:rPr>
          <w:t>https://www.unian.ua/economics/other/chomu-viyna-navchila-biznes-shcho-vizhiv-12808908.html</w:t>
        </w:r>
      </w:hyperlink>
      <w:r w:rsidRPr="00511005">
        <w:rPr>
          <w:rFonts w:ascii="Arial" w:eastAsia="Calibri" w:hAnsi="Arial" w:cs="Arial"/>
          <w:kern w:val="2"/>
          <w:szCs w:val="28"/>
          <w:lang w:val="uk-UA"/>
          <w14:ligatures w14:val="standardContextual"/>
        </w:rPr>
        <w:t xml:space="preserve"> </w:t>
      </w:r>
    </w:p>
    <w:p w14:paraId="5A7F356B" w14:textId="77777777" w:rsidR="00AE57E7" w:rsidRPr="00511005" w:rsidRDefault="00AE57E7" w:rsidP="003A292D">
      <w:pPr>
        <w:spacing w:line="264" w:lineRule="auto"/>
        <w:ind w:right="113"/>
        <w:rPr>
          <w:rFonts w:ascii="Arial" w:eastAsia="Calibri" w:hAnsi="Arial" w:cs="Arial"/>
          <w:b/>
          <w:kern w:val="2"/>
          <w:szCs w:val="28"/>
          <w:lang w:val="uk-UA"/>
          <w14:ligatures w14:val="standardContextual"/>
        </w:rPr>
      </w:pPr>
    </w:p>
    <w:p w14:paraId="5D31225C" w14:textId="59A6CD47" w:rsidR="00AE57E7" w:rsidRPr="00511005" w:rsidRDefault="007B2628" w:rsidP="003A292D">
      <w:pPr>
        <w:spacing w:line="264" w:lineRule="auto"/>
        <w:ind w:right="113"/>
        <w:rPr>
          <w:rFonts w:ascii="Arial" w:eastAsia="Calibri" w:hAnsi="Arial" w:cs="Arial"/>
          <w:kern w:val="2"/>
          <w:szCs w:val="28"/>
          <w:lang w:val="uk-UA"/>
          <w14:ligatures w14:val="standardContextual"/>
        </w:rPr>
      </w:pPr>
      <w:r w:rsidRPr="00511005">
        <w:rPr>
          <w:rFonts w:ascii="Arial" w:eastAsia="Calibri" w:hAnsi="Arial" w:cs="Arial"/>
          <w:b/>
          <w:i/>
          <w:kern w:val="2"/>
          <w:szCs w:val="28"/>
          <w:lang w:val="uk-UA"/>
          <w14:ligatures w14:val="standardContextual"/>
        </w:rPr>
        <w:t xml:space="preserve">Ключові слова: </w:t>
      </w:r>
      <w:r w:rsidR="00AE57E7" w:rsidRPr="00511005">
        <w:rPr>
          <w:rFonts w:ascii="Arial" w:eastAsia="Calibri" w:hAnsi="Arial" w:cs="Arial"/>
          <w:kern w:val="2"/>
          <w:szCs w:val="28"/>
          <w:lang w:val="uk-UA"/>
          <w14:ligatures w14:val="standardContextual"/>
        </w:rPr>
        <w:t>корпоративна культура, кризове управлі</w:t>
      </w:r>
      <w:r w:rsidR="00AE57E7" w:rsidRPr="00511005">
        <w:rPr>
          <w:rFonts w:ascii="Arial" w:eastAsia="Malgun Gothic" w:hAnsi="Arial" w:cs="Arial"/>
          <w:kern w:val="2"/>
          <w:szCs w:val="28"/>
          <w:lang w:val="uk-UA"/>
          <w14:ligatures w14:val="standardContextual"/>
        </w:rPr>
        <w:t>ння</w:t>
      </w:r>
      <w:r w:rsidR="00AE57E7" w:rsidRPr="00511005">
        <w:rPr>
          <w:rFonts w:ascii="Arial" w:eastAsia="Calibri" w:hAnsi="Arial" w:cs="Arial"/>
          <w:kern w:val="2"/>
          <w:szCs w:val="28"/>
          <w:lang w:val="uk-UA"/>
          <w14:ligatures w14:val="standardContextual"/>
        </w:rPr>
        <w:t>, трансформаці</w:t>
      </w:r>
      <w:r w:rsidR="00AE57E7" w:rsidRPr="00511005">
        <w:rPr>
          <w:rFonts w:ascii="Arial" w:eastAsia="Malgun Gothic" w:hAnsi="Arial" w:cs="Arial"/>
          <w:kern w:val="2"/>
          <w:szCs w:val="28"/>
          <w:lang w:val="uk-UA"/>
          <w14:ligatures w14:val="standardContextual"/>
        </w:rPr>
        <w:t>я</w:t>
      </w:r>
      <w:r w:rsidR="00AE57E7" w:rsidRPr="00511005">
        <w:rPr>
          <w:rFonts w:ascii="Arial" w:eastAsia="Calibri" w:hAnsi="Arial" w:cs="Arial"/>
          <w:kern w:val="2"/>
          <w:szCs w:val="28"/>
          <w:lang w:val="uk-UA"/>
          <w14:ligatures w14:val="standardContextual"/>
        </w:rPr>
        <w:t xml:space="preserve"> бі</w:t>
      </w:r>
      <w:r w:rsidR="00AE57E7" w:rsidRPr="00511005">
        <w:rPr>
          <w:rFonts w:ascii="Arial" w:eastAsia="Malgun Gothic" w:hAnsi="Arial" w:cs="Arial"/>
          <w:kern w:val="2"/>
          <w:szCs w:val="28"/>
          <w:lang w:val="uk-UA"/>
          <w14:ligatures w14:val="standardContextual"/>
        </w:rPr>
        <w:t>знесу</w:t>
      </w:r>
      <w:r w:rsidR="00AE57E7" w:rsidRPr="00511005">
        <w:rPr>
          <w:rFonts w:ascii="Arial" w:eastAsia="Calibri" w:hAnsi="Arial" w:cs="Arial"/>
          <w:kern w:val="2"/>
          <w:szCs w:val="28"/>
          <w:lang w:val="uk-UA"/>
          <w14:ligatures w14:val="standardContextual"/>
        </w:rPr>
        <w:t>, емоці</w:t>
      </w:r>
      <w:r w:rsidR="00AE57E7" w:rsidRPr="00511005">
        <w:rPr>
          <w:rFonts w:ascii="Arial" w:eastAsia="Malgun Gothic" w:hAnsi="Arial" w:cs="Arial"/>
          <w:kern w:val="2"/>
          <w:szCs w:val="28"/>
          <w:lang w:val="uk-UA"/>
          <w14:ligatures w14:val="standardContextual"/>
        </w:rPr>
        <w:t>йне</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л</w:t>
      </w:r>
      <w:r w:rsidR="00AE57E7" w:rsidRPr="00511005">
        <w:rPr>
          <w:rFonts w:ascii="Arial" w:eastAsia="Calibri" w:hAnsi="Arial" w:cs="Arial"/>
          <w:kern w:val="2"/>
          <w:szCs w:val="28"/>
          <w:lang w:val="uk-UA"/>
          <w14:ligatures w14:val="standardContextual"/>
        </w:rPr>
        <w:t>і</w:t>
      </w:r>
      <w:r w:rsidR="00AE57E7" w:rsidRPr="00511005">
        <w:rPr>
          <w:rFonts w:ascii="Arial" w:eastAsia="Malgun Gothic" w:hAnsi="Arial" w:cs="Arial"/>
          <w:kern w:val="2"/>
          <w:szCs w:val="28"/>
          <w:lang w:val="uk-UA"/>
          <w14:ligatures w14:val="standardContextual"/>
        </w:rPr>
        <w:t>дерство</w:t>
      </w:r>
      <w:r w:rsidR="00AE57E7" w:rsidRPr="00511005">
        <w:rPr>
          <w:rFonts w:ascii="Arial" w:eastAsia="Calibri" w:hAnsi="Arial" w:cs="Arial"/>
          <w:kern w:val="2"/>
          <w:szCs w:val="28"/>
          <w:lang w:val="uk-UA"/>
          <w14:ligatures w14:val="standardContextual"/>
        </w:rPr>
        <w:t xml:space="preserve">, </w:t>
      </w:r>
      <w:r w:rsidR="00AE57E7" w:rsidRPr="00511005">
        <w:rPr>
          <w:rFonts w:ascii="Arial" w:eastAsia="Malgun Gothic" w:hAnsi="Arial" w:cs="Arial"/>
          <w:kern w:val="2"/>
          <w:szCs w:val="28"/>
          <w:lang w:val="uk-UA"/>
          <w14:ligatures w14:val="standardContextual"/>
        </w:rPr>
        <w:t>дизайн</w:t>
      </w:r>
      <w:r w:rsidR="00AE57E7" w:rsidRPr="00511005">
        <w:rPr>
          <w:rFonts w:ascii="Arial" w:eastAsia="Calibri" w:hAnsi="Arial" w:cs="Arial"/>
          <w:kern w:val="2"/>
          <w:szCs w:val="28"/>
          <w:lang w:val="uk-UA"/>
          <w14:ligatures w14:val="standardContextual"/>
        </w:rPr>
        <w:t>-</w:t>
      </w:r>
      <w:r w:rsidR="00AE57E7" w:rsidRPr="00511005">
        <w:rPr>
          <w:rFonts w:ascii="Arial" w:eastAsia="Malgun Gothic" w:hAnsi="Arial" w:cs="Arial"/>
          <w:kern w:val="2"/>
          <w:szCs w:val="28"/>
          <w:lang w:val="uk-UA"/>
          <w14:ligatures w14:val="standardContextual"/>
        </w:rPr>
        <w:t>мислення</w:t>
      </w:r>
      <w:r w:rsidR="00AE57E7" w:rsidRPr="00511005">
        <w:rPr>
          <w:rFonts w:ascii="Arial" w:eastAsia="Calibri" w:hAnsi="Arial" w:cs="Arial"/>
          <w:kern w:val="2"/>
          <w:szCs w:val="28"/>
          <w:lang w:val="uk-UA"/>
          <w14:ligatures w14:val="standardContextual"/>
        </w:rPr>
        <w:t>.</w:t>
      </w:r>
    </w:p>
    <w:p w14:paraId="4100111E" w14:textId="20855E73" w:rsidR="00AE57E7" w:rsidRPr="00511005" w:rsidRDefault="007B2628" w:rsidP="003A292D">
      <w:pPr>
        <w:spacing w:line="264" w:lineRule="auto"/>
        <w:ind w:right="113"/>
        <w:rPr>
          <w:rFonts w:ascii="Arial" w:eastAsia="Calibri" w:hAnsi="Arial" w:cs="Arial"/>
          <w:kern w:val="2"/>
          <w:szCs w:val="28"/>
          <w:lang w:val="uk-UA"/>
          <w14:ligatures w14:val="standardContextual"/>
        </w:rPr>
      </w:pPr>
      <w:r w:rsidRPr="00511005">
        <w:rPr>
          <w:rFonts w:ascii="Arial" w:eastAsia="Calibri" w:hAnsi="Arial" w:cs="Arial"/>
          <w:b/>
          <w:i/>
          <w:kern w:val="2"/>
          <w:szCs w:val="28"/>
          <w:lang w:val="uk-UA"/>
          <w14:ligatures w14:val="standardContextual"/>
        </w:rPr>
        <w:t xml:space="preserve">Key words: </w:t>
      </w:r>
      <w:r w:rsidR="00AE57E7" w:rsidRPr="00511005">
        <w:rPr>
          <w:rFonts w:ascii="Arial" w:eastAsia="Calibri" w:hAnsi="Arial" w:cs="Arial"/>
          <w:kern w:val="2"/>
          <w:szCs w:val="28"/>
          <w:lang w:val="uk-UA"/>
          <w14:ligatures w14:val="standardContextual"/>
        </w:rPr>
        <w:t>corporate culture, crisis management, business transformation, emotional leadership, design thinking.</w:t>
      </w:r>
    </w:p>
    <w:p w14:paraId="3A9D82BE" w14:textId="70C5E877" w:rsidR="00AE57E7" w:rsidRPr="00511005" w:rsidRDefault="007B2628" w:rsidP="003A292D">
      <w:pPr>
        <w:spacing w:line="264" w:lineRule="auto"/>
        <w:ind w:right="113"/>
        <w:rPr>
          <w:rFonts w:ascii="Arial" w:eastAsia="Calibri" w:hAnsi="Arial" w:cs="Arial"/>
          <w:kern w:val="2"/>
          <w:szCs w:val="28"/>
          <w:lang w:val="uk-UA"/>
          <w14:ligatures w14:val="standardContextual"/>
        </w:rPr>
      </w:pPr>
      <w:bookmarkStart w:id="309" w:name="_6jvck82bc632" w:colFirst="0" w:colLast="0"/>
      <w:bookmarkEnd w:id="309"/>
      <w:r w:rsidRPr="00511005">
        <w:rPr>
          <w:rFonts w:ascii="Arial" w:eastAsia="Calibri" w:hAnsi="Arial" w:cs="Arial"/>
          <w:b/>
          <w:i/>
          <w:kern w:val="2"/>
          <w:szCs w:val="28"/>
          <w:lang w:val="uk-UA"/>
          <w14:ligatures w14:val="standardContextual"/>
        </w:rPr>
        <w:t xml:space="preserve">Науковий керівник: </w:t>
      </w:r>
      <w:r w:rsidR="00AE57E7" w:rsidRPr="00511005">
        <w:rPr>
          <w:rFonts w:ascii="Arial" w:eastAsia="Calibri" w:hAnsi="Arial" w:cs="Arial"/>
          <w:i/>
          <w:kern w:val="2"/>
          <w:szCs w:val="28"/>
          <w:lang w:val="uk-UA"/>
          <w14:ligatures w14:val="standardContextual"/>
        </w:rPr>
        <w:t>к.е.н., доцент Редіна Є.В.</w:t>
      </w:r>
    </w:p>
    <w:p w14:paraId="47AD7A81" w14:textId="77777777" w:rsidR="00AE57E7" w:rsidRPr="00511005" w:rsidRDefault="00AE57E7" w:rsidP="003A292D">
      <w:pPr>
        <w:spacing w:line="264" w:lineRule="auto"/>
        <w:rPr>
          <w:rFonts w:ascii="Arial" w:eastAsia="Times New Roman" w:hAnsi="Arial" w:cs="Arial"/>
          <w:szCs w:val="28"/>
          <w:lang w:val="uk-UA" w:eastAsia="ru-RU"/>
        </w:rPr>
      </w:pPr>
    </w:p>
    <w:p w14:paraId="65418BA4" w14:textId="30F0A104" w:rsidR="00AE57E7" w:rsidRPr="00511005" w:rsidRDefault="00AE57E7" w:rsidP="003A292D">
      <w:pPr>
        <w:spacing w:line="264" w:lineRule="auto"/>
        <w:ind w:firstLine="0"/>
        <w:jc w:val="left"/>
        <w:rPr>
          <w:rFonts w:ascii="Arial" w:eastAsia="Times New Roman" w:hAnsi="Arial" w:cs="Arial"/>
          <w:b/>
          <w:bCs/>
          <w:i/>
          <w:kern w:val="2"/>
          <w:szCs w:val="28"/>
          <w:lang w:val="uk-UA" w:eastAsia="uk-UA"/>
          <w14:ligatures w14:val="standardContextual"/>
        </w:rPr>
      </w:pPr>
    </w:p>
    <w:p w14:paraId="1E96F82F" w14:textId="77777777" w:rsidR="00AE57E7" w:rsidRPr="00511005" w:rsidRDefault="00AE57E7" w:rsidP="003A292D">
      <w:pPr>
        <w:spacing w:line="264" w:lineRule="auto"/>
        <w:ind w:firstLine="0"/>
        <w:jc w:val="center"/>
        <w:rPr>
          <w:rFonts w:ascii="Arial" w:eastAsia="Times New Roman" w:hAnsi="Arial" w:cs="Arial"/>
          <w:b/>
          <w:bCs/>
          <w:i/>
          <w:kern w:val="2"/>
          <w:szCs w:val="28"/>
          <w:lang w:val="uk-UA" w:eastAsia="uk-UA"/>
          <w14:ligatures w14:val="standardContextual"/>
        </w:rPr>
      </w:pPr>
      <w:r w:rsidRPr="00511005">
        <w:rPr>
          <w:rFonts w:ascii="Arial" w:eastAsia="Times New Roman" w:hAnsi="Arial" w:cs="Arial"/>
          <w:b/>
          <w:bCs/>
          <w:i/>
          <w:kern w:val="2"/>
          <w:szCs w:val="28"/>
          <w:lang w:val="uk-UA" w:eastAsia="uk-UA"/>
          <w14:ligatures w14:val="standardContextual"/>
        </w:rPr>
        <w:t>Максименко Андрій Олександрович</w:t>
      </w:r>
    </w:p>
    <w:p w14:paraId="20BBE23E" w14:textId="52E72153" w:rsidR="00AE57E7" w:rsidRPr="00511005" w:rsidRDefault="00A17361" w:rsidP="003A292D">
      <w:pPr>
        <w:spacing w:line="264" w:lineRule="auto"/>
        <w:ind w:firstLine="0"/>
        <w:jc w:val="center"/>
        <w:rPr>
          <w:rFonts w:ascii="Arial" w:eastAsia="Times New Roman" w:hAnsi="Arial" w:cs="Arial"/>
          <w:bCs/>
          <w:iCs/>
          <w:kern w:val="2"/>
          <w:szCs w:val="28"/>
          <w:lang w:val="uk-UA" w:eastAsia="uk-UA"/>
          <w14:ligatures w14:val="standardContextual"/>
        </w:rPr>
      </w:pPr>
      <w:r w:rsidRPr="00511005">
        <w:rPr>
          <w:rFonts w:ascii="Arial" w:eastAsia="Times New Roman" w:hAnsi="Arial" w:cs="Arial"/>
          <w:bCs/>
          <w:iCs/>
          <w:kern w:val="2"/>
          <w:szCs w:val="28"/>
          <w:lang w:val="uk-UA" w:eastAsia="uk-UA"/>
          <w14:ligatures w14:val="standardContextual"/>
        </w:rPr>
        <w:t>с</w:t>
      </w:r>
      <w:r w:rsidR="00536AAB" w:rsidRPr="00511005">
        <w:rPr>
          <w:rFonts w:ascii="Arial" w:eastAsia="Times New Roman" w:hAnsi="Arial" w:cs="Arial"/>
          <w:bCs/>
          <w:iCs/>
          <w:kern w:val="2"/>
          <w:szCs w:val="28"/>
          <w:lang w:val="uk-UA" w:eastAsia="uk-UA"/>
          <w14:ligatures w14:val="standardContextual"/>
        </w:rPr>
        <w:t xml:space="preserve">тудент 4-го курсу </w:t>
      </w:r>
      <w:r w:rsidR="00AE57E7" w:rsidRPr="00511005">
        <w:rPr>
          <w:rFonts w:ascii="Arial" w:eastAsia="Times New Roman" w:hAnsi="Arial" w:cs="Arial"/>
          <w:bCs/>
          <w:iCs/>
          <w:kern w:val="2"/>
          <w:szCs w:val="28"/>
          <w:lang w:val="uk-UA" w:eastAsia="uk-UA"/>
          <w14:ligatures w14:val="standardContextual"/>
        </w:rPr>
        <w:t>факультет</w:t>
      </w:r>
      <w:r w:rsidRPr="00511005">
        <w:rPr>
          <w:rFonts w:ascii="Arial" w:eastAsia="Times New Roman" w:hAnsi="Arial" w:cs="Arial"/>
          <w:bCs/>
          <w:iCs/>
          <w:kern w:val="2"/>
          <w:szCs w:val="28"/>
          <w:lang w:val="uk-UA" w:eastAsia="uk-UA"/>
          <w14:ligatures w14:val="standardContextual"/>
        </w:rPr>
        <w:t>у</w:t>
      </w:r>
      <w:r w:rsidR="00AE57E7" w:rsidRPr="00511005">
        <w:rPr>
          <w:rFonts w:ascii="Arial" w:eastAsia="Times New Roman" w:hAnsi="Arial" w:cs="Arial"/>
          <w:bCs/>
          <w:iCs/>
          <w:kern w:val="2"/>
          <w:szCs w:val="28"/>
          <w:lang w:val="uk-UA" w:eastAsia="uk-UA"/>
          <w14:ligatures w14:val="standardContextual"/>
        </w:rPr>
        <w:t xml:space="preserve"> адвокатури та антикорупці</w:t>
      </w:r>
      <w:r w:rsidR="00AE57E7" w:rsidRPr="00511005">
        <w:rPr>
          <w:rFonts w:ascii="Arial" w:eastAsia="Malgun Gothic" w:hAnsi="Arial" w:cs="Arial"/>
          <w:bCs/>
          <w:iCs/>
          <w:kern w:val="2"/>
          <w:szCs w:val="28"/>
          <w:lang w:val="uk-UA" w:eastAsia="uk-UA"/>
          <w14:ligatures w14:val="standardContextual"/>
        </w:rPr>
        <w:t>йно</w:t>
      </w:r>
      <w:r w:rsidR="00AE57E7" w:rsidRPr="00511005">
        <w:rPr>
          <w:rFonts w:ascii="Arial" w:eastAsia="Times New Roman" w:hAnsi="Arial" w:cs="Arial"/>
          <w:bCs/>
          <w:iCs/>
          <w:kern w:val="2"/>
          <w:szCs w:val="28"/>
          <w:lang w:val="uk-UA" w:eastAsia="uk-UA"/>
          <w14:ligatures w14:val="standardContextual"/>
        </w:rPr>
        <w:t xml:space="preserve">ї </w:t>
      </w:r>
      <w:r w:rsidR="00AE57E7" w:rsidRPr="00511005">
        <w:rPr>
          <w:rFonts w:ascii="Arial" w:eastAsia="Malgun Gothic" w:hAnsi="Arial" w:cs="Arial"/>
          <w:bCs/>
          <w:iCs/>
          <w:kern w:val="2"/>
          <w:szCs w:val="28"/>
          <w:lang w:val="uk-UA" w:eastAsia="uk-UA"/>
          <w14:ligatures w14:val="standardContextual"/>
        </w:rPr>
        <w:t>д</w:t>
      </w:r>
      <w:r w:rsidR="00AE57E7" w:rsidRPr="00511005">
        <w:rPr>
          <w:rFonts w:ascii="Arial" w:eastAsia="Times New Roman" w:hAnsi="Arial" w:cs="Arial"/>
          <w:bCs/>
          <w:iCs/>
          <w:kern w:val="2"/>
          <w:szCs w:val="28"/>
          <w:lang w:val="uk-UA" w:eastAsia="uk-UA"/>
          <w14:ligatures w14:val="standardContextual"/>
        </w:rPr>
        <w:t>і</w:t>
      </w:r>
      <w:r w:rsidR="00AE57E7" w:rsidRPr="00511005">
        <w:rPr>
          <w:rFonts w:ascii="Arial" w:eastAsia="Malgun Gothic" w:hAnsi="Arial" w:cs="Arial"/>
          <w:bCs/>
          <w:iCs/>
          <w:kern w:val="2"/>
          <w:szCs w:val="28"/>
          <w:lang w:val="uk-UA" w:eastAsia="uk-UA"/>
          <w14:ligatures w14:val="standardContextual"/>
        </w:rPr>
        <w:t>яльност</w:t>
      </w:r>
      <w:r w:rsidR="00AE57E7" w:rsidRPr="00511005">
        <w:rPr>
          <w:rFonts w:ascii="Arial" w:eastAsia="Times New Roman" w:hAnsi="Arial" w:cs="Arial"/>
          <w:bCs/>
          <w:iCs/>
          <w:kern w:val="2"/>
          <w:szCs w:val="28"/>
          <w:lang w:val="uk-UA" w:eastAsia="uk-UA"/>
          <w14:ligatures w14:val="standardContextual"/>
        </w:rPr>
        <w:t>і</w:t>
      </w:r>
    </w:p>
    <w:p w14:paraId="62E31CB8" w14:textId="66BDC5B7" w:rsidR="00AE57E7" w:rsidRPr="00511005" w:rsidRDefault="007B2628" w:rsidP="003A292D">
      <w:pPr>
        <w:autoSpaceDE w:val="0"/>
        <w:autoSpaceDN w:val="0"/>
        <w:adjustRightInd w:val="0"/>
        <w:spacing w:line="264" w:lineRule="auto"/>
        <w:ind w:firstLine="0"/>
        <w:jc w:val="center"/>
        <w:rPr>
          <w:rFonts w:ascii="Arial" w:eastAsia="Calibri" w:hAnsi="Arial" w:cs="Arial"/>
          <w:iCs/>
          <w:kern w:val="2"/>
          <w:szCs w:val="28"/>
          <w:lang w:val="uk-UA"/>
          <w14:ligatures w14:val="standardContextual"/>
        </w:rPr>
      </w:pPr>
      <w:r w:rsidRPr="00511005">
        <w:rPr>
          <w:rFonts w:ascii="Arial" w:eastAsia="Calibri" w:hAnsi="Arial" w:cs="Arial"/>
          <w:iCs/>
          <w:kern w:val="2"/>
          <w:szCs w:val="28"/>
          <w:lang w:val="uk-UA"/>
          <w14:ligatures w14:val="standardContextual"/>
        </w:rPr>
        <w:t>Національного університету «Одеська юридична академія»</w:t>
      </w:r>
    </w:p>
    <w:p w14:paraId="3DD1A186" w14:textId="77777777" w:rsidR="00AE57E7" w:rsidRPr="00511005" w:rsidRDefault="00AE57E7" w:rsidP="003A292D">
      <w:pPr>
        <w:autoSpaceDE w:val="0"/>
        <w:autoSpaceDN w:val="0"/>
        <w:adjustRightInd w:val="0"/>
        <w:spacing w:line="264" w:lineRule="auto"/>
        <w:ind w:firstLine="0"/>
        <w:jc w:val="center"/>
        <w:rPr>
          <w:rFonts w:ascii="Arial" w:eastAsia="Calibri" w:hAnsi="Arial" w:cs="Arial"/>
          <w:i/>
          <w:kern w:val="2"/>
          <w:szCs w:val="28"/>
          <w:lang w:val="uk-UA"/>
          <w14:ligatures w14:val="standardContextual"/>
        </w:rPr>
      </w:pPr>
    </w:p>
    <w:p w14:paraId="2E2E73FD" w14:textId="77777777" w:rsidR="00AE57E7" w:rsidRPr="00511005" w:rsidRDefault="00AE57E7" w:rsidP="003A292D">
      <w:pPr>
        <w:spacing w:line="264" w:lineRule="auto"/>
        <w:ind w:firstLine="0"/>
        <w:jc w:val="center"/>
        <w:rPr>
          <w:rFonts w:ascii="Arial" w:eastAsia="Calibri" w:hAnsi="Arial" w:cs="Arial"/>
          <w:b/>
          <w:kern w:val="2"/>
          <w:szCs w:val="28"/>
          <w:lang w:val="uk-UA"/>
          <w14:ligatures w14:val="standardContextual"/>
        </w:rPr>
      </w:pPr>
      <w:r w:rsidRPr="00511005">
        <w:rPr>
          <w:rFonts w:ascii="Arial" w:eastAsia="Calibri" w:hAnsi="Arial" w:cs="Arial"/>
          <w:b/>
          <w:kern w:val="2"/>
          <w:szCs w:val="28"/>
          <w:lang w:val="uk-UA"/>
          <w14:ligatures w14:val="standardContextual"/>
        </w:rPr>
        <w:t>ТРАНСФОРМАЦІ</w:t>
      </w:r>
      <w:r w:rsidRPr="00511005">
        <w:rPr>
          <w:rFonts w:ascii="Arial" w:eastAsia="Malgun Gothic" w:hAnsi="Arial" w:cs="Arial"/>
          <w:b/>
          <w:kern w:val="2"/>
          <w:szCs w:val="28"/>
          <w:lang w:val="uk-UA"/>
          <w14:ligatures w14:val="standardContextual"/>
        </w:rPr>
        <w:t>Я</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УПРАВЛ</w:t>
      </w:r>
      <w:r w:rsidRPr="00511005">
        <w:rPr>
          <w:rFonts w:ascii="Arial" w:eastAsia="Calibri" w:hAnsi="Arial" w:cs="Arial"/>
          <w:b/>
          <w:kern w:val="2"/>
          <w:szCs w:val="28"/>
          <w:lang w:val="uk-UA"/>
          <w14:ligatures w14:val="standardContextual"/>
        </w:rPr>
        <w:t>І</w:t>
      </w:r>
      <w:r w:rsidRPr="00511005">
        <w:rPr>
          <w:rFonts w:ascii="Arial" w:eastAsia="Malgun Gothic" w:hAnsi="Arial" w:cs="Arial"/>
          <w:b/>
          <w:kern w:val="2"/>
          <w:szCs w:val="28"/>
          <w:lang w:val="uk-UA"/>
          <w14:ligatures w14:val="standardContextual"/>
        </w:rPr>
        <w:t>НСЬКИХ</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Р</w:t>
      </w:r>
      <w:r w:rsidRPr="00511005">
        <w:rPr>
          <w:rFonts w:ascii="Arial" w:eastAsia="Calibri" w:hAnsi="Arial" w:cs="Arial"/>
          <w:b/>
          <w:kern w:val="2"/>
          <w:szCs w:val="28"/>
          <w:lang w:val="uk-UA"/>
          <w14:ligatures w14:val="standardContextual"/>
        </w:rPr>
        <w:t>І</w:t>
      </w:r>
      <w:r w:rsidRPr="00511005">
        <w:rPr>
          <w:rFonts w:ascii="Arial" w:eastAsia="Malgun Gothic" w:hAnsi="Arial" w:cs="Arial"/>
          <w:b/>
          <w:kern w:val="2"/>
          <w:szCs w:val="28"/>
          <w:lang w:val="uk-UA"/>
          <w14:ligatures w14:val="standardContextual"/>
        </w:rPr>
        <w:t>ШЕНЬ</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ЗА</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ДОПОМОГОЮ</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ТЕХНОЛОГ</w:t>
      </w:r>
      <w:r w:rsidRPr="00511005">
        <w:rPr>
          <w:rFonts w:ascii="Arial" w:eastAsia="Calibri" w:hAnsi="Arial" w:cs="Arial"/>
          <w:b/>
          <w:kern w:val="2"/>
          <w:szCs w:val="28"/>
          <w:lang w:val="uk-UA"/>
          <w14:ligatures w14:val="standardContextual"/>
        </w:rPr>
        <w:t>І</w:t>
      </w:r>
      <w:r w:rsidRPr="00511005">
        <w:rPr>
          <w:rFonts w:ascii="Arial" w:eastAsia="Malgun Gothic" w:hAnsi="Arial" w:cs="Arial"/>
          <w:b/>
          <w:kern w:val="2"/>
          <w:szCs w:val="28"/>
          <w:lang w:val="uk-UA"/>
          <w14:ligatures w14:val="standardContextual"/>
        </w:rPr>
        <w:t>Й</w:t>
      </w:r>
      <w:r w:rsidRPr="00511005">
        <w:rPr>
          <w:rFonts w:ascii="Arial" w:eastAsia="Calibri" w:hAnsi="Arial" w:cs="Arial"/>
          <w:b/>
          <w:kern w:val="2"/>
          <w:szCs w:val="28"/>
          <w:lang w:val="uk-UA"/>
          <w14:ligatures w14:val="standardContextual"/>
        </w:rPr>
        <w:t xml:space="preserve"> </w:t>
      </w:r>
      <w:r w:rsidRPr="00511005">
        <w:rPr>
          <w:rFonts w:ascii="Arial" w:eastAsia="Malgun Gothic" w:hAnsi="Arial" w:cs="Arial"/>
          <w:b/>
          <w:kern w:val="2"/>
          <w:szCs w:val="28"/>
          <w:lang w:val="uk-UA"/>
          <w14:ligatures w14:val="standardContextual"/>
        </w:rPr>
        <w:t>ШТУЧНОГО</w:t>
      </w:r>
      <w:r w:rsidRPr="00511005">
        <w:rPr>
          <w:rFonts w:ascii="Arial" w:eastAsia="Calibri" w:hAnsi="Arial" w:cs="Arial"/>
          <w:b/>
          <w:kern w:val="2"/>
          <w:szCs w:val="28"/>
          <w:lang w:val="uk-UA"/>
          <w14:ligatures w14:val="standardContextual"/>
        </w:rPr>
        <w:t xml:space="preserve"> І</w:t>
      </w:r>
      <w:r w:rsidRPr="00511005">
        <w:rPr>
          <w:rFonts w:ascii="Arial" w:eastAsia="Malgun Gothic" w:hAnsi="Arial" w:cs="Arial"/>
          <w:b/>
          <w:kern w:val="2"/>
          <w:szCs w:val="28"/>
          <w:lang w:val="uk-UA"/>
          <w14:ligatures w14:val="standardContextual"/>
        </w:rPr>
        <w:t>НТЕЛЕКТУ</w:t>
      </w:r>
    </w:p>
    <w:p w14:paraId="47247060"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Умови цифрової трансформації </w:t>
      </w:r>
      <w:r w:rsidRPr="00511005">
        <w:rPr>
          <w:rFonts w:ascii="Arial" w:eastAsia="Malgun Gothic" w:hAnsi="Arial" w:cs="Arial"/>
          <w:kern w:val="2"/>
          <w:szCs w:val="28"/>
          <w:lang w:val="uk-UA"/>
          <w14:ligatures w14:val="standardContextual"/>
        </w:rPr>
        <w:t>вимагають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дход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прийняття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Технолог</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штучного</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нтелекту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стають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одним</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ключових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нструмент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швидкост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w:t>
      </w:r>
      <w:r w:rsidRPr="00511005">
        <w:rPr>
          <w:rFonts w:ascii="Arial" w:eastAsia="Calibri" w:hAnsi="Arial" w:cs="Arial"/>
          <w:kern w:val="2"/>
          <w:szCs w:val="28"/>
          <w:lang w:val="uk-UA"/>
          <w14:ligatures w14:val="standardContextual"/>
        </w:rPr>
        <w:t>ґ</w:t>
      </w:r>
      <w:r w:rsidRPr="00511005">
        <w:rPr>
          <w:rFonts w:ascii="Arial" w:eastAsia="Malgun Gothic" w:hAnsi="Arial" w:cs="Arial"/>
          <w:kern w:val="2"/>
          <w:szCs w:val="28"/>
          <w:lang w:val="uk-UA"/>
          <w14:ligatures w14:val="standardContextual"/>
        </w:rPr>
        <w:t>рунтованост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процес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Ї</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змі</w:t>
      </w:r>
      <w:r w:rsidRPr="00511005">
        <w:rPr>
          <w:rFonts w:ascii="Arial" w:eastAsia="Malgun Gothic" w:hAnsi="Arial" w:cs="Arial"/>
          <w:kern w:val="2"/>
          <w:szCs w:val="28"/>
          <w:lang w:val="uk-UA"/>
          <w14:ligatures w14:val="standardContextual"/>
        </w:rPr>
        <w:t>ню</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характер</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роль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середовищ</w:t>
      </w:r>
      <w:r w:rsidRPr="00511005">
        <w:rPr>
          <w:rFonts w:ascii="Arial" w:eastAsia="Calibri" w:hAnsi="Arial" w:cs="Arial"/>
          <w:kern w:val="2"/>
          <w:szCs w:val="28"/>
          <w:lang w:val="uk-UA"/>
          <w14:ligatures w14:val="standardContextual"/>
        </w:rPr>
        <w:t>і.</w:t>
      </w:r>
    </w:p>
    <w:p w14:paraId="5BF7E6F1" w14:textId="77777777" w:rsidR="00AE57E7" w:rsidRPr="00511005" w:rsidRDefault="00AE57E7" w:rsidP="003A292D">
      <w:pPr>
        <w:spacing w:line="264" w:lineRule="auto"/>
        <w:rPr>
          <w:rFonts w:ascii="Arial" w:eastAsia="Times New Roman" w:hAnsi="Arial" w:cs="Arial"/>
          <w:kern w:val="2"/>
          <w:szCs w:val="28"/>
          <w:lang w:val="uk-UA"/>
          <w14:ligatures w14:val="standardContextual"/>
        </w:rPr>
      </w:pPr>
      <w:r w:rsidRPr="00511005">
        <w:rPr>
          <w:rFonts w:ascii="Arial" w:eastAsia="Times New Roman" w:hAnsi="Arial" w:cs="Arial"/>
          <w:kern w:val="2"/>
          <w:szCs w:val="28"/>
          <w:lang w:val="uk-UA"/>
          <w14:ligatures w14:val="standardContextual"/>
        </w:rPr>
        <w:t>Штучний і</w:t>
      </w:r>
      <w:r w:rsidRPr="00511005">
        <w:rPr>
          <w:rFonts w:ascii="Arial" w:eastAsia="Malgun Gothic" w:hAnsi="Arial" w:cs="Arial"/>
          <w:kern w:val="2"/>
          <w:szCs w:val="28"/>
          <w:lang w:val="uk-UA"/>
          <w14:ligatures w14:val="standardContextual"/>
        </w:rPr>
        <w:t>нтелект</w:t>
      </w:r>
      <w:r w:rsidRPr="00511005">
        <w:rPr>
          <w:rFonts w:ascii="Arial" w:eastAsia="Times New Roman"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w:t>
      </w:r>
      <w:r w:rsidRPr="00511005">
        <w:rPr>
          <w:rFonts w:ascii="Arial" w:eastAsia="Times New Roman" w:hAnsi="Arial" w:cs="Arial"/>
          <w:kern w:val="2"/>
          <w:szCs w:val="28"/>
          <w:lang w:val="uk-UA"/>
          <w14:ligatures w14:val="standardContextual"/>
        </w:rPr>
        <w:t xml:space="preserve"> це сукупні</w:t>
      </w:r>
      <w:r w:rsidRPr="00511005">
        <w:rPr>
          <w:rFonts w:ascii="Arial" w:eastAsia="Malgun Gothic" w:hAnsi="Arial" w:cs="Arial"/>
          <w:kern w:val="2"/>
          <w:szCs w:val="28"/>
          <w:lang w:val="uk-UA"/>
          <w14:ligatures w14:val="standardContextual"/>
        </w:rPr>
        <w:t>сть</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цифрових</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технолог</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здатних</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зувати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велик</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масиви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зд</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йснювати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прогностичну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автоматизувати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процеси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ухвалення</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самонавчатися</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контекст</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управл</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викону</w:t>
      </w:r>
      <w:r w:rsidRPr="00511005">
        <w:rPr>
          <w:rFonts w:ascii="Arial" w:eastAsia="Times New Roman"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функц</w:t>
      </w:r>
      <w:r w:rsidRPr="00511005">
        <w:rPr>
          <w:rFonts w:ascii="Arial" w:eastAsia="Times New Roman"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п</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дтримки</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прийняття</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повед</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нкових</w:t>
      </w:r>
      <w:r w:rsidRPr="00511005">
        <w:rPr>
          <w:rFonts w:ascii="Arial" w:eastAsia="Times New Roman"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ф</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нансових</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моделей</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оптим</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Times New Roman"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ресурс</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виявлення</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ризик</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аномал</w:t>
      </w:r>
      <w:r w:rsidRPr="00511005">
        <w:rPr>
          <w:rFonts w:ascii="Arial" w:eastAsia="Times New Roman"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режим</w:t>
      </w:r>
      <w:r w:rsidRPr="00511005">
        <w:rPr>
          <w:rFonts w:ascii="Arial" w:eastAsia="Times New Roman"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реального</w:t>
      </w:r>
      <w:r w:rsidRPr="00511005">
        <w:rPr>
          <w:rFonts w:ascii="Arial" w:eastAsia="Times New Roman"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часу</w:t>
      </w:r>
      <w:r w:rsidRPr="00511005">
        <w:rPr>
          <w:rFonts w:ascii="Arial" w:eastAsia="Times New Roman" w:hAnsi="Arial" w:cs="Arial"/>
          <w:kern w:val="2"/>
          <w:szCs w:val="28"/>
          <w:lang w:val="uk-UA"/>
          <w14:ligatures w14:val="standardContextual"/>
        </w:rPr>
        <w:t xml:space="preserve"> [3].</w:t>
      </w:r>
    </w:p>
    <w:p w14:paraId="5063A41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сучасних умовах цифрової трансформації ШІ став ключовим інструментом для оптимізації процесів прийняття рішень у різних сферах організаційного управління. Завдяки використанню передових алгоритмів, </w:t>
      </w:r>
      <w:r w:rsidRPr="00511005">
        <w:rPr>
          <w:rFonts w:ascii="Arial" w:eastAsia="Times New Roman" w:hAnsi="Arial" w:cs="Arial"/>
          <w:szCs w:val="28"/>
          <w:lang w:val="uk-UA" w:eastAsia="ru-RU"/>
        </w:rPr>
        <w:lastRenderedPageBreak/>
        <w:t>машинного навчання та аналітики даних ШІ забезпечує обробку великих обсягів інформації, виявлення закономірностей і формування обґрунтованих рекомендацій. Основними напрямами застосування ШІ в прийнятті рішень є стратегічне управління, управління персоналом, фінансове управління та операційне управління.</w:t>
      </w:r>
    </w:p>
    <w:p w14:paraId="199BA9FB"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У стратегі</w:t>
      </w:r>
      <w:r w:rsidRPr="00511005">
        <w:rPr>
          <w:rFonts w:ascii="Arial" w:eastAsia="Malgun Gothic" w:hAnsi="Arial" w:cs="Arial"/>
          <w:kern w:val="2"/>
          <w:szCs w:val="28"/>
          <w:lang w:val="uk-UA"/>
          <w14:ligatures w14:val="standardContextual"/>
        </w:rPr>
        <w:t>чному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ефективн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через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прогнозування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тичне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моделювання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Алгоритми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зокрема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часових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ряд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гли</w:t>
      </w:r>
      <w:r w:rsidRPr="00511005">
        <w:rPr>
          <w:rFonts w:ascii="Arial" w:eastAsia="Calibri" w:hAnsi="Arial" w:cs="Arial"/>
          <w:kern w:val="2"/>
          <w:szCs w:val="28"/>
          <w:lang w:val="uk-UA"/>
          <w14:ligatures w14:val="standardContextual"/>
        </w:rPr>
        <w:t xml:space="preserve">боке навчання, обробляють ринкові </w:t>
      </w:r>
      <w:r w:rsidRPr="00511005">
        <w:rPr>
          <w:rFonts w:ascii="Arial" w:eastAsia="Malgun Gothic" w:hAnsi="Arial" w:cs="Arial"/>
          <w:kern w:val="2"/>
          <w:szCs w:val="28"/>
          <w:lang w:val="uk-UA"/>
          <w14:ligatures w14:val="standardContextual"/>
        </w:rPr>
        <w:t>дан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передбачення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тенденц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Сценарний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ризик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методами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Монте</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Карло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агентного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моделювання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нюють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результати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знесу</w:t>
      </w:r>
      <w:r w:rsidRPr="00511005">
        <w:rPr>
          <w:rFonts w:ascii="Arial" w:eastAsia="Calibri" w:hAnsi="Arial" w:cs="Arial"/>
          <w:kern w:val="2"/>
          <w:szCs w:val="28"/>
          <w:lang w:val="uk-UA"/>
          <w14:ligatures w14:val="standardContextual"/>
        </w:rPr>
        <w:t xml:space="preserve"> [1]. Алгоритми оптимі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навчання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дкр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пленням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адапти</w:t>
      </w:r>
      <w:r w:rsidRPr="00511005">
        <w:rPr>
          <w:rFonts w:ascii="Arial" w:eastAsia="Calibri" w:hAnsi="Arial" w:cs="Arial"/>
          <w:kern w:val="2"/>
          <w:szCs w:val="28"/>
          <w:lang w:val="uk-UA"/>
          <w14:ligatures w14:val="standardContextual"/>
        </w:rPr>
        <w:t xml:space="preserve">вні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вдосконалюються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основ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нових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забезпечуючи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конкурентоспром</w:t>
      </w:r>
      <w:r w:rsidRPr="00511005">
        <w:rPr>
          <w:rFonts w:ascii="Arial" w:eastAsia="Calibri" w:hAnsi="Arial" w:cs="Arial"/>
          <w:kern w:val="2"/>
          <w:szCs w:val="28"/>
          <w:lang w:val="uk-UA"/>
          <w14:ligatures w14:val="standardContextual"/>
        </w:rPr>
        <w:t>ожні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ст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w:t>
      </w:r>
    </w:p>
    <w:p w14:paraId="03D4B391" w14:textId="2E5E5168"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Впровадження ШІ </w:t>
      </w:r>
      <w:r w:rsidRPr="00511005">
        <w:rPr>
          <w:rFonts w:ascii="Arial" w:eastAsia="Malgun Gothic" w:hAnsi="Arial" w:cs="Arial"/>
          <w:kern w:val="2"/>
          <w:szCs w:val="28"/>
          <w:lang w:val="uk-UA"/>
          <w14:ligatures w14:val="standardContextual"/>
        </w:rPr>
        <w:t>трансформу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автоматизуючи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рекрутинг</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продуктивност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створення</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ндив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дуальних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тра</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ктор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озвитку. Алгоритми машинного навчання, і</w:t>
      </w:r>
      <w:r w:rsidRPr="00511005">
        <w:rPr>
          <w:rFonts w:ascii="Arial" w:eastAsia="Malgun Gothic" w:hAnsi="Arial" w:cs="Arial"/>
          <w:kern w:val="2"/>
          <w:szCs w:val="28"/>
          <w:lang w:val="uk-UA"/>
          <w14:ligatures w14:val="standardContextual"/>
        </w:rPr>
        <w:t>нтегрован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обробкою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природно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мови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резюме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нюють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кандидат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суб’</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найму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Модел</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нюють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продуктивн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метриками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виявляють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високоефективних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вник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ризики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вигоран</w:t>
      </w:r>
      <w:r w:rsidRPr="00511005">
        <w:rPr>
          <w:rFonts w:ascii="Arial" w:eastAsia="Calibri" w:hAnsi="Arial" w:cs="Arial"/>
          <w:kern w:val="2"/>
          <w:szCs w:val="28"/>
          <w:lang w:val="uk-UA"/>
          <w14:ligatures w14:val="standardContextual"/>
        </w:rPr>
        <w:t>ня, а рекомендаці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системи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пропонують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персонал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зован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плани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розвитку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дозволя</w:t>
      </w:r>
      <w:r w:rsidRPr="00511005">
        <w:rPr>
          <w:rFonts w:ascii="Arial" w:eastAsia="Calibri" w:hAnsi="Arial" w:cs="Arial"/>
          <w:kern w:val="2"/>
          <w:szCs w:val="28"/>
          <w:lang w:val="uk-UA"/>
          <w14:ligatures w14:val="standardContextual"/>
        </w:rPr>
        <w:t>є HR-</w:t>
      </w:r>
      <w:r w:rsidRPr="00511005">
        <w:rPr>
          <w:rFonts w:ascii="Arial" w:eastAsia="Malgun Gothic" w:hAnsi="Arial" w:cs="Arial"/>
          <w:kern w:val="2"/>
          <w:szCs w:val="28"/>
          <w:lang w:val="uk-UA"/>
          <w14:ligatures w14:val="standardContextual"/>
        </w:rPr>
        <w:t>фах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вцям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зосередитися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завданнях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зокрема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розвитку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талант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культури</w:t>
      </w:r>
      <w:r w:rsidRPr="00511005">
        <w:rPr>
          <w:rFonts w:ascii="Arial" w:eastAsia="Calibri" w:hAnsi="Arial" w:cs="Arial"/>
          <w:kern w:val="2"/>
          <w:szCs w:val="28"/>
          <w:lang w:val="uk-UA"/>
          <w14:ligatures w14:val="standardContextual"/>
        </w:rPr>
        <w:t>.</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[4].</w:t>
      </w:r>
    </w:p>
    <w:p w14:paraId="11F969B1"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фінансовому управлінні ШІ відіграє важливу роль, надаючи інструменти для аналізу складних даних і моделювання фінансових результатів. Інтелектуальні системи обробки природної мови аналізують фінансові звіти, виділяючи ключові показники ефективності, виявляючи тренди чи аномалії, що сприяє ранньому виявленню ризиків або можливостей. Прогнозні моделі, такі як регресійний аналіз чи нейронні мережі, передбачають фінансові показники з урахуванням зовнішніх факторів, наприклад, ринкової волатильності чи регуляторних змін. Алгоритми виявлення аномалій ідентифікують відхилення, такі як шахрайські операції чи перевищення бюджету. Моделі оптимізації дозволяють створювати динамічні бюджети, враховуючи економічні умови, такі як інфляція, коливання валют чи збої в ланцюгах постачання, що забезпечує раціональний розподіл ресурсів і зниження фінансових ризиків [2].</w:t>
      </w:r>
    </w:p>
    <w:p w14:paraId="28585EA1"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Операційне управління також трансформується завдяки ШІ, який оптимізує бізнес-процеси та знижує операційні витрати. Рішення на основі ШІ прогнозують попит, використовуючи моделі машинного навчання, що аналізують історичні дані продажів, сезонні коливання та ринкові тренди. Це дозволяє точно планувати запаси, мінімізуючи надлишки чи дефіцит. Алгоритми оптимізації ланцюгів постачання аналізують логістичні дані, </w:t>
      </w:r>
      <w:r w:rsidRPr="00511005">
        <w:rPr>
          <w:rFonts w:ascii="Arial" w:eastAsia="Times New Roman" w:hAnsi="Arial" w:cs="Arial"/>
          <w:szCs w:val="28"/>
          <w:lang w:val="uk-UA" w:eastAsia="ru-RU"/>
        </w:rPr>
        <w:lastRenderedPageBreak/>
        <w:t>враховуючи витрати на транспортування, терміни доставки та доступність ресурсів, що сприяє зниженню витрат і підвищенню ефективності. Крім того, ШІ автоматизує управління складськими операціями, оптимізуючи розміщення товарів і маршрутизацію, що скорочує час обробки замовлень. Такі рішення підвищують операційну гнучкість і забезпечують швидке реагування на зміни ринкових умов.</w:t>
      </w:r>
    </w:p>
    <w:p w14:paraId="61330A39"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застосування ШІ у прийнятті рішень охоплює широкий спектр управлінських функцій, від стратегічного планування до операційної діяльності. Використання прогнозних моделей, аналітики даних і автоматизації процесів дозволяє організаціям підвищувати точність рішень, оптимізувати ресурси та адаптуватися до динамічного зовнішнього середовища, забезпечуючи конкурентну перевагу та стійкий розвиток.</w:t>
      </w:r>
    </w:p>
    <w:p w14:paraId="7E1C0E56"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Хоча глобальні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вже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масово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управлі</w:t>
      </w:r>
      <w:r w:rsidRPr="00511005">
        <w:rPr>
          <w:rFonts w:ascii="Arial" w:eastAsia="Malgun Gothic" w:hAnsi="Arial" w:cs="Arial"/>
          <w:kern w:val="2"/>
          <w:szCs w:val="28"/>
          <w:lang w:val="uk-UA"/>
          <w14:ligatures w14:val="standardContextual"/>
        </w:rPr>
        <w:t>нськ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процеси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почина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формувати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цього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напряму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цьому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тчизнян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приклади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демонструють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масштабування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Так, основними сегментами активного застосування ШІ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 xml:space="preserve">і є </w:t>
      </w:r>
      <w:r w:rsidRPr="00511005">
        <w:rPr>
          <w:rFonts w:ascii="Arial" w:eastAsia="Malgun Gothic" w:hAnsi="Arial" w:cs="Arial"/>
          <w:kern w:val="2"/>
          <w:szCs w:val="28"/>
          <w:lang w:val="uk-UA"/>
          <w14:ligatures w14:val="standardContextual"/>
        </w:rPr>
        <w:t>банк</w:t>
      </w:r>
      <w:r w:rsidRPr="00511005">
        <w:rPr>
          <w:rFonts w:ascii="Arial" w:eastAsia="Calibri" w:hAnsi="Arial" w:cs="Arial"/>
          <w:kern w:val="2"/>
          <w:szCs w:val="28"/>
          <w:lang w:val="uk-UA"/>
          <w14:ligatures w14:val="standardContextual"/>
        </w:rPr>
        <w:t xml:space="preserve">івський сектор ( використання систем на основі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скорингу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кл</w:t>
      </w:r>
      <w:r w:rsidRPr="00511005">
        <w:rPr>
          <w:rFonts w:ascii="Arial" w:eastAsia="Calibri" w:hAnsi="Arial" w:cs="Arial"/>
          <w:kern w:val="2"/>
          <w:szCs w:val="28"/>
          <w:lang w:val="uk-UA"/>
          <w14:ligatures w14:val="standardContextual"/>
        </w:rPr>
        <w:t>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прогнозування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дефолт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виявлення</w:t>
      </w:r>
      <w:r w:rsidRPr="00511005">
        <w:rPr>
          <w:rFonts w:ascii="Arial" w:eastAsia="Calibri" w:hAnsi="Arial" w:cs="Arial"/>
          <w:kern w:val="2"/>
          <w:szCs w:val="28"/>
          <w:lang w:val="uk-UA"/>
          <w14:ligatures w14:val="standardContextual"/>
        </w:rPr>
        <w:t xml:space="preserve"> шахрайських транзакці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наприклад, у Monobank, ПриватБанк); електронна комерці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(використання систем персоналі</w:t>
      </w:r>
      <w:r w:rsidRPr="00511005">
        <w:rPr>
          <w:rFonts w:ascii="Arial" w:eastAsia="Malgun Gothic" w:hAnsi="Arial" w:cs="Arial"/>
          <w:kern w:val="2"/>
          <w:szCs w:val="28"/>
          <w:lang w:val="uk-UA"/>
          <w14:ligatures w14:val="standardContextual"/>
        </w:rPr>
        <w:t>зованих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рекомендац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чат</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бот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обсл</w:t>
      </w:r>
      <w:r w:rsidRPr="00511005">
        <w:rPr>
          <w:rFonts w:ascii="Arial" w:eastAsia="Calibri" w:hAnsi="Arial" w:cs="Arial"/>
          <w:kern w:val="2"/>
          <w:szCs w:val="28"/>
          <w:lang w:val="uk-UA"/>
          <w14:ligatures w14:val="standardContextual"/>
        </w:rPr>
        <w:t>уговування кліє</w:t>
      </w:r>
      <w:r w:rsidRPr="00511005">
        <w:rPr>
          <w:rFonts w:ascii="Arial" w:eastAsia="Malgun Gothic" w:hAnsi="Arial" w:cs="Arial"/>
          <w:kern w:val="2"/>
          <w:szCs w:val="28"/>
          <w:lang w:val="uk-UA"/>
          <w14:ligatures w14:val="standardContextual"/>
        </w:rPr>
        <w:t>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прогнозування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попиту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наприклад</w:t>
      </w:r>
      <w:r w:rsidRPr="00511005">
        <w:rPr>
          <w:rFonts w:ascii="Arial" w:eastAsia="Calibri" w:hAnsi="Arial" w:cs="Arial"/>
          <w:kern w:val="2"/>
          <w:szCs w:val="28"/>
          <w:lang w:val="uk-UA"/>
          <w14:ligatures w14:val="standardContextual"/>
        </w:rPr>
        <w:t xml:space="preserve">, Rozetka, Prom.ua); IT-компанії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стартапи</w:t>
      </w:r>
      <w:r w:rsidRPr="00511005">
        <w:rPr>
          <w:rFonts w:ascii="Arial" w:eastAsia="Calibri" w:hAnsi="Arial" w:cs="Arial"/>
          <w:kern w:val="2"/>
          <w:szCs w:val="28"/>
          <w:lang w:val="uk-UA"/>
          <w14:ligatures w14:val="standardContextual"/>
        </w:rPr>
        <w:t xml:space="preserve"> (розробка власних продукті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баз</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зокрема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сфер</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бербезпеки</w:t>
      </w:r>
      <w:r w:rsidRPr="00511005">
        <w:rPr>
          <w:rFonts w:ascii="Arial" w:eastAsia="Calibri" w:hAnsi="Arial" w:cs="Arial"/>
          <w:kern w:val="2"/>
          <w:szCs w:val="28"/>
          <w:lang w:val="uk-UA"/>
          <w14:ligatures w14:val="standardContextual"/>
        </w:rPr>
        <w:t>, медичних серві</w:t>
      </w:r>
      <w:r w:rsidRPr="00511005">
        <w:rPr>
          <w:rFonts w:ascii="Arial" w:eastAsia="Malgun Gothic" w:hAnsi="Arial" w:cs="Arial"/>
          <w:kern w:val="2"/>
          <w:szCs w:val="28"/>
          <w:lang w:val="uk-UA"/>
          <w14:ligatures w14:val="standardContextual"/>
        </w:rPr>
        <w:t>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стики</w:t>
      </w:r>
      <w:r w:rsidRPr="00511005">
        <w:rPr>
          <w:rFonts w:ascii="Arial" w:eastAsia="Calibri" w:hAnsi="Arial" w:cs="Arial"/>
          <w:kern w:val="2"/>
          <w:szCs w:val="28"/>
          <w:lang w:val="uk-UA"/>
          <w14:ligatures w14:val="standardContextual"/>
        </w:rPr>
        <w:t>, наприклад, Reface, Zibra AI); виробництво ( початок використання і</w:t>
      </w:r>
      <w:r w:rsidRPr="00511005">
        <w:rPr>
          <w:rFonts w:ascii="Arial" w:eastAsia="Malgun Gothic" w:hAnsi="Arial" w:cs="Arial"/>
          <w:kern w:val="2"/>
          <w:szCs w:val="28"/>
          <w:lang w:val="uk-UA"/>
          <w14:ligatures w14:val="standardContextual"/>
        </w:rPr>
        <w:t>нтелектуальних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контролю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енергоспожива</w:t>
      </w:r>
      <w:r w:rsidRPr="00511005">
        <w:rPr>
          <w:rFonts w:ascii="Arial" w:eastAsia="Calibri" w:hAnsi="Arial" w:cs="Arial"/>
          <w:kern w:val="2"/>
          <w:szCs w:val="28"/>
          <w:lang w:val="uk-UA"/>
          <w14:ligatures w14:val="standardContextual"/>
        </w:rPr>
        <w:t xml:space="preserve">нням, обслуговування обладнання). </w:t>
      </w:r>
    </w:p>
    <w:p w14:paraId="155EED16" w14:textId="219A81CE"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Разом з цим основними обмеженнями</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 xml:space="preserve">на шляху впровадження ШІ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контекст</w:t>
      </w:r>
      <w:r w:rsidRPr="00511005">
        <w:rPr>
          <w:rFonts w:ascii="Arial" w:eastAsia="Calibri" w:hAnsi="Arial" w:cs="Arial"/>
          <w:kern w:val="2"/>
          <w:szCs w:val="28"/>
          <w:lang w:val="uk-UA"/>
          <w14:ligatures w14:val="standardContextual"/>
        </w:rPr>
        <w:t>і є недостатні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ї і</w:t>
      </w:r>
      <w:r w:rsidRPr="00511005">
        <w:rPr>
          <w:rFonts w:ascii="Arial" w:eastAsia="Malgun Gothic" w:hAnsi="Arial" w:cs="Arial"/>
          <w:kern w:val="2"/>
          <w:szCs w:val="28"/>
          <w:lang w:val="uk-UA"/>
          <w14:ligatures w14:val="standardContextual"/>
        </w:rPr>
        <w:t>нфраструктури</w:t>
      </w:r>
      <w:r w:rsidRPr="00511005">
        <w:rPr>
          <w:rFonts w:ascii="Arial" w:eastAsia="Calibri" w:hAnsi="Arial" w:cs="Arial"/>
          <w:kern w:val="2"/>
          <w:szCs w:val="28"/>
          <w:lang w:val="uk-UA"/>
          <w14:ligatures w14:val="standardContextual"/>
        </w:rPr>
        <w:t>; обмежені і</w:t>
      </w:r>
      <w:r w:rsidRPr="00511005">
        <w:rPr>
          <w:rFonts w:ascii="Arial" w:eastAsia="Malgun Gothic" w:hAnsi="Arial" w:cs="Arial"/>
          <w:kern w:val="2"/>
          <w:szCs w:val="28"/>
          <w:lang w:val="uk-UA"/>
          <w14:ligatures w14:val="standardContextual"/>
        </w:rPr>
        <w:t>нвестиц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R&amp;D; ві</w:t>
      </w:r>
      <w:r w:rsidRPr="00511005">
        <w:rPr>
          <w:rFonts w:ascii="Arial" w:eastAsia="Malgun Gothic" w:hAnsi="Arial" w:cs="Arial"/>
          <w:kern w:val="2"/>
          <w:szCs w:val="28"/>
          <w:lang w:val="uk-UA"/>
          <w14:ligatures w14:val="standardContextual"/>
        </w:rPr>
        <w:t>дсутн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стимул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державно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пол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тики</w:t>
      </w:r>
      <w:r w:rsidRPr="00511005">
        <w:rPr>
          <w:rFonts w:ascii="Arial" w:eastAsia="Calibri" w:hAnsi="Arial" w:cs="Arial"/>
          <w:kern w:val="2"/>
          <w:szCs w:val="28"/>
          <w:lang w:val="uk-UA"/>
          <w14:ligatures w14:val="standardContextual"/>
        </w:rPr>
        <w:t>; кадровий дефі</w:t>
      </w:r>
      <w:r w:rsidRPr="00511005">
        <w:rPr>
          <w:rFonts w:ascii="Arial" w:eastAsia="Malgun Gothic" w:hAnsi="Arial" w:cs="Arial"/>
          <w:kern w:val="2"/>
          <w:szCs w:val="28"/>
          <w:lang w:val="uk-UA"/>
          <w14:ligatures w14:val="standardContextual"/>
        </w:rPr>
        <w:t>цит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фах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data science,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AI-</w:t>
      </w:r>
      <w:r w:rsidRPr="00511005">
        <w:rPr>
          <w:rFonts w:ascii="Arial" w:eastAsia="Malgun Gothic" w:hAnsi="Arial" w:cs="Arial"/>
          <w:kern w:val="2"/>
          <w:szCs w:val="28"/>
          <w:lang w:val="uk-UA"/>
          <w14:ligatures w14:val="standardContextual"/>
        </w:rPr>
        <w:t>менеджменту</w:t>
      </w:r>
      <w:r w:rsidRPr="00511005">
        <w:rPr>
          <w:rFonts w:ascii="Arial" w:eastAsia="Calibri" w:hAnsi="Arial" w:cs="Arial"/>
          <w:kern w:val="2"/>
          <w:szCs w:val="28"/>
          <w:lang w:val="uk-UA"/>
          <w14:ligatures w14:val="standardContextual"/>
        </w:rPr>
        <w:t>.</w:t>
      </w:r>
    </w:p>
    <w:p w14:paraId="75BA1192"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Для реалі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потенц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штучного</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нтелекту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мають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розробити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сну</w:t>
      </w:r>
      <w:r w:rsidRPr="00511005">
        <w:rPr>
          <w:rFonts w:ascii="Arial" w:eastAsia="Calibri" w:hAnsi="Arial" w:cs="Arial"/>
          <w:kern w:val="2"/>
          <w:szCs w:val="28"/>
          <w:lang w:val="uk-UA"/>
          <w14:ligatures w14:val="standardContextual"/>
        </w:rPr>
        <w:t xml:space="preserve"> стратегі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трансформац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спрямовану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переосмислення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процес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моделей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прийняття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структури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повинна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охоплювати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комплексний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враховуючи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людський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етичний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нфраструктурний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аспекти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обмеження</w:t>
      </w:r>
      <w:r w:rsidRPr="00511005">
        <w:rPr>
          <w:rFonts w:ascii="Arial" w:eastAsia="Calibri" w:hAnsi="Arial" w:cs="Arial"/>
          <w:kern w:val="2"/>
          <w:szCs w:val="28"/>
          <w:lang w:val="uk-UA"/>
          <w14:ligatures w14:val="standardContextual"/>
        </w:rPr>
        <w:t xml:space="preserve"> фрагментарними 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ями</w:t>
      </w:r>
      <w:r w:rsidRPr="00511005">
        <w:rPr>
          <w:rFonts w:ascii="Arial" w:eastAsia="Calibri" w:hAnsi="Arial" w:cs="Arial"/>
          <w:kern w:val="2"/>
          <w:szCs w:val="28"/>
          <w:lang w:val="uk-UA"/>
          <w14:ligatures w14:val="standardContextual"/>
        </w:rPr>
        <w:t>.</w:t>
      </w:r>
    </w:p>
    <w:p w14:paraId="7E411129"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Першим і </w:t>
      </w:r>
      <w:r w:rsidRPr="00511005">
        <w:rPr>
          <w:rFonts w:ascii="Arial" w:eastAsia="Malgun Gothic" w:hAnsi="Arial" w:cs="Arial"/>
          <w:kern w:val="2"/>
          <w:szCs w:val="28"/>
          <w:lang w:val="uk-UA"/>
          <w14:ligatures w14:val="standardContextual"/>
        </w:rPr>
        <w:t>ключовим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кроком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стати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розробка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мства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передбача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визначення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сфер</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яльност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штучний</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нтелект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може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принести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найб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льшу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автоматизац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рутинних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операц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тично</w:t>
      </w:r>
      <w:r w:rsidRPr="00511005">
        <w:rPr>
          <w:rFonts w:ascii="Arial" w:eastAsia="Calibri" w:hAnsi="Arial" w:cs="Arial"/>
          <w:kern w:val="2"/>
          <w:szCs w:val="28"/>
          <w:lang w:val="uk-UA"/>
          <w14:ligatures w14:val="standardContextual"/>
        </w:rPr>
        <w:t>ї пі</w:t>
      </w:r>
      <w:r w:rsidRPr="00511005">
        <w:rPr>
          <w:rFonts w:ascii="Arial" w:eastAsia="Malgun Gothic" w:hAnsi="Arial" w:cs="Arial"/>
          <w:kern w:val="2"/>
          <w:szCs w:val="28"/>
          <w:lang w:val="uk-UA"/>
          <w14:ligatures w14:val="standardContextual"/>
        </w:rPr>
        <w:t>дтримки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межах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важливо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тко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окреслити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рол</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процесах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встановити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lastRenderedPageBreak/>
        <w:t>пр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оритети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етапи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конкретн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показники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ефективност</w:t>
      </w:r>
      <w:r w:rsidRPr="00511005">
        <w:rPr>
          <w:rFonts w:ascii="Arial" w:eastAsia="Calibri" w:hAnsi="Arial" w:cs="Arial"/>
          <w:kern w:val="2"/>
          <w:szCs w:val="28"/>
          <w:lang w:val="uk-UA"/>
          <w14:ligatures w14:val="standardContextual"/>
        </w:rPr>
        <w:t xml:space="preserve">і (KPI),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дозволятимуть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ктивно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нювати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резу</w:t>
      </w:r>
      <w:r w:rsidRPr="00511005">
        <w:rPr>
          <w:rFonts w:ascii="Arial" w:eastAsia="Calibri" w:hAnsi="Arial" w:cs="Arial"/>
          <w:kern w:val="2"/>
          <w:szCs w:val="28"/>
          <w:lang w:val="uk-UA"/>
          <w14:ligatures w14:val="standardContextual"/>
        </w:rPr>
        <w:t>льтати трансформації.</w:t>
      </w:r>
    </w:p>
    <w:p w14:paraId="213C4D4E"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 xml:space="preserve">Наступним критично важливим напрямом є </w:t>
      </w:r>
      <w:r w:rsidRPr="00511005">
        <w:rPr>
          <w:rFonts w:ascii="Arial" w:eastAsia="Malgun Gothic" w:hAnsi="Arial" w:cs="Arial"/>
          <w:kern w:val="2"/>
          <w:szCs w:val="28"/>
          <w:lang w:val="uk-UA"/>
          <w14:ligatures w14:val="standardContextual"/>
        </w:rPr>
        <w:t>розвиток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людського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кап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талу</w:t>
      </w:r>
      <w:r w:rsidRPr="00511005">
        <w:rPr>
          <w:rFonts w:ascii="Arial" w:eastAsia="Calibri" w:hAnsi="Arial" w:cs="Arial"/>
          <w:kern w:val="2"/>
          <w:szCs w:val="28"/>
          <w:lang w:val="uk-UA"/>
          <w14:ligatures w14:val="standardContextual"/>
        </w:rPr>
        <w:t xml:space="preserve">, який є </w:t>
      </w:r>
      <w:r w:rsidRPr="00511005">
        <w:rPr>
          <w:rFonts w:ascii="Arial" w:eastAsia="Malgun Gothic" w:hAnsi="Arial" w:cs="Arial"/>
          <w:kern w:val="2"/>
          <w:szCs w:val="28"/>
          <w:lang w:val="uk-UA"/>
          <w14:ligatures w14:val="standardContextual"/>
        </w:rPr>
        <w:t>критично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важливим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ефективного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використання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штучного</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нтелекту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вимага</w:t>
      </w:r>
      <w:r w:rsidRPr="00511005">
        <w:rPr>
          <w:rFonts w:ascii="Arial" w:eastAsia="Calibri" w:hAnsi="Arial" w:cs="Arial"/>
          <w:kern w:val="2"/>
          <w:szCs w:val="28"/>
          <w:lang w:val="uk-UA"/>
          <w14:ligatures w14:val="standardContextual"/>
        </w:rPr>
        <w:t>є і</w:t>
      </w:r>
      <w:r w:rsidRPr="00511005">
        <w:rPr>
          <w:rFonts w:ascii="Arial" w:eastAsia="Malgun Gothic" w:hAnsi="Arial" w:cs="Arial"/>
          <w:kern w:val="2"/>
          <w:szCs w:val="28"/>
          <w:lang w:val="uk-UA"/>
          <w14:ligatures w14:val="standardContextual"/>
        </w:rPr>
        <w:t>нвестиц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навчання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основам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зуал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і</w:t>
      </w:r>
      <w:r w:rsidRPr="00511005">
        <w:rPr>
          <w:rFonts w:ascii="Arial" w:eastAsia="Malgun Gothic" w:hAnsi="Arial" w:cs="Arial"/>
          <w:kern w:val="2"/>
          <w:szCs w:val="28"/>
          <w:lang w:val="uk-UA"/>
          <w14:ligatures w14:val="standardContextual"/>
        </w:rPr>
        <w:t>нтерпре</w:t>
      </w:r>
      <w:r w:rsidRPr="00511005">
        <w:rPr>
          <w:rFonts w:ascii="Arial" w:eastAsia="Calibri" w:hAnsi="Arial" w:cs="Arial"/>
          <w:kern w:val="2"/>
          <w:szCs w:val="28"/>
          <w:lang w:val="uk-UA"/>
          <w14:ligatures w14:val="standardContextual"/>
        </w:rPr>
        <w:t xml:space="preserve">тації </w:t>
      </w:r>
      <w:r w:rsidRPr="00511005">
        <w:rPr>
          <w:rFonts w:ascii="Arial" w:eastAsia="Malgun Gothic" w:hAnsi="Arial" w:cs="Arial"/>
          <w:kern w:val="2"/>
          <w:szCs w:val="28"/>
          <w:lang w:val="uk-UA"/>
          <w14:ligatures w14:val="standardContextual"/>
        </w:rPr>
        <w:t>результат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алгоритм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застосування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І-і</w:t>
      </w:r>
      <w:r w:rsidRPr="00511005">
        <w:rPr>
          <w:rFonts w:ascii="Arial" w:eastAsia="Malgun Gothic" w:hAnsi="Arial" w:cs="Arial"/>
          <w:kern w:val="2"/>
          <w:szCs w:val="28"/>
          <w:lang w:val="uk-UA"/>
          <w14:ligatures w14:val="standardContextual"/>
        </w:rPr>
        <w:t>нструмент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Формування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мультидисципл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нарних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команд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по</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днують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техн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тичн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компетенц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забезпечу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синерг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данихоцентричних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реал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нност</w:t>
      </w:r>
      <w:r w:rsidRPr="00511005">
        <w:rPr>
          <w:rFonts w:ascii="Arial" w:eastAsia="Calibri" w:hAnsi="Arial" w:cs="Arial"/>
          <w:kern w:val="2"/>
          <w:szCs w:val="28"/>
          <w:lang w:val="uk-UA"/>
          <w14:ligatures w14:val="standardContextual"/>
        </w:rPr>
        <w:t>і ШІ.</w:t>
      </w:r>
    </w:p>
    <w:p w14:paraId="216E631C"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Водночас і</w:t>
      </w:r>
      <w:r w:rsidRPr="00511005">
        <w:rPr>
          <w:rFonts w:ascii="Arial" w:eastAsia="Malgun Gothic" w:hAnsi="Arial" w:cs="Arial"/>
          <w:kern w:val="2"/>
          <w:szCs w:val="28"/>
          <w:lang w:val="uk-UA"/>
          <w14:ligatures w14:val="standardContextual"/>
        </w:rPr>
        <w:t>нтеграц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потребу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ч</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етичних</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правових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меж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Компан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розробити</w:t>
      </w:r>
      <w:r w:rsidRPr="00511005">
        <w:rPr>
          <w:rFonts w:ascii="Arial" w:eastAsia="Calibri" w:hAnsi="Arial" w:cs="Arial"/>
          <w:kern w:val="2"/>
          <w:szCs w:val="28"/>
          <w:lang w:val="uk-UA"/>
          <w14:ligatures w14:val="standardContextual"/>
        </w:rPr>
        <w:t xml:space="preserve"> полі</w:t>
      </w:r>
      <w:r w:rsidRPr="00511005">
        <w:rPr>
          <w:rFonts w:ascii="Arial" w:eastAsia="Malgun Gothic" w:hAnsi="Arial" w:cs="Arial"/>
          <w:kern w:val="2"/>
          <w:szCs w:val="28"/>
          <w:lang w:val="uk-UA"/>
          <w14:ligatures w14:val="standardContextual"/>
        </w:rPr>
        <w:t>тики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етичного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використання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гарантують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конф</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справедлив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уникнення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дискрим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прозор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дпов</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ональному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законо</w:t>
      </w:r>
      <w:r w:rsidRPr="00511005">
        <w:rPr>
          <w:rFonts w:ascii="Arial" w:eastAsia="Calibri" w:hAnsi="Arial" w:cs="Arial"/>
          <w:kern w:val="2"/>
          <w:szCs w:val="28"/>
          <w:lang w:val="uk-UA"/>
          <w14:ligatures w14:val="standardContextual"/>
        </w:rPr>
        <w:t>давству та мі</w:t>
      </w:r>
      <w:r w:rsidRPr="00511005">
        <w:rPr>
          <w:rFonts w:ascii="Arial" w:eastAsia="Malgun Gothic" w:hAnsi="Arial" w:cs="Arial"/>
          <w:kern w:val="2"/>
          <w:szCs w:val="28"/>
          <w:lang w:val="uk-UA"/>
          <w14:ligatures w14:val="standardContextual"/>
        </w:rPr>
        <w:t>жнародним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стандартам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зокрема</w:t>
      </w:r>
      <w:r w:rsidRPr="00511005">
        <w:rPr>
          <w:rFonts w:ascii="Arial" w:eastAsia="Calibri" w:hAnsi="Arial" w:cs="Arial"/>
          <w:kern w:val="2"/>
          <w:szCs w:val="28"/>
          <w:lang w:val="uk-UA"/>
          <w14:ligatures w14:val="standardContextual"/>
        </w:rPr>
        <w:t xml:space="preserve"> GDPR і ISO/IEC 27001,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також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прозор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аудит</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алгоритм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є </w:t>
      </w:r>
      <w:r w:rsidRPr="00511005">
        <w:rPr>
          <w:rFonts w:ascii="Arial" w:eastAsia="Malgun Gothic" w:hAnsi="Arial" w:cs="Arial"/>
          <w:kern w:val="2"/>
          <w:szCs w:val="28"/>
          <w:lang w:val="uk-UA"/>
          <w14:ligatures w14:val="standardContextual"/>
        </w:rPr>
        <w:t>обов’язковими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корпоративного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w:t>
      </w:r>
    </w:p>
    <w:p w14:paraId="22DCDE60"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Не менш суттє</w:t>
      </w:r>
      <w:r w:rsidRPr="00511005">
        <w:rPr>
          <w:rFonts w:ascii="Arial" w:eastAsia="Malgun Gothic" w:hAnsi="Arial" w:cs="Arial"/>
          <w:kern w:val="2"/>
          <w:szCs w:val="28"/>
          <w:lang w:val="uk-UA"/>
          <w14:ligatures w14:val="standardContextual"/>
        </w:rPr>
        <w:t>вим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чинником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трансформац</w:t>
      </w:r>
      <w:r w:rsidRPr="00511005">
        <w:rPr>
          <w:rFonts w:ascii="Arial" w:eastAsia="Calibri" w:hAnsi="Arial" w:cs="Arial"/>
          <w:kern w:val="2"/>
          <w:szCs w:val="28"/>
          <w:lang w:val="uk-UA"/>
          <w14:ligatures w14:val="standardContextual"/>
        </w:rPr>
        <w:t xml:space="preserve">ії є </w:t>
      </w:r>
      <w:r w:rsidRPr="00511005">
        <w:rPr>
          <w:rFonts w:ascii="Arial" w:eastAsia="Malgun Gothic" w:hAnsi="Arial" w:cs="Arial"/>
          <w:kern w:val="2"/>
          <w:szCs w:val="28"/>
          <w:lang w:val="uk-UA"/>
          <w14:ligatures w14:val="standardContextual"/>
        </w:rPr>
        <w:t>побудова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ї і</w:t>
      </w:r>
      <w:r w:rsidRPr="00511005">
        <w:rPr>
          <w:rFonts w:ascii="Arial" w:eastAsia="Malgun Gothic" w:hAnsi="Arial" w:cs="Arial"/>
          <w:kern w:val="2"/>
          <w:szCs w:val="28"/>
          <w:lang w:val="uk-UA"/>
          <w14:ligatures w14:val="standardContextual"/>
        </w:rPr>
        <w:t>нфраструктури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дпри</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м</w:t>
      </w:r>
      <w:r w:rsidRPr="00511005">
        <w:rPr>
          <w:rFonts w:ascii="Arial" w:eastAsia="Calibri" w:hAnsi="Arial" w:cs="Arial"/>
          <w:kern w:val="2"/>
          <w:szCs w:val="28"/>
          <w:lang w:val="uk-UA"/>
          <w14:ligatures w14:val="standardContextual"/>
        </w:rPr>
        <w:t>ства мають і</w:t>
      </w:r>
      <w:r w:rsidRPr="00511005">
        <w:rPr>
          <w:rFonts w:ascii="Arial" w:eastAsia="Malgun Gothic" w:hAnsi="Arial" w:cs="Arial"/>
          <w:kern w:val="2"/>
          <w:szCs w:val="28"/>
          <w:lang w:val="uk-UA"/>
          <w14:ligatures w14:val="standardContextual"/>
        </w:rPr>
        <w:t>нвестувати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сучасн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хмарн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дата</w:t>
      </w:r>
      <w:r w:rsidRPr="00511005">
        <w:rPr>
          <w:rFonts w:ascii="Arial" w:eastAsia="Calibri" w:hAnsi="Arial" w:cs="Arial"/>
          <w:kern w:val="2"/>
          <w:szCs w:val="28"/>
          <w:lang w:val="uk-UA"/>
          <w14:ligatures w14:val="standardContextual"/>
        </w:rPr>
        <w:t>-</w:t>
      </w:r>
      <w:r w:rsidRPr="00511005">
        <w:rPr>
          <w:rFonts w:ascii="Arial" w:eastAsia="Malgun Gothic" w:hAnsi="Arial" w:cs="Arial"/>
          <w:kern w:val="2"/>
          <w:szCs w:val="28"/>
          <w:lang w:val="uk-UA"/>
          <w14:ligatures w14:val="standardContextual"/>
        </w:rPr>
        <w:t>центри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збер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гання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обробки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Одночасно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бно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забезпечити</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нтеграц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систем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w:t>
      </w:r>
      <w:r w:rsidRPr="00511005">
        <w:rPr>
          <w:rFonts w:ascii="Arial" w:eastAsia="Calibri" w:hAnsi="Arial" w:cs="Arial"/>
          <w:kern w:val="2"/>
          <w:szCs w:val="28"/>
          <w:lang w:val="uk-UA"/>
          <w14:ligatures w14:val="standardContextual"/>
        </w:rPr>
        <w:t xml:space="preserve"> ERP (Enterprise Resource Planning), CRM (Customer Relationship Management)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нших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платф</w:t>
      </w:r>
      <w:r w:rsidRPr="00511005">
        <w:rPr>
          <w:rFonts w:ascii="Arial" w:eastAsia="Calibri" w:hAnsi="Arial" w:cs="Arial"/>
          <w:kern w:val="2"/>
          <w:szCs w:val="28"/>
          <w:lang w:val="uk-UA"/>
          <w14:ligatures w14:val="standardContextual"/>
        </w:rPr>
        <w:t>орм для збору які</w:t>
      </w:r>
      <w:r w:rsidRPr="00511005">
        <w:rPr>
          <w:rFonts w:ascii="Arial" w:eastAsia="Malgun Gothic" w:hAnsi="Arial" w:cs="Arial"/>
          <w:kern w:val="2"/>
          <w:szCs w:val="28"/>
          <w:lang w:val="uk-UA"/>
          <w14:ligatures w14:val="standardContextual"/>
        </w:rPr>
        <w:t>сно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структуровано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сво</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часно</w:t>
      </w:r>
      <w:r w:rsidRPr="00511005">
        <w:rPr>
          <w:rFonts w:ascii="Arial" w:eastAsia="Calibri" w:hAnsi="Arial" w:cs="Arial"/>
          <w:kern w:val="2"/>
          <w:szCs w:val="28"/>
          <w:lang w:val="uk-UA"/>
          <w14:ligatures w14:val="standardContextual"/>
        </w:rPr>
        <w:t>ї і</w:t>
      </w:r>
      <w:r w:rsidRPr="00511005">
        <w:rPr>
          <w:rFonts w:ascii="Arial" w:eastAsia="Malgun Gothic" w:hAnsi="Arial" w:cs="Arial"/>
          <w:kern w:val="2"/>
          <w:szCs w:val="28"/>
          <w:lang w:val="uk-UA"/>
          <w14:ligatures w14:val="standardContextual"/>
        </w:rPr>
        <w:t>нформац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є </w:t>
      </w:r>
      <w:r w:rsidRPr="00511005">
        <w:rPr>
          <w:rFonts w:ascii="Arial" w:eastAsia="Malgun Gothic" w:hAnsi="Arial" w:cs="Arial"/>
          <w:kern w:val="2"/>
          <w:szCs w:val="28"/>
          <w:lang w:val="uk-UA"/>
          <w14:ligatures w14:val="standardContextual"/>
        </w:rPr>
        <w:t>фундаментом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навчання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моделей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І.</w:t>
      </w:r>
    </w:p>
    <w:p w14:paraId="0E4BBB01"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Зрештою, важливо запровадити гнучке управлі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яке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дозволить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швидко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тестувати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нов</w:t>
      </w:r>
      <w:r w:rsidRPr="00511005">
        <w:rPr>
          <w:rFonts w:ascii="Arial" w:eastAsia="Calibri" w:hAnsi="Arial" w:cs="Arial"/>
          <w:kern w:val="2"/>
          <w:szCs w:val="28"/>
          <w:lang w:val="uk-UA"/>
          <w14:ligatures w14:val="standardContextual"/>
        </w:rPr>
        <w:t>і і</w:t>
      </w:r>
      <w:r w:rsidRPr="00511005">
        <w:rPr>
          <w:rFonts w:ascii="Arial" w:eastAsia="Malgun Gothic" w:hAnsi="Arial" w:cs="Arial"/>
          <w:kern w:val="2"/>
          <w:szCs w:val="28"/>
          <w:lang w:val="uk-UA"/>
          <w14:ligatures w14:val="standardContextual"/>
        </w:rPr>
        <w:t>де</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адаптуватися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зм</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масштабувати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усп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w:t>
      </w:r>
      <w:r w:rsidRPr="00511005">
        <w:rPr>
          <w:rFonts w:ascii="Arial" w:eastAsia="Calibri" w:hAnsi="Arial" w:cs="Arial"/>
          <w:kern w:val="2"/>
          <w:szCs w:val="28"/>
          <w:lang w:val="uk-UA"/>
          <w14:ligatures w14:val="standardContextual"/>
        </w:rPr>
        <w:t>ння. Доці</w:t>
      </w:r>
      <w:r w:rsidRPr="00511005">
        <w:rPr>
          <w:rFonts w:ascii="Arial" w:eastAsia="Malgun Gothic" w:hAnsi="Arial" w:cs="Arial"/>
          <w:kern w:val="2"/>
          <w:szCs w:val="28"/>
          <w:lang w:val="uk-UA"/>
          <w14:ligatures w14:val="standardContextual"/>
        </w:rPr>
        <w:t>льно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запускати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лотн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про</w:t>
      </w:r>
      <w:r w:rsidRPr="00511005">
        <w:rPr>
          <w:rFonts w:ascii="Arial" w:eastAsia="Calibri" w:hAnsi="Arial" w:cs="Arial"/>
          <w:kern w:val="2"/>
          <w:szCs w:val="28"/>
          <w:lang w:val="uk-UA"/>
          <w14:ligatures w14:val="standardContextual"/>
        </w:rPr>
        <w:t>є</w:t>
      </w:r>
      <w:r w:rsidRPr="00511005">
        <w:rPr>
          <w:rFonts w:ascii="Arial" w:eastAsia="Malgun Gothic" w:hAnsi="Arial" w:cs="Arial"/>
          <w:kern w:val="2"/>
          <w:szCs w:val="28"/>
          <w:lang w:val="uk-UA"/>
          <w14:ligatures w14:val="standardContextual"/>
        </w:rPr>
        <w:t>кти</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з</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застосуванням</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окремих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дрозд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або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функц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ональних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напрямках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нювати</w:t>
      </w:r>
      <w:r w:rsidRPr="00511005">
        <w:rPr>
          <w:rFonts w:ascii="Arial" w:eastAsia="Calibri" w:hAnsi="Arial" w:cs="Arial"/>
          <w:kern w:val="2"/>
          <w:szCs w:val="28"/>
          <w:lang w:val="uk-UA"/>
          <w14:ligatures w14:val="standardContextual"/>
        </w:rPr>
        <w:t xml:space="preserve"> ї</w:t>
      </w:r>
      <w:r w:rsidRPr="00511005">
        <w:rPr>
          <w:rFonts w:ascii="Arial" w:eastAsia="Malgun Gothic" w:hAnsi="Arial" w:cs="Arial"/>
          <w:kern w:val="2"/>
          <w:szCs w:val="28"/>
          <w:lang w:val="uk-UA"/>
          <w14:ligatures w14:val="standardContextual"/>
        </w:rPr>
        <w:t>хню</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результативн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приймати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поширення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частини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Використання</w:t>
      </w:r>
      <w:r w:rsidRPr="00511005">
        <w:rPr>
          <w:rFonts w:ascii="Arial" w:eastAsia="Calibri" w:hAnsi="Arial" w:cs="Arial"/>
          <w:kern w:val="2"/>
          <w:szCs w:val="28"/>
          <w:lang w:val="uk-UA"/>
          <w14:ligatures w14:val="standardContextual"/>
        </w:rPr>
        <w:t xml:space="preserve"> agile-</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дход</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ями</w:t>
      </w:r>
      <w:r w:rsidRPr="00511005">
        <w:rPr>
          <w:rFonts w:ascii="Arial" w:eastAsia="Calibri" w:hAnsi="Arial" w:cs="Arial"/>
          <w:kern w:val="2"/>
          <w:szCs w:val="28"/>
          <w:lang w:val="uk-UA"/>
          <w14:ligatures w14:val="standardContextual"/>
        </w:rPr>
        <w:t xml:space="preserve"> забезпечує </w:t>
      </w:r>
      <w:r w:rsidRPr="00511005">
        <w:rPr>
          <w:rFonts w:ascii="Arial" w:eastAsia="Malgun Gothic" w:hAnsi="Arial" w:cs="Arial"/>
          <w:kern w:val="2"/>
          <w:szCs w:val="28"/>
          <w:lang w:val="uk-UA"/>
          <w14:ligatures w14:val="standardContextual"/>
        </w:rPr>
        <w:t>гнучк</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прозор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безперервне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вдосконалення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практик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основ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зворотного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зв’язку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w:t>
      </w:r>
      <w:r w:rsidRPr="00511005">
        <w:rPr>
          <w:rFonts w:ascii="Arial" w:eastAsia="Calibri" w:hAnsi="Arial" w:cs="Arial"/>
          <w:kern w:val="2"/>
          <w:szCs w:val="28"/>
          <w:lang w:val="uk-UA"/>
          <w14:ligatures w14:val="standardContextual"/>
        </w:rPr>
        <w:t>.</w:t>
      </w:r>
    </w:p>
    <w:p w14:paraId="0A51DCB3" w14:textId="77777777" w:rsidR="00AE57E7" w:rsidRPr="00511005" w:rsidRDefault="00AE57E7" w:rsidP="003A292D">
      <w:pPr>
        <w:spacing w:line="264" w:lineRule="auto"/>
        <w:rPr>
          <w:rFonts w:ascii="Arial" w:eastAsia="Calibri" w:hAnsi="Arial" w:cs="Arial"/>
          <w:kern w:val="2"/>
          <w:szCs w:val="28"/>
          <w:lang w:val="uk-UA"/>
          <w14:ligatures w14:val="standardContextual"/>
        </w:rPr>
      </w:pPr>
      <w:r w:rsidRPr="00511005">
        <w:rPr>
          <w:rFonts w:ascii="Arial" w:eastAsia="Calibri" w:hAnsi="Arial" w:cs="Arial"/>
          <w:kern w:val="2"/>
          <w:szCs w:val="28"/>
          <w:lang w:val="uk-UA"/>
          <w14:ligatures w14:val="standardContextual"/>
        </w:rPr>
        <w:t>Застосування штучного і</w:t>
      </w:r>
      <w:r w:rsidRPr="00511005">
        <w:rPr>
          <w:rFonts w:ascii="Arial" w:eastAsia="Malgun Gothic" w:hAnsi="Arial" w:cs="Arial"/>
          <w:kern w:val="2"/>
          <w:szCs w:val="28"/>
          <w:lang w:val="uk-UA"/>
          <w14:ligatures w14:val="standardContextual"/>
        </w:rPr>
        <w:t>нтелекту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кардинально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трансформу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не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лише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аспекти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процес</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але</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фундаментальн</w:t>
      </w:r>
      <w:r w:rsidRPr="00511005">
        <w:rPr>
          <w:rFonts w:ascii="Arial" w:eastAsia="Calibri" w:hAnsi="Arial" w:cs="Arial"/>
          <w:kern w:val="2"/>
          <w:szCs w:val="28"/>
          <w:lang w:val="uk-UA"/>
          <w14:ligatures w14:val="standardContextual"/>
        </w:rPr>
        <w:t xml:space="preserve">о переосмислює </w:t>
      </w:r>
      <w:r w:rsidRPr="00511005">
        <w:rPr>
          <w:rFonts w:ascii="Arial" w:eastAsia="Malgun Gothic" w:hAnsi="Arial" w:cs="Arial"/>
          <w:kern w:val="2"/>
          <w:szCs w:val="28"/>
          <w:lang w:val="uk-UA"/>
          <w14:ligatures w14:val="standardContextual"/>
        </w:rPr>
        <w:t>парадигму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прийняття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нських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забезпечуючи</w:t>
      </w:r>
      <w:r w:rsidRPr="00511005">
        <w:rPr>
          <w:rFonts w:ascii="Arial" w:eastAsia="Calibri" w:hAnsi="Arial" w:cs="Arial"/>
          <w:kern w:val="2"/>
          <w:szCs w:val="28"/>
          <w:lang w:val="uk-UA"/>
          <w14:ligatures w14:val="standardContextual"/>
        </w:rPr>
        <w:t xml:space="preserve"> ї</w:t>
      </w:r>
      <w:r w:rsidRPr="00511005">
        <w:rPr>
          <w:rFonts w:ascii="Arial" w:eastAsia="Malgun Gothic" w:hAnsi="Arial" w:cs="Arial"/>
          <w:kern w:val="2"/>
          <w:szCs w:val="28"/>
          <w:lang w:val="uk-UA"/>
          <w14:ligatures w14:val="standardContextual"/>
        </w:rPr>
        <w:t>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вищу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тичну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об</w:t>
      </w:r>
      <w:r w:rsidRPr="00511005">
        <w:rPr>
          <w:rFonts w:ascii="Arial" w:eastAsia="Calibri" w:hAnsi="Arial" w:cs="Arial"/>
          <w:kern w:val="2"/>
          <w:szCs w:val="28"/>
          <w:lang w:val="uk-UA"/>
          <w14:ligatures w14:val="standardContextual"/>
        </w:rPr>
        <w:t>ґ</w:t>
      </w:r>
      <w:r w:rsidRPr="00511005">
        <w:rPr>
          <w:rFonts w:ascii="Arial" w:eastAsia="Malgun Gothic" w:hAnsi="Arial" w:cs="Arial"/>
          <w:kern w:val="2"/>
          <w:szCs w:val="28"/>
          <w:lang w:val="uk-UA"/>
          <w14:ligatures w14:val="standardContextual"/>
        </w:rPr>
        <w:t>рунтован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адаптивн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оперативн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І</w:t>
      </w:r>
      <w:r w:rsidRPr="00511005">
        <w:rPr>
          <w:rFonts w:ascii="Arial" w:eastAsia="Malgun Gothic" w:hAnsi="Arial" w:cs="Arial"/>
          <w:kern w:val="2"/>
          <w:szCs w:val="28"/>
          <w:lang w:val="uk-UA"/>
          <w14:ligatures w14:val="standardContextual"/>
        </w:rPr>
        <w:t>нтеграц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сприя</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переходу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данихоцентричних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моделей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базуються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прогнозн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анал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тиц</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машинному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вчанні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автоматизац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двищу</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ефективн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і </w:t>
      </w:r>
      <w:r w:rsidRPr="00511005">
        <w:rPr>
          <w:rFonts w:ascii="Arial" w:eastAsia="Malgun Gothic" w:hAnsi="Arial" w:cs="Arial"/>
          <w:kern w:val="2"/>
          <w:szCs w:val="28"/>
          <w:lang w:val="uk-UA"/>
          <w14:ligatures w14:val="standardContextual"/>
        </w:rPr>
        <w:t>конкурентоспроможн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сть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орган</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Укра</w:t>
      </w:r>
      <w:r w:rsidRPr="00511005">
        <w:rPr>
          <w:rFonts w:ascii="Arial" w:eastAsia="Calibri" w:hAnsi="Arial" w:cs="Arial"/>
          <w:kern w:val="2"/>
          <w:szCs w:val="28"/>
          <w:lang w:val="uk-UA"/>
          <w14:ligatures w14:val="standardContextual"/>
        </w:rPr>
        <w:t>ї</w:t>
      </w:r>
      <w:r w:rsidRPr="00511005">
        <w:rPr>
          <w:rFonts w:ascii="Arial" w:eastAsia="Malgun Gothic" w:hAnsi="Arial" w:cs="Arial"/>
          <w:kern w:val="2"/>
          <w:szCs w:val="28"/>
          <w:lang w:val="uk-UA"/>
          <w14:ligatures w14:val="standardContextual"/>
        </w:rPr>
        <w:t>нський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б</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знес</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значний</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масштабного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впровадження</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нновац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йних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шень</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на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основ</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однак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реал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зац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цього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потенц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алу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вимага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lastRenderedPageBreak/>
        <w:t>системного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стратег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чно</w:t>
      </w:r>
      <w:r w:rsidRPr="00511005">
        <w:rPr>
          <w:rFonts w:ascii="Arial" w:eastAsia="Calibri" w:hAnsi="Arial" w:cs="Arial"/>
          <w:kern w:val="2"/>
          <w:szCs w:val="28"/>
          <w:lang w:val="uk-UA"/>
          <w14:ligatures w14:val="standardContextual"/>
        </w:rPr>
        <w:t>го пі</w:t>
      </w:r>
      <w:r w:rsidRPr="00511005">
        <w:rPr>
          <w:rFonts w:ascii="Arial" w:eastAsia="Malgun Gothic" w:hAnsi="Arial" w:cs="Arial"/>
          <w:kern w:val="2"/>
          <w:szCs w:val="28"/>
          <w:lang w:val="uk-UA"/>
          <w14:ligatures w14:val="standardContextual"/>
        </w:rPr>
        <w:t>дходу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що</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включа</w:t>
      </w:r>
      <w:r w:rsidRPr="00511005">
        <w:rPr>
          <w:rFonts w:ascii="Arial" w:eastAsia="Calibri" w:hAnsi="Arial" w:cs="Arial"/>
          <w:kern w:val="2"/>
          <w:szCs w:val="28"/>
          <w:lang w:val="uk-UA"/>
          <w14:ligatures w14:val="standardContextual"/>
        </w:rPr>
        <w:t xml:space="preserve">є </w:t>
      </w:r>
      <w:r w:rsidRPr="00511005">
        <w:rPr>
          <w:rFonts w:ascii="Arial" w:eastAsia="Malgun Gothic" w:hAnsi="Arial" w:cs="Arial"/>
          <w:kern w:val="2"/>
          <w:szCs w:val="28"/>
          <w:lang w:val="uk-UA"/>
          <w14:ligatures w14:val="standardContextual"/>
        </w:rPr>
        <w:t>розвиток</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цифрово</w:t>
      </w:r>
      <w:r w:rsidRPr="00511005">
        <w:rPr>
          <w:rFonts w:ascii="Arial" w:eastAsia="Calibri" w:hAnsi="Arial" w:cs="Arial"/>
          <w:kern w:val="2"/>
          <w:szCs w:val="28"/>
          <w:lang w:val="uk-UA"/>
          <w14:ligatures w14:val="standardContextual"/>
        </w:rPr>
        <w:t>ї і</w:t>
      </w:r>
      <w:r w:rsidRPr="00511005">
        <w:rPr>
          <w:rFonts w:ascii="Arial" w:eastAsia="Malgun Gothic" w:hAnsi="Arial" w:cs="Arial"/>
          <w:kern w:val="2"/>
          <w:szCs w:val="28"/>
          <w:lang w:val="uk-UA"/>
          <w14:ligatures w14:val="standardContextual"/>
        </w:rPr>
        <w:t>нфраструктури</w:t>
      </w:r>
      <w:r w:rsidRPr="00511005">
        <w:rPr>
          <w:rFonts w:ascii="Arial" w:eastAsia="Calibri" w:hAnsi="Arial" w:cs="Arial"/>
          <w:kern w:val="2"/>
          <w:szCs w:val="28"/>
          <w:lang w:val="uk-UA"/>
          <w14:ligatures w14:val="standardContextual"/>
        </w:rPr>
        <w:t>, і</w:t>
      </w:r>
      <w:r w:rsidRPr="00511005">
        <w:rPr>
          <w:rFonts w:ascii="Arial" w:eastAsia="Malgun Gothic" w:hAnsi="Arial" w:cs="Arial"/>
          <w:kern w:val="2"/>
          <w:szCs w:val="28"/>
          <w:lang w:val="uk-UA"/>
          <w14:ligatures w14:val="standardContextual"/>
        </w:rPr>
        <w:t>нвестування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технолог</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чн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платформи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також</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ц</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леспрямовану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дготовку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та</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п</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двищення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квал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ф</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кац</w:t>
      </w:r>
      <w:r w:rsidRPr="00511005">
        <w:rPr>
          <w:rFonts w:ascii="Arial" w:eastAsia="Calibri" w:hAnsi="Arial" w:cs="Arial"/>
          <w:kern w:val="2"/>
          <w:szCs w:val="28"/>
          <w:lang w:val="uk-UA"/>
          <w14:ligatures w14:val="standardContextual"/>
        </w:rPr>
        <w:t xml:space="preserve">ії </w:t>
      </w:r>
      <w:r w:rsidRPr="00511005">
        <w:rPr>
          <w:rFonts w:ascii="Arial" w:eastAsia="Malgun Gothic" w:hAnsi="Arial" w:cs="Arial"/>
          <w:kern w:val="2"/>
          <w:szCs w:val="28"/>
          <w:lang w:val="uk-UA"/>
          <w14:ligatures w14:val="standardContextual"/>
        </w:rPr>
        <w:t>кадр</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для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забезпечення</w:t>
      </w:r>
      <w:r w:rsidRPr="00511005">
        <w:rPr>
          <w:rFonts w:ascii="Arial" w:eastAsia="Calibri" w:hAnsi="Arial" w:cs="Arial"/>
          <w:kern w:val="2"/>
          <w:szCs w:val="28"/>
          <w:lang w:val="uk-UA"/>
          <w14:ligatures w14:val="standardContextual"/>
        </w:rPr>
        <w:t xml:space="preserve"> ї</w:t>
      </w:r>
      <w:r w:rsidRPr="00511005">
        <w:rPr>
          <w:rFonts w:ascii="Arial" w:eastAsia="Malgun Gothic" w:hAnsi="Arial" w:cs="Arial"/>
          <w:kern w:val="2"/>
          <w:szCs w:val="28"/>
          <w:lang w:val="uk-UA"/>
          <w14:ligatures w14:val="standardContextual"/>
        </w:rPr>
        <w:t>хньо</w:t>
      </w:r>
      <w:r w:rsidRPr="00511005">
        <w:rPr>
          <w:rFonts w:ascii="Arial" w:eastAsia="Calibri" w:hAnsi="Arial" w:cs="Arial"/>
          <w:kern w:val="2"/>
          <w:szCs w:val="28"/>
          <w:lang w:val="uk-UA"/>
          <w14:ligatures w14:val="standardContextual"/>
        </w:rPr>
        <w:t xml:space="preserve">ї </w:t>
      </w:r>
      <w:r w:rsidRPr="00511005">
        <w:rPr>
          <w:rFonts w:ascii="Arial" w:eastAsia="Malgun Gothic" w:hAnsi="Arial" w:cs="Arial"/>
          <w:kern w:val="2"/>
          <w:szCs w:val="28"/>
          <w:lang w:val="uk-UA"/>
          <w14:ligatures w14:val="standardContextual"/>
        </w:rPr>
        <w:t>компетентност</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використанн</w:t>
      </w:r>
      <w:r w:rsidRPr="00511005">
        <w:rPr>
          <w:rFonts w:ascii="Arial" w:eastAsia="Calibri" w:hAnsi="Arial" w:cs="Arial"/>
          <w:kern w:val="2"/>
          <w:szCs w:val="28"/>
          <w:lang w:val="uk-UA"/>
          <w14:ligatures w14:val="standardContextual"/>
        </w:rPr>
        <w:t xml:space="preserve">і </w:t>
      </w:r>
      <w:r w:rsidRPr="00511005">
        <w:rPr>
          <w:rFonts w:ascii="Arial" w:eastAsia="Malgun Gothic" w:hAnsi="Arial" w:cs="Arial"/>
          <w:kern w:val="2"/>
          <w:szCs w:val="28"/>
          <w:lang w:val="uk-UA"/>
          <w14:ligatures w14:val="standardContextual"/>
        </w:rPr>
        <w:t>передових</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нструмент</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в</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w:t>
      </w:r>
      <w:r w:rsidRPr="00511005">
        <w:rPr>
          <w:rFonts w:ascii="Arial" w:eastAsia="Calibri" w:hAnsi="Arial" w:cs="Arial"/>
          <w:kern w:val="2"/>
          <w:szCs w:val="28"/>
          <w:lang w:val="uk-UA"/>
          <w14:ligatures w14:val="standardContextual"/>
        </w:rPr>
        <w:t>І.</w:t>
      </w:r>
    </w:p>
    <w:p w14:paraId="018C6F83" w14:textId="77777777" w:rsidR="00AE57E7" w:rsidRPr="00511005" w:rsidRDefault="00AE57E7" w:rsidP="003A292D">
      <w:pPr>
        <w:spacing w:line="264" w:lineRule="auto"/>
        <w:ind w:right="850"/>
        <w:jc w:val="center"/>
        <w:rPr>
          <w:rFonts w:ascii="Arial" w:eastAsia="Calibri" w:hAnsi="Arial" w:cs="Arial"/>
          <w:b/>
          <w:kern w:val="2"/>
          <w:szCs w:val="28"/>
          <w:lang w:val="uk-UA"/>
          <w14:ligatures w14:val="standardContextual"/>
        </w:rPr>
      </w:pPr>
    </w:p>
    <w:p w14:paraId="039E95B6" w14:textId="49F32417" w:rsidR="00AE57E7" w:rsidRPr="00511005" w:rsidRDefault="007B2628" w:rsidP="007B2628">
      <w:pPr>
        <w:spacing w:line="264" w:lineRule="auto"/>
        <w:ind w:right="850" w:firstLine="0"/>
        <w:jc w:val="center"/>
        <w:rPr>
          <w:rFonts w:ascii="Arial" w:eastAsia="Calibri" w:hAnsi="Arial" w:cs="Arial"/>
          <w:b/>
          <w:kern w:val="2"/>
          <w:szCs w:val="28"/>
          <w:lang w:val="uk-UA"/>
          <w14:ligatures w14:val="standardContextual"/>
        </w:rPr>
      </w:pPr>
      <w:r w:rsidRPr="00511005">
        <w:rPr>
          <w:rFonts w:ascii="Arial" w:eastAsia="Calibri" w:hAnsi="Arial" w:cs="Arial"/>
          <w:b/>
          <w:kern w:val="2"/>
          <w:szCs w:val="28"/>
          <w:lang w:val="uk-UA"/>
          <w14:ligatures w14:val="standardContextual"/>
        </w:rPr>
        <w:t>Список використаних джерел</w:t>
      </w:r>
    </w:p>
    <w:p w14:paraId="75E22588" w14:textId="77777777" w:rsidR="00AE57E7" w:rsidRPr="00511005" w:rsidRDefault="00AE57E7" w:rsidP="003F6A5D">
      <w:pPr>
        <w:numPr>
          <w:ilvl w:val="0"/>
          <w:numId w:val="742"/>
        </w:numPr>
        <w:spacing w:line="264" w:lineRule="auto"/>
        <w:ind w:left="0" w:firstLine="709"/>
        <w:jc w:val="left"/>
        <w:rPr>
          <w:rFonts w:ascii="Arial" w:eastAsia="Times New Roman" w:hAnsi="Arial" w:cs="Arial"/>
          <w:kern w:val="2"/>
          <w:szCs w:val="28"/>
          <w:lang w:val="uk-UA" w:eastAsia="uk-UA"/>
          <w14:ligatures w14:val="standardContextual"/>
        </w:rPr>
      </w:pPr>
      <w:r w:rsidRPr="00511005">
        <w:rPr>
          <w:rFonts w:ascii="Arial" w:eastAsia="Calibri" w:hAnsi="Arial" w:cs="Arial"/>
          <w:kern w:val="2"/>
          <w:szCs w:val="28"/>
          <w:shd w:val="clear" w:color="auto" w:fill="FFFFFF"/>
          <w:lang w:val="uk-UA"/>
          <w14:ligatures w14:val="standardContextual"/>
        </w:rPr>
        <w:t>Кравченко Н. Як в Украї</w:t>
      </w:r>
      <w:r w:rsidRPr="00511005">
        <w:rPr>
          <w:rFonts w:ascii="Arial" w:eastAsia="Malgun Gothic" w:hAnsi="Arial" w:cs="Arial"/>
          <w:kern w:val="2"/>
          <w:szCs w:val="28"/>
          <w:shd w:val="clear" w:color="auto" w:fill="FFFFFF"/>
          <w:lang w:val="uk-UA"/>
          <w14:ligatures w14:val="standardContextual"/>
        </w:rPr>
        <w:t>н</w:t>
      </w:r>
      <w:r w:rsidRPr="00511005">
        <w:rPr>
          <w:rFonts w:ascii="Arial" w:eastAsia="Calibri" w:hAnsi="Arial" w:cs="Arial"/>
          <w:kern w:val="2"/>
          <w:szCs w:val="28"/>
          <w:shd w:val="clear" w:color="auto" w:fill="FFFFFF"/>
          <w:lang w:val="uk-UA"/>
          <w14:ligatures w14:val="standardContextual"/>
        </w:rPr>
        <w:t>і використовують штучний і</w:t>
      </w:r>
      <w:r w:rsidRPr="00511005">
        <w:rPr>
          <w:rFonts w:ascii="Arial" w:eastAsia="Malgun Gothic" w:hAnsi="Arial" w:cs="Arial"/>
          <w:kern w:val="2"/>
          <w:szCs w:val="28"/>
          <w:shd w:val="clear" w:color="auto" w:fill="FFFFFF"/>
          <w:lang w:val="uk-UA"/>
          <w14:ligatures w14:val="standardContextual"/>
        </w:rPr>
        <w:t>нтелект</w:t>
      </w:r>
      <w:r w:rsidRPr="00511005">
        <w:rPr>
          <w:rFonts w:ascii="Arial" w:eastAsia="Calibri" w:hAnsi="Arial" w:cs="Arial"/>
          <w:kern w:val="2"/>
          <w:szCs w:val="28"/>
          <w:shd w:val="clear" w:color="auto" w:fill="FFFFFF"/>
          <w:lang w:val="uk-UA"/>
          <w14:ligatures w14:val="standardContextual"/>
        </w:rPr>
        <w:t>. URL: </w:t>
      </w:r>
      <w:hyperlink r:id="rId2493" w:history="1">
        <w:r w:rsidRPr="00511005">
          <w:rPr>
            <w:rFonts w:ascii="Arial" w:eastAsia="Calibri" w:hAnsi="Arial" w:cs="Arial"/>
            <w:kern w:val="2"/>
            <w:szCs w:val="28"/>
            <w:shd w:val="clear" w:color="auto" w:fill="FFFFFF"/>
            <w:lang w:val="uk-UA"/>
            <w14:ligatures w14:val="standardContextual"/>
          </w:rPr>
          <w:t>https://ms.detector.media/trendi/post/33704/2023-12-10-yak-v-ukraini-vykorystovuyut-shtuchnyy-intelekt/</w:t>
        </w:r>
      </w:hyperlink>
    </w:p>
    <w:p w14:paraId="7FC6C381" w14:textId="77777777" w:rsidR="00AE57E7" w:rsidRPr="00511005" w:rsidRDefault="00AE57E7" w:rsidP="003F6A5D">
      <w:pPr>
        <w:numPr>
          <w:ilvl w:val="0"/>
          <w:numId w:val="742"/>
        </w:numPr>
        <w:spacing w:line="264" w:lineRule="auto"/>
        <w:ind w:left="0" w:firstLine="709"/>
        <w:jc w:val="left"/>
        <w:rPr>
          <w:rFonts w:ascii="Arial" w:eastAsia="Times New Roman" w:hAnsi="Arial" w:cs="Arial"/>
          <w:kern w:val="2"/>
          <w:szCs w:val="28"/>
          <w:lang w:val="uk-UA" w:eastAsia="uk-UA"/>
          <w14:ligatures w14:val="standardContextual"/>
        </w:rPr>
      </w:pPr>
      <w:r w:rsidRPr="00511005">
        <w:rPr>
          <w:rFonts w:ascii="Arial" w:eastAsia="Calibri" w:hAnsi="Arial" w:cs="Arial"/>
          <w:kern w:val="2"/>
          <w:szCs w:val="28"/>
          <w:shd w:val="clear" w:color="auto" w:fill="FFFFFF"/>
          <w:lang w:val="uk-UA"/>
          <w14:ligatures w14:val="standardContextual"/>
        </w:rPr>
        <w:t>Штучний і</w:t>
      </w:r>
      <w:r w:rsidRPr="00511005">
        <w:rPr>
          <w:rFonts w:ascii="Arial" w:eastAsia="Malgun Gothic" w:hAnsi="Arial" w:cs="Arial"/>
          <w:kern w:val="2"/>
          <w:szCs w:val="28"/>
          <w:shd w:val="clear" w:color="auto" w:fill="FFFFFF"/>
          <w:lang w:val="uk-UA"/>
          <w14:ligatures w14:val="standardContextual"/>
        </w:rPr>
        <w:t>нтелект</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Malgun Gothic" w:hAnsi="Arial" w:cs="Arial"/>
          <w:kern w:val="2"/>
          <w:szCs w:val="28"/>
          <w:shd w:val="clear" w:color="auto" w:fill="FFFFFF"/>
          <w:lang w:val="uk-UA"/>
          <w14:ligatures w14:val="standardContextual"/>
        </w:rPr>
        <w:t>для</w:t>
      </w:r>
      <w:r w:rsidRPr="00511005">
        <w:rPr>
          <w:rFonts w:ascii="Arial" w:eastAsia="Calibri" w:hAnsi="Arial" w:cs="Arial"/>
          <w:kern w:val="2"/>
          <w:szCs w:val="28"/>
          <w:shd w:val="clear" w:color="auto" w:fill="FFFFFF"/>
          <w:lang w:val="uk-UA"/>
          <w14:ligatures w14:val="standardContextual"/>
        </w:rPr>
        <w:t xml:space="preserve"> </w:t>
      </w:r>
      <w:r w:rsidRPr="00511005">
        <w:rPr>
          <w:rFonts w:ascii="Arial" w:eastAsia="Malgun Gothic" w:hAnsi="Arial" w:cs="Arial"/>
          <w:kern w:val="2"/>
          <w:szCs w:val="28"/>
          <w:shd w:val="clear" w:color="auto" w:fill="FFFFFF"/>
          <w:lang w:val="uk-UA"/>
          <w14:ligatures w14:val="standardContextual"/>
        </w:rPr>
        <w:t>б</w:t>
      </w:r>
      <w:r w:rsidRPr="00511005">
        <w:rPr>
          <w:rFonts w:ascii="Arial" w:eastAsia="Calibri" w:hAnsi="Arial" w:cs="Arial"/>
          <w:kern w:val="2"/>
          <w:szCs w:val="28"/>
          <w:shd w:val="clear" w:color="auto" w:fill="FFFFFF"/>
          <w:lang w:val="uk-UA"/>
          <w14:ligatures w14:val="standardContextual"/>
        </w:rPr>
        <w:t>і</w:t>
      </w:r>
      <w:r w:rsidRPr="00511005">
        <w:rPr>
          <w:rFonts w:ascii="Arial" w:eastAsia="Malgun Gothic" w:hAnsi="Arial" w:cs="Arial"/>
          <w:kern w:val="2"/>
          <w:szCs w:val="28"/>
          <w:shd w:val="clear" w:color="auto" w:fill="FFFFFF"/>
          <w:lang w:val="uk-UA"/>
          <w14:ligatures w14:val="standardContextual"/>
        </w:rPr>
        <w:t>знесу</w:t>
      </w:r>
      <w:r w:rsidRPr="00511005">
        <w:rPr>
          <w:rFonts w:ascii="Arial" w:eastAsia="Calibri" w:hAnsi="Arial" w:cs="Arial"/>
          <w:kern w:val="2"/>
          <w:szCs w:val="28"/>
          <w:shd w:val="clear" w:color="auto" w:fill="FFFFFF"/>
          <w:lang w:val="uk-UA"/>
          <w14:ligatures w14:val="standardContextual"/>
        </w:rPr>
        <w:t>. URL:</w:t>
      </w:r>
      <w:r w:rsidRPr="00511005">
        <w:rPr>
          <w:rFonts w:ascii="Arial" w:eastAsia="Malgun Gothic" w:hAnsi="Arial" w:cs="Arial"/>
          <w:kern w:val="2"/>
          <w:szCs w:val="28"/>
          <w:shd w:val="clear" w:color="auto" w:fill="FFFFFF"/>
          <w:lang w:val="uk-UA"/>
          <w14:ligatures w14:val="standardContextual"/>
        </w:rPr>
        <w:t> </w:t>
      </w:r>
      <w:hyperlink r:id="rId2494" w:history="1">
        <w:r w:rsidRPr="00511005">
          <w:rPr>
            <w:rFonts w:ascii="Arial" w:eastAsia="Calibri" w:hAnsi="Arial" w:cs="Arial"/>
            <w:kern w:val="2"/>
            <w:szCs w:val="28"/>
            <w:shd w:val="clear" w:color="auto" w:fill="FFFFFF"/>
            <w:lang w:val="uk-UA"/>
            <w14:ligatures w14:val="standardContextual"/>
          </w:rPr>
          <w:t>https://strategi.com.ua/shtuchnyy-intelekt-dlia-biznesu/</w:t>
        </w:r>
      </w:hyperlink>
    </w:p>
    <w:p w14:paraId="07471870" w14:textId="251696DF" w:rsidR="00AE57E7" w:rsidRPr="00511005" w:rsidRDefault="00AE57E7" w:rsidP="003F6A5D">
      <w:pPr>
        <w:numPr>
          <w:ilvl w:val="0"/>
          <w:numId w:val="742"/>
        </w:numPr>
        <w:spacing w:line="264" w:lineRule="auto"/>
        <w:ind w:left="0" w:firstLine="709"/>
        <w:jc w:val="left"/>
        <w:rPr>
          <w:rFonts w:ascii="Arial" w:eastAsia="Times New Roman" w:hAnsi="Arial" w:cs="Arial"/>
          <w:kern w:val="2"/>
          <w:szCs w:val="28"/>
          <w:lang w:val="uk-UA" w:eastAsia="uk-UA"/>
          <w14:ligatures w14:val="standardContextual"/>
        </w:rPr>
      </w:pPr>
      <w:r w:rsidRPr="00511005">
        <w:rPr>
          <w:rFonts w:ascii="Arial" w:eastAsia="Calibri" w:hAnsi="Arial" w:cs="Arial"/>
          <w:kern w:val="2"/>
          <w:szCs w:val="28"/>
          <w:lang w:val="uk-UA"/>
          <w14:ligatures w14:val="standardContextual"/>
        </w:rPr>
        <w:t>Пельчер М.</w:t>
      </w:r>
      <w:r w:rsidRPr="00511005">
        <w:rPr>
          <w:rFonts w:ascii="Arial" w:eastAsia="Times New Roman" w:hAnsi="Arial" w:cs="Arial"/>
          <w:kern w:val="2"/>
          <w:szCs w:val="28"/>
          <w:lang w:val="uk-UA" w:eastAsia="uk-UA"/>
          <w14:ligatures w14:val="standardContextual"/>
        </w:rPr>
        <w:t xml:space="preserve"> </w:t>
      </w:r>
      <w:r w:rsidRPr="00511005">
        <w:rPr>
          <w:rFonts w:ascii="Arial" w:eastAsia="Calibri" w:hAnsi="Arial" w:cs="Arial"/>
          <w:kern w:val="2"/>
          <w:szCs w:val="28"/>
          <w:lang w:val="uk-UA"/>
          <w14:ligatures w14:val="standardContextual"/>
        </w:rPr>
        <w:t>Переваги та недолі</w:t>
      </w:r>
      <w:r w:rsidRPr="00511005">
        <w:rPr>
          <w:rFonts w:ascii="Arial" w:eastAsia="Malgun Gothic" w:hAnsi="Arial" w:cs="Arial"/>
          <w:kern w:val="2"/>
          <w:szCs w:val="28"/>
          <w:lang w:val="uk-UA"/>
          <w14:ligatures w14:val="standardContextual"/>
        </w:rPr>
        <w:t>ки</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застосування</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штучного</w:t>
      </w:r>
      <w:r w:rsidRPr="00511005">
        <w:rPr>
          <w:rFonts w:ascii="Arial" w:eastAsia="Calibri" w:hAnsi="Arial" w:cs="Arial"/>
          <w:kern w:val="2"/>
          <w:szCs w:val="28"/>
          <w:lang w:val="uk-UA"/>
          <w14:ligatures w14:val="standardContextual"/>
        </w:rPr>
        <w:t xml:space="preserve"> і</w:t>
      </w:r>
      <w:r w:rsidRPr="00511005">
        <w:rPr>
          <w:rFonts w:ascii="Arial" w:eastAsia="Malgun Gothic" w:hAnsi="Arial" w:cs="Arial"/>
          <w:kern w:val="2"/>
          <w:szCs w:val="28"/>
          <w:lang w:val="uk-UA"/>
          <w14:ligatures w14:val="standardContextual"/>
        </w:rPr>
        <w:t>нтелекту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сферах</w:t>
      </w:r>
      <w:r w:rsidRPr="00511005">
        <w:rPr>
          <w:rFonts w:ascii="Arial" w:eastAsia="Calibri" w:hAnsi="Arial" w:cs="Arial"/>
          <w:kern w:val="2"/>
          <w:szCs w:val="28"/>
          <w:lang w:val="uk-UA"/>
          <w14:ligatures w14:val="standardContextual"/>
        </w:rPr>
        <w:t xml:space="preserve"> </w:t>
      </w:r>
      <w:r w:rsidRPr="00511005">
        <w:rPr>
          <w:rFonts w:ascii="Arial" w:eastAsia="Malgun Gothic" w:hAnsi="Arial" w:cs="Arial"/>
          <w:kern w:val="2"/>
          <w:szCs w:val="28"/>
          <w:lang w:val="uk-UA"/>
          <w14:ligatures w14:val="standardContextual"/>
        </w:rPr>
        <w:t>управл</w:t>
      </w:r>
      <w:r w:rsidRPr="00511005">
        <w:rPr>
          <w:rFonts w:ascii="Arial" w:eastAsia="Calibri" w:hAnsi="Arial" w:cs="Arial"/>
          <w:kern w:val="2"/>
          <w:szCs w:val="28"/>
          <w:lang w:val="uk-UA"/>
          <w14:ligatures w14:val="standardContextual"/>
        </w:rPr>
        <w:t>і</w:t>
      </w:r>
      <w:r w:rsidRPr="00511005">
        <w:rPr>
          <w:rFonts w:ascii="Arial" w:eastAsia="Malgun Gothic" w:hAnsi="Arial" w:cs="Arial"/>
          <w:kern w:val="2"/>
          <w:szCs w:val="28"/>
          <w:lang w:val="uk-UA"/>
          <w14:ligatures w14:val="standardContextual"/>
        </w:rPr>
        <w:t>ння</w:t>
      </w:r>
      <w:r w:rsidR="007B2628" w:rsidRPr="00511005">
        <w:rPr>
          <w:rFonts w:ascii="Arial" w:eastAsia="Calibri" w:hAnsi="Arial" w:cs="Arial"/>
          <w:kern w:val="2"/>
          <w:szCs w:val="28"/>
          <w:lang w:val="uk-UA"/>
          <w14:ligatures w14:val="standardContextual"/>
        </w:rPr>
        <w:t xml:space="preserve"> </w:t>
      </w:r>
      <w:r w:rsidRPr="00511005">
        <w:rPr>
          <w:rFonts w:ascii="Arial" w:eastAsia="Calibri" w:hAnsi="Arial" w:cs="Arial"/>
          <w:kern w:val="2"/>
          <w:szCs w:val="28"/>
          <w:lang w:val="uk-UA"/>
          <w14:ligatures w14:val="standardContextual"/>
        </w:rPr>
        <w:t xml:space="preserve">URL: </w:t>
      </w:r>
      <w:hyperlink r:id="rId2495" w:history="1">
        <w:r w:rsidRPr="00511005">
          <w:rPr>
            <w:rFonts w:ascii="Arial" w:eastAsia="Calibri" w:hAnsi="Arial" w:cs="Arial"/>
            <w:kern w:val="2"/>
            <w:szCs w:val="28"/>
            <w:lang w:val="uk-UA"/>
            <w14:ligatures w14:val="standardContextual"/>
          </w:rPr>
          <w:t>https://elartu.tntu.edu.ua/bitstream/lib/25207/2/MSNK_2018v2_Pelcher_M-Advantages_and_lack_of_application_72-73.pdf</w:t>
        </w:r>
      </w:hyperlink>
    </w:p>
    <w:p w14:paraId="4D813BCE" w14:textId="77777777" w:rsidR="00AE57E7" w:rsidRPr="00511005" w:rsidRDefault="00AE57E7" w:rsidP="003F6A5D">
      <w:pPr>
        <w:numPr>
          <w:ilvl w:val="0"/>
          <w:numId w:val="742"/>
        </w:numPr>
        <w:spacing w:line="264" w:lineRule="auto"/>
        <w:ind w:left="0" w:firstLine="709"/>
        <w:jc w:val="left"/>
        <w:rPr>
          <w:rFonts w:ascii="Arial" w:eastAsia="Times New Roman" w:hAnsi="Arial" w:cs="Arial"/>
          <w:kern w:val="2"/>
          <w:szCs w:val="28"/>
          <w:lang w:val="uk-UA" w:eastAsia="uk-UA"/>
          <w14:ligatures w14:val="standardContextual"/>
        </w:rPr>
      </w:pPr>
      <w:r w:rsidRPr="00511005">
        <w:rPr>
          <w:rFonts w:ascii="Arial" w:eastAsia="Times New Roman" w:hAnsi="Arial" w:cs="Arial"/>
          <w:kern w:val="2"/>
          <w:szCs w:val="28"/>
          <w:lang w:val="uk-UA" w:eastAsia="uk-UA"/>
          <w14:ligatures w14:val="standardContextual"/>
        </w:rPr>
        <w:t>Artificial Intelligence and Business Management in Digital Era / Ed. by S. Sharma, H. Dwivedi. Springer, 2024. 412 p.</w:t>
      </w:r>
    </w:p>
    <w:p w14:paraId="71E033BC" w14:textId="77777777" w:rsidR="00AE57E7" w:rsidRPr="00511005" w:rsidRDefault="00AE57E7" w:rsidP="003A292D">
      <w:pPr>
        <w:spacing w:line="264" w:lineRule="auto"/>
        <w:contextualSpacing/>
        <w:jc w:val="left"/>
        <w:rPr>
          <w:rFonts w:ascii="Arial" w:eastAsia="Times New Roman" w:hAnsi="Arial" w:cs="Arial"/>
          <w:kern w:val="36"/>
          <w:szCs w:val="28"/>
          <w:lang w:val="uk-UA"/>
          <w14:ligatures w14:val="standardContextual"/>
        </w:rPr>
      </w:pPr>
    </w:p>
    <w:p w14:paraId="412DB4B3" w14:textId="6CB0A954" w:rsidR="00AE57E7" w:rsidRPr="00511005" w:rsidRDefault="007B2628" w:rsidP="003A292D">
      <w:pPr>
        <w:spacing w:line="264" w:lineRule="auto"/>
        <w:rPr>
          <w:rFonts w:ascii="Arial" w:eastAsia="Times New Roman" w:hAnsi="Arial" w:cs="Arial"/>
          <w:kern w:val="2"/>
          <w:szCs w:val="28"/>
          <w:lang w:val="uk-UA" w:eastAsia="uk-UA"/>
          <w14:ligatures w14:val="standardContextual"/>
        </w:rPr>
      </w:pPr>
      <w:r w:rsidRPr="00511005">
        <w:rPr>
          <w:rFonts w:ascii="Arial" w:eastAsia="Times New Roman" w:hAnsi="Arial" w:cs="Arial"/>
          <w:b/>
          <w:bCs/>
          <w:i/>
          <w:kern w:val="2"/>
          <w:szCs w:val="28"/>
          <w:lang w:val="uk-UA" w:eastAsia="uk-UA"/>
          <w14:ligatures w14:val="standardContextual"/>
        </w:rPr>
        <w:t xml:space="preserve">Ключові слова: </w:t>
      </w:r>
      <w:r w:rsidR="00AE57E7" w:rsidRPr="00511005">
        <w:rPr>
          <w:rFonts w:ascii="Arial" w:eastAsia="Times New Roman" w:hAnsi="Arial" w:cs="Arial"/>
          <w:kern w:val="2"/>
          <w:szCs w:val="28"/>
          <w:lang w:val="uk-UA" w:eastAsia="uk-UA"/>
          <w14:ligatures w14:val="standardContextual"/>
        </w:rPr>
        <w:t>штучний і</w:t>
      </w:r>
      <w:r w:rsidR="00AE57E7" w:rsidRPr="00511005">
        <w:rPr>
          <w:rFonts w:ascii="Arial" w:eastAsia="Malgun Gothic" w:hAnsi="Arial" w:cs="Arial"/>
          <w:kern w:val="2"/>
          <w:szCs w:val="28"/>
          <w:lang w:val="uk-UA" w:eastAsia="uk-UA"/>
          <w14:ligatures w14:val="standardContextual"/>
        </w:rPr>
        <w:t>нтелект</w:t>
      </w:r>
      <w:r w:rsidR="00AE57E7" w:rsidRPr="00511005">
        <w:rPr>
          <w:rFonts w:ascii="Arial" w:eastAsia="Times New Roman" w:hAnsi="Arial" w:cs="Arial"/>
          <w:kern w:val="2"/>
          <w:szCs w:val="28"/>
          <w:lang w:val="uk-UA" w:eastAsia="uk-UA"/>
          <w14:ligatures w14:val="standardContextual"/>
        </w:rPr>
        <w:t xml:space="preserve">, </w:t>
      </w:r>
      <w:r w:rsidR="00AE57E7" w:rsidRPr="00511005">
        <w:rPr>
          <w:rFonts w:ascii="Arial" w:eastAsia="Malgun Gothic" w:hAnsi="Arial" w:cs="Arial"/>
          <w:kern w:val="2"/>
          <w:szCs w:val="28"/>
          <w:lang w:val="uk-UA" w:eastAsia="uk-UA"/>
          <w14:ligatures w14:val="standardContextual"/>
        </w:rPr>
        <w:t>управл</w:t>
      </w:r>
      <w:r w:rsidR="00AE57E7" w:rsidRPr="00511005">
        <w:rPr>
          <w:rFonts w:ascii="Arial" w:eastAsia="Times New Roman" w:hAnsi="Arial" w:cs="Arial"/>
          <w:kern w:val="2"/>
          <w:szCs w:val="28"/>
          <w:lang w:val="uk-UA" w:eastAsia="uk-UA"/>
          <w14:ligatures w14:val="standardContextual"/>
        </w:rPr>
        <w:t>і</w:t>
      </w:r>
      <w:r w:rsidR="00AE57E7" w:rsidRPr="00511005">
        <w:rPr>
          <w:rFonts w:ascii="Arial" w:eastAsia="Malgun Gothic" w:hAnsi="Arial" w:cs="Arial"/>
          <w:kern w:val="2"/>
          <w:szCs w:val="28"/>
          <w:lang w:val="uk-UA" w:eastAsia="uk-UA"/>
          <w14:ligatures w14:val="standardContextual"/>
        </w:rPr>
        <w:t>нськ</w:t>
      </w:r>
      <w:r w:rsidR="00AE57E7" w:rsidRPr="00511005">
        <w:rPr>
          <w:rFonts w:ascii="Arial" w:eastAsia="Times New Roman" w:hAnsi="Arial" w:cs="Arial"/>
          <w:kern w:val="2"/>
          <w:szCs w:val="28"/>
          <w:lang w:val="uk-UA" w:eastAsia="uk-UA"/>
          <w14:ligatures w14:val="standardContextual"/>
        </w:rPr>
        <w:t xml:space="preserve">і </w:t>
      </w:r>
      <w:r w:rsidR="00AE57E7" w:rsidRPr="00511005">
        <w:rPr>
          <w:rFonts w:ascii="Arial" w:eastAsia="Malgun Gothic" w:hAnsi="Arial" w:cs="Arial"/>
          <w:kern w:val="2"/>
          <w:szCs w:val="28"/>
          <w:lang w:val="uk-UA" w:eastAsia="uk-UA"/>
          <w14:ligatures w14:val="standardContextual"/>
        </w:rPr>
        <w:t>процеси</w:t>
      </w:r>
      <w:r w:rsidR="00AE57E7" w:rsidRPr="00511005">
        <w:rPr>
          <w:rFonts w:ascii="Arial" w:eastAsia="Times New Roman" w:hAnsi="Arial" w:cs="Arial"/>
          <w:kern w:val="2"/>
          <w:szCs w:val="28"/>
          <w:lang w:val="uk-UA" w:eastAsia="uk-UA"/>
          <w14:ligatures w14:val="standardContextual"/>
        </w:rPr>
        <w:t>, цифрова трансформаці</w:t>
      </w:r>
      <w:r w:rsidR="00AE57E7" w:rsidRPr="00511005">
        <w:rPr>
          <w:rFonts w:ascii="Arial" w:eastAsia="Malgun Gothic" w:hAnsi="Arial" w:cs="Arial"/>
          <w:kern w:val="2"/>
          <w:szCs w:val="28"/>
          <w:lang w:val="uk-UA" w:eastAsia="uk-UA"/>
          <w14:ligatures w14:val="standardContextual"/>
        </w:rPr>
        <w:t>я</w:t>
      </w:r>
      <w:r w:rsidR="00AE57E7" w:rsidRPr="00511005">
        <w:rPr>
          <w:rFonts w:ascii="Arial" w:eastAsia="Times New Roman" w:hAnsi="Arial" w:cs="Arial"/>
          <w:kern w:val="2"/>
          <w:szCs w:val="28"/>
          <w:lang w:val="uk-UA" w:eastAsia="uk-UA"/>
          <w14:ligatures w14:val="standardContextual"/>
        </w:rPr>
        <w:t>, і</w:t>
      </w:r>
      <w:r w:rsidR="00AE57E7" w:rsidRPr="00511005">
        <w:rPr>
          <w:rFonts w:ascii="Arial" w:eastAsia="Malgun Gothic" w:hAnsi="Arial" w:cs="Arial"/>
          <w:kern w:val="2"/>
          <w:szCs w:val="28"/>
          <w:lang w:val="uk-UA" w:eastAsia="uk-UA"/>
          <w14:ligatures w14:val="standardContextual"/>
        </w:rPr>
        <w:t>нтеграц</w:t>
      </w:r>
      <w:r w:rsidR="00AE57E7" w:rsidRPr="00511005">
        <w:rPr>
          <w:rFonts w:ascii="Arial" w:eastAsia="Times New Roman" w:hAnsi="Arial" w:cs="Arial"/>
          <w:kern w:val="2"/>
          <w:szCs w:val="28"/>
          <w:lang w:val="uk-UA" w:eastAsia="uk-UA"/>
          <w14:ligatures w14:val="standardContextual"/>
        </w:rPr>
        <w:t>і</w:t>
      </w:r>
      <w:r w:rsidR="00AE57E7" w:rsidRPr="00511005">
        <w:rPr>
          <w:rFonts w:ascii="Arial" w:eastAsia="Malgun Gothic" w:hAnsi="Arial" w:cs="Arial"/>
          <w:kern w:val="2"/>
          <w:szCs w:val="28"/>
          <w:lang w:val="uk-UA" w:eastAsia="uk-UA"/>
          <w14:ligatures w14:val="standardContextual"/>
        </w:rPr>
        <w:t>я</w:t>
      </w:r>
      <w:r w:rsidR="00AE57E7" w:rsidRPr="00511005">
        <w:rPr>
          <w:rFonts w:ascii="Arial" w:eastAsia="Times New Roman" w:hAnsi="Arial" w:cs="Arial"/>
          <w:kern w:val="2"/>
          <w:szCs w:val="28"/>
          <w:lang w:val="uk-UA" w:eastAsia="uk-UA"/>
          <w14:ligatures w14:val="standardContextual"/>
        </w:rPr>
        <w:t xml:space="preserve"> </w:t>
      </w:r>
      <w:r w:rsidR="00AE57E7" w:rsidRPr="00511005">
        <w:rPr>
          <w:rFonts w:ascii="Arial" w:eastAsia="Malgun Gothic" w:hAnsi="Arial" w:cs="Arial"/>
          <w:kern w:val="2"/>
          <w:szCs w:val="28"/>
          <w:lang w:val="uk-UA" w:eastAsia="uk-UA"/>
          <w14:ligatures w14:val="standardContextual"/>
        </w:rPr>
        <w:t>штучного</w:t>
      </w:r>
      <w:r w:rsidR="00AE57E7" w:rsidRPr="00511005">
        <w:rPr>
          <w:rFonts w:ascii="Arial" w:eastAsia="Times New Roman" w:hAnsi="Arial" w:cs="Arial"/>
          <w:kern w:val="2"/>
          <w:szCs w:val="28"/>
          <w:lang w:val="uk-UA" w:eastAsia="uk-UA"/>
          <w14:ligatures w14:val="standardContextual"/>
        </w:rPr>
        <w:t xml:space="preserve"> і</w:t>
      </w:r>
      <w:r w:rsidR="00AE57E7" w:rsidRPr="00511005">
        <w:rPr>
          <w:rFonts w:ascii="Arial" w:eastAsia="Malgun Gothic" w:hAnsi="Arial" w:cs="Arial"/>
          <w:kern w:val="2"/>
          <w:szCs w:val="28"/>
          <w:lang w:val="uk-UA" w:eastAsia="uk-UA"/>
          <w14:ligatures w14:val="standardContextual"/>
        </w:rPr>
        <w:t>нтелекту</w:t>
      </w:r>
      <w:r w:rsidR="00AE57E7" w:rsidRPr="00511005">
        <w:rPr>
          <w:rFonts w:ascii="Arial" w:eastAsia="Times New Roman" w:hAnsi="Arial" w:cs="Arial"/>
          <w:kern w:val="2"/>
          <w:szCs w:val="28"/>
          <w:lang w:val="uk-UA" w:eastAsia="uk-UA"/>
          <w14:ligatures w14:val="standardContextual"/>
        </w:rPr>
        <w:t xml:space="preserve">, </w:t>
      </w:r>
      <w:r w:rsidR="00AE57E7" w:rsidRPr="00511005">
        <w:rPr>
          <w:rFonts w:ascii="Arial" w:eastAsia="Malgun Gothic" w:hAnsi="Arial" w:cs="Arial"/>
          <w:kern w:val="2"/>
          <w:szCs w:val="28"/>
          <w:lang w:val="uk-UA" w:eastAsia="uk-UA"/>
          <w14:ligatures w14:val="standardContextual"/>
        </w:rPr>
        <w:t>прийняття</w:t>
      </w:r>
      <w:r w:rsidR="00AE57E7" w:rsidRPr="00511005">
        <w:rPr>
          <w:rFonts w:ascii="Arial" w:eastAsia="Times New Roman" w:hAnsi="Arial" w:cs="Arial"/>
          <w:kern w:val="2"/>
          <w:szCs w:val="28"/>
          <w:lang w:val="uk-UA" w:eastAsia="uk-UA"/>
          <w14:ligatures w14:val="standardContextual"/>
        </w:rPr>
        <w:t xml:space="preserve"> управлі</w:t>
      </w:r>
      <w:r w:rsidR="00AE57E7" w:rsidRPr="00511005">
        <w:rPr>
          <w:rFonts w:ascii="Arial" w:eastAsia="Malgun Gothic" w:hAnsi="Arial" w:cs="Arial"/>
          <w:kern w:val="2"/>
          <w:szCs w:val="28"/>
          <w:lang w:val="uk-UA" w:eastAsia="uk-UA"/>
          <w14:ligatures w14:val="standardContextual"/>
        </w:rPr>
        <w:t>нських</w:t>
      </w:r>
      <w:r w:rsidR="00AE57E7" w:rsidRPr="00511005">
        <w:rPr>
          <w:rFonts w:ascii="Arial" w:eastAsia="Times New Roman" w:hAnsi="Arial" w:cs="Arial"/>
          <w:kern w:val="2"/>
          <w:szCs w:val="28"/>
          <w:lang w:val="uk-UA" w:eastAsia="uk-UA"/>
          <w14:ligatures w14:val="standardContextual"/>
        </w:rPr>
        <w:t xml:space="preserve"> рі</w:t>
      </w:r>
      <w:r w:rsidR="00AE57E7" w:rsidRPr="00511005">
        <w:rPr>
          <w:rFonts w:ascii="Arial" w:eastAsia="Malgun Gothic" w:hAnsi="Arial" w:cs="Arial"/>
          <w:kern w:val="2"/>
          <w:szCs w:val="28"/>
          <w:lang w:val="uk-UA" w:eastAsia="uk-UA"/>
          <w14:ligatures w14:val="standardContextual"/>
        </w:rPr>
        <w:t>шень</w:t>
      </w:r>
      <w:r w:rsidR="00AE57E7" w:rsidRPr="00511005">
        <w:rPr>
          <w:rFonts w:ascii="Arial" w:eastAsia="Times New Roman" w:hAnsi="Arial" w:cs="Arial"/>
          <w:kern w:val="2"/>
          <w:szCs w:val="28"/>
          <w:lang w:val="uk-UA" w:eastAsia="uk-UA"/>
          <w14:ligatures w14:val="standardContextual"/>
        </w:rPr>
        <w:t>.</w:t>
      </w:r>
    </w:p>
    <w:p w14:paraId="117A052E" w14:textId="603D0F6A" w:rsidR="00AE57E7" w:rsidRPr="00511005" w:rsidRDefault="007B2628" w:rsidP="003A292D">
      <w:pPr>
        <w:spacing w:line="264" w:lineRule="auto"/>
        <w:rPr>
          <w:rFonts w:ascii="Arial" w:eastAsia="Times New Roman" w:hAnsi="Arial" w:cs="Arial"/>
          <w:kern w:val="2"/>
          <w:szCs w:val="28"/>
          <w:lang w:val="uk-UA"/>
          <w14:ligatures w14:val="standardContextual"/>
        </w:rPr>
      </w:pPr>
      <w:r w:rsidRPr="00511005">
        <w:rPr>
          <w:rFonts w:ascii="Arial" w:eastAsia="Times New Roman" w:hAnsi="Arial" w:cs="Arial"/>
          <w:b/>
          <w:i/>
          <w:kern w:val="2"/>
          <w:szCs w:val="28"/>
          <w:lang w:val="uk-UA" w:eastAsia="uk-UA"/>
          <w14:ligatures w14:val="standardContextual"/>
        </w:rPr>
        <w:t xml:space="preserve">Key words: </w:t>
      </w:r>
      <w:r w:rsidR="00AE57E7" w:rsidRPr="00511005">
        <w:rPr>
          <w:rFonts w:ascii="Arial" w:eastAsia="Times New Roman" w:hAnsi="Arial" w:cs="Arial"/>
          <w:kern w:val="2"/>
          <w:szCs w:val="28"/>
          <w:lang w:val="uk-UA"/>
          <w14:ligatures w14:val="standardContextual"/>
        </w:rPr>
        <w:t>artificial intelligence; management processes; digital transformation; integration of artificial intelligence; decision-making in management.</w:t>
      </w:r>
    </w:p>
    <w:p w14:paraId="11257A80" w14:textId="48FE989F" w:rsidR="00AE57E7" w:rsidRPr="00511005" w:rsidRDefault="007B2628" w:rsidP="003A292D">
      <w:pPr>
        <w:spacing w:line="264" w:lineRule="auto"/>
        <w:rPr>
          <w:rFonts w:ascii="Arial" w:eastAsia="Calibri" w:hAnsi="Arial" w:cs="Arial"/>
          <w:i/>
          <w:kern w:val="2"/>
          <w:szCs w:val="28"/>
          <w:lang w:val="uk-UA"/>
          <w14:ligatures w14:val="standardContextual"/>
        </w:rPr>
      </w:pPr>
      <w:r w:rsidRPr="00511005">
        <w:rPr>
          <w:rFonts w:ascii="Arial" w:eastAsia="Calibri" w:hAnsi="Arial" w:cs="Arial"/>
          <w:b/>
          <w:i/>
          <w:kern w:val="2"/>
          <w:szCs w:val="28"/>
          <w:lang w:val="uk-UA"/>
          <w14:ligatures w14:val="standardContextual"/>
        </w:rPr>
        <w:t xml:space="preserve">Науковий керівник: </w:t>
      </w:r>
      <w:r w:rsidR="00AE57E7" w:rsidRPr="00511005">
        <w:rPr>
          <w:rFonts w:ascii="Arial" w:eastAsia="Calibri" w:hAnsi="Arial" w:cs="Arial"/>
          <w:i/>
          <w:kern w:val="2"/>
          <w:szCs w:val="28"/>
          <w:lang w:val="uk-UA"/>
          <w14:ligatures w14:val="standardContextual"/>
        </w:rPr>
        <w:t>к.е.н., доцент Редіна Є.В.</w:t>
      </w:r>
    </w:p>
    <w:p w14:paraId="65D92A3C" w14:textId="77777777" w:rsidR="00AE57E7" w:rsidRPr="00511005" w:rsidRDefault="00AE57E7" w:rsidP="003A292D">
      <w:pPr>
        <w:spacing w:line="264" w:lineRule="auto"/>
        <w:rPr>
          <w:rFonts w:ascii="Arial" w:eastAsia="Times New Roman" w:hAnsi="Arial" w:cs="Arial"/>
          <w:szCs w:val="28"/>
          <w:lang w:val="uk-UA" w:eastAsia="ru-RU"/>
        </w:rPr>
      </w:pPr>
    </w:p>
    <w:p w14:paraId="5736204E" w14:textId="5F178672" w:rsidR="00AE57E7" w:rsidRPr="00511005" w:rsidRDefault="00AE57E7" w:rsidP="003A292D">
      <w:pPr>
        <w:spacing w:line="264" w:lineRule="auto"/>
        <w:ind w:firstLine="0"/>
        <w:jc w:val="left"/>
        <w:rPr>
          <w:rFonts w:ascii="Arial" w:eastAsia="Calibri" w:hAnsi="Arial" w:cs="Arial"/>
          <w:b/>
          <w:i/>
          <w:szCs w:val="28"/>
          <w:lang w:val="uk-UA"/>
        </w:rPr>
      </w:pPr>
    </w:p>
    <w:p w14:paraId="52822860" w14:textId="77777777" w:rsidR="00AE57E7" w:rsidRPr="00511005" w:rsidRDefault="00AE57E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Осипенко Світлана Володимирівна</w:t>
      </w:r>
    </w:p>
    <w:p w14:paraId="6653D51F" w14:textId="7D28A214" w:rsidR="00AE57E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4-го курсу факультету адвокатури та антикорупційної діяльності</w:t>
      </w:r>
    </w:p>
    <w:p w14:paraId="3923F5D5" w14:textId="36DF3050" w:rsidR="00AE57E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39AB19D" w14:textId="77777777" w:rsidR="00AE57E7" w:rsidRPr="00511005" w:rsidRDefault="00AE57E7" w:rsidP="003A292D">
      <w:pPr>
        <w:spacing w:line="264" w:lineRule="auto"/>
        <w:ind w:firstLine="0"/>
        <w:rPr>
          <w:rFonts w:ascii="Arial" w:eastAsia="Calibri" w:hAnsi="Arial" w:cs="Arial"/>
          <w:szCs w:val="28"/>
          <w:lang w:val="uk-UA"/>
        </w:rPr>
      </w:pPr>
    </w:p>
    <w:p w14:paraId="509CA794" w14:textId="77777777" w:rsidR="00AE57E7" w:rsidRPr="00511005" w:rsidRDefault="00AE57E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УПРАВЛІННЯ ПІДПРИЄМСТВОМ В УМОВАХ СТАЛОГО РОЗВИТКУ ДЕРЖАВИ</w:t>
      </w:r>
    </w:p>
    <w:p w14:paraId="24D5C6EA" w14:textId="77777777" w:rsidR="00AE57E7" w:rsidRPr="00511005" w:rsidRDefault="00AE57E7"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 xml:space="preserve">Управління підприємством в умовах сталого розвитку держави вимагає поєднання стратегічного мислення, гнучкості та здатності адаптуватися до змін навколишнього середовища. Особливої актуальності воно набуло наприкінці ХХ та на початку ХХІ століття, коли процеси глобалізації, інтеграції економік і нові виклики - зокрема в екологічній та соціальній сферах - висунули перед підприємствами завдання забезпечення не лише економічної, але й соціальної та екологічної ефективності діяльності. </w:t>
      </w:r>
    </w:p>
    <w:p w14:paraId="383CB2EF" w14:textId="77777777" w:rsidR="00AE57E7" w:rsidRPr="00511005" w:rsidRDefault="00AE57E7"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lastRenderedPageBreak/>
        <w:t>Історія розвитку управлінських теорій суттєво вплинула на сучасні підходи до організації та керівництва підприємствами. На початку ХХ століття активний розвиток індустрії вимагав від підприємців підвищення продуктивності праці. Однією з основних проблем того часу було залучення низькокваліфікованих працівників, основним мотиватором яких був розмір заробітної плати. Відповідно, завданням менеджерів було знайти способи задовольнити ці вимоги та одночасно підвищити продуктивність праці [1, c. 205].</w:t>
      </w:r>
    </w:p>
    <w:p w14:paraId="0BA94FF2" w14:textId="77777777" w:rsidR="00AE57E7" w:rsidRPr="00511005" w:rsidRDefault="00AE57E7"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У подальшому особливого значення набули концепції стратегічного управління, що активно розвивалися у другій половині ХХ століття. Перехід України від планової економіки до ринкових відносин у 1990-х роках також стимулював розвиток нових теоретичних підходів до управління. Стратегічне управління стало необхідним інструментом для підприємств, що прагнули адаптуватися до змін в економічному та соціальному середовищі [2, c. 90].</w:t>
      </w:r>
    </w:p>
    <w:p w14:paraId="796CB793" w14:textId="77777777" w:rsidR="00AE57E7" w:rsidRPr="00511005" w:rsidRDefault="00AE57E7"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Термін «стратегія» походить від давньогрецьких слів «stratos» — армія та «agos» — керувати і спочатку означав мистецтво ведення військових дій. Однак із розвитком економічних теорій і змін у функціонуванні підприємств, поняття стратегії почали трактувати як засіб досягнення довгострокових цілей організації шляхом підвищення її конкурентоспроможності та ефективності виробництва [3].</w:t>
      </w:r>
    </w:p>
    <w:p w14:paraId="5ACB793D" w14:textId="77777777" w:rsidR="00AE57E7" w:rsidRPr="00511005" w:rsidRDefault="00AE57E7"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У межах сталого розвитку держави стратегічне управління підприємствами враховує не лише економічні, а й соціальні та екологічні аспекти. Тому розробляються стратегії, що мінімізують негативний вплив на екологію та водночас підвищують якість життя населення.</w:t>
      </w:r>
    </w:p>
    <w:p w14:paraId="4AF6F64C" w14:textId="77777777" w:rsidR="00AE57E7" w:rsidRPr="00511005" w:rsidRDefault="00AE57E7"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Підприємства, що діють у контексті сталого розвитку, застосовують нові методи управління, орієнтовані на мінімізацію відходів, ефективне використання ресурсів, що підвищують прибутковість і зменшують навантаження на довкілля. Такий підхід вимагає інтеграції інноваційних технологій, енергоефективних рішень і принципів соціальної відповідальності на всіх етапах виробничого процесу.</w:t>
      </w:r>
    </w:p>
    <w:p w14:paraId="7F5392FA" w14:textId="77777777" w:rsidR="00AE57E7" w:rsidRPr="00511005" w:rsidRDefault="00AE57E7"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 xml:space="preserve">Сталий розвиток на мікрорівні передбачає забезпечення стабільного функціонування підприємства як у короткостроковій, так і в довгостроковій перспективі, дотримуючись політики відповідальності соціальної, екологічної на благо працівників і суспільства загалом. Такий підхід має низку переваг: можливість підприємства розвиватися тривалий час, зменшення негативного впливу на навколишнє середовище, підвищення стандартів соціальної відповідальності. Реалізація стратегічного управління стикається з певними труднощами, серед яких побоювання керівників щодо браку знань, досвіду та фінансових ресурсів. До того ж, впровадження нових технологій потребує значних інвестицій, а економічний ефект від них часто виявляється відтермінованим і непрямим. Враховують зовнішні фактори </w:t>
      </w:r>
      <w:r w:rsidRPr="00511005">
        <w:rPr>
          <w:rFonts w:ascii="Arial" w:eastAsia="Calibri" w:hAnsi="Arial" w:cs="Arial"/>
          <w:bCs/>
          <w:szCs w:val="28"/>
          <w:lang w:val="uk-UA"/>
        </w:rPr>
        <w:lastRenderedPageBreak/>
        <w:t>ризику: конкуренцію з підприємствами, що не впроваджують екологічні та соціальні стандарти, появу матеріалів-замінників, нових конкурентів, зміцнення позицій постачальників і покупців [4].</w:t>
      </w:r>
    </w:p>
    <w:p w14:paraId="443A8B10" w14:textId="77777777" w:rsidR="00AE57E7" w:rsidRPr="00511005" w:rsidRDefault="00AE57E7"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Таким чином впровадження принципів сталого розвитку дає змогу підвищити ефективність підприємства у довгостроковій перспективі, зменшити ризики, стабілізувати фінансове становище, знизити вплив на довкілля та забезпечити соціальну стабільність у колективі.</w:t>
      </w:r>
    </w:p>
    <w:p w14:paraId="14F5C39A" w14:textId="77777777" w:rsidR="00AE57E7" w:rsidRPr="00511005" w:rsidRDefault="00AE57E7"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Необхідність упровадження стратегічного управління підприємствами на основі принципів сталого розвитку зумовлюється такими чинниками:</w:t>
      </w:r>
    </w:p>
    <w:p w14:paraId="335D95CE" w14:textId="77777777" w:rsidR="00AE57E7" w:rsidRPr="00511005" w:rsidRDefault="00AE57E7" w:rsidP="003F6A5D">
      <w:pPr>
        <w:numPr>
          <w:ilvl w:val="0"/>
          <w:numId w:val="727"/>
        </w:numPr>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bCs/>
          <w:szCs w:val="28"/>
          <w:lang w:val="uk-UA"/>
        </w:rPr>
        <w:t>забезпеченням фінансової стійкості підприємства з урахуванням поточних і довгострокових потреб;</w:t>
      </w:r>
    </w:p>
    <w:p w14:paraId="2848D5C8" w14:textId="77777777" w:rsidR="00AE57E7" w:rsidRPr="00511005" w:rsidRDefault="00AE57E7" w:rsidP="003F6A5D">
      <w:pPr>
        <w:numPr>
          <w:ilvl w:val="0"/>
          <w:numId w:val="727"/>
        </w:numPr>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bCs/>
          <w:szCs w:val="28"/>
          <w:lang w:val="uk-UA"/>
        </w:rPr>
        <w:t>необхідністю балансу між інтересами власників та різними видами відповідальності, між поточним функціонуванням і довгостроковим розвитком підприємства;</w:t>
      </w:r>
    </w:p>
    <w:p w14:paraId="0D3E1A3F" w14:textId="77777777" w:rsidR="00AE57E7" w:rsidRPr="00511005" w:rsidRDefault="00AE57E7" w:rsidP="003F6A5D">
      <w:pPr>
        <w:numPr>
          <w:ilvl w:val="0"/>
          <w:numId w:val="727"/>
        </w:numPr>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bCs/>
          <w:szCs w:val="28"/>
          <w:lang w:val="uk-UA"/>
        </w:rPr>
        <w:t>забезпечення стабільності постачання сировини та ринків збуту;</w:t>
      </w:r>
    </w:p>
    <w:p w14:paraId="2281AC65" w14:textId="77777777" w:rsidR="00AE57E7" w:rsidRPr="00511005" w:rsidRDefault="00AE57E7" w:rsidP="003F6A5D">
      <w:pPr>
        <w:numPr>
          <w:ilvl w:val="0"/>
          <w:numId w:val="727"/>
        </w:numPr>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bCs/>
          <w:szCs w:val="28"/>
          <w:lang w:val="uk-UA"/>
        </w:rPr>
        <w:t>внесок у соціальний розвиток територій присутності підприємства, створення кращих умов праці працівників;</w:t>
      </w:r>
    </w:p>
    <w:p w14:paraId="63BF596F" w14:textId="77777777" w:rsidR="00AE57E7" w:rsidRPr="00511005" w:rsidRDefault="00AE57E7" w:rsidP="003F6A5D">
      <w:pPr>
        <w:numPr>
          <w:ilvl w:val="0"/>
          <w:numId w:val="727"/>
        </w:numPr>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bCs/>
          <w:szCs w:val="28"/>
          <w:lang w:val="uk-UA"/>
        </w:rPr>
        <w:t>підвищенням іміджу підприємства як соціально й екологічно відповідального суб'єкта господарювання;</w:t>
      </w:r>
    </w:p>
    <w:p w14:paraId="3ED6E0C0" w14:textId="77777777" w:rsidR="00AE57E7" w:rsidRPr="00511005" w:rsidRDefault="00AE57E7" w:rsidP="003F6A5D">
      <w:pPr>
        <w:numPr>
          <w:ilvl w:val="0"/>
          <w:numId w:val="727"/>
        </w:numPr>
        <w:spacing w:line="264" w:lineRule="auto"/>
        <w:ind w:left="0" w:firstLine="709"/>
        <w:contextualSpacing/>
        <w:jc w:val="left"/>
        <w:rPr>
          <w:rFonts w:ascii="Arial" w:eastAsia="Calibri" w:hAnsi="Arial" w:cs="Arial"/>
          <w:bCs/>
          <w:szCs w:val="28"/>
          <w:lang w:val="uk-UA"/>
        </w:rPr>
      </w:pPr>
      <w:r w:rsidRPr="00511005">
        <w:rPr>
          <w:rFonts w:ascii="Arial" w:eastAsia="Calibri" w:hAnsi="Arial" w:cs="Arial"/>
          <w:bCs/>
          <w:szCs w:val="28"/>
          <w:lang w:val="uk-UA"/>
        </w:rPr>
        <w:t>реалізацєюї екологічних і соціальних проєктів без погіршення фінансових результатів [5].</w:t>
      </w:r>
    </w:p>
    <w:p w14:paraId="5478EF07" w14:textId="77777777" w:rsidR="00AE57E7" w:rsidRPr="00511005" w:rsidRDefault="00AE57E7" w:rsidP="003A292D">
      <w:pPr>
        <w:spacing w:line="264" w:lineRule="auto"/>
        <w:rPr>
          <w:rFonts w:ascii="Arial" w:eastAsia="Calibri" w:hAnsi="Arial" w:cs="Arial"/>
          <w:bCs/>
          <w:szCs w:val="28"/>
          <w:lang w:val="uk-UA"/>
        </w:rPr>
      </w:pPr>
      <w:r w:rsidRPr="00511005">
        <w:rPr>
          <w:rFonts w:ascii="Arial" w:eastAsia="Calibri" w:hAnsi="Arial" w:cs="Arial"/>
          <w:bCs/>
          <w:szCs w:val="28"/>
          <w:lang w:val="uk-UA"/>
        </w:rPr>
        <w:t>Підприємства не завжди отримують потрібний економічний ефект від впровадження принципів сталого розвитку та мають зайві витрати.</w:t>
      </w:r>
    </w:p>
    <w:p w14:paraId="3E76D21C"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bCs/>
          <w:szCs w:val="28"/>
          <w:lang w:val="uk-UA"/>
        </w:rPr>
        <w:t>У підсумку, стратегічне управління підприємствами на основі принципів сталого розвитку є ключовим чинником забезпечення їхньої довгострокової ефективності та конкурентоспроможності. Поєднання економічних, екологічних і соціальних аспектів дозволяє підприємствам не лише мінімізувати негативний вплив на довкілля, підвищити якість життя працівників, а й стабілізувати фінансові результати. Водночас реалізація цих принципів потребує комплексного підходу, значних інвестицій та орієнтації на довгострокові інтереси</w:t>
      </w:r>
      <w:r w:rsidRPr="00511005">
        <w:rPr>
          <w:rFonts w:ascii="Arial" w:eastAsia="Calibri" w:hAnsi="Arial" w:cs="Arial"/>
          <w:szCs w:val="28"/>
          <w:lang w:val="uk-UA"/>
        </w:rPr>
        <w:t>.</w:t>
      </w:r>
    </w:p>
    <w:p w14:paraId="6F674B98" w14:textId="77777777" w:rsidR="00AE57E7" w:rsidRPr="00511005" w:rsidRDefault="00AE57E7" w:rsidP="003A292D">
      <w:pPr>
        <w:spacing w:line="264" w:lineRule="auto"/>
        <w:jc w:val="center"/>
        <w:rPr>
          <w:rFonts w:ascii="Arial" w:eastAsia="Calibri" w:hAnsi="Arial" w:cs="Arial"/>
          <w:b/>
          <w:szCs w:val="28"/>
          <w:lang w:val="uk-UA"/>
        </w:rPr>
      </w:pPr>
    </w:p>
    <w:p w14:paraId="68CBF4BC" w14:textId="4B699151" w:rsidR="00AE57E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7378CD80" w14:textId="77777777" w:rsidR="00AE57E7" w:rsidRPr="00511005" w:rsidRDefault="00AE57E7" w:rsidP="003F6A5D">
      <w:pPr>
        <w:numPr>
          <w:ilvl w:val="0"/>
          <w:numId w:val="728"/>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Пакулін С. Управління сталим розвитком сучасного підприємства. Електронний науковий журнал. 2016. No 8. C. 200-217.</w:t>
      </w:r>
    </w:p>
    <w:p w14:paraId="7C709557" w14:textId="77777777" w:rsidR="00AE57E7" w:rsidRPr="00511005" w:rsidRDefault="00AE57E7" w:rsidP="003F6A5D">
      <w:pPr>
        <w:numPr>
          <w:ilvl w:val="0"/>
          <w:numId w:val="728"/>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Гончар В.В. Управління системою стратегічних змін у діяльності підприємств: проблеми формування, розвитку та використання : монографія. Маріуполь : ДВНЗ «ПДТУ», 2014. 280 с.</w:t>
      </w:r>
    </w:p>
    <w:p w14:paraId="061E35E7" w14:textId="77777777" w:rsidR="00AE57E7" w:rsidRPr="00511005" w:rsidRDefault="00AE57E7" w:rsidP="003F6A5D">
      <w:pPr>
        <w:numPr>
          <w:ilvl w:val="0"/>
          <w:numId w:val="728"/>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Барановський В.А Стратегічні аспекти та пріоритети сталого (збалансованого, гармонійного) розвитку. Територія. Сталий розвиток. 2004. № 2. С. 24-31.</w:t>
      </w:r>
    </w:p>
    <w:p w14:paraId="500685CE" w14:textId="77777777" w:rsidR="00AE57E7" w:rsidRPr="00511005" w:rsidRDefault="00AE57E7" w:rsidP="003F6A5D">
      <w:pPr>
        <w:numPr>
          <w:ilvl w:val="0"/>
          <w:numId w:val="728"/>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lastRenderedPageBreak/>
        <w:t>Василенко В.А., Ткаченко Т.І. Стратегічне управління : навч. посібн. Київ : ЦУЛ, 2003. 396 с.</w:t>
      </w:r>
    </w:p>
    <w:p w14:paraId="25481418" w14:textId="77777777" w:rsidR="00AE57E7" w:rsidRPr="00511005" w:rsidRDefault="00AE57E7" w:rsidP="003F6A5D">
      <w:pPr>
        <w:numPr>
          <w:ilvl w:val="0"/>
          <w:numId w:val="728"/>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Квятковська Л.А. Реалізація принципів концепції сталого розвитку в діяльності підприємства. Вісник соціально-економічних досліджень. 2013. Вип. 1. С. 85-89. </w:t>
      </w:r>
    </w:p>
    <w:p w14:paraId="5937918B" w14:textId="77777777" w:rsidR="00AE57E7" w:rsidRPr="00511005" w:rsidRDefault="00AE57E7" w:rsidP="003A292D">
      <w:pPr>
        <w:spacing w:line="264" w:lineRule="auto"/>
        <w:rPr>
          <w:rFonts w:ascii="Arial" w:eastAsia="Calibri" w:hAnsi="Arial" w:cs="Arial"/>
          <w:b/>
          <w:szCs w:val="28"/>
          <w:lang w:val="uk-UA"/>
        </w:rPr>
      </w:pPr>
    </w:p>
    <w:p w14:paraId="43D75D82" w14:textId="1A5F9186"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szCs w:val="28"/>
          <w:lang w:val="uk-UA"/>
        </w:rPr>
        <w:t>диверсифікація бізнесу, стратегія розвитку, конкурентоспроможність, управління ризиками, адаптація підприємства, типи диверсифікації.</w:t>
      </w:r>
    </w:p>
    <w:p w14:paraId="382B202A" w14:textId="0805EADB" w:rsidR="00AE57E7"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business diversification, development strategy, competitiveness, risk management, enterprise adaptation, types of diversification.</w:t>
      </w:r>
    </w:p>
    <w:p w14:paraId="697DC039" w14:textId="14EC3185" w:rsidR="00AE57E7" w:rsidRPr="00511005" w:rsidRDefault="007B2628" w:rsidP="003A292D">
      <w:pPr>
        <w:spacing w:line="264" w:lineRule="auto"/>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AE57E7" w:rsidRPr="00511005">
        <w:rPr>
          <w:rFonts w:ascii="Arial" w:eastAsia="Calibri" w:hAnsi="Arial" w:cs="Arial"/>
          <w:i/>
          <w:szCs w:val="28"/>
          <w:lang w:val="uk-UA"/>
        </w:rPr>
        <w:t>д.е.н., професор Слободянюк О.В.</w:t>
      </w:r>
    </w:p>
    <w:p w14:paraId="18444A2A" w14:textId="77777777" w:rsidR="00AE57E7" w:rsidRPr="00511005" w:rsidRDefault="00AE57E7" w:rsidP="003A292D">
      <w:pPr>
        <w:spacing w:line="264" w:lineRule="auto"/>
        <w:ind w:firstLine="0"/>
        <w:rPr>
          <w:rFonts w:ascii="Arial" w:eastAsia="Times New Roman" w:hAnsi="Arial" w:cs="Arial"/>
          <w:szCs w:val="28"/>
          <w:lang w:val="uk-UA" w:eastAsia="ru-RU"/>
        </w:rPr>
      </w:pPr>
    </w:p>
    <w:p w14:paraId="0EDDDF9D" w14:textId="248DA054" w:rsidR="00AE57E7" w:rsidRPr="00511005" w:rsidRDefault="00AE57E7" w:rsidP="003A292D">
      <w:pPr>
        <w:spacing w:line="264" w:lineRule="auto"/>
        <w:ind w:firstLine="0"/>
        <w:jc w:val="left"/>
        <w:rPr>
          <w:rFonts w:ascii="Arial" w:eastAsia="Calibri" w:hAnsi="Arial" w:cs="Arial"/>
          <w:b/>
          <w:i/>
          <w:szCs w:val="28"/>
          <w:lang w:val="uk-UA"/>
        </w:rPr>
      </w:pPr>
    </w:p>
    <w:p w14:paraId="70D83FE8" w14:textId="77777777" w:rsidR="00AE57E7" w:rsidRPr="00511005" w:rsidRDefault="00AE57E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Парамонова Юлія Євгенівна</w:t>
      </w:r>
    </w:p>
    <w:p w14:paraId="33189820" w14:textId="7468E9D2" w:rsidR="00AE57E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4-го курсу факультету адвокатури та антикорупційної діяльності</w:t>
      </w:r>
    </w:p>
    <w:p w14:paraId="5190CC61" w14:textId="4A9DEC04" w:rsidR="00AE57E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3AFD8D64" w14:textId="77777777" w:rsidR="00AE57E7" w:rsidRPr="00511005" w:rsidRDefault="00AE57E7" w:rsidP="003A292D">
      <w:pPr>
        <w:spacing w:line="264" w:lineRule="auto"/>
        <w:ind w:firstLine="0"/>
        <w:rPr>
          <w:rFonts w:ascii="Arial" w:eastAsia="Calibri" w:hAnsi="Arial" w:cs="Arial"/>
          <w:szCs w:val="28"/>
          <w:lang w:val="uk-UA"/>
        </w:rPr>
      </w:pPr>
    </w:p>
    <w:p w14:paraId="2C25FB3D" w14:textId="77777777" w:rsidR="00AE57E7" w:rsidRPr="00511005" w:rsidRDefault="00AE57E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УДОСКОНАЛЕННЯ СТРАТЕГІЧНОГО УПРАВЛІННЯ ОНЛАЙН-БІЗНЕСОМ ЧЕРЕЗ ВПРОВАДЖЕННЯ СУЧАСНИХ МАРКЕТИНГОВИХ ТЕХНОЛОГІЙ</w:t>
      </w:r>
    </w:p>
    <w:p w14:paraId="482418B2"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У сучасному глобалізованому та цифровізованому світі онлайн-бізнеси стикаються з численними викликами та швидкими змінами на ринку. Щоб залишатися конкурентоспроможними, компанії змушені оперативно адаптувати свої стратегії, використовуючи новітні технології та сучасні методи управління. Ефективне стратегічне управління, побудоване на основі сучасних маркетингових технологій, є одним із ключових чинників успіху онлайн-бізнесу, дозволяючи компаніям не лише реагувати на зміни, але й проактивно формувати ринкові тренди.</w:t>
      </w:r>
    </w:p>
    <w:p w14:paraId="2BD42DB9"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Важливою складовою управління стало активне використання цифрових інструментів, серед яких аналітика даних, автоматизація маркетингових процесів, SEO, контент-маркетинг, соціальні мережі та персоналізація. Проте незважаючи на їх широку доступність, багато компаній стикаються з труднощами у їх ефективному впровадженні та інтеграції у загальну бізнес-стратегію. Відсутність чіткої цифрової стратегії, нестача кваліфікованих кадрів та нерозуміння можливостей нових технологій часто призводять до того, що потенціал інновацій використовується лише частково</w:t>
      </w:r>
      <w:r w:rsidRPr="00511005">
        <w:rPr>
          <w:rFonts w:ascii="Arial" w:eastAsia="Calibri" w:hAnsi="Arial" w:cs="Arial"/>
          <w:szCs w:val="28"/>
        </w:rPr>
        <w:t xml:space="preserve"> [</w:t>
      </w:r>
      <w:r w:rsidRPr="00511005">
        <w:rPr>
          <w:rFonts w:ascii="Arial" w:eastAsia="Calibri" w:hAnsi="Arial" w:cs="Arial"/>
          <w:szCs w:val="28"/>
          <w:lang w:val="uk-UA"/>
        </w:rPr>
        <w:t>1</w:t>
      </w:r>
      <w:r w:rsidRPr="00511005">
        <w:rPr>
          <w:rFonts w:ascii="Arial" w:eastAsia="Calibri" w:hAnsi="Arial" w:cs="Arial"/>
          <w:szCs w:val="28"/>
        </w:rPr>
        <w:t>].</w:t>
      </w:r>
    </w:p>
    <w:p w14:paraId="05EAC982" w14:textId="0E5A3933"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Стратегічне управління онлайн-бізнесом передбачає розробку, планування та реалізацію довгострокових стратегій, що забезпечують досягнення бізнес-цілей в умовах високої конкуренції та технологічних змін. Успіх забезпечується через глибокий аналіз ринку, оцінку конкурентного </w:t>
      </w:r>
      <w:r w:rsidRPr="00511005">
        <w:rPr>
          <w:rFonts w:ascii="Arial" w:eastAsia="Calibri" w:hAnsi="Arial" w:cs="Arial"/>
          <w:szCs w:val="28"/>
          <w:lang w:val="uk-UA"/>
        </w:rPr>
        <w:lastRenderedPageBreak/>
        <w:t>середовища, розуміння потреб цільової аудиторії та моніторинг технологічних інновацій. Надзвичайно важливим є чітке формулювання місії, візії та стратегічних цілей компанії, які повинні відповідати реаліям динамічного ринку та орієнтувати бізнес на стійке зростання,</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планувати та оптимізувати наявні ресурси — фінансові, людські та інфраструктурні, щоб забезпечити ефективну реалізацію стратегічних ініціатив [2].</w:t>
      </w:r>
    </w:p>
    <w:p w14:paraId="1B4135A7"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Сучасні маркетингові технології дозволяють суттєво підвищити ефективність стратегічного управління завдяки оптимізації процесів, персоналізації комунікацій із клієнтами та можливості точного вимірювання результатів діяльності. До основних інструментів цифрового маркетингу належать SEO, яке забезпечує підвищення видимості сайту у пошукових системах, SEM — контекстна реклама для швидкого залучення цільової аудиторії, контент-маркетинг через створення корисного і цікавого контенту, соціальні мережі для формування лояльної спільноти та Email-маркетинг для персоналізованої взаємодії з клієнтами.</w:t>
      </w:r>
    </w:p>
    <w:p w14:paraId="2FB40EB4"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Автоматизація маркетингових процесів за допомогою CRM-систем, маркетингових платформ на кшталт HubSpot, MailChimp або Marketo, а також використання платформ для A/B тестування дозволяють значно знизити часові витрати та підвищити ефективність роботи. Завдяки автоматизації компанії отримують змогу краще управляти взаємодією з клієнтами, оптимізувати процеси продажу, будувати довгострокові стосунки та підвищувати рівень лояльності аудиторії [3].</w:t>
      </w:r>
    </w:p>
    <w:p w14:paraId="29A4CA5C"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Аналітика даних і використання Big Data відіграють критичну роль у прогнозуванні трендів, глибокому розумінні поведінки споживачів та реалізації персоналізованих підходів, що включають рекомендаційні системи, персоналізовані email-кампанії та таргетовану рекламу на основі поведінкової аналітики. Інтеграція маркетингових технологій із фінансовими системами, управлінням ланцюгами постачання та іншими бізнес-процесами сприяє підвищенню загальної ефективності реалізації стратегії, забезпечуючи єдину екосистему даних для прийняття обґрунтованих управлінських рішень.</w:t>
      </w:r>
    </w:p>
    <w:p w14:paraId="31F40364"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Успішне впровадження сучасних технологій у стратегічне управління потребує комплексного підходу: необхідно проаналізувати поточний стан бізнесу, чітко визначити потреби й цілі, обрати оптимальні інструменти, провести навчання персоналу та впроваджувати інновації поетапно з постійним моніторингом ефективності. Кожен етап має супроводжуватися гнучкістю у прийнятті рішень та готовністю до корекції стратегії у відповідь на зміни зовнішнього середовища.</w:t>
      </w:r>
    </w:p>
    <w:p w14:paraId="7932D03E"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Водночас слід враховувати певні виклики, зокрема необхідність забезпечення захисту персональних даних відповідно до міжнародних стандартів (GDPR, CCPA тощо), забезпечення сумісності нових технологій із чинними процесами, подолання технічних бар'єрів і культурних змін у </w:t>
      </w:r>
      <w:r w:rsidRPr="00511005">
        <w:rPr>
          <w:rFonts w:ascii="Arial" w:eastAsia="Calibri" w:hAnsi="Arial" w:cs="Arial"/>
          <w:szCs w:val="28"/>
          <w:lang w:val="uk-UA"/>
        </w:rPr>
        <w:lastRenderedPageBreak/>
        <w:t>команді. Постійна діджиталізація вимагає від бізнесу не лише впровадження новітніх рішень, а й культивування цифрової культури всередині організації, що включає безперервне навчання, обмін знаннями та підтримку інноваційного мислення[4].</w:t>
      </w:r>
    </w:p>
    <w:p w14:paraId="2D6BCE37" w14:textId="57CC3C4F"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Таким чином, удосконалення стратегічного управління онлайн-бізнесом через впровадження сучасних маркетингових технологій є критичним чинником для досягнення конкурентних переваг і забезпечення сталого розвитку. Використання цифрових інструментів, автоматизація, глибокий аналіз даних і персоналізовані підходи дозволяють бізнесам бути гнучкими, швидко адаптуватися до змін і ефективно реалізовувати стратегії довгострокового зростання. Здатність компанії до інновацій, її відкритість до нових технологій та орієнтація на потреби клієнтів стають запорукою її стійкості та успіху у цифрову епоху.</w:t>
      </w:r>
    </w:p>
    <w:p w14:paraId="513293EA" w14:textId="77777777" w:rsidR="00B56F28" w:rsidRPr="00511005" w:rsidRDefault="00B56F28" w:rsidP="003A292D">
      <w:pPr>
        <w:spacing w:line="264" w:lineRule="auto"/>
        <w:rPr>
          <w:rFonts w:ascii="Arial" w:eastAsia="Calibri" w:hAnsi="Arial" w:cs="Arial"/>
          <w:szCs w:val="28"/>
          <w:lang w:val="uk-UA"/>
        </w:rPr>
      </w:pPr>
    </w:p>
    <w:p w14:paraId="1BD2D8D8" w14:textId="7B921C6D" w:rsidR="00AE57E7" w:rsidRPr="00511005" w:rsidRDefault="007B2628" w:rsidP="007B2628">
      <w:pPr>
        <w:spacing w:line="264" w:lineRule="auto"/>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02D5872D" w14:textId="5DF9B635"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1. Манова Л. В. Маркетинг підприємства: навч. посіб. Київ: Центр учбової літератури. 2019.</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612 с.</w:t>
      </w:r>
    </w:p>
    <w:p w14:paraId="54AF7F5F" w14:textId="77D1BC82"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2.</w:t>
      </w:r>
      <w:r w:rsidRPr="00511005">
        <w:rPr>
          <w:rFonts w:ascii="Arial" w:eastAsia="Calibri" w:hAnsi="Arial" w:cs="Arial"/>
          <w:szCs w:val="28"/>
          <w:lang w:val="uk-UA"/>
        </w:rPr>
        <w:tab/>
        <w:t>Сенишин О. С. Маркетинг: навч. посіб. Львів: Львівський національний університет імені Івана Франка, 2020.</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347 с.</w:t>
      </w:r>
    </w:p>
    <w:p w14:paraId="6BB637ED" w14:textId="2EECF29B"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3.</w:t>
      </w:r>
      <w:r w:rsidRPr="00511005">
        <w:rPr>
          <w:rFonts w:ascii="Arial" w:eastAsia="Calibri" w:hAnsi="Arial" w:cs="Arial"/>
          <w:szCs w:val="28"/>
          <w:lang w:val="uk-UA"/>
        </w:rPr>
        <w:tab/>
        <w:t xml:space="preserve">Маркетинг в умовах діджиталізації економіки країни : </w:t>
      </w:r>
      <w:r w:rsidRPr="00511005">
        <w:rPr>
          <w:rFonts w:ascii="Arial" w:eastAsia="Calibri" w:hAnsi="Arial" w:cs="Arial"/>
          <w:i/>
          <w:szCs w:val="28"/>
          <w:lang w:val="uk-UA"/>
        </w:rPr>
        <w:t>матеріали Всеукраїнської науково-практичної інтернет-конференції (м. Полтава, 23–24 листопада 2023 року)</w:t>
      </w:r>
      <w:r w:rsidRPr="00511005">
        <w:rPr>
          <w:rFonts w:ascii="Arial" w:eastAsia="Calibri" w:hAnsi="Arial" w:cs="Arial"/>
          <w:szCs w:val="28"/>
          <w:lang w:val="uk-UA"/>
        </w:rPr>
        <w:t>.</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Полтава : ПУЕТ, 2023.</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230 с.</w:t>
      </w:r>
    </w:p>
    <w:p w14:paraId="488C7CD4"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4.</w:t>
      </w:r>
      <w:r w:rsidRPr="00511005">
        <w:rPr>
          <w:rFonts w:ascii="Arial" w:eastAsia="Calibri" w:hAnsi="Arial" w:cs="Arial"/>
          <w:szCs w:val="28"/>
          <w:lang w:val="uk-UA"/>
        </w:rPr>
        <w:tab/>
        <w:t xml:space="preserve">Менеджмент, маркетинг, логістика: тренди та подолання викликів: </w:t>
      </w:r>
      <w:r w:rsidRPr="00511005">
        <w:rPr>
          <w:rFonts w:ascii="Arial" w:eastAsia="Calibri" w:hAnsi="Arial" w:cs="Arial"/>
          <w:i/>
          <w:szCs w:val="28"/>
          <w:lang w:val="uk-UA"/>
        </w:rPr>
        <w:t>збірник матеріалів Міжнародної науково-практичної конференції молодих вчених, аспірантів, студентів (м. Житомир, 05 грудня 2023 року</w:t>
      </w:r>
      <w:r w:rsidRPr="00511005">
        <w:rPr>
          <w:rFonts w:ascii="Arial" w:eastAsia="Calibri" w:hAnsi="Arial" w:cs="Arial"/>
          <w:szCs w:val="28"/>
          <w:lang w:val="uk-UA"/>
        </w:rPr>
        <w:t>). Житомир: Вид-во «Поліський національний університет», 2023. 362 с.</w:t>
      </w:r>
    </w:p>
    <w:p w14:paraId="509DA310" w14:textId="77777777" w:rsidR="00AE57E7" w:rsidRPr="00511005" w:rsidRDefault="00AE57E7" w:rsidP="003A292D">
      <w:pPr>
        <w:spacing w:line="264" w:lineRule="auto"/>
        <w:rPr>
          <w:rFonts w:ascii="Arial" w:eastAsia="Calibri" w:hAnsi="Arial" w:cs="Arial"/>
          <w:b/>
          <w:szCs w:val="28"/>
          <w:lang w:val="uk-UA"/>
        </w:rPr>
      </w:pPr>
    </w:p>
    <w:p w14:paraId="4A8572AE" w14:textId="48595354"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szCs w:val="28"/>
          <w:lang w:val="uk-UA"/>
        </w:rPr>
        <w:t>стратегічне управління, онлайн-бізнес, маркетингові технології, цифрові інструменти, автоматизація процесів, аналіз даних, персоналізація.</w:t>
      </w:r>
    </w:p>
    <w:p w14:paraId="7C8D5D31" w14:textId="7F799662" w:rsidR="00AE57E7"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strategic management</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online business</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marketing technologies</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digital tools</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process automation</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data analysis</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personalization.</w:t>
      </w:r>
    </w:p>
    <w:p w14:paraId="563D14CA" w14:textId="2C73DD6F" w:rsidR="00AE57E7" w:rsidRPr="00511005" w:rsidRDefault="007B2628" w:rsidP="003A292D">
      <w:pPr>
        <w:spacing w:line="264" w:lineRule="auto"/>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AE57E7" w:rsidRPr="00511005">
        <w:rPr>
          <w:rFonts w:ascii="Arial" w:eastAsia="Calibri" w:hAnsi="Arial" w:cs="Arial"/>
          <w:i/>
          <w:szCs w:val="28"/>
          <w:lang w:val="uk-UA"/>
        </w:rPr>
        <w:t>д.е.н., професор Слободянюк О.В.</w:t>
      </w:r>
    </w:p>
    <w:p w14:paraId="00536A1F" w14:textId="77777777" w:rsidR="00AE57E7" w:rsidRPr="00511005" w:rsidRDefault="00AE57E7" w:rsidP="003A292D">
      <w:pPr>
        <w:spacing w:line="264" w:lineRule="auto"/>
        <w:jc w:val="center"/>
        <w:rPr>
          <w:rFonts w:ascii="Arial" w:eastAsia="Calibri" w:hAnsi="Arial" w:cs="Arial"/>
          <w:b/>
          <w:i/>
          <w:szCs w:val="28"/>
          <w:lang w:val="uk-UA"/>
        </w:rPr>
      </w:pPr>
    </w:p>
    <w:p w14:paraId="1B1AC77C" w14:textId="684C72FB" w:rsidR="00AE57E7" w:rsidRPr="00511005" w:rsidRDefault="00AE57E7" w:rsidP="003A292D">
      <w:pPr>
        <w:spacing w:line="264" w:lineRule="auto"/>
        <w:ind w:firstLine="0"/>
        <w:jc w:val="left"/>
        <w:rPr>
          <w:rFonts w:ascii="Arial" w:eastAsia="Calibri" w:hAnsi="Arial" w:cs="Arial"/>
          <w:b/>
          <w:i/>
          <w:szCs w:val="28"/>
          <w:lang w:val="uk-UA"/>
        </w:rPr>
      </w:pPr>
    </w:p>
    <w:p w14:paraId="6D639791" w14:textId="77777777" w:rsidR="00AE57E7" w:rsidRPr="00511005" w:rsidRDefault="00AE57E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Петрова Поліна Олегівна</w:t>
      </w:r>
    </w:p>
    <w:p w14:paraId="20BA94C2" w14:textId="43AC716B" w:rsidR="00AE57E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4-го курсу факультету адвокатури та антикорупційної діяльності</w:t>
      </w:r>
    </w:p>
    <w:p w14:paraId="30E98C5A" w14:textId="32749D52" w:rsidR="00AE57E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0ABA232D" w14:textId="77777777" w:rsidR="00AE57E7" w:rsidRPr="00511005" w:rsidRDefault="00AE57E7" w:rsidP="003A292D">
      <w:pPr>
        <w:spacing w:line="264" w:lineRule="auto"/>
        <w:ind w:firstLine="0"/>
        <w:rPr>
          <w:rFonts w:ascii="Arial" w:eastAsia="Calibri" w:hAnsi="Arial" w:cs="Arial"/>
          <w:szCs w:val="28"/>
          <w:lang w:val="uk-UA"/>
        </w:rPr>
      </w:pPr>
    </w:p>
    <w:p w14:paraId="21E43DF5" w14:textId="77777777" w:rsidR="00AE57E7" w:rsidRPr="00511005" w:rsidRDefault="00AE57E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СТРАТЕГІЧНЕ УПРАВЛІННЯ ПРОЦЕСОМ ІНТЕРНАЦІОНАЛІЗАЦІЇ БІЗНЕСУ В УКРАЇНІ</w:t>
      </w:r>
    </w:p>
    <w:p w14:paraId="4C2993DB"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Інтернаціоналізація бізнесу в сучасних умовах є одним із провідних напрямів стратегічного розвитку українських компаній. Вона виступає каталізатором модернізації економіки, стимулює впровадження інновацій, сприяє підвищенню конкурентоспроможності продукції та послуг на глобальному ринку. Для України, що активно інтегрується у світову економіку, інтернаціоналізація є не тільки економічною необхідністю, а й важливим чинником правового, технологічного та організаційного розвитку бізнес-середовища.</w:t>
      </w:r>
    </w:p>
    <w:p w14:paraId="721A06B5"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Процес інтернаціоналізації бізнесу передбачає вихід компаній на нові ринки шляхом експорту, прямих інвестицій, створення спільних підприємств або відкриття зарубіжних філій. Процес інтернаціоналізації бізнесу не є стихійним, а є цілеспрямованим і системно керованим на основі принципів стратегічного управління. Стратегічне управління інтернаціоналізацією бізнесу в Україні стає необхідною умовою для забезпечення ефективної адаптації підприємств до умов міжнародної конкуренції, мінімізації ризиків та максимізації переваг [1].</w:t>
      </w:r>
    </w:p>
    <w:p w14:paraId="6B8038E6"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Ефективне стратегічне управління процесом інтернаціоналізації включає кілька ключових етапів: детальний аналіз зовнішнього середовища, оцінку внутрішніх ресурсів і потенціалу компанії, визначення цілей інтернаціоналізації, розробку та реалізацію відповідної стратегії, а також моніторинг і коригування дій залежно від змін зовнішніх і внутрішніх умов.</w:t>
      </w:r>
    </w:p>
    <w:p w14:paraId="3113C62B"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Аналіз зовнішнього середовища полягає у вивченні політичних, правових, економічних, соціокультурних та технологічних факторів цільових ринків. Він дозволяє передбачити можливі ризики й адаптувати бізнес-модель компанії відповідно до вимог і очікувань іноземних споживачів. Водночас внутрішній аналіз дає змогу виявити сильні сторони компанії, які можуть бути використані як основа для виходу на нові ринки, а також визначити слабкі сторони, що потребують розвитку [2].</w:t>
      </w:r>
    </w:p>
    <w:p w14:paraId="5EA627C7"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Одним із важливих завдань стратегічного управління інтернаціоналізацією є формулювання чітких цілей: від простого розширення ринків збуту до диверсифікації ризиків або зміцнення міжнародного іміджу компанії. Вибір стратегії інтернаціоналізації залежить від поставлених цілей, доступних ресурсів, рівня ризиків і характеру продукції або послуг.</w:t>
      </w:r>
    </w:p>
    <w:p w14:paraId="2750D410"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Основними стратегіями інтернаціоналізації є: прямий експорт або через торговельних партнерів; створення спільних підприємств; франчайзинг або ліцензування; відкриття дочірніх підприємств за кордоном [3].</w:t>
      </w:r>
    </w:p>
    <w:p w14:paraId="62E42A53"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Для України характерні певні специфічні умови інтернаціоналізації бізнесу: прагнення до європейської інтеграції, активна участь у глобальних економічних процесах, а також необхідність адаптації до вимог міжнародного права й стандартів. Правові аспекти виходу на зовнішні ринки </w:t>
      </w:r>
      <w:r w:rsidRPr="00511005">
        <w:rPr>
          <w:rFonts w:ascii="Arial" w:eastAsia="Calibri" w:hAnsi="Arial" w:cs="Arial"/>
          <w:szCs w:val="28"/>
          <w:lang w:val="uk-UA"/>
        </w:rPr>
        <w:lastRenderedPageBreak/>
        <w:t>вимагають від українських компаній ретельного вивчення національних та міжнародних норм, що регулюють торгівлю, інвестування, оподаткування та захист прав інтелектуальної власності.</w:t>
      </w:r>
    </w:p>
    <w:p w14:paraId="66389B0D"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Успішне стратегічне управління інтернаціоналізацією бізнесу передбачає не тільки правильний вибір інструментів виходу на зовнішні ринки, а й ефективне ресурсне забезпечення процесу, зокрема управління фінансовими, людськими та інформаційними ресурсами. Інвестиції у розвиток персоналу, особливо у сфері міжнародного менеджменту, маркетингу та правового супроводу, стають критично важливими.</w:t>
      </w:r>
    </w:p>
    <w:p w14:paraId="24A126F4"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Серед основних викликів, які стоять перед українськими компаніями у процесі інтернаціоналізації, слід зазначити: високу конкуренцію на міжнародних ринках; нестабільність глобальної економічної ситуації; необхідність відповідності міжнародним стандартам якості продукції та послуг; складність правового регулювання міжнародної діяльності; культурні бар'єри у взаємодії з партнерами та клієнтами за кордоном.</w:t>
      </w:r>
    </w:p>
    <w:p w14:paraId="55602153"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Попри ці виклики, інтернаціоналізація відкриває перед українським бізнесом значні можливості: доступ до нових ринків, залучення іноземних інвестицій, створення міжнародних стратегічних альянсів, підвищення технологічного рівня виробництва і розвитку внутрішньої інноваційної культури [4].</w:t>
      </w:r>
    </w:p>
    <w:p w14:paraId="63EB6051"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Таким чином, стратегічне управління процесом інтернаціоналізації бізнесу в Україні є важливим інструментом економічного розвитку компаній, що дає змогу ефективно інтегруватися у світову економічну систему, підвищити свою конкурентоспроможність, забезпечити стійке зростання і зміцнити позиції на глобальній арені. Успішна інтернаціоналізація можлива лише за умов глибокого аналізу, професійного стратегічного планування, активної адаптації до змін і постійного розвитку управлінських компетенцій.</w:t>
      </w:r>
    </w:p>
    <w:p w14:paraId="57DAE43B" w14:textId="77777777" w:rsidR="00AE57E7" w:rsidRPr="00511005" w:rsidRDefault="00AE57E7" w:rsidP="003A292D">
      <w:pPr>
        <w:spacing w:line="264" w:lineRule="auto"/>
        <w:jc w:val="center"/>
        <w:rPr>
          <w:rFonts w:ascii="Arial" w:eastAsia="Calibri" w:hAnsi="Arial" w:cs="Arial"/>
          <w:b/>
          <w:szCs w:val="28"/>
          <w:lang w:val="uk-UA"/>
        </w:rPr>
      </w:pPr>
    </w:p>
    <w:p w14:paraId="03729F5A" w14:textId="17A7694B" w:rsidR="00AE57E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5F57F318" w14:textId="77777777" w:rsidR="00AE57E7" w:rsidRPr="00511005" w:rsidRDefault="00AE57E7" w:rsidP="003F6A5D">
      <w:pPr>
        <w:numPr>
          <w:ilvl w:val="0"/>
          <w:numId w:val="729"/>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Колешня Я.О., Савічева Т.Ю. Маркетингова стратегія підприємства в процесі інтернаціоналізації. </w:t>
      </w:r>
      <w:r w:rsidRPr="00511005">
        <w:rPr>
          <w:rFonts w:ascii="Arial" w:eastAsia="Calibri" w:hAnsi="Arial" w:cs="Arial"/>
          <w:i/>
          <w:szCs w:val="28"/>
          <w:lang w:val="uk-UA"/>
        </w:rPr>
        <w:t>Економіка та суспільство.</w:t>
      </w:r>
      <w:r w:rsidRPr="00511005">
        <w:rPr>
          <w:rFonts w:ascii="Arial" w:eastAsia="Calibri" w:hAnsi="Arial" w:cs="Arial"/>
          <w:szCs w:val="28"/>
          <w:lang w:val="uk-UA"/>
        </w:rPr>
        <w:t xml:space="preserve"> 2021. № 29. URL: </w:t>
      </w:r>
      <w:r w:rsidRPr="00511005">
        <w:rPr>
          <w:rFonts w:ascii="Arial" w:eastAsia="Calibri" w:hAnsi="Arial" w:cs="Arial"/>
          <w:szCs w:val="28"/>
        </w:rPr>
        <w:t xml:space="preserve">DOI: </w:t>
      </w:r>
      <w:hyperlink r:id="rId2496" w:history="1">
        <w:r w:rsidRPr="00511005">
          <w:rPr>
            <w:rFonts w:ascii="Arial" w:eastAsia="Calibri" w:hAnsi="Arial" w:cs="Arial"/>
            <w:szCs w:val="28"/>
          </w:rPr>
          <w:t>https://doi.org/10.32782/2524-0072/2021-29-11</w:t>
        </w:r>
      </w:hyperlink>
    </w:p>
    <w:p w14:paraId="4C15D0C9" w14:textId="77777777" w:rsidR="00AE57E7" w:rsidRPr="00511005" w:rsidRDefault="00AE57E7" w:rsidP="003F6A5D">
      <w:pPr>
        <w:numPr>
          <w:ilvl w:val="0"/>
          <w:numId w:val="729"/>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Інтернаціоналізація бізнесу: етапи, моделі та приклади серед брендів. URL: </w:t>
      </w:r>
      <w:hyperlink r:id="rId2497" w:history="1">
        <w:r w:rsidRPr="00511005">
          <w:rPr>
            <w:rFonts w:ascii="Arial" w:eastAsia="Calibri" w:hAnsi="Arial" w:cs="Arial"/>
            <w:szCs w:val="28"/>
            <w:lang w:val="pl-PL"/>
          </w:rPr>
          <w:t>https://web-promo.ua/ua/blog/internaczionalizacziya-biznesa-etapy-modeli-i-primery-sredi-brendov/</w:t>
        </w:r>
      </w:hyperlink>
      <w:r w:rsidRPr="00511005">
        <w:rPr>
          <w:rFonts w:ascii="Arial" w:eastAsia="Calibri" w:hAnsi="Arial" w:cs="Arial"/>
          <w:szCs w:val="28"/>
          <w:lang w:val="uk-UA"/>
        </w:rPr>
        <w:t xml:space="preserve"> </w:t>
      </w:r>
    </w:p>
    <w:p w14:paraId="0B245964" w14:textId="77777777" w:rsidR="007B2628" w:rsidRPr="00511005" w:rsidRDefault="00AE57E7" w:rsidP="003F6A5D">
      <w:pPr>
        <w:numPr>
          <w:ilvl w:val="0"/>
          <w:numId w:val="729"/>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Крамар І. Ю. Ієрархічно-компонентний підхід до визначення категорії «Інтернаціоналізація підприємства». 2019. URL: </w:t>
      </w:r>
      <w:hyperlink r:id="rId2498" w:history="1">
        <w:r w:rsidRPr="00511005">
          <w:rPr>
            <w:rFonts w:ascii="Arial" w:eastAsia="Calibri" w:hAnsi="Arial" w:cs="Arial"/>
            <w:szCs w:val="28"/>
            <w:lang w:val="uk-UA"/>
          </w:rPr>
          <w:t>http://surl.li/oger</w:t>
        </w:r>
      </w:hyperlink>
      <w:r w:rsidRPr="00511005">
        <w:rPr>
          <w:rFonts w:ascii="Arial" w:eastAsia="Calibri" w:hAnsi="Arial" w:cs="Arial"/>
          <w:szCs w:val="28"/>
          <w:lang w:val="uk-UA"/>
        </w:rPr>
        <w:t xml:space="preserve"> </w:t>
      </w:r>
    </w:p>
    <w:p w14:paraId="62D70B41" w14:textId="4FD074F9" w:rsidR="00AE57E7" w:rsidRPr="00511005" w:rsidRDefault="00AE57E7" w:rsidP="003F6A5D">
      <w:pPr>
        <w:numPr>
          <w:ilvl w:val="0"/>
          <w:numId w:val="729"/>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Дергалюк М.О., Войченко Є.С. Сучасні тенденції та форми інтернаціоналізації бізнесу: перваги та недоліки URL: </w:t>
      </w:r>
      <w:hyperlink r:id="rId2499" w:history="1">
        <w:r w:rsidRPr="00511005">
          <w:rPr>
            <w:rFonts w:ascii="Arial" w:eastAsia="Calibri" w:hAnsi="Arial" w:cs="Arial"/>
            <w:szCs w:val="28"/>
            <w:lang w:val="uk-UA"/>
          </w:rPr>
          <w:t>https://confmanagement-proc.kpi.ua/article/view/230859</w:t>
        </w:r>
      </w:hyperlink>
      <w:r w:rsidRPr="00511005">
        <w:rPr>
          <w:rFonts w:ascii="Arial" w:eastAsia="Calibri" w:hAnsi="Arial" w:cs="Arial"/>
          <w:szCs w:val="28"/>
          <w:lang w:val="uk-UA"/>
        </w:rPr>
        <w:t xml:space="preserve"> </w:t>
      </w:r>
    </w:p>
    <w:p w14:paraId="6ED7B253" w14:textId="77777777" w:rsidR="00AE57E7" w:rsidRPr="00511005" w:rsidRDefault="00AE57E7" w:rsidP="003A292D">
      <w:pPr>
        <w:spacing w:line="264" w:lineRule="auto"/>
        <w:rPr>
          <w:rFonts w:ascii="Arial" w:eastAsia="Calibri" w:hAnsi="Arial" w:cs="Arial"/>
          <w:b/>
          <w:szCs w:val="28"/>
          <w:lang w:val="uk-UA"/>
        </w:rPr>
      </w:pPr>
    </w:p>
    <w:p w14:paraId="63E101B4" w14:textId="68612438"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lastRenderedPageBreak/>
        <w:t xml:space="preserve">Ключові слова: </w:t>
      </w:r>
      <w:r w:rsidR="00AE57E7" w:rsidRPr="00511005">
        <w:rPr>
          <w:rFonts w:ascii="Arial" w:eastAsia="Calibri" w:hAnsi="Arial" w:cs="Arial"/>
          <w:szCs w:val="28"/>
          <w:lang w:val="uk-UA"/>
        </w:rPr>
        <w:t xml:space="preserve">інтернаціоналізація бізнесу, стратегічне управління, правове регулювання, конкурентоспроможність, Європейська інтеграція </w:t>
      </w:r>
    </w:p>
    <w:p w14:paraId="4A0B316E" w14:textId="53215853"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 xml:space="preserve">business </w:t>
      </w:r>
      <w:proofErr w:type="gramStart"/>
      <w:r w:rsidR="00AE57E7" w:rsidRPr="00511005">
        <w:rPr>
          <w:rFonts w:ascii="Arial" w:eastAsia="Calibri" w:hAnsi="Arial" w:cs="Arial"/>
          <w:szCs w:val="28"/>
          <w:lang w:val="en-US"/>
        </w:rPr>
        <w:t>Internationalization</w:t>
      </w:r>
      <w:r w:rsidR="00AE57E7" w:rsidRPr="00511005">
        <w:rPr>
          <w:rFonts w:ascii="Arial" w:eastAsia="Calibri" w:hAnsi="Arial" w:cs="Arial"/>
          <w:szCs w:val="28"/>
          <w:lang w:val="uk-UA"/>
        </w:rPr>
        <w:t>,s</w:t>
      </w:r>
      <w:r w:rsidR="00AE57E7" w:rsidRPr="00511005">
        <w:rPr>
          <w:rFonts w:ascii="Arial" w:eastAsia="Calibri" w:hAnsi="Arial" w:cs="Arial"/>
          <w:szCs w:val="28"/>
          <w:lang w:val="en-US"/>
        </w:rPr>
        <w:t>trategic</w:t>
      </w:r>
      <w:proofErr w:type="gramEnd"/>
      <w:r w:rsidR="00AE57E7" w:rsidRPr="00511005">
        <w:rPr>
          <w:rFonts w:ascii="Arial" w:eastAsia="Calibri" w:hAnsi="Arial" w:cs="Arial"/>
          <w:szCs w:val="28"/>
          <w:lang w:val="en-US"/>
        </w:rPr>
        <w:t xml:space="preserve"> Management</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legal Regulation</w:t>
      </w:r>
      <w:r w:rsidR="00AE57E7" w:rsidRPr="00511005">
        <w:rPr>
          <w:rFonts w:ascii="Arial" w:eastAsia="Calibri" w:hAnsi="Arial" w:cs="Arial"/>
          <w:szCs w:val="28"/>
          <w:lang w:val="uk-UA"/>
        </w:rPr>
        <w:t>,</w:t>
      </w:r>
      <w:r w:rsidR="00AE57E7" w:rsidRPr="00511005">
        <w:rPr>
          <w:rFonts w:ascii="Arial" w:eastAsia="Calibri" w:hAnsi="Arial" w:cs="Arial"/>
          <w:szCs w:val="28"/>
          <w:lang w:val="en-US"/>
        </w:rPr>
        <w:t xml:space="preserve"> competitiveness</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European Integration.</w:t>
      </w:r>
    </w:p>
    <w:p w14:paraId="2A74170A" w14:textId="27C04009" w:rsidR="00AE57E7" w:rsidRPr="00511005" w:rsidRDefault="007B2628" w:rsidP="003A292D">
      <w:pPr>
        <w:spacing w:line="264" w:lineRule="auto"/>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AE57E7" w:rsidRPr="00511005">
        <w:rPr>
          <w:rFonts w:ascii="Arial" w:eastAsia="Calibri" w:hAnsi="Arial" w:cs="Arial"/>
          <w:i/>
          <w:szCs w:val="28"/>
          <w:lang w:val="uk-UA"/>
        </w:rPr>
        <w:t>д.е.н., професор Слободянюк О.В.</w:t>
      </w:r>
    </w:p>
    <w:p w14:paraId="42A49873" w14:textId="77777777" w:rsidR="00AE57E7" w:rsidRPr="00511005" w:rsidRDefault="00AE57E7" w:rsidP="003A292D">
      <w:pPr>
        <w:spacing w:line="264" w:lineRule="auto"/>
        <w:rPr>
          <w:rFonts w:ascii="Arial" w:eastAsia="Calibri" w:hAnsi="Arial" w:cs="Arial"/>
          <w:i/>
          <w:szCs w:val="28"/>
          <w:lang w:val="uk-UA"/>
        </w:rPr>
      </w:pPr>
    </w:p>
    <w:p w14:paraId="3F7947FF" w14:textId="57E3F76D" w:rsidR="00AE57E7" w:rsidRPr="00511005" w:rsidRDefault="00AE57E7" w:rsidP="003A292D">
      <w:pPr>
        <w:spacing w:line="264" w:lineRule="auto"/>
        <w:ind w:firstLine="0"/>
        <w:jc w:val="left"/>
        <w:rPr>
          <w:rFonts w:ascii="Arial" w:eastAsia="Calibri" w:hAnsi="Arial" w:cs="Arial"/>
          <w:b/>
          <w:i/>
          <w:szCs w:val="28"/>
          <w:lang w:val="uk-UA"/>
        </w:rPr>
      </w:pPr>
    </w:p>
    <w:p w14:paraId="2ACBE1C5" w14:textId="77777777" w:rsidR="00AE57E7" w:rsidRPr="00511005" w:rsidRDefault="00AE57E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Попадюк Дарія Олександрівна</w:t>
      </w:r>
    </w:p>
    <w:p w14:paraId="420DB07B" w14:textId="7CFE8210" w:rsidR="00AE57E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4-го курсу факультету адвокатури та антикорупційної діяльності</w:t>
      </w:r>
    </w:p>
    <w:p w14:paraId="22382604" w14:textId="04926974" w:rsidR="00AE57E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F173E4B" w14:textId="77777777" w:rsidR="00AE57E7" w:rsidRPr="00511005" w:rsidRDefault="00AE57E7" w:rsidP="003A292D">
      <w:pPr>
        <w:spacing w:line="264" w:lineRule="auto"/>
        <w:ind w:firstLine="0"/>
        <w:rPr>
          <w:rFonts w:ascii="Arial" w:eastAsia="Calibri" w:hAnsi="Arial" w:cs="Arial"/>
          <w:szCs w:val="28"/>
          <w:lang w:val="uk-UA"/>
        </w:rPr>
      </w:pPr>
    </w:p>
    <w:p w14:paraId="19BDB118" w14:textId="77777777" w:rsidR="00AE57E7" w:rsidRPr="00511005" w:rsidRDefault="00AE57E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ДІАГНОСТИКА ЕКОНОМІЧНОЇ БЕЗПЕКИ ПІДПРИЄМСТВА ЯК ІНСТРУМЕНТ ЕФЕКТИВНОГО УПРАВЛІННЯ</w:t>
      </w:r>
    </w:p>
    <w:p w14:paraId="1D3FA423"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В умовах постійних економічних трансформацій в Україні питання забезпечення належного рівня економічної безпеки підприємства стає пріоритетним напрямом ефективного управління. Економічна безпека забезпечує стабільне функціонування, конкурентоспроможність і розвиток на довгострокову перспективу підприємства.</w:t>
      </w:r>
    </w:p>
    <w:p w14:paraId="2D8891F5" w14:textId="1FD61240"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Моніторинг і діагностика рівня економічної безпеки виступають ключовими інструментами сучасної системи управління. Вони забезпечують своєчасне виявлення проблемних зон, прогнозування можливих ризиків і створення ефективних механізмів реагування на загрози. Саме через діагностику та моніторинг формується об’єктивна база для прийняття управлінських рішень на всіх рівнях. Процес діагностики економічної безпеки передбачає аналіз внутрішнього та зовнішнього середовища підприємства, ідентифікацію критичних ризиків і загроз, розробку системи діагностичних показників (фінансові, кадрові, виробничі, інноваційні, інформаційні), а також комплексну оцінку рівня економічної безпеки із застосуванням SWOT-аналізу, PEST-аналізу,</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економетричного моделювання тощо [1].</w:t>
      </w:r>
    </w:p>
    <w:p w14:paraId="6B54232B" w14:textId="77777777" w:rsidR="00AE57E7" w:rsidRPr="00511005" w:rsidRDefault="00AE57E7" w:rsidP="003A292D">
      <w:pPr>
        <w:spacing w:line="264" w:lineRule="auto"/>
        <w:rPr>
          <w:rFonts w:ascii="Arial" w:eastAsia="Calibri" w:hAnsi="Arial" w:cs="Arial"/>
          <w:szCs w:val="28"/>
        </w:rPr>
      </w:pPr>
      <w:r w:rsidRPr="00511005">
        <w:rPr>
          <w:rFonts w:ascii="Arial" w:eastAsia="Calibri" w:hAnsi="Arial" w:cs="Arial"/>
          <w:szCs w:val="28"/>
          <w:lang w:val="uk-UA"/>
        </w:rPr>
        <w:t>Моніторинг рівня економічної безпеки має безперервний характер і базується на регулярному зборі, аналізі та оцінці динаміки ключових показників. Його метою є не тільки виявлення відхилень, але й попередження кризових ситуацій, підвищення адаптивності підприємства до змін ринкового середовища. Керівний менеджмент приділяє увагу побудові автоматизованих інформаційно-аналітичних систем моніторингу, що дозволяють оперативно збирати та обробляти дані, інтегрувати результати діагностики в загальну систему управління ризиками, підвищувати якість стратегічного та оперативного планування</w:t>
      </w:r>
      <w:r w:rsidRPr="00511005">
        <w:rPr>
          <w:rFonts w:ascii="Arial" w:eastAsia="Calibri" w:hAnsi="Arial" w:cs="Arial"/>
          <w:szCs w:val="28"/>
        </w:rPr>
        <w:t xml:space="preserve"> [2].</w:t>
      </w:r>
    </w:p>
    <w:p w14:paraId="15D6072F"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Водночас ефективна діагностика рівня економічної безпеки потребує не тільки визначення внутрішніх ризиків, але й врахування зовнішніх чинників, таких як зміни макроекономічної ситуації, коливання валютних </w:t>
      </w:r>
      <w:r w:rsidRPr="00511005">
        <w:rPr>
          <w:rFonts w:ascii="Arial" w:eastAsia="Calibri" w:hAnsi="Arial" w:cs="Arial"/>
          <w:szCs w:val="28"/>
          <w:lang w:val="uk-UA"/>
        </w:rPr>
        <w:lastRenderedPageBreak/>
        <w:t>курсів, політична нестабільність, зміни у правовому полі та глобальні економічні тенденції. Аналіз загроз повинен здійснюватися за різними напрямами, включаючи фінансову, виробничу, інвестиційну, інноваційну, інформаційну та екологічну безпеку підприємства. Відсутність комплексного підходу до моніторингу економічної безпеки може призвести до зниження стійкості підприємства, втрати ринкових позицій та виникнення кризових ситуацій</w:t>
      </w:r>
      <w:r w:rsidRPr="00511005">
        <w:rPr>
          <w:rFonts w:ascii="Arial" w:eastAsia="Calibri" w:hAnsi="Arial" w:cs="Arial"/>
          <w:szCs w:val="28"/>
        </w:rPr>
        <w:t xml:space="preserve"> [3].</w:t>
      </w:r>
    </w:p>
    <w:p w14:paraId="4EDE528A"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Основними загрозами для економічної безпеки підприємств в Україні є макроекономічна нестабільність, нестабільність нормативно-правового середовища, високий рівень податкового навантаження, зростання рівня кіберзагроз, нестача фінансових і людських ресурсів. Особливо важливою є адаптація до змін цифрового середовища, що передбачає посилення кібербезпеки та захисту комерційної інформації.</w:t>
      </w:r>
    </w:p>
    <w:p w14:paraId="42116860"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Ефективна діагностика та моніторинг економічної безпеки дозволяють підприємствам своєчасно виявляти ризики та реагувати на них, підтримувати належний рівень фінансової стійкості, забезпечувати інноваційний розвиток, підвищувати довіру з боку партнерів та інвесторів і формувати позитивний імідж на ринку. В результаті цього зростає загальна ефективність управління, підвищується конкурентоспроможність підприємства і зміцнюється його позиція на ринку [4].</w:t>
      </w:r>
    </w:p>
    <w:p w14:paraId="30DE0876"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Ефективне управління ризиками передбачає розробку системи запобіжних заходів і швидкого реагування на зміну зовнішнього середовища. Проактивна стратегія управління ризиками дозволяє підприємству не лише мінімізувати можливі втрати, а й використовувати виникаючі можливості для зміцнення власних конкурентних позицій.</w:t>
      </w:r>
    </w:p>
    <w:p w14:paraId="50F76BAF"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Підтримання високого рівня фінансової стійкості є критично важливим аспектом забезпечення економічної безпеки підприємства. А постійний моніторинг фінансових показників, своєчасна діагностика ризиків ліквідності та платоспроможності створюють умови для стабільного розвитку підприємства навіть в умовах економічної нестабільності [5].</w:t>
      </w:r>
    </w:p>
    <w:p w14:paraId="3EEB0A17"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Отже, у сучасних умовах діагностика економічної безпеки підприємства виступає невід’ємною складовою процесу ефективного управління та довгострокового розвитку, сприяючи підвищенню загальної стійкості української економіки.</w:t>
      </w:r>
    </w:p>
    <w:p w14:paraId="59EEF550" w14:textId="77777777" w:rsidR="00AE57E7" w:rsidRPr="00511005" w:rsidRDefault="00AE57E7" w:rsidP="003A292D">
      <w:pPr>
        <w:spacing w:line="264" w:lineRule="auto"/>
        <w:rPr>
          <w:rFonts w:ascii="Arial" w:eastAsia="Calibri" w:hAnsi="Arial" w:cs="Arial"/>
          <w:b/>
          <w:szCs w:val="28"/>
          <w:lang w:val="uk-UA"/>
        </w:rPr>
      </w:pPr>
    </w:p>
    <w:p w14:paraId="3F45D98D" w14:textId="01CD5341" w:rsidR="00AE57E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75B7C7BE" w14:textId="77777777" w:rsidR="00AE57E7" w:rsidRPr="00511005" w:rsidRDefault="00AE57E7" w:rsidP="003F6A5D">
      <w:pPr>
        <w:numPr>
          <w:ilvl w:val="0"/>
          <w:numId w:val="730"/>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Лойко В.В. Моніторинг рівня економічної безпеки промислового підприємства </w:t>
      </w:r>
      <w:r w:rsidRPr="00511005">
        <w:rPr>
          <w:rFonts w:ascii="Arial" w:eastAsia="Calibri" w:hAnsi="Arial" w:cs="Arial"/>
          <w:i/>
          <w:szCs w:val="28"/>
          <w:lang w:val="uk-UA"/>
        </w:rPr>
        <w:t>Ефективна економіка</w:t>
      </w:r>
      <w:r w:rsidRPr="00511005">
        <w:rPr>
          <w:rFonts w:ascii="Arial" w:eastAsia="Calibri" w:hAnsi="Arial" w:cs="Arial"/>
          <w:szCs w:val="28"/>
          <w:lang w:val="uk-UA"/>
        </w:rPr>
        <w:t xml:space="preserve"> № 8, 2015 URL: </w:t>
      </w:r>
      <w:hyperlink r:id="rId2500" w:history="1">
        <w:r w:rsidRPr="00511005">
          <w:rPr>
            <w:rFonts w:ascii="Arial" w:eastAsia="Calibri" w:hAnsi="Arial" w:cs="Arial"/>
            <w:szCs w:val="28"/>
            <w:lang w:val="uk-UA"/>
          </w:rPr>
          <w:t>http://www.economy.nayka.com.ua/?op=1&amp;z=4446</w:t>
        </w:r>
      </w:hyperlink>
      <w:r w:rsidRPr="00511005">
        <w:rPr>
          <w:rFonts w:ascii="Arial" w:eastAsia="Calibri" w:hAnsi="Arial" w:cs="Arial"/>
          <w:szCs w:val="28"/>
          <w:lang w:val="uk-UA"/>
        </w:rPr>
        <w:t xml:space="preserve"> </w:t>
      </w:r>
    </w:p>
    <w:p w14:paraId="2676B5D7" w14:textId="77777777" w:rsidR="00AE57E7" w:rsidRPr="00511005" w:rsidRDefault="00AE57E7" w:rsidP="003F6A5D">
      <w:pPr>
        <w:numPr>
          <w:ilvl w:val="0"/>
          <w:numId w:val="730"/>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Пасінович, І., Гутак, В. Фінансова безпека як складова економічної та корпоративної безпеки: теоретичний аспект. 2023. </w:t>
      </w:r>
      <w:r w:rsidRPr="00511005">
        <w:rPr>
          <w:rFonts w:ascii="Arial" w:eastAsia="Calibri" w:hAnsi="Arial" w:cs="Arial"/>
          <w:i/>
          <w:szCs w:val="28"/>
          <w:lang w:val="uk-UA"/>
        </w:rPr>
        <w:lastRenderedPageBreak/>
        <w:t>Економіка та суспільство</w:t>
      </w:r>
      <w:r w:rsidRPr="00511005">
        <w:rPr>
          <w:rFonts w:ascii="Arial" w:eastAsia="Calibri" w:hAnsi="Arial" w:cs="Arial"/>
          <w:szCs w:val="28"/>
          <w:lang w:val="uk-UA"/>
        </w:rPr>
        <w:t>, (58). URL: https://doi.org/10.32782/2524-0072/2023-58-24</w:t>
      </w:r>
    </w:p>
    <w:p w14:paraId="332ACFA6" w14:textId="2C0CD677" w:rsidR="00AE57E7" w:rsidRPr="00511005" w:rsidRDefault="00AE57E7" w:rsidP="003F6A5D">
      <w:pPr>
        <w:numPr>
          <w:ilvl w:val="0"/>
          <w:numId w:val="730"/>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Вівчар О. І. Теоретичні аспекти безпекознавства в умовах підприємств (Фундаментальні загрози в системному соціогуманітарному просторі). </w:t>
      </w:r>
      <w:r w:rsidRPr="00511005">
        <w:rPr>
          <w:rFonts w:ascii="Arial" w:eastAsia="Calibri" w:hAnsi="Arial" w:cs="Arial"/>
          <w:i/>
          <w:szCs w:val="28"/>
          <w:lang w:val="uk-UA"/>
        </w:rPr>
        <w:t>Соціально-економічні проблеми і держава</w:t>
      </w:r>
      <w:r w:rsidRPr="00511005">
        <w:rPr>
          <w:rFonts w:ascii="Arial" w:eastAsia="Calibri" w:hAnsi="Arial" w:cs="Arial"/>
          <w:szCs w:val="28"/>
          <w:lang w:val="uk-UA"/>
        </w:rPr>
        <w:t>.</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2017.</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Вип. 1.</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 24-31.</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URL:</w:t>
      </w:r>
      <w:r w:rsidR="007B2628" w:rsidRPr="00511005">
        <w:rPr>
          <w:rFonts w:ascii="Arial" w:eastAsia="Calibri" w:hAnsi="Arial" w:cs="Arial"/>
          <w:szCs w:val="28"/>
          <w:lang w:val="uk-UA"/>
        </w:rPr>
        <w:t xml:space="preserve"> </w:t>
      </w:r>
      <w:hyperlink r:id="rId2501" w:history="1">
        <w:r w:rsidRPr="00511005">
          <w:rPr>
            <w:rFonts w:ascii="Arial" w:eastAsia="Calibri" w:hAnsi="Arial" w:cs="Arial"/>
            <w:szCs w:val="28"/>
            <w:lang w:val="uk-UA"/>
          </w:rPr>
          <w:t>http://nbuv.gov.ua/UJRN/Sepid_2017_1_5</w:t>
        </w:r>
      </w:hyperlink>
      <w:r w:rsidR="007B2628" w:rsidRPr="00511005">
        <w:rPr>
          <w:rFonts w:ascii="Arial" w:eastAsia="Calibri" w:hAnsi="Arial" w:cs="Arial"/>
          <w:szCs w:val="28"/>
          <w:lang w:val="uk-UA"/>
        </w:rPr>
        <w:t xml:space="preserve"> </w:t>
      </w:r>
    </w:p>
    <w:p w14:paraId="0C6CE548" w14:textId="705B024C" w:rsidR="00AE57E7" w:rsidRPr="00511005" w:rsidRDefault="00AE57E7" w:rsidP="003F6A5D">
      <w:pPr>
        <w:numPr>
          <w:ilvl w:val="0"/>
          <w:numId w:val="730"/>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Слободянюк О.В., Калмикова Н.Ю. Фінансова складова економічної безпеки розвитку суб’єктів господарювання. Наукові інновації та передові технології. (Серія «Управління та адміністрування», Серія «Право», Серія «Економіка», Серія «Психологія», Серія «Педагогіка») : журнал. 2023. № 13(27) 2023. С. 574-584. URL:</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http://perspectives.pp.ua/index.php/nauka/issue/view/188 </w:t>
      </w:r>
    </w:p>
    <w:p w14:paraId="48A4A3B1" w14:textId="77777777" w:rsidR="00AE57E7" w:rsidRPr="00511005" w:rsidRDefault="00AE57E7" w:rsidP="003F6A5D">
      <w:pPr>
        <w:numPr>
          <w:ilvl w:val="0"/>
          <w:numId w:val="730"/>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Партин Г. О., Папірник С. Є. Забезпечення фінансової стійкості підприємства за умов нестабільності середовища функціонування. Економіка підприємства та організація виробництва. 2022. № 3–4. С. 129–135.</w:t>
      </w:r>
    </w:p>
    <w:p w14:paraId="6F28A167" w14:textId="77777777" w:rsidR="00AE57E7" w:rsidRPr="00511005" w:rsidRDefault="00AE57E7" w:rsidP="003A292D">
      <w:pPr>
        <w:spacing w:line="264" w:lineRule="auto"/>
        <w:rPr>
          <w:rFonts w:ascii="Arial" w:eastAsia="Calibri" w:hAnsi="Arial" w:cs="Arial"/>
          <w:b/>
          <w:szCs w:val="28"/>
          <w:lang w:val="uk-UA"/>
        </w:rPr>
      </w:pPr>
    </w:p>
    <w:p w14:paraId="04C4E009" w14:textId="234E2A6D"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szCs w:val="28"/>
          <w:lang w:val="uk-UA"/>
        </w:rPr>
        <w:t>економічна безпека підприємства, діагностика безпеки, моніторинг ризиків, ефективне управління, економічні загрози, управління ризиками, фінансова стійкість.</w:t>
      </w:r>
    </w:p>
    <w:p w14:paraId="0FD3773D" w14:textId="41C5A345"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enterprise economic security</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security diagnostics</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risk monitoring</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effective management</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economic threats</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risk management</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financial stability</w:t>
      </w:r>
      <w:r w:rsidR="00AE57E7" w:rsidRPr="00511005">
        <w:rPr>
          <w:rFonts w:ascii="Arial" w:eastAsia="Calibri" w:hAnsi="Arial" w:cs="Arial"/>
          <w:szCs w:val="28"/>
          <w:lang w:val="uk-UA"/>
        </w:rPr>
        <w:t>.</w:t>
      </w:r>
    </w:p>
    <w:p w14:paraId="3E921AF4" w14:textId="702BC8C6" w:rsidR="00AE57E7" w:rsidRPr="00511005" w:rsidRDefault="007B2628" w:rsidP="003A292D">
      <w:pPr>
        <w:spacing w:line="264" w:lineRule="auto"/>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AE57E7" w:rsidRPr="00511005">
        <w:rPr>
          <w:rFonts w:ascii="Arial" w:eastAsia="Calibri" w:hAnsi="Arial" w:cs="Arial"/>
          <w:i/>
          <w:szCs w:val="28"/>
          <w:lang w:val="uk-UA"/>
        </w:rPr>
        <w:t>д.е.н., професор Слободянюк О.В.</w:t>
      </w:r>
    </w:p>
    <w:p w14:paraId="0620DA89" w14:textId="5F97EE2E" w:rsidR="00AE57E7" w:rsidRPr="00511005" w:rsidRDefault="00AE57E7" w:rsidP="003A292D">
      <w:pPr>
        <w:spacing w:line="264" w:lineRule="auto"/>
        <w:ind w:firstLine="0"/>
        <w:jc w:val="left"/>
        <w:rPr>
          <w:rFonts w:ascii="Arial" w:eastAsia="Calibri" w:hAnsi="Arial" w:cs="Arial"/>
          <w:i/>
          <w:szCs w:val="28"/>
          <w:lang w:val="uk-UA"/>
        </w:rPr>
      </w:pPr>
    </w:p>
    <w:p w14:paraId="356C6FB8" w14:textId="77777777" w:rsidR="00AE57E7" w:rsidRPr="00511005" w:rsidRDefault="00AE57E7" w:rsidP="003A292D">
      <w:pPr>
        <w:spacing w:line="264" w:lineRule="auto"/>
        <w:rPr>
          <w:rFonts w:ascii="Arial" w:eastAsia="Calibri" w:hAnsi="Arial" w:cs="Arial"/>
          <w:i/>
          <w:szCs w:val="28"/>
          <w:lang w:val="uk-UA"/>
        </w:rPr>
      </w:pPr>
    </w:p>
    <w:p w14:paraId="1C06B74B" w14:textId="77777777" w:rsidR="00AE57E7" w:rsidRPr="00511005" w:rsidRDefault="00AE57E7" w:rsidP="003A292D">
      <w:pPr>
        <w:widowControl w:val="0"/>
        <w:suppressAutoHyphens/>
        <w:spacing w:line="264" w:lineRule="auto"/>
        <w:ind w:firstLine="0"/>
        <w:jc w:val="center"/>
        <w:rPr>
          <w:rFonts w:ascii="Arial" w:eastAsia="Arial" w:hAnsi="Arial" w:cs="Arial"/>
          <w:b/>
          <w:i/>
          <w:kern w:val="2"/>
          <w:szCs w:val="28"/>
          <w:lang w:val="uk-UA" w:eastAsia="ar-SA"/>
        </w:rPr>
      </w:pPr>
      <w:r w:rsidRPr="00511005">
        <w:rPr>
          <w:rFonts w:ascii="Arial" w:eastAsia="Arial" w:hAnsi="Arial" w:cs="Arial"/>
          <w:b/>
          <w:i/>
          <w:kern w:val="2"/>
          <w:szCs w:val="28"/>
          <w:lang w:val="uk-UA" w:eastAsia="ar-SA"/>
        </w:rPr>
        <w:t>Россол Емілі Олександрівна</w:t>
      </w:r>
    </w:p>
    <w:p w14:paraId="11953E5B" w14:textId="77777777" w:rsidR="00146592" w:rsidRPr="00511005" w:rsidRDefault="00536AAB" w:rsidP="003A292D">
      <w:pPr>
        <w:widowControl w:val="0"/>
        <w:suppressAutoHyphens/>
        <w:spacing w:line="264" w:lineRule="auto"/>
        <w:ind w:firstLine="0"/>
        <w:jc w:val="center"/>
        <w:rPr>
          <w:rFonts w:ascii="Arial" w:eastAsia="Arial" w:hAnsi="Arial" w:cs="Arial"/>
          <w:kern w:val="2"/>
          <w:szCs w:val="28"/>
          <w:lang w:val="uk-UA" w:eastAsia="ar-SA"/>
        </w:rPr>
      </w:pPr>
      <w:r w:rsidRPr="00511005">
        <w:rPr>
          <w:rFonts w:ascii="Arial" w:eastAsia="Arial" w:hAnsi="Arial" w:cs="Arial"/>
          <w:kern w:val="2"/>
          <w:szCs w:val="28"/>
          <w:lang w:val="uk-UA" w:eastAsia="ar-SA"/>
        </w:rPr>
        <w:t>студентка 4-го курсу факультету адвокатури та антикорупційної діяльності</w:t>
      </w:r>
    </w:p>
    <w:p w14:paraId="0267EC87" w14:textId="5D5B45E5" w:rsidR="00AE57E7" w:rsidRPr="00511005" w:rsidRDefault="007B2628" w:rsidP="003A292D">
      <w:pPr>
        <w:widowControl w:val="0"/>
        <w:suppressAutoHyphens/>
        <w:spacing w:line="264" w:lineRule="auto"/>
        <w:ind w:firstLine="0"/>
        <w:jc w:val="center"/>
        <w:rPr>
          <w:rFonts w:ascii="Arial" w:eastAsia="Arial" w:hAnsi="Arial" w:cs="Arial"/>
          <w:kern w:val="2"/>
          <w:szCs w:val="28"/>
          <w:lang w:val="uk-UA" w:eastAsia="ar-SA"/>
        </w:rPr>
      </w:pPr>
      <w:r w:rsidRPr="00511005">
        <w:rPr>
          <w:rFonts w:ascii="Arial" w:eastAsia="Arial" w:hAnsi="Arial" w:cs="Arial"/>
          <w:kern w:val="2"/>
          <w:szCs w:val="28"/>
          <w:lang w:val="uk-UA" w:eastAsia="ar-SA"/>
        </w:rPr>
        <w:t>Національного університету «Одеська юридична академія»</w:t>
      </w:r>
    </w:p>
    <w:p w14:paraId="67E99B4E" w14:textId="77777777" w:rsidR="00AE57E7" w:rsidRPr="00511005" w:rsidRDefault="00AE57E7" w:rsidP="003A292D">
      <w:pPr>
        <w:spacing w:line="264" w:lineRule="auto"/>
        <w:ind w:firstLine="0"/>
        <w:jc w:val="center"/>
        <w:rPr>
          <w:rFonts w:ascii="Arial" w:eastAsia="Times New Roman" w:hAnsi="Arial" w:cs="Arial"/>
          <w:i/>
          <w:szCs w:val="28"/>
          <w:lang w:val="uk-UA"/>
        </w:rPr>
      </w:pPr>
    </w:p>
    <w:p w14:paraId="07F7FC3F" w14:textId="3B97B05A" w:rsidR="00AE57E7" w:rsidRPr="00511005" w:rsidRDefault="00AE57E7"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ВДОСКОНАЛЕННЯ СИСТЕМИ УПРАВЛІННЯ БРЕНДОМ У КОНТЕКСТІ ЦИФРОВОЇ ТРАНСФОРМАЦІЇ БІЗНЕСУ УКРАЇНИ</w:t>
      </w:r>
      <w:r w:rsidR="007B2628" w:rsidRPr="00511005">
        <w:rPr>
          <w:rFonts w:ascii="Arial" w:eastAsia="Times New Roman" w:hAnsi="Arial" w:cs="Arial"/>
          <w:b/>
          <w:szCs w:val="28"/>
          <w:lang w:val="uk-UA"/>
        </w:rPr>
        <w:t xml:space="preserve"> </w:t>
      </w:r>
      <w:r w:rsidRPr="00511005">
        <w:rPr>
          <w:rFonts w:ascii="Arial" w:eastAsia="Times New Roman" w:hAnsi="Arial" w:cs="Arial"/>
          <w:b/>
          <w:szCs w:val="28"/>
          <w:lang w:val="uk-UA"/>
        </w:rPr>
        <w:t>(НА ПРИКЛАДІ AJAX SYSTEMS)</w:t>
      </w:r>
    </w:p>
    <w:p w14:paraId="4F94BF7F"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У сучасну епоху цифрових технологій брендинг набув нового значення. З інструменту просування він перетворився на стратегічний ресурс, що визначає конкурентоспроможність підприємства. Перехід бізнесу в онлайн-простір кардинально змінив підхід до бренд-менеджменту: він тісно пов’язаний з аналітикою, персоналізацією взаємодії та побудовою довгострокових відносин зі споживачами.</w:t>
      </w:r>
    </w:p>
    <w:p w14:paraId="18835756"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У цифровому середовищі брендинг більше не обмежується візуальним сприйняттям. Він заснований на цінностях, які компанія забезпечує через свої продукти та комунікації [4]. Ключовими факторами успіху є швидкість </w:t>
      </w:r>
      <w:r w:rsidRPr="00511005">
        <w:rPr>
          <w:rFonts w:ascii="Arial" w:eastAsia="Times New Roman" w:hAnsi="Arial" w:cs="Arial"/>
          <w:szCs w:val="28"/>
          <w:lang w:val="uk-UA"/>
        </w:rPr>
        <w:lastRenderedPageBreak/>
        <w:t>реагування на зміни ринку, гнучкість у адаптації та здатність підтримувати емоційний зв'язок із клієнтами. Саме це забезпечує високу лояльність до бренду.</w:t>
      </w:r>
    </w:p>
    <w:p w14:paraId="01BA3CD0"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З цифровою трансформацією змінюється і сам інструментарій бренду. Традиційні канали комунікації, такі як телебачення чи друковані ЗМІ, втрачають свою актуальність і замінюються цифровими платформами. Соціальні мережі, мобільні додатки, електронна пошта та інтернет-магазини стали основними платформами для взаємодії зі споживачами. Це дає брендам можливість наблизитися до своєї аудиторії, отримати швидкий зворотний зв’язок і ефективно сегментувати цільові групи на основі поведінкових особливостей [5].</w:t>
      </w:r>
    </w:p>
    <w:p w14:paraId="60BB9E60"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Цифрові інструменти маркетингу, зокрема пошукова оптимізація (SEO), маркетинг у соціальних мережах (SMM), контент-маркетинг і таргетована реклама, слугують ефективними засобами персоналізації пропозицій та оперативного реагування на динамічні зміни в поведінці споживачів. Застосування аналітики великих даних у маркетингових стратегіях дає змогу суттєво підвищити їх ефективність за рахунок прийняття рішень на основі точного аналізу очікувань і поведінкових моделей клієнтів. Такий підхід дозволяє компаніям формувати цілісну клієнтоорієнтовану стратегію, ґрунтовану на емпіричних даних, що підвищує точність комунікацій і рівень задоволеності споживачів [9].</w:t>
      </w:r>
    </w:p>
    <w:p w14:paraId="18B7A62A"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У свою чергу, цифровий бренд-менеджмент трансформує класичні підходи до управління брендом, зосереджуючи увагу не лише на впізнаваності, а й на емоційному залученні споживачів. Соціальні мережі виступають потужним комунікаційним каналом, у межах якого споживачі виконують роль не лише одержувачів інформації, а й активних учасників взаємодії з брендом. Це зумовило формування нової парадигми бренд-менеджменту, де пріоритетними є автентичність, відкритість, гнучкість у реагуванні на зворотний зв'язок і здатність підтримувати безперервний діалог з цільовою аудиторією. Такий підхід сприяє формуванню емоційної цінності бренду та посиленню його конкурентних позицій у цифровому середовищі [6].</w:t>
      </w:r>
    </w:p>
    <w:p w14:paraId="586E6935"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Отже, сучасний бренд-менеджмент перебуває в тісному взаємозв’язку з процесами цифрової трансформації, утворюючи цілісну систему стратегічного управління брендом у цифрову епоху. Його функціонал значно перевищує межі традиційних маркетингових підходів, охоплюючи аналітику споживацької поведінки, впровадження інноваційних інструментів взаємодії, персоналізовану комунікацію та формування довгострокових взаємовигідних відносин зі споживачами. Комплексна стратегія цифрового бренд-менеджменту сприяє не лише досягненню фінансових показників, але й зміцненню ринкових позицій підприємства в умовах високої конкуренції та інформаційного перенасичення [1, 3].</w:t>
      </w:r>
    </w:p>
    <w:p w14:paraId="1EC6E8D4"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lastRenderedPageBreak/>
        <w:t xml:space="preserve">У контексті цифрової трансформації національного бізнесу компанія </w:t>
      </w:r>
      <w:r w:rsidRPr="00511005">
        <w:rPr>
          <w:rFonts w:ascii="Arial" w:eastAsia="Times New Roman" w:hAnsi="Arial" w:cs="Arial"/>
          <w:iCs/>
          <w:szCs w:val="28"/>
          <w:lang w:val="uk-UA"/>
        </w:rPr>
        <w:t>AJAX Systems</w:t>
      </w:r>
      <w:r w:rsidRPr="00511005">
        <w:rPr>
          <w:rFonts w:ascii="Arial" w:eastAsia="Times New Roman" w:hAnsi="Arial" w:cs="Arial"/>
          <w:szCs w:val="28"/>
          <w:lang w:val="uk-UA"/>
        </w:rPr>
        <w:t xml:space="preserve"> демонструє зразкову модель впровадження цифрових стратегій у систему управління брендом. Спеціалізуючись на виробництві інтелектуальних охоронних систем, компанія успішно інтегрує цифрові технології в усі ключові бізнес-процеси: розробку продукту, маркетинг, комунікації, аналітику та дистрибуцію. </w:t>
      </w:r>
    </w:p>
    <w:p w14:paraId="4FDEC6EF"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AJAX приділяє особливу увагу створенню бездротових технологій безпеки нового покоління, що вирізняються високою надійністю та зручністю використання. Завдяки інноваційному підходу компанія успішно конкурує як на українському, так і на світовому ринку. Попит на її продукцію постійно зростає, що свідчить про довіру до технологічної експертизи AJAX.</w:t>
      </w:r>
    </w:p>
    <w:p w14:paraId="3082A853"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Одним із чинників успіху є стратегія активного зростання через цифрові канали збуту. Платформи електронної комерції та інструменти цифрового маркетингу дають змогу охоплювати нові сегменти споживачів, оптимізувати маркетингові витрати та підтримувати постійний контакт із клієнтами. Це зміцнює позиції компанії на глобальному ринку, дозволяючи водночас знижувати витрати й нарощувати продажі.</w:t>
      </w:r>
    </w:p>
    <w:p w14:paraId="1F804867"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У динамічному цифровому середовищі AJAX Systems демонструє не лише стабільне зростання, а й високу фінансову ефективність: показник рентабельності інвестицій (ROI) на рівні 18,68% свідчить про результативне управління капіталом. Водночас рентабельність активів (ROFA – 28,73%), фондовіддача (5,49) та низький рівень фондомісткості (0,182) вказують на ефективне використання матеріальних ресурсів. Проте негативне значення рентабельності маркетингових інвестицій (ROMI – –47,7%) та відносно невисокий рівень рентабельності продажів (ROS – 5,23%) свідчать про наявні резерви для оптимізації маркетингової діяльності [8]. У цьому контексті потребують перегляду цифрові комунікаційні стратегії, особливо на внутрішньому ринку. Прикладом ефективної бренд-комунікації стала кампанія за участі Андрія Шевченка, яка забезпечила зростання впізнаваності бренду на 60%, підтверджуючи значний потенціал персоналізованого таргетингу [7].</w:t>
      </w:r>
    </w:p>
    <w:p w14:paraId="17665F80"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З метою забезпечення сталого розвитку систем AJAX рекомендується реалізувати низку стратегічних ініціатив, спрямованих на підвищення ефективності бізнес-процесів і зміцнення позицій на ринку.</w:t>
      </w:r>
    </w:p>
    <w:p w14:paraId="4D6A814C"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Перше, на чому варто зосередитися, це оптимізація маркетингових витрат на основі даних. Це дозволяє не тільки розумно розподілити бюджет, але й зменшити витрати, уникнути неефективних інвестицій і підвищити ефективність рекламних кампаній завдяки точному націлюванню та аналізу.</w:t>
      </w:r>
    </w:p>
    <w:p w14:paraId="09EF2B9C"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Важливою складовою також є автоматизація внутрішніх процесів, що допоможе підвищити продуктивність, зменшити вплив людського фактору та знизити експлуатаційні витрати. В результаті компанії зможуть працювати швидше, точніше і з меншими втратами ресурсів.</w:t>
      </w:r>
    </w:p>
    <w:p w14:paraId="3768C1D6"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lastRenderedPageBreak/>
        <w:t>Інвестиції в інноваційні технології мають бути одним із пріоритетів. Останні розробки дозволять нам збільшити нашу конкурентну перевагу, швидко адаптуватися до змін ринку та підтримувати високі стандарти якості продукції та послуг [6].</w:t>
      </w:r>
    </w:p>
    <w:p w14:paraId="48E0F121"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Ще одним важливим напрямом є модернізація основних фондів, що дозволить більш ефективно використовувати виробничі потужності, зменшити зношеність обладнання та забезпечити сталість технічного розвитку.</w:t>
      </w:r>
    </w:p>
    <w:p w14:paraId="788F5647"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Окрім цього, розширення міжнародної присутності дасть змогу знизити залежність від локальних ринків, зміцнити глобальні позиції компанії й забезпечити стабільність прибутків навіть в умовах економічної турбулентності.</w:t>
      </w:r>
    </w:p>
    <w:p w14:paraId="2DEDD316"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Реалізація запропонованих стратегічних кроків дозволить AJAX Systems не тільки зберегти своє цифрове лідерство в сфері безпеки, але й зміцнити свої позиції як інноваційної компанії світового рівня. </w:t>
      </w:r>
    </w:p>
    <w:p w14:paraId="17C7BF0C"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На прикладі AJAX Systems можна зробити висновок, що ефективне управління брендом у цифрову епоху вимагає системного впровадження цифрових стратегій на всіх рівнях управління. Збалансоване поєднання технологічних інновацій, грамотного управління ресурсами та гнучкої адаптації до змін споживчих очікувань є визначальними чинниками стійкого розвитку бренду як на внутрішньому, так і на глобальному ринку.</w:t>
      </w:r>
    </w:p>
    <w:p w14:paraId="64F8F0D8" w14:textId="77777777" w:rsidR="00AE57E7" w:rsidRPr="00511005" w:rsidRDefault="00AE57E7" w:rsidP="003A292D">
      <w:pPr>
        <w:spacing w:line="264" w:lineRule="auto"/>
        <w:jc w:val="center"/>
        <w:rPr>
          <w:rFonts w:ascii="Arial" w:eastAsia="Times New Roman" w:hAnsi="Arial" w:cs="Arial"/>
          <w:b/>
          <w:bCs/>
          <w:szCs w:val="28"/>
          <w:lang w:val="uk-UA"/>
        </w:rPr>
      </w:pPr>
    </w:p>
    <w:p w14:paraId="3D3C853B" w14:textId="351E54A9" w:rsidR="00AE57E7"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55CFFE73" w14:textId="77777777" w:rsidR="00AE57E7" w:rsidRPr="00511005" w:rsidRDefault="00AE57E7" w:rsidP="003F6A5D">
      <w:pPr>
        <w:numPr>
          <w:ilvl w:val="0"/>
          <w:numId w:val="734"/>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Зуб П., Калач Г. Цифровізація бізнес-процесів промислових підприємств. URL: </w:t>
      </w:r>
      <w:hyperlink r:id="rId2502" w:history="1">
        <w:r w:rsidRPr="00511005">
          <w:rPr>
            <w:rFonts w:ascii="Arial" w:eastAsia="Times New Roman" w:hAnsi="Arial" w:cs="Arial"/>
            <w:szCs w:val="28"/>
            <w:lang w:val="uk-UA"/>
          </w:rPr>
          <w:t>https://prostir.pdaba.dp.ua/index.php/journal/article/view/1558</w:t>
        </w:r>
      </w:hyperlink>
      <w:r w:rsidRPr="00511005">
        <w:rPr>
          <w:rFonts w:ascii="Arial" w:eastAsia="Times New Roman" w:hAnsi="Arial" w:cs="Arial"/>
          <w:szCs w:val="28"/>
          <w:lang w:val="uk-UA"/>
        </w:rPr>
        <w:t xml:space="preserve"> </w:t>
      </w:r>
    </w:p>
    <w:p w14:paraId="27616FB3" w14:textId="77777777" w:rsidR="00AE57E7" w:rsidRPr="00511005" w:rsidRDefault="00AE57E7" w:rsidP="003F6A5D">
      <w:pPr>
        <w:numPr>
          <w:ilvl w:val="0"/>
          <w:numId w:val="734"/>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shd w:val="clear" w:color="auto" w:fill="FFFFFF"/>
          <w:lang w:val="uk-UA"/>
        </w:rPr>
        <w:t>Лазебник Л.Л., Войтенко В.О. Інформаційна інфраструктура в цифровізації бізнес-процесів підприємства. Науковий вісник Міжнародного гуманітарного університету. 2020. Випуск 42. С. 18–22. </w:t>
      </w:r>
    </w:p>
    <w:p w14:paraId="6006EB69" w14:textId="77777777" w:rsidR="00AE57E7" w:rsidRPr="00511005" w:rsidRDefault="00AE57E7" w:rsidP="003F6A5D">
      <w:pPr>
        <w:numPr>
          <w:ilvl w:val="0"/>
          <w:numId w:val="734"/>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shd w:val="clear" w:color="auto" w:fill="FFFFFF"/>
          <w:lang w:val="uk-UA"/>
        </w:rPr>
        <w:t>Калач Г.М. Моделі оцінки бренду в умовах цифровізації бізнесу. Підприємництво і торгівля : збірник наукових праць. 2020. Вип. 27. С. 26–30.</w:t>
      </w:r>
      <w:r w:rsidRPr="00511005">
        <w:rPr>
          <w:rFonts w:ascii="Arial" w:eastAsia="Times New Roman" w:hAnsi="Arial" w:cs="Arial"/>
          <w:szCs w:val="28"/>
          <w:lang w:val="uk-UA"/>
        </w:rPr>
        <w:t xml:space="preserve"> </w:t>
      </w:r>
    </w:p>
    <w:p w14:paraId="0481FCA1" w14:textId="77777777" w:rsidR="00AE57E7" w:rsidRPr="00511005" w:rsidRDefault="00AE57E7" w:rsidP="003F6A5D">
      <w:pPr>
        <w:numPr>
          <w:ilvl w:val="0"/>
          <w:numId w:val="734"/>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Ребуха Л.З. Інноваційні технології навчання в умовах модернізації сучасної освіти. Тернопіль, 2022. URL: </w:t>
      </w:r>
      <w:hyperlink r:id="rId2503" w:history="1">
        <w:r w:rsidRPr="00511005">
          <w:rPr>
            <w:rFonts w:ascii="Arial" w:eastAsia="Times New Roman" w:hAnsi="Arial" w:cs="Arial"/>
            <w:szCs w:val="28"/>
            <w:lang w:val="uk-UA"/>
          </w:rPr>
          <w:t>http://dspace.wunu.edu.ua/bitstream/316497/48105/3/монографія_Інноваційні%20технології%20навчання%20в%20умовах%20модернізації%20сучасної%20освіти.pdf</w:t>
        </w:r>
      </w:hyperlink>
      <w:r w:rsidRPr="00511005">
        <w:rPr>
          <w:rFonts w:ascii="Arial" w:eastAsia="Times New Roman" w:hAnsi="Arial" w:cs="Arial"/>
          <w:szCs w:val="28"/>
          <w:lang w:val="uk-UA"/>
        </w:rPr>
        <w:t xml:space="preserve"> </w:t>
      </w:r>
    </w:p>
    <w:p w14:paraId="09C56C08" w14:textId="6E541F27" w:rsidR="00AE57E7" w:rsidRPr="00511005" w:rsidRDefault="00AE57E7" w:rsidP="003F6A5D">
      <w:pPr>
        <w:numPr>
          <w:ilvl w:val="0"/>
          <w:numId w:val="734"/>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Романов О.І. Цифрова трансформація бізнесу: виклики та можливості // Економіка та суспільство.</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2022.</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№39.</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С. 52–57.</w:t>
      </w:r>
    </w:p>
    <w:p w14:paraId="75CE2394" w14:textId="77777777" w:rsidR="00AE57E7" w:rsidRPr="00511005" w:rsidRDefault="00AE57E7" w:rsidP="003F6A5D">
      <w:pPr>
        <w:numPr>
          <w:ilvl w:val="0"/>
          <w:numId w:val="734"/>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Gupta R.K., Sahay A. Linking Technological Innovation, Technology Strategy and Organizational Factors: A Review. URL: </w:t>
      </w:r>
      <w:hyperlink r:id="rId2504" w:history="1">
        <w:r w:rsidRPr="00511005">
          <w:rPr>
            <w:rFonts w:ascii="Arial" w:eastAsia="Times New Roman" w:hAnsi="Arial" w:cs="Arial"/>
            <w:szCs w:val="28"/>
            <w:lang w:val="uk-UA"/>
          </w:rPr>
          <w:t>https://citeseerx.ist.psu.edu/document?repid=rep1&amp;type=pdf&amp;doi=69c20e378035944ffb34c922e37ab17304d7787b</w:t>
        </w:r>
      </w:hyperlink>
      <w:r w:rsidRPr="00511005">
        <w:rPr>
          <w:rFonts w:ascii="Arial" w:eastAsia="Times New Roman" w:hAnsi="Arial" w:cs="Arial"/>
          <w:szCs w:val="28"/>
          <w:lang w:val="uk-UA"/>
        </w:rPr>
        <w:t xml:space="preserve"> </w:t>
      </w:r>
    </w:p>
    <w:p w14:paraId="0037D935" w14:textId="77777777" w:rsidR="00AE57E7" w:rsidRPr="00511005" w:rsidRDefault="00AE57E7" w:rsidP="003F6A5D">
      <w:pPr>
        <w:numPr>
          <w:ilvl w:val="0"/>
          <w:numId w:val="734"/>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Hi-Tech.ua. Ajax Systems за 2022 рік: 8 млрд грн виторгу, 180 країн експорту. URL: </w:t>
      </w:r>
      <w:hyperlink r:id="rId2505" w:history="1">
        <w:r w:rsidRPr="00511005">
          <w:rPr>
            <w:rFonts w:ascii="Arial" w:eastAsia="Times New Roman" w:hAnsi="Arial" w:cs="Arial"/>
            <w:szCs w:val="28"/>
            <w:lang w:val="uk-UA"/>
          </w:rPr>
          <w:t>https://hi-tech.ua/ajax-systems-2022-180-countries</w:t>
        </w:r>
      </w:hyperlink>
      <w:r w:rsidRPr="00511005">
        <w:rPr>
          <w:rFonts w:ascii="Arial" w:eastAsia="Times New Roman" w:hAnsi="Arial" w:cs="Arial"/>
          <w:szCs w:val="28"/>
          <w:lang w:val="uk-UA"/>
        </w:rPr>
        <w:t xml:space="preserve"> </w:t>
      </w:r>
    </w:p>
    <w:p w14:paraId="79948437" w14:textId="77777777" w:rsidR="00AE57E7" w:rsidRPr="00511005" w:rsidRDefault="00AE57E7" w:rsidP="003F6A5D">
      <w:pPr>
        <w:numPr>
          <w:ilvl w:val="0"/>
          <w:numId w:val="734"/>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iCs/>
          <w:szCs w:val="28"/>
          <w:lang w:val="uk-UA"/>
        </w:rPr>
        <w:t>AJAX Systems.</w:t>
      </w:r>
      <w:r w:rsidRPr="00511005">
        <w:rPr>
          <w:rFonts w:ascii="Arial" w:eastAsia="Times New Roman" w:hAnsi="Arial" w:cs="Arial"/>
          <w:szCs w:val="28"/>
          <w:lang w:val="uk-UA"/>
        </w:rPr>
        <w:t xml:space="preserve"> Opendatabot. URL: </w:t>
      </w:r>
      <w:hyperlink r:id="rId2506" w:history="1">
        <w:r w:rsidRPr="00511005">
          <w:rPr>
            <w:rFonts w:ascii="Arial" w:eastAsia="Times New Roman" w:hAnsi="Arial" w:cs="Arial"/>
            <w:szCs w:val="28"/>
            <w:lang w:val="uk-UA"/>
          </w:rPr>
          <w:t>https://opendatabot.ua</w:t>
        </w:r>
      </w:hyperlink>
      <w:r w:rsidRPr="00511005">
        <w:rPr>
          <w:rFonts w:ascii="Arial" w:eastAsia="Times New Roman" w:hAnsi="Arial" w:cs="Arial"/>
          <w:szCs w:val="28"/>
          <w:lang w:val="uk-UA"/>
        </w:rPr>
        <w:t xml:space="preserve"> </w:t>
      </w:r>
    </w:p>
    <w:p w14:paraId="51A13A80" w14:textId="77777777" w:rsidR="00AE57E7" w:rsidRPr="00511005" w:rsidRDefault="00AE57E7" w:rsidP="003F6A5D">
      <w:pPr>
        <w:numPr>
          <w:ilvl w:val="0"/>
          <w:numId w:val="734"/>
        </w:numPr>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Strategies for Small Business Digital Transformation 2025. URL: </w:t>
      </w:r>
      <w:hyperlink r:id="rId2507" w:history="1">
        <w:r w:rsidRPr="00511005">
          <w:rPr>
            <w:rFonts w:ascii="Arial" w:eastAsia="Times New Roman" w:hAnsi="Arial" w:cs="Arial"/>
            <w:szCs w:val="28"/>
            <w:lang w:val="uk-UA"/>
          </w:rPr>
          <w:t>https://www.infotechbrains.com/strategies-for-small-business-digital-transformation-2025/</w:t>
        </w:r>
      </w:hyperlink>
      <w:r w:rsidRPr="00511005">
        <w:rPr>
          <w:rFonts w:ascii="Arial" w:eastAsia="Times New Roman" w:hAnsi="Arial" w:cs="Arial"/>
          <w:szCs w:val="28"/>
          <w:lang w:val="uk-UA"/>
        </w:rPr>
        <w:t xml:space="preserve"> </w:t>
      </w:r>
    </w:p>
    <w:p w14:paraId="314E26C7" w14:textId="09FF0ACC" w:rsidR="00AE57E7" w:rsidRPr="00511005" w:rsidRDefault="007B2628" w:rsidP="003A292D">
      <w:pPr>
        <w:spacing w:line="264" w:lineRule="auto"/>
        <w:jc w:val="left"/>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AE57E7" w:rsidRPr="00511005">
        <w:rPr>
          <w:rFonts w:ascii="Arial" w:eastAsia="Times New Roman" w:hAnsi="Arial" w:cs="Arial"/>
          <w:szCs w:val="28"/>
          <w:lang w:val="uk-UA"/>
        </w:rPr>
        <w:t>управління брендом, бренд-менеджмент, цифрова трансформація, цифровий маркетинг, інноваційні технології, аналітика даних.</w:t>
      </w:r>
    </w:p>
    <w:p w14:paraId="1E3277D0" w14:textId="0E4000F5" w:rsidR="00AE57E7" w:rsidRPr="00511005" w:rsidRDefault="007B2628" w:rsidP="003A292D">
      <w:pPr>
        <w:spacing w:line="264" w:lineRule="auto"/>
        <w:jc w:val="left"/>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AE57E7" w:rsidRPr="00511005">
        <w:rPr>
          <w:rFonts w:ascii="Arial" w:eastAsia="Times New Roman" w:hAnsi="Arial" w:cs="Arial"/>
          <w:szCs w:val="28"/>
          <w:lang w:val="uk-UA"/>
        </w:rPr>
        <w:t>brand management, brand strategy, digital transformation, digital marketing, innovative technologies, data analytics.</w:t>
      </w:r>
    </w:p>
    <w:p w14:paraId="112B2009" w14:textId="67EF5E77" w:rsidR="00AE57E7" w:rsidRPr="00511005" w:rsidRDefault="007B2628" w:rsidP="003A292D">
      <w:pPr>
        <w:spacing w:line="264" w:lineRule="auto"/>
        <w:jc w:val="left"/>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AE57E7" w:rsidRPr="00511005">
        <w:rPr>
          <w:rFonts w:ascii="Arial" w:eastAsia="Times New Roman" w:hAnsi="Arial" w:cs="Arial"/>
          <w:szCs w:val="28"/>
          <w:shd w:val="clear" w:color="auto" w:fill="FFFFFF"/>
          <w:lang w:val="uk-UA"/>
        </w:rPr>
        <w:t xml:space="preserve">к.е.н., </w:t>
      </w:r>
      <w:r w:rsidR="00AE57E7" w:rsidRPr="00511005">
        <w:rPr>
          <w:rFonts w:ascii="Arial" w:eastAsia="Times New Roman" w:hAnsi="Arial" w:cs="Arial"/>
          <w:i/>
          <w:iCs/>
          <w:szCs w:val="28"/>
          <w:lang w:val="uk-UA"/>
        </w:rPr>
        <w:t>доцент Редіна Є.В.</w:t>
      </w:r>
    </w:p>
    <w:p w14:paraId="3E78B8F6" w14:textId="77777777" w:rsidR="00AE57E7" w:rsidRPr="00511005" w:rsidRDefault="00AE57E7" w:rsidP="003A292D">
      <w:pPr>
        <w:spacing w:line="264" w:lineRule="auto"/>
        <w:jc w:val="center"/>
        <w:rPr>
          <w:rFonts w:ascii="Arial" w:eastAsia="Calibri" w:hAnsi="Arial" w:cs="Arial"/>
          <w:b/>
          <w:i/>
          <w:szCs w:val="28"/>
          <w:lang w:val="uk-UA"/>
        </w:rPr>
      </w:pPr>
    </w:p>
    <w:p w14:paraId="385C77FB" w14:textId="629955E4" w:rsidR="00AE57E7" w:rsidRPr="00511005" w:rsidRDefault="00AE57E7" w:rsidP="003A292D">
      <w:pPr>
        <w:spacing w:line="264" w:lineRule="auto"/>
        <w:ind w:firstLine="0"/>
        <w:jc w:val="left"/>
        <w:rPr>
          <w:rFonts w:ascii="Arial" w:eastAsia="Calibri" w:hAnsi="Arial" w:cs="Arial"/>
          <w:b/>
          <w:i/>
          <w:szCs w:val="28"/>
          <w:lang w:val="uk-UA"/>
        </w:rPr>
      </w:pPr>
    </w:p>
    <w:p w14:paraId="4E739E04" w14:textId="77777777" w:rsidR="00AE57E7" w:rsidRPr="00511005" w:rsidRDefault="00AE57E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Тараненко Валерія Сергіївна</w:t>
      </w:r>
    </w:p>
    <w:p w14:paraId="4481E462" w14:textId="6E51E73A" w:rsidR="00AE57E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студентка 4-го курсу факультету адвокатури та антикорупційної діяльності</w:t>
      </w:r>
    </w:p>
    <w:p w14:paraId="462350C7" w14:textId="13E73CBF" w:rsidR="00AE57E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3DEBF94" w14:textId="77777777" w:rsidR="00AE57E7" w:rsidRPr="00511005" w:rsidRDefault="00AE57E7" w:rsidP="003A292D">
      <w:pPr>
        <w:spacing w:line="264" w:lineRule="auto"/>
        <w:ind w:firstLine="0"/>
        <w:rPr>
          <w:rFonts w:ascii="Arial" w:eastAsia="Calibri" w:hAnsi="Arial" w:cs="Arial"/>
          <w:szCs w:val="28"/>
          <w:lang w:val="uk-UA"/>
        </w:rPr>
      </w:pPr>
    </w:p>
    <w:p w14:paraId="23687014" w14:textId="77777777" w:rsidR="00AE57E7" w:rsidRPr="00511005" w:rsidRDefault="00AE57E7" w:rsidP="003A292D">
      <w:pPr>
        <w:spacing w:line="264" w:lineRule="auto"/>
        <w:ind w:firstLine="0"/>
        <w:jc w:val="center"/>
        <w:rPr>
          <w:rFonts w:ascii="Arial" w:eastAsia="Calibri" w:hAnsi="Arial" w:cs="Arial"/>
          <w:b/>
          <w:bCs/>
          <w:szCs w:val="28"/>
          <w:lang w:val="uk-UA"/>
        </w:rPr>
      </w:pPr>
      <w:r w:rsidRPr="00511005">
        <w:rPr>
          <w:rFonts w:ascii="Arial" w:eastAsia="Calibri" w:hAnsi="Arial" w:cs="Arial"/>
          <w:b/>
          <w:bCs/>
          <w:szCs w:val="28"/>
          <w:lang w:val="uk-UA"/>
        </w:rPr>
        <w:t>СТРАТЕГІЧНІ ІНСТРУМЕНТИ УПРАВЛІННЯ ВПРОВАДЖЕННЯ ВІДПОВІДАЛЬНОГО ІНВЕСТУВАННЯ В БІЗНЕСІ</w:t>
      </w:r>
    </w:p>
    <w:p w14:paraId="78A06489"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У сучасних умовах відповідальності бізнесу перед суспільством концепція відповідального інвестування стає стратегічною необхідністю для підприємств. Відповідальне інвестування передбачає інтеграцію екологічних, соціальних та управлінських (ESG) факторів у процес прийняття інвестиційних рішень з метою ефективного управління ризиками та забезпечення довгострокової стійкості бізнесу [1].</w:t>
      </w:r>
    </w:p>
    <w:p w14:paraId="3C3DE198"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Різні галузі економіки мають свою специфіку впровадження ESG-критеріїв у інвестиційні процеси. Для виробничих підприємств пріоритетними є інструменти оцінки та мінімізації екологічного впливу, впровадження енергоефективних технологій та циркулярних бізнес-моделей. Фінансовий сектор зосереджується на розробці спеціалізованих фінансових продуктів (зелені облігації, ESG-фонди), а також на впровадженні відповідальних кредитних політик. ІТ-компанії акцентують увагу на питаннях захисту даних, етичному використанні штучного інтелекту та соціальній інклюзивності цифрових продуктів. Аграрний сектор фокусується на сталих практиках землекористування, збереженні біорізноманіття та водних ресурсів. Врахування галузевої специфіки дозволяє розробити максимально ефективні інструменти управління відповідальними інвестиціями, що відповідають реальним потребам конкретного бізнесу [2].</w:t>
      </w:r>
    </w:p>
    <w:p w14:paraId="2D044795"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Концепція відповідального інвестування поєднує досягнення фінансових результатів із забезпеченням позитивного впливу на суспільство та довкілля. Інтеграція ESG-факторів у інвестиційний аналіз і процес прийняття рішень, активна власність через взаємодію з компаніями-об’єктами інвестування, прозорість та звітування щодо ESG-показників, просування відповідальних практик серед учасників інвестиційного середовища формують сучасний стандарт діяльності підприємств. Еволюція підходів до відповідального інвестування свідчить про перехід від простого виключення окремих секторів до комплексного впровадження ESG-методик на всіх рівнях управління.</w:t>
      </w:r>
    </w:p>
    <w:p w14:paraId="183ADDEC"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Впровадження відповідального інвестування вимагає використання спеціалізованих стратегічних інструментів управління. Першочергового значення набувають інструменти стратегічного планування, що включають розробку ESG-стратегії як частини загальної стратегії розвитку компанії, формування інвестиційної політики з урахуванням ESG-критеріїв та довгострокове планування з прогнозуванням кліматичних і соціальних ризиків. </w:t>
      </w:r>
    </w:p>
    <w:p w14:paraId="25606274"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Інструменти організаційного забезпечення передбачають створення підрозділів з відповідального інвестування, розподіл відповідальності за ESG-ініціативи, розбудову корпоративної культури, орієнтованої на сталість, інтегрування ESG-пріоритетів у фінансове управління через бюджетування, ризик-менеджмент та оцінку ефективності інвестиційних рішень із урахуванням нефінансових показників. Системний моніторинг досягнення ESG-цілей і підготовка нефінансової звітності відповідно до міжнародних стандартів (GRI, SASB, TCFD) створюють підґрунтя для об’єктивної оцінки результатів відповідального інвестування [3].</w:t>
      </w:r>
    </w:p>
    <w:p w14:paraId="7DADCD0F"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На практиці процес впровадження відповідального інвестування проходить кілька етапів: діагностичний, стратегічний, операційний та контрольний. Кожен етап має свою специфіку та інструментарій, що дозволяє враховувати галузеву специфіку, розмір бізнесу та очікування стейкхолдерів. </w:t>
      </w:r>
    </w:p>
    <w:p w14:paraId="0FA0BF40"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Виклики, що виникають на шляху реалізації відповідального інвестування, включають складність оцінки нефінансових результатів, необхідність балансування між фінансовими і ESG-цілями, додаткові витрати на впровадження, а також відсутність уніфікованих стандартів оцінки ESG-факторів. Разом із тим перспективи відповідального інвестування обіцяють підвищення конкурентоспроможності бізнесу, розширення доступу до "зеленого" фінансування, зменшення репутаційних ризиків і зміцнення лояльності споживачів та інвесторів </w:t>
      </w:r>
      <w:r w:rsidRPr="00511005">
        <w:rPr>
          <w:rFonts w:ascii="Arial" w:eastAsia="Calibri" w:hAnsi="Arial" w:cs="Arial"/>
          <w:szCs w:val="28"/>
          <w:shd w:val="clear" w:color="auto" w:fill="FFFFFF"/>
          <w:lang w:val="uk-UA"/>
        </w:rPr>
        <w:t>[4].</w:t>
      </w:r>
    </w:p>
    <w:p w14:paraId="24D5A509"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Таким чином впровадження стратегічних інструментів управління відповідальним інвестуванням дозволяє бізнесу не тільки відповідати на актуальні суспільні виклики, а й отримувати реальні конкурентні переваги в </w:t>
      </w:r>
      <w:r w:rsidRPr="00511005">
        <w:rPr>
          <w:rFonts w:ascii="Arial" w:eastAsia="Calibri" w:hAnsi="Arial" w:cs="Arial"/>
          <w:szCs w:val="28"/>
          <w:lang w:val="uk-UA"/>
        </w:rPr>
        <w:lastRenderedPageBreak/>
        <w:t>умовах економічного середовища. Комплексний підхід до інтеграції ESG-принципів у всі етапи інвестиційної діяльності стає основою довгострокової стабільності та сталого розвитку підприємств.</w:t>
      </w:r>
    </w:p>
    <w:p w14:paraId="3329193F" w14:textId="77777777" w:rsidR="00AE57E7" w:rsidRPr="00511005" w:rsidRDefault="00AE57E7" w:rsidP="003A292D">
      <w:pPr>
        <w:spacing w:line="264" w:lineRule="auto"/>
        <w:rPr>
          <w:rFonts w:ascii="Arial" w:eastAsia="Calibri" w:hAnsi="Arial" w:cs="Arial"/>
          <w:szCs w:val="28"/>
          <w:lang w:val="uk-UA"/>
        </w:rPr>
      </w:pPr>
    </w:p>
    <w:p w14:paraId="4ABA4A98" w14:textId="64627FE7" w:rsidR="00AE57E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67CC98B6" w14:textId="7E33012E" w:rsidR="00AE57E7" w:rsidRPr="00511005" w:rsidRDefault="00AE57E7" w:rsidP="003F6A5D">
      <w:pPr>
        <w:numPr>
          <w:ilvl w:val="0"/>
          <w:numId w:val="731"/>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Васильчук І.П. Теоретико-методологічні засади й еволюція концепції соціально відповідального інвестування. </w:t>
      </w:r>
      <w:r w:rsidRPr="00511005">
        <w:rPr>
          <w:rFonts w:ascii="Arial" w:eastAsia="Calibri" w:hAnsi="Arial" w:cs="Arial"/>
          <w:i/>
          <w:szCs w:val="28"/>
          <w:lang w:val="uk-UA"/>
        </w:rPr>
        <w:t>Бізнес Інформ</w:t>
      </w:r>
      <w:r w:rsidRPr="00511005">
        <w:rPr>
          <w:rFonts w:ascii="Arial" w:eastAsia="Calibri" w:hAnsi="Arial" w:cs="Arial"/>
          <w:szCs w:val="28"/>
          <w:lang w:val="uk-UA"/>
        </w:rPr>
        <w:t>.</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2015.</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1.</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С. 21-28.</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URL:</w:t>
      </w:r>
      <w:r w:rsidR="007B2628" w:rsidRPr="00511005">
        <w:rPr>
          <w:rFonts w:ascii="Arial" w:eastAsia="Calibri" w:hAnsi="Arial" w:cs="Arial"/>
          <w:szCs w:val="28"/>
          <w:lang w:val="uk-UA"/>
        </w:rPr>
        <w:t xml:space="preserve"> </w:t>
      </w:r>
      <w:hyperlink r:id="rId2508" w:history="1">
        <w:r w:rsidRPr="00511005">
          <w:rPr>
            <w:rFonts w:ascii="Arial" w:eastAsia="Calibri" w:hAnsi="Arial" w:cs="Arial"/>
            <w:szCs w:val="28"/>
            <w:lang w:val="uk-UA"/>
          </w:rPr>
          <w:t>http://nbuv.gov.ua/UJRN/binf_2015_1_4</w:t>
        </w:r>
      </w:hyperlink>
      <w:r w:rsidRPr="00511005">
        <w:rPr>
          <w:rFonts w:ascii="Arial" w:eastAsia="Calibri" w:hAnsi="Arial" w:cs="Arial"/>
          <w:szCs w:val="28"/>
          <w:lang w:val="uk-UA"/>
        </w:rPr>
        <w:t xml:space="preserve"> </w:t>
      </w:r>
    </w:p>
    <w:p w14:paraId="2F0B62BF" w14:textId="77777777" w:rsidR="00AE57E7" w:rsidRPr="00511005" w:rsidRDefault="00AE57E7" w:rsidP="003F6A5D">
      <w:pPr>
        <w:numPr>
          <w:ilvl w:val="0"/>
          <w:numId w:val="731"/>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Воронцова А. С., Єльнікова Ю. В., Рудиченко А.Г. Структурно-функціональний підхід до ідентифікації відповідального інвестування. </w:t>
      </w:r>
      <w:r w:rsidRPr="00511005">
        <w:rPr>
          <w:rFonts w:ascii="Arial" w:eastAsia="Calibri" w:hAnsi="Arial" w:cs="Arial"/>
          <w:i/>
          <w:szCs w:val="28"/>
          <w:lang w:val="uk-UA"/>
        </w:rPr>
        <w:t>Вісник СумДУ. Серія «Економіка</w:t>
      </w:r>
      <w:r w:rsidRPr="00511005">
        <w:rPr>
          <w:rFonts w:ascii="Arial" w:eastAsia="Calibri" w:hAnsi="Arial" w:cs="Arial"/>
          <w:szCs w:val="28"/>
          <w:lang w:val="uk-UA"/>
        </w:rPr>
        <w:t>». 2021. № 1. С. 36-42.</w:t>
      </w:r>
    </w:p>
    <w:p w14:paraId="62D8110D" w14:textId="63C80BC8" w:rsidR="00AE57E7" w:rsidRPr="00511005" w:rsidRDefault="00AE57E7" w:rsidP="003F6A5D">
      <w:pPr>
        <w:numPr>
          <w:ilvl w:val="0"/>
          <w:numId w:val="731"/>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Шевердін</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О. Теоретичні концепції та моделі соціально відповідального інвестування. </w:t>
      </w:r>
      <w:r w:rsidRPr="00511005">
        <w:rPr>
          <w:rFonts w:ascii="Arial" w:eastAsia="Calibri" w:hAnsi="Arial" w:cs="Arial"/>
          <w:i/>
          <w:szCs w:val="28"/>
          <w:lang w:val="uk-UA"/>
        </w:rPr>
        <w:t>Економіка і організація управління</w:t>
      </w:r>
      <w:r w:rsidRPr="00511005">
        <w:rPr>
          <w:rFonts w:ascii="Arial" w:eastAsia="Calibri" w:hAnsi="Arial" w:cs="Arial"/>
          <w:szCs w:val="28"/>
          <w:lang w:val="uk-UA"/>
        </w:rPr>
        <w:t>. (Вер 2024), 182-190. URL:</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DOI:https://doi.org/10.31558/2307-2318.2024.2.17.</w:t>
      </w:r>
    </w:p>
    <w:p w14:paraId="16130D7F" w14:textId="77B60A50" w:rsidR="00AE57E7" w:rsidRPr="00511005" w:rsidRDefault="00AE57E7" w:rsidP="003F6A5D">
      <w:pPr>
        <w:numPr>
          <w:ilvl w:val="0"/>
          <w:numId w:val="731"/>
        </w:numPr>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Слободянюк О.В., Примаченко І.Ф., Кузнецова Л.В. Сучасні підходи в управлінні інвестиціями: від традиційного бізнесу до ІТ-сфери. </w:t>
      </w:r>
      <w:r w:rsidRPr="00511005">
        <w:rPr>
          <w:rFonts w:ascii="Arial" w:eastAsia="Calibri" w:hAnsi="Arial" w:cs="Arial"/>
          <w:i/>
          <w:szCs w:val="28"/>
          <w:lang w:val="uk-UA"/>
        </w:rPr>
        <w:t>Наукові інновації та передові технології. (Серія «Управління та адміністрування», Серія «Право», Серія «Економіка», Серія «Психологія», Серія «Педагогіка»)</w:t>
      </w:r>
      <w:r w:rsidRPr="00511005">
        <w:rPr>
          <w:rFonts w:ascii="Arial" w:eastAsia="Calibri" w:hAnsi="Arial" w:cs="Arial"/>
          <w:szCs w:val="28"/>
          <w:lang w:val="uk-UA"/>
        </w:rPr>
        <w:t xml:space="preserve"> : журнал. 2025. Випуск № 2(42) 2025. С. 389-399. URL:</w:t>
      </w:r>
      <w:r w:rsidR="007B2628" w:rsidRPr="00511005">
        <w:rPr>
          <w:rFonts w:ascii="Arial" w:eastAsia="Calibri" w:hAnsi="Arial" w:cs="Arial"/>
          <w:szCs w:val="28"/>
          <w:lang w:val="uk-UA"/>
        </w:rPr>
        <w:t xml:space="preserve"> </w:t>
      </w:r>
      <w:hyperlink r:id="rId2509" w:history="1">
        <w:r w:rsidRPr="00511005">
          <w:rPr>
            <w:rFonts w:ascii="Arial" w:eastAsia="Calibri" w:hAnsi="Arial" w:cs="Arial"/>
            <w:szCs w:val="28"/>
            <w:lang w:val="uk-UA"/>
          </w:rPr>
          <w:t>https://doi.org/10.52058/2786-5274-2025-2(42)-389-399</w:t>
        </w:r>
      </w:hyperlink>
    </w:p>
    <w:p w14:paraId="73F97895" w14:textId="77777777" w:rsidR="00AE57E7" w:rsidRPr="00511005" w:rsidRDefault="00AE57E7" w:rsidP="003A292D">
      <w:pPr>
        <w:spacing w:line="264" w:lineRule="auto"/>
        <w:ind w:left="1069"/>
        <w:contextualSpacing/>
        <w:rPr>
          <w:rFonts w:ascii="Arial" w:eastAsia="Calibri" w:hAnsi="Arial" w:cs="Arial"/>
          <w:szCs w:val="28"/>
          <w:lang w:val="uk-UA"/>
        </w:rPr>
      </w:pPr>
    </w:p>
    <w:p w14:paraId="4493D5DA" w14:textId="02271B3C"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szCs w:val="28"/>
          <w:lang w:val="uk-UA"/>
        </w:rPr>
        <w:t xml:space="preserve">відповідальне інвестування, ESG-критерії, стратегічне управління, сталий розвиток, корпоративна соціальна відповідальність, інвестиційна політика, стейкхолдери </w:t>
      </w:r>
    </w:p>
    <w:p w14:paraId="767FF16C" w14:textId="41FD8322" w:rsidR="00AE57E7" w:rsidRPr="00511005" w:rsidRDefault="007B2628" w:rsidP="003A292D">
      <w:pPr>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responsible</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investment</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ESG</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Criteria</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strategic</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management</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sustainable development</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corporate social responsibility (CSR)</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investment policy</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stakeholders.</w:t>
      </w:r>
    </w:p>
    <w:p w14:paraId="255DA549" w14:textId="7A82AE51" w:rsidR="00AE57E7" w:rsidRPr="00511005" w:rsidRDefault="007B2628" w:rsidP="003A292D">
      <w:pPr>
        <w:spacing w:line="264" w:lineRule="auto"/>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AE57E7" w:rsidRPr="00511005">
        <w:rPr>
          <w:rFonts w:ascii="Arial" w:eastAsia="Calibri" w:hAnsi="Arial" w:cs="Arial"/>
          <w:i/>
          <w:szCs w:val="28"/>
          <w:lang w:val="uk-UA"/>
        </w:rPr>
        <w:t>д.е.н., професор Слободянюк О.В.</w:t>
      </w:r>
    </w:p>
    <w:p w14:paraId="149AAE79" w14:textId="77777777" w:rsidR="00AE57E7" w:rsidRPr="00511005" w:rsidRDefault="00AE57E7" w:rsidP="003A292D">
      <w:pPr>
        <w:spacing w:line="264" w:lineRule="auto"/>
        <w:rPr>
          <w:rFonts w:ascii="Arial" w:eastAsia="Times New Roman" w:hAnsi="Arial" w:cs="Arial"/>
          <w:szCs w:val="28"/>
          <w:lang w:val="uk-UA" w:eastAsia="ru-RU"/>
        </w:rPr>
      </w:pPr>
    </w:p>
    <w:p w14:paraId="0D242057" w14:textId="2F80FD59" w:rsidR="00AE57E7" w:rsidRPr="00511005" w:rsidRDefault="00AE57E7" w:rsidP="003A292D">
      <w:pPr>
        <w:spacing w:line="264" w:lineRule="auto"/>
        <w:ind w:firstLine="0"/>
        <w:jc w:val="left"/>
        <w:rPr>
          <w:rFonts w:ascii="Arial" w:eastAsia="Times New Roman" w:hAnsi="Arial" w:cs="Arial"/>
          <w:b/>
          <w:bCs/>
          <w:i/>
          <w:iCs/>
          <w:szCs w:val="28"/>
          <w:lang w:val="uk-UA" w:eastAsia="ru-RU"/>
        </w:rPr>
      </w:pPr>
    </w:p>
    <w:p w14:paraId="3DF96EEA" w14:textId="77777777" w:rsidR="00AE57E7" w:rsidRPr="00511005" w:rsidRDefault="00AE57E7" w:rsidP="003A292D">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Терземан Крістіна Аркадіївна</w:t>
      </w:r>
    </w:p>
    <w:p w14:paraId="2520E186" w14:textId="15AB42B3" w:rsidR="00AE57E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4-го курсу факультету адвокатури та антикорупційної діяльності</w:t>
      </w:r>
    </w:p>
    <w:p w14:paraId="79789556" w14:textId="36F4B8EF" w:rsidR="00AE57E7"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22060545" w14:textId="77777777" w:rsidR="00AE57E7" w:rsidRPr="00511005" w:rsidRDefault="00AE57E7" w:rsidP="003A292D">
      <w:pPr>
        <w:spacing w:line="264" w:lineRule="auto"/>
        <w:ind w:firstLine="0"/>
        <w:jc w:val="center"/>
        <w:rPr>
          <w:rFonts w:ascii="Arial" w:eastAsia="Times New Roman" w:hAnsi="Arial" w:cs="Arial"/>
          <w:szCs w:val="28"/>
          <w:lang w:val="uk-UA" w:eastAsia="ru-RU"/>
        </w:rPr>
      </w:pPr>
    </w:p>
    <w:p w14:paraId="5C04F9D0" w14:textId="77777777" w:rsidR="00AE57E7" w:rsidRPr="00511005" w:rsidRDefault="00AE57E7"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ВПРОВАДЖЕННЯ ІННОВАЦІЙНИХ МОДЕЛЕЙ ЛІДЕРСТВА ДЛЯ ЕФЕКТИВНОГО УПРАВЛІННЯ КОМАНДАМИ</w:t>
      </w:r>
    </w:p>
    <w:p w14:paraId="45F080E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контексті стрімких технологічних змін, цифрової трансформації бізнесу та зростаючої конкуренції інноваційне лідерство виступає ключовим фактором забезпечення стійкості та розвитку організацій. Застарілі моделі управління втрачають актуальність, а нові підходи дозволяють краще відповідати на виклики сучасного середовища, адаптуватися до </w:t>
      </w:r>
      <w:r w:rsidRPr="00511005">
        <w:rPr>
          <w:rFonts w:ascii="Arial" w:eastAsia="Times New Roman" w:hAnsi="Arial" w:cs="Arial"/>
          <w:szCs w:val="28"/>
          <w:lang w:val="uk-UA" w:eastAsia="ru-RU"/>
        </w:rPr>
        <w:lastRenderedPageBreak/>
        <w:t>нестабільності та формувати корпоративну культуру, орієнтовану на інновації.</w:t>
      </w:r>
    </w:p>
    <w:p w14:paraId="368EA7D7"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Попри те, що багато компаній визнають необхідність змін, вони стикаються з рядом перешкод при впровадженні інноваційних моделей лідерства. Основними з них є опір з боку персоналу, відсутність належної підготовки керівників, слабка стратегічна візія, а також брак ресурсів для системного навчання. Часто керівники не розуміють глибини змін, необхідних для ефективного функціонування нових лідерських підходів.</w:t>
      </w:r>
    </w:p>
    <w:p w14:paraId="19C9AF3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сучасному світі, який постійно змінюється під впливом технологічного прогресу, глобалізації та соціальних трансформацій, традиційні моделі лідерства втрачають свою ефективність. Сучасні команди вимагають нових підходів до управління, заснованих на гнучкості, довірі, відкритості та взаємодії. Саме тому впровадження інноваційних моделей лідерства стає ключовим чинником успішного функціонування організацій у XXI столітті.</w:t>
      </w:r>
    </w:p>
    <w:p w14:paraId="6954594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Інноваційне лідерство – це не лише впровадження нових технологій або модернізація процесів, але передусім трансформація мислення керівника. Такий лідер стимулює креативність, підтримує ініціативу працівників і створює умови, у яких команда може адаптуватися до змін, приймати нестандартні рішення і розвиватися. </w:t>
      </w:r>
    </w:p>
    <w:p w14:paraId="63F0DEE3"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 цьому аспекті варто згадати позицію дослідників, про те, що важливим є загалом стратегічне управління в компанії, яке являє собою сукупністю дій та рішень, які здійснює керівництво і що призводять до розробки конкретних стратегій, спрямованих на досягнення своїх цілей [1].</w:t>
      </w:r>
    </w:p>
    <w:p w14:paraId="2AA3A739"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Інноваційний лідер – це керівник нового типу, який завжди на крок попереду. Він є спеціалістом в галузі економіки, завжди готовий працювати в умовах невизначеності та досягати поставлених цілей, працюючи над новим асортиментом продукції/послуги та бізнес-ідеями і використовувати переваги технологічних інновацій для розвитку організації. Інноватор тісно співпрацює з командою, надихає підлеглих, безперервно працює над собою, удосконалюючи професійні навички. Не дивлячись на динамічну мінливість економічного середовища, готовий вирішувати складні завдання та підтверджувати високий рівень компетенції [2].</w:t>
      </w:r>
    </w:p>
    <w:p w14:paraId="6352F9B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Інноваційні моделі лідерства стали невід'ємною частиною сучасного управлінського процесу, оскільки в умовах швидких змін і високої конкурентності компанії повинні реагувати на нові виклики та використовувати новітні підходи для досягнення своїх цілей. Лідерство в таких умовах не лише стосується процесу та делегування завдань, але й потребує здатності мотивувати, надихати і вести команду через труднощі, заохочуючи її до інновацій та постійного розвитку.</w:t>
      </w:r>
    </w:p>
    <w:p w14:paraId="0143C52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Сучасне управління персоналом організації визначається як стратегічний та інтегрований підхід до розвитку людських ресурсів та організаційної культури, який сприяє сталому розвитку організації. Воно </w:t>
      </w:r>
      <w:r w:rsidRPr="00511005">
        <w:rPr>
          <w:rFonts w:ascii="Arial" w:eastAsia="Times New Roman" w:hAnsi="Arial" w:cs="Arial"/>
          <w:szCs w:val="28"/>
          <w:lang w:val="uk-UA" w:eastAsia="ru-RU"/>
        </w:rPr>
        <w:lastRenderedPageBreak/>
        <w:t>включає в себе прогресивні методи залучення, розвитку, мотивацію та утримання талантів, які відповідають потребам динамічного бізнес-середовиша. Управління персоналом також має забезпечувати адаптацію до швидких змін ринку, технологій та глобальних тенденцій, при цьому підтримуючи високий рівень задоволеності працівників та їхнього залучення до роботи. Це вимагає від керівництва глибокого розуміння не лише традиційних аспектів управління персоналом, але її сучасних підходів, таких як гнучкість робочого місця, корпоративна соціальна відповідальність та культура неперервного навчання [3].</w:t>
      </w:r>
    </w:p>
    <w:p w14:paraId="1FEFBF9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Деякі автори у своїх роботах досліджуючи питання стратегічного управління людськими ресурсами, трактують його як відносно нову концепцію, розроблену експертами з управління персоналом, які визнають персонал ключовим елементом успіху організації. Стратегічне управління людськими ресурсами діє проактивно, враховуючи майбутні потреби компанії у робочій силі, тоді як традиційне управління людськими ресурсами сконцентровано на нинішніх працівниках і зазвичай реагує на потребі. Традиційний HRM зосереджений на адміністративних завданнях, таких як найм персоналу, навчання та оплата праці, в той час як стратегічне управління людськими ресурсами включає всі аспекти традиційного управління людськими ресурсами, але також активно співпрацює з іншими відділами, щоб забезпечити відповідність підходів загальним стратегічним цілям організації [4].</w:t>
      </w:r>
    </w:p>
    <w:p w14:paraId="4B96BE55"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Однією з найпоширеніших інноваційних моделей є трансформаційне лідерство, за якого керівник мотивує підлеглих шляхом спільного бачення майбутнього, встановлення високих цілей і особистого прикладу. Такий підхід сприяє глибокій залученості членів команди і розвитку внутрішньої мотивації.</w:t>
      </w:r>
    </w:p>
    <w:p w14:paraId="71108F1E"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Іншим важливим підходом є сервісне лідерство (servant leadership), при якому керівник виступає як слуга команди — він створює всі умови для розвитку своїх співробітників, допомагає вирішувати проблеми і дбає про їхній добробут. Цей підхід формує культуру довіри й взаємоповаги [5].</w:t>
      </w:r>
    </w:p>
    <w:p w14:paraId="234F57F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варто згадати агільне (agile) лідерство, що набуває особливої актуальності у цифрову епоху. Його суть полягає в гнучкому реагуванні на зміни, підтримці самостійності команд, швидкому прийнятті рішень та впровадженні принципів Scrum, Kanban тощо.</w:t>
      </w:r>
    </w:p>
    <w:p w14:paraId="35EDEE67"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Використання інноваційних моделей лідерства має низку переваг. По-перше, зростає ефективність роботи команди: люди відчувають власну значущість, мають можливість самореалізації й ініціативи. По-друге, підвищується адаптивність організації: інноваційне лідерство дозволяє швидко реагувати на зміни ринку та внутрішні виклики. По-третє, зменшується плинність кадрів — працівники залишаються в компанії, де їх поважають і цінують.</w:t>
      </w:r>
    </w:p>
    <w:p w14:paraId="03DFB931"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Попри очевидні переваги, впровадження інноваційного лідерства може супроводжуватися певними труднощами. Найпоширеніші з них — опір змінам, нестача лідерських навичок у менеджерів, відсутність стратегічного бачення або ж нерозуміння ролі команди в досягненні цілей. Для подолання цих бар’єрів необхідне системне навчання керівників, впровадження культури постійного розвитку і діалогу, а також підтримка інновацій на всіх рівнях організації.</w:t>
      </w:r>
    </w:p>
    <w:p w14:paraId="38D0432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інноваційні моделі лідерства - це не просто тренд, а необхідність сучасного управління. Світ, що змінюється, вимагає від лідерів нових підходів, нової філософії та нових інструментів. Ефективне управління командою сьогодні - це не лише вміння координувати дії, а здатність надихати, об’єднувати і розкривати потенціал кожного учасника. Саме такі лідери формують культуру майбутнього - відкриту, інноваційну і спрямовану на розвиток.</w:t>
      </w:r>
    </w:p>
    <w:p w14:paraId="28ABF08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Для подолання бар’єрів впровадження інноваційного лідерства пропонується наступне:</w:t>
      </w:r>
    </w:p>
    <w:p w14:paraId="67382777" w14:textId="77777777" w:rsidR="00AE57E7" w:rsidRPr="00511005" w:rsidRDefault="00AE57E7" w:rsidP="003F6A5D">
      <w:pPr>
        <w:numPr>
          <w:ilvl w:val="0"/>
          <w:numId w:val="720"/>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Проведення навчальних програм для керівників із розвитку навичок інноваційного лідерства.</w:t>
      </w:r>
    </w:p>
    <w:p w14:paraId="704EDCB0" w14:textId="77777777" w:rsidR="00AE57E7" w:rsidRPr="00511005" w:rsidRDefault="00AE57E7" w:rsidP="003F6A5D">
      <w:pPr>
        <w:numPr>
          <w:ilvl w:val="0"/>
          <w:numId w:val="720"/>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Розробка внутрішніх стратегій підтримки змін, що включають комунікаційні кампанії та залучення працівників.</w:t>
      </w:r>
    </w:p>
    <w:p w14:paraId="1C7551B0" w14:textId="77777777" w:rsidR="00AE57E7" w:rsidRPr="00511005" w:rsidRDefault="00AE57E7" w:rsidP="003F6A5D">
      <w:pPr>
        <w:numPr>
          <w:ilvl w:val="0"/>
          <w:numId w:val="720"/>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Впровадження систем зворотного зв’язку та оцінки ефективності нових підходів.</w:t>
      </w:r>
    </w:p>
    <w:p w14:paraId="5BCB8941" w14:textId="77777777" w:rsidR="00AE57E7" w:rsidRPr="00511005" w:rsidRDefault="00AE57E7" w:rsidP="003F6A5D">
      <w:pPr>
        <w:numPr>
          <w:ilvl w:val="0"/>
          <w:numId w:val="720"/>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Створення внутрішньої культури постійного вдосконалення, яка підтримується на всіх рівнях організації.</w:t>
      </w:r>
    </w:p>
    <w:p w14:paraId="2A5D64EC" w14:textId="77777777" w:rsidR="00AE57E7" w:rsidRPr="00511005" w:rsidRDefault="00AE57E7" w:rsidP="003F6A5D">
      <w:pPr>
        <w:numPr>
          <w:ilvl w:val="0"/>
          <w:numId w:val="720"/>
        </w:numPr>
        <w:tabs>
          <w:tab w:val="left" w:pos="993"/>
        </w:tabs>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Використання кейсів успішного впровадження лідерства як інструменту мотивації та адаптації нових стратегій.</w:t>
      </w:r>
    </w:p>
    <w:p w14:paraId="5BF5713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впровадження інноваційних моделей лідерства є невід’ємною умовою адаптації організацій до сучасного динамічного середовища. Незважаючи на наявні труднощі, за умови стратегічного підходу та активного залучення керівництва і працівників, компанії можуть не лише зберегти конкурентоспроможність, а й стати прикладом прогресивного розвитку. Майбутнє ефективного управління лежить у поєднанні гнучких підходів, людяності та технологічної обізнаності лідерів нового покоління.</w:t>
      </w:r>
    </w:p>
    <w:p w14:paraId="72048598" w14:textId="77777777" w:rsidR="00AE57E7" w:rsidRPr="00511005" w:rsidRDefault="00AE57E7" w:rsidP="003A292D">
      <w:pPr>
        <w:spacing w:line="264" w:lineRule="auto"/>
        <w:jc w:val="left"/>
        <w:rPr>
          <w:rFonts w:ascii="Arial" w:eastAsia="Times New Roman" w:hAnsi="Arial" w:cs="Arial"/>
          <w:b/>
          <w:bCs/>
          <w:szCs w:val="28"/>
          <w:lang w:val="uk-UA" w:eastAsia="ru-RU"/>
        </w:rPr>
      </w:pPr>
    </w:p>
    <w:p w14:paraId="328610C8" w14:textId="5397BA37" w:rsidR="00AE57E7"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5C3E862C" w14:textId="77777777" w:rsidR="00AE57E7" w:rsidRPr="00511005" w:rsidRDefault="00AE57E7" w:rsidP="003F6A5D">
      <w:pPr>
        <w:numPr>
          <w:ilvl w:val="0"/>
          <w:numId w:val="719"/>
        </w:numPr>
        <w:tabs>
          <w:tab w:val="left" w:pos="993"/>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Іващенко Г.А. Формування зовнішньоекономічної стратегії підприємства. Електронне наукове фахове видання "Ефективна економіка". 2021. №5. URL: http://www.economy.nayka.com.ua/pdf/5_2021/103.pdf.</w:t>
      </w:r>
    </w:p>
    <w:p w14:paraId="65AE24B1" w14:textId="77777777" w:rsidR="00AE57E7" w:rsidRPr="00511005" w:rsidRDefault="00AE57E7" w:rsidP="003F6A5D">
      <w:pPr>
        <w:numPr>
          <w:ilvl w:val="0"/>
          <w:numId w:val="719"/>
        </w:numPr>
        <w:tabs>
          <w:tab w:val="left" w:pos="993"/>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Михаліцька Н.Я, Яцик М.Р. Лідерство та комунікації в організації : навч. посіб. Львів : Львів. держ. ун-т внутр. справ, 2024. С. 512.</w:t>
      </w:r>
    </w:p>
    <w:p w14:paraId="64C28AEB" w14:textId="77777777" w:rsidR="00AE57E7" w:rsidRPr="00511005" w:rsidRDefault="00AE57E7" w:rsidP="003F6A5D">
      <w:pPr>
        <w:numPr>
          <w:ilvl w:val="0"/>
          <w:numId w:val="719"/>
        </w:numPr>
        <w:tabs>
          <w:tab w:val="left" w:pos="993"/>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 xml:space="preserve">Зварич Л. В. Інноваційні технології в управлінні персоналом. Науковий вісник Одеського національного економічного університету: зб. наук. праць; за ред.: В.В. Коваленко (голов. ред.). Одеса: Одеський національний економічний університет. 2023. № 9 (310). С. 107-113. </w:t>
      </w:r>
    </w:p>
    <w:p w14:paraId="16583370" w14:textId="77777777" w:rsidR="00AE57E7" w:rsidRPr="00511005" w:rsidRDefault="00AE57E7" w:rsidP="003F6A5D">
      <w:pPr>
        <w:numPr>
          <w:ilvl w:val="0"/>
          <w:numId w:val="719"/>
        </w:numPr>
        <w:tabs>
          <w:tab w:val="left" w:pos="993"/>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Брич В., Борисяк О., Білоус Л., Галиш Н. Трансформація системи управління персо- налом підприємств: монографія. Тернопіль ВПЦ «Економічна думка ТНЕУ», 2020. 212 с. </w:t>
      </w:r>
    </w:p>
    <w:p w14:paraId="50BA0FE6" w14:textId="77777777" w:rsidR="00AE57E7" w:rsidRPr="00511005" w:rsidRDefault="00AE57E7" w:rsidP="003F6A5D">
      <w:pPr>
        <w:numPr>
          <w:ilvl w:val="0"/>
          <w:numId w:val="719"/>
        </w:numPr>
        <w:tabs>
          <w:tab w:val="left" w:pos="993"/>
        </w:tabs>
        <w:spacing w:line="264" w:lineRule="auto"/>
        <w:ind w:left="0" w:firstLine="709"/>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Підлісна Т. Сучасні моделі лідерства: як керувати в умовах невизначеності? Актуальні питання у сучасній науці. 2025. № 3(33). URL: https://doi.org/10.52058/2786-6300-2025-3(33)-358-368.</w:t>
      </w:r>
    </w:p>
    <w:p w14:paraId="0D00DDF3" w14:textId="77777777" w:rsidR="00AE57E7" w:rsidRPr="00511005" w:rsidRDefault="00AE57E7" w:rsidP="003A292D">
      <w:pPr>
        <w:spacing w:line="264" w:lineRule="auto"/>
        <w:contextualSpacing/>
        <w:rPr>
          <w:rFonts w:ascii="Arial" w:eastAsia="Times New Roman" w:hAnsi="Arial" w:cs="Arial"/>
          <w:b/>
          <w:bCs/>
          <w:szCs w:val="28"/>
          <w:lang w:val="uk-UA" w:eastAsia="ru-RU"/>
        </w:rPr>
      </w:pPr>
    </w:p>
    <w:p w14:paraId="754F5C43" w14:textId="5DA59D54" w:rsidR="00AE57E7"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AE57E7" w:rsidRPr="00511005">
        <w:rPr>
          <w:rFonts w:ascii="Arial" w:eastAsia="Times New Roman" w:hAnsi="Arial" w:cs="Arial"/>
          <w:szCs w:val="28"/>
          <w:lang w:val="uk-UA" w:eastAsia="ru-RU"/>
        </w:rPr>
        <w:t>інноваційне лідерство, управління командами, стратегічне управління, людські ресурси, адаптивність, ефективне управління, корпоративна відповідальність</w:t>
      </w:r>
    </w:p>
    <w:p w14:paraId="00935DE5" w14:textId="0EFD296B" w:rsidR="00AE57E7" w:rsidRPr="00511005" w:rsidRDefault="007B2628" w:rsidP="003A292D">
      <w:pPr>
        <w:spacing w:line="264" w:lineRule="auto"/>
        <w:contextualSpacing/>
        <w:rPr>
          <w:rFonts w:ascii="Arial" w:eastAsia="Times New Roman" w:hAnsi="Arial" w:cs="Arial"/>
          <w:b/>
          <w:bCs/>
          <w:szCs w:val="28"/>
          <w:lang w:val="uk-UA" w:eastAsia="ru-RU"/>
        </w:rPr>
      </w:pPr>
      <w:r w:rsidRPr="00511005">
        <w:rPr>
          <w:rFonts w:ascii="Arial" w:eastAsia="Times New Roman" w:hAnsi="Arial" w:cs="Arial"/>
          <w:b/>
          <w:bCs/>
          <w:i/>
          <w:szCs w:val="28"/>
          <w:lang w:val="uk-UA" w:eastAsia="ru-RU"/>
        </w:rPr>
        <w:t xml:space="preserve">Key words: </w:t>
      </w:r>
      <w:r w:rsidR="00AE57E7" w:rsidRPr="00511005">
        <w:rPr>
          <w:rFonts w:ascii="Arial" w:eastAsia="Times New Roman" w:hAnsi="Arial" w:cs="Arial"/>
          <w:szCs w:val="28"/>
          <w:lang w:val="uk-UA" w:eastAsia="ru-RU"/>
        </w:rPr>
        <w:t>innovative leadership, team management, strategic management, human resources, adaptability, effective management, corporate responsibility.</w:t>
      </w:r>
    </w:p>
    <w:p w14:paraId="3085CEDE" w14:textId="2B63E8FE" w:rsidR="00AE57E7" w:rsidRPr="00511005" w:rsidRDefault="007B2628" w:rsidP="003A292D">
      <w:pPr>
        <w:spacing w:line="264" w:lineRule="auto"/>
        <w:contextualSpacing/>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AE57E7" w:rsidRPr="00511005">
        <w:rPr>
          <w:rFonts w:ascii="Arial" w:eastAsia="Times New Roman" w:hAnsi="Arial" w:cs="Arial"/>
          <w:i/>
          <w:iCs/>
          <w:szCs w:val="28"/>
          <w:lang w:val="uk-UA" w:eastAsia="ru-RU"/>
        </w:rPr>
        <w:t>к.е.н., доц. Котлубай В.О.</w:t>
      </w:r>
    </w:p>
    <w:p w14:paraId="185DE8BA" w14:textId="77777777" w:rsidR="00AE57E7" w:rsidRPr="00511005" w:rsidRDefault="00AE57E7" w:rsidP="003A292D">
      <w:pPr>
        <w:spacing w:line="264" w:lineRule="auto"/>
        <w:contextualSpacing/>
        <w:rPr>
          <w:rFonts w:ascii="Arial" w:eastAsia="Times New Roman" w:hAnsi="Arial" w:cs="Arial"/>
          <w:szCs w:val="28"/>
          <w:lang w:val="uk-UA" w:eastAsia="ru-RU"/>
        </w:rPr>
      </w:pPr>
    </w:p>
    <w:p w14:paraId="65B5F0E3" w14:textId="0283F9EE" w:rsidR="00AE57E7" w:rsidRPr="00511005" w:rsidRDefault="00AE57E7" w:rsidP="003A292D">
      <w:pPr>
        <w:spacing w:line="264" w:lineRule="auto"/>
        <w:ind w:firstLine="0"/>
        <w:jc w:val="left"/>
        <w:rPr>
          <w:rFonts w:ascii="Arial" w:eastAsia="Times New Roman" w:hAnsi="Arial" w:cs="Arial"/>
          <w:b/>
          <w:bCs/>
          <w:i/>
          <w:iCs/>
          <w:szCs w:val="28"/>
          <w:lang w:val="uk-UA" w:eastAsia="ru-RU"/>
        </w:rPr>
      </w:pPr>
      <w:bookmarkStart w:id="310" w:name="_Hlk197589751"/>
    </w:p>
    <w:p w14:paraId="0FE71756" w14:textId="77777777" w:rsidR="00AE57E7" w:rsidRPr="00511005" w:rsidRDefault="00AE57E7" w:rsidP="00C66506">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Швець Катерина Олександрівна</w:t>
      </w:r>
    </w:p>
    <w:p w14:paraId="2F76F863" w14:textId="083A3EE9" w:rsidR="00AE57E7" w:rsidRPr="00511005" w:rsidRDefault="00536AAB" w:rsidP="00C665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4-го курсу факультету адвокатури та антикорупційної діяльності</w:t>
      </w:r>
    </w:p>
    <w:p w14:paraId="0223C602" w14:textId="4BF04941" w:rsidR="00AE57E7" w:rsidRPr="00511005" w:rsidRDefault="007B2628" w:rsidP="00C66506">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316FFE9D" w14:textId="77777777" w:rsidR="00AE57E7" w:rsidRPr="00511005" w:rsidRDefault="00AE57E7" w:rsidP="00C66506">
      <w:pPr>
        <w:spacing w:line="264" w:lineRule="auto"/>
        <w:ind w:firstLine="0"/>
        <w:rPr>
          <w:rFonts w:ascii="Arial" w:eastAsia="Times New Roman" w:hAnsi="Arial" w:cs="Arial"/>
          <w:szCs w:val="28"/>
          <w:lang w:val="uk-UA" w:eastAsia="ru-RU"/>
        </w:rPr>
      </w:pPr>
    </w:p>
    <w:bookmarkEnd w:id="310"/>
    <w:p w14:paraId="3087963E" w14:textId="77777777" w:rsidR="00AE57E7" w:rsidRPr="00511005" w:rsidRDefault="00AE57E7" w:rsidP="003A292D">
      <w:pPr>
        <w:spacing w:line="264" w:lineRule="auto"/>
        <w:ind w:firstLine="0"/>
        <w:jc w:val="center"/>
        <w:rPr>
          <w:rFonts w:ascii="Arial" w:eastAsia="Times New Roman" w:hAnsi="Arial" w:cs="Arial"/>
          <w:b/>
          <w:bCs/>
          <w:caps/>
          <w:szCs w:val="28"/>
          <w:lang w:val="uk-UA" w:eastAsia="ru-RU"/>
        </w:rPr>
      </w:pPr>
      <w:r w:rsidRPr="00511005">
        <w:rPr>
          <w:rFonts w:ascii="Arial" w:eastAsia="Times New Roman" w:hAnsi="Arial" w:cs="Arial"/>
          <w:b/>
          <w:bCs/>
          <w:caps/>
          <w:szCs w:val="28"/>
          <w:lang w:val="uk-UA" w:eastAsia="ru-RU"/>
        </w:rPr>
        <w:t>ТЕОРЕТИЧНІ ЗАСАДИ Розвитку системи управління взаємодією бізнес-структури із зацікавленими сторонами</w:t>
      </w:r>
    </w:p>
    <w:p w14:paraId="5C9BA4C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сучасних умовах глобалізації та зростаючої складності бізнес-середовища бізнес-структури змушені шукати нові підходи до забезпечення своєї конкурентоспроможності та стійкого розвитку. Одним із таких підходів є формування ефективної системи управління взаємодією із зацікавленими сторонами (стейкхолдерами). Зацікавлені сторони формують складне середовище, яке включає споживачів, працівників, постачальників, інвесторів, органи державної влади, місцеві громади та інші соціальні групи, що прямо чи опосередковано впливають на діяльність компанії або зазнають впливу її рішень. Важливо вибудовувати довготривалі партнерські відносини з усіма ключовими стейкхолдерами, враховувати їхні інтереси при прийнятті управлінських рішень, підтримувати регулярну комунікацію, демонструвати відкритість та готовність до змін. Тільки за умови ефективного управління цими взаємодіями бізнес-структура може забезпечити собі сталі конкурентні переваги, підвищити свою репутаційну цінність, а також мінімізувати ризики, пов’язані із соціальним чи нормативним середовищем.</w:t>
      </w:r>
    </w:p>
    <w:p w14:paraId="5A0C9751" w14:textId="77777777" w:rsidR="00AE57E7" w:rsidRPr="00511005" w:rsidRDefault="00AE57E7" w:rsidP="003A292D">
      <w:pPr>
        <w:spacing w:line="264" w:lineRule="auto"/>
        <w:rPr>
          <w:rFonts w:ascii="Arial" w:eastAsia="Times New Roman" w:hAnsi="Arial" w:cs="Arial"/>
          <w:noProof/>
          <w:szCs w:val="28"/>
          <w:lang w:val="uk-UA" w:eastAsia="ru-RU"/>
        </w:rPr>
      </w:pPr>
      <w:r w:rsidRPr="00511005">
        <w:rPr>
          <w:rFonts w:ascii="Arial" w:eastAsia="Times New Roman" w:hAnsi="Arial" w:cs="Arial"/>
          <w:noProof/>
          <w:szCs w:val="28"/>
          <w:lang w:val="uk-UA" w:eastAsia="ru-RU"/>
        </w:rPr>
        <w:lastRenderedPageBreak/>
        <w:t>Існують різні підходи до класифікації зацікавлених сторін, які враховують різні аспекти взаємодії стейкхолдерів з бізнес-структурою: характер впливу, рівень важливості, тип інтересів, географічне охоплення, рівень залученості та інші параметри. Класифікація дозволяє більш точно ідентифікувати та аналізувати зацікавлені сторони, розробляти ефективні стратегії взаємодії з ними та інтегрувати управління стейкхолдерами в загальну систему стратегічного управління бізнес-структурою. Важливою є перша ознака, згідно з якою стейкхолдерів поділяють на внутрішніх та зовнішніх.</w:t>
      </w:r>
    </w:p>
    <w:p w14:paraId="3015ED65"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Внутрішні стейкхолдери - це особи або групи, які безпосередньо пов’язані з організацією та мають прямий вплив на її діяльність. До них зазвичай відносять власників, акціонерів, менеджерів, працівників та інвесторів. Ці стейкхолдери беруть участь у внутрішніх процесах компанії та безпосередньо впливають на її функціонування [1]. </w:t>
      </w:r>
    </w:p>
    <w:p w14:paraId="544115E7"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Зовнішні стейкхолдери - це особи або організації, які не є частиною організації, але мають інтерес до її діяльності або можуть впливати на неї. До них відносять клієнтів, постачальників, кредиторів, урядові органи, місцеві громади, засоби масової інформації та неурядові організації [2]. Ці стейкхолдери взаємодіють з організацією ззовні та можуть впливати на її репутацію, регуляторне середовище та інші аспекти діяльності.</w:t>
      </w:r>
    </w:p>
    <w:p w14:paraId="5FF2336E"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теорії управління зацікавленими сторонами виділяють кілька базових стратегій взаємодії: реактивну (реагування лише на сильний тиск), захисну (мінімальне виконання вимог), пристосувальну (пошук компромісів) та проактивну (випереджальне задоволення інтересів). Найвищим рівнем взаємодії вважається партнерська стратегія, яка передбачає інтеграцію стейкхолдерів у процеси прийняття стратегічних рішень та спільне створення цінності [3].</w:t>
      </w:r>
    </w:p>
    <w:p w14:paraId="69ABEE1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Цифровізація суттєво змінює характер взаємодії зі стейкхолдерами через розширення каналів комунікації, можливості аналітики великих даних для вивчення поведінки стейкхолдерів, персоналізацію взаємодії та створення колаборативних платформ для спільної роботи. Цифрові технології дозволяють забезпечити вищий рівень прозорості відносин та оперативність реагування на запити зацікавлених сторін [4].</w:t>
      </w:r>
    </w:p>
    <w:p w14:paraId="03DA7846"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Важливим розвитком теорії стейкхолдерів є концепція інтегрованого мислення та звітності, згідно з якою бізнес-структура повинна розглядати створення вартості через взаємодію різних форм капіталу (фінансового, виробничого, інтелектуального, людського, соціального і природного) та забезпечувати збалансований розподіл цієї вартості між різними групами зацікавлених сторін.</w:t>
      </w:r>
    </w:p>
    <w:p w14:paraId="6F44CF9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Таким чином, сучасні підходи наголошують на необхідності динамічного управління взаємовідносинами зі стейкхолдерами, що передбачає регулярний перегляд їх пріоритетності, адаптацію </w:t>
      </w:r>
      <w:r w:rsidRPr="00511005">
        <w:rPr>
          <w:rFonts w:ascii="Arial" w:eastAsia="Times New Roman" w:hAnsi="Arial" w:cs="Arial"/>
          <w:szCs w:val="28"/>
          <w:lang w:val="uk-UA" w:eastAsia="ru-RU"/>
        </w:rPr>
        <w:lastRenderedPageBreak/>
        <w:t>комунікаційних стратегій та формування механізмів раннього виявлення потенційних конфліктів інтересів. Такий підхід дозволяє бізнес-структурі зберігати гнучкість у взаємодії із зацікавленими сторонами в умовах мінливого середовища та ефективно використовувати соціальний капітал як стратегічний ресурс розвитку.</w:t>
      </w:r>
    </w:p>
    <w:p w14:paraId="3DDC1272" w14:textId="7E767D2F" w:rsidR="00AE57E7"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3EBC636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1.</w:t>
      </w:r>
      <w:r w:rsidRPr="00511005">
        <w:rPr>
          <w:rFonts w:ascii="Arial" w:eastAsia="Times New Roman" w:hAnsi="Arial" w:cs="Arial"/>
          <w:szCs w:val="28"/>
          <w:lang w:val="uk-UA" w:eastAsia="ru-RU"/>
        </w:rPr>
        <w:tab/>
        <w:t>Стейкхолдери проекту: хто вони, як їх визначити та чому вони важливі для успіху проекту. URL: https://pmtips.com.ua/post/vnutrishni-zovnishni-ta-zmishani-steykkholdery-khto-taki-ta-iak-yikh-vyznachyty.</w:t>
      </w:r>
    </w:p>
    <w:p w14:paraId="5C3D2A0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2. Поняття про стейкхолдерів. URL: https://hb.mdpu.org.ua/kafedra-ekologiyi-ta-zoologiyi/stejkholdery/ponyattya-pro-stejkholderiv/?</w:t>
      </w:r>
    </w:p>
    <w:p w14:paraId="3182F5D6"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eastAsia="ru-RU"/>
        </w:rPr>
        <w:t xml:space="preserve">3. </w:t>
      </w:r>
      <w:r w:rsidRPr="00511005">
        <w:rPr>
          <w:rFonts w:ascii="Arial" w:eastAsia="Times New Roman" w:hAnsi="Arial" w:cs="Arial"/>
          <w:szCs w:val="28"/>
          <w:lang w:val="uk-UA" w:eastAsia="ru-RU"/>
        </w:rPr>
        <w:t xml:space="preserve">Управління взаємовідносинами з зацікавленими сторонами проектів: монографія / Захарченко В.І., Меркулов М.М., Ширяєва Л.В. </w:t>
      </w:r>
      <w:proofErr w:type="gramStart"/>
      <w:r w:rsidRPr="00511005">
        <w:rPr>
          <w:rFonts w:ascii="Arial" w:eastAsia="Times New Roman" w:hAnsi="Arial" w:cs="Arial"/>
          <w:szCs w:val="28"/>
          <w:lang w:val="uk-UA" w:eastAsia="ru-RU"/>
        </w:rPr>
        <w:t>Одеса :</w:t>
      </w:r>
      <w:proofErr w:type="gramEnd"/>
      <w:r w:rsidRPr="00511005">
        <w:rPr>
          <w:rFonts w:ascii="Arial" w:eastAsia="Times New Roman" w:hAnsi="Arial" w:cs="Arial"/>
          <w:szCs w:val="28"/>
          <w:lang w:val="uk-UA" w:eastAsia="ru-RU"/>
        </w:rPr>
        <w:t xml:space="preserve"> ОНПУ, 2018. 145 с.</w:t>
      </w:r>
    </w:p>
    <w:p w14:paraId="081DE6AA"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4.</w:t>
      </w:r>
      <w:r w:rsidRPr="00511005">
        <w:rPr>
          <w:rFonts w:ascii="Arial" w:eastAsia="Times New Roman" w:hAnsi="Arial" w:cs="Arial"/>
          <w:szCs w:val="28"/>
          <w:lang w:val="uk-UA" w:eastAsia="ru-RU"/>
        </w:rPr>
        <w:tab/>
        <w:t xml:space="preserve">Кібік О.М., Корнілова О.В., Кузнецова Л.В. Відповідальність економічних агентів у процесі забезпечення сталого розвитку цифрового суспільства. </w:t>
      </w:r>
      <w:r w:rsidRPr="00511005">
        <w:rPr>
          <w:rFonts w:ascii="Arial" w:eastAsia="Times New Roman" w:hAnsi="Arial" w:cs="Arial"/>
          <w:i/>
          <w:iCs/>
          <w:szCs w:val="28"/>
          <w:lang w:val="uk-UA" w:eastAsia="ru-RU"/>
        </w:rPr>
        <w:t xml:space="preserve">Журнал «Наукові інновації та передові технології» (Серія «Управління та адміністрування», Серія «Право», Серія «Економіка», Серія «Психологія», Серія «Педагогіка»). </w:t>
      </w:r>
      <w:r w:rsidRPr="00511005">
        <w:rPr>
          <w:rFonts w:ascii="Arial" w:eastAsia="Times New Roman" w:hAnsi="Arial" w:cs="Arial"/>
          <w:szCs w:val="28"/>
          <w:lang w:val="uk-UA" w:eastAsia="ru-RU"/>
        </w:rPr>
        <w:t>2024. № 9(37). С. 197-208. http://perspectives.pp.ua/index.php/nauka/article/view/14703/14773</w:t>
      </w:r>
    </w:p>
    <w:p w14:paraId="7E26CC04" w14:textId="77777777" w:rsidR="00AE57E7" w:rsidRPr="00511005" w:rsidRDefault="00AE57E7" w:rsidP="003A292D">
      <w:pPr>
        <w:spacing w:line="264" w:lineRule="auto"/>
        <w:rPr>
          <w:rFonts w:ascii="Arial" w:eastAsia="Times New Roman" w:hAnsi="Arial" w:cs="Arial"/>
          <w:szCs w:val="28"/>
          <w:lang w:val="uk-UA" w:eastAsia="ru-RU"/>
        </w:rPr>
      </w:pPr>
    </w:p>
    <w:p w14:paraId="316DA180" w14:textId="2B3C6EF6" w:rsidR="00AE57E7" w:rsidRPr="00511005" w:rsidRDefault="007B2628"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AE57E7" w:rsidRPr="00511005">
        <w:rPr>
          <w:rFonts w:ascii="Arial" w:eastAsia="Times New Roman" w:hAnsi="Arial" w:cs="Arial"/>
          <w:szCs w:val="28"/>
          <w:lang w:val="uk-UA" w:eastAsia="ru-RU"/>
        </w:rPr>
        <w:t>зацікавлені сторони, бізнес-структура, взаємодія, управління, розвиток.</w:t>
      </w:r>
    </w:p>
    <w:p w14:paraId="55D982A4" w14:textId="150050E5" w:rsidR="00AE57E7" w:rsidRPr="00511005" w:rsidRDefault="00AE57E7" w:rsidP="003A292D">
      <w:pPr>
        <w:spacing w:line="264" w:lineRule="auto"/>
        <w:jc w:val="left"/>
        <w:rPr>
          <w:rFonts w:ascii="Arial" w:eastAsia="Times New Roman" w:hAnsi="Arial" w:cs="Arial"/>
          <w:szCs w:val="28"/>
          <w:lang w:val="en-US" w:eastAsia="uk-UA"/>
        </w:rPr>
      </w:pPr>
      <w:r w:rsidRPr="00070B72">
        <w:rPr>
          <w:rFonts w:ascii="Arial" w:eastAsia="Times New Roman" w:hAnsi="Arial" w:cs="Arial"/>
          <w:b/>
          <w:bCs/>
          <w:i/>
          <w:iCs/>
          <w:szCs w:val="28"/>
          <w:lang w:val="uk-UA" w:eastAsia="ru-RU"/>
        </w:rPr>
        <w:t>Key</w:t>
      </w:r>
      <w:r w:rsidR="00070B72" w:rsidRPr="00070B72">
        <w:rPr>
          <w:rFonts w:ascii="Arial" w:eastAsia="Times New Roman" w:hAnsi="Arial" w:cs="Arial"/>
          <w:b/>
          <w:bCs/>
          <w:i/>
          <w:iCs/>
          <w:szCs w:val="28"/>
          <w:lang w:val="uk-UA" w:eastAsia="ru-RU"/>
        </w:rPr>
        <w:t xml:space="preserve"> </w:t>
      </w:r>
      <w:r w:rsidRPr="00070B72">
        <w:rPr>
          <w:rFonts w:ascii="Arial" w:eastAsia="Times New Roman" w:hAnsi="Arial" w:cs="Arial"/>
          <w:b/>
          <w:bCs/>
          <w:i/>
          <w:iCs/>
          <w:szCs w:val="28"/>
          <w:lang w:val="uk-UA" w:eastAsia="ru-RU"/>
        </w:rPr>
        <w:t>words:</w:t>
      </w:r>
      <w:r w:rsidRPr="00511005">
        <w:rPr>
          <w:rFonts w:ascii="Arial" w:eastAsia="Times New Roman" w:hAnsi="Arial" w:cs="Arial"/>
          <w:szCs w:val="28"/>
          <w:lang w:val="uk-UA" w:eastAsia="ru-RU"/>
        </w:rPr>
        <w:t xml:space="preserve"> </w:t>
      </w:r>
      <w:r w:rsidRPr="00511005">
        <w:rPr>
          <w:rFonts w:ascii="Arial" w:eastAsia="Times New Roman" w:hAnsi="Arial" w:cs="Arial"/>
          <w:szCs w:val="28"/>
          <w:lang w:val="en-US" w:eastAsia="ru-RU"/>
        </w:rPr>
        <w:t>s</w:t>
      </w:r>
      <w:r w:rsidRPr="00511005">
        <w:rPr>
          <w:rFonts w:ascii="Arial" w:eastAsia="Times New Roman" w:hAnsi="Arial" w:cs="Arial"/>
          <w:szCs w:val="28"/>
          <w:lang w:val="uk-UA" w:eastAsia="ru-RU"/>
        </w:rPr>
        <w:t>takeholders</w:t>
      </w:r>
      <w:r w:rsidRPr="00511005">
        <w:rPr>
          <w:rFonts w:ascii="Arial" w:eastAsia="Times New Roman" w:hAnsi="Arial" w:cs="Arial"/>
          <w:szCs w:val="28"/>
          <w:lang w:val="en-US" w:eastAsia="ru-RU"/>
        </w:rPr>
        <w:t>, b</w:t>
      </w:r>
      <w:r w:rsidRPr="00511005">
        <w:rPr>
          <w:rFonts w:ascii="Arial" w:eastAsia="Times New Roman" w:hAnsi="Arial" w:cs="Arial"/>
          <w:szCs w:val="28"/>
          <w:lang w:val="uk-UA" w:eastAsia="ru-RU"/>
        </w:rPr>
        <w:t xml:space="preserve">usiness structure, іnteraction, </w:t>
      </w:r>
      <w:r w:rsidRPr="00511005">
        <w:rPr>
          <w:rFonts w:ascii="Arial" w:eastAsia="Times New Roman" w:hAnsi="Arial" w:cs="Arial"/>
          <w:szCs w:val="28"/>
          <w:lang w:val="uk-UA" w:eastAsia="uk-UA"/>
        </w:rPr>
        <w:t>сollaboration</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val="uk-UA" w:eastAsia="ru-RU"/>
        </w:rPr>
        <w:t>мanagement,</w:t>
      </w:r>
      <w:r w:rsidRPr="00511005">
        <w:rPr>
          <w:rFonts w:ascii="Arial" w:eastAsia="Times New Roman" w:hAnsi="Arial" w:cs="Arial"/>
          <w:szCs w:val="28"/>
          <w:lang w:val="en-US" w:eastAsia="ru-RU"/>
        </w:rPr>
        <w:t xml:space="preserve"> d</w:t>
      </w:r>
      <w:r w:rsidRPr="00511005">
        <w:rPr>
          <w:rFonts w:ascii="Arial" w:eastAsia="Times New Roman" w:hAnsi="Arial" w:cs="Arial"/>
          <w:szCs w:val="28"/>
          <w:lang w:val="uk-UA" w:eastAsia="ru-RU"/>
        </w:rPr>
        <w:t>evelopment</w:t>
      </w:r>
      <w:r w:rsidRPr="00511005">
        <w:rPr>
          <w:rFonts w:ascii="Arial" w:eastAsia="Times New Roman" w:hAnsi="Arial" w:cs="Arial"/>
          <w:szCs w:val="28"/>
          <w:lang w:val="en-US" w:eastAsia="uk-UA"/>
        </w:rPr>
        <w:t>.</w:t>
      </w:r>
    </w:p>
    <w:p w14:paraId="1475B0F0" w14:textId="2E03B21A" w:rsidR="00AE57E7" w:rsidRPr="00511005" w:rsidRDefault="007B2628" w:rsidP="003A292D">
      <w:pPr>
        <w:spacing w:line="264" w:lineRule="auto"/>
        <w:contextualSpacing/>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AE57E7" w:rsidRPr="00511005">
        <w:rPr>
          <w:rFonts w:ascii="Arial" w:eastAsia="Times New Roman" w:hAnsi="Arial" w:cs="Arial"/>
          <w:i/>
          <w:iCs/>
          <w:szCs w:val="28"/>
          <w:lang w:val="uk-UA" w:eastAsia="ru-RU"/>
        </w:rPr>
        <w:t>д.е.н., проф</w:t>
      </w:r>
      <w:r w:rsidR="00070B72">
        <w:rPr>
          <w:rFonts w:ascii="Arial" w:eastAsia="Times New Roman" w:hAnsi="Arial" w:cs="Arial"/>
          <w:i/>
          <w:iCs/>
          <w:szCs w:val="28"/>
          <w:lang w:val="uk-UA" w:eastAsia="ru-RU"/>
        </w:rPr>
        <w:t>есор</w:t>
      </w:r>
      <w:r w:rsidR="00AE57E7" w:rsidRPr="00511005">
        <w:rPr>
          <w:rFonts w:ascii="Arial" w:eastAsia="Times New Roman" w:hAnsi="Arial" w:cs="Arial"/>
          <w:i/>
          <w:iCs/>
          <w:szCs w:val="28"/>
          <w:lang w:val="uk-UA" w:eastAsia="ru-RU"/>
        </w:rPr>
        <w:t xml:space="preserve"> Кібік О.М.</w:t>
      </w:r>
    </w:p>
    <w:p w14:paraId="0211951F" w14:textId="77777777" w:rsidR="00AE57E7" w:rsidRPr="00511005" w:rsidRDefault="00AE57E7" w:rsidP="003A292D">
      <w:pPr>
        <w:spacing w:line="264" w:lineRule="auto"/>
        <w:rPr>
          <w:rFonts w:ascii="Arial" w:eastAsia="Times New Roman" w:hAnsi="Arial" w:cs="Arial"/>
          <w:szCs w:val="28"/>
          <w:lang w:val="uk-UA" w:eastAsia="ru-RU"/>
        </w:rPr>
      </w:pPr>
    </w:p>
    <w:p w14:paraId="4F9E842E"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0F41BACC" w14:textId="77777777" w:rsidR="003F5D68" w:rsidRPr="00511005" w:rsidRDefault="003F5D68" w:rsidP="003A292D">
      <w:pPr>
        <w:keepNext/>
        <w:suppressAutoHyphens/>
        <w:spacing w:line="264" w:lineRule="auto"/>
        <w:ind w:firstLine="0"/>
        <w:jc w:val="left"/>
        <w:rPr>
          <w:rFonts w:ascii="Arial" w:hAnsi="Arial" w:cs="Arial"/>
          <w:szCs w:val="28"/>
        </w:rPr>
      </w:pPr>
    </w:p>
    <w:p w14:paraId="67A7CEAB" w14:textId="7C84964E" w:rsidR="003F5D68" w:rsidRPr="00511005" w:rsidRDefault="003F5D68" w:rsidP="003A292D">
      <w:pPr>
        <w:pStyle w:val="aa"/>
        <w:spacing w:before="0" w:after="0" w:line="264" w:lineRule="auto"/>
        <w:rPr>
          <w:rFonts w:ascii="Arial" w:hAnsi="Arial" w:cs="Arial"/>
          <w:color w:val="auto"/>
          <w:sz w:val="28"/>
          <w:szCs w:val="28"/>
        </w:rPr>
      </w:pPr>
      <w:bookmarkStart w:id="311" w:name="_Toc208299010"/>
      <w:r w:rsidRPr="00511005">
        <w:rPr>
          <w:rFonts w:ascii="Arial" w:hAnsi="Arial" w:cs="Arial"/>
          <w:color w:val="auto"/>
          <w:sz w:val="28"/>
          <w:szCs w:val="28"/>
        </w:rPr>
        <w:t xml:space="preserve">СЕКЦІЯ </w:t>
      </w:r>
      <w:r w:rsidR="00532C25" w:rsidRPr="00055389">
        <w:rPr>
          <w:rFonts w:ascii="Arial" w:hAnsi="Arial" w:cs="Arial"/>
          <w:color w:val="auto"/>
          <w:sz w:val="28"/>
          <w:szCs w:val="28"/>
          <w:lang w:val="ru-RU"/>
        </w:rPr>
        <w:t>19</w:t>
      </w:r>
      <w:r w:rsidR="00256A2F" w:rsidRPr="00511005">
        <w:rPr>
          <w:rFonts w:ascii="Arial" w:hAnsi="Arial" w:cs="Arial"/>
          <w:color w:val="auto"/>
          <w:sz w:val="28"/>
          <w:szCs w:val="28"/>
          <w:lang w:val="ru-RU"/>
        </w:rPr>
        <w:t>. ЛІНГВІСТИКА ПРАВА ТА ЗМІ: СУЧАСНИЙ СТАН ТА ПЕРСПЕКТИВИ РОЗВИТКУ</w:t>
      </w:r>
      <w:bookmarkEnd w:id="311"/>
      <w:r w:rsidRPr="00511005">
        <w:rPr>
          <w:rFonts w:ascii="Arial" w:hAnsi="Arial" w:cs="Arial"/>
          <w:color w:val="auto"/>
          <w:sz w:val="28"/>
          <w:szCs w:val="28"/>
        </w:rPr>
        <w:t xml:space="preserve"> </w:t>
      </w:r>
    </w:p>
    <w:p w14:paraId="2BB0568E" w14:textId="77777777" w:rsidR="003F5D68" w:rsidRPr="00511005" w:rsidRDefault="003F5D68" w:rsidP="003A292D">
      <w:pPr>
        <w:keepNext/>
        <w:spacing w:line="264" w:lineRule="auto"/>
        <w:ind w:firstLine="0"/>
        <w:jc w:val="left"/>
        <w:rPr>
          <w:rFonts w:ascii="Arial" w:hAnsi="Arial" w:cs="Arial"/>
          <w:szCs w:val="28"/>
        </w:rPr>
      </w:pPr>
    </w:p>
    <w:p w14:paraId="15A41112" w14:textId="77777777" w:rsidR="00AE57E7" w:rsidRPr="00511005" w:rsidRDefault="00AE57E7" w:rsidP="003A292D">
      <w:pPr>
        <w:spacing w:line="264" w:lineRule="auto"/>
        <w:ind w:firstLine="0"/>
        <w:jc w:val="center"/>
        <w:rPr>
          <w:rFonts w:ascii="Arial" w:eastAsia="Times New Roman" w:hAnsi="Arial" w:cs="Arial"/>
          <w:b/>
          <w:i/>
          <w:iCs/>
          <w:szCs w:val="28"/>
          <w:lang w:val="uk-UA"/>
        </w:rPr>
      </w:pPr>
      <w:r w:rsidRPr="00511005">
        <w:rPr>
          <w:rFonts w:ascii="Arial" w:eastAsia="Times New Roman" w:hAnsi="Arial" w:cs="Arial"/>
          <w:b/>
          <w:i/>
          <w:iCs/>
          <w:szCs w:val="28"/>
          <w:lang w:val="uk-UA"/>
        </w:rPr>
        <w:t>Бульба Вікторія Вадимівна</w:t>
      </w:r>
    </w:p>
    <w:p w14:paraId="522F8A8C" w14:textId="14EDB0B0" w:rsidR="00AE57E7" w:rsidRPr="00511005" w:rsidRDefault="00536AAB"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студентка 2-го курсу факультету журналістики</w:t>
      </w:r>
    </w:p>
    <w:p w14:paraId="04E300BE" w14:textId="6EFB6E84" w:rsidR="00AE57E7"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13A0315F" w14:textId="77777777" w:rsidR="00AE57E7" w:rsidRPr="00511005" w:rsidRDefault="00AE57E7" w:rsidP="003A292D">
      <w:pPr>
        <w:spacing w:line="264" w:lineRule="auto"/>
        <w:ind w:firstLine="0"/>
        <w:jc w:val="center"/>
        <w:rPr>
          <w:rFonts w:ascii="Arial" w:eastAsia="Times New Roman" w:hAnsi="Arial" w:cs="Arial"/>
          <w:b/>
          <w:szCs w:val="28"/>
          <w:lang w:val="uk-UA"/>
        </w:rPr>
      </w:pPr>
    </w:p>
    <w:p w14:paraId="0392D3C5" w14:textId="77777777" w:rsidR="00AE57E7" w:rsidRPr="00511005" w:rsidRDefault="00AE57E7"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ВПЛИВ АНГЛІЙСЬКИХ ЗАПОЗИЧЕНЬ НА РОЗВИТОК УКРАЇНСЬКОЇ МОВИ</w:t>
      </w:r>
    </w:p>
    <w:p w14:paraId="32D2E045" w14:textId="37E603E0"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szCs w:val="28"/>
          <w:lang w:val="uk-UA"/>
        </w:rPr>
        <w:t>Запозичення</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з англійської мови мають велику роль у формуванні та збагаченні української мови, а також впливають на мовну структуру, лексичний запас та стилістичне розмаїття. Використання англіцизмів має позитивні і негативні аспекти, а саме,</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розширення словникового запасу та можливу загрозу для мовної автентичності української мови. «Формування лексичного складу будь-якої мови завжди було предметом наукового вивчення. Процеси зміни лексики (виникнення одних мовних одиниць, зникнення інших) є результатом як мовних, так і позамовних чинників. Саме тому цілком виправданим є звернення сучасних лінгвістів до питання мовних запозичень як одного з джерел поповнення лексичного складу будь-якої мови» [2].</w:t>
      </w:r>
    </w:p>
    <w:p w14:paraId="5EF27747" w14:textId="77777777"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szCs w:val="28"/>
          <w:lang w:val="uk-UA"/>
        </w:rPr>
        <w:t>Проблемам запозичень в українській мові присвячені роботи Б.М.Ажнюка, О.С.Ахманової, Ю.В.Жлуктенка, О.Г. Муромцевої тощо. Одні вчені розглядають англіцизми як засіб, що допомагає заповнити лексичні прогалини, стверджуючи, що процес запозичення є природним явищем для мов, що розвиваються, інші говорять про ризик втрати автентичності української мови через надмірну кількість запозичень. Мовознавці також вивчають процес адаптації англіцизмів, досліджуючи фонетичні, морфологічні та семантичні зміни, яких зазнають слова при пристосуванні до української мови. Вчені зазначають, що багато англіцизмів під час адаптації до українських норм трансформуються і стають більш природними для українського мовлення.</w:t>
      </w:r>
    </w:p>
    <w:p w14:paraId="16D6D22F" w14:textId="4DC8FEFE"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szCs w:val="28"/>
          <w:lang w:val="uk-UA"/>
        </w:rPr>
        <w:t>Тема впливу англійських</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запозичень на розвиток української мови є особливо цікавою для здобувачів-філологів, оскільки вона дозволяє глибше вивчити процеси формування української мови та її здатність підлаштовуватися до нових реалій, аналізувати, як інші культури та історичні події впливають на українську мову. Актуальність теми обумовлена сучасними процесами глобалізації, інтенсивним культурним та науковим обміном, що сприяє активному проникненню іншомовної лексики в українську мову. </w:t>
      </w:r>
    </w:p>
    <w:p w14:paraId="4A4A246C" w14:textId="77777777"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bCs/>
          <w:szCs w:val="28"/>
          <w:lang w:val="uk-UA"/>
        </w:rPr>
        <w:t>Метою статті</w:t>
      </w:r>
      <w:r w:rsidRPr="00511005">
        <w:rPr>
          <w:rFonts w:ascii="Arial" w:eastAsia="Times New Roman" w:hAnsi="Arial" w:cs="Arial"/>
          <w:b/>
          <w:szCs w:val="28"/>
          <w:lang w:val="uk-UA"/>
        </w:rPr>
        <w:t xml:space="preserve"> </w:t>
      </w:r>
      <w:r w:rsidRPr="00511005">
        <w:rPr>
          <w:rFonts w:ascii="Arial" w:eastAsia="Times New Roman" w:hAnsi="Arial" w:cs="Arial"/>
          <w:szCs w:val="28"/>
          <w:lang w:val="uk-UA"/>
        </w:rPr>
        <w:t>є дослідження найпоширеніших видів англіцизмів-запозичень та сфери їх використання.</w:t>
      </w:r>
    </w:p>
    <w:p w14:paraId="19642ACA" w14:textId="77777777"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szCs w:val="28"/>
          <w:lang w:val="uk-UA"/>
        </w:rPr>
        <w:lastRenderedPageBreak/>
        <w:t xml:space="preserve">Передовсім розглянемо поняття </w:t>
      </w:r>
      <w:r w:rsidRPr="00511005">
        <w:rPr>
          <w:rFonts w:ascii="Arial" w:eastAsia="Times New Roman" w:hAnsi="Arial" w:cs="Arial"/>
          <w:i/>
          <w:iCs/>
          <w:szCs w:val="28"/>
          <w:lang w:val="uk-UA"/>
        </w:rPr>
        <w:t>мовне запозичення</w:t>
      </w:r>
      <w:r w:rsidRPr="00511005">
        <w:rPr>
          <w:rFonts w:ascii="Arial" w:eastAsia="Times New Roman" w:hAnsi="Arial" w:cs="Arial"/>
          <w:szCs w:val="28"/>
          <w:lang w:val="uk-UA"/>
        </w:rPr>
        <w:t xml:space="preserve"> та </w:t>
      </w:r>
      <w:r w:rsidRPr="00511005">
        <w:rPr>
          <w:rFonts w:ascii="Arial" w:eastAsia="Times New Roman" w:hAnsi="Arial" w:cs="Arial"/>
          <w:i/>
          <w:iCs/>
          <w:szCs w:val="28"/>
          <w:lang w:val="uk-UA"/>
        </w:rPr>
        <w:t>англіцизм</w:t>
      </w:r>
      <w:r w:rsidRPr="00511005">
        <w:rPr>
          <w:rFonts w:ascii="Arial" w:eastAsia="Times New Roman" w:hAnsi="Arial" w:cs="Arial"/>
          <w:szCs w:val="28"/>
          <w:lang w:val="uk-UA"/>
        </w:rPr>
        <w:t xml:space="preserve">. Запозичення – елемент чужої мови (слово, морфема, синтаксична конструкція та ін.), який було перенесено з однієї мови до іншої в результаті мовних контактів [1]. </w:t>
      </w:r>
      <w:r w:rsidRPr="00511005">
        <w:rPr>
          <w:rFonts w:ascii="Arial" w:eastAsia="Times New Roman" w:hAnsi="Arial" w:cs="Arial"/>
          <w:bCs/>
          <w:szCs w:val="28"/>
          <w:lang w:val="uk-UA"/>
        </w:rPr>
        <w:t>Англіцизм</w:t>
      </w:r>
      <w:r w:rsidRPr="00511005">
        <w:rPr>
          <w:rFonts w:ascii="Arial" w:eastAsia="Times New Roman" w:hAnsi="Arial" w:cs="Arial"/>
          <w:b/>
          <w:szCs w:val="28"/>
          <w:lang w:val="uk-UA"/>
        </w:rPr>
        <w:t xml:space="preserve"> </w:t>
      </w:r>
      <w:r w:rsidRPr="00511005">
        <w:rPr>
          <w:rFonts w:ascii="Arial" w:eastAsia="Times New Roman" w:hAnsi="Arial" w:cs="Arial"/>
          <w:szCs w:val="28"/>
          <w:lang w:val="uk-UA"/>
        </w:rPr>
        <w:t>– різновид мовного запозичення: слово, його окреме значення, вислів тощо, які запозичені чи перекладені з англійської мови, також утворені за її зразком [Там само].</w:t>
      </w:r>
    </w:p>
    <w:p w14:paraId="0A8D5A5E" w14:textId="77777777" w:rsidR="007B2628"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Інтенсивний процес інтеграції англіцизмів в українську мову зумовлений глобалізацією та технологічним прогресом. Вони часто не мають відповідників в українській мові, що сприяє їх інтеграції у повсякденне мовлення, але одночасно викликає потребу у їх адаптації. </w:t>
      </w:r>
    </w:p>
    <w:p w14:paraId="136919C9" w14:textId="0C85F825"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szCs w:val="28"/>
          <w:lang w:val="uk-UA"/>
        </w:rPr>
        <w:tab/>
        <w:t xml:space="preserve">Причини запозичень можуть бути і мовними, що мають об’єктивний характер, як-от: потреба називати нові речі та нові ідеї; відсутність відповідних понять у когнітивній базі іншої мови; заміна багатослівного виразу одним словом для використання скороченого варіанту (напр. </w:t>
      </w:r>
      <w:r w:rsidRPr="00511005">
        <w:rPr>
          <w:rFonts w:ascii="Arial" w:eastAsia="Times New Roman" w:hAnsi="Arial" w:cs="Arial"/>
          <w:i/>
          <w:iCs/>
          <w:szCs w:val="28"/>
          <w:lang w:val="uk-UA"/>
        </w:rPr>
        <w:t>бек-вокалісти</w:t>
      </w:r>
      <w:r w:rsidRPr="00511005">
        <w:rPr>
          <w:rFonts w:ascii="Arial" w:eastAsia="Times New Roman" w:hAnsi="Arial" w:cs="Arial"/>
          <w:szCs w:val="28"/>
          <w:lang w:val="uk-UA"/>
        </w:rPr>
        <w:t xml:space="preserve">, замість </w:t>
      </w:r>
      <w:r w:rsidRPr="00511005">
        <w:rPr>
          <w:rFonts w:ascii="Arial" w:eastAsia="Times New Roman" w:hAnsi="Arial" w:cs="Arial"/>
          <w:i/>
          <w:iCs/>
          <w:szCs w:val="28"/>
          <w:lang w:val="uk-UA"/>
        </w:rPr>
        <w:t>співаки, які акомпанують вокальні партії</w:t>
      </w:r>
      <w:r w:rsidRPr="00511005">
        <w:rPr>
          <w:rFonts w:ascii="Arial" w:eastAsia="Times New Roman" w:hAnsi="Arial" w:cs="Arial"/>
          <w:szCs w:val="28"/>
          <w:lang w:val="uk-UA"/>
        </w:rPr>
        <w:t xml:space="preserve">); прагнення до новизни, свіжості, емоційності та виразності на тлі стандартів (напр. прикметник англомовного походження </w:t>
      </w:r>
      <w:r w:rsidRPr="00511005">
        <w:rPr>
          <w:rFonts w:ascii="Arial" w:eastAsia="Times New Roman" w:hAnsi="Arial" w:cs="Arial"/>
          <w:i/>
          <w:iCs/>
          <w:szCs w:val="28"/>
          <w:lang w:val="uk-UA"/>
        </w:rPr>
        <w:t xml:space="preserve">фанівський </w:t>
      </w:r>
      <w:r w:rsidRPr="00511005">
        <w:rPr>
          <w:rFonts w:ascii="Arial" w:eastAsia="Times New Roman" w:hAnsi="Arial" w:cs="Arial"/>
          <w:szCs w:val="28"/>
          <w:lang w:val="uk-UA"/>
        </w:rPr>
        <w:t xml:space="preserve">(англ. </w:t>
      </w:r>
      <w:r w:rsidRPr="00511005">
        <w:rPr>
          <w:rFonts w:ascii="Arial" w:eastAsia="Times New Roman" w:hAnsi="Arial" w:cs="Arial"/>
          <w:i/>
          <w:iCs/>
          <w:szCs w:val="28"/>
          <w:lang w:val="uk-UA"/>
        </w:rPr>
        <w:t>Fan</w:t>
      </w:r>
      <w:r w:rsidRPr="00511005">
        <w:rPr>
          <w:rFonts w:ascii="Arial" w:eastAsia="Times New Roman" w:hAnsi="Arial" w:cs="Arial"/>
          <w:szCs w:val="28"/>
          <w:lang w:val="uk-UA"/>
        </w:rPr>
        <w:t xml:space="preserve"> – шанувальник) [4].</w:t>
      </w:r>
    </w:p>
    <w:p w14:paraId="420EFA14" w14:textId="77777777"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szCs w:val="28"/>
          <w:lang w:val="uk-UA"/>
        </w:rPr>
        <w:t>До немовних причин прийнято відносити такі фактори, як розвиток економічних та культурних зв’язків між іншими країнами та Україною; вплив стереотипних уявлень про інші країни та їхній спосіб життя серед широкої громадськості; використання мовцями слів іншомовного походження, щоб показати свою культуру та неординарність тощо.</w:t>
      </w:r>
    </w:p>
    <w:p w14:paraId="539CA4BC" w14:textId="77777777"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Зрозуміло, що англіцизми збільшують лексичне розмаїття, допомагаючи українській мові залишатися сучасною та гнучкою в умовах світових змін. Але існує небезпека надмірного використання іншомовної лексики, що може загрожувати мовній ідентичності, витісняючи автентичні українські слова та вирази. Неконтрольоване запозичення може перетворитися на «засмічення» мови, що знижує її стилістичну цінність.. Наприклад, слова </w:t>
      </w:r>
      <w:r w:rsidRPr="00511005">
        <w:rPr>
          <w:rFonts w:ascii="Arial" w:eastAsia="Times New Roman" w:hAnsi="Arial" w:cs="Arial"/>
          <w:i/>
          <w:iCs/>
          <w:szCs w:val="28"/>
          <w:lang w:val="uk-UA"/>
        </w:rPr>
        <w:t xml:space="preserve">івент </w:t>
      </w:r>
      <w:r w:rsidRPr="00511005">
        <w:rPr>
          <w:rFonts w:ascii="Arial" w:eastAsia="Times New Roman" w:hAnsi="Arial" w:cs="Arial"/>
          <w:szCs w:val="28"/>
          <w:lang w:val="uk-UA"/>
        </w:rPr>
        <w:t xml:space="preserve">або </w:t>
      </w:r>
      <w:r w:rsidRPr="00511005">
        <w:rPr>
          <w:rFonts w:ascii="Arial" w:eastAsia="Times New Roman" w:hAnsi="Arial" w:cs="Arial"/>
          <w:i/>
          <w:iCs/>
          <w:szCs w:val="28"/>
          <w:lang w:val="uk-UA"/>
        </w:rPr>
        <w:t>менеджмент</w:t>
      </w:r>
      <w:r w:rsidRPr="00511005">
        <w:rPr>
          <w:rFonts w:ascii="Arial" w:eastAsia="Times New Roman" w:hAnsi="Arial" w:cs="Arial"/>
          <w:szCs w:val="28"/>
          <w:lang w:val="uk-UA"/>
        </w:rPr>
        <w:t xml:space="preserve"> часто використовуються замість </w:t>
      </w:r>
      <w:r w:rsidRPr="00511005">
        <w:rPr>
          <w:rFonts w:ascii="Arial" w:eastAsia="Times New Roman" w:hAnsi="Arial" w:cs="Arial"/>
          <w:i/>
          <w:iCs/>
          <w:szCs w:val="28"/>
          <w:lang w:val="uk-UA"/>
        </w:rPr>
        <w:t>подія</w:t>
      </w:r>
      <w:r w:rsidRPr="00511005">
        <w:rPr>
          <w:rFonts w:ascii="Arial" w:eastAsia="Times New Roman" w:hAnsi="Arial" w:cs="Arial"/>
          <w:szCs w:val="28"/>
          <w:lang w:val="uk-UA"/>
        </w:rPr>
        <w:t xml:space="preserve"> і </w:t>
      </w:r>
      <w:r w:rsidRPr="00511005">
        <w:rPr>
          <w:rFonts w:ascii="Arial" w:eastAsia="Times New Roman" w:hAnsi="Arial" w:cs="Arial"/>
          <w:i/>
          <w:iCs/>
          <w:szCs w:val="28"/>
          <w:lang w:val="uk-UA"/>
        </w:rPr>
        <w:t>управління</w:t>
      </w:r>
      <w:r w:rsidRPr="00511005">
        <w:rPr>
          <w:rFonts w:ascii="Arial" w:eastAsia="Times New Roman" w:hAnsi="Arial" w:cs="Arial"/>
          <w:szCs w:val="28"/>
          <w:lang w:val="uk-UA"/>
        </w:rPr>
        <w:t xml:space="preserve">, що створює певний дисонанс у мовленні. </w:t>
      </w:r>
    </w:p>
    <w:p w14:paraId="3B68A779" w14:textId="77777777"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Звичайно, надмірне і недоречне використання англійських слів є неприпустимим, і шкодить українській мові. «Ні вчені-лінгвісти, ні журналісти та письменники не повинні сидіти склавши руки та спостерігати, як засмічується англіцизмами рідна мова. Але заборони тут не допоможуть. Потрібно виховувати культуру мовлення, мовленнєвий смак у сучасних мовців, а смак – головна умова правильного і доречного вживання мовленнєвих засобів як запозичених, так і своїх, власних» [3]. </w:t>
      </w:r>
    </w:p>
    <w:p w14:paraId="38EDAB5E" w14:textId="77777777"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Зміни в суспільно-політичній, державній та економічній системах України тривають і продовжують породжувати нові слова, серед яких досить великий відсоток складають запозичення. </w:t>
      </w:r>
    </w:p>
    <w:p w14:paraId="10D409E5" w14:textId="77777777"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szCs w:val="28"/>
          <w:lang w:val="uk-UA"/>
        </w:rPr>
        <w:lastRenderedPageBreak/>
        <w:t>Проведене серед громадян міста Одеси опитування засвідчило таке ставлення до уживання запозичень: молоде покоління вважає, що використання запозичень допомагає збагачувати українську мову і дає змогу розуміти нові технології; старше покоління – що краще використовувати українські аналоги, щоб не забруднювати мову. Деякі українці, особливо професіонали в галузі технологій, бізнесу і науки, визнають англіцизми невід'ємною частиною сучасної мови, що дозволяє їм вільно інтегруватися в міжнародне середовище. Інші вважають, що важливо використовувати тільки запозичення, які не мають точного українського аналога, і віддавати перевагу автентичній лексиці.</w:t>
      </w:r>
    </w:p>
    <w:p w14:paraId="318C5A61" w14:textId="77777777" w:rsidR="00AE57E7" w:rsidRPr="00511005" w:rsidRDefault="00AE57E7" w:rsidP="00657820">
      <w:pPr>
        <w:spacing w:line="264" w:lineRule="auto"/>
        <w:rPr>
          <w:rFonts w:ascii="Arial" w:eastAsia="Times New Roman" w:hAnsi="Arial" w:cs="Arial"/>
          <w:szCs w:val="28"/>
          <w:lang w:val="uk-UA"/>
        </w:rPr>
      </w:pPr>
      <w:r w:rsidRPr="00511005">
        <w:rPr>
          <w:rFonts w:ascii="Arial" w:eastAsia="Times New Roman" w:hAnsi="Arial" w:cs="Arial"/>
          <w:bCs/>
          <w:szCs w:val="28"/>
          <w:lang w:val="uk-UA"/>
        </w:rPr>
        <w:t>Таким чином,</w:t>
      </w:r>
      <w:r w:rsidRPr="00511005">
        <w:rPr>
          <w:rFonts w:ascii="Arial" w:eastAsia="Times New Roman" w:hAnsi="Arial" w:cs="Arial"/>
          <w:b/>
          <w:szCs w:val="28"/>
          <w:lang w:val="uk-UA"/>
        </w:rPr>
        <w:t xml:space="preserve"> </w:t>
      </w:r>
      <w:r w:rsidRPr="00511005">
        <w:rPr>
          <w:rFonts w:ascii="Arial" w:eastAsia="Times New Roman" w:hAnsi="Arial" w:cs="Arial"/>
          <w:szCs w:val="28"/>
          <w:lang w:val="uk-UA"/>
        </w:rPr>
        <w:t>вплив англійської мови на українську є одним з найважливіших мовних процесів сучасності. Англійська мова проникла в українську мову на різних рівнях – від повсякденного спілкування до науково-технічної та культурної сфер. Однак, незважаючи на позитивні сторони, надмірне використання англіцизмів може призвести до послаблення мовної ідентичності країни та складнощів у розумінні для широкого кола носіїв мови. Тому важливо знайти баланс між використанням англіцізмів та запозичень.</w:t>
      </w:r>
    </w:p>
    <w:p w14:paraId="7073F9F3" w14:textId="77777777" w:rsidR="00AE57E7" w:rsidRPr="00511005" w:rsidRDefault="00AE57E7" w:rsidP="003A292D">
      <w:pPr>
        <w:spacing w:line="264" w:lineRule="auto"/>
        <w:ind w:firstLine="0"/>
        <w:jc w:val="center"/>
        <w:rPr>
          <w:rFonts w:ascii="Arial" w:eastAsia="Times New Roman" w:hAnsi="Arial" w:cs="Arial"/>
          <w:b/>
          <w:bCs/>
          <w:szCs w:val="28"/>
          <w:lang w:val="uk-UA"/>
        </w:rPr>
      </w:pPr>
    </w:p>
    <w:p w14:paraId="2C48E0C1" w14:textId="72332678" w:rsidR="00AE57E7" w:rsidRPr="00511005" w:rsidRDefault="007B2628" w:rsidP="007B2628">
      <w:pPr>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02E32129" w14:textId="77777777" w:rsidR="00AE57E7" w:rsidRPr="00511005" w:rsidRDefault="00AE57E7" w:rsidP="003F6A5D">
      <w:pPr>
        <w:numPr>
          <w:ilvl w:val="0"/>
          <w:numId w:val="787"/>
        </w:numPr>
        <w:tabs>
          <w:tab w:val="left" w:pos="993"/>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Вікіпедія URL: https://uk.wikipedia.org/wiki</w:t>
      </w:r>
    </w:p>
    <w:p w14:paraId="5E7BDB96" w14:textId="77777777" w:rsidR="00AE57E7" w:rsidRPr="00511005" w:rsidRDefault="00AE57E7" w:rsidP="003F6A5D">
      <w:pPr>
        <w:numPr>
          <w:ilvl w:val="0"/>
          <w:numId w:val="787"/>
        </w:numPr>
        <w:tabs>
          <w:tab w:val="left" w:pos="993"/>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Дьолог О. С. Процес адаптації новітніх англійських запозичень у</w:t>
      </w:r>
    </w:p>
    <w:p w14:paraId="50A40473" w14:textId="77777777" w:rsidR="00AE57E7" w:rsidRPr="00511005" w:rsidRDefault="00AE57E7" w:rsidP="003A292D">
      <w:pPr>
        <w:tabs>
          <w:tab w:val="left" w:pos="993"/>
        </w:tabs>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сучасному українському мовленні. Режим доступу: http://movoznavstvo. com. ua с.1</w:t>
      </w:r>
    </w:p>
    <w:p w14:paraId="3F4BA364" w14:textId="3170C65D" w:rsidR="00AE57E7" w:rsidRPr="00511005" w:rsidRDefault="00AE57E7" w:rsidP="003F6A5D">
      <w:pPr>
        <w:numPr>
          <w:ilvl w:val="0"/>
          <w:numId w:val="787"/>
        </w:numPr>
        <w:tabs>
          <w:tab w:val="left" w:pos="993"/>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Калужинська Ю. В. Мовні та позамовні причини проникнення</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у сучасну</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українську мову. </w:t>
      </w:r>
      <w:r w:rsidRPr="00511005">
        <w:rPr>
          <w:rFonts w:ascii="Arial" w:eastAsia="Times New Roman" w:hAnsi="Arial" w:cs="Arial"/>
          <w:i/>
          <w:szCs w:val="28"/>
          <w:lang w:val="uk-UA"/>
        </w:rPr>
        <w:t xml:space="preserve">Соціум. Документ. Комунікація. </w:t>
      </w:r>
      <w:r w:rsidRPr="00511005">
        <w:rPr>
          <w:rFonts w:ascii="Arial" w:eastAsia="Times New Roman" w:hAnsi="Arial" w:cs="Arial"/>
          <w:iCs/>
          <w:szCs w:val="28"/>
          <w:lang w:val="uk-UA"/>
        </w:rPr>
        <w:t>2016. № 2.</w:t>
      </w:r>
      <w:r w:rsidRPr="00511005">
        <w:rPr>
          <w:rFonts w:ascii="Arial" w:eastAsia="Times New Roman" w:hAnsi="Arial" w:cs="Arial"/>
          <w:szCs w:val="28"/>
          <w:lang w:val="uk-UA"/>
        </w:rPr>
        <w:t xml:space="preserve"> С. 112–115.</w:t>
      </w:r>
    </w:p>
    <w:p w14:paraId="53C81795" w14:textId="77777777" w:rsidR="00AE57E7" w:rsidRPr="00511005" w:rsidRDefault="00AE57E7" w:rsidP="003F6A5D">
      <w:pPr>
        <w:numPr>
          <w:ilvl w:val="0"/>
          <w:numId w:val="787"/>
        </w:numPr>
        <w:tabs>
          <w:tab w:val="left" w:pos="993"/>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Марченко А.М. Англіцизми в українській мові. </w:t>
      </w:r>
      <w:r w:rsidRPr="00511005">
        <w:rPr>
          <w:rFonts w:ascii="Arial" w:eastAsia="Times New Roman" w:hAnsi="Arial" w:cs="Arial"/>
          <w:i/>
          <w:iCs/>
          <w:szCs w:val="28"/>
          <w:lang w:val="uk-UA"/>
        </w:rPr>
        <w:t>Національна ідентичність в мові і культурі :</w:t>
      </w:r>
      <w:r w:rsidRPr="00511005">
        <w:rPr>
          <w:rFonts w:ascii="Arial" w:eastAsia="Times New Roman" w:hAnsi="Arial" w:cs="Arial"/>
          <w:i/>
          <w:szCs w:val="28"/>
          <w:lang w:val="uk-UA"/>
        </w:rPr>
        <w:t xml:space="preserve"> зб. наук. пр. </w:t>
      </w:r>
      <w:r w:rsidRPr="00511005">
        <w:rPr>
          <w:rFonts w:ascii="Arial" w:eastAsia="Times New Roman" w:hAnsi="Arial" w:cs="Arial"/>
          <w:iCs/>
          <w:szCs w:val="28"/>
          <w:lang w:val="uk-UA"/>
        </w:rPr>
        <w:t>Київ/Талком, 2021.</w:t>
      </w:r>
      <w:r w:rsidRPr="00511005">
        <w:rPr>
          <w:rFonts w:ascii="Arial" w:eastAsia="Times New Roman" w:hAnsi="Arial" w:cs="Arial"/>
          <w:szCs w:val="28"/>
          <w:lang w:val="uk-UA"/>
        </w:rPr>
        <w:t xml:space="preserve"> С.177-179.</w:t>
      </w:r>
    </w:p>
    <w:p w14:paraId="3E3D8A51" w14:textId="77777777" w:rsidR="00AE57E7" w:rsidRPr="00511005" w:rsidRDefault="00AE57E7" w:rsidP="003A292D">
      <w:pPr>
        <w:tabs>
          <w:tab w:val="left" w:pos="993"/>
        </w:tabs>
        <w:spacing w:line="264" w:lineRule="auto"/>
        <w:ind w:firstLine="0"/>
        <w:rPr>
          <w:rFonts w:ascii="Arial" w:eastAsia="Times New Roman" w:hAnsi="Arial" w:cs="Arial"/>
          <w:b/>
          <w:bCs/>
          <w:szCs w:val="28"/>
          <w:lang w:val="uk-UA"/>
        </w:rPr>
      </w:pPr>
    </w:p>
    <w:p w14:paraId="59F02170" w14:textId="7D898C59" w:rsidR="00AE57E7" w:rsidRPr="00511005" w:rsidRDefault="007B2628" w:rsidP="003A292D">
      <w:pPr>
        <w:tabs>
          <w:tab w:val="left" w:pos="993"/>
        </w:tabs>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AE57E7" w:rsidRPr="00511005">
        <w:rPr>
          <w:rFonts w:ascii="Arial" w:eastAsia="Times New Roman" w:hAnsi="Arial" w:cs="Arial"/>
          <w:szCs w:val="28"/>
          <w:lang w:val="uk-UA"/>
        </w:rPr>
        <w:t>англіцизм, мовне запозичення, когнітивна база мови, мовна ідентичність.</w:t>
      </w:r>
    </w:p>
    <w:p w14:paraId="6C3FA19F" w14:textId="4F2B86C9" w:rsidR="00AE57E7" w:rsidRPr="00511005" w:rsidRDefault="007B2628" w:rsidP="003A292D">
      <w:pPr>
        <w:tabs>
          <w:tab w:val="left" w:pos="993"/>
        </w:tabs>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AE57E7" w:rsidRPr="00511005">
        <w:rPr>
          <w:rFonts w:ascii="Arial" w:eastAsia="Times New Roman" w:hAnsi="Arial" w:cs="Arial"/>
          <w:szCs w:val="28"/>
          <w:lang w:val="uk-UA"/>
        </w:rPr>
        <w:t>Anglicism, language borrowing, cognitive basis of language, language identity.</w:t>
      </w:r>
    </w:p>
    <w:p w14:paraId="60284C18" w14:textId="2ADE7085" w:rsidR="00AE57E7" w:rsidRPr="00511005" w:rsidRDefault="007B2628" w:rsidP="003A292D">
      <w:pPr>
        <w:tabs>
          <w:tab w:val="left" w:pos="993"/>
        </w:tabs>
        <w:spacing w:line="264" w:lineRule="auto"/>
        <w:ind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AE57E7" w:rsidRPr="00511005">
        <w:rPr>
          <w:rFonts w:ascii="Arial" w:eastAsia="Times New Roman" w:hAnsi="Arial" w:cs="Arial"/>
          <w:i/>
          <w:iCs/>
          <w:szCs w:val="28"/>
          <w:lang w:val="uk-UA"/>
        </w:rPr>
        <w:t>доктор філолог.н., професор Мамич М.В.</w:t>
      </w:r>
    </w:p>
    <w:p w14:paraId="73F3BAC5" w14:textId="77777777" w:rsidR="00AE57E7" w:rsidRPr="00511005" w:rsidRDefault="00AE57E7" w:rsidP="003A292D">
      <w:pPr>
        <w:spacing w:line="264" w:lineRule="auto"/>
        <w:ind w:firstLine="0"/>
        <w:jc w:val="left"/>
        <w:rPr>
          <w:rFonts w:ascii="Arial" w:eastAsia="Times New Roman" w:hAnsi="Arial" w:cs="Arial"/>
          <w:szCs w:val="28"/>
          <w:lang w:val="uk-UA" w:eastAsia="ru-RU"/>
        </w:rPr>
      </w:pPr>
    </w:p>
    <w:p w14:paraId="60A70129" w14:textId="77777777" w:rsidR="004A03EB" w:rsidRDefault="004A03EB">
      <w:pPr>
        <w:spacing w:after="200" w:line="276" w:lineRule="auto"/>
        <w:ind w:firstLine="0"/>
        <w:jc w:val="left"/>
        <w:rPr>
          <w:rFonts w:ascii="Arial" w:eastAsia="Calibri" w:hAnsi="Arial" w:cs="Arial"/>
          <w:b/>
          <w:i/>
          <w:iCs/>
          <w:szCs w:val="28"/>
        </w:rPr>
      </w:pPr>
      <w:r>
        <w:rPr>
          <w:rFonts w:ascii="Arial" w:eastAsia="Calibri" w:hAnsi="Arial" w:cs="Arial"/>
          <w:b/>
          <w:i/>
          <w:iCs/>
          <w:szCs w:val="28"/>
        </w:rPr>
        <w:br w:type="page"/>
      </w:r>
    </w:p>
    <w:p w14:paraId="0FFDCC12" w14:textId="7DDB49B1" w:rsidR="00AE57E7" w:rsidRPr="00511005" w:rsidRDefault="00AE57E7" w:rsidP="003A292D">
      <w:pPr>
        <w:spacing w:line="264" w:lineRule="auto"/>
        <w:ind w:firstLine="0"/>
        <w:jc w:val="center"/>
        <w:rPr>
          <w:rFonts w:ascii="Arial" w:eastAsia="Calibri" w:hAnsi="Arial" w:cs="Arial"/>
          <w:b/>
          <w:i/>
          <w:iCs/>
          <w:szCs w:val="28"/>
          <w:lang w:val="uk-UA"/>
        </w:rPr>
      </w:pPr>
      <w:r w:rsidRPr="00511005">
        <w:rPr>
          <w:rFonts w:ascii="Arial" w:eastAsia="Calibri" w:hAnsi="Arial" w:cs="Arial"/>
          <w:b/>
          <w:i/>
          <w:iCs/>
          <w:szCs w:val="28"/>
        </w:rPr>
        <w:lastRenderedPageBreak/>
        <w:t>Волощук Юлія Сергіївна</w:t>
      </w:r>
    </w:p>
    <w:p w14:paraId="59AAD0A2" w14:textId="7662AD4A" w:rsidR="00AE57E7" w:rsidRPr="00511005" w:rsidRDefault="00287A9C" w:rsidP="00657820">
      <w:pPr>
        <w:spacing w:line="264" w:lineRule="auto"/>
        <w:ind w:firstLine="0"/>
        <w:jc w:val="center"/>
        <w:rPr>
          <w:rFonts w:ascii="Arial" w:eastAsia="Times New Roman" w:hAnsi="Arial" w:cs="Arial"/>
          <w:iCs/>
          <w:szCs w:val="28"/>
        </w:rPr>
      </w:pPr>
      <w:r w:rsidRPr="00511005">
        <w:rPr>
          <w:rFonts w:ascii="Arial" w:eastAsia="Times New Roman" w:hAnsi="Arial" w:cs="Arial"/>
          <w:iCs/>
          <w:szCs w:val="28"/>
        </w:rPr>
        <w:t>студент</w:t>
      </w:r>
      <w:r w:rsidR="00AE57E7" w:rsidRPr="00511005">
        <w:rPr>
          <w:rFonts w:ascii="Arial" w:eastAsia="Times New Roman" w:hAnsi="Arial" w:cs="Arial"/>
          <w:iCs/>
          <w:szCs w:val="28"/>
        </w:rPr>
        <w:t xml:space="preserve"> </w:t>
      </w:r>
      <w:r w:rsidR="007B2628" w:rsidRPr="00511005">
        <w:rPr>
          <w:rFonts w:ascii="Arial" w:eastAsia="Times New Roman" w:hAnsi="Arial" w:cs="Arial"/>
          <w:iCs/>
          <w:szCs w:val="28"/>
        </w:rPr>
        <w:t>1-го курсу</w:t>
      </w:r>
      <w:r w:rsidR="00AE57E7" w:rsidRPr="00511005">
        <w:rPr>
          <w:rFonts w:ascii="Arial" w:eastAsia="Times New Roman" w:hAnsi="Arial" w:cs="Arial"/>
          <w:iCs/>
          <w:szCs w:val="28"/>
        </w:rPr>
        <w:t xml:space="preserve"> </w:t>
      </w:r>
      <w:r w:rsidR="00657820" w:rsidRPr="00511005">
        <w:rPr>
          <w:rFonts w:ascii="Arial" w:eastAsia="Times New Roman" w:hAnsi="Arial" w:cs="Arial"/>
          <w:iCs/>
          <w:szCs w:val="28"/>
        </w:rPr>
        <w:t>магістратури</w:t>
      </w:r>
      <w:r w:rsidR="00AE57E7" w:rsidRPr="00511005">
        <w:rPr>
          <w:rFonts w:ascii="Arial" w:eastAsia="Times New Roman" w:hAnsi="Arial" w:cs="Arial"/>
          <w:iCs/>
          <w:szCs w:val="28"/>
        </w:rPr>
        <w:t xml:space="preserve"> </w:t>
      </w:r>
      <w:r w:rsidR="00536AAB" w:rsidRPr="00511005">
        <w:rPr>
          <w:rFonts w:ascii="Arial" w:eastAsia="Times New Roman" w:hAnsi="Arial" w:cs="Arial"/>
          <w:szCs w:val="28"/>
        </w:rPr>
        <w:t>факультету журналістики</w:t>
      </w:r>
    </w:p>
    <w:p w14:paraId="0912C5C0" w14:textId="25936103" w:rsidR="00AE57E7" w:rsidRPr="00511005" w:rsidRDefault="007B2628" w:rsidP="003A292D">
      <w:pPr>
        <w:spacing w:line="264" w:lineRule="auto"/>
        <w:ind w:firstLine="0"/>
        <w:jc w:val="center"/>
        <w:rPr>
          <w:rFonts w:ascii="Arial" w:eastAsia="Times New Roman" w:hAnsi="Arial" w:cs="Arial"/>
          <w:szCs w:val="28"/>
        </w:rPr>
      </w:pPr>
      <w:r w:rsidRPr="00511005">
        <w:rPr>
          <w:rFonts w:ascii="Arial" w:eastAsia="Times New Roman" w:hAnsi="Arial" w:cs="Arial"/>
          <w:szCs w:val="28"/>
        </w:rPr>
        <w:t>Національного університету «Одеська юридична академія»</w:t>
      </w:r>
    </w:p>
    <w:p w14:paraId="303903A2" w14:textId="77777777" w:rsidR="00AE57E7" w:rsidRPr="00511005" w:rsidRDefault="00AE57E7" w:rsidP="003A292D">
      <w:pPr>
        <w:spacing w:line="264" w:lineRule="auto"/>
        <w:ind w:firstLine="0"/>
        <w:jc w:val="right"/>
        <w:rPr>
          <w:rFonts w:ascii="Arial" w:eastAsia="Calibri" w:hAnsi="Arial" w:cs="Arial"/>
          <w:i/>
          <w:iCs/>
          <w:szCs w:val="28"/>
        </w:rPr>
      </w:pPr>
    </w:p>
    <w:p w14:paraId="38F5515B" w14:textId="77777777" w:rsidR="007B2628" w:rsidRPr="00511005" w:rsidRDefault="00AE57E7" w:rsidP="003A292D">
      <w:pPr>
        <w:spacing w:line="264" w:lineRule="auto"/>
        <w:ind w:firstLine="0"/>
        <w:jc w:val="center"/>
        <w:rPr>
          <w:rFonts w:ascii="Arial" w:eastAsia="Calibri" w:hAnsi="Arial" w:cs="Arial"/>
          <w:b/>
          <w:bCs/>
          <w:szCs w:val="28"/>
        </w:rPr>
      </w:pPr>
      <w:r w:rsidRPr="00511005">
        <w:rPr>
          <w:rFonts w:ascii="Arial" w:eastAsia="Calibri" w:hAnsi="Arial" w:cs="Arial"/>
          <w:b/>
          <w:bCs/>
          <w:szCs w:val="28"/>
        </w:rPr>
        <w:t>МЕТОДИ ДОСЛІДЖЕННЯ ПОЛІТИЧНОГО ДИСКУРСУ</w:t>
      </w:r>
    </w:p>
    <w:p w14:paraId="2A3C0009" w14:textId="6BD0811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Політична лінгвістика виконує важливу роль у формуванні громадської думки, забезпеченні та конструюванні соціальної реальності. Вона несе не тільки інформативне, а й маніпулятивне навантаження, спрямоване на зміну установок та поведінки громадськості. Політична мова формує систему цінностей та ідеологію суспільства, відображаючи існуючі в ньому соціальні конфлікти та ієрархію влади [1, с. 25]. Дослідження політичної мови є актуальним з огляду на її здатність впливати на свідомість, що може мати як позитивні, так і негативні наслідки для демократичного суспільства.</w:t>
      </w:r>
    </w:p>
    <w:p w14:paraId="277A6466" w14:textId="77777777" w:rsidR="007B2628"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Проблематика політичного дискурсу знайшла відображення в роботах Т. ван Дейка, який досліджував мовні засоби влади та контроль суспільства через мову [5, с. 58]. Н. Фейрклоу акцентував на ролі політичної мови в підкресленні соціальних відмінностей і підтримці ідеологічних конструкцій [6, с. 145]. Водночас, ряд аспектів залишається не дослідженими, зокрема когнітивний вплив політичної мови на масову свідомість, що зумовлює необхідність комплексного підходу до її вивчення. Також в сучасних дослідженнях недостатньо уваги приділено порівняльному аналізу використання політичної мови в різних соціокультурних контекстах [4, с. 39].</w:t>
      </w:r>
    </w:p>
    <w:p w14:paraId="7EF8F593" w14:textId="363EEF98"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Метою роботи є дослідження основних методів аналізу політичної мови, які дозволяють не лише аналізувати структуру та зміст політичних повідомлень, а й виявляти приховані ідеологічні та когнітивні елементи, що впливають на аудиторію. Завданням є систематизація методів аналізу політичної мови та визначення їхньої ефективності для дослідження дискурсивних практик, спрямованих на формування суспільних цінностей та норм.</w:t>
      </w:r>
    </w:p>
    <w:p w14:paraId="2FF204EF" w14:textId="7777777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Серед основних методів дослідження політичної мови виокремлють:</w:t>
      </w:r>
    </w:p>
    <w:p w14:paraId="72B41A77" w14:textId="77777777" w:rsidR="00AE57E7" w:rsidRPr="00511005" w:rsidRDefault="00AE57E7" w:rsidP="003F6A5D">
      <w:pPr>
        <w:numPr>
          <w:ilvl w:val="0"/>
          <w:numId w:val="788"/>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Контент-аналіз. Цей метод дозволяє виявити частотність використання певних мовних конструкцій, слів і тем. Використовуючи контент-аналіз, можна аналізувати риторику, спрямовану на активацію емоційних реакцій. Наприклад, під час передвиборчих кампаній політики часто звертаються до теми «змін» або «стабільності», щоб викликати почуття впевненості чи надії [2, с. 781].</w:t>
      </w:r>
    </w:p>
    <w:p w14:paraId="026838AD" w14:textId="77777777" w:rsidR="00AE57E7" w:rsidRPr="00511005" w:rsidRDefault="00AE57E7" w:rsidP="003F6A5D">
      <w:pPr>
        <w:numPr>
          <w:ilvl w:val="0"/>
          <w:numId w:val="788"/>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Дискурсивний аналіз. Даний підхід дозволяє досліджувати мову в контексті соціальних та культурних значень, вивчаючи, як певні теми та проблеми стають домінуючими у політичному просторі. Дискурсивний аналіз сприяє розкриттю того, як політична мова відображає або спотворює реальність, створюючи нові інтерпретації подій [3, с. 102</w:t>
      </w:r>
      <w:bookmarkStart w:id="312" w:name="_Hlk181542995"/>
      <w:r w:rsidRPr="00511005">
        <w:rPr>
          <w:rFonts w:ascii="Arial" w:eastAsia="Calibri" w:hAnsi="Arial" w:cs="Arial"/>
          <w:szCs w:val="28"/>
        </w:rPr>
        <w:t>].</w:t>
      </w:r>
      <w:bookmarkEnd w:id="312"/>
    </w:p>
    <w:p w14:paraId="7352F89F" w14:textId="77777777" w:rsidR="00AE57E7" w:rsidRPr="00511005" w:rsidRDefault="00AE57E7" w:rsidP="003F6A5D">
      <w:pPr>
        <w:numPr>
          <w:ilvl w:val="0"/>
          <w:numId w:val="788"/>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lastRenderedPageBreak/>
        <w:t xml:space="preserve">Критичний дискурс-аналіз (КДА). КДА досліджує, як політична мова використовується для збереження чи підриву влади, аналізуючи приховані ідеологічні компоненти та соціальні структури, що підтримують владу. Зокрема, він розглядає такі аспекти, як маніпулятивні прийоми, використання узагальнень або створення «образу ворога» [1, с. 26]. </w:t>
      </w:r>
    </w:p>
    <w:p w14:paraId="5118D94F" w14:textId="77777777" w:rsidR="00AE57E7" w:rsidRPr="00511005" w:rsidRDefault="00AE57E7" w:rsidP="003F6A5D">
      <w:pPr>
        <w:numPr>
          <w:ilvl w:val="0"/>
          <w:numId w:val="788"/>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Когнітивний аналіз. Політична мова часто використовує метафори, що формують сприйняття реальності, наприклад, представлення політичних процесів як «боротьби» або «гри». Це створює уявлення про політику як про змагання, яке потребує переможців та переможених, впливаючи на сприйняття виборців [2, с. 60</w:t>
      </w:r>
      <w:bookmarkStart w:id="313" w:name="_Hlk181543314"/>
      <w:r w:rsidRPr="00511005">
        <w:rPr>
          <w:rFonts w:ascii="Arial" w:eastAsia="Calibri" w:hAnsi="Arial" w:cs="Arial"/>
          <w:szCs w:val="28"/>
        </w:rPr>
        <w:t>].</w:t>
      </w:r>
      <w:bookmarkEnd w:id="313"/>
    </w:p>
    <w:p w14:paraId="41558BAF" w14:textId="77777777" w:rsidR="00AE57E7" w:rsidRPr="00511005" w:rsidRDefault="00AE57E7" w:rsidP="003F6A5D">
      <w:pPr>
        <w:numPr>
          <w:ilvl w:val="0"/>
          <w:numId w:val="788"/>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Риторичний аналіз. Дослідження риторичних засобів політичної мови дає можливість виявити стилістичні прийоми, які використовуються для впливу на емоційний стан аудиторії, зокрема апеляції до патріотизму, страху чи надії [3, с. 146]. Такий аналіз дозволяє зрозуміти, як політичні промови здатні мобілізувати громадськість або знижувати ії критичність.</w:t>
      </w:r>
    </w:p>
    <w:p w14:paraId="09DC8634" w14:textId="77777777" w:rsidR="00AE57E7" w:rsidRPr="00511005" w:rsidRDefault="00AE57E7" w:rsidP="003F6A5D">
      <w:pPr>
        <w:numPr>
          <w:ilvl w:val="0"/>
          <w:numId w:val="788"/>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Соціолінгвістичний підхід. Цей метод дозволяє проаналізувати, як різні соціальні групи використовують політичну мову, враховуючи фактори культури, регіону, ідентичності. Наприклад, можна порівняти, як політичні гасла сприймаються у різних частинах країни залежно від регіональних особливостей [4, с. 40].</w:t>
      </w:r>
    </w:p>
    <w:p w14:paraId="6C153342" w14:textId="77777777" w:rsidR="00AE57E7" w:rsidRPr="00511005" w:rsidRDefault="00AE57E7" w:rsidP="003F6A5D">
      <w:pPr>
        <w:numPr>
          <w:ilvl w:val="0"/>
          <w:numId w:val="788"/>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Психолінгвістичний аналіз. Психолінгвістичний підхід вивчає, як політичні тексти впливають на когнітивні процеси, викликаючи емоційні або поведінкові реакції. Такий аналіз особливо важливий для розуміння, як політична мова може викликати відчуття тривоги або надії [5, с. 791]. </w:t>
      </w:r>
    </w:p>
    <w:p w14:paraId="175D4C81" w14:textId="77777777" w:rsidR="007B2628" w:rsidRPr="00511005" w:rsidRDefault="00AE57E7" w:rsidP="003F6A5D">
      <w:pPr>
        <w:numPr>
          <w:ilvl w:val="0"/>
          <w:numId w:val="788"/>
        </w:numPr>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Корпусний аналіз. Використання корпусу політичних текстів (промов, статей, маніфестів) дозволяє дослідити великі обсяги даних для аналізу статистичних закономірностей у політичних дискурсах. Це допомагає ідентифікувати тематичні пріоритети та стилістичні особливості конкретних політиків або партій [6, с. 13].</w:t>
      </w:r>
    </w:p>
    <w:p w14:paraId="65A5D6C4" w14:textId="1D6A702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 xml:space="preserve">Таким чином, можна зробити висновок, що методи дослідження політичної мови є необхідними інструментами для розуміння політичного впливу, формування громадської думки та виявлення маніпулятивних елементів у публічному дискурсі. Завдяки використанню контент-аналізу, критичного дискурс-аналізу, когнітивного підходу та інших методів можна не лише виявити основні риторичні прийоми, а й зрозуміти соціокультурні контексти, що визначають сприйняття громадськістю політичних повідомлень. Важливість подальших досліджень полягає в інтеграції нових цифрових технологій для аналізу великих обсягів тексту, що дозволить ще точніше і швидше виявляти зміни у використанні політичної мови та нові риторичні тенденції. В майбутньому, зважаючи на швидкий розвиток соціальних медіа та цифрових комунікацій, особливо актуальним стає </w:t>
      </w:r>
      <w:r w:rsidRPr="00511005">
        <w:rPr>
          <w:rFonts w:ascii="Arial" w:eastAsia="Calibri" w:hAnsi="Arial" w:cs="Arial"/>
          <w:szCs w:val="28"/>
        </w:rPr>
        <w:lastRenderedPageBreak/>
        <w:t>застосування методів аналізу політичної мови для протидії дезінформації та маніпуляції свідомістю громадян.</w:t>
      </w:r>
    </w:p>
    <w:p w14:paraId="262D1BD5" w14:textId="77777777" w:rsidR="00AE57E7" w:rsidRPr="00511005" w:rsidRDefault="00AE57E7" w:rsidP="003A292D">
      <w:pPr>
        <w:spacing w:line="264" w:lineRule="auto"/>
        <w:ind w:firstLine="0"/>
        <w:jc w:val="center"/>
        <w:rPr>
          <w:rFonts w:ascii="Arial" w:eastAsia="Times New Roman" w:hAnsi="Arial" w:cs="Arial"/>
          <w:b/>
          <w:szCs w:val="28"/>
          <w:lang w:val="uk-UA"/>
        </w:rPr>
      </w:pPr>
    </w:p>
    <w:p w14:paraId="2B91932C" w14:textId="55640EC0" w:rsidR="00AE57E7" w:rsidRPr="00511005" w:rsidRDefault="007B2628" w:rsidP="007B2628">
      <w:pPr>
        <w:spacing w:line="264" w:lineRule="auto"/>
        <w:ind w:firstLine="0"/>
        <w:jc w:val="center"/>
        <w:rPr>
          <w:rFonts w:ascii="Arial" w:eastAsia="Times New Roman" w:hAnsi="Arial" w:cs="Arial"/>
          <w:b/>
          <w:szCs w:val="28"/>
        </w:rPr>
      </w:pPr>
      <w:r w:rsidRPr="00511005">
        <w:rPr>
          <w:rFonts w:ascii="Arial" w:eastAsia="Times New Roman" w:hAnsi="Arial" w:cs="Arial"/>
          <w:b/>
          <w:szCs w:val="28"/>
          <w:lang w:val="uk-UA"/>
        </w:rPr>
        <w:t>Список використаних джерел</w:t>
      </w:r>
    </w:p>
    <w:p w14:paraId="0AC7BBD4" w14:textId="77777777" w:rsidR="00AE57E7" w:rsidRPr="00511005" w:rsidRDefault="00AE57E7" w:rsidP="003F6A5D">
      <w:pPr>
        <w:numPr>
          <w:ilvl w:val="0"/>
          <w:numId w:val="789"/>
        </w:numPr>
        <w:tabs>
          <w:tab w:val="left" w:pos="993"/>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Ващук Т. Політичний дискурс як об’єкт лінгвістичного дослідження. </w:t>
      </w:r>
      <w:r w:rsidRPr="00511005">
        <w:rPr>
          <w:rFonts w:ascii="Arial" w:eastAsia="Calibri" w:hAnsi="Arial" w:cs="Arial"/>
          <w:i/>
          <w:szCs w:val="28"/>
        </w:rPr>
        <w:t>Вісник Житомирського державного університету ім. Івана Франка.</w:t>
      </w:r>
      <w:r w:rsidRPr="00511005">
        <w:rPr>
          <w:rFonts w:ascii="Arial" w:eastAsia="Calibri" w:hAnsi="Arial" w:cs="Arial"/>
          <w:szCs w:val="28"/>
        </w:rPr>
        <w:t xml:space="preserve"> 2007. № 33. С. 182–185 </w:t>
      </w:r>
    </w:p>
    <w:p w14:paraId="2B7D7A60" w14:textId="77777777" w:rsidR="00AE57E7" w:rsidRPr="00511005" w:rsidRDefault="00AE57E7" w:rsidP="003F6A5D">
      <w:pPr>
        <w:numPr>
          <w:ilvl w:val="0"/>
          <w:numId w:val="789"/>
        </w:numPr>
        <w:tabs>
          <w:tab w:val="left" w:pos="993"/>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Кривий А. Дискурсний аналіз і сучасне мовознавство. </w:t>
      </w:r>
      <w:r w:rsidRPr="00511005">
        <w:rPr>
          <w:rFonts w:ascii="Arial" w:eastAsia="Calibri" w:hAnsi="Arial" w:cs="Arial"/>
          <w:i/>
          <w:szCs w:val="28"/>
        </w:rPr>
        <w:t>Дискурс іноземномовної комунікації.</w:t>
      </w:r>
      <w:r w:rsidRPr="00511005">
        <w:rPr>
          <w:rFonts w:ascii="Arial" w:eastAsia="Calibri" w:hAnsi="Arial" w:cs="Arial"/>
          <w:szCs w:val="28"/>
        </w:rPr>
        <w:t xml:space="preserve"> Львів: Видавництво Львівського національного університету імені Івана Франка, 2001. С. 158–162.</w:t>
      </w:r>
    </w:p>
    <w:p w14:paraId="07CC7DDC" w14:textId="77777777" w:rsidR="00AE57E7" w:rsidRPr="00511005" w:rsidRDefault="00AE57E7" w:rsidP="003F6A5D">
      <w:pPr>
        <w:numPr>
          <w:ilvl w:val="0"/>
          <w:numId w:val="789"/>
        </w:numPr>
        <w:tabs>
          <w:tab w:val="left" w:pos="993"/>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Нагорна Л. Політична мова і мовна політика: діапазон можливостей політичної лінгвістики. </w:t>
      </w:r>
      <w:proofErr w:type="gramStart"/>
      <w:r w:rsidRPr="00511005">
        <w:rPr>
          <w:rFonts w:ascii="Arial" w:eastAsia="Calibri" w:hAnsi="Arial" w:cs="Arial"/>
          <w:szCs w:val="28"/>
        </w:rPr>
        <w:t>Київ :</w:t>
      </w:r>
      <w:proofErr w:type="gramEnd"/>
      <w:r w:rsidRPr="00511005">
        <w:rPr>
          <w:rFonts w:ascii="Arial" w:eastAsia="Calibri" w:hAnsi="Arial" w:cs="Arial"/>
          <w:szCs w:val="28"/>
        </w:rPr>
        <w:t xml:space="preserve"> Світогляд, 2005. 315 с.</w:t>
      </w:r>
    </w:p>
    <w:p w14:paraId="4B051140" w14:textId="77777777" w:rsidR="00AE57E7" w:rsidRPr="00511005" w:rsidRDefault="00AE57E7" w:rsidP="003F6A5D">
      <w:pPr>
        <w:numPr>
          <w:ilvl w:val="0"/>
          <w:numId w:val="789"/>
        </w:numPr>
        <w:tabs>
          <w:tab w:val="left" w:pos="993"/>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Михайленко Л. Л. Динаміка суспільно-політичної лексики української мови кінця ХХ - початку ХХІ століття (на матеріалі мови українських засобів масової інформації). (автореф. дис... канд. філол.) НаукІн-т мовознав. ім. О. О. Потебні НАН України. Київ. 2009. 19 с.</w:t>
      </w:r>
    </w:p>
    <w:p w14:paraId="1C73A429" w14:textId="77777777" w:rsidR="00AE57E7" w:rsidRPr="00511005" w:rsidRDefault="00AE57E7" w:rsidP="003F6A5D">
      <w:pPr>
        <w:numPr>
          <w:ilvl w:val="0"/>
          <w:numId w:val="789"/>
        </w:numPr>
        <w:tabs>
          <w:tab w:val="left" w:pos="993"/>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Dijk T. van. Politique, Idéologie et Discours. Semen. URL: </w:t>
      </w:r>
      <w:hyperlink r:id="rId2510" w:history="1">
        <w:r w:rsidRPr="00511005">
          <w:rPr>
            <w:rFonts w:ascii="Arial" w:eastAsia="Calibri" w:hAnsi="Arial" w:cs="Arial"/>
            <w:szCs w:val="28"/>
            <w:lang w:val="en-US"/>
          </w:rPr>
          <w:t>http://journals.openedition.org/semen/1970</w:t>
        </w:r>
      </w:hyperlink>
      <w:r w:rsidRPr="00511005">
        <w:rPr>
          <w:rFonts w:ascii="Arial" w:eastAsia="Calibri" w:hAnsi="Arial" w:cs="Arial"/>
          <w:szCs w:val="28"/>
          <w:lang w:val="en-US"/>
        </w:rPr>
        <w:t>.</w:t>
      </w:r>
    </w:p>
    <w:p w14:paraId="1B6D7F8E" w14:textId="39DCD8E7" w:rsidR="00AE57E7" w:rsidRPr="00511005" w:rsidRDefault="00AE57E7" w:rsidP="003F6A5D">
      <w:pPr>
        <w:numPr>
          <w:ilvl w:val="0"/>
          <w:numId w:val="789"/>
        </w:numPr>
        <w:tabs>
          <w:tab w:val="left" w:pos="993"/>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lang w:val="en-US"/>
        </w:rPr>
        <w:t xml:space="preserve">Fairclough N. Analysing Discourse: Textual Analysis for Social Research. </w:t>
      </w:r>
      <w:r w:rsidRPr="00511005">
        <w:rPr>
          <w:rFonts w:ascii="Arial" w:eastAsia="Calibri" w:hAnsi="Arial" w:cs="Arial"/>
          <w:szCs w:val="28"/>
        </w:rPr>
        <w:t xml:space="preserve">L., N. </w:t>
      </w:r>
      <w:proofErr w:type="gramStart"/>
      <w:r w:rsidRPr="00511005">
        <w:rPr>
          <w:rFonts w:ascii="Arial" w:eastAsia="Calibri" w:hAnsi="Arial" w:cs="Arial"/>
          <w:szCs w:val="28"/>
        </w:rPr>
        <w:t>Y. :</w:t>
      </w:r>
      <w:proofErr w:type="gramEnd"/>
      <w:r w:rsidRPr="00511005">
        <w:rPr>
          <w:rFonts w:ascii="Arial" w:eastAsia="Calibri" w:hAnsi="Arial" w:cs="Arial"/>
          <w:szCs w:val="28"/>
        </w:rPr>
        <w:t xml:space="preserve"> Routledge, 2003.</w:t>
      </w:r>
      <w:r w:rsidR="007B2628" w:rsidRPr="00511005">
        <w:rPr>
          <w:rFonts w:ascii="Arial" w:eastAsia="Calibri" w:hAnsi="Arial" w:cs="Arial"/>
          <w:szCs w:val="28"/>
        </w:rPr>
        <w:t xml:space="preserve"> </w:t>
      </w:r>
      <w:r w:rsidRPr="00511005">
        <w:rPr>
          <w:rFonts w:ascii="Arial" w:eastAsia="Calibri" w:hAnsi="Arial" w:cs="Arial"/>
          <w:szCs w:val="28"/>
        </w:rPr>
        <w:t>200 р.</w:t>
      </w:r>
    </w:p>
    <w:p w14:paraId="52C32913" w14:textId="77777777" w:rsidR="00AE57E7" w:rsidRPr="00511005" w:rsidRDefault="00AE57E7" w:rsidP="003A292D">
      <w:pPr>
        <w:tabs>
          <w:tab w:val="left" w:pos="993"/>
        </w:tabs>
        <w:spacing w:line="264" w:lineRule="auto"/>
        <w:ind w:firstLine="0"/>
        <w:contextualSpacing/>
        <w:rPr>
          <w:rFonts w:ascii="Arial" w:eastAsia="Calibri" w:hAnsi="Arial" w:cs="Arial"/>
          <w:szCs w:val="28"/>
        </w:rPr>
      </w:pPr>
    </w:p>
    <w:p w14:paraId="240BAA7A" w14:textId="6BB23C08" w:rsidR="00AE57E7" w:rsidRPr="00511005" w:rsidRDefault="007B2628" w:rsidP="003A292D">
      <w:pPr>
        <w:tabs>
          <w:tab w:val="left" w:pos="993"/>
        </w:tabs>
        <w:spacing w:line="264" w:lineRule="auto"/>
        <w:ind w:firstLine="0"/>
        <w:rPr>
          <w:rFonts w:ascii="Arial" w:eastAsia="Times New Roman" w:hAnsi="Arial" w:cs="Arial"/>
          <w:szCs w:val="28"/>
        </w:rPr>
      </w:pPr>
      <w:r w:rsidRPr="00511005">
        <w:rPr>
          <w:rFonts w:ascii="Arial" w:eastAsia="Times New Roman" w:hAnsi="Arial" w:cs="Arial"/>
          <w:b/>
          <w:i/>
          <w:szCs w:val="28"/>
        </w:rPr>
        <w:t xml:space="preserve">Ключові слова: </w:t>
      </w:r>
      <w:r w:rsidR="00AE57E7" w:rsidRPr="00511005">
        <w:rPr>
          <w:rFonts w:ascii="Arial" w:eastAsia="Times New Roman" w:hAnsi="Arial" w:cs="Arial"/>
          <w:szCs w:val="28"/>
        </w:rPr>
        <w:t>політична лінгвістика, методи, політичні промови, маніпуляція, вплив.</w:t>
      </w:r>
    </w:p>
    <w:p w14:paraId="6E97C55C" w14:textId="20C24B70" w:rsidR="00AE57E7" w:rsidRPr="00511005" w:rsidRDefault="007B2628" w:rsidP="003A292D">
      <w:pPr>
        <w:tabs>
          <w:tab w:val="left" w:pos="993"/>
        </w:tabs>
        <w:spacing w:line="264" w:lineRule="auto"/>
        <w:ind w:firstLine="0"/>
        <w:rPr>
          <w:rFonts w:ascii="Arial" w:eastAsia="Calibri" w:hAnsi="Arial" w:cs="Arial"/>
          <w:szCs w:val="28"/>
          <w:lang w:val="en-US"/>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political linguistics, methods, political speeches, manipulation, influence.</w:t>
      </w:r>
    </w:p>
    <w:p w14:paraId="4F7B5FB8" w14:textId="43049F18" w:rsidR="00AE57E7" w:rsidRPr="00511005" w:rsidRDefault="007B2628" w:rsidP="003A292D">
      <w:pPr>
        <w:tabs>
          <w:tab w:val="left" w:pos="993"/>
        </w:tabs>
        <w:spacing w:line="264" w:lineRule="auto"/>
        <w:ind w:firstLine="0"/>
        <w:rPr>
          <w:rFonts w:ascii="Arial" w:eastAsia="Cambria" w:hAnsi="Arial" w:cs="Arial"/>
          <w:szCs w:val="28"/>
        </w:rPr>
      </w:pPr>
      <w:r w:rsidRPr="00511005">
        <w:rPr>
          <w:rFonts w:ascii="Arial" w:eastAsia="Calibri" w:hAnsi="Arial" w:cs="Arial"/>
          <w:b/>
          <w:i/>
          <w:szCs w:val="28"/>
        </w:rPr>
        <w:t xml:space="preserve">Науковий керівник: </w:t>
      </w:r>
      <w:r w:rsidR="00AE57E7" w:rsidRPr="00511005">
        <w:rPr>
          <w:rFonts w:ascii="Arial" w:eastAsia="Calibri" w:hAnsi="Arial" w:cs="Arial"/>
          <w:i/>
          <w:szCs w:val="28"/>
        </w:rPr>
        <w:t>к. філол. наук, доцент Назаренко О. М.</w:t>
      </w:r>
    </w:p>
    <w:p w14:paraId="4B13F514" w14:textId="77777777" w:rsidR="00AE57E7" w:rsidRPr="00511005" w:rsidRDefault="00AE57E7" w:rsidP="003A292D">
      <w:pPr>
        <w:spacing w:line="264" w:lineRule="auto"/>
        <w:ind w:firstLine="0"/>
        <w:jc w:val="left"/>
        <w:rPr>
          <w:rFonts w:ascii="Arial" w:eastAsia="Times New Roman" w:hAnsi="Arial" w:cs="Arial"/>
          <w:szCs w:val="28"/>
          <w:lang w:eastAsia="ru-RU"/>
        </w:rPr>
      </w:pPr>
    </w:p>
    <w:p w14:paraId="0C4F15FA" w14:textId="77777777" w:rsidR="00AE57E7" w:rsidRPr="00511005" w:rsidRDefault="00AE57E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Гераскіна Вікторія Сергіївна</w:t>
      </w:r>
    </w:p>
    <w:p w14:paraId="510ADB7B" w14:textId="48843EC6" w:rsidR="00AE57E7" w:rsidRPr="00511005" w:rsidRDefault="00536AAB" w:rsidP="003A292D">
      <w:pPr>
        <w:spacing w:line="264" w:lineRule="auto"/>
        <w:ind w:firstLine="0"/>
        <w:jc w:val="center"/>
        <w:rPr>
          <w:rFonts w:ascii="Arial" w:eastAsia="Calibri" w:hAnsi="Arial" w:cs="Arial"/>
          <w:szCs w:val="28"/>
        </w:rPr>
      </w:pPr>
      <w:r w:rsidRPr="00511005">
        <w:rPr>
          <w:rFonts w:ascii="Arial" w:eastAsia="Calibri" w:hAnsi="Arial" w:cs="Arial"/>
          <w:szCs w:val="28"/>
        </w:rPr>
        <w:t>студентка 4-го курсу факультету журналістики</w:t>
      </w:r>
    </w:p>
    <w:p w14:paraId="2892D859" w14:textId="14037F45" w:rsidR="00AE57E7" w:rsidRPr="00511005" w:rsidRDefault="007B2628" w:rsidP="003A292D">
      <w:pPr>
        <w:spacing w:line="264" w:lineRule="auto"/>
        <w:ind w:firstLine="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24829FEE" w14:textId="77777777" w:rsidR="00AE57E7" w:rsidRPr="00511005" w:rsidRDefault="00AE57E7" w:rsidP="003A292D">
      <w:pPr>
        <w:spacing w:line="264" w:lineRule="auto"/>
        <w:ind w:firstLine="0"/>
        <w:jc w:val="center"/>
        <w:rPr>
          <w:rFonts w:ascii="Arial" w:eastAsia="Calibri" w:hAnsi="Arial" w:cs="Arial"/>
          <w:b/>
          <w:szCs w:val="28"/>
        </w:rPr>
      </w:pPr>
    </w:p>
    <w:p w14:paraId="69259372" w14:textId="6AE3F64C" w:rsidR="00AE57E7" w:rsidRPr="00511005" w:rsidRDefault="00AE57E7" w:rsidP="00C66506">
      <w:pPr>
        <w:spacing w:line="264" w:lineRule="auto"/>
        <w:ind w:firstLine="0"/>
        <w:jc w:val="center"/>
        <w:rPr>
          <w:rFonts w:ascii="Arial" w:eastAsia="Calibri" w:hAnsi="Arial" w:cs="Arial"/>
          <w:szCs w:val="28"/>
          <w:lang w:val="en-US"/>
        </w:rPr>
      </w:pPr>
      <w:r w:rsidRPr="00511005">
        <w:rPr>
          <w:rFonts w:ascii="Arial" w:eastAsia="Calibri" w:hAnsi="Arial" w:cs="Arial"/>
          <w:b/>
          <w:szCs w:val="28"/>
          <w:lang w:val="en-US"/>
        </w:rPr>
        <w:t>DISCURSIVE STRATEGIES IN DONALD TRUMP’S TIME INTERVIEW: A CRITICAL POLITICAL DISCOURSE ANALYSIS</w:t>
      </w:r>
    </w:p>
    <w:p w14:paraId="61966E27"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Political discourse can be interpreted in at least two ways: firstly, as discourse inherently tied to politics itself; and secondly, as an examination of political discourse as merely a type of discourse, without specific mention of political content or context. Political discourse, especially in the context of electoral campaigns and post-election communication, is a powerful tool for shaping public opinion. This study presents a critical discourse analysis (CDA) of an interview given by Donald Trump to TIME magazine after the 2024 U.S. presidential election. The analysis focuses on rhetorical and persuasive strategies Trump uses to construct his public image and frame political events.</w:t>
      </w:r>
    </w:p>
    <w:p w14:paraId="630CC407"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lastRenderedPageBreak/>
        <w:t xml:space="preserve">The </w:t>
      </w:r>
      <w:r w:rsidRPr="00511005">
        <w:rPr>
          <w:rFonts w:ascii="Arial" w:eastAsia="Calibri" w:hAnsi="Arial" w:cs="Arial"/>
          <w:b/>
          <w:szCs w:val="28"/>
          <w:lang w:val="en-US"/>
        </w:rPr>
        <w:t>relevance of this study</w:t>
      </w:r>
      <w:r w:rsidRPr="00511005">
        <w:rPr>
          <w:rFonts w:ascii="Arial" w:eastAsia="Calibri" w:hAnsi="Arial" w:cs="Arial"/>
          <w:szCs w:val="28"/>
          <w:lang w:val="en-US"/>
        </w:rPr>
        <w:t xml:space="preserve"> lies in the increasing role of media communication in political leadership. In the context of global democratic backsliding and polarization, analyzing political discourse allows us to uncover hidden ideological mechanisms that influence voter perception. Donald Trump’s 2024 TIME interview is especially noteworthy because it reflects the discursive strategies of a populist leader following a controversial re-election. The interview encapsulates not only personal rhetoric but also broader narratives about power, truth, and national identity.</w:t>
      </w:r>
    </w:p>
    <w:p w14:paraId="7BC93607"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 xml:space="preserve">The main </w:t>
      </w:r>
      <w:r w:rsidRPr="00511005">
        <w:rPr>
          <w:rFonts w:ascii="Arial" w:eastAsia="Calibri" w:hAnsi="Arial" w:cs="Arial"/>
          <w:b/>
          <w:szCs w:val="28"/>
          <w:lang w:val="en-US"/>
        </w:rPr>
        <w:t>objective</w:t>
      </w:r>
      <w:r w:rsidRPr="00511005">
        <w:rPr>
          <w:rFonts w:ascii="Arial" w:eastAsia="Calibri" w:hAnsi="Arial" w:cs="Arial"/>
          <w:szCs w:val="28"/>
          <w:lang w:val="en-US"/>
        </w:rPr>
        <w:t xml:space="preserve"> of this study is to explore how Trump’s language serves to construct a political persona, frame events ideologically, appeal to emotions, and reinforce polarization in society.</w:t>
      </w:r>
    </w:p>
    <w:p w14:paraId="712AA38D"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 xml:space="preserve">This research applies Critical Discourse Analysis, particularly the frameworks of Norman Fairclough and Teun A. van Dijk. The </w:t>
      </w:r>
      <w:r w:rsidRPr="00511005">
        <w:rPr>
          <w:rFonts w:ascii="Arial" w:eastAsia="Calibri" w:hAnsi="Arial" w:cs="Arial"/>
          <w:b/>
          <w:szCs w:val="28"/>
          <w:lang w:val="en-US"/>
        </w:rPr>
        <w:t>methodological stages</w:t>
      </w:r>
      <w:r w:rsidRPr="00511005">
        <w:rPr>
          <w:rFonts w:ascii="Arial" w:eastAsia="Calibri" w:hAnsi="Arial" w:cs="Arial"/>
          <w:szCs w:val="28"/>
          <w:lang w:val="en-US"/>
        </w:rPr>
        <w:t xml:space="preserve"> include:</w:t>
      </w:r>
    </w:p>
    <w:p w14:paraId="0BD13F8D"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 xml:space="preserve">- Ideological Framing – identifying how events and actors are presented to influence perception. </w:t>
      </w:r>
    </w:p>
    <w:p w14:paraId="757FCA47"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 xml:space="preserve">- Emotional Mobilization – examining appeals to fear, pride, and anger. </w:t>
      </w:r>
    </w:p>
    <w:p w14:paraId="427FFFA0"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 xml:space="preserve">- Self-Positioning – analyzing pronoun use and personal aggrandizement. </w:t>
      </w:r>
    </w:p>
    <w:p w14:paraId="437E8474"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 xml:space="preserve">- Intertextuality – tracing references to historical and political contexts. </w:t>
      </w:r>
    </w:p>
    <w:p w14:paraId="67AC1C1F"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 Fact Reframing – identifying how language is used to redefine truth and shift responsibility [2].</w:t>
      </w:r>
    </w:p>
    <w:p w14:paraId="50BFC420"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ab/>
      </w:r>
      <w:r w:rsidRPr="00511005">
        <w:rPr>
          <w:rFonts w:ascii="Arial" w:eastAsia="Calibri" w:hAnsi="Arial" w:cs="Arial"/>
          <w:b/>
          <w:szCs w:val="28"/>
          <w:lang w:val="en-US"/>
        </w:rPr>
        <w:t xml:space="preserve">Stages of Political Discourse Analysis Intertextuality </w:t>
      </w:r>
      <w:r w:rsidRPr="00511005">
        <w:rPr>
          <w:rFonts w:ascii="Arial" w:eastAsia="Calibri" w:hAnsi="Arial" w:cs="Arial"/>
          <w:szCs w:val="28"/>
          <w:lang w:val="en-US"/>
        </w:rPr>
        <w:t xml:space="preserve">in given interview: </w:t>
      </w:r>
    </w:p>
    <w:p w14:paraId="67D3EAEC" w14:textId="77777777" w:rsidR="00AE57E7" w:rsidRPr="00511005" w:rsidRDefault="00AE57E7" w:rsidP="003F6A5D">
      <w:pPr>
        <w:numPr>
          <w:ilvl w:val="0"/>
          <w:numId w:val="772"/>
        </w:numPr>
        <w:tabs>
          <w:tab w:val="left" w:pos="993"/>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Intertextuality – References to historical events and political figures (e.g., Eisenhower, January 6) are used to legitimize Trump’s actions and connect his narrative to national identity. </w:t>
      </w:r>
    </w:p>
    <w:p w14:paraId="47E83DC5" w14:textId="77777777" w:rsidR="00AE57E7" w:rsidRPr="00511005" w:rsidRDefault="00AE57E7" w:rsidP="003F6A5D">
      <w:pPr>
        <w:numPr>
          <w:ilvl w:val="0"/>
          <w:numId w:val="772"/>
        </w:numPr>
        <w:tabs>
          <w:tab w:val="left" w:pos="993"/>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Ideological Framing – Opponents are portrayed as enemies; migrants as threats. Binary oppositions simplify reality and create a polarized worldview. </w:t>
      </w:r>
    </w:p>
    <w:p w14:paraId="339686D5" w14:textId="77777777" w:rsidR="00AE57E7" w:rsidRPr="00511005" w:rsidRDefault="00AE57E7" w:rsidP="003F6A5D">
      <w:pPr>
        <w:numPr>
          <w:ilvl w:val="0"/>
          <w:numId w:val="772"/>
        </w:numPr>
        <w:tabs>
          <w:tab w:val="left" w:pos="993"/>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Emotional Appeals – Fear, pride, and anger are mobilized through hyperbolic language (</w:t>
      </w:r>
      <w:r w:rsidRPr="00511005">
        <w:rPr>
          <w:rFonts w:ascii="Arial" w:eastAsia="Calibri" w:hAnsi="Arial" w:cs="Arial"/>
          <w:szCs w:val="28"/>
          <w:lang w:val="uk-UA"/>
        </w:rPr>
        <w:t>«</w:t>
      </w:r>
      <w:r w:rsidRPr="00511005">
        <w:rPr>
          <w:rFonts w:ascii="Arial" w:eastAsia="Calibri" w:hAnsi="Arial" w:cs="Arial"/>
          <w:szCs w:val="28"/>
          <w:lang w:val="en-US"/>
        </w:rPr>
        <w:t>worst ever</w:t>
      </w:r>
      <w:r w:rsidRPr="00511005">
        <w:rPr>
          <w:rFonts w:ascii="Arial" w:eastAsia="Calibri" w:hAnsi="Arial" w:cs="Arial"/>
          <w:szCs w:val="28"/>
          <w:lang w:val="uk-UA"/>
        </w:rPr>
        <w:t>»</w:t>
      </w:r>
      <w:r w:rsidRPr="00511005">
        <w:rPr>
          <w:rFonts w:ascii="Arial" w:eastAsia="Calibri" w:hAnsi="Arial" w:cs="Arial"/>
          <w:szCs w:val="28"/>
          <w:lang w:val="en-US"/>
        </w:rPr>
        <w:t xml:space="preserve">, </w:t>
      </w:r>
      <w:r w:rsidRPr="00511005">
        <w:rPr>
          <w:rFonts w:ascii="Arial" w:eastAsia="Calibri" w:hAnsi="Arial" w:cs="Arial"/>
          <w:szCs w:val="28"/>
          <w:lang w:val="uk-UA"/>
        </w:rPr>
        <w:t>«</w:t>
      </w:r>
      <w:r w:rsidRPr="00511005">
        <w:rPr>
          <w:rFonts w:ascii="Arial" w:eastAsia="Calibri" w:hAnsi="Arial" w:cs="Arial"/>
          <w:szCs w:val="28"/>
          <w:lang w:val="en-US"/>
        </w:rPr>
        <w:t>enemy of the people</w:t>
      </w:r>
      <w:r w:rsidRPr="00511005">
        <w:rPr>
          <w:rFonts w:ascii="Arial" w:eastAsia="Calibri" w:hAnsi="Arial" w:cs="Arial"/>
          <w:szCs w:val="28"/>
          <w:lang w:val="uk-UA"/>
        </w:rPr>
        <w:t>»</w:t>
      </w:r>
      <w:r w:rsidRPr="00511005">
        <w:rPr>
          <w:rFonts w:ascii="Arial" w:eastAsia="Calibri" w:hAnsi="Arial" w:cs="Arial"/>
          <w:szCs w:val="28"/>
          <w:lang w:val="en-US"/>
        </w:rPr>
        <w:t>) to strengthen loyalty. Self-</w:t>
      </w:r>
    </w:p>
    <w:p w14:paraId="30BF722C" w14:textId="77777777" w:rsidR="00AE57E7" w:rsidRPr="00511005" w:rsidRDefault="00AE57E7" w:rsidP="003F6A5D">
      <w:pPr>
        <w:numPr>
          <w:ilvl w:val="0"/>
          <w:numId w:val="772"/>
        </w:numPr>
        <w:tabs>
          <w:tab w:val="left" w:pos="993"/>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Positioning – Trump presents himself as a heroic figure and political outsider, uniquely capable of saving the nation. </w:t>
      </w:r>
    </w:p>
    <w:p w14:paraId="3B8BBED4" w14:textId="77777777" w:rsidR="00AE57E7" w:rsidRPr="00511005" w:rsidRDefault="00AE57E7" w:rsidP="003F6A5D">
      <w:pPr>
        <w:numPr>
          <w:ilvl w:val="0"/>
          <w:numId w:val="772"/>
        </w:numPr>
        <w:tabs>
          <w:tab w:val="left" w:pos="993"/>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Fact Reframing – Accusations and failures are reinterpreted as political attacks, reinforcing a victim-hero narrative. </w:t>
      </w:r>
    </w:p>
    <w:p w14:paraId="7B24915F"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 xml:space="preserve">Trump draws on historical references, such as Eisenhower’s deportation policy and January 6 events, to legitimize his views. Framing the Opponent: Opponents (e.g., Democrats, media, immigrants) are framed as threats to national identity, democracy, and security. Emotional Persuasion: The discourse emphasizes fear, patriotism, and loyalty, mobilizing emotions to divide society into </w:t>
      </w:r>
      <w:r w:rsidRPr="00511005">
        <w:rPr>
          <w:rFonts w:ascii="Arial" w:eastAsia="Calibri" w:hAnsi="Arial" w:cs="Arial"/>
          <w:szCs w:val="28"/>
          <w:lang w:val="uk-UA"/>
        </w:rPr>
        <w:t>«</w:t>
      </w:r>
      <w:r w:rsidRPr="00511005">
        <w:rPr>
          <w:rFonts w:ascii="Arial" w:eastAsia="Calibri" w:hAnsi="Arial" w:cs="Arial"/>
          <w:szCs w:val="28"/>
          <w:lang w:val="en-US"/>
        </w:rPr>
        <w:t>us</w:t>
      </w:r>
      <w:r w:rsidRPr="00511005">
        <w:rPr>
          <w:rFonts w:ascii="Arial" w:eastAsia="Calibri" w:hAnsi="Arial" w:cs="Arial"/>
          <w:szCs w:val="28"/>
          <w:lang w:val="uk-UA"/>
        </w:rPr>
        <w:t>»</w:t>
      </w:r>
      <w:r w:rsidRPr="00511005">
        <w:rPr>
          <w:rFonts w:ascii="Arial" w:eastAsia="Calibri" w:hAnsi="Arial" w:cs="Arial"/>
          <w:szCs w:val="28"/>
          <w:lang w:val="en-US"/>
        </w:rPr>
        <w:t xml:space="preserve"> and </w:t>
      </w:r>
      <w:r w:rsidRPr="00511005">
        <w:rPr>
          <w:rFonts w:ascii="Arial" w:eastAsia="Calibri" w:hAnsi="Arial" w:cs="Arial"/>
          <w:szCs w:val="28"/>
          <w:lang w:val="uk-UA"/>
        </w:rPr>
        <w:t>«</w:t>
      </w:r>
      <w:r w:rsidRPr="00511005">
        <w:rPr>
          <w:rFonts w:ascii="Arial" w:eastAsia="Calibri" w:hAnsi="Arial" w:cs="Arial"/>
          <w:szCs w:val="28"/>
          <w:lang w:val="en-US"/>
        </w:rPr>
        <w:t>them</w:t>
      </w:r>
      <w:r w:rsidRPr="00511005">
        <w:rPr>
          <w:rFonts w:ascii="Arial" w:eastAsia="Calibri" w:hAnsi="Arial" w:cs="Arial"/>
          <w:szCs w:val="28"/>
          <w:lang w:val="uk-UA"/>
        </w:rPr>
        <w:t>»</w:t>
      </w:r>
      <w:r w:rsidRPr="00511005">
        <w:rPr>
          <w:rFonts w:ascii="Arial" w:eastAsia="Calibri" w:hAnsi="Arial" w:cs="Arial"/>
          <w:szCs w:val="28"/>
          <w:lang w:val="en-US"/>
        </w:rPr>
        <w:t xml:space="preserve"> Self-Image Construction: Trump constructs a heroic </w:t>
      </w:r>
      <w:r w:rsidRPr="00511005">
        <w:rPr>
          <w:rFonts w:ascii="Arial" w:eastAsia="Calibri" w:hAnsi="Arial" w:cs="Arial"/>
          <w:szCs w:val="28"/>
          <w:lang w:val="en-US"/>
        </w:rPr>
        <w:lastRenderedPageBreak/>
        <w:t>narrative in which he is the only savior of the American people and the system’s outsider [2,3].</w:t>
      </w:r>
    </w:p>
    <w:p w14:paraId="44E9D8DB"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 xml:space="preserve">In the TIME interview, Donald Trump applies multiple persuasion strategies to assert political dominance and influence his audience. One of the key rhetorical strategies is framing. Trump labels his opponents as </w:t>
      </w:r>
      <w:r w:rsidRPr="00511005">
        <w:rPr>
          <w:rFonts w:ascii="Arial" w:eastAsia="Calibri" w:hAnsi="Arial" w:cs="Arial"/>
          <w:szCs w:val="28"/>
          <w:lang w:val="uk-UA"/>
        </w:rPr>
        <w:t>«</w:t>
      </w:r>
      <w:r w:rsidRPr="00511005">
        <w:rPr>
          <w:rFonts w:ascii="Arial" w:eastAsia="Calibri" w:hAnsi="Arial" w:cs="Arial"/>
          <w:szCs w:val="28"/>
          <w:lang w:val="en-US"/>
        </w:rPr>
        <w:t>enemies of the people</w:t>
      </w:r>
      <w:r w:rsidRPr="00511005">
        <w:rPr>
          <w:rFonts w:ascii="Arial" w:eastAsia="Calibri" w:hAnsi="Arial" w:cs="Arial"/>
          <w:szCs w:val="28"/>
          <w:lang w:val="uk-UA"/>
        </w:rPr>
        <w:t>»</w:t>
      </w:r>
      <w:r w:rsidRPr="00511005">
        <w:rPr>
          <w:rFonts w:ascii="Arial" w:eastAsia="Calibri" w:hAnsi="Arial" w:cs="Arial"/>
          <w:szCs w:val="28"/>
          <w:lang w:val="en-US"/>
        </w:rPr>
        <w:t xml:space="preserve">, a phrase historically associated with authoritarian regimes. This choice of wording is designed to delegitimize dissent, mobilize his base, and simplify complex political struggles into binary oppositions: good versus evil, patriot versus traitor. Emotional appeals are central to Trump’s discourse. He employs fear by highlighting threats from immigration, political elites, and foreign powers. He invokes anger against the media and </w:t>
      </w:r>
      <w:r w:rsidRPr="00511005">
        <w:rPr>
          <w:rFonts w:ascii="Arial" w:eastAsia="Calibri" w:hAnsi="Arial" w:cs="Arial"/>
          <w:szCs w:val="28"/>
          <w:lang w:val="uk-UA"/>
        </w:rPr>
        <w:t>«</w:t>
      </w:r>
      <w:r w:rsidRPr="00511005">
        <w:rPr>
          <w:rFonts w:ascii="Arial" w:eastAsia="Calibri" w:hAnsi="Arial" w:cs="Arial"/>
          <w:szCs w:val="28"/>
          <w:lang w:val="en-US"/>
        </w:rPr>
        <w:t>the system</w:t>
      </w:r>
      <w:r w:rsidRPr="00511005">
        <w:rPr>
          <w:rFonts w:ascii="Arial" w:eastAsia="Calibri" w:hAnsi="Arial" w:cs="Arial"/>
          <w:szCs w:val="28"/>
          <w:lang w:val="uk-UA"/>
        </w:rPr>
        <w:t>»</w:t>
      </w:r>
      <w:r w:rsidRPr="00511005">
        <w:rPr>
          <w:rFonts w:ascii="Arial" w:eastAsia="Calibri" w:hAnsi="Arial" w:cs="Arial"/>
          <w:szCs w:val="28"/>
          <w:lang w:val="en-US"/>
        </w:rPr>
        <w:t>, portraying himself as a victim of conspiracy. Simultaneously, he uses pride to enhance nationalistic sentiment, reinforcing the notion of American exceptionalism. Trump's frequent use of hyperbole</w:t>
      </w:r>
      <w:r w:rsidRPr="00511005">
        <w:rPr>
          <w:rFonts w:ascii="Arial" w:eastAsia="Calibri" w:hAnsi="Arial" w:cs="Arial"/>
          <w:szCs w:val="28"/>
          <w:lang w:val="uk-UA"/>
        </w:rPr>
        <w:t xml:space="preserve"> </w:t>
      </w:r>
      <w:r w:rsidRPr="00511005">
        <w:rPr>
          <w:rFonts w:ascii="Arial" w:eastAsia="Calibri" w:hAnsi="Arial" w:cs="Arial"/>
          <w:szCs w:val="28"/>
          <w:lang w:val="en-US"/>
        </w:rPr>
        <w:t>—</w:t>
      </w:r>
      <w:r w:rsidRPr="00511005">
        <w:rPr>
          <w:rFonts w:ascii="Arial" w:eastAsia="Calibri" w:hAnsi="Arial" w:cs="Arial"/>
          <w:szCs w:val="28"/>
          <w:lang w:val="uk-UA"/>
        </w:rPr>
        <w:t xml:space="preserve"> </w:t>
      </w:r>
      <w:r w:rsidRPr="00511005">
        <w:rPr>
          <w:rFonts w:ascii="Arial" w:eastAsia="Calibri" w:hAnsi="Arial" w:cs="Arial"/>
          <w:szCs w:val="28"/>
          <w:lang w:val="en-US"/>
        </w:rPr>
        <w:t xml:space="preserve">such as describing issues as the </w:t>
      </w:r>
      <w:r w:rsidRPr="00511005">
        <w:rPr>
          <w:rFonts w:ascii="Arial" w:eastAsia="Calibri" w:hAnsi="Arial" w:cs="Arial"/>
          <w:szCs w:val="28"/>
          <w:lang w:val="uk-UA"/>
        </w:rPr>
        <w:t>«</w:t>
      </w:r>
      <w:r w:rsidRPr="00511005">
        <w:rPr>
          <w:rFonts w:ascii="Arial" w:eastAsia="Calibri" w:hAnsi="Arial" w:cs="Arial"/>
          <w:szCs w:val="28"/>
          <w:lang w:val="en-US"/>
        </w:rPr>
        <w:t>worst in history</w:t>
      </w:r>
      <w:r w:rsidRPr="00511005">
        <w:rPr>
          <w:rFonts w:ascii="Arial" w:eastAsia="Calibri" w:hAnsi="Arial" w:cs="Arial"/>
          <w:szCs w:val="28"/>
          <w:lang w:val="uk-UA"/>
        </w:rPr>
        <w:t>»</w:t>
      </w:r>
      <w:r w:rsidRPr="00511005">
        <w:rPr>
          <w:rFonts w:ascii="Arial" w:eastAsia="Calibri" w:hAnsi="Arial" w:cs="Arial"/>
          <w:szCs w:val="28"/>
          <w:lang w:val="en-US"/>
        </w:rPr>
        <w:t xml:space="preserve"> or his own achievements as </w:t>
      </w:r>
      <w:r w:rsidRPr="00511005">
        <w:rPr>
          <w:rFonts w:ascii="Arial" w:eastAsia="Calibri" w:hAnsi="Arial" w:cs="Arial"/>
          <w:szCs w:val="28"/>
          <w:lang w:val="uk-UA"/>
        </w:rPr>
        <w:t>«</w:t>
      </w:r>
      <w:r w:rsidRPr="00511005">
        <w:rPr>
          <w:rFonts w:ascii="Arial" w:eastAsia="Calibri" w:hAnsi="Arial" w:cs="Arial"/>
          <w:szCs w:val="28"/>
          <w:lang w:val="en-US"/>
        </w:rPr>
        <w:t>greatest ever</w:t>
      </w:r>
      <w:r w:rsidRPr="00511005">
        <w:rPr>
          <w:rFonts w:ascii="Arial" w:eastAsia="Calibri" w:hAnsi="Arial" w:cs="Arial"/>
          <w:szCs w:val="28"/>
          <w:lang w:val="uk-UA"/>
        </w:rPr>
        <w:t xml:space="preserve">» </w:t>
      </w:r>
      <w:r w:rsidRPr="00511005">
        <w:rPr>
          <w:rFonts w:ascii="Arial" w:eastAsia="Calibri" w:hAnsi="Arial" w:cs="Arial"/>
          <w:szCs w:val="28"/>
          <w:lang w:val="en-US"/>
        </w:rPr>
        <w:t>—</w:t>
      </w:r>
      <w:r w:rsidRPr="00511005">
        <w:rPr>
          <w:rFonts w:ascii="Arial" w:eastAsia="Calibri" w:hAnsi="Arial" w:cs="Arial"/>
          <w:szCs w:val="28"/>
          <w:lang w:val="uk-UA"/>
        </w:rPr>
        <w:t xml:space="preserve"> </w:t>
      </w:r>
      <w:r w:rsidRPr="00511005">
        <w:rPr>
          <w:rFonts w:ascii="Arial" w:eastAsia="Calibri" w:hAnsi="Arial" w:cs="Arial"/>
          <w:szCs w:val="28"/>
          <w:lang w:val="en-US"/>
        </w:rPr>
        <w:t xml:space="preserve">amplifies emotional responses. This stylistic choice inflates his perceived importance and dramatizes political narratives. Another significant element is self-positioning. Trump constructs a heroic self-image, portraying himself as the only leader capable of saving the nation. He frequently uses the first person singular </w:t>
      </w:r>
      <w:r w:rsidRPr="00511005">
        <w:rPr>
          <w:rFonts w:ascii="Arial" w:eastAsia="Calibri" w:hAnsi="Arial" w:cs="Arial"/>
          <w:szCs w:val="28"/>
          <w:lang w:val="uk-UA"/>
        </w:rPr>
        <w:t>«</w:t>
      </w:r>
      <w:r w:rsidRPr="00511005">
        <w:rPr>
          <w:rFonts w:ascii="Arial" w:eastAsia="Calibri" w:hAnsi="Arial" w:cs="Arial"/>
          <w:szCs w:val="28"/>
          <w:lang w:val="en-US"/>
        </w:rPr>
        <w:t>I</w:t>
      </w:r>
      <w:r w:rsidRPr="00511005">
        <w:rPr>
          <w:rFonts w:ascii="Arial" w:eastAsia="Calibri" w:hAnsi="Arial" w:cs="Arial"/>
          <w:szCs w:val="28"/>
          <w:lang w:val="uk-UA"/>
        </w:rPr>
        <w:t>»</w:t>
      </w:r>
      <w:r w:rsidRPr="00511005">
        <w:rPr>
          <w:rFonts w:ascii="Arial" w:eastAsia="Calibri" w:hAnsi="Arial" w:cs="Arial"/>
          <w:szCs w:val="28"/>
          <w:lang w:val="en-US"/>
        </w:rPr>
        <w:t xml:space="preserve"> to centralize himself in all political action and success. The interview is also rich in intertextuality. Trump references historical events and figures, including President Eisenhower and the Capitol riots on January 6. These allusions serve two purposes: to root his message in American historical tradition and to indirectly justify his current political stance. Moreover, Trump frequently shifts responsibility and redefines facts. This discursive maneuver allows him to deflect criticism and maintain control over the narrative. By accusing others of misinformation while manipulating facts himself, he constructs an alternative reality for his followers [3].</w:t>
      </w:r>
    </w:p>
    <w:p w14:paraId="5A312066" w14:textId="77777777" w:rsidR="00AE57E7" w:rsidRPr="00511005" w:rsidRDefault="00AE57E7" w:rsidP="00657820">
      <w:pPr>
        <w:spacing w:line="264" w:lineRule="auto"/>
        <w:rPr>
          <w:rFonts w:ascii="Arial" w:eastAsia="Calibri" w:hAnsi="Arial" w:cs="Arial"/>
          <w:szCs w:val="28"/>
          <w:lang w:val="en-US"/>
        </w:rPr>
      </w:pPr>
      <w:r w:rsidRPr="00511005">
        <w:rPr>
          <w:rFonts w:ascii="Arial" w:eastAsia="Calibri" w:hAnsi="Arial" w:cs="Arial"/>
          <w:szCs w:val="28"/>
          <w:lang w:val="en-US"/>
        </w:rPr>
        <w:t>The analysis illustrates how political discourse is used not only to inform but also to manipulate and control public perception. Donald Trump’s TIME interview is a vivid example of how language can function as a political weapon. Through framing, emotional appeals, self-positioning, hyperbole, and intertextuality, Trump strengthens his political legitimacy and polarizes public discourse. Critical discourse analysis enables us to uncover these mechanisms and better understand how language maintains power relations [4].</w:t>
      </w:r>
    </w:p>
    <w:p w14:paraId="29B4D6E7" w14:textId="77777777" w:rsidR="00AE57E7" w:rsidRPr="00511005" w:rsidRDefault="00AE57E7" w:rsidP="003A292D">
      <w:pPr>
        <w:spacing w:line="264" w:lineRule="auto"/>
        <w:ind w:firstLine="0"/>
        <w:jc w:val="center"/>
        <w:rPr>
          <w:rFonts w:ascii="Arial" w:eastAsia="Calibri" w:hAnsi="Arial" w:cs="Arial"/>
          <w:b/>
          <w:szCs w:val="28"/>
          <w:lang w:val="uk-UA"/>
        </w:rPr>
      </w:pPr>
    </w:p>
    <w:p w14:paraId="19A51A56" w14:textId="40EF2E74"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b/>
          <w:szCs w:val="28"/>
          <w:lang w:val="en-US"/>
        </w:rPr>
        <w:t>References</w:t>
      </w:r>
    </w:p>
    <w:p w14:paraId="280F43D3" w14:textId="77777777" w:rsidR="007B2628" w:rsidRPr="00511005" w:rsidRDefault="00AE57E7" w:rsidP="003F6A5D">
      <w:pPr>
        <w:numPr>
          <w:ilvl w:val="0"/>
          <w:numId w:val="771"/>
        </w:numPr>
        <w:tabs>
          <w:tab w:val="left" w:pos="993"/>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lang w:val="en-US"/>
        </w:rPr>
        <w:t>Fairclough, N. Language and Power. London: Longman, 2001.</w:t>
      </w:r>
    </w:p>
    <w:p w14:paraId="2E4E9836" w14:textId="714CBD83" w:rsidR="00AE57E7" w:rsidRPr="00511005" w:rsidRDefault="00AE57E7" w:rsidP="003F6A5D">
      <w:pPr>
        <w:numPr>
          <w:ilvl w:val="0"/>
          <w:numId w:val="771"/>
        </w:numPr>
        <w:tabs>
          <w:tab w:val="left" w:pos="993"/>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Van Dijk, T. A. Ideology and Discourse. Barcelona: Pompeu Fabra University, 2000. </w:t>
      </w:r>
    </w:p>
    <w:p w14:paraId="18322E41" w14:textId="77777777" w:rsidR="00AE57E7" w:rsidRPr="00511005" w:rsidRDefault="00AE57E7" w:rsidP="003F6A5D">
      <w:pPr>
        <w:numPr>
          <w:ilvl w:val="0"/>
          <w:numId w:val="771"/>
        </w:numPr>
        <w:tabs>
          <w:tab w:val="left" w:pos="993"/>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t xml:space="preserve">TIME. (2024). Donald Trump – Person of the Year Interview. </w:t>
      </w:r>
      <w:hyperlink r:id="rId2511" w:history="1">
        <w:r w:rsidRPr="00511005">
          <w:rPr>
            <w:rFonts w:ascii="Arial" w:eastAsia="Calibri" w:hAnsi="Arial" w:cs="Arial"/>
            <w:szCs w:val="28"/>
            <w:lang w:val="en-US"/>
          </w:rPr>
          <w:t>https://time.com</w:t>
        </w:r>
      </w:hyperlink>
      <w:r w:rsidRPr="00511005">
        <w:rPr>
          <w:rFonts w:ascii="Arial" w:eastAsia="Calibri" w:hAnsi="Arial" w:cs="Arial"/>
          <w:szCs w:val="28"/>
          <w:lang w:val="en-US"/>
        </w:rPr>
        <w:t xml:space="preserve"> </w:t>
      </w:r>
    </w:p>
    <w:p w14:paraId="582536E6" w14:textId="77777777" w:rsidR="00AE57E7" w:rsidRPr="00511005" w:rsidRDefault="00AE57E7" w:rsidP="003F6A5D">
      <w:pPr>
        <w:numPr>
          <w:ilvl w:val="0"/>
          <w:numId w:val="771"/>
        </w:numPr>
        <w:tabs>
          <w:tab w:val="left" w:pos="993"/>
        </w:tabs>
        <w:spacing w:line="264" w:lineRule="auto"/>
        <w:ind w:left="0" w:firstLine="709"/>
        <w:contextualSpacing/>
        <w:jc w:val="left"/>
        <w:rPr>
          <w:rFonts w:ascii="Arial" w:eastAsia="Calibri" w:hAnsi="Arial" w:cs="Arial"/>
          <w:szCs w:val="28"/>
          <w:lang w:val="en-US"/>
        </w:rPr>
      </w:pPr>
      <w:r w:rsidRPr="00511005">
        <w:rPr>
          <w:rFonts w:ascii="Arial" w:eastAsia="Calibri" w:hAnsi="Arial" w:cs="Arial"/>
          <w:szCs w:val="28"/>
          <w:lang w:val="en-US"/>
        </w:rPr>
        <w:lastRenderedPageBreak/>
        <w:t>Wodak, R. The Politics of Fear: What Right-Wing Populist Discourses Mean. Sage, 2015.</w:t>
      </w:r>
    </w:p>
    <w:p w14:paraId="26B7F3BE" w14:textId="7DAA4BE9" w:rsidR="00AE57E7" w:rsidRPr="00511005" w:rsidRDefault="007B2628" w:rsidP="00657820">
      <w:pPr>
        <w:tabs>
          <w:tab w:val="left" w:pos="993"/>
        </w:tabs>
        <w:spacing w:line="264" w:lineRule="auto"/>
        <w:rPr>
          <w:rFonts w:ascii="Arial" w:eastAsia="Calibri" w:hAnsi="Arial" w:cs="Arial"/>
          <w:szCs w:val="28"/>
          <w:lang w:val="en-US"/>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political discourse, persuasion, framing, emotional language, hyperbole, intertextuality, Donald Trump, critical discourse analysis.</w:t>
      </w:r>
    </w:p>
    <w:p w14:paraId="7A0E7FDC" w14:textId="0A0E607F" w:rsidR="00AE57E7" w:rsidRPr="00511005" w:rsidRDefault="007B2628" w:rsidP="00657820">
      <w:pPr>
        <w:tabs>
          <w:tab w:val="left" w:pos="993"/>
        </w:tabs>
        <w:spacing w:line="264" w:lineRule="auto"/>
        <w:rPr>
          <w:rFonts w:ascii="Arial" w:eastAsia="Calibri" w:hAnsi="Arial" w:cs="Arial"/>
          <w:i/>
          <w:szCs w:val="28"/>
          <w:lang w:val="uk-UA"/>
        </w:rPr>
      </w:pPr>
      <w:r w:rsidRPr="00511005">
        <w:rPr>
          <w:rFonts w:ascii="Arial" w:eastAsia="Calibri" w:hAnsi="Arial" w:cs="Arial"/>
          <w:b/>
          <w:i/>
          <w:szCs w:val="28"/>
        </w:rPr>
        <w:t xml:space="preserve">Науковий керівник: </w:t>
      </w:r>
      <w:r w:rsidR="00AE57E7" w:rsidRPr="00511005">
        <w:rPr>
          <w:rFonts w:ascii="Arial" w:eastAsia="Calibri" w:hAnsi="Arial" w:cs="Arial"/>
          <w:i/>
          <w:szCs w:val="28"/>
        </w:rPr>
        <w:t>к.ф.н., доцент. Кісельова А.А</w:t>
      </w:r>
    </w:p>
    <w:p w14:paraId="22BEC0F1" w14:textId="77777777" w:rsidR="00AE57E7" w:rsidRPr="00511005" w:rsidRDefault="00AE57E7" w:rsidP="003A292D">
      <w:pPr>
        <w:spacing w:line="264" w:lineRule="auto"/>
        <w:ind w:firstLine="0"/>
        <w:jc w:val="center"/>
        <w:rPr>
          <w:rFonts w:ascii="Arial" w:eastAsia="Calibri" w:hAnsi="Arial" w:cs="Arial"/>
          <w:b/>
          <w:bCs/>
          <w:i/>
          <w:iCs/>
          <w:szCs w:val="28"/>
          <w:lang w:val="uk-UA"/>
        </w:rPr>
      </w:pPr>
    </w:p>
    <w:p w14:paraId="0AFCB4B2" w14:textId="77777777" w:rsidR="00AE57E7" w:rsidRPr="00511005" w:rsidRDefault="00AE57E7" w:rsidP="003A292D">
      <w:pPr>
        <w:spacing w:line="264" w:lineRule="auto"/>
        <w:ind w:firstLine="0"/>
        <w:jc w:val="center"/>
        <w:rPr>
          <w:rFonts w:ascii="Arial" w:eastAsia="Calibri" w:hAnsi="Arial" w:cs="Arial"/>
          <w:b/>
          <w:bCs/>
          <w:i/>
          <w:iCs/>
          <w:szCs w:val="28"/>
          <w:lang w:val="uk-UA"/>
        </w:rPr>
      </w:pPr>
    </w:p>
    <w:p w14:paraId="4F5A7A53" w14:textId="77777777" w:rsidR="00AE57E7" w:rsidRPr="00511005" w:rsidRDefault="00AE57E7" w:rsidP="003A292D">
      <w:pPr>
        <w:spacing w:line="264" w:lineRule="auto"/>
        <w:ind w:firstLine="0"/>
        <w:jc w:val="center"/>
        <w:rPr>
          <w:rFonts w:ascii="Arial" w:eastAsia="Calibri" w:hAnsi="Arial" w:cs="Arial"/>
          <w:b/>
          <w:bCs/>
          <w:i/>
          <w:iCs/>
          <w:szCs w:val="28"/>
        </w:rPr>
      </w:pPr>
      <w:r w:rsidRPr="00511005">
        <w:rPr>
          <w:rFonts w:ascii="Arial" w:eastAsia="Calibri" w:hAnsi="Arial" w:cs="Arial"/>
          <w:b/>
          <w:bCs/>
          <w:i/>
          <w:iCs/>
          <w:szCs w:val="28"/>
        </w:rPr>
        <w:t>Годлевська Марія Олександрівна</w:t>
      </w:r>
    </w:p>
    <w:p w14:paraId="4B63D380" w14:textId="77777777" w:rsidR="00657820" w:rsidRPr="00511005" w:rsidRDefault="00AE57E7" w:rsidP="003A292D">
      <w:pPr>
        <w:spacing w:line="264" w:lineRule="auto"/>
        <w:ind w:firstLine="0"/>
        <w:jc w:val="center"/>
        <w:rPr>
          <w:rFonts w:ascii="Arial" w:eastAsia="Calibri" w:hAnsi="Arial" w:cs="Arial"/>
          <w:szCs w:val="28"/>
        </w:rPr>
      </w:pPr>
      <w:r w:rsidRPr="00511005">
        <w:rPr>
          <w:rFonts w:ascii="Arial" w:eastAsia="Calibri" w:hAnsi="Arial" w:cs="Arial"/>
          <w:szCs w:val="28"/>
        </w:rPr>
        <w:t xml:space="preserve">студентка 1-го курсу факультету кібербезпеки та інформаційних технологій </w:t>
      </w:r>
    </w:p>
    <w:p w14:paraId="5D13A941" w14:textId="6B3E2D7C" w:rsidR="00AE57E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rPr>
        <w:t>Національного університету «Одеська юридична академія»</w:t>
      </w:r>
    </w:p>
    <w:p w14:paraId="5650FA0E" w14:textId="77777777" w:rsidR="00AE57E7" w:rsidRPr="00511005" w:rsidRDefault="00AE57E7" w:rsidP="003A292D">
      <w:pPr>
        <w:spacing w:line="264" w:lineRule="auto"/>
        <w:ind w:firstLine="0"/>
        <w:jc w:val="center"/>
        <w:rPr>
          <w:rFonts w:ascii="Arial" w:eastAsia="Calibri" w:hAnsi="Arial" w:cs="Arial"/>
          <w:szCs w:val="28"/>
          <w:lang w:val="uk-UA"/>
        </w:rPr>
      </w:pPr>
    </w:p>
    <w:p w14:paraId="7B95C3F3" w14:textId="77777777" w:rsidR="00AE57E7" w:rsidRPr="00511005" w:rsidRDefault="00AE57E7" w:rsidP="003A292D">
      <w:pPr>
        <w:spacing w:line="264" w:lineRule="auto"/>
        <w:ind w:firstLine="0"/>
        <w:jc w:val="center"/>
        <w:rPr>
          <w:rFonts w:ascii="Arial" w:eastAsia="Calibri" w:hAnsi="Arial" w:cs="Arial"/>
          <w:b/>
          <w:bCs/>
          <w:szCs w:val="28"/>
        </w:rPr>
      </w:pPr>
      <w:r w:rsidRPr="00511005">
        <w:rPr>
          <w:rFonts w:ascii="Arial" w:eastAsia="Calibri" w:hAnsi="Arial" w:cs="Arial"/>
          <w:b/>
          <w:bCs/>
          <w:szCs w:val="28"/>
        </w:rPr>
        <w:t>ДОТРИМАННЯ ПРИНЦИПІВ АКАДЕМІЧНОЇ ДОБРОЧЕСНОСТІ СЕРЕД УЧНІВ ТА СТУДЕНТІВ</w:t>
      </w:r>
    </w:p>
    <w:p w14:paraId="3B8B2B74" w14:textId="00FF933C"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Актуальність проблеми академічної доброчесності в освітньому середовищі є беззаперечною. В українському контексті це поняття охоплює навчання, викладання та провадження наукової (творчої) діяльності, спрямовуючись на забезпечення довіри до результатів навчання та наукових досягнень [</w:t>
      </w:r>
      <w:r w:rsidRPr="00511005">
        <w:rPr>
          <w:rFonts w:ascii="Arial" w:eastAsia="Calibri" w:hAnsi="Arial" w:cs="Arial"/>
          <w:szCs w:val="28"/>
        </w:rPr>
        <w:fldChar w:fldCharType="begin"/>
      </w:r>
      <w:r w:rsidRPr="00511005">
        <w:rPr>
          <w:rFonts w:ascii="Arial" w:eastAsia="Calibri" w:hAnsi="Arial" w:cs="Arial"/>
          <w:szCs w:val="28"/>
        </w:rPr>
        <w:instrText xml:space="preserve"> REF _Ref196244724 \r \h  \* MERGEFORMAT </w:instrText>
      </w:r>
      <w:r w:rsidRPr="00511005">
        <w:rPr>
          <w:rFonts w:ascii="Arial" w:eastAsia="Calibri" w:hAnsi="Arial" w:cs="Arial"/>
          <w:szCs w:val="28"/>
        </w:rPr>
      </w:r>
      <w:r w:rsidRPr="00511005">
        <w:rPr>
          <w:rFonts w:ascii="Arial" w:eastAsia="Calibri" w:hAnsi="Arial" w:cs="Arial"/>
          <w:szCs w:val="28"/>
        </w:rPr>
        <w:fldChar w:fldCharType="separate"/>
      </w:r>
      <w:r w:rsidR="006F7CE5">
        <w:rPr>
          <w:rFonts w:ascii="Arial" w:eastAsia="Calibri" w:hAnsi="Arial" w:cs="Arial"/>
          <w:szCs w:val="28"/>
        </w:rPr>
        <w:t>1</w:t>
      </w:r>
      <w:r w:rsidRPr="00511005">
        <w:rPr>
          <w:rFonts w:ascii="Arial" w:eastAsia="Calibri" w:hAnsi="Arial" w:cs="Arial"/>
          <w:szCs w:val="28"/>
        </w:rPr>
        <w:fldChar w:fldCharType="end"/>
      </w:r>
      <w:r w:rsidRPr="00511005">
        <w:rPr>
          <w:rFonts w:ascii="Arial" w:eastAsia="Calibri" w:hAnsi="Arial" w:cs="Arial"/>
          <w:szCs w:val="28"/>
        </w:rPr>
        <w:t xml:space="preserve">], адже недотримання етичних норм у навчанні дискредитує якість освіти, знецінює зусилля сумлінних учнів та студентів і негативно впливає на формування відповідального громадянського суспільства. </w:t>
      </w:r>
    </w:p>
    <w:p w14:paraId="48F46D2C" w14:textId="532FD32C" w:rsidR="007B2628"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Ширші наслідки академічної недоброчесності для суспільства включають девальвацію освіти та науки, підрив довіри до освітньої системи та гальмування наукового прогресу [</w:t>
      </w:r>
      <w:r w:rsidRPr="00511005">
        <w:rPr>
          <w:rFonts w:ascii="Arial" w:eastAsia="Calibri" w:hAnsi="Arial" w:cs="Arial"/>
          <w:szCs w:val="28"/>
        </w:rPr>
        <w:fldChar w:fldCharType="begin"/>
      </w:r>
      <w:r w:rsidRPr="00511005">
        <w:rPr>
          <w:rFonts w:ascii="Arial" w:eastAsia="Calibri" w:hAnsi="Arial" w:cs="Arial"/>
          <w:szCs w:val="28"/>
        </w:rPr>
        <w:instrText xml:space="preserve"> REF _Ref196245016 \r \h  \* MERGEFORMAT </w:instrText>
      </w:r>
      <w:r w:rsidRPr="00511005">
        <w:rPr>
          <w:rFonts w:ascii="Arial" w:eastAsia="Calibri" w:hAnsi="Arial" w:cs="Arial"/>
          <w:szCs w:val="28"/>
        </w:rPr>
      </w:r>
      <w:r w:rsidRPr="00511005">
        <w:rPr>
          <w:rFonts w:ascii="Arial" w:eastAsia="Calibri" w:hAnsi="Arial" w:cs="Arial"/>
          <w:szCs w:val="28"/>
        </w:rPr>
        <w:fldChar w:fldCharType="separate"/>
      </w:r>
      <w:r w:rsidR="006F7CE5">
        <w:rPr>
          <w:rFonts w:ascii="Arial" w:eastAsia="Calibri" w:hAnsi="Arial" w:cs="Arial"/>
          <w:szCs w:val="28"/>
        </w:rPr>
        <w:t>2</w:t>
      </w:r>
      <w:r w:rsidRPr="00511005">
        <w:rPr>
          <w:rFonts w:ascii="Arial" w:eastAsia="Calibri" w:hAnsi="Arial" w:cs="Arial"/>
          <w:szCs w:val="28"/>
        </w:rPr>
        <w:fldChar w:fldCharType="end"/>
      </w:r>
      <w:r w:rsidRPr="00511005">
        <w:rPr>
          <w:rFonts w:ascii="Arial" w:eastAsia="Calibri" w:hAnsi="Arial" w:cs="Arial"/>
          <w:szCs w:val="28"/>
        </w:rPr>
        <w:t>].</w:t>
      </w:r>
      <w:r w:rsidRPr="00511005">
        <w:rPr>
          <w:rFonts w:ascii="Arial" w:eastAsia="Calibri" w:hAnsi="Arial" w:cs="Arial"/>
          <w:szCs w:val="28"/>
          <w:vertAlign w:val="superscript"/>
        </w:rPr>
        <w:t xml:space="preserve"> </w:t>
      </w:r>
      <w:r w:rsidRPr="00511005">
        <w:rPr>
          <w:rFonts w:ascii="Arial" w:eastAsia="Calibri" w:hAnsi="Arial" w:cs="Arial"/>
          <w:szCs w:val="28"/>
        </w:rPr>
        <w:t>Поширення нечесних практик в освітньому середовищі може призвести до формування у майбутніх фахівців негативних моральних якостей та нехтування інтелектуальною власністю.</w:t>
      </w:r>
      <w:r w:rsidRPr="00511005">
        <w:rPr>
          <w:rFonts w:ascii="Arial" w:eastAsia="Calibri" w:hAnsi="Arial" w:cs="Arial"/>
          <w:szCs w:val="28"/>
          <w:vertAlign w:val="superscript"/>
        </w:rPr>
        <w:t xml:space="preserve"> </w:t>
      </w:r>
      <w:r w:rsidRPr="00511005">
        <w:rPr>
          <w:rFonts w:ascii="Arial" w:eastAsia="Calibri" w:hAnsi="Arial" w:cs="Arial"/>
          <w:szCs w:val="28"/>
        </w:rPr>
        <w:t>Як зазначається, академічна недоброчесність є маркером професійної непридатності та толерантності до брехні.</w:t>
      </w:r>
      <w:r w:rsidRPr="00511005">
        <w:rPr>
          <w:rFonts w:ascii="Arial" w:eastAsia="Calibri" w:hAnsi="Arial" w:cs="Arial"/>
          <w:szCs w:val="28"/>
          <w:vertAlign w:val="superscript"/>
        </w:rPr>
        <w:t xml:space="preserve"> </w:t>
      </w:r>
      <w:r w:rsidRPr="00511005">
        <w:rPr>
          <w:rFonts w:ascii="Arial" w:eastAsia="Calibri" w:hAnsi="Arial" w:cs="Arial"/>
          <w:szCs w:val="28"/>
        </w:rPr>
        <w:t>Тому боротьба з академічною недоброчесністю є важливим завданням для забезпечення сталого розвитку українського суспільства [</w:t>
      </w:r>
      <w:r w:rsidRPr="00511005">
        <w:rPr>
          <w:rFonts w:ascii="Arial" w:eastAsia="Calibri" w:hAnsi="Arial" w:cs="Arial"/>
          <w:szCs w:val="28"/>
        </w:rPr>
        <w:fldChar w:fldCharType="begin"/>
      </w:r>
      <w:r w:rsidRPr="00511005">
        <w:rPr>
          <w:rFonts w:ascii="Arial" w:eastAsia="Calibri" w:hAnsi="Arial" w:cs="Arial"/>
          <w:szCs w:val="28"/>
        </w:rPr>
        <w:instrText xml:space="preserve"> REF _Ref196245651 \r \h  \* MERGEFORMAT </w:instrText>
      </w:r>
      <w:r w:rsidRPr="00511005">
        <w:rPr>
          <w:rFonts w:ascii="Arial" w:eastAsia="Calibri" w:hAnsi="Arial" w:cs="Arial"/>
          <w:szCs w:val="28"/>
        </w:rPr>
      </w:r>
      <w:r w:rsidRPr="00511005">
        <w:rPr>
          <w:rFonts w:ascii="Arial" w:eastAsia="Calibri" w:hAnsi="Arial" w:cs="Arial"/>
          <w:szCs w:val="28"/>
        </w:rPr>
        <w:fldChar w:fldCharType="separate"/>
      </w:r>
      <w:r w:rsidR="006F7CE5">
        <w:rPr>
          <w:rFonts w:ascii="Arial" w:eastAsia="Calibri" w:hAnsi="Arial" w:cs="Arial"/>
          <w:szCs w:val="28"/>
        </w:rPr>
        <w:t>3</w:t>
      </w:r>
      <w:r w:rsidRPr="00511005">
        <w:rPr>
          <w:rFonts w:ascii="Arial" w:eastAsia="Calibri" w:hAnsi="Arial" w:cs="Arial"/>
          <w:szCs w:val="28"/>
        </w:rPr>
        <w:fldChar w:fldCharType="end"/>
      </w:r>
      <w:r w:rsidRPr="00511005">
        <w:rPr>
          <w:rFonts w:ascii="Arial" w:eastAsia="Calibri" w:hAnsi="Arial" w:cs="Arial"/>
          <w:szCs w:val="28"/>
        </w:rPr>
        <w:t>].</w:t>
      </w:r>
    </w:p>
    <w:p w14:paraId="026D0978" w14:textId="5F1716AE"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З огляду на це, метою дослідження стало вивчення розуміння та ставлення до принципів академічної доброчесності серед учнів 5-11 класів та студентів 1-4 курсів. У досліджені представлено результати проведеного опитування, що дозволяє оцінити поточну ситуацію та виявити ключові тенденції [</w:t>
      </w:r>
      <w:r w:rsidRPr="00511005">
        <w:rPr>
          <w:rFonts w:ascii="Arial" w:eastAsia="Calibri" w:hAnsi="Arial" w:cs="Arial"/>
          <w:szCs w:val="28"/>
        </w:rPr>
        <w:fldChar w:fldCharType="begin"/>
      </w:r>
      <w:r w:rsidRPr="00511005">
        <w:rPr>
          <w:rFonts w:ascii="Arial" w:eastAsia="Calibri" w:hAnsi="Arial" w:cs="Arial"/>
          <w:szCs w:val="28"/>
        </w:rPr>
        <w:instrText xml:space="preserve"> REF _Ref196244758 \r \h  \* MERGEFORMAT </w:instrText>
      </w:r>
      <w:r w:rsidRPr="00511005">
        <w:rPr>
          <w:rFonts w:ascii="Arial" w:eastAsia="Calibri" w:hAnsi="Arial" w:cs="Arial"/>
          <w:szCs w:val="28"/>
        </w:rPr>
      </w:r>
      <w:r w:rsidRPr="00511005">
        <w:rPr>
          <w:rFonts w:ascii="Arial" w:eastAsia="Calibri" w:hAnsi="Arial" w:cs="Arial"/>
          <w:szCs w:val="28"/>
        </w:rPr>
        <w:fldChar w:fldCharType="separate"/>
      </w:r>
      <w:r w:rsidR="006F7CE5">
        <w:rPr>
          <w:rFonts w:ascii="Arial" w:eastAsia="Calibri" w:hAnsi="Arial" w:cs="Arial"/>
          <w:szCs w:val="28"/>
        </w:rPr>
        <w:t>4</w:t>
      </w:r>
      <w:r w:rsidRPr="00511005">
        <w:rPr>
          <w:rFonts w:ascii="Arial" w:eastAsia="Calibri" w:hAnsi="Arial" w:cs="Arial"/>
          <w:szCs w:val="28"/>
        </w:rPr>
        <w:fldChar w:fldCharType="end"/>
      </w:r>
      <w:r w:rsidRPr="00511005">
        <w:rPr>
          <w:rFonts w:ascii="Arial" w:eastAsia="Calibri" w:hAnsi="Arial" w:cs="Arial"/>
          <w:szCs w:val="28"/>
        </w:rPr>
        <w:t>]. В опитуванні взяли участь 37 респондентів: 43,2% – учні 9-11 класів, 32,4% – першокурсники, по 8,1% – учні 5-8 класів та студенти четвертого курсу, 5,4% – студенти третього курсу, 2,7% – студенти другого курсу.</w:t>
      </w:r>
    </w:p>
    <w:p w14:paraId="2C10E948" w14:textId="7777777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 xml:space="preserve">Аналіз отриманих даних дозволив виявити таке: перш за все, було з'ясовано загальне уявлення учасників дослідження про власну академічну доброчесність. Значна частина опитаних (59,5%) власну академічна доброчесність оцінюєю як часткову. Лише 16,2% вважають себе повністю </w:t>
      </w:r>
      <w:r w:rsidRPr="00511005">
        <w:rPr>
          <w:rFonts w:ascii="Arial" w:eastAsia="Calibri" w:hAnsi="Arial" w:cs="Arial"/>
          <w:szCs w:val="28"/>
        </w:rPr>
        <w:lastRenderedPageBreak/>
        <w:t>доброчесними, а 24,3% не вважають себе такими. Зазначені дані свідчать про недостатньо чітке розуміння або неповне дотримання принципів академічної доброчесності значною частиною молоді.</w:t>
      </w:r>
    </w:p>
    <w:p w14:paraId="1FD23AD7" w14:textId="7777777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Враховуючи потенційну суб'єктивність самооцінки, для глибшого розуміння реального ставлення, на відміну від більшості наявних досліджень, що базуються на абстрактних відповідях учасників, у даному опитуванні учасникам дослідження пропонувалися певні уявні ситуації, де вони мали обрати конкретний сценарій дій. Таким чином, було проаналізовано реакцію респондентів на конкретні ситуації, що можуть виникати в навчальному процесі та пов'язані з академічною недоброчесністю.</w:t>
      </w:r>
    </w:p>
    <w:p w14:paraId="5F27FFC1" w14:textId="7777777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 xml:space="preserve">Результати відповідей </w:t>
      </w:r>
      <w:proofErr w:type="gramStart"/>
      <w:r w:rsidRPr="00511005">
        <w:rPr>
          <w:rFonts w:ascii="Arial" w:eastAsia="Calibri" w:hAnsi="Arial" w:cs="Arial"/>
          <w:szCs w:val="28"/>
        </w:rPr>
        <w:t>на першу</w:t>
      </w:r>
      <w:proofErr w:type="gramEnd"/>
      <w:r w:rsidRPr="00511005">
        <w:rPr>
          <w:rFonts w:ascii="Arial" w:eastAsia="Calibri" w:hAnsi="Arial" w:cs="Arial"/>
          <w:szCs w:val="28"/>
        </w:rPr>
        <w:t xml:space="preserve"> ситуацію, умовно названу «Необхідна дисципліна», є такими. Респонденту задають складне домашнє завдання з дисципліни, яку він складатиме на іспитах, проте самостійно виконати його не вдається. Більшість опитуваних (45,9%) висловили готовність до самостійного виконання із запитом допомоги у друга лише для розуміння складних моментів. Проте значна частина учасників опитування (40,5%) продемонструвала схильність до копіювання особливо складних частин роботи, що також є порушенням принципів академічної доброчесності. Лише невелика кількість опитаних обрала варіант повного копіювання (5,4%) або пошуку готових рішень в інтернеті без посилання (8,1%).</w:t>
      </w:r>
    </w:p>
    <w:p w14:paraId="1C8B6B0E" w14:textId="7777777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З метою перевірки залежності дотримання академічної доброчесності студента від особистого ставлення до дисципліни, було розглянуто ситуацію «Нецікава дисципліна». Опитуваним задається складне завдання з дисципліни, яку вони особисто вважають нецікавою та зовсім не потрібною для їхньої майбутньої кар’єри. В цьому випадку відповіді дуже різняться. Найбільша частина респондентів (37,8%) обрала стратегію пошуку схожих робіт в інтернеті з подальшою їх комбінацією та обов'язковим цитуванням. Значна частина (27%) виявила готовність розібратися в роботі знайомого та виконати завдання самостійно. Готовність видати чужу роботу за свою виявили 18,9%, а звернення за допомогою до викладача обрали 16,2% опитаних. Таким чином, на відміну від попередньої ситуації, де учасник дослідження особисто вважав дисципліну необхідною, удвічі більша кількість респондентів виявила готовність повністю скопіювати чужу роботу.</w:t>
      </w:r>
    </w:p>
    <w:p w14:paraId="2B96A6B1" w14:textId="7777777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Наступна ситуація стосувалася спокуси скористатися нечесною перевагою на іспиті – «Купівля відповідей». Опитуваному пропонується придбати неофіційні відповіді на важливий іспит, який незабаром відбудеться. Більшість респондентів (56,8%) продемонстровали свідому позицію відмови від нечесної переваги. Водночас значна частиа (40,5%) висловила готовність на придбання відповідей. Лише незначна кількість (2,7%) виявила готовність повідомити про цю ситуацію викладачу.</w:t>
      </w:r>
    </w:p>
    <w:p w14:paraId="4D85AD64" w14:textId="7777777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lastRenderedPageBreak/>
        <w:t>Питання використання зовнішніх джерел було висвітлено у ситуації «Чужа стаття». Респондент знаходить в інтернеті статтю, яка відповідає темі його курсової/конкурсного проєкту. Більшість опитаних (40,5%) обрала доброчесний шлях перефразування з обов'язковим посиланням на джерело. Значна частина (37,8%) також виявила розуміння необхідності цитування використаних матеріалів. Проте неприпустимий варіант копіювання великих фрагментів без зазначення авторства обрали 16,2% респондентів. Меншість (5,4%) вирішили взагалі проігнорувати знайдену статтю, щоб точно уникнути проблем з плагіатом.</w:t>
      </w:r>
    </w:p>
    <w:p w14:paraId="1C59AE0C" w14:textId="7777777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Проблеми взаємодії в команді розкривала ситуація «Групова робота». Респондент бере участь у груповому проєкті, проте один з учасників не виконує свою частину завдання, але оцінка у всіх буде однакова. У цьому випадку думки опитаних розділилися. Найбільші частки (37,8%) припали на варіанти обговорення ситуації з іншими членами групи та особистої розмови з неактивним учасником (також 37,8%). Повідомлення викладачу обрали 16,2%, а готовність змиритися з несправедливим розподілом оцінок виявили лише 8,1%.</w:t>
      </w:r>
    </w:p>
    <w:p w14:paraId="3776B83C" w14:textId="7777777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І нарешті, сценарій про безпосереднє спостереження за порушенням – «Списування» – показав, що більшість респондентів (59,5%) обрала позицію невтручання. Проте значна частина (18,9%) висловила готовність повідомити про це викладачу після завершення роботи. Набагато менше респондентів повідомили про спроби попросити сусіда припинити списування або скористатися його підказками (13,5% та 8,1% відповідно).</w:t>
      </w:r>
    </w:p>
    <w:p w14:paraId="6086A046" w14:textId="7777777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Узагальнюючи отримані дані, можна зазначити, що результати проведеного дослідження демонструють неоднорідне розуміння та ставлення до принципів академічної доброчесності серед учнів та студентів. З одного боку, значна частина респондентів усвідомлює неприпустимість прямих порушень, таких як плагіат або списування на іспиті. З іншого боку, менш очевидні форми академічної недоброчесності не завжди сприймаються як порушення.</w:t>
      </w:r>
    </w:p>
    <w:p w14:paraId="27BF8C66" w14:textId="77777777" w:rsidR="00AE57E7" w:rsidRPr="00511005" w:rsidRDefault="00AE57E7" w:rsidP="00657820">
      <w:pPr>
        <w:spacing w:line="264" w:lineRule="auto"/>
        <w:rPr>
          <w:rFonts w:ascii="Arial" w:eastAsia="Calibri" w:hAnsi="Arial" w:cs="Arial"/>
          <w:szCs w:val="28"/>
        </w:rPr>
      </w:pPr>
      <w:r w:rsidRPr="00511005">
        <w:rPr>
          <w:rFonts w:ascii="Arial" w:eastAsia="Calibri" w:hAnsi="Arial" w:cs="Arial"/>
          <w:szCs w:val="28"/>
        </w:rPr>
        <w:t>Зазначено варіативність реакцій на різні ситуації академічної недоброчесності. У ситуаціях безпосереднього обману виявлено переважно негативне ставлення. Проте у ситуаціях, пов'язаних з допомогою друзів або використанням інтернет-джерел, межа між доброчесною поведінкою та порушенням є менш чіткою для значної частини опитаних. Окремо слід відзначити, що лише незначна меншість учасників опитування виявила готовність повідомити викладача про випадки академічної недоброчесності.</w:t>
      </w:r>
    </w:p>
    <w:p w14:paraId="7A79FF44" w14:textId="77777777" w:rsidR="00AE57E7" w:rsidRPr="00511005" w:rsidRDefault="00AE57E7" w:rsidP="00657820">
      <w:pPr>
        <w:spacing w:line="264" w:lineRule="auto"/>
        <w:rPr>
          <w:rFonts w:ascii="Arial" w:eastAsia="Calibri" w:hAnsi="Arial" w:cs="Arial"/>
          <w:szCs w:val="28"/>
          <w:lang w:val="uk-UA"/>
        </w:rPr>
      </w:pPr>
      <w:r w:rsidRPr="00511005">
        <w:rPr>
          <w:rFonts w:ascii="Arial" w:eastAsia="Calibri" w:hAnsi="Arial" w:cs="Arial"/>
          <w:szCs w:val="28"/>
        </w:rPr>
        <w:t>Виявлені тенденції чітко вказують на необхідність активізації роботи з формування культури академічної доброчесності в освітніх закладах шляхом не лише інформування, але й створення умов, що сприятимуть практичному дотриманню відповідних принципів.</w:t>
      </w:r>
    </w:p>
    <w:p w14:paraId="3542C838" w14:textId="77777777" w:rsidR="00AE57E7" w:rsidRPr="00511005" w:rsidRDefault="00AE57E7" w:rsidP="003A292D">
      <w:pPr>
        <w:spacing w:line="264" w:lineRule="auto"/>
        <w:ind w:firstLine="0"/>
        <w:rPr>
          <w:rFonts w:ascii="Arial" w:eastAsia="Calibri" w:hAnsi="Arial" w:cs="Arial"/>
          <w:szCs w:val="28"/>
          <w:lang w:val="uk-UA"/>
        </w:rPr>
      </w:pPr>
    </w:p>
    <w:p w14:paraId="5E07D134" w14:textId="03D2473F" w:rsidR="00AE57E7" w:rsidRPr="00511005" w:rsidRDefault="007B2628" w:rsidP="007B2628">
      <w:pPr>
        <w:spacing w:line="264" w:lineRule="auto"/>
        <w:ind w:firstLine="0"/>
        <w:contextualSpacing/>
        <w:jc w:val="center"/>
        <w:rPr>
          <w:rFonts w:ascii="Arial" w:eastAsia="Calibri" w:hAnsi="Arial" w:cs="Arial"/>
          <w:b/>
          <w:bCs/>
          <w:szCs w:val="28"/>
        </w:rPr>
      </w:pPr>
      <w:r w:rsidRPr="00511005">
        <w:rPr>
          <w:rFonts w:ascii="Arial" w:eastAsia="Calibri" w:hAnsi="Arial" w:cs="Arial"/>
          <w:b/>
          <w:bCs/>
          <w:szCs w:val="28"/>
          <w:lang w:val="uk-UA"/>
        </w:rPr>
        <w:lastRenderedPageBreak/>
        <w:t>Список використаних джерел</w:t>
      </w:r>
    </w:p>
    <w:p w14:paraId="6CF18EF4" w14:textId="77777777" w:rsidR="00AE57E7" w:rsidRPr="00511005" w:rsidRDefault="00AE57E7" w:rsidP="003F6A5D">
      <w:pPr>
        <w:numPr>
          <w:ilvl w:val="0"/>
          <w:numId w:val="773"/>
        </w:numPr>
        <w:shd w:val="clear" w:color="auto" w:fill="FFFFFF"/>
        <w:tabs>
          <w:tab w:val="left" w:pos="709"/>
          <w:tab w:val="left" w:pos="993"/>
        </w:tabs>
        <w:spacing w:line="264" w:lineRule="auto"/>
        <w:ind w:left="0" w:firstLine="709"/>
        <w:jc w:val="left"/>
        <w:rPr>
          <w:rFonts w:ascii="Arial" w:eastAsia="Times New Roman" w:hAnsi="Arial" w:cs="Arial"/>
          <w:noProof/>
          <w:szCs w:val="28"/>
          <w:lang w:val="uk-UA"/>
        </w:rPr>
      </w:pPr>
      <w:bookmarkStart w:id="314" w:name="_Ref196244724"/>
      <w:bookmarkStart w:id="315" w:name="_Ref196244229"/>
      <w:r w:rsidRPr="00511005">
        <w:rPr>
          <w:rFonts w:ascii="Arial" w:eastAsia="Times New Roman" w:hAnsi="Arial" w:cs="Arial"/>
          <w:noProof/>
          <w:szCs w:val="28"/>
          <w:lang w:val="uk-UA"/>
        </w:rPr>
        <w:t>Академічна доброчесність здобувачів освіти –Довідка прав в освіті. URL: </w:t>
      </w:r>
      <w:hyperlink r:id="rId2512" w:tgtFrame="_blank" w:history="1">
        <w:r w:rsidRPr="00511005">
          <w:rPr>
            <w:rFonts w:ascii="Arial" w:eastAsia="Times New Roman" w:hAnsi="Arial" w:cs="Arial"/>
            <w:noProof/>
            <w:szCs w:val="28"/>
            <w:lang w:val="uk-UA"/>
          </w:rPr>
          <w:t>https://info.eo.gov.ua/akademichna-dobrochesnist-zdobuvachiv-osvity/</w:t>
        </w:r>
      </w:hyperlink>
      <w:r w:rsidRPr="00511005">
        <w:rPr>
          <w:rFonts w:ascii="Arial" w:eastAsia="Times New Roman" w:hAnsi="Arial" w:cs="Arial"/>
          <w:noProof/>
          <w:szCs w:val="28"/>
          <w:lang w:val="uk-UA"/>
        </w:rPr>
        <w:t> (дата звернення: 22.04.2025).</w:t>
      </w:r>
      <w:bookmarkEnd w:id="314"/>
    </w:p>
    <w:p w14:paraId="0A062965" w14:textId="77777777" w:rsidR="00AE57E7" w:rsidRPr="00511005" w:rsidRDefault="00AE57E7" w:rsidP="003F6A5D">
      <w:pPr>
        <w:numPr>
          <w:ilvl w:val="0"/>
          <w:numId w:val="773"/>
        </w:numPr>
        <w:shd w:val="clear" w:color="auto" w:fill="FFFFFF"/>
        <w:tabs>
          <w:tab w:val="left" w:pos="709"/>
          <w:tab w:val="left" w:pos="993"/>
        </w:tabs>
        <w:spacing w:line="264" w:lineRule="auto"/>
        <w:ind w:left="0" w:firstLine="709"/>
        <w:jc w:val="left"/>
        <w:rPr>
          <w:rFonts w:ascii="Arial" w:eastAsia="Times New Roman" w:hAnsi="Arial" w:cs="Arial"/>
          <w:noProof/>
          <w:szCs w:val="28"/>
          <w:lang w:val="uk-UA"/>
        </w:rPr>
      </w:pPr>
      <w:bookmarkStart w:id="316" w:name="_Ref196245016"/>
      <w:r w:rsidRPr="00511005">
        <w:rPr>
          <w:rFonts w:ascii="Arial" w:eastAsia="Times New Roman" w:hAnsi="Arial" w:cs="Arial"/>
          <w:noProof/>
          <w:szCs w:val="28"/>
          <w:lang w:val="uk-UA"/>
        </w:rPr>
        <w:t>Бурний В. Хронічний плагіат в українських ВНЗ. Commons. URL: </w:t>
      </w:r>
      <w:hyperlink r:id="rId2513" w:tgtFrame="_blank" w:history="1">
        <w:r w:rsidRPr="00511005">
          <w:rPr>
            <w:rFonts w:ascii="Arial" w:eastAsia="Times New Roman" w:hAnsi="Arial" w:cs="Arial"/>
            <w:noProof/>
            <w:szCs w:val="28"/>
            <w:lang w:val="uk-UA"/>
          </w:rPr>
          <w:t>https://commons.com.ua/en/pro-plagiat/</w:t>
        </w:r>
      </w:hyperlink>
      <w:r w:rsidRPr="00511005">
        <w:rPr>
          <w:rFonts w:ascii="Arial" w:eastAsia="Times New Roman" w:hAnsi="Arial" w:cs="Arial"/>
          <w:noProof/>
          <w:szCs w:val="28"/>
          <w:lang w:val="uk-UA"/>
        </w:rPr>
        <w:t> (дата звернення: 22.04.2025).</w:t>
      </w:r>
      <w:bookmarkEnd w:id="316"/>
    </w:p>
    <w:p w14:paraId="296EB9D2" w14:textId="77777777" w:rsidR="00AE57E7" w:rsidRPr="00511005" w:rsidRDefault="00AE57E7" w:rsidP="003F6A5D">
      <w:pPr>
        <w:numPr>
          <w:ilvl w:val="0"/>
          <w:numId w:val="773"/>
        </w:numPr>
        <w:shd w:val="clear" w:color="auto" w:fill="FFFFFF"/>
        <w:tabs>
          <w:tab w:val="left" w:pos="709"/>
          <w:tab w:val="left" w:pos="993"/>
        </w:tabs>
        <w:spacing w:line="264" w:lineRule="auto"/>
        <w:ind w:left="0" w:firstLine="709"/>
        <w:jc w:val="left"/>
        <w:rPr>
          <w:rFonts w:ascii="Arial" w:eastAsia="Times New Roman" w:hAnsi="Arial" w:cs="Arial"/>
          <w:noProof/>
          <w:szCs w:val="28"/>
          <w:lang w:val="uk-UA"/>
        </w:rPr>
      </w:pPr>
      <w:bookmarkStart w:id="317" w:name="_Ref196245651"/>
      <w:r w:rsidRPr="00511005">
        <w:rPr>
          <w:rFonts w:ascii="Arial" w:eastAsia="Times New Roman" w:hAnsi="Arial" w:cs="Arial"/>
          <w:noProof/>
          <w:szCs w:val="28"/>
          <w:lang w:val="uk-UA"/>
        </w:rPr>
        <w:t>Плагіат: визначення, види та наслідки. Polikarpov Law Firm. URL: </w:t>
      </w:r>
      <w:hyperlink r:id="rId2514" w:tgtFrame="_blank" w:history="1">
        <w:r w:rsidRPr="00511005">
          <w:rPr>
            <w:rFonts w:ascii="Arial" w:eastAsia="Times New Roman" w:hAnsi="Arial" w:cs="Arial"/>
            <w:noProof/>
            <w:szCs w:val="28"/>
            <w:lang w:val="uk-UA"/>
          </w:rPr>
          <w:t>https://polikarpov.legal/blogposts/plagiat-viznachennya-vidi-ta-naslidki/</w:t>
        </w:r>
      </w:hyperlink>
      <w:r w:rsidRPr="00511005">
        <w:rPr>
          <w:rFonts w:ascii="Arial" w:eastAsia="Times New Roman" w:hAnsi="Arial" w:cs="Arial"/>
          <w:noProof/>
          <w:szCs w:val="28"/>
          <w:lang w:val="uk-UA"/>
        </w:rPr>
        <w:t> (дата звернення: 22.04.2025).</w:t>
      </w:r>
      <w:bookmarkEnd w:id="317"/>
    </w:p>
    <w:p w14:paraId="17DB74A0" w14:textId="2917F557" w:rsidR="00AE57E7" w:rsidRPr="00511005" w:rsidRDefault="00AE57E7" w:rsidP="003F6A5D">
      <w:pPr>
        <w:numPr>
          <w:ilvl w:val="0"/>
          <w:numId w:val="773"/>
        </w:numPr>
        <w:shd w:val="clear" w:color="auto" w:fill="FFFFFF"/>
        <w:tabs>
          <w:tab w:val="left" w:pos="709"/>
          <w:tab w:val="left" w:pos="993"/>
        </w:tabs>
        <w:spacing w:line="264" w:lineRule="auto"/>
        <w:ind w:left="0" w:firstLine="709"/>
        <w:jc w:val="left"/>
        <w:rPr>
          <w:rFonts w:ascii="Arial" w:eastAsia="Times New Roman" w:hAnsi="Arial" w:cs="Arial"/>
          <w:noProof/>
          <w:szCs w:val="28"/>
          <w:lang w:val="uk-UA"/>
        </w:rPr>
      </w:pPr>
      <w:bookmarkStart w:id="318" w:name="_Ref196244758"/>
      <w:r w:rsidRPr="00511005">
        <w:rPr>
          <w:rFonts w:ascii="Arial" w:eastAsia="Times New Roman" w:hAnsi="Arial" w:cs="Arial"/>
          <w:noProof/>
          <w:szCs w:val="28"/>
          <w:lang w:val="uk-UA"/>
        </w:rPr>
        <w:t>Результати опитування. URL:</w:t>
      </w:r>
      <w:r w:rsidR="007B2628" w:rsidRPr="00511005">
        <w:rPr>
          <w:rFonts w:ascii="Arial" w:eastAsia="Times New Roman" w:hAnsi="Arial" w:cs="Arial"/>
          <w:noProof/>
          <w:szCs w:val="28"/>
          <w:lang w:val="uk-UA"/>
        </w:rPr>
        <w:t xml:space="preserve"> </w:t>
      </w:r>
      <w:hyperlink r:id="rId2515" w:anchor="gid=476188418" w:history="1">
        <w:r w:rsidRPr="00511005">
          <w:rPr>
            <w:rFonts w:ascii="Arial" w:eastAsia="Times New Roman" w:hAnsi="Arial" w:cs="Arial"/>
            <w:noProof/>
            <w:szCs w:val="28"/>
            <w:lang w:val="uk-UA"/>
          </w:rPr>
          <w:t>https://docs.google.com/spreadsheets/d/18MgnuiteahEE-cvdJDOzQHkajYUT-4pgR3DW8F04FMw/edit?gid=476188418#gid=476188418</w:t>
        </w:r>
      </w:hyperlink>
      <w:r w:rsidRPr="00511005">
        <w:rPr>
          <w:rFonts w:ascii="Arial" w:eastAsia="Times New Roman" w:hAnsi="Arial" w:cs="Arial"/>
          <w:noProof/>
          <w:szCs w:val="28"/>
          <w:lang w:val="uk-UA"/>
        </w:rPr>
        <w:t xml:space="preserve"> (дата звернення: 22.04.2025).</w:t>
      </w:r>
      <w:bookmarkEnd w:id="315"/>
      <w:bookmarkEnd w:id="318"/>
    </w:p>
    <w:p w14:paraId="5915CE9A" w14:textId="720BDDE2" w:rsidR="00AE57E7" w:rsidRPr="00511005" w:rsidRDefault="007B2628" w:rsidP="003A292D">
      <w:pPr>
        <w:shd w:val="clear" w:color="auto" w:fill="FFFFFF"/>
        <w:tabs>
          <w:tab w:val="left" w:pos="993"/>
        </w:tabs>
        <w:spacing w:line="264" w:lineRule="auto"/>
        <w:ind w:firstLine="0"/>
        <w:rPr>
          <w:rFonts w:ascii="Arial" w:eastAsia="Times New Roman" w:hAnsi="Arial" w:cs="Arial"/>
          <w:noProof/>
          <w:szCs w:val="28"/>
          <w:lang w:val="uk-UA"/>
        </w:rPr>
      </w:pPr>
      <w:r w:rsidRPr="00511005">
        <w:rPr>
          <w:rFonts w:ascii="Arial" w:eastAsia="Times New Roman" w:hAnsi="Arial" w:cs="Arial"/>
          <w:b/>
          <w:bCs/>
          <w:i/>
          <w:noProof/>
          <w:szCs w:val="28"/>
          <w:lang w:val="uk-UA"/>
        </w:rPr>
        <w:t xml:space="preserve">Ключові слова: </w:t>
      </w:r>
      <w:r w:rsidR="00AE57E7" w:rsidRPr="00511005">
        <w:rPr>
          <w:rFonts w:ascii="Arial" w:eastAsia="Times New Roman" w:hAnsi="Arial" w:cs="Arial"/>
          <w:noProof/>
          <w:szCs w:val="28"/>
          <w:lang w:val="uk-UA"/>
        </w:rPr>
        <w:t>академічна доброчесність, плагіат, самоплагіат, списування, опитування.</w:t>
      </w:r>
    </w:p>
    <w:p w14:paraId="34A3D7CB" w14:textId="723FB1BF" w:rsidR="00AE57E7" w:rsidRPr="00511005" w:rsidRDefault="007B2628" w:rsidP="003A292D">
      <w:pPr>
        <w:shd w:val="clear" w:color="auto" w:fill="FFFFFF"/>
        <w:tabs>
          <w:tab w:val="left" w:pos="993"/>
        </w:tabs>
        <w:spacing w:line="264" w:lineRule="auto"/>
        <w:ind w:firstLine="0"/>
        <w:rPr>
          <w:rFonts w:ascii="Arial" w:eastAsia="Times New Roman" w:hAnsi="Arial" w:cs="Arial"/>
          <w:noProof/>
          <w:szCs w:val="28"/>
          <w:lang w:val="uk-UA"/>
        </w:rPr>
      </w:pPr>
      <w:r w:rsidRPr="00511005">
        <w:rPr>
          <w:rFonts w:ascii="Arial" w:eastAsia="Times New Roman" w:hAnsi="Arial" w:cs="Arial"/>
          <w:b/>
          <w:bCs/>
          <w:i/>
          <w:noProof/>
          <w:szCs w:val="28"/>
          <w:lang w:val="uk-UA"/>
        </w:rPr>
        <w:t xml:space="preserve">Key words: </w:t>
      </w:r>
      <w:r w:rsidR="00AE57E7" w:rsidRPr="00511005">
        <w:rPr>
          <w:rFonts w:ascii="Arial" w:eastAsia="Times New Roman" w:hAnsi="Arial" w:cs="Arial"/>
          <w:noProof/>
          <w:szCs w:val="28"/>
          <w:lang w:val="uk-UA"/>
        </w:rPr>
        <w:t>academic integrity, plagiarism, self-plagiarism, copying, survey.</w:t>
      </w:r>
    </w:p>
    <w:p w14:paraId="0C9A452A" w14:textId="4CE74F98" w:rsidR="00AE57E7" w:rsidRPr="00511005" w:rsidRDefault="007B2628" w:rsidP="003A292D">
      <w:pPr>
        <w:shd w:val="clear" w:color="auto" w:fill="FFFFFF"/>
        <w:tabs>
          <w:tab w:val="left" w:pos="993"/>
        </w:tabs>
        <w:spacing w:line="264" w:lineRule="auto"/>
        <w:ind w:firstLine="0"/>
        <w:rPr>
          <w:rFonts w:ascii="Arial" w:eastAsia="Times New Roman" w:hAnsi="Arial" w:cs="Arial"/>
          <w:i/>
          <w:noProof/>
          <w:szCs w:val="28"/>
          <w:lang w:val="uk-UA"/>
        </w:rPr>
      </w:pPr>
      <w:r w:rsidRPr="00511005">
        <w:rPr>
          <w:rFonts w:ascii="Arial" w:eastAsia="Times New Roman" w:hAnsi="Arial" w:cs="Arial"/>
          <w:b/>
          <w:i/>
          <w:noProof/>
          <w:szCs w:val="28"/>
          <w:lang w:val="uk-UA"/>
        </w:rPr>
        <w:t xml:space="preserve">Науковий керівник: </w:t>
      </w:r>
      <w:r w:rsidR="00AE57E7" w:rsidRPr="00511005">
        <w:rPr>
          <w:rFonts w:ascii="Arial" w:eastAsia="Times New Roman" w:hAnsi="Arial" w:cs="Arial"/>
          <w:i/>
          <w:noProof/>
          <w:szCs w:val="28"/>
          <w:lang w:val="uk-UA"/>
        </w:rPr>
        <w:t>к.ф.н., доцент. Кісельова А.А</w:t>
      </w:r>
    </w:p>
    <w:p w14:paraId="155C1B80" w14:textId="77777777" w:rsidR="00AE57E7" w:rsidRPr="00511005" w:rsidRDefault="00AE57E7" w:rsidP="003A292D">
      <w:pPr>
        <w:spacing w:line="264" w:lineRule="auto"/>
        <w:ind w:firstLine="0"/>
        <w:jc w:val="left"/>
        <w:rPr>
          <w:rFonts w:ascii="Arial" w:eastAsia="Times New Roman" w:hAnsi="Arial" w:cs="Arial"/>
          <w:szCs w:val="28"/>
          <w:lang w:val="uk-UA" w:eastAsia="ru-RU"/>
        </w:rPr>
      </w:pPr>
    </w:p>
    <w:p w14:paraId="0997BCAB" w14:textId="530F746F" w:rsidR="00AE57E7" w:rsidRPr="00511005" w:rsidRDefault="00AE57E7" w:rsidP="003A292D">
      <w:pPr>
        <w:spacing w:line="264" w:lineRule="auto"/>
        <w:ind w:firstLine="0"/>
        <w:jc w:val="left"/>
        <w:rPr>
          <w:rFonts w:ascii="Arial" w:eastAsia="Times New Roman" w:hAnsi="Arial" w:cs="Arial"/>
          <w:szCs w:val="28"/>
          <w:lang w:val="uk-UA" w:eastAsia="ru-RU"/>
        </w:rPr>
      </w:pPr>
    </w:p>
    <w:p w14:paraId="1D2DA452" w14:textId="77777777" w:rsidR="00AE57E7" w:rsidRPr="00511005" w:rsidRDefault="00AE57E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Зіменко Анастасія Анатоліївна</w:t>
      </w:r>
    </w:p>
    <w:p w14:paraId="7B059A1A" w14:textId="1EB8A1F0" w:rsidR="00AE57E7" w:rsidRPr="00511005" w:rsidRDefault="00536AAB" w:rsidP="003A292D">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студентка 4-го курсу факультету журналістики</w:t>
      </w:r>
    </w:p>
    <w:p w14:paraId="20F5E01E" w14:textId="4F108924" w:rsidR="00AE57E7" w:rsidRPr="00511005" w:rsidRDefault="007B2628" w:rsidP="003A292D">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13A39E5E" w14:textId="77777777" w:rsidR="00AE57E7" w:rsidRPr="00511005" w:rsidRDefault="00AE57E7" w:rsidP="003A292D">
      <w:pPr>
        <w:spacing w:line="264" w:lineRule="auto"/>
        <w:ind w:firstLine="0"/>
        <w:jc w:val="center"/>
        <w:rPr>
          <w:rFonts w:ascii="Arial" w:eastAsia="Calibri" w:hAnsi="Arial" w:cs="Arial"/>
          <w:i/>
          <w:iCs/>
          <w:szCs w:val="28"/>
          <w:lang w:val="uk-UA"/>
        </w:rPr>
      </w:pPr>
    </w:p>
    <w:p w14:paraId="05F588C2" w14:textId="6150B87D" w:rsidR="00AE57E7" w:rsidRPr="00511005" w:rsidRDefault="00AE57E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ВДОСКОНАЛЕННЯ БРЕНД-КОМУНІКАЦІЙ МЕДИЧНОГО ЗАКЛАДУ НА ПРИКЛАДІ</w:t>
      </w:r>
      <w:r w:rsidR="007B2628" w:rsidRPr="00511005">
        <w:rPr>
          <w:rFonts w:ascii="Arial" w:eastAsia="Calibri" w:hAnsi="Arial" w:cs="Arial"/>
          <w:b/>
          <w:szCs w:val="28"/>
          <w:lang w:val="uk-UA"/>
        </w:rPr>
        <w:t xml:space="preserve"> </w:t>
      </w:r>
      <w:r w:rsidRPr="00511005">
        <w:rPr>
          <w:rFonts w:ascii="Arial" w:eastAsia="Calibri" w:hAnsi="Arial" w:cs="Arial"/>
          <w:b/>
          <w:szCs w:val="28"/>
          <w:lang w:val="uk-UA"/>
        </w:rPr>
        <w:t>ПРИВАТНОЇ КЛІНІКИ REVASCO (м. ЛЬВІВ)</w:t>
      </w:r>
    </w:p>
    <w:p w14:paraId="378C37EB" w14:textId="77777777" w:rsidR="00AE57E7" w:rsidRPr="00511005" w:rsidRDefault="00AE57E7" w:rsidP="00657820">
      <w:pPr>
        <w:spacing w:line="264" w:lineRule="auto"/>
        <w:rPr>
          <w:rFonts w:ascii="Arial" w:eastAsia="Calibri" w:hAnsi="Arial" w:cs="Arial"/>
          <w:szCs w:val="28"/>
          <w:lang w:val="uk-UA"/>
        </w:rPr>
      </w:pPr>
      <w:r w:rsidRPr="00511005">
        <w:rPr>
          <w:rFonts w:ascii="Arial" w:eastAsia="Calibri" w:hAnsi="Arial" w:cs="Arial"/>
          <w:szCs w:val="28"/>
          <w:lang w:val="uk-UA"/>
        </w:rPr>
        <w:t>Ефективна робота медичного закладу безпосередньо залежить від функціонування комунікаційного середовища, де позиції медичного закладу та його пацієнтів взаємно узгоджуються та враховуються.</w:t>
      </w:r>
    </w:p>
    <w:p w14:paraId="194A0A1D" w14:textId="77777777" w:rsidR="00AE57E7" w:rsidRPr="00511005" w:rsidRDefault="00AE57E7" w:rsidP="00657820">
      <w:pPr>
        <w:spacing w:line="264" w:lineRule="auto"/>
        <w:contextualSpacing/>
        <w:rPr>
          <w:rFonts w:ascii="Arial" w:eastAsia="Calibri" w:hAnsi="Arial" w:cs="Arial"/>
          <w:szCs w:val="28"/>
          <w:lang w:val="uk-UA"/>
        </w:rPr>
      </w:pPr>
      <w:r w:rsidRPr="00511005">
        <w:rPr>
          <w:rFonts w:ascii="Arial" w:eastAsia="Calibri" w:hAnsi="Arial" w:cs="Arial"/>
          <w:szCs w:val="28"/>
          <w:lang w:val="uk-UA"/>
        </w:rPr>
        <w:t>Традиційними формами комунікаційних технологій, що використовуються вітчизняними закладами охорони здоров’я, є реклама та зв’язки з громадськістю. Робота з громадськістю спрямована на встановлення довірчих відносин, розширення впливу, підвищення репутації та запобігання конфліктам. У цій сфері, яка орієнтована на формування та підтримку позитивного іміджу медичних закладів, робота має здійснюватися за кількома основними напрямами:</w:t>
      </w:r>
    </w:p>
    <w:p w14:paraId="4872C8E9" w14:textId="77777777" w:rsidR="00AE57E7" w:rsidRPr="00511005" w:rsidRDefault="00AE57E7" w:rsidP="003F6A5D">
      <w:pPr>
        <w:numPr>
          <w:ilvl w:val="0"/>
          <w:numId w:val="774"/>
        </w:numPr>
        <w:pBdr>
          <w:top w:val="nil"/>
          <w:left w:val="nil"/>
          <w:bottom w:val="nil"/>
          <w:right w:val="nil"/>
          <w:between w:val="nil"/>
          <w:bar w:val="nil"/>
        </w:pBd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організація та координація інформаційної взаємодії з засобами масової інформації;</w:t>
      </w:r>
    </w:p>
    <w:p w14:paraId="76926C55" w14:textId="77777777" w:rsidR="00AE57E7" w:rsidRPr="00511005" w:rsidRDefault="00AE57E7" w:rsidP="003F6A5D">
      <w:pPr>
        <w:numPr>
          <w:ilvl w:val="0"/>
          <w:numId w:val="774"/>
        </w:numPr>
        <w:pBdr>
          <w:top w:val="nil"/>
          <w:left w:val="nil"/>
          <w:bottom w:val="nil"/>
          <w:right w:val="nil"/>
          <w:between w:val="nil"/>
          <w:bar w:val="nil"/>
        </w:pBd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підтримка організації суспільних заходів (як офіційних, так і неофіційних) та їх ефективний рекламно-інформаційний супровід;</w:t>
      </w:r>
    </w:p>
    <w:p w14:paraId="6A52E2FA" w14:textId="77777777" w:rsidR="00AE57E7" w:rsidRPr="00511005" w:rsidRDefault="00AE57E7" w:rsidP="003F6A5D">
      <w:pPr>
        <w:numPr>
          <w:ilvl w:val="0"/>
          <w:numId w:val="774"/>
        </w:numPr>
        <w:pBdr>
          <w:top w:val="nil"/>
          <w:left w:val="nil"/>
          <w:bottom w:val="nil"/>
          <w:right w:val="nil"/>
          <w:between w:val="nil"/>
          <w:bar w:val="nil"/>
        </w:pBd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обслуговування веб-сайту закладу. Власний сайт є потужним інструментом для взаємодії з потенційними пацієнтами, відповідає на їх </w:t>
      </w:r>
      <w:r w:rsidRPr="00511005">
        <w:rPr>
          <w:rFonts w:ascii="Arial" w:eastAsia="Calibri" w:hAnsi="Arial" w:cs="Arial"/>
          <w:szCs w:val="28"/>
          <w:lang w:val="uk-UA"/>
        </w:rPr>
        <w:lastRenderedPageBreak/>
        <w:t>запити та побажання, а також демонструє високу репутацію закладу та якість наданих послуг;</w:t>
      </w:r>
    </w:p>
    <w:p w14:paraId="08DA7275" w14:textId="77777777" w:rsidR="00AE57E7" w:rsidRPr="00511005" w:rsidRDefault="00AE57E7" w:rsidP="003F6A5D">
      <w:pPr>
        <w:numPr>
          <w:ilvl w:val="0"/>
          <w:numId w:val="774"/>
        </w:numPr>
        <w:pBdr>
          <w:top w:val="nil"/>
          <w:left w:val="nil"/>
          <w:bottom w:val="nil"/>
          <w:right w:val="nil"/>
          <w:between w:val="nil"/>
          <w:bar w:val="nil"/>
        </w:pBd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моніторинг громадської думки;</w:t>
      </w:r>
    </w:p>
    <w:p w14:paraId="3F65999E" w14:textId="77777777" w:rsidR="00AE57E7" w:rsidRPr="00511005" w:rsidRDefault="00AE57E7" w:rsidP="003F6A5D">
      <w:pPr>
        <w:numPr>
          <w:ilvl w:val="0"/>
          <w:numId w:val="774"/>
        </w:numPr>
        <w:pBdr>
          <w:top w:val="nil"/>
          <w:left w:val="nil"/>
          <w:bottom w:val="nil"/>
          <w:right w:val="nil"/>
          <w:between w:val="nil"/>
          <w:bar w:val="nil"/>
        </w:pBd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консультування підрозділів медичного закладу [1, c.362].</w:t>
      </w:r>
    </w:p>
    <w:p w14:paraId="37C31532" w14:textId="77777777" w:rsidR="00AE57E7" w:rsidRPr="00511005" w:rsidRDefault="00AE57E7" w:rsidP="00657820">
      <w:pPr>
        <w:spacing w:line="264" w:lineRule="auto"/>
        <w:contextualSpacing/>
        <w:rPr>
          <w:rFonts w:ascii="Arial" w:eastAsia="Calibri" w:hAnsi="Arial" w:cs="Arial"/>
          <w:szCs w:val="28"/>
          <w:lang w:val="uk-UA"/>
        </w:rPr>
      </w:pPr>
      <w:r w:rsidRPr="00511005">
        <w:rPr>
          <w:rFonts w:ascii="Arial" w:eastAsia="Calibri" w:hAnsi="Arial" w:cs="Arial"/>
          <w:szCs w:val="28"/>
          <w:lang w:val="uk-UA"/>
        </w:rPr>
        <w:t>Зовнішні бренд-комунікації медичного закладу можуть містити такі компоненти:</w:t>
      </w:r>
    </w:p>
    <w:p w14:paraId="5210EDFD" w14:textId="77777777" w:rsidR="00AE57E7" w:rsidRPr="00511005" w:rsidRDefault="00AE57E7" w:rsidP="003F6A5D">
      <w:pPr>
        <w:numPr>
          <w:ilvl w:val="0"/>
          <w:numId w:val="775"/>
        </w:numPr>
        <w:pBdr>
          <w:top w:val="nil"/>
          <w:left w:val="nil"/>
          <w:bottom w:val="nil"/>
          <w:right w:val="nil"/>
          <w:between w:val="nil"/>
          <w:bar w:val="nil"/>
        </w:pBd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завоювання довіри пацієнтів до закладу,що відбувається через іміджеву політику, яка включає створення позитивного образу закладу у цільової аудиторії;</w:t>
      </w:r>
    </w:p>
    <w:p w14:paraId="6E86E00B" w14:textId="77777777" w:rsidR="00AE57E7" w:rsidRPr="00511005" w:rsidRDefault="00AE57E7" w:rsidP="003F6A5D">
      <w:pPr>
        <w:numPr>
          <w:ilvl w:val="0"/>
          <w:numId w:val="775"/>
        </w:numPr>
        <w:pBdr>
          <w:top w:val="nil"/>
          <w:left w:val="nil"/>
          <w:bottom w:val="nil"/>
          <w:right w:val="nil"/>
          <w:between w:val="nil"/>
          <w:bar w:val="nil"/>
        </w:pBd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брендинг та репутаційний менеджмент є важливими складовими успіху медичних закладів, оскільки вони визначають рівень довіри пацієнтів та здатність установи залишатися конкурентоспроможною на ринку медичних послуг. Створення позитивного іміджу та управління репутацією не лише підвищують привабливість закладу для нових пацієнтів, але й сприяють лояльності існуючих. Успішна іміджева політика повинна враховувати реальний стан справ, орієнтуватися на потреби цільової аудиторії та зосереджувати увагу на перевагах закладу, що сприятиме стабільному розвитку та забезпеченню високої якості медичних послуг;</w:t>
      </w:r>
    </w:p>
    <w:p w14:paraId="474DFDBB" w14:textId="77777777" w:rsidR="00AE57E7" w:rsidRPr="00511005" w:rsidRDefault="00AE57E7" w:rsidP="003F6A5D">
      <w:pPr>
        <w:numPr>
          <w:ilvl w:val="0"/>
          <w:numId w:val="775"/>
        </w:numPr>
        <w:pBdr>
          <w:top w:val="nil"/>
          <w:left w:val="nil"/>
          <w:bottom w:val="nil"/>
          <w:right w:val="nil"/>
          <w:between w:val="nil"/>
          <w:bar w:val="nil"/>
        </w:pBdr>
        <w:tabs>
          <w:tab w:val="left" w:pos="1134"/>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персоналізація комунікацій у сфері охорони здоров’я сприяє побудові більш тісних і довірчих відносин з пацієнтами. Окрім стандартних рекламних кампаній, персоналізовані послуги дозволяють медичним закладам пропонувати індивідуальні рішення, орієнтуючись на особисті потреби кожного пацієнта. Наприклад, медичні установи можуть надсилати індивідуальні нагадування про заплановані візити, персоналізовані плани лікування чи програми для профілактики, що дозволяє пацієнтам відчувати турботу та увагу до їх здоров’я та підвищує їхню лояльність до закладу.</w:t>
      </w:r>
    </w:p>
    <w:p w14:paraId="160BD2F7" w14:textId="77777777" w:rsidR="00AE57E7" w:rsidRPr="00511005" w:rsidRDefault="00AE57E7" w:rsidP="00657820">
      <w:pPr>
        <w:spacing w:line="264" w:lineRule="auto"/>
        <w:contextualSpacing/>
        <w:rPr>
          <w:rFonts w:ascii="Arial" w:eastAsia="Calibri" w:hAnsi="Arial" w:cs="Arial"/>
          <w:szCs w:val="28"/>
          <w:lang w:val="uk-UA"/>
        </w:rPr>
      </w:pPr>
      <w:r w:rsidRPr="00511005">
        <w:rPr>
          <w:rFonts w:ascii="Arial" w:eastAsia="Calibri" w:hAnsi="Arial" w:cs="Arial"/>
          <w:szCs w:val="28"/>
          <w:lang w:val="uk-UA"/>
        </w:rPr>
        <w:t>Розробка стратегії комунікації для приватної клініки REVASCO [2] вимагає чіткого розуміння місії та цілей установи, а також специфіки її цільової аудиторії. Авторський задум цього проєкту полягає у створенні ефективної комунікаційної стратегії, яка сприятиме підвищенню довіри пацієнтів, зміцненню іміджу клініки та забезпеченню високої якості обслуговування. Ключовим завданням є розробка унікальних підходів до взаємодії з пацієнтами та адаптація комунікаційних форматів до конкретних потреб і вимог клініки.</w:t>
      </w:r>
    </w:p>
    <w:p w14:paraId="5EA91403" w14:textId="77777777" w:rsidR="00AE57E7" w:rsidRPr="00511005" w:rsidRDefault="00AE57E7" w:rsidP="00657820">
      <w:pPr>
        <w:spacing w:line="264" w:lineRule="auto"/>
        <w:contextualSpacing/>
        <w:rPr>
          <w:rFonts w:ascii="Arial" w:eastAsia="Calibri" w:hAnsi="Arial" w:cs="Arial"/>
          <w:szCs w:val="28"/>
          <w:lang w:val="uk-UA"/>
        </w:rPr>
      </w:pPr>
      <w:r w:rsidRPr="00511005">
        <w:rPr>
          <w:rFonts w:ascii="Arial" w:eastAsia="Calibri" w:hAnsi="Arial" w:cs="Arial"/>
          <w:szCs w:val="28"/>
          <w:lang w:val="uk-UA"/>
        </w:rPr>
        <w:t xml:space="preserve">Кінцевою метою є формування іміджу клініки REVASCO як надійного партнера у сфері охорони здоров’я, який забезпечує не лише високоякісне лікування, а й індивідуальний підхід. Такий образ має відображатися як у зовнішній комунікації клініки – рекламі, у соцмережах, на сайті, у візуальних матеріалах, подієвому маркетингу, PR-заходах тощо, так і у внутрішніх комунікаціях клініки при контактах з медперсоналом. Стратегія покликана підвищити лояльність пацієнтів, сприяти їхній активній участі у збереженні </w:t>
      </w:r>
      <w:r w:rsidRPr="00511005">
        <w:rPr>
          <w:rFonts w:ascii="Arial" w:eastAsia="Calibri" w:hAnsi="Arial" w:cs="Arial"/>
          <w:szCs w:val="28"/>
          <w:lang w:val="uk-UA"/>
        </w:rPr>
        <w:lastRenderedPageBreak/>
        <w:t>власного здоров’я та стимулювати поширення позитивних відгуків, що є особливо цінним для репутації приватного медичного закладу.</w:t>
      </w:r>
    </w:p>
    <w:p w14:paraId="17719F78" w14:textId="77777777" w:rsidR="00AE57E7" w:rsidRPr="00511005" w:rsidRDefault="00AE57E7" w:rsidP="00657820">
      <w:pPr>
        <w:spacing w:line="264" w:lineRule="auto"/>
        <w:contextualSpacing/>
        <w:rPr>
          <w:rFonts w:ascii="Arial" w:eastAsia="Calibri" w:hAnsi="Arial" w:cs="Arial"/>
          <w:szCs w:val="28"/>
          <w:lang w:val="uk-UA"/>
        </w:rPr>
      </w:pPr>
      <w:r w:rsidRPr="00511005">
        <w:rPr>
          <w:rFonts w:ascii="Arial" w:eastAsia="Calibri" w:hAnsi="Arial" w:cs="Arial"/>
          <w:szCs w:val="28"/>
          <w:lang w:val="uk-UA"/>
        </w:rPr>
        <w:t>Серед сильних сторін комунікації клініки REVASCO варто відзначити наявність мультиканальної стратегії, активну присутність у соціальних мережах та використання персоналізованої електронної пошти, що сприяє формуванню довіри та забезпечує зручність для пацієнтів. До слабких сторін належить недостатня інтеграція каналів між собою, нерегулярність оновлення контенту та обмежений рівень взаємодії з підписниками.</w:t>
      </w:r>
    </w:p>
    <w:p w14:paraId="7CFF730A" w14:textId="77777777" w:rsidR="00AE57E7" w:rsidRPr="00511005" w:rsidRDefault="00AE57E7" w:rsidP="00657820">
      <w:pPr>
        <w:spacing w:line="264" w:lineRule="auto"/>
        <w:contextualSpacing/>
        <w:rPr>
          <w:rFonts w:ascii="Arial" w:eastAsia="Calibri" w:hAnsi="Arial" w:cs="Arial"/>
          <w:szCs w:val="28"/>
          <w:lang w:val="uk-UA"/>
        </w:rPr>
      </w:pPr>
      <w:r w:rsidRPr="00511005">
        <w:rPr>
          <w:rFonts w:ascii="Arial" w:eastAsia="Calibri" w:hAnsi="Arial" w:cs="Arial"/>
          <w:szCs w:val="28"/>
          <w:lang w:val="uk-UA"/>
        </w:rPr>
        <w:t>Планування заходів для досягнення цих цілей передбачає створення комплексу як онлайн-, так і офлайн-активностей. У цифровому середовищі клініка повинна інвестувати в SEO-оптимізований сайт, активне ведення сторінок у соціальних мережах (Instagram, Facebook), запуск рекламних кампаній Google Ads та таргетованої реклами, орієнтованої на жінок віком 30–65 років. Контент має бути візуально привабливим і інформативним – відеоогляди кабінетів, відгуки пацієнтів, поради лікарів та освітні пости про симптоми й методи лікування варикозу. Окрему увагу варто приділити зручному онлайн-запису за допомогою сайту або месенджерів.</w:t>
      </w:r>
    </w:p>
    <w:p w14:paraId="6EED4C87" w14:textId="77777777" w:rsidR="00AE57E7" w:rsidRPr="00511005" w:rsidRDefault="00AE57E7" w:rsidP="00657820">
      <w:pPr>
        <w:spacing w:line="264" w:lineRule="auto"/>
        <w:contextualSpacing/>
        <w:rPr>
          <w:rFonts w:ascii="Arial" w:eastAsia="Calibri" w:hAnsi="Arial" w:cs="Arial"/>
          <w:szCs w:val="28"/>
          <w:lang w:val="uk-UA"/>
        </w:rPr>
      </w:pPr>
      <w:r w:rsidRPr="00511005">
        <w:rPr>
          <w:rFonts w:ascii="Arial" w:eastAsia="Calibri" w:hAnsi="Arial" w:cs="Arial"/>
          <w:szCs w:val="28"/>
          <w:lang w:val="uk-UA"/>
        </w:rPr>
        <w:t>Серед офлайн-заходів доцільно організовувати дні відкритих дверей, безкоштовні консультації чи діагностику в рамках акцій, а також виступи лікарів клініки на локальних форумах і тематичних заходах, що сприятиме формуванню довіри до бренду REVASCO та закріпить його позиції як експертного, інноваційного і клієнтоорієнтованого медичного простору. Комунікація повинна бути побудована на емоційному зв’язку з пацієнтом, підкреслювати безпеку, турботу та комфорт, що є основою філософії клініки.</w:t>
      </w:r>
    </w:p>
    <w:p w14:paraId="209DC7AA" w14:textId="77777777" w:rsidR="00AE57E7" w:rsidRPr="00511005" w:rsidRDefault="00AE57E7" w:rsidP="00657820">
      <w:pPr>
        <w:spacing w:line="264" w:lineRule="auto"/>
        <w:contextualSpacing/>
        <w:rPr>
          <w:rFonts w:ascii="Arial" w:eastAsia="Calibri" w:hAnsi="Arial" w:cs="Arial"/>
          <w:szCs w:val="28"/>
          <w:lang w:val="uk-UA"/>
        </w:rPr>
      </w:pPr>
      <w:r w:rsidRPr="00511005">
        <w:rPr>
          <w:rFonts w:ascii="Arial" w:eastAsia="Calibri" w:hAnsi="Arial" w:cs="Arial"/>
          <w:szCs w:val="28"/>
          <w:lang w:val="uk-UA"/>
        </w:rPr>
        <w:t>Згідно з аналізом ринку та аналогічних кампаній, найбільші результати демонструють стратегії, що зосереджуються на розвитку контент-маркетингу, підвищенні активності в соціальних мережах та впровадженні програм лояльності для пацієнтів, що дозволяє не лише покращити репутацію клініки, а й сформувати позитивне ставлення до бренду та підвищити рівень довіри до медичних послуг, що пропонує заклад.</w:t>
      </w:r>
    </w:p>
    <w:p w14:paraId="60017888" w14:textId="77777777" w:rsidR="00AE57E7" w:rsidRPr="00511005" w:rsidRDefault="00AE57E7" w:rsidP="003A292D">
      <w:pPr>
        <w:spacing w:line="264" w:lineRule="auto"/>
        <w:ind w:firstLine="0"/>
        <w:jc w:val="center"/>
        <w:rPr>
          <w:rFonts w:ascii="Arial" w:eastAsia="Times New Roman" w:hAnsi="Arial" w:cs="Arial"/>
          <w:b/>
          <w:bCs/>
          <w:i/>
          <w:iCs/>
          <w:szCs w:val="28"/>
          <w:lang w:val="uk-UA" w:eastAsia="ru-RU"/>
        </w:rPr>
      </w:pPr>
    </w:p>
    <w:p w14:paraId="3379E6F4" w14:textId="2B71E98D" w:rsidR="00AE57E7" w:rsidRPr="00511005" w:rsidRDefault="007B2628" w:rsidP="007B2628">
      <w:pPr>
        <w:spacing w:line="264" w:lineRule="auto"/>
        <w:ind w:firstLine="0"/>
        <w:jc w:val="center"/>
        <w:rPr>
          <w:rFonts w:ascii="Arial" w:eastAsia="Times New Roman" w:hAnsi="Arial" w:cs="Arial"/>
          <w:b/>
          <w:bCs/>
          <w:iCs/>
          <w:szCs w:val="28"/>
          <w:lang w:val="uk-UA" w:eastAsia="ru-RU"/>
        </w:rPr>
      </w:pPr>
      <w:r w:rsidRPr="00511005">
        <w:rPr>
          <w:rFonts w:ascii="Arial" w:eastAsia="Times New Roman" w:hAnsi="Arial" w:cs="Arial"/>
          <w:b/>
          <w:bCs/>
          <w:iCs/>
          <w:szCs w:val="28"/>
          <w:lang w:val="uk-UA" w:eastAsia="ru-RU"/>
        </w:rPr>
        <w:t>Список використаних джерел</w:t>
      </w:r>
    </w:p>
    <w:p w14:paraId="669DE78B" w14:textId="77777777" w:rsidR="00AE57E7" w:rsidRPr="00511005" w:rsidRDefault="00AE57E7" w:rsidP="003F6A5D">
      <w:pPr>
        <w:numPr>
          <w:ilvl w:val="0"/>
          <w:numId w:val="776"/>
        </w:numPr>
        <w:spacing w:line="264" w:lineRule="auto"/>
        <w:ind w:left="0" w:firstLine="709"/>
        <w:jc w:val="left"/>
        <w:rPr>
          <w:rFonts w:ascii="Arial" w:eastAsia="Arial" w:hAnsi="Arial" w:cs="Arial"/>
          <w:szCs w:val="28"/>
          <w:lang w:val="uk-UA" w:eastAsia="ru-RU"/>
        </w:rPr>
      </w:pPr>
      <w:r w:rsidRPr="00511005">
        <w:rPr>
          <w:rFonts w:ascii="Arial" w:eastAsia="Arial" w:hAnsi="Arial" w:cs="Arial"/>
          <w:szCs w:val="28"/>
          <w:lang w:val="uk-UA" w:eastAsia="ru-RU"/>
        </w:rPr>
        <w:t xml:space="preserve">Шкуріна Ю. В. Побудова ефективної комунікативної системи у закладі охорони здоров’я. </w:t>
      </w:r>
      <w:r w:rsidRPr="00511005">
        <w:rPr>
          <w:rFonts w:ascii="Arial" w:eastAsia="Arial" w:hAnsi="Arial" w:cs="Arial"/>
          <w:i/>
          <w:szCs w:val="28"/>
          <w:lang w:val="uk-UA" w:eastAsia="ru-RU"/>
        </w:rPr>
        <w:t>Актуальні проблеми розвитку галузевої економіки, менеджменту та логістики :</w:t>
      </w:r>
      <w:r w:rsidRPr="00511005">
        <w:rPr>
          <w:rFonts w:ascii="Arial" w:eastAsia="Arial" w:hAnsi="Arial" w:cs="Arial"/>
          <w:szCs w:val="28"/>
          <w:lang w:val="uk-UA" w:eastAsia="ru-RU"/>
        </w:rPr>
        <w:t xml:space="preserve"> матеріали X міжнарод. наук.-практ. internet-конф. з міжнар. участю, м. Харків, 10 листоп. 2022 р. Харків : НФаУ, 2022. С. 361–364. URL: </w:t>
      </w:r>
      <w:hyperlink r:id="rId2516" w:history="1">
        <w:r w:rsidRPr="00511005">
          <w:rPr>
            <w:rFonts w:ascii="Arial" w:eastAsia="Arial" w:hAnsi="Arial" w:cs="Arial"/>
            <w:szCs w:val="28"/>
            <w:lang w:val="uk-UA" w:eastAsia="ru-RU"/>
          </w:rPr>
          <w:t>https://dspace.nuph.edu.ua/handle/123456789/28845</w:t>
        </w:r>
      </w:hyperlink>
      <w:r w:rsidRPr="00511005">
        <w:rPr>
          <w:rFonts w:ascii="Arial" w:eastAsia="Arial" w:hAnsi="Arial" w:cs="Arial"/>
          <w:szCs w:val="28"/>
          <w:lang w:val="uk-UA" w:eastAsia="ru-RU"/>
        </w:rPr>
        <w:t xml:space="preserve"> (дата звернення 28.04.2025).</w:t>
      </w:r>
    </w:p>
    <w:p w14:paraId="52C8B595" w14:textId="77777777" w:rsidR="00AE57E7" w:rsidRPr="00511005" w:rsidRDefault="00AE57E7" w:rsidP="003F6A5D">
      <w:pPr>
        <w:numPr>
          <w:ilvl w:val="0"/>
          <w:numId w:val="776"/>
        </w:numPr>
        <w:spacing w:line="264" w:lineRule="auto"/>
        <w:ind w:left="0" w:firstLine="709"/>
        <w:jc w:val="left"/>
        <w:rPr>
          <w:rFonts w:ascii="Arial" w:eastAsia="Arial" w:hAnsi="Arial" w:cs="Arial"/>
          <w:szCs w:val="28"/>
          <w:lang w:val="uk-UA" w:eastAsia="ru-RU"/>
        </w:rPr>
      </w:pPr>
      <w:r w:rsidRPr="00511005">
        <w:rPr>
          <w:rFonts w:ascii="Arial" w:eastAsia="Arial" w:hAnsi="Arial" w:cs="Arial"/>
          <w:szCs w:val="28"/>
          <w:lang w:val="uk-UA" w:eastAsia="ru-RU"/>
        </w:rPr>
        <w:t xml:space="preserve">REVASCO – клінікa судинної хірургії та флебології. </w:t>
      </w:r>
      <w:r w:rsidRPr="00511005">
        <w:rPr>
          <w:rFonts w:ascii="Arial" w:eastAsia="Arial" w:hAnsi="Arial" w:cs="Arial"/>
          <w:szCs w:val="28"/>
          <w:lang w:val="en-US" w:eastAsia="ru-RU"/>
        </w:rPr>
        <w:t>URL</w:t>
      </w:r>
      <w:r w:rsidRPr="00511005">
        <w:rPr>
          <w:rFonts w:ascii="Arial" w:eastAsia="Arial" w:hAnsi="Arial" w:cs="Arial"/>
          <w:szCs w:val="28"/>
          <w:lang w:val="uk-UA" w:eastAsia="ru-RU"/>
        </w:rPr>
        <w:t xml:space="preserve">: </w:t>
      </w:r>
      <w:hyperlink r:id="rId2517" w:history="1">
        <w:r w:rsidRPr="00511005">
          <w:rPr>
            <w:rFonts w:ascii="Arial" w:eastAsia="Arial" w:hAnsi="Arial" w:cs="Arial"/>
            <w:szCs w:val="28"/>
            <w:lang w:val="uk-UA" w:eastAsia="ru-RU"/>
          </w:rPr>
          <w:t>https://revasco.com.ua/</w:t>
        </w:r>
      </w:hyperlink>
      <w:r w:rsidRPr="00511005">
        <w:rPr>
          <w:rFonts w:ascii="Arial" w:eastAsia="Arial" w:hAnsi="Arial" w:cs="Arial"/>
          <w:szCs w:val="28"/>
          <w:lang w:val="uk-UA" w:eastAsia="ru-RU"/>
        </w:rPr>
        <w:t xml:space="preserve"> (дата звернення 28.04.2025).</w:t>
      </w:r>
    </w:p>
    <w:p w14:paraId="78EAF928" w14:textId="77777777" w:rsidR="00AE57E7" w:rsidRPr="00511005" w:rsidRDefault="00AE57E7" w:rsidP="003A292D">
      <w:pPr>
        <w:spacing w:line="264" w:lineRule="auto"/>
        <w:ind w:firstLine="0"/>
        <w:jc w:val="left"/>
        <w:rPr>
          <w:rFonts w:ascii="Arial" w:eastAsia="Calibri" w:hAnsi="Arial" w:cs="Arial"/>
          <w:szCs w:val="28"/>
          <w:lang w:val="uk-UA"/>
        </w:rPr>
      </w:pPr>
    </w:p>
    <w:p w14:paraId="6965602D" w14:textId="1CE67731" w:rsidR="00AE57E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lastRenderedPageBreak/>
        <w:t xml:space="preserve">Ключові слова: </w:t>
      </w:r>
      <w:r w:rsidR="00AE57E7" w:rsidRPr="00511005">
        <w:rPr>
          <w:rFonts w:ascii="Arial" w:eastAsia="Calibri" w:hAnsi="Arial" w:cs="Arial"/>
          <w:szCs w:val="28"/>
          <w:lang w:val="uk-UA"/>
        </w:rPr>
        <w:t>бренд-комунікації, комунікаційні технології, реклама, подієвий маркетинг, PR-заходи, брендинг,</w:t>
      </w:r>
      <w:r w:rsidRPr="00511005">
        <w:rPr>
          <w:rFonts w:ascii="Arial" w:eastAsia="Calibri" w:hAnsi="Arial" w:cs="Arial"/>
          <w:szCs w:val="28"/>
          <w:lang w:val="uk-UA"/>
        </w:rPr>
        <w:t xml:space="preserve"> </w:t>
      </w:r>
      <w:r w:rsidR="00AE57E7" w:rsidRPr="00511005">
        <w:rPr>
          <w:rFonts w:ascii="Arial" w:eastAsia="Calibri" w:hAnsi="Arial" w:cs="Arial"/>
          <w:szCs w:val="28"/>
          <w:lang w:val="uk-UA"/>
        </w:rPr>
        <w:t>репутаційний менеджмент.</w:t>
      </w:r>
    </w:p>
    <w:p w14:paraId="712786DF" w14:textId="6F93CE49" w:rsidR="00AE57E7" w:rsidRPr="00511005" w:rsidRDefault="007B2628" w:rsidP="003A292D">
      <w:pPr>
        <w:spacing w:line="264" w:lineRule="auto"/>
        <w:ind w:firstLine="0"/>
        <w:rPr>
          <w:rFonts w:ascii="Arial" w:eastAsia="Calibri" w:hAnsi="Arial" w:cs="Arial"/>
          <w:szCs w:val="28"/>
          <w:lang w:val="en-US"/>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brand communications, communication technologies, advertising, event marketing, PR events, branding, reputation management.</w:t>
      </w:r>
    </w:p>
    <w:p w14:paraId="146E01C4" w14:textId="5BF2D14C" w:rsidR="00AE57E7" w:rsidRPr="00511005" w:rsidRDefault="007B2628" w:rsidP="003A292D">
      <w:pPr>
        <w:spacing w:line="264" w:lineRule="auto"/>
        <w:ind w:firstLine="0"/>
        <w:jc w:val="left"/>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AE57E7" w:rsidRPr="00511005">
        <w:rPr>
          <w:rFonts w:ascii="Arial" w:eastAsia="Calibri" w:hAnsi="Arial" w:cs="Arial"/>
          <w:i/>
          <w:szCs w:val="28"/>
          <w:lang w:val="uk-UA"/>
        </w:rPr>
        <w:t>канд. філол. н., доцент Грушевська Ю.А.</w:t>
      </w:r>
    </w:p>
    <w:p w14:paraId="5B466D48" w14:textId="77777777" w:rsidR="00AE57E7" w:rsidRPr="00511005" w:rsidRDefault="00AE57E7" w:rsidP="003A292D">
      <w:pPr>
        <w:spacing w:line="264" w:lineRule="auto"/>
        <w:ind w:firstLine="0"/>
        <w:jc w:val="center"/>
        <w:rPr>
          <w:rFonts w:ascii="Arial" w:eastAsia="Times New Roman" w:hAnsi="Arial" w:cs="Arial"/>
          <w:b/>
          <w:bCs/>
          <w:szCs w:val="28"/>
          <w:lang w:val="uk-UA"/>
        </w:rPr>
      </w:pPr>
    </w:p>
    <w:p w14:paraId="70AD5382" w14:textId="77777777" w:rsidR="00AE57E7" w:rsidRPr="00511005" w:rsidRDefault="00AE57E7" w:rsidP="003A292D">
      <w:pPr>
        <w:spacing w:line="264" w:lineRule="auto"/>
        <w:ind w:firstLine="0"/>
        <w:jc w:val="center"/>
        <w:rPr>
          <w:rFonts w:ascii="Arial" w:eastAsia="Times New Roman" w:hAnsi="Arial" w:cs="Arial"/>
          <w:b/>
          <w:bCs/>
          <w:szCs w:val="28"/>
          <w:lang w:val="uk-UA"/>
        </w:rPr>
      </w:pPr>
    </w:p>
    <w:p w14:paraId="2110C429" w14:textId="77777777" w:rsidR="00AE57E7" w:rsidRPr="00511005" w:rsidRDefault="00AE57E7" w:rsidP="003A292D">
      <w:pPr>
        <w:spacing w:line="264" w:lineRule="auto"/>
        <w:ind w:firstLine="0"/>
        <w:jc w:val="center"/>
        <w:rPr>
          <w:rFonts w:ascii="Arial" w:eastAsia="Times New Roman" w:hAnsi="Arial" w:cs="Arial"/>
          <w:b/>
          <w:bCs/>
          <w:i/>
          <w:szCs w:val="28"/>
          <w:lang w:val="uk-UA"/>
        </w:rPr>
      </w:pPr>
      <w:r w:rsidRPr="00511005">
        <w:rPr>
          <w:rFonts w:ascii="Arial" w:eastAsia="Times New Roman" w:hAnsi="Arial" w:cs="Arial"/>
          <w:b/>
          <w:bCs/>
          <w:i/>
          <w:szCs w:val="28"/>
          <w:lang w:val="uk-UA"/>
        </w:rPr>
        <w:t>Кузнєцова Діана Олександрівна</w:t>
      </w:r>
    </w:p>
    <w:p w14:paraId="547ED508" w14:textId="196CE2FC" w:rsidR="00AE57E7" w:rsidRPr="00511005" w:rsidRDefault="00287A9C"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студент</w:t>
      </w:r>
      <w:r w:rsidR="00AE57E7" w:rsidRPr="00511005">
        <w:rPr>
          <w:rFonts w:ascii="Arial" w:eastAsia="Times New Roman" w:hAnsi="Arial" w:cs="Arial"/>
          <w:szCs w:val="28"/>
          <w:lang w:val="uk-UA"/>
        </w:rPr>
        <w:t xml:space="preserve">ка </w:t>
      </w:r>
      <w:r w:rsidR="00C66506" w:rsidRPr="00511005">
        <w:rPr>
          <w:rFonts w:ascii="Arial" w:eastAsia="Times New Roman" w:hAnsi="Arial" w:cs="Arial"/>
          <w:szCs w:val="28"/>
          <w:lang w:val="uk-UA"/>
        </w:rPr>
        <w:t>2-го</w:t>
      </w:r>
      <w:r w:rsidR="00AE57E7" w:rsidRPr="00511005">
        <w:rPr>
          <w:rFonts w:ascii="Arial" w:eastAsia="Times New Roman" w:hAnsi="Arial" w:cs="Arial"/>
          <w:szCs w:val="28"/>
          <w:lang w:val="uk-UA"/>
        </w:rPr>
        <w:t xml:space="preserve"> курсу</w:t>
      </w:r>
      <w:r w:rsidR="00C66506" w:rsidRPr="00511005">
        <w:rPr>
          <w:rFonts w:ascii="Arial" w:eastAsia="Times New Roman" w:hAnsi="Arial" w:cs="Arial"/>
          <w:szCs w:val="28"/>
          <w:lang w:val="uk-UA"/>
        </w:rPr>
        <w:t xml:space="preserve"> </w:t>
      </w:r>
      <w:r w:rsidR="00536AAB" w:rsidRPr="00511005">
        <w:rPr>
          <w:rFonts w:ascii="Arial" w:eastAsia="Times New Roman" w:hAnsi="Arial" w:cs="Arial"/>
          <w:szCs w:val="28"/>
          <w:lang w:val="uk-UA"/>
        </w:rPr>
        <w:t>факультету журналістики</w:t>
      </w:r>
    </w:p>
    <w:p w14:paraId="20BF6787" w14:textId="25088CD9" w:rsidR="00AE57E7"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69F374CA" w14:textId="77777777" w:rsidR="00AE57E7" w:rsidRPr="00511005" w:rsidRDefault="00AE57E7" w:rsidP="003A292D">
      <w:pPr>
        <w:spacing w:line="264" w:lineRule="auto"/>
        <w:ind w:firstLine="0"/>
        <w:rPr>
          <w:rFonts w:ascii="Arial" w:eastAsia="Times New Roman" w:hAnsi="Arial" w:cs="Arial"/>
          <w:szCs w:val="28"/>
          <w:lang w:val="uk-UA"/>
        </w:rPr>
      </w:pPr>
    </w:p>
    <w:p w14:paraId="3BD465EA" w14:textId="77777777" w:rsidR="00AE57E7" w:rsidRPr="00511005" w:rsidRDefault="00AE57E7" w:rsidP="003A292D">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МОВНІ НОВОТВОРИ В УМОВАХ ВІЙНИ В УКРАЇНІ</w:t>
      </w:r>
    </w:p>
    <w:p w14:paraId="5E569780"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Війна має глибокий вплив на суспільство, що відображається у мові. Нові лексичні одиниці, які виникають в умовах війни, стають дзеркалом суспільного настрою, культури, поведінки. Їх дослідження є актуальним для розуміння процесів мовної еволюції та адаптації мови до екстремальних умов.</w:t>
      </w:r>
    </w:p>
    <w:p w14:paraId="3AFEED01"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bCs/>
          <w:szCs w:val="28"/>
          <w:lang w:val="uk-UA"/>
        </w:rPr>
        <w:t>Метою дослідження</w:t>
      </w:r>
      <w:r w:rsidRPr="00511005">
        <w:rPr>
          <w:rFonts w:ascii="Arial" w:eastAsia="Times New Roman" w:hAnsi="Arial" w:cs="Arial"/>
          <w:szCs w:val="28"/>
          <w:lang w:val="uk-UA"/>
        </w:rPr>
        <w:t xml:space="preserve"> є аналіз особливостей новотворів, які виникли під час війни в Україні, спроба класифікації способів творення нових лексичних одиниць та виокремлення їхньої функціональної ролі у мовленні. Для досягнення цієї мети будуть проаналізовані такі проблеми, як виявлення первинного значення слова та його нових значень у контексті війни; визначення позитивних, негативних або нейтральних конотацій аналізованих слів; об'єднання слів за спільними семантичними ознаками.</w:t>
      </w:r>
    </w:p>
    <w:p w14:paraId="60D72198"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bCs/>
          <w:szCs w:val="28"/>
          <w:lang w:val="uk-UA"/>
        </w:rPr>
        <w:t>Об’єктом дослідження</w:t>
      </w:r>
      <w:r w:rsidRPr="00511005">
        <w:rPr>
          <w:rFonts w:ascii="Arial" w:eastAsia="Times New Roman" w:hAnsi="Arial" w:cs="Arial"/>
          <w:szCs w:val="28"/>
          <w:lang w:val="uk-UA"/>
        </w:rPr>
        <w:t xml:space="preserve"> є мовні новотвори, що з’явилися в умовах війни в Україні.</w:t>
      </w:r>
    </w:p>
    <w:p w14:paraId="3830A314"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Неологізми – це нові лексичні одиниці, які з'являються в мові для позначення нових реалій або для підсилення експресивного забарвлення відомих понять. В умовах війни їхня поява є особливою реакцією на екстремальні обставини, що формують унікальні соціальні, психологічні та культурні контексти. Як зазначають дослідники, мовні новотвори є важливим індикатором соціальних змін і служать способом адекватно реагувати на нові виклики та ситуації </w:t>
      </w:r>
      <w:r w:rsidRPr="00511005">
        <w:rPr>
          <w:rFonts w:ascii="Arial" w:eastAsia="Times New Roman" w:hAnsi="Arial" w:cs="Arial"/>
          <w:szCs w:val="28"/>
        </w:rPr>
        <w:t>[1</w:t>
      </w:r>
      <w:r w:rsidRPr="00511005">
        <w:rPr>
          <w:rFonts w:ascii="Arial" w:eastAsia="Times New Roman" w:hAnsi="Arial" w:cs="Arial"/>
          <w:szCs w:val="28"/>
          <w:lang w:val="uk-UA"/>
        </w:rPr>
        <w:t>, с. 33</w:t>
      </w:r>
      <w:r w:rsidRPr="00511005">
        <w:rPr>
          <w:rFonts w:ascii="Arial" w:eastAsia="Times New Roman" w:hAnsi="Arial" w:cs="Arial"/>
          <w:szCs w:val="28"/>
        </w:rPr>
        <w:t>]</w:t>
      </w:r>
      <w:r w:rsidRPr="00511005">
        <w:rPr>
          <w:rFonts w:ascii="Arial" w:eastAsia="Times New Roman" w:hAnsi="Arial" w:cs="Arial"/>
          <w:szCs w:val="28"/>
          <w:lang w:val="uk-UA"/>
        </w:rPr>
        <w:t>. Вони допомагають зафіксувати колективний досвід, зокрема через створення нових понять для опису змін у суспільному житті, військових подій, а також для вираження емоцій і переживань людей у період кризи.</w:t>
      </w:r>
    </w:p>
    <w:p w14:paraId="3CED0E75"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Війна створює унікальні умови для виникнення лексичних одиниць, які служать як для опису нових реалій, так і для зміцнення національної єдності. Слова </w:t>
      </w:r>
      <w:r w:rsidRPr="00511005">
        <w:rPr>
          <w:rFonts w:ascii="Arial" w:eastAsia="Times New Roman" w:hAnsi="Arial" w:cs="Arial"/>
          <w:i/>
          <w:szCs w:val="28"/>
          <w:lang w:val="uk-UA"/>
        </w:rPr>
        <w:t>рашисти</w:t>
      </w:r>
      <w:r w:rsidRPr="00511005">
        <w:rPr>
          <w:rFonts w:ascii="Arial" w:eastAsia="Times New Roman" w:hAnsi="Arial" w:cs="Arial"/>
          <w:szCs w:val="28"/>
          <w:lang w:val="uk-UA"/>
        </w:rPr>
        <w:t xml:space="preserve"> або </w:t>
      </w:r>
      <w:r w:rsidRPr="00511005">
        <w:rPr>
          <w:rFonts w:ascii="Arial" w:eastAsia="Times New Roman" w:hAnsi="Arial" w:cs="Arial"/>
          <w:i/>
          <w:szCs w:val="28"/>
          <w:lang w:val="uk-UA"/>
        </w:rPr>
        <w:t>чмоня</w:t>
      </w:r>
      <w:r w:rsidRPr="00511005">
        <w:rPr>
          <w:rFonts w:ascii="Arial" w:eastAsia="Times New Roman" w:hAnsi="Arial" w:cs="Arial"/>
          <w:szCs w:val="28"/>
          <w:lang w:val="uk-UA"/>
        </w:rPr>
        <w:t xml:space="preserve"> не лише позначають осіб, через такі лексеми формується ставлення до ворога і зміцнюється моральний дух нації. Теорія мовної еволюції також допомагає зрозуміти, чому в умовах соціальних </w:t>
      </w:r>
      <w:r w:rsidRPr="00511005">
        <w:rPr>
          <w:rFonts w:ascii="Arial" w:eastAsia="Times New Roman" w:hAnsi="Arial" w:cs="Arial"/>
          <w:szCs w:val="28"/>
          <w:lang w:val="uk-UA"/>
        </w:rPr>
        <w:lastRenderedPageBreak/>
        <w:t>катаклізмів відбуваються мовні зміни і як мова реагує на ці зміни, адаптуючись до нових соціальних реалій.</w:t>
      </w:r>
    </w:p>
    <w:p w14:paraId="6D507053" w14:textId="7CF1214F"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Під час війни в мовній практиці застосовуються різні способи словотворення. Одним з найпоширеніших є префіксально-суфіксальний, складання основ і семантичне переосмислення наявних лексем. Так утворилися нові слова на кшталт </w:t>
      </w:r>
      <w:r w:rsidRPr="00511005">
        <w:rPr>
          <w:rFonts w:ascii="Arial" w:eastAsia="Times New Roman" w:hAnsi="Arial" w:cs="Arial"/>
          <w:i/>
          <w:szCs w:val="28"/>
          <w:lang w:val="uk-UA"/>
        </w:rPr>
        <w:t>бандеромобіль</w:t>
      </w:r>
      <w:r w:rsidRPr="00511005">
        <w:rPr>
          <w:rFonts w:ascii="Arial" w:eastAsia="Times New Roman" w:hAnsi="Arial" w:cs="Arial"/>
          <w:szCs w:val="28"/>
          <w:lang w:val="uk-UA"/>
        </w:rPr>
        <w:t xml:space="preserve"> (бойовий автомат ЗСУ) або</w:t>
      </w:r>
      <w:r w:rsidR="007B2628" w:rsidRPr="00511005">
        <w:rPr>
          <w:rFonts w:ascii="Arial" w:eastAsia="Times New Roman" w:hAnsi="Arial" w:cs="Arial"/>
          <w:szCs w:val="28"/>
          <w:lang w:val="uk-UA"/>
        </w:rPr>
        <w:t xml:space="preserve"> </w:t>
      </w:r>
      <w:r w:rsidRPr="00511005">
        <w:rPr>
          <w:rFonts w:ascii="Arial" w:eastAsia="Times New Roman" w:hAnsi="Arial" w:cs="Arial"/>
          <w:i/>
          <w:iCs/>
          <w:szCs w:val="28"/>
          <w:lang w:val="uk-UA"/>
        </w:rPr>
        <w:t>макронити</w:t>
      </w:r>
      <w:r w:rsidRPr="00511005">
        <w:rPr>
          <w:rFonts w:ascii="Arial" w:eastAsia="Times New Roman" w:hAnsi="Arial" w:cs="Arial"/>
          <w:szCs w:val="28"/>
          <w:lang w:val="uk-UA"/>
        </w:rPr>
        <w:t xml:space="preserve"> (від прізвища президента Франції Макрона),</w:t>
      </w:r>
      <w:r w:rsidRPr="00511005">
        <w:rPr>
          <w:rFonts w:ascii="Arial" w:eastAsia="Times New Roman" w:hAnsi="Arial" w:cs="Arial"/>
          <w:i/>
          <w:iCs/>
          <w:szCs w:val="28"/>
          <w:lang w:val="uk-UA"/>
        </w:rPr>
        <w:t xml:space="preserve"> бавовна</w:t>
      </w:r>
      <w:r w:rsidRPr="00511005">
        <w:rPr>
          <w:rFonts w:ascii="Arial" w:eastAsia="Times New Roman" w:hAnsi="Arial" w:cs="Arial"/>
          <w:szCs w:val="28"/>
          <w:lang w:val="uk-UA"/>
        </w:rPr>
        <w:t xml:space="preserve"> (вибух на території противника), вони набули нового значення, яке відображає специфіку реалій під час війни. </w:t>
      </w:r>
    </w:p>
    <w:p w14:paraId="41F2077B" w14:textId="6B9DED1B" w:rsidR="00AE57E7" w:rsidRPr="00511005" w:rsidRDefault="00AE57E7" w:rsidP="00896853">
      <w:pPr>
        <w:spacing w:line="264" w:lineRule="auto"/>
        <w:rPr>
          <w:rFonts w:ascii="Arial" w:eastAsia="Times New Roman" w:hAnsi="Arial" w:cs="Arial"/>
          <w:i/>
          <w:szCs w:val="28"/>
          <w:lang w:val="uk-UA"/>
        </w:rPr>
      </w:pPr>
      <w:r w:rsidRPr="00511005">
        <w:rPr>
          <w:rFonts w:ascii="Arial" w:eastAsia="Times New Roman" w:hAnsi="Arial" w:cs="Arial"/>
          <w:szCs w:val="28"/>
          <w:lang w:val="uk-UA"/>
        </w:rPr>
        <w:t xml:space="preserve">Якщо спробувати класифікувати способи словотворення неологізмів періоду війни в Україні, то на першому місці буде </w:t>
      </w:r>
      <w:r w:rsidRPr="00511005">
        <w:rPr>
          <w:rFonts w:ascii="Arial" w:eastAsia="Times New Roman" w:hAnsi="Arial" w:cs="Arial"/>
          <w:iCs/>
          <w:szCs w:val="28"/>
          <w:lang w:val="uk-UA"/>
        </w:rPr>
        <w:t xml:space="preserve">складання основ: </w:t>
      </w:r>
      <w:r w:rsidRPr="00511005">
        <w:rPr>
          <w:rFonts w:ascii="Arial" w:eastAsia="Times New Roman" w:hAnsi="Arial" w:cs="Arial"/>
          <w:i/>
          <w:szCs w:val="28"/>
          <w:lang w:val="uk-UA"/>
        </w:rPr>
        <w:t>свинособаки</w:t>
      </w:r>
      <w:r w:rsidRPr="00511005">
        <w:rPr>
          <w:rFonts w:ascii="Arial" w:eastAsia="Times New Roman" w:hAnsi="Arial" w:cs="Arial"/>
          <w:iCs/>
          <w:szCs w:val="28"/>
          <w:lang w:val="uk-UA"/>
        </w:rPr>
        <w:t xml:space="preserve"> (російські військові), </w:t>
      </w:r>
      <w:r w:rsidRPr="00511005">
        <w:rPr>
          <w:rFonts w:ascii="Arial" w:eastAsia="Times New Roman" w:hAnsi="Arial" w:cs="Arial"/>
          <w:i/>
          <w:szCs w:val="28"/>
          <w:lang w:val="uk-UA"/>
        </w:rPr>
        <w:t>шайтан-труба</w:t>
      </w:r>
      <w:r w:rsidRPr="00511005">
        <w:rPr>
          <w:rFonts w:ascii="Arial" w:eastAsia="Times New Roman" w:hAnsi="Arial" w:cs="Arial"/>
          <w:iCs/>
          <w:szCs w:val="28"/>
          <w:lang w:val="uk-UA"/>
        </w:rPr>
        <w:t xml:space="preserve"> (гранатомет), </w:t>
      </w:r>
      <w:r w:rsidRPr="00511005">
        <w:rPr>
          <w:rFonts w:ascii="Arial" w:eastAsia="Times New Roman" w:hAnsi="Arial" w:cs="Arial"/>
          <w:i/>
          <w:szCs w:val="28"/>
          <w:lang w:val="uk-UA"/>
        </w:rPr>
        <w:t xml:space="preserve">калашмат </w:t>
      </w:r>
      <w:r w:rsidRPr="00511005">
        <w:rPr>
          <w:rFonts w:ascii="Arial" w:eastAsia="Times New Roman" w:hAnsi="Arial" w:cs="Arial"/>
          <w:iCs/>
          <w:szCs w:val="28"/>
          <w:lang w:val="uk-UA"/>
        </w:rPr>
        <w:t xml:space="preserve">(автомат Калашнікова). </w:t>
      </w:r>
      <w:r w:rsidRPr="00511005">
        <w:rPr>
          <w:rFonts w:ascii="Arial" w:eastAsia="Times New Roman" w:hAnsi="Arial" w:cs="Arial"/>
          <w:szCs w:val="28"/>
          <w:lang w:val="uk-UA"/>
        </w:rPr>
        <w:t>Прикладом складання основ є</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і лексична одиниця </w:t>
      </w:r>
      <w:r w:rsidRPr="00511005">
        <w:rPr>
          <w:rFonts w:ascii="Arial" w:eastAsia="Times New Roman" w:hAnsi="Arial" w:cs="Arial"/>
          <w:i/>
          <w:szCs w:val="28"/>
          <w:lang w:val="uk-UA"/>
        </w:rPr>
        <w:t>rushist</w:t>
      </w:r>
      <w:r w:rsidR="007B2628" w:rsidRPr="00511005">
        <w:rPr>
          <w:rFonts w:ascii="Arial" w:eastAsia="Times New Roman" w:hAnsi="Arial" w:cs="Arial"/>
          <w:i/>
          <w:szCs w:val="28"/>
          <w:lang w:val="uk-UA"/>
        </w:rPr>
        <w:t xml:space="preserve"> </w:t>
      </w:r>
      <w:r w:rsidRPr="00511005">
        <w:rPr>
          <w:rFonts w:ascii="Arial" w:eastAsia="Times New Roman" w:hAnsi="Arial" w:cs="Arial"/>
          <w:i/>
          <w:szCs w:val="28"/>
          <w:lang w:val="uk-UA"/>
        </w:rPr>
        <w:t>(rashist)</w:t>
      </w:r>
      <w:r w:rsidR="007B2628" w:rsidRPr="00511005">
        <w:rPr>
          <w:rFonts w:ascii="Arial" w:eastAsia="Times New Roman" w:hAnsi="Arial" w:cs="Arial"/>
          <w:i/>
          <w:szCs w:val="28"/>
          <w:lang w:val="uk-UA"/>
        </w:rPr>
        <w:t xml:space="preserve"> </w:t>
      </w:r>
      <w:r w:rsidRPr="00511005">
        <w:rPr>
          <w:rFonts w:ascii="Arial" w:eastAsia="Times New Roman" w:hAnsi="Arial" w:cs="Arial"/>
          <w:i/>
          <w:szCs w:val="28"/>
          <w:lang w:val="uk-UA"/>
        </w:rPr>
        <w:t>–</w:t>
      </w:r>
      <w:r w:rsidR="007B2628" w:rsidRPr="00511005">
        <w:rPr>
          <w:rFonts w:ascii="Arial" w:eastAsia="Times New Roman" w:hAnsi="Arial" w:cs="Arial"/>
          <w:i/>
          <w:szCs w:val="28"/>
          <w:lang w:val="uk-UA"/>
        </w:rPr>
        <w:t xml:space="preserve"> </w:t>
      </w:r>
      <w:r w:rsidRPr="00511005">
        <w:rPr>
          <w:rFonts w:ascii="Arial" w:eastAsia="Times New Roman" w:hAnsi="Arial" w:cs="Arial"/>
          <w:i/>
          <w:szCs w:val="28"/>
          <w:lang w:val="uk-UA"/>
        </w:rPr>
        <w:t xml:space="preserve">рашист </w:t>
      </w:r>
      <w:r w:rsidRPr="00511005">
        <w:rPr>
          <w:rFonts w:ascii="Arial" w:eastAsia="Times New Roman" w:hAnsi="Arial" w:cs="Arial"/>
          <w:szCs w:val="28"/>
          <w:lang w:val="uk-UA"/>
        </w:rPr>
        <w:t>(російський фашист).</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Ця лексична</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інновація</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виникла</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в</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результаті</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поєднання</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слів «російський», «расистський»</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і</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«фашистський» [2, с.105].</w:t>
      </w:r>
    </w:p>
    <w:p w14:paraId="7D15BFBD"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Наступний метод – </w:t>
      </w:r>
      <w:r w:rsidRPr="00511005">
        <w:rPr>
          <w:rFonts w:ascii="Arial" w:eastAsia="Times New Roman" w:hAnsi="Arial" w:cs="Arial"/>
          <w:iCs/>
          <w:szCs w:val="28"/>
          <w:lang w:val="uk-UA"/>
        </w:rPr>
        <w:t>афіксація.</w:t>
      </w:r>
      <w:r w:rsidRPr="00511005">
        <w:rPr>
          <w:rFonts w:ascii="Arial" w:eastAsia="Times New Roman" w:hAnsi="Arial" w:cs="Arial"/>
          <w:szCs w:val="28"/>
          <w:lang w:val="uk-UA"/>
        </w:rPr>
        <w:t xml:space="preserve"> У такий спосіб утворено багато неологізмів – емоційних слів: </w:t>
      </w:r>
      <w:r w:rsidRPr="00511005">
        <w:rPr>
          <w:rFonts w:ascii="Arial" w:eastAsia="Times New Roman" w:hAnsi="Arial" w:cs="Arial"/>
          <w:i/>
          <w:iCs/>
          <w:szCs w:val="28"/>
          <w:lang w:val="uk-UA"/>
        </w:rPr>
        <w:t xml:space="preserve">присвітити </w:t>
      </w:r>
      <w:r w:rsidRPr="00511005">
        <w:rPr>
          <w:rFonts w:ascii="Arial" w:eastAsia="Times New Roman" w:hAnsi="Arial" w:cs="Arial"/>
          <w:szCs w:val="28"/>
          <w:lang w:val="uk-UA"/>
        </w:rPr>
        <w:t xml:space="preserve">(завдати втрат ворогу), </w:t>
      </w:r>
      <w:r w:rsidRPr="00511005">
        <w:rPr>
          <w:rFonts w:ascii="Arial" w:eastAsia="Times New Roman" w:hAnsi="Arial" w:cs="Arial"/>
          <w:i/>
          <w:iCs/>
          <w:szCs w:val="28"/>
          <w:lang w:val="uk-UA"/>
        </w:rPr>
        <w:t>мамкувати</w:t>
      </w:r>
      <w:r w:rsidRPr="00511005">
        <w:rPr>
          <w:rFonts w:ascii="Arial" w:eastAsia="Times New Roman" w:hAnsi="Arial" w:cs="Arial"/>
          <w:szCs w:val="28"/>
          <w:lang w:val="uk-UA"/>
        </w:rPr>
        <w:t xml:space="preserve"> (не виконувати простих дій для збереження життя), </w:t>
      </w:r>
      <w:r w:rsidRPr="00511005">
        <w:rPr>
          <w:rFonts w:ascii="Arial" w:eastAsia="Times New Roman" w:hAnsi="Arial" w:cs="Arial"/>
          <w:i/>
          <w:iCs/>
          <w:szCs w:val="28"/>
          <w:lang w:val="uk-UA"/>
        </w:rPr>
        <w:t>наволонтерити</w:t>
      </w:r>
      <w:r w:rsidRPr="00511005">
        <w:rPr>
          <w:rFonts w:ascii="Arial" w:eastAsia="Times New Roman" w:hAnsi="Arial" w:cs="Arial"/>
          <w:szCs w:val="28"/>
          <w:lang w:val="uk-UA"/>
        </w:rPr>
        <w:t xml:space="preserve"> (знайте щось потрібне для ЗСУ).</w:t>
      </w:r>
    </w:p>
    <w:p w14:paraId="4669AF7E"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Часто уживані абревіатури, які не належали до початку війни до активної лексики – </w:t>
      </w:r>
      <w:r w:rsidRPr="00511005">
        <w:rPr>
          <w:rFonts w:ascii="Arial" w:eastAsia="Times New Roman" w:hAnsi="Arial" w:cs="Arial"/>
          <w:i/>
          <w:szCs w:val="28"/>
          <w:lang w:val="uk-UA"/>
        </w:rPr>
        <w:t>ЗСУ</w:t>
      </w:r>
      <w:r w:rsidRPr="00511005">
        <w:rPr>
          <w:rFonts w:ascii="Arial" w:eastAsia="Times New Roman" w:hAnsi="Arial" w:cs="Arial"/>
          <w:szCs w:val="28"/>
          <w:lang w:val="uk-UA"/>
        </w:rPr>
        <w:t xml:space="preserve"> (Збройні Сили України), </w:t>
      </w:r>
      <w:r w:rsidRPr="00511005">
        <w:rPr>
          <w:rFonts w:ascii="Arial" w:eastAsia="Times New Roman" w:hAnsi="Arial" w:cs="Arial"/>
          <w:i/>
          <w:szCs w:val="28"/>
          <w:lang w:val="uk-UA"/>
        </w:rPr>
        <w:t>ППО</w:t>
      </w:r>
      <w:r w:rsidRPr="00511005">
        <w:rPr>
          <w:rFonts w:ascii="Arial" w:eastAsia="Times New Roman" w:hAnsi="Arial" w:cs="Arial"/>
          <w:szCs w:val="28"/>
          <w:lang w:val="uk-UA"/>
        </w:rPr>
        <w:t xml:space="preserve"> (протиповітряна оборона).</w:t>
      </w:r>
    </w:p>
    <w:p w14:paraId="5F7E5C19" w14:textId="5DB7872F"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Мовні новотвори класифікують і за їх семантичним значенням. Наприклад,</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нові слова, що описують війну та її наслідки: </w:t>
      </w:r>
      <w:r w:rsidRPr="00511005">
        <w:rPr>
          <w:rFonts w:ascii="Arial" w:eastAsia="Times New Roman" w:hAnsi="Arial" w:cs="Arial"/>
          <w:i/>
          <w:szCs w:val="28"/>
          <w:lang w:val="uk-UA"/>
        </w:rPr>
        <w:t>бавовна</w:t>
      </w:r>
      <w:r w:rsidRPr="00511005">
        <w:rPr>
          <w:rFonts w:ascii="Arial" w:eastAsia="Times New Roman" w:hAnsi="Arial" w:cs="Arial"/>
          <w:szCs w:val="28"/>
          <w:lang w:val="uk-UA"/>
        </w:rPr>
        <w:t xml:space="preserve"> (вибух, удар, звук вибуху на території ворога), д</w:t>
      </w:r>
      <w:r w:rsidRPr="00511005">
        <w:rPr>
          <w:rFonts w:ascii="Arial" w:eastAsia="Times New Roman" w:hAnsi="Arial" w:cs="Arial"/>
          <w:i/>
          <w:szCs w:val="28"/>
          <w:lang w:val="uk-UA"/>
        </w:rPr>
        <w:t>ерашизація</w:t>
      </w:r>
      <w:r w:rsidRPr="00511005">
        <w:rPr>
          <w:rFonts w:ascii="Arial" w:eastAsia="Times New Roman" w:hAnsi="Arial" w:cs="Arial"/>
          <w:szCs w:val="28"/>
          <w:lang w:val="uk-UA"/>
        </w:rPr>
        <w:t xml:space="preserve"> (процес ліквідації російського впливу та ідеології), к</w:t>
      </w:r>
      <w:r w:rsidRPr="00511005">
        <w:rPr>
          <w:rFonts w:ascii="Arial" w:eastAsia="Times New Roman" w:hAnsi="Arial" w:cs="Arial"/>
          <w:i/>
          <w:szCs w:val="28"/>
          <w:lang w:val="uk-UA"/>
        </w:rPr>
        <w:t>олабораціонізм</w:t>
      </w:r>
      <w:r w:rsidRPr="00511005">
        <w:rPr>
          <w:rFonts w:ascii="Arial" w:eastAsia="Times New Roman" w:hAnsi="Arial" w:cs="Arial"/>
          <w:szCs w:val="28"/>
          <w:lang w:val="uk-UA"/>
        </w:rPr>
        <w:t xml:space="preserve"> (співпраця з ворогом); слова, які часто жартома використовують військові: а</w:t>
      </w:r>
      <w:r w:rsidRPr="00511005">
        <w:rPr>
          <w:rFonts w:ascii="Arial" w:eastAsia="Times New Roman" w:hAnsi="Arial" w:cs="Arial"/>
          <w:i/>
          <w:szCs w:val="28"/>
          <w:lang w:val="uk-UA"/>
        </w:rPr>
        <w:t>налоговнєт</w:t>
      </w:r>
      <w:r w:rsidRPr="00511005">
        <w:rPr>
          <w:rFonts w:ascii="Arial" w:eastAsia="Times New Roman" w:hAnsi="Arial" w:cs="Arial"/>
          <w:szCs w:val="28"/>
          <w:lang w:val="uk-UA"/>
        </w:rPr>
        <w:t xml:space="preserve"> (нібито унікальна розробка, яка насправді не працює), </w:t>
      </w:r>
      <w:r w:rsidRPr="00511005">
        <w:rPr>
          <w:rFonts w:ascii="Arial" w:eastAsia="Times New Roman" w:hAnsi="Arial" w:cs="Arial"/>
          <w:i/>
          <w:iCs/>
          <w:szCs w:val="28"/>
          <w:lang w:val="uk-UA"/>
        </w:rPr>
        <w:t>а</w:t>
      </w:r>
      <w:r w:rsidRPr="00511005">
        <w:rPr>
          <w:rFonts w:ascii="Arial" w:eastAsia="Times New Roman" w:hAnsi="Arial" w:cs="Arial"/>
          <w:i/>
          <w:szCs w:val="28"/>
          <w:lang w:val="uk-UA"/>
        </w:rPr>
        <w:t>дінарот</w:t>
      </w:r>
      <w:r w:rsidRPr="00511005">
        <w:rPr>
          <w:rFonts w:ascii="Arial" w:eastAsia="Times New Roman" w:hAnsi="Arial" w:cs="Arial"/>
          <w:szCs w:val="28"/>
          <w:lang w:val="uk-UA"/>
        </w:rPr>
        <w:t xml:space="preserve"> (один народ – глузування з російського наративу, що виправдовує знищення України як держави),</w:t>
      </w:r>
      <w:r w:rsidRPr="00511005">
        <w:rPr>
          <w:rFonts w:ascii="Arial" w:eastAsia="Times New Roman" w:hAnsi="Arial" w:cs="Arial"/>
          <w:i/>
          <w:iCs/>
          <w:szCs w:val="28"/>
          <w:lang w:val="uk-UA"/>
        </w:rPr>
        <w:t xml:space="preserve"> бавовнятко</w:t>
      </w:r>
      <w:r w:rsidRPr="00511005">
        <w:rPr>
          <w:rFonts w:ascii="Arial" w:eastAsia="Times New Roman" w:hAnsi="Arial" w:cs="Arial"/>
          <w:szCs w:val="28"/>
          <w:lang w:val="uk-UA"/>
        </w:rPr>
        <w:t xml:space="preserve"> (міфічне звірятко, яке влаштовує бавовну на базах, складах та інших об'єктах противника), </w:t>
      </w:r>
      <w:r w:rsidRPr="00511005">
        <w:rPr>
          <w:rFonts w:ascii="Arial" w:eastAsia="Times New Roman" w:hAnsi="Arial" w:cs="Arial"/>
          <w:i/>
          <w:iCs/>
          <w:szCs w:val="28"/>
          <w:lang w:val="uk-UA"/>
        </w:rPr>
        <w:t>з</w:t>
      </w:r>
      <w:r w:rsidRPr="00511005">
        <w:rPr>
          <w:rFonts w:ascii="Arial" w:eastAsia="Times New Roman" w:hAnsi="Arial" w:cs="Arial"/>
          <w:i/>
          <w:szCs w:val="28"/>
          <w:lang w:val="uk-UA"/>
        </w:rPr>
        <w:t>атридні</w:t>
      </w:r>
      <w:r w:rsidRPr="00511005">
        <w:rPr>
          <w:rFonts w:ascii="Arial" w:eastAsia="Times New Roman" w:hAnsi="Arial" w:cs="Arial"/>
          <w:szCs w:val="28"/>
          <w:lang w:val="uk-UA"/>
        </w:rPr>
        <w:t xml:space="preserve"> (нереальні обіцянки, плани росіян щодо перемог у запланований термін).</w:t>
      </w:r>
    </w:p>
    <w:p w14:paraId="0DA0176F" w14:textId="1F0C882B" w:rsidR="00AE57E7" w:rsidRPr="00511005" w:rsidRDefault="00AE57E7" w:rsidP="00896853">
      <w:pPr>
        <w:spacing w:line="264" w:lineRule="auto"/>
        <w:rPr>
          <w:rFonts w:ascii="Arial" w:eastAsia="Times New Roman" w:hAnsi="Arial" w:cs="Arial"/>
          <w:b/>
          <w:szCs w:val="28"/>
          <w:lang w:val="uk-UA"/>
        </w:rPr>
      </w:pPr>
      <w:r w:rsidRPr="00511005">
        <w:rPr>
          <w:rFonts w:ascii="Arial" w:eastAsia="Times New Roman" w:hAnsi="Arial" w:cs="Arial"/>
          <w:szCs w:val="28"/>
          <w:lang w:val="uk-UA"/>
        </w:rPr>
        <w:t>Слід звернути увагу і на те, що новотвори можуть виконувати особливі функції, наприклад ідентифікаційну – допомагають швидко розрізнити</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«своїх» і «чужих», за допомогою інших неологізмів можна чітко висловити свої емоції,</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через те, що вони добре запам’ятовуються.</w:t>
      </w:r>
    </w:p>
    <w:p w14:paraId="51AFA376" w14:textId="64AA4842"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Проведене дослідження показує, що мова завжди задовольняє суспільні потреби, відбиває настрій людей. Найяскравіше ці зміни простежуються через появу нових слів. Новотвори періоду війни стали настільки часто вживаними, що їх складно уприналежнювати до пасивної лексики, куди, зазвичай, відносять неологізми.</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Часте використання </w:t>
      </w:r>
      <w:r w:rsidRPr="00511005">
        <w:rPr>
          <w:rFonts w:ascii="Arial" w:eastAsia="Times New Roman" w:hAnsi="Arial" w:cs="Arial"/>
          <w:szCs w:val="28"/>
          <w:lang w:val="uk-UA"/>
        </w:rPr>
        <w:lastRenderedPageBreak/>
        <w:t xml:space="preserve">новотворів впливає на згуртованість суспільства, дає почуття спільності. Це своєрідний архів епохи, який буде вивчатись наступними поколіннями, він допоможе зберегти пам’ять про війну. </w:t>
      </w:r>
    </w:p>
    <w:p w14:paraId="5A1ED12A" w14:textId="77777777" w:rsidR="00AE57E7" w:rsidRPr="00511005" w:rsidRDefault="00AE57E7" w:rsidP="003A292D">
      <w:pPr>
        <w:spacing w:line="264" w:lineRule="auto"/>
        <w:ind w:firstLine="0"/>
        <w:rPr>
          <w:rFonts w:ascii="Arial" w:eastAsia="Times New Roman" w:hAnsi="Arial" w:cs="Arial"/>
          <w:szCs w:val="28"/>
          <w:lang w:val="uk-UA"/>
        </w:rPr>
      </w:pPr>
    </w:p>
    <w:p w14:paraId="6B4B164A" w14:textId="0BF67052" w:rsidR="00AE57E7" w:rsidRPr="00511005" w:rsidRDefault="007B2628" w:rsidP="007B2628">
      <w:pP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3AA31383" w14:textId="77777777" w:rsidR="00AE57E7" w:rsidRPr="00511005" w:rsidRDefault="00AE57E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1. Житар І.В., Матвійчук Т.П. Неологізація мови у часи війни: структурно-семантичні особливості новотворів. </w:t>
      </w:r>
      <w:r w:rsidRPr="00511005">
        <w:rPr>
          <w:rFonts w:ascii="Arial" w:eastAsia="Times New Roman" w:hAnsi="Arial" w:cs="Arial"/>
          <w:i/>
          <w:iCs/>
          <w:szCs w:val="28"/>
          <w:lang w:val="uk-UA"/>
        </w:rPr>
        <w:t>Науковий вісник Міжнародного гуманітарного університету. Серія Філологія.</w:t>
      </w:r>
      <w:r w:rsidRPr="00511005">
        <w:rPr>
          <w:rFonts w:ascii="Arial" w:eastAsia="Times New Roman" w:hAnsi="Arial" w:cs="Arial"/>
          <w:szCs w:val="28"/>
          <w:lang w:val="uk-UA"/>
        </w:rPr>
        <w:t xml:space="preserve"> 2024. №65. С. 33 – 36.</w:t>
      </w:r>
    </w:p>
    <w:p w14:paraId="1D306188" w14:textId="77777777" w:rsidR="00AE57E7" w:rsidRPr="00511005" w:rsidRDefault="00AE57E7" w:rsidP="003A292D">
      <w:pPr>
        <w:spacing w:line="264" w:lineRule="auto"/>
        <w:ind w:firstLine="0"/>
        <w:rPr>
          <w:rFonts w:ascii="Arial" w:eastAsia="Times New Roman" w:hAnsi="Arial" w:cs="Arial"/>
          <w:b/>
          <w:bCs/>
          <w:szCs w:val="28"/>
          <w:lang w:val="uk-UA"/>
        </w:rPr>
      </w:pPr>
      <w:r w:rsidRPr="00511005">
        <w:rPr>
          <w:rFonts w:ascii="Arial" w:eastAsia="Times New Roman" w:hAnsi="Arial" w:cs="Arial"/>
          <w:szCs w:val="28"/>
          <w:lang w:val="uk-UA"/>
        </w:rPr>
        <w:t xml:space="preserve">2. Жулінська М., Круглій О. Неологізми як мовне відображення війни. </w:t>
      </w:r>
      <w:r w:rsidRPr="00511005">
        <w:rPr>
          <w:rFonts w:ascii="Arial" w:eastAsia="Times New Roman" w:hAnsi="Arial" w:cs="Arial"/>
          <w:i/>
          <w:iCs/>
          <w:szCs w:val="28"/>
          <w:lang w:val="uk-UA"/>
        </w:rPr>
        <w:t>Міжнародні відносини, суспільні комунікації та регіональні студії.</w:t>
      </w:r>
      <w:r w:rsidRPr="00511005">
        <w:rPr>
          <w:rFonts w:ascii="Arial" w:eastAsia="Times New Roman" w:hAnsi="Arial" w:cs="Arial"/>
          <w:szCs w:val="28"/>
          <w:lang w:val="uk-UA"/>
        </w:rPr>
        <w:t xml:space="preserve"> Розділ ІІ. Суспільні комунікації та мовні універсалії. 3 (14). 2022. С. 103-110. URL: </w:t>
      </w:r>
      <w:hyperlink r:id="rId2518">
        <w:r w:rsidRPr="00511005">
          <w:rPr>
            <w:rFonts w:ascii="Arial" w:eastAsia="Times New Roman" w:hAnsi="Arial" w:cs="Arial"/>
            <w:szCs w:val="28"/>
            <w:lang w:val="uk-UA"/>
          </w:rPr>
          <w:t>https://www.relint.vnu.edu.ua/index.php/relint/article/view/277</w:t>
        </w:r>
      </w:hyperlink>
      <w:r w:rsidRPr="00511005">
        <w:rPr>
          <w:rFonts w:ascii="Arial" w:eastAsia="Times New Roman" w:hAnsi="Arial" w:cs="Arial"/>
          <w:szCs w:val="28"/>
          <w:lang w:val="uk-UA"/>
        </w:rPr>
        <w:br/>
      </w:r>
    </w:p>
    <w:p w14:paraId="641A692F" w14:textId="0C53F202" w:rsidR="00AE57E7" w:rsidRPr="00511005" w:rsidRDefault="007B2628" w:rsidP="00896853">
      <w:pPr>
        <w:spacing w:line="264" w:lineRule="auto"/>
        <w:ind w:firstLine="708"/>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AE57E7" w:rsidRPr="00511005">
        <w:rPr>
          <w:rFonts w:ascii="Arial" w:eastAsia="Times New Roman" w:hAnsi="Arial" w:cs="Arial"/>
          <w:szCs w:val="28"/>
          <w:lang w:val="uk-UA"/>
        </w:rPr>
        <w:t>мовні новотвори, війна, лексична одиниця, способи словотвору.</w:t>
      </w:r>
    </w:p>
    <w:p w14:paraId="6442148D" w14:textId="793BD0F4" w:rsidR="00AE57E7" w:rsidRPr="00511005" w:rsidRDefault="00AE57E7" w:rsidP="003A292D">
      <w:pPr>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ab/>
      </w:r>
      <w:r w:rsidR="007B2628" w:rsidRPr="00511005">
        <w:rPr>
          <w:rFonts w:ascii="Arial" w:eastAsia="Times New Roman" w:hAnsi="Arial" w:cs="Arial"/>
          <w:b/>
          <w:bCs/>
          <w:i/>
          <w:szCs w:val="28"/>
          <w:lang w:val="uk-UA"/>
        </w:rPr>
        <w:t xml:space="preserve">Key words: </w:t>
      </w:r>
      <w:r w:rsidRPr="00511005">
        <w:rPr>
          <w:rFonts w:ascii="Arial" w:eastAsia="Times New Roman" w:hAnsi="Arial" w:cs="Arial"/>
          <w:szCs w:val="28"/>
          <w:lang w:val="uk-UA"/>
        </w:rPr>
        <w:t>linguistic innovations, war, lexical unit, ways of word formation.</w:t>
      </w:r>
    </w:p>
    <w:p w14:paraId="561B5550" w14:textId="7243600F" w:rsidR="00AE57E7" w:rsidRPr="00511005" w:rsidRDefault="00AE57E7" w:rsidP="003A292D">
      <w:pPr>
        <w:spacing w:line="264" w:lineRule="auto"/>
        <w:ind w:firstLine="0"/>
        <w:rPr>
          <w:rFonts w:ascii="Arial" w:eastAsia="Times New Roman" w:hAnsi="Arial" w:cs="Arial"/>
          <w:i/>
          <w:iCs/>
          <w:szCs w:val="28"/>
          <w:lang w:val="uk-UA"/>
        </w:rPr>
      </w:pPr>
      <w:r w:rsidRPr="00511005">
        <w:rPr>
          <w:rFonts w:ascii="Arial" w:eastAsia="Times New Roman" w:hAnsi="Arial" w:cs="Arial"/>
          <w:i/>
          <w:iCs/>
          <w:szCs w:val="28"/>
          <w:lang w:val="uk-UA"/>
        </w:rPr>
        <w:tab/>
      </w:r>
      <w:r w:rsidR="007B2628" w:rsidRPr="00511005">
        <w:rPr>
          <w:rFonts w:ascii="Arial" w:eastAsia="Times New Roman" w:hAnsi="Arial" w:cs="Arial"/>
          <w:b/>
          <w:i/>
          <w:iCs/>
          <w:szCs w:val="28"/>
          <w:lang w:val="uk-UA"/>
        </w:rPr>
        <w:t xml:space="preserve">Науковий керівник: </w:t>
      </w:r>
      <w:r w:rsidRPr="00511005">
        <w:rPr>
          <w:rFonts w:ascii="Arial" w:eastAsia="Times New Roman" w:hAnsi="Arial" w:cs="Arial"/>
          <w:i/>
          <w:iCs/>
          <w:szCs w:val="28"/>
          <w:lang w:val="uk-UA"/>
        </w:rPr>
        <w:t>д.філол.н., професор Мамич М.В.</w:t>
      </w:r>
    </w:p>
    <w:p w14:paraId="71A4D412" w14:textId="77777777" w:rsidR="00AE57E7" w:rsidRPr="00511005" w:rsidRDefault="00AE57E7" w:rsidP="003A292D">
      <w:pPr>
        <w:spacing w:line="264" w:lineRule="auto"/>
        <w:ind w:firstLine="0"/>
        <w:jc w:val="center"/>
        <w:rPr>
          <w:rFonts w:ascii="Arial" w:eastAsia="Calibri" w:hAnsi="Arial" w:cs="Arial"/>
          <w:b/>
          <w:i/>
          <w:iCs/>
          <w:szCs w:val="28"/>
          <w:lang w:val="uk-UA"/>
        </w:rPr>
      </w:pPr>
    </w:p>
    <w:p w14:paraId="0D16767E" w14:textId="014C9872" w:rsidR="00AE57E7" w:rsidRPr="00511005" w:rsidRDefault="00AE57E7" w:rsidP="003A292D">
      <w:pPr>
        <w:spacing w:line="264" w:lineRule="auto"/>
        <w:ind w:firstLine="0"/>
        <w:jc w:val="left"/>
        <w:rPr>
          <w:rFonts w:ascii="Arial" w:eastAsia="Calibri" w:hAnsi="Arial" w:cs="Arial"/>
          <w:b/>
          <w:i/>
          <w:iCs/>
          <w:szCs w:val="28"/>
          <w:lang w:val="uk-UA"/>
        </w:rPr>
      </w:pPr>
    </w:p>
    <w:p w14:paraId="31CC7726" w14:textId="77777777" w:rsidR="00AE57E7" w:rsidRPr="00511005" w:rsidRDefault="00AE57E7" w:rsidP="003A292D">
      <w:pPr>
        <w:spacing w:line="264" w:lineRule="auto"/>
        <w:ind w:firstLine="0"/>
        <w:jc w:val="center"/>
        <w:rPr>
          <w:rFonts w:ascii="Arial" w:eastAsia="Calibri" w:hAnsi="Arial" w:cs="Arial"/>
          <w:b/>
          <w:i/>
          <w:iCs/>
          <w:szCs w:val="28"/>
        </w:rPr>
      </w:pPr>
      <w:r w:rsidRPr="00511005">
        <w:rPr>
          <w:rFonts w:ascii="Arial" w:eastAsia="Calibri" w:hAnsi="Arial" w:cs="Arial"/>
          <w:b/>
          <w:i/>
          <w:iCs/>
          <w:szCs w:val="28"/>
        </w:rPr>
        <w:t>Мерешко Аліна Артурівна</w:t>
      </w:r>
    </w:p>
    <w:p w14:paraId="037ECC71" w14:textId="6406A9A0" w:rsidR="00AE57E7" w:rsidRPr="00511005" w:rsidRDefault="00287A9C" w:rsidP="00896853">
      <w:pPr>
        <w:spacing w:line="264" w:lineRule="auto"/>
        <w:ind w:firstLine="0"/>
        <w:jc w:val="center"/>
        <w:rPr>
          <w:rFonts w:ascii="Arial" w:eastAsia="Times New Roman" w:hAnsi="Arial" w:cs="Arial"/>
          <w:iCs/>
          <w:szCs w:val="28"/>
        </w:rPr>
      </w:pPr>
      <w:r w:rsidRPr="00511005">
        <w:rPr>
          <w:rFonts w:ascii="Arial" w:eastAsia="Times New Roman" w:hAnsi="Arial" w:cs="Arial"/>
          <w:iCs/>
          <w:szCs w:val="28"/>
        </w:rPr>
        <w:t>студент</w:t>
      </w:r>
      <w:r w:rsidR="00AE57E7" w:rsidRPr="00511005">
        <w:rPr>
          <w:rFonts w:ascii="Arial" w:eastAsia="Times New Roman" w:hAnsi="Arial" w:cs="Arial"/>
          <w:iCs/>
          <w:szCs w:val="28"/>
        </w:rPr>
        <w:t xml:space="preserve"> </w:t>
      </w:r>
      <w:r w:rsidR="007B2628" w:rsidRPr="00511005">
        <w:rPr>
          <w:rFonts w:ascii="Arial" w:eastAsia="Times New Roman" w:hAnsi="Arial" w:cs="Arial"/>
          <w:iCs/>
          <w:szCs w:val="28"/>
        </w:rPr>
        <w:t>1-го курсу</w:t>
      </w:r>
      <w:r w:rsidR="00AE57E7" w:rsidRPr="00511005">
        <w:rPr>
          <w:rFonts w:ascii="Arial" w:eastAsia="Times New Roman" w:hAnsi="Arial" w:cs="Arial"/>
          <w:iCs/>
          <w:szCs w:val="28"/>
        </w:rPr>
        <w:t xml:space="preserve"> </w:t>
      </w:r>
      <w:r w:rsidR="00657820" w:rsidRPr="00511005">
        <w:rPr>
          <w:rFonts w:ascii="Arial" w:eastAsia="Times New Roman" w:hAnsi="Arial" w:cs="Arial"/>
          <w:iCs/>
          <w:szCs w:val="28"/>
        </w:rPr>
        <w:t>магістратури</w:t>
      </w:r>
      <w:r w:rsidR="00AE57E7" w:rsidRPr="00511005">
        <w:rPr>
          <w:rFonts w:ascii="Arial" w:eastAsia="Times New Roman" w:hAnsi="Arial" w:cs="Arial"/>
          <w:iCs/>
          <w:szCs w:val="28"/>
        </w:rPr>
        <w:t xml:space="preserve"> </w:t>
      </w:r>
      <w:r w:rsidR="00536AAB" w:rsidRPr="00511005">
        <w:rPr>
          <w:rFonts w:ascii="Arial" w:eastAsia="Times New Roman" w:hAnsi="Arial" w:cs="Arial"/>
          <w:szCs w:val="28"/>
        </w:rPr>
        <w:t>факультету журналістики</w:t>
      </w:r>
    </w:p>
    <w:p w14:paraId="3275C665" w14:textId="0B7CE31F" w:rsidR="00AE57E7" w:rsidRPr="00511005" w:rsidRDefault="007B2628" w:rsidP="003A292D">
      <w:pPr>
        <w:spacing w:line="264" w:lineRule="auto"/>
        <w:ind w:firstLine="0"/>
        <w:jc w:val="center"/>
        <w:rPr>
          <w:rFonts w:ascii="Arial" w:eastAsia="Times New Roman" w:hAnsi="Arial" w:cs="Arial"/>
          <w:szCs w:val="28"/>
        </w:rPr>
      </w:pPr>
      <w:r w:rsidRPr="00511005">
        <w:rPr>
          <w:rFonts w:ascii="Arial" w:eastAsia="Times New Roman" w:hAnsi="Arial" w:cs="Arial"/>
          <w:szCs w:val="28"/>
        </w:rPr>
        <w:t>Національного університету «Одеська юридична академія»</w:t>
      </w:r>
    </w:p>
    <w:p w14:paraId="6B48E522" w14:textId="77777777" w:rsidR="00AE57E7" w:rsidRPr="00511005" w:rsidRDefault="00AE57E7" w:rsidP="003A292D">
      <w:pPr>
        <w:spacing w:line="264" w:lineRule="auto"/>
        <w:ind w:firstLine="0"/>
        <w:jc w:val="right"/>
        <w:rPr>
          <w:rFonts w:ascii="Arial" w:eastAsia="Calibri" w:hAnsi="Arial" w:cs="Arial"/>
          <w:i/>
          <w:iCs/>
          <w:szCs w:val="28"/>
        </w:rPr>
      </w:pPr>
    </w:p>
    <w:p w14:paraId="668B3E63" w14:textId="77777777" w:rsidR="00AE57E7" w:rsidRPr="00511005" w:rsidRDefault="00AE57E7" w:rsidP="003A292D">
      <w:pPr>
        <w:spacing w:line="264" w:lineRule="auto"/>
        <w:ind w:firstLine="0"/>
        <w:jc w:val="center"/>
        <w:rPr>
          <w:rFonts w:ascii="Arial" w:eastAsia="Calibri" w:hAnsi="Arial" w:cs="Arial"/>
          <w:b/>
          <w:bCs/>
          <w:szCs w:val="28"/>
        </w:rPr>
      </w:pPr>
      <w:r w:rsidRPr="00511005">
        <w:rPr>
          <w:rFonts w:ascii="Arial" w:eastAsia="Calibri" w:hAnsi="Arial" w:cs="Arial"/>
          <w:b/>
          <w:bCs/>
          <w:szCs w:val="28"/>
        </w:rPr>
        <w:t>ПРАГМАТИКА СТРАТЕГІЙ СПІЛКУВАННЯ ЯК СКЛАДОВА СУЧАСНИХ ЛІНГВІСТИЧНИХ ТЕОРІЙ</w:t>
      </w:r>
    </w:p>
    <w:p w14:paraId="06E551AE"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На сучасному етапі глобалізації та активної міжкультурної взаємодії ефективне спілкування набуває особливої актуальності, оскільки стає невід'ємною умовою успіху в різних сферах життя – від ділової комунікації та політичної діяльності до освітніх процесів і щоденних соціальних контактів. Саме цими аспектами зумовлена актуальність обраної теми, адже вивчення стратегій спілкування відкриває можливості для глибшого розуміння того, як люди використовують мовні засоби вираження задля досягнення своєї мети, прагматичного впливу на співрозмовників, успішного вирішення конфліктів і встановлення довірливих стосунків.</w:t>
      </w:r>
    </w:p>
    <w:p w14:paraId="267B4167"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 xml:space="preserve">Лінгвістична прагматика – розділ лінгвістики, що вивчає вияви суб’єктивного (людського) чинника на всіх рівнях мови й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усіх аспектів її функціонування, комунікації людей. Межі проблемного поля лінгвістичної прагматики постійно уточнюються й оновлюються. Так, під впливом концепції мовних ігор і значення як вживання австрійського філософа Людвіга Вітгенштайна у 1960–1970-х роках проблематика лінгвістичної прагматики обмежувалася аспектами індексальності, референції, мовними значеннями </w:t>
      </w:r>
      <w:proofErr w:type="gramStart"/>
      <w:r w:rsidRPr="00511005">
        <w:rPr>
          <w:rFonts w:ascii="Arial" w:eastAsia="Calibri" w:hAnsi="Arial" w:cs="Arial"/>
          <w:szCs w:val="28"/>
        </w:rPr>
        <w:t>у контекстах</w:t>
      </w:r>
      <w:proofErr w:type="gramEnd"/>
      <w:r w:rsidRPr="00511005">
        <w:rPr>
          <w:rFonts w:ascii="Arial" w:eastAsia="Calibri" w:hAnsi="Arial" w:cs="Arial"/>
          <w:szCs w:val="28"/>
        </w:rPr>
        <w:t xml:space="preserve"> їхнього вживання. У 1970–</w:t>
      </w:r>
      <w:r w:rsidRPr="00511005">
        <w:rPr>
          <w:rFonts w:ascii="Arial" w:eastAsia="Calibri" w:hAnsi="Arial" w:cs="Arial"/>
          <w:szCs w:val="28"/>
        </w:rPr>
        <w:lastRenderedPageBreak/>
        <w:t xml:space="preserve">1980-х роках досліджували вплив контексту на функціонування мовних одиниць у комунікації, передусім мовленнєвих актів, неконвенціональні засоби мовленнєвої діяльності людей, схеми інтерпретаційної діяльності учасників інтеракції тощо. Наприкінці 1980-х – </w:t>
      </w:r>
      <w:proofErr w:type="gramStart"/>
      <w:r w:rsidRPr="00511005">
        <w:rPr>
          <w:rFonts w:ascii="Arial" w:eastAsia="Calibri" w:hAnsi="Arial" w:cs="Arial"/>
          <w:szCs w:val="28"/>
        </w:rPr>
        <w:t>на початку</w:t>
      </w:r>
      <w:proofErr w:type="gramEnd"/>
      <w:r w:rsidRPr="00511005">
        <w:rPr>
          <w:rFonts w:ascii="Arial" w:eastAsia="Calibri" w:hAnsi="Arial" w:cs="Arial"/>
          <w:szCs w:val="28"/>
        </w:rPr>
        <w:t xml:space="preserve"> 1990-х років лінгвістична прагматика асоціювалася зі студіями зв’язків між мовними формами та їхніми користувачами, успішності взаємодії між мовцем і слухачем, зокрема успішності інтерпретації індексальних, анафоричних і референційних засобів мовлення, імплікацій та імплікатур живого спілкування. Згодом ці ж проблеми вивчали із залученням широкого соціального контексту, використанням мовних засобів у комунікації в межах дискурсів і текстів різного функціонального спрямування [5].</w:t>
      </w:r>
    </w:p>
    <w:p w14:paraId="6188C0F1"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 xml:space="preserve">За Ф. Бацевичем, в сучасних лінгвістичних дослідженнях комунікативна стратегія розглядається як: </w:t>
      </w:r>
    </w:p>
    <w:p w14:paraId="565EC40D"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 xml:space="preserve">- оптимальна реалізація інтенції мовця щодо досягнення конкретної мети спілкування, тобто контроль і вибір дієвих ходів спілкування і гнучкої їх видозміни в конкретній ситуації; </w:t>
      </w:r>
    </w:p>
    <w:p w14:paraId="0C941326"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 ментальний процес, що охоплює загальне усвідомлення ситуації, у якому мовець узгоджує свою комунікативну мету з конкретним мовним оформленням;</w:t>
      </w:r>
    </w:p>
    <w:p w14:paraId="27AF45EA"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 сукупність мовленнєвих дій, спрямованих на досягнення комунікативних завдань [1, с. 234].</w:t>
      </w:r>
    </w:p>
    <w:p w14:paraId="60F82E42" w14:textId="77777777" w:rsidR="007B2628"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Спираючись на попередні дослідження й, взявши за основу праці Козубської І., ми розуміємо</w:t>
      </w:r>
      <w:r w:rsidR="007B2628" w:rsidRPr="00511005">
        <w:rPr>
          <w:rFonts w:ascii="Arial" w:eastAsia="Calibri" w:hAnsi="Arial" w:cs="Arial"/>
          <w:szCs w:val="28"/>
        </w:rPr>
        <w:t xml:space="preserve"> </w:t>
      </w:r>
      <w:r w:rsidRPr="00511005">
        <w:rPr>
          <w:rFonts w:ascii="Arial" w:eastAsia="Calibri" w:hAnsi="Arial" w:cs="Arial"/>
          <w:szCs w:val="28"/>
        </w:rPr>
        <w:t>стратегію, як виконуваний адресатом комплекс мовленнєвих дій, спрямований на досягнення комунікативних цілей в конкретній ситуації спілкування [4, с. 32].</w:t>
      </w:r>
    </w:p>
    <w:p w14:paraId="1E1F70B3" w14:textId="640CFAA3"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 xml:space="preserve">Окрім зазначеного, станом на сьогодні лінгвістична прагматика є міждисциплінарною сферою досліджень, яка вивчає аспекти, пов'язані </w:t>
      </w:r>
      <w:r w:rsidRPr="00511005">
        <w:rPr>
          <w:rFonts w:ascii="Arial" w:eastAsia="Calibri" w:hAnsi="Arial" w:cs="Arial"/>
          <w:b/>
          <w:bCs/>
          <w:i/>
          <w:iCs/>
          <w:szCs w:val="28"/>
        </w:rPr>
        <w:t>з</w:t>
      </w:r>
      <w:r w:rsidRPr="00511005">
        <w:rPr>
          <w:rFonts w:ascii="Arial" w:eastAsia="Calibri" w:hAnsi="Arial" w:cs="Arial"/>
          <w:szCs w:val="28"/>
        </w:rPr>
        <w:t xml:space="preserve"> </w:t>
      </w:r>
      <w:r w:rsidRPr="00511005">
        <w:rPr>
          <w:rFonts w:ascii="Arial" w:eastAsia="Calibri" w:hAnsi="Arial" w:cs="Arial"/>
          <w:i/>
          <w:iCs/>
          <w:szCs w:val="28"/>
        </w:rPr>
        <w:t>мовцем</w:t>
      </w:r>
      <w:r w:rsidRPr="00511005">
        <w:rPr>
          <w:rFonts w:ascii="Arial" w:eastAsia="Calibri" w:hAnsi="Arial" w:cs="Arial"/>
          <w:szCs w:val="28"/>
        </w:rPr>
        <w:t xml:space="preserve"> (ілокутивними силами, мовленнєвими тактиками, правилами ведення діалогу, різними установками, референцією мовця, прагматичними пресупозиціями, емпатією тощо), </w:t>
      </w:r>
      <w:r w:rsidRPr="00511005">
        <w:rPr>
          <w:rFonts w:ascii="Arial" w:eastAsia="Calibri" w:hAnsi="Arial" w:cs="Arial"/>
          <w:i/>
          <w:iCs/>
          <w:szCs w:val="28"/>
        </w:rPr>
        <w:t>з адресатом мовлення</w:t>
      </w:r>
      <w:r w:rsidRPr="00511005">
        <w:rPr>
          <w:rFonts w:ascii="Arial" w:eastAsia="Calibri" w:hAnsi="Arial" w:cs="Arial"/>
          <w:szCs w:val="28"/>
        </w:rPr>
        <w:t xml:space="preserve"> (правилами інтерпретації непрямих значень, перлокутивними ефектами, типами мовленнєвих реакцій тощо), </w:t>
      </w:r>
      <w:r w:rsidRPr="00511005">
        <w:rPr>
          <w:rFonts w:ascii="Arial" w:eastAsia="Calibri" w:hAnsi="Arial" w:cs="Arial"/>
          <w:i/>
          <w:iCs/>
          <w:szCs w:val="28"/>
        </w:rPr>
        <w:t>із взаєминами між учасниками комунікації</w:t>
      </w:r>
      <w:r w:rsidRPr="00511005">
        <w:rPr>
          <w:rFonts w:ascii="Arial" w:eastAsia="Calibri" w:hAnsi="Arial" w:cs="Arial"/>
          <w:b/>
          <w:bCs/>
          <w:i/>
          <w:iCs/>
          <w:szCs w:val="28"/>
        </w:rPr>
        <w:t xml:space="preserve"> </w:t>
      </w:r>
      <w:r w:rsidRPr="00511005">
        <w:rPr>
          <w:rFonts w:ascii="Arial" w:eastAsia="Calibri" w:hAnsi="Arial" w:cs="Arial"/>
          <w:szCs w:val="28"/>
        </w:rPr>
        <w:t xml:space="preserve">(формами мовленнєвої взаємодії, соціально-етикетними особливостями мовлення та ін.), а також </w:t>
      </w:r>
      <w:r w:rsidRPr="00511005">
        <w:rPr>
          <w:rFonts w:ascii="Arial" w:eastAsia="Calibri" w:hAnsi="Arial" w:cs="Arial"/>
          <w:i/>
          <w:iCs/>
          <w:szCs w:val="28"/>
        </w:rPr>
        <w:t>із контекстом спілкування</w:t>
      </w:r>
      <w:r w:rsidRPr="00511005">
        <w:rPr>
          <w:rFonts w:ascii="Arial" w:eastAsia="Calibri" w:hAnsi="Arial" w:cs="Arial"/>
          <w:szCs w:val="28"/>
        </w:rPr>
        <w:t xml:space="preserve"> (впливами мовленнєвої ситуації на тематику комунікації тощо).</w:t>
      </w:r>
    </w:p>
    <w:p w14:paraId="373357C6" w14:textId="55E2350F"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Слід зазначити, що комунікативні стратегії є відносно новою темою в лінгвістичних дослідженнях, створити їх універсальну класифікацію непросто. Втім, таку класифікацію можна розглянути на основі робіт науковців, які у своїх дослідженнях пропонують власний підхід до цього питання.</w:t>
      </w:r>
      <w:r w:rsidRPr="00511005">
        <w:rPr>
          <w:rFonts w:ascii="Arial" w:eastAsia="Calibri" w:hAnsi="Arial" w:cs="Arial"/>
          <w:szCs w:val="28"/>
          <w:shd w:val="clear" w:color="auto" w:fill="FFFFFF"/>
        </w:rPr>
        <w:t xml:space="preserve"> </w:t>
      </w:r>
      <w:r w:rsidRPr="00511005">
        <w:rPr>
          <w:rFonts w:ascii="Arial" w:eastAsia="Calibri" w:hAnsi="Arial" w:cs="Arial"/>
          <w:szCs w:val="28"/>
        </w:rPr>
        <w:t>Так,</w:t>
      </w:r>
      <w:r w:rsidR="007B2628" w:rsidRPr="00511005">
        <w:rPr>
          <w:rFonts w:ascii="Arial" w:eastAsia="Calibri" w:hAnsi="Arial" w:cs="Arial"/>
          <w:szCs w:val="28"/>
        </w:rPr>
        <w:t xml:space="preserve"> </w:t>
      </w:r>
      <w:r w:rsidRPr="00511005">
        <w:rPr>
          <w:rFonts w:ascii="Arial" w:eastAsia="Calibri" w:hAnsi="Arial" w:cs="Arial"/>
          <w:szCs w:val="28"/>
        </w:rPr>
        <w:t>українська</w:t>
      </w:r>
      <w:r w:rsidR="007B2628" w:rsidRPr="00511005">
        <w:rPr>
          <w:rFonts w:ascii="Arial" w:eastAsia="Calibri" w:hAnsi="Arial" w:cs="Arial"/>
          <w:szCs w:val="28"/>
        </w:rPr>
        <w:t xml:space="preserve"> </w:t>
      </w:r>
      <w:r w:rsidRPr="00511005">
        <w:rPr>
          <w:rFonts w:ascii="Arial" w:eastAsia="Calibri" w:hAnsi="Arial" w:cs="Arial"/>
          <w:szCs w:val="28"/>
        </w:rPr>
        <w:t>дослідниця А. Д. Бєлова класифікує комунікативні стратегії на основі опозицій, наприклад: загальновживані – індивідуальні,</w:t>
      </w:r>
      <w:r w:rsidR="007B2628" w:rsidRPr="00511005">
        <w:rPr>
          <w:rFonts w:ascii="Arial" w:eastAsia="Calibri" w:hAnsi="Arial" w:cs="Arial"/>
          <w:szCs w:val="28"/>
        </w:rPr>
        <w:t xml:space="preserve"> </w:t>
      </w:r>
      <w:r w:rsidRPr="00511005">
        <w:rPr>
          <w:rFonts w:ascii="Arial" w:eastAsia="Calibri" w:hAnsi="Arial" w:cs="Arial"/>
          <w:szCs w:val="28"/>
        </w:rPr>
        <w:lastRenderedPageBreak/>
        <w:t>універсальні – етнічно-специфічні,</w:t>
      </w:r>
      <w:r w:rsidR="007B2628" w:rsidRPr="00511005">
        <w:rPr>
          <w:rFonts w:ascii="Arial" w:eastAsia="Calibri" w:hAnsi="Arial" w:cs="Arial"/>
          <w:szCs w:val="28"/>
        </w:rPr>
        <w:t xml:space="preserve"> </w:t>
      </w:r>
      <w:r w:rsidRPr="00511005">
        <w:rPr>
          <w:rFonts w:ascii="Arial" w:eastAsia="Calibri" w:hAnsi="Arial" w:cs="Arial"/>
          <w:szCs w:val="28"/>
        </w:rPr>
        <w:t>унісекс – гендерно-марковані, вербальні – невербальні тощо [3, с. 14; 7, с. 107].</w:t>
      </w:r>
    </w:p>
    <w:p w14:paraId="47BB0B1D" w14:textId="1D98D452"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Загальна</w:t>
      </w:r>
      <w:r w:rsidR="007B2628" w:rsidRPr="00511005">
        <w:rPr>
          <w:rFonts w:ascii="Arial" w:eastAsia="Calibri" w:hAnsi="Arial" w:cs="Arial"/>
          <w:szCs w:val="28"/>
        </w:rPr>
        <w:t xml:space="preserve"> </w:t>
      </w:r>
      <w:r w:rsidRPr="00511005">
        <w:rPr>
          <w:rFonts w:ascii="Arial" w:eastAsia="Calibri" w:hAnsi="Arial" w:cs="Arial"/>
          <w:szCs w:val="28"/>
        </w:rPr>
        <w:t>інтенція</w:t>
      </w:r>
      <w:r w:rsidR="007B2628" w:rsidRPr="00511005">
        <w:rPr>
          <w:rFonts w:ascii="Arial" w:eastAsia="Calibri" w:hAnsi="Arial" w:cs="Arial"/>
          <w:szCs w:val="28"/>
        </w:rPr>
        <w:t xml:space="preserve"> </w:t>
      </w:r>
      <w:r w:rsidRPr="00511005">
        <w:rPr>
          <w:rFonts w:ascii="Arial" w:eastAsia="Calibri" w:hAnsi="Arial" w:cs="Arial"/>
          <w:szCs w:val="28"/>
        </w:rPr>
        <w:t>мовця</w:t>
      </w:r>
      <w:r w:rsidR="007B2628" w:rsidRPr="00511005">
        <w:rPr>
          <w:rFonts w:ascii="Arial" w:eastAsia="Calibri" w:hAnsi="Arial" w:cs="Arial"/>
          <w:szCs w:val="28"/>
        </w:rPr>
        <w:t xml:space="preserve"> </w:t>
      </w:r>
      <w:r w:rsidRPr="00511005">
        <w:rPr>
          <w:rFonts w:ascii="Arial" w:eastAsia="Calibri" w:hAnsi="Arial" w:cs="Arial"/>
          <w:szCs w:val="28"/>
        </w:rPr>
        <w:t>обумовлює</w:t>
      </w:r>
      <w:r w:rsidR="007B2628" w:rsidRPr="00511005">
        <w:rPr>
          <w:rFonts w:ascii="Arial" w:eastAsia="Calibri" w:hAnsi="Arial" w:cs="Arial"/>
          <w:szCs w:val="28"/>
        </w:rPr>
        <w:t xml:space="preserve"> </w:t>
      </w:r>
      <w:r w:rsidRPr="00511005">
        <w:rPr>
          <w:rFonts w:ascii="Arial" w:eastAsia="Calibri" w:hAnsi="Arial" w:cs="Arial"/>
          <w:szCs w:val="28"/>
        </w:rPr>
        <w:t>стратегію мовленнєвого</w:t>
      </w:r>
      <w:r w:rsidR="007B2628" w:rsidRPr="00511005">
        <w:rPr>
          <w:rFonts w:ascii="Arial" w:eastAsia="Calibri" w:hAnsi="Arial" w:cs="Arial"/>
          <w:szCs w:val="28"/>
        </w:rPr>
        <w:t xml:space="preserve"> </w:t>
      </w:r>
      <w:r w:rsidRPr="00511005">
        <w:rPr>
          <w:rFonts w:ascii="Arial" w:eastAsia="Calibri" w:hAnsi="Arial" w:cs="Arial"/>
          <w:szCs w:val="28"/>
        </w:rPr>
        <w:t>спілкування,</w:t>
      </w:r>
      <w:r w:rsidR="007B2628" w:rsidRPr="00511005">
        <w:rPr>
          <w:rFonts w:ascii="Arial" w:eastAsia="Calibri" w:hAnsi="Arial" w:cs="Arial"/>
          <w:szCs w:val="28"/>
        </w:rPr>
        <w:t xml:space="preserve"> </w:t>
      </w:r>
      <w:r w:rsidRPr="00511005">
        <w:rPr>
          <w:rFonts w:ascii="Arial" w:eastAsia="Calibri" w:hAnsi="Arial" w:cs="Arial"/>
          <w:szCs w:val="28"/>
        </w:rPr>
        <w:t>або</w:t>
      </w:r>
      <w:r w:rsidR="007B2628" w:rsidRPr="00511005">
        <w:rPr>
          <w:rFonts w:ascii="Arial" w:eastAsia="Calibri" w:hAnsi="Arial" w:cs="Arial"/>
          <w:szCs w:val="28"/>
        </w:rPr>
        <w:t xml:space="preserve"> </w:t>
      </w:r>
      <w:r w:rsidRPr="00511005">
        <w:rPr>
          <w:rFonts w:ascii="Arial" w:eastAsia="Calibri" w:hAnsi="Arial" w:cs="Arial"/>
          <w:szCs w:val="28"/>
        </w:rPr>
        <w:t>комунікативну</w:t>
      </w:r>
      <w:r w:rsidR="007B2628" w:rsidRPr="00511005">
        <w:rPr>
          <w:rFonts w:ascii="Arial" w:eastAsia="Calibri" w:hAnsi="Arial" w:cs="Arial"/>
          <w:szCs w:val="28"/>
        </w:rPr>
        <w:t xml:space="preserve"> </w:t>
      </w:r>
      <w:r w:rsidRPr="00511005">
        <w:rPr>
          <w:rFonts w:ascii="Arial" w:eastAsia="Calibri" w:hAnsi="Arial" w:cs="Arial"/>
          <w:szCs w:val="28"/>
        </w:rPr>
        <w:t>стратегію.</w:t>
      </w:r>
      <w:r w:rsidR="007B2628" w:rsidRPr="00511005">
        <w:rPr>
          <w:rFonts w:ascii="Arial" w:eastAsia="Calibri" w:hAnsi="Arial" w:cs="Arial"/>
          <w:szCs w:val="28"/>
        </w:rPr>
        <w:t xml:space="preserve"> </w:t>
      </w:r>
      <w:r w:rsidRPr="00511005">
        <w:rPr>
          <w:rFonts w:ascii="Arial" w:eastAsia="Calibri" w:hAnsi="Arial" w:cs="Arial"/>
          <w:szCs w:val="28"/>
        </w:rPr>
        <w:t>Український дослідник Бацевич Ф. С. зазначає: «Комунікативна інтенція – осмислений чи інтуїтивний намір адресанта, який визначає внутрішню програму мовлення і спосіб</w:t>
      </w:r>
      <w:r w:rsidR="007B2628" w:rsidRPr="00511005">
        <w:rPr>
          <w:rFonts w:ascii="Arial" w:eastAsia="Calibri" w:hAnsi="Arial" w:cs="Arial"/>
          <w:szCs w:val="28"/>
        </w:rPr>
        <w:t xml:space="preserve"> </w:t>
      </w:r>
      <w:r w:rsidRPr="00511005">
        <w:rPr>
          <w:rFonts w:ascii="Arial" w:eastAsia="Calibri" w:hAnsi="Arial" w:cs="Arial"/>
          <w:szCs w:val="28"/>
        </w:rPr>
        <w:t>її</w:t>
      </w:r>
      <w:r w:rsidR="007B2628" w:rsidRPr="00511005">
        <w:rPr>
          <w:rFonts w:ascii="Arial" w:eastAsia="Calibri" w:hAnsi="Arial" w:cs="Arial"/>
          <w:szCs w:val="28"/>
        </w:rPr>
        <w:t xml:space="preserve"> </w:t>
      </w:r>
      <w:r w:rsidRPr="00511005">
        <w:rPr>
          <w:rFonts w:ascii="Arial" w:eastAsia="Calibri" w:hAnsi="Arial" w:cs="Arial"/>
          <w:szCs w:val="28"/>
        </w:rPr>
        <w:t>втілення»</w:t>
      </w:r>
      <w:r w:rsidR="007B2628" w:rsidRPr="00511005">
        <w:rPr>
          <w:rFonts w:ascii="Arial" w:eastAsia="Calibri" w:hAnsi="Arial" w:cs="Arial"/>
          <w:szCs w:val="28"/>
        </w:rPr>
        <w:t xml:space="preserve"> </w:t>
      </w:r>
      <w:r w:rsidRPr="00511005">
        <w:rPr>
          <w:rFonts w:ascii="Arial" w:eastAsia="Calibri" w:hAnsi="Arial" w:cs="Arial"/>
          <w:szCs w:val="28"/>
        </w:rPr>
        <w:t>[2,</w:t>
      </w:r>
      <w:r w:rsidR="007B2628" w:rsidRPr="00511005">
        <w:rPr>
          <w:rFonts w:ascii="Arial" w:eastAsia="Calibri" w:hAnsi="Arial" w:cs="Arial"/>
          <w:szCs w:val="28"/>
        </w:rPr>
        <w:t xml:space="preserve"> </w:t>
      </w:r>
      <w:r w:rsidRPr="00511005">
        <w:rPr>
          <w:rFonts w:ascii="Arial" w:eastAsia="Calibri" w:hAnsi="Arial" w:cs="Arial"/>
          <w:szCs w:val="28"/>
        </w:rPr>
        <w:t>с.116].</w:t>
      </w:r>
      <w:r w:rsidR="007B2628" w:rsidRPr="00511005">
        <w:rPr>
          <w:rFonts w:ascii="Arial" w:eastAsia="Calibri" w:hAnsi="Arial" w:cs="Arial"/>
          <w:szCs w:val="28"/>
        </w:rPr>
        <w:t xml:space="preserve"> </w:t>
      </w:r>
      <w:r w:rsidRPr="00511005">
        <w:rPr>
          <w:rFonts w:ascii="Arial" w:eastAsia="Calibri" w:hAnsi="Arial" w:cs="Arial"/>
          <w:szCs w:val="28"/>
        </w:rPr>
        <w:t>У</w:t>
      </w:r>
      <w:r w:rsidR="007B2628" w:rsidRPr="00511005">
        <w:rPr>
          <w:rFonts w:ascii="Arial" w:eastAsia="Calibri" w:hAnsi="Arial" w:cs="Arial"/>
          <w:szCs w:val="28"/>
        </w:rPr>
        <w:t xml:space="preserve"> </w:t>
      </w:r>
      <w:r w:rsidRPr="00511005">
        <w:rPr>
          <w:rFonts w:ascii="Arial" w:eastAsia="Calibri" w:hAnsi="Arial" w:cs="Arial"/>
          <w:szCs w:val="28"/>
        </w:rPr>
        <w:t>своїй</w:t>
      </w:r>
      <w:r w:rsidR="007B2628" w:rsidRPr="00511005">
        <w:rPr>
          <w:rFonts w:ascii="Arial" w:eastAsia="Calibri" w:hAnsi="Arial" w:cs="Arial"/>
          <w:szCs w:val="28"/>
        </w:rPr>
        <w:t xml:space="preserve"> </w:t>
      </w:r>
      <w:r w:rsidRPr="00511005">
        <w:rPr>
          <w:rFonts w:ascii="Arial" w:eastAsia="Calibri" w:hAnsi="Arial" w:cs="Arial"/>
          <w:szCs w:val="28"/>
        </w:rPr>
        <w:t>праці науковець дає визначення зазначеному поняттю: «Стратегія</w:t>
      </w:r>
      <w:r w:rsidR="007B2628" w:rsidRPr="00511005">
        <w:rPr>
          <w:rFonts w:ascii="Arial" w:eastAsia="Calibri" w:hAnsi="Arial" w:cs="Arial"/>
          <w:szCs w:val="28"/>
        </w:rPr>
        <w:t xml:space="preserve"> </w:t>
      </w:r>
      <w:r w:rsidRPr="00511005">
        <w:rPr>
          <w:rFonts w:ascii="Arial" w:eastAsia="Calibri" w:hAnsi="Arial" w:cs="Arial"/>
          <w:szCs w:val="28"/>
        </w:rPr>
        <w:t>мовленнєвого спілкування – оптимальна</w:t>
      </w:r>
      <w:r w:rsidR="007B2628" w:rsidRPr="00511005">
        <w:rPr>
          <w:rFonts w:ascii="Arial" w:eastAsia="Calibri" w:hAnsi="Arial" w:cs="Arial"/>
          <w:szCs w:val="28"/>
        </w:rPr>
        <w:t xml:space="preserve"> </w:t>
      </w:r>
      <w:r w:rsidRPr="00511005">
        <w:rPr>
          <w:rFonts w:ascii="Arial" w:eastAsia="Calibri" w:hAnsi="Arial" w:cs="Arial"/>
          <w:szCs w:val="28"/>
        </w:rPr>
        <w:t>реалізація</w:t>
      </w:r>
      <w:r w:rsidR="007B2628" w:rsidRPr="00511005">
        <w:rPr>
          <w:rFonts w:ascii="Arial" w:eastAsia="Calibri" w:hAnsi="Arial" w:cs="Arial"/>
          <w:szCs w:val="28"/>
        </w:rPr>
        <w:t xml:space="preserve"> </w:t>
      </w:r>
      <w:r w:rsidRPr="00511005">
        <w:rPr>
          <w:rFonts w:ascii="Arial" w:eastAsia="Calibri" w:hAnsi="Arial" w:cs="Arial"/>
          <w:szCs w:val="28"/>
        </w:rPr>
        <w:t>інтенцій</w:t>
      </w:r>
      <w:r w:rsidR="007B2628" w:rsidRPr="00511005">
        <w:rPr>
          <w:rFonts w:ascii="Arial" w:eastAsia="Calibri" w:hAnsi="Arial" w:cs="Arial"/>
          <w:szCs w:val="28"/>
        </w:rPr>
        <w:t xml:space="preserve"> </w:t>
      </w:r>
      <w:r w:rsidRPr="00511005">
        <w:rPr>
          <w:rFonts w:ascii="Arial" w:eastAsia="Calibri" w:hAnsi="Arial" w:cs="Arial"/>
          <w:szCs w:val="28"/>
        </w:rPr>
        <w:t>мовця</w:t>
      </w:r>
      <w:r w:rsidR="007B2628" w:rsidRPr="00511005">
        <w:rPr>
          <w:rFonts w:ascii="Arial" w:eastAsia="Calibri" w:hAnsi="Arial" w:cs="Arial"/>
          <w:szCs w:val="28"/>
        </w:rPr>
        <w:t xml:space="preserve"> </w:t>
      </w:r>
      <w:r w:rsidRPr="00511005">
        <w:rPr>
          <w:rFonts w:ascii="Arial" w:eastAsia="Calibri" w:hAnsi="Arial" w:cs="Arial"/>
          <w:szCs w:val="28"/>
        </w:rPr>
        <w:t>щодо</w:t>
      </w:r>
      <w:r w:rsidR="007B2628" w:rsidRPr="00511005">
        <w:rPr>
          <w:rFonts w:ascii="Arial" w:eastAsia="Calibri" w:hAnsi="Arial" w:cs="Arial"/>
          <w:szCs w:val="28"/>
        </w:rPr>
        <w:t xml:space="preserve"> </w:t>
      </w:r>
      <w:r w:rsidRPr="00511005">
        <w:rPr>
          <w:rFonts w:ascii="Arial" w:eastAsia="Calibri" w:hAnsi="Arial" w:cs="Arial"/>
          <w:szCs w:val="28"/>
        </w:rPr>
        <w:t>досягнення конкретної мети спілкування, тобто контроль і вибір дієвих ходів спілкування і гнучкої їх видозміни в конкретній ситуації» [2, с.118]. Комунікативна стратегія включає визначення мети спілкування, підбір</w:t>
      </w:r>
      <w:r w:rsidR="007B2628" w:rsidRPr="00511005">
        <w:rPr>
          <w:rFonts w:ascii="Arial" w:eastAsia="Calibri" w:hAnsi="Arial" w:cs="Arial"/>
          <w:szCs w:val="28"/>
        </w:rPr>
        <w:t xml:space="preserve"> </w:t>
      </w:r>
      <w:r w:rsidRPr="00511005">
        <w:rPr>
          <w:rFonts w:ascii="Arial" w:eastAsia="Calibri" w:hAnsi="Arial" w:cs="Arial"/>
          <w:szCs w:val="28"/>
        </w:rPr>
        <w:t>семантичних та екстралінгвістичних компонентів, визначення</w:t>
      </w:r>
      <w:r w:rsidR="007B2628" w:rsidRPr="00511005">
        <w:rPr>
          <w:rFonts w:ascii="Arial" w:eastAsia="Calibri" w:hAnsi="Arial" w:cs="Arial"/>
          <w:szCs w:val="28"/>
        </w:rPr>
        <w:t xml:space="preserve"> </w:t>
      </w:r>
      <w:r w:rsidRPr="00511005">
        <w:rPr>
          <w:rFonts w:ascii="Arial" w:eastAsia="Calibri" w:hAnsi="Arial" w:cs="Arial"/>
          <w:szCs w:val="28"/>
        </w:rPr>
        <w:t>комунікативних</w:t>
      </w:r>
      <w:r w:rsidR="007B2628" w:rsidRPr="00511005">
        <w:rPr>
          <w:rFonts w:ascii="Arial" w:eastAsia="Calibri" w:hAnsi="Arial" w:cs="Arial"/>
          <w:szCs w:val="28"/>
        </w:rPr>
        <w:t xml:space="preserve"> </w:t>
      </w:r>
      <w:r w:rsidRPr="00511005">
        <w:rPr>
          <w:rFonts w:ascii="Arial" w:eastAsia="Calibri" w:hAnsi="Arial" w:cs="Arial"/>
          <w:szCs w:val="28"/>
        </w:rPr>
        <w:t>тактик</w:t>
      </w:r>
      <w:r w:rsidR="007B2628" w:rsidRPr="00511005">
        <w:rPr>
          <w:rFonts w:ascii="Arial" w:eastAsia="Calibri" w:hAnsi="Arial" w:cs="Arial"/>
          <w:szCs w:val="28"/>
        </w:rPr>
        <w:t xml:space="preserve"> </w:t>
      </w:r>
      <w:r w:rsidRPr="00511005">
        <w:rPr>
          <w:rFonts w:ascii="Arial" w:eastAsia="Calibri" w:hAnsi="Arial" w:cs="Arial"/>
          <w:szCs w:val="28"/>
        </w:rPr>
        <w:t>для реалізації бажаного. До складників стратегії також уналежнюють: аргументацію, мотивацію, надання оцінки, емоційне забарвлення мовлення. Науковці лінгвістичної теорії розробили класифікацію, що поділяє комунікативні стратегії на: семантичні, когнітивні, контекстуальні, мовленнєві, схематичні, синтаксичні, текстові тощо. Окрім цього виокремлюють більш</w:t>
      </w:r>
      <w:r w:rsidR="007B2628" w:rsidRPr="00511005">
        <w:rPr>
          <w:rFonts w:ascii="Arial" w:eastAsia="Calibri" w:hAnsi="Arial" w:cs="Arial"/>
          <w:szCs w:val="28"/>
        </w:rPr>
        <w:t xml:space="preserve"> </w:t>
      </w:r>
      <w:r w:rsidRPr="00511005">
        <w:rPr>
          <w:rFonts w:ascii="Arial" w:eastAsia="Calibri" w:hAnsi="Arial" w:cs="Arial"/>
          <w:szCs w:val="28"/>
        </w:rPr>
        <w:t>спрощену</w:t>
      </w:r>
      <w:r w:rsidR="007B2628" w:rsidRPr="00511005">
        <w:rPr>
          <w:rFonts w:ascii="Arial" w:eastAsia="Calibri" w:hAnsi="Arial" w:cs="Arial"/>
          <w:szCs w:val="28"/>
        </w:rPr>
        <w:t xml:space="preserve"> </w:t>
      </w:r>
      <w:r w:rsidRPr="00511005">
        <w:rPr>
          <w:rFonts w:ascii="Arial" w:eastAsia="Calibri" w:hAnsi="Arial" w:cs="Arial"/>
          <w:szCs w:val="28"/>
        </w:rPr>
        <w:t>класифікацію,</w:t>
      </w:r>
      <w:r w:rsidR="007B2628" w:rsidRPr="00511005">
        <w:rPr>
          <w:rFonts w:ascii="Arial" w:eastAsia="Calibri" w:hAnsi="Arial" w:cs="Arial"/>
          <w:szCs w:val="28"/>
        </w:rPr>
        <w:t xml:space="preserve"> </w:t>
      </w:r>
      <w:r w:rsidRPr="00511005">
        <w:rPr>
          <w:rFonts w:ascii="Arial" w:eastAsia="Calibri" w:hAnsi="Arial" w:cs="Arial"/>
          <w:szCs w:val="28"/>
        </w:rPr>
        <w:t>згідно</w:t>
      </w:r>
      <w:r w:rsidR="007B2628" w:rsidRPr="00511005">
        <w:rPr>
          <w:rFonts w:ascii="Arial" w:eastAsia="Calibri" w:hAnsi="Arial" w:cs="Arial"/>
          <w:szCs w:val="28"/>
        </w:rPr>
        <w:t xml:space="preserve"> </w:t>
      </w:r>
      <w:r w:rsidRPr="00511005">
        <w:rPr>
          <w:rFonts w:ascii="Arial" w:eastAsia="Calibri" w:hAnsi="Arial" w:cs="Arial"/>
          <w:szCs w:val="28"/>
        </w:rPr>
        <w:t>з</w:t>
      </w:r>
      <w:r w:rsidR="007B2628" w:rsidRPr="00511005">
        <w:rPr>
          <w:rFonts w:ascii="Arial" w:eastAsia="Calibri" w:hAnsi="Arial" w:cs="Arial"/>
          <w:szCs w:val="28"/>
        </w:rPr>
        <w:t xml:space="preserve"> </w:t>
      </w:r>
      <w:r w:rsidRPr="00511005">
        <w:rPr>
          <w:rFonts w:ascii="Arial" w:eastAsia="Calibri" w:hAnsi="Arial" w:cs="Arial"/>
          <w:szCs w:val="28"/>
        </w:rPr>
        <w:t>якою</w:t>
      </w:r>
      <w:r w:rsidR="007B2628" w:rsidRPr="00511005">
        <w:rPr>
          <w:rFonts w:ascii="Arial" w:eastAsia="Calibri" w:hAnsi="Arial" w:cs="Arial"/>
          <w:szCs w:val="28"/>
        </w:rPr>
        <w:t xml:space="preserve"> </w:t>
      </w:r>
      <w:r w:rsidRPr="00511005">
        <w:rPr>
          <w:rFonts w:ascii="Arial" w:eastAsia="Calibri" w:hAnsi="Arial" w:cs="Arial"/>
          <w:szCs w:val="28"/>
        </w:rPr>
        <w:t>існує</w:t>
      </w:r>
      <w:r w:rsidR="007B2628" w:rsidRPr="00511005">
        <w:rPr>
          <w:rFonts w:ascii="Arial" w:eastAsia="Calibri" w:hAnsi="Arial" w:cs="Arial"/>
          <w:szCs w:val="28"/>
        </w:rPr>
        <w:t xml:space="preserve"> </w:t>
      </w:r>
      <w:r w:rsidRPr="00511005">
        <w:rPr>
          <w:rFonts w:ascii="Arial" w:eastAsia="Calibri" w:hAnsi="Arial" w:cs="Arial"/>
          <w:szCs w:val="28"/>
        </w:rPr>
        <w:t>лише</w:t>
      </w:r>
      <w:r w:rsidR="007B2628" w:rsidRPr="00511005">
        <w:rPr>
          <w:rFonts w:ascii="Arial" w:eastAsia="Calibri" w:hAnsi="Arial" w:cs="Arial"/>
          <w:szCs w:val="28"/>
        </w:rPr>
        <w:t xml:space="preserve"> </w:t>
      </w:r>
      <w:r w:rsidRPr="00511005">
        <w:rPr>
          <w:rFonts w:ascii="Arial" w:eastAsia="Calibri" w:hAnsi="Arial" w:cs="Arial"/>
          <w:szCs w:val="28"/>
        </w:rPr>
        <w:t>два</w:t>
      </w:r>
      <w:r w:rsidR="007B2628" w:rsidRPr="00511005">
        <w:rPr>
          <w:rFonts w:ascii="Arial" w:eastAsia="Calibri" w:hAnsi="Arial" w:cs="Arial"/>
          <w:szCs w:val="28"/>
        </w:rPr>
        <w:t xml:space="preserve"> </w:t>
      </w:r>
      <w:r w:rsidRPr="00511005">
        <w:rPr>
          <w:rFonts w:ascii="Arial" w:eastAsia="Calibri" w:hAnsi="Arial" w:cs="Arial"/>
          <w:szCs w:val="28"/>
        </w:rPr>
        <w:t>типи</w:t>
      </w:r>
      <w:r w:rsidR="007B2628" w:rsidRPr="00511005">
        <w:rPr>
          <w:rFonts w:ascii="Arial" w:eastAsia="Calibri" w:hAnsi="Arial" w:cs="Arial"/>
          <w:szCs w:val="28"/>
        </w:rPr>
        <w:t xml:space="preserve"> </w:t>
      </w:r>
      <w:r w:rsidRPr="00511005">
        <w:rPr>
          <w:rFonts w:ascii="Arial" w:eastAsia="Calibri" w:hAnsi="Arial" w:cs="Arial"/>
          <w:szCs w:val="28"/>
        </w:rPr>
        <w:t>стратегій спілкування: комунікативна та змістовна [7, с. 109].</w:t>
      </w:r>
    </w:p>
    <w:p w14:paraId="6DA63C9C"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Тобто, складовими комунікативної стратегії є інтенція мовленнєвого акту, мета та компетенція. Комунікативна інтенція – це особиста мотивація мовця висловити свою думку, яка має індивідуальний характер і не регламентується загальноприйнятими правилами. Комунікативна мета – це стратегічний результат, якого мовець прагне досягти в певній ситуації, що задає напрям обміну інформацією. Комунікативна компетенція охоплює сукупність стратегій, норм і правил спілкування, відомих учасникам діалогу.</w:t>
      </w:r>
    </w:p>
    <w:p w14:paraId="1D702E27"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Обираючи стратегію, адресант визначає тактики спілкування, які, на його думку, допоможуть успішно досягти поставленої мети. Ці тактики включають мовленнєві прийоми та коректну поведінку, що сприяють уникненню непорозумінь і наближають до бажаного результату, реалізуючи обрану стратегію [6, с. 43].</w:t>
      </w:r>
    </w:p>
    <w:p w14:paraId="73A73CD8"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 xml:space="preserve">Узагальнюючи, ми дійшли висновку, що прагматика стратегій спілкування є важливою складовою сучасних лінгвістичних досліджень, що враховує контекст глобалізації та міжкультурної взаємодії. Ефективне спілкування потребує глибокого розуміння інтенції мовця, його комунікативної мети та компетенції, що дозволяє вибрати оптимальні тактики для досягнення бажаного результату. Комунікативні стратегії, як відносно новий предмет дослідження, відкривають можливості для вивчення різноманітних мовленнєвих актів і їх функціонування в контексті соціальних взаємодій. У результаті, формування адекватної стратегії спілкування не лише покращує якість комунікації, але й сприяє встановленню довірливих стосунків між учасниками взаємодії, що є </w:t>
      </w:r>
      <w:r w:rsidRPr="00511005">
        <w:rPr>
          <w:rFonts w:ascii="Arial" w:eastAsia="Calibri" w:hAnsi="Arial" w:cs="Arial"/>
          <w:szCs w:val="28"/>
        </w:rPr>
        <w:lastRenderedPageBreak/>
        <w:t>надзвичайно актуальним у сьогоднішньому динамічному світі. Подальші дослідження в цій сфері можуть сприяти глибшому розумінню різноманіття комунікативних стратегій і їх впливу на ефективність взаємодії, а також на розвиток міжкультурної компетенції.</w:t>
      </w:r>
    </w:p>
    <w:p w14:paraId="71D630E3" w14:textId="77777777" w:rsidR="00AE57E7" w:rsidRPr="00511005" w:rsidRDefault="00AE57E7" w:rsidP="003A292D">
      <w:pPr>
        <w:spacing w:line="264" w:lineRule="auto"/>
        <w:ind w:firstLine="0"/>
        <w:rPr>
          <w:rFonts w:ascii="Arial" w:eastAsia="Calibri" w:hAnsi="Arial" w:cs="Arial"/>
          <w:szCs w:val="28"/>
        </w:rPr>
      </w:pPr>
    </w:p>
    <w:p w14:paraId="411E6F93" w14:textId="0BADB4FC" w:rsidR="00AE57E7" w:rsidRPr="00511005" w:rsidRDefault="007B2628" w:rsidP="007B2628">
      <w:pPr>
        <w:spacing w:line="264" w:lineRule="auto"/>
        <w:ind w:firstLine="0"/>
        <w:jc w:val="center"/>
        <w:rPr>
          <w:rFonts w:ascii="Arial" w:eastAsia="Times New Roman" w:hAnsi="Arial" w:cs="Arial"/>
          <w:b/>
          <w:szCs w:val="28"/>
        </w:rPr>
      </w:pPr>
      <w:r w:rsidRPr="00511005">
        <w:rPr>
          <w:rFonts w:ascii="Arial" w:eastAsia="Times New Roman" w:hAnsi="Arial" w:cs="Arial"/>
          <w:b/>
          <w:szCs w:val="28"/>
          <w:lang w:val="uk-UA"/>
        </w:rPr>
        <w:t>Список використаних джерел</w:t>
      </w:r>
    </w:p>
    <w:p w14:paraId="47AB1EA9" w14:textId="77777777" w:rsidR="00AE57E7" w:rsidRPr="00511005" w:rsidRDefault="00AE57E7" w:rsidP="003A292D">
      <w:pPr>
        <w:spacing w:line="264" w:lineRule="auto"/>
        <w:ind w:firstLine="0"/>
        <w:rPr>
          <w:rFonts w:ascii="Arial" w:eastAsia="Calibri" w:hAnsi="Arial" w:cs="Arial"/>
          <w:szCs w:val="28"/>
        </w:rPr>
      </w:pPr>
      <w:r w:rsidRPr="00511005">
        <w:rPr>
          <w:rFonts w:ascii="Arial" w:eastAsia="Calibri" w:hAnsi="Arial" w:cs="Arial"/>
          <w:szCs w:val="28"/>
        </w:rPr>
        <w:t xml:space="preserve">1. Бацевич Ф. Вступ до лінгвістичної </w:t>
      </w:r>
      <w:proofErr w:type="gramStart"/>
      <w:r w:rsidRPr="00511005">
        <w:rPr>
          <w:rFonts w:ascii="Arial" w:eastAsia="Calibri" w:hAnsi="Arial" w:cs="Arial"/>
          <w:szCs w:val="28"/>
        </w:rPr>
        <w:t>прагматики :</w:t>
      </w:r>
      <w:proofErr w:type="gramEnd"/>
      <w:r w:rsidRPr="00511005">
        <w:rPr>
          <w:rFonts w:ascii="Arial" w:eastAsia="Calibri" w:hAnsi="Arial" w:cs="Arial"/>
          <w:szCs w:val="28"/>
        </w:rPr>
        <w:t xml:space="preserve"> підручник. ВЦ «Академія», Серія «Альма-матер», 2011. 304 с.</w:t>
      </w:r>
    </w:p>
    <w:p w14:paraId="0AC42572" w14:textId="77777777" w:rsidR="00AE57E7" w:rsidRPr="00511005" w:rsidRDefault="00AE57E7" w:rsidP="003A292D">
      <w:pPr>
        <w:spacing w:line="264" w:lineRule="auto"/>
        <w:ind w:firstLine="0"/>
        <w:rPr>
          <w:rFonts w:ascii="Arial" w:eastAsia="Calibri" w:hAnsi="Arial" w:cs="Arial"/>
          <w:szCs w:val="28"/>
        </w:rPr>
      </w:pPr>
      <w:r w:rsidRPr="00511005">
        <w:rPr>
          <w:rFonts w:ascii="Arial" w:eastAsia="Calibri" w:hAnsi="Arial" w:cs="Arial"/>
          <w:szCs w:val="28"/>
        </w:rPr>
        <w:t xml:space="preserve">2. Бацевич Ф. Основи комунікативної </w:t>
      </w:r>
      <w:proofErr w:type="gramStart"/>
      <w:r w:rsidRPr="00511005">
        <w:rPr>
          <w:rFonts w:ascii="Arial" w:eastAsia="Calibri" w:hAnsi="Arial" w:cs="Arial"/>
          <w:szCs w:val="28"/>
        </w:rPr>
        <w:t>лінгвістики :</w:t>
      </w:r>
      <w:proofErr w:type="gramEnd"/>
      <w:r w:rsidRPr="00511005">
        <w:rPr>
          <w:rFonts w:ascii="Arial" w:eastAsia="Calibri" w:hAnsi="Arial" w:cs="Arial"/>
          <w:szCs w:val="28"/>
        </w:rPr>
        <w:t xml:space="preserve"> підручник. </w:t>
      </w:r>
      <w:proofErr w:type="gramStart"/>
      <w:r w:rsidRPr="00511005">
        <w:rPr>
          <w:rFonts w:ascii="Arial" w:eastAsia="Calibri" w:hAnsi="Arial" w:cs="Arial"/>
          <w:szCs w:val="28"/>
        </w:rPr>
        <w:t>Київ :</w:t>
      </w:r>
      <w:proofErr w:type="gramEnd"/>
      <w:r w:rsidRPr="00511005">
        <w:rPr>
          <w:rFonts w:ascii="Arial" w:eastAsia="Calibri" w:hAnsi="Arial" w:cs="Arial"/>
          <w:szCs w:val="28"/>
        </w:rPr>
        <w:t xml:space="preserve"> Академія, 2004. 342 с.</w:t>
      </w:r>
    </w:p>
    <w:p w14:paraId="21DD370B" w14:textId="77777777" w:rsidR="00AE57E7" w:rsidRPr="00511005" w:rsidRDefault="00AE57E7" w:rsidP="003A292D">
      <w:pPr>
        <w:spacing w:line="264" w:lineRule="auto"/>
        <w:ind w:firstLine="0"/>
        <w:rPr>
          <w:rFonts w:ascii="Arial" w:eastAsia="Calibri" w:hAnsi="Arial" w:cs="Arial"/>
          <w:szCs w:val="28"/>
        </w:rPr>
      </w:pPr>
      <w:r w:rsidRPr="00511005">
        <w:rPr>
          <w:rFonts w:ascii="Arial" w:eastAsia="Calibri" w:hAnsi="Arial" w:cs="Arial"/>
          <w:szCs w:val="28"/>
        </w:rPr>
        <w:t>3. Бєлова А. Комунікативні стратегії і тактики: проблеми семантики. </w:t>
      </w:r>
      <w:r w:rsidRPr="00511005">
        <w:rPr>
          <w:rFonts w:ascii="Arial" w:eastAsia="Calibri" w:hAnsi="Arial" w:cs="Arial"/>
          <w:i/>
          <w:iCs/>
          <w:szCs w:val="28"/>
        </w:rPr>
        <w:t>Мовні і концептуальні картини світу</w:t>
      </w:r>
      <w:r w:rsidRPr="00511005">
        <w:rPr>
          <w:rFonts w:ascii="Arial" w:eastAsia="Calibri" w:hAnsi="Arial" w:cs="Arial"/>
          <w:szCs w:val="28"/>
        </w:rPr>
        <w:t>. 2004. № 10. С. 11–16.</w:t>
      </w:r>
    </w:p>
    <w:p w14:paraId="3E95766A" w14:textId="77777777" w:rsidR="00AE57E7" w:rsidRPr="00511005" w:rsidRDefault="00AE57E7" w:rsidP="003A292D">
      <w:pPr>
        <w:spacing w:line="264" w:lineRule="auto"/>
        <w:ind w:firstLine="0"/>
        <w:rPr>
          <w:rFonts w:ascii="Arial" w:eastAsia="Calibri" w:hAnsi="Arial" w:cs="Arial"/>
          <w:szCs w:val="28"/>
          <w:lang w:val="en-US"/>
        </w:rPr>
      </w:pPr>
      <w:r w:rsidRPr="00511005">
        <w:rPr>
          <w:rFonts w:ascii="Arial" w:eastAsia="Calibri" w:hAnsi="Arial" w:cs="Arial"/>
          <w:szCs w:val="28"/>
        </w:rPr>
        <w:t xml:space="preserve">4. Козубська І. Г. Типологія комунікативних стратегій і тактик </w:t>
      </w:r>
      <w:proofErr w:type="gramStart"/>
      <w:r w:rsidRPr="00511005">
        <w:rPr>
          <w:rFonts w:ascii="Arial" w:eastAsia="Calibri" w:hAnsi="Arial" w:cs="Arial"/>
          <w:szCs w:val="28"/>
        </w:rPr>
        <w:t>у межах</w:t>
      </w:r>
      <w:proofErr w:type="gramEnd"/>
      <w:r w:rsidRPr="00511005">
        <w:rPr>
          <w:rFonts w:ascii="Arial" w:eastAsia="Calibri" w:hAnsi="Arial" w:cs="Arial"/>
          <w:szCs w:val="28"/>
        </w:rPr>
        <w:t xml:space="preserve"> прагматики тексту (на матеріалі англомовних монографій з інформаційних технологій). </w:t>
      </w:r>
      <w:r w:rsidRPr="00511005">
        <w:rPr>
          <w:rFonts w:ascii="Arial" w:eastAsia="Calibri" w:hAnsi="Arial" w:cs="Arial"/>
          <w:i/>
          <w:iCs/>
          <w:szCs w:val="28"/>
          <w:lang w:val="en-US"/>
        </w:rPr>
        <w:t>Science and education a new dimension. philology.</w:t>
      </w:r>
      <w:r w:rsidRPr="00511005">
        <w:rPr>
          <w:rFonts w:ascii="Arial" w:eastAsia="Calibri" w:hAnsi="Arial" w:cs="Arial"/>
          <w:szCs w:val="28"/>
          <w:lang w:val="en-US"/>
        </w:rPr>
        <w:t xml:space="preserve"> 2017. </w:t>
      </w:r>
      <w:r w:rsidRPr="00511005">
        <w:rPr>
          <w:rFonts w:ascii="Arial" w:eastAsia="Calibri" w:hAnsi="Arial" w:cs="Arial"/>
          <w:szCs w:val="28"/>
        </w:rPr>
        <w:t>Т</w:t>
      </w:r>
      <w:r w:rsidRPr="00511005">
        <w:rPr>
          <w:rFonts w:ascii="Arial" w:eastAsia="Calibri" w:hAnsi="Arial" w:cs="Arial"/>
          <w:szCs w:val="28"/>
          <w:lang w:val="en-US"/>
        </w:rPr>
        <w:t xml:space="preserve">. 1. </w:t>
      </w:r>
      <w:r w:rsidRPr="00511005">
        <w:rPr>
          <w:rFonts w:ascii="Arial" w:eastAsia="Calibri" w:hAnsi="Arial" w:cs="Arial"/>
          <w:szCs w:val="28"/>
        </w:rPr>
        <w:t>С</w:t>
      </w:r>
      <w:r w:rsidRPr="00511005">
        <w:rPr>
          <w:rFonts w:ascii="Arial" w:eastAsia="Calibri" w:hAnsi="Arial" w:cs="Arial"/>
          <w:szCs w:val="28"/>
          <w:lang w:val="en-US"/>
        </w:rPr>
        <w:t>. 30–34.</w:t>
      </w:r>
    </w:p>
    <w:p w14:paraId="06EC9D0C" w14:textId="77777777" w:rsidR="00AE57E7" w:rsidRPr="00511005" w:rsidRDefault="00AE57E7" w:rsidP="003A292D">
      <w:pPr>
        <w:spacing w:line="264" w:lineRule="auto"/>
        <w:ind w:firstLine="0"/>
        <w:rPr>
          <w:rFonts w:ascii="Arial" w:eastAsia="Calibri" w:hAnsi="Arial" w:cs="Arial"/>
          <w:szCs w:val="28"/>
          <w:lang w:val="en-US"/>
        </w:rPr>
      </w:pPr>
      <w:r w:rsidRPr="00511005">
        <w:rPr>
          <w:rFonts w:ascii="Arial" w:eastAsia="Calibri" w:hAnsi="Arial" w:cs="Arial"/>
          <w:szCs w:val="28"/>
          <w:lang w:val="en-US"/>
        </w:rPr>
        <w:t xml:space="preserve">5. </w:t>
      </w:r>
      <w:r w:rsidRPr="00511005">
        <w:rPr>
          <w:rFonts w:ascii="Arial" w:eastAsia="Calibri" w:hAnsi="Arial" w:cs="Arial"/>
          <w:szCs w:val="28"/>
        </w:rPr>
        <w:t>Лінгвістична</w:t>
      </w:r>
      <w:r w:rsidRPr="00511005">
        <w:rPr>
          <w:rFonts w:ascii="Arial" w:eastAsia="Calibri" w:hAnsi="Arial" w:cs="Arial"/>
          <w:szCs w:val="28"/>
          <w:lang w:val="en-US"/>
        </w:rPr>
        <w:t xml:space="preserve"> </w:t>
      </w:r>
      <w:r w:rsidRPr="00511005">
        <w:rPr>
          <w:rFonts w:ascii="Arial" w:eastAsia="Calibri" w:hAnsi="Arial" w:cs="Arial"/>
          <w:szCs w:val="28"/>
        </w:rPr>
        <w:t>прагматика</w:t>
      </w:r>
      <w:r w:rsidRPr="00511005">
        <w:rPr>
          <w:rFonts w:ascii="Arial" w:eastAsia="Calibri" w:hAnsi="Arial" w:cs="Arial"/>
          <w:szCs w:val="28"/>
          <w:lang w:val="en-US"/>
        </w:rPr>
        <w:t>. </w:t>
      </w:r>
      <w:r w:rsidRPr="00511005">
        <w:rPr>
          <w:rFonts w:ascii="Arial" w:eastAsia="Calibri" w:hAnsi="Arial" w:cs="Arial"/>
          <w:i/>
          <w:iCs/>
          <w:szCs w:val="28"/>
        </w:rPr>
        <w:t>Енциклопедія</w:t>
      </w:r>
      <w:r w:rsidRPr="00511005">
        <w:rPr>
          <w:rFonts w:ascii="Arial" w:eastAsia="Calibri" w:hAnsi="Arial" w:cs="Arial"/>
          <w:i/>
          <w:iCs/>
          <w:szCs w:val="28"/>
          <w:lang w:val="en-US"/>
        </w:rPr>
        <w:t xml:space="preserve"> </w:t>
      </w:r>
      <w:r w:rsidRPr="00511005">
        <w:rPr>
          <w:rFonts w:ascii="Arial" w:eastAsia="Calibri" w:hAnsi="Arial" w:cs="Arial"/>
          <w:i/>
          <w:iCs/>
          <w:szCs w:val="28"/>
        </w:rPr>
        <w:t>Сучасної</w:t>
      </w:r>
      <w:r w:rsidRPr="00511005">
        <w:rPr>
          <w:rFonts w:ascii="Arial" w:eastAsia="Calibri" w:hAnsi="Arial" w:cs="Arial"/>
          <w:i/>
          <w:iCs/>
          <w:szCs w:val="28"/>
          <w:lang w:val="en-US"/>
        </w:rPr>
        <w:t xml:space="preserve"> </w:t>
      </w:r>
      <w:r w:rsidRPr="00511005">
        <w:rPr>
          <w:rFonts w:ascii="Arial" w:eastAsia="Calibri" w:hAnsi="Arial" w:cs="Arial"/>
          <w:i/>
          <w:iCs/>
          <w:szCs w:val="28"/>
        </w:rPr>
        <w:t>України</w:t>
      </w:r>
      <w:r w:rsidRPr="00511005">
        <w:rPr>
          <w:rFonts w:ascii="Arial" w:eastAsia="Calibri" w:hAnsi="Arial" w:cs="Arial"/>
          <w:szCs w:val="28"/>
          <w:lang w:val="en-US"/>
        </w:rPr>
        <w:t>. URL: </w:t>
      </w:r>
      <w:hyperlink r:id="rId2519" w:tgtFrame="_blank" w:history="1">
        <w:r w:rsidRPr="00511005">
          <w:rPr>
            <w:rFonts w:ascii="Arial" w:eastAsia="Calibri" w:hAnsi="Arial" w:cs="Arial"/>
            <w:szCs w:val="28"/>
            <w:lang w:val="en-US"/>
          </w:rPr>
          <w:t>https://esu.com.ua/article-55505</w:t>
        </w:r>
      </w:hyperlink>
      <w:r w:rsidRPr="00511005">
        <w:rPr>
          <w:rFonts w:ascii="Arial" w:eastAsia="Calibri" w:hAnsi="Arial" w:cs="Arial"/>
          <w:szCs w:val="28"/>
          <w:lang w:val="en-US"/>
        </w:rPr>
        <w:t xml:space="preserve">. </w:t>
      </w:r>
    </w:p>
    <w:p w14:paraId="3E519559" w14:textId="77777777" w:rsidR="00AE57E7" w:rsidRPr="00511005" w:rsidRDefault="00AE57E7" w:rsidP="003A292D">
      <w:pPr>
        <w:spacing w:line="264" w:lineRule="auto"/>
        <w:ind w:firstLine="0"/>
        <w:rPr>
          <w:rFonts w:ascii="Arial" w:eastAsia="Calibri" w:hAnsi="Arial" w:cs="Arial"/>
          <w:szCs w:val="28"/>
        </w:rPr>
      </w:pPr>
      <w:r w:rsidRPr="00511005">
        <w:rPr>
          <w:rFonts w:ascii="Arial" w:eastAsia="Calibri" w:hAnsi="Arial" w:cs="Arial"/>
          <w:szCs w:val="28"/>
        </w:rPr>
        <w:t>6. Станко Д. Стратегії і тактики в емоційному мовленні. </w:t>
      </w:r>
      <w:r w:rsidRPr="00511005">
        <w:rPr>
          <w:rFonts w:ascii="Arial" w:eastAsia="Calibri" w:hAnsi="Arial" w:cs="Arial"/>
          <w:i/>
          <w:iCs/>
          <w:szCs w:val="28"/>
        </w:rPr>
        <w:t>Записки з романо-германської філології</w:t>
      </w:r>
      <w:r w:rsidRPr="00511005">
        <w:rPr>
          <w:rFonts w:ascii="Arial" w:eastAsia="Calibri" w:hAnsi="Arial" w:cs="Arial"/>
          <w:szCs w:val="28"/>
        </w:rPr>
        <w:t>. 2014. Т. 1.</w:t>
      </w:r>
    </w:p>
    <w:p w14:paraId="5ADB55D1" w14:textId="77777777" w:rsidR="00AE57E7" w:rsidRPr="00511005" w:rsidRDefault="00AE57E7" w:rsidP="003A292D">
      <w:pPr>
        <w:spacing w:line="264" w:lineRule="auto"/>
        <w:ind w:firstLine="0"/>
        <w:rPr>
          <w:rFonts w:ascii="Arial" w:eastAsia="Calibri" w:hAnsi="Arial" w:cs="Arial"/>
          <w:szCs w:val="28"/>
        </w:rPr>
      </w:pPr>
      <w:r w:rsidRPr="00511005">
        <w:rPr>
          <w:rFonts w:ascii="Arial" w:eastAsia="Calibri" w:hAnsi="Arial" w:cs="Arial"/>
          <w:szCs w:val="28"/>
        </w:rPr>
        <w:t>7. Шрамко А. О. Прагматична мета та засоби моделювання здорового способу життя в іспаномовній публіцистиці. </w:t>
      </w:r>
      <w:r w:rsidRPr="00511005">
        <w:rPr>
          <w:rFonts w:ascii="Arial" w:eastAsia="Calibri" w:hAnsi="Arial" w:cs="Arial"/>
          <w:i/>
          <w:iCs/>
          <w:szCs w:val="28"/>
        </w:rPr>
        <w:t>Problems of semantics, pragmatics and cognitive linguistics</w:t>
      </w:r>
      <w:r w:rsidRPr="00511005">
        <w:rPr>
          <w:rFonts w:ascii="Arial" w:eastAsia="Calibri" w:hAnsi="Arial" w:cs="Arial"/>
          <w:szCs w:val="28"/>
        </w:rPr>
        <w:t>. 2022. № 41. С. 100–110.</w:t>
      </w:r>
    </w:p>
    <w:p w14:paraId="2B780EA4" w14:textId="77777777" w:rsidR="00AE57E7" w:rsidRPr="00511005" w:rsidRDefault="00AE57E7" w:rsidP="003A292D">
      <w:pPr>
        <w:spacing w:line="264" w:lineRule="auto"/>
        <w:ind w:firstLine="0"/>
        <w:rPr>
          <w:rFonts w:ascii="Arial" w:eastAsia="Calibri" w:hAnsi="Arial" w:cs="Arial"/>
          <w:szCs w:val="28"/>
        </w:rPr>
      </w:pPr>
    </w:p>
    <w:p w14:paraId="37D669A5" w14:textId="152C5E5D" w:rsidR="00AE57E7" w:rsidRPr="00511005" w:rsidRDefault="007B2628" w:rsidP="003A292D">
      <w:pPr>
        <w:spacing w:line="264" w:lineRule="auto"/>
        <w:ind w:firstLine="0"/>
        <w:rPr>
          <w:rFonts w:ascii="Arial" w:eastAsia="Calibri" w:hAnsi="Arial" w:cs="Arial"/>
          <w:szCs w:val="28"/>
        </w:rPr>
      </w:pPr>
      <w:r w:rsidRPr="00511005">
        <w:rPr>
          <w:rFonts w:ascii="Arial" w:eastAsia="Calibri" w:hAnsi="Arial" w:cs="Arial"/>
          <w:b/>
          <w:i/>
          <w:szCs w:val="28"/>
        </w:rPr>
        <w:t xml:space="preserve">Ключові слова: </w:t>
      </w:r>
      <w:r w:rsidR="00AE57E7" w:rsidRPr="00511005">
        <w:rPr>
          <w:rFonts w:ascii="Arial" w:eastAsia="Calibri" w:hAnsi="Arial" w:cs="Arial"/>
          <w:szCs w:val="28"/>
        </w:rPr>
        <w:t>прагматика, стратегії, комунікативна інтенція, спілкування, мета, компетенція.</w:t>
      </w:r>
    </w:p>
    <w:p w14:paraId="379F9E08" w14:textId="601A8FF5" w:rsidR="00AE57E7" w:rsidRPr="00511005" w:rsidRDefault="007B2628" w:rsidP="003A292D">
      <w:pPr>
        <w:spacing w:line="264" w:lineRule="auto"/>
        <w:ind w:firstLine="0"/>
        <w:rPr>
          <w:rFonts w:ascii="Arial" w:eastAsia="Calibri" w:hAnsi="Arial" w:cs="Arial"/>
          <w:szCs w:val="28"/>
          <w:lang w:val="en-US"/>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pragmatics, strategies, communicative intention, communication, purpose, competence.</w:t>
      </w:r>
    </w:p>
    <w:p w14:paraId="017E7080" w14:textId="433E2FFA" w:rsidR="00AE57E7" w:rsidRPr="00511005" w:rsidRDefault="007B2628" w:rsidP="003A292D">
      <w:pPr>
        <w:spacing w:line="264" w:lineRule="auto"/>
        <w:ind w:firstLine="0"/>
        <w:rPr>
          <w:rFonts w:ascii="Arial" w:eastAsia="Calibri" w:hAnsi="Arial" w:cs="Arial"/>
          <w:szCs w:val="28"/>
        </w:rPr>
      </w:pPr>
      <w:r w:rsidRPr="00511005">
        <w:rPr>
          <w:rFonts w:ascii="Arial" w:eastAsia="Calibri" w:hAnsi="Arial" w:cs="Arial"/>
          <w:b/>
          <w:i/>
          <w:szCs w:val="28"/>
        </w:rPr>
        <w:t xml:space="preserve">Науковий керівник: </w:t>
      </w:r>
      <w:r w:rsidR="00AE57E7" w:rsidRPr="00511005">
        <w:rPr>
          <w:rFonts w:ascii="Arial" w:eastAsia="Calibri" w:hAnsi="Arial" w:cs="Arial"/>
          <w:i/>
          <w:szCs w:val="28"/>
        </w:rPr>
        <w:t>к. філол. наук, доцент Назаренко О. М.</w:t>
      </w:r>
    </w:p>
    <w:p w14:paraId="6AAE9EF0" w14:textId="77777777" w:rsidR="00AE57E7" w:rsidRPr="00511005" w:rsidRDefault="00AE57E7" w:rsidP="003A292D">
      <w:pPr>
        <w:spacing w:line="264" w:lineRule="auto"/>
        <w:ind w:firstLine="0"/>
        <w:jc w:val="left"/>
        <w:rPr>
          <w:rFonts w:ascii="Arial" w:eastAsia="Times New Roman" w:hAnsi="Arial" w:cs="Arial"/>
          <w:szCs w:val="28"/>
          <w:lang w:val="uk-UA" w:eastAsia="ru-RU"/>
        </w:rPr>
      </w:pPr>
    </w:p>
    <w:p w14:paraId="48143F1F" w14:textId="7280F80C" w:rsidR="00AE57E7" w:rsidRPr="00511005" w:rsidRDefault="00AE57E7" w:rsidP="003A292D">
      <w:pPr>
        <w:spacing w:line="264" w:lineRule="auto"/>
        <w:ind w:firstLine="0"/>
        <w:jc w:val="left"/>
        <w:rPr>
          <w:rFonts w:ascii="Arial" w:eastAsia="Times New Roman" w:hAnsi="Arial" w:cs="Arial"/>
          <w:szCs w:val="28"/>
          <w:lang w:val="uk-UA" w:eastAsia="ru-RU"/>
        </w:rPr>
      </w:pPr>
    </w:p>
    <w:p w14:paraId="4BC656B6" w14:textId="77777777" w:rsidR="00AE57E7" w:rsidRPr="00511005" w:rsidRDefault="00AE57E7" w:rsidP="003A292D">
      <w:pPr>
        <w:spacing w:line="264" w:lineRule="auto"/>
        <w:ind w:firstLine="0"/>
        <w:jc w:val="center"/>
        <w:rPr>
          <w:rFonts w:ascii="Arial" w:eastAsia="Calibri" w:hAnsi="Arial" w:cs="Arial"/>
          <w:b/>
          <w:i/>
          <w:szCs w:val="28"/>
        </w:rPr>
      </w:pPr>
      <w:r w:rsidRPr="00511005">
        <w:rPr>
          <w:rFonts w:ascii="Arial" w:eastAsia="Calibri" w:hAnsi="Arial" w:cs="Arial"/>
          <w:b/>
          <w:i/>
          <w:szCs w:val="28"/>
        </w:rPr>
        <w:t xml:space="preserve">Морева Наталя Олексіївна </w:t>
      </w:r>
    </w:p>
    <w:p w14:paraId="12F964C7" w14:textId="694FDC5D" w:rsidR="00AE57E7" w:rsidRPr="00511005" w:rsidRDefault="00536AAB" w:rsidP="003A292D">
      <w:pPr>
        <w:spacing w:line="264" w:lineRule="auto"/>
        <w:ind w:firstLine="0"/>
        <w:jc w:val="center"/>
        <w:rPr>
          <w:rFonts w:ascii="Arial" w:eastAsia="Calibri" w:hAnsi="Arial" w:cs="Arial"/>
          <w:szCs w:val="28"/>
        </w:rPr>
      </w:pPr>
      <w:r w:rsidRPr="00511005">
        <w:rPr>
          <w:rFonts w:ascii="Arial" w:eastAsia="Calibri" w:hAnsi="Arial" w:cs="Arial"/>
          <w:szCs w:val="28"/>
        </w:rPr>
        <w:t>студентка 3-го курсу факультету журналістики</w:t>
      </w:r>
    </w:p>
    <w:p w14:paraId="049BE5E9" w14:textId="179049D4" w:rsidR="00AE57E7" w:rsidRPr="00511005" w:rsidRDefault="007B2628" w:rsidP="003A292D">
      <w:pPr>
        <w:spacing w:line="264" w:lineRule="auto"/>
        <w:ind w:firstLine="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6BCFD749" w14:textId="77777777" w:rsidR="00AE57E7" w:rsidRPr="00511005" w:rsidRDefault="00AE57E7" w:rsidP="003A292D">
      <w:pPr>
        <w:spacing w:line="264" w:lineRule="auto"/>
        <w:ind w:firstLine="0"/>
        <w:jc w:val="center"/>
        <w:rPr>
          <w:rFonts w:ascii="Arial" w:eastAsia="Calibri" w:hAnsi="Arial" w:cs="Arial"/>
          <w:b/>
          <w:bCs/>
          <w:caps/>
          <w:szCs w:val="28"/>
        </w:rPr>
      </w:pPr>
    </w:p>
    <w:p w14:paraId="1F82FBD7" w14:textId="77777777" w:rsidR="00AE57E7" w:rsidRPr="00511005" w:rsidRDefault="00AE57E7" w:rsidP="003A292D">
      <w:pPr>
        <w:spacing w:line="264" w:lineRule="auto"/>
        <w:ind w:firstLine="0"/>
        <w:jc w:val="center"/>
        <w:rPr>
          <w:rFonts w:ascii="Arial" w:eastAsia="Calibri" w:hAnsi="Arial" w:cs="Arial"/>
          <w:b/>
          <w:bCs/>
          <w:caps/>
          <w:szCs w:val="28"/>
          <w:lang w:val="uk-UA"/>
        </w:rPr>
      </w:pPr>
      <w:r w:rsidRPr="00511005">
        <w:rPr>
          <w:rFonts w:ascii="Arial" w:eastAsia="Calibri" w:hAnsi="Arial" w:cs="Arial"/>
          <w:b/>
          <w:bCs/>
          <w:caps/>
          <w:szCs w:val="28"/>
        </w:rPr>
        <w:t xml:space="preserve">полікодовий характер медіатексту </w:t>
      </w:r>
    </w:p>
    <w:p w14:paraId="7F04255E" w14:textId="77777777" w:rsidR="00AE57E7" w:rsidRPr="00511005" w:rsidRDefault="00AE57E7" w:rsidP="00896853">
      <w:pPr>
        <w:spacing w:line="264" w:lineRule="auto"/>
        <w:rPr>
          <w:rFonts w:ascii="Arial" w:eastAsia="Times New Roman" w:hAnsi="Arial" w:cs="Arial"/>
          <w:szCs w:val="28"/>
          <w:lang w:eastAsia="uk-UA"/>
        </w:rPr>
      </w:pPr>
      <w:r w:rsidRPr="00511005">
        <w:rPr>
          <w:rFonts w:ascii="Arial" w:eastAsia="Times New Roman" w:hAnsi="Arial" w:cs="Arial"/>
          <w:szCs w:val="28"/>
          <w:lang w:val="uk-UA" w:eastAsia="uk-UA"/>
        </w:rPr>
        <w:t xml:space="preserve">Сучасний медіатекст функціонує як складна інформаційно-комунікативна структура, у якій поєднуються різні коди – вербальний, візуальний, аудіальний, графічний [1]. </w:t>
      </w:r>
      <w:r w:rsidRPr="00511005">
        <w:rPr>
          <w:rFonts w:ascii="Arial" w:eastAsia="Times New Roman" w:hAnsi="Arial" w:cs="Arial"/>
          <w:szCs w:val="28"/>
          <w:lang w:eastAsia="uk-UA"/>
        </w:rPr>
        <w:t xml:space="preserve">Полікодовість є не просто ознакою зовнішньої композиції, а глибинним механізмом смислотворення в умовах цифрової медіареальності [2; 3]. Особливо яскраво ця риса проявляється в </w:t>
      </w:r>
      <w:r w:rsidRPr="00511005">
        <w:rPr>
          <w:rFonts w:ascii="Arial" w:eastAsia="Times New Roman" w:hAnsi="Arial" w:cs="Arial"/>
          <w:szCs w:val="28"/>
          <w:lang w:eastAsia="uk-UA"/>
        </w:rPr>
        <w:lastRenderedPageBreak/>
        <w:t>матеріалах ВВС – одного з провідних інформаційних ресурсів світу, що активно працює з різними форматами подачі новин і аналітики [4].</w:t>
      </w:r>
    </w:p>
    <w:p w14:paraId="5D1A852D" w14:textId="77777777" w:rsidR="00AE57E7" w:rsidRPr="00511005" w:rsidRDefault="00AE57E7" w:rsidP="00896853">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На вебсторінках ВВС тексти новин супроводжуються зображеннями, відео, інфографікою, картами, цитатами, субтитрованими уривками виступів, схемами й емблемами. Усе це створює ефект мультимодальності, коли кожен компонент доповнює, підсилює або тлумачить інші. Наприклад, новина про глобальне потепління часто містить супровідне відео з кадрами стихійних лих, карту з температурними аномаліями, коментарі очевидців у текстовій чи відеоформі та динамічну шкалу змін клімату. Така композиція дає змогу не лише інформувати, а й формувати певний емоційний контекст сприйняття події, актуалізуючи проблему не лише логічно, а й візуально й емоційно.</w:t>
      </w:r>
    </w:p>
    <w:p w14:paraId="5D73FD44" w14:textId="77777777" w:rsidR="00AE57E7" w:rsidRPr="00511005" w:rsidRDefault="00AE57E7" w:rsidP="00896853">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Кожен з кодів </w:t>
      </w:r>
      <w:proofErr w:type="gramStart"/>
      <w:r w:rsidRPr="00511005">
        <w:rPr>
          <w:rFonts w:ascii="Arial" w:eastAsia="Times New Roman" w:hAnsi="Arial" w:cs="Arial"/>
          <w:szCs w:val="28"/>
          <w:lang w:eastAsia="uk-UA"/>
        </w:rPr>
        <w:t>у межах</w:t>
      </w:r>
      <w:proofErr w:type="gramEnd"/>
      <w:r w:rsidRPr="00511005">
        <w:rPr>
          <w:rFonts w:ascii="Arial" w:eastAsia="Times New Roman" w:hAnsi="Arial" w:cs="Arial"/>
          <w:szCs w:val="28"/>
          <w:lang w:eastAsia="uk-UA"/>
        </w:rPr>
        <w:t xml:space="preserve"> такого тексту виконує свою функцію, але жоден не існує ізольовано. Словесне повідомлення містить фактологічну інформацію, заголовок задає акцент, зображення конкретизує або драматизує зміст, відео створює динамічну наративну рамку, а графіка структурує складні дані. При цьому аудиторія отримує не лінійну, а поліцентричну інформацію, де читання здійснюється одночасно через різні канали. Полікодовість у цьому контексті не лише ускладнює структуру тексту, але й розширює його інтерпретаційні можливості, дозволяючи аудиторії вибудовувати індивідуальні траєкторії сприйняття.</w:t>
      </w:r>
    </w:p>
    <w:p w14:paraId="45C80573" w14:textId="77777777" w:rsidR="00AE57E7" w:rsidRPr="00511005" w:rsidRDefault="00AE57E7" w:rsidP="00896853">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Особливо важливим є узгодження різних кодів: зображення не просто ілюструє, а поглиблює смисл, відео не дублює текст, а подає інший рівень інтерпретації, інфографіка не повторює повідомлення, а наочно структурує його. Такий тип комунікації вимагає від реципієнта високого рівня медіакомпетентності: він має вміти інтегрувати повідомлення з різних джерел у єдину когнітивну модель. Наприклад, у матеріалі про збройні конфлікти текст може містити суху інформацію про кількість жертв, тоді як фото або відео без слів створюють сильне емоційне тло, що істотно впливає на сприйняття.</w:t>
      </w:r>
    </w:p>
    <w:p w14:paraId="2585EE43" w14:textId="77777777" w:rsidR="00AE57E7" w:rsidRPr="00511005" w:rsidRDefault="00AE57E7" w:rsidP="00896853">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Полікодовість виявляється також у зміщенні акцентів. </w:t>
      </w:r>
      <w:proofErr w:type="gramStart"/>
      <w:r w:rsidRPr="00511005">
        <w:rPr>
          <w:rFonts w:ascii="Arial" w:eastAsia="Times New Roman" w:hAnsi="Arial" w:cs="Arial"/>
          <w:szCs w:val="28"/>
          <w:lang w:eastAsia="uk-UA"/>
        </w:rPr>
        <w:t>У заголовку</w:t>
      </w:r>
      <w:proofErr w:type="gramEnd"/>
      <w:r w:rsidRPr="00511005">
        <w:rPr>
          <w:rFonts w:ascii="Arial" w:eastAsia="Times New Roman" w:hAnsi="Arial" w:cs="Arial"/>
          <w:szCs w:val="28"/>
          <w:lang w:eastAsia="uk-UA"/>
        </w:rPr>
        <w:t xml:space="preserve"> – це коротка емоційно або концептуально навантажена фраза, у підписі до фото – часто іронічна або соціально-критична інтерпретація, у відео – динаміка жестів і голосу, які передають ті смисли, що не вкладені в текст. Таким чином, медіатекст перетворюється на простір взаємодії знакових систем, де вербальне й невербальне нерозривно пов’язані.</w:t>
      </w:r>
    </w:p>
    <w:p w14:paraId="1E123FE2" w14:textId="77777777" w:rsidR="00AE57E7" w:rsidRPr="00511005" w:rsidRDefault="00AE57E7" w:rsidP="00896853">
      <w:pPr>
        <w:spacing w:line="264" w:lineRule="auto"/>
        <w:rPr>
          <w:rFonts w:ascii="Arial" w:eastAsia="Times New Roman" w:hAnsi="Arial" w:cs="Arial"/>
          <w:szCs w:val="28"/>
          <w:lang w:eastAsia="uk-UA"/>
        </w:rPr>
      </w:pPr>
      <w:r w:rsidRPr="00511005">
        <w:rPr>
          <w:rFonts w:ascii="Arial" w:eastAsia="Times New Roman" w:hAnsi="Arial" w:cs="Arial"/>
          <w:szCs w:val="28"/>
          <w:lang w:eastAsia="uk-UA"/>
        </w:rPr>
        <w:t xml:space="preserve">Матеріали ВВС демонструють, як полікодовість забезпечує багаторівневу комунікацію, де кожен компонент має власну семіотичну вагу, а загальний смисл виникає в результаті взаємодії кодів. Такий підхід дозволяє не лише ефективніше доносити інформацію, а й здійснювати більш глибокий вплив на свідомість аудиторії, адже текст діє водночас як аргумент, образ, ритм, емоція і візуальний сигнал. Саме тому полікодовий </w:t>
      </w:r>
      <w:r w:rsidRPr="00511005">
        <w:rPr>
          <w:rFonts w:ascii="Arial" w:eastAsia="Times New Roman" w:hAnsi="Arial" w:cs="Arial"/>
          <w:szCs w:val="28"/>
          <w:lang w:eastAsia="uk-UA"/>
        </w:rPr>
        <w:lastRenderedPageBreak/>
        <w:t>характер медіатексту сьогодні виступає не додатковою, а центральною ознакою комунікації у цифрову епоху.</w:t>
      </w:r>
    </w:p>
    <w:p w14:paraId="3D2975C7" w14:textId="77777777" w:rsidR="00AE57E7" w:rsidRPr="00511005" w:rsidRDefault="00AE57E7" w:rsidP="003A292D">
      <w:pPr>
        <w:spacing w:line="264" w:lineRule="auto"/>
        <w:ind w:firstLine="0"/>
        <w:rPr>
          <w:rFonts w:ascii="Arial" w:eastAsia="Calibri" w:hAnsi="Arial" w:cs="Arial"/>
          <w:szCs w:val="28"/>
        </w:rPr>
      </w:pPr>
    </w:p>
    <w:p w14:paraId="7A98215D" w14:textId="30CEB5C8" w:rsidR="00AE57E7" w:rsidRPr="00511005" w:rsidRDefault="007B2628" w:rsidP="007B2628">
      <w:pPr>
        <w:spacing w:line="264" w:lineRule="auto"/>
        <w:ind w:firstLine="0"/>
        <w:jc w:val="center"/>
        <w:rPr>
          <w:rFonts w:ascii="Arial" w:eastAsia="Calibri" w:hAnsi="Arial" w:cs="Arial"/>
          <w:b/>
          <w:bCs/>
          <w:szCs w:val="28"/>
        </w:rPr>
      </w:pPr>
      <w:r w:rsidRPr="00511005">
        <w:rPr>
          <w:rFonts w:ascii="Arial" w:eastAsia="Calibri" w:hAnsi="Arial" w:cs="Arial"/>
          <w:b/>
          <w:bCs/>
          <w:szCs w:val="28"/>
          <w:lang w:val="uk-UA"/>
        </w:rPr>
        <w:t>Список використаних джерел</w:t>
      </w:r>
    </w:p>
    <w:p w14:paraId="3944F754" w14:textId="77777777" w:rsidR="00AE57E7" w:rsidRPr="00511005" w:rsidRDefault="00AE57E7" w:rsidP="003A292D">
      <w:pPr>
        <w:spacing w:line="264" w:lineRule="auto"/>
        <w:ind w:firstLine="0"/>
        <w:rPr>
          <w:rFonts w:ascii="Arial" w:eastAsia="Calibri" w:hAnsi="Arial" w:cs="Arial"/>
          <w:szCs w:val="28"/>
        </w:rPr>
      </w:pPr>
      <w:r w:rsidRPr="00511005">
        <w:rPr>
          <w:rFonts w:ascii="Arial" w:eastAsia="Calibri" w:hAnsi="Arial" w:cs="Arial"/>
          <w:szCs w:val="28"/>
        </w:rPr>
        <w:t xml:space="preserve">1. Макарук Л.Л. Лінгвопрагматика піктограм та ідеограм в англомовному масмедійному </w:t>
      </w:r>
      <w:proofErr w:type="gramStart"/>
      <w:r w:rsidRPr="00511005">
        <w:rPr>
          <w:rFonts w:ascii="Arial" w:eastAsia="Calibri" w:hAnsi="Arial" w:cs="Arial"/>
          <w:szCs w:val="28"/>
        </w:rPr>
        <w:t>дискурсі :</w:t>
      </w:r>
      <w:proofErr w:type="gramEnd"/>
      <w:r w:rsidRPr="00511005">
        <w:rPr>
          <w:rFonts w:ascii="Arial" w:eastAsia="Calibri" w:hAnsi="Arial" w:cs="Arial"/>
          <w:szCs w:val="28"/>
        </w:rPr>
        <w:t xml:space="preserve"> автореф. дис. … канд. філол. </w:t>
      </w:r>
      <w:proofErr w:type="gramStart"/>
      <w:r w:rsidRPr="00511005">
        <w:rPr>
          <w:rFonts w:ascii="Arial" w:eastAsia="Calibri" w:hAnsi="Arial" w:cs="Arial"/>
          <w:szCs w:val="28"/>
        </w:rPr>
        <w:t>наук :</w:t>
      </w:r>
      <w:proofErr w:type="gramEnd"/>
      <w:r w:rsidRPr="00511005">
        <w:rPr>
          <w:rFonts w:ascii="Arial" w:eastAsia="Calibri" w:hAnsi="Arial" w:cs="Arial"/>
          <w:szCs w:val="28"/>
        </w:rPr>
        <w:t xml:space="preserve"> 10.02.04. Львів, 2013. 20 с.</w:t>
      </w:r>
    </w:p>
    <w:p w14:paraId="25D125D0" w14:textId="77777777" w:rsidR="00AE57E7" w:rsidRPr="00511005" w:rsidRDefault="00AE57E7" w:rsidP="003A292D">
      <w:pPr>
        <w:spacing w:line="264" w:lineRule="auto"/>
        <w:ind w:firstLine="0"/>
        <w:rPr>
          <w:rFonts w:ascii="Arial" w:eastAsia="Calibri" w:hAnsi="Arial" w:cs="Arial"/>
          <w:szCs w:val="28"/>
          <w:shd w:val="clear" w:color="auto" w:fill="FFFFFF"/>
        </w:rPr>
      </w:pPr>
      <w:r w:rsidRPr="00511005">
        <w:rPr>
          <w:rFonts w:ascii="Arial" w:eastAsia="Calibri" w:hAnsi="Arial" w:cs="Arial"/>
          <w:szCs w:val="28"/>
          <w:shd w:val="clear" w:color="auto" w:fill="FFFFFF"/>
        </w:rPr>
        <w:t>2. Макєдонова О. Лінгвостилістична організація та прагматичне функціонування англійськомовного рекламного дискурсу: автореферат дис. на здобуття наукового ступеня к. філол. н.: спеціальність 10.02.04 – германські мови. Запоріжжя, 2017. 19 с.</w:t>
      </w:r>
    </w:p>
    <w:p w14:paraId="63A45D4C" w14:textId="77777777" w:rsidR="00AE57E7" w:rsidRPr="00511005" w:rsidRDefault="00AE57E7" w:rsidP="003A292D">
      <w:pPr>
        <w:spacing w:line="264" w:lineRule="auto"/>
        <w:ind w:firstLine="0"/>
        <w:rPr>
          <w:rFonts w:ascii="Arial" w:eastAsia="Calibri" w:hAnsi="Arial" w:cs="Arial"/>
          <w:szCs w:val="28"/>
        </w:rPr>
      </w:pPr>
      <w:r w:rsidRPr="00511005">
        <w:rPr>
          <w:rFonts w:ascii="Arial" w:eastAsia="Calibri" w:hAnsi="Arial" w:cs="Arial"/>
          <w:szCs w:val="28"/>
        </w:rPr>
        <w:t xml:space="preserve">3. Рогач Ю.І. Засоби реалізації полікодовості в англомовному газетному дискурсі (на матеріалі друкованої преси Австралії): автореф. дис…канд. філол. наук: спец. 10.02.04. «Германські мови». Одеса, 2019. 24 с. </w:t>
      </w:r>
    </w:p>
    <w:p w14:paraId="339C2A6A" w14:textId="77777777" w:rsidR="00AE57E7" w:rsidRPr="00511005" w:rsidRDefault="00AE57E7" w:rsidP="003A292D">
      <w:pPr>
        <w:spacing w:line="264" w:lineRule="auto"/>
        <w:ind w:firstLine="0"/>
        <w:rPr>
          <w:rFonts w:ascii="Arial" w:eastAsia="Calibri" w:hAnsi="Arial" w:cs="Arial"/>
          <w:szCs w:val="28"/>
        </w:rPr>
      </w:pPr>
      <w:r w:rsidRPr="00511005">
        <w:rPr>
          <w:rFonts w:ascii="Arial" w:eastAsia="Calibri" w:hAnsi="Arial" w:cs="Arial"/>
          <w:szCs w:val="28"/>
        </w:rPr>
        <w:t xml:space="preserve">4. </w:t>
      </w:r>
      <w:r w:rsidRPr="00511005">
        <w:rPr>
          <w:rFonts w:ascii="Arial" w:eastAsia="Calibri" w:hAnsi="Arial" w:cs="Arial"/>
          <w:szCs w:val="28"/>
          <w:lang w:val="en-US"/>
        </w:rPr>
        <w:t>BBC</w:t>
      </w:r>
      <w:r w:rsidRPr="00511005">
        <w:rPr>
          <w:rFonts w:ascii="Arial" w:eastAsia="Calibri" w:hAnsi="Arial" w:cs="Arial"/>
          <w:szCs w:val="28"/>
        </w:rPr>
        <w:t xml:space="preserve">. </w:t>
      </w:r>
      <w:r w:rsidRPr="00511005">
        <w:rPr>
          <w:rFonts w:ascii="Arial" w:eastAsia="Calibri" w:hAnsi="Arial" w:cs="Arial"/>
          <w:szCs w:val="28"/>
          <w:lang w:val="en-US"/>
        </w:rPr>
        <w:t>URL</w:t>
      </w:r>
      <w:r w:rsidRPr="00511005">
        <w:rPr>
          <w:rFonts w:ascii="Arial" w:eastAsia="Calibri" w:hAnsi="Arial" w:cs="Arial"/>
          <w:szCs w:val="28"/>
        </w:rPr>
        <w:t xml:space="preserve">: </w:t>
      </w:r>
      <w:hyperlink r:id="rId2520" w:history="1">
        <w:r w:rsidRPr="00511005">
          <w:rPr>
            <w:rFonts w:ascii="Arial" w:eastAsia="Calibri" w:hAnsi="Arial" w:cs="Arial"/>
            <w:szCs w:val="28"/>
            <w:lang w:val="en-US"/>
          </w:rPr>
          <w:t>https</w:t>
        </w:r>
        <w:r w:rsidRPr="00511005">
          <w:rPr>
            <w:rFonts w:ascii="Arial" w:eastAsia="Calibri" w:hAnsi="Arial" w:cs="Arial"/>
            <w:szCs w:val="28"/>
          </w:rPr>
          <w:t>://</w:t>
        </w:r>
        <w:r w:rsidRPr="00511005">
          <w:rPr>
            <w:rFonts w:ascii="Arial" w:eastAsia="Calibri" w:hAnsi="Arial" w:cs="Arial"/>
            <w:szCs w:val="28"/>
            <w:lang w:val="en-US"/>
          </w:rPr>
          <w:t>www</w:t>
        </w:r>
        <w:r w:rsidRPr="00511005">
          <w:rPr>
            <w:rFonts w:ascii="Arial" w:eastAsia="Calibri" w:hAnsi="Arial" w:cs="Arial"/>
            <w:szCs w:val="28"/>
          </w:rPr>
          <w:t>.</w:t>
        </w:r>
        <w:r w:rsidRPr="00511005">
          <w:rPr>
            <w:rFonts w:ascii="Arial" w:eastAsia="Calibri" w:hAnsi="Arial" w:cs="Arial"/>
            <w:szCs w:val="28"/>
            <w:lang w:val="en-US"/>
          </w:rPr>
          <w:t>bbc</w:t>
        </w:r>
        <w:r w:rsidRPr="00511005">
          <w:rPr>
            <w:rFonts w:ascii="Arial" w:eastAsia="Calibri" w:hAnsi="Arial" w:cs="Arial"/>
            <w:szCs w:val="28"/>
          </w:rPr>
          <w:t>.</w:t>
        </w:r>
        <w:r w:rsidRPr="00511005">
          <w:rPr>
            <w:rFonts w:ascii="Arial" w:eastAsia="Calibri" w:hAnsi="Arial" w:cs="Arial"/>
            <w:szCs w:val="28"/>
            <w:lang w:val="en-US"/>
          </w:rPr>
          <w:t>com</w:t>
        </w:r>
        <w:r w:rsidRPr="00511005">
          <w:rPr>
            <w:rFonts w:ascii="Arial" w:eastAsia="Calibri" w:hAnsi="Arial" w:cs="Arial"/>
            <w:szCs w:val="28"/>
          </w:rPr>
          <w:t>/</w:t>
        </w:r>
      </w:hyperlink>
      <w:r w:rsidRPr="00511005">
        <w:rPr>
          <w:rFonts w:ascii="Arial" w:eastAsia="Calibri" w:hAnsi="Arial" w:cs="Arial"/>
          <w:szCs w:val="28"/>
        </w:rPr>
        <w:t xml:space="preserve"> </w:t>
      </w:r>
    </w:p>
    <w:p w14:paraId="0913FD60" w14:textId="77777777" w:rsidR="00AE57E7" w:rsidRPr="00511005" w:rsidRDefault="00AE57E7" w:rsidP="003A292D">
      <w:pPr>
        <w:spacing w:line="264" w:lineRule="auto"/>
        <w:ind w:firstLine="0"/>
        <w:rPr>
          <w:rFonts w:ascii="Arial" w:eastAsia="Calibri" w:hAnsi="Arial" w:cs="Arial"/>
          <w:szCs w:val="28"/>
        </w:rPr>
      </w:pPr>
    </w:p>
    <w:p w14:paraId="5EEC0FAF" w14:textId="6C93711A" w:rsidR="00AE57E7" w:rsidRPr="00511005" w:rsidRDefault="007B2628" w:rsidP="003A292D">
      <w:pPr>
        <w:spacing w:line="264" w:lineRule="auto"/>
        <w:ind w:firstLine="0"/>
        <w:rPr>
          <w:rFonts w:ascii="Arial" w:eastAsia="Calibri" w:hAnsi="Arial" w:cs="Arial"/>
          <w:szCs w:val="28"/>
        </w:rPr>
      </w:pPr>
      <w:r w:rsidRPr="00511005">
        <w:rPr>
          <w:rFonts w:ascii="Arial" w:eastAsia="Calibri" w:hAnsi="Arial" w:cs="Arial"/>
          <w:b/>
          <w:bCs/>
          <w:i/>
          <w:szCs w:val="28"/>
        </w:rPr>
        <w:t xml:space="preserve">Ключові слова: </w:t>
      </w:r>
      <w:r w:rsidR="00AE57E7" w:rsidRPr="00511005">
        <w:rPr>
          <w:rFonts w:ascii="Arial" w:eastAsia="Calibri" w:hAnsi="Arial" w:cs="Arial"/>
          <w:szCs w:val="28"/>
        </w:rPr>
        <w:t>медіалінгвістика, медіатекст, полікодовість.</w:t>
      </w:r>
    </w:p>
    <w:p w14:paraId="2122952D" w14:textId="18B9AA1E" w:rsidR="00AE57E7" w:rsidRPr="00511005" w:rsidRDefault="007B2628" w:rsidP="003A292D">
      <w:pPr>
        <w:spacing w:line="264" w:lineRule="auto"/>
        <w:ind w:firstLine="0"/>
        <w:rPr>
          <w:rFonts w:ascii="Arial" w:eastAsia="Calibri" w:hAnsi="Arial" w:cs="Arial"/>
          <w:szCs w:val="28"/>
          <w:lang w:val="en-US"/>
        </w:rPr>
      </w:pPr>
      <w:r w:rsidRPr="00511005">
        <w:rPr>
          <w:rFonts w:ascii="Arial" w:eastAsia="Calibri" w:hAnsi="Arial" w:cs="Arial"/>
          <w:b/>
          <w:bCs/>
          <w:i/>
          <w:szCs w:val="28"/>
          <w:lang w:val="en-US"/>
        </w:rPr>
        <w:t xml:space="preserve">Key words: </w:t>
      </w:r>
      <w:r w:rsidR="00AE57E7" w:rsidRPr="00511005">
        <w:rPr>
          <w:rFonts w:ascii="Arial" w:eastAsia="Calibri" w:hAnsi="Arial" w:cs="Arial"/>
          <w:szCs w:val="28"/>
          <w:lang w:val="en-US"/>
        </w:rPr>
        <w:t>medialinguistics, mediatext, polycode.</w:t>
      </w:r>
    </w:p>
    <w:p w14:paraId="46C1A8B4" w14:textId="3826CF56" w:rsidR="00AE57E7" w:rsidRPr="00511005" w:rsidRDefault="007B2628" w:rsidP="003A292D">
      <w:pPr>
        <w:spacing w:line="264" w:lineRule="auto"/>
        <w:ind w:firstLine="0"/>
        <w:rPr>
          <w:rFonts w:ascii="Arial" w:eastAsia="Calibri" w:hAnsi="Arial" w:cs="Arial"/>
          <w:szCs w:val="28"/>
        </w:rPr>
      </w:pPr>
      <w:r w:rsidRPr="00511005">
        <w:rPr>
          <w:rFonts w:ascii="Arial" w:eastAsia="Calibri" w:hAnsi="Arial" w:cs="Arial"/>
          <w:b/>
          <w:i/>
          <w:iCs/>
          <w:szCs w:val="28"/>
        </w:rPr>
        <w:t xml:space="preserve">Науковий керівник: </w:t>
      </w:r>
      <w:r w:rsidR="00AE57E7" w:rsidRPr="00511005">
        <w:rPr>
          <w:rFonts w:ascii="Arial" w:eastAsia="Calibri" w:hAnsi="Arial" w:cs="Arial"/>
          <w:szCs w:val="28"/>
        </w:rPr>
        <w:t>к. філол.</w:t>
      </w:r>
      <w:r w:rsidRPr="00511005">
        <w:rPr>
          <w:rFonts w:ascii="Arial" w:eastAsia="Calibri" w:hAnsi="Arial" w:cs="Arial"/>
          <w:szCs w:val="28"/>
        </w:rPr>
        <w:t xml:space="preserve"> </w:t>
      </w:r>
      <w:r w:rsidR="00AE57E7" w:rsidRPr="00511005">
        <w:rPr>
          <w:rFonts w:ascii="Arial" w:eastAsia="Calibri" w:hAnsi="Arial" w:cs="Arial"/>
          <w:szCs w:val="28"/>
        </w:rPr>
        <w:t>н., доцент Томчаковський О.Г.</w:t>
      </w:r>
    </w:p>
    <w:p w14:paraId="0E71D490" w14:textId="77777777" w:rsidR="00AE57E7" w:rsidRPr="00511005" w:rsidRDefault="00AE57E7" w:rsidP="003A292D">
      <w:pPr>
        <w:spacing w:line="264" w:lineRule="auto"/>
        <w:ind w:firstLine="0"/>
        <w:jc w:val="left"/>
        <w:rPr>
          <w:rFonts w:ascii="Arial" w:eastAsia="Times New Roman" w:hAnsi="Arial" w:cs="Arial"/>
          <w:szCs w:val="28"/>
          <w:lang w:val="uk-UA" w:eastAsia="ru-RU"/>
        </w:rPr>
      </w:pPr>
    </w:p>
    <w:p w14:paraId="3FF4639E" w14:textId="58B8CBC3" w:rsidR="00AE57E7" w:rsidRPr="00511005" w:rsidRDefault="00AE57E7" w:rsidP="003A292D">
      <w:pPr>
        <w:spacing w:line="264" w:lineRule="auto"/>
        <w:ind w:firstLine="0"/>
        <w:jc w:val="left"/>
        <w:rPr>
          <w:rFonts w:ascii="Arial" w:eastAsia="Times New Roman" w:hAnsi="Arial" w:cs="Arial"/>
          <w:szCs w:val="28"/>
          <w:lang w:val="uk-UA" w:eastAsia="ru-RU"/>
        </w:rPr>
      </w:pPr>
    </w:p>
    <w:p w14:paraId="1DD169C5" w14:textId="77777777" w:rsidR="00146592" w:rsidRPr="00511005" w:rsidRDefault="00AE57E7" w:rsidP="003A292D">
      <w:pPr>
        <w:spacing w:line="264" w:lineRule="auto"/>
        <w:ind w:firstLine="0"/>
        <w:jc w:val="center"/>
        <w:rPr>
          <w:rFonts w:ascii="Arial" w:eastAsia="Calibri" w:hAnsi="Arial" w:cs="Arial"/>
          <w:b/>
          <w:i/>
          <w:szCs w:val="28"/>
        </w:rPr>
      </w:pPr>
      <w:r w:rsidRPr="00511005">
        <w:rPr>
          <w:rFonts w:ascii="Arial" w:eastAsia="Calibri" w:hAnsi="Arial" w:cs="Arial"/>
          <w:b/>
          <w:i/>
          <w:szCs w:val="28"/>
        </w:rPr>
        <w:t>Путята Віталій Олегович</w:t>
      </w:r>
    </w:p>
    <w:p w14:paraId="79722706" w14:textId="0F3BD82A" w:rsidR="00AE57E7" w:rsidRPr="00511005" w:rsidRDefault="00287A9C" w:rsidP="00896853">
      <w:pPr>
        <w:spacing w:line="264" w:lineRule="auto"/>
        <w:ind w:firstLine="0"/>
        <w:jc w:val="center"/>
        <w:rPr>
          <w:rFonts w:ascii="Arial" w:eastAsia="Calibri" w:hAnsi="Arial" w:cs="Arial"/>
          <w:iCs/>
          <w:szCs w:val="28"/>
        </w:rPr>
      </w:pPr>
      <w:r w:rsidRPr="00511005">
        <w:rPr>
          <w:rFonts w:ascii="Arial" w:eastAsia="Calibri" w:hAnsi="Arial" w:cs="Arial"/>
          <w:iCs/>
          <w:szCs w:val="28"/>
        </w:rPr>
        <w:t>студент</w:t>
      </w:r>
      <w:r w:rsidR="00AE57E7" w:rsidRPr="00511005">
        <w:rPr>
          <w:rFonts w:ascii="Arial" w:eastAsia="Calibri" w:hAnsi="Arial" w:cs="Arial"/>
          <w:iCs/>
          <w:szCs w:val="28"/>
        </w:rPr>
        <w:t xml:space="preserve"> </w:t>
      </w:r>
      <w:r w:rsidR="007B2628" w:rsidRPr="00511005">
        <w:rPr>
          <w:rFonts w:ascii="Arial" w:eastAsia="Calibri" w:hAnsi="Arial" w:cs="Arial"/>
          <w:iCs/>
          <w:szCs w:val="28"/>
        </w:rPr>
        <w:t>1-го курсу</w:t>
      </w:r>
      <w:r w:rsidR="00AE57E7" w:rsidRPr="00511005">
        <w:rPr>
          <w:rFonts w:ascii="Arial" w:eastAsia="Calibri" w:hAnsi="Arial" w:cs="Arial"/>
          <w:iCs/>
          <w:szCs w:val="28"/>
        </w:rPr>
        <w:t xml:space="preserve"> </w:t>
      </w:r>
      <w:proofErr w:type="gramStart"/>
      <w:r w:rsidR="00657820" w:rsidRPr="00511005">
        <w:rPr>
          <w:rFonts w:ascii="Arial" w:eastAsia="Calibri" w:hAnsi="Arial" w:cs="Arial"/>
          <w:iCs/>
          <w:szCs w:val="28"/>
        </w:rPr>
        <w:t>магістратури</w:t>
      </w:r>
      <w:r w:rsidR="00AE57E7" w:rsidRPr="00511005">
        <w:rPr>
          <w:rFonts w:ascii="Arial" w:eastAsia="Calibri" w:hAnsi="Arial" w:cs="Arial"/>
          <w:iCs/>
          <w:szCs w:val="28"/>
        </w:rPr>
        <w:t xml:space="preserve">  </w:t>
      </w:r>
      <w:r w:rsidR="00536AAB" w:rsidRPr="00511005">
        <w:rPr>
          <w:rFonts w:ascii="Arial" w:eastAsia="Calibri" w:hAnsi="Arial" w:cs="Arial"/>
          <w:szCs w:val="28"/>
        </w:rPr>
        <w:t>факультету</w:t>
      </w:r>
      <w:proofErr w:type="gramEnd"/>
      <w:r w:rsidR="00536AAB" w:rsidRPr="00511005">
        <w:rPr>
          <w:rFonts w:ascii="Arial" w:eastAsia="Calibri" w:hAnsi="Arial" w:cs="Arial"/>
          <w:szCs w:val="28"/>
        </w:rPr>
        <w:t xml:space="preserve"> журналістики</w:t>
      </w:r>
    </w:p>
    <w:p w14:paraId="2B4FFBF4" w14:textId="1348254D" w:rsidR="00AE57E7" w:rsidRPr="00511005" w:rsidRDefault="007B2628" w:rsidP="003A292D">
      <w:pPr>
        <w:spacing w:line="264" w:lineRule="auto"/>
        <w:ind w:firstLine="0"/>
        <w:jc w:val="center"/>
        <w:rPr>
          <w:rFonts w:ascii="Arial" w:eastAsia="Calibri" w:hAnsi="Arial" w:cs="Arial"/>
          <w:szCs w:val="28"/>
        </w:rPr>
      </w:pPr>
      <w:r w:rsidRPr="00511005">
        <w:rPr>
          <w:rFonts w:ascii="Arial" w:eastAsia="Calibri" w:hAnsi="Arial" w:cs="Arial"/>
          <w:szCs w:val="28"/>
        </w:rPr>
        <w:t>Національного університету «Одеська юридична академія»</w:t>
      </w:r>
    </w:p>
    <w:p w14:paraId="36819356" w14:textId="77777777" w:rsidR="00AE57E7" w:rsidRPr="00511005" w:rsidRDefault="00AE57E7" w:rsidP="003A292D">
      <w:pPr>
        <w:spacing w:line="264" w:lineRule="auto"/>
        <w:ind w:firstLine="0"/>
        <w:jc w:val="center"/>
        <w:rPr>
          <w:rFonts w:ascii="Arial" w:eastAsia="Calibri" w:hAnsi="Arial" w:cs="Arial"/>
          <w:i/>
          <w:szCs w:val="28"/>
        </w:rPr>
      </w:pPr>
    </w:p>
    <w:p w14:paraId="23FE1FF6" w14:textId="77777777" w:rsidR="00AE57E7" w:rsidRPr="00511005" w:rsidRDefault="00AE57E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rPr>
        <w:t>СУЧАСНА ІНТЕРНЕТ</w:t>
      </w:r>
      <w:r w:rsidRPr="00511005">
        <w:rPr>
          <w:rFonts w:ascii="Arial" w:eastAsia="Calibri" w:hAnsi="Arial" w:cs="Arial"/>
          <w:b/>
          <w:szCs w:val="28"/>
          <w:lang w:val="uk-UA"/>
        </w:rPr>
        <w:t>-</w:t>
      </w:r>
      <w:r w:rsidRPr="00511005">
        <w:rPr>
          <w:rFonts w:ascii="Arial" w:eastAsia="Calibri" w:hAnsi="Arial" w:cs="Arial"/>
          <w:b/>
          <w:szCs w:val="28"/>
        </w:rPr>
        <w:t>ЛІНГВІСТИКА ПІД ВПЛИВОМ ШТУЧНОГО ІНТЕЛЕКТУ</w:t>
      </w:r>
    </w:p>
    <w:p w14:paraId="671CF269" w14:textId="77777777"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Інтернет-лінгвістика – це важлива галузь мовознавства, яка вивчає вплив цифрових технологій на мову та комунікацію. Цей напрям досліджень охоплює аспекти, що стосуються змін у мовному використанні, структури текстів та їх інтерпретації в контексті цифрових платформ. Зокрема, інтернет-лінгвістика розглядає нові форми комунікації, такі як меми, емоційні вирази через емодзі, сленг та жаргон, що швидко поширюються завдяки соціальним мережам та іншим онлайн-ресурсам [1, с. 184].</w:t>
      </w:r>
    </w:p>
    <w:p w14:paraId="5C8CA260" w14:textId="77777777"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Штучний інтелект (ШІ) визначається як галузь комп'ютерної науки, яка займається створенням систем, здатних виконувати завдання, що зазвичай потребують людського інтелекту, таких як розпізнавання мови, ухвалення рішень та розв'язання складних проблем. Існують різні види ШІ, серед яких:</w:t>
      </w:r>
    </w:p>
    <w:p w14:paraId="1A3E1CDC" w14:textId="77777777" w:rsidR="00AE57E7" w:rsidRPr="00511005" w:rsidRDefault="00AE57E7" w:rsidP="003F6A5D">
      <w:pPr>
        <w:numPr>
          <w:ilvl w:val="0"/>
          <w:numId w:val="778"/>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b/>
          <w:bCs/>
          <w:szCs w:val="28"/>
        </w:rPr>
        <w:t>Слабкий ШІ (або вузький ШІ)</w:t>
      </w:r>
      <w:r w:rsidRPr="00511005">
        <w:rPr>
          <w:rFonts w:ascii="Arial" w:eastAsia="Calibri" w:hAnsi="Arial" w:cs="Arial"/>
          <w:szCs w:val="28"/>
        </w:rPr>
        <w:t> – системи, що спеціалізуються на виконанні конкретних завдань. Прикладом можуть бути чат-боти та системи розпізнавання голосу.</w:t>
      </w:r>
    </w:p>
    <w:p w14:paraId="5BE5F18C" w14:textId="77777777" w:rsidR="00AE57E7" w:rsidRPr="00511005" w:rsidRDefault="00AE57E7" w:rsidP="003F6A5D">
      <w:pPr>
        <w:numPr>
          <w:ilvl w:val="0"/>
          <w:numId w:val="778"/>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b/>
          <w:bCs/>
          <w:szCs w:val="28"/>
        </w:rPr>
        <w:lastRenderedPageBreak/>
        <w:t>Сильний ШІ</w:t>
      </w:r>
      <w:r w:rsidRPr="00511005">
        <w:rPr>
          <w:rFonts w:ascii="Arial" w:eastAsia="Calibri" w:hAnsi="Arial" w:cs="Arial"/>
          <w:szCs w:val="28"/>
        </w:rPr>
        <w:t> – гіпотетичні системи, здатні виконувати будь-яке завдання, що під силу людині, та мати здатність до самоусвідомлення.</w:t>
      </w:r>
    </w:p>
    <w:p w14:paraId="1F706898" w14:textId="77777777" w:rsidR="00AE57E7" w:rsidRPr="00511005" w:rsidRDefault="00AE57E7" w:rsidP="003F6A5D">
      <w:pPr>
        <w:numPr>
          <w:ilvl w:val="0"/>
          <w:numId w:val="778"/>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b/>
          <w:bCs/>
          <w:szCs w:val="28"/>
        </w:rPr>
        <w:t>Генеративний ШІ</w:t>
      </w:r>
      <w:r w:rsidRPr="00511005">
        <w:rPr>
          <w:rFonts w:ascii="Arial" w:eastAsia="Calibri" w:hAnsi="Arial" w:cs="Arial"/>
          <w:szCs w:val="28"/>
        </w:rPr>
        <w:t> – підвид слабкого ШІ, який використовує методи машинного навчання для створення нових даних. Популярні моделі, такі як GPT (Generative Pre-trained Transformer) та Gemini (раніше Bard) показали можливість генерування тексту, який за своєю структурою та змістом наближається до текстів, написаних людиною.</w:t>
      </w:r>
    </w:p>
    <w:p w14:paraId="366955CD" w14:textId="77777777"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Сучасний розвиток ШІ, зокрема його генеративних моделей, кардинально змінив підходи до комунікації в Інтернеті. Завдяки технологіям на основі машинного навчання та нейронних мереж, автоматизовані системи здатні створювати тексти, які виглядають природно та граматично правильними. Це суттєво змінює способи міжособистісної та масової комунікації, ускладнюючи визначення джерел інформації та викликаючи питання щодо авторства.</w:t>
      </w:r>
    </w:p>
    <w:p w14:paraId="020D775D" w14:textId="77777777" w:rsidR="00AE57E7" w:rsidRPr="00511005" w:rsidRDefault="00AE57E7" w:rsidP="00896853">
      <w:pPr>
        <w:tabs>
          <w:tab w:val="left" w:pos="993"/>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Окрім очевидних переваг, таких як поліпшення перекладів і підвищення швидкості створення текстового контенту, використання ШІ в інтернет-лінгвістиці породжує низку проблем [2, с. 39-40]:</w:t>
      </w:r>
    </w:p>
    <w:p w14:paraId="59A8CEC0" w14:textId="77777777" w:rsidR="00AE57E7" w:rsidRPr="00511005" w:rsidRDefault="00AE57E7" w:rsidP="003F6A5D">
      <w:pPr>
        <w:numPr>
          <w:ilvl w:val="0"/>
          <w:numId w:val="779"/>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b/>
          <w:bCs/>
          <w:szCs w:val="28"/>
        </w:rPr>
        <w:t>Зміна мовних патернів.</w:t>
      </w:r>
      <w:r w:rsidRPr="00511005">
        <w:rPr>
          <w:rFonts w:ascii="Arial" w:eastAsia="Calibri" w:hAnsi="Arial" w:cs="Arial"/>
          <w:szCs w:val="28"/>
        </w:rPr>
        <w:t xml:space="preserve"> Інтенсивне використання ШІ для генерації контенту впливає на розвиток нових мовних конструкцій та стилістичних засобів, які часто не відповідають традиційним нормам.</w:t>
      </w:r>
    </w:p>
    <w:p w14:paraId="3C107CC9" w14:textId="77777777" w:rsidR="00AE57E7" w:rsidRPr="00511005" w:rsidRDefault="00AE57E7" w:rsidP="003F6A5D">
      <w:pPr>
        <w:numPr>
          <w:ilvl w:val="0"/>
          <w:numId w:val="779"/>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b/>
          <w:bCs/>
          <w:szCs w:val="28"/>
        </w:rPr>
        <w:t>Зниження автентичності текстів.</w:t>
      </w:r>
      <w:r w:rsidRPr="00511005">
        <w:rPr>
          <w:rFonts w:ascii="Arial" w:eastAsia="Calibri" w:hAnsi="Arial" w:cs="Arial"/>
          <w:szCs w:val="28"/>
        </w:rPr>
        <w:t xml:space="preserve"> Маси автоматично створених текстів ускладнюють відмінність між контентом, написаним людиною, та згенерованим ШІ.</w:t>
      </w:r>
    </w:p>
    <w:p w14:paraId="5F8FFE1D" w14:textId="77777777" w:rsidR="00AE57E7" w:rsidRPr="00511005" w:rsidRDefault="00AE57E7" w:rsidP="003F6A5D">
      <w:pPr>
        <w:numPr>
          <w:ilvl w:val="0"/>
          <w:numId w:val="779"/>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b/>
          <w:bCs/>
          <w:szCs w:val="28"/>
        </w:rPr>
        <w:t>Питання етичності та достовірності</w:t>
      </w:r>
      <w:r w:rsidRPr="00511005">
        <w:rPr>
          <w:rFonts w:ascii="Arial" w:eastAsia="Calibri" w:hAnsi="Arial" w:cs="Arial"/>
          <w:szCs w:val="28"/>
        </w:rPr>
        <w:t>. Використання ШІ для написання академічних та інформаційних матеріалів може призводити до порушень норм академічної доброчесності та підвищувати ризик дезінформації.</w:t>
      </w:r>
    </w:p>
    <w:p w14:paraId="3214893C" w14:textId="77777777"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Проблема полягає у впливі ШІ на якість і достовірність текстів, що створюються і використовуються в цифровому середовищі. Завдання інтернет-лінгвістики – не лише досліджувати мовні зміни, але й розробляти підходи для оцінки та контролю якості автоматично створеного контенту. Важливими науковими завданнями є розуміння, як ШІ впливає на лексику та синтаксис, і яким чином це змінює взаємодію користувачів із цифровими платформами.</w:t>
      </w:r>
    </w:p>
    <w:p w14:paraId="58E18F73" w14:textId="77777777"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Розвиток штучного інтелекту значно вплинув на різні аспекти мовної комунікації, зокрема в Інтернеті. Дослідники відзначають, що генеративні моделі ШІ, такі як GPT-3, суттєво змінюють мовну динаміку, створюючи тексти, які виглядають і звучать як написані людиною. Наприклад, аналіз від Stanford HAI під керівництвом Дена Юрафскі вказує, що сучасні системи природної обробки мови (NLP) прагнуть до глибшого розуміння не лише слів, а й емоційного та соціального контексту, що вони передають. Це </w:t>
      </w:r>
      <w:r w:rsidRPr="00511005">
        <w:rPr>
          <w:rFonts w:ascii="Arial" w:eastAsia="Times New Roman" w:hAnsi="Arial" w:cs="Arial"/>
          <w:szCs w:val="28"/>
          <w:lang w:val="uk-UA" w:eastAsia="ru-RU"/>
        </w:rPr>
        <w:lastRenderedPageBreak/>
        <w:t>відкриває нові можливості, але також вимагає глибокого розгляду етичних та соціальних наслідків [3].</w:t>
      </w:r>
    </w:p>
    <w:p w14:paraId="604901A5" w14:textId="77777777"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Огляд літератури показує, що ШІ вже активно змінює способи, якими люди спілкуються, включаючи автоматичні переклади та відповіді. IEEE повідомляє, що вплив ШІ на переклади допомагає підвищити точність, але все ще має проблеми з контекстуальним розумінням та передачею культурних особливостей. Інші дослідники виявили, що впровадження алгоритмічних відповідей у соціальні платформи може призводити до змін у сприйнятті мовних повідомлень, роблячи їх менш персоналізованими [4].</w:t>
      </w:r>
    </w:p>
    <w:p w14:paraId="6BD11318" w14:textId="77777777"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Відтак, попри значні досягнення, деякі важливі аспекти дослідження залишаються маловивченими. Використання алгоритмів для створення текстів призводить до ризиків уніфікації мовної ідентичності, що може вплинути на культурну різноманітність. Крім того, штучний інтелект має обмеження у передачі емоційних сигналів, що відображається на якості комунікації. Це обумовлює виклики у сфері текстів, згенерованих ШІ.</w:t>
      </w:r>
    </w:p>
    <w:p w14:paraId="4ED67F19" w14:textId="473505A7"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Проблематика довіри та питання авторства контенту також викликають занепокоєння. Використання технологій ШІ може ускладнювати визначення джерела тексту, що важливо для академічної доброчесності та збереження оригінальності. Такі проблеми стають особливо актуальними, коли читачі не знають про штучне походження контенту.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Так можна винести наступні пропозиції щодо вирішення проблем.</w:t>
      </w:r>
    </w:p>
    <w:p w14:paraId="15D6B3D5" w14:textId="77777777" w:rsidR="00AE57E7" w:rsidRPr="00511005" w:rsidRDefault="00AE57E7" w:rsidP="003F6A5D">
      <w:pPr>
        <w:numPr>
          <w:ilvl w:val="0"/>
          <w:numId w:val="780"/>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Вдосконалення методологій аналізу. Необхідно розробити загальноприйняті стандарти для аналізу текстів, створених ШІ, з метою виявлення алгоритмічних шаблонів. Це включає створення інструментів, що можуть аналізувати структурні особливості та стиль текстів, й позначення генеративне походження тексту для читача.</w:t>
      </w:r>
    </w:p>
    <w:p w14:paraId="68BDAC5F" w14:textId="77777777" w:rsidR="00AE57E7" w:rsidRPr="00511005" w:rsidRDefault="00AE57E7" w:rsidP="003F6A5D">
      <w:pPr>
        <w:numPr>
          <w:ilvl w:val="0"/>
          <w:numId w:val="780"/>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Інтеграція культурної адаптивності. Моделі ШІ мають враховувати контекст та культурні особливості мов, що дозволить зберегти їх різноманітність та автентичність. Такі удосконалення допоможуть уникнути гомогенізації мовних практик.</w:t>
      </w:r>
    </w:p>
    <w:p w14:paraId="02689DEE" w14:textId="77777777" w:rsidR="007B2628" w:rsidRPr="00511005" w:rsidRDefault="00AE57E7" w:rsidP="003F6A5D">
      <w:pPr>
        <w:numPr>
          <w:ilvl w:val="0"/>
          <w:numId w:val="780"/>
        </w:numPr>
        <w:spacing w:line="264" w:lineRule="auto"/>
        <w:ind w:left="0" w:firstLine="709"/>
        <w:jc w:val="left"/>
        <w:rPr>
          <w:rFonts w:ascii="Arial" w:eastAsia="Times New Roman" w:hAnsi="Arial" w:cs="Arial"/>
          <w:szCs w:val="28"/>
          <w:lang w:val="uk-UA" w:eastAsia="ru-RU"/>
        </w:rPr>
      </w:pPr>
      <w:r w:rsidRPr="00511005">
        <w:rPr>
          <w:rFonts w:ascii="Arial" w:eastAsia="Times New Roman" w:hAnsi="Arial" w:cs="Arial"/>
          <w:szCs w:val="28"/>
          <w:lang w:val="uk-UA" w:eastAsia="ru-RU"/>
        </w:rPr>
        <w:t>Етичні рамки та регулювання. Важливо розробити етичні правила використання ШІ у створенні текстів, які будуть спрямовані на підтримку прозорості та відповідальності. Це включає створення систем для верифікації джерела тексту та забезпечення відповідності стандартам академічної доброчесності.</w:t>
      </w:r>
    </w:p>
    <w:p w14:paraId="15817150" w14:textId="2C137B29"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Сучасна інтернет-лінгвістика знаходиться під значним впливом технологій штучного інтелекту, особливо генеративних моделей, таких як GPT. Такий вплив виражається у зміні мовних патернів, появі нових стилістичних форм і адаптації мовних засобів до нових форматів комунікації. Результати аналізу свідчать про те, що ШІ, з одного боку, сприяє підвищенню ефективності створення текстів, але з іншого – призводить до </w:t>
      </w:r>
      <w:r w:rsidRPr="00511005">
        <w:rPr>
          <w:rFonts w:ascii="Arial" w:eastAsia="Times New Roman" w:hAnsi="Arial" w:cs="Arial"/>
          <w:szCs w:val="28"/>
          <w:lang w:val="uk-UA" w:eastAsia="ru-RU"/>
        </w:rPr>
        <w:lastRenderedPageBreak/>
        <w:t xml:space="preserve">можливих втрат автентичності та культурної виразності мовних практик </w:t>
      </w:r>
      <w:r w:rsidRPr="00511005">
        <w:rPr>
          <w:rFonts w:ascii="Arial" w:eastAsia="Times New Roman" w:hAnsi="Arial" w:cs="Arial"/>
          <w:szCs w:val="28"/>
          <w:lang w:eastAsia="ru-RU"/>
        </w:rPr>
        <w:t>[5,</w:t>
      </w:r>
      <w:r w:rsidRPr="00511005">
        <w:rPr>
          <w:rFonts w:ascii="Arial" w:eastAsia="Times New Roman" w:hAnsi="Arial" w:cs="Arial"/>
          <w:szCs w:val="28"/>
          <w:lang w:val="uk-UA" w:eastAsia="ru-RU"/>
        </w:rPr>
        <w:t xml:space="preserve"> с. 56-58</w:t>
      </w:r>
      <w:r w:rsidRPr="00511005">
        <w:rPr>
          <w:rFonts w:ascii="Arial" w:eastAsia="Times New Roman" w:hAnsi="Arial" w:cs="Arial"/>
          <w:szCs w:val="28"/>
          <w:lang w:eastAsia="ru-RU"/>
        </w:rPr>
        <w:t>]</w:t>
      </w:r>
      <w:r w:rsidRPr="00511005">
        <w:rPr>
          <w:rFonts w:ascii="Arial" w:eastAsia="Times New Roman" w:hAnsi="Arial" w:cs="Arial"/>
          <w:szCs w:val="28"/>
          <w:lang w:val="uk-UA" w:eastAsia="ru-RU"/>
        </w:rPr>
        <w:t>.</w:t>
      </w:r>
    </w:p>
    <w:p w14:paraId="21E4D285" w14:textId="77777777"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Важливою проблемою залишається інтеграція ШІ у процеси комунікації таким чином, щоб забезпечити дотримання етичних норм і стандартів якості контенту. Відсутність чітких механізмів контролю за використанням ШІ створює ризики для авторства і довіри до створених текстів. Це особливо актуально для академічних і професійних середовищ, де достовірність інформації та етичні принципи є основними стандартами.</w:t>
      </w:r>
    </w:p>
    <w:p w14:paraId="626D0497" w14:textId="77777777"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ШІ також впливає на емоційний контекст комунікації, часто змінюючи його за рахунок стандартизації відповіді і механічного стилю текстів. Ці чинники можуть сприяти зміні сприйняття текстів користувачами, що, у свою чергу, впливає на міжособистісну взаємодію і довіру.</w:t>
      </w:r>
    </w:p>
    <w:p w14:paraId="0B56119D" w14:textId="77777777" w:rsidR="00AE57E7" w:rsidRPr="00511005" w:rsidRDefault="00AE57E7" w:rsidP="00896853">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Отже, є великі перспективи подальших досліджень у цьому. Розвиток інтернет-лінгвістики як наукової дисципліни залежить від того, як буде розвиватися штучний інтелект. Це відкриває перспективи для дослідження нових явищ, пов’язаних з комунікацією в цифрову еру, і сприяє поглибленому розумінню взаємодії між людиною і технологіями.</w:t>
      </w:r>
    </w:p>
    <w:p w14:paraId="7FEE7811" w14:textId="77777777" w:rsidR="00AE57E7" w:rsidRPr="00511005" w:rsidRDefault="00AE57E7" w:rsidP="003A292D">
      <w:pPr>
        <w:spacing w:line="264" w:lineRule="auto"/>
        <w:ind w:firstLine="0"/>
        <w:jc w:val="left"/>
        <w:rPr>
          <w:rFonts w:ascii="Arial" w:eastAsia="Calibri" w:hAnsi="Arial" w:cs="Arial"/>
          <w:szCs w:val="28"/>
          <w:lang w:val="uk-UA"/>
        </w:rPr>
      </w:pPr>
    </w:p>
    <w:p w14:paraId="7A8121AD" w14:textId="4CAD8D7B" w:rsidR="00AE57E7" w:rsidRPr="00511005" w:rsidRDefault="007B2628" w:rsidP="007B2628">
      <w:pPr>
        <w:spacing w:line="264" w:lineRule="auto"/>
        <w:ind w:firstLine="0"/>
        <w:jc w:val="center"/>
        <w:rPr>
          <w:rFonts w:ascii="Arial" w:eastAsia="Calibri" w:hAnsi="Arial" w:cs="Arial"/>
          <w:b/>
          <w:szCs w:val="28"/>
        </w:rPr>
      </w:pPr>
      <w:r w:rsidRPr="00511005">
        <w:rPr>
          <w:rFonts w:ascii="Arial" w:eastAsia="Calibri" w:hAnsi="Arial" w:cs="Arial"/>
          <w:b/>
          <w:szCs w:val="28"/>
          <w:lang w:val="uk-UA"/>
        </w:rPr>
        <w:t>Список використаних джерел</w:t>
      </w:r>
    </w:p>
    <w:p w14:paraId="46F5F3A4" w14:textId="77777777" w:rsidR="00AE57E7" w:rsidRPr="00511005" w:rsidRDefault="00AE57E7" w:rsidP="003F6A5D">
      <w:pPr>
        <w:numPr>
          <w:ilvl w:val="0"/>
          <w:numId w:val="777"/>
        </w:numPr>
        <w:pBdr>
          <w:top w:val="nil"/>
          <w:left w:val="nil"/>
          <w:bottom w:val="nil"/>
          <w:right w:val="nil"/>
          <w:between w:val="nil"/>
        </w:pBdr>
        <w:spacing w:line="264" w:lineRule="auto"/>
        <w:ind w:left="0" w:firstLine="709"/>
        <w:jc w:val="left"/>
        <w:rPr>
          <w:rFonts w:ascii="Arial" w:eastAsia="Calibri" w:hAnsi="Arial" w:cs="Arial"/>
          <w:szCs w:val="28"/>
        </w:rPr>
      </w:pPr>
      <w:r w:rsidRPr="00511005">
        <w:rPr>
          <w:rFonts w:ascii="Arial" w:eastAsia="Calibri" w:hAnsi="Arial" w:cs="Arial"/>
          <w:szCs w:val="28"/>
        </w:rPr>
        <w:t>Степаненко О., Волошина В., Медвідь Н. Інтернет-лінгвістика як новий напрям у мовознавстві</w:t>
      </w:r>
      <w:r w:rsidRPr="00511005">
        <w:rPr>
          <w:rFonts w:ascii="Arial" w:eastAsia="Calibri" w:hAnsi="Arial" w:cs="Arial"/>
          <w:i/>
          <w:szCs w:val="28"/>
        </w:rPr>
        <w:t>. Вісник науки та освіти.</w:t>
      </w:r>
      <w:r w:rsidRPr="00511005">
        <w:rPr>
          <w:rFonts w:ascii="Arial" w:eastAsia="Calibri" w:hAnsi="Arial" w:cs="Arial"/>
          <w:szCs w:val="28"/>
        </w:rPr>
        <w:t xml:space="preserve"> 2023. № 4 (10). С. 181–191.</w:t>
      </w:r>
    </w:p>
    <w:p w14:paraId="6490B5EA" w14:textId="77777777" w:rsidR="00AE57E7" w:rsidRPr="00511005" w:rsidRDefault="00AE57E7" w:rsidP="003F6A5D">
      <w:pPr>
        <w:numPr>
          <w:ilvl w:val="0"/>
          <w:numId w:val="777"/>
        </w:numPr>
        <w:pBdr>
          <w:top w:val="nil"/>
          <w:left w:val="nil"/>
          <w:bottom w:val="nil"/>
          <w:right w:val="nil"/>
          <w:between w:val="nil"/>
        </w:pBdr>
        <w:spacing w:line="264" w:lineRule="auto"/>
        <w:ind w:left="0" w:firstLine="709"/>
        <w:jc w:val="left"/>
        <w:rPr>
          <w:rFonts w:ascii="Arial" w:eastAsia="Calibri" w:hAnsi="Arial" w:cs="Arial"/>
          <w:szCs w:val="28"/>
        </w:rPr>
      </w:pPr>
      <w:r w:rsidRPr="00511005">
        <w:rPr>
          <w:rFonts w:ascii="Arial" w:eastAsia="Calibri" w:hAnsi="Arial" w:cs="Arial"/>
          <w:szCs w:val="28"/>
        </w:rPr>
        <w:t xml:space="preserve">Демешко І. М., Величко В. А., Олексієнко А. В. Вплив штучного інтелекту на розвиток лінгвістичних досліджень: нові підходи та виклики. </w:t>
      </w:r>
      <w:r w:rsidRPr="00511005">
        <w:rPr>
          <w:rFonts w:ascii="Arial" w:eastAsia="Calibri" w:hAnsi="Arial" w:cs="Arial"/>
          <w:i/>
          <w:szCs w:val="28"/>
        </w:rPr>
        <w:t>Закарпатські філологічні студії.</w:t>
      </w:r>
      <w:r w:rsidRPr="00511005">
        <w:rPr>
          <w:rFonts w:ascii="Arial" w:eastAsia="Calibri" w:hAnsi="Arial" w:cs="Arial"/>
          <w:szCs w:val="28"/>
        </w:rPr>
        <w:t xml:space="preserve"> 2024. Т. 1, № 33. С. 37–41.</w:t>
      </w:r>
    </w:p>
    <w:p w14:paraId="1E9FBBF5" w14:textId="77777777" w:rsidR="00AE57E7" w:rsidRPr="00511005" w:rsidRDefault="00AE57E7" w:rsidP="003F6A5D">
      <w:pPr>
        <w:numPr>
          <w:ilvl w:val="0"/>
          <w:numId w:val="777"/>
        </w:numPr>
        <w:pBdr>
          <w:top w:val="nil"/>
          <w:left w:val="nil"/>
          <w:bottom w:val="nil"/>
          <w:right w:val="nil"/>
          <w:between w:val="nil"/>
        </w:pBdr>
        <w:spacing w:line="264" w:lineRule="auto"/>
        <w:ind w:left="0" w:firstLine="709"/>
        <w:jc w:val="left"/>
        <w:rPr>
          <w:rFonts w:ascii="Arial" w:eastAsia="Calibri" w:hAnsi="Arial" w:cs="Arial"/>
          <w:szCs w:val="28"/>
          <w:lang w:val="en-US"/>
        </w:rPr>
      </w:pPr>
      <w:r w:rsidRPr="00511005">
        <w:rPr>
          <w:rFonts w:ascii="Arial" w:eastAsia="Calibri" w:hAnsi="Arial" w:cs="Arial"/>
          <w:szCs w:val="28"/>
          <w:lang w:val="en-US"/>
        </w:rPr>
        <w:t>Jurafsky D. How AI is changing our understanding of language. </w:t>
      </w:r>
      <w:r w:rsidRPr="00511005">
        <w:rPr>
          <w:rFonts w:ascii="Arial" w:eastAsia="Calibri" w:hAnsi="Arial" w:cs="Arial"/>
          <w:i/>
          <w:iCs/>
          <w:szCs w:val="28"/>
          <w:lang w:val="en-US"/>
        </w:rPr>
        <w:t>Stanford HAI</w:t>
      </w:r>
      <w:r w:rsidRPr="00511005">
        <w:rPr>
          <w:rFonts w:ascii="Arial" w:eastAsia="Calibri" w:hAnsi="Arial" w:cs="Arial"/>
          <w:szCs w:val="28"/>
          <w:lang w:val="en-US"/>
        </w:rPr>
        <w:t>. URL: </w:t>
      </w:r>
      <w:hyperlink r:id="rId2521" w:tgtFrame="_blank" w:history="1">
        <w:r w:rsidRPr="00511005">
          <w:rPr>
            <w:rFonts w:ascii="Arial" w:eastAsia="Calibri" w:hAnsi="Arial" w:cs="Arial"/>
            <w:szCs w:val="28"/>
            <w:lang w:val="en-US"/>
          </w:rPr>
          <w:t>https://hai.stanford.edu/news/how-ai-changing-our-understanding-language</w:t>
        </w:r>
      </w:hyperlink>
      <w:r w:rsidRPr="00511005">
        <w:rPr>
          <w:rFonts w:ascii="Arial" w:eastAsia="Calibri" w:hAnsi="Arial" w:cs="Arial"/>
          <w:szCs w:val="28"/>
          <w:lang w:val="en-US"/>
        </w:rPr>
        <w:t> (date of access: 02.11.2024).</w:t>
      </w:r>
    </w:p>
    <w:p w14:paraId="70FA79B2" w14:textId="77777777" w:rsidR="00AE57E7" w:rsidRPr="00511005" w:rsidRDefault="00AE57E7" w:rsidP="003F6A5D">
      <w:pPr>
        <w:numPr>
          <w:ilvl w:val="0"/>
          <w:numId w:val="777"/>
        </w:numPr>
        <w:pBdr>
          <w:top w:val="nil"/>
          <w:left w:val="nil"/>
          <w:bottom w:val="nil"/>
          <w:right w:val="nil"/>
          <w:between w:val="nil"/>
        </w:pBdr>
        <w:spacing w:line="264" w:lineRule="auto"/>
        <w:ind w:left="0" w:firstLine="709"/>
        <w:jc w:val="left"/>
        <w:rPr>
          <w:rFonts w:ascii="Arial" w:eastAsia="Calibri" w:hAnsi="Arial" w:cs="Arial"/>
          <w:szCs w:val="28"/>
        </w:rPr>
      </w:pPr>
      <w:r w:rsidRPr="00511005">
        <w:rPr>
          <w:rFonts w:ascii="Arial" w:eastAsia="Calibri" w:hAnsi="Arial" w:cs="Arial"/>
          <w:szCs w:val="28"/>
          <w:lang w:val="en-US"/>
        </w:rPr>
        <w:t xml:space="preserve">The Impact of Artificial Intelligence on Language Translation: A Review / Y. A. Mohamed et al. </w:t>
      </w:r>
      <w:r w:rsidRPr="00511005">
        <w:rPr>
          <w:rFonts w:ascii="Arial" w:eastAsia="Calibri" w:hAnsi="Arial" w:cs="Arial"/>
          <w:szCs w:val="28"/>
        </w:rPr>
        <w:t xml:space="preserve">IEEE Access. 2024. Vol. 12. P. 25553–25579. URL: </w:t>
      </w:r>
      <w:hyperlink r:id="rId2522" w:history="1">
        <w:r w:rsidRPr="00511005">
          <w:rPr>
            <w:rFonts w:ascii="Arial" w:eastAsia="Calibri" w:hAnsi="Arial" w:cs="Arial"/>
            <w:szCs w:val="28"/>
          </w:rPr>
          <w:t>https://doi.org/10.1109/ACCESS.2024.3366802</w:t>
        </w:r>
      </w:hyperlink>
      <w:r w:rsidRPr="00511005">
        <w:rPr>
          <w:rFonts w:ascii="Arial" w:eastAsia="Calibri" w:hAnsi="Arial" w:cs="Arial"/>
          <w:szCs w:val="28"/>
        </w:rPr>
        <w:t>.</w:t>
      </w:r>
    </w:p>
    <w:p w14:paraId="541B9DBF" w14:textId="77777777" w:rsidR="00AE57E7" w:rsidRPr="00511005" w:rsidRDefault="00AE57E7" w:rsidP="003F6A5D">
      <w:pPr>
        <w:numPr>
          <w:ilvl w:val="0"/>
          <w:numId w:val="777"/>
        </w:numPr>
        <w:pBdr>
          <w:top w:val="nil"/>
          <w:left w:val="nil"/>
          <w:bottom w:val="nil"/>
          <w:right w:val="nil"/>
          <w:between w:val="nil"/>
        </w:pBdr>
        <w:spacing w:line="264" w:lineRule="auto"/>
        <w:ind w:left="0" w:firstLine="709"/>
        <w:jc w:val="left"/>
        <w:rPr>
          <w:rFonts w:ascii="Arial" w:eastAsia="Calibri" w:hAnsi="Arial" w:cs="Arial"/>
          <w:szCs w:val="28"/>
        </w:rPr>
      </w:pPr>
      <w:r w:rsidRPr="00511005">
        <w:rPr>
          <w:rFonts w:ascii="Arial" w:eastAsia="Calibri" w:hAnsi="Arial" w:cs="Arial"/>
          <w:szCs w:val="28"/>
        </w:rPr>
        <w:t>Литвин</w:t>
      </w:r>
      <w:r w:rsidRPr="00511005">
        <w:rPr>
          <w:rFonts w:ascii="Arial" w:eastAsia="Calibri" w:hAnsi="Arial" w:cs="Arial"/>
          <w:szCs w:val="28"/>
          <w:lang w:val="en-US"/>
        </w:rPr>
        <w:t xml:space="preserve"> </w:t>
      </w:r>
      <w:r w:rsidRPr="00511005">
        <w:rPr>
          <w:rFonts w:ascii="Arial" w:eastAsia="Calibri" w:hAnsi="Arial" w:cs="Arial"/>
          <w:szCs w:val="28"/>
        </w:rPr>
        <w:t>С</w:t>
      </w:r>
      <w:r w:rsidRPr="00511005">
        <w:rPr>
          <w:rFonts w:ascii="Arial" w:eastAsia="Calibri" w:hAnsi="Arial" w:cs="Arial"/>
          <w:szCs w:val="28"/>
          <w:lang w:val="en-US"/>
        </w:rPr>
        <w:t xml:space="preserve">., </w:t>
      </w:r>
      <w:r w:rsidRPr="00511005">
        <w:rPr>
          <w:rFonts w:ascii="Arial" w:eastAsia="Calibri" w:hAnsi="Arial" w:cs="Arial"/>
          <w:szCs w:val="28"/>
        </w:rPr>
        <w:t>Сікалюк</w:t>
      </w:r>
      <w:r w:rsidRPr="00511005">
        <w:rPr>
          <w:rFonts w:ascii="Arial" w:eastAsia="Calibri" w:hAnsi="Arial" w:cs="Arial"/>
          <w:szCs w:val="28"/>
          <w:lang w:val="en-US"/>
        </w:rPr>
        <w:t xml:space="preserve"> </w:t>
      </w:r>
      <w:r w:rsidRPr="00511005">
        <w:rPr>
          <w:rFonts w:ascii="Arial" w:eastAsia="Calibri" w:hAnsi="Arial" w:cs="Arial"/>
          <w:szCs w:val="28"/>
        </w:rPr>
        <w:t>А</w:t>
      </w:r>
      <w:r w:rsidRPr="00511005">
        <w:rPr>
          <w:rFonts w:ascii="Arial" w:eastAsia="Calibri" w:hAnsi="Arial" w:cs="Arial"/>
          <w:szCs w:val="28"/>
          <w:lang w:val="en-US"/>
        </w:rPr>
        <w:t xml:space="preserve">., </w:t>
      </w:r>
      <w:r w:rsidRPr="00511005">
        <w:rPr>
          <w:rFonts w:ascii="Arial" w:eastAsia="Calibri" w:hAnsi="Arial" w:cs="Arial"/>
          <w:szCs w:val="28"/>
        </w:rPr>
        <w:t>Пермінова</w:t>
      </w:r>
      <w:r w:rsidRPr="00511005">
        <w:rPr>
          <w:rFonts w:ascii="Arial" w:eastAsia="Calibri" w:hAnsi="Arial" w:cs="Arial"/>
          <w:szCs w:val="28"/>
          <w:lang w:val="en-US"/>
        </w:rPr>
        <w:t xml:space="preserve"> </w:t>
      </w:r>
      <w:r w:rsidRPr="00511005">
        <w:rPr>
          <w:rFonts w:ascii="Arial" w:eastAsia="Calibri" w:hAnsi="Arial" w:cs="Arial"/>
          <w:szCs w:val="28"/>
        </w:rPr>
        <w:t>В</w:t>
      </w:r>
      <w:r w:rsidRPr="00511005">
        <w:rPr>
          <w:rFonts w:ascii="Arial" w:eastAsia="Calibri" w:hAnsi="Arial" w:cs="Arial"/>
          <w:szCs w:val="28"/>
          <w:lang w:val="en-US"/>
        </w:rPr>
        <w:t xml:space="preserve">. New trends in philology: internet-linguistics. </w:t>
      </w:r>
      <w:r w:rsidRPr="00511005">
        <w:rPr>
          <w:rFonts w:ascii="Arial" w:eastAsia="Calibri" w:hAnsi="Arial" w:cs="Arial"/>
          <w:i/>
          <w:szCs w:val="28"/>
        </w:rPr>
        <w:t>Вісник науки та освіти.</w:t>
      </w:r>
      <w:r w:rsidRPr="00511005">
        <w:rPr>
          <w:rFonts w:ascii="Arial" w:eastAsia="Calibri" w:hAnsi="Arial" w:cs="Arial"/>
          <w:szCs w:val="28"/>
        </w:rPr>
        <w:t xml:space="preserve"> 2023. No. 1 (7). P. 54–63.</w:t>
      </w:r>
    </w:p>
    <w:p w14:paraId="427F7A6F" w14:textId="77777777" w:rsidR="00AE57E7" w:rsidRPr="00511005" w:rsidRDefault="00AE57E7" w:rsidP="003A292D">
      <w:pPr>
        <w:pBdr>
          <w:top w:val="nil"/>
          <w:left w:val="nil"/>
          <w:bottom w:val="nil"/>
          <w:right w:val="nil"/>
          <w:between w:val="nil"/>
        </w:pBdr>
        <w:spacing w:line="264" w:lineRule="auto"/>
        <w:ind w:firstLine="0"/>
        <w:rPr>
          <w:rFonts w:ascii="Arial" w:eastAsia="Calibri" w:hAnsi="Arial" w:cs="Arial"/>
          <w:szCs w:val="28"/>
        </w:rPr>
      </w:pPr>
    </w:p>
    <w:p w14:paraId="2F88CA32" w14:textId="5A2D0AD9" w:rsidR="00AE57E7" w:rsidRPr="00511005" w:rsidRDefault="007B2628" w:rsidP="003A292D">
      <w:pPr>
        <w:spacing w:line="264" w:lineRule="auto"/>
        <w:ind w:firstLine="0"/>
        <w:rPr>
          <w:rFonts w:ascii="Arial" w:eastAsia="Calibri" w:hAnsi="Arial" w:cs="Arial"/>
          <w:szCs w:val="28"/>
        </w:rPr>
      </w:pPr>
      <w:r w:rsidRPr="00511005">
        <w:rPr>
          <w:rFonts w:ascii="Arial" w:eastAsia="Calibri" w:hAnsi="Arial" w:cs="Arial"/>
          <w:b/>
          <w:i/>
          <w:szCs w:val="28"/>
        </w:rPr>
        <w:t xml:space="preserve">Ключові слова: </w:t>
      </w:r>
      <w:r w:rsidR="00AE57E7" w:rsidRPr="00511005">
        <w:rPr>
          <w:rFonts w:ascii="Arial" w:eastAsia="Calibri" w:hAnsi="Arial" w:cs="Arial"/>
          <w:szCs w:val="28"/>
        </w:rPr>
        <w:t>інтернет-лінгвістика, штучний інтелект, текст, стиль, комунікація.</w:t>
      </w:r>
    </w:p>
    <w:p w14:paraId="2DC199C9" w14:textId="52B53A06" w:rsidR="00AE57E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Internet linguistics, artificial intelligence, text, style, communication.</w:t>
      </w:r>
    </w:p>
    <w:p w14:paraId="773581A4" w14:textId="73BA87B0" w:rsidR="00AE57E7" w:rsidRPr="00511005" w:rsidRDefault="007B2628" w:rsidP="003A292D">
      <w:pPr>
        <w:spacing w:line="264" w:lineRule="auto"/>
        <w:ind w:firstLine="0"/>
        <w:rPr>
          <w:rFonts w:ascii="Arial" w:eastAsia="Calibri" w:hAnsi="Arial" w:cs="Arial"/>
          <w:iCs/>
          <w:kern w:val="2"/>
          <w:szCs w:val="28"/>
        </w:rPr>
      </w:pPr>
      <w:r w:rsidRPr="00511005">
        <w:rPr>
          <w:rFonts w:ascii="Arial" w:eastAsia="Calibri" w:hAnsi="Arial" w:cs="Arial"/>
          <w:b/>
          <w:i/>
          <w:szCs w:val="28"/>
        </w:rPr>
        <w:t xml:space="preserve">Науковий керівник: </w:t>
      </w:r>
      <w:r w:rsidR="00AE57E7" w:rsidRPr="00511005">
        <w:rPr>
          <w:rFonts w:ascii="Arial" w:eastAsia="Calibri" w:hAnsi="Arial" w:cs="Arial"/>
          <w:iCs/>
          <w:szCs w:val="28"/>
        </w:rPr>
        <w:t>к. філол. наук, доцент Назаренко О. М.</w:t>
      </w:r>
    </w:p>
    <w:p w14:paraId="5ABB77AC" w14:textId="77777777" w:rsidR="00AE57E7" w:rsidRPr="00511005" w:rsidRDefault="00AE57E7" w:rsidP="003A292D">
      <w:pPr>
        <w:spacing w:line="264" w:lineRule="auto"/>
        <w:ind w:firstLine="0"/>
        <w:jc w:val="left"/>
        <w:rPr>
          <w:rFonts w:ascii="Arial" w:eastAsia="Times New Roman" w:hAnsi="Arial" w:cs="Arial"/>
          <w:szCs w:val="28"/>
          <w:lang w:val="uk-UA" w:eastAsia="ru-RU"/>
        </w:rPr>
      </w:pPr>
    </w:p>
    <w:p w14:paraId="2EB4AF76" w14:textId="77777777" w:rsidR="00896853" w:rsidRPr="00511005" w:rsidRDefault="00896853">
      <w:pPr>
        <w:spacing w:after="200" w:line="276" w:lineRule="auto"/>
        <w:ind w:firstLine="0"/>
        <w:jc w:val="left"/>
        <w:rPr>
          <w:rFonts w:ascii="Arial" w:eastAsia="Calibri" w:hAnsi="Arial" w:cs="Arial"/>
          <w:b/>
          <w:i/>
          <w:szCs w:val="28"/>
        </w:rPr>
      </w:pPr>
      <w:r w:rsidRPr="00511005">
        <w:rPr>
          <w:rFonts w:ascii="Arial" w:eastAsia="Calibri" w:hAnsi="Arial" w:cs="Arial"/>
          <w:b/>
          <w:i/>
          <w:szCs w:val="28"/>
        </w:rPr>
        <w:br w:type="page"/>
      </w:r>
    </w:p>
    <w:p w14:paraId="7E7DEC0C" w14:textId="4B5C4AF6" w:rsidR="00AE57E7" w:rsidRPr="00511005" w:rsidRDefault="00AE57E7" w:rsidP="003A292D">
      <w:pPr>
        <w:spacing w:line="264" w:lineRule="auto"/>
        <w:ind w:right="-2" w:firstLine="0"/>
        <w:jc w:val="center"/>
        <w:rPr>
          <w:rFonts w:ascii="Arial" w:eastAsia="Calibri" w:hAnsi="Arial" w:cs="Arial"/>
          <w:b/>
          <w:i/>
          <w:szCs w:val="28"/>
          <w:lang w:val="uk-UA"/>
        </w:rPr>
      </w:pPr>
      <w:r w:rsidRPr="00511005">
        <w:rPr>
          <w:rFonts w:ascii="Arial" w:eastAsia="Calibri" w:hAnsi="Arial" w:cs="Arial"/>
          <w:b/>
          <w:i/>
          <w:szCs w:val="28"/>
        </w:rPr>
        <w:lastRenderedPageBreak/>
        <w:t>Толок Катерин</w:t>
      </w:r>
      <w:r w:rsidRPr="00511005">
        <w:rPr>
          <w:rFonts w:ascii="Arial" w:eastAsia="Calibri" w:hAnsi="Arial" w:cs="Arial"/>
          <w:b/>
          <w:i/>
          <w:szCs w:val="28"/>
          <w:lang w:val="uk-UA"/>
        </w:rPr>
        <w:t>а</w:t>
      </w:r>
      <w:r w:rsidRPr="00511005">
        <w:rPr>
          <w:rFonts w:ascii="Arial" w:eastAsia="Calibri" w:hAnsi="Arial" w:cs="Arial"/>
          <w:b/>
          <w:i/>
          <w:szCs w:val="28"/>
        </w:rPr>
        <w:t xml:space="preserve"> Юріївн</w:t>
      </w:r>
      <w:r w:rsidRPr="00511005">
        <w:rPr>
          <w:rFonts w:ascii="Arial" w:eastAsia="Calibri" w:hAnsi="Arial" w:cs="Arial"/>
          <w:b/>
          <w:i/>
          <w:szCs w:val="28"/>
          <w:lang w:val="uk-UA"/>
        </w:rPr>
        <w:t>а</w:t>
      </w:r>
    </w:p>
    <w:p w14:paraId="3FD59021" w14:textId="170F378B" w:rsidR="00AE57E7" w:rsidRPr="00511005" w:rsidRDefault="00536AAB" w:rsidP="003A292D">
      <w:pPr>
        <w:spacing w:line="264" w:lineRule="auto"/>
        <w:ind w:right="-2" w:firstLine="0"/>
        <w:jc w:val="center"/>
        <w:rPr>
          <w:rFonts w:ascii="Arial" w:eastAsia="Calibri" w:hAnsi="Arial" w:cs="Arial"/>
          <w:szCs w:val="28"/>
          <w:lang w:val="uk-UA"/>
        </w:rPr>
      </w:pPr>
      <w:bookmarkStart w:id="319" w:name="_wq9jsq7csa7v" w:colFirst="0" w:colLast="0"/>
      <w:bookmarkEnd w:id="319"/>
      <w:r w:rsidRPr="00511005">
        <w:rPr>
          <w:rFonts w:ascii="Arial" w:eastAsia="Calibri" w:hAnsi="Arial" w:cs="Arial"/>
          <w:szCs w:val="28"/>
          <w:lang w:val="uk-UA"/>
        </w:rPr>
        <w:t xml:space="preserve">студентка 2-го курсу </w:t>
      </w:r>
      <w:r w:rsidRPr="00511005">
        <w:rPr>
          <w:rFonts w:ascii="Arial" w:eastAsia="Calibri" w:hAnsi="Arial" w:cs="Arial"/>
          <w:szCs w:val="28"/>
        </w:rPr>
        <w:t>факультету журналістики</w:t>
      </w:r>
      <w:r w:rsidR="00AE57E7" w:rsidRPr="00511005">
        <w:rPr>
          <w:rFonts w:ascii="Arial" w:eastAsia="Calibri" w:hAnsi="Arial" w:cs="Arial"/>
          <w:szCs w:val="28"/>
        </w:rPr>
        <w:t xml:space="preserve"> </w:t>
      </w:r>
    </w:p>
    <w:p w14:paraId="7F0720EB" w14:textId="0C8EB35C" w:rsidR="00AE57E7" w:rsidRPr="00511005" w:rsidRDefault="007B2628" w:rsidP="003A292D">
      <w:pPr>
        <w:spacing w:line="264" w:lineRule="auto"/>
        <w:ind w:right="-2" w:firstLine="0"/>
        <w:jc w:val="center"/>
        <w:rPr>
          <w:rFonts w:ascii="Arial" w:eastAsia="Calibri" w:hAnsi="Arial" w:cs="Arial"/>
          <w:szCs w:val="28"/>
          <w:lang w:val="uk-UA"/>
        </w:rPr>
      </w:pPr>
      <w:r w:rsidRPr="00511005">
        <w:rPr>
          <w:rFonts w:ascii="Arial" w:eastAsia="Calibri" w:hAnsi="Arial" w:cs="Arial"/>
          <w:szCs w:val="28"/>
        </w:rPr>
        <w:t>Національного університету «Одеська юридична академія»</w:t>
      </w:r>
    </w:p>
    <w:p w14:paraId="4F86DCE5" w14:textId="59522E04" w:rsidR="00AE57E7" w:rsidRPr="00511005" w:rsidRDefault="00AE57E7" w:rsidP="003A292D">
      <w:pPr>
        <w:spacing w:line="264" w:lineRule="auto"/>
        <w:ind w:right="1733" w:firstLine="0"/>
        <w:jc w:val="center"/>
        <w:rPr>
          <w:rFonts w:ascii="Arial" w:eastAsia="Calibri" w:hAnsi="Arial" w:cs="Arial"/>
          <w:szCs w:val="28"/>
          <w:lang w:val="uk-UA"/>
        </w:rPr>
      </w:pPr>
    </w:p>
    <w:p w14:paraId="40BC289E" w14:textId="0B716303" w:rsidR="003510C8" w:rsidRPr="00511005" w:rsidRDefault="003510C8" w:rsidP="003510C8">
      <w:pPr>
        <w:spacing w:line="264" w:lineRule="auto"/>
        <w:ind w:right="5" w:firstLine="0"/>
        <w:jc w:val="center"/>
        <w:rPr>
          <w:rFonts w:ascii="Arial" w:eastAsia="Calibri" w:hAnsi="Arial" w:cs="Arial"/>
          <w:b/>
          <w:szCs w:val="28"/>
          <w:lang w:val="uk-UA"/>
        </w:rPr>
      </w:pPr>
      <w:r w:rsidRPr="00511005">
        <w:rPr>
          <w:rFonts w:ascii="Arial" w:eastAsia="Arial" w:hAnsi="Arial" w:cs="Arial"/>
          <w:b/>
          <w:szCs w:val="28"/>
          <w:shd w:val="clear" w:color="auto" w:fill="FFFFFF"/>
          <w:lang w:eastAsia="ru-RU"/>
        </w:rPr>
        <w:t>СТРАТЕГІЇ ПОПУЛЯРИЗАЦІЇ УКРАЇНСЬКОЇ МОВИ В СОЦІАЛЬНІЙ РЕКЛАМІ (НА ПРИКЛАДІ РОЛИКА ХРИСТИНИ ДАНИЛОВОЇ)</w:t>
      </w:r>
    </w:p>
    <w:p w14:paraId="1F157446"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Мова є не лише інструментом комунікації, але й ключовим елементом формування індивідуальної та колективної ідентичності. Вона структурує мислення, визначає способи вираження емоцій і думок, а також виступає носієм культурних кодів, історичної пам’яті та національних цінностей. У контексті сучасної України, де питання мовної ідентичності набуває особливого значення через історичні, політичні та соціокультурні трансформації, соціальна реклама стає важливим інструментом популяризації української мови. Такі рекламні кампанії спрямовані на зміцнення національної свідомості, формування позитивного ставлення до рідної мови та стимулювання її активного використання в повсякденному житті.</w:t>
      </w:r>
    </w:p>
    <w:p w14:paraId="151A5BA7"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 xml:space="preserve">Вибір для аналізу соціальної реклами </w:t>
      </w:r>
      <w:r w:rsidRPr="00511005">
        <w:rPr>
          <w:rFonts w:ascii="Arial" w:eastAsia="Calibri" w:hAnsi="Arial" w:cs="Arial"/>
          <w:szCs w:val="28"/>
          <w:lang w:val="uk-UA"/>
        </w:rPr>
        <w:t>«</w:t>
      </w:r>
      <w:r w:rsidRPr="00511005">
        <w:rPr>
          <w:rFonts w:ascii="Arial" w:eastAsia="Calibri" w:hAnsi="Arial" w:cs="Arial"/>
          <w:szCs w:val="28"/>
        </w:rPr>
        <w:t>Соціальна реклама про українську мову (2011)</w:t>
      </w:r>
      <w:r w:rsidRPr="00511005">
        <w:rPr>
          <w:rFonts w:ascii="Arial" w:eastAsia="Calibri" w:hAnsi="Arial" w:cs="Arial"/>
          <w:szCs w:val="28"/>
          <w:lang w:val="uk-UA"/>
        </w:rPr>
        <w:t xml:space="preserve">» </w:t>
      </w:r>
      <w:r w:rsidRPr="00511005">
        <w:rPr>
          <w:rFonts w:ascii="Arial" w:eastAsia="Calibri" w:hAnsi="Arial" w:cs="Arial"/>
          <w:szCs w:val="28"/>
        </w:rPr>
        <w:t xml:space="preserve">[1], створеної режисеркою Христиною Даниловою, зумовлений кількома факторами. По-перше, цей відеоролик, презентований у 2011 році, отримав значний резонанс у соціальних мережах і досі залишається актуальним, що свідчить про його тривалий вплив на аудиторію. </w:t>
      </w:r>
      <w:proofErr w:type="gramStart"/>
      <w:r w:rsidRPr="00511005">
        <w:rPr>
          <w:rFonts w:ascii="Arial" w:eastAsia="Calibri" w:hAnsi="Arial" w:cs="Arial"/>
          <w:szCs w:val="28"/>
        </w:rPr>
        <w:t>По-друге</w:t>
      </w:r>
      <w:proofErr w:type="gramEnd"/>
      <w:r w:rsidRPr="00511005">
        <w:rPr>
          <w:rFonts w:ascii="Arial" w:eastAsia="Calibri" w:hAnsi="Arial" w:cs="Arial"/>
          <w:szCs w:val="28"/>
        </w:rPr>
        <w:t xml:space="preserve">, реклама використовує оригінальний підхід, залучаючи іноземців для оцінки української мови, що додає об’єктивності та посилює її переконливість. По-третє, ролик є прикладом лаконічного, але ефективного використання риторичних і комунікативних стратегій, що робить його цікавим об’єктом для дискурс-аналізу. У цій роботі ми прагнемо дослідити, як </w:t>
      </w:r>
      <w:r w:rsidRPr="00511005">
        <w:rPr>
          <w:rFonts w:ascii="Arial" w:eastAsia="Calibri" w:hAnsi="Arial" w:cs="Arial"/>
          <w:szCs w:val="28"/>
          <w:lang w:val="uk-UA"/>
        </w:rPr>
        <w:t>ця</w:t>
      </w:r>
      <w:r w:rsidRPr="00511005">
        <w:rPr>
          <w:rFonts w:ascii="Arial" w:eastAsia="Calibri" w:hAnsi="Arial" w:cs="Arial"/>
          <w:szCs w:val="28"/>
        </w:rPr>
        <w:t xml:space="preserve"> соціальна реклама формує позитивне ставлення до української мови, які стратегії переконання застосовуються, і наскільки успішно досягається її комунікативна мета.</w:t>
      </w:r>
    </w:p>
    <w:p w14:paraId="2F3ACE51"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 xml:space="preserve">Соціальна реклама </w:t>
      </w:r>
      <w:r w:rsidRPr="00511005">
        <w:rPr>
          <w:rFonts w:ascii="Arial" w:eastAsia="Calibri" w:hAnsi="Arial" w:cs="Arial"/>
          <w:szCs w:val="28"/>
          <w:lang w:val="uk-UA"/>
        </w:rPr>
        <w:t>«</w:t>
      </w:r>
      <w:r w:rsidRPr="00511005">
        <w:rPr>
          <w:rFonts w:ascii="Arial" w:eastAsia="Calibri" w:hAnsi="Arial" w:cs="Arial"/>
          <w:szCs w:val="28"/>
        </w:rPr>
        <w:t>Соціальна реклама про українську мову</w:t>
      </w:r>
      <w:r w:rsidRPr="00511005">
        <w:rPr>
          <w:rFonts w:ascii="Arial" w:eastAsia="Calibri" w:hAnsi="Arial" w:cs="Arial"/>
          <w:szCs w:val="28"/>
          <w:lang w:val="uk-UA"/>
        </w:rPr>
        <w:t>»</w:t>
      </w:r>
      <w:r w:rsidRPr="00511005">
        <w:rPr>
          <w:rFonts w:ascii="Arial" w:eastAsia="Calibri" w:hAnsi="Arial" w:cs="Arial"/>
          <w:szCs w:val="28"/>
        </w:rPr>
        <w:t xml:space="preserve"> була створена у 2011 році Христиною Даниловою, на той час випускницею Київського національного університету театру, кіно і телебачення імені І.К. Карпенка-Карого. Відеоролик, присвячений темі </w:t>
      </w:r>
      <w:r w:rsidRPr="00511005">
        <w:rPr>
          <w:rFonts w:ascii="Arial" w:eastAsia="Calibri" w:hAnsi="Arial" w:cs="Arial"/>
          <w:szCs w:val="28"/>
          <w:lang w:val="uk-UA"/>
        </w:rPr>
        <w:t>«</w:t>
      </w:r>
      <w:r w:rsidRPr="00511005">
        <w:rPr>
          <w:rFonts w:ascii="Arial" w:eastAsia="Calibri" w:hAnsi="Arial" w:cs="Arial"/>
          <w:szCs w:val="28"/>
        </w:rPr>
        <w:t>Яка гарна українська мова</w:t>
      </w:r>
      <w:r w:rsidRPr="00511005">
        <w:rPr>
          <w:rFonts w:ascii="Arial" w:eastAsia="Calibri" w:hAnsi="Arial" w:cs="Arial"/>
          <w:szCs w:val="28"/>
          <w:lang w:val="uk-UA"/>
        </w:rPr>
        <w:t>»</w:t>
      </w:r>
      <w:r w:rsidRPr="00511005">
        <w:rPr>
          <w:rFonts w:ascii="Arial" w:eastAsia="Calibri" w:hAnsi="Arial" w:cs="Arial"/>
          <w:szCs w:val="28"/>
        </w:rPr>
        <w:t xml:space="preserve">, швидко набув популярності в соціальних мережах і періодично з’являється в рекомендаціях на платформах, таких як YouTube. За сюжетом, молоді люди різних національностей — Франк (гвінеєць), Чао (китаєць), Андрес (швед) і Тігран (вірмен) — висловлюють захоплення українською мовою, описуючи її як </w:t>
      </w:r>
      <w:r w:rsidRPr="00511005">
        <w:rPr>
          <w:rFonts w:ascii="Arial" w:eastAsia="Calibri" w:hAnsi="Arial" w:cs="Arial"/>
          <w:szCs w:val="28"/>
          <w:lang w:val="uk-UA"/>
        </w:rPr>
        <w:t>«</w:t>
      </w:r>
      <w:r w:rsidRPr="00511005">
        <w:rPr>
          <w:rFonts w:ascii="Arial" w:eastAsia="Calibri" w:hAnsi="Arial" w:cs="Arial"/>
          <w:szCs w:val="28"/>
        </w:rPr>
        <w:t>милозвучну</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szCs w:val="28"/>
          <w:lang w:val="uk-UA"/>
        </w:rPr>
        <w:t>«</w:t>
      </w:r>
      <w:r w:rsidRPr="00511005">
        <w:rPr>
          <w:rFonts w:ascii="Arial" w:eastAsia="Calibri" w:hAnsi="Arial" w:cs="Arial"/>
          <w:szCs w:val="28"/>
        </w:rPr>
        <w:t>чудову</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szCs w:val="28"/>
          <w:lang w:val="uk-UA"/>
        </w:rPr>
        <w:t>«</w:t>
      </w:r>
      <w:r w:rsidRPr="00511005">
        <w:rPr>
          <w:rFonts w:ascii="Arial" w:eastAsia="Calibri" w:hAnsi="Arial" w:cs="Arial"/>
          <w:szCs w:val="28"/>
        </w:rPr>
        <w:t>захопливу</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szCs w:val="28"/>
          <w:lang w:val="uk-UA"/>
        </w:rPr>
        <w:t>«</w:t>
      </w:r>
      <w:r w:rsidRPr="00511005">
        <w:rPr>
          <w:rFonts w:ascii="Arial" w:eastAsia="Calibri" w:hAnsi="Arial" w:cs="Arial"/>
          <w:szCs w:val="28"/>
        </w:rPr>
        <w:t>таку, що дарує емоції</w:t>
      </w:r>
      <w:r w:rsidRPr="00511005">
        <w:rPr>
          <w:rFonts w:ascii="Arial" w:eastAsia="Calibri" w:hAnsi="Arial" w:cs="Arial"/>
          <w:szCs w:val="28"/>
          <w:lang w:val="uk-UA"/>
        </w:rPr>
        <w:t>»</w:t>
      </w:r>
      <w:r w:rsidRPr="00511005">
        <w:rPr>
          <w:rFonts w:ascii="Arial" w:eastAsia="Calibri" w:hAnsi="Arial" w:cs="Arial"/>
          <w:szCs w:val="28"/>
        </w:rPr>
        <w:t xml:space="preserve"> та </w:t>
      </w:r>
      <w:r w:rsidRPr="00511005">
        <w:rPr>
          <w:rFonts w:ascii="Arial" w:eastAsia="Calibri" w:hAnsi="Arial" w:cs="Arial"/>
          <w:szCs w:val="28"/>
          <w:lang w:val="uk-UA"/>
        </w:rPr>
        <w:t>«</w:t>
      </w:r>
      <w:r w:rsidRPr="00511005">
        <w:rPr>
          <w:rFonts w:ascii="Arial" w:eastAsia="Calibri" w:hAnsi="Arial" w:cs="Arial"/>
          <w:szCs w:val="28"/>
        </w:rPr>
        <w:t>невичерпну</w:t>
      </w:r>
      <w:r w:rsidRPr="00511005">
        <w:rPr>
          <w:rFonts w:ascii="Arial" w:eastAsia="Calibri" w:hAnsi="Arial" w:cs="Arial"/>
          <w:szCs w:val="28"/>
          <w:lang w:val="uk-UA"/>
        </w:rPr>
        <w:t>»</w:t>
      </w:r>
      <w:r w:rsidRPr="00511005">
        <w:rPr>
          <w:rFonts w:ascii="Arial" w:eastAsia="Calibri" w:hAnsi="Arial" w:cs="Arial"/>
          <w:szCs w:val="28"/>
        </w:rPr>
        <w:t xml:space="preserve">. Проте Христина, українка, завершує ролик риторичним запитанням: </w:t>
      </w:r>
      <w:r w:rsidRPr="00511005">
        <w:rPr>
          <w:rFonts w:ascii="Arial" w:eastAsia="Calibri" w:hAnsi="Arial" w:cs="Arial"/>
          <w:szCs w:val="28"/>
          <w:lang w:val="uk-UA"/>
        </w:rPr>
        <w:t>«</w:t>
      </w:r>
      <w:r w:rsidRPr="00511005">
        <w:rPr>
          <w:rFonts w:ascii="Arial" w:eastAsia="Calibri" w:hAnsi="Arial" w:cs="Arial"/>
          <w:szCs w:val="28"/>
        </w:rPr>
        <w:t>Чому ж ми нею не говоримо?</w:t>
      </w:r>
      <w:r w:rsidRPr="00511005">
        <w:rPr>
          <w:rFonts w:ascii="Arial" w:eastAsia="Calibri" w:hAnsi="Arial" w:cs="Arial"/>
          <w:szCs w:val="28"/>
          <w:lang w:val="uk-UA"/>
        </w:rPr>
        <w:t>»</w:t>
      </w:r>
      <w:r w:rsidRPr="00511005">
        <w:rPr>
          <w:rFonts w:ascii="Arial" w:eastAsia="Calibri" w:hAnsi="Arial" w:cs="Arial"/>
          <w:szCs w:val="28"/>
        </w:rPr>
        <w:t>, що спонукає глядачів до рефлексії.</w:t>
      </w:r>
    </w:p>
    <w:p w14:paraId="7E09B930"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lastRenderedPageBreak/>
        <w:t>Аналіз проводиться методом дискурс-</w:t>
      </w:r>
      <w:proofErr w:type="gramStart"/>
      <w:r w:rsidRPr="00511005">
        <w:rPr>
          <w:rFonts w:ascii="Arial" w:eastAsia="Calibri" w:hAnsi="Arial" w:cs="Arial"/>
          <w:szCs w:val="28"/>
        </w:rPr>
        <w:t>аналізу[</w:t>
      </w:r>
      <w:proofErr w:type="gramEnd"/>
      <w:r w:rsidRPr="00511005">
        <w:rPr>
          <w:rFonts w:ascii="Arial" w:eastAsia="Calibri" w:hAnsi="Arial" w:cs="Arial"/>
          <w:szCs w:val="28"/>
        </w:rPr>
        <w:t>3], який дозволяє дослідити, як текст (у цьому випадку відеоролик) конструює соціальну реальність і впливає на аудиторію. Ми зосереджуємося на таких аспектах: цільова аудиторія, комунікативна мета, стратегії переконання, мовні засоби, інтертекстуальність, контекст і етичні аспекти. Ці критерії допомагають розкрити механізми впливу реклами та її комунікативні особливості.</w:t>
      </w:r>
    </w:p>
    <w:p w14:paraId="56125661"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b/>
          <w:szCs w:val="28"/>
        </w:rPr>
        <w:t>Цільова аудиторія:</w:t>
      </w:r>
      <w:r w:rsidRPr="00511005">
        <w:rPr>
          <w:rFonts w:ascii="Arial" w:eastAsia="Calibri" w:hAnsi="Arial" w:cs="Arial"/>
          <w:szCs w:val="28"/>
        </w:rPr>
        <w:t xml:space="preserve"> Цільовою аудиторією реклами є широке коло громадян України, з особливим акцентом на тих, хто рідше використовує українську мову в повсякденному житті. Учасники ролика — молоді люди віком приблизно 20 років — роблять рекламу особливо привабливою для підлітків і молодих дорослих (до 30–35 років). Ця вікова група є активною в соціальних мережах, що сприяло вірусному поширенню ролика.</w:t>
      </w:r>
    </w:p>
    <w:p w14:paraId="1888AF77"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b/>
          <w:szCs w:val="28"/>
        </w:rPr>
        <w:t xml:space="preserve">Комунікативна мета: </w:t>
      </w:r>
      <w:r w:rsidRPr="00511005">
        <w:rPr>
          <w:rFonts w:ascii="Arial" w:eastAsia="Calibri" w:hAnsi="Arial" w:cs="Arial"/>
          <w:szCs w:val="28"/>
        </w:rPr>
        <w:t>Основна мета реклами — заохотити використання української мови, підкресливши її естетичну привабливість, емоційну насиченість і значення як частини національної ідентичності. Ролик прагне не лише популяризувати мову, а й викликати у глядачів почуття гордості та відповідальності за її збереження.</w:t>
      </w:r>
    </w:p>
    <w:p w14:paraId="4EC0351B"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b/>
          <w:szCs w:val="28"/>
        </w:rPr>
        <w:t>Стратегії переконання:</w:t>
      </w:r>
      <w:r w:rsidRPr="00511005">
        <w:rPr>
          <w:rFonts w:ascii="Arial" w:eastAsia="Calibri" w:hAnsi="Arial" w:cs="Arial"/>
          <w:szCs w:val="28"/>
        </w:rPr>
        <w:t xml:space="preserve"> Реклама використовує кілька риторичних стратегій:</w:t>
      </w:r>
    </w:p>
    <w:p w14:paraId="3EC23496" w14:textId="77777777" w:rsidR="00AE57E7" w:rsidRPr="00511005" w:rsidRDefault="00AE57E7" w:rsidP="003F6A5D">
      <w:pPr>
        <w:widowControl w:val="0"/>
        <w:numPr>
          <w:ilvl w:val="0"/>
          <w:numId w:val="781"/>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b/>
          <w:szCs w:val="28"/>
        </w:rPr>
        <w:t>Позитивна емоційна риторика</w:t>
      </w:r>
      <w:r w:rsidRPr="00511005">
        <w:rPr>
          <w:rFonts w:ascii="Arial" w:eastAsia="Calibri" w:hAnsi="Arial" w:cs="Arial"/>
          <w:szCs w:val="28"/>
        </w:rPr>
        <w:t>: Українська мова описується виключно в позитивному ключі через епітети (</w:t>
      </w:r>
      <w:r w:rsidRPr="00511005">
        <w:rPr>
          <w:rFonts w:ascii="Arial" w:eastAsia="Calibri" w:hAnsi="Arial" w:cs="Arial"/>
          <w:szCs w:val="28"/>
          <w:lang w:val="uk-UA"/>
        </w:rPr>
        <w:t>«</w:t>
      </w:r>
      <w:r w:rsidRPr="00511005">
        <w:rPr>
          <w:rFonts w:ascii="Arial" w:eastAsia="Calibri" w:hAnsi="Arial" w:cs="Arial"/>
          <w:szCs w:val="28"/>
        </w:rPr>
        <w:t>милозвучна</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szCs w:val="28"/>
          <w:lang w:val="uk-UA"/>
        </w:rPr>
        <w:t>«</w:t>
      </w:r>
      <w:r w:rsidRPr="00511005">
        <w:rPr>
          <w:rFonts w:ascii="Arial" w:eastAsia="Calibri" w:hAnsi="Arial" w:cs="Arial"/>
          <w:szCs w:val="28"/>
        </w:rPr>
        <w:t>чудова</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szCs w:val="28"/>
          <w:lang w:val="uk-UA"/>
        </w:rPr>
        <w:t>«</w:t>
      </w:r>
      <w:r w:rsidRPr="00511005">
        <w:rPr>
          <w:rFonts w:ascii="Arial" w:eastAsia="Calibri" w:hAnsi="Arial" w:cs="Arial"/>
          <w:szCs w:val="28"/>
        </w:rPr>
        <w:t>захоплююча</w:t>
      </w:r>
      <w:r w:rsidRPr="00511005">
        <w:rPr>
          <w:rFonts w:ascii="Arial" w:eastAsia="Calibri" w:hAnsi="Arial" w:cs="Arial"/>
          <w:szCs w:val="28"/>
          <w:lang w:val="uk-UA"/>
        </w:rPr>
        <w:t>»</w:t>
      </w:r>
      <w:r w:rsidRPr="00511005">
        <w:rPr>
          <w:rFonts w:ascii="Arial" w:eastAsia="Calibri" w:hAnsi="Arial" w:cs="Arial"/>
          <w:szCs w:val="28"/>
        </w:rPr>
        <w:t>) та висловлювання, що підкреслюють її емоційний вплив (</w:t>
      </w:r>
      <w:r w:rsidRPr="00511005">
        <w:rPr>
          <w:rFonts w:ascii="Arial" w:eastAsia="Calibri" w:hAnsi="Arial" w:cs="Arial"/>
          <w:szCs w:val="28"/>
          <w:lang w:val="uk-UA"/>
        </w:rPr>
        <w:t>«</w:t>
      </w:r>
      <w:r w:rsidRPr="00511005">
        <w:rPr>
          <w:rFonts w:ascii="Arial" w:eastAsia="Calibri" w:hAnsi="Arial" w:cs="Arial"/>
          <w:szCs w:val="28"/>
        </w:rPr>
        <w:t>дарує стільки емоцій</w:t>
      </w:r>
      <w:r w:rsidRPr="00511005">
        <w:rPr>
          <w:rFonts w:ascii="Arial" w:eastAsia="Calibri" w:hAnsi="Arial" w:cs="Arial"/>
          <w:szCs w:val="28"/>
          <w:lang w:val="uk-UA"/>
        </w:rPr>
        <w:t>»</w:t>
      </w:r>
      <w:r w:rsidRPr="00511005">
        <w:rPr>
          <w:rFonts w:ascii="Arial" w:eastAsia="Calibri" w:hAnsi="Arial" w:cs="Arial"/>
          <w:szCs w:val="28"/>
        </w:rPr>
        <w:t xml:space="preserve">, </w:t>
      </w:r>
      <w:r w:rsidRPr="00511005">
        <w:rPr>
          <w:rFonts w:ascii="Arial" w:eastAsia="Calibri" w:hAnsi="Arial" w:cs="Arial"/>
          <w:szCs w:val="28"/>
          <w:lang w:val="uk-UA"/>
        </w:rPr>
        <w:t>«</w:t>
      </w:r>
      <w:r w:rsidRPr="00511005">
        <w:rPr>
          <w:rFonts w:ascii="Arial" w:eastAsia="Calibri" w:hAnsi="Arial" w:cs="Arial"/>
          <w:szCs w:val="28"/>
        </w:rPr>
        <w:t>я би слухав і слухав її</w:t>
      </w:r>
      <w:r w:rsidRPr="00511005">
        <w:rPr>
          <w:rFonts w:ascii="Arial" w:eastAsia="Calibri" w:hAnsi="Arial" w:cs="Arial"/>
          <w:szCs w:val="28"/>
          <w:lang w:val="uk-UA"/>
        </w:rPr>
        <w:t>»</w:t>
      </w:r>
      <w:r w:rsidRPr="00511005">
        <w:rPr>
          <w:rFonts w:ascii="Arial" w:eastAsia="Calibri" w:hAnsi="Arial" w:cs="Arial"/>
          <w:szCs w:val="28"/>
        </w:rPr>
        <w:t>). Це створює асоціацію мови з приємними почуттями.</w:t>
      </w:r>
    </w:p>
    <w:p w14:paraId="3B6827EC" w14:textId="77777777" w:rsidR="00AE57E7" w:rsidRPr="00511005" w:rsidRDefault="00AE57E7" w:rsidP="003F6A5D">
      <w:pPr>
        <w:widowControl w:val="0"/>
        <w:numPr>
          <w:ilvl w:val="0"/>
          <w:numId w:val="781"/>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b/>
          <w:szCs w:val="28"/>
        </w:rPr>
        <w:t>Об’єктивність через залучення іноземців</w:t>
      </w:r>
      <w:r w:rsidRPr="00511005">
        <w:rPr>
          <w:rFonts w:ascii="Arial" w:eastAsia="Calibri" w:hAnsi="Arial" w:cs="Arial"/>
          <w:szCs w:val="28"/>
        </w:rPr>
        <w:t>: Позитивні оцінки мови від представників різних національностей додають повідомленню універсальності та об’єктивності, оскільки зовнішня перспектива сприймається як неупереджена.</w:t>
      </w:r>
    </w:p>
    <w:p w14:paraId="25D062E0" w14:textId="77777777" w:rsidR="00AE57E7" w:rsidRPr="00511005" w:rsidRDefault="00AE57E7" w:rsidP="003F6A5D">
      <w:pPr>
        <w:widowControl w:val="0"/>
        <w:numPr>
          <w:ilvl w:val="0"/>
          <w:numId w:val="781"/>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b/>
          <w:szCs w:val="28"/>
        </w:rPr>
        <w:t>Риторичне запитання</w:t>
      </w:r>
      <w:r w:rsidRPr="00511005">
        <w:rPr>
          <w:rFonts w:ascii="Arial" w:eastAsia="Calibri" w:hAnsi="Arial" w:cs="Arial"/>
          <w:szCs w:val="28"/>
        </w:rPr>
        <w:t xml:space="preserve">: Завершальне запитання </w:t>
      </w:r>
      <w:r w:rsidRPr="00511005">
        <w:rPr>
          <w:rFonts w:ascii="Arial" w:eastAsia="Calibri" w:hAnsi="Arial" w:cs="Arial"/>
          <w:szCs w:val="28"/>
          <w:lang w:val="uk-UA"/>
        </w:rPr>
        <w:t>«</w:t>
      </w:r>
      <w:r w:rsidRPr="00511005">
        <w:rPr>
          <w:rFonts w:ascii="Arial" w:eastAsia="Calibri" w:hAnsi="Arial" w:cs="Arial"/>
          <w:szCs w:val="28"/>
        </w:rPr>
        <w:t>Чому ж ми нею не говоримо?</w:t>
      </w:r>
      <w:r w:rsidRPr="00511005">
        <w:rPr>
          <w:rFonts w:ascii="Arial" w:eastAsia="Calibri" w:hAnsi="Arial" w:cs="Arial"/>
          <w:szCs w:val="28"/>
          <w:lang w:val="uk-UA"/>
        </w:rPr>
        <w:t>»</w:t>
      </w:r>
      <w:r w:rsidRPr="00511005">
        <w:rPr>
          <w:rFonts w:ascii="Arial" w:eastAsia="Calibri" w:hAnsi="Arial" w:cs="Arial"/>
          <w:szCs w:val="28"/>
        </w:rPr>
        <w:t xml:space="preserve"> провокує глядачів до роздумів, роблячи повідомлення більш запам’ятовуваним і особистісно значущим.</w:t>
      </w:r>
    </w:p>
    <w:p w14:paraId="466DF28F"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b/>
          <w:szCs w:val="28"/>
        </w:rPr>
        <w:t>Мовні засоби:</w:t>
      </w:r>
      <w:r w:rsidRPr="00511005">
        <w:rPr>
          <w:rFonts w:ascii="Arial" w:eastAsia="Calibri" w:hAnsi="Arial" w:cs="Arial"/>
          <w:szCs w:val="28"/>
        </w:rPr>
        <w:t xml:space="preserve"> Лексика тексту характеризується простотою, емоційною насиченістю та доступністю для широкої аудиторії. Використовуються короткі синтаксичні конструкції, що містять позитивно забарвлені прикметники та вирази, спрямовані на підкреслення естетичних і культурних якостей української мови. Зокрема:</w:t>
      </w:r>
    </w:p>
    <w:p w14:paraId="02FF20DC" w14:textId="77777777" w:rsidR="00AE57E7" w:rsidRPr="00511005" w:rsidRDefault="00AE57E7" w:rsidP="003F6A5D">
      <w:pPr>
        <w:widowControl w:val="0"/>
        <w:numPr>
          <w:ilvl w:val="0"/>
          <w:numId w:val="782"/>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szCs w:val="28"/>
          <w:lang w:val="uk-UA"/>
        </w:rPr>
        <w:t>«</w:t>
      </w:r>
      <w:r w:rsidRPr="00511005">
        <w:rPr>
          <w:rFonts w:ascii="Arial" w:eastAsia="Calibri" w:hAnsi="Arial" w:cs="Arial"/>
          <w:szCs w:val="28"/>
        </w:rPr>
        <w:t>Милозвучна</w:t>
      </w:r>
      <w:r w:rsidRPr="00511005">
        <w:rPr>
          <w:rFonts w:ascii="Arial" w:eastAsia="Calibri" w:hAnsi="Arial" w:cs="Arial"/>
          <w:szCs w:val="28"/>
          <w:lang w:val="uk-UA"/>
        </w:rPr>
        <w:t>»</w:t>
      </w:r>
      <w:r w:rsidRPr="00511005">
        <w:rPr>
          <w:rFonts w:ascii="Arial" w:eastAsia="Calibri" w:hAnsi="Arial" w:cs="Arial"/>
          <w:szCs w:val="28"/>
        </w:rPr>
        <w:t xml:space="preserve"> – наголошує на фонетичній гармонійності та мелодійності мови.</w:t>
      </w:r>
    </w:p>
    <w:p w14:paraId="109C4149" w14:textId="77777777" w:rsidR="00AE57E7" w:rsidRPr="00511005" w:rsidRDefault="00AE57E7" w:rsidP="003F6A5D">
      <w:pPr>
        <w:widowControl w:val="0"/>
        <w:numPr>
          <w:ilvl w:val="0"/>
          <w:numId w:val="782"/>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szCs w:val="28"/>
          <w:lang w:val="uk-UA"/>
        </w:rPr>
        <w:t>«</w:t>
      </w:r>
      <w:r w:rsidRPr="00511005">
        <w:rPr>
          <w:rFonts w:ascii="Arial" w:eastAsia="Calibri" w:hAnsi="Arial" w:cs="Arial"/>
          <w:szCs w:val="28"/>
        </w:rPr>
        <w:t>Чудова</w:t>
      </w:r>
      <w:r w:rsidRPr="00511005">
        <w:rPr>
          <w:rFonts w:ascii="Arial" w:eastAsia="Calibri" w:hAnsi="Arial" w:cs="Arial"/>
          <w:szCs w:val="28"/>
          <w:lang w:val="uk-UA"/>
        </w:rPr>
        <w:t>»</w:t>
      </w:r>
      <w:r w:rsidRPr="00511005">
        <w:rPr>
          <w:rFonts w:ascii="Arial" w:eastAsia="Calibri" w:hAnsi="Arial" w:cs="Arial"/>
          <w:szCs w:val="28"/>
        </w:rPr>
        <w:t xml:space="preserve"> – репрезентує узагальнену позитивну оцінку, що апелює до емоційного сприйняття.</w:t>
      </w:r>
    </w:p>
    <w:p w14:paraId="55814B30" w14:textId="77777777" w:rsidR="00AE57E7" w:rsidRPr="00511005" w:rsidRDefault="00AE57E7" w:rsidP="003F6A5D">
      <w:pPr>
        <w:widowControl w:val="0"/>
        <w:numPr>
          <w:ilvl w:val="0"/>
          <w:numId w:val="782"/>
        </w:numPr>
        <w:tabs>
          <w:tab w:val="left" w:pos="993"/>
        </w:tabs>
        <w:spacing w:line="264" w:lineRule="auto"/>
        <w:ind w:left="0" w:firstLine="709"/>
        <w:jc w:val="left"/>
        <w:rPr>
          <w:rFonts w:ascii="Arial" w:eastAsia="Calibri" w:hAnsi="Arial" w:cs="Arial"/>
          <w:szCs w:val="28"/>
        </w:rPr>
      </w:pPr>
      <w:r w:rsidRPr="00511005">
        <w:rPr>
          <w:rFonts w:ascii="Arial" w:eastAsia="Calibri" w:hAnsi="Arial" w:cs="Arial"/>
          <w:szCs w:val="28"/>
          <w:lang w:val="uk-UA"/>
        </w:rPr>
        <w:t>«</w:t>
      </w:r>
      <w:r w:rsidRPr="00511005">
        <w:rPr>
          <w:rFonts w:ascii="Arial" w:eastAsia="Calibri" w:hAnsi="Arial" w:cs="Arial"/>
          <w:szCs w:val="28"/>
        </w:rPr>
        <w:t>Невичерпна</w:t>
      </w:r>
      <w:r w:rsidRPr="00511005">
        <w:rPr>
          <w:rFonts w:ascii="Arial" w:eastAsia="Calibri" w:hAnsi="Arial" w:cs="Arial"/>
          <w:szCs w:val="28"/>
          <w:lang w:val="uk-UA"/>
        </w:rPr>
        <w:t>»</w:t>
      </w:r>
      <w:r w:rsidRPr="00511005">
        <w:rPr>
          <w:rFonts w:ascii="Arial" w:eastAsia="Calibri" w:hAnsi="Arial" w:cs="Arial"/>
          <w:szCs w:val="28"/>
        </w:rPr>
        <w:t xml:space="preserve"> – підкреслює семантичне багатство та глибинний потенціал мови.</w:t>
      </w:r>
    </w:p>
    <w:p w14:paraId="5C2E4DB9"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lastRenderedPageBreak/>
        <w:t>Відсутність складних синтаксичних структур сприяє легкості сприйняття тексту різними віковими та соціальними групами. Застосування прямої мови у формі лаконічних цитат створює ілюзію діалогічної взаємодії, що посилює комунікативну близькість повідомлення до реципієнта та сприяє його емоційному залученню.</w:t>
      </w:r>
    </w:p>
    <w:p w14:paraId="77689183"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b/>
          <w:szCs w:val="28"/>
        </w:rPr>
        <w:t>Інтертекстуальність і контекст:</w:t>
      </w:r>
      <w:r w:rsidRPr="00511005">
        <w:rPr>
          <w:rFonts w:ascii="Arial" w:eastAsia="Calibri" w:hAnsi="Arial" w:cs="Arial"/>
          <w:szCs w:val="28"/>
        </w:rPr>
        <w:t xml:space="preserve"> Явної інтертекстуальності </w:t>
      </w:r>
      <w:proofErr w:type="gramStart"/>
      <w:r w:rsidRPr="00511005">
        <w:rPr>
          <w:rFonts w:ascii="Arial" w:eastAsia="Calibri" w:hAnsi="Arial" w:cs="Arial"/>
          <w:szCs w:val="28"/>
        </w:rPr>
        <w:t>в ролику</w:t>
      </w:r>
      <w:proofErr w:type="gramEnd"/>
      <w:r w:rsidRPr="00511005">
        <w:rPr>
          <w:rFonts w:ascii="Arial" w:eastAsia="Calibri" w:hAnsi="Arial" w:cs="Arial"/>
          <w:szCs w:val="28"/>
        </w:rPr>
        <w:t xml:space="preserve"> немає, однак він чітко вписується в контекст підтримки національної ідентичності та мовного відродження в Україні. На момент створення (2011 рік) питання мовної політики було актуальним, що додавало рекламі суспільної значущості.</w:t>
      </w:r>
    </w:p>
    <w:p w14:paraId="01A35098"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b/>
          <w:szCs w:val="28"/>
        </w:rPr>
        <w:t>Етичні аспекти:</w:t>
      </w:r>
      <w:r w:rsidRPr="00511005">
        <w:rPr>
          <w:rFonts w:ascii="Arial" w:eastAsia="Calibri" w:hAnsi="Arial" w:cs="Arial"/>
          <w:szCs w:val="28"/>
        </w:rPr>
        <w:t xml:space="preserve"> Реклама є етичною, оскільки уникає негативних порівнянь чи критики інших мов. Вона фокусується на позитивному підкріпленні, що сприяє формуванню доброзичливого ставлення до української мови без конфронтації.</w:t>
      </w:r>
    </w:p>
    <w:p w14:paraId="71579063"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b/>
          <w:szCs w:val="28"/>
        </w:rPr>
        <w:t>Реакція аудиторії:</w:t>
      </w:r>
      <w:r w:rsidRPr="00511005">
        <w:rPr>
          <w:rFonts w:ascii="Arial" w:eastAsia="Calibri" w:hAnsi="Arial" w:cs="Arial"/>
          <w:szCs w:val="28"/>
        </w:rPr>
        <w:t xml:space="preserve"> Аналіз коментарів на платформі Vimeo, де розміщено оригінальне відео, свідчить про переважно позитивне сприйняття ролика. Більшість глядачів підтримують ідею реклами та висловлюють захоплення її креативним підходом. Проте частина аудиторії висловила критичні зауваження, вважаючи, що вибір мови спілкування є особистою справою і не потребує додаткової популяризації. Ця поляризація відображає ширші суспільні дискусії щодо мовного питання в Україні.</w:t>
      </w:r>
    </w:p>
    <w:p w14:paraId="474B1682" w14:textId="77777777"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 xml:space="preserve">Проведений дискурс-аналіз соціальної реклами </w:t>
      </w:r>
      <w:r w:rsidRPr="00511005">
        <w:rPr>
          <w:rFonts w:ascii="Arial" w:eastAsia="Calibri" w:hAnsi="Arial" w:cs="Arial"/>
          <w:szCs w:val="28"/>
          <w:lang w:val="uk-UA"/>
        </w:rPr>
        <w:t>«</w:t>
      </w:r>
      <w:r w:rsidRPr="00511005">
        <w:rPr>
          <w:rFonts w:ascii="Arial" w:eastAsia="Calibri" w:hAnsi="Arial" w:cs="Arial"/>
          <w:szCs w:val="28"/>
        </w:rPr>
        <w:t>Соціальна реклама про українську мову (2011)</w:t>
      </w:r>
      <w:r w:rsidRPr="00511005">
        <w:rPr>
          <w:rFonts w:ascii="Arial" w:eastAsia="Calibri" w:hAnsi="Arial" w:cs="Arial"/>
          <w:szCs w:val="28"/>
          <w:lang w:val="uk-UA"/>
        </w:rPr>
        <w:t>»</w:t>
      </w:r>
      <w:r w:rsidRPr="00511005">
        <w:rPr>
          <w:rFonts w:ascii="Arial" w:eastAsia="Calibri" w:hAnsi="Arial" w:cs="Arial"/>
          <w:szCs w:val="28"/>
        </w:rPr>
        <w:t xml:space="preserve"> режисерки Христини Данилової демонструє ефективне використання риторичних і комунікативних стратегій для популяризації української мови. Завдяки позитивній емоційній риториці, залученню іноземних голосів для створення ефекту об’єктивності та застосуванню риторичного запитання ролик успішно підкреслює естетичну та емоційну цінність української мови. Проста, але яскрава лексика забезпечує доступність повідомлення, а етичний підхід уникає конфронтації, що сприяє широкому прийняттю ідеї.</w:t>
      </w:r>
    </w:p>
    <w:p w14:paraId="26AB57DD" w14:textId="664A79D1" w:rsidR="00AE57E7" w:rsidRPr="00511005" w:rsidRDefault="00AE57E7" w:rsidP="00896853">
      <w:pPr>
        <w:spacing w:line="264" w:lineRule="auto"/>
        <w:rPr>
          <w:rFonts w:ascii="Arial" w:eastAsia="Calibri" w:hAnsi="Arial" w:cs="Arial"/>
          <w:szCs w:val="28"/>
        </w:rPr>
      </w:pPr>
      <w:r w:rsidRPr="00511005">
        <w:rPr>
          <w:rFonts w:ascii="Arial" w:eastAsia="Calibri" w:hAnsi="Arial" w:cs="Arial"/>
          <w:szCs w:val="28"/>
        </w:rPr>
        <w:t>Реакція аудиторії підтверджує ефективність реклами, хоча й відображає різноманітність поглядів на мовне питання. Ролик не лише виконує свою комунікативну мету, але й залишається актуальним прикладом того, як соціальна реклама може впливати на суспільну свідомість, стимулюючи використання рідної мови в повсякденному житті. У ширшому контексті ця реклама є частиною зусиль зі зміцнення національної ідентичності та культурного відродження, що залишається важливим завданням для сучасної України.</w:t>
      </w:r>
    </w:p>
    <w:p w14:paraId="52303AD7" w14:textId="1F4E23DF" w:rsidR="003F23AD" w:rsidRPr="00511005" w:rsidRDefault="003F23AD" w:rsidP="003A292D">
      <w:pPr>
        <w:spacing w:line="264" w:lineRule="auto"/>
        <w:ind w:firstLine="0"/>
        <w:rPr>
          <w:rFonts w:ascii="Arial" w:eastAsia="Calibri" w:hAnsi="Arial" w:cs="Arial"/>
          <w:szCs w:val="28"/>
        </w:rPr>
      </w:pPr>
    </w:p>
    <w:p w14:paraId="13C2ECB8" w14:textId="2581A136" w:rsidR="003F23AD" w:rsidRPr="00511005" w:rsidRDefault="007B2628" w:rsidP="007B2628">
      <w:pPr>
        <w:spacing w:line="264" w:lineRule="auto"/>
        <w:ind w:firstLine="0"/>
        <w:jc w:val="center"/>
        <w:rPr>
          <w:rFonts w:ascii="Arial" w:eastAsia="Calibri" w:hAnsi="Arial" w:cs="Arial"/>
          <w:szCs w:val="28"/>
        </w:rPr>
      </w:pPr>
      <w:r w:rsidRPr="00511005">
        <w:rPr>
          <w:rFonts w:ascii="Arial" w:eastAsia="Times New Roman" w:hAnsi="Arial" w:cs="Arial"/>
          <w:b/>
          <w:szCs w:val="28"/>
          <w:lang w:val="uk-UA" w:eastAsia="ru-RU"/>
        </w:rPr>
        <w:t>Список використаних джерел</w:t>
      </w:r>
    </w:p>
    <w:p w14:paraId="06822FEA" w14:textId="77777777" w:rsidR="00AE57E7" w:rsidRPr="00511005" w:rsidRDefault="00AE57E7" w:rsidP="003F6A5D">
      <w:pPr>
        <w:widowControl w:val="0"/>
        <w:numPr>
          <w:ilvl w:val="0"/>
          <w:numId w:val="783"/>
        </w:numPr>
        <w:tabs>
          <w:tab w:val="left" w:pos="993"/>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Українська правда. Життя. Рівнянка зняла соціальний ролик про українську мову. відео. </w:t>
      </w:r>
      <w:r w:rsidRPr="00511005">
        <w:rPr>
          <w:rFonts w:ascii="Arial" w:eastAsia="Calibri" w:hAnsi="Arial" w:cs="Arial"/>
          <w:i/>
          <w:szCs w:val="28"/>
        </w:rPr>
        <w:t>Українська правда. Життя</w:t>
      </w:r>
      <w:r w:rsidRPr="00511005">
        <w:rPr>
          <w:rFonts w:ascii="Arial" w:eastAsia="Calibri" w:hAnsi="Arial" w:cs="Arial"/>
          <w:szCs w:val="28"/>
        </w:rPr>
        <w:t xml:space="preserve">. URL: </w:t>
      </w:r>
      <w:hyperlink r:id="rId2523">
        <w:r w:rsidRPr="00511005">
          <w:rPr>
            <w:rFonts w:ascii="Arial" w:eastAsia="Calibri" w:hAnsi="Arial" w:cs="Arial"/>
            <w:szCs w:val="28"/>
          </w:rPr>
          <w:t xml:space="preserve">https://life.pravda.com.ua/society/2011/07/01/81074/ </w:t>
        </w:r>
      </w:hyperlink>
      <w:r w:rsidRPr="00511005">
        <w:rPr>
          <w:rFonts w:ascii="Arial" w:eastAsia="Calibri" w:hAnsi="Arial" w:cs="Arial"/>
          <w:szCs w:val="28"/>
        </w:rPr>
        <w:t>(</w:t>
      </w:r>
      <w:r w:rsidRPr="00511005">
        <w:rPr>
          <w:rFonts w:ascii="Arial" w:eastAsia="Calibri" w:hAnsi="Arial" w:cs="Arial"/>
          <w:szCs w:val="28"/>
          <w:lang w:val="uk-UA"/>
        </w:rPr>
        <w:t>дата звернення 05.05.2025</w:t>
      </w:r>
      <w:r w:rsidRPr="00511005">
        <w:rPr>
          <w:rFonts w:ascii="Arial" w:eastAsia="Calibri" w:hAnsi="Arial" w:cs="Arial"/>
          <w:szCs w:val="28"/>
        </w:rPr>
        <w:t>)</w:t>
      </w:r>
    </w:p>
    <w:p w14:paraId="4B74CE31" w14:textId="77777777" w:rsidR="00AE57E7" w:rsidRPr="00511005" w:rsidRDefault="00AE57E7" w:rsidP="003F6A5D">
      <w:pPr>
        <w:widowControl w:val="0"/>
        <w:numPr>
          <w:ilvl w:val="0"/>
          <w:numId w:val="783"/>
        </w:numPr>
        <w:tabs>
          <w:tab w:val="left" w:pos="993"/>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rPr>
        <w:t xml:space="preserve">Khrystyna Syvolap. Соціальна реклама про українську мову, 2011. Vimeo. URL: </w:t>
      </w:r>
      <w:hyperlink r:id="rId2524">
        <w:r w:rsidRPr="00511005">
          <w:rPr>
            <w:rFonts w:ascii="Arial" w:eastAsia="Calibri" w:hAnsi="Arial" w:cs="Arial"/>
            <w:szCs w:val="28"/>
          </w:rPr>
          <w:t>https://vimeo.com/25476501</w:t>
        </w:r>
      </w:hyperlink>
      <w:r w:rsidRPr="00511005">
        <w:rPr>
          <w:rFonts w:ascii="Arial" w:eastAsia="Calibri" w:hAnsi="Arial" w:cs="Arial"/>
          <w:szCs w:val="28"/>
        </w:rPr>
        <w:t xml:space="preserve"> (</w:t>
      </w:r>
      <w:r w:rsidRPr="00511005">
        <w:rPr>
          <w:rFonts w:ascii="Arial" w:eastAsia="Calibri" w:hAnsi="Arial" w:cs="Arial"/>
          <w:szCs w:val="28"/>
          <w:lang w:val="uk-UA"/>
        </w:rPr>
        <w:t>дата звернення 05.05.2025</w:t>
      </w:r>
      <w:r w:rsidRPr="00511005">
        <w:rPr>
          <w:rFonts w:ascii="Arial" w:eastAsia="Calibri" w:hAnsi="Arial" w:cs="Arial"/>
          <w:szCs w:val="28"/>
        </w:rPr>
        <w:t>)</w:t>
      </w:r>
    </w:p>
    <w:p w14:paraId="5B1711C1" w14:textId="77777777" w:rsidR="00AE57E7" w:rsidRPr="00511005" w:rsidRDefault="00AE57E7" w:rsidP="003F6A5D">
      <w:pPr>
        <w:numPr>
          <w:ilvl w:val="0"/>
          <w:numId w:val="783"/>
        </w:numPr>
        <w:tabs>
          <w:tab w:val="left" w:pos="993"/>
        </w:tabs>
        <w:spacing w:line="264" w:lineRule="auto"/>
        <w:ind w:left="0" w:firstLine="709"/>
        <w:contextualSpacing/>
        <w:jc w:val="left"/>
        <w:rPr>
          <w:rFonts w:ascii="Arial" w:eastAsia="Calibri" w:hAnsi="Arial" w:cs="Arial"/>
          <w:szCs w:val="28"/>
        </w:rPr>
      </w:pPr>
      <w:r w:rsidRPr="00511005">
        <w:rPr>
          <w:rFonts w:ascii="Arial" w:eastAsia="Calibri" w:hAnsi="Arial" w:cs="Arial"/>
          <w:szCs w:val="28"/>
          <w:lang w:val="en-US"/>
        </w:rPr>
        <w:t>Fairclough, N. Language and Power. London: Longman, 2001.</w:t>
      </w:r>
    </w:p>
    <w:p w14:paraId="1F10FECB" w14:textId="77777777" w:rsidR="00AE57E7" w:rsidRPr="00511005" w:rsidRDefault="00AE57E7" w:rsidP="003A292D">
      <w:pPr>
        <w:tabs>
          <w:tab w:val="left" w:pos="993"/>
        </w:tabs>
        <w:spacing w:line="264" w:lineRule="auto"/>
        <w:ind w:firstLine="0"/>
        <w:rPr>
          <w:rFonts w:ascii="Arial" w:eastAsia="Calibri" w:hAnsi="Arial" w:cs="Arial"/>
          <w:b/>
          <w:szCs w:val="28"/>
          <w:lang w:val="uk-UA"/>
        </w:rPr>
      </w:pPr>
    </w:p>
    <w:p w14:paraId="6A0B77E0" w14:textId="3C4E8165" w:rsidR="00AE57E7" w:rsidRPr="00511005" w:rsidRDefault="007B2628" w:rsidP="003A292D">
      <w:pPr>
        <w:tabs>
          <w:tab w:val="left" w:pos="993"/>
        </w:tabs>
        <w:spacing w:line="264" w:lineRule="auto"/>
        <w:ind w:firstLine="0"/>
        <w:rPr>
          <w:rFonts w:ascii="Arial" w:eastAsia="Calibri" w:hAnsi="Arial" w:cs="Arial"/>
          <w:szCs w:val="28"/>
        </w:rPr>
      </w:pPr>
      <w:r w:rsidRPr="00511005">
        <w:rPr>
          <w:rFonts w:ascii="Arial" w:eastAsia="Calibri" w:hAnsi="Arial" w:cs="Arial"/>
          <w:b/>
          <w:i/>
          <w:szCs w:val="28"/>
        </w:rPr>
        <w:t xml:space="preserve">Ключові слова: </w:t>
      </w:r>
      <w:r w:rsidR="00AE57E7" w:rsidRPr="00511005">
        <w:rPr>
          <w:rFonts w:ascii="Arial" w:eastAsia="Calibri" w:hAnsi="Arial" w:cs="Arial"/>
          <w:szCs w:val="28"/>
        </w:rPr>
        <w:t>мова, ідентичність, соціальна реклама, українська мова, дискурс-аналіз, рекламний дискурс.</w:t>
      </w:r>
    </w:p>
    <w:p w14:paraId="5502CD2D" w14:textId="6CC89716" w:rsidR="00AE57E7" w:rsidRPr="00511005" w:rsidRDefault="007B2628" w:rsidP="003A292D">
      <w:pPr>
        <w:tabs>
          <w:tab w:val="left" w:pos="993"/>
        </w:tabs>
        <w:spacing w:line="264" w:lineRule="auto"/>
        <w:ind w:firstLine="0"/>
        <w:rPr>
          <w:rFonts w:ascii="Arial" w:eastAsia="Calibri" w:hAnsi="Arial" w:cs="Arial"/>
          <w:szCs w:val="28"/>
          <w:lang w:val="en-US"/>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language, identity, social advertising, Ukrainian language, discourse analysis, advertising discourse.</w:t>
      </w:r>
    </w:p>
    <w:p w14:paraId="67861A67" w14:textId="218EAE73" w:rsidR="00AE57E7" w:rsidRPr="00511005" w:rsidRDefault="007B2628" w:rsidP="003A292D">
      <w:pPr>
        <w:tabs>
          <w:tab w:val="left" w:pos="993"/>
        </w:tabs>
        <w:spacing w:line="264" w:lineRule="auto"/>
        <w:ind w:firstLine="0"/>
        <w:rPr>
          <w:rFonts w:ascii="Arial" w:eastAsia="Calibri" w:hAnsi="Arial" w:cs="Arial"/>
          <w:i/>
          <w:szCs w:val="28"/>
          <w:lang w:val="uk-UA"/>
        </w:rPr>
      </w:pPr>
      <w:r w:rsidRPr="00511005">
        <w:rPr>
          <w:rFonts w:ascii="Arial" w:eastAsia="Calibri" w:hAnsi="Arial" w:cs="Arial"/>
          <w:b/>
          <w:i/>
          <w:szCs w:val="28"/>
        </w:rPr>
        <w:t xml:space="preserve">Науковий керівник: </w:t>
      </w:r>
      <w:r w:rsidR="00AE57E7" w:rsidRPr="00511005">
        <w:rPr>
          <w:rFonts w:ascii="Arial" w:eastAsia="Calibri" w:hAnsi="Arial" w:cs="Arial"/>
          <w:i/>
          <w:szCs w:val="28"/>
        </w:rPr>
        <w:t>к.ф.н., доцент Кісельова А.А</w:t>
      </w:r>
    </w:p>
    <w:p w14:paraId="1EAFC034" w14:textId="77777777" w:rsidR="00AE57E7" w:rsidRPr="00511005" w:rsidRDefault="00AE57E7" w:rsidP="003A292D">
      <w:pPr>
        <w:spacing w:line="264" w:lineRule="auto"/>
        <w:ind w:firstLine="0"/>
        <w:jc w:val="left"/>
        <w:rPr>
          <w:rFonts w:ascii="Arial" w:eastAsia="Calibri" w:hAnsi="Arial" w:cs="Arial"/>
          <w:szCs w:val="28"/>
          <w:lang w:val="uk-UA"/>
        </w:rPr>
      </w:pPr>
    </w:p>
    <w:p w14:paraId="576D5C1D" w14:textId="43DE1436" w:rsidR="00AE57E7" w:rsidRPr="00511005" w:rsidRDefault="00AE57E7" w:rsidP="003A292D">
      <w:pPr>
        <w:spacing w:line="264" w:lineRule="auto"/>
        <w:ind w:firstLine="0"/>
        <w:jc w:val="left"/>
        <w:rPr>
          <w:rFonts w:ascii="Arial" w:eastAsia="Calibri" w:hAnsi="Arial" w:cs="Arial"/>
          <w:szCs w:val="28"/>
          <w:lang w:val="uk-UA"/>
        </w:rPr>
      </w:pPr>
    </w:p>
    <w:p w14:paraId="19739A7B" w14:textId="77777777" w:rsidR="00AE57E7" w:rsidRPr="00511005" w:rsidRDefault="00AE57E7" w:rsidP="003A292D">
      <w:pPr>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Циберман Олександра Володимирівна</w:t>
      </w:r>
    </w:p>
    <w:p w14:paraId="02FA2147" w14:textId="52AEFCD5" w:rsidR="00AE57E7" w:rsidRPr="00511005" w:rsidRDefault="00AE57E7" w:rsidP="003A292D">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 xml:space="preserve">студентка 1-го курсу </w:t>
      </w:r>
      <w:r w:rsidR="00536AAB" w:rsidRPr="00511005">
        <w:rPr>
          <w:rFonts w:ascii="Arial" w:eastAsia="Calibri" w:hAnsi="Arial" w:cs="Arial"/>
          <w:iCs/>
          <w:szCs w:val="28"/>
          <w:lang w:val="uk-UA"/>
        </w:rPr>
        <w:t>факультету журналістики</w:t>
      </w:r>
    </w:p>
    <w:p w14:paraId="50DB43EF" w14:textId="268FF2E8" w:rsidR="00AE57E7" w:rsidRPr="00511005" w:rsidRDefault="007B2628" w:rsidP="003A292D">
      <w:pPr>
        <w:spacing w:line="264" w:lineRule="auto"/>
        <w:ind w:firstLine="0"/>
        <w:jc w:val="center"/>
        <w:rPr>
          <w:rFonts w:ascii="Arial" w:eastAsia="Calibri" w:hAnsi="Arial" w:cs="Arial"/>
          <w:iCs/>
          <w:szCs w:val="28"/>
          <w:lang w:val="uk-UA"/>
        </w:rPr>
      </w:pPr>
      <w:r w:rsidRPr="00511005">
        <w:rPr>
          <w:rFonts w:ascii="Arial" w:eastAsia="Calibri" w:hAnsi="Arial" w:cs="Arial"/>
          <w:iCs/>
          <w:szCs w:val="28"/>
          <w:lang w:val="uk-UA"/>
        </w:rPr>
        <w:t>Національного університету «Одеська юридична академія»</w:t>
      </w:r>
    </w:p>
    <w:p w14:paraId="06CA08F0" w14:textId="77777777" w:rsidR="00AE57E7" w:rsidRPr="00511005" w:rsidRDefault="00AE57E7" w:rsidP="003A292D">
      <w:pPr>
        <w:pBdr>
          <w:top w:val="nil"/>
          <w:left w:val="nil"/>
          <w:bottom w:val="nil"/>
          <w:right w:val="nil"/>
          <w:between w:val="nil"/>
        </w:pBdr>
        <w:spacing w:line="264" w:lineRule="auto"/>
        <w:ind w:firstLine="0"/>
        <w:jc w:val="center"/>
        <w:rPr>
          <w:rFonts w:ascii="Arial" w:eastAsia="Times New Roman" w:hAnsi="Arial" w:cs="Arial"/>
          <w:b/>
          <w:szCs w:val="28"/>
          <w:lang w:val="uk-UA"/>
        </w:rPr>
      </w:pPr>
    </w:p>
    <w:p w14:paraId="0FC592E4" w14:textId="77777777" w:rsidR="00AE57E7" w:rsidRPr="00511005" w:rsidRDefault="00AE57E7" w:rsidP="003A292D">
      <w:pPr>
        <w:pBdr>
          <w:top w:val="nil"/>
          <w:left w:val="nil"/>
          <w:bottom w:val="nil"/>
          <w:right w:val="nil"/>
          <w:between w:val="nil"/>
        </w:pBdr>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ТЕЛЕВІЗІЙНІ ДЕМОНСТРАЦІЇ ЯК ФОРМА МАСОВОЇ КОМУНІКАЦІЇ: АНАЛІЗ КЕЙСІВ КАНАЛУ СТБ (НА ПРИКЛАДІ ТЕЛЕПРОГРАМИ «ОДИН ЗА ВСІХ»)</w:t>
      </w:r>
    </w:p>
    <w:p w14:paraId="29A0F50B"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Сучасні медіа є не просто інструментом донесення інформації — вони формують публічні смисли, емоційно впливають на аудиторію та сприяють структуризації громадської думки. В умовах воєнного часу цей вплив набуває особливої значущості. Як зазначається у дослідженні Л. Богуша, медіа в сучасному суспільстві не лише транслюють реальність, а й конструюють її, активно впливаючи на інтерпретації подій та поведінкові реакції аудиторії [7].</w:t>
      </w:r>
    </w:p>
    <w:p w14:paraId="1EE57406"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Окрему роль у цьому процесі відіграють телевізійні демонстрації — програми, що за допомогою візуальних і драматургічних засобів відтворюють суспільно значущі конфлікти, події чи моральні дилеми. Прикладом такого формату є телепроєкт «Один за всіх», що виходить на телеканалі СТБ — лідерові емоційного контенту в українському ефірі, орієнтованому на широкі верстви населення, зокрема на жіночу аудиторію середнього віку [11].</w:t>
      </w:r>
    </w:p>
    <w:p w14:paraId="63A0D987"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Програма «Один за всіх» — це студійне ток-шоу з елементами реаліті, у якому розглядаються резонансні життєві історії. Випуски побудовані на особистих драмах учасників: вбивствах, покинутих дітях, насильстві, сімейних конфліктах, соціальній нерівності. За словами творців, усі історії реальні, а герої приходять до студії добровільно, щоб отримати юридичну, психологічну чи моральну підтримку. Цей формат апелює до емпатії, моральних цінностей і потреби справедливості — базових механізмів, які стимулюють глядацьке співпереживання й ідентифікацію з героями.</w:t>
      </w:r>
    </w:p>
    <w:p w14:paraId="2CC5F798"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lastRenderedPageBreak/>
        <w:t>У межах цього дослідження було проаналізовано 18-й сезон програми, що виходить на телебаченні та складається з шести випусків на момент квітня 2025 року. Кожен із них висвітлює події, що відбуваються в умовах соціальної кризи та війни, і демонструє вплив зовнішніх обставин на родину, мораль, психологічний стан людей. Наводимо короткий аналітичний огляд кожного випуску:</w:t>
      </w:r>
    </w:p>
    <w:p w14:paraId="41B85D1B" w14:textId="77777777" w:rsidR="00AE57E7" w:rsidRPr="00511005" w:rsidRDefault="00AE57E7" w:rsidP="003F6A5D">
      <w:pPr>
        <w:numPr>
          <w:ilvl w:val="0"/>
          <w:numId w:val="784"/>
        </w:numPr>
        <w:tabs>
          <w:tab w:val="left" w:pos="993"/>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Випуск 1. «Виносила під серцем, а потім віднесла на смітник» – розглядається випадок неонатициду (вбивство новонародженого), що стався в Хмельницькому. Програма порушує тему материнської кризи, соціального відторгнення та ізоляції, демонструючи, як нестача підтримки та страх осуду можуть призвести до трагедії;</w:t>
      </w:r>
    </w:p>
    <w:p w14:paraId="58D8BB4F" w14:textId="77777777" w:rsidR="00AE57E7" w:rsidRPr="00511005" w:rsidRDefault="00AE57E7" w:rsidP="003F6A5D">
      <w:pPr>
        <w:numPr>
          <w:ilvl w:val="0"/>
          <w:numId w:val="784"/>
        </w:numPr>
        <w:tabs>
          <w:tab w:val="left" w:pos="993"/>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Випуск 2. «Позбавляю колишню батьківських прав, щоб не йти у військо?» – порушує проблему родинного конфлікту, що ускладнюється воєнним контекстом. Після перебування в окупації батько прагне захистити дітей і позбавити матір батьківських прав. Показано, як війна проникає у приватну сферу, трансформуючи стосунки між родичами, впливаючи на рішення соціальних служб, а також створюючи додаткову напругу щодо мобілізаційних обов’язків;</w:t>
      </w:r>
    </w:p>
    <w:p w14:paraId="0D96B220" w14:textId="77777777" w:rsidR="00AE57E7" w:rsidRPr="00511005" w:rsidRDefault="00AE57E7" w:rsidP="003F6A5D">
      <w:pPr>
        <w:numPr>
          <w:ilvl w:val="0"/>
          <w:numId w:val="784"/>
        </w:numPr>
        <w:tabs>
          <w:tab w:val="left" w:pos="993"/>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Випуск 3. «Дружина замовила загибель десантника заради 15 мільйонів?» – присвячений драмі, що включає загибель військового, підозру у змові з боку дружини та конфлікт між родинами. Злочин на тлі бойових дій і повсякденності війни піднімає питання довіри та моралі. Обговорення експертів розкриває складність доказування вини та вплив грошового фактора на мотивацію дій;</w:t>
      </w:r>
    </w:p>
    <w:p w14:paraId="693C22BB" w14:textId="77777777" w:rsidR="00AE57E7" w:rsidRPr="00511005" w:rsidRDefault="00AE57E7" w:rsidP="003F6A5D">
      <w:pPr>
        <w:numPr>
          <w:ilvl w:val="0"/>
          <w:numId w:val="784"/>
        </w:numPr>
        <w:tabs>
          <w:tab w:val="left" w:pos="993"/>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Випуск 4. «Покохав жінку з інвалідністю чи злякався повістки?» – програма аналізує міжособистісні стосунки на тлі інвалідності та воєнного обов’язку. Головне питання — щирість намірів чоловіка. Обговорення порушує соціальні стереотипи й сприйняття інвалідності в умовах підвищеної моральної напруги;</w:t>
      </w:r>
    </w:p>
    <w:p w14:paraId="430D471C" w14:textId="77777777" w:rsidR="00AE57E7" w:rsidRPr="00511005" w:rsidRDefault="00AE57E7" w:rsidP="003F6A5D">
      <w:pPr>
        <w:numPr>
          <w:ilvl w:val="0"/>
          <w:numId w:val="784"/>
        </w:numPr>
        <w:tabs>
          <w:tab w:val="left" w:pos="993"/>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Випуск 5. «Війна за сина: Олена звинувачує ексчоловіка у викраденні» – стосується конфлікту навколо опіки над дитиною. На тлі судових рішень і втручання правоохоронців порушується тема психологічного стану дитини, яка розривається між двома батьками;</w:t>
      </w:r>
    </w:p>
    <w:p w14:paraId="6F6DDB94" w14:textId="77777777" w:rsidR="00AE57E7" w:rsidRPr="00511005" w:rsidRDefault="00AE57E7" w:rsidP="003F6A5D">
      <w:pPr>
        <w:numPr>
          <w:ilvl w:val="0"/>
          <w:numId w:val="784"/>
        </w:numPr>
        <w:tabs>
          <w:tab w:val="left" w:pos="993"/>
        </w:tabs>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Випуск 6. «Матір захищає нелюда-чоловіка?» – у центрі сюжету — насильство над дитиною. Героїня намагається виправдати чоловіка, якого підозрюють у побитті, а в студії відбувається публічне зіткнення між запереченням і фактами, свідченнями.</w:t>
      </w:r>
    </w:p>
    <w:p w14:paraId="648DB7DF"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Кожен епізод містить елементи телевізійної демонстрації: герої розповідають про події у студії, на екрані транслюються відео із місця подій, експерти коментують ситуацію, а ведучий — Сергій Костира — модерує розмову. Усе це створює враження публічного суду, де глядач водночас є свідком, присяжним і учасником події.</w:t>
      </w:r>
    </w:p>
    <w:p w14:paraId="2BD3D0A3"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lastRenderedPageBreak/>
        <w:t>Особливість 18-го сезону — виразний вплив повномасштабної війни на тематику і подачу контенту. Якщо у попередніх сезонах акценти були зосереджені на родинних драмах, то тепер — на моральних виборах у кризових умовах, питаннях мобілізації, служби, втрати близьких на фронті, патріотизмі та зраді. Програма фактично фіксує трансформацію українського соціального досвіду через воєнний стан і виводить його у публічний простір для рефлексії.</w:t>
      </w:r>
    </w:p>
    <w:p w14:paraId="77F7C2E5"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Крім емоційного залучення, програма виконує функцію громадянської освіти: глядач отримує уявлення про норми права, психологічну допомогу, шляхи захисту. Присутність юристів і психологів у студії надає демонстрації додаткової ваги й авторитету, формуючи довіру до телевізійної інформації як джерела вирішення складних життєвих ситуацій.</w:t>
      </w:r>
    </w:p>
    <w:p w14:paraId="76FCC88B" w14:textId="77777777" w:rsidR="00AE57E7" w:rsidRPr="00511005" w:rsidRDefault="00AE57E7" w:rsidP="00896853">
      <w:pPr>
        <w:spacing w:line="264" w:lineRule="auto"/>
        <w:rPr>
          <w:rFonts w:ascii="Arial" w:eastAsia="Times New Roman" w:hAnsi="Arial" w:cs="Arial"/>
          <w:szCs w:val="28"/>
          <w:lang w:val="uk-UA"/>
        </w:rPr>
      </w:pPr>
      <w:r w:rsidRPr="00511005">
        <w:rPr>
          <w:rFonts w:ascii="Arial" w:eastAsia="Times New Roman" w:hAnsi="Arial" w:cs="Arial"/>
          <w:szCs w:val="28"/>
          <w:lang w:val="uk-UA"/>
        </w:rPr>
        <w:t>Таким чином, «Один за всіх» є зразком телевізійної демонстрації з високим ступенем впливу на масову аудиторію. В умовах воєнного стану програма адаптувала зміст до нової соціальної реальності, підсилюючи моральні, емоційні та ідеологічні аспекти комунікації. Через поєднання візуалізації, особистих історій, експертного аналізу й емоційної динаміки цей телепроєкт не лише інформує, а й трансформує суспільне сприйняття норм, конфліктів та моделей поведінки.</w:t>
      </w:r>
    </w:p>
    <w:p w14:paraId="5AA6785A" w14:textId="77777777" w:rsidR="00AE57E7" w:rsidRPr="00511005" w:rsidRDefault="00AE57E7" w:rsidP="003A292D">
      <w:pPr>
        <w:spacing w:line="264" w:lineRule="auto"/>
        <w:ind w:firstLine="0"/>
        <w:jc w:val="left"/>
        <w:rPr>
          <w:rFonts w:ascii="Arial" w:eastAsia="Calibri" w:hAnsi="Arial" w:cs="Arial"/>
          <w:szCs w:val="28"/>
          <w:lang w:val="uk-UA"/>
        </w:rPr>
      </w:pPr>
    </w:p>
    <w:p w14:paraId="3F63F846" w14:textId="510228BF" w:rsidR="00AE57E7"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79387EA0" w14:textId="77777777" w:rsidR="00AE57E7" w:rsidRPr="00511005" w:rsidRDefault="00AE57E7" w:rsidP="003F6A5D">
      <w:pPr>
        <w:numPr>
          <w:ilvl w:val="0"/>
          <w:numId w:val="785"/>
        </w:numPr>
        <w:spacing w:line="264" w:lineRule="auto"/>
        <w:ind w:left="357" w:firstLine="709"/>
        <w:jc w:val="left"/>
        <w:rPr>
          <w:rFonts w:ascii="Arial" w:eastAsia="Times New Roman" w:hAnsi="Arial" w:cs="Arial"/>
          <w:szCs w:val="28"/>
        </w:rPr>
      </w:pPr>
      <w:r w:rsidRPr="00511005">
        <w:rPr>
          <w:rFonts w:ascii="Arial" w:eastAsia="Times New Roman" w:hAnsi="Arial" w:cs="Arial"/>
          <w:szCs w:val="28"/>
        </w:rPr>
        <w:t xml:space="preserve">Богуш Л.А. Вплив медіа на формування громадської думки у світі. </w:t>
      </w:r>
      <w:r w:rsidRPr="00511005">
        <w:rPr>
          <w:rFonts w:ascii="Arial" w:eastAsia="Times New Roman" w:hAnsi="Arial" w:cs="Arial"/>
          <w:i/>
          <w:szCs w:val="28"/>
        </w:rPr>
        <w:t>Вчені записки ТНУ ім. В.І. Вернадського. Серія «Філологія. Журналістика»</w:t>
      </w:r>
      <w:r w:rsidRPr="00511005">
        <w:rPr>
          <w:rFonts w:ascii="Arial" w:eastAsia="Times New Roman" w:hAnsi="Arial" w:cs="Arial"/>
          <w:szCs w:val="28"/>
        </w:rPr>
        <w:t>. 2021. Т. 32(71), № 1, Ч. 3. С. 299–304.</w:t>
      </w:r>
    </w:p>
    <w:p w14:paraId="075EC13B" w14:textId="77777777" w:rsidR="00AE57E7" w:rsidRPr="00511005" w:rsidRDefault="00AE57E7" w:rsidP="003F6A5D">
      <w:pPr>
        <w:numPr>
          <w:ilvl w:val="0"/>
          <w:numId w:val="785"/>
        </w:numPr>
        <w:pBdr>
          <w:top w:val="nil"/>
          <w:left w:val="nil"/>
          <w:bottom w:val="nil"/>
          <w:right w:val="nil"/>
          <w:between w:val="nil"/>
        </w:pBdr>
        <w:spacing w:line="264" w:lineRule="auto"/>
        <w:ind w:left="357" w:firstLine="709"/>
        <w:jc w:val="left"/>
        <w:rPr>
          <w:rFonts w:ascii="Arial" w:eastAsia="Times New Roman" w:hAnsi="Arial" w:cs="Arial"/>
          <w:szCs w:val="28"/>
        </w:rPr>
      </w:pPr>
      <w:r w:rsidRPr="00511005">
        <w:rPr>
          <w:rFonts w:ascii="Arial" w:eastAsia="Times New Roman" w:hAnsi="Arial" w:cs="Arial"/>
          <w:szCs w:val="28"/>
        </w:rPr>
        <w:t xml:space="preserve">Терентьєва М.В. Українське телебачення у контексті сучасних світових медіатенденцій (на прикладі телеканалу СТБ). </w:t>
      </w:r>
      <w:r w:rsidRPr="00511005">
        <w:rPr>
          <w:rFonts w:ascii="Arial" w:eastAsia="Times New Roman" w:hAnsi="Arial" w:cs="Arial"/>
          <w:i/>
          <w:szCs w:val="28"/>
        </w:rPr>
        <w:t>Журналістика</w:t>
      </w:r>
      <w:r w:rsidRPr="00511005">
        <w:rPr>
          <w:rFonts w:ascii="Arial" w:eastAsia="Times New Roman" w:hAnsi="Arial" w:cs="Arial"/>
          <w:szCs w:val="28"/>
        </w:rPr>
        <w:t>. 2015. Вип. 14. С. 139-149.</w:t>
      </w:r>
    </w:p>
    <w:p w14:paraId="5927A6B6" w14:textId="77777777" w:rsidR="00AE57E7" w:rsidRPr="00511005" w:rsidRDefault="00AE57E7" w:rsidP="003A292D">
      <w:pPr>
        <w:spacing w:line="264" w:lineRule="auto"/>
        <w:ind w:firstLine="0"/>
        <w:contextualSpacing/>
        <w:jc w:val="left"/>
        <w:rPr>
          <w:rFonts w:ascii="Arial" w:eastAsia="Calibri" w:hAnsi="Arial" w:cs="Arial"/>
          <w:szCs w:val="28"/>
          <w:lang w:val="uk-UA"/>
        </w:rPr>
      </w:pPr>
    </w:p>
    <w:p w14:paraId="61336962" w14:textId="2A0CC2A6" w:rsidR="00AE57E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szCs w:val="28"/>
          <w:lang w:val="uk-UA"/>
        </w:rPr>
        <w:t>масова комунікація, медійна комунікація,</w:t>
      </w:r>
      <w:r w:rsidRPr="00511005">
        <w:rPr>
          <w:rFonts w:ascii="Arial" w:eastAsia="Calibri" w:hAnsi="Arial" w:cs="Arial"/>
          <w:szCs w:val="28"/>
          <w:lang w:val="uk-UA"/>
        </w:rPr>
        <w:t xml:space="preserve"> </w:t>
      </w:r>
      <w:r w:rsidR="00AE57E7" w:rsidRPr="00511005">
        <w:rPr>
          <w:rFonts w:ascii="Arial" w:eastAsia="Calibri" w:hAnsi="Arial" w:cs="Arial"/>
          <w:szCs w:val="28"/>
          <w:lang w:val="uk-UA"/>
        </w:rPr>
        <w:t>соціальна взаємодія, громадська думка, інформація, соціальні цінності і моделі поведінки.</w:t>
      </w:r>
    </w:p>
    <w:p w14:paraId="0C5EC991" w14:textId="03C32C31" w:rsidR="00AE57E7" w:rsidRPr="00511005" w:rsidRDefault="007B2628" w:rsidP="003A292D">
      <w:pPr>
        <w:spacing w:line="264" w:lineRule="auto"/>
        <w:ind w:firstLine="0"/>
        <w:rPr>
          <w:rFonts w:ascii="Arial" w:eastAsia="Calibri" w:hAnsi="Arial" w:cs="Arial"/>
          <w:szCs w:val="28"/>
          <w:lang w:val="en-US"/>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mass communication, media communication</w:t>
      </w:r>
      <w:r w:rsidR="00AE57E7" w:rsidRPr="00511005">
        <w:rPr>
          <w:rFonts w:ascii="Arial" w:eastAsia="Calibri" w:hAnsi="Arial" w:cs="Arial"/>
          <w:szCs w:val="28"/>
          <w:lang w:val="uk-UA"/>
        </w:rPr>
        <w:t xml:space="preserve">, </w:t>
      </w:r>
      <w:r w:rsidR="00AE57E7" w:rsidRPr="00511005">
        <w:rPr>
          <w:rFonts w:ascii="Arial" w:eastAsia="Calibri" w:hAnsi="Arial" w:cs="Arial"/>
          <w:szCs w:val="28"/>
          <w:lang w:val="en-US"/>
        </w:rPr>
        <w:t>social interaction, public opinion, information, social values and behavioral patterns</w:t>
      </w:r>
    </w:p>
    <w:p w14:paraId="2B6787E9" w14:textId="46A5AF82" w:rsidR="00AE57E7" w:rsidRPr="00511005" w:rsidRDefault="007B2628" w:rsidP="003A292D">
      <w:pPr>
        <w:spacing w:line="264" w:lineRule="auto"/>
        <w:ind w:firstLine="0"/>
        <w:jc w:val="left"/>
        <w:rPr>
          <w:rFonts w:ascii="Arial" w:eastAsia="Calibri" w:hAnsi="Arial" w:cs="Arial"/>
          <w:i/>
          <w:szCs w:val="28"/>
          <w:lang w:val="uk-UA"/>
        </w:rPr>
      </w:pPr>
      <w:r w:rsidRPr="00511005">
        <w:rPr>
          <w:rFonts w:ascii="Arial" w:eastAsia="Calibri" w:hAnsi="Arial" w:cs="Arial"/>
          <w:b/>
          <w:i/>
          <w:szCs w:val="28"/>
          <w:lang w:val="uk-UA"/>
        </w:rPr>
        <w:t xml:space="preserve">Науковий керівник: </w:t>
      </w:r>
      <w:r w:rsidR="00AE57E7" w:rsidRPr="00511005">
        <w:rPr>
          <w:rFonts w:ascii="Arial" w:eastAsia="Calibri" w:hAnsi="Arial" w:cs="Arial"/>
          <w:i/>
          <w:szCs w:val="28"/>
          <w:lang w:val="uk-UA"/>
        </w:rPr>
        <w:t>канд. філол. н., доцент Грушевська Ю.А.</w:t>
      </w:r>
    </w:p>
    <w:p w14:paraId="3DD5AD04" w14:textId="39BA3276" w:rsidR="00AE57E7" w:rsidRPr="00511005" w:rsidRDefault="00AE57E7" w:rsidP="003A292D">
      <w:pPr>
        <w:spacing w:line="264" w:lineRule="auto"/>
        <w:ind w:firstLine="0"/>
        <w:jc w:val="left"/>
        <w:rPr>
          <w:rFonts w:ascii="Arial" w:eastAsia="Calibri" w:hAnsi="Arial" w:cs="Arial"/>
          <w:szCs w:val="28"/>
          <w:lang w:val="uk-UA"/>
        </w:rPr>
      </w:pPr>
    </w:p>
    <w:p w14:paraId="495B5535" w14:textId="77777777" w:rsidR="00AE57E7" w:rsidRPr="00511005" w:rsidRDefault="00AE57E7" w:rsidP="003A292D">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Чеченін Олександр В’ячеславович</w:t>
      </w:r>
    </w:p>
    <w:p w14:paraId="2543F755" w14:textId="2E99E48C" w:rsidR="00896853" w:rsidRPr="00511005" w:rsidRDefault="00287A9C"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студент</w:t>
      </w:r>
      <w:r w:rsidR="00AE57E7" w:rsidRPr="00511005">
        <w:rPr>
          <w:rFonts w:ascii="Arial" w:eastAsia="Times New Roman" w:hAnsi="Arial" w:cs="Arial"/>
          <w:szCs w:val="28"/>
          <w:lang w:val="uk-UA"/>
        </w:rPr>
        <w:t xml:space="preserve"> </w:t>
      </w:r>
      <w:r w:rsidR="007B2628" w:rsidRPr="00511005">
        <w:rPr>
          <w:rFonts w:ascii="Arial" w:eastAsia="Times New Roman" w:hAnsi="Arial" w:cs="Arial"/>
          <w:szCs w:val="28"/>
          <w:lang w:val="uk-UA"/>
        </w:rPr>
        <w:t>2-го курсу</w:t>
      </w:r>
      <w:r w:rsidR="00AE57E7" w:rsidRPr="00511005">
        <w:rPr>
          <w:rFonts w:ascii="Arial" w:eastAsia="Times New Roman" w:hAnsi="Arial" w:cs="Arial"/>
          <w:szCs w:val="28"/>
          <w:lang w:val="uk-UA"/>
        </w:rPr>
        <w:t xml:space="preserve"> </w:t>
      </w:r>
      <w:r w:rsidR="00536AAB" w:rsidRPr="00511005">
        <w:rPr>
          <w:rFonts w:ascii="Arial" w:eastAsia="Times New Roman" w:hAnsi="Arial" w:cs="Arial"/>
          <w:szCs w:val="28"/>
          <w:lang w:val="uk-UA"/>
        </w:rPr>
        <w:t>факультету журналістики</w:t>
      </w:r>
      <w:r w:rsidR="00AE57E7" w:rsidRPr="00511005">
        <w:rPr>
          <w:rFonts w:ascii="Arial" w:eastAsia="Times New Roman" w:hAnsi="Arial" w:cs="Arial"/>
          <w:szCs w:val="28"/>
          <w:lang w:val="uk-UA"/>
        </w:rPr>
        <w:t xml:space="preserve"> </w:t>
      </w:r>
    </w:p>
    <w:p w14:paraId="4FE0BB87" w14:textId="71675C11" w:rsidR="00AE57E7" w:rsidRPr="00511005" w:rsidRDefault="007B2628"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7B870BBF" w14:textId="77777777" w:rsidR="00AE57E7" w:rsidRPr="00511005" w:rsidRDefault="00AE57E7" w:rsidP="003A292D">
      <w:pPr>
        <w:spacing w:line="264" w:lineRule="auto"/>
        <w:ind w:firstLine="0"/>
        <w:jc w:val="center"/>
        <w:rPr>
          <w:rFonts w:ascii="Arial" w:eastAsia="Times New Roman" w:hAnsi="Arial" w:cs="Arial"/>
          <w:b/>
          <w:bCs/>
          <w:szCs w:val="28"/>
          <w:lang w:val="uk-UA"/>
        </w:rPr>
      </w:pPr>
    </w:p>
    <w:p w14:paraId="06DA9933" w14:textId="77777777" w:rsidR="00AE57E7" w:rsidRPr="00511005" w:rsidRDefault="00AE57E7"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b/>
          <w:bCs/>
          <w:szCs w:val="28"/>
          <w:lang w:val="uk-UA"/>
        </w:rPr>
        <w:t xml:space="preserve">ЛЕКСИКО-СЕМАНТИЧНІ ОСОБЛИВОСТІ УКРАЇНСЬКОЇ МОВИ В СОЦІАЛЬНІЙ МЕРЕЖІ </w:t>
      </w:r>
      <w:r w:rsidRPr="00511005">
        <w:rPr>
          <w:rFonts w:ascii="Arial" w:eastAsia="Times New Roman" w:hAnsi="Arial" w:cs="Arial"/>
          <w:b/>
          <w:bCs/>
          <w:szCs w:val="28"/>
        </w:rPr>
        <w:t>TELEGRAM</w:t>
      </w:r>
      <w:r w:rsidRPr="00511005">
        <w:rPr>
          <w:rFonts w:ascii="Arial" w:eastAsia="Times New Roman" w:hAnsi="Arial" w:cs="Arial"/>
          <w:szCs w:val="28"/>
          <w:lang w:val="uk-UA"/>
        </w:rPr>
        <w:t xml:space="preserve"> </w:t>
      </w:r>
    </w:p>
    <w:p w14:paraId="0B33E1EB" w14:textId="77777777" w:rsidR="00AE57E7" w:rsidRPr="00511005" w:rsidRDefault="00AE57E7" w:rsidP="00896853">
      <w:pPr>
        <w:spacing w:line="264" w:lineRule="auto"/>
        <w:rPr>
          <w:rFonts w:ascii="Arial" w:eastAsia="Times New Roman" w:hAnsi="Arial" w:cs="Arial"/>
          <w:szCs w:val="28"/>
        </w:rPr>
      </w:pPr>
      <w:r w:rsidRPr="00511005">
        <w:rPr>
          <w:rFonts w:ascii="Arial" w:eastAsia="Times New Roman" w:hAnsi="Arial" w:cs="Arial"/>
          <w:szCs w:val="28"/>
        </w:rPr>
        <w:lastRenderedPageBreak/>
        <w:t>У сучасному світі спілкування в соціальних мережах стало важливою частиною міжособистісної взаємодії. Соціальна мережа Telegram, яка активно набирає популярності в Україні, є одним із найбільш використовуваних медіа для обміну інформацією. Цей простір став не лише платформою для обміну інформацією та думками, а й місцем формування нових мовних явищ. Лексикон соціальних мереж зазнає трансформації, зокрема через появу неологізмів, англіцизмів, а також зміни значення вже звичних слів.</w:t>
      </w:r>
    </w:p>
    <w:p w14:paraId="606EA42C" w14:textId="77777777" w:rsidR="00AE57E7" w:rsidRPr="00511005" w:rsidRDefault="00AE57E7" w:rsidP="00896853">
      <w:pPr>
        <w:spacing w:line="264" w:lineRule="auto"/>
        <w:rPr>
          <w:rFonts w:ascii="Arial" w:eastAsia="Times New Roman" w:hAnsi="Arial" w:cs="Arial"/>
          <w:szCs w:val="28"/>
        </w:rPr>
      </w:pPr>
      <w:r w:rsidRPr="00511005">
        <w:rPr>
          <w:rFonts w:ascii="Arial" w:eastAsia="Times New Roman" w:hAnsi="Arial" w:cs="Arial"/>
          <w:szCs w:val="28"/>
        </w:rPr>
        <w:t>Метою цієї статті є проведення аналізу лексико-семантичних особливостей української мови в соціальній мережі Telegram. Дослідження спрямоване на вивчення того, як сучасні українські користувачі адаптують мову для комунікації в межах цифрової платформи, як використання специфічних лексичних одиниць змінює стилістичні й семантичні норми української мови в неформальних умовах, які саме мовні тенденції впливають на формування нового шару лексики в Telegram, і як платформа сприяє поширенню інновацій у мові та закріпленню нових значень слів.</w:t>
      </w:r>
    </w:p>
    <w:p w14:paraId="0F9D27D8" w14:textId="77777777" w:rsidR="00AE57E7" w:rsidRPr="00511005" w:rsidRDefault="00AE57E7" w:rsidP="00896853">
      <w:pPr>
        <w:spacing w:line="264" w:lineRule="auto"/>
        <w:rPr>
          <w:rFonts w:ascii="Arial" w:eastAsia="Times New Roman" w:hAnsi="Arial" w:cs="Arial"/>
          <w:szCs w:val="28"/>
        </w:rPr>
      </w:pPr>
      <w:r w:rsidRPr="00511005">
        <w:rPr>
          <w:rFonts w:ascii="Arial" w:eastAsia="Times New Roman" w:hAnsi="Arial" w:cs="Arial"/>
          <w:szCs w:val="28"/>
        </w:rPr>
        <w:t xml:space="preserve">Об’єктом дослідження є текстові повідомлення в україномовних Telegram-каналах, зокрема тих, що спрямовані на молодіжну аудиторію. </w:t>
      </w:r>
    </w:p>
    <w:p w14:paraId="1B0E469D" w14:textId="77777777" w:rsidR="00AE57E7" w:rsidRPr="00511005" w:rsidRDefault="00AE57E7" w:rsidP="00896853">
      <w:pPr>
        <w:spacing w:line="264" w:lineRule="auto"/>
        <w:rPr>
          <w:rFonts w:ascii="Arial" w:eastAsia="Times New Roman" w:hAnsi="Arial" w:cs="Arial"/>
          <w:szCs w:val="28"/>
        </w:rPr>
      </w:pPr>
      <w:r w:rsidRPr="00511005">
        <w:rPr>
          <w:rFonts w:ascii="Arial" w:eastAsia="Times New Roman" w:hAnsi="Arial" w:cs="Arial"/>
          <w:szCs w:val="28"/>
        </w:rPr>
        <w:t>Актуальність дослідження полягає в тому, що ці зміни впливають на мовну культуру та відображають соціокультурні трансформації в українському суспільстві. Через високий рівень інтерактивності платформи та її використання молоддю значну роль у формуванні мовного середовища відіграють сленгові вирази та інновації, що постійно змінюються. Дослідження дозволяє не тільки виявити ці лексичні зміни, а й зрозуміти, як вони відображають сучасний стан української мови в умовах глобалізації та цифровізації.</w:t>
      </w:r>
    </w:p>
    <w:p w14:paraId="0DB7B0E8" w14:textId="77777777" w:rsidR="00AE57E7" w:rsidRPr="00511005" w:rsidRDefault="00AE57E7" w:rsidP="00896853">
      <w:pPr>
        <w:spacing w:line="264" w:lineRule="auto"/>
        <w:rPr>
          <w:rFonts w:ascii="Arial" w:eastAsia="Times New Roman" w:hAnsi="Arial" w:cs="Arial"/>
          <w:b/>
          <w:bCs/>
          <w:szCs w:val="28"/>
        </w:rPr>
      </w:pPr>
      <w:r w:rsidRPr="00511005">
        <w:rPr>
          <w:rFonts w:ascii="Arial" w:eastAsia="Times New Roman" w:hAnsi="Arial" w:cs="Arial"/>
          <w:szCs w:val="28"/>
        </w:rPr>
        <w:t xml:space="preserve">У сучасних дослідженнях лексико-семантичних особливостей української мови в соціальних мережах враховано кілька ключових аспектів: використання сленгу, вплив англіцизмів, швидка адаптація неологізмів тощо. Проте деякі аспекти потребують подальших досліджень. Варто порівняти різні соціальні мережі, зокрема Telegram, з іншми, визначити, які вон мають лексико-семантичні характеристики. Так Telegram із закритими каналами та тематичними групами створює унікальний формат спілкування, що впливає на вибір слів і стилю. Крім того, недостатньо вивченим є спосіб встановлення мовних норм у соціальних мережах. </w:t>
      </w:r>
    </w:p>
    <w:p w14:paraId="5B0A6CC7" w14:textId="77777777" w:rsidR="00AE57E7" w:rsidRPr="00511005" w:rsidRDefault="00AE57E7" w:rsidP="00896853">
      <w:pPr>
        <w:spacing w:line="264" w:lineRule="auto"/>
        <w:rPr>
          <w:rFonts w:ascii="Arial" w:eastAsia="Times New Roman" w:hAnsi="Arial" w:cs="Arial"/>
          <w:szCs w:val="28"/>
        </w:rPr>
      </w:pPr>
      <w:r w:rsidRPr="00511005">
        <w:rPr>
          <w:rFonts w:ascii="Arial" w:eastAsia="Times New Roman" w:hAnsi="Arial" w:cs="Arial"/>
          <w:szCs w:val="28"/>
        </w:rPr>
        <w:t xml:space="preserve">Неологізми та сленг у Telegram є яскравим свідченням адаптації української мови до швидкозмінного цифрового середовища. Як зазначає Козубай І., «…мова соціальних мереж, мова користувачів інтернету, є продуктом включення специфічної термінологічної мови та професійного сленгу до мови повсякденного спілкування» [2, с. 150], що свідчить про постійний розвиток нових мовних одиниць. Неологізми в цьому контексті мають на меті передати емоції або підкреслити певний соціальний контекст. </w:t>
      </w:r>
      <w:r w:rsidRPr="00511005">
        <w:rPr>
          <w:rFonts w:ascii="Arial" w:eastAsia="Times New Roman" w:hAnsi="Arial" w:cs="Arial"/>
          <w:szCs w:val="28"/>
        </w:rPr>
        <w:lastRenderedPageBreak/>
        <w:t xml:space="preserve">Наприклад, нові слова, такі як </w:t>
      </w:r>
      <w:r w:rsidRPr="00511005">
        <w:rPr>
          <w:rFonts w:ascii="Arial" w:eastAsia="Times New Roman" w:hAnsi="Arial" w:cs="Arial"/>
          <w:i/>
          <w:iCs/>
          <w:szCs w:val="28"/>
        </w:rPr>
        <w:t>лайкати</w:t>
      </w:r>
      <w:r w:rsidRPr="00511005">
        <w:rPr>
          <w:rFonts w:ascii="Arial" w:eastAsia="Times New Roman" w:hAnsi="Arial" w:cs="Arial"/>
          <w:szCs w:val="28"/>
        </w:rPr>
        <w:t xml:space="preserve">, </w:t>
      </w:r>
      <w:r w:rsidRPr="00511005">
        <w:rPr>
          <w:rFonts w:ascii="Arial" w:eastAsia="Times New Roman" w:hAnsi="Arial" w:cs="Arial"/>
          <w:i/>
          <w:iCs/>
          <w:szCs w:val="28"/>
        </w:rPr>
        <w:t>постити</w:t>
      </w:r>
      <w:r w:rsidRPr="00511005">
        <w:rPr>
          <w:rFonts w:ascii="Arial" w:eastAsia="Times New Roman" w:hAnsi="Arial" w:cs="Arial"/>
          <w:szCs w:val="28"/>
        </w:rPr>
        <w:t xml:space="preserve"> або </w:t>
      </w:r>
      <w:r w:rsidRPr="00511005">
        <w:rPr>
          <w:rFonts w:ascii="Arial" w:eastAsia="Times New Roman" w:hAnsi="Arial" w:cs="Arial"/>
          <w:i/>
          <w:iCs/>
          <w:szCs w:val="28"/>
        </w:rPr>
        <w:t>фоловити</w:t>
      </w:r>
      <w:r w:rsidRPr="00511005">
        <w:rPr>
          <w:rFonts w:ascii="Arial" w:eastAsia="Times New Roman" w:hAnsi="Arial" w:cs="Arial"/>
          <w:szCs w:val="28"/>
        </w:rPr>
        <w:t>, походять із англійської, але вже встигли прижитися в українському інтернет-дискурсі, зокрема й у Telegram. Це підтверджує думку Ніколаєвої Т., яка стверджує, що «мова соціальних мереж є надзвичайно перемінною та рухливою, зумовлена динамічним розвитком індустріальних спільнот» [3, с. 97].</w:t>
      </w:r>
    </w:p>
    <w:p w14:paraId="39FBE67C" w14:textId="5F78C6A3" w:rsidR="00AE57E7" w:rsidRPr="00511005" w:rsidRDefault="00AE57E7" w:rsidP="00896853">
      <w:pPr>
        <w:spacing w:line="264" w:lineRule="auto"/>
        <w:rPr>
          <w:rFonts w:ascii="Arial" w:eastAsia="Times New Roman" w:hAnsi="Arial" w:cs="Arial"/>
          <w:szCs w:val="28"/>
        </w:rPr>
      </w:pPr>
      <w:r w:rsidRPr="00511005">
        <w:rPr>
          <w:rFonts w:ascii="Arial" w:eastAsia="Times New Roman" w:hAnsi="Arial" w:cs="Arial"/>
          <w:szCs w:val="28"/>
        </w:rPr>
        <w:t xml:space="preserve">Неологізми не тільки дозволяють економити час у комунікації, а й створюють новий спосіб самовираження. Такі слова та вирази часто використовуються для підсилення емоційного забарвлення повідомлень, роблячи спілкування більш яскравим та неформальним. Як зазначає Гарцунова Л., «характерною ознакою комп’ютерного сленгу є використання скорочень та абревіатур, що є бажанням мовців економічно та раціонально використовувати мовні </w:t>
      </w:r>
      <w:proofErr w:type="gramStart"/>
      <w:r w:rsidRPr="00511005">
        <w:rPr>
          <w:rFonts w:ascii="Arial" w:eastAsia="Times New Roman" w:hAnsi="Arial" w:cs="Arial"/>
          <w:szCs w:val="28"/>
        </w:rPr>
        <w:t>зусилля»[</w:t>
      </w:r>
      <w:proofErr w:type="gramEnd"/>
      <w:r w:rsidRPr="00511005">
        <w:rPr>
          <w:rFonts w:ascii="Arial" w:eastAsia="Times New Roman" w:hAnsi="Arial" w:cs="Arial"/>
          <w:szCs w:val="28"/>
        </w:rPr>
        <w:t>1, с. 1]. Відповідно, сленг та неологізми формують лексичний корпус, який стає основою для нових соціальних зв'язків та групової ідентифікації в мережі.</w:t>
      </w:r>
    </w:p>
    <w:p w14:paraId="0FC5F4DF" w14:textId="37694C6F" w:rsidR="00AE57E7" w:rsidRPr="00511005" w:rsidRDefault="00AE57E7" w:rsidP="00896853">
      <w:pPr>
        <w:spacing w:line="264" w:lineRule="auto"/>
        <w:rPr>
          <w:rFonts w:ascii="Arial" w:eastAsia="Times New Roman" w:hAnsi="Arial" w:cs="Arial"/>
          <w:szCs w:val="28"/>
        </w:rPr>
      </w:pPr>
      <w:r w:rsidRPr="00511005">
        <w:rPr>
          <w:rFonts w:ascii="Arial" w:eastAsia="Times New Roman" w:hAnsi="Arial" w:cs="Arial"/>
          <w:szCs w:val="28"/>
        </w:rPr>
        <w:t xml:space="preserve">Сленг у соціальних мережах, зокрема в Telegram, використовується як своєрідний «пароль» для належності до певних спільнот. Неологізми є результатом змін у сучасному житті, науково-технічному прогресі та вимогах нового комунікативного середовища. Сленг не тільки допомагає виділити мовні групи та їхні особливості, але й стає важливим інструментом у процесі самовираження. У Telegram це проявляється у створенні нових слів та виразів, які розповсюджуються завдяки швидкому обміну інформацією. </w:t>
      </w:r>
      <w:proofErr w:type="gramStart"/>
      <w:r w:rsidRPr="00511005">
        <w:rPr>
          <w:rFonts w:ascii="Arial" w:eastAsia="Times New Roman" w:hAnsi="Arial" w:cs="Arial"/>
          <w:szCs w:val="28"/>
        </w:rPr>
        <w:t>Для прикладу</w:t>
      </w:r>
      <w:proofErr w:type="gramEnd"/>
      <w:r w:rsidRPr="00511005">
        <w:rPr>
          <w:rFonts w:ascii="Arial" w:eastAsia="Times New Roman" w:hAnsi="Arial" w:cs="Arial"/>
          <w:szCs w:val="28"/>
        </w:rPr>
        <w:t xml:space="preserve">, такі вирази, як </w:t>
      </w:r>
      <w:r w:rsidRPr="00511005">
        <w:rPr>
          <w:rFonts w:ascii="Arial" w:eastAsia="Times New Roman" w:hAnsi="Arial" w:cs="Arial"/>
          <w:i/>
          <w:iCs/>
          <w:szCs w:val="28"/>
        </w:rPr>
        <w:t>залітаю на канал</w:t>
      </w:r>
      <w:r w:rsidRPr="00511005">
        <w:rPr>
          <w:rFonts w:ascii="Arial" w:eastAsia="Times New Roman" w:hAnsi="Arial" w:cs="Arial"/>
          <w:szCs w:val="28"/>
        </w:rPr>
        <w:t xml:space="preserve">, </w:t>
      </w:r>
      <w:r w:rsidRPr="00511005">
        <w:rPr>
          <w:rFonts w:ascii="Arial" w:eastAsia="Times New Roman" w:hAnsi="Arial" w:cs="Arial"/>
          <w:i/>
          <w:iCs/>
          <w:szCs w:val="28"/>
        </w:rPr>
        <w:t>поставити реакцію</w:t>
      </w:r>
      <w:r w:rsidRPr="00511005">
        <w:rPr>
          <w:rFonts w:ascii="Arial" w:eastAsia="Times New Roman" w:hAnsi="Arial" w:cs="Arial"/>
          <w:szCs w:val="28"/>
        </w:rPr>
        <w:t xml:space="preserve">, або </w:t>
      </w:r>
      <w:r w:rsidRPr="00511005">
        <w:rPr>
          <w:rFonts w:ascii="Arial" w:eastAsia="Times New Roman" w:hAnsi="Arial" w:cs="Arial"/>
          <w:i/>
          <w:iCs/>
          <w:szCs w:val="28"/>
        </w:rPr>
        <w:t>зафоловити</w:t>
      </w:r>
      <w:r w:rsidRPr="00511005">
        <w:rPr>
          <w:rFonts w:ascii="Arial" w:eastAsia="Times New Roman" w:hAnsi="Arial" w:cs="Arial"/>
          <w:szCs w:val="28"/>
        </w:rPr>
        <w:t xml:space="preserve"> стали поширеними у повсякденному спілкуванні.</w:t>
      </w:r>
    </w:p>
    <w:p w14:paraId="384FCFFA" w14:textId="44DD98C1" w:rsidR="00AE57E7" w:rsidRPr="00511005" w:rsidRDefault="00AE57E7" w:rsidP="00896853">
      <w:pPr>
        <w:spacing w:line="264" w:lineRule="auto"/>
        <w:rPr>
          <w:rFonts w:ascii="Arial" w:eastAsia="Times New Roman" w:hAnsi="Arial" w:cs="Arial"/>
          <w:szCs w:val="28"/>
        </w:rPr>
      </w:pPr>
      <w:r w:rsidRPr="00511005">
        <w:rPr>
          <w:rFonts w:ascii="Arial" w:eastAsia="Times New Roman" w:hAnsi="Arial" w:cs="Arial"/>
          <w:szCs w:val="28"/>
        </w:rPr>
        <w:t>Сленгова лексика в Telegram свідчить про гнучкість української мови, яка легко пристосовується до нових умов комунікації, формуючи свій унікальний інтернет-дискурс. Це дозволяє створювати нові мовні одиниці, що відображають специфіку цифрового спілкування та культурні трансформації в сучасному суспільстві.</w:t>
      </w:r>
    </w:p>
    <w:p w14:paraId="0439F424" w14:textId="77777777" w:rsidR="00896853" w:rsidRPr="00511005" w:rsidRDefault="00896853" w:rsidP="00896853">
      <w:pPr>
        <w:spacing w:line="264" w:lineRule="auto"/>
        <w:rPr>
          <w:rFonts w:ascii="Arial" w:eastAsia="Times New Roman" w:hAnsi="Arial" w:cs="Arial"/>
          <w:szCs w:val="28"/>
        </w:rPr>
      </w:pPr>
    </w:p>
    <w:p w14:paraId="68EA6FCD" w14:textId="2DA0455C" w:rsidR="00AE57E7" w:rsidRPr="00511005" w:rsidRDefault="007B2628" w:rsidP="007B2628">
      <w:pPr>
        <w:spacing w:line="264" w:lineRule="auto"/>
        <w:ind w:firstLine="0"/>
        <w:jc w:val="center"/>
        <w:rPr>
          <w:rFonts w:ascii="Arial" w:eastAsia="Times New Roman" w:hAnsi="Arial" w:cs="Arial"/>
          <w:b/>
          <w:bCs/>
          <w:szCs w:val="28"/>
        </w:rPr>
      </w:pPr>
      <w:r w:rsidRPr="00511005">
        <w:rPr>
          <w:rFonts w:ascii="Arial" w:eastAsia="Times New Roman" w:hAnsi="Arial" w:cs="Arial"/>
          <w:b/>
          <w:bCs/>
          <w:szCs w:val="28"/>
          <w:lang w:val="uk-UA"/>
        </w:rPr>
        <w:t>Список використаних джерел</w:t>
      </w:r>
    </w:p>
    <w:p w14:paraId="04CFFE57" w14:textId="77777777" w:rsidR="00AE57E7" w:rsidRPr="00511005" w:rsidRDefault="00AE57E7" w:rsidP="003F6A5D">
      <w:pPr>
        <w:numPr>
          <w:ilvl w:val="0"/>
          <w:numId w:val="786"/>
        </w:numPr>
        <w:tabs>
          <w:tab w:val="left" w:pos="993"/>
        </w:tabs>
        <w:spacing w:line="264" w:lineRule="auto"/>
        <w:ind w:firstLine="0"/>
        <w:jc w:val="left"/>
        <w:rPr>
          <w:rFonts w:ascii="Arial" w:eastAsia="Times New Roman" w:hAnsi="Arial" w:cs="Arial"/>
          <w:szCs w:val="28"/>
        </w:rPr>
      </w:pPr>
      <w:r w:rsidRPr="00511005">
        <w:rPr>
          <w:rFonts w:ascii="Arial" w:eastAsia="Times New Roman" w:hAnsi="Arial" w:cs="Arial"/>
          <w:szCs w:val="28"/>
        </w:rPr>
        <w:t xml:space="preserve">Гарцунова Л. І. Лексичні особливості інтернет-комунікації. Сучасний рух науки: матеріали IX міжнародної науково-практичної інтернет-конференції. 2019. С. 310-314. </w:t>
      </w:r>
    </w:p>
    <w:p w14:paraId="3A5D148A" w14:textId="77777777" w:rsidR="00AE57E7" w:rsidRPr="00511005" w:rsidRDefault="00AE57E7" w:rsidP="003F6A5D">
      <w:pPr>
        <w:numPr>
          <w:ilvl w:val="0"/>
          <w:numId w:val="786"/>
        </w:numPr>
        <w:tabs>
          <w:tab w:val="left" w:pos="993"/>
        </w:tabs>
        <w:spacing w:line="264" w:lineRule="auto"/>
        <w:ind w:firstLine="0"/>
        <w:jc w:val="left"/>
        <w:rPr>
          <w:rFonts w:ascii="Arial" w:eastAsia="Times New Roman" w:hAnsi="Arial" w:cs="Arial"/>
          <w:szCs w:val="28"/>
        </w:rPr>
      </w:pPr>
      <w:r w:rsidRPr="00511005">
        <w:rPr>
          <w:rFonts w:ascii="Arial" w:eastAsia="Times New Roman" w:hAnsi="Arial" w:cs="Arial"/>
          <w:szCs w:val="28"/>
        </w:rPr>
        <w:t xml:space="preserve">Козубай І. М. Сленг соціальних мереж: лексичні та структурно-семантичні особливості. </w:t>
      </w:r>
      <w:r w:rsidRPr="00511005">
        <w:rPr>
          <w:rFonts w:ascii="Arial" w:eastAsia="Times New Roman" w:hAnsi="Arial" w:cs="Arial"/>
          <w:i/>
          <w:iCs/>
          <w:szCs w:val="28"/>
        </w:rPr>
        <w:t xml:space="preserve">Актуальнi питання гуманiтарних наук. </w:t>
      </w:r>
      <w:r w:rsidRPr="00511005">
        <w:rPr>
          <w:rFonts w:ascii="Arial" w:eastAsia="Times New Roman" w:hAnsi="Arial" w:cs="Arial"/>
          <w:szCs w:val="28"/>
        </w:rPr>
        <w:t xml:space="preserve">Вип. 56. Т.2. 2022. С. 149-153. </w:t>
      </w:r>
    </w:p>
    <w:p w14:paraId="1FE9D02C" w14:textId="77777777" w:rsidR="00AE57E7" w:rsidRPr="00511005" w:rsidRDefault="00AE57E7" w:rsidP="003F6A5D">
      <w:pPr>
        <w:numPr>
          <w:ilvl w:val="0"/>
          <w:numId w:val="786"/>
        </w:numPr>
        <w:tabs>
          <w:tab w:val="left" w:pos="993"/>
        </w:tabs>
        <w:spacing w:line="264" w:lineRule="auto"/>
        <w:ind w:firstLine="0"/>
        <w:jc w:val="left"/>
        <w:rPr>
          <w:rFonts w:ascii="Arial" w:eastAsia="Times New Roman" w:hAnsi="Arial" w:cs="Arial"/>
          <w:i/>
          <w:iCs/>
          <w:szCs w:val="28"/>
        </w:rPr>
      </w:pPr>
      <w:r w:rsidRPr="00511005">
        <w:rPr>
          <w:rFonts w:ascii="Arial" w:eastAsia="Times New Roman" w:hAnsi="Arial" w:cs="Arial"/>
          <w:szCs w:val="28"/>
        </w:rPr>
        <w:t xml:space="preserve">Ніколаєва Т. В. Лексико-семантичні аспекти мови соціальних мереж. Закарпатські філологічні студії. Вип.9. Т. 2. 2019. С. 96-101 </w:t>
      </w:r>
    </w:p>
    <w:p w14:paraId="67E3D9E2" w14:textId="77777777" w:rsidR="00AE57E7" w:rsidRPr="00511005" w:rsidRDefault="00AE57E7" w:rsidP="003A292D">
      <w:pPr>
        <w:tabs>
          <w:tab w:val="left" w:pos="993"/>
        </w:tabs>
        <w:spacing w:line="264" w:lineRule="auto"/>
        <w:ind w:firstLine="0"/>
        <w:rPr>
          <w:rFonts w:ascii="Arial" w:eastAsia="Times New Roman" w:hAnsi="Arial" w:cs="Arial"/>
          <w:b/>
          <w:bCs/>
          <w:szCs w:val="28"/>
          <w:lang w:val="uk-UA"/>
        </w:rPr>
      </w:pPr>
    </w:p>
    <w:p w14:paraId="2B2AB242" w14:textId="3B9EE3C6" w:rsidR="00AE57E7" w:rsidRPr="00511005" w:rsidRDefault="007B2628" w:rsidP="003A292D">
      <w:pPr>
        <w:tabs>
          <w:tab w:val="left" w:pos="993"/>
        </w:tabs>
        <w:spacing w:line="264" w:lineRule="auto"/>
        <w:ind w:firstLine="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AE57E7" w:rsidRPr="00511005">
        <w:rPr>
          <w:rFonts w:ascii="Arial" w:eastAsia="Times New Roman" w:hAnsi="Arial" w:cs="Arial"/>
          <w:szCs w:val="28"/>
          <w:lang w:val="uk-UA"/>
        </w:rPr>
        <w:t>лексико-семантичні особливості, соціальні мережі, інтернет-дискурс, неологізми, сленг, англіцизми, цифрова комунікація.</w:t>
      </w:r>
    </w:p>
    <w:p w14:paraId="20054AD2" w14:textId="7F51F153" w:rsidR="00AE57E7" w:rsidRPr="00511005" w:rsidRDefault="007B2628" w:rsidP="003A292D">
      <w:pPr>
        <w:tabs>
          <w:tab w:val="left" w:pos="993"/>
        </w:tabs>
        <w:spacing w:line="264" w:lineRule="auto"/>
        <w:ind w:firstLine="0"/>
        <w:rPr>
          <w:rFonts w:ascii="Arial" w:eastAsia="Times New Roman" w:hAnsi="Arial" w:cs="Arial"/>
          <w:szCs w:val="28"/>
          <w:lang w:val="en-US"/>
        </w:rPr>
      </w:pPr>
      <w:r w:rsidRPr="00511005">
        <w:rPr>
          <w:rFonts w:ascii="Arial" w:eastAsia="Times New Roman" w:hAnsi="Arial" w:cs="Arial"/>
          <w:b/>
          <w:bCs/>
          <w:i/>
          <w:szCs w:val="28"/>
          <w:lang w:val="en-US"/>
        </w:rPr>
        <w:lastRenderedPageBreak/>
        <w:t xml:space="preserve">Key words: </w:t>
      </w:r>
      <w:r w:rsidR="00AE57E7" w:rsidRPr="00511005">
        <w:rPr>
          <w:rFonts w:ascii="Arial" w:eastAsia="Times New Roman" w:hAnsi="Arial" w:cs="Arial"/>
          <w:szCs w:val="28"/>
          <w:lang w:val="en-US"/>
        </w:rPr>
        <w:t>lexical-semantic features, social networks, Internet discourse, neologisms, slang, Anglicisms, digital communication.</w:t>
      </w:r>
    </w:p>
    <w:p w14:paraId="061420A7" w14:textId="1E090219" w:rsidR="00AE57E7" w:rsidRPr="00511005" w:rsidRDefault="007B2628" w:rsidP="003A292D">
      <w:pPr>
        <w:tabs>
          <w:tab w:val="left" w:pos="993"/>
        </w:tabs>
        <w:spacing w:line="264" w:lineRule="auto"/>
        <w:ind w:firstLine="0"/>
        <w:rPr>
          <w:rFonts w:ascii="Arial" w:eastAsia="Times New Roman" w:hAnsi="Arial" w:cs="Arial"/>
          <w:i/>
          <w:iCs/>
          <w:szCs w:val="28"/>
        </w:rPr>
      </w:pPr>
      <w:r w:rsidRPr="00511005">
        <w:rPr>
          <w:rFonts w:ascii="Arial" w:eastAsia="Times New Roman" w:hAnsi="Arial" w:cs="Arial"/>
          <w:b/>
          <w:i/>
          <w:iCs/>
          <w:szCs w:val="28"/>
        </w:rPr>
        <w:t xml:space="preserve">Науковий керівник: </w:t>
      </w:r>
      <w:r w:rsidR="00AE57E7" w:rsidRPr="00511005">
        <w:rPr>
          <w:rFonts w:ascii="Arial" w:eastAsia="Times New Roman" w:hAnsi="Arial" w:cs="Arial"/>
          <w:i/>
          <w:iCs/>
          <w:szCs w:val="28"/>
        </w:rPr>
        <w:t>д.філол.н., професор Мамич М.В.</w:t>
      </w:r>
    </w:p>
    <w:p w14:paraId="4D354949" w14:textId="77777777" w:rsidR="00AE57E7" w:rsidRPr="00511005" w:rsidRDefault="00AE57E7" w:rsidP="003A292D">
      <w:pPr>
        <w:spacing w:line="264" w:lineRule="auto"/>
        <w:ind w:firstLine="0"/>
        <w:jc w:val="left"/>
        <w:rPr>
          <w:rFonts w:ascii="Arial" w:eastAsia="Calibri" w:hAnsi="Arial" w:cs="Arial"/>
          <w:szCs w:val="28"/>
        </w:rPr>
      </w:pPr>
    </w:p>
    <w:p w14:paraId="2D0A5967" w14:textId="77777777" w:rsidR="003F5D68" w:rsidRPr="00511005" w:rsidRDefault="003F5D68" w:rsidP="003A292D">
      <w:pPr>
        <w:keepNext/>
        <w:spacing w:line="264" w:lineRule="auto"/>
        <w:ind w:firstLine="0"/>
        <w:jc w:val="left"/>
        <w:rPr>
          <w:rFonts w:ascii="Arial" w:hAnsi="Arial" w:cs="Arial"/>
          <w:szCs w:val="28"/>
        </w:rPr>
      </w:pPr>
    </w:p>
    <w:p w14:paraId="01148D41"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0C7B9902" w14:textId="77777777" w:rsidR="003F5D68" w:rsidRPr="00511005" w:rsidRDefault="003F5D68" w:rsidP="003A292D">
      <w:pPr>
        <w:keepNext/>
        <w:suppressAutoHyphens/>
        <w:spacing w:line="264" w:lineRule="auto"/>
        <w:ind w:firstLine="0"/>
        <w:jc w:val="left"/>
        <w:rPr>
          <w:rFonts w:ascii="Arial" w:hAnsi="Arial" w:cs="Arial"/>
          <w:szCs w:val="28"/>
        </w:rPr>
      </w:pPr>
    </w:p>
    <w:p w14:paraId="7CA9A383" w14:textId="2BC40765" w:rsidR="003F5D68" w:rsidRPr="00511005" w:rsidRDefault="003F5D68" w:rsidP="003A292D">
      <w:pPr>
        <w:pStyle w:val="aa"/>
        <w:spacing w:before="0" w:after="0" w:line="264" w:lineRule="auto"/>
        <w:rPr>
          <w:rFonts w:ascii="Arial" w:hAnsi="Arial" w:cs="Arial"/>
          <w:color w:val="auto"/>
          <w:sz w:val="28"/>
          <w:szCs w:val="28"/>
        </w:rPr>
      </w:pPr>
      <w:bookmarkStart w:id="320" w:name="_Toc208299011"/>
      <w:r w:rsidRPr="00511005">
        <w:rPr>
          <w:rFonts w:ascii="Arial" w:hAnsi="Arial" w:cs="Arial"/>
          <w:color w:val="auto"/>
          <w:sz w:val="28"/>
          <w:szCs w:val="28"/>
        </w:rPr>
        <w:t xml:space="preserve">СЕКЦІЯ </w:t>
      </w:r>
      <w:r w:rsidR="00256A2F" w:rsidRPr="00511005">
        <w:rPr>
          <w:rFonts w:ascii="Arial" w:hAnsi="Arial" w:cs="Arial"/>
          <w:color w:val="auto"/>
          <w:sz w:val="28"/>
          <w:szCs w:val="28"/>
          <w:lang w:val="ru-RU"/>
        </w:rPr>
        <w:t>2</w:t>
      </w:r>
      <w:r w:rsidR="00532C25">
        <w:rPr>
          <w:rFonts w:ascii="Arial" w:hAnsi="Arial" w:cs="Arial"/>
          <w:color w:val="auto"/>
          <w:sz w:val="28"/>
          <w:szCs w:val="28"/>
          <w:lang w:val="en-US"/>
        </w:rPr>
        <w:t>0</w:t>
      </w:r>
      <w:r w:rsidR="00256A2F" w:rsidRPr="00511005">
        <w:rPr>
          <w:rFonts w:ascii="Arial" w:hAnsi="Arial" w:cs="Arial"/>
          <w:color w:val="auto"/>
          <w:sz w:val="28"/>
          <w:szCs w:val="28"/>
          <w:lang w:val="ru-RU"/>
        </w:rPr>
        <w:t>. ПОЛІТОЛОГІЧНІ ДОСЛІДЖЕННЯ ДЕРЖАВИ ТА СУСПІЛЬСТВА</w:t>
      </w:r>
      <w:bookmarkEnd w:id="320"/>
      <w:r w:rsidR="00256A2F" w:rsidRPr="00511005">
        <w:rPr>
          <w:rFonts w:ascii="Arial" w:hAnsi="Arial" w:cs="Arial"/>
          <w:color w:val="auto"/>
          <w:sz w:val="28"/>
          <w:szCs w:val="28"/>
        </w:rPr>
        <w:t xml:space="preserve"> </w:t>
      </w:r>
    </w:p>
    <w:p w14:paraId="12F2D05E" w14:textId="77777777" w:rsidR="003F5D68" w:rsidRPr="00511005" w:rsidRDefault="003F5D68" w:rsidP="003A292D">
      <w:pPr>
        <w:keepNext/>
        <w:spacing w:line="264" w:lineRule="auto"/>
        <w:ind w:firstLine="0"/>
        <w:jc w:val="left"/>
        <w:rPr>
          <w:rFonts w:ascii="Arial" w:hAnsi="Arial" w:cs="Arial"/>
          <w:szCs w:val="28"/>
        </w:rPr>
      </w:pPr>
    </w:p>
    <w:p w14:paraId="3EA0AC2B" w14:textId="77777777" w:rsidR="00DF77B5" w:rsidRPr="00511005" w:rsidRDefault="00DF77B5" w:rsidP="00896853">
      <w:pPr>
        <w:widowControl w:val="0"/>
        <w:autoSpaceDE w:val="0"/>
        <w:autoSpaceDN w:val="0"/>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Асцатрян Крістіна Сергіївна</w:t>
      </w:r>
    </w:p>
    <w:p w14:paraId="34F9BA46" w14:textId="226844F3" w:rsidR="00DF77B5" w:rsidRPr="00511005" w:rsidRDefault="007B2628" w:rsidP="00896853">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студентка 1-го курсу факультету цивільної та господарської юстиції</w:t>
      </w:r>
    </w:p>
    <w:p w14:paraId="6B6BE24C" w14:textId="7E75C42A" w:rsidR="00DF77B5" w:rsidRPr="00511005" w:rsidRDefault="007B2628" w:rsidP="00896853">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24D579C4" w14:textId="77777777" w:rsidR="00DF77B5" w:rsidRPr="00511005" w:rsidRDefault="00DF77B5" w:rsidP="00896853">
      <w:pPr>
        <w:widowControl w:val="0"/>
        <w:autoSpaceDE w:val="0"/>
        <w:autoSpaceDN w:val="0"/>
        <w:spacing w:line="264" w:lineRule="auto"/>
        <w:ind w:firstLine="0"/>
        <w:jc w:val="center"/>
        <w:rPr>
          <w:rFonts w:ascii="Arial" w:eastAsia="Times New Roman" w:hAnsi="Arial" w:cs="Arial"/>
          <w:i/>
          <w:iCs/>
          <w:szCs w:val="28"/>
          <w:lang w:val="uk-UA"/>
        </w:rPr>
      </w:pPr>
    </w:p>
    <w:p w14:paraId="2CAD2D4B" w14:textId="6103E073" w:rsidR="00DF77B5" w:rsidRPr="00511005" w:rsidRDefault="00DF77B5" w:rsidP="00896853">
      <w:pPr>
        <w:widowControl w:val="0"/>
        <w:autoSpaceDE w:val="0"/>
        <w:autoSpaceDN w:val="0"/>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ПСИХОПОЛІТИКА В ЕПОХУ СОЦІАЛЬНИХ МЕРЕЖ</w:t>
      </w:r>
      <w:r w:rsidR="00425480" w:rsidRPr="00511005">
        <w:rPr>
          <w:rFonts w:ascii="Arial" w:eastAsia="Times New Roman" w:hAnsi="Arial" w:cs="Arial"/>
          <w:b/>
          <w:bCs/>
          <w:szCs w:val="28"/>
          <w:lang w:val="uk-UA"/>
        </w:rPr>
        <w:t>.</w:t>
      </w:r>
      <w:r w:rsidRPr="00511005">
        <w:rPr>
          <w:rFonts w:ascii="Arial" w:eastAsia="Times New Roman" w:hAnsi="Arial" w:cs="Arial"/>
          <w:b/>
          <w:bCs/>
          <w:szCs w:val="28"/>
          <w:lang w:val="uk-UA"/>
        </w:rPr>
        <w:t xml:space="preserve"> ЯК ЕМОЦІЇ ВИТІСНЯЮТЬ АРГУМЕНТИ В СОЦІАЛЬНІЙ ДЕМОКРАТІЇ</w:t>
      </w:r>
    </w:p>
    <w:p w14:paraId="0740AF9C"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У сучасному суспільстві соціальні мережі стали головним середовищем комунікації, самовираження та політичної активності. Вони не лише поширюють інформацію, а й формують спосіб мислення, впливаючи на емоційний стан та поведінку користувачів. Замість раціонального аналізу подій дедалі частіше переважають емоційні реакції — обурення, страх, співчуття. У таких умовах політична комунікація змінюється: важливішими стають не факти й аргументи, а емоційний вплив і маніпулятивні повідомлення. Цей процес отримав назву психополітики і став викликом для функціонування соціальної демократії.</w:t>
      </w:r>
    </w:p>
    <w:p w14:paraId="579D97C9"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rPr>
        <w:t>Психополітика — це форма влади, що використовує психологічні механізми впливу на свідомість і поведінку людей з метою контролю, переконання або маніпуляції. Вона ґрунтується не на примусі, як класична політика, а на внутрішньому прийнятті індивідом певних норм, бажань і переконань. Корейсько-німецький філософ Бюнг-Чуль Хан</w:t>
      </w:r>
      <w:r w:rsidRPr="00511005">
        <w:rPr>
          <w:rFonts w:ascii="Arial" w:eastAsia="Times New Roman" w:hAnsi="Arial" w:cs="Arial"/>
          <w:szCs w:val="28"/>
          <w:lang w:val="uk-UA" w:eastAsia="uk-UA"/>
        </w:rPr>
        <w:t xml:space="preserve"> розвинув поняття психополітики у своїй книзі «Психополітика. Неолібералізм і нові технології влади» — вперше виданою німецькою у 2014 році.</w:t>
      </w:r>
      <w:r w:rsidRPr="00511005">
        <w:rPr>
          <w:rFonts w:ascii="Arial" w:eastAsia="Times New Roman" w:hAnsi="Arial" w:cs="Arial"/>
          <w:szCs w:val="28"/>
          <w:lang w:val="uk-UA"/>
        </w:rPr>
        <w:t xml:space="preserve"> </w:t>
      </w:r>
      <w:r w:rsidRPr="00511005">
        <w:rPr>
          <w:rFonts w:ascii="Arial" w:eastAsia="Times New Roman" w:hAnsi="Arial" w:cs="Arial"/>
          <w:szCs w:val="28"/>
          <w:lang w:val="uk-UA" w:eastAsia="uk-UA"/>
        </w:rPr>
        <w:t>У цій праці він аналізує, як неоліберальна система влади переходить від зовнішнього примусу до внутрішньої саморегуляції особистості, використовуючи психологічний контроль замість фізичного [1].</w:t>
      </w:r>
    </w:p>
    <w:p w14:paraId="53D4E8FD"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Таким чином, сучасна влада вже не ґрунтується на прямому примусі чи насильстві. Вона не змушує людину діяти всупереч її волі, а, навпаки, використовує її власні прагнення, мотивацію та бажання до саморозвитку. Така влада діє м’яко й непомітно: вона заохочує людину добровільно підкорятися, переконуючи, що це — її власний вибір. У результаті контроль стає менш очевидним, але глибшим і ефективнішим.</w:t>
      </w:r>
    </w:p>
    <w:p w14:paraId="29FB0C20" w14:textId="082E80B6"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У цьому контексті соціальні мережі відіграють ключову роль як середовище для поширення психополітичного впливу. Вони створюють ілюзію вільного самовираження, хоча насправді є ефективними інструментами збору даних, прогнозування поведінки і м’якого нав’язування потрібних установок. Платформи на кшталт Facebook, Twitter або Instagram</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функціонують за логікою залучення уваги, що робить емоційний контент значно ефективнішим за аналітичний. Це означає, що політичні </w:t>
      </w:r>
      <w:r w:rsidRPr="00511005">
        <w:rPr>
          <w:rFonts w:ascii="Arial" w:eastAsia="Times New Roman" w:hAnsi="Arial" w:cs="Arial"/>
          <w:szCs w:val="28"/>
          <w:lang w:val="uk-UA"/>
        </w:rPr>
        <w:lastRenderedPageBreak/>
        <w:t>повідомлення, побудовані на страху, обуренні, гніві або співчутті, мають набагато більший шанс бути поширеними, ніж спокійний аргументований аналіз. У результаті цього змінюється саме розуміння політичного діалогу, який більше не є змаганням ідей, а стає боротьбою за увагу.</w:t>
      </w:r>
    </w:p>
    <w:p w14:paraId="1F0CF5C7"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Психополітика виникла як наслідок глибоких змін у способах здійснення влади, що почалися з переходом до неоліберальної моделі наприкінці 1970-х — на початку 1980-х років. У цей період відбувається зрушення від колективістських підходів держави добробуту до ідеології індивідуальної відповідальності, ринкової свободи та самоуправління. Політична влада поступово починає діяти не через зовнішній примус, а через внутрішню мотивацію особи. Водночас, індивідуальне "я" дедалі більше формує себе відповідно до зовнішніх очікувань — вподобань, лайків, коментарів. Таким чином, соціальні мережі створюють систему постійного емоційного оцінювання, яка формує політичну поведінку. Люди починають ототожнювати власну політичну позицію з певним емоційним станом або відчуттям приналежності до групи.</w:t>
      </w:r>
    </w:p>
    <w:p w14:paraId="4F3D9814"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Особливістю психополітики є її здатність маскуватися під форму особистої свободи. Індивід переконаний, що приймає рішення самостійно, хоча його поведінка вже визначається алгоритмами та інформаційними потоками. Ці алгоритми не орієнтовані на істину чи розвиток демократії, а на максимізацію залучення та реакцій. У результаті політична комунікація втрачає послідовність і змістовність, поступаючись місцем фрагментованим повідомленням, емоційним лозунгам, мемам та коротким відео. Звичні інструменти демократії — публічні дебати, парламентські обговорення — стають менш привабливими для масової аудиторії.</w:t>
      </w:r>
    </w:p>
    <w:p w14:paraId="0900075E"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Першими дослідниками, які звернули увагу на зміну характеру влади, були французькі філософи Мішель Фуко та Жиль Делез. Вони сформулювали поняття біовлади, а також влади, що "не карає, а нормалізує". Проте саме Бюнг-Чуль Хан здійснив спробу перенести ці ідеї у цифрову епоху. Він наголошує, що контроль більше не здійснюється через зовнішній примус, а через внутрішнє бажання бути продуктивним, видимим, популярним. У контексті соціальних мереж індивід перетворюється на бренд, а політична активність — на форму публічного самовираження. Така трансформація має серйозні наслідки для соціальної демократії, що базується на раціональному обговоренні та усвідомленому виборі. Якщо ж політика підміняється емоційними реакціями, виборці стають легкою здобиччю для маніпуляцій та фейків.</w:t>
      </w:r>
    </w:p>
    <w:p w14:paraId="61275B4B"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У сучасній соціальній демократії політична комунікація все більше базується не на логіці чи фактах, а на впливі на почуття аудиторії. Соціальні мережі сприяють цьому, створюючи середовище миттєвих реакцій — лайків, репостів, коментарів, що підкріплюють емоційну залученість. У такому контексті виборець не розглядає аналітичну аргументацію, а реагує на </w:t>
      </w:r>
      <w:r w:rsidRPr="00511005">
        <w:rPr>
          <w:rFonts w:ascii="Arial" w:eastAsia="Times New Roman" w:hAnsi="Arial" w:cs="Arial"/>
          <w:szCs w:val="28"/>
          <w:lang w:val="uk-UA"/>
        </w:rPr>
        <w:lastRenderedPageBreak/>
        <w:t>особисту симпатію чи антипатію до кандидата чи меседжу. Політики, своєю чергою, адаптують риторику, використовуючи прості гасла, емоційні образи й персоналізовані наративи. Аргументи втрачають ефективність, бо потребують часу на осмислення, тоді як емоція діє миттєво. Замість обговорення складних соціально-економічних питань домінують теми, які викликають обурення, страх або гордість. У суспільстві формуються емоційні спільноти, де важливішим є «бути з нашими», ніж розуміти зміст проблеми. Це сприяє поляризації — замість діалогу виникає протистояння. Поширення мемів, відео та коротких емоційних повідомлень витісняє глибоку політичну аналітику. Така динаміка підриває основу соціальної демократії, яка передбачає участь свідомого громадянина у виробленні загального блага.</w:t>
      </w:r>
    </w:p>
    <w:p w14:paraId="3DE6244A"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В Україні психополітика проявляється особливо яскраво в умовах воєнного стану, коли емоційна напруга в суспільстві досягає високого рівня. Соціальні мережі стали головним каналом мобілізації, солідарності, а водночас — і маніпуляцій. Наприклад, історії про героїзм військових або трагедії цивільних викликають сильні емоції та формують ставлення до мобілізації чи допомоги Заходу. Емоційні меседжі про «зраду» чи «корупцію» у соцмережах миттєво впливають на громадську думку, незалежно від достовірності, а тема євроінтеграції стала символом національної гідності. Насправді, це погано, бо емоції затьмарюють розум. Коли люди обирають або підтримують політичні рішення лише через страх, гнів чи співчуття, вони не перевіряють факти і не думають про наслідки. Це дає змогу маніпулювати суспільством, поширювати фейки і посилювати розкол. Замість обговорення важливих питань — з'являється лише шум, а демократія слабшає.</w:t>
      </w:r>
    </w:p>
    <w:p w14:paraId="410AEEC5"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Отже, психополітика як новітня форма влади демонструє глибоку трансформацію політичної комунікації в епоху соціальних мереж. Особливість психополітики полягає в м’якому, психологічному контролі, який підмінює зовнішній примус внутрішньою мотивацією індивіда до самореалізації, продуктивності та соціального визнання. Наразі соціальні мережі формуюють нову модель політичної поведінки, засновану на емоціях, а не на раціональних аргументах. Така ситуація створює серйозні ризики для функціонування соціальної демократії, яка передбачає свідомий і відповідальний вибір громадян. </w:t>
      </w:r>
    </w:p>
    <w:p w14:paraId="5B76C4C5" w14:textId="6CC68BF2"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Тому</w:t>
      </w:r>
      <w:r w:rsidRPr="00511005">
        <w:rPr>
          <w:rFonts w:ascii="Arial" w:eastAsia="Times New Roman" w:hAnsi="Arial" w:cs="Arial"/>
          <w:b/>
          <w:bCs/>
          <w:szCs w:val="28"/>
          <w:lang w:val="uk-UA"/>
        </w:rPr>
        <w:t>, з вищенаведеного пропоную ввести термін “політична афектизація” — процес або стан, коли суспільна політична активність переважно базується на афектах (емоційних вибухах), а не на раціональному аналізі.</w:t>
      </w:r>
      <w:r w:rsidRPr="00511005">
        <w:rPr>
          <w:rFonts w:ascii="Arial" w:eastAsia="Times New Roman" w:hAnsi="Arial" w:cs="Arial"/>
          <w:szCs w:val="28"/>
          <w:lang w:val="uk-UA"/>
        </w:rPr>
        <w:t> Така ситуація створює серйозні ризики для функціонування соціальної демократії, яка передбачає свідомий і відповідальний вибір громадян.</w:t>
      </w:r>
    </w:p>
    <w:p w14:paraId="17F3A4FF" w14:textId="77777777" w:rsidR="00425480" w:rsidRPr="00511005" w:rsidRDefault="00425480" w:rsidP="003A292D">
      <w:pPr>
        <w:widowControl w:val="0"/>
        <w:autoSpaceDE w:val="0"/>
        <w:autoSpaceDN w:val="0"/>
        <w:spacing w:line="264" w:lineRule="auto"/>
        <w:rPr>
          <w:rFonts w:ascii="Arial" w:eastAsia="Times New Roman" w:hAnsi="Arial" w:cs="Arial"/>
          <w:szCs w:val="28"/>
          <w:lang w:val="uk-UA"/>
        </w:rPr>
      </w:pPr>
    </w:p>
    <w:p w14:paraId="7667A529" w14:textId="092A7B1A" w:rsidR="00DF77B5" w:rsidRPr="00511005" w:rsidRDefault="007B2628" w:rsidP="007B2628">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b/>
          <w:bCs/>
          <w:szCs w:val="28"/>
          <w:lang w:val="uk-UA"/>
        </w:rPr>
        <w:t>Список використаних джерел</w:t>
      </w:r>
    </w:p>
    <w:p w14:paraId="01380FCF" w14:textId="77777777" w:rsidR="00DF77B5" w:rsidRPr="00511005" w:rsidRDefault="00DF77B5" w:rsidP="003F6A5D">
      <w:pPr>
        <w:widowControl w:val="0"/>
        <w:numPr>
          <w:ilvl w:val="0"/>
          <w:numId w:val="796"/>
        </w:numPr>
        <w:autoSpaceDE w:val="0"/>
        <w:autoSpaceDN w:val="0"/>
        <w:spacing w:line="264" w:lineRule="auto"/>
        <w:contextualSpacing/>
        <w:jc w:val="left"/>
        <w:rPr>
          <w:rFonts w:ascii="Arial" w:eastAsia="Times New Roman" w:hAnsi="Arial" w:cs="Arial"/>
          <w:szCs w:val="28"/>
          <w:lang w:val="uk-UA"/>
        </w:rPr>
      </w:pPr>
      <w:r w:rsidRPr="00511005">
        <w:rPr>
          <w:rFonts w:ascii="Arial" w:eastAsia="Times New Roman" w:hAnsi="Arial" w:cs="Arial"/>
          <w:szCs w:val="28"/>
          <w:shd w:val="clear" w:color="auto" w:fill="FFFFFF"/>
          <w:lang w:val="uk-UA"/>
        </w:rPr>
        <w:lastRenderedPageBreak/>
        <w:t>Han, Byung-Chul. "Psychopolitik. Neoliberalismus und die neuen Machttechniken, Frankfurt (S. Fischer), 2014, 124 pp." (2014).</w:t>
      </w:r>
    </w:p>
    <w:p w14:paraId="5EC319B1" w14:textId="77777777" w:rsidR="00DF77B5" w:rsidRPr="00511005" w:rsidRDefault="00DF77B5" w:rsidP="003F6A5D">
      <w:pPr>
        <w:widowControl w:val="0"/>
        <w:numPr>
          <w:ilvl w:val="0"/>
          <w:numId w:val="796"/>
        </w:numPr>
        <w:autoSpaceDE w:val="0"/>
        <w:autoSpaceDN w:val="0"/>
        <w:spacing w:line="264" w:lineRule="auto"/>
        <w:contextualSpacing/>
        <w:jc w:val="left"/>
        <w:rPr>
          <w:rFonts w:ascii="Arial" w:eastAsia="Times New Roman" w:hAnsi="Arial" w:cs="Arial"/>
          <w:szCs w:val="28"/>
          <w:lang w:val="uk-UA"/>
        </w:rPr>
      </w:pPr>
      <w:r w:rsidRPr="00511005">
        <w:rPr>
          <w:rFonts w:ascii="Arial" w:eastAsia="Times New Roman" w:hAnsi="Arial" w:cs="Arial"/>
          <w:szCs w:val="28"/>
          <w:shd w:val="clear" w:color="auto" w:fill="FFFFFF"/>
          <w:lang w:val="uk-UA"/>
        </w:rPr>
        <w:t>Foucault, Michel, Arnold I. Davidson, and Graham Burchell. </w:t>
      </w:r>
      <w:r w:rsidRPr="00511005">
        <w:rPr>
          <w:rFonts w:ascii="Arial" w:eastAsia="Times New Roman" w:hAnsi="Arial" w:cs="Arial"/>
          <w:i/>
          <w:iCs/>
          <w:szCs w:val="28"/>
          <w:shd w:val="clear" w:color="auto" w:fill="FFFFFF"/>
          <w:lang w:val="uk-UA"/>
        </w:rPr>
        <w:t>The birth of biopolitics: lectures at the Collège de France, 1978-1979</w:t>
      </w:r>
      <w:r w:rsidRPr="00511005">
        <w:rPr>
          <w:rFonts w:ascii="Arial" w:eastAsia="Times New Roman" w:hAnsi="Arial" w:cs="Arial"/>
          <w:szCs w:val="28"/>
          <w:shd w:val="clear" w:color="auto" w:fill="FFFFFF"/>
          <w:lang w:val="uk-UA"/>
        </w:rPr>
        <w:t>. Springer, 2008.</w:t>
      </w:r>
    </w:p>
    <w:p w14:paraId="7DBD7C8E" w14:textId="77777777" w:rsidR="00DF77B5" w:rsidRPr="00511005" w:rsidRDefault="00DF77B5" w:rsidP="003F6A5D">
      <w:pPr>
        <w:widowControl w:val="0"/>
        <w:numPr>
          <w:ilvl w:val="0"/>
          <w:numId w:val="796"/>
        </w:numPr>
        <w:autoSpaceDE w:val="0"/>
        <w:autoSpaceDN w:val="0"/>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Deleuze, Gilles. Postscript on the Societies of Control</w:t>
      </w:r>
      <w:r w:rsidRPr="00511005">
        <w:rPr>
          <w:rFonts w:ascii="Arial" w:eastAsia="Times New Roman" w:hAnsi="Arial" w:cs="Arial"/>
          <w:b/>
          <w:bCs/>
          <w:szCs w:val="28"/>
          <w:lang w:val="uk-UA"/>
        </w:rPr>
        <w:t>.</w:t>
      </w:r>
      <w:r w:rsidRPr="00511005">
        <w:rPr>
          <w:rFonts w:ascii="Arial" w:eastAsia="Times New Roman" w:hAnsi="Arial" w:cs="Arial"/>
          <w:szCs w:val="28"/>
          <w:lang w:val="uk-UA"/>
        </w:rPr>
        <w:t xml:space="preserve"> </w:t>
      </w:r>
      <w:r w:rsidRPr="00511005">
        <w:rPr>
          <w:rFonts w:ascii="Arial" w:eastAsia="Times New Roman" w:hAnsi="Arial" w:cs="Arial"/>
          <w:i/>
          <w:iCs/>
          <w:szCs w:val="28"/>
          <w:lang w:val="uk-UA"/>
        </w:rPr>
        <w:t>October</w:t>
      </w:r>
      <w:r w:rsidRPr="00511005">
        <w:rPr>
          <w:rFonts w:ascii="Arial" w:eastAsia="Times New Roman" w:hAnsi="Arial" w:cs="Arial"/>
          <w:szCs w:val="28"/>
          <w:lang w:val="uk-UA"/>
        </w:rPr>
        <w:t>, Vol. 59 (Winter, 1992), pp. 3–7.</w:t>
      </w:r>
    </w:p>
    <w:p w14:paraId="69605669" w14:textId="77777777" w:rsidR="00DF77B5" w:rsidRPr="00511005" w:rsidRDefault="00DF77B5" w:rsidP="003F6A5D">
      <w:pPr>
        <w:widowControl w:val="0"/>
        <w:numPr>
          <w:ilvl w:val="0"/>
          <w:numId w:val="796"/>
        </w:numPr>
        <w:autoSpaceDE w:val="0"/>
        <w:autoSpaceDN w:val="0"/>
        <w:spacing w:line="264" w:lineRule="auto"/>
        <w:contextualSpacing/>
        <w:jc w:val="left"/>
        <w:rPr>
          <w:rFonts w:ascii="Arial" w:eastAsia="Times New Roman" w:hAnsi="Arial" w:cs="Arial"/>
          <w:szCs w:val="28"/>
          <w:lang w:val="uk-UA"/>
        </w:rPr>
      </w:pPr>
      <w:r w:rsidRPr="00511005">
        <w:rPr>
          <w:rFonts w:ascii="Arial" w:eastAsia="Times New Roman" w:hAnsi="Arial" w:cs="Arial"/>
          <w:szCs w:val="28"/>
          <w:shd w:val="clear" w:color="auto" w:fill="FFFFFF"/>
          <w:lang w:val="uk-UA"/>
        </w:rPr>
        <w:t>Свідерська, О. І. "Теоретико-методологічний аналіз впливу соціальних мереж на формування політичної поведінки в сучасному суспільстві (на прикладі Facebook, Twitter, Іnstagram, WhatsApp)." (2020).</w:t>
      </w:r>
    </w:p>
    <w:p w14:paraId="2FDFD9AE" w14:textId="77777777" w:rsidR="00DF77B5" w:rsidRPr="00511005" w:rsidRDefault="00DF77B5" w:rsidP="003F6A5D">
      <w:pPr>
        <w:widowControl w:val="0"/>
        <w:numPr>
          <w:ilvl w:val="0"/>
          <w:numId w:val="796"/>
        </w:numPr>
        <w:autoSpaceDE w:val="0"/>
        <w:autoSpaceDN w:val="0"/>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Була, Світлана Петрівна, and Ольга Іванівна Свідерська. "Соціальні мережі як інструмент політичної маніпуляції." (2020).</w:t>
      </w:r>
    </w:p>
    <w:p w14:paraId="39AEB264" w14:textId="426A31FB" w:rsidR="00DF77B5" w:rsidRPr="00511005" w:rsidRDefault="007B2628" w:rsidP="003A292D">
      <w:pPr>
        <w:widowControl w:val="0"/>
        <w:autoSpaceDE w:val="0"/>
        <w:autoSpaceDN w:val="0"/>
        <w:spacing w:line="264" w:lineRule="auto"/>
        <w:ind w:firstLine="0"/>
        <w:rPr>
          <w:rFonts w:ascii="Arial" w:eastAsia="Times New Roman" w:hAnsi="Arial" w:cs="Arial"/>
          <w:i/>
          <w:iCs/>
          <w:szCs w:val="28"/>
          <w:lang w:val="uk-UA"/>
        </w:rPr>
      </w:pPr>
      <w:r w:rsidRPr="00511005">
        <w:rPr>
          <w:rFonts w:ascii="Arial" w:eastAsia="Times New Roman" w:hAnsi="Arial" w:cs="Arial"/>
          <w:b/>
          <w:bCs/>
          <w:i/>
          <w:iCs/>
          <w:szCs w:val="28"/>
          <w:lang w:val="uk-UA"/>
        </w:rPr>
        <w:t xml:space="preserve">Ключові слова: </w:t>
      </w:r>
      <w:r w:rsidR="00DF77B5" w:rsidRPr="00511005">
        <w:rPr>
          <w:rFonts w:ascii="Arial" w:eastAsia="Times New Roman" w:hAnsi="Arial" w:cs="Arial"/>
          <w:i/>
          <w:iCs/>
          <w:szCs w:val="28"/>
          <w:lang w:val="uk-UA"/>
        </w:rPr>
        <w:t>психополітика, соціальні мережі, емоції, соціальна демократія, маніпуляція.</w:t>
      </w:r>
    </w:p>
    <w:p w14:paraId="7DFE796C" w14:textId="7F0D5FDF" w:rsidR="00DF77B5" w:rsidRPr="00511005" w:rsidRDefault="007B2628" w:rsidP="003A292D">
      <w:pPr>
        <w:widowControl w:val="0"/>
        <w:autoSpaceDE w:val="0"/>
        <w:autoSpaceDN w:val="0"/>
        <w:spacing w:line="264" w:lineRule="auto"/>
        <w:ind w:firstLine="0"/>
        <w:rPr>
          <w:rFonts w:ascii="Arial" w:eastAsia="Times New Roman" w:hAnsi="Arial" w:cs="Arial"/>
          <w:i/>
          <w:iCs/>
          <w:szCs w:val="28"/>
          <w:lang w:val="uk-UA"/>
        </w:rPr>
      </w:pPr>
      <w:r w:rsidRPr="00511005">
        <w:rPr>
          <w:rFonts w:ascii="Arial" w:eastAsia="Times New Roman" w:hAnsi="Arial" w:cs="Arial"/>
          <w:b/>
          <w:bCs/>
          <w:i/>
          <w:iCs/>
          <w:szCs w:val="28"/>
          <w:lang w:val="uk-UA"/>
        </w:rPr>
        <w:t xml:space="preserve">Key words: </w:t>
      </w:r>
      <w:r w:rsidR="00DF77B5" w:rsidRPr="00511005">
        <w:rPr>
          <w:rFonts w:ascii="Arial" w:eastAsia="Times New Roman" w:hAnsi="Arial" w:cs="Arial"/>
          <w:i/>
          <w:iCs/>
          <w:szCs w:val="28"/>
          <w:lang w:val="uk-UA"/>
        </w:rPr>
        <w:t>psychopolitics, social networks, emotions, social democracy, manipulation.</w:t>
      </w:r>
    </w:p>
    <w:p w14:paraId="599AB37A" w14:textId="1F9921D1" w:rsidR="00DF77B5" w:rsidRPr="00511005" w:rsidRDefault="007B2628" w:rsidP="003A292D">
      <w:pPr>
        <w:widowControl w:val="0"/>
        <w:autoSpaceDE w:val="0"/>
        <w:autoSpaceDN w:val="0"/>
        <w:spacing w:line="264" w:lineRule="auto"/>
        <w:ind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DF77B5" w:rsidRPr="00511005">
        <w:rPr>
          <w:rFonts w:ascii="Arial" w:eastAsia="Times New Roman" w:hAnsi="Arial" w:cs="Arial"/>
          <w:i/>
          <w:iCs/>
          <w:szCs w:val="28"/>
          <w:lang w:val="uk-UA"/>
        </w:rPr>
        <w:t>асист., д-р філос. (політ. н.)</w:t>
      </w:r>
      <w:r w:rsidRPr="00511005">
        <w:rPr>
          <w:rFonts w:ascii="Arial" w:eastAsia="Times New Roman" w:hAnsi="Arial" w:cs="Arial"/>
          <w:i/>
          <w:iCs/>
          <w:szCs w:val="28"/>
          <w:lang w:val="uk-UA"/>
        </w:rPr>
        <w:t xml:space="preserve"> </w:t>
      </w:r>
      <w:r w:rsidR="00DF77B5" w:rsidRPr="00511005">
        <w:rPr>
          <w:rFonts w:ascii="Arial" w:eastAsia="Times New Roman" w:hAnsi="Arial" w:cs="Arial"/>
          <w:i/>
          <w:iCs/>
          <w:szCs w:val="28"/>
          <w:lang w:val="uk-UA"/>
        </w:rPr>
        <w:t>Лисянський П. Л.</w:t>
      </w:r>
    </w:p>
    <w:p w14:paraId="1EE42231" w14:textId="77777777" w:rsidR="00DF77B5" w:rsidRPr="00511005" w:rsidRDefault="00DF77B5" w:rsidP="003A292D">
      <w:pPr>
        <w:widowControl w:val="0"/>
        <w:autoSpaceDE w:val="0"/>
        <w:autoSpaceDN w:val="0"/>
        <w:spacing w:line="264" w:lineRule="auto"/>
        <w:ind w:firstLine="720"/>
        <w:rPr>
          <w:rFonts w:ascii="Arial" w:eastAsia="Times New Roman" w:hAnsi="Arial" w:cs="Arial"/>
          <w:b/>
          <w:bCs/>
          <w:i/>
          <w:iCs/>
          <w:szCs w:val="28"/>
          <w:lang w:val="uk-UA"/>
        </w:rPr>
      </w:pPr>
    </w:p>
    <w:p w14:paraId="31008798" w14:textId="77777777" w:rsidR="00DF77B5" w:rsidRPr="00511005" w:rsidRDefault="00DF77B5" w:rsidP="003C4C3B">
      <w:pPr>
        <w:widowControl w:val="0"/>
        <w:autoSpaceDE w:val="0"/>
        <w:autoSpaceDN w:val="0"/>
        <w:spacing w:line="264" w:lineRule="auto"/>
        <w:ind w:left="709" w:firstLine="0"/>
        <w:jc w:val="center"/>
        <w:rPr>
          <w:rFonts w:ascii="Arial" w:eastAsia="Times New Roman" w:hAnsi="Arial" w:cs="Arial"/>
          <w:b/>
          <w:bCs/>
          <w:i/>
          <w:iCs/>
          <w:szCs w:val="28"/>
          <w:lang w:val="uk-UA" w:eastAsia="uk-UA"/>
        </w:rPr>
      </w:pPr>
      <w:r w:rsidRPr="00511005">
        <w:rPr>
          <w:rFonts w:ascii="Arial" w:eastAsia="Times New Roman" w:hAnsi="Arial" w:cs="Arial"/>
          <w:b/>
          <w:bCs/>
          <w:i/>
          <w:iCs/>
          <w:szCs w:val="28"/>
          <w:lang w:val="uk-UA" w:eastAsia="uk-UA"/>
        </w:rPr>
        <w:t>Багрій Антон Олександрович</w:t>
      </w:r>
    </w:p>
    <w:p w14:paraId="678FFBC4" w14:textId="5BAD1A54" w:rsidR="003C4C3B" w:rsidRPr="00511005" w:rsidRDefault="003C4C3B" w:rsidP="003C4C3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 1</w:t>
      </w:r>
      <w:r w:rsidRPr="00511005">
        <w:rPr>
          <w:rFonts w:ascii="Arial" w:eastAsia="Times New Roman" w:hAnsi="Arial" w:cs="Arial"/>
          <w:bCs/>
          <w:iCs/>
          <w:szCs w:val="28"/>
          <w:lang w:val="uk-UA" w:eastAsia="ru-RU"/>
        </w:rPr>
        <w:t xml:space="preserve">-го курсу </w:t>
      </w:r>
    </w:p>
    <w:p w14:paraId="19BA7CA6" w14:textId="77777777" w:rsidR="003C4C3B" w:rsidRPr="00511005" w:rsidRDefault="003C4C3B" w:rsidP="003C4C3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224CBC1B" w14:textId="1AD7F5B0" w:rsidR="003C4C3B" w:rsidRPr="00511005" w:rsidRDefault="003C4C3B" w:rsidP="003C4C3B">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9F92D5D" w14:textId="77777777" w:rsidR="003C4C3B" w:rsidRPr="00511005" w:rsidRDefault="003C4C3B" w:rsidP="003C4C3B">
      <w:pPr>
        <w:spacing w:line="264" w:lineRule="auto"/>
        <w:ind w:firstLine="0"/>
        <w:jc w:val="center"/>
        <w:rPr>
          <w:rFonts w:ascii="Arial" w:eastAsia="Times New Roman" w:hAnsi="Arial" w:cs="Arial"/>
          <w:szCs w:val="28"/>
          <w:lang w:eastAsia="ru-RU"/>
        </w:rPr>
      </w:pPr>
    </w:p>
    <w:p w14:paraId="4E5B2AEE" w14:textId="77777777" w:rsidR="00DF77B5" w:rsidRPr="00511005" w:rsidRDefault="00DF77B5" w:rsidP="003C4C3B">
      <w:pPr>
        <w:widowControl w:val="0"/>
        <w:autoSpaceDE w:val="0"/>
        <w:autoSpaceDN w:val="0"/>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ПРІОРИТЕТНІ ФУНКЦІЇ ПОЛІТИЧНОЇ ВЛАДИ ДЕМОКРАТИЧНОЇ ДЕРЖАВИ У ВОЄННИЙ ЧАС</w:t>
      </w:r>
    </w:p>
    <w:p w14:paraId="1A8ABD89" w14:textId="77777777"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Політична влада демократичної держави відіграє важливу роль не тільки в умовах мирного часу, але й під час війни. Війна є періодом найбільших випробувань для держави, а для демократичної держави це створює додаткові виклики. Адже питання збереження демократичних цінностей, прав людини та громадянських свобод є надзвичайно важливим і одночасно складним. Політична влада повинна діяти в межах своїх повноважень, адаптувати свої функції та механізми до нових умов, забезпечувати ефективне реагування на загрози національній безпеці та не допускати порушень основних демократичних принципів.</w:t>
      </w:r>
    </w:p>
    <w:p w14:paraId="5795F8C6" w14:textId="77777777"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Тож дослідження функцій політичної влади демократичної держави у воєнний час дозволяє зрозуміти, як змінюється структура та механізм влади в умовах війни, як забезпечується ефективність державного управління та забезпечення національної безпеки при одночасному збереженні принципів демократії. Це важливо для розробки стратегій державної політики в умовах воєнного часу, належного правового регулювання, дотримання прав людини та міжнародного гуманітарного права [1,c.17].</w:t>
      </w:r>
    </w:p>
    <w:p w14:paraId="2F75B320" w14:textId="77777777"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Пріоритетними функціями політичної влади в демократичній державі у </w:t>
      </w:r>
      <w:r w:rsidRPr="00511005">
        <w:rPr>
          <w:rFonts w:ascii="Arial" w:eastAsia="Times New Roman" w:hAnsi="Arial" w:cs="Arial"/>
          <w:szCs w:val="28"/>
          <w:lang w:val="uk-UA" w:eastAsia="uk-UA"/>
        </w:rPr>
        <w:lastRenderedPageBreak/>
        <w:t>воєнний час є:</w:t>
      </w:r>
    </w:p>
    <w:p w14:paraId="51659B61" w14:textId="77777777" w:rsidR="00DF77B5" w:rsidRPr="00511005" w:rsidRDefault="00DF77B5" w:rsidP="003F6A5D">
      <w:pPr>
        <w:widowControl w:val="0"/>
        <w:numPr>
          <w:ilvl w:val="0"/>
          <w:numId w:val="805"/>
        </w:numPr>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Забезпечення національної безпеки та обороноздатності держави.</w:t>
      </w:r>
      <w:r w:rsidRPr="00511005">
        <w:rPr>
          <w:rFonts w:ascii="Arial" w:eastAsia="Times New Roman" w:hAnsi="Arial" w:cs="Arial"/>
          <w:szCs w:val="28"/>
          <w:lang w:val="uk-UA" w:eastAsia="uk-UA"/>
        </w:rPr>
        <w:t xml:space="preserve"> Національна безпека включає як зовнішню, так і внутрішню безпеку, зокрема, захист територіальної цілісності, суверенітету, економічної безпеки, стабільності суспільства. У цей період особливо важлива ефективна координація між державними органами, передусім, силовими структурами та громадськими інституціями, а також залучення міжнародних партнерів для підтримки у боротьбі з агресором. Влада повинна мобілізувати ресурси країни, забезпечити необхідне фінансування армії та інших силових структур, а також здійснювати захист від внутрішніх загроз, таких як тероризм та саботаж.</w:t>
      </w:r>
    </w:p>
    <w:p w14:paraId="4206C064" w14:textId="77777777" w:rsidR="00DF77B5" w:rsidRPr="00511005" w:rsidRDefault="00DF77B5" w:rsidP="003F6A5D">
      <w:pPr>
        <w:widowControl w:val="0"/>
        <w:numPr>
          <w:ilvl w:val="0"/>
          <w:numId w:val="805"/>
        </w:numPr>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Забезпечення прав і свобод громадян.</w:t>
      </w:r>
      <w:r w:rsidRPr="00511005">
        <w:rPr>
          <w:rFonts w:ascii="Arial" w:eastAsia="Times New Roman" w:hAnsi="Arial" w:cs="Arial"/>
          <w:szCs w:val="28"/>
          <w:lang w:val="uk-UA" w:eastAsia="uk-UA"/>
        </w:rPr>
        <w:t xml:space="preserve"> Хоча воєнний час і пов'язаний з обмеженнями прав і свобод, політична влада повинна забезпечити, щоб ці обмеження були мінімальними та відповідали міжнародним стандартам прав людини. У демократичній державі навіть в умовах війни не можна забувати про основні права громадян, такі як право на справедливий суд, свободу вираження поглядів, право на життя. Влада має забезпечити правовий захист від незаконних дій з боку правоохоронних органів, а також уникати зловживань під час застосування надзвичайних заходів.</w:t>
      </w:r>
    </w:p>
    <w:p w14:paraId="180F823D" w14:textId="77777777" w:rsidR="00DF77B5" w:rsidRPr="00511005" w:rsidRDefault="00DF77B5" w:rsidP="003F6A5D">
      <w:pPr>
        <w:widowControl w:val="0"/>
        <w:numPr>
          <w:ilvl w:val="0"/>
          <w:numId w:val="805"/>
        </w:numPr>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Координація і мобілізація державних і суспільних ресурсів.</w:t>
      </w:r>
      <w:r w:rsidRPr="00511005">
        <w:rPr>
          <w:rFonts w:ascii="Arial" w:eastAsia="Times New Roman" w:hAnsi="Arial" w:cs="Arial"/>
          <w:szCs w:val="28"/>
          <w:lang w:val="uk-UA" w:eastAsia="uk-UA"/>
        </w:rPr>
        <w:t xml:space="preserve"> В умовах війни важливо швидко і ефективно мобілізувати ресурси держави: фінансові, матеріальні, людські. Політична влада першочергово повинна здійснювати мобілізацію всіх ресурсів для потреб армії: організувати забезпечення продовольством, медичними послугами, паливом, технікою тощо. Також необхідне забезпечення функціонування критичної інфраструктури, яка може бути зруйнована. Тож необхідно створити ефективну систему управління в надзвичайних умовах, забезпечити належне планування та логістичну підтримку. Влада повинна швидко реагувати на зміни ситуації та вживати необхідних заходів для стабілізації ситуації.</w:t>
      </w:r>
    </w:p>
    <w:p w14:paraId="260423B2" w14:textId="77777777" w:rsidR="00DF77B5" w:rsidRPr="00511005" w:rsidRDefault="00DF77B5" w:rsidP="003F6A5D">
      <w:pPr>
        <w:widowControl w:val="0"/>
        <w:numPr>
          <w:ilvl w:val="0"/>
          <w:numId w:val="805"/>
        </w:numPr>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Інформаційна політика та забезпечення прозорості.</w:t>
      </w:r>
      <w:r w:rsidRPr="00511005">
        <w:rPr>
          <w:rFonts w:ascii="Arial" w:eastAsia="Times New Roman" w:hAnsi="Arial" w:cs="Arial"/>
          <w:szCs w:val="28"/>
          <w:lang w:val="uk-UA" w:eastAsia="uk-UA"/>
        </w:rPr>
        <w:t xml:space="preserve"> В умовах війни важливо, щоб політична влада не тільки ефективно управляла ситуацією, але й забезпечувала постійну та достовірну інформацію для громадян. Інформаційна політика держави має бути спрямована на підтримку морального духу населення, інформування про важливі події та кроки уряду, а також протидію дезінформації та паніці. Влада повинна дбати про прозорість своїх дій, навіть в умовах війни, не допускати маніпуляцій інформацією, зберігати відкритість для громадян та міжнародної спільноти. Інформаційна війна, когнітивна складова гібридної війни важливі.</w:t>
      </w:r>
    </w:p>
    <w:p w14:paraId="07DA2CB9" w14:textId="142D7FBD" w:rsidR="00DF77B5" w:rsidRPr="00511005" w:rsidRDefault="00DF77B5" w:rsidP="003F6A5D">
      <w:pPr>
        <w:widowControl w:val="0"/>
        <w:numPr>
          <w:ilvl w:val="0"/>
          <w:numId w:val="805"/>
        </w:numPr>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lastRenderedPageBreak/>
        <w:t>Забезпечення соціальних гарантій для постраждалих від війни.</w:t>
      </w:r>
      <w:r w:rsidRPr="00511005">
        <w:rPr>
          <w:rFonts w:ascii="Arial" w:eastAsia="Times New Roman" w:hAnsi="Arial" w:cs="Arial"/>
          <w:szCs w:val="28"/>
          <w:lang w:val="uk-UA" w:eastAsia="uk-UA"/>
        </w:rPr>
        <w:t xml:space="preserve"> Воєнний час спричиняє великі людські втрати і серед військових,</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і серед цивільного населення. Політична влада повинна забезпечити соціальну підтримку постраждалих, включаючи надання медичної допомоги, компенсацій за втрату здоров'я, соціальні виплати сім’ям загиблих, вимушеним переселенцям. Це також включає забезпечення права на реабілітацію для військових та цивільних осіб, які отримали тяжкі травми; допомогу в адаптації до мирного життя після війни.</w:t>
      </w:r>
    </w:p>
    <w:p w14:paraId="57F26C81" w14:textId="77777777" w:rsidR="00DF77B5" w:rsidRPr="00511005" w:rsidRDefault="00DF77B5" w:rsidP="003F6A5D">
      <w:pPr>
        <w:widowControl w:val="0"/>
        <w:numPr>
          <w:ilvl w:val="0"/>
          <w:numId w:val="805"/>
        </w:numPr>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Міжнародна співпраця та дипломатія.</w:t>
      </w:r>
      <w:r w:rsidRPr="00511005">
        <w:rPr>
          <w:rFonts w:ascii="Arial" w:eastAsia="Times New Roman" w:hAnsi="Arial" w:cs="Arial"/>
          <w:szCs w:val="28"/>
          <w:lang w:val="uk-UA" w:eastAsia="uk-UA"/>
        </w:rPr>
        <w:t xml:space="preserve"> Воєнний час вимагає активної зовнішньої політики. Політична влада повинна забезпечити підтримку міжнародних партнерів, залучати дипломатичні засоби для завершення війни або для зменшення її наслідків, координувати гуманітарні зусилля для надання допомоги постраждалому населенню. Дипломатія в умовах війни повинна бути спрямована на пошук шляхів до справедливого миру через посередництво міжнародних організацій та союзників [2,c.27].</w:t>
      </w:r>
    </w:p>
    <w:p w14:paraId="0A396CA7" w14:textId="0B49CC61"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функції політичної влади у воєнний час є складними та багатогранними. Демократична держава повинна бути готовою до багатьох викликів, забезпечувати безпеку країни, дбаючи про дотримання прав і свобод своїх громадян. Ефективне функціонування влади в умовах війни може не тільки захистити країну від зовнішніх загроз, але й зміцнити довіру громадян до державних інститутів, покращити міжнародний імідж та забезпечити стабільність після закінчення війни, прискоривши відбудову [3,c.35].</w:t>
      </w:r>
    </w:p>
    <w:p w14:paraId="2932581E" w14:textId="77777777" w:rsidR="003C4C3B" w:rsidRPr="00511005" w:rsidRDefault="003C4C3B" w:rsidP="003C4C3B">
      <w:pPr>
        <w:widowControl w:val="0"/>
        <w:autoSpaceDE w:val="0"/>
        <w:autoSpaceDN w:val="0"/>
        <w:spacing w:line="264" w:lineRule="auto"/>
        <w:rPr>
          <w:rFonts w:ascii="Arial" w:eastAsia="Times New Roman" w:hAnsi="Arial" w:cs="Arial"/>
          <w:szCs w:val="28"/>
          <w:lang w:val="uk-UA" w:eastAsia="uk-UA"/>
        </w:rPr>
      </w:pPr>
    </w:p>
    <w:p w14:paraId="580A09B3" w14:textId="3A67009D" w:rsidR="00DF77B5" w:rsidRPr="00511005" w:rsidRDefault="007B2628" w:rsidP="003C4C3B">
      <w:pPr>
        <w:widowControl w:val="0"/>
        <w:autoSpaceDE w:val="0"/>
        <w:autoSpaceDN w:val="0"/>
        <w:spacing w:line="264" w:lineRule="auto"/>
        <w:ind w:left="709"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1422F95D" w14:textId="77777777" w:rsidR="00DF77B5" w:rsidRPr="00511005" w:rsidRDefault="00DF77B5" w:rsidP="003C4C3B">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Афонін Є.А. Становлення Збройних сил України: соціальні та соціально-психологічні проблеми. НАН України, Ін-т соціології Відп. ред. Л.В. Сохань, Л.Ф. Бурлачук. Київ: Інтерграфік, 1994. 304 с. </w:t>
      </w:r>
    </w:p>
    <w:p w14:paraId="1CC51664" w14:textId="77777777" w:rsidR="00DF77B5" w:rsidRPr="00511005" w:rsidRDefault="00DF77B5" w:rsidP="003C4C3B">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Баранівський В.Ф. Демократизація Збройних сил України. К.: Центр практичної філософії. 2001. 112 с. </w:t>
      </w:r>
    </w:p>
    <w:p w14:paraId="4FF8B73F" w14:textId="77777777" w:rsidR="00DF77B5" w:rsidRPr="00511005" w:rsidRDefault="00DF77B5" w:rsidP="003C4C3B">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 Богайчук В. Політика і армія: проблеми взаємозв’язку. </w:t>
      </w:r>
      <w:r w:rsidRPr="00511005">
        <w:rPr>
          <w:rFonts w:ascii="Arial" w:eastAsia="Times New Roman" w:hAnsi="Arial" w:cs="Arial"/>
          <w:i/>
          <w:szCs w:val="28"/>
          <w:lang w:val="uk-UA" w:eastAsia="uk-UA"/>
        </w:rPr>
        <w:t>Політичний менеджмент.</w:t>
      </w:r>
      <w:r w:rsidRPr="00511005">
        <w:rPr>
          <w:rFonts w:ascii="Arial" w:eastAsia="Times New Roman" w:hAnsi="Arial" w:cs="Arial"/>
          <w:szCs w:val="28"/>
          <w:lang w:val="uk-UA" w:eastAsia="uk-UA"/>
        </w:rPr>
        <w:t xml:space="preserve"> 2005. №5. с. 31–38. </w:t>
      </w:r>
    </w:p>
    <w:p w14:paraId="139AB937" w14:textId="77777777" w:rsidR="00DF77B5" w:rsidRPr="00511005" w:rsidRDefault="00DF77B5" w:rsidP="003C4C3B">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4. Дей М. О.,Ткач О. І. Політологія у схемах, таблицях та визначеннях: навч. посібник. Київ: Видавництво Ліра-К, 2018. 172 с.</w:t>
      </w:r>
    </w:p>
    <w:p w14:paraId="31C037D7" w14:textId="15F35C56" w:rsidR="00DF77B5" w:rsidRPr="00511005" w:rsidRDefault="007B2628" w:rsidP="003C4C3B">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Ключові слова: </w:t>
      </w:r>
      <w:r w:rsidR="00DF77B5" w:rsidRPr="00511005">
        <w:rPr>
          <w:rFonts w:ascii="Arial" w:eastAsia="Times New Roman" w:hAnsi="Arial" w:cs="Arial"/>
          <w:i/>
          <w:iCs/>
          <w:szCs w:val="28"/>
          <w:lang w:val="uk-UA" w:eastAsia="uk-UA"/>
        </w:rPr>
        <w:t>функції, політика, завдання, реалізація, демократизація</w:t>
      </w:r>
    </w:p>
    <w:p w14:paraId="362B0A2C" w14:textId="48A73864" w:rsidR="00DF77B5" w:rsidRPr="00511005" w:rsidRDefault="007B2628" w:rsidP="003C4C3B">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Key words: </w:t>
      </w:r>
      <w:r w:rsidR="00DF77B5" w:rsidRPr="00511005">
        <w:rPr>
          <w:rFonts w:ascii="Arial" w:eastAsia="Times New Roman" w:hAnsi="Arial" w:cs="Arial"/>
          <w:i/>
          <w:iCs/>
          <w:szCs w:val="28"/>
          <w:lang w:val="uk-UA" w:eastAsia="uk-UA"/>
        </w:rPr>
        <w:t>functions, policy, tasks, implementation, democratization</w:t>
      </w:r>
    </w:p>
    <w:p w14:paraId="2C32165F" w14:textId="1FC166C3" w:rsidR="00DF77B5" w:rsidRPr="00511005" w:rsidRDefault="007B2628" w:rsidP="003C4C3B">
      <w:pPr>
        <w:widowControl w:val="0"/>
        <w:tabs>
          <w:tab w:val="left" w:pos="851"/>
        </w:tabs>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szCs w:val="28"/>
          <w:lang w:val="uk-UA" w:eastAsia="uk-UA"/>
        </w:rPr>
        <w:t>д.і.н., професор</w:t>
      </w:r>
      <w:r w:rsidR="00425480" w:rsidRPr="00511005">
        <w:rPr>
          <w:rFonts w:ascii="Arial" w:eastAsia="Times New Roman" w:hAnsi="Arial" w:cs="Arial"/>
          <w:szCs w:val="28"/>
          <w:lang w:val="uk-UA" w:eastAsia="uk-UA"/>
        </w:rPr>
        <w:t xml:space="preserve"> </w:t>
      </w:r>
      <w:r w:rsidR="00DF77B5" w:rsidRPr="00511005">
        <w:rPr>
          <w:rFonts w:ascii="Arial" w:eastAsia="Times New Roman" w:hAnsi="Arial" w:cs="Arial"/>
          <w:szCs w:val="28"/>
          <w:lang w:val="uk-UA" w:eastAsia="uk-UA"/>
        </w:rPr>
        <w:t>Кормич Л.І.</w:t>
      </w:r>
    </w:p>
    <w:p w14:paraId="6979A225" w14:textId="77777777" w:rsidR="003C4C3B" w:rsidRPr="00511005" w:rsidRDefault="003C4C3B" w:rsidP="003C4C3B">
      <w:pPr>
        <w:widowControl w:val="0"/>
        <w:tabs>
          <w:tab w:val="left" w:pos="851"/>
        </w:tabs>
        <w:autoSpaceDE w:val="0"/>
        <w:autoSpaceDN w:val="0"/>
        <w:spacing w:line="264" w:lineRule="auto"/>
        <w:ind w:left="709" w:firstLine="0"/>
        <w:jc w:val="left"/>
        <w:rPr>
          <w:rFonts w:ascii="Arial" w:eastAsia="Times New Roman" w:hAnsi="Arial" w:cs="Arial"/>
          <w:i/>
          <w:iCs/>
          <w:szCs w:val="28"/>
          <w:lang w:val="uk-UA" w:eastAsia="uk-UA"/>
        </w:rPr>
      </w:pPr>
    </w:p>
    <w:p w14:paraId="039CA5F0" w14:textId="77777777" w:rsidR="00425480" w:rsidRPr="00511005" w:rsidRDefault="00425480">
      <w:pPr>
        <w:spacing w:after="200" w:line="276" w:lineRule="auto"/>
        <w:ind w:firstLine="0"/>
        <w:jc w:val="left"/>
        <w:rPr>
          <w:rFonts w:ascii="Arial" w:eastAsia="Times New Roman" w:hAnsi="Arial" w:cs="Arial"/>
          <w:b/>
          <w:bCs/>
          <w:i/>
          <w:iCs/>
          <w:szCs w:val="28"/>
          <w:lang w:val="uk-UA"/>
        </w:rPr>
      </w:pPr>
      <w:r w:rsidRPr="00511005">
        <w:rPr>
          <w:rFonts w:ascii="Arial" w:eastAsia="Times New Roman" w:hAnsi="Arial" w:cs="Arial"/>
          <w:b/>
          <w:bCs/>
          <w:i/>
          <w:iCs/>
          <w:szCs w:val="28"/>
          <w:lang w:val="uk-UA"/>
        </w:rPr>
        <w:br w:type="page"/>
      </w:r>
    </w:p>
    <w:p w14:paraId="189112EE" w14:textId="598FFAFD" w:rsidR="00DF77B5" w:rsidRPr="00511005" w:rsidRDefault="00DF77B5" w:rsidP="003A292D">
      <w:pPr>
        <w:widowControl w:val="0"/>
        <w:autoSpaceDE w:val="0"/>
        <w:autoSpaceDN w:val="0"/>
        <w:spacing w:line="264" w:lineRule="auto"/>
        <w:ind w:firstLine="72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lastRenderedPageBreak/>
        <w:t>Беженар Вікторія Вікторівна</w:t>
      </w:r>
    </w:p>
    <w:p w14:paraId="7A4E632B" w14:textId="17E5541F" w:rsidR="003C4C3B" w:rsidRPr="00511005" w:rsidRDefault="003C4C3B" w:rsidP="003C4C3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студентка 1</w:t>
      </w:r>
      <w:r w:rsidRPr="00511005">
        <w:rPr>
          <w:rFonts w:ascii="Arial" w:eastAsia="Times New Roman" w:hAnsi="Arial" w:cs="Arial"/>
          <w:bCs/>
          <w:iCs/>
          <w:szCs w:val="28"/>
          <w:lang w:val="uk-UA" w:eastAsia="ru-RU"/>
        </w:rPr>
        <w:t xml:space="preserve">-го курсу </w:t>
      </w:r>
    </w:p>
    <w:p w14:paraId="2C3F60E2" w14:textId="77777777" w:rsidR="003C4C3B" w:rsidRPr="00511005" w:rsidRDefault="003C4C3B" w:rsidP="003C4C3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674861C" w14:textId="77777777" w:rsidR="003C4C3B" w:rsidRPr="00511005" w:rsidRDefault="003C4C3B" w:rsidP="003C4C3B">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686CFD81" w14:textId="77777777" w:rsidR="00DF77B5" w:rsidRPr="00511005" w:rsidRDefault="00DF77B5" w:rsidP="003A292D">
      <w:pPr>
        <w:widowControl w:val="0"/>
        <w:autoSpaceDE w:val="0"/>
        <w:autoSpaceDN w:val="0"/>
        <w:spacing w:line="264" w:lineRule="auto"/>
        <w:ind w:firstLine="720"/>
        <w:jc w:val="center"/>
        <w:rPr>
          <w:rFonts w:ascii="Arial" w:eastAsia="Times New Roman" w:hAnsi="Arial" w:cs="Arial"/>
          <w:szCs w:val="28"/>
          <w:lang w:val="uk-UA"/>
        </w:rPr>
      </w:pPr>
    </w:p>
    <w:p w14:paraId="3846263D" w14:textId="4BFE3902" w:rsidR="00DF77B5" w:rsidRPr="00511005" w:rsidRDefault="00DF77B5" w:rsidP="003A292D">
      <w:pPr>
        <w:widowControl w:val="0"/>
        <w:autoSpaceDE w:val="0"/>
        <w:autoSpaceDN w:val="0"/>
        <w:spacing w:line="264" w:lineRule="auto"/>
        <w:ind w:firstLine="720"/>
        <w:jc w:val="center"/>
        <w:rPr>
          <w:rFonts w:ascii="Arial" w:eastAsia="Times New Roman" w:hAnsi="Arial" w:cs="Arial"/>
          <w:szCs w:val="28"/>
          <w:lang w:val="uk-UA"/>
        </w:rPr>
      </w:pPr>
      <w:r w:rsidRPr="00511005">
        <w:rPr>
          <w:rFonts w:ascii="Arial" w:eastAsia="Times New Roman" w:hAnsi="Arial" w:cs="Arial"/>
          <w:b/>
          <w:bCs/>
          <w:szCs w:val="28"/>
          <w:lang w:val="uk-UA"/>
        </w:rPr>
        <w:t>ПОЛІТИЧНА КУЛЬТУРА ЯК ПІД</w:t>
      </w:r>
      <w:r w:rsidR="00425480" w:rsidRPr="00511005">
        <w:rPr>
          <w:rFonts w:ascii="Arial" w:eastAsia="Times New Roman" w:hAnsi="Arial" w:cs="Arial"/>
          <w:b/>
          <w:bCs/>
          <w:szCs w:val="28"/>
          <w:lang w:val="uk-UA"/>
        </w:rPr>
        <w:t>Ґ</w:t>
      </w:r>
      <w:r w:rsidRPr="00511005">
        <w:rPr>
          <w:rFonts w:ascii="Arial" w:eastAsia="Times New Roman" w:hAnsi="Arial" w:cs="Arial"/>
          <w:b/>
          <w:bCs/>
          <w:szCs w:val="28"/>
          <w:lang w:val="uk-UA"/>
        </w:rPr>
        <w:t>РУНТЯ ФОРМУВАННЯ ПОЛІТИЧНОЇ СВІДОМОСТІ ГРОМАДЯН</w:t>
      </w:r>
    </w:p>
    <w:p w14:paraId="09054BFF"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У сучасному суспільстві політична культура виступає фундаментом, на якому формується політична свідомість громадян. Вона означає не тільки наявність знань про політику, але й свідоме визнання власної ролі в цій сфері, що і виявляється у різних формах участі в громадсько-політичному житті. В умовах демократичного розвитку політична культура стає визначальним чинником того, якою буде не лише якість управління, а й рівень громадянської відповідальності [4].</w:t>
      </w:r>
    </w:p>
    <w:p w14:paraId="2B411987"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Політична культура – це сукупність історично сформованих цінностей, норм, уявлень, моделей поведінки, що регулюють взаємини громадян із владою та між собою у контексті політичного життя [2]. Вона охоплює не лише знання про політичну систему, а й установлення певних настанов щодо легітимності влади, способів впливу на неї, рівня участі у виборах, ставлення до опозиції тощо. Структурно політична культура включає когнітивний компонент (обізнаність із політичною системою), емоційно-оцінний (ставлення до політичних явищ) та поведінковий (участь у політичних діях).</w:t>
      </w:r>
    </w:p>
    <w:p w14:paraId="7B7D2A1A"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Ґ. Алмонд і С. Верба виділили три основні типи політичної культури: патріархальну, підданську та активістську [5]. У патріархальній культурі індивід майже не має уявлення про політичну систему та не бере участі в її житті. У підданській – усвідомлює існування влади, але діє пасивно, покладаючись на її рішення. Найвищим рівнем розвитку є культура активної участі, коли громадяни не лише обізнані, а й беруть активну участь у прийнятті рішень, контролі за владою, реалізації громадських ініціатив.</w:t>
      </w:r>
    </w:p>
    <w:p w14:paraId="0BC53464"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Ці типи можуть поєднуватися в межах однієї країни. Наприклад, у країнах з перехідною демократією спостерігається симбіоз підданської та активістської культур. Зміцнення демократичного суспільства можливе лише за умов поширення активістської культури, яка стимулює політичну участь та підвищує відповідальність влади перед громадянами.</w:t>
      </w:r>
    </w:p>
    <w:p w14:paraId="27778711"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Політична культура виконує роль середовища, у якому індивід засвоює політичні цінності, орієнтири, практики. Саме вона формує уявлення про те, що таке влада, як вона функціонує, і яку роль у цьому процесі відіграє кожен громадянин [2]. Політична соціалізація – це процес, завдяки якому людина інтегрується у політичну систему, і саме культура виступає інструментом цієї соціалізації [3].</w:t>
      </w:r>
    </w:p>
    <w:p w14:paraId="2F856D7F"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Політична культура транслюється через родину, освіту, засоби </w:t>
      </w:r>
      <w:r w:rsidRPr="00511005">
        <w:rPr>
          <w:rFonts w:ascii="Arial" w:eastAsia="Times New Roman" w:hAnsi="Arial" w:cs="Arial"/>
          <w:szCs w:val="28"/>
          <w:lang w:val="uk-UA"/>
        </w:rPr>
        <w:lastRenderedPageBreak/>
        <w:t>масової інформації, політичні партії, громадські організації [1]. Наприклад, шкільна програма із громадянської освіти формує базове уявлення про демократію, вибори, Конституцію, тим самим сприяючи усвідомленню своєї ролі в суспільстві. ЗМІ ж, навпаки, можуть як сприяти, так і перешкоджати формуванню політичної свідомості, залежно від рівня їхньої об'єктивності та політичної ангажованості.</w:t>
      </w:r>
    </w:p>
    <w:p w14:paraId="2CC65E34"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Після здобуття незалежності українське суспільство стикається з необхідністю формування нової демократичної політичної культури, яка відрізняється від радянської за суттю. Останні події – Помаранчева революція, Революція Гідності, волонтерський рух та громадська активність під час війни з Росією – свідчать про зростання рівня політичної свідомості громадян. Люди дедалі частіше беруть участь у мітингах, громадських ініціативах, контролюють дії влади, розуміють важливість прозорих виборів і верховенства права. Така еволюція політичної культури є свідченням поступового переходу від підданської до активістської моделі.</w:t>
      </w:r>
    </w:p>
    <w:p w14:paraId="5118CC27" w14:textId="72DDD425"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Отже, політична культура стає підґрунтям для зростання політично свідомих громадян, що реагують на суспільні зміни не самочинно, а з усвідомленням своєї відповідальності. Такі громадяни беруть активну участь у формуванні політичного курсу через вибори, громадську активність, обговорення та формулювання суспільного запиту. В умовах демократичного суспільства саме політична культура визначає рівень легітимності влади, ефективність управління та стабільність політичного режиму. Її високий рівень є необхідною умовою громадянської зрілості та політичної стабільності. Отже, політична культура є не лише основою політичної свідомості, а й важливим чинником демократичного розвитку суспільства, здатного до самовдосконалення.</w:t>
      </w:r>
    </w:p>
    <w:p w14:paraId="43208827" w14:textId="77777777" w:rsidR="00425480" w:rsidRPr="00511005" w:rsidRDefault="00425480" w:rsidP="003A292D">
      <w:pPr>
        <w:widowControl w:val="0"/>
        <w:autoSpaceDE w:val="0"/>
        <w:autoSpaceDN w:val="0"/>
        <w:spacing w:line="264" w:lineRule="auto"/>
        <w:ind w:firstLine="720"/>
        <w:rPr>
          <w:rFonts w:ascii="Arial" w:eastAsia="Times New Roman" w:hAnsi="Arial" w:cs="Arial"/>
          <w:szCs w:val="28"/>
          <w:lang w:val="uk-UA"/>
        </w:rPr>
      </w:pPr>
    </w:p>
    <w:p w14:paraId="3F5CD726" w14:textId="4458F97A" w:rsidR="00DF77B5" w:rsidRPr="00511005" w:rsidRDefault="007B2628" w:rsidP="007B2628">
      <w:pPr>
        <w:widowControl w:val="0"/>
        <w:autoSpaceDE w:val="0"/>
        <w:autoSpaceDN w:val="0"/>
        <w:spacing w:line="264" w:lineRule="auto"/>
        <w:ind w:firstLine="720"/>
        <w:jc w:val="center"/>
        <w:rPr>
          <w:rFonts w:ascii="Arial" w:eastAsia="Times New Roman" w:hAnsi="Arial" w:cs="Arial"/>
          <w:b/>
          <w:bCs/>
          <w:szCs w:val="28"/>
          <w:lang w:val="uk-UA"/>
        </w:rPr>
      </w:pPr>
      <w:r w:rsidRPr="00511005">
        <w:rPr>
          <w:rFonts w:ascii="Arial" w:eastAsia="Times New Roman" w:hAnsi="Arial" w:cs="Arial"/>
          <w:b/>
          <w:bCs/>
          <w:szCs w:val="28"/>
          <w:lang w:val="uk-UA"/>
        </w:rPr>
        <w:t>Список використаних джерел</w:t>
      </w:r>
    </w:p>
    <w:p w14:paraId="67B6A49E" w14:textId="77777777" w:rsidR="00DF77B5" w:rsidRPr="00511005" w:rsidRDefault="00DF77B5" w:rsidP="003F6A5D">
      <w:pPr>
        <w:widowControl w:val="0"/>
        <w:numPr>
          <w:ilvl w:val="0"/>
          <w:numId w:val="790"/>
        </w:numPr>
        <w:tabs>
          <w:tab w:val="left" w:pos="1134"/>
        </w:tabs>
        <w:autoSpaceDE w:val="0"/>
        <w:autoSpaceDN w:val="0"/>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Єфтєні Н. М. Проблеми формування. політичної культури в сучасному українському суспільстві. </w:t>
      </w:r>
      <w:r w:rsidRPr="00511005">
        <w:rPr>
          <w:rFonts w:ascii="Arial" w:eastAsia="Times New Roman" w:hAnsi="Arial" w:cs="Arial"/>
          <w:i/>
          <w:iCs/>
          <w:szCs w:val="28"/>
          <w:lang w:val="uk-UA"/>
        </w:rPr>
        <w:t>Актуальні проблеми політики</w:t>
      </w:r>
      <w:r w:rsidRPr="00511005">
        <w:rPr>
          <w:rFonts w:ascii="Arial" w:eastAsia="Times New Roman" w:hAnsi="Arial" w:cs="Arial"/>
          <w:szCs w:val="28"/>
          <w:lang w:val="uk-UA"/>
        </w:rPr>
        <w:t xml:space="preserve">. 2014. Вип. 53. С. 267–274. URL: </w:t>
      </w:r>
      <w:hyperlink r:id="rId2525" w:history="1">
        <w:r w:rsidRPr="00511005">
          <w:rPr>
            <w:rFonts w:ascii="Arial" w:eastAsia="Times New Roman" w:hAnsi="Arial" w:cs="Arial"/>
            <w:szCs w:val="28"/>
            <w:lang w:val="uk-UA"/>
          </w:rPr>
          <w:t>https://dspace.onua.edu.ua/server/api/core/bitstreams/7e5e0646-b224-43d8-b0e7-2a3cbe18cccc/content</w:t>
        </w:r>
      </w:hyperlink>
      <w:r w:rsidRPr="00511005">
        <w:rPr>
          <w:rFonts w:ascii="Arial" w:eastAsia="Times New Roman" w:hAnsi="Arial" w:cs="Arial"/>
          <w:szCs w:val="28"/>
          <w:lang w:val="uk-UA"/>
        </w:rPr>
        <w:t xml:space="preserve"> </w:t>
      </w:r>
    </w:p>
    <w:p w14:paraId="64D63D1A" w14:textId="77777777" w:rsidR="00DF77B5" w:rsidRPr="00511005" w:rsidRDefault="00DF77B5" w:rsidP="003F6A5D">
      <w:pPr>
        <w:widowControl w:val="0"/>
        <w:numPr>
          <w:ilvl w:val="0"/>
          <w:numId w:val="790"/>
        </w:numPr>
        <w:tabs>
          <w:tab w:val="left" w:pos="1134"/>
        </w:tabs>
        <w:autoSpaceDE w:val="0"/>
        <w:autoSpaceDN w:val="0"/>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Перегуда Є.В. Політологія: навчальний посібник / Є.В. Перегуда, В.Ф. Панібудьласка, В.Л. Семко, Н.І. Рижко, С.Д. Місержи, В.Л. Стеценко, В.Л. Згурська, В.П. Третяк. К.: КНУБА, 2011. 216 с. URL: </w:t>
      </w:r>
      <w:hyperlink r:id="rId2526" w:history="1">
        <w:r w:rsidRPr="00511005">
          <w:rPr>
            <w:rFonts w:ascii="Arial" w:eastAsia="Times New Roman" w:hAnsi="Arial" w:cs="Arial"/>
            <w:szCs w:val="28"/>
            <w:lang w:val="uk-UA"/>
          </w:rPr>
          <w:t>http://moodle.nati.org.ua/pluginfile.php/14197/mod_resource/content/1/політологія%20pos_polit.Pdf</w:t>
        </w:r>
      </w:hyperlink>
      <w:r w:rsidRPr="00511005">
        <w:rPr>
          <w:rFonts w:ascii="Arial" w:eastAsia="Times New Roman" w:hAnsi="Arial" w:cs="Arial"/>
          <w:szCs w:val="28"/>
          <w:lang w:val="uk-UA"/>
        </w:rPr>
        <w:t xml:space="preserve"> </w:t>
      </w:r>
    </w:p>
    <w:p w14:paraId="09F30A61" w14:textId="77777777" w:rsidR="00DF77B5" w:rsidRPr="00511005" w:rsidRDefault="00DF77B5" w:rsidP="003F6A5D">
      <w:pPr>
        <w:widowControl w:val="0"/>
        <w:numPr>
          <w:ilvl w:val="0"/>
          <w:numId w:val="790"/>
        </w:numPr>
        <w:tabs>
          <w:tab w:val="left" w:pos="1134"/>
        </w:tabs>
        <w:autoSpaceDE w:val="0"/>
        <w:autoSpaceDN w:val="0"/>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Політична енциклопедія. Редкол.: Ю. Левенець (голова), Ю. Шаповал (заст. голови) та ін. Київ : Парламентське видавництво, 2011. 808 с. URL: </w:t>
      </w:r>
      <w:hyperlink r:id="rId2527" w:history="1">
        <w:r w:rsidRPr="00511005">
          <w:rPr>
            <w:rFonts w:ascii="Arial" w:eastAsia="Times New Roman" w:hAnsi="Arial" w:cs="Arial"/>
            <w:szCs w:val="28"/>
            <w:lang w:val="uk-UA"/>
          </w:rPr>
          <w:t>https://ipiend.gov.ua/publication/politychna-entsyklopediia/?utm_source=chatgpt.com</w:t>
        </w:r>
      </w:hyperlink>
      <w:r w:rsidRPr="00511005">
        <w:rPr>
          <w:rFonts w:ascii="Arial" w:eastAsia="Times New Roman" w:hAnsi="Arial" w:cs="Arial"/>
          <w:szCs w:val="28"/>
          <w:lang w:val="uk-UA"/>
        </w:rPr>
        <w:t xml:space="preserve"> </w:t>
      </w:r>
    </w:p>
    <w:p w14:paraId="4BE1EF59" w14:textId="77777777" w:rsidR="00DF77B5" w:rsidRPr="00511005" w:rsidRDefault="00DF77B5" w:rsidP="003F6A5D">
      <w:pPr>
        <w:widowControl w:val="0"/>
        <w:numPr>
          <w:ilvl w:val="0"/>
          <w:numId w:val="790"/>
        </w:numPr>
        <w:tabs>
          <w:tab w:val="left" w:pos="1134"/>
        </w:tabs>
        <w:autoSpaceDE w:val="0"/>
        <w:autoSpaceDN w:val="0"/>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lastRenderedPageBreak/>
        <w:t xml:space="preserve">Шайгородський Ю. Ж. Політична культура як чинник розвитку демократичного політичного режиму в Україні. Зміни політичних режимів і перспективи зміцнення демократії в Україні. Київ : ІПіЕнД ім. І. Ф. Кураса НАН України, 2021. С. 304-351. URL: </w:t>
      </w:r>
      <w:hyperlink r:id="rId2528" w:history="1">
        <w:r w:rsidRPr="00511005">
          <w:rPr>
            <w:rFonts w:ascii="Arial" w:eastAsia="Times New Roman" w:hAnsi="Arial" w:cs="Arial"/>
            <w:szCs w:val="28"/>
            <w:lang w:val="uk-UA"/>
          </w:rPr>
          <w:t>https://lib.iitta.gov.ua/id/eprint/729431/1/Політична_культура_як_чинник.pdf</w:t>
        </w:r>
      </w:hyperlink>
      <w:r w:rsidRPr="00511005">
        <w:rPr>
          <w:rFonts w:ascii="Arial" w:eastAsia="Times New Roman" w:hAnsi="Arial" w:cs="Arial"/>
          <w:szCs w:val="28"/>
          <w:lang w:val="uk-UA"/>
        </w:rPr>
        <w:t xml:space="preserve"> </w:t>
      </w:r>
    </w:p>
    <w:p w14:paraId="35A80771" w14:textId="77777777" w:rsidR="00DF77B5" w:rsidRPr="00511005" w:rsidRDefault="00DF77B5" w:rsidP="003F6A5D">
      <w:pPr>
        <w:widowControl w:val="0"/>
        <w:numPr>
          <w:ilvl w:val="0"/>
          <w:numId w:val="790"/>
        </w:numPr>
        <w:tabs>
          <w:tab w:val="left" w:pos="1134"/>
        </w:tabs>
        <w:autoSpaceDE w:val="0"/>
        <w:autoSpaceDN w:val="0"/>
        <w:spacing w:line="264" w:lineRule="auto"/>
        <w:ind w:left="0" w:firstLine="709"/>
        <w:jc w:val="left"/>
        <w:rPr>
          <w:rFonts w:ascii="Arial" w:eastAsia="Times New Roman" w:hAnsi="Arial" w:cs="Arial"/>
          <w:szCs w:val="28"/>
          <w:lang w:val="uk-UA"/>
        </w:rPr>
      </w:pPr>
      <w:r w:rsidRPr="00511005">
        <w:rPr>
          <w:rFonts w:ascii="Arial" w:eastAsia="Times New Roman" w:hAnsi="Arial" w:cs="Arial"/>
          <w:szCs w:val="28"/>
          <w:lang w:val="uk-UA"/>
        </w:rPr>
        <w:t xml:space="preserve">Almond G., Verba S. The Civic Culture: Political Attitudes and Democracy in Five Nations. Princeton University Press, 1963. URL: </w:t>
      </w:r>
      <w:hyperlink r:id="rId2529" w:history="1">
        <w:r w:rsidRPr="00511005">
          <w:rPr>
            <w:rFonts w:ascii="Arial" w:eastAsia="Times New Roman" w:hAnsi="Arial" w:cs="Arial"/>
            <w:szCs w:val="28"/>
            <w:lang w:val="uk-UA"/>
          </w:rPr>
          <w:t>https://www.jstor.org/stable/j.ctt183pnr2</w:t>
        </w:r>
      </w:hyperlink>
      <w:r w:rsidRPr="00511005">
        <w:rPr>
          <w:rFonts w:ascii="Arial" w:eastAsia="Times New Roman" w:hAnsi="Arial" w:cs="Arial"/>
          <w:szCs w:val="28"/>
          <w:lang w:val="uk-UA"/>
        </w:rPr>
        <w:t xml:space="preserve"> </w:t>
      </w:r>
    </w:p>
    <w:p w14:paraId="0A32594A" w14:textId="4B4C97CA" w:rsidR="00DF77B5" w:rsidRPr="00511005" w:rsidRDefault="007B2628"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DF77B5" w:rsidRPr="00511005">
        <w:rPr>
          <w:rFonts w:ascii="Arial" w:eastAsia="Times New Roman" w:hAnsi="Arial" w:cs="Arial"/>
          <w:szCs w:val="28"/>
          <w:lang w:val="uk-UA"/>
        </w:rPr>
        <w:t>політична культура, політична свідомість, соціалізація, активна участь, демократія, громадянське суспільство.</w:t>
      </w:r>
    </w:p>
    <w:p w14:paraId="48981A30" w14:textId="5FD2AD2C" w:rsidR="00DF77B5" w:rsidRPr="00511005" w:rsidRDefault="007B2628"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DF77B5" w:rsidRPr="00511005">
        <w:rPr>
          <w:rFonts w:ascii="Arial" w:eastAsia="Times New Roman" w:hAnsi="Arial" w:cs="Arial"/>
          <w:szCs w:val="28"/>
          <w:lang w:val="uk-UA"/>
        </w:rPr>
        <w:t>political culture, political awareness, socialization, active participation, democracy, civil society.</w:t>
      </w:r>
    </w:p>
    <w:p w14:paraId="0E318705" w14:textId="60F90CB8" w:rsidR="00DF77B5" w:rsidRPr="00511005" w:rsidRDefault="007B2628" w:rsidP="003A292D">
      <w:pPr>
        <w:widowControl w:val="0"/>
        <w:autoSpaceDE w:val="0"/>
        <w:autoSpaceDN w:val="0"/>
        <w:spacing w:line="264" w:lineRule="auto"/>
        <w:ind w:firstLine="72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DF77B5" w:rsidRPr="00511005">
        <w:rPr>
          <w:rFonts w:ascii="Arial" w:eastAsia="Times New Roman" w:hAnsi="Arial" w:cs="Arial"/>
          <w:i/>
          <w:iCs/>
          <w:szCs w:val="28"/>
          <w:lang w:val="uk-UA"/>
        </w:rPr>
        <w:t>к.і.н., доцент Сушко А.І.</w:t>
      </w:r>
    </w:p>
    <w:p w14:paraId="1D158DA8" w14:textId="77777777" w:rsidR="00DF77B5" w:rsidRPr="00511005" w:rsidRDefault="00DF77B5" w:rsidP="003A292D">
      <w:pPr>
        <w:widowControl w:val="0"/>
        <w:autoSpaceDE w:val="0"/>
        <w:autoSpaceDN w:val="0"/>
        <w:spacing w:line="264" w:lineRule="auto"/>
        <w:ind w:firstLine="0"/>
        <w:jc w:val="left"/>
        <w:rPr>
          <w:rFonts w:ascii="Arial" w:eastAsia="Times New Roman" w:hAnsi="Arial" w:cs="Arial"/>
          <w:szCs w:val="28"/>
          <w:lang w:val="uk-UA"/>
        </w:rPr>
      </w:pPr>
    </w:p>
    <w:p w14:paraId="5EE81A68" w14:textId="77777777" w:rsidR="00DF77B5" w:rsidRPr="00511005" w:rsidRDefault="00DF77B5" w:rsidP="003A292D">
      <w:pPr>
        <w:widowControl w:val="0"/>
        <w:autoSpaceDE w:val="0"/>
        <w:autoSpaceDN w:val="0"/>
        <w:spacing w:line="264" w:lineRule="auto"/>
        <w:ind w:firstLine="0"/>
        <w:jc w:val="left"/>
        <w:rPr>
          <w:rFonts w:ascii="Arial" w:eastAsia="Times New Roman" w:hAnsi="Arial" w:cs="Arial"/>
          <w:szCs w:val="28"/>
          <w:lang w:val="uk-UA"/>
        </w:rPr>
      </w:pPr>
    </w:p>
    <w:p w14:paraId="6A1E2D3B" w14:textId="77777777" w:rsidR="00DF77B5" w:rsidRPr="00511005" w:rsidRDefault="00DF77B5" w:rsidP="00425480">
      <w:pPr>
        <w:widowControl w:val="0"/>
        <w:autoSpaceDE w:val="0"/>
        <w:autoSpaceDN w:val="0"/>
        <w:spacing w:line="264" w:lineRule="auto"/>
        <w:ind w:firstLine="0"/>
        <w:jc w:val="center"/>
        <w:rPr>
          <w:rFonts w:ascii="Arial" w:eastAsia="Times New Roman" w:hAnsi="Arial" w:cs="Arial"/>
          <w:b/>
          <w:i/>
          <w:iCs/>
          <w:szCs w:val="28"/>
          <w:lang w:val="uk-UA" w:eastAsia="ru-RU"/>
        </w:rPr>
      </w:pPr>
      <w:r w:rsidRPr="00511005">
        <w:rPr>
          <w:rFonts w:ascii="Arial" w:eastAsia="Times New Roman" w:hAnsi="Arial" w:cs="Arial"/>
          <w:b/>
          <w:i/>
          <w:iCs/>
          <w:szCs w:val="28"/>
          <w:lang w:val="uk-UA" w:eastAsia="ru-RU"/>
        </w:rPr>
        <w:t xml:space="preserve">Бойчева Юлія Петрівна, Смаглій Таїсія Вадимівна </w:t>
      </w:r>
    </w:p>
    <w:p w14:paraId="22BA27F2" w14:textId="77777777" w:rsidR="00DF77B5" w:rsidRPr="00511005" w:rsidRDefault="00DF77B5" w:rsidP="00425480">
      <w:pPr>
        <w:widowControl w:val="0"/>
        <w:autoSpaceDE w:val="0"/>
        <w:autoSpaceDN w:val="0"/>
        <w:spacing w:line="264" w:lineRule="auto"/>
        <w:ind w:firstLine="0"/>
        <w:jc w:val="center"/>
        <w:rPr>
          <w:rFonts w:ascii="Arial" w:eastAsia="Times New Roman" w:hAnsi="Arial" w:cs="Arial"/>
          <w:bCs/>
          <w:szCs w:val="28"/>
          <w:lang w:val="uk-UA" w:eastAsia="ru-RU"/>
        </w:rPr>
      </w:pPr>
      <w:r w:rsidRPr="00511005">
        <w:rPr>
          <w:rFonts w:ascii="Arial" w:eastAsia="Times New Roman" w:hAnsi="Arial" w:cs="Arial"/>
          <w:bCs/>
          <w:szCs w:val="28"/>
          <w:lang w:val="uk-UA" w:eastAsia="ru-RU"/>
        </w:rPr>
        <w:t>студентки 1-го курсу факультету цивільної та господарської юстиції</w:t>
      </w:r>
    </w:p>
    <w:p w14:paraId="5A9B3DE3" w14:textId="4708DCA1" w:rsidR="00DF77B5" w:rsidRPr="00511005" w:rsidRDefault="007B2628" w:rsidP="00425480">
      <w:pPr>
        <w:widowControl w:val="0"/>
        <w:autoSpaceDE w:val="0"/>
        <w:autoSpaceDN w:val="0"/>
        <w:spacing w:line="264" w:lineRule="auto"/>
        <w:ind w:firstLine="0"/>
        <w:jc w:val="center"/>
        <w:rPr>
          <w:rFonts w:ascii="Arial" w:eastAsia="Times New Roman" w:hAnsi="Arial" w:cs="Arial"/>
          <w:bCs/>
          <w:szCs w:val="28"/>
          <w:lang w:val="uk-UA" w:eastAsia="ru-RU"/>
        </w:rPr>
      </w:pPr>
      <w:r w:rsidRPr="00511005">
        <w:rPr>
          <w:rFonts w:ascii="Arial" w:eastAsia="Times New Roman" w:hAnsi="Arial" w:cs="Arial"/>
          <w:bCs/>
          <w:szCs w:val="28"/>
          <w:lang w:val="uk-UA" w:eastAsia="ru-RU"/>
        </w:rPr>
        <w:t>Національного університету «Одеська юридична академія»</w:t>
      </w:r>
    </w:p>
    <w:p w14:paraId="10A2188A" w14:textId="77777777" w:rsidR="00DF77B5" w:rsidRPr="00511005" w:rsidRDefault="00DF77B5" w:rsidP="00425480">
      <w:pPr>
        <w:widowControl w:val="0"/>
        <w:autoSpaceDE w:val="0"/>
        <w:autoSpaceDN w:val="0"/>
        <w:spacing w:line="264" w:lineRule="auto"/>
        <w:ind w:firstLine="0"/>
        <w:jc w:val="center"/>
        <w:rPr>
          <w:rFonts w:ascii="Arial" w:eastAsia="Times New Roman" w:hAnsi="Arial" w:cs="Arial"/>
          <w:b/>
          <w:szCs w:val="28"/>
          <w:lang w:val="uk-UA" w:eastAsia="ru-RU"/>
        </w:rPr>
      </w:pPr>
    </w:p>
    <w:p w14:paraId="35942F44" w14:textId="77777777" w:rsidR="00DF77B5" w:rsidRPr="00511005" w:rsidRDefault="00DF77B5" w:rsidP="00425480">
      <w:pPr>
        <w:widowControl w:val="0"/>
        <w:autoSpaceDE w:val="0"/>
        <w:autoSpaceDN w:val="0"/>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ПОЛІТОЛОГІЧНА ТЕОРІЯ ДЕРЖАВИ В УКРАЇНСЬКІЙ НАУКОВІЙ ДУМЦІ ХІХ-ХХ СТ.</w:t>
      </w:r>
    </w:p>
    <w:p w14:paraId="10E601F9" w14:textId="77777777" w:rsidR="00DF77B5" w:rsidRPr="00511005" w:rsidRDefault="00DF77B5" w:rsidP="00425480">
      <w:pPr>
        <w:widowControl w:val="0"/>
        <w:autoSpaceDE w:val="0"/>
        <w:autoSpaceDN w:val="0"/>
        <w:spacing w:line="264" w:lineRule="auto"/>
        <w:ind w:firstLine="0"/>
        <w:contextualSpacing/>
        <w:rPr>
          <w:rFonts w:ascii="Arial" w:eastAsia="Times New Roman" w:hAnsi="Arial" w:cs="Arial"/>
          <w:szCs w:val="28"/>
          <w:lang w:val="uk-UA" w:eastAsia="ru-RU"/>
        </w:rPr>
      </w:pPr>
    </w:p>
    <w:p w14:paraId="62E65EC2" w14:textId="77777777" w:rsidR="00DF77B5" w:rsidRPr="00511005" w:rsidRDefault="00DF77B5" w:rsidP="003A292D">
      <w:pPr>
        <w:widowControl w:val="0"/>
        <w:autoSpaceDE w:val="0"/>
        <w:autoSpaceDN w:val="0"/>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Політологічна теорія держави в українській науковій думці ХІХ–ХХ століть займає особливе місце як у контексті становлення вітчизняної політичної та правової науки, так і в загальному процесі формування української державницької ідеї. Це складне і багатовимірне явище, яке охоплює політичні, правові, філософські, історичні та соціальні аспекти, що в комплексі дають глибоке розуміння природи держави, її функцій і місця в житті народу. Розвиток цієї теорії в Україні мав глибокі корені, оскільки українські землі тривалий час перебували під владою інших імперських держав – Російської та Австро-Угорської, – що значною мірою впливало на правосвідомість і політичні уявлення інтелектуальних еліт. Тим не менш, українські мислителі не лише адаптували європейські правові й політичні ідеї, а й продукували власні оригінальні концепції, що базувалися на українських історичних традиціях, козацькому устрої, ідеях народовладдя та природного права.</w:t>
      </w:r>
    </w:p>
    <w:p w14:paraId="3ACE263F" w14:textId="77777777" w:rsidR="00DF77B5" w:rsidRPr="00511005" w:rsidRDefault="00DF77B5" w:rsidP="003A292D">
      <w:pPr>
        <w:widowControl w:val="0"/>
        <w:autoSpaceDE w:val="0"/>
        <w:autoSpaceDN w:val="0"/>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Однією з ключових особливостей політологічної теорії держави ХІХ–ХХ ст. є постійний пошук моделі державності, яка б відповідала етнічній, мовній, культурній і соціальній специфіці українського народу. У працях таких мислителів, як Михайло Драгоманов, Борис Кістяківський, Іван Франко, В’ячеслав Липинський, Микола Міхновський, Андрій Ніковський та інші, відображені різні бачення майбутньої української держави: від </w:t>
      </w:r>
      <w:r w:rsidRPr="00511005">
        <w:rPr>
          <w:rFonts w:ascii="Arial" w:eastAsia="Times New Roman" w:hAnsi="Arial" w:cs="Arial"/>
          <w:szCs w:val="28"/>
          <w:lang w:val="uk-UA" w:eastAsia="ru-RU"/>
        </w:rPr>
        <w:lastRenderedPageBreak/>
        <w:t>федералізму до монархізму, від ліберального парламентаризму до авторитарного націоналізму. Політологічна теорія держави у працях цих авторів не обмежувалася сухою юридичною формалізацією; вона поєднувала емоційно-політичну складову із глибоким розумінням ролі народу, традиції, нації та справедливості як морального принципу державотворення.</w:t>
      </w:r>
    </w:p>
    <w:p w14:paraId="119E1CB3" w14:textId="77777777" w:rsidR="00DF77B5" w:rsidRPr="00511005" w:rsidRDefault="00DF77B5" w:rsidP="003A292D">
      <w:pPr>
        <w:widowControl w:val="0"/>
        <w:autoSpaceDE w:val="0"/>
        <w:autoSpaceDN w:val="0"/>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Михайло Драгоманов у другій половині ХІХ століття був одним із перших українських інтелектуалів, хто розглядав державу як інструмент для забезпечення прав і свобод людини. Його політична думка була глибоко демократичною і заснованою на ідеях природного права, самоврядування, федералізму, антиклерикалізму та антиавторитаризму. Драгоманов виступав за автономію України у складі федеративної Росії, вважаючи, що централізована імперія є головною перепоною для розвитку українського суспільства [3, c. 315-317]. Політологічна теорія держави в його працях тісно пов’язана з ідеєю децентралізації влади, свободою громад і пріоритетом громадянських прав над державним примусом.</w:t>
      </w:r>
    </w:p>
    <w:p w14:paraId="79BFC262" w14:textId="77777777" w:rsidR="00DF77B5" w:rsidRPr="00511005" w:rsidRDefault="00DF77B5" w:rsidP="003A292D">
      <w:pPr>
        <w:widowControl w:val="0"/>
        <w:autoSpaceDE w:val="0"/>
        <w:autoSpaceDN w:val="0"/>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Іван Франко, який за глибиною філософської думки та політичної інтуїції стоїть на рівні з найвідомішими європейськими мислителями, розглядав державу як результат суспільного договору, який має бути спрямований на служіння людям. Він підкреслював, що правова держава – це така форма організації політичного життя, в якій панує закон, справедливість і повага до особистості. Його критика як реакційного абсолютизму, так і утопічного соціалізму свідчить про намагання знайти «золоту середину» в державному устрої, який би поєднував ефективність і гуманізм [1, c.45].</w:t>
      </w:r>
    </w:p>
    <w:p w14:paraId="4C91351E" w14:textId="77777777" w:rsidR="00DF77B5" w:rsidRPr="00511005" w:rsidRDefault="00DF77B5" w:rsidP="003A292D">
      <w:pPr>
        <w:widowControl w:val="0"/>
        <w:autoSpaceDE w:val="0"/>
        <w:autoSpaceDN w:val="0"/>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Значним внеском у розвиток політологічної теорії держави стала діяльність Бориса Кістяківського, який у першій третині ХХ століття сформулював філософсько-правову концепцію «правової держави», побудовану на основі ідеї панування права, правового порядку та особистої свободи. На відміну від багатьох своїх сучасників, Кістяківський надавав центральне місце не етнічній чи політичній ідентичності, а саме ідеї права, яка в його уявленні має трансцендентне джерело. Держава в його концепції – не просто носій сили, а охоронець і гарант загальнолюдських цінностей, таких як свобода, справедливість, рівність і гідність [2, c. 162].</w:t>
      </w:r>
    </w:p>
    <w:p w14:paraId="79AFA220" w14:textId="77777777" w:rsidR="00DF77B5" w:rsidRPr="00511005" w:rsidRDefault="00DF77B5" w:rsidP="003A292D">
      <w:pPr>
        <w:widowControl w:val="0"/>
        <w:autoSpaceDE w:val="0"/>
        <w:autoSpaceDN w:val="0"/>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Особливої ваги у ХХ столітті набула концепція В’ячеслава Липинського, який став ідеологом українського консерватизму та розробником унікальної теорії державного націоналізму. На відміну від Драгоманова, Липинський наполягав на тому, що держава є не інструментом самоорганізації громади, а вищою інституцією політичної єдності, яка формується через відповідальність і жертовність еліти. Його модель монархії, заснованої на аристократичній традиції і служінні нації, протистояла як анархічному популізму, так і московському централізму. </w:t>
      </w:r>
      <w:r w:rsidRPr="00511005">
        <w:rPr>
          <w:rFonts w:ascii="Arial" w:eastAsia="Times New Roman" w:hAnsi="Arial" w:cs="Arial"/>
          <w:szCs w:val="28"/>
          <w:lang w:val="uk-UA" w:eastAsia="ru-RU"/>
        </w:rPr>
        <w:lastRenderedPageBreak/>
        <w:t>Липинський вважав, що тільки сильна, правова, централізована держава здатна забезпечити стабільність і виживання українського народу.</w:t>
      </w:r>
    </w:p>
    <w:p w14:paraId="61EBAAD9" w14:textId="7D9447FE" w:rsidR="00DF77B5" w:rsidRPr="00511005" w:rsidRDefault="00DF77B5" w:rsidP="003A292D">
      <w:pPr>
        <w:widowControl w:val="0"/>
        <w:autoSpaceDE w:val="0"/>
        <w:autoSpaceDN w:val="0"/>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Політологічна теорія держави в українській правовій думці ХІХ–ХХ ст. формувалася в умовах відсутності української державності, що, з одного боку, зумовлювало її ідеалістичний, теоретичний характер, а з іншого – робило її надзвичайно глибокою і цінною як інтелектуальний ресурс для майбутнього державотворення. У цих концепціях простежується не лише прагнення до політичної незалежності, а й пошук моральних, правових і соціальних засад для побудови справедливої держави. Ці мислителі намагалися не просто створити інститути влади, а надати їм глибокого змісту – через ідеї солідарності, гідності, свободи, відповідальності та права як універсального принципу організації суспільного життя. Таким чином, політологічна теорія держави в українській правовій думці цього періоду стала не лише науковим надбанням, а й національним скарбом, який продовжує впливати на сучасну українську політико-правову культуру, особливо в умовах новітніх викликів для державності та демократії.</w:t>
      </w:r>
    </w:p>
    <w:p w14:paraId="3C9AE13F" w14:textId="77777777" w:rsidR="00425480" w:rsidRPr="00511005" w:rsidRDefault="00425480" w:rsidP="003A292D">
      <w:pPr>
        <w:widowControl w:val="0"/>
        <w:autoSpaceDE w:val="0"/>
        <w:autoSpaceDN w:val="0"/>
        <w:spacing w:line="264" w:lineRule="auto"/>
        <w:contextualSpacing/>
        <w:rPr>
          <w:rFonts w:ascii="Arial" w:eastAsia="Times New Roman" w:hAnsi="Arial" w:cs="Arial"/>
          <w:szCs w:val="28"/>
          <w:lang w:val="uk-UA" w:eastAsia="ru-RU"/>
        </w:rPr>
      </w:pPr>
    </w:p>
    <w:p w14:paraId="29061F2D" w14:textId="35584EFB" w:rsidR="00DF77B5" w:rsidRPr="00511005" w:rsidRDefault="007B2628" w:rsidP="007B2628">
      <w:pPr>
        <w:widowControl w:val="0"/>
        <w:autoSpaceDE w:val="0"/>
        <w:autoSpaceDN w:val="0"/>
        <w:spacing w:line="264" w:lineRule="auto"/>
        <w:contextualSpacing/>
        <w:jc w:val="center"/>
        <w:rPr>
          <w:rFonts w:ascii="Arial" w:eastAsia="Times New Roman" w:hAnsi="Arial" w:cs="Arial"/>
          <w:b/>
          <w:szCs w:val="28"/>
          <w:lang w:val="uk-UA"/>
        </w:rPr>
      </w:pPr>
      <w:r w:rsidRPr="00511005">
        <w:rPr>
          <w:rFonts w:ascii="Arial" w:eastAsia="Times New Roman" w:hAnsi="Arial" w:cs="Arial"/>
          <w:b/>
          <w:szCs w:val="28"/>
          <w:lang w:val="uk-UA"/>
        </w:rPr>
        <w:t>Список використаних джерел</w:t>
      </w:r>
    </w:p>
    <w:p w14:paraId="6AE6BABE" w14:textId="77777777" w:rsidR="00DF77B5" w:rsidRPr="00511005" w:rsidRDefault="00DF77B5" w:rsidP="003F6A5D">
      <w:pPr>
        <w:widowControl w:val="0"/>
        <w:numPr>
          <w:ilvl w:val="0"/>
          <w:numId w:val="809"/>
        </w:numPr>
        <w:tabs>
          <w:tab w:val="left" w:pos="1134"/>
        </w:tabs>
        <w:autoSpaceDE w:val="0"/>
        <w:autoSpaceDN w:val="0"/>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Берко П. Національна ідея у філософській думці України. Методичний посібник / П. Берко, Г. Пітула, М. Небелюк. Дрогобич: Коло, 2003. 76 с.</w:t>
      </w:r>
    </w:p>
    <w:p w14:paraId="3096EA1C" w14:textId="77777777" w:rsidR="00DF77B5" w:rsidRPr="00511005" w:rsidRDefault="00DF77B5" w:rsidP="003F6A5D">
      <w:pPr>
        <w:widowControl w:val="0"/>
        <w:numPr>
          <w:ilvl w:val="0"/>
          <w:numId w:val="809"/>
        </w:numPr>
        <w:tabs>
          <w:tab w:val="left" w:pos="1134"/>
        </w:tabs>
        <w:autoSpaceDE w:val="0"/>
        <w:autoSpaceDN w:val="0"/>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Історія України та її державності / за наук. ред. Л.Є. Дещинського. Львів: Вид-во “Бескид Біг”, 2008. 443 с.</w:t>
      </w:r>
    </w:p>
    <w:p w14:paraId="289FFAFB" w14:textId="77777777" w:rsidR="00DF77B5" w:rsidRPr="00511005" w:rsidRDefault="00DF77B5" w:rsidP="003F6A5D">
      <w:pPr>
        <w:widowControl w:val="0"/>
        <w:numPr>
          <w:ilvl w:val="0"/>
          <w:numId w:val="809"/>
        </w:numPr>
        <w:tabs>
          <w:tab w:val="left" w:pos="1134"/>
        </w:tabs>
        <w:autoSpaceDE w:val="0"/>
        <w:autoSpaceDN w:val="0"/>
        <w:spacing w:line="264" w:lineRule="auto"/>
        <w:ind w:left="0"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Кормич А. І. Історія вчень про державу і право: Навч. посібник. 4</w:t>
      </w:r>
      <w:r w:rsidRPr="00511005">
        <w:rPr>
          <w:rFonts w:ascii="Cambria Math" w:eastAsia="Times New Roman" w:hAnsi="Cambria Math" w:cs="Cambria Math"/>
          <w:szCs w:val="28"/>
          <w:lang w:val="uk-UA"/>
        </w:rPr>
        <w:t>‑</w:t>
      </w:r>
      <w:r w:rsidRPr="00511005">
        <w:rPr>
          <w:rFonts w:ascii="Arial" w:eastAsia="Times New Roman" w:hAnsi="Arial" w:cs="Arial"/>
          <w:szCs w:val="28"/>
          <w:lang w:val="uk-UA"/>
        </w:rPr>
        <w:t xml:space="preserve">те вид., доповн., у 2-х част. Київ : Алерта, 2015. 416 с. </w:t>
      </w:r>
      <w:hyperlink r:id="rId2530" w:history="1">
        <w:r w:rsidRPr="00511005">
          <w:rPr>
            <w:rFonts w:ascii="Arial" w:eastAsia="Times New Roman" w:hAnsi="Arial" w:cs="Arial"/>
            <w:szCs w:val="28"/>
            <w:lang w:val="uk-UA"/>
          </w:rPr>
          <w:t>https://dspace.onua.edu.ua/items/572ce9cd-12e6-49c5-b8c4-86f1646ad6d2</w:t>
        </w:r>
      </w:hyperlink>
      <w:r w:rsidRPr="00511005">
        <w:rPr>
          <w:rFonts w:ascii="Arial" w:eastAsia="Times New Roman" w:hAnsi="Arial" w:cs="Arial"/>
          <w:szCs w:val="28"/>
          <w:lang w:val="uk-UA"/>
        </w:rPr>
        <w:t xml:space="preserve"> </w:t>
      </w:r>
    </w:p>
    <w:p w14:paraId="1C6C3B9D" w14:textId="77777777" w:rsidR="00DF77B5" w:rsidRPr="00511005" w:rsidRDefault="00DF77B5" w:rsidP="003A292D">
      <w:pPr>
        <w:widowControl w:val="0"/>
        <w:autoSpaceDE w:val="0"/>
        <w:autoSpaceDN w:val="0"/>
        <w:spacing w:line="264" w:lineRule="auto"/>
        <w:contextualSpacing/>
        <w:rPr>
          <w:rFonts w:ascii="Arial" w:eastAsia="Times New Roman" w:hAnsi="Arial" w:cs="Arial"/>
          <w:b/>
          <w:bCs/>
          <w:szCs w:val="28"/>
          <w:lang w:val="uk-UA"/>
        </w:rPr>
      </w:pPr>
    </w:p>
    <w:p w14:paraId="7F37B3FF" w14:textId="364753BD" w:rsidR="00DF77B5" w:rsidRPr="00511005" w:rsidRDefault="007B2628" w:rsidP="003A292D">
      <w:pPr>
        <w:widowControl w:val="0"/>
        <w:autoSpaceDE w:val="0"/>
        <w:autoSpaceDN w:val="0"/>
        <w:spacing w:line="264" w:lineRule="auto"/>
        <w:contextualSpacing/>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DF77B5" w:rsidRPr="00511005">
        <w:rPr>
          <w:rFonts w:ascii="Arial" w:eastAsia="Times New Roman" w:hAnsi="Arial" w:cs="Arial"/>
          <w:szCs w:val="28"/>
          <w:lang w:val="uk-UA"/>
        </w:rPr>
        <w:t>держава, правова держава, націоналізм, свобода, справедливість, Україна</w:t>
      </w:r>
    </w:p>
    <w:p w14:paraId="17014629" w14:textId="2FDFD2E6" w:rsidR="00DF77B5" w:rsidRPr="00511005" w:rsidRDefault="007B2628" w:rsidP="003A292D">
      <w:pPr>
        <w:widowControl w:val="0"/>
        <w:autoSpaceDE w:val="0"/>
        <w:autoSpaceDN w:val="0"/>
        <w:spacing w:line="264" w:lineRule="auto"/>
        <w:contextualSpacing/>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DF77B5" w:rsidRPr="00511005">
        <w:rPr>
          <w:rFonts w:ascii="Arial" w:eastAsia="Times New Roman" w:hAnsi="Arial" w:cs="Arial"/>
          <w:szCs w:val="28"/>
          <w:lang w:val="uk-UA"/>
        </w:rPr>
        <w:t>state, rule of law, nationalism, freedom, justice, Ukraine.</w:t>
      </w:r>
    </w:p>
    <w:p w14:paraId="26ED4493" w14:textId="7069BA8B" w:rsidR="00DF77B5" w:rsidRPr="00511005" w:rsidRDefault="007B2628" w:rsidP="003A292D">
      <w:pPr>
        <w:widowControl w:val="0"/>
        <w:autoSpaceDE w:val="0"/>
        <w:autoSpaceDN w:val="0"/>
        <w:spacing w:line="264" w:lineRule="auto"/>
        <w:contextualSpacing/>
        <w:rPr>
          <w:rFonts w:ascii="Arial" w:eastAsia="Times New Roman" w:hAnsi="Arial" w:cs="Arial"/>
          <w:szCs w:val="28"/>
          <w:lang w:val="uk-UA"/>
        </w:rPr>
      </w:pPr>
      <w:r w:rsidRPr="00511005">
        <w:rPr>
          <w:rFonts w:ascii="Arial" w:eastAsia="Times New Roman" w:hAnsi="Arial" w:cs="Arial"/>
          <w:b/>
          <w:i/>
          <w:iCs/>
          <w:szCs w:val="28"/>
          <w:lang w:val="uk-UA"/>
        </w:rPr>
        <w:t xml:space="preserve">Науковий керівник: </w:t>
      </w:r>
      <w:r w:rsidR="00DF77B5" w:rsidRPr="00511005">
        <w:rPr>
          <w:rFonts w:ascii="Arial" w:eastAsia="Times New Roman" w:hAnsi="Arial" w:cs="Arial"/>
          <w:szCs w:val="28"/>
          <w:lang w:val="uk-UA"/>
        </w:rPr>
        <w:t>к.політ.н., доцент Краснопольська Т.М</w:t>
      </w:r>
    </w:p>
    <w:p w14:paraId="185C0317" w14:textId="77777777" w:rsidR="00DF77B5" w:rsidRPr="00511005" w:rsidRDefault="00DF77B5" w:rsidP="003A292D">
      <w:pPr>
        <w:widowControl w:val="0"/>
        <w:autoSpaceDE w:val="0"/>
        <w:autoSpaceDN w:val="0"/>
        <w:spacing w:line="264" w:lineRule="auto"/>
        <w:ind w:firstLine="0"/>
        <w:jc w:val="left"/>
        <w:rPr>
          <w:rFonts w:ascii="Arial" w:eastAsia="Times New Roman" w:hAnsi="Arial" w:cs="Arial"/>
          <w:szCs w:val="28"/>
          <w:lang w:val="uk-UA"/>
        </w:rPr>
      </w:pPr>
    </w:p>
    <w:p w14:paraId="1CEF4EAB" w14:textId="77777777" w:rsidR="00DF77B5" w:rsidRPr="00511005" w:rsidRDefault="00DF77B5" w:rsidP="003A292D">
      <w:pPr>
        <w:widowControl w:val="0"/>
        <w:autoSpaceDE w:val="0"/>
        <w:autoSpaceDN w:val="0"/>
        <w:spacing w:line="264" w:lineRule="auto"/>
        <w:ind w:firstLine="0"/>
        <w:jc w:val="left"/>
        <w:rPr>
          <w:rFonts w:ascii="Arial" w:eastAsia="Times New Roman" w:hAnsi="Arial" w:cs="Arial"/>
          <w:szCs w:val="28"/>
          <w:lang w:val="uk-UA"/>
        </w:rPr>
      </w:pPr>
    </w:p>
    <w:p w14:paraId="23A9AA46" w14:textId="77777777" w:rsidR="00DF77B5" w:rsidRPr="00511005" w:rsidRDefault="00DF77B5" w:rsidP="003A292D">
      <w:pPr>
        <w:widowControl w:val="0"/>
        <w:autoSpaceDE w:val="0"/>
        <w:autoSpaceDN w:val="0"/>
        <w:spacing w:line="264" w:lineRule="auto"/>
        <w:jc w:val="center"/>
        <w:rPr>
          <w:rFonts w:ascii="Arial" w:eastAsia="Times New Roman" w:hAnsi="Arial" w:cs="Arial"/>
          <w:b/>
          <w:i/>
          <w:szCs w:val="28"/>
          <w:lang w:val="uk-UA"/>
        </w:rPr>
      </w:pPr>
      <w:r w:rsidRPr="00511005">
        <w:rPr>
          <w:rFonts w:ascii="Arial" w:eastAsia="Times New Roman" w:hAnsi="Arial" w:cs="Arial"/>
          <w:b/>
          <w:i/>
          <w:szCs w:val="28"/>
          <w:lang w:val="uk-UA"/>
        </w:rPr>
        <w:t>Гачук Дар’я Сергіївна</w:t>
      </w:r>
    </w:p>
    <w:p w14:paraId="3EF60317" w14:textId="02B0D026" w:rsidR="00DF77B5" w:rsidRPr="00511005" w:rsidRDefault="007B2628" w:rsidP="003A292D">
      <w:pPr>
        <w:widowControl w:val="0"/>
        <w:autoSpaceDE w:val="0"/>
        <w:autoSpaceDN w:val="0"/>
        <w:spacing w:line="264" w:lineRule="auto"/>
        <w:jc w:val="center"/>
        <w:rPr>
          <w:rFonts w:ascii="Arial" w:eastAsia="Times New Roman" w:hAnsi="Arial" w:cs="Arial"/>
          <w:szCs w:val="28"/>
          <w:lang w:val="uk-UA"/>
        </w:rPr>
      </w:pPr>
      <w:r w:rsidRPr="00511005">
        <w:rPr>
          <w:rFonts w:ascii="Arial" w:eastAsia="Times New Roman" w:hAnsi="Arial" w:cs="Arial"/>
          <w:szCs w:val="28"/>
          <w:lang w:val="uk-UA"/>
        </w:rPr>
        <w:t>студентка 1-го курсу факультету цивільної та господарської юстиції</w:t>
      </w:r>
    </w:p>
    <w:p w14:paraId="7EE16404" w14:textId="6B243DBE" w:rsidR="00DF77B5" w:rsidRPr="00511005" w:rsidRDefault="007B2628" w:rsidP="003A292D">
      <w:pPr>
        <w:widowControl w:val="0"/>
        <w:autoSpaceDE w:val="0"/>
        <w:autoSpaceDN w:val="0"/>
        <w:spacing w:line="264" w:lineRule="auto"/>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27C6E56A" w14:textId="77777777" w:rsidR="00DF77B5" w:rsidRPr="00511005" w:rsidRDefault="00DF77B5" w:rsidP="003A292D">
      <w:pPr>
        <w:widowControl w:val="0"/>
        <w:autoSpaceDE w:val="0"/>
        <w:autoSpaceDN w:val="0"/>
        <w:spacing w:line="264" w:lineRule="auto"/>
        <w:jc w:val="center"/>
        <w:rPr>
          <w:rFonts w:ascii="Arial" w:eastAsia="Times New Roman" w:hAnsi="Arial" w:cs="Arial"/>
          <w:szCs w:val="28"/>
          <w:lang w:val="uk-UA"/>
        </w:rPr>
      </w:pPr>
    </w:p>
    <w:p w14:paraId="145BE602" w14:textId="77777777" w:rsidR="00DF77B5" w:rsidRPr="00511005" w:rsidRDefault="00DF77B5" w:rsidP="003A292D">
      <w:pPr>
        <w:widowControl w:val="0"/>
        <w:autoSpaceDE w:val="0"/>
        <w:autoSpaceDN w:val="0"/>
        <w:spacing w:line="264" w:lineRule="auto"/>
        <w:jc w:val="center"/>
        <w:rPr>
          <w:rFonts w:ascii="Arial" w:eastAsia="Times New Roman" w:hAnsi="Arial" w:cs="Arial"/>
          <w:b/>
          <w:szCs w:val="28"/>
          <w:lang w:val="uk-UA"/>
        </w:rPr>
      </w:pPr>
      <w:r w:rsidRPr="00511005">
        <w:rPr>
          <w:rFonts w:ascii="Arial" w:eastAsia="Times New Roman" w:hAnsi="Arial" w:cs="Arial"/>
          <w:b/>
          <w:szCs w:val="28"/>
          <w:lang w:val="uk-UA"/>
        </w:rPr>
        <w:t xml:space="preserve">ПОЛІТИЧНА УЧАСТЬ УКРАЇНСЬКОЇ МОЛОДІ В УМОВАХ ВІЙНИ: ВОЛОНТЕРСТВО, АКТИВІЗМ, ПОЛІТИКА </w:t>
      </w:r>
    </w:p>
    <w:p w14:paraId="24938DAE"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Політична участь – це діяльність, людська поведінка, яка може бути спостережена [2, c.97]. Особливої ваги та нових форм набуває у молоді в умовах війни в Україні. Звертаючи увагу на сьогодення, від початку </w:t>
      </w:r>
      <w:r w:rsidRPr="00511005">
        <w:rPr>
          <w:rFonts w:ascii="Arial" w:eastAsia="Times New Roman" w:hAnsi="Arial" w:cs="Arial"/>
          <w:szCs w:val="28"/>
          <w:lang w:val="uk-UA"/>
        </w:rPr>
        <w:lastRenderedPageBreak/>
        <w:t>повномасштабного вторгнення росії в лютому 2022 року українська молодь активно долучилася до різних видів громадської і політичної активності, яка не обмежується традиційними інструментами, як-от участь у виборах. Натомість молоді люди демонструють нові підходи до громадянської залученості, що включають волонтерство, соціальні ініціативи, цифровий активізм, участь у публічних дискусіях і навіть формування нових суспільних лідерів.</w:t>
      </w:r>
    </w:p>
    <w:p w14:paraId="4BAF1378"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Однією з найпоширеніших форм участі молоді стала волонтерська діяльність. Вперше такий підйом відбувся в 2014 році, коли українці виступили на захист своєї батьківщини та розпочали допомагати будувати нову українську армію. Вдруге це сталося в 2020 році, коли наш народ об’єднався з метою допомогти медикам та співвітчизникам боротись з епідемією Covid-19, тоді волонтери масово закупали апарати ШВЛ та усе необхідне, щоб рятувати життя людей, і у 2022 році, вже втретє активні громадяни України прийшли на допомогу своїй державі. Молоді українці та українки масово долучаються до зборів коштів для Збройних сил України (ЗСУ), плетуть маскувальні сітки, фасують гуманітарну допомогу, евакуйовують цивільних з небезпечних регіонів, допомагають переселенцям та організовують логістику на місцях [1, c.29]. Волонтерство вийшло за межі великого міста і набуло широкої мобілізації навіть у сільській місцевості. На власному прикладі я відчуваю, що участь у спільній справі — це не просто обов’язок, а внутрішня потреба. Разом із моєю родиною ми постійно донатимо на потреби ЗСУ, розуміючи, що навіть невелика допомога здатна врятувати чиєсь життя. Ми також беремо участь у благодійних ярмарках, де збираються кошти для військових, але ці заходи мають значення не лише як спосіб фінансової підтримки. Вони створюють простір єдності, надають людям позитивні емоції та відчуття близькості — саме те, чого так бракує в наш час. </w:t>
      </w:r>
    </w:p>
    <w:p w14:paraId="168AB278"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Важливою формою політичної участі в сучасних умовах є також активізм у соціальних мережах. Молоді українці використовують цифрові платформи (інстаграм, твітер, тікток, телеграм) як засіб для мобілізації громадської думки, боротьби з дезінформацією, популяризації української мови й культури, а також для збору донатів. Через флешмоби, відео, меми й стріми молодь транслює меседжі спротиву, просуває цінності свободи, рівності й гідності. Таким чином, цифрова присутність стає політично значущим простором, де молодь формує порядок денний і впливає на суспільну дискусію не лише в Україні, а й у світі [3, c.3].</w:t>
      </w:r>
    </w:p>
    <w:p w14:paraId="61ED7132" w14:textId="3EC93BDA"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Громадська організація «Проліска» — це один із найяскравіших прикладів сучасного українського волонтерства та активізму, яка щоденно доводить свою ефективність, навіть попри те, що не є надто відомою широкому загалу. Її діяльність — це тиха, але потужна робота на передовій гуманітарного фронту. Організація не просто реагує на кризи, а працює </w:t>
      </w:r>
      <w:r w:rsidRPr="00511005">
        <w:rPr>
          <w:rFonts w:ascii="Arial" w:eastAsia="Times New Roman" w:hAnsi="Arial" w:cs="Arial"/>
          <w:szCs w:val="28"/>
          <w:lang w:val="uk-UA"/>
        </w:rPr>
        <w:lastRenderedPageBreak/>
        <w:t>стратегічно, хоч в лютому 2022 року, більшість гуманітарних центрів були окуповані, інші – опинились в зоні постійних обстрілів, однак, місія «Проліска» продовжила здійснювати свою</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гуманітарну діяльність. Один з прикладів — реалізація житлового проєкту у місті Хуст на Закарпатті. Тут завдяки підтримці Гуманітарного фонду для України перетворюють старий гуртожиток на сучасне місце тимчасового перебування для внутрішньо переміщених осіб (ВПО). І це лише один із семи об'єктів, які мають з'явитися в регіоні у 2025 році. ГО «Проліска» знає потреби людей, які втратили домівки через війну, і діє відповідно: від ремонту будівель до забезпечення технікою й меблями. Це не точкове волонтерство — це добре сплановані проекти з прозорим бюджетом. У Запоріжжі, після масованої атаки дронами, команда організації одразу надала допомогу: психологічну підтримку, соціальні консультації, юридичну допомогу, будматеріали й засоби першої необхідності. Попри небезпеку, «Проліска» не припиняє соціальні маршрути на Харківщині. Навіть після обстрілу, під час якого було пошкоджено два їхні мікроавтобуси, організація продовжила свою роботу, демонструючи мужність і відданість справі. Їхня присутність — це не просто гуманітарна місія, це реальна підтримка і надія для постраждалих [6].</w:t>
      </w:r>
    </w:p>
    <w:p w14:paraId="6D1C6F91"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У сучасних умовах активізм набув особливої форми — не тільки як волонтерський рух чи допомога армії, а й як громадянський голос тих, хто втратив близьких або чекає на їх повернення з полону. Одним із найболючіших, але водночас найпоказовіших прикладів активізму стали постійні пікети та мирні акції протесту родин українських військовополонених. Ці акції є виявом глибокого людського болю, надії й невідступної боротьби за правду. Такі зібрання відбуваються постійно у Києві, Львові, Дніпрі, Одесі, Миколаєві, Кропивницькому тощо. Учасники — це матері, дружини, сестри та діти полонених військових, переважно захисників «Азовсталі» та бійців із гарячих напрямків фронту. Вони виходять із плакатами, фотографіями своїх рідних, закликами до державної влади та міжнародних організацій із проханням активізувати процес обміну, надати чітку інформацію про статус військовополонених та забезпечити їм належний захист згідно з нормами міжнародного гуманітарного права. Хоча згідно з українським законодавством, а саме: Законом України «Про правовий режим воєнного стану» - ст.8 (забороняти проведення мирних зборів, мітингів, походів і демонстрацій, інших масових заходів) [4] ; Конституцією України - ст. 64 (про обмеження прав і свобод в умовах воєнного стану) [5], право на мирні зібрання під час воєнного стану заборонене або може бути тимчасово обмеженим, проте ці пікети продовжують відбуватися. Родини військовополонених не мають на меті дестабілізувати ситуацію, навпаки, їхні дії є моральним зверненням до совісті суспільства та держави, вони хочуть бути почутими. Саме тому правоохоронні органи, зазвичай, не втручаються, визнаючи мирний і </w:t>
      </w:r>
      <w:r w:rsidRPr="00511005">
        <w:rPr>
          <w:rFonts w:ascii="Arial" w:eastAsia="Times New Roman" w:hAnsi="Arial" w:cs="Arial"/>
          <w:szCs w:val="28"/>
          <w:lang w:val="uk-UA"/>
        </w:rPr>
        <w:lastRenderedPageBreak/>
        <w:t>гуманітарний характер таких зібрань. Цей тип активізму — стійкий опір забуттю, приклад того, як громадяни в умовах обмежень та ризиків все одно знаходять шляхи впливу на суспільну думку й політичні рішення.</w:t>
      </w:r>
    </w:p>
    <w:p w14:paraId="76F0F6CC"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Нинішня ситуація в Україні прискорила політичну соціалізацію української молоді. Підлітки та студенти, які ще кілька років тому були осторонь політики, сьогодні самі організовують збір коштів, беруть участь у стратегічній комунікації, проводять міжнародні кампанії підтримки нашої країни, вступають у добровольчі формування або допомагають у ТРО. Взагалі, в умовах війни громадянська зрілість приходить раніше, ніж у мирному житті. Вона формується на досвіді втрат, відповідальності, взаємодопомоги та самопожертви. На цьому тлі змінюється і саме уявлення про політику. Для молоді політика — це не лише діяльність депутатів чи партій, а насамперед дії, які впливають на життя громади, на захист прав і свобод, на підтримку тих, хто цього потребує. Політика стає щоденною відповідальністю за своє майбутнє — і саме таке бачення робить молодь ключовою рушійною силою суспільної трансформації в Україні.</w:t>
      </w:r>
    </w:p>
    <w:p w14:paraId="1538EA52"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Отже, на основі викладеного можна стверджувати, що війна стала точкою радикального перелому для українського суспільства, і особливо — для молоді. У цих екстремальних умовах політична участь молодих українців набула нових форм: волонтерство, активізм, самоорганізація, публічний захист і взаємодопомога. Але важливо усвідомлювати: ця активність не є типовою для мирного часу і не є результатом державної політики. Навпаки — вона виникла з ініціативи самих громадян, часто в умовах, коли держава або мовчала, або не встигала реагувати, або діяла недостатньо ефективно. Така участь — це не продовження офіційної політики, а радше форма громадянського супротиву байдужості, бюрократії та інституційній неспроможності. Люди, і особливо молодь, стали основним джерелом підтримки один одного, ініціюючи збори коштів, створюючи мережі допомоги, виходячи на мирні акції протестів. Це доводить, що сучасна українська молодь — не пасивний глядач, а активний учасник національного спротиву та творення нової політичної культури, заснованої на солідарності, відповідальності та внутрішній свободі. У цих умовах молодь проявляє себе не як «майбутнє країни», а як її жива, сильна і рішуча сучасність. Зрештою, політична участь молоді в умовах війни — це не лише прояв патріотизму, а й фундамент для післявоєнного оновлення країни.</w:t>
      </w:r>
      <w:r w:rsidRPr="00511005">
        <w:rPr>
          <w:rFonts w:ascii="Arial" w:eastAsia="Times New Roman" w:hAnsi="Arial" w:cs="Arial"/>
          <w:i/>
          <w:iCs/>
          <w:szCs w:val="28"/>
          <w:lang w:val="uk-UA"/>
        </w:rPr>
        <w:t xml:space="preserve"> </w:t>
      </w:r>
      <w:r w:rsidRPr="00511005">
        <w:rPr>
          <w:rFonts w:ascii="Arial" w:eastAsia="Times New Roman" w:hAnsi="Arial" w:cs="Arial"/>
          <w:szCs w:val="28"/>
          <w:lang w:val="uk-UA"/>
        </w:rPr>
        <w:t xml:space="preserve">Тому в даній темі я б запропонувала ввести такий термін, як «активна громадянська стійкість», що має на увазі феномен масового залучення громадян до подолання національних викликів через волонтерську, соціальну, політичну та інформаційну діяльність на підтримку суспільства і держави. Проте, варто зазначити, що таке явище дійсно може бути присутнім не тільки під час війни, а й під час інших викликів, з якими постійно стикається країна. </w:t>
      </w:r>
    </w:p>
    <w:p w14:paraId="43820928" w14:textId="3F0C7B75" w:rsidR="00DF77B5" w:rsidRPr="00511005" w:rsidRDefault="007B2628" w:rsidP="007B2628">
      <w:pPr>
        <w:widowControl w:val="0"/>
        <w:autoSpaceDE w:val="0"/>
        <w:autoSpaceDN w:val="0"/>
        <w:spacing w:line="264" w:lineRule="auto"/>
        <w:jc w:val="center"/>
        <w:rPr>
          <w:rFonts w:ascii="Arial" w:eastAsia="Times New Roman" w:hAnsi="Arial" w:cs="Arial"/>
          <w:b/>
          <w:szCs w:val="28"/>
          <w:lang w:val="uk-UA"/>
        </w:rPr>
      </w:pPr>
      <w:r w:rsidRPr="00511005">
        <w:rPr>
          <w:rFonts w:ascii="Arial" w:eastAsia="Times New Roman" w:hAnsi="Arial" w:cs="Arial"/>
          <w:b/>
          <w:szCs w:val="28"/>
          <w:lang w:val="uk-UA"/>
        </w:rPr>
        <w:lastRenderedPageBreak/>
        <w:t>Список використаних джерел</w:t>
      </w:r>
    </w:p>
    <w:p w14:paraId="6EA6144D"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1. Манелюк Ю. М., Луценко В. Р., Савчук Н. І. Волонтерський рух України в умовах військової агресії / Політичні інститути та процеси. 2020. С.29-33. DOI https://doi.org/10.24195/2414-9616.2022-6.5</w:t>
      </w:r>
    </w:p>
    <w:p w14:paraId="7465C6D4"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2. Янченко А. О. Форми політичної участі: аналітичні підходи до картування партисипації громадян. Науковий журнал «Політикус» / Політичні інститути та процеси. Випуск 3. 2021. С.94-101. DOI https://doi.org/10.24195/2414-9616.2021-3.15.</w:t>
      </w:r>
    </w:p>
    <w:p w14:paraId="7F89B2C4"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3. Панасюк М. О. Шляхи та способи активізації участі молоді у виборах в Україні / Есе. 2024. С.1-7.</w:t>
      </w:r>
    </w:p>
    <w:p w14:paraId="609BFDDD"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4. Закон України «Про правовий режим воєнного стану». URL: </w:t>
      </w:r>
      <w:hyperlink r:id="rId2531" w:anchor="Text" w:history="1">
        <w:r w:rsidRPr="00511005">
          <w:rPr>
            <w:rFonts w:ascii="Arial" w:eastAsia="Times New Roman" w:hAnsi="Arial" w:cs="Arial"/>
            <w:szCs w:val="28"/>
            <w:lang w:val="uk-UA"/>
          </w:rPr>
          <w:t>https://zakon.rada.gov.ua/laws/show/389-19#Text</w:t>
        </w:r>
      </w:hyperlink>
    </w:p>
    <w:p w14:paraId="5B670071"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5. Конституція України. URL: </w:t>
      </w:r>
      <w:hyperlink r:id="rId2532" w:anchor="Text" w:history="1">
        <w:r w:rsidRPr="00511005">
          <w:rPr>
            <w:rFonts w:ascii="Arial" w:eastAsia="Times New Roman" w:hAnsi="Arial" w:cs="Arial"/>
            <w:szCs w:val="28"/>
            <w:lang w:val="uk-UA"/>
          </w:rPr>
          <w:t>https://zakon.rada.gov.ua/laws/show/254%D0%BA/96-%D0%B2%D1%80#Text</w:t>
        </w:r>
      </w:hyperlink>
    </w:p>
    <w:p w14:paraId="1988E43E"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6. Гуманітарна місія «Проліска» / Громадська організація. URL: </w:t>
      </w:r>
      <w:hyperlink r:id="rId2533" w:history="1">
        <w:r w:rsidRPr="00511005">
          <w:rPr>
            <w:rFonts w:ascii="Arial" w:eastAsia="Times New Roman" w:hAnsi="Arial" w:cs="Arial"/>
            <w:szCs w:val="28"/>
            <w:lang w:val="uk-UA"/>
          </w:rPr>
          <w:t>https://proliska.org/</w:t>
        </w:r>
      </w:hyperlink>
    </w:p>
    <w:p w14:paraId="33A8D54C" w14:textId="4815307C" w:rsidR="00DF77B5" w:rsidRPr="00511005" w:rsidRDefault="007B2628"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b/>
          <w:i/>
          <w:szCs w:val="28"/>
          <w:lang w:val="uk-UA"/>
        </w:rPr>
        <w:t xml:space="preserve">Ключові слова: </w:t>
      </w:r>
      <w:r w:rsidR="00DF77B5" w:rsidRPr="00511005">
        <w:rPr>
          <w:rFonts w:ascii="Arial" w:eastAsia="Times New Roman" w:hAnsi="Arial" w:cs="Arial"/>
          <w:szCs w:val="28"/>
          <w:lang w:val="uk-UA"/>
        </w:rPr>
        <w:t>політична участь, в умовах війни, участь української молоді, активізм, волонтерство, політика,</w:t>
      </w:r>
      <w:r w:rsidRPr="00511005">
        <w:rPr>
          <w:rFonts w:ascii="Arial" w:eastAsia="Times New Roman" w:hAnsi="Arial" w:cs="Arial"/>
          <w:szCs w:val="28"/>
          <w:lang w:val="uk-UA"/>
        </w:rPr>
        <w:t xml:space="preserve"> </w:t>
      </w:r>
      <w:r w:rsidR="00DF77B5" w:rsidRPr="00511005">
        <w:rPr>
          <w:rFonts w:ascii="Arial" w:eastAsia="Times New Roman" w:hAnsi="Arial" w:cs="Arial"/>
          <w:szCs w:val="28"/>
          <w:lang w:val="uk-UA"/>
        </w:rPr>
        <w:t>активна громадянська стійкість.</w:t>
      </w:r>
    </w:p>
    <w:p w14:paraId="6F0B95FB" w14:textId="036EAAFF" w:rsidR="00DF77B5" w:rsidRPr="00511005" w:rsidRDefault="007B2628"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DF77B5" w:rsidRPr="00511005">
        <w:rPr>
          <w:rFonts w:ascii="Arial" w:eastAsia="Times New Roman" w:hAnsi="Arial" w:cs="Arial"/>
          <w:szCs w:val="28"/>
          <w:lang w:val="uk-UA"/>
        </w:rPr>
        <w:t>political participation, in wartime, participation of Ukrainian youth, activism, volunteering, politics, active civic resilience.</w:t>
      </w:r>
    </w:p>
    <w:p w14:paraId="2A85A211" w14:textId="33D8D595" w:rsidR="00DF77B5" w:rsidRPr="00511005" w:rsidRDefault="007B2628" w:rsidP="003A292D">
      <w:pPr>
        <w:widowControl w:val="0"/>
        <w:autoSpaceDE w:val="0"/>
        <w:autoSpaceDN w:val="0"/>
        <w:spacing w:line="264" w:lineRule="auto"/>
        <w:rPr>
          <w:rFonts w:ascii="Arial" w:eastAsia="Times New Roman" w:hAnsi="Arial" w:cs="Arial"/>
          <w:bCs/>
          <w:iCs/>
          <w:szCs w:val="28"/>
          <w:lang w:val="uk-UA"/>
        </w:rPr>
      </w:pPr>
      <w:r w:rsidRPr="00511005">
        <w:rPr>
          <w:rFonts w:ascii="Arial" w:eastAsia="Times New Roman" w:hAnsi="Arial" w:cs="Arial"/>
          <w:b/>
          <w:bCs/>
          <w:i/>
          <w:szCs w:val="28"/>
          <w:lang w:val="uk-UA"/>
        </w:rPr>
        <w:t xml:space="preserve">Науковий керівник: </w:t>
      </w:r>
      <w:r w:rsidR="00DF77B5" w:rsidRPr="00511005">
        <w:rPr>
          <w:rFonts w:ascii="Arial" w:eastAsia="Times New Roman" w:hAnsi="Arial" w:cs="Arial"/>
          <w:bCs/>
          <w:iCs/>
          <w:szCs w:val="28"/>
          <w:lang w:val="uk-UA"/>
        </w:rPr>
        <w:t>доктор філософії з політології, асистент кафедри Лисянський П.Л.</w:t>
      </w:r>
    </w:p>
    <w:p w14:paraId="63A71E98" w14:textId="77777777" w:rsidR="00DF77B5" w:rsidRPr="00511005" w:rsidRDefault="00DF77B5" w:rsidP="003A292D">
      <w:pPr>
        <w:widowControl w:val="0"/>
        <w:autoSpaceDE w:val="0"/>
        <w:autoSpaceDN w:val="0"/>
        <w:spacing w:line="264" w:lineRule="auto"/>
        <w:rPr>
          <w:rFonts w:ascii="Arial" w:eastAsia="Times New Roman" w:hAnsi="Arial" w:cs="Arial"/>
          <w:bCs/>
          <w:i/>
          <w:szCs w:val="28"/>
          <w:lang w:val="uk-UA"/>
        </w:rPr>
      </w:pPr>
    </w:p>
    <w:p w14:paraId="1D4DA4CF" w14:textId="77777777" w:rsidR="00DF77B5" w:rsidRPr="00511005" w:rsidRDefault="00DF77B5" w:rsidP="003A292D">
      <w:pPr>
        <w:widowControl w:val="0"/>
        <w:autoSpaceDE w:val="0"/>
        <w:autoSpaceDN w:val="0"/>
        <w:spacing w:line="264" w:lineRule="auto"/>
        <w:rPr>
          <w:rFonts w:ascii="Arial" w:eastAsia="Times New Roman" w:hAnsi="Arial" w:cs="Arial"/>
          <w:bCs/>
          <w:i/>
          <w:szCs w:val="28"/>
          <w:lang w:val="uk-UA"/>
        </w:rPr>
      </w:pPr>
    </w:p>
    <w:p w14:paraId="46B848C7" w14:textId="77777777" w:rsidR="00DF77B5" w:rsidRPr="00511005" w:rsidRDefault="00DF77B5" w:rsidP="003A292D">
      <w:pPr>
        <w:widowControl w:val="0"/>
        <w:autoSpaceDE w:val="0"/>
        <w:autoSpaceDN w:val="0"/>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Гноць Ольга Романівна</w:t>
      </w:r>
    </w:p>
    <w:p w14:paraId="1CE9F765" w14:textId="55DB090B" w:rsidR="00DF77B5" w:rsidRPr="00511005" w:rsidRDefault="000C4F43" w:rsidP="003A292D">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с</w:t>
      </w:r>
      <w:r w:rsidR="00DF77B5" w:rsidRPr="00511005">
        <w:rPr>
          <w:rFonts w:ascii="Arial" w:eastAsia="Times New Roman" w:hAnsi="Arial" w:cs="Arial"/>
          <w:szCs w:val="28"/>
          <w:lang w:val="uk-UA"/>
        </w:rPr>
        <w:t xml:space="preserve">тудентка 1-курсу </w:t>
      </w:r>
      <w:r w:rsidRPr="00511005">
        <w:rPr>
          <w:rFonts w:ascii="Arial" w:eastAsia="Times New Roman" w:hAnsi="Arial" w:cs="Arial"/>
          <w:szCs w:val="28"/>
          <w:lang w:val="uk-UA"/>
        </w:rPr>
        <w:t>ф</w:t>
      </w:r>
      <w:r w:rsidR="00DF77B5" w:rsidRPr="00511005">
        <w:rPr>
          <w:rFonts w:ascii="Arial" w:eastAsia="Times New Roman" w:hAnsi="Arial" w:cs="Arial"/>
          <w:szCs w:val="28"/>
          <w:lang w:val="uk-UA"/>
        </w:rPr>
        <w:t xml:space="preserve">акультету </w:t>
      </w:r>
      <w:r w:rsidRPr="00511005">
        <w:rPr>
          <w:rFonts w:ascii="Arial" w:eastAsia="Times New Roman" w:hAnsi="Arial" w:cs="Arial"/>
          <w:szCs w:val="28"/>
          <w:lang w:val="uk-UA"/>
        </w:rPr>
        <w:t>ц</w:t>
      </w:r>
      <w:r w:rsidR="00DF77B5" w:rsidRPr="00511005">
        <w:rPr>
          <w:rFonts w:ascii="Arial" w:eastAsia="Times New Roman" w:hAnsi="Arial" w:cs="Arial"/>
          <w:szCs w:val="28"/>
          <w:lang w:val="uk-UA"/>
        </w:rPr>
        <w:t>ивільн</w:t>
      </w:r>
      <w:r w:rsidRPr="00511005">
        <w:rPr>
          <w:rFonts w:ascii="Arial" w:eastAsia="Times New Roman" w:hAnsi="Arial" w:cs="Arial"/>
          <w:szCs w:val="28"/>
          <w:lang w:val="uk-UA"/>
        </w:rPr>
        <w:t>ої</w:t>
      </w:r>
      <w:r w:rsidR="00DF77B5" w:rsidRPr="00511005">
        <w:rPr>
          <w:rFonts w:ascii="Arial" w:eastAsia="Times New Roman" w:hAnsi="Arial" w:cs="Arial"/>
          <w:szCs w:val="28"/>
          <w:lang w:val="uk-UA"/>
        </w:rPr>
        <w:t xml:space="preserve"> та господарськ</w:t>
      </w:r>
      <w:r w:rsidRPr="00511005">
        <w:rPr>
          <w:rFonts w:ascii="Arial" w:eastAsia="Times New Roman" w:hAnsi="Arial" w:cs="Arial"/>
          <w:szCs w:val="28"/>
          <w:lang w:val="uk-UA"/>
        </w:rPr>
        <w:t>ої</w:t>
      </w:r>
      <w:r w:rsidR="00DF77B5" w:rsidRPr="00511005">
        <w:rPr>
          <w:rFonts w:ascii="Arial" w:eastAsia="Times New Roman" w:hAnsi="Arial" w:cs="Arial"/>
          <w:szCs w:val="28"/>
          <w:lang w:val="uk-UA"/>
        </w:rPr>
        <w:t xml:space="preserve"> юстиці</w:t>
      </w:r>
      <w:r w:rsidRPr="00511005">
        <w:rPr>
          <w:rFonts w:ascii="Arial" w:eastAsia="Times New Roman" w:hAnsi="Arial" w:cs="Arial"/>
          <w:szCs w:val="28"/>
          <w:lang w:val="uk-UA"/>
        </w:rPr>
        <w:t>ї</w:t>
      </w:r>
    </w:p>
    <w:p w14:paraId="56C4986F" w14:textId="02CA91B8" w:rsidR="00DF77B5" w:rsidRPr="00511005" w:rsidRDefault="007B2628" w:rsidP="003A292D">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4F18C3BF" w14:textId="77777777" w:rsidR="00DF77B5" w:rsidRPr="00511005" w:rsidRDefault="00DF77B5" w:rsidP="003A292D">
      <w:pPr>
        <w:widowControl w:val="0"/>
        <w:autoSpaceDE w:val="0"/>
        <w:autoSpaceDN w:val="0"/>
        <w:adjustRightInd w:val="0"/>
        <w:spacing w:line="264" w:lineRule="auto"/>
        <w:ind w:firstLine="0"/>
        <w:jc w:val="center"/>
        <w:rPr>
          <w:rFonts w:ascii="Arial" w:eastAsia="Times New Roman" w:hAnsi="Arial" w:cs="Arial"/>
          <w:b/>
          <w:bCs/>
          <w:szCs w:val="28"/>
          <w:lang w:val="uk-UA"/>
        </w:rPr>
      </w:pPr>
    </w:p>
    <w:p w14:paraId="041A6609" w14:textId="77777777" w:rsidR="00DF77B5" w:rsidRPr="00511005" w:rsidRDefault="00DF77B5" w:rsidP="003A292D">
      <w:pPr>
        <w:widowControl w:val="0"/>
        <w:autoSpaceDE w:val="0"/>
        <w:autoSpaceDN w:val="0"/>
        <w:adjustRightInd w:val="0"/>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 xml:space="preserve">ЦЕНЗУРА І СВОБОДА СЛОВА: </w:t>
      </w:r>
    </w:p>
    <w:p w14:paraId="03C90D1D" w14:textId="77777777" w:rsidR="00DF77B5" w:rsidRPr="00511005" w:rsidRDefault="00DF77B5" w:rsidP="003A292D">
      <w:pPr>
        <w:widowControl w:val="0"/>
        <w:autoSpaceDE w:val="0"/>
        <w:autoSpaceDN w:val="0"/>
        <w:adjustRightInd w:val="0"/>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ДЕ МЕЖА МІЖ ЗАХИСТОМ ДЕМОКРАТІЇ ТА РЕПРЕСІЄЮ</w:t>
      </w:r>
    </w:p>
    <w:p w14:paraId="5308BA98" w14:textId="77777777" w:rsidR="00DF77B5"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Свобода слова є ключовою складовою демократичного ладу. Вона дає людям право відкрито висловлювати свої думки, отримувати й передавати інформацію без страху переслідувань. Проте в сучасному світі, де поширюються фейкові новини, зростає радикалізація та виникають загрози національній безпеці, держави змушені впроваджувати певні обмеження на вираження поглядів. Це породжує суперечливе питання: як визначити ту межу, де захист демократії переходить у порушення основоположних прав людини?</w:t>
      </w:r>
      <w:r w:rsidRPr="00511005">
        <w:rPr>
          <w:rFonts w:ascii="Arial" w:eastAsia="Times New Roman" w:hAnsi="Arial" w:cs="Arial"/>
          <w:szCs w:val="28"/>
          <w:vertAlign w:val="superscript"/>
          <w:lang w:val="uk-UA"/>
        </w:rPr>
        <w:footnoteReference w:id="1"/>
      </w:r>
    </w:p>
    <w:p w14:paraId="10EB47BE" w14:textId="77777777" w:rsidR="00DF77B5"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Межа між виправданими заходами для захисту демократії та порушенням основоположних прав людини проходить через принципи </w:t>
      </w:r>
      <w:r w:rsidRPr="00511005">
        <w:rPr>
          <w:rFonts w:ascii="Arial" w:eastAsia="Times New Roman" w:hAnsi="Arial" w:cs="Arial"/>
          <w:szCs w:val="28"/>
          <w:lang w:val="uk-UA"/>
        </w:rPr>
        <w:lastRenderedPageBreak/>
        <w:t>законності, пропорційності, прозорості та наявності незалежного нагляду. Такий підхід ґрунтується на положеннях міжнародного права та підтверджується реальними прикладами з практики різних країн. Законні підстави для обмеження свободи вираження. Міжнародні нормативні акти визнають, що право на свободу слова не є абсолютним і може підлягати обмеженням за наявності чітко визначених умов:</w:t>
      </w:r>
    </w:p>
    <w:p w14:paraId="2D2BF46E" w14:textId="77777777" w:rsidR="00DF77B5" w:rsidRPr="00511005" w:rsidRDefault="00DF77B5" w:rsidP="003F6A5D">
      <w:pPr>
        <w:widowControl w:val="0"/>
        <w:numPr>
          <w:ilvl w:val="0"/>
          <w:numId w:val="794"/>
        </w:numPr>
        <w:autoSpaceDE w:val="0"/>
        <w:autoSpaceDN w:val="0"/>
        <w:spacing w:line="264" w:lineRule="auto"/>
        <w:ind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Законодавча основа: Будь-яке обмеження повинно бути прямо передбачене законом.</w:t>
      </w:r>
    </w:p>
    <w:p w14:paraId="0A4CE07A" w14:textId="77777777" w:rsidR="00DF77B5" w:rsidRPr="00511005" w:rsidRDefault="00DF77B5" w:rsidP="003F6A5D">
      <w:pPr>
        <w:widowControl w:val="0"/>
        <w:numPr>
          <w:ilvl w:val="0"/>
          <w:numId w:val="794"/>
        </w:numPr>
        <w:autoSpaceDE w:val="0"/>
        <w:autoSpaceDN w:val="0"/>
        <w:spacing w:line="264" w:lineRule="auto"/>
        <w:ind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Легітимна мета: Обмеження допускаються для забезпечення національної безпеки, громадського порядку, охорони здоров’я, моралі, а також для захисту прав і репутації інших осіб.</w:t>
      </w:r>
    </w:p>
    <w:p w14:paraId="424C6ADB" w14:textId="77777777" w:rsidR="00DF77B5" w:rsidRPr="00511005" w:rsidRDefault="00DF77B5" w:rsidP="003F6A5D">
      <w:pPr>
        <w:widowControl w:val="0"/>
        <w:numPr>
          <w:ilvl w:val="0"/>
          <w:numId w:val="794"/>
        </w:numPr>
        <w:autoSpaceDE w:val="0"/>
        <w:autoSpaceDN w:val="0"/>
        <w:spacing w:line="264" w:lineRule="auto"/>
        <w:ind w:firstLine="709"/>
        <w:contextualSpacing/>
        <w:jc w:val="left"/>
        <w:rPr>
          <w:rFonts w:ascii="Arial" w:eastAsia="Times New Roman" w:hAnsi="Arial" w:cs="Arial"/>
          <w:szCs w:val="28"/>
          <w:lang w:val="uk-UA"/>
        </w:rPr>
      </w:pPr>
      <w:r w:rsidRPr="00511005">
        <w:rPr>
          <w:rFonts w:ascii="Arial" w:eastAsia="Times New Roman" w:hAnsi="Arial" w:cs="Arial"/>
          <w:szCs w:val="28"/>
          <w:lang w:val="uk-UA"/>
        </w:rPr>
        <w:t>Необхідність у демократичному суспільстві: Заходи мають бути обґрунтованими, необхідними та відповідати принципу пропорційності.</w:t>
      </w:r>
    </w:p>
    <w:p w14:paraId="08AC38CA" w14:textId="77777777" w:rsidR="00DF77B5"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Ці критерії закріплені, зокрема, в статті 19 Міжнародного пакту про громадянські і політичні права (МПГПП)</w:t>
      </w:r>
      <w:r w:rsidRPr="00511005">
        <w:rPr>
          <w:rFonts w:ascii="Arial" w:eastAsia="Times New Roman" w:hAnsi="Arial" w:cs="Arial"/>
          <w:szCs w:val="28"/>
          <w:vertAlign w:val="superscript"/>
          <w:lang w:val="uk-UA"/>
        </w:rPr>
        <w:footnoteReference w:id="2"/>
      </w:r>
      <w:r w:rsidRPr="00511005">
        <w:rPr>
          <w:rFonts w:ascii="Arial" w:eastAsia="Times New Roman" w:hAnsi="Arial" w:cs="Arial"/>
          <w:szCs w:val="28"/>
          <w:lang w:val="uk-UA"/>
        </w:rPr>
        <w:t>та статті 10 Європейської конвенції з прав людини (ЄКПЛ).</w:t>
      </w:r>
    </w:p>
    <w:p w14:paraId="520B6011" w14:textId="77777777" w:rsidR="00DF77B5"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Приклади з міжнародної практики:</w:t>
      </w:r>
    </w:p>
    <w:p w14:paraId="4696A230" w14:textId="63A764D1" w:rsidR="00955392" w:rsidRPr="00511005" w:rsidRDefault="00955392"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1. Справa </w:t>
      </w:r>
      <w:r w:rsidRPr="00511005">
        <w:rPr>
          <w:rFonts w:ascii="Arial" w:eastAsia="Times New Roman" w:hAnsi="Arial" w:cs="Arial"/>
          <w:i/>
          <w:iCs/>
          <w:szCs w:val="28"/>
          <w:lang w:val="uk-UA"/>
        </w:rPr>
        <w:t>Handyside v. United Kingdom</w:t>
      </w:r>
      <w:r w:rsidRPr="00511005">
        <w:rPr>
          <w:rFonts w:ascii="Arial" w:eastAsia="Times New Roman" w:hAnsi="Arial" w:cs="Arial"/>
          <w:szCs w:val="28"/>
          <w:lang w:val="uk-UA"/>
        </w:rPr>
        <w:t> (1976): Європейський суд з прав людини наголосив, що свобода вираження охоплює не лише "невинні" чи популярні ідеї, а й ті, що можуть ображати, шокувати чи тривожити державу чи окремі групи населення.</w:t>
      </w:r>
    </w:p>
    <w:p w14:paraId="6AF1E5B0" w14:textId="14439A52" w:rsidR="00955392" w:rsidRPr="00511005" w:rsidRDefault="00955392"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2. Греція: За даними </w:t>
      </w:r>
      <w:r w:rsidRPr="00511005">
        <w:rPr>
          <w:rFonts w:ascii="Arial" w:eastAsia="Times New Roman" w:hAnsi="Arial" w:cs="Arial"/>
          <w:i/>
          <w:iCs/>
          <w:szCs w:val="28"/>
          <w:lang w:val="uk-UA"/>
        </w:rPr>
        <w:t>Human Rights Watch</w:t>
      </w:r>
      <w:r w:rsidRPr="00511005">
        <w:rPr>
          <w:rFonts w:ascii="Arial" w:eastAsia="Times New Roman" w:hAnsi="Arial" w:cs="Arial"/>
          <w:szCs w:val="28"/>
          <w:lang w:val="uk-UA"/>
        </w:rPr>
        <w:t>, у країні фіксуються випадки використання шпигунського програмного забезпечення та судових позовів проти журналістів, що підриває свободу медіа.</w:t>
      </w:r>
    </w:p>
    <w:p w14:paraId="35D80F48" w14:textId="79CDD78A" w:rsidR="00955392" w:rsidRPr="00511005" w:rsidRDefault="00955392"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3. Венесуела: У період з 2013 по 2018 рік було закрито 115 ЗМІ, що свідчить про послідовну політику придушення вільної преси.</w:t>
      </w:r>
    </w:p>
    <w:p w14:paraId="6B765710" w14:textId="3C611F52" w:rsidR="00955392" w:rsidRPr="00511005" w:rsidRDefault="00955392"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4. Північна Корея: Держава повністю контролює медіапростір, суворо обмежуючи доступ до зовнішньої інформації, що унеможливлює реалізацію свободи слова.</w:t>
      </w:r>
    </w:p>
    <w:p w14:paraId="7CAC9B05" w14:textId="3CCEFABF" w:rsidR="00955392" w:rsidRPr="00511005" w:rsidRDefault="00955392"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Щоб оцінити правомірність конкретних обмежень свободи вираження, необхідно враховувати такі чинники. Наприклад, щоб міра обмеження відповідала реальній загрозі та не була надмірною. Також, повинний бути наявний незалежний контроль: Судові або інші незалежні інституції повинні мати повноваження перевіряти законність та обґрунтованість таких обмежень.</w:t>
      </w:r>
    </w:p>
    <w:p w14:paraId="4C610D16" w14:textId="784AAD15" w:rsidR="00DF77B5"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Свобода слова є</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фундаментальним елементом демократії» ладу. Це не тільки загально людська цінність, а й форма відповідальності. Мова йде </w:t>
      </w:r>
      <w:r w:rsidRPr="00511005">
        <w:rPr>
          <w:rFonts w:ascii="Arial" w:eastAsia="Times New Roman" w:hAnsi="Arial" w:cs="Arial"/>
          <w:szCs w:val="28"/>
          <w:lang w:val="uk-UA"/>
        </w:rPr>
        <w:lastRenderedPageBreak/>
        <w:t>не лише про діяльність журналістів, а про спільне право кожної людини мати голос, висловлювати власні думки та захищати як особисті, так і колективні інтереси.</w:t>
      </w:r>
      <w:r w:rsidRPr="00511005">
        <w:rPr>
          <w:rFonts w:ascii="Arial" w:eastAsia="Times New Roman" w:hAnsi="Arial" w:cs="Arial"/>
          <w:szCs w:val="28"/>
          <w:vertAlign w:val="superscript"/>
          <w:lang w:val="uk-UA"/>
        </w:rPr>
        <w:footnoteReference w:id="3"/>
      </w:r>
    </w:p>
    <w:p w14:paraId="41A2690A" w14:textId="53DD016A" w:rsidR="00955392" w:rsidRPr="00511005" w:rsidRDefault="00955392"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В умовах війни в Україні свобода слова переживають чи не найтяжчий період за всю історію незалежності. Особливо критична ситуація — на тимчасово окупованих територіях, де відсутній будь-який простір для вільного висловлювання і повністю знищено незалежну журналістику.</w:t>
      </w:r>
    </w:p>
    <w:p w14:paraId="5CCE977F" w14:textId="7C96D626" w:rsidR="00955392" w:rsidRPr="00511005" w:rsidRDefault="00955392"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У сучасних умовах інформаційне протистояння, кібератаки та інформаційні війни набули вирішального значення у змаганні за глобальне домінування. Це створює серйозні виклики для демократичних держав, які, з одного боку, прагнуть забезпечити повну реалізацію свободи слова, а з іншого — змушені захищати національну безпеку в умовах гібридних загроз, що включають цілеспрямований інформаційний вплив на масову свідомість, культурні цінності та ідентичність суспільства.</w:t>
      </w:r>
      <w:r w:rsidRPr="00511005">
        <w:rPr>
          <w:rFonts w:ascii="Arial" w:eastAsia="Times New Roman" w:hAnsi="Arial" w:cs="Arial"/>
          <w:szCs w:val="28"/>
          <w:vertAlign w:val="superscript"/>
          <w:lang w:val="uk-UA"/>
        </w:rPr>
        <w:footnoteReference w:id="4"/>
      </w:r>
    </w:p>
    <w:p w14:paraId="6A0005BA" w14:textId="4C686A9B" w:rsidR="00955392" w:rsidRPr="00511005" w:rsidRDefault="00955392"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Щодо цензури: позитивні та негативні аспекти цензури. Цензура це необхідність чи загроза?</w:t>
      </w:r>
    </w:p>
    <w:p w14:paraId="7B364D65" w14:textId="6D442302" w:rsidR="00955392" w:rsidRPr="00511005" w:rsidRDefault="00955392"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Цензура — це форма контролю над змістом та поширенням інформації, що передбачає обмеження її доступності або цілковиту заборону на її поширення. У широкому контексті вона найчастіше застосовується державними органами, тоді як у вузькому — може здійснюватися керівництвом окремих установ чи підприємств. Цензура притаманна передусім для авторитарних та тоталітарних політичних режимів, а також нерідко трапляється в державах із теократичним устроєм, де свобода висловлювання значно обмежена релігійними чи політичними догмами.</w:t>
      </w:r>
    </w:p>
    <w:p w14:paraId="01BA528F" w14:textId="4389094B" w:rsidR="00DF77B5"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Цензура може виконувати як функцію захисту суспільства від шкідливого інформаційного впливу, так і виступати інструментом утиску свободи слова та підриву демократичних принципів. У такому випадку, важливо дотримуватись розумного балансу між охороною державної безпеки та гарантуванням громадянам права на вільне вираження поглядів. Обмеження такого характеру повинні бути юридично обґрунтованими, відповідати принципу пропорційності та виправданості в умовах демократичного ладу.</w:t>
      </w:r>
    </w:p>
    <w:p w14:paraId="63FDDB2A" w14:textId="77777777" w:rsidR="00DF77B5"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Якщо говорити за позитивні риси цензури, можна виділити:</w:t>
      </w:r>
    </w:p>
    <w:p w14:paraId="1CCDC257" w14:textId="77777777" w:rsidR="00DF77B5"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По-перше, це боротьба з дезінформацією та фейковими новинами. Адже цензура може слугувати засобом стримування розповсюдження недостовірної інформації, яка здатна викликати паніку, посилювати соціальну напругу або порушувати стабільність у державі. Зокрема, в умовах воєнних дій уряди часто змушені обмежувати доступ до певних </w:t>
      </w:r>
      <w:r w:rsidRPr="00511005">
        <w:rPr>
          <w:rFonts w:ascii="Arial" w:eastAsia="Times New Roman" w:hAnsi="Arial" w:cs="Arial"/>
          <w:szCs w:val="28"/>
          <w:lang w:val="uk-UA"/>
        </w:rPr>
        <w:lastRenderedPageBreak/>
        <w:t>інформаційних ресурсів задля збереження громадського порядку та національної безпеки. Так, після початку бойових дій на Донбасі в Україні було запроваджено заборону на трансляцію низки російських телеканалів, які займалися пропагандою та поширенням дезінформації.</w:t>
      </w:r>
      <w:r w:rsidRPr="00511005">
        <w:rPr>
          <w:rFonts w:ascii="Arial" w:eastAsia="Times New Roman" w:hAnsi="Arial" w:cs="Arial"/>
          <w:szCs w:val="28"/>
          <w:vertAlign w:val="superscript"/>
          <w:lang w:val="uk-UA"/>
        </w:rPr>
        <w:footnoteReference w:id="5"/>
      </w:r>
    </w:p>
    <w:p w14:paraId="1CA53330" w14:textId="77777777" w:rsidR="00DF77B5"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По-друге, запобігання пропаганді екстремізму та насильства. Так як, цензура може застосовуватись як засіб обмеження доступу до інформаційних ресурсів, що містять заклики до насильства, підтримують терористичну діяльність або поширюють екстремістські ідеї. Такий підхід є особливо важливим в умовах гібридних загроз, коли інформаційні впливи використовуються для дестабілізації внутрішньополітичної ситуації в державі. У цьому контексті прикладом є заборона на використання російських соціальних мереж в Україні, яка була запроваджена з міркувань національної безпеки та як реакція на системну інформаційну агресію.</w:t>
      </w:r>
      <w:r w:rsidRPr="00511005">
        <w:rPr>
          <w:rFonts w:ascii="Arial" w:eastAsia="Times New Roman" w:hAnsi="Arial" w:cs="Arial"/>
          <w:szCs w:val="28"/>
          <w:vertAlign w:val="superscript"/>
          <w:lang w:val="uk-UA"/>
        </w:rPr>
        <w:footnoteReference w:id="6"/>
      </w:r>
    </w:p>
    <w:p w14:paraId="69837A8E" w14:textId="77777777" w:rsidR="007B2628"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По-третє, захист національної безпеки. Тому що, у певних обставинах застосування цензури може бути обґрунтованим з міркувань забезпечення національної безпеки, зокрема в періоди збройних конфліктів або під час дії надзвичайного стану. Обмеження інформаційного простору в таких умовах дозволяє запобігти розголошенню важливої стратегічної інформації та знижує ризик її використання противником з метою дестабілізації державної ситуації.</w:t>
      </w:r>
    </w:p>
    <w:p w14:paraId="6894CB0C" w14:textId="32954C3E" w:rsidR="00DF77B5"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Взагалі, негативних аспектів цензури також багато, наприклад: цензура обмежує можливість людей, ЗМІ та політичних опонентів вільно висловлювати свої погляди, що суперечить основам демократії. У результаті суспільству нав’язується лише одна «правильна» думка. Коли інформаційний простір жорстко контролюється, люди втрачають можливість отримувати достовірні факти й самостійно робити висновки. Це сприяє поширенню пропаганди й спотворенню дійсності. Також, цензурні механізми нерідко використовуються для блокування або очорнення політичних суперників влади. Це позбавляє виборців змоги робити усвідомлений вибір серед альтернатив. Коли критику уряду обмежують, порушення закону, корупційні схеми й інші проблеми залишаються непоміченими. Така закритість знижує довіру до органів влади. Без відкритого обговорення ідей та конструктивної критики політична система стає неефективною. </w:t>
      </w:r>
    </w:p>
    <w:p w14:paraId="2F3E6C78" w14:textId="6397A56E" w:rsidR="00DF77B5" w:rsidRPr="00511005" w:rsidRDefault="00DF77B5" w:rsidP="00036C7B">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Цензура підживлює авторитарні тенденції, коли влада перестає звітувати перед громадянами. У країнах із цензурою нерідко переслідують тих, хто говорить правду. Це породжує атмосферу страху й змушує людей мовчати, навіть коли вони знають про порушення. Держави, де активно застосовується цензура, отримують осуд з боку світової спільноти, що </w:t>
      </w:r>
      <w:r w:rsidRPr="00511005">
        <w:rPr>
          <w:rFonts w:ascii="Arial" w:eastAsia="Times New Roman" w:hAnsi="Arial" w:cs="Arial"/>
          <w:szCs w:val="28"/>
          <w:lang w:val="uk-UA"/>
        </w:rPr>
        <w:lastRenderedPageBreak/>
        <w:t>погіршує їхній авторитет, дипломатичні відносини та економічну привабливість.</w:t>
      </w:r>
    </w:p>
    <w:p w14:paraId="4BB24FDE" w14:textId="77777777" w:rsidR="00036C7B" w:rsidRPr="00511005" w:rsidRDefault="00036C7B" w:rsidP="00036C7B">
      <w:pPr>
        <w:widowControl w:val="0"/>
        <w:autoSpaceDE w:val="0"/>
        <w:autoSpaceDN w:val="0"/>
        <w:spacing w:line="264" w:lineRule="auto"/>
        <w:rPr>
          <w:rFonts w:ascii="Arial" w:eastAsia="Times New Roman" w:hAnsi="Arial" w:cs="Arial"/>
          <w:szCs w:val="28"/>
          <w:lang w:val="uk-UA"/>
        </w:rPr>
      </w:pPr>
    </w:p>
    <w:p w14:paraId="08D3FAA9" w14:textId="73203C16" w:rsidR="00DF77B5" w:rsidRPr="00511005" w:rsidRDefault="007B2628" w:rsidP="007B2628">
      <w:pPr>
        <w:spacing w:line="264" w:lineRule="auto"/>
        <w:ind w:firstLine="0"/>
        <w:jc w:val="center"/>
        <w:rPr>
          <w:rFonts w:ascii="Arial" w:eastAsia="Aptos" w:hAnsi="Arial" w:cs="Arial"/>
          <w:kern w:val="2"/>
          <w:szCs w:val="28"/>
          <w:lang w:val="uk-UA"/>
          <w14:ligatures w14:val="standardContextual"/>
        </w:rPr>
      </w:pPr>
      <w:r w:rsidRPr="00511005">
        <w:rPr>
          <w:rFonts w:ascii="Arial" w:eastAsia="Times New Roman" w:hAnsi="Arial" w:cs="Arial"/>
          <w:b/>
          <w:bCs/>
          <w:kern w:val="2"/>
          <w:szCs w:val="28"/>
          <w:lang w:val="uk-UA"/>
          <w14:ligatures w14:val="standardContextual"/>
        </w:rPr>
        <w:t>Список використаних джерел</w:t>
      </w:r>
    </w:p>
    <w:p w14:paraId="4743C850" w14:textId="77777777" w:rsidR="00DF77B5" w:rsidRPr="00511005" w:rsidRDefault="00DF77B5" w:rsidP="003F6A5D">
      <w:pPr>
        <w:widowControl w:val="0"/>
        <w:numPr>
          <w:ilvl w:val="0"/>
          <w:numId w:val="795"/>
        </w:numPr>
        <w:autoSpaceDE w:val="0"/>
        <w:autoSpaceDN w:val="0"/>
        <w:spacing w:line="264" w:lineRule="auto"/>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Свобода слова: ілюзія чи інструмент придушення?https://www.bakunetwork.org/ru/news/analytics/13516</w:t>
      </w:r>
    </w:p>
    <w:p w14:paraId="0E687145" w14:textId="77777777" w:rsidR="00DF77B5" w:rsidRPr="00511005" w:rsidRDefault="00DF77B5" w:rsidP="003F6A5D">
      <w:pPr>
        <w:widowControl w:val="0"/>
        <w:numPr>
          <w:ilvl w:val="0"/>
          <w:numId w:val="795"/>
        </w:numPr>
        <w:autoSpaceDE w:val="0"/>
        <w:autoSpaceDN w:val="0"/>
        <w:spacing w:line="264" w:lineRule="auto"/>
        <w:jc w:val="left"/>
        <w:rPr>
          <w:rFonts w:ascii="Arial" w:eastAsia="Aptos" w:hAnsi="Arial" w:cs="Arial"/>
          <w:kern w:val="2"/>
          <w:szCs w:val="28"/>
          <w:lang w:val="uk-UA"/>
          <w14:ligatures w14:val="standardContextual"/>
        </w:rPr>
      </w:pPr>
      <w:r w:rsidRPr="00511005">
        <w:rPr>
          <w:rFonts w:ascii="Arial" w:eastAsia="Aptos" w:hAnsi="Arial" w:cs="Arial"/>
          <w:i/>
          <w:iCs/>
          <w:kern w:val="2"/>
          <w:szCs w:val="28"/>
          <w:lang w:val="uk-UA"/>
          <w14:ligatures w14:val="standardContextual"/>
        </w:rPr>
        <w:t xml:space="preserve">Міжнародний пакт ратифіковано Указом Президії Верховної Ради Української РСР N 2148-VIII ( </w:t>
      </w:r>
      <w:hyperlink r:id="rId2534" w:tgtFrame="_blank" w:history="1">
        <w:r w:rsidRPr="00511005">
          <w:rPr>
            <w:rFonts w:ascii="Arial" w:eastAsia="Aptos" w:hAnsi="Arial" w:cs="Arial"/>
            <w:kern w:val="2"/>
            <w:szCs w:val="28"/>
            <w:lang w:val="uk-UA"/>
            <w14:ligatures w14:val="standardContextual"/>
          </w:rPr>
          <w:t>2148-08</w:t>
        </w:r>
      </w:hyperlink>
      <w:r w:rsidRPr="00511005">
        <w:rPr>
          <w:rFonts w:ascii="Arial" w:eastAsia="Aptos" w:hAnsi="Arial" w:cs="Arial"/>
          <w:i/>
          <w:iCs/>
          <w:kern w:val="2"/>
          <w:szCs w:val="28"/>
          <w:lang w:val="uk-UA"/>
          <w14:ligatures w14:val="standardContextual"/>
        </w:rPr>
        <w:t xml:space="preserve"> ) від 19.10.73</w:t>
      </w:r>
    </w:p>
    <w:p w14:paraId="57CE0D20" w14:textId="77777777" w:rsidR="00DF77B5" w:rsidRPr="00511005" w:rsidRDefault="00DF77B5" w:rsidP="003F6A5D">
      <w:pPr>
        <w:widowControl w:val="0"/>
        <w:numPr>
          <w:ilvl w:val="0"/>
          <w:numId w:val="795"/>
        </w:numPr>
        <w:autoSpaceDE w:val="0"/>
        <w:autoSpaceDN w:val="0"/>
        <w:spacing w:line="264" w:lineRule="auto"/>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 xml:space="preserve">Свобода слова-основа демократії </w:t>
      </w:r>
      <w:hyperlink r:id="rId2535" w:history="1">
        <w:r w:rsidRPr="00511005">
          <w:rPr>
            <w:rFonts w:ascii="Arial" w:eastAsia="Aptos" w:hAnsi="Arial" w:cs="Arial"/>
            <w:kern w:val="2"/>
            <w:szCs w:val="28"/>
            <w:lang w:val="uk-UA"/>
            <w14:ligatures w14:val="standardContextual"/>
          </w:rPr>
          <w:t>https://webportal.nrada.gov.ua/svoboda-slova-osnova-demokratiyi/</w:t>
        </w:r>
      </w:hyperlink>
      <w:r w:rsidRPr="00511005">
        <w:rPr>
          <w:rFonts w:ascii="Arial" w:eastAsia="Aptos" w:hAnsi="Arial" w:cs="Arial"/>
          <w:kern w:val="2"/>
          <w:szCs w:val="28"/>
          <w:lang w:val="uk-UA"/>
          <w14:ligatures w14:val="standardContextual"/>
        </w:rPr>
        <w:t xml:space="preserve"> </w:t>
      </w:r>
    </w:p>
    <w:p w14:paraId="16DA7326" w14:textId="77777777" w:rsidR="00DF77B5" w:rsidRPr="00511005" w:rsidRDefault="00DF77B5" w:rsidP="003F6A5D">
      <w:pPr>
        <w:widowControl w:val="0"/>
        <w:numPr>
          <w:ilvl w:val="0"/>
          <w:numId w:val="795"/>
        </w:numPr>
        <w:autoSpaceDE w:val="0"/>
        <w:autoSpaceDN w:val="0"/>
        <w:spacing w:line="264" w:lineRule="auto"/>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Калиновський Юрій Юрійович Свобода слова як ціннність демократичного державотворення: безпековий формат</w:t>
      </w:r>
    </w:p>
    <w:p w14:paraId="55802935" w14:textId="77777777" w:rsidR="00DF77B5" w:rsidRPr="00511005" w:rsidRDefault="00DF77B5" w:rsidP="003F6A5D">
      <w:pPr>
        <w:widowControl w:val="0"/>
        <w:numPr>
          <w:ilvl w:val="0"/>
          <w:numId w:val="795"/>
        </w:numPr>
        <w:autoSpaceDE w:val="0"/>
        <w:autoSpaceDN w:val="0"/>
        <w:spacing w:line="264" w:lineRule="auto"/>
        <w:jc w:val="left"/>
        <w:rPr>
          <w:rFonts w:ascii="Arial" w:eastAsia="Aptos" w:hAnsi="Arial" w:cs="Arial"/>
          <w:kern w:val="2"/>
          <w:szCs w:val="28"/>
          <w:lang w:val="uk-UA"/>
          <w14:ligatures w14:val="standardContextual"/>
        </w:rPr>
      </w:pPr>
      <w:r w:rsidRPr="00511005">
        <w:rPr>
          <w:rFonts w:ascii="Arial" w:eastAsia="Times New Roman" w:hAnsi="Arial" w:cs="Arial"/>
          <w:spacing w:val="3"/>
          <w:kern w:val="36"/>
          <w:szCs w:val="28"/>
          <w:lang w:val="uk-UA"/>
          <w14:ligatures w14:val="standardContextual"/>
        </w:rPr>
        <w:t>Олександр Хребет-Свобода слова під час конфлікту: коли обмежувати і як. Практика ЄСПЛ</w:t>
      </w:r>
      <w:r w:rsidRPr="00511005">
        <w:rPr>
          <w:rFonts w:ascii="Arial" w:eastAsia="Times New Roman" w:hAnsi="Arial" w:cs="Arial"/>
          <w:kern w:val="2"/>
          <w:szCs w:val="28"/>
          <w:lang w:val="uk-UA"/>
          <w14:ligatures w14:val="standardContextual"/>
        </w:rPr>
        <w:t xml:space="preserve"> </w:t>
      </w:r>
      <w:hyperlink r:id="rId2536" w:history="1">
        <w:r w:rsidRPr="00511005">
          <w:rPr>
            <w:rFonts w:ascii="Arial" w:eastAsia="Times New Roman" w:hAnsi="Arial" w:cs="Arial"/>
            <w:kern w:val="2"/>
            <w:szCs w:val="28"/>
            <w:lang w:val="uk-UA"/>
            <w14:ligatures w14:val="standardContextual"/>
          </w:rPr>
          <w:t>https://zmina.info/articles/svoboda-slova-pid-chas-konfliktu-koly-obmezhuvaty-i-yak-praktyka-yespl/?utm_source=chatgpt.com</w:t>
        </w:r>
      </w:hyperlink>
    </w:p>
    <w:p w14:paraId="30B9BD22" w14:textId="7B679432" w:rsidR="00DF77B5" w:rsidRPr="00511005" w:rsidRDefault="00DF77B5" w:rsidP="003F6A5D">
      <w:pPr>
        <w:widowControl w:val="0"/>
        <w:numPr>
          <w:ilvl w:val="0"/>
          <w:numId w:val="795"/>
        </w:numPr>
        <w:autoSpaceDE w:val="0"/>
        <w:autoSpaceDN w:val="0"/>
        <w:spacing w:line="264" w:lineRule="auto"/>
        <w:jc w:val="left"/>
        <w:rPr>
          <w:rFonts w:ascii="Arial" w:eastAsia="Aptos" w:hAnsi="Arial" w:cs="Arial"/>
          <w:kern w:val="2"/>
          <w:szCs w:val="28"/>
          <w:lang w:val="uk-UA"/>
          <w14:ligatures w14:val="standardContextual"/>
        </w:rPr>
      </w:pPr>
      <w:r w:rsidRPr="00511005">
        <w:rPr>
          <w:rFonts w:ascii="Arial" w:eastAsia="Aptos" w:hAnsi="Arial" w:cs="Arial"/>
          <w:kern w:val="2"/>
          <w:szCs w:val="28"/>
          <w:lang w:val="uk-UA"/>
          <w14:ligatures w14:val="standardContextual"/>
        </w:rPr>
        <w:t>Любовь Цибульська Цензура чи захист суспільства: як штурм Капітолію змінив кордони свободи слова</w:t>
      </w:r>
      <w:r w:rsidR="007B2628" w:rsidRPr="00511005">
        <w:rPr>
          <w:rFonts w:ascii="Arial" w:eastAsia="Aptos" w:hAnsi="Arial" w:cs="Arial"/>
          <w:caps/>
          <w:kern w:val="2"/>
          <w:szCs w:val="28"/>
          <w:lang w:val="uk-UA"/>
          <w14:ligatures w14:val="standardContextual"/>
        </w:rPr>
        <w:t xml:space="preserve"> </w:t>
      </w:r>
    </w:p>
    <w:p w14:paraId="609983E3" w14:textId="77777777" w:rsidR="00DF77B5" w:rsidRPr="00511005" w:rsidRDefault="00DF77B5" w:rsidP="003A292D">
      <w:pPr>
        <w:spacing w:line="264" w:lineRule="auto"/>
        <w:ind w:left="360" w:firstLine="0"/>
        <w:jc w:val="left"/>
        <w:rPr>
          <w:rFonts w:ascii="Arial" w:eastAsia="Aptos" w:hAnsi="Arial" w:cs="Arial"/>
          <w:kern w:val="2"/>
          <w:szCs w:val="28"/>
          <w:lang w:val="uk-UA"/>
          <w14:ligatures w14:val="standardContextual"/>
        </w:rPr>
      </w:pPr>
    </w:p>
    <w:p w14:paraId="7C6580B1" w14:textId="2B684E81" w:rsidR="00DF77B5" w:rsidRPr="00511005" w:rsidRDefault="007B2628" w:rsidP="003A292D">
      <w:pPr>
        <w:spacing w:line="264" w:lineRule="auto"/>
        <w:ind w:left="360" w:firstLine="0"/>
        <w:rPr>
          <w:rFonts w:ascii="Arial" w:eastAsia="Aptos" w:hAnsi="Arial" w:cs="Arial"/>
          <w:kern w:val="2"/>
          <w:szCs w:val="28"/>
          <w:lang w:val="uk-UA"/>
          <w14:ligatures w14:val="standardContextual"/>
        </w:rPr>
      </w:pPr>
      <w:r w:rsidRPr="00511005">
        <w:rPr>
          <w:rFonts w:ascii="Arial" w:eastAsia="Aptos" w:hAnsi="Arial" w:cs="Arial"/>
          <w:b/>
          <w:i/>
          <w:iCs/>
          <w:kern w:val="2"/>
          <w:szCs w:val="28"/>
          <w:lang w:val="uk-UA"/>
          <w14:ligatures w14:val="standardContextual"/>
        </w:rPr>
        <w:t xml:space="preserve">Ключові слова: </w:t>
      </w:r>
      <w:r w:rsidR="00DF77B5" w:rsidRPr="00511005">
        <w:rPr>
          <w:rFonts w:ascii="Arial" w:eastAsia="Aptos" w:hAnsi="Arial" w:cs="Arial"/>
          <w:i/>
          <w:iCs/>
          <w:kern w:val="2"/>
          <w:szCs w:val="28"/>
          <w:lang w:val="uk-UA"/>
          <w14:ligatures w14:val="standardContextual"/>
        </w:rPr>
        <w:t xml:space="preserve">цензура, свобода вираження, свобода слова, основа демократії </w:t>
      </w:r>
    </w:p>
    <w:p w14:paraId="5D06EF59" w14:textId="5CCDC258" w:rsidR="00DF77B5" w:rsidRPr="00511005" w:rsidRDefault="007B2628" w:rsidP="003A292D">
      <w:pPr>
        <w:spacing w:line="264" w:lineRule="auto"/>
        <w:ind w:left="360" w:firstLine="0"/>
        <w:rPr>
          <w:rFonts w:ascii="Arial" w:eastAsia="Aptos" w:hAnsi="Arial" w:cs="Arial"/>
          <w:bCs/>
          <w:kern w:val="2"/>
          <w:szCs w:val="28"/>
          <w:lang w:val="uk-UA"/>
          <w14:ligatures w14:val="standardContextual"/>
        </w:rPr>
      </w:pPr>
      <w:r w:rsidRPr="00511005">
        <w:rPr>
          <w:rFonts w:ascii="Arial" w:eastAsia="Aptos" w:hAnsi="Arial" w:cs="Arial"/>
          <w:b/>
          <w:i/>
          <w:kern w:val="2"/>
          <w:szCs w:val="28"/>
          <w:lang w:val="uk-UA"/>
          <w14:ligatures w14:val="standardContextual"/>
        </w:rPr>
        <w:t xml:space="preserve">Key words: </w:t>
      </w:r>
      <w:r w:rsidR="00DF77B5" w:rsidRPr="00511005">
        <w:rPr>
          <w:rFonts w:ascii="Arial" w:eastAsia="Aptos" w:hAnsi="Arial" w:cs="Arial"/>
          <w:bCs/>
          <w:i/>
          <w:kern w:val="2"/>
          <w:szCs w:val="28"/>
          <w:lang w:val="uk-UA"/>
          <w14:ligatures w14:val="standardContextual"/>
        </w:rPr>
        <w:t>censure</w:t>
      </w:r>
      <w:r w:rsidR="00DF77B5" w:rsidRPr="00511005">
        <w:rPr>
          <w:rFonts w:ascii="Arial" w:eastAsia="Aptos" w:hAnsi="Arial" w:cs="Arial"/>
          <w:bCs/>
          <w:kern w:val="2"/>
          <w:szCs w:val="28"/>
          <w:lang w:val="uk-UA"/>
          <w14:ligatures w14:val="standardContextual"/>
        </w:rPr>
        <w:t xml:space="preserve">, </w:t>
      </w:r>
      <w:r w:rsidR="00DF77B5" w:rsidRPr="00511005">
        <w:rPr>
          <w:rFonts w:ascii="Arial" w:eastAsia="Aptos" w:hAnsi="Arial" w:cs="Arial"/>
          <w:bCs/>
          <w:i/>
          <w:kern w:val="2"/>
          <w:szCs w:val="28"/>
          <w:lang w:val="uk-UA"/>
          <w14:ligatures w14:val="standardContextual"/>
        </w:rPr>
        <w:t>freedom of expression, freedom of speech, the basis of democracy</w:t>
      </w:r>
    </w:p>
    <w:p w14:paraId="6E191CA5" w14:textId="12AEC880" w:rsidR="00DF77B5" w:rsidRPr="00511005" w:rsidRDefault="007B2628" w:rsidP="003A292D">
      <w:pPr>
        <w:widowControl w:val="0"/>
        <w:autoSpaceDE w:val="0"/>
        <w:autoSpaceDN w:val="0"/>
        <w:spacing w:line="264" w:lineRule="auto"/>
        <w:ind w:left="357" w:firstLine="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DF77B5" w:rsidRPr="00511005">
        <w:rPr>
          <w:rFonts w:ascii="Arial" w:eastAsia="Times New Roman" w:hAnsi="Arial" w:cs="Arial"/>
          <w:i/>
          <w:iCs/>
          <w:szCs w:val="28"/>
          <w:lang w:val="uk-UA"/>
        </w:rPr>
        <w:t>асист., д-р філос. (політ. н.)Лисянський П. Л.</w:t>
      </w:r>
    </w:p>
    <w:p w14:paraId="564E899A" w14:textId="1E01AE24" w:rsidR="00036C7B" w:rsidRPr="00511005" w:rsidRDefault="00036C7B" w:rsidP="003A292D">
      <w:pPr>
        <w:widowControl w:val="0"/>
        <w:autoSpaceDE w:val="0"/>
        <w:autoSpaceDN w:val="0"/>
        <w:spacing w:line="264" w:lineRule="auto"/>
        <w:ind w:left="357" w:firstLine="0"/>
        <w:rPr>
          <w:rFonts w:ascii="Arial" w:eastAsia="Times New Roman" w:hAnsi="Arial" w:cs="Arial"/>
          <w:szCs w:val="28"/>
          <w:lang w:val="uk-UA"/>
        </w:rPr>
      </w:pPr>
    </w:p>
    <w:p w14:paraId="418262B6" w14:textId="77777777" w:rsidR="00036C7B" w:rsidRPr="00511005" w:rsidRDefault="00036C7B" w:rsidP="003A292D">
      <w:pPr>
        <w:widowControl w:val="0"/>
        <w:autoSpaceDE w:val="0"/>
        <w:autoSpaceDN w:val="0"/>
        <w:spacing w:line="264" w:lineRule="auto"/>
        <w:ind w:left="357" w:firstLine="0"/>
        <w:rPr>
          <w:rFonts w:ascii="Arial" w:eastAsia="Times New Roman" w:hAnsi="Arial" w:cs="Arial"/>
          <w:szCs w:val="28"/>
          <w:lang w:val="uk-UA"/>
        </w:rPr>
      </w:pPr>
    </w:p>
    <w:p w14:paraId="546CD4AF" w14:textId="77777777" w:rsidR="00DF77B5" w:rsidRPr="00511005" w:rsidRDefault="00DF77B5" w:rsidP="003A292D">
      <w:pPr>
        <w:widowControl w:val="0"/>
        <w:autoSpaceDE w:val="0"/>
        <w:autoSpaceDN w:val="0"/>
        <w:spacing w:line="264" w:lineRule="auto"/>
        <w:ind w:right="851" w:firstLine="0"/>
        <w:jc w:val="center"/>
        <w:rPr>
          <w:rFonts w:ascii="Arial" w:eastAsia="Times New Roman" w:hAnsi="Arial" w:cs="Arial"/>
          <w:b/>
          <w:i/>
          <w:szCs w:val="28"/>
          <w:lang w:val="uk-UA"/>
        </w:rPr>
      </w:pPr>
      <w:r w:rsidRPr="00511005">
        <w:rPr>
          <w:rFonts w:ascii="Arial" w:eastAsia="Times New Roman" w:hAnsi="Arial" w:cs="Arial"/>
          <w:b/>
          <w:i/>
          <w:szCs w:val="28"/>
          <w:lang w:val="uk-UA"/>
        </w:rPr>
        <w:t>Гурік Анна Миколаївна</w:t>
      </w:r>
    </w:p>
    <w:p w14:paraId="6E282965" w14:textId="0158A625" w:rsidR="00DF77B5" w:rsidRPr="00511005" w:rsidRDefault="007B2628" w:rsidP="003A292D">
      <w:pPr>
        <w:widowControl w:val="0"/>
        <w:autoSpaceDE w:val="0"/>
        <w:autoSpaceDN w:val="0"/>
        <w:spacing w:line="264" w:lineRule="auto"/>
        <w:ind w:right="851" w:firstLine="0"/>
        <w:jc w:val="center"/>
        <w:rPr>
          <w:rFonts w:ascii="Arial" w:eastAsia="Times New Roman" w:hAnsi="Arial" w:cs="Arial"/>
          <w:szCs w:val="28"/>
          <w:lang w:val="uk-UA"/>
        </w:rPr>
      </w:pPr>
      <w:r w:rsidRPr="00511005">
        <w:rPr>
          <w:rFonts w:ascii="Arial" w:eastAsia="Times New Roman" w:hAnsi="Arial" w:cs="Arial"/>
          <w:szCs w:val="28"/>
          <w:lang w:val="uk-UA"/>
        </w:rPr>
        <w:t>студентка 1-го курсу факультету цивільної та господарської юстиції</w:t>
      </w:r>
    </w:p>
    <w:p w14:paraId="15C8F025" w14:textId="5E2F19DF" w:rsidR="00DF77B5" w:rsidRPr="00511005" w:rsidRDefault="007B2628" w:rsidP="003A292D">
      <w:pPr>
        <w:widowControl w:val="0"/>
        <w:autoSpaceDE w:val="0"/>
        <w:autoSpaceDN w:val="0"/>
        <w:spacing w:line="264" w:lineRule="auto"/>
        <w:ind w:right="851"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58B17702" w14:textId="77777777" w:rsidR="00DF77B5" w:rsidRPr="00511005" w:rsidRDefault="00DF77B5" w:rsidP="003A292D">
      <w:pPr>
        <w:widowControl w:val="0"/>
        <w:autoSpaceDE w:val="0"/>
        <w:autoSpaceDN w:val="0"/>
        <w:spacing w:line="264" w:lineRule="auto"/>
        <w:ind w:right="851" w:firstLine="0"/>
        <w:jc w:val="center"/>
        <w:rPr>
          <w:rFonts w:ascii="Arial" w:eastAsia="Times New Roman" w:hAnsi="Arial" w:cs="Arial"/>
          <w:b/>
          <w:bCs/>
          <w:szCs w:val="28"/>
          <w:lang w:val="uk-UA"/>
        </w:rPr>
      </w:pPr>
    </w:p>
    <w:p w14:paraId="2B2F7114" w14:textId="77777777" w:rsidR="00DF77B5" w:rsidRPr="00511005" w:rsidRDefault="00DF77B5" w:rsidP="003A292D">
      <w:pPr>
        <w:widowControl w:val="0"/>
        <w:autoSpaceDE w:val="0"/>
        <w:autoSpaceDN w:val="0"/>
        <w:spacing w:line="264" w:lineRule="auto"/>
        <w:ind w:right="851"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КОГНІТИВНА ВІЙНА ЯК НОВИЙ ВИМІР СУЧАСНИХ КОНФЛІКТІВ: МЕТОДИ ВПЛИВУ НА МАСОВУ СВІДОМІСТЬ</w:t>
      </w:r>
    </w:p>
    <w:p w14:paraId="042ED418" w14:textId="77777777" w:rsidR="00DF77B5" w:rsidRPr="00511005" w:rsidRDefault="00DF77B5" w:rsidP="00036C7B">
      <w:pPr>
        <w:widowControl w:val="0"/>
        <w:autoSpaceDE w:val="0"/>
        <w:autoSpaceDN w:val="0"/>
        <w:spacing w:line="264" w:lineRule="auto"/>
        <w:ind w:right="-2"/>
        <w:rPr>
          <w:rFonts w:ascii="Arial" w:eastAsia="Times New Roman" w:hAnsi="Arial" w:cs="Arial"/>
          <w:szCs w:val="28"/>
          <w:lang w:val="uk-UA"/>
        </w:rPr>
      </w:pPr>
      <w:r w:rsidRPr="00511005">
        <w:rPr>
          <w:rFonts w:ascii="Arial" w:eastAsia="Times New Roman" w:hAnsi="Arial" w:cs="Arial"/>
          <w:szCs w:val="28"/>
          <w:lang w:val="uk-UA"/>
        </w:rPr>
        <w:t>Традиційні форми війни поступово втрачають свою виняткову роль у протистоянні між державами. У ХХІ столітті головною мішенню воєнних стратегій дедалі частіше стає не фізична інфраструктура, а людський розум, що перетворюється на інструмент впливу. У цьому контексті когнітивна війна — це системна кампанія, спрямована на зміну сприйняття реальності, поведінки та емоційних реакцій масової аудиторії. Цей підхід охоплює не лише дезінформацію, а й маніпуляцію цінностями, культурними кодами та системою довіри.</w:t>
      </w:r>
    </w:p>
    <w:p w14:paraId="138B4568" w14:textId="77777777" w:rsidR="00DF77B5" w:rsidRPr="00511005" w:rsidRDefault="00DF77B5" w:rsidP="00036C7B">
      <w:pPr>
        <w:widowControl w:val="0"/>
        <w:autoSpaceDE w:val="0"/>
        <w:autoSpaceDN w:val="0"/>
        <w:spacing w:line="264" w:lineRule="auto"/>
        <w:ind w:right="-2"/>
        <w:rPr>
          <w:rFonts w:ascii="Arial" w:eastAsia="Times New Roman" w:hAnsi="Arial" w:cs="Arial"/>
          <w:szCs w:val="28"/>
          <w:lang w:val="uk-UA"/>
        </w:rPr>
      </w:pPr>
      <w:r w:rsidRPr="00511005">
        <w:rPr>
          <w:rFonts w:ascii="Arial" w:eastAsia="Times New Roman" w:hAnsi="Arial" w:cs="Arial"/>
          <w:szCs w:val="28"/>
          <w:lang w:val="uk-UA"/>
        </w:rPr>
        <w:t xml:space="preserve">На думку дослідників </w:t>
      </w:r>
      <w:r w:rsidRPr="00511005">
        <w:rPr>
          <w:rFonts w:ascii="Arial" w:eastAsia="Times New Roman" w:hAnsi="Arial" w:cs="Arial"/>
          <w:b/>
          <w:bCs/>
          <w:szCs w:val="28"/>
          <w:lang w:val="uk-UA"/>
        </w:rPr>
        <w:t>NATO Innovation Hub (2021)</w:t>
      </w:r>
      <w:r w:rsidRPr="00511005">
        <w:rPr>
          <w:rFonts w:ascii="Arial" w:eastAsia="Times New Roman" w:hAnsi="Arial" w:cs="Arial"/>
          <w:szCs w:val="28"/>
          <w:lang w:val="uk-UA"/>
        </w:rPr>
        <w:t xml:space="preserve">, когнітивна війна є найбільш прихованим, але потенційно найнебезпечнішим видом гібридної </w:t>
      </w:r>
      <w:r w:rsidRPr="00511005">
        <w:rPr>
          <w:rFonts w:ascii="Arial" w:eastAsia="Times New Roman" w:hAnsi="Arial" w:cs="Arial"/>
          <w:szCs w:val="28"/>
          <w:lang w:val="uk-UA"/>
        </w:rPr>
        <w:lastRenderedPageBreak/>
        <w:t>агресії. У її центрі — боротьба за контроль над процесами прийняття рішень людиною, групою або суспільством. Вона поєднує методи психологічної, інформаційної, соціо-культурної та кіберзбройної [1]. Водночас межі між інформаційною та когнітивною війнами не є чіткими: остання є більш глибокою за своїм характером, оскільки вона діє не на рівні контенту, а на когнітивних моделей сприйняття.</w:t>
      </w:r>
    </w:p>
    <w:p w14:paraId="60F27275" w14:textId="77777777" w:rsidR="00DF77B5" w:rsidRPr="00511005" w:rsidRDefault="00DF77B5" w:rsidP="00036C7B">
      <w:pPr>
        <w:widowControl w:val="0"/>
        <w:autoSpaceDE w:val="0"/>
        <w:autoSpaceDN w:val="0"/>
        <w:spacing w:line="264" w:lineRule="auto"/>
        <w:ind w:right="-2"/>
        <w:rPr>
          <w:rFonts w:ascii="Arial" w:eastAsia="Times New Roman" w:hAnsi="Arial" w:cs="Arial"/>
          <w:szCs w:val="28"/>
          <w:lang w:val="uk-UA"/>
        </w:rPr>
      </w:pPr>
      <w:r w:rsidRPr="00511005">
        <w:rPr>
          <w:rFonts w:ascii="Arial" w:eastAsia="Times New Roman" w:hAnsi="Arial" w:cs="Arial"/>
          <w:szCs w:val="28"/>
          <w:lang w:val="uk-UA"/>
        </w:rPr>
        <w:t>До основних тактик когнітивної війни належать:</w:t>
      </w:r>
    </w:p>
    <w:p w14:paraId="501DDDE0" w14:textId="77777777" w:rsidR="00DF77B5" w:rsidRPr="00511005" w:rsidRDefault="00DF77B5" w:rsidP="003F6A5D">
      <w:pPr>
        <w:widowControl w:val="0"/>
        <w:numPr>
          <w:ilvl w:val="0"/>
          <w:numId w:val="792"/>
        </w:numPr>
        <w:tabs>
          <w:tab w:val="num" w:pos="-414"/>
        </w:tabs>
        <w:autoSpaceDE w:val="0"/>
        <w:autoSpaceDN w:val="0"/>
        <w:spacing w:line="264" w:lineRule="auto"/>
        <w:ind w:left="0" w:right="-2" w:firstLine="709"/>
        <w:jc w:val="left"/>
        <w:rPr>
          <w:rFonts w:ascii="Arial" w:eastAsia="Times New Roman" w:hAnsi="Arial" w:cs="Arial"/>
          <w:szCs w:val="28"/>
          <w:lang w:val="uk-UA"/>
        </w:rPr>
      </w:pPr>
      <w:r w:rsidRPr="00511005">
        <w:rPr>
          <w:rFonts w:ascii="Arial" w:eastAsia="Times New Roman" w:hAnsi="Arial" w:cs="Arial"/>
          <w:b/>
          <w:bCs/>
          <w:szCs w:val="28"/>
          <w:lang w:val="uk-UA"/>
        </w:rPr>
        <w:t>Фреймінг і переозначення понять:</w:t>
      </w:r>
      <w:r w:rsidRPr="00511005">
        <w:rPr>
          <w:rFonts w:ascii="Arial" w:eastAsia="Times New Roman" w:hAnsi="Arial" w:cs="Arial"/>
          <w:szCs w:val="28"/>
          <w:lang w:val="uk-UA"/>
        </w:rPr>
        <w:t xml:space="preserve"> використання семантично навантажених термінів для зміни рамки сприйняття. Наприклад, використання російськими ЗМІ термінів «визволення» замість «вторгнення» щодо подій у Криму 2014 року або «спецоперація» замість «війна» під час повномасштабного вторгнення 2022 року. Це дозволяє змістити акцент із агресії на уявну «гуманітарну місію», формуючи в аудиторії позитивне сприйняття насильницьких дій.</w:t>
      </w:r>
    </w:p>
    <w:p w14:paraId="24D5BF61" w14:textId="77777777" w:rsidR="00DF77B5" w:rsidRPr="00511005" w:rsidRDefault="00DF77B5" w:rsidP="003F6A5D">
      <w:pPr>
        <w:widowControl w:val="0"/>
        <w:numPr>
          <w:ilvl w:val="0"/>
          <w:numId w:val="792"/>
        </w:numPr>
        <w:tabs>
          <w:tab w:val="num" w:pos="-414"/>
        </w:tabs>
        <w:autoSpaceDE w:val="0"/>
        <w:autoSpaceDN w:val="0"/>
        <w:spacing w:line="264" w:lineRule="auto"/>
        <w:ind w:left="0" w:right="-2" w:firstLine="709"/>
        <w:jc w:val="left"/>
        <w:rPr>
          <w:rFonts w:ascii="Arial" w:eastAsia="Times New Roman" w:hAnsi="Arial" w:cs="Arial"/>
          <w:szCs w:val="28"/>
          <w:lang w:val="uk-UA"/>
        </w:rPr>
      </w:pPr>
      <w:r w:rsidRPr="00511005">
        <w:rPr>
          <w:rFonts w:ascii="Arial" w:eastAsia="Times New Roman" w:hAnsi="Arial" w:cs="Arial"/>
          <w:b/>
          <w:bCs/>
          <w:szCs w:val="28"/>
          <w:lang w:val="uk-UA"/>
        </w:rPr>
        <w:t>Інформаційна інфляція:</w:t>
      </w:r>
      <w:r w:rsidRPr="00511005">
        <w:rPr>
          <w:rFonts w:ascii="Arial" w:eastAsia="Times New Roman" w:hAnsi="Arial" w:cs="Arial"/>
          <w:szCs w:val="28"/>
          <w:lang w:val="uk-UA"/>
        </w:rPr>
        <w:t xml:space="preserve"> навмисне перевантаження аудиторії суперечливою інформацією, що призводить до втрати критичного мислення. Наприклад, у перші дні повномасштабного вторгнення Росії в Україну було створено сотні взаємосуперечливих повідомлень: від заяв про «втечу Зеленського» до нібито «капітуляції» окремих міст. Цей потік дезінформації ускладнював перевірку фактів, паралізував критичне мислення та створював хаос в інформаційному полі [2].</w:t>
      </w:r>
    </w:p>
    <w:p w14:paraId="371BC062" w14:textId="411AAD09" w:rsidR="00DF77B5" w:rsidRPr="00511005" w:rsidRDefault="00DF77B5" w:rsidP="003F6A5D">
      <w:pPr>
        <w:widowControl w:val="0"/>
        <w:numPr>
          <w:ilvl w:val="0"/>
          <w:numId w:val="792"/>
        </w:numPr>
        <w:tabs>
          <w:tab w:val="num" w:pos="-414"/>
        </w:tabs>
        <w:autoSpaceDE w:val="0"/>
        <w:autoSpaceDN w:val="0"/>
        <w:spacing w:line="264" w:lineRule="auto"/>
        <w:ind w:left="0" w:right="-2" w:firstLine="709"/>
        <w:jc w:val="left"/>
        <w:rPr>
          <w:rFonts w:ascii="Arial" w:eastAsia="Times New Roman" w:hAnsi="Arial" w:cs="Arial"/>
          <w:szCs w:val="28"/>
          <w:lang w:val="uk-UA"/>
        </w:rPr>
      </w:pPr>
      <w:r w:rsidRPr="00511005">
        <w:rPr>
          <w:rFonts w:ascii="Arial" w:eastAsia="Times New Roman" w:hAnsi="Arial" w:cs="Arial"/>
          <w:b/>
          <w:bCs/>
          <w:szCs w:val="28"/>
          <w:lang w:val="uk-UA"/>
        </w:rPr>
        <w:t>Базування на емоційних тригерах:</w:t>
      </w:r>
      <w:r w:rsidRPr="00511005">
        <w:rPr>
          <w:rFonts w:ascii="Arial" w:eastAsia="Times New Roman" w:hAnsi="Arial" w:cs="Arial"/>
          <w:szCs w:val="28"/>
          <w:lang w:val="uk-UA"/>
        </w:rPr>
        <w:t xml:space="preserve"> страх, гнів, образа — як інструмент для посилення впливу на підсвідомі реакції. Наприклад, пропагандистські відео, що демонструють начебто «звірства українських солдат» або «страхіття західного світу», активно поширювалися в проросійських медіа для пробудження емоцій страху та гніву. Такі наративи мають на меті викликати підсвідому реакцію у глядачів і змусити їх приймати ірраціональні рішення</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[1; 2].</w:t>
      </w:r>
    </w:p>
    <w:p w14:paraId="3EB048C4" w14:textId="77777777" w:rsidR="00DF77B5" w:rsidRPr="00511005" w:rsidRDefault="00DF77B5" w:rsidP="003F6A5D">
      <w:pPr>
        <w:widowControl w:val="0"/>
        <w:numPr>
          <w:ilvl w:val="0"/>
          <w:numId w:val="792"/>
        </w:numPr>
        <w:tabs>
          <w:tab w:val="num" w:pos="-414"/>
        </w:tabs>
        <w:autoSpaceDE w:val="0"/>
        <w:autoSpaceDN w:val="0"/>
        <w:spacing w:line="264" w:lineRule="auto"/>
        <w:ind w:left="0" w:right="-2" w:firstLine="709"/>
        <w:jc w:val="left"/>
        <w:rPr>
          <w:rFonts w:ascii="Arial" w:eastAsia="Times New Roman" w:hAnsi="Arial" w:cs="Arial"/>
          <w:szCs w:val="28"/>
          <w:lang w:val="uk-UA"/>
        </w:rPr>
      </w:pPr>
      <w:r w:rsidRPr="00511005">
        <w:rPr>
          <w:rFonts w:ascii="Arial" w:eastAsia="Times New Roman" w:hAnsi="Arial" w:cs="Arial"/>
          <w:b/>
          <w:bCs/>
          <w:szCs w:val="28"/>
          <w:lang w:val="uk-UA"/>
        </w:rPr>
        <w:t>Мімікрія під достовірність:</w:t>
      </w:r>
      <w:r w:rsidRPr="00511005">
        <w:rPr>
          <w:rFonts w:ascii="Arial" w:eastAsia="Times New Roman" w:hAnsi="Arial" w:cs="Arial"/>
          <w:szCs w:val="28"/>
          <w:lang w:val="uk-UA"/>
        </w:rPr>
        <w:t xml:space="preserve"> створення псевдомедій, які симулюють незалежне джерело. Наприклад, телеграм-канали на кшталт «Рядовой Z», «Война с фейками» чи анонімні блогери з фальшивими біографіями симулюють неупереджене джерело інформації, хоча реально координуються з державними або військовими структурами. Вони створюють ілюзію «альтернативної правди», підриваючи довіру до офіційних джерел</w:t>
      </w:r>
    </w:p>
    <w:p w14:paraId="0BE466E4" w14:textId="77777777" w:rsidR="00DF77B5" w:rsidRPr="00511005" w:rsidRDefault="00DF77B5" w:rsidP="003F6A5D">
      <w:pPr>
        <w:widowControl w:val="0"/>
        <w:numPr>
          <w:ilvl w:val="0"/>
          <w:numId w:val="792"/>
        </w:numPr>
        <w:tabs>
          <w:tab w:val="num" w:pos="-414"/>
        </w:tabs>
        <w:autoSpaceDE w:val="0"/>
        <w:autoSpaceDN w:val="0"/>
        <w:spacing w:line="264" w:lineRule="auto"/>
        <w:ind w:left="0" w:right="-2" w:firstLine="709"/>
        <w:jc w:val="left"/>
        <w:rPr>
          <w:rFonts w:ascii="Arial" w:eastAsia="Times New Roman" w:hAnsi="Arial" w:cs="Arial"/>
          <w:szCs w:val="28"/>
          <w:lang w:val="uk-UA"/>
        </w:rPr>
      </w:pPr>
      <w:r w:rsidRPr="00511005">
        <w:rPr>
          <w:rFonts w:ascii="Arial" w:eastAsia="Times New Roman" w:hAnsi="Arial" w:cs="Arial"/>
          <w:b/>
          <w:bCs/>
          <w:szCs w:val="28"/>
          <w:lang w:val="uk-UA"/>
        </w:rPr>
        <w:t>Соціальне програмування:</w:t>
      </w:r>
      <w:r w:rsidRPr="00511005">
        <w:rPr>
          <w:rFonts w:ascii="Arial" w:eastAsia="Times New Roman" w:hAnsi="Arial" w:cs="Arial"/>
          <w:szCs w:val="28"/>
          <w:lang w:val="uk-UA"/>
        </w:rPr>
        <w:t xml:space="preserve"> довготривале повторення однакових повідомлень, які поступово стають частиною колективної думки. Наприклад, постійне повторення наративу про те, що «українська влада — маріонетка Заходу», або «українці та росіяни — один народ». Ці повідомлення довгий час циркулюють у медіа, школах, соціальних мережах, і зрештою починають сприйматися як «природна істина» навіть без доказової бази.</w:t>
      </w:r>
    </w:p>
    <w:p w14:paraId="544BEA94" w14:textId="77777777" w:rsidR="00DF77B5" w:rsidRPr="00511005" w:rsidRDefault="00DF77B5" w:rsidP="00036C7B">
      <w:pPr>
        <w:widowControl w:val="0"/>
        <w:autoSpaceDE w:val="0"/>
        <w:autoSpaceDN w:val="0"/>
        <w:spacing w:line="264" w:lineRule="auto"/>
        <w:ind w:right="-2"/>
        <w:rPr>
          <w:rFonts w:ascii="Arial" w:eastAsia="Times New Roman" w:hAnsi="Arial" w:cs="Arial"/>
          <w:szCs w:val="28"/>
          <w:lang w:val="uk-UA"/>
        </w:rPr>
      </w:pPr>
      <w:r w:rsidRPr="00511005">
        <w:rPr>
          <w:rFonts w:ascii="Arial" w:eastAsia="Times New Roman" w:hAnsi="Arial" w:cs="Arial"/>
          <w:szCs w:val="28"/>
          <w:lang w:val="uk-UA"/>
        </w:rPr>
        <w:lastRenderedPageBreak/>
        <w:t xml:space="preserve">З 2014 року Росія системно реалізує когнітивні операції проти України. Ці операції супроводжуються масованою інформаційною пропагандою, дестабілізацією суспільної єдності, формуванням недовіри до інститутів. Особливо загрозливими стали дії у цифровому просторі, де меседжі розповсюджуються за допомогою бот-мереж, фейкових акаунтів, інфлюенсерів. Згідно з даними </w:t>
      </w:r>
      <w:r w:rsidRPr="00511005">
        <w:rPr>
          <w:rFonts w:ascii="Arial" w:eastAsia="Times New Roman" w:hAnsi="Arial" w:cs="Arial"/>
          <w:b/>
          <w:bCs/>
          <w:szCs w:val="28"/>
          <w:lang w:val="uk-UA"/>
        </w:rPr>
        <w:t>EU DisinfoLab (2023)</w:t>
      </w:r>
      <w:r w:rsidRPr="00511005">
        <w:rPr>
          <w:rFonts w:ascii="Arial" w:eastAsia="Times New Roman" w:hAnsi="Arial" w:cs="Arial"/>
          <w:szCs w:val="28"/>
          <w:lang w:val="uk-UA"/>
        </w:rPr>
        <w:t>, понад 70% інформаційних кампаній проти України мають ознаки когнітивного впливу [3].</w:t>
      </w:r>
    </w:p>
    <w:p w14:paraId="7F7320FB" w14:textId="77777777" w:rsidR="00DF77B5" w:rsidRPr="00511005" w:rsidRDefault="00DF77B5" w:rsidP="00036C7B">
      <w:pPr>
        <w:widowControl w:val="0"/>
        <w:autoSpaceDE w:val="0"/>
        <w:autoSpaceDN w:val="0"/>
        <w:spacing w:line="264" w:lineRule="auto"/>
        <w:ind w:right="-2"/>
        <w:rPr>
          <w:rFonts w:ascii="Arial" w:eastAsia="Times New Roman" w:hAnsi="Arial" w:cs="Arial"/>
          <w:szCs w:val="28"/>
          <w:lang w:val="uk-UA"/>
        </w:rPr>
      </w:pPr>
      <w:r w:rsidRPr="00511005">
        <w:rPr>
          <w:rFonts w:ascii="Arial" w:eastAsia="Times New Roman" w:hAnsi="Arial" w:cs="Arial"/>
          <w:szCs w:val="28"/>
          <w:lang w:val="uk-UA"/>
        </w:rPr>
        <w:t>Разом із тим в Україні активно розвиваються ініціативи цифрової стійкості: зокрема, «Фільтр» (під егідою МОН), StopFake, VoxCheck, що підвищують рівень медіаграмотності та критичного мислення [4].</w:t>
      </w:r>
    </w:p>
    <w:p w14:paraId="7EC528A1" w14:textId="77777777" w:rsidR="00DF77B5" w:rsidRPr="00511005" w:rsidRDefault="00DF77B5" w:rsidP="00036C7B">
      <w:pPr>
        <w:widowControl w:val="0"/>
        <w:autoSpaceDE w:val="0"/>
        <w:autoSpaceDN w:val="0"/>
        <w:spacing w:line="264" w:lineRule="auto"/>
        <w:ind w:right="-2"/>
        <w:rPr>
          <w:rFonts w:ascii="Arial" w:eastAsia="Times New Roman" w:hAnsi="Arial" w:cs="Arial"/>
          <w:szCs w:val="28"/>
          <w:lang w:val="uk-UA"/>
        </w:rPr>
      </w:pPr>
      <w:r w:rsidRPr="00511005">
        <w:rPr>
          <w:rFonts w:ascii="Arial" w:eastAsia="Times New Roman" w:hAnsi="Arial" w:cs="Arial"/>
          <w:szCs w:val="28"/>
          <w:lang w:val="uk-UA"/>
        </w:rPr>
        <w:t xml:space="preserve">У цьому контексті слушно припустити, що в умовах стрімкого розвитку цифрових технологій та штучного інтелекту когнітивна війна переростає у ще складніший феномен, який потребує нових підходів до дослідження. Це дає змогу запропонувати ввести поняття </w:t>
      </w:r>
      <w:r w:rsidRPr="00511005">
        <w:rPr>
          <w:rFonts w:ascii="Arial" w:eastAsia="Times New Roman" w:hAnsi="Arial" w:cs="Arial"/>
          <w:b/>
          <w:bCs/>
          <w:szCs w:val="28"/>
          <w:lang w:val="uk-UA"/>
        </w:rPr>
        <w:t>«когнітивна гібридність»</w:t>
      </w:r>
      <w:r w:rsidRPr="00511005">
        <w:rPr>
          <w:rFonts w:ascii="Arial" w:eastAsia="Times New Roman" w:hAnsi="Arial" w:cs="Arial"/>
          <w:szCs w:val="28"/>
          <w:lang w:val="uk-UA"/>
        </w:rPr>
        <w:t xml:space="preserve"> — як поєднання інформаційного, емоційного, технологічного та культурного впливу на масову свідомість. Цей термін відображає зміщення фокусу з традиційного споживання інформації на постійне співіснування людини з маніпулятивними механізмами, що формуються не лише через ворожі наративи, а й через алгоритмічні платформи, які впливають на інформаційне поле [2].</w:t>
      </w:r>
    </w:p>
    <w:p w14:paraId="6CB4949B" w14:textId="77777777" w:rsidR="00DF77B5" w:rsidRPr="00511005" w:rsidRDefault="00DF77B5" w:rsidP="00036C7B">
      <w:pPr>
        <w:widowControl w:val="0"/>
        <w:autoSpaceDE w:val="0"/>
        <w:autoSpaceDN w:val="0"/>
        <w:spacing w:line="264" w:lineRule="auto"/>
        <w:ind w:right="-2"/>
        <w:rPr>
          <w:rFonts w:ascii="Arial" w:eastAsia="Times New Roman" w:hAnsi="Arial" w:cs="Arial"/>
          <w:szCs w:val="28"/>
          <w:lang w:val="uk-UA"/>
        </w:rPr>
      </w:pPr>
      <w:r w:rsidRPr="00511005">
        <w:rPr>
          <w:rFonts w:ascii="Arial" w:eastAsia="Times New Roman" w:hAnsi="Arial" w:cs="Arial"/>
          <w:szCs w:val="28"/>
          <w:lang w:val="uk-UA"/>
        </w:rPr>
        <w:t>Вважаю, що подальші дослідження повинні зосереджуватися на вивченні взаємодії між технологіями, емоційною сприйнятливістю аудиторії та політичними стратегіями, оскільки саме в цій точці зароджується нова реальність воєн майбутнього.</w:t>
      </w:r>
    </w:p>
    <w:p w14:paraId="66B602B4" w14:textId="77777777" w:rsidR="00DF77B5" w:rsidRPr="00511005" w:rsidRDefault="00DF77B5" w:rsidP="00036C7B">
      <w:pPr>
        <w:widowControl w:val="0"/>
        <w:autoSpaceDE w:val="0"/>
        <w:autoSpaceDN w:val="0"/>
        <w:spacing w:line="264" w:lineRule="auto"/>
        <w:ind w:right="-2"/>
        <w:rPr>
          <w:rFonts w:ascii="Arial" w:eastAsia="Times New Roman" w:hAnsi="Arial" w:cs="Arial"/>
          <w:b/>
          <w:bCs/>
          <w:szCs w:val="28"/>
          <w:lang w:val="uk-UA"/>
        </w:rPr>
      </w:pPr>
      <w:r w:rsidRPr="00511005">
        <w:rPr>
          <w:rFonts w:ascii="Arial" w:eastAsia="Times New Roman" w:hAnsi="Arial" w:cs="Arial"/>
          <w:bCs/>
          <w:szCs w:val="28"/>
          <w:lang w:val="uk-UA"/>
        </w:rPr>
        <w:t>Підсумовуючи усе вищесказане, можна дійти висновку, що</w:t>
      </w:r>
      <w:r w:rsidRPr="00511005">
        <w:rPr>
          <w:rFonts w:ascii="Arial" w:eastAsia="Times New Roman" w:hAnsi="Arial" w:cs="Arial"/>
          <w:b/>
          <w:bCs/>
          <w:szCs w:val="28"/>
          <w:lang w:val="uk-UA"/>
        </w:rPr>
        <w:t xml:space="preserve"> </w:t>
      </w:r>
      <w:r w:rsidRPr="00511005">
        <w:rPr>
          <w:rFonts w:ascii="Arial" w:eastAsia="Times New Roman" w:hAnsi="Arial" w:cs="Arial"/>
          <w:szCs w:val="28"/>
          <w:lang w:val="uk-UA"/>
        </w:rPr>
        <w:t>когнітивна війна — це новий фронт глобального конфлікту, що вимагає комплексної відповіді. Однією лише інформаційною протидією її не зупинити. Необхідна національна стратегія когнітивної безпеки, яка охоплює: розвиток освіти в сфері критичного мислення, підвищення прозорості державної комунікації, юридичне врегулювання діяльності ворожих інформаційних платформ, створення інституцій з оцінки загроз у когнітивній сфері. Україна, як держава, що перебуває в епіцентрі інформаційної агресії, може стати прикладом для інших країн у формуванні інформаційного імунітету в добу когнітивних конфліктів.</w:t>
      </w:r>
    </w:p>
    <w:p w14:paraId="6F92B217" w14:textId="77777777" w:rsidR="00DF77B5" w:rsidRPr="00511005" w:rsidRDefault="00DF77B5" w:rsidP="003A292D">
      <w:pPr>
        <w:widowControl w:val="0"/>
        <w:autoSpaceDE w:val="0"/>
        <w:autoSpaceDN w:val="0"/>
        <w:spacing w:line="264" w:lineRule="auto"/>
        <w:ind w:right="851" w:firstLine="0"/>
        <w:rPr>
          <w:rFonts w:ascii="Arial" w:eastAsia="Times New Roman" w:hAnsi="Arial" w:cs="Arial"/>
          <w:szCs w:val="28"/>
          <w:lang w:val="uk-UA"/>
        </w:rPr>
      </w:pPr>
    </w:p>
    <w:p w14:paraId="69C7227A" w14:textId="50CEBD4E" w:rsidR="00DF77B5" w:rsidRPr="00511005" w:rsidRDefault="007B2628" w:rsidP="00036C7B">
      <w:pPr>
        <w:widowControl w:val="0"/>
        <w:autoSpaceDE w:val="0"/>
        <w:autoSpaceDN w:val="0"/>
        <w:spacing w:line="264" w:lineRule="auto"/>
        <w:ind w:right="-2" w:firstLine="0"/>
        <w:jc w:val="center"/>
        <w:rPr>
          <w:rFonts w:ascii="Arial" w:eastAsia="Times New Roman" w:hAnsi="Arial" w:cs="Arial"/>
          <w:szCs w:val="28"/>
          <w:lang w:val="uk-UA"/>
        </w:rPr>
      </w:pPr>
      <w:r w:rsidRPr="00511005">
        <w:rPr>
          <w:rFonts w:ascii="Arial" w:eastAsia="Times New Roman" w:hAnsi="Arial" w:cs="Arial"/>
          <w:b/>
          <w:bCs/>
          <w:szCs w:val="28"/>
          <w:lang w:val="uk-UA"/>
        </w:rPr>
        <w:t>Список використаних джерел</w:t>
      </w:r>
    </w:p>
    <w:p w14:paraId="1782818F" w14:textId="77777777" w:rsidR="00DF77B5" w:rsidRPr="00511005" w:rsidRDefault="00DF77B5" w:rsidP="003F6A5D">
      <w:pPr>
        <w:widowControl w:val="0"/>
        <w:numPr>
          <w:ilvl w:val="0"/>
          <w:numId w:val="793"/>
        </w:numPr>
        <w:tabs>
          <w:tab w:val="clear" w:pos="720"/>
          <w:tab w:val="num" w:pos="-414"/>
        </w:tabs>
        <w:autoSpaceDE w:val="0"/>
        <w:autoSpaceDN w:val="0"/>
        <w:spacing w:line="264" w:lineRule="auto"/>
        <w:ind w:left="0" w:right="-2" w:firstLine="0"/>
        <w:jc w:val="left"/>
        <w:rPr>
          <w:rFonts w:ascii="Arial" w:eastAsia="Times New Roman" w:hAnsi="Arial" w:cs="Arial"/>
          <w:szCs w:val="28"/>
          <w:lang w:val="uk-UA"/>
        </w:rPr>
      </w:pPr>
      <w:r w:rsidRPr="00511005">
        <w:rPr>
          <w:rFonts w:ascii="Arial" w:eastAsia="Times New Roman" w:hAnsi="Arial" w:cs="Arial"/>
          <w:szCs w:val="28"/>
          <w:lang w:val="uk-UA"/>
        </w:rPr>
        <w:t xml:space="preserve">NATO Innovation Hub. </w:t>
      </w:r>
      <w:r w:rsidRPr="00511005">
        <w:rPr>
          <w:rFonts w:ascii="Arial" w:eastAsia="Times New Roman" w:hAnsi="Arial" w:cs="Arial"/>
          <w:i/>
          <w:iCs/>
          <w:szCs w:val="28"/>
          <w:lang w:val="uk-UA"/>
        </w:rPr>
        <w:t>Cognitive Warfare. Final Report</w:t>
      </w:r>
      <w:r w:rsidRPr="00511005">
        <w:rPr>
          <w:rFonts w:ascii="Arial" w:eastAsia="Times New Roman" w:hAnsi="Arial" w:cs="Arial"/>
          <w:szCs w:val="28"/>
          <w:lang w:val="uk-UA"/>
        </w:rPr>
        <w:t xml:space="preserve">. 2021. URL: </w:t>
      </w:r>
      <w:hyperlink r:id="rId2537" w:tgtFrame="_new" w:history="1">
        <w:r w:rsidRPr="00511005">
          <w:rPr>
            <w:rFonts w:ascii="Arial" w:eastAsia="Times New Roman" w:hAnsi="Arial" w:cs="Arial"/>
            <w:szCs w:val="28"/>
            <w:lang w:val="uk-UA"/>
          </w:rPr>
          <w:t>https://www.innovationhub-act.org/cognitive-warfare</w:t>
        </w:r>
      </w:hyperlink>
    </w:p>
    <w:p w14:paraId="04B0F942" w14:textId="77777777" w:rsidR="00DF77B5" w:rsidRPr="00511005" w:rsidRDefault="00DF77B5" w:rsidP="003F6A5D">
      <w:pPr>
        <w:widowControl w:val="0"/>
        <w:numPr>
          <w:ilvl w:val="0"/>
          <w:numId w:val="793"/>
        </w:numPr>
        <w:tabs>
          <w:tab w:val="clear" w:pos="720"/>
          <w:tab w:val="num" w:pos="-414"/>
        </w:tabs>
        <w:autoSpaceDE w:val="0"/>
        <w:autoSpaceDN w:val="0"/>
        <w:spacing w:line="264" w:lineRule="auto"/>
        <w:ind w:left="0" w:right="-2" w:firstLine="0"/>
        <w:jc w:val="left"/>
        <w:rPr>
          <w:rFonts w:ascii="Arial" w:eastAsia="Times New Roman" w:hAnsi="Arial" w:cs="Arial"/>
          <w:szCs w:val="28"/>
          <w:lang w:val="uk-UA"/>
        </w:rPr>
      </w:pPr>
      <w:r w:rsidRPr="00511005">
        <w:rPr>
          <w:rFonts w:ascii="Arial" w:eastAsia="Times New Roman" w:hAnsi="Arial" w:cs="Arial"/>
          <w:szCs w:val="28"/>
          <w:lang w:val="uk-UA"/>
        </w:rPr>
        <w:t xml:space="preserve">RAND Corporation. </w:t>
      </w:r>
      <w:r w:rsidRPr="00511005">
        <w:rPr>
          <w:rFonts w:ascii="Arial" w:eastAsia="Times New Roman" w:hAnsi="Arial" w:cs="Arial"/>
          <w:i/>
          <w:iCs/>
          <w:szCs w:val="28"/>
          <w:lang w:val="uk-UA"/>
        </w:rPr>
        <w:t>Truth Decay: A Threat to Policymaking and Democracy</w:t>
      </w:r>
      <w:r w:rsidRPr="00511005">
        <w:rPr>
          <w:rFonts w:ascii="Arial" w:eastAsia="Times New Roman" w:hAnsi="Arial" w:cs="Arial"/>
          <w:szCs w:val="28"/>
          <w:lang w:val="uk-UA"/>
        </w:rPr>
        <w:t>. 2020.</w:t>
      </w:r>
    </w:p>
    <w:p w14:paraId="14571632" w14:textId="77777777" w:rsidR="00DF77B5" w:rsidRPr="00511005" w:rsidRDefault="00DF77B5" w:rsidP="003F6A5D">
      <w:pPr>
        <w:widowControl w:val="0"/>
        <w:numPr>
          <w:ilvl w:val="0"/>
          <w:numId w:val="793"/>
        </w:numPr>
        <w:tabs>
          <w:tab w:val="clear" w:pos="720"/>
          <w:tab w:val="num" w:pos="-414"/>
        </w:tabs>
        <w:autoSpaceDE w:val="0"/>
        <w:autoSpaceDN w:val="0"/>
        <w:spacing w:line="264" w:lineRule="auto"/>
        <w:ind w:left="0" w:right="-2" w:firstLine="0"/>
        <w:jc w:val="left"/>
        <w:rPr>
          <w:rFonts w:ascii="Arial" w:eastAsia="Times New Roman" w:hAnsi="Arial" w:cs="Arial"/>
          <w:szCs w:val="28"/>
          <w:lang w:val="uk-UA"/>
        </w:rPr>
      </w:pPr>
      <w:r w:rsidRPr="00511005">
        <w:rPr>
          <w:rFonts w:ascii="Arial" w:eastAsia="Times New Roman" w:hAnsi="Arial" w:cs="Arial"/>
          <w:szCs w:val="28"/>
          <w:lang w:val="uk-UA"/>
        </w:rPr>
        <w:t xml:space="preserve">EU DisinfoLab. </w:t>
      </w:r>
      <w:r w:rsidRPr="00511005">
        <w:rPr>
          <w:rFonts w:ascii="Arial" w:eastAsia="Times New Roman" w:hAnsi="Arial" w:cs="Arial"/>
          <w:i/>
          <w:iCs/>
          <w:szCs w:val="28"/>
          <w:lang w:val="uk-UA"/>
        </w:rPr>
        <w:t>Annual Report on Russian Disinformation in Europe</w:t>
      </w:r>
      <w:r w:rsidRPr="00511005">
        <w:rPr>
          <w:rFonts w:ascii="Arial" w:eastAsia="Times New Roman" w:hAnsi="Arial" w:cs="Arial"/>
          <w:szCs w:val="28"/>
          <w:lang w:val="uk-UA"/>
        </w:rPr>
        <w:t>. 2023.</w:t>
      </w:r>
    </w:p>
    <w:p w14:paraId="6BFB3EFF" w14:textId="77777777" w:rsidR="00DF77B5" w:rsidRPr="00511005" w:rsidRDefault="00DF77B5" w:rsidP="003F6A5D">
      <w:pPr>
        <w:widowControl w:val="0"/>
        <w:numPr>
          <w:ilvl w:val="0"/>
          <w:numId w:val="793"/>
        </w:numPr>
        <w:tabs>
          <w:tab w:val="clear" w:pos="720"/>
          <w:tab w:val="num" w:pos="-414"/>
        </w:tabs>
        <w:autoSpaceDE w:val="0"/>
        <w:autoSpaceDN w:val="0"/>
        <w:spacing w:line="264" w:lineRule="auto"/>
        <w:ind w:left="0" w:right="-2" w:firstLine="0"/>
        <w:jc w:val="left"/>
        <w:rPr>
          <w:rFonts w:ascii="Arial" w:eastAsia="Times New Roman" w:hAnsi="Arial" w:cs="Arial"/>
          <w:szCs w:val="28"/>
          <w:lang w:val="uk-UA"/>
        </w:rPr>
      </w:pPr>
      <w:r w:rsidRPr="00511005">
        <w:rPr>
          <w:rFonts w:ascii="Arial" w:eastAsia="Times New Roman" w:hAnsi="Arial" w:cs="Arial"/>
          <w:szCs w:val="28"/>
          <w:lang w:val="uk-UA"/>
        </w:rPr>
        <w:t xml:space="preserve">Дубов Д. В. </w:t>
      </w:r>
      <w:r w:rsidRPr="00511005">
        <w:rPr>
          <w:rFonts w:ascii="Arial" w:eastAsia="Times New Roman" w:hAnsi="Arial" w:cs="Arial"/>
          <w:i/>
          <w:iCs/>
          <w:szCs w:val="28"/>
          <w:lang w:val="uk-UA"/>
        </w:rPr>
        <w:t xml:space="preserve">Когнітивна безпека: виклики, загрози та інструменти </w:t>
      </w:r>
      <w:r w:rsidRPr="00511005">
        <w:rPr>
          <w:rFonts w:ascii="Arial" w:eastAsia="Times New Roman" w:hAnsi="Arial" w:cs="Arial"/>
          <w:i/>
          <w:iCs/>
          <w:szCs w:val="28"/>
          <w:lang w:val="uk-UA"/>
        </w:rPr>
        <w:lastRenderedPageBreak/>
        <w:t>протидії</w:t>
      </w:r>
      <w:r w:rsidRPr="00511005">
        <w:rPr>
          <w:rFonts w:ascii="Arial" w:eastAsia="Times New Roman" w:hAnsi="Arial" w:cs="Arial"/>
          <w:szCs w:val="28"/>
          <w:lang w:val="uk-UA"/>
        </w:rPr>
        <w:t>. — К.: НІСД, 2022. — 92 с.</w:t>
      </w:r>
    </w:p>
    <w:p w14:paraId="20ACBDBE" w14:textId="77777777" w:rsidR="00DF77B5" w:rsidRPr="00511005" w:rsidRDefault="00DF77B5" w:rsidP="00036C7B">
      <w:pPr>
        <w:widowControl w:val="0"/>
        <w:autoSpaceDE w:val="0"/>
        <w:autoSpaceDN w:val="0"/>
        <w:spacing w:line="264" w:lineRule="auto"/>
        <w:ind w:right="-2" w:firstLine="0"/>
        <w:rPr>
          <w:rFonts w:ascii="Arial" w:eastAsia="Times New Roman" w:hAnsi="Arial" w:cs="Arial"/>
          <w:szCs w:val="28"/>
          <w:lang w:val="uk-UA"/>
        </w:rPr>
      </w:pPr>
    </w:p>
    <w:p w14:paraId="1DF7D44D" w14:textId="00CC713F" w:rsidR="00DF77B5" w:rsidRPr="00511005" w:rsidRDefault="007B2628" w:rsidP="00036C7B">
      <w:pPr>
        <w:widowControl w:val="0"/>
        <w:autoSpaceDE w:val="0"/>
        <w:autoSpaceDN w:val="0"/>
        <w:spacing w:line="264" w:lineRule="auto"/>
        <w:ind w:right="-2" w:firstLine="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DF77B5" w:rsidRPr="00511005">
        <w:rPr>
          <w:rFonts w:ascii="Arial" w:eastAsia="Times New Roman" w:hAnsi="Arial" w:cs="Arial"/>
          <w:szCs w:val="28"/>
          <w:lang w:val="uk-UA"/>
        </w:rPr>
        <w:t>когнітивна війна, масова свідомість, гібридна загроза, дезінформація, інформаційна безпека</w:t>
      </w:r>
    </w:p>
    <w:p w14:paraId="4798633E" w14:textId="57A9CC3F" w:rsidR="00DF77B5" w:rsidRPr="00511005" w:rsidRDefault="007B2628" w:rsidP="00036C7B">
      <w:pPr>
        <w:widowControl w:val="0"/>
        <w:autoSpaceDE w:val="0"/>
        <w:autoSpaceDN w:val="0"/>
        <w:spacing w:line="264" w:lineRule="auto"/>
        <w:ind w:right="-2" w:firstLine="0"/>
        <w:rPr>
          <w:rFonts w:ascii="Arial" w:eastAsia="Times New Roman" w:hAnsi="Arial" w:cs="Arial"/>
          <w:szCs w:val="28"/>
          <w:lang w:val="uk-UA"/>
        </w:rPr>
      </w:pPr>
      <w:r w:rsidRPr="00511005">
        <w:rPr>
          <w:rFonts w:ascii="Arial" w:eastAsia="Times New Roman" w:hAnsi="Arial" w:cs="Arial"/>
          <w:b/>
          <w:i/>
          <w:szCs w:val="28"/>
          <w:lang w:val="uk-UA"/>
        </w:rPr>
        <w:t xml:space="preserve">Key words: </w:t>
      </w:r>
      <w:r w:rsidR="00DF77B5" w:rsidRPr="00511005">
        <w:rPr>
          <w:rFonts w:ascii="Arial" w:eastAsia="Times New Roman" w:hAnsi="Arial" w:cs="Arial"/>
          <w:szCs w:val="28"/>
          <w:lang w:val="uk-UA"/>
        </w:rPr>
        <w:t>cognitive warfare, mass consciousness, hybrid threat, disinformation, information security</w:t>
      </w:r>
    </w:p>
    <w:p w14:paraId="3C241020" w14:textId="27A87BEC" w:rsidR="00DF77B5" w:rsidRPr="00511005" w:rsidRDefault="003F50AD" w:rsidP="00036C7B">
      <w:pPr>
        <w:widowControl w:val="0"/>
        <w:autoSpaceDE w:val="0"/>
        <w:autoSpaceDN w:val="0"/>
        <w:spacing w:line="264" w:lineRule="auto"/>
        <w:ind w:right="-2" w:firstLine="0"/>
        <w:rPr>
          <w:rFonts w:ascii="Arial" w:eastAsia="Times New Roman" w:hAnsi="Arial" w:cs="Arial"/>
          <w:i/>
          <w:iCs/>
          <w:szCs w:val="28"/>
          <w:lang w:val="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rPr>
        <w:t>д</w:t>
      </w:r>
      <w:r>
        <w:rPr>
          <w:rFonts w:ascii="Arial" w:eastAsia="Times New Roman" w:hAnsi="Arial" w:cs="Arial"/>
          <w:i/>
          <w:iCs/>
          <w:szCs w:val="28"/>
          <w:lang w:val="uk-UA"/>
        </w:rPr>
        <w:t>-</w:t>
      </w:r>
      <w:r w:rsidR="00DF77B5" w:rsidRPr="00511005">
        <w:rPr>
          <w:rFonts w:ascii="Arial" w:eastAsia="Times New Roman" w:hAnsi="Arial" w:cs="Arial"/>
          <w:i/>
          <w:iCs/>
          <w:szCs w:val="28"/>
          <w:lang w:val="uk-UA"/>
        </w:rPr>
        <w:t>р філософії з політології, асистент Лисянський П.Л.</w:t>
      </w:r>
    </w:p>
    <w:p w14:paraId="4E8B63DB" w14:textId="77777777" w:rsidR="00DF77B5" w:rsidRPr="00511005" w:rsidRDefault="00DF77B5" w:rsidP="003A292D">
      <w:pPr>
        <w:widowControl w:val="0"/>
        <w:autoSpaceDE w:val="0"/>
        <w:autoSpaceDN w:val="0"/>
        <w:spacing w:line="264" w:lineRule="auto"/>
        <w:ind w:firstLine="720"/>
        <w:jc w:val="center"/>
        <w:rPr>
          <w:rFonts w:ascii="Arial" w:eastAsia="Times New Roman" w:hAnsi="Arial" w:cs="Arial"/>
          <w:b/>
          <w:i/>
          <w:szCs w:val="28"/>
          <w:lang w:val="uk-UA"/>
        </w:rPr>
      </w:pPr>
    </w:p>
    <w:p w14:paraId="5482A64B" w14:textId="77777777" w:rsidR="00DF77B5" w:rsidRPr="00511005" w:rsidRDefault="00DF77B5" w:rsidP="002607EE">
      <w:pPr>
        <w:widowControl w:val="0"/>
        <w:autoSpaceDE w:val="0"/>
        <w:autoSpaceDN w:val="0"/>
        <w:spacing w:line="264" w:lineRule="auto"/>
        <w:ind w:left="709"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Денисова Єлизавета Олексіївна</w:t>
      </w:r>
    </w:p>
    <w:p w14:paraId="33326E01" w14:textId="7B2CD68B" w:rsidR="00DF77B5" w:rsidRPr="00511005" w:rsidRDefault="00036C7B" w:rsidP="002607EE">
      <w:pPr>
        <w:widowControl w:val="0"/>
        <w:autoSpaceDE w:val="0"/>
        <w:autoSpaceDN w:val="0"/>
        <w:spacing w:line="264" w:lineRule="auto"/>
        <w:ind w:left="709"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w:t>
      </w:r>
      <w:r w:rsidR="00536AAB" w:rsidRPr="00511005">
        <w:rPr>
          <w:rFonts w:ascii="Arial" w:eastAsia="Times New Roman" w:hAnsi="Arial" w:cs="Arial"/>
          <w:szCs w:val="28"/>
          <w:lang w:val="uk-UA" w:eastAsia="uk-UA"/>
        </w:rPr>
        <w:t>тудентка 3-го курсу факультету психології, політології та соціології</w:t>
      </w:r>
    </w:p>
    <w:p w14:paraId="30B2DF47" w14:textId="38B1CFCC" w:rsidR="00DF77B5" w:rsidRPr="00511005" w:rsidRDefault="007B2628" w:rsidP="002607EE">
      <w:pPr>
        <w:widowControl w:val="0"/>
        <w:autoSpaceDE w:val="0"/>
        <w:autoSpaceDN w:val="0"/>
        <w:spacing w:line="264" w:lineRule="auto"/>
        <w:ind w:left="709"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592C6223" w14:textId="77777777" w:rsidR="00DF77B5" w:rsidRPr="00511005" w:rsidRDefault="00DF77B5" w:rsidP="002607EE">
      <w:pPr>
        <w:widowControl w:val="0"/>
        <w:autoSpaceDE w:val="0"/>
        <w:autoSpaceDN w:val="0"/>
        <w:spacing w:line="264" w:lineRule="auto"/>
        <w:ind w:left="709" w:firstLine="0"/>
        <w:jc w:val="center"/>
        <w:rPr>
          <w:rFonts w:ascii="Arial" w:eastAsia="Times New Roman" w:hAnsi="Arial" w:cs="Arial"/>
          <w:szCs w:val="28"/>
          <w:lang w:val="uk-UA" w:eastAsia="uk-UA"/>
        </w:rPr>
      </w:pPr>
    </w:p>
    <w:p w14:paraId="16BDAD29" w14:textId="6E2B77B2" w:rsidR="00DF77B5" w:rsidRPr="00511005" w:rsidRDefault="00DF77B5" w:rsidP="002607EE">
      <w:pPr>
        <w:widowControl w:val="0"/>
        <w:autoSpaceDE w:val="0"/>
        <w:autoSpaceDN w:val="0"/>
        <w:spacing w:line="264" w:lineRule="auto"/>
        <w:ind w:left="709"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ФЕНОМЕН ПОПУЛІЗМУ В СУЧАСНІЙ</w:t>
      </w:r>
      <w:r w:rsidR="007B2628" w:rsidRPr="00511005">
        <w:rPr>
          <w:rFonts w:ascii="Arial" w:eastAsia="Times New Roman" w:hAnsi="Arial" w:cs="Arial"/>
          <w:b/>
          <w:szCs w:val="28"/>
          <w:lang w:val="uk-UA" w:eastAsia="uk-UA"/>
        </w:rPr>
        <w:t xml:space="preserve"> </w:t>
      </w:r>
      <w:r w:rsidRPr="00511005">
        <w:rPr>
          <w:rFonts w:ascii="Arial" w:eastAsia="Times New Roman" w:hAnsi="Arial" w:cs="Arial"/>
          <w:b/>
          <w:szCs w:val="28"/>
          <w:lang w:val="uk-UA" w:eastAsia="uk-UA"/>
        </w:rPr>
        <w:t>ПОЛІТИЦІ</w:t>
      </w:r>
    </w:p>
    <w:p w14:paraId="05A8CC93"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Популізм є важливою характеристикою сучасної політичної динаміки, виявляючись як стиль комунікації та стратегія мобілізації громадян через протиставлення «народу» та «еліти». Він не є самостійною ідеологією, а скоріше способом організації політичної боротьби, який може набувати як лівого, так і правого забарвлення.</w:t>
      </w:r>
    </w:p>
    <w:p w14:paraId="37BCCC3D"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 Белл визначав популізм як реакцію на кризу традиційних цінностей і суспільних структур. Від моменту свого виникнення популізм з’являється в тих умовах, де традиційні форми соціальної спільності втрачають актуальність, а політичні діячі змушені шукати та висувати нові моделі, здатні об’єднати суспільство. [6, с.51].</w:t>
      </w:r>
    </w:p>
    <w:p w14:paraId="60F419C6"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Причини виникнення популізму пов'язані з глибокими соціально-економічними змінами. Насамперед це зростання економічної нерівності, яке породжує невдоволення значної частини населення. Дедалі більше людей втрачають довіру до традиційних політичних еліт, вважаючи, що ті діють у власних інтересах, а не в інтересах суспільства. Важливим чинником є також страх перед глобалізацією, імміграцією та втратою національної ідентичності. Економічні кризи, соціальні потрясіння та неспроможність державних інституцій своєчасно реагувати на потреби громадян створюють сприятливий ґрунт для популістичних настроїв. Сучасні технології, особливо соціальні мережі, дозволяють популістам ефективно комунікувати з широкими масами, посилюючи недовіру до традиційних ЗМІ і політичної системи загалом.</w:t>
      </w:r>
    </w:p>
    <w:p w14:paraId="0F8DA410"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сучасній політиці виділяють кілька основних типів популізму залежно від ідеологічного спрямування: лівий, правий та центриський. Лівий популізм акцентує на соціальній справедливості, критиці олігархії та необхідності державного втручання в економіку. Правий популізм, навпаки, орієнтується на націоналізм, захист традиційних цінностей і часто поєднується з антиімміграційною риторикою. Центриський або персоналізований популізм не завжди має чітко виражену ідеологію і ґрунтується переважно на харизмі </w:t>
      </w:r>
      <w:r w:rsidRPr="00511005">
        <w:rPr>
          <w:rFonts w:ascii="Arial" w:eastAsia="Times New Roman" w:hAnsi="Arial" w:cs="Arial"/>
          <w:szCs w:val="28"/>
          <w:lang w:val="uk-UA" w:eastAsia="uk-UA"/>
        </w:rPr>
        <w:lastRenderedPageBreak/>
        <w:t>лідера, який обіцяє швидкі зміни без конкретних програмних засад.</w:t>
      </w:r>
    </w:p>
    <w:p w14:paraId="47DBB934"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Хоча певні елементи популізму можна виявити у риториці багатьох політиків, справжні популісти акцентують увагу переважно на емоціях і почуттях громадян, особливо маніпулюючи страхом, який часто супроводжується прагненням до порядку і справедливості. Вони обіцяють досягти цього швидкими та силовими методами, що обумовлює авторитарні тенденції популізму, пошук зовнішнього ворога та пріоритет особистої влади у розв'язанні суспільних проблем. Популісти вважають, що такі завдання може виконати лише сильний, харизматичний лідер, який начебто втілює волю народу. Останніми десятиліттями особливу небезпеку становить те, що навіть лідери усталених демократичних країн дедалі частіше виявляють готовність порушувати інституційні норми та нехтувати правами опозиції та меншин в ім'я реалізації своїх популістських програм. [5, c. 244 ].</w:t>
      </w:r>
    </w:p>
    <w:p w14:paraId="535CCCFE"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умовах глобалізації популізм перетворився на транснаціональне політичне явище. Зростання популярності популістських партій фіксується по всьому світу, і це явище більше не обмежується межами окремих держав. Популізм становить серйозну загрозу для правопорядку в будь-якій країні, незалежно від її географічного положення. [ 3,с.173].</w:t>
      </w:r>
    </w:p>
    <w:p w14:paraId="2A310298"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Одним із найвиразніших прикладів політичного діяча популістського спрямування є колишній прем’єр-міністр Японії Дзюн’їтіро Коідзумі. У своїй політичній діяльності він свідомо формував образ «аутсайдера» системи, активно критикуючи усталені політичні інститути та еліти. Його публічні виступи вирізнялися елементами театральності та емоційності, а основним каналом комунікації з населенням слугували засоби масової інформації, зокрема телебачення, що дозволяло йому позиціонувати себе як політика, наближеного до простих громадян. [ 2, с.373 ].</w:t>
      </w:r>
    </w:p>
    <w:p w14:paraId="353D3E49" w14:textId="37A014EC"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Європі популізм проявляється у різних формах. Що стосується популістських партій, то політика Угорщини є окремим випадком: її партійна система має дві основні популістські партії (Фідес і Йоббік), одна з яких є домінуючою правлячою силою, інша є провідною опозиційною партією з 2010 року. Лідер "Фідесу", прем’єр-міністр Віктор Орбан, активно користується популістською риторикою, роблячи акцент на захисті «християнської Європи», протидії міграції та критиці політики Європейського Союзу. [ 1, с.52 ] .</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В Італії Рух «5 зірок» і партія «Ліга» Маттео Сальвіні закликали до повернення національного суверенітету, протидії імміграції та реформування відносин із ЄС. У Франції Жан-Марі Ле Пен та Марін Ле Пен з партії «Національне об'єднання» будували свою політичну стратегію на захисті національної ідентичності та боротьбі з глобалізацією. В Іспанії популістська партія «Vox» висуває гасла проти мігрантів, підтримує жорсткі консервативні цінності та закликає до централізації влади.</w:t>
      </w:r>
    </w:p>
    <w:p w14:paraId="098B51C9"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США яскравим прикладом правопопулізму є Дональд Трамп, чия кампанія 2016 року базувалася на гаслах «Make America Great Again», </w:t>
      </w:r>
      <w:r w:rsidRPr="00511005">
        <w:rPr>
          <w:rFonts w:ascii="Arial" w:eastAsia="Times New Roman" w:hAnsi="Arial" w:cs="Arial"/>
          <w:szCs w:val="28"/>
          <w:lang w:val="uk-UA" w:eastAsia="uk-UA"/>
        </w:rPr>
        <w:lastRenderedPageBreak/>
        <w:t>критиці істеблішменту, боротьбі з нелегальною міграцією та захисті національної економіки. Лівопопулістські ідеї в США представляє Берні Сандерс, який акцентує на необхідності боротьби з економічною нерівністю, захисті прав працівників, доступній медицині та освіті.</w:t>
      </w:r>
    </w:p>
    <w:p w14:paraId="40CD48A3"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Більшість політичних партій в Україні сьогодні демонструють певні риси популізму, хоча не всі з них відповідають характеристикам класичного популістського дискурсу. Від часу здобуття незалежності ключові елементи українського популізму залишаються переважно стабільними. Серед них — підкреслення унікальної цінності «простого народу», обіцянки, що часто не мають реалістичного підґрунтя, чітке розмежування на «своїх» і «чужих», персоналізований лідерський стиль та риторика, побудована на опозиції між добром і злом. [ 7, с .71 ].</w:t>
      </w:r>
    </w:p>
    <w:p w14:paraId="7811909D" w14:textId="77777777" w:rsidR="007B2628"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Міжнародна практика свідчить, що популістські рухи, як правило, активізуються в періоди суспільно-політичних потрясінь. У такі моменти на політичну арену виходять лідери, які апелюють до широких мас за допомогою простих і привабливих гасел та обіцянок швидкого покращення життя без необхідності значних зусиль. Такий підхід дозволяє їм легко здобувати підтримку з боку найбільш уразливих і довірливих верств населення. [4, с.84 ].</w:t>
      </w:r>
    </w:p>
    <w:p w14:paraId="0D6B7458" w14:textId="77777777" w:rsidR="007B2628"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Поширення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популізму призводить до серйозних викликів для стабільності міжнародного порядку, демократичних інституцій та економічної безпеки. Одним із головних наслідків є послаблення демократичних механізмів: популісти часто дискредитують парламенти, судову владу та засоби масової інформації, підриваючи принципи поділу влади та верховенства права. Водночас популізм сприяє зростанню політичної поляризації й соціальної фрагментації суспільств, поглиблюючи конфлікти між різними групами та руйнуючи національну єдність.</w:t>
      </w:r>
    </w:p>
    <w:p w14:paraId="4FD5E9D1" w14:textId="54E5C2B5"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 економічній сфері популістські політики, обіцяючи швидке покращення життя, нерідко впроваджують незбалансовані заходи, що в короткостроковій перспективі можуть задовольняти запити населення, але у довгостроковій призводять до бюджетних криз, інфляції, збільшення державного боргу та економічної нестабільності. </w:t>
      </w:r>
    </w:p>
    <w:p w14:paraId="5C77E166" w14:textId="0F7A5DDD"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На міжнародній арені популізм сприяє ізоляціонізму, руйнуванню системи багатосторонніх відносин і загостренню міжнародних суперечок, що підриває здатність світової спільноти ефективно відповідати на глобальні виклики, такі як зміна клімату, міграційні кризи чи пандемії.</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Значну роль у поширенні популізму відіграють сучасні технології, особливо соціальні мережі, які дають змогу поширювати емоційно забарвлену і спрощену інформацію, маніпулюючи громадською думкою та підриваючи довіру до традиційних джерел знань. Популістські уряди часто нехтують правами опозиції та меншин, що загрожує ерозією правових гарантій і зростанням авторитарних практик навіть у традиційних демократичних країнах. </w:t>
      </w:r>
    </w:p>
    <w:p w14:paraId="7E0EE429"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У глобальному вимірі поширення популізму ставить під загрозу існуючий ліберальний міжнародний порядок, що забезпечував відносну стабільність і співпрацю між державами після Другої світової війни. Якщо тенденція до посилення популізму триватиме, світ стане менш демократичним, менш передбачуваним і більш конфліктним, що матиме далекосяжні наслідки для майбутнього міжнародної системи.</w:t>
      </w:r>
    </w:p>
    <w:p w14:paraId="0122C4D5" w14:textId="77777777" w:rsidR="002607EE" w:rsidRPr="00511005" w:rsidRDefault="002607EE" w:rsidP="002607EE">
      <w:pPr>
        <w:widowControl w:val="0"/>
        <w:autoSpaceDE w:val="0"/>
        <w:autoSpaceDN w:val="0"/>
        <w:spacing w:line="264" w:lineRule="auto"/>
        <w:ind w:left="709" w:firstLine="0"/>
        <w:jc w:val="center"/>
        <w:rPr>
          <w:rFonts w:ascii="Arial" w:eastAsia="Times New Roman" w:hAnsi="Arial" w:cs="Arial"/>
          <w:b/>
          <w:bCs/>
          <w:szCs w:val="28"/>
          <w:lang w:val="uk-UA" w:eastAsia="uk-UA"/>
        </w:rPr>
      </w:pPr>
    </w:p>
    <w:p w14:paraId="1C53FE7F" w14:textId="3068DF18" w:rsidR="00DF77B5" w:rsidRPr="00511005" w:rsidRDefault="007B2628" w:rsidP="007B2628">
      <w:pPr>
        <w:widowControl w:val="0"/>
        <w:autoSpaceDE w:val="0"/>
        <w:autoSpaceDN w:val="0"/>
        <w:spacing w:line="264" w:lineRule="auto"/>
        <w:ind w:left="709"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Список використаних джерел</w:t>
      </w:r>
    </w:p>
    <w:p w14:paraId="5D56FC84" w14:textId="26D9304D" w:rsidR="00DF77B5" w:rsidRPr="00511005" w:rsidRDefault="00DF77B5" w:rsidP="002607E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1.</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Бурдюг М. М. ПОПУЛІЗМ ЯК ВИКЛИК ДЕМОКРАТИЧНИМ ПРОЦЕСАМ У ЄВРОПЕЙСЬКОМУ СОЮЗІ. Вісник НТУУ "КПІ" Політологія. Соціологія. Право. 2023. С. 52. </w:t>
      </w:r>
    </w:p>
    <w:p w14:paraId="6D223E80" w14:textId="77777777" w:rsidR="00DF77B5" w:rsidRPr="00511005" w:rsidRDefault="00DF77B5" w:rsidP="002607E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2. Іванець Т., Пашина Н. Особливості правового популізму в країнах Західної Європи та Японії: Порівняльний аналіз. Věda a perspektivy. 2023. С. 373.</w:t>
      </w:r>
    </w:p>
    <w:p w14:paraId="55C49994" w14:textId="3760AA63" w:rsidR="00DF77B5" w:rsidRPr="00511005" w:rsidRDefault="00DF77B5" w:rsidP="002607E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3.</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Ковальчук В. ПОПУЛІЗМ І КОНСТИТУЦІЙНА ТРАНСФОРМАЦІЯ У КРАЇНАХ ЦЕНТРАЛЬНО-СХІДНОЇ ЄВРОПИ ТА УКРАЇНІ. Право України. 2021. С. 173.</w:t>
      </w:r>
    </w:p>
    <w:p w14:paraId="72449DF3" w14:textId="77777777" w:rsidR="00DF77B5" w:rsidRPr="00511005" w:rsidRDefault="00DF77B5" w:rsidP="002607E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Лавриненко, Ганна Андріївна та Миц, Ілля Іванович (2020) Популізм як загроза сталого демократичного розвитку держав Політологічні читання імені професора Богдана Яроша (9). с. 81-90. </w:t>
      </w:r>
    </w:p>
    <w:p w14:paraId="4D6C75A7" w14:textId="77777777" w:rsidR="00DF77B5" w:rsidRPr="00511005" w:rsidRDefault="00DF77B5" w:rsidP="002607E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5. Налімова В. В. ВПЛИВ ПОПУЛІЗМУ НА ДЕМОКРАТІЮ В ХХІ СТОЛІТТІ. Підприємництво та стратегічні напрями розвитку бізнеспроцесів в умовах глобальних викликів : збірник матеріалів IV Міжнар. наук.-практ. екон. форуму. 2024. С. 244.</w:t>
      </w:r>
    </w:p>
    <w:p w14:paraId="54EA639B" w14:textId="77777777" w:rsidR="00DF77B5" w:rsidRPr="00511005" w:rsidRDefault="00DF77B5" w:rsidP="002607E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6. Рогожа М. М. ПОПУЛІЗМ В УКРАЇНСЬКІЙ ПОЛІТИЧНІЙ КУЛЬТУРІ. УКРАЇНСЬКІ КУЛЬТУРОЛОГІЧНІ СТУДІЇ. 2020. С. 51.</w:t>
      </w:r>
    </w:p>
    <w:p w14:paraId="3EFC0647" w14:textId="77777777" w:rsidR="00DF77B5" w:rsidRPr="00511005" w:rsidRDefault="00DF77B5" w:rsidP="002607E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7.. Руденко О. І. РОЛЬ ПОПУЛІЗМУ В ПОЛІТИЧНИХ ПРОЦЕСАХ ЄВРОПЕЙСЬКИХ КРАЇН : кваліфікаційна робота. Київ, 2024. 68 с.</w:t>
      </w:r>
    </w:p>
    <w:p w14:paraId="6589AAE1" w14:textId="1886E472" w:rsidR="00DF77B5" w:rsidRPr="00511005" w:rsidRDefault="007B2628" w:rsidP="002607EE">
      <w:pPr>
        <w:widowControl w:val="0"/>
        <w:autoSpaceDE w:val="0"/>
        <w:autoSpaceDN w:val="0"/>
        <w:spacing w:line="264" w:lineRule="auto"/>
        <w:ind w:left="709" w:firstLine="0"/>
        <w:jc w:val="left"/>
        <w:rPr>
          <w:rFonts w:ascii="Arial" w:eastAsia="Times New Roman" w:hAnsi="Arial" w:cs="Arial"/>
          <w:bCs/>
          <w:i/>
          <w:iCs/>
          <w:szCs w:val="28"/>
          <w:lang w:val="uk-UA" w:eastAsia="uk-UA"/>
        </w:rPr>
      </w:pPr>
      <w:r w:rsidRPr="00511005">
        <w:rPr>
          <w:rFonts w:ascii="Arial" w:eastAsia="Times New Roman" w:hAnsi="Arial" w:cs="Arial"/>
          <w:b/>
          <w:i/>
          <w:iCs/>
          <w:szCs w:val="28"/>
          <w:lang w:val="uk-UA" w:eastAsia="uk-UA"/>
        </w:rPr>
        <w:t xml:space="preserve">Ключові слова: </w:t>
      </w:r>
      <w:r w:rsidR="00DF77B5" w:rsidRPr="00511005">
        <w:rPr>
          <w:rFonts w:ascii="Arial" w:eastAsia="Times New Roman" w:hAnsi="Arial" w:cs="Arial"/>
          <w:bCs/>
          <w:i/>
          <w:iCs/>
          <w:szCs w:val="28"/>
          <w:lang w:val="uk-UA" w:eastAsia="uk-UA"/>
        </w:rPr>
        <w:t>популізм, лідер, політичні партії, політика, Європа, Україна, прем’єр-міністр, міжнародна система.</w:t>
      </w:r>
    </w:p>
    <w:p w14:paraId="6D6D78D0" w14:textId="2580FB5D" w:rsidR="00DF77B5" w:rsidRPr="00511005" w:rsidRDefault="007B2628" w:rsidP="002607EE">
      <w:pPr>
        <w:widowControl w:val="0"/>
        <w:autoSpaceDE w:val="0"/>
        <w:autoSpaceDN w:val="0"/>
        <w:spacing w:line="264" w:lineRule="auto"/>
        <w:ind w:left="709" w:firstLine="0"/>
        <w:jc w:val="left"/>
        <w:rPr>
          <w:rFonts w:ascii="Arial" w:eastAsia="Times New Roman" w:hAnsi="Arial" w:cs="Arial"/>
          <w:b/>
          <w:i/>
          <w:iCs/>
          <w:szCs w:val="28"/>
          <w:lang w:val="uk-UA" w:eastAsia="uk-UA"/>
        </w:rPr>
      </w:pPr>
      <w:r w:rsidRPr="00511005">
        <w:rPr>
          <w:rFonts w:ascii="Arial" w:eastAsia="Times New Roman" w:hAnsi="Arial" w:cs="Arial"/>
          <w:b/>
          <w:i/>
          <w:iCs/>
          <w:szCs w:val="28"/>
          <w:lang w:val="uk-UA" w:eastAsia="uk-UA"/>
        </w:rPr>
        <w:t xml:space="preserve">Key words: </w:t>
      </w:r>
      <w:r w:rsidR="00DF77B5" w:rsidRPr="00511005">
        <w:rPr>
          <w:rFonts w:ascii="Arial" w:eastAsia="Times New Roman" w:hAnsi="Arial" w:cs="Arial"/>
          <w:bCs/>
          <w:i/>
          <w:iCs/>
          <w:szCs w:val="28"/>
          <w:lang w:val="uk-UA" w:eastAsia="uk-UA"/>
        </w:rPr>
        <w:t>populism, leader, political parties, politics, Europe, Ukraine, Prime Minister, international system.</w:t>
      </w:r>
    </w:p>
    <w:p w14:paraId="1BC0C62A" w14:textId="0068E207" w:rsidR="00DF77B5" w:rsidRPr="00511005" w:rsidRDefault="007B2628" w:rsidP="002607EE">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к.політ.н., доцент Завгородня Ю.В.</w:t>
      </w:r>
    </w:p>
    <w:p w14:paraId="4D7F03D0" w14:textId="77777777" w:rsidR="00DF77B5" w:rsidRPr="00511005" w:rsidRDefault="00DF77B5" w:rsidP="003A292D">
      <w:pPr>
        <w:widowControl w:val="0"/>
        <w:autoSpaceDE w:val="0"/>
        <w:autoSpaceDN w:val="0"/>
        <w:spacing w:line="264" w:lineRule="auto"/>
        <w:ind w:firstLine="720"/>
        <w:jc w:val="center"/>
        <w:rPr>
          <w:rFonts w:ascii="Arial" w:eastAsia="Times New Roman" w:hAnsi="Arial" w:cs="Arial"/>
          <w:b/>
          <w:i/>
          <w:szCs w:val="28"/>
          <w:lang w:val="uk-UA"/>
        </w:rPr>
      </w:pPr>
    </w:p>
    <w:p w14:paraId="1CC21224" w14:textId="77777777" w:rsidR="00DF77B5" w:rsidRPr="00511005" w:rsidRDefault="00DF77B5" w:rsidP="002607EE">
      <w:pPr>
        <w:widowControl w:val="0"/>
        <w:autoSpaceDE w:val="0"/>
        <w:autoSpaceDN w:val="0"/>
        <w:spacing w:line="264" w:lineRule="auto"/>
        <w:ind w:left="709" w:firstLine="0"/>
        <w:jc w:val="center"/>
        <w:rPr>
          <w:rFonts w:ascii="Arial" w:eastAsia="Times New Roman" w:hAnsi="Arial" w:cs="Arial"/>
          <w:b/>
          <w:i/>
          <w:iCs/>
          <w:szCs w:val="28"/>
          <w:lang w:val="uk-UA" w:eastAsia="uk-UA"/>
        </w:rPr>
      </w:pPr>
      <w:r w:rsidRPr="00511005">
        <w:rPr>
          <w:rFonts w:ascii="Arial" w:eastAsia="Times New Roman" w:hAnsi="Arial" w:cs="Arial"/>
          <w:b/>
          <w:i/>
          <w:iCs/>
          <w:szCs w:val="28"/>
          <w:lang w:val="uk-UA" w:eastAsia="uk-UA"/>
        </w:rPr>
        <w:t>Домчук Вероніка Петрівна</w:t>
      </w:r>
    </w:p>
    <w:p w14:paraId="5C3E9ECE" w14:textId="12C5D98B" w:rsidR="00DF77B5" w:rsidRPr="00511005" w:rsidRDefault="00DF77B5" w:rsidP="002607EE">
      <w:pPr>
        <w:widowControl w:val="0"/>
        <w:autoSpaceDE w:val="0"/>
        <w:autoSpaceDN w:val="0"/>
        <w:spacing w:line="264" w:lineRule="auto"/>
        <w:ind w:left="709" w:firstLine="0"/>
        <w:jc w:val="center"/>
        <w:rPr>
          <w:rFonts w:ascii="Arial" w:eastAsia="Times New Roman" w:hAnsi="Arial" w:cs="Arial"/>
          <w:b/>
          <w:szCs w:val="28"/>
          <w:lang w:val="uk-UA" w:eastAsia="uk-UA"/>
        </w:rPr>
      </w:pPr>
      <w:r w:rsidRPr="00511005">
        <w:rPr>
          <w:rFonts w:ascii="Arial" w:eastAsia="Times New Roman" w:hAnsi="Arial" w:cs="Arial"/>
          <w:szCs w:val="28"/>
          <w:lang w:val="uk-UA" w:eastAsia="uk-UA"/>
        </w:rPr>
        <w:t>студентка 1</w:t>
      </w:r>
      <w:r w:rsidR="00036C7B" w:rsidRPr="00511005">
        <w:rPr>
          <w:rFonts w:ascii="Arial" w:eastAsia="Times New Roman" w:hAnsi="Arial" w:cs="Arial"/>
          <w:szCs w:val="28"/>
          <w:lang w:val="uk-UA" w:eastAsia="uk-UA"/>
        </w:rPr>
        <w:t xml:space="preserve">-го </w:t>
      </w:r>
      <w:r w:rsidRPr="00511005">
        <w:rPr>
          <w:rFonts w:ascii="Arial" w:eastAsia="Times New Roman" w:hAnsi="Arial" w:cs="Arial"/>
          <w:szCs w:val="28"/>
          <w:lang w:val="uk-UA" w:eastAsia="uk-UA"/>
        </w:rPr>
        <w:t xml:space="preserve">курсу </w:t>
      </w:r>
      <w:r w:rsidR="00536AAB" w:rsidRPr="00511005">
        <w:rPr>
          <w:rFonts w:ascii="Arial" w:eastAsia="Times New Roman" w:hAnsi="Arial" w:cs="Arial"/>
          <w:szCs w:val="28"/>
          <w:lang w:val="uk-UA" w:eastAsia="uk-UA"/>
        </w:rPr>
        <w:t>факультету журналістики</w:t>
      </w:r>
      <w:r w:rsidRPr="00511005">
        <w:rPr>
          <w:rFonts w:ascii="Arial" w:eastAsia="Times New Roman" w:hAnsi="Arial" w:cs="Arial"/>
          <w:b/>
          <w:szCs w:val="28"/>
          <w:lang w:val="uk-UA" w:eastAsia="uk-UA"/>
        </w:rPr>
        <w:t xml:space="preserve"> </w:t>
      </w:r>
    </w:p>
    <w:p w14:paraId="695F39B9" w14:textId="27D4501B" w:rsidR="00DF77B5" w:rsidRPr="00511005" w:rsidRDefault="007B2628" w:rsidP="002607EE">
      <w:pPr>
        <w:widowControl w:val="0"/>
        <w:autoSpaceDE w:val="0"/>
        <w:autoSpaceDN w:val="0"/>
        <w:spacing w:line="264" w:lineRule="auto"/>
        <w:ind w:left="709"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11D5C8FB" w14:textId="77777777" w:rsidR="002607EE" w:rsidRPr="00511005" w:rsidRDefault="002607EE" w:rsidP="002607EE">
      <w:pPr>
        <w:widowControl w:val="0"/>
        <w:autoSpaceDE w:val="0"/>
        <w:autoSpaceDN w:val="0"/>
        <w:spacing w:line="264" w:lineRule="auto"/>
        <w:ind w:left="709" w:firstLine="0"/>
        <w:jc w:val="center"/>
        <w:rPr>
          <w:rFonts w:ascii="Arial" w:eastAsia="Times New Roman" w:hAnsi="Arial" w:cs="Arial"/>
          <w:b/>
          <w:szCs w:val="28"/>
          <w:lang w:val="uk-UA" w:eastAsia="uk-UA"/>
        </w:rPr>
      </w:pPr>
    </w:p>
    <w:p w14:paraId="053655D6" w14:textId="77777777" w:rsidR="00DF77B5" w:rsidRPr="00511005" w:rsidRDefault="00DF77B5" w:rsidP="002607EE">
      <w:pPr>
        <w:widowControl w:val="0"/>
        <w:autoSpaceDE w:val="0"/>
        <w:autoSpaceDN w:val="0"/>
        <w:spacing w:line="264" w:lineRule="auto"/>
        <w:ind w:left="709"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ПРОТИДІЯ ГІБРИДНИМ ЗАГРОЗАМ У СУЧАСНОМУ СВІТІ</w:t>
      </w:r>
    </w:p>
    <w:p w14:paraId="1087AE3D"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Гiбридна вiйна, яка поєднує в собi елементи класичної вiйни, тероризму, кiбератак, кiберзагроз та економiчного тиску, набуває все бiльшого поширення на мiжнародній арені. Вона стає потужним </w:t>
      </w:r>
      <w:r w:rsidRPr="00511005">
        <w:rPr>
          <w:rFonts w:ascii="Arial" w:eastAsia="Times New Roman" w:hAnsi="Arial" w:cs="Arial"/>
          <w:szCs w:val="28"/>
          <w:lang w:val="uk-UA" w:eastAsia="uk-UA"/>
        </w:rPr>
        <w:lastRenderedPageBreak/>
        <w:t>інструментом політичного, військового та економічного впливу, що використовується державами та недержавними акторами. Це явище створює серйозні виклики міжнародній безпеці, стійкості держав та наднаціональних інституцій, стабільності глобальної політики. Гiбридна війна стала однiєю з ключових тем у вивченні сучасної політики та міжнародних відносин. Це пов'язано з тим, що традиційні методи військового протистояння вже не можуть ефективно захищати від таких багатогранних і прихованих форм агресії.</w:t>
      </w:r>
    </w:p>
    <w:p w14:paraId="4034162E"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цьому контекстi важливо розумiти, що гiбридна вiйна - це не лише вiйськовий чи iнформацiйний конфлiкт, а й масштабна та складна боротьба за вплив на нацiональну, регiональну та глобальну безпеку. Вона охоплює широкий спектр засобiв - від манiпулювання громадською думкою через соцiальні мережi до економiчного шантажу та руйнування критичної iнфраструктури.</w:t>
      </w:r>
    </w:p>
    <w:p w14:paraId="2943A925"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Вивчення цього питання є фундаментальним для розробки ефективних стратiегй нацiональної безпеки, формування полiтичної реакції та розвитку мiжнародного спiвробiтництва у боротьбi з новими формами агресiї. Вивчення рiзних аспектiв гiбридної вiйни дозволить сформулювати превентивнi стратегії реагування, що має вирiшальне значення для забезпечення стабільностi мiжнародних відносин у майбутньому.</w:t>
      </w:r>
    </w:p>
    <w:p w14:paraId="23BCC064" w14:textId="3CC452B8"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цьому дослiдженнi</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комплексно розглянутi стратегiї гiбридної війни та їх вплив на глобальний політичний процес із застосуванням методів порівняльного аналізу, контент-аналiзу та системного пiдходу. Також було використано методи стратегiчного аналiзу для прогнозування появи нових загроз та оцiнки їх впливу на систему мiжнародної безпеки.</w:t>
      </w:r>
    </w:p>
    <w:p w14:paraId="1B2D8EE7"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сучасних умовах ефективна вiдповiдь на гiбридні загрози вимагає багатостороннього мiжнародного співробітництва не лише у військовій сфері, а й у розробці нових стратегічних підходів, правових інструментів та технологічних засобів.</w:t>
      </w:r>
    </w:p>
    <w:p w14:paraId="3DCFEDD7"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Гібридна війна, яка інтегрує військові, інформаційні, політичні та кібернетичні засоби, створює безпрецедентні виклики для міжнародної безпеки. У цій новій реальності, де межі між миром і війною поступово розмиваються, важливо, щоб уряди, міжнародні організації, оборонні союзи і стратегічні партнерства адаптувалися до нових типів загроз.</w:t>
      </w:r>
    </w:p>
    <w:p w14:paraId="6CE4143D"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Протидія цим загрозам вимагає системного підходу, який включає модернізацію військової техніки та оборонної доктрини, трансформацію політичних, економічних та соціальних інститутів, а також впровадження новітніх технологічних рішень. Зокрема, у сферах кiберзахисту та інформаційної безпеки необхідна чітка координація між урядами, міжнародними організаціями, аналітичними установами, технологічними компаніями та громадянським суспільством. [2, C. 98-104] </w:t>
      </w:r>
    </w:p>
    <w:p w14:paraId="04E95EC7"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Кібератаки, дезiнформацiйнi кампанії, фейкові новини та </w:t>
      </w:r>
      <w:r w:rsidRPr="00511005">
        <w:rPr>
          <w:rFonts w:ascii="Arial" w:eastAsia="Times New Roman" w:hAnsi="Arial" w:cs="Arial"/>
          <w:szCs w:val="28"/>
          <w:lang w:val="uk-UA" w:eastAsia="uk-UA"/>
        </w:rPr>
        <w:lastRenderedPageBreak/>
        <w:t>маніпулювання виборчими процесами стали постійними елементами сучасних конфліктів, і це ще раз підкреслює важливість раннього виявлення цих загроз за допомогою інноваційних технологій, таких як штучний інтелект, аналіз великих даних та автоматизовані системи спостереження.</w:t>
      </w:r>
    </w:p>
    <w:p w14:paraId="07E59A17"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Міжнародне співробітництво є важливим інструментом у боротьбi з гібридною агресією, i союзники, такi як НАТО, активно розробляють і впроваджують новi стратегії, що охоплюють кіберзахист, інформаційну безпеку, протидію дезінформації, посилення стійкості внутрішніх пiдроздiлів НАТО, вдосконалення спільного реагування на потенційні загрози тощо. [1, C. 61-66] </w:t>
      </w:r>
    </w:p>
    <w:p w14:paraId="0E5514C3"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Iнформаційні операцiї залишаються серйозним викликом через їх потужний вплив на громадську думку, вибори, політичну стабільність та довіру до інституцій. Протидія цьому вимагає незалежних ЗМІ, сильних аналітичних центрів, ефективних систем перевірки фактів та інформаційної грамотності громадян.</w:t>
      </w:r>
    </w:p>
    <w:p w14:paraId="710A3D5A"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майбутньому гiбридна війна стане технологічно складнішою завдяки використанню таких інновацій, як штучний інтелект і генетичні та біологічні загрози. Це вимагатиме розробки нових правових i технологічних механізмів, здатних забезпечити стабільність в умовах швидких змін. [3, С. 30-35] </w:t>
      </w:r>
    </w:p>
    <w:p w14:paraId="30E08E99" w14:textId="5F446514"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боротьба з гібридними загрозами вимагатиме узгоджених зусиль держав, міжнародних організацій, приватного сектору та громадянського суспільства, а також здатності адаптуватися до нових викликів і розробляти ефективні механізми реагування.</w:t>
      </w:r>
    </w:p>
    <w:p w14:paraId="5DE6877B" w14:textId="77777777" w:rsidR="002607EE" w:rsidRPr="00511005" w:rsidRDefault="002607EE" w:rsidP="002607EE">
      <w:pPr>
        <w:widowControl w:val="0"/>
        <w:autoSpaceDE w:val="0"/>
        <w:autoSpaceDN w:val="0"/>
        <w:spacing w:line="264" w:lineRule="auto"/>
        <w:ind w:left="709" w:firstLine="0"/>
        <w:jc w:val="left"/>
        <w:rPr>
          <w:rFonts w:ascii="Arial" w:eastAsia="Times New Roman" w:hAnsi="Arial" w:cs="Arial"/>
          <w:szCs w:val="28"/>
          <w:lang w:val="uk-UA" w:eastAsia="uk-UA"/>
        </w:rPr>
      </w:pPr>
    </w:p>
    <w:p w14:paraId="31CB4273" w14:textId="31AB58FE" w:rsidR="00DF77B5" w:rsidRPr="00511005" w:rsidRDefault="007B2628" w:rsidP="007B2628">
      <w:pPr>
        <w:widowControl w:val="0"/>
        <w:autoSpaceDE w:val="0"/>
        <w:autoSpaceDN w:val="0"/>
        <w:spacing w:line="264" w:lineRule="auto"/>
        <w:ind w:left="709"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5DC0F876" w14:textId="77777777" w:rsidR="00DF77B5" w:rsidRPr="00511005" w:rsidRDefault="00DF77B5" w:rsidP="003F6A5D">
      <w:pPr>
        <w:widowControl w:val="0"/>
        <w:numPr>
          <w:ilvl w:val="0"/>
          <w:numId w:val="800"/>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Ващенко I., Стаднік A., Полтвький E. Передумови збройної агресії РФ проти України: від гібридного протистояння до широкомасштабного збройного вторгнення. Honor and Law. 2023. №4. С. 61-66. DOI: </w:t>
      </w:r>
      <w:hyperlink r:id="rId2538" w:history="1">
        <w:r w:rsidRPr="00511005">
          <w:rPr>
            <w:rFonts w:ascii="Arial" w:eastAsia="Times New Roman" w:hAnsi="Arial" w:cs="Arial"/>
            <w:szCs w:val="28"/>
            <w:lang w:val="uk-UA" w:eastAsia="uk-UA"/>
          </w:rPr>
          <w:t>https://doi.org/10.33405/2078-7480/2023/4/87/295130</w:t>
        </w:r>
      </w:hyperlink>
      <w:r w:rsidRPr="00511005">
        <w:rPr>
          <w:rFonts w:ascii="Arial" w:eastAsia="Times New Roman" w:hAnsi="Arial" w:cs="Arial"/>
          <w:szCs w:val="28"/>
          <w:lang w:val="uk-UA" w:eastAsia="uk-UA"/>
        </w:rPr>
        <w:t>. (дата звернення: 20.03.2025).</w:t>
      </w:r>
    </w:p>
    <w:p w14:paraId="4F08BA08" w14:textId="77777777" w:rsidR="00DF77B5" w:rsidRPr="00511005" w:rsidRDefault="00DF77B5" w:rsidP="003F6A5D">
      <w:pPr>
        <w:widowControl w:val="0"/>
        <w:numPr>
          <w:ilvl w:val="0"/>
          <w:numId w:val="800"/>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Висоцький O. Легітимаційні технології в міжнародних відносинах. Granì. 2017. №20. С. 98-104. DOI: </w:t>
      </w:r>
      <w:hyperlink r:id="rId2539" w:history="1">
        <w:r w:rsidRPr="00511005">
          <w:rPr>
            <w:rFonts w:ascii="Arial" w:eastAsia="Times New Roman" w:hAnsi="Arial" w:cs="Arial"/>
            <w:szCs w:val="28"/>
            <w:lang w:val="uk-UA" w:eastAsia="uk-UA"/>
          </w:rPr>
          <w:t>https://doi.org/10.15421/1717138</w:t>
        </w:r>
      </w:hyperlink>
      <w:r w:rsidRPr="00511005">
        <w:rPr>
          <w:rFonts w:ascii="Arial" w:eastAsia="Times New Roman" w:hAnsi="Arial" w:cs="Arial"/>
          <w:szCs w:val="28"/>
          <w:lang w:val="uk-UA" w:eastAsia="uk-UA"/>
        </w:rPr>
        <w:t>. (дата звернення: 20.03.2025).</w:t>
      </w:r>
    </w:p>
    <w:p w14:paraId="1CD5A5B7" w14:textId="77777777" w:rsidR="00DF77B5" w:rsidRPr="00511005" w:rsidRDefault="00DF77B5" w:rsidP="003F6A5D">
      <w:pPr>
        <w:widowControl w:val="0"/>
        <w:numPr>
          <w:ilvl w:val="0"/>
          <w:numId w:val="800"/>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Гарькавий Є., Рубель К. Механізми ведення гібридної війни у гуманітарній сфері. Вісник Донецького національного університету імені Василя Стуса. Серія політичні науки. 2024. С. 30-35. DOI: </w:t>
      </w:r>
      <w:hyperlink r:id="rId2540" w:history="1">
        <w:r w:rsidRPr="00511005">
          <w:rPr>
            <w:rFonts w:ascii="Arial" w:eastAsia="Times New Roman" w:hAnsi="Arial" w:cs="Arial"/>
            <w:szCs w:val="28"/>
            <w:lang w:val="uk-UA" w:eastAsia="uk-UA"/>
          </w:rPr>
          <w:t>https://doi.org/10.31558/2617-0248.2024.9.4</w:t>
        </w:r>
      </w:hyperlink>
      <w:r w:rsidRPr="00511005">
        <w:rPr>
          <w:rFonts w:ascii="Arial" w:eastAsia="Times New Roman" w:hAnsi="Arial" w:cs="Arial"/>
          <w:szCs w:val="28"/>
          <w:lang w:val="uk-UA" w:eastAsia="uk-UA"/>
        </w:rPr>
        <w:t>. (дата звернення: 20.03.2025).</w:t>
      </w:r>
    </w:p>
    <w:p w14:paraId="4B432B08" w14:textId="77777777" w:rsidR="00DF77B5" w:rsidRPr="00511005" w:rsidRDefault="00DF77B5" w:rsidP="003F6A5D">
      <w:pPr>
        <w:widowControl w:val="0"/>
        <w:numPr>
          <w:ilvl w:val="0"/>
          <w:numId w:val="800"/>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Посмітух O., Павлунко M., Ковальський V. Гібридна війна – сучасна стратегія протистояння. Journal of Scientific Papers Social development &amp; Security. 2021. №11. С. 202-208. DOI: </w:t>
      </w:r>
      <w:hyperlink r:id="rId2541" w:history="1">
        <w:r w:rsidRPr="00511005">
          <w:rPr>
            <w:rFonts w:ascii="Arial" w:eastAsia="Times New Roman" w:hAnsi="Arial" w:cs="Arial"/>
            <w:szCs w:val="28"/>
            <w:lang w:val="uk-UA" w:eastAsia="uk-UA"/>
          </w:rPr>
          <w:t>https://doi.org/10.33445/sds.2021.11.3.19</w:t>
        </w:r>
      </w:hyperlink>
      <w:r w:rsidRPr="00511005">
        <w:rPr>
          <w:rFonts w:ascii="Arial" w:eastAsia="Times New Roman" w:hAnsi="Arial" w:cs="Arial"/>
          <w:szCs w:val="28"/>
          <w:lang w:val="uk-UA" w:eastAsia="uk-UA"/>
        </w:rPr>
        <w:t>. (дата звернення: 20.03.2025).</w:t>
      </w:r>
    </w:p>
    <w:p w14:paraId="6AD6ABAB" w14:textId="58156429" w:rsidR="00DF77B5" w:rsidRPr="00511005" w:rsidRDefault="007B2628" w:rsidP="002607EE">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Ключові слова: </w:t>
      </w:r>
      <w:r w:rsidR="00DF77B5" w:rsidRPr="00511005">
        <w:rPr>
          <w:rFonts w:ascii="Arial" w:eastAsia="Times New Roman" w:hAnsi="Arial" w:cs="Arial"/>
          <w:i/>
          <w:iCs/>
          <w:szCs w:val="28"/>
          <w:lang w:val="uk-UA" w:eastAsia="uk-UA"/>
        </w:rPr>
        <w:t>гібридна війна, гібридні загрози, кібербезпека, інформаційна безпека, дезінформація, кібератаки, міжнародна безпека, міжнародна співпраця, технологічні загрози, сучасні конфлікти, збройні сили, громадянське суспільство, правові механізми, стратегії безпеки, інноваційні технології, маніпуляція громадською думкою, розвіддані, критична інфраструктура.</w:t>
      </w:r>
    </w:p>
    <w:p w14:paraId="4884B030" w14:textId="4891B09C" w:rsidR="00DF77B5" w:rsidRPr="00511005" w:rsidRDefault="007B2628" w:rsidP="002607EE">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Key words: </w:t>
      </w:r>
      <w:r w:rsidR="00DF77B5" w:rsidRPr="00511005">
        <w:rPr>
          <w:rFonts w:ascii="Arial" w:eastAsia="Times New Roman" w:hAnsi="Arial" w:cs="Arial"/>
          <w:i/>
          <w:iCs/>
          <w:szCs w:val="28"/>
          <w:lang w:val="uk-UA" w:eastAsia="uk-UA"/>
        </w:rPr>
        <w:t>hybrid warfare, hybrid threats, cybersecurity, information security, disinformation, cyberattacks, international security, international cooperation, technological threats, modern conflicts, armed forces, civil society, legal mechanisms, security strategies, innovative technologies, manipulation of public opinion, intelligence, critical infrastructure.</w:t>
      </w:r>
    </w:p>
    <w:p w14:paraId="2567FF06" w14:textId="24AFC8EE" w:rsidR="00DF77B5" w:rsidRPr="00511005" w:rsidRDefault="007B2628" w:rsidP="002607EE">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 xml:space="preserve">д. політ.н., доцент Завгородня Ю.В.. </w:t>
      </w:r>
    </w:p>
    <w:p w14:paraId="21AF5E00" w14:textId="77777777" w:rsidR="00DF77B5" w:rsidRPr="00511005" w:rsidRDefault="00DF77B5" w:rsidP="003A292D">
      <w:pPr>
        <w:widowControl w:val="0"/>
        <w:autoSpaceDE w:val="0"/>
        <w:autoSpaceDN w:val="0"/>
        <w:spacing w:line="264" w:lineRule="auto"/>
        <w:ind w:firstLine="720"/>
        <w:jc w:val="center"/>
        <w:rPr>
          <w:rFonts w:ascii="Arial" w:eastAsia="Times New Roman" w:hAnsi="Arial" w:cs="Arial"/>
          <w:b/>
          <w:i/>
          <w:szCs w:val="28"/>
          <w:lang w:val="uk-UA"/>
        </w:rPr>
      </w:pPr>
    </w:p>
    <w:p w14:paraId="5FB5F127" w14:textId="77777777" w:rsidR="00DF77B5" w:rsidRPr="00511005" w:rsidRDefault="00DF77B5" w:rsidP="002607EE">
      <w:pPr>
        <w:widowControl w:val="0"/>
        <w:autoSpaceDE w:val="0"/>
        <w:autoSpaceDN w:val="0"/>
        <w:spacing w:line="264" w:lineRule="auto"/>
        <w:ind w:left="709" w:firstLine="0"/>
        <w:jc w:val="center"/>
        <w:rPr>
          <w:rFonts w:ascii="Arial" w:eastAsia="Times New Roman" w:hAnsi="Arial" w:cs="Arial"/>
          <w:b/>
          <w:bCs/>
          <w:i/>
          <w:iCs/>
          <w:szCs w:val="28"/>
          <w:lang w:val="uk-UA" w:eastAsia="uk-UA"/>
        </w:rPr>
      </w:pPr>
      <w:r w:rsidRPr="00511005">
        <w:rPr>
          <w:rFonts w:ascii="Arial" w:eastAsia="Times New Roman" w:hAnsi="Arial" w:cs="Arial"/>
          <w:b/>
          <w:bCs/>
          <w:i/>
          <w:iCs/>
          <w:szCs w:val="28"/>
          <w:lang w:val="uk-UA" w:eastAsia="uk-UA"/>
        </w:rPr>
        <w:t>Донець Софія Андріївна</w:t>
      </w:r>
    </w:p>
    <w:p w14:paraId="61F14620" w14:textId="7FBA6B6B" w:rsidR="00DF77B5" w:rsidRPr="00511005" w:rsidRDefault="00DF77B5" w:rsidP="002607EE">
      <w:pPr>
        <w:widowControl w:val="0"/>
        <w:autoSpaceDE w:val="0"/>
        <w:autoSpaceDN w:val="0"/>
        <w:spacing w:line="264" w:lineRule="auto"/>
        <w:ind w:left="709"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1-го курсу факультету прокуратури </w:t>
      </w:r>
      <w:r w:rsidR="00D855E2" w:rsidRPr="00511005">
        <w:rPr>
          <w:rFonts w:ascii="Arial" w:eastAsia="Times New Roman" w:hAnsi="Arial" w:cs="Arial"/>
          <w:szCs w:val="28"/>
          <w:lang w:val="uk-UA" w:eastAsia="uk-UA"/>
        </w:rPr>
        <w:t>та</w:t>
      </w:r>
      <w:r w:rsidRPr="00511005">
        <w:rPr>
          <w:rFonts w:ascii="Arial" w:eastAsia="Times New Roman" w:hAnsi="Arial" w:cs="Arial"/>
          <w:szCs w:val="28"/>
          <w:lang w:val="uk-UA" w:eastAsia="uk-UA"/>
        </w:rPr>
        <w:t xml:space="preserve"> слідства</w:t>
      </w:r>
      <w:r w:rsidR="00D855E2" w:rsidRPr="00511005">
        <w:rPr>
          <w:rFonts w:ascii="Arial" w:eastAsia="Times New Roman" w:hAnsi="Arial" w:cs="Arial"/>
          <w:szCs w:val="28"/>
          <w:lang w:val="uk-UA" w:eastAsia="uk-UA"/>
        </w:rPr>
        <w:t xml:space="preserve"> (кримінальна юстиція)</w:t>
      </w:r>
    </w:p>
    <w:p w14:paraId="001C151E" w14:textId="68DEF0FB" w:rsidR="00DF77B5" w:rsidRPr="00511005" w:rsidRDefault="00BE3972" w:rsidP="002607EE">
      <w:pPr>
        <w:widowControl w:val="0"/>
        <w:autoSpaceDE w:val="0"/>
        <w:autoSpaceDN w:val="0"/>
        <w:spacing w:line="264" w:lineRule="auto"/>
        <w:ind w:left="709"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5062CB0E" w14:textId="77777777" w:rsidR="00DF77B5" w:rsidRPr="00511005" w:rsidRDefault="00DF77B5" w:rsidP="002607EE">
      <w:pPr>
        <w:widowControl w:val="0"/>
        <w:autoSpaceDE w:val="0"/>
        <w:autoSpaceDN w:val="0"/>
        <w:spacing w:line="264" w:lineRule="auto"/>
        <w:ind w:left="709" w:firstLine="0"/>
        <w:jc w:val="center"/>
        <w:rPr>
          <w:rFonts w:ascii="Arial" w:eastAsia="Times New Roman" w:hAnsi="Arial" w:cs="Arial"/>
          <w:szCs w:val="28"/>
          <w:lang w:val="uk-UA" w:eastAsia="uk-UA"/>
        </w:rPr>
      </w:pPr>
    </w:p>
    <w:p w14:paraId="7914C9E6" w14:textId="77777777" w:rsidR="00DF77B5" w:rsidRPr="00511005" w:rsidRDefault="00DF77B5" w:rsidP="002607EE">
      <w:pPr>
        <w:widowControl w:val="0"/>
        <w:autoSpaceDE w:val="0"/>
        <w:autoSpaceDN w:val="0"/>
        <w:spacing w:line="264" w:lineRule="auto"/>
        <w:ind w:left="709"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ПРІОРИТЕТИ ЄВРОІНТЕГРАЦІЙНИХ ДІЙ УКРАЇНИ В УМОВАХ ЗАГАРБНИЦЬКОЇ ВІЙНИ РФ ТА НЕОБХІДНОСТІ ПОВОЄННОГО ВІДРОДЖЕННЯ</w:t>
      </w:r>
    </w:p>
    <w:p w14:paraId="2D9287C6"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Україна, опинившись в епіцентрі повномасштабної загарбницької війни РФ, продовжує складний, але вкрай необхідний шлях європейської інтеграції. У цьому процесі тісно переплелися національні інтереси, прагнення безпеки, потреба в модернізації державного управління, соціально-економічні трансформації та утвердження демократичних цінностей, притаманних європейській спільноті. Війна стала не лише збройною агресією, а й цілеспрямованою спробою знищити українську державність, ідентичність і суб’єктність. Тому для України європейська інтеграція не лише політичний курс, а питання виживання. У цьому контексті пріоритети євроінтеграційних дій України набули нового змісту та визначають і стратегію повоєнного відродження.</w:t>
      </w:r>
    </w:p>
    <w:p w14:paraId="696F7D49"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Першочерговим пріоритетом залишається адаптація національного законодавства до норм права Європейського Союзу. Україна продовжує виконувати взяті на себе зобов’язання, визначені Угодою про асоціацію. Завершено скринінг першого переговорного кластеру «Фундаментальні принципи», а також активізовано роботу в інших напрямках [2]. Цей процес має важливе значення для подальших кроків на шляху до членства, забезпечуючи інтеграцію у спільний ринок, систему правосуддя та інституційні механізми ЄС.</w:t>
      </w:r>
    </w:p>
    <w:p w14:paraId="752648DC"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Однією з ключових вимог Європейського Союзу до країн-кандидатів є </w:t>
      </w:r>
      <w:r w:rsidRPr="00511005">
        <w:rPr>
          <w:rFonts w:ascii="Arial" w:eastAsia="Times New Roman" w:hAnsi="Arial" w:cs="Arial"/>
          <w:szCs w:val="28"/>
          <w:lang w:val="uk-UA" w:eastAsia="uk-UA"/>
        </w:rPr>
        <w:lastRenderedPageBreak/>
        <w:t>забезпечення верховенства права. В умовах війни це питання стає ще більш актуальним, оскільки забезпечення справедливості, захист прав людини, розслідування воєнних злочинів, забезпечення доступу до правосуддя для внутрішньо переміщених осіб і постраждалих — це виклики, що потребують чіткої відповіді держави. Саме тому судова реформа, посилення антикорупційної інфраструктури та незалежність правових інституцій є стратегічними цілями [1].</w:t>
      </w:r>
    </w:p>
    <w:p w14:paraId="58C61CFA"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Надважливим виміром євроінтеграції є безпековий аспект. Сучасна гібридна війна засвідчила, що безпека держави — не лише питання армії, а й енергетичної незалежності, кіберзахисту, інформаційної стійкості, захисту критичної інфраструктури. У цьому контексті надзвичайно важливою є інтеграція України до Європейського енергетичного співтовариства. З'єднання української енергосистеми з ENTSO-E зміцнило енергетичну автономію країни, відкрило нові можливості для розвитку відновлюваної енергетики, декарбонізації, залучення інвестицій [4].</w:t>
      </w:r>
    </w:p>
    <w:p w14:paraId="435282CE"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Ще одним фундаментальним напрямом євроінтеграційної діяльності України є сфера освіти, науки й інновацій. Поглиблена участь у програмах ЄС як Erasmus+, Horizon Europe, Creative Europe дає змогу українським науковцям і студентам інтегруватися в загальноєвропейський академічний простір, сприяє модернізації національної системи освіти, підтримці досліджень, інновацій та формуванню нового покоління спеціалістів, здатних реалізувати проект повоєнного відновлення на якісно новому рівні [3].</w:t>
      </w:r>
    </w:p>
    <w:p w14:paraId="4F70E676"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Особливу роль у процесі євроінтеграції відіграє громадянське суспільство, що зберігає активність у кризових умовах, бере участь у формуванні політики, контролює владу. Участь інститутів громадянського суспільства у виконанні Плану дій щодо членства в ЄС підвищує його ефективність, забезпечує суспільний контроль та прозорість, гарантує незворотність змін [1; 4]. </w:t>
      </w:r>
    </w:p>
    <w:p w14:paraId="39461D9A"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державі активно формується стратегія повоєнного відновлення, тісно пов’язана з євроінтеграцією і орієнтована на європейські стандарти.</w:t>
      </w:r>
    </w:p>
    <w:p w14:paraId="51EA6387"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Адже відновлення України повинно ґрунтуватися на принципах сталого розвитку, цифрової трансформації, енергоефективності та рівності можливостей [5]. Метою відбудови має бути створення ефективної, орієнтованої на добробут громадян і стабільність держави.</w:t>
      </w:r>
    </w:p>
    <w:p w14:paraId="27F90FEE"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Центральним завданням у цьому напрямку є формування ефективної системи залучення та використання міжнародної допомоги: фінансів, технологій, інноваційних управлінських рішень, впровадження прозорих процедур контролю. Це, на думку експертів, дозволить забезпечити довіру до процесу відновлення, сформує конкурентноспроможну інноваційну економіку, знизить ризики корупції [5].</w:t>
      </w:r>
    </w:p>
    <w:p w14:paraId="18E4E7CB" w14:textId="77777777"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Важливою умовою євроінтеграції є збереження національної </w:t>
      </w:r>
      <w:r w:rsidRPr="00511005">
        <w:rPr>
          <w:rFonts w:ascii="Arial" w:eastAsia="Times New Roman" w:hAnsi="Arial" w:cs="Arial"/>
          <w:szCs w:val="28"/>
          <w:lang w:val="uk-UA" w:eastAsia="uk-UA"/>
        </w:rPr>
        <w:lastRenderedPageBreak/>
        <w:t xml:space="preserve">ідентичності та культурного простору. Війна загострила потребу в утвердженні української мови, культури, історичної пам’яті. В гуманітарній політиці це має гармонійно поєднуватися з європейською політикою культурного розмаїття. Таким чином, пріоритети євроінтеграції України в умовах війни — це не лише питання політичного вибору, а й відповіді на екзистенційні виклики. </w:t>
      </w:r>
    </w:p>
    <w:p w14:paraId="209D116B" w14:textId="2DB7E574" w:rsidR="00DF77B5" w:rsidRPr="00511005" w:rsidRDefault="00DF77B5" w:rsidP="002607E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шлях євроінтеграції України охоплює реформу правової системи, гарантії безпеки, інституційну модернізацію, екологічну й цифрову трансформацію, соціальну інклюзивність, прозорість стратегії і тактики відновлення зруйнованого, реформування системи публічного управління, політичної культури та способу життя громадян, орієнтованого на спільні європейські демократичні цінності.</w:t>
      </w:r>
    </w:p>
    <w:p w14:paraId="02EA571B" w14:textId="77777777" w:rsidR="00D855E2" w:rsidRPr="00511005" w:rsidRDefault="00D855E2" w:rsidP="002607EE">
      <w:pPr>
        <w:widowControl w:val="0"/>
        <w:autoSpaceDE w:val="0"/>
        <w:autoSpaceDN w:val="0"/>
        <w:spacing w:line="264" w:lineRule="auto"/>
        <w:rPr>
          <w:rFonts w:ascii="Arial" w:eastAsia="Times New Roman" w:hAnsi="Arial" w:cs="Arial"/>
          <w:szCs w:val="28"/>
          <w:lang w:val="uk-UA" w:eastAsia="uk-UA"/>
        </w:rPr>
      </w:pPr>
    </w:p>
    <w:p w14:paraId="44B1F1F7" w14:textId="30C9BB5C" w:rsidR="00DF77B5" w:rsidRPr="00511005" w:rsidRDefault="007B2628" w:rsidP="007B2628">
      <w:pPr>
        <w:widowControl w:val="0"/>
        <w:autoSpaceDE w:val="0"/>
        <w:autoSpaceDN w:val="0"/>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7ED40A2D" w14:textId="0E144409"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1. Центр Разумкова. (2022). Україна – ЄС: євроінтеграційний поступ в умовах війни. </w:t>
      </w:r>
      <w:hyperlink r:id="rId2542" w:history="1">
        <w:r w:rsidRPr="00511005">
          <w:rPr>
            <w:rFonts w:ascii="Arial" w:eastAsia="Times New Roman" w:hAnsi="Arial" w:cs="Arial"/>
            <w:szCs w:val="28"/>
            <w:lang w:val="uk-UA" w:eastAsia="uk-UA"/>
          </w:rPr>
          <w:t>https://razumkov.org.ua/images/2022/12/28/2022-MATRA-IV-KVARTAL-7.pdf</w:t>
        </w:r>
      </w:hyperlink>
    </w:p>
    <w:p w14:paraId="74575EDD" w14:textId="3A82C6F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Урядовий портал. (2024). Євроінтеграція в умовах війни: обговорення досягнень та викликів. </w:t>
      </w:r>
      <w:hyperlink r:id="rId2543" w:history="1">
        <w:r w:rsidRPr="00511005">
          <w:rPr>
            <w:rFonts w:ascii="Arial" w:eastAsia="Times New Roman" w:hAnsi="Arial" w:cs="Arial"/>
            <w:szCs w:val="28"/>
            <w:lang w:val="uk-UA" w:eastAsia="uk-UA"/>
          </w:rPr>
          <w:t>https://eu-ua.kmu.gov.ua/news/yevrointegratsiya-v-umovah-vijny-obgovorennya-dosyagnen-ta-vyklykiv/</w:t>
        </w:r>
      </w:hyperlink>
    </w:p>
    <w:p w14:paraId="56DF4682"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3. Журнал "Міжнародні відносини і туризм". Євроінтеграційний поступ України в контексті освітніх і наукових стратегій. </w:t>
      </w:r>
      <w:hyperlink r:id="rId2544" w:history="1">
        <w:r w:rsidRPr="00511005">
          <w:rPr>
            <w:rFonts w:ascii="Arial" w:eastAsia="Times New Roman" w:hAnsi="Arial" w:cs="Arial"/>
            <w:szCs w:val="28"/>
            <w:lang w:val="uk-UA" w:eastAsia="uk-UA"/>
          </w:rPr>
          <w:t>https://relint.vnu.edu.ua/index.php/relint/article/view/319/294</w:t>
        </w:r>
      </w:hyperlink>
    </w:p>
    <w:p w14:paraId="0C6786D0" w14:textId="25971E29"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4. АПРЕІ. (2023). Матеріали міжнародної конференції АПРЕІ у Рівненському державному гуманітарному університеті. </w:t>
      </w:r>
      <w:hyperlink r:id="rId2545" w:history="1">
        <w:r w:rsidRPr="00511005">
          <w:rPr>
            <w:rFonts w:ascii="Arial" w:eastAsia="Times New Roman" w:hAnsi="Arial" w:cs="Arial"/>
            <w:szCs w:val="28"/>
            <w:lang w:val="uk-UA" w:eastAsia="uk-UA"/>
          </w:rPr>
          <w:t>https://aprei.com.ua/wp-content/uploads/2023/12/Materialy-mizharodnoyi-konferencziyi_APREI_Rivnenskyj-derzhavnyj-gumanitarnyj-universyte_09.11.23.pdf</w:t>
        </w:r>
      </w:hyperlink>
    </w:p>
    <w:p w14:paraId="20D8DB1F" w14:textId="35DE7A1D"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5. НІСД. (2023). Експертна дискусія: Стратегія повоєнного відновлення України. </w:t>
      </w:r>
      <w:hyperlink r:id="rId2546" w:history="1">
        <w:r w:rsidRPr="00511005">
          <w:rPr>
            <w:rFonts w:ascii="Arial" w:eastAsia="Times New Roman" w:hAnsi="Arial" w:cs="Arial"/>
            <w:szCs w:val="28"/>
            <w:lang w:val="uk-UA" w:eastAsia="uk-UA"/>
          </w:rPr>
          <w:t>https://niss.gov.ua/news/novyny-nisd/ekspertna-dyskusiya-stratehiya-povoyennoho-vidnovlennya-ukrayiny</w:t>
        </w:r>
      </w:hyperlink>
    </w:p>
    <w:p w14:paraId="204DA4E1" w14:textId="77777777" w:rsidR="00D855E2" w:rsidRPr="00511005" w:rsidRDefault="00D855E2" w:rsidP="001165EC">
      <w:pPr>
        <w:widowControl w:val="0"/>
        <w:autoSpaceDE w:val="0"/>
        <w:autoSpaceDN w:val="0"/>
        <w:spacing w:line="264" w:lineRule="auto"/>
        <w:ind w:firstLine="0"/>
        <w:jc w:val="left"/>
        <w:rPr>
          <w:rFonts w:ascii="Arial" w:eastAsia="Times New Roman" w:hAnsi="Arial" w:cs="Arial"/>
          <w:b/>
          <w:bCs/>
          <w:i/>
          <w:iCs/>
          <w:szCs w:val="28"/>
          <w:lang w:val="uk-UA" w:eastAsia="uk-UA"/>
        </w:rPr>
      </w:pPr>
    </w:p>
    <w:p w14:paraId="3A5AE5F1" w14:textId="731C509E" w:rsidR="00DF77B5" w:rsidRPr="00511005" w:rsidRDefault="007B2628" w:rsidP="001165EC">
      <w:pPr>
        <w:widowControl w:val="0"/>
        <w:autoSpaceDE w:val="0"/>
        <w:autoSpaceDN w:val="0"/>
        <w:spacing w:line="264" w:lineRule="auto"/>
        <w:ind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Ключові слова: </w:t>
      </w:r>
      <w:r w:rsidR="00DF77B5" w:rsidRPr="00511005">
        <w:rPr>
          <w:rFonts w:ascii="Arial" w:eastAsia="Times New Roman" w:hAnsi="Arial" w:cs="Arial"/>
          <w:i/>
          <w:iCs/>
          <w:szCs w:val="28"/>
          <w:lang w:val="uk-UA" w:eastAsia="uk-UA"/>
        </w:rPr>
        <w:t>Євроінтеграція, повоєнне відновлення, війна РФ проти України, реформи, безпека, цінності ЄС, громадянське суспільство.</w:t>
      </w:r>
    </w:p>
    <w:p w14:paraId="4C34126F" w14:textId="31809208" w:rsidR="00DF77B5" w:rsidRPr="00511005" w:rsidRDefault="007B2628" w:rsidP="001165EC">
      <w:pPr>
        <w:widowControl w:val="0"/>
        <w:autoSpaceDE w:val="0"/>
        <w:autoSpaceDN w:val="0"/>
        <w:spacing w:line="264" w:lineRule="auto"/>
        <w:ind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Key words: </w:t>
      </w:r>
      <w:r w:rsidR="00DF77B5" w:rsidRPr="00511005">
        <w:rPr>
          <w:rFonts w:ascii="Arial" w:eastAsia="Times New Roman" w:hAnsi="Arial" w:cs="Arial"/>
          <w:i/>
          <w:iCs/>
          <w:szCs w:val="28"/>
          <w:lang w:val="uk-UA" w:eastAsia="uk-UA"/>
        </w:rPr>
        <w:t>European integration, post-war recovery, Russia's war against Ukraine, reforms, security, EU values, civil society.</w:t>
      </w:r>
    </w:p>
    <w:p w14:paraId="04B41BE5" w14:textId="2D36991F" w:rsidR="00DF77B5" w:rsidRPr="00511005" w:rsidRDefault="007B2628" w:rsidP="001165EC">
      <w:pPr>
        <w:widowControl w:val="0"/>
        <w:autoSpaceDE w:val="0"/>
        <w:autoSpaceDN w:val="0"/>
        <w:spacing w:line="264" w:lineRule="auto"/>
        <w:ind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д. і. н., професор</w:t>
      </w:r>
      <w:r w:rsidR="006A743E" w:rsidRPr="00511005">
        <w:rPr>
          <w:rFonts w:ascii="Arial" w:eastAsia="Times New Roman" w:hAnsi="Arial" w:cs="Arial"/>
          <w:i/>
          <w:iCs/>
          <w:szCs w:val="28"/>
          <w:lang w:val="uk-UA" w:eastAsia="uk-UA"/>
        </w:rPr>
        <w:t xml:space="preserve"> </w:t>
      </w:r>
      <w:r w:rsidR="00DF77B5" w:rsidRPr="00511005">
        <w:rPr>
          <w:rFonts w:ascii="Arial" w:eastAsia="Times New Roman" w:hAnsi="Arial" w:cs="Arial"/>
          <w:i/>
          <w:iCs/>
          <w:szCs w:val="28"/>
          <w:lang w:val="uk-UA" w:eastAsia="uk-UA"/>
        </w:rPr>
        <w:t>Кормич Л. І.</w:t>
      </w:r>
    </w:p>
    <w:p w14:paraId="0C9EE56E" w14:textId="77777777" w:rsidR="00DF77B5" w:rsidRPr="00511005" w:rsidRDefault="00DF77B5" w:rsidP="003A292D">
      <w:pPr>
        <w:widowControl w:val="0"/>
        <w:autoSpaceDE w:val="0"/>
        <w:autoSpaceDN w:val="0"/>
        <w:spacing w:line="264" w:lineRule="auto"/>
        <w:ind w:firstLine="720"/>
        <w:jc w:val="center"/>
        <w:rPr>
          <w:rFonts w:ascii="Arial" w:eastAsia="Times New Roman" w:hAnsi="Arial" w:cs="Arial"/>
          <w:b/>
          <w:i/>
          <w:szCs w:val="28"/>
          <w:lang w:val="uk-UA"/>
        </w:rPr>
      </w:pPr>
    </w:p>
    <w:p w14:paraId="6C6D152A" w14:textId="229CFB4D" w:rsidR="00D855E2" w:rsidRPr="00511005" w:rsidRDefault="00D855E2" w:rsidP="003A292D">
      <w:pPr>
        <w:widowControl w:val="0"/>
        <w:autoSpaceDE w:val="0"/>
        <w:autoSpaceDN w:val="0"/>
        <w:spacing w:line="264" w:lineRule="auto"/>
        <w:ind w:firstLine="0"/>
        <w:jc w:val="center"/>
        <w:rPr>
          <w:rFonts w:ascii="Arial" w:eastAsia="Times New Roman" w:hAnsi="Arial" w:cs="Arial"/>
          <w:b/>
          <w:bCs/>
          <w:szCs w:val="28"/>
          <w:lang w:val="uk-UA"/>
        </w:rPr>
      </w:pPr>
    </w:p>
    <w:p w14:paraId="7B6185EC" w14:textId="77777777" w:rsidR="006A743E" w:rsidRPr="00511005" w:rsidRDefault="006A743E" w:rsidP="003A292D">
      <w:pPr>
        <w:widowControl w:val="0"/>
        <w:autoSpaceDE w:val="0"/>
        <w:autoSpaceDN w:val="0"/>
        <w:spacing w:line="264" w:lineRule="auto"/>
        <w:ind w:firstLine="0"/>
        <w:jc w:val="center"/>
        <w:rPr>
          <w:rFonts w:ascii="Arial" w:eastAsia="Times New Roman" w:hAnsi="Arial" w:cs="Arial"/>
          <w:b/>
          <w:bCs/>
          <w:szCs w:val="28"/>
          <w:lang w:val="uk-UA"/>
        </w:rPr>
      </w:pPr>
    </w:p>
    <w:p w14:paraId="46D45A25" w14:textId="5DBB104C" w:rsidR="00DF77B5" w:rsidRPr="00511005" w:rsidRDefault="00DF77B5" w:rsidP="003A292D">
      <w:pPr>
        <w:widowControl w:val="0"/>
        <w:autoSpaceDE w:val="0"/>
        <w:autoSpaceDN w:val="0"/>
        <w:spacing w:line="264" w:lineRule="auto"/>
        <w:ind w:firstLine="0"/>
        <w:jc w:val="center"/>
        <w:rPr>
          <w:rFonts w:ascii="Arial" w:eastAsia="Times New Roman" w:hAnsi="Arial" w:cs="Arial"/>
          <w:b/>
          <w:bCs/>
          <w:szCs w:val="28"/>
          <w:lang w:val="uk-UA"/>
        </w:rPr>
      </w:pPr>
      <w:r w:rsidRPr="00511005">
        <w:rPr>
          <w:rFonts w:ascii="Arial" w:eastAsia="Times New Roman" w:hAnsi="Arial" w:cs="Arial"/>
          <w:b/>
          <w:bCs/>
          <w:szCs w:val="28"/>
          <w:lang w:val="uk-UA"/>
        </w:rPr>
        <w:t>Завгородній Олег Олексійович</w:t>
      </w:r>
    </w:p>
    <w:p w14:paraId="5B930539" w14:textId="4FCD181C" w:rsidR="00DF77B5" w:rsidRPr="00511005" w:rsidRDefault="00DF77B5" w:rsidP="003A292D">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lastRenderedPageBreak/>
        <w:t>студент 4-го курсу факультету психології, політології</w:t>
      </w:r>
      <w:r w:rsidR="00D855E2" w:rsidRPr="00511005">
        <w:rPr>
          <w:rFonts w:ascii="Arial" w:eastAsia="Times New Roman" w:hAnsi="Arial" w:cs="Arial"/>
          <w:szCs w:val="28"/>
          <w:lang w:val="uk-UA"/>
        </w:rPr>
        <w:t xml:space="preserve"> та</w:t>
      </w:r>
      <w:r w:rsidRPr="00511005">
        <w:rPr>
          <w:rFonts w:ascii="Arial" w:eastAsia="Times New Roman" w:hAnsi="Arial" w:cs="Arial"/>
          <w:szCs w:val="28"/>
          <w:lang w:val="uk-UA"/>
        </w:rPr>
        <w:t xml:space="preserve"> соціології</w:t>
      </w:r>
    </w:p>
    <w:p w14:paraId="323C35FF" w14:textId="223B6A55" w:rsidR="00DF77B5" w:rsidRPr="00511005" w:rsidRDefault="007B2628" w:rsidP="003A292D">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4AF04CC1" w14:textId="77777777" w:rsidR="00DF77B5" w:rsidRPr="00511005" w:rsidRDefault="00DF77B5" w:rsidP="003A292D">
      <w:pPr>
        <w:widowControl w:val="0"/>
        <w:autoSpaceDE w:val="0"/>
        <w:autoSpaceDN w:val="0"/>
        <w:spacing w:line="264" w:lineRule="auto"/>
        <w:ind w:firstLine="0"/>
        <w:jc w:val="left"/>
        <w:rPr>
          <w:rFonts w:ascii="Arial" w:eastAsia="Times New Roman" w:hAnsi="Arial" w:cs="Arial"/>
          <w:b/>
          <w:bCs/>
          <w:szCs w:val="28"/>
          <w:lang w:val="uk-UA"/>
        </w:rPr>
      </w:pPr>
    </w:p>
    <w:p w14:paraId="7FBD6F23" w14:textId="77777777" w:rsidR="00DF77B5" w:rsidRPr="00511005" w:rsidRDefault="00DF77B5" w:rsidP="003A292D">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b/>
          <w:bCs/>
          <w:szCs w:val="28"/>
          <w:lang w:val="uk-UA"/>
        </w:rPr>
        <w:t>МІЖНАРОДНА СПІВПРАЦЯ У ПРОТИДІЇ КІБЕРЗАГРОЗАМ: СУЧАСНИЙ КОНЦЕПТ</w:t>
      </w:r>
    </w:p>
    <w:p w14:paraId="1C4C665C"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У сучасному світі кіберзлочинність, кібершпигунство та кібератаки на критичну інфраструктуру стали інструментами гібридної війни, що використовуються як державними, так і недержавними акторами. Особливої гостроти ця проблема набула в контексті повномасштабного вторгнення Російської Федерації в Україну 24 лютого 2022 року, коли кіберпростір перетворився на арену бойових дій, спрямованих на дестабілізацію державних інституцій, порушення комунікацій та підрив довіри до урядових структур. У відповідь на ці виклики міжнародне співтовариство активізувало зусилля щодо координації дій у сфері кібербезпеки, що вимагає наукового аналізу існуючих механізмів співпраці, виявлення їхніх недоліків та визначення перспектив подальшого розвитку.</w:t>
      </w:r>
    </w:p>
    <w:p w14:paraId="39FFA8CB"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Кіберзагрози — це протиправні, кримінально карані дії учасників інформаційних правовідносин, які становлять небезпеку для життєво важливих інтересів особи, суспільства та держави, реалізація яких залежить від належного функціонування інформаційних, телекомунікаційних та інформаційно-телекомунікаційних систем, а також від процесів створення, збору, зберігання, отримання, використання, поширення, охорони та захисту інформації [1, с.65].</w:t>
      </w:r>
    </w:p>
    <w:p w14:paraId="1FFB57A1" w14:textId="77777777" w:rsidR="00DF77B5" w:rsidRPr="00511005" w:rsidRDefault="00DF77B5" w:rsidP="003A292D">
      <w:pPr>
        <w:widowControl w:val="0"/>
        <w:autoSpaceDE w:val="0"/>
        <w:autoSpaceDN w:val="0"/>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Ключовим змістом кіберзагроз є їх суб’єкти — особи або організації, що беруть участь в інформаційних правовідносинах. Об’єктом же таких загроз виступає інформація. Особливо небезпечними є інформаційні інтервенції, які порушують цілісність кібернетичної безпеки. Кіберзагрози можуть походити як зсередини держави, так і ззовні. Для створення ефективного механізму протидії таким загрозам Україні доцільно вивчити і врахувати досвід інших країн та міжнародних організацій, адаптуючи його до національного правового поля.</w:t>
      </w:r>
    </w:p>
    <w:p w14:paraId="085D73D7"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Кіберзагрози постають як один із найсуттєвіших викликів сучасного етапу розвитку міжнародної безпеки, що зумовлює необхідність формування комплексної, скоординованої політики кіберзахисту на національному та міждержавному рівнях. Аналіз існуючих підходів до визначення поняття «кіберзагроза» демонструє як наявність термінологічної невизначеності, так і потребу в адаптації міжнародного досвіду до національних особливостей безпекового середовища.</w:t>
      </w:r>
    </w:p>
    <w:p w14:paraId="0431A300" w14:textId="77777777" w:rsidR="00DF77B5" w:rsidRPr="00511005" w:rsidRDefault="00DF77B5" w:rsidP="003A292D">
      <w:pPr>
        <w:widowControl w:val="0"/>
        <w:autoSpaceDE w:val="0"/>
        <w:autoSpaceDN w:val="0"/>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 xml:space="preserve">Звичайно, міжнародне співробітництво в кіберпросторі є складним і багатогранним процесом, який вимагає врахування правових, інституційних, геополітичних, технічних та соціальних аспектів. Кожен з розглянутих підходів має свої переваги та обмеження, і ефективна стратегія повинна </w:t>
      </w:r>
      <w:r w:rsidRPr="00511005">
        <w:rPr>
          <w:rFonts w:ascii="Arial" w:eastAsia="Times New Roman" w:hAnsi="Arial" w:cs="Arial"/>
          <w:szCs w:val="28"/>
          <w:lang w:val="uk-UA"/>
        </w:rPr>
        <w:lastRenderedPageBreak/>
        <w:t>поєднувати їх для досягнення спільної мети – забезпечення безпеки та стабільності в кіберпросторі.</w:t>
      </w:r>
    </w:p>
    <w:p w14:paraId="7F46EAB2"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Україна, як держава, що активно інтегрується у світове кіберпростір, повинна враховувати ці підходи при формуванні національної стратегії кібербезпеки. Зокрема, важливо зміцнювати правову базу, розвивати інституційні механізми співпраці, враховувати геополітичні реалії, впроваджувати технічні стандарти та залучати різноманітних стейкхолдерів до процесу прийняття рішень. Лише комплексний та скоординований підхід дозволить ефективно протидіяти кіберзагрозам та забезпечити безпечне та стабільне функціонування кіберпростору як на національному, так і на міжнародному рівнях[1, С.66].</w:t>
      </w:r>
    </w:p>
    <w:p w14:paraId="5EA6BB9A" w14:textId="77777777" w:rsidR="00DF77B5" w:rsidRPr="00511005" w:rsidRDefault="00DF77B5" w:rsidP="003A292D">
      <w:pPr>
        <w:widowControl w:val="0"/>
        <w:autoSpaceDE w:val="0"/>
        <w:autoSpaceDN w:val="0"/>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Досвід України, яка зазнала численних та масштабних кібератак, став важливим джерелом знань у протидії цифровим загрозам. Ці знання стали цінними для інших країн, що також стикаються з подібними викликами. Українські фахівці активно обмінюються інформацією та напрацюваннями з міжнародною спільнотою, сприяючи колективній безпеці в кіберпросторі. Крім того, Україна бере участь у міжнародних програмах і ініціативах, спрямованих на розвиток спільних механізмів захисту в цифровій сфері. Вона співпрацює з такими впливовими організаціями, як ОБСЄ, Європейський Союз та НАТО, спільно розробляючи ефективні стратегії протидії кіберзагрозам[2].</w:t>
      </w:r>
    </w:p>
    <w:p w14:paraId="3D77F669" w14:textId="77777777"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Також, Україна активно розвиває взаємодію з міжнародними партнерами з метою підвищення довіри в цифровому середовищі. Така співпраця охоплює обмін досвідом, розробку єдиних стандартів безпеки та зміцнення стійкості глобальної мережі до кіберінцидентів. Завдяки накопиченому досвіду, відкритості до співпраці та активній участі в міжнародних проектах, Україна продовжує робити вагомий внесок у формування безпечного кіберпростору для всього світу.</w:t>
      </w:r>
    </w:p>
    <w:p w14:paraId="3E34F076" w14:textId="77777777" w:rsidR="00DF77B5" w:rsidRPr="00511005" w:rsidRDefault="00DF77B5" w:rsidP="003A292D">
      <w:pPr>
        <w:widowControl w:val="0"/>
        <w:autoSpaceDE w:val="0"/>
        <w:autoSpaceDN w:val="0"/>
        <w:spacing w:line="264" w:lineRule="auto"/>
        <w:ind w:firstLine="0"/>
        <w:rPr>
          <w:rFonts w:ascii="Arial" w:eastAsia="Times New Roman" w:hAnsi="Arial" w:cs="Arial"/>
          <w:szCs w:val="28"/>
          <w:lang w:val="uk-UA"/>
        </w:rPr>
      </w:pPr>
      <w:r w:rsidRPr="00511005">
        <w:rPr>
          <w:rFonts w:ascii="Arial" w:eastAsia="Times New Roman" w:hAnsi="Arial" w:cs="Arial"/>
          <w:szCs w:val="28"/>
          <w:lang w:val="uk-UA"/>
        </w:rPr>
        <w:t>Основними проблемними аспектами щодо реагування на політичні конфлікти в кіберпросторі можна визначити: плюралізм недостовірної інформації, яка створює дистабіліцію та фіктивне трактування політичних поглядів; низький рівень нормативного забезпечення та реалізації захисту в кіберпросторі; низький рівень глобальної координації на проблемі кіберзахисту як політичної волі; низький рівень політичної та культурної свідомості щодо використання кіберпростору для реалізації політичної діяльності; низький рівень політологічної освіти у суспільства та працівників органів управління; необхідність обговорення питання кіберзахисту на міжнародних формах миру, які приурочені військовій агресії росії по відношенню до України, консолідації суб’єктів кіберзахисту та кібербезпеки в державі та світі[3].</w:t>
      </w:r>
    </w:p>
    <w:p w14:paraId="0FF9C24D" w14:textId="4B48035F" w:rsidR="00DF77B5" w:rsidRPr="00511005" w:rsidRDefault="00DF77B5" w:rsidP="003A292D">
      <w:pPr>
        <w:widowControl w:val="0"/>
        <w:autoSpaceDE w:val="0"/>
        <w:autoSpaceDN w:val="0"/>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Тому, основною метою якісної цифровізованої політичної діяльності є кібернетичний захист, який формується через нормативно регламентовані </w:t>
      </w:r>
      <w:r w:rsidRPr="00511005">
        <w:rPr>
          <w:rFonts w:ascii="Arial" w:eastAsia="Times New Roman" w:hAnsi="Arial" w:cs="Arial"/>
          <w:szCs w:val="28"/>
          <w:lang w:val="uk-UA"/>
        </w:rPr>
        <w:lastRenderedPageBreak/>
        <w:t>дії у внутрішній політиці держави та зовнішніх політичних процесах. Така швидка система змін по суспільно-політичному просторі потребує реагування на виклики на глобальному рівні.</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Адже, політика на рівні регіону чи окремої держави може мати жорсткі форми обмежень для суспільства в кіберпросторі. Тому ідея створення міжнародної організації по кіберзахисту, впровадження міжнародної доктрини кіберзахисту,</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ратифікації її державами учасницями, відповідальності за кіберзлочити за національним та міжнародним правом, популяризація культури кіберпростору формує сучасні тренди для глобальної системи управління.</w:t>
      </w:r>
    </w:p>
    <w:p w14:paraId="7B9FB8DE" w14:textId="77777777" w:rsidR="00DF77B5" w:rsidRPr="00511005" w:rsidRDefault="00DF77B5" w:rsidP="003A292D">
      <w:pPr>
        <w:widowControl w:val="0"/>
        <w:autoSpaceDE w:val="0"/>
        <w:autoSpaceDN w:val="0"/>
        <w:spacing w:line="264" w:lineRule="auto"/>
        <w:ind w:firstLine="0"/>
        <w:rPr>
          <w:rFonts w:ascii="Arial" w:eastAsia="Times New Roman" w:hAnsi="Arial" w:cs="Arial"/>
          <w:b/>
          <w:bCs/>
          <w:szCs w:val="28"/>
          <w:lang w:val="uk-UA"/>
        </w:rPr>
      </w:pPr>
    </w:p>
    <w:p w14:paraId="398425FE" w14:textId="25E839E0" w:rsidR="00DF77B5" w:rsidRPr="00511005" w:rsidRDefault="007B2628" w:rsidP="007B2628">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b/>
          <w:bCs/>
          <w:szCs w:val="28"/>
          <w:lang w:val="uk-UA"/>
        </w:rPr>
        <w:t>Список використаних джерел</w:t>
      </w:r>
    </w:p>
    <w:p w14:paraId="1DB2592B" w14:textId="77777777" w:rsidR="00DF77B5" w:rsidRPr="00511005" w:rsidRDefault="00DF77B5" w:rsidP="003F6A5D">
      <w:pPr>
        <w:widowControl w:val="0"/>
        <w:numPr>
          <w:ilvl w:val="0"/>
          <w:numId w:val="797"/>
        </w:numPr>
        <w:autoSpaceDE w:val="0"/>
        <w:autoSpaceDN w:val="0"/>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 xml:space="preserve">Завгородня Ю. В. Державна політика в сфері кібербезпеки в умовах повномасштабної війни. </w:t>
      </w:r>
      <w:r w:rsidRPr="00511005">
        <w:rPr>
          <w:rFonts w:ascii="Arial" w:eastAsia="Times New Roman" w:hAnsi="Arial" w:cs="Arial"/>
          <w:i/>
          <w:szCs w:val="28"/>
          <w:lang w:val="uk-UA"/>
        </w:rPr>
        <w:t>Актуальні проблеми політики</w:t>
      </w:r>
      <w:r w:rsidRPr="00511005">
        <w:rPr>
          <w:rFonts w:ascii="Arial" w:eastAsia="Times New Roman" w:hAnsi="Arial" w:cs="Arial"/>
          <w:szCs w:val="28"/>
          <w:lang w:val="uk-UA"/>
        </w:rPr>
        <w:t>. 2024. Вип. 74. С. 62-66.</w:t>
      </w:r>
    </w:p>
    <w:p w14:paraId="5E137C91" w14:textId="2FEFAB8F" w:rsidR="00DF77B5" w:rsidRPr="00511005" w:rsidRDefault="00DF77B5" w:rsidP="003F6A5D">
      <w:pPr>
        <w:widowControl w:val="0"/>
        <w:numPr>
          <w:ilvl w:val="0"/>
          <w:numId w:val="797"/>
        </w:numPr>
        <w:autoSpaceDE w:val="0"/>
        <w:autoSpaceDN w:val="0"/>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 xml:space="preserve">Краснопольська Т. М., Милосердна І. М. Цифрова дипломатія як основа нової публічної дипломатії. </w:t>
      </w:r>
      <w:r w:rsidRPr="00511005">
        <w:rPr>
          <w:rFonts w:ascii="Arial" w:eastAsia="Times New Roman" w:hAnsi="Arial" w:cs="Arial"/>
          <w:i/>
          <w:szCs w:val="28"/>
          <w:lang w:val="uk-UA"/>
        </w:rPr>
        <w:t>Актуальні проблеми політики</w:t>
      </w:r>
      <w:r w:rsidRPr="00511005">
        <w:rPr>
          <w:rFonts w:ascii="Arial" w:eastAsia="Times New Roman" w:hAnsi="Arial" w:cs="Arial"/>
          <w:szCs w:val="28"/>
          <w:lang w:val="uk-UA"/>
        </w:rPr>
        <w:t xml:space="preserve">. 2022. Вип. 69. URL: </w:t>
      </w:r>
      <w:hyperlink r:id="rId2547" w:history="1">
        <w:r w:rsidRPr="00511005">
          <w:rPr>
            <w:rFonts w:ascii="Arial" w:eastAsia="Times New Roman" w:hAnsi="Arial" w:cs="Arial"/>
            <w:szCs w:val="28"/>
            <w:lang w:val="uk-UA"/>
          </w:rPr>
          <w:t>http://app.nuoua.od.ua/archive/69_2022/2.pdf</w:t>
        </w:r>
      </w:hyperlink>
    </w:p>
    <w:p w14:paraId="2C9EBE7D" w14:textId="77777777" w:rsidR="00DF77B5" w:rsidRPr="00511005" w:rsidRDefault="00DF77B5" w:rsidP="003F6A5D">
      <w:pPr>
        <w:widowControl w:val="0"/>
        <w:numPr>
          <w:ilvl w:val="0"/>
          <w:numId w:val="797"/>
        </w:numPr>
        <w:autoSpaceDE w:val="0"/>
        <w:autoSpaceDN w:val="0"/>
        <w:spacing w:line="264" w:lineRule="auto"/>
        <w:jc w:val="left"/>
        <w:rPr>
          <w:rFonts w:ascii="Arial" w:eastAsia="Times New Roman" w:hAnsi="Arial" w:cs="Arial"/>
          <w:szCs w:val="28"/>
          <w:lang w:val="uk-UA"/>
        </w:rPr>
      </w:pPr>
      <w:r w:rsidRPr="00511005">
        <w:rPr>
          <w:rFonts w:ascii="Arial" w:eastAsia="Times New Roman" w:hAnsi="Arial" w:cs="Arial"/>
          <w:szCs w:val="28"/>
          <w:lang w:val="uk-UA"/>
        </w:rPr>
        <w:t xml:space="preserve">Significant Cyber Incidents. </w:t>
      </w:r>
      <w:r w:rsidRPr="00511005">
        <w:rPr>
          <w:rFonts w:ascii="Arial" w:eastAsia="Times New Roman" w:hAnsi="Arial" w:cs="Arial"/>
          <w:i/>
          <w:szCs w:val="28"/>
          <w:lang w:val="uk-UA"/>
        </w:rPr>
        <w:t>Center for Strategic and International Studies</w:t>
      </w:r>
      <w:r w:rsidRPr="00511005">
        <w:rPr>
          <w:rFonts w:ascii="Arial" w:eastAsia="Times New Roman" w:hAnsi="Arial" w:cs="Arial"/>
          <w:szCs w:val="28"/>
          <w:lang w:val="uk-UA"/>
        </w:rPr>
        <w:t xml:space="preserve">. URL: </w:t>
      </w:r>
      <w:hyperlink r:id="rId2548" w:history="1">
        <w:r w:rsidRPr="00511005">
          <w:rPr>
            <w:rFonts w:ascii="Arial" w:eastAsia="Times New Roman" w:hAnsi="Arial" w:cs="Arial"/>
            <w:szCs w:val="28"/>
            <w:lang w:val="uk-UA"/>
          </w:rPr>
          <w:t>https://www.csis.org/programs/strategic-technologies-program/significant-cyber-incidents</w:t>
        </w:r>
      </w:hyperlink>
      <w:r w:rsidRPr="00511005">
        <w:rPr>
          <w:rFonts w:ascii="Arial" w:eastAsia="Times New Roman" w:hAnsi="Arial" w:cs="Arial"/>
          <w:szCs w:val="28"/>
          <w:lang w:val="uk-UA"/>
        </w:rPr>
        <w:t xml:space="preserve"> </w:t>
      </w:r>
    </w:p>
    <w:p w14:paraId="60FE85E5" w14:textId="311A14CB" w:rsidR="00DF77B5" w:rsidRPr="00511005" w:rsidRDefault="007B2628" w:rsidP="001165EC">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DF77B5" w:rsidRPr="00511005">
        <w:rPr>
          <w:rFonts w:ascii="Arial" w:eastAsia="Times New Roman" w:hAnsi="Arial" w:cs="Arial"/>
          <w:szCs w:val="28"/>
          <w:lang w:val="uk-UA" w:eastAsia="uk-UA"/>
        </w:rPr>
        <w:t>кібербезпека, міжнародне співробітництво, кіберзагрози, гібридна війна, цифрова дипломатія, критична інфраструктура, кібероборона України, інформаційна безпека.</w:t>
      </w:r>
    </w:p>
    <w:p w14:paraId="1F637CC8" w14:textId="5CF0F351" w:rsidR="00DF77B5" w:rsidRPr="00511005" w:rsidRDefault="007B2628" w:rsidP="001165EC">
      <w:pPr>
        <w:widowControl w:val="0"/>
        <w:autoSpaceDE w:val="0"/>
        <w:autoSpaceDN w:val="0"/>
        <w:spacing w:line="264" w:lineRule="auto"/>
        <w:ind w:left="709" w:firstLine="0"/>
        <w:jc w:val="left"/>
        <w:rPr>
          <w:rFonts w:ascii="Arial" w:eastAsia="Times New Roman" w:hAnsi="Arial" w:cs="Arial"/>
          <w:b/>
          <w:bCs/>
          <w:szCs w:val="28"/>
          <w:lang w:val="uk-UA" w:eastAsia="uk-UA"/>
        </w:rPr>
      </w:pPr>
      <w:r w:rsidRPr="00511005">
        <w:rPr>
          <w:rFonts w:ascii="Arial" w:eastAsia="Times New Roman" w:hAnsi="Arial" w:cs="Arial"/>
          <w:b/>
          <w:bCs/>
          <w:i/>
          <w:szCs w:val="28"/>
          <w:lang w:val="uk-UA" w:eastAsia="uk-UA"/>
        </w:rPr>
        <w:t xml:space="preserve">Key words: </w:t>
      </w:r>
      <w:r w:rsidR="00DF77B5" w:rsidRPr="00511005">
        <w:rPr>
          <w:rFonts w:ascii="Arial" w:eastAsia="Times New Roman" w:hAnsi="Arial" w:cs="Arial"/>
          <w:bCs/>
          <w:szCs w:val="28"/>
          <w:lang w:val="uk-UA" w:eastAsia="uk-UA"/>
        </w:rPr>
        <w:t>Cybersecurity, international cooperation, cyber threats, hybrid warfare, digital diplomacy, critical infrastructure, Ukraine's cyber defense, information security.</w:t>
      </w:r>
    </w:p>
    <w:p w14:paraId="46B6CF49" w14:textId="3195EBC0" w:rsidR="00DF77B5" w:rsidRPr="00511005" w:rsidRDefault="007B2628" w:rsidP="001165EC">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к.політ.н., доцент Краснопольська Т.М.</w:t>
      </w:r>
    </w:p>
    <w:p w14:paraId="6E3AFA0F" w14:textId="77777777" w:rsidR="00DF77B5" w:rsidRPr="00511005" w:rsidRDefault="00DF77B5" w:rsidP="003A292D">
      <w:pPr>
        <w:widowControl w:val="0"/>
        <w:autoSpaceDE w:val="0"/>
        <w:autoSpaceDN w:val="0"/>
        <w:spacing w:line="264" w:lineRule="auto"/>
        <w:ind w:firstLine="720"/>
        <w:jc w:val="center"/>
        <w:rPr>
          <w:rFonts w:ascii="Arial" w:eastAsia="Times New Roman" w:hAnsi="Arial" w:cs="Arial"/>
          <w:b/>
          <w:i/>
          <w:szCs w:val="28"/>
          <w:lang w:val="uk-UA"/>
        </w:rPr>
      </w:pPr>
    </w:p>
    <w:p w14:paraId="679809C8" w14:textId="77777777" w:rsidR="00DF77B5" w:rsidRPr="00511005" w:rsidRDefault="00DF77B5" w:rsidP="00D855E2">
      <w:pPr>
        <w:widowControl w:val="0"/>
        <w:autoSpaceDE w:val="0"/>
        <w:autoSpaceDN w:val="0"/>
        <w:spacing w:line="264" w:lineRule="auto"/>
        <w:ind w:firstLine="0"/>
        <w:jc w:val="center"/>
        <w:rPr>
          <w:rFonts w:ascii="Arial" w:eastAsia="Times New Roman" w:hAnsi="Arial" w:cs="Arial"/>
          <w:b/>
          <w:bCs/>
          <w:i/>
          <w:iCs/>
          <w:szCs w:val="28"/>
          <w:lang w:val="uk-UA" w:eastAsia="uk-UA"/>
        </w:rPr>
      </w:pPr>
      <w:r w:rsidRPr="00511005">
        <w:rPr>
          <w:rFonts w:ascii="Arial" w:eastAsia="Times New Roman" w:hAnsi="Arial" w:cs="Arial"/>
          <w:b/>
          <w:bCs/>
          <w:i/>
          <w:iCs/>
          <w:szCs w:val="28"/>
          <w:lang w:val="uk-UA" w:eastAsia="uk-UA"/>
        </w:rPr>
        <w:t>Коновальчук Тетяна Андріївна</w:t>
      </w:r>
    </w:p>
    <w:p w14:paraId="4EBC3311" w14:textId="07B5C749" w:rsidR="00DF77B5" w:rsidRPr="00511005" w:rsidRDefault="00DF77B5" w:rsidP="00D855E2">
      <w:pPr>
        <w:widowControl w:val="0"/>
        <w:autoSpaceDE w:val="0"/>
        <w:autoSpaceDN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студентка 5</w:t>
      </w:r>
      <w:r w:rsidR="00D855E2" w:rsidRPr="00511005">
        <w:rPr>
          <w:rFonts w:ascii="Arial" w:eastAsia="Times New Roman" w:hAnsi="Arial" w:cs="Arial"/>
          <w:szCs w:val="28"/>
          <w:lang w:val="uk-UA" w:eastAsia="uk-UA"/>
        </w:rPr>
        <w:t>-го</w:t>
      </w:r>
      <w:r w:rsidRPr="00511005">
        <w:rPr>
          <w:rFonts w:ascii="Arial" w:eastAsia="Times New Roman" w:hAnsi="Arial" w:cs="Arial"/>
          <w:szCs w:val="28"/>
          <w:lang w:val="uk-UA" w:eastAsia="uk-UA"/>
        </w:rPr>
        <w:t xml:space="preserve"> курсу </w:t>
      </w:r>
      <w:r w:rsidR="00536AAB" w:rsidRPr="00511005">
        <w:rPr>
          <w:rFonts w:ascii="Arial" w:eastAsia="Times New Roman" w:hAnsi="Arial" w:cs="Arial"/>
          <w:szCs w:val="28"/>
          <w:lang w:val="uk-UA" w:eastAsia="uk-UA"/>
        </w:rPr>
        <w:t>факультету психології, політології та соціології</w:t>
      </w:r>
    </w:p>
    <w:p w14:paraId="25000538" w14:textId="0DACA110" w:rsidR="00DF77B5" w:rsidRPr="00511005" w:rsidRDefault="007B2628" w:rsidP="00D855E2">
      <w:pPr>
        <w:widowControl w:val="0"/>
        <w:autoSpaceDE w:val="0"/>
        <w:autoSpaceDN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63BCA779" w14:textId="77777777" w:rsidR="001165EC" w:rsidRPr="00511005" w:rsidRDefault="001165EC" w:rsidP="00D855E2">
      <w:pPr>
        <w:widowControl w:val="0"/>
        <w:autoSpaceDE w:val="0"/>
        <w:autoSpaceDN w:val="0"/>
        <w:spacing w:line="264" w:lineRule="auto"/>
        <w:ind w:firstLine="0"/>
        <w:jc w:val="center"/>
        <w:rPr>
          <w:rFonts w:ascii="Arial" w:eastAsia="Times New Roman" w:hAnsi="Arial" w:cs="Arial"/>
          <w:szCs w:val="28"/>
          <w:lang w:val="uk-UA" w:eastAsia="uk-UA"/>
        </w:rPr>
      </w:pPr>
    </w:p>
    <w:p w14:paraId="0CD4FA5B" w14:textId="77777777" w:rsidR="00DF77B5" w:rsidRPr="00511005" w:rsidRDefault="00DF77B5" w:rsidP="00D855E2">
      <w:pPr>
        <w:widowControl w:val="0"/>
        <w:autoSpaceDE w:val="0"/>
        <w:autoSpaceDN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М’ЯКА СИЛА» У СФЕРІ КІБЕРБЕЗПЕКИ: ІНСТРУМЕНТИ ВПЛИВУ ТА СТРАТЕГІЧНІ ПЕРСПЕКТИВИ</w:t>
      </w:r>
    </w:p>
    <w:p w14:paraId="619533B2"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сучасному цифровому світі кібербезпека стала невід’ємною складовою міжнародної політики та національної безпеки. Водночас концепція «</w:t>
      </w:r>
      <w:r w:rsidRPr="00511005">
        <w:rPr>
          <w:rFonts w:ascii="Arial" w:eastAsia="Times New Roman" w:hAnsi="Arial" w:cs="Arial"/>
          <w:i/>
          <w:iCs/>
          <w:szCs w:val="28"/>
          <w:lang w:val="uk-UA" w:eastAsia="uk-UA"/>
        </w:rPr>
        <w:t>soft power»</w:t>
      </w:r>
      <w:r w:rsidRPr="00511005">
        <w:rPr>
          <w:rFonts w:ascii="Arial" w:eastAsia="Times New Roman" w:hAnsi="Arial" w:cs="Arial"/>
          <w:szCs w:val="28"/>
          <w:lang w:val="uk-UA" w:eastAsia="uk-UA"/>
        </w:rPr>
        <w:t xml:space="preserve"> набуває все більшого значення як засіб впливу на глобальному рівні. Використання «м’якої сили» у сфері кібербезпеки передбачає не лише захист цифрового простору, але й формування стратегічного наративу, зміцнення міжнародної довіри та просування власних технологічних стандартів.</w:t>
      </w:r>
    </w:p>
    <w:p w14:paraId="33ED2E2C" w14:textId="77777777" w:rsidR="00DF77B5" w:rsidRPr="00511005" w:rsidRDefault="00DF77B5" w:rsidP="001165EC">
      <w:pPr>
        <w:widowControl w:val="0"/>
        <w:autoSpaceDE w:val="0"/>
        <w:autoSpaceDN w:val="0"/>
        <w:spacing w:line="264" w:lineRule="auto"/>
        <w:rPr>
          <w:rFonts w:ascii="Arial" w:eastAsia="Times New Roman" w:hAnsi="Arial" w:cs="Arial"/>
          <w:b/>
          <w:szCs w:val="28"/>
          <w:lang w:val="uk-UA" w:eastAsia="uk-UA"/>
        </w:rPr>
      </w:pPr>
      <w:r w:rsidRPr="00511005">
        <w:rPr>
          <w:rFonts w:ascii="Arial" w:eastAsia="Times New Roman" w:hAnsi="Arial" w:cs="Arial"/>
          <w:szCs w:val="28"/>
          <w:lang w:val="uk-UA" w:eastAsia="uk-UA"/>
        </w:rPr>
        <w:t xml:space="preserve">З огляду на зростання кількості кібератак та посилення геополітичної </w:t>
      </w:r>
      <w:r w:rsidRPr="00511005">
        <w:rPr>
          <w:rFonts w:ascii="Arial" w:eastAsia="Times New Roman" w:hAnsi="Arial" w:cs="Arial"/>
          <w:szCs w:val="28"/>
          <w:lang w:val="uk-UA" w:eastAsia="uk-UA"/>
        </w:rPr>
        <w:lastRenderedPageBreak/>
        <w:t>конкуренції, дослідження «м’якої сили» у сфері кібербезпеки є вкрай актуальним. Держави та транснаціональні корпорації дедалі частіше використовують інформаційні технології для посилення свого впливу, просування національних інтересів та формування міжнародного порядку денного. Вивчення механізмів «м’якої сили» у кіберпросторі дозволяє оцінити ефективність немілітарних засобів впливу та розробити стратегії цифрової дипломатії.</w:t>
      </w:r>
    </w:p>
    <w:p w14:paraId="2D112727"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Метою даного дослідження є аналіз застосування концепції «м’якої сили» у сфері кібербезпеки, визначення основних інструментів її реалізації та оцінка їх впливу на міжнародну кіберполітику.</w:t>
      </w:r>
    </w:p>
    <w:p w14:paraId="0617BC7E"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Для досягнення цілей дослідження було використано комплексний підхід, що включає аналіз наукових праць, міжнародних нормативно-правових актів, доповідей міжнародних організацій, а також кейс-метод для вивчення практичних прикладів застосування «м’якої сили» у кіберпросторі.</w:t>
      </w:r>
    </w:p>
    <w:p w14:paraId="57A6DF86"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Кібербезпека та захист інформаційного простору відіграють ключову роль у сучасній культурній дипломатії. Умови глобальної цифровізації посилюють вразливість держав до кібератак і маніпулятивного впливу в мережі. Ворожі суб’єкти та недержавні організації використовують цифрові технології для поширення дезінформації, пропаганди та підриву міжнародного співробітництва у сфері культури. Відповідно, перед державами постає завдання не лише розвивати власну кіберстійкість, а й створювати ефективні механізми протидії інформаційним загрозам [1, с. 197].</w:t>
      </w:r>
    </w:p>
    <w:p w14:paraId="37DA08E6"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контексті сучасних міжнародних відносин спостерігається зростаюче значення концепції «м’якої сили». Цей термін, уведений у науковий обіг політологом Джозефом Найєм у 1990-х роках, позначає здатність держави впливати на глобальні процеси не через примус, а завдяки привабливості своєї культури, ідеалів та політики. На противагу «жорсткій силі», яка спирається на військову могутність і економічні важелі, «м’яка сила» дозволяє формувати сприятливе міжнародне середовище через дипломатію, освіту, інформаційні ресурси та технологічну співпрацю. Саме такий підхід сприяє зміцненню довіри до держави та розширенню її впливу у світовому кіберпросторі [5, с. 173].</w:t>
      </w:r>
    </w:p>
    <w:p w14:paraId="429424A4"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сучасному інформаційному суспільстві технології політичної інтернет-комунікації перетворилися на ефективний інструмент впливу на національні політичні системи. Вони можуть як зміцнювати демократичні режими, так і сприяти дестабілізації політичного ладу в країнах-опонентах, створюючи нові виклики для глобальної безпеки [3, с. 129]. У цьому контексті першочерговим завданням держав стає розробка комплексних стратегій кіберзахисту, що включають не лише протидію кібератакам, а й системний моніторинг інформаційного простору та боротьбу з дезінформацією. Крім того, міжнародна співпраця у цій сфері є вкрай важливою, оскільки </w:t>
      </w:r>
      <w:r w:rsidRPr="00511005">
        <w:rPr>
          <w:rFonts w:ascii="Arial" w:eastAsia="Times New Roman" w:hAnsi="Arial" w:cs="Arial"/>
          <w:szCs w:val="28"/>
          <w:lang w:val="uk-UA" w:eastAsia="uk-UA"/>
        </w:rPr>
        <w:lastRenderedPageBreak/>
        <w:t>ефективне забезпечення кібербезпеки потребує обміну досвідом, розробки спільних підходів та узгоджених дій на міждержавному рівні [6].</w:t>
      </w:r>
    </w:p>
    <w:p w14:paraId="484E6D30"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Сьогодні держави активно використовують «м’яку силу» для досягнення стратегічних цілей у кіберпросторі. Важливим інструментом у цьому процесі є кібердипломатія, що охоплює міжнародне партнерство, участь у глобальних ініціативах та розробку двосторонніх і багатосторонніх угод у сфері цифрової безпеки. Зокрема, Україна реалізує Стратегію кібердипломатії, яка покликана посилити міжнародну взаємодію в галузі кібербезпеки та зміцнити позиції країни у цифровому середовищі [2, с. 4].</w:t>
      </w:r>
    </w:p>
    <w:p w14:paraId="03BF9A77"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Ще одним ключовим напрямом у сфері кібербезпеки є розробка та впровадження міжнародних стандартів, які сприяють встановленню єдиних норм та правил для забезпечення цифрової безпеки. Формування узгоджених підходів дає змогу підвищити рівень довіри між державами та створити правові механізми для ефективної протидії кіберзагрозам [4, с. 68]. Не менш важливим аспектом є розвиток освітніх програм та спеціалізованих тренінгів для підготовки висококваліфікованих фахівців у галузі кібербезпеки. Співпраця з міжнародними партнерами дозволяє інтегрувати передові світові практики у навчальний процес, що значно підвищує рівень професійної підготовки українських спеціалістів [4, с. 75].</w:t>
      </w:r>
    </w:p>
    <w:p w14:paraId="68957A68"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Вплив «м’якої сили» у кіберпросторі реалізується також через публічну дипломатію та інформаційні кампанії, які спрямовані на створення позитивного іміджу держави та демонстрацію її досягнень у сфері цифрової безпеки. Додатково, співпраця у межах технологічної допомоги та обмін досвідом між країнами сприяють посиленню загальної кіберстійкості та розвитку міжнародного партнерства. Використання цих механізмів дозволяє державам не лише захищати власний кіберпростір, а й впливати на формування глобальної політики у сфері кібербезпеки, що забезпечує стратегічну перевагу в цифровому середовищі.</w:t>
      </w:r>
    </w:p>
    <w:p w14:paraId="4985C3F1"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Показовим прикладом ефективного застосування «м’якої сили» у кіберпросторі є Франція, яка активно використовує інструменти кібердипломатії та бере участь у розробці міжнародних стандартів. У 2023 році Франція спільно з іншими європейськими країнами підписала Берлінську декларацію, що підкреслює необхідність тісної співпраці у сфері кібербезпеки та консолідованих зусиль у протидії кіберзагрозам. Окрім цього, Франція відіграє провідну роль у розробці європейських кіберстратегій та ініціатив, спрямованих на зміцнення колективної кіберстійкості та запровадження уніфікованих стандартів цифрової безпеки [7].</w:t>
      </w:r>
    </w:p>
    <w:p w14:paraId="2BBADE6D" w14:textId="1171EAF9" w:rsidR="00DF77B5" w:rsidRPr="00511005" w:rsidRDefault="00DF77B5" w:rsidP="001165EC">
      <w:pPr>
        <w:widowControl w:val="0"/>
        <w:autoSpaceDE w:val="0"/>
        <w:autoSpaceDN w:val="0"/>
        <w:spacing w:line="264" w:lineRule="auto"/>
        <w:rPr>
          <w:rFonts w:ascii="Arial" w:eastAsia="Times New Roman" w:hAnsi="Arial" w:cs="Arial"/>
          <w:b/>
          <w:szCs w:val="28"/>
          <w:lang w:val="uk-UA" w:eastAsia="uk-UA"/>
        </w:rPr>
      </w:pPr>
      <w:r w:rsidRPr="00511005">
        <w:rPr>
          <w:rFonts w:ascii="Arial" w:eastAsia="Times New Roman" w:hAnsi="Arial" w:cs="Arial"/>
          <w:b/>
          <w:szCs w:val="28"/>
          <w:lang w:val="uk-UA" w:eastAsia="uk-UA"/>
        </w:rPr>
        <w:t>Висновки. «</w:t>
      </w:r>
      <w:r w:rsidRPr="00511005">
        <w:rPr>
          <w:rFonts w:ascii="Arial" w:eastAsia="Times New Roman" w:hAnsi="Arial" w:cs="Arial"/>
          <w:szCs w:val="28"/>
          <w:lang w:val="uk-UA" w:eastAsia="uk-UA"/>
        </w:rPr>
        <w:t xml:space="preserve">М’яка сила «у сфері кібербезпеки відіграє ключову роль у формуванні міжнародного порядку денного, зміцненні довіри між державами та просуванні національних інтересів. Використання таких інструментів, як кібердипломатія, міжнародні стандарти, освітні програми та інформаційні </w:t>
      </w:r>
      <w:r w:rsidRPr="00511005">
        <w:rPr>
          <w:rFonts w:ascii="Arial" w:eastAsia="Times New Roman" w:hAnsi="Arial" w:cs="Arial"/>
          <w:szCs w:val="28"/>
          <w:lang w:val="uk-UA" w:eastAsia="uk-UA"/>
        </w:rPr>
        <w:lastRenderedPageBreak/>
        <w:t>кампанії, сприяє не лише підвищенню рівня цифрової безпеки, а й розширенню впливу держав на глобальній арені. Співпраця з міжнародними партнерами та інтеграція передових технологічних практик дозволяють ефективно протидіяти кібератакам і дезінформації, забезпечуючи стратегічну перевагу в цифровій сфері.</w:t>
      </w:r>
    </w:p>
    <w:p w14:paraId="5A500C60" w14:textId="77777777" w:rsidR="001165EC" w:rsidRPr="00511005" w:rsidRDefault="001165EC" w:rsidP="001165EC">
      <w:pPr>
        <w:widowControl w:val="0"/>
        <w:autoSpaceDE w:val="0"/>
        <w:autoSpaceDN w:val="0"/>
        <w:spacing w:line="264" w:lineRule="auto"/>
        <w:ind w:left="709" w:firstLine="0"/>
        <w:jc w:val="left"/>
        <w:rPr>
          <w:rFonts w:ascii="Arial" w:eastAsia="Times New Roman" w:hAnsi="Arial" w:cs="Arial"/>
          <w:b/>
          <w:szCs w:val="28"/>
          <w:lang w:val="uk-UA" w:eastAsia="uk-UA"/>
        </w:rPr>
      </w:pPr>
    </w:p>
    <w:p w14:paraId="3AF3C853" w14:textId="15DCCD9A" w:rsidR="00DF77B5" w:rsidRPr="00511005" w:rsidRDefault="007B2628" w:rsidP="007B2628">
      <w:pPr>
        <w:widowControl w:val="0"/>
        <w:autoSpaceDE w:val="0"/>
        <w:autoSpaceDN w:val="0"/>
        <w:spacing w:line="264" w:lineRule="auto"/>
        <w:ind w:left="709"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3558F1FE" w14:textId="77777777" w:rsidR="00DF77B5" w:rsidRPr="00511005" w:rsidRDefault="00DF77B5" w:rsidP="003F6A5D">
      <w:pPr>
        <w:widowControl w:val="0"/>
        <w:numPr>
          <w:ilvl w:val="0"/>
          <w:numId w:val="804"/>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Ємельянов В. М., Гололобов С. М. Механізми реалізації культурної дипломатії в сучасних умовах. </w:t>
      </w:r>
      <w:r w:rsidRPr="00511005">
        <w:rPr>
          <w:rFonts w:ascii="Arial" w:eastAsia="Times New Roman" w:hAnsi="Arial" w:cs="Arial"/>
          <w:i/>
          <w:iCs/>
          <w:szCs w:val="28"/>
          <w:lang w:val="uk-UA" w:eastAsia="uk-UA"/>
        </w:rPr>
        <w:t>Інвестиції: практика та досвід</w:t>
      </w:r>
      <w:r w:rsidRPr="00511005">
        <w:rPr>
          <w:rFonts w:ascii="Arial" w:eastAsia="Times New Roman" w:hAnsi="Arial" w:cs="Arial"/>
          <w:szCs w:val="28"/>
          <w:lang w:val="uk-UA" w:eastAsia="uk-UA"/>
        </w:rPr>
        <w:t>. 2024. № 14. С. 192-200.</w:t>
      </w:r>
    </w:p>
    <w:p w14:paraId="30486EF2" w14:textId="77777777" w:rsidR="00DF77B5" w:rsidRPr="00511005" w:rsidRDefault="00DF77B5" w:rsidP="003F6A5D">
      <w:pPr>
        <w:widowControl w:val="0"/>
        <w:numPr>
          <w:ilvl w:val="0"/>
          <w:numId w:val="804"/>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Кібербезпека в інформаційному суспільстві: Інформаційно-аналітичний дайджест / відп. ред. О.Довгань; упоряд. О.Довгань, Л.Литвинова, С.Дорогих; Державна наукова установа «Інститут інформації, безпеки і права НАПрН України»; Національна бібліотека України ім. В.І.Вернадського. К., 2024. № 5 (травень). 316 с.</w:t>
      </w:r>
    </w:p>
    <w:p w14:paraId="65D5134D" w14:textId="77777777" w:rsidR="00DF77B5" w:rsidRPr="00511005" w:rsidRDefault="00DF77B5" w:rsidP="003F6A5D">
      <w:pPr>
        <w:widowControl w:val="0"/>
        <w:numPr>
          <w:ilvl w:val="0"/>
          <w:numId w:val="804"/>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Коротков Д. С. Вплив м’яких та жорстких глобальних технологій на міжнародні відносини. </w:t>
      </w:r>
      <w:r w:rsidRPr="00511005">
        <w:rPr>
          <w:rFonts w:ascii="Arial" w:eastAsia="Times New Roman" w:hAnsi="Arial" w:cs="Arial"/>
          <w:i/>
          <w:iCs/>
          <w:szCs w:val="28"/>
          <w:lang w:val="uk-UA" w:eastAsia="uk-UA"/>
        </w:rPr>
        <w:t>Регіональні студії</w:t>
      </w:r>
      <w:r w:rsidRPr="00511005">
        <w:rPr>
          <w:rFonts w:ascii="Arial" w:eastAsia="Times New Roman" w:hAnsi="Arial" w:cs="Arial"/>
          <w:szCs w:val="28"/>
          <w:lang w:val="uk-UA" w:eastAsia="uk-UA"/>
        </w:rPr>
        <w:t xml:space="preserve">. 2020. Вип. 21. С. 126–131. URL: </w:t>
      </w:r>
      <w:hyperlink r:id="rId2549" w:history="1">
        <w:r w:rsidRPr="00511005">
          <w:rPr>
            <w:rFonts w:ascii="Arial" w:eastAsia="Times New Roman" w:hAnsi="Arial" w:cs="Arial"/>
            <w:szCs w:val="28"/>
            <w:lang w:val="uk-UA" w:eastAsia="uk-UA"/>
          </w:rPr>
          <w:t>http://regionalstudies.uzhnu.uz.ua/archive/21/22.pdf</w:t>
        </w:r>
      </w:hyperlink>
    </w:p>
    <w:p w14:paraId="3A526590" w14:textId="77777777" w:rsidR="00DF77B5" w:rsidRPr="00511005" w:rsidRDefault="00DF77B5" w:rsidP="003F6A5D">
      <w:pPr>
        <w:widowControl w:val="0"/>
        <w:numPr>
          <w:ilvl w:val="0"/>
          <w:numId w:val="804"/>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Семененко О., Островський С., Бондаренко М., Вовк Я., Куценко Д. Рекомендації та перспективи впровадження досвіду іноземних держав в систему формування генезису розвитку кібертехнологій у сфері безпеки та оборони України. </w:t>
      </w:r>
      <w:r w:rsidRPr="00511005">
        <w:rPr>
          <w:rFonts w:ascii="Arial" w:eastAsia="Times New Roman" w:hAnsi="Arial" w:cs="Arial"/>
          <w:i/>
          <w:iCs/>
          <w:szCs w:val="28"/>
          <w:lang w:val="uk-UA" w:eastAsia="uk-UA"/>
        </w:rPr>
        <w:t>Journal of Scientific Papers "Social Development &amp; Security"</w:t>
      </w:r>
      <w:r w:rsidRPr="00511005">
        <w:rPr>
          <w:rFonts w:ascii="Arial" w:eastAsia="Times New Roman" w:hAnsi="Arial" w:cs="Arial"/>
          <w:szCs w:val="28"/>
          <w:lang w:val="uk-UA" w:eastAsia="uk-UA"/>
        </w:rPr>
        <w:t>. 2023. Т. 13, №4. С. 63-80.</w:t>
      </w:r>
    </w:p>
    <w:p w14:paraId="060F1112" w14:textId="7A2ABC0E" w:rsidR="00DF77B5" w:rsidRPr="00511005" w:rsidRDefault="00DF77B5" w:rsidP="003F6A5D">
      <w:pPr>
        <w:widowControl w:val="0"/>
        <w:numPr>
          <w:ilvl w:val="0"/>
          <w:numId w:val="804"/>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Шостак К. «М᾿яка сила» і сучасна публічна дипломатія.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Травневі студії 2023: історія та міжнародні відносини в інформаційному протистоянні: збірка матеріалів V Міжнародної наукової конференції студентів і молодих вчених. / за ред. Ю. Т. Темірова. Вінниця: ДонНУ імені Василя Стуса, 2023. Вип. 8 С. 173-175.</w:t>
      </w:r>
    </w:p>
    <w:p w14:paraId="0B0E8528" w14:textId="77777777" w:rsidR="00DF77B5" w:rsidRPr="00511005" w:rsidRDefault="00DF77B5" w:rsidP="003F6A5D">
      <w:pPr>
        <w:widowControl w:val="0"/>
        <w:numPr>
          <w:ilvl w:val="0"/>
          <w:numId w:val="804"/>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Zwarts H., Toit J., Solms B. A CyberDiplomacy and Cybersecurity Awareness Framework (CDAF) for Developing Countries. </w:t>
      </w:r>
      <w:r w:rsidRPr="00511005">
        <w:rPr>
          <w:rFonts w:ascii="Arial" w:eastAsia="Times New Roman" w:hAnsi="Arial" w:cs="Arial"/>
          <w:i/>
          <w:iCs/>
          <w:szCs w:val="28"/>
          <w:lang w:val="uk-UA" w:eastAsia="uk-UA"/>
        </w:rPr>
        <w:t>European Conference on Cyber Warfare and Security</w:t>
      </w:r>
      <w:r w:rsidRPr="00511005">
        <w:rPr>
          <w:rFonts w:ascii="Arial" w:eastAsia="Times New Roman" w:hAnsi="Arial" w:cs="Arial"/>
          <w:szCs w:val="28"/>
          <w:lang w:val="uk-UA" w:eastAsia="uk-UA"/>
        </w:rPr>
        <w:t xml:space="preserve">. 2022. Vol. 21. No. 1. P. 341–349. URL: </w:t>
      </w:r>
      <w:hyperlink r:id="rId2550" w:history="1">
        <w:r w:rsidRPr="00511005">
          <w:rPr>
            <w:rFonts w:ascii="Arial" w:eastAsia="Times New Roman" w:hAnsi="Arial" w:cs="Arial"/>
            <w:szCs w:val="28"/>
            <w:lang w:val="uk-UA" w:eastAsia="uk-UA"/>
          </w:rPr>
          <w:t>https://doi.org/10.34190/eccws.21.1.226</w:t>
        </w:r>
      </w:hyperlink>
      <w:r w:rsidRPr="00511005">
        <w:rPr>
          <w:rFonts w:ascii="Arial" w:eastAsia="Times New Roman" w:hAnsi="Arial" w:cs="Arial"/>
          <w:szCs w:val="28"/>
          <w:lang w:val="uk-UA" w:eastAsia="uk-UA"/>
        </w:rPr>
        <w:t xml:space="preserve"> </w:t>
      </w:r>
    </w:p>
    <w:p w14:paraId="47170A0D" w14:textId="6AA64DFD" w:rsidR="00DF77B5" w:rsidRPr="00511005" w:rsidRDefault="00DF77B5" w:rsidP="003F6A5D">
      <w:pPr>
        <w:widowControl w:val="0"/>
        <w:numPr>
          <w:ilvl w:val="0"/>
          <w:numId w:val="804"/>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Берлінська декларація за підсумками міністерських переговорів Німеччини, Іспанії, Італії, Польщі, Сполученого Королівства, Франції, України та ЄС. 2024.</w:t>
      </w:r>
      <w:r w:rsidR="007B2628" w:rsidRPr="00511005">
        <w:rPr>
          <w:rFonts w:ascii="Arial" w:eastAsia="Times New Roman" w:hAnsi="Arial" w:cs="Arial"/>
          <w:szCs w:val="28"/>
          <w:lang w:val="uk-UA" w:eastAsia="uk-UA"/>
        </w:rPr>
        <w:t xml:space="preserve"> </w:t>
      </w:r>
      <w:r w:rsidRPr="00511005">
        <w:rPr>
          <w:rFonts w:ascii="Arial" w:eastAsia="Times New Roman" w:hAnsi="Arial" w:cs="Arial"/>
          <w:i/>
          <w:iCs/>
          <w:szCs w:val="28"/>
          <w:lang w:val="uk-UA" w:eastAsia="uk-UA"/>
        </w:rPr>
        <w:t>Міністерство закордонних справ України</w:t>
      </w:r>
      <w:r w:rsidRPr="00511005">
        <w:rPr>
          <w:rFonts w:ascii="Arial" w:eastAsia="Times New Roman" w:hAnsi="Arial" w:cs="Arial"/>
          <w:szCs w:val="28"/>
          <w:lang w:val="uk-UA" w:eastAsia="uk-UA"/>
        </w:rPr>
        <w:t xml:space="preserve">. URL: </w:t>
      </w:r>
      <w:hyperlink r:id="rId2551" w:history="1">
        <w:r w:rsidRPr="00511005">
          <w:rPr>
            <w:rFonts w:ascii="Arial" w:eastAsia="Times New Roman" w:hAnsi="Arial" w:cs="Arial"/>
            <w:szCs w:val="28"/>
            <w:lang w:val="uk-UA" w:eastAsia="uk-UA"/>
          </w:rPr>
          <w:t>https://mfa.gov.ua/news/berlinska-deklaraciya-za-pidsmukami-ministerskih-peregovoriv-nimechchini-ispaniyi-italiyi-polshchi-spoluchenogo-korolivstva-franciyi-ukrayini-ta-yes</w:t>
        </w:r>
      </w:hyperlink>
    </w:p>
    <w:p w14:paraId="59E9693E" w14:textId="1FCA3781" w:rsidR="00DF77B5" w:rsidRPr="00511005" w:rsidRDefault="007B2628" w:rsidP="001165EC">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b/>
          <w:bCs/>
          <w:i/>
          <w:iCs/>
          <w:szCs w:val="28"/>
          <w:lang w:val="uk-UA" w:eastAsia="uk-UA"/>
        </w:rPr>
        <w:t xml:space="preserve">Ключові слова: </w:t>
      </w:r>
      <w:r w:rsidR="00DF77B5" w:rsidRPr="00511005">
        <w:rPr>
          <w:rFonts w:ascii="Arial" w:eastAsia="Times New Roman" w:hAnsi="Arial" w:cs="Arial"/>
          <w:szCs w:val="28"/>
          <w:lang w:val="uk-UA" w:eastAsia="uk-UA"/>
        </w:rPr>
        <w:t>«м’яка сила», кібепростір, кібербезпека, кіберзагрози, кібердипломатія.</w:t>
      </w:r>
    </w:p>
    <w:p w14:paraId="6A77452A" w14:textId="38C63D3B" w:rsidR="00DF77B5" w:rsidRPr="00511005" w:rsidRDefault="007B2628" w:rsidP="001165EC">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b/>
          <w:bCs/>
          <w:i/>
          <w:iCs/>
          <w:szCs w:val="28"/>
          <w:lang w:val="uk-UA" w:eastAsia="uk-UA"/>
        </w:rPr>
        <w:t xml:space="preserve">Key words: </w:t>
      </w:r>
      <w:r w:rsidR="00DF77B5" w:rsidRPr="00511005">
        <w:rPr>
          <w:rFonts w:ascii="Arial" w:eastAsia="Times New Roman" w:hAnsi="Arial" w:cs="Arial"/>
          <w:szCs w:val="28"/>
          <w:lang w:val="uk-UA" w:eastAsia="uk-UA"/>
        </w:rPr>
        <w:t>"soft power", cyberspace, cybersecurity, cyber threats, cyber diplomacy.</w:t>
      </w:r>
    </w:p>
    <w:p w14:paraId="7CA54DB2" w14:textId="4638B0C2" w:rsidR="00DF77B5" w:rsidRPr="00511005" w:rsidRDefault="007B2628" w:rsidP="00D855E2">
      <w:pPr>
        <w:widowControl w:val="0"/>
        <w:autoSpaceDE w:val="0"/>
        <w:autoSpaceDN w:val="0"/>
        <w:spacing w:line="264" w:lineRule="auto"/>
        <w:ind w:firstLine="567"/>
        <w:jc w:val="center"/>
        <w:rPr>
          <w:rFonts w:ascii="Arial" w:eastAsia="Times New Roman" w:hAnsi="Arial" w:cs="Arial"/>
          <w:szCs w:val="28"/>
          <w:lang w:val="uk-UA"/>
        </w:rPr>
      </w:pPr>
      <w:r w:rsidRPr="00511005">
        <w:rPr>
          <w:rFonts w:ascii="Arial" w:eastAsia="Times New Roman" w:hAnsi="Arial" w:cs="Arial"/>
          <w:b/>
          <w:i/>
          <w:iCs/>
          <w:szCs w:val="28"/>
          <w:lang w:val="uk-UA"/>
        </w:rPr>
        <w:lastRenderedPageBreak/>
        <w:t xml:space="preserve">Науковий керівник: </w:t>
      </w:r>
      <w:r w:rsidR="00DF77B5" w:rsidRPr="00511005">
        <w:rPr>
          <w:rFonts w:ascii="Arial" w:eastAsia="Times New Roman" w:hAnsi="Arial" w:cs="Arial"/>
          <w:szCs w:val="28"/>
          <w:lang w:val="uk-UA"/>
        </w:rPr>
        <w:t>доцент, кандидат політичних наук Козьміних А</w:t>
      </w:r>
      <w:r w:rsidR="00D855E2" w:rsidRPr="00511005">
        <w:rPr>
          <w:rFonts w:ascii="Arial" w:eastAsia="Times New Roman" w:hAnsi="Arial" w:cs="Arial"/>
          <w:szCs w:val="28"/>
          <w:lang w:val="uk-UA"/>
        </w:rPr>
        <w:t>.</w:t>
      </w:r>
      <w:r w:rsidR="00DF77B5" w:rsidRPr="00511005">
        <w:rPr>
          <w:rFonts w:ascii="Arial" w:eastAsia="Times New Roman" w:hAnsi="Arial" w:cs="Arial"/>
          <w:szCs w:val="28"/>
          <w:lang w:val="uk-UA"/>
        </w:rPr>
        <w:t xml:space="preserve"> В</w:t>
      </w:r>
      <w:r w:rsidR="00D855E2" w:rsidRPr="00511005">
        <w:rPr>
          <w:rFonts w:ascii="Arial" w:eastAsia="Times New Roman" w:hAnsi="Arial" w:cs="Arial"/>
          <w:szCs w:val="28"/>
          <w:lang w:val="uk-UA"/>
        </w:rPr>
        <w:t>.</w:t>
      </w:r>
    </w:p>
    <w:p w14:paraId="6CA2A604" w14:textId="77777777" w:rsidR="00DF77B5" w:rsidRPr="00511005" w:rsidRDefault="00DF77B5" w:rsidP="003A292D">
      <w:pPr>
        <w:widowControl w:val="0"/>
        <w:autoSpaceDE w:val="0"/>
        <w:autoSpaceDN w:val="0"/>
        <w:spacing w:line="264" w:lineRule="auto"/>
        <w:ind w:firstLine="720"/>
        <w:jc w:val="center"/>
        <w:rPr>
          <w:rFonts w:ascii="Arial" w:eastAsia="Times New Roman" w:hAnsi="Arial" w:cs="Arial"/>
          <w:b/>
          <w:i/>
          <w:szCs w:val="28"/>
          <w:lang w:val="uk-UA"/>
        </w:rPr>
      </w:pPr>
    </w:p>
    <w:p w14:paraId="36C7C723" w14:textId="77777777" w:rsidR="00DF77B5" w:rsidRPr="00511005" w:rsidRDefault="00DF77B5" w:rsidP="001165EC">
      <w:pPr>
        <w:widowControl w:val="0"/>
        <w:autoSpaceDE w:val="0"/>
        <w:autoSpaceDN w:val="0"/>
        <w:spacing w:line="264" w:lineRule="auto"/>
        <w:ind w:left="709"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t>Красюк Дарія Вікторівна</w:t>
      </w:r>
    </w:p>
    <w:p w14:paraId="292F61E8" w14:textId="34F13A39" w:rsidR="00DF77B5" w:rsidRPr="00511005" w:rsidRDefault="00DF77B5" w:rsidP="001165EC">
      <w:pPr>
        <w:widowControl w:val="0"/>
        <w:autoSpaceDE w:val="0"/>
        <w:autoSpaceDN w:val="0"/>
        <w:spacing w:line="264" w:lineRule="auto"/>
        <w:ind w:left="709" w:firstLine="0"/>
        <w:jc w:val="center"/>
        <w:rPr>
          <w:rFonts w:ascii="Arial" w:eastAsia="Times New Roman" w:hAnsi="Arial" w:cs="Arial"/>
          <w:bCs/>
          <w:iCs/>
          <w:szCs w:val="28"/>
          <w:lang w:val="uk-UA" w:eastAsia="uk-UA"/>
        </w:rPr>
      </w:pPr>
      <w:r w:rsidRPr="00511005">
        <w:rPr>
          <w:rFonts w:ascii="Arial" w:eastAsia="Times New Roman" w:hAnsi="Arial" w:cs="Arial"/>
          <w:bCs/>
          <w:iCs/>
          <w:szCs w:val="28"/>
          <w:lang w:val="uk-UA" w:eastAsia="uk-UA"/>
        </w:rPr>
        <w:t xml:space="preserve">студентка 1-го курсу </w:t>
      </w:r>
      <w:r w:rsidR="00536AAB" w:rsidRPr="00511005">
        <w:rPr>
          <w:rFonts w:ascii="Arial" w:eastAsia="Times New Roman" w:hAnsi="Arial" w:cs="Arial"/>
          <w:bCs/>
          <w:iCs/>
          <w:szCs w:val="28"/>
          <w:lang w:val="uk-UA" w:eastAsia="uk-UA"/>
        </w:rPr>
        <w:t>факультету журналістики</w:t>
      </w:r>
    </w:p>
    <w:p w14:paraId="19CBD31B" w14:textId="7B3E6BB9" w:rsidR="00DF77B5" w:rsidRPr="00511005" w:rsidRDefault="007B2628" w:rsidP="001165EC">
      <w:pPr>
        <w:widowControl w:val="0"/>
        <w:autoSpaceDE w:val="0"/>
        <w:autoSpaceDN w:val="0"/>
        <w:spacing w:line="264" w:lineRule="auto"/>
        <w:ind w:left="709" w:firstLine="0"/>
        <w:jc w:val="center"/>
        <w:rPr>
          <w:rFonts w:ascii="Arial" w:eastAsia="Times New Roman" w:hAnsi="Arial" w:cs="Arial"/>
          <w:bCs/>
          <w:iCs/>
          <w:szCs w:val="28"/>
          <w:lang w:val="uk-UA" w:eastAsia="uk-UA"/>
        </w:rPr>
      </w:pPr>
      <w:r w:rsidRPr="00511005">
        <w:rPr>
          <w:rFonts w:ascii="Arial" w:eastAsia="Times New Roman" w:hAnsi="Arial" w:cs="Arial"/>
          <w:bCs/>
          <w:iCs/>
          <w:szCs w:val="28"/>
          <w:lang w:val="uk-UA" w:eastAsia="uk-UA"/>
        </w:rPr>
        <w:t>Національного університету «Одеська юридична академія»</w:t>
      </w:r>
    </w:p>
    <w:p w14:paraId="53E43830" w14:textId="77777777" w:rsidR="001165EC" w:rsidRPr="00511005" w:rsidRDefault="001165EC" w:rsidP="001165EC">
      <w:pPr>
        <w:widowControl w:val="0"/>
        <w:autoSpaceDE w:val="0"/>
        <w:autoSpaceDN w:val="0"/>
        <w:spacing w:line="264" w:lineRule="auto"/>
        <w:ind w:firstLine="0"/>
        <w:jc w:val="center"/>
        <w:rPr>
          <w:rFonts w:ascii="Arial" w:eastAsia="Times New Roman" w:hAnsi="Arial" w:cs="Arial"/>
          <w:b/>
          <w:bCs/>
          <w:szCs w:val="28"/>
          <w:lang w:val="uk-UA" w:eastAsia="uk-UA"/>
        </w:rPr>
      </w:pPr>
    </w:p>
    <w:p w14:paraId="3B6E73C6" w14:textId="57FEDA03" w:rsidR="00DF77B5" w:rsidRPr="00511005" w:rsidRDefault="00DF77B5" w:rsidP="001165EC">
      <w:pPr>
        <w:widowControl w:val="0"/>
        <w:autoSpaceDE w:val="0"/>
        <w:autoSpaceDN w:val="0"/>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РОЛЬ МІЖНАРОДНИХ ОРГАНІЗАЦІЙ У ВРЕГУЛЮВАНН</w:t>
      </w:r>
      <w:r w:rsidR="00D855E2" w:rsidRPr="00511005">
        <w:rPr>
          <w:rFonts w:ascii="Arial" w:eastAsia="Times New Roman" w:hAnsi="Arial" w:cs="Arial"/>
          <w:b/>
          <w:bCs/>
          <w:szCs w:val="28"/>
          <w:lang w:val="uk-UA" w:eastAsia="uk-UA"/>
        </w:rPr>
        <w:t>І</w:t>
      </w:r>
      <w:r w:rsidRPr="00511005">
        <w:rPr>
          <w:rFonts w:ascii="Arial" w:eastAsia="Times New Roman" w:hAnsi="Arial" w:cs="Arial"/>
          <w:b/>
          <w:bCs/>
          <w:szCs w:val="28"/>
          <w:lang w:val="uk-UA" w:eastAsia="uk-UA"/>
        </w:rPr>
        <w:t xml:space="preserve"> КОНФЛІКТІВ</w:t>
      </w:r>
    </w:p>
    <w:p w14:paraId="175C38EA"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Міжнародні конфлікти продовжують залишатися одним із ключових викликів сучасної системи міжнародних відносин, загрожуючи стабільності та безпеці у світі. В умовах глобалізації політичні, економічні, соціальні та екологічні суперечності набувають нового масштабу, посилюючи напруженість між державами та регіональними блоками. У цьому контексті міжнародні організації — як міжурядові, так і неурядові — відіграють вирішальну роль у підтриманні миру та запобіганні конфліктам, використовуючи дипломатичні, правові, військово-політичні та гуманітарні механізми.</w:t>
      </w:r>
    </w:p>
    <w:p w14:paraId="48003582"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Значення міжурядових організацій у міжнародному врегулюванні конфліктів зростає. ООН, НАТО, ЄС та інші глобальні та регіональні структури стали ключовими акторами у забезпеченні стабільності. ООН активно застосовує миротворчі операції, дипломатичне посередництво та санкційні заходи, спрямовані на стримування агресивної поведінки держав-учасниць конфлікту [2]. НАТО, у свою чергу, використовує військово-політичні стратегії, спрямовані на підтримку безпеки союзників та запобігання міжнародним кризам [4]. Європейський Союз відіграє активну роль у врегулюванні конфліктів, комбінуючи економічні механізми з дипломатичною підтримкою, а МВФ відіграє ключову роль у стабілізації фінансової ситуації в країнах, які зазнають економічної кризи внаслідок конфліктів [3].</w:t>
      </w:r>
    </w:p>
    <w:p w14:paraId="4B11A786"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Неурядові міжнародні організації відіграють важливу роль у формуванні гуманітарних ініціатив та захисту прав людини. Amnesty International, Human Rights Watch, Червоний Хрест, Міжнародна федерація прав людини та інші організації здійснюють моніторинг порушень прав людини, надають допомогу цивільному населенню та сприяють процесам постконфліктного відновлення. Їхня діяльність спрямована не лише на реагування на конфлікти, але й на запобігання їхньому виникненню у майбутньому, що підкреслює їхню важливу роль у глобальній безпековій архітектурі.</w:t>
      </w:r>
    </w:p>
    <w:p w14:paraId="7F549DB6"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Особливої уваги заслуговує співпраця між урядовими та неурядовими організаціями. Взаємодія між ними значно підвищує ефективність міжнародних миротворчих зусиль, оскільки поєднання дипломатичних ініціатив, військово-політичних заходів і гуманітарної допомоги дозволяє створити комплексний механізм врегулювання конфліктів. Такі механізми </w:t>
      </w:r>
      <w:r w:rsidRPr="00511005">
        <w:rPr>
          <w:rFonts w:ascii="Arial" w:eastAsia="Times New Roman" w:hAnsi="Arial" w:cs="Arial"/>
          <w:szCs w:val="28"/>
          <w:lang w:val="uk-UA" w:eastAsia="uk-UA"/>
        </w:rPr>
        <w:lastRenderedPageBreak/>
        <w:t>включають залучення незалежних правозахисних організацій до процесу моніторингу ситуації, використання медіації та посередництва у переговорному процесі, а також впровадження програм з відновлення життєдіяльності у постконфліктних регіонах.</w:t>
      </w:r>
    </w:p>
    <w:p w14:paraId="6C334DBE"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Важливим аспектом міжнародного миротворчого процесу є розвиток інформаційної дипломатії та інтеграція нових технологій у сферу конфліктного врегулювання. Сучасні цифрові інструменти, такі як штучний інтелект, автоматизовані аналітичні платформи, цифрові архіви та онлайн-моніторинг конфліктів, сприяють оперативному реагуванню та прогнозуванню кризових ситуацій. Використання цифрових механізмів дозволяє міжнародним організаціям не лише ефективніше координувати свої зусилля, але й збільшити прозорість та доступність інформації про перебіг конфліктів та миротворчі ініціативи.</w:t>
      </w:r>
    </w:p>
    <w:p w14:paraId="073A7155"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перспективі вдосконалення механізмів міжнародного врегулювання конфліктів потребує активної взаємодії між державними та недержавними акторами, а також адаптації до сучасних геополітичних викликів. Зміцнення правового регулювання, підвищення ефективності дипломатичних процесів, розширення гуманітарної підтримки та впровадження цифрових технологій у миротворчі місії — усе це здатне значно підвищити ефективність міжнародної системи безпеки та забезпечити довготривалий мир [1]. </w:t>
      </w:r>
    </w:p>
    <w:p w14:paraId="681A6E5E" w14:textId="4C4FFA40"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Таким чином, міжнародні організації вже не просто відіграють допоміжну роль у розв’язанні конфліктів, а стали самостійними суб’єктами глобальної політичної системи. Вони активно формують міжнародний порядок через дипломатичні механізми, миротворчі операції та гуманітарну діяльність. Подальше їхнє вдосконалення та посилення взаємодії здатне забезпечити ефективне врегулювання конфліктів і довготривалу стабільність у світі.</w:t>
      </w:r>
    </w:p>
    <w:p w14:paraId="33405154" w14:textId="77777777" w:rsidR="001165EC" w:rsidRPr="00511005" w:rsidRDefault="001165EC" w:rsidP="001165EC">
      <w:pPr>
        <w:widowControl w:val="0"/>
        <w:autoSpaceDE w:val="0"/>
        <w:autoSpaceDN w:val="0"/>
        <w:spacing w:line="264" w:lineRule="auto"/>
        <w:ind w:left="709" w:firstLine="0"/>
        <w:jc w:val="left"/>
        <w:rPr>
          <w:rFonts w:ascii="Arial" w:eastAsia="Times New Roman" w:hAnsi="Arial" w:cs="Arial"/>
          <w:szCs w:val="28"/>
          <w:lang w:val="uk-UA" w:eastAsia="uk-UA"/>
        </w:rPr>
      </w:pPr>
    </w:p>
    <w:p w14:paraId="5908F798" w14:textId="69E8C38C" w:rsidR="00DF77B5" w:rsidRPr="00511005" w:rsidRDefault="007B2628" w:rsidP="007B2628">
      <w:pPr>
        <w:widowControl w:val="0"/>
        <w:autoSpaceDE w:val="0"/>
        <w:autoSpaceDN w:val="0"/>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480F6E31" w14:textId="77777777" w:rsidR="00DF77B5" w:rsidRPr="00511005" w:rsidRDefault="00DF77B5" w:rsidP="003F6A5D">
      <w:pPr>
        <w:widowControl w:val="0"/>
        <w:numPr>
          <w:ilvl w:val="0"/>
          <w:numId w:val="801"/>
        </w:numPr>
        <w:autoSpaceDE w:val="0"/>
        <w:autoSpaceDN w:val="0"/>
        <w:spacing w:line="264" w:lineRule="auto"/>
        <w:ind w:left="284"/>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Лікарчук Д. С. РОЛЬ МІЖНАРОДНИХ ОРГАНІЗАЦІЙ У ВРЕГУЛЮВАННІ ЗОВНІШНЬОПОЛІТИЧНИХ КОНФЛІКТІВ. </w:t>
      </w:r>
      <w:r w:rsidRPr="00511005">
        <w:rPr>
          <w:rFonts w:ascii="Arial" w:eastAsia="Times New Roman" w:hAnsi="Arial" w:cs="Arial"/>
          <w:i/>
          <w:iCs/>
          <w:szCs w:val="28"/>
          <w:lang w:val="uk-UA" w:eastAsia="uk-UA"/>
        </w:rPr>
        <w:t>Журнал міжнародних відносин КНУКіМ</w:t>
      </w:r>
      <w:r w:rsidRPr="00511005">
        <w:rPr>
          <w:rFonts w:ascii="Arial" w:eastAsia="Times New Roman" w:hAnsi="Arial" w:cs="Arial"/>
          <w:szCs w:val="28"/>
          <w:lang w:val="uk-UA" w:eastAsia="uk-UA"/>
        </w:rPr>
        <w:t>. Київ, 2020. С. 44.</w:t>
      </w:r>
    </w:p>
    <w:p w14:paraId="13031DD4" w14:textId="77777777" w:rsidR="00DF77B5" w:rsidRPr="00511005" w:rsidRDefault="00DF77B5" w:rsidP="003F6A5D">
      <w:pPr>
        <w:widowControl w:val="0"/>
        <w:numPr>
          <w:ilvl w:val="0"/>
          <w:numId w:val="801"/>
        </w:numPr>
        <w:autoSpaceDE w:val="0"/>
        <w:autoSpaceDN w:val="0"/>
        <w:spacing w:line="264" w:lineRule="auto"/>
        <w:ind w:left="284"/>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Міжнародне право. </w:t>
      </w:r>
      <w:r w:rsidRPr="00511005">
        <w:rPr>
          <w:rFonts w:ascii="Arial" w:eastAsia="Times New Roman" w:hAnsi="Arial" w:cs="Arial"/>
          <w:i/>
          <w:iCs/>
          <w:szCs w:val="28"/>
          <w:lang w:val="uk-UA" w:eastAsia="uk-UA"/>
        </w:rPr>
        <w:t>Stud.com.ua.</w:t>
      </w:r>
      <w:r w:rsidRPr="00511005">
        <w:rPr>
          <w:rFonts w:ascii="Arial" w:eastAsia="Times New Roman" w:hAnsi="Arial" w:cs="Arial"/>
          <w:szCs w:val="28"/>
          <w:lang w:val="uk-UA" w:eastAsia="uk-UA"/>
        </w:rPr>
        <w:t xml:space="preserve">. </w:t>
      </w:r>
      <w:r w:rsidRPr="00511005">
        <w:rPr>
          <w:rFonts w:ascii="Arial" w:eastAsia="Times New Roman" w:hAnsi="Arial" w:cs="Arial"/>
          <w:i/>
          <w:iCs/>
          <w:szCs w:val="28"/>
          <w:lang w:val="uk-UA" w:eastAsia="uk-UA"/>
        </w:rPr>
        <w:t>Організація об’єднаних націй та її спеціалізовані установи</w:t>
      </w:r>
      <w:r w:rsidRPr="00511005">
        <w:rPr>
          <w:rFonts w:ascii="Arial" w:eastAsia="Times New Roman" w:hAnsi="Arial" w:cs="Arial"/>
          <w:szCs w:val="28"/>
          <w:lang w:val="uk-UA" w:eastAsia="uk-UA"/>
        </w:rPr>
        <w:t xml:space="preserve">. URL: </w:t>
      </w:r>
      <w:hyperlink r:id="rId2552" w:anchor="goog_rewarded" w:history="1">
        <w:r w:rsidRPr="00511005">
          <w:rPr>
            <w:rFonts w:ascii="Arial" w:eastAsia="Times New Roman" w:hAnsi="Arial" w:cs="Arial"/>
            <w:szCs w:val="28"/>
            <w:lang w:val="uk-UA" w:eastAsia="uk-UA"/>
          </w:rPr>
          <w:t>https://stud.com.ua/15949/pravo/organizatsiya_obyednanih_natsiy_spetsializovani_ustanovi#goog_rewarded</w:t>
        </w:r>
      </w:hyperlink>
      <w:r w:rsidRPr="00511005">
        <w:rPr>
          <w:rFonts w:ascii="Arial" w:eastAsia="Times New Roman" w:hAnsi="Arial" w:cs="Arial"/>
          <w:szCs w:val="28"/>
          <w:lang w:val="uk-UA" w:eastAsia="uk-UA"/>
        </w:rPr>
        <w:t>.</w:t>
      </w:r>
    </w:p>
    <w:p w14:paraId="799C0130" w14:textId="77777777" w:rsidR="00DF77B5" w:rsidRPr="00511005" w:rsidRDefault="00DF77B5" w:rsidP="003F6A5D">
      <w:pPr>
        <w:widowControl w:val="0"/>
        <w:numPr>
          <w:ilvl w:val="0"/>
          <w:numId w:val="801"/>
        </w:numPr>
        <w:autoSpaceDE w:val="0"/>
        <w:autoSpaceDN w:val="0"/>
        <w:spacing w:line="264" w:lineRule="auto"/>
        <w:ind w:left="284"/>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Міжнародний валютний фонд. </w:t>
      </w:r>
      <w:r w:rsidRPr="00511005">
        <w:rPr>
          <w:rFonts w:ascii="Arial" w:eastAsia="Times New Roman" w:hAnsi="Arial" w:cs="Arial"/>
          <w:i/>
          <w:iCs/>
          <w:szCs w:val="28"/>
          <w:lang w:val="uk-UA" w:eastAsia="uk-UA"/>
        </w:rPr>
        <w:t>МІНІСТЕРСТВО ФІНАНСІВ УКРАЇНИ</w:t>
      </w:r>
      <w:r w:rsidRPr="00511005">
        <w:rPr>
          <w:rFonts w:ascii="Arial" w:eastAsia="Times New Roman" w:hAnsi="Arial" w:cs="Arial"/>
          <w:szCs w:val="28"/>
          <w:lang w:val="uk-UA" w:eastAsia="uk-UA"/>
        </w:rPr>
        <w:t xml:space="preserve">. URL: </w:t>
      </w:r>
      <w:hyperlink r:id="rId2553" w:history="1">
        <w:r w:rsidRPr="00511005">
          <w:rPr>
            <w:rFonts w:ascii="Arial" w:eastAsia="Times New Roman" w:hAnsi="Arial" w:cs="Arial"/>
            <w:szCs w:val="28"/>
            <w:lang w:val="uk-UA" w:eastAsia="uk-UA"/>
          </w:rPr>
          <w:t>https://mof.gov.ua/uk/mvf</w:t>
        </w:r>
      </w:hyperlink>
    </w:p>
    <w:p w14:paraId="70E690F6" w14:textId="77777777" w:rsidR="00DF77B5" w:rsidRPr="00511005" w:rsidRDefault="00DF77B5" w:rsidP="003F6A5D">
      <w:pPr>
        <w:widowControl w:val="0"/>
        <w:numPr>
          <w:ilvl w:val="0"/>
          <w:numId w:val="801"/>
        </w:numPr>
        <w:autoSpaceDE w:val="0"/>
        <w:autoSpaceDN w:val="0"/>
        <w:spacing w:line="264" w:lineRule="auto"/>
        <w:ind w:left="284"/>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ЩО ТАКЕ НАТО?. NATO. URL: </w:t>
      </w:r>
      <w:hyperlink r:id="rId2554" w:history="1">
        <w:r w:rsidRPr="00511005">
          <w:rPr>
            <w:rFonts w:ascii="Arial" w:eastAsia="Times New Roman" w:hAnsi="Arial" w:cs="Arial"/>
            <w:szCs w:val="28"/>
            <w:lang w:val="uk-UA" w:eastAsia="uk-UA"/>
          </w:rPr>
          <w:t>https://www.nato.int/cps/uk/natohq/index.htm</w:t>
        </w:r>
      </w:hyperlink>
      <w:r w:rsidRPr="00511005">
        <w:rPr>
          <w:rFonts w:ascii="Arial" w:eastAsia="Times New Roman" w:hAnsi="Arial" w:cs="Arial"/>
          <w:szCs w:val="28"/>
          <w:lang w:val="uk-UA" w:eastAsia="uk-UA"/>
        </w:rPr>
        <w:t>.</w:t>
      </w:r>
    </w:p>
    <w:p w14:paraId="58541764" w14:textId="01BFC199" w:rsidR="00DF77B5" w:rsidRPr="00511005" w:rsidRDefault="007B2628" w:rsidP="001165EC">
      <w:pPr>
        <w:widowControl w:val="0"/>
        <w:autoSpaceDE w:val="0"/>
        <w:autoSpaceDN w:val="0"/>
        <w:spacing w:line="264" w:lineRule="auto"/>
        <w:ind w:firstLine="0"/>
        <w:jc w:val="left"/>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DF77B5" w:rsidRPr="00511005">
        <w:rPr>
          <w:rFonts w:ascii="Arial" w:eastAsia="Times New Roman" w:hAnsi="Arial" w:cs="Arial"/>
          <w:szCs w:val="28"/>
          <w:lang w:val="uk-UA" w:eastAsia="uk-UA"/>
        </w:rPr>
        <w:t xml:space="preserve">міжнародні організації, дипломатія, миротворчість, конфлікти, врегулювання, безпека, ООН, НАТО, ЄС, ОБСЄ, неурядові організації, правозахист, гуманітарна допомога, міжнародне право, санкції, </w:t>
      </w:r>
      <w:r w:rsidR="00DF77B5" w:rsidRPr="00511005">
        <w:rPr>
          <w:rFonts w:ascii="Arial" w:eastAsia="Times New Roman" w:hAnsi="Arial" w:cs="Arial"/>
          <w:szCs w:val="28"/>
          <w:lang w:val="uk-UA" w:eastAsia="uk-UA"/>
        </w:rPr>
        <w:lastRenderedPageBreak/>
        <w:t>посередництво, стабільність.</w:t>
      </w:r>
      <w:r w:rsidRPr="00511005">
        <w:rPr>
          <w:rFonts w:ascii="Arial" w:eastAsia="Times New Roman" w:hAnsi="Arial" w:cs="Arial"/>
          <w:szCs w:val="28"/>
          <w:lang w:val="uk-UA" w:eastAsia="uk-UA"/>
        </w:rPr>
        <w:t xml:space="preserve"> </w:t>
      </w:r>
    </w:p>
    <w:p w14:paraId="2D123211" w14:textId="519C7E64" w:rsidR="00DF77B5" w:rsidRPr="00511005" w:rsidRDefault="007B2628" w:rsidP="001165EC">
      <w:pPr>
        <w:widowControl w:val="0"/>
        <w:autoSpaceDE w:val="0"/>
        <w:autoSpaceDN w:val="0"/>
        <w:spacing w:line="264" w:lineRule="auto"/>
        <w:ind w:firstLine="0"/>
        <w:jc w:val="left"/>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Key words: </w:t>
      </w:r>
      <w:r w:rsidR="00DF77B5" w:rsidRPr="00511005">
        <w:rPr>
          <w:rFonts w:ascii="Arial" w:eastAsia="Times New Roman" w:hAnsi="Arial" w:cs="Arial"/>
          <w:szCs w:val="28"/>
          <w:lang w:val="uk-UA" w:eastAsia="uk-UA"/>
        </w:rPr>
        <w:t>international organizations, diplomacy, peacekeeping, conflicts, resolution, security, UN, NATO, EU, OSCE, non-governmental organizations, human rights protection, humanitarian aid, international law, sanctions, mediation, stability.</w:t>
      </w:r>
      <w:r w:rsidRPr="00511005">
        <w:rPr>
          <w:rFonts w:ascii="Arial" w:eastAsia="Times New Roman" w:hAnsi="Arial" w:cs="Arial"/>
          <w:szCs w:val="28"/>
          <w:lang w:val="uk-UA" w:eastAsia="uk-UA"/>
        </w:rPr>
        <w:t xml:space="preserve"> </w:t>
      </w:r>
    </w:p>
    <w:p w14:paraId="2E178EBE" w14:textId="1DD50B5B" w:rsidR="00DF77B5" w:rsidRPr="00511005" w:rsidRDefault="007B2628" w:rsidP="001165EC">
      <w:pPr>
        <w:widowControl w:val="0"/>
        <w:autoSpaceDE w:val="0"/>
        <w:autoSpaceDN w:val="0"/>
        <w:spacing w:line="264" w:lineRule="auto"/>
        <w:ind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д.політ.н., доцент Завгородня Ю.В.</w:t>
      </w:r>
    </w:p>
    <w:p w14:paraId="58CBDD53" w14:textId="77777777" w:rsidR="00DF77B5" w:rsidRPr="00511005" w:rsidRDefault="00DF77B5" w:rsidP="003A292D">
      <w:pPr>
        <w:widowControl w:val="0"/>
        <w:autoSpaceDE w:val="0"/>
        <w:autoSpaceDN w:val="0"/>
        <w:spacing w:line="264" w:lineRule="auto"/>
        <w:ind w:firstLine="720"/>
        <w:jc w:val="center"/>
        <w:rPr>
          <w:rFonts w:ascii="Arial" w:eastAsia="Times New Roman" w:hAnsi="Arial" w:cs="Arial"/>
          <w:b/>
          <w:i/>
          <w:szCs w:val="28"/>
          <w:lang w:val="uk-UA"/>
        </w:rPr>
      </w:pPr>
    </w:p>
    <w:p w14:paraId="1FF68BE0" w14:textId="77777777" w:rsidR="00DF77B5" w:rsidRPr="00511005" w:rsidRDefault="00DF77B5" w:rsidP="001165EC">
      <w:pPr>
        <w:widowControl w:val="0"/>
        <w:autoSpaceDE w:val="0"/>
        <w:autoSpaceDN w:val="0"/>
        <w:spacing w:line="264" w:lineRule="auto"/>
        <w:ind w:left="709" w:firstLine="0"/>
        <w:jc w:val="center"/>
        <w:rPr>
          <w:rFonts w:ascii="Arial" w:eastAsia="Times New Roman" w:hAnsi="Arial" w:cs="Arial"/>
          <w:b/>
          <w:bCs/>
          <w:i/>
          <w:iCs/>
          <w:szCs w:val="28"/>
          <w:lang w:val="uk-UA" w:eastAsia="uk-UA"/>
        </w:rPr>
      </w:pPr>
      <w:r w:rsidRPr="00511005">
        <w:rPr>
          <w:rFonts w:ascii="Arial" w:eastAsia="Times New Roman" w:hAnsi="Arial" w:cs="Arial"/>
          <w:b/>
          <w:bCs/>
          <w:i/>
          <w:iCs/>
          <w:szCs w:val="28"/>
          <w:lang w:val="uk-UA" w:eastAsia="uk-UA"/>
        </w:rPr>
        <w:t>Кріпак Денис Григорович</w:t>
      </w:r>
    </w:p>
    <w:p w14:paraId="53D8EB0C" w14:textId="1C4CEE3F" w:rsidR="003C4C3B" w:rsidRPr="00511005" w:rsidRDefault="003C4C3B" w:rsidP="003C4C3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 1</w:t>
      </w:r>
      <w:r w:rsidRPr="00511005">
        <w:rPr>
          <w:rFonts w:ascii="Arial" w:eastAsia="Times New Roman" w:hAnsi="Arial" w:cs="Arial"/>
          <w:bCs/>
          <w:iCs/>
          <w:szCs w:val="28"/>
          <w:lang w:val="uk-UA" w:eastAsia="ru-RU"/>
        </w:rPr>
        <w:t xml:space="preserve">-го курсу </w:t>
      </w:r>
    </w:p>
    <w:p w14:paraId="43BE17A1" w14:textId="77777777" w:rsidR="003C4C3B" w:rsidRPr="00511005" w:rsidRDefault="003C4C3B" w:rsidP="003C4C3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6E9D6762" w14:textId="77777777" w:rsidR="003C4C3B" w:rsidRPr="00511005" w:rsidRDefault="003C4C3B" w:rsidP="003C4C3B">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B914607" w14:textId="77777777" w:rsidR="001165EC" w:rsidRPr="00511005" w:rsidRDefault="001165EC" w:rsidP="001165EC">
      <w:pPr>
        <w:widowControl w:val="0"/>
        <w:autoSpaceDE w:val="0"/>
        <w:autoSpaceDN w:val="0"/>
        <w:spacing w:line="264" w:lineRule="auto"/>
        <w:ind w:left="709" w:firstLine="0"/>
        <w:jc w:val="center"/>
        <w:rPr>
          <w:rFonts w:ascii="Arial" w:eastAsia="Times New Roman" w:hAnsi="Arial" w:cs="Arial"/>
          <w:szCs w:val="28"/>
          <w:lang w:val="uk-UA" w:eastAsia="uk-UA"/>
        </w:rPr>
      </w:pPr>
    </w:p>
    <w:p w14:paraId="2E5430B1" w14:textId="77777777" w:rsidR="00DF77B5" w:rsidRPr="00511005" w:rsidRDefault="00DF77B5" w:rsidP="001165EC">
      <w:pPr>
        <w:widowControl w:val="0"/>
        <w:autoSpaceDE w:val="0"/>
        <w:autoSpaceDN w:val="0"/>
        <w:spacing w:line="264" w:lineRule="auto"/>
        <w:ind w:left="709"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АГРЕСІЯ РФ ПРОТИ УКРАЇНИ ЯК ЧИННИК ДЕСТАБІЛІЗАЦІЇ СВІТОВОГО ПОРЯДКУ І ГЛОБАЛЬНОЇ БЕЗПЕКИ</w:t>
      </w:r>
    </w:p>
    <w:p w14:paraId="6EDCC74C" w14:textId="349FB17E"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Агресія РФ проти України, що почалася в 2014 році і набрала найбільших масштабів у 2022 році, стала серйозним викликом для сучасного світового порядку, бо впливає на міжнародні відносини, систему євроатлантичної безпеки, кліматичні умови, продовольчу безпеку тощо. За оцінками експертів, ця агресія змінила основи міжнародної безпеки та посилила ризики для стабільності в різних регіонах світу. Наслідки цієї війни відчуваються далеко за межами України, бо здатні спричинити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зміни у глобальних економічних і політичних процесах.</w:t>
      </w:r>
    </w:p>
    <w:p w14:paraId="38B1AA20" w14:textId="77777777" w:rsidR="007B2628" w:rsidRPr="00511005" w:rsidRDefault="00DF77B5" w:rsidP="001165EC">
      <w:pPr>
        <w:widowControl w:val="0"/>
        <w:autoSpaceDE w:val="0"/>
        <w:autoSpaceDN w:val="0"/>
        <w:spacing w:line="264" w:lineRule="auto"/>
        <w:rPr>
          <w:rFonts w:ascii="Arial" w:eastAsia="Times New Roman" w:hAnsi="Arial" w:cs="Arial"/>
          <w:bCs/>
          <w:szCs w:val="28"/>
          <w:lang w:val="uk-UA" w:eastAsia="uk-UA"/>
        </w:rPr>
      </w:pPr>
      <w:r w:rsidRPr="00511005">
        <w:rPr>
          <w:rFonts w:ascii="Arial" w:eastAsia="Times New Roman" w:hAnsi="Arial" w:cs="Arial"/>
          <w:bCs/>
          <w:szCs w:val="28"/>
          <w:lang w:val="uk-UA" w:eastAsia="uk-UA"/>
        </w:rPr>
        <w:t>Адже відбувся</w:t>
      </w:r>
      <w:r w:rsidRPr="00511005">
        <w:rPr>
          <w:rFonts w:ascii="Arial" w:eastAsia="Times New Roman" w:hAnsi="Arial" w:cs="Arial"/>
          <w:szCs w:val="28"/>
          <w:lang w:val="uk-UA" w:eastAsia="uk-UA"/>
        </w:rPr>
        <w:t xml:space="preserve"> підрив основ міжнародної системи, яка була побудована на принципах мирного співіснування і взаємоповаги між державами. Президент Чехії зазначив, що агресія Росії проти України є серйозним викликом для міжнародної системи, оскільки вона порушує основні принципи ООН, зокрема принцип суверенітету та територіальної цілісності [1]. Протягом десятиліть після Другої світової війни міжнародна система сприяла створенню стабільного світового порядку, заснованого на взаємодії і співпраці між державами, де важливу роль відігравали міжнародні інститути, механізми колективної безпеки.</w:t>
      </w:r>
      <w:r w:rsidRPr="00511005">
        <w:rPr>
          <w:rFonts w:ascii="Arial" w:eastAsia="Times New Roman" w:hAnsi="Arial" w:cs="Arial"/>
          <w:bCs/>
          <w:szCs w:val="28"/>
          <w:lang w:val="uk-UA" w:eastAsia="uk-UA"/>
        </w:rPr>
        <w:t xml:space="preserve"> </w:t>
      </w:r>
      <w:r w:rsidRPr="00511005">
        <w:rPr>
          <w:rFonts w:ascii="Arial" w:eastAsia="Times New Roman" w:hAnsi="Arial" w:cs="Arial"/>
          <w:szCs w:val="28"/>
          <w:lang w:val="uk-UA" w:eastAsia="uk-UA"/>
        </w:rPr>
        <w:t>Однак вторгнення РФ в Україну стало тестом на стійкість цих механізмів, порушивши міжнародні договори і принципи глобальної безпеки, норми міжнародного права. Війна в Україні продемонструвала обмежену ефективність ООН і інших міжнародних інституцій у протидії великим державам, що використовують військову силу для досягнення своїх політичних цілей.</w:t>
      </w:r>
    </w:p>
    <w:p w14:paraId="1145BE0B" w14:textId="6E5B1E98" w:rsidR="00DF77B5" w:rsidRPr="00511005" w:rsidRDefault="00DF77B5" w:rsidP="001165EC">
      <w:pPr>
        <w:widowControl w:val="0"/>
        <w:autoSpaceDE w:val="0"/>
        <w:autoSpaceDN w:val="0"/>
        <w:spacing w:line="264" w:lineRule="auto"/>
        <w:rPr>
          <w:rFonts w:ascii="Arial" w:eastAsia="Times New Roman" w:hAnsi="Arial" w:cs="Arial"/>
          <w:bCs/>
          <w:szCs w:val="28"/>
          <w:lang w:val="uk-UA" w:eastAsia="uk-UA"/>
        </w:rPr>
      </w:pPr>
      <w:r w:rsidRPr="00511005">
        <w:rPr>
          <w:rFonts w:ascii="Arial" w:eastAsia="Times New Roman" w:hAnsi="Arial" w:cs="Arial"/>
          <w:szCs w:val="28"/>
          <w:lang w:val="uk-UA" w:eastAsia="uk-UA"/>
        </w:rPr>
        <w:t xml:space="preserve">Агресія РФ стала каталізатором змін у системі євроатлантичної безпеки. Генеральний секретар НАТО Єнс Столтенберг підкреслив, що війна Росії проти України змінила всю систему євроатлантичної безпеки. До цієї війни Європа була стабільним регіоном з відносно низьким рівнем військової загрози, де мир і стабільність забезпечувалися економічними зв’язками та дипломатичними механізмами. Однак агресія Росії </w:t>
      </w:r>
      <w:r w:rsidRPr="00511005">
        <w:rPr>
          <w:rFonts w:ascii="Arial" w:eastAsia="Times New Roman" w:hAnsi="Arial" w:cs="Arial"/>
          <w:szCs w:val="28"/>
          <w:lang w:val="uk-UA" w:eastAsia="uk-UA"/>
        </w:rPr>
        <w:lastRenderedPageBreak/>
        <w:t>перетворила Європу на зону високого ризику.</w:t>
      </w:r>
    </w:p>
    <w:p w14:paraId="11DB1F5B" w14:textId="77777777" w:rsidR="007B2628"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НАТО, як головний військовий альянс, змушений був переглянути свою стратегію, збільшити оборонні витрати і присутність своїх військ на сході Європи, передусім у країнах членах Альянсу, що межують з Росією. Крім того, з’явились нові ініціативи щодо енергетичної безпеки та розширення інфраструктури для швидкого реагування на загрози [2].</w:t>
      </w:r>
    </w:p>
    <w:p w14:paraId="62B5728C" w14:textId="12D85FAD"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Війна в Україні виявила слабкості у глобальній безпеці, зокрема в сфері стратегічного прогнозування, оборонної готовності і міжнародної координації, потребуючи посилення співпраці в рамках нових безпекових ініціатив, як AUKUS і розширення НАТО. Була продемонстрована необхідність протистояння не тільки військовим, а й політичним, економічним та інформаційним загрозам для забезпечення глобальної стабільності.</w:t>
      </w:r>
    </w:p>
    <w:p w14:paraId="65F83F5F" w14:textId="77777777" w:rsidR="00DF77B5" w:rsidRPr="00511005" w:rsidRDefault="00DF77B5" w:rsidP="001165EC">
      <w:pPr>
        <w:widowControl w:val="0"/>
        <w:autoSpaceDE w:val="0"/>
        <w:autoSpaceDN w:val="0"/>
        <w:spacing w:line="264" w:lineRule="auto"/>
        <w:rPr>
          <w:rFonts w:ascii="Arial" w:eastAsia="Times New Roman" w:hAnsi="Arial" w:cs="Arial"/>
          <w:bCs/>
          <w:szCs w:val="28"/>
          <w:lang w:val="uk-UA" w:eastAsia="uk-UA"/>
        </w:rPr>
      </w:pPr>
      <w:r w:rsidRPr="00511005">
        <w:rPr>
          <w:rFonts w:ascii="Arial" w:eastAsia="Times New Roman" w:hAnsi="Arial" w:cs="Arial"/>
          <w:bCs/>
          <w:szCs w:val="28"/>
          <w:lang w:val="uk-UA" w:eastAsia="uk-UA"/>
        </w:rPr>
        <w:t>Ця в</w:t>
      </w:r>
      <w:r w:rsidRPr="00511005">
        <w:rPr>
          <w:rFonts w:ascii="Arial" w:eastAsia="Times New Roman" w:hAnsi="Arial" w:cs="Arial"/>
          <w:szCs w:val="28"/>
          <w:lang w:val="uk-UA" w:eastAsia="uk-UA"/>
        </w:rPr>
        <w:t>ійна має серйозний вплив і на екологічну безпеку, на зміну клімату через забруднення земель, водних ресурсів і атмосфери внаслідок бойових дій і руйнації критично важливої та іноді небезпечної інфраструктури.</w:t>
      </w:r>
      <w:r w:rsidRPr="00511005">
        <w:rPr>
          <w:rFonts w:ascii="Arial" w:eastAsia="Times New Roman" w:hAnsi="Arial" w:cs="Arial"/>
          <w:bCs/>
          <w:szCs w:val="28"/>
          <w:lang w:val="uk-UA" w:eastAsia="uk-UA"/>
        </w:rPr>
        <w:t xml:space="preserve"> Е</w:t>
      </w:r>
      <w:r w:rsidRPr="00511005">
        <w:rPr>
          <w:rFonts w:ascii="Arial" w:eastAsia="Times New Roman" w:hAnsi="Arial" w:cs="Arial"/>
          <w:szCs w:val="28"/>
          <w:lang w:val="uk-UA" w:eastAsia="uk-UA"/>
        </w:rPr>
        <w:t>кологічні катастрофи ставлять під загрозу стабільність екосистем, що впливає на життєдіяльність населення, сільське господарство, продовольчу безпеку на глобальному рівні [4].</w:t>
      </w:r>
    </w:p>
    <w:p w14:paraId="7FA40988" w14:textId="77777777" w:rsidR="00DF77B5" w:rsidRPr="00511005" w:rsidRDefault="00DF77B5" w:rsidP="001165EC">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Згідно з дослідженнями, російська агресія проти України призвела до підвищення цін на продовольчі товари на світових ринках, що особливо гостро відчувається в країнах, що розвиваються. Блокування українських портів і руйнування інфраструктури створює серйозні економічні та гуманітарні проблеми для багатьох держав, що залежать від продовольчого імпорту [3].</w:t>
      </w:r>
    </w:p>
    <w:p w14:paraId="530EA76F" w14:textId="66FE98B4" w:rsidR="00DF77B5" w:rsidRPr="00511005" w:rsidRDefault="00DF77B5" w:rsidP="001165EC">
      <w:pPr>
        <w:widowControl w:val="0"/>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bCs/>
          <w:szCs w:val="28"/>
          <w:lang w:val="uk-UA" w:eastAsia="uk-UA"/>
        </w:rPr>
        <w:t xml:space="preserve">Таким чином, </w:t>
      </w:r>
      <w:r w:rsidRPr="00511005">
        <w:rPr>
          <w:rFonts w:ascii="Arial" w:eastAsia="Times New Roman" w:hAnsi="Arial" w:cs="Arial"/>
          <w:szCs w:val="28"/>
          <w:lang w:val="uk-UA" w:eastAsia="uk-UA"/>
        </w:rPr>
        <w:t>агресія РФ проти України стала серйозним чинником дестабілізації світового порядку і глобальної безпеки. Вона створила загрози в багатьох сферах життєдіяльності суспільств: для України на національному, для Європи на регіональному та для Світу на глобальному рівнях. Підрив основ міжнародної системи безпеки, вимагає координації зусиль міжнародної спільноти для відновлення стабільності і запобігання подібним проявім агресії у майбутньому.</w:t>
      </w:r>
    </w:p>
    <w:p w14:paraId="503515A5" w14:textId="77777777" w:rsidR="00D855E2" w:rsidRPr="00511005" w:rsidRDefault="00D855E2" w:rsidP="001165EC">
      <w:pPr>
        <w:widowControl w:val="0"/>
        <w:autoSpaceDE w:val="0"/>
        <w:autoSpaceDN w:val="0"/>
        <w:spacing w:line="264" w:lineRule="auto"/>
        <w:jc w:val="left"/>
        <w:rPr>
          <w:rFonts w:ascii="Arial" w:eastAsia="Times New Roman" w:hAnsi="Arial" w:cs="Arial"/>
          <w:szCs w:val="28"/>
          <w:lang w:val="uk-UA" w:eastAsia="uk-UA"/>
        </w:rPr>
      </w:pPr>
    </w:p>
    <w:p w14:paraId="743A1F11" w14:textId="7C19FBBC" w:rsidR="00DF77B5" w:rsidRPr="00511005" w:rsidRDefault="007B2628" w:rsidP="007B2628">
      <w:pPr>
        <w:widowControl w:val="0"/>
        <w:autoSpaceDE w:val="0"/>
        <w:autoSpaceDN w:val="0"/>
        <w:spacing w:line="264" w:lineRule="auto"/>
        <w:ind w:left="709"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74C6D5E5" w14:textId="77777777" w:rsidR="00DF77B5" w:rsidRPr="00511005" w:rsidRDefault="00DF77B5" w:rsidP="003F6A5D">
      <w:pPr>
        <w:widowControl w:val="0"/>
        <w:numPr>
          <w:ilvl w:val="0"/>
          <w:numId w:val="79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Агресія Росії проти України є викликом для міжнародної системи - президент Чехії. URL: </w:t>
      </w:r>
      <w:hyperlink r:id="rId2555" w:tgtFrame="_new" w:history="1">
        <w:r w:rsidRPr="00511005">
          <w:rPr>
            <w:rFonts w:ascii="Arial" w:eastAsia="Times New Roman" w:hAnsi="Arial" w:cs="Arial"/>
            <w:szCs w:val="28"/>
            <w:lang w:val="uk-UA" w:eastAsia="uk-UA"/>
          </w:rPr>
          <w:t>https://www.ukrinform.ua/rubric-world/3908770-agresia-rosii-proti-ukraini-e-viklikom-dla-miznarodnoi-sistemi-prezident-cehii.html</w:t>
        </w:r>
      </w:hyperlink>
    </w:p>
    <w:p w14:paraId="0B08A2D0" w14:textId="77777777" w:rsidR="00DF77B5" w:rsidRPr="00511005" w:rsidRDefault="00DF77B5" w:rsidP="003F6A5D">
      <w:pPr>
        <w:widowControl w:val="0"/>
        <w:numPr>
          <w:ilvl w:val="0"/>
          <w:numId w:val="79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Агресія Росії проти України змінила всю систему євроатлантичної безпеки – Столтенберг. URL: </w:t>
      </w:r>
      <w:hyperlink r:id="rId2556" w:history="1">
        <w:r w:rsidRPr="00511005">
          <w:rPr>
            <w:rFonts w:ascii="Arial" w:eastAsia="Times New Roman" w:hAnsi="Arial" w:cs="Arial"/>
            <w:szCs w:val="28"/>
            <w:lang w:val="uk-UA" w:eastAsia="uk-UA"/>
          </w:rPr>
          <w:t>https://www.ukrinform.ua/rubric-world/3431197-agresia-rosii-proti-ukraini-zminila-vsu-sistemu-evroatlanticnoi-bezpeki-stoltenberg.html?utm</w:t>
        </w:r>
      </w:hyperlink>
      <w:r w:rsidRPr="00511005">
        <w:rPr>
          <w:rFonts w:ascii="Arial" w:eastAsia="Times New Roman" w:hAnsi="Arial" w:cs="Arial"/>
          <w:szCs w:val="28"/>
          <w:lang w:val="uk-UA" w:eastAsia="uk-UA"/>
        </w:rPr>
        <w:t xml:space="preserve"> </w:t>
      </w:r>
    </w:p>
    <w:p w14:paraId="655AB956" w14:textId="77777777" w:rsidR="00DF77B5" w:rsidRPr="00511005" w:rsidRDefault="00DF77B5" w:rsidP="003F6A5D">
      <w:pPr>
        <w:widowControl w:val="0"/>
        <w:numPr>
          <w:ilvl w:val="0"/>
          <w:numId w:val="79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Російська війна проти України як тригер змін міжнародної безпеки: базові наративи. URL: </w:t>
      </w:r>
      <w:hyperlink r:id="rId2557" w:history="1">
        <w:r w:rsidRPr="00511005">
          <w:rPr>
            <w:rFonts w:ascii="Arial" w:eastAsia="Times New Roman" w:hAnsi="Arial" w:cs="Arial"/>
            <w:szCs w:val="28"/>
            <w:lang w:val="uk-UA" w:eastAsia="uk-UA"/>
          </w:rPr>
          <w:t>https://niss.gov.ua/publikatsiyi/analitychni-dopovidi/rosiyska-viyna-proty-ukrayiny-yak-tryher-zmin-mizhnarodnoyi?utm</w:t>
        </w:r>
      </w:hyperlink>
      <w:r w:rsidRPr="00511005">
        <w:rPr>
          <w:rFonts w:ascii="Arial" w:eastAsia="Times New Roman" w:hAnsi="Arial" w:cs="Arial"/>
          <w:szCs w:val="28"/>
          <w:lang w:val="uk-UA" w:eastAsia="uk-UA"/>
        </w:rPr>
        <w:t xml:space="preserve"> </w:t>
      </w:r>
    </w:p>
    <w:p w14:paraId="648505C9" w14:textId="70121100" w:rsidR="00DF77B5" w:rsidRPr="00511005" w:rsidRDefault="00DF77B5" w:rsidP="003F6A5D">
      <w:pPr>
        <w:widowControl w:val="0"/>
        <w:numPr>
          <w:ilvl w:val="0"/>
          <w:numId w:val="79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Вплив російської збройної агресії на зміну клімату. URL: </w:t>
      </w:r>
      <w:hyperlink r:id="rId2558" w:history="1">
        <w:r w:rsidRPr="00511005">
          <w:rPr>
            <w:rFonts w:ascii="Arial" w:eastAsia="Times New Roman" w:hAnsi="Arial" w:cs="Arial"/>
            <w:szCs w:val="28"/>
            <w:lang w:val="uk-UA" w:eastAsia="uk-UA"/>
          </w:rPr>
          <w:t>https://niss.gov.ua/doslidzhennya/natsionalna-bezpeka/vplyv-rosiyskoyi-zbroynoyi-ahresiyi-na-zminu-klimatu?utm</w:t>
        </w:r>
      </w:hyperlink>
      <w:r w:rsidR="007B2628" w:rsidRPr="00511005">
        <w:rPr>
          <w:rFonts w:ascii="Arial" w:eastAsia="Times New Roman" w:hAnsi="Arial" w:cs="Arial"/>
          <w:szCs w:val="28"/>
          <w:lang w:val="uk-UA" w:eastAsia="uk-UA"/>
        </w:rPr>
        <w:t xml:space="preserve"> </w:t>
      </w:r>
    </w:p>
    <w:p w14:paraId="5E3BDF49" w14:textId="5DCC9531" w:rsidR="00DF77B5" w:rsidRPr="00511005" w:rsidRDefault="00DF77B5" w:rsidP="003F6A5D">
      <w:pPr>
        <w:widowControl w:val="0"/>
        <w:numPr>
          <w:ilvl w:val="0"/>
          <w:numId w:val="79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Агресія РФ проти України як загроза глобальній продовольчій безпеці. URL: </w:t>
      </w:r>
      <w:hyperlink r:id="rId2559" w:history="1">
        <w:r w:rsidRPr="00511005">
          <w:rPr>
            <w:rFonts w:ascii="Arial" w:eastAsia="Times New Roman" w:hAnsi="Arial" w:cs="Arial"/>
            <w:szCs w:val="28"/>
            <w:lang w:val="uk-UA" w:eastAsia="uk-UA"/>
          </w:rPr>
          <w:t>https://niss.gov.ua/publikatsiyi/analitychni-dopovidi/ahresiya-rf-proty-ukrayiny-yak-zahroza-hlobalniy-prodovolchiy?utm</w:t>
        </w:r>
      </w:hyperlink>
      <w:r w:rsidR="007B2628" w:rsidRPr="00511005">
        <w:rPr>
          <w:rFonts w:ascii="Arial" w:eastAsia="Times New Roman" w:hAnsi="Arial" w:cs="Arial"/>
          <w:szCs w:val="28"/>
          <w:lang w:val="uk-UA" w:eastAsia="uk-UA"/>
        </w:rPr>
        <w:t xml:space="preserve"> </w:t>
      </w:r>
    </w:p>
    <w:p w14:paraId="39F1E99B" w14:textId="31B2AE76" w:rsidR="00DF77B5" w:rsidRPr="00511005" w:rsidRDefault="007B2628" w:rsidP="001165EC">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Ключові слова: </w:t>
      </w:r>
      <w:r w:rsidR="00DF77B5" w:rsidRPr="00511005">
        <w:rPr>
          <w:rFonts w:ascii="Arial" w:eastAsia="Times New Roman" w:hAnsi="Arial" w:cs="Arial"/>
          <w:i/>
          <w:iCs/>
          <w:szCs w:val="28"/>
          <w:lang w:val="uk-UA" w:eastAsia="uk-UA"/>
        </w:rPr>
        <w:t>Україна, російська агресія, міжнародна безпека, світовий порядок, кліматичні наслідки, суверенітет.</w:t>
      </w:r>
    </w:p>
    <w:p w14:paraId="109BC357" w14:textId="3893445C" w:rsidR="00DF77B5" w:rsidRPr="00511005" w:rsidRDefault="007B2628" w:rsidP="001165EC">
      <w:pPr>
        <w:widowControl w:val="0"/>
        <w:autoSpaceDE w:val="0"/>
        <w:autoSpaceDN w:val="0"/>
        <w:spacing w:line="264" w:lineRule="auto"/>
        <w:ind w:left="709" w:firstLine="0"/>
        <w:jc w:val="left"/>
        <w:rPr>
          <w:rFonts w:ascii="Arial" w:eastAsia="Times New Roman" w:hAnsi="Arial" w:cs="Arial"/>
          <w:b/>
          <w:i/>
          <w:iCs/>
          <w:szCs w:val="28"/>
          <w:lang w:val="uk-UA" w:eastAsia="uk-UA"/>
        </w:rPr>
      </w:pPr>
      <w:r w:rsidRPr="00511005">
        <w:rPr>
          <w:rFonts w:ascii="Arial" w:eastAsia="Times New Roman" w:hAnsi="Arial" w:cs="Arial"/>
          <w:b/>
          <w:i/>
          <w:iCs/>
          <w:szCs w:val="28"/>
          <w:lang w:val="uk-UA" w:eastAsia="uk-UA"/>
        </w:rPr>
        <w:t xml:space="preserve">Key words: </w:t>
      </w:r>
      <w:r w:rsidR="00DF77B5" w:rsidRPr="00511005">
        <w:rPr>
          <w:rFonts w:ascii="Arial" w:eastAsia="Times New Roman" w:hAnsi="Arial" w:cs="Arial"/>
          <w:i/>
          <w:iCs/>
          <w:szCs w:val="28"/>
          <w:lang w:val="uk-UA" w:eastAsia="uk-UA"/>
        </w:rPr>
        <w:t>Ukraine, Russian aggression, international security, world order, climate consequences, sovereignty</w:t>
      </w:r>
    </w:p>
    <w:p w14:paraId="42A1A6E3" w14:textId="675B9D7A" w:rsidR="00DF77B5" w:rsidRPr="00511005" w:rsidRDefault="007B2628" w:rsidP="001165EC">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д.і.н., професор Кормич Л.І.</w:t>
      </w:r>
    </w:p>
    <w:p w14:paraId="4E8C3AD7" w14:textId="77777777" w:rsidR="00DF77B5" w:rsidRPr="00511005" w:rsidRDefault="00DF77B5" w:rsidP="003A292D">
      <w:pPr>
        <w:widowControl w:val="0"/>
        <w:autoSpaceDE w:val="0"/>
        <w:autoSpaceDN w:val="0"/>
        <w:spacing w:line="264" w:lineRule="auto"/>
        <w:ind w:firstLine="720"/>
        <w:jc w:val="center"/>
        <w:rPr>
          <w:rFonts w:ascii="Arial" w:eastAsia="Times New Roman" w:hAnsi="Arial" w:cs="Arial"/>
          <w:b/>
          <w:i/>
          <w:szCs w:val="28"/>
          <w:lang w:val="uk-UA"/>
        </w:rPr>
      </w:pPr>
    </w:p>
    <w:p w14:paraId="74BA24EA" w14:textId="77777777" w:rsidR="00DF77B5" w:rsidRPr="00511005" w:rsidRDefault="00DF77B5" w:rsidP="00D855E2">
      <w:pPr>
        <w:widowControl w:val="0"/>
        <w:autoSpaceDE w:val="0"/>
        <w:autoSpaceDN w:val="0"/>
        <w:spacing w:line="264" w:lineRule="auto"/>
        <w:ind w:firstLine="0"/>
        <w:jc w:val="center"/>
        <w:rPr>
          <w:rFonts w:ascii="Arial" w:eastAsia="Times New Roman" w:hAnsi="Arial" w:cs="Arial"/>
          <w:b/>
          <w:i/>
          <w:szCs w:val="28"/>
          <w:lang w:val="uk-UA"/>
        </w:rPr>
      </w:pPr>
      <w:r w:rsidRPr="00511005">
        <w:rPr>
          <w:rFonts w:ascii="Arial" w:eastAsia="Times New Roman" w:hAnsi="Arial" w:cs="Arial"/>
          <w:b/>
          <w:i/>
          <w:szCs w:val="28"/>
          <w:lang w:val="uk-UA"/>
        </w:rPr>
        <w:t>Лашин Костянтин Анатолійович</w:t>
      </w:r>
    </w:p>
    <w:p w14:paraId="24272AE8" w14:textId="34027303" w:rsidR="00DF77B5" w:rsidRPr="00511005" w:rsidRDefault="00DF77B5" w:rsidP="00D855E2">
      <w:pPr>
        <w:widowControl w:val="0"/>
        <w:autoSpaceDE w:val="0"/>
        <w:autoSpaceDN w:val="0"/>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студент 1-го курсу факультету цивільної та господарської юстиції</w:t>
      </w:r>
      <w:r w:rsidRPr="00511005">
        <w:rPr>
          <w:rFonts w:ascii="Arial" w:eastAsia="Times New Roman" w:hAnsi="Arial" w:cs="Arial"/>
          <w:szCs w:val="28"/>
          <w:lang w:val="uk-UA"/>
        </w:rPr>
        <w:br/>
      </w:r>
      <w:r w:rsidR="007B2628" w:rsidRPr="00511005">
        <w:rPr>
          <w:rFonts w:ascii="Arial" w:eastAsia="Times New Roman" w:hAnsi="Arial" w:cs="Arial"/>
          <w:szCs w:val="28"/>
          <w:lang w:val="uk-UA"/>
        </w:rPr>
        <w:t>Національного університету «Одеська юридична академія»</w:t>
      </w:r>
    </w:p>
    <w:p w14:paraId="0DA5D08A" w14:textId="77777777" w:rsidR="00DF77B5" w:rsidRPr="00511005" w:rsidRDefault="00DF77B5" w:rsidP="00D855E2">
      <w:pPr>
        <w:widowControl w:val="0"/>
        <w:autoSpaceDE w:val="0"/>
        <w:autoSpaceDN w:val="0"/>
        <w:spacing w:line="264" w:lineRule="auto"/>
        <w:ind w:firstLine="0"/>
        <w:rPr>
          <w:rFonts w:ascii="Arial" w:eastAsia="Times New Roman" w:hAnsi="Arial" w:cs="Arial"/>
          <w:szCs w:val="28"/>
          <w:lang w:val="uk-UA"/>
        </w:rPr>
      </w:pPr>
    </w:p>
    <w:p w14:paraId="2D3DF1D6" w14:textId="77777777" w:rsidR="00DF77B5" w:rsidRPr="00511005" w:rsidRDefault="00DF77B5" w:rsidP="00D855E2">
      <w:pPr>
        <w:widowControl w:val="0"/>
        <w:autoSpaceDE w:val="0"/>
        <w:autoSpaceDN w:val="0"/>
        <w:spacing w:line="264" w:lineRule="auto"/>
        <w:ind w:firstLine="0"/>
        <w:jc w:val="center"/>
        <w:rPr>
          <w:rFonts w:ascii="Arial" w:eastAsia="Times New Roman" w:hAnsi="Arial" w:cs="Arial"/>
          <w:b/>
          <w:szCs w:val="28"/>
          <w:lang w:val="uk-UA"/>
        </w:rPr>
      </w:pPr>
      <w:r w:rsidRPr="00511005">
        <w:rPr>
          <w:rFonts w:ascii="Arial" w:eastAsia="Times New Roman" w:hAnsi="Arial" w:cs="Arial"/>
          <w:b/>
          <w:szCs w:val="28"/>
          <w:lang w:val="uk-UA"/>
        </w:rPr>
        <w:t>СУЧАСНА ГІБРИДНА ВІЙНА: ТЕХНОЛОГІЇ, МЕТОДИ ТА НАСЛІДКИ ДЛЯ СУВЕРЕНІТЕТУ ДЕРЖАВИ</w:t>
      </w:r>
    </w:p>
    <w:p w14:paraId="3C735EF5" w14:textId="77777777" w:rsidR="00DF77B5" w:rsidRPr="00511005" w:rsidRDefault="00DF77B5" w:rsidP="00D855E2">
      <w:pPr>
        <w:widowControl w:val="0"/>
        <w:autoSpaceDE w:val="0"/>
        <w:autoSpaceDN w:val="0"/>
        <w:spacing w:line="264" w:lineRule="auto"/>
        <w:ind w:firstLine="0"/>
        <w:rPr>
          <w:rFonts w:ascii="Arial" w:eastAsia="Times New Roman" w:hAnsi="Arial" w:cs="Arial"/>
          <w:b/>
          <w:szCs w:val="28"/>
          <w:lang w:val="uk-UA"/>
        </w:rPr>
      </w:pPr>
    </w:p>
    <w:p w14:paraId="310EAA08"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5F5F5"/>
          <w:lang w:val="uk-UA"/>
        </w:rPr>
      </w:pPr>
      <w:r w:rsidRPr="00511005">
        <w:rPr>
          <w:rFonts w:ascii="Arial" w:eastAsia="Arial Unicode MS" w:hAnsi="Arial" w:cs="Arial"/>
          <w:szCs w:val="28"/>
          <w:lang w:val="uk-UA" w:eastAsia="uk-UA"/>
        </w:rPr>
        <w:t>Термін «гібридна війна» є досить новим, дискурс по цій темі з’явився у 1990-х роках ХХ ст. У 2005 році Ф. Хоффман запропонував цей термін повноцінно ввести у науковий обіг, а у своїй статті 2007 року «Conflict in the XXIst century: the rise of Hybrid War» повноцінно розписав що являє собою гібридна війна, але не дав визначення цьому поняттю. На даний час цей термін є дискусійним. Наприклад, А. Білал зазначає, що «г</w:t>
      </w:r>
      <w:r w:rsidRPr="00511005">
        <w:rPr>
          <w:rFonts w:ascii="Arial" w:eastAsia="Times New Roman" w:hAnsi="Arial" w:cs="Arial"/>
          <w:szCs w:val="28"/>
          <w:lang w:val="uk-UA"/>
        </w:rPr>
        <w:t>ібридна війна залишається спірною концепцією, і не існує загальновизнаного визначення цього питання… Тим не менш, ця концепція дає нам ключове уявлення про сучасні та майбутні виклики безпеці та обороні» [4].</w:t>
      </w:r>
    </w:p>
    <w:p w14:paraId="1A9DC442"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5F5F5"/>
          <w:lang w:val="uk-UA"/>
        </w:rPr>
      </w:pPr>
      <w:r w:rsidRPr="00511005">
        <w:rPr>
          <w:rFonts w:ascii="Arial" w:eastAsia="Times New Roman" w:hAnsi="Arial" w:cs="Arial"/>
          <w:szCs w:val="28"/>
          <w:lang w:val="uk-UA"/>
        </w:rPr>
        <w:t>У світовій політиці часто апелюють до цього терміну, але виходячи з наукових праць можна надати наступне визначення: гібридна війна є сукупністю різних методів ведення непрямої війни, інформаційні кампанії, партизанські дії, терор, дестабілізація, підсилення сепаратизму, економічний тиск, диверсії, а з розвитком сучасних технології до гібридної війни також належать кібератаки та пропаганда у мережі інтернет.</w:t>
      </w:r>
    </w:p>
    <w:p w14:paraId="317ED92A"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На думку К. Поповича термін «гібридна війна» уживають також для опису атак із застосуванням ядерної, біологічної та хімічної зброї, саморобних вибухових пристроїв та інформаційних технологій [2]. </w:t>
      </w:r>
    </w:p>
    <w:p w14:paraId="6A5DFB25"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lastRenderedPageBreak/>
        <w:t>Д. Кілкаллен, автор книги «The Accidental Guerilla», стверджує, що гібридна війна – це «найкраще визначення для сучасних конфліктів, які включають в себе комбінації партизанської та громадянської воєн, повстання і тероризму» [цит. по: 1].</w:t>
      </w:r>
    </w:p>
    <w:p w14:paraId="3278A0F2"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5F5F5"/>
          <w:lang w:val="uk-UA"/>
        </w:rPr>
      </w:pPr>
      <w:r w:rsidRPr="00511005">
        <w:rPr>
          <w:rFonts w:ascii="Arial" w:eastAsia="Times New Roman" w:hAnsi="Arial" w:cs="Arial"/>
          <w:szCs w:val="28"/>
          <w:lang w:val="uk-UA"/>
        </w:rPr>
        <w:t>Деякі з перелічених ознак гібридної війни можна віднести до рис асиметричної війни. Поняття останньої у 1975 році запропонував Е. Мак у своїй роботі «Чому великі нації програють малі війни» [5]. Асиметрична війна передбачає ситуацію дисбалансу: коли одна із сторін має перевагу, то інша сторона переходить до непрямих військових дій (наприклад, партизанська війна, акти тероризму і т.д.). Тобто не дивлячись на схожість вони різні за своєю суттю.</w:t>
      </w:r>
    </w:p>
    <w:p w14:paraId="58C329F9"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5F5F5"/>
          <w:lang w:val="uk-UA"/>
        </w:rPr>
      </w:pPr>
      <w:r w:rsidRPr="00511005">
        <w:rPr>
          <w:rFonts w:ascii="Arial" w:eastAsia="Times New Roman" w:hAnsi="Arial" w:cs="Arial"/>
          <w:szCs w:val="28"/>
          <w:lang w:val="uk-UA"/>
        </w:rPr>
        <w:t xml:space="preserve">З розвитком сучасних технологій у ХХІ столітті стало легше впливати на маси не тільки всередині своєї держави, а і на державу, по відношенню до якої інша сторона конфлікту проявляє акти агресії. Це створює нові виклики для держави, що призводить до так званої кібервійни. </w:t>
      </w:r>
    </w:p>
    <w:p w14:paraId="522E08ED"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До методів сучасних гібридних війн можна віднести: DoS-атаки (напад на комп’ютерну систему з метою зробити комп’ютерні ресурси недоступними для користувачів), ІПСО (інформаційно-психологічні операції), хакінг інтернет ресурсів державних органів, злив баз даних, доксинг (розголошення особистої та ідентифікуючої інформації без дозволу), деанон (збір інформації про користувача з метою її оприлюднення) тощо.</w:t>
      </w:r>
    </w:p>
    <w:p w14:paraId="4B195346"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szCs w:val="28"/>
          <w:lang w:val="uk-UA"/>
        </w:rPr>
        <w:t xml:space="preserve">Такі виклики вимагають від держави розвитку ІТ-сфери для запобігання ворожій пропаганді та протистояння в інформаційній війні. Також, через інтернет легше проводити акти диверсій та тероризму </w:t>
      </w:r>
    </w:p>
    <w:p w14:paraId="259C82D7"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lang w:val="uk-UA"/>
        </w:rPr>
        <w:t>Згідно Закону України «Про електронні комунікації», мережа Інтернет – це «глобальна електронна комунікаційна мережа, що призначена для передачі даних та складається з фізично та логічно взаємоз’єднаних окремих електронних комунікаційних мереж, взаємодія яких базується на використанні єдиного адресного простору та на використанні інтернет-протоколів, визначених міжнародними стандартами» [3]. Виходячи з наведеного визначення, терористам та нелояльним елементам буде легше проводити свої диверсії та ставати більш мобільним і швидкими у свої діях, що в свою чергу підриває стабільність держави та робить спробу відняти у неї контроль над ситуацією, а сторона конфлікту може використовувати вербування населення, що робить легшим диверсії на місцях, оскільки місцеві жителі більше знають про свою місцевість.</w:t>
      </w:r>
    </w:p>
    <w:p w14:paraId="005446DB"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 xml:space="preserve">Розвиток сучасних військових технологій підсилює створення нових партизанських стратегій та тактик ведення війни, новітні технології зараз значно спрощують військовий вишкіл. Наприклад, під час війни у Афганістані (2001-2021) таліби, коли атакували записували свої атаки на камери, а потім у себе в штабі дивилися та проводили аналіз помилок і з часом стали більш ефективно атакувати. Тобто з розвитком сучасних технології стало легше </w:t>
      </w:r>
      <w:r w:rsidRPr="00511005">
        <w:rPr>
          <w:rFonts w:ascii="Arial" w:eastAsia="Times New Roman" w:hAnsi="Arial" w:cs="Arial"/>
          <w:szCs w:val="28"/>
          <w:shd w:val="clear" w:color="auto" w:fill="FFFFFF"/>
          <w:lang w:val="uk-UA"/>
        </w:rPr>
        <w:lastRenderedPageBreak/>
        <w:t xml:space="preserve">навчити будь-кого воювати, що створює проблеми затягування війни, бо одна сторона буде вчитися воювати проти іншої і навпаки. </w:t>
      </w:r>
    </w:p>
    <w:p w14:paraId="3C2EDD61"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Сторони конфлікту можуть експлуатувати технологічний розвиток у власних цілях, а самі гібридні війни стають більш всеохоплюючими, динамічними та руйнівними та йдуть на виснажування.</w:t>
      </w:r>
    </w:p>
    <w:p w14:paraId="6CEFB751"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Гібридна війна може охоплювати економічне, інформаційне та політичне втручання. Наприклад, пропаганда та маніпуляції через ЗМІ, втручання у вибори та лобіювання своїх економічних інтересів, закріплення політичних позиції на геополітичній арені, та навіть посягання на суверенітет противника.</w:t>
      </w:r>
    </w:p>
    <w:p w14:paraId="435887ED"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Економічний тиск включає ембарго, введення проти держави санкцій та економічний шантаж для досягнення свої цілей і просуванням свої інтересів або стримування дестабілізації на міжнародній арені. Наприклад, блокада Куби зі сторони США, санкції США проти Ірану через виготовлення ядерної зброї та підтримку тероризму на Близькому Сході, санкції проти Грузії з боку РФ, газовий шантаж зі сторони РФ, боргова залежність країн Африки перед КНР, тарифи зі сторони США до КНР тощо.</w:t>
      </w:r>
    </w:p>
    <w:p w14:paraId="36635F59"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Економічний вплив може призвести до наступних наслідків: зруйнувати економіку країни, зробити державу відсталою, підвищити рівень безробіття, сформувати дефіцит товарів та технологій, обмежити суверенітет держави.</w:t>
      </w:r>
    </w:p>
    <w:p w14:paraId="1D4DA16A"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Країни, на які здійснюється тиск, мають декілька варіантів дій: підкоритися або боротися, але боротьбу самотужки інколи неможливо виграти, тому держава шукає союзників, а це може призвести до додаткової залежності та обмеження суверенітету. Прикладом є Білорусь, залежність якої від РФ після санкцій 2020 року стала ще більшою.</w:t>
      </w:r>
    </w:p>
    <w:p w14:paraId="46362F4E"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Прикладом супротиву та навіть адаптації в умовах економічного тиску є Іран, що зміцнив зв’язки з КНР та РФ, що зменшує економічний тиск зі сторони Заходу, але робить Іран більш залежним від свої союзників.</w:t>
      </w:r>
    </w:p>
    <w:p w14:paraId="27C1AE56"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З цього можна зробити висновок, що не завжди економічний тиск буде досягати мети гібридної війни, проте послаблення суверенітету та економічних можливостей противника буде досягнуто.</w:t>
      </w:r>
    </w:p>
    <w:p w14:paraId="4C49DB67"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Одним із методів гібридної війни є непряме або часткове військове втручання, що є більш швидким проте і більш ризикованим та затратним порівняно з економічним тиском. В сучасних умовах повертається практика використання ПВК (приватних військових компаній), які можуть належати приватній особі або перебувати під патронажем певної держави та діяти в її інтересах. При цьому вся провина у конфлікті покладається на ПВК, а не державу-патрона. Прикладом застосування ПВК є війна в Сирії (2011-наш час), де використання ПВК знімає з держави учасниці відповідальність за скоєнні воєнні злочини.</w:t>
      </w:r>
    </w:p>
    <w:p w14:paraId="4872E72B"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 xml:space="preserve">Ще одним прикладом є створення військових формувань (терористичних організації, партизанських загонів), які напряму знаходяться </w:t>
      </w:r>
      <w:r w:rsidRPr="00511005">
        <w:rPr>
          <w:rFonts w:ascii="Arial" w:eastAsia="Times New Roman" w:hAnsi="Arial" w:cs="Arial"/>
          <w:szCs w:val="28"/>
          <w:shd w:val="clear" w:color="auto" w:fill="FFFFFF"/>
          <w:lang w:val="uk-UA"/>
        </w:rPr>
        <w:lastRenderedPageBreak/>
        <w:t>під патронажем держави та з часом можуть перетворитись на альтернативні військові формування, що братимуть участь у військових діях поряд з регулярно армією. Наприклад, введення військових формувань, замаскованих під місцеве населення. . Проте практика показує, що війська найманців хоч і професійні і дорогі, але мають суттєвий нюанс – в них низький бойовий дух, також є ризик зради.</w:t>
      </w:r>
    </w:p>
    <w:p w14:paraId="7B1B33E9" w14:textId="77777777" w:rsidR="00DF77B5" w:rsidRPr="00511005" w:rsidRDefault="00DF77B5" w:rsidP="003A292D">
      <w:pPr>
        <w:widowControl w:val="0"/>
        <w:autoSpaceDE w:val="0"/>
        <w:autoSpaceDN w:val="0"/>
        <w:spacing w:line="264" w:lineRule="auto"/>
        <w:ind w:firstLine="720"/>
        <w:rPr>
          <w:rFonts w:ascii="Arial" w:eastAsia="Times New Roman" w:hAnsi="Arial" w:cs="Arial"/>
          <w:szCs w:val="28"/>
          <w:shd w:val="clear" w:color="auto" w:fill="FFFFFF"/>
          <w:lang w:val="uk-UA"/>
        </w:rPr>
      </w:pPr>
      <w:r w:rsidRPr="00511005">
        <w:rPr>
          <w:rFonts w:ascii="Arial" w:eastAsia="Times New Roman" w:hAnsi="Arial" w:cs="Arial"/>
          <w:szCs w:val="28"/>
          <w:shd w:val="clear" w:color="auto" w:fill="FFFFFF"/>
          <w:lang w:val="uk-UA"/>
        </w:rPr>
        <w:t xml:space="preserve">Як бачимо, гібридна війна є досить складним феноменом, який почав динамічно розвиватись у ХХІ столітті та включає технологічні засоби боротьби, інформаційні кампанії, політичну дестабілізацію, акти тероризму, непряме втручання з використанням ПВК, економічний тиск, кібератаки, які поєднуються з військовою пропагандою, створенням свої проксі сил, нав’язуванням своєї волі, втручанням у суверенітет держави, веденням розмитого стану між миром і війною, бо конфлікт може перерости у глобальне симетричне протистояння. Такі виклики випадають на будь-яку державу, що стикається з гібридною війною і наразі жодна держава не захищена від неї, що створює поле для вивчення і аналізу сучасних гібридних війн, яке у майбутньому дозволить сформувати ефективні механізми протистояння гібридним загрозам, виробити комплексні політичні, економічні, інформаційні та технологічні заходи протидії їм. Особливу увагу варто приділити ІТ-сфері, бо цифровізація несе за собою високі ризики у сучасному світі. </w:t>
      </w:r>
    </w:p>
    <w:p w14:paraId="5DA362EF" w14:textId="78243CE6" w:rsidR="00DF77B5" w:rsidRPr="00511005" w:rsidRDefault="007B2628" w:rsidP="007B2628">
      <w:pPr>
        <w:widowControl w:val="0"/>
        <w:autoSpaceDE w:val="0"/>
        <w:autoSpaceDN w:val="0"/>
        <w:spacing w:line="264" w:lineRule="auto"/>
        <w:ind w:firstLine="720"/>
        <w:jc w:val="center"/>
        <w:rPr>
          <w:rFonts w:ascii="Arial" w:eastAsia="Times New Roman" w:hAnsi="Arial" w:cs="Arial"/>
          <w:b/>
          <w:szCs w:val="28"/>
          <w:shd w:val="clear" w:color="auto" w:fill="F5F5F5"/>
          <w:lang w:val="uk-UA"/>
        </w:rPr>
      </w:pPr>
      <w:r w:rsidRPr="00511005">
        <w:rPr>
          <w:rFonts w:ascii="Arial" w:eastAsia="Times New Roman" w:hAnsi="Arial" w:cs="Arial"/>
          <w:b/>
          <w:szCs w:val="28"/>
          <w:lang w:val="uk-UA"/>
        </w:rPr>
        <w:t>Список використаних джерел</w:t>
      </w:r>
    </w:p>
    <w:p w14:paraId="60175D3D" w14:textId="77777777" w:rsidR="00DF77B5" w:rsidRPr="00511005" w:rsidRDefault="00DF77B5" w:rsidP="003F6A5D">
      <w:pPr>
        <w:widowControl w:val="0"/>
        <w:numPr>
          <w:ilvl w:val="0"/>
          <w:numId w:val="791"/>
        </w:numPr>
        <w:tabs>
          <w:tab w:val="left" w:pos="1134"/>
        </w:tabs>
        <w:autoSpaceDE w:val="0"/>
        <w:autoSpaceDN w:val="0"/>
        <w:spacing w:line="264" w:lineRule="auto"/>
        <w:ind w:left="0" w:firstLine="567"/>
        <w:contextualSpacing/>
        <w:jc w:val="left"/>
        <w:rPr>
          <w:rFonts w:ascii="Arial" w:eastAsia="Times New Roman" w:hAnsi="Arial" w:cs="Arial"/>
          <w:szCs w:val="28"/>
          <w:lang w:val="uk-UA"/>
        </w:rPr>
      </w:pPr>
      <w:r w:rsidRPr="00511005">
        <w:rPr>
          <w:rFonts w:ascii="Arial" w:eastAsia="Times New Roman" w:hAnsi="Arial" w:cs="Arial"/>
          <w:szCs w:val="28"/>
          <w:lang w:val="uk-UA"/>
        </w:rPr>
        <w:t>Магда Є. Гібридна агресія Росії: уроки для Європи. Київ : КАЛАМАР, 2017. 268 с.</w:t>
      </w:r>
    </w:p>
    <w:p w14:paraId="7B60D502" w14:textId="77777777" w:rsidR="00DF77B5" w:rsidRPr="00511005" w:rsidRDefault="00DF77B5" w:rsidP="003F6A5D">
      <w:pPr>
        <w:widowControl w:val="0"/>
        <w:numPr>
          <w:ilvl w:val="0"/>
          <w:numId w:val="791"/>
        </w:numPr>
        <w:tabs>
          <w:tab w:val="left" w:pos="1134"/>
        </w:tabs>
        <w:autoSpaceDE w:val="0"/>
        <w:autoSpaceDN w:val="0"/>
        <w:spacing w:line="264" w:lineRule="auto"/>
        <w:ind w:left="0" w:firstLine="567"/>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Попович К. Гібридна війна як сучасний спосіб ведення війни: історичний та сучасний виміри. </w:t>
      </w:r>
      <w:r w:rsidRPr="00511005">
        <w:rPr>
          <w:rFonts w:ascii="Arial" w:eastAsia="Times New Roman" w:hAnsi="Arial" w:cs="Arial"/>
          <w:i/>
          <w:iCs/>
          <w:szCs w:val="28"/>
          <w:lang w:val="uk-UA"/>
        </w:rPr>
        <w:t>Науковий вісник Ужгородського університету. Серія «Історія».</w:t>
      </w:r>
      <w:r w:rsidRPr="00511005">
        <w:rPr>
          <w:rFonts w:ascii="Arial" w:eastAsia="Times New Roman" w:hAnsi="Arial" w:cs="Arial"/>
          <w:szCs w:val="28"/>
          <w:lang w:val="uk-UA"/>
        </w:rPr>
        <w:t xml:space="preserve"> 2016. Вип. 2 (35). С. 75–79. URL: </w:t>
      </w:r>
      <w:hyperlink r:id="rId2560" w:history="1">
        <w:r w:rsidRPr="00511005">
          <w:rPr>
            <w:rFonts w:ascii="Arial" w:eastAsia="Times New Roman" w:hAnsi="Arial" w:cs="Arial"/>
            <w:szCs w:val="28"/>
            <w:lang w:val="uk-UA"/>
          </w:rPr>
          <w:t>http://nbuv.gov.ua/UJRN/Nvuuist_2016_2_13</w:t>
        </w:r>
      </w:hyperlink>
      <w:r w:rsidRPr="00511005">
        <w:rPr>
          <w:rFonts w:ascii="Arial" w:eastAsia="Times New Roman" w:hAnsi="Arial" w:cs="Arial"/>
          <w:szCs w:val="28"/>
          <w:lang w:val="uk-UA"/>
        </w:rPr>
        <w:t xml:space="preserve"> </w:t>
      </w:r>
    </w:p>
    <w:p w14:paraId="4CD8A47D" w14:textId="77777777" w:rsidR="00DF77B5" w:rsidRPr="00511005" w:rsidRDefault="00DF77B5" w:rsidP="003F6A5D">
      <w:pPr>
        <w:widowControl w:val="0"/>
        <w:numPr>
          <w:ilvl w:val="0"/>
          <w:numId w:val="791"/>
        </w:numPr>
        <w:tabs>
          <w:tab w:val="left" w:pos="1134"/>
        </w:tabs>
        <w:autoSpaceDE w:val="0"/>
        <w:autoSpaceDN w:val="0"/>
        <w:spacing w:line="264" w:lineRule="auto"/>
        <w:ind w:left="0" w:firstLine="567"/>
        <w:contextualSpacing/>
        <w:jc w:val="left"/>
        <w:rPr>
          <w:rFonts w:ascii="Arial" w:eastAsia="Times New Roman" w:hAnsi="Arial" w:cs="Arial"/>
          <w:b/>
          <w:szCs w:val="28"/>
          <w:shd w:val="clear" w:color="auto" w:fill="F5F5F5"/>
          <w:lang w:val="uk-UA"/>
        </w:rPr>
      </w:pPr>
      <w:r w:rsidRPr="00511005">
        <w:rPr>
          <w:rFonts w:ascii="Arial" w:eastAsia="Times New Roman" w:hAnsi="Arial" w:cs="Arial"/>
          <w:szCs w:val="28"/>
          <w:lang w:val="uk-UA"/>
        </w:rPr>
        <w:t xml:space="preserve">Про електронні комунікації: Закон України від 16.12.2020 № 1089-IX. </w:t>
      </w:r>
      <w:r w:rsidRPr="00511005">
        <w:rPr>
          <w:rFonts w:ascii="Arial" w:eastAsia="Times New Roman" w:hAnsi="Arial" w:cs="Arial"/>
          <w:i/>
          <w:iCs/>
          <w:szCs w:val="28"/>
          <w:lang w:val="uk-UA"/>
        </w:rPr>
        <w:t>Офіційний портал Верховної Ради України.</w:t>
      </w:r>
      <w:r w:rsidRPr="00511005">
        <w:rPr>
          <w:rFonts w:ascii="Arial" w:eastAsia="Times New Roman" w:hAnsi="Arial" w:cs="Arial"/>
          <w:szCs w:val="28"/>
          <w:lang w:val="uk-UA"/>
        </w:rPr>
        <w:t xml:space="preserve"> URL: </w:t>
      </w:r>
      <w:hyperlink r:id="rId2561" w:anchor="Text" w:history="1">
        <w:r w:rsidRPr="00511005">
          <w:rPr>
            <w:rFonts w:ascii="Arial" w:eastAsia="Times New Roman" w:hAnsi="Arial" w:cs="Arial"/>
            <w:szCs w:val="28"/>
            <w:lang w:val="uk-UA"/>
          </w:rPr>
          <w:t>https://zakon.rada.gov.ua/laws/show/1089-20#Text</w:t>
        </w:r>
      </w:hyperlink>
      <w:r w:rsidRPr="00511005">
        <w:rPr>
          <w:rFonts w:ascii="Arial" w:eastAsia="Times New Roman" w:hAnsi="Arial" w:cs="Arial"/>
          <w:szCs w:val="28"/>
          <w:lang w:val="uk-UA"/>
        </w:rPr>
        <w:t xml:space="preserve"> </w:t>
      </w:r>
    </w:p>
    <w:p w14:paraId="2E2B2581" w14:textId="4D93C46B" w:rsidR="00DF77B5" w:rsidRPr="00511005" w:rsidRDefault="00DF77B5" w:rsidP="003F6A5D">
      <w:pPr>
        <w:widowControl w:val="0"/>
        <w:numPr>
          <w:ilvl w:val="0"/>
          <w:numId w:val="791"/>
        </w:numPr>
        <w:tabs>
          <w:tab w:val="left" w:pos="1134"/>
        </w:tabs>
        <w:autoSpaceDE w:val="0"/>
        <w:autoSpaceDN w:val="0"/>
        <w:spacing w:line="264" w:lineRule="auto"/>
        <w:ind w:left="0" w:firstLine="567"/>
        <w:contextualSpacing/>
        <w:jc w:val="left"/>
        <w:rPr>
          <w:rFonts w:ascii="Arial" w:eastAsia="Times New Roman" w:hAnsi="Arial" w:cs="Arial"/>
          <w:bCs/>
          <w:szCs w:val="28"/>
          <w:lang w:val="uk-UA"/>
        </w:rPr>
      </w:pPr>
      <w:r w:rsidRPr="00511005">
        <w:rPr>
          <w:rFonts w:ascii="Arial" w:eastAsia="Times New Roman" w:hAnsi="Arial" w:cs="Arial"/>
          <w:szCs w:val="28"/>
          <w:lang w:val="uk-UA"/>
        </w:rPr>
        <w:t xml:space="preserve">Bilal A. NATO Review - Hybrid Warfare – New Threats, Complexity, and ‘Trust’ as the Antidote. 30 November 2021. </w:t>
      </w:r>
      <w:r w:rsidRPr="00511005">
        <w:rPr>
          <w:rFonts w:ascii="Arial" w:eastAsia="Times New Roman" w:hAnsi="Arial" w:cs="Arial"/>
          <w:i/>
          <w:iCs/>
          <w:szCs w:val="28"/>
          <w:lang w:val="uk-UA"/>
        </w:rPr>
        <w:t>NATO Review</w:t>
      </w:r>
      <w:r w:rsidRPr="00511005">
        <w:rPr>
          <w:rFonts w:ascii="Arial" w:eastAsia="Times New Roman" w:hAnsi="Arial" w:cs="Arial"/>
          <w:szCs w:val="28"/>
          <w:lang w:val="uk-UA"/>
        </w:rPr>
        <w:t>.</w:t>
      </w:r>
      <w:r w:rsidR="007B2628" w:rsidRPr="00511005">
        <w:rPr>
          <w:rFonts w:ascii="Arial" w:eastAsia="Times New Roman" w:hAnsi="Arial" w:cs="Arial"/>
          <w:szCs w:val="28"/>
          <w:lang w:val="uk-UA"/>
        </w:rPr>
        <w:t xml:space="preserve"> </w:t>
      </w:r>
      <w:r w:rsidRPr="00511005">
        <w:rPr>
          <w:rFonts w:ascii="Arial" w:eastAsia="Times New Roman" w:hAnsi="Arial" w:cs="Arial"/>
          <w:szCs w:val="28"/>
          <w:lang w:val="uk-UA"/>
        </w:rPr>
        <w:t xml:space="preserve">URL: </w:t>
      </w:r>
      <w:hyperlink r:id="rId2562" w:history="1">
        <w:r w:rsidRPr="00511005">
          <w:rPr>
            <w:rFonts w:ascii="Arial" w:eastAsia="Times New Roman" w:hAnsi="Arial" w:cs="Arial"/>
            <w:szCs w:val="28"/>
            <w:lang w:val="uk-UA"/>
          </w:rPr>
          <w:t>https://www.nato.int/docu/review/articles/2021/11/30/hybrid-warfare-new-threats-complexity-and-trust-as-the-antidote/index.html</w:t>
        </w:r>
      </w:hyperlink>
    </w:p>
    <w:p w14:paraId="484A9463" w14:textId="77777777" w:rsidR="00DF77B5" w:rsidRPr="00511005" w:rsidRDefault="00DF77B5" w:rsidP="003F6A5D">
      <w:pPr>
        <w:widowControl w:val="0"/>
        <w:numPr>
          <w:ilvl w:val="0"/>
          <w:numId w:val="791"/>
        </w:numPr>
        <w:tabs>
          <w:tab w:val="left" w:pos="1134"/>
        </w:tabs>
        <w:autoSpaceDE w:val="0"/>
        <w:autoSpaceDN w:val="0"/>
        <w:spacing w:line="264" w:lineRule="auto"/>
        <w:ind w:left="0" w:firstLine="567"/>
        <w:contextualSpacing/>
        <w:jc w:val="left"/>
        <w:rPr>
          <w:rFonts w:ascii="Arial" w:eastAsia="Times New Roman" w:hAnsi="Arial" w:cs="Arial"/>
          <w:bCs/>
          <w:szCs w:val="28"/>
          <w:lang w:val="uk-UA"/>
        </w:rPr>
      </w:pPr>
      <w:r w:rsidRPr="00511005">
        <w:rPr>
          <w:rFonts w:ascii="Arial" w:eastAsia="Times New Roman" w:hAnsi="Arial" w:cs="Arial"/>
          <w:szCs w:val="28"/>
          <w:lang w:val="uk-UA"/>
        </w:rPr>
        <w:t xml:space="preserve">Mack A. Why Big Nations Lose Small Wars: The Politics of Asymmetric Conflict. </w:t>
      </w:r>
      <w:r w:rsidRPr="00511005">
        <w:rPr>
          <w:rFonts w:ascii="Arial" w:eastAsia="Times New Roman" w:hAnsi="Arial" w:cs="Arial"/>
          <w:i/>
          <w:iCs/>
          <w:szCs w:val="28"/>
          <w:lang w:val="uk-UA"/>
        </w:rPr>
        <w:t>World Politics</w:t>
      </w:r>
      <w:r w:rsidRPr="00511005">
        <w:rPr>
          <w:rFonts w:ascii="Arial" w:eastAsia="Times New Roman" w:hAnsi="Arial" w:cs="Arial"/>
          <w:szCs w:val="28"/>
          <w:lang w:val="uk-UA"/>
        </w:rPr>
        <w:t xml:space="preserve">. 1975. Vol. 27. No 2. P. 175-200. URL: </w:t>
      </w:r>
      <w:hyperlink r:id="rId2563" w:history="1">
        <w:r w:rsidRPr="00511005">
          <w:rPr>
            <w:rFonts w:ascii="Arial" w:eastAsia="Times New Roman" w:hAnsi="Arial" w:cs="Arial"/>
            <w:szCs w:val="28"/>
            <w:lang w:val="uk-UA"/>
          </w:rPr>
          <w:t>https://www.researchgate.net/publication/259380603_Why_Big_Nations_Lose_Small_Wars_The_Politics_of_Asymmetric_Conflict</w:t>
        </w:r>
      </w:hyperlink>
    </w:p>
    <w:p w14:paraId="702B8197" w14:textId="3BAF1FC7" w:rsidR="00DF77B5" w:rsidRPr="00511005" w:rsidRDefault="007B2628"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DF77B5" w:rsidRPr="00511005">
        <w:rPr>
          <w:rFonts w:ascii="Arial" w:eastAsia="Times New Roman" w:hAnsi="Arial" w:cs="Arial"/>
          <w:szCs w:val="28"/>
          <w:lang w:val="uk-UA"/>
        </w:rPr>
        <w:t>гібридна війна, асиметричний конфлікт, кібервійна, економічний тиск, ПВК, суверенітет держави.</w:t>
      </w:r>
    </w:p>
    <w:p w14:paraId="50175FB6" w14:textId="181F0CF2" w:rsidR="00DF77B5" w:rsidRPr="00511005" w:rsidRDefault="007B2628" w:rsidP="003A292D">
      <w:pPr>
        <w:widowControl w:val="0"/>
        <w:autoSpaceDE w:val="0"/>
        <w:autoSpaceDN w:val="0"/>
        <w:spacing w:line="264" w:lineRule="auto"/>
        <w:ind w:firstLine="720"/>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DF77B5" w:rsidRPr="00511005">
        <w:rPr>
          <w:rFonts w:ascii="Arial" w:eastAsia="Times New Roman" w:hAnsi="Arial" w:cs="Arial"/>
          <w:szCs w:val="28"/>
          <w:lang w:val="uk-UA"/>
        </w:rPr>
        <w:t xml:space="preserve">hybrid war, asymmetric conflict, cyberwarfare, economic </w:t>
      </w:r>
      <w:r w:rsidR="00DF77B5" w:rsidRPr="00511005">
        <w:rPr>
          <w:rFonts w:ascii="Arial" w:eastAsia="Times New Roman" w:hAnsi="Arial" w:cs="Arial"/>
          <w:szCs w:val="28"/>
          <w:lang w:val="uk-UA"/>
        </w:rPr>
        <w:lastRenderedPageBreak/>
        <w:t>pressure, PMCs, state sovereignty.</w:t>
      </w:r>
    </w:p>
    <w:p w14:paraId="2BBFABA6" w14:textId="2F22F82E" w:rsidR="00DF77B5" w:rsidRPr="00511005" w:rsidRDefault="007B2628" w:rsidP="003A292D">
      <w:pPr>
        <w:widowControl w:val="0"/>
        <w:autoSpaceDE w:val="0"/>
        <w:autoSpaceDN w:val="0"/>
        <w:spacing w:line="264" w:lineRule="auto"/>
        <w:ind w:firstLine="720"/>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DF77B5" w:rsidRPr="00511005">
        <w:rPr>
          <w:rFonts w:ascii="Arial" w:eastAsia="Times New Roman" w:hAnsi="Arial" w:cs="Arial"/>
          <w:i/>
          <w:iCs/>
          <w:szCs w:val="28"/>
          <w:lang w:val="uk-UA"/>
        </w:rPr>
        <w:t>к.політ.н., доцент Краснопольська Т.М.</w:t>
      </w:r>
    </w:p>
    <w:p w14:paraId="7328D3AC" w14:textId="77777777" w:rsidR="00DF77B5" w:rsidRPr="00511005" w:rsidRDefault="00DF77B5" w:rsidP="003C4C3B">
      <w:pPr>
        <w:widowControl w:val="0"/>
        <w:autoSpaceDE w:val="0"/>
        <w:autoSpaceDN w:val="0"/>
        <w:spacing w:line="264" w:lineRule="auto"/>
        <w:ind w:left="709" w:firstLine="0"/>
        <w:jc w:val="left"/>
        <w:rPr>
          <w:rFonts w:ascii="Arial" w:eastAsia="Times New Roman" w:hAnsi="Arial" w:cs="Arial"/>
          <w:i/>
          <w:iCs/>
          <w:szCs w:val="28"/>
          <w:lang w:val="uk-UA" w:eastAsia="uk-UA"/>
        </w:rPr>
      </w:pPr>
    </w:p>
    <w:p w14:paraId="004D5B8F" w14:textId="77777777" w:rsidR="00DF77B5" w:rsidRPr="00511005" w:rsidRDefault="00DF77B5" w:rsidP="003C4C3B">
      <w:pPr>
        <w:widowControl w:val="0"/>
        <w:autoSpaceDE w:val="0"/>
        <w:autoSpaceDN w:val="0"/>
        <w:spacing w:line="264" w:lineRule="auto"/>
        <w:ind w:left="709" w:firstLine="0"/>
        <w:jc w:val="center"/>
        <w:rPr>
          <w:rFonts w:ascii="Arial" w:eastAsia="Times New Roman" w:hAnsi="Arial" w:cs="Arial"/>
          <w:b/>
          <w:bCs/>
          <w:i/>
          <w:iCs/>
          <w:szCs w:val="28"/>
          <w:lang w:val="uk-UA" w:eastAsia="uk-UA"/>
        </w:rPr>
      </w:pPr>
      <w:r w:rsidRPr="00511005">
        <w:rPr>
          <w:rFonts w:ascii="Arial" w:eastAsia="Times New Roman" w:hAnsi="Arial" w:cs="Arial"/>
          <w:b/>
          <w:bCs/>
          <w:i/>
          <w:iCs/>
          <w:szCs w:val="28"/>
          <w:lang w:val="uk-UA" w:eastAsia="uk-UA"/>
        </w:rPr>
        <w:t>Лепеха Сергій Олександрович</w:t>
      </w:r>
    </w:p>
    <w:p w14:paraId="4E5CB02B" w14:textId="77748814" w:rsidR="003C4C3B" w:rsidRPr="00511005" w:rsidRDefault="003C4C3B" w:rsidP="003C4C3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 1</w:t>
      </w:r>
      <w:r w:rsidRPr="00511005">
        <w:rPr>
          <w:rFonts w:ascii="Arial" w:eastAsia="Times New Roman" w:hAnsi="Arial" w:cs="Arial"/>
          <w:bCs/>
          <w:iCs/>
          <w:szCs w:val="28"/>
          <w:lang w:val="uk-UA" w:eastAsia="ru-RU"/>
        </w:rPr>
        <w:t xml:space="preserve">-го курсу </w:t>
      </w:r>
    </w:p>
    <w:p w14:paraId="54DF2DD2" w14:textId="77777777" w:rsidR="003C4C3B" w:rsidRPr="00511005" w:rsidRDefault="003C4C3B" w:rsidP="003C4C3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0EDC714" w14:textId="77777777" w:rsidR="003C4C3B" w:rsidRPr="00511005" w:rsidRDefault="003C4C3B" w:rsidP="003C4C3B">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6FE9001" w14:textId="77777777" w:rsidR="003C4C3B" w:rsidRPr="00511005" w:rsidRDefault="003C4C3B" w:rsidP="003C4C3B">
      <w:pPr>
        <w:widowControl w:val="0"/>
        <w:autoSpaceDE w:val="0"/>
        <w:autoSpaceDN w:val="0"/>
        <w:spacing w:line="264" w:lineRule="auto"/>
        <w:ind w:firstLine="0"/>
        <w:jc w:val="center"/>
        <w:rPr>
          <w:rFonts w:ascii="Arial" w:eastAsia="Times New Roman" w:hAnsi="Arial" w:cs="Arial"/>
          <w:b/>
          <w:szCs w:val="28"/>
          <w:lang w:val="uk-UA" w:eastAsia="uk-UA"/>
        </w:rPr>
      </w:pPr>
    </w:p>
    <w:p w14:paraId="4D94873F" w14:textId="0CFB126D" w:rsidR="00DF77B5" w:rsidRPr="00511005" w:rsidRDefault="00DF77B5" w:rsidP="003C4C3B">
      <w:pPr>
        <w:widowControl w:val="0"/>
        <w:autoSpaceDE w:val="0"/>
        <w:autoSpaceDN w:val="0"/>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АКТУАЛЬНІ ВИКЛИКИ СУЧАСНОЇ ІНФОРМАЦІЙНОЇ ПОЛІТИКИ</w:t>
      </w:r>
    </w:p>
    <w:p w14:paraId="56154B76" w14:textId="77777777"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сучасному світі інформація виступає стратегічним ресурсом, що впливає на всі сфери суспільного життя і також на національну безпеку. Тому інформаційна політика стає важливим напрямом діяльності держави, спрямованим на регулювання інформаційних процесів, розвиток інформаційної інфраструктури, формування інформаційного суспільства, забезпечення інформаційної безпеки та свободи слова. Вона покликана формувати модель ефективної взаємодії інститутів влади та громадянського суспільства. Однак в умовах цифровізації, глобалізації, активного використання новітніх інформаційних технологій, зростання загроз гібридного характеру, роль інформаційної політики значно ускладнилася. Саме тому дослідження сучасних викликів у цій сфері є надзвичайно актуальним, зокрема для України, яка перебуває в умовах воєнного стану і відкритого збройного конфлікту з РФ, коли інформація є не лише джерелом знань, а й інструментом боротьби.</w:t>
      </w:r>
    </w:p>
    <w:p w14:paraId="09FCC3F7" w14:textId="77777777"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Актуальність теми обумовлюється потребою оперативного реагування на нові інформаційні загрози, зокрема: поширення дезінформації, кібератаки, інформаційний тероризм, маніпуляції громадською думкою з застосуванням технологічних інновацій тощо. Україна з 2014 року постійно знаходиться в стані інформаційної війни, де інформаційна політика виконує не лише комунікативну, але й захисну функцію. Особливо загострилися ці процеси після повномасштабного вторгнення РФ у 2022 році, коли інформаційна сфера стала полем битви нарівні з традиційним фронтом [1,c.46].</w:t>
      </w:r>
    </w:p>
    <w:p w14:paraId="40F682E4" w14:textId="77777777"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Серед основних викликів сучасної інформаційної політики можна виділити кілька ключових проблем. По-перше, це масові кібератаки на критичну інфраструктуру, державні інституції, медіа-платформи та персональні ресурси. Кібервійна стала невід’ємною частиною сучасного протиборства. В умовах війни державні інформаційні системи України постійно піддаються хакерським атакам з боку ворожих спецслужб, які прагнуть дестабілізувати управлінські процеси, отримати доступ до конфіденційної інформації або паралізувати роботу державних органів. Цей виклик вимагає не лише технічного укріплення систем, але й розвитку відповідного законодавства, навчання спеціалістів, а також міжнародного </w:t>
      </w:r>
      <w:r w:rsidRPr="00511005">
        <w:rPr>
          <w:rFonts w:ascii="Arial" w:eastAsia="Times New Roman" w:hAnsi="Arial" w:cs="Arial"/>
          <w:szCs w:val="28"/>
          <w:lang w:val="uk-UA" w:eastAsia="uk-UA"/>
        </w:rPr>
        <w:lastRenderedPageBreak/>
        <w:t>співробітництва[3,c.16].</w:t>
      </w:r>
    </w:p>
    <w:p w14:paraId="4C084C74" w14:textId="77777777"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По-друге, це поширення дезінформації та пропаганди. Використовуючи соціальні мережі, традиційні засоби комунікації, культурні продукти, агресор веде активну пропагандистську кампанію з метою дестабілізації політичної ситуації в Україні, дискредитації військових, зниження патріотичного духу населення, створення недовіри до влади, підриву репутації України на міжнародній арені. Це подається у вигляді напівправди, фейкових новин, емоційно забарвлених повідомлень псевдоаналітики. Особливо небезпечним є використання ботоферм, фабрик тролів, автоматизованих систем генерації контенту з застосуванням ШІ для штучного створення ілюзій громадської думки або “альтернативної правди”. Це явище після 24 лютого 2022 року стало щоденною практикою гібридної війни. Для протидії цьому держава повинна розвивати систему стратегічних комунікацій, підвищувати медіаграмотність населення та розширювати доступ до достовірної інформації. Адже низький рівень медіаосвіти та цифрової грамотності громадян в умовах інформаційної війни породжують додаткові загрози поляризації суспільства, формування небезпечних наративів, що поширюються ворожими агентами впливу. В умовах воєнного стану медіаосвіта повинна стати важливою складовою освітньої політики, охоплюючи різні верстви населення. Необхідно впроваджувати спеціалізовані програми в школах, університетах, на телебаченні, в соціальних мережах, залучаючи журналістів, педагогів, психологів, ІТ-фахівців [1,c.22].</w:t>
      </w:r>
    </w:p>
    <w:p w14:paraId="7569DFFE" w14:textId="77777777"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Важливим викликом стає цифрова трансформація і стрімкий розвиток новітніх технологій. Штучний інтелект, великі дані, віртуальна та доповнена реальність, технології deepfake створюють як нові можливості так і нові загрози. Тож у найближчому майбутньому проблема достовірності інформації стане ще гострішою. Інформаційна політика повинна включати створення правових і технологічних запобіжників для уникнення зловживань.</w:t>
      </w:r>
    </w:p>
    <w:p w14:paraId="79C31C04" w14:textId="77777777"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Уваги потребує підтримка незалежних засобів масової інформації. В умовах воєнного стану та економічної нестабільності значна частина українських медіа відчуває дефіцит ресурсів, кадрові проблеми, тиск з боку різних політичних чи бізнесових груп. А саме незалежна журналістика є запорукою прозорості, демократії та відповідальності. Тож держава має формувати сприятливе середовище її існування, надаючи фінансову, організаційну та правову підтримку [3,c.27].</w:t>
      </w:r>
    </w:p>
    <w:p w14:paraId="4D16B253" w14:textId="77777777"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Розвиток стратегічних комунікацій це не лише інформування, а й побудова довіри до джерел інформації, формування стійких наративів, пояснення складних рішень, мобілізація суспільства. В умовах війни стратегічні комунікації захищають від інформаційного хаосу, консолідують нації та зміцнюють національну ідентичність.</w:t>
      </w:r>
    </w:p>
    <w:p w14:paraId="7AC3F124" w14:textId="77777777"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У контексті євроінтеграції Україна може враховувати досвід ЄС у протидії дезінформації. Зокрема, як створення платформи EUvsDisinfo, впровадження Кодексу поведінки протидії дезінформації, моніторингові центри, громадські проєкти, спрямовані проти дезінформації. Такі практики можуть бути ефективно адаптовані до українських реалій. Боротьба з інформаційними загрозами повинна вестись у рамках загальної стратегії національної безпеки [1,c.10].</w:t>
      </w:r>
    </w:p>
    <w:p w14:paraId="4A06EDDC" w14:textId="429AF28C" w:rsidR="00DF77B5" w:rsidRPr="00511005" w:rsidRDefault="00DF77B5" w:rsidP="003C4C3B">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Тож сучасна інформаційна політика України повинна бути проактивною, не лише реагувати на виклики, а передбачати їх, формувати інформаційний ландшафт, у якому ворожим наративам не буде місця. Для цього важливі не лише технології, а передусім,</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суспільна згуртованість, рівень довіри, участь громадян у створенні контенту, посилення аналітичних центрів, прозорість влади, відкриті дані. Тоді інформаційна політика стане частиною національної стратегії перемоги і відновлення України. </w:t>
      </w:r>
    </w:p>
    <w:p w14:paraId="4D57CCDC" w14:textId="77777777" w:rsidR="003C4C3B" w:rsidRPr="00511005" w:rsidRDefault="003C4C3B" w:rsidP="003C4C3B">
      <w:pPr>
        <w:widowControl w:val="0"/>
        <w:autoSpaceDE w:val="0"/>
        <w:autoSpaceDN w:val="0"/>
        <w:spacing w:line="264" w:lineRule="auto"/>
        <w:rPr>
          <w:rFonts w:ascii="Arial" w:eastAsia="Times New Roman" w:hAnsi="Arial" w:cs="Arial"/>
          <w:szCs w:val="28"/>
          <w:lang w:val="uk-UA" w:eastAsia="uk-UA"/>
        </w:rPr>
      </w:pPr>
    </w:p>
    <w:p w14:paraId="06DFED76" w14:textId="5DB1F3BD" w:rsidR="00DF77B5" w:rsidRPr="00511005" w:rsidRDefault="007B2628" w:rsidP="003C4C3B">
      <w:pPr>
        <w:widowControl w:val="0"/>
        <w:autoSpaceDE w:val="0"/>
        <w:autoSpaceDN w:val="0"/>
        <w:spacing w:line="264" w:lineRule="auto"/>
        <w:ind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Список використаних джерел</w:t>
      </w:r>
    </w:p>
    <w:p w14:paraId="4950A3D6" w14:textId="77777777" w:rsidR="007B2628" w:rsidRPr="00511005" w:rsidRDefault="00DF77B5" w:rsidP="003C4C3B">
      <w:pPr>
        <w:widowControl w:val="0"/>
        <w:autoSpaceDE w:val="0"/>
        <w:autoSpaceDN w:val="0"/>
        <w:spacing w:line="264" w:lineRule="auto"/>
        <w:ind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1. Виздрик В., Мельник О. Інформаційна безпека в Україні. Grail of Science. 2023. № 24. С. 196–202.</w:t>
      </w:r>
    </w:p>
    <w:p w14:paraId="0459BB0C" w14:textId="1E4E9FAE" w:rsidR="00DF77B5" w:rsidRPr="00511005" w:rsidRDefault="00DF77B5" w:rsidP="003C4C3B">
      <w:pPr>
        <w:widowControl w:val="0"/>
        <w:autoSpaceDE w:val="0"/>
        <w:autoSpaceDN w:val="0"/>
        <w:spacing w:line="264" w:lineRule="auto"/>
        <w:ind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2. Гаврильців М. Т. Інформаційна безпека держави в системі національної безпеки України. Юридичний науковий електронний журнал. 2020. № 2. С. 200–203. </w:t>
      </w:r>
    </w:p>
    <w:p w14:paraId="016970B6" w14:textId="77777777" w:rsidR="00DF77B5" w:rsidRPr="00511005" w:rsidRDefault="00DF77B5" w:rsidP="003C4C3B">
      <w:pPr>
        <w:widowControl w:val="0"/>
        <w:autoSpaceDE w:val="0"/>
        <w:autoSpaceDN w:val="0"/>
        <w:spacing w:line="264" w:lineRule="auto"/>
        <w:ind w:firstLine="0"/>
        <w:jc w:val="left"/>
        <w:rPr>
          <w:rFonts w:ascii="Arial" w:eastAsia="Times New Roman" w:hAnsi="Arial" w:cs="Arial"/>
          <w:szCs w:val="28"/>
          <w:lang w:val="uk-UA" w:eastAsia="uk-UA"/>
        </w:rPr>
      </w:pPr>
      <w:bookmarkStart w:id="321" w:name="_tg0zukuogr98"/>
      <w:bookmarkEnd w:id="321"/>
      <w:r w:rsidRPr="00511005">
        <w:rPr>
          <w:rFonts w:ascii="Arial" w:eastAsia="Times New Roman" w:hAnsi="Arial" w:cs="Arial"/>
          <w:szCs w:val="28"/>
          <w:lang w:val="uk-UA" w:eastAsia="uk-UA"/>
        </w:rPr>
        <w:t>3. Залєвська І.І., Удренас Г.І. Інформаційна безпека в Україні в умовах російської військової агресії. Південноукраїнський правничий часопис. 2022. № 1. С. 20–26.</w:t>
      </w:r>
    </w:p>
    <w:p w14:paraId="4515B62E" w14:textId="13A29DE0" w:rsidR="00DF77B5" w:rsidRPr="00511005" w:rsidRDefault="007B2628" w:rsidP="003C4C3B">
      <w:pPr>
        <w:widowControl w:val="0"/>
        <w:autoSpaceDE w:val="0"/>
        <w:autoSpaceDN w:val="0"/>
        <w:spacing w:line="264" w:lineRule="auto"/>
        <w:ind w:firstLine="0"/>
        <w:jc w:val="left"/>
        <w:rPr>
          <w:rFonts w:ascii="Arial" w:eastAsia="Times New Roman" w:hAnsi="Arial" w:cs="Arial"/>
          <w:i/>
          <w:iCs/>
          <w:szCs w:val="28"/>
          <w:lang w:val="uk-UA" w:eastAsia="uk-UA"/>
        </w:rPr>
      </w:pPr>
      <w:bookmarkStart w:id="322" w:name="_1y095ox9koqm"/>
      <w:bookmarkEnd w:id="322"/>
      <w:r w:rsidRPr="00511005">
        <w:rPr>
          <w:rFonts w:ascii="Arial" w:eastAsia="Times New Roman" w:hAnsi="Arial" w:cs="Arial"/>
          <w:b/>
          <w:i/>
          <w:iCs/>
          <w:szCs w:val="28"/>
          <w:lang w:val="uk-UA" w:eastAsia="uk-UA"/>
        </w:rPr>
        <w:t xml:space="preserve">Ключові слова: </w:t>
      </w:r>
      <w:r w:rsidR="00DF77B5" w:rsidRPr="00511005">
        <w:rPr>
          <w:rFonts w:ascii="Arial" w:eastAsia="Times New Roman" w:hAnsi="Arial" w:cs="Arial"/>
          <w:i/>
          <w:iCs/>
          <w:szCs w:val="28"/>
          <w:lang w:val="uk-UA" w:eastAsia="uk-UA"/>
        </w:rPr>
        <w:t>Інформаційна політика, цифровізація, Україна, інформаційна війна, кібератаки, медіаосвіта, національна безпека.</w:t>
      </w:r>
    </w:p>
    <w:p w14:paraId="6CFAE82A" w14:textId="131EFA3C" w:rsidR="00DF77B5" w:rsidRPr="00511005" w:rsidRDefault="007B2628" w:rsidP="003C4C3B">
      <w:pPr>
        <w:widowControl w:val="0"/>
        <w:autoSpaceDE w:val="0"/>
        <w:autoSpaceDN w:val="0"/>
        <w:spacing w:line="264" w:lineRule="auto"/>
        <w:ind w:firstLine="0"/>
        <w:jc w:val="left"/>
        <w:rPr>
          <w:rFonts w:ascii="Arial" w:eastAsia="Times New Roman" w:hAnsi="Arial" w:cs="Arial"/>
          <w:i/>
          <w:iCs/>
          <w:szCs w:val="28"/>
          <w:lang w:val="uk-UA" w:eastAsia="uk-UA"/>
        </w:rPr>
      </w:pPr>
      <w:bookmarkStart w:id="323" w:name="_x4vycq8v9t60"/>
      <w:bookmarkEnd w:id="323"/>
      <w:r w:rsidRPr="00511005">
        <w:rPr>
          <w:rFonts w:ascii="Arial" w:eastAsia="Times New Roman" w:hAnsi="Arial" w:cs="Arial"/>
          <w:b/>
          <w:i/>
          <w:iCs/>
          <w:szCs w:val="28"/>
          <w:lang w:val="uk-UA" w:eastAsia="uk-UA"/>
        </w:rPr>
        <w:t xml:space="preserve">Key words: </w:t>
      </w:r>
      <w:r w:rsidR="00DF77B5" w:rsidRPr="00511005">
        <w:rPr>
          <w:rFonts w:ascii="Arial" w:eastAsia="Times New Roman" w:hAnsi="Arial" w:cs="Arial"/>
          <w:i/>
          <w:iCs/>
          <w:szCs w:val="28"/>
          <w:lang w:val="uk-UA" w:eastAsia="uk-UA"/>
        </w:rPr>
        <w:t>Information policy, digitalization, Ukraine, information war, cyberattacks, media literacy, digital literacy, national security.</w:t>
      </w:r>
    </w:p>
    <w:p w14:paraId="70A9764F" w14:textId="478AFAD3" w:rsidR="00DF77B5" w:rsidRPr="00511005" w:rsidRDefault="007B2628" w:rsidP="003C4C3B">
      <w:pPr>
        <w:widowControl w:val="0"/>
        <w:autoSpaceDE w:val="0"/>
        <w:autoSpaceDN w:val="0"/>
        <w:spacing w:line="264" w:lineRule="auto"/>
        <w:ind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д.і..н., професор</w:t>
      </w:r>
      <w:r w:rsidR="006A743E" w:rsidRPr="00511005">
        <w:rPr>
          <w:rFonts w:ascii="Arial" w:eastAsia="Times New Roman" w:hAnsi="Arial" w:cs="Arial"/>
          <w:i/>
          <w:iCs/>
          <w:szCs w:val="28"/>
          <w:lang w:val="uk-UA" w:eastAsia="uk-UA"/>
        </w:rPr>
        <w:t xml:space="preserve"> </w:t>
      </w:r>
      <w:r w:rsidR="00DF77B5" w:rsidRPr="00511005">
        <w:rPr>
          <w:rFonts w:ascii="Arial" w:eastAsia="Times New Roman" w:hAnsi="Arial" w:cs="Arial"/>
          <w:i/>
          <w:iCs/>
          <w:szCs w:val="28"/>
          <w:lang w:val="uk-UA" w:eastAsia="uk-UA"/>
        </w:rPr>
        <w:t>Кормич Л.І.</w:t>
      </w:r>
    </w:p>
    <w:p w14:paraId="302CB9FF" w14:textId="77777777" w:rsidR="00DF77B5" w:rsidRPr="00511005" w:rsidRDefault="00DF77B5" w:rsidP="003C4C3B">
      <w:pPr>
        <w:widowControl w:val="0"/>
        <w:autoSpaceDE w:val="0"/>
        <w:autoSpaceDN w:val="0"/>
        <w:spacing w:line="264" w:lineRule="auto"/>
        <w:ind w:left="709" w:firstLine="0"/>
        <w:jc w:val="left"/>
        <w:rPr>
          <w:rFonts w:ascii="Arial" w:eastAsia="Times New Roman" w:hAnsi="Arial" w:cs="Arial"/>
          <w:i/>
          <w:iCs/>
          <w:szCs w:val="28"/>
          <w:lang w:val="uk-UA" w:eastAsia="uk-UA"/>
        </w:rPr>
      </w:pPr>
    </w:p>
    <w:p w14:paraId="3EE84ADF" w14:textId="77777777" w:rsidR="00DF77B5" w:rsidRPr="00511005" w:rsidRDefault="00DF77B5" w:rsidP="003A292D">
      <w:pPr>
        <w:spacing w:line="264" w:lineRule="auto"/>
        <w:ind w:firstLine="0"/>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Лушпенко Валерія Олександрівна</w:t>
      </w:r>
    </w:p>
    <w:p w14:paraId="708D21AE" w14:textId="0DE66B50" w:rsidR="00DF77B5" w:rsidRPr="00511005" w:rsidRDefault="00DF77B5" w:rsidP="003A292D">
      <w:pPr>
        <w:spacing w:line="264" w:lineRule="auto"/>
        <w:ind w:firstLine="0"/>
        <w:jc w:val="center"/>
        <w:rPr>
          <w:rFonts w:ascii="Arial" w:eastAsia="Times New Roman" w:hAnsi="Arial" w:cs="Arial"/>
          <w:szCs w:val="28"/>
          <w:lang w:val="uk-UA"/>
        </w:rPr>
      </w:pPr>
      <w:r w:rsidRPr="00511005">
        <w:rPr>
          <w:rFonts w:ascii="Arial" w:eastAsia="Times New Roman" w:hAnsi="Arial" w:cs="Arial"/>
          <w:szCs w:val="28"/>
          <w:lang w:val="uk-UA"/>
        </w:rPr>
        <w:t xml:space="preserve">студентка 1-го курсу </w:t>
      </w:r>
      <w:r w:rsidR="00536AAB" w:rsidRPr="00511005">
        <w:rPr>
          <w:rFonts w:ascii="Arial" w:eastAsia="Times New Roman" w:hAnsi="Arial" w:cs="Arial"/>
          <w:szCs w:val="28"/>
          <w:lang w:val="uk-UA"/>
        </w:rPr>
        <w:t>факультету журналістики</w:t>
      </w:r>
      <w:r w:rsidRPr="00511005">
        <w:rPr>
          <w:rFonts w:ascii="Arial" w:eastAsia="Aptos" w:hAnsi="Arial" w:cs="Arial"/>
          <w:szCs w:val="28"/>
          <w:lang w:val="uk-UA"/>
        </w:rPr>
        <w:br/>
      </w:r>
      <w:r w:rsidR="007B2628" w:rsidRPr="00511005">
        <w:rPr>
          <w:rFonts w:ascii="Arial" w:eastAsia="Times New Roman" w:hAnsi="Arial" w:cs="Arial"/>
          <w:szCs w:val="28"/>
          <w:lang w:val="uk-UA"/>
        </w:rPr>
        <w:t>Національного університету «Одеська юридична академія»</w:t>
      </w:r>
    </w:p>
    <w:p w14:paraId="6D0443EC" w14:textId="77777777" w:rsidR="00D855E2" w:rsidRPr="00511005" w:rsidRDefault="00D855E2" w:rsidP="003C4C3B">
      <w:pPr>
        <w:widowControl w:val="0"/>
        <w:autoSpaceDE w:val="0"/>
        <w:autoSpaceDN w:val="0"/>
        <w:spacing w:line="264" w:lineRule="auto"/>
        <w:ind w:firstLine="0"/>
        <w:jc w:val="center"/>
        <w:rPr>
          <w:rFonts w:ascii="Arial" w:eastAsia="Times New Roman" w:hAnsi="Arial" w:cs="Arial"/>
          <w:b/>
          <w:bCs/>
          <w:szCs w:val="28"/>
          <w:lang w:val="uk-UA" w:eastAsia="uk-UA"/>
        </w:rPr>
      </w:pPr>
    </w:p>
    <w:p w14:paraId="7151F3CA" w14:textId="13A2F100" w:rsidR="00DF77B5" w:rsidRPr="00511005" w:rsidRDefault="00DF77B5" w:rsidP="003C4C3B">
      <w:pPr>
        <w:widowControl w:val="0"/>
        <w:autoSpaceDE w:val="0"/>
        <w:autoSpaceDN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ВИКОРИСТАННЯ ПОЛІТИКИ «МʼЯКОЇ СИЛИ» УКРАЇНИ ПІСЛЯ ПОВНОМАСШТАБНОГО ВТОРГНЕННЯ</w:t>
      </w:r>
    </w:p>
    <w:p w14:paraId="700275A8" w14:textId="77777777" w:rsidR="00DF77B5" w:rsidRPr="00511005" w:rsidRDefault="00DF77B5" w:rsidP="00D855E2">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Після повномасштабного вторгнення рф на територію України 24 лютого 2022 року Україна була змушена активізувати не лише військові й оборонні інструменти захисту своєї державності, а й переосмислити підходи до реалізації зовнішньої політики. Одним із ключових інструментів, який Україна успішно адаптувала й розвиває, стала політика «мʼякої сили» — система непрямих впливів на міжнародну спільноту з метою формування </w:t>
      </w:r>
      <w:r w:rsidRPr="00511005">
        <w:rPr>
          <w:rFonts w:ascii="Arial" w:eastAsia="Times New Roman" w:hAnsi="Arial" w:cs="Arial"/>
          <w:szCs w:val="28"/>
          <w:lang w:val="uk-UA" w:eastAsia="uk-UA"/>
        </w:rPr>
        <w:lastRenderedPageBreak/>
        <w:t>позитивного іміджу, залучення підтримки та створення сприятливого інформаційного середовища щодо українських національних інтересів.</w:t>
      </w:r>
    </w:p>
    <w:p w14:paraId="29688FD0" w14:textId="77777777" w:rsidR="00DF77B5" w:rsidRPr="00511005" w:rsidRDefault="00DF77B5" w:rsidP="00D855E2">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Термін «м’яка сила» (soft power), запропонований Джозефом Наєм у 1990-х роках, передбачає досягнення цілей не шляхом примусу чи фінансових стимулів, а за рахунок привабливості культури, політичних цінностей та зовнішньої політики держави. Для України цей підхід набув особливої значущості у післявоєнний період, оскільки міжнародна увага до подій в Україні різко зросла, і країна отримала шанс використати цей інтерес для закріплення свого авторитету в світовому співтоваристві [1,c.34].</w:t>
      </w:r>
    </w:p>
    <w:p w14:paraId="2B61FA0D" w14:textId="77777777" w:rsidR="00DF77B5" w:rsidRPr="00511005" w:rsidRDefault="00DF77B5" w:rsidP="00D855E2">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Одним із основних напрямів реалізації політики «мʼякої сили» України стало культурне дипломатичне представництво. Українські митці, діячі культури, письменники, кінематографісти, музиканти стали своєрідними «послами» України у світі. Завдяки численним виставкам, концертам, культурним акціям і презентаціям, що відбулися у країнах Європи, Північної Америки, Азії, формується глобальне уявлення про українську націю як про сильну, самобутню та стійку в боротьбі за свободу. У цьому контексті прикладами стали всесвітньо відомі українські музичні колективи, які організовували благодійні тури з метою збору коштів для Збройних сил України, а також українські художники, які експонували свої роботи у провідних музеях Європи[3,c.33].</w:t>
      </w:r>
    </w:p>
    <w:p w14:paraId="68C2963E" w14:textId="77777777" w:rsidR="00DF77B5" w:rsidRPr="00511005" w:rsidRDefault="00DF77B5" w:rsidP="00D855E2">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Також важливу роль відіграє інформаційна політика як складова «мʼякої сили». Після початку війни Україна зуміла створити потужну комунікаційну стратегію, яка забезпечує постійну присутність України у світовому медіапросторі. Виступи Президента України Володимира Зеленського перед парламентами різних країн світу, міжнародними організаціями та академічними спільнотами стали зразками ефективної публічної дипломатії. Його меседжі базуються на універсальних цінностях свободи, демократії та справедливості, що робить Україну ближчою для широкої аудиторії. Крім того, англомовні платформи, соціальні мережі та офіційні ресурси держави координовано поширюють верифіковану інформацію про події в Україні, чим ефективно протидіють російській дезінформації[2,c.10].</w:t>
      </w:r>
    </w:p>
    <w:p w14:paraId="0C0ABA58" w14:textId="77777777" w:rsidR="00DF77B5" w:rsidRPr="00511005" w:rsidRDefault="00DF77B5" w:rsidP="00D855E2">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Ще одним потужним інструментом «мʼякої сили» України стали гуманітарні ініціативи та волонтерський рух. Українська діаспора в багатьох країнах світу активізувалась, створивши волонтерські центри, які підтримують біженців, організовують акції протесту проти агресії, поширюють правду про події в Україні. Громадяни України, які опинилися за кордоном через війну, демонструють приклад громадянської зрілості, долучаючись до освітніх, соціальних, культурних ініціатив країн перебування, що підсилює позитивне сприйняття України на міжнародному рівні.</w:t>
      </w:r>
    </w:p>
    <w:p w14:paraId="129B7213" w14:textId="77777777" w:rsidR="00DF77B5" w:rsidRPr="00511005" w:rsidRDefault="00DF77B5" w:rsidP="00D855E2">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Політика «мʼякої сили» також реалізується через освітні та наукові </w:t>
      </w:r>
      <w:r w:rsidRPr="00511005">
        <w:rPr>
          <w:rFonts w:ascii="Arial" w:eastAsia="Times New Roman" w:hAnsi="Arial" w:cs="Arial"/>
          <w:szCs w:val="28"/>
          <w:lang w:val="uk-UA" w:eastAsia="uk-UA"/>
        </w:rPr>
        <w:lastRenderedPageBreak/>
        <w:t>програми. Українські студенти, викладачі та дослідники беруть участь у міжнародних стипендіальних програмах, стажуваннях, наукових проектах, що дозволяє поширювати знання про Україну як інтелектуального партнера. Розширення академічної співпраці та інтернаціоналізація української освіти не лише підвищує якість національної освітньої системи, а й інтегрує Україну у глобальний інтелектуальний простір[3,c.56].</w:t>
      </w:r>
    </w:p>
    <w:p w14:paraId="70740DE7" w14:textId="77777777" w:rsidR="00DF77B5" w:rsidRPr="00511005" w:rsidRDefault="00DF77B5" w:rsidP="00D855E2">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Не менш важливою складовою «мʼякої сили» України стала правозахисна активність. Після повномасштабного вторгнення активізувалась співпраця України з міжнародними правозахисними організаціями, а також було розпочато численні процеси збору доказів воєнних злочинів для подальшого судового розгляду в міжнародних інституціях. Ця діяльність підкреслює прихильність України до верховенства права та міжнародного гуманітарного права, що значно підвищує довіру до нашої держави.</w:t>
      </w:r>
    </w:p>
    <w:p w14:paraId="2F46504E" w14:textId="77777777" w:rsidR="00DF77B5" w:rsidRPr="00511005" w:rsidRDefault="00DF77B5" w:rsidP="00D855E2">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Крім того, політика «мʼякої сили» України проявляється у посиленні інституційної присутності в міжнародних організаціях. Українські представники активно беруть участь у роботі ООН, Ради Європи, ОБСЄ, а також у неформальних дипломатичних форумах, де озвучують українську позицію, формуючи симпатії до нашої країни та зміцнюючи міжнародну коаліцію проти агресора[1,c.22].</w:t>
      </w:r>
    </w:p>
    <w:p w14:paraId="37837DB4" w14:textId="77777777" w:rsidR="00DF77B5" w:rsidRPr="00511005" w:rsidRDefault="00DF77B5" w:rsidP="00D855E2">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Значну роль відіграє і брендинг держави. У 2022–2023 роках Україна активно просувала імідж держави-героя, що захищає демократичний світовий порядок. Кампанії з позиціонування України як сучасної, технічно розвиненої, культурно багатої та незламної країни впливають на зовнішню аудиторію, включаючи потенційних інвесторів, дипломатів, журналістів. За допомогою державних комунікаційних агенцій, таких як Ukraine.ua, Ukraine NOW, створюються візуальні й медійні матеріали, які відображають не лише трагічні, а й героїчні сторони життя в Україні[2,c.55].</w:t>
      </w:r>
    </w:p>
    <w:p w14:paraId="4A7A332A" w14:textId="57AE940B" w:rsidR="00DF77B5" w:rsidRPr="00511005" w:rsidRDefault="00DF77B5" w:rsidP="00D855E2">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Отже, використання «мʼякої сили» Україною після початку повномасштабного вторгнення є одним із ключових напрямів сучасної зовнішньої політики. Успішне поєднання культурної дипломатії, інформаційної стратегії, гуманітарних ініціатив, правозахисної активності та державного брендингу дозволяє Україні не лише зберігати підтримку міжнародної спільноти, а й поступово перетворюватися на важливого суб’єкта глобального політичного діалогу. У майбутньому посилення й систематизація інструментів «мʼякої сили», зокрема через інституціональне забезпечення, стане запорукою стратегічного укріплення позицій України в післявоєнному світі.</w:t>
      </w:r>
    </w:p>
    <w:p w14:paraId="5F7245A2" w14:textId="77777777" w:rsidR="00D855E2" w:rsidRPr="00511005" w:rsidRDefault="00D855E2" w:rsidP="00D855E2">
      <w:pPr>
        <w:widowControl w:val="0"/>
        <w:autoSpaceDE w:val="0"/>
        <w:autoSpaceDN w:val="0"/>
        <w:spacing w:line="264" w:lineRule="auto"/>
        <w:rPr>
          <w:rFonts w:ascii="Arial" w:eastAsia="Times New Roman" w:hAnsi="Arial" w:cs="Arial"/>
          <w:szCs w:val="28"/>
          <w:lang w:val="uk-UA" w:eastAsia="uk-UA"/>
        </w:rPr>
      </w:pPr>
    </w:p>
    <w:p w14:paraId="4D09A4C1" w14:textId="577EBBD9" w:rsidR="00DF77B5" w:rsidRPr="00511005" w:rsidRDefault="007B2628" w:rsidP="00D855E2">
      <w:pPr>
        <w:widowControl w:val="0"/>
        <w:autoSpaceDE w:val="0"/>
        <w:autoSpaceDN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t>Список використаних джерел</w:t>
      </w:r>
    </w:p>
    <w:p w14:paraId="0602596F" w14:textId="77777777" w:rsidR="00DF77B5" w:rsidRPr="00511005" w:rsidRDefault="00DF77B5" w:rsidP="003F6A5D">
      <w:pPr>
        <w:widowControl w:val="0"/>
        <w:numPr>
          <w:ilvl w:val="0"/>
          <w:numId w:val="802"/>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i/>
          <w:iCs/>
          <w:szCs w:val="28"/>
          <w:lang w:val="uk-UA" w:eastAsia="uk-UA"/>
        </w:rPr>
        <w:t>Міжнародні відносини та зовнішня політика України : підручник</w:t>
      </w:r>
      <w:r w:rsidRPr="00511005">
        <w:rPr>
          <w:rFonts w:ascii="Arial" w:eastAsia="Times New Roman" w:hAnsi="Arial" w:cs="Arial"/>
          <w:szCs w:val="28"/>
          <w:lang w:val="uk-UA" w:eastAsia="uk-UA"/>
        </w:rPr>
        <w:t>. – Київ : НУОУ ім. Івана Черняховського, 2020. – 328 с.</w:t>
      </w:r>
    </w:p>
    <w:p w14:paraId="232D9838" w14:textId="77777777" w:rsidR="00DF77B5" w:rsidRPr="00511005" w:rsidRDefault="00DF77B5" w:rsidP="003F6A5D">
      <w:pPr>
        <w:widowControl w:val="0"/>
        <w:numPr>
          <w:ilvl w:val="0"/>
          <w:numId w:val="802"/>
        </w:numPr>
        <w:autoSpaceDE w:val="0"/>
        <w:autoSpaceDN w:val="0"/>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 xml:space="preserve">Сутність м’якої сили та її застосування в міжнародних відносинах / О. І. Огієнко // </w:t>
      </w:r>
      <w:r w:rsidRPr="00511005">
        <w:rPr>
          <w:rFonts w:ascii="Arial" w:eastAsia="Times New Roman" w:hAnsi="Arial" w:cs="Arial"/>
          <w:i/>
          <w:iCs/>
          <w:szCs w:val="28"/>
          <w:lang w:val="uk-UA" w:eastAsia="uk-UA"/>
        </w:rPr>
        <w:t>Актуальні проблеми міжнародних відносин : зб. наук. пр.</w:t>
      </w:r>
      <w:r w:rsidRPr="00511005">
        <w:rPr>
          <w:rFonts w:ascii="Arial" w:eastAsia="Times New Roman" w:hAnsi="Arial" w:cs="Arial"/>
          <w:szCs w:val="28"/>
          <w:lang w:val="uk-UA" w:eastAsia="uk-UA"/>
        </w:rPr>
        <w:t xml:space="preserve"> – Одеса : Нац. ун-т «Одеська юридична академія», 2023. – Вип. 160. – С. 58–64. – URL: </w:t>
      </w:r>
      <w:hyperlink r:id="rId2564" w:tgtFrame="_new" w:history="1">
        <w:r w:rsidRPr="00511005">
          <w:rPr>
            <w:rFonts w:ascii="Arial" w:eastAsia="Times New Roman" w:hAnsi="Arial" w:cs="Arial"/>
            <w:szCs w:val="28"/>
            <w:lang w:val="uk-UA" w:eastAsia="uk-UA"/>
          </w:rPr>
          <w:t>https://dspace.onua.edu.ua/server/api/core/bitstreams/e60326f0-d028-4119-9ff1-5767fafc06d9/content</w:t>
        </w:r>
      </w:hyperlink>
      <w:r w:rsidRPr="00511005">
        <w:rPr>
          <w:rFonts w:ascii="Arial" w:eastAsia="Times New Roman" w:hAnsi="Arial" w:cs="Arial"/>
          <w:szCs w:val="28"/>
          <w:lang w:val="uk-UA" w:eastAsia="uk-UA"/>
        </w:rPr>
        <w:t xml:space="preserve"> (дата звернення: 10.05.2025).</w:t>
      </w:r>
    </w:p>
    <w:p w14:paraId="27356C38" w14:textId="77777777" w:rsidR="00DF77B5" w:rsidRPr="00511005" w:rsidRDefault="00DF77B5" w:rsidP="003F6A5D">
      <w:pPr>
        <w:widowControl w:val="0"/>
        <w:numPr>
          <w:ilvl w:val="0"/>
          <w:numId w:val="802"/>
        </w:numPr>
        <w:autoSpaceDE w:val="0"/>
        <w:autoSpaceDN w:val="0"/>
        <w:spacing w:line="264" w:lineRule="auto"/>
        <w:ind w:left="0" w:firstLine="709"/>
        <w:jc w:val="left"/>
        <w:rPr>
          <w:rFonts w:ascii="Arial" w:eastAsia="Times New Roman" w:hAnsi="Arial" w:cs="Arial"/>
          <w:szCs w:val="28"/>
          <w:lang w:val="uk-UA" w:eastAsia="uk-UA"/>
        </w:rPr>
      </w:pPr>
      <w:r w:rsidRPr="00511005">
        <w:rPr>
          <w:rFonts w:ascii="Arial" w:eastAsia="Times New Roman" w:hAnsi="Arial" w:cs="Arial"/>
          <w:szCs w:val="28"/>
          <w:lang w:val="uk-UA" w:eastAsia="uk-UA"/>
        </w:rPr>
        <w:t>«М’яка сила» України в регіоні: інструмент ефективної зовнішньої політики / авт. кол.: А. Гетьманчук, Є. Єнін, К. Зарембо, О. Пилявець та ін.</w:t>
      </w:r>
      <w:r w:rsidRPr="00511005">
        <w:rPr>
          <w:rFonts w:ascii="Arial" w:eastAsia="Times New Roman" w:hAnsi="Arial" w:cs="Arial"/>
          <w:szCs w:val="28"/>
          <w:lang w:val="uk-UA" w:eastAsia="uk-UA"/>
        </w:rPr>
        <w:br/>
        <w:t>– Київ : Інститут світової політики, 2011. – 111 с.</w:t>
      </w:r>
    </w:p>
    <w:p w14:paraId="47856BF2" w14:textId="77777777" w:rsidR="00DF77B5" w:rsidRPr="00511005" w:rsidRDefault="00DF77B5" w:rsidP="00D855E2">
      <w:pPr>
        <w:widowControl w:val="0"/>
        <w:autoSpaceDE w:val="0"/>
        <w:autoSpaceDN w:val="0"/>
        <w:spacing w:line="264" w:lineRule="auto"/>
        <w:jc w:val="left"/>
        <w:rPr>
          <w:rFonts w:ascii="Arial" w:eastAsia="Times New Roman" w:hAnsi="Arial" w:cs="Arial"/>
          <w:szCs w:val="28"/>
          <w:lang w:val="uk-UA" w:eastAsia="uk-UA"/>
        </w:rPr>
      </w:pPr>
    </w:p>
    <w:p w14:paraId="648B0751" w14:textId="763CE3C2" w:rsidR="00DF77B5" w:rsidRPr="00511005" w:rsidRDefault="007B2628" w:rsidP="00D855E2">
      <w:pPr>
        <w:widowControl w:val="0"/>
        <w:autoSpaceDE w:val="0"/>
        <w:autoSpaceDN w:val="0"/>
        <w:spacing w:line="264" w:lineRule="auto"/>
        <w:ind w:firstLine="708"/>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Ключові слова: </w:t>
      </w:r>
      <w:r w:rsidR="00DF77B5" w:rsidRPr="00511005">
        <w:rPr>
          <w:rFonts w:ascii="Arial" w:eastAsia="Times New Roman" w:hAnsi="Arial" w:cs="Arial"/>
          <w:i/>
          <w:iCs/>
          <w:szCs w:val="28"/>
          <w:lang w:val="uk-UA" w:eastAsia="uk-UA"/>
        </w:rPr>
        <w:t>«мʼяка сила», повномасштабне вторгнення, зовнішня політика, позитивний імідж, культурна дипломатія, інформаційна дипломатія, комунікаційна стратегія, гуманітарні ініціативи, правозахисна активність, Міжнародні організації, брендинг держави.</w:t>
      </w:r>
    </w:p>
    <w:p w14:paraId="44A4978D" w14:textId="44EDA380" w:rsidR="00DF77B5" w:rsidRPr="00511005" w:rsidRDefault="007B2628" w:rsidP="00D855E2">
      <w:pPr>
        <w:widowControl w:val="0"/>
        <w:autoSpaceDE w:val="0"/>
        <w:autoSpaceDN w:val="0"/>
        <w:spacing w:line="264" w:lineRule="auto"/>
        <w:ind w:firstLine="708"/>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Key words: </w:t>
      </w:r>
      <w:r w:rsidR="00DF77B5" w:rsidRPr="00511005">
        <w:rPr>
          <w:rFonts w:ascii="Arial" w:eastAsia="Times New Roman" w:hAnsi="Arial" w:cs="Arial"/>
          <w:i/>
          <w:iCs/>
          <w:szCs w:val="28"/>
          <w:lang w:val="uk-UA" w:eastAsia="uk-UA"/>
        </w:rPr>
        <w:t>«soft power», full-scale invasion, foreign policy, positive image, cultural diplomacy, information diplomacy, communication strategy, humanitarian initiatives, human rights activism, international organizations, state branding.</w:t>
      </w:r>
    </w:p>
    <w:p w14:paraId="7956CFFD" w14:textId="7D6FB434" w:rsidR="00DF77B5" w:rsidRPr="00511005" w:rsidRDefault="007B2628" w:rsidP="00D855E2">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д.політ.н., доцент Завгородня Ю.В.</w:t>
      </w:r>
    </w:p>
    <w:p w14:paraId="12761FF6" w14:textId="77777777" w:rsidR="00DF77B5" w:rsidRPr="00511005" w:rsidRDefault="00DF77B5" w:rsidP="00D855E2">
      <w:pPr>
        <w:widowControl w:val="0"/>
        <w:autoSpaceDE w:val="0"/>
        <w:autoSpaceDN w:val="0"/>
        <w:spacing w:line="264" w:lineRule="auto"/>
        <w:ind w:left="709" w:firstLine="0"/>
        <w:jc w:val="left"/>
        <w:rPr>
          <w:rFonts w:ascii="Arial" w:eastAsia="Times New Roman" w:hAnsi="Arial" w:cs="Arial"/>
          <w:i/>
          <w:iCs/>
          <w:szCs w:val="28"/>
          <w:lang w:val="uk-UA" w:eastAsia="uk-UA"/>
        </w:rPr>
      </w:pPr>
    </w:p>
    <w:p w14:paraId="58B4EE5E" w14:textId="77777777" w:rsidR="00DF77B5" w:rsidRPr="00511005" w:rsidRDefault="00DF77B5" w:rsidP="00F06D4D">
      <w:pPr>
        <w:widowControl w:val="0"/>
        <w:autoSpaceDE w:val="0"/>
        <w:autoSpaceDN w:val="0"/>
        <w:spacing w:line="264" w:lineRule="auto"/>
        <w:ind w:firstLine="0"/>
        <w:jc w:val="center"/>
        <w:rPr>
          <w:rFonts w:ascii="Arial" w:eastAsia="Times New Roman" w:hAnsi="Arial" w:cs="Arial"/>
          <w:b/>
          <w:bCs/>
          <w:i/>
          <w:iCs/>
          <w:szCs w:val="28"/>
          <w:lang w:val="uk-UA" w:eastAsia="uk-UA"/>
        </w:rPr>
      </w:pPr>
      <w:r w:rsidRPr="00511005">
        <w:rPr>
          <w:rFonts w:ascii="Arial" w:eastAsia="Times New Roman" w:hAnsi="Arial" w:cs="Arial"/>
          <w:b/>
          <w:bCs/>
          <w:i/>
          <w:iCs/>
          <w:szCs w:val="28"/>
          <w:lang w:val="uk-UA" w:eastAsia="uk-UA"/>
        </w:rPr>
        <w:t>Матяж Христина Олексіївна</w:t>
      </w:r>
    </w:p>
    <w:p w14:paraId="3029695C" w14:textId="1ACF9EA5" w:rsidR="00DF77B5" w:rsidRPr="00511005" w:rsidRDefault="00F06D4D" w:rsidP="00F06D4D">
      <w:pPr>
        <w:widowControl w:val="0"/>
        <w:autoSpaceDE w:val="0"/>
        <w:autoSpaceDN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с</w:t>
      </w:r>
      <w:r w:rsidR="00536AAB" w:rsidRPr="00511005">
        <w:rPr>
          <w:rFonts w:ascii="Arial" w:eastAsia="Times New Roman" w:hAnsi="Arial" w:cs="Arial"/>
          <w:szCs w:val="28"/>
          <w:lang w:val="uk-UA" w:eastAsia="uk-UA"/>
        </w:rPr>
        <w:t>тудентка 3-го курсу факультету психології, політології та соціології</w:t>
      </w:r>
    </w:p>
    <w:p w14:paraId="3FBBC6C3" w14:textId="2A05F0CA" w:rsidR="00DF77B5" w:rsidRPr="00511005" w:rsidRDefault="007B2628" w:rsidP="00F06D4D">
      <w:pPr>
        <w:widowControl w:val="0"/>
        <w:autoSpaceDE w:val="0"/>
        <w:autoSpaceDN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40F34ED9" w14:textId="77777777" w:rsidR="00F06D4D" w:rsidRPr="00511005" w:rsidRDefault="00F06D4D" w:rsidP="00F06D4D">
      <w:pPr>
        <w:widowControl w:val="0"/>
        <w:autoSpaceDE w:val="0"/>
        <w:autoSpaceDN w:val="0"/>
        <w:spacing w:line="264" w:lineRule="auto"/>
        <w:ind w:firstLine="0"/>
        <w:jc w:val="center"/>
        <w:rPr>
          <w:rFonts w:ascii="Arial" w:eastAsia="Times New Roman" w:hAnsi="Arial" w:cs="Arial"/>
          <w:szCs w:val="28"/>
          <w:lang w:val="uk-UA" w:eastAsia="uk-UA"/>
        </w:rPr>
      </w:pPr>
    </w:p>
    <w:p w14:paraId="21C5069A" w14:textId="77777777" w:rsidR="00DF77B5" w:rsidRPr="00511005" w:rsidRDefault="00DF77B5" w:rsidP="00F06D4D">
      <w:pPr>
        <w:widowControl w:val="0"/>
        <w:autoSpaceDE w:val="0"/>
        <w:autoSpaceDN w:val="0"/>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РОЛЬ ПРЕЦЕНДЕНТУ У ПОЛІТИКО-ПРАВОВІЙ СИСТЕМІ УКРАЇНИ</w:t>
      </w:r>
    </w:p>
    <w:p w14:paraId="1E9AFAAB" w14:textId="5F6E31EE"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сучасній політико-правовій системі України роль судового прецеденту набуває дедалі більшого значення. Хоча Україна належить до романо-германської правової сім'ї, процеси євроінтеграції, реформування судової системи та розвиток практики Конституційного Суду і Верховного Суду сприяють зростанню впливу прецедентних рішень. Водночас варто зазначити, що в Україні судовий прецедент не визнаний самостійним джерелом права у його традиційному розумінні, оскільки суди формально не здійснюють правотворчої діяльності унаслідок створення нових норм права — нормативно-правових актів, що суперечать статтям 6, 8, 75, 126 та 129 Конституції України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_Ref196678644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7</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_Ref196679395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5</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 Проте на практиці прецедент виконує важливу регулятивну функцію та все активніше впливає на правове життя країни. З огляду на це, доцільним є розгляд поняття прецеденту, його сутності та функціональної ролі у формуванні політико-правового порядку України.</w:t>
      </w:r>
    </w:p>
    <w:p w14:paraId="3A8F38DB" w14:textId="09DE9C29"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теорії права судовий прецедент розглядається як акт судової влади, в якому викладається обґрунтування ухваленого рішення через визначення </w:t>
      </w:r>
      <w:r w:rsidRPr="00511005">
        <w:rPr>
          <w:rFonts w:ascii="Arial" w:eastAsia="Times New Roman" w:hAnsi="Arial" w:cs="Arial"/>
          <w:szCs w:val="28"/>
          <w:lang w:val="uk-UA" w:eastAsia="uk-UA"/>
        </w:rPr>
        <w:lastRenderedPageBreak/>
        <w:t>правової позиції. Ця позиція набуває обов'язкової сили для судів при розгляді справ із подібними обставинами. Основою судового прецеденту є повторюваність певних суспільних відносин і особливості людської поведінки. Як підкреслює С. В. Шевчук, справедливим вважається рішення, що узгоджується з уже прийнятим у випадках однакових фактичних обставин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_Ref196679065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3</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w:t>
      </w:r>
    </w:p>
    <w:p w14:paraId="2384EF05" w14:textId="3A2BBFDB"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Елементи судової нормотворчості простежуються у постановах Верховного Суду щодо юрисдикційних конфліктів. Як зауважив суддя Великої Палати ВС: «За відсутності в законі чіткої вказівки щодо юрисдикції спору Велика Палата у висновках фактично формує правило, яке визначає, судам якої юрисдикції належить розгляд аналогічних справ»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_Ref196680007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1</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w:t>
      </w:r>
    </w:p>
    <w:p w14:paraId="3DD254E7" w14:textId="6CF3F944"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Аналіз міжнародних актів, ратифікованих Україною, свідчить про визнання прецедентів Європейського суду з прав людини як джерела права. Це підтверджується статтею 46 Європейської конвенції про захист прав людини і основоположних свобод та положеннями Закону України «Про виконання рішень та застосування практики Європейського суду з прав людини»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_Ref196680748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8</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 відповідно до яких рішення Суду є обов’язковими для держав-учасниць, а національні суди застосовують практику Суду як джерело права. Таким чином, на законодавчому рівні в Україні закріплено обов'язковість прецедентної практики ЄСПЛ у тлумаченні та застосуванні норм Конвенції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_Ref196680567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6</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 с. 29].</w:t>
      </w:r>
    </w:p>
    <w:p w14:paraId="491003B3" w14:textId="557B82E3"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Л.А. Луць, С.В. Шевчук, Б.В. Малишев та О.І. Турчак вважають, що судовий прецедент фактично виконує роль джерела права й має бути офіційно визнаним. На їхню думку, визнання прецеденту сприятиме усуненню прогалин і колізій у законодавстві, забезпечить справедливий судовий розгляд та єдність судової практики. Також підкреслюється необхідність закріплення на законодавчому рівні правотворчих функцій КСУ та ВС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_Ref196680567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6</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 с. 29]..</w:t>
      </w:r>
    </w:p>
    <w:p w14:paraId="066AC572" w14:textId="3F3C2983"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2024 році ВАКС активно розглядав справи, пов'язані з корупційними правопорушеннями серед суддів та високопосадовців. Зокрема, десять суддів були засуджені в першій інстанції, при цьому 90 % вироків були обвинувальними.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Одним з випадків стало затримання міністра аграрної політики та продовольства України Миколи Сольського у квітні 2024 року. Його підозрювали у незаконному заволодінні державними землями на суму близько $6,85 млн у період з 2017 по 2021 роки, коли він очолював велику аграрну компанію та був народним депутатом. Суд ВАКС ухвалив рішення про тримання під вартою до 24 червня 2024 року, з можливістю внесення застави у розмірі $1,9 млн, яку міністр сплатив, що дозволило йому вийти на свободу до завершення розслідування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_Ref196681331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2</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w:t>
      </w:r>
    </w:p>
    <w:p w14:paraId="49254A9B" w14:textId="6DFE010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В.В. Шафарчук наголошує, що судовий прецедент має забезпечити прозорість та передбачуваність у діяльності судової і правоохоронної систем, знизити рівень корупції та унеможливити свавільне відступлення </w:t>
      </w:r>
      <w:r w:rsidRPr="00511005">
        <w:rPr>
          <w:rFonts w:ascii="Arial" w:eastAsia="Times New Roman" w:hAnsi="Arial" w:cs="Arial"/>
          <w:szCs w:val="28"/>
          <w:lang w:val="uk-UA" w:eastAsia="uk-UA"/>
        </w:rPr>
        <w:lastRenderedPageBreak/>
        <w:t>посадових осіб від усталених правил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_Ref196680567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6</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 с. 30]..</w:t>
      </w:r>
    </w:p>
    <w:p w14:paraId="36ABEBE2" w14:textId="27CD265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Голова Октябрського районного суду Віталій Микитенко повідомив, що 5 березня 2025 року до суду надійшов лист, адресований судді Марині Материнко, підписаний адвокатом. У листі йшлося про прохання задовольнити уточнений позов у справі № 643/5283/17 щодо поділу квартири та визначення порядку її користування. У ньому зазначалося, що були придбані акції АТ "ПОЛТАВАГАЗ" і АТ "ПОЛТАВАОБЛЕНЕРГО" на суму 2000 $, а також обіцяно передати ще 1000 $ після ухвалення рішення про стягнення 70363 грн. Окрім того, було запропоновано подарунок у розмірі 10000 грн, який знаходився в конверті. Проте виявилось, що в конверті знаходилась лише купюра номіналом 100 гривень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_Ref196682013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4</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w:t>
      </w:r>
    </w:p>
    <w:p w14:paraId="7C851331" w14:textId="558CCB4F"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Нормативно-правовий акт у поєднанні з судовим прецедентом має стати механізмом, що ліквідує корупцію в судовій системі та усуне явище «тиску на суддів». Це стане можливим, оскільки суддя буде змушений діяти відповідно до усталеної практики, застосовуючи вже визначені правові норми в аналогічних ситуаціях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_Ref196680567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6</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 с. 30].</w:t>
      </w:r>
    </w:p>
    <w:p w14:paraId="183E33B1" w14:textId="2ED1FC3F"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До 2015 року, коли були створені НАБУ і САП, випадки притягнення народних обранців за корупцію були поодинокими. Наразі ж, завдяки діяльності цих органів, ситуація суттєво змінилася. Антикорупційне бюро повідомляє, що з 2016 по 2024 рік 68 чинних та колишніх народних депутатів були повідомлені про підозру, включаючи 41 особу, яким було повідомлено про підозру у 2022-2024 роках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_Ref196682440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9</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 xml:space="preserve">]. </w:t>
      </w:r>
    </w:p>
    <w:p w14:paraId="2551CE91" w14:textId="0E2E5A7F"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НАБУ визначили основні типи злочинів, до яких можуть бути причетні депутати: привласнення, розтрата або заволодіння майном через зловживання службовим становищем, отримання хабарів, зловживання владними повноваженнями, подання недостовірної інформації в деклараціях, а також незаконне збагачення. Прокурор САП разом із детективами НАБУ оголосив підозру діючому народному депутату, якого слідство вважає одним з організаторів незаконного заволодіння коштами Укрзалізниці під час закупівлі кабельно-провідникової продукції. За даними слідства, збитки для Укрзалізниці складають 140 млн грн [</w:t>
      </w:r>
      <w:r w:rsidRPr="00511005">
        <w:rPr>
          <w:rFonts w:ascii="Arial" w:eastAsia="Times New Roman" w:hAnsi="Arial" w:cs="Arial"/>
          <w:szCs w:val="28"/>
          <w:lang w:val="uk-UA" w:eastAsia="uk-UA"/>
        </w:rPr>
        <w:fldChar w:fldCharType="begin"/>
      </w:r>
      <w:r w:rsidRPr="00511005">
        <w:rPr>
          <w:rFonts w:ascii="Arial" w:eastAsia="Times New Roman" w:hAnsi="Arial" w:cs="Arial"/>
          <w:szCs w:val="28"/>
          <w:lang w:val="uk-UA" w:eastAsia="uk-UA"/>
        </w:rPr>
        <w:instrText xml:space="preserve"> REF _Ref196682440 \r \h  \* MERGEFORMAT </w:instrText>
      </w:r>
      <w:r w:rsidRPr="00511005">
        <w:rPr>
          <w:rFonts w:ascii="Arial" w:eastAsia="Times New Roman" w:hAnsi="Arial" w:cs="Arial"/>
          <w:szCs w:val="28"/>
          <w:lang w:val="uk-UA" w:eastAsia="uk-UA"/>
        </w:rPr>
      </w:r>
      <w:r w:rsidRPr="00511005">
        <w:rPr>
          <w:rFonts w:ascii="Arial" w:eastAsia="Times New Roman" w:hAnsi="Arial" w:cs="Arial"/>
          <w:szCs w:val="28"/>
          <w:lang w:val="uk-UA" w:eastAsia="uk-UA"/>
        </w:rPr>
        <w:fldChar w:fldCharType="separate"/>
      </w:r>
      <w:r w:rsidR="006F7CE5">
        <w:rPr>
          <w:rFonts w:ascii="Arial" w:eastAsia="Times New Roman" w:hAnsi="Arial" w:cs="Arial"/>
          <w:szCs w:val="28"/>
          <w:lang w:val="uk-UA" w:eastAsia="uk-UA"/>
        </w:rPr>
        <w:t>9</w:t>
      </w:r>
      <w:r w:rsidRPr="00511005">
        <w:rPr>
          <w:rFonts w:ascii="Arial" w:eastAsia="Times New Roman" w:hAnsi="Arial" w:cs="Arial"/>
          <w:szCs w:val="28"/>
          <w:lang w:val="uk-UA" w:eastAsia="uk-UA"/>
        </w:rPr>
        <w:fldChar w:fldCharType="end"/>
      </w:r>
      <w:r w:rsidRPr="00511005">
        <w:rPr>
          <w:rFonts w:ascii="Arial" w:eastAsia="Times New Roman" w:hAnsi="Arial" w:cs="Arial"/>
          <w:szCs w:val="28"/>
          <w:lang w:val="uk-UA" w:eastAsia="uk-UA"/>
        </w:rPr>
        <w:t>].</w:t>
      </w:r>
    </w:p>
    <w:p w14:paraId="4E6E4C2B" w14:textId="00F30918"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 метою подолання злочинності серед депутатів та забезпечення високих стандартів правової відповідальності у політичній сфері необхідним є запровадження ефективного механізму судового прецеденту в Україні. Прецедентне право, яке забезпечує однакове застосування норм до аналогічних випадків, сприяє прозорості, передбачуваності та недопущенню свавільного ухвалення рішень. В умовах, коли корупційні діяння серед політиків залишаються серйозною проблемою, впровадження судової практики як формального джерела права здатне створити стабільний політико-правовий порядок. Наявність обов'язкових прецедентів у вирішенні справ, пов'язаних із політичною злочинністю, унеможливить відступлення від встановлених стандартів і мінімізує ризики політичного впливу на </w:t>
      </w:r>
      <w:r w:rsidRPr="00511005">
        <w:rPr>
          <w:rFonts w:ascii="Arial" w:eastAsia="Times New Roman" w:hAnsi="Arial" w:cs="Arial"/>
          <w:szCs w:val="28"/>
          <w:lang w:val="uk-UA" w:eastAsia="uk-UA"/>
        </w:rPr>
        <w:lastRenderedPageBreak/>
        <w:t>суддівські рішення. Таким чином, розвиток прецедентного права є запорукою підвищення довіри до судової системи, ефективної протидії корупції в політичних колах і формування справедливого правового середовища.</w:t>
      </w:r>
    </w:p>
    <w:p w14:paraId="06B08CB4" w14:textId="77777777" w:rsidR="00F06D4D" w:rsidRPr="00511005" w:rsidRDefault="00F06D4D" w:rsidP="00F06D4D">
      <w:pPr>
        <w:widowControl w:val="0"/>
        <w:autoSpaceDE w:val="0"/>
        <w:autoSpaceDN w:val="0"/>
        <w:spacing w:line="264" w:lineRule="auto"/>
        <w:rPr>
          <w:rFonts w:ascii="Arial" w:eastAsia="Times New Roman" w:hAnsi="Arial" w:cs="Arial"/>
          <w:szCs w:val="28"/>
          <w:lang w:val="uk-UA" w:eastAsia="uk-UA"/>
        </w:rPr>
      </w:pPr>
    </w:p>
    <w:p w14:paraId="786CF000" w14:textId="7E287106" w:rsidR="00DF77B5" w:rsidRPr="00511005" w:rsidRDefault="007B2628" w:rsidP="00F06D4D">
      <w:pPr>
        <w:widowControl w:val="0"/>
        <w:autoSpaceDE w:val="0"/>
        <w:autoSpaceDN w:val="0"/>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06401CCD" w14:textId="77777777" w:rsidR="00DF77B5" w:rsidRPr="00511005" w:rsidRDefault="00DF77B5" w:rsidP="003F6A5D">
      <w:pPr>
        <w:widowControl w:val="0"/>
        <w:numPr>
          <w:ilvl w:val="0"/>
          <w:numId w:val="803"/>
        </w:numPr>
        <w:autoSpaceDE w:val="0"/>
        <w:autoSpaceDN w:val="0"/>
        <w:spacing w:line="264" w:lineRule="auto"/>
        <w:jc w:val="left"/>
        <w:rPr>
          <w:rFonts w:ascii="Arial" w:eastAsia="Times New Roman" w:hAnsi="Arial" w:cs="Arial"/>
          <w:szCs w:val="28"/>
          <w:lang w:val="uk-UA" w:eastAsia="uk-UA"/>
        </w:rPr>
      </w:pPr>
      <w:bookmarkStart w:id="324" w:name="_Ref196680007"/>
      <w:r w:rsidRPr="00511005">
        <w:rPr>
          <w:rFonts w:ascii="Arial" w:eastAsia="Times New Roman" w:hAnsi="Arial" w:cs="Arial"/>
          <w:szCs w:val="28"/>
          <w:lang w:val="uk-UA" w:eastAsia="uk-UA"/>
        </w:rPr>
        <w:t>«В законодавстві України не закріплено поняття прецедент, однак це не означає, що де-факто його не існує»,–Дмитро Гудима. </w:t>
      </w:r>
      <w:r w:rsidRPr="00511005">
        <w:rPr>
          <w:rFonts w:ascii="Arial" w:eastAsia="Times New Roman" w:hAnsi="Arial" w:cs="Arial"/>
          <w:i/>
          <w:iCs/>
          <w:szCs w:val="28"/>
          <w:lang w:val="uk-UA" w:eastAsia="uk-UA"/>
        </w:rPr>
        <w:t>ВЕРХОВНИЙ СУД</w:t>
      </w:r>
      <w:r w:rsidRPr="00511005">
        <w:rPr>
          <w:rFonts w:ascii="Arial" w:eastAsia="Times New Roman" w:hAnsi="Arial" w:cs="Arial"/>
          <w:szCs w:val="28"/>
          <w:lang w:val="uk-UA" w:eastAsia="uk-UA"/>
        </w:rPr>
        <w:t>. 2019. URL: </w:t>
      </w:r>
      <w:hyperlink r:id="rId2565" w:tgtFrame="_blank" w:history="1">
        <w:r w:rsidRPr="00511005">
          <w:rPr>
            <w:rFonts w:ascii="Arial" w:eastAsia="Times New Roman" w:hAnsi="Arial" w:cs="Arial"/>
            <w:szCs w:val="28"/>
            <w:lang w:val="uk-UA" w:eastAsia="uk-UA"/>
          </w:rPr>
          <w:t>https://supreme.court.gov.ua/supreme/pres-centr/news/659262</w:t>
        </w:r>
      </w:hyperlink>
      <w:r w:rsidRPr="00511005">
        <w:rPr>
          <w:rFonts w:ascii="Arial" w:eastAsia="Times New Roman" w:hAnsi="Arial" w:cs="Arial"/>
          <w:szCs w:val="28"/>
          <w:lang w:val="uk-UA" w:eastAsia="uk-UA"/>
        </w:rPr>
        <w:t>.</w:t>
      </w:r>
      <w:bookmarkEnd w:id="324"/>
    </w:p>
    <w:p w14:paraId="649D8E0E" w14:textId="77777777" w:rsidR="00DF77B5" w:rsidRPr="00511005" w:rsidRDefault="00DF77B5" w:rsidP="003F6A5D">
      <w:pPr>
        <w:widowControl w:val="0"/>
        <w:numPr>
          <w:ilvl w:val="0"/>
          <w:numId w:val="803"/>
        </w:numPr>
        <w:autoSpaceDE w:val="0"/>
        <w:autoSpaceDN w:val="0"/>
        <w:spacing w:line="264" w:lineRule="auto"/>
        <w:jc w:val="left"/>
        <w:rPr>
          <w:rFonts w:ascii="Arial" w:eastAsia="Times New Roman" w:hAnsi="Arial" w:cs="Arial"/>
          <w:szCs w:val="28"/>
          <w:lang w:val="uk-UA" w:eastAsia="uk-UA"/>
        </w:rPr>
      </w:pPr>
      <w:bookmarkStart w:id="325" w:name="_Ref196681331"/>
      <w:r w:rsidRPr="00511005">
        <w:rPr>
          <w:rFonts w:ascii="Arial" w:eastAsia="Times New Roman" w:hAnsi="Arial" w:cs="Arial"/>
          <w:szCs w:val="28"/>
          <w:lang w:val="uk-UA" w:eastAsia="uk-UA"/>
        </w:rPr>
        <w:t>Бондаренко О. Огляд показових судових справ щодо корупційних злочинів | ЮРЛІГА. </w:t>
      </w:r>
      <w:r w:rsidRPr="00511005">
        <w:rPr>
          <w:rFonts w:ascii="Arial" w:eastAsia="Times New Roman" w:hAnsi="Arial" w:cs="Arial"/>
          <w:i/>
          <w:iCs/>
          <w:szCs w:val="28"/>
          <w:lang w:val="uk-UA" w:eastAsia="uk-UA"/>
        </w:rPr>
        <w:t>ЮРЛІГА</w:t>
      </w:r>
      <w:r w:rsidRPr="00511005">
        <w:rPr>
          <w:rFonts w:ascii="Arial" w:eastAsia="Times New Roman" w:hAnsi="Arial" w:cs="Arial"/>
          <w:szCs w:val="28"/>
          <w:lang w:val="uk-UA" w:eastAsia="uk-UA"/>
        </w:rPr>
        <w:t>.2025. URL: </w:t>
      </w:r>
      <w:hyperlink r:id="rId2566" w:tgtFrame="_blank" w:history="1">
        <w:r w:rsidRPr="00511005">
          <w:rPr>
            <w:rFonts w:ascii="Arial" w:eastAsia="Times New Roman" w:hAnsi="Arial" w:cs="Arial"/>
            <w:szCs w:val="28"/>
            <w:lang w:val="uk-UA" w:eastAsia="uk-UA"/>
          </w:rPr>
          <w:t>https://jurliga.ligazakon.net/analitycs/235227_oglyad-pokazovikh-sudovikh-sprav-shchodo-koruptsynikh-zlochinv</w:t>
        </w:r>
      </w:hyperlink>
      <w:r w:rsidRPr="00511005">
        <w:rPr>
          <w:rFonts w:ascii="Arial" w:eastAsia="Times New Roman" w:hAnsi="Arial" w:cs="Arial"/>
          <w:szCs w:val="28"/>
          <w:lang w:val="uk-UA" w:eastAsia="uk-UA"/>
        </w:rPr>
        <w:t>.</w:t>
      </w:r>
      <w:bookmarkEnd w:id="325"/>
    </w:p>
    <w:p w14:paraId="0B5FA806" w14:textId="77777777" w:rsidR="00DF77B5" w:rsidRPr="00511005" w:rsidRDefault="00DF77B5" w:rsidP="003F6A5D">
      <w:pPr>
        <w:widowControl w:val="0"/>
        <w:numPr>
          <w:ilvl w:val="0"/>
          <w:numId w:val="803"/>
        </w:numPr>
        <w:autoSpaceDE w:val="0"/>
        <w:autoSpaceDN w:val="0"/>
        <w:spacing w:line="264" w:lineRule="auto"/>
        <w:jc w:val="left"/>
        <w:rPr>
          <w:rFonts w:ascii="Arial" w:eastAsia="Times New Roman" w:hAnsi="Arial" w:cs="Arial"/>
          <w:szCs w:val="28"/>
          <w:lang w:val="uk-UA" w:eastAsia="uk-UA"/>
        </w:rPr>
      </w:pPr>
      <w:bookmarkStart w:id="326" w:name="_Ref196679065"/>
      <w:r w:rsidRPr="00511005">
        <w:rPr>
          <w:rFonts w:ascii="Arial" w:eastAsia="Times New Roman" w:hAnsi="Arial" w:cs="Arial"/>
          <w:szCs w:val="28"/>
          <w:lang w:val="uk-UA" w:eastAsia="uk-UA"/>
        </w:rPr>
        <w:t>Власенко В. В. Співвідношення понять «судовий прецедент» та «судова практика»: теоретико-правові аспекти. </w:t>
      </w:r>
      <w:r w:rsidRPr="00511005">
        <w:rPr>
          <w:rFonts w:ascii="Arial" w:eastAsia="Times New Roman" w:hAnsi="Arial" w:cs="Arial"/>
          <w:i/>
          <w:iCs/>
          <w:szCs w:val="28"/>
          <w:lang w:val="uk-UA" w:eastAsia="uk-UA"/>
        </w:rPr>
        <w:t>Київський часопис права</w:t>
      </w:r>
      <w:r w:rsidRPr="00511005">
        <w:rPr>
          <w:rFonts w:ascii="Arial" w:eastAsia="Times New Roman" w:hAnsi="Arial" w:cs="Arial"/>
          <w:szCs w:val="28"/>
          <w:lang w:val="uk-UA" w:eastAsia="uk-UA"/>
        </w:rPr>
        <w:t>. 2021. № 1. С. 27–32. URL: </w:t>
      </w:r>
      <w:hyperlink r:id="rId2567" w:tgtFrame="_blank" w:history="1">
        <w:r w:rsidRPr="00511005">
          <w:rPr>
            <w:rFonts w:ascii="Arial" w:eastAsia="Times New Roman" w:hAnsi="Arial" w:cs="Arial"/>
            <w:szCs w:val="28"/>
            <w:lang w:val="uk-UA" w:eastAsia="uk-UA"/>
          </w:rPr>
          <w:t>https://doi.org/10.32782/klj/2021.1.4</w:t>
        </w:r>
      </w:hyperlink>
      <w:r w:rsidRPr="00511005">
        <w:rPr>
          <w:rFonts w:ascii="Arial" w:eastAsia="Times New Roman" w:hAnsi="Arial" w:cs="Arial"/>
          <w:szCs w:val="28"/>
          <w:lang w:val="uk-UA" w:eastAsia="uk-UA"/>
        </w:rPr>
        <w:t>.</w:t>
      </w:r>
      <w:bookmarkEnd w:id="326"/>
    </w:p>
    <w:p w14:paraId="6FBDA819" w14:textId="77777777" w:rsidR="00DF77B5" w:rsidRPr="00511005" w:rsidRDefault="00DF77B5" w:rsidP="003F6A5D">
      <w:pPr>
        <w:widowControl w:val="0"/>
        <w:numPr>
          <w:ilvl w:val="0"/>
          <w:numId w:val="803"/>
        </w:numPr>
        <w:autoSpaceDE w:val="0"/>
        <w:autoSpaceDN w:val="0"/>
        <w:spacing w:line="264" w:lineRule="auto"/>
        <w:jc w:val="left"/>
        <w:rPr>
          <w:rFonts w:ascii="Arial" w:eastAsia="Times New Roman" w:hAnsi="Arial" w:cs="Arial"/>
          <w:szCs w:val="28"/>
          <w:lang w:val="uk-UA" w:eastAsia="uk-UA"/>
        </w:rPr>
      </w:pPr>
      <w:bookmarkStart w:id="327" w:name="_Ref196682013"/>
      <w:r w:rsidRPr="00511005">
        <w:rPr>
          <w:rFonts w:ascii="Arial" w:eastAsia="Times New Roman" w:hAnsi="Arial" w:cs="Arial"/>
          <w:szCs w:val="28"/>
          <w:lang w:val="uk-UA" w:eastAsia="uk-UA"/>
        </w:rPr>
        <w:t>Голова Полтавського суду повідомив про спробу підкупу судді у справі про поділ квартири - Полтавська Хвиля. </w:t>
      </w:r>
      <w:r w:rsidRPr="00511005">
        <w:rPr>
          <w:rFonts w:ascii="Arial" w:eastAsia="Times New Roman" w:hAnsi="Arial" w:cs="Arial"/>
          <w:i/>
          <w:iCs/>
          <w:szCs w:val="28"/>
          <w:lang w:val="uk-UA" w:eastAsia="uk-UA"/>
        </w:rPr>
        <w:t>Полтавська Хвиля</w:t>
      </w:r>
      <w:r w:rsidRPr="00511005">
        <w:rPr>
          <w:rFonts w:ascii="Arial" w:eastAsia="Times New Roman" w:hAnsi="Arial" w:cs="Arial"/>
          <w:szCs w:val="28"/>
          <w:lang w:val="uk-UA" w:eastAsia="uk-UA"/>
        </w:rPr>
        <w:t>. 2025. URL: </w:t>
      </w:r>
      <w:hyperlink r:id="rId2568" w:tgtFrame="_blank" w:history="1">
        <w:r w:rsidRPr="00511005">
          <w:rPr>
            <w:rFonts w:ascii="Arial" w:eastAsia="Times New Roman" w:hAnsi="Arial" w:cs="Arial"/>
            <w:szCs w:val="28"/>
            <w:lang w:val="uk-UA" w:eastAsia="uk-UA"/>
          </w:rPr>
          <w:t>https://poltavawave.com.ua/p/golova-poltavskogo-sudu-povidomyv-pro-sprobu-pidkupu-suddi-u-spravi-pro-podil-kvartyry</w:t>
        </w:r>
      </w:hyperlink>
      <w:r w:rsidRPr="00511005">
        <w:rPr>
          <w:rFonts w:ascii="Arial" w:eastAsia="Times New Roman" w:hAnsi="Arial" w:cs="Arial"/>
          <w:szCs w:val="28"/>
          <w:lang w:val="uk-UA" w:eastAsia="uk-UA"/>
        </w:rPr>
        <w:t>.</w:t>
      </w:r>
      <w:bookmarkEnd w:id="327"/>
    </w:p>
    <w:p w14:paraId="59E6B094" w14:textId="77777777" w:rsidR="00DF77B5" w:rsidRPr="00511005" w:rsidRDefault="00DF77B5" w:rsidP="003F6A5D">
      <w:pPr>
        <w:widowControl w:val="0"/>
        <w:numPr>
          <w:ilvl w:val="0"/>
          <w:numId w:val="803"/>
        </w:numPr>
        <w:autoSpaceDE w:val="0"/>
        <w:autoSpaceDN w:val="0"/>
        <w:spacing w:line="264" w:lineRule="auto"/>
        <w:jc w:val="left"/>
        <w:rPr>
          <w:rFonts w:ascii="Arial" w:eastAsia="Times New Roman" w:hAnsi="Arial" w:cs="Arial"/>
          <w:szCs w:val="28"/>
          <w:lang w:val="uk-UA" w:eastAsia="uk-UA"/>
        </w:rPr>
      </w:pPr>
      <w:bookmarkStart w:id="328" w:name="_Ref196679395"/>
      <w:r w:rsidRPr="00511005">
        <w:rPr>
          <w:rFonts w:ascii="Arial" w:eastAsia="Times New Roman" w:hAnsi="Arial" w:cs="Arial"/>
          <w:szCs w:val="28"/>
          <w:lang w:val="uk-UA" w:eastAsia="uk-UA"/>
        </w:rPr>
        <w:t>Еволюція українського правосуддя: судовий прецедент – реальність, конституційність, надії та майбутнє. </w:t>
      </w:r>
      <w:r w:rsidRPr="00511005">
        <w:rPr>
          <w:rFonts w:ascii="Arial" w:eastAsia="Times New Roman" w:hAnsi="Arial" w:cs="Arial"/>
          <w:i/>
          <w:iCs/>
          <w:szCs w:val="28"/>
          <w:lang w:val="uk-UA" w:eastAsia="uk-UA"/>
        </w:rPr>
        <w:t>LexInform: Правові та юридичні новини, юридична практика, коментарі</w:t>
      </w:r>
      <w:r w:rsidRPr="00511005">
        <w:rPr>
          <w:rFonts w:ascii="Arial" w:eastAsia="Times New Roman" w:hAnsi="Arial" w:cs="Arial"/>
          <w:szCs w:val="28"/>
          <w:lang w:val="uk-UA" w:eastAsia="uk-UA"/>
        </w:rPr>
        <w:t>. 2025. URL: </w:t>
      </w:r>
      <w:hyperlink r:id="rId2569" w:tgtFrame="_blank" w:history="1">
        <w:r w:rsidRPr="00511005">
          <w:rPr>
            <w:rFonts w:ascii="Arial" w:eastAsia="Times New Roman" w:hAnsi="Arial" w:cs="Arial"/>
            <w:szCs w:val="28"/>
            <w:lang w:val="uk-UA" w:eastAsia="uk-UA"/>
          </w:rPr>
          <w:t>https://lexinform.com.ua/dumka-eksperta/evolyutsiya-ukrayinskogo-pravosuddya-sudovyj-pretsedent-realnist-konstytutsijnist-nadiyi-ta-majbutnye/</w:t>
        </w:r>
      </w:hyperlink>
      <w:r w:rsidRPr="00511005">
        <w:rPr>
          <w:rFonts w:ascii="Arial" w:eastAsia="Times New Roman" w:hAnsi="Arial" w:cs="Arial"/>
          <w:szCs w:val="28"/>
          <w:lang w:val="uk-UA" w:eastAsia="uk-UA"/>
        </w:rPr>
        <w:t>.</w:t>
      </w:r>
      <w:bookmarkEnd w:id="328"/>
    </w:p>
    <w:p w14:paraId="02111462" w14:textId="77777777" w:rsidR="00DF77B5" w:rsidRPr="00511005" w:rsidRDefault="00DF77B5" w:rsidP="003F6A5D">
      <w:pPr>
        <w:widowControl w:val="0"/>
        <w:numPr>
          <w:ilvl w:val="0"/>
          <w:numId w:val="803"/>
        </w:numPr>
        <w:autoSpaceDE w:val="0"/>
        <w:autoSpaceDN w:val="0"/>
        <w:spacing w:line="264" w:lineRule="auto"/>
        <w:jc w:val="left"/>
        <w:rPr>
          <w:rFonts w:ascii="Arial" w:eastAsia="Times New Roman" w:hAnsi="Arial" w:cs="Arial"/>
          <w:szCs w:val="28"/>
          <w:lang w:val="uk-UA" w:eastAsia="uk-UA"/>
        </w:rPr>
      </w:pPr>
      <w:bookmarkStart w:id="329" w:name="_Ref196680567"/>
      <w:r w:rsidRPr="00511005">
        <w:rPr>
          <w:rFonts w:ascii="Arial" w:eastAsia="Times New Roman" w:hAnsi="Arial" w:cs="Arial"/>
          <w:szCs w:val="28"/>
          <w:lang w:val="uk-UA" w:eastAsia="uk-UA"/>
        </w:rPr>
        <w:t xml:space="preserve">Іванюра І. С., Шевченко Д. В., Сівець А. С. Правова природа та місце судового прецеденту в системі джерел права України. </w:t>
      </w:r>
      <w:r w:rsidRPr="00511005">
        <w:rPr>
          <w:rFonts w:ascii="Arial" w:eastAsia="Times New Roman" w:hAnsi="Arial" w:cs="Arial"/>
          <w:i/>
          <w:iCs/>
          <w:szCs w:val="28"/>
          <w:lang w:val="uk-UA" w:eastAsia="uk-UA"/>
        </w:rPr>
        <w:t>Вісник Ужгородського національного університету. Серія: Право.</w:t>
      </w:r>
      <w:r w:rsidRPr="00511005">
        <w:rPr>
          <w:rFonts w:ascii="Arial" w:eastAsia="Times New Roman" w:hAnsi="Arial" w:cs="Arial"/>
          <w:szCs w:val="28"/>
          <w:lang w:val="uk-UA" w:eastAsia="uk-UA"/>
        </w:rPr>
        <w:t xml:space="preserve"> 2021. № 64. С. 26–31. URL: </w:t>
      </w:r>
      <w:hyperlink r:id="rId2570" w:tgtFrame="_blank" w:history="1">
        <w:r w:rsidRPr="00511005">
          <w:rPr>
            <w:rFonts w:ascii="Arial" w:eastAsia="Times New Roman" w:hAnsi="Arial" w:cs="Arial"/>
            <w:szCs w:val="28"/>
            <w:lang w:val="uk-UA" w:eastAsia="uk-UA"/>
          </w:rPr>
          <w:t>https://doi.org/10.24144/2307-3322.2021.64.4</w:t>
        </w:r>
      </w:hyperlink>
      <w:bookmarkEnd w:id="329"/>
      <w:r w:rsidRPr="00511005">
        <w:rPr>
          <w:rFonts w:ascii="Arial" w:eastAsia="Times New Roman" w:hAnsi="Arial" w:cs="Arial"/>
          <w:szCs w:val="28"/>
          <w:lang w:val="uk-UA" w:eastAsia="uk-UA"/>
        </w:rPr>
        <w:t> </w:t>
      </w:r>
    </w:p>
    <w:p w14:paraId="64479551" w14:textId="77777777" w:rsidR="00DF77B5" w:rsidRPr="00511005" w:rsidRDefault="00DF77B5" w:rsidP="003F6A5D">
      <w:pPr>
        <w:widowControl w:val="0"/>
        <w:numPr>
          <w:ilvl w:val="0"/>
          <w:numId w:val="803"/>
        </w:numPr>
        <w:autoSpaceDE w:val="0"/>
        <w:autoSpaceDN w:val="0"/>
        <w:spacing w:line="264" w:lineRule="auto"/>
        <w:jc w:val="left"/>
        <w:rPr>
          <w:rFonts w:ascii="Arial" w:eastAsia="Times New Roman" w:hAnsi="Arial" w:cs="Arial"/>
          <w:szCs w:val="28"/>
          <w:lang w:val="uk-UA" w:eastAsia="uk-UA"/>
        </w:rPr>
      </w:pPr>
      <w:bookmarkStart w:id="330" w:name="_Ref196678644"/>
      <w:r w:rsidRPr="00511005">
        <w:rPr>
          <w:rFonts w:ascii="Arial" w:eastAsia="Times New Roman" w:hAnsi="Arial" w:cs="Arial"/>
          <w:szCs w:val="28"/>
          <w:lang w:val="uk-UA" w:eastAsia="uk-UA"/>
        </w:rPr>
        <w:t>Мельник А. У статусі прецеденту. </w:t>
      </w:r>
      <w:r w:rsidRPr="00511005">
        <w:rPr>
          <w:rFonts w:ascii="Arial" w:eastAsia="Times New Roman" w:hAnsi="Arial" w:cs="Arial"/>
          <w:i/>
          <w:iCs/>
          <w:szCs w:val="28"/>
          <w:lang w:val="uk-UA" w:eastAsia="uk-UA"/>
        </w:rPr>
        <w:t>ТОП 50. Дослідження 2025 року</w:t>
      </w:r>
      <w:r w:rsidRPr="00511005">
        <w:rPr>
          <w:rFonts w:ascii="Arial" w:eastAsia="Times New Roman" w:hAnsi="Arial" w:cs="Arial"/>
          <w:szCs w:val="28"/>
          <w:lang w:val="uk-UA" w:eastAsia="uk-UA"/>
        </w:rPr>
        <w:t>. URL: </w:t>
      </w:r>
      <w:hyperlink r:id="rId2571" w:tgtFrame="_blank" w:history="1">
        <w:r w:rsidRPr="00511005">
          <w:rPr>
            <w:rFonts w:ascii="Arial" w:eastAsia="Times New Roman" w:hAnsi="Arial" w:cs="Arial"/>
            <w:szCs w:val="28"/>
            <w:lang w:val="uk-UA" w:eastAsia="uk-UA"/>
          </w:rPr>
          <w:t>https://top50.com.ua/u-statusi-pretsedentu/</w:t>
        </w:r>
      </w:hyperlink>
      <w:r w:rsidRPr="00511005">
        <w:rPr>
          <w:rFonts w:ascii="Arial" w:eastAsia="Times New Roman" w:hAnsi="Arial" w:cs="Arial"/>
          <w:szCs w:val="28"/>
          <w:lang w:val="uk-UA" w:eastAsia="uk-UA"/>
        </w:rPr>
        <w:t>.</w:t>
      </w:r>
      <w:bookmarkEnd w:id="330"/>
    </w:p>
    <w:p w14:paraId="29383A97" w14:textId="77777777" w:rsidR="00DF77B5" w:rsidRPr="00511005" w:rsidRDefault="00DF77B5" w:rsidP="003F6A5D">
      <w:pPr>
        <w:widowControl w:val="0"/>
        <w:numPr>
          <w:ilvl w:val="0"/>
          <w:numId w:val="803"/>
        </w:numPr>
        <w:autoSpaceDE w:val="0"/>
        <w:autoSpaceDN w:val="0"/>
        <w:spacing w:line="264" w:lineRule="auto"/>
        <w:jc w:val="left"/>
        <w:rPr>
          <w:rFonts w:ascii="Arial" w:eastAsia="Times New Roman" w:hAnsi="Arial" w:cs="Arial"/>
          <w:szCs w:val="28"/>
          <w:lang w:val="uk-UA" w:eastAsia="uk-UA"/>
        </w:rPr>
      </w:pPr>
      <w:bookmarkStart w:id="331" w:name="_Ref196680748"/>
      <w:r w:rsidRPr="00511005">
        <w:rPr>
          <w:rFonts w:ascii="Arial" w:eastAsia="Times New Roman" w:hAnsi="Arial" w:cs="Arial"/>
          <w:szCs w:val="28"/>
          <w:lang w:val="uk-UA" w:eastAsia="uk-UA"/>
        </w:rPr>
        <w:t xml:space="preserve">Про виконання рішень та застосування практики Європейського суду з прав людини : Закон України від 23.02.2006 № 3477-IV // База даних «Законодавство України» / Верховна Рада України. URL: </w:t>
      </w:r>
      <w:hyperlink r:id="rId2572" w:history="1">
        <w:r w:rsidRPr="00511005">
          <w:rPr>
            <w:rFonts w:ascii="Arial" w:eastAsia="Times New Roman" w:hAnsi="Arial" w:cs="Arial"/>
            <w:szCs w:val="28"/>
            <w:lang w:val="uk-UA" w:eastAsia="uk-UA"/>
          </w:rPr>
          <w:t>https://zakon.rada.gov.ua/go/3477-15</w:t>
        </w:r>
      </w:hyperlink>
      <w:bookmarkEnd w:id="331"/>
    </w:p>
    <w:p w14:paraId="6D2C8E7E" w14:textId="77777777" w:rsidR="00DF77B5" w:rsidRPr="00511005" w:rsidRDefault="00DF77B5" w:rsidP="003F6A5D">
      <w:pPr>
        <w:widowControl w:val="0"/>
        <w:numPr>
          <w:ilvl w:val="0"/>
          <w:numId w:val="803"/>
        </w:numPr>
        <w:autoSpaceDE w:val="0"/>
        <w:autoSpaceDN w:val="0"/>
        <w:spacing w:line="264" w:lineRule="auto"/>
        <w:jc w:val="left"/>
        <w:rPr>
          <w:rFonts w:ascii="Arial" w:eastAsia="Times New Roman" w:hAnsi="Arial" w:cs="Arial"/>
          <w:szCs w:val="28"/>
          <w:lang w:val="uk-UA" w:eastAsia="uk-UA"/>
        </w:rPr>
      </w:pPr>
      <w:bookmarkStart w:id="332" w:name="_Ref196682440"/>
      <w:r w:rsidRPr="00511005">
        <w:rPr>
          <w:rFonts w:ascii="Arial" w:eastAsia="Times New Roman" w:hAnsi="Arial" w:cs="Arial"/>
          <w:szCs w:val="28"/>
          <w:lang w:val="uk-UA" w:eastAsia="uk-UA"/>
        </w:rPr>
        <w:t>Скільки народних депутатів отримали підозри: НАБУ оприлюднило дані. </w:t>
      </w:r>
      <w:r w:rsidRPr="00511005">
        <w:rPr>
          <w:rFonts w:ascii="Arial" w:eastAsia="Times New Roman" w:hAnsi="Arial" w:cs="Arial"/>
          <w:i/>
          <w:iCs/>
          <w:szCs w:val="28"/>
          <w:lang w:val="uk-UA" w:eastAsia="uk-UA"/>
        </w:rPr>
        <w:t>Укрінформ - актуальні новини України та світу</w:t>
      </w:r>
      <w:r w:rsidRPr="00511005">
        <w:rPr>
          <w:rFonts w:ascii="Arial" w:eastAsia="Times New Roman" w:hAnsi="Arial" w:cs="Arial"/>
          <w:szCs w:val="28"/>
          <w:lang w:val="uk-UA" w:eastAsia="uk-UA"/>
        </w:rPr>
        <w:t>. 2025. URL: </w:t>
      </w:r>
      <w:hyperlink r:id="rId2573" w:tgtFrame="_blank" w:history="1">
        <w:r w:rsidRPr="00511005">
          <w:rPr>
            <w:rFonts w:ascii="Arial" w:eastAsia="Times New Roman" w:hAnsi="Arial" w:cs="Arial"/>
            <w:szCs w:val="28"/>
            <w:lang w:val="uk-UA" w:eastAsia="uk-UA"/>
          </w:rPr>
          <w:t>https://www.ukrinform.ua/rubric-polytics/3966353-skilki-narodnih-deputativ-otrimali-pidozri-nabu-opriludnilo-dani.html</w:t>
        </w:r>
      </w:hyperlink>
      <w:r w:rsidRPr="00511005">
        <w:rPr>
          <w:rFonts w:ascii="Arial" w:eastAsia="Times New Roman" w:hAnsi="Arial" w:cs="Arial"/>
          <w:szCs w:val="28"/>
          <w:lang w:val="uk-UA" w:eastAsia="uk-UA"/>
        </w:rPr>
        <w:t>.</w:t>
      </w:r>
      <w:bookmarkEnd w:id="332"/>
    </w:p>
    <w:p w14:paraId="6163573B" w14:textId="5E35ED52" w:rsidR="00DF77B5" w:rsidRPr="00511005" w:rsidRDefault="007B2628" w:rsidP="00F06D4D">
      <w:pPr>
        <w:widowControl w:val="0"/>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DF77B5" w:rsidRPr="00511005">
        <w:rPr>
          <w:rFonts w:ascii="Arial" w:eastAsia="Times New Roman" w:hAnsi="Arial" w:cs="Arial"/>
          <w:szCs w:val="28"/>
          <w:lang w:val="uk-UA" w:eastAsia="uk-UA"/>
        </w:rPr>
        <w:t xml:space="preserve">судовий прецедент, політико-правова система, </w:t>
      </w:r>
      <w:r w:rsidR="00DF77B5" w:rsidRPr="00511005">
        <w:rPr>
          <w:rFonts w:ascii="Arial" w:eastAsia="Times New Roman" w:hAnsi="Arial" w:cs="Arial"/>
          <w:szCs w:val="28"/>
          <w:lang w:val="uk-UA" w:eastAsia="uk-UA"/>
        </w:rPr>
        <w:lastRenderedPageBreak/>
        <w:t>корупція, народні депутати, антикорупційна політика, судова практика, Верховний Суд, ЄСПЛ, правова реформа, злочинність у політиці.</w:t>
      </w:r>
    </w:p>
    <w:p w14:paraId="3B165C28" w14:textId="63828228" w:rsidR="00DF77B5" w:rsidRPr="00511005" w:rsidRDefault="007B2628" w:rsidP="00F06D4D">
      <w:pPr>
        <w:widowControl w:val="0"/>
        <w:autoSpaceDE w:val="0"/>
        <w:autoSpaceDN w:val="0"/>
        <w:spacing w:line="264" w:lineRule="auto"/>
        <w:jc w:val="left"/>
        <w:rPr>
          <w:rFonts w:ascii="Arial" w:eastAsia="Times New Roman" w:hAnsi="Arial" w:cs="Arial"/>
          <w:b/>
          <w:bCs/>
          <w:szCs w:val="28"/>
          <w:lang w:val="uk-UA" w:eastAsia="uk-UA"/>
        </w:rPr>
      </w:pPr>
      <w:r w:rsidRPr="00511005">
        <w:rPr>
          <w:rFonts w:ascii="Arial" w:eastAsia="Times New Roman" w:hAnsi="Arial" w:cs="Arial"/>
          <w:b/>
          <w:bCs/>
          <w:i/>
          <w:szCs w:val="28"/>
          <w:lang w:val="uk-UA" w:eastAsia="uk-UA"/>
        </w:rPr>
        <w:t xml:space="preserve">Key words: </w:t>
      </w:r>
      <w:r w:rsidR="00DF77B5" w:rsidRPr="00511005">
        <w:rPr>
          <w:rFonts w:ascii="Arial" w:eastAsia="Times New Roman" w:hAnsi="Arial" w:cs="Arial"/>
          <w:szCs w:val="28"/>
          <w:lang w:val="uk-UA" w:eastAsia="uk-UA"/>
        </w:rPr>
        <w:t>judicial precedent, political and legal system, corruption, people's deputies, anti-corruption policy, judicial practice, Supreme Court, ECHR, legal reform, crime in politics.</w:t>
      </w:r>
    </w:p>
    <w:p w14:paraId="63DA4FAF" w14:textId="4710CC35" w:rsidR="00DF77B5" w:rsidRPr="00511005" w:rsidRDefault="007B2628" w:rsidP="00F06D4D">
      <w:pPr>
        <w:widowControl w:val="0"/>
        <w:autoSpaceDE w:val="0"/>
        <w:autoSpaceDN w:val="0"/>
        <w:spacing w:line="264" w:lineRule="auto"/>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доц.каф., к.політ.н., доцент Завгородня Ю.В.</w:t>
      </w:r>
    </w:p>
    <w:p w14:paraId="492FCEA8" w14:textId="77777777" w:rsidR="00DF77B5" w:rsidRPr="00511005" w:rsidRDefault="00DF77B5" w:rsidP="003C4C3B">
      <w:pPr>
        <w:widowControl w:val="0"/>
        <w:autoSpaceDE w:val="0"/>
        <w:autoSpaceDN w:val="0"/>
        <w:spacing w:line="264" w:lineRule="auto"/>
        <w:ind w:left="709" w:firstLine="0"/>
        <w:jc w:val="left"/>
        <w:rPr>
          <w:rFonts w:ascii="Arial" w:eastAsia="Times New Roman" w:hAnsi="Arial" w:cs="Arial"/>
          <w:i/>
          <w:iCs/>
          <w:szCs w:val="28"/>
          <w:lang w:val="uk-UA" w:eastAsia="uk-UA"/>
        </w:rPr>
      </w:pPr>
    </w:p>
    <w:p w14:paraId="4A17D3F4" w14:textId="77777777" w:rsidR="00DF77B5" w:rsidRPr="00511005" w:rsidRDefault="00DF77B5" w:rsidP="003C4C3B">
      <w:pPr>
        <w:widowControl w:val="0"/>
        <w:autoSpaceDE w:val="0"/>
        <w:autoSpaceDN w:val="0"/>
        <w:spacing w:line="264" w:lineRule="auto"/>
        <w:ind w:left="709" w:firstLine="0"/>
        <w:jc w:val="center"/>
        <w:rPr>
          <w:rFonts w:ascii="Arial" w:eastAsia="Times New Roman" w:hAnsi="Arial" w:cs="Arial"/>
          <w:b/>
          <w:szCs w:val="28"/>
          <w:lang w:val="uk-UA" w:eastAsia="uk-UA"/>
        </w:rPr>
      </w:pPr>
      <w:r w:rsidRPr="00511005">
        <w:rPr>
          <w:rFonts w:ascii="Arial" w:eastAsia="Times New Roman" w:hAnsi="Arial" w:cs="Arial"/>
          <w:b/>
          <w:i/>
          <w:szCs w:val="28"/>
          <w:lang w:val="uk-UA" w:eastAsia="uk-UA"/>
        </w:rPr>
        <w:t>Мінько Ірина</w:t>
      </w:r>
    </w:p>
    <w:p w14:paraId="1334E217" w14:textId="1759B5F8" w:rsidR="003C4C3B" w:rsidRPr="00511005" w:rsidRDefault="003C4C3B" w:rsidP="003C4C3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студентка 1</w:t>
      </w:r>
      <w:r w:rsidRPr="00511005">
        <w:rPr>
          <w:rFonts w:ascii="Arial" w:eastAsia="Times New Roman" w:hAnsi="Arial" w:cs="Arial"/>
          <w:bCs/>
          <w:iCs/>
          <w:szCs w:val="28"/>
          <w:lang w:val="uk-UA" w:eastAsia="ru-RU"/>
        </w:rPr>
        <w:t xml:space="preserve">-го курсу </w:t>
      </w:r>
    </w:p>
    <w:p w14:paraId="6ED24706" w14:textId="77777777" w:rsidR="003C4C3B" w:rsidRPr="00511005" w:rsidRDefault="003C4C3B" w:rsidP="003C4C3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3FB93A3" w14:textId="77777777" w:rsidR="003C4C3B" w:rsidRPr="00511005" w:rsidRDefault="003C4C3B" w:rsidP="003C4C3B">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19930A0" w14:textId="77777777" w:rsidR="003C4C3B" w:rsidRPr="00511005" w:rsidRDefault="003C4C3B" w:rsidP="003C4C3B">
      <w:pPr>
        <w:widowControl w:val="0"/>
        <w:autoSpaceDE w:val="0"/>
        <w:autoSpaceDN w:val="0"/>
        <w:spacing w:line="264" w:lineRule="auto"/>
        <w:ind w:left="709" w:firstLine="0"/>
        <w:jc w:val="center"/>
        <w:rPr>
          <w:rFonts w:ascii="Arial" w:eastAsia="Times New Roman" w:hAnsi="Arial" w:cs="Arial"/>
          <w:iCs/>
          <w:szCs w:val="28"/>
          <w:lang w:val="uk-UA" w:eastAsia="uk-UA"/>
        </w:rPr>
      </w:pPr>
    </w:p>
    <w:p w14:paraId="64867BD3" w14:textId="67A6B5CC" w:rsidR="00DF77B5" w:rsidRPr="00511005" w:rsidRDefault="00DF77B5" w:rsidP="003C4C3B">
      <w:pPr>
        <w:widowControl w:val="0"/>
        <w:autoSpaceDE w:val="0"/>
        <w:autoSpaceDN w:val="0"/>
        <w:spacing w:line="264" w:lineRule="auto"/>
        <w:ind w:left="709" w:firstLine="0"/>
        <w:jc w:val="center"/>
        <w:rPr>
          <w:rFonts w:ascii="Arial" w:eastAsia="Times New Roman" w:hAnsi="Arial" w:cs="Arial"/>
          <w:b/>
          <w:szCs w:val="28"/>
          <w:lang w:val="uk-UA" w:eastAsia="uk-UA"/>
        </w:rPr>
      </w:pPr>
      <w:r w:rsidRPr="00511005">
        <w:rPr>
          <w:rFonts w:ascii="Arial" w:eastAsia="Times New Roman" w:hAnsi="Arial" w:cs="Arial"/>
          <w:b/>
          <w:szCs w:val="28"/>
          <w:lang w:val="uk-UA" w:eastAsia="uk-UA"/>
        </w:rPr>
        <w:t>УКРАЇНА ЯК СУБʼЄКТ СВІТОВОГО ПОЛІТИЧНОГО ПРОЦЕСУ</w:t>
      </w:r>
    </w:p>
    <w:p w14:paraId="12B03098" w14:textId="0B32D762"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Україна за період становлення незалежності після розпаду СРСР еволюціонувала від регіонального гравця до значного учасника світових політичних процесів. Ця динаміка обумовлена впливом історичних змін, геостратегічного положення, економічних зрушень та соціокультурного розвитку, що в сукупності створюють унікальну модель національної державності й інтеграційних впливів. У контексті глобалізації та наростаючої міжнародної напруги, Україна демонструє як внутрішні трансформації, так і</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зовнішньополітичні стратегії, спроможні забезпечити сталий розвиток та долати загрози безпеці на різних рівнях.</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Тож важливо виявити ключові загрози і перспективи для держави, а також аналізувати її роль у світовому політичному просторі [1].</w:t>
      </w:r>
    </w:p>
    <w:p w14:paraId="0C44EFF1" w14:textId="430F8348"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Одним із ключових чинників сучасної геополітичної ролі України є її географічне розташування, що обумовлює функцію комунікативного мосту між Сходом і Заходом, породжуючи не лише культурне багатство, але й численні конфлікти. Здобуття незалежності, Помаранчева революція, Революція Гідності стали поворотними точками глибоких змін у політичній системі, створили</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передумови євроінтеграції та активної співпраці з міжнародними організаціями, посилюючи позиції України на глобальному рівні [3].</w:t>
      </w:r>
    </w:p>
    <w:p w14:paraId="4BB5B748"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Історичні обставини вплинули на формування зовнішньополітичної доктрини, де демократичні прагнення поєднуються з необхідністю подолання викликів пострадянської епохи. Це змусило шукати інноваційні формати співпраці на різних рівнях, заклало основи інтеграційної моделі, де реформи у внутрішньому секторі поєднані з амбітними зовнішньополітичними орієнтирами [1; 3].</w:t>
      </w:r>
    </w:p>
    <w:p w14:paraId="154530FB" w14:textId="4AEBF0D0"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Україна розпочала послідовний шлях демократичних перетворень та адаптації до європейських стандартів, взявши курс на приєднання до ЄС і НАТО, заради широких економічних можливостей і безпекових гарантій. Але агресія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з боку РФ вимагає нових підходів до забезпечення національної </w:t>
      </w:r>
      <w:r w:rsidRPr="00511005">
        <w:rPr>
          <w:rFonts w:ascii="Arial" w:eastAsia="Times New Roman" w:hAnsi="Arial" w:cs="Arial"/>
          <w:szCs w:val="28"/>
          <w:lang w:val="uk-UA" w:eastAsia="uk-UA"/>
        </w:rPr>
        <w:lastRenderedPageBreak/>
        <w:t>безпеки [2].</w:t>
      </w:r>
    </w:p>
    <w:p w14:paraId="1A74CF46"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Особливу вагу набув енергетичний напрям. Як транзитна держава на шляху енергоносіїв, Україна здатна виступати ключовим суб’єктом у формуванні глобальної енергобезпеки. Розвиток енергонезалежності та впровадження сучасних технологій зміцнюють економіку країни й водночас підвищують її міжнародну вагу [2]. Участь у світових економічних платформах сприяє стабілізації економіки.</w:t>
      </w:r>
    </w:p>
    <w:p w14:paraId="0E406BDA"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Соціально-політичні перетворення, що відбуваються у країні, зумовлені прагненням до оновлення державно-управлінських структур. Зусилля у сфері правової реформи, протидії корупції та впровадження демократичних принципів формують позитивний імідж України як надійного партнера у світовому політичному середовищі [1; 4].</w:t>
      </w:r>
    </w:p>
    <w:p w14:paraId="58763F3E"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Оцінюючи зовнішньополітичну активність держави, можна констатувати перехід України до статусу повноправного гравця глобального рівня. Співпраця з цивілізованими країнами у безпекових зусиллях, участь у багатьох міжнародних ініціативах та місіях свідчить про зростаючий політичний потенціал. Це має як практичні економічні наслідки, так і символічне значення для інших країн, які прагнуть реформ [2].</w:t>
      </w:r>
    </w:p>
    <w:p w14:paraId="4B651E71"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Питання інформаційної безпеки набуває особливої актуальності. Україна стала однією з провідних країн у сфері протидії дезінформації, активно формуючи позитивний імідж у зовнішньому просторі. Така стратегія сприяє не лише згуртованості суспільства, а й залученню міжнародної підтримки в умовах війни [2].</w:t>
      </w:r>
    </w:p>
    <w:p w14:paraId="014DA4A1"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Окреме місце посідає співпраця з державами-лідерами у сфері інновацій, що дозволяє Україні включатися до світових технологічних процесів. Угоди з провідними партнерами відкривають шлях до участі у передових науково-дослідних проєктах, посилюючи економічні та політичні позиції країни [1].</w:t>
      </w:r>
    </w:p>
    <w:p w14:paraId="1AB16438" w14:textId="1470174D"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Попри суттєвий поступ у реформах та євроінтеграції, Україна продовжує боротися за суверенітет та територіальну цілісність проти військової агресії РФ.</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У таких умовах підтримка з боку НАТО та ЄС стає визначальною для забезпечення справедливого миру для України [2].</w:t>
      </w:r>
    </w:p>
    <w:p w14:paraId="225E86DF"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Економічні зміни залишаються головним рушієм подальшого поступу. Комплексна трансформація системи управління, антикорупційна політика, сприяння інвестиціям створюють передумови для розвитку підприємництва, інноваційних галузей і посилення економічної самодостатності навіть в умовах воєнного часу. Тим більше це необхідне для повоєнної відбудови України [1].</w:t>
      </w:r>
    </w:p>
    <w:p w14:paraId="1F68E5C7"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Не менш важливим є розвиток громадянського суспільства. Поширення демократичних ідеалів, модернізація освітньої сфери, розвиток незалежних ЗМК сприяють формуванню нової генерації лідерів, здатних до продуктивного діалогу з міжнародною спільнотою [4].</w:t>
      </w:r>
    </w:p>
    <w:p w14:paraId="1643CD70"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Незважаючи на виклики, потенціал для подальшої інтеграції України у світовий простір зберігається. Поглиблення стратегічних союзів, активна участь у глобальних ініціативах та реформування державного апарату відкривають широкі перспективи для ефективного зовнішнього курсу [2].</w:t>
      </w:r>
    </w:p>
    <w:p w14:paraId="422CFE1E" w14:textId="772EBB76"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Геополітична позиція України, її історичний досвід, внутрішні трансформації сприяють переходу до повноцінної участі у глобальних процесах, забезпечуючи нашій державі належне місце як суб’єкта міжнародних відносин і сучасної світової політики, спроможного органічно поєднувати традиції національної ідентичності з демократичними цінностями цивілізованого світу. </w:t>
      </w:r>
    </w:p>
    <w:p w14:paraId="56DA996C" w14:textId="77777777" w:rsidR="00F06D4D" w:rsidRPr="00511005" w:rsidRDefault="00F06D4D" w:rsidP="00F06D4D">
      <w:pPr>
        <w:widowControl w:val="0"/>
        <w:autoSpaceDE w:val="0"/>
        <w:autoSpaceDN w:val="0"/>
        <w:spacing w:line="264" w:lineRule="auto"/>
        <w:rPr>
          <w:rFonts w:ascii="Arial" w:eastAsia="Times New Roman" w:hAnsi="Arial" w:cs="Arial"/>
          <w:szCs w:val="28"/>
          <w:lang w:val="uk-UA" w:eastAsia="uk-UA"/>
        </w:rPr>
      </w:pPr>
    </w:p>
    <w:p w14:paraId="531D9E79" w14:textId="45ED6FB8" w:rsidR="00DF77B5" w:rsidRPr="00511005" w:rsidRDefault="007B2628" w:rsidP="00F06D4D">
      <w:pPr>
        <w:widowControl w:val="0"/>
        <w:autoSpaceDE w:val="0"/>
        <w:autoSpaceDN w:val="0"/>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32557AC0" w14:textId="77777777" w:rsidR="00DF77B5" w:rsidRPr="00511005" w:rsidRDefault="00DF77B5" w:rsidP="00F06D4D">
      <w:pPr>
        <w:widowControl w:val="0"/>
        <w:autoSpaceDE w:val="0"/>
        <w:autoSpaceDN w:val="0"/>
        <w:spacing w:line="264" w:lineRule="auto"/>
        <w:rPr>
          <w:rFonts w:ascii="Arial" w:eastAsia="Times New Roman" w:hAnsi="Arial" w:cs="Arial"/>
          <w:b/>
          <w:bCs/>
          <w:szCs w:val="28"/>
          <w:lang w:val="uk-UA" w:eastAsia="uk-UA"/>
        </w:rPr>
      </w:pPr>
      <w:r w:rsidRPr="00511005">
        <w:rPr>
          <w:rFonts w:ascii="Arial" w:eastAsia="Times New Roman" w:hAnsi="Arial" w:cs="Arial"/>
          <w:szCs w:val="28"/>
          <w:lang w:val="uk-UA" w:eastAsia="uk-UA"/>
        </w:rPr>
        <w:t>1. Україна: Війна Росії та майбутнє світового порядку – LSE Press [https://press.lse.ac.uk/books/e/10.31389/lsepress.ukr](https://press.lse.ac.uk/books/e/10.31389/lsepress.ukr)</w:t>
      </w:r>
    </w:p>
    <w:p w14:paraId="48DDAFA3" w14:textId="0C855CA0"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2. Чому Україна має значення: питання безпеки, політики та глобальних перспектив – UkraineWorld</w:t>
      </w:r>
      <w:r w:rsidR="00F06D4D"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[https://ukraineworld.org/en/articles/basics/whyukrainematters](https://ukraineworld.org/en/articles/basics/why-ukraine-matters)</w:t>
      </w:r>
    </w:p>
    <w:p w14:paraId="711A601E" w14:textId="55E2E4D5"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3. Україна: Геополітичні реалії та перспективи регіонального розвитку – ЕКМАІР, Національний університет «Києво-Могилянська академія»</w:t>
      </w:r>
      <w:r w:rsidR="00F06D4D"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[https://ekmair.ukma.edu.ua/bitstreams/f1c447f3-a37f-41e284d97c543eda2f65/download](https://ekmair.ukma.edu.ua/bitstreams/f1c447f3a37f41e284d97c543eda2f65/download)</w:t>
      </w:r>
    </w:p>
    <w:p w14:paraId="6E9948AD" w14:textId="290A4461"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4. Зовнішні відносини України – Wikipedia</w:t>
      </w:r>
      <w:r w:rsidR="00F06D4D"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[https://en.wikipedia.org/wiki/Foreign_relation](</w:t>
      </w:r>
      <w:hyperlink r:id="rId2574" w:history="1">
        <w:r w:rsidRPr="00511005">
          <w:rPr>
            <w:rFonts w:ascii="Arial" w:eastAsia="Times New Roman" w:hAnsi="Arial" w:cs="Arial"/>
            <w:szCs w:val="28"/>
            <w:lang w:val="uk-UA" w:eastAsia="uk-UA"/>
          </w:rPr>
          <w:t>https://en.wikipedia.org/wiki/Foreign_relation</w:t>
        </w:r>
      </w:hyperlink>
    </w:p>
    <w:p w14:paraId="0985F668" w14:textId="4992209E" w:rsidR="00DF77B5" w:rsidRPr="00511005" w:rsidRDefault="007B2628" w:rsidP="00F06D4D">
      <w:pPr>
        <w:widowControl w:val="0"/>
        <w:autoSpaceDE w:val="0"/>
        <w:autoSpaceDN w:val="0"/>
        <w:spacing w:line="264" w:lineRule="auto"/>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Ключові слова: </w:t>
      </w:r>
      <w:r w:rsidR="00DF77B5" w:rsidRPr="00511005">
        <w:rPr>
          <w:rFonts w:ascii="Arial" w:eastAsia="Times New Roman" w:hAnsi="Arial" w:cs="Arial"/>
          <w:i/>
          <w:iCs/>
          <w:szCs w:val="28"/>
          <w:lang w:val="uk-UA" w:eastAsia="uk-UA"/>
        </w:rPr>
        <w:t>Україна, світовий політичний процес, глобалізація,</w:t>
      </w:r>
      <w:r w:rsidRPr="00511005">
        <w:rPr>
          <w:rFonts w:ascii="Arial" w:eastAsia="Times New Roman" w:hAnsi="Arial" w:cs="Arial"/>
          <w:i/>
          <w:iCs/>
          <w:szCs w:val="28"/>
          <w:lang w:val="uk-UA" w:eastAsia="uk-UA"/>
        </w:rPr>
        <w:t xml:space="preserve"> </w:t>
      </w:r>
      <w:r w:rsidR="00DF77B5" w:rsidRPr="00511005">
        <w:rPr>
          <w:rFonts w:ascii="Arial" w:eastAsia="Times New Roman" w:hAnsi="Arial" w:cs="Arial"/>
          <w:i/>
          <w:iCs/>
          <w:szCs w:val="28"/>
          <w:lang w:val="uk-UA" w:eastAsia="uk-UA"/>
        </w:rPr>
        <w:t>євроінтеграція, демократизація, національна безпека, зовнішньополітичні стратегії.</w:t>
      </w:r>
    </w:p>
    <w:p w14:paraId="734ABA70" w14:textId="10B8B666" w:rsidR="00DF77B5" w:rsidRPr="00511005" w:rsidRDefault="007B2628" w:rsidP="00F06D4D">
      <w:pPr>
        <w:widowControl w:val="0"/>
        <w:autoSpaceDE w:val="0"/>
        <w:autoSpaceDN w:val="0"/>
        <w:spacing w:line="264" w:lineRule="auto"/>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Key words: </w:t>
      </w:r>
      <w:r w:rsidR="00DF77B5" w:rsidRPr="00511005">
        <w:rPr>
          <w:rFonts w:ascii="Arial" w:eastAsia="Times New Roman" w:hAnsi="Arial" w:cs="Arial"/>
          <w:i/>
          <w:iCs/>
          <w:szCs w:val="28"/>
          <w:lang w:val="uk-UA" w:eastAsia="uk-UA"/>
        </w:rPr>
        <w:t>Ukraine, World Political Process, Globalization, European Integration, Democratization, National Security, Energy Policy, Information Confrontation, Domestic Reforms, Foreign Policy Strategies</w:t>
      </w:r>
    </w:p>
    <w:p w14:paraId="14DF3F8B" w14:textId="4BC0D08F" w:rsidR="00DF77B5" w:rsidRPr="00511005" w:rsidRDefault="007B2628" w:rsidP="00F06D4D">
      <w:pPr>
        <w:widowControl w:val="0"/>
        <w:autoSpaceDE w:val="0"/>
        <w:autoSpaceDN w:val="0"/>
        <w:spacing w:line="264" w:lineRule="auto"/>
        <w:rPr>
          <w:rFonts w:ascii="Arial" w:eastAsia="Times New Roman" w:hAnsi="Arial" w:cs="Arial"/>
          <w:b/>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д. і. н., професор</w:t>
      </w:r>
      <w:r w:rsidR="006A743E" w:rsidRPr="00511005">
        <w:rPr>
          <w:rFonts w:ascii="Arial" w:eastAsia="Times New Roman" w:hAnsi="Arial" w:cs="Arial"/>
          <w:i/>
          <w:iCs/>
          <w:szCs w:val="28"/>
          <w:lang w:val="uk-UA" w:eastAsia="uk-UA"/>
        </w:rPr>
        <w:t xml:space="preserve"> К</w:t>
      </w:r>
      <w:r w:rsidR="00DF77B5" w:rsidRPr="00511005">
        <w:rPr>
          <w:rFonts w:ascii="Arial" w:eastAsia="Times New Roman" w:hAnsi="Arial" w:cs="Arial"/>
          <w:i/>
          <w:iCs/>
          <w:szCs w:val="28"/>
          <w:lang w:val="uk-UA" w:eastAsia="uk-UA"/>
        </w:rPr>
        <w:t>ормич Л. І.</w:t>
      </w:r>
    </w:p>
    <w:p w14:paraId="53957DDA" w14:textId="77777777" w:rsidR="00DF77B5" w:rsidRPr="00511005" w:rsidRDefault="00DF77B5" w:rsidP="002D35DB">
      <w:pPr>
        <w:widowControl w:val="0"/>
        <w:autoSpaceDE w:val="0"/>
        <w:autoSpaceDN w:val="0"/>
        <w:spacing w:line="264" w:lineRule="auto"/>
        <w:ind w:left="709" w:firstLine="0"/>
        <w:jc w:val="left"/>
        <w:rPr>
          <w:rFonts w:ascii="Arial" w:eastAsia="Times New Roman" w:hAnsi="Arial" w:cs="Arial"/>
          <w:szCs w:val="28"/>
          <w:lang w:val="uk-UA" w:eastAsia="uk-UA"/>
        </w:rPr>
      </w:pPr>
    </w:p>
    <w:p w14:paraId="131626ED" w14:textId="77777777" w:rsidR="00F06D4D" w:rsidRPr="00511005" w:rsidRDefault="00F06D4D">
      <w:pPr>
        <w:spacing w:after="200" w:line="276" w:lineRule="auto"/>
        <w:ind w:firstLine="0"/>
        <w:jc w:val="left"/>
        <w:rPr>
          <w:rFonts w:ascii="Arial" w:eastAsia="Times New Roman" w:hAnsi="Arial" w:cs="Arial"/>
          <w:b/>
          <w:bCs/>
          <w:szCs w:val="28"/>
          <w:lang w:val="uk-UA" w:eastAsia="uk-UA"/>
        </w:rPr>
      </w:pPr>
      <w:r w:rsidRPr="00511005">
        <w:rPr>
          <w:rFonts w:ascii="Arial" w:eastAsia="Times New Roman" w:hAnsi="Arial" w:cs="Arial"/>
          <w:b/>
          <w:bCs/>
          <w:szCs w:val="28"/>
          <w:lang w:val="uk-UA" w:eastAsia="uk-UA"/>
        </w:rPr>
        <w:br w:type="page"/>
      </w:r>
    </w:p>
    <w:p w14:paraId="290A038A" w14:textId="6332132A" w:rsidR="00DF77B5" w:rsidRPr="00511005" w:rsidRDefault="00DF77B5" w:rsidP="00F06D4D">
      <w:pPr>
        <w:widowControl w:val="0"/>
        <w:autoSpaceDE w:val="0"/>
        <w:autoSpaceDN w:val="0"/>
        <w:spacing w:line="264" w:lineRule="auto"/>
        <w:ind w:firstLine="0"/>
        <w:jc w:val="center"/>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lastRenderedPageBreak/>
        <w:t>Самойлова Юлія Олегівна</w:t>
      </w:r>
    </w:p>
    <w:p w14:paraId="4745878C" w14:textId="0A92349F" w:rsidR="002D35DB" w:rsidRPr="00511005" w:rsidRDefault="002D35DB" w:rsidP="00F06D4D">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студентка 1</w:t>
      </w:r>
      <w:r w:rsidRPr="00511005">
        <w:rPr>
          <w:rFonts w:ascii="Arial" w:eastAsia="Times New Roman" w:hAnsi="Arial" w:cs="Arial"/>
          <w:bCs/>
          <w:iCs/>
          <w:szCs w:val="28"/>
          <w:lang w:val="uk-UA" w:eastAsia="ru-RU"/>
        </w:rPr>
        <w:t xml:space="preserve">-го курсу </w:t>
      </w:r>
    </w:p>
    <w:p w14:paraId="516DE2C5" w14:textId="77777777" w:rsidR="002D35DB" w:rsidRPr="00511005" w:rsidRDefault="002D35DB" w:rsidP="00F06D4D">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7FA18265" w14:textId="53DFFE74" w:rsidR="002D35DB" w:rsidRPr="00511005" w:rsidRDefault="002D35DB" w:rsidP="00F06D4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331965C" w14:textId="77777777" w:rsidR="00F06D4D" w:rsidRPr="00511005" w:rsidRDefault="00F06D4D" w:rsidP="00F06D4D">
      <w:pPr>
        <w:spacing w:line="264" w:lineRule="auto"/>
        <w:ind w:firstLine="0"/>
        <w:jc w:val="center"/>
        <w:rPr>
          <w:rFonts w:ascii="Arial" w:eastAsia="Times New Roman" w:hAnsi="Arial" w:cs="Arial"/>
          <w:szCs w:val="28"/>
          <w:lang w:eastAsia="ru-RU"/>
        </w:rPr>
      </w:pPr>
    </w:p>
    <w:p w14:paraId="354ED3F9" w14:textId="25F97AD3" w:rsidR="00DF77B5" w:rsidRPr="00511005" w:rsidRDefault="00DF77B5" w:rsidP="00F06D4D">
      <w:pPr>
        <w:widowControl w:val="0"/>
        <w:autoSpaceDE w:val="0"/>
        <w:autoSpaceDN w:val="0"/>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ГЛОБАЛІЗАЦІЯ ТА НАЦІОНАЛЬНИЙ СУВЕРЕНІТЕТ: УКРАЇНСЬКИЙ КЕЙС</w:t>
      </w:r>
    </w:p>
    <w:p w14:paraId="6EE9B9EE" w14:textId="77777777" w:rsidR="002D35DB" w:rsidRPr="00511005" w:rsidRDefault="002D35DB" w:rsidP="00F06D4D">
      <w:pPr>
        <w:widowControl w:val="0"/>
        <w:autoSpaceDE w:val="0"/>
        <w:autoSpaceDN w:val="0"/>
        <w:spacing w:line="264" w:lineRule="auto"/>
        <w:ind w:firstLine="0"/>
        <w:jc w:val="center"/>
        <w:rPr>
          <w:rFonts w:ascii="Arial" w:eastAsia="Times New Roman" w:hAnsi="Arial" w:cs="Arial"/>
          <w:szCs w:val="28"/>
          <w:lang w:val="uk-UA" w:eastAsia="uk-UA"/>
        </w:rPr>
      </w:pPr>
    </w:p>
    <w:p w14:paraId="2C26C456"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сучасному світі глобалізація стала визначальною тенденцією, яка формує політичні, економічні, культурні та соціальні процеси. Зростаюча взаємозалежність між державами, поширення новітніх технологій, обмін інформацією, спільна боротьба з глобальними викликами — все це є проявами глобалізації. Водночас, цей процес несе у собі низку суперечностей і ризиків, одним із найважливіших серед яких є потенційна загроза національному суверенітету. Для країн з перехідною економікою та нестабільною безпековою ситуацією це питання набуває особливої актуальності. Україна, яка водночас є частиною глобалізованого світу, проходить складний шлях демократичної трансформації та веде боротьбу за територіальну цілісність, є яскравим прикладом такого складного співіснування глобалізаційних процесів та прагнення до збереження національного суверенітету [1,c.14].</w:t>
      </w:r>
    </w:p>
    <w:p w14:paraId="6646D8A7"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Глобалізація, за суттю, є процесом інтеграції національних економік у світову систему, активізації політичної співпраці, посилення культурного обміну та інституційної взаємодії. Вона сприяє розвитку ринку, прискоренню науково-технічного прогресу, розширенню доступу до інформації, утвердженню прав людини та міжнародних стандартів у різних сферах. Разом з тим, глобалізація може ускладнити функціонування національних держав, зменшити їхню автономію, вплинути на внутрішню політику, економіку та культурну ідентичність. У цьому контексті постає ключове питання: якою мірою держави можуть зберігати суверенітет у глобалізованому світі і чи можливий компроміс між інтеграцією та незалежністю [2,c.57].</w:t>
      </w:r>
    </w:p>
    <w:p w14:paraId="46F26E76"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Національний суверенітет — це здатність держави самостійно визначати свій політичний курс, контролювати територію, ухвалювати закони, забезпечувати безпеку та реалізовувати політику без зовнішнього тиску. Він вважається основою державності, гарантією політичної стабільності та інструментом захисту національних інтересів. Під впливом глобалізаційних чинників, зокрема відкритості кордонів, діяльності транснаціональних корпорацій, тиску міжнародних фінансових інституцій та поширення універсальних правових норм, суверенітет зазнає певної трансформації. В умовах сучасності держава часто змушена погоджувати свої дії з позицією інших суб’єктів міжнародних відносин, поступатися </w:t>
      </w:r>
      <w:r w:rsidRPr="00511005">
        <w:rPr>
          <w:rFonts w:ascii="Arial" w:eastAsia="Times New Roman" w:hAnsi="Arial" w:cs="Arial"/>
          <w:szCs w:val="28"/>
          <w:lang w:val="uk-UA" w:eastAsia="uk-UA"/>
        </w:rPr>
        <w:lastRenderedPageBreak/>
        <w:t>частиною повноважень задля спільної мети чи дотримання міжнародних зобов’язань [5,c.35].</w:t>
      </w:r>
    </w:p>
    <w:p w14:paraId="5D847F01"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випадку України ці процеси мають особливий контекст. З перших кроків набуття незалежності Україна послідовно демонструє прагнення до інтеграції у світову спільноту, зокрема до Європейського Союзу та НАТО. Підписання Угоди про асоціацію з ЄС, участь у міжнародних організаціях, адаптація законодавства до європейських стандартів свідчать це, відкриваючи нові можливості — модернізації економіки, підтримки реформ, розширення ринків збуту, підвищення інституційної спроможності. Водночас, інтеграція вимагає дотримання ряду умов, виконання зобов’язань, гармонізації політики та відмови від певних елементів автономного управління. Тобто, суверенітет набуває формату «обмеженої автономії» у межах міжнародних зобов’язань [4,c.25].</w:t>
      </w:r>
    </w:p>
    <w:p w14:paraId="3F0936E9"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економічній сфері Україна залежна від зовнішнього фінансування, співпраці з Міжнародним валютним фондом, Світовим банком, Європейським банком реконструкції та розвитку. Фінансова підтримка супроводжується вимогами щодо структурних реформ, дерегуляції, фіскальної дисципліни, що іноді суперечить короткостроковим національним інтересам. Це змушує уряд України балансувати між інтеграцією у глобальну економіку та збереженням контролю над внутрішньою політикою [2,c.78].</w:t>
      </w:r>
    </w:p>
    <w:p w14:paraId="5F8C518C"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Культурний вплив глобалізації також суттєвий. І орієнтуючись на глобальні тренди важливо зберігати національні традиції, мову та ідентичність. Особливо важливо, щоб молодь не втрачала зв’язок із національними цінностями, творчо поєднуючи глобальне і локальне. </w:t>
      </w:r>
    </w:p>
    <w:p w14:paraId="25215DF3" w14:textId="77777777"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умовах загарбницької війни РФ питання національного суверенітету для України набуло екзистенційного виміру. Захист територіальної цілісності, незалежності, права на самовизначення стали не лише політичним пріоритетом, а й основою національної єдності. Війна довела, що глобалізація не гарантує безпеки, а міжнародна солідарність потребує активного відстоювання. Водночас, саме глобальні механізми: санкції, дипломатичний тиск, військова підтримка, гуманітарна допомога стали інструментами підтримки українського суверенітету. І при цьому національна стійкість, внутрішня згуртованість і стратегічна комунікація є критично важливими [1,c.15].</w:t>
      </w:r>
    </w:p>
    <w:p w14:paraId="0C1DF0F2" w14:textId="204361FF" w:rsidR="00DF77B5" w:rsidRPr="00511005" w:rsidRDefault="00DF77B5" w:rsidP="00F06D4D">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 цьому контексті стратегія України має ґрунтуватися на активному використанні переваг глобалізації при одночасному захисті своїх національних інтересів. Це означає необхідність підтримки власного виробника, розвитку національної інноваційної системи, зміцнення фінансової незалежності, реформування безпекового сектору, впровадження ефективної культурної політики та утвердження національної ідентичності. Держава повинна бути не лише об’єктом глобальних процесів, </w:t>
      </w:r>
      <w:r w:rsidRPr="00511005">
        <w:rPr>
          <w:rFonts w:ascii="Arial" w:eastAsia="Times New Roman" w:hAnsi="Arial" w:cs="Arial"/>
          <w:szCs w:val="28"/>
          <w:lang w:val="uk-UA" w:eastAsia="uk-UA"/>
        </w:rPr>
        <w:lastRenderedPageBreak/>
        <w:t xml:space="preserve">а й активним суб’єктом, який формує свою позицію і впливає на міжнародний порядок денний [4,c.75]. Для України глобалізація відкриває вікно можливостей для модернізації та зміцнення демократичних інституцій, потребуючи подолати виклики для національного суверенітету. </w:t>
      </w:r>
    </w:p>
    <w:p w14:paraId="5413284F" w14:textId="77777777" w:rsidR="00F06D4D" w:rsidRPr="00511005" w:rsidRDefault="00F06D4D" w:rsidP="00F06D4D">
      <w:pPr>
        <w:widowControl w:val="0"/>
        <w:autoSpaceDE w:val="0"/>
        <w:autoSpaceDN w:val="0"/>
        <w:spacing w:line="264" w:lineRule="auto"/>
        <w:rPr>
          <w:rFonts w:ascii="Arial" w:eastAsia="Times New Roman" w:hAnsi="Arial" w:cs="Arial"/>
          <w:szCs w:val="28"/>
          <w:lang w:val="uk-UA" w:eastAsia="uk-UA"/>
        </w:rPr>
      </w:pPr>
    </w:p>
    <w:p w14:paraId="73B13A32" w14:textId="7C8DEA9F" w:rsidR="00DF77B5" w:rsidRPr="00511005" w:rsidRDefault="007B2628" w:rsidP="00CC7555">
      <w:pPr>
        <w:widowControl w:val="0"/>
        <w:autoSpaceDE w:val="0"/>
        <w:autoSpaceDN w:val="0"/>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71127889" w14:textId="77777777" w:rsidR="00DF77B5" w:rsidRPr="00511005" w:rsidRDefault="00DF77B5" w:rsidP="003F6A5D">
      <w:pPr>
        <w:widowControl w:val="0"/>
        <w:numPr>
          <w:ilvl w:val="0"/>
          <w:numId w:val="807"/>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Арабаджиєв Д. Ю., Сергієнко Т. І. Основні напрями розвитку і становлення політичної системи України в умовах сучасної гібридної війни. </w:t>
      </w:r>
      <w:r w:rsidRPr="00511005">
        <w:rPr>
          <w:rFonts w:ascii="Arial" w:eastAsia="Times New Roman" w:hAnsi="Arial" w:cs="Arial"/>
          <w:i/>
          <w:iCs/>
          <w:szCs w:val="28"/>
          <w:lang w:val="uk-UA" w:eastAsia="uk-UA"/>
        </w:rPr>
        <w:t>Сучасна українська держава: вектори розвитку та шляхи мобілізації ресурсів: матеріали П’ятої Всеукраїнської науково-практичної конференції, м. Одеса, 3 квітня 2020 року</w:t>
      </w:r>
      <w:r w:rsidRPr="00511005">
        <w:rPr>
          <w:rFonts w:ascii="Arial" w:eastAsia="Times New Roman" w:hAnsi="Arial" w:cs="Arial"/>
          <w:szCs w:val="28"/>
          <w:lang w:val="uk-UA" w:eastAsia="uk-UA"/>
        </w:rPr>
        <w:t>. Одеса: ДЗ «Південноукраїнський національний педагогічний університет імені К. Д. Ушинського», Центр соціально-політичних досліджень «Politicus», 2020. С. 13–18.</w:t>
      </w:r>
    </w:p>
    <w:p w14:paraId="6CA72105" w14:textId="77777777" w:rsidR="00DF77B5" w:rsidRPr="00511005" w:rsidRDefault="00DF77B5" w:rsidP="003F6A5D">
      <w:pPr>
        <w:widowControl w:val="0"/>
        <w:numPr>
          <w:ilvl w:val="0"/>
          <w:numId w:val="807"/>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Бевз Т. А. Суверенітет як невід’ємна ознака держави у документах і практиці українського державотворення. </w:t>
      </w:r>
      <w:r w:rsidRPr="00511005">
        <w:rPr>
          <w:rFonts w:ascii="Arial" w:eastAsia="Times New Roman" w:hAnsi="Arial" w:cs="Arial"/>
          <w:i/>
          <w:iCs/>
          <w:szCs w:val="28"/>
          <w:lang w:val="uk-UA" w:eastAsia="uk-UA"/>
        </w:rPr>
        <w:t>Наукові записки Інституту політичних і етнонаціональних досліджень ім. І. Ф. Кураса НАН України</w:t>
      </w:r>
      <w:r w:rsidRPr="00511005">
        <w:rPr>
          <w:rFonts w:ascii="Arial" w:eastAsia="Times New Roman" w:hAnsi="Arial" w:cs="Arial"/>
          <w:szCs w:val="28"/>
          <w:lang w:val="uk-UA" w:eastAsia="uk-UA"/>
        </w:rPr>
        <w:t>, 2013. Вип. 3. С. 190–212.</w:t>
      </w:r>
    </w:p>
    <w:p w14:paraId="62AAA364" w14:textId="77777777" w:rsidR="00DF77B5" w:rsidRPr="00511005" w:rsidRDefault="00DF77B5" w:rsidP="003F6A5D">
      <w:pPr>
        <w:widowControl w:val="0"/>
        <w:numPr>
          <w:ilvl w:val="0"/>
          <w:numId w:val="807"/>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Богів Я. С. До питання про сутність суверенітету: теоретико-правовий аспект [Електронний ресурс]. </w:t>
      </w:r>
      <w:r w:rsidRPr="00511005">
        <w:rPr>
          <w:rFonts w:ascii="Arial" w:eastAsia="Times New Roman" w:hAnsi="Arial" w:cs="Arial"/>
          <w:i/>
          <w:iCs/>
          <w:szCs w:val="28"/>
          <w:lang w:val="uk-UA" w:eastAsia="uk-UA"/>
        </w:rPr>
        <w:t>Часопис Національного університету «Острозька академія». Серія «Право»</w:t>
      </w:r>
      <w:r w:rsidRPr="00511005">
        <w:rPr>
          <w:rFonts w:ascii="Arial" w:eastAsia="Times New Roman" w:hAnsi="Arial" w:cs="Arial"/>
          <w:szCs w:val="28"/>
          <w:lang w:val="uk-UA" w:eastAsia="uk-UA"/>
        </w:rPr>
        <w:t>. 2018. URL: https://lj.oa.edu.ua/articles/2018/n2/18bystpa.pdf (дата звернення: 12.10.2021).</w:t>
      </w:r>
    </w:p>
    <w:p w14:paraId="474B26CB" w14:textId="77777777" w:rsidR="00DF77B5" w:rsidRPr="00511005" w:rsidRDefault="00DF77B5" w:rsidP="003F6A5D">
      <w:pPr>
        <w:widowControl w:val="0"/>
        <w:numPr>
          <w:ilvl w:val="0"/>
          <w:numId w:val="807"/>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Державний суверенітет в умовах глобалізації: теорія та практика: монографія / Н. А. Бабарикiна, Н. В. Горло, М. Ф. Заболотна, О. М. Кiндратець, Т. I. Сергiєнко; за заг. ред. О. М. Кіндратець. Запоріжжя: Запорізький національний університет, 2022. 226 с.</w:t>
      </w:r>
    </w:p>
    <w:p w14:paraId="291C1011" w14:textId="77777777" w:rsidR="00DF77B5" w:rsidRPr="00511005" w:rsidRDefault="00DF77B5" w:rsidP="003F6A5D">
      <w:pPr>
        <w:widowControl w:val="0"/>
        <w:numPr>
          <w:ilvl w:val="0"/>
          <w:numId w:val="807"/>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Топчій В. В. Межі державного суверенітету: теорія та практика. </w:t>
      </w:r>
      <w:r w:rsidRPr="00511005">
        <w:rPr>
          <w:rFonts w:ascii="Arial" w:eastAsia="Times New Roman" w:hAnsi="Arial" w:cs="Arial"/>
          <w:i/>
          <w:iCs/>
          <w:szCs w:val="28"/>
          <w:lang w:val="uk-UA" w:eastAsia="uk-UA"/>
        </w:rPr>
        <w:t>Прикарпатський юридичний вісник</w:t>
      </w:r>
      <w:r w:rsidRPr="00511005">
        <w:rPr>
          <w:rFonts w:ascii="Arial" w:eastAsia="Times New Roman" w:hAnsi="Arial" w:cs="Arial"/>
          <w:szCs w:val="28"/>
          <w:lang w:val="uk-UA" w:eastAsia="uk-UA"/>
        </w:rPr>
        <w:t>, 2016. Вип. 1. С. 78–81.</w:t>
      </w:r>
    </w:p>
    <w:p w14:paraId="34A1193E" w14:textId="68EB3EE4" w:rsidR="00DF77B5" w:rsidRPr="00511005" w:rsidRDefault="007B2628" w:rsidP="00CC7555">
      <w:pPr>
        <w:widowControl w:val="0"/>
        <w:autoSpaceDE w:val="0"/>
        <w:autoSpaceDN w:val="0"/>
        <w:spacing w:line="264" w:lineRule="auto"/>
        <w:ind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Ключові слова: </w:t>
      </w:r>
      <w:r w:rsidR="00DF77B5" w:rsidRPr="00511005">
        <w:rPr>
          <w:rFonts w:ascii="Arial" w:eastAsia="Times New Roman" w:hAnsi="Arial" w:cs="Arial"/>
          <w:i/>
          <w:iCs/>
          <w:szCs w:val="28"/>
          <w:lang w:val="uk-UA" w:eastAsia="uk-UA"/>
        </w:rPr>
        <w:t>глобалізація, національний суверенітет, Україна, культурна ідентичність, інтеграція, національна безпека, державна політика.</w:t>
      </w:r>
    </w:p>
    <w:p w14:paraId="23523ACA" w14:textId="37AC0A38" w:rsidR="00DF77B5" w:rsidRPr="00511005" w:rsidRDefault="007B2628" w:rsidP="00CC7555">
      <w:pPr>
        <w:widowControl w:val="0"/>
        <w:autoSpaceDE w:val="0"/>
        <w:autoSpaceDN w:val="0"/>
        <w:spacing w:line="264" w:lineRule="auto"/>
        <w:ind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Key words: </w:t>
      </w:r>
      <w:r w:rsidR="00DF77B5" w:rsidRPr="00511005">
        <w:rPr>
          <w:rFonts w:ascii="Arial" w:eastAsia="Times New Roman" w:hAnsi="Arial" w:cs="Arial"/>
          <w:i/>
          <w:iCs/>
          <w:szCs w:val="28"/>
          <w:lang w:val="uk-UA" w:eastAsia="uk-UA"/>
        </w:rPr>
        <w:t>globalization, national sovereignty, Ukraine, cultural identity, integration, national security, state policy.</w:t>
      </w:r>
    </w:p>
    <w:p w14:paraId="24A61400" w14:textId="68069ECA" w:rsidR="00DF77B5" w:rsidRPr="00511005" w:rsidRDefault="007B2628" w:rsidP="00CC7555">
      <w:pPr>
        <w:widowControl w:val="0"/>
        <w:autoSpaceDE w:val="0"/>
        <w:autoSpaceDN w:val="0"/>
        <w:spacing w:line="264" w:lineRule="auto"/>
        <w:ind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д. і. н., професор</w:t>
      </w:r>
      <w:r w:rsidR="006A743E" w:rsidRPr="00511005">
        <w:rPr>
          <w:rFonts w:ascii="Arial" w:eastAsia="Times New Roman" w:hAnsi="Arial" w:cs="Arial"/>
          <w:i/>
          <w:iCs/>
          <w:szCs w:val="28"/>
          <w:lang w:val="uk-UA" w:eastAsia="uk-UA"/>
        </w:rPr>
        <w:t xml:space="preserve"> </w:t>
      </w:r>
      <w:r w:rsidR="00DF77B5" w:rsidRPr="00511005">
        <w:rPr>
          <w:rFonts w:ascii="Arial" w:eastAsia="Times New Roman" w:hAnsi="Arial" w:cs="Arial"/>
          <w:i/>
          <w:iCs/>
          <w:szCs w:val="28"/>
          <w:lang w:val="uk-UA" w:eastAsia="uk-UA"/>
        </w:rPr>
        <w:t>Кормич Л. І.</w:t>
      </w:r>
    </w:p>
    <w:p w14:paraId="4F3929A9" w14:textId="77777777" w:rsidR="00CC7555" w:rsidRPr="00511005" w:rsidRDefault="00CC7555" w:rsidP="00CC7555">
      <w:pPr>
        <w:widowControl w:val="0"/>
        <w:autoSpaceDE w:val="0"/>
        <w:autoSpaceDN w:val="0"/>
        <w:spacing w:line="264" w:lineRule="auto"/>
        <w:ind w:firstLine="0"/>
        <w:jc w:val="left"/>
        <w:rPr>
          <w:rFonts w:ascii="Arial" w:eastAsia="Times New Roman" w:hAnsi="Arial" w:cs="Arial"/>
          <w:i/>
          <w:iCs/>
          <w:szCs w:val="28"/>
          <w:lang w:val="uk-UA" w:eastAsia="uk-UA"/>
        </w:rPr>
      </w:pPr>
    </w:p>
    <w:p w14:paraId="23159EF6" w14:textId="77777777" w:rsidR="00CC7555" w:rsidRPr="00511005" w:rsidRDefault="00CC7555">
      <w:pPr>
        <w:spacing w:after="200" w:line="276" w:lineRule="auto"/>
        <w:ind w:firstLine="0"/>
        <w:jc w:val="left"/>
        <w:rPr>
          <w:rFonts w:ascii="Arial" w:eastAsia="Times New Roman" w:hAnsi="Arial" w:cs="Arial"/>
          <w:b/>
          <w:i/>
          <w:szCs w:val="28"/>
          <w:lang w:val="uk-UA" w:eastAsia="uk-UA"/>
        </w:rPr>
      </w:pPr>
      <w:r w:rsidRPr="00511005">
        <w:rPr>
          <w:rFonts w:ascii="Arial" w:eastAsia="Times New Roman" w:hAnsi="Arial" w:cs="Arial"/>
          <w:b/>
          <w:i/>
          <w:szCs w:val="28"/>
          <w:lang w:val="uk-UA" w:eastAsia="uk-UA"/>
        </w:rPr>
        <w:br w:type="page"/>
      </w:r>
    </w:p>
    <w:p w14:paraId="125A1BD2" w14:textId="5F002198" w:rsidR="00DF77B5" w:rsidRPr="00511005" w:rsidRDefault="00DF77B5" w:rsidP="00CC7555">
      <w:pPr>
        <w:widowControl w:val="0"/>
        <w:autoSpaceDE w:val="0"/>
        <w:autoSpaceDN w:val="0"/>
        <w:spacing w:line="264" w:lineRule="auto"/>
        <w:ind w:firstLine="0"/>
        <w:jc w:val="center"/>
        <w:rPr>
          <w:rFonts w:ascii="Arial" w:eastAsia="Times New Roman" w:hAnsi="Arial" w:cs="Arial"/>
          <w:b/>
          <w:i/>
          <w:szCs w:val="28"/>
          <w:lang w:val="uk-UA" w:eastAsia="uk-UA"/>
        </w:rPr>
      </w:pPr>
      <w:r w:rsidRPr="00511005">
        <w:rPr>
          <w:rFonts w:ascii="Arial" w:eastAsia="Times New Roman" w:hAnsi="Arial" w:cs="Arial"/>
          <w:b/>
          <w:i/>
          <w:szCs w:val="28"/>
          <w:lang w:val="uk-UA" w:eastAsia="uk-UA"/>
        </w:rPr>
        <w:lastRenderedPageBreak/>
        <w:t>Терещенко Алла Михайлівна</w:t>
      </w:r>
    </w:p>
    <w:p w14:paraId="25E9F645" w14:textId="0B05CC54" w:rsidR="00DF77B5" w:rsidRPr="00511005" w:rsidRDefault="00CC7555" w:rsidP="00CC7555">
      <w:pPr>
        <w:widowControl w:val="0"/>
        <w:autoSpaceDE w:val="0"/>
        <w:autoSpaceDN w:val="0"/>
        <w:spacing w:line="264" w:lineRule="auto"/>
        <w:ind w:firstLine="0"/>
        <w:jc w:val="center"/>
        <w:rPr>
          <w:rFonts w:ascii="Arial" w:eastAsia="Times New Roman" w:hAnsi="Arial" w:cs="Arial"/>
          <w:iCs/>
          <w:szCs w:val="28"/>
          <w:lang w:val="uk-UA" w:eastAsia="uk-UA"/>
        </w:rPr>
      </w:pPr>
      <w:bookmarkStart w:id="333" w:name="Студентка_1-го_курсу__факультету_цивільн"/>
      <w:bookmarkEnd w:id="333"/>
      <w:r w:rsidRPr="00511005">
        <w:rPr>
          <w:rFonts w:ascii="Arial" w:eastAsia="Times New Roman" w:hAnsi="Arial" w:cs="Arial"/>
          <w:iCs/>
          <w:szCs w:val="28"/>
          <w:lang w:val="uk-UA" w:eastAsia="uk-UA"/>
        </w:rPr>
        <w:t>с</w:t>
      </w:r>
      <w:r w:rsidR="007B2628" w:rsidRPr="00511005">
        <w:rPr>
          <w:rFonts w:ascii="Arial" w:eastAsia="Times New Roman" w:hAnsi="Arial" w:cs="Arial"/>
          <w:iCs/>
          <w:szCs w:val="28"/>
          <w:lang w:val="uk-UA" w:eastAsia="uk-UA"/>
        </w:rPr>
        <w:t>тудентка 1-го курсу факультету цивільної та господарської юстиції</w:t>
      </w:r>
      <w:r w:rsidR="00DF77B5" w:rsidRPr="00511005">
        <w:rPr>
          <w:rFonts w:ascii="Arial" w:eastAsia="Times New Roman" w:hAnsi="Arial" w:cs="Arial"/>
          <w:iCs/>
          <w:szCs w:val="28"/>
          <w:lang w:val="uk-UA" w:eastAsia="uk-UA"/>
        </w:rPr>
        <w:t xml:space="preserve"> </w:t>
      </w:r>
      <w:bookmarkStart w:id="334" w:name="Національний_університет_«Одеська_юридич"/>
      <w:bookmarkEnd w:id="334"/>
      <w:r w:rsidR="00C66506" w:rsidRPr="00511005">
        <w:rPr>
          <w:rFonts w:ascii="Arial" w:eastAsia="Times New Roman" w:hAnsi="Arial" w:cs="Arial"/>
          <w:iCs/>
          <w:szCs w:val="28"/>
          <w:lang w:val="uk-UA" w:eastAsia="uk-UA"/>
        </w:rPr>
        <w:t>Національного університету «Одеська юридична академія»</w:t>
      </w:r>
    </w:p>
    <w:p w14:paraId="787C7A5E" w14:textId="77777777" w:rsidR="00CC7555" w:rsidRPr="00511005" w:rsidRDefault="00CC7555" w:rsidP="00CC7555">
      <w:pPr>
        <w:widowControl w:val="0"/>
        <w:autoSpaceDE w:val="0"/>
        <w:autoSpaceDN w:val="0"/>
        <w:spacing w:line="264" w:lineRule="auto"/>
        <w:ind w:firstLine="0"/>
        <w:jc w:val="center"/>
        <w:rPr>
          <w:rFonts w:ascii="Arial" w:eastAsia="Times New Roman" w:hAnsi="Arial" w:cs="Arial"/>
          <w:iCs/>
          <w:szCs w:val="28"/>
          <w:lang w:val="uk-UA" w:eastAsia="uk-UA"/>
        </w:rPr>
      </w:pPr>
    </w:p>
    <w:p w14:paraId="1B998AA3" w14:textId="77777777" w:rsidR="00DF77B5" w:rsidRPr="00511005" w:rsidRDefault="00DF77B5" w:rsidP="00CC7555">
      <w:pPr>
        <w:widowControl w:val="0"/>
        <w:autoSpaceDE w:val="0"/>
        <w:autoSpaceDN w:val="0"/>
        <w:spacing w:line="264" w:lineRule="auto"/>
        <w:ind w:firstLine="0"/>
        <w:jc w:val="center"/>
        <w:rPr>
          <w:rFonts w:ascii="Arial" w:eastAsia="Times New Roman" w:hAnsi="Arial" w:cs="Arial"/>
          <w:b/>
          <w:bCs/>
          <w:szCs w:val="28"/>
          <w:lang w:val="uk-UA" w:eastAsia="uk-UA"/>
        </w:rPr>
      </w:pPr>
      <w:bookmarkStart w:id="335" w:name="ПОЛІТИЧНІ_МЕМИ_ЯК_НОВА_ФОРМА_МАСОВОЇ_МОБ"/>
      <w:bookmarkEnd w:id="335"/>
      <w:r w:rsidRPr="00511005">
        <w:rPr>
          <w:rFonts w:ascii="Arial" w:eastAsia="Times New Roman" w:hAnsi="Arial" w:cs="Arial"/>
          <w:b/>
          <w:bCs/>
          <w:szCs w:val="28"/>
          <w:lang w:val="uk-UA" w:eastAsia="uk-UA"/>
        </w:rPr>
        <w:t>ПОЛІТИЧНІ МЕМИ ЯК НОВА ФОРМА МАСОВОЇ МОБІЛІЗАЦІЇ</w:t>
      </w:r>
    </w:p>
    <w:p w14:paraId="6C685353"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Феномен політичних мемів як інструменту впливу на суспільну свідомість набуває все більшої актуальності в епоху цифрових комунікацій. Попри значний інтерес дослідників до вивчення мемів як соціокультурного та політичного явища, дотепер не сформовано єдиного підходу до розуміння поняття "політичний мем" та його ролі у процесах масової мобілізації. Така невизначеність пояснюється швидкою трансформацією мемів як явища, їх інтеграцією в різні комунікативні практики, а також розмитістю меж між політичною сатирою, пропагандою та спонтанною інтернет-творчістю.</w:t>
      </w:r>
    </w:p>
    <w:p w14:paraId="79517542"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Поняття "політичний мем" походить від загального, ширшого за змістом поняття мему, що традиційно розглядається як одиниця культурної інформації, яка поширюється від людини до людини. Сам термін "мем" був запропонований біологом Річардом Докінзом у 1976 році в книзі "Егоїстичний ген" для позначення одиниці культурної інформації, що здатна до самореплікації [1; 189]. В політологічній та соціологічній літературі пропонуються різні визначення поняття "політичний мем", зокрема, його розглядають як політично забарвлену інформаційну одиницю, що поширюється в інтернет-просторі і має впізнаваний формат та емоційне забарвлення [2; 35]. У науковому дискурсі політичний мем визначається як "медіаоб'єкт, що містить політичний контент чи коментар, швидко поширюється в інтернет-середовищі і здатний трансформуватися, зберігаючи при цьому впізнаваний сенс" [3]. Повторюваність і стабільна затребуваність політичних мемів у цифровому середовищі свідчать про те, що вони є самостійним феноменом політичної комунікації, який відображає важливу для практики категорію впливу на масову свідомість.</w:t>
      </w:r>
    </w:p>
    <w:p w14:paraId="450C6A93"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Варто погодитися з дослідниками Л. Шифман та Р. Тай щодо виділення наступних специфічних ознак політичних мемів, зокрема з тим, що політичний мем:</w:t>
      </w:r>
    </w:p>
    <w:p w14:paraId="08615E26"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є концентрованим вираженням соціально-політичних ідей у візуально-текстовій формі;</w:t>
      </w:r>
    </w:p>
    <w:p w14:paraId="1A659BFE"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становить систему символів, кодів та знаків, що мають політичне значення;</w:t>
      </w:r>
    </w:p>
    <w:p w14:paraId="471E1DFD"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поширюється горизонтально (від користувача до користувача) без централізованого контролю;</w:t>
      </w:r>
    </w:p>
    <w:p w14:paraId="69714E05"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характеризується вірусним характером розповсюдження в мережевому середовищі;</w:t>
      </w:r>
    </w:p>
    <w:p w14:paraId="3ACB1139"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має здатність адаптуватися до різних контекстів, зберігаючи при цьому впізнаваність;</w:t>
      </w:r>
    </w:p>
    <w:p w14:paraId="1B6097C5"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відрізняється від звичайних мемів чітким політичним підтекстом та спрямованістю на мобілізацію аудиторії [5; 78].</w:t>
      </w:r>
    </w:p>
    <w:p w14:paraId="63AB0ECC"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Для того, щоб політичні меми набули мобілізаційного потенціалу, необхідні як формальні умови (поширення їх через авторитетні канали комунікації, визнання політичними групами та спільнотами тощо), так і змістовні (емоційна резонансність, актуальність, гумористична або сатирична складова).</w:t>
      </w:r>
    </w:p>
    <w:p w14:paraId="346384B9"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Враховуючи викладені вище властивості політичних мемів, можна надати таке визначення. Політичний мем – це цілісна та емоційно насичена інформаційна одиниця політичного змісту, що має візуальне, текстове або аудіовізуальне вираження, характеризується вірусним поширенням у цифровому середовищі, високою адаптивністю до різних контекстів та здатністю мобілізувати масову аудиторію навколо певних політичних ідей, цінностей або дій.</w:t>
      </w:r>
    </w:p>
    <w:p w14:paraId="68E77429"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Політичні меми відіграють важливу роль у формуванні політичного порядку денного та політичної участі громадян [7; 143]. Важливим каналом впливу політичних мемів на політичні процеси виступають соціальні мережі та месенджери. Це зумовлено тим, що фактично саме ці платформи є основною формою поширення та відтворення політичних мемів. Саме в цифровому середовищі знаходять вияв основні переваги політичних мемів як інструменту масової мобілізації.</w:t>
      </w:r>
    </w:p>
    <w:p w14:paraId="126049A0"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При визначенні місця політичних мемів в системі політичної комунікації дослідники зазвичай вказують, що меми є відносно новою, але вже невід'ємною формою політичної участі та мобілізації [8; 67]. Що є наслідком зростаючої ролі цифрових комунікацій у політичному житті та трансформації традиційних форм політичної активності.</w:t>
      </w:r>
    </w:p>
    <w:p w14:paraId="12F534DA"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галузевих дослідженнях зазвичай зазначають, що політичні меми мають розглядатися як значимий, але не єдиний інструмент політичної мобілізації. Через свою емоційність, лаконічність та гумористичний характер політичні меми здатні формувати політичні уявлення та установки навіть у тих груп населення, які традиційно дистанціюються від політики.</w:t>
      </w:r>
    </w:p>
    <w:p w14:paraId="63F94BBC"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Як зазначає Л. Шифман, мобілізаційний потенціал політичних мемів може виявлятися у двох вимірах: 1) у безпосередньому впливі на політичну поведінку (участь у акціях протесту, голосування за певного кандидата); 2) у формуванні політичних настроїв та установок, які з часом можуть трансформуватися в політичну активність. Політичні меми впливають на політичну поведінку здебільшого у другому вимірі. Це вплив, що сприймається як внутрішній стимул і не супроводжується прямими закликами до дії. У цьому сенсі можна стверджувати, що політичні меми специфічно впливають на масову свідомість, коли вони формують певну картину світу у сприйнятті громадян [9; 54].</w:t>
      </w:r>
    </w:p>
    <w:p w14:paraId="6DDB6281"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До переваг політичних мемів як інструменту масової мобілізації </w:t>
      </w:r>
      <w:r w:rsidRPr="00511005">
        <w:rPr>
          <w:rFonts w:ascii="Arial" w:eastAsia="Times New Roman" w:hAnsi="Arial" w:cs="Arial"/>
          <w:szCs w:val="28"/>
          <w:lang w:val="uk-UA" w:eastAsia="uk-UA"/>
        </w:rPr>
        <w:lastRenderedPageBreak/>
        <w:t>належать: емоційна насиченість, лаконічність, візуальна привабливість, простота сприйняття, вірусний характер поширення, низька вартість створення та розповсюдження, здатність обходити цензурні обмеження, можливість швидкого реагування на політичні події, здатність консолідувати аудиторію навколо спільних символів та ідей. Враховуючи це, а також зростаючу роль цифрових комунікацій у політичному житті, актуальним завданням стає комплексне дослідження політичних мемів як нової форми масової мобілізації, що сприятиме формуванню адекватного розуміння сучасних технологій політичного впливу та механізмів громадянської участі в цифрову епоху.</w:t>
      </w:r>
    </w:p>
    <w:p w14:paraId="145EEEB2" w14:textId="77777777" w:rsidR="00DF77B5" w:rsidRPr="00511005" w:rsidRDefault="00DF77B5" w:rsidP="00CC7555">
      <w:pPr>
        <w:widowControl w:val="0"/>
        <w:autoSpaceDE w:val="0"/>
        <w:autoSpaceDN w:val="0"/>
        <w:spacing w:line="264" w:lineRule="auto"/>
        <w:rPr>
          <w:rFonts w:ascii="Arial" w:eastAsia="Times New Roman" w:hAnsi="Arial" w:cs="Arial"/>
          <w:b/>
          <w:bCs/>
          <w:szCs w:val="28"/>
          <w:lang w:val="uk-UA" w:eastAsia="uk-UA"/>
        </w:rPr>
      </w:pPr>
      <w:bookmarkStart w:id="336" w:name="Типологія_політичних_мемів_як_інструмент"/>
      <w:bookmarkEnd w:id="336"/>
      <w:r w:rsidRPr="00511005">
        <w:rPr>
          <w:rFonts w:ascii="Arial" w:eastAsia="Times New Roman" w:hAnsi="Arial" w:cs="Arial"/>
          <w:b/>
          <w:bCs/>
          <w:szCs w:val="28"/>
          <w:lang w:val="uk-UA" w:eastAsia="uk-UA"/>
        </w:rPr>
        <w:t>Типологія політичних мемів як інструментів мобілізації</w:t>
      </w:r>
    </w:p>
    <w:p w14:paraId="18F7D1A6"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Для кращого розуміння мобілізаційного потенціалу політичних мемів доцільно виокремити їх основні типи за різними критеріями. За формою вираження політичні меми можна класифікувати на візуальні (картинки, фотожаби), текстові (хештеги, слогани), аудіовізуальні (відеомеми, ТікТок-формати) та комбіновані [11; 73]. Кожен з цих типів має власну специфіку впливу на аудиторію та особливості поширення.</w:t>
      </w:r>
    </w:p>
    <w:p w14:paraId="76327C82"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За спрямованістю мобілізаційного впливу політичні меми поділяються на:</w:t>
      </w:r>
    </w:p>
    <w:p w14:paraId="09DF71B4"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консолідуючі (спрямовані на об'єднання певної спільноти);</w:t>
      </w:r>
    </w:p>
    <w:p w14:paraId="5C19BE36"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протестні (спрямовані на критику влади та мобілізацію громадянської непокори);</w:t>
      </w:r>
    </w:p>
    <w:p w14:paraId="62A303D1"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електоральні (спрямовані на підтримку або дискредитацію кандидатів під час виборів);</w:t>
      </w:r>
    </w:p>
    <w:p w14:paraId="22D65FD7"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ідеологічно-ціннісні (спрямовані на формування певних політичних переконань) Особливу увагу варто приділити мемам з високим мобілізаційним потенціалом, які характеризуються наступними ознаками:</w:t>
      </w:r>
    </w:p>
    <w:p w14:paraId="152778B3"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емоційна резонансність (викликають сильні емоційні реакції);</w:t>
      </w:r>
    </w:p>
    <w:p w14:paraId="264E2A58"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актуальність (відповідають поточному політичному порядку денному);</w:t>
      </w:r>
    </w:p>
    <w:p w14:paraId="1FBB381B"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культурна релевантність (спираються на зрозумілі аудиторії культурні коди);</w:t>
      </w:r>
    </w:p>
    <w:p w14:paraId="6C6417E2"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простота відтворення та модифікації;</w:t>
      </w:r>
    </w:p>
    <w:p w14:paraId="56F51C28"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наявність чіткого політичного меседжу [14; 142].</w:t>
      </w:r>
    </w:p>
    <w:p w14:paraId="14460978" w14:textId="77777777" w:rsidR="00DF77B5" w:rsidRPr="00511005" w:rsidRDefault="00DF77B5" w:rsidP="00CC7555">
      <w:pPr>
        <w:widowControl w:val="0"/>
        <w:autoSpaceDE w:val="0"/>
        <w:autoSpaceDN w:val="0"/>
        <w:spacing w:line="264" w:lineRule="auto"/>
        <w:rPr>
          <w:rFonts w:ascii="Arial" w:eastAsia="Times New Roman" w:hAnsi="Arial" w:cs="Arial"/>
          <w:b/>
          <w:bCs/>
          <w:szCs w:val="28"/>
          <w:lang w:val="uk-UA" w:eastAsia="uk-UA"/>
        </w:rPr>
      </w:pPr>
      <w:bookmarkStart w:id="337" w:name="Механізми_мобілізаційного_впливу_політич"/>
      <w:bookmarkEnd w:id="337"/>
      <w:r w:rsidRPr="00511005">
        <w:rPr>
          <w:rFonts w:ascii="Arial" w:eastAsia="Times New Roman" w:hAnsi="Arial" w:cs="Arial"/>
          <w:b/>
          <w:bCs/>
          <w:szCs w:val="28"/>
          <w:lang w:val="uk-UA" w:eastAsia="uk-UA"/>
        </w:rPr>
        <w:t>Механізми мобілізаційного впливу політичних мемів</w:t>
      </w:r>
    </w:p>
    <w:p w14:paraId="5DE5F963"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Механізми, через які політичні меми здійснюють мобілізаційний вплив на аудиторію, можна розподілити на кілька основних груп. По-перше, це психологічні механізми, що включають емоційну активацію, формування групової ідентичності, когнітивні спрощення та гумористичний ефект. Емоційна складова політичних мемів часто стає каталізатором для переходу від пасивного сприйняття інформації до активних політичних дій [15; 67].</w:t>
      </w:r>
    </w:p>
    <w:p w14:paraId="5A9D3F07"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По-друге, це соціальні механізми, що проявляються через формування почуття спільності, соціальне схвалення певних політичних позицій, </w:t>
      </w:r>
      <w:r w:rsidRPr="00511005">
        <w:rPr>
          <w:rFonts w:ascii="Arial" w:eastAsia="Times New Roman" w:hAnsi="Arial" w:cs="Arial"/>
          <w:szCs w:val="28"/>
          <w:lang w:val="uk-UA" w:eastAsia="uk-UA"/>
        </w:rPr>
        <w:lastRenderedPageBreak/>
        <w:t>створення мережевих спільнот навколо політичних ідей та цінностей. Використання спільних мемів створює відчуття приналежності до певної політичної групи та посилює внутрішньогрупову солідарність [16; 213].</w:t>
      </w:r>
    </w:p>
    <w:p w14:paraId="5D87D73E"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По-третє, це комунікативні механізми, які реалізуються через спрощення складних політичних ідей, підвищення запам'ятовуваності політичних меседжів, забезпечення швидкого поширення інформації та подолання інформаційного шуму. Завдяки своїй лаконічності та виразності політичні меми здатні донести політичні ідеї навіть до аудиторій з низьким рівнем політичної грамотності [17; 95].</w:t>
      </w:r>
    </w:p>
    <w:p w14:paraId="3F594E59" w14:textId="77777777" w:rsidR="00DF77B5" w:rsidRPr="00511005" w:rsidRDefault="00DF77B5" w:rsidP="00CC7555">
      <w:pPr>
        <w:widowControl w:val="0"/>
        <w:autoSpaceDE w:val="0"/>
        <w:autoSpaceDN w:val="0"/>
        <w:spacing w:line="264" w:lineRule="auto"/>
        <w:rPr>
          <w:rFonts w:ascii="Arial" w:eastAsia="Times New Roman" w:hAnsi="Arial" w:cs="Arial"/>
          <w:b/>
          <w:bCs/>
          <w:szCs w:val="28"/>
          <w:lang w:val="uk-UA" w:eastAsia="uk-UA"/>
        </w:rPr>
      </w:pPr>
      <w:bookmarkStart w:id="338" w:name="Політичні_меми_в_сучасних_українських_ре"/>
      <w:bookmarkEnd w:id="338"/>
      <w:r w:rsidRPr="00511005">
        <w:rPr>
          <w:rFonts w:ascii="Arial" w:eastAsia="Times New Roman" w:hAnsi="Arial" w:cs="Arial"/>
          <w:b/>
          <w:bCs/>
          <w:szCs w:val="28"/>
          <w:lang w:val="uk-UA" w:eastAsia="uk-UA"/>
        </w:rPr>
        <w:t>Політичні меми в сучасних українських реаліях</w:t>
      </w:r>
    </w:p>
    <w:p w14:paraId="601F8A97"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Українська політична культура демонструє активне використання мемів як інструменту політичної мобілізації, особливо в контексті протестних рухів та під час виборчих кампаній. Так, під час Революції Гідності (2013-2014) з'явилася ціла низка мемів, що консолідували протестний рух та формували його ідентичність ("Онижедети", "Кулявлоб") [18; 124].</w:t>
      </w:r>
    </w:p>
    <w:p w14:paraId="3514B007"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Президентські вибори 2019 року стали справжнім "фестивалем політичних мемів", коли меметичні форми політичної комунікації активно використовувалися як офіційними штабами кандидатів, так і стихійно створювалися користувачами соціальних мереж. Показовим є приклад кандидата В. Зеленського, чия кампанія активно спиралася на меметичні форми комунікації, що значно посилило його електоральну мобілізацію серед молоді [19; 87].</w:t>
      </w:r>
    </w:p>
    <w:p w14:paraId="75B1C8F8"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Під час повномасштабного російського вторгнення 2022 року політичні меми стали важливим інструментом інформаційного спротиву та консолідації українського суспільства. Меми, пов'язані з островом Зміїний, Чорнобаївкою, російським крейсером "Москва", трактором і танком, не лише підтримували бойовий дух українців, але й сприяли формуванню позитивного наративу про Україну в міжнародному інформаційному просторі [20; 142].</w:t>
      </w:r>
    </w:p>
    <w:p w14:paraId="4077B66C" w14:textId="77777777" w:rsidR="00DF77B5" w:rsidRPr="00511005" w:rsidRDefault="00DF77B5" w:rsidP="00CC7555">
      <w:pPr>
        <w:widowControl w:val="0"/>
        <w:autoSpaceDE w:val="0"/>
        <w:autoSpaceDN w:val="0"/>
        <w:spacing w:line="264" w:lineRule="auto"/>
        <w:rPr>
          <w:rFonts w:ascii="Arial" w:eastAsia="Times New Roman" w:hAnsi="Arial" w:cs="Arial"/>
          <w:b/>
          <w:bCs/>
          <w:szCs w:val="28"/>
          <w:lang w:val="uk-UA" w:eastAsia="uk-UA"/>
        </w:rPr>
      </w:pPr>
      <w:bookmarkStart w:id="339" w:name="Висновки_та_перспективи_подальших_дослід"/>
      <w:bookmarkEnd w:id="339"/>
      <w:r w:rsidRPr="00511005">
        <w:rPr>
          <w:rFonts w:ascii="Arial" w:eastAsia="Times New Roman" w:hAnsi="Arial" w:cs="Arial"/>
          <w:b/>
          <w:bCs/>
          <w:szCs w:val="28"/>
          <w:lang w:val="uk-UA" w:eastAsia="uk-UA"/>
        </w:rPr>
        <w:t>Висновки та перспективи подальших досліджень</w:t>
      </w:r>
    </w:p>
    <w:p w14:paraId="4B9E2F77"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Політичні меми як нова форма масової мобілізації демонструють значний потенціал впливу на політичну поведінку громадян у цифрову епоху. Їх ефективність обумовлена поєднанням емоційного впливу, культурної релевантності, простоти сприйняття та вірусного характеру поширення. Водночас, політичні меми не варто розглядати як самодостатній інструмент політичної мобілізації – найбільший ефект вони демонструють у комплексі з іншими формами політичної комунікації.</w:t>
      </w:r>
    </w:p>
    <w:p w14:paraId="0E8FC718" w14:textId="77777777"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Перспективними напрямками подальших досліджень є вивчення довгострокових ефектів меметичних форм політичної комунікації, розробка методик кількісної оцінки мобілізаційного потенціалу політичних мемів, аналіз взаємодії традиційних та меметичних форм політичної мобілізації, а також дослідження особливостей функціонування політичних мемів у різних </w:t>
      </w:r>
      <w:r w:rsidRPr="00511005">
        <w:rPr>
          <w:rFonts w:ascii="Arial" w:eastAsia="Times New Roman" w:hAnsi="Arial" w:cs="Arial"/>
          <w:szCs w:val="28"/>
          <w:lang w:val="uk-UA" w:eastAsia="uk-UA"/>
        </w:rPr>
        <w:lastRenderedPageBreak/>
        <w:t>соціокультурних контекстах.</w:t>
      </w:r>
    </w:p>
    <w:p w14:paraId="3CD5958C" w14:textId="583F04C2" w:rsidR="00DF77B5" w:rsidRPr="00511005" w:rsidRDefault="00DF77B5" w:rsidP="00CC7555">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Також важливим завданням є розробка етичних та правових аспектів використання політичних мемів, особливо в контексті протидії дезінформації та маніпулятивним технологіям впливу на суспільну свідомість. Комплексне дослідження цих питань сприятиме формуванню більш глибокого розуміння трансформації політичної комунікації в цифрову епоху та вдосконаленню механізмів демократичної участі громадян у політичних процесах.</w:t>
      </w:r>
    </w:p>
    <w:p w14:paraId="04A679A5" w14:textId="77777777" w:rsidR="00CC7555" w:rsidRPr="00511005" w:rsidRDefault="00CC7555" w:rsidP="00CC7555">
      <w:pPr>
        <w:widowControl w:val="0"/>
        <w:autoSpaceDE w:val="0"/>
        <w:autoSpaceDN w:val="0"/>
        <w:spacing w:line="264" w:lineRule="auto"/>
        <w:rPr>
          <w:rFonts w:ascii="Arial" w:eastAsia="Times New Roman" w:hAnsi="Arial" w:cs="Arial"/>
          <w:szCs w:val="28"/>
          <w:lang w:val="uk-UA" w:eastAsia="uk-UA"/>
        </w:rPr>
      </w:pPr>
    </w:p>
    <w:p w14:paraId="68D6EDAE" w14:textId="09EABF48" w:rsidR="00DF77B5" w:rsidRPr="00511005" w:rsidRDefault="00DF77B5" w:rsidP="00693DFA">
      <w:pPr>
        <w:widowControl w:val="0"/>
        <w:autoSpaceDE w:val="0"/>
        <w:autoSpaceDN w:val="0"/>
        <w:spacing w:line="264" w:lineRule="auto"/>
        <w:ind w:firstLine="0"/>
        <w:jc w:val="center"/>
        <w:rPr>
          <w:rFonts w:ascii="Arial" w:eastAsia="Times New Roman" w:hAnsi="Arial" w:cs="Arial"/>
          <w:b/>
          <w:bCs/>
          <w:szCs w:val="28"/>
          <w:lang w:val="uk-UA" w:eastAsia="uk-UA"/>
        </w:rPr>
      </w:pPr>
      <w:bookmarkStart w:id="340" w:name="Список_використаної_літератури_"/>
      <w:bookmarkEnd w:id="340"/>
      <w:r w:rsidRPr="00511005">
        <w:rPr>
          <w:rFonts w:ascii="Arial" w:eastAsia="Times New Roman" w:hAnsi="Arial" w:cs="Arial"/>
          <w:b/>
          <w:bCs/>
          <w:szCs w:val="28"/>
          <w:lang w:val="uk-UA" w:eastAsia="uk-UA"/>
        </w:rPr>
        <w:t xml:space="preserve">Список </w:t>
      </w:r>
      <w:r w:rsidR="00875A11">
        <w:rPr>
          <w:rFonts w:ascii="Arial" w:eastAsia="Times New Roman" w:hAnsi="Arial" w:cs="Arial"/>
          <w:b/>
          <w:bCs/>
          <w:szCs w:val="28"/>
          <w:lang w:val="uk-UA" w:eastAsia="uk-UA"/>
        </w:rPr>
        <w:t>використаних джерел</w:t>
      </w:r>
    </w:p>
    <w:p w14:paraId="1869138A"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Докінз Р. Егоїстичний ген / Пер. з англ. Я. Лебеденка. Київ: КМ-Букс, 2017. 544 с.</w:t>
      </w:r>
    </w:p>
    <w:p w14:paraId="121F5B1E"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Denisyuk S., Korniienko V. Political Internet-memes as a Tool of Political Manipulation // Політичне життя. 2020. №1. С. 8-17.</w:t>
      </w:r>
    </w:p>
    <w:p w14:paraId="57F75A66"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Шомова С. А. Политический интернет-мем: сущность, специфика, разновидности // Бизнес. Общество. Власть. 2015. № 22. С. 28-41.</w:t>
      </w:r>
    </w:p>
    <w:p w14:paraId="4753E65A"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Броди Р. Психические вирусы. Как программируют ваше сознание. М.: Поколение, 2007. 304 с.</w:t>
      </w:r>
    </w:p>
    <w:p w14:paraId="78B8E8BA"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Shifman L. Memes in Digital Culture. Cambridge, MA: The MIT Press, 2014. 200 p.</w:t>
      </w:r>
    </w:p>
    <w:p w14:paraId="68C52632"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Wiggins B. E. The Discursive Power of Memes in Digital Culture: Ideology, Semiotics, and Intertextuality. New York: Routledge, 2019. 184 p.</w:t>
      </w:r>
    </w:p>
    <w:p w14:paraId="6E574B77"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Горошко О. І., Полякова Т. Л. Інтернет-жанр і функціонування мови в Інтернеті: спроба рефлексії // Жанри мови. 2015. № 2. С. 11-27.</w:t>
      </w:r>
    </w:p>
    <w:p w14:paraId="25F70560"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Davison P. The Language of Internet Memes // The Social Media Reader / Ed. by M. Mandiberg. New York: NYU Press, 2012. P. 120-134.</w:t>
      </w:r>
    </w:p>
    <w:p w14:paraId="1095F225"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Jenkins H. Convergence Culture: Where Old and New Media Collide. New York: NYU Press, 2006. 368 p.</w:t>
      </w:r>
    </w:p>
    <w:p w14:paraId="637726BE"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Huntington H. E. Pepper Spray Cop and the American Dream: Using Synecdoche and Metaphor to Unlock Internet Memes' Visual Political Rhetoric // Communication Studies. 2016. Vol. 67. № 1. P. 77-93.</w:t>
      </w:r>
    </w:p>
    <w:p w14:paraId="6D1634CA"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Highfield T. Social Media and Everyday Politics. Cambridge: Polity Press, 2016. 224 p.</w:t>
      </w:r>
    </w:p>
    <w:p w14:paraId="07F42D8F"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Milner R. M. The World Made Meme: Public Conversations and Participatory Media. Cambridge, MA: The MIT Press, 2016. 272 p.</w:t>
      </w:r>
    </w:p>
    <w:p w14:paraId="3D848A4F"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Ross A. S., Rivers D. J. Digital cultures of political participation: Internet memes and the discursive delegitimization of the 2016 U.S Presidential candidates // Discourse, Context &amp; Media. 2017. Vol. 16. P. 1-11.</w:t>
      </w:r>
    </w:p>
    <w:p w14:paraId="20BADDDB"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Мартинюк А. П. Інтернет-меми як засіб політичної комунікації // Наукові записки Національного університету "Острозька академія". Серія: Філологічна. 2015. Вип. 56. С. 184-186.</w:t>
      </w:r>
    </w:p>
    <w:p w14:paraId="3BDDD647"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lastRenderedPageBreak/>
        <w:t>Zappavigna M. Internet memes // The Cambridge Handbook of Discourse Studies / Ed. by A. De Fina and A. Georgakopoulou. Cambridge: Cambridge University Press, 2020. P. 803-822.</w:t>
      </w:r>
    </w:p>
    <w:p w14:paraId="487232B7"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Дойчик О. Я. Інтернет-меми українського походження в когнітивному та функціонально-прагматичному вимірах: дис. канд. філол. наук. Івано-Франківськ, 2021. 260 с.</w:t>
      </w:r>
    </w:p>
    <w:p w14:paraId="601076E9"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Почепцов Г. Г. Від Facebook'у і гламуру до Wikileaks: медіакомунікації. Київ: Спадщина, 2012. 464 с.</w:t>
      </w:r>
    </w:p>
    <w:p w14:paraId="72AEC014"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Магда Є. В. Гібридна війна: вижити і перемогти. Харків: Віват, 2015. 304 с.</w:t>
      </w:r>
    </w:p>
    <w:p w14:paraId="350BADA3" w14:textId="77777777" w:rsidR="00DF77B5" w:rsidRPr="00511005" w:rsidRDefault="00DF77B5" w:rsidP="003F6A5D">
      <w:pPr>
        <w:widowControl w:val="0"/>
        <w:numPr>
          <w:ilvl w:val="0"/>
          <w:numId w:val="808"/>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Золотухін Д. Ю., Черниш Р. Ф. Інформаційно-психологічний вплив у творенні внутрішньої та зовнішньої політики держави в умовах гібридної агресії // Український часопис міжнародного права. 2021. № 4. С. 111-118.</w:t>
      </w:r>
    </w:p>
    <w:p w14:paraId="1C110F1F" w14:textId="47775AD5" w:rsidR="00DF77B5" w:rsidRPr="00511005" w:rsidRDefault="007B2628" w:rsidP="00693DFA">
      <w:pPr>
        <w:widowControl w:val="0"/>
        <w:autoSpaceDE w:val="0"/>
        <w:autoSpaceDN w:val="0"/>
        <w:spacing w:line="264" w:lineRule="auto"/>
        <w:ind w:firstLine="0"/>
        <w:jc w:val="left"/>
        <w:rPr>
          <w:rFonts w:ascii="Arial" w:eastAsia="Times New Roman" w:hAnsi="Arial" w:cs="Arial"/>
          <w:i/>
          <w:szCs w:val="28"/>
          <w:lang w:val="uk-UA" w:eastAsia="uk-UA"/>
        </w:rPr>
      </w:pPr>
      <w:r w:rsidRPr="00511005">
        <w:rPr>
          <w:rFonts w:ascii="Arial" w:eastAsia="Times New Roman" w:hAnsi="Arial" w:cs="Arial"/>
          <w:b/>
          <w:i/>
          <w:szCs w:val="28"/>
          <w:lang w:val="uk-UA" w:eastAsia="uk-UA"/>
        </w:rPr>
        <w:t xml:space="preserve">Ключові слова: </w:t>
      </w:r>
      <w:r w:rsidR="00DF77B5" w:rsidRPr="00511005">
        <w:rPr>
          <w:rFonts w:ascii="Arial" w:eastAsia="Times New Roman" w:hAnsi="Arial" w:cs="Arial"/>
          <w:i/>
          <w:szCs w:val="28"/>
          <w:lang w:val="uk-UA" w:eastAsia="uk-UA"/>
        </w:rPr>
        <w:t>політичні меми, масова мобілізація, цифрова комунікація, політична участь, інтернет-культура, візуальні меседжі, вірусне поширення, емоційний вплив, політична ідентичність, медіаактивізм</w:t>
      </w:r>
    </w:p>
    <w:p w14:paraId="557DE7FC" w14:textId="44EEA55B" w:rsidR="00DF77B5" w:rsidRPr="00511005" w:rsidRDefault="007B2628" w:rsidP="00693DFA">
      <w:pPr>
        <w:widowControl w:val="0"/>
        <w:autoSpaceDE w:val="0"/>
        <w:autoSpaceDN w:val="0"/>
        <w:spacing w:line="264" w:lineRule="auto"/>
        <w:ind w:firstLine="0"/>
        <w:jc w:val="left"/>
        <w:rPr>
          <w:rFonts w:ascii="Arial" w:eastAsia="Times New Roman" w:hAnsi="Arial" w:cs="Arial"/>
          <w:i/>
          <w:szCs w:val="28"/>
          <w:lang w:val="uk-UA" w:eastAsia="uk-UA"/>
        </w:rPr>
      </w:pPr>
      <w:r w:rsidRPr="00511005">
        <w:rPr>
          <w:rFonts w:ascii="Arial" w:eastAsia="Times New Roman" w:hAnsi="Arial" w:cs="Arial"/>
          <w:b/>
          <w:bCs/>
          <w:i/>
          <w:iCs/>
          <w:szCs w:val="28"/>
          <w:lang w:val="uk-UA" w:eastAsia="uk-UA"/>
        </w:rPr>
        <w:t xml:space="preserve">Key words: </w:t>
      </w:r>
      <w:r w:rsidR="00DF77B5" w:rsidRPr="00511005">
        <w:rPr>
          <w:rFonts w:ascii="Arial" w:eastAsia="Times New Roman" w:hAnsi="Arial" w:cs="Arial"/>
          <w:i/>
          <w:szCs w:val="28"/>
          <w:lang w:val="uk-UA" w:eastAsia="uk-UA"/>
        </w:rPr>
        <w:t>political memes, mass mobilization, digital communication, political participation, internet culture, visual messages, viral dissemination, emotional impact, political identity, media activism</w:t>
      </w:r>
    </w:p>
    <w:p w14:paraId="5A399293" w14:textId="4A92B931" w:rsidR="00DF77B5" w:rsidRPr="00511005" w:rsidRDefault="00DF77B5" w:rsidP="00693DFA">
      <w:pPr>
        <w:widowControl w:val="0"/>
        <w:autoSpaceDE w:val="0"/>
        <w:autoSpaceDN w:val="0"/>
        <w:spacing w:line="264" w:lineRule="auto"/>
        <w:ind w:firstLine="0"/>
        <w:jc w:val="left"/>
        <w:rPr>
          <w:rFonts w:ascii="Arial" w:eastAsia="Times New Roman" w:hAnsi="Arial" w:cs="Arial"/>
          <w:i/>
          <w:szCs w:val="28"/>
          <w:lang w:val="uk-UA" w:eastAsia="uk-UA"/>
        </w:rPr>
      </w:pPr>
      <w:r w:rsidRPr="00511005">
        <w:rPr>
          <w:rFonts w:ascii="Arial" w:eastAsia="Times New Roman" w:hAnsi="Arial" w:cs="Arial"/>
          <w:b/>
          <w:bCs/>
          <w:i/>
          <w:szCs w:val="28"/>
          <w:lang w:val="uk-UA" w:eastAsia="uk-UA"/>
        </w:rPr>
        <w:t>Науковий керівник:</w:t>
      </w:r>
      <w:r w:rsidR="00693DFA" w:rsidRPr="00511005">
        <w:rPr>
          <w:rFonts w:ascii="Arial" w:eastAsia="Times New Roman" w:hAnsi="Arial" w:cs="Arial"/>
          <w:i/>
          <w:szCs w:val="28"/>
          <w:lang w:val="uk-UA" w:eastAsia="uk-UA"/>
        </w:rPr>
        <w:t xml:space="preserve"> </w:t>
      </w:r>
      <w:r w:rsidRPr="00511005">
        <w:rPr>
          <w:rFonts w:ascii="Arial" w:eastAsia="Times New Roman" w:hAnsi="Arial" w:cs="Arial"/>
          <w:i/>
          <w:szCs w:val="28"/>
          <w:lang w:val="uk-UA" w:eastAsia="uk-UA"/>
        </w:rPr>
        <w:t>асистент кафедри, доктор філософії з політології Лисянський П</w:t>
      </w:r>
      <w:r w:rsidR="00B0230F">
        <w:rPr>
          <w:rFonts w:ascii="Arial" w:eastAsia="Times New Roman" w:hAnsi="Arial" w:cs="Arial"/>
          <w:i/>
          <w:szCs w:val="28"/>
          <w:lang w:val="uk-UA" w:eastAsia="uk-UA"/>
        </w:rPr>
        <w:t>.</w:t>
      </w:r>
      <w:r w:rsidRPr="00511005">
        <w:rPr>
          <w:rFonts w:ascii="Arial" w:eastAsia="Times New Roman" w:hAnsi="Arial" w:cs="Arial"/>
          <w:i/>
          <w:szCs w:val="28"/>
          <w:lang w:val="uk-UA" w:eastAsia="uk-UA"/>
        </w:rPr>
        <w:t xml:space="preserve"> Л</w:t>
      </w:r>
      <w:r w:rsidR="00B0230F">
        <w:rPr>
          <w:rFonts w:ascii="Arial" w:eastAsia="Times New Roman" w:hAnsi="Arial" w:cs="Arial"/>
          <w:i/>
          <w:szCs w:val="28"/>
          <w:lang w:val="uk-UA" w:eastAsia="uk-UA"/>
        </w:rPr>
        <w:t>.</w:t>
      </w:r>
    </w:p>
    <w:p w14:paraId="6DB8FE0C" w14:textId="77777777" w:rsidR="00DF77B5" w:rsidRPr="00511005" w:rsidRDefault="00DF77B5" w:rsidP="00693DFA">
      <w:pPr>
        <w:widowControl w:val="0"/>
        <w:autoSpaceDE w:val="0"/>
        <w:autoSpaceDN w:val="0"/>
        <w:spacing w:line="264" w:lineRule="auto"/>
        <w:ind w:firstLine="0"/>
        <w:jc w:val="left"/>
        <w:rPr>
          <w:rFonts w:ascii="Arial" w:eastAsia="Times New Roman" w:hAnsi="Arial" w:cs="Arial"/>
          <w:i/>
          <w:szCs w:val="28"/>
          <w:lang w:val="uk-UA" w:eastAsia="uk-UA"/>
        </w:rPr>
      </w:pPr>
    </w:p>
    <w:p w14:paraId="6CF6FABB" w14:textId="77777777" w:rsidR="00DF77B5" w:rsidRPr="00511005" w:rsidRDefault="00DF77B5" w:rsidP="00693DFA">
      <w:pPr>
        <w:widowControl w:val="0"/>
        <w:autoSpaceDE w:val="0"/>
        <w:autoSpaceDN w:val="0"/>
        <w:spacing w:line="264" w:lineRule="auto"/>
        <w:ind w:firstLine="0"/>
        <w:jc w:val="center"/>
        <w:rPr>
          <w:rFonts w:ascii="Arial" w:eastAsia="Times New Roman" w:hAnsi="Arial" w:cs="Arial"/>
          <w:b/>
          <w:i/>
          <w:iCs/>
          <w:szCs w:val="28"/>
          <w:lang w:val="uk-UA" w:eastAsia="uk-UA"/>
        </w:rPr>
      </w:pPr>
      <w:r w:rsidRPr="00511005">
        <w:rPr>
          <w:rFonts w:ascii="Arial" w:eastAsia="Times New Roman" w:hAnsi="Arial" w:cs="Arial"/>
          <w:b/>
          <w:i/>
          <w:iCs/>
          <w:szCs w:val="28"/>
          <w:lang w:val="uk-UA" w:eastAsia="uk-UA"/>
        </w:rPr>
        <w:t>Тищенко Дар’я Олексіївна</w:t>
      </w:r>
    </w:p>
    <w:p w14:paraId="7187A3D1" w14:textId="77777777" w:rsidR="00693DFA" w:rsidRPr="00511005" w:rsidRDefault="00DF77B5" w:rsidP="00693DFA">
      <w:pPr>
        <w:widowControl w:val="0"/>
        <w:autoSpaceDE w:val="0"/>
        <w:autoSpaceDN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студентка 1-го курсу </w:t>
      </w:r>
      <w:r w:rsidR="00536AAB" w:rsidRPr="00511005">
        <w:rPr>
          <w:rFonts w:ascii="Arial" w:eastAsia="Times New Roman" w:hAnsi="Arial" w:cs="Arial"/>
          <w:szCs w:val="28"/>
          <w:lang w:val="uk-UA" w:eastAsia="uk-UA"/>
        </w:rPr>
        <w:t>факультету журналістики</w:t>
      </w:r>
      <w:r w:rsidRPr="00511005">
        <w:rPr>
          <w:rFonts w:ascii="Arial" w:eastAsia="Times New Roman" w:hAnsi="Arial" w:cs="Arial"/>
          <w:szCs w:val="28"/>
          <w:lang w:val="uk-UA" w:eastAsia="uk-UA"/>
        </w:rPr>
        <w:t xml:space="preserve"> </w:t>
      </w:r>
    </w:p>
    <w:p w14:paraId="59FDD92F" w14:textId="3CE4E3D8" w:rsidR="00DF77B5" w:rsidRPr="00511005" w:rsidRDefault="007B2628" w:rsidP="00693DFA">
      <w:pPr>
        <w:widowControl w:val="0"/>
        <w:autoSpaceDE w:val="0"/>
        <w:autoSpaceDN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szCs w:val="28"/>
          <w:lang w:val="uk-UA" w:eastAsia="uk-UA"/>
        </w:rPr>
        <w:t>Національного університету «Одеська юридична академія»</w:t>
      </w:r>
    </w:p>
    <w:p w14:paraId="3405990E" w14:textId="77777777" w:rsidR="00693DFA" w:rsidRPr="00511005" w:rsidRDefault="00693DFA" w:rsidP="00693DFA">
      <w:pPr>
        <w:widowControl w:val="0"/>
        <w:autoSpaceDE w:val="0"/>
        <w:autoSpaceDN w:val="0"/>
        <w:spacing w:line="264" w:lineRule="auto"/>
        <w:ind w:firstLine="0"/>
        <w:jc w:val="center"/>
        <w:rPr>
          <w:rFonts w:ascii="Arial" w:eastAsia="Times New Roman" w:hAnsi="Arial" w:cs="Arial"/>
          <w:szCs w:val="28"/>
          <w:lang w:val="uk-UA" w:eastAsia="uk-UA"/>
        </w:rPr>
      </w:pPr>
    </w:p>
    <w:p w14:paraId="7A81C6A6" w14:textId="77777777" w:rsidR="00DF77B5" w:rsidRPr="00511005" w:rsidRDefault="00DF77B5" w:rsidP="00693DFA">
      <w:pPr>
        <w:widowControl w:val="0"/>
        <w:autoSpaceDE w:val="0"/>
        <w:autoSpaceDN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УКРАЇНА В ЦЕНТРІ ГЕОПОЛІТИЧНОЇ ПЕРИФЕРІЇ: ВИКЛИКИ ТА ПЕРСПЕКТИВИ У ХХІ СТОЛІТТІ</w:t>
      </w:r>
    </w:p>
    <w:p w14:paraId="5FAEC1B1" w14:textId="77777777" w:rsidR="00DF77B5" w:rsidRPr="00511005" w:rsidRDefault="00DF77B5" w:rsidP="00693DFA">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Україна у XXI столітті зіткнулася з безпрецедентними випробуваннями, зокрема через російську агресію, економічнi труднощі та необхідність інтеграції в європейські структури. Її стратегічне розташування в центрі геополітичних інтересів, визначається конкуренцією між Заходом i Сходом, а також обмеженим впливом на формування глобальної політики. Геополiтична периферія — це простір між центрами сили, вразливий до впливу зовнішніх гравців. Саме в цьому стані й опинилася Україна, що зумовлює необхідність балансування між західною підтримкою та ризиками ескалації з росією. </w:t>
      </w:r>
    </w:p>
    <w:p w14:paraId="4E499903" w14:textId="54219350" w:rsidR="00DF77B5" w:rsidRPr="00511005" w:rsidRDefault="00DF77B5" w:rsidP="00693DFA">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Російська агресія стала проявом геополітичної боротьби за контроль над пострадянським простором, де Україна виступає буферною зоною між росією та Заходом. Цей виклик ускладнює внутрішню стабільність, оскільки війна спричинила гуманітарну кризу, економічний спад i соціальну напругу. </w:t>
      </w:r>
      <w:r w:rsidRPr="00511005">
        <w:rPr>
          <w:rFonts w:ascii="Arial" w:eastAsia="Times New Roman" w:hAnsi="Arial" w:cs="Arial"/>
          <w:szCs w:val="28"/>
          <w:lang w:val="uk-UA" w:eastAsia="uk-UA"/>
        </w:rPr>
        <w:lastRenderedPageBreak/>
        <w:t>Водночас конфлікт стимулював консолідацію української нації та прискорив реформи, спрямовані на зміцнення обороноздатності та інтеграцію із захiдними структурами. Таким чином, російська агресія є як загрозою, так і каталізатором для трансформацiї України. [6, с. 33].</w:t>
      </w:r>
      <w:r w:rsidR="007B2628" w:rsidRPr="00511005">
        <w:rPr>
          <w:rFonts w:ascii="Arial" w:eastAsia="Times New Roman" w:hAnsi="Arial" w:cs="Arial"/>
          <w:szCs w:val="28"/>
          <w:lang w:val="uk-UA" w:eastAsia="uk-UA"/>
        </w:rPr>
        <w:t xml:space="preserve"> </w:t>
      </w:r>
    </w:p>
    <w:p w14:paraId="787FEFA3" w14:textId="77777777" w:rsidR="00DF77B5" w:rsidRPr="00511005" w:rsidRDefault="00DF77B5" w:rsidP="00693DFA">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умовах повномасштабної війни, розв’язаної росiєю, геополiтичне становище України поступово трансформується від пасивного об’єкта впливу в активного учасника мiжнародної системи, що потребує посилення суверенітету, безпеки, економічної стійкості й дипломатичної гнучкостi.</w:t>
      </w:r>
    </w:p>
    <w:p w14:paraId="5F194177" w14:textId="77777777" w:rsidR="00DF77B5" w:rsidRPr="00511005" w:rsidRDefault="00DF77B5" w:rsidP="00693DFA">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Україна розташована в самому серці Європи i тому має стратегічне значення для безпеки євроатлантичного регіону. Водночас, така позиція створює буфер між росiєю, яка прагне відновити свій вплив у пострадянському світі, та захiдними країнами, що пропагують iдеали демократії, прав людини та ринкової економiки. Геополітична периферiйність проявляється у слабкій здатності чинити вплив на зовнiшніх акторiв, але водночас і в надмiрній чутливості до зовнішнiх впливів. Як зауважує В. Юрчишин у дослiдженні Центру Разумкова, «Україна виявилася у центрі нової холодної війни, що має всі риси гарячого конфлiкту». [2, с. 72].</w:t>
      </w:r>
    </w:p>
    <w:p w14:paraId="66F158CE" w14:textId="77777777" w:rsidR="00DF77B5" w:rsidRPr="00511005" w:rsidRDefault="00DF77B5" w:rsidP="00693DFA">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Ситуація різко змiнилася пiсля 2014 року, коли росiя анексувала Крим і розпочала збройну агресію на Донбасi. Повномасштабне вторгнення 2022 року стало поворотним моментом в iсторії сучасної геополiтики, в якому Україна опинилася на передовій захисту захiдного світу. Водночас, конфлікт виявив структурні слабкості української держави, від енергетичної залежностi до внутрiшньої полiтичної нестабiльності. [5, с. 278].</w:t>
      </w:r>
    </w:p>
    <w:p w14:paraId="53E8CA3A" w14:textId="77777777" w:rsidR="00DF77B5" w:rsidRPr="00511005" w:rsidRDefault="00DF77B5" w:rsidP="00693DFA">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По-перше, найсерйознішим викликом є війна з рф, яка має не лише військовий вимiр, а й полiтичний, економiчний та iнформаційний. В умовах своєї геополiтичної периферiї війна стала важливим iнструментом впливу для росії, яка прагне повернути Україну у сферу свого контролю, перешкоджаючи її євроатлантичнiй iнтеграції. Водночас конфлікт об'єднав українське суспільство, прискорив розвиток національної iдентичності та змiцнив внутрiшню суб'єктнiсть держави.</w:t>
      </w:r>
    </w:p>
    <w:p w14:paraId="24A2E26C" w14:textId="77777777" w:rsidR="00DF77B5" w:rsidRPr="00511005" w:rsidRDefault="00DF77B5" w:rsidP="00693DFA">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Другим викликом є складний процес iнтеграції до НАТО та Європейського Союзу. З одного боку, прозахідна орієнтація дозволяє Українi надавати фiнансову допомогу, технологiї та безпеку. Але потрiбні також радикальні реформи, боротьба з корупцією та модернізація економiки. Як зазначено в аналітичному огляді Ботвiнова, iнтеграція України «є водночас джерелом натхнення та полiтичного тиску». [1, с. 12].</w:t>
      </w:r>
    </w:p>
    <w:p w14:paraId="17D50A6D" w14:textId="77777777" w:rsidR="00DF77B5" w:rsidRPr="00511005" w:rsidRDefault="00DF77B5" w:rsidP="00693DFA">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Економiчна нестійкiсть та внутрішня полiтична нестабiльність виступають третiм визначальним чинником, який гальмує реалiзацію стратегiчних цiлей України. Втрата промислового потенцiалу на Донбасi, масштабне руйнування iнфраструктури та енергетична залежнiсть від iмпорту створюють додатковi виклики для стабiльності держави. Водночас країна має вагомі шанси на прорив у сферах iнформаційних технологій, </w:t>
      </w:r>
      <w:r w:rsidRPr="00511005">
        <w:rPr>
          <w:rFonts w:ascii="Arial" w:eastAsia="Times New Roman" w:hAnsi="Arial" w:cs="Arial"/>
          <w:szCs w:val="28"/>
          <w:lang w:val="uk-UA" w:eastAsia="uk-UA"/>
        </w:rPr>
        <w:lastRenderedPageBreak/>
        <w:t>сiльського господарства та вiдновлюваної енергетики. Захiдна допомога (економiчна, оборонна та дипломатична) необхідна для стримування зовнiшньої агресії та пiдтримки економіки, але часто супроводжується вимогами внутрiшніх реформ, що створює полiтичний тиск на уряди. Геополітична переферiя змушує Україну балансувати iнтересами рiзних партнерів, зберiгаючи при цьому автономiю на шляху свого розвитку. Активна зовнішня полiтика та участь у міжнародних iніціативах відкривають можливостi перетворення України з об'єкта впливу на самостійного суб'єкта мiжнародних вiдносин. [4].</w:t>
      </w:r>
    </w:p>
    <w:p w14:paraId="62FDAC1F" w14:textId="77777777" w:rsidR="00DF77B5" w:rsidRPr="00511005" w:rsidRDefault="00DF77B5" w:rsidP="00693DFA">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Окрему увагу слід приділити складним загрозам дезiнформації, кiбератакам та втручанням у вибори. Україна перебуває під постійним iнформаційним тиском з боку росії, яка прагне підірвати довіру до уряду, посіяти паніку та вплинути на полiтичні переконання свого народу. Як зазначає Ковальова, «iнформаційні вiйни стали елементом щоденного геополiтичного протистояння». [3, с. 64]. У відповідь Україна посилює кiбербезпеку, блокує ворожі медiа, розвиває стратегiчні комунiкації. </w:t>
      </w:r>
    </w:p>
    <w:p w14:paraId="38C107C4" w14:textId="77777777" w:rsidR="00DF77B5" w:rsidRPr="00511005" w:rsidRDefault="00DF77B5" w:rsidP="00693DFA">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Мiжнародні та регiональні органiзації сприяють вирiшенню конфліктів через дiалог і медiацію, проте їхню ефективність обмежує залежнiсть від політичної волі впливових держав. Прогрес в iнтеграцiї з ЄС та НАТО, розвиток у секторі iнформаційних технологій, підвищення енергетичної незалежності та підтримка західних партнерiв сприяли підвищенню міжнародного престижу України. Водночас важливу роль у геополітичному контексті відiграють також внутрішня трансформація України, ефективне реагування на багатограннi загрози та активне використання культурної дипломатiї. Все це важливі фактори змiцнення зовнішньополітичної автономiї країни. Якщо Україна зможе підтримувати стратегiчний баланс і стабiльно просувати реформи, вона матиме можливiсть перетворитися з великої держави на передового гравця в мiжнародній полiтицi.</w:t>
      </w:r>
    </w:p>
    <w:p w14:paraId="6053B042" w14:textId="2F66546C" w:rsidR="00DF77B5" w:rsidRPr="00511005" w:rsidRDefault="00DF77B5" w:rsidP="00693DFA">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bCs/>
          <w:szCs w:val="28"/>
          <w:lang w:val="uk-UA" w:eastAsia="uk-UA"/>
        </w:rPr>
        <w:t>Отже</w:t>
      </w:r>
      <w:r w:rsidRPr="00511005">
        <w:rPr>
          <w:rFonts w:ascii="Arial" w:eastAsia="Times New Roman" w:hAnsi="Arial" w:cs="Arial"/>
          <w:b/>
          <w:bCs/>
          <w:szCs w:val="28"/>
          <w:lang w:val="uk-UA" w:eastAsia="uk-UA"/>
        </w:rPr>
        <w:t xml:space="preserve">, </w:t>
      </w:r>
      <w:r w:rsidRPr="00511005">
        <w:rPr>
          <w:rFonts w:ascii="Arial" w:eastAsia="Times New Roman" w:hAnsi="Arial" w:cs="Arial"/>
          <w:szCs w:val="28"/>
          <w:lang w:val="uk-UA" w:eastAsia="uk-UA"/>
        </w:rPr>
        <w:t xml:space="preserve">Україна в умовах війни продовжує формувати нову iдентичність у геополiтичному просторi. Вона залишається уразливою, але завдяки проактивній полiтиці, національній єдностi та мiжнародній підтримцi має унікальну можливiсть перетворити своє маргiнальне становище на силу. Здатнiсть адаптуватися до мiнливих обставин, використовувати можливостi та гнучко реагувати у складному геополiтичному контекстi матиме вирiшальне значення для того, щоб Україна стала актором у новому євроiнтеграційному просторi. </w:t>
      </w:r>
    </w:p>
    <w:p w14:paraId="03C18BA7" w14:textId="77777777" w:rsidR="00693DFA" w:rsidRPr="00511005" w:rsidRDefault="00693DFA" w:rsidP="00693DFA">
      <w:pPr>
        <w:widowControl w:val="0"/>
        <w:autoSpaceDE w:val="0"/>
        <w:autoSpaceDN w:val="0"/>
        <w:spacing w:line="264" w:lineRule="auto"/>
        <w:rPr>
          <w:rFonts w:ascii="Arial" w:eastAsia="Times New Roman" w:hAnsi="Arial" w:cs="Arial"/>
          <w:szCs w:val="28"/>
          <w:lang w:val="uk-UA" w:eastAsia="uk-UA"/>
        </w:rPr>
      </w:pPr>
    </w:p>
    <w:p w14:paraId="059DCDD0" w14:textId="15F677C6" w:rsidR="00DF77B5" w:rsidRPr="00511005" w:rsidRDefault="007B2628" w:rsidP="006A743E">
      <w:pPr>
        <w:widowControl w:val="0"/>
        <w:autoSpaceDE w:val="0"/>
        <w:autoSpaceDN w:val="0"/>
        <w:spacing w:line="264" w:lineRule="auto"/>
        <w:ind w:left="709"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Список використаних джерел</w:t>
      </w:r>
    </w:p>
    <w:p w14:paraId="11ED6561" w14:textId="77777777" w:rsidR="00DF77B5" w:rsidRPr="00511005" w:rsidRDefault="00DF77B5" w:rsidP="003F6A5D">
      <w:pPr>
        <w:widowControl w:val="0"/>
        <w:numPr>
          <w:ilvl w:val="0"/>
          <w:numId w:val="799"/>
        </w:numPr>
        <w:autoSpaceDE w:val="0"/>
        <w:autoSpaceDN w:val="0"/>
        <w:spacing w:line="264" w:lineRule="auto"/>
        <w:jc w:val="left"/>
        <w:rPr>
          <w:rFonts w:ascii="Arial" w:eastAsia="Times New Roman" w:hAnsi="Arial" w:cs="Arial"/>
          <w:bCs/>
          <w:szCs w:val="28"/>
          <w:lang w:val="uk-UA" w:eastAsia="uk-UA"/>
        </w:rPr>
      </w:pPr>
      <w:r w:rsidRPr="00511005">
        <w:rPr>
          <w:rFonts w:ascii="Arial" w:eastAsia="Times New Roman" w:hAnsi="Arial" w:cs="Arial"/>
          <w:bCs/>
          <w:szCs w:val="28"/>
          <w:lang w:val="uk-UA" w:eastAsia="uk-UA"/>
        </w:rPr>
        <w:t xml:space="preserve">Ботвінов Р. Питання зовнішньої політики України в контексті євроатлантичної інтеграції / А. Гірман, Т. Грачевська. Геополітика України: історія і сучасність. 2021. № 2 (27). С. 9–17. </w:t>
      </w:r>
    </w:p>
    <w:p w14:paraId="5B56F249" w14:textId="77777777" w:rsidR="00DF77B5" w:rsidRPr="00511005" w:rsidRDefault="00DF77B5" w:rsidP="003F6A5D">
      <w:pPr>
        <w:widowControl w:val="0"/>
        <w:numPr>
          <w:ilvl w:val="0"/>
          <w:numId w:val="799"/>
        </w:numPr>
        <w:autoSpaceDE w:val="0"/>
        <w:autoSpaceDN w:val="0"/>
        <w:spacing w:line="264" w:lineRule="auto"/>
        <w:jc w:val="left"/>
        <w:rPr>
          <w:rFonts w:ascii="Arial" w:eastAsia="Times New Roman" w:hAnsi="Arial" w:cs="Arial"/>
          <w:bCs/>
          <w:szCs w:val="28"/>
          <w:lang w:val="uk-UA" w:eastAsia="uk-UA"/>
        </w:rPr>
      </w:pPr>
      <w:r w:rsidRPr="00511005">
        <w:rPr>
          <w:rFonts w:ascii="Arial" w:eastAsia="Times New Roman" w:hAnsi="Arial" w:cs="Arial"/>
          <w:szCs w:val="28"/>
          <w:lang w:val="uk-UA" w:eastAsia="uk-UA"/>
        </w:rPr>
        <w:t xml:space="preserve">Геополітичні та геоекономічні зміни, формовані під впливом </w:t>
      </w:r>
      <w:r w:rsidRPr="00511005">
        <w:rPr>
          <w:rFonts w:ascii="Arial" w:eastAsia="Times New Roman" w:hAnsi="Arial" w:cs="Arial"/>
          <w:szCs w:val="28"/>
          <w:lang w:val="uk-UA" w:eastAsia="uk-UA"/>
        </w:rPr>
        <w:lastRenderedPageBreak/>
        <w:t>російської агресії, та оновлення місця України у світовому просторі / наук. ред. В. Юрчишин. Київ : Центр Разумкова, 2022. 103 с.</w:t>
      </w:r>
    </w:p>
    <w:p w14:paraId="3199AF44" w14:textId="77777777" w:rsidR="00DF77B5" w:rsidRPr="00511005" w:rsidRDefault="00DF77B5" w:rsidP="003F6A5D">
      <w:pPr>
        <w:widowControl w:val="0"/>
        <w:numPr>
          <w:ilvl w:val="0"/>
          <w:numId w:val="799"/>
        </w:numPr>
        <w:autoSpaceDE w:val="0"/>
        <w:autoSpaceDN w:val="0"/>
        <w:spacing w:line="264" w:lineRule="auto"/>
        <w:jc w:val="left"/>
        <w:rPr>
          <w:rFonts w:ascii="Arial" w:eastAsia="Times New Roman" w:hAnsi="Arial" w:cs="Arial"/>
          <w:bCs/>
          <w:szCs w:val="28"/>
          <w:lang w:val="uk-UA" w:eastAsia="uk-UA"/>
        </w:rPr>
      </w:pPr>
      <w:r w:rsidRPr="00511005">
        <w:rPr>
          <w:rFonts w:ascii="Arial" w:eastAsia="Times New Roman" w:hAnsi="Arial" w:cs="Arial"/>
          <w:bCs/>
          <w:szCs w:val="28"/>
          <w:lang w:val="uk-UA" w:eastAsia="uk-UA"/>
        </w:rPr>
        <w:t xml:space="preserve">Ковальова К. І. Міжнародні конфлікти: сутність, причини виникнення, шляхи розв’язання / Л. М. Богадьорова. Науковий вісник Чернівецького університету: Географія. 2018. Вип. 795. С. 63–67. </w:t>
      </w:r>
    </w:p>
    <w:p w14:paraId="6FE587E3" w14:textId="77777777" w:rsidR="00DF77B5" w:rsidRPr="00511005" w:rsidRDefault="00DF77B5" w:rsidP="003F6A5D">
      <w:pPr>
        <w:widowControl w:val="0"/>
        <w:numPr>
          <w:ilvl w:val="0"/>
          <w:numId w:val="799"/>
        </w:numPr>
        <w:autoSpaceDE w:val="0"/>
        <w:autoSpaceDN w:val="0"/>
        <w:spacing w:line="264" w:lineRule="auto"/>
        <w:jc w:val="left"/>
        <w:rPr>
          <w:rFonts w:ascii="Arial" w:eastAsia="Times New Roman" w:hAnsi="Arial" w:cs="Arial"/>
          <w:bCs/>
          <w:szCs w:val="28"/>
          <w:lang w:val="uk-UA" w:eastAsia="uk-UA"/>
        </w:rPr>
      </w:pPr>
      <w:r w:rsidRPr="00511005">
        <w:rPr>
          <w:rFonts w:ascii="Arial" w:eastAsia="Times New Roman" w:hAnsi="Arial" w:cs="Arial"/>
          <w:szCs w:val="28"/>
          <w:lang w:val="uk-UA" w:eastAsia="uk-UA"/>
        </w:rPr>
        <w:t xml:space="preserve">Крюков О. І. Сучасні геополітичні процеси: світ і Україна. 2020. 80 с. URL: </w:t>
      </w:r>
      <w:hyperlink r:id="rId2575" w:tgtFrame="_blank" w:history="1">
        <w:r w:rsidRPr="00511005">
          <w:rPr>
            <w:rFonts w:ascii="Arial" w:eastAsia="Times New Roman" w:hAnsi="Arial" w:cs="Arial"/>
            <w:szCs w:val="28"/>
            <w:lang w:val="uk-UA" w:eastAsia="uk-UA"/>
          </w:rPr>
          <w:t>http://nnvc.nuczu.edu.ua/images/topmenu/kafedry/kafedra-publichnoho-administruvannia-u-sferi-tsyvilnoho-zakhystu/Lekcii/lk13.pdf</w:t>
        </w:r>
      </w:hyperlink>
      <w:r w:rsidRPr="00511005">
        <w:rPr>
          <w:rFonts w:ascii="Arial" w:eastAsia="Times New Roman" w:hAnsi="Arial" w:cs="Arial"/>
          <w:szCs w:val="28"/>
          <w:lang w:val="uk-UA" w:eastAsia="uk-UA"/>
        </w:rPr>
        <w:t xml:space="preserve"> (дата звернення: 26.04.2025).</w:t>
      </w:r>
    </w:p>
    <w:p w14:paraId="539AF48B" w14:textId="77777777" w:rsidR="00DF77B5" w:rsidRPr="00511005" w:rsidRDefault="00DF77B5" w:rsidP="003F6A5D">
      <w:pPr>
        <w:widowControl w:val="0"/>
        <w:numPr>
          <w:ilvl w:val="0"/>
          <w:numId w:val="799"/>
        </w:numPr>
        <w:autoSpaceDE w:val="0"/>
        <w:autoSpaceDN w:val="0"/>
        <w:spacing w:line="264" w:lineRule="auto"/>
        <w:jc w:val="left"/>
        <w:rPr>
          <w:rFonts w:ascii="Arial" w:eastAsia="Times New Roman" w:hAnsi="Arial" w:cs="Arial"/>
          <w:bCs/>
          <w:szCs w:val="28"/>
          <w:lang w:val="uk-UA" w:eastAsia="uk-UA"/>
        </w:rPr>
      </w:pPr>
      <w:r w:rsidRPr="00511005">
        <w:rPr>
          <w:rFonts w:ascii="Arial" w:eastAsia="Times New Roman" w:hAnsi="Arial" w:cs="Arial"/>
          <w:bCs/>
          <w:szCs w:val="28"/>
          <w:lang w:val="uk-UA" w:eastAsia="uk-UA"/>
        </w:rPr>
        <w:t>Плохій С. Брама Європи. Історія України від скіфських воєн до незалежності. 2-ге вид. Харків : Клуб сімейного дозвілля, 2019. 496 с.</w:t>
      </w:r>
    </w:p>
    <w:p w14:paraId="7AA453AE" w14:textId="77777777" w:rsidR="00DF77B5" w:rsidRPr="00511005" w:rsidRDefault="00DF77B5" w:rsidP="003F6A5D">
      <w:pPr>
        <w:widowControl w:val="0"/>
        <w:numPr>
          <w:ilvl w:val="0"/>
          <w:numId w:val="799"/>
        </w:numPr>
        <w:autoSpaceDE w:val="0"/>
        <w:autoSpaceDN w:val="0"/>
        <w:spacing w:line="264" w:lineRule="auto"/>
        <w:jc w:val="left"/>
        <w:rPr>
          <w:rFonts w:ascii="Arial" w:eastAsia="Times New Roman" w:hAnsi="Arial" w:cs="Arial"/>
          <w:bCs/>
          <w:szCs w:val="28"/>
          <w:lang w:val="uk-UA" w:eastAsia="uk-UA"/>
        </w:rPr>
      </w:pPr>
      <w:r w:rsidRPr="00511005">
        <w:rPr>
          <w:rFonts w:ascii="Arial" w:eastAsia="Times New Roman" w:hAnsi="Arial" w:cs="Arial"/>
          <w:szCs w:val="28"/>
          <w:lang w:val="uk-UA" w:eastAsia="uk-UA"/>
        </w:rPr>
        <w:t>Чупрій Л. Особливості становлення геополітичної суб’єктності України в умовах глобалізації. Геополітика України: історія і сучасність. 2020. № 2 (25). С. 29–41.</w:t>
      </w:r>
    </w:p>
    <w:p w14:paraId="0D2B3C97" w14:textId="01370014" w:rsidR="00DF77B5" w:rsidRPr="00511005" w:rsidRDefault="007B2628" w:rsidP="006A743E">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Ключові слова: </w:t>
      </w:r>
      <w:r w:rsidR="00DF77B5" w:rsidRPr="00511005">
        <w:rPr>
          <w:rFonts w:ascii="Arial" w:eastAsia="Times New Roman" w:hAnsi="Arial" w:cs="Arial"/>
          <w:i/>
          <w:iCs/>
          <w:szCs w:val="28"/>
          <w:lang w:val="uk-UA" w:eastAsia="uk-UA"/>
        </w:rPr>
        <w:t>геополітика, периферія, суб’єктність, російська агресія, НАТО, ЄС, війна, євроінтеграція, гібридні загрози, безпека, інформаційні технології, модернізація, економіка, суб’єктність.</w:t>
      </w:r>
    </w:p>
    <w:p w14:paraId="4EC0226E" w14:textId="4AC8F4D9" w:rsidR="00DF77B5" w:rsidRPr="00511005" w:rsidRDefault="007B2628" w:rsidP="006A743E">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Key words: </w:t>
      </w:r>
      <w:r w:rsidR="00DF77B5" w:rsidRPr="00511005">
        <w:rPr>
          <w:rFonts w:ascii="Arial" w:eastAsia="Times New Roman" w:hAnsi="Arial" w:cs="Arial"/>
          <w:bCs/>
          <w:i/>
          <w:iCs/>
          <w:szCs w:val="28"/>
          <w:lang w:val="uk-UA" w:eastAsia="uk-UA"/>
        </w:rPr>
        <w:t>geopolitics, periphery, subjectivity, Russian aggression, NATO, EU, war, European integration, hybrid threats, security,</w:t>
      </w:r>
      <w:r w:rsidR="00DF77B5" w:rsidRPr="00511005">
        <w:rPr>
          <w:rFonts w:ascii="Arial" w:eastAsia="Times New Roman" w:hAnsi="Arial" w:cs="Arial"/>
          <w:i/>
          <w:iCs/>
          <w:szCs w:val="28"/>
          <w:lang w:val="uk-UA" w:eastAsia="uk-UA"/>
        </w:rPr>
        <w:t xml:space="preserve"> </w:t>
      </w:r>
      <w:r w:rsidR="00DF77B5" w:rsidRPr="00511005">
        <w:rPr>
          <w:rFonts w:ascii="Arial" w:eastAsia="Times New Roman" w:hAnsi="Arial" w:cs="Arial"/>
          <w:bCs/>
          <w:i/>
          <w:iCs/>
          <w:szCs w:val="28"/>
          <w:lang w:val="uk-UA" w:eastAsia="uk-UA"/>
        </w:rPr>
        <w:t>information technology, modernization, economy, subjectivity.</w:t>
      </w:r>
    </w:p>
    <w:p w14:paraId="3BF5AAEE" w14:textId="03180515" w:rsidR="00DF77B5" w:rsidRPr="00511005" w:rsidRDefault="007B2628" w:rsidP="006A743E">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д. і. н., професор Кормич Л. І.</w:t>
      </w:r>
    </w:p>
    <w:p w14:paraId="5AAB458D" w14:textId="77777777" w:rsidR="00DF77B5" w:rsidRPr="00511005" w:rsidRDefault="00DF77B5" w:rsidP="002D35DB">
      <w:pPr>
        <w:widowControl w:val="0"/>
        <w:autoSpaceDE w:val="0"/>
        <w:autoSpaceDN w:val="0"/>
        <w:spacing w:line="264" w:lineRule="auto"/>
        <w:ind w:left="709" w:firstLine="0"/>
        <w:jc w:val="left"/>
        <w:rPr>
          <w:rFonts w:ascii="Arial" w:eastAsia="Times New Roman" w:hAnsi="Arial" w:cs="Arial"/>
          <w:i/>
          <w:iCs/>
          <w:szCs w:val="28"/>
          <w:lang w:val="uk-UA" w:eastAsia="uk-UA"/>
        </w:rPr>
      </w:pPr>
    </w:p>
    <w:p w14:paraId="77980AEF" w14:textId="77777777" w:rsidR="00DF77B5" w:rsidRPr="00511005" w:rsidRDefault="00DF77B5" w:rsidP="006A743E">
      <w:pPr>
        <w:widowControl w:val="0"/>
        <w:autoSpaceDE w:val="0"/>
        <w:autoSpaceDN w:val="0"/>
        <w:spacing w:line="264" w:lineRule="auto"/>
        <w:ind w:firstLine="0"/>
        <w:jc w:val="center"/>
        <w:rPr>
          <w:rFonts w:ascii="Arial" w:eastAsia="Times New Roman" w:hAnsi="Arial" w:cs="Arial"/>
          <w:b/>
          <w:i/>
          <w:iCs/>
          <w:szCs w:val="28"/>
          <w:lang w:val="uk-UA" w:eastAsia="uk-UA"/>
        </w:rPr>
      </w:pPr>
      <w:r w:rsidRPr="00511005">
        <w:rPr>
          <w:rFonts w:ascii="Arial" w:eastAsia="Times New Roman" w:hAnsi="Arial" w:cs="Arial"/>
          <w:b/>
          <w:i/>
          <w:iCs/>
          <w:szCs w:val="28"/>
          <w:lang w:val="uk-UA" w:eastAsia="uk-UA"/>
        </w:rPr>
        <w:t>Чурсова Таісія</w:t>
      </w:r>
    </w:p>
    <w:p w14:paraId="178ED207" w14:textId="0E3D47B5" w:rsidR="002D35DB" w:rsidRPr="00511005" w:rsidRDefault="002D35DB" w:rsidP="006A743E">
      <w:pPr>
        <w:spacing w:line="264" w:lineRule="auto"/>
        <w:ind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студентка 1</w:t>
      </w:r>
      <w:r w:rsidRPr="00511005">
        <w:rPr>
          <w:rFonts w:ascii="Arial" w:eastAsia="Times New Roman" w:hAnsi="Arial" w:cs="Arial"/>
          <w:bCs/>
          <w:iCs/>
          <w:szCs w:val="28"/>
          <w:lang w:val="uk-UA" w:eastAsia="ru-RU"/>
        </w:rPr>
        <w:t>-го курсу</w:t>
      </w:r>
    </w:p>
    <w:p w14:paraId="5D1C260A" w14:textId="77777777" w:rsidR="002D35DB" w:rsidRPr="00511005" w:rsidRDefault="002D35DB" w:rsidP="006A743E">
      <w:pPr>
        <w:spacing w:line="264" w:lineRule="auto"/>
        <w:ind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1BEC431F" w14:textId="5FF4A4B6" w:rsidR="002D35DB" w:rsidRPr="00511005" w:rsidRDefault="002D35DB" w:rsidP="006A743E">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475FB3EB" w14:textId="77777777" w:rsidR="006A743E" w:rsidRPr="00511005" w:rsidRDefault="006A743E" w:rsidP="006A743E">
      <w:pPr>
        <w:spacing w:line="264" w:lineRule="auto"/>
        <w:ind w:firstLine="0"/>
        <w:jc w:val="center"/>
        <w:rPr>
          <w:rFonts w:ascii="Arial" w:eastAsia="Times New Roman" w:hAnsi="Arial" w:cs="Arial"/>
          <w:szCs w:val="28"/>
          <w:lang w:eastAsia="ru-RU"/>
        </w:rPr>
      </w:pPr>
    </w:p>
    <w:p w14:paraId="56EDA126" w14:textId="77777777" w:rsidR="00DF77B5" w:rsidRPr="00511005" w:rsidRDefault="00DF77B5" w:rsidP="006A743E">
      <w:pPr>
        <w:widowControl w:val="0"/>
        <w:autoSpaceDE w:val="0"/>
        <w:autoSpaceDN w:val="0"/>
        <w:spacing w:line="264" w:lineRule="auto"/>
        <w:ind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ЛІДЕРСТВО В УМОВАХ ВІЙНИ В КОНТЕКСТІ СИТУАТИВНОЇ ТЕОРІЇ</w:t>
      </w:r>
    </w:p>
    <w:p w14:paraId="754C24BD"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 ХХІ столітті поняття лідерства розглядається не лише як сукупність управлінських навичок, а як складне соціально-психологічне явище, що здатне впливати на хід історичних подій. Особливої актуальності воно набуває в періоди глибоких криз, зокрема війни, коли лідери асоціюються з носіями стабільності, надії, стають орієнтиром для широких мас. У таких умовах ефективність лідера не можна оцінювати за універсальними стандартами, бо кожна конкретна ситуація вимагає особливого підходу. Саме тому ситуативна теорія лідерства є надзвичайно важливою для аналізу ефективності лідерства під час війни.</w:t>
      </w:r>
    </w:p>
    <w:p w14:paraId="052A631F"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Ситуативна теорія лідерства доводить, що ефективність лідера залежить від його здатності адаптувати свій стиль управління відповідно до ситуації, у якій він діє. На відміну від традиційних підходів, що шукають «ідеального лідера», ситуативна модель виходить з припущення, що ідеального стилю не існує, а успіх лідера визначається його гнучкістю, </w:t>
      </w:r>
      <w:r w:rsidRPr="00511005">
        <w:rPr>
          <w:rFonts w:ascii="Arial" w:eastAsia="Times New Roman" w:hAnsi="Arial" w:cs="Arial"/>
          <w:szCs w:val="28"/>
          <w:lang w:val="uk-UA" w:eastAsia="uk-UA"/>
        </w:rPr>
        <w:lastRenderedPageBreak/>
        <w:t xml:space="preserve">сприйнятливістю до змін і вмінням правильно оцінити обставини [1]. </w:t>
      </w:r>
    </w:p>
    <w:p w14:paraId="46294480"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Такий підхід був детально проаналізований П. Герсі та К. Бланшаром, які виокремили чотири основні стилі лідерства, залежно від рівня готовності підлеглих: директивний, тренувальний, підтримуючий та делегуючий.</w:t>
      </w:r>
    </w:p>
    <w:p w14:paraId="3835AABB"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 умовах війни дана теорія особливо актуальна. Конфліктні обставини виникають і змінюються постійно — від боїв на фронті до евакуації цивільного населення, від розподілу гуманітарної допомоги до координації міжнародної підтримки. Усі ці процеси потребують рішень, швидких і виважених водночас. Лідер, який діє за жорстким шаблоном, не зможе ефективно реагувати на динаміку війни. Натомість ситуативне лідерство дозволяє враховувати обставини, ресурси, рівень готовності людей, емоційний стан суспільства та багато інших чинників [2].</w:t>
      </w:r>
    </w:p>
    <w:p w14:paraId="7DE3A5AA"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Війна змінює не лише характер управління, а й саму природу лідерства. Часто на перший план виходять не формальні керівники, а особи, які спроможні взяти на себе відповідальність, організувати інших, надихнути та вказати напрям руху. В Україні після 2014 року ми стали свідками появи великої кількості таких «ситуативних лідерів» — волонтерів, добровольців, громадських активістів, які не маючи офіційних посад, змогли стати центром впливу в критичних умовах [3]. Їхня ефективність підкреслює силу ситуативної моделі, де головне — це здатність діяти відповідно до обставин.</w:t>
      </w:r>
    </w:p>
    <w:p w14:paraId="215773E1"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Однією з ключових компетенцій сучасного лідера в умовах війни, є емоційна стійкість та розвиток емоційного інтелекту. Війна — це не лише стратегічна, а й психологічна боротьба. Лідер, який не контролює власні емоції або не враховує емоційний стан своєї команди, ризикує втратити авторитет, вплив і реальні управлінські можливості. Емоційно зрілий лідер здатен підтримувати моральний дух, знижувати рівень тривожності, забезпечувати почуття безпеки, навіть у найнебезпечніших умовах [4].</w:t>
      </w:r>
    </w:p>
    <w:p w14:paraId="330541CD" w14:textId="7E9E2CB3"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Ситуативна модель</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наголошує на необхідності змінювати стиль керівництва в залежності від підготовленості підлеглих. Наприклад, у бойових умовах, коли підрозділ складається з досвідчених бійців, доцільним є делегуючий стиль. Однак у разі мобілізації новобранців ефективнішим буде директивний стиль з чіткими вказівками, жорстким контролем і відповідальністю [5]. </w:t>
      </w:r>
    </w:p>
    <w:p w14:paraId="6BBA1EC0"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Ситуативне лідерство має велике значення і в управлінні гуманітарними та волонтерськими ініціативами. У таких сферах часто немає чіткої ієрархії або усталених процедур. Успішний лідер повинен одночасно координувати десятки людей, вирішувати логістичні, фінансові та правові питання, вести діалог із місцевою владою й іноземними партнерами. Лише той, хто вміє підлаштовувати стиль взаємодії під конкретних учасників процесу, здатен забезпечити результат.</w:t>
      </w:r>
    </w:p>
    <w:p w14:paraId="5E3A9E50"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Окремої уваги заслуговує питання комунікації. В умовах війни важливо не лише приймати рішення, а й грамотно їх доносити. Слова лідера можуть </w:t>
      </w:r>
      <w:r w:rsidRPr="00511005">
        <w:rPr>
          <w:rFonts w:ascii="Arial" w:eastAsia="Times New Roman" w:hAnsi="Arial" w:cs="Arial"/>
          <w:szCs w:val="28"/>
          <w:lang w:val="uk-UA" w:eastAsia="uk-UA"/>
        </w:rPr>
        <w:lastRenderedPageBreak/>
        <w:t>підтримати бойовий дух або, навпаки, викликати паніку. Тому ситуативний лідер повинен володіти високим рівнем комунікативної компетентності, зрозумілою риторикою, бути переконливим, демонструвати прозорість і чесність при прийнятті важливих рішень.</w:t>
      </w:r>
    </w:p>
    <w:p w14:paraId="09D858EE" w14:textId="10ADC400"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Не менш важливою є здатність бачити перспективу. Війна змушує зосереджуватися на поточному моменті, однак саме лідер повинен зберігати бачення майбутнього. Його завдання — не лише координувати поточні дії, але й формувати стратегії відбудови, національного єднання, реінтеграції та психологічного відновлення після перемоги.</w:t>
      </w:r>
      <w:r w:rsidRPr="00511005">
        <w:rPr>
          <w:rFonts w:ascii="Arial" w:eastAsia="Times New Roman" w:hAnsi="Arial" w:cs="Arial"/>
          <w:szCs w:val="28"/>
          <w:lang w:val="uk-UA" w:eastAsia="uk-UA"/>
        </w:rPr>
        <w:br/>
        <w:t>Таким чином, ситуативна теорія лідерства дозволяє осмислити і оцінити поведінку лідерів в умовах війни, їхню здатність адаптуватися до реальності, приймати відповідальність за дії та мотивувати інших до дій. Це теорія не про владні повноваження, а про розуміння, чуйність і здатність надихати в найскладніші часи. В умовах війни саме такий підхід до лідерства забезпечує виживання, стійкість гарантуючи перемогу.</w:t>
      </w:r>
    </w:p>
    <w:p w14:paraId="7544FA81" w14:textId="77777777" w:rsidR="006A743E" w:rsidRPr="00511005" w:rsidRDefault="006A743E" w:rsidP="006A743E">
      <w:pPr>
        <w:widowControl w:val="0"/>
        <w:autoSpaceDE w:val="0"/>
        <w:autoSpaceDN w:val="0"/>
        <w:spacing w:line="264" w:lineRule="auto"/>
        <w:rPr>
          <w:rFonts w:ascii="Arial" w:eastAsia="Times New Roman" w:hAnsi="Arial" w:cs="Arial"/>
          <w:szCs w:val="28"/>
          <w:lang w:val="uk-UA" w:eastAsia="uk-UA"/>
        </w:rPr>
      </w:pPr>
    </w:p>
    <w:p w14:paraId="4BD84B39" w14:textId="42638929" w:rsidR="00DF77B5" w:rsidRPr="00511005" w:rsidRDefault="007B2628" w:rsidP="006A743E">
      <w:pPr>
        <w:widowControl w:val="0"/>
        <w:autoSpaceDE w:val="0"/>
        <w:autoSpaceDN w:val="0"/>
        <w:spacing w:line="264" w:lineRule="auto"/>
        <w:ind w:left="709" w:firstLine="0"/>
        <w:jc w:val="center"/>
        <w:rPr>
          <w:rFonts w:ascii="Arial" w:eastAsia="Times New Roman" w:hAnsi="Arial" w:cs="Arial"/>
          <w:szCs w:val="28"/>
          <w:lang w:val="uk-UA" w:eastAsia="uk-UA"/>
        </w:rPr>
      </w:pPr>
      <w:r w:rsidRPr="00511005">
        <w:rPr>
          <w:rFonts w:ascii="Arial" w:eastAsia="Times New Roman" w:hAnsi="Arial" w:cs="Arial"/>
          <w:b/>
          <w:szCs w:val="28"/>
          <w:lang w:val="uk-UA" w:eastAsia="uk-UA"/>
        </w:rPr>
        <w:t>Список використаних джерел</w:t>
      </w:r>
    </w:p>
    <w:p w14:paraId="43CA9C5A" w14:textId="77777777" w:rsidR="00DF77B5" w:rsidRPr="00511005" w:rsidRDefault="00DF77B5" w:rsidP="006A743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1. Hersey P., Blanchard K.H. Management of Organizational Behavior. Prentice-Hall, 1988.</w:t>
      </w:r>
    </w:p>
    <w:p w14:paraId="4EDD0FF2" w14:textId="77777777" w:rsidR="00DF77B5" w:rsidRPr="00511005" w:rsidRDefault="00DF77B5" w:rsidP="006A743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2. Northouse P.G. Leadership: Theory and Practice. SAGE Publications, 2019.</w:t>
      </w:r>
    </w:p>
    <w:p w14:paraId="11B99C4C" w14:textId="77777777" w:rsidR="00DF77B5" w:rsidRPr="00511005" w:rsidRDefault="00DF77B5" w:rsidP="006A743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3. Корнієнко С. Громадянське лідерство під час війни: нова генерація. Український соціологічний журнал, 2023.</w:t>
      </w:r>
    </w:p>
    <w:p w14:paraId="18ADB9DF" w14:textId="77777777" w:rsidR="00DF77B5" w:rsidRPr="00511005" w:rsidRDefault="00DF77B5" w:rsidP="006A743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4. Goleman D. Emotional Intelligence. Bantam Books, 1995.</w:t>
      </w:r>
    </w:p>
    <w:p w14:paraId="5BC06492" w14:textId="77777777" w:rsidR="00DF77B5" w:rsidRPr="00511005" w:rsidRDefault="00DF77B5" w:rsidP="006A743E">
      <w:pPr>
        <w:widowControl w:val="0"/>
        <w:autoSpaceDE w:val="0"/>
        <w:autoSpaceDN w:val="0"/>
        <w:spacing w:line="264" w:lineRule="auto"/>
        <w:ind w:left="709" w:firstLine="0"/>
        <w:jc w:val="left"/>
        <w:rPr>
          <w:rFonts w:ascii="Arial" w:eastAsia="Times New Roman" w:hAnsi="Arial" w:cs="Arial"/>
          <w:szCs w:val="28"/>
          <w:lang w:val="uk-UA" w:eastAsia="uk-UA"/>
        </w:rPr>
      </w:pPr>
      <w:r w:rsidRPr="00511005">
        <w:rPr>
          <w:rFonts w:ascii="Arial" w:eastAsia="Times New Roman" w:hAnsi="Arial" w:cs="Arial"/>
          <w:szCs w:val="28"/>
          <w:lang w:val="uk-UA" w:eastAsia="uk-UA"/>
        </w:rPr>
        <w:t>5. Yukl G. Leadership in Organizations. Pearson Education, 2013.</w:t>
      </w:r>
    </w:p>
    <w:p w14:paraId="7EDF1698" w14:textId="724B2424" w:rsidR="00DF77B5" w:rsidRPr="00511005" w:rsidRDefault="007B2628" w:rsidP="006A743E">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Ключові слова: </w:t>
      </w:r>
      <w:r w:rsidR="00DF77B5" w:rsidRPr="00511005">
        <w:rPr>
          <w:rFonts w:ascii="Arial" w:eastAsia="Times New Roman" w:hAnsi="Arial" w:cs="Arial"/>
          <w:i/>
          <w:iCs/>
          <w:szCs w:val="28"/>
          <w:lang w:val="uk-UA" w:eastAsia="uk-UA"/>
        </w:rPr>
        <w:t>лідерство, війна, ситуативна теорія, адаптація, емоційний інтелект.</w:t>
      </w:r>
      <w:r w:rsidR="00DF77B5" w:rsidRPr="00511005">
        <w:rPr>
          <w:rFonts w:ascii="Arial" w:eastAsia="Times New Roman" w:hAnsi="Arial" w:cs="Arial"/>
          <w:i/>
          <w:iCs/>
          <w:szCs w:val="28"/>
          <w:lang w:val="uk-UA" w:eastAsia="uk-UA"/>
        </w:rPr>
        <w:br/>
      </w:r>
      <w:r w:rsidRPr="00511005">
        <w:rPr>
          <w:rFonts w:ascii="Arial" w:eastAsia="Times New Roman" w:hAnsi="Arial" w:cs="Arial"/>
          <w:b/>
          <w:bCs/>
          <w:i/>
          <w:iCs/>
          <w:szCs w:val="28"/>
          <w:lang w:val="uk-UA" w:eastAsia="uk-UA"/>
        </w:rPr>
        <w:t xml:space="preserve">Key words: </w:t>
      </w:r>
      <w:r w:rsidR="00DF77B5" w:rsidRPr="00511005">
        <w:rPr>
          <w:rFonts w:ascii="Arial" w:eastAsia="Times New Roman" w:hAnsi="Arial" w:cs="Arial"/>
          <w:i/>
          <w:iCs/>
          <w:szCs w:val="28"/>
          <w:lang w:val="uk-UA" w:eastAsia="uk-UA"/>
        </w:rPr>
        <w:t>leadership, war, situational theory, adaptation, emotional intelligence.</w:t>
      </w:r>
      <w:r w:rsidR="00DF77B5" w:rsidRPr="00511005">
        <w:rPr>
          <w:rFonts w:ascii="Arial" w:eastAsia="Times New Roman" w:hAnsi="Arial" w:cs="Arial"/>
          <w:i/>
          <w:iCs/>
          <w:szCs w:val="28"/>
          <w:lang w:val="uk-UA" w:eastAsia="uk-UA"/>
        </w:rPr>
        <w:br/>
      </w: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д.і.н., професор Кормич Л.І.</w:t>
      </w:r>
    </w:p>
    <w:p w14:paraId="4F72B217" w14:textId="77777777" w:rsidR="00DF77B5" w:rsidRPr="00511005" w:rsidRDefault="00DF77B5" w:rsidP="002D35DB">
      <w:pPr>
        <w:widowControl w:val="0"/>
        <w:autoSpaceDE w:val="0"/>
        <w:autoSpaceDN w:val="0"/>
        <w:spacing w:line="264" w:lineRule="auto"/>
        <w:ind w:left="709" w:firstLine="0"/>
        <w:jc w:val="left"/>
        <w:rPr>
          <w:rFonts w:ascii="Arial" w:eastAsia="Times New Roman" w:hAnsi="Arial" w:cs="Arial"/>
          <w:szCs w:val="28"/>
          <w:lang w:val="uk-UA" w:eastAsia="uk-UA"/>
        </w:rPr>
      </w:pPr>
    </w:p>
    <w:p w14:paraId="7E26F358" w14:textId="77777777" w:rsidR="00DF77B5" w:rsidRPr="00511005" w:rsidRDefault="00DF77B5" w:rsidP="002D35DB">
      <w:pPr>
        <w:widowControl w:val="0"/>
        <w:autoSpaceDE w:val="0"/>
        <w:autoSpaceDN w:val="0"/>
        <w:spacing w:line="264" w:lineRule="auto"/>
        <w:ind w:left="709" w:firstLine="0"/>
        <w:jc w:val="center"/>
        <w:rPr>
          <w:rFonts w:ascii="Arial" w:eastAsia="Times New Roman" w:hAnsi="Arial" w:cs="Arial"/>
          <w:szCs w:val="28"/>
          <w:lang w:val="uk-UA" w:eastAsia="uk-UA"/>
        </w:rPr>
      </w:pPr>
      <w:r w:rsidRPr="00511005">
        <w:rPr>
          <w:rFonts w:ascii="Arial" w:eastAsia="Times New Roman" w:hAnsi="Arial" w:cs="Arial"/>
          <w:b/>
          <w:bCs/>
          <w:i/>
          <w:iCs/>
          <w:szCs w:val="28"/>
          <w:lang w:val="uk-UA" w:eastAsia="uk-UA"/>
        </w:rPr>
        <w:t>Шарко Світлана Василівна</w:t>
      </w:r>
    </w:p>
    <w:p w14:paraId="20365A41" w14:textId="6591A724" w:rsidR="002D35DB" w:rsidRPr="00511005" w:rsidRDefault="002D35DB" w:rsidP="002D35D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szCs w:val="28"/>
          <w:lang w:val="uk-UA" w:eastAsia="uk-UA"/>
        </w:rPr>
        <w:t>студентка 1</w:t>
      </w:r>
      <w:r w:rsidRPr="00511005">
        <w:rPr>
          <w:rFonts w:ascii="Arial" w:eastAsia="Times New Roman" w:hAnsi="Arial" w:cs="Arial"/>
          <w:bCs/>
          <w:iCs/>
          <w:szCs w:val="28"/>
          <w:lang w:val="uk-UA" w:eastAsia="ru-RU"/>
        </w:rPr>
        <w:t xml:space="preserve">-го курсу </w:t>
      </w:r>
    </w:p>
    <w:p w14:paraId="6031306D" w14:textId="77777777" w:rsidR="002D35DB" w:rsidRPr="00511005" w:rsidRDefault="002D35DB" w:rsidP="002D35DB">
      <w:pPr>
        <w:spacing w:line="264" w:lineRule="auto"/>
        <w:ind w:right="-1"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факультету прокуратури та слідства (кримінальна юстиція)</w:t>
      </w:r>
    </w:p>
    <w:p w14:paraId="5A1BA402" w14:textId="47B66DE4" w:rsidR="002D35DB" w:rsidRPr="00511005" w:rsidRDefault="002D35DB" w:rsidP="002D35DB">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3CA2A490" w14:textId="77777777" w:rsidR="006A743E" w:rsidRPr="00511005" w:rsidRDefault="006A743E" w:rsidP="002D35DB">
      <w:pPr>
        <w:spacing w:line="264" w:lineRule="auto"/>
        <w:ind w:firstLine="0"/>
        <w:jc w:val="center"/>
        <w:rPr>
          <w:rFonts w:ascii="Arial" w:eastAsia="Times New Roman" w:hAnsi="Arial" w:cs="Arial"/>
          <w:szCs w:val="28"/>
          <w:lang w:eastAsia="ru-RU"/>
        </w:rPr>
      </w:pPr>
    </w:p>
    <w:p w14:paraId="032932E0" w14:textId="77777777" w:rsidR="00DF77B5" w:rsidRPr="00511005" w:rsidRDefault="00DF77B5" w:rsidP="002D35DB">
      <w:pPr>
        <w:widowControl w:val="0"/>
        <w:autoSpaceDE w:val="0"/>
        <w:autoSpaceDN w:val="0"/>
        <w:spacing w:line="264" w:lineRule="auto"/>
        <w:ind w:firstLine="0"/>
        <w:jc w:val="center"/>
        <w:rPr>
          <w:rFonts w:ascii="Arial" w:eastAsia="Times New Roman" w:hAnsi="Arial" w:cs="Arial"/>
          <w:b/>
          <w:bCs/>
          <w:szCs w:val="28"/>
          <w:lang w:val="uk-UA" w:eastAsia="uk-UA"/>
        </w:rPr>
      </w:pPr>
      <w:r w:rsidRPr="00511005">
        <w:rPr>
          <w:rFonts w:ascii="Arial" w:eastAsia="Times New Roman" w:hAnsi="Arial" w:cs="Arial"/>
          <w:b/>
          <w:bCs/>
          <w:szCs w:val="28"/>
          <w:lang w:val="uk-UA" w:eastAsia="uk-UA"/>
        </w:rPr>
        <w:t>РЕВОЛЮЦІЯ ГІДНОСТІ ЯК КАТАЛІЗАТОР ЗМІН ПОЛІТИЧНОГО РЕЖИМУ В УКРАЇНІ</w:t>
      </w:r>
    </w:p>
    <w:p w14:paraId="5E9173A5" w14:textId="678E908A" w:rsidR="00DF77B5" w:rsidRPr="00511005" w:rsidRDefault="00DF77B5" w:rsidP="006A743E">
      <w:pPr>
        <w:widowControl w:val="0"/>
        <w:autoSpaceDE w:val="0"/>
        <w:autoSpaceDN w:val="0"/>
        <w:spacing w:line="264" w:lineRule="auto"/>
        <w:rPr>
          <w:rFonts w:ascii="Arial" w:eastAsia="Times New Roman" w:hAnsi="Arial" w:cs="Arial"/>
          <w:b/>
          <w:bCs/>
          <w:szCs w:val="28"/>
          <w:lang w:val="uk-UA" w:eastAsia="uk-UA"/>
        </w:rPr>
      </w:pPr>
      <w:r w:rsidRPr="00511005">
        <w:rPr>
          <w:rFonts w:ascii="Arial" w:eastAsia="Times New Roman" w:hAnsi="Arial" w:cs="Arial"/>
          <w:szCs w:val="28"/>
          <w:lang w:val="uk-UA" w:eastAsia="uk-UA"/>
        </w:rPr>
        <w:t>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 xml:space="preserve">контексті демократичного транзиту Україна демонструє унікальний шлях розвитку політичної системи, що поєднує риси демократичної еволюції і криз представництва. Особливо значні зміни відбулися після Революції Гідності, яка стала не лише соціально-політичним переломом, але й </w:t>
      </w:r>
      <w:r w:rsidRPr="00511005">
        <w:rPr>
          <w:rFonts w:ascii="Arial" w:eastAsia="Times New Roman" w:hAnsi="Arial" w:cs="Arial"/>
          <w:szCs w:val="28"/>
          <w:lang w:val="uk-UA" w:eastAsia="uk-UA"/>
        </w:rPr>
        <w:lastRenderedPageBreak/>
        <w:t xml:space="preserve">потужним імпульсом для переформатування політичного ландшафту. Політичний режим є важливим компонентом політичної системи держави, що визначає механізми реалізації влади, рівень політичної свободи, ступінь участі громадян у політичному процесі та характер взаємодії держави з суспільством. Після 2014 року, у контексті затяжної війни, реформування державних інституцій та розвитку громадянського суспільства, аналіз трансформації політичної системи є важливим для розуміння демократичних процесів та пошуку шляхів підвищення ефективності політичного представництва в Україні. </w:t>
      </w:r>
    </w:p>
    <w:p w14:paraId="0D0E6A99"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Політична система суспільства являє собою структуровану сукупність взаємодіючих державних та недержавних інституцій, які здійснюють політичну діяльність, спрямовану на представлення, реалізацію й узгодження інтересів різних соціальних груп, спільнот і угруповань [2, c.4]. Однією з ключових ознак політичної системи є політичний режим. Згідно з класичним визначенням Г. Алмонда та С. Верби, політичний режим — це сукупність форм і методів здійснення політичної влади, що базуються на певних принципах легітимності, політичної участі та контролю [1, с.254]. Політичні режими часто мають гібридну природу, адже можуть поєднувати демократичні процедури з авторитарними практиками, такими як політичні репресії, контроль над засобами масової інформації, маніпуляція виборчими процесами тощо.</w:t>
      </w:r>
    </w:p>
    <w:p w14:paraId="7D1C180A"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Україна як незалежна, суверенна, демократична держава пройшла складний шлях подолання існуючих загроз і утвердження реальних демократичних цінностей, поступово позбавляючись російського домінування в політичному, економічному, культурному, інформаційному просторі. Помаранчева революція 2004 року стала відповіддю українських громадян на порушення виборчого процесу, фальсифікацію результатів голосування, дарувала надію на свободу, демократію, справедливість та громадянську гідність. Але ці амбітні завдання не були вирішені остаточно.</w:t>
      </w:r>
    </w:p>
    <w:p w14:paraId="39D33B22"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Прихід до влади Віктора Януковича на президентських виборах 2010 року зупинив демократичні тенденції та сприяв впровадженню авторитарних методів. Поворотною точкою у цьому процесі стало скасування у жовтні 2010 року конституційної реформи 2004 року, що призвело до повернення президентсько-парламентської моделі правління. Основною метою цього кроку була концентрація владних повноважень у руках президента, що свідчило про навмисну зміну балансу гілок влади та пріоритетність виконавчої вертикалі. Упродовж трьох років президентства Януковичу вдалося значною мірою підпорядкувати судову систему, яка відзначалася високим рівнем корупції та політичної залежності, а також забезпечити контроль над законодавчою владою. Така трансформація державного управління відбувалася на тлі дедалі очевиднішого відходу від демократичних принципів — зокрема, плюралізму, верховенства права, </w:t>
      </w:r>
      <w:r w:rsidRPr="00511005">
        <w:rPr>
          <w:rFonts w:ascii="Arial" w:eastAsia="Times New Roman" w:hAnsi="Arial" w:cs="Arial"/>
          <w:szCs w:val="28"/>
          <w:lang w:val="uk-UA" w:eastAsia="uk-UA"/>
        </w:rPr>
        <w:lastRenderedPageBreak/>
        <w:t>незалежності та пріоритету прав людини й громадянина [3,c.3]. Режим Януковича орієнтувався на моделі управління, характерні для авторитарних режимів сусідніх держав - РФ та Республіки Білорусь. Остаточна спроба утвердити авторитарний режим в Україні була здійснена шляхом ухвалення так званих «диктаторських законів» 16 січня 2014 року, що суттєво обмежували базові громадянські права і свободи — слова, мирних зібрань, діяльності інституцій громадянського суспільства та незалежних медіа. Політичний режим набув ознак авторитаризму з елементами олігархічно-клептократичного правління. [3, c.4].</w:t>
      </w:r>
    </w:p>
    <w:p w14:paraId="779058CC" w14:textId="728BFBE4"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Тож розпочався рух громадянської непокори, що став символом боротьби за демократичні цінності, реальну незалежність, утвердження в життя євроінтеграційних прагнень. Ці події кінця 2013 та початку 2014 років отримали назву Революції Гідності. Реакцією влади стали кровопролиття щодо учасників Євромайданів, а потім і</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фактично санкціонована нею військова агресія з боку Російської Федерації, яка зазіхнула на суверенітет, незалежність, недоторканість та територіальну цілісність України, намагаючись зупинити поворот вектору зовнішньополітичного розвитку України в бік ЄС та НАТО. Але ні злочини Беркуту чи «тітушек», ні «зелені чоловічки» чи регулярні війська РФ на території України не спроможні були зупинити назрілі зміни та прискорення її демократичного транзиту.</w:t>
      </w:r>
    </w:p>
    <w:p w14:paraId="77AB74F4" w14:textId="77777777"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Суспільство не бажало посилення авторитарних тенденцій, наступу на громадянські свободи, політичних репресій, корупції тощо. Після масових протестів 21 лютого 2014 року Верховна Рада повернула в дію Конституцію 2004 року з парламентсько-президентською формою правління, а 22 лютого Віктор Янукович втік з країни. Того ж дня парламент ухвалив рішення про призначення позачергових виборів президента, тимчасово передавши повноваження голові Верховної Ради Олександру Турчинову [4, c.72].</w:t>
      </w:r>
    </w:p>
    <w:p w14:paraId="07B2B5BF" w14:textId="072A3F99" w:rsidR="00DF77B5" w:rsidRPr="00511005" w:rsidRDefault="00DF77B5" w:rsidP="006A743E">
      <w:pPr>
        <w:widowControl w:val="0"/>
        <w:autoSpaceDE w:val="0"/>
        <w:autoSpaceDN w:val="0"/>
        <w:spacing w:line="264" w:lineRule="auto"/>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Революція Гідності ознаменувала не лише зміну влади, а й трансформацію самої природи політичного режиму. Громадянське суспільство стало головним суб’єктом демократизації, відбулось звільнення держави від геополітичної залежності від Росії, попри агресивну політику РФ, яка анексувала Крим і розпочала військові дії на Донбасі. Тож важливими здобутками Революції Гідності слід вважати: повалення корумпованого авторитарного режиму, збереження незалежності держави і її міжнародної суб’єктності, скасування «диктаторських законів», остаточний вибір на користь європейського та євроатлантичного курсу розвитку. Саме після Революції Гідності Україна підписала Угоду про асоціацію з Європейським Союзом, що стало важливим кроком на шляху до європейської інтеграції. Успішно здолати цей шлях можливо лише спираючись на демократичні цінності, громадянську активність і національну ідентичність. </w:t>
      </w:r>
    </w:p>
    <w:p w14:paraId="7AD67884" w14:textId="77777777" w:rsidR="006A743E" w:rsidRPr="00511005" w:rsidRDefault="006A743E" w:rsidP="006A743E">
      <w:pPr>
        <w:widowControl w:val="0"/>
        <w:autoSpaceDE w:val="0"/>
        <w:autoSpaceDN w:val="0"/>
        <w:spacing w:line="264" w:lineRule="auto"/>
        <w:rPr>
          <w:rFonts w:ascii="Arial" w:eastAsia="Times New Roman" w:hAnsi="Arial" w:cs="Arial"/>
          <w:szCs w:val="28"/>
          <w:lang w:val="uk-UA" w:eastAsia="uk-UA"/>
        </w:rPr>
      </w:pPr>
    </w:p>
    <w:p w14:paraId="6DF312A9" w14:textId="12E9F92F" w:rsidR="00DF77B5" w:rsidRPr="00511005" w:rsidRDefault="007B2628" w:rsidP="006A743E">
      <w:pPr>
        <w:widowControl w:val="0"/>
        <w:autoSpaceDE w:val="0"/>
        <w:autoSpaceDN w:val="0"/>
        <w:spacing w:line="264" w:lineRule="auto"/>
        <w:ind w:left="709" w:firstLine="0"/>
        <w:jc w:val="center"/>
        <w:rPr>
          <w:rFonts w:ascii="Arial" w:eastAsia="Times New Roman" w:hAnsi="Arial" w:cs="Arial"/>
          <w:szCs w:val="28"/>
          <w:lang w:val="uk-UA" w:eastAsia="uk-UA"/>
        </w:rPr>
      </w:pPr>
      <w:r w:rsidRPr="00511005">
        <w:rPr>
          <w:rFonts w:ascii="Arial" w:eastAsia="Times New Roman" w:hAnsi="Arial" w:cs="Arial"/>
          <w:b/>
          <w:bCs/>
          <w:szCs w:val="28"/>
          <w:lang w:val="uk-UA" w:eastAsia="uk-UA"/>
        </w:rPr>
        <w:lastRenderedPageBreak/>
        <w:t>Список використаних джерел</w:t>
      </w:r>
    </w:p>
    <w:p w14:paraId="211FD907" w14:textId="77777777" w:rsidR="00DF77B5" w:rsidRPr="00511005" w:rsidRDefault="00DF77B5" w:rsidP="003F6A5D">
      <w:pPr>
        <w:widowControl w:val="0"/>
        <w:numPr>
          <w:ilvl w:val="0"/>
          <w:numId w:val="806"/>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Політологія: навчально-методичний посібник (у схемах і таблицях) / за ред. В. С. Бліхара. Львів: ПП «Арал», 2018. 540 с.</w:t>
      </w:r>
    </w:p>
    <w:p w14:paraId="5DD5B04B" w14:textId="77777777" w:rsidR="00DF77B5" w:rsidRPr="00511005" w:rsidRDefault="00DF77B5" w:rsidP="003F6A5D">
      <w:pPr>
        <w:widowControl w:val="0"/>
        <w:numPr>
          <w:ilvl w:val="0"/>
          <w:numId w:val="806"/>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Кравченко О. В. Політична система суспільства: конспект лекцій з дисципліни «Політологія». Харків: УкрДАЗТ, 2009. 26 с.</w:t>
      </w:r>
    </w:p>
    <w:p w14:paraId="69D90369" w14:textId="77777777" w:rsidR="00DF77B5" w:rsidRPr="00511005" w:rsidRDefault="00DF77B5" w:rsidP="003F6A5D">
      <w:pPr>
        <w:widowControl w:val="0"/>
        <w:numPr>
          <w:ilvl w:val="0"/>
          <w:numId w:val="806"/>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Томахів В. Трансформація політичного режиму в незалежній Україні: загальні тенденції, особливості дефініцій // Українська наука: минуле, сучасне, майбутнє. 2014. Вип. 19(1). С. 336–342. URL: http://nbuv.gov.ua/UJRN/Un_msm_2014_19%281%29__40</w:t>
      </w:r>
    </w:p>
    <w:p w14:paraId="4564CF00" w14:textId="77777777" w:rsidR="00DF77B5" w:rsidRPr="00511005" w:rsidRDefault="00DF77B5" w:rsidP="003F6A5D">
      <w:pPr>
        <w:widowControl w:val="0"/>
        <w:numPr>
          <w:ilvl w:val="0"/>
          <w:numId w:val="806"/>
        </w:numPr>
        <w:autoSpaceDE w:val="0"/>
        <w:autoSpaceDN w:val="0"/>
        <w:spacing w:line="264" w:lineRule="auto"/>
        <w:jc w:val="left"/>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Збірник наукових праць здобувачів вищої освіти та молодих учених Приватного вищого навчального закладу «Міжнародний економікогуманітарний університет імені академіка Степана Дем’янчука». Вип. 1. Рівне: О. Зень, 2024. 342 с. </w:t>
      </w:r>
    </w:p>
    <w:p w14:paraId="47661681" w14:textId="6E877CCE" w:rsidR="00DF77B5" w:rsidRPr="00511005" w:rsidRDefault="007B2628" w:rsidP="006A743E">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Ключові слова: </w:t>
      </w:r>
      <w:r w:rsidR="00DF77B5" w:rsidRPr="00511005">
        <w:rPr>
          <w:rFonts w:ascii="Arial" w:eastAsia="Times New Roman" w:hAnsi="Arial" w:cs="Arial"/>
          <w:i/>
          <w:iCs/>
          <w:szCs w:val="28"/>
          <w:lang w:val="uk-UA" w:eastAsia="uk-UA"/>
        </w:rPr>
        <w:t>політична система, політичний режим, Революція Гідності, демократія, політичний процес, Євромайдан, Угода про асоціацію з ЄС.</w:t>
      </w:r>
    </w:p>
    <w:p w14:paraId="327A3518" w14:textId="5921F3E5" w:rsidR="00DF77B5" w:rsidRPr="00511005" w:rsidRDefault="007B2628" w:rsidP="006A743E">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bCs/>
          <w:i/>
          <w:iCs/>
          <w:szCs w:val="28"/>
          <w:lang w:val="uk-UA" w:eastAsia="uk-UA"/>
        </w:rPr>
        <w:t xml:space="preserve">Key words: </w:t>
      </w:r>
      <w:r w:rsidR="00DF77B5" w:rsidRPr="00511005">
        <w:rPr>
          <w:rFonts w:ascii="Arial" w:eastAsia="Times New Roman" w:hAnsi="Arial" w:cs="Arial"/>
          <w:i/>
          <w:iCs/>
          <w:szCs w:val="28"/>
          <w:lang w:val="uk-UA" w:eastAsia="uk-UA"/>
        </w:rPr>
        <w:t>political system, political regime, Revolution of Dignity, democracy, political process, Euromaidan, Association Agreement with the EU.</w:t>
      </w:r>
    </w:p>
    <w:p w14:paraId="1553B895" w14:textId="11B6AA27" w:rsidR="00DF77B5" w:rsidRPr="00511005" w:rsidRDefault="007B2628" w:rsidP="006A743E">
      <w:pPr>
        <w:widowControl w:val="0"/>
        <w:autoSpaceDE w:val="0"/>
        <w:autoSpaceDN w:val="0"/>
        <w:spacing w:line="264" w:lineRule="auto"/>
        <w:ind w:left="709" w:firstLine="0"/>
        <w:jc w:val="left"/>
        <w:rPr>
          <w:rFonts w:ascii="Arial" w:eastAsia="Times New Roman" w:hAnsi="Arial" w:cs="Arial"/>
          <w:i/>
          <w:iCs/>
          <w:szCs w:val="28"/>
          <w:lang w:val="uk-UA" w:eastAsia="uk-UA"/>
        </w:rPr>
      </w:pPr>
      <w:r w:rsidRPr="00511005">
        <w:rPr>
          <w:rFonts w:ascii="Arial" w:eastAsia="Times New Roman" w:hAnsi="Arial" w:cs="Arial"/>
          <w:b/>
          <w:i/>
          <w:iCs/>
          <w:szCs w:val="28"/>
          <w:lang w:val="uk-UA" w:eastAsia="uk-UA"/>
        </w:rPr>
        <w:t xml:space="preserve">Науковий керівник: </w:t>
      </w:r>
      <w:r w:rsidR="00DF77B5" w:rsidRPr="00511005">
        <w:rPr>
          <w:rFonts w:ascii="Arial" w:eastAsia="Times New Roman" w:hAnsi="Arial" w:cs="Arial"/>
          <w:i/>
          <w:iCs/>
          <w:szCs w:val="28"/>
          <w:lang w:val="uk-UA" w:eastAsia="uk-UA"/>
        </w:rPr>
        <w:t>д. і. н., професор</w:t>
      </w:r>
      <w:r w:rsidR="006A743E" w:rsidRPr="00511005">
        <w:rPr>
          <w:rFonts w:ascii="Arial" w:eastAsia="Times New Roman" w:hAnsi="Arial" w:cs="Arial"/>
          <w:i/>
          <w:iCs/>
          <w:szCs w:val="28"/>
          <w:lang w:val="uk-UA" w:eastAsia="uk-UA"/>
        </w:rPr>
        <w:t xml:space="preserve"> </w:t>
      </w:r>
      <w:r w:rsidR="00DF77B5" w:rsidRPr="00511005">
        <w:rPr>
          <w:rFonts w:ascii="Arial" w:eastAsia="Times New Roman" w:hAnsi="Arial" w:cs="Arial"/>
          <w:i/>
          <w:iCs/>
          <w:szCs w:val="28"/>
          <w:lang w:val="uk-UA" w:eastAsia="uk-UA"/>
        </w:rPr>
        <w:t>Кормич Л. І.</w:t>
      </w:r>
    </w:p>
    <w:p w14:paraId="134A3247" w14:textId="77777777" w:rsidR="00AC732D" w:rsidRPr="00511005" w:rsidRDefault="00AC732D" w:rsidP="003A292D">
      <w:pPr>
        <w:keepNext/>
        <w:spacing w:line="264" w:lineRule="auto"/>
        <w:ind w:firstLine="0"/>
        <w:jc w:val="left"/>
        <w:rPr>
          <w:rFonts w:ascii="Arial" w:eastAsia="Calibri" w:hAnsi="Arial" w:cs="Arial"/>
          <w:szCs w:val="28"/>
          <w:lang w:val="uk-UA"/>
        </w:rPr>
      </w:pPr>
    </w:p>
    <w:p w14:paraId="41166A5E" w14:textId="77777777" w:rsidR="003F5D68" w:rsidRPr="00511005" w:rsidRDefault="003F5D68" w:rsidP="003A292D">
      <w:pPr>
        <w:keepNext/>
        <w:spacing w:line="264" w:lineRule="auto"/>
        <w:ind w:firstLine="0"/>
        <w:jc w:val="left"/>
        <w:rPr>
          <w:rFonts w:ascii="Arial" w:hAnsi="Arial" w:cs="Arial"/>
          <w:szCs w:val="28"/>
        </w:rPr>
      </w:pPr>
    </w:p>
    <w:p w14:paraId="13FB6F98"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2FF4CCB9" w14:textId="77777777" w:rsidR="003F5D68" w:rsidRPr="00511005" w:rsidRDefault="003F5D68" w:rsidP="003A292D">
      <w:pPr>
        <w:keepNext/>
        <w:suppressAutoHyphens/>
        <w:spacing w:line="264" w:lineRule="auto"/>
        <w:ind w:firstLine="0"/>
        <w:jc w:val="left"/>
        <w:rPr>
          <w:rFonts w:ascii="Arial" w:hAnsi="Arial" w:cs="Arial"/>
          <w:szCs w:val="28"/>
        </w:rPr>
      </w:pPr>
    </w:p>
    <w:p w14:paraId="5D5E9904" w14:textId="6A86210D" w:rsidR="003F5D68" w:rsidRPr="00511005" w:rsidRDefault="003F5D68" w:rsidP="003A292D">
      <w:pPr>
        <w:pStyle w:val="aa"/>
        <w:spacing w:before="0" w:after="0" w:line="264" w:lineRule="auto"/>
        <w:rPr>
          <w:rFonts w:ascii="Arial" w:hAnsi="Arial" w:cs="Arial"/>
          <w:color w:val="auto"/>
          <w:sz w:val="28"/>
          <w:szCs w:val="28"/>
        </w:rPr>
      </w:pPr>
      <w:bookmarkStart w:id="341" w:name="_Toc208299012"/>
      <w:r w:rsidRPr="00511005">
        <w:rPr>
          <w:rFonts w:ascii="Arial" w:hAnsi="Arial" w:cs="Arial"/>
          <w:color w:val="auto"/>
          <w:sz w:val="28"/>
          <w:szCs w:val="28"/>
        </w:rPr>
        <w:t xml:space="preserve">СЕКЦІЯ </w:t>
      </w:r>
      <w:r w:rsidR="00256A2F" w:rsidRPr="00511005">
        <w:rPr>
          <w:rFonts w:ascii="Arial" w:hAnsi="Arial" w:cs="Arial"/>
          <w:color w:val="auto"/>
          <w:sz w:val="28"/>
          <w:szCs w:val="28"/>
          <w:lang w:val="ru-RU"/>
        </w:rPr>
        <w:t>2</w:t>
      </w:r>
      <w:r w:rsidR="00532C25" w:rsidRPr="00055389">
        <w:rPr>
          <w:rFonts w:ascii="Arial" w:hAnsi="Arial" w:cs="Arial"/>
          <w:color w:val="auto"/>
          <w:sz w:val="28"/>
          <w:szCs w:val="28"/>
          <w:lang w:val="ru-RU"/>
        </w:rPr>
        <w:t>1</w:t>
      </w:r>
      <w:r w:rsidR="00256A2F" w:rsidRPr="00511005">
        <w:rPr>
          <w:rFonts w:ascii="Arial" w:hAnsi="Arial" w:cs="Arial"/>
          <w:color w:val="auto"/>
          <w:sz w:val="28"/>
          <w:szCs w:val="28"/>
          <w:lang w:val="ru-RU"/>
        </w:rPr>
        <w:t>. СОЦІОЛОГІЧНІ ДОСЛІДЖЕННЯ ПОЛІТИЧНИХ, ПРАВОВИХ ТА СУСПІЛЬНИХ ПРОЦЕСІВ</w:t>
      </w:r>
      <w:bookmarkEnd w:id="341"/>
      <w:r w:rsidR="00256A2F" w:rsidRPr="00511005">
        <w:rPr>
          <w:rFonts w:ascii="Arial" w:hAnsi="Arial" w:cs="Arial"/>
          <w:color w:val="auto"/>
          <w:sz w:val="28"/>
          <w:szCs w:val="28"/>
        </w:rPr>
        <w:t xml:space="preserve"> </w:t>
      </w:r>
    </w:p>
    <w:p w14:paraId="1121170E" w14:textId="77777777" w:rsidR="003F5D68" w:rsidRPr="00511005" w:rsidRDefault="003F5D68" w:rsidP="003A292D">
      <w:pPr>
        <w:keepNext/>
        <w:spacing w:line="264" w:lineRule="auto"/>
        <w:ind w:firstLine="0"/>
        <w:jc w:val="left"/>
        <w:rPr>
          <w:rFonts w:ascii="Arial" w:hAnsi="Arial" w:cs="Arial"/>
          <w:szCs w:val="28"/>
        </w:rPr>
      </w:pPr>
    </w:p>
    <w:p w14:paraId="27A80404" w14:textId="77777777" w:rsidR="00AE57E7" w:rsidRPr="00511005" w:rsidRDefault="00AE57E7" w:rsidP="003A292D">
      <w:pPr>
        <w:spacing w:line="264" w:lineRule="auto"/>
        <w:jc w:val="center"/>
        <w:rPr>
          <w:rFonts w:ascii="Arial" w:eastAsia="Times New Roman" w:hAnsi="Arial" w:cs="Arial"/>
          <w:b/>
          <w:bCs/>
          <w:i/>
          <w:iCs/>
          <w:szCs w:val="28"/>
          <w:lang w:val="uk-UA"/>
        </w:rPr>
      </w:pPr>
      <w:r w:rsidRPr="00511005">
        <w:rPr>
          <w:rFonts w:ascii="Arial" w:eastAsia="Times New Roman" w:hAnsi="Arial" w:cs="Arial"/>
          <w:b/>
          <w:bCs/>
          <w:i/>
          <w:iCs/>
          <w:szCs w:val="28"/>
          <w:lang w:val="uk-UA"/>
        </w:rPr>
        <w:t>Дронова Марія Вадимівна</w:t>
      </w:r>
    </w:p>
    <w:p w14:paraId="73AED18F" w14:textId="01FD71AB" w:rsidR="00AE57E7" w:rsidRPr="00511005" w:rsidRDefault="00536AAB" w:rsidP="003A292D">
      <w:pPr>
        <w:spacing w:line="264" w:lineRule="auto"/>
        <w:jc w:val="center"/>
        <w:rPr>
          <w:rFonts w:ascii="Arial" w:eastAsia="Times New Roman" w:hAnsi="Arial" w:cs="Arial"/>
          <w:szCs w:val="28"/>
          <w:lang w:val="uk-UA"/>
        </w:rPr>
      </w:pPr>
      <w:r w:rsidRPr="00511005">
        <w:rPr>
          <w:rFonts w:ascii="Arial" w:eastAsia="Times New Roman" w:hAnsi="Arial" w:cs="Arial"/>
          <w:szCs w:val="28"/>
          <w:lang w:val="uk-UA"/>
        </w:rPr>
        <w:t>студентка 2-го курсу факультету психології, політології та соціології</w:t>
      </w:r>
    </w:p>
    <w:p w14:paraId="14AA5F6D" w14:textId="2DCB7CC5" w:rsidR="00AE57E7" w:rsidRPr="00511005" w:rsidRDefault="007B2628" w:rsidP="003A292D">
      <w:pPr>
        <w:spacing w:line="264" w:lineRule="auto"/>
        <w:jc w:val="center"/>
        <w:rPr>
          <w:rFonts w:ascii="Arial" w:eastAsia="Times New Roman" w:hAnsi="Arial" w:cs="Arial"/>
          <w:szCs w:val="28"/>
          <w:lang w:val="uk-UA"/>
        </w:rPr>
      </w:pPr>
      <w:r w:rsidRPr="00511005">
        <w:rPr>
          <w:rFonts w:ascii="Arial" w:eastAsia="Times New Roman" w:hAnsi="Arial" w:cs="Arial"/>
          <w:szCs w:val="28"/>
          <w:lang w:val="uk-UA"/>
        </w:rPr>
        <w:t>Національного університету «Одеська юридична академія»</w:t>
      </w:r>
    </w:p>
    <w:p w14:paraId="671B9177" w14:textId="77777777" w:rsidR="00AE57E7" w:rsidRPr="00511005" w:rsidRDefault="00AE57E7" w:rsidP="003A292D">
      <w:pPr>
        <w:spacing w:line="264" w:lineRule="auto"/>
        <w:jc w:val="center"/>
        <w:rPr>
          <w:rFonts w:ascii="Arial" w:eastAsia="Times New Roman" w:hAnsi="Arial" w:cs="Arial"/>
          <w:szCs w:val="28"/>
          <w:lang w:val="uk-UA"/>
        </w:rPr>
      </w:pPr>
    </w:p>
    <w:p w14:paraId="27A87D44" w14:textId="77777777" w:rsidR="00AE57E7" w:rsidRPr="00511005" w:rsidRDefault="00AE57E7" w:rsidP="003A292D">
      <w:pPr>
        <w:spacing w:line="264" w:lineRule="auto"/>
        <w:jc w:val="center"/>
        <w:rPr>
          <w:rFonts w:ascii="Arial" w:eastAsia="Times New Roman" w:hAnsi="Arial" w:cs="Arial"/>
          <w:b/>
          <w:bCs/>
          <w:szCs w:val="28"/>
          <w:lang w:val="uk-UA"/>
        </w:rPr>
      </w:pPr>
      <w:r w:rsidRPr="00511005">
        <w:rPr>
          <w:rFonts w:ascii="Arial" w:eastAsia="Times New Roman" w:hAnsi="Arial" w:cs="Arial"/>
          <w:b/>
          <w:bCs/>
          <w:szCs w:val="28"/>
          <w:lang w:val="uk-UA"/>
        </w:rPr>
        <w:t>ВПЛИВ РЕЛІГІЙНИХ ОРГАНІЗАЦІЙ В УМОВАХ ВІЙНИ</w:t>
      </w:r>
    </w:p>
    <w:p w14:paraId="05DA56EC"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Повномасштабне російське вторгнення на територію України стало не лише актом воєнної агресії, а й глибоким суспільним переломом, який радикально змінив усі сфери життя – від політики й економіки до культури та духовності. В умовах постійного стресу, втрат, вимушеного переміщення і загальної нестабільності особливо гостро постала потреба у моральній опорі, підтримці, надії. Одними з небагатьох соціальних інституцій, які не лише зберегли функціональність, але й змогли швидко адаптуватися до нової реальності, стали релігійні організації.</w:t>
      </w:r>
    </w:p>
    <w:p w14:paraId="24455E93"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Їхній вплив в умовах війни виявився багатовимірним і таким, що виходить за межі традиційного розуміння релігії як приватної чи суто духовної сфери. Уже з перших днів повномасштабного вторгнення релігійні громади активізували свою діяльність, перетворивши храми на гуманітарні центри, осередки психологічної підтримки й інформаційної взаємодії. М. Паращевін зазначає, що релігійні організації надають моральну підтримку діям, спрямованим на зміну суспільних умов, підтримують проґресивні й гуманістичні ідеї, долучаються до соціально-політичної активності, леґітимують зміни, делеґітимують чинний лад, мобілізують маси та діють як частина громадянського суспільства [3, с. 53].</w:t>
      </w:r>
    </w:p>
    <w:p w14:paraId="1449E1C8"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Релігійні організації організовували збір і розподіл гуманітарної допомоги, брали участь у волонтерських ініціативах, забезпечували житлом внутрішньо переміщених осіб, координували евакуаційні маршрути. У більшості випадків така допомога здійснювалася на добровільних засадах, без централізованого фінансування, проте охоплювала широкі соціальні категорії – від багатодітних родин до літніх людей, осіб з інвалідністю, самотніх мешканців прифронтових територій. У цій діяльності брали участь не лише християнські конфесії, а й мусульманські, юдейські та протестантські громади, що свідчить про широке міжрелігійне об’єднання зусиль [1, с. 30-31].</w:t>
      </w:r>
    </w:p>
    <w:p w14:paraId="716767DB"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 xml:space="preserve">Окремо слід відзначити діяльність капеланів – військових душпастирів, чия роль істотно змінилася в умовах активної фази бойових дій. Якщо до 2022 року капеланське служіння в Україні мало переважно добровільний і допоміжний характер, то з початком повномасштабної війни воно отримало законодавче визнання та інституційну структуру. Капелани супроводжують </w:t>
      </w:r>
      <w:r w:rsidRPr="00511005">
        <w:rPr>
          <w:rFonts w:ascii="Arial" w:eastAsia="Times New Roman" w:hAnsi="Arial" w:cs="Arial"/>
          <w:szCs w:val="28"/>
          <w:lang w:val="uk-UA"/>
        </w:rPr>
        <w:lastRenderedPageBreak/>
        <w:t>українських військових безпосередньо на передовій, надаючи духовну, емоційну й навіть психологічну допомогу, проводять обряди, молитовні зустрічі, індивідуальні бесіди. Їх присутність часто є вирішальною у збереженні моральної витримки та бойового духу військових, особливо після втрат чи у стані виснаження [2, с. 34-36].</w:t>
      </w:r>
    </w:p>
    <w:p w14:paraId="27083139"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Діяльність релігійних структур також має чіткий громадянський і навіть політичний вимір. Представники основних конфесій публічно засудили російську агресію, закликали до єдності, збереження державності, консолідації суспільства. Заяви та звернення Всеукраїнської Ради Церков і релігійних організацій відіграли важливу роль у формуванні морального наративу національного спротиву [1]. Участь духовенства в гуманітарній дипломатії, висвітленні подій у країні на міжнародному рівні та забезпеченні інформаційної обізнаності громадян дозволила зберегти високий рівень довіри до церков як соціальних інституцій.</w:t>
      </w:r>
    </w:p>
    <w:p w14:paraId="00552A82"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Водночас на тлі релігійного розколу та інформаційної війни в Україні загострюється протистояння між Православною церквою України (ПЦУ) й Українською православною церквою (УПЦ), яка має історичні зв’язки з Московським патріархатом. ПЦУ підтримує українську державність і протистоїть російській агресії, тоді як УПЦ, попри заяви про незалежність, часто демонструє риторику, що викликає підозри у проросійських симпатіях. Цей конфлікт спричиняє розкол громад, переходи парафій, судові спори та фізичні сутички, а також посилюється російською пропагандою, що використовує релігійне питання для дестабілізації українського суспільства.</w:t>
      </w:r>
    </w:p>
    <w:p w14:paraId="5E4C65B0"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Попри спроби агресора підірвати релігійну єдність в Україні, опитування центру Разумкова (2024) свідчить про збереження загалом позитивного ставлення громадян до православ’я (75%). Однак щодо окремих церков ситуація складніша: 64% українців позитивно ставляться до Православної церкви України, тоді як лише 13% — до Української православної церкви (Московського патріархату), яка після початку повномасштабної війни стала об’єктом найвищого рівня недовіри (54% негативних оцінок), що контрастує з довоєнними показниками [4, с. 18].</w:t>
      </w:r>
    </w:p>
    <w:p w14:paraId="33E5EE13" w14:textId="77777777" w:rsidR="00AE57E7" w:rsidRPr="00511005" w:rsidRDefault="00AE57E7" w:rsidP="003A292D">
      <w:pPr>
        <w:spacing w:line="264" w:lineRule="auto"/>
        <w:rPr>
          <w:rFonts w:ascii="Arial" w:eastAsia="Times New Roman" w:hAnsi="Arial" w:cs="Arial"/>
          <w:szCs w:val="28"/>
          <w:lang w:val="uk-UA"/>
        </w:rPr>
      </w:pPr>
      <w:r w:rsidRPr="00511005">
        <w:rPr>
          <w:rFonts w:ascii="Arial" w:eastAsia="Times New Roman" w:hAnsi="Arial" w:cs="Arial"/>
          <w:szCs w:val="28"/>
          <w:lang w:val="uk-UA"/>
        </w:rPr>
        <w:t>Таким чином, повномасштабна війна в Україні продемонструвала, що релігійні організації здатні не лише адаптуватися до кризових умов, а й стати важливим чинником соціальної підтримки, єднання та морального спротиву. Вони відіграють ключову роль у гуманітарній, духовній, психологічній і навіть інформаційній площинах, сприяючи зміцненню громадянського суспільства та національної згуртованості. Попри наявність міжконфесійного конфлікту та впливу зовнішньої пропаганди, довіра до релігії як соціального інституту в українському суспільстві залишається високою, а підтримка національно орієнтованих церков – стабільно зростає.</w:t>
      </w:r>
    </w:p>
    <w:p w14:paraId="16EB2EAA" w14:textId="27AA4301" w:rsidR="00AE57E7" w:rsidRPr="00511005" w:rsidRDefault="00AE57E7" w:rsidP="003A292D">
      <w:pPr>
        <w:spacing w:line="264" w:lineRule="auto"/>
        <w:jc w:val="center"/>
        <w:rPr>
          <w:rFonts w:ascii="Arial" w:eastAsia="Times New Roman" w:hAnsi="Arial" w:cs="Arial"/>
          <w:b/>
          <w:bCs/>
          <w:szCs w:val="28"/>
          <w:lang w:val="uk-UA"/>
        </w:rPr>
      </w:pPr>
    </w:p>
    <w:p w14:paraId="49D956FA" w14:textId="77777777" w:rsidR="006A743E" w:rsidRPr="00511005" w:rsidRDefault="006A743E" w:rsidP="003A292D">
      <w:pPr>
        <w:spacing w:line="264" w:lineRule="auto"/>
        <w:jc w:val="center"/>
        <w:rPr>
          <w:rFonts w:ascii="Arial" w:eastAsia="Times New Roman" w:hAnsi="Arial" w:cs="Arial"/>
          <w:b/>
          <w:bCs/>
          <w:szCs w:val="28"/>
          <w:lang w:val="uk-UA"/>
        </w:rPr>
      </w:pPr>
    </w:p>
    <w:p w14:paraId="5769E87A" w14:textId="3D72F53D" w:rsidR="00AE57E7" w:rsidRPr="00511005" w:rsidRDefault="007B2628" w:rsidP="007B2628">
      <w:pPr>
        <w:spacing w:line="264" w:lineRule="auto"/>
        <w:jc w:val="center"/>
        <w:rPr>
          <w:rFonts w:ascii="Arial" w:eastAsia="Times New Roman" w:hAnsi="Arial" w:cs="Arial"/>
          <w:b/>
          <w:bCs/>
          <w:szCs w:val="28"/>
          <w:lang w:val="uk-UA"/>
        </w:rPr>
      </w:pPr>
      <w:r w:rsidRPr="00511005">
        <w:rPr>
          <w:rFonts w:ascii="Arial" w:eastAsia="Times New Roman" w:hAnsi="Arial" w:cs="Arial"/>
          <w:b/>
          <w:bCs/>
          <w:szCs w:val="28"/>
          <w:lang w:val="uk-UA"/>
        </w:rPr>
        <w:lastRenderedPageBreak/>
        <w:t>Список використаних джерел</w:t>
      </w:r>
    </w:p>
    <w:p w14:paraId="15087D6B" w14:textId="77777777" w:rsidR="00AE57E7" w:rsidRPr="00511005" w:rsidRDefault="00AE57E7" w:rsidP="003F6A5D">
      <w:pPr>
        <w:numPr>
          <w:ilvl w:val="0"/>
          <w:numId w:val="759"/>
        </w:numPr>
        <w:spacing w:line="264" w:lineRule="auto"/>
        <w:contextualSpacing/>
        <w:jc w:val="left"/>
        <w:rPr>
          <w:rFonts w:ascii="Arial" w:eastAsia="Aptos" w:hAnsi="Arial" w:cs="Arial"/>
          <w:szCs w:val="28"/>
          <w:lang w:val="uk-UA"/>
        </w:rPr>
      </w:pPr>
      <w:r w:rsidRPr="00511005">
        <w:rPr>
          <w:rFonts w:ascii="Arial" w:eastAsia="Times New Roman" w:hAnsi="Arial" w:cs="Arial"/>
          <w:szCs w:val="28"/>
          <w:lang w:val="uk-UA"/>
        </w:rPr>
        <w:t xml:space="preserve">Мякінченко І., Сологуб М., Подкур В. Всеукраїнська Рада Церков і релігійних організацій в умовах повномасштабної російської військової агресії проти України. </w:t>
      </w:r>
      <w:r w:rsidRPr="00511005">
        <w:rPr>
          <w:rFonts w:ascii="Arial" w:eastAsia="Times New Roman" w:hAnsi="Arial" w:cs="Arial"/>
          <w:szCs w:val="28"/>
          <w:lang w:val="en-US"/>
        </w:rPr>
        <w:t>URL:</w:t>
      </w:r>
      <w:r w:rsidRPr="00511005">
        <w:rPr>
          <w:rFonts w:ascii="Arial" w:eastAsia="Times New Roman" w:hAnsi="Arial" w:cs="Arial"/>
          <w:szCs w:val="28"/>
          <w:lang w:val="uk-UA"/>
        </w:rPr>
        <w:t xml:space="preserve"> </w:t>
      </w:r>
      <w:hyperlink r:id="rId2576">
        <w:r w:rsidRPr="00511005">
          <w:rPr>
            <w:rFonts w:ascii="Arial" w:eastAsia="Times New Roman" w:hAnsi="Arial" w:cs="Arial"/>
            <w:szCs w:val="28"/>
            <w:lang w:val="uk-UA"/>
          </w:rPr>
          <w:t>https://doi.org/10.35433/history.112070</w:t>
        </w:r>
      </w:hyperlink>
      <w:r w:rsidRPr="00511005">
        <w:rPr>
          <w:rFonts w:ascii="Arial" w:eastAsia="Times New Roman" w:hAnsi="Arial" w:cs="Arial"/>
          <w:szCs w:val="28"/>
          <w:lang w:val="uk-UA"/>
        </w:rPr>
        <w:t xml:space="preserve"> (дата звернення: 08.05.2025)</w:t>
      </w:r>
    </w:p>
    <w:p w14:paraId="01C03755" w14:textId="77777777" w:rsidR="00AE57E7" w:rsidRPr="00511005" w:rsidRDefault="00AE57E7" w:rsidP="003F6A5D">
      <w:pPr>
        <w:numPr>
          <w:ilvl w:val="0"/>
          <w:numId w:val="759"/>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Панько О., Бегей С. (2023). Соціальна робота церков та релігійних організацій в умовах війни в України // Філософія та політологія в контексті сучасної культури. - 15(2). - 2023. - С. 29-39. URL: </w:t>
      </w:r>
      <w:hyperlink r:id="rId2577">
        <w:r w:rsidRPr="00511005">
          <w:rPr>
            <w:rFonts w:ascii="Arial" w:eastAsia="Times New Roman" w:hAnsi="Arial" w:cs="Arial"/>
            <w:szCs w:val="28"/>
            <w:lang w:val="uk-UA"/>
          </w:rPr>
          <w:t>https://doi.org/10.15421/352340</w:t>
        </w:r>
      </w:hyperlink>
      <w:r w:rsidRPr="00511005">
        <w:rPr>
          <w:rFonts w:ascii="Arial" w:eastAsia="Times New Roman" w:hAnsi="Arial" w:cs="Arial"/>
          <w:szCs w:val="28"/>
          <w:lang w:val="uk-UA"/>
        </w:rPr>
        <w:t xml:space="preserve"> (дата звернення: 08.05.2025)</w:t>
      </w:r>
    </w:p>
    <w:p w14:paraId="461779F7" w14:textId="77777777" w:rsidR="00AE57E7" w:rsidRPr="00511005" w:rsidRDefault="00AE57E7" w:rsidP="003F6A5D">
      <w:pPr>
        <w:numPr>
          <w:ilvl w:val="0"/>
          <w:numId w:val="759"/>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Паращевін М. Релігія як чинник системних змін у суспільстві: особливості сучасного стану // Соц</w:t>
      </w:r>
      <w:r w:rsidRPr="00511005">
        <w:rPr>
          <w:rFonts w:ascii="Arial" w:eastAsia="Times New Roman" w:hAnsi="Arial" w:cs="Arial"/>
          <w:szCs w:val="28"/>
        </w:rPr>
        <w:t>i</w:t>
      </w:r>
      <w:r w:rsidRPr="00511005">
        <w:rPr>
          <w:rFonts w:ascii="Arial" w:eastAsia="Times New Roman" w:hAnsi="Arial" w:cs="Arial"/>
          <w:szCs w:val="28"/>
          <w:lang w:val="uk-UA"/>
        </w:rPr>
        <w:t>олог</w:t>
      </w:r>
      <w:r w:rsidRPr="00511005">
        <w:rPr>
          <w:rFonts w:ascii="Arial" w:eastAsia="Times New Roman" w:hAnsi="Arial" w:cs="Arial"/>
          <w:szCs w:val="28"/>
        </w:rPr>
        <w:t>i</w:t>
      </w:r>
      <w:r w:rsidRPr="00511005">
        <w:rPr>
          <w:rFonts w:ascii="Arial" w:eastAsia="Times New Roman" w:hAnsi="Arial" w:cs="Arial"/>
          <w:szCs w:val="28"/>
          <w:lang w:val="uk-UA"/>
        </w:rPr>
        <w:t>я: теор</w:t>
      </w:r>
      <w:r w:rsidRPr="00511005">
        <w:rPr>
          <w:rFonts w:ascii="Arial" w:eastAsia="Times New Roman" w:hAnsi="Arial" w:cs="Arial"/>
          <w:szCs w:val="28"/>
        </w:rPr>
        <w:t>i</w:t>
      </w:r>
      <w:r w:rsidRPr="00511005">
        <w:rPr>
          <w:rFonts w:ascii="Arial" w:eastAsia="Times New Roman" w:hAnsi="Arial" w:cs="Arial"/>
          <w:szCs w:val="28"/>
          <w:lang w:val="uk-UA"/>
        </w:rPr>
        <w:t xml:space="preserve">я, методи, маркетинг. — № 4. — 2023. — </w:t>
      </w:r>
      <w:r w:rsidRPr="00511005">
        <w:rPr>
          <w:rFonts w:ascii="Arial" w:eastAsia="Times New Roman" w:hAnsi="Arial" w:cs="Arial"/>
          <w:szCs w:val="28"/>
        </w:rPr>
        <w:t>C</w:t>
      </w:r>
      <w:r w:rsidRPr="00511005">
        <w:rPr>
          <w:rFonts w:ascii="Arial" w:eastAsia="Times New Roman" w:hAnsi="Arial" w:cs="Arial"/>
          <w:szCs w:val="28"/>
          <w:lang w:val="uk-UA"/>
        </w:rPr>
        <w:t xml:space="preserve">. 50-64. </w:t>
      </w:r>
      <w:r w:rsidRPr="00511005">
        <w:rPr>
          <w:rFonts w:ascii="Arial" w:eastAsia="Times New Roman" w:hAnsi="Arial" w:cs="Arial"/>
          <w:szCs w:val="28"/>
          <w:lang w:val="en-US"/>
        </w:rPr>
        <w:t>URL:</w:t>
      </w:r>
      <w:r w:rsidRPr="00511005">
        <w:rPr>
          <w:rFonts w:ascii="Arial" w:eastAsia="Times New Roman" w:hAnsi="Arial" w:cs="Arial"/>
          <w:szCs w:val="28"/>
          <w:lang w:val="uk-UA"/>
        </w:rPr>
        <w:t xml:space="preserve"> </w:t>
      </w:r>
      <w:hyperlink r:id="rId2578">
        <w:r w:rsidRPr="00511005">
          <w:rPr>
            <w:rFonts w:ascii="Arial" w:eastAsia="Times New Roman" w:hAnsi="Arial" w:cs="Arial"/>
            <w:szCs w:val="28"/>
            <w:lang w:val="uk-UA"/>
          </w:rPr>
          <w:t>http://dx.doi.org/10.15407/sociology2023.04.040</w:t>
        </w:r>
      </w:hyperlink>
      <w:r w:rsidRPr="00511005">
        <w:rPr>
          <w:rFonts w:ascii="Arial" w:eastAsia="Times New Roman" w:hAnsi="Arial" w:cs="Arial"/>
          <w:szCs w:val="28"/>
          <w:lang w:val="uk-UA"/>
        </w:rPr>
        <w:t xml:space="preserve"> (дата звернення: 08.05.2025)</w:t>
      </w:r>
    </w:p>
    <w:p w14:paraId="0DAEDA85" w14:textId="77777777" w:rsidR="00AE57E7" w:rsidRPr="00511005" w:rsidRDefault="00AE57E7" w:rsidP="003F6A5D">
      <w:pPr>
        <w:numPr>
          <w:ilvl w:val="0"/>
          <w:numId w:val="759"/>
        </w:numPr>
        <w:spacing w:line="264" w:lineRule="auto"/>
        <w:contextualSpacing/>
        <w:jc w:val="left"/>
        <w:rPr>
          <w:rFonts w:ascii="Arial" w:eastAsia="Times New Roman" w:hAnsi="Arial" w:cs="Arial"/>
          <w:szCs w:val="28"/>
          <w:lang w:val="uk-UA"/>
        </w:rPr>
      </w:pPr>
      <w:r w:rsidRPr="00511005">
        <w:rPr>
          <w:rFonts w:ascii="Arial" w:eastAsia="Times New Roman" w:hAnsi="Arial" w:cs="Arial"/>
          <w:szCs w:val="28"/>
          <w:lang w:val="uk-UA"/>
        </w:rPr>
        <w:t xml:space="preserve">Рівень релігійності, довіра до Церкви, конфесійний розподіл та міжцерковні відносини в українському суспільстві (жовтень 2024р.). </w:t>
      </w:r>
      <w:r w:rsidRPr="00511005">
        <w:rPr>
          <w:rFonts w:ascii="Arial" w:eastAsia="Times New Roman" w:hAnsi="Arial" w:cs="Arial"/>
          <w:szCs w:val="28"/>
          <w:lang w:val="en-US"/>
        </w:rPr>
        <w:t>URL</w:t>
      </w:r>
      <w:r w:rsidRPr="00511005">
        <w:rPr>
          <w:rFonts w:ascii="Arial" w:eastAsia="Times New Roman" w:hAnsi="Arial" w:cs="Arial"/>
          <w:szCs w:val="28"/>
        </w:rPr>
        <w:t>:</w:t>
      </w:r>
      <w:r w:rsidRPr="00511005">
        <w:rPr>
          <w:rFonts w:ascii="Arial" w:eastAsia="Times New Roman" w:hAnsi="Arial" w:cs="Arial"/>
          <w:szCs w:val="28"/>
          <w:lang w:val="uk-UA"/>
        </w:rPr>
        <w:t xml:space="preserve"> </w:t>
      </w:r>
      <w:hyperlink r:id="rId2579">
        <w:r w:rsidRPr="00511005">
          <w:rPr>
            <w:rFonts w:ascii="Arial" w:eastAsia="Times New Roman" w:hAnsi="Arial" w:cs="Arial"/>
            <w:szCs w:val="28"/>
            <w:lang w:val="uk-UA"/>
          </w:rPr>
          <w:t>https://razumkov.org.ua/images/2025/01/28/2024-Religiya-religion-FIN.pdf</w:t>
        </w:r>
      </w:hyperlink>
      <w:r w:rsidRPr="00511005">
        <w:rPr>
          <w:rFonts w:ascii="Arial" w:eastAsia="Times New Roman" w:hAnsi="Arial" w:cs="Arial"/>
          <w:szCs w:val="28"/>
          <w:lang w:val="uk-UA"/>
        </w:rPr>
        <w:t xml:space="preserve"> (дата звернення: 08.05.2025)</w:t>
      </w:r>
    </w:p>
    <w:p w14:paraId="0801C602" w14:textId="77777777" w:rsidR="00AE57E7" w:rsidRPr="00511005" w:rsidRDefault="00AE57E7" w:rsidP="003A292D">
      <w:pPr>
        <w:spacing w:line="264" w:lineRule="auto"/>
        <w:ind w:firstLine="0"/>
        <w:rPr>
          <w:rFonts w:ascii="Arial" w:eastAsia="Times New Roman" w:hAnsi="Arial" w:cs="Arial"/>
          <w:szCs w:val="28"/>
          <w:lang w:val="uk-UA"/>
        </w:rPr>
      </w:pPr>
    </w:p>
    <w:p w14:paraId="4715FC37" w14:textId="4B19A906" w:rsidR="00AE57E7"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bCs/>
          <w:i/>
          <w:szCs w:val="28"/>
          <w:lang w:val="uk-UA"/>
        </w:rPr>
        <w:t xml:space="preserve">Ключові слова: </w:t>
      </w:r>
      <w:r w:rsidR="00AE57E7" w:rsidRPr="00511005">
        <w:rPr>
          <w:rFonts w:ascii="Arial" w:eastAsia="Times New Roman" w:hAnsi="Arial" w:cs="Arial"/>
          <w:szCs w:val="28"/>
          <w:lang w:val="uk-UA"/>
        </w:rPr>
        <w:t>війна, повномасштабне вторгнення, релігійні організації, релігія, гуманітарна допомога, духовна підтримка, капеланство, міжконфесійний конфлікт, ПЦУ, УПЦ.</w:t>
      </w:r>
    </w:p>
    <w:p w14:paraId="31799A61" w14:textId="6B05F698" w:rsidR="00AE57E7" w:rsidRPr="00511005" w:rsidRDefault="007B2628" w:rsidP="003A292D">
      <w:pPr>
        <w:spacing w:line="264" w:lineRule="auto"/>
        <w:rPr>
          <w:rFonts w:ascii="Arial" w:eastAsia="Times New Roman" w:hAnsi="Arial" w:cs="Arial"/>
          <w:szCs w:val="28"/>
          <w:lang w:val="uk-UA"/>
        </w:rPr>
      </w:pPr>
      <w:r w:rsidRPr="00511005">
        <w:rPr>
          <w:rFonts w:ascii="Arial" w:eastAsia="Times New Roman" w:hAnsi="Arial" w:cs="Arial"/>
          <w:b/>
          <w:bCs/>
          <w:i/>
          <w:szCs w:val="28"/>
          <w:lang w:val="uk-UA"/>
        </w:rPr>
        <w:t xml:space="preserve">Key words: </w:t>
      </w:r>
      <w:r w:rsidR="00AE57E7" w:rsidRPr="00511005">
        <w:rPr>
          <w:rFonts w:ascii="Arial" w:eastAsia="Times New Roman" w:hAnsi="Arial" w:cs="Arial"/>
          <w:szCs w:val="28"/>
          <w:lang w:val="uk-UA"/>
        </w:rPr>
        <w:t>war, full-scale invasion, religious organizations, religion, humanitarian aid, spiritual support, chaplaincy, interfaith conflict, OCU, UOC.</w:t>
      </w:r>
    </w:p>
    <w:p w14:paraId="21245142" w14:textId="6FA7643D" w:rsidR="00AE57E7" w:rsidRPr="00511005" w:rsidRDefault="007B2628" w:rsidP="006A743E">
      <w:pPr>
        <w:spacing w:line="264" w:lineRule="auto"/>
        <w:ind w:firstLine="708"/>
        <w:jc w:val="left"/>
        <w:rPr>
          <w:rFonts w:ascii="Arial" w:eastAsia="Times New Roman" w:hAnsi="Arial" w:cs="Arial"/>
          <w:i/>
          <w:iCs/>
          <w:szCs w:val="28"/>
          <w:lang w:val="uk-UA"/>
        </w:rPr>
      </w:pPr>
      <w:r w:rsidRPr="00511005">
        <w:rPr>
          <w:rFonts w:ascii="Arial" w:eastAsia="Times New Roman" w:hAnsi="Arial" w:cs="Arial"/>
          <w:b/>
          <w:i/>
          <w:iCs/>
          <w:szCs w:val="28"/>
          <w:lang w:val="uk-UA"/>
        </w:rPr>
        <w:t xml:space="preserve">Науковий керівник: </w:t>
      </w:r>
      <w:r w:rsidR="00AE57E7" w:rsidRPr="00511005">
        <w:rPr>
          <w:rFonts w:ascii="Arial" w:eastAsia="Times New Roman" w:hAnsi="Arial" w:cs="Arial"/>
          <w:i/>
          <w:iCs/>
          <w:szCs w:val="28"/>
          <w:lang w:val="uk-UA"/>
        </w:rPr>
        <w:t>д. політ. н., професор Яковлева Л. І.</w:t>
      </w:r>
    </w:p>
    <w:p w14:paraId="094E1889" w14:textId="12CA5B1D" w:rsidR="00AE57E7" w:rsidRPr="00511005" w:rsidRDefault="00AE57E7" w:rsidP="003A292D">
      <w:pPr>
        <w:spacing w:line="264" w:lineRule="auto"/>
        <w:rPr>
          <w:rFonts w:ascii="Arial" w:eastAsia="Times New Roman" w:hAnsi="Arial" w:cs="Arial"/>
          <w:i/>
          <w:iCs/>
          <w:szCs w:val="28"/>
          <w:lang w:val="uk-UA"/>
        </w:rPr>
      </w:pPr>
    </w:p>
    <w:p w14:paraId="781626C6" w14:textId="77777777" w:rsidR="00C66506" w:rsidRPr="00511005" w:rsidRDefault="00C66506" w:rsidP="003A292D">
      <w:pPr>
        <w:spacing w:line="264" w:lineRule="auto"/>
        <w:rPr>
          <w:rFonts w:ascii="Arial" w:eastAsia="Times New Roman" w:hAnsi="Arial" w:cs="Arial"/>
          <w:i/>
          <w:iCs/>
          <w:szCs w:val="28"/>
          <w:lang w:val="uk-UA"/>
        </w:rPr>
      </w:pPr>
    </w:p>
    <w:p w14:paraId="14100528" w14:textId="77777777" w:rsidR="00AE57E7" w:rsidRPr="00511005" w:rsidRDefault="00AE57E7" w:rsidP="003A292D">
      <w:pPr>
        <w:spacing w:line="264" w:lineRule="auto"/>
        <w:ind w:firstLine="0"/>
        <w:jc w:val="center"/>
        <w:rPr>
          <w:rFonts w:ascii="Arial" w:eastAsia="Aptos" w:hAnsi="Arial" w:cs="Arial"/>
          <w:b/>
          <w:bCs/>
          <w:kern w:val="2"/>
          <w:szCs w:val="28"/>
        </w:rPr>
      </w:pPr>
      <w:r w:rsidRPr="00511005">
        <w:rPr>
          <w:rFonts w:ascii="Arial" w:eastAsia="Aptos" w:hAnsi="Arial" w:cs="Arial"/>
          <w:b/>
          <w:bCs/>
          <w:kern w:val="2"/>
          <w:szCs w:val="28"/>
        </w:rPr>
        <w:t>Зайцева Діана Олександрівна</w:t>
      </w:r>
    </w:p>
    <w:p w14:paraId="07ADE836" w14:textId="699FA2CF" w:rsidR="00AE57E7" w:rsidRPr="00511005" w:rsidRDefault="00536AAB" w:rsidP="003A292D">
      <w:pPr>
        <w:spacing w:line="264" w:lineRule="auto"/>
        <w:ind w:firstLine="0"/>
        <w:jc w:val="center"/>
        <w:rPr>
          <w:rFonts w:ascii="Arial" w:eastAsia="Aptos" w:hAnsi="Arial" w:cs="Arial"/>
          <w:kern w:val="2"/>
          <w:szCs w:val="28"/>
        </w:rPr>
      </w:pPr>
      <w:r w:rsidRPr="00511005">
        <w:rPr>
          <w:rFonts w:ascii="Arial" w:eastAsia="Aptos" w:hAnsi="Arial" w:cs="Arial"/>
          <w:kern w:val="2"/>
          <w:szCs w:val="28"/>
        </w:rPr>
        <w:t xml:space="preserve">студентка 2-го курсу </w:t>
      </w:r>
      <w:r w:rsidR="00AE57E7" w:rsidRPr="00511005">
        <w:rPr>
          <w:rFonts w:ascii="Arial" w:eastAsia="Aptos" w:hAnsi="Arial" w:cs="Arial"/>
          <w:kern w:val="2"/>
          <w:szCs w:val="28"/>
        </w:rPr>
        <w:t>факультету психологiї, пол</w:t>
      </w:r>
      <w:bookmarkStart w:id="342" w:name="_Hlk197703121"/>
      <w:r w:rsidR="00AE57E7" w:rsidRPr="00511005">
        <w:rPr>
          <w:rFonts w:ascii="Arial" w:eastAsia="Aptos" w:hAnsi="Arial" w:cs="Arial"/>
          <w:kern w:val="2"/>
          <w:szCs w:val="28"/>
        </w:rPr>
        <w:t>і</w:t>
      </w:r>
      <w:bookmarkEnd w:id="342"/>
      <w:r w:rsidR="00AE57E7" w:rsidRPr="00511005">
        <w:rPr>
          <w:rFonts w:ascii="Arial" w:eastAsia="Aptos" w:hAnsi="Arial" w:cs="Arial"/>
          <w:kern w:val="2"/>
          <w:szCs w:val="28"/>
        </w:rPr>
        <w:t>тологiї та соцiологiї</w:t>
      </w:r>
    </w:p>
    <w:p w14:paraId="35B2144B" w14:textId="04DA5F76" w:rsidR="00AE57E7" w:rsidRPr="00511005" w:rsidRDefault="007B2628" w:rsidP="003A292D">
      <w:pPr>
        <w:spacing w:line="264" w:lineRule="auto"/>
        <w:ind w:firstLine="0"/>
        <w:jc w:val="center"/>
        <w:rPr>
          <w:rFonts w:ascii="Arial" w:eastAsia="Aptos" w:hAnsi="Arial" w:cs="Arial"/>
          <w:kern w:val="2"/>
          <w:szCs w:val="28"/>
        </w:rPr>
      </w:pPr>
      <w:r w:rsidRPr="00511005">
        <w:rPr>
          <w:rFonts w:ascii="Arial" w:eastAsia="Aptos" w:hAnsi="Arial" w:cs="Arial"/>
          <w:kern w:val="2"/>
          <w:szCs w:val="28"/>
        </w:rPr>
        <w:t>Національного університету «Одеська юридична академія»</w:t>
      </w:r>
    </w:p>
    <w:p w14:paraId="488CEA23" w14:textId="77777777" w:rsidR="00C66506" w:rsidRPr="00511005" w:rsidRDefault="00C66506" w:rsidP="003A292D">
      <w:pPr>
        <w:spacing w:line="264" w:lineRule="auto"/>
        <w:ind w:firstLine="0"/>
        <w:jc w:val="center"/>
        <w:rPr>
          <w:rFonts w:ascii="Arial" w:eastAsia="Aptos" w:hAnsi="Arial" w:cs="Arial"/>
          <w:kern w:val="2"/>
          <w:szCs w:val="28"/>
        </w:rPr>
      </w:pPr>
    </w:p>
    <w:p w14:paraId="0BC14F53" w14:textId="77777777" w:rsidR="00AE57E7" w:rsidRPr="00511005" w:rsidRDefault="00AE57E7" w:rsidP="003A292D">
      <w:pPr>
        <w:spacing w:line="264" w:lineRule="auto"/>
        <w:ind w:firstLine="0"/>
        <w:jc w:val="center"/>
        <w:rPr>
          <w:rFonts w:ascii="Arial" w:eastAsia="Aptos" w:hAnsi="Arial" w:cs="Arial"/>
          <w:b/>
          <w:bCs/>
          <w:kern w:val="2"/>
          <w:szCs w:val="28"/>
        </w:rPr>
      </w:pPr>
      <w:r w:rsidRPr="00511005">
        <w:rPr>
          <w:rFonts w:ascii="Arial" w:eastAsia="Aptos" w:hAnsi="Arial" w:cs="Arial"/>
          <w:b/>
          <w:bCs/>
          <w:kern w:val="2"/>
          <w:szCs w:val="28"/>
        </w:rPr>
        <w:t>ОСОБЛИВОСТІ ДОЗВІЛЛЯ СТУДЕНТСЬКОЇ МОЛОДІ В СУЧАСНИХ УМОВАХ</w:t>
      </w:r>
    </w:p>
    <w:p w14:paraId="131F5E51"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Актуальність теми зумовлена значним впливом дозвілля на формування особистості, психоемоційний стан, соціальну активність та загальну якість життя студентської молоді. У контексті цифровізації, воєнного стану, пандемійних обмежень та соціально-економічних викликів, змінюються як форми, так і зміст дозвіллєвих практик.</w:t>
      </w:r>
    </w:p>
    <w:p w14:paraId="35720332"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 xml:space="preserve">Дозвілля – це не лише форма відпочинку, а й важливий елемент соціалізації, особистісного розвитку та психологічного відновлення. У контексті глобальних трансформацій, що охоплюють суспільство, значення змістовного, безпечного і доступного дозвілля для студентів зростає. </w:t>
      </w:r>
      <w:r w:rsidRPr="00511005">
        <w:rPr>
          <w:rFonts w:ascii="Arial" w:eastAsia="Aptos" w:hAnsi="Arial" w:cs="Arial"/>
          <w:kern w:val="2"/>
          <w:szCs w:val="28"/>
        </w:rPr>
        <w:lastRenderedPageBreak/>
        <w:t>Молодь, як найбільш активна й адаптивна частина населення, першою реагує на зміни соціального середовища, тому її дозвілля відображає загальні тенденції культурного, технологічного та соціального розвитку.</w:t>
      </w:r>
    </w:p>
    <w:p w14:paraId="71F170B9"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 xml:space="preserve">Соціологія дозвілля — це галузь соціології, яка вивчає, як люди проводять свій вільний час, які форми дозвілля існують, як вони змінюються з часом і як пов’язані з соціальною структурою, класом, статтю, віком тощо [2, с.12]. </w:t>
      </w:r>
    </w:p>
    <w:p w14:paraId="567E680F"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Питання соціології дозвілля розглядається у працях багатьох відомих соціологів і культурологів, серед яких – Т. Веблен, Ж. Дюмазедель, Р. Паркер, Е. Гоффман, Дж. Александер, К. Робертс, а також українських дослідників: Є. Головаха, Л. Бойко, Н. Паніна, В. Ворона, О. Шульга, І. Ігнатенко. Їх дослідження дозволяють глибше зрозуміти соціальну природу дозвілля, його функції у суспільстві та трансформації у сучасних умовах.</w:t>
      </w:r>
    </w:p>
    <w:p w14:paraId="4A6AF538" w14:textId="77777777" w:rsidR="00AE57E7" w:rsidRPr="00511005" w:rsidRDefault="00AE57E7" w:rsidP="003A292D">
      <w:pPr>
        <w:spacing w:line="264" w:lineRule="auto"/>
        <w:ind w:firstLine="720"/>
        <w:rPr>
          <w:rFonts w:ascii="Arial" w:eastAsia="Aptos" w:hAnsi="Arial" w:cs="Arial"/>
          <w:kern w:val="2"/>
          <w:szCs w:val="28"/>
        </w:rPr>
      </w:pPr>
      <w:proofErr w:type="gramStart"/>
      <w:r w:rsidRPr="00511005">
        <w:rPr>
          <w:rFonts w:ascii="Arial" w:eastAsia="Aptos" w:hAnsi="Arial" w:cs="Arial"/>
          <w:kern w:val="2"/>
          <w:szCs w:val="28"/>
        </w:rPr>
        <w:t>У наш час</w:t>
      </w:r>
      <w:proofErr w:type="gramEnd"/>
      <w:r w:rsidRPr="00511005">
        <w:rPr>
          <w:rFonts w:ascii="Arial" w:eastAsia="Aptos" w:hAnsi="Arial" w:cs="Arial"/>
          <w:kern w:val="2"/>
          <w:szCs w:val="28"/>
        </w:rPr>
        <w:t xml:space="preserve"> молоді люди живуть у надзвичайно динамічному середовищі. Постійний інформаційний потік, цифровізація, вплив соціальних мереж, зміни в системі освіти, економічна нестабільність, військові дії – усе це створює нові виклики для організації вільного часу студентів. Водночас саме ці умови формують і нові можливості для активного, пізнавального та творчого дозвілля.</w:t>
      </w:r>
    </w:p>
    <w:p w14:paraId="044E4328"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Однією з найпомітніших змін є цифрова трансформація дозвіллєвих практик. Велика частина вільного часу молоді припадає на користування інтернетом, перегляд відео на YouTube, TikTok, Netflix, участь у стрімінгах, онлайн-іграх та комунікацію через соціальні мережі. Такий вид дозвілля забезпечує легкий доступ до розваг, але часто позбавлений елементів особистого розвитку та живої міжособистісної взаємодії. Окрім того, надмірне зосередження на віртуальних активностях спричиняє залежності, соціальну ізоляцію та зниження когнітивної активності.</w:t>
      </w:r>
    </w:p>
    <w:p w14:paraId="497318E4"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Попри популярність віртуального дозвілля, серед студентської молоді зростає інтерес до культурних, просвітницьких і громадських форм проведення вільного часу. Молодь долучається до волонтерських ініціатив, бере участь у тренінгах, лекціях, мистецьких проєктах, благодійних акціях та студентському самоврядуванні. Такі види активностей не лише розвивають особистість, а й формують навички громадянської відповідальності, соціальної солідарності та креативного мислення.</w:t>
      </w:r>
    </w:p>
    <w:p w14:paraId="5F8EC7FB"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Особливої уваги заслуговують ті види дозвілля, які спрямовані на підтримку психічного здоров’я студентів. У ситуації воєнного стану, зростання тривожності, соціальної нестабільності молодь шукає не просто розваг, а способів збереження емоційної рівноваги. В умовах постійного стресу важливим стає використання арт-терапії, занять спортом, медитації, участі в психологічних тренінгах, а також спілкування в безпечному середовищі. Заклади вищої освіти, які сприяють розвитку таких ініціатив, роблять важливий внесок у формування стійкого та свідомого покоління.</w:t>
      </w:r>
    </w:p>
    <w:p w14:paraId="039ACA45"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lastRenderedPageBreak/>
        <w:t>Ще одним важливим фактором, що впливає на характер дозвілля студентів, є доступність ресурсів та інфраструктури. У великих містах, де зосереджено більшість ВНЗ, можливостей для активного дозвілля набагато більше: культурні події, музеї, театри, спортивні центри, молодіжні хаби. Водночас студенти з регіонів або тих, хто живе в гуртожитках з обмеженим бюджетом, мають менше варіантів для організації змістовного вільного часу. Відповідно, актуальним є питання забезпечення рівного доступу до культурного та освітнього простору для всіх студентів незалежно від місця проживання чи соціального статусу [1, с. 30].</w:t>
      </w:r>
    </w:p>
    <w:p w14:paraId="644E63A0"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Формування дозвіллєвих уподобань також тісно пов’язане з рівнем культури, вихованням, ціннісними орієнтаціями та особистими пріоритетами молодої людини [3, с. 23]. Часто саме середовище однолітків, студентських колективів, кураторів та викладачів впливає на вибір форм проведення часу. Там, де молодь бачить приклад активного, інтелектуального та відповідального ставлення до життя, формується прагнення до саморозвитку навіть у вільний від навчання час.</w:t>
      </w:r>
    </w:p>
    <w:p w14:paraId="2E50D18F"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У цьому контексті важливою є роль державної молодіжної політики, а також участь самих студентів у плануванні та організації дозвілля. Заохочення ініціатив знизу, підтримка культурних, спортивних і освітніх проєктів, надання ресурсів для їх реалізації — усе це сприяє створенню сприятливого середовища для розвитку молоді. Натомість ігнорування потреб студентів, відсутність інвестицій у молодіжну інфраструктуру призводить до зростання пасивності, соціальної апатії та відчуження.</w:t>
      </w:r>
    </w:p>
    <w:p w14:paraId="6D842C05"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Таким чином, у сучасних умовах дозвілля студентської молоді є складним багатовимірним явищем, що поєднує як традиційні, так і новітні форми активності. Воно відображає соціальні процеси, культурні тенденції, психологічні потреби та технічні можливості. Важливо, щоб система вищої освіти, органи державної влади та громадські організації усвідомлювали важливість інвестування в розвиток дозвіллєвого простору для молоді. Адже від того, як студенти проводять свій вільний час сьогодні, значною мірою залежить, якими громадянами вони стануть завтра — активними, відповідальними й спроможними будувати демократичне суспільство.</w:t>
      </w:r>
    </w:p>
    <w:p w14:paraId="0299AA31" w14:textId="77777777" w:rsidR="00AE57E7" w:rsidRPr="00511005" w:rsidRDefault="00AE57E7" w:rsidP="003A292D">
      <w:pPr>
        <w:spacing w:line="264" w:lineRule="auto"/>
        <w:ind w:firstLine="720"/>
        <w:rPr>
          <w:rFonts w:ascii="Arial" w:eastAsia="Aptos" w:hAnsi="Arial" w:cs="Arial"/>
          <w:kern w:val="2"/>
          <w:szCs w:val="28"/>
        </w:rPr>
      </w:pPr>
    </w:p>
    <w:p w14:paraId="5C22BC57" w14:textId="1F93ACA8" w:rsidR="00AE57E7" w:rsidRPr="00511005" w:rsidRDefault="007B2628" w:rsidP="006A743E">
      <w:pPr>
        <w:spacing w:line="264" w:lineRule="auto"/>
        <w:ind w:firstLine="0"/>
        <w:jc w:val="center"/>
        <w:rPr>
          <w:rFonts w:ascii="Arial" w:eastAsia="Aptos" w:hAnsi="Arial" w:cs="Arial"/>
          <w:b/>
          <w:bCs/>
          <w:kern w:val="2"/>
          <w:szCs w:val="28"/>
        </w:rPr>
      </w:pPr>
      <w:r w:rsidRPr="00511005">
        <w:rPr>
          <w:rFonts w:ascii="Arial" w:eastAsia="Aptos" w:hAnsi="Arial" w:cs="Arial"/>
          <w:b/>
          <w:bCs/>
          <w:kern w:val="2"/>
          <w:szCs w:val="28"/>
          <w:lang w:val="uk-UA"/>
        </w:rPr>
        <w:t>Список використаних джерел</w:t>
      </w:r>
    </w:p>
    <w:p w14:paraId="3BA04BB2" w14:textId="77777777" w:rsidR="00AE57E7" w:rsidRPr="00511005" w:rsidRDefault="00AE57E7" w:rsidP="003F6A5D">
      <w:pPr>
        <w:numPr>
          <w:ilvl w:val="0"/>
          <w:numId w:val="760"/>
        </w:numPr>
        <w:spacing w:line="264" w:lineRule="auto"/>
        <w:contextualSpacing/>
        <w:jc w:val="left"/>
        <w:rPr>
          <w:rFonts w:ascii="Arial" w:eastAsia="Aptos" w:hAnsi="Arial" w:cs="Arial"/>
          <w:kern w:val="2"/>
          <w:szCs w:val="28"/>
          <w:lang w:val="en-US"/>
        </w:rPr>
      </w:pPr>
      <w:r w:rsidRPr="00511005">
        <w:rPr>
          <w:rFonts w:ascii="Arial" w:eastAsia="Aptos" w:hAnsi="Arial" w:cs="Arial"/>
          <w:kern w:val="2"/>
          <w:szCs w:val="28"/>
          <w:lang w:val="en-US"/>
        </w:rPr>
        <w:t xml:space="preserve">Shulha, O. V. Leisure in the Social Dimension: Theoretical and Methodological Aspect. Kyiv: Institute of Sociology of NAS of Ukraine, 2015. pp. 30–88. </w:t>
      </w:r>
      <w:hyperlink r:id="rId2580" w:history="1">
        <w:r w:rsidRPr="00511005">
          <w:rPr>
            <w:rFonts w:ascii="Arial" w:eastAsia="Aptos" w:hAnsi="Arial" w:cs="Arial"/>
            <w:kern w:val="2"/>
            <w:szCs w:val="28"/>
            <w:lang w:val="en-US"/>
          </w:rPr>
          <w:t>URL:https://www.sociologyinstitute.kiev.ua/en/publications</w:t>
        </w:r>
      </w:hyperlink>
      <w:r w:rsidRPr="00511005">
        <w:rPr>
          <w:rFonts w:ascii="Arial" w:eastAsia="Aptos" w:hAnsi="Arial" w:cs="Arial"/>
          <w:kern w:val="2"/>
          <w:szCs w:val="28"/>
          <w:lang w:val="en-US"/>
        </w:rPr>
        <w:t xml:space="preserve"> </w:t>
      </w:r>
    </w:p>
    <w:p w14:paraId="0F84C056" w14:textId="77777777" w:rsidR="00AE57E7" w:rsidRPr="00511005" w:rsidRDefault="00AE57E7" w:rsidP="003F6A5D">
      <w:pPr>
        <w:numPr>
          <w:ilvl w:val="0"/>
          <w:numId w:val="760"/>
        </w:numPr>
        <w:spacing w:line="264" w:lineRule="auto"/>
        <w:contextualSpacing/>
        <w:jc w:val="left"/>
        <w:rPr>
          <w:rFonts w:ascii="Arial" w:eastAsia="Aptos" w:hAnsi="Arial" w:cs="Arial"/>
          <w:kern w:val="2"/>
          <w:szCs w:val="28"/>
          <w:lang w:val="en-US"/>
        </w:rPr>
      </w:pPr>
      <w:r w:rsidRPr="00511005">
        <w:rPr>
          <w:rFonts w:ascii="Arial" w:eastAsia="Aptos" w:hAnsi="Arial" w:cs="Arial"/>
          <w:kern w:val="2"/>
          <w:szCs w:val="28"/>
          <w:lang w:val="en-US"/>
        </w:rPr>
        <w:t xml:space="preserve">Dumazedier, J. Sociology of Leisure. Kharkiv: Folio, 2008. pp. 12–57. URL: </w:t>
      </w:r>
      <w:hyperlink r:id="rId2581" w:history="1">
        <w:r w:rsidRPr="00511005">
          <w:rPr>
            <w:rFonts w:ascii="Arial" w:eastAsia="Aptos" w:hAnsi="Arial" w:cs="Arial"/>
            <w:kern w:val="2"/>
            <w:szCs w:val="28"/>
            <w:lang w:val="en-US"/>
          </w:rPr>
          <w:t>https://www.worldcat.org/title/48218073</w:t>
        </w:r>
      </w:hyperlink>
      <w:r w:rsidRPr="00511005">
        <w:rPr>
          <w:rFonts w:ascii="Arial" w:eastAsia="Aptos" w:hAnsi="Arial" w:cs="Arial"/>
          <w:kern w:val="2"/>
          <w:szCs w:val="28"/>
          <w:lang w:val="en-US"/>
        </w:rPr>
        <w:t xml:space="preserve"> </w:t>
      </w:r>
    </w:p>
    <w:p w14:paraId="72D36075" w14:textId="77777777" w:rsidR="00AE57E7" w:rsidRPr="00511005" w:rsidRDefault="00AE57E7" w:rsidP="003F6A5D">
      <w:pPr>
        <w:numPr>
          <w:ilvl w:val="0"/>
          <w:numId w:val="760"/>
        </w:numPr>
        <w:spacing w:line="264" w:lineRule="auto"/>
        <w:contextualSpacing/>
        <w:jc w:val="left"/>
        <w:rPr>
          <w:rFonts w:ascii="Arial" w:eastAsia="Aptos" w:hAnsi="Arial" w:cs="Arial"/>
          <w:kern w:val="2"/>
          <w:szCs w:val="28"/>
          <w:lang w:val="pl-PL"/>
        </w:rPr>
      </w:pPr>
      <w:r w:rsidRPr="00511005">
        <w:rPr>
          <w:rFonts w:ascii="Arial" w:eastAsia="Aptos" w:hAnsi="Arial" w:cs="Arial"/>
          <w:kern w:val="2"/>
          <w:szCs w:val="28"/>
          <w:lang w:val="en-US"/>
        </w:rPr>
        <w:lastRenderedPageBreak/>
        <w:t xml:space="preserve">Ignatenko, I. V. Youth Leisure in the Context of Socio-Cultural Transformations. </w:t>
      </w:r>
      <w:r w:rsidRPr="00511005">
        <w:rPr>
          <w:rFonts w:ascii="Arial" w:eastAsia="Aptos" w:hAnsi="Arial" w:cs="Arial"/>
          <w:kern w:val="2"/>
          <w:szCs w:val="28"/>
          <w:lang w:val="pl-PL"/>
        </w:rPr>
        <w:t xml:space="preserve">Kyiv: Logos, 2012. pp. 23–68 URL: </w:t>
      </w:r>
      <w:hyperlink r:id="rId2582" w:history="1">
        <w:r w:rsidRPr="00511005">
          <w:rPr>
            <w:rFonts w:ascii="Arial" w:eastAsia="Aptos" w:hAnsi="Arial" w:cs="Arial"/>
            <w:kern w:val="2"/>
            <w:szCs w:val="28"/>
            <w:lang w:val="pl-PL"/>
          </w:rPr>
          <w:t>https://www.logos.biz.ua/product/molod-ta-dosvillya</w:t>
        </w:r>
      </w:hyperlink>
      <w:r w:rsidRPr="00511005">
        <w:rPr>
          <w:rFonts w:ascii="Arial" w:eastAsia="Aptos" w:hAnsi="Arial" w:cs="Arial"/>
          <w:kern w:val="2"/>
          <w:szCs w:val="28"/>
          <w:lang w:val="pl-PL"/>
        </w:rPr>
        <w:t xml:space="preserve"> </w:t>
      </w:r>
    </w:p>
    <w:p w14:paraId="322851B4" w14:textId="77777777" w:rsidR="00AE57E7" w:rsidRPr="00511005" w:rsidRDefault="00AE57E7" w:rsidP="003A292D">
      <w:pPr>
        <w:spacing w:line="264" w:lineRule="auto"/>
        <w:ind w:left="720" w:firstLine="0"/>
        <w:contextualSpacing/>
        <w:jc w:val="left"/>
        <w:rPr>
          <w:rFonts w:ascii="Arial" w:eastAsia="Aptos" w:hAnsi="Arial" w:cs="Arial"/>
          <w:b/>
          <w:bCs/>
          <w:kern w:val="2"/>
          <w:szCs w:val="28"/>
          <w:lang w:val="pl-PL"/>
        </w:rPr>
      </w:pPr>
    </w:p>
    <w:p w14:paraId="4FD34121" w14:textId="7ABBD3DF" w:rsidR="00AE57E7" w:rsidRPr="00511005" w:rsidRDefault="007B2628" w:rsidP="003A292D">
      <w:pPr>
        <w:spacing w:line="264" w:lineRule="auto"/>
        <w:ind w:firstLine="720"/>
        <w:rPr>
          <w:rFonts w:ascii="Arial" w:eastAsia="Aptos" w:hAnsi="Arial" w:cs="Arial"/>
          <w:kern w:val="2"/>
          <w:szCs w:val="28"/>
          <w:lang w:val="pl-PL"/>
        </w:rPr>
      </w:pPr>
      <w:r w:rsidRPr="00511005">
        <w:rPr>
          <w:rFonts w:ascii="Arial" w:eastAsia="Aptos" w:hAnsi="Arial" w:cs="Arial"/>
          <w:b/>
          <w:bCs/>
          <w:i/>
          <w:kern w:val="2"/>
          <w:szCs w:val="28"/>
        </w:rPr>
        <w:t>Ключові</w:t>
      </w:r>
      <w:r w:rsidRPr="00055389">
        <w:rPr>
          <w:rFonts w:ascii="Arial" w:eastAsia="Aptos" w:hAnsi="Arial" w:cs="Arial"/>
          <w:b/>
          <w:bCs/>
          <w:i/>
          <w:kern w:val="2"/>
          <w:szCs w:val="28"/>
          <w:lang w:val="pl-PL"/>
        </w:rPr>
        <w:t xml:space="preserve"> </w:t>
      </w:r>
      <w:r w:rsidRPr="00511005">
        <w:rPr>
          <w:rFonts w:ascii="Arial" w:eastAsia="Aptos" w:hAnsi="Arial" w:cs="Arial"/>
          <w:b/>
          <w:bCs/>
          <w:i/>
          <w:kern w:val="2"/>
          <w:szCs w:val="28"/>
        </w:rPr>
        <w:t>слова</w:t>
      </w:r>
      <w:r w:rsidRPr="00055389">
        <w:rPr>
          <w:rFonts w:ascii="Arial" w:eastAsia="Aptos" w:hAnsi="Arial" w:cs="Arial"/>
          <w:b/>
          <w:bCs/>
          <w:i/>
          <w:kern w:val="2"/>
          <w:szCs w:val="28"/>
          <w:lang w:val="pl-PL"/>
        </w:rPr>
        <w:t xml:space="preserve">: </w:t>
      </w:r>
      <w:r w:rsidR="00AE57E7" w:rsidRPr="00511005">
        <w:rPr>
          <w:rFonts w:ascii="Arial" w:eastAsia="Aptos" w:hAnsi="Arial" w:cs="Arial"/>
          <w:kern w:val="2"/>
          <w:szCs w:val="28"/>
        </w:rPr>
        <w:t>молодь</w:t>
      </w:r>
      <w:r w:rsidR="00AE57E7" w:rsidRPr="00511005">
        <w:rPr>
          <w:rFonts w:ascii="Arial" w:eastAsia="Aptos" w:hAnsi="Arial" w:cs="Arial"/>
          <w:kern w:val="2"/>
          <w:szCs w:val="28"/>
          <w:lang w:val="pl-PL"/>
        </w:rPr>
        <w:t xml:space="preserve">, </w:t>
      </w:r>
      <w:r w:rsidR="00AE57E7" w:rsidRPr="00511005">
        <w:rPr>
          <w:rFonts w:ascii="Arial" w:eastAsia="Aptos" w:hAnsi="Arial" w:cs="Arial"/>
          <w:kern w:val="2"/>
          <w:szCs w:val="28"/>
        </w:rPr>
        <w:t>дозвілля</w:t>
      </w:r>
      <w:r w:rsidR="00AE57E7" w:rsidRPr="00511005">
        <w:rPr>
          <w:rFonts w:ascii="Arial" w:eastAsia="Aptos" w:hAnsi="Arial" w:cs="Arial"/>
          <w:kern w:val="2"/>
          <w:szCs w:val="28"/>
          <w:lang w:val="pl-PL"/>
        </w:rPr>
        <w:t xml:space="preserve">, </w:t>
      </w:r>
      <w:r w:rsidR="00AE57E7" w:rsidRPr="00511005">
        <w:rPr>
          <w:rFonts w:ascii="Arial" w:eastAsia="Aptos" w:hAnsi="Arial" w:cs="Arial"/>
          <w:kern w:val="2"/>
          <w:szCs w:val="28"/>
        </w:rPr>
        <w:t>соціологія</w:t>
      </w:r>
      <w:r w:rsidR="00AE57E7" w:rsidRPr="00511005">
        <w:rPr>
          <w:rFonts w:ascii="Arial" w:eastAsia="Aptos" w:hAnsi="Arial" w:cs="Arial"/>
          <w:kern w:val="2"/>
          <w:szCs w:val="28"/>
          <w:lang w:val="pl-PL"/>
        </w:rPr>
        <w:t xml:space="preserve"> </w:t>
      </w:r>
      <w:r w:rsidR="00AE57E7" w:rsidRPr="00511005">
        <w:rPr>
          <w:rFonts w:ascii="Arial" w:eastAsia="Aptos" w:hAnsi="Arial" w:cs="Arial"/>
          <w:kern w:val="2"/>
          <w:szCs w:val="28"/>
        </w:rPr>
        <w:t>дозвілля</w:t>
      </w:r>
      <w:r w:rsidR="00AE57E7" w:rsidRPr="00511005">
        <w:rPr>
          <w:rFonts w:ascii="Arial" w:eastAsia="Aptos" w:hAnsi="Arial" w:cs="Arial"/>
          <w:kern w:val="2"/>
          <w:szCs w:val="28"/>
          <w:lang w:val="pl-PL"/>
        </w:rPr>
        <w:t xml:space="preserve">, </w:t>
      </w:r>
      <w:r w:rsidR="00AE57E7" w:rsidRPr="00511005">
        <w:rPr>
          <w:rFonts w:ascii="Arial" w:eastAsia="Aptos" w:hAnsi="Arial" w:cs="Arial"/>
          <w:kern w:val="2"/>
          <w:szCs w:val="28"/>
        </w:rPr>
        <w:t>цифровізація</w:t>
      </w:r>
      <w:r w:rsidR="00AE57E7" w:rsidRPr="00511005">
        <w:rPr>
          <w:rFonts w:ascii="Arial" w:eastAsia="Aptos" w:hAnsi="Arial" w:cs="Arial"/>
          <w:kern w:val="2"/>
          <w:szCs w:val="28"/>
          <w:lang w:val="pl-PL"/>
        </w:rPr>
        <w:t xml:space="preserve">, </w:t>
      </w:r>
      <w:r w:rsidR="00AE57E7" w:rsidRPr="00511005">
        <w:rPr>
          <w:rFonts w:ascii="Arial" w:eastAsia="Aptos" w:hAnsi="Arial" w:cs="Arial"/>
          <w:kern w:val="2"/>
          <w:szCs w:val="28"/>
        </w:rPr>
        <w:t>війна</w:t>
      </w:r>
      <w:r w:rsidR="00AE57E7" w:rsidRPr="00511005">
        <w:rPr>
          <w:rFonts w:ascii="Arial" w:eastAsia="Aptos" w:hAnsi="Arial" w:cs="Arial"/>
          <w:kern w:val="2"/>
          <w:szCs w:val="28"/>
          <w:lang w:val="pl-PL"/>
        </w:rPr>
        <w:t xml:space="preserve">, </w:t>
      </w:r>
      <w:r w:rsidR="00AE57E7" w:rsidRPr="00511005">
        <w:rPr>
          <w:rFonts w:ascii="Arial" w:eastAsia="Aptos" w:hAnsi="Arial" w:cs="Arial"/>
          <w:kern w:val="2"/>
          <w:szCs w:val="28"/>
        </w:rPr>
        <w:t>психічне</w:t>
      </w:r>
      <w:r w:rsidR="00AE57E7" w:rsidRPr="00511005">
        <w:rPr>
          <w:rFonts w:ascii="Arial" w:eastAsia="Aptos" w:hAnsi="Arial" w:cs="Arial"/>
          <w:kern w:val="2"/>
          <w:szCs w:val="28"/>
          <w:lang w:val="pl-PL"/>
        </w:rPr>
        <w:t xml:space="preserve"> </w:t>
      </w:r>
      <w:r w:rsidR="00AE57E7" w:rsidRPr="00511005">
        <w:rPr>
          <w:rFonts w:ascii="Arial" w:eastAsia="Aptos" w:hAnsi="Arial" w:cs="Arial"/>
          <w:kern w:val="2"/>
          <w:szCs w:val="28"/>
        </w:rPr>
        <w:t>здоров</w:t>
      </w:r>
      <w:r w:rsidR="00AE57E7" w:rsidRPr="00511005">
        <w:rPr>
          <w:rFonts w:ascii="Arial" w:eastAsia="Aptos" w:hAnsi="Arial" w:cs="Arial"/>
          <w:kern w:val="2"/>
          <w:szCs w:val="28"/>
          <w:lang w:val="pl-PL"/>
        </w:rPr>
        <w:t>’</w:t>
      </w:r>
      <w:r w:rsidR="00AE57E7" w:rsidRPr="00511005">
        <w:rPr>
          <w:rFonts w:ascii="Arial" w:eastAsia="Aptos" w:hAnsi="Arial" w:cs="Arial"/>
          <w:kern w:val="2"/>
          <w:szCs w:val="28"/>
        </w:rPr>
        <w:t>я</w:t>
      </w:r>
      <w:r w:rsidR="00AE57E7" w:rsidRPr="00511005">
        <w:rPr>
          <w:rFonts w:ascii="Arial" w:eastAsia="Aptos" w:hAnsi="Arial" w:cs="Arial"/>
          <w:kern w:val="2"/>
          <w:szCs w:val="28"/>
          <w:lang w:val="pl-PL"/>
        </w:rPr>
        <w:t xml:space="preserve">, </w:t>
      </w:r>
      <w:r w:rsidR="00AE57E7" w:rsidRPr="00511005">
        <w:rPr>
          <w:rFonts w:ascii="Arial" w:eastAsia="Aptos" w:hAnsi="Arial" w:cs="Arial"/>
          <w:kern w:val="2"/>
          <w:szCs w:val="28"/>
        </w:rPr>
        <w:t>культура</w:t>
      </w:r>
      <w:r w:rsidR="00AE57E7" w:rsidRPr="00511005">
        <w:rPr>
          <w:rFonts w:ascii="Arial" w:eastAsia="Aptos" w:hAnsi="Arial" w:cs="Arial"/>
          <w:kern w:val="2"/>
          <w:szCs w:val="28"/>
          <w:lang w:val="pl-PL"/>
        </w:rPr>
        <w:t xml:space="preserve">, </w:t>
      </w:r>
      <w:r w:rsidR="00AE57E7" w:rsidRPr="00511005">
        <w:rPr>
          <w:rFonts w:ascii="Arial" w:eastAsia="Aptos" w:hAnsi="Arial" w:cs="Arial"/>
          <w:kern w:val="2"/>
          <w:szCs w:val="28"/>
        </w:rPr>
        <w:t>освіта</w:t>
      </w:r>
      <w:r w:rsidR="00AE57E7" w:rsidRPr="00511005">
        <w:rPr>
          <w:rFonts w:ascii="Arial" w:eastAsia="Aptos" w:hAnsi="Arial" w:cs="Arial"/>
          <w:kern w:val="2"/>
          <w:szCs w:val="28"/>
          <w:lang w:val="pl-PL"/>
        </w:rPr>
        <w:t xml:space="preserve">, </w:t>
      </w:r>
      <w:r w:rsidR="00AE57E7" w:rsidRPr="00511005">
        <w:rPr>
          <w:rFonts w:ascii="Arial" w:eastAsia="Aptos" w:hAnsi="Arial" w:cs="Arial"/>
          <w:kern w:val="2"/>
          <w:szCs w:val="28"/>
        </w:rPr>
        <w:t>соціалізація</w:t>
      </w:r>
      <w:r w:rsidR="00AE57E7" w:rsidRPr="00511005">
        <w:rPr>
          <w:rFonts w:ascii="Arial" w:eastAsia="Aptos" w:hAnsi="Arial" w:cs="Arial"/>
          <w:kern w:val="2"/>
          <w:szCs w:val="28"/>
          <w:lang w:val="pl-PL"/>
        </w:rPr>
        <w:t xml:space="preserve">, </w:t>
      </w:r>
      <w:r w:rsidR="00AE57E7" w:rsidRPr="00511005">
        <w:rPr>
          <w:rFonts w:ascii="Arial" w:eastAsia="Aptos" w:hAnsi="Arial" w:cs="Arial"/>
          <w:kern w:val="2"/>
          <w:szCs w:val="28"/>
        </w:rPr>
        <w:t>активність</w:t>
      </w:r>
      <w:r w:rsidR="00AE57E7" w:rsidRPr="00511005">
        <w:rPr>
          <w:rFonts w:ascii="Arial" w:eastAsia="Aptos" w:hAnsi="Arial" w:cs="Arial"/>
          <w:kern w:val="2"/>
          <w:szCs w:val="28"/>
          <w:lang w:val="pl-PL"/>
        </w:rPr>
        <w:t>.</w:t>
      </w:r>
    </w:p>
    <w:p w14:paraId="7676678D" w14:textId="3F206FEA" w:rsidR="00AE57E7" w:rsidRPr="00511005" w:rsidRDefault="007B2628" w:rsidP="003A292D">
      <w:pPr>
        <w:spacing w:line="264" w:lineRule="auto"/>
        <w:ind w:firstLine="720"/>
        <w:rPr>
          <w:rFonts w:ascii="Arial" w:eastAsia="Aptos" w:hAnsi="Arial" w:cs="Arial"/>
          <w:kern w:val="2"/>
          <w:szCs w:val="28"/>
          <w:lang w:val="en-US"/>
        </w:rPr>
      </w:pPr>
      <w:r w:rsidRPr="00511005">
        <w:rPr>
          <w:rFonts w:ascii="Arial" w:eastAsia="Aptos" w:hAnsi="Arial" w:cs="Arial"/>
          <w:b/>
          <w:bCs/>
          <w:i/>
          <w:kern w:val="2"/>
          <w:szCs w:val="28"/>
          <w:lang w:val="en-US"/>
        </w:rPr>
        <w:t xml:space="preserve">Key words: </w:t>
      </w:r>
      <w:r w:rsidR="00AE57E7" w:rsidRPr="00511005">
        <w:rPr>
          <w:rFonts w:ascii="Arial" w:eastAsia="Aptos" w:hAnsi="Arial" w:cs="Arial"/>
          <w:kern w:val="2"/>
          <w:szCs w:val="28"/>
          <w:lang w:val="en-US"/>
        </w:rPr>
        <w:t>youth, leisure, sociology of leisure, digitalization, war, mental health, culture, education, socialization, activity.</w:t>
      </w:r>
    </w:p>
    <w:p w14:paraId="376F80E3" w14:textId="7AC09736" w:rsidR="00AE57E7" w:rsidRPr="00511005" w:rsidRDefault="007B2628" w:rsidP="006A743E">
      <w:pPr>
        <w:spacing w:line="264" w:lineRule="auto"/>
        <w:ind w:firstLine="708"/>
        <w:jc w:val="left"/>
        <w:rPr>
          <w:rFonts w:ascii="Arial" w:eastAsia="Aptos" w:hAnsi="Arial" w:cs="Arial"/>
          <w:kern w:val="2"/>
          <w:szCs w:val="28"/>
        </w:rPr>
      </w:pPr>
      <w:r w:rsidRPr="00511005">
        <w:rPr>
          <w:rFonts w:ascii="Arial" w:eastAsia="Aptos" w:hAnsi="Arial" w:cs="Arial"/>
          <w:b/>
          <w:i/>
          <w:kern w:val="2"/>
          <w:szCs w:val="28"/>
        </w:rPr>
        <w:t>Науковий керівник:</w:t>
      </w:r>
      <w:r w:rsidR="00AE57E7" w:rsidRPr="00511005">
        <w:rPr>
          <w:rFonts w:ascii="Arial" w:eastAsia="Aptos" w:hAnsi="Arial" w:cs="Arial"/>
          <w:kern w:val="2"/>
          <w:szCs w:val="28"/>
        </w:rPr>
        <w:t xml:space="preserve"> к.соц. н, доцент Прохоренко Є.Я.</w:t>
      </w:r>
    </w:p>
    <w:p w14:paraId="4BB05743" w14:textId="38090FF9" w:rsidR="00AE57E7" w:rsidRPr="00511005" w:rsidRDefault="00AE57E7" w:rsidP="003A292D">
      <w:pPr>
        <w:spacing w:line="264" w:lineRule="auto"/>
        <w:rPr>
          <w:rFonts w:ascii="Arial" w:eastAsia="Calibri" w:hAnsi="Arial" w:cs="Arial"/>
          <w:szCs w:val="28"/>
        </w:rPr>
      </w:pPr>
    </w:p>
    <w:p w14:paraId="4EB6834C" w14:textId="77777777" w:rsidR="00C66506" w:rsidRPr="00511005" w:rsidRDefault="00C66506" w:rsidP="003A292D">
      <w:pPr>
        <w:spacing w:line="264" w:lineRule="auto"/>
        <w:rPr>
          <w:rFonts w:ascii="Arial" w:eastAsia="Calibri" w:hAnsi="Arial" w:cs="Arial"/>
          <w:szCs w:val="28"/>
        </w:rPr>
      </w:pPr>
    </w:p>
    <w:p w14:paraId="4710742A" w14:textId="77777777" w:rsidR="00AE57E7" w:rsidRPr="00511005" w:rsidRDefault="00AE57E7" w:rsidP="003A292D">
      <w:pPr>
        <w:spacing w:line="264" w:lineRule="auto"/>
        <w:ind w:firstLine="0"/>
        <w:jc w:val="center"/>
        <w:rPr>
          <w:rFonts w:ascii="Arial" w:eastAsia="Aptos" w:hAnsi="Arial" w:cs="Arial"/>
          <w:b/>
          <w:bCs/>
          <w:i/>
          <w:iCs/>
          <w:kern w:val="2"/>
          <w:szCs w:val="28"/>
        </w:rPr>
      </w:pPr>
      <w:r w:rsidRPr="00511005">
        <w:rPr>
          <w:rFonts w:ascii="Arial" w:eastAsia="Aptos" w:hAnsi="Arial" w:cs="Arial"/>
          <w:b/>
          <w:bCs/>
          <w:i/>
          <w:iCs/>
          <w:kern w:val="2"/>
          <w:szCs w:val="28"/>
        </w:rPr>
        <w:t>Качаров Альберт Павлович</w:t>
      </w:r>
    </w:p>
    <w:p w14:paraId="46909010" w14:textId="7ABA8A6A" w:rsidR="00AE57E7" w:rsidRPr="00511005" w:rsidRDefault="00536AAB" w:rsidP="003A292D">
      <w:pPr>
        <w:spacing w:line="264" w:lineRule="auto"/>
        <w:ind w:firstLine="0"/>
        <w:jc w:val="center"/>
        <w:rPr>
          <w:rFonts w:ascii="Arial" w:eastAsia="Aptos" w:hAnsi="Arial" w:cs="Arial"/>
          <w:kern w:val="2"/>
          <w:szCs w:val="28"/>
        </w:rPr>
      </w:pPr>
      <w:r w:rsidRPr="00511005">
        <w:rPr>
          <w:rFonts w:ascii="Arial" w:eastAsia="Aptos" w:hAnsi="Arial" w:cs="Arial"/>
          <w:kern w:val="2"/>
          <w:szCs w:val="28"/>
        </w:rPr>
        <w:t xml:space="preserve">студент 3-го курсу </w:t>
      </w:r>
      <w:r w:rsidR="00AE57E7" w:rsidRPr="00511005">
        <w:rPr>
          <w:rFonts w:ascii="Arial" w:eastAsia="Aptos" w:hAnsi="Arial" w:cs="Arial"/>
          <w:kern w:val="2"/>
          <w:szCs w:val="28"/>
        </w:rPr>
        <w:t>курсу факультету психологiї, політологiї та соцiологiї</w:t>
      </w:r>
    </w:p>
    <w:p w14:paraId="32F399B1" w14:textId="422CA5EC" w:rsidR="00AE57E7" w:rsidRPr="00511005" w:rsidRDefault="007B2628" w:rsidP="003A292D">
      <w:pPr>
        <w:spacing w:line="264" w:lineRule="auto"/>
        <w:ind w:firstLine="0"/>
        <w:jc w:val="center"/>
        <w:rPr>
          <w:rFonts w:ascii="Arial" w:eastAsia="Aptos" w:hAnsi="Arial" w:cs="Arial"/>
          <w:kern w:val="2"/>
          <w:szCs w:val="28"/>
        </w:rPr>
      </w:pPr>
      <w:r w:rsidRPr="00511005">
        <w:rPr>
          <w:rFonts w:ascii="Arial" w:eastAsia="Aptos" w:hAnsi="Arial" w:cs="Arial"/>
          <w:kern w:val="2"/>
          <w:szCs w:val="28"/>
        </w:rPr>
        <w:t>Національного університету «Одеська юридична академія»</w:t>
      </w:r>
    </w:p>
    <w:p w14:paraId="465BFA03" w14:textId="77777777" w:rsidR="00AE57E7" w:rsidRPr="00511005" w:rsidRDefault="00AE57E7" w:rsidP="003A292D">
      <w:pPr>
        <w:spacing w:line="264" w:lineRule="auto"/>
        <w:ind w:firstLine="0"/>
        <w:jc w:val="center"/>
        <w:rPr>
          <w:rFonts w:ascii="Arial" w:eastAsia="Calibri" w:hAnsi="Arial" w:cs="Arial"/>
          <w:b/>
          <w:bCs/>
          <w:szCs w:val="28"/>
          <w:lang w:eastAsia="ru-RU"/>
        </w:rPr>
      </w:pPr>
    </w:p>
    <w:p w14:paraId="51930F58" w14:textId="77777777" w:rsidR="00AE57E7" w:rsidRPr="00511005" w:rsidRDefault="00AE57E7" w:rsidP="003A292D">
      <w:pPr>
        <w:spacing w:line="264" w:lineRule="auto"/>
        <w:ind w:firstLine="0"/>
        <w:jc w:val="center"/>
        <w:rPr>
          <w:rFonts w:ascii="Arial" w:eastAsia="Calibri" w:hAnsi="Arial" w:cs="Arial"/>
          <w:b/>
          <w:bCs/>
          <w:szCs w:val="28"/>
          <w:lang w:val="uk-UA" w:eastAsia="ru-RU"/>
        </w:rPr>
      </w:pPr>
      <w:r w:rsidRPr="00511005">
        <w:rPr>
          <w:rFonts w:ascii="Arial" w:eastAsia="Calibri" w:hAnsi="Arial" w:cs="Arial"/>
          <w:b/>
          <w:bCs/>
          <w:szCs w:val="28"/>
          <w:lang w:val="uk-UA" w:eastAsia="ru-RU"/>
        </w:rPr>
        <w:t>ВОЛОНТЕРСТВО ЯК СОЦІАЛЬНИЙ ІНСТИТУТ: ОСОБЛИВОСТІ СТАНОВЛЕННЯ ТА РОЗВИТКУ</w:t>
      </w:r>
    </w:p>
    <w:p w14:paraId="2089827C" w14:textId="77777777" w:rsidR="00AE57E7" w:rsidRPr="00511005" w:rsidRDefault="00AE57E7"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Волонтерство як важливий соціальний феномен набуло особливого значення в умовах сучасних викликів, з якими стикається українське суспільство. Російська агресія, що розпочалася у 2014 році та переросла у повномасштабне вторгнення у 2022 році, спричинила безпрецедентну мобілізацію громадянського суспільства, центральним елементом якої став волонтерський рух. За короткий період волонтерство трансформувалося від окремих проявів громадянської активності до потужного соціального інституту, що характеризується сталими формами організації, нормативно-правовим регулюванням, стабільними практиками та високим рівнем суспільної довіри.</w:t>
      </w:r>
    </w:p>
    <w:p w14:paraId="565F9C12" w14:textId="77777777" w:rsidR="00AE57E7" w:rsidRPr="00511005" w:rsidRDefault="00AE57E7"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 xml:space="preserve">Волонтерство як соціальне явище має глибоке історичне коріння та пройшло тривалий шлях становлення від спонтанних проявів взаємодопомоги до організованої системної діяльності. У науковій літературі представлено різні підходи до визначення волонтерства, проте більшість дослідників погоджуються з тим, що це добровільна, безкорислива діяльність, спрямована на вирішення суспільних проблем. За визначенням О. А. Трубнікової, </w:t>
      </w:r>
      <w:r w:rsidRPr="00511005">
        <w:rPr>
          <w:rFonts w:ascii="Arial" w:eastAsia="Calibri" w:hAnsi="Arial" w:cs="Arial"/>
          <w:szCs w:val="28"/>
          <w:lang w:eastAsia="ru-RU"/>
        </w:rPr>
        <w:t>«</w:t>
      </w:r>
      <w:r w:rsidRPr="00511005">
        <w:rPr>
          <w:rFonts w:ascii="Arial" w:eastAsia="Calibri" w:hAnsi="Arial" w:cs="Arial"/>
          <w:szCs w:val="28"/>
          <w:lang w:val="uk-UA" w:eastAsia="ru-RU"/>
        </w:rPr>
        <w:t>волонтерство означає добровільну, безкорисливу діяльність людей, спрямовану на розв'язання суспільних проблем та надання допомоги тим, хто її потребує</w:t>
      </w:r>
      <w:r w:rsidRPr="00511005">
        <w:rPr>
          <w:rFonts w:ascii="Arial" w:eastAsia="Calibri" w:hAnsi="Arial" w:cs="Arial"/>
          <w:szCs w:val="28"/>
          <w:lang w:eastAsia="ru-RU"/>
        </w:rPr>
        <w:t>»</w:t>
      </w:r>
      <w:r w:rsidRPr="00511005">
        <w:rPr>
          <w:rFonts w:ascii="Arial" w:eastAsia="Calibri" w:hAnsi="Arial" w:cs="Arial"/>
          <w:szCs w:val="28"/>
          <w:lang w:val="uk-UA" w:eastAsia="ru-RU"/>
        </w:rPr>
        <w:t xml:space="preserve"> [2, с. 206]. Волонтерська діяльність характеризується відсутністю жорсткої регламентації та контролю з боку державних органів, що забезпечує її гнучкість та адаптивність до різних ситуацій. Принципово значущою ознакою волонтерства постає добровільність участі, що передбачає особисту зацікавленість людини та її готовність діяти заради інших без очікування матеріальної винагороди [1, с. 70]. Волонтерство ґрунтується на принципах добровільності, </w:t>
      </w:r>
      <w:r w:rsidRPr="00511005">
        <w:rPr>
          <w:rFonts w:ascii="Arial" w:eastAsia="Calibri" w:hAnsi="Arial" w:cs="Arial"/>
          <w:szCs w:val="28"/>
          <w:lang w:val="uk-UA" w:eastAsia="ru-RU"/>
        </w:rPr>
        <w:lastRenderedPageBreak/>
        <w:t>безкорисливості, незалежності, єдності та рівності прав учасників, що забезпечує його ефективність та суспільну значущість. Волонтери отримують моральне задоволення від своєї діяльності та відчувають власну корисність для суспільства, що підсилює мотивацію до подальшої роботи.</w:t>
      </w:r>
    </w:p>
    <w:p w14:paraId="2CF35441" w14:textId="77777777" w:rsidR="00AE57E7" w:rsidRPr="00511005" w:rsidRDefault="00AE57E7"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 xml:space="preserve">Історичні передумови формування волонтерського руху у світі пов'язані з діяльністю релігійних громад та благодійних організацій у середньовічній Європі. Монастирі та церкви створювали притулки для бідних, лікарні для хворих, надавали допомогу подорожнім та паломникам [3, с. 12]. Значний поштовх розвитку волонтерського руху надали події XIX століття, зокрема, заснування Міжнародного комітету Червоного Хреста у 1863 році. Організація розгорнула масштабну діяльність із надання допомоги пораненим військовим та цивільному населенню під час збройних конфліктів [5, с. 67]. </w:t>
      </w:r>
    </w:p>
    <w:p w14:paraId="0DF402CE" w14:textId="77777777" w:rsidR="00AE57E7" w:rsidRPr="00511005" w:rsidRDefault="00AE57E7"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Формування волонтерського руху в Україні відбувалося поетапно, відображаючи соціально-політичні зміни в суспільстві. Перший етап (1991-2000 роки) характеризувався появою перших волонтерських ініціатив після здобуття незалежності, які зосереджувалися переважно на роботі з дітьми-сиротами, людьми похилого віку, особами з інвалідністю [4, с. 209]. Другий етап (2001-2013 роки) відзначився розширенням напрямів волонтерської діяльності та зростанням кількості організацій. Під час цього періоду відбувалася професіоналізація волонтерського руху – впроваджувалися стандарти діяльності, системи навчання волонтерів [5, с. 156]. Третій етап (2014-2023 роки) пов'язаний з кардинальною трансформацією волонтерського руху в умовах російської агресії. Волонтери зосередилися на допомозі армії, переселенцям, постраждалим від бойових дій [1, с. 126]. Виникли потужні волонтерські об'єднання, що забезпечують військових необхідним спорядженням, ліками, технікою. В умовах повномасштабного вторгнення 2022 року волонтерський рух продемонстрував надзвичайну ефективність та здатність до швидкої мобілізації, організувавши системи логістики для постачання армії, евакуації населення та допомоги внутрішньо переміщеним особам [3, с. 57]. Кожен етап розвитку волонтерського руху в Україні характеризувався специфічними викликами та способами їх подолання, демонструючи здатність швидко адаптуватися до змін. Ця еволюція відображає процес інституціоналізації волонтерства, його перетворення на важливий елемент громадянського суспільства.</w:t>
      </w:r>
    </w:p>
    <w:p w14:paraId="651C4D5C" w14:textId="77777777" w:rsidR="00AE57E7" w:rsidRPr="00511005" w:rsidRDefault="00AE57E7"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 xml:space="preserve">Сучасне волонтерство в Україні характеризується різноманітністю напрямів діяльності, що відображає комплексний характер викликів, з якими стикається суспільство. Військове волонтерство посідає центральне місце у структурі волонтерського руху, забезпечуючи військових медичними засобами, тактичним спорядженням, технічними пристроями. За даними дослідження, 85% волонтерів долучаються саме до цього напряму роботи [1, с. 249]. Гуманітарний напрям охоплює допомогу цивільному населенню, </w:t>
      </w:r>
      <w:r w:rsidRPr="00511005">
        <w:rPr>
          <w:rFonts w:ascii="Arial" w:eastAsia="Calibri" w:hAnsi="Arial" w:cs="Arial"/>
          <w:szCs w:val="28"/>
          <w:lang w:val="uk-UA" w:eastAsia="ru-RU"/>
        </w:rPr>
        <w:lastRenderedPageBreak/>
        <w:t>евакуацію людей з небезпечних територій, організацію пунктів прийому та розміщення внутрішньо переміщених осіб [5, с. 222]. Медичне волонтерство розвивається у кількох напрямах: робота у військових шпиталях, збір та доставка медикаментів, допомога у реабілітації поранених бійців [4, с. 184]. Інформаційне волонтерство спрямоване на протидію дезінформації, поширення достовірних відомостей про ситуацію в країні, документування воєнних злочинів [2, с. 136]. Також активно розвиваються освітнє, культурне, технічне та екологічне волонтерство, що демонструє високий адаптивний потенціал волонтерського руху. Кожен напрям характеризується специфічними формами роботи, методами залучення ресурсів та способами координації зусиль, що дозволяє ефективно вирішувати різноманітні суспільні проблеми. Така різноманітність напрямів свідчить про комплексний характер волонтерства як соціального інституту, його здатність охоплювати різні сфери суспільного життя та відповідати на різноманітні потреби суспільства в умовах кризи.</w:t>
      </w:r>
    </w:p>
    <w:p w14:paraId="09D0A8ED" w14:textId="77777777" w:rsidR="00AE57E7" w:rsidRPr="00511005" w:rsidRDefault="00AE57E7"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Висновки. Проведене дослідження дозволило сформувати комплексне уявлення про волонтерство як соціальний інститут, особливості його становлення та розвитку в Україні. Аналіз теоретико-методологічних засад виявив багатоаспектність волонтерства як соціального феномену, що характеризується добровільністю, безоплатністю, соціальною значущістю, організованістю та системністю.</w:t>
      </w:r>
    </w:p>
    <w:p w14:paraId="24ED5228" w14:textId="77777777" w:rsidR="00AE57E7" w:rsidRPr="00511005" w:rsidRDefault="00AE57E7"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Історичний аналіз продемонстрував еволюцію волонтерського руху від спонтанних проявів взаємодопомоги до структурованої системи з чіткими нормами, цінностями та організаційними формами. Волонтерство пройшло тривалий шлях становлення: від благодійних ініціатив релігійних громад у середньовічній Європі до потужного соціального інституту сучасності.</w:t>
      </w:r>
    </w:p>
    <w:p w14:paraId="3F759C00" w14:textId="77777777" w:rsidR="00AE57E7" w:rsidRPr="00511005" w:rsidRDefault="00AE57E7"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Особливістю українського волонтерства стала його здатність ефективно реагувати на кризові ситуації та забезпечувати вирішення критичних проблем в умовах обмежених державних ресурсів. Події 2014-2023 років призвели до кардинальної трансформації волонтерського руху, який зосередився на допомозі армії, евакуації населення, підтримці постраждалих від бойових дій. Волонтери продемонстрували надзвичайну мобілізаційну здатність, організувавши масштабну логістику та швидку адаптацію до нових викликів.</w:t>
      </w:r>
    </w:p>
    <w:p w14:paraId="1DEE932E" w14:textId="77777777" w:rsidR="00AE57E7" w:rsidRPr="00511005" w:rsidRDefault="00AE57E7" w:rsidP="003A292D">
      <w:pPr>
        <w:spacing w:line="264" w:lineRule="auto"/>
        <w:rPr>
          <w:rFonts w:ascii="Arial" w:eastAsia="Calibri" w:hAnsi="Arial" w:cs="Arial"/>
          <w:szCs w:val="28"/>
          <w:lang w:val="uk-UA" w:eastAsia="ru-RU"/>
        </w:rPr>
      </w:pPr>
      <w:r w:rsidRPr="00511005">
        <w:rPr>
          <w:rFonts w:ascii="Arial" w:eastAsia="Calibri" w:hAnsi="Arial" w:cs="Arial"/>
          <w:szCs w:val="28"/>
          <w:lang w:val="uk-UA" w:eastAsia="ru-RU"/>
        </w:rPr>
        <w:t>Сучасне волонтерство в Україні характеризується різноманітністю напрямів діяльності, що відображає комплексний характер проблем, з якими стикається суспільство. Військове, гуманітарне, медичне, інформаційне волонтерство стали потужними інструментами підтримки держави та громадян в умовах кризи. Кожен напрям має свої специфічні практики, методи роботи та способи координації зусиль.</w:t>
      </w:r>
    </w:p>
    <w:p w14:paraId="649103C1" w14:textId="4975F8F7" w:rsidR="00AE57E7" w:rsidRPr="00511005" w:rsidRDefault="00AE57E7" w:rsidP="003A292D">
      <w:pPr>
        <w:spacing w:line="264" w:lineRule="auto"/>
        <w:rPr>
          <w:rFonts w:ascii="Arial" w:eastAsia="Calibri" w:hAnsi="Arial" w:cs="Arial"/>
          <w:szCs w:val="28"/>
          <w:lang w:eastAsia="ru-RU"/>
        </w:rPr>
      </w:pPr>
    </w:p>
    <w:p w14:paraId="4DDCE96E" w14:textId="77777777" w:rsidR="006A743E" w:rsidRPr="00511005" w:rsidRDefault="006A743E" w:rsidP="003A292D">
      <w:pPr>
        <w:spacing w:line="264" w:lineRule="auto"/>
        <w:rPr>
          <w:rFonts w:ascii="Arial" w:eastAsia="Calibri" w:hAnsi="Arial" w:cs="Arial"/>
          <w:szCs w:val="28"/>
          <w:lang w:eastAsia="ru-RU"/>
        </w:rPr>
      </w:pPr>
    </w:p>
    <w:p w14:paraId="737AF736" w14:textId="3DF3A32C" w:rsidR="00B54D94" w:rsidRPr="00511005" w:rsidRDefault="007B2628" w:rsidP="007B2628">
      <w:pPr>
        <w:spacing w:line="264" w:lineRule="auto"/>
        <w:jc w:val="center"/>
        <w:rPr>
          <w:rFonts w:ascii="Arial" w:eastAsia="Calibri" w:hAnsi="Arial" w:cs="Arial"/>
          <w:szCs w:val="28"/>
          <w:lang w:eastAsia="ru-RU"/>
        </w:rPr>
      </w:pPr>
      <w:r w:rsidRPr="00511005">
        <w:rPr>
          <w:rFonts w:ascii="Arial" w:eastAsia="Times New Roman" w:hAnsi="Arial" w:cs="Arial"/>
          <w:b/>
          <w:bCs/>
          <w:szCs w:val="28"/>
          <w:lang w:val="uk-UA"/>
        </w:rPr>
        <w:lastRenderedPageBreak/>
        <w:t>Список використаних джерел</w:t>
      </w:r>
    </w:p>
    <w:p w14:paraId="73AA94E4" w14:textId="77777777" w:rsidR="00AE57E7" w:rsidRPr="00511005" w:rsidRDefault="00AE57E7" w:rsidP="003F6A5D">
      <w:pPr>
        <w:numPr>
          <w:ilvl w:val="0"/>
          <w:numId w:val="761"/>
        </w:numPr>
        <w:spacing w:line="264" w:lineRule="auto"/>
        <w:jc w:val="left"/>
        <w:rPr>
          <w:rFonts w:ascii="Arial" w:eastAsia="Calibri" w:hAnsi="Arial" w:cs="Arial"/>
          <w:szCs w:val="28"/>
          <w:lang w:val="uk-UA" w:eastAsia="ru-RU"/>
        </w:rPr>
      </w:pPr>
      <w:r w:rsidRPr="00511005">
        <w:rPr>
          <w:rFonts w:ascii="Arial" w:eastAsia="Calibri" w:hAnsi="Arial" w:cs="Arial"/>
          <w:szCs w:val="28"/>
          <w:lang w:val="uk-UA" w:eastAsia="ru-RU"/>
        </w:rPr>
        <w:t>Загальна декларація волонтерів / Права людини: навч. посіб. Київ: Просвіта, 2002. С. 67–80.</w:t>
      </w:r>
    </w:p>
    <w:p w14:paraId="721ED3E7" w14:textId="77777777" w:rsidR="00AE57E7" w:rsidRPr="00511005" w:rsidRDefault="00AE57E7" w:rsidP="003F6A5D">
      <w:pPr>
        <w:numPr>
          <w:ilvl w:val="0"/>
          <w:numId w:val="761"/>
        </w:numPr>
        <w:spacing w:line="264" w:lineRule="auto"/>
        <w:jc w:val="left"/>
        <w:rPr>
          <w:rFonts w:ascii="Arial" w:eastAsia="Calibri" w:hAnsi="Arial" w:cs="Arial"/>
          <w:szCs w:val="28"/>
          <w:lang w:val="uk-UA" w:eastAsia="ru-RU"/>
        </w:rPr>
      </w:pPr>
      <w:r w:rsidRPr="00511005">
        <w:rPr>
          <w:rFonts w:ascii="Arial" w:eastAsia="Calibri" w:hAnsi="Arial" w:cs="Arial"/>
          <w:szCs w:val="28"/>
          <w:lang w:val="uk-UA" w:eastAsia="ru-RU"/>
        </w:rPr>
        <w:t>Трубнікова О. А. Волонтерство як форма соціальної активності особистості / Актуальні проблеми психології: збірник наукових праць Інституту психології імені Г.С. Костюка НАПН України. Київ, 2005. Т. 7. Ч. 2. С. 205–209.</w:t>
      </w:r>
    </w:p>
    <w:p w14:paraId="23B44679" w14:textId="77777777" w:rsidR="00AE57E7" w:rsidRPr="00511005" w:rsidRDefault="00AE57E7" w:rsidP="003F6A5D">
      <w:pPr>
        <w:numPr>
          <w:ilvl w:val="0"/>
          <w:numId w:val="761"/>
        </w:numPr>
        <w:spacing w:line="264" w:lineRule="auto"/>
        <w:jc w:val="left"/>
        <w:rPr>
          <w:rFonts w:ascii="Arial" w:eastAsia="Calibri" w:hAnsi="Arial" w:cs="Arial"/>
          <w:szCs w:val="28"/>
          <w:lang w:val="uk-UA" w:eastAsia="ru-RU"/>
        </w:rPr>
      </w:pPr>
      <w:r w:rsidRPr="00511005">
        <w:rPr>
          <w:rFonts w:ascii="Arial" w:eastAsia="Calibri" w:hAnsi="Arial" w:cs="Arial"/>
          <w:szCs w:val="28"/>
          <w:lang w:val="uk-UA" w:eastAsia="ru-RU"/>
        </w:rPr>
        <w:t>Горєлов Д., Корнієвський О. Волонтерський рух: світовий досвід та українські громадянські практики: аналіт. доп. К.: НІСД, 2015. 36 с.</w:t>
      </w:r>
    </w:p>
    <w:p w14:paraId="560045AE" w14:textId="77777777" w:rsidR="00AE57E7" w:rsidRPr="00511005" w:rsidRDefault="00AE57E7" w:rsidP="003F6A5D">
      <w:pPr>
        <w:numPr>
          <w:ilvl w:val="0"/>
          <w:numId w:val="761"/>
        </w:numPr>
        <w:spacing w:line="264" w:lineRule="auto"/>
        <w:jc w:val="left"/>
        <w:rPr>
          <w:rFonts w:ascii="Arial" w:eastAsia="Calibri" w:hAnsi="Arial" w:cs="Arial"/>
          <w:szCs w:val="28"/>
          <w:lang w:val="uk-UA" w:eastAsia="ru-RU"/>
        </w:rPr>
      </w:pPr>
      <w:r w:rsidRPr="00511005">
        <w:rPr>
          <w:rFonts w:ascii="Arial" w:eastAsia="Calibri" w:hAnsi="Arial" w:cs="Arial"/>
          <w:szCs w:val="28"/>
          <w:lang w:val="uk-UA" w:eastAsia="ru-RU"/>
        </w:rPr>
        <w:t>Харченко С. Я. Історія, теорія та практика волонтерського руху в Україні: наук.-навч.-метод. посіб. Луганськ, 2008. 319 c.</w:t>
      </w:r>
    </w:p>
    <w:p w14:paraId="637E071D" w14:textId="77777777" w:rsidR="00AE57E7" w:rsidRPr="00511005" w:rsidRDefault="00AE57E7" w:rsidP="003F6A5D">
      <w:pPr>
        <w:numPr>
          <w:ilvl w:val="0"/>
          <w:numId w:val="761"/>
        </w:numPr>
        <w:spacing w:line="264" w:lineRule="auto"/>
        <w:jc w:val="left"/>
        <w:rPr>
          <w:rFonts w:ascii="Arial" w:eastAsia="Calibri" w:hAnsi="Arial" w:cs="Arial"/>
          <w:szCs w:val="28"/>
          <w:lang w:val="uk-UA" w:eastAsia="ru-RU"/>
        </w:rPr>
      </w:pPr>
      <w:r w:rsidRPr="00511005">
        <w:rPr>
          <w:rFonts w:ascii="Arial" w:eastAsia="Calibri" w:hAnsi="Arial" w:cs="Arial"/>
          <w:szCs w:val="28"/>
          <w:lang w:val="uk-UA" w:eastAsia="ru-RU"/>
        </w:rPr>
        <w:t>Грига І., Брижовата О., Дума Л., Лисенко О. Досвід волонтерської роботи та напрями її вдосконалення // Соціальна робота в Україні: перші кроки / Ред. В. Полтавець. Київ: КМ «Academia», 2000. С. 145–172.</w:t>
      </w:r>
    </w:p>
    <w:p w14:paraId="74E3DABE" w14:textId="77777777" w:rsidR="00AE57E7" w:rsidRPr="00511005" w:rsidRDefault="00AE57E7" w:rsidP="003A292D">
      <w:pPr>
        <w:spacing w:line="264" w:lineRule="auto"/>
        <w:rPr>
          <w:rFonts w:ascii="Arial" w:eastAsia="Calibri" w:hAnsi="Arial" w:cs="Arial"/>
          <w:b/>
          <w:bCs/>
          <w:szCs w:val="28"/>
          <w:lang w:val="uk-UA" w:eastAsia="ru-RU"/>
        </w:rPr>
      </w:pPr>
    </w:p>
    <w:p w14:paraId="644BAAD9" w14:textId="533643C2" w:rsidR="00AE57E7" w:rsidRPr="00511005" w:rsidRDefault="007B2628" w:rsidP="003A292D">
      <w:pPr>
        <w:spacing w:line="264" w:lineRule="auto"/>
        <w:rPr>
          <w:rFonts w:ascii="Arial" w:eastAsia="Calibri" w:hAnsi="Arial" w:cs="Arial"/>
          <w:szCs w:val="28"/>
          <w:lang w:val="uk-UA" w:eastAsia="ru-RU"/>
        </w:rPr>
      </w:pPr>
      <w:r w:rsidRPr="00511005">
        <w:rPr>
          <w:rFonts w:ascii="Arial" w:eastAsia="Calibri" w:hAnsi="Arial" w:cs="Arial"/>
          <w:b/>
          <w:i/>
          <w:iCs/>
          <w:szCs w:val="28"/>
          <w:lang w:val="uk-UA" w:eastAsia="ru-RU"/>
        </w:rPr>
        <w:t xml:space="preserve">Ключові слова: </w:t>
      </w:r>
      <w:r w:rsidR="00AE57E7" w:rsidRPr="00511005">
        <w:rPr>
          <w:rFonts w:ascii="Arial" w:eastAsia="Calibri" w:hAnsi="Arial" w:cs="Arial"/>
          <w:szCs w:val="28"/>
          <w:lang w:val="uk-UA" w:eastAsia="ru-RU"/>
        </w:rPr>
        <w:t>волонтерство, соціальний інститут, громадянське суспільство, громадянська активність, російська агресія, військове волонтерство, гуманітарна допомога, інституціоналізація, безкорислива діяльність, добровільність</w:t>
      </w:r>
    </w:p>
    <w:p w14:paraId="45E6428A" w14:textId="53C6F868" w:rsidR="00AE57E7" w:rsidRPr="00511005" w:rsidRDefault="007B2628" w:rsidP="003A292D">
      <w:pPr>
        <w:spacing w:line="264" w:lineRule="auto"/>
        <w:rPr>
          <w:rFonts w:ascii="Arial" w:eastAsia="Calibri" w:hAnsi="Arial" w:cs="Arial"/>
          <w:szCs w:val="28"/>
          <w:lang w:val="uk-UA" w:eastAsia="ru-RU"/>
        </w:rPr>
      </w:pPr>
      <w:r w:rsidRPr="00511005">
        <w:rPr>
          <w:rFonts w:ascii="Arial" w:eastAsia="Calibri" w:hAnsi="Arial" w:cs="Arial"/>
          <w:b/>
          <w:i/>
          <w:iCs/>
          <w:szCs w:val="28"/>
          <w:lang w:val="en-US" w:eastAsia="ru-RU"/>
        </w:rPr>
        <w:t xml:space="preserve">Key words: </w:t>
      </w:r>
      <w:r w:rsidR="00AE57E7" w:rsidRPr="00511005">
        <w:rPr>
          <w:rFonts w:ascii="Arial" w:eastAsia="Calibri" w:hAnsi="Arial" w:cs="Arial"/>
          <w:szCs w:val="28"/>
          <w:lang w:val="en-US" w:eastAsia="ru-RU"/>
        </w:rPr>
        <w:t>volunteering, social institution, civil society, civic activity, Russian aggression, military volunteering, humanitarian aid, institutionalization, selfless activity, voluntariness</w:t>
      </w:r>
    </w:p>
    <w:p w14:paraId="0E4A2681" w14:textId="7E991220" w:rsidR="00AE57E7" w:rsidRPr="00511005" w:rsidRDefault="006A743E" w:rsidP="003A292D">
      <w:pPr>
        <w:spacing w:line="264" w:lineRule="auto"/>
        <w:rPr>
          <w:rFonts w:ascii="Arial" w:eastAsia="Calibri" w:hAnsi="Arial" w:cs="Arial"/>
          <w:szCs w:val="28"/>
          <w:lang w:eastAsia="ru-RU"/>
        </w:rPr>
      </w:pPr>
      <w:r w:rsidRPr="00511005">
        <w:rPr>
          <w:rFonts w:ascii="Arial" w:eastAsia="Calibri" w:hAnsi="Arial" w:cs="Arial"/>
          <w:b/>
          <w:bCs/>
          <w:i/>
          <w:iCs/>
          <w:szCs w:val="28"/>
          <w:lang w:val="uk-UA" w:eastAsia="ru-RU"/>
        </w:rPr>
        <w:t>Науковий к</w:t>
      </w:r>
      <w:r w:rsidR="00AE57E7" w:rsidRPr="00511005">
        <w:rPr>
          <w:rFonts w:ascii="Arial" w:eastAsia="Calibri" w:hAnsi="Arial" w:cs="Arial"/>
          <w:b/>
          <w:bCs/>
          <w:i/>
          <w:iCs/>
          <w:szCs w:val="28"/>
          <w:lang w:eastAsia="ru-RU"/>
        </w:rPr>
        <w:t>ерівник:</w:t>
      </w:r>
      <w:r w:rsidR="00AE57E7" w:rsidRPr="00511005">
        <w:rPr>
          <w:rFonts w:ascii="Arial" w:eastAsia="Calibri" w:hAnsi="Arial" w:cs="Arial"/>
          <w:szCs w:val="28"/>
          <w:lang w:eastAsia="ru-RU"/>
        </w:rPr>
        <w:t xml:space="preserve"> к. політ.н., доц. Каретна О. О.</w:t>
      </w:r>
    </w:p>
    <w:p w14:paraId="47D4F7B9" w14:textId="77777777" w:rsidR="00C66506" w:rsidRPr="00511005" w:rsidRDefault="00C66506" w:rsidP="003A292D">
      <w:pPr>
        <w:spacing w:line="264" w:lineRule="auto"/>
        <w:ind w:firstLine="0"/>
        <w:jc w:val="center"/>
        <w:rPr>
          <w:rFonts w:ascii="Arial" w:eastAsia="Calibri" w:hAnsi="Arial" w:cs="Arial"/>
          <w:b/>
          <w:i/>
          <w:szCs w:val="28"/>
          <w:lang w:val="uk-UA"/>
        </w:rPr>
      </w:pPr>
    </w:p>
    <w:p w14:paraId="6AFAB3D4" w14:textId="77777777" w:rsidR="00C66506" w:rsidRPr="00511005" w:rsidRDefault="00C66506" w:rsidP="003A292D">
      <w:pPr>
        <w:spacing w:line="264" w:lineRule="auto"/>
        <w:ind w:firstLine="0"/>
        <w:jc w:val="center"/>
        <w:rPr>
          <w:rFonts w:ascii="Arial" w:eastAsia="Calibri" w:hAnsi="Arial" w:cs="Arial"/>
          <w:b/>
          <w:i/>
          <w:szCs w:val="28"/>
          <w:lang w:val="uk-UA"/>
        </w:rPr>
      </w:pPr>
    </w:p>
    <w:p w14:paraId="4DB3DA9C" w14:textId="503060B4" w:rsidR="00AE57E7" w:rsidRPr="00511005" w:rsidRDefault="00AE57E7" w:rsidP="003A292D">
      <w:pPr>
        <w:spacing w:line="264" w:lineRule="auto"/>
        <w:ind w:firstLine="0"/>
        <w:jc w:val="center"/>
        <w:rPr>
          <w:rFonts w:ascii="Arial" w:eastAsia="Calibri" w:hAnsi="Arial" w:cs="Arial"/>
          <w:b/>
          <w:i/>
          <w:szCs w:val="28"/>
        </w:rPr>
      </w:pPr>
      <w:r w:rsidRPr="00511005">
        <w:rPr>
          <w:rFonts w:ascii="Arial" w:eastAsia="Calibri" w:hAnsi="Arial" w:cs="Arial"/>
          <w:b/>
          <w:i/>
          <w:szCs w:val="28"/>
          <w:lang w:val="uk-UA"/>
        </w:rPr>
        <w:t>Крилов Олександр</w:t>
      </w:r>
      <w:r w:rsidRPr="00511005">
        <w:rPr>
          <w:rFonts w:ascii="Arial" w:eastAsia="Calibri" w:hAnsi="Arial" w:cs="Arial"/>
          <w:b/>
          <w:i/>
          <w:szCs w:val="28"/>
        </w:rPr>
        <w:t xml:space="preserve"> Денисович</w:t>
      </w:r>
    </w:p>
    <w:p w14:paraId="48DCA5F3" w14:textId="6122151D" w:rsidR="00AE57E7" w:rsidRPr="00511005" w:rsidRDefault="00287A9C"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rPr>
        <w:t>студент</w:t>
      </w:r>
      <w:r w:rsidR="00AE57E7" w:rsidRPr="00511005">
        <w:rPr>
          <w:rFonts w:ascii="Arial" w:eastAsia="Calibri" w:hAnsi="Arial" w:cs="Arial"/>
          <w:szCs w:val="28"/>
        </w:rPr>
        <w:t xml:space="preserve"> </w:t>
      </w:r>
      <w:r w:rsidR="007B2628" w:rsidRPr="00511005">
        <w:rPr>
          <w:rFonts w:ascii="Arial" w:eastAsia="Calibri" w:hAnsi="Arial" w:cs="Arial"/>
          <w:szCs w:val="28"/>
          <w:lang w:val="uk-UA"/>
        </w:rPr>
        <w:t>1-го курсу</w:t>
      </w:r>
      <w:r w:rsidR="00AE57E7" w:rsidRPr="00511005">
        <w:rPr>
          <w:rFonts w:ascii="Arial" w:eastAsia="Calibri" w:hAnsi="Arial" w:cs="Arial"/>
          <w:szCs w:val="28"/>
          <w:lang w:val="uk-UA"/>
        </w:rPr>
        <w:t xml:space="preserve"> </w:t>
      </w:r>
      <w:r w:rsidR="00536AAB" w:rsidRPr="00511005">
        <w:rPr>
          <w:rFonts w:ascii="Arial" w:eastAsia="Calibri" w:hAnsi="Arial" w:cs="Arial"/>
          <w:szCs w:val="28"/>
          <w:lang w:val="uk-UA"/>
        </w:rPr>
        <w:t>факультету психології, політології та соціології</w:t>
      </w:r>
    </w:p>
    <w:p w14:paraId="53D73EDB" w14:textId="2A19BC4A" w:rsidR="00AE57E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039340C3" w14:textId="77777777" w:rsidR="00AE57E7" w:rsidRPr="00511005" w:rsidRDefault="00AE57E7" w:rsidP="003A292D">
      <w:pPr>
        <w:spacing w:line="264" w:lineRule="auto"/>
        <w:ind w:firstLine="0"/>
        <w:rPr>
          <w:rFonts w:ascii="Arial" w:eastAsia="Calibri" w:hAnsi="Arial" w:cs="Arial"/>
          <w:szCs w:val="28"/>
          <w:lang w:val="uk-UA"/>
        </w:rPr>
      </w:pPr>
    </w:p>
    <w:p w14:paraId="43282D37" w14:textId="77777777" w:rsidR="00AE57E7" w:rsidRPr="00511005" w:rsidRDefault="00AE57E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ВОЛОНТЕРСТВО ТА ДОПОМОГА АРМІЇ ЯК ПРОЯВ ПАТРІОТИЗМУ</w:t>
      </w:r>
    </w:p>
    <w:p w14:paraId="09D31C2A" w14:textId="77777777" w:rsidR="00AE57E7" w:rsidRPr="00511005" w:rsidRDefault="00AE57E7"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В умовах повномасштабної війни в Україні патріотизм набув надзвичайно практичного виміру. Він більше не зводиться до абстрактного поняття чи символічного жесту. Натомість він проявляється через реальні, конкретні дії мільйонів громадян. Однією з найяскравіших форм сучасного українського патріотизму стало волонтерство, а також всебічна допомога українській армії. Ці явища стали не просто реакцією на зовнішню загрозу, а глибоким внутрішнім переконанням, що кожен може і повинен бути причетним до захисту держави.</w:t>
      </w:r>
    </w:p>
    <w:p w14:paraId="38220C20" w14:textId="77777777" w:rsidR="00AE57E7" w:rsidRPr="00511005" w:rsidRDefault="00AE57E7" w:rsidP="003A292D">
      <w:pPr>
        <w:spacing w:line="264" w:lineRule="auto"/>
        <w:ind w:firstLine="708"/>
        <w:rPr>
          <w:rFonts w:ascii="Arial" w:eastAsia="Calibri" w:hAnsi="Arial" w:cs="Arial"/>
          <w:szCs w:val="28"/>
        </w:rPr>
      </w:pPr>
      <w:r w:rsidRPr="00511005">
        <w:rPr>
          <w:rFonts w:ascii="Arial" w:eastAsia="Calibri" w:hAnsi="Arial" w:cs="Arial"/>
          <w:szCs w:val="28"/>
          <w:lang w:val="uk-UA"/>
        </w:rPr>
        <w:t xml:space="preserve">З початком війни у 2014 році, а особливо після широкомасштабного вторгнення </w:t>
      </w:r>
      <w:r w:rsidRPr="00511005">
        <w:rPr>
          <w:rFonts w:ascii="Arial" w:eastAsia="Calibri" w:hAnsi="Arial" w:cs="Arial"/>
          <w:szCs w:val="28"/>
        </w:rPr>
        <w:t>р</w:t>
      </w:r>
      <w:r w:rsidRPr="00511005">
        <w:rPr>
          <w:rFonts w:ascii="Arial" w:eastAsia="Calibri" w:hAnsi="Arial" w:cs="Arial"/>
          <w:szCs w:val="28"/>
          <w:lang w:val="uk-UA"/>
        </w:rPr>
        <w:t xml:space="preserve">осії у 2022 році, волонтерський рух в Україні стрімко зріс. Його масштаби, ефективність і масовість стали безпрецедентними. Люди, незалежно від статі, віку, професії чи регіону проживання, почали активно </w:t>
      </w:r>
      <w:r w:rsidRPr="00511005">
        <w:rPr>
          <w:rFonts w:ascii="Arial" w:eastAsia="Calibri" w:hAnsi="Arial" w:cs="Arial"/>
          <w:szCs w:val="28"/>
          <w:lang w:val="uk-UA"/>
        </w:rPr>
        <w:lastRenderedPageBreak/>
        <w:t>долучатися до різних форм допомоги: від збору коштів і гуманітарної допомоги до виготовлення технічних засобів і забезпечення логістики. Багато хто повністю змінив своє життя, залишив роботу, бізнес, родину, аби присвятити себе допомозі військовим і постраждалим від війни. Волонтерство перетворилося на справжній фронт – тиловий, але не менш важливий.</w:t>
      </w:r>
      <w:r w:rsidRPr="00511005">
        <w:rPr>
          <w:rFonts w:ascii="Arial" w:eastAsia="Calibri" w:hAnsi="Arial" w:cs="Arial"/>
          <w:szCs w:val="28"/>
        </w:rPr>
        <w:t xml:space="preserve"> [1]</w:t>
      </w:r>
    </w:p>
    <w:p w14:paraId="391B9537" w14:textId="77777777" w:rsidR="00AE57E7" w:rsidRPr="00511005" w:rsidRDefault="00AE57E7"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Допомога армії охоплює безліч аспектів. Це забезпечення військових сучасними засобами зв’язку, транспортом, дронами, тепловізорами, бронежилетами, медикаментами, харчами, одягом. Часто саме волонтери першими реагують на запити з фронту, обходячи бюрократичні перешкоди, швидко організовують збір необхідного та оперативно доправляють усе безпосередньо на позиції. Сотні громадських організацій і ініціатив, а також тисячі окремих людей працюють щодня, не зважаючи на втому, небезпеку чи нестачу ресурсів. Вони діють з єдиною метою – наблизити перемогу і зберегти життя захисників. [4]</w:t>
      </w:r>
    </w:p>
    <w:p w14:paraId="720E0047" w14:textId="77777777" w:rsidR="00AE57E7" w:rsidRPr="00511005" w:rsidRDefault="00AE57E7"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Волонтерство також має потужний соціальний і психологічний вимір. У складні моменти, коли людина почувається безсилою перед масштабами трагедії, участь у доброчинності, допомога армії або цивільним дає відчуття залученості, важливості і віри у власну здатність впливати на хід подій. Волонтерська діяльність допомагає долати страх, тривогу, зневіру. Вона формує спільноту людей, об’єднаних не лише спільною метою, а й спільними цінностями: відповідальністю, взаємопідтримкою, солідарністю, довірою.</w:t>
      </w:r>
    </w:p>
    <w:p w14:paraId="55A35A48" w14:textId="77777777" w:rsidR="00AE57E7" w:rsidRPr="00511005" w:rsidRDefault="00AE57E7"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Волонтерство – це не лише матеріальна допомога. Це також інформаційна боротьба, культурна дипломатія, освітні ініціативи. Багато волонтерів ведуть роз’яснювальну роботу серед іноземної аудиторії, збирають кошти за кордоном, передають світові правду про війну в Україні. Інші займаються реабілітацією поранених, психологічною підтримкою військових, працею з дітьми, які втратили батьків. Усе це – прояви активної громадянської позиції та глибокого патріотизму. [3]</w:t>
      </w:r>
    </w:p>
    <w:p w14:paraId="74A2E74B" w14:textId="77777777" w:rsidR="00AE57E7" w:rsidRPr="00511005" w:rsidRDefault="00AE57E7"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Окремо слід згадати про так званих «тихих волонтерів» – тих, хто не публікує своїх добрих справ у соцмережах, не афішує діяльність, але щодня допомагає армії, переселенцям, пораненим, родинам загиблих. Їхній внесок не менш важливий, адже він свідчить про глибину внутрішнього переконання, що допомога Батьківщині – це справа честі, а не спосіб самопіару. Вони – уособлення того, що патріотизм живе не лише в лозунгах, а в щоденній тихій, але наполегливій праці.</w:t>
      </w:r>
    </w:p>
    <w:p w14:paraId="3BEB66DB" w14:textId="77777777" w:rsidR="00AE57E7" w:rsidRPr="00511005" w:rsidRDefault="00AE57E7" w:rsidP="003A292D">
      <w:pPr>
        <w:spacing w:line="264" w:lineRule="auto"/>
        <w:ind w:firstLine="708"/>
        <w:rPr>
          <w:rFonts w:ascii="Arial" w:eastAsia="Calibri" w:hAnsi="Arial" w:cs="Arial"/>
          <w:szCs w:val="28"/>
        </w:rPr>
      </w:pPr>
      <w:r w:rsidRPr="00511005">
        <w:rPr>
          <w:rFonts w:ascii="Arial" w:eastAsia="Calibri" w:hAnsi="Arial" w:cs="Arial"/>
          <w:szCs w:val="28"/>
          <w:lang w:val="uk-UA"/>
        </w:rPr>
        <w:t xml:space="preserve">Не менш важливим є внесок молоді. Студенти, школярі, молоді фахівці організовують благодійні акції, концерти, ярмарки, плетуть сітки, готують їжу, збирають кошти на дрони та автівки для ЗСУ. Це доводить, що патріотизм передається через виховання, через особистий приклад старших, через відчуття спільного обов’язку перед країною. </w:t>
      </w:r>
      <w:r w:rsidRPr="00511005">
        <w:rPr>
          <w:rFonts w:ascii="Arial" w:eastAsia="Calibri" w:hAnsi="Arial" w:cs="Arial"/>
          <w:szCs w:val="28"/>
        </w:rPr>
        <w:t>[5]</w:t>
      </w:r>
    </w:p>
    <w:p w14:paraId="2FB54C91" w14:textId="77777777" w:rsidR="00AE57E7" w:rsidRPr="00511005" w:rsidRDefault="00AE57E7"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lastRenderedPageBreak/>
        <w:t>Таким чином, волонтерство та допомога армії стали не лише формами суспільної активності, а важливими чинниками формування національної ідентичності та нової культури громадянської відповідальності. Патріотизм в Україні перестав бути чимось абстрактним – він перетворився на реальні дії, здатні змінювати хід історії. Українці вкотре довели, що любов до Батьківщини – це не лише слова, а готовність діяти, захищати, допомагати і не здаватися.</w:t>
      </w:r>
    </w:p>
    <w:p w14:paraId="1AC9AD61" w14:textId="77777777" w:rsidR="00AE57E7" w:rsidRPr="00511005" w:rsidRDefault="00AE57E7" w:rsidP="003A292D">
      <w:pPr>
        <w:spacing w:line="264" w:lineRule="auto"/>
        <w:ind w:firstLine="708"/>
        <w:rPr>
          <w:rFonts w:ascii="Arial" w:eastAsia="Calibri" w:hAnsi="Arial" w:cs="Arial"/>
          <w:szCs w:val="28"/>
          <w:lang w:val="uk-UA"/>
        </w:rPr>
      </w:pPr>
      <w:r w:rsidRPr="00511005">
        <w:rPr>
          <w:rFonts w:ascii="Arial" w:eastAsia="Calibri" w:hAnsi="Arial" w:cs="Arial"/>
          <w:szCs w:val="28"/>
          <w:lang w:val="uk-UA"/>
        </w:rPr>
        <w:t>Отже, волонтерство і допомога армії – це не просто актуальні суспільні явища. Це основа нашого національного спротиву, джерело внутрішньої сили, доказ того, що український народ здатен до саморганізації, взаємної підтримки та єдності в найважчі часи. І саме завдяки цьому патріотизму – щирому, дієвому, безкорисливому – Україна вистоїть і переможе.</w:t>
      </w:r>
    </w:p>
    <w:p w14:paraId="460D19AF" w14:textId="77777777" w:rsidR="00AE57E7" w:rsidRPr="00511005" w:rsidRDefault="00AE57E7" w:rsidP="003A292D">
      <w:pPr>
        <w:spacing w:line="264" w:lineRule="auto"/>
        <w:ind w:firstLine="0"/>
        <w:rPr>
          <w:rFonts w:ascii="Arial" w:eastAsia="Calibri" w:hAnsi="Arial" w:cs="Arial"/>
          <w:szCs w:val="28"/>
          <w:lang w:val="uk-UA"/>
        </w:rPr>
      </w:pPr>
    </w:p>
    <w:p w14:paraId="7F9F384B" w14:textId="7453FBF1" w:rsidR="00AE57E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1A3FA0C4" w14:textId="77777777" w:rsidR="00AE57E7" w:rsidRPr="00511005" w:rsidRDefault="00AE57E7" w:rsidP="003F6A5D">
      <w:pPr>
        <w:numPr>
          <w:ilvl w:val="0"/>
          <w:numId w:val="762"/>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Бондар, В. Якуніна, К. Патріотизм як інтерсуб’єктивне явище: соціально-філософський дискурс. Молодий вчений, 9 (85). 2020. С. 148-152.</w:t>
      </w:r>
    </w:p>
    <w:p w14:paraId="16073B13" w14:textId="77777777" w:rsidR="00AE57E7" w:rsidRPr="00511005" w:rsidRDefault="00AE57E7" w:rsidP="003F6A5D">
      <w:pPr>
        <w:numPr>
          <w:ilvl w:val="0"/>
          <w:numId w:val="762"/>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Горностай П. П. Війна ідентичностей: хто кого. Міжгрупова взаємодія в умовах війни: ідентичності, картини світу, долання травми: матеріали круглого столу (Київ, 9 червня, 2022 р.) / За наук. ред. П. П. Горностая, Л.Г.Чорної. Київ : Талком, 2022. С. 12-16. URI: http://gorn.kiev.ua/Gorn2022-2.pdf</w:t>
      </w:r>
    </w:p>
    <w:p w14:paraId="2E720066" w14:textId="77777777" w:rsidR="00AE57E7" w:rsidRPr="00511005" w:rsidRDefault="00AE57E7" w:rsidP="003F6A5D">
      <w:pPr>
        <w:numPr>
          <w:ilvl w:val="0"/>
          <w:numId w:val="762"/>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Кириченко В. І. Патріотизм як ціннісно-смислове підґрунтя про соціальної поведінки підлітків. Експеременти і дослідження: висновки, рекомендації - №4. 2017. С. 42-48.</w:t>
      </w:r>
    </w:p>
    <w:p w14:paraId="6686213E" w14:textId="77777777" w:rsidR="00AE57E7" w:rsidRPr="00511005" w:rsidRDefault="00AE57E7" w:rsidP="003F6A5D">
      <w:pPr>
        <w:numPr>
          <w:ilvl w:val="0"/>
          <w:numId w:val="762"/>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Костенко Н., Ручка А., Скокова Л. Цінності та ціннісні зміни в сучасному суспільстві: тренди та перспективи. Київ: Інститут соціології НАН України, 2020. 358 с.</w:t>
      </w:r>
    </w:p>
    <w:p w14:paraId="42B63FB5" w14:textId="77777777" w:rsidR="00AE57E7" w:rsidRPr="00511005" w:rsidRDefault="00AE57E7" w:rsidP="003F6A5D">
      <w:pPr>
        <w:numPr>
          <w:ilvl w:val="0"/>
          <w:numId w:val="762"/>
        </w:numPr>
        <w:spacing w:line="264" w:lineRule="auto"/>
        <w:contextualSpacing/>
        <w:jc w:val="left"/>
        <w:rPr>
          <w:rFonts w:ascii="Arial" w:eastAsia="Times New Roman" w:hAnsi="Arial" w:cs="Arial"/>
          <w:szCs w:val="28"/>
          <w:lang w:val="uk-UA" w:eastAsia="ru-RU"/>
        </w:rPr>
      </w:pPr>
      <w:r w:rsidRPr="00511005">
        <w:rPr>
          <w:rFonts w:ascii="Arial" w:eastAsia="Times New Roman" w:hAnsi="Arial" w:cs="Arial"/>
          <w:szCs w:val="28"/>
          <w:lang w:val="uk-UA" w:eastAsia="ru-RU"/>
        </w:rPr>
        <w:t>Лучанінова О. П. Патріотизм в умовах воєнного стану: духовне становлення студентства. Духовність особистості: методологія, теорія і практика: збірник наукових праць, Том 1 № 2 (104), 2022. С. 64-74.</w:t>
      </w:r>
    </w:p>
    <w:p w14:paraId="583EED9C" w14:textId="77777777" w:rsidR="00AE57E7" w:rsidRPr="00511005" w:rsidRDefault="00AE57E7" w:rsidP="003A292D">
      <w:pPr>
        <w:tabs>
          <w:tab w:val="left" w:pos="709"/>
        </w:tabs>
        <w:spacing w:line="264" w:lineRule="auto"/>
        <w:ind w:firstLine="0"/>
        <w:rPr>
          <w:rFonts w:ascii="Arial" w:eastAsia="Calibri" w:hAnsi="Arial" w:cs="Arial"/>
          <w:szCs w:val="28"/>
          <w:lang w:val="uk-UA"/>
        </w:rPr>
      </w:pPr>
    </w:p>
    <w:p w14:paraId="012E6C8B" w14:textId="180242D8" w:rsidR="00AE57E7" w:rsidRPr="00511005" w:rsidRDefault="007B2628" w:rsidP="003A292D">
      <w:pPr>
        <w:spacing w:line="264" w:lineRule="auto"/>
        <w:ind w:firstLine="0"/>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szCs w:val="28"/>
          <w:lang w:val="uk-UA"/>
        </w:rPr>
        <w:t>волонтерство, патріотизм, допомога армії, громадянська позиція, волонтери, військові.</w:t>
      </w:r>
    </w:p>
    <w:p w14:paraId="6D06AF10" w14:textId="6893C3D8" w:rsidR="00AE57E7" w:rsidRPr="00511005" w:rsidRDefault="007B2628" w:rsidP="003A292D">
      <w:pPr>
        <w:spacing w:line="264" w:lineRule="auto"/>
        <w:ind w:firstLine="0"/>
        <w:rPr>
          <w:rFonts w:ascii="Arial" w:eastAsia="Calibri" w:hAnsi="Arial" w:cs="Arial"/>
          <w:szCs w:val="28"/>
          <w:lang w:val="en-US"/>
        </w:rPr>
      </w:pPr>
      <w:r w:rsidRPr="00511005">
        <w:rPr>
          <w:rFonts w:ascii="Arial" w:eastAsia="Calibri" w:hAnsi="Arial" w:cs="Arial"/>
          <w:b/>
          <w:i/>
          <w:szCs w:val="28"/>
          <w:lang w:val="uk-UA"/>
        </w:rPr>
        <w:t xml:space="preserve">Key words: </w:t>
      </w:r>
      <w:r w:rsidR="00AE57E7" w:rsidRPr="00511005">
        <w:rPr>
          <w:rFonts w:ascii="Arial" w:eastAsia="Calibri" w:hAnsi="Arial" w:cs="Arial"/>
          <w:szCs w:val="28"/>
          <w:lang w:val="uk-UA"/>
        </w:rPr>
        <w:t>volunteering, patriotism, army support, civic stance, volunteers, military.</w:t>
      </w:r>
    </w:p>
    <w:p w14:paraId="3476FD37" w14:textId="7390ED99" w:rsidR="00AE57E7" w:rsidRPr="00511005" w:rsidRDefault="007B2628" w:rsidP="003A292D">
      <w:pPr>
        <w:spacing w:line="264" w:lineRule="auto"/>
        <w:ind w:firstLine="0"/>
        <w:rPr>
          <w:rFonts w:ascii="Arial" w:eastAsia="Calibri" w:hAnsi="Arial" w:cs="Arial"/>
          <w:i/>
          <w:szCs w:val="28"/>
          <w:lang w:val="uk-UA"/>
        </w:rPr>
      </w:pPr>
      <w:r w:rsidRPr="00511005">
        <w:rPr>
          <w:rFonts w:ascii="Arial" w:eastAsia="Calibri" w:hAnsi="Arial" w:cs="Arial"/>
          <w:b/>
          <w:i/>
          <w:szCs w:val="28"/>
        </w:rPr>
        <w:t xml:space="preserve">Науковий керівник: </w:t>
      </w:r>
      <w:r w:rsidR="00AE57E7" w:rsidRPr="00511005">
        <w:rPr>
          <w:rFonts w:ascii="Arial" w:eastAsia="Calibri" w:hAnsi="Arial" w:cs="Arial"/>
          <w:i/>
          <w:szCs w:val="28"/>
          <w:lang w:val="uk-UA"/>
        </w:rPr>
        <w:t>к.політ.н., доц. Каретна О.О.</w:t>
      </w:r>
    </w:p>
    <w:p w14:paraId="53DCE47F" w14:textId="77777777" w:rsidR="00AE57E7" w:rsidRPr="00511005" w:rsidRDefault="00AE57E7" w:rsidP="003A292D">
      <w:pPr>
        <w:spacing w:line="264" w:lineRule="auto"/>
        <w:rPr>
          <w:rFonts w:ascii="Arial" w:eastAsia="Calibri" w:hAnsi="Arial" w:cs="Arial"/>
          <w:szCs w:val="28"/>
          <w:lang w:eastAsia="ru-RU"/>
        </w:rPr>
      </w:pPr>
      <w:r w:rsidRPr="00511005">
        <w:rPr>
          <w:rFonts w:ascii="Arial" w:eastAsia="Calibri" w:hAnsi="Arial" w:cs="Arial"/>
          <w:szCs w:val="28"/>
          <w:lang w:eastAsia="ru-RU"/>
        </w:rPr>
        <w:br w:type="page"/>
      </w:r>
    </w:p>
    <w:p w14:paraId="5C36BAD8" w14:textId="77777777" w:rsidR="00AE57E7" w:rsidRPr="00511005" w:rsidRDefault="00AE57E7" w:rsidP="003A292D">
      <w:pPr>
        <w:spacing w:line="264" w:lineRule="auto"/>
        <w:ind w:firstLine="720"/>
        <w:jc w:val="center"/>
        <w:rPr>
          <w:rFonts w:ascii="Arial" w:eastAsia="Times New Roman" w:hAnsi="Arial" w:cs="Arial"/>
          <w:b/>
          <w:bCs/>
          <w:i/>
          <w:noProof/>
          <w:szCs w:val="28"/>
          <w:lang w:val="uk-UA"/>
        </w:rPr>
      </w:pPr>
      <w:r w:rsidRPr="00511005">
        <w:rPr>
          <w:rFonts w:ascii="Arial" w:eastAsia="Times New Roman" w:hAnsi="Arial" w:cs="Arial"/>
          <w:b/>
          <w:bCs/>
          <w:i/>
          <w:noProof/>
          <w:szCs w:val="28"/>
          <w:lang w:val="uk-UA"/>
        </w:rPr>
        <w:lastRenderedPageBreak/>
        <w:t>Махінько Єлизавета Анатоліївна</w:t>
      </w:r>
    </w:p>
    <w:p w14:paraId="3AAAE116" w14:textId="1B090759" w:rsidR="00AE57E7" w:rsidRPr="00511005" w:rsidRDefault="00536AAB" w:rsidP="003A292D">
      <w:pPr>
        <w:spacing w:line="264" w:lineRule="auto"/>
        <w:ind w:firstLine="720"/>
        <w:jc w:val="center"/>
        <w:rPr>
          <w:rFonts w:ascii="Arial" w:eastAsia="Times New Roman" w:hAnsi="Arial" w:cs="Arial"/>
          <w:bCs/>
          <w:noProof/>
          <w:szCs w:val="28"/>
          <w:lang w:val="uk-UA"/>
        </w:rPr>
      </w:pPr>
      <w:r w:rsidRPr="00511005">
        <w:rPr>
          <w:rFonts w:ascii="Arial" w:eastAsia="Times New Roman" w:hAnsi="Arial" w:cs="Arial"/>
          <w:bCs/>
          <w:noProof/>
          <w:szCs w:val="28"/>
          <w:lang w:val="uk-UA"/>
        </w:rPr>
        <w:t>студентка 3-го курсу факультету психології, політології та соціології</w:t>
      </w:r>
    </w:p>
    <w:p w14:paraId="4889E30E" w14:textId="528F75F9" w:rsidR="00AE57E7" w:rsidRPr="00511005" w:rsidRDefault="007B2628" w:rsidP="003A292D">
      <w:pPr>
        <w:spacing w:line="264" w:lineRule="auto"/>
        <w:ind w:firstLine="720"/>
        <w:jc w:val="center"/>
        <w:rPr>
          <w:rFonts w:ascii="Arial" w:eastAsia="Times New Roman" w:hAnsi="Arial" w:cs="Arial"/>
          <w:bCs/>
          <w:noProof/>
          <w:szCs w:val="28"/>
          <w:lang w:val="uk-UA"/>
        </w:rPr>
      </w:pPr>
      <w:r w:rsidRPr="00511005">
        <w:rPr>
          <w:rFonts w:ascii="Arial" w:eastAsia="Times New Roman" w:hAnsi="Arial" w:cs="Arial"/>
          <w:bCs/>
          <w:noProof/>
          <w:szCs w:val="28"/>
          <w:lang w:val="uk-UA"/>
        </w:rPr>
        <w:t>Національного університету «Одеська юридична академія»</w:t>
      </w:r>
    </w:p>
    <w:p w14:paraId="6CD876A9" w14:textId="77777777" w:rsidR="00AE57E7" w:rsidRPr="00511005" w:rsidRDefault="00AE57E7" w:rsidP="003A292D">
      <w:pPr>
        <w:spacing w:line="264" w:lineRule="auto"/>
        <w:ind w:firstLine="720"/>
        <w:jc w:val="center"/>
        <w:rPr>
          <w:rFonts w:ascii="Arial" w:eastAsia="Times New Roman" w:hAnsi="Arial" w:cs="Arial"/>
          <w:b/>
          <w:noProof/>
          <w:szCs w:val="28"/>
          <w:lang w:eastAsia="ru-RU"/>
        </w:rPr>
      </w:pPr>
    </w:p>
    <w:p w14:paraId="474D24C9" w14:textId="77777777" w:rsidR="00AE57E7" w:rsidRPr="00511005" w:rsidRDefault="00AE57E7" w:rsidP="003A292D">
      <w:pPr>
        <w:spacing w:line="264" w:lineRule="auto"/>
        <w:ind w:firstLine="720"/>
        <w:jc w:val="center"/>
        <w:rPr>
          <w:rFonts w:ascii="Arial" w:eastAsia="Times New Roman" w:hAnsi="Arial" w:cs="Arial"/>
          <w:b/>
          <w:bCs/>
          <w:noProof/>
          <w:szCs w:val="28"/>
          <w:lang w:val="uk-UA"/>
        </w:rPr>
      </w:pPr>
      <w:r w:rsidRPr="00511005">
        <w:rPr>
          <w:rFonts w:ascii="Arial" w:eastAsia="Times New Roman" w:hAnsi="Arial" w:cs="Arial"/>
          <w:b/>
          <w:noProof/>
          <w:szCs w:val="28"/>
          <w:lang w:val="uk-UA" w:eastAsia="ru-RU"/>
        </w:rPr>
        <w:t>СТРЕС ЯК ЧИННИК ДЕЗОРГАНІЗАЦІЇ СТУДЕНТСЬКОЇ МОЛОДІ</w:t>
      </w:r>
    </w:p>
    <w:p w14:paraId="7589025E" w14:textId="77777777" w:rsidR="00AE57E7" w:rsidRPr="00511005" w:rsidRDefault="00AE57E7" w:rsidP="003A292D">
      <w:pPr>
        <w:spacing w:line="264" w:lineRule="auto"/>
        <w:ind w:firstLine="720"/>
        <w:rPr>
          <w:rFonts w:ascii="Arial" w:eastAsia="Times New Roman" w:hAnsi="Arial" w:cs="Arial"/>
          <w:bCs/>
          <w:noProof/>
          <w:szCs w:val="28"/>
          <w:lang w:val="uk-UA"/>
        </w:rPr>
      </w:pPr>
      <w:r w:rsidRPr="00511005">
        <w:rPr>
          <w:rFonts w:ascii="Arial" w:eastAsia="Times New Roman" w:hAnsi="Arial" w:cs="Arial"/>
          <w:bCs/>
          <w:noProof/>
          <w:szCs w:val="28"/>
          <w:lang w:val="uk-UA"/>
        </w:rPr>
        <w:t>Студентська молодь є однією з найбільш вразливих соціальних груп, оскільки період навчання в університеті часто супроводжується значними змінами в житті молодих людей. Вони стикатьюся з численними проблемами, які впливають на їх повсякденне життя та майбутнє [3].Стресові ситуації, з якими стикаються студенти, можуть мати серйозний вплив на їх психічний стан, соціальні зв’язки та адаптацію до нового середовища. Це, в свою чергу, може призвести до дезорганізації поведінки та соціальної дезадаптації, що негативно позначається на якості навчання, соціальних стосунках та загальному благополуччі студентів. Стрес серед студентської молоді вимагає комплексного підходу до дослідження, враховуючи соціальні, психологічні та культурні аспекти. Оскільки стрес може стати не лише причиною порушень соціальної адаптації, але й сприяти розвитку соціальної ізоляції, депресії, порушень нормальних взаємодій, тому важливо вивчати соціальні механізми подолання стресових ситуацій та їх вплив на збереження соціальної гармонії в студентському середовищі</w:t>
      </w:r>
      <w:r w:rsidRPr="00511005">
        <w:rPr>
          <w:rFonts w:ascii="Arial" w:eastAsia="Times New Roman" w:hAnsi="Arial" w:cs="Arial"/>
          <w:bCs/>
          <w:noProof/>
          <w:szCs w:val="28"/>
          <w:lang w:val="en-US"/>
        </w:rPr>
        <w:t> </w:t>
      </w:r>
      <w:r w:rsidRPr="00511005">
        <w:rPr>
          <w:rFonts w:ascii="Arial" w:eastAsia="Times New Roman" w:hAnsi="Arial" w:cs="Arial"/>
          <w:bCs/>
          <w:noProof/>
          <w:szCs w:val="28"/>
          <w:lang w:val="uk-UA"/>
        </w:rPr>
        <w:t>[5].</w:t>
      </w:r>
    </w:p>
    <w:p w14:paraId="242CB7B4" w14:textId="77777777" w:rsidR="00AE57E7" w:rsidRPr="00511005" w:rsidRDefault="00AE57E7" w:rsidP="003A292D">
      <w:pPr>
        <w:spacing w:line="264" w:lineRule="auto"/>
        <w:rPr>
          <w:rFonts w:ascii="Arial" w:eastAsia="Calibri" w:hAnsi="Arial" w:cs="Arial"/>
          <w:noProof/>
          <w:szCs w:val="28"/>
          <w:lang w:val="uk-UA"/>
        </w:rPr>
      </w:pPr>
      <w:r w:rsidRPr="00511005">
        <w:rPr>
          <w:rFonts w:ascii="Arial" w:eastAsia="Calibri" w:hAnsi="Arial" w:cs="Arial"/>
          <w:noProof/>
          <w:szCs w:val="28"/>
          <w:lang w:val="uk-UA"/>
        </w:rPr>
        <w:t>Однією з важливих концепцій у соціології є ідея про те, що стрес виникає у взаємодії між індивідом та його соціальним середовищем. Наприклад, невідповідність між суспільними очікуваннями і реальними можливостями особистості може спричинити тривалі стресові стани. Яскравим прикладом є рольовий конфлікт, коли індивід не може виконати всі очікування, пов’язані з його соціальними ролями. Соціологічне визначення стресу зосереджується на впливі соціальних структур та відносин на його емоційний та фізичний стан. Аналізуючи стрес через соціологічну призму, можна краще зрозуміти, як саме суспільні умови формують цей феномен і які стратегії можуть бути ефективними для його подолання [1].</w:t>
      </w:r>
    </w:p>
    <w:p w14:paraId="62902910" w14:textId="77777777" w:rsidR="00AE57E7" w:rsidRPr="00511005" w:rsidRDefault="00AE57E7" w:rsidP="003A292D">
      <w:pPr>
        <w:spacing w:line="264" w:lineRule="auto"/>
        <w:ind w:firstLine="720"/>
        <w:rPr>
          <w:rFonts w:ascii="Arial" w:eastAsia="Times New Roman" w:hAnsi="Arial" w:cs="Arial"/>
          <w:bCs/>
          <w:noProof/>
          <w:szCs w:val="28"/>
        </w:rPr>
      </w:pPr>
      <w:r w:rsidRPr="00511005">
        <w:rPr>
          <w:rFonts w:ascii="Arial" w:eastAsia="Times New Roman" w:hAnsi="Arial" w:cs="Arial"/>
          <w:bCs/>
          <w:noProof/>
          <w:szCs w:val="28"/>
          <w:lang w:val="uk-UA"/>
        </w:rPr>
        <w:t>При вивчені стресу серед студентської молоді слід завжди пам’ятати, що соціальні механізми подолання стресу можуть суттєво відрізнятися і часто це залежить від індивідуальних особливостей, рівня підтримки з боку близьких людей, а також наявності ресурсів для розвитку адаптивних стратегій. Різні стратегії подолання стресу, можуть мати різний вплив на здатність студента адаптуватися до змін, що відбуваються в його житті.</w:t>
      </w:r>
    </w:p>
    <w:p w14:paraId="4F843F40" w14:textId="77777777" w:rsidR="00AE57E7" w:rsidRPr="00511005" w:rsidRDefault="00AE57E7" w:rsidP="003A292D">
      <w:pPr>
        <w:spacing w:line="264" w:lineRule="auto"/>
        <w:ind w:firstLine="720"/>
        <w:rPr>
          <w:rFonts w:ascii="Arial" w:eastAsia="Times New Roman" w:hAnsi="Arial" w:cs="Arial"/>
          <w:bCs/>
          <w:noProof/>
          <w:szCs w:val="28"/>
          <w:lang w:val="uk-UA"/>
        </w:rPr>
      </w:pPr>
      <w:r w:rsidRPr="00511005">
        <w:rPr>
          <w:rFonts w:ascii="Arial" w:eastAsia="Times New Roman" w:hAnsi="Arial" w:cs="Arial"/>
          <w:bCs/>
          <w:noProof/>
          <w:szCs w:val="28"/>
          <w:lang w:val="uk-UA"/>
        </w:rPr>
        <w:t xml:space="preserve">Дезорганізація, що виникає під впливом стресу, проявляється у вигляді зниження продуктивності, проблем із концентрацією, прокрастинації та емоційного виснаження. Виявлено, що зв’язок між стресом і дезорганізацією є взаємозалежним: високий рівень стресу призводить до дезорганізації студентського життя, а невпорядкованість діяльності та хаотичний </w:t>
      </w:r>
      <w:r w:rsidRPr="00511005">
        <w:rPr>
          <w:rFonts w:ascii="Arial" w:eastAsia="Times New Roman" w:hAnsi="Arial" w:cs="Arial"/>
          <w:bCs/>
          <w:noProof/>
          <w:szCs w:val="28"/>
          <w:lang w:val="uk-UA"/>
        </w:rPr>
        <w:lastRenderedPageBreak/>
        <w:t xml:space="preserve">розпорядок дня лише посилюють відчуття стресу, створюючи замкнене коло. Це негативно позначається на здатності студентів виконувати навчальні завдання, брати участь у соціальних взаємодіях і підтримувати баланс між навчанням та особистим життям. Також встановлено, що також хронічний стрес може спричиняти дезорганізацію, яка проявляється у порушенні концентрації уваги, втраті мотивації, погіршенні академічної успішності, розвитку психосоматичних захворювань та зниженні соціальної активності. Студенти в умовах тривалого стресу схильні до емоційного вигорання </w:t>
      </w:r>
      <w:r w:rsidRPr="00511005">
        <w:rPr>
          <w:rFonts w:ascii="Arial" w:eastAsia="Times New Roman" w:hAnsi="Arial" w:cs="Arial"/>
          <w:bCs/>
          <w:noProof/>
          <w:szCs w:val="28"/>
        </w:rPr>
        <w:t>[</w:t>
      </w:r>
      <w:r w:rsidRPr="00511005">
        <w:rPr>
          <w:rFonts w:ascii="Arial" w:eastAsia="Times New Roman" w:hAnsi="Arial" w:cs="Arial"/>
          <w:bCs/>
          <w:noProof/>
          <w:szCs w:val="28"/>
          <w:lang w:val="uk-UA"/>
        </w:rPr>
        <w:t>2</w:t>
      </w:r>
      <w:r w:rsidRPr="00511005">
        <w:rPr>
          <w:rFonts w:ascii="Arial" w:eastAsia="Times New Roman" w:hAnsi="Arial" w:cs="Arial"/>
          <w:bCs/>
          <w:noProof/>
          <w:szCs w:val="28"/>
        </w:rPr>
        <w:t>]</w:t>
      </w:r>
      <w:r w:rsidRPr="00511005">
        <w:rPr>
          <w:rFonts w:ascii="Arial" w:eastAsia="Times New Roman" w:hAnsi="Arial" w:cs="Arial"/>
          <w:bCs/>
          <w:noProof/>
          <w:szCs w:val="28"/>
          <w:lang w:val="uk-UA"/>
        </w:rPr>
        <w:t>.</w:t>
      </w:r>
    </w:p>
    <w:p w14:paraId="1F7B5E6E" w14:textId="77777777" w:rsidR="00AE57E7" w:rsidRPr="00511005" w:rsidRDefault="00AE57E7" w:rsidP="003A292D">
      <w:pPr>
        <w:spacing w:line="264" w:lineRule="auto"/>
        <w:ind w:firstLine="720"/>
        <w:rPr>
          <w:rFonts w:ascii="Arial" w:eastAsia="Times New Roman" w:hAnsi="Arial" w:cs="Arial"/>
          <w:bCs/>
          <w:noProof/>
          <w:szCs w:val="28"/>
          <w:lang w:val="uk-UA"/>
        </w:rPr>
      </w:pPr>
      <w:r w:rsidRPr="00511005">
        <w:rPr>
          <w:rFonts w:ascii="Arial" w:eastAsia="Times New Roman" w:hAnsi="Arial" w:cs="Arial"/>
          <w:bCs/>
          <w:noProof/>
          <w:szCs w:val="28"/>
          <w:lang w:val="uk-UA"/>
        </w:rPr>
        <w:t>Подолання соціальної дезорганізації в студентському середовищі орієнтованого на різні аспекти життя студентів. Потрібно звернути увагу на підтримку психоемоційного здоров'я студентів. Важливо зазначити, що підтримка з боку викладачів та впровадження програм психологічної допомоги в навчальних закладах сприяють зниженню рівня стресу та покращенню загального самопочуття студентів [4, с. 178]. Забезпечення соціальної інтеграції та підтримки, тобто активне залучення студентів до різноманітних студентських організацій, різних заходів сприяє створенню здорових соціальних зв'язків і запобігає соціальній ізоляції. Організація групової роботи, тимчасових проєктів допомагає зміцнити колективні відносини і знижує ризик конфліктів у групах. Надання програм підтримки для студентів із низьким доходом допоможуть зменшити соціальну нерівність і стимулюватимуть більш активну участь у навчальному процесі. У вищих навчальних закладах слід розробити методик, які зможуть забезпечити баланс між навчальними вимогами та можливостями студентів, наприклад зменшення стресу від екзаменаційних сесій і навчальних перевантажень. Отже, боротьба з дезорганізацією в студентському середовищі потребує комплексного підходу, який поєднує в собі соціальні, психологічні та освітні заходи.</w:t>
      </w:r>
    </w:p>
    <w:p w14:paraId="5AE2762E" w14:textId="77777777" w:rsidR="00AE57E7" w:rsidRPr="00511005" w:rsidRDefault="00AE57E7" w:rsidP="003A292D">
      <w:pPr>
        <w:spacing w:line="264" w:lineRule="auto"/>
        <w:rPr>
          <w:rFonts w:ascii="Arial" w:eastAsia="Calibri" w:hAnsi="Arial" w:cs="Arial"/>
          <w:noProof/>
          <w:szCs w:val="28"/>
          <w:lang w:val="uk-UA"/>
        </w:rPr>
      </w:pPr>
      <w:r w:rsidRPr="00511005">
        <w:rPr>
          <w:rFonts w:ascii="Arial" w:eastAsia="Times New Roman" w:hAnsi="Arial" w:cs="Arial"/>
          <w:bCs/>
          <w:noProof/>
          <w:szCs w:val="28"/>
          <w:lang w:val="uk-UA"/>
        </w:rPr>
        <w:t xml:space="preserve">Загалом, дослідження стресу та його впливу на студентську молодь є важливим кроком до розуміння того, як допомогти молодим людям пройти цей складний період їхнього життя без серйозних наслідків для психічного здоров’я та соціальної адаптації [4, с. 179]. </w:t>
      </w:r>
      <w:r w:rsidRPr="00511005">
        <w:rPr>
          <w:rFonts w:ascii="Arial" w:eastAsia="Calibri" w:hAnsi="Arial" w:cs="Arial"/>
          <w:noProof/>
          <w:szCs w:val="28"/>
          <w:lang w:val="uk-UA"/>
        </w:rPr>
        <w:t xml:space="preserve">Отже, стрес є одним із ключових факторів, що впливає на організацію та успішність навчальної діяльності студентів. Стрес та дезорганізація студентського життя мають тісний взаємозв’язок, оскільки стрес руйнує навички самоконтролю та управління власним часом. Негативний вплив стресу може бути мінімізований за рахунок використання ефективних стратегій саморегуляції, створення сприятливого навчального середовища та впровадження профілактичних заходів. Для зменшення впливу стресу та дезорганізації у студентському середовищі необхідно впроваджувати системний підхід, який враховує індивідуальні, соціальні та структурні аспекти, що сприятиме не лише </w:t>
      </w:r>
      <w:r w:rsidRPr="00511005">
        <w:rPr>
          <w:rFonts w:ascii="Arial" w:eastAsia="Calibri" w:hAnsi="Arial" w:cs="Arial"/>
          <w:noProof/>
          <w:szCs w:val="28"/>
          <w:lang w:val="uk-UA"/>
        </w:rPr>
        <w:lastRenderedPageBreak/>
        <w:t xml:space="preserve">зниженню рівня стресу, а й покращенню якості життя студентів, їхньої академічної успішності та загального психологічного благополуччя. </w:t>
      </w:r>
    </w:p>
    <w:p w14:paraId="3CDCA2D8" w14:textId="77777777" w:rsidR="00AE57E7" w:rsidRPr="00511005" w:rsidRDefault="00AE57E7" w:rsidP="003A292D">
      <w:pPr>
        <w:spacing w:line="264" w:lineRule="auto"/>
        <w:rPr>
          <w:rFonts w:ascii="Arial" w:eastAsia="Calibri" w:hAnsi="Arial" w:cs="Arial"/>
          <w:noProof/>
          <w:szCs w:val="28"/>
          <w:lang w:val="uk-UA"/>
        </w:rPr>
      </w:pPr>
    </w:p>
    <w:p w14:paraId="77601407" w14:textId="61889A1E" w:rsidR="00AE57E7" w:rsidRPr="00511005" w:rsidRDefault="007B2628" w:rsidP="007B2628">
      <w:pPr>
        <w:spacing w:line="264" w:lineRule="auto"/>
        <w:ind w:firstLine="720"/>
        <w:jc w:val="center"/>
        <w:rPr>
          <w:rFonts w:ascii="Arial" w:eastAsia="Times New Roman" w:hAnsi="Arial" w:cs="Arial"/>
          <w:b/>
          <w:bCs/>
          <w:noProof/>
          <w:szCs w:val="28"/>
          <w:lang w:val="uk-UA"/>
        </w:rPr>
      </w:pPr>
      <w:r w:rsidRPr="00511005">
        <w:rPr>
          <w:rFonts w:ascii="Arial" w:eastAsia="Times New Roman" w:hAnsi="Arial" w:cs="Arial"/>
          <w:b/>
          <w:bCs/>
          <w:noProof/>
          <w:szCs w:val="28"/>
          <w:lang w:val="uk-UA"/>
        </w:rPr>
        <w:t>Список використаних джерел</w:t>
      </w:r>
    </w:p>
    <w:p w14:paraId="3BED4F66" w14:textId="77777777" w:rsidR="00AE57E7" w:rsidRPr="00511005" w:rsidRDefault="00AE57E7" w:rsidP="003A292D">
      <w:pPr>
        <w:spacing w:line="264" w:lineRule="auto"/>
        <w:ind w:firstLine="720"/>
        <w:rPr>
          <w:rFonts w:ascii="Arial" w:eastAsia="Times New Roman" w:hAnsi="Arial" w:cs="Arial"/>
          <w:bCs/>
          <w:noProof/>
          <w:szCs w:val="28"/>
          <w:lang w:val="uk-UA"/>
        </w:rPr>
      </w:pPr>
      <w:r w:rsidRPr="00511005">
        <w:rPr>
          <w:rFonts w:ascii="Arial" w:eastAsia="Times New Roman" w:hAnsi="Arial" w:cs="Arial"/>
          <w:bCs/>
          <w:noProof/>
          <w:szCs w:val="28"/>
          <w:lang w:val="uk-UA"/>
        </w:rPr>
        <w:t>1. Бернштейн І. І. Соціологія стресу: теоретичні підходи до аналізу соціальних факторів стресу. Київ: Логос, 2014. 180 с.</w:t>
      </w:r>
    </w:p>
    <w:p w14:paraId="1A0BC377" w14:textId="77777777" w:rsidR="00AE57E7" w:rsidRPr="00511005" w:rsidRDefault="00AE57E7" w:rsidP="003A292D">
      <w:pPr>
        <w:spacing w:line="264" w:lineRule="auto"/>
        <w:ind w:firstLine="720"/>
        <w:rPr>
          <w:rFonts w:ascii="Arial" w:eastAsia="Times New Roman" w:hAnsi="Arial" w:cs="Arial"/>
          <w:bCs/>
          <w:noProof/>
          <w:szCs w:val="28"/>
          <w:lang w:val="uk-UA"/>
        </w:rPr>
      </w:pPr>
      <w:r w:rsidRPr="00511005">
        <w:rPr>
          <w:rFonts w:ascii="Arial" w:eastAsia="Times New Roman" w:hAnsi="Arial" w:cs="Arial"/>
          <w:bCs/>
          <w:noProof/>
          <w:szCs w:val="28"/>
          <w:lang w:val="uk-UA"/>
        </w:rPr>
        <w:t>2. Бондаренко В. В. Стрес як фактор дезорганізації поведінки студентів: шляхи подолання. Харків: ХНУ, 2017. 190 с.</w:t>
      </w:r>
    </w:p>
    <w:p w14:paraId="505663AD" w14:textId="77777777" w:rsidR="00AE57E7" w:rsidRPr="00511005" w:rsidRDefault="00AE57E7" w:rsidP="003A292D">
      <w:pPr>
        <w:spacing w:line="264" w:lineRule="auto"/>
        <w:ind w:firstLine="720"/>
        <w:rPr>
          <w:rFonts w:ascii="Arial" w:eastAsia="Times New Roman" w:hAnsi="Arial" w:cs="Arial"/>
          <w:bCs/>
          <w:noProof/>
          <w:szCs w:val="28"/>
          <w:lang w:val="uk-UA"/>
        </w:rPr>
      </w:pPr>
      <w:r w:rsidRPr="00511005">
        <w:rPr>
          <w:rFonts w:ascii="Arial" w:eastAsia="Times New Roman" w:hAnsi="Arial" w:cs="Arial"/>
          <w:bCs/>
          <w:noProof/>
          <w:szCs w:val="28"/>
          <w:lang w:val="uk-UA"/>
        </w:rPr>
        <w:t>3. Крупа В. В., Мальцева К. С. Соціальний стрес та превалюючі стресори серед бакалаврату НаУКМА. Наукові записки НаУКМА. Соціологія. 2019. Т. 2. С.</w:t>
      </w:r>
      <w:r w:rsidRPr="00511005">
        <w:rPr>
          <w:rFonts w:ascii="Arial" w:eastAsia="Times New Roman" w:hAnsi="Arial" w:cs="Arial"/>
          <w:bCs/>
          <w:noProof/>
          <w:szCs w:val="28"/>
          <w:lang w:val="en-US"/>
        </w:rPr>
        <w:t> </w:t>
      </w:r>
      <w:r w:rsidRPr="00511005">
        <w:rPr>
          <w:rFonts w:ascii="Arial" w:eastAsia="Times New Roman" w:hAnsi="Arial" w:cs="Arial"/>
          <w:bCs/>
          <w:noProof/>
          <w:szCs w:val="28"/>
          <w:lang w:val="uk-UA"/>
        </w:rPr>
        <w:t>62–73.</w:t>
      </w:r>
    </w:p>
    <w:p w14:paraId="1D3ACD93" w14:textId="77777777" w:rsidR="00AE57E7" w:rsidRPr="00511005" w:rsidRDefault="00AE57E7" w:rsidP="003A292D">
      <w:pPr>
        <w:spacing w:line="264" w:lineRule="auto"/>
        <w:ind w:firstLine="720"/>
        <w:rPr>
          <w:rFonts w:ascii="Arial" w:eastAsia="Times New Roman" w:hAnsi="Arial" w:cs="Arial"/>
          <w:bCs/>
          <w:noProof/>
          <w:szCs w:val="28"/>
          <w:lang w:val="uk-UA"/>
        </w:rPr>
      </w:pPr>
      <w:r w:rsidRPr="00511005">
        <w:rPr>
          <w:rFonts w:ascii="Arial" w:eastAsia="Times New Roman" w:hAnsi="Arial" w:cs="Arial"/>
          <w:bCs/>
          <w:noProof/>
          <w:szCs w:val="28"/>
          <w:lang w:val="uk-UA"/>
        </w:rPr>
        <w:t>4. Шевцова О., Ареф’єва М. Г. Специфіка проявів стресостійкості у студентської молоді в умовах війни. Гуманітарні студії: педагогіка, психологія, філософія. 2023. Т. 14, № 4. С. 172–179.</w:t>
      </w:r>
    </w:p>
    <w:p w14:paraId="73ED3F30" w14:textId="77777777" w:rsidR="00AE57E7" w:rsidRPr="00511005" w:rsidRDefault="00AE57E7" w:rsidP="003A292D">
      <w:pPr>
        <w:spacing w:line="264" w:lineRule="auto"/>
        <w:ind w:firstLine="720"/>
        <w:rPr>
          <w:rFonts w:ascii="Arial" w:eastAsia="Times New Roman" w:hAnsi="Arial" w:cs="Arial"/>
          <w:bCs/>
          <w:noProof/>
          <w:szCs w:val="28"/>
        </w:rPr>
      </w:pPr>
      <w:r w:rsidRPr="00511005">
        <w:rPr>
          <w:rFonts w:ascii="Arial" w:eastAsia="Times New Roman" w:hAnsi="Arial" w:cs="Arial"/>
          <w:bCs/>
          <w:noProof/>
          <w:szCs w:val="28"/>
          <w:lang w:val="uk-UA"/>
        </w:rPr>
        <w:t>5. Шуба І. Я. Соціологія: навчальний. Київ: Центр учбової літератури, 2010. 384 с.</w:t>
      </w:r>
    </w:p>
    <w:p w14:paraId="6F9E1CE1" w14:textId="77777777" w:rsidR="00AE57E7" w:rsidRPr="00511005" w:rsidRDefault="00AE57E7" w:rsidP="003A292D">
      <w:pPr>
        <w:spacing w:line="264" w:lineRule="auto"/>
        <w:ind w:firstLine="720"/>
        <w:rPr>
          <w:rFonts w:ascii="Arial" w:eastAsia="Times New Roman" w:hAnsi="Arial" w:cs="Arial"/>
          <w:bCs/>
          <w:noProof/>
          <w:szCs w:val="28"/>
          <w:lang w:val="uk-UA"/>
        </w:rPr>
      </w:pPr>
    </w:p>
    <w:p w14:paraId="1FC6DB1A" w14:textId="71BAC4DD" w:rsidR="00AE57E7" w:rsidRPr="00511005" w:rsidRDefault="007B2628" w:rsidP="003A292D">
      <w:pPr>
        <w:spacing w:line="264" w:lineRule="auto"/>
        <w:ind w:firstLine="720"/>
        <w:rPr>
          <w:rFonts w:ascii="Arial" w:eastAsia="Times New Roman" w:hAnsi="Arial" w:cs="Arial"/>
          <w:bCs/>
          <w:noProof/>
          <w:szCs w:val="28"/>
          <w:lang w:val="uk-UA"/>
        </w:rPr>
      </w:pPr>
      <w:r w:rsidRPr="00511005">
        <w:rPr>
          <w:rFonts w:ascii="Arial" w:eastAsia="Times New Roman" w:hAnsi="Arial" w:cs="Arial"/>
          <w:b/>
          <w:bCs/>
          <w:i/>
          <w:noProof/>
          <w:szCs w:val="28"/>
          <w:lang w:val="uk-UA"/>
        </w:rPr>
        <w:t xml:space="preserve">Ключові слова: </w:t>
      </w:r>
      <w:r w:rsidR="00AE57E7" w:rsidRPr="00511005">
        <w:rPr>
          <w:rFonts w:ascii="Arial" w:eastAsia="Times New Roman" w:hAnsi="Arial" w:cs="Arial"/>
          <w:bCs/>
          <w:noProof/>
          <w:szCs w:val="28"/>
          <w:lang w:val="uk-UA"/>
        </w:rPr>
        <w:t>стрес, дезорганізація, студенти, молодь, студентське середовище, адаптація, навчальне середовище, психосоціальні фактори, поведінкові реакції.</w:t>
      </w:r>
    </w:p>
    <w:p w14:paraId="2AD0358F" w14:textId="61D0EFDC" w:rsidR="00AE57E7" w:rsidRPr="00511005" w:rsidRDefault="007B2628" w:rsidP="003A292D">
      <w:pPr>
        <w:spacing w:line="264" w:lineRule="auto"/>
        <w:ind w:firstLine="720"/>
        <w:rPr>
          <w:rFonts w:ascii="Arial" w:eastAsia="Times New Roman" w:hAnsi="Arial" w:cs="Arial"/>
          <w:bCs/>
          <w:noProof/>
          <w:szCs w:val="28"/>
          <w:lang w:val="uk-UA"/>
        </w:rPr>
      </w:pPr>
      <w:r w:rsidRPr="00511005">
        <w:rPr>
          <w:rFonts w:ascii="Arial" w:eastAsia="Times New Roman" w:hAnsi="Arial" w:cs="Arial"/>
          <w:b/>
          <w:bCs/>
          <w:i/>
          <w:noProof/>
          <w:szCs w:val="28"/>
          <w:lang w:val="uk-UA"/>
        </w:rPr>
        <w:t xml:space="preserve">Key words: </w:t>
      </w:r>
      <w:r w:rsidR="00AE57E7" w:rsidRPr="00511005">
        <w:rPr>
          <w:rFonts w:ascii="Arial" w:eastAsia="Times New Roman" w:hAnsi="Arial" w:cs="Arial"/>
          <w:bCs/>
          <w:noProof/>
          <w:szCs w:val="28"/>
          <w:lang w:val="uk-UA"/>
        </w:rPr>
        <w:t>stress, disorganization, students, youth, student environment, adaptation, learning environment, psychosocial factors, behavioral reactions.</w:t>
      </w:r>
    </w:p>
    <w:p w14:paraId="10A382DF" w14:textId="6D5F8C2A" w:rsidR="00AE57E7" w:rsidRPr="00511005" w:rsidRDefault="007B2628" w:rsidP="003A292D">
      <w:pPr>
        <w:spacing w:line="264" w:lineRule="auto"/>
        <w:rPr>
          <w:rFonts w:ascii="Arial" w:eastAsia="Times New Roman" w:hAnsi="Arial" w:cs="Arial"/>
          <w:bCs/>
          <w:i/>
          <w:noProof/>
          <w:szCs w:val="28"/>
          <w:lang w:val="uk-UA"/>
        </w:rPr>
      </w:pPr>
      <w:r w:rsidRPr="00511005">
        <w:rPr>
          <w:rFonts w:ascii="Arial" w:eastAsia="Times New Roman" w:hAnsi="Arial" w:cs="Arial"/>
          <w:b/>
          <w:bCs/>
          <w:i/>
          <w:noProof/>
          <w:szCs w:val="28"/>
          <w:lang w:val="uk-UA"/>
        </w:rPr>
        <w:t xml:space="preserve">Науковий керівник: </w:t>
      </w:r>
      <w:r w:rsidR="00AE57E7" w:rsidRPr="00511005">
        <w:rPr>
          <w:rFonts w:ascii="Arial" w:eastAsia="Times New Roman" w:hAnsi="Arial" w:cs="Arial"/>
          <w:bCs/>
          <w:i/>
          <w:noProof/>
          <w:szCs w:val="28"/>
          <w:lang w:val="uk-UA"/>
        </w:rPr>
        <w:t>к.політ.н., доцент Каретна О.О.</w:t>
      </w:r>
    </w:p>
    <w:p w14:paraId="6BE06945" w14:textId="577D28FB" w:rsidR="00AE57E7" w:rsidRPr="00511005" w:rsidRDefault="00AE57E7" w:rsidP="003A292D">
      <w:pPr>
        <w:spacing w:line="264" w:lineRule="auto"/>
        <w:rPr>
          <w:rFonts w:ascii="Arial" w:eastAsia="Times New Roman" w:hAnsi="Arial" w:cs="Arial"/>
          <w:bCs/>
          <w:i/>
          <w:noProof/>
          <w:szCs w:val="28"/>
          <w:lang w:val="uk-UA"/>
        </w:rPr>
      </w:pPr>
    </w:p>
    <w:p w14:paraId="779A0371" w14:textId="77777777" w:rsidR="00C66506" w:rsidRPr="00511005" w:rsidRDefault="00C66506" w:rsidP="003A292D">
      <w:pPr>
        <w:spacing w:line="264" w:lineRule="auto"/>
        <w:rPr>
          <w:rFonts w:ascii="Arial" w:eastAsia="Times New Roman" w:hAnsi="Arial" w:cs="Arial"/>
          <w:bCs/>
          <w:i/>
          <w:noProof/>
          <w:szCs w:val="28"/>
          <w:lang w:val="uk-UA"/>
        </w:rPr>
      </w:pPr>
    </w:p>
    <w:p w14:paraId="1B33681E" w14:textId="77777777" w:rsidR="00AE57E7" w:rsidRPr="00511005" w:rsidRDefault="00AE57E7" w:rsidP="003A292D">
      <w:pPr>
        <w:spacing w:line="264" w:lineRule="auto"/>
        <w:jc w:val="center"/>
        <w:rPr>
          <w:rFonts w:ascii="Arial" w:eastAsia="Calibri" w:hAnsi="Arial" w:cs="Arial"/>
          <w:b/>
          <w:i/>
          <w:iCs/>
          <w:szCs w:val="28"/>
          <w:lang w:val="uk-UA"/>
        </w:rPr>
      </w:pPr>
      <w:r w:rsidRPr="00511005">
        <w:rPr>
          <w:rFonts w:ascii="Arial" w:eastAsia="Calibri" w:hAnsi="Arial" w:cs="Arial"/>
          <w:b/>
          <w:i/>
          <w:iCs/>
          <w:szCs w:val="28"/>
          <w:lang w:val="uk-UA"/>
        </w:rPr>
        <w:t>Нечепуренко Катаріна Григоріївна</w:t>
      </w:r>
    </w:p>
    <w:p w14:paraId="1E2DF7AE" w14:textId="7168F624" w:rsidR="00AE57E7" w:rsidRPr="00511005" w:rsidRDefault="00536AAB" w:rsidP="003A292D">
      <w:pPr>
        <w:spacing w:line="264" w:lineRule="auto"/>
        <w:jc w:val="center"/>
        <w:rPr>
          <w:rFonts w:ascii="Arial" w:eastAsia="Calibri" w:hAnsi="Arial" w:cs="Arial"/>
          <w:szCs w:val="28"/>
          <w:lang w:val="uk-UA"/>
        </w:rPr>
      </w:pPr>
      <w:r w:rsidRPr="00511005">
        <w:rPr>
          <w:rFonts w:ascii="Arial" w:eastAsia="Calibri" w:hAnsi="Arial" w:cs="Arial"/>
          <w:szCs w:val="28"/>
          <w:lang w:val="uk-UA"/>
        </w:rPr>
        <w:t>студентка 4-го курсу факультету психології, політології та соціології</w:t>
      </w:r>
    </w:p>
    <w:p w14:paraId="25801E30" w14:textId="3CB99E36" w:rsidR="00AE57E7" w:rsidRPr="00511005" w:rsidRDefault="00AE57E7" w:rsidP="003A292D">
      <w:pPr>
        <w:spacing w:line="264" w:lineRule="auto"/>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w:t>
      </w:r>
      <w:r w:rsidR="00C66506" w:rsidRPr="00511005">
        <w:rPr>
          <w:rFonts w:ascii="Arial" w:eastAsia="Calibri" w:hAnsi="Arial" w:cs="Arial"/>
          <w:szCs w:val="28"/>
          <w:lang w:val="uk-UA"/>
        </w:rPr>
        <w:t xml:space="preserve"> </w:t>
      </w:r>
      <w:r w:rsidRPr="00511005">
        <w:rPr>
          <w:rFonts w:ascii="Arial" w:eastAsia="Calibri" w:hAnsi="Arial" w:cs="Arial"/>
          <w:szCs w:val="28"/>
          <w:lang w:val="uk-UA"/>
        </w:rPr>
        <w:t>«Одеська юридична академія»</w:t>
      </w:r>
    </w:p>
    <w:p w14:paraId="3F12D82D" w14:textId="77777777" w:rsidR="00AE57E7" w:rsidRPr="00511005" w:rsidRDefault="00AE57E7" w:rsidP="003A292D">
      <w:pPr>
        <w:spacing w:line="264" w:lineRule="auto"/>
        <w:jc w:val="center"/>
        <w:rPr>
          <w:rFonts w:ascii="Arial" w:eastAsia="Calibri" w:hAnsi="Arial" w:cs="Arial"/>
          <w:b/>
          <w:bCs/>
          <w:szCs w:val="28"/>
          <w:lang w:val="uk-UA"/>
        </w:rPr>
      </w:pPr>
    </w:p>
    <w:p w14:paraId="50FC0DCA" w14:textId="77777777" w:rsidR="00AE57E7" w:rsidRPr="00511005" w:rsidRDefault="00AE57E7" w:rsidP="003A292D">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СОЦІАЛЬНІ МЕРЕЖІ ЯК ФАКТОР СОЦІАЛІЗАЦІЇ МОЛОДІ</w:t>
      </w:r>
    </w:p>
    <w:p w14:paraId="70A9D73F"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Соціалізація розглядається як процес повноцінної інтеграції особистості в соціальну систему, результатом якого є її успішна соціальна адаптація. Цей процес обумовлюється специфікою суспільства, його структурними характеристиками та актуальними потребами. Із трансформаціями в соціальному середовищі змінюються також норми та критерії життєдіяльності індивіда, що впливає на умови його творчої самореалізації. У цьому контексті особливої значущості набуває вивчення змін, які супроводжують процес соціалізації, а також ідентифікація ключових чинників, умов і соціальних суперечностей, що визначають особливості становлення особистості як повноцінного суб’єкта суспільного життя [7, c. 71].</w:t>
      </w:r>
    </w:p>
    <w:p w14:paraId="3EB3760F"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lastRenderedPageBreak/>
        <w:t>Сучасні інформаційно-комунікаційні технології, зокрема інтернет-технології, створюють умови для модифікації та реконструкції особистісної ідентичності. Завдяки широким можливостям цифрового середовища кожен користувач має змогу створювати альтернативні Я-образи та здійснювати їх презентацію у віртуальному просторі. Основна частка активних користувачів мережі – це молодь, яка дедалі частіше відходить від традиційних, зокрема «батьківських», моделей ідентичності, орієнтуючись на пошук і формування власної ідентичності в колі однодумців – учасників кіберпростору. У зв’язку з цим особливої актуальності набуває дослідження механізмів та особливостей процесу самоідентифікації особистості у віртуальному середовищі.</w:t>
      </w:r>
    </w:p>
    <w:p w14:paraId="05C50621"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Виходячи з концепції Дж. Сулера, згідно з якою процес самоідентифікації особистості в глобальному цифровому просторі зводиться переважно до самопрезентації, метою нашого дослідження стало вивчення форм і способів самопрезентації користувачів у віртуальному інтернет-середовищі. У цьому контексті самопрезентація розглядається як автономний процес самоконструювання Я-образу за допомогою вербальних та невербальних засобів інтернет-комунікації, а також як демонстрація інформації про себе іншим учасникам онлайн-спільноти з метою формування певного враження. Типові практики такої репрезентації можна трактувати як специфічні комунікативні дії, що репрезентують особливості самоідентифікації особистості у віртуальному середовищі [1].</w:t>
      </w:r>
    </w:p>
    <w:p w14:paraId="7288C9F2"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У сучасних реаліях спостерігається тенденція до зростання популярності спілкування через соціальні мережі, що супроводжується зниженням рівня безпосередньої міжособистісної комунікації. Натепер роль соціальних мереж у житті людей складно переоцінити, адже вони виконують не лише розважальну, а й комунікативну, інформаційну, пізнавальну та інші функції. Як зазначає К. Коган, соціальні мережі трансформувалися у своєрідний глобальний центр координації соціальних зв’язків, здатний не лише компенсувати нормативний вакуум, а й регулювати комунікативні процеси у віртуальному середовищі, що є характерною рисою сучасного етапу розвитку соціальних комунікацій.</w:t>
      </w:r>
    </w:p>
    <w:p w14:paraId="04B83E55"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Однак, попри низку позитивних аспектів, надмірна орієнтація на віртуальне спілкування негативно впливає на процес соціалізації, зокрема у підлітковому віці, коли формуються ключові навички ефективної соціальної взаємодії. У зв’язку з цим актуалізується необхідність пошуку дієвих підходів до подолання зазначеної проблеми, що, у свою чергу, ставить перед соціальними педагогами, практичними психологами та класними керівниками загальноосвітніх закладів важливе завдання розробки відповідних корекційно-розвивальних програм і заходів. [5, c. 68]. Вітчизняні та зарубіжні науковці одностайно наголошують на тому, що ідентичність кіберкористувача формується в процесі комунікативної взаємодії як у </w:t>
      </w:r>
      <w:r w:rsidRPr="00511005">
        <w:rPr>
          <w:rFonts w:ascii="Arial" w:eastAsia="Calibri" w:hAnsi="Arial" w:cs="Arial"/>
          <w:szCs w:val="28"/>
          <w:lang w:val="uk-UA"/>
        </w:rPr>
        <w:lastRenderedPageBreak/>
        <w:t>реальному, так і у віртуальному середовищі, та має динамічний, змінний характер. Визначальну роль у цьому процесі відіграють комунікація та аутокомунікація, які розглядаються як основні інструменти конструювання ідентичності. Комунікативне інтернет-середовище постає як своєрідна творча платформа для моделювання різноманітних форм ідентичності, де особа має змогу експериментувати з різними ідентифікаційними моделями, адаптуючи або трансформуючи їх відповідно до контексту віртуальної взаємодії. У межах цього середовища можливо розкласти ідентичність на окремі елементи та сконструювати її наново, або ж відтворити наявні ідентифікаційні форми. [6, c. 3]. У сучасному суспільстві соціальні мережі відіграють важливу роль у процесі соціалізації молоді, впливаючи як на формування її світогляду, так і на комунікативну поведінку. Одним із позитивних аспектів функціонування молоді у віртуальному середовищі є формування індивідуальної системи цінностей на основі отриманої інформації, що визначає особистісне ставлення до різних життєвих ситуацій і вчинків. Водночас необхідно враховувати, що будь-яка інформація, розміщена або надіслана в мережі, може мати непередбачувані наслідки, навіть якщо вона згодом була видалена [4, с. 80].</w:t>
      </w:r>
      <w:bookmarkStart w:id="343" w:name="_Hlk197273910"/>
    </w:p>
    <w:bookmarkEnd w:id="343"/>
    <w:p w14:paraId="2B3BE845"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Соціальні мережі задовольняють базові потреби молоді в спілкуванні, емоційній підтримці та самовираженні. У ситуаціях, коли реальне спілкування стає недоступним або недостатнім, молоді люди часто звертаються до онлайн-комунікації як до засобу психологічного захисту та втечі від повсякденних труднощів. Це середовище дає змогу презентувати «ідеальне Я», демонструючи бажаний образ життя, що сприяє тимчасовому підвищенню самооцінки та соціальної активності [4, с. 58].</w:t>
      </w:r>
    </w:p>
    <w:p w14:paraId="344A6B0B"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Однак некритичне використання соціальних мереж може мати негативні наслідки. Найбільш поширеним явищем серед молоді є зниження потреби у безпосередній комунікації, що зумовлює втрату навичок живого спілкування та зростання залежності від віртуального простору [8]. Небезпека також полягає у можливості маніпуляцій та створення хибних ідентичностей, що вводить користувачів в оману й підвищує ризики психологічної травматизації. Як зауважує М.С. Богдан, надмірна потреба у користуванні соціальними мережами може бути наслідком особистісних і психологічних проблем, внутрішніх конфліктів або нереалізованих бажань, оскільки саме в інтернет-середовищі легше досягти символічної самореалізації [2, с. 6].</w:t>
      </w:r>
    </w:p>
    <w:p w14:paraId="25F965E1" w14:textId="77777777" w:rsidR="00AE57E7" w:rsidRPr="00511005" w:rsidRDefault="00AE57E7" w:rsidP="003A292D">
      <w:pPr>
        <w:spacing w:line="264" w:lineRule="auto"/>
        <w:rPr>
          <w:rFonts w:ascii="Arial" w:eastAsia="Calibri" w:hAnsi="Arial" w:cs="Arial"/>
          <w:szCs w:val="28"/>
        </w:rPr>
      </w:pPr>
      <w:r w:rsidRPr="00511005">
        <w:rPr>
          <w:rFonts w:ascii="Arial" w:eastAsia="Calibri" w:hAnsi="Arial" w:cs="Arial"/>
          <w:szCs w:val="28"/>
          <w:lang w:val="uk-UA"/>
        </w:rPr>
        <w:t xml:space="preserve">Усе це зумовлює необхідність системної роботи з молоддю щодо формування цифрової грамотності та відповідального ставлення до використання соціальних мереж. Залучення родини, освітнього середовища та фахівців у сфері психології та педагогіки є ключовим у забезпеченні позитивного впливу віртуального простору на особистість. Головним завданням на сучасному етапі є розвиток у молоді навичок безпечної та </w:t>
      </w:r>
      <w:r w:rsidRPr="00511005">
        <w:rPr>
          <w:rFonts w:ascii="Arial" w:eastAsia="Calibri" w:hAnsi="Arial" w:cs="Arial"/>
          <w:szCs w:val="28"/>
          <w:lang w:val="uk-UA"/>
        </w:rPr>
        <w:lastRenderedPageBreak/>
        <w:t>усвідомленої онлайн-взаємодії, що дозволить мінімізувати потенційні ризики та підвищити соціальну адаптивність. [3].</w:t>
      </w:r>
    </w:p>
    <w:p w14:paraId="6BC63D41" w14:textId="77777777" w:rsidR="00AE57E7" w:rsidRPr="00511005" w:rsidRDefault="00AE57E7" w:rsidP="003A292D">
      <w:pPr>
        <w:spacing w:line="264" w:lineRule="auto"/>
        <w:jc w:val="center"/>
        <w:rPr>
          <w:rFonts w:ascii="Arial" w:eastAsia="Calibri" w:hAnsi="Arial" w:cs="Arial"/>
          <w:b/>
          <w:bCs/>
          <w:szCs w:val="28"/>
          <w:lang w:val="uk-UA"/>
        </w:rPr>
      </w:pPr>
    </w:p>
    <w:p w14:paraId="2F28E29F" w14:textId="59AF4CDB" w:rsidR="00AE57E7" w:rsidRPr="00511005" w:rsidRDefault="007B2628" w:rsidP="007B2628">
      <w:pPr>
        <w:spacing w:line="264" w:lineRule="auto"/>
        <w:jc w:val="center"/>
        <w:rPr>
          <w:rFonts w:ascii="Arial" w:eastAsia="Calibri" w:hAnsi="Arial" w:cs="Arial"/>
          <w:b/>
          <w:bCs/>
          <w:szCs w:val="28"/>
          <w:lang w:val="uk-UA"/>
        </w:rPr>
      </w:pPr>
      <w:r w:rsidRPr="00511005">
        <w:rPr>
          <w:rFonts w:ascii="Arial" w:eastAsia="Calibri" w:hAnsi="Arial" w:cs="Arial"/>
          <w:b/>
          <w:bCs/>
          <w:szCs w:val="28"/>
          <w:lang w:val="uk-UA"/>
        </w:rPr>
        <w:t>Список використаних джерел</w:t>
      </w:r>
    </w:p>
    <w:p w14:paraId="4E8AB8EA" w14:textId="77777777" w:rsidR="00AE57E7" w:rsidRPr="00511005" w:rsidRDefault="00AE57E7" w:rsidP="003F6A5D">
      <w:pPr>
        <w:numPr>
          <w:ilvl w:val="0"/>
          <w:numId w:val="763"/>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Suler J. Identity Management in Cyberspace. J. Suler.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2583" w:history="1">
        <w:r w:rsidRPr="00511005">
          <w:rPr>
            <w:rFonts w:ascii="Arial" w:eastAsia="Calibri" w:hAnsi="Arial" w:cs="Arial"/>
            <w:szCs w:val="28"/>
            <w:lang w:val="uk-UA"/>
          </w:rPr>
          <w:t>https://www.researchgate.net/publication/263498490_Identity_Management_in_Cyberspace</w:t>
        </w:r>
      </w:hyperlink>
    </w:p>
    <w:p w14:paraId="3AE4C9F7" w14:textId="77777777" w:rsidR="00AE57E7" w:rsidRPr="00511005" w:rsidRDefault="00AE57E7" w:rsidP="003F6A5D">
      <w:pPr>
        <w:numPr>
          <w:ilvl w:val="0"/>
          <w:numId w:val="763"/>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Богдан М. С. Вплив суб’єктивного благополуччя особистості на виникнення залежності від соціальних мереж // Загальна психологія та психологія особистості. Бердянськ.</w:t>
      </w:r>
      <w:r w:rsidRPr="00511005">
        <w:rPr>
          <w:rFonts w:ascii="Arial" w:eastAsia="Calibri" w:hAnsi="Arial" w:cs="Arial"/>
          <w:szCs w:val="28"/>
        </w:rPr>
        <w:t xml:space="preserve"> </w:t>
      </w:r>
      <w:r w:rsidRPr="00511005">
        <w:rPr>
          <w:rFonts w:ascii="Arial" w:eastAsia="Calibri" w:hAnsi="Arial" w:cs="Arial"/>
          <w:szCs w:val="28"/>
          <w:lang w:val="uk-UA"/>
        </w:rPr>
        <w:t>2018. № 1. С. 5–9.</w:t>
      </w:r>
    </w:p>
    <w:p w14:paraId="7624E437" w14:textId="77777777" w:rsidR="00AE57E7" w:rsidRPr="00511005" w:rsidRDefault="00AE57E7" w:rsidP="003F6A5D">
      <w:pPr>
        <w:numPr>
          <w:ilvl w:val="0"/>
          <w:numId w:val="763"/>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Городецька О. Вплив соціальних мереж на розвиток та соціалізацію особистості. </w:t>
      </w:r>
      <w:r w:rsidRPr="00511005">
        <w:rPr>
          <w:rFonts w:ascii="Arial" w:eastAsia="Calibri" w:hAnsi="Arial" w:cs="Arial"/>
          <w:szCs w:val="28"/>
          <w:lang w:val="en-US"/>
        </w:rPr>
        <w:t>URL</w:t>
      </w:r>
      <w:r w:rsidRPr="00511005">
        <w:rPr>
          <w:rFonts w:ascii="Arial" w:eastAsia="Calibri" w:hAnsi="Arial" w:cs="Arial"/>
          <w:szCs w:val="28"/>
          <w:lang w:val="uk-UA"/>
        </w:rPr>
        <w:t xml:space="preserve">: </w:t>
      </w:r>
      <w:hyperlink r:id="rId2584" w:history="1">
        <w:r w:rsidRPr="00511005">
          <w:rPr>
            <w:rFonts w:ascii="Arial" w:eastAsia="Calibri" w:hAnsi="Arial" w:cs="Arial"/>
            <w:szCs w:val="28"/>
            <w:lang w:val="uk-UA"/>
          </w:rPr>
          <w:t>https://aup.com.ua/ml/conf/gorodetska.doc</w:t>
        </w:r>
      </w:hyperlink>
    </w:p>
    <w:p w14:paraId="005409DF" w14:textId="77777777" w:rsidR="00AE57E7" w:rsidRPr="00511005" w:rsidRDefault="00AE57E7" w:rsidP="003F6A5D">
      <w:pPr>
        <w:numPr>
          <w:ilvl w:val="0"/>
          <w:numId w:val="763"/>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Жижиленко С. С. Соціально-психологічний вплив засобів масової комунікації на безпеку особистості дітей та підлітків України. Черкаси, 2020. 101 с.</w:t>
      </w:r>
    </w:p>
    <w:p w14:paraId="330B551A" w14:textId="77777777" w:rsidR="00AE57E7" w:rsidRPr="00511005" w:rsidRDefault="00AE57E7" w:rsidP="003F6A5D">
      <w:pPr>
        <w:numPr>
          <w:ilvl w:val="0"/>
          <w:numId w:val="763"/>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Коган К. Соціальні мережі як елемент нового соціального середовища // Міжнародний науковий форум: соціологія, психологія, педагогіка, менеджмент. 2014. Вип. 16. С. 61–71.</w:t>
      </w:r>
    </w:p>
    <w:p w14:paraId="54CC9CEA" w14:textId="77777777" w:rsidR="00AE57E7" w:rsidRPr="00511005" w:rsidRDefault="00AE57E7" w:rsidP="003F6A5D">
      <w:pPr>
        <w:numPr>
          <w:ilvl w:val="0"/>
          <w:numId w:val="763"/>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Краснякова А. О. Інтернет-середовище як новий комунікативний простір самопрезентацій особистості // Медіапсихологія і медіаосвіта. 2016. № 1. С. 1–14.</w:t>
      </w:r>
    </w:p>
    <w:p w14:paraId="48AC9666" w14:textId="77777777" w:rsidR="00AE57E7" w:rsidRPr="00511005" w:rsidRDefault="00AE57E7" w:rsidP="003F6A5D">
      <w:pPr>
        <w:numPr>
          <w:ilvl w:val="0"/>
          <w:numId w:val="763"/>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Лещук Г. В. Соціалізація особистості як соціально-педагогічне явище // Соціалізація особистості : зб. наук. праць. 2011. Вип. 20. С. 71-73.</w:t>
      </w:r>
    </w:p>
    <w:p w14:paraId="20129548" w14:textId="77777777" w:rsidR="00AE57E7" w:rsidRPr="00511005" w:rsidRDefault="00AE57E7" w:rsidP="003F6A5D">
      <w:pPr>
        <w:numPr>
          <w:ilvl w:val="0"/>
          <w:numId w:val="763"/>
        </w:numPr>
        <w:spacing w:line="264" w:lineRule="auto"/>
        <w:ind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Тищенко А. Соціальні мережі: позитив чи негатив? </w:t>
      </w:r>
      <w:r w:rsidRPr="00511005">
        <w:rPr>
          <w:rFonts w:ascii="Arial" w:eastAsia="Calibri" w:hAnsi="Arial" w:cs="Arial"/>
          <w:szCs w:val="28"/>
          <w:lang w:val="pl-PL"/>
        </w:rPr>
        <w:t>URL</w:t>
      </w:r>
      <w:r w:rsidRPr="00511005">
        <w:rPr>
          <w:rFonts w:ascii="Arial" w:eastAsia="Calibri" w:hAnsi="Arial" w:cs="Arial"/>
          <w:szCs w:val="28"/>
          <w:lang w:val="uk-UA"/>
        </w:rPr>
        <w:t xml:space="preserve">: </w:t>
      </w:r>
      <w:hyperlink r:id="rId2585" w:history="1">
        <w:r w:rsidRPr="00511005">
          <w:rPr>
            <w:rFonts w:ascii="Arial" w:eastAsia="Calibri" w:hAnsi="Arial" w:cs="Arial"/>
            <w:szCs w:val="28"/>
            <w:lang w:val="uk-UA"/>
          </w:rPr>
          <w:t>https://nmc.dsns.gov.ua/rv/statti/155</w:t>
        </w:r>
      </w:hyperlink>
    </w:p>
    <w:p w14:paraId="03F5B6EA" w14:textId="77777777" w:rsidR="00AE57E7" w:rsidRPr="00511005" w:rsidRDefault="00AE57E7" w:rsidP="003A292D">
      <w:pPr>
        <w:spacing w:line="264" w:lineRule="auto"/>
        <w:rPr>
          <w:rFonts w:ascii="Arial" w:eastAsia="Calibri" w:hAnsi="Arial" w:cs="Arial"/>
          <w:b/>
          <w:bCs/>
          <w:szCs w:val="28"/>
          <w:lang w:val="uk-UA"/>
        </w:rPr>
      </w:pPr>
    </w:p>
    <w:p w14:paraId="0476D4A0" w14:textId="39EF224C"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AE57E7" w:rsidRPr="00511005">
        <w:rPr>
          <w:rFonts w:ascii="Arial" w:eastAsia="Calibri" w:hAnsi="Arial" w:cs="Arial"/>
          <w:szCs w:val="28"/>
          <w:lang w:val="uk-UA"/>
        </w:rPr>
        <w:t>соціалізація, соціальні мережі, молодь, самоідентифікація, самопрезентація, інтернет-середовище, віртуальний простір, комунікація, цифрова грамотність, міжособистісна взаємодія.</w:t>
      </w:r>
    </w:p>
    <w:p w14:paraId="5DC7B8A4" w14:textId="28C92231"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bCs/>
          <w:i/>
          <w:szCs w:val="28"/>
          <w:lang w:val="uk-UA"/>
        </w:rPr>
        <w:t xml:space="preserve">Key words: </w:t>
      </w:r>
      <w:r w:rsidR="00AE57E7" w:rsidRPr="00511005">
        <w:rPr>
          <w:rFonts w:ascii="Arial" w:eastAsia="Calibri" w:hAnsi="Arial" w:cs="Arial"/>
          <w:szCs w:val="28"/>
          <w:lang w:val="uk-UA"/>
        </w:rPr>
        <w:t>socialization, social networks, youth, self-identification, self-presentation, internet environment, virtual space, communication, digital literacy, interpersonal interaction.</w:t>
      </w:r>
    </w:p>
    <w:p w14:paraId="52036676" w14:textId="2C0592A7" w:rsidR="00AE57E7" w:rsidRPr="00511005" w:rsidRDefault="007B2628" w:rsidP="003A292D">
      <w:pPr>
        <w:spacing w:line="264" w:lineRule="auto"/>
        <w:rPr>
          <w:rFonts w:ascii="Arial" w:eastAsia="Calibri" w:hAnsi="Arial" w:cs="Arial"/>
          <w:i/>
          <w:iCs/>
          <w:szCs w:val="28"/>
          <w:lang w:val="uk-UA"/>
        </w:rPr>
      </w:pPr>
      <w:r w:rsidRPr="00511005">
        <w:rPr>
          <w:rFonts w:ascii="Arial" w:eastAsia="Calibri" w:hAnsi="Arial" w:cs="Arial"/>
          <w:b/>
          <w:i/>
          <w:iCs/>
          <w:szCs w:val="28"/>
          <w:lang w:val="uk-UA"/>
        </w:rPr>
        <w:t xml:space="preserve">Науковий керівник: </w:t>
      </w:r>
      <w:r w:rsidR="00AE57E7" w:rsidRPr="00511005">
        <w:rPr>
          <w:rFonts w:ascii="Arial" w:eastAsia="Calibri" w:hAnsi="Arial" w:cs="Arial"/>
          <w:i/>
          <w:iCs/>
          <w:szCs w:val="28"/>
          <w:lang w:val="uk-UA"/>
        </w:rPr>
        <w:t>к.соц.н., доцент Яценко М.А.</w:t>
      </w:r>
    </w:p>
    <w:p w14:paraId="677E9282" w14:textId="77777777" w:rsidR="00AE57E7" w:rsidRPr="00511005" w:rsidRDefault="00AE57E7" w:rsidP="003A292D">
      <w:pPr>
        <w:spacing w:line="264" w:lineRule="auto"/>
        <w:rPr>
          <w:rFonts w:ascii="Arial" w:eastAsia="Calibri" w:hAnsi="Arial" w:cs="Arial"/>
          <w:i/>
          <w:iCs/>
          <w:szCs w:val="28"/>
          <w:lang w:val="uk-UA"/>
        </w:rPr>
      </w:pPr>
      <w:r w:rsidRPr="00511005">
        <w:rPr>
          <w:rFonts w:ascii="Arial" w:eastAsia="Calibri" w:hAnsi="Arial" w:cs="Arial"/>
          <w:i/>
          <w:iCs/>
          <w:szCs w:val="28"/>
          <w:lang w:val="uk-UA"/>
        </w:rPr>
        <w:br w:type="page"/>
      </w:r>
    </w:p>
    <w:p w14:paraId="7DC776AA" w14:textId="77777777" w:rsidR="00AE57E7" w:rsidRPr="00511005" w:rsidRDefault="00AE57E7" w:rsidP="003A292D">
      <w:pPr>
        <w:keepNext/>
        <w:spacing w:line="264" w:lineRule="auto"/>
        <w:ind w:firstLine="0"/>
        <w:jc w:val="center"/>
        <w:rPr>
          <w:rFonts w:ascii="Arial" w:eastAsia="Times New Roman" w:hAnsi="Arial" w:cs="Arial"/>
          <w:b/>
          <w:i/>
          <w:szCs w:val="28"/>
          <w:lang w:val="uk-UA" w:eastAsia="ru-RU"/>
        </w:rPr>
      </w:pPr>
      <w:bookmarkStart w:id="344" w:name="_heading=h.o7xe1qggnr7n" w:colFirst="0" w:colLast="0"/>
      <w:bookmarkEnd w:id="344"/>
      <w:r w:rsidRPr="00511005">
        <w:rPr>
          <w:rFonts w:ascii="Arial" w:eastAsia="Times New Roman" w:hAnsi="Arial" w:cs="Arial"/>
          <w:b/>
          <w:i/>
          <w:szCs w:val="28"/>
          <w:lang w:val="uk-UA" w:eastAsia="ru-RU"/>
        </w:rPr>
        <w:lastRenderedPageBreak/>
        <w:t>Оставненко Олександра Олександрівна</w:t>
      </w:r>
    </w:p>
    <w:p w14:paraId="6820581C" w14:textId="26E2A575" w:rsidR="00AE57E7" w:rsidRPr="00511005" w:rsidRDefault="00536AAB" w:rsidP="003A292D">
      <w:pPr>
        <w:spacing w:line="264" w:lineRule="auto"/>
        <w:ind w:firstLine="0"/>
        <w:jc w:val="center"/>
        <w:rPr>
          <w:rFonts w:ascii="Arial" w:eastAsia="Times New Roman" w:hAnsi="Arial" w:cs="Arial"/>
          <w:szCs w:val="28"/>
          <w:lang w:eastAsia="ru-RU"/>
        </w:rPr>
      </w:pPr>
      <w:r w:rsidRPr="00511005">
        <w:rPr>
          <w:rFonts w:ascii="Arial" w:eastAsia="Times New Roman" w:hAnsi="Arial" w:cs="Arial"/>
          <w:szCs w:val="28"/>
          <w:lang w:eastAsia="ru-RU"/>
        </w:rPr>
        <w:t xml:space="preserve">студентка 2-го курсу </w:t>
      </w:r>
      <w:r w:rsidR="00AE57E7" w:rsidRPr="00511005">
        <w:rPr>
          <w:rFonts w:ascii="Arial" w:eastAsia="Times New Roman" w:hAnsi="Arial" w:cs="Arial"/>
          <w:szCs w:val="28"/>
          <w:lang w:eastAsia="ru-RU"/>
        </w:rPr>
        <w:t>факультету п</w:t>
      </w:r>
      <w:r w:rsidR="00AE57E7" w:rsidRPr="00511005">
        <w:rPr>
          <w:rFonts w:ascii="Arial" w:eastAsia="Times New Roman" w:hAnsi="Arial" w:cs="Arial"/>
          <w:szCs w:val="28"/>
          <w:lang w:val="uk-UA" w:eastAsia="ru-RU"/>
        </w:rPr>
        <w:t>сихології політології, та соціології</w:t>
      </w:r>
      <w:r w:rsidR="00AE57E7" w:rsidRPr="00511005">
        <w:rPr>
          <w:rFonts w:ascii="Arial" w:eastAsia="Times New Roman" w:hAnsi="Arial" w:cs="Arial"/>
          <w:szCs w:val="28"/>
          <w:lang w:eastAsia="ru-RU"/>
        </w:rPr>
        <w:br/>
      </w:r>
      <w:r w:rsidR="007B2628" w:rsidRPr="00511005">
        <w:rPr>
          <w:rFonts w:ascii="Arial" w:eastAsia="Times New Roman" w:hAnsi="Arial" w:cs="Arial"/>
          <w:szCs w:val="28"/>
          <w:lang w:eastAsia="ru-RU"/>
        </w:rPr>
        <w:t>Національного університету «Одеська юридична академія»</w:t>
      </w:r>
    </w:p>
    <w:p w14:paraId="3BE109DB" w14:textId="1172CF02" w:rsidR="00AE57E7" w:rsidRPr="00511005" w:rsidRDefault="00AE57E7" w:rsidP="003A292D">
      <w:pPr>
        <w:keepNext/>
        <w:spacing w:line="264" w:lineRule="auto"/>
        <w:ind w:firstLine="0"/>
        <w:jc w:val="center"/>
        <w:rPr>
          <w:rFonts w:ascii="Arial" w:eastAsia="Times New Roman" w:hAnsi="Arial" w:cs="Arial"/>
          <w:i/>
          <w:szCs w:val="28"/>
          <w:lang w:eastAsia="ru-RU"/>
        </w:rPr>
      </w:pPr>
    </w:p>
    <w:p w14:paraId="7C7C4B8D" w14:textId="0AB74B7E" w:rsidR="00B54D94" w:rsidRPr="00511005" w:rsidRDefault="00B54D94" w:rsidP="003A292D">
      <w:pPr>
        <w:keepNext/>
        <w:spacing w:line="264" w:lineRule="auto"/>
        <w:ind w:firstLine="0"/>
        <w:jc w:val="center"/>
        <w:rPr>
          <w:rFonts w:ascii="Arial" w:eastAsia="Times New Roman" w:hAnsi="Arial" w:cs="Arial"/>
          <w:i/>
          <w:szCs w:val="28"/>
          <w:lang w:eastAsia="ru-RU"/>
        </w:rPr>
      </w:pPr>
      <w:r w:rsidRPr="00511005">
        <w:rPr>
          <w:rFonts w:ascii="Arial" w:eastAsia="Times New Roman" w:hAnsi="Arial" w:cs="Arial"/>
          <w:b/>
          <w:szCs w:val="28"/>
          <w:lang w:val="uk-UA"/>
        </w:rPr>
        <w:t>ОСОБЛИВОСТІ РЕАЛІЗАЦІЇ ГЕНДЕРНИХ ПРАВ В УКРАЇНСЬКІЙ ПОЛІТИЦІ</w:t>
      </w:r>
    </w:p>
    <w:p w14:paraId="20282DB4" w14:textId="0CA4A123"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Український парламент від свого утворення й до тепер</w:t>
      </w:r>
      <w:r w:rsidRPr="00511005">
        <w:rPr>
          <w:rFonts w:ascii="Arial" w:eastAsia="Calibri" w:hAnsi="Arial" w:cs="Arial"/>
          <w:szCs w:val="28"/>
        </w:rPr>
        <w:t xml:space="preserve"> </w:t>
      </w:r>
      <w:r w:rsidRPr="00511005">
        <w:rPr>
          <w:rFonts w:ascii="Arial" w:eastAsia="Calibri" w:hAnsi="Arial" w:cs="Arial"/>
          <w:szCs w:val="28"/>
          <w:lang w:val="uk-UA"/>
        </w:rPr>
        <w:t>пройшов низку трансформацій, проте жінки були в рядах партійних діячів, хоча і в малому співвідношенні (3.2%), ще до проголошення незалежності України [9].</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Вже тоді рівність жінок і чоловіків була закріплена в Конституції Української Народної Республіки (1918 року), зокрема в статті 11: «Ніякої різниці в правах і обов'язках між чоловіком і жінкою право УНР не знає», а також у статті 21: «Активне і пасивне право участі у виборах, як до законодавчих органів УНР, так і до всіх виборчих органів місцевого і громадського самоврядування, мають всі громадяни УНР», - що окреслювало безпосередньо політичну сферу [5].</w:t>
      </w:r>
      <w:r w:rsidR="007B2628" w:rsidRPr="00511005">
        <w:rPr>
          <w:rFonts w:ascii="Arial" w:eastAsia="Calibri" w:hAnsi="Arial" w:cs="Arial"/>
          <w:szCs w:val="28"/>
          <w:lang w:val="uk-UA"/>
        </w:rPr>
        <w:t xml:space="preserve"> </w:t>
      </w:r>
    </w:p>
    <w:p w14:paraId="406E177A"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Розглядаючи питання гендерного представництва у владі, можемо відзначити сталу тенденцію нерівного співвідношення представників жіночої та чоловічої статі в складі парламенту України — від І скликання (1990–1994 роки) до ІХ скликання (2019 рік).</w:t>
      </w:r>
    </w:p>
    <w:p w14:paraId="5A8768ED" w14:textId="77777777" w:rsidR="00AE57E7" w:rsidRPr="00511005" w:rsidRDefault="00AE57E7" w:rsidP="003A292D">
      <w:pPr>
        <w:spacing w:line="264" w:lineRule="auto"/>
        <w:jc w:val="right"/>
        <w:rPr>
          <w:rFonts w:ascii="Arial" w:eastAsia="Calibri" w:hAnsi="Arial" w:cs="Arial"/>
          <w:szCs w:val="28"/>
          <w:lang w:val="uk-UA"/>
        </w:rPr>
      </w:pPr>
      <w:r w:rsidRPr="00511005">
        <w:rPr>
          <w:rFonts w:ascii="Arial" w:eastAsia="Calibri" w:hAnsi="Arial" w:cs="Arial"/>
          <w:szCs w:val="28"/>
          <w:lang w:val="uk-UA"/>
        </w:rPr>
        <w:t>Таблиця 1.1</w:t>
      </w:r>
    </w:p>
    <w:p w14:paraId="17D1427D" w14:textId="77777777" w:rsidR="00AE57E7" w:rsidRPr="00511005" w:rsidRDefault="00AE57E7" w:rsidP="003A292D">
      <w:pPr>
        <w:tabs>
          <w:tab w:val="left" w:pos="6946"/>
        </w:tabs>
        <w:spacing w:line="264" w:lineRule="auto"/>
        <w:jc w:val="center"/>
        <w:rPr>
          <w:rFonts w:ascii="Arial" w:eastAsia="Calibri" w:hAnsi="Arial" w:cs="Arial"/>
          <w:szCs w:val="28"/>
          <w:lang w:val="uk-UA"/>
        </w:rPr>
      </w:pPr>
      <w:r w:rsidRPr="00511005">
        <w:rPr>
          <w:rFonts w:ascii="Arial" w:eastAsia="Calibri" w:hAnsi="Arial" w:cs="Arial"/>
          <w:szCs w:val="28"/>
          <w:lang w:val="uk-UA"/>
        </w:rPr>
        <w:t>Кількість чоловіків та жінок у І-ІХ скликаннях Верховної Ради [2].</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01"/>
        <w:gridCol w:w="922"/>
        <w:gridCol w:w="923"/>
        <w:gridCol w:w="922"/>
        <w:gridCol w:w="922"/>
        <w:gridCol w:w="922"/>
        <w:gridCol w:w="922"/>
        <w:gridCol w:w="922"/>
        <w:gridCol w:w="933"/>
        <w:gridCol w:w="922"/>
      </w:tblGrid>
      <w:tr w:rsidR="00511005" w:rsidRPr="00511005" w14:paraId="0496E771" w14:textId="77777777" w:rsidTr="00E6228F">
        <w:trPr>
          <w:trHeight w:val="596"/>
        </w:trPr>
        <w:tc>
          <w:tcPr>
            <w:tcW w:w="1518" w:type="dxa"/>
          </w:tcPr>
          <w:p w14:paraId="51F06896" w14:textId="77777777" w:rsidR="00AE57E7" w:rsidRPr="00511005" w:rsidRDefault="00AE57E7"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Скликання</w:t>
            </w:r>
          </w:p>
        </w:tc>
        <w:tc>
          <w:tcPr>
            <w:tcW w:w="924" w:type="dxa"/>
          </w:tcPr>
          <w:p w14:paraId="0EE91EA8"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I</w:t>
            </w:r>
          </w:p>
        </w:tc>
        <w:tc>
          <w:tcPr>
            <w:tcW w:w="925" w:type="dxa"/>
          </w:tcPr>
          <w:p w14:paraId="2049D68B"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II</w:t>
            </w:r>
          </w:p>
        </w:tc>
        <w:tc>
          <w:tcPr>
            <w:tcW w:w="925" w:type="dxa"/>
          </w:tcPr>
          <w:p w14:paraId="4BB85F39"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III</w:t>
            </w:r>
          </w:p>
        </w:tc>
        <w:tc>
          <w:tcPr>
            <w:tcW w:w="925" w:type="dxa"/>
          </w:tcPr>
          <w:p w14:paraId="7B29E78B"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IV</w:t>
            </w:r>
          </w:p>
        </w:tc>
        <w:tc>
          <w:tcPr>
            <w:tcW w:w="925" w:type="dxa"/>
          </w:tcPr>
          <w:p w14:paraId="11A4B789"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V</w:t>
            </w:r>
          </w:p>
        </w:tc>
        <w:tc>
          <w:tcPr>
            <w:tcW w:w="925" w:type="dxa"/>
          </w:tcPr>
          <w:p w14:paraId="7721B5F1"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VI</w:t>
            </w:r>
          </w:p>
        </w:tc>
        <w:tc>
          <w:tcPr>
            <w:tcW w:w="925" w:type="dxa"/>
          </w:tcPr>
          <w:p w14:paraId="634DE113"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VII</w:t>
            </w:r>
          </w:p>
        </w:tc>
        <w:tc>
          <w:tcPr>
            <w:tcW w:w="936" w:type="dxa"/>
          </w:tcPr>
          <w:p w14:paraId="3DC07FED"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VIII</w:t>
            </w:r>
          </w:p>
        </w:tc>
        <w:tc>
          <w:tcPr>
            <w:tcW w:w="925" w:type="dxa"/>
          </w:tcPr>
          <w:p w14:paraId="1CF881C3"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IX</w:t>
            </w:r>
          </w:p>
        </w:tc>
      </w:tr>
      <w:tr w:rsidR="00511005" w:rsidRPr="00511005" w14:paraId="0882E7F9" w14:textId="77777777" w:rsidTr="00E6228F">
        <w:tc>
          <w:tcPr>
            <w:tcW w:w="1518" w:type="dxa"/>
          </w:tcPr>
          <w:p w14:paraId="2C39861C" w14:textId="77777777" w:rsidR="00AE57E7" w:rsidRPr="00511005" w:rsidRDefault="00AE57E7"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Кількість чоловіків</w:t>
            </w:r>
          </w:p>
        </w:tc>
        <w:tc>
          <w:tcPr>
            <w:tcW w:w="924" w:type="dxa"/>
          </w:tcPr>
          <w:p w14:paraId="35DAB285"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463</w:t>
            </w:r>
          </w:p>
        </w:tc>
        <w:tc>
          <w:tcPr>
            <w:tcW w:w="925" w:type="dxa"/>
          </w:tcPr>
          <w:p w14:paraId="21FF63B2"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418</w:t>
            </w:r>
          </w:p>
        </w:tc>
        <w:tc>
          <w:tcPr>
            <w:tcW w:w="925" w:type="dxa"/>
          </w:tcPr>
          <w:p w14:paraId="5DA07329"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439</w:t>
            </w:r>
          </w:p>
        </w:tc>
        <w:tc>
          <w:tcPr>
            <w:tcW w:w="925" w:type="dxa"/>
          </w:tcPr>
          <w:p w14:paraId="6F6EE161"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477</w:t>
            </w:r>
          </w:p>
        </w:tc>
        <w:tc>
          <w:tcPr>
            <w:tcW w:w="925" w:type="dxa"/>
          </w:tcPr>
          <w:p w14:paraId="0BC93F40"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437</w:t>
            </w:r>
          </w:p>
        </w:tc>
        <w:tc>
          <w:tcPr>
            <w:tcW w:w="925" w:type="dxa"/>
          </w:tcPr>
          <w:p w14:paraId="428C3B37"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496</w:t>
            </w:r>
          </w:p>
        </w:tc>
        <w:tc>
          <w:tcPr>
            <w:tcW w:w="925" w:type="dxa"/>
          </w:tcPr>
          <w:p w14:paraId="18C872F7"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432</w:t>
            </w:r>
          </w:p>
        </w:tc>
        <w:tc>
          <w:tcPr>
            <w:tcW w:w="936" w:type="dxa"/>
          </w:tcPr>
          <w:p w14:paraId="5CEF3A3B"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411</w:t>
            </w:r>
          </w:p>
        </w:tc>
        <w:tc>
          <w:tcPr>
            <w:tcW w:w="925" w:type="dxa"/>
          </w:tcPr>
          <w:p w14:paraId="6099D4BB"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357</w:t>
            </w:r>
          </w:p>
        </w:tc>
      </w:tr>
      <w:tr w:rsidR="00511005" w:rsidRPr="00511005" w14:paraId="52499AE3" w14:textId="77777777" w:rsidTr="00E6228F">
        <w:tc>
          <w:tcPr>
            <w:tcW w:w="1518" w:type="dxa"/>
          </w:tcPr>
          <w:p w14:paraId="2109ED5D" w14:textId="77777777" w:rsidR="00AE57E7" w:rsidRPr="00511005" w:rsidRDefault="00AE57E7"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Кількість жінок</w:t>
            </w:r>
          </w:p>
        </w:tc>
        <w:tc>
          <w:tcPr>
            <w:tcW w:w="924" w:type="dxa"/>
          </w:tcPr>
          <w:p w14:paraId="14E3BB37"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12</w:t>
            </w:r>
          </w:p>
        </w:tc>
        <w:tc>
          <w:tcPr>
            <w:tcW w:w="925" w:type="dxa"/>
          </w:tcPr>
          <w:p w14:paraId="7F91E9D2"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18</w:t>
            </w:r>
          </w:p>
        </w:tc>
        <w:tc>
          <w:tcPr>
            <w:tcW w:w="925" w:type="dxa"/>
          </w:tcPr>
          <w:p w14:paraId="1BC40A03"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38</w:t>
            </w:r>
          </w:p>
        </w:tc>
        <w:tc>
          <w:tcPr>
            <w:tcW w:w="925" w:type="dxa"/>
          </w:tcPr>
          <w:p w14:paraId="4AC0DE25"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28</w:t>
            </w:r>
          </w:p>
        </w:tc>
        <w:tc>
          <w:tcPr>
            <w:tcW w:w="925" w:type="dxa"/>
          </w:tcPr>
          <w:p w14:paraId="64170F1A"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41</w:t>
            </w:r>
          </w:p>
        </w:tc>
        <w:tc>
          <w:tcPr>
            <w:tcW w:w="925" w:type="dxa"/>
          </w:tcPr>
          <w:p w14:paraId="63AB343B"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42</w:t>
            </w:r>
          </w:p>
        </w:tc>
        <w:tc>
          <w:tcPr>
            <w:tcW w:w="925" w:type="dxa"/>
          </w:tcPr>
          <w:p w14:paraId="39FFA8D4"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46</w:t>
            </w:r>
          </w:p>
        </w:tc>
        <w:tc>
          <w:tcPr>
            <w:tcW w:w="936" w:type="dxa"/>
          </w:tcPr>
          <w:p w14:paraId="1FFCAE5A"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56</w:t>
            </w:r>
          </w:p>
        </w:tc>
        <w:tc>
          <w:tcPr>
            <w:tcW w:w="925" w:type="dxa"/>
          </w:tcPr>
          <w:p w14:paraId="3BB9644C" w14:textId="77777777" w:rsidR="00AE57E7" w:rsidRPr="00511005" w:rsidRDefault="00AE57E7" w:rsidP="003A292D">
            <w:pPr>
              <w:spacing w:line="264" w:lineRule="auto"/>
              <w:ind w:firstLine="0"/>
              <w:jc w:val="center"/>
              <w:rPr>
                <w:rFonts w:ascii="Arial" w:eastAsia="Calibri" w:hAnsi="Arial" w:cs="Arial"/>
                <w:szCs w:val="28"/>
                <w:lang w:val="en-US"/>
              </w:rPr>
            </w:pPr>
            <w:r w:rsidRPr="00511005">
              <w:rPr>
                <w:rFonts w:ascii="Arial" w:eastAsia="Calibri" w:hAnsi="Arial" w:cs="Arial"/>
                <w:szCs w:val="28"/>
                <w:lang w:val="en-US"/>
              </w:rPr>
              <w:t>95</w:t>
            </w:r>
          </w:p>
        </w:tc>
      </w:tr>
    </w:tbl>
    <w:p w14:paraId="6CC7EA27" w14:textId="77777777" w:rsidR="00AE57E7" w:rsidRPr="00511005" w:rsidRDefault="00AE57E7" w:rsidP="003A292D">
      <w:pPr>
        <w:tabs>
          <w:tab w:val="left" w:pos="6946"/>
        </w:tabs>
        <w:spacing w:line="264" w:lineRule="auto"/>
        <w:rPr>
          <w:rFonts w:ascii="Arial" w:eastAsia="Calibri" w:hAnsi="Arial" w:cs="Arial"/>
          <w:szCs w:val="28"/>
          <w:lang w:val="uk-UA"/>
        </w:rPr>
      </w:pPr>
      <w:r w:rsidRPr="00511005">
        <w:rPr>
          <w:rFonts w:ascii="Arial" w:eastAsia="Calibri" w:hAnsi="Arial" w:cs="Arial"/>
          <w:szCs w:val="28"/>
          <w:lang w:val="uk-UA"/>
        </w:rPr>
        <w:t>Данні з таблиці свідчать про диспропорційне представлення жінок у порівнянні з чоловіками в складі українського парламенту. Розглянемо депутатські фракції в контексті соціологічного методу – фокус-групи, для якого характерним є створення міні-моделі досліджуваного аспекту, в нашому випадку – суспільства.</w:t>
      </w:r>
    </w:p>
    <w:p w14:paraId="4C6EC564" w14:textId="77777777" w:rsidR="00AE57E7" w:rsidRPr="00511005" w:rsidRDefault="00AE57E7" w:rsidP="003A292D">
      <w:pPr>
        <w:tabs>
          <w:tab w:val="left" w:pos="6946"/>
        </w:tabs>
        <w:spacing w:line="264" w:lineRule="auto"/>
        <w:rPr>
          <w:rFonts w:ascii="Arial" w:eastAsia="Calibri" w:hAnsi="Arial" w:cs="Arial"/>
          <w:szCs w:val="28"/>
          <w:lang w:val="uk-UA"/>
        </w:rPr>
      </w:pPr>
      <w:r w:rsidRPr="00511005">
        <w:rPr>
          <w:rFonts w:ascii="Arial" w:eastAsia="Calibri" w:hAnsi="Arial" w:cs="Arial"/>
          <w:szCs w:val="28"/>
          <w:lang w:val="uk-UA"/>
        </w:rPr>
        <w:t xml:space="preserve">Верховна Рада України являє собою «єдиний орган законодавчої влади» [4]. Одночасно з цим, її основу, що складають депутатські фракції, можна розглядати зі сторони представництва народу. Тобто кожна фракція, що обирається голосами виборців, має прагнути до просування ідей, які знайшли підтримку серед електорату та відповідають особливостям її політичної спрямованості. Верховна Рада України може одночасно виступати як законодавчим органом влади, так і представником того чи іншого прошарку населення, всіх його меншин, відображаючи соціальну, регіональну, етнічну та гендерну різноманітність українського суспільства. </w:t>
      </w:r>
      <w:r w:rsidRPr="00511005">
        <w:rPr>
          <w:rFonts w:ascii="Arial" w:eastAsia="Calibri" w:hAnsi="Arial" w:cs="Arial"/>
          <w:szCs w:val="28"/>
          <w:lang w:val="uk-UA"/>
        </w:rPr>
        <w:lastRenderedPageBreak/>
        <w:t>Усе вищезазначене дає підстави стверджувати, що Верховна Рада України могла б набути вигляду міні-моделі українського суспільства, тим самим не залишаючи без уваги нагальні питання. Відповідно до цього судження, історично сформоване диспропорційне співвідношення жінок і чоловіків у владних структурах виявляється неефективним, з огляду на реальне процентне співвідношення населення України.</w:t>
      </w:r>
    </w:p>
    <w:p w14:paraId="50976478" w14:textId="77777777" w:rsidR="00AE57E7" w:rsidRPr="00511005" w:rsidRDefault="00AE57E7" w:rsidP="003A292D">
      <w:pPr>
        <w:tabs>
          <w:tab w:val="left" w:pos="6946"/>
        </w:tabs>
        <w:spacing w:line="264" w:lineRule="auto"/>
        <w:rPr>
          <w:rFonts w:ascii="Arial" w:eastAsia="Calibri" w:hAnsi="Arial" w:cs="Arial"/>
          <w:szCs w:val="28"/>
          <w:lang w:val="uk-UA"/>
        </w:rPr>
      </w:pPr>
      <w:r w:rsidRPr="00511005">
        <w:rPr>
          <w:rFonts w:ascii="Arial" w:eastAsia="Calibri" w:hAnsi="Arial" w:cs="Arial"/>
          <w:szCs w:val="28"/>
          <w:lang w:val="uk-UA"/>
        </w:rPr>
        <w:t>Гендерна рівність у сфері виборчого права, тісно пов’язана з розумінням формальної (юридичної) та фактичної рівності жінок і чоловіків. Формально українське законодавство закріплює рівність між представниками обох статей, надає їм рівні можливості реалізації права голосу. Та чи є це достатнім в контексті нашого суспільства? Адже навіть з конституційним закріплення гендерної рівності, ми спостерігаємо не результативність сучасної структури. Фактична ж рівність – це рівність результату, що можемо звести до позитивної дискримінації. Тобто за умови виявлення елементів фактичної нерівності, є можливість їх врахування і надання спеціальних процесуальних можливостей, за для створення умов повноцінної реалізації права, на рівні з іншими [3, с.49].</w:t>
      </w:r>
    </w:p>
    <w:p w14:paraId="5AF632F3"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Беручи до розгляду аспект непропорційного представництва у владних структурах, можна стверджувати, що чинне законодавство України, хоча й не містить прямих обмежень щодо участі жінок у політичному житті, однак поки що не забезпечує системних умов для переходу від «рівності можливостей» до «рівності результатів» [3, с.51].</w:t>
      </w:r>
    </w:p>
    <w:p w14:paraId="320D6893"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Ю. Ключковський, аналізуючи праці європейських дослідників із країн, яким також притаманна подібна історично зумовлена ситуація, зазначає, що </w:t>
      </w:r>
      <w:r w:rsidRPr="00511005">
        <w:rPr>
          <w:rFonts w:ascii="Arial" w:eastAsia="Calibri" w:hAnsi="Arial" w:cs="Arial"/>
          <w:b/>
          <w:bCs/>
          <w:szCs w:val="28"/>
          <w:lang w:val="uk-UA"/>
        </w:rPr>
        <w:t>«досягнення пропорційного представництва жінок і чоловіків в органах влади та органах місцевого самоврядування»</w:t>
      </w:r>
      <w:r w:rsidRPr="00511005">
        <w:rPr>
          <w:rFonts w:ascii="Arial" w:eastAsia="Calibri" w:hAnsi="Arial" w:cs="Arial"/>
          <w:szCs w:val="28"/>
          <w:lang w:val="uk-UA"/>
        </w:rPr>
        <w:t xml:space="preserve"> можливе </w:t>
      </w:r>
      <w:r w:rsidRPr="00511005">
        <w:rPr>
          <w:rFonts w:ascii="Arial" w:eastAsia="Calibri" w:hAnsi="Arial" w:cs="Arial"/>
          <w:b/>
          <w:bCs/>
          <w:szCs w:val="28"/>
          <w:lang w:val="uk-UA"/>
        </w:rPr>
        <w:t>шляхом закріплення в законодавстві вимоги фактичної рівності</w:t>
      </w:r>
      <w:r w:rsidRPr="00511005">
        <w:rPr>
          <w:rFonts w:ascii="Arial" w:eastAsia="Calibri" w:hAnsi="Arial" w:cs="Arial"/>
          <w:szCs w:val="28"/>
          <w:lang w:val="uk-UA"/>
        </w:rPr>
        <w:t xml:space="preserve"> через застосування гендерних квот [3, с.51].</w:t>
      </w:r>
    </w:p>
    <w:p w14:paraId="5C05F3E7" w14:textId="77777777" w:rsidR="007B2628"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У 2000 році на Саміті Тисячоліття ООН Україна приєдналася до глобальної ініціативи «Цілі розвитку тисячоліття», підтриманої 189 державами світу [10, с.9]. Згідно з зобов’язаннями, що взяла на себе Україна, було визначено ціль: до 2015 року «забезпечити гендерне співвідношення на рівні не менше 30% до 70% тієї чи іншої статі у представницьких органах влади та на вищих щаблях виконавчої влади», і «скоротити наполовину розрив у доходах жінок і чоловіків» [10, с.44]. У зв’язку з цим, 2013 року до Закону України «Про політичні партії в Україні» були внесені зміни, якими було запроваджено норму про гендерні квоти у виборчих списках політичних партій (закон № 709-VII від 21.11.2013 р.) [6], а 2015 року відповідна норма була закріплена і в законі про місцеві вибори (закон № 595-VIIІ від 14.07.2015 р.) [7].</w:t>
      </w:r>
    </w:p>
    <w:p w14:paraId="6AB38C84" w14:textId="35AA297A"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В результаті, через відсутність санкціонування у разі недотримання цієї норми, «з 29 партій, що брали участь у виборах 2014 року, лише 9 </w:t>
      </w:r>
      <w:r w:rsidRPr="00511005">
        <w:rPr>
          <w:rFonts w:ascii="Arial" w:eastAsia="Calibri" w:hAnsi="Arial" w:cs="Arial"/>
          <w:szCs w:val="28"/>
          <w:lang w:val="uk-UA"/>
        </w:rPr>
        <w:lastRenderedPageBreak/>
        <w:t xml:space="preserve">забезпечили жінкам прохідні місця», також було виявлено, що «на території країни ще залишаються округи, де не було запропоновано жодної жіночої кандидатури» [10, с.47]. Разом з цим кращу ситуацію можна було спостерігати серед депутатів місцевих рад. Через більшу наближеність до місцевих громад, зростала і доступність виборчої посади для жінки. Тобто є певна взаємозалежність між рівнем управління і чисельністю жіночого представництва [10, с.49]. </w:t>
      </w:r>
    </w:p>
    <w:p w14:paraId="0522A32F"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Слід зазначити, що тенденції 2000-2015 років не виправдали очікувань, покладених на реформи, спрямовані на забезпечення гендерної рівності в Україні. Проте, в результаті було виявлено ряд проблем (див. [10, с.53-55]), усвідомлення яких могло б сприяти підвищенню ефективності подібних заходів у майбутньому.</w:t>
      </w:r>
    </w:p>
    <w:p w14:paraId="1CDB05E3"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Продовжуючи тему квотувань, 2019 року Верховною Радою України було ухвалено Виборчий кодекс, що передбачав 40% гендерну квоту: «під час формування загальнодержавного та регіональних виборчих списків партія повинна забезпечити присутність у </w:t>
      </w:r>
      <w:bookmarkStart w:id="345" w:name="w1_5"/>
      <w:r w:rsidRPr="00511005">
        <w:rPr>
          <w:rFonts w:ascii="Arial" w:eastAsia="Calibri" w:hAnsi="Arial" w:cs="Arial"/>
          <w:szCs w:val="28"/>
          <w:lang w:val="uk-UA"/>
        </w:rPr>
        <w:fldChar w:fldCharType="begin"/>
      </w:r>
      <w:r w:rsidRPr="00511005">
        <w:rPr>
          <w:rFonts w:ascii="Arial" w:eastAsia="Calibri" w:hAnsi="Arial" w:cs="Arial"/>
          <w:szCs w:val="28"/>
          <w:lang w:val="uk-UA"/>
        </w:rPr>
        <w:instrText xml:space="preserve"> HYPERLINK "https://zakon.rada.gov.ua/laws/show/396-20?find=1&amp;text=%D0%BA%D0%BE%D0%B6%D0%BD%D1%96%D0%B9+%D0%BF%27%D1%8F%D1%82%D1%96%D1%80%D1%86%D1%96" \l "w1_6" </w:instrText>
      </w:r>
      <w:r w:rsidRPr="00511005">
        <w:rPr>
          <w:rFonts w:ascii="Arial" w:eastAsia="Calibri" w:hAnsi="Arial" w:cs="Arial"/>
          <w:szCs w:val="28"/>
          <w:lang w:val="uk-UA"/>
        </w:rPr>
        <w:fldChar w:fldCharType="separate"/>
      </w:r>
      <w:r w:rsidRPr="00511005">
        <w:rPr>
          <w:rFonts w:ascii="Arial" w:eastAsia="Calibri" w:hAnsi="Arial" w:cs="Arial"/>
          <w:szCs w:val="28"/>
          <w:lang w:val="uk-UA"/>
        </w:rPr>
        <w:t>кожній</w:t>
      </w:r>
      <w:r w:rsidRPr="00511005">
        <w:rPr>
          <w:rFonts w:ascii="Arial" w:eastAsia="Calibri" w:hAnsi="Arial" w:cs="Arial"/>
          <w:szCs w:val="28"/>
          <w:lang w:val="uk-UA"/>
        </w:rPr>
        <w:fldChar w:fldCharType="end"/>
      </w:r>
      <w:bookmarkEnd w:id="345"/>
      <w:r w:rsidRPr="00511005">
        <w:rPr>
          <w:rFonts w:ascii="Arial" w:eastAsia="Calibri" w:hAnsi="Arial" w:cs="Arial"/>
          <w:szCs w:val="28"/>
          <w:lang w:val="uk-UA"/>
        </w:rPr>
        <w:t> </w:t>
      </w:r>
      <w:bookmarkStart w:id="346" w:name="w2_1"/>
      <w:r w:rsidRPr="00511005">
        <w:rPr>
          <w:rFonts w:ascii="Arial" w:eastAsia="Calibri" w:hAnsi="Arial" w:cs="Arial"/>
          <w:szCs w:val="28"/>
          <w:lang w:val="uk-UA"/>
        </w:rPr>
        <w:fldChar w:fldCharType="begin"/>
      </w:r>
      <w:r w:rsidRPr="00511005">
        <w:rPr>
          <w:rFonts w:ascii="Arial" w:eastAsia="Calibri" w:hAnsi="Arial" w:cs="Arial"/>
          <w:szCs w:val="28"/>
          <w:lang w:val="uk-UA"/>
        </w:rPr>
        <w:instrText xml:space="preserve"> HYPERLINK "https://zakon.rada.gov.ua/laws/show/396-20?find=1&amp;text=%D0%BA%D0%BE%D0%B6%D0%BD%D1%96%D0%B9+%D0%BF%27%D1%8F%D1%82%D1%96%D1%80%D1%86%D1%96" \l "w2_2" </w:instrText>
      </w:r>
      <w:r w:rsidRPr="00511005">
        <w:rPr>
          <w:rFonts w:ascii="Arial" w:eastAsia="Calibri" w:hAnsi="Arial" w:cs="Arial"/>
          <w:szCs w:val="28"/>
          <w:lang w:val="uk-UA"/>
        </w:rPr>
        <w:fldChar w:fldCharType="separate"/>
      </w:r>
      <w:r w:rsidRPr="00511005">
        <w:rPr>
          <w:rFonts w:ascii="Arial" w:eastAsia="Calibri" w:hAnsi="Arial" w:cs="Arial"/>
          <w:szCs w:val="28"/>
          <w:lang w:val="uk-UA"/>
        </w:rPr>
        <w:t>п’ятірці</w:t>
      </w:r>
      <w:r w:rsidRPr="00511005">
        <w:rPr>
          <w:rFonts w:ascii="Arial" w:eastAsia="Calibri" w:hAnsi="Arial" w:cs="Arial"/>
          <w:szCs w:val="28"/>
          <w:lang w:val="uk-UA"/>
        </w:rPr>
        <w:fldChar w:fldCharType="end"/>
      </w:r>
      <w:bookmarkEnd w:id="346"/>
      <w:r w:rsidRPr="00511005">
        <w:rPr>
          <w:rFonts w:ascii="Arial" w:eastAsia="Calibri" w:hAnsi="Arial" w:cs="Arial"/>
          <w:szCs w:val="28"/>
          <w:lang w:val="uk-UA"/>
        </w:rPr>
        <w:t> (місцях з першого по п’яте, з шостого по десяте і так далі) кожного виборчого списку чоловіків і жінок (не менше двох кандидатів кожної статі)» [1]. Разом з цим, спостерігаємо таку ж ситуацію, що і з минулими спробами квотувань – відсутність санкцій у разі недотримання. Проте слід зазначити інформацію про заохочення політичних партій дотримуватись законопроєктів пов’язаних із квотуванням, через систему фінансування: ««…сума в розмірі 10% державного фінансування… розподіляється порівну між політичними партіями…, якщо кількість представників однієї статі серед обраних депутатів не перевищує двох третин» (ст. 17-5 Закону України «Про політичні партії в Україні») [8].</w:t>
      </w:r>
    </w:p>
    <w:p w14:paraId="197D97B4"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Отже, гендерні квоти можна розглядати як один із практичних інструментів реалізації фактичної рівності жінок і чоловіків у владних структурах. Тоді як законодавче регулювання України – гарант формальної рівності жінок і чоловіків. Проте, досліджуючи проблематику більш глибше, звернемо увагу на ряд випливаючих проблем, а саме: «постійні посадові зміни та висока плинність кадрів у системі державної служби» [10, с.53], як результат – нестача кваліфікованих працівників у політичній сфері; «недостатній рівень гендерної культури в суспільстві» [10, с.53], що простежується у несприйнятті ідей гендерної рівності суспільством, у тому числі й представниками політичної влади, через вплив історично зумовлених стереотипів. Виходячи лише з цих двох аспектів, розуміємо, що навіть за наявності прогресивного законодавства, Україні поки що бракує ресурсу для глибоких трансформацій. Водночас спостерігається позитивна динаміка, а саме – з’являється активна частина суспільства, відкрита до змін і здатна підтримати процес утвердження гендерної рівності, розвиток якої варто всіляко підтримувати.</w:t>
      </w:r>
    </w:p>
    <w:p w14:paraId="02319DC0" w14:textId="4AD4113C" w:rsidR="00AE57E7" w:rsidRPr="00511005" w:rsidRDefault="007B2628" w:rsidP="007B2628">
      <w:pPr>
        <w:keepNext/>
        <w:widowControl w:val="0"/>
        <w:spacing w:line="264" w:lineRule="auto"/>
        <w:ind w:firstLine="0"/>
        <w:jc w:val="center"/>
        <w:rPr>
          <w:rFonts w:ascii="Arial" w:eastAsia="Times New Roman" w:hAnsi="Arial" w:cs="Arial"/>
          <w:b/>
          <w:szCs w:val="28"/>
          <w:lang w:eastAsia="ru-RU"/>
        </w:rPr>
      </w:pPr>
      <w:r w:rsidRPr="00511005">
        <w:rPr>
          <w:rFonts w:ascii="Arial" w:eastAsia="Times New Roman" w:hAnsi="Arial" w:cs="Arial"/>
          <w:b/>
          <w:szCs w:val="28"/>
          <w:lang w:val="uk-UA" w:eastAsia="ru-RU"/>
        </w:rPr>
        <w:lastRenderedPageBreak/>
        <w:t>Список використаних джерел</w:t>
      </w:r>
    </w:p>
    <w:p w14:paraId="447D7B8F"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1. Виборчий кодекс України : Відомості Верховної Ради України від 19.12.2019, № 7, 8, 9 : станом на 31.12.2023. URL: </w:t>
      </w:r>
      <w:hyperlink r:id="rId2586" w:anchor="Text" w:history="1">
        <w:r w:rsidRPr="00511005">
          <w:rPr>
            <w:rFonts w:ascii="Arial" w:eastAsia="Times New Roman" w:hAnsi="Arial" w:cs="Arial"/>
            <w:szCs w:val="28"/>
            <w:lang w:val="uk-UA"/>
          </w:rPr>
          <w:t>https://zakon.rada.gov.ua/laws/show/396-20#Text</w:t>
        </w:r>
      </w:hyperlink>
      <w:r w:rsidRPr="00511005">
        <w:rPr>
          <w:rFonts w:ascii="Arial" w:eastAsia="Calibri" w:hAnsi="Arial" w:cs="Arial"/>
          <w:szCs w:val="28"/>
          <w:lang w:val="uk-UA"/>
        </w:rPr>
        <w:t>.</w:t>
      </w:r>
    </w:p>
    <w:p w14:paraId="1CF9E842"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2. Досягнення, провали, рекорди і міфи Верховної Ради ІХ скликання. Лабораторія законодавчих ініціатив. 05.09.2024. URL: </w:t>
      </w:r>
      <w:hyperlink r:id="rId2587" w:history="1">
        <w:r w:rsidRPr="00511005">
          <w:rPr>
            <w:rFonts w:ascii="Arial" w:eastAsia="Times New Roman" w:hAnsi="Arial" w:cs="Arial"/>
            <w:szCs w:val="28"/>
            <w:lang w:val="uk-UA"/>
          </w:rPr>
          <w:t>https://parlament.org.ua/analytics/dosyagnennya-provaly-rekordy-i-mify-verhovnoyi-rady-ih-sklykannya/</w:t>
        </w:r>
      </w:hyperlink>
      <w:r w:rsidRPr="00511005">
        <w:rPr>
          <w:rFonts w:ascii="Arial" w:eastAsia="Calibri" w:hAnsi="Arial" w:cs="Arial"/>
          <w:szCs w:val="28"/>
          <w:lang w:val="uk-UA"/>
        </w:rPr>
        <w:t>.</w:t>
      </w:r>
    </w:p>
    <w:p w14:paraId="3A4FE526"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3. Ключковський Ю. Проблеми гендерного аспекту принципу рівності у вітчизняному виборчому праві. Виборче право. 2015. С. 48–60. URL: </w:t>
      </w:r>
      <w:hyperlink r:id="rId2588" w:history="1">
        <w:r w:rsidRPr="00511005">
          <w:rPr>
            <w:rFonts w:ascii="Arial" w:eastAsia="Times New Roman" w:hAnsi="Arial" w:cs="Arial"/>
            <w:szCs w:val="28"/>
            <w:lang w:val="uk-UA"/>
          </w:rPr>
          <w:t>https://ekmair.ukma.edu.ua/server/api/core/bitstreams/a100329e-7e68-4fbd-b2bb-81e2a59c4973/content</w:t>
        </w:r>
      </w:hyperlink>
      <w:r w:rsidRPr="00511005">
        <w:rPr>
          <w:rFonts w:ascii="Arial" w:eastAsia="Calibri" w:hAnsi="Arial" w:cs="Arial"/>
          <w:szCs w:val="28"/>
          <w:lang w:val="uk-UA"/>
        </w:rPr>
        <w:t>.</w:t>
      </w:r>
    </w:p>
    <w:p w14:paraId="2616ACFC"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4. Конституція України : Верховна Рада України від 28.06.1996, № 254к/96-ВР. URL: </w:t>
      </w:r>
      <w:hyperlink r:id="rId2589" w:history="1">
        <w:r w:rsidRPr="00511005">
          <w:rPr>
            <w:rFonts w:ascii="Arial" w:eastAsia="Times New Roman" w:hAnsi="Arial" w:cs="Arial"/>
            <w:szCs w:val="28"/>
            <w:lang w:val="uk-UA"/>
          </w:rPr>
          <w:t>https://www.president.gov.ua/documents/constitution</w:t>
        </w:r>
      </w:hyperlink>
      <w:r w:rsidRPr="00511005">
        <w:rPr>
          <w:rFonts w:ascii="Arial" w:eastAsia="Calibri" w:hAnsi="Arial" w:cs="Arial"/>
          <w:szCs w:val="28"/>
          <w:lang w:val="uk-UA"/>
        </w:rPr>
        <w:t xml:space="preserve">. </w:t>
      </w:r>
    </w:p>
    <w:p w14:paraId="4EF712A4"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5. Конституція Української Народної Республіки (Статут про державний устрій, права і вільності УНР) // Електронний архів Верховної Ради України. </w:t>
      </w:r>
      <w:r w:rsidRPr="00511005">
        <w:rPr>
          <w:rFonts w:ascii="Arial" w:eastAsia="Calibri" w:hAnsi="Arial" w:cs="Arial"/>
          <w:szCs w:val="28"/>
          <w:lang w:val="pl-PL"/>
        </w:rPr>
        <w:t xml:space="preserve">URL: </w:t>
      </w:r>
      <w:hyperlink r:id="rId2590" w:history="1">
        <w:r w:rsidRPr="00511005">
          <w:rPr>
            <w:rFonts w:ascii="Arial" w:eastAsia="Times New Roman" w:hAnsi="Arial" w:cs="Arial"/>
            <w:szCs w:val="28"/>
            <w:lang w:val="pl-PL"/>
          </w:rPr>
          <w:t>https://web.archive.org/web/20081206132214/http:/vi-legas.com.ua/content/view/1823/109/</w:t>
        </w:r>
      </w:hyperlink>
      <w:r w:rsidRPr="00511005">
        <w:rPr>
          <w:rFonts w:ascii="Arial" w:eastAsia="Calibri" w:hAnsi="Arial" w:cs="Arial"/>
          <w:szCs w:val="28"/>
          <w:lang w:val="pl-PL"/>
        </w:rPr>
        <w:t>.</w:t>
      </w:r>
    </w:p>
    <w:p w14:paraId="77930846"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6. Про внесення змін до деяких законодавчих актів України щодо вдосконалення законодавства з питань проведення виборів : Відомості Верховної Ради від, № 22 : станом на 31.03.2023. URL: </w:t>
      </w:r>
      <w:hyperlink r:id="rId2591" w:anchor="Text" w:history="1">
        <w:r w:rsidRPr="00511005">
          <w:rPr>
            <w:rFonts w:ascii="Arial" w:eastAsia="Times New Roman" w:hAnsi="Arial" w:cs="Arial"/>
            <w:szCs w:val="28"/>
            <w:lang w:val="uk-UA"/>
          </w:rPr>
          <w:t>https://zakon.rada.gov.ua/laws/show/709-18#Text</w:t>
        </w:r>
      </w:hyperlink>
      <w:r w:rsidRPr="00511005">
        <w:rPr>
          <w:rFonts w:ascii="Arial" w:eastAsia="Calibri" w:hAnsi="Arial" w:cs="Arial"/>
          <w:szCs w:val="28"/>
          <w:lang w:val="uk-UA"/>
        </w:rPr>
        <w:t xml:space="preserve">. </w:t>
      </w:r>
    </w:p>
    <w:p w14:paraId="5EB15871"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7. Про місцеві вибори : Відомості Верховної Ради від 14.07.2015, № 37-38 : станом на 10.07.2022. </w:t>
      </w:r>
      <w:r w:rsidRPr="00511005">
        <w:rPr>
          <w:rFonts w:ascii="Arial" w:eastAsia="Calibri" w:hAnsi="Arial" w:cs="Arial"/>
          <w:szCs w:val="28"/>
          <w:lang w:val="pl-PL"/>
        </w:rPr>
        <w:t xml:space="preserve">URL: </w:t>
      </w:r>
      <w:hyperlink r:id="rId2592" w:anchor="Text" w:history="1">
        <w:r w:rsidRPr="00511005">
          <w:rPr>
            <w:rFonts w:ascii="Arial" w:eastAsia="Times New Roman" w:hAnsi="Arial" w:cs="Arial"/>
            <w:szCs w:val="28"/>
            <w:lang w:val="pl-PL"/>
          </w:rPr>
          <w:t>https://zakon.rada.gov.ua/laws/show/595-19?find=1&amp;text=30%25#Text</w:t>
        </w:r>
      </w:hyperlink>
      <w:r w:rsidRPr="00511005">
        <w:rPr>
          <w:rFonts w:ascii="Arial" w:eastAsia="Calibri" w:hAnsi="Arial" w:cs="Arial"/>
          <w:szCs w:val="28"/>
          <w:lang w:val="pl-PL"/>
        </w:rPr>
        <w:t xml:space="preserve">. </w:t>
      </w:r>
    </w:p>
    <w:p w14:paraId="549AE05C" w14:textId="2F995403"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8.</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Про політичні партії в Україні : Верховна Рада України від 05.04.2001, № 23 : станом на 19.12.2024. </w:t>
      </w:r>
      <w:r w:rsidRPr="00511005">
        <w:rPr>
          <w:rFonts w:ascii="Arial" w:eastAsia="Calibri" w:hAnsi="Arial" w:cs="Arial"/>
          <w:szCs w:val="28"/>
          <w:lang w:val="pl-PL"/>
        </w:rPr>
        <w:t xml:space="preserve">URL: </w:t>
      </w:r>
      <w:hyperlink r:id="rId2593" w:anchor="w1_1" w:history="1">
        <w:r w:rsidRPr="00511005">
          <w:rPr>
            <w:rFonts w:ascii="Arial" w:eastAsia="Times New Roman" w:hAnsi="Arial" w:cs="Arial"/>
            <w:szCs w:val="28"/>
            <w:lang w:val="pl-PL"/>
          </w:rPr>
          <w:t>https://zakon.rada.gov.ua/laws/show/2365-14?find=1&amp;text=%D1%81%D1%83%D0%BC%D0%B0+%D0%B2+%D1%80%D0%BE%D0%B7%D0%BC%D1%96%D1%80%D1%96#w1_1</w:t>
        </w:r>
      </w:hyperlink>
      <w:r w:rsidRPr="00511005">
        <w:rPr>
          <w:rFonts w:ascii="Arial" w:eastAsia="Calibri" w:hAnsi="Arial" w:cs="Arial"/>
          <w:szCs w:val="28"/>
          <w:lang w:val="pl-PL"/>
        </w:rPr>
        <w:t xml:space="preserve">. </w:t>
      </w:r>
    </w:p>
    <w:p w14:paraId="549E062F"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9. Тишко І. Жінки в політиці України: 100 років еволюції. Гендер в деталях. </w:t>
      </w:r>
      <w:r w:rsidRPr="00511005">
        <w:rPr>
          <w:rFonts w:ascii="Arial" w:eastAsia="Calibri" w:hAnsi="Arial" w:cs="Arial"/>
          <w:szCs w:val="28"/>
          <w:lang w:val="pl-PL"/>
        </w:rPr>
        <w:t xml:space="preserve">31.01.2019. URL: </w:t>
      </w:r>
      <w:hyperlink r:id="rId2594" w:anchor="_ftn14" w:history="1">
        <w:r w:rsidRPr="00511005">
          <w:rPr>
            <w:rFonts w:ascii="Arial" w:eastAsia="Times New Roman" w:hAnsi="Arial" w:cs="Arial"/>
            <w:szCs w:val="28"/>
            <w:lang w:val="pl-PL"/>
          </w:rPr>
          <w:t>https://genderindetail.org.ua/season-topic/polityka/zhinki-v-polititsi-ukraini-100-rokiv-evolyutsii-134913.html#_ftn14</w:t>
        </w:r>
      </w:hyperlink>
      <w:r w:rsidRPr="00511005">
        <w:rPr>
          <w:rFonts w:ascii="Arial" w:eastAsia="Calibri" w:hAnsi="Arial" w:cs="Arial"/>
          <w:szCs w:val="28"/>
          <w:lang w:val="pl-PL"/>
        </w:rPr>
        <w:t>.</w:t>
      </w:r>
    </w:p>
    <w:p w14:paraId="4D600DF8"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10. ЦІЛІ РОЗВИТКУ ТИСЯЧОЛІТТЯ УКРАЇНА: 2000–2015 : національна доповідь. Київ, 2015. 73 с. URL: </w:t>
      </w:r>
      <w:hyperlink r:id="rId2595" w:history="1">
        <w:r w:rsidRPr="00511005">
          <w:rPr>
            <w:rFonts w:ascii="Arial" w:eastAsia="Times New Roman" w:hAnsi="Arial" w:cs="Arial"/>
            <w:szCs w:val="28"/>
            <w:lang w:val="uk-UA"/>
          </w:rPr>
          <w:t>https://www.idss.org.ua/monografii/2015%20MDG%20Ukr%20Report%20DRAFT.pdf</w:t>
        </w:r>
      </w:hyperlink>
    </w:p>
    <w:p w14:paraId="7904B536" w14:textId="738B004D" w:rsidR="00AE57E7" w:rsidRPr="00511005" w:rsidRDefault="007B2628" w:rsidP="003A292D">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szCs w:val="28"/>
          <w:lang w:val="uk-UA"/>
        </w:rPr>
        <w:t>гендерна рівність, політика, жінки, парламент, квоти, представництво, законодавство, фактична рівність, формальна рівність, дискримінація, суспільство.</w:t>
      </w:r>
    </w:p>
    <w:p w14:paraId="44A8DBD1" w14:textId="4FB067D0" w:rsidR="00AE57E7" w:rsidRPr="00511005" w:rsidRDefault="007B2628" w:rsidP="003A292D">
      <w:pPr>
        <w:keepNext/>
        <w:spacing w:line="264" w:lineRule="auto"/>
        <w:ind w:firstLine="567"/>
        <w:rPr>
          <w:rFonts w:ascii="Arial" w:eastAsia="Times New Roman" w:hAnsi="Arial" w:cs="Arial"/>
          <w:szCs w:val="28"/>
          <w:lang w:val="uk-UA" w:eastAsia="ru-RU"/>
        </w:rPr>
      </w:pPr>
      <w:r w:rsidRPr="00511005">
        <w:rPr>
          <w:rFonts w:ascii="Arial" w:eastAsia="Times New Roman" w:hAnsi="Arial" w:cs="Arial"/>
          <w:b/>
          <w:i/>
          <w:szCs w:val="28"/>
          <w:lang w:val="en-US" w:eastAsia="ru-RU"/>
        </w:rPr>
        <w:lastRenderedPageBreak/>
        <w:t xml:space="preserve">Key words: </w:t>
      </w:r>
      <w:r w:rsidR="00AE57E7" w:rsidRPr="00511005">
        <w:rPr>
          <w:rFonts w:ascii="Arial" w:eastAsia="Times New Roman" w:hAnsi="Arial" w:cs="Arial"/>
          <w:szCs w:val="28"/>
          <w:lang w:val="en-US" w:eastAsia="ru-RU"/>
        </w:rPr>
        <w:t>Gender equality, politics, women, parliament, quotas, representation, legislation, de facto equality, formal equality, discrimination, society.</w:t>
      </w:r>
    </w:p>
    <w:p w14:paraId="1D05BCDE" w14:textId="31B3F5C1" w:rsidR="00AE57E7" w:rsidRPr="00511005" w:rsidRDefault="007B2628" w:rsidP="003A292D">
      <w:pPr>
        <w:keepNext/>
        <w:spacing w:line="264" w:lineRule="auto"/>
        <w:ind w:firstLine="567"/>
        <w:rPr>
          <w:rFonts w:ascii="Arial" w:eastAsia="Times New Roman" w:hAnsi="Arial" w:cs="Arial"/>
          <w:i/>
          <w:szCs w:val="28"/>
          <w:lang w:val="uk-UA" w:eastAsia="ru-RU"/>
        </w:rPr>
      </w:pPr>
      <w:r w:rsidRPr="00511005">
        <w:rPr>
          <w:rFonts w:ascii="Arial" w:eastAsia="Times New Roman" w:hAnsi="Arial" w:cs="Arial"/>
          <w:b/>
          <w:i/>
          <w:szCs w:val="28"/>
          <w:lang w:eastAsia="ru-RU"/>
        </w:rPr>
        <w:t xml:space="preserve">Науковий керівник: </w:t>
      </w:r>
      <w:r w:rsidR="00AE57E7" w:rsidRPr="00511005">
        <w:rPr>
          <w:rFonts w:ascii="Arial" w:eastAsia="Times New Roman" w:hAnsi="Arial" w:cs="Arial"/>
          <w:i/>
          <w:szCs w:val="28"/>
          <w:lang w:val="uk-UA" w:eastAsia="ru-RU"/>
        </w:rPr>
        <w:t>к.п.н</w:t>
      </w:r>
      <w:r w:rsidR="00AE57E7" w:rsidRPr="00511005">
        <w:rPr>
          <w:rFonts w:ascii="Arial" w:eastAsia="Times New Roman" w:hAnsi="Arial" w:cs="Arial"/>
          <w:i/>
          <w:szCs w:val="28"/>
          <w:lang w:eastAsia="ru-RU"/>
        </w:rPr>
        <w:t xml:space="preserve">., </w:t>
      </w:r>
      <w:r w:rsidR="00AE57E7" w:rsidRPr="00511005">
        <w:rPr>
          <w:rFonts w:ascii="Arial" w:eastAsia="Times New Roman" w:hAnsi="Arial" w:cs="Arial"/>
          <w:i/>
          <w:szCs w:val="28"/>
          <w:lang w:val="uk-UA" w:eastAsia="ru-RU"/>
        </w:rPr>
        <w:t>доцент Каретна О.О.</w:t>
      </w:r>
    </w:p>
    <w:p w14:paraId="23C0F942" w14:textId="77777777" w:rsidR="00C66506" w:rsidRPr="00511005" w:rsidRDefault="00C66506" w:rsidP="003A292D">
      <w:pPr>
        <w:spacing w:line="264" w:lineRule="auto"/>
        <w:rPr>
          <w:rFonts w:ascii="Arial" w:eastAsia="Calibri" w:hAnsi="Arial" w:cs="Arial"/>
          <w:szCs w:val="28"/>
          <w:lang w:val="uk-UA" w:eastAsia="ru-RU"/>
        </w:rPr>
      </w:pPr>
    </w:p>
    <w:p w14:paraId="162679B5" w14:textId="77777777" w:rsidR="00AE57E7" w:rsidRPr="00511005" w:rsidRDefault="00AE57E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t>Разніцина Віолета Олександрівна</w:t>
      </w:r>
    </w:p>
    <w:p w14:paraId="5D17C71B" w14:textId="2398F051" w:rsidR="00AE57E7" w:rsidRPr="00511005" w:rsidRDefault="00536AAB"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 xml:space="preserve">студентка 3-го курсу </w:t>
      </w:r>
      <w:r w:rsidR="00AE57E7" w:rsidRPr="00511005">
        <w:rPr>
          <w:rFonts w:ascii="Arial" w:eastAsia="Calibri" w:hAnsi="Arial" w:cs="Arial"/>
          <w:szCs w:val="28"/>
          <w:lang w:val="uk-UA"/>
        </w:rPr>
        <w:t>факультет</w:t>
      </w:r>
      <w:r w:rsidR="00C66506" w:rsidRPr="00511005">
        <w:rPr>
          <w:rFonts w:ascii="Arial" w:eastAsia="Calibri" w:hAnsi="Arial" w:cs="Arial"/>
          <w:szCs w:val="28"/>
          <w:lang w:val="uk-UA"/>
        </w:rPr>
        <w:t>у</w:t>
      </w:r>
      <w:r w:rsidR="00AE57E7" w:rsidRPr="00511005">
        <w:rPr>
          <w:rFonts w:ascii="Arial" w:eastAsia="Calibri" w:hAnsi="Arial" w:cs="Arial"/>
          <w:szCs w:val="28"/>
          <w:lang w:val="uk-UA"/>
        </w:rPr>
        <w:t xml:space="preserve"> психології, політології та соціології</w:t>
      </w:r>
    </w:p>
    <w:p w14:paraId="743E4169" w14:textId="4A1ADCC5" w:rsidR="00AE57E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13604D10" w14:textId="77777777" w:rsidR="00AE57E7" w:rsidRPr="00511005" w:rsidRDefault="00AE57E7" w:rsidP="003A292D">
      <w:pPr>
        <w:spacing w:line="264" w:lineRule="auto"/>
        <w:ind w:firstLine="0"/>
        <w:jc w:val="center"/>
        <w:rPr>
          <w:rFonts w:ascii="Arial" w:eastAsia="Calibri" w:hAnsi="Arial" w:cs="Arial"/>
          <w:szCs w:val="28"/>
          <w:lang w:val="uk-UA"/>
        </w:rPr>
      </w:pPr>
    </w:p>
    <w:p w14:paraId="70791249" w14:textId="77777777" w:rsidR="00AE57E7" w:rsidRPr="00511005" w:rsidRDefault="00AE57E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ВИМУШЕНА ВНУТРІШНЯ МІГРАЦІЯ І ВІЙНА В УКРАЇНІ</w:t>
      </w:r>
    </w:p>
    <w:p w14:paraId="6FBF728D"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Сьогодні поняття вимушеної міграції охоплює широкий спектр обставин, що змушують людей залишати свої домівки. Вимушена внутрішня міграція є однією з найбільших соціальних проблем сучасної України, спричиненою військовими діями, анексією територій та загрозами безпеці населення. З 2014 року кількість внутрішньо переміщених осіб (ВПО) зросла до мільйонів, а після повномасштабного вторгнення у 2022 році масштаби цього явища стали безпрецедентними. Ця проблема має не лише гуманітарний, а й соціально-економічний вимір: переселенці стикаються з труднощами у працевлаштуванні, забезпеченні житлом, доступі до освіти, медицини та соціальних послуг. Водночас, інтеграція ВПО в приймаючі громади потребує ефективних механізмів державної підтримки, адаптації та зниження рівня соціальної напруженості. Соціологічний аналіз внутрішньої міграції дозволяє виявити основні виклики, що постають перед ВПО, дослідити вплив цього явища на соціальну структуру країни та запропонувати шляхи оптимізації державної політики щодо інтеграції переселенців. </w:t>
      </w:r>
    </w:p>
    <w:p w14:paraId="1E9A8B21"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Вимушена міграція – це процес переміщення населення, спричинений зовнішніми факторами, які змушують людей залишати місце постійного проживання. У соціологічному аспекті вона розглядається як явище, що має значний вплив на індивідів, громади та суспільство загалом.</w:t>
      </w:r>
    </w:p>
    <w:p w14:paraId="29D826DD"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Соціологія аналізує вимушену міграцію через призму її причин, наслідків і адаптаційних процесів переселенців. Соціологічні дослідження фокусуються на стратегіях адаптації вимушених переселенців, ролі соціальних інститутів у їх інтеграції, а також на впливі міграційних процесів на приймаючі громади. Особливу увагу приділяють соціальному капіталу ВПО, рівню їх соціальної підтримки та політиці держави щодо їхньої інтеграції. </w:t>
      </w:r>
    </w:p>
    <w:p w14:paraId="6457B6C3"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Основними причинами такої міграції є збройні конфлікти, порушення прав людини, екологічні катастрофи, економічні кризи тощо [1]. Тривале збереження бойових дій і відсутність контролю над усіма територіями України спричиняє зростання внутрішньої міграції. Основні проблеми ВПО </w:t>
      </w:r>
      <w:r w:rsidRPr="00511005">
        <w:rPr>
          <w:rFonts w:ascii="Arial" w:eastAsia="Calibri" w:hAnsi="Arial" w:cs="Arial"/>
          <w:szCs w:val="28"/>
          <w:lang w:val="uk-UA"/>
        </w:rPr>
        <w:lastRenderedPageBreak/>
        <w:t xml:space="preserve">стосуються працевлаштування, житла, охорони здоров'я, освіти та соціальної адаптації. </w:t>
      </w:r>
    </w:p>
    <w:p w14:paraId="140B45D0"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Станом на кінець 2024 року в Україні кількість внутрішньо переміщених осіб перевищує 4,6 мільйона (зареєстровано 4 646 735), що становить близько 10% від загального населення, найбільше з Донецької та Харківської областей.</w:t>
      </w:r>
    </w:p>
    <w:p w14:paraId="0F81F06B"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Серед внутрішньо переміщених осіб дорослі становлять 80,8%, а діти до 18 років — 19,2%. Найменшу кількість внутрішньо переміщених осіб зареєстровано в західних та північних регіонах України, зокрема у Рівненській, Волинській, Херсонській, Тернопільській та Чернігівській областях [2].</w:t>
      </w:r>
    </w:p>
    <w:p w14:paraId="06F0E0A9"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Додаткові обов’язки, які виникають у зв’язку з переміщенням, передбачають необхідність офіційного набуття статусу внутрішньо переміщеної особи, своєчасне повідомлення про зміну місця проживання та надання достовірної інформації про себе відповідним органам.</w:t>
      </w:r>
    </w:p>
    <w:p w14:paraId="61E7782D" w14:textId="77777777" w:rsidR="00AE57E7" w:rsidRPr="00511005" w:rsidRDefault="00AE57E7" w:rsidP="003A292D">
      <w:pPr>
        <w:spacing w:line="264" w:lineRule="auto"/>
        <w:rPr>
          <w:rFonts w:ascii="Arial" w:eastAsia="Calibri" w:hAnsi="Arial" w:cs="Arial"/>
          <w:szCs w:val="28"/>
        </w:rPr>
      </w:pPr>
      <w:r w:rsidRPr="00511005">
        <w:rPr>
          <w:rFonts w:ascii="Arial" w:eastAsia="Calibri" w:hAnsi="Arial" w:cs="Arial"/>
          <w:szCs w:val="28"/>
          <w:lang w:val="uk-UA"/>
        </w:rPr>
        <w:t>Станом на 2025 рік, для набуття статусу внутрішньо переміщеної особи необхідно відповідати умовам, передбаченим статтею 1 Закону України «Про гарантії прав і свобод внутрішньо переміщених осіб»</w:t>
      </w:r>
      <w:r w:rsidRPr="00511005">
        <w:rPr>
          <w:rFonts w:ascii="Arial" w:eastAsia="Calibri" w:hAnsi="Arial" w:cs="Arial"/>
          <w:szCs w:val="28"/>
        </w:rPr>
        <w:t xml:space="preserve"> </w:t>
      </w:r>
      <w:r w:rsidRPr="00511005">
        <w:rPr>
          <w:rFonts w:ascii="Arial" w:eastAsia="Calibri" w:hAnsi="Arial" w:cs="Arial"/>
          <w:szCs w:val="28"/>
          <w:lang w:val="uk-UA"/>
        </w:rPr>
        <w:t>[</w:t>
      </w:r>
      <w:r w:rsidRPr="00511005">
        <w:rPr>
          <w:rFonts w:ascii="Arial" w:eastAsia="Calibri" w:hAnsi="Arial" w:cs="Arial"/>
          <w:szCs w:val="28"/>
        </w:rPr>
        <w:t>3</w:t>
      </w:r>
      <w:r w:rsidRPr="00511005">
        <w:rPr>
          <w:rFonts w:ascii="Arial" w:eastAsia="Calibri" w:hAnsi="Arial" w:cs="Arial"/>
          <w:szCs w:val="28"/>
          <w:lang w:val="uk-UA"/>
        </w:rPr>
        <w:t>].</w:t>
      </w:r>
    </w:p>
    <w:p w14:paraId="07FA4CD0"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У будь-якому випадку, реалізація права на соціальний захист для особи можлива лише після отримання довідки, що підтверджує статус внутрішньо переміщеної особи, та внесення відповідних відомостей до державного реєстру. Важливим аспектом соціальної роботи є сприяння інтеграції переселенців у місцеві громади, що допомагає їм швидше адаптуватися та отримати доступ до необхідних послуг.</w:t>
      </w:r>
    </w:p>
    <w:p w14:paraId="286181B5"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Для успішної інтеграції переселенців важливо створювати умови для їхнього включення в громади. Держава, волонтери та громадські організації вживають заходів, проте цього недостатньо для довготривалої підтримки. Політика має сприяти соціально-економічному розвитку через використання потенціалу внутрішньої міграції. Для цього необхідна координація національних ресурсів і допомога міжнародних партнерів. Важливим є ефективний механізм отримання та використання міжнародної підтримки [4].</w:t>
      </w:r>
    </w:p>
    <w:p w14:paraId="3FB9D4CC"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Налагодження взаємодії між переселенцями та місцевим населенням має бути одним із пріоритетів державної політики. Реалізація спільних культурних, освітніх і громадських проєктів сприятиме зміцненню взаєморозуміння, зменшенню упереджень і запобіганню соціальній ізоляції. Інтеграція внутрішньо переміщених осіб повинна розглядатися не лише як форма підтримки, а як взаємний процес, у якому переселенці здатні внести свій вклад, поділившись новими ідеями, досвідом та соціальним потенціалом для розвитку місцевих громад.</w:t>
      </w:r>
    </w:p>
    <w:p w14:paraId="572559FE" w14:textId="77777777" w:rsidR="00AE57E7" w:rsidRPr="00511005" w:rsidRDefault="00AE57E7" w:rsidP="003A292D">
      <w:pPr>
        <w:spacing w:line="264" w:lineRule="auto"/>
        <w:rPr>
          <w:rFonts w:ascii="Arial" w:eastAsia="Calibri" w:hAnsi="Arial" w:cs="Arial"/>
          <w:szCs w:val="28"/>
          <w:lang w:val="uk-UA"/>
        </w:rPr>
      </w:pPr>
      <w:r w:rsidRPr="00511005">
        <w:rPr>
          <w:rFonts w:ascii="Arial" w:eastAsia="Calibri" w:hAnsi="Arial" w:cs="Arial"/>
          <w:szCs w:val="28"/>
          <w:lang w:val="uk-UA"/>
        </w:rPr>
        <w:t xml:space="preserve">Успішна інтеграція ВПО потребує комплексного підходу, що охоплює створення умов для працевлаштування, підприємництва, доступного житла, освіти та інформування. Така політика має бути гнучкою, поєднувати </w:t>
      </w:r>
      <w:r w:rsidRPr="00511005">
        <w:rPr>
          <w:rFonts w:ascii="Arial" w:eastAsia="Calibri" w:hAnsi="Arial" w:cs="Arial"/>
          <w:szCs w:val="28"/>
          <w:lang w:val="uk-UA"/>
        </w:rPr>
        <w:lastRenderedPageBreak/>
        <w:t>економічні, соціальні й правові інструменти, адже переселенці можуть стати цінним ресурсом для розвитку як місцевих громад, так і країни загалом.</w:t>
      </w:r>
    </w:p>
    <w:p w14:paraId="4EFA54D7" w14:textId="77777777" w:rsidR="00AE57E7" w:rsidRPr="00511005" w:rsidRDefault="00AE57E7" w:rsidP="003A292D">
      <w:pPr>
        <w:spacing w:line="264" w:lineRule="auto"/>
        <w:ind w:firstLine="0"/>
        <w:jc w:val="left"/>
        <w:rPr>
          <w:rFonts w:ascii="Arial" w:eastAsia="Calibri" w:hAnsi="Arial" w:cs="Arial"/>
          <w:szCs w:val="28"/>
          <w:lang w:val="uk-UA"/>
        </w:rPr>
      </w:pPr>
    </w:p>
    <w:p w14:paraId="7495A7B3" w14:textId="33346E8C" w:rsidR="00AE57E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Список використаних джерел</w:t>
      </w:r>
    </w:p>
    <w:p w14:paraId="2C4F77F0" w14:textId="77777777" w:rsidR="00AE57E7" w:rsidRPr="00511005" w:rsidRDefault="00AE57E7" w:rsidP="003F6A5D">
      <w:pPr>
        <w:numPr>
          <w:ilvl w:val="0"/>
          <w:numId w:val="764"/>
        </w:numPr>
        <w:spacing w:line="264" w:lineRule="auto"/>
        <w:contextualSpacing/>
        <w:jc w:val="left"/>
        <w:rPr>
          <w:rFonts w:ascii="Arial" w:eastAsia="Calibri" w:hAnsi="Arial" w:cs="Arial"/>
          <w:b/>
          <w:szCs w:val="28"/>
          <w:lang w:val="uk-UA"/>
        </w:rPr>
      </w:pPr>
      <w:r w:rsidRPr="00511005">
        <w:rPr>
          <w:rFonts w:ascii="Arial" w:eastAsia="Calibri" w:hAnsi="Arial" w:cs="Arial"/>
          <w:szCs w:val="28"/>
        </w:rPr>
        <w:t>Павличенко Л. М. Вплив вимушеної міграції на соціальну інфраструктуру в Україні. Чернівці: Науковий вісник Чернівецького університету. 2022. Т. 45. Вип. 1. С. 44–50.</w:t>
      </w:r>
    </w:p>
    <w:p w14:paraId="7FB8FA0A" w14:textId="77777777" w:rsidR="00AE57E7" w:rsidRPr="00511005" w:rsidRDefault="00AE57E7" w:rsidP="003F6A5D">
      <w:pPr>
        <w:numPr>
          <w:ilvl w:val="0"/>
          <w:numId w:val="76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Скільки-скільки? Кількість ВПО в Україні, зокрема дітей, на березень 2025р.</w:t>
      </w:r>
      <w:r w:rsidRPr="00511005">
        <w:rPr>
          <w:rFonts w:ascii="Arial" w:eastAsia="Calibri" w:hAnsi="Arial" w:cs="Arial"/>
          <w:szCs w:val="28"/>
        </w:rPr>
        <w:t xml:space="preserve"> </w:t>
      </w:r>
      <w:r w:rsidRPr="00511005">
        <w:rPr>
          <w:rFonts w:ascii="Arial" w:eastAsia="Calibri" w:hAnsi="Arial" w:cs="Arial"/>
          <w:szCs w:val="28"/>
          <w:lang w:val="pl-PL"/>
        </w:rPr>
        <w:t xml:space="preserve">URL: </w:t>
      </w:r>
      <w:hyperlink r:id="rId2596" w:history="1">
        <w:r w:rsidRPr="00511005">
          <w:rPr>
            <w:rFonts w:ascii="Arial" w:eastAsia="Calibri" w:hAnsi="Arial" w:cs="Arial"/>
            <w:szCs w:val="28"/>
            <w:lang w:val="pl-PL"/>
          </w:rPr>
          <w:t>https://skilky-skilky.info/v-ukraini-nalichuietsia-4-6-mln-vnutrishno-peremishchenykh-osib/?utm_source</w:t>
        </w:r>
      </w:hyperlink>
      <w:r w:rsidRPr="00511005">
        <w:rPr>
          <w:rFonts w:ascii="Arial" w:eastAsia="Calibri" w:hAnsi="Arial" w:cs="Arial"/>
          <w:szCs w:val="28"/>
          <w:lang w:val="pl-PL"/>
        </w:rPr>
        <w:t xml:space="preserve"> </w:t>
      </w:r>
    </w:p>
    <w:p w14:paraId="765D5940" w14:textId="77777777" w:rsidR="00AE57E7" w:rsidRPr="00511005" w:rsidRDefault="00AE57E7" w:rsidP="003F6A5D">
      <w:pPr>
        <w:numPr>
          <w:ilvl w:val="0"/>
          <w:numId w:val="76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Про забезпечення прав і свобод внутрішньо переміщених осіб. </w:t>
      </w:r>
      <w:r w:rsidRPr="00511005">
        <w:rPr>
          <w:rFonts w:ascii="Arial" w:eastAsia="Calibri" w:hAnsi="Arial" w:cs="Arial"/>
          <w:szCs w:val="28"/>
        </w:rPr>
        <w:t xml:space="preserve">Офіційний сайт </w:t>
      </w:r>
      <w:proofErr w:type="gramStart"/>
      <w:r w:rsidRPr="00511005">
        <w:rPr>
          <w:rFonts w:ascii="Arial" w:eastAsia="Calibri" w:hAnsi="Arial" w:cs="Arial"/>
          <w:szCs w:val="28"/>
        </w:rPr>
        <w:t>Верховної</w:t>
      </w:r>
      <w:proofErr w:type="gramEnd"/>
      <w:r w:rsidRPr="00511005">
        <w:rPr>
          <w:rFonts w:ascii="Arial" w:eastAsia="Calibri" w:hAnsi="Arial" w:cs="Arial"/>
          <w:szCs w:val="28"/>
        </w:rPr>
        <w:t xml:space="preserve"> Ради України. URL:</w:t>
      </w:r>
      <w:r w:rsidRPr="00511005">
        <w:rPr>
          <w:rFonts w:ascii="Arial" w:eastAsia="Calibri" w:hAnsi="Arial" w:cs="Arial"/>
          <w:szCs w:val="28"/>
          <w:lang w:val="uk-UA"/>
        </w:rPr>
        <w:t xml:space="preserve"> </w:t>
      </w:r>
      <w:hyperlink r:id="rId2597" w:anchor="Text" w:history="1">
        <w:r w:rsidRPr="00511005">
          <w:rPr>
            <w:rFonts w:ascii="Arial" w:eastAsia="Calibri" w:hAnsi="Arial" w:cs="Arial"/>
            <w:szCs w:val="28"/>
            <w:lang w:val="uk-UA"/>
          </w:rPr>
          <w:t>https://zakon.rada.gov.ua/laws/show/1706-18#Text</w:t>
        </w:r>
      </w:hyperlink>
      <w:r w:rsidRPr="00511005">
        <w:rPr>
          <w:rFonts w:ascii="Arial" w:eastAsia="Calibri" w:hAnsi="Arial" w:cs="Arial"/>
          <w:szCs w:val="28"/>
          <w:lang w:val="uk-UA"/>
        </w:rPr>
        <w:t xml:space="preserve"> </w:t>
      </w:r>
    </w:p>
    <w:p w14:paraId="7635E3C2" w14:textId="77777777" w:rsidR="00AE57E7" w:rsidRPr="00511005" w:rsidRDefault="00AE57E7" w:rsidP="003F6A5D">
      <w:pPr>
        <w:numPr>
          <w:ilvl w:val="0"/>
          <w:numId w:val="764"/>
        </w:numPr>
        <w:spacing w:line="264" w:lineRule="auto"/>
        <w:contextualSpacing/>
        <w:jc w:val="left"/>
        <w:rPr>
          <w:rFonts w:ascii="Arial" w:eastAsia="Calibri" w:hAnsi="Arial" w:cs="Arial"/>
          <w:szCs w:val="28"/>
          <w:lang w:val="uk-UA"/>
        </w:rPr>
      </w:pPr>
      <w:r w:rsidRPr="00511005">
        <w:rPr>
          <w:rFonts w:ascii="Arial" w:eastAsia="Calibri" w:hAnsi="Arial" w:cs="Arial"/>
          <w:szCs w:val="28"/>
        </w:rPr>
        <w:t>Федоренко М. В. Роль громадських організацій у підтримці ВПО. Київ: Громадянське суспільство. 2020. № 5. С. 10–15.</w:t>
      </w:r>
    </w:p>
    <w:p w14:paraId="0C6F7EE5" w14:textId="77777777" w:rsidR="00AE57E7" w:rsidRPr="00511005" w:rsidRDefault="00AE57E7" w:rsidP="003A292D">
      <w:pPr>
        <w:spacing w:line="264" w:lineRule="auto"/>
        <w:ind w:left="720" w:firstLine="0"/>
        <w:contextualSpacing/>
        <w:rPr>
          <w:rFonts w:ascii="Arial" w:eastAsia="Calibri" w:hAnsi="Arial" w:cs="Arial"/>
          <w:szCs w:val="28"/>
          <w:lang w:val="uk-UA"/>
        </w:rPr>
      </w:pPr>
    </w:p>
    <w:p w14:paraId="2C63BC95" w14:textId="6A21C59E" w:rsidR="00AE57E7" w:rsidRPr="00511005" w:rsidRDefault="007B2628" w:rsidP="003A292D">
      <w:pPr>
        <w:spacing w:line="264" w:lineRule="auto"/>
        <w:ind w:left="720" w:firstLine="0"/>
        <w:contextualSpacing/>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szCs w:val="28"/>
          <w:lang w:val="uk-UA"/>
        </w:rPr>
        <w:t>вимушена міграція, внутрішньо переміщені особи, інтеграція, соціальна адаптація, державна політика.</w:t>
      </w:r>
    </w:p>
    <w:p w14:paraId="09466C1C" w14:textId="2C6EEE0B" w:rsidR="00AE57E7" w:rsidRPr="00511005" w:rsidRDefault="007B2628" w:rsidP="003A292D">
      <w:pPr>
        <w:spacing w:line="264" w:lineRule="auto"/>
        <w:ind w:left="720" w:firstLine="0"/>
        <w:contextualSpacing/>
        <w:rPr>
          <w:rFonts w:ascii="Arial" w:eastAsia="Calibri" w:hAnsi="Arial" w:cs="Arial"/>
          <w:b/>
          <w:szCs w:val="28"/>
          <w:lang w:val="en-US"/>
        </w:rPr>
      </w:pPr>
      <w:r w:rsidRPr="00511005">
        <w:rPr>
          <w:rFonts w:ascii="Arial" w:eastAsia="Calibri" w:hAnsi="Arial" w:cs="Arial"/>
          <w:b/>
          <w:i/>
          <w:szCs w:val="28"/>
          <w:lang w:val="en-US"/>
        </w:rPr>
        <w:t xml:space="preserve">Key words: </w:t>
      </w:r>
      <w:r w:rsidR="00AE57E7" w:rsidRPr="00511005">
        <w:rPr>
          <w:rFonts w:ascii="Arial" w:eastAsia="Calibri" w:hAnsi="Arial" w:cs="Arial"/>
          <w:szCs w:val="28"/>
          <w:lang w:val="en-US"/>
        </w:rPr>
        <w:t>forced migration, internally displaced persons, integration, social adaptation, state policy.</w:t>
      </w:r>
    </w:p>
    <w:p w14:paraId="6DAE28B0" w14:textId="57F6A543" w:rsidR="00AE57E7" w:rsidRPr="00511005" w:rsidRDefault="007B2628" w:rsidP="003A292D">
      <w:pPr>
        <w:spacing w:line="264" w:lineRule="auto"/>
        <w:rPr>
          <w:rFonts w:ascii="Arial" w:eastAsia="Calibri" w:hAnsi="Arial" w:cs="Arial"/>
          <w:i/>
          <w:szCs w:val="28"/>
        </w:rPr>
      </w:pPr>
      <w:r w:rsidRPr="00511005">
        <w:rPr>
          <w:rFonts w:ascii="Arial" w:eastAsia="Calibri" w:hAnsi="Arial" w:cs="Arial"/>
          <w:b/>
          <w:i/>
          <w:szCs w:val="28"/>
          <w:lang w:val="uk-UA"/>
        </w:rPr>
        <w:t xml:space="preserve">Науковий керівник: </w:t>
      </w:r>
      <w:r w:rsidR="00AE57E7" w:rsidRPr="00511005">
        <w:rPr>
          <w:rFonts w:ascii="Arial" w:eastAsia="Calibri" w:hAnsi="Arial" w:cs="Arial"/>
          <w:i/>
          <w:szCs w:val="28"/>
        </w:rPr>
        <w:t>к.соц.н., доц. Яценко М.А.</w:t>
      </w:r>
    </w:p>
    <w:p w14:paraId="10A4ED6D" w14:textId="77777777" w:rsidR="00C66506" w:rsidRPr="00511005" w:rsidRDefault="00C66506" w:rsidP="003A292D">
      <w:pPr>
        <w:spacing w:line="264" w:lineRule="auto"/>
        <w:rPr>
          <w:rFonts w:ascii="Arial" w:eastAsia="Calibri" w:hAnsi="Arial" w:cs="Arial"/>
          <w:i/>
          <w:szCs w:val="28"/>
        </w:rPr>
      </w:pPr>
    </w:p>
    <w:p w14:paraId="591967EE" w14:textId="77777777" w:rsidR="00AE57E7" w:rsidRPr="00511005" w:rsidRDefault="00AE57E7" w:rsidP="003A292D">
      <w:pPr>
        <w:spacing w:line="264" w:lineRule="auto"/>
        <w:ind w:firstLine="68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 xml:space="preserve">Роговенко Анжела Володимирівна </w:t>
      </w:r>
    </w:p>
    <w:p w14:paraId="3EB506E7" w14:textId="20B2660F" w:rsidR="00AE57E7" w:rsidRPr="00511005" w:rsidRDefault="00AE57E7" w:rsidP="003A292D">
      <w:pPr>
        <w:spacing w:line="264" w:lineRule="auto"/>
        <w:ind w:firstLine="68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4</w:t>
      </w:r>
      <w:r w:rsidR="00C66506" w:rsidRPr="00511005">
        <w:rPr>
          <w:rFonts w:ascii="Arial" w:eastAsia="Times New Roman" w:hAnsi="Arial" w:cs="Arial"/>
          <w:szCs w:val="28"/>
          <w:lang w:val="uk-UA" w:eastAsia="ru-RU"/>
        </w:rPr>
        <w:t>-го</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курсу </w:t>
      </w:r>
      <w:r w:rsidR="00536AAB" w:rsidRPr="00511005">
        <w:rPr>
          <w:rFonts w:ascii="Arial" w:eastAsia="Times New Roman" w:hAnsi="Arial" w:cs="Arial"/>
          <w:szCs w:val="28"/>
          <w:lang w:val="uk-UA" w:eastAsia="ru-RU"/>
        </w:rPr>
        <w:t>факультету психології, політології та соціології</w:t>
      </w:r>
      <w:r w:rsidRPr="00511005">
        <w:rPr>
          <w:rFonts w:ascii="Arial" w:eastAsia="Times New Roman" w:hAnsi="Arial" w:cs="Arial"/>
          <w:szCs w:val="28"/>
          <w:lang w:val="uk-UA" w:eastAsia="ru-RU"/>
        </w:rPr>
        <w:t xml:space="preserve"> </w:t>
      </w:r>
    </w:p>
    <w:p w14:paraId="62A794E3" w14:textId="48E592C4" w:rsidR="00AE57E7" w:rsidRPr="00511005" w:rsidRDefault="00AE57E7" w:rsidP="003A292D">
      <w:pPr>
        <w:spacing w:line="264" w:lineRule="auto"/>
        <w:ind w:firstLine="68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w:t>
      </w:r>
      <w:r w:rsidR="00C66506" w:rsidRPr="00511005">
        <w:rPr>
          <w:rFonts w:ascii="Arial" w:eastAsia="Times New Roman" w:hAnsi="Arial" w:cs="Arial"/>
          <w:szCs w:val="28"/>
          <w:lang w:val="uk-UA" w:eastAsia="ru-RU"/>
        </w:rPr>
        <w:t>ого</w:t>
      </w:r>
      <w:r w:rsidRPr="00511005">
        <w:rPr>
          <w:rFonts w:ascii="Arial" w:eastAsia="Times New Roman" w:hAnsi="Arial" w:cs="Arial"/>
          <w:szCs w:val="28"/>
          <w:lang w:val="uk-UA" w:eastAsia="ru-RU"/>
        </w:rPr>
        <w:t xml:space="preserve"> університет</w:t>
      </w:r>
      <w:r w:rsidR="00C66506" w:rsidRPr="00511005">
        <w:rPr>
          <w:rFonts w:ascii="Arial" w:eastAsia="Times New Roman" w:hAnsi="Arial" w:cs="Arial"/>
          <w:szCs w:val="28"/>
          <w:lang w:val="uk-UA" w:eastAsia="ru-RU"/>
        </w:rPr>
        <w:t>у</w:t>
      </w:r>
      <w:r w:rsidRPr="00511005">
        <w:rPr>
          <w:rFonts w:ascii="Arial" w:eastAsia="Times New Roman" w:hAnsi="Arial" w:cs="Arial"/>
          <w:szCs w:val="28"/>
          <w:lang w:val="uk-UA" w:eastAsia="ru-RU"/>
        </w:rPr>
        <w:t xml:space="preserve"> «Одеська юридична академія»</w:t>
      </w:r>
    </w:p>
    <w:p w14:paraId="5207BFFA" w14:textId="77777777" w:rsidR="00AE57E7" w:rsidRPr="00511005" w:rsidRDefault="00AE57E7" w:rsidP="003A292D">
      <w:pPr>
        <w:spacing w:line="264" w:lineRule="auto"/>
        <w:ind w:firstLine="680"/>
        <w:jc w:val="center"/>
        <w:rPr>
          <w:rFonts w:ascii="Arial" w:eastAsia="Times New Roman" w:hAnsi="Arial" w:cs="Arial"/>
          <w:szCs w:val="28"/>
          <w:lang w:val="uk-UA" w:eastAsia="ru-RU"/>
        </w:rPr>
      </w:pPr>
    </w:p>
    <w:p w14:paraId="0E5CA8CC" w14:textId="77777777" w:rsidR="00AE57E7" w:rsidRPr="00511005" w:rsidRDefault="00AE57E7" w:rsidP="003A292D">
      <w:pPr>
        <w:spacing w:line="264" w:lineRule="auto"/>
        <w:ind w:firstLine="68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СПЕЦИФІКА ГЛИБИННОГО ІНТЕРВ’Ю ЯК МЕТОДУ СОЦІОЛОГІЧНОГО ДОСЛІДЖЕННЯ</w:t>
      </w:r>
    </w:p>
    <w:p w14:paraId="6F76676B" w14:textId="77777777" w:rsidR="00AE57E7" w:rsidRPr="00511005" w:rsidRDefault="00AE57E7"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сучасних соціологічних дослідженнях усе більшу вагу набувають якісні методи, серед яких глибинне інтерв’ю посідає особливе місце. Його популярність зумовлена здатністю виявляти приховані мотиви, цінності та інтерпретації соціальної реальності. Особливо цінним цей метод є тоді, коли кількісні опитування не дозволяють досягти глибини розуміння досліджуваного явища. У соціології, яка прагне не лише фіксувати, а й інтерпретувати соціальні процеси, глибинне інтерв’ю є потужним інструментом аналізу індивідуального досвіду.</w:t>
      </w:r>
    </w:p>
    <w:p w14:paraId="2C6A5880" w14:textId="77777777" w:rsidR="00AE57E7" w:rsidRPr="00511005" w:rsidRDefault="00AE57E7"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Глибинне інтерв’ю як класичний якісний метод соціології має на меті не кількісне вимірювання, а інтерпретацію значень, які індивіди надають своїм діям, цінностям і життєвим ситуаціям. Як підкреслює І. Голловей, цей метод дозволяє досліднику зануритися у соціальний контекст життя респондента й виявити ті сенси, що залишаються непоміченими в кількісних дослідженнях [1, с. 38]. Метод глибинного інтерв’ю має багате історичне коріння — від </w:t>
      </w:r>
      <w:r w:rsidRPr="00511005">
        <w:rPr>
          <w:rFonts w:ascii="Arial" w:eastAsia="Times New Roman" w:hAnsi="Arial" w:cs="Arial"/>
          <w:szCs w:val="28"/>
          <w:lang w:val="uk-UA" w:eastAsia="ru-RU"/>
        </w:rPr>
        <w:lastRenderedPageBreak/>
        <w:t>психоаналітичних практик З. Фрейда до розробок Чиказької школи соціології. Суттєвий внесок у розвиток інтерв’ювання зробили соціологи Б. Малиновський та Е. Ґофман, зокрема у вивченні ідентичності та ролей через особисті історії респондентів [2, с. 4].</w:t>
      </w:r>
    </w:p>
    <w:p w14:paraId="06D1FE3F" w14:textId="77777777" w:rsidR="00AE57E7" w:rsidRPr="00511005" w:rsidRDefault="00AE57E7"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szCs w:val="28"/>
          <w:lang w:val="uk-UA" w:eastAsia="ru-RU"/>
        </w:rPr>
        <w:t>Серед типів глибинного інтерв’ю виокремлюють структуроване, напівструктуроване, неструктуроване, фокусоване, проективне та інтерв’ю-фокус-групи. Найчастіше у соціологічній практиці застосовується напівструктуроване інтерв’ю, що дає змогу поєднати заздалегідь підготовлені запитання з гнучкістю та адаптацією до особливостей респондента [3, с. 44].</w:t>
      </w:r>
    </w:p>
    <w:p w14:paraId="41135EE6" w14:textId="77777777" w:rsidR="00AE57E7" w:rsidRPr="00511005" w:rsidRDefault="00AE57E7"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szCs w:val="28"/>
          <w:lang w:val="uk-UA" w:eastAsia="ru-RU"/>
        </w:rPr>
        <w:t>Ефективність глибинного інтерв’ю значною мірою залежить від кваліфікації інтерв’юера. Він має володіти не лише комунікативними навичками, а й вмінням створити атмосферу довіри, ставити відкриті запитання, а також грамотно реагувати на емоції респондента [4, с. 74]. До того ж підготовка до інтерв’ю передбачає розробку опитувальника (гайду), вибір респондентів, визначення місця та тривалості розмови.</w:t>
      </w:r>
    </w:p>
    <w:p w14:paraId="1F2C773F" w14:textId="77777777" w:rsidR="00AE57E7" w:rsidRPr="00511005" w:rsidRDefault="00AE57E7" w:rsidP="003A292D">
      <w:pPr>
        <w:spacing w:line="264" w:lineRule="auto"/>
        <w:ind w:firstLine="680"/>
        <w:rPr>
          <w:rFonts w:ascii="Arial" w:eastAsia="Times New Roman" w:hAnsi="Arial" w:cs="Arial"/>
          <w:szCs w:val="28"/>
          <w:lang w:val="uk-UA" w:eastAsia="ru-RU"/>
        </w:rPr>
      </w:pPr>
      <w:bookmarkStart w:id="347" w:name="_x3isfvz5pvl8" w:colFirst="0" w:colLast="0"/>
      <w:bookmarkEnd w:id="347"/>
      <w:r w:rsidRPr="00511005">
        <w:rPr>
          <w:rFonts w:ascii="Arial" w:eastAsia="Times New Roman" w:hAnsi="Arial" w:cs="Arial"/>
          <w:szCs w:val="28"/>
          <w:lang w:val="uk-UA" w:eastAsia="ru-RU"/>
        </w:rPr>
        <w:t xml:space="preserve">Для підвищення точності отриманих даних, в інтерв’ю застосовують аудіо- та відеозаписи. Аудіозапис дозволяє зберегти повну вербальну інформацію, а відео — фіксувати невербальні сигнали, що є особливо важливими для якісного аналізу [5, с. 143]. Записи допомагають дослідникам уникати втрати деталей, повторно аналізувати матеріал та забезпечують більшу достовірність результатів. </w:t>
      </w:r>
    </w:p>
    <w:p w14:paraId="07E76FA0" w14:textId="77777777" w:rsidR="00AE57E7" w:rsidRPr="00511005" w:rsidRDefault="00AE57E7"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szCs w:val="28"/>
          <w:lang w:val="uk-UA" w:eastAsia="ru-RU"/>
        </w:rPr>
        <w:t>Глибинне інтерв’ю має низку переваг: глибоке розкриття мотивації, можливість виявлення нових гіпотез, індивідуальний підхід до кожного респондента. Водночас існують і певні обмеження: метод є трудомістким, потребує значних ресурсів і професіоналізму інтерв’юера, а також може бути суб’єктивно забарвленим. Крім методичних аспектів, важливим є також етичний вимір проведення глибинного інтерв’ю. Дослідник зобов’язаний дотримуватись принципів добровільної згоди, конфіденційності, а також поваги до особистісної гідності респондента. Особливо це актуально в роботі з уразливими групами населення. При недотриманні цих норм якість і достовірність отриманої інформації можуть значно знизитись.</w:t>
      </w:r>
    </w:p>
    <w:p w14:paraId="54B20864" w14:textId="77777777" w:rsidR="00AE57E7" w:rsidRPr="00511005" w:rsidRDefault="00AE57E7"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Варто також зазначити, що глибинне інтерв’ю не обмежується лише збором емпіричних даних — воно виконує також інтерпретативну функцію. За допомогою цього методу соціолог виявляє смисли, які формуються в процесі комунікації. Таким чином, глибинне інтерв’ю виступає не тільки інструментом збору інформації, а й способом взаємодії з соціальною реальністю. Саме в цьому полягає його цінність у дослідженні складних соціальних явищ, зокрема таких, що пов’язані з ідентичністю, міжособистісною взаємодією або ціннісними орієнтаціями. У практичному вимірі метод глибинного інтерв’ю ефективно застосовується в маркетингу, освіті, медицині, сфері соціального захисту та культурі. Він дозволяє </w:t>
      </w:r>
      <w:r w:rsidRPr="00511005">
        <w:rPr>
          <w:rFonts w:ascii="Arial" w:eastAsia="Times New Roman" w:hAnsi="Arial" w:cs="Arial"/>
          <w:szCs w:val="28"/>
          <w:lang w:val="uk-UA" w:eastAsia="ru-RU"/>
        </w:rPr>
        <w:lastRenderedPageBreak/>
        <w:t>виявити потреби, страхи, очікування та досвід респондентів, що дає змогу краще адаптувати політики, продукти або послуги під реальні потреби цільових груп.</w:t>
      </w:r>
    </w:p>
    <w:p w14:paraId="4CF8D82B" w14:textId="572B2013" w:rsidR="00AE57E7" w:rsidRPr="00511005" w:rsidRDefault="00AE57E7"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глибинне інтерв’ю є незамінним інструментом у якісних соціологічних дослідженнях, особливо коли йдеться про вивчення особистих сенсів, соціальних установок, емоційних переживань та складних соціальних явищ. Попри складність організації та реалізації, метод забезпечує глибоке розуміння людського досвіду і відкриває широкі можливості для інтерпретації соціальної реальності.</w:t>
      </w:r>
    </w:p>
    <w:p w14:paraId="2C7A65ED" w14:textId="77777777" w:rsidR="006A743E" w:rsidRPr="00511005" w:rsidRDefault="006A743E" w:rsidP="003A292D">
      <w:pPr>
        <w:spacing w:line="264" w:lineRule="auto"/>
        <w:ind w:firstLine="680"/>
        <w:rPr>
          <w:rFonts w:ascii="Arial" w:eastAsia="Times New Roman" w:hAnsi="Arial" w:cs="Arial"/>
          <w:szCs w:val="28"/>
          <w:lang w:val="uk-UA" w:eastAsia="ru-RU"/>
        </w:rPr>
      </w:pPr>
    </w:p>
    <w:p w14:paraId="0189BC6C" w14:textId="7627B3C2" w:rsidR="00AE57E7" w:rsidRPr="00511005" w:rsidRDefault="007B2628" w:rsidP="007B2628">
      <w:pPr>
        <w:spacing w:line="264" w:lineRule="auto"/>
        <w:ind w:firstLine="68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1C0E23B3" w14:textId="77777777" w:rsidR="00AE57E7" w:rsidRPr="00511005" w:rsidRDefault="00AE57E7" w:rsidP="003F6A5D">
      <w:pPr>
        <w:numPr>
          <w:ilvl w:val="0"/>
          <w:numId w:val="765"/>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Афанасьєв Д. М. Методичні рекомендації щодо забезпечення самостійної роботи студентів з дисципліни «Методи збору соціологічної інформації» : для здобувачів вищої освіти за спец. 054 «Соціологія» першого (бакалавр.) рівня. Ужгород : ДВНЗ «УжНУ», 2021. 40 с.</w:t>
      </w:r>
    </w:p>
    <w:p w14:paraId="657C40CD" w14:textId="77777777" w:rsidR="00AE57E7" w:rsidRPr="00511005" w:rsidRDefault="00AE57E7" w:rsidP="003F6A5D">
      <w:pPr>
        <w:numPr>
          <w:ilvl w:val="0"/>
          <w:numId w:val="765"/>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Балановський Я. М. Соціологія: організація емпіричного дослідження. Умань : Візаві, 2019. 470 с.</w:t>
      </w:r>
    </w:p>
    <w:p w14:paraId="6ACED558" w14:textId="77777777" w:rsidR="00AE57E7" w:rsidRPr="00511005" w:rsidRDefault="00AE57E7" w:rsidP="003F6A5D">
      <w:pPr>
        <w:numPr>
          <w:ilvl w:val="0"/>
          <w:numId w:val="765"/>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Брайко М. Г., Радіонова А. К. Глибинне інтерв'ю як інструмент дослідження споживацького досвіду // La science et la technologie à l'ère de la société de l'information : coll. de papiers scientifiques «ΛΌГOΣ». Bordeaux, 2019. Vol. 1. P. 44–45.</w:t>
      </w:r>
    </w:p>
    <w:p w14:paraId="1BDB8376" w14:textId="77777777" w:rsidR="00AE57E7" w:rsidRPr="00511005" w:rsidRDefault="00AE57E7" w:rsidP="003F6A5D">
      <w:pPr>
        <w:numPr>
          <w:ilvl w:val="0"/>
          <w:numId w:val="765"/>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Симончук О. В. Глибинне інтерв’ю: теорія і технологія. Технології прикладних соціологічних досліджень : навч.-метод. посіб. Київ : Інститут соціології НАН України, 2003. С. 74–77.</w:t>
      </w:r>
    </w:p>
    <w:p w14:paraId="4F4F0E52" w14:textId="77777777" w:rsidR="00AE57E7" w:rsidRPr="00511005" w:rsidRDefault="00AE57E7" w:rsidP="003F6A5D">
      <w:pPr>
        <w:numPr>
          <w:ilvl w:val="0"/>
          <w:numId w:val="765"/>
        </w:numPr>
        <w:pBdr>
          <w:top w:val="nil"/>
          <w:left w:val="nil"/>
          <w:bottom w:val="nil"/>
          <w:right w:val="nil"/>
          <w:between w:val="nil"/>
        </w:pBdr>
        <w:spacing w:line="264" w:lineRule="auto"/>
        <w:jc w:val="left"/>
        <w:rPr>
          <w:rFonts w:ascii="Arial" w:eastAsia="Times New Roman" w:hAnsi="Arial" w:cs="Arial"/>
          <w:szCs w:val="28"/>
          <w:lang w:val="uk-UA" w:eastAsia="ru-RU"/>
        </w:rPr>
      </w:pPr>
      <w:r w:rsidRPr="00511005">
        <w:rPr>
          <w:rFonts w:ascii="Arial" w:eastAsia="Times New Roman" w:hAnsi="Arial" w:cs="Arial"/>
          <w:szCs w:val="28"/>
          <w:lang w:val="uk-UA" w:eastAsia="ru-RU"/>
        </w:rPr>
        <w:t>Тіщенко І. В. Глибинне інтерв’ю як інструмент дослідження поведінкових аспектів у бізнесі // Дев’яносто другі економіко-правові дискусії : матеріали міжнар. наук. інтернет-конф. Львів–Ополе, 18–19 груд. 2024 р. Львів : ФО-П Шпак В. Б. С. 142–144.</w:t>
      </w:r>
    </w:p>
    <w:p w14:paraId="26E5526E" w14:textId="77777777" w:rsidR="00AE57E7" w:rsidRPr="00511005" w:rsidRDefault="00AE57E7" w:rsidP="003A292D">
      <w:pPr>
        <w:spacing w:line="264" w:lineRule="auto"/>
        <w:ind w:firstLine="0"/>
        <w:rPr>
          <w:rFonts w:ascii="Arial" w:eastAsia="Times New Roman" w:hAnsi="Arial" w:cs="Arial"/>
          <w:b/>
          <w:szCs w:val="28"/>
          <w:lang w:val="uk-UA" w:eastAsia="ru-RU"/>
        </w:rPr>
      </w:pPr>
    </w:p>
    <w:p w14:paraId="46981C5A" w14:textId="263C1594" w:rsidR="00AE57E7" w:rsidRPr="00511005" w:rsidRDefault="007B2628"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глибинне інтерв’ю, якісне дослідження, соціологія, респондент, мотивація, методика, соціальні явища.</w:t>
      </w:r>
    </w:p>
    <w:p w14:paraId="54849318" w14:textId="6223E658" w:rsidR="00AE57E7" w:rsidRPr="00511005" w:rsidRDefault="007B2628"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AE57E7" w:rsidRPr="00511005">
        <w:rPr>
          <w:rFonts w:ascii="Arial" w:eastAsia="Times New Roman" w:hAnsi="Arial" w:cs="Arial"/>
          <w:szCs w:val="28"/>
          <w:lang w:val="uk-UA" w:eastAsia="ru-RU"/>
        </w:rPr>
        <w:t>In-depth interview, qualitative research, sociology, respondent, motivation, methodology, social phenomena.</w:t>
      </w:r>
    </w:p>
    <w:p w14:paraId="7D0BD6DB" w14:textId="7175F196" w:rsidR="00AE57E7" w:rsidRPr="00511005" w:rsidRDefault="007B2628" w:rsidP="003A292D">
      <w:pPr>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AE57E7" w:rsidRPr="00511005">
        <w:rPr>
          <w:rFonts w:ascii="Arial" w:eastAsia="Times New Roman" w:hAnsi="Arial" w:cs="Arial"/>
          <w:i/>
          <w:szCs w:val="28"/>
          <w:lang w:val="uk-UA" w:eastAsia="ru-RU"/>
        </w:rPr>
        <w:t>к.пол</w:t>
      </w:r>
      <w:r w:rsidR="009008A5" w:rsidRPr="00511005">
        <w:rPr>
          <w:rFonts w:ascii="Arial" w:eastAsia="Times New Roman" w:hAnsi="Arial" w:cs="Arial"/>
          <w:i/>
          <w:szCs w:val="28"/>
          <w:lang w:val="uk-UA" w:eastAsia="ru-RU"/>
        </w:rPr>
        <w:t>і</w:t>
      </w:r>
      <w:r w:rsidR="00AE57E7" w:rsidRPr="00511005">
        <w:rPr>
          <w:rFonts w:ascii="Arial" w:eastAsia="Times New Roman" w:hAnsi="Arial" w:cs="Arial"/>
          <w:i/>
          <w:szCs w:val="28"/>
          <w:lang w:val="uk-UA" w:eastAsia="ru-RU"/>
        </w:rPr>
        <w:t>т.н., доц. Каретна О.О.</w:t>
      </w:r>
    </w:p>
    <w:p w14:paraId="4A3E9947" w14:textId="77777777" w:rsidR="00AE57E7" w:rsidRPr="00511005" w:rsidRDefault="00AE57E7" w:rsidP="003A292D">
      <w:pPr>
        <w:spacing w:line="264" w:lineRule="auto"/>
        <w:rPr>
          <w:rFonts w:ascii="Arial" w:eastAsia="Times New Roman" w:hAnsi="Arial" w:cs="Arial"/>
          <w:i/>
          <w:szCs w:val="28"/>
          <w:lang w:val="uk-UA" w:eastAsia="ru-RU"/>
        </w:rPr>
      </w:pPr>
      <w:r w:rsidRPr="00511005">
        <w:rPr>
          <w:rFonts w:ascii="Arial" w:eastAsia="Times New Roman" w:hAnsi="Arial" w:cs="Arial"/>
          <w:i/>
          <w:szCs w:val="28"/>
          <w:lang w:val="uk-UA" w:eastAsia="ru-RU"/>
        </w:rPr>
        <w:br w:type="page"/>
      </w:r>
    </w:p>
    <w:p w14:paraId="5E8B0D3C" w14:textId="77777777" w:rsidR="00AE57E7" w:rsidRPr="00511005" w:rsidRDefault="00AE57E7" w:rsidP="003A292D">
      <w:pPr>
        <w:spacing w:line="264" w:lineRule="auto"/>
        <w:ind w:firstLine="0"/>
        <w:jc w:val="center"/>
        <w:rPr>
          <w:rFonts w:ascii="Arial" w:eastAsia="Calibri" w:hAnsi="Arial" w:cs="Arial"/>
          <w:b/>
          <w:i/>
          <w:szCs w:val="28"/>
          <w:lang w:val="uk-UA"/>
        </w:rPr>
      </w:pPr>
      <w:r w:rsidRPr="00511005">
        <w:rPr>
          <w:rFonts w:ascii="Arial" w:eastAsia="Calibri" w:hAnsi="Arial" w:cs="Arial"/>
          <w:b/>
          <w:i/>
          <w:szCs w:val="28"/>
          <w:lang w:val="uk-UA"/>
        </w:rPr>
        <w:lastRenderedPageBreak/>
        <w:t>Руденко Сергій Павлович</w:t>
      </w:r>
    </w:p>
    <w:p w14:paraId="1787ABD6" w14:textId="27F21BD5" w:rsidR="00AE57E7" w:rsidRPr="00511005" w:rsidRDefault="00C66506"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с</w:t>
      </w:r>
      <w:r w:rsidR="00536AAB" w:rsidRPr="00511005">
        <w:rPr>
          <w:rFonts w:ascii="Arial" w:eastAsia="Calibri" w:hAnsi="Arial" w:cs="Arial"/>
          <w:szCs w:val="28"/>
          <w:lang w:val="uk-UA"/>
        </w:rPr>
        <w:t>тудент 4-го курсу факультету психології, політології та соціології</w:t>
      </w:r>
    </w:p>
    <w:p w14:paraId="4AD7FFF1" w14:textId="0E228F20" w:rsidR="00AE57E7" w:rsidRPr="00511005" w:rsidRDefault="007B2628" w:rsidP="003A292D">
      <w:pPr>
        <w:spacing w:line="264" w:lineRule="auto"/>
        <w:ind w:firstLine="0"/>
        <w:jc w:val="center"/>
        <w:rPr>
          <w:rFonts w:ascii="Arial" w:eastAsia="Calibri" w:hAnsi="Arial" w:cs="Arial"/>
          <w:szCs w:val="28"/>
          <w:lang w:val="uk-UA"/>
        </w:rPr>
      </w:pPr>
      <w:r w:rsidRPr="00511005">
        <w:rPr>
          <w:rFonts w:ascii="Arial" w:eastAsia="Calibri" w:hAnsi="Arial" w:cs="Arial"/>
          <w:szCs w:val="28"/>
          <w:lang w:val="uk-UA"/>
        </w:rPr>
        <w:t>Національного університету «Одеська юридична академія»</w:t>
      </w:r>
    </w:p>
    <w:p w14:paraId="5ED982CF" w14:textId="77777777" w:rsidR="00C66506" w:rsidRPr="00511005" w:rsidRDefault="00C66506" w:rsidP="003A292D">
      <w:pPr>
        <w:spacing w:line="264" w:lineRule="auto"/>
        <w:ind w:firstLine="0"/>
        <w:jc w:val="center"/>
        <w:rPr>
          <w:rFonts w:ascii="Arial" w:eastAsia="Calibri" w:hAnsi="Arial" w:cs="Arial"/>
          <w:szCs w:val="28"/>
          <w:lang w:val="uk-UA"/>
        </w:rPr>
      </w:pPr>
    </w:p>
    <w:p w14:paraId="5B829A2A" w14:textId="77777777" w:rsidR="00AE57E7" w:rsidRPr="00511005" w:rsidRDefault="00AE57E7" w:rsidP="003A292D">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t>РЕКЛАМА В УКРАЇНІ В УМОВАХ ПОВНОМАСШТАБНОГО ВТОРГНЕННЯ</w:t>
      </w:r>
    </w:p>
    <w:p w14:paraId="3C612063" w14:textId="77777777" w:rsidR="00AE57E7" w:rsidRPr="00511005" w:rsidRDefault="00AE57E7" w:rsidP="009008A5">
      <w:pPr>
        <w:spacing w:line="264" w:lineRule="auto"/>
        <w:rPr>
          <w:rFonts w:ascii="Arial" w:eastAsia="Calibri" w:hAnsi="Arial" w:cs="Arial"/>
          <w:szCs w:val="28"/>
          <w:lang w:val="uk-UA"/>
        </w:rPr>
      </w:pPr>
      <w:r w:rsidRPr="00511005">
        <w:rPr>
          <w:rFonts w:ascii="Arial" w:eastAsia="Calibri" w:hAnsi="Arial" w:cs="Arial"/>
          <w:szCs w:val="28"/>
          <w:lang w:val="uk-UA"/>
        </w:rPr>
        <w:t>Повномасштабне вторгнення Російської Федерації в Україну 24 лютого 2022 року спричинило суттєві зміни в усіх сферах суспільного життя, зокрема в рекламній галузі. Реклама, як інструмент комунікації, адаптувалася до нових реалій, виконуючи не лише комерційні, але й соціальні та патріотичні функції. Актуальність теми обумовлена необхідністю аналізу впливу війни на рекламний ринок України та вивчення ролі соціальної реклами як інструменту підтримки населення в умовах кризи [1].</w:t>
      </w:r>
    </w:p>
    <w:p w14:paraId="75245BB7" w14:textId="77777777" w:rsidR="00AE57E7" w:rsidRPr="00511005" w:rsidRDefault="00AE57E7" w:rsidP="009008A5">
      <w:pPr>
        <w:spacing w:line="264" w:lineRule="auto"/>
        <w:rPr>
          <w:rFonts w:ascii="Arial" w:eastAsia="Calibri" w:hAnsi="Arial" w:cs="Arial"/>
          <w:szCs w:val="28"/>
          <w:lang w:val="uk-UA"/>
        </w:rPr>
      </w:pPr>
      <w:r w:rsidRPr="00511005">
        <w:rPr>
          <w:rFonts w:ascii="Arial" w:eastAsia="Calibri" w:hAnsi="Arial" w:cs="Arial"/>
          <w:szCs w:val="28"/>
          <w:lang w:val="uk-UA"/>
        </w:rPr>
        <w:t>Рекламний ринок України в умовах повномасштабної війни зазнав значних змін. Зокрема, комерційна реклама стала менш пріоритетною, адже багато компаній скоротили бюджети через економічні труднощі. Замість комерційних меседжів, що заохочують до купівлі, акцент змістився на соціально орієнтовані кампанії, які підтримують моральний дух, допомагають волонтерам і мобілізують громадян [2].</w:t>
      </w:r>
    </w:p>
    <w:p w14:paraId="0EDF6EF3" w14:textId="77777777" w:rsidR="00AE57E7" w:rsidRPr="00511005" w:rsidRDefault="00AE57E7" w:rsidP="009008A5">
      <w:pPr>
        <w:spacing w:line="264" w:lineRule="auto"/>
        <w:rPr>
          <w:rFonts w:ascii="Arial" w:eastAsia="Calibri" w:hAnsi="Arial" w:cs="Arial"/>
          <w:szCs w:val="28"/>
          <w:lang w:val="uk-UA"/>
        </w:rPr>
      </w:pPr>
      <w:r w:rsidRPr="00511005">
        <w:rPr>
          <w:rFonts w:ascii="Arial" w:eastAsia="Calibri" w:hAnsi="Arial" w:cs="Arial"/>
          <w:szCs w:val="28"/>
          <w:lang w:val="uk-UA"/>
        </w:rPr>
        <w:t>Соціальна реклама під час війни набула нових функцій, спрямованих на підтримку громадян, мобілізацію та поширення корисної інформації. Головними завданнями соціальної реклами є підвищення обізнаності населення щодо правил безпеки, підтримка морального духу та консолідація суспільства навколо національних цінностей [3].</w:t>
      </w:r>
    </w:p>
    <w:p w14:paraId="2CB0104F" w14:textId="77777777" w:rsidR="00AE57E7" w:rsidRPr="00511005" w:rsidRDefault="00AE57E7" w:rsidP="009008A5">
      <w:pPr>
        <w:spacing w:line="264" w:lineRule="auto"/>
        <w:rPr>
          <w:rFonts w:ascii="Arial" w:eastAsia="Calibri" w:hAnsi="Arial" w:cs="Arial"/>
          <w:szCs w:val="28"/>
          <w:lang w:val="uk-UA"/>
        </w:rPr>
      </w:pPr>
      <w:r w:rsidRPr="00511005">
        <w:rPr>
          <w:rFonts w:ascii="Arial" w:eastAsia="Calibri" w:hAnsi="Arial" w:cs="Arial"/>
          <w:szCs w:val="28"/>
          <w:lang w:val="uk-UA"/>
        </w:rPr>
        <w:t>Етика в рекламній діяльності під час війни набуває нових вимірів. Бренди, що використовують символіку ЗСУ або тематику бойових дій, ризикують втратити довіру аудиторії, якщо їхні кампанії сприймаються як спекуляція на патріотизмі [4]. Тому важливо ретельно підходити до вибору візуальних і текстових компонентів, щоб реклама не сприймалася як комерційна експлуатація трагедії.</w:t>
      </w:r>
    </w:p>
    <w:p w14:paraId="796E6ABB" w14:textId="77777777" w:rsidR="00AE57E7" w:rsidRPr="00511005" w:rsidRDefault="00AE57E7" w:rsidP="009008A5">
      <w:pPr>
        <w:spacing w:line="264" w:lineRule="auto"/>
        <w:rPr>
          <w:rFonts w:ascii="Arial" w:eastAsia="Calibri" w:hAnsi="Arial" w:cs="Arial"/>
          <w:szCs w:val="28"/>
          <w:lang w:val="uk-UA"/>
        </w:rPr>
      </w:pPr>
      <w:r w:rsidRPr="00511005">
        <w:rPr>
          <w:rFonts w:ascii="Arial" w:eastAsia="Calibri" w:hAnsi="Arial" w:cs="Arial"/>
          <w:szCs w:val="28"/>
          <w:lang w:val="uk-UA"/>
        </w:rPr>
        <w:t>Одним із найбільш відомих прикладів соціальної реклами під час війни стала кампанія «Сміливість», створена агенцією Banda спільно з Офісом Президента [5]. Кампанія стала символом української стійкості та отримала міжнародне визнання.</w:t>
      </w:r>
    </w:p>
    <w:p w14:paraId="1C018571" w14:textId="77777777" w:rsidR="00AE57E7" w:rsidRPr="00511005" w:rsidRDefault="00AE57E7" w:rsidP="009008A5">
      <w:pPr>
        <w:spacing w:line="264" w:lineRule="auto"/>
        <w:rPr>
          <w:rFonts w:ascii="Arial" w:eastAsia="Calibri" w:hAnsi="Arial" w:cs="Arial"/>
          <w:szCs w:val="28"/>
          <w:lang w:val="uk-UA"/>
        </w:rPr>
      </w:pPr>
      <w:r w:rsidRPr="00511005">
        <w:rPr>
          <w:rFonts w:ascii="Arial" w:eastAsia="Calibri" w:hAnsi="Arial" w:cs="Arial"/>
          <w:szCs w:val="28"/>
          <w:lang w:val="uk-UA"/>
        </w:rPr>
        <w:t>Згідно з дослідженням Kantar, 70% українців позитивно оцінюють соціальні кампанії, що підтримують ЗСУ. Також 80% респондентів відзначають, що така реклама сприяє зміцненню морального духу та відчуттю єдності в суспільстві [6].</w:t>
      </w:r>
    </w:p>
    <w:p w14:paraId="0168FD1F" w14:textId="77777777" w:rsidR="00AE57E7" w:rsidRPr="00511005" w:rsidRDefault="00AE57E7" w:rsidP="009008A5">
      <w:pPr>
        <w:spacing w:line="264" w:lineRule="auto"/>
        <w:rPr>
          <w:rFonts w:ascii="Arial" w:eastAsia="Calibri" w:hAnsi="Arial" w:cs="Arial"/>
          <w:szCs w:val="28"/>
          <w:lang w:val="uk-UA"/>
        </w:rPr>
      </w:pPr>
      <w:r w:rsidRPr="00511005">
        <w:rPr>
          <w:rFonts w:ascii="Arial" w:eastAsia="Calibri" w:hAnsi="Arial" w:cs="Arial"/>
          <w:szCs w:val="28"/>
          <w:lang w:val="uk-UA"/>
        </w:rPr>
        <w:t>Реклама в умовах повномасштабного вторгнення виконує не лише комерційні, а й важливі соціальні функції. Вона сприяє підтримці морального духу, мобілізації суспільства та формуванню патріотичних настроїв. Подальший розвиток рекламних стратегій в Україні залежатиме від успішної адаптації до нових викликів та збереження етичних стандартів.</w:t>
      </w:r>
    </w:p>
    <w:p w14:paraId="33C3432A" w14:textId="58824490" w:rsidR="00AE57E7" w:rsidRPr="00511005" w:rsidRDefault="007B2628" w:rsidP="007B2628">
      <w:pPr>
        <w:spacing w:line="264" w:lineRule="auto"/>
        <w:ind w:firstLine="0"/>
        <w:jc w:val="center"/>
        <w:rPr>
          <w:rFonts w:ascii="Arial" w:eastAsia="Calibri" w:hAnsi="Arial" w:cs="Arial"/>
          <w:b/>
          <w:szCs w:val="28"/>
          <w:lang w:val="uk-UA"/>
        </w:rPr>
      </w:pPr>
      <w:r w:rsidRPr="00511005">
        <w:rPr>
          <w:rFonts w:ascii="Arial" w:eastAsia="Calibri" w:hAnsi="Arial" w:cs="Arial"/>
          <w:b/>
          <w:szCs w:val="28"/>
          <w:lang w:val="uk-UA"/>
        </w:rPr>
        <w:lastRenderedPageBreak/>
        <w:t>Список використаних джерел</w:t>
      </w:r>
    </w:p>
    <w:p w14:paraId="64F45EE0" w14:textId="77777777" w:rsidR="00AE57E7" w:rsidRPr="00511005" w:rsidRDefault="00AE57E7" w:rsidP="003F6A5D">
      <w:pPr>
        <w:numPr>
          <w:ilvl w:val="0"/>
          <w:numId w:val="76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Мороз І. Соціальна реклама в часи війни. Соціальні комунікації. 2023. Вип. 5. С. 25–30.</w:t>
      </w:r>
    </w:p>
    <w:p w14:paraId="0DE89AB2" w14:textId="77777777" w:rsidR="00AE57E7" w:rsidRPr="00511005" w:rsidRDefault="00AE57E7" w:rsidP="003F6A5D">
      <w:pPr>
        <w:numPr>
          <w:ilvl w:val="0"/>
          <w:numId w:val="76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Гончаренко Л. Соціальна відповідальність брендів під час війни. Маркетинг і реклама. 2024. Вип. 2. С. 47–52.</w:t>
      </w:r>
    </w:p>
    <w:p w14:paraId="2F835C42" w14:textId="77777777" w:rsidR="00AE57E7" w:rsidRPr="00511005" w:rsidRDefault="00AE57E7" w:rsidP="003F6A5D">
      <w:pPr>
        <w:numPr>
          <w:ilvl w:val="0"/>
          <w:numId w:val="76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Ковальчук М. Вплив соціальної реклами на мобілізаційні процеси в Україні. Соціологічний журнал. 2024. № 1. С. 103–108.</w:t>
      </w:r>
    </w:p>
    <w:p w14:paraId="5D770F4A" w14:textId="77777777" w:rsidR="00AE57E7" w:rsidRPr="00511005" w:rsidRDefault="00AE57E7" w:rsidP="003F6A5D">
      <w:pPr>
        <w:numPr>
          <w:ilvl w:val="0"/>
          <w:numId w:val="76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Сидоренко О. Реклама під час воєнного стану: виклики та перспективи. Журнал соціальних досліджень. 2024. Вип. 3. С. 58–65.</w:t>
      </w:r>
    </w:p>
    <w:p w14:paraId="3B927661" w14:textId="77777777" w:rsidR="00AE57E7" w:rsidRPr="00511005" w:rsidRDefault="00AE57E7" w:rsidP="003F6A5D">
      <w:pPr>
        <w:numPr>
          <w:ilvl w:val="0"/>
          <w:numId w:val="76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Banda. Кампанія «Сміливість». URL: </w:t>
      </w:r>
      <w:hyperlink r:id="rId2598" w:history="1">
        <w:r w:rsidRPr="00511005">
          <w:rPr>
            <w:rFonts w:ascii="Arial" w:eastAsia="Calibri" w:hAnsi="Arial" w:cs="Arial"/>
            <w:szCs w:val="28"/>
            <w:lang w:val="uk-UA"/>
          </w:rPr>
          <w:t>https://brave.ua/</w:t>
        </w:r>
      </w:hyperlink>
    </w:p>
    <w:p w14:paraId="7CD441AC" w14:textId="77777777" w:rsidR="00AE57E7" w:rsidRPr="00511005" w:rsidRDefault="00AE57E7" w:rsidP="003F6A5D">
      <w:pPr>
        <w:numPr>
          <w:ilvl w:val="0"/>
          <w:numId w:val="766"/>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Kantar. Реклама під час війни. URL: </w:t>
      </w:r>
      <w:hyperlink r:id="rId2599" w:history="1">
        <w:r w:rsidRPr="00511005">
          <w:rPr>
            <w:rFonts w:ascii="Arial" w:eastAsia="Calibri" w:hAnsi="Arial" w:cs="Arial"/>
            <w:szCs w:val="28"/>
            <w:lang w:val="uk-UA"/>
          </w:rPr>
          <w:t>https://rau.ua/novyni/reklama-na-vijni-kantar/</w:t>
        </w:r>
      </w:hyperlink>
    </w:p>
    <w:p w14:paraId="75E86CE6" w14:textId="3153A4FF" w:rsidR="00AE57E7" w:rsidRPr="00511005" w:rsidRDefault="007B2628" w:rsidP="009008A5">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Ключові слова: </w:t>
      </w:r>
      <w:r w:rsidR="00AE57E7" w:rsidRPr="00511005">
        <w:rPr>
          <w:rFonts w:ascii="Arial" w:eastAsia="Calibri" w:hAnsi="Arial" w:cs="Arial"/>
          <w:szCs w:val="28"/>
          <w:lang w:val="uk-UA"/>
        </w:rPr>
        <w:t>реклама, соціальна реклама, війна, Україна, патріотизм, комунікація, бренди, соціальна відповідальність, інформаційна підтримка.</w:t>
      </w:r>
    </w:p>
    <w:p w14:paraId="70A6B8D9" w14:textId="7064CC8F" w:rsidR="00AE57E7" w:rsidRPr="00511005" w:rsidRDefault="007B2628" w:rsidP="009008A5">
      <w:pPr>
        <w:spacing w:line="264" w:lineRule="auto"/>
        <w:rPr>
          <w:rFonts w:ascii="Arial" w:eastAsia="Calibri" w:hAnsi="Arial" w:cs="Arial"/>
          <w:szCs w:val="28"/>
          <w:lang w:val="uk-UA"/>
        </w:rPr>
      </w:pPr>
      <w:r w:rsidRPr="00511005">
        <w:rPr>
          <w:rFonts w:ascii="Arial" w:eastAsia="Calibri" w:hAnsi="Arial" w:cs="Arial"/>
          <w:b/>
          <w:i/>
          <w:szCs w:val="28"/>
          <w:lang w:val="uk-UA"/>
        </w:rPr>
        <w:t xml:space="preserve">Key words: </w:t>
      </w:r>
      <w:r w:rsidR="00AE57E7" w:rsidRPr="00511005">
        <w:rPr>
          <w:rFonts w:ascii="Arial" w:eastAsia="Calibri" w:hAnsi="Arial" w:cs="Arial"/>
          <w:szCs w:val="28"/>
          <w:lang w:val="uk-UA"/>
        </w:rPr>
        <w:t>advertising, social advertising, war, Ukraine, patriotism, communication, brands, social responsibility, informational support.</w:t>
      </w:r>
    </w:p>
    <w:p w14:paraId="470E626E" w14:textId="3A2BFE0D" w:rsidR="00AE57E7" w:rsidRPr="00511005" w:rsidRDefault="007B2628" w:rsidP="009008A5">
      <w:pPr>
        <w:spacing w:line="264" w:lineRule="auto"/>
        <w:rPr>
          <w:rFonts w:ascii="Arial" w:eastAsia="Calibri" w:hAnsi="Arial" w:cs="Arial"/>
          <w:i/>
          <w:noProof/>
          <w:szCs w:val="28"/>
          <w:lang w:val="uk-UA"/>
        </w:rPr>
      </w:pPr>
      <w:r w:rsidRPr="00511005">
        <w:rPr>
          <w:rFonts w:ascii="Arial" w:eastAsia="Calibri" w:hAnsi="Arial" w:cs="Arial"/>
          <w:b/>
          <w:i/>
          <w:szCs w:val="28"/>
          <w:lang w:val="uk-UA"/>
        </w:rPr>
        <w:t xml:space="preserve">Науковий керівник: </w:t>
      </w:r>
      <w:r w:rsidR="00AE57E7" w:rsidRPr="00511005">
        <w:rPr>
          <w:rFonts w:ascii="Arial" w:eastAsia="Calibri" w:hAnsi="Arial" w:cs="Arial"/>
          <w:i/>
          <w:noProof/>
          <w:szCs w:val="28"/>
          <w:lang w:val="uk-UA"/>
        </w:rPr>
        <w:t>док. соц. н., професор Яковлева Л. І.</w:t>
      </w:r>
    </w:p>
    <w:p w14:paraId="0DE2EAB5" w14:textId="0A8892E9" w:rsidR="00AE57E7" w:rsidRPr="00511005" w:rsidRDefault="00AE57E7" w:rsidP="003A292D">
      <w:pPr>
        <w:spacing w:line="264" w:lineRule="auto"/>
        <w:rPr>
          <w:rFonts w:ascii="Arial" w:eastAsia="Calibri" w:hAnsi="Arial" w:cs="Arial"/>
          <w:i/>
          <w:noProof/>
          <w:szCs w:val="28"/>
          <w:lang w:val="uk-UA"/>
        </w:rPr>
      </w:pPr>
    </w:p>
    <w:p w14:paraId="3478A353" w14:textId="77777777" w:rsidR="00C66506" w:rsidRPr="00511005" w:rsidRDefault="00C66506" w:rsidP="003A292D">
      <w:pPr>
        <w:spacing w:line="264" w:lineRule="auto"/>
        <w:rPr>
          <w:rFonts w:ascii="Arial" w:eastAsia="Calibri" w:hAnsi="Arial" w:cs="Arial"/>
          <w:i/>
          <w:noProof/>
          <w:szCs w:val="28"/>
          <w:lang w:val="uk-UA"/>
        </w:rPr>
      </w:pPr>
    </w:p>
    <w:p w14:paraId="5552E5F0" w14:textId="77777777" w:rsidR="00AE57E7" w:rsidRPr="00511005" w:rsidRDefault="00AE57E7" w:rsidP="003A292D">
      <w:pPr>
        <w:spacing w:line="264" w:lineRule="auto"/>
        <w:ind w:firstLine="525"/>
        <w:jc w:val="center"/>
        <w:rPr>
          <w:rFonts w:ascii="Arial" w:eastAsia="Times New Roman" w:hAnsi="Arial" w:cs="Arial"/>
          <w:szCs w:val="28"/>
          <w:lang w:val="uk-UA" w:eastAsia="ru-RU"/>
        </w:rPr>
      </w:pPr>
      <w:r w:rsidRPr="00511005">
        <w:rPr>
          <w:rFonts w:ascii="Arial" w:eastAsia="Times New Roman" w:hAnsi="Arial" w:cs="Arial"/>
          <w:b/>
          <w:bCs/>
          <w:i/>
          <w:iCs/>
          <w:szCs w:val="28"/>
          <w:lang w:val="uk-UA" w:eastAsia="ru-RU"/>
        </w:rPr>
        <w:t>Силантьєва Софія Юріївна</w:t>
      </w:r>
    </w:p>
    <w:p w14:paraId="684C0D43" w14:textId="0433F0EC" w:rsidR="00AE57E7" w:rsidRPr="00511005" w:rsidRDefault="00536AAB" w:rsidP="003A292D">
      <w:pPr>
        <w:spacing w:line="264" w:lineRule="auto"/>
        <w:ind w:firstLine="525"/>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2-го курсу факультету психології, політології та соціології</w:t>
      </w:r>
    </w:p>
    <w:p w14:paraId="48A5C4D1" w14:textId="4C271582" w:rsidR="00AE57E7" w:rsidRPr="00511005" w:rsidRDefault="007B2628" w:rsidP="003A292D">
      <w:pPr>
        <w:spacing w:line="264" w:lineRule="auto"/>
        <w:ind w:firstLine="525"/>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1A7C5AF9" w14:textId="77777777" w:rsidR="00AE57E7" w:rsidRPr="00511005" w:rsidRDefault="00AE57E7" w:rsidP="003A292D">
      <w:pPr>
        <w:spacing w:line="264" w:lineRule="auto"/>
        <w:ind w:firstLine="525"/>
        <w:jc w:val="center"/>
        <w:rPr>
          <w:rFonts w:ascii="Arial" w:eastAsia="Times New Roman" w:hAnsi="Arial" w:cs="Arial"/>
          <w:szCs w:val="28"/>
          <w:lang w:eastAsia="ru-RU"/>
        </w:rPr>
      </w:pPr>
    </w:p>
    <w:p w14:paraId="2FBABC27" w14:textId="77777777" w:rsidR="00AE57E7" w:rsidRPr="00511005" w:rsidRDefault="00AE57E7" w:rsidP="003A292D">
      <w:pPr>
        <w:spacing w:line="264" w:lineRule="auto"/>
        <w:ind w:firstLine="0"/>
        <w:jc w:val="center"/>
        <w:rPr>
          <w:rFonts w:ascii="Arial" w:eastAsia="Times New Roman" w:hAnsi="Arial" w:cs="Arial"/>
          <w:b/>
          <w:bCs/>
          <w:szCs w:val="28"/>
          <w:lang w:eastAsia="ru-RU"/>
        </w:rPr>
      </w:pPr>
      <w:r w:rsidRPr="00511005">
        <w:rPr>
          <w:rFonts w:ascii="Arial" w:eastAsia="Times New Roman" w:hAnsi="Arial" w:cs="Arial"/>
          <w:b/>
          <w:bCs/>
          <w:szCs w:val="28"/>
          <w:lang w:eastAsia="ru-RU"/>
        </w:rPr>
        <w:t>ВПЛИВ ГРОМАДСЬКИХ ОРГАНІЗАЦІЙ НА ФОРМУВАННЯ СУСПІЛЬНОГО СТАВЛЕННЯ ДО ПРОБЛЕМИ БЕЗПРИТУЛЬНИХ ТВАРИН В УКРАЇНІ</w:t>
      </w:r>
    </w:p>
    <w:p w14:paraId="29D0F8C4" w14:textId="77777777" w:rsidR="00AE57E7" w:rsidRPr="00511005" w:rsidRDefault="00AE57E7" w:rsidP="003A292D">
      <w:pPr>
        <w:spacing w:line="264" w:lineRule="auto"/>
        <w:ind w:firstLine="540"/>
        <w:rPr>
          <w:rFonts w:ascii="Arial" w:eastAsia="Times New Roman" w:hAnsi="Arial" w:cs="Arial"/>
          <w:szCs w:val="28"/>
          <w:lang w:eastAsia="ru-RU"/>
        </w:rPr>
      </w:pPr>
      <w:r w:rsidRPr="00511005">
        <w:rPr>
          <w:rFonts w:ascii="Arial" w:eastAsia="Times New Roman" w:hAnsi="Arial" w:cs="Arial"/>
          <w:szCs w:val="28"/>
          <w:lang w:eastAsia="ru-RU"/>
        </w:rPr>
        <w:t>Безпритульні тварини давно стали невід’ємною складовою міського ландшафту, а їхня соціальна поведінка формується під впливом різних чинників. Важливим аспектом є їхня здатність пристосовуватися до умов урбанізованого середовища, що включає пошук їжі, вибір безпечних місць для відпочинку та встановлення контактів із людьми. Дослідження свідчать, що такі тварини виробляють специфічні поведінкові моделі, які сприяють їхньому виживанню в мегаполісах, зокрема орієнтаційно-дослідницьку активність і навчання через спостереження та наслідування. У багатьох випадках тварина стає не лише частиною міського простору, а й надійним супутником людини [</w:t>
      </w:r>
      <w:r w:rsidRPr="00511005">
        <w:rPr>
          <w:rFonts w:ascii="Arial" w:eastAsia="Times New Roman" w:hAnsi="Arial" w:cs="Arial"/>
          <w:szCs w:val="28"/>
          <w:lang w:val="uk-UA" w:eastAsia="ru-RU"/>
        </w:rPr>
        <w:t>2</w:t>
      </w:r>
      <w:r w:rsidRPr="00511005">
        <w:rPr>
          <w:rFonts w:ascii="Arial" w:eastAsia="Times New Roman" w:hAnsi="Arial" w:cs="Arial"/>
          <w:szCs w:val="28"/>
          <w:lang w:eastAsia="ru-RU"/>
        </w:rPr>
        <w:t>, с. 265].</w:t>
      </w:r>
    </w:p>
    <w:p w14:paraId="50E42D73" w14:textId="77777777" w:rsidR="00AE57E7" w:rsidRPr="00511005" w:rsidRDefault="00AE57E7" w:rsidP="003A292D">
      <w:pPr>
        <w:spacing w:line="264" w:lineRule="auto"/>
        <w:ind w:firstLine="540"/>
        <w:rPr>
          <w:rFonts w:ascii="Arial" w:eastAsia="Times New Roman" w:hAnsi="Arial" w:cs="Arial"/>
          <w:szCs w:val="28"/>
          <w:lang w:eastAsia="ru-RU"/>
        </w:rPr>
      </w:pPr>
      <w:r w:rsidRPr="00511005">
        <w:rPr>
          <w:rFonts w:ascii="Arial" w:eastAsia="Times New Roman" w:hAnsi="Arial" w:cs="Arial"/>
          <w:szCs w:val="28"/>
          <w:lang w:eastAsia="ru-RU"/>
        </w:rPr>
        <w:t xml:space="preserve">Перш за все, варто зазначити, що Закон України «Про захист тварин від жорстокого поводження» містить чітку класифікацію тварин, на яких поширюється його дія. У першій статті цього нормативного акта визначено ключові терміни, що використовуються у законі. Зокрема, тварина трактується як частина біологічного світу, безпосередньо пов’язана з </w:t>
      </w:r>
      <w:r w:rsidRPr="00511005">
        <w:rPr>
          <w:rFonts w:ascii="Arial" w:eastAsia="Times New Roman" w:hAnsi="Arial" w:cs="Arial"/>
          <w:szCs w:val="28"/>
          <w:lang w:eastAsia="ru-RU"/>
        </w:rPr>
        <w:lastRenderedPageBreak/>
        <w:t>фауною. Відповідно, закон розрізняє кілька категорій тварин: дикі, домашні, сільськогосподарські, домашня птиця, хутрові, а також лабораторні, зоопаркові та циркові. До диких відносять тих, що мешкають у природному середовищі, проте до цієї групи також зараховують особин, які перебувають у неволі або у напіввільних умовах [1].</w:t>
      </w:r>
    </w:p>
    <w:p w14:paraId="5CB08219" w14:textId="77777777" w:rsidR="00AE57E7" w:rsidRPr="00511005" w:rsidRDefault="00AE57E7" w:rsidP="003A292D">
      <w:pPr>
        <w:spacing w:line="264" w:lineRule="auto"/>
        <w:ind w:firstLine="540"/>
        <w:rPr>
          <w:rFonts w:ascii="Arial" w:eastAsia="Times New Roman" w:hAnsi="Arial" w:cs="Arial"/>
          <w:szCs w:val="28"/>
          <w:lang w:eastAsia="ru-RU"/>
        </w:rPr>
      </w:pPr>
      <w:r w:rsidRPr="00511005">
        <w:rPr>
          <w:rFonts w:ascii="Arial" w:eastAsia="Times New Roman" w:hAnsi="Arial" w:cs="Arial"/>
          <w:szCs w:val="28"/>
          <w:lang w:eastAsia="ru-RU"/>
        </w:rPr>
        <w:t>Проблема безпритульних тварин є актуальною в усьому світі. За даними Всесвітнього товариства захисту тварин, серед 500 мільйонів собак, що населяють планету, приблизно 75% не мають постійного притулку. Це багатогранна проблема, яка потребує комплексного підходу для ефективного розв’язання. Проведений аналіз дозволяє виокремити три ключові аспекти, кожен із яких вимагає застосування специфічних методів, але з урахуванням їхнього взаємного впливу. Перший аспект — це безпосереднє існування популяції безпритульних тварин у міському середовищі. З етичної, санітарно-епідеміологічної та соціальної точок зору неприйнятно, щоб тварини залишалися без нагляду та гинули на вулицях. Другий аспект пов’язаний із надлишковим розмноженням домашніх тварин, що безпосередньо впливає на проблему безпритульності. Якщо не контролювати цей процес, кількість тварин, що опиняються на вулиці, лише зростатиме, ускладнюючи ситуацію. Третій аспект є найбільш суперечливим, оскільки зачіпає морально-етичний бік проблеми. Йдеться про необхідність вилучення з міського середовища агресивних або потенційно небезпечних тварин, які можуть становити загрозу для людей [3, с. 174].</w:t>
      </w:r>
    </w:p>
    <w:p w14:paraId="7A7BD371" w14:textId="77777777" w:rsidR="00AE57E7" w:rsidRPr="00511005" w:rsidRDefault="00AE57E7" w:rsidP="003A292D">
      <w:pPr>
        <w:spacing w:line="264" w:lineRule="auto"/>
        <w:ind w:firstLine="540"/>
        <w:rPr>
          <w:rFonts w:ascii="Arial" w:eastAsia="Times New Roman" w:hAnsi="Arial" w:cs="Arial"/>
          <w:szCs w:val="28"/>
          <w:lang w:eastAsia="ru-RU"/>
        </w:rPr>
      </w:pPr>
      <w:r w:rsidRPr="00511005">
        <w:rPr>
          <w:rFonts w:ascii="Arial" w:eastAsia="Times New Roman" w:hAnsi="Arial" w:cs="Arial"/>
          <w:szCs w:val="28"/>
          <w:lang w:eastAsia="ru-RU"/>
        </w:rPr>
        <w:t>У ставленні до бродячих тварин існують дві протилежні точки зору. Одна частина громадськості вважає бездомних тварин негативним елементом міського середовища, джерелом потенційної загрози, забруднення та шуму. З цієї перспективи оптимальним вирішенням проблеми є повне усунення таких тварин. Натомість інша частина, зокрема зоозахисні організації, активно виступає проти жорстокості до бродячих тварин, наголошуючи на морально-етичних аспектах цієї проблеми [3, с. 175].</w:t>
      </w:r>
    </w:p>
    <w:p w14:paraId="7B6B987F" w14:textId="77777777" w:rsidR="00AE57E7" w:rsidRPr="00511005" w:rsidRDefault="00AE57E7" w:rsidP="003A292D">
      <w:pPr>
        <w:spacing w:line="264" w:lineRule="auto"/>
        <w:ind w:firstLine="540"/>
        <w:rPr>
          <w:rFonts w:ascii="Arial" w:eastAsia="Times New Roman" w:hAnsi="Arial" w:cs="Arial"/>
          <w:szCs w:val="28"/>
          <w:lang w:eastAsia="ru-RU"/>
        </w:rPr>
      </w:pPr>
      <w:r w:rsidRPr="00511005">
        <w:rPr>
          <w:rFonts w:ascii="Arial" w:eastAsia="Times New Roman" w:hAnsi="Arial" w:cs="Arial"/>
          <w:szCs w:val="28"/>
          <w:lang w:eastAsia="ru-RU"/>
        </w:rPr>
        <w:t>Соціальна структура бездомних тварин часто організується у вигляді зграй або сімейних груп, що дозволяє їм ефективно використовувати наявні ресурси та захищатися від загроз. Залежно від ставлення громади та наявних програм підтримки, їхня взаємодія з людьми може бути як конструктивною, так і проблемною. У ряді українських міст реалізуються програми, спрямовані на контроль за популяцією безпритульних тварин, що включають стерилізацію, вакцинацію та створення притулків. Такі ініціативи сприяють гуманному вирішенню питання та поліпшенню взаємодії між людьми та тваринами [4].</w:t>
      </w:r>
    </w:p>
    <w:p w14:paraId="69C6497A" w14:textId="77777777" w:rsidR="00AE57E7" w:rsidRPr="00511005" w:rsidRDefault="00AE57E7" w:rsidP="003A292D">
      <w:pPr>
        <w:spacing w:line="264" w:lineRule="auto"/>
        <w:ind w:firstLine="540"/>
        <w:rPr>
          <w:rFonts w:ascii="Arial" w:eastAsia="Times New Roman" w:hAnsi="Arial" w:cs="Arial"/>
          <w:szCs w:val="28"/>
          <w:lang w:eastAsia="ru-RU"/>
        </w:rPr>
      </w:pPr>
      <w:r w:rsidRPr="00511005">
        <w:rPr>
          <w:rFonts w:ascii="Arial" w:eastAsia="Times New Roman" w:hAnsi="Arial" w:cs="Arial"/>
          <w:szCs w:val="28"/>
          <w:lang w:eastAsia="ru-RU"/>
        </w:rPr>
        <w:t xml:space="preserve">Отже, розуміння соціальної природи безпритульних тварин є важливим для розробки ефективних стратегій їхньої підтримки та інтеграції в міське середовище. Це включає не лише заходи з контролю популяції, але й </w:t>
      </w:r>
      <w:r w:rsidRPr="00511005">
        <w:rPr>
          <w:rFonts w:ascii="Arial" w:eastAsia="Times New Roman" w:hAnsi="Arial" w:cs="Arial"/>
          <w:szCs w:val="28"/>
          <w:lang w:eastAsia="ru-RU"/>
        </w:rPr>
        <w:lastRenderedPageBreak/>
        <w:t>освітні програми для населення щодо відповідального ставлення до тварин та важливості їхньої ролі в екосистемі міста.</w:t>
      </w:r>
    </w:p>
    <w:p w14:paraId="76FDCB92" w14:textId="77777777" w:rsidR="00AE57E7" w:rsidRPr="00511005" w:rsidRDefault="00AE57E7" w:rsidP="003A292D">
      <w:pPr>
        <w:spacing w:line="264" w:lineRule="auto"/>
        <w:ind w:firstLine="0"/>
        <w:jc w:val="center"/>
        <w:rPr>
          <w:rFonts w:ascii="Arial" w:eastAsia="Times New Roman" w:hAnsi="Arial" w:cs="Arial"/>
          <w:b/>
          <w:bCs/>
          <w:szCs w:val="28"/>
          <w:lang w:eastAsia="ru-RU"/>
        </w:rPr>
      </w:pPr>
    </w:p>
    <w:p w14:paraId="0177A2B8" w14:textId="79474521" w:rsidR="00AE57E7" w:rsidRPr="00511005" w:rsidRDefault="007B2628" w:rsidP="007B2628">
      <w:pPr>
        <w:spacing w:line="264" w:lineRule="auto"/>
        <w:ind w:firstLine="0"/>
        <w:jc w:val="center"/>
        <w:rPr>
          <w:rFonts w:ascii="Arial" w:eastAsia="Times New Roman" w:hAnsi="Arial" w:cs="Arial"/>
          <w:b/>
          <w:bCs/>
          <w:kern w:val="2"/>
          <w:szCs w:val="28"/>
          <w:lang w:eastAsia="ru-RU"/>
        </w:rPr>
      </w:pPr>
      <w:r w:rsidRPr="00511005">
        <w:rPr>
          <w:rFonts w:ascii="Arial" w:eastAsia="Times New Roman" w:hAnsi="Arial" w:cs="Arial"/>
          <w:b/>
          <w:bCs/>
          <w:kern w:val="2"/>
          <w:szCs w:val="28"/>
          <w:lang w:val="uk-UA" w:eastAsia="ru-RU"/>
        </w:rPr>
        <w:t>Список використаних джерел</w:t>
      </w:r>
      <w:r w:rsidR="00AE57E7" w:rsidRPr="00511005">
        <w:rPr>
          <w:rFonts w:ascii="Arial" w:eastAsia="Times New Roman" w:hAnsi="Arial" w:cs="Arial"/>
          <w:b/>
          <w:bCs/>
          <w:kern w:val="2"/>
          <w:szCs w:val="28"/>
          <w:lang w:eastAsia="ru-RU"/>
        </w:rPr>
        <w:t xml:space="preserve"> </w:t>
      </w:r>
    </w:p>
    <w:p w14:paraId="65AA17ED" w14:textId="77777777" w:rsidR="00AE57E7" w:rsidRPr="00511005" w:rsidRDefault="00AE57E7" w:rsidP="003F6A5D">
      <w:pPr>
        <w:numPr>
          <w:ilvl w:val="0"/>
          <w:numId w:val="767"/>
        </w:numPr>
        <w:spacing w:line="264" w:lineRule="auto"/>
        <w:contextualSpacing/>
        <w:jc w:val="left"/>
        <w:rPr>
          <w:rFonts w:ascii="Arial" w:eastAsia="Times New Roman" w:hAnsi="Arial" w:cs="Arial"/>
          <w:kern w:val="2"/>
          <w:szCs w:val="28"/>
          <w:lang w:val="uk-UA" w:eastAsia="ru-RU"/>
        </w:rPr>
      </w:pPr>
      <w:r w:rsidRPr="00511005">
        <w:rPr>
          <w:rFonts w:ascii="Arial" w:eastAsia="Times New Roman" w:hAnsi="Arial" w:cs="Arial"/>
          <w:kern w:val="2"/>
          <w:szCs w:val="28"/>
          <w:lang w:eastAsia="ru-RU"/>
        </w:rPr>
        <w:t>Про захист тварин від жорстокого поводження: Закон України від 21.02.2006 р. No 3447-IV. URL: </w:t>
      </w:r>
      <w:hyperlink r:id="rId2600" w:history="1">
        <w:r w:rsidRPr="00511005">
          <w:rPr>
            <w:rFonts w:ascii="Arial" w:eastAsia="Times New Roman" w:hAnsi="Arial" w:cs="Arial"/>
            <w:kern w:val="2"/>
            <w:szCs w:val="28"/>
            <w:lang w:eastAsia="ru-RU"/>
          </w:rPr>
          <w:t>https://zakon.rada.gov.ua/laws/show/3447-15#Text</w:t>
        </w:r>
      </w:hyperlink>
      <w:r w:rsidRPr="00511005">
        <w:rPr>
          <w:rFonts w:ascii="Arial" w:eastAsia="Times New Roman" w:hAnsi="Arial" w:cs="Arial"/>
          <w:kern w:val="2"/>
          <w:szCs w:val="28"/>
          <w:lang w:eastAsia="ru-RU"/>
        </w:rPr>
        <w:t>(дата звернення: 19.02.2025)</w:t>
      </w:r>
    </w:p>
    <w:p w14:paraId="4964C9F2" w14:textId="77777777" w:rsidR="00AE57E7" w:rsidRPr="00511005" w:rsidRDefault="00AE57E7" w:rsidP="003F6A5D">
      <w:pPr>
        <w:numPr>
          <w:ilvl w:val="0"/>
          <w:numId w:val="767"/>
        </w:numPr>
        <w:spacing w:line="264" w:lineRule="auto"/>
        <w:contextualSpacing/>
        <w:jc w:val="left"/>
        <w:rPr>
          <w:rFonts w:ascii="Arial" w:eastAsia="Times New Roman" w:hAnsi="Arial" w:cs="Arial"/>
          <w:kern w:val="2"/>
          <w:szCs w:val="28"/>
          <w:lang w:val="uk-UA" w:eastAsia="ru-RU"/>
        </w:rPr>
      </w:pPr>
      <w:r w:rsidRPr="00511005">
        <w:rPr>
          <w:rFonts w:ascii="Arial" w:eastAsia="Times New Roman" w:hAnsi="Arial" w:cs="Arial"/>
          <w:kern w:val="2"/>
          <w:szCs w:val="28"/>
          <w:lang w:eastAsia="ru-RU"/>
        </w:rPr>
        <w:t>Гулак</w:t>
      </w:r>
      <w:r w:rsidRPr="00511005">
        <w:rPr>
          <w:rFonts w:ascii="Arial" w:eastAsia="Times New Roman" w:hAnsi="Arial" w:cs="Arial"/>
          <w:kern w:val="2"/>
          <w:szCs w:val="28"/>
          <w:lang w:val="en-US" w:eastAsia="ru-RU"/>
        </w:rPr>
        <w:t xml:space="preserve"> </w:t>
      </w:r>
      <w:r w:rsidRPr="00511005">
        <w:rPr>
          <w:rFonts w:ascii="Arial" w:eastAsia="Times New Roman" w:hAnsi="Arial" w:cs="Arial"/>
          <w:kern w:val="2"/>
          <w:szCs w:val="28"/>
          <w:lang w:eastAsia="ru-RU"/>
        </w:rPr>
        <w:t>О</w:t>
      </w:r>
      <w:r w:rsidRPr="00511005">
        <w:rPr>
          <w:rFonts w:ascii="Arial" w:eastAsia="Times New Roman" w:hAnsi="Arial" w:cs="Arial"/>
          <w:kern w:val="2"/>
          <w:szCs w:val="28"/>
          <w:lang w:val="en-US" w:eastAsia="ru-RU"/>
        </w:rPr>
        <w:t xml:space="preserve">. </w:t>
      </w:r>
      <w:r w:rsidRPr="00511005">
        <w:rPr>
          <w:rFonts w:ascii="Arial" w:eastAsia="Times New Roman" w:hAnsi="Arial" w:cs="Arial"/>
          <w:kern w:val="2"/>
          <w:szCs w:val="28"/>
          <w:lang w:eastAsia="ru-RU"/>
        </w:rPr>
        <w:t>В</w:t>
      </w:r>
      <w:r w:rsidRPr="00511005">
        <w:rPr>
          <w:rFonts w:ascii="Arial" w:eastAsia="Times New Roman" w:hAnsi="Arial" w:cs="Arial"/>
          <w:kern w:val="2"/>
          <w:szCs w:val="28"/>
          <w:lang w:val="en-US" w:eastAsia="ru-RU"/>
        </w:rPr>
        <w:t xml:space="preserve">., </w:t>
      </w:r>
      <w:r w:rsidRPr="00511005">
        <w:rPr>
          <w:rFonts w:ascii="Arial" w:eastAsia="Times New Roman" w:hAnsi="Arial" w:cs="Arial"/>
          <w:kern w:val="2"/>
          <w:szCs w:val="28"/>
          <w:lang w:eastAsia="ru-RU"/>
        </w:rPr>
        <w:t>Ладиченко</w:t>
      </w:r>
      <w:r w:rsidRPr="00511005">
        <w:rPr>
          <w:rFonts w:ascii="Arial" w:eastAsia="Times New Roman" w:hAnsi="Arial" w:cs="Arial"/>
          <w:kern w:val="2"/>
          <w:szCs w:val="28"/>
          <w:lang w:val="en-US" w:eastAsia="ru-RU"/>
        </w:rPr>
        <w:t xml:space="preserve"> </w:t>
      </w:r>
      <w:r w:rsidRPr="00511005">
        <w:rPr>
          <w:rFonts w:ascii="Arial" w:eastAsia="Times New Roman" w:hAnsi="Arial" w:cs="Arial"/>
          <w:kern w:val="2"/>
          <w:szCs w:val="28"/>
          <w:lang w:eastAsia="ru-RU"/>
        </w:rPr>
        <w:t>В</w:t>
      </w:r>
      <w:r w:rsidRPr="00511005">
        <w:rPr>
          <w:rFonts w:ascii="Arial" w:eastAsia="Times New Roman" w:hAnsi="Arial" w:cs="Arial"/>
          <w:kern w:val="2"/>
          <w:szCs w:val="28"/>
          <w:lang w:val="en-US" w:eastAsia="ru-RU"/>
        </w:rPr>
        <w:t xml:space="preserve">. </w:t>
      </w:r>
      <w:r w:rsidRPr="00511005">
        <w:rPr>
          <w:rFonts w:ascii="Arial" w:eastAsia="Times New Roman" w:hAnsi="Arial" w:cs="Arial"/>
          <w:kern w:val="2"/>
          <w:szCs w:val="28"/>
          <w:lang w:eastAsia="ru-RU"/>
        </w:rPr>
        <w:t>В</w:t>
      </w:r>
      <w:r w:rsidRPr="00511005">
        <w:rPr>
          <w:rFonts w:ascii="Arial" w:eastAsia="Times New Roman" w:hAnsi="Arial" w:cs="Arial"/>
          <w:kern w:val="2"/>
          <w:szCs w:val="28"/>
          <w:lang w:val="en-US" w:eastAsia="ru-RU"/>
        </w:rPr>
        <w:t xml:space="preserve">., </w:t>
      </w:r>
      <w:r w:rsidRPr="00511005">
        <w:rPr>
          <w:rFonts w:ascii="Arial" w:eastAsia="Times New Roman" w:hAnsi="Arial" w:cs="Arial"/>
          <w:kern w:val="2"/>
          <w:szCs w:val="28"/>
          <w:lang w:eastAsia="ru-RU"/>
        </w:rPr>
        <w:t>Піддубний</w:t>
      </w:r>
      <w:r w:rsidRPr="00511005">
        <w:rPr>
          <w:rFonts w:ascii="Arial" w:eastAsia="Times New Roman" w:hAnsi="Arial" w:cs="Arial"/>
          <w:kern w:val="2"/>
          <w:szCs w:val="28"/>
          <w:lang w:val="en-US" w:eastAsia="ru-RU"/>
        </w:rPr>
        <w:t xml:space="preserve"> </w:t>
      </w:r>
      <w:r w:rsidRPr="00511005">
        <w:rPr>
          <w:rFonts w:ascii="Arial" w:eastAsia="Times New Roman" w:hAnsi="Arial" w:cs="Arial"/>
          <w:kern w:val="2"/>
          <w:szCs w:val="28"/>
          <w:lang w:eastAsia="ru-RU"/>
        </w:rPr>
        <w:t>О</w:t>
      </w:r>
      <w:r w:rsidRPr="00511005">
        <w:rPr>
          <w:rFonts w:ascii="Arial" w:eastAsia="Times New Roman" w:hAnsi="Arial" w:cs="Arial"/>
          <w:kern w:val="2"/>
          <w:szCs w:val="28"/>
          <w:lang w:val="en-US" w:eastAsia="ru-RU"/>
        </w:rPr>
        <w:t xml:space="preserve">. </w:t>
      </w:r>
      <w:r w:rsidRPr="00511005">
        <w:rPr>
          <w:rFonts w:ascii="Arial" w:eastAsia="Times New Roman" w:hAnsi="Arial" w:cs="Arial"/>
          <w:kern w:val="2"/>
          <w:szCs w:val="28"/>
          <w:lang w:eastAsia="ru-RU"/>
        </w:rPr>
        <w:t>Ю</w:t>
      </w:r>
      <w:r w:rsidRPr="00511005">
        <w:rPr>
          <w:rFonts w:ascii="Arial" w:eastAsia="Times New Roman" w:hAnsi="Arial" w:cs="Arial"/>
          <w:kern w:val="2"/>
          <w:szCs w:val="28"/>
          <w:lang w:val="en-US" w:eastAsia="ru-RU"/>
        </w:rPr>
        <w:t xml:space="preserve">. Normative enforcement of the concept "animal" in the context of legal regulation of veterinary medicine. Scientific Notes of Lviv University of Business and Law, 2023, (37), </w:t>
      </w:r>
      <w:r w:rsidRPr="00511005">
        <w:rPr>
          <w:rFonts w:ascii="Arial" w:eastAsia="Times New Roman" w:hAnsi="Arial" w:cs="Arial"/>
          <w:kern w:val="2"/>
          <w:szCs w:val="28"/>
          <w:lang w:eastAsia="ru-RU"/>
        </w:rPr>
        <w:t>с</w:t>
      </w:r>
      <w:r w:rsidRPr="00511005">
        <w:rPr>
          <w:rFonts w:ascii="Arial" w:eastAsia="Times New Roman" w:hAnsi="Arial" w:cs="Arial"/>
          <w:kern w:val="2"/>
          <w:szCs w:val="28"/>
          <w:lang w:val="en-US" w:eastAsia="ru-RU"/>
        </w:rPr>
        <w:t>. 265-269.</w:t>
      </w:r>
    </w:p>
    <w:p w14:paraId="3AA42EF8" w14:textId="77777777" w:rsidR="00AE57E7" w:rsidRPr="00511005" w:rsidRDefault="00AE57E7" w:rsidP="003F6A5D">
      <w:pPr>
        <w:numPr>
          <w:ilvl w:val="0"/>
          <w:numId w:val="767"/>
        </w:numPr>
        <w:spacing w:line="264" w:lineRule="auto"/>
        <w:contextualSpacing/>
        <w:jc w:val="left"/>
        <w:rPr>
          <w:rFonts w:ascii="Arial" w:eastAsia="Times New Roman" w:hAnsi="Arial" w:cs="Arial"/>
          <w:kern w:val="2"/>
          <w:szCs w:val="28"/>
          <w:lang w:val="uk-UA" w:eastAsia="ru-RU"/>
        </w:rPr>
      </w:pPr>
      <w:r w:rsidRPr="00511005">
        <w:rPr>
          <w:rFonts w:ascii="Arial" w:eastAsia="Times New Roman" w:hAnsi="Arial" w:cs="Arial"/>
          <w:kern w:val="2"/>
          <w:szCs w:val="28"/>
          <w:lang w:eastAsia="ru-RU"/>
        </w:rPr>
        <w:t>Соболь О. Сучасні підходи до гуманізації регулювання чисельності безпритульних тварин. Збірник тез VII Міжнародної науково-практичної конференції / за заг. ред. Берегової Г. Д. – Херсон: ДВНЗ «ХДАУ», 2019. – С. 174-177</w:t>
      </w:r>
    </w:p>
    <w:p w14:paraId="79C02329" w14:textId="77777777" w:rsidR="007B2628" w:rsidRPr="00511005" w:rsidRDefault="00AE57E7" w:rsidP="003F6A5D">
      <w:pPr>
        <w:numPr>
          <w:ilvl w:val="0"/>
          <w:numId w:val="767"/>
        </w:numPr>
        <w:spacing w:line="264" w:lineRule="auto"/>
        <w:contextualSpacing/>
        <w:jc w:val="left"/>
        <w:rPr>
          <w:rFonts w:ascii="Arial" w:eastAsia="Times New Roman" w:hAnsi="Arial" w:cs="Arial"/>
          <w:kern w:val="2"/>
          <w:szCs w:val="28"/>
          <w:lang w:val="uk-UA" w:eastAsia="ru-RU"/>
        </w:rPr>
      </w:pPr>
      <w:r w:rsidRPr="00511005">
        <w:rPr>
          <w:rFonts w:ascii="Arial" w:eastAsia="Times New Roman" w:hAnsi="Arial" w:cs="Arial"/>
          <w:kern w:val="2"/>
          <w:szCs w:val="28"/>
          <w:lang w:eastAsia="ru-RU"/>
        </w:rPr>
        <w:t>Малюк В. Безпритульні тварини: проблема та можливі шляхи її вирішення. Новинар, 2024. URL: </w:t>
      </w:r>
      <w:hyperlink r:id="rId2601" w:history="1">
        <w:r w:rsidRPr="00511005">
          <w:rPr>
            <w:rFonts w:ascii="Arial" w:eastAsia="Times New Roman" w:hAnsi="Arial" w:cs="Arial"/>
            <w:kern w:val="2"/>
            <w:szCs w:val="28"/>
            <w:lang w:eastAsia="ru-RU"/>
          </w:rPr>
          <w:t>https://novynar.city/articles/381585</w:t>
        </w:r>
      </w:hyperlink>
      <w:r w:rsidRPr="00511005">
        <w:rPr>
          <w:rFonts w:ascii="Arial" w:eastAsia="Times New Roman" w:hAnsi="Arial" w:cs="Arial"/>
          <w:kern w:val="2"/>
          <w:szCs w:val="28"/>
          <w:lang w:eastAsia="ru-RU"/>
        </w:rPr>
        <w:t> (дата звернення: 19.02.2025</w:t>
      </w:r>
      <w:r w:rsidRPr="00511005">
        <w:rPr>
          <w:rFonts w:ascii="Arial" w:eastAsia="Times New Roman" w:hAnsi="Arial" w:cs="Arial"/>
          <w:kern w:val="2"/>
          <w:szCs w:val="28"/>
          <w:lang w:val="uk-UA" w:eastAsia="ru-RU"/>
        </w:rPr>
        <w:t>)</w:t>
      </w:r>
    </w:p>
    <w:p w14:paraId="5849706A" w14:textId="6613E1C7" w:rsidR="007B2628" w:rsidRPr="00511005" w:rsidRDefault="007B2628" w:rsidP="009008A5">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AE57E7" w:rsidRPr="00511005">
        <w:rPr>
          <w:rFonts w:ascii="Arial" w:eastAsia="Times New Roman" w:hAnsi="Arial" w:cs="Arial"/>
          <w:szCs w:val="28"/>
          <w:lang w:val="uk-UA" w:eastAsia="ru-RU"/>
        </w:rPr>
        <w:t>безпритульні тварини, соціальна поведінка, популяція, стерилізація, притулки, зоозахисні організації, морально-етичні аспекти, громадська думка, Закон України «Про захист тварин від жорстокого поводження».</w:t>
      </w:r>
    </w:p>
    <w:p w14:paraId="0132C26D" w14:textId="7D758985" w:rsidR="00AE57E7" w:rsidRPr="00511005" w:rsidRDefault="007B2628" w:rsidP="003A292D">
      <w:pPr>
        <w:spacing w:line="264" w:lineRule="auto"/>
        <w:ind w:firstLine="680"/>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AE57E7" w:rsidRPr="00511005">
        <w:rPr>
          <w:rFonts w:ascii="Arial" w:eastAsia="Times New Roman" w:hAnsi="Arial" w:cs="Arial"/>
          <w:szCs w:val="28"/>
          <w:lang w:val="en-US" w:eastAsia="ru-RU"/>
        </w:rPr>
        <w:t>stray animals, social behavior, population, sterilization, shelters, animal protection organizations, moral-ethical aspects, public opinion</w:t>
      </w:r>
      <w:r w:rsidR="00AE57E7" w:rsidRPr="00511005">
        <w:rPr>
          <w:rFonts w:ascii="Arial" w:eastAsia="Times New Roman" w:hAnsi="Arial" w:cs="Arial"/>
          <w:szCs w:val="28"/>
          <w:lang w:val="uk-UA" w:eastAsia="ru-RU"/>
        </w:rPr>
        <w:t xml:space="preserve">, </w:t>
      </w:r>
      <w:r w:rsidR="00AE57E7" w:rsidRPr="00511005">
        <w:rPr>
          <w:rFonts w:ascii="Arial" w:eastAsia="Times New Roman" w:hAnsi="Arial" w:cs="Arial"/>
          <w:szCs w:val="28"/>
          <w:lang w:val="en-US" w:eastAsia="ru-RU"/>
        </w:rPr>
        <w:t xml:space="preserve">The Law of Ukraine </w:t>
      </w:r>
      <w:r w:rsidR="00AE57E7" w:rsidRPr="00511005">
        <w:rPr>
          <w:rFonts w:ascii="Arial" w:eastAsia="Times New Roman" w:hAnsi="Arial" w:cs="Arial"/>
          <w:szCs w:val="28"/>
          <w:lang w:val="uk-UA" w:eastAsia="ru-RU"/>
        </w:rPr>
        <w:t>«</w:t>
      </w:r>
      <w:r w:rsidR="00AE57E7" w:rsidRPr="00511005">
        <w:rPr>
          <w:rFonts w:ascii="Arial" w:eastAsia="Times New Roman" w:hAnsi="Arial" w:cs="Arial"/>
          <w:szCs w:val="28"/>
          <w:lang w:val="en-US" w:eastAsia="ru-RU"/>
        </w:rPr>
        <w:t>On the Protection of Animals from Cruel Treatment</w:t>
      </w:r>
      <w:r w:rsidR="00AE57E7" w:rsidRPr="00511005">
        <w:rPr>
          <w:rFonts w:ascii="Arial" w:eastAsia="Times New Roman" w:hAnsi="Arial" w:cs="Arial"/>
          <w:szCs w:val="28"/>
          <w:lang w:val="uk-UA" w:eastAsia="ru-RU"/>
        </w:rPr>
        <w:t xml:space="preserve">». </w:t>
      </w:r>
    </w:p>
    <w:p w14:paraId="1359767D" w14:textId="4C6D5DE1" w:rsidR="00AE57E7" w:rsidRPr="00511005" w:rsidRDefault="007B2628" w:rsidP="003A292D">
      <w:pPr>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AE57E7" w:rsidRPr="00511005">
        <w:rPr>
          <w:rFonts w:ascii="Arial" w:eastAsia="Times New Roman" w:hAnsi="Arial" w:cs="Arial"/>
          <w:i/>
          <w:szCs w:val="28"/>
          <w:lang w:val="uk-UA" w:eastAsia="ru-RU"/>
        </w:rPr>
        <w:t>к.соц.н., доц. Прохоренко Є.Я.</w:t>
      </w:r>
    </w:p>
    <w:p w14:paraId="1535F737" w14:textId="77777777" w:rsidR="00C66506" w:rsidRPr="00511005" w:rsidRDefault="00C66506" w:rsidP="003A292D">
      <w:pPr>
        <w:spacing w:line="264" w:lineRule="auto"/>
        <w:rPr>
          <w:rFonts w:ascii="Arial" w:eastAsia="Times New Roman" w:hAnsi="Arial" w:cs="Arial"/>
          <w:i/>
          <w:szCs w:val="28"/>
          <w:lang w:val="uk-UA" w:eastAsia="ru-RU"/>
        </w:rPr>
      </w:pPr>
    </w:p>
    <w:p w14:paraId="6A23574D" w14:textId="5259AF3A" w:rsidR="00AE57E7" w:rsidRPr="00511005" w:rsidRDefault="00AE57E7" w:rsidP="003A292D">
      <w:pPr>
        <w:spacing w:line="264" w:lineRule="auto"/>
        <w:rPr>
          <w:rFonts w:ascii="Arial" w:eastAsia="Times New Roman" w:hAnsi="Arial" w:cs="Arial"/>
          <w:i/>
          <w:szCs w:val="28"/>
          <w:lang w:val="uk-UA" w:eastAsia="ru-RU"/>
        </w:rPr>
      </w:pPr>
    </w:p>
    <w:p w14:paraId="68D90BA9" w14:textId="77777777" w:rsidR="00AE57E7" w:rsidRPr="00511005" w:rsidRDefault="00AE57E7" w:rsidP="003A292D">
      <w:pPr>
        <w:spacing w:line="264" w:lineRule="auto"/>
        <w:ind w:left="14" w:firstLine="0"/>
        <w:jc w:val="center"/>
        <w:rPr>
          <w:rFonts w:ascii="Arial" w:eastAsia="Aptos" w:hAnsi="Arial" w:cs="Arial"/>
          <w:kern w:val="2"/>
          <w:szCs w:val="28"/>
          <w:lang w:val="uk-UA" w:eastAsia="ru-RU"/>
        </w:rPr>
      </w:pPr>
      <w:r w:rsidRPr="00511005">
        <w:rPr>
          <w:rFonts w:ascii="Arial" w:eastAsia="Times New Roman" w:hAnsi="Arial" w:cs="Arial"/>
          <w:b/>
          <w:i/>
          <w:kern w:val="2"/>
          <w:szCs w:val="28"/>
          <w:lang w:val="uk-UA" w:eastAsia="ru-RU"/>
        </w:rPr>
        <w:t>Трембач Анастасія Олександрівна</w:t>
      </w:r>
      <w:r w:rsidRPr="00511005">
        <w:rPr>
          <w:rFonts w:ascii="Arial" w:eastAsia="Times New Roman" w:hAnsi="Arial" w:cs="Arial"/>
          <w:i/>
          <w:kern w:val="2"/>
          <w:szCs w:val="28"/>
          <w:lang w:val="uk-UA" w:eastAsia="ru-RU"/>
        </w:rPr>
        <w:t xml:space="preserve"> </w:t>
      </w:r>
    </w:p>
    <w:p w14:paraId="73EF2B4B" w14:textId="77777777" w:rsidR="009008A5" w:rsidRPr="00511005" w:rsidRDefault="00536AAB" w:rsidP="003A292D">
      <w:pPr>
        <w:spacing w:line="264" w:lineRule="auto"/>
        <w:ind w:firstLine="0"/>
        <w:jc w:val="center"/>
        <w:rPr>
          <w:rFonts w:ascii="Arial" w:eastAsia="Times New Roman" w:hAnsi="Arial" w:cs="Arial"/>
          <w:kern w:val="2"/>
          <w:szCs w:val="28"/>
          <w:lang w:val="uk-UA" w:eastAsia="ru-RU"/>
        </w:rPr>
      </w:pPr>
      <w:r w:rsidRPr="00511005">
        <w:rPr>
          <w:rFonts w:ascii="Arial" w:eastAsia="Times New Roman" w:hAnsi="Arial" w:cs="Arial"/>
          <w:kern w:val="2"/>
          <w:szCs w:val="28"/>
          <w:lang w:val="uk-UA" w:eastAsia="ru-RU"/>
        </w:rPr>
        <w:t xml:space="preserve">студентка 2-го курсу </w:t>
      </w:r>
      <w:r w:rsidR="00AE57E7" w:rsidRPr="00511005">
        <w:rPr>
          <w:rFonts w:ascii="Arial" w:eastAsia="Times New Roman" w:hAnsi="Arial" w:cs="Arial"/>
          <w:kern w:val="2"/>
          <w:szCs w:val="28"/>
          <w:lang w:val="uk-UA" w:eastAsia="ru-RU"/>
        </w:rPr>
        <w:t>факультету психології,</w:t>
      </w:r>
      <w:r w:rsidR="009008A5" w:rsidRPr="00511005">
        <w:rPr>
          <w:rFonts w:ascii="Arial" w:eastAsia="Times New Roman" w:hAnsi="Arial" w:cs="Arial"/>
          <w:kern w:val="2"/>
          <w:szCs w:val="28"/>
          <w:lang w:val="uk-UA" w:eastAsia="ru-RU"/>
        </w:rPr>
        <w:t xml:space="preserve"> </w:t>
      </w:r>
      <w:r w:rsidR="00AE57E7" w:rsidRPr="00511005">
        <w:rPr>
          <w:rFonts w:ascii="Arial" w:eastAsia="Times New Roman" w:hAnsi="Arial" w:cs="Arial"/>
          <w:kern w:val="2"/>
          <w:szCs w:val="28"/>
          <w:lang w:val="uk-UA" w:eastAsia="ru-RU"/>
        </w:rPr>
        <w:t xml:space="preserve">політології та соціології </w:t>
      </w:r>
    </w:p>
    <w:p w14:paraId="50F98D72" w14:textId="0CA0126A" w:rsidR="007B2628" w:rsidRPr="00511005" w:rsidRDefault="007B2628" w:rsidP="003A292D">
      <w:pPr>
        <w:spacing w:line="264" w:lineRule="auto"/>
        <w:ind w:firstLine="0"/>
        <w:jc w:val="center"/>
        <w:rPr>
          <w:rFonts w:ascii="Arial" w:eastAsia="Aptos" w:hAnsi="Arial" w:cs="Arial"/>
          <w:kern w:val="2"/>
          <w:szCs w:val="28"/>
          <w:lang w:val="uk-UA" w:eastAsia="ru-RU"/>
        </w:rPr>
      </w:pPr>
      <w:r w:rsidRPr="00511005">
        <w:rPr>
          <w:rFonts w:ascii="Arial" w:eastAsia="Times New Roman" w:hAnsi="Arial" w:cs="Arial"/>
          <w:kern w:val="2"/>
          <w:szCs w:val="28"/>
          <w:lang w:val="uk-UA" w:eastAsia="ru-RU"/>
        </w:rPr>
        <w:t>Національного університету «Одеська юридична академія»</w:t>
      </w:r>
      <w:r w:rsidR="00AE57E7" w:rsidRPr="00511005">
        <w:rPr>
          <w:rFonts w:ascii="Arial" w:eastAsia="Times New Roman" w:hAnsi="Arial" w:cs="Arial"/>
          <w:kern w:val="2"/>
          <w:szCs w:val="28"/>
          <w:lang w:val="uk-UA" w:eastAsia="ru-RU"/>
        </w:rPr>
        <w:t xml:space="preserve"> </w:t>
      </w:r>
    </w:p>
    <w:p w14:paraId="697F0289" w14:textId="77777777" w:rsidR="007B2628" w:rsidRPr="00511005" w:rsidRDefault="007B2628" w:rsidP="003A292D">
      <w:pPr>
        <w:spacing w:line="264" w:lineRule="auto"/>
        <w:ind w:left="73" w:firstLine="0"/>
        <w:jc w:val="center"/>
        <w:rPr>
          <w:rFonts w:ascii="Arial" w:eastAsia="Aptos" w:hAnsi="Arial" w:cs="Arial"/>
          <w:kern w:val="2"/>
          <w:szCs w:val="28"/>
          <w:lang w:val="uk-UA" w:eastAsia="ru-RU"/>
        </w:rPr>
      </w:pPr>
    </w:p>
    <w:p w14:paraId="5BAFA562" w14:textId="10B421BD" w:rsidR="00AE57E7" w:rsidRPr="00511005" w:rsidRDefault="00AE57E7" w:rsidP="003A292D">
      <w:pPr>
        <w:spacing w:line="264" w:lineRule="auto"/>
        <w:ind w:left="18" w:hanging="10"/>
        <w:jc w:val="center"/>
        <w:rPr>
          <w:rFonts w:ascii="Arial" w:eastAsia="Aptos" w:hAnsi="Arial" w:cs="Arial"/>
          <w:kern w:val="2"/>
          <w:szCs w:val="28"/>
          <w:lang w:eastAsia="ru-RU"/>
        </w:rPr>
      </w:pPr>
      <w:r w:rsidRPr="00511005">
        <w:rPr>
          <w:rFonts w:ascii="Arial" w:eastAsia="Times New Roman" w:hAnsi="Arial" w:cs="Arial"/>
          <w:b/>
          <w:kern w:val="2"/>
          <w:szCs w:val="28"/>
          <w:lang w:eastAsia="ru-RU"/>
        </w:rPr>
        <w:t xml:space="preserve">АГРЕСІЯ ЯК ФОРМА ПРОЯВУ ДЕВІАНТНОЇ ПОВЕДІНКИ </w:t>
      </w:r>
    </w:p>
    <w:p w14:paraId="4E92D9B5" w14:textId="4891286C" w:rsidR="00AE57E7" w:rsidRPr="00511005" w:rsidRDefault="00AE57E7" w:rsidP="009008A5">
      <w:pPr>
        <w:spacing w:line="264" w:lineRule="auto"/>
        <w:ind w:left="-5" w:firstLine="714"/>
        <w:rPr>
          <w:rFonts w:ascii="Arial" w:eastAsia="Aptos" w:hAnsi="Arial" w:cs="Arial"/>
          <w:kern w:val="2"/>
          <w:szCs w:val="28"/>
          <w:lang w:eastAsia="ru-RU"/>
        </w:rPr>
      </w:pPr>
      <w:r w:rsidRPr="00511005">
        <w:rPr>
          <w:rFonts w:ascii="Arial" w:eastAsia="Times New Roman" w:hAnsi="Arial" w:cs="Arial"/>
          <w:kern w:val="2"/>
          <w:szCs w:val="28"/>
          <w:lang w:eastAsia="ru-RU"/>
        </w:rPr>
        <w:t xml:space="preserve">Агресія як форма прояву девіантної поведінки залишається актуальною проблемою в сучасному суспільстві. Здатність до агресивних дій може бути властивою як індивідуальним особам, так і групам, включаючи навіть цілі соціальні класи або етнічні </w:t>
      </w:r>
      <w:proofErr w:type="gramStart"/>
      <w:r w:rsidRPr="00511005">
        <w:rPr>
          <w:rFonts w:ascii="Arial" w:eastAsia="Times New Roman" w:hAnsi="Arial" w:cs="Arial"/>
          <w:kern w:val="2"/>
          <w:szCs w:val="28"/>
          <w:lang w:eastAsia="ru-RU"/>
        </w:rPr>
        <w:t>групи.Більшість</w:t>
      </w:r>
      <w:proofErr w:type="gramEnd"/>
      <w:r w:rsidRPr="00511005">
        <w:rPr>
          <w:rFonts w:ascii="Arial" w:eastAsia="Times New Roman" w:hAnsi="Arial" w:cs="Arial"/>
          <w:kern w:val="2"/>
          <w:szCs w:val="28"/>
          <w:lang w:eastAsia="ru-RU"/>
        </w:rPr>
        <w:t xml:space="preserve"> нашого життя ми проводимо у взаємодії з іншими людьми, і це важливий аспект нашого існування. З ростом агресії в сучасному світі ця проблема стає все більш актуальною, і вона вивчається з різних точок зору: психологами, соціологами, педагогами, філософами тощо. Проте, психологія виступає як </w:t>
      </w:r>
      <w:r w:rsidRPr="00511005">
        <w:rPr>
          <w:rFonts w:ascii="Arial" w:eastAsia="Times New Roman" w:hAnsi="Arial" w:cs="Arial"/>
          <w:kern w:val="2"/>
          <w:szCs w:val="28"/>
          <w:lang w:eastAsia="ru-RU"/>
        </w:rPr>
        <w:lastRenderedPageBreak/>
        <w:t xml:space="preserve">головний центр вивчення цього явища. Існує безліч теорій, поглядів і факторів, що впливають на агресію, і це поняття використовується в різноманітних контекстах. У світлі війн, конфліктів та нестабільності національна та міжнаціональна агресія може виражатися в різних формах, від вербальних загроз до фізичного насильства. Зростання напруженості в суспільстві, економічні кризи, нерівність, політичні конфлікти і неповноцінність психосоціальних умов можуть збільшити ризик вибуху агресії серед індивідів. Крім того, технологічний прогрес і засоби масової комунікації можуть посилити поширення агресивних ідей та стимулювати девіантну поведінку через вплив медіа. Таким чином, розуміння природи агресії та її причин є критично важливим для розвитку ефективних стратегій превентивних заходів і соціально-психологічних програм в суспільстві. </w:t>
      </w:r>
    </w:p>
    <w:p w14:paraId="72B6C67F" w14:textId="77777777" w:rsidR="00AE57E7" w:rsidRPr="00511005" w:rsidRDefault="00AE57E7" w:rsidP="009008A5">
      <w:pPr>
        <w:spacing w:line="264" w:lineRule="auto"/>
        <w:ind w:left="-5" w:firstLine="714"/>
        <w:rPr>
          <w:rFonts w:ascii="Arial" w:eastAsia="Aptos" w:hAnsi="Arial" w:cs="Arial"/>
          <w:kern w:val="2"/>
          <w:szCs w:val="28"/>
          <w:lang w:eastAsia="ru-RU"/>
        </w:rPr>
      </w:pPr>
      <w:r w:rsidRPr="00511005">
        <w:rPr>
          <w:rFonts w:ascii="Arial" w:eastAsia="Aptos" w:hAnsi="Arial" w:cs="Arial"/>
          <w:kern w:val="2"/>
          <w:szCs w:val="28"/>
          <w:lang w:eastAsia="ru-RU"/>
        </w:rPr>
        <w:t xml:space="preserve">1. Поняття агресії є складним та має багатоаспектну природу. Різні науковці надають різні визначення цього поняття, що відображає різноманітні аспекти та форми прояву агресії в людському поведінці. Агресія може бути спрямована як на самого себе, так і на інших, виявляючися у вигляді фізичних, вербальних, або психологічних проявів. Зокрема, розглянуті у дослідженні типи агресії, такі як фізична, вербальна, реляційна тощо, свідчать про різноманітність цього явища та його складну структуру. Крім того, виявлено, що типи агресії не завжди можна чітко відокремити, оскільки вони часто взаємопов'язані та можуть виникати у взаємодії один з одним. Наприклад, фізична агресія може супроводжуватись вербальними або психологічними проявами, а реляційна агресія може мати фізичні наслідки. Такий підхід дозволяє краще розуміти складну природу агресивної поведінки та розглядати її в контексті соціального та психологічного середовища, в якому вона виникає. 2. Причини та фактори, що впливають на виникнення агресивної поведінки, є дуже різноманітними та мають складну структуру. Однією з основних причин агресивної поведінки є соціальні чинники, такі як негативні впливи середовища, конфліктність взаємин між людьми, а також вплив насильства в медіа та соціальних мережах. Також значний вплив на агресивну поведінку можуть мати психологічні фактори, такі як особистісні особливості, низька самоконтрольність, відсутність емпатії та відчуття соціальної відповідальності. Крім того, важливими факторами, що впливають на агресивну поведінку, є біологічні та генетичні чинники, такі як гормональний фон, рівень адреналіну та серотоніну в організмі, а також наявність генетичної схильності до агресивної поведінки. Крім того, екологічні фактори, такі як економічна нестабільність, низький рівень освіти та доступ до ресурсів, також можуть сприяти появі агресивної поведінки серед окремих індивідів та груп населення. Отже, результати дослідження підтверджують необхідність комплексного підходу до розуміння та протидії агресивній поведінці, який враховує різноманітність факторів, що впливають </w:t>
      </w:r>
      <w:r w:rsidRPr="00511005">
        <w:rPr>
          <w:rFonts w:ascii="Arial" w:eastAsia="Aptos" w:hAnsi="Arial" w:cs="Arial"/>
          <w:kern w:val="2"/>
          <w:szCs w:val="28"/>
          <w:lang w:eastAsia="ru-RU"/>
        </w:rPr>
        <w:lastRenderedPageBreak/>
        <w:t>на її виникнення. 3. В соціології та психології існують різні концепції девіації, які спробовали пояснити природу та механізми формування девіантної поведінки в суспільстві. Одна з основних концепцій - це лабелінгова теорія, яка стверджує, що девіація виникає в результаті соціального маркування, коли індивід стає позначеним як девіантний та відкидається суспільством. Це може призвести до самозаповнюючоїся пророчої передбачуваності, коли індивіди починають відповідати на роль, яку їм накладають інші. Крім того, конфліктна теорія девіаціїрозглядає девіацію як результат конфліктів між різними соціальними групами та класами. Згідно з цією теорією, девіація виникає як спроба індивіда або групи відстояти свої інтереси проти домінуючих соціальних норм та структур. Такий підхід дозволяє краще розуміти соціальні динаміки, які сприяють формуванню девіантної поведінки та її соціальному контексті. Щодо механізмів формування девіантної поведінки, дослідження показує, що вони можуть бути дуже різноманітними та комплексними. Серед них можна виділити соціальні, психологічні та біологічні фактори. Соціальні механізми включають вплив оточуючого середовища, соціальну стигматизацію та нормативні конфлікти. Психологічні механізми можуть включати особистісні особливості, такі як низька самооцінка, почуття відокремленості та невротичність. Біологічні фактори, такі як генетична схильність до певних типів поведінки та дисфункціїнейротрансмітерів у мозку, також можуть грати важливу роль у формуванні девіантної поведінки. 4. Виявлено, що девіантна поведінка часто може бути однією з форм вияву агресії або може сприяти її появі. Наприклад, особи, які демонструють девіантну поведінку, таку як злочинність або вживання наркотиків, можуть виявляти агресію як засіб досягнення своїх цілей або реакції на оточуюче середовище. Крім того, дослідження свідчить про те, що агресивна поведінка може бути результатом девіантних умов та впливів, таких як соціальне виключення, стигматизація та відчуття безпеки.</w:t>
      </w:r>
      <w:r w:rsidRPr="00511005">
        <w:rPr>
          <w:rFonts w:ascii="Arial" w:eastAsia="Times New Roman" w:hAnsi="Arial" w:cs="Arial"/>
          <w:kern w:val="2"/>
          <w:szCs w:val="28"/>
          <w:lang w:eastAsia="ru-RU"/>
        </w:rPr>
        <w:t xml:space="preserve"> </w:t>
      </w:r>
    </w:p>
    <w:p w14:paraId="64223851" w14:textId="77777777" w:rsidR="007B2628" w:rsidRPr="00511005" w:rsidRDefault="00AE57E7" w:rsidP="009008A5">
      <w:pPr>
        <w:spacing w:line="264" w:lineRule="auto"/>
        <w:ind w:left="-5" w:firstLine="714"/>
        <w:rPr>
          <w:rFonts w:ascii="Arial" w:eastAsia="Aptos" w:hAnsi="Arial" w:cs="Arial"/>
          <w:kern w:val="2"/>
          <w:szCs w:val="28"/>
          <w:lang w:eastAsia="ru-RU"/>
        </w:rPr>
      </w:pPr>
      <w:r w:rsidRPr="00511005">
        <w:rPr>
          <w:rFonts w:ascii="Arial" w:eastAsia="Aptos" w:hAnsi="Arial" w:cs="Arial"/>
          <w:kern w:val="2"/>
          <w:szCs w:val="28"/>
          <w:lang w:eastAsia="ru-RU"/>
        </w:rPr>
        <w:t>Особи, які відчувають себе відторгнутими або неприйнятими суспільством, можуть реагувати агресивно, щоб захистити свої інтереси або відновити своє статусу в групі. Необхідно приділяти увагу як самим проявам девіантної поведінки, так і її потенційним наслідкам у вигляді агресії, а також враховувати соціальні, психологічні та біологічні чинники, які сприяють їх виникненню. Тільки комплексний підхід до цього питання дозволить ефективно боротися з агресією та девіацією та створювати безпечне та гармонійне соціальне середовище для всіх членів суспільства.</w:t>
      </w:r>
      <w:r w:rsidRPr="00511005">
        <w:rPr>
          <w:rFonts w:ascii="Arial" w:eastAsia="Times New Roman" w:hAnsi="Arial" w:cs="Arial"/>
          <w:kern w:val="2"/>
          <w:szCs w:val="28"/>
          <w:lang w:eastAsia="ru-RU"/>
        </w:rPr>
        <w:t xml:space="preserve"> </w:t>
      </w:r>
    </w:p>
    <w:p w14:paraId="584FC56D" w14:textId="77777777" w:rsidR="007B2628" w:rsidRPr="00511005" w:rsidRDefault="007B2628" w:rsidP="003A292D">
      <w:pPr>
        <w:spacing w:line="264" w:lineRule="auto"/>
        <w:ind w:firstLine="0"/>
        <w:jc w:val="left"/>
        <w:rPr>
          <w:rFonts w:ascii="Arial" w:eastAsia="Aptos" w:hAnsi="Arial" w:cs="Arial"/>
          <w:kern w:val="2"/>
          <w:szCs w:val="28"/>
          <w:lang w:eastAsia="ru-RU"/>
        </w:rPr>
      </w:pPr>
    </w:p>
    <w:p w14:paraId="02D5170F" w14:textId="77777777" w:rsidR="007B2628" w:rsidRPr="00511005" w:rsidRDefault="007B2628" w:rsidP="003A292D">
      <w:pPr>
        <w:spacing w:line="264" w:lineRule="auto"/>
        <w:ind w:left="73" w:firstLine="0"/>
        <w:jc w:val="center"/>
        <w:rPr>
          <w:rFonts w:ascii="Arial" w:eastAsia="Aptos" w:hAnsi="Arial" w:cs="Arial"/>
          <w:kern w:val="2"/>
          <w:szCs w:val="28"/>
          <w:lang w:eastAsia="ru-RU"/>
        </w:rPr>
      </w:pPr>
    </w:p>
    <w:p w14:paraId="446418DF" w14:textId="6CC73C68" w:rsidR="00AE57E7" w:rsidRPr="00511005" w:rsidRDefault="007B2628" w:rsidP="007B2628">
      <w:pPr>
        <w:spacing w:line="264" w:lineRule="auto"/>
        <w:ind w:left="18" w:hanging="10"/>
        <w:jc w:val="center"/>
        <w:rPr>
          <w:rFonts w:ascii="Arial" w:eastAsia="Aptos" w:hAnsi="Arial" w:cs="Arial"/>
          <w:kern w:val="2"/>
          <w:szCs w:val="28"/>
          <w:lang w:eastAsia="ru-RU"/>
        </w:rPr>
      </w:pPr>
      <w:r w:rsidRPr="00511005">
        <w:rPr>
          <w:rFonts w:ascii="Arial" w:eastAsia="Times New Roman" w:hAnsi="Arial" w:cs="Arial"/>
          <w:b/>
          <w:kern w:val="2"/>
          <w:szCs w:val="28"/>
          <w:lang w:val="uk-UA" w:eastAsia="ru-RU"/>
        </w:rPr>
        <w:t>Список використаних джерел</w:t>
      </w:r>
      <w:r w:rsidR="00AE57E7" w:rsidRPr="00511005">
        <w:rPr>
          <w:rFonts w:ascii="Arial" w:eastAsia="Times New Roman" w:hAnsi="Arial" w:cs="Arial"/>
          <w:kern w:val="2"/>
          <w:szCs w:val="28"/>
          <w:lang w:eastAsia="ru-RU"/>
        </w:rPr>
        <w:t xml:space="preserve"> </w:t>
      </w:r>
    </w:p>
    <w:p w14:paraId="4F1AFDF9" w14:textId="04E27B6D" w:rsidR="00AE57E7" w:rsidRPr="00511005" w:rsidRDefault="00AE57E7" w:rsidP="003F6A5D">
      <w:pPr>
        <w:numPr>
          <w:ilvl w:val="0"/>
          <w:numId w:val="768"/>
        </w:numPr>
        <w:spacing w:line="264" w:lineRule="auto"/>
        <w:jc w:val="left"/>
        <w:rPr>
          <w:rFonts w:ascii="Arial" w:eastAsia="Aptos" w:hAnsi="Arial" w:cs="Arial"/>
          <w:kern w:val="2"/>
          <w:szCs w:val="28"/>
          <w:lang w:val="en-US" w:eastAsia="ru-RU"/>
        </w:rPr>
      </w:pPr>
      <w:r w:rsidRPr="00511005">
        <w:rPr>
          <w:rFonts w:ascii="Arial" w:eastAsia="Times New Roman" w:hAnsi="Arial" w:cs="Arial"/>
          <w:kern w:val="2"/>
          <w:szCs w:val="28"/>
          <w:lang w:val="en-US" w:eastAsia="ru-RU"/>
        </w:rPr>
        <w:t>The Sociology of Deviance: Differences, Tradition, andStigma by Robert J. Franzese Jr. and Laura BethNielsen, 2020</w:t>
      </w:r>
      <w:r w:rsidR="007B2628" w:rsidRPr="00511005">
        <w:rPr>
          <w:rFonts w:ascii="Arial" w:eastAsia="Times New Roman" w:hAnsi="Arial" w:cs="Arial"/>
          <w:kern w:val="2"/>
          <w:szCs w:val="28"/>
          <w:lang w:val="en-US" w:eastAsia="ru-RU"/>
        </w:rPr>
        <w:t xml:space="preserve"> </w:t>
      </w:r>
    </w:p>
    <w:p w14:paraId="598E26ED" w14:textId="119F5914" w:rsidR="00AE57E7" w:rsidRPr="00511005" w:rsidRDefault="00AE57E7" w:rsidP="003F6A5D">
      <w:pPr>
        <w:numPr>
          <w:ilvl w:val="0"/>
          <w:numId w:val="768"/>
        </w:numPr>
        <w:spacing w:line="264" w:lineRule="auto"/>
        <w:jc w:val="left"/>
        <w:rPr>
          <w:rFonts w:ascii="Arial" w:eastAsia="Aptos" w:hAnsi="Arial" w:cs="Arial"/>
          <w:kern w:val="2"/>
          <w:szCs w:val="28"/>
          <w:lang w:eastAsia="ru-RU"/>
        </w:rPr>
      </w:pPr>
      <w:r w:rsidRPr="00511005">
        <w:rPr>
          <w:rFonts w:ascii="Arial" w:eastAsia="Times New Roman" w:hAnsi="Arial" w:cs="Arial"/>
          <w:kern w:val="2"/>
          <w:szCs w:val="28"/>
          <w:lang w:eastAsia="ru-RU"/>
        </w:rPr>
        <w:lastRenderedPageBreak/>
        <w:t>Бондаренко, В. С. Соціологія агресії в сучасномусуспільстві. Дніпро: Видавництво Дніпровськогодержавного університету внутрішніх справ, 2019</w:t>
      </w:r>
      <w:r w:rsidR="007B2628" w:rsidRPr="00511005">
        <w:rPr>
          <w:rFonts w:ascii="Arial" w:eastAsia="Times New Roman" w:hAnsi="Arial" w:cs="Arial"/>
          <w:kern w:val="2"/>
          <w:szCs w:val="28"/>
          <w:lang w:eastAsia="ru-RU"/>
        </w:rPr>
        <w:t xml:space="preserve"> </w:t>
      </w:r>
    </w:p>
    <w:p w14:paraId="3D783A66" w14:textId="775DD8DF" w:rsidR="00AE57E7" w:rsidRPr="00511005" w:rsidRDefault="00AE57E7" w:rsidP="003F6A5D">
      <w:pPr>
        <w:numPr>
          <w:ilvl w:val="0"/>
          <w:numId w:val="768"/>
        </w:numPr>
        <w:spacing w:line="264" w:lineRule="auto"/>
        <w:jc w:val="left"/>
        <w:rPr>
          <w:rFonts w:ascii="Arial" w:eastAsia="Aptos" w:hAnsi="Arial" w:cs="Arial"/>
          <w:kern w:val="2"/>
          <w:szCs w:val="28"/>
          <w:lang w:eastAsia="ru-RU"/>
        </w:rPr>
      </w:pPr>
      <w:r w:rsidRPr="00511005">
        <w:rPr>
          <w:rFonts w:ascii="Arial" w:eastAsia="Times New Roman" w:hAnsi="Arial" w:cs="Arial"/>
          <w:kern w:val="2"/>
          <w:szCs w:val="28"/>
          <w:lang w:eastAsia="ru-RU"/>
        </w:rPr>
        <w:t>Гавриленко, О. М. Агресія як форма девіантноїповедінки: соціологічний аналіз.</w:t>
      </w:r>
      <w:r w:rsidR="007B2628" w:rsidRPr="00511005">
        <w:rPr>
          <w:rFonts w:ascii="Arial" w:eastAsia="Times New Roman" w:hAnsi="Arial" w:cs="Arial"/>
          <w:kern w:val="2"/>
          <w:szCs w:val="28"/>
          <w:lang w:eastAsia="ru-RU"/>
        </w:rPr>
        <w:t xml:space="preserve"> </w:t>
      </w:r>
      <w:r w:rsidRPr="00511005">
        <w:rPr>
          <w:rFonts w:ascii="Arial" w:eastAsia="Times New Roman" w:hAnsi="Arial" w:cs="Arial"/>
          <w:kern w:val="2"/>
          <w:szCs w:val="28"/>
          <w:lang w:eastAsia="ru-RU"/>
        </w:rPr>
        <w:t>Львів: ВидавництвоЛьвівського національного університету імені ІванаФранка, 2015.</w:t>
      </w:r>
      <w:r w:rsidR="007B2628" w:rsidRPr="00511005">
        <w:rPr>
          <w:rFonts w:ascii="Arial" w:eastAsia="Times New Roman" w:hAnsi="Arial" w:cs="Arial"/>
          <w:kern w:val="2"/>
          <w:szCs w:val="28"/>
          <w:lang w:eastAsia="ru-RU"/>
        </w:rPr>
        <w:t xml:space="preserve"> </w:t>
      </w:r>
    </w:p>
    <w:p w14:paraId="48652EE6" w14:textId="77777777" w:rsidR="00AE57E7" w:rsidRPr="00511005" w:rsidRDefault="00AE57E7" w:rsidP="003F6A5D">
      <w:pPr>
        <w:numPr>
          <w:ilvl w:val="0"/>
          <w:numId w:val="768"/>
        </w:numPr>
        <w:spacing w:line="264" w:lineRule="auto"/>
        <w:jc w:val="left"/>
        <w:rPr>
          <w:rFonts w:ascii="Arial" w:eastAsia="Aptos" w:hAnsi="Arial" w:cs="Arial"/>
          <w:kern w:val="2"/>
          <w:szCs w:val="28"/>
          <w:lang w:eastAsia="ru-RU"/>
        </w:rPr>
      </w:pPr>
      <w:r w:rsidRPr="00511005">
        <w:rPr>
          <w:rFonts w:ascii="Arial" w:eastAsia="Times New Roman" w:hAnsi="Arial" w:cs="Arial"/>
          <w:kern w:val="2"/>
          <w:szCs w:val="28"/>
          <w:lang w:eastAsia="ru-RU"/>
        </w:rPr>
        <w:t xml:space="preserve">Григоренко, О. І. Агресія в сучасному світі: психолого-педагогічний аналіз. Київ: ВидавництвоКиївського державного педагогічного університетуімені Бориса Грінченка, 2018. </w:t>
      </w:r>
    </w:p>
    <w:p w14:paraId="6CC51135" w14:textId="77777777" w:rsidR="00AE57E7" w:rsidRPr="00511005" w:rsidRDefault="00AE57E7" w:rsidP="003F6A5D">
      <w:pPr>
        <w:numPr>
          <w:ilvl w:val="0"/>
          <w:numId w:val="768"/>
        </w:numPr>
        <w:spacing w:line="264" w:lineRule="auto"/>
        <w:jc w:val="left"/>
        <w:rPr>
          <w:rFonts w:ascii="Arial" w:eastAsia="Aptos" w:hAnsi="Arial" w:cs="Arial"/>
          <w:kern w:val="2"/>
          <w:szCs w:val="28"/>
          <w:lang w:eastAsia="ru-RU"/>
        </w:rPr>
      </w:pPr>
      <w:r w:rsidRPr="00511005">
        <w:rPr>
          <w:rFonts w:ascii="Arial" w:eastAsia="Times New Roman" w:hAnsi="Arial" w:cs="Arial"/>
          <w:kern w:val="2"/>
          <w:szCs w:val="28"/>
          <w:lang w:eastAsia="ru-RU"/>
        </w:rPr>
        <w:t xml:space="preserve">Григоренко, О. П. Сучасні підходи до аналізу агресіїта девіантної поведінки. Київ: Видавництво Науковадумка, 2018. </w:t>
      </w:r>
    </w:p>
    <w:p w14:paraId="59E30525" w14:textId="77777777" w:rsidR="007B2628" w:rsidRPr="00511005" w:rsidRDefault="00AE57E7" w:rsidP="003F6A5D">
      <w:pPr>
        <w:numPr>
          <w:ilvl w:val="0"/>
          <w:numId w:val="768"/>
        </w:numPr>
        <w:spacing w:line="264" w:lineRule="auto"/>
        <w:jc w:val="left"/>
        <w:rPr>
          <w:rFonts w:ascii="Arial" w:eastAsia="Aptos" w:hAnsi="Arial" w:cs="Arial"/>
          <w:kern w:val="2"/>
          <w:szCs w:val="28"/>
          <w:lang w:eastAsia="ru-RU"/>
        </w:rPr>
      </w:pPr>
      <w:r w:rsidRPr="00511005">
        <w:rPr>
          <w:rFonts w:ascii="Arial" w:eastAsia="Times New Roman" w:hAnsi="Arial" w:cs="Arial"/>
          <w:kern w:val="2"/>
          <w:szCs w:val="28"/>
          <w:lang w:eastAsia="ru-RU"/>
        </w:rPr>
        <w:t xml:space="preserve">Гриценко, В. О. Сучасні підходи до вивченняпсихології девіантної поведінки. Київ: ВидавництвоПсихологічна думка, 2019. </w:t>
      </w:r>
    </w:p>
    <w:p w14:paraId="15B12E73" w14:textId="47CCA3C1" w:rsidR="007B2628" w:rsidRPr="00511005" w:rsidRDefault="007B2628" w:rsidP="009008A5">
      <w:pPr>
        <w:spacing w:line="264" w:lineRule="auto"/>
        <w:ind w:left="-5" w:firstLine="714"/>
        <w:rPr>
          <w:rFonts w:ascii="Arial" w:eastAsia="Aptos" w:hAnsi="Arial" w:cs="Arial"/>
          <w:kern w:val="2"/>
          <w:szCs w:val="28"/>
          <w:lang w:eastAsia="ru-RU"/>
        </w:rPr>
      </w:pPr>
      <w:r w:rsidRPr="00511005">
        <w:rPr>
          <w:rFonts w:ascii="Arial" w:eastAsia="Times New Roman" w:hAnsi="Arial" w:cs="Arial"/>
          <w:b/>
          <w:i/>
          <w:kern w:val="2"/>
          <w:szCs w:val="28"/>
          <w:lang w:eastAsia="ru-RU"/>
        </w:rPr>
        <w:t xml:space="preserve">Ключові слова: </w:t>
      </w:r>
      <w:r w:rsidR="00AE57E7" w:rsidRPr="00511005">
        <w:rPr>
          <w:rFonts w:ascii="Arial" w:eastAsia="Times New Roman" w:hAnsi="Arial" w:cs="Arial"/>
          <w:kern w:val="2"/>
          <w:szCs w:val="28"/>
          <w:lang w:eastAsia="ru-RU"/>
        </w:rPr>
        <w:t>агресія,</w:t>
      </w:r>
      <w:r w:rsidR="009008A5" w:rsidRPr="00511005">
        <w:rPr>
          <w:rFonts w:ascii="Arial" w:eastAsia="Times New Roman" w:hAnsi="Arial" w:cs="Arial"/>
          <w:kern w:val="2"/>
          <w:szCs w:val="28"/>
          <w:lang w:val="uk-UA" w:eastAsia="ru-RU"/>
        </w:rPr>
        <w:t xml:space="preserve"> </w:t>
      </w:r>
      <w:r w:rsidR="00AE57E7" w:rsidRPr="00511005">
        <w:rPr>
          <w:rFonts w:ascii="Arial" w:eastAsia="Times New Roman" w:hAnsi="Arial" w:cs="Arial"/>
          <w:kern w:val="2"/>
          <w:szCs w:val="28"/>
          <w:lang w:eastAsia="ru-RU"/>
        </w:rPr>
        <w:t>девіантна поведінка, соціальні чинники,</w:t>
      </w:r>
      <w:r w:rsidR="009008A5" w:rsidRPr="00511005">
        <w:rPr>
          <w:rFonts w:ascii="Arial" w:eastAsia="Times New Roman" w:hAnsi="Arial" w:cs="Arial"/>
          <w:kern w:val="2"/>
          <w:szCs w:val="28"/>
          <w:lang w:val="uk-UA" w:eastAsia="ru-RU"/>
        </w:rPr>
        <w:t xml:space="preserve"> </w:t>
      </w:r>
      <w:r w:rsidR="00AE57E7" w:rsidRPr="00511005">
        <w:rPr>
          <w:rFonts w:ascii="Arial" w:eastAsia="Times New Roman" w:hAnsi="Arial" w:cs="Arial"/>
          <w:kern w:val="2"/>
          <w:szCs w:val="28"/>
          <w:lang w:eastAsia="ru-RU"/>
        </w:rPr>
        <w:t>психологічні фактори,</w:t>
      </w:r>
      <w:r w:rsidR="009008A5" w:rsidRPr="00511005">
        <w:rPr>
          <w:rFonts w:ascii="Arial" w:eastAsia="Times New Roman" w:hAnsi="Arial" w:cs="Arial"/>
          <w:kern w:val="2"/>
          <w:szCs w:val="28"/>
          <w:lang w:val="uk-UA" w:eastAsia="ru-RU"/>
        </w:rPr>
        <w:t xml:space="preserve"> </w:t>
      </w:r>
      <w:r w:rsidR="00AE57E7" w:rsidRPr="00511005">
        <w:rPr>
          <w:rFonts w:ascii="Arial" w:eastAsia="Times New Roman" w:hAnsi="Arial" w:cs="Arial"/>
          <w:kern w:val="2"/>
          <w:szCs w:val="28"/>
          <w:lang w:eastAsia="ru-RU"/>
        </w:rPr>
        <w:t>біологічні чинники,</w:t>
      </w:r>
      <w:r w:rsidR="009008A5" w:rsidRPr="00511005">
        <w:rPr>
          <w:rFonts w:ascii="Arial" w:eastAsia="Times New Roman" w:hAnsi="Arial" w:cs="Arial"/>
          <w:kern w:val="2"/>
          <w:szCs w:val="28"/>
          <w:lang w:val="uk-UA" w:eastAsia="ru-RU"/>
        </w:rPr>
        <w:t xml:space="preserve"> </w:t>
      </w:r>
      <w:r w:rsidR="00AE57E7" w:rsidRPr="00511005">
        <w:rPr>
          <w:rFonts w:ascii="Arial" w:eastAsia="Times New Roman" w:hAnsi="Arial" w:cs="Arial"/>
          <w:kern w:val="2"/>
          <w:szCs w:val="28"/>
          <w:lang w:eastAsia="ru-RU"/>
        </w:rPr>
        <w:t>реляційна агресія,</w:t>
      </w:r>
      <w:r w:rsidR="009008A5" w:rsidRPr="00511005">
        <w:rPr>
          <w:rFonts w:ascii="Arial" w:eastAsia="Times New Roman" w:hAnsi="Arial" w:cs="Arial"/>
          <w:kern w:val="2"/>
          <w:szCs w:val="28"/>
          <w:lang w:val="uk-UA" w:eastAsia="ru-RU"/>
        </w:rPr>
        <w:t xml:space="preserve"> </w:t>
      </w:r>
      <w:r w:rsidR="00AE57E7" w:rsidRPr="00511005">
        <w:rPr>
          <w:rFonts w:ascii="Arial" w:eastAsia="Times New Roman" w:hAnsi="Arial" w:cs="Arial"/>
          <w:kern w:val="2"/>
          <w:szCs w:val="28"/>
          <w:lang w:eastAsia="ru-RU"/>
        </w:rPr>
        <w:t>фізична агресія,</w:t>
      </w:r>
      <w:r w:rsidR="009008A5" w:rsidRPr="00511005">
        <w:rPr>
          <w:rFonts w:ascii="Arial" w:eastAsia="Times New Roman" w:hAnsi="Arial" w:cs="Arial"/>
          <w:kern w:val="2"/>
          <w:szCs w:val="28"/>
          <w:lang w:val="uk-UA" w:eastAsia="ru-RU"/>
        </w:rPr>
        <w:t xml:space="preserve"> </w:t>
      </w:r>
      <w:r w:rsidR="00AE57E7" w:rsidRPr="00511005">
        <w:rPr>
          <w:rFonts w:ascii="Arial" w:eastAsia="Times New Roman" w:hAnsi="Arial" w:cs="Arial"/>
          <w:kern w:val="2"/>
          <w:szCs w:val="28"/>
          <w:lang w:eastAsia="ru-RU"/>
        </w:rPr>
        <w:t>вербальна агресія,</w:t>
      </w:r>
      <w:r w:rsidR="009008A5" w:rsidRPr="00511005">
        <w:rPr>
          <w:rFonts w:ascii="Arial" w:eastAsia="Times New Roman" w:hAnsi="Arial" w:cs="Arial"/>
          <w:kern w:val="2"/>
          <w:szCs w:val="28"/>
          <w:lang w:val="uk-UA" w:eastAsia="ru-RU"/>
        </w:rPr>
        <w:t xml:space="preserve"> </w:t>
      </w:r>
      <w:r w:rsidR="00AE57E7" w:rsidRPr="00511005">
        <w:rPr>
          <w:rFonts w:ascii="Arial" w:eastAsia="Times New Roman" w:hAnsi="Arial" w:cs="Arial"/>
          <w:kern w:val="2"/>
          <w:szCs w:val="28"/>
          <w:lang w:eastAsia="ru-RU"/>
        </w:rPr>
        <w:t>соціальне середовище,</w:t>
      </w:r>
      <w:r w:rsidR="009008A5" w:rsidRPr="00511005">
        <w:rPr>
          <w:rFonts w:ascii="Arial" w:eastAsia="Times New Roman" w:hAnsi="Arial" w:cs="Arial"/>
          <w:kern w:val="2"/>
          <w:szCs w:val="28"/>
          <w:lang w:val="uk-UA" w:eastAsia="ru-RU"/>
        </w:rPr>
        <w:t xml:space="preserve"> </w:t>
      </w:r>
      <w:r w:rsidR="00AE57E7" w:rsidRPr="00511005">
        <w:rPr>
          <w:rFonts w:ascii="Arial" w:eastAsia="Times New Roman" w:hAnsi="Arial" w:cs="Arial"/>
          <w:kern w:val="2"/>
          <w:szCs w:val="28"/>
          <w:lang w:eastAsia="ru-RU"/>
        </w:rPr>
        <w:t>медіа,</w:t>
      </w:r>
      <w:r w:rsidR="009008A5" w:rsidRPr="00511005">
        <w:rPr>
          <w:rFonts w:ascii="Arial" w:eastAsia="Times New Roman" w:hAnsi="Arial" w:cs="Arial"/>
          <w:kern w:val="2"/>
          <w:szCs w:val="28"/>
          <w:lang w:val="uk-UA" w:eastAsia="ru-RU"/>
        </w:rPr>
        <w:t xml:space="preserve"> </w:t>
      </w:r>
      <w:r w:rsidR="00AE57E7" w:rsidRPr="00511005">
        <w:rPr>
          <w:rFonts w:ascii="Arial" w:eastAsia="Times New Roman" w:hAnsi="Arial" w:cs="Arial"/>
          <w:kern w:val="2"/>
          <w:szCs w:val="28"/>
          <w:lang w:eastAsia="ru-RU"/>
        </w:rPr>
        <w:t>соціальні мережі,</w:t>
      </w:r>
      <w:r w:rsidR="009008A5" w:rsidRPr="00511005">
        <w:rPr>
          <w:rFonts w:ascii="Arial" w:eastAsia="Times New Roman" w:hAnsi="Arial" w:cs="Arial"/>
          <w:kern w:val="2"/>
          <w:szCs w:val="28"/>
          <w:lang w:val="uk-UA" w:eastAsia="ru-RU"/>
        </w:rPr>
        <w:t xml:space="preserve"> </w:t>
      </w:r>
      <w:r w:rsidR="00AE57E7" w:rsidRPr="00511005">
        <w:rPr>
          <w:rFonts w:ascii="Arial" w:eastAsia="Times New Roman" w:hAnsi="Arial" w:cs="Arial"/>
          <w:kern w:val="2"/>
          <w:szCs w:val="28"/>
          <w:lang w:eastAsia="ru-RU"/>
        </w:rPr>
        <w:t>емоційна нестабільність</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самоконтроль</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емпатія</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соціальна</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відповідальність</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гормональний фон</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конфлікти</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стигматизація</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соціальна ізоляція</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конфліктна теорія</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лабелінгова теорія</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соціальні норми</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маркування</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нормативні конфлікти</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генетична схильність</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соціальна динаміка</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злочинність</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наркоманія</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соціальне виключення</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відчуження</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самозахист</w:t>
      </w:r>
      <w:r w:rsidR="009008A5" w:rsidRPr="00511005">
        <w:rPr>
          <w:rFonts w:ascii="Arial" w:eastAsia="Times New Roman" w:hAnsi="Arial" w:cs="Arial"/>
          <w:kern w:val="2"/>
          <w:szCs w:val="28"/>
          <w:lang w:eastAsia="ru-RU"/>
        </w:rPr>
        <w:t xml:space="preserve">, </w:t>
      </w:r>
      <w:r w:rsidR="00AE57E7" w:rsidRPr="00511005">
        <w:rPr>
          <w:rFonts w:ascii="Arial" w:eastAsia="Times New Roman" w:hAnsi="Arial" w:cs="Arial"/>
          <w:kern w:val="2"/>
          <w:szCs w:val="28"/>
          <w:lang w:eastAsia="ru-RU"/>
        </w:rPr>
        <w:t xml:space="preserve">соціальна адаптація </w:t>
      </w:r>
    </w:p>
    <w:p w14:paraId="129CDC98" w14:textId="36DA5FEF" w:rsidR="007B2628" w:rsidRPr="00511005" w:rsidRDefault="007B2628" w:rsidP="009008A5">
      <w:pPr>
        <w:spacing w:line="264" w:lineRule="auto"/>
        <w:ind w:left="-5" w:firstLine="714"/>
        <w:rPr>
          <w:rFonts w:ascii="Arial" w:eastAsia="Aptos" w:hAnsi="Arial" w:cs="Arial"/>
          <w:kern w:val="2"/>
          <w:szCs w:val="28"/>
          <w:lang w:val="en-US" w:eastAsia="ru-RU"/>
        </w:rPr>
      </w:pPr>
      <w:r w:rsidRPr="00511005">
        <w:rPr>
          <w:rFonts w:ascii="Arial" w:eastAsia="Times New Roman" w:hAnsi="Arial" w:cs="Arial"/>
          <w:b/>
          <w:i/>
          <w:kern w:val="2"/>
          <w:szCs w:val="28"/>
          <w:lang w:val="en-US" w:eastAsia="ru-RU"/>
        </w:rPr>
        <w:t xml:space="preserve">Key words: </w:t>
      </w:r>
      <w:r w:rsidR="00AE57E7" w:rsidRPr="00511005">
        <w:rPr>
          <w:rFonts w:ascii="Arial" w:eastAsia="Times New Roman" w:hAnsi="Arial" w:cs="Arial"/>
          <w:kern w:val="2"/>
          <w:szCs w:val="28"/>
          <w:lang w:val="en-US" w:eastAsia="ru-RU"/>
        </w:rPr>
        <w:t>aggression</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deviant behavior</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social factors</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psychological factors</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biological factors</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relational aggression</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physical aggression</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verbal aggression</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social environment</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media</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social networks</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emotional instability</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self-control</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empathy</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social responsibility</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hormonal background</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conflicts</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stigmatization</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social isolation</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conflict theory</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labeling theory</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social norms</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labeling</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normative conflicts</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genetic predisposition</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social dynamics</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crime</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drug addiction</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social exclusion</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alienation</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self-defense</w:t>
      </w:r>
      <w:r w:rsidR="009008A5" w:rsidRPr="00511005">
        <w:rPr>
          <w:rFonts w:ascii="Arial" w:eastAsia="Times New Roman" w:hAnsi="Arial" w:cs="Arial"/>
          <w:kern w:val="2"/>
          <w:szCs w:val="28"/>
          <w:lang w:val="en-US" w:eastAsia="ru-RU"/>
        </w:rPr>
        <w:t xml:space="preserve">, </w:t>
      </w:r>
      <w:r w:rsidR="00AE57E7" w:rsidRPr="00511005">
        <w:rPr>
          <w:rFonts w:ascii="Arial" w:eastAsia="Times New Roman" w:hAnsi="Arial" w:cs="Arial"/>
          <w:kern w:val="2"/>
          <w:szCs w:val="28"/>
          <w:lang w:val="en-US" w:eastAsia="ru-RU"/>
        </w:rPr>
        <w:t>social adaptation</w:t>
      </w:r>
      <w:r w:rsidR="00AE57E7" w:rsidRPr="00511005">
        <w:rPr>
          <w:rFonts w:ascii="Arial" w:eastAsia="Times New Roman" w:hAnsi="Arial" w:cs="Arial"/>
          <w:i/>
          <w:kern w:val="2"/>
          <w:szCs w:val="28"/>
          <w:lang w:val="en-US" w:eastAsia="ru-RU"/>
        </w:rPr>
        <w:t xml:space="preserve"> </w:t>
      </w:r>
    </w:p>
    <w:p w14:paraId="1CDD9A63" w14:textId="729F1B3A" w:rsidR="00AE57E7" w:rsidRPr="00511005" w:rsidRDefault="007B2628" w:rsidP="003A292D">
      <w:pPr>
        <w:spacing w:line="264" w:lineRule="auto"/>
        <w:rPr>
          <w:rFonts w:ascii="Arial" w:eastAsia="Times New Roman" w:hAnsi="Arial" w:cs="Arial"/>
          <w:i/>
          <w:kern w:val="2"/>
          <w:szCs w:val="28"/>
          <w:lang w:eastAsia="ru-RU"/>
        </w:rPr>
      </w:pPr>
      <w:r w:rsidRPr="00511005">
        <w:rPr>
          <w:rFonts w:ascii="Arial" w:eastAsia="Times New Roman" w:hAnsi="Arial" w:cs="Arial"/>
          <w:b/>
          <w:i/>
          <w:kern w:val="2"/>
          <w:szCs w:val="28"/>
          <w:lang w:eastAsia="ru-RU"/>
        </w:rPr>
        <w:t xml:space="preserve">Науковий керівник: </w:t>
      </w:r>
      <w:r w:rsidR="00AE57E7" w:rsidRPr="00511005">
        <w:rPr>
          <w:rFonts w:ascii="Arial" w:eastAsia="Times New Roman" w:hAnsi="Arial" w:cs="Arial"/>
          <w:i/>
          <w:kern w:val="2"/>
          <w:szCs w:val="28"/>
          <w:lang w:eastAsia="ru-RU"/>
        </w:rPr>
        <w:t>д.п.н.,</w:t>
      </w:r>
      <w:r w:rsidR="009008A5" w:rsidRPr="00511005">
        <w:rPr>
          <w:rFonts w:ascii="Arial" w:eastAsia="Times New Roman" w:hAnsi="Arial" w:cs="Arial"/>
          <w:i/>
          <w:kern w:val="2"/>
          <w:szCs w:val="28"/>
          <w:lang w:val="uk-UA" w:eastAsia="ru-RU"/>
        </w:rPr>
        <w:t xml:space="preserve"> </w:t>
      </w:r>
      <w:r w:rsidR="00AE57E7" w:rsidRPr="00511005">
        <w:rPr>
          <w:rFonts w:ascii="Arial" w:eastAsia="Times New Roman" w:hAnsi="Arial" w:cs="Arial"/>
          <w:i/>
          <w:kern w:val="2"/>
          <w:szCs w:val="28"/>
          <w:lang w:eastAsia="ru-RU"/>
        </w:rPr>
        <w:t>професор Яковлева Лілія Іванівна</w:t>
      </w:r>
    </w:p>
    <w:p w14:paraId="264C4DDF" w14:textId="77777777" w:rsidR="00C66506" w:rsidRPr="00511005" w:rsidRDefault="00C66506" w:rsidP="003A292D">
      <w:pPr>
        <w:spacing w:line="264" w:lineRule="auto"/>
        <w:rPr>
          <w:rFonts w:ascii="Arial" w:eastAsia="Times New Roman" w:hAnsi="Arial" w:cs="Arial"/>
          <w:i/>
          <w:kern w:val="2"/>
          <w:szCs w:val="28"/>
          <w:lang w:eastAsia="ru-RU"/>
        </w:rPr>
      </w:pPr>
    </w:p>
    <w:p w14:paraId="7C788674" w14:textId="585434DC" w:rsidR="00AE57E7" w:rsidRPr="00511005" w:rsidRDefault="00AE57E7" w:rsidP="003A292D">
      <w:pPr>
        <w:spacing w:line="264" w:lineRule="auto"/>
        <w:rPr>
          <w:rFonts w:ascii="Arial" w:eastAsia="Times New Roman" w:hAnsi="Arial" w:cs="Arial"/>
          <w:i/>
          <w:kern w:val="2"/>
          <w:szCs w:val="28"/>
          <w:lang w:eastAsia="ru-RU"/>
        </w:rPr>
      </w:pPr>
    </w:p>
    <w:p w14:paraId="36CAFCB6" w14:textId="77777777" w:rsidR="00AE57E7" w:rsidRPr="00511005" w:rsidRDefault="00AE57E7" w:rsidP="003A292D">
      <w:pPr>
        <w:spacing w:line="264" w:lineRule="auto"/>
        <w:ind w:firstLine="0"/>
        <w:jc w:val="center"/>
        <w:rPr>
          <w:rFonts w:ascii="Arial" w:eastAsia="Aptos" w:hAnsi="Arial" w:cs="Arial"/>
          <w:b/>
          <w:bCs/>
          <w:i/>
          <w:iCs/>
          <w:kern w:val="2"/>
          <w:szCs w:val="28"/>
        </w:rPr>
      </w:pPr>
      <w:r w:rsidRPr="00511005">
        <w:rPr>
          <w:rFonts w:ascii="Arial" w:eastAsia="Aptos" w:hAnsi="Arial" w:cs="Arial"/>
          <w:b/>
          <w:bCs/>
          <w:i/>
          <w:iCs/>
          <w:kern w:val="2"/>
          <w:szCs w:val="28"/>
        </w:rPr>
        <w:t>Шапошн</w:t>
      </w:r>
      <w:r w:rsidRPr="00511005">
        <w:rPr>
          <w:rFonts w:ascii="Arial" w:eastAsia="Aptos" w:hAnsi="Arial" w:cs="Arial"/>
          <w:b/>
          <w:bCs/>
          <w:i/>
          <w:iCs/>
          <w:kern w:val="2"/>
          <w:szCs w:val="28"/>
          <w:lang w:val="en-US"/>
        </w:rPr>
        <w:t>i</w:t>
      </w:r>
      <w:r w:rsidRPr="00511005">
        <w:rPr>
          <w:rFonts w:ascii="Arial" w:eastAsia="Aptos" w:hAnsi="Arial" w:cs="Arial"/>
          <w:b/>
          <w:bCs/>
          <w:i/>
          <w:iCs/>
          <w:kern w:val="2"/>
          <w:szCs w:val="28"/>
        </w:rPr>
        <w:t>ков Дмитро Сергiйович</w:t>
      </w:r>
    </w:p>
    <w:p w14:paraId="53EFDA7C" w14:textId="2FDEE09D" w:rsidR="00AE57E7" w:rsidRPr="00511005" w:rsidRDefault="00536AAB" w:rsidP="003A292D">
      <w:pPr>
        <w:spacing w:line="264" w:lineRule="auto"/>
        <w:ind w:firstLine="0"/>
        <w:jc w:val="center"/>
        <w:rPr>
          <w:rFonts w:ascii="Arial" w:eastAsia="Aptos" w:hAnsi="Arial" w:cs="Arial"/>
          <w:kern w:val="2"/>
          <w:szCs w:val="28"/>
        </w:rPr>
      </w:pPr>
      <w:r w:rsidRPr="00511005">
        <w:rPr>
          <w:rFonts w:ascii="Arial" w:eastAsia="Aptos" w:hAnsi="Arial" w:cs="Arial"/>
          <w:kern w:val="2"/>
          <w:szCs w:val="28"/>
        </w:rPr>
        <w:t xml:space="preserve">студент 2-го курсу </w:t>
      </w:r>
      <w:r w:rsidR="00AE57E7" w:rsidRPr="00511005">
        <w:rPr>
          <w:rFonts w:ascii="Arial" w:eastAsia="Aptos" w:hAnsi="Arial" w:cs="Arial"/>
          <w:kern w:val="2"/>
          <w:szCs w:val="28"/>
        </w:rPr>
        <w:t>факультету психолог</w:t>
      </w:r>
      <w:bookmarkStart w:id="348" w:name="_Hlk197704609"/>
      <w:r w:rsidR="00AE57E7" w:rsidRPr="00511005">
        <w:rPr>
          <w:rFonts w:ascii="Arial" w:eastAsia="Aptos" w:hAnsi="Arial" w:cs="Arial"/>
          <w:kern w:val="2"/>
          <w:szCs w:val="28"/>
          <w:lang w:val="en-US"/>
        </w:rPr>
        <w:t>i</w:t>
      </w:r>
      <w:bookmarkEnd w:id="348"/>
      <w:r w:rsidR="00AE57E7" w:rsidRPr="00511005">
        <w:rPr>
          <w:rFonts w:ascii="Arial" w:eastAsia="Aptos" w:hAnsi="Arial" w:cs="Arial"/>
          <w:kern w:val="2"/>
          <w:szCs w:val="28"/>
        </w:rPr>
        <w:t>ї, політологiї та соцiологiї</w:t>
      </w:r>
    </w:p>
    <w:p w14:paraId="339DA216" w14:textId="55A43164" w:rsidR="00AE57E7" w:rsidRPr="00511005" w:rsidRDefault="007B2628" w:rsidP="003A292D">
      <w:pPr>
        <w:spacing w:line="264" w:lineRule="auto"/>
        <w:ind w:firstLine="0"/>
        <w:jc w:val="center"/>
        <w:rPr>
          <w:rFonts w:ascii="Arial" w:eastAsia="Aptos" w:hAnsi="Arial" w:cs="Arial"/>
          <w:kern w:val="2"/>
          <w:szCs w:val="28"/>
        </w:rPr>
      </w:pPr>
      <w:r w:rsidRPr="00511005">
        <w:rPr>
          <w:rFonts w:ascii="Arial" w:eastAsia="Aptos" w:hAnsi="Arial" w:cs="Arial"/>
          <w:kern w:val="2"/>
          <w:szCs w:val="28"/>
        </w:rPr>
        <w:t>Національного університету «Одеська юридична академія»</w:t>
      </w:r>
    </w:p>
    <w:p w14:paraId="1707A3B2" w14:textId="77777777" w:rsidR="00C66506" w:rsidRPr="00511005" w:rsidRDefault="00C66506" w:rsidP="003A292D">
      <w:pPr>
        <w:spacing w:line="264" w:lineRule="auto"/>
        <w:ind w:firstLine="0"/>
        <w:jc w:val="center"/>
        <w:rPr>
          <w:rFonts w:ascii="Arial" w:eastAsia="Aptos" w:hAnsi="Arial" w:cs="Arial"/>
          <w:kern w:val="2"/>
          <w:szCs w:val="28"/>
        </w:rPr>
      </w:pPr>
    </w:p>
    <w:p w14:paraId="415FF411" w14:textId="77777777" w:rsidR="00AE57E7" w:rsidRPr="00511005" w:rsidRDefault="00AE57E7" w:rsidP="003A292D">
      <w:pPr>
        <w:spacing w:line="264" w:lineRule="auto"/>
        <w:ind w:firstLine="0"/>
        <w:jc w:val="center"/>
        <w:rPr>
          <w:rFonts w:ascii="Arial" w:eastAsia="Aptos" w:hAnsi="Arial" w:cs="Arial"/>
          <w:b/>
          <w:bCs/>
          <w:kern w:val="2"/>
          <w:szCs w:val="28"/>
        </w:rPr>
      </w:pPr>
      <w:r w:rsidRPr="00511005">
        <w:rPr>
          <w:rFonts w:ascii="Arial" w:eastAsia="Aptos" w:hAnsi="Arial" w:cs="Arial"/>
          <w:b/>
          <w:bCs/>
          <w:kern w:val="2"/>
          <w:szCs w:val="28"/>
        </w:rPr>
        <w:t>ДОВIРА ГРОМАДЯН ДО СОЦIАЛЬНИХ IНСТИТУТIВ</w:t>
      </w:r>
    </w:p>
    <w:p w14:paraId="71D0BB46"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 xml:space="preserve">Актуальність теми обумовлена зростаючим значенням соціальних інститутів у забезпеченні політичної стабільності, громадянської згуртованості та ефективності державного управління. У сучасному суспільстві, що перебуває під впливом глобалізаційних викликів, інформаційних воєн, політичних криз та соціальних трансформацій, рівень </w:t>
      </w:r>
      <w:r w:rsidRPr="00511005">
        <w:rPr>
          <w:rFonts w:ascii="Arial" w:eastAsia="Aptos" w:hAnsi="Arial" w:cs="Arial"/>
          <w:kern w:val="2"/>
          <w:szCs w:val="28"/>
        </w:rPr>
        <w:lastRenderedPageBreak/>
        <w:t>довіри до інституцій влади, правосуддя, правоохоронних органів, медіа, освіти та охорони здоров’я набуває визначального значення. Саме довіра є тим «соціальним капіталом», який сприяє легітимності влади, ефективному управлінню, забезпеченню громадянських прав та свобод.</w:t>
      </w:r>
    </w:p>
    <w:p w14:paraId="6FAD72EC"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Нестача довіри, навпаки, призводить до дестабілізації, зростання протестної активності, послаблення державного контролю та розчарування громадян у демократичних механізмах. Актуальність теми підтверджується також зростанням уваги до неї з боку соціологічних досліджень, як міжнародних (European Social Survey, Gallup, World Values Survey), так і національних (Інститут соціології НАН України, Фонд «Демократичні ініціативи», Центр Разумкова, КМІС).</w:t>
      </w:r>
    </w:p>
    <w:p w14:paraId="6C1EC9BC"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Питання довіри до соціальних інститутів розглядається у працях багатьох відомих соціологів і політологів, серед яких – Ф. Фукуяма, Р. Патнем, П. Бурдьє, Н. Луман, Ю. Хабермас, а також українських дослідників: Є. Головаха, Н. Паніна, І. Бекешкіна, О. Доній, І. Яковенко, В. Паніотто. Їх дослідження дозволяють глибше зрозуміти причини кризи довіри та окреслити шляхи її відновлення.</w:t>
      </w:r>
    </w:p>
    <w:p w14:paraId="742E10D4"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У сучасному суспільстві довіра громадян до соціальних інститутів є одним із ключових чинників забезпечення стабільності, ефективного функціонування держави та сталого розвитку суспільства загалом. Поняття довіри тісно пов’язане з легітимністю влади, суспільною згуртованістю та якістю взаємодії між громадянами і владними структурами.</w:t>
      </w:r>
    </w:p>
    <w:p w14:paraId="264885A2"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Соціальні інститути — це сталі форми організації суспільного життя, до яких належать держава, судова система, поліція, засоби масової інформації, система освіти, охорони здоров’я, церква тощо. Саме від рівня довіри до цих інститутів значною мірою залежить готовність громадян до співпраці, дотримання норм права, участі у суспільному житті та політичних процесах.</w:t>
      </w:r>
    </w:p>
    <w:p w14:paraId="473B71FD"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У країнах з розвиненою демократією рівень довіри до соціальних інститутів залишається відносно високим завдяки прозорості їхньої діяльності, доступності інформації, ефективності прийняття рішень і відповідальності посадових осіб. Натомість у країнах з нестабільною політичною системою довіра населення часто є низькою через корупцію, непрозорість влади, неефективність судової системи та нерівність доступу до соціальних послуг [1, с. 30].</w:t>
      </w:r>
    </w:p>
    <w:p w14:paraId="4E90E474"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Довіра до соціальних інститутів слугує «соціальним клеєм», що об'єднує індивідів у функціональну спільноту. Згідно з даними соціологічних досліджень, рівень довіри до інституцій прямо корелює з індикаторами добробуту, рівнем демократії, економічним розвитком і щастям населення. У країнах Скандинавії, де довіра до влади, поліції та судів є високою, спостерігається також високий рівень соціального захисту та громадянської активності [2, с. 169].</w:t>
      </w:r>
    </w:p>
    <w:p w14:paraId="27992569"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lastRenderedPageBreak/>
        <w:t>В Україні ж, як і в багатьох пострадянських країнах, рівень довіри до державних інституцій традиційно залишається низьким. Це обумовлено історичними травмами, корупційними практиками, непрозорістю прийняття рішень, а також невиконанням владою своїх зобов’язань перед громадянами [3, с. 33]</w:t>
      </w:r>
    </w:p>
    <w:p w14:paraId="393CFCDE"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Особливе значення має довіра до інститутів в умовах соціальних трансформацій, криз або воєнного стану. У такі періоди суспільство потребує згуртованості, тому відчуття надійності та справедливості з боку державних інститутів стає критичним фактором для збереження громадського порядку та єдності нації.</w:t>
      </w:r>
    </w:p>
    <w:p w14:paraId="73BDB4AD" w14:textId="77777777" w:rsidR="00AE57E7" w:rsidRPr="00511005" w:rsidRDefault="00AE57E7" w:rsidP="003A292D">
      <w:pPr>
        <w:spacing w:line="264" w:lineRule="auto"/>
        <w:ind w:firstLine="720"/>
        <w:rPr>
          <w:rFonts w:ascii="Arial" w:eastAsia="Aptos" w:hAnsi="Arial" w:cs="Arial"/>
          <w:kern w:val="2"/>
          <w:szCs w:val="28"/>
        </w:rPr>
      </w:pPr>
      <w:r w:rsidRPr="00511005">
        <w:rPr>
          <w:rFonts w:ascii="Arial" w:eastAsia="Aptos" w:hAnsi="Arial" w:cs="Arial"/>
          <w:kern w:val="2"/>
          <w:szCs w:val="28"/>
        </w:rPr>
        <w:t>Серед основних чинників, що впливають на рівень довіри, можна виокремити:</w:t>
      </w:r>
    </w:p>
    <w:p w14:paraId="4FC93D7E" w14:textId="77777777" w:rsidR="00AE57E7" w:rsidRPr="00511005" w:rsidRDefault="00AE57E7" w:rsidP="003F6A5D">
      <w:pPr>
        <w:numPr>
          <w:ilvl w:val="0"/>
          <w:numId w:val="769"/>
        </w:numPr>
        <w:spacing w:line="264" w:lineRule="auto"/>
        <w:ind w:left="0"/>
        <w:contextualSpacing/>
        <w:jc w:val="left"/>
        <w:rPr>
          <w:rFonts w:ascii="Arial" w:eastAsia="Aptos" w:hAnsi="Arial" w:cs="Arial"/>
          <w:kern w:val="2"/>
          <w:szCs w:val="28"/>
        </w:rPr>
      </w:pPr>
      <w:r w:rsidRPr="00511005">
        <w:rPr>
          <w:rFonts w:ascii="Arial" w:eastAsia="Aptos" w:hAnsi="Arial" w:cs="Arial"/>
          <w:kern w:val="2"/>
          <w:szCs w:val="28"/>
        </w:rPr>
        <w:t>Прозорість діяльності соціальних інститутів;</w:t>
      </w:r>
    </w:p>
    <w:p w14:paraId="7648F34C" w14:textId="77777777" w:rsidR="00AE57E7" w:rsidRPr="00511005" w:rsidRDefault="00AE57E7" w:rsidP="003F6A5D">
      <w:pPr>
        <w:numPr>
          <w:ilvl w:val="0"/>
          <w:numId w:val="769"/>
        </w:numPr>
        <w:spacing w:line="264" w:lineRule="auto"/>
        <w:ind w:left="0"/>
        <w:contextualSpacing/>
        <w:jc w:val="left"/>
        <w:rPr>
          <w:rFonts w:ascii="Arial" w:eastAsia="Aptos" w:hAnsi="Arial" w:cs="Arial"/>
          <w:kern w:val="2"/>
          <w:szCs w:val="28"/>
        </w:rPr>
      </w:pPr>
      <w:r w:rsidRPr="00511005">
        <w:rPr>
          <w:rFonts w:ascii="Arial" w:eastAsia="Aptos" w:hAnsi="Arial" w:cs="Arial"/>
          <w:kern w:val="2"/>
          <w:szCs w:val="28"/>
        </w:rPr>
        <w:t>Дотримання принципів верховенства права;</w:t>
      </w:r>
    </w:p>
    <w:p w14:paraId="67AA935B" w14:textId="77777777" w:rsidR="00AE57E7" w:rsidRPr="00511005" w:rsidRDefault="00AE57E7" w:rsidP="003F6A5D">
      <w:pPr>
        <w:numPr>
          <w:ilvl w:val="0"/>
          <w:numId w:val="769"/>
        </w:numPr>
        <w:spacing w:line="264" w:lineRule="auto"/>
        <w:ind w:left="0"/>
        <w:contextualSpacing/>
        <w:jc w:val="left"/>
        <w:rPr>
          <w:rFonts w:ascii="Arial" w:eastAsia="Aptos" w:hAnsi="Arial" w:cs="Arial"/>
          <w:kern w:val="2"/>
          <w:szCs w:val="28"/>
        </w:rPr>
      </w:pPr>
      <w:r w:rsidRPr="00511005">
        <w:rPr>
          <w:rFonts w:ascii="Arial" w:eastAsia="Aptos" w:hAnsi="Arial" w:cs="Arial"/>
          <w:kern w:val="2"/>
          <w:szCs w:val="28"/>
        </w:rPr>
        <w:t>Відповідальність посадових осіб;</w:t>
      </w:r>
    </w:p>
    <w:p w14:paraId="15E407DE" w14:textId="77777777" w:rsidR="00AE57E7" w:rsidRPr="00511005" w:rsidRDefault="00AE57E7" w:rsidP="003F6A5D">
      <w:pPr>
        <w:numPr>
          <w:ilvl w:val="0"/>
          <w:numId w:val="769"/>
        </w:numPr>
        <w:spacing w:line="264" w:lineRule="auto"/>
        <w:ind w:left="0"/>
        <w:contextualSpacing/>
        <w:jc w:val="left"/>
        <w:rPr>
          <w:rFonts w:ascii="Arial" w:eastAsia="Aptos" w:hAnsi="Arial" w:cs="Arial"/>
          <w:kern w:val="2"/>
          <w:szCs w:val="28"/>
        </w:rPr>
      </w:pPr>
      <w:r w:rsidRPr="00511005">
        <w:rPr>
          <w:rFonts w:ascii="Arial" w:eastAsia="Aptos" w:hAnsi="Arial" w:cs="Arial"/>
          <w:kern w:val="2"/>
          <w:szCs w:val="28"/>
        </w:rPr>
        <w:t>Соціальна справедливість та рівність можливостей;</w:t>
      </w:r>
    </w:p>
    <w:p w14:paraId="680E8226" w14:textId="77777777" w:rsidR="00AE57E7" w:rsidRPr="00511005" w:rsidRDefault="00AE57E7" w:rsidP="003F6A5D">
      <w:pPr>
        <w:numPr>
          <w:ilvl w:val="0"/>
          <w:numId w:val="769"/>
        </w:numPr>
        <w:spacing w:line="264" w:lineRule="auto"/>
        <w:ind w:left="0"/>
        <w:contextualSpacing/>
        <w:jc w:val="left"/>
        <w:rPr>
          <w:rFonts w:ascii="Arial" w:eastAsia="Aptos" w:hAnsi="Arial" w:cs="Arial"/>
          <w:kern w:val="2"/>
          <w:szCs w:val="28"/>
        </w:rPr>
      </w:pPr>
      <w:r w:rsidRPr="00511005">
        <w:rPr>
          <w:rFonts w:ascii="Arial" w:eastAsia="Aptos" w:hAnsi="Arial" w:cs="Arial"/>
          <w:kern w:val="2"/>
          <w:szCs w:val="28"/>
        </w:rPr>
        <w:t>Комунікація між владою та громадянами.</w:t>
      </w:r>
    </w:p>
    <w:p w14:paraId="0FA3D5FB" w14:textId="77777777" w:rsidR="00AE57E7" w:rsidRPr="00511005" w:rsidRDefault="00AE57E7" w:rsidP="003A292D">
      <w:pPr>
        <w:spacing w:line="264" w:lineRule="auto"/>
        <w:ind w:firstLine="360"/>
        <w:rPr>
          <w:rFonts w:ascii="Arial" w:eastAsia="Aptos" w:hAnsi="Arial" w:cs="Arial"/>
          <w:kern w:val="2"/>
          <w:szCs w:val="28"/>
        </w:rPr>
      </w:pPr>
      <w:r w:rsidRPr="00511005">
        <w:rPr>
          <w:rFonts w:ascii="Arial" w:eastAsia="Aptos" w:hAnsi="Arial" w:cs="Arial"/>
          <w:kern w:val="2"/>
          <w:szCs w:val="28"/>
        </w:rPr>
        <w:t>Одним із дієвих способів підвищення довіри є розвиток електронного врядування, громадських консультацій, забезпечення незалежності ЗМІ та судової системи. Важливою також є роль громадянського суспільства, яке виступає посередником між владою та населенням, сприяючи формуванню взаємної відповідальності та контролю.</w:t>
      </w:r>
    </w:p>
    <w:p w14:paraId="1B54C06C" w14:textId="77777777" w:rsidR="00AE57E7" w:rsidRPr="00511005" w:rsidRDefault="00AE57E7" w:rsidP="003A292D">
      <w:pPr>
        <w:spacing w:line="264" w:lineRule="auto"/>
        <w:ind w:firstLine="360"/>
        <w:rPr>
          <w:rFonts w:ascii="Arial" w:eastAsia="Aptos" w:hAnsi="Arial" w:cs="Arial"/>
          <w:kern w:val="2"/>
          <w:szCs w:val="28"/>
        </w:rPr>
      </w:pPr>
      <w:r w:rsidRPr="00511005">
        <w:rPr>
          <w:rFonts w:ascii="Arial" w:eastAsia="Aptos" w:hAnsi="Arial" w:cs="Arial"/>
          <w:kern w:val="2"/>
          <w:szCs w:val="28"/>
        </w:rPr>
        <w:t>Отже, довіра до соціальних інститутів є не лише показником якості державного управління, а й запорукою розвитку демократії, громадянської активності та соціального прогресу. Суспільство, в якому існує висока довіра до інституцій, є більш стабільним, згуртованим та здатним ефективно відповідати на виклики часу.</w:t>
      </w:r>
    </w:p>
    <w:p w14:paraId="1D66B897" w14:textId="77777777" w:rsidR="00AE57E7" w:rsidRPr="00511005" w:rsidRDefault="00AE57E7" w:rsidP="003A292D">
      <w:pPr>
        <w:spacing w:line="264" w:lineRule="auto"/>
        <w:ind w:firstLine="360"/>
        <w:rPr>
          <w:rFonts w:ascii="Arial" w:eastAsia="Aptos" w:hAnsi="Arial" w:cs="Arial"/>
          <w:kern w:val="2"/>
          <w:szCs w:val="28"/>
        </w:rPr>
      </w:pPr>
    </w:p>
    <w:p w14:paraId="08C44C08" w14:textId="74E30415" w:rsidR="00AE57E7" w:rsidRPr="00511005" w:rsidRDefault="007B2628" w:rsidP="007B2628">
      <w:pPr>
        <w:spacing w:line="264" w:lineRule="auto"/>
        <w:ind w:firstLine="360"/>
        <w:jc w:val="center"/>
        <w:rPr>
          <w:rFonts w:ascii="Arial" w:eastAsia="Aptos" w:hAnsi="Arial" w:cs="Arial"/>
          <w:b/>
          <w:bCs/>
          <w:kern w:val="2"/>
          <w:szCs w:val="28"/>
        </w:rPr>
      </w:pPr>
      <w:r w:rsidRPr="00511005">
        <w:rPr>
          <w:rFonts w:ascii="Arial" w:eastAsia="Aptos" w:hAnsi="Arial" w:cs="Arial"/>
          <w:b/>
          <w:bCs/>
          <w:kern w:val="2"/>
          <w:szCs w:val="28"/>
          <w:lang w:val="uk-UA"/>
        </w:rPr>
        <w:t>Список використаних джерел</w:t>
      </w:r>
    </w:p>
    <w:p w14:paraId="6DA573D8" w14:textId="77777777" w:rsidR="00AE57E7" w:rsidRPr="00511005" w:rsidRDefault="00AE57E7" w:rsidP="003F6A5D">
      <w:pPr>
        <w:numPr>
          <w:ilvl w:val="0"/>
          <w:numId w:val="770"/>
        </w:numPr>
        <w:spacing w:line="264" w:lineRule="auto"/>
        <w:ind w:left="0"/>
        <w:contextualSpacing/>
        <w:jc w:val="left"/>
        <w:rPr>
          <w:rFonts w:ascii="Arial" w:eastAsia="Aptos" w:hAnsi="Arial" w:cs="Arial"/>
          <w:kern w:val="2"/>
          <w:szCs w:val="28"/>
          <w:lang w:val="en-US"/>
        </w:rPr>
      </w:pPr>
      <w:r w:rsidRPr="00511005">
        <w:rPr>
          <w:rFonts w:ascii="Arial" w:eastAsia="Aptos" w:hAnsi="Arial" w:cs="Arial"/>
          <w:kern w:val="2"/>
          <w:szCs w:val="28"/>
          <w:lang w:val="en-US"/>
        </w:rPr>
        <w:t>Mishler, W., Rose, R. What are the origins of political trust? Testing institutional and cultural theories in post-communist societies. Comparative Political Studies. 2001. Vol. 34(1). P. 30–62.</w:t>
      </w:r>
      <w:r w:rsidRPr="00511005">
        <w:rPr>
          <w:rFonts w:ascii="Arial" w:eastAsia="Aptos" w:hAnsi="Arial" w:cs="Arial"/>
          <w:kern w:val="2"/>
          <w:szCs w:val="28"/>
        </w:rPr>
        <w:t xml:space="preserve"> </w:t>
      </w:r>
      <w:r w:rsidRPr="00511005">
        <w:rPr>
          <w:rFonts w:ascii="Arial" w:eastAsia="Aptos" w:hAnsi="Arial" w:cs="Arial"/>
          <w:kern w:val="2"/>
          <w:szCs w:val="28"/>
          <w:lang w:val="en-US"/>
        </w:rPr>
        <w:t xml:space="preserve">URL: </w:t>
      </w:r>
      <w:hyperlink r:id="rId2602" w:history="1">
        <w:r w:rsidRPr="00511005">
          <w:rPr>
            <w:rFonts w:ascii="Arial" w:eastAsia="Aptos" w:hAnsi="Arial" w:cs="Arial"/>
            <w:kern w:val="2"/>
            <w:szCs w:val="28"/>
            <w:lang w:val="en-US"/>
          </w:rPr>
          <w:t>https://doi.org/10.1177/0010414001034001002</w:t>
        </w:r>
      </w:hyperlink>
      <w:r w:rsidRPr="00511005">
        <w:rPr>
          <w:rFonts w:ascii="Arial" w:eastAsia="Aptos" w:hAnsi="Arial" w:cs="Arial"/>
          <w:kern w:val="2"/>
          <w:szCs w:val="28"/>
        </w:rPr>
        <w:t xml:space="preserve"> </w:t>
      </w:r>
    </w:p>
    <w:p w14:paraId="7F5A145C" w14:textId="77777777" w:rsidR="00AE57E7" w:rsidRPr="00511005" w:rsidRDefault="00AE57E7" w:rsidP="003F6A5D">
      <w:pPr>
        <w:numPr>
          <w:ilvl w:val="0"/>
          <w:numId w:val="770"/>
        </w:numPr>
        <w:spacing w:line="264" w:lineRule="auto"/>
        <w:ind w:left="0"/>
        <w:contextualSpacing/>
        <w:jc w:val="left"/>
        <w:rPr>
          <w:rFonts w:ascii="Arial" w:eastAsia="Aptos" w:hAnsi="Arial" w:cs="Arial"/>
          <w:kern w:val="2"/>
          <w:szCs w:val="28"/>
          <w:lang w:val="en-US"/>
        </w:rPr>
      </w:pPr>
      <w:r w:rsidRPr="00511005">
        <w:rPr>
          <w:rFonts w:ascii="Arial" w:eastAsia="Aptos" w:hAnsi="Arial" w:cs="Arial"/>
          <w:kern w:val="2"/>
          <w:szCs w:val="28"/>
          <w:lang w:val="en-US"/>
        </w:rPr>
        <w:t>Newton, K. Social and Political Trust in Established Democracies. In: Norris P. (ed.) Critical Citizens: Global Support for Democratic Government. Oxford University Press, 1999. P. 169–187.</w:t>
      </w:r>
    </w:p>
    <w:p w14:paraId="3DCC0708" w14:textId="77777777" w:rsidR="00AE57E7" w:rsidRPr="00511005" w:rsidRDefault="00AE57E7" w:rsidP="003A292D">
      <w:pPr>
        <w:spacing w:line="264" w:lineRule="auto"/>
        <w:ind w:firstLine="0"/>
        <w:jc w:val="left"/>
        <w:rPr>
          <w:rFonts w:ascii="Arial" w:eastAsia="Aptos" w:hAnsi="Arial" w:cs="Arial"/>
          <w:kern w:val="2"/>
          <w:szCs w:val="28"/>
          <w:lang w:val="en-US"/>
        </w:rPr>
      </w:pPr>
      <w:r w:rsidRPr="00511005">
        <w:rPr>
          <w:rFonts w:ascii="Arial" w:eastAsia="Aptos" w:hAnsi="Arial" w:cs="Arial"/>
          <w:kern w:val="2"/>
          <w:szCs w:val="28"/>
          <w:lang w:val="en-US"/>
        </w:rPr>
        <w:t xml:space="preserve">URL: </w:t>
      </w:r>
      <w:hyperlink r:id="rId2603" w:history="1">
        <w:r w:rsidRPr="00511005">
          <w:rPr>
            <w:rFonts w:ascii="Arial" w:eastAsia="Aptos" w:hAnsi="Arial" w:cs="Arial"/>
            <w:kern w:val="2"/>
            <w:szCs w:val="28"/>
            <w:lang w:val="en-US"/>
          </w:rPr>
          <w:t>https://doi.org/10.1093/0198295685.003.0010</w:t>
        </w:r>
      </w:hyperlink>
      <w:r w:rsidRPr="00511005">
        <w:rPr>
          <w:rFonts w:ascii="Arial" w:eastAsia="Aptos" w:hAnsi="Arial" w:cs="Arial"/>
          <w:kern w:val="2"/>
          <w:szCs w:val="28"/>
          <w:lang w:val="en-US"/>
        </w:rPr>
        <w:t xml:space="preserve"> </w:t>
      </w:r>
    </w:p>
    <w:p w14:paraId="57369040" w14:textId="77777777" w:rsidR="00AE57E7" w:rsidRPr="00511005" w:rsidRDefault="00AE57E7" w:rsidP="003F6A5D">
      <w:pPr>
        <w:numPr>
          <w:ilvl w:val="0"/>
          <w:numId w:val="770"/>
        </w:numPr>
        <w:spacing w:line="264" w:lineRule="auto"/>
        <w:contextualSpacing/>
        <w:jc w:val="left"/>
        <w:rPr>
          <w:rFonts w:ascii="Arial" w:eastAsia="Aptos" w:hAnsi="Arial" w:cs="Arial"/>
          <w:kern w:val="2"/>
          <w:szCs w:val="28"/>
          <w:lang w:val="en-US"/>
        </w:rPr>
      </w:pPr>
      <w:r w:rsidRPr="00511005">
        <w:rPr>
          <w:rFonts w:ascii="Arial" w:eastAsia="Aptos" w:hAnsi="Arial" w:cs="Arial"/>
          <w:kern w:val="2"/>
          <w:szCs w:val="28"/>
          <w:lang w:val="en-US"/>
        </w:rPr>
        <w:t xml:space="preserve">Shulga O. V. Gromadska Dovira v Ukrainy: Tendencies and Officials of the Ministry of Justice. Kyiv: Democratic Initiatives Foundation, 2020. P. 10–33. URL: </w:t>
      </w:r>
      <w:hyperlink r:id="rId2604" w:history="1">
        <w:r w:rsidRPr="00511005">
          <w:rPr>
            <w:rFonts w:ascii="Arial" w:eastAsia="Aptos" w:hAnsi="Arial" w:cs="Arial"/>
            <w:kern w:val="2"/>
            <w:szCs w:val="28"/>
            <w:lang w:val="en-US"/>
          </w:rPr>
          <w:t>https://dif.org.ua/article/gromadska-dovira-v-ukraini</w:t>
        </w:r>
      </w:hyperlink>
      <w:r w:rsidRPr="00511005">
        <w:rPr>
          <w:rFonts w:ascii="Arial" w:eastAsia="Aptos" w:hAnsi="Arial" w:cs="Arial"/>
          <w:kern w:val="2"/>
          <w:szCs w:val="28"/>
          <w:lang w:val="en-US"/>
        </w:rPr>
        <w:t xml:space="preserve"> </w:t>
      </w:r>
    </w:p>
    <w:p w14:paraId="6348D8FD" w14:textId="77777777" w:rsidR="00AE57E7" w:rsidRPr="00511005" w:rsidRDefault="00AE57E7" w:rsidP="003A292D">
      <w:pPr>
        <w:spacing w:line="264" w:lineRule="auto"/>
        <w:ind w:firstLine="360"/>
        <w:jc w:val="left"/>
        <w:rPr>
          <w:rFonts w:ascii="Arial" w:eastAsia="Aptos" w:hAnsi="Arial" w:cs="Arial"/>
          <w:kern w:val="2"/>
          <w:szCs w:val="28"/>
          <w:lang w:val="en-US"/>
        </w:rPr>
      </w:pPr>
    </w:p>
    <w:p w14:paraId="7CB957C5" w14:textId="71412578" w:rsidR="00AE57E7" w:rsidRPr="00511005" w:rsidRDefault="007B2628" w:rsidP="003A292D">
      <w:pPr>
        <w:spacing w:line="264" w:lineRule="auto"/>
        <w:ind w:firstLine="360"/>
        <w:jc w:val="left"/>
        <w:rPr>
          <w:rFonts w:ascii="Arial" w:eastAsia="Aptos" w:hAnsi="Arial" w:cs="Arial"/>
          <w:kern w:val="2"/>
          <w:szCs w:val="28"/>
          <w:lang w:val="en-US"/>
        </w:rPr>
      </w:pPr>
      <w:r w:rsidRPr="00511005">
        <w:rPr>
          <w:rFonts w:ascii="Arial" w:eastAsia="Aptos" w:hAnsi="Arial" w:cs="Arial"/>
          <w:b/>
          <w:bCs/>
          <w:i/>
          <w:kern w:val="2"/>
          <w:szCs w:val="28"/>
          <w:lang w:val="en-US"/>
        </w:rPr>
        <w:lastRenderedPageBreak/>
        <w:t xml:space="preserve">Ключові слова: </w:t>
      </w:r>
      <w:r w:rsidR="00AE57E7" w:rsidRPr="00511005">
        <w:rPr>
          <w:rFonts w:ascii="Arial" w:eastAsia="Aptos" w:hAnsi="Arial" w:cs="Arial"/>
          <w:kern w:val="2"/>
          <w:szCs w:val="28"/>
          <w:lang w:val="en-US"/>
        </w:rPr>
        <w:t>довіра, соціальні інститути, політична стабільність, громадська думка, легітимність, демократія, влада, соціальний капітал, громадянське суспільство, публічна сфера.</w:t>
      </w:r>
    </w:p>
    <w:p w14:paraId="6D69160D" w14:textId="72B510F2" w:rsidR="00AE57E7" w:rsidRPr="00511005" w:rsidRDefault="007B2628" w:rsidP="003A292D">
      <w:pPr>
        <w:spacing w:line="264" w:lineRule="auto"/>
        <w:ind w:firstLine="360"/>
        <w:jc w:val="left"/>
        <w:rPr>
          <w:rFonts w:ascii="Arial" w:eastAsia="Aptos" w:hAnsi="Arial" w:cs="Arial"/>
          <w:kern w:val="2"/>
          <w:szCs w:val="28"/>
          <w:lang w:val="en-US"/>
        </w:rPr>
      </w:pPr>
      <w:r w:rsidRPr="00511005">
        <w:rPr>
          <w:rFonts w:ascii="Arial" w:eastAsia="Aptos" w:hAnsi="Arial" w:cs="Arial"/>
          <w:b/>
          <w:bCs/>
          <w:i/>
          <w:kern w:val="2"/>
          <w:szCs w:val="28"/>
          <w:lang w:val="en-US"/>
        </w:rPr>
        <w:t xml:space="preserve">Key words: </w:t>
      </w:r>
      <w:r w:rsidR="00AE57E7" w:rsidRPr="00511005">
        <w:rPr>
          <w:rFonts w:ascii="Arial" w:eastAsia="Aptos" w:hAnsi="Arial" w:cs="Arial"/>
          <w:kern w:val="2"/>
          <w:szCs w:val="28"/>
          <w:lang w:val="en-US"/>
        </w:rPr>
        <w:t>trust, social institutions, political stability, public opinion, legitimacy, democracy, authority, social capital, civil society, public sphere.</w:t>
      </w:r>
    </w:p>
    <w:p w14:paraId="737FE9BB" w14:textId="5CC17B38" w:rsidR="00AE57E7" w:rsidRPr="00511005" w:rsidRDefault="007B2628" w:rsidP="003A292D">
      <w:pPr>
        <w:spacing w:line="264" w:lineRule="auto"/>
        <w:ind w:firstLine="360"/>
        <w:jc w:val="left"/>
        <w:rPr>
          <w:rFonts w:ascii="Arial" w:eastAsia="Aptos" w:hAnsi="Arial" w:cs="Arial"/>
          <w:kern w:val="2"/>
          <w:szCs w:val="28"/>
        </w:rPr>
      </w:pPr>
      <w:r w:rsidRPr="00511005">
        <w:rPr>
          <w:rFonts w:ascii="Arial" w:eastAsia="Aptos" w:hAnsi="Arial" w:cs="Arial"/>
          <w:b/>
          <w:i/>
          <w:kern w:val="2"/>
          <w:szCs w:val="28"/>
        </w:rPr>
        <w:t xml:space="preserve">Науковий керівник: </w:t>
      </w:r>
      <w:r w:rsidR="00AE57E7" w:rsidRPr="00511005">
        <w:rPr>
          <w:rFonts w:ascii="Arial" w:eastAsia="Aptos" w:hAnsi="Arial" w:cs="Arial"/>
          <w:kern w:val="2"/>
          <w:szCs w:val="28"/>
        </w:rPr>
        <w:t xml:space="preserve">д.пол.н., професор Яковлева Л. </w:t>
      </w:r>
      <w:r w:rsidR="00AE57E7" w:rsidRPr="00511005">
        <w:rPr>
          <w:rFonts w:ascii="Arial" w:eastAsia="Aptos" w:hAnsi="Arial" w:cs="Arial"/>
          <w:kern w:val="2"/>
          <w:szCs w:val="28"/>
          <w:lang w:val="en-US"/>
        </w:rPr>
        <w:t>I</w:t>
      </w:r>
    </w:p>
    <w:p w14:paraId="0D369243" w14:textId="77777777" w:rsidR="00AE57E7" w:rsidRPr="00511005" w:rsidRDefault="00AE57E7" w:rsidP="003A292D">
      <w:pPr>
        <w:spacing w:line="264" w:lineRule="auto"/>
        <w:ind w:firstLine="360"/>
        <w:jc w:val="left"/>
        <w:rPr>
          <w:rFonts w:ascii="Arial" w:eastAsia="Aptos" w:hAnsi="Arial" w:cs="Arial"/>
          <w:kern w:val="2"/>
          <w:szCs w:val="28"/>
        </w:rPr>
      </w:pPr>
    </w:p>
    <w:p w14:paraId="0195DA67" w14:textId="317CB563" w:rsidR="00AE57E7" w:rsidRPr="00511005" w:rsidRDefault="00AE57E7" w:rsidP="003A292D">
      <w:pPr>
        <w:spacing w:line="264" w:lineRule="auto"/>
        <w:rPr>
          <w:rFonts w:ascii="Arial" w:eastAsia="Calibri" w:hAnsi="Arial" w:cs="Arial"/>
          <w:szCs w:val="28"/>
          <w:lang w:val="uk-UA" w:eastAsia="ru-RU"/>
        </w:rPr>
      </w:pPr>
    </w:p>
    <w:p w14:paraId="6CE84E86" w14:textId="77777777" w:rsidR="00AE57E7" w:rsidRPr="00511005" w:rsidRDefault="00AE57E7" w:rsidP="003A292D">
      <w:pPr>
        <w:spacing w:line="264" w:lineRule="auto"/>
        <w:ind w:firstLine="0"/>
        <w:jc w:val="center"/>
        <w:rPr>
          <w:rFonts w:ascii="Arial" w:eastAsia="Aptos" w:hAnsi="Arial" w:cs="Arial"/>
          <w:b/>
          <w:bCs/>
          <w:i/>
          <w:iCs/>
          <w:kern w:val="2"/>
          <w:szCs w:val="28"/>
          <w:lang w:val="uk-UA"/>
        </w:rPr>
      </w:pPr>
      <w:r w:rsidRPr="00511005">
        <w:rPr>
          <w:rFonts w:ascii="Arial" w:eastAsia="Aptos" w:hAnsi="Arial" w:cs="Arial"/>
          <w:b/>
          <w:bCs/>
          <w:i/>
          <w:iCs/>
          <w:kern w:val="2"/>
          <w:szCs w:val="28"/>
          <w:lang w:val="uk-UA"/>
        </w:rPr>
        <w:t>Щіпанська Діана Олегівна</w:t>
      </w:r>
    </w:p>
    <w:p w14:paraId="271951DC" w14:textId="51117CEC" w:rsidR="00AE57E7" w:rsidRPr="00511005" w:rsidRDefault="00536AAB" w:rsidP="003A292D">
      <w:pPr>
        <w:spacing w:line="264" w:lineRule="auto"/>
        <w:ind w:firstLine="0"/>
        <w:jc w:val="center"/>
        <w:rPr>
          <w:rFonts w:ascii="Arial" w:eastAsia="Aptos" w:hAnsi="Arial" w:cs="Arial"/>
          <w:kern w:val="2"/>
          <w:szCs w:val="28"/>
          <w:lang w:val="uk-UA"/>
        </w:rPr>
      </w:pPr>
      <w:r w:rsidRPr="00511005">
        <w:rPr>
          <w:rFonts w:ascii="Arial" w:eastAsia="Aptos" w:hAnsi="Arial" w:cs="Arial"/>
          <w:kern w:val="2"/>
          <w:szCs w:val="28"/>
          <w:lang w:val="uk-UA"/>
        </w:rPr>
        <w:t>Студентка 3-го курсу факультету психології, політології та соціології</w:t>
      </w:r>
    </w:p>
    <w:p w14:paraId="11662896" w14:textId="2941B309" w:rsidR="00AE57E7" w:rsidRPr="00511005" w:rsidRDefault="007B2628" w:rsidP="003A292D">
      <w:pPr>
        <w:spacing w:line="264" w:lineRule="auto"/>
        <w:ind w:firstLine="0"/>
        <w:jc w:val="center"/>
        <w:rPr>
          <w:rFonts w:ascii="Arial" w:eastAsia="Aptos" w:hAnsi="Arial" w:cs="Arial"/>
          <w:kern w:val="2"/>
          <w:szCs w:val="28"/>
          <w:lang w:val="uk-UA"/>
        </w:rPr>
      </w:pPr>
      <w:r w:rsidRPr="00511005">
        <w:rPr>
          <w:rFonts w:ascii="Arial" w:eastAsia="Aptos" w:hAnsi="Arial" w:cs="Arial"/>
          <w:kern w:val="2"/>
          <w:szCs w:val="28"/>
          <w:lang w:val="uk-UA"/>
        </w:rPr>
        <w:t>Національного університету «Одеська юридична академія»</w:t>
      </w:r>
    </w:p>
    <w:p w14:paraId="172FB6CC" w14:textId="77777777" w:rsidR="00AE57E7" w:rsidRPr="00511005" w:rsidRDefault="00AE57E7" w:rsidP="003A292D">
      <w:pPr>
        <w:spacing w:line="264" w:lineRule="auto"/>
        <w:ind w:firstLine="0"/>
        <w:jc w:val="center"/>
        <w:rPr>
          <w:rFonts w:ascii="Arial" w:eastAsia="Aptos" w:hAnsi="Arial" w:cs="Arial"/>
          <w:kern w:val="2"/>
          <w:szCs w:val="28"/>
          <w:lang w:val="uk-UA"/>
        </w:rPr>
      </w:pPr>
    </w:p>
    <w:p w14:paraId="1C845B58" w14:textId="77777777" w:rsidR="00AE57E7" w:rsidRPr="00511005" w:rsidRDefault="00AE57E7" w:rsidP="003A292D">
      <w:pPr>
        <w:spacing w:line="264" w:lineRule="auto"/>
        <w:ind w:firstLine="720"/>
        <w:jc w:val="center"/>
        <w:rPr>
          <w:rFonts w:ascii="Arial" w:eastAsia="Aptos" w:hAnsi="Arial" w:cs="Arial"/>
          <w:kern w:val="2"/>
          <w:szCs w:val="28"/>
          <w:lang w:val="uk-UA"/>
        </w:rPr>
      </w:pPr>
      <w:r w:rsidRPr="00511005">
        <w:rPr>
          <w:rFonts w:ascii="Arial" w:eastAsia="Aptos" w:hAnsi="Arial" w:cs="Arial"/>
          <w:b/>
          <w:bCs/>
          <w:kern w:val="2"/>
          <w:szCs w:val="28"/>
          <w:lang w:val="uk-UA"/>
        </w:rPr>
        <w:t>ОСОБЛИВОСТІ ФЕНОМЕНУ «ЧАЙЛДФРІ» В УКРАЇНІ</w:t>
      </w:r>
    </w:p>
    <w:p w14:paraId="1CB11164" w14:textId="77777777" w:rsidR="00AE57E7" w:rsidRPr="00511005" w:rsidRDefault="00AE57E7" w:rsidP="003A292D">
      <w:pPr>
        <w:spacing w:line="264" w:lineRule="auto"/>
        <w:ind w:firstLine="720"/>
        <w:rPr>
          <w:rFonts w:ascii="Arial" w:eastAsia="Aptos" w:hAnsi="Arial" w:cs="Arial"/>
          <w:kern w:val="2"/>
          <w:szCs w:val="28"/>
          <w:lang w:val="uk-UA"/>
        </w:rPr>
      </w:pPr>
      <w:r w:rsidRPr="00511005">
        <w:rPr>
          <w:rFonts w:ascii="Arial" w:eastAsia="Aptos" w:hAnsi="Arial" w:cs="Arial"/>
          <w:kern w:val="2"/>
          <w:szCs w:val="28"/>
          <w:lang w:val="uk-UA"/>
        </w:rPr>
        <w:t>Феномен «чайлдфрі» в Україні має виразні специфічні риси, які формуються під впливом культурних традицій, економічних реалій та соціальних норм. Попри зростаючу популярність свідомого бездіття, суспільство все ще міцно тримається за традиційні уявлення про обов'язковість батьківства та роль родини.</w:t>
      </w:r>
    </w:p>
    <w:p w14:paraId="4FF4FBAC" w14:textId="77777777" w:rsidR="00AE57E7" w:rsidRPr="00511005" w:rsidRDefault="00AE57E7" w:rsidP="003A292D">
      <w:pPr>
        <w:spacing w:line="264" w:lineRule="auto"/>
        <w:ind w:firstLine="720"/>
        <w:rPr>
          <w:rFonts w:ascii="Arial" w:eastAsia="Aptos" w:hAnsi="Arial" w:cs="Arial"/>
          <w:kern w:val="2"/>
          <w:szCs w:val="28"/>
          <w:lang w:val="uk-UA"/>
        </w:rPr>
      </w:pPr>
      <w:r w:rsidRPr="00511005">
        <w:rPr>
          <w:rFonts w:ascii="Arial" w:eastAsia="Aptos" w:hAnsi="Arial" w:cs="Arial"/>
          <w:kern w:val="2"/>
          <w:szCs w:val="28"/>
          <w:lang w:val="uk-UA"/>
        </w:rPr>
        <w:t xml:space="preserve">Для держав пострадянського простору, де історично материнство вважалося головним призначенням жінки, ідеологія “чайлдфрі” є досить новим явищем, яке, однак, знаходить усе більше підтримки. Ключовою зміною у ставленні до батьківства є трансформація суспільних цінностей, що спричинила конфлікт між природним інстинктом до продовження роду та новими соціокультурними умовами. </w:t>
      </w:r>
    </w:p>
    <w:p w14:paraId="0467E73B" w14:textId="77777777" w:rsidR="00AE57E7" w:rsidRPr="00511005" w:rsidRDefault="00AE57E7" w:rsidP="003A292D">
      <w:pPr>
        <w:spacing w:line="264" w:lineRule="auto"/>
        <w:ind w:firstLine="720"/>
        <w:rPr>
          <w:rFonts w:ascii="Arial" w:eastAsia="Aptos" w:hAnsi="Arial" w:cs="Arial"/>
          <w:kern w:val="2"/>
          <w:szCs w:val="28"/>
          <w:lang w:val="uk-UA"/>
        </w:rPr>
      </w:pPr>
      <w:r w:rsidRPr="00511005">
        <w:rPr>
          <w:rFonts w:ascii="Arial" w:eastAsia="Aptos" w:hAnsi="Arial" w:cs="Arial"/>
          <w:kern w:val="2"/>
          <w:szCs w:val="28"/>
          <w:lang w:val="uk-UA"/>
        </w:rPr>
        <w:t>Саме ця зміна відображає новий етап у розвитку суспільства, де індивідуальні потреби та права на особистий вибір дедалі частіше переважають над традиційними нормами [2. c.70].</w:t>
      </w:r>
    </w:p>
    <w:p w14:paraId="211E6B92" w14:textId="77777777" w:rsidR="00AE57E7" w:rsidRPr="00511005" w:rsidRDefault="00AE57E7" w:rsidP="003A292D">
      <w:pPr>
        <w:spacing w:line="264" w:lineRule="auto"/>
        <w:ind w:firstLine="720"/>
        <w:rPr>
          <w:rFonts w:ascii="Arial" w:eastAsia="Aptos" w:hAnsi="Arial" w:cs="Arial"/>
          <w:kern w:val="2"/>
          <w:szCs w:val="28"/>
          <w:lang w:val="uk-UA"/>
        </w:rPr>
      </w:pPr>
      <w:r w:rsidRPr="00511005">
        <w:rPr>
          <w:rFonts w:ascii="Arial" w:eastAsia="Aptos" w:hAnsi="Arial" w:cs="Arial"/>
          <w:kern w:val="2"/>
          <w:szCs w:val="28"/>
          <w:lang w:val="uk-UA"/>
        </w:rPr>
        <w:t>Сучасний світ ставить людей перед вибором між батьківством, свободою та професійним успіхом. Причини свідомого вибору бездітності є різноманітними: вони можуть включати вплив життєвих обставин, соціальну нестабільність, страх втрати свободи, побоювання перед народженням дітей та супутніми наслідками, відмову від виховання дітей чи недовіру до партнера.</w:t>
      </w:r>
    </w:p>
    <w:p w14:paraId="27118F2A" w14:textId="77777777" w:rsidR="00AE57E7" w:rsidRPr="00511005" w:rsidRDefault="00AE57E7" w:rsidP="003A292D">
      <w:pPr>
        <w:spacing w:line="264" w:lineRule="auto"/>
        <w:ind w:firstLine="720"/>
        <w:rPr>
          <w:rFonts w:ascii="Arial" w:eastAsia="Aptos" w:hAnsi="Arial" w:cs="Arial"/>
          <w:kern w:val="2"/>
          <w:szCs w:val="28"/>
          <w:lang w:val="uk-UA"/>
        </w:rPr>
      </w:pPr>
      <w:r w:rsidRPr="00511005">
        <w:rPr>
          <w:rFonts w:ascii="Arial" w:eastAsia="Aptos" w:hAnsi="Arial" w:cs="Arial"/>
          <w:kern w:val="2"/>
          <w:szCs w:val="28"/>
          <w:lang w:val="uk-UA"/>
        </w:rPr>
        <w:t xml:space="preserve">Психоаналітики підкреслюють, що взаємодія дорослих із дітьми має велике значення, оскільки саме вона допомагає дитині будувати здорові стосунки з іншими. Позитивна увага до дитини в родині сприяє її самоактуалізації та розвитку потенціалу. Водночас із дитинства важливо формувати цінності, правила та сценарії, які є фундаментальними для становлення особистості. </w:t>
      </w:r>
    </w:p>
    <w:p w14:paraId="67AE10E7" w14:textId="77777777" w:rsidR="00AE57E7" w:rsidRPr="00511005" w:rsidRDefault="00AE57E7" w:rsidP="003A292D">
      <w:pPr>
        <w:spacing w:line="264" w:lineRule="auto"/>
        <w:ind w:firstLine="720"/>
        <w:rPr>
          <w:rFonts w:ascii="Arial" w:eastAsia="Aptos" w:hAnsi="Arial" w:cs="Arial"/>
          <w:kern w:val="2"/>
          <w:szCs w:val="28"/>
          <w:lang w:val="uk-UA"/>
        </w:rPr>
      </w:pPr>
      <w:r w:rsidRPr="00511005">
        <w:rPr>
          <w:rFonts w:ascii="Arial" w:eastAsia="Aptos" w:hAnsi="Arial" w:cs="Arial"/>
          <w:kern w:val="2"/>
          <w:szCs w:val="28"/>
          <w:lang w:val="uk-UA"/>
        </w:rPr>
        <w:t xml:space="preserve">Бездітний рух офіційно розпочався в Україні з 2004 року через активне створення тематичних інтернет-спільнот, форумів та груп у соціальних мережах. Ця форма комунікації стала ключовим майданчиком для обміну </w:t>
      </w:r>
      <w:r w:rsidRPr="00511005">
        <w:rPr>
          <w:rFonts w:ascii="Arial" w:eastAsia="Aptos" w:hAnsi="Arial" w:cs="Arial"/>
          <w:kern w:val="2"/>
          <w:szCs w:val="28"/>
          <w:lang w:val="uk-UA"/>
        </w:rPr>
        <w:lastRenderedPageBreak/>
        <w:t>думками, поширення ідей та підтримки представників “чайлдфрі”. На сьогоднішній день послідовники руху здебільшого обмежуються висловлюванням своїх поглядів онлайн або виступами на телевізійних ток-шоу. Незважаючи на це, перспективи подальшого розвитку руху залишаються відкритими.</w:t>
      </w:r>
    </w:p>
    <w:p w14:paraId="1BCB552C" w14:textId="77777777" w:rsidR="00AE57E7" w:rsidRPr="00511005" w:rsidRDefault="00AE57E7" w:rsidP="003A292D">
      <w:pPr>
        <w:spacing w:line="264" w:lineRule="auto"/>
        <w:ind w:firstLine="720"/>
        <w:rPr>
          <w:rFonts w:ascii="Arial" w:eastAsia="Aptos" w:hAnsi="Arial" w:cs="Arial"/>
          <w:kern w:val="2"/>
          <w:szCs w:val="28"/>
          <w:lang w:val="uk-UA"/>
        </w:rPr>
      </w:pPr>
      <w:r w:rsidRPr="00511005">
        <w:rPr>
          <w:rFonts w:ascii="Arial" w:eastAsia="Aptos" w:hAnsi="Arial" w:cs="Arial"/>
          <w:kern w:val="2"/>
          <w:szCs w:val="28"/>
          <w:lang w:val="uk-UA"/>
        </w:rPr>
        <w:t xml:space="preserve">На сьогоднішній день в країні немає системних соціологічних досліджень, які б повністю аналізували феномен «чайлдфрі», його особливості, переваги та недоліки, а також його вплив на демографічні процеси. Через це складно знайти офіційну статистику щодо кількості прихильників цього руху. Водночас питання добровільної бездітності згадувалося в інших наукових дослідженнях. Так Український інститут демографії та соціальних досліджень ім. М.В. Птухи НАН України провів дослідження на тему “Сім’я та діти”, яке показало, що 1,2% опитаних усвідомлено вважали родину без дітей найкращим варіантом, аргументуючи це бажанням зосередитися на власних інтересах та мати більше вільного часу [1]. </w:t>
      </w:r>
    </w:p>
    <w:p w14:paraId="628F37FF" w14:textId="062E9B6C" w:rsidR="00AE57E7" w:rsidRPr="00511005" w:rsidRDefault="00AE57E7" w:rsidP="003A292D">
      <w:pPr>
        <w:spacing w:line="264" w:lineRule="auto"/>
        <w:ind w:firstLine="720"/>
        <w:rPr>
          <w:rFonts w:ascii="Arial" w:eastAsia="Aptos" w:hAnsi="Arial" w:cs="Arial"/>
          <w:kern w:val="2"/>
          <w:szCs w:val="28"/>
          <w:lang w:val="uk-UA"/>
        </w:rPr>
      </w:pPr>
      <w:r w:rsidRPr="00511005">
        <w:rPr>
          <w:rFonts w:ascii="Arial" w:eastAsia="Aptos" w:hAnsi="Arial" w:cs="Arial"/>
          <w:kern w:val="2"/>
          <w:szCs w:val="28"/>
          <w:lang w:val="uk-UA"/>
        </w:rPr>
        <w:t>Повномасштабне вторгнення росії в Україну в 2022 році призвело до ще більшого зниження рівня народжуваності в країні. З 2022 року кількість новонароджених дітей в Україні скоротилася до 206 тисяч, що стало найнижчим показником за всю історію незалежності. Війна спричинила масову еміграцію, руйнування інфраструктури та житла, втрату роботи, а також великий стрес і психологічні травми для багатьох громадян. Крім того, частина молодих людей, особливо жінок, відкладали рішення про народження дітей через невизначеність майбутнього та небезпеку для життя. Соціально-психологічний вплив війни, страх за родину та майбутнє країни значно обмежили бажання створювати нові родини чи народжувати дітей. За оцінками, у 2023 році кількість новонароджених знизилася ще більше</w:t>
      </w:r>
      <w:r w:rsidR="007B2628" w:rsidRPr="00511005">
        <w:rPr>
          <w:rFonts w:ascii="Arial" w:eastAsia="Aptos" w:hAnsi="Arial" w:cs="Arial"/>
          <w:kern w:val="2"/>
          <w:szCs w:val="28"/>
          <w:lang w:val="uk-UA"/>
        </w:rPr>
        <w:t xml:space="preserve"> </w:t>
      </w:r>
      <w:r w:rsidRPr="00511005">
        <w:rPr>
          <w:rFonts w:ascii="Arial" w:eastAsia="Aptos" w:hAnsi="Arial" w:cs="Arial"/>
          <w:kern w:val="2"/>
          <w:szCs w:val="28"/>
          <w:lang w:val="uk-UA"/>
        </w:rPr>
        <w:t>- до 187 тисяч. Щодо показника сумарної народжуваності, в Україні він дорівнює 1,4 дитини. Тобто, на 10 жінок припадає 14 дітей. Для забезпечення простого відтворення населення необхідно, щоб на кожних 10 жінок народжувалось 22 дитини [3].</w:t>
      </w:r>
    </w:p>
    <w:p w14:paraId="2B6428A0" w14:textId="77777777" w:rsidR="00AE57E7" w:rsidRPr="00511005" w:rsidRDefault="00AE57E7" w:rsidP="003A292D">
      <w:pPr>
        <w:spacing w:line="264" w:lineRule="auto"/>
        <w:ind w:firstLine="720"/>
        <w:rPr>
          <w:rFonts w:ascii="Arial" w:eastAsia="Aptos" w:hAnsi="Arial" w:cs="Arial"/>
          <w:kern w:val="2"/>
          <w:szCs w:val="28"/>
          <w:lang w:val="uk-UA"/>
        </w:rPr>
      </w:pPr>
      <w:r w:rsidRPr="00511005">
        <w:rPr>
          <w:rFonts w:ascii="Arial" w:eastAsia="Aptos" w:hAnsi="Arial" w:cs="Arial"/>
          <w:kern w:val="2"/>
          <w:szCs w:val="28"/>
          <w:lang w:val="uk-UA"/>
        </w:rPr>
        <w:t>Саме ці невтішні дані дослідження феномену «чайлдфрі» серед української молоді є важливим для розуміння змін, що відбуваються в суспільстві, а також для оцінки того, як ці зміни можуть вплинути на майбутнє держави. Поглиблений соціологічний аналіз дасть можливість зрозуміти мотиви, які стоять за таким вибором, а також побачити, які наслідки можуть виникнути для соціальних структур і демографії в цілому.</w:t>
      </w:r>
    </w:p>
    <w:p w14:paraId="3C7746AF" w14:textId="321EEDAD" w:rsidR="00AE57E7" w:rsidRPr="00511005" w:rsidRDefault="007B2628" w:rsidP="007B2628">
      <w:pPr>
        <w:spacing w:line="264" w:lineRule="auto"/>
        <w:ind w:firstLine="0"/>
        <w:jc w:val="center"/>
        <w:rPr>
          <w:rFonts w:ascii="Arial" w:eastAsia="Aptos" w:hAnsi="Arial" w:cs="Arial"/>
          <w:b/>
          <w:bCs/>
          <w:kern w:val="2"/>
          <w:szCs w:val="28"/>
          <w:lang w:val="uk-UA"/>
        </w:rPr>
      </w:pPr>
      <w:r w:rsidRPr="00511005">
        <w:rPr>
          <w:rFonts w:ascii="Arial" w:eastAsia="Aptos" w:hAnsi="Arial" w:cs="Arial"/>
          <w:b/>
          <w:bCs/>
          <w:kern w:val="2"/>
          <w:szCs w:val="28"/>
          <w:lang w:val="uk-UA"/>
        </w:rPr>
        <w:t>Список використаних джерел</w:t>
      </w:r>
    </w:p>
    <w:p w14:paraId="46DF8921" w14:textId="77777777" w:rsidR="00AE57E7" w:rsidRPr="00511005" w:rsidRDefault="00AE57E7" w:rsidP="000C392A">
      <w:pPr>
        <w:numPr>
          <w:ilvl w:val="0"/>
          <w:numId w:val="14"/>
        </w:numPr>
        <w:tabs>
          <w:tab w:val="left" w:pos="1230"/>
        </w:tabs>
        <w:spacing w:line="264" w:lineRule="auto"/>
        <w:ind w:right="567"/>
        <w:contextualSpacing/>
        <w:jc w:val="left"/>
        <w:rPr>
          <w:rFonts w:ascii="Arial" w:eastAsia="Aptos" w:hAnsi="Arial" w:cs="Arial"/>
          <w:bCs/>
          <w:kern w:val="2"/>
          <w:szCs w:val="28"/>
        </w:rPr>
      </w:pPr>
      <w:r w:rsidRPr="00511005">
        <w:rPr>
          <w:rFonts w:ascii="Arial" w:eastAsia="Aptos" w:hAnsi="Arial" w:cs="Arial"/>
          <w:bCs/>
          <w:kern w:val="2"/>
          <w:szCs w:val="28"/>
          <w:lang w:val="uk-UA"/>
        </w:rPr>
        <w:t xml:space="preserve">Аксьонова С., Слюсар Л. Чи змінилися за останній час українці? Національна академія наук. 2018. URL: http://www.nas.gov.ua/UA/Messages/news/Pages/View.aspx?MessageID=4190 (Дата звернення: 02.02.2025). </w:t>
      </w:r>
    </w:p>
    <w:p w14:paraId="089CA3DD" w14:textId="77777777" w:rsidR="00AE57E7" w:rsidRPr="00511005" w:rsidRDefault="00AE57E7" w:rsidP="000C392A">
      <w:pPr>
        <w:numPr>
          <w:ilvl w:val="0"/>
          <w:numId w:val="14"/>
        </w:numPr>
        <w:tabs>
          <w:tab w:val="left" w:pos="1230"/>
        </w:tabs>
        <w:spacing w:line="264" w:lineRule="auto"/>
        <w:ind w:right="567"/>
        <w:contextualSpacing/>
        <w:jc w:val="left"/>
        <w:rPr>
          <w:rFonts w:ascii="Arial" w:eastAsia="Aptos" w:hAnsi="Arial" w:cs="Arial"/>
          <w:bCs/>
          <w:kern w:val="2"/>
          <w:szCs w:val="28"/>
          <w:lang w:val="uk-UA"/>
        </w:rPr>
      </w:pPr>
      <w:r w:rsidRPr="00511005">
        <w:rPr>
          <w:rFonts w:ascii="Arial" w:eastAsia="Aptos" w:hAnsi="Arial" w:cs="Arial"/>
          <w:bCs/>
          <w:kern w:val="2"/>
          <w:szCs w:val="28"/>
          <w:lang w:val="uk-UA"/>
        </w:rPr>
        <w:lastRenderedPageBreak/>
        <w:t>Камзін Н., Камзіна Є., Камзіна О. Роль інстинктів при виборі стратегії childfree.</w:t>
      </w:r>
      <w:r w:rsidRPr="00511005">
        <w:rPr>
          <w:rFonts w:ascii="Arial" w:eastAsia="Aptos" w:hAnsi="Arial" w:cs="Arial"/>
          <w:bCs/>
          <w:kern w:val="2"/>
          <w:szCs w:val="28"/>
          <w:lang w:val="en-AU"/>
        </w:rPr>
        <w:t> </w:t>
      </w:r>
      <w:r w:rsidRPr="00511005">
        <w:rPr>
          <w:rFonts w:ascii="Arial" w:eastAsia="Aptos" w:hAnsi="Arial" w:cs="Arial"/>
          <w:bCs/>
          <w:kern w:val="2"/>
          <w:szCs w:val="28"/>
          <w:lang w:val="uk-UA"/>
        </w:rPr>
        <w:t>Вплив культури на інстинкт.</w:t>
      </w:r>
      <w:r w:rsidRPr="00511005">
        <w:rPr>
          <w:rFonts w:ascii="Arial" w:eastAsia="Aptos" w:hAnsi="Arial" w:cs="Arial"/>
          <w:bCs/>
          <w:kern w:val="2"/>
          <w:szCs w:val="28"/>
          <w:lang w:val="en-AU"/>
        </w:rPr>
        <w:t> </w:t>
      </w:r>
      <w:r w:rsidRPr="00511005">
        <w:rPr>
          <w:rFonts w:ascii="Arial" w:eastAsia="Aptos" w:hAnsi="Arial" w:cs="Arial"/>
          <w:bCs/>
          <w:kern w:val="2"/>
          <w:szCs w:val="28"/>
          <w:lang w:val="uk-UA"/>
        </w:rPr>
        <w:t>Litres,</w:t>
      </w:r>
      <w:r w:rsidRPr="00511005">
        <w:rPr>
          <w:rFonts w:ascii="Arial" w:eastAsia="Aptos" w:hAnsi="Arial" w:cs="Arial"/>
          <w:bCs/>
          <w:kern w:val="2"/>
          <w:szCs w:val="28"/>
          <w:lang w:val="en-AU"/>
        </w:rPr>
        <w:t> </w:t>
      </w:r>
      <w:r w:rsidRPr="00511005">
        <w:rPr>
          <w:rFonts w:ascii="Arial" w:eastAsia="Aptos" w:hAnsi="Arial" w:cs="Arial"/>
          <w:bCs/>
          <w:kern w:val="2"/>
          <w:szCs w:val="28"/>
          <w:lang w:val="uk-UA"/>
        </w:rPr>
        <w:t xml:space="preserve">2017. </w:t>
      </w:r>
      <w:r w:rsidRPr="00511005">
        <w:rPr>
          <w:rFonts w:ascii="Arial" w:eastAsia="Aptos" w:hAnsi="Arial" w:cs="Arial"/>
          <w:bCs/>
          <w:kern w:val="2"/>
          <w:szCs w:val="28"/>
          <w:lang w:val="en-AU"/>
        </w:rPr>
        <w:t>C</w:t>
      </w:r>
      <w:r w:rsidRPr="00511005">
        <w:rPr>
          <w:rFonts w:ascii="Arial" w:eastAsia="Aptos" w:hAnsi="Arial" w:cs="Arial"/>
          <w:bCs/>
          <w:kern w:val="2"/>
          <w:szCs w:val="28"/>
          <w:lang w:val="uk-UA"/>
        </w:rPr>
        <w:t>.70</w:t>
      </w:r>
    </w:p>
    <w:p w14:paraId="7C4705D6" w14:textId="77777777" w:rsidR="00AE57E7" w:rsidRPr="00511005" w:rsidRDefault="00AE57E7" w:rsidP="000C392A">
      <w:pPr>
        <w:numPr>
          <w:ilvl w:val="0"/>
          <w:numId w:val="14"/>
        </w:numPr>
        <w:tabs>
          <w:tab w:val="left" w:pos="1230"/>
        </w:tabs>
        <w:spacing w:line="264" w:lineRule="auto"/>
        <w:ind w:right="567"/>
        <w:contextualSpacing/>
        <w:jc w:val="left"/>
        <w:rPr>
          <w:rFonts w:ascii="Arial" w:eastAsia="Aptos" w:hAnsi="Arial" w:cs="Arial"/>
          <w:bCs/>
          <w:kern w:val="2"/>
          <w:szCs w:val="28"/>
        </w:rPr>
      </w:pPr>
      <w:r w:rsidRPr="00511005">
        <w:rPr>
          <w:rFonts w:ascii="Arial" w:eastAsia="Aptos" w:hAnsi="Arial" w:cs="Arial"/>
          <w:bCs/>
          <w:kern w:val="2"/>
          <w:szCs w:val="28"/>
          <w:lang w:val="uk-UA"/>
        </w:rPr>
        <w:t xml:space="preserve">Курило І. О. Населення України. Народжуваність в Україні в контексті суспільнотрансформаційних процесів: колект. монографія.2008. URL: http://dspace.nbuv.gov.ua/bitstream/handle/123456789/11666/03Kyrulo.pdf?sequence=1 (Дата звернення: 08.02.2025). </w:t>
      </w:r>
    </w:p>
    <w:p w14:paraId="4BB7D78E" w14:textId="29AAB362" w:rsidR="00AE57E7" w:rsidRPr="00511005" w:rsidRDefault="007B2628" w:rsidP="003A292D">
      <w:pPr>
        <w:spacing w:line="264" w:lineRule="auto"/>
        <w:ind w:left="360" w:firstLine="360"/>
        <w:rPr>
          <w:rFonts w:ascii="Arial" w:eastAsia="Aptos" w:hAnsi="Arial" w:cs="Arial"/>
          <w:kern w:val="2"/>
          <w:szCs w:val="28"/>
          <w:lang w:val="uk-UA"/>
        </w:rPr>
      </w:pPr>
      <w:r w:rsidRPr="00511005">
        <w:rPr>
          <w:rFonts w:ascii="Arial" w:eastAsia="Aptos" w:hAnsi="Arial" w:cs="Arial"/>
          <w:b/>
          <w:bCs/>
          <w:i/>
          <w:kern w:val="2"/>
          <w:szCs w:val="28"/>
          <w:lang w:val="uk-UA"/>
        </w:rPr>
        <w:t xml:space="preserve">Ключові слова: </w:t>
      </w:r>
      <w:r w:rsidR="00AE57E7" w:rsidRPr="00511005">
        <w:rPr>
          <w:rFonts w:ascii="Arial" w:eastAsia="Aptos" w:hAnsi="Arial" w:cs="Arial"/>
          <w:kern w:val="2"/>
          <w:szCs w:val="28"/>
          <w:lang w:val="uk-UA"/>
        </w:rPr>
        <w:t>чайлдфрі, суспільні цінності, добровільна бездітність, соціальні стереотипи, народжуваність.</w:t>
      </w:r>
    </w:p>
    <w:p w14:paraId="66D54351" w14:textId="761A5679" w:rsidR="00AE57E7" w:rsidRPr="00511005" w:rsidRDefault="007B2628" w:rsidP="003A292D">
      <w:pPr>
        <w:spacing w:line="264" w:lineRule="auto"/>
        <w:ind w:left="360" w:firstLine="360"/>
        <w:rPr>
          <w:rFonts w:ascii="Arial" w:eastAsia="Aptos" w:hAnsi="Arial" w:cs="Arial"/>
          <w:kern w:val="2"/>
          <w:szCs w:val="28"/>
          <w:lang w:val="uk-UA"/>
        </w:rPr>
      </w:pPr>
      <w:r w:rsidRPr="00511005">
        <w:rPr>
          <w:rFonts w:ascii="Arial" w:eastAsia="Aptos" w:hAnsi="Arial" w:cs="Arial"/>
          <w:b/>
          <w:bCs/>
          <w:i/>
          <w:kern w:val="2"/>
          <w:szCs w:val="28"/>
          <w:lang w:val="uk-UA"/>
        </w:rPr>
        <w:t xml:space="preserve">Key words: </w:t>
      </w:r>
      <w:r w:rsidR="00AE57E7" w:rsidRPr="00511005">
        <w:rPr>
          <w:rFonts w:ascii="Arial" w:eastAsia="Aptos" w:hAnsi="Arial" w:cs="Arial"/>
          <w:kern w:val="2"/>
          <w:szCs w:val="28"/>
          <w:lang w:val="uk-UA"/>
        </w:rPr>
        <w:t>childfree, social values, voluntary childlessness, social stereotypes, birth rate.</w:t>
      </w:r>
    </w:p>
    <w:p w14:paraId="1E846760" w14:textId="79D75901" w:rsidR="00AE57E7" w:rsidRPr="00511005" w:rsidRDefault="007B2628" w:rsidP="003A292D">
      <w:pPr>
        <w:spacing w:line="264" w:lineRule="auto"/>
        <w:rPr>
          <w:rFonts w:ascii="Arial" w:eastAsia="Calibri" w:hAnsi="Arial" w:cs="Arial"/>
          <w:szCs w:val="28"/>
          <w:lang w:val="uk-UA" w:eastAsia="ru-RU"/>
        </w:rPr>
      </w:pPr>
      <w:r w:rsidRPr="00511005">
        <w:rPr>
          <w:rFonts w:ascii="Arial" w:eastAsia="Aptos" w:hAnsi="Arial" w:cs="Arial"/>
          <w:b/>
          <w:i/>
          <w:kern w:val="2"/>
          <w:szCs w:val="28"/>
          <w:lang w:val="uk-UA"/>
        </w:rPr>
        <w:t xml:space="preserve">Науковий керівник: </w:t>
      </w:r>
      <w:r w:rsidR="00AE57E7" w:rsidRPr="00511005">
        <w:rPr>
          <w:rFonts w:ascii="Arial" w:eastAsia="Aptos" w:hAnsi="Arial" w:cs="Arial"/>
          <w:kern w:val="2"/>
          <w:szCs w:val="28"/>
          <w:lang w:val="uk-UA"/>
        </w:rPr>
        <w:t>д. політ. н., професор Ярова Л.В.</w:t>
      </w:r>
    </w:p>
    <w:p w14:paraId="3D7E3D71" w14:textId="77777777" w:rsidR="003F5D68" w:rsidRPr="00511005" w:rsidRDefault="003F5D68" w:rsidP="003A292D">
      <w:pPr>
        <w:keepNext/>
        <w:spacing w:line="264" w:lineRule="auto"/>
        <w:ind w:firstLine="0"/>
        <w:jc w:val="left"/>
        <w:rPr>
          <w:rFonts w:ascii="Arial" w:hAnsi="Arial" w:cs="Arial"/>
          <w:szCs w:val="28"/>
          <w:lang w:val="uk-UA"/>
        </w:rPr>
      </w:pPr>
    </w:p>
    <w:p w14:paraId="5DD7B502"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3747FC9F" w14:textId="77777777" w:rsidR="003F5D68" w:rsidRPr="00511005" w:rsidRDefault="003F5D68" w:rsidP="003A292D">
      <w:pPr>
        <w:keepNext/>
        <w:suppressAutoHyphens/>
        <w:spacing w:line="264" w:lineRule="auto"/>
        <w:ind w:firstLine="0"/>
        <w:jc w:val="left"/>
        <w:rPr>
          <w:rFonts w:ascii="Arial" w:hAnsi="Arial" w:cs="Arial"/>
          <w:szCs w:val="28"/>
        </w:rPr>
      </w:pPr>
    </w:p>
    <w:p w14:paraId="5FB33301" w14:textId="6D1AEC97" w:rsidR="003F5D68" w:rsidRPr="00511005" w:rsidRDefault="003F5D68" w:rsidP="003A292D">
      <w:pPr>
        <w:pStyle w:val="aa"/>
        <w:spacing w:before="0" w:after="0" w:line="264" w:lineRule="auto"/>
        <w:rPr>
          <w:rFonts w:ascii="Arial" w:hAnsi="Arial" w:cs="Arial"/>
          <w:color w:val="auto"/>
          <w:sz w:val="28"/>
          <w:szCs w:val="28"/>
        </w:rPr>
      </w:pPr>
      <w:bookmarkStart w:id="349" w:name="_Toc208299013"/>
      <w:r w:rsidRPr="00511005">
        <w:rPr>
          <w:rFonts w:ascii="Arial" w:hAnsi="Arial" w:cs="Arial"/>
          <w:color w:val="auto"/>
          <w:sz w:val="28"/>
          <w:szCs w:val="28"/>
        </w:rPr>
        <w:t xml:space="preserve">СЕКЦІЯ </w:t>
      </w:r>
      <w:r w:rsidR="00256A2F" w:rsidRPr="00511005">
        <w:rPr>
          <w:rFonts w:ascii="Arial" w:hAnsi="Arial" w:cs="Arial"/>
          <w:color w:val="auto"/>
          <w:sz w:val="28"/>
          <w:szCs w:val="28"/>
          <w:lang w:val="ru-RU"/>
        </w:rPr>
        <w:t>2</w:t>
      </w:r>
      <w:r w:rsidR="00532C25" w:rsidRPr="00055389">
        <w:rPr>
          <w:rFonts w:ascii="Arial" w:hAnsi="Arial" w:cs="Arial"/>
          <w:color w:val="auto"/>
          <w:sz w:val="28"/>
          <w:szCs w:val="28"/>
          <w:lang w:val="ru-RU"/>
        </w:rPr>
        <w:t>2</w:t>
      </w:r>
      <w:r w:rsidR="00256A2F" w:rsidRPr="00511005">
        <w:rPr>
          <w:rFonts w:ascii="Arial" w:hAnsi="Arial" w:cs="Arial"/>
          <w:color w:val="auto"/>
          <w:sz w:val="28"/>
          <w:szCs w:val="28"/>
          <w:lang w:val="ru-RU"/>
        </w:rPr>
        <w:t>. ПСИХОЛОГІЧНІ ДОСЛІДЖЕННЯ ПОЛІТИЧНИХ, ПРАВОВИХ ТА СУСПІЛЬНИХ ПРОЦЕСІВ</w:t>
      </w:r>
      <w:bookmarkEnd w:id="349"/>
      <w:r w:rsidR="00256A2F" w:rsidRPr="00511005">
        <w:rPr>
          <w:rFonts w:ascii="Arial" w:hAnsi="Arial" w:cs="Arial"/>
          <w:color w:val="auto"/>
          <w:sz w:val="28"/>
          <w:szCs w:val="28"/>
        </w:rPr>
        <w:t xml:space="preserve"> </w:t>
      </w:r>
    </w:p>
    <w:p w14:paraId="78B8A5FF" w14:textId="77777777" w:rsidR="003F5D68" w:rsidRPr="00511005" w:rsidRDefault="003F5D68" w:rsidP="003A292D">
      <w:pPr>
        <w:keepNext/>
        <w:spacing w:line="264" w:lineRule="auto"/>
        <w:ind w:firstLine="0"/>
        <w:jc w:val="left"/>
        <w:rPr>
          <w:rFonts w:ascii="Arial" w:hAnsi="Arial" w:cs="Arial"/>
          <w:szCs w:val="28"/>
        </w:rPr>
      </w:pPr>
    </w:p>
    <w:p w14:paraId="5B2EE372" w14:textId="77777777" w:rsidR="00AE57E7" w:rsidRPr="00511005" w:rsidRDefault="00AE57E7" w:rsidP="009008A5">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Геріна Олена Віталіївна</w:t>
      </w:r>
    </w:p>
    <w:p w14:paraId="45B2283F" w14:textId="77777777" w:rsidR="009008A5" w:rsidRPr="00511005" w:rsidRDefault="00AE57E7" w:rsidP="009008A5">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1-го курсу факультету психології політології та соціології </w:t>
      </w:r>
    </w:p>
    <w:p w14:paraId="30D877DD" w14:textId="5CE4843E" w:rsidR="00AE57E7" w:rsidRPr="00511005" w:rsidRDefault="007B2628" w:rsidP="009008A5">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7B7B1EE4" w14:textId="77777777" w:rsidR="00AE57E7" w:rsidRPr="00511005" w:rsidRDefault="00AE57E7" w:rsidP="009008A5">
      <w:pPr>
        <w:spacing w:line="264" w:lineRule="auto"/>
        <w:ind w:firstLine="0"/>
        <w:jc w:val="center"/>
        <w:rPr>
          <w:rFonts w:ascii="Arial" w:eastAsia="Times New Roman" w:hAnsi="Arial" w:cs="Arial"/>
          <w:szCs w:val="28"/>
          <w:lang w:val="uk-UA" w:eastAsia="ru-RU"/>
        </w:rPr>
      </w:pPr>
    </w:p>
    <w:p w14:paraId="3D5D0737" w14:textId="77777777" w:rsidR="00AE57E7" w:rsidRPr="00511005" w:rsidRDefault="00AE57E7" w:rsidP="009008A5">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ТРАНСФОРМАЦІЯ КОНФЛІКТНОЇ ПОВЕДІНКИ МОЛОДІ ПІД ВПЛИВОМ СТРЕС-ФАКТОРІВ ВОЄННОГО ЧАСУ</w:t>
      </w:r>
    </w:p>
    <w:p w14:paraId="34EAA285"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Повномасштабна війна в Україні докорінно змінює соціальну поведінку молоді, зокрема її реакції у конфліктних ситуаціях. Підлітки та студенти опиняються в умовах постійного психоемоційного напруження, яке може бути спричиненим втратою житла, розлукою з родиною, загрозою життю, нестачею стабільності та порушенням звичного способу життя. Як зазначено у звітах дослідників, ці фактори призводять до глибоких змін психоемоційного стану. У молодого покоління зростає рівень тривоги, депресивності, агресивності або емоційної ізоляції [4].</w:t>
      </w:r>
    </w:p>
    <w:p w14:paraId="2869A47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Особливе занепокоєння викликає той факт, що в умовах хронічного стресу у молоді порушуються механізми адаптації, що потім трансформує її стиль поведінки в соціумі. Психологи фіксують зростання деструктивних моделей взаємодії: схильність до конфліктів, реактивна агресія, відчуження або ж залежна і уникаюча поведінка [3]. Все це вказує нам на потребу глибшого аналізу конфліктної поведінки молоді через призму колективного досвіду травматизації.</w:t>
      </w:r>
    </w:p>
    <w:p w14:paraId="77D7C631"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Актуальність цієї теми зумовлена не лише важливістю вивчення трансформацій у поведінкових реакціях молоді, а й необхідністю впроваджувати дієвих стратегій психологічної підтримки, що дозволить не тільки знизити конфліктність у молодіжному середовищі, але й сприятиме формуванню адаптивних і конструктивних соціальних моделей взаємодії. </w:t>
      </w:r>
    </w:p>
    <w:p w14:paraId="2BDB38E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Поглиблене розуміння конфліктної поведінки вимагає звернення до її теоретичних основ, які розкривають нам механізми формування та прояви конфлікту в молодіжному середовищі. В психології конфлікт розглядається як зіткнення протилежних потреб, цінностей або цілей між індивідами, що супроводжується емоційною напругою та специфічною поведінковою реакцією. У випадку молоді ці реакції дуже часто виявляються в неконструктивних формах, зокрема у вигляді агресії, протесту, замкненості або демонстративного ігнорування вимог оточення.</w:t>
      </w:r>
    </w:p>
    <w:p w14:paraId="14225CA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Формування конфліктної поведінки відбувається під впливом низки факторів: вікових особливостей емоційної нестійкості, пошуку ідентичності, рівня розвитку навичок саморегуляції, а також мікросоціального середовища [1]. Це може бути сім’я, шкільний колектив, групи однолітків. У підлітковому </w:t>
      </w:r>
      <w:r w:rsidRPr="00511005">
        <w:rPr>
          <w:rFonts w:ascii="Arial" w:eastAsia="Times New Roman" w:hAnsi="Arial" w:cs="Arial"/>
          <w:szCs w:val="28"/>
          <w:lang w:val="uk-UA" w:eastAsia="ru-RU"/>
        </w:rPr>
        <w:lastRenderedPageBreak/>
        <w:t>та юнацькому віці значну роль відіграє потреба в самоствердженні та визнанні, а відсутність підтримки або адекватних моделей вирішення конфліктів може призводити до засвоєння деструктивних стратегій.</w:t>
      </w:r>
    </w:p>
    <w:p w14:paraId="0549DDC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Особливо вразливою групою є особи з акцентуаціями характеру, високим рівнем тривожності чи емоційної збудливості. Як показують дослідження, молодь із такими особливостями частіше демонструє неконтрольовані реакції у відповідь на зовнішній тиск, що значно підвищує ризик виникнення соціальних конфліктів та ускладнює інтеграцію в освітнє або професійне середовище [3]. У ситуації війни, ці тенденції загострюються, оскільки традиційні механізми соціальної підтримки (родина, школа, громадські інститути) самі опиняються в умовах нестабільності та не завжди мають ресурси для ефективної допомоги [1].</w:t>
      </w:r>
    </w:p>
    <w:p w14:paraId="7DCE8E2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контексті воєнного часу особливої уваги заслуговують стрес-фактори, які суттєво впливають на психоемоційний стан молоді. За даними дослідження Програми розвитку ООН, серед основних чинників, що викликають занепокоєння у молоді є власне здоров’я та здоров’я близьких (42%), нестача коштів (26%) і переміщення членів сім’ї за кордон через війну (26%). Ці фактори спричиняють хронічний стрес, який в свою чергу трансформує поведінкові реакції молоді, зокрема підвищує рівень конфліктності та агресивності [2].</w:t>
      </w:r>
    </w:p>
    <w:p w14:paraId="782FA2F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Дослідження також вказують на те, що війна має тривалий негативний вплив на психічне здоров’я молоді, спричиняючи емоційні розпади та проблеми в соціальній адаптації. Молоді люди, які пережили травматичний досвід війни, часто відчувають себе відчуженими від своїх ровесників, що веде до внутрішнього конфлікту та відчуття ізоляції [7].</w:t>
      </w:r>
    </w:p>
    <w:p w14:paraId="568AC34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таких умовах важливим стає розвиток психологічної стійкості (резилієнсу) серед молоді. Резилієнс виступає ключовим фактором у запобіганні довгострокових негативних наслідків для психічного здоров’я, допомагаючи молоді краще справлятися зі стресовими ситуаціями та знижувати ризики розвитку психопатології. Формування ефективних методів психологічної підтримки та втручання є важливим аспектом психологічної реабілітації, спрямованої на поліпшення якості життя молодих людей, які постраждали вид воєнних конфліктів [6].</w:t>
      </w:r>
    </w:p>
    <w:p w14:paraId="2473536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Незважаючи на тривалий вплив дестабілізуючих чинників, молодь в Україні демонструє здатність до позитивної поведінкової трансформації, що проявляється у зростанні соціальної активності, розвитку навичок емоційного самоконтролю та формуванні більш адаптивних моделей взаємодії [7]. Такі зміни стають можливими завдяки підтримці родини, участі у волонтерських ініціативах, освітніх і психотерапевтичних програмах, які орієнтовані на відновлення внутрішнього ресурсу та розвиток стресостійкості.</w:t>
      </w:r>
    </w:p>
    <w:p w14:paraId="7752E4D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Психічна підтримка в умовах війни виконує не лише компенсаторну, а й профілактичну функцію. Тренінги з розвитку емоційного інтелекту, заняття з ненасильницької комунікації, групова арт терапія сприяють зниженню рівня конфліктності, допомагають молоді краще усвідомлювати власні емоції й обирати конструктивні стратегії поведінки. Особливої ваги набувають молодіжні ініціативи у межах яких створюється простір безпечної комунікації – без осуду з фокусом на підтримку.</w:t>
      </w:r>
    </w:p>
    <w:p w14:paraId="4220F653"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Важливу роль у формуванні зрілої поведінки відіграють також освітні заклади та громади, які ініціюють програми шкільної медіації, регулярні консультації з психологами, відкриті розмови про емоційне здоров’я. Така системна підтримка дозволяє не лише запобігати деструктивній поведінці, а й сприяє формуванні стійкої ідентичності, орієнтованої на відповідальну взаємодію та взаємоповагу [5].</w:t>
      </w:r>
    </w:p>
    <w:p w14:paraId="0596A44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ході дослідження було з’ясовано, що війна як складна життєва подія суттєво впиває на поведінку молоді, особливо на її реакції у конфліктних ситуаціях [1]. Постійний стрес, нестабільність, пережиті втрати можуть посилювати агресивність, емоційну замкнутість, спричиняти труднощі у спілкуванні. Конфліктна поведінка в таких умовах часто стає способом захисту або відповіддю на внутрішню тривогу та нестачу підтримки.</w:t>
      </w:r>
    </w:p>
    <w:p w14:paraId="7F27D368"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Разом із тим, молодь здатна змінювати свою поведінку, знаходити нові способи взаємодії та справлятися з емоціями. що можливо завдяки допомозі з боку сім’ї, викладачів, психологів, а також участі у волонтерських чи соціальних проектах. У багатьох молодих людей з’являється бажання підтримувати інших, брати відповідальність та діяти спільно. Такі зміни допомагають зменшити рівень конфліктності та сприяють розвитку зрілої, стійкої особистості.</w:t>
      </w:r>
    </w:p>
    <w:p w14:paraId="35E64AC5"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Щоб допомогти молоді краще справлятися з труднощами, важливо створювати програми психологічної підтримки: тренінги з емоційного інтелекту, заняття зі спілкування без агресії, підтримка з боку шкільних і університетських психологів. Якщо така допомога буде доступною та регулярною, це зменшить ризики деструктивної поведінки й допоможе молоді краще адаптуватися до складних умов життя.</w:t>
      </w:r>
    </w:p>
    <w:p w14:paraId="5ECF497F" w14:textId="77777777" w:rsidR="00AE57E7" w:rsidRPr="00511005" w:rsidRDefault="00AE57E7" w:rsidP="003A292D">
      <w:pPr>
        <w:spacing w:line="264" w:lineRule="auto"/>
        <w:rPr>
          <w:rFonts w:ascii="Arial" w:eastAsia="Times New Roman" w:hAnsi="Arial" w:cs="Arial"/>
          <w:szCs w:val="28"/>
          <w:lang w:val="uk-UA" w:eastAsia="ru-RU"/>
        </w:rPr>
      </w:pPr>
    </w:p>
    <w:p w14:paraId="5143767C" w14:textId="39896FA4" w:rsidR="00AE57E7" w:rsidRPr="00511005" w:rsidRDefault="007B2628" w:rsidP="007B2628">
      <w:pPr>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24255BB9" w14:textId="77777777" w:rsidR="00AE57E7" w:rsidRPr="00511005" w:rsidRDefault="00AE57E7" w:rsidP="003F6A5D">
      <w:pPr>
        <w:numPr>
          <w:ilvl w:val="0"/>
          <w:numId w:val="752"/>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Єфтєні Н. М., Шмаленко Ю. І., .Вплив політичних конфліктів на цінності та ідентичність громадян України. </w:t>
      </w:r>
      <w:r w:rsidRPr="00511005">
        <w:rPr>
          <w:rFonts w:ascii="Arial" w:eastAsia="Calibri" w:hAnsi="Arial" w:cs="Arial"/>
          <w:i/>
          <w:iCs/>
          <w:szCs w:val="28"/>
          <w:lang w:val="uk-UA"/>
        </w:rPr>
        <w:t>Габітус</w:t>
      </w:r>
      <w:r w:rsidRPr="00511005">
        <w:rPr>
          <w:rFonts w:ascii="Arial" w:eastAsia="Calibri" w:hAnsi="Arial" w:cs="Arial"/>
          <w:szCs w:val="28"/>
          <w:lang w:val="uk-UA"/>
        </w:rPr>
        <w:t xml:space="preserve">, 2024. Вип. 62. С. 224-229. DOI </w:t>
      </w:r>
      <w:hyperlink r:id="rId2605" w:history="1">
        <w:r w:rsidRPr="00511005">
          <w:rPr>
            <w:rFonts w:ascii="Arial" w:eastAsia="Calibri" w:hAnsi="Arial" w:cs="Arial"/>
            <w:szCs w:val="28"/>
            <w:lang w:val="uk-UA"/>
          </w:rPr>
          <w:t>https://doi.org/10.32782/2663-5208</w:t>
        </w:r>
      </w:hyperlink>
      <w:r w:rsidRPr="00511005">
        <w:rPr>
          <w:rFonts w:ascii="Arial" w:eastAsia="Calibri" w:hAnsi="Arial" w:cs="Arial"/>
          <w:szCs w:val="28"/>
          <w:lang w:val="uk-UA"/>
        </w:rPr>
        <w:t>. (дата звернення 07.05.2025).</w:t>
      </w:r>
    </w:p>
    <w:p w14:paraId="483C9888" w14:textId="77777777" w:rsidR="00AE57E7" w:rsidRPr="00511005" w:rsidRDefault="00AE57E7" w:rsidP="003F6A5D">
      <w:pPr>
        <w:numPr>
          <w:ilvl w:val="0"/>
          <w:numId w:val="752"/>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Костюченко Т., Волосевич І., Info Sapiens Програма розвитку ООН. Вплив війни на молодь в Україні. 2024. 84 c. URL: https://www.undp.org/sites/g/files/zskgke326/files/2024-12/undp-impact-of-war-on-youth-in-ukraine_0.pdf (дата звернення 07.05.2025).</w:t>
      </w:r>
    </w:p>
    <w:p w14:paraId="57B46874" w14:textId="77777777" w:rsidR="00AE57E7" w:rsidRPr="00511005" w:rsidRDefault="00AE57E7" w:rsidP="003A292D">
      <w:pPr>
        <w:tabs>
          <w:tab w:val="left" w:pos="1134"/>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3.</w:t>
      </w:r>
      <w:r w:rsidRPr="00511005">
        <w:rPr>
          <w:rFonts w:ascii="Arial" w:eastAsia="Times New Roman" w:hAnsi="Arial" w:cs="Arial"/>
          <w:szCs w:val="28"/>
          <w:lang w:val="uk-UA" w:eastAsia="ru-RU"/>
        </w:rPr>
        <w:tab/>
        <w:t xml:space="preserve">Михайлишин У.Б., Юхименко І.В., Шимоняк Я. О. Акцентуації характеру та конфліктна поведінка підлітків. </w:t>
      </w:r>
      <w:r w:rsidRPr="00511005">
        <w:rPr>
          <w:rFonts w:ascii="Arial" w:eastAsia="Times New Roman" w:hAnsi="Arial" w:cs="Arial"/>
          <w:i/>
          <w:iCs/>
          <w:szCs w:val="28"/>
          <w:lang w:val="uk-UA" w:eastAsia="ru-RU"/>
        </w:rPr>
        <w:t>Науковий вісник Ужгородського національного університету. Серія: Психологія,</w:t>
      </w:r>
      <w:r w:rsidRPr="00511005">
        <w:rPr>
          <w:rFonts w:ascii="Arial" w:eastAsia="Times New Roman" w:hAnsi="Arial" w:cs="Arial"/>
          <w:szCs w:val="28"/>
          <w:lang w:val="uk-UA" w:eastAsia="ru-RU"/>
        </w:rPr>
        <w:t xml:space="preserve"> 2024. 1, 86-90. URL: https://doi.org/10.32782/psy-visnyk/2024.1.16 (дата звернення 07.05.2025).</w:t>
      </w:r>
    </w:p>
    <w:p w14:paraId="3F181C2F" w14:textId="77777777" w:rsidR="00AE57E7" w:rsidRPr="00511005" w:rsidRDefault="00AE57E7" w:rsidP="003A292D">
      <w:pPr>
        <w:tabs>
          <w:tab w:val="left" w:pos="1134"/>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4.</w:t>
      </w:r>
      <w:r w:rsidRPr="00511005">
        <w:rPr>
          <w:rFonts w:ascii="Arial" w:eastAsia="Times New Roman" w:hAnsi="Arial" w:cs="Arial"/>
          <w:szCs w:val="28"/>
          <w:lang w:val="uk-UA" w:eastAsia="ru-RU"/>
        </w:rPr>
        <w:tab/>
        <w:t xml:space="preserve">Палько Т.В., Травіна К.В. Вплив війни на психоемоційний стан підлітків. </w:t>
      </w:r>
      <w:r w:rsidRPr="00511005">
        <w:rPr>
          <w:rFonts w:ascii="Arial" w:eastAsia="Times New Roman" w:hAnsi="Arial" w:cs="Arial"/>
          <w:i/>
          <w:iCs/>
          <w:szCs w:val="28"/>
          <w:lang w:val="uk-UA" w:eastAsia="ru-RU"/>
        </w:rPr>
        <w:t xml:space="preserve">«Перспективи та інновації науки». Серія «Психологія» (Категорія Б). </w:t>
      </w:r>
      <w:r w:rsidRPr="00511005">
        <w:rPr>
          <w:rFonts w:ascii="Arial" w:eastAsia="Times New Roman" w:hAnsi="Arial" w:cs="Arial"/>
          <w:szCs w:val="28"/>
          <w:lang w:val="uk-UA" w:eastAsia="ru-RU"/>
        </w:rPr>
        <w:t>Випуск № 8(42) 2024. Київ. С.832-844 URL: https://doi.org/10.52058/2786-4952-2024-8(42)-832-844 (дата звернення 05.05.2025).</w:t>
      </w:r>
    </w:p>
    <w:p w14:paraId="1AFDFC16" w14:textId="77777777" w:rsidR="00AE57E7" w:rsidRPr="00511005" w:rsidRDefault="00AE57E7" w:rsidP="003A292D">
      <w:pPr>
        <w:tabs>
          <w:tab w:val="left" w:pos="851"/>
          <w:tab w:val="left" w:pos="993"/>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5.</w:t>
      </w:r>
      <w:r w:rsidRPr="00511005">
        <w:rPr>
          <w:rFonts w:ascii="Arial" w:eastAsia="Times New Roman" w:hAnsi="Arial" w:cs="Arial"/>
          <w:szCs w:val="28"/>
          <w:lang w:val="uk-UA" w:eastAsia="ru-RU"/>
        </w:rPr>
        <w:tab/>
        <w:t>Психологія переживання війни: Досвід України. 2022. Київський національний Університет культури та мистецтв. URL: https://knukim.edu.ua/psyhologiya-perezhyvannya-vijny-dosvid-ukrayiny-2/ (дата звернення 08.05.2025).</w:t>
      </w:r>
    </w:p>
    <w:p w14:paraId="1CBC96A2" w14:textId="77777777" w:rsidR="00AE57E7" w:rsidRPr="00511005" w:rsidRDefault="00AE57E7" w:rsidP="003A292D">
      <w:pPr>
        <w:tabs>
          <w:tab w:val="left" w:pos="851"/>
          <w:tab w:val="left" w:pos="993"/>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6.</w:t>
      </w:r>
      <w:r w:rsidRPr="00511005">
        <w:rPr>
          <w:rFonts w:ascii="Arial" w:eastAsia="Times New Roman" w:hAnsi="Arial" w:cs="Arial"/>
          <w:szCs w:val="28"/>
          <w:lang w:val="uk-UA" w:eastAsia="ru-RU"/>
        </w:rPr>
        <w:tab/>
        <w:t xml:space="preserve">Содолєвська В. Вплив війни на психічне здоров’я молоді: роль резилієнсу та психологічних інтервенцій. </w:t>
      </w:r>
      <w:r w:rsidRPr="00511005">
        <w:rPr>
          <w:rFonts w:ascii="Arial" w:eastAsia="Times New Roman" w:hAnsi="Arial" w:cs="Arial"/>
          <w:i/>
          <w:iCs/>
          <w:szCs w:val="28"/>
          <w:lang w:val="uk-UA" w:eastAsia="ru-RU"/>
        </w:rPr>
        <w:t>Психосоматична медицина та загальна практика</w:t>
      </w:r>
      <w:r w:rsidRPr="00511005">
        <w:rPr>
          <w:rFonts w:ascii="Arial" w:eastAsia="Times New Roman" w:hAnsi="Arial" w:cs="Arial"/>
          <w:szCs w:val="28"/>
          <w:shd w:val="clear" w:color="auto" w:fill="FFFFFF"/>
          <w:lang w:val="uk-UA" w:eastAsia="ru-RU"/>
        </w:rPr>
        <w:t>, </w:t>
      </w:r>
      <w:r w:rsidRPr="00511005">
        <w:rPr>
          <w:rFonts w:ascii="Arial" w:eastAsia="Times New Roman" w:hAnsi="Arial" w:cs="Arial"/>
          <w:i/>
          <w:iCs/>
          <w:szCs w:val="28"/>
          <w:lang w:val="uk-UA" w:eastAsia="ru-RU"/>
        </w:rPr>
        <w:t>9</w:t>
      </w:r>
      <w:r w:rsidRPr="00511005">
        <w:rPr>
          <w:rFonts w:ascii="Arial" w:eastAsia="Times New Roman" w:hAnsi="Arial" w:cs="Arial"/>
          <w:szCs w:val="28"/>
          <w:shd w:val="clear" w:color="auto" w:fill="FFFFFF"/>
          <w:lang w:val="uk-UA" w:eastAsia="ru-RU"/>
        </w:rPr>
        <w:t xml:space="preserve">(3). </w:t>
      </w:r>
      <w:r w:rsidRPr="00511005">
        <w:rPr>
          <w:rFonts w:ascii="Arial" w:eastAsia="Times New Roman" w:hAnsi="Arial" w:cs="Arial"/>
          <w:szCs w:val="28"/>
          <w:lang w:val="uk-UA" w:eastAsia="ru-RU"/>
        </w:rPr>
        <w:t xml:space="preserve">URL: </w:t>
      </w:r>
      <w:r w:rsidRPr="00511005">
        <w:rPr>
          <w:rFonts w:ascii="Arial" w:eastAsia="Times New Roman" w:hAnsi="Arial" w:cs="Arial"/>
          <w:szCs w:val="28"/>
          <w:shd w:val="clear" w:color="auto" w:fill="FFFFFF"/>
          <w:lang w:val="uk-UA" w:eastAsia="ru-RU"/>
        </w:rPr>
        <w:t>https://doi.org/10.26766/pmgp.v9i3.532</w:t>
      </w:r>
      <w:r w:rsidRPr="00511005">
        <w:rPr>
          <w:rFonts w:ascii="Arial" w:eastAsia="Times New Roman" w:hAnsi="Arial" w:cs="Arial"/>
          <w:szCs w:val="28"/>
          <w:lang w:val="uk-UA" w:eastAsia="ru-RU"/>
        </w:rPr>
        <w:t xml:space="preserve"> (дата звернення 07.05.2025).</w:t>
      </w:r>
    </w:p>
    <w:p w14:paraId="09EB9900" w14:textId="77777777" w:rsidR="00AE57E7" w:rsidRPr="00511005" w:rsidRDefault="00AE57E7" w:rsidP="003A292D">
      <w:pPr>
        <w:tabs>
          <w:tab w:val="left" w:pos="851"/>
          <w:tab w:val="left" w:pos="993"/>
        </w:tabs>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7. Шмаленко Ю.І. Непохитність українського духу: соціопсихологічні аспекти стійкості нації в умовах війни. Трансформація світового порядку крізь призму війни та миру: матеріали Міжнар. наук. конф., 24 квіт. 2024 р. Київ: КНЕУ, 2024. С. 165–171 URL: </w:t>
      </w:r>
      <w:hyperlink r:id="rId2606" w:history="1">
        <w:r w:rsidRPr="00511005">
          <w:rPr>
            <w:rFonts w:ascii="Arial" w:eastAsia="Times New Roman" w:hAnsi="Arial" w:cs="Arial"/>
            <w:szCs w:val="28"/>
            <w:lang w:val="uk-UA" w:eastAsia="ru-RU"/>
          </w:rPr>
          <w:t>https://ir.kneu.edu.ua/handle/2010/45414</w:t>
        </w:r>
      </w:hyperlink>
      <w:r w:rsidRPr="00511005">
        <w:rPr>
          <w:rFonts w:ascii="Arial" w:eastAsia="Times New Roman" w:hAnsi="Arial" w:cs="Arial"/>
          <w:szCs w:val="28"/>
          <w:lang w:val="uk-UA" w:eastAsia="ru-RU"/>
        </w:rPr>
        <w:t xml:space="preserve"> (дата звернення 07.05.2025).</w:t>
      </w:r>
    </w:p>
    <w:p w14:paraId="2E5947CE" w14:textId="77777777" w:rsidR="00AE57E7" w:rsidRPr="00511005" w:rsidRDefault="00AE57E7" w:rsidP="003A292D">
      <w:pPr>
        <w:spacing w:line="264" w:lineRule="auto"/>
        <w:rPr>
          <w:rFonts w:ascii="Arial" w:eastAsia="Times New Roman" w:hAnsi="Arial" w:cs="Arial"/>
          <w:b/>
          <w:bCs/>
          <w:szCs w:val="28"/>
          <w:lang w:val="uk-UA" w:eastAsia="ru-RU"/>
        </w:rPr>
      </w:pPr>
    </w:p>
    <w:p w14:paraId="32246328" w14:textId="53C79A8D"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AE57E7" w:rsidRPr="00511005">
        <w:rPr>
          <w:rFonts w:ascii="Arial" w:eastAsia="Times New Roman" w:hAnsi="Arial" w:cs="Arial"/>
          <w:szCs w:val="28"/>
          <w:lang w:val="uk-UA" w:eastAsia="ru-RU"/>
        </w:rPr>
        <w:t>молодь, конфліктна поведінка, війна, стрес-фактори, психологічна підтримка, адаптація, соціальна взаємодія, емоціональна регуляція, самоконтроль, поведінкові реакції, медіація.</w:t>
      </w:r>
    </w:p>
    <w:p w14:paraId="38FCCDA6" w14:textId="54D0A9FB"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AE57E7" w:rsidRPr="00511005">
        <w:rPr>
          <w:rFonts w:ascii="Arial" w:eastAsia="Times New Roman" w:hAnsi="Arial" w:cs="Arial"/>
          <w:szCs w:val="28"/>
          <w:lang w:val="uk-UA" w:eastAsia="ru-RU"/>
        </w:rPr>
        <w:t>youth, conflict behavior, war, stress factors, psychological support, adaptation, social interaction, emotional regulation, self-control, behavioral reactions, mediation.</w:t>
      </w:r>
    </w:p>
    <w:p w14:paraId="556A2428" w14:textId="04EF57F5"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iCs/>
          <w:szCs w:val="28"/>
          <w:lang w:val="uk-UA" w:eastAsia="ru-RU"/>
        </w:rPr>
        <w:t xml:space="preserve">Науковий керівник: </w:t>
      </w:r>
      <w:r w:rsidR="00AE57E7" w:rsidRPr="00511005">
        <w:rPr>
          <w:rFonts w:ascii="Arial" w:eastAsia="Times New Roman" w:hAnsi="Arial" w:cs="Arial"/>
          <w:i/>
          <w:iCs/>
          <w:szCs w:val="28"/>
          <w:lang w:val="uk-UA" w:eastAsia="ru-RU"/>
        </w:rPr>
        <w:t>к.політ.н, доцент Шмаленко Ю.І.</w:t>
      </w:r>
    </w:p>
    <w:p w14:paraId="63F9FDFA" w14:textId="77777777" w:rsidR="00AE57E7" w:rsidRPr="00511005" w:rsidRDefault="00AE57E7" w:rsidP="003A292D">
      <w:pPr>
        <w:spacing w:line="264" w:lineRule="auto"/>
        <w:rPr>
          <w:rFonts w:ascii="Arial" w:eastAsia="Times New Roman" w:hAnsi="Arial" w:cs="Arial"/>
          <w:szCs w:val="28"/>
          <w:lang w:val="uk-UA" w:eastAsia="ru-RU"/>
        </w:rPr>
      </w:pPr>
    </w:p>
    <w:p w14:paraId="08914BCC" w14:textId="77777777" w:rsidR="00AE57E7" w:rsidRPr="00511005" w:rsidRDefault="00AE57E7" w:rsidP="003A292D">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Гулько Маргарита Олегівна</w:t>
      </w:r>
    </w:p>
    <w:p w14:paraId="49157AC5" w14:textId="35DDDE2C" w:rsidR="00AE57E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4-го курсу факультету психології, політології та соціології</w:t>
      </w:r>
    </w:p>
    <w:p w14:paraId="5813B11B" w14:textId="6C8E2F95" w:rsidR="00AE57E7"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067E34F9" w14:textId="77777777" w:rsidR="00AE57E7" w:rsidRPr="00511005" w:rsidRDefault="00AE57E7" w:rsidP="003A292D">
      <w:pPr>
        <w:spacing w:line="264" w:lineRule="auto"/>
        <w:rPr>
          <w:rFonts w:ascii="Arial" w:eastAsia="Times New Roman" w:hAnsi="Arial" w:cs="Arial"/>
          <w:szCs w:val="28"/>
          <w:lang w:val="uk-UA" w:eastAsia="ru-RU"/>
        </w:rPr>
      </w:pPr>
    </w:p>
    <w:p w14:paraId="32C2F7F8" w14:textId="77777777" w:rsidR="00AE57E7" w:rsidRPr="00511005" w:rsidRDefault="00AE57E7"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ТЕОРЕТИКО-МЕТОДОЛОГІЧНІ ЗАСАДИ РОЗРОБКИ ТА ВПРОВАДЖЕННЯ ТРЕНІНГОВИХ ПРОГРАМ ДЛЯ РОЗВИТКУ ЛІДЕРСЬКОГО ПОТЕНЦІАЛУ В СТУДЕНТСЬКОМУ СЕРЕДОВИЩІ</w:t>
      </w:r>
    </w:p>
    <w:p w14:paraId="7CAFB1D1"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Формування лідерських якостей серед студентської молоді виступає важливим чинником розвитку громадянського суспільства та демократичних інституцій. У контексті сучасних освітніх викликів тренінгові методики </w:t>
      </w:r>
      <w:r w:rsidRPr="00511005">
        <w:rPr>
          <w:rFonts w:ascii="Arial" w:eastAsia="Times New Roman" w:hAnsi="Arial" w:cs="Arial"/>
          <w:szCs w:val="28"/>
          <w:lang w:val="uk-UA" w:eastAsia="ru-RU"/>
        </w:rPr>
        <w:lastRenderedPageBreak/>
        <w:t>набувають особливого значення як ефективний інструмент розвитку лідерського потенціалу.</w:t>
      </w:r>
    </w:p>
    <w:p w14:paraId="7B459F2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Проблематика лідерства у студентських колективах набула особливої актуальності в умовах модернізації освітнього процесу та посилення суспільних запитів на розвиток ініціативних особистостей. Як зазначає Д. Бибик, підготовка до впровадження тренінгових технологій з розвитку лідерства потребує врахування як загальнодидактичних підходів, так і соціально-психологічної специфіки цільової аудиторії. Автор підкреслює важливість етапності, контекстного навчання та акценту на інтерактивних формах діяльності [1, с. 33-35].</w:t>
      </w:r>
    </w:p>
    <w:p w14:paraId="38F686B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 Похилюк розкриває особливості застосування тренінгових методик у формуванні лідерських якостей майбутніх педагогів, зазначаючи, що ефективними є вправи на самопізнання, емпатію, асертивність і прийняття відповідальності. Створення умов для конструктивного зворотного зв’язку та рефлексії вважається одним із ключових чинників успіху тренінгу [2, с. 70-71].</w:t>
      </w:r>
    </w:p>
    <w:p w14:paraId="649BBABA"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свою чергу, Хоменко-Семенова Л.О. та співавтори наголошують, що тренінгові заняття, спрямовані на розвиток лідерства, мають враховувати вікові особливості студентів, їхні мотиваційні установки та соціальний досвід. Розвиток лідерських якостей відбувається ефективніше за умови включення студентів до групової взаємодії, прийняття групових рішень та обговорення соціально значущих проблем [3, с. 167-169].</w:t>
      </w:r>
    </w:p>
    <w:p w14:paraId="4557690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Також важливим аспектом є формування навичок мультикультурної комунікації, що тісно пов’язана з лідерською компетентністю. Як вказує Ю. Шмаленко, у цифровому середовищі розвивається новий тип лідерства – цифрове, яке базується на відкритості, здатності працювати в міжкультурних командах і володінні інструментами онлайн-взаємодії [4, с. 73-74].</w:t>
      </w:r>
    </w:p>
    <w:p w14:paraId="456439B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Успішне формування лідерства у студентських групах вимагає цілісного, системного підходу до організації тренінгової роботи. Ефективна тренінгова програма має базуватися на кількох ключових методичних засадах, кожна з яких забезпечує не лише розвиток окремих компетентностей, а й сприяє цілісному особистісному зростанню учасників.</w:t>
      </w:r>
    </w:p>
    <w:p w14:paraId="3107AA21"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По-перше, надзвичайно важливим є активне залучення студентів до тренінгового процесу шляхом моделювання реальних ситуацій. Створення умов, максимально наближених до справжніх викликів групової взаємодії, дозволяє учасникам краще усвідомлювати власні ролі в колективі, розвивати адаптивність та ініціативність, а також формувати навички прийняття рішень в умовах невизначеності.</w:t>
      </w:r>
    </w:p>
    <w:p w14:paraId="0E167CBF"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По-друге, ефективна програма обов’язково має включати спеціальні вправи та завдання, спрямовані на розвиток емоційного інтелекту та комунікативних навичок. Високий рівень емоційної компетентності, що </w:t>
      </w:r>
      <w:r w:rsidRPr="00511005">
        <w:rPr>
          <w:rFonts w:ascii="Arial" w:eastAsia="Times New Roman" w:hAnsi="Arial" w:cs="Arial"/>
          <w:szCs w:val="28"/>
          <w:lang w:val="uk-UA" w:eastAsia="ru-RU"/>
        </w:rPr>
        <w:lastRenderedPageBreak/>
        <w:t>передбачає здатність розпізнавати, розуміти та регулювати як власні емоції, так і емоції інших людей, є однією з базових характеристик сучасного лідера.</w:t>
      </w:r>
    </w:p>
    <w:p w14:paraId="0FBC6D2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По-третє, важливим завданням тренінгової роботи є формування внутрішньої мотивації студентів до саморозвитку та самореалізації. Лідерство вимагає постійного особистісного вдосконалення, усвідомлення власної відповідальності за динаміку групових процесів, здатності бачити перспективу та надихати інших на досягнення спільних цілей.</w:t>
      </w:r>
    </w:p>
    <w:p w14:paraId="4AB51D41"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тренінг як метод формування лідерських якостей у студентській групі є багатокомпонентною методичною системою, яка враховує особистісний, груповий та соціальний рівні розвитку. Його ефективність визначається якістю підготовки тренера, адаптованістю змісту до потреб аудиторії та наявністю простору для рефлексії та зворотного зв’язку.</w:t>
      </w:r>
    </w:p>
    <w:p w14:paraId="21303283"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 основі сучасних методичних розробок запропоновано чітко структуровану чотириетапну модель організації тренінгу для розвитку лідерських якостей у студентських групах. Першим етапом є діагностика потреб та ресурсів групи, яка передбачає застосування методик самооцінки, анкетування, соціометричного аналізу та індивідуальних співбесід. Метою цього етапу є виявлення існуючих рівнів розвитку лідерських компетентностей, розуміння міжособистісної структури групи та визначення потенційних «точок зростання» для подальшого навчання.</w:t>
      </w:r>
    </w:p>
    <w:p w14:paraId="510E94A5"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Другим етапом виступає актуалізація лідерських якостей студентів. У процесі реалізації цього етапу тренер використовує інтерактивні вправи на самопрезентацію, знайомство, командоутворення, що дозволяє кожному учаснику виявити власні сильні сторони, дослідити власний стиль взаємодії та активізувати мотивацію до розвитку лідерських навичок. Інтерактивний формат завдань сприяє також підвищенню рівня відкритості та довіри всередині групи.</w:t>
      </w:r>
    </w:p>
    <w:p w14:paraId="37695B9A"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Третій етап передбачає цілеспрямоване формування навичок ефективної взаємодії в колективі. На цьому етапі активно застосовуються методи роботи в малих групах, аналіз кейсів, моделювання реальних ситуацій і рольові ігри, що дозволяють студентам опрацьовувати вміння приймати рішення в команді, розподіляти обов’язки, вирішувати конфлікти і взаємодіяти в умовах різних комунікативних стилів. Особлива увага приділяється формуванню навичок конструктивного зворотного зв’язку та розвитку емоційної стійкості.</w:t>
      </w:r>
    </w:p>
    <w:p w14:paraId="5FEBFEB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Завершальним етапом тренінгу є рефлексія досвіду та складання індивідуальних планів розвитку. Учасники аналізують власні досягнення і труднощі, отримані у процесі тренінгу, через письмові рефлексивні роботи, групові обговорення та коучингові сесії. Результатом цього етапу стає усвідомлення індивідуальних стратегій подальшого розвитку лідерських </w:t>
      </w:r>
      <w:r w:rsidRPr="00511005">
        <w:rPr>
          <w:rFonts w:ascii="Arial" w:eastAsia="Times New Roman" w:hAnsi="Arial" w:cs="Arial"/>
          <w:szCs w:val="28"/>
          <w:lang w:val="uk-UA" w:eastAsia="ru-RU"/>
        </w:rPr>
        <w:lastRenderedPageBreak/>
        <w:t>компетентностей та визначення особистісно значущих цілей на перспективу.</w:t>
      </w:r>
    </w:p>
    <w:p w14:paraId="7B983953"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цілому запропонована чотирьохетапна структура забезпечує системність тренінгового впливу, дозволяє комплексно розвивати як особистісні, так і групові компетентності, сприяє підвищенню впевненості студентів у власних силах і стимулює їхню активну позицію в соціальних процесах.</w:t>
      </w:r>
    </w:p>
    <w:p w14:paraId="19DC2CDA"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Методичні засади тренінгів для формування лідерства в студентській групі повинні враховувати багатофакторність процесу розвитку особистості, групову динаміку, індивідуальні потреби студентів. Інтеграція сучасних психолого-педагогічних технологій, орієнтація на розвиток емоційного інтелекту та критичного мислення забезпечує підвищення ефективності таких тренінгів та сприяє підготовці активних громадян для сучасного суспільства.</w:t>
      </w:r>
    </w:p>
    <w:p w14:paraId="2EB158E0" w14:textId="77777777" w:rsidR="00AE57E7" w:rsidRPr="00511005" w:rsidRDefault="00AE57E7" w:rsidP="003A292D">
      <w:pPr>
        <w:spacing w:line="264" w:lineRule="auto"/>
        <w:rPr>
          <w:rFonts w:ascii="Arial" w:eastAsia="Times New Roman" w:hAnsi="Arial" w:cs="Arial"/>
          <w:szCs w:val="28"/>
          <w:lang w:val="uk-UA" w:eastAsia="ru-RU"/>
        </w:rPr>
      </w:pPr>
    </w:p>
    <w:p w14:paraId="64AB4D42" w14:textId="77859FA8" w:rsidR="00AE57E7" w:rsidRPr="00511005" w:rsidRDefault="007B2628" w:rsidP="007B2628">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1ABFCC8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1.</w:t>
      </w:r>
      <w:r w:rsidRPr="00511005">
        <w:rPr>
          <w:rFonts w:ascii="Arial" w:eastAsia="Times New Roman" w:hAnsi="Arial" w:cs="Arial"/>
          <w:szCs w:val="28"/>
          <w:lang w:val="uk-UA" w:eastAsia="ru-RU"/>
        </w:rPr>
        <w:tab/>
        <w:t>Бибик Д. Специфіка підготовки студентів до впровадження тренінгових технологій з розвитку лідерства у дітей вимушених переселенців. Теоретико-методичні проблеми виховання дітей та учнівської молоді. 2019 р., №23 кн. 1. С.31-42 URL: https://lib.iitta.gov.ua/id/eprint/718701/1/Бибик%20Д.%20Д..pdf</w:t>
      </w:r>
    </w:p>
    <w:p w14:paraId="4B16DC18"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2.</w:t>
      </w:r>
      <w:r w:rsidRPr="00511005">
        <w:rPr>
          <w:rFonts w:ascii="Arial" w:eastAsia="Times New Roman" w:hAnsi="Arial" w:cs="Arial"/>
          <w:szCs w:val="28"/>
          <w:lang w:val="uk-UA" w:eastAsia="ru-RU"/>
        </w:rPr>
        <w:tab/>
        <w:t>Похилюк О. Особливості тренінгових технологій виховання лідерських якостей майбутніх спеціалістів освітньої галузі. Молодий вчений, 2023. 1.1 (113.1), 69-74. URL: https://molodyivchenyi.ua/index.php/journal/article/view/5734/5612</w:t>
      </w:r>
    </w:p>
    <w:p w14:paraId="4706584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3.</w:t>
      </w:r>
      <w:r w:rsidRPr="00511005">
        <w:rPr>
          <w:rFonts w:ascii="Arial" w:eastAsia="Times New Roman" w:hAnsi="Arial" w:cs="Arial"/>
          <w:szCs w:val="28"/>
          <w:lang w:val="uk-UA" w:eastAsia="ru-RU"/>
        </w:rPr>
        <w:tab/>
        <w:t xml:space="preserve">Хоменко-Семенова Л.О., Селезень Г.В., Литвинчук Н.Б., Оксамитна Л.Б. Розвиток лідерських якостей студентської молоді. Вісник Національного авіаційного університету. Серія: Педагогіка. Психологія: зб. наук. пр. К.: Національний авіаційний університет, 2023. Вип. 2(23). С. 164-175 URL: https://er.nau.edu.ua/server/api/core/bitstreams/019081cd-60c0-4d35-b21a-db5a0cac73ac/content </w:t>
      </w:r>
    </w:p>
    <w:p w14:paraId="5974F07C"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4.</w:t>
      </w:r>
      <w:r w:rsidRPr="00511005">
        <w:rPr>
          <w:rFonts w:ascii="Arial" w:eastAsia="Times New Roman" w:hAnsi="Arial" w:cs="Arial"/>
          <w:szCs w:val="28"/>
          <w:lang w:val="uk-UA" w:eastAsia="ru-RU"/>
        </w:rPr>
        <w:tab/>
        <w:t xml:space="preserve">Шмаленко Ю. Формування навичок мультикультурної комунікації в цифровому просторі. Інформаційне суспільство і Природа: вектори взаємовпливу: збірник матеріалів VIII Міжнародної науково-практичної конференції (м. Кривий Ріг, 21-22 листопада 2024 р.) / за заг. ред. д. соц. н., проф. Л. Калашнікової. Київ : Вид-во «Каравела», 2024. С.72-78. URL: https://elibrary.kdpu.edu.ua/bitstream/123456789/11057/1/Збірник.pdf </w:t>
      </w:r>
    </w:p>
    <w:p w14:paraId="763A9F55" w14:textId="77777777" w:rsidR="00AE57E7" w:rsidRPr="00511005" w:rsidRDefault="00AE57E7" w:rsidP="003A292D">
      <w:pPr>
        <w:spacing w:line="264" w:lineRule="auto"/>
        <w:rPr>
          <w:rFonts w:ascii="Arial" w:eastAsia="Times New Roman" w:hAnsi="Arial" w:cs="Arial"/>
          <w:szCs w:val="28"/>
          <w:lang w:val="uk-UA" w:eastAsia="ru-RU"/>
        </w:rPr>
      </w:pPr>
    </w:p>
    <w:p w14:paraId="41FF7B5C" w14:textId="0CF38666"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AE57E7" w:rsidRPr="00511005">
        <w:rPr>
          <w:rFonts w:ascii="Arial" w:eastAsia="Times New Roman" w:hAnsi="Arial" w:cs="Arial"/>
          <w:szCs w:val="28"/>
          <w:lang w:val="uk-UA" w:eastAsia="ru-RU"/>
        </w:rPr>
        <w:t>лідерство, студентська група, тренінг, психологічні технології, розвиток особистості.</w:t>
      </w:r>
    </w:p>
    <w:p w14:paraId="012C5F74" w14:textId="67161F31"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AE57E7" w:rsidRPr="00511005">
        <w:rPr>
          <w:rFonts w:ascii="Arial" w:eastAsia="Times New Roman" w:hAnsi="Arial" w:cs="Arial"/>
          <w:szCs w:val="28"/>
          <w:lang w:val="uk-UA" w:eastAsia="ru-RU"/>
        </w:rPr>
        <w:t>leadership, student group, training, psychological technologies, personality development.</w:t>
      </w:r>
    </w:p>
    <w:p w14:paraId="1E568F41" w14:textId="4B433065" w:rsidR="00AE57E7" w:rsidRPr="00511005" w:rsidRDefault="007B2628" w:rsidP="003A292D">
      <w:pPr>
        <w:spacing w:line="264" w:lineRule="auto"/>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lastRenderedPageBreak/>
        <w:t xml:space="preserve">Науковий керівник: </w:t>
      </w:r>
      <w:r w:rsidR="00AE57E7" w:rsidRPr="00511005">
        <w:rPr>
          <w:rFonts w:ascii="Arial" w:eastAsia="Times New Roman" w:hAnsi="Arial" w:cs="Arial"/>
          <w:i/>
          <w:iCs/>
          <w:szCs w:val="28"/>
          <w:lang w:val="uk-UA" w:eastAsia="ru-RU"/>
        </w:rPr>
        <w:t>к.політ.н, доцент Шмаленко Ю.І.</w:t>
      </w:r>
    </w:p>
    <w:p w14:paraId="79C2673C" w14:textId="77777777" w:rsidR="00AE57E7" w:rsidRPr="00511005" w:rsidRDefault="00AE57E7" w:rsidP="003A292D">
      <w:pPr>
        <w:spacing w:line="264" w:lineRule="auto"/>
        <w:rPr>
          <w:rFonts w:ascii="Arial" w:eastAsia="Times New Roman" w:hAnsi="Arial" w:cs="Arial"/>
          <w:i/>
          <w:iCs/>
          <w:szCs w:val="28"/>
          <w:lang w:val="uk-UA" w:eastAsia="ru-RU"/>
        </w:rPr>
      </w:pPr>
    </w:p>
    <w:p w14:paraId="31FF5E19" w14:textId="77777777" w:rsidR="00AE57E7" w:rsidRPr="00511005" w:rsidRDefault="00AE57E7" w:rsidP="003A292D">
      <w:pPr>
        <w:spacing w:line="264" w:lineRule="auto"/>
        <w:rPr>
          <w:rFonts w:ascii="Arial" w:eastAsia="Times New Roman" w:hAnsi="Arial" w:cs="Arial"/>
          <w:i/>
          <w:iCs/>
          <w:szCs w:val="28"/>
          <w:lang w:val="uk-UA" w:eastAsia="ru-RU"/>
        </w:rPr>
      </w:pPr>
    </w:p>
    <w:p w14:paraId="2CC9B987" w14:textId="77777777" w:rsidR="00AE57E7" w:rsidRPr="00511005" w:rsidRDefault="00AE57E7" w:rsidP="003A292D">
      <w:pPr>
        <w:keepNext/>
        <w:spacing w:line="264" w:lineRule="auto"/>
        <w:ind w:firstLine="0"/>
        <w:jc w:val="center"/>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Євдокименко Крістіна Вадимівна </w:t>
      </w:r>
    </w:p>
    <w:p w14:paraId="51DF3EB8" w14:textId="0C5E3F60" w:rsidR="00AE57E7" w:rsidRPr="00511005" w:rsidRDefault="00536AAB" w:rsidP="003A292D">
      <w:pPr>
        <w:keepNext/>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4-го курсу факультету психології, політології та соціології</w:t>
      </w:r>
    </w:p>
    <w:p w14:paraId="7C75E80A" w14:textId="7A529E7C" w:rsidR="00AE57E7" w:rsidRPr="00511005" w:rsidRDefault="007B2628" w:rsidP="003A292D">
      <w:pPr>
        <w:keepNext/>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5253C79C" w14:textId="77777777" w:rsidR="00AE57E7" w:rsidRPr="00511005" w:rsidRDefault="00AE57E7" w:rsidP="003A292D">
      <w:pPr>
        <w:keepNext/>
        <w:spacing w:line="264" w:lineRule="auto"/>
        <w:ind w:firstLine="0"/>
        <w:jc w:val="center"/>
        <w:rPr>
          <w:rFonts w:ascii="Arial" w:eastAsia="Times New Roman" w:hAnsi="Arial" w:cs="Arial"/>
          <w:b/>
          <w:i/>
          <w:szCs w:val="28"/>
          <w:lang w:val="uk-UA" w:eastAsia="ru-RU"/>
        </w:rPr>
      </w:pPr>
    </w:p>
    <w:p w14:paraId="731D8ECD" w14:textId="77777777" w:rsidR="00AE57E7" w:rsidRPr="00511005" w:rsidRDefault="00AE57E7" w:rsidP="003A292D">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ПСИХОЛОГІЧНІ ОСОБЛИВОСТІ СТРЕСОСТІЙКОСТІ ПІДЛІТКІВ В УМОВАХ ВІЙНИ</w:t>
      </w:r>
    </w:p>
    <w:p w14:paraId="4FFC343A" w14:textId="77777777" w:rsidR="00AE57E7" w:rsidRPr="00511005" w:rsidRDefault="00AE57E7" w:rsidP="003A292D">
      <w:pPr>
        <w:spacing w:line="264" w:lineRule="auto"/>
        <w:ind w:firstLine="0"/>
        <w:rPr>
          <w:rFonts w:ascii="Arial" w:eastAsia="Times New Roman" w:hAnsi="Arial" w:cs="Arial"/>
          <w:szCs w:val="28"/>
          <w:lang w:val="uk-UA" w:eastAsia="ru-RU"/>
        </w:rPr>
      </w:pPr>
      <w:r w:rsidRPr="00511005">
        <w:rPr>
          <w:rFonts w:ascii="Arial" w:eastAsia="Times New Roman" w:hAnsi="Arial" w:cs="Arial"/>
          <w:b/>
          <w:bCs/>
          <w:szCs w:val="28"/>
          <w:lang w:eastAsia="ru-RU"/>
        </w:rPr>
        <w:tab/>
      </w:r>
      <w:r w:rsidRPr="00511005">
        <w:rPr>
          <w:rFonts w:ascii="Arial" w:eastAsia="Times New Roman" w:hAnsi="Arial" w:cs="Arial"/>
          <w:szCs w:val="28"/>
          <w:lang w:val="uk-UA" w:eastAsia="ru-RU"/>
        </w:rPr>
        <w:t>У сучасних умовах воєнного стану, економічних, політичних криз підвищуються вимоги сьогодення до стресостійкості особистості, особливо у перехідному підлітковому віці в період її становлення. Впливи війни вимагають від особистості підлітків підвищеної готовності до мобілізації усіх наявних ресурсів, постійної психологічної адаптації в умовах невизначеності, продовження навчання, збереження цілепокладання та орієнтації на майбутнє, що викликає стрес тощо. Тому відповідна психологічна допомога підліткам повинна ґрунтуватися на вивченні психологічних особливостей їхньої стресостійкості в умовах війни [2, с. 143].</w:t>
      </w:r>
    </w:p>
    <w:p w14:paraId="196C6253" w14:textId="5AD4B943" w:rsidR="00AE57E7" w:rsidRPr="00511005" w:rsidRDefault="00AE57E7"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У наукових працях висвітлювалися різні аспекти психологічної проблематики стресостійкості: психофізіологічні аспекти стійкості людини до стресів (А. Андреєєва, Л. Ємельяненко), тлумачення феномену стресостійкості з позицій системно-структурного підходу (В. Крайнюк, Л. Мороз),</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зв’язок стресостійкості з індивідуально-психологічними властивостями особистості: інтроверсією, рівнем тривожності, мотивацією досягнення успіху тощо, саморегуляція як системоутворюючий чинник стресостійкості, шляхи та засоби підвищення стресостійкості у різних категорій осіб, зокрема, у здобувачів вищої освіти (Л.Б.</w:t>
      </w:r>
      <w:r w:rsidRPr="00511005">
        <w:rPr>
          <w:rFonts w:ascii="Arial" w:eastAsia="Times New Roman" w:hAnsi="Arial" w:cs="Arial"/>
          <w:szCs w:val="28"/>
          <w:lang w:eastAsia="ru-RU"/>
        </w:rPr>
        <w:t> </w:t>
      </w:r>
      <w:r w:rsidRPr="00511005">
        <w:rPr>
          <w:rFonts w:ascii="Arial" w:eastAsia="Times New Roman" w:hAnsi="Arial" w:cs="Arial"/>
          <w:szCs w:val="28"/>
          <w:lang w:val="uk-UA" w:eastAsia="ru-RU"/>
        </w:rPr>
        <w:t>Наугольник, С. Сененко, В. Панок) [1].</w:t>
      </w:r>
      <w:r w:rsidR="007B2628" w:rsidRPr="00511005">
        <w:rPr>
          <w:rFonts w:ascii="Arial" w:eastAsia="Times New Roman" w:hAnsi="Arial" w:cs="Arial"/>
          <w:szCs w:val="28"/>
          <w:lang w:val="uk-UA" w:eastAsia="ru-RU"/>
        </w:rPr>
        <w:t xml:space="preserve"> </w:t>
      </w:r>
    </w:p>
    <w:p w14:paraId="6E04C80A" w14:textId="77777777" w:rsidR="00AE57E7" w:rsidRPr="00511005" w:rsidRDefault="00AE57E7"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Стресостійкість є складною інтегральною властивістю особистості, яка взаємопов'язана з системою елементів, представлених комплексом інтелектуальних, когнітивних, емоційних та особистісних якостей, що забезпечують людині можливість переносити значні розумові, фізичні, вольові та емоційні навантаження, зберігаючи ефективність функціонування у стресогенній ситуації.</w:t>
      </w:r>
    </w:p>
    <w:p w14:paraId="487B292F" w14:textId="3BE27660" w:rsidR="00AE57E7" w:rsidRPr="00511005" w:rsidRDefault="00AE57E7"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Особистість у підлітковому віці стрімко зростає, ускладнюються соціальні відносини, вони значно розширюються, відбувається прийняття підлітками відповідальних рішень, вони активніше беруть участь у самоорганізації власного життя, навчання та дозвілля.</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Вплив стресу на підлітків має кілька аспектів, а саме: прогнозування поведінки в певних умовах, визначення наслідків їх впливу та підготовка до адекватних стратегій поведінки особистості в стресових ситуаціях. Властивість протистояти стресу формується у процесі життєдіяльності і найтіснішим </w:t>
      </w:r>
      <w:r w:rsidRPr="00511005">
        <w:rPr>
          <w:rFonts w:ascii="Arial" w:eastAsia="Times New Roman" w:hAnsi="Arial" w:cs="Arial"/>
          <w:szCs w:val="28"/>
          <w:lang w:val="uk-UA" w:eastAsia="ru-RU"/>
        </w:rPr>
        <w:lastRenderedPageBreak/>
        <w:t>чином пов’язані з відображенням власних психічних і фізичних можливостей, досвідом вирішення стресогенних ситуацій підлітків [3].</w:t>
      </w:r>
    </w:p>
    <w:p w14:paraId="37E7CC29" w14:textId="77777777" w:rsidR="00AE57E7" w:rsidRPr="00511005" w:rsidRDefault="00AE57E7"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Тому стресостійкість виникає як комплексна якість особистості, що характеризується необхідною адаптацією до зовнішніх і внутрішніх чинників у процесі діяльності, що сприяє успішному досягненню цілей цієї діяльності та здійснюється через власну поведінку людини в емоційному, мотиваційному плані, когнітивній та поведінковій сферах особистості.</w:t>
      </w:r>
    </w:p>
    <w:p w14:paraId="529023CD" w14:textId="77777777" w:rsidR="00AE57E7" w:rsidRPr="00511005" w:rsidRDefault="00AE57E7"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Дослідники визначили різні фактори стресу особистості, включаючи індивідуальні фактори, фактори довкілля та фактори подолання. Прикладом індивідуальних чинників є риси особистості. Дослідження вказують, що особи з високим рівнем невротизму мають риси особистості, пов’язані з тривогою та негативним мисленням, характеризуються вищим рівнем стресу. Інтроверти мають тенденцію до самоусунення від соціальних ситуацій, можуть бути сприйнятливішими до стресу, ніж ті, хто є екстравертами та орієнтовані на соціальну взаємодію. Є дані, які свідчать про те, що інші риси особистості, такі як сумлінність і чутливість, також можуть бути позитивно пов’язані з рівнем стресу особистості [2]. </w:t>
      </w:r>
    </w:p>
    <w:p w14:paraId="4CAFB5D5" w14:textId="77777777" w:rsidR="007B2628" w:rsidRPr="00511005" w:rsidRDefault="00AE57E7"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szCs w:val="28"/>
          <w:lang w:val="uk-UA" w:eastAsia="ru-RU"/>
        </w:rPr>
        <w:t>Фактори довкілля, такі як життєва ситуація, соціальна підтримка, сімейні стосунки чи ресурси шкільного навчального закладу, також є важливими пояснювальними змінними стресу. Наприклад, старші підлітки, які повідомили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про більш низький рівень соціальної підтримки в групі однолітків, мали більш високий рівень стресу. матимуть позитивне ставлення до навчання та менший</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рівень стресу. Крім того, підлітки, яких підтримують однолітки та члени сім’ї, швидше за все, матимуть позитивне ставлення до навчання та менший рівень стресу. Виявлено, що підлітки, які мали доступ до шкільних</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психологічних служб, центрів психологічного консультування психічного здоров'я та інших ресурсів, повідомили про нижчий рівень стресу, ніж ті, хто не мав такої підтримки [3]. </w:t>
      </w:r>
    </w:p>
    <w:p w14:paraId="4A426341" w14:textId="26C773BC" w:rsidR="00AE57E7" w:rsidRPr="00511005" w:rsidRDefault="00AE57E7" w:rsidP="003A292D">
      <w:pPr>
        <w:spacing w:line="264" w:lineRule="auto"/>
        <w:contextualSpacing/>
        <w:rPr>
          <w:rFonts w:ascii="Arial" w:eastAsia="Times New Roman" w:hAnsi="Arial" w:cs="Arial"/>
          <w:szCs w:val="28"/>
          <w:lang w:val="uk-UA" w:eastAsia="ru-RU"/>
        </w:rPr>
      </w:pPr>
      <w:r w:rsidRPr="00511005">
        <w:rPr>
          <w:rFonts w:ascii="Arial" w:eastAsia="Times New Roman" w:hAnsi="Arial" w:cs="Arial"/>
          <w:b/>
          <w:bCs/>
          <w:szCs w:val="28"/>
          <w:lang w:val="uk-UA" w:eastAsia="ru-RU"/>
        </w:rPr>
        <w:t>Висновки.</w:t>
      </w:r>
      <w:r w:rsidRPr="00511005">
        <w:rPr>
          <w:rFonts w:ascii="Arial" w:eastAsia="Times New Roman" w:hAnsi="Arial" w:cs="Arial"/>
          <w:szCs w:val="28"/>
          <w:lang w:val="uk-UA" w:eastAsia="ru-RU"/>
        </w:rPr>
        <w:t xml:space="preserve"> Таким чином, фактори, що викликають стрес серед підлітків, також можуть бути пов’язані з фізичними, психологічними соціальними особливостями особистості підлітків, умовами їх розвитку і дорослішання, рівнем розвитку емоційно-вольової сфери. Крім того, підвищений рівень стресу серед підлітків може призвести до зниження їх навчальних досягнень, проявів деструктивних форм поведінки і вплинути як на фізичне, соціальне, так і на психічне здоров’я підлітків. Отже, стресостійкість у підлітків в умовах війни потребує відповідних відповідної наукової уваги, корекційних втручань, та пріоритетної роботи психологічних служб.</w:t>
      </w:r>
    </w:p>
    <w:p w14:paraId="6FE689F4" w14:textId="77777777" w:rsidR="00AE57E7" w:rsidRPr="00511005" w:rsidRDefault="00AE57E7" w:rsidP="003A292D">
      <w:pPr>
        <w:widowControl w:val="0"/>
        <w:spacing w:line="264" w:lineRule="auto"/>
        <w:ind w:firstLine="0"/>
        <w:jc w:val="center"/>
        <w:rPr>
          <w:rFonts w:ascii="Arial" w:eastAsia="Times New Roman" w:hAnsi="Arial" w:cs="Arial"/>
          <w:szCs w:val="28"/>
          <w:lang w:val="uk-UA" w:eastAsia="ru-RU"/>
        </w:rPr>
      </w:pPr>
    </w:p>
    <w:p w14:paraId="7A475192" w14:textId="40E3ABA5" w:rsidR="00AE57E7" w:rsidRPr="00511005" w:rsidRDefault="007B2628" w:rsidP="007B2628">
      <w:pPr>
        <w:widowControl w:val="0"/>
        <w:spacing w:line="264" w:lineRule="auto"/>
        <w:ind w:firstLine="0"/>
        <w:jc w:val="center"/>
        <w:rPr>
          <w:rFonts w:ascii="Arial" w:eastAsia="Times New Roman" w:hAnsi="Arial" w:cs="Arial"/>
          <w:b/>
          <w:bCs/>
          <w:iCs/>
          <w:szCs w:val="28"/>
          <w:lang w:val="uk-UA" w:eastAsia="uk-UA"/>
        </w:rPr>
      </w:pPr>
      <w:r w:rsidRPr="00511005">
        <w:rPr>
          <w:rFonts w:ascii="Arial" w:eastAsia="Times New Roman" w:hAnsi="Arial" w:cs="Arial"/>
          <w:b/>
          <w:bCs/>
          <w:iCs/>
          <w:szCs w:val="28"/>
          <w:lang w:val="uk-UA" w:eastAsia="ru-RU"/>
        </w:rPr>
        <w:t>Список використаних джерел</w:t>
      </w:r>
    </w:p>
    <w:p w14:paraId="1D1138AA" w14:textId="77777777" w:rsidR="00AE57E7" w:rsidRPr="00511005" w:rsidRDefault="00AE57E7" w:rsidP="003F6A5D">
      <w:pPr>
        <w:numPr>
          <w:ilvl w:val="0"/>
          <w:numId w:val="758"/>
        </w:numPr>
        <w:pBdr>
          <w:top w:val="none" w:sz="0" w:space="0" w:color="000000"/>
          <w:left w:val="none" w:sz="0" w:space="0" w:color="000000"/>
          <w:bottom w:val="none" w:sz="0" w:space="0" w:color="000000"/>
          <w:right w:val="none" w:sz="0" w:space="0" w:color="000000"/>
        </w:pBdr>
        <w:tabs>
          <w:tab w:val="left" w:pos="9497"/>
        </w:tabs>
        <w:spacing w:line="264" w:lineRule="auto"/>
        <w:ind w:left="799" w:hanging="442"/>
        <w:contextualSpacing/>
        <w:jc w:val="left"/>
        <w:rPr>
          <w:rFonts w:ascii="Arial" w:eastAsia="Calibri" w:hAnsi="Arial" w:cs="Arial"/>
          <w:szCs w:val="28"/>
          <w:lang w:val="uk-UA" w:eastAsia="uk-UA"/>
        </w:rPr>
      </w:pPr>
      <w:r w:rsidRPr="00511005">
        <w:rPr>
          <w:rFonts w:ascii="Arial" w:eastAsia="Calibri" w:hAnsi="Arial" w:cs="Arial"/>
          <w:szCs w:val="28"/>
          <w:lang w:val="uk-UA" w:eastAsia="uk-UA"/>
        </w:rPr>
        <w:lastRenderedPageBreak/>
        <w:t>Корольчук В. М. Психологія стресостійкості особистості : (дис. докт. психологічних наук). Інститут психології ім. Г. С. Костюка. Київ, 2009. 520 с.</w:t>
      </w:r>
    </w:p>
    <w:p w14:paraId="38B79784" w14:textId="13874EA3" w:rsidR="00AE57E7" w:rsidRPr="00511005" w:rsidRDefault="00AE57E7" w:rsidP="003F6A5D">
      <w:pPr>
        <w:numPr>
          <w:ilvl w:val="0"/>
          <w:numId w:val="758"/>
        </w:numPr>
        <w:pBdr>
          <w:top w:val="none" w:sz="0" w:space="0" w:color="000000"/>
          <w:left w:val="none" w:sz="0" w:space="0" w:color="000000"/>
          <w:bottom w:val="none" w:sz="0" w:space="0" w:color="000000"/>
          <w:right w:val="none" w:sz="0" w:space="0" w:color="000000"/>
        </w:pBdr>
        <w:tabs>
          <w:tab w:val="left" w:pos="9497"/>
        </w:tabs>
        <w:spacing w:line="264" w:lineRule="auto"/>
        <w:ind w:left="799" w:hanging="442"/>
        <w:contextualSpacing/>
        <w:jc w:val="left"/>
        <w:rPr>
          <w:rFonts w:ascii="Arial" w:eastAsia="Calibri" w:hAnsi="Arial" w:cs="Arial"/>
          <w:szCs w:val="28"/>
          <w:lang w:val="uk-UA" w:eastAsia="uk-UA"/>
        </w:rPr>
      </w:pPr>
      <w:r w:rsidRPr="00511005">
        <w:rPr>
          <w:rFonts w:ascii="Arial" w:eastAsia="Calibri" w:hAnsi="Arial" w:cs="Arial"/>
          <w:szCs w:val="28"/>
          <w:lang w:val="uk-UA" w:eastAsia="uk-UA"/>
        </w:rPr>
        <w:t>Рєпнова Т.П. Культура емоцій та почуттів під час війни. «Актуальні проблеми сучасного управління в соціально-економічних, гуманітарних та технічних системах» Зб. наук. праць</w:t>
      </w:r>
      <w:r w:rsidR="007B2628" w:rsidRPr="00511005">
        <w:rPr>
          <w:rFonts w:ascii="Arial" w:eastAsia="Calibri" w:hAnsi="Arial" w:cs="Arial"/>
          <w:szCs w:val="28"/>
          <w:lang w:val="uk-UA" w:eastAsia="uk-UA"/>
        </w:rPr>
        <w:t xml:space="preserve"> </w:t>
      </w:r>
      <w:r w:rsidRPr="00511005">
        <w:rPr>
          <w:rFonts w:ascii="Arial" w:eastAsia="Calibri" w:hAnsi="Arial" w:cs="Arial"/>
          <w:iCs/>
          <w:szCs w:val="28"/>
          <w:lang w:val="uk-UA" w:eastAsia="uk-UA"/>
        </w:rPr>
        <w:t xml:space="preserve">за матеріалами </w:t>
      </w:r>
      <w:r w:rsidRPr="00511005">
        <w:rPr>
          <w:rFonts w:ascii="Arial" w:eastAsia="Calibri" w:hAnsi="Arial" w:cs="Arial"/>
          <w:iCs/>
          <w:szCs w:val="28"/>
          <w:lang w:val="en-US" w:eastAsia="uk-UA"/>
        </w:rPr>
        <w:t>X</w:t>
      </w:r>
      <w:r w:rsidRPr="00511005">
        <w:rPr>
          <w:rFonts w:ascii="Arial" w:eastAsia="Calibri" w:hAnsi="Arial" w:cs="Arial"/>
          <w:iCs/>
          <w:szCs w:val="28"/>
          <w:lang w:val="uk-UA" w:eastAsia="uk-UA"/>
        </w:rPr>
        <w:t>V</w:t>
      </w:r>
      <w:r w:rsidRPr="00511005">
        <w:rPr>
          <w:rFonts w:ascii="Arial" w:eastAsia="Calibri" w:hAnsi="Arial" w:cs="Arial"/>
          <w:iCs/>
          <w:szCs w:val="28"/>
          <w:lang w:val="en-US" w:eastAsia="uk-UA"/>
        </w:rPr>
        <w:t>III</w:t>
      </w:r>
      <w:r w:rsidRPr="00511005">
        <w:rPr>
          <w:rFonts w:ascii="Arial" w:eastAsia="Calibri" w:hAnsi="Arial" w:cs="Arial"/>
          <w:iCs/>
          <w:szCs w:val="28"/>
          <w:lang w:val="uk-UA" w:eastAsia="uk-UA"/>
        </w:rPr>
        <w:t xml:space="preserve"> Між. Наук.-практичної конференції / ПрАТ «ВНЗ «</w:t>
      </w:r>
      <w:r w:rsidRPr="00511005">
        <w:rPr>
          <w:rFonts w:ascii="Arial" w:eastAsia="Calibri" w:hAnsi="Arial" w:cs="Arial"/>
          <w:szCs w:val="28"/>
          <w:lang w:val="uk-UA" w:eastAsia="uk-UA"/>
        </w:rPr>
        <w:t>МАУП»» Одеський інститут, Інститут ринку і економіко-екологічних досліджень НАН України, 17</w:t>
      </w:r>
      <w:r w:rsidRPr="00511005">
        <w:rPr>
          <w:rFonts w:ascii="Arial" w:eastAsia="Calibri" w:hAnsi="Arial" w:cs="Arial"/>
          <w:iCs/>
          <w:szCs w:val="28"/>
          <w:lang w:val="uk-UA" w:eastAsia="uk-UA"/>
        </w:rPr>
        <w:t xml:space="preserve"> листопада, 2022 р. Одеса: Лерадрук. - С. 142-146.</w:t>
      </w:r>
    </w:p>
    <w:p w14:paraId="763C80E9" w14:textId="47289853" w:rsidR="00AE57E7" w:rsidRPr="00511005" w:rsidRDefault="00AE57E7" w:rsidP="003F6A5D">
      <w:pPr>
        <w:numPr>
          <w:ilvl w:val="0"/>
          <w:numId w:val="758"/>
        </w:numPr>
        <w:pBdr>
          <w:top w:val="none" w:sz="0" w:space="0" w:color="000000"/>
          <w:left w:val="none" w:sz="0" w:space="0" w:color="000000"/>
          <w:bottom w:val="none" w:sz="0" w:space="0" w:color="000000"/>
          <w:right w:val="none" w:sz="0" w:space="0" w:color="000000"/>
        </w:pBdr>
        <w:tabs>
          <w:tab w:val="left" w:pos="9497"/>
        </w:tabs>
        <w:spacing w:line="264" w:lineRule="auto"/>
        <w:ind w:left="799" w:hanging="442"/>
        <w:contextualSpacing/>
        <w:jc w:val="left"/>
        <w:rPr>
          <w:rFonts w:ascii="Arial" w:eastAsia="Calibri" w:hAnsi="Arial" w:cs="Arial"/>
          <w:szCs w:val="28"/>
          <w:lang w:val="uk-UA"/>
        </w:rPr>
      </w:pPr>
      <w:r w:rsidRPr="00511005">
        <w:rPr>
          <w:rFonts w:ascii="Arial" w:eastAsia="Calibri" w:hAnsi="Arial" w:cs="Arial"/>
          <w:szCs w:val="28"/>
          <w:lang w:val="uk-UA" w:eastAsia="uk-UA"/>
        </w:rPr>
        <w:t>Руда Т. Стрес та стресостійкість у підлітків, 2018. Київ: Спортивний вісник Придніпров’я. - С. 122-129.</w:t>
      </w:r>
      <w:r w:rsidR="007B2628" w:rsidRPr="00511005">
        <w:rPr>
          <w:rFonts w:ascii="Arial" w:eastAsia="Calibri" w:hAnsi="Arial" w:cs="Arial"/>
          <w:szCs w:val="28"/>
          <w:lang w:val="uk-UA" w:eastAsia="uk-UA"/>
        </w:rPr>
        <w:t xml:space="preserve"> </w:t>
      </w:r>
    </w:p>
    <w:p w14:paraId="0A2A624F" w14:textId="77777777" w:rsidR="00AE57E7" w:rsidRPr="00511005" w:rsidRDefault="00AE57E7" w:rsidP="003A292D">
      <w:pPr>
        <w:keepNext/>
        <w:spacing w:line="264" w:lineRule="auto"/>
        <w:ind w:firstLine="567"/>
        <w:rPr>
          <w:rFonts w:ascii="Arial" w:eastAsia="Times New Roman" w:hAnsi="Arial" w:cs="Arial"/>
          <w:szCs w:val="28"/>
          <w:lang w:eastAsia="ru-RU"/>
        </w:rPr>
      </w:pPr>
    </w:p>
    <w:p w14:paraId="170A2753" w14:textId="0E56CCBB"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стресостійкість, підлітки, психологічні особливості, емоційна регуляція.</w:t>
      </w:r>
    </w:p>
    <w:p w14:paraId="7B935E96" w14:textId="36A67858" w:rsidR="00AE57E7" w:rsidRPr="00511005" w:rsidRDefault="007B2628" w:rsidP="003A292D">
      <w:pPr>
        <w:spacing w:line="264" w:lineRule="auto"/>
        <w:rPr>
          <w:rFonts w:ascii="Arial" w:eastAsia="Times New Roman" w:hAnsi="Arial" w:cs="Arial"/>
          <w:bCs/>
          <w:szCs w:val="28"/>
          <w:lang w:val="en-US" w:eastAsia="uk-UA"/>
        </w:rPr>
      </w:pPr>
      <w:r w:rsidRPr="00511005">
        <w:rPr>
          <w:rFonts w:ascii="Arial" w:eastAsia="Times New Roman" w:hAnsi="Arial" w:cs="Arial"/>
          <w:b/>
          <w:i/>
          <w:szCs w:val="28"/>
          <w:lang w:val="en-US" w:eastAsia="uk-UA"/>
        </w:rPr>
        <w:t xml:space="preserve">Key words: </w:t>
      </w:r>
      <w:r w:rsidR="00AE57E7" w:rsidRPr="00511005">
        <w:rPr>
          <w:rFonts w:ascii="Arial" w:eastAsia="Times New Roman" w:hAnsi="Arial" w:cs="Arial"/>
          <w:bCs/>
          <w:szCs w:val="28"/>
          <w:lang w:val="en-US" w:eastAsia="uk-UA"/>
        </w:rPr>
        <w:t>stress resistance, adolescents, psychological characteristics, emotional regulation.</w:t>
      </w:r>
    </w:p>
    <w:p w14:paraId="5FA08C9D" w14:textId="1C96FE15" w:rsidR="00AE57E7" w:rsidRPr="00511005" w:rsidRDefault="007B2628" w:rsidP="003A292D">
      <w:pPr>
        <w:spacing w:line="264" w:lineRule="auto"/>
        <w:rPr>
          <w:rFonts w:ascii="Arial" w:eastAsia="Times New Roman" w:hAnsi="Arial" w:cs="Arial"/>
          <w:bCs/>
          <w:i/>
          <w:iCs/>
          <w:szCs w:val="28"/>
          <w:lang w:val="uk-UA" w:eastAsia="uk-UA"/>
        </w:rPr>
      </w:pPr>
      <w:r w:rsidRPr="00511005">
        <w:rPr>
          <w:rFonts w:ascii="Arial" w:eastAsia="Times New Roman" w:hAnsi="Arial" w:cs="Arial"/>
          <w:b/>
          <w:bCs/>
          <w:i/>
          <w:iCs/>
          <w:szCs w:val="28"/>
          <w:lang w:eastAsia="uk-UA"/>
        </w:rPr>
        <w:t xml:space="preserve">Науковий керівник: </w:t>
      </w:r>
      <w:r w:rsidR="00AE57E7" w:rsidRPr="00511005">
        <w:rPr>
          <w:rFonts w:ascii="Arial" w:eastAsia="Times New Roman" w:hAnsi="Arial" w:cs="Arial"/>
          <w:bCs/>
          <w:i/>
          <w:iCs/>
          <w:szCs w:val="28"/>
          <w:lang w:eastAsia="uk-UA"/>
        </w:rPr>
        <w:t>к.психол.н., доцент Рєпнова Т.П.</w:t>
      </w:r>
    </w:p>
    <w:p w14:paraId="76F3E29F" w14:textId="77777777" w:rsidR="00AE57E7" w:rsidRPr="00055389" w:rsidRDefault="00AE57E7" w:rsidP="003A292D">
      <w:pPr>
        <w:spacing w:line="264" w:lineRule="auto"/>
        <w:rPr>
          <w:rFonts w:ascii="Arial" w:eastAsia="Times New Roman" w:hAnsi="Arial" w:cs="Arial"/>
          <w:szCs w:val="28"/>
          <w:lang w:eastAsia="ru-RU"/>
        </w:rPr>
      </w:pPr>
    </w:p>
    <w:p w14:paraId="0549F769" w14:textId="77777777" w:rsidR="00AE57E7" w:rsidRPr="00055389" w:rsidRDefault="00AE57E7" w:rsidP="003A292D">
      <w:pPr>
        <w:spacing w:line="264" w:lineRule="auto"/>
        <w:rPr>
          <w:rFonts w:ascii="Arial" w:eastAsia="Times New Roman" w:hAnsi="Arial" w:cs="Arial"/>
          <w:szCs w:val="28"/>
          <w:lang w:eastAsia="ru-RU"/>
        </w:rPr>
      </w:pPr>
    </w:p>
    <w:p w14:paraId="01A51E30" w14:textId="77777777" w:rsidR="00AE57E7" w:rsidRPr="00511005" w:rsidRDefault="00AE57E7" w:rsidP="009008A5">
      <w:pPr>
        <w:spacing w:line="264" w:lineRule="auto"/>
        <w:ind w:firstLine="0"/>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val="uk-UA" w:eastAsia="ru-RU"/>
        </w:rPr>
        <w:t>Лелюк Анастасія Сергіївна</w:t>
      </w:r>
    </w:p>
    <w:p w14:paraId="3683BCE7" w14:textId="26F81DD3" w:rsidR="00AE57E7" w:rsidRPr="00511005" w:rsidRDefault="00AE57E7" w:rsidP="009008A5">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1-го курсу </w:t>
      </w:r>
      <w:r w:rsidR="00657820" w:rsidRPr="00511005">
        <w:rPr>
          <w:rFonts w:ascii="Arial" w:eastAsia="Times New Roman" w:hAnsi="Arial" w:cs="Arial"/>
          <w:szCs w:val="28"/>
          <w:lang w:val="uk-UA" w:eastAsia="ru-RU"/>
        </w:rPr>
        <w:t>магістратури</w:t>
      </w:r>
    </w:p>
    <w:p w14:paraId="76F2BCDD" w14:textId="42A3FB4B" w:rsidR="00AE57E7" w:rsidRPr="00511005" w:rsidRDefault="00536AAB" w:rsidP="009008A5">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факультету психології, політології та соціології</w:t>
      </w:r>
    </w:p>
    <w:p w14:paraId="59445282" w14:textId="0D51E4B1" w:rsidR="00AE57E7" w:rsidRPr="00511005" w:rsidRDefault="007B2628" w:rsidP="009008A5">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2D1E388B" w14:textId="77777777" w:rsidR="00AE57E7" w:rsidRPr="00511005" w:rsidRDefault="00AE57E7" w:rsidP="009008A5">
      <w:pPr>
        <w:spacing w:line="264" w:lineRule="auto"/>
        <w:ind w:firstLine="0"/>
        <w:jc w:val="right"/>
        <w:rPr>
          <w:rFonts w:ascii="Arial" w:eastAsia="Times New Roman" w:hAnsi="Arial" w:cs="Arial"/>
          <w:szCs w:val="28"/>
          <w:lang w:val="uk-UA" w:eastAsia="ru-RU"/>
        </w:rPr>
      </w:pPr>
    </w:p>
    <w:p w14:paraId="7B6BF4E0" w14:textId="77777777" w:rsidR="00AE57E7" w:rsidRPr="00511005" w:rsidRDefault="00AE57E7" w:rsidP="009008A5">
      <w:pPr>
        <w:spacing w:line="264" w:lineRule="auto"/>
        <w:ind w:firstLine="0"/>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ОСОБЛИВОСТІ ПІДПРИЄМНИЦЬКОЇ ДІЯЛЬНОСТІ ПІД ЧАС ВОЄННОГО СТАНУ</w:t>
      </w:r>
    </w:p>
    <w:p w14:paraId="779E210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На початку повномасштабного вторгнення життя українців стало на паузу. Люди не розуміли куди тікати і що робити. Війна спричинила серйозні економічні виклики. З проблемами, з якими стикаються українці є першими в історії країни. Підприємцям потрібно було в дуже короткі строки вирішувати як діяти далі, особливо це стосувалося територій, на яких велися активні бойові дії. Найголовніші проблеми, яка постала – підтримка рентабельності, фінансова стійкість, наявність кваліфікованих спеціалістів та фізична цілісність підприємства і працівників. Потрібно зауважити, що для одних видів діяльності збитки менші, бо є варіант переїзду частини чи всієї команди, а для других - унеможливлюється переміщення, що приводить до повної руйнації бізнесу [1, с. 26-31].</w:t>
      </w:r>
    </w:p>
    <w:p w14:paraId="0866A3F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 початком повномасштабного вторгнення та станом на сьогодні були прийняті державою зміни, які стимулюють діяльність фізичних осіб-підприємців. Але це не змінює того факту, що необхідно долучатися до закордонної практики щодо найшвидшої реконструкції, відновленню як </w:t>
      </w:r>
      <w:r w:rsidRPr="00511005">
        <w:rPr>
          <w:rFonts w:ascii="Arial" w:eastAsia="Times New Roman" w:hAnsi="Arial" w:cs="Arial"/>
          <w:szCs w:val="28"/>
          <w:lang w:val="uk-UA" w:eastAsia="ru-RU"/>
        </w:rPr>
        <w:lastRenderedPageBreak/>
        <w:t>бізнесів, які втратили дохід, так і бізнесів, які зазнали руйнувань будівель [2, с. 150-157].</w:t>
      </w:r>
    </w:p>
    <w:p w14:paraId="64AC6BFB"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Відновлення бізнесу в Україні є одним із найголовніших чинників стабілізації національної економіки, забезпечення робочих місць для населення та формування сприятливого клімату для інвестицій, як у період воєнний, так і післявоєнного відновлення. Спостерігається перспектива відновлення занепавшого бізнесу, так і відкриття нових проектів. Ринок обслуговування в Україні є на достатньо високому рівні, власники бізнесу вкладають не тільки фінанси, але і створюють унікальну ідею, яка робить важливий ефект пізнаваності та ідентичності. </w:t>
      </w:r>
    </w:p>
    <w:p w14:paraId="45B759B2"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Потрібно зауважити, що для більшості бізнесменів їхня справа – це не просто джерело доходу, а праця всього життя. Раптова зупинка діяльності приводить не тільки до економічних втрат, але і моральної шкоди. Відчуття пригнічення та несправедливості в деяких випадках можуть переростати в затяжний стрес або депресію. Моральна шкода важко піддається вимірюванні, але вона має великі наслідки для ментального здоров’я людини. Під час формування державної політики підтримки підприємства необхідно враховувати не тільки економічні збитки, але і емоційні переживання постраждалих підприємців.</w:t>
      </w:r>
    </w:p>
    <w:p w14:paraId="25F8CF84" w14:textId="66EE2DB2"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Фізичне</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часткове або повне знищення виробничих об’єктів, складських приміщень, логістичних засобів є найгострішим наслідком військових дій. Руйнування потужностей вплинуло на втрату робочих місць чи ланцюгів постачання. Підприємці змушені переносити виробництва у західніші регіони, що потребує значних фінансових вкладень, які можуть не виправдатися. Окрім втрати постачальників, потрібно згадати порушення експортного потенціалу, вихід на міжнародні ринки. Потрібно шукати, куди постачати товар і чи аналізувати чи буде прибуток. </w:t>
      </w:r>
    </w:p>
    <w:p w14:paraId="553DCA3A"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Дефіцит кадрів, так званий «кадровий голодомор», набув нових масштабів під час війни. Мобілізація працівників, релокація підприємств, міграція населення закордон значно вплинули на трудові ресурси, особливо у технічних та робітничих видах діяльності. Відсутність висококваліфікованого персоналу впливає на темп та якість виробництва. Особливо гостро постала проблема у сферах, які потребують специфічних навичок чи мають довготривале навчання. </w:t>
      </w:r>
    </w:p>
    <w:p w14:paraId="3E83F3A7"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Крім фізичної відсутності кадрів постає питання про психічний стан працівників. Емоційне виснаження, професійне вигорання, депресія, ПТСР – найпоширеніші фактори, які знижують не тільки якість особистого життя особистості, але і здатності до професійної діяльності. У відповідь на це, велика частина компаній проваджує роботу практичних психологів із штатом, що значно покращує моральних стан підлеглих.</w:t>
      </w:r>
    </w:p>
    <w:p w14:paraId="67272CA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Одним із проявів соціальної відповідальності та важливості бізнесу є підтримка армії. З початком повномасштабного вторгнення бізнес-спільнота </w:t>
      </w:r>
      <w:r w:rsidRPr="00511005">
        <w:rPr>
          <w:rFonts w:ascii="Arial" w:eastAsia="Times New Roman" w:hAnsi="Arial" w:cs="Arial"/>
          <w:szCs w:val="28"/>
          <w:lang w:val="uk-UA" w:eastAsia="ru-RU"/>
        </w:rPr>
        <w:lastRenderedPageBreak/>
        <w:t xml:space="preserve">активно долучилася до підтримки Збройних Сил України. Попри економічну нестабільність, кадрову недостатність, збитки, підприємці закупляють транспорт, дрони, техніку. Фабрики по пошиттю одягу активно відшивали військовим амуніцію, одяг. Важливим є підключення до допомоги закордонних партнерів. </w:t>
      </w:r>
    </w:p>
    <w:p w14:paraId="64E9CEF9" w14:textId="1240E20A"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Окремі компанії запровадили збори всередині компанії, відраховуючи певний відсоток із прибутку і залучаючи своїх клієнтів різними лотереями чи спеціальною унікальною тематичною продукцією із підвищеною ставкою донату.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Така активність має велике значення як для обороноздатності країни, так і морального аспекту, а саме підвищення довіри до бізнесу як до суспільно важливого інституту. Також спостерігається тенденція до фінансової підтримки для реабілітації військового чи його сім’ї [3]. </w:t>
      </w:r>
    </w:p>
    <w:p w14:paraId="78B61666"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Під час воєнного стану значно ускладнилося функціонування бізнесу. Приватні особи-підприємці мають нові виклики та завдання. Саме на них покладається забезпечення громадян необхідними товарами для життя та стабілізація національної економіки. Долучення закордонних партнерів наразі є гострою необхідністю не тільки для постачання чи збуту товарів, але і для фінансової допомоги для армії. Пошук кадрів, відновлення пошкодженого виробництва чи втрата бізнесу є сильним потрясінням. Моральна шкода підприємців та працівників є новим фокусом для допомоги від психологів. Постійні донати, підтримка економіки забезпечення робочих місць та продукції, є ключовими складовими підприємницької діяльності під час військового стану в країні. </w:t>
      </w:r>
    </w:p>
    <w:p w14:paraId="7C862F20" w14:textId="77777777" w:rsidR="00AE57E7" w:rsidRPr="00511005" w:rsidRDefault="00AE57E7" w:rsidP="003A292D">
      <w:pPr>
        <w:spacing w:line="264" w:lineRule="auto"/>
        <w:jc w:val="center"/>
        <w:rPr>
          <w:rFonts w:ascii="Arial" w:eastAsia="Times New Roman" w:hAnsi="Arial" w:cs="Arial"/>
          <w:b/>
          <w:bCs/>
          <w:szCs w:val="28"/>
          <w:lang w:val="uk-UA" w:eastAsia="ru-RU"/>
        </w:rPr>
      </w:pPr>
    </w:p>
    <w:p w14:paraId="42CAEA5E" w14:textId="2A9A7DB3" w:rsidR="00AE57E7" w:rsidRPr="00511005" w:rsidRDefault="007B2628" w:rsidP="007B2628">
      <w:pPr>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7D8DE8D8" w14:textId="77777777" w:rsidR="00AE57E7" w:rsidRPr="00511005" w:rsidRDefault="00AE57E7" w:rsidP="003F6A5D">
      <w:pPr>
        <w:numPr>
          <w:ilvl w:val="0"/>
          <w:numId w:val="753"/>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Жосан, Г., &amp; Хірса, І. (2022). Особливості підприємницької діяльності в умовах воєнного стану в Україні. Таврійський науковий вісник. Серія: Економіка, (14), 26-31. URL: </w:t>
      </w:r>
      <w:hyperlink r:id="rId2607" w:history="1">
        <w:r w:rsidRPr="00511005">
          <w:rPr>
            <w:rFonts w:ascii="Arial" w:eastAsia="Calibri" w:hAnsi="Arial" w:cs="Arial"/>
            <w:szCs w:val="28"/>
            <w:lang w:val="uk-UA"/>
          </w:rPr>
          <w:t>https://doi.org/10.32782/2708-0366/2022.14.3</w:t>
        </w:r>
      </w:hyperlink>
      <w:r w:rsidRPr="00511005">
        <w:rPr>
          <w:rFonts w:ascii="Arial" w:eastAsia="Calibri" w:hAnsi="Arial" w:cs="Arial"/>
          <w:szCs w:val="28"/>
          <w:lang w:val="uk-UA"/>
        </w:rPr>
        <w:t xml:space="preserve"> (дата звернення: 07.05.25.).</w:t>
      </w:r>
    </w:p>
    <w:p w14:paraId="482A985C" w14:textId="77777777" w:rsidR="00AE57E7" w:rsidRPr="00511005" w:rsidRDefault="00AE57E7" w:rsidP="003F6A5D">
      <w:pPr>
        <w:numPr>
          <w:ilvl w:val="0"/>
          <w:numId w:val="753"/>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 xml:space="preserve">Намлієва, Н. (2023). </w:t>
      </w:r>
      <w:bookmarkStart w:id="350" w:name="_Hlk197981866"/>
      <w:r w:rsidRPr="00511005">
        <w:rPr>
          <w:rFonts w:ascii="Arial" w:eastAsia="Calibri" w:hAnsi="Arial" w:cs="Arial"/>
          <w:szCs w:val="28"/>
          <w:lang w:val="uk-UA"/>
        </w:rPr>
        <w:t>Особливості підприємницької діяльності в умовах воєнного стану в Україні</w:t>
      </w:r>
      <w:bookmarkEnd w:id="350"/>
      <w:r w:rsidRPr="00511005">
        <w:rPr>
          <w:rFonts w:ascii="Arial" w:eastAsia="Calibri" w:hAnsi="Arial" w:cs="Arial"/>
          <w:szCs w:val="28"/>
          <w:lang w:val="uk-UA"/>
        </w:rPr>
        <w:t xml:space="preserve">. Сталий розвиток економіки, (2(47), 150-157. URL: </w:t>
      </w:r>
      <w:hyperlink r:id="rId2608" w:history="1">
        <w:r w:rsidRPr="00511005">
          <w:rPr>
            <w:rFonts w:ascii="Arial" w:eastAsia="Calibri" w:hAnsi="Arial" w:cs="Arial"/>
            <w:szCs w:val="28"/>
            <w:lang w:val="uk-UA"/>
          </w:rPr>
          <w:t>https://doi.org/10.32782/2308-1988/2023-47-22</w:t>
        </w:r>
      </w:hyperlink>
      <w:r w:rsidRPr="00511005">
        <w:rPr>
          <w:rFonts w:ascii="Arial" w:eastAsia="Calibri" w:hAnsi="Arial" w:cs="Arial"/>
          <w:szCs w:val="28"/>
          <w:lang w:val="uk-UA"/>
        </w:rPr>
        <w:t xml:space="preserve"> (дата звернення: 07.05.25.).</w:t>
      </w:r>
    </w:p>
    <w:p w14:paraId="2523DEDC" w14:textId="77777777" w:rsidR="00AE57E7" w:rsidRPr="00511005" w:rsidRDefault="00AE57E7" w:rsidP="003F6A5D">
      <w:pPr>
        <w:numPr>
          <w:ilvl w:val="0"/>
          <w:numId w:val="753"/>
        </w:numPr>
        <w:tabs>
          <w:tab w:val="left" w:pos="993"/>
        </w:tabs>
        <w:spacing w:line="264" w:lineRule="auto"/>
        <w:ind w:left="0" w:firstLine="709"/>
        <w:contextualSpacing/>
        <w:jc w:val="left"/>
        <w:rPr>
          <w:rFonts w:ascii="Arial" w:eastAsia="Calibri" w:hAnsi="Arial" w:cs="Arial"/>
          <w:szCs w:val="28"/>
          <w:lang w:val="uk-UA"/>
        </w:rPr>
      </w:pPr>
      <w:r w:rsidRPr="00511005">
        <w:rPr>
          <w:rFonts w:ascii="Arial" w:eastAsia="Calibri" w:hAnsi="Arial" w:cs="Arial"/>
          <w:szCs w:val="28"/>
          <w:lang w:val="uk-UA"/>
        </w:rPr>
        <w:t>Пищуліна О., Маркевич К. Ринок праці в умовах війни: основні тенденції та напрями стабілізації: аналітична записка. Київ : Razumkov centre, 2022. URL: </w:t>
      </w:r>
      <w:hyperlink r:id="rId2609" w:history="1">
        <w:r w:rsidRPr="00511005">
          <w:rPr>
            <w:rFonts w:ascii="Arial" w:eastAsia="Calibri" w:hAnsi="Arial" w:cs="Arial"/>
            <w:szCs w:val="28"/>
            <w:lang w:val="uk-UA"/>
          </w:rPr>
          <w:t>https://razumkov.org.ua/images/2022/07/18/2022-ANALIT-ZAPIS-PISHULINA-2.pdf</w:t>
        </w:r>
      </w:hyperlink>
      <w:r w:rsidRPr="00511005">
        <w:rPr>
          <w:rFonts w:ascii="Arial" w:eastAsia="Calibri" w:hAnsi="Arial" w:cs="Arial"/>
          <w:szCs w:val="28"/>
          <w:lang w:val="uk-UA"/>
        </w:rPr>
        <w:t xml:space="preserve"> (дата звернення 07.05.25.).</w:t>
      </w:r>
    </w:p>
    <w:p w14:paraId="6C2964CD" w14:textId="11DD4F44" w:rsidR="00AE57E7" w:rsidRPr="00511005" w:rsidRDefault="007B2628" w:rsidP="003A292D">
      <w:pPr>
        <w:spacing w:line="264" w:lineRule="auto"/>
        <w:jc w:val="left"/>
        <w:rPr>
          <w:rFonts w:ascii="Arial" w:eastAsia="Times New Roman" w:hAnsi="Arial" w:cs="Arial"/>
          <w:bCs/>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bCs/>
          <w:szCs w:val="28"/>
          <w:lang w:val="uk-UA" w:eastAsia="ru-RU"/>
        </w:rPr>
        <w:t>військовий стан, бізнес, економіка, допомога армії, моральне виснаження, стрес.</w:t>
      </w:r>
    </w:p>
    <w:p w14:paraId="0B0D063C" w14:textId="1F1B4830" w:rsidR="00AE57E7" w:rsidRPr="00511005" w:rsidRDefault="007B2628" w:rsidP="003A292D">
      <w:pPr>
        <w:spacing w:line="264" w:lineRule="auto"/>
        <w:jc w:val="left"/>
        <w:rPr>
          <w:rFonts w:ascii="Arial" w:eastAsia="Times New Roman" w:hAnsi="Arial" w:cs="Arial"/>
          <w:bCs/>
          <w:szCs w:val="28"/>
          <w:lang w:val="uk-UA" w:eastAsia="ru-RU"/>
        </w:rPr>
      </w:pPr>
      <w:r w:rsidRPr="00511005">
        <w:rPr>
          <w:rFonts w:ascii="Arial" w:eastAsia="Times New Roman" w:hAnsi="Arial" w:cs="Arial"/>
          <w:b/>
          <w:i/>
          <w:szCs w:val="28"/>
          <w:lang w:val="uk-UA" w:eastAsia="ru-RU"/>
        </w:rPr>
        <w:t xml:space="preserve">Key words: </w:t>
      </w:r>
      <w:r w:rsidR="00AE57E7" w:rsidRPr="00511005">
        <w:rPr>
          <w:rFonts w:ascii="Arial" w:eastAsia="Times New Roman" w:hAnsi="Arial" w:cs="Arial"/>
          <w:bCs/>
          <w:szCs w:val="28"/>
          <w:lang w:val="uk-UA" w:eastAsia="ru-RU"/>
        </w:rPr>
        <w:t>martial law, business, economy, army assistance, moral exhaustion, stress.</w:t>
      </w:r>
    </w:p>
    <w:p w14:paraId="0DB4E5B8" w14:textId="3AB7027A" w:rsidR="00AE57E7" w:rsidRPr="00511005" w:rsidRDefault="007B2628" w:rsidP="003A292D">
      <w:pPr>
        <w:spacing w:line="264" w:lineRule="auto"/>
        <w:jc w:val="left"/>
        <w:rPr>
          <w:rFonts w:ascii="Arial" w:eastAsia="Times New Roman" w:hAnsi="Arial" w:cs="Arial"/>
          <w:szCs w:val="28"/>
          <w:lang w:val="uk-UA" w:eastAsia="ru-RU"/>
        </w:rPr>
      </w:pPr>
      <w:r w:rsidRPr="00511005">
        <w:rPr>
          <w:rFonts w:ascii="Arial" w:eastAsia="Times New Roman" w:hAnsi="Arial" w:cs="Arial"/>
          <w:b/>
          <w:bCs/>
          <w:i/>
          <w:iCs/>
          <w:szCs w:val="28"/>
          <w:lang w:val="uk-UA" w:eastAsia="ru-RU"/>
        </w:rPr>
        <w:t xml:space="preserve">Науковий керівник: </w:t>
      </w:r>
      <w:r w:rsidR="00AE57E7" w:rsidRPr="00511005">
        <w:rPr>
          <w:rFonts w:ascii="Arial" w:eastAsia="Times New Roman" w:hAnsi="Arial" w:cs="Arial"/>
          <w:i/>
          <w:iCs/>
          <w:szCs w:val="28"/>
          <w:lang w:val="uk-UA" w:eastAsia="ru-RU"/>
        </w:rPr>
        <w:t>к.політ.н, доцент Третьякова Т.М.</w:t>
      </w:r>
    </w:p>
    <w:p w14:paraId="6FDD86FA" w14:textId="77777777" w:rsidR="00AE57E7" w:rsidRPr="00511005" w:rsidRDefault="00AE57E7" w:rsidP="003A292D">
      <w:pPr>
        <w:spacing w:line="264" w:lineRule="auto"/>
        <w:jc w:val="left"/>
        <w:rPr>
          <w:rFonts w:ascii="Arial" w:eastAsia="Times New Roman" w:hAnsi="Arial" w:cs="Arial"/>
          <w:szCs w:val="28"/>
          <w:lang w:val="uk-UA" w:eastAsia="ru-RU"/>
        </w:rPr>
      </w:pPr>
    </w:p>
    <w:p w14:paraId="20901B6F" w14:textId="77777777" w:rsidR="00AE57E7" w:rsidRPr="00511005" w:rsidRDefault="00AE57E7"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Ліпська Юлія Віталіївна</w:t>
      </w:r>
    </w:p>
    <w:p w14:paraId="5379397B" w14:textId="2D7D74D9" w:rsidR="00AE57E7" w:rsidRPr="00511005" w:rsidRDefault="00536AAB" w:rsidP="003A292D">
      <w:pPr>
        <w:spacing w:line="264" w:lineRule="auto"/>
        <w:ind w:firstLine="0"/>
        <w:jc w:val="center"/>
        <w:rPr>
          <w:rFonts w:ascii="Arial" w:eastAsia="Times New Roman" w:hAnsi="Arial" w:cs="Arial"/>
          <w:bCs/>
          <w:iCs/>
          <w:szCs w:val="28"/>
          <w:lang w:val="uk-UA" w:eastAsia="ru-RU"/>
        </w:rPr>
      </w:pPr>
      <w:r w:rsidRPr="00511005">
        <w:rPr>
          <w:rFonts w:ascii="Arial" w:eastAsia="Times New Roman" w:hAnsi="Arial" w:cs="Arial"/>
          <w:bCs/>
          <w:iCs/>
          <w:szCs w:val="28"/>
          <w:lang w:val="uk-UA" w:eastAsia="ru-RU"/>
        </w:rPr>
        <w:t>студентка 2-го курсу факультету психології, політології та соціології</w:t>
      </w:r>
      <w:r w:rsidR="00AE57E7" w:rsidRPr="00511005">
        <w:rPr>
          <w:rFonts w:ascii="Arial" w:eastAsia="Times New Roman" w:hAnsi="Arial" w:cs="Arial"/>
          <w:bCs/>
          <w:iCs/>
          <w:szCs w:val="28"/>
          <w:lang w:val="uk-UA" w:eastAsia="ru-RU"/>
        </w:rPr>
        <w:t xml:space="preserve"> </w:t>
      </w:r>
    </w:p>
    <w:p w14:paraId="6C9EFA73" w14:textId="53DEE1AD" w:rsidR="00AE57E7" w:rsidRPr="00511005" w:rsidRDefault="007B2628" w:rsidP="003A292D">
      <w:pPr>
        <w:spacing w:line="264" w:lineRule="auto"/>
        <w:ind w:firstLine="0"/>
        <w:jc w:val="center"/>
        <w:rPr>
          <w:rFonts w:ascii="Arial" w:eastAsia="Times New Roman" w:hAnsi="Arial" w:cs="Arial"/>
          <w:iCs/>
          <w:szCs w:val="28"/>
          <w:lang w:val="uk-UA" w:eastAsia="ru-RU"/>
        </w:rPr>
      </w:pPr>
      <w:r w:rsidRPr="00511005">
        <w:rPr>
          <w:rFonts w:ascii="Arial" w:eastAsia="Times New Roman" w:hAnsi="Arial" w:cs="Arial"/>
          <w:iCs/>
          <w:szCs w:val="28"/>
          <w:lang w:val="uk-UA" w:eastAsia="ru-RU"/>
        </w:rPr>
        <w:t>Національного університету «Одеська юридична академія»</w:t>
      </w:r>
    </w:p>
    <w:p w14:paraId="29FAF4A8" w14:textId="77777777" w:rsidR="00AE57E7" w:rsidRPr="00511005" w:rsidRDefault="00AE57E7" w:rsidP="003A292D">
      <w:pPr>
        <w:spacing w:line="264" w:lineRule="auto"/>
        <w:ind w:firstLine="0"/>
        <w:jc w:val="center"/>
        <w:rPr>
          <w:rFonts w:ascii="Arial" w:eastAsia="Times New Roman" w:hAnsi="Arial" w:cs="Arial"/>
          <w:i/>
          <w:szCs w:val="28"/>
          <w:lang w:val="uk-UA" w:eastAsia="ru-RU"/>
        </w:rPr>
      </w:pPr>
    </w:p>
    <w:p w14:paraId="1B8893A5" w14:textId="77777777" w:rsidR="00AE57E7" w:rsidRPr="00511005" w:rsidRDefault="00AE57E7"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ПСИХОДІАГНОСТИКА ДЕВІАНТНОЇ ПОВЕДІНКИ У ПІДЛІТКІВ ЯК ЧИННИК ПРОФІЛАКТИКИ ПРАВОПОРУШЕНЬ</w:t>
      </w:r>
    </w:p>
    <w:p w14:paraId="6194E6C6" w14:textId="77777777" w:rsidR="00AE57E7" w:rsidRPr="00511005" w:rsidRDefault="00AE57E7" w:rsidP="003A292D">
      <w:pPr>
        <w:spacing w:line="264" w:lineRule="auto"/>
        <w:ind w:firstLine="851"/>
        <w:rPr>
          <w:rFonts w:ascii="Arial" w:eastAsia="Times New Roman" w:hAnsi="Arial" w:cs="Arial"/>
          <w:szCs w:val="28"/>
          <w:lang w:val="uk-UA" w:eastAsia="ru-RU"/>
        </w:rPr>
      </w:pPr>
      <w:r w:rsidRPr="00511005">
        <w:rPr>
          <w:rFonts w:ascii="Arial" w:eastAsia="Times New Roman" w:hAnsi="Arial" w:cs="Arial"/>
          <w:szCs w:val="28"/>
          <w:lang w:val="uk-UA" w:eastAsia="ru-RU"/>
        </w:rPr>
        <w:t>У сучасному суспільстві фіксується стійка тенденція до зростання кількісних показників девіантної поведінки серед осіб підліткового віку, що становить значну загрозу як для їхнього особистісного становлення, так і для забезпечення суспільного правопорядку. Соціальні зміни, деструктивний вплив медіаконтенту, дисфункціональні аспекти системи виховання та ускладнення внутрішньосімейних відносин виступають вагомими факторами формування ненормативних, а нерідко й суспільно небезпечних моделей поведінки. Особливу стурбованість викликає тенденція переходу окремих форм девіацій до рівня протиправних діянь, що обумовлює нагальну потребу у своєчасній ідентифікації подібних ризиків та застосуванні комплексних превентивних стратегій.</w:t>
      </w:r>
    </w:p>
    <w:p w14:paraId="28661EDC" w14:textId="77777777" w:rsidR="00AE57E7" w:rsidRPr="00511005" w:rsidRDefault="00AE57E7" w:rsidP="003A292D">
      <w:pPr>
        <w:spacing w:line="264" w:lineRule="auto"/>
        <w:ind w:firstLine="851"/>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Відхилення у поведінці особистості, які входять у протиріччя з юридичними, моральними, етичними, соціальними нормами суспільства, прийнято називати девіаціями, а поведінку, відповідно, – девіантною (від лат. deviatio – відхилення), тобто, девіантна поведінка – це окремі вчинки (або їх сукупність), які не відповідають загальноприйнятим нормам і правилам поведінки в суспільстві [1, с. 101]. Якщо казати про види девіантної поведінки, то Ю.А. Клейберг називає три основні групи поведінкових девіацій: негативні (наркоманія), позитивні (соціальна творчість) і соціально-нейтральні </w:t>
      </w:r>
      <w:r w:rsidRPr="00511005">
        <w:rPr>
          <w:rFonts w:ascii="Arial" w:eastAsia="Times New Roman" w:hAnsi="Arial" w:cs="Arial"/>
          <w:szCs w:val="28"/>
          <w:lang w:val="uk-UA" w:eastAsia="en-GB"/>
        </w:rPr>
        <w:t>(жебракування).</w:t>
      </w:r>
      <w:r w:rsidRPr="00511005">
        <w:rPr>
          <w:rFonts w:ascii="Arial" w:eastAsia="Times New Roman" w:hAnsi="Arial" w:cs="Arial"/>
          <w:szCs w:val="28"/>
          <w:lang w:val="uk-UA" w:eastAsia="ru-RU"/>
        </w:rPr>
        <w:t xml:space="preserve"> Ц.П. Короленко та Т.А. Донських поділяють девіантну поведінку на зовнішньодеструктивну (агресія назовні) та внутрішньодеструктивну (агресія на себе). Є.В. Змановська виокремлює три основні групи девіантної поведінки: антисоціальна (делінквентна, протиправні дії), аморальна (порушення норм моралі), аутодеструктивна (саморуйнівна) [2, с. 16-17].</w:t>
      </w:r>
    </w:p>
    <w:p w14:paraId="70BAAB18" w14:textId="77777777" w:rsidR="00AE57E7" w:rsidRPr="00511005" w:rsidRDefault="00AE57E7" w:rsidP="003A292D">
      <w:pPr>
        <w:spacing w:line="264" w:lineRule="auto"/>
        <w:ind w:firstLine="851"/>
        <w:rPr>
          <w:rFonts w:ascii="Arial" w:eastAsia="Times New Roman" w:hAnsi="Arial" w:cs="Arial"/>
          <w:szCs w:val="28"/>
          <w:lang w:val="uk-UA" w:eastAsia="ru-RU"/>
        </w:rPr>
      </w:pPr>
      <w:r w:rsidRPr="00511005">
        <w:rPr>
          <w:rFonts w:ascii="Arial" w:eastAsia="Times New Roman" w:hAnsi="Arial" w:cs="Arial"/>
          <w:szCs w:val="28"/>
          <w:lang w:val="uk-UA" w:eastAsia="ru-RU"/>
        </w:rPr>
        <w:t>Формування девіантної поведінки у підлітків обумовлюється багатьма соціально-психологічними чинниками, наприклад: несприятливим мікрокліматом у сім’ї (може бути жорстоке поводження, гіперопіка або емоційне відчуження); негативним впливом однолітків і відсутністю позитивних рольових моделей; кризами ідентичності та емоційною нестабільністю; неуспішністю в навчанні та соціальній дезадаптацією. Л. Вейланде, аналізуючи фактори, що впливають на формування девіантної поведінки підлітків, звертає увагу на вивчення феномена "соціальне сирітство", називаючи наслідком такого явища підліткове бродяжництво, безпритульність [3, с. 23].</w:t>
      </w:r>
    </w:p>
    <w:p w14:paraId="4442BB5E" w14:textId="087F7F88" w:rsidR="00AE57E7" w:rsidRPr="00511005" w:rsidRDefault="00AE57E7" w:rsidP="003A292D">
      <w:pPr>
        <w:spacing w:line="264" w:lineRule="auto"/>
        <w:ind w:firstLine="851"/>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Саме на етапі формування девіантної поведінки психодіагностика допомагає своєчасно виявити ризики й скоригувати поведінку через психологічну підтримку. Серед найбільш дієвих методів психодіагностики девіантної поведінки у підлітків виокремлюють тестування, спостереження та методи анкетування й опитування. Щодо тестування - цей метод</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дає можливість кількісно оцінити рівень вираженості особистісних характеристик, які</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можуть корелювати з девіантною поведінкою, це можуть бути: агресивність, тривожність, імпульсивність, ворожість та схильність до ігнорування соціальних норм.</w:t>
      </w:r>
    </w:p>
    <w:p w14:paraId="4F1AE488" w14:textId="77777777" w:rsidR="00AE57E7" w:rsidRPr="00511005" w:rsidRDefault="00AE57E7" w:rsidP="003A292D">
      <w:pPr>
        <w:spacing w:line="264" w:lineRule="auto"/>
        <w:ind w:firstLine="708"/>
        <w:rPr>
          <w:rFonts w:ascii="Arial" w:eastAsia="Times New Roman" w:hAnsi="Arial" w:cs="Arial"/>
          <w:szCs w:val="28"/>
          <w:lang w:val="uk-UA" w:eastAsia="en-GB"/>
        </w:rPr>
      </w:pPr>
      <w:r w:rsidRPr="00511005">
        <w:rPr>
          <w:rFonts w:ascii="Arial" w:eastAsia="Times New Roman" w:hAnsi="Arial" w:cs="Arial"/>
          <w:szCs w:val="28"/>
          <w:lang w:val="uk-UA" w:eastAsia="en-GB"/>
        </w:rPr>
        <w:t>Спостереження як метод якісного аналізу поведінки є особливо цінним при роботі з підлітками, адже зазвичай вони схильні зазначати соціально бажані відповіді в опитульниках і тестах або відчувати труднощі з саморефлексією під час тестування. Спостереження дозволяє фіксувати специфіку поведінкових реакцій підлітка у природних умовах і змодельованих ситуаціях, що допомагає психологу ідентифікувати стійкі патерни поведінки, які можуть сигналізувати про девіантні тенденції. Важливо звертати увагу на зовнішній вигляд підлітка, чи охайний він, чи може, особа належить до певної субкультури, чи є тілесні самопошкодження. Також варто відзначити особливості спілкування підлітка, пози, рухи, міміку, жести, чи тримає він зоровий контакт. Звертати увагу на емоційну реактивність індивіда, прояви агресії, тривожності, відчуження.</w:t>
      </w:r>
    </w:p>
    <w:p w14:paraId="55BE1803" w14:textId="77777777" w:rsidR="00AE57E7" w:rsidRPr="00511005" w:rsidRDefault="00AE57E7" w:rsidP="003A292D">
      <w:pPr>
        <w:spacing w:line="264" w:lineRule="auto"/>
        <w:ind w:firstLine="708"/>
        <w:rPr>
          <w:rFonts w:ascii="Arial" w:eastAsia="Times New Roman" w:hAnsi="Arial" w:cs="Arial"/>
          <w:szCs w:val="28"/>
          <w:lang w:val="uk-UA" w:eastAsia="en-GB"/>
        </w:rPr>
      </w:pPr>
      <w:r w:rsidRPr="00511005">
        <w:rPr>
          <w:rFonts w:ascii="Arial" w:eastAsia="Times New Roman" w:hAnsi="Arial" w:cs="Arial"/>
          <w:szCs w:val="28"/>
          <w:lang w:val="uk-UA" w:eastAsia="en-GB"/>
        </w:rPr>
        <w:t>Анкетування та опитувальники надають можливість отримати суб’єктивну інформацію як від самого підлітка, так і від його найближчого оточення. Для психодіагностики девіантної поведінки можна використати наступні валідні та ефективні методики:</w:t>
      </w:r>
    </w:p>
    <w:p w14:paraId="78AC066D" w14:textId="6DCC21FA" w:rsidR="00AE57E7" w:rsidRPr="00511005" w:rsidRDefault="00AE57E7" w:rsidP="003F6A5D">
      <w:pPr>
        <w:numPr>
          <w:ilvl w:val="0"/>
          <w:numId w:val="75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MMPI-2 (Міннесотський багатоаспектний особистісний</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опитувальник, версія 2) та його модифікації. Дозволяють виявити особистісні особливості та психопатологічні тенденції, які можуть бути пов'язані з девіантною поведінкою;</w:t>
      </w:r>
    </w:p>
    <w:p w14:paraId="7A7F6D8B" w14:textId="00DE30E2" w:rsidR="00AE57E7" w:rsidRPr="00511005" w:rsidRDefault="00AE57E7" w:rsidP="003F6A5D">
      <w:pPr>
        <w:numPr>
          <w:ilvl w:val="0"/>
          <w:numId w:val="75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Особистісний опитувальник Айзенка (Eysenck Personality Questionnaire, EPQ) призначений для оцінки особистісних рис людини за трьома вимірами:</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екстраверсія/інтроверсія, нейротизм, психотизм;</w:t>
      </w:r>
    </w:p>
    <w:p w14:paraId="059A67B5" w14:textId="77777777" w:rsidR="00AE57E7" w:rsidRPr="00511005" w:rsidRDefault="00AE57E7" w:rsidP="003F6A5D">
      <w:pPr>
        <w:numPr>
          <w:ilvl w:val="0"/>
          <w:numId w:val="75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Методика «Незакінчені речення» Л. Сакса і В. Леві (Sacks-Levy Sentence Completion Test) – проективна методика, яка допомагає виявити приховані установки, внутрішні конфлікти, страхи та емоційні переживання;</w:t>
      </w:r>
    </w:p>
    <w:p w14:paraId="0F894820" w14:textId="77777777" w:rsidR="00AE57E7" w:rsidRPr="00511005" w:rsidRDefault="00AE57E7" w:rsidP="003F6A5D">
      <w:pPr>
        <w:numPr>
          <w:ilvl w:val="0"/>
          <w:numId w:val="755"/>
        </w:numPr>
        <w:spacing w:line="264" w:lineRule="auto"/>
        <w:contextualSpacing/>
        <w:jc w:val="left"/>
        <w:rPr>
          <w:rFonts w:ascii="Arial" w:eastAsia="Calibri" w:hAnsi="Arial" w:cs="Arial"/>
          <w:szCs w:val="28"/>
          <w:lang w:val="uk-UA"/>
        </w:rPr>
      </w:pPr>
      <w:r w:rsidRPr="00511005">
        <w:rPr>
          <w:rFonts w:ascii="Arial" w:eastAsia="Times New Roman" w:hAnsi="Arial" w:cs="Arial"/>
          <w:szCs w:val="28"/>
          <w:lang w:val="uk-UA"/>
        </w:rPr>
        <w:t>Методика визначення схильності до девіантної поведінки (М. Горська);</w:t>
      </w:r>
    </w:p>
    <w:p w14:paraId="20A09E09" w14:textId="77777777" w:rsidR="00AE57E7" w:rsidRPr="00511005" w:rsidRDefault="00AE57E7" w:rsidP="003F6A5D">
      <w:pPr>
        <w:numPr>
          <w:ilvl w:val="0"/>
          <w:numId w:val="755"/>
        </w:numPr>
        <w:spacing w:line="264" w:lineRule="auto"/>
        <w:contextualSpacing/>
        <w:jc w:val="left"/>
        <w:rPr>
          <w:rFonts w:ascii="Arial" w:eastAsia="Calibri" w:hAnsi="Arial" w:cs="Arial"/>
          <w:szCs w:val="28"/>
          <w:lang w:val="uk-UA"/>
        </w:rPr>
      </w:pPr>
      <w:r w:rsidRPr="00511005">
        <w:rPr>
          <w:rFonts w:ascii="Arial" w:eastAsia="Times New Roman" w:hAnsi="Arial" w:cs="Arial"/>
          <w:szCs w:val="28"/>
          <w:lang w:val="uk-UA"/>
        </w:rPr>
        <w:t>Методика визначення схильності до адиктивної, агресивної, деліквентної поведінки (А.Н. Орел);</w:t>
      </w:r>
    </w:p>
    <w:p w14:paraId="4CDB91C4" w14:textId="77777777" w:rsidR="00AE57E7" w:rsidRPr="00511005" w:rsidRDefault="00AE57E7" w:rsidP="003F6A5D">
      <w:pPr>
        <w:numPr>
          <w:ilvl w:val="0"/>
          <w:numId w:val="755"/>
        </w:numPr>
        <w:spacing w:line="264" w:lineRule="auto"/>
        <w:contextualSpacing/>
        <w:jc w:val="left"/>
        <w:rPr>
          <w:rFonts w:ascii="Arial" w:eastAsia="Calibri" w:hAnsi="Arial" w:cs="Arial"/>
          <w:szCs w:val="28"/>
          <w:lang w:val="uk-UA"/>
        </w:rPr>
      </w:pPr>
      <w:r w:rsidRPr="00511005">
        <w:rPr>
          <w:rFonts w:ascii="Arial" w:eastAsia="Times New Roman" w:hAnsi="Arial" w:cs="Arial"/>
          <w:szCs w:val="28"/>
          <w:shd w:val="clear" w:color="auto" w:fill="FFFFFF"/>
          <w:lang w:val="uk-UA"/>
        </w:rPr>
        <w:lastRenderedPageBreak/>
        <w:t>Патохарактерологічний діагностичний опитувальник (ПДО) для підлітків. Призначений для визначення у віці 14-18 років типів акцентуацій характеру і типів психопатій, а також повʼязаних з ними деяких особистісних особливостей (психологічної схильності до алкоголізації, делінквентності та ін.) [4];</w:t>
      </w:r>
    </w:p>
    <w:p w14:paraId="1E73E585" w14:textId="77777777" w:rsidR="00AE57E7" w:rsidRPr="00511005" w:rsidRDefault="00AE57E7" w:rsidP="003F6A5D">
      <w:pPr>
        <w:numPr>
          <w:ilvl w:val="0"/>
          <w:numId w:val="75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Опитувальник Басса-Даркі – інструмент для оцінки рівня агресивності за вісьмома шкалами, що охоплюють фізичну та непряму агресію, роздратування, негативізм, образу, підозрілість, вербальну агресію та почуття провини;</w:t>
      </w:r>
    </w:p>
    <w:p w14:paraId="5F38E692" w14:textId="77777777" w:rsidR="00AE57E7" w:rsidRPr="00511005" w:rsidRDefault="00AE57E7" w:rsidP="003F6A5D">
      <w:pPr>
        <w:numPr>
          <w:ilvl w:val="0"/>
          <w:numId w:val="755"/>
        </w:numPr>
        <w:spacing w:line="264" w:lineRule="auto"/>
        <w:contextualSpacing/>
        <w:jc w:val="left"/>
        <w:rPr>
          <w:rFonts w:ascii="Arial" w:eastAsia="Calibri" w:hAnsi="Arial" w:cs="Arial"/>
          <w:szCs w:val="28"/>
          <w:lang w:val="uk-UA"/>
        </w:rPr>
      </w:pPr>
      <w:r w:rsidRPr="00511005">
        <w:rPr>
          <w:rFonts w:ascii="Arial" w:eastAsia="Times New Roman" w:hAnsi="Arial" w:cs="Arial"/>
          <w:szCs w:val="28"/>
          <w:shd w:val="clear" w:color="auto" w:fill="FFFFFF"/>
          <w:lang w:val="uk-UA"/>
        </w:rPr>
        <w:t>Методика «Визначення особистісної адаптованості школярів» А. Фурмана;</w:t>
      </w:r>
    </w:p>
    <w:p w14:paraId="24F26547" w14:textId="77777777" w:rsidR="00AE57E7" w:rsidRPr="00511005" w:rsidRDefault="00AE57E7" w:rsidP="003F6A5D">
      <w:pPr>
        <w:numPr>
          <w:ilvl w:val="0"/>
          <w:numId w:val="755"/>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Методика діагностики рівня соціальної фрустрованості (В.В. Бойко) - спрямована на визначення інтенсивності стану психічного напруження особистості, що виникає внаслідок неможливості задовольнити значущі потреби у соціальній сфері. </w:t>
      </w:r>
    </w:p>
    <w:p w14:paraId="02242066"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Рання ідентифікація факторів ризику девіантної поведінки, застосовуючи стандартизовані психодіагностичні методики дозволяє об'єктивізувати оцінку та виявити підлітків, які потребують особливої уваги.</w:t>
      </w:r>
    </w:p>
    <w:p w14:paraId="3EFBA719"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Щодо подальшої превентивної роботи - вона не буде ефективною без індивідуального втручання. Результати психодіагностичного обстеження слугують підґрунтям для розробки профілактичних програм з персональним підходом, що враховують унікальний профіль кожного підлітка і, на відміну від універсальних профілактичних заходів, демонструє значно вищу результативність у корекції поведінкових відхилень. Також важливим елементом у системі профілактики правопорушень є інтегративна взаємодія психолога з інституціями освітньої та правоохоронної сфери. Використовуючи результати психодіагностики підлітків з виявленою девіантною поведінкою, проходить краща розробка стратегій навчання та виховання учнів групи ризику. Водночас надання цієї інформації правоохоронним органам дає можливість розробляти дієвіші заходи для запобігання злочинності серед молоді завдяки кращому зрозумінню причин їхніх дій з точки зору психології.</w:t>
      </w:r>
    </w:p>
    <w:p w14:paraId="57462CD8"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Отже, психодіагностика є важливим інструментом у запобіганні розвитку девіантної поведінки серед підлітків, забезпечуючи своєчасне виявлення значущих факторів та можливість розробки персоналізованих профілактичних програм. </w:t>
      </w:r>
    </w:p>
    <w:p w14:paraId="3A33453E" w14:textId="77777777" w:rsidR="00AE57E7" w:rsidRPr="00511005" w:rsidRDefault="00AE57E7" w:rsidP="003A292D">
      <w:pPr>
        <w:spacing w:line="264" w:lineRule="auto"/>
        <w:ind w:firstLine="708"/>
        <w:rPr>
          <w:rFonts w:ascii="Arial" w:eastAsia="Times New Roman" w:hAnsi="Arial" w:cs="Arial"/>
          <w:szCs w:val="28"/>
          <w:lang w:val="uk-UA" w:eastAsia="ru-RU"/>
        </w:rPr>
      </w:pPr>
    </w:p>
    <w:p w14:paraId="5BF42F24" w14:textId="1C0EACDD" w:rsidR="00AE57E7" w:rsidRPr="00511005" w:rsidRDefault="007B2628" w:rsidP="007B2628">
      <w:pPr>
        <w:spacing w:line="264" w:lineRule="auto"/>
        <w:ind w:firstLine="708"/>
        <w:jc w:val="center"/>
        <w:rPr>
          <w:rFonts w:ascii="Arial" w:eastAsia="Times New Roman" w:hAnsi="Arial" w:cs="Arial"/>
          <w:szCs w:val="28"/>
          <w:lang w:val="uk-UA" w:eastAsia="ru-RU"/>
        </w:rPr>
      </w:pPr>
      <w:r w:rsidRPr="00511005">
        <w:rPr>
          <w:rFonts w:ascii="Arial" w:eastAsia="Times New Roman" w:hAnsi="Arial" w:cs="Arial"/>
          <w:b/>
          <w:bCs/>
          <w:szCs w:val="28"/>
          <w:lang w:val="uk-UA" w:eastAsia="ru-RU"/>
        </w:rPr>
        <w:t>Список використаних джерел</w:t>
      </w:r>
    </w:p>
    <w:p w14:paraId="41C16D31" w14:textId="6A01D8C2" w:rsidR="00AE57E7" w:rsidRPr="00511005" w:rsidRDefault="00AE57E7" w:rsidP="003F6A5D">
      <w:pPr>
        <w:numPr>
          <w:ilvl w:val="0"/>
          <w:numId w:val="75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 xml:space="preserve">Козубовська І. В., Козубовський Р. В. Природа девіантної поведінки неповнолітніх. </w:t>
      </w:r>
      <w:r w:rsidRPr="00511005">
        <w:rPr>
          <w:rFonts w:ascii="Arial" w:eastAsia="Calibri" w:hAnsi="Arial" w:cs="Arial"/>
          <w:i/>
          <w:iCs/>
          <w:szCs w:val="28"/>
          <w:lang w:val="uk-UA"/>
        </w:rPr>
        <w:t>Науковий вісник Ужгородського університету. Серія: «Педагогіка. Соціальна робота».</w:t>
      </w:r>
      <w:r w:rsidRPr="00511005">
        <w:rPr>
          <w:rFonts w:ascii="Arial" w:eastAsia="Calibri" w:hAnsi="Arial" w:cs="Arial"/>
          <w:szCs w:val="28"/>
          <w:lang w:val="uk-UA"/>
        </w:rPr>
        <w:t xml:space="preserve"> 2018.</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Вип. 1 (41). 101 с.</w:t>
      </w:r>
    </w:p>
    <w:p w14:paraId="3486C6F8" w14:textId="77777777" w:rsidR="00AE57E7" w:rsidRPr="00511005" w:rsidRDefault="00AE57E7" w:rsidP="003F6A5D">
      <w:pPr>
        <w:numPr>
          <w:ilvl w:val="0"/>
          <w:numId w:val="75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lastRenderedPageBreak/>
        <w:t>Онуфрієва Л. А., Чайковська О. М. Психологія девіантної поведінки: навч. Посіб. / Камʼянець-Подільський нац. ун-т ім. Івана Огієнка. Камʼянець-Подільський : Ковальчук О. В., 2024. С. 16-17.</w:t>
      </w:r>
    </w:p>
    <w:p w14:paraId="318BED97" w14:textId="76F2134C" w:rsidR="00AE57E7" w:rsidRPr="00511005" w:rsidRDefault="00AE57E7" w:rsidP="003F6A5D">
      <w:pPr>
        <w:numPr>
          <w:ilvl w:val="0"/>
          <w:numId w:val="75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Вєйландє Л. В. Підготовка студентів університету до роботи з підлітками девіантної поведінки : автореф. дис. на здобуття наук. ступеня канд. пед. наук : 13.00.04. Одеса, 2005.</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23 с.</w:t>
      </w:r>
    </w:p>
    <w:p w14:paraId="602676FF" w14:textId="22E672F7" w:rsidR="00AE57E7" w:rsidRPr="00511005" w:rsidRDefault="00AE57E7" w:rsidP="003F6A5D">
      <w:pPr>
        <w:numPr>
          <w:ilvl w:val="0"/>
          <w:numId w:val="754"/>
        </w:numPr>
        <w:spacing w:line="264" w:lineRule="auto"/>
        <w:contextualSpacing/>
        <w:jc w:val="left"/>
        <w:rPr>
          <w:rFonts w:ascii="Arial" w:eastAsia="Calibri" w:hAnsi="Arial" w:cs="Arial"/>
          <w:szCs w:val="28"/>
          <w:lang w:val="uk-UA"/>
        </w:rPr>
      </w:pPr>
      <w:r w:rsidRPr="00511005">
        <w:rPr>
          <w:rFonts w:ascii="Arial" w:eastAsia="Calibri" w:hAnsi="Arial" w:cs="Arial"/>
          <w:szCs w:val="28"/>
          <w:lang w:val="uk-UA"/>
        </w:rPr>
        <w:t>Патохарактерологічний діагностичний опитувальник (ПДО) для підлітків. Частина 1. Всесвіт психології : веб-сайт. URL:</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https://psychic.at.ua/publ/psikhodiagnostyka/diagnostika_temparamentu_i_kharakteru/patokharakterologichnij_diagnostichnij_opituvalnik_pdo_dlja_pidlitkiv_chastina_1/13-1-0-87</w:t>
      </w:r>
      <w:r w:rsidR="007B2628" w:rsidRPr="00511005">
        <w:rPr>
          <w:rFonts w:ascii="Arial" w:eastAsia="Calibri" w:hAnsi="Arial" w:cs="Arial"/>
          <w:szCs w:val="28"/>
          <w:lang w:val="uk-UA"/>
        </w:rPr>
        <w:t xml:space="preserve"> </w:t>
      </w:r>
    </w:p>
    <w:p w14:paraId="3EAFF6DE" w14:textId="77777777" w:rsidR="00AE57E7" w:rsidRPr="00511005" w:rsidRDefault="00AE57E7"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851"/>
        <w:rPr>
          <w:rFonts w:ascii="Arial" w:eastAsia="Times New Roman" w:hAnsi="Arial" w:cs="Arial"/>
          <w:b/>
          <w:bCs/>
          <w:szCs w:val="28"/>
          <w:lang w:val="uk-UA" w:eastAsia="ru-RU"/>
        </w:rPr>
      </w:pPr>
    </w:p>
    <w:p w14:paraId="7F9E8181" w14:textId="320AE021" w:rsidR="00AE57E7" w:rsidRPr="00511005" w:rsidRDefault="007B2628" w:rsidP="003A292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64" w:lineRule="auto"/>
        <w:ind w:firstLine="851"/>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Ключові слова: </w:t>
      </w:r>
      <w:r w:rsidR="00AE57E7" w:rsidRPr="00511005">
        <w:rPr>
          <w:rFonts w:ascii="Arial" w:eastAsia="Times New Roman" w:hAnsi="Arial" w:cs="Arial"/>
          <w:szCs w:val="28"/>
          <w:lang w:val="uk-UA" w:eastAsia="ru-RU"/>
        </w:rPr>
        <w:t>девіантна поведінка, підлітки, психодіагностика, профілактика правопорушень.</w:t>
      </w:r>
    </w:p>
    <w:p w14:paraId="7EDB306A" w14:textId="320E0E0E" w:rsidR="00AE57E7" w:rsidRPr="00511005" w:rsidRDefault="007B2628" w:rsidP="003A292D">
      <w:pPr>
        <w:spacing w:line="264" w:lineRule="auto"/>
        <w:ind w:firstLine="851"/>
        <w:rPr>
          <w:rFonts w:ascii="Arial" w:eastAsia="Times New Roman" w:hAnsi="Arial" w:cs="Arial"/>
          <w:szCs w:val="28"/>
          <w:lang w:val="uk-UA" w:eastAsia="ru-RU"/>
        </w:rPr>
      </w:pPr>
      <w:r w:rsidRPr="00511005">
        <w:rPr>
          <w:rFonts w:ascii="Arial" w:eastAsia="Times New Roman" w:hAnsi="Arial" w:cs="Arial"/>
          <w:b/>
          <w:bCs/>
          <w:i/>
          <w:szCs w:val="28"/>
          <w:lang w:val="uk-UA" w:eastAsia="ru-RU"/>
        </w:rPr>
        <w:t xml:space="preserve">Key words: </w:t>
      </w:r>
      <w:r w:rsidR="00AE57E7" w:rsidRPr="00511005">
        <w:rPr>
          <w:rFonts w:ascii="Arial" w:eastAsia="Times New Roman" w:hAnsi="Arial" w:cs="Arial"/>
          <w:szCs w:val="28"/>
          <w:lang w:val="uk-UA" w:eastAsia="ru-RU"/>
        </w:rPr>
        <w:t>deviant behavior, teenagers, psychodiagnostics, teenagers, prevention of offenses.</w:t>
      </w:r>
    </w:p>
    <w:p w14:paraId="39DD4AC5" w14:textId="48FA9E2B" w:rsidR="00AE57E7" w:rsidRPr="00511005" w:rsidRDefault="007B2628" w:rsidP="003A292D">
      <w:pPr>
        <w:spacing w:line="264" w:lineRule="auto"/>
        <w:ind w:firstLine="851"/>
        <w:rPr>
          <w:rFonts w:ascii="Arial" w:eastAsia="Times New Roman" w:hAnsi="Arial" w:cs="Arial"/>
          <w:i/>
          <w:iCs/>
          <w:szCs w:val="28"/>
          <w:lang w:val="uk-UA" w:eastAsia="ru-RU"/>
        </w:rPr>
      </w:pPr>
      <w:r w:rsidRPr="00511005">
        <w:rPr>
          <w:rFonts w:ascii="Arial" w:eastAsia="Times New Roman" w:hAnsi="Arial" w:cs="Arial"/>
          <w:b/>
          <w:i/>
          <w:iCs/>
          <w:szCs w:val="28"/>
          <w:lang w:val="uk-UA" w:eastAsia="ru-RU"/>
        </w:rPr>
        <w:t xml:space="preserve">Науковий керівник: </w:t>
      </w:r>
      <w:r w:rsidR="00AE57E7" w:rsidRPr="00511005">
        <w:rPr>
          <w:rFonts w:ascii="Arial" w:eastAsia="Times New Roman" w:hAnsi="Arial" w:cs="Arial"/>
          <w:i/>
          <w:iCs/>
          <w:szCs w:val="28"/>
          <w:lang w:val="uk-UA" w:eastAsia="ru-RU"/>
        </w:rPr>
        <w:t>к. психол. н., доцент Татьянчиков А. О.</w:t>
      </w:r>
    </w:p>
    <w:p w14:paraId="798A2F92" w14:textId="77777777" w:rsidR="00AE57E7" w:rsidRPr="00511005" w:rsidRDefault="00AE57E7" w:rsidP="003A292D">
      <w:pPr>
        <w:spacing w:line="264" w:lineRule="auto"/>
        <w:ind w:firstLine="851"/>
        <w:rPr>
          <w:rFonts w:ascii="Arial" w:eastAsia="Times New Roman" w:hAnsi="Arial" w:cs="Arial"/>
          <w:szCs w:val="28"/>
          <w:lang w:val="uk-UA" w:eastAsia="ru-RU"/>
        </w:rPr>
      </w:pPr>
    </w:p>
    <w:p w14:paraId="454FE33C" w14:textId="77777777" w:rsidR="00AE57E7" w:rsidRPr="00511005" w:rsidRDefault="00AE57E7" w:rsidP="003A292D">
      <w:pPr>
        <w:spacing w:line="264" w:lineRule="auto"/>
        <w:ind w:firstLine="851"/>
        <w:rPr>
          <w:rFonts w:ascii="Arial" w:eastAsia="Times New Roman" w:hAnsi="Arial" w:cs="Arial"/>
          <w:szCs w:val="28"/>
          <w:lang w:val="uk-UA" w:eastAsia="ru-RU"/>
        </w:rPr>
      </w:pPr>
    </w:p>
    <w:p w14:paraId="24CD3D8E" w14:textId="77777777" w:rsidR="00AE57E7" w:rsidRPr="00511005" w:rsidRDefault="00AE57E7" w:rsidP="009008A5">
      <w:pPr>
        <w:keepNext/>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Мішина Олена Сергіївна</w:t>
      </w:r>
    </w:p>
    <w:p w14:paraId="70BF325F" w14:textId="33B3FDFD" w:rsidR="00AE57E7" w:rsidRPr="00511005" w:rsidRDefault="00536AAB" w:rsidP="009008A5">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2-го курсу </w:t>
      </w:r>
      <w:r w:rsidR="00AE57E7" w:rsidRPr="00511005">
        <w:rPr>
          <w:rFonts w:ascii="Arial" w:eastAsia="Times New Roman" w:hAnsi="Arial" w:cs="Arial"/>
          <w:szCs w:val="28"/>
          <w:lang w:val="uk-UA" w:eastAsia="ru-RU"/>
        </w:rPr>
        <w:t xml:space="preserve">факультету </w:t>
      </w:r>
      <w:r w:rsidR="009008A5" w:rsidRPr="00511005">
        <w:rPr>
          <w:rFonts w:ascii="Arial" w:eastAsia="Times New Roman" w:hAnsi="Arial" w:cs="Arial"/>
          <w:bCs/>
          <w:iCs/>
          <w:szCs w:val="28"/>
          <w:lang w:val="uk-UA" w:eastAsia="ru-RU"/>
        </w:rPr>
        <w:t>психології, політології та соціології</w:t>
      </w:r>
      <w:r w:rsidR="00AE57E7" w:rsidRPr="00511005">
        <w:rPr>
          <w:rFonts w:ascii="Arial" w:eastAsia="Times New Roman" w:hAnsi="Arial" w:cs="Arial"/>
          <w:szCs w:val="28"/>
          <w:lang w:val="uk-UA" w:eastAsia="ru-RU"/>
        </w:rPr>
        <w:br/>
      </w:r>
      <w:r w:rsidR="007B2628" w:rsidRPr="00511005">
        <w:rPr>
          <w:rFonts w:ascii="Arial" w:eastAsia="Times New Roman" w:hAnsi="Arial" w:cs="Arial"/>
          <w:szCs w:val="28"/>
          <w:lang w:val="uk-UA" w:eastAsia="ru-RU"/>
        </w:rPr>
        <w:t>Національного університету «Одеська юридична академія»</w:t>
      </w:r>
    </w:p>
    <w:p w14:paraId="1B23990C" w14:textId="77777777" w:rsidR="009008A5" w:rsidRPr="00511005" w:rsidRDefault="009008A5" w:rsidP="009008A5">
      <w:pPr>
        <w:spacing w:line="264" w:lineRule="auto"/>
        <w:ind w:firstLine="0"/>
        <w:jc w:val="center"/>
        <w:rPr>
          <w:rFonts w:ascii="Arial" w:eastAsia="Times New Roman" w:hAnsi="Arial" w:cs="Arial"/>
          <w:szCs w:val="28"/>
          <w:lang w:val="uk-UA" w:eastAsia="ru-RU"/>
        </w:rPr>
      </w:pPr>
    </w:p>
    <w:p w14:paraId="71FC52C8" w14:textId="77777777" w:rsidR="00AE57E7" w:rsidRPr="00511005" w:rsidRDefault="00AE57E7" w:rsidP="009008A5">
      <w:pPr>
        <w:spacing w:line="264" w:lineRule="auto"/>
        <w:ind w:firstLine="0"/>
        <w:jc w:val="center"/>
        <w:rPr>
          <w:rFonts w:ascii="Arial" w:eastAsia="Times New Roman" w:hAnsi="Arial" w:cs="Arial"/>
          <w:b/>
          <w:szCs w:val="28"/>
          <w:shd w:val="clear" w:color="auto" w:fill="FFFFFF"/>
          <w:lang w:val="uk-UA" w:eastAsia="ru-RU"/>
        </w:rPr>
      </w:pPr>
      <w:r w:rsidRPr="00511005">
        <w:rPr>
          <w:rFonts w:ascii="Arial" w:eastAsia="Times New Roman" w:hAnsi="Arial" w:cs="Arial"/>
          <w:b/>
          <w:szCs w:val="28"/>
          <w:shd w:val="clear" w:color="auto" w:fill="FFFFFF"/>
          <w:lang w:val="uk-UA" w:eastAsia="ru-RU"/>
        </w:rPr>
        <w:t>ПСИХОДІАГНОСТИКА РІВНЯ СТРЕСОСТІЙКОСТІ ГРОМАДЯН В УМОВАХ ВОЄННОГО СТАНУ</w:t>
      </w:r>
    </w:p>
    <w:p w14:paraId="7800AEA0"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Триваюча військова агресія характеризується безпрецедентним зростанням психологічного навантаження на населення України. Умови постійної загрози життю, втрати близьких, вимушене переміщення, економічна нестабільність та руйнування звичного укладу життя значно знижують здатність до адаптації та психічної саморегуляції. Вчасна та якісна психодіагностика рівня стресостійкості є ключовою передумовою для виявлення осіб із підвищеним ризиком розвитку психічних розладів, організації ефективної психологічної допомоги та формування програм психосоціальної підтримки, що робить це дослідження соціально значущим і практично необхідним.</w:t>
      </w:r>
    </w:p>
    <w:p w14:paraId="4D382696"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Р. Лазарус вказує на те, що стрес – це зв'язок людини із навколишнім середовищем, який за оцінками особистості обтяжує її, перевищує наявні в неї ресурси та загрожує її цілісності й безпеці. О. Когот вказує на те, що стрес провокують негативні емоції та емоційні стани(тривожність, страх та інше).</w:t>
      </w:r>
    </w:p>
    <w:p w14:paraId="7E2D2912"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Т. Кокс і Дж. Макей вказують, що стрес це динамічний процес, що є результатом взаємодії між людиною та навколишнім середовищем. </w:t>
      </w:r>
      <w:r w:rsidRPr="00511005">
        <w:rPr>
          <w:rFonts w:ascii="Arial" w:eastAsia="Times New Roman" w:hAnsi="Arial" w:cs="Arial"/>
          <w:szCs w:val="28"/>
          <w:shd w:val="clear" w:color="auto" w:fill="FFFFFF"/>
          <w:lang w:val="uk-UA" w:eastAsia="ru-RU"/>
        </w:rPr>
        <w:lastRenderedPageBreak/>
        <w:t>Відповідно до системи розробленої вищезгаданими вченими є п’ять стадій розвитку стресу:</w:t>
      </w:r>
    </w:p>
    <w:p w14:paraId="258D9CEA"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1. Вплив довкілля на людину; </w:t>
      </w:r>
    </w:p>
    <w:p w14:paraId="44C97CC6"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2. Усвідомлення дисбалансу між власними наявними ресурсами та кількістю ресурсів, які вимагає використати задача із зовні;</w:t>
      </w:r>
    </w:p>
    <w:p w14:paraId="00C48183"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3. Емоційна реакція, переживання таким чином стрес;</w:t>
      </w:r>
    </w:p>
    <w:p w14:paraId="0DA9404E"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4. Протидія індивідом стресу всіма доступними методами;</w:t>
      </w:r>
    </w:p>
    <w:p w14:paraId="3114AF47"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5. Перевірка, так званий зворотній зв'язок, що дозволяє перевірити ефективність методів, за допомогою яких людина намагалася впоратися з ситуацією, що виникла.</w:t>
      </w:r>
    </w:p>
    <w:p w14:paraId="01950BF4"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Представники транзактного аналізу вказують на те, що ефективність подолання стресу та те наскільки це швидко буде зроблено залежить від індивідуальних властивостей та особливостей людини, локусу контролю та обраних копінг стратегій(йдеться про те, як людина обирає діяти в екстремальній ситуації).</w:t>
      </w:r>
    </w:p>
    <w:p w14:paraId="4DF8409B" w14:textId="77503E6D"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Відповідно, війна є великою колективною кризою та стресом, до якого кожен адаптується в своєму темпі, то досить велика кількість вчених, в тому числі й дослідники-психологи проводять дослідження щодо впливу війни на свідомість людей. Зокрема, І. Грузинська, описує проведене дослідження на 50-ти здобувачах вищої освіти, що дозволило дослідити психологічне та емоційне реагування студентів на стрес, з метою зменшити до мінімуму вплив негативних емоційних чинників на людей в процесі навчання. В підсумку цього дослідження авторка зазначила, що проблематика психологічного захисту людей під час війни є дуже актуальною. При цьому студентська молодь знаходиться в стресі, тому необхідно шукати способи зменшити емоіційне навантаження за кмови, коли ресурси організму обмежені або майже вичерпані. Авторка зазначає, питання зменшення емоційного навантаження в умовах</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війни потребує детального вивчення та масштабних досліджень.</w:t>
      </w:r>
    </w:p>
    <w:p w14:paraId="47D35BE7" w14:textId="49112EFC"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В той же час, люди, що евакуйовувалися у перший день війни напругу, тривожність, депресивний стан. На етапі підготовки до евакуації наростав страх, до нього додався гнів на агресора, прагнення вижити. Під час евакуації наростала</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тривога, страх, проявлявся страх</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та напруга як на психологічному так і на біологічному рівнях, продовжила наростати тривога. Під час розміщення в місцях евакуації переважала незадоволеність базових потреб, тривога, порушення сну, горювання за загиблими, а також на цьому етапі з одного боку посилилася тривога, а з іншого посилилося відчуття безпеки. В той час, я студенти,</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шо не евакуювалися відчували гнів та спустошення.</w:t>
      </w:r>
    </w:p>
    <w:p w14:paraId="12799599"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Після повернення додому домінували двоякі емоції такі як радість та щастя, а також фрустрація, депресивні стани, знесилення. Це зумовлено </w:t>
      </w:r>
      <w:r w:rsidRPr="00511005">
        <w:rPr>
          <w:rFonts w:ascii="Arial" w:eastAsia="Times New Roman" w:hAnsi="Arial" w:cs="Arial"/>
          <w:szCs w:val="28"/>
          <w:shd w:val="clear" w:color="auto" w:fill="FFFFFF"/>
          <w:lang w:val="uk-UA" w:eastAsia="ru-RU"/>
        </w:rPr>
        <w:lastRenderedPageBreak/>
        <w:t>тим, що організм людини на цьому моменті мав майже вичерпані ресурси й потребував відновлення та відпочинку[1].</w:t>
      </w:r>
    </w:p>
    <w:p w14:paraId="5D6CB88A"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В той же час Л. Журавльова провела емпіричне дослідження на сорока респондентах жіночої та сорока респондентах чоловічої статі, віковий діапазон респондентів складає від 10 до 65 років. Де 10-14 років – 10%, 15-20 років -8,25%, 31,25% це категорія віком 21–25 років, 26–45 років це 33,75%;, 16,25% респондентів віком 46–65 років. Дослідження проводилося за допомогою модифікованого автором тесту Ю.В. Щербатих, який показує поведінкові, інтелектуальні, фізіологічні та емоційні ознаки стресу.</w:t>
      </w:r>
    </w:p>
    <w:p w14:paraId="2EF07B8C"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Відповідно до проведеного дослідження авторка вказала, що інтелектуальні ознаки стресу(погіршення пам’яті, здатності зосередитися, погані думки та кошмари) більше притаманні жінкам ніж чоловікам, хоча середні показники відрізняються не надто: 3,55 у чоловіків та 3,68 у жінок. </w:t>
      </w:r>
    </w:p>
    <w:p w14:paraId="5AC07589"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Наступний показник – поведінкові ознаки стресу. 48% жінок вказали на наявність або переїдання або втрати апетиту, а порушення сну мають 25% досліджуваних респонденток. В той час як у чоловіків збільшилася кількісь конфліктних ситуацій на роботі та в родині у 27% опитаних та хронічна нестача часу в 41% респондентів. Але знову ж таки середні показники вищі у жінок, хоча й не надто: 2,93 – у жінок та 2,68 у чоловіків.</w:t>
      </w:r>
    </w:p>
    <w:p w14:paraId="2469F425"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У 43% чоловіків за емоційною шкалою проявляється тривожність та у 27% похмурий настрій – це найвищі показники. У жінок за цією шкалою найбільше проявляються відчуженість, самотність, провина, занижена самооцінка. При цьому що у чоловіків, що у жінок рівні ознак емоційного стресу є практично рівними. У жінок на фізіологічному рівні проявляються підвищення тиску, напруга у м’язах, порушення травлення, підвищена стомлюваність, поява алергії, ослаблення здоров’я, зміна ваги, не визначені болі в тілі.</w:t>
      </w:r>
    </w:p>
    <w:p w14:paraId="0FC7EE16"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У чоловіків же показники інші: порушення ритму серця, пітливість понад міру, болі в тілі, напруження у м’язах. </w:t>
      </w:r>
    </w:p>
    <w:p w14:paraId="04056FC7"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При цьому рівень стресу відсутній у 5% чоловіків та 17,5% жінок, відповідно до дослідження авторки, помірний стрес наявній у 32,5% чоловіків та 27,5% жінок, Виражене напруження у 60% чоловіків та 30% жінок, сильний стрес у 2,5% чоловіків та у 22,5% жінок, виснаження адаптаційних запасів енергії наявне лише у 2,5 % жінок[2].</w:t>
      </w:r>
    </w:p>
    <w:p w14:paraId="5F9DD818" w14:textId="7777777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Отже, підсумовуючи все вищесказане, зазначимо, що високий рівень стресу впливає виснажливо як на жінок так і чоловіків, стресованими є й ті люди, що покинули домівку й ті, що залишилися, при цьому навіть повернення додому супроводжувалося негативними станами через виснаження ресурсів організму. При цьому жінки більш стресовані ніж чоловіки, хоча чоловіки є більш напруженими.</w:t>
      </w:r>
    </w:p>
    <w:p w14:paraId="4577F067" w14:textId="5DBE9FF7" w:rsidR="00AE57E7" w:rsidRPr="00511005" w:rsidRDefault="00AE57E7" w:rsidP="003A292D">
      <w:pPr>
        <w:spacing w:line="264" w:lineRule="auto"/>
        <w:ind w:firstLine="567"/>
        <w:rPr>
          <w:rFonts w:ascii="Arial" w:eastAsia="Times New Roman" w:hAnsi="Arial" w:cs="Arial"/>
          <w:szCs w:val="28"/>
          <w:shd w:val="clear" w:color="auto" w:fill="FFFFFF"/>
          <w:lang w:val="uk-UA" w:eastAsia="ru-RU"/>
        </w:rPr>
      </w:pPr>
      <w:r w:rsidRPr="00511005">
        <w:rPr>
          <w:rFonts w:ascii="Arial" w:eastAsia="Times New Roman" w:hAnsi="Arial" w:cs="Arial"/>
          <w:bCs/>
          <w:szCs w:val="28"/>
          <w:shd w:val="clear" w:color="auto" w:fill="FFFFFF"/>
          <w:lang w:val="uk-UA" w:eastAsia="ru-RU"/>
        </w:rPr>
        <w:lastRenderedPageBreak/>
        <w:t>Перспектива подальших досліджень</w:t>
      </w:r>
      <w:r w:rsidRPr="00511005">
        <w:rPr>
          <w:rFonts w:ascii="Arial" w:eastAsia="Times New Roman" w:hAnsi="Arial" w:cs="Arial"/>
          <w:szCs w:val="28"/>
          <w:shd w:val="clear" w:color="auto" w:fill="FFFFFF"/>
          <w:lang w:val="uk-UA" w:eastAsia="ru-RU"/>
        </w:rPr>
        <w:t xml:space="preserve"> полягає у розробці програми, спрямованої на</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подолання стресу, враховуючи вищевикладені результати дослідження та відповідно до гендерних особливостей прояву стресу.</w:t>
      </w:r>
    </w:p>
    <w:p w14:paraId="254E7789" w14:textId="77777777" w:rsidR="00AE57E7" w:rsidRPr="00511005" w:rsidRDefault="00AE57E7" w:rsidP="003A292D">
      <w:pPr>
        <w:spacing w:line="264" w:lineRule="auto"/>
        <w:jc w:val="center"/>
        <w:rPr>
          <w:rFonts w:ascii="Arial" w:eastAsia="Times New Roman" w:hAnsi="Arial" w:cs="Arial"/>
          <w:b/>
          <w:szCs w:val="28"/>
          <w:shd w:val="clear" w:color="auto" w:fill="FFFFFF"/>
          <w:lang w:val="uk-UA" w:eastAsia="ru-RU"/>
        </w:rPr>
      </w:pPr>
    </w:p>
    <w:p w14:paraId="4E4C8D9F" w14:textId="7AFC64FD" w:rsidR="00AE57E7" w:rsidRPr="00511005" w:rsidRDefault="007B2628" w:rsidP="007B2628">
      <w:pPr>
        <w:spacing w:line="264" w:lineRule="auto"/>
        <w:jc w:val="center"/>
        <w:rPr>
          <w:rFonts w:ascii="Arial" w:eastAsia="Times New Roman" w:hAnsi="Arial" w:cs="Arial"/>
          <w:b/>
          <w:szCs w:val="28"/>
          <w:shd w:val="clear" w:color="auto" w:fill="FFFFFF"/>
          <w:lang w:val="uk-UA" w:eastAsia="ru-RU"/>
        </w:rPr>
      </w:pPr>
      <w:r w:rsidRPr="00511005">
        <w:rPr>
          <w:rFonts w:ascii="Arial" w:eastAsia="Times New Roman" w:hAnsi="Arial" w:cs="Arial"/>
          <w:b/>
          <w:szCs w:val="28"/>
          <w:shd w:val="clear" w:color="auto" w:fill="FFFFFF"/>
          <w:lang w:val="uk-UA" w:eastAsia="ru-RU"/>
        </w:rPr>
        <w:t>Список використаних джерел</w:t>
      </w:r>
    </w:p>
    <w:p w14:paraId="69E1F835" w14:textId="77777777"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 xml:space="preserve">1. Грузинська І.М. Проблема емоційного реагування на стресові ситуації в умовах воєнного стану. </w:t>
      </w:r>
      <w:r w:rsidRPr="00511005">
        <w:rPr>
          <w:rFonts w:ascii="Arial" w:eastAsia="Times New Roman" w:hAnsi="Arial" w:cs="Arial"/>
          <w:i/>
          <w:szCs w:val="28"/>
          <w:shd w:val="clear" w:color="auto" w:fill="FFFFFF"/>
          <w:lang w:val="uk-UA" w:eastAsia="ru-RU"/>
        </w:rPr>
        <w:t>Вісник Національного авіаційного університету. Серія: Педагогіка. Психологія: зб. наук. пр</w:t>
      </w:r>
      <w:r w:rsidRPr="00511005">
        <w:rPr>
          <w:rFonts w:ascii="Arial" w:eastAsia="Times New Roman" w:hAnsi="Arial" w:cs="Arial"/>
          <w:szCs w:val="28"/>
          <w:shd w:val="clear" w:color="auto" w:fill="FFFFFF"/>
          <w:lang w:val="uk-UA" w:eastAsia="ru-RU"/>
        </w:rPr>
        <w:t>. К.: Національний авіаційний університет, 2022. Вип. 2(21). С. 97-107. URI: https://er.nau.edu.ua/handle/NAU/59158 (дата звернення: 10.05.2025-го року).</w:t>
      </w:r>
    </w:p>
    <w:p w14:paraId="1CFBF53A" w14:textId="5C4F395D" w:rsidR="00AE57E7" w:rsidRPr="00511005" w:rsidRDefault="00AE57E7"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2. Журавльова Л., Хильченко Л.. Статева диференціація ознак стресу в умовах війни. Науковий часопис УДУ імені Михайла Драгоманова. Серія 12. Психологічні науки, 2023. 17-25.</w:t>
      </w:r>
      <w:r w:rsidR="007B2628" w:rsidRPr="00511005">
        <w:rPr>
          <w:rFonts w:ascii="Arial" w:eastAsia="Times New Roman" w:hAnsi="Arial" w:cs="Arial"/>
          <w:szCs w:val="28"/>
          <w:shd w:val="clear" w:color="auto" w:fill="FFFFFF"/>
          <w:lang w:val="uk-UA" w:eastAsia="ru-RU"/>
        </w:rPr>
        <w:t xml:space="preserve"> </w:t>
      </w:r>
      <w:r w:rsidRPr="00511005">
        <w:rPr>
          <w:rFonts w:ascii="Arial" w:eastAsia="Times New Roman" w:hAnsi="Arial" w:cs="Arial"/>
          <w:szCs w:val="28"/>
          <w:shd w:val="clear" w:color="auto" w:fill="FFFFFF"/>
          <w:lang w:val="uk-UA" w:eastAsia="ru-RU"/>
        </w:rPr>
        <w:t>URL:</w:t>
      </w:r>
      <w:r w:rsidRPr="00511005">
        <w:rPr>
          <w:rFonts w:ascii="Arial" w:eastAsia="Times New Roman" w:hAnsi="Arial" w:cs="Arial"/>
          <w:szCs w:val="28"/>
          <w:lang w:val="uk-UA" w:eastAsia="ru-RU"/>
        </w:rPr>
        <w:t xml:space="preserve"> </w:t>
      </w:r>
      <w:r w:rsidRPr="00511005">
        <w:rPr>
          <w:rFonts w:ascii="Arial" w:eastAsia="Times New Roman" w:hAnsi="Arial" w:cs="Arial"/>
          <w:szCs w:val="28"/>
          <w:shd w:val="clear" w:color="auto" w:fill="FFFFFF"/>
          <w:lang w:val="uk-UA" w:eastAsia="ru-RU"/>
        </w:rPr>
        <w:t>https://sj.udu.edu.ua/index.php/pn/article/view/1369 (дата звернення: 10.05.2025-го року).</w:t>
      </w:r>
    </w:p>
    <w:p w14:paraId="08FB8219" w14:textId="02486863"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діагностика, стать, війна, стрес, рівень стресу, емоції, почуття, стан.</w:t>
      </w:r>
    </w:p>
    <w:p w14:paraId="33BAAC42" w14:textId="449ED827" w:rsidR="00AE57E7" w:rsidRPr="00511005" w:rsidRDefault="007B2628" w:rsidP="003A292D">
      <w:pPr>
        <w:spacing w:line="264" w:lineRule="auto"/>
        <w:rPr>
          <w:rFonts w:ascii="Arial" w:eastAsia="Times New Roman" w:hAnsi="Arial" w:cs="Arial"/>
          <w:szCs w:val="28"/>
          <w:shd w:val="clear" w:color="auto" w:fill="FFFFFF"/>
          <w:lang w:val="uk-UA" w:eastAsia="ru-RU"/>
        </w:rPr>
      </w:pPr>
      <w:r w:rsidRPr="00511005">
        <w:rPr>
          <w:rFonts w:ascii="Arial" w:eastAsia="Times New Roman" w:hAnsi="Arial" w:cs="Arial"/>
          <w:b/>
          <w:i/>
          <w:szCs w:val="28"/>
          <w:lang w:val="uk-UA" w:eastAsia="ru-RU"/>
        </w:rPr>
        <w:t xml:space="preserve">Key words: </w:t>
      </w:r>
      <w:r w:rsidR="00AE57E7" w:rsidRPr="00511005">
        <w:rPr>
          <w:rFonts w:ascii="Arial" w:eastAsia="Times New Roman" w:hAnsi="Arial" w:cs="Arial"/>
          <w:szCs w:val="28"/>
          <w:lang w:val="uk-UA" w:eastAsia="ru-RU"/>
        </w:rPr>
        <w:t>diagnostics, gender, war, stress, stress level, emotions, feelings, condition.</w:t>
      </w:r>
    </w:p>
    <w:p w14:paraId="1B6F3C24" w14:textId="059D374D" w:rsidR="00AE57E7" w:rsidRPr="00511005" w:rsidRDefault="007B2628"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b/>
          <w:i/>
          <w:szCs w:val="28"/>
          <w:shd w:val="clear" w:color="auto" w:fill="FFFFFF"/>
          <w:lang w:val="uk-UA" w:eastAsia="ru-RU"/>
        </w:rPr>
        <w:t xml:space="preserve">Науковий керівник: </w:t>
      </w:r>
      <w:r w:rsidR="00AE57E7" w:rsidRPr="00511005">
        <w:rPr>
          <w:rFonts w:ascii="Arial" w:eastAsia="Times New Roman" w:hAnsi="Arial" w:cs="Arial"/>
          <w:iCs/>
          <w:szCs w:val="28"/>
          <w:shd w:val="clear" w:color="auto" w:fill="FFFFFF"/>
          <w:lang w:val="uk-UA" w:eastAsia="ru-RU"/>
        </w:rPr>
        <w:t>к.психол.н., доцент Татьянчиков А. О.</w:t>
      </w:r>
    </w:p>
    <w:p w14:paraId="1562F497" w14:textId="77777777" w:rsidR="00AE57E7" w:rsidRPr="00511005" w:rsidRDefault="00AE57E7" w:rsidP="003A292D">
      <w:pPr>
        <w:spacing w:line="264" w:lineRule="auto"/>
        <w:rPr>
          <w:rFonts w:ascii="Arial" w:eastAsia="Times New Roman" w:hAnsi="Arial" w:cs="Arial"/>
          <w:bCs/>
          <w:iCs/>
          <w:szCs w:val="28"/>
          <w:shd w:val="clear" w:color="auto" w:fill="FFFFFF"/>
          <w:lang w:val="uk-UA" w:eastAsia="ru-RU"/>
        </w:rPr>
      </w:pPr>
    </w:p>
    <w:p w14:paraId="104E1196" w14:textId="77777777" w:rsidR="00AE57E7" w:rsidRPr="00511005" w:rsidRDefault="00AE57E7" w:rsidP="003A292D">
      <w:pPr>
        <w:spacing w:line="264" w:lineRule="auto"/>
        <w:rPr>
          <w:rFonts w:ascii="Arial" w:eastAsia="Times New Roman" w:hAnsi="Arial" w:cs="Arial"/>
          <w:bCs/>
          <w:iCs/>
          <w:szCs w:val="28"/>
          <w:shd w:val="clear" w:color="auto" w:fill="FFFFFF"/>
          <w:lang w:val="uk-UA" w:eastAsia="ru-RU"/>
        </w:rPr>
      </w:pPr>
    </w:p>
    <w:p w14:paraId="1E055AF8" w14:textId="77777777" w:rsidR="00AE57E7" w:rsidRPr="00511005" w:rsidRDefault="00AE57E7" w:rsidP="003A292D">
      <w:pPr>
        <w:spacing w:line="264" w:lineRule="auto"/>
        <w:ind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Саксонова Діана Владленівна</w:t>
      </w:r>
    </w:p>
    <w:p w14:paraId="4E7FADC4" w14:textId="48CFA0B6" w:rsidR="00AE57E7" w:rsidRPr="00511005" w:rsidRDefault="00AE57E7"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студентка 4-го курсу </w:t>
      </w:r>
      <w:r w:rsidR="00536AAB" w:rsidRPr="00511005">
        <w:rPr>
          <w:rFonts w:ascii="Arial" w:eastAsia="Times New Roman" w:hAnsi="Arial" w:cs="Arial"/>
          <w:szCs w:val="28"/>
          <w:lang w:val="uk-UA" w:eastAsia="ru-RU"/>
        </w:rPr>
        <w:t>факультету психології, політології та соціології</w:t>
      </w:r>
    </w:p>
    <w:p w14:paraId="133A1198" w14:textId="11E4FF80" w:rsidR="00AE57E7"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35C1C272" w14:textId="77777777" w:rsidR="00AE57E7" w:rsidRPr="00511005" w:rsidRDefault="00AE57E7" w:rsidP="003A292D">
      <w:pPr>
        <w:spacing w:line="264" w:lineRule="auto"/>
        <w:jc w:val="center"/>
        <w:rPr>
          <w:rFonts w:ascii="Arial" w:eastAsia="Times New Roman" w:hAnsi="Arial" w:cs="Arial"/>
          <w:b/>
          <w:szCs w:val="28"/>
          <w:lang w:val="uk-UA" w:eastAsia="ru-RU"/>
        </w:rPr>
      </w:pPr>
    </w:p>
    <w:p w14:paraId="654D5B2A" w14:textId="77777777" w:rsidR="00AE57E7" w:rsidRPr="00511005" w:rsidRDefault="00AE57E7" w:rsidP="003A292D">
      <w:pPr>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ПСИХОЛОГІЧНІ ОСОБЛИВОСТІ САМООЦІНКИ РОЗЛУЧЕНИХ ОСІБ</w:t>
      </w:r>
    </w:p>
    <w:p w14:paraId="63AF4C99"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Вивчення теми самооцінки розлучених осіб є актуальним тому, що важливо в разі зниження самооцінки відслідкувати та попередити ці негативні тенденції поки з ситуативних змін внаслідок кризової ситуації (розлучення) вони не стали стійкими установками, що можуть у свою чергу негативно впливати на більшість сфер життя особистості.</w:t>
      </w:r>
    </w:p>
    <w:p w14:paraId="571A6A77"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bCs/>
          <w:szCs w:val="28"/>
          <w:lang w:val="uk-UA" w:eastAsia="ru-RU"/>
        </w:rPr>
        <w:t>Мета дослідження</w:t>
      </w:r>
      <w:r w:rsidRPr="00511005">
        <w:rPr>
          <w:rFonts w:ascii="Arial" w:eastAsia="Times New Roman" w:hAnsi="Arial" w:cs="Arial"/>
          <w:b/>
          <w:szCs w:val="28"/>
          <w:lang w:val="uk-UA" w:eastAsia="ru-RU"/>
        </w:rPr>
        <w:t xml:space="preserve"> – </w:t>
      </w:r>
      <w:r w:rsidRPr="00511005">
        <w:rPr>
          <w:rFonts w:ascii="Arial" w:eastAsia="Times New Roman" w:hAnsi="Arial" w:cs="Arial"/>
          <w:szCs w:val="28"/>
          <w:lang w:val="uk-UA" w:eastAsia="ru-RU"/>
        </w:rPr>
        <w:t>дослідити психологічні особливості самооцінки розлучених осіб.</w:t>
      </w:r>
    </w:p>
    <w:p w14:paraId="2B732BC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bCs/>
          <w:szCs w:val="28"/>
          <w:lang w:val="uk-UA" w:eastAsia="ru-RU"/>
        </w:rPr>
        <w:t>Методи та база дослідження.</w:t>
      </w:r>
      <w:r w:rsidRPr="00511005">
        <w:rPr>
          <w:rFonts w:ascii="Arial" w:eastAsia="Times New Roman" w:hAnsi="Arial" w:cs="Arial"/>
          <w:szCs w:val="28"/>
          <w:lang w:val="uk-UA" w:eastAsia="ru-RU"/>
        </w:rPr>
        <w:t xml:space="preserve"> Для емпіричного дослідження особливостей самооцінки розлучених осіб було використано такий комплекс психодіагностичних методик: авторська анкета, тест для визначення рівня самооцінки Б. Уайнхольд.</w:t>
      </w:r>
    </w:p>
    <w:p w14:paraId="7C623A6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Вибірку дослідження складали 60 осіб віком від 17 до 69 років. З них 23.3% вибірки (14 осіб) були розлучені або розійшлися з партнером. 15 осіб (25%) перебували в офіційному шлюбі. 16 осіб (26,6%) мали постійного </w:t>
      </w:r>
      <w:r w:rsidRPr="00511005">
        <w:rPr>
          <w:rFonts w:ascii="Arial" w:eastAsia="Times New Roman" w:hAnsi="Arial" w:cs="Arial"/>
          <w:szCs w:val="28"/>
          <w:lang w:val="uk-UA" w:eastAsia="ru-RU"/>
        </w:rPr>
        <w:lastRenderedPageBreak/>
        <w:t>партнера та не перебували в офіційному шлюбі. 13 осіб (21,6%) не мали партнера, та 2 особи (4,5%) мали статус вдів.</w:t>
      </w:r>
    </w:p>
    <w:p w14:paraId="5F66FFC5" w14:textId="6BA295EF"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bCs/>
          <w:szCs w:val="28"/>
          <w:lang w:val="uk-UA" w:eastAsia="ru-RU"/>
        </w:rPr>
        <w:t>Результати дослідження.</w:t>
      </w:r>
      <w:r w:rsidRPr="00511005">
        <w:rPr>
          <w:rFonts w:ascii="Arial" w:eastAsia="Times New Roman" w:hAnsi="Arial" w:cs="Arial"/>
          <w:b/>
          <w:szCs w:val="28"/>
          <w:lang w:val="uk-UA" w:eastAsia="ru-RU"/>
        </w:rPr>
        <w:t xml:space="preserve"> </w:t>
      </w:r>
      <w:r w:rsidRPr="00511005">
        <w:rPr>
          <w:rFonts w:ascii="Arial" w:eastAsia="Times New Roman" w:hAnsi="Arial" w:cs="Arial"/>
          <w:szCs w:val="28"/>
          <w:lang w:val="uk-UA" w:eastAsia="ru-RU"/>
        </w:rPr>
        <w:t>Дослідження показало наступні тенденції серед вибірки: низьку самооцінку мають 9 осіб (15%). Серед них 2 особи (22,2%) розлучені, 3 особи (33,3%) перебувають в офіційному шлюбі та 4 особи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(44,4%) не перебувають в шлюбі, але мають постійного партнера. Саме серед цієї групи осіб показник низької самооцінки найбільш розповсюджений.</w:t>
      </w:r>
    </w:p>
    <w:p w14:paraId="0D6F02B5"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Середній рвень самооцінки (або за шкалою методики «низьку самооцінку в деяких сферах життя») має найбільша кількість респондентів, 37, що становить 61,7% усієї вибірки. З них 9 респондентів (24,3%) розлучені, така ж сама кількість осіб перебувають в офіційному шлюбі та не мають партнера. Також середню самооцінку мають 8 осіб (21.3%) з категорії тих, хто має постійного партнера, але не перебуває в офіційному шлюбі та двоє вдів (5.4%). Що робить показник середньої самооцінки майже рівномірно розповсюдженим серед всієї вибірки.</w:t>
      </w:r>
    </w:p>
    <w:p w14:paraId="76C7A0EF"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свою чергу високі показники самооцінки мають 13 респондентів (27,7% вибірки) З яких 3 особи (23.3%) розлучені, 2 (15.4%) перебувають в шлюбі, та рівна кількість – 4 особи (30.8%) серед тих, хто має партнера, перебуваючи в громадському шлюбі та тих, хто не має партнера взагалі.</w:t>
      </w:r>
    </w:p>
    <w:p w14:paraId="6375E017" w14:textId="6D2AAE4F"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Загалом такі результати можна пояснити кількома факторами. Вік респондентів. З розлучених ті респонденти, що мають низький та середній рівень самооцінки здебільшого перебувають в віковому діапазоні від 20 до 25 років, а як нам відомо за теорією розвитку особистості Еріксона саме у цей проміжок часу (19-25 років) входить така вікова криза як «Інтимність-Ізоляція» на якій побудові близьких стосунків</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приділяється найбільше уваги, через що розрив з коханою людиною може згубно впливати на самооцінку. </w:t>
      </w:r>
    </w:p>
    <w:p w14:paraId="3C22C885"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У свою чергу середній та високий рівень самооцінки мають розлучені особи віком від 35 до 46 років. Це можна пояснити як простими факторами, наприклад, не перший досвід розлучення, так як цілком вірогідно, що повторний досвід буде переживатися легше. Так і іншими факторами такими як ініціатива розриву: Особи, що були ініціаторами розлучення у більшості випадків не тільки переживають його легше, а й бачать в цьому можливості для саморозвитку. Інші пріоритети: у віці 35-46 років за теорією Еріксона переживається вже інша криза «Продуктивність-Застій» на цьому етапі питання побудови стосунків поступається місцем питанню застою та продуктивності, а саме такими роздумам як «Чи багато я встиг зробити за своє життя?», «Що я залишу після себе?» та інші. Характерологічні особливості: люди з більш жорстким характером можуть легшее переживати кризи ніж навпаки більш м`які за характером люди.</w:t>
      </w:r>
    </w:p>
    <w:p w14:paraId="1D735AF4"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Низьку та середню самооцінку у осіб перебуваючих в шлюбі можна в цілому пояснити тими ж факторами. Вік цих респондентів складає від 20 до </w:t>
      </w:r>
      <w:r w:rsidRPr="00511005">
        <w:rPr>
          <w:rFonts w:ascii="Arial" w:eastAsia="Times New Roman" w:hAnsi="Arial" w:cs="Arial"/>
          <w:szCs w:val="28"/>
          <w:lang w:val="uk-UA" w:eastAsia="ru-RU"/>
        </w:rPr>
        <w:lastRenderedPageBreak/>
        <w:t>49 років. При цьому люди віком 20-25 років знаходяться в діапазоні «низької в декількох сферах життя» (середньої) самооцінки, що може вказувати на більш-менш успішне проходження кризи «Близькість-Ізоляція», У ситуації з віком 35-49 років роль можуть грати такі фактори як задоволеність шлюбом в цілому чи успішність проходження кризи «Продуктивність-застій. Тими ж самими факторами можна пояснити розповсюдженість високої самооцінки серед осіб в шлюбі. Та ця тенденція не така розповсюджена, високу самооцінку мають лише дві особи.</w:t>
      </w:r>
    </w:p>
    <w:p w14:paraId="6D7504CD" w14:textId="22F12A5D"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Серед осіб, що мають партнера не перебуваючи в шлюбі показник низької та середньої самооцінки найвищий у свою чергу вік респондентів 17-45 рокв. Пояснити такі результати можна по різному. Наприклад у 17-18 років людям</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ще притаманно експериментувати з соціальними ролями так як криза «Ідентичність-Рольова сплутаність»</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ще не минула до кінця, а нова соціальна роль може як позитивно так і негативно впливати на самооцінку в залежності від суб’єктивної оцінки успішності виконання цієї ролі. 20-25 років може грати роль усвідомлення неготовності, або навпаки готовності до нових соціальних ролей, що з`являться з можливим вступом в шлюб. У віці 35-45 років низький та середній рівень самооцінки можна пояснити так само, як і серед осіб в шлюбі.</w:t>
      </w:r>
    </w:p>
    <w:p w14:paraId="3D461539"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Особи, що не мають партнера показали один з найвищих результатів за рівнем самооцінки. Серед них нема жодного респондента, хто би мав низькі показники, здебільшого вони середні чи високі при віці респондентів 20-37 років. Це як і у випадку розлучених осіб з такими ж показниками можна пояснити іншими пріоритетами. Відносини просто можуть не бути провідною метою життя людини, натомість цією метою може бути в першу чергу саморозвиток.</w:t>
      </w:r>
    </w:p>
    <w:p w14:paraId="44A90326"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за результатами дослідження можна сказати, що самооцінка розлучених осіб може залежати від таких факторів як суб’єктивний життєвий досвід, ініціація розлучення, характерологічні особливості особистості та вік. Відтак молоді люди віком 20-25 років у разі розлучення схильні до низької або середньої самооцінки через проходження кризи «Близькість-Ізоляція». Тоді як розлучені особи віком 35-46 років мають інші життєві пріоритети та в цілому більш зрілі, тому частіше мають високу самооцінку.</w:t>
      </w:r>
    </w:p>
    <w:p w14:paraId="22EAA1AC" w14:textId="77777777" w:rsidR="00AE57E7" w:rsidRPr="00511005" w:rsidRDefault="00AE57E7" w:rsidP="003A292D">
      <w:pPr>
        <w:spacing w:line="264" w:lineRule="auto"/>
        <w:rPr>
          <w:rFonts w:ascii="Arial" w:eastAsia="Times New Roman" w:hAnsi="Arial" w:cs="Arial"/>
          <w:szCs w:val="28"/>
          <w:lang w:val="uk-UA" w:eastAsia="ru-RU"/>
        </w:rPr>
      </w:pPr>
    </w:p>
    <w:p w14:paraId="1E49074C" w14:textId="0B39C815" w:rsidR="00AE57E7" w:rsidRPr="00511005" w:rsidRDefault="007B2628" w:rsidP="007B2628">
      <w:pPr>
        <w:spacing w:line="264" w:lineRule="auto"/>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Список використаних джерел</w:t>
      </w:r>
    </w:p>
    <w:p w14:paraId="72A9B0D8" w14:textId="77777777" w:rsidR="00AE57E7" w:rsidRPr="00511005" w:rsidRDefault="00AE57E7" w:rsidP="003F6A5D">
      <w:pPr>
        <w:numPr>
          <w:ilvl w:val="0"/>
          <w:numId w:val="757"/>
        </w:numPr>
        <w:spacing w:line="264" w:lineRule="auto"/>
        <w:ind w:left="1134"/>
        <w:contextualSpacing/>
        <w:jc w:val="left"/>
        <w:rPr>
          <w:rFonts w:ascii="Arial" w:eastAsia="Calibri" w:hAnsi="Arial" w:cs="Arial"/>
          <w:szCs w:val="28"/>
          <w:lang w:val="uk-UA"/>
        </w:rPr>
      </w:pPr>
      <w:r w:rsidRPr="00511005">
        <w:rPr>
          <w:rFonts w:ascii="Arial" w:eastAsia="Calibri" w:hAnsi="Arial" w:cs="Arial"/>
          <w:szCs w:val="28"/>
          <w:lang w:val="uk-UA"/>
        </w:rPr>
        <w:t xml:space="preserve">Супріган А. О. Трансформація «Я-образу» особистості в складних життєвих обставинах.Національна академія педагогічних наук україни інститут психології ім. Г. С. Костюка, Київ, 2020. URL: http://psychology-naes-ua.institute/files/pdf/avtoreferat_suprigan_1581341431.pdf </w:t>
      </w:r>
    </w:p>
    <w:p w14:paraId="72F23E2F" w14:textId="3B01399D" w:rsidR="00AE57E7" w:rsidRPr="00511005" w:rsidRDefault="00AE57E7" w:rsidP="003F6A5D">
      <w:pPr>
        <w:numPr>
          <w:ilvl w:val="0"/>
          <w:numId w:val="757"/>
        </w:numPr>
        <w:spacing w:line="264" w:lineRule="auto"/>
        <w:ind w:left="1134"/>
        <w:contextualSpacing/>
        <w:jc w:val="left"/>
        <w:rPr>
          <w:rFonts w:ascii="Arial" w:eastAsia="Calibri" w:hAnsi="Arial" w:cs="Arial"/>
          <w:szCs w:val="28"/>
          <w:lang w:val="uk-UA"/>
        </w:rPr>
      </w:pPr>
      <w:r w:rsidRPr="00511005">
        <w:rPr>
          <w:rFonts w:ascii="Arial" w:eastAsia="Calibri" w:hAnsi="Arial" w:cs="Arial"/>
          <w:szCs w:val="28"/>
          <w:lang w:val="uk-UA"/>
        </w:rPr>
        <w:lastRenderedPageBreak/>
        <w:t>Дячук П. В. Самооцінка, її структура і функції в особистісному розвитку.URL:</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https://dspace.udpu.edu.ua/bitstream/6789/447/1/samoocinka.pdf</w:t>
      </w:r>
    </w:p>
    <w:p w14:paraId="52488AAF" w14:textId="62A5E742"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самооцінка, розлучення, вікова криза, характер, шлюб, вік, стосунки, розвиток.</w:t>
      </w:r>
    </w:p>
    <w:p w14:paraId="43FD2DEC" w14:textId="04E3A6DE" w:rsidR="00AE57E7" w:rsidRPr="00511005" w:rsidRDefault="007B2628" w:rsidP="003A292D">
      <w:pPr>
        <w:spacing w:line="264" w:lineRule="auto"/>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AE57E7" w:rsidRPr="00511005">
        <w:rPr>
          <w:rFonts w:ascii="Arial" w:eastAsia="Times New Roman" w:hAnsi="Arial" w:cs="Arial"/>
          <w:szCs w:val="28"/>
          <w:lang w:val="uk-UA" w:eastAsia="ru-RU"/>
        </w:rPr>
        <w:t>self-esteem, divorce, midlife crisis, character, marriage, age, relationships, development.</w:t>
      </w:r>
    </w:p>
    <w:p w14:paraId="62D7821C" w14:textId="0C36C5C9" w:rsidR="00AE57E7" w:rsidRPr="00511005" w:rsidRDefault="007B2628" w:rsidP="003A292D">
      <w:pPr>
        <w:spacing w:line="264" w:lineRule="auto"/>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AE57E7" w:rsidRPr="00511005">
        <w:rPr>
          <w:rFonts w:ascii="Arial" w:eastAsia="Times New Roman" w:hAnsi="Arial" w:cs="Arial"/>
          <w:i/>
          <w:szCs w:val="28"/>
          <w:lang w:val="uk-UA" w:eastAsia="ru-RU"/>
        </w:rPr>
        <w:t>к.психол.н., доцент Чачко С.Л.</w:t>
      </w:r>
    </w:p>
    <w:p w14:paraId="00A7620A"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p>
    <w:p w14:paraId="3068C265" w14:textId="77777777" w:rsidR="00AE57E7" w:rsidRPr="00511005" w:rsidRDefault="00AE57E7" w:rsidP="003A292D">
      <w:pPr>
        <w:spacing w:line="264" w:lineRule="auto"/>
        <w:ind w:firstLine="142"/>
        <w:jc w:val="center"/>
        <w:rPr>
          <w:rFonts w:ascii="Arial" w:eastAsia="Times New Roman" w:hAnsi="Arial" w:cs="Arial"/>
          <w:b/>
          <w:bCs/>
          <w:i/>
          <w:szCs w:val="28"/>
          <w:shd w:val="clear" w:color="auto" w:fill="FFFFFF"/>
          <w:lang w:val="uk-UA" w:eastAsia="ru-RU"/>
        </w:rPr>
      </w:pPr>
      <w:r w:rsidRPr="00511005">
        <w:rPr>
          <w:rFonts w:ascii="Arial" w:eastAsia="Times New Roman" w:hAnsi="Arial" w:cs="Arial"/>
          <w:b/>
          <w:bCs/>
          <w:i/>
          <w:szCs w:val="28"/>
          <w:shd w:val="clear" w:color="auto" w:fill="FFFFFF"/>
          <w:lang w:val="uk-UA" w:eastAsia="ru-RU"/>
        </w:rPr>
        <w:t>Тітієвський Віталій Олегович</w:t>
      </w:r>
    </w:p>
    <w:p w14:paraId="4280604C" w14:textId="77777777" w:rsidR="009008A5" w:rsidRPr="00511005" w:rsidRDefault="00536AAB" w:rsidP="003A292D">
      <w:pPr>
        <w:spacing w:line="264" w:lineRule="auto"/>
        <w:ind w:firstLine="142"/>
        <w:jc w:val="center"/>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студент 1-го курсу магістратури</w:t>
      </w:r>
      <w:r w:rsidR="00BE3972" w:rsidRPr="00511005">
        <w:rPr>
          <w:rFonts w:ascii="Arial" w:eastAsia="Times New Roman" w:hAnsi="Arial" w:cs="Arial"/>
          <w:iCs/>
          <w:szCs w:val="28"/>
          <w:shd w:val="clear" w:color="auto" w:fill="FFFFFF"/>
          <w:lang w:val="uk-UA" w:eastAsia="ru-RU"/>
        </w:rPr>
        <w:t xml:space="preserve"> </w:t>
      </w:r>
    </w:p>
    <w:p w14:paraId="3DF66F57" w14:textId="6055468C" w:rsidR="00AE57E7" w:rsidRPr="00511005" w:rsidRDefault="00536AAB" w:rsidP="003A292D">
      <w:pPr>
        <w:spacing w:line="264" w:lineRule="auto"/>
        <w:ind w:firstLine="142"/>
        <w:jc w:val="center"/>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факультету адвокатури та антикорупційної діяльності</w:t>
      </w:r>
    </w:p>
    <w:p w14:paraId="321A28FF" w14:textId="0E000AB9" w:rsidR="00AE57E7" w:rsidRPr="00511005" w:rsidRDefault="007B2628" w:rsidP="003A292D">
      <w:pPr>
        <w:spacing w:line="264" w:lineRule="auto"/>
        <w:ind w:firstLine="142"/>
        <w:jc w:val="center"/>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Національного університету «Одеська юридична академія»</w:t>
      </w:r>
    </w:p>
    <w:p w14:paraId="30A38C44"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p>
    <w:p w14:paraId="0D48C713" w14:textId="77777777" w:rsidR="00AE57E7" w:rsidRPr="00511005" w:rsidRDefault="00AE57E7" w:rsidP="003A292D">
      <w:pPr>
        <w:spacing w:line="264" w:lineRule="auto"/>
        <w:ind w:firstLine="0"/>
        <w:jc w:val="center"/>
        <w:rPr>
          <w:rFonts w:ascii="Arial" w:eastAsia="Times New Roman" w:hAnsi="Arial" w:cs="Arial"/>
          <w:b/>
          <w:bCs/>
          <w:iCs/>
          <w:szCs w:val="28"/>
          <w:shd w:val="clear" w:color="auto" w:fill="FFFFFF"/>
          <w:lang w:val="uk-UA" w:eastAsia="ru-RU"/>
        </w:rPr>
      </w:pPr>
      <w:r w:rsidRPr="00511005">
        <w:rPr>
          <w:rFonts w:ascii="Arial" w:eastAsia="Times New Roman" w:hAnsi="Arial" w:cs="Arial"/>
          <w:b/>
          <w:bCs/>
          <w:iCs/>
          <w:szCs w:val="28"/>
          <w:shd w:val="clear" w:color="auto" w:fill="FFFFFF"/>
          <w:lang w:val="uk-UA" w:eastAsia="ru-RU"/>
        </w:rPr>
        <w:t>ПСИХОЛОГІЯ СОЦІАЛЬНОЇ ІНЖЕНЕРІЇ: ЯК НАВИЧКИ КІБЕРГІГІЄНИ ЗАХИЩАЮТЬ КОРИСТУВАЧА</w:t>
      </w:r>
    </w:p>
    <w:p w14:paraId="3C09EA7C"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У сучасному цифровому середовищі, де інформаційні потоки охоплюють усі сфери життя від особистої комунікації до фінансових операцій, значення безпечної взаємодії у кіберпросторі постійно зростає. Людина стає не лише користувачем технологій, а й потенційною мішенню кіберзлочинності, яка дедалі частіше спрямована не на злам технічних систем, а на використання психологічної вразливості. Саме на цьому ґрунті зростає популярність так званих соціоінженерних атак, у яких основний об’єкт впливу – психіка користувача [1]. Зловмисники, використовуючи маніпулятивні прийоми, змушують людину самостійно надавати доступ до конфіденційної інформації, відкривати шкідливі посилання або встановлювати небезпечне програмне забезпечення. У зв’язку з цим, формування навичок кібергігієни як системи звичок і правил безпечної цифрової поведінки є надзвичайно актуальним. Адже саме поєднання технічної обізнаності з психологічною стійкістю формує здатність користувача чинити опір атакам соціальної інженерії.</w:t>
      </w:r>
    </w:p>
    <w:p w14:paraId="637574EE"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Згідно з опитуванням, у 2021 році 83% респондентів зазначили, що їхня організація стала жертвою принаймні однієї успішної фішингової атаки через електронну пошту, що на 4,6% більше порівняно з 2020 роком. Крім того, 78% організацій повідомили про випадки атак із використанням програм-вимагачів, які також здійснювалися електронною поштою [2].</w:t>
      </w:r>
    </w:p>
    <w:p w14:paraId="2C13BF28"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 xml:space="preserve">Проблема полягає в тому, що більшість користувачів, навіть добре обізнаних у базових принципах інформаційної безпеки, не усвідомлюють характеру соціоінженерних загроз, оскільки вони не супроводжуються «технічними» ознаками злому. Наприклад, фішинг, як найпоширеніша форма соціальної інженерії, базується на копіюванні зовнішнього вигляду знайомих ресурсів: банків, поштових служб, державних платформ, із метою </w:t>
      </w:r>
      <w:r w:rsidRPr="00511005">
        <w:rPr>
          <w:rFonts w:ascii="Arial" w:eastAsia="Times New Roman" w:hAnsi="Arial" w:cs="Arial"/>
          <w:iCs/>
          <w:szCs w:val="28"/>
          <w:shd w:val="clear" w:color="auto" w:fill="FFFFFF"/>
          <w:lang w:val="uk-UA" w:eastAsia="ru-RU"/>
        </w:rPr>
        <w:lastRenderedPageBreak/>
        <w:t>викликати довіру й спонукати користувача до дії – натиснути посилання, ввести пароль чи оплатити послугу. Такі атаки часто мають високий рівень персоналізації, що посилює ефект достовірності. Іншими формами є вішинг – телефонні дзвінки від «працівників служби безпеки», які просять підтвердити дані; смишинг – фішинг через SMS-повідомлення; бейтинг – залишення заражених флеш-носіїв у публічних місцях із провокативними мітками [3]. У всіх випадках на перший план виходить емоційна реакція: терміновість, страх, цікавість, почуття провини або довіри до авторитету. Згідно з психологічними дослідженнями, люди у стані стресу або поспіху частіше погоджуються на дії, які у спокійних умовах здалися б підозрілими. Таким чином, соціальна інженерія експлуатує базові когнітивні механізми, що ускладнює її виявлення та протидію.</w:t>
      </w:r>
    </w:p>
    <w:p w14:paraId="0C991C34"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Додаткову складність становить те, що навіть після впровадження технічного захисту – антивірусів, міжмережевих екранів, VPN-з’єднань – користувач залишається вразливим, якщо він самостійно передає доступ до своїх облікових записів. Проблема поглиблюється загальною цифровою неграмотністю, відсутністю освіти з кібергігієни у більшості навчальних закладів, а також недооцінкою психологічного чинника в моделюванні інформаційної безпеки. Особливо вразливою є категорія людей похилого віку, підлітків і працівників установ, які не проходили спеціального навчання або симуляцій атак. Кіберзлочинці дедалі активніше використовують соціальні мережі для збирання персональних даних, на основі яких формуються індивідуальні сценарії впливу, зокрема ті, що апелюють до особистих емоційних зв’язків, інтересів чи цінностей. У корпоративному середовищі це може призводити до витоку внутрішньої інформації, фінансових втрат або пошкодження репутації компанії, що особливо небезпечно у сфері охорони здоров’я, фінансів і державного управління.</w:t>
      </w:r>
    </w:p>
    <w:p w14:paraId="68DBB2FB"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 xml:space="preserve">Усвідомлення загроз соціальної інженерії вимагає зміни парадигми захисту: з технократичної моделі – до поведінкової. Основним рішенням виступає впровадження системи кібергігієнічної освіти, яка повинна стати частиною як загального навчального процесу, так і безперервного професійного розвитку працівників. Важливо, щоб знання не обмежувалися лише теорією, а мали практичне втілення через тренінги, симуляції атак, розбір кейсів та індивідуальну оцінку ризиків. Формування таких навичок, як розпізнавання фішингових повідомлень, верифікація цифрових підписів, перевірка автентичності сайтів, шифрування персональних файлів та застосування багатофакторної автентифікації, має відбуватися систематично. Особливу увагу слід приділяти розвитку критичного мислення, стресостійкості, навичок уповільнення реакції у кризових ситуаціях, що прямо впливає на здатність протистояти психологічному впливу. Крім того, доцільно розробляти візуальні пам’ятки, інструкції з </w:t>
      </w:r>
      <w:r w:rsidRPr="00511005">
        <w:rPr>
          <w:rFonts w:ascii="Arial" w:eastAsia="Times New Roman" w:hAnsi="Arial" w:cs="Arial"/>
          <w:iCs/>
          <w:szCs w:val="28"/>
          <w:shd w:val="clear" w:color="auto" w:fill="FFFFFF"/>
          <w:lang w:val="uk-UA" w:eastAsia="ru-RU"/>
        </w:rPr>
        <w:lastRenderedPageBreak/>
        <w:t>безпеки, онлайн-платформи для самостійного навчання, що зробить знання доступнішими широкому колу користувачів.</w:t>
      </w:r>
    </w:p>
    <w:p w14:paraId="4F6E3AF2"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Організації мають формувати внутрішню політику поведінкової безпеки, яка б включала аналіз інцидентів, аудит обізнаності персоналу, регулярні оцінювання ризиків і оновлення сценаріїв реагування. Ефективності набувають «тестові атаки» без попередження, за результатами яких працівники отримують персоналізований зворотний зв’язок. У державному секторі ключовим завданням має стати створення інтегрованої стратегії національної цифрової обізнаності, яка включатиме інтерактивні кампанії, онлайн-курси, співпрацю з закладами освіти та приватним сектором. На міжнародному рівні вже діють подібні ініціативи, наприклад, «Cyber Aware» у Великій Британії чи кампанії Європейського агентства з кібербезпеки (ENISA), які можуть бути адаптовані в українських реаліях.</w:t>
      </w:r>
    </w:p>
    <w:p w14:paraId="52D8481B"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Таким чином, ефективна протидія соціальній інженерії можлива лише за умови гармонійного поєднання технічних рішень із розвитком поведінкової компетентності користувачів. Кібергігієна перестає бути суто технічною дисципліною – вона набуває психологічного й соціального виміру, охоплюючи знання, навички, мотивацію та культуру безпеки. Тільки системний підхід до цифрової освіти, що враховує особливості сприйняття інформації, емоційні реакції та звички людей, дозволить зменшити вразливість до соціоінженерних атак і забезпечити стійкість як окремих користувачів, так і суспільства загалом у новому цифровому середовищі.</w:t>
      </w:r>
    </w:p>
    <w:p w14:paraId="4E5306C1"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p>
    <w:p w14:paraId="6236F6DF" w14:textId="7AAFDEBF" w:rsidR="00AE57E7" w:rsidRPr="00511005" w:rsidRDefault="007B2628" w:rsidP="007B2628">
      <w:pPr>
        <w:spacing w:line="264" w:lineRule="auto"/>
        <w:jc w:val="center"/>
        <w:rPr>
          <w:rFonts w:ascii="Arial" w:eastAsia="Times New Roman" w:hAnsi="Arial" w:cs="Arial"/>
          <w:b/>
          <w:bCs/>
          <w:iCs/>
          <w:szCs w:val="28"/>
          <w:shd w:val="clear" w:color="auto" w:fill="FFFFFF"/>
          <w:lang w:val="uk-UA" w:eastAsia="ru-RU"/>
        </w:rPr>
      </w:pPr>
      <w:r w:rsidRPr="00511005">
        <w:rPr>
          <w:rFonts w:ascii="Arial" w:eastAsia="Times New Roman" w:hAnsi="Arial" w:cs="Arial"/>
          <w:b/>
          <w:bCs/>
          <w:iCs/>
          <w:szCs w:val="28"/>
          <w:shd w:val="clear" w:color="auto" w:fill="FFFFFF"/>
          <w:lang w:val="uk-UA" w:eastAsia="ru-RU"/>
        </w:rPr>
        <w:t>Список використаних джерел</w:t>
      </w:r>
    </w:p>
    <w:p w14:paraId="71A9C444"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1.</w:t>
      </w:r>
      <w:r w:rsidRPr="00511005">
        <w:rPr>
          <w:rFonts w:ascii="Arial" w:eastAsia="Times New Roman" w:hAnsi="Arial" w:cs="Arial"/>
          <w:iCs/>
          <w:szCs w:val="28"/>
          <w:shd w:val="clear" w:color="auto" w:fill="FFFFFF"/>
          <w:lang w:val="uk-UA" w:eastAsia="ru-RU"/>
        </w:rPr>
        <w:tab/>
        <w:t>What is social engineering?. URL: https://www.ibm.com/think/topics/social-engineering</w:t>
      </w:r>
    </w:p>
    <w:p w14:paraId="18DB5D31"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2.</w:t>
      </w:r>
      <w:r w:rsidRPr="00511005">
        <w:rPr>
          <w:rFonts w:ascii="Arial" w:eastAsia="Times New Roman" w:hAnsi="Arial" w:cs="Arial"/>
          <w:iCs/>
          <w:szCs w:val="28"/>
          <w:shd w:val="clear" w:color="auto" w:fill="FFFFFF"/>
          <w:lang w:val="uk-UA" w:eastAsia="ru-RU"/>
        </w:rPr>
        <w:tab/>
        <w:t>Proofpoint State of the Phish 2022 Report Released. URL: https://www.proofpoint.com/us/newsroom/press-releases/proofpoints-2022-state-phish-report-reveals-email-based-attacks-dominated</w:t>
      </w:r>
    </w:p>
    <w:p w14:paraId="3292D746"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iCs/>
          <w:szCs w:val="28"/>
          <w:shd w:val="clear" w:color="auto" w:fill="FFFFFF"/>
          <w:lang w:val="uk-UA" w:eastAsia="ru-RU"/>
        </w:rPr>
        <w:t>3.</w:t>
      </w:r>
      <w:r w:rsidRPr="00511005">
        <w:rPr>
          <w:rFonts w:ascii="Arial" w:eastAsia="Times New Roman" w:hAnsi="Arial" w:cs="Arial"/>
          <w:iCs/>
          <w:szCs w:val="28"/>
          <w:shd w:val="clear" w:color="auto" w:fill="FFFFFF"/>
          <w:lang w:val="uk-UA" w:eastAsia="ru-RU"/>
        </w:rPr>
        <w:tab/>
        <w:t>7 Types of Social Engineering Attacks Targeting You. URL: https://www.securityhq.com/blog/7-types-of-social-engineering-attacks-targeting-you/</w:t>
      </w:r>
    </w:p>
    <w:p w14:paraId="4659744B"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p>
    <w:p w14:paraId="70CF2F3E" w14:textId="1C893D3F" w:rsidR="00AE57E7" w:rsidRPr="00511005" w:rsidRDefault="007B2628"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b/>
          <w:bCs/>
          <w:i/>
          <w:iCs/>
          <w:szCs w:val="28"/>
          <w:shd w:val="clear" w:color="auto" w:fill="FFFFFF"/>
          <w:lang w:val="uk-UA" w:eastAsia="ru-RU"/>
        </w:rPr>
        <w:t xml:space="preserve">Ключові слова: </w:t>
      </w:r>
      <w:r w:rsidR="00AE57E7" w:rsidRPr="00511005">
        <w:rPr>
          <w:rFonts w:ascii="Arial" w:eastAsia="Times New Roman" w:hAnsi="Arial" w:cs="Arial"/>
          <w:iCs/>
          <w:szCs w:val="28"/>
          <w:shd w:val="clear" w:color="auto" w:fill="FFFFFF"/>
          <w:lang w:val="uk-UA" w:eastAsia="ru-RU"/>
        </w:rPr>
        <w:t>соціальна інженерія, кібергігієна, фішинг, кіберзагрози, інформаційна безпека.</w:t>
      </w:r>
    </w:p>
    <w:p w14:paraId="57546119" w14:textId="11F0F381" w:rsidR="00AE57E7" w:rsidRPr="00511005" w:rsidRDefault="007B2628" w:rsidP="003A292D">
      <w:pPr>
        <w:spacing w:line="264" w:lineRule="auto"/>
        <w:rPr>
          <w:rFonts w:ascii="Arial" w:eastAsia="Times New Roman" w:hAnsi="Arial" w:cs="Arial"/>
          <w:iCs/>
          <w:szCs w:val="28"/>
          <w:shd w:val="clear" w:color="auto" w:fill="FFFFFF"/>
          <w:lang w:val="uk-UA" w:eastAsia="ru-RU"/>
        </w:rPr>
      </w:pPr>
      <w:r w:rsidRPr="00511005">
        <w:rPr>
          <w:rFonts w:ascii="Arial" w:eastAsia="Times New Roman" w:hAnsi="Arial" w:cs="Arial"/>
          <w:b/>
          <w:bCs/>
          <w:i/>
          <w:iCs/>
          <w:szCs w:val="28"/>
          <w:shd w:val="clear" w:color="auto" w:fill="FFFFFF"/>
          <w:lang w:val="uk-UA" w:eastAsia="ru-RU"/>
        </w:rPr>
        <w:t xml:space="preserve">Key words: </w:t>
      </w:r>
      <w:r w:rsidR="00AE57E7" w:rsidRPr="00511005">
        <w:rPr>
          <w:rFonts w:ascii="Arial" w:eastAsia="Times New Roman" w:hAnsi="Arial" w:cs="Arial"/>
          <w:iCs/>
          <w:szCs w:val="28"/>
          <w:shd w:val="clear" w:color="auto" w:fill="FFFFFF"/>
          <w:lang w:val="uk-UA" w:eastAsia="ru-RU"/>
        </w:rPr>
        <w:t>social engineering, cyber hygiene, phishing, cyber threats, information security.</w:t>
      </w:r>
    </w:p>
    <w:p w14:paraId="5B1DD46C" w14:textId="5565DB27" w:rsidR="00AE57E7" w:rsidRPr="00511005" w:rsidRDefault="007B2628" w:rsidP="003A292D">
      <w:pPr>
        <w:spacing w:line="264" w:lineRule="auto"/>
        <w:rPr>
          <w:rFonts w:ascii="Arial" w:eastAsia="Times New Roman" w:hAnsi="Arial" w:cs="Arial"/>
          <w:i/>
          <w:szCs w:val="28"/>
          <w:shd w:val="clear" w:color="auto" w:fill="FFFFFF"/>
          <w:lang w:val="uk-UA" w:eastAsia="ru-RU"/>
        </w:rPr>
      </w:pPr>
      <w:r w:rsidRPr="00511005">
        <w:rPr>
          <w:rFonts w:ascii="Arial" w:eastAsia="Times New Roman" w:hAnsi="Arial" w:cs="Arial"/>
          <w:b/>
          <w:i/>
          <w:szCs w:val="28"/>
          <w:shd w:val="clear" w:color="auto" w:fill="FFFFFF"/>
          <w:lang w:val="uk-UA" w:eastAsia="ru-RU"/>
        </w:rPr>
        <w:t xml:space="preserve">Науковий керівник: </w:t>
      </w:r>
      <w:r w:rsidR="00AE57E7" w:rsidRPr="00511005">
        <w:rPr>
          <w:rFonts w:ascii="Arial" w:eastAsia="Times New Roman" w:hAnsi="Arial" w:cs="Arial"/>
          <w:i/>
          <w:szCs w:val="28"/>
          <w:shd w:val="clear" w:color="auto" w:fill="FFFFFF"/>
          <w:lang w:val="uk-UA" w:eastAsia="ru-RU"/>
        </w:rPr>
        <w:t>к.ю.н., доцент Геращенко О.С.</w:t>
      </w:r>
    </w:p>
    <w:p w14:paraId="226B12FF" w14:textId="77777777" w:rsidR="00AE57E7" w:rsidRPr="00511005" w:rsidRDefault="00AE57E7" w:rsidP="003A292D">
      <w:pPr>
        <w:spacing w:line="264" w:lineRule="auto"/>
        <w:rPr>
          <w:rFonts w:ascii="Arial" w:eastAsia="Times New Roman" w:hAnsi="Arial" w:cs="Arial"/>
          <w:iCs/>
          <w:szCs w:val="28"/>
          <w:shd w:val="clear" w:color="auto" w:fill="FFFFFF"/>
          <w:lang w:val="uk-UA" w:eastAsia="ru-RU"/>
        </w:rPr>
      </w:pPr>
    </w:p>
    <w:p w14:paraId="00C4795D" w14:textId="51FB0B9D" w:rsidR="00AE57E7" w:rsidRPr="00511005" w:rsidRDefault="00AE57E7" w:rsidP="003A292D">
      <w:pPr>
        <w:spacing w:line="264" w:lineRule="auto"/>
        <w:ind w:firstLine="0"/>
        <w:jc w:val="center"/>
        <w:rPr>
          <w:rFonts w:ascii="Arial" w:eastAsia="MS Mincho" w:hAnsi="Arial" w:cs="Arial"/>
          <w:b/>
          <w:bCs/>
          <w:i/>
          <w:iCs/>
          <w:szCs w:val="28"/>
          <w:lang w:val="uk-UA" w:eastAsia="uk-UA"/>
        </w:rPr>
      </w:pPr>
    </w:p>
    <w:p w14:paraId="26F9753B" w14:textId="77777777" w:rsidR="009008A5" w:rsidRPr="00511005" w:rsidRDefault="009008A5" w:rsidP="003A292D">
      <w:pPr>
        <w:spacing w:line="264" w:lineRule="auto"/>
        <w:ind w:firstLine="0"/>
        <w:jc w:val="center"/>
        <w:rPr>
          <w:rFonts w:ascii="Arial" w:eastAsia="MS Mincho" w:hAnsi="Arial" w:cs="Arial"/>
          <w:b/>
          <w:bCs/>
          <w:i/>
          <w:iCs/>
          <w:szCs w:val="28"/>
          <w:lang w:val="uk-UA" w:eastAsia="uk-UA"/>
        </w:rPr>
      </w:pPr>
    </w:p>
    <w:p w14:paraId="0C708528" w14:textId="77777777" w:rsidR="00AE57E7" w:rsidRPr="00511005" w:rsidRDefault="00AE57E7" w:rsidP="003A292D">
      <w:pPr>
        <w:spacing w:line="264" w:lineRule="auto"/>
        <w:ind w:firstLine="0"/>
        <w:jc w:val="center"/>
        <w:rPr>
          <w:rFonts w:ascii="Arial" w:eastAsia="MS Mincho" w:hAnsi="Arial" w:cs="Arial"/>
          <w:b/>
          <w:bCs/>
          <w:i/>
          <w:iCs/>
          <w:szCs w:val="28"/>
          <w:lang w:val="uk-UA" w:eastAsia="uk-UA"/>
        </w:rPr>
      </w:pPr>
      <w:r w:rsidRPr="00511005">
        <w:rPr>
          <w:rFonts w:ascii="Arial" w:eastAsia="MS Mincho" w:hAnsi="Arial" w:cs="Arial"/>
          <w:b/>
          <w:bCs/>
          <w:i/>
          <w:iCs/>
          <w:szCs w:val="28"/>
          <w:lang w:val="uk-UA" w:eastAsia="uk-UA"/>
        </w:rPr>
        <w:lastRenderedPageBreak/>
        <w:t>Флоря Марія Маргарита Олександрівна</w:t>
      </w:r>
    </w:p>
    <w:p w14:paraId="53B114FD" w14:textId="7B287103" w:rsidR="00AE57E7" w:rsidRPr="00511005" w:rsidRDefault="00536AAB" w:rsidP="003A292D">
      <w:pPr>
        <w:spacing w:line="264" w:lineRule="auto"/>
        <w:ind w:firstLine="0"/>
        <w:jc w:val="center"/>
        <w:rPr>
          <w:rFonts w:ascii="Arial" w:eastAsia="MS Mincho" w:hAnsi="Arial" w:cs="Arial"/>
          <w:szCs w:val="28"/>
          <w:lang w:val="uk-UA" w:eastAsia="uk-UA"/>
        </w:rPr>
      </w:pPr>
      <w:r w:rsidRPr="00511005">
        <w:rPr>
          <w:rFonts w:ascii="Arial" w:eastAsia="MS Mincho" w:hAnsi="Arial" w:cs="Arial"/>
          <w:szCs w:val="28"/>
          <w:lang w:val="uk-UA" w:eastAsia="uk-UA"/>
        </w:rPr>
        <w:t>студентка 4-го курсу факультету психології, політології та соціології</w:t>
      </w:r>
    </w:p>
    <w:p w14:paraId="4B7F21DC" w14:textId="7328AE2D" w:rsidR="00AE57E7" w:rsidRPr="00511005" w:rsidRDefault="007B2628" w:rsidP="003A292D">
      <w:pPr>
        <w:spacing w:line="264" w:lineRule="auto"/>
        <w:ind w:firstLine="0"/>
        <w:jc w:val="center"/>
        <w:rPr>
          <w:rFonts w:ascii="Arial" w:eastAsia="MS Mincho" w:hAnsi="Arial" w:cs="Arial"/>
          <w:szCs w:val="28"/>
          <w:lang w:val="uk-UA" w:eastAsia="uk-UA"/>
        </w:rPr>
      </w:pPr>
      <w:r w:rsidRPr="00511005">
        <w:rPr>
          <w:rFonts w:ascii="Arial" w:eastAsia="MS Mincho" w:hAnsi="Arial" w:cs="Arial"/>
          <w:szCs w:val="28"/>
          <w:lang w:val="uk-UA" w:eastAsia="uk-UA"/>
        </w:rPr>
        <w:t>Національного університету «Одеська юридична академія»</w:t>
      </w:r>
    </w:p>
    <w:p w14:paraId="6742E550" w14:textId="77777777" w:rsidR="00AE57E7" w:rsidRPr="00511005" w:rsidRDefault="00AE57E7" w:rsidP="003A292D">
      <w:pPr>
        <w:spacing w:line="264" w:lineRule="auto"/>
        <w:ind w:firstLine="720"/>
        <w:jc w:val="center"/>
        <w:rPr>
          <w:rFonts w:ascii="Arial" w:eastAsia="MS Mincho" w:hAnsi="Arial" w:cs="Arial"/>
          <w:szCs w:val="28"/>
          <w:lang w:val="uk-UA" w:eastAsia="uk-UA"/>
        </w:rPr>
      </w:pPr>
    </w:p>
    <w:p w14:paraId="0C641997" w14:textId="77777777" w:rsidR="00AE57E7" w:rsidRPr="00511005" w:rsidRDefault="00AE57E7" w:rsidP="003A292D">
      <w:pPr>
        <w:spacing w:line="264" w:lineRule="auto"/>
        <w:ind w:firstLine="0"/>
        <w:jc w:val="center"/>
        <w:rPr>
          <w:rFonts w:ascii="Arial" w:eastAsia="MS Mincho" w:hAnsi="Arial" w:cs="Arial"/>
          <w:b/>
          <w:bCs/>
          <w:szCs w:val="28"/>
          <w:lang w:val="uk-UA" w:eastAsia="uk-UA"/>
        </w:rPr>
      </w:pPr>
      <w:r w:rsidRPr="00511005">
        <w:rPr>
          <w:rFonts w:ascii="Arial" w:eastAsia="MS Mincho" w:hAnsi="Arial" w:cs="Arial"/>
          <w:b/>
          <w:bCs/>
          <w:szCs w:val="28"/>
          <w:lang w:val="uk-UA" w:eastAsia="uk-UA"/>
        </w:rPr>
        <w:t>ПСИХОДИНАМІЧНІ ОСОБЛИВОСТІ ФЕНОМЕНУ «ЛЕГКОГО ДОФАМІНУ» В ПІДЛІТКІВ: ЦИФРОВА ЗАЛЕЖНІСТЬ ТА МОЖЛИВОСТІ СИМВОЛІЧНОЇ КОРЕКЦІЇ ЧЕРЕЗ ПСИХОАНАЛІТИЧНИЙ ТРЕНІНГ</w:t>
      </w:r>
    </w:p>
    <w:p w14:paraId="77365C11" w14:textId="77777777" w:rsidR="00AE57E7" w:rsidRPr="00511005" w:rsidRDefault="00AE57E7"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У сучасному інформаційно-цифровому середовищі все частіше спостерігається трансформація мотиваційної та афективної сфер особистості. Особливо виразно ці зміни виявляються в підлітковому віці, коли триває активне становлення Я, системи цінностей, ідентичності та здатності до довільної саморегуляції. Цифрова культура, з її швидкими стимулами та безперервною сенсорною активізацією, формує нову поведінкову парадигму, де головне – не сенс, а миттєве задоволення [2].</w:t>
      </w:r>
    </w:p>
    <w:p w14:paraId="7B76EA70" w14:textId="77777777" w:rsidR="00AE57E7" w:rsidRPr="00511005" w:rsidRDefault="00AE57E7"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«Легкий дофамін» – це умовний термін, який позначає схильність індивіда до частого залучення в поведінку, що забезпечує швидке й короткотривале дофамінергічне підкріплення. Така поведінка зазвичай не потребує значних зусиль чи очікування, характеризується миттєвим задоволенням, високою повторюваністю та може формувати патерни звикання або залежності. Явище пов’язане з функціонуванням мезолімбічного дофамінового шляху, який відповідає за мотивацію, новизну, винагороду та звикання.</w:t>
      </w:r>
    </w:p>
    <w:p w14:paraId="1C0CCB0B" w14:textId="190C9C00" w:rsidR="00AE57E7" w:rsidRPr="00511005" w:rsidRDefault="00AE57E7"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Феномен швидкого дофамінового підкріплення – це концептуальне позначення способу</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функціонування психіки, при якому пріоритет мають короткотривалі імпульсні акти, а не глибинні, значущі переживання. Це зумовлює послаблення витримки, зниження здатності чекати, планувати, витримувати та</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напругу. Підлітки, що перебувають під впливом цього феномену, прагнуть до стимулів, які швидко «виплачують» дофамінову винагороду – перегляд відео, геймінг, соціальні мережі. Але така активація є штучною та в перспективі призводить до емоційного виснаження [2;4].</w:t>
      </w:r>
    </w:p>
    <w:p w14:paraId="31D61E51" w14:textId="77777777" w:rsidR="00AE57E7" w:rsidRPr="00511005" w:rsidRDefault="00AE57E7"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З точки зору психоаналітичного підходу, поведінка з миттєвим дофаміновим зворотним зв’язком є способом уникнення зустрічі з нестачею – тією структурною відсутністю, з якої народжується бажання. Важливим стає не задоволення саме по собі, а символізація цієї нестачі, його означення у внутрішньому психічному просторі. Без цього бажання лишається нефіксованим, неартикульованим і стає залежним від зовнішнього подразника. Внаслідок цього суб’єкт втрачає автономність і повертається до первинних, до-символічних форм регуляції – уникання, злиття, розщеплення [1].</w:t>
      </w:r>
    </w:p>
    <w:p w14:paraId="7E55E18A" w14:textId="77777777" w:rsidR="00AE57E7" w:rsidRPr="00511005" w:rsidRDefault="00AE57E7"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 xml:space="preserve">Окрім того, цифрова залежність часто корелює із зниженням рефлексивних здібностей. У таких підлітків відзначається дефіцит у здатності відокремлювати внутрішні емоційні стани від зовнішніх </w:t>
      </w:r>
      <w:r w:rsidRPr="00511005">
        <w:rPr>
          <w:rFonts w:ascii="Arial" w:eastAsia="Times New Roman" w:hAnsi="Arial" w:cs="Arial"/>
          <w:szCs w:val="28"/>
          <w:lang w:val="uk-UA" w:eastAsia="uk-UA"/>
        </w:rPr>
        <w:lastRenderedPageBreak/>
        <w:t>подразників. Вони демонструють труднощі у витримуванні та регуляції афекту, погано розрізняють емоції, мають тенденцію уникати конфлікти шляхом втечі в онлайн-середовище, що ускладнює формування цілісної Я-концепції, знижує афективну гнучкість та адаптивність [3;5].</w:t>
      </w:r>
    </w:p>
    <w:p w14:paraId="3FBA5C5A" w14:textId="4EC2DDB4" w:rsidR="00AE57E7" w:rsidRPr="00511005" w:rsidRDefault="00AE57E7"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szCs w:val="28"/>
          <w:lang w:val="uk-UA" w:eastAsia="uk-UA"/>
        </w:rPr>
        <w:t>Психоаналітичний тренінг є інтервенційним засобом, спрямованим не на боротьбу із симптомом, а на створення простору для зародження бажання через повернення до символізації досвіду. Метою є допомогти учасникам перейти від автоматичної реакції до усвідомленого вибору; від імпульсу – до паузи, в якій можливе виникнення сенсу. Програма тренінгу була розроблена під час дослідження, яке ми проводили в рамках написання</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бакалаврської роботи. У результаті дослідження було виявлено, що «легкий дофамін» суттєво впливає на психоемоційний і когнітивний стан сучасної молоді. Він сприяє розвитку залежності від швидких форм задоволення, підвищує емоційну нестабільність, знижує стійкість до стресу, погіршує здатність до тривалого зосередження і сприяє переоцінці життєвих цінностей у бік миттєвих насолод на шкоду довгостроковим цілям. Отримані результати вказали на потребу в підвищенні обізнаності молоді про наслідки надмірного захоплення імпульсивним дофаміновим стимулюванням</w:t>
      </w:r>
      <w:r w:rsidR="007B2628" w:rsidRPr="00511005">
        <w:rPr>
          <w:rFonts w:ascii="Arial" w:eastAsia="Times New Roman" w:hAnsi="Arial" w:cs="Arial"/>
          <w:szCs w:val="28"/>
          <w:lang w:val="uk-UA" w:eastAsia="uk-UA"/>
        </w:rPr>
        <w:t xml:space="preserve"> </w:t>
      </w:r>
      <w:r w:rsidRPr="00511005">
        <w:rPr>
          <w:rFonts w:ascii="Arial" w:eastAsia="Times New Roman" w:hAnsi="Arial" w:cs="Arial"/>
          <w:szCs w:val="28"/>
          <w:lang w:val="uk-UA" w:eastAsia="uk-UA"/>
        </w:rPr>
        <w:t>та розробці програм психологічної профілактики цифрової залежності.</w:t>
      </w:r>
    </w:p>
    <w:p w14:paraId="6B75ADDA" w14:textId="77AEE49F" w:rsidR="00AE57E7" w:rsidRPr="00511005" w:rsidRDefault="00AE57E7" w:rsidP="003A292D">
      <w:pPr>
        <w:spacing w:line="264" w:lineRule="auto"/>
        <w:ind w:firstLine="720"/>
        <w:rPr>
          <w:rFonts w:ascii="Arial" w:eastAsia="MS Mincho" w:hAnsi="Arial" w:cs="Arial"/>
          <w:b/>
          <w:bCs/>
          <w:szCs w:val="28"/>
          <w:lang w:val="uk-UA" w:eastAsia="uk-UA"/>
        </w:rPr>
      </w:pPr>
      <w:r w:rsidRPr="00511005">
        <w:rPr>
          <w:rFonts w:ascii="Arial" w:eastAsia="MS Mincho" w:hAnsi="Arial" w:cs="Arial"/>
          <w:szCs w:val="28"/>
          <w:lang w:val="uk-UA" w:eastAsia="uk-UA"/>
        </w:rPr>
        <w:t>За розробленою нами програмою, тренінг триває 3-4 години та складається з трьох тематичних блоків, що реалізуються у межах інтегрованого групового заняття. Робота відбувається у колі однолітків, у середовищі підтримки та відсутності оцінювання,</w:t>
      </w:r>
      <w:r w:rsidR="007B2628" w:rsidRPr="00511005">
        <w:rPr>
          <w:rFonts w:ascii="Arial" w:eastAsia="MS Mincho" w:hAnsi="Arial" w:cs="Arial"/>
          <w:szCs w:val="28"/>
          <w:lang w:val="uk-UA" w:eastAsia="uk-UA"/>
        </w:rPr>
        <w:t xml:space="preserve"> </w:t>
      </w:r>
      <w:r w:rsidRPr="00511005">
        <w:rPr>
          <w:rFonts w:ascii="Arial" w:eastAsia="MS Mincho" w:hAnsi="Arial" w:cs="Arial"/>
          <w:szCs w:val="28"/>
          <w:lang w:val="uk-UA" w:eastAsia="uk-UA"/>
        </w:rPr>
        <w:t xml:space="preserve">що сприяє виникненню символічного діалогу між учасниками та їх власним внутрішнім простором. Назва тренінгу: </w:t>
      </w:r>
      <w:r w:rsidRPr="00511005">
        <w:rPr>
          <w:rFonts w:ascii="Arial" w:eastAsia="MS Mincho" w:hAnsi="Arial" w:cs="Arial"/>
          <w:b/>
          <w:bCs/>
          <w:szCs w:val="28"/>
          <w:lang w:val="uk-UA" w:eastAsia="uk-UA"/>
        </w:rPr>
        <w:t>«Від імпульсу до сенсу: символізація досвіду у цифрову епоху».</w:t>
      </w:r>
    </w:p>
    <w:p w14:paraId="1C9B7723" w14:textId="77777777" w:rsidR="00AE57E7" w:rsidRPr="00511005" w:rsidRDefault="00AE57E7" w:rsidP="003A292D">
      <w:pPr>
        <w:spacing w:line="264" w:lineRule="auto"/>
        <w:ind w:firstLine="720"/>
        <w:rPr>
          <w:rFonts w:ascii="Arial" w:eastAsia="MS Mincho" w:hAnsi="Arial" w:cs="Arial"/>
          <w:b/>
          <w:bCs/>
          <w:szCs w:val="28"/>
          <w:lang w:val="uk-UA" w:eastAsia="uk-UA"/>
        </w:rPr>
      </w:pPr>
      <w:r w:rsidRPr="00511005">
        <w:rPr>
          <w:rFonts w:ascii="Arial" w:eastAsia="MS Mincho" w:hAnsi="Arial" w:cs="Arial"/>
          <w:b/>
          <w:bCs/>
          <w:szCs w:val="28"/>
          <w:lang w:val="uk-UA" w:eastAsia="uk-UA"/>
        </w:rPr>
        <w:t xml:space="preserve">Вступ. </w:t>
      </w:r>
      <w:r w:rsidRPr="00511005">
        <w:rPr>
          <w:rFonts w:ascii="Arial" w:eastAsia="MS Mincho" w:hAnsi="Arial" w:cs="Arial"/>
          <w:szCs w:val="28"/>
          <w:lang w:val="uk-UA" w:eastAsia="uk-UA"/>
        </w:rPr>
        <w:t>Тривалість: 15-20 хв.</w:t>
      </w:r>
      <w:r w:rsidRPr="00511005">
        <w:rPr>
          <w:rFonts w:ascii="Arial" w:eastAsia="MS Mincho" w:hAnsi="Arial" w:cs="Arial"/>
          <w:b/>
          <w:bCs/>
          <w:szCs w:val="28"/>
          <w:lang w:val="uk-UA" w:eastAsia="uk-UA"/>
        </w:rPr>
        <w:t xml:space="preserve"> </w:t>
      </w:r>
      <w:r w:rsidRPr="00511005">
        <w:rPr>
          <w:rFonts w:ascii="Arial" w:eastAsia="MS Mincho" w:hAnsi="Arial" w:cs="Arial"/>
          <w:szCs w:val="28"/>
          <w:lang w:val="uk-UA" w:eastAsia="uk-UA"/>
        </w:rPr>
        <w:t>Знайомство, обговорення цілей і правил (добровільність, конфіденційність, безоцінковість).</w:t>
      </w:r>
      <w:r w:rsidRPr="00511005">
        <w:rPr>
          <w:rFonts w:ascii="Arial" w:eastAsia="MS Mincho" w:hAnsi="Arial" w:cs="Arial"/>
          <w:b/>
          <w:bCs/>
          <w:szCs w:val="28"/>
          <w:lang w:val="uk-UA" w:eastAsia="uk-UA"/>
        </w:rPr>
        <w:t xml:space="preserve"> </w:t>
      </w:r>
      <w:r w:rsidRPr="00511005">
        <w:rPr>
          <w:rFonts w:ascii="Arial" w:eastAsia="MS Mincho" w:hAnsi="Arial" w:cs="Arial"/>
          <w:szCs w:val="28"/>
          <w:lang w:val="uk-UA" w:eastAsia="uk-UA"/>
        </w:rPr>
        <w:t>Коротка міні-лекція про феномен «легкого дофаміну» та його вплив на психіку.</w:t>
      </w:r>
      <w:r w:rsidRPr="00511005">
        <w:rPr>
          <w:rFonts w:ascii="Arial" w:eastAsia="MS Mincho" w:hAnsi="Arial" w:cs="Arial"/>
          <w:b/>
          <w:bCs/>
          <w:szCs w:val="28"/>
          <w:lang w:val="uk-UA" w:eastAsia="uk-UA"/>
        </w:rPr>
        <w:t xml:space="preserve"> </w:t>
      </w:r>
      <w:r w:rsidRPr="00511005">
        <w:rPr>
          <w:rFonts w:ascii="Arial" w:eastAsia="MS Mincho" w:hAnsi="Arial" w:cs="Arial"/>
          <w:szCs w:val="28"/>
          <w:lang w:val="uk-UA" w:eastAsia="uk-UA"/>
        </w:rPr>
        <w:t>Встановлення психологічної безпеки в групі.</w:t>
      </w:r>
    </w:p>
    <w:p w14:paraId="133645C5" w14:textId="77777777" w:rsidR="00AE57E7" w:rsidRPr="00511005" w:rsidRDefault="00AE57E7" w:rsidP="003A292D">
      <w:pPr>
        <w:spacing w:line="264" w:lineRule="auto"/>
        <w:ind w:firstLine="720"/>
        <w:rPr>
          <w:rFonts w:ascii="Arial" w:eastAsia="MS Mincho" w:hAnsi="Arial" w:cs="Arial"/>
          <w:b/>
          <w:bCs/>
          <w:szCs w:val="28"/>
          <w:lang w:val="uk-UA" w:eastAsia="uk-UA"/>
        </w:rPr>
      </w:pPr>
      <w:r w:rsidRPr="00511005">
        <w:rPr>
          <w:rFonts w:ascii="Arial" w:eastAsia="MS Mincho" w:hAnsi="Arial" w:cs="Arial"/>
          <w:b/>
          <w:bCs/>
          <w:szCs w:val="28"/>
          <w:lang w:val="uk-UA" w:eastAsia="uk-UA"/>
        </w:rPr>
        <w:t xml:space="preserve">Блок 1: Усвідомлення імпульсу. </w:t>
      </w:r>
      <w:r w:rsidRPr="00511005">
        <w:rPr>
          <w:rFonts w:ascii="Arial" w:eastAsia="MS Mincho" w:hAnsi="Arial" w:cs="Arial"/>
          <w:szCs w:val="28"/>
          <w:lang w:val="uk-UA" w:eastAsia="uk-UA"/>
        </w:rPr>
        <w:t>Тривалість: 60 хв.</w:t>
      </w:r>
    </w:p>
    <w:p w14:paraId="241F580E" w14:textId="77777777" w:rsidR="00AE57E7" w:rsidRPr="00511005" w:rsidRDefault="00AE57E7" w:rsidP="003A292D">
      <w:pPr>
        <w:spacing w:line="264" w:lineRule="auto"/>
        <w:ind w:firstLine="0"/>
        <w:rPr>
          <w:rFonts w:ascii="Arial" w:eastAsia="MS Mincho" w:hAnsi="Arial" w:cs="Arial"/>
          <w:szCs w:val="28"/>
          <w:lang w:val="uk-UA" w:eastAsia="uk-UA"/>
        </w:rPr>
      </w:pPr>
      <w:r w:rsidRPr="00511005">
        <w:rPr>
          <w:rFonts w:ascii="Arial" w:eastAsia="MS Mincho" w:hAnsi="Arial" w:cs="Arial"/>
          <w:szCs w:val="28"/>
          <w:lang w:val="uk-UA" w:eastAsia="uk-UA"/>
        </w:rPr>
        <w:t>Завдання: розпізнати автоматизовані реакції на зовнішні стимули.</w:t>
      </w:r>
    </w:p>
    <w:p w14:paraId="6181E17B" w14:textId="77777777" w:rsidR="00AE57E7" w:rsidRPr="00511005" w:rsidRDefault="00AE57E7" w:rsidP="003A292D">
      <w:pPr>
        <w:spacing w:line="264" w:lineRule="auto"/>
        <w:ind w:firstLine="0"/>
        <w:rPr>
          <w:rFonts w:ascii="Arial" w:eastAsia="MS Mincho" w:hAnsi="Arial" w:cs="Arial"/>
          <w:szCs w:val="28"/>
          <w:lang w:val="uk-UA" w:eastAsia="uk-UA"/>
        </w:rPr>
      </w:pPr>
      <w:r w:rsidRPr="00511005">
        <w:rPr>
          <w:rFonts w:ascii="Arial" w:eastAsia="MS Mincho" w:hAnsi="Arial" w:cs="Arial"/>
          <w:szCs w:val="28"/>
          <w:lang w:val="uk-UA" w:eastAsia="uk-UA"/>
        </w:rPr>
        <w:t>Методи: Візуально-асоціативні вправи (вільні асоціації на образи: «екран», «натиск», «очікування»); Тілесне сканування («де живе імпульс у тілі?»); Дихальні практики (уповільнення дії через паузу); Малювання імпульсу (образ у кольорі або формі). Рефлексія: обговорення – як виглядає мій імпульс? Чи можу я його зупинити?</w:t>
      </w:r>
    </w:p>
    <w:p w14:paraId="4EB42810" w14:textId="77777777" w:rsidR="00AE57E7" w:rsidRPr="00511005" w:rsidRDefault="00AE57E7" w:rsidP="003A292D">
      <w:pPr>
        <w:spacing w:line="264" w:lineRule="auto"/>
        <w:ind w:firstLine="720"/>
        <w:rPr>
          <w:rFonts w:ascii="Arial" w:eastAsia="MS Mincho" w:hAnsi="Arial" w:cs="Arial"/>
          <w:b/>
          <w:bCs/>
          <w:szCs w:val="28"/>
          <w:lang w:val="uk-UA" w:eastAsia="uk-UA"/>
        </w:rPr>
      </w:pPr>
      <w:r w:rsidRPr="00511005">
        <w:rPr>
          <w:rFonts w:ascii="Arial" w:eastAsia="MS Mincho" w:hAnsi="Arial" w:cs="Arial"/>
          <w:b/>
          <w:bCs/>
          <w:szCs w:val="28"/>
          <w:lang w:val="uk-UA" w:eastAsia="uk-UA"/>
        </w:rPr>
        <w:t xml:space="preserve">Блок 2: Переживання порожнечі. </w:t>
      </w:r>
      <w:r w:rsidRPr="00511005">
        <w:rPr>
          <w:rFonts w:ascii="Arial" w:eastAsia="MS Mincho" w:hAnsi="Arial" w:cs="Arial"/>
          <w:szCs w:val="28"/>
          <w:lang w:val="uk-UA" w:eastAsia="uk-UA"/>
        </w:rPr>
        <w:t>Тривалість: 60-75 хв.</w:t>
      </w:r>
    </w:p>
    <w:p w14:paraId="7071DBBB" w14:textId="77777777" w:rsidR="00AE57E7" w:rsidRPr="00511005" w:rsidRDefault="00AE57E7" w:rsidP="003A292D">
      <w:pPr>
        <w:spacing w:line="264" w:lineRule="auto"/>
        <w:ind w:firstLine="0"/>
        <w:rPr>
          <w:rFonts w:ascii="Arial" w:eastAsia="MS Mincho" w:hAnsi="Arial" w:cs="Arial"/>
          <w:b/>
          <w:bCs/>
          <w:szCs w:val="28"/>
          <w:lang w:val="uk-UA" w:eastAsia="uk-UA"/>
        </w:rPr>
      </w:pPr>
      <w:r w:rsidRPr="00511005">
        <w:rPr>
          <w:rFonts w:ascii="Arial" w:eastAsia="MS Mincho" w:hAnsi="Arial" w:cs="Arial"/>
          <w:szCs w:val="28"/>
          <w:lang w:val="uk-UA" w:eastAsia="uk-UA"/>
        </w:rPr>
        <w:t>Завдання: дослідити внутрішній простір у стані відсутності стимулу.</w:t>
      </w:r>
    </w:p>
    <w:p w14:paraId="5B0780AE" w14:textId="77777777" w:rsidR="00AE57E7" w:rsidRPr="00511005" w:rsidRDefault="00AE57E7" w:rsidP="003A292D">
      <w:pPr>
        <w:spacing w:line="264" w:lineRule="auto"/>
        <w:ind w:firstLine="0"/>
        <w:rPr>
          <w:rFonts w:ascii="Arial" w:eastAsia="MS Mincho" w:hAnsi="Arial" w:cs="Arial"/>
          <w:szCs w:val="28"/>
          <w:lang w:val="uk-UA" w:eastAsia="uk-UA"/>
        </w:rPr>
      </w:pPr>
      <w:r w:rsidRPr="00511005">
        <w:rPr>
          <w:rFonts w:ascii="Arial" w:eastAsia="MS Mincho" w:hAnsi="Arial" w:cs="Arial"/>
          <w:szCs w:val="28"/>
          <w:lang w:val="uk-UA" w:eastAsia="uk-UA"/>
        </w:rPr>
        <w:t xml:space="preserve">Методи: Практика «не натискати» – 10 хвилин без жодної дії; Написання короткої історії «Що буде, якщо я не отримаю бажаного?»; Групова вправа «Фрустраційна пауза» – завдання, яке навмисно затягується; Обговорення </w:t>
      </w:r>
      <w:r w:rsidRPr="00511005">
        <w:rPr>
          <w:rFonts w:ascii="Arial" w:eastAsia="MS Mincho" w:hAnsi="Arial" w:cs="Arial"/>
          <w:szCs w:val="28"/>
          <w:lang w:val="uk-UA" w:eastAsia="uk-UA"/>
        </w:rPr>
        <w:lastRenderedPageBreak/>
        <w:t>феномену нудьги як точки народження бажання. Рефлексія: які почуття виникають у порожнечі? Що я несу з собою з неї?</w:t>
      </w:r>
    </w:p>
    <w:p w14:paraId="49E074D8" w14:textId="77777777" w:rsidR="00AE57E7" w:rsidRPr="00511005" w:rsidRDefault="00AE57E7" w:rsidP="003A292D">
      <w:pPr>
        <w:spacing w:line="264" w:lineRule="auto"/>
        <w:ind w:firstLine="720"/>
        <w:rPr>
          <w:rFonts w:ascii="Arial" w:eastAsia="MS Mincho" w:hAnsi="Arial" w:cs="Arial"/>
          <w:szCs w:val="28"/>
          <w:lang w:val="uk-UA" w:eastAsia="uk-UA"/>
        </w:rPr>
      </w:pPr>
      <w:r w:rsidRPr="00511005">
        <w:rPr>
          <w:rFonts w:ascii="Arial" w:eastAsia="MS Mincho" w:hAnsi="Arial" w:cs="Arial"/>
          <w:b/>
          <w:bCs/>
          <w:szCs w:val="28"/>
          <w:lang w:val="uk-UA" w:eastAsia="uk-UA"/>
        </w:rPr>
        <w:t xml:space="preserve">Блок 3: Символізація переживання. </w:t>
      </w:r>
      <w:r w:rsidRPr="00511005">
        <w:rPr>
          <w:rFonts w:ascii="Arial" w:eastAsia="MS Mincho" w:hAnsi="Arial" w:cs="Arial"/>
          <w:szCs w:val="28"/>
          <w:lang w:val="uk-UA" w:eastAsia="uk-UA"/>
        </w:rPr>
        <w:t>Тривалість: 60 хв.</w:t>
      </w:r>
    </w:p>
    <w:p w14:paraId="42EF4FF2" w14:textId="77777777" w:rsidR="00AE57E7" w:rsidRPr="00511005" w:rsidRDefault="00AE57E7" w:rsidP="003A292D">
      <w:pPr>
        <w:spacing w:line="264" w:lineRule="auto"/>
        <w:ind w:firstLine="0"/>
        <w:rPr>
          <w:rFonts w:ascii="Arial" w:eastAsia="MS Mincho" w:hAnsi="Arial" w:cs="Arial"/>
          <w:szCs w:val="28"/>
          <w:lang w:val="uk-UA" w:eastAsia="uk-UA"/>
        </w:rPr>
      </w:pPr>
      <w:r w:rsidRPr="00511005">
        <w:rPr>
          <w:rFonts w:ascii="Arial" w:eastAsia="MS Mincho" w:hAnsi="Arial" w:cs="Arial"/>
          <w:szCs w:val="28"/>
          <w:lang w:val="uk-UA" w:eastAsia="uk-UA"/>
        </w:rPr>
        <w:t>Завдання: надати імпульсу, фрустрації або досвіду символічну форму.</w:t>
      </w:r>
    </w:p>
    <w:p w14:paraId="71DAC9B5" w14:textId="77777777" w:rsidR="00AE57E7" w:rsidRPr="00511005" w:rsidRDefault="00AE57E7" w:rsidP="003A292D">
      <w:pPr>
        <w:spacing w:line="264" w:lineRule="auto"/>
        <w:ind w:firstLine="0"/>
        <w:rPr>
          <w:rFonts w:ascii="Arial" w:eastAsia="MS Mincho" w:hAnsi="Arial" w:cs="Arial"/>
          <w:szCs w:val="28"/>
          <w:lang w:val="uk-UA" w:eastAsia="uk-UA"/>
        </w:rPr>
      </w:pPr>
      <w:r w:rsidRPr="00511005">
        <w:rPr>
          <w:rFonts w:ascii="Arial" w:eastAsia="MS Mincho" w:hAnsi="Arial" w:cs="Arial"/>
          <w:szCs w:val="28"/>
          <w:lang w:val="uk-UA" w:eastAsia="uk-UA"/>
        </w:rPr>
        <w:t>Методи: Створення символу стану (малюнок, метафора, колаж); Мінітекст: «Мій новий вибір» (3-5 речень); Презентація образів у групі без аналізу – лише з фокусом на відчуття. Рефлексія: що я можу назвати? Що отримало форму? Що стало моїм?</w:t>
      </w:r>
    </w:p>
    <w:p w14:paraId="717919F0" w14:textId="77777777" w:rsidR="00AE57E7" w:rsidRPr="00511005" w:rsidRDefault="00AE57E7" w:rsidP="003A292D">
      <w:pPr>
        <w:spacing w:line="264" w:lineRule="auto"/>
        <w:ind w:firstLine="720"/>
        <w:rPr>
          <w:rFonts w:ascii="Arial" w:eastAsia="MS Mincho" w:hAnsi="Arial" w:cs="Arial"/>
          <w:b/>
          <w:bCs/>
          <w:szCs w:val="28"/>
          <w:lang w:val="uk-UA" w:eastAsia="uk-UA"/>
        </w:rPr>
      </w:pPr>
      <w:r w:rsidRPr="00511005">
        <w:rPr>
          <w:rFonts w:ascii="Arial" w:eastAsia="MS Mincho" w:hAnsi="Arial" w:cs="Arial"/>
          <w:b/>
          <w:bCs/>
          <w:szCs w:val="28"/>
          <w:lang w:val="uk-UA" w:eastAsia="uk-UA"/>
        </w:rPr>
        <w:t>Завершення.</w:t>
      </w:r>
      <w:r w:rsidRPr="00511005">
        <w:rPr>
          <w:rFonts w:ascii="Arial" w:eastAsia="MS Mincho" w:hAnsi="Arial" w:cs="Arial"/>
          <w:szCs w:val="28"/>
          <w:lang w:eastAsia="ru-RU"/>
        </w:rPr>
        <w:t xml:space="preserve"> </w:t>
      </w:r>
      <w:r w:rsidRPr="00511005">
        <w:rPr>
          <w:rFonts w:ascii="Arial" w:eastAsia="MS Mincho" w:hAnsi="Arial" w:cs="Arial"/>
          <w:szCs w:val="28"/>
          <w:lang w:val="uk-UA" w:eastAsia="uk-UA"/>
        </w:rPr>
        <w:t>Тривалість: 15-20 хв.</w:t>
      </w:r>
      <w:r w:rsidRPr="00511005">
        <w:rPr>
          <w:rFonts w:ascii="Arial" w:eastAsia="MS Mincho" w:hAnsi="Arial" w:cs="Arial"/>
          <w:b/>
          <w:bCs/>
          <w:szCs w:val="28"/>
          <w:lang w:val="uk-UA" w:eastAsia="uk-UA"/>
        </w:rPr>
        <w:t xml:space="preserve"> </w:t>
      </w:r>
      <w:r w:rsidRPr="00511005">
        <w:rPr>
          <w:rFonts w:ascii="Arial" w:eastAsia="MS Mincho" w:hAnsi="Arial" w:cs="Arial"/>
          <w:szCs w:val="28"/>
          <w:lang w:val="uk-UA" w:eastAsia="uk-UA"/>
        </w:rPr>
        <w:t>Коло завершення: «Що я беру з собою?»</w:t>
      </w:r>
    </w:p>
    <w:p w14:paraId="4DE50FB0" w14:textId="77777777" w:rsidR="00AE57E7" w:rsidRPr="00511005" w:rsidRDefault="00AE57E7" w:rsidP="003A292D">
      <w:pPr>
        <w:spacing w:line="264" w:lineRule="auto"/>
        <w:ind w:firstLine="0"/>
        <w:rPr>
          <w:rFonts w:ascii="Arial" w:eastAsia="MS Mincho" w:hAnsi="Arial" w:cs="Arial"/>
          <w:szCs w:val="28"/>
          <w:lang w:val="uk-UA" w:eastAsia="uk-UA"/>
        </w:rPr>
      </w:pPr>
      <w:r w:rsidRPr="00511005">
        <w:rPr>
          <w:rFonts w:ascii="Arial" w:eastAsia="MS Mincho" w:hAnsi="Arial" w:cs="Arial"/>
          <w:szCs w:val="28"/>
          <w:lang w:val="uk-UA" w:eastAsia="uk-UA"/>
        </w:rPr>
        <w:t>Коротке анкетування щодо самопочуття та вражень. Поради з саморефлексії та ресурсного дозування цифрових практик.</w:t>
      </w:r>
    </w:p>
    <w:p w14:paraId="6797A462" w14:textId="77777777" w:rsidR="00AE57E7" w:rsidRPr="00511005" w:rsidRDefault="00AE57E7" w:rsidP="003A292D">
      <w:pPr>
        <w:spacing w:line="264" w:lineRule="auto"/>
        <w:ind w:firstLine="720"/>
        <w:rPr>
          <w:rFonts w:ascii="Arial" w:eastAsia="MS Mincho" w:hAnsi="Arial" w:cs="Arial"/>
          <w:szCs w:val="28"/>
          <w:lang w:val="uk-UA" w:eastAsia="uk-UA"/>
        </w:rPr>
      </w:pPr>
      <w:r w:rsidRPr="00511005">
        <w:rPr>
          <w:rFonts w:ascii="Arial" w:eastAsia="MS Mincho" w:hAnsi="Arial" w:cs="Arial"/>
          <w:szCs w:val="28"/>
          <w:lang w:val="uk-UA" w:eastAsia="uk-UA"/>
        </w:rPr>
        <w:t>В результаті проведення тренінгу очікуються наступні результати:</w:t>
      </w:r>
      <w:r w:rsidRPr="00511005">
        <w:rPr>
          <w:rFonts w:ascii="Arial" w:eastAsia="MS Mincho" w:hAnsi="Arial" w:cs="Arial"/>
          <w:szCs w:val="28"/>
          <w:lang w:val="uk-UA" w:eastAsia="ru-RU"/>
        </w:rPr>
        <w:t xml:space="preserve"> </w:t>
      </w:r>
      <w:r w:rsidRPr="00511005">
        <w:rPr>
          <w:rFonts w:ascii="Arial" w:eastAsia="MS Mincho" w:hAnsi="Arial" w:cs="Arial"/>
          <w:szCs w:val="28"/>
          <w:lang w:val="uk-UA" w:eastAsia="uk-UA"/>
        </w:rPr>
        <w:t>підвищення здатності до емоційної саморегуляції; розвиток навичок рефлексії й відтермінування задоволення; усвідомлення внутрішніх станів через символізацію; профілактика залежної поведінки в онлайн-середовищі.</w:t>
      </w:r>
    </w:p>
    <w:p w14:paraId="3F8A2E73" w14:textId="77777777" w:rsidR="00AE57E7" w:rsidRPr="00511005" w:rsidRDefault="00AE57E7" w:rsidP="003A292D">
      <w:pPr>
        <w:spacing w:line="264" w:lineRule="auto"/>
        <w:ind w:firstLine="720"/>
        <w:rPr>
          <w:rFonts w:ascii="Arial" w:eastAsia="MS Mincho" w:hAnsi="Arial" w:cs="Arial"/>
          <w:szCs w:val="28"/>
          <w:lang w:val="uk-UA" w:eastAsia="uk-UA"/>
        </w:rPr>
      </w:pPr>
      <w:r w:rsidRPr="00511005">
        <w:rPr>
          <w:rFonts w:ascii="Arial" w:eastAsia="MS Mincho" w:hAnsi="Arial" w:cs="Arial"/>
          <w:szCs w:val="28"/>
          <w:lang w:val="uk-UA" w:eastAsia="uk-UA"/>
        </w:rPr>
        <w:t>Запропонована програма психоаналітичного тренінгу стала відповіддю на виявлену психологічну потребу. Її структура сприяє розвитку здатності зупиняти імпульс, витримувати порожнечу та надавати власному досвіду символічної форми. Такий підхід дозволяє не просто боротися із симптомами цифрової залежності, а формує глибшу психічну здатність до осмислення, саморефлексії та свідомого вибору.</w:t>
      </w:r>
    </w:p>
    <w:p w14:paraId="3324CC5E" w14:textId="77777777" w:rsidR="00AE57E7" w:rsidRPr="00511005" w:rsidRDefault="00AE57E7" w:rsidP="003A292D">
      <w:pPr>
        <w:spacing w:line="264" w:lineRule="auto"/>
        <w:ind w:firstLine="720"/>
        <w:rPr>
          <w:rFonts w:ascii="Arial" w:eastAsia="MS Mincho" w:hAnsi="Arial" w:cs="Arial"/>
          <w:szCs w:val="28"/>
          <w:lang w:val="uk-UA" w:eastAsia="uk-UA"/>
        </w:rPr>
      </w:pPr>
      <w:r w:rsidRPr="00511005">
        <w:rPr>
          <w:rFonts w:ascii="Arial" w:eastAsia="MS Mincho" w:hAnsi="Arial" w:cs="Arial"/>
          <w:szCs w:val="28"/>
          <w:lang w:val="uk-UA" w:eastAsia="uk-UA"/>
        </w:rPr>
        <w:t>Таким чином, психоаналітичний тренінг у контексті феномену «легкого дофаміну» можна розглядати як ефективний інструмент первинної психологічної профілактики, який активує внутрішні ресурси особистості та підтримує становлення її автономної суб’єктності в умовах цифрової реальності.</w:t>
      </w:r>
    </w:p>
    <w:p w14:paraId="25C0FCC7" w14:textId="77777777" w:rsidR="00AE57E7" w:rsidRPr="00511005" w:rsidRDefault="00AE57E7" w:rsidP="003A292D">
      <w:pPr>
        <w:spacing w:line="264" w:lineRule="auto"/>
        <w:ind w:firstLine="720"/>
        <w:jc w:val="center"/>
        <w:rPr>
          <w:rFonts w:ascii="Arial" w:eastAsia="MS Mincho" w:hAnsi="Arial" w:cs="Arial"/>
          <w:b/>
          <w:bCs/>
          <w:szCs w:val="28"/>
          <w:lang w:val="uk-UA" w:eastAsia="uk-UA"/>
        </w:rPr>
      </w:pPr>
    </w:p>
    <w:p w14:paraId="77AE34D5" w14:textId="7128826F" w:rsidR="00AE57E7" w:rsidRPr="00511005" w:rsidRDefault="007B2628" w:rsidP="007B2628">
      <w:pPr>
        <w:tabs>
          <w:tab w:val="left" w:pos="993"/>
        </w:tabs>
        <w:spacing w:line="264" w:lineRule="auto"/>
        <w:ind w:firstLine="720"/>
        <w:jc w:val="center"/>
        <w:rPr>
          <w:rFonts w:ascii="Arial" w:eastAsia="MS Mincho" w:hAnsi="Arial" w:cs="Arial"/>
          <w:b/>
          <w:bCs/>
          <w:szCs w:val="28"/>
          <w:lang w:val="uk-UA" w:eastAsia="uk-UA"/>
        </w:rPr>
      </w:pPr>
      <w:r w:rsidRPr="00511005">
        <w:rPr>
          <w:rFonts w:ascii="Arial" w:eastAsia="MS Mincho" w:hAnsi="Arial" w:cs="Arial"/>
          <w:b/>
          <w:bCs/>
          <w:szCs w:val="28"/>
          <w:lang w:val="uk-UA" w:eastAsia="uk-UA"/>
        </w:rPr>
        <w:t>Список використаних джерел</w:t>
      </w:r>
    </w:p>
    <w:p w14:paraId="712DC7B6" w14:textId="77777777" w:rsidR="00AE57E7" w:rsidRPr="00511005" w:rsidRDefault="00AE57E7" w:rsidP="003F6A5D">
      <w:pPr>
        <w:numPr>
          <w:ilvl w:val="0"/>
          <w:numId w:val="756"/>
        </w:numPr>
        <w:tabs>
          <w:tab w:val="left" w:pos="993"/>
        </w:tabs>
        <w:spacing w:line="264" w:lineRule="auto"/>
        <w:ind w:firstLine="720"/>
        <w:contextualSpacing/>
        <w:jc w:val="left"/>
        <w:rPr>
          <w:rFonts w:ascii="Arial" w:eastAsia="MS Mincho" w:hAnsi="Arial" w:cs="Arial"/>
          <w:szCs w:val="28"/>
          <w:lang w:val="uk-UA" w:eastAsia="ru-RU"/>
        </w:rPr>
      </w:pPr>
      <w:r w:rsidRPr="00511005">
        <w:rPr>
          <w:rFonts w:ascii="Arial" w:eastAsia="MS Mincho" w:hAnsi="Arial" w:cs="Arial"/>
          <w:szCs w:val="28"/>
          <w:lang w:val="uk-UA" w:eastAsia="ru-RU"/>
        </w:rPr>
        <w:t xml:space="preserve">Ryan, R. M., &amp; Deci, E. L. (2020). Intrinsic and extrinsic motivation from a self-determination theory perspective. </w:t>
      </w:r>
      <w:r w:rsidRPr="00511005">
        <w:rPr>
          <w:rFonts w:ascii="Arial" w:eastAsia="MS Mincho" w:hAnsi="Arial" w:cs="Arial"/>
          <w:i/>
          <w:iCs/>
          <w:szCs w:val="28"/>
          <w:lang w:val="uk-UA" w:eastAsia="ru-RU"/>
        </w:rPr>
        <w:t>Contemporary Educational Psychology</w:t>
      </w:r>
      <w:r w:rsidRPr="00511005">
        <w:rPr>
          <w:rFonts w:ascii="Arial" w:eastAsia="MS Mincho" w:hAnsi="Arial" w:cs="Arial"/>
          <w:szCs w:val="28"/>
          <w:lang w:val="uk-UA" w:eastAsia="ru-RU"/>
        </w:rPr>
        <w:t>, 61, 101860. URL: https://www.sciencedirect.com/science/article/pii/S0361476X20300254 (дата звернення: 07.05.2025).</w:t>
      </w:r>
    </w:p>
    <w:p w14:paraId="04538689" w14:textId="77777777" w:rsidR="00AE57E7" w:rsidRPr="00511005" w:rsidRDefault="00AE57E7" w:rsidP="003F6A5D">
      <w:pPr>
        <w:numPr>
          <w:ilvl w:val="0"/>
          <w:numId w:val="756"/>
        </w:numPr>
        <w:tabs>
          <w:tab w:val="left" w:pos="993"/>
        </w:tabs>
        <w:spacing w:line="264" w:lineRule="auto"/>
        <w:ind w:firstLine="720"/>
        <w:contextualSpacing/>
        <w:jc w:val="left"/>
        <w:rPr>
          <w:rFonts w:ascii="Arial" w:eastAsia="MS Mincho" w:hAnsi="Arial" w:cs="Arial"/>
          <w:szCs w:val="28"/>
          <w:lang w:val="uk-UA" w:eastAsia="ru-RU"/>
        </w:rPr>
      </w:pPr>
      <w:r w:rsidRPr="00511005">
        <w:rPr>
          <w:rFonts w:ascii="Arial" w:eastAsia="MS Mincho" w:hAnsi="Arial" w:cs="Arial"/>
          <w:szCs w:val="28"/>
          <w:lang w:val="en-US" w:eastAsia="ru-RU"/>
        </w:rPr>
        <w:t xml:space="preserve">Lembke, A. (2021). </w:t>
      </w:r>
      <w:r w:rsidRPr="00511005">
        <w:rPr>
          <w:rFonts w:ascii="Arial" w:eastAsia="MS Mincho" w:hAnsi="Arial" w:cs="Arial"/>
          <w:i/>
          <w:iCs/>
          <w:szCs w:val="28"/>
          <w:lang w:val="en-US" w:eastAsia="ru-RU"/>
        </w:rPr>
        <w:t>Dopamine Nation: Finding Balance in the Age of Indulgence</w:t>
      </w:r>
      <w:r w:rsidRPr="00511005">
        <w:rPr>
          <w:rFonts w:ascii="Arial" w:eastAsia="MS Mincho" w:hAnsi="Arial" w:cs="Arial"/>
          <w:szCs w:val="28"/>
          <w:lang w:val="en-US" w:eastAsia="ru-RU"/>
        </w:rPr>
        <w:t>. Dutton. URL: https://www.researchgate.net/publication/365496020_Dopamine_Nation_Finding_Balance_in_the_Age_of_Indulgence_by_Anna_Lembke_New_York_Dutton_2021 (</w:t>
      </w:r>
      <w:r w:rsidRPr="00511005">
        <w:rPr>
          <w:rFonts w:ascii="Arial" w:eastAsia="MS Mincho" w:hAnsi="Arial" w:cs="Arial"/>
          <w:szCs w:val="28"/>
          <w:lang w:eastAsia="ru-RU"/>
        </w:rPr>
        <w:t>дата</w:t>
      </w:r>
      <w:r w:rsidRPr="00511005">
        <w:rPr>
          <w:rFonts w:ascii="Arial" w:eastAsia="MS Mincho" w:hAnsi="Arial" w:cs="Arial"/>
          <w:szCs w:val="28"/>
          <w:lang w:val="en-US" w:eastAsia="ru-RU"/>
        </w:rPr>
        <w:t xml:space="preserve"> </w:t>
      </w:r>
      <w:r w:rsidRPr="00511005">
        <w:rPr>
          <w:rFonts w:ascii="Arial" w:eastAsia="MS Mincho" w:hAnsi="Arial" w:cs="Arial"/>
          <w:szCs w:val="28"/>
          <w:lang w:eastAsia="ru-RU"/>
        </w:rPr>
        <w:t>звернення</w:t>
      </w:r>
      <w:r w:rsidRPr="00511005">
        <w:rPr>
          <w:rFonts w:ascii="Arial" w:eastAsia="MS Mincho" w:hAnsi="Arial" w:cs="Arial"/>
          <w:szCs w:val="28"/>
          <w:lang w:val="en-US" w:eastAsia="ru-RU"/>
        </w:rPr>
        <w:t>: 07.05.2025).</w:t>
      </w:r>
    </w:p>
    <w:p w14:paraId="135CDB29" w14:textId="77777777" w:rsidR="00AE57E7" w:rsidRPr="00511005" w:rsidRDefault="00AE57E7" w:rsidP="003F6A5D">
      <w:pPr>
        <w:numPr>
          <w:ilvl w:val="0"/>
          <w:numId w:val="756"/>
        </w:numPr>
        <w:tabs>
          <w:tab w:val="left" w:pos="993"/>
        </w:tabs>
        <w:spacing w:line="264" w:lineRule="auto"/>
        <w:ind w:firstLine="720"/>
        <w:contextualSpacing/>
        <w:jc w:val="left"/>
        <w:rPr>
          <w:rFonts w:ascii="Arial" w:eastAsia="MS Mincho" w:hAnsi="Arial" w:cs="Arial"/>
          <w:szCs w:val="28"/>
          <w:lang w:val="uk-UA" w:eastAsia="ru-RU"/>
        </w:rPr>
      </w:pPr>
      <w:r w:rsidRPr="00511005">
        <w:rPr>
          <w:rFonts w:ascii="Arial" w:eastAsia="MS Mincho" w:hAnsi="Arial" w:cs="Arial"/>
          <w:szCs w:val="28"/>
          <w:lang w:val="uk-UA" w:eastAsia="ru-RU"/>
        </w:rPr>
        <w:t xml:space="preserve">Twenge, J. M., Spitzberg, B. H., &amp; Campbell, W. K. (2019). Less in-person social interaction with peers among U.S. adolescents in the 21st century and links to loneliness. </w:t>
      </w:r>
      <w:r w:rsidRPr="00511005">
        <w:rPr>
          <w:rFonts w:ascii="Arial" w:eastAsia="MS Mincho" w:hAnsi="Arial" w:cs="Arial"/>
          <w:i/>
          <w:iCs/>
          <w:szCs w:val="28"/>
          <w:lang w:val="uk-UA" w:eastAsia="ru-RU"/>
        </w:rPr>
        <w:t xml:space="preserve">Journal of Social and Personal </w:t>
      </w:r>
      <w:r w:rsidRPr="00511005">
        <w:rPr>
          <w:rFonts w:ascii="Arial" w:eastAsia="MS Mincho" w:hAnsi="Arial" w:cs="Arial"/>
          <w:i/>
          <w:iCs/>
          <w:szCs w:val="28"/>
          <w:lang w:val="uk-UA" w:eastAsia="ru-RU"/>
        </w:rPr>
        <w:lastRenderedPageBreak/>
        <w:t>Relationships</w:t>
      </w:r>
      <w:r w:rsidRPr="00511005">
        <w:rPr>
          <w:rFonts w:ascii="Arial" w:eastAsia="MS Mincho" w:hAnsi="Arial" w:cs="Arial"/>
          <w:szCs w:val="28"/>
          <w:lang w:val="uk-UA" w:eastAsia="ru-RU"/>
        </w:rPr>
        <w:t xml:space="preserve">, 36(6), 1892–1913. URL: </w:t>
      </w:r>
      <w:hyperlink r:id="rId2610" w:tgtFrame="_new" w:history="1">
        <w:r w:rsidRPr="00511005">
          <w:rPr>
            <w:rFonts w:ascii="Arial" w:eastAsia="MS Mincho" w:hAnsi="Arial" w:cs="Arial"/>
            <w:szCs w:val="28"/>
            <w:lang w:val="uk-UA" w:eastAsia="ru-RU"/>
          </w:rPr>
          <w:t>https://journals.sagepub.com/doi/10.1177/0265407519836170</w:t>
        </w:r>
      </w:hyperlink>
      <w:r w:rsidRPr="00511005">
        <w:rPr>
          <w:rFonts w:ascii="Arial" w:eastAsia="MS Mincho" w:hAnsi="Arial" w:cs="Arial"/>
          <w:szCs w:val="28"/>
          <w:lang w:val="uk-UA" w:eastAsia="ru-RU"/>
        </w:rPr>
        <w:t xml:space="preserve"> (дата звернення: 07.05.2025).</w:t>
      </w:r>
    </w:p>
    <w:p w14:paraId="6C507FDF" w14:textId="77777777" w:rsidR="00AE57E7" w:rsidRPr="00511005" w:rsidRDefault="00AE57E7" w:rsidP="003F6A5D">
      <w:pPr>
        <w:numPr>
          <w:ilvl w:val="0"/>
          <w:numId w:val="756"/>
        </w:numPr>
        <w:tabs>
          <w:tab w:val="left" w:pos="993"/>
        </w:tabs>
        <w:spacing w:line="264" w:lineRule="auto"/>
        <w:ind w:firstLine="720"/>
        <w:contextualSpacing/>
        <w:jc w:val="left"/>
        <w:rPr>
          <w:rFonts w:ascii="Arial" w:eastAsia="MS Mincho" w:hAnsi="Arial" w:cs="Arial"/>
          <w:szCs w:val="28"/>
          <w:lang w:val="uk-UA" w:eastAsia="ru-RU"/>
        </w:rPr>
      </w:pPr>
      <w:r w:rsidRPr="00511005">
        <w:rPr>
          <w:rFonts w:ascii="Arial" w:eastAsia="MS Mincho" w:hAnsi="Arial" w:cs="Arial"/>
          <w:szCs w:val="28"/>
          <w:lang w:val="uk-UA" w:eastAsia="ru-RU"/>
        </w:rPr>
        <w:t xml:space="preserve">Valkenburg, P. M., &amp; Piotrowski, J. T. (2017). </w:t>
      </w:r>
      <w:r w:rsidRPr="00511005">
        <w:rPr>
          <w:rFonts w:ascii="Arial" w:eastAsia="MS Mincho" w:hAnsi="Arial" w:cs="Arial"/>
          <w:i/>
          <w:iCs/>
          <w:szCs w:val="28"/>
          <w:lang w:val="uk-UA" w:eastAsia="ru-RU"/>
        </w:rPr>
        <w:t>Plugged In: How Media Attract and Affect Youth</w:t>
      </w:r>
      <w:r w:rsidRPr="00511005">
        <w:rPr>
          <w:rFonts w:ascii="Arial" w:eastAsia="MS Mincho" w:hAnsi="Arial" w:cs="Arial"/>
          <w:szCs w:val="28"/>
          <w:lang w:val="uk-UA" w:eastAsia="ru-RU"/>
        </w:rPr>
        <w:t xml:space="preserve">. Yale University Press. URL: </w:t>
      </w:r>
      <w:hyperlink r:id="rId2611" w:tgtFrame="_new" w:history="1">
        <w:r w:rsidRPr="00511005">
          <w:rPr>
            <w:rFonts w:ascii="Arial" w:eastAsia="MS Mincho" w:hAnsi="Arial" w:cs="Arial"/>
            <w:szCs w:val="28"/>
            <w:lang w:val="uk-UA" w:eastAsia="ru-RU"/>
          </w:rPr>
          <w:t>https://drupal.yalebooks.yale.edu/sites/default/files/files/Media/9780300228090_UPDF.pdf</w:t>
        </w:r>
      </w:hyperlink>
      <w:r w:rsidRPr="00511005">
        <w:rPr>
          <w:rFonts w:ascii="Arial" w:eastAsia="MS Mincho" w:hAnsi="Arial" w:cs="Arial"/>
          <w:szCs w:val="28"/>
          <w:lang w:val="uk-UA" w:eastAsia="ru-RU"/>
        </w:rPr>
        <w:t xml:space="preserve"> (дата звернення: 07.05.2025).</w:t>
      </w:r>
      <w:hyperlink r:id="rId2612" w:tgtFrame="_blank" w:history="1">
        <w:r w:rsidRPr="00511005">
          <w:rPr>
            <w:rFonts w:ascii="Arial" w:eastAsia="MS Mincho" w:hAnsi="Arial" w:cs="Arial"/>
            <w:szCs w:val="28"/>
            <w:lang w:val="uk-UA" w:eastAsia="ru-RU"/>
          </w:rPr>
          <w:t>drupal.yalebooks.yale.edu</w:t>
        </w:r>
      </w:hyperlink>
    </w:p>
    <w:p w14:paraId="67466EE4" w14:textId="77777777" w:rsidR="00AE57E7" w:rsidRPr="00511005" w:rsidRDefault="00AE57E7" w:rsidP="003F6A5D">
      <w:pPr>
        <w:numPr>
          <w:ilvl w:val="0"/>
          <w:numId w:val="756"/>
        </w:numPr>
        <w:tabs>
          <w:tab w:val="left" w:pos="993"/>
        </w:tabs>
        <w:spacing w:line="264" w:lineRule="auto"/>
        <w:ind w:firstLine="720"/>
        <w:contextualSpacing/>
        <w:jc w:val="left"/>
        <w:rPr>
          <w:rFonts w:ascii="Arial" w:eastAsia="MS Mincho" w:hAnsi="Arial" w:cs="Arial"/>
          <w:szCs w:val="28"/>
          <w:lang w:val="uk-UA" w:eastAsia="ru-RU"/>
        </w:rPr>
      </w:pPr>
      <w:r w:rsidRPr="00511005">
        <w:rPr>
          <w:rFonts w:ascii="Arial" w:eastAsia="MS Mincho" w:hAnsi="Arial" w:cs="Arial"/>
          <w:szCs w:val="28"/>
          <w:lang w:val="uk-UA" w:eastAsia="ru-RU"/>
        </w:rPr>
        <w:t xml:space="preserve">Hawi, N. S., Samaha, M., &amp; Griffiths, M. D. (2019). The Digital Addiction Scale for Children: Development and Validation. </w:t>
      </w:r>
      <w:r w:rsidRPr="00511005">
        <w:rPr>
          <w:rFonts w:ascii="Arial" w:eastAsia="MS Mincho" w:hAnsi="Arial" w:cs="Arial"/>
          <w:i/>
          <w:iCs/>
          <w:szCs w:val="28"/>
          <w:lang w:val="uk-UA" w:eastAsia="ru-RU"/>
        </w:rPr>
        <w:t>Cyberpsychology, Behavior, and Social Networking</w:t>
      </w:r>
      <w:r w:rsidRPr="00511005">
        <w:rPr>
          <w:rFonts w:ascii="Arial" w:eastAsia="MS Mincho" w:hAnsi="Arial" w:cs="Arial"/>
          <w:szCs w:val="28"/>
          <w:lang w:val="uk-UA" w:eastAsia="ru-RU"/>
        </w:rPr>
        <w:t xml:space="preserve">, 22(12), 771–778. URL: </w:t>
      </w:r>
      <w:hyperlink r:id="rId2613" w:tgtFrame="_new" w:history="1">
        <w:r w:rsidRPr="00511005">
          <w:rPr>
            <w:rFonts w:ascii="Arial" w:eastAsia="MS Mincho" w:hAnsi="Arial" w:cs="Arial"/>
            <w:szCs w:val="28"/>
            <w:lang w:val="uk-UA" w:eastAsia="ru-RU"/>
          </w:rPr>
          <w:t>https://www.liebertpub.com/doi/10.1089/cyber.2019.0132</w:t>
        </w:r>
      </w:hyperlink>
      <w:r w:rsidRPr="00511005">
        <w:rPr>
          <w:rFonts w:ascii="Arial" w:eastAsia="MS Mincho" w:hAnsi="Arial" w:cs="Arial"/>
          <w:szCs w:val="28"/>
          <w:lang w:val="uk-UA" w:eastAsia="ru-RU"/>
        </w:rPr>
        <w:t xml:space="preserve"> (дата звернення: 07.05.2025).</w:t>
      </w:r>
    </w:p>
    <w:p w14:paraId="14191BCA" w14:textId="77777777" w:rsidR="00AE57E7" w:rsidRPr="00511005" w:rsidRDefault="00AE57E7" w:rsidP="003A292D">
      <w:pPr>
        <w:tabs>
          <w:tab w:val="left" w:pos="993"/>
        </w:tabs>
        <w:spacing w:line="264" w:lineRule="auto"/>
        <w:ind w:firstLine="720"/>
        <w:contextualSpacing/>
        <w:rPr>
          <w:rFonts w:ascii="Arial" w:eastAsia="MS Mincho" w:hAnsi="Arial" w:cs="Arial"/>
          <w:szCs w:val="28"/>
          <w:lang w:val="en-US" w:eastAsia="ru-RU"/>
        </w:rPr>
      </w:pPr>
    </w:p>
    <w:p w14:paraId="224BCAA2" w14:textId="78A69630" w:rsidR="00AE57E7"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Ключові слова: </w:t>
      </w:r>
      <w:r w:rsidR="00AE57E7" w:rsidRPr="00511005">
        <w:rPr>
          <w:rFonts w:ascii="Arial" w:eastAsia="Times New Roman" w:hAnsi="Arial" w:cs="Arial"/>
          <w:szCs w:val="28"/>
          <w:lang w:val="uk-UA" w:eastAsia="uk-UA"/>
        </w:rPr>
        <w:t>дофамін, цифрова залежність, психоаналітичний тренінг, символізація, фрустрація, афект, саморегуляція.</w:t>
      </w:r>
    </w:p>
    <w:p w14:paraId="50A96FCF" w14:textId="7ECA3F88" w:rsidR="00AE57E7" w:rsidRPr="00511005" w:rsidRDefault="007B2628" w:rsidP="003A292D">
      <w:pPr>
        <w:spacing w:line="264" w:lineRule="auto"/>
        <w:ind w:firstLine="720"/>
        <w:rPr>
          <w:rFonts w:ascii="Arial" w:eastAsia="Times New Roman" w:hAnsi="Arial" w:cs="Arial"/>
          <w:szCs w:val="28"/>
          <w:lang w:val="uk-UA" w:eastAsia="uk-UA"/>
        </w:rPr>
      </w:pPr>
      <w:r w:rsidRPr="00511005">
        <w:rPr>
          <w:rFonts w:ascii="Arial" w:eastAsia="Times New Roman" w:hAnsi="Arial" w:cs="Arial"/>
          <w:b/>
          <w:bCs/>
          <w:i/>
          <w:szCs w:val="28"/>
          <w:lang w:val="uk-UA" w:eastAsia="uk-UA"/>
        </w:rPr>
        <w:t xml:space="preserve">Key words: </w:t>
      </w:r>
      <w:r w:rsidR="00AE57E7" w:rsidRPr="00511005">
        <w:rPr>
          <w:rFonts w:ascii="Arial" w:eastAsia="Times New Roman" w:hAnsi="Arial" w:cs="Arial"/>
          <w:szCs w:val="28"/>
          <w:lang w:val="uk-UA" w:eastAsia="uk-UA"/>
        </w:rPr>
        <w:t>dopamine, digital addiction, psychoanalytic training, symbolization, frustration, affect, self-regulation.</w:t>
      </w:r>
    </w:p>
    <w:p w14:paraId="0F333291" w14:textId="5F4454DC" w:rsidR="00AE57E7" w:rsidRPr="00511005" w:rsidRDefault="007B2628" w:rsidP="003A292D">
      <w:pPr>
        <w:spacing w:line="264" w:lineRule="auto"/>
        <w:jc w:val="left"/>
        <w:rPr>
          <w:rFonts w:ascii="Arial" w:eastAsia="MS Mincho" w:hAnsi="Arial" w:cs="Arial"/>
          <w:bCs/>
          <w:i/>
          <w:iCs/>
          <w:szCs w:val="28"/>
          <w:lang w:val="uk-UA" w:eastAsia="uk-UA"/>
        </w:rPr>
      </w:pPr>
      <w:r w:rsidRPr="00511005">
        <w:rPr>
          <w:rFonts w:ascii="Arial" w:eastAsia="MS Mincho" w:hAnsi="Arial" w:cs="Arial"/>
          <w:b/>
          <w:i/>
          <w:iCs/>
          <w:szCs w:val="28"/>
          <w:lang w:val="uk-UA" w:eastAsia="uk-UA"/>
        </w:rPr>
        <w:t xml:space="preserve">Науковий керівник: </w:t>
      </w:r>
      <w:r w:rsidR="00AE57E7" w:rsidRPr="00511005">
        <w:rPr>
          <w:rFonts w:ascii="Arial" w:eastAsia="MS Mincho" w:hAnsi="Arial" w:cs="Arial"/>
          <w:i/>
          <w:iCs/>
          <w:szCs w:val="28"/>
          <w:lang w:val="uk-UA" w:eastAsia="uk-UA"/>
        </w:rPr>
        <w:t xml:space="preserve">к.політ.н., доцент </w:t>
      </w:r>
      <w:r w:rsidR="00AE57E7" w:rsidRPr="00511005">
        <w:rPr>
          <w:rFonts w:ascii="Arial" w:eastAsia="MS Mincho" w:hAnsi="Arial" w:cs="Arial"/>
          <w:bCs/>
          <w:i/>
          <w:iCs/>
          <w:szCs w:val="28"/>
          <w:lang w:val="uk-UA" w:eastAsia="uk-UA"/>
        </w:rPr>
        <w:t>Шмаленко Ю.І.</w:t>
      </w:r>
    </w:p>
    <w:p w14:paraId="3A279A66" w14:textId="77777777" w:rsidR="00AE57E7" w:rsidRPr="00511005" w:rsidRDefault="00AE57E7" w:rsidP="003A292D">
      <w:pPr>
        <w:spacing w:line="264" w:lineRule="auto"/>
        <w:ind w:firstLine="720"/>
        <w:contextualSpacing/>
        <w:rPr>
          <w:rFonts w:ascii="Arial" w:eastAsia="MS Mincho" w:hAnsi="Arial" w:cs="Arial"/>
          <w:szCs w:val="28"/>
          <w:lang w:val="uk-UA" w:eastAsia="ru-RU"/>
        </w:rPr>
      </w:pPr>
    </w:p>
    <w:p w14:paraId="1C5B1DF6" w14:textId="77777777" w:rsidR="00AE57E7" w:rsidRPr="00511005" w:rsidRDefault="00AE57E7" w:rsidP="003A292D">
      <w:pPr>
        <w:spacing w:line="264" w:lineRule="auto"/>
        <w:ind w:firstLine="0"/>
        <w:jc w:val="center"/>
        <w:rPr>
          <w:rFonts w:ascii="Arial" w:eastAsia="Times New Roman" w:hAnsi="Arial" w:cs="Arial"/>
          <w:b/>
          <w:i/>
          <w:iCs/>
          <w:szCs w:val="28"/>
          <w:lang w:val="uk-UA" w:eastAsia="ru-RU"/>
        </w:rPr>
      </w:pPr>
      <w:r w:rsidRPr="00511005">
        <w:rPr>
          <w:rFonts w:ascii="Arial" w:eastAsia="Times New Roman" w:hAnsi="Arial" w:cs="Arial"/>
          <w:b/>
          <w:i/>
          <w:iCs/>
          <w:szCs w:val="28"/>
          <w:lang w:val="uk-UA" w:eastAsia="ru-RU"/>
        </w:rPr>
        <w:t>Ярова-Прусс Діана Володимирівна</w:t>
      </w:r>
    </w:p>
    <w:p w14:paraId="6E993736" w14:textId="4999C1D2" w:rsidR="00AE57E7" w:rsidRPr="00511005" w:rsidRDefault="00536AAB"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2-го курсу факультету психології, політології та соціології</w:t>
      </w:r>
    </w:p>
    <w:p w14:paraId="06E81273" w14:textId="235BE8D2" w:rsidR="00AE57E7" w:rsidRPr="00511005" w:rsidRDefault="007B2628" w:rsidP="003A292D">
      <w:pPr>
        <w:spacing w:line="264" w:lineRule="auto"/>
        <w:ind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01874C3" w14:textId="77777777" w:rsidR="00AE57E7" w:rsidRPr="00511005" w:rsidRDefault="00AE57E7" w:rsidP="003A292D">
      <w:pPr>
        <w:spacing w:line="264" w:lineRule="auto"/>
        <w:ind w:firstLine="0"/>
        <w:rPr>
          <w:rFonts w:ascii="Arial" w:eastAsia="Times New Roman" w:hAnsi="Arial" w:cs="Arial"/>
          <w:szCs w:val="28"/>
          <w:lang w:val="uk-UA" w:eastAsia="ru-RU"/>
        </w:rPr>
      </w:pPr>
    </w:p>
    <w:p w14:paraId="15440C0C" w14:textId="77777777" w:rsidR="00AE57E7" w:rsidRPr="00511005" w:rsidRDefault="00AE57E7" w:rsidP="003A292D">
      <w:pPr>
        <w:spacing w:line="264" w:lineRule="auto"/>
        <w:ind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СОЦІАЛЬНО-ПСИХОЛОГІЧНІ ХАРАКТЕРИСТИКИ ВОЛОНТЕРСТВА</w:t>
      </w:r>
    </w:p>
    <w:p w14:paraId="6E8EEC77"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Волонтерство як соціальний феномен останніми десятиліттями перетворилося на важливий об'єкт міждисциплінарних досліджень, що обумовлено його значною роллю у формуванні громадянського суспільства та соціальній згуртованості. З психологічної точки зору волонтерська діяльність являє особливий вид просоціальної поведінки, мотивація якої потребує ретельного аналізу.</w:t>
      </w:r>
    </w:p>
    <w:p w14:paraId="7C1295B3"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Питання волонтерства є особливо важливим для сучасної України не лише через щоденну підтримку української армії та внутрішньо переміщених осіб, але й через гостру необхідність протистояти агресії з боку Російської Федерації. Сьогодні волонтерство стало потужним суспільним рухом, здатним перебрати на себе частину функцій держави, автономних організацій та соціальних інституцій. Воно є проявом безкорисливої активності громадян та фактором самоорганізації суспільства. Саме тому цей державний інститут сьогодні в Україні набуває особливого значення, а його ефективна діяльність має вирішальне значення для існування та розвитку держави [2, с. 4]. </w:t>
      </w:r>
    </w:p>
    <w:p w14:paraId="7005F99F"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На сучасному етапі залучення до волонтерства стрімко набирає обертів та широко практикується в багатьох куточках світу, зокрема в </w:t>
      </w:r>
      <w:r w:rsidRPr="00511005">
        <w:rPr>
          <w:rFonts w:ascii="Arial" w:eastAsia="Times New Roman" w:hAnsi="Arial" w:cs="Arial"/>
          <w:szCs w:val="28"/>
          <w:lang w:val="uk-UA" w:eastAsia="ru-RU"/>
        </w:rPr>
        <w:lastRenderedPageBreak/>
        <w:t xml:space="preserve">державах з високим рівнем економічного розвитку: у Франції близько 19,0  % мешканців беруть участь у добровільній діяльності, в Німеччині – 34,0  %, у Сполучених Штатах Америки – майже 5,0  %, а в Японії – 26,0  % населення [4]. </w:t>
      </w:r>
    </w:p>
    <w:p w14:paraId="304643DF"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Явище волонтерства є актуальним і важливим у всьому світі з кількох причин. По-перше, це ефективний спосіб вирішення складних індивідуальних і суспільних проблем, як показує багаторічний досвід волонтерства. По-друге, волонтери привносять у соціальну сферу нові, зазвичай креативні та сміливі ідеї для вирішення найсерйозніших і найскладніших проблем. Таким чином, здавалося б, безнадійні ситуації можуть знайти рішення завдяки їм. По-третє, волонтерство – це спосіб участі всіх членів суспільства в поліпшенні якості життя. По-четверте, волонтерство – це механізм, за допомогою якого люди можуть звернутися зі своїми проблемами безпосередньо до тих, хто може їх вирішити.</w:t>
      </w:r>
    </w:p>
    <w:p w14:paraId="12A68646"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Зараз волонтерство в Україні продовжує стрімко розвиватися. Видимим проявом цього розвитку є збільшення кількості волонтерських організацій та ініціатив. Існують різні види волонтерської діяльності: соціальна допомога, екологічна діяльність, медична допомога, освітні проекти, місцеві ініціативи тощо. Волонтери працюють на різних рівнях – від місцевого до національного та міжнародного [1]. </w:t>
      </w:r>
    </w:p>
    <w:p w14:paraId="1979F11E"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hAnsi="Arial" w:cs="Arial"/>
          <w:kern w:val="3"/>
          <w:szCs w:val="28"/>
          <w:lang w:val="uk-UA" w:eastAsia="ru-RU"/>
        </w:rPr>
        <w:t>Загалом, поточна ситуація та тенденції розвитку волонтерства в сучасній Україні є позитивними. Волонтери роблять значний внесок у різні сфери суспільного життя, допомагають вразливим групам населення, підтримують культурний, освітній та екологічний розвиток. Професіоналізація, залучення молоді та міжнародна співпраця сприяють подальшому розвитку руху. Важливим завданням є визначення внеску в суспільство з метою забезпечення фінансової стабільності та подальшого розвитку волонтерів.</w:t>
      </w:r>
    </w:p>
    <w:p w14:paraId="7623BC86"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Однією з основних тенденцій розвитку волонтерства в Україні є спеціалізація та систематизація. Волонтерські організації стають більш організованими та спеціалізованими, розробляють стратегії та програми діяльності, об'єднують експертів у різних сферах. Волонтери проходять навчання та отримують навички, які дозволяють їм ефективно виконувати свої завдання та розширювати свій вплив.</w:t>
      </w:r>
    </w:p>
    <w:p w14:paraId="54045C76"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Ще однією важливою тенденцією є розвиток волонтерства серед молоді. Молодь в Україні виявляє високий інтерес до волонтерства та бере активну участь у різноманітних проектах. Багато студентських організацій, молодіжних рухів та студентських муніципалітетів організовують тренінги, семінари та заходи, спрямовані на популяризацію молодіжного волонтерства, підвищення обізнаності та мотивацію молодих людей до цього виду діяльності. </w:t>
      </w:r>
    </w:p>
    <w:p w14:paraId="465BF767"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У кожного волонтера є власні мотиви до волонтерства. Людина стає частиною волонтерства з різних міркувань: самоосвіта та зростання, підтримка ближніх, налагодження дружніх зв’язків, застосування вже наявних умінь та здобуття нових, напрацювання професійного досвіду, відплата перед громадою та раціональніше використання вільного часу [3, с. 32].</w:t>
      </w:r>
    </w:p>
    <w:p w14:paraId="512F10C5"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Особи з моральними зобов’язаннями здійснюють альтруїстичні вчинки заради морального задоволення, самоповаги, гордості та моральної самоповаги (уникнення або усунення викривлень морального виміру Я-концепції), при цьому ставлячись до об’єкта своєї допомоги по-іншому (іноді негативно). Такі волонтери майже завжди прагматичні і часто результатом їхньої діяльності є підвищення соціального статусу, отримання нової посади тощо.</w:t>
      </w:r>
    </w:p>
    <w:p w14:paraId="15A3340E"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Люди з моральним співчуттям проявляють альтруїзм у поєднанні з ідентифікацією та емпатією, але він іноді виражається лише на словах, не втілюючись у дії. При цьому прояви альтруїзму нестабільні, а сфери, якими опікуються волонтери, широкі та різноманітні (від допомоги ВІЛ-позитивним людям до допомоги безпритульним тваринам).</w:t>
      </w:r>
    </w:p>
    <w:p w14:paraId="3110B270"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Важливими мотиваторами у волонтерстві є особисті потреби та мотивація допомагати іншим. Цінності, альтруїстичні мотиви та внутрішні сили відіграють важливу роль у залученні людей до волонтерства. Окрім бажання отримати досвід та максимально ефективно використати свій час, волонтери мають низку особистих мотивацій, серед яких: бажання вчитися, допомагати, розвивати дружні стосунки, використовувати наявні навички та здобувати нові навички. </w:t>
      </w:r>
    </w:p>
    <w:p w14:paraId="689A32C0"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До ключових мотиваційних детермінант належать: потреба в самореалізації, соціальна ідентифікація, альтруїстичні устремління та прагнення до соціального схвалення. За даними Clary et al. [6, с. 1520-1525], мотиваційна структура волонтерів включає шість основних категорій: ціннісні орієнтації, кар'єрні інтереси, соціальні зв'язки, пізнавальні мотиви, самореалізація та захист від негативних переживань.</w:t>
      </w:r>
    </w:p>
    <w:p w14:paraId="7E99D533"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Соціальні характеристики волонтерства виявляються через його групову динаміку. Дослідження показують, що волонтерські організації формують специфічний тип соціальної взаємодії, що характеризується високим рівнем кооперації та соціальної підтримки [7, с. 675-680]. Це сприяє розвитку колективної ідентичності та зміцненню соціальних зв'язків, що особливо важливо в умовах сучасних суспільств, які стикаються з проблемою соціальної роз'єднаності.</w:t>
      </w:r>
    </w:p>
    <w:p w14:paraId="6E95037B"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Психологічні ефекти волонтерської діяльності проявляються на індивідуальному рівні через покращення психологічного благополуччя, зростання самооцінки та розвиток емпатії. Дослідження Post [8, с. 68-72] демонструють позитивний зв'язок між волонтерською активністю та рівнем </w:t>
      </w:r>
      <w:r w:rsidRPr="00511005">
        <w:rPr>
          <w:rFonts w:ascii="Arial" w:eastAsia="Times New Roman" w:hAnsi="Arial" w:cs="Arial"/>
          <w:szCs w:val="28"/>
          <w:lang w:val="uk-UA" w:eastAsia="ru-RU"/>
        </w:rPr>
        <w:lastRenderedPageBreak/>
        <w:t>суб'єктивного благополуччя, що пояснюється механізмами психологічного задоволення від допомоги іншим. Крім того, волонтерство виступає важливим чинником соціальної адаптації для різних груп населення, зокрема молоді та людей похилого віку.</w:t>
      </w:r>
    </w:p>
    <w:p w14:paraId="65B36C8F"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Важливим аспектом є культурна специфіка волонтерської діяльності. Порівняльні дослідження свідчать про істотні відмінності у мотивації та організації волонтерства в різних культурних контекстах [5, с. 32-35]. У країнах з колективістською культурою волонтерська діяльність частіше мотивована почуттям соціальної відповідальності, тоді як в індивідуалістичних культурах переважають особистісні мотиви самореалізації.</w:t>
      </w:r>
    </w:p>
    <w:p w14:paraId="2F5892ED"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Сучасні тенденції розвитку волонтерства пов'язані з його професіоналізацією та інституалізацією. Це породжує нові дослідницькі питання щодо балансу між альтруїстичними та інструментальними мотивами, а також впливу формалізації на психологічні аспекти волонтерської діяльності. Перспективними напрямами досліджень є вивчення довгострокових психологічних ефектів волонтерства, його ролі в соціалізації різних вікових груп та впливу цифрових технологій на організацію волонтерської діяльності.</w:t>
      </w:r>
    </w:p>
    <w:p w14:paraId="740953EE" w14:textId="77777777" w:rsidR="00AE57E7" w:rsidRPr="00511005" w:rsidRDefault="00AE57E7" w:rsidP="003A292D">
      <w:pPr>
        <w:spacing w:line="264" w:lineRule="auto"/>
        <w:rPr>
          <w:rFonts w:ascii="Arial" w:eastAsia="Times New Roman" w:hAnsi="Arial" w:cs="Arial"/>
          <w:szCs w:val="28"/>
          <w:lang w:val="uk-UA" w:eastAsia="ru-RU"/>
        </w:rPr>
      </w:pPr>
      <w:r w:rsidRPr="00511005">
        <w:rPr>
          <w:rFonts w:ascii="Arial" w:eastAsia="Times New Roman" w:hAnsi="Arial" w:cs="Arial"/>
          <w:szCs w:val="28"/>
          <w:lang w:val="uk-UA" w:eastAsia="ru-RU"/>
        </w:rPr>
        <w:t>Таким чином, волонтерство як соціально-психологічний феномен представляє собою складну систему взаємодії індивідуальних мотивацій, групових процесів і соціальних інститутів. Його вивчення має важливе значення як для розвитку психологічної теорії, так і для вирішення практичних завдань соціальної політики та громадського розвитку.</w:t>
      </w:r>
    </w:p>
    <w:p w14:paraId="24E5B664"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Висновки:</w:t>
      </w:r>
    </w:p>
    <w:p w14:paraId="1B92E795"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1. Волонтерська діяльність має складну мотиваційну структуру, що поєднує альтруїстичні та егоїстичні компоненти.</w:t>
      </w:r>
    </w:p>
    <w:p w14:paraId="6DCAFD04"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2. Соціальні аспекти волонтерства проявляються через формування колективної ідентичності та зміцнення соціальних зв'язків </w:t>
      </w:r>
    </w:p>
    <w:p w14:paraId="1F598402"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3. Психологічні ефекти волонтерства включають підвищення рівня суб'єктивного благополуччя та соціальної адаптації.</w:t>
      </w:r>
    </w:p>
    <w:p w14:paraId="4829F673"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4. Культурний контекст суттєво впливає на прояви волонтерської діяльності.</w:t>
      </w:r>
    </w:p>
    <w:p w14:paraId="0CE07CB0"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Перспективи подальших досліджень полягають у вивченні особливостей волонтерства в умовах соціальних криз.</w:t>
      </w:r>
    </w:p>
    <w:p w14:paraId="1B1C166D" w14:textId="77777777" w:rsidR="00AE57E7" w:rsidRPr="00511005" w:rsidRDefault="00AE57E7" w:rsidP="003A292D">
      <w:pPr>
        <w:spacing w:line="264" w:lineRule="auto"/>
        <w:ind w:firstLine="708"/>
        <w:rPr>
          <w:rFonts w:ascii="Arial" w:eastAsia="Times New Roman" w:hAnsi="Arial" w:cs="Arial"/>
          <w:szCs w:val="28"/>
          <w:lang w:val="uk-UA" w:eastAsia="ru-RU"/>
        </w:rPr>
      </w:pPr>
    </w:p>
    <w:p w14:paraId="1F9506B3" w14:textId="17C7AF3E" w:rsidR="00AE57E7" w:rsidRPr="00511005" w:rsidRDefault="007B2628" w:rsidP="007B2628">
      <w:pPr>
        <w:spacing w:line="264" w:lineRule="auto"/>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332ED639"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1. Андрієнко О. Волонтерство в Україні: зміни та виклики. Київ. </w:t>
      </w:r>
      <w:r w:rsidRPr="00511005">
        <w:rPr>
          <w:rFonts w:ascii="Arial" w:eastAsia="Times New Roman" w:hAnsi="Arial" w:cs="Arial"/>
          <w:i/>
          <w:szCs w:val="28"/>
          <w:lang w:val="uk-UA" w:eastAsia="ru-RU"/>
        </w:rPr>
        <w:t>Діокор,</w:t>
      </w:r>
      <w:r w:rsidRPr="00511005">
        <w:rPr>
          <w:rFonts w:ascii="Arial" w:eastAsia="Times New Roman" w:hAnsi="Arial" w:cs="Arial"/>
          <w:szCs w:val="28"/>
          <w:lang w:val="uk-UA" w:eastAsia="ru-RU"/>
        </w:rPr>
        <w:t xml:space="preserve"> 2022. 561 с.</w:t>
      </w:r>
    </w:p>
    <w:p w14:paraId="26DD1057"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2. Вашкович В. В. Посібник волонтера. Одеса. Видавничий дім «Гельветика», 2022. 88 с.</w:t>
      </w:r>
    </w:p>
    <w:p w14:paraId="09C8A5F6"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3. Ніколіна О., Астремська І. Спрямованість волонтерів: психологічні особливості волонтерської діяльності. Вісник Львівського університету. Серія психологічні науки, 2023. Випуск 17. С. 31–37.</w:t>
      </w:r>
    </w:p>
    <w:p w14:paraId="7193855D"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4. Про стан волонтерства у світі: звіт Організації Об’єднаних Націй від 5 грудня 2011 року. URL: http://www.volunteer.kiev.ua.</w:t>
      </w:r>
    </w:p>
    <w:p w14:paraId="43702710" w14:textId="20D7487F"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5. Allik J., &amp; Realo A. (2004). Individualism-collectivism and social capital. Journal of Cross-Cultural Psychology, 35(1), 29-49. https://doi.org/10.1177/0022022103260381</w:t>
      </w:r>
      <w:r w:rsidR="007B2628" w:rsidRPr="00511005">
        <w:rPr>
          <w:rFonts w:ascii="Arial" w:eastAsia="Times New Roman" w:hAnsi="Arial" w:cs="Arial"/>
          <w:szCs w:val="28"/>
          <w:lang w:val="uk-UA" w:eastAsia="ru-RU"/>
        </w:rPr>
        <w:t xml:space="preserve"> </w:t>
      </w:r>
    </w:p>
    <w:p w14:paraId="40976867"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6. Clary E. G., Snyder M., Ridge R. D., Copeland J., Stukas A. A., Haugen J., &amp; Miene P. (1998). Understanding and assessing the motivations of volunteers: A functional approach. Journal of Personality and Social Psychology, 74(6), 1516-1530. https://doi.org/10.1037/0022-3514.74.6.1516 </w:t>
      </w:r>
    </w:p>
    <w:p w14:paraId="0B8D1E39"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7. Omoto A. M., &amp; Snyder M. (1995). Sustained helping without obligation: Motivation, longevity of service, and perceived attitude change among AIDS volunteers. Journal of Personality and Social Psychology, 68(4), 671-686. https://doi.org/10.1037/0022-3514.68.4.671</w:t>
      </w:r>
    </w:p>
    <w:p w14:paraId="3FCD2C46" w14:textId="77777777" w:rsidR="00AE57E7" w:rsidRPr="00511005" w:rsidRDefault="00AE57E7"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8. Post S. G. (2005). Altruism, happiness, and health: It's good to be good. International Journal of Behavioral Medicine, 12(2), 66-77. https://doi.org/10.1207/s15327558ijbm1202_4 </w:t>
      </w:r>
    </w:p>
    <w:p w14:paraId="3D2862C8" w14:textId="77777777" w:rsidR="00AE57E7" w:rsidRPr="00511005" w:rsidRDefault="00AE57E7" w:rsidP="003A292D">
      <w:pPr>
        <w:spacing w:line="264" w:lineRule="auto"/>
        <w:ind w:firstLine="708"/>
        <w:rPr>
          <w:rFonts w:ascii="Arial" w:eastAsia="Times New Roman" w:hAnsi="Arial" w:cs="Arial"/>
          <w:szCs w:val="28"/>
          <w:lang w:val="uk-UA" w:eastAsia="ru-RU"/>
        </w:rPr>
      </w:pPr>
    </w:p>
    <w:p w14:paraId="516254F8" w14:textId="0F17BD43" w:rsidR="00AE57E7" w:rsidRPr="00511005" w:rsidRDefault="007B262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 xml:space="preserve">волонтер, волонтерство, мотивація волонтерів, соціальна ідентичність, психологічне благополуччя. </w:t>
      </w:r>
    </w:p>
    <w:p w14:paraId="44627E6B" w14:textId="477D777D" w:rsidR="00AE57E7" w:rsidRPr="00511005" w:rsidRDefault="007B2628" w:rsidP="003A292D">
      <w:pPr>
        <w:spacing w:line="264" w:lineRule="auto"/>
        <w:ind w:firstLine="708"/>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AE57E7" w:rsidRPr="00511005">
        <w:rPr>
          <w:rFonts w:ascii="Arial" w:eastAsia="Times New Roman" w:hAnsi="Arial" w:cs="Arial"/>
          <w:szCs w:val="28"/>
          <w:lang w:val="uk-UA" w:eastAsia="ru-RU"/>
        </w:rPr>
        <w:t>volunteer, volunteering, motivation.</w:t>
      </w:r>
    </w:p>
    <w:p w14:paraId="11989DEC" w14:textId="325C6D11" w:rsidR="00AE57E7" w:rsidRPr="00511005" w:rsidRDefault="007B2628" w:rsidP="003A292D">
      <w:pPr>
        <w:spacing w:line="264" w:lineRule="auto"/>
        <w:ind w:firstLine="708"/>
        <w:rPr>
          <w:rFonts w:ascii="Arial" w:eastAsia="Times New Roman" w:hAnsi="Arial" w:cs="Arial"/>
          <w:i/>
          <w:szCs w:val="28"/>
          <w:lang w:val="uk-UA" w:eastAsia="ru-RU"/>
        </w:rPr>
      </w:pPr>
      <w:r w:rsidRPr="00511005">
        <w:rPr>
          <w:rFonts w:ascii="Arial" w:eastAsia="Times New Roman" w:hAnsi="Arial" w:cs="Arial"/>
          <w:b/>
          <w:i/>
          <w:szCs w:val="28"/>
          <w:lang w:val="uk-UA" w:eastAsia="ru-RU"/>
        </w:rPr>
        <w:t xml:space="preserve">Науковий керівник: </w:t>
      </w:r>
      <w:r w:rsidR="00AE57E7" w:rsidRPr="00511005">
        <w:rPr>
          <w:rFonts w:ascii="Arial" w:eastAsia="Times New Roman" w:hAnsi="Arial" w:cs="Arial"/>
          <w:i/>
          <w:szCs w:val="28"/>
          <w:lang w:val="uk-UA" w:eastAsia="ru-RU"/>
        </w:rPr>
        <w:t>к.психол.н., доцент Лісовенко А.Ф.</w:t>
      </w:r>
    </w:p>
    <w:p w14:paraId="416DD184" w14:textId="77777777" w:rsidR="00AE57E7" w:rsidRPr="00511005" w:rsidRDefault="00AE57E7" w:rsidP="003A292D">
      <w:pPr>
        <w:spacing w:line="264" w:lineRule="auto"/>
        <w:ind w:firstLine="851"/>
        <w:rPr>
          <w:rFonts w:ascii="Arial" w:eastAsia="Times New Roman" w:hAnsi="Arial" w:cs="Arial"/>
          <w:szCs w:val="28"/>
          <w:lang w:val="uk-UA" w:eastAsia="ru-RU"/>
        </w:rPr>
      </w:pPr>
    </w:p>
    <w:p w14:paraId="06CC22D4" w14:textId="77777777" w:rsidR="003F5D68" w:rsidRPr="00511005" w:rsidRDefault="003F5D68" w:rsidP="003A292D">
      <w:pPr>
        <w:keepNext/>
        <w:spacing w:line="264" w:lineRule="auto"/>
        <w:ind w:firstLine="0"/>
        <w:jc w:val="left"/>
        <w:rPr>
          <w:rFonts w:ascii="Arial" w:eastAsia="NSimSun" w:hAnsi="Arial" w:cs="Arial"/>
          <w:kern w:val="2"/>
          <w:szCs w:val="28"/>
          <w:lang w:eastAsia="zh-CN" w:bidi="hi-IN"/>
        </w:rPr>
      </w:pPr>
      <w:r w:rsidRPr="00511005">
        <w:rPr>
          <w:rFonts w:ascii="Arial" w:hAnsi="Arial" w:cs="Arial"/>
          <w:szCs w:val="28"/>
        </w:rPr>
        <w:br w:type="page"/>
      </w:r>
    </w:p>
    <w:p w14:paraId="6060CAB2" w14:textId="77777777" w:rsidR="003F5D68" w:rsidRPr="00511005" w:rsidRDefault="003F5D68" w:rsidP="003A292D">
      <w:pPr>
        <w:keepNext/>
        <w:suppressAutoHyphens/>
        <w:spacing w:line="264" w:lineRule="auto"/>
        <w:ind w:firstLine="0"/>
        <w:jc w:val="left"/>
        <w:rPr>
          <w:rFonts w:ascii="Arial" w:hAnsi="Arial" w:cs="Arial"/>
          <w:szCs w:val="28"/>
        </w:rPr>
      </w:pPr>
    </w:p>
    <w:p w14:paraId="7C4D0AE4" w14:textId="5DCD4B10" w:rsidR="003F5D68" w:rsidRPr="00511005" w:rsidRDefault="003F5D68" w:rsidP="003A292D">
      <w:pPr>
        <w:pStyle w:val="aa"/>
        <w:spacing w:before="0" w:after="0" w:line="264" w:lineRule="auto"/>
        <w:rPr>
          <w:rFonts w:ascii="Arial" w:hAnsi="Arial" w:cs="Arial"/>
          <w:color w:val="auto"/>
          <w:sz w:val="28"/>
          <w:szCs w:val="28"/>
        </w:rPr>
      </w:pPr>
      <w:bookmarkStart w:id="351" w:name="_Toc208299014"/>
      <w:r w:rsidRPr="00511005">
        <w:rPr>
          <w:rFonts w:ascii="Arial" w:hAnsi="Arial" w:cs="Arial"/>
          <w:color w:val="auto"/>
          <w:sz w:val="28"/>
          <w:szCs w:val="28"/>
        </w:rPr>
        <w:t xml:space="preserve">СЕКЦІЯ </w:t>
      </w:r>
      <w:r w:rsidR="00256A2F" w:rsidRPr="00511005">
        <w:rPr>
          <w:rFonts w:ascii="Arial" w:hAnsi="Arial" w:cs="Arial"/>
          <w:color w:val="auto"/>
          <w:sz w:val="28"/>
          <w:szCs w:val="28"/>
          <w:lang w:val="ru-RU"/>
        </w:rPr>
        <w:t>2</w:t>
      </w:r>
      <w:r w:rsidR="00532C25">
        <w:rPr>
          <w:rFonts w:ascii="Arial" w:hAnsi="Arial" w:cs="Arial"/>
          <w:color w:val="auto"/>
          <w:sz w:val="28"/>
          <w:szCs w:val="28"/>
          <w:lang w:val="en-US"/>
        </w:rPr>
        <w:t>3</w:t>
      </w:r>
      <w:r w:rsidR="00256A2F" w:rsidRPr="00511005">
        <w:rPr>
          <w:rFonts w:ascii="Arial" w:hAnsi="Arial" w:cs="Arial"/>
          <w:color w:val="auto"/>
          <w:sz w:val="28"/>
          <w:szCs w:val="28"/>
          <w:lang w:val="ru-RU"/>
        </w:rPr>
        <w:t>. АКТУАЛЬНІ ВИКЛИКИ СУЧАСНОЇ ЖУРНАЛІСТИКИ</w:t>
      </w:r>
      <w:bookmarkEnd w:id="351"/>
      <w:r w:rsidRPr="00511005">
        <w:rPr>
          <w:rFonts w:ascii="Arial" w:hAnsi="Arial" w:cs="Arial"/>
          <w:color w:val="auto"/>
          <w:sz w:val="28"/>
          <w:szCs w:val="28"/>
        </w:rPr>
        <w:t xml:space="preserve"> </w:t>
      </w:r>
    </w:p>
    <w:p w14:paraId="32A7D32D" w14:textId="77777777" w:rsidR="003F5D68" w:rsidRPr="00511005" w:rsidRDefault="003F5D68" w:rsidP="003A292D">
      <w:pPr>
        <w:keepNext/>
        <w:spacing w:line="264" w:lineRule="auto"/>
        <w:ind w:firstLine="0"/>
        <w:jc w:val="left"/>
        <w:rPr>
          <w:rFonts w:ascii="Arial" w:hAnsi="Arial" w:cs="Arial"/>
          <w:szCs w:val="28"/>
        </w:rPr>
      </w:pPr>
    </w:p>
    <w:p w14:paraId="56C8DB5B" w14:textId="77777777" w:rsidR="00AE57E7" w:rsidRPr="00511005" w:rsidRDefault="00AE57E7" w:rsidP="003A292D">
      <w:pPr>
        <w:spacing w:line="264" w:lineRule="auto"/>
        <w:ind w:right="-141" w:firstLine="0"/>
        <w:jc w:val="center"/>
        <w:rPr>
          <w:rFonts w:ascii="Arial" w:eastAsia="Times New Roman" w:hAnsi="Arial" w:cs="Arial"/>
          <w:b/>
          <w:i/>
          <w:szCs w:val="28"/>
          <w:lang w:val="uk-UA" w:eastAsia="ru-RU"/>
        </w:rPr>
      </w:pPr>
      <w:r w:rsidRPr="00511005">
        <w:rPr>
          <w:rFonts w:ascii="Arial" w:eastAsia="Times New Roman" w:hAnsi="Arial" w:cs="Arial"/>
          <w:b/>
          <w:i/>
          <w:szCs w:val="28"/>
          <w:lang w:val="uk-UA" w:eastAsia="ru-RU"/>
        </w:rPr>
        <w:t>Архангельська Марія Володимирівна</w:t>
      </w:r>
    </w:p>
    <w:p w14:paraId="72941B2E" w14:textId="2371F341" w:rsidR="00AE57E7" w:rsidRPr="00511005" w:rsidRDefault="00536AAB" w:rsidP="003A292D">
      <w:pPr>
        <w:spacing w:line="264" w:lineRule="auto"/>
        <w:ind w:right="-141"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1-го курсу магістратури</w:t>
      </w:r>
      <w:r w:rsidR="00AE57E7"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факультету журналістики</w:t>
      </w:r>
    </w:p>
    <w:p w14:paraId="36E3ADD8" w14:textId="3E033822" w:rsidR="00AE57E7" w:rsidRPr="00511005" w:rsidRDefault="007B2628" w:rsidP="003A292D">
      <w:pPr>
        <w:spacing w:line="264" w:lineRule="auto"/>
        <w:ind w:right="-141"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AE1D05C" w14:textId="77777777" w:rsidR="007B2628" w:rsidRPr="00511005" w:rsidRDefault="00AE57E7" w:rsidP="003A292D">
      <w:pPr>
        <w:spacing w:line="264" w:lineRule="auto"/>
        <w:ind w:right="-141"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ВПЛИВ РОСІЙСЬКОЇ ПРОПАГАНДИ НА ОКУПОВАНИХ ТЕРИТОРІЯХ ПІВДЕННИХ РЕГІОНІВ УКРАЇНИ</w:t>
      </w:r>
    </w:p>
    <w:p w14:paraId="67DE3983" w14:textId="77777777" w:rsidR="007B2628" w:rsidRPr="00511005" w:rsidRDefault="00AE57E7"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szCs w:val="28"/>
          <w:lang w:val="uk-UA" w:eastAsia="ru-RU"/>
        </w:rPr>
        <w:t>Тема впливу російської пропаганди на окупованих територіях України набула особливого значення у світлі подій, що розпочалися з агресії Російської Федерації проти України в 2014 році та посилилися у 2022 році під час повномасштабного вторгнення. Дослідження цього феномену є надзвичайно важливим, оскільки пропаганда виступає потужним інструментом ведення війни, спрямованим на дезорієнтацію місцевого населення, підрив національної ідентичності, формування викривлених уявлень про реальність та легітимізацію окупаційного режиму.</w:t>
      </w:r>
    </w:p>
    <w:p w14:paraId="70A410A0" w14:textId="77777777" w:rsidR="007B2628" w:rsidRPr="00511005" w:rsidRDefault="00AE57E7"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szCs w:val="28"/>
          <w:lang w:val="uk-UA" w:eastAsia="ru-RU"/>
        </w:rPr>
        <w:t>Зокрема, південні регіони і міста України, такі, як Херсонщина, Маріуполь та Мелітополь стали об’єктами інтенсивного інформаційного впливу, спрямованого на зміну громадської думки та маніпулювання колективною свідомістю. В цих регіонах було застосовано широкий спектр пропагандистських засобів, зокрема використання підконтрольних медіа, поширення дезінформації, впровадження в освітні програми проросійських наративів, а також психологічний тиск на місцевих жителів.</w:t>
      </w:r>
    </w:p>
    <w:p w14:paraId="73002462" w14:textId="77777777" w:rsidR="007B2628" w:rsidRPr="00511005" w:rsidRDefault="00AE57E7" w:rsidP="003A292D">
      <w:pPr>
        <w:spacing w:line="264" w:lineRule="auto"/>
        <w:ind w:right="-141" w:firstLine="0"/>
        <w:rPr>
          <w:rFonts w:ascii="Arial" w:eastAsia="Times New Roman" w:hAnsi="Arial" w:cs="Arial"/>
          <w:bCs/>
          <w:szCs w:val="28"/>
          <w:lang w:val="uk-UA" w:eastAsia="ru-RU"/>
        </w:rPr>
      </w:pPr>
      <w:r w:rsidRPr="00511005">
        <w:rPr>
          <w:rFonts w:ascii="Arial" w:eastAsia="Times New Roman" w:hAnsi="Arial" w:cs="Arial"/>
          <w:szCs w:val="28"/>
          <w:lang w:val="uk-UA" w:eastAsia="ru-RU"/>
        </w:rPr>
        <w:t>Ми виходимо з того, що пропаганда – це цілеспрямований вплив на думку та упередження великої кількості людей, з метою формування певних поглядів для спричинення бажаної поведінки підданої спільноти [1]. Російська пропаганда на окупованих територіях південних регіонів України здійснюється через різноманітні канали комунікації, насамперед, підконтрольні ЗМІ. Окупанти розгорнули цілу мережу інформаційних ресурсів, щоб впливати на свідомість місцевого населення.</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На окупованих територіях було впроваджено нові підконтрольні Росії телеканали та радіостанції, які поширюють проросійську пропаганду. Зокрема, відкрилися та почали мовлення такі телеканали, як «Росія 24», «Перший канал», «НТВ», а також створювалися спеціальні місцеві телеканали -</w:t>
      </w:r>
      <w:r w:rsidRPr="00511005">
        <w:rPr>
          <w:rFonts w:ascii="Arial" w:eastAsia="Times New Roman" w:hAnsi="Arial" w:cs="Arial"/>
          <w:bCs/>
          <w:szCs w:val="28"/>
          <w:lang w:eastAsia="ru-RU"/>
        </w:rPr>
        <w:t>«Перший кримський»</w:t>
      </w:r>
      <w:r w:rsidRPr="00511005">
        <w:rPr>
          <w:rFonts w:ascii="Arial" w:eastAsia="Times New Roman" w:hAnsi="Arial" w:cs="Arial"/>
          <w:szCs w:val="28"/>
          <w:lang w:val="uk-UA" w:eastAsia="ru-RU"/>
        </w:rPr>
        <w:t>,</w:t>
      </w:r>
      <w:r w:rsidR="007B2628" w:rsidRPr="00511005">
        <w:rPr>
          <w:rFonts w:ascii="Arial" w:eastAsia="Times New Roman" w:hAnsi="Arial" w:cs="Arial"/>
          <w:szCs w:val="28"/>
          <w:lang w:val="uk-UA" w:eastAsia="ru-RU"/>
        </w:rPr>
        <w:t xml:space="preserve"> </w:t>
      </w:r>
      <w:r w:rsidRPr="00511005">
        <w:rPr>
          <w:rFonts w:ascii="Arial" w:eastAsia="Times New Roman" w:hAnsi="Arial" w:cs="Arial"/>
          <w:bCs/>
          <w:szCs w:val="28"/>
          <w:lang w:eastAsia="ru-RU"/>
        </w:rPr>
        <w:t>«Крим 24»</w:t>
      </w:r>
      <w:r w:rsidRPr="00511005">
        <w:rPr>
          <w:rFonts w:ascii="Arial" w:eastAsia="Times New Roman" w:hAnsi="Arial" w:cs="Arial"/>
          <w:bCs/>
          <w:szCs w:val="28"/>
          <w:lang w:val="uk-UA" w:eastAsia="ru-RU"/>
        </w:rPr>
        <w:t xml:space="preserve">, «Херсон 24». </w:t>
      </w:r>
    </w:p>
    <w:p w14:paraId="5123F02C" w14:textId="77777777" w:rsidR="007B2628" w:rsidRPr="00511005" w:rsidRDefault="00AE57E7"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bCs/>
          <w:szCs w:val="28"/>
          <w:lang w:val="uk-UA" w:eastAsia="ru-RU"/>
        </w:rPr>
        <w:t>Ці їм подібні медіа проводять інформаційно-психологічну операцію, спрямовану на створення ілюзії стабілізації життя на окупованих територіях, просуваючи ту ідею, що населенні пункти повертаються до мирного життя під владою Росії.</w:t>
      </w:r>
    </w:p>
    <w:p w14:paraId="227B010A" w14:textId="77777777" w:rsidR="007B2628" w:rsidRPr="00511005" w:rsidRDefault="00AE57E7" w:rsidP="003A292D">
      <w:pPr>
        <w:spacing w:line="264" w:lineRule="auto"/>
        <w:ind w:right="-141" w:firstLine="0"/>
        <w:rPr>
          <w:rFonts w:ascii="Arial" w:eastAsia="Times New Roman" w:hAnsi="Arial" w:cs="Arial"/>
          <w:szCs w:val="28"/>
          <w:lang w:eastAsia="ru-RU"/>
        </w:rPr>
      </w:pPr>
      <w:r w:rsidRPr="00511005">
        <w:rPr>
          <w:rFonts w:ascii="Arial" w:eastAsia="Times New Roman" w:hAnsi="Arial" w:cs="Arial"/>
          <w:szCs w:val="28"/>
          <w:lang w:val="uk-UA" w:eastAsia="ru-RU"/>
        </w:rPr>
        <w:t xml:space="preserve">Окрім цього, російські медіа активно публікують матеріали, які виправдовують дії Росії та дискредитують Україну. Тематика сюжетів включає звинувачення української влади в "геноциді" російськомовного </w:t>
      </w:r>
      <w:r w:rsidRPr="00511005">
        <w:rPr>
          <w:rFonts w:ascii="Arial" w:eastAsia="Times New Roman" w:hAnsi="Arial" w:cs="Arial"/>
          <w:szCs w:val="28"/>
          <w:lang w:val="uk-UA" w:eastAsia="ru-RU"/>
        </w:rPr>
        <w:lastRenderedPageBreak/>
        <w:t>населення, демонізацію українських військових, а також просування ідеї про "звільнення" цих територій російськими військами. Російські новинні випуски містять матеріали, що зображують Україну як "нацистську", чи "екстремістську" державу. Особлива увага приділяється дискредитації українських Збройних сил та запереченню міжнародного статусу України як суверенної держави.</w:t>
      </w:r>
      <w:r w:rsidRPr="00511005">
        <w:rPr>
          <w:rFonts w:ascii="Arial" w:eastAsia="Times New Roman" w:hAnsi="Arial" w:cs="Arial"/>
          <w:szCs w:val="28"/>
          <w:lang w:eastAsia="ru-RU"/>
        </w:rPr>
        <w:t xml:space="preserve"> </w:t>
      </w:r>
      <w:r w:rsidRPr="00511005">
        <w:rPr>
          <w:rFonts w:ascii="Arial" w:eastAsia="Times New Roman" w:hAnsi="Arial" w:cs="Arial"/>
          <w:szCs w:val="28"/>
          <w:lang w:val="uk-UA" w:eastAsia="ru-RU"/>
        </w:rPr>
        <w:t>Так, інформаційний проєкт «Херсон–24» повідомляє пропагандистські новини із захоплених населених пунктів. Випуски даного «проєкту» виходять в ефір кожні 2 години та просувають стандартні російські наративи [3].</w:t>
      </w:r>
    </w:p>
    <w:p w14:paraId="309CFFFC" w14:textId="77777777" w:rsidR="007B2628" w:rsidRPr="00511005" w:rsidRDefault="00AE57E7"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szCs w:val="28"/>
          <w:lang w:val="uk-UA" w:eastAsia="ru-RU"/>
        </w:rPr>
        <w:t>Російські пропагандисти мають на меті запевнити людей, що регіон не повернеться під контроль України, що російська окупація – це визвольна місія. Таким чином, окупанти хочуть зламати опір місцевого населення та запевнити, що вони нікому не потрібні, і якщо люди бажають миру, то повинні не впиратися, а залишитися з російською стороною. В таких умовах, люди відчувають відірваність від світу і стають більш вразливими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до пропагандистських ідей, оскільки не мають жодної альтернативної інформації. До того ж, загарбники на окупованих територіях влаштували інформаційну блокаду, щоб українські новини не доходили до мешканців. Це зроблено з ціллю дискредитувати українську владу та психологічно вплинути на заляканих людей. Загарбники русифікували існуючі медіа, а всіх хто не хотів коритися – знищили.</w:t>
      </w:r>
    </w:p>
    <w:p w14:paraId="53D28D75" w14:textId="77777777" w:rsidR="007B2628" w:rsidRPr="00511005" w:rsidRDefault="00AE57E7"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szCs w:val="28"/>
          <w:lang w:val="uk-UA" w:eastAsia="ru-RU"/>
        </w:rPr>
        <w:t>В окупованому Маріуполі російська пропаганда широко використовується для створення викривленої реальності про війну та "позитивні" аспекти окупації. Росіяни знищили українське місто на 90%, однак продовжують поширення наративу про "мирне життя". Російські ЗМІ активно показують "відновлення" міста під керівництвом окупаційної влади. Російські ЗМІ висвітлюють будівництво нових об'єктів і начебто повернення нормального життя, що супроводжується численними сюжетами про відкриття шкіл, лікарень та інших установ. Показують сюжети про нові мікрорайони та щасливих жителів міста, яким окупанти начебто компенсували всі збитки та подарували нове помешкання. При цьому замовчуються або применшуються масштаби руйнувань та кількість загиблих цивільних під час штурму та облоги Маріуполя. Натомість,</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відповідальність за масштабні руйнування Маріуполя окупанти</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перекладають</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на Збройні сили України, навіть якщо очевидно, що місто було обстріляне саме російськими військами. Російська влада створює контент, що виправдовує ці дії, стверджуючи, що вони були необхідні для боротьби з "націоналістами», що все це заради безпеки громадян. </w:t>
      </w:r>
    </w:p>
    <w:p w14:paraId="134279EE" w14:textId="12153D04" w:rsidR="00AE57E7" w:rsidRPr="00511005" w:rsidRDefault="00AE57E7"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szCs w:val="28"/>
          <w:lang w:val="uk-UA" w:eastAsia="ru-RU"/>
        </w:rPr>
        <w:t>Отже, ця така собі багатогранна пропагандистська діяльність має на меті не тільки дезінформувати, а й маніпулювати свідомістю людей, утверджуючи на окупованих територіях антиукраїнські настрої.</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В нашій країні йде війна і паралельно з бойовими діями країна-агресор публікує фейкову</w:t>
      </w:r>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 xml:space="preserve">інформацію про становище в Україні, тим самим усіляко намагається підірвати авторитет </w:t>
      </w:r>
      <w:r w:rsidRPr="00511005">
        <w:rPr>
          <w:rFonts w:ascii="Arial" w:eastAsia="Times New Roman" w:hAnsi="Arial" w:cs="Arial"/>
          <w:szCs w:val="28"/>
          <w:lang w:val="uk-UA" w:eastAsia="ru-RU"/>
        </w:rPr>
        <w:lastRenderedPageBreak/>
        <w:t>нашої держави, залякати мешканців тимчасово окупованих територій та запевнити людей, що з окупантом буде краще та настане мир. Однак, українці не припиняють боротися та не дозволять собі стати маріонеткою в руках ворога.</w:t>
      </w:r>
    </w:p>
    <w:p w14:paraId="784C636B" w14:textId="5E5AA2F0" w:rsidR="00AE57E7" w:rsidRPr="00511005" w:rsidRDefault="007B2628" w:rsidP="007B2628">
      <w:pPr>
        <w:spacing w:line="264" w:lineRule="auto"/>
        <w:ind w:right="-141"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Список використаних джерел</w:t>
      </w:r>
    </w:p>
    <w:p w14:paraId="258EF669" w14:textId="77777777" w:rsidR="00AE57E7" w:rsidRPr="00511005" w:rsidRDefault="00AE57E7" w:rsidP="003A292D">
      <w:pPr>
        <w:spacing w:line="264" w:lineRule="auto"/>
        <w:ind w:right="-141" w:firstLine="0"/>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val="uk-UA" w:eastAsia="ru-RU"/>
        </w:rPr>
        <w:t>1.</w:t>
      </w:r>
      <w:r w:rsidRPr="00511005">
        <w:rPr>
          <w:rFonts w:ascii="Arial" w:eastAsia="Times New Roman" w:hAnsi="Arial" w:cs="Arial"/>
          <w:szCs w:val="28"/>
          <w:shd w:val="clear" w:color="auto" w:fill="FFFFFF"/>
          <w:lang w:eastAsia="ru-RU"/>
        </w:rPr>
        <w:t xml:space="preserve">Великий тлумачний словник сучасної мови [Електронний ресурс] // slovnyk.me. – 2021. –Режим доступу до ресурсу: </w:t>
      </w:r>
      <w:hyperlink r:id="rId2614" w:history="1">
        <w:r w:rsidRPr="00511005">
          <w:rPr>
            <w:rFonts w:ascii="Arial" w:eastAsia="Times New Roman" w:hAnsi="Arial" w:cs="Arial"/>
            <w:szCs w:val="28"/>
            <w:shd w:val="clear" w:color="auto" w:fill="FFFFFF"/>
            <w:lang w:eastAsia="ru-RU"/>
          </w:rPr>
          <w:t>https://slovnyk.me/dict/vts/%D0%BF%D1%80%D0%BE%D0%BF%D0%B0%D0%B3%D0%B0%D0%BD%D0%B4%D0%B0</w:t>
        </w:r>
      </w:hyperlink>
      <w:r w:rsidRPr="00511005">
        <w:rPr>
          <w:rFonts w:ascii="Arial" w:eastAsia="Times New Roman" w:hAnsi="Arial" w:cs="Arial"/>
          <w:szCs w:val="28"/>
          <w:shd w:val="clear" w:color="auto" w:fill="FFFFFF"/>
          <w:lang w:eastAsia="ru-RU"/>
        </w:rPr>
        <w:t>.</w:t>
      </w:r>
    </w:p>
    <w:p w14:paraId="788FDB67" w14:textId="77777777" w:rsidR="00AE57E7" w:rsidRPr="00511005" w:rsidRDefault="00AE57E7"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szCs w:val="28"/>
          <w:shd w:val="clear" w:color="auto" w:fill="FFFFFF"/>
          <w:lang w:val="uk-UA" w:eastAsia="ru-RU"/>
        </w:rPr>
        <w:t>2.</w:t>
      </w:r>
      <w:r w:rsidRPr="00511005">
        <w:rPr>
          <w:rFonts w:ascii="Arial" w:eastAsia="Times New Roman" w:hAnsi="Arial" w:cs="Arial"/>
          <w:szCs w:val="28"/>
          <w:shd w:val="clear" w:color="auto" w:fill="FFFFFF"/>
          <w:lang w:eastAsia="ru-RU"/>
        </w:rPr>
        <w:t>Куляс І. Як розпізнати пропаганду у ЗМІ / Ігор Куляс. // ГО \"Детектор медіа\". – 2018. – С. 40.</w:t>
      </w:r>
    </w:p>
    <w:p w14:paraId="41E106A3" w14:textId="77777777" w:rsidR="00AE57E7" w:rsidRPr="00511005" w:rsidRDefault="00AE57E7" w:rsidP="003A292D">
      <w:pPr>
        <w:spacing w:line="264" w:lineRule="auto"/>
        <w:ind w:right="-141" w:firstLine="0"/>
        <w:rPr>
          <w:rFonts w:ascii="Arial" w:eastAsia="Times New Roman" w:hAnsi="Arial" w:cs="Arial"/>
          <w:szCs w:val="28"/>
          <w:shd w:val="clear" w:color="auto" w:fill="FFFFFF"/>
          <w:lang w:eastAsia="ru-RU"/>
        </w:rPr>
      </w:pPr>
      <w:r w:rsidRPr="00511005">
        <w:rPr>
          <w:rFonts w:ascii="Arial" w:eastAsia="Times New Roman" w:hAnsi="Arial" w:cs="Arial"/>
          <w:szCs w:val="28"/>
          <w:shd w:val="clear" w:color="auto" w:fill="FFFFFF"/>
          <w:lang w:val="uk-UA" w:eastAsia="ru-RU"/>
        </w:rPr>
        <w:t>3.</w:t>
      </w:r>
      <w:r w:rsidRPr="00511005">
        <w:rPr>
          <w:rFonts w:ascii="Arial" w:eastAsia="Times New Roman" w:hAnsi="Arial" w:cs="Arial"/>
          <w:szCs w:val="28"/>
          <w:shd w:val="clear" w:color="auto" w:fill="FFFFFF"/>
          <w:lang w:eastAsia="ru-RU"/>
        </w:rPr>
        <w:t xml:space="preserve">Російські окупанти запустили пропагандистський телепроєкт «Херсон 24» [Електронний ресурс] / Медіа Детектор // Детектор медіа. – 2022. – Режим доступу до ресурсу: </w:t>
      </w:r>
      <w:hyperlink r:id="rId2615" w:history="1">
        <w:r w:rsidRPr="00511005">
          <w:rPr>
            <w:rFonts w:ascii="Arial" w:eastAsia="Times New Roman" w:hAnsi="Arial" w:cs="Arial"/>
            <w:szCs w:val="28"/>
            <w:shd w:val="clear" w:color="auto" w:fill="FFFFFF"/>
            <w:lang w:eastAsia="ru-RU"/>
          </w:rPr>
          <w:t>https://detector.media/infospace/article/198447/2022-04-16-rosiyski-okupanty-zapustyly-propagandystskyy-teleproiekt-kherson-24/</w:t>
        </w:r>
      </w:hyperlink>
      <w:r w:rsidRPr="00511005">
        <w:rPr>
          <w:rFonts w:ascii="Arial" w:eastAsia="Times New Roman" w:hAnsi="Arial" w:cs="Arial"/>
          <w:szCs w:val="28"/>
          <w:shd w:val="clear" w:color="auto" w:fill="FFFFFF"/>
          <w:lang w:eastAsia="ru-RU"/>
        </w:rPr>
        <w:t>.</w:t>
      </w:r>
    </w:p>
    <w:p w14:paraId="6C13BC68" w14:textId="77777777" w:rsidR="007B2628" w:rsidRPr="00511005" w:rsidRDefault="00AE57E7" w:rsidP="003A292D">
      <w:pPr>
        <w:spacing w:line="264" w:lineRule="auto"/>
        <w:ind w:right="-141" w:firstLine="0"/>
        <w:rPr>
          <w:rFonts w:ascii="Arial" w:eastAsia="Times New Roman" w:hAnsi="Arial" w:cs="Arial"/>
          <w:szCs w:val="28"/>
          <w:shd w:val="clear" w:color="auto" w:fill="FFFFFF"/>
          <w:lang w:val="uk-UA" w:eastAsia="ru-RU"/>
        </w:rPr>
      </w:pPr>
      <w:r w:rsidRPr="00511005">
        <w:rPr>
          <w:rFonts w:ascii="Arial" w:eastAsia="Times New Roman" w:hAnsi="Arial" w:cs="Arial"/>
          <w:szCs w:val="28"/>
          <w:shd w:val="clear" w:color="auto" w:fill="FFFFFF"/>
          <w:lang w:val="uk-UA" w:eastAsia="ru-RU"/>
        </w:rPr>
        <w:t>4.</w:t>
      </w:r>
      <w:r w:rsidRPr="00511005">
        <w:rPr>
          <w:rFonts w:ascii="Arial" w:eastAsia="Times New Roman" w:hAnsi="Arial" w:cs="Arial"/>
          <w:szCs w:val="28"/>
          <w:shd w:val="clear" w:color="auto" w:fill="FFFFFF"/>
          <w:lang w:eastAsia="ru-RU"/>
        </w:rPr>
        <w:t xml:space="preserve">Як діє кремлівська пропаганда на окупованих територіях України [Електронний ресурс] // Центр протидії дезінформації. – 2024. – Режим доступу до ресурсу: </w:t>
      </w:r>
      <w:hyperlink r:id="rId2616" w:history="1">
        <w:r w:rsidRPr="00511005">
          <w:rPr>
            <w:rFonts w:ascii="Arial" w:eastAsia="Times New Roman" w:hAnsi="Arial" w:cs="Arial"/>
            <w:szCs w:val="28"/>
            <w:shd w:val="clear" w:color="auto" w:fill="FFFFFF"/>
            <w:lang w:eastAsia="ru-RU"/>
          </w:rPr>
          <w:t>https://cpd.gov.ua/articles/yak-diye-kremlivska-propaganda-na-okupovanyh-terytoriyah/</w:t>
        </w:r>
      </w:hyperlink>
      <w:r w:rsidRPr="00511005">
        <w:rPr>
          <w:rFonts w:ascii="Arial" w:eastAsia="Times New Roman" w:hAnsi="Arial" w:cs="Arial"/>
          <w:szCs w:val="28"/>
          <w:shd w:val="clear" w:color="auto" w:fill="FFFFFF"/>
          <w:lang w:eastAsia="ru-RU"/>
        </w:rPr>
        <w:t>.</w:t>
      </w:r>
    </w:p>
    <w:p w14:paraId="62A18204" w14:textId="357853CC" w:rsidR="007B2628" w:rsidRPr="00511005" w:rsidRDefault="007B2628"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пропаганда, журналістика в умовах війни, окупація, інформаціяйна блокада, війна, Україна. Росія.</w:t>
      </w:r>
    </w:p>
    <w:p w14:paraId="74FDC654" w14:textId="24F919C4" w:rsidR="00AE57E7" w:rsidRPr="00511005" w:rsidRDefault="007B2628"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Key words: </w:t>
      </w:r>
      <w:r w:rsidR="00AE57E7" w:rsidRPr="00511005">
        <w:rPr>
          <w:rFonts w:ascii="Arial" w:eastAsia="Times New Roman" w:hAnsi="Arial" w:cs="Arial"/>
          <w:szCs w:val="28"/>
          <w:lang w:val="uk-UA" w:eastAsia="ru-RU"/>
        </w:rPr>
        <w:t>propaganda, journalism in conditions of war, occupation, information blockade, war, Ukraine. Russia.</w:t>
      </w:r>
    </w:p>
    <w:p w14:paraId="3142EBDD" w14:textId="02CD1BA8" w:rsidR="00AE57E7" w:rsidRPr="00511005" w:rsidRDefault="00AE57E7" w:rsidP="003A292D">
      <w:pPr>
        <w:spacing w:line="264" w:lineRule="auto"/>
        <w:ind w:right="-141" w:firstLine="0"/>
        <w:rPr>
          <w:rFonts w:ascii="Arial" w:eastAsia="Times New Roman" w:hAnsi="Arial" w:cs="Arial"/>
          <w:szCs w:val="28"/>
          <w:shd w:val="clear" w:color="auto" w:fill="FFFFFF"/>
          <w:lang w:val="uk-UA" w:eastAsia="ru-RU"/>
        </w:rPr>
      </w:pPr>
      <w:r w:rsidRPr="00B0230F">
        <w:rPr>
          <w:rFonts w:ascii="Arial" w:eastAsia="Times New Roman" w:hAnsi="Arial" w:cs="Arial"/>
          <w:b/>
          <w:bCs/>
          <w:i/>
          <w:iCs/>
          <w:szCs w:val="28"/>
          <w:shd w:val="clear" w:color="auto" w:fill="FFFFFF"/>
          <w:lang w:val="uk-UA" w:eastAsia="ru-RU"/>
        </w:rPr>
        <w:t>Науковий керівник</w:t>
      </w:r>
      <w:r w:rsidR="00B0230F" w:rsidRPr="00B0230F">
        <w:rPr>
          <w:rFonts w:ascii="Arial" w:eastAsia="Times New Roman" w:hAnsi="Arial" w:cs="Arial"/>
          <w:b/>
          <w:bCs/>
          <w:i/>
          <w:iCs/>
          <w:szCs w:val="28"/>
          <w:shd w:val="clear" w:color="auto" w:fill="FFFFFF"/>
          <w:lang w:val="uk-UA" w:eastAsia="ru-RU"/>
        </w:rPr>
        <w:t>:</w:t>
      </w:r>
      <w:r w:rsidRPr="00511005">
        <w:rPr>
          <w:rFonts w:ascii="Arial" w:eastAsia="Times New Roman" w:hAnsi="Arial" w:cs="Arial"/>
          <w:szCs w:val="28"/>
          <w:shd w:val="clear" w:color="auto" w:fill="FFFFFF"/>
          <w:lang w:val="uk-UA" w:eastAsia="ru-RU"/>
        </w:rPr>
        <w:t xml:space="preserve"> старший викладач кафедри журналістики Чубук</w:t>
      </w:r>
      <w:r w:rsidR="00B0230F" w:rsidRPr="00B0230F">
        <w:rPr>
          <w:rFonts w:ascii="Arial" w:eastAsia="Times New Roman" w:hAnsi="Arial" w:cs="Arial"/>
          <w:szCs w:val="28"/>
          <w:shd w:val="clear" w:color="auto" w:fill="FFFFFF"/>
          <w:lang w:val="uk-UA" w:eastAsia="ru-RU"/>
        </w:rPr>
        <w:t xml:space="preserve"> </w:t>
      </w:r>
      <w:r w:rsidR="00B0230F" w:rsidRPr="00511005">
        <w:rPr>
          <w:rFonts w:ascii="Arial" w:eastAsia="Times New Roman" w:hAnsi="Arial" w:cs="Arial"/>
          <w:szCs w:val="28"/>
          <w:shd w:val="clear" w:color="auto" w:fill="FFFFFF"/>
          <w:lang w:val="uk-UA" w:eastAsia="ru-RU"/>
        </w:rPr>
        <w:t>О.Л.</w:t>
      </w:r>
    </w:p>
    <w:p w14:paraId="6F5F4C42" w14:textId="77777777" w:rsidR="00AE57E7" w:rsidRPr="00511005" w:rsidRDefault="00AE57E7" w:rsidP="003A292D">
      <w:pPr>
        <w:spacing w:line="264" w:lineRule="auto"/>
        <w:ind w:right="-141" w:firstLine="0"/>
        <w:jc w:val="left"/>
        <w:rPr>
          <w:rFonts w:ascii="Arial" w:eastAsia="Times New Roman" w:hAnsi="Arial" w:cs="Arial"/>
          <w:b/>
          <w:bCs/>
          <w:iCs/>
          <w:szCs w:val="28"/>
          <w:lang w:val="uk-UA" w:eastAsia="ru-RU"/>
        </w:rPr>
      </w:pPr>
    </w:p>
    <w:p w14:paraId="35FD6B0D" w14:textId="18476C29" w:rsidR="00AE57E7" w:rsidRPr="00511005" w:rsidRDefault="00AE57E7" w:rsidP="003A292D">
      <w:pPr>
        <w:spacing w:line="264" w:lineRule="auto"/>
        <w:ind w:right="-141" w:firstLine="0"/>
        <w:jc w:val="left"/>
        <w:rPr>
          <w:rFonts w:ascii="Arial" w:eastAsia="Times New Roman" w:hAnsi="Arial" w:cs="Arial"/>
          <w:b/>
          <w:bCs/>
          <w:iCs/>
          <w:szCs w:val="28"/>
          <w:lang w:eastAsia="ru-RU"/>
        </w:rPr>
      </w:pPr>
    </w:p>
    <w:p w14:paraId="56009AED" w14:textId="7F0384C1" w:rsidR="00AE57E7" w:rsidRPr="00511005" w:rsidRDefault="00AE57E7" w:rsidP="003A292D">
      <w:pPr>
        <w:spacing w:line="264" w:lineRule="auto"/>
        <w:ind w:right="-141" w:firstLine="0"/>
        <w:contextualSpacing/>
        <w:jc w:val="center"/>
        <w:rPr>
          <w:rFonts w:ascii="Arial" w:eastAsia="Times New Roman" w:hAnsi="Arial" w:cs="Arial"/>
          <w:b/>
          <w:bCs/>
          <w:i/>
          <w:iCs/>
          <w:szCs w:val="28"/>
          <w:lang w:eastAsia="ru-RU"/>
        </w:rPr>
      </w:pPr>
      <w:r w:rsidRPr="00511005">
        <w:rPr>
          <w:rFonts w:ascii="Arial" w:eastAsia="Times New Roman" w:hAnsi="Arial" w:cs="Arial"/>
          <w:b/>
          <w:bCs/>
          <w:i/>
          <w:iCs/>
          <w:szCs w:val="28"/>
          <w:lang w:eastAsia="ru-RU"/>
        </w:rPr>
        <w:t>Зачеп</w:t>
      </w:r>
      <w:r w:rsidR="009008A5" w:rsidRPr="00511005">
        <w:rPr>
          <w:rFonts w:ascii="Arial" w:eastAsia="Times New Roman" w:hAnsi="Arial" w:cs="Arial"/>
          <w:b/>
          <w:bCs/>
          <w:i/>
          <w:iCs/>
          <w:szCs w:val="28"/>
          <w:lang w:val="uk-UA" w:eastAsia="ru-RU"/>
        </w:rPr>
        <w:t>а</w:t>
      </w:r>
      <w:r w:rsidRPr="00511005">
        <w:rPr>
          <w:rFonts w:ascii="Arial" w:eastAsia="Times New Roman" w:hAnsi="Arial" w:cs="Arial"/>
          <w:b/>
          <w:bCs/>
          <w:i/>
          <w:iCs/>
          <w:szCs w:val="28"/>
          <w:lang w:eastAsia="ru-RU"/>
        </w:rPr>
        <w:t xml:space="preserve"> Олександр</w:t>
      </w:r>
      <w:r w:rsidR="009008A5" w:rsidRPr="00511005">
        <w:rPr>
          <w:rFonts w:ascii="Arial" w:eastAsia="Times New Roman" w:hAnsi="Arial" w:cs="Arial"/>
          <w:b/>
          <w:bCs/>
          <w:i/>
          <w:iCs/>
          <w:szCs w:val="28"/>
          <w:lang w:val="uk-UA" w:eastAsia="ru-RU"/>
        </w:rPr>
        <w:t>а</w:t>
      </w:r>
      <w:r w:rsidRPr="00511005">
        <w:rPr>
          <w:rFonts w:ascii="Arial" w:eastAsia="Times New Roman" w:hAnsi="Arial" w:cs="Arial"/>
          <w:b/>
          <w:bCs/>
          <w:i/>
          <w:iCs/>
          <w:szCs w:val="28"/>
          <w:lang w:eastAsia="ru-RU"/>
        </w:rPr>
        <w:t xml:space="preserve"> Олександрівн</w:t>
      </w:r>
      <w:r w:rsidR="009008A5" w:rsidRPr="00511005">
        <w:rPr>
          <w:rFonts w:ascii="Arial" w:eastAsia="Times New Roman" w:hAnsi="Arial" w:cs="Arial"/>
          <w:b/>
          <w:bCs/>
          <w:i/>
          <w:iCs/>
          <w:szCs w:val="28"/>
          <w:lang w:val="uk-UA" w:eastAsia="ru-RU"/>
        </w:rPr>
        <w:t>а</w:t>
      </w:r>
      <w:r w:rsidRPr="00511005">
        <w:rPr>
          <w:rFonts w:ascii="Arial" w:eastAsia="Times New Roman" w:hAnsi="Arial" w:cs="Arial"/>
          <w:b/>
          <w:bCs/>
          <w:i/>
          <w:iCs/>
          <w:szCs w:val="28"/>
          <w:lang w:eastAsia="ru-RU"/>
        </w:rPr>
        <w:t xml:space="preserve"> </w:t>
      </w:r>
    </w:p>
    <w:p w14:paraId="704461B1" w14:textId="1EABC0C2" w:rsidR="00AE57E7" w:rsidRPr="00511005" w:rsidRDefault="00287A9C" w:rsidP="003A292D">
      <w:pPr>
        <w:spacing w:line="264" w:lineRule="auto"/>
        <w:ind w:right="-141" w:firstLine="0"/>
        <w:contextualSpacing/>
        <w:jc w:val="center"/>
        <w:rPr>
          <w:rFonts w:ascii="Arial" w:eastAsia="Times New Roman" w:hAnsi="Arial" w:cs="Arial"/>
          <w:szCs w:val="28"/>
          <w:lang w:eastAsia="uk-UA"/>
        </w:rPr>
      </w:pPr>
      <w:r w:rsidRPr="00511005">
        <w:rPr>
          <w:rFonts w:ascii="Arial" w:eastAsia="Times New Roman" w:hAnsi="Arial" w:cs="Arial"/>
          <w:szCs w:val="28"/>
          <w:lang w:eastAsia="ru-RU"/>
        </w:rPr>
        <w:t>студент</w:t>
      </w:r>
      <w:r w:rsidR="00AE57E7" w:rsidRPr="00511005">
        <w:rPr>
          <w:rFonts w:ascii="Arial" w:eastAsia="Times New Roman" w:hAnsi="Arial" w:cs="Arial"/>
          <w:szCs w:val="28"/>
          <w:lang w:eastAsia="ru-RU"/>
        </w:rPr>
        <w:t>к</w:t>
      </w:r>
      <w:r w:rsidR="009008A5" w:rsidRPr="00511005">
        <w:rPr>
          <w:rFonts w:ascii="Arial" w:eastAsia="Times New Roman" w:hAnsi="Arial" w:cs="Arial"/>
          <w:szCs w:val="28"/>
          <w:lang w:val="uk-UA" w:eastAsia="ru-RU"/>
        </w:rPr>
        <w:t>а</w:t>
      </w:r>
      <w:r w:rsidR="00AE57E7" w:rsidRPr="00511005">
        <w:rPr>
          <w:rFonts w:ascii="Arial" w:eastAsia="Times New Roman" w:hAnsi="Arial" w:cs="Arial"/>
          <w:szCs w:val="28"/>
          <w:lang w:eastAsia="uk-UA"/>
        </w:rPr>
        <w:t xml:space="preserve"> </w:t>
      </w:r>
      <w:r w:rsidR="009008A5" w:rsidRPr="00511005">
        <w:rPr>
          <w:rFonts w:ascii="Arial" w:eastAsia="Times New Roman" w:hAnsi="Arial" w:cs="Arial"/>
          <w:szCs w:val="28"/>
          <w:lang w:val="uk-UA" w:eastAsia="uk-UA"/>
        </w:rPr>
        <w:t>2-го</w:t>
      </w:r>
      <w:r w:rsidR="00AE57E7" w:rsidRPr="00511005">
        <w:rPr>
          <w:rFonts w:ascii="Arial" w:eastAsia="Times New Roman" w:hAnsi="Arial" w:cs="Arial"/>
          <w:szCs w:val="28"/>
          <w:lang w:eastAsia="uk-UA"/>
        </w:rPr>
        <w:t xml:space="preserve"> курсу </w:t>
      </w:r>
      <w:r w:rsidR="00536AAB" w:rsidRPr="00511005">
        <w:rPr>
          <w:rFonts w:ascii="Arial" w:eastAsia="Times New Roman" w:hAnsi="Arial" w:cs="Arial"/>
          <w:szCs w:val="28"/>
          <w:lang w:eastAsia="uk-UA"/>
        </w:rPr>
        <w:t>факультету журналістики</w:t>
      </w:r>
      <w:r w:rsidR="00AE57E7" w:rsidRPr="00511005">
        <w:rPr>
          <w:rFonts w:ascii="Arial" w:eastAsia="Times New Roman" w:hAnsi="Arial" w:cs="Arial"/>
          <w:szCs w:val="28"/>
          <w:lang w:eastAsia="uk-UA"/>
        </w:rPr>
        <w:t xml:space="preserve"> </w:t>
      </w:r>
    </w:p>
    <w:p w14:paraId="18CB9DAC" w14:textId="77777777" w:rsidR="00146592" w:rsidRPr="00511005" w:rsidRDefault="00C66506" w:rsidP="003A292D">
      <w:pPr>
        <w:spacing w:line="264" w:lineRule="auto"/>
        <w:ind w:right="-141" w:firstLine="0"/>
        <w:contextualSpacing/>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5BB8879" w14:textId="05D35E0C" w:rsidR="00AE57E7" w:rsidRPr="00511005" w:rsidRDefault="00AE57E7" w:rsidP="003A292D">
      <w:pPr>
        <w:spacing w:line="264" w:lineRule="auto"/>
        <w:ind w:right="-141" w:firstLine="0"/>
        <w:contextualSpacing/>
        <w:jc w:val="center"/>
        <w:rPr>
          <w:rFonts w:ascii="Arial" w:eastAsia="Times New Roman" w:hAnsi="Arial" w:cs="Arial"/>
          <w:szCs w:val="28"/>
          <w:lang w:eastAsia="ru-RU"/>
        </w:rPr>
      </w:pPr>
    </w:p>
    <w:p w14:paraId="166F6B38" w14:textId="77777777" w:rsidR="00AE57E7" w:rsidRPr="00511005" w:rsidRDefault="00AE57E7" w:rsidP="003A292D">
      <w:pPr>
        <w:spacing w:line="264" w:lineRule="auto"/>
        <w:ind w:right="-141" w:firstLine="567"/>
        <w:contextualSpacing/>
        <w:jc w:val="center"/>
        <w:rPr>
          <w:rFonts w:ascii="Arial" w:eastAsia="Times New Roman" w:hAnsi="Arial" w:cs="Arial"/>
          <w:b/>
          <w:bCs/>
          <w:szCs w:val="28"/>
          <w:lang w:val="uk-UA" w:eastAsia="ru-RU"/>
        </w:rPr>
      </w:pPr>
      <w:r w:rsidRPr="00511005">
        <w:rPr>
          <w:rFonts w:ascii="Arial" w:eastAsia="Times New Roman" w:hAnsi="Arial" w:cs="Arial"/>
          <w:b/>
          <w:bCs/>
          <w:szCs w:val="28"/>
          <w:lang w:val="uk-UA" w:eastAsia="ru-RU"/>
        </w:rPr>
        <w:t>ФУНКЦІОНАЛЬНЕ ПРИЗНАЧЕННЯ ЧАТ-БОТІВ</w:t>
      </w:r>
    </w:p>
    <w:p w14:paraId="46667739" w14:textId="77777777" w:rsidR="00AE57E7" w:rsidRPr="00511005" w:rsidRDefault="00AE57E7" w:rsidP="003A292D">
      <w:pPr>
        <w:spacing w:line="264" w:lineRule="auto"/>
        <w:ind w:right="-141" w:firstLine="567"/>
        <w:contextualSpacing/>
        <w:rPr>
          <w:rFonts w:ascii="Arial" w:eastAsia="Times New Roman" w:hAnsi="Arial" w:cs="Arial"/>
          <w:szCs w:val="28"/>
          <w:lang w:eastAsia="ru-RU"/>
        </w:rPr>
      </w:pPr>
      <w:r w:rsidRPr="00511005">
        <w:rPr>
          <w:rFonts w:ascii="Arial" w:eastAsia="Times New Roman" w:hAnsi="Arial" w:cs="Arial"/>
          <w:szCs w:val="28"/>
          <w:lang w:eastAsia="ru-RU"/>
        </w:rPr>
        <w:t>Чат-боти стали важливим інструментом для медіа в автоматизації процесів взаємодії з аудиторією. Вони здатні миттєво відповідати на запити користувачів, що значно підвищує оперативність роботи редакцій. Використання чат-ботів дозволяє журналістам зосередитися на створенні контенту, зменшуючи навантаження на персонал, який працює з питаннями і запитами аудиторії. Однією з головних переваг чат-ботів є можливість взаємодії в реальному часі. Вони можуть збирати зворотний зв’язок, проводити опитування чи навіть організовувати голосування серед користувачів, що дозволяє медіа оперативно реагувати на думки та настрої аудиторії, а також залучати її до обговорень актуальних тем.</w:t>
      </w:r>
    </w:p>
    <w:p w14:paraId="63F892A8" w14:textId="77777777" w:rsidR="00AE57E7" w:rsidRPr="00511005" w:rsidRDefault="00AE57E7" w:rsidP="003A292D">
      <w:pPr>
        <w:spacing w:line="264" w:lineRule="auto"/>
        <w:ind w:right="-141" w:firstLine="567"/>
        <w:contextualSpacing/>
        <w:rPr>
          <w:rFonts w:ascii="Arial" w:eastAsia="Times New Roman" w:hAnsi="Arial" w:cs="Arial"/>
          <w:szCs w:val="28"/>
          <w:lang w:eastAsia="ru-RU"/>
        </w:rPr>
      </w:pPr>
      <w:r w:rsidRPr="00511005">
        <w:rPr>
          <w:rFonts w:ascii="Arial" w:eastAsia="Times New Roman" w:hAnsi="Arial" w:cs="Arial"/>
          <w:szCs w:val="28"/>
          <w:lang w:eastAsia="ru-RU"/>
        </w:rPr>
        <w:lastRenderedPageBreak/>
        <w:t>Чат-боти відкривають нові можливості для медіа в адаптації контенту до інтересів та потреб конкретних користувачів. Це відбувається завдяки здатності чат-ботів аналізувати запити, поведінку та переваги аудиторії, що дозволяє не лише надавати загальні новини, а й персоналізувати досвід споживання інформації. Наприклад, якщо користувач виявляє інтерес до певних тем - спорту, політики, культури чи технологій - чат-бот може забезпечити його відповідними статтями або навіть здійснювати регулярні розсилки на основі цих інтересів. Такі персоналізовані новини створюють відчуття залученості та допомагають зміцнити зв’язок між медіа-ресурсами та їхньою аудиторією, що сприяє підвищенню лояльності читачів.</w:t>
      </w:r>
    </w:p>
    <w:p w14:paraId="521F25C6" w14:textId="77777777" w:rsidR="00AE57E7" w:rsidRPr="00511005" w:rsidRDefault="00AE57E7" w:rsidP="003A292D">
      <w:pPr>
        <w:spacing w:line="264" w:lineRule="auto"/>
        <w:ind w:right="-141" w:firstLine="567"/>
        <w:contextualSpacing/>
        <w:rPr>
          <w:rFonts w:ascii="Arial" w:eastAsia="Times New Roman" w:hAnsi="Arial" w:cs="Arial"/>
          <w:szCs w:val="28"/>
          <w:lang w:eastAsia="ru-RU"/>
        </w:rPr>
      </w:pPr>
      <w:r w:rsidRPr="00511005">
        <w:rPr>
          <w:rFonts w:ascii="Arial" w:eastAsia="Times New Roman" w:hAnsi="Arial" w:cs="Arial"/>
          <w:szCs w:val="28"/>
          <w:lang w:eastAsia="ru-RU"/>
        </w:rPr>
        <w:t>Інтеграція чат-ботів із різними цифровими платформами - соціальними мережами, месенджерами та мобільними додатками - надає медіа величезні переваги. Користувачі можуть отримувати новини через ті канали, які їм найзручніші, і це підвищує зручність споживання контенту. Чат-боти, працюючи на різних платформах, дають можливість медіа розширювати свою аудиторію, залучати нових користувачів і поширювати контент серед ширших груп людей, забезпечуючи зручний доступ до інформації на мобільних телефонах чи комп'ютерах. Завдяки цьому медіа можуть зберігати постійну взаємодію з аудиторією, бути на зв'язку і підтримувати постійну комунікацію.</w:t>
      </w:r>
    </w:p>
    <w:p w14:paraId="0FF9089B" w14:textId="77777777" w:rsidR="00AE57E7" w:rsidRPr="00511005" w:rsidRDefault="00AE57E7" w:rsidP="003A292D">
      <w:pPr>
        <w:spacing w:line="264" w:lineRule="auto"/>
        <w:ind w:right="-141" w:firstLine="567"/>
        <w:contextualSpacing/>
        <w:rPr>
          <w:rFonts w:ascii="Arial" w:eastAsia="Times New Roman" w:hAnsi="Arial" w:cs="Arial"/>
          <w:szCs w:val="28"/>
          <w:lang w:eastAsia="ru-RU"/>
        </w:rPr>
      </w:pPr>
      <w:r w:rsidRPr="00511005">
        <w:rPr>
          <w:rFonts w:ascii="Arial" w:eastAsia="Times New Roman" w:hAnsi="Arial" w:cs="Arial"/>
          <w:szCs w:val="28"/>
          <w:lang w:eastAsia="ru-RU"/>
        </w:rPr>
        <w:t>Крім того, чат-боти сприяють зміщенню акценту в журналістиці з пасивного споживання новин до більш активної взаємодії з контентом. Користувачі можуть не лише отримувати новини, а й активно брати участь у створенні контенту через опитування, голосування або коментарі, що робить процес взаємодії двостороннім. Чат-боти можуть також організовувати інтерактивні заходи, такі як обговорення, трансляції або опитування, що допомагає аудиторії глибше занурюватися в тему і активно впливати на обговорювані питання.</w:t>
      </w:r>
    </w:p>
    <w:p w14:paraId="5FCBD675" w14:textId="77777777" w:rsidR="00AE57E7" w:rsidRPr="00511005" w:rsidRDefault="00AE57E7" w:rsidP="003A292D">
      <w:pPr>
        <w:spacing w:line="264" w:lineRule="auto"/>
        <w:ind w:right="-141" w:firstLine="567"/>
        <w:contextualSpacing/>
        <w:rPr>
          <w:rFonts w:ascii="Arial" w:eastAsia="Times New Roman" w:hAnsi="Arial" w:cs="Arial"/>
          <w:szCs w:val="28"/>
          <w:lang w:eastAsia="ru-RU"/>
        </w:rPr>
      </w:pPr>
      <w:r w:rsidRPr="00511005">
        <w:rPr>
          <w:rFonts w:ascii="Arial" w:eastAsia="Times New Roman" w:hAnsi="Arial" w:cs="Arial"/>
          <w:szCs w:val="28"/>
          <w:lang w:eastAsia="ru-RU"/>
        </w:rPr>
        <w:t>Проте впровадження чат-ботів у журналістику ставить перед медіа нові етичні виклики. Одним із основних питань є довіра до автоматизованого контенту, що генерується чат-ботами. Оскільки чат-боти можуть збирати та аналізувати величезні обсяги даних про користувачів, виникає питання, чи можуть вони створювати або поширювати контент, що маніпулює думками або не є об’єктивним. Це підвищує ризики використання чат-ботів для маніпулювання громадською думкою, особливо в умовах, коли автоматизовані алгоритми можуть бути налаштовані на специфічні соціальні чи політичні інтереси. Тому важливо, щоб медіа зберігали високі етичні стандарти, забезпечуючи прозорість у використанні чат-ботів та гарантували достовірність і правдивість інформації. Залишаючись відданими журналістським принципам, медіа можуть використовувати чат-боти як потужний інструмент для покращення взаємодії з аудиторією та підвищення ефективності комунікацій.</w:t>
      </w:r>
    </w:p>
    <w:p w14:paraId="29EF3087" w14:textId="77777777" w:rsidR="00AE57E7" w:rsidRPr="00511005" w:rsidRDefault="00AE57E7" w:rsidP="003A292D">
      <w:pPr>
        <w:spacing w:line="264" w:lineRule="auto"/>
        <w:ind w:right="-141" w:firstLine="567"/>
        <w:contextualSpacing/>
        <w:rPr>
          <w:rFonts w:ascii="Arial" w:eastAsia="Times New Roman" w:hAnsi="Arial" w:cs="Arial"/>
          <w:szCs w:val="28"/>
          <w:lang w:eastAsia="ru-RU"/>
        </w:rPr>
      </w:pPr>
      <w:r w:rsidRPr="00511005">
        <w:rPr>
          <w:rFonts w:ascii="Arial" w:eastAsia="Times New Roman" w:hAnsi="Arial" w:cs="Arial"/>
          <w:szCs w:val="28"/>
          <w:lang w:eastAsia="ru-RU"/>
        </w:rPr>
        <w:lastRenderedPageBreak/>
        <w:t>Загалом, чат-боти дозволяють медіа створювати нові можливості для інтерактивної взаємодії з аудиторією, адаптувати контент до індивідуальних потреб та розширювати свої можливості на різних цифрових платформах. Водночас вони відкривають нові горизонти для етики журналістики, вимагаючи більш уважного ставлення до питань прозорості та достовірності контенту.</w:t>
      </w:r>
    </w:p>
    <w:p w14:paraId="582585B4" w14:textId="77777777" w:rsidR="00AE57E7" w:rsidRPr="00511005" w:rsidRDefault="00AE57E7" w:rsidP="003A292D">
      <w:pPr>
        <w:spacing w:line="264" w:lineRule="auto"/>
        <w:ind w:right="-141" w:firstLine="567"/>
        <w:contextualSpacing/>
        <w:rPr>
          <w:rFonts w:ascii="Arial" w:eastAsia="Times New Roman" w:hAnsi="Arial" w:cs="Arial"/>
          <w:szCs w:val="28"/>
          <w:lang w:eastAsia="ru-RU"/>
        </w:rPr>
      </w:pPr>
      <w:r w:rsidRPr="00511005">
        <w:rPr>
          <w:rFonts w:ascii="Arial" w:eastAsia="Times New Roman" w:hAnsi="Arial" w:cs="Arial"/>
          <w:szCs w:val="28"/>
          <w:lang w:eastAsia="ru-RU"/>
        </w:rPr>
        <w:t>Чат-боти стають важливим інструментом у сучасній журналістиці, значно покращуючи взаємодію медіа з аудиторією. Вони дозволяють автоматизувати комунікацію, персоналізувати контент, збільшувати оперативність та залучати користувачів до активної взаємодії. Інтеграція чат-ботів з різними цифровими платформами розширює аудиторію медіа та забезпечує зручний доступ до новин. Однак впровадження цих технологій ставить перед медіа нові етичні виклики, пов’язані з довірою до автоматизованого контенту та необхідністю збереження прозорості й достовірності інформації. В цілому, чат-боти відкривають нові можливості для розвитку інтерактивної журналістики, підвищуючи ефективність комунікації та зміцнюючи зв’язок між медіа та їхньою аудиторією.</w:t>
      </w:r>
    </w:p>
    <w:p w14:paraId="3287425A" w14:textId="77777777" w:rsidR="00AE57E7" w:rsidRPr="00511005" w:rsidRDefault="00AE57E7" w:rsidP="003A292D">
      <w:pPr>
        <w:spacing w:line="264" w:lineRule="auto"/>
        <w:ind w:right="-141" w:firstLine="567"/>
        <w:contextualSpacing/>
        <w:rPr>
          <w:rFonts w:ascii="Arial" w:eastAsia="Times New Roman" w:hAnsi="Arial" w:cs="Arial"/>
          <w:szCs w:val="28"/>
          <w:lang w:eastAsia="ru-RU"/>
        </w:rPr>
      </w:pPr>
    </w:p>
    <w:p w14:paraId="0A09491F" w14:textId="1AA3B9E9" w:rsidR="00AE57E7" w:rsidRPr="00511005" w:rsidRDefault="007B2628" w:rsidP="007B2628">
      <w:pPr>
        <w:tabs>
          <w:tab w:val="left" w:pos="851"/>
        </w:tabs>
        <w:spacing w:line="264" w:lineRule="auto"/>
        <w:ind w:right="-141" w:firstLine="567"/>
        <w:contextualSpacing/>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2146D63F" w14:textId="77777777" w:rsidR="00AE57E7" w:rsidRPr="00511005" w:rsidRDefault="00AE57E7" w:rsidP="003F6A5D">
      <w:pPr>
        <w:numPr>
          <w:ilvl w:val="0"/>
          <w:numId w:val="749"/>
        </w:numPr>
        <w:spacing w:line="264" w:lineRule="auto"/>
        <w:ind w:left="0" w:right="-141" w:firstLine="720"/>
        <w:contextualSpacing/>
        <w:jc w:val="left"/>
        <w:rPr>
          <w:rFonts w:ascii="Arial" w:eastAsia="Times New Roman" w:hAnsi="Arial" w:cs="Arial"/>
          <w:szCs w:val="28"/>
          <w:lang w:eastAsia="uk-UA"/>
        </w:rPr>
      </w:pPr>
      <w:r w:rsidRPr="00511005">
        <w:rPr>
          <w:rFonts w:ascii="Arial" w:eastAsia="Times New Roman" w:hAnsi="Arial" w:cs="Arial"/>
          <w:szCs w:val="28"/>
          <w:lang w:eastAsia="uk-UA"/>
        </w:rPr>
        <w:t xml:space="preserve">Іванчук Я.В., Горобець Ю.В., Коваль К.О. </w:t>
      </w:r>
      <w:r w:rsidRPr="00511005">
        <w:rPr>
          <w:rFonts w:ascii="Arial" w:eastAsia="Times New Roman" w:hAnsi="Arial" w:cs="Arial"/>
          <w:i/>
          <w:iCs/>
          <w:szCs w:val="28"/>
          <w:lang w:eastAsia="uk-UA"/>
        </w:rPr>
        <w:t>Системні технології</w:t>
      </w:r>
      <w:r w:rsidRPr="00511005">
        <w:rPr>
          <w:rFonts w:ascii="Arial" w:eastAsia="Times New Roman" w:hAnsi="Arial" w:cs="Arial"/>
          <w:szCs w:val="28"/>
          <w:lang w:eastAsia="uk-UA"/>
        </w:rPr>
        <w:t xml:space="preserve">, 2022. С. 149–155. URL: </w:t>
      </w:r>
      <w:hyperlink r:id="rId2617" w:history="1">
        <w:r w:rsidRPr="00511005">
          <w:rPr>
            <w:rFonts w:ascii="Arial" w:eastAsia="Times New Roman" w:hAnsi="Arial" w:cs="Arial"/>
            <w:szCs w:val="28"/>
            <w:lang w:eastAsia="ru-RU"/>
          </w:rPr>
          <w:t>file:///D:/UserOK/Downloads/st_2_139_2022_full.pdf</w:t>
        </w:r>
      </w:hyperlink>
    </w:p>
    <w:p w14:paraId="3595FA44" w14:textId="77777777" w:rsidR="00AE57E7" w:rsidRPr="00511005" w:rsidRDefault="00AE57E7" w:rsidP="003F6A5D">
      <w:pPr>
        <w:numPr>
          <w:ilvl w:val="0"/>
          <w:numId w:val="749"/>
        </w:numPr>
        <w:spacing w:line="264" w:lineRule="auto"/>
        <w:ind w:left="0" w:right="-141" w:firstLine="720"/>
        <w:contextualSpacing/>
        <w:jc w:val="left"/>
        <w:rPr>
          <w:rFonts w:ascii="Arial" w:eastAsia="Times New Roman" w:hAnsi="Arial" w:cs="Arial"/>
          <w:szCs w:val="28"/>
          <w:lang w:val="pl-PL" w:eastAsia="uk-UA"/>
        </w:rPr>
      </w:pPr>
      <w:r w:rsidRPr="00511005">
        <w:rPr>
          <w:rFonts w:ascii="Arial" w:eastAsia="Times New Roman" w:hAnsi="Arial" w:cs="Arial"/>
          <w:szCs w:val="28"/>
          <w:lang w:eastAsia="uk-UA"/>
        </w:rPr>
        <w:t xml:space="preserve">Сальницький І. </w:t>
      </w:r>
      <w:r w:rsidRPr="00511005">
        <w:rPr>
          <w:rFonts w:ascii="Arial" w:eastAsia="Times New Roman" w:hAnsi="Arial" w:cs="Arial"/>
          <w:i/>
          <w:iCs/>
          <w:szCs w:val="28"/>
          <w:lang w:eastAsia="uk-UA"/>
        </w:rPr>
        <w:t xml:space="preserve">Чатботи </w:t>
      </w:r>
      <w:proofErr w:type="gramStart"/>
      <w:r w:rsidRPr="00511005">
        <w:rPr>
          <w:rFonts w:ascii="Arial" w:eastAsia="Times New Roman" w:hAnsi="Arial" w:cs="Arial"/>
          <w:i/>
          <w:iCs/>
          <w:szCs w:val="28"/>
          <w:lang w:eastAsia="uk-UA"/>
        </w:rPr>
        <w:t>в маркетингу</w:t>
      </w:r>
      <w:proofErr w:type="gramEnd"/>
      <w:r w:rsidRPr="00511005">
        <w:rPr>
          <w:rFonts w:ascii="Arial" w:eastAsia="Times New Roman" w:hAnsi="Arial" w:cs="Arial"/>
          <w:i/>
          <w:iCs/>
          <w:szCs w:val="28"/>
          <w:lang w:eastAsia="uk-UA"/>
        </w:rPr>
        <w:t xml:space="preserve"> — ефективні канали комунікації брендів</w:t>
      </w:r>
      <w:r w:rsidRPr="00511005">
        <w:rPr>
          <w:rFonts w:ascii="Arial" w:eastAsia="Times New Roman" w:hAnsi="Arial" w:cs="Arial"/>
          <w:szCs w:val="28"/>
          <w:lang w:eastAsia="uk-UA"/>
        </w:rPr>
        <w:t xml:space="preserve">. </w:t>
      </w:r>
      <w:r w:rsidRPr="00511005">
        <w:rPr>
          <w:rFonts w:ascii="Arial" w:eastAsia="Times New Roman" w:hAnsi="Arial" w:cs="Arial"/>
          <w:szCs w:val="28"/>
          <w:lang w:val="pl-PL" w:eastAsia="uk-UA"/>
        </w:rPr>
        <w:t xml:space="preserve">URL: </w:t>
      </w:r>
      <w:hyperlink r:id="rId2618" w:tgtFrame="_new" w:history="1">
        <w:r w:rsidRPr="00511005">
          <w:rPr>
            <w:rFonts w:ascii="Arial" w:eastAsia="Times New Roman" w:hAnsi="Arial" w:cs="Arial"/>
            <w:szCs w:val="28"/>
            <w:lang w:val="pl-PL" w:eastAsia="uk-UA"/>
          </w:rPr>
          <w:t>https://omgagency.me/blog/chatboty-v-marketyngu-efektyvni-kanaly-komunikacziyi-brendiv/</w:t>
        </w:r>
      </w:hyperlink>
    </w:p>
    <w:p w14:paraId="55AED233" w14:textId="77777777" w:rsidR="00AE57E7" w:rsidRPr="00511005" w:rsidRDefault="00AE57E7" w:rsidP="003F6A5D">
      <w:pPr>
        <w:numPr>
          <w:ilvl w:val="0"/>
          <w:numId w:val="749"/>
        </w:numPr>
        <w:spacing w:line="264" w:lineRule="auto"/>
        <w:ind w:left="0" w:right="-141" w:firstLine="720"/>
        <w:contextualSpacing/>
        <w:jc w:val="left"/>
        <w:rPr>
          <w:rFonts w:ascii="Arial" w:eastAsia="Times New Roman" w:hAnsi="Arial" w:cs="Arial"/>
          <w:szCs w:val="28"/>
          <w:lang w:val="pl-PL" w:eastAsia="uk-UA"/>
        </w:rPr>
      </w:pPr>
      <w:r w:rsidRPr="00511005">
        <w:rPr>
          <w:rFonts w:ascii="Arial" w:eastAsia="Times New Roman" w:hAnsi="Arial" w:cs="Arial"/>
          <w:i/>
          <w:iCs/>
          <w:szCs w:val="28"/>
          <w:lang w:eastAsia="uk-UA"/>
        </w:rPr>
        <w:t>Чат</w:t>
      </w:r>
      <w:r w:rsidRPr="00511005">
        <w:rPr>
          <w:rFonts w:ascii="Arial" w:eastAsia="Times New Roman" w:hAnsi="Arial" w:cs="Arial"/>
          <w:i/>
          <w:iCs/>
          <w:szCs w:val="28"/>
          <w:lang w:val="pl-PL" w:eastAsia="uk-UA"/>
        </w:rPr>
        <w:t>-</w:t>
      </w:r>
      <w:r w:rsidRPr="00511005">
        <w:rPr>
          <w:rFonts w:ascii="Arial" w:eastAsia="Times New Roman" w:hAnsi="Arial" w:cs="Arial"/>
          <w:i/>
          <w:iCs/>
          <w:szCs w:val="28"/>
          <w:lang w:eastAsia="uk-UA"/>
        </w:rPr>
        <w:t>бот</w:t>
      </w:r>
      <w:r w:rsidRPr="00511005">
        <w:rPr>
          <w:rFonts w:ascii="Arial" w:eastAsia="Times New Roman" w:hAnsi="Arial" w:cs="Arial"/>
          <w:szCs w:val="28"/>
          <w:lang w:val="pl-PL" w:eastAsia="uk-UA"/>
        </w:rPr>
        <w:t xml:space="preserve">. </w:t>
      </w:r>
      <w:r w:rsidRPr="00511005">
        <w:rPr>
          <w:rFonts w:ascii="Arial" w:eastAsia="Times New Roman" w:hAnsi="Arial" w:cs="Arial"/>
          <w:szCs w:val="28"/>
          <w:lang w:eastAsia="uk-UA"/>
        </w:rPr>
        <w:t>Вікіпедія</w:t>
      </w:r>
      <w:r w:rsidRPr="00511005">
        <w:rPr>
          <w:rFonts w:ascii="Arial" w:eastAsia="Times New Roman" w:hAnsi="Arial" w:cs="Arial"/>
          <w:szCs w:val="28"/>
          <w:lang w:val="pl-PL" w:eastAsia="uk-UA"/>
        </w:rPr>
        <w:t xml:space="preserve">. URL: </w:t>
      </w:r>
      <w:hyperlink r:id="rId2619" w:tgtFrame="_new" w:history="1">
        <w:r w:rsidRPr="00511005">
          <w:rPr>
            <w:rFonts w:ascii="Arial" w:eastAsia="Times New Roman" w:hAnsi="Arial" w:cs="Arial"/>
            <w:szCs w:val="28"/>
            <w:lang w:val="pl-PL" w:eastAsia="uk-UA"/>
          </w:rPr>
          <w:t>https://uk.wikipedia.org/wiki/%D0%A7%D0%B0%D1%82-%D0%B1%D0%BE%D1%82</w:t>
        </w:r>
      </w:hyperlink>
    </w:p>
    <w:p w14:paraId="2EC2E404" w14:textId="77777777" w:rsidR="00AE57E7" w:rsidRPr="00511005" w:rsidRDefault="00AE57E7" w:rsidP="003F6A5D">
      <w:pPr>
        <w:numPr>
          <w:ilvl w:val="0"/>
          <w:numId w:val="749"/>
        </w:numPr>
        <w:spacing w:line="264" w:lineRule="auto"/>
        <w:ind w:left="0" w:right="-141" w:firstLine="0"/>
        <w:contextualSpacing/>
        <w:jc w:val="left"/>
        <w:rPr>
          <w:rFonts w:ascii="Arial" w:eastAsia="Times New Roman" w:hAnsi="Arial" w:cs="Arial"/>
          <w:szCs w:val="28"/>
          <w:lang w:val="uk-UA"/>
        </w:rPr>
      </w:pPr>
      <w:r w:rsidRPr="00511005">
        <w:rPr>
          <w:rFonts w:ascii="Arial" w:eastAsia="Calibri" w:hAnsi="Arial" w:cs="Arial"/>
          <w:i/>
          <w:iCs/>
          <w:szCs w:val="28"/>
          <w:lang w:val="uk-UA"/>
        </w:rPr>
        <w:t>ШІ DeepSeek</w:t>
      </w:r>
      <w:r w:rsidRPr="00511005">
        <w:rPr>
          <w:rFonts w:ascii="Arial" w:eastAsia="Calibri" w:hAnsi="Arial" w:cs="Arial"/>
          <w:szCs w:val="28"/>
          <w:lang w:val="uk-UA"/>
        </w:rPr>
        <w:t xml:space="preserve">. URL: </w:t>
      </w:r>
      <w:hyperlink r:id="rId2620" w:tgtFrame="_new" w:history="1">
        <w:r w:rsidRPr="00511005">
          <w:rPr>
            <w:rFonts w:ascii="Arial" w:eastAsia="Calibri" w:hAnsi="Arial" w:cs="Arial"/>
            <w:szCs w:val="28"/>
            <w:lang w:val="uk-UA"/>
          </w:rPr>
          <w:t>https://chat.deepseek.com/a/chat/s/cde6b4a1-8601-4a2d-a361-7866674cb16d</w:t>
        </w:r>
      </w:hyperlink>
    </w:p>
    <w:p w14:paraId="05B2401A" w14:textId="2888323D" w:rsidR="00AE57E7" w:rsidRPr="00511005" w:rsidRDefault="007B2628" w:rsidP="003A292D">
      <w:pPr>
        <w:spacing w:line="264" w:lineRule="auto"/>
        <w:ind w:right="-141" w:firstLine="567"/>
        <w:contextualSpacing/>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00AE57E7" w:rsidRPr="00511005">
        <w:rPr>
          <w:rFonts w:ascii="Arial" w:eastAsia="Times New Roman" w:hAnsi="Arial" w:cs="Arial"/>
          <w:szCs w:val="28"/>
          <w:lang w:eastAsia="ru-RU"/>
        </w:rPr>
        <w:t>чат-бот, медіа,</w:t>
      </w:r>
      <w:r w:rsidR="00AE57E7" w:rsidRPr="00511005">
        <w:rPr>
          <w:rFonts w:ascii="Arial" w:eastAsia="Times New Roman" w:hAnsi="Arial" w:cs="Arial"/>
          <w:b/>
          <w:bCs/>
          <w:szCs w:val="28"/>
          <w:lang w:eastAsia="ru-RU"/>
        </w:rPr>
        <w:t xml:space="preserve"> </w:t>
      </w:r>
      <w:r w:rsidR="00AE57E7" w:rsidRPr="00511005">
        <w:rPr>
          <w:rFonts w:ascii="Arial" w:eastAsia="Times New Roman" w:hAnsi="Arial" w:cs="Arial"/>
          <w:szCs w:val="28"/>
          <w:lang w:eastAsia="ru-RU"/>
        </w:rPr>
        <w:t>персоналізація контенту, технології взаємодії, технології в журналістиці.</w:t>
      </w:r>
    </w:p>
    <w:p w14:paraId="2251E656" w14:textId="50CE513B" w:rsidR="00AE57E7" w:rsidRPr="00511005" w:rsidRDefault="007B2628" w:rsidP="003A292D">
      <w:pPr>
        <w:spacing w:line="264" w:lineRule="auto"/>
        <w:ind w:right="-141" w:firstLine="567"/>
        <w:contextualSpacing/>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00AE57E7" w:rsidRPr="00511005">
        <w:rPr>
          <w:rFonts w:ascii="Arial" w:eastAsia="Times New Roman" w:hAnsi="Arial" w:cs="Arial"/>
          <w:szCs w:val="28"/>
          <w:lang w:val="en-US" w:eastAsia="ru-RU"/>
        </w:rPr>
        <w:t>chatbot, media, content personalization, interaction technologies, journalism technologies.</w:t>
      </w:r>
    </w:p>
    <w:p w14:paraId="448E2499" w14:textId="4508DFDE" w:rsidR="00AE57E7" w:rsidRPr="00511005" w:rsidRDefault="007B2628" w:rsidP="003A292D">
      <w:pPr>
        <w:spacing w:line="264" w:lineRule="auto"/>
        <w:ind w:right="-141" w:firstLine="567"/>
        <w:contextualSpacing/>
        <w:rPr>
          <w:rFonts w:ascii="Arial" w:eastAsia="Times New Roman" w:hAnsi="Arial" w:cs="Arial"/>
          <w:szCs w:val="28"/>
          <w:lang w:eastAsia="ru-RU"/>
        </w:rPr>
      </w:pPr>
      <w:r w:rsidRPr="00511005">
        <w:rPr>
          <w:rFonts w:ascii="Arial" w:eastAsia="Times New Roman" w:hAnsi="Arial" w:cs="Arial"/>
          <w:b/>
          <w:i/>
          <w:szCs w:val="28"/>
          <w:lang w:eastAsia="ru-RU"/>
        </w:rPr>
        <w:t xml:space="preserve">Науковий керівник: </w:t>
      </w:r>
      <w:r w:rsidR="00AE57E7" w:rsidRPr="00511005">
        <w:rPr>
          <w:rFonts w:ascii="Arial" w:eastAsia="Times New Roman" w:hAnsi="Arial" w:cs="Arial"/>
          <w:szCs w:val="28"/>
          <w:lang w:eastAsia="ru-RU"/>
        </w:rPr>
        <w:t>к.ю.н., асистент Літвінчук І.С.</w:t>
      </w:r>
    </w:p>
    <w:p w14:paraId="1C1EEC82" w14:textId="77777777" w:rsidR="00AE57E7" w:rsidRPr="00511005" w:rsidRDefault="00AE57E7" w:rsidP="003A292D">
      <w:pPr>
        <w:spacing w:line="264" w:lineRule="auto"/>
        <w:ind w:right="-141" w:firstLine="0"/>
        <w:jc w:val="left"/>
        <w:rPr>
          <w:rFonts w:ascii="Arial" w:eastAsia="Times New Roman" w:hAnsi="Arial" w:cs="Arial"/>
          <w:b/>
          <w:bCs/>
          <w:iCs/>
          <w:szCs w:val="28"/>
          <w:lang w:val="uk-UA" w:eastAsia="ru-RU"/>
        </w:rPr>
      </w:pPr>
    </w:p>
    <w:p w14:paraId="3A57DFBE" w14:textId="77777777" w:rsidR="00AE57E7" w:rsidRPr="00511005" w:rsidRDefault="00AE57E7" w:rsidP="003A292D">
      <w:pPr>
        <w:tabs>
          <w:tab w:val="left" w:pos="7088"/>
        </w:tabs>
        <w:spacing w:line="264" w:lineRule="auto"/>
        <w:ind w:right="-141" w:firstLine="0"/>
        <w:jc w:val="center"/>
        <w:rPr>
          <w:rFonts w:ascii="Arial" w:eastAsia="Times New Roman" w:hAnsi="Arial" w:cs="Arial"/>
          <w:b/>
          <w:i/>
          <w:szCs w:val="28"/>
          <w:lang w:val="uk-UA" w:eastAsia="ru-RU" w:bidi="uk-UA"/>
        </w:rPr>
      </w:pPr>
      <w:r w:rsidRPr="00511005">
        <w:rPr>
          <w:rFonts w:ascii="Arial" w:eastAsia="Times New Roman" w:hAnsi="Arial" w:cs="Arial"/>
          <w:b/>
          <w:i/>
          <w:szCs w:val="28"/>
          <w:lang w:val="uk-UA" w:eastAsia="ru-RU" w:bidi="uk-UA"/>
        </w:rPr>
        <w:t>Мостовик Денис Олександрович</w:t>
      </w:r>
    </w:p>
    <w:p w14:paraId="582F52F0" w14:textId="5EA042CD" w:rsidR="00AE57E7" w:rsidRPr="00511005" w:rsidRDefault="001D1A08" w:rsidP="003A292D">
      <w:pPr>
        <w:tabs>
          <w:tab w:val="left" w:pos="7088"/>
        </w:tabs>
        <w:spacing w:line="264" w:lineRule="auto"/>
        <w:ind w:right="-141" w:firstLine="0"/>
        <w:jc w:val="center"/>
        <w:rPr>
          <w:rFonts w:ascii="Arial" w:eastAsia="Times New Roman" w:hAnsi="Arial" w:cs="Arial"/>
          <w:iCs/>
          <w:szCs w:val="28"/>
          <w:lang w:val="uk-UA" w:eastAsia="ru-RU" w:bidi="uk-UA"/>
        </w:rPr>
      </w:pPr>
      <w:r w:rsidRPr="00511005">
        <w:rPr>
          <w:rFonts w:ascii="Arial" w:eastAsia="Times New Roman" w:hAnsi="Arial" w:cs="Arial"/>
          <w:iCs/>
          <w:szCs w:val="28"/>
          <w:lang w:val="uk-UA" w:eastAsia="ru-RU" w:bidi="uk-UA"/>
        </w:rPr>
        <w:t>с</w:t>
      </w:r>
      <w:r w:rsidR="00536AAB" w:rsidRPr="00511005">
        <w:rPr>
          <w:rFonts w:ascii="Arial" w:eastAsia="Times New Roman" w:hAnsi="Arial" w:cs="Arial"/>
          <w:iCs/>
          <w:szCs w:val="28"/>
          <w:lang w:val="uk-UA" w:eastAsia="ru-RU" w:bidi="uk-UA"/>
        </w:rPr>
        <w:t>тудент 1-го курсу магістратури</w:t>
      </w:r>
      <w:r w:rsidR="00AE57E7" w:rsidRPr="00511005">
        <w:rPr>
          <w:rFonts w:ascii="Arial" w:eastAsia="Times New Roman" w:hAnsi="Arial" w:cs="Arial"/>
          <w:iCs/>
          <w:szCs w:val="28"/>
          <w:lang w:val="uk-UA" w:eastAsia="ru-RU" w:bidi="uk-UA"/>
        </w:rPr>
        <w:t xml:space="preserve"> </w:t>
      </w:r>
      <w:r w:rsidR="00536AAB" w:rsidRPr="00511005">
        <w:rPr>
          <w:rFonts w:ascii="Arial" w:eastAsia="Times New Roman" w:hAnsi="Arial" w:cs="Arial"/>
          <w:iCs/>
          <w:szCs w:val="28"/>
          <w:lang w:val="uk-UA" w:eastAsia="ru-RU" w:bidi="uk-UA"/>
        </w:rPr>
        <w:t>факультету журналістики</w:t>
      </w:r>
    </w:p>
    <w:p w14:paraId="198BFEA9" w14:textId="5D51DFB2" w:rsidR="00AE57E7" w:rsidRPr="00511005" w:rsidRDefault="00AE57E7" w:rsidP="003A292D">
      <w:pPr>
        <w:tabs>
          <w:tab w:val="left" w:pos="7088"/>
        </w:tabs>
        <w:spacing w:line="264" w:lineRule="auto"/>
        <w:ind w:right="-141" w:firstLine="0"/>
        <w:jc w:val="center"/>
        <w:rPr>
          <w:rFonts w:ascii="Arial" w:eastAsia="Times New Roman" w:hAnsi="Arial" w:cs="Arial"/>
          <w:iCs/>
          <w:szCs w:val="28"/>
          <w:lang w:val="uk-UA" w:eastAsia="ru-RU" w:bidi="uk-UA"/>
        </w:rPr>
      </w:pPr>
      <w:r w:rsidRPr="00511005">
        <w:rPr>
          <w:rFonts w:ascii="Arial" w:eastAsia="Times New Roman" w:hAnsi="Arial" w:cs="Arial"/>
          <w:iCs/>
          <w:szCs w:val="28"/>
          <w:lang w:val="uk-UA" w:eastAsia="ru-RU" w:bidi="uk-UA"/>
        </w:rPr>
        <w:t>Національного університету</w:t>
      </w:r>
      <w:r w:rsidR="001D1A08" w:rsidRPr="00511005">
        <w:rPr>
          <w:rFonts w:ascii="Arial" w:eastAsia="Times New Roman" w:hAnsi="Arial" w:cs="Arial"/>
          <w:iCs/>
          <w:szCs w:val="28"/>
          <w:lang w:val="uk-UA" w:eastAsia="ru-RU" w:bidi="uk-UA"/>
        </w:rPr>
        <w:t xml:space="preserve"> </w:t>
      </w:r>
      <w:r w:rsidR="009008A5" w:rsidRPr="00511005">
        <w:rPr>
          <w:rFonts w:ascii="Arial" w:eastAsia="Times New Roman" w:hAnsi="Arial" w:cs="Arial"/>
          <w:iCs/>
          <w:szCs w:val="28"/>
          <w:lang w:val="uk-UA" w:eastAsia="ru-RU" w:bidi="uk-UA"/>
        </w:rPr>
        <w:t>«</w:t>
      </w:r>
      <w:r w:rsidRPr="00511005">
        <w:rPr>
          <w:rFonts w:ascii="Arial" w:eastAsia="Times New Roman" w:hAnsi="Arial" w:cs="Arial"/>
          <w:iCs/>
          <w:szCs w:val="28"/>
          <w:lang w:val="uk-UA" w:eastAsia="ru-RU" w:bidi="uk-UA"/>
        </w:rPr>
        <w:t>Одеська юридична академія</w:t>
      </w:r>
      <w:r w:rsidR="009008A5" w:rsidRPr="00511005">
        <w:rPr>
          <w:rFonts w:ascii="Arial" w:eastAsia="Times New Roman" w:hAnsi="Arial" w:cs="Arial"/>
          <w:iCs/>
          <w:szCs w:val="28"/>
          <w:lang w:val="uk-UA" w:eastAsia="ru-RU" w:bidi="uk-UA"/>
        </w:rPr>
        <w:t>»</w:t>
      </w:r>
    </w:p>
    <w:p w14:paraId="2AB55903" w14:textId="77777777" w:rsidR="00AE57E7" w:rsidRPr="00511005" w:rsidRDefault="00AE57E7" w:rsidP="003A292D">
      <w:pPr>
        <w:tabs>
          <w:tab w:val="left" w:pos="7088"/>
        </w:tabs>
        <w:spacing w:line="264" w:lineRule="auto"/>
        <w:ind w:right="-141" w:firstLine="0"/>
        <w:jc w:val="center"/>
        <w:rPr>
          <w:rFonts w:ascii="Arial" w:eastAsia="Times New Roman" w:hAnsi="Arial" w:cs="Arial"/>
          <w:i/>
          <w:szCs w:val="28"/>
          <w:lang w:val="uk-UA" w:eastAsia="ru-RU" w:bidi="uk-UA"/>
        </w:rPr>
      </w:pPr>
    </w:p>
    <w:p w14:paraId="0A2483BD" w14:textId="77777777" w:rsidR="00AE57E7" w:rsidRPr="00511005" w:rsidRDefault="00AE57E7" w:rsidP="003A292D">
      <w:pPr>
        <w:tabs>
          <w:tab w:val="left" w:pos="7088"/>
        </w:tabs>
        <w:spacing w:line="264" w:lineRule="auto"/>
        <w:ind w:right="-141" w:firstLine="0"/>
        <w:jc w:val="center"/>
        <w:rPr>
          <w:rFonts w:ascii="Arial" w:eastAsia="Times New Roman" w:hAnsi="Arial" w:cs="Arial"/>
          <w:b/>
          <w:szCs w:val="28"/>
          <w:lang w:val="uk-UA" w:eastAsia="ru-RU" w:bidi="uk-UA"/>
        </w:rPr>
      </w:pPr>
      <w:r w:rsidRPr="00511005">
        <w:rPr>
          <w:rFonts w:ascii="Arial" w:eastAsia="Times New Roman" w:hAnsi="Arial" w:cs="Arial"/>
          <w:b/>
          <w:szCs w:val="28"/>
          <w:lang w:val="uk-UA" w:eastAsia="ru-RU" w:bidi="uk-UA"/>
        </w:rPr>
        <w:t xml:space="preserve">ШІ </w:t>
      </w:r>
      <w:r w:rsidRPr="00511005">
        <w:rPr>
          <w:rFonts w:ascii="Arial" w:eastAsia="Times New Roman" w:hAnsi="Arial" w:cs="Arial"/>
          <w:b/>
          <w:szCs w:val="28"/>
          <w:lang w:val="en-US" w:eastAsia="ru-RU" w:bidi="uk-UA"/>
        </w:rPr>
        <w:t>VS</w:t>
      </w:r>
      <w:r w:rsidRPr="00511005">
        <w:rPr>
          <w:rFonts w:ascii="Arial" w:eastAsia="Times New Roman" w:hAnsi="Arial" w:cs="Arial"/>
          <w:b/>
          <w:szCs w:val="28"/>
          <w:lang w:val="uk-UA" w:eastAsia="ru-RU" w:bidi="uk-UA"/>
        </w:rPr>
        <w:t xml:space="preserve"> ЖУРНАЛІСТСЬКА ДІЯЛЬНІСТЬ</w:t>
      </w:r>
    </w:p>
    <w:p w14:paraId="35DDB4CE" w14:textId="77777777" w:rsidR="00AE57E7" w:rsidRPr="00511005" w:rsidRDefault="00AE57E7" w:rsidP="003A292D">
      <w:pPr>
        <w:tabs>
          <w:tab w:val="left" w:pos="7088"/>
        </w:tabs>
        <w:spacing w:line="264" w:lineRule="auto"/>
        <w:ind w:right="-141"/>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 xml:space="preserve">У сучасну епоху цифрових технологій журналістика зазнає істотних змін під впливом новітніх технологічних розробок, серед яких особливе місце </w:t>
      </w:r>
      <w:r w:rsidRPr="00511005">
        <w:rPr>
          <w:rFonts w:ascii="Arial" w:eastAsia="Times New Roman" w:hAnsi="Arial" w:cs="Arial"/>
          <w:bCs/>
          <w:szCs w:val="28"/>
          <w:lang w:val="uk-UA" w:eastAsia="ru-RU" w:bidi="uk-UA"/>
        </w:rPr>
        <w:lastRenderedPageBreak/>
        <w:t>посідає штучний інтелект (далі – ШІ). Його застосування у сфері мас-медіа вже нині демонструє потенціал докорінно змінити характер журналістської діяльності, впливаючи як на процес створення контенту, так і на функціонування редакцій, комунікацію з аудиторією та дотримання етичних стандартів. Дослідження впливу ШІ на журналістику є актуальним у контексті пошуку балансу між технологічною ефективністю та збереженням професійних і суспільно значущих принципів журналістики [1].</w:t>
      </w:r>
    </w:p>
    <w:p w14:paraId="156E1389" w14:textId="77777777" w:rsidR="00AE57E7" w:rsidRPr="00511005" w:rsidRDefault="00AE57E7" w:rsidP="003A292D">
      <w:pPr>
        <w:tabs>
          <w:tab w:val="left" w:pos="7088"/>
        </w:tabs>
        <w:spacing w:line="264" w:lineRule="auto"/>
        <w:ind w:right="-141"/>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Штучний інтелект виявляється у журналістиці в різних формах: від автоматизованого написання новин і аналізу великих масивів даних до персоналізованих рекомендацій та інструментів фактчекінгу. Одним із найпомітніших напрямів є автоматизоване створення контенту</w:t>
      </w:r>
      <w:r w:rsidRPr="00511005">
        <w:rPr>
          <w:rFonts w:ascii="Arial" w:eastAsia="Times New Roman" w:hAnsi="Arial" w:cs="Arial"/>
          <w:bCs/>
          <w:i/>
          <w:iCs/>
          <w:szCs w:val="28"/>
          <w:lang w:val="uk-UA" w:eastAsia="ru-RU" w:bidi="uk-UA"/>
        </w:rPr>
        <w:t xml:space="preserve"> (automated</w:t>
      </w:r>
      <w:r w:rsidRPr="00511005">
        <w:rPr>
          <w:rFonts w:ascii="Arial" w:eastAsia="Times New Roman" w:hAnsi="Arial" w:cs="Arial"/>
          <w:bCs/>
          <w:szCs w:val="28"/>
          <w:lang w:val="uk-UA" w:eastAsia="ru-RU" w:bidi="uk-UA"/>
        </w:rPr>
        <w:t xml:space="preserve"> </w:t>
      </w:r>
      <w:r w:rsidRPr="00511005">
        <w:rPr>
          <w:rFonts w:ascii="Arial" w:eastAsia="Times New Roman" w:hAnsi="Arial" w:cs="Arial"/>
          <w:bCs/>
          <w:i/>
          <w:iCs/>
          <w:szCs w:val="28"/>
          <w:lang w:val="uk-UA" w:eastAsia="ru-RU" w:bidi="uk-UA"/>
        </w:rPr>
        <w:t>journalism)</w:t>
      </w:r>
      <w:r w:rsidRPr="00511005">
        <w:rPr>
          <w:rFonts w:ascii="Arial" w:eastAsia="Times New Roman" w:hAnsi="Arial" w:cs="Arial"/>
          <w:bCs/>
          <w:szCs w:val="28"/>
          <w:lang w:val="uk-UA" w:eastAsia="ru-RU" w:bidi="uk-UA"/>
        </w:rPr>
        <w:t>, коли алгоритми генерують новини на основі заданих шаблонів та структур. Такі системи, зокрема на основі Natural Language Generation (NLG), уже використовуються провідними світовими медіа для створення коротких інформаційних повідомлень, особливо у сферах економіки, спорту та метеорології. Це дозволяє зменшити часові та фінансові витрати, одночасно підвищуючи швидкість публікацій.</w:t>
      </w:r>
    </w:p>
    <w:p w14:paraId="3AF03A4C" w14:textId="77777777" w:rsidR="00AE57E7" w:rsidRPr="00511005" w:rsidRDefault="00AE57E7" w:rsidP="003A292D">
      <w:pPr>
        <w:tabs>
          <w:tab w:val="left" w:pos="7088"/>
        </w:tabs>
        <w:spacing w:line="264" w:lineRule="auto"/>
        <w:ind w:right="-141"/>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Однак автоматизація має і зворотний бік. З’являється загроза стандартизації новинного продукту, зменшення глибини аналітики та втрати індивідуального стилю журналіста. Ба більше, питання відповідальності за створений алгоритмом контент залишається відкритим. Чи може редакція повною мірою нести етичну відповідальність за тексти, згенеровані ШІ, особливо у разі поширення недостовірної інформації або мови ворожнечі? Відповідь на це запитання є особливо важливою в умовах інформаційних воєн і масових маніпуляцій громадською думкою</w:t>
      </w:r>
      <w:r w:rsidRPr="00511005">
        <w:rPr>
          <w:rFonts w:ascii="Arial" w:eastAsia="Times New Roman" w:hAnsi="Arial" w:cs="Arial"/>
          <w:bCs/>
          <w:szCs w:val="28"/>
          <w:lang w:eastAsia="ru-RU" w:bidi="uk-UA"/>
        </w:rPr>
        <w:t xml:space="preserve"> [3]</w:t>
      </w:r>
      <w:r w:rsidRPr="00511005">
        <w:rPr>
          <w:rFonts w:ascii="Arial" w:eastAsia="Times New Roman" w:hAnsi="Arial" w:cs="Arial"/>
          <w:bCs/>
          <w:szCs w:val="28"/>
          <w:lang w:val="uk-UA" w:eastAsia="ru-RU" w:bidi="uk-UA"/>
        </w:rPr>
        <w:t>.</w:t>
      </w:r>
    </w:p>
    <w:p w14:paraId="2CF9530C" w14:textId="77777777" w:rsidR="00AE57E7" w:rsidRPr="00511005" w:rsidRDefault="00AE57E7" w:rsidP="003A292D">
      <w:pPr>
        <w:tabs>
          <w:tab w:val="left" w:pos="7088"/>
        </w:tabs>
        <w:spacing w:line="264" w:lineRule="auto"/>
        <w:ind w:right="-141"/>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Використання ШІ також сприяє розвитку аналітичної журналістики. Інструменти штучного інтелекту дозволяють швидко обробляти великі обсяги інформації, виявляти закономірності та тренди, які складно ідентифікувати традиційними методами. Це відкриває нові можливості для журналістських розслідувань, особливо у сфері викриття корупції, аналізу державних закупівель, фінансових потоків тощо. Журналістика даних</w:t>
      </w:r>
      <w:r w:rsidRPr="00511005">
        <w:rPr>
          <w:rFonts w:ascii="Arial" w:eastAsia="Times New Roman" w:hAnsi="Arial" w:cs="Arial"/>
          <w:bCs/>
          <w:i/>
          <w:iCs/>
          <w:szCs w:val="28"/>
          <w:lang w:val="uk-UA" w:eastAsia="ru-RU" w:bidi="uk-UA"/>
        </w:rPr>
        <w:t xml:space="preserve"> (data journalism)</w:t>
      </w:r>
      <w:r w:rsidRPr="00511005">
        <w:rPr>
          <w:rFonts w:ascii="Arial" w:eastAsia="Times New Roman" w:hAnsi="Arial" w:cs="Arial"/>
          <w:bCs/>
          <w:szCs w:val="28"/>
          <w:lang w:val="uk-UA" w:eastAsia="ru-RU" w:bidi="uk-UA"/>
        </w:rPr>
        <w:t>, доповнена потужностями ШІ, стає ефективним інструментом для формування обґрунтованої суспільної критики.</w:t>
      </w:r>
    </w:p>
    <w:p w14:paraId="73F3BA3D" w14:textId="77777777" w:rsidR="00AE57E7" w:rsidRPr="00511005" w:rsidRDefault="00AE57E7" w:rsidP="003A292D">
      <w:pPr>
        <w:tabs>
          <w:tab w:val="left" w:pos="7088"/>
        </w:tabs>
        <w:spacing w:line="264" w:lineRule="auto"/>
        <w:ind w:right="-141"/>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Водночас важливим викликом залишається забезпечення прозорості алгоритмів, які використовуються у редакційних практиках. Алгоритмічна редакторська політика може впливати на редакційні рішення щодо відбору тем, подання матеріалів та визначення їх пріоритетності. У результаті можуть виникати ризики невидимої цензури або маніпулювання інформацією відповідно до інтересів власників платформ, які розробляють або інтегрують ці технології. Саме тому дедалі гучніше лунають заклики до впровадження стандартів етичного використання ШІ у журналістиці та до створення механізмів аудиту алгоритмічних рішень.</w:t>
      </w:r>
    </w:p>
    <w:p w14:paraId="683CAFEB" w14:textId="77777777" w:rsidR="00AE57E7" w:rsidRPr="00511005" w:rsidRDefault="00AE57E7" w:rsidP="003A292D">
      <w:pPr>
        <w:tabs>
          <w:tab w:val="left" w:pos="7088"/>
        </w:tabs>
        <w:spacing w:line="264" w:lineRule="auto"/>
        <w:ind w:right="-141"/>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lastRenderedPageBreak/>
        <w:t>Трансформація ролі журналіста під впливом ШІ є ще одним значущим аспектом. В умовах зростаючої автоматизації рутинних завдань змінюється професійний профіль журналіста: зменшується потреба в оперативному інформуванні, натомість зростає роль аналітики, коментування, перевірки фактів, ведення розслідувань. Журналіст майбутнього повинен володіти не лише навичками письма та інтерв'ювання, а й базовими знаннями у сфері алгоритмічної грамотності, розуміти принципи роботи ШІ, щоб ефективно використовувати його як інструмент, а не конкурентну загрозу.</w:t>
      </w:r>
    </w:p>
    <w:p w14:paraId="7B35AAA7" w14:textId="77777777" w:rsidR="00AE57E7" w:rsidRPr="00511005" w:rsidRDefault="00AE57E7" w:rsidP="003A292D">
      <w:pPr>
        <w:tabs>
          <w:tab w:val="left" w:pos="7088"/>
        </w:tabs>
        <w:spacing w:line="264" w:lineRule="auto"/>
        <w:ind w:right="-141"/>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Не менш важливим є вплив ШІ на взаємодію медіа з аудиторією. Персоналізовані новинні стрічки, формовані на основі алгоритмів машинного навчання, сприяють підвищенню залученості користувачів, однак водночас загострюють проблему інформаційних бульбашок. Людина отримує новини, які підтверджують її погляди, не стикаючись із альтернативними точками зору, що ставить під загрозу одне з головних завдань журналістики – забезпечення плюралізму думок і об’єктивної картини світу [2].</w:t>
      </w:r>
    </w:p>
    <w:p w14:paraId="54E0B22B" w14:textId="77777777" w:rsidR="00AE57E7" w:rsidRPr="00511005" w:rsidRDefault="00AE57E7" w:rsidP="003A292D">
      <w:pPr>
        <w:tabs>
          <w:tab w:val="left" w:pos="7088"/>
        </w:tabs>
        <w:spacing w:line="264" w:lineRule="auto"/>
        <w:ind w:right="-141"/>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З огляду на зазначене, впровадження штучного інтелекту у журналістиці постає як процес із глибокими наслідками для всієї системи масової комунікації. Йдеться не лише про зміну інструментів і технологій, а про переосмислення етичних, соціальних і професійних основ журналістської діяльності. Питання довіри до джерел, прозорості редакційних рішень, збереження свободи слова набувають нового звучання у добу алгоритмів.</w:t>
      </w:r>
    </w:p>
    <w:p w14:paraId="4B1FEBDE" w14:textId="77777777" w:rsidR="00AE57E7" w:rsidRPr="00511005" w:rsidRDefault="00AE57E7" w:rsidP="003A292D">
      <w:pPr>
        <w:tabs>
          <w:tab w:val="left" w:pos="7088"/>
        </w:tabs>
        <w:spacing w:line="264" w:lineRule="auto"/>
        <w:ind w:right="-141"/>
        <w:rPr>
          <w:rFonts w:ascii="Arial" w:eastAsia="Times New Roman" w:hAnsi="Arial" w:cs="Arial"/>
          <w:bCs/>
          <w:szCs w:val="28"/>
          <w:lang w:val="uk-UA" w:eastAsia="ru-RU" w:bidi="uk-UA"/>
        </w:rPr>
      </w:pPr>
      <w:r w:rsidRPr="00511005">
        <w:rPr>
          <w:rFonts w:ascii="Arial" w:eastAsia="Times New Roman" w:hAnsi="Arial" w:cs="Arial"/>
          <w:bCs/>
          <w:szCs w:val="28"/>
          <w:lang w:val="uk-UA" w:eastAsia="ru-RU" w:bidi="uk-UA"/>
        </w:rPr>
        <w:t>Отже, можна зробити висновок, що штучний інтелект є водночас викликом і ресурсом для журналістики. Його розумне і відповідальне використання здатне підвищити якість журналістського продукту, розширити аналітичні можливості, звільнити журналістів від рутинної роботи та зосередити їхню увагу на творчих і суспільно значущих завданнях. Утім, задля уникнення негативних наслідків необхідним є постійний міждисциплінарний діалог між журналістами, технологами, правниками та представниками громадянського суспільства. Лише за таких умов журналістика зможе адаптуватися до нових умов, не втративши своєї демократичної місії — інформувати, пояснювати та контролювати владу в інтересах громадськості.</w:t>
      </w:r>
    </w:p>
    <w:p w14:paraId="22A89218" w14:textId="77777777" w:rsidR="00AE57E7" w:rsidRPr="00511005" w:rsidRDefault="00AE57E7" w:rsidP="003A292D">
      <w:pPr>
        <w:spacing w:line="264" w:lineRule="auto"/>
        <w:ind w:right="-141" w:firstLine="0"/>
        <w:jc w:val="center"/>
        <w:rPr>
          <w:rFonts w:ascii="Arial" w:eastAsia="Times New Roman" w:hAnsi="Arial" w:cs="Arial"/>
          <w:b/>
          <w:szCs w:val="28"/>
          <w:lang w:val="uk-UA" w:eastAsia="ru-RU" w:bidi="uk-UA"/>
        </w:rPr>
      </w:pPr>
    </w:p>
    <w:p w14:paraId="37F97285" w14:textId="2B1009B0" w:rsidR="00AE57E7" w:rsidRPr="00511005" w:rsidRDefault="00AE57E7" w:rsidP="003A292D">
      <w:pPr>
        <w:spacing w:line="264" w:lineRule="auto"/>
        <w:ind w:right="-141" w:firstLine="0"/>
        <w:jc w:val="center"/>
        <w:rPr>
          <w:rFonts w:ascii="Arial" w:eastAsia="Times New Roman" w:hAnsi="Arial" w:cs="Arial"/>
          <w:b/>
          <w:szCs w:val="28"/>
          <w:lang w:val="uk-UA" w:eastAsia="ru-RU" w:bidi="uk-UA"/>
        </w:rPr>
      </w:pPr>
      <w:r w:rsidRPr="00511005">
        <w:rPr>
          <w:rFonts w:ascii="Arial" w:eastAsia="Times New Roman" w:hAnsi="Arial" w:cs="Arial"/>
          <w:b/>
          <w:szCs w:val="28"/>
          <w:lang w:val="en-US" w:eastAsia="ru-RU" w:bidi="uk-UA"/>
        </w:rPr>
        <w:t>C</w:t>
      </w:r>
      <w:r w:rsidR="001D1A08" w:rsidRPr="00511005">
        <w:rPr>
          <w:rFonts w:ascii="Arial" w:eastAsia="Times New Roman" w:hAnsi="Arial" w:cs="Arial"/>
          <w:b/>
          <w:szCs w:val="28"/>
          <w:lang w:val="uk-UA" w:eastAsia="ru-RU" w:bidi="uk-UA"/>
        </w:rPr>
        <w:t>писок використаних джерел</w:t>
      </w:r>
    </w:p>
    <w:p w14:paraId="77AB1CF3" w14:textId="77777777" w:rsidR="00AE57E7" w:rsidRPr="00511005" w:rsidRDefault="00AE57E7" w:rsidP="003F6A5D">
      <w:pPr>
        <w:widowControl w:val="0"/>
        <w:numPr>
          <w:ilvl w:val="0"/>
          <w:numId w:val="750"/>
        </w:numPr>
        <w:tabs>
          <w:tab w:val="left" w:pos="993"/>
          <w:tab w:val="left" w:pos="7088"/>
        </w:tabs>
        <w:autoSpaceDE w:val="0"/>
        <w:autoSpaceDN w:val="0"/>
        <w:adjustRightInd w:val="0"/>
        <w:spacing w:line="264" w:lineRule="auto"/>
        <w:ind w:left="0" w:right="-141" w:firstLine="709"/>
        <w:contextualSpacing/>
        <w:jc w:val="left"/>
        <w:rPr>
          <w:rFonts w:ascii="Arial" w:eastAsia="Calibri" w:hAnsi="Arial" w:cs="Arial"/>
          <w:bCs/>
          <w:szCs w:val="28"/>
          <w:lang w:val="uk-UA" w:bidi="uk-UA"/>
        </w:rPr>
      </w:pPr>
      <w:r w:rsidRPr="00511005">
        <w:rPr>
          <w:rFonts w:ascii="Arial" w:eastAsia="Calibri" w:hAnsi="Arial" w:cs="Arial"/>
          <w:bCs/>
          <w:szCs w:val="28"/>
          <w:lang w:val="uk-UA" w:bidi="uk-UA"/>
        </w:rPr>
        <w:t xml:space="preserve">Баранов О. А. Визначення терміну «штучний інтелект». Інформація і право. 2023. Вип. 1(44). С. 32–49. URL: </w:t>
      </w:r>
      <w:hyperlink r:id="rId2621" w:history="1">
        <w:r w:rsidRPr="00511005">
          <w:rPr>
            <w:rFonts w:ascii="Arial" w:eastAsia="Calibri" w:hAnsi="Arial" w:cs="Arial"/>
            <w:bCs/>
            <w:szCs w:val="28"/>
            <w:lang w:val="uk-UA" w:bidi="uk-UA"/>
          </w:rPr>
          <w:t>https://ippi.org.ua/sites/default/files/5_28.pdf</w:t>
        </w:r>
      </w:hyperlink>
      <w:r w:rsidRPr="00511005">
        <w:rPr>
          <w:rFonts w:ascii="Arial" w:eastAsia="Calibri" w:hAnsi="Arial" w:cs="Arial"/>
          <w:bCs/>
          <w:szCs w:val="28"/>
          <w:lang w:val="uk-UA" w:bidi="uk-UA"/>
        </w:rPr>
        <w:t>. (дата звернення 13.04.2025 року)</w:t>
      </w:r>
    </w:p>
    <w:p w14:paraId="7A827ECD" w14:textId="77777777" w:rsidR="00AE57E7" w:rsidRPr="00511005" w:rsidRDefault="00AE57E7" w:rsidP="003F6A5D">
      <w:pPr>
        <w:widowControl w:val="0"/>
        <w:numPr>
          <w:ilvl w:val="0"/>
          <w:numId w:val="750"/>
        </w:numPr>
        <w:tabs>
          <w:tab w:val="left" w:pos="993"/>
          <w:tab w:val="left" w:pos="7088"/>
        </w:tabs>
        <w:autoSpaceDE w:val="0"/>
        <w:autoSpaceDN w:val="0"/>
        <w:adjustRightInd w:val="0"/>
        <w:spacing w:line="264" w:lineRule="auto"/>
        <w:ind w:left="0" w:right="-141" w:firstLine="709"/>
        <w:contextualSpacing/>
        <w:jc w:val="left"/>
        <w:rPr>
          <w:rFonts w:ascii="Arial" w:eastAsia="Calibri" w:hAnsi="Arial" w:cs="Arial"/>
          <w:bCs/>
          <w:szCs w:val="28"/>
          <w:lang w:val="uk-UA" w:bidi="uk-UA"/>
        </w:rPr>
      </w:pPr>
      <w:r w:rsidRPr="00511005">
        <w:rPr>
          <w:rFonts w:ascii="Arial" w:eastAsia="Calibri" w:hAnsi="Arial" w:cs="Arial"/>
          <w:bCs/>
          <w:szCs w:val="28"/>
          <w:lang w:val="uk-UA" w:bidi="uk-UA"/>
        </w:rPr>
        <w:t xml:space="preserve">Толочко С. В., Годунова А. В. Теоретико-методичний аналіз закордонних практик використання штучного інтелекту в освіті й науці. </w:t>
      </w:r>
      <w:r w:rsidRPr="00511005">
        <w:rPr>
          <w:rFonts w:ascii="Arial" w:eastAsia="Calibri" w:hAnsi="Arial" w:cs="Arial"/>
          <w:bCs/>
          <w:i/>
          <w:iCs/>
          <w:szCs w:val="28"/>
          <w:lang w:val="uk-UA" w:bidi="uk-UA"/>
        </w:rPr>
        <w:t>Вісник науки та освіти</w:t>
      </w:r>
      <w:r w:rsidRPr="00511005">
        <w:rPr>
          <w:rFonts w:ascii="Arial" w:eastAsia="Calibri" w:hAnsi="Arial" w:cs="Arial"/>
          <w:bCs/>
          <w:szCs w:val="28"/>
          <w:lang w:val="uk-UA" w:bidi="uk-UA"/>
        </w:rPr>
        <w:t>. 2023. № 7(13). С. 832-848.</w:t>
      </w:r>
    </w:p>
    <w:p w14:paraId="7B47674B" w14:textId="77777777" w:rsidR="00AE57E7" w:rsidRPr="00511005" w:rsidRDefault="00AE57E7" w:rsidP="003F6A5D">
      <w:pPr>
        <w:widowControl w:val="0"/>
        <w:numPr>
          <w:ilvl w:val="0"/>
          <w:numId w:val="750"/>
        </w:numPr>
        <w:tabs>
          <w:tab w:val="left" w:pos="993"/>
          <w:tab w:val="left" w:pos="7088"/>
        </w:tabs>
        <w:autoSpaceDE w:val="0"/>
        <w:autoSpaceDN w:val="0"/>
        <w:adjustRightInd w:val="0"/>
        <w:spacing w:line="264" w:lineRule="auto"/>
        <w:ind w:left="0" w:right="-141" w:firstLine="709"/>
        <w:contextualSpacing/>
        <w:jc w:val="left"/>
        <w:rPr>
          <w:rFonts w:ascii="Arial" w:eastAsia="Calibri" w:hAnsi="Arial" w:cs="Arial"/>
          <w:bCs/>
          <w:szCs w:val="28"/>
          <w:lang w:val="uk-UA" w:bidi="uk-UA"/>
        </w:rPr>
      </w:pPr>
      <w:r w:rsidRPr="00511005">
        <w:rPr>
          <w:rFonts w:ascii="Arial" w:eastAsia="Calibri" w:hAnsi="Arial" w:cs="Arial"/>
          <w:bCs/>
          <w:szCs w:val="28"/>
          <w:lang w:val="uk-UA" w:bidi="uk-UA"/>
        </w:rPr>
        <w:t>Терещенко А. Є. Використання штучного інтелекту у журналістиці. (2024).</w:t>
      </w:r>
      <w:r w:rsidRPr="00511005">
        <w:rPr>
          <w:rFonts w:ascii="Arial" w:eastAsia="Calibri" w:hAnsi="Arial" w:cs="Arial"/>
          <w:szCs w:val="28"/>
          <w:lang w:val="uk-UA"/>
        </w:rPr>
        <w:t> </w:t>
      </w:r>
      <w:r w:rsidRPr="00511005">
        <w:rPr>
          <w:rFonts w:ascii="Arial" w:eastAsia="Calibri" w:hAnsi="Arial" w:cs="Arial"/>
          <w:bCs/>
          <w:szCs w:val="28"/>
          <w:lang w:val="uk-UA" w:bidi="uk-UA"/>
        </w:rPr>
        <w:t>URL: </w:t>
      </w:r>
      <w:hyperlink r:id="rId2622" w:history="1">
        <w:r w:rsidRPr="00511005">
          <w:rPr>
            <w:rFonts w:ascii="Arial" w:eastAsia="Calibri" w:hAnsi="Arial" w:cs="Arial"/>
            <w:bCs/>
            <w:szCs w:val="28"/>
            <w:lang w:val="uk-UA" w:bidi="uk-UA"/>
          </w:rPr>
          <w:t>https://repository.hneu.edu.ua/bitstream/123456789/32886/1/SZOU</w:t>
        </w:r>
        <w:r w:rsidRPr="00511005">
          <w:rPr>
            <w:rFonts w:ascii="Arial" w:eastAsia="Calibri" w:hAnsi="Arial" w:cs="Arial"/>
            <w:bCs/>
            <w:szCs w:val="28"/>
            <w:lang w:val="uk-UA" w:bidi="uk-UA"/>
          </w:rPr>
          <w:lastRenderedPageBreak/>
          <w:t>%2015-18-24.pdf</w:t>
        </w:r>
      </w:hyperlink>
      <w:r w:rsidRPr="00511005">
        <w:rPr>
          <w:rFonts w:ascii="Arial" w:eastAsia="Calibri" w:hAnsi="Arial" w:cs="Arial"/>
          <w:bCs/>
          <w:szCs w:val="28"/>
          <w:lang w:val="uk-UA" w:bidi="uk-UA"/>
        </w:rPr>
        <w:t xml:space="preserve"> (дата звернення 13.04.2025 року)</w:t>
      </w:r>
    </w:p>
    <w:p w14:paraId="7D52ACF1" w14:textId="5EF42F15" w:rsidR="00AE57E7" w:rsidRPr="00511005" w:rsidRDefault="007B2628" w:rsidP="003A292D">
      <w:pPr>
        <w:tabs>
          <w:tab w:val="left" w:pos="7088"/>
        </w:tabs>
        <w:suppressAutoHyphens/>
        <w:spacing w:line="264" w:lineRule="auto"/>
        <w:ind w:right="-141"/>
        <w:contextualSpacing/>
        <w:rPr>
          <w:rFonts w:ascii="Arial" w:eastAsia="Calibri" w:hAnsi="Arial" w:cs="Arial"/>
          <w:bCs/>
          <w:szCs w:val="28"/>
          <w:lang w:val="uk-UA" w:bidi="uk-UA"/>
        </w:rPr>
      </w:pPr>
      <w:r w:rsidRPr="00511005">
        <w:rPr>
          <w:rFonts w:ascii="Arial" w:eastAsia="Calibri" w:hAnsi="Arial" w:cs="Arial"/>
          <w:b/>
          <w:bCs/>
          <w:i/>
          <w:szCs w:val="28"/>
          <w:lang w:val="uk-UA" w:bidi="uk-UA"/>
        </w:rPr>
        <w:t xml:space="preserve">Ключові слова: </w:t>
      </w:r>
      <w:r w:rsidR="00AE57E7" w:rsidRPr="00511005">
        <w:rPr>
          <w:rFonts w:ascii="Arial" w:eastAsia="Calibri" w:hAnsi="Arial" w:cs="Arial"/>
          <w:bCs/>
          <w:szCs w:val="28"/>
          <w:lang w:val="uk-UA" w:bidi="uk-UA"/>
        </w:rPr>
        <w:t>штучний інтелект, журналістика, автоматизоване створення контенту, журналістика даних, етика медіа, інформаційна безпека, цифрові технології.</w:t>
      </w:r>
    </w:p>
    <w:p w14:paraId="67C18DC3" w14:textId="537D6BA7" w:rsidR="00AE57E7" w:rsidRPr="00511005" w:rsidRDefault="007B2628" w:rsidP="003A292D">
      <w:pPr>
        <w:spacing w:line="264" w:lineRule="auto"/>
        <w:ind w:right="-141" w:firstLine="708"/>
        <w:jc w:val="left"/>
        <w:rPr>
          <w:rFonts w:ascii="Arial" w:eastAsia="Times New Roman" w:hAnsi="Arial" w:cs="Arial"/>
          <w:bCs/>
          <w:i/>
          <w:iCs/>
          <w:szCs w:val="28"/>
          <w:lang w:val="uk-UA" w:eastAsia="ru-RU"/>
        </w:rPr>
      </w:pPr>
      <w:r w:rsidRPr="00511005">
        <w:rPr>
          <w:rFonts w:ascii="Arial" w:eastAsia="Times New Roman" w:hAnsi="Arial" w:cs="Arial"/>
          <w:b/>
          <w:bCs/>
          <w:i/>
          <w:iCs/>
          <w:szCs w:val="28"/>
          <w:lang w:val="uk-UA" w:eastAsia="ru-RU"/>
        </w:rPr>
        <w:t xml:space="preserve">Науковий керівник: </w:t>
      </w:r>
      <w:r w:rsidR="00AE57E7" w:rsidRPr="00511005">
        <w:rPr>
          <w:rFonts w:ascii="Arial" w:eastAsia="Times New Roman" w:hAnsi="Arial" w:cs="Arial"/>
          <w:bCs/>
          <w:i/>
          <w:iCs/>
          <w:szCs w:val="28"/>
          <w:lang w:val="uk-UA" w:eastAsia="ru-RU"/>
        </w:rPr>
        <w:t>к.юр.наук, доцент Федчун Н.О.</w:t>
      </w:r>
    </w:p>
    <w:p w14:paraId="04781719" w14:textId="77777777" w:rsidR="001D1A08" w:rsidRPr="00511005" w:rsidRDefault="001D1A08" w:rsidP="003A292D">
      <w:pPr>
        <w:spacing w:line="264" w:lineRule="auto"/>
        <w:ind w:firstLine="0"/>
        <w:jc w:val="left"/>
        <w:rPr>
          <w:rFonts w:ascii="Arial" w:eastAsia="Times New Roman" w:hAnsi="Arial" w:cs="Arial"/>
          <w:b/>
          <w:szCs w:val="28"/>
          <w:lang w:eastAsia="ru-RU"/>
        </w:rPr>
      </w:pPr>
    </w:p>
    <w:p w14:paraId="3380CD50" w14:textId="77777777" w:rsidR="001D1A08" w:rsidRPr="00511005" w:rsidRDefault="001D1A08" w:rsidP="003A292D">
      <w:pPr>
        <w:spacing w:line="264" w:lineRule="auto"/>
        <w:ind w:firstLine="0"/>
        <w:jc w:val="left"/>
        <w:rPr>
          <w:rFonts w:ascii="Arial" w:eastAsia="Times New Roman" w:hAnsi="Arial" w:cs="Arial"/>
          <w:b/>
          <w:szCs w:val="28"/>
          <w:lang w:eastAsia="ru-RU"/>
        </w:rPr>
      </w:pPr>
    </w:p>
    <w:p w14:paraId="4B5973C6" w14:textId="7EC39357" w:rsidR="00AE57E7" w:rsidRPr="00511005" w:rsidRDefault="00AE57E7" w:rsidP="003A292D">
      <w:pPr>
        <w:spacing w:line="264" w:lineRule="auto"/>
        <w:ind w:right="-141" w:firstLine="0"/>
        <w:jc w:val="center"/>
        <w:rPr>
          <w:rFonts w:ascii="Arial" w:eastAsia="Times New Roman" w:hAnsi="Arial" w:cs="Arial"/>
          <w:b/>
          <w:szCs w:val="28"/>
          <w:lang w:val="uk-UA" w:eastAsia="ru-RU"/>
        </w:rPr>
      </w:pPr>
      <w:r w:rsidRPr="00511005">
        <w:rPr>
          <w:rFonts w:ascii="Arial" w:eastAsia="Times New Roman" w:hAnsi="Arial" w:cs="Arial"/>
          <w:b/>
          <w:spacing w:val="-2"/>
          <w:szCs w:val="28"/>
          <w:lang w:eastAsia="ru-RU"/>
        </w:rPr>
        <w:t>Сичевський</w:t>
      </w:r>
      <w:r w:rsidRPr="00511005">
        <w:rPr>
          <w:rFonts w:ascii="Arial" w:eastAsia="Times New Roman" w:hAnsi="Arial" w:cs="Arial"/>
          <w:b/>
          <w:spacing w:val="-5"/>
          <w:szCs w:val="28"/>
          <w:lang w:eastAsia="ru-RU"/>
        </w:rPr>
        <w:t xml:space="preserve"> П.О</w:t>
      </w:r>
      <w:r w:rsidR="009008A5" w:rsidRPr="00511005">
        <w:rPr>
          <w:rFonts w:ascii="Arial" w:eastAsia="Times New Roman" w:hAnsi="Arial" w:cs="Arial"/>
          <w:b/>
          <w:spacing w:val="-5"/>
          <w:szCs w:val="28"/>
          <w:lang w:val="uk-UA" w:eastAsia="ru-RU"/>
        </w:rPr>
        <w:t>.</w:t>
      </w:r>
    </w:p>
    <w:p w14:paraId="6F843D70" w14:textId="76F3B715" w:rsidR="009008A5" w:rsidRPr="00511005" w:rsidRDefault="00287A9C" w:rsidP="003A292D">
      <w:pPr>
        <w:spacing w:line="264" w:lineRule="auto"/>
        <w:ind w:right="-141" w:firstLine="1"/>
        <w:jc w:val="center"/>
        <w:rPr>
          <w:rFonts w:ascii="Arial" w:eastAsia="Times New Roman" w:hAnsi="Arial" w:cs="Arial"/>
          <w:iCs/>
          <w:szCs w:val="28"/>
          <w:lang w:eastAsia="ru-RU"/>
        </w:rPr>
      </w:pPr>
      <w:r w:rsidRPr="00511005">
        <w:rPr>
          <w:rFonts w:ascii="Arial" w:eastAsia="Times New Roman" w:hAnsi="Arial" w:cs="Arial"/>
          <w:iCs/>
          <w:szCs w:val="28"/>
          <w:lang w:eastAsia="ru-RU"/>
        </w:rPr>
        <w:t>студент</w:t>
      </w:r>
      <w:r w:rsidR="00AE57E7" w:rsidRPr="00511005">
        <w:rPr>
          <w:rFonts w:ascii="Arial" w:eastAsia="Times New Roman" w:hAnsi="Arial" w:cs="Arial"/>
          <w:iCs/>
          <w:szCs w:val="28"/>
          <w:lang w:eastAsia="ru-RU"/>
        </w:rPr>
        <w:t xml:space="preserve"> </w:t>
      </w:r>
      <w:r w:rsidR="009008A5" w:rsidRPr="00511005">
        <w:rPr>
          <w:rFonts w:ascii="Arial" w:eastAsia="Times New Roman" w:hAnsi="Arial" w:cs="Arial"/>
          <w:iCs/>
          <w:szCs w:val="28"/>
          <w:lang w:val="uk-UA" w:eastAsia="ru-RU"/>
        </w:rPr>
        <w:t>1-го</w:t>
      </w:r>
      <w:r w:rsidR="00AE57E7" w:rsidRPr="00511005">
        <w:rPr>
          <w:rFonts w:ascii="Arial" w:eastAsia="Times New Roman" w:hAnsi="Arial" w:cs="Arial"/>
          <w:iCs/>
          <w:szCs w:val="28"/>
          <w:lang w:eastAsia="ru-RU"/>
        </w:rPr>
        <w:t xml:space="preserve"> курсу магістратури </w:t>
      </w:r>
      <w:r w:rsidR="00536AAB" w:rsidRPr="00511005">
        <w:rPr>
          <w:rFonts w:ascii="Arial" w:eastAsia="Times New Roman" w:hAnsi="Arial" w:cs="Arial"/>
          <w:iCs/>
          <w:szCs w:val="28"/>
          <w:lang w:eastAsia="ru-RU"/>
        </w:rPr>
        <w:t>факультету журналістики</w:t>
      </w:r>
      <w:r w:rsidR="00AE57E7" w:rsidRPr="00511005">
        <w:rPr>
          <w:rFonts w:ascii="Arial" w:eastAsia="Times New Roman" w:hAnsi="Arial" w:cs="Arial"/>
          <w:iCs/>
          <w:szCs w:val="28"/>
          <w:lang w:eastAsia="ru-RU"/>
        </w:rPr>
        <w:t xml:space="preserve"> </w:t>
      </w:r>
    </w:p>
    <w:p w14:paraId="41BB4DD1" w14:textId="28FF91AC" w:rsidR="00AE57E7" w:rsidRPr="00511005" w:rsidRDefault="007B2628" w:rsidP="003A292D">
      <w:pPr>
        <w:spacing w:line="264" w:lineRule="auto"/>
        <w:ind w:right="-141" w:firstLine="1"/>
        <w:jc w:val="center"/>
        <w:rPr>
          <w:rFonts w:ascii="Arial" w:eastAsia="Times New Roman" w:hAnsi="Arial" w:cs="Arial"/>
          <w:iCs/>
          <w:szCs w:val="28"/>
          <w:lang w:eastAsia="ru-RU"/>
        </w:rPr>
      </w:pPr>
      <w:r w:rsidRPr="00511005">
        <w:rPr>
          <w:rFonts w:ascii="Arial" w:eastAsia="Times New Roman" w:hAnsi="Arial" w:cs="Arial"/>
          <w:iCs/>
          <w:szCs w:val="28"/>
          <w:lang w:eastAsia="ru-RU"/>
        </w:rPr>
        <w:t>Національного університету «Одеська юридична академія»</w:t>
      </w:r>
    </w:p>
    <w:p w14:paraId="49A5316D" w14:textId="34D7D334" w:rsidR="00AE57E7" w:rsidRPr="00511005" w:rsidRDefault="00AE57E7" w:rsidP="003A292D">
      <w:pPr>
        <w:widowControl w:val="0"/>
        <w:autoSpaceDE w:val="0"/>
        <w:autoSpaceDN w:val="0"/>
        <w:spacing w:line="264" w:lineRule="auto"/>
        <w:ind w:right="-141" w:firstLine="0"/>
        <w:jc w:val="left"/>
        <w:rPr>
          <w:rFonts w:ascii="Arial" w:eastAsia="Times New Roman" w:hAnsi="Arial" w:cs="Arial"/>
          <w:i/>
          <w:szCs w:val="28"/>
        </w:rPr>
      </w:pPr>
    </w:p>
    <w:p w14:paraId="56CE2EBB" w14:textId="32E7D6EC" w:rsidR="00B54D94" w:rsidRPr="00511005" w:rsidRDefault="00B54D94" w:rsidP="00B54D94">
      <w:pPr>
        <w:widowControl w:val="0"/>
        <w:autoSpaceDE w:val="0"/>
        <w:autoSpaceDN w:val="0"/>
        <w:spacing w:line="264" w:lineRule="auto"/>
        <w:ind w:right="-141" w:firstLine="0"/>
        <w:jc w:val="center"/>
        <w:rPr>
          <w:rFonts w:ascii="Arial" w:eastAsia="Times New Roman" w:hAnsi="Arial" w:cs="Arial"/>
          <w:i/>
          <w:szCs w:val="28"/>
        </w:rPr>
      </w:pPr>
      <w:r w:rsidRPr="00511005">
        <w:rPr>
          <w:rFonts w:ascii="Arial" w:eastAsia="Times New Roman" w:hAnsi="Arial" w:cs="Arial"/>
          <w:b/>
          <w:bCs/>
          <w:szCs w:val="28"/>
        </w:rPr>
        <w:t>ВПЛИВ ШТУЧНОГО ІНТЕЛЕКТУ НА ДІЯЛЬНІСТЬ ЖУРНАЛІСТИКИ</w:t>
      </w:r>
    </w:p>
    <w:p w14:paraId="1559B991" w14:textId="77777777" w:rsidR="00AE57E7" w:rsidRPr="00511005" w:rsidRDefault="00AE57E7" w:rsidP="003A292D">
      <w:pPr>
        <w:widowControl w:val="0"/>
        <w:autoSpaceDE w:val="0"/>
        <w:autoSpaceDN w:val="0"/>
        <w:spacing w:line="264" w:lineRule="auto"/>
        <w:ind w:right="-141" w:firstLine="567"/>
        <w:rPr>
          <w:rFonts w:ascii="Arial" w:eastAsia="Times New Roman" w:hAnsi="Arial" w:cs="Arial"/>
          <w:szCs w:val="28"/>
        </w:rPr>
      </w:pPr>
      <w:r w:rsidRPr="00511005">
        <w:rPr>
          <w:rFonts w:ascii="Arial" w:eastAsia="Times New Roman" w:hAnsi="Arial" w:cs="Arial"/>
          <w:szCs w:val="28"/>
        </w:rPr>
        <w:t>Інтенсивний розвиток технологій штучного інтелекту (далі - ШІ) радикально змінює практику та етику сучасної журналістики. ШІ пропонує нові можливості для збору, аналізу та публікації даних, що впливає на оперативність, точність і доступність інформації для широкої аудиторії. Проте, існує і низка викликів, включаючи ризики дезінформації, зниження якості журналістських розслідувань та моральні питання, пов’язані з автоматизацією творчих процесів.</w:t>
      </w:r>
    </w:p>
    <w:p w14:paraId="2E30B55C" w14:textId="77777777" w:rsidR="00AE57E7" w:rsidRPr="00511005" w:rsidRDefault="00AE57E7" w:rsidP="003A292D">
      <w:pPr>
        <w:widowControl w:val="0"/>
        <w:autoSpaceDE w:val="0"/>
        <w:autoSpaceDN w:val="0"/>
        <w:spacing w:line="264" w:lineRule="auto"/>
        <w:ind w:right="-141" w:firstLine="567"/>
        <w:rPr>
          <w:rFonts w:ascii="Arial" w:eastAsia="Times New Roman" w:hAnsi="Arial" w:cs="Arial"/>
          <w:spacing w:val="-2"/>
          <w:szCs w:val="28"/>
        </w:rPr>
      </w:pPr>
      <w:r w:rsidRPr="00511005">
        <w:rPr>
          <w:rFonts w:ascii="Arial" w:eastAsia="Times New Roman" w:hAnsi="Arial" w:cs="Arial"/>
          <w:szCs w:val="28"/>
        </w:rPr>
        <w:t>ШІ активно застосовується для автоматичного створення новинних матеріалів, зокрема в сферах економіки, спорту та фінансів, де необхідно швидко обробляти великі обсяги даних. Алгоритми можуть генерувати короткі новини, ґрунтуючись на структурованих даних (наприклад, на результатах</w:t>
      </w:r>
      <w:r w:rsidRPr="00511005">
        <w:rPr>
          <w:rFonts w:ascii="Arial" w:eastAsia="Times New Roman" w:hAnsi="Arial" w:cs="Arial"/>
          <w:spacing w:val="77"/>
          <w:szCs w:val="28"/>
        </w:rPr>
        <w:t xml:space="preserve"> </w:t>
      </w:r>
      <w:r w:rsidRPr="00511005">
        <w:rPr>
          <w:rFonts w:ascii="Arial" w:eastAsia="Times New Roman" w:hAnsi="Arial" w:cs="Arial"/>
          <w:szCs w:val="28"/>
        </w:rPr>
        <w:t>спортивних</w:t>
      </w:r>
      <w:r w:rsidRPr="00511005">
        <w:rPr>
          <w:rFonts w:ascii="Arial" w:eastAsia="Times New Roman" w:hAnsi="Arial" w:cs="Arial"/>
          <w:spacing w:val="78"/>
          <w:szCs w:val="28"/>
        </w:rPr>
        <w:t xml:space="preserve"> </w:t>
      </w:r>
      <w:r w:rsidRPr="00511005">
        <w:rPr>
          <w:rFonts w:ascii="Arial" w:eastAsia="Times New Roman" w:hAnsi="Arial" w:cs="Arial"/>
          <w:szCs w:val="28"/>
        </w:rPr>
        <w:t>матчів,</w:t>
      </w:r>
      <w:r w:rsidRPr="00511005">
        <w:rPr>
          <w:rFonts w:ascii="Arial" w:eastAsia="Times New Roman" w:hAnsi="Arial" w:cs="Arial"/>
          <w:spacing w:val="77"/>
          <w:szCs w:val="28"/>
        </w:rPr>
        <w:t xml:space="preserve"> </w:t>
      </w:r>
      <w:r w:rsidRPr="00511005">
        <w:rPr>
          <w:rFonts w:ascii="Arial" w:eastAsia="Times New Roman" w:hAnsi="Arial" w:cs="Arial"/>
          <w:szCs w:val="28"/>
        </w:rPr>
        <w:t>фондових</w:t>
      </w:r>
      <w:r w:rsidRPr="00511005">
        <w:rPr>
          <w:rFonts w:ascii="Arial" w:eastAsia="Times New Roman" w:hAnsi="Arial" w:cs="Arial"/>
          <w:spacing w:val="78"/>
          <w:szCs w:val="28"/>
        </w:rPr>
        <w:t xml:space="preserve"> </w:t>
      </w:r>
      <w:r w:rsidRPr="00511005">
        <w:rPr>
          <w:rFonts w:ascii="Arial" w:eastAsia="Times New Roman" w:hAnsi="Arial" w:cs="Arial"/>
          <w:szCs w:val="28"/>
        </w:rPr>
        <w:t>котируваннях).</w:t>
      </w:r>
      <w:r w:rsidRPr="00511005">
        <w:rPr>
          <w:rFonts w:ascii="Arial" w:eastAsia="Times New Roman" w:hAnsi="Arial" w:cs="Arial"/>
          <w:spacing w:val="78"/>
          <w:szCs w:val="28"/>
        </w:rPr>
        <w:t xml:space="preserve"> </w:t>
      </w:r>
      <w:r w:rsidRPr="00511005">
        <w:rPr>
          <w:rFonts w:ascii="Arial" w:eastAsia="Times New Roman" w:hAnsi="Arial" w:cs="Arial"/>
          <w:szCs w:val="28"/>
        </w:rPr>
        <w:t>Такі</w:t>
      </w:r>
      <w:r w:rsidRPr="00511005">
        <w:rPr>
          <w:rFonts w:ascii="Arial" w:eastAsia="Times New Roman" w:hAnsi="Arial" w:cs="Arial"/>
          <w:spacing w:val="78"/>
          <w:szCs w:val="28"/>
        </w:rPr>
        <w:t xml:space="preserve"> </w:t>
      </w:r>
      <w:r w:rsidRPr="00511005">
        <w:rPr>
          <w:rFonts w:ascii="Arial" w:eastAsia="Times New Roman" w:hAnsi="Arial" w:cs="Arial"/>
          <w:spacing w:val="-2"/>
          <w:szCs w:val="28"/>
        </w:rPr>
        <w:t>технології</w:t>
      </w:r>
    </w:p>
    <w:p w14:paraId="1DAA616B" w14:textId="77777777" w:rsidR="00AE57E7" w:rsidRPr="00511005" w:rsidRDefault="00AE57E7" w:rsidP="003A292D">
      <w:pPr>
        <w:widowControl w:val="0"/>
        <w:autoSpaceDE w:val="0"/>
        <w:autoSpaceDN w:val="0"/>
        <w:spacing w:line="264" w:lineRule="auto"/>
        <w:ind w:right="-141" w:firstLine="0"/>
        <w:rPr>
          <w:rFonts w:ascii="Arial" w:eastAsia="Times New Roman" w:hAnsi="Arial" w:cs="Arial"/>
          <w:szCs w:val="28"/>
        </w:rPr>
      </w:pPr>
      <w:r w:rsidRPr="00511005">
        <w:rPr>
          <w:rFonts w:ascii="Arial" w:eastAsia="Times New Roman" w:hAnsi="Arial" w:cs="Arial"/>
          <w:szCs w:val="28"/>
        </w:rPr>
        <w:t xml:space="preserve">дозволяють журналістам зосередитися на більш складних і креативних задачах. Наприклад, агентства новин, такі як </w:t>
      </w:r>
      <w:r w:rsidRPr="00511005">
        <w:rPr>
          <w:rFonts w:ascii="Arial" w:eastAsia="Times New Roman" w:hAnsi="Arial" w:cs="Arial"/>
          <w:szCs w:val="28"/>
          <w:lang w:val="en-US"/>
        </w:rPr>
        <w:t>Associated</w:t>
      </w:r>
      <w:r w:rsidRPr="00511005">
        <w:rPr>
          <w:rFonts w:ascii="Arial" w:eastAsia="Times New Roman" w:hAnsi="Arial" w:cs="Arial"/>
          <w:szCs w:val="28"/>
        </w:rPr>
        <w:t xml:space="preserve"> </w:t>
      </w:r>
      <w:r w:rsidRPr="00511005">
        <w:rPr>
          <w:rFonts w:ascii="Arial" w:eastAsia="Times New Roman" w:hAnsi="Arial" w:cs="Arial"/>
          <w:szCs w:val="28"/>
          <w:lang w:val="en-US"/>
        </w:rPr>
        <w:t>Press</w:t>
      </w:r>
      <w:r w:rsidRPr="00511005">
        <w:rPr>
          <w:rFonts w:ascii="Arial" w:eastAsia="Times New Roman" w:hAnsi="Arial" w:cs="Arial"/>
          <w:szCs w:val="28"/>
        </w:rPr>
        <w:t>, вже використовують автоматизовані системи для створення звітів, що допомагає значно скоротити час обробки інформації. Але є й негативний аспект, наприклад, механічність текстів та відсутність глибокого аналізу [1].</w:t>
      </w:r>
    </w:p>
    <w:p w14:paraId="2B2C04A3" w14:textId="77777777" w:rsidR="00AE57E7" w:rsidRPr="00511005" w:rsidRDefault="00AE57E7" w:rsidP="003A292D">
      <w:pPr>
        <w:widowControl w:val="0"/>
        <w:autoSpaceDE w:val="0"/>
        <w:autoSpaceDN w:val="0"/>
        <w:spacing w:line="264" w:lineRule="auto"/>
        <w:ind w:right="-141" w:firstLine="567"/>
        <w:rPr>
          <w:rFonts w:ascii="Arial" w:eastAsia="Times New Roman" w:hAnsi="Arial" w:cs="Arial"/>
          <w:szCs w:val="28"/>
        </w:rPr>
      </w:pPr>
      <w:r w:rsidRPr="00511005">
        <w:rPr>
          <w:rFonts w:ascii="Arial" w:eastAsia="Times New Roman" w:hAnsi="Arial" w:cs="Arial"/>
          <w:szCs w:val="28"/>
        </w:rPr>
        <w:t>Також</w:t>
      </w:r>
      <w:r w:rsidRPr="00511005">
        <w:rPr>
          <w:rFonts w:ascii="Arial" w:eastAsia="Times New Roman" w:hAnsi="Arial" w:cs="Arial"/>
          <w:spacing w:val="-18"/>
          <w:szCs w:val="28"/>
        </w:rPr>
        <w:t xml:space="preserve"> </w:t>
      </w:r>
      <w:r w:rsidRPr="00511005">
        <w:rPr>
          <w:rFonts w:ascii="Arial" w:eastAsia="Times New Roman" w:hAnsi="Arial" w:cs="Arial"/>
          <w:szCs w:val="28"/>
        </w:rPr>
        <w:t>ШІ</w:t>
      </w:r>
      <w:r w:rsidRPr="00511005">
        <w:rPr>
          <w:rFonts w:ascii="Arial" w:eastAsia="Times New Roman" w:hAnsi="Arial" w:cs="Arial"/>
          <w:spacing w:val="-17"/>
          <w:szCs w:val="28"/>
        </w:rPr>
        <w:t xml:space="preserve"> </w:t>
      </w:r>
      <w:r w:rsidRPr="00511005">
        <w:rPr>
          <w:rFonts w:ascii="Arial" w:eastAsia="Times New Roman" w:hAnsi="Arial" w:cs="Arial"/>
          <w:szCs w:val="28"/>
        </w:rPr>
        <w:t>допомагає</w:t>
      </w:r>
      <w:r w:rsidRPr="00511005">
        <w:rPr>
          <w:rFonts w:ascii="Arial" w:eastAsia="Times New Roman" w:hAnsi="Arial" w:cs="Arial"/>
          <w:spacing w:val="-18"/>
          <w:szCs w:val="28"/>
        </w:rPr>
        <w:t xml:space="preserve"> </w:t>
      </w:r>
      <w:r w:rsidRPr="00511005">
        <w:rPr>
          <w:rFonts w:ascii="Arial" w:eastAsia="Times New Roman" w:hAnsi="Arial" w:cs="Arial"/>
          <w:szCs w:val="28"/>
        </w:rPr>
        <w:t>автоматизувати</w:t>
      </w:r>
      <w:r w:rsidRPr="00511005">
        <w:rPr>
          <w:rFonts w:ascii="Arial" w:eastAsia="Times New Roman" w:hAnsi="Arial" w:cs="Arial"/>
          <w:spacing w:val="-17"/>
          <w:szCs w:val="28"/>
        </w:rPr>
        <w:t xml:space="preserve"> </w:t>
      </w:r>
      <w:r w:rsidRPr="00511005">
        <w:rPr>
          <w:rFonts w:ascii="Arial" w:eastAsia="Times New Roman" w:hAnsi="Arial" w:cs="Arial"/>
          <w:szCs w:val="28"/>
        </w:rPr>
        <w:t>процес</w:t>
      </w:r>
      <w:r w:rsidRPr="00511005">
        <w:rPr>
          <w:rFonts w:ascii="Arial" w:eastAsia="Times New Roman" w:hAnsi="Arial" w:cs="Arial"/>
          <w:spacing w:val="-18"/>
          <w:szCs w:val="28"/>
        </w:rPr>
        <w:t xml:space="preserve"> </w:t>
      </w:r>
      <w:r w:rsidRPr="00511005">
        <w:rPr>
          <w:rFonts w:ascii="Arial" w:eastAsia="Times New Roman" w:hAnsi="Arial" w:cs="Arial"/>
          <w:szCs w:val="28"/>
        </w:rPr>
        <w:t>перевірки</w:t>
      </w:r>
      <w:r w:rsidRPr="00511005">
        <w:rPr>
          <w:rFonts w:ascii="Arial" w:eastAsia="Times New Roman" w:hAnsi="Arial" w:cs="Arial"/>
          <w:spacing w:val="-17"/>
          <w:szCs w:val="28"/>
        </w:rPr>
        <w:t xml:space="preserve"> </w:t>
      </w:r>
      <w:r w:rsidRPr="00511005">
        <w:rPr>
          <w:rFonts w:ascii="Arial" w:eastAsia="Times New Roman" w:hAnsi="Arial" w:cs="Arial"/>
          <w:szCs w:val="28"/>
        </w:rPr>
        <w:t>фактів</w:t>
      </w:r>
      <w:r w:rsidRPr="00511005">
        <w:rPr>
          <w:rFonts w:ascii="Arial" w:eastAsia="Times New Roman" w:hAnsi="Arial" w:cs="Arial"/>
          <w:spacing w:val="-18"/>
          <w:szCs w:val="28"/>
        </w:rPr>
        <w:t xml:space="preserve"> </w:t>
      </w:r>
      <w:r w:rsidRPr="00511005">
        <w:rPr>
          <w:rFonts w:ascii="Arial" w:eastAsia="Times New Roman" w:hAnsi="Arial" w:cs="Arial"/>
          <w:szCs w:val="28"/>
        </w:rPr>
        <w:t>і</w:t>
      </w:r>
      <w:r w:rsidRPr="00511005">
        <w:rPr>
          <w:rFonts w:ascii="Arial" w:eastAsia="Times New Roman" w:hAnsi="Arial" w:cs="Arial"/>
          <w:spacing w:val="-17"/>
          <w:szCs w:val="28"/>
        </w:rPr>
        <w:t xml:space="preserve"> </w:t>
      </w:r>
      <w:r w:rsidRPr="00511005">
        <w:rPr>
          <w:rFonts w:ascii="Arial" w:eastAsia="Times New Roman" w:hAnsi="Arial" w:cs="Arial"/>
          <w:szCs w:val="28"/>
        </w:rPr>
        <w:t>виявлення фейкових новин. Це особливо актуально в епоху поширення дезінформації, коли складно вручну перевіряти кожне джерело чи заяву. Наприклад, алгоритми аналізу тексту можуть швидко виявляти можливі неправдиві твердження та перевіряти їх на відповідність достовірним джерелам. Це дає змогу зменшити вплив дезінформації на аудиторію. Але в свою чергу породжує</w:t>
      </w:r>
      <w:r w:rsidRPr="00511005">
        <w:rPr>
          <w:rFonts w:ascii="Arial" w:eastAsia="Times New Roman" w:hAnsi="Arial" w:cs="Arial"/>
          <w:spacing w:val="-2"/>
          <w:szCs w:val="28"/>
        </w:rPr>
        <w:t xml:space="preserve"> </w:t>
      </w:r>
      <w:r w:rsidRPr="00511005">
        <w:rPr>
          <w:rFonts w:ascii="Arial" w:eastAsia="Times New Roman" w:hAnsi="Arial" w:cs="Arial"/>
          <w:szCs w:val="28"/>
        </w:rPr>
        <w:t>ризик</w:t>
      </w:r>
      <w:r w:rsidRPr="00511005">
        <w:rPr>
          <w:rFonts w:ascii="Arial" w:eastAsia="Times New Roman" w:hAnsi="Arial" w:cs="Arial"/>
          <w:spacing w:val="-1"/>
          <w:szCs w:val="28"/>
        </w:rPr>
        <w:t xml:space="preserve"> </w:t>
      </w:r>
      <w:r w:rsidRPr="00511005">
        <w:rPr>
          <w:rFonts w:ascii="Arial" w:eastAsia="Times New Roman" w:hAnsi="Arial" w:cs="Arial"/>
          <w:szCs w:val="28"/>
        </w:rPr>
        <w:t>упередженості,</w:t>
      </w:r>
      <w:r w:rsidRPr="00511005">
        <w:rPr>
          <w:rFonts w:ascii="Arial" w:eastAsia="Times New Roman" w:hAnsi="Arial" w:cs="Arial"/>
          <w:spacing w:val="-1"/>
          <w:szCs w:val="28"/>
        </w:rPr>
        <w:t xml:space="preserve"> </w:t>
      </w:r>
      <w:r w:rsidRPr="00511005">
        <w:rPr>
          <w:rFonts w:ascii="Arial" w:eastAsia="Times New Roman" w:hAnsi="Arial" w:cs="Arial"/>
          <w:szCs w:val="28"/>
        </w:rPr>
        <w:t>якщо алгоритм</w:t>
      </w:r>
      <w:r w:rsidRPr="00511005">
        <w:rPr>
          <w:rFonts w:ascii="Arial" w:eastAsia="Times New Roman" w:hAnsi="Arial" w:cs="Arial"/>
          <w:spacing w:val="-1"/>
          <w:szCs w:val="28"/>
        </w:rPr>
        <w:t xml:space="preserve"> </w:t>
      </w:r>
      <w:r w:rsidRPr="00511005">
        <w:rPr>
          <w:rFonts w:ascii="Arial" w:eastAsia="Times New Roman" w:hAnsi="Arial" w:cs="Arial"/>
          <w:szCs w:val="28"/>
        </w:rPr>
        <w:t>неправильно</w:t>
      </w:r>
      <w:r w:rsidRPr="00511005">
        <w:rPr>
          <w:rFonts w:ascii="Arial" w:eastAsia="Times New Roman" w:hAnsi="Arial" w:cs="Arial"/>
          <w:spacing w:val="-1"/>
          <w:szCs w:val="28"/>
        </w:rPr>
        <w:t xml:space="preserve"> </w:t>
      </w:r>
      <w:r w:rsidRPr="00511005">
        <w:rPr>
          <w:rFonts w:ascii="Arial" w:eastAsia="Times New Roman" w:hAnsi="Arial" w:cs="Arial"/>
          <w:szCs w:val="28"/>
        </w:rPr>
        <w:t>інтерпретує</w:t>
      </w:r>
      <w:r w:rsidRPr="00511005">
        <w:rPr>
          <w:rFonts w:ascii="Arial" w:eastAsia="Times New Roman" w:hAnsi="Arial" w:cs="Arial"/>
          <w:spacing w:val="-1"/>
          <w:szCs w:val="28"/>
        </w:rPr>
        <w:t xml:space="preserve"> </w:t>
      </w:r>
      <w:r w:rsidRPr="00511005">
        <w:rPr>
          <w:rFonts w:ascii="Arial" w:eastAsia="Times New Roman" w:hAnsi="Arial" w:cs="Arial"/>
          <w:szCs w:val="28"/>
        </w:rPr>
        <w:t>дані або базується на сумнівних джерелах.</w:t>
      </w:r>
    </w:p>
    <w:p w14:paraId="52BAA134" w14:textId="77777777" w:rsidR="00AE57E7" w:rsidRPr="00511005" w:rsidRDefault="00AE57E7" w:rsidP="003A292D">
      <w:pPr>
        <w:widowControl w:val="0"/>
        <w:autoSpaceDE w:val="0"/>
        <w:autoSpaceDN w:val="0"/>
        <w:spacing w:line="264" w:lineRule="auto"/>
        <w:ind w:right="-141" w:firstLine="567"/>
        <w:rPr>
          <w:rFonts w:ascii="Arial" w:eastAsia="Times New Roman" w:hAnsi="Arial" w:cs="Arial"/>
          <w:szCs w:val="28"/>
        </w:rPr>
      </w:pPr>
      <w:r w:rsidRPr="00511005">
        <w:rPr>
          <w:rFonts w:ascii="Arial" w:eastAsia="Times New Roman" w:hAnsi="Arial" w:cs="Arial"/>
          <w:szCs w:val="28"/>
        </w:rPr>
        <w:t xml:space="preserve">Окрім цього, ШІ надає нові можливості для збору та аналізу даних про вподобання аудиторії. Інструменти машинного навчання дозволяють журналістам і медіакомпаніям краще розуміти свою аудиторію, що дає можливість створювати більш релевантний та персоналізований контент. Саме в цій ситуації виникає два негативних аспекти, а саме, ризик створення </w:t>
      </w:r>
      <w:r w:rsidRPr="00511005">
        <w:rPr>
          <w:rFonts w:ascii="Arial" w:eastAsia="Times New Roman" w:hAnsi="Arial" w:cs="Arial"/>
          <w:szCs w:val="28"/>
        </w:rPr>
        <w:lastRenderedPageBreak/>
        <w:t>інформаційних</w:t>
      </w:r>
      <w:r w:rsidRPr="00511005">
        <w:rPr>
          <w:rFonts w:ascii="Arial" w:eastAsia="Times New Roman" w:hAnsi="Arial" w:cs="Arial"/>
          <w:spacing w:val="-18"/>
          <w:szCs w:val="28"/>
        </w:rPr>
        <w:t xml:space="preserve"> </w:t>
      </w:r>
      <w:r w:rsidRPr="00511005">
        <w:rPr>
          <w:rFonts w:ascii="Arial" w:eastAsia="Times New Roman" w:hAnsi="Arial" w:cs="Arial"/>
          <w:szCs w:val="28"/>
        </w:rPr>
        <w:t>"бульбашок",</w:t>
      </w:r>
      <w:r w:rsidRPr="00511005">
        <w:rPr>
          <w:rFonts w:ascii="Arial" w:eastAsia="Times New Roman" w:hAnsi="Arial" w:cs="Arial"/>
          <w:spacing w:val="-17"/>
          <w:szCs w:val="28"/>
        </w:rPr>
        <w:t xml:space="preserve"> </w:t>
      </w:r>
      <w:r w:rsidRPr="00511005">
        <w:rPr>
          <w:rFonts w:ascii="Arial" w:eastAsia="Times New Roman" w:hAnsi="Arial" w:cs="Arial"/>
          <w:szCs w:val="28"/>
        </w:rPr>
        <w:t>коли</w:t>
      </w:r>
      <w:r w:rsidRPr="00511005">
        <w:rPr>
          <w:rFonts w:ascii="Arial" w:eastAsia="Times New Roman" w:hAnsi="Arial" w:cs="Arial"/>
          <w:spacing w:val="-18"/>
          <w:szCs w:val="28"/>
        </w:rPr>
        <w:t xml:space="preserve"> </w:t>
      </w:r>
      <w:r w:rsidRPr="00511005">
        <w:rPr>
          <w:rFonts w:ascii="Arial" w:eastAsia="Times New Roman" w:hAnsi="Arial" w:cs="Arial"/>
          <w:szCs w:val="28"/>
        </w:rPr>
        <w:t>аудиторія</w:t>
      </w:r>
      <w:r w:rsidRPr="00511005">
        <w:rPr>
          <w:rFonts w:ascii="Arial" w:eastAsia="Times New Roman" w:hAnsi="Arial" w:cs="Arial"/>
          <w:spacing w:val="-17"/>
          <w:szCs w:val="28"/>
        </w:rPr>
        <w:t xml:space="preserve"> </w:t>
      </w:r>
      <w:r w:rsidRPr="00511005">
        <w:rPr>
          <w:rFonts w:ascii="Arial" w:eastAsia="Times New Roman" w:hAnsi="Arial" w:cs="Arial"/>
          <w:szCs w:val="28"/>
        </w:rPr>
        <w:t>отримує</w:t>
      </w:r>
      <w:r w:rsidRPr="00511005">
        <w:rPr>
          <w:rFonts w:ascii="Arial" w:eastAsia="Times New Roman" w:hAnsi="Arial" w:cs="Arial"/>
          <w:spacing w:val="-18"/>
          <w:szCs w:val="28"/>
        </w:rPr>
        <w:t xml:space="preserve"> </w:t>
      </w:r>
      <w:r w:rsidRPr="00511005">
        <w:rPr>
          <w:rFonts w:ascii="Arial" w:eastAsia="Times New Roman" w:hAnsi="Arial" w:cs="Arial"/>
          <w:szCs w:val="28"/>
        </w:rPr>
        <w:t>лише</w:t>
      </w:r>
      <w:r w:rsidRPr="00511005">
        <w:rPr>
          <w:rFonts w:ascii="Arial" w:eastAsia="Times New Roman" w:hAnsi="Arial" w:cs="Arial"/>
          <w:spacing w:val="-17"/>
          <w:szCs w:val="28"/>
        </w:rPr>
        <w:t xml:space="preserve"> </w:t>
      </w:r>
      <w:r w:rsidRPr="00511005">
        <w:rPr>
          <w:rFonts w:ascii="Arial" w:eastAsia="Times New Roman" w:hAnsi="Arial" w:cs="Arial"/>
          <w:szCs w:val="28"/>
        </w:rPr>
        <w:t>ту</w:t>
      </w:r>
      <w:r w:rsidRPr="00511005">
        <w:rPr>
          <w:rFonts w:ascii="Arial" w:eastAsia="Times New Roman" w:hAnsi="Arial" w:cs="Arial"/>
          <w:spacing w:val="-18"/>
          <w:szCs w:val="28"/>
        </w:rPr>
        <w:t xml:space="preserve"> </w:t>
      </w:r>
      <w:r w:rsidRPr="00511005">
        <w:rPr>
          <w:rFonts w:ascii="Arial" w:eastAsia="Times New Roman" w:hAnsi="Arial" w:cs="Arial"/>
          <w:szCs w:val="28"/>
        </w:rPr>
        <w:t>інформацію,</w:t>
      </w:r>
      <w:r w:rsidRPr="00511005">
        <w:rPr>
          <w:rFonts w:ascii="Arial" w:eastAsia="Times New Roman" w:hAnsi="Arial" w:cs="Arial"/>
          <w:spacing w:val="-17"/>
          <w:szCs w:val="28"/>
        </w:rPr>
        <w:t xml:space="preserve"> </w:t>
      </w:r>
      <w:r w:rsidRPr="00511005">
        <w:rPr>
          <w:rFonts w:ascii="Arial" w:eastAsia="Times New Roman" w:hAnsi="Arial" w:cs="Arial"/>
          <w:szCs w:val="28"/>
        </w:rPr>
        <w:t>яка збігається з її уподобаннями, що може обмежувати доступ до різносторонніх новин та можливе зростання впливу медіа на формування громадської думки через нав’язування певних поглядів [2].</w:t>
      </w:r>
    </w:p>
    <w:p w14:paraId="5CC72660" w14:textId="77777777" w:rsidR="00AE57E7" w:rsidRPr="00511005" w:rsidRDefault="00AE57E7" w:rsidP="003A292D">
      <w:pPr>
        <w:widowControl w:val="0"/>
        <w:autoSpaceDE w:val="0"/>
        <w:autoSpaceDN w:val="0"/>
        <w:spacing w:line="264" w:lineRule="auto"/>
        <w:ind w:right="-141" w:firstLine="567"/>
        <w:rPr>
          <w:rFonts w:ascii="Arial" w:eastAsia="Times New Roman" w:hAnsi="Arial" w:cs="Arial"/>
          <w:szCs w:val="28"/>
        </w:rPr>
      </w:pPr>
      <w:r w:rsidRPr="00511005">
        <w:rPr>
          <w:rFonts w:ascii="Arial" w:eastAsia="Times New Roman" w:hAnsi="Arial" w:cs="Arial"/>
          <w:szCs w:val="28"/>
        </w:rPr>
        <w:t>Потрібно зазначити, що інтеграція ШІ у журналістику також викликає низку етичних і правових питань. Наприклад, питання відповідальності за контент, створений ШІ, або проблема потенційного впливу алгоритмів на об'єктивність подачі новин. Журналістика завжди вимагала дотримання високих етичних стандартів, однак автоматизація створення контенту може призвести до розмивання цих стандартів. [3].</w:t>
      </w:r>
    </w:p>
    <w:p w14:paraId="38A7BCEC" w14:textId="32E98774" w:rsidR="00AE57E7" w:rsidRPr="00511005" w:rsidRDefault="00AE57E7" w:rsidP="00901EF1">
      <w:pPr>
        <w:widowControl w:val="0"/>
        <w:autoSpaceDE w:val="0"/>
        <w:autoSpaceDN w:val="0"/>
        <w:spacing w:line="264" w:lineRule="auto"/>
        <w:ind w:right="-141" w:firstLine="567"/>
        <w:rPr>
          <w:rFonts w:ascii="Arial" w:eastAsia="Times New Roman" w:hAnsi="Arial" w:cs="Arial"/>
          <w:szCs w:val="28"/>
          <w:lang w:val="uk-UA"/>
        </w:rPr>
      </w:pPr>
      <w:r w:rsidRPr="00511005">
        <w:rPr>
          <w:rFonts w:ascii="Arial" w:eastAsia="Times New Roman" w:hAnsi="Arial" w:cs="Arial"/>
          <w:szCs w:val="28"/>
        </w:rPr>
        <w:t>Штучний інтелект здатний суттєво підвищити продуктивність журналістів</w:t>
      </w:r>
      <w:r w:rsidRPr="00511005">
        <w:rPr>
          <w:rFonts w:ascii="Arial" w:eastAsia="Times New Roman" w:hAnsi="Arial" w:cs="Arial"/>
          <w:spacing w:val="51"/>
          <w:szCs w:val="28"/>
        </w:rPr>
        <w:t xml:space="preserve"> </w:t>
      </w:r>
      <w:r w:rsidRPr="00511005">
        <w:rPr>
          <w:rFonts w:ascii="Arial" w:eastAsia="Times New Roman" w:hAnsi="Arial" w:cs="Arial"/>
          <w:szCs w:val="28"/>
        </w:rPr>
        <w:t>і</w:t>
      </w:r>
      <w:r w:rsidRPr="00511005">
        <w:rPr>
          <w:rFonts w:ascii="Arial" w:eastAsia="Times New Roman" w:hAnsi="Arial" w:cs="Arial"/>
          <w:spacing w:val="52"/>
          <w:szCs w:val="28"/>
        </w:rPr>
        <w:t xml:space="preserve"> </w:t>
      </w:r>
      <w:r w:rsidRPr="00511005">
        <w:rPr>
          <w:rFonts w:ascii="Arial" w:eastAsia="Times New Roman" w:hAnsi="Arial" w:cs="Arial"/>
          <w:szCs w:val="28"/>
        </w:rPr>
        <w:t>розширити</w:t>
      </w:r>
      <w:r w:rsidRPr="00511005">
        <w:rPr>
          <w:rFonts w:ascii="Arial" w:eastAsia="Times New Roman" w:hAnsi="Arial" w:cs="Arial"/>
          <w:spacing w:val="52"/>
          <w:szCs w:val="28"/>
        </w:rPr>
        <w:t xml:space="preserve"> </w:t>
      </w:r>
      <w:r w:rsidRPr="00511005">
        <w:rPr>
          <w:rFonts w:ascii="Arial" w:eastAsia="Times New Roman" w:hAnsi="Arial" w:cs="Arial"/>
          <w:szCs w:val="28"/>
        </w:rPr>
        <w:t>можливості</w:t>
      </w:r>
      <w:r w:rsidRPr="00511005">
        <w:rPr>
          <w:rFonts w:ascii="Arial" w:eastAsia="Times New Roman" w:hAnsi="Arial" w:cs="Arial"/>
          <w:spacing w:val="52"/>
          <w:szCs w:val="28"/>
        </w:rPr>
        <w:t xml:space="preserve"> </w:t>
      </w:r>
      <w:r w:rsidRPr="00511005">
        <w:rPr>
          <w:rFonts w:ascii="Arial" w:eastAsia="Times New Roman" w:hAnsi="Arial" w:cs="Arial"/>
          <w:szCs w:val="28"/>
        </w:rPr>
        <w:t>для</w:t>
      </w:r>
      <w:r w:rsidRPr="00511005">
        <w:rPr>
          <w:rFonts w:ascii="Arial" w:eastAsia="Times New Roman" w:hAnsi="Arial" w:cs="Arial"/>
          <w:spacing w:val="51"/>
          <w:szCs w:val="28"/>
        </w:rPr>
        <w:t xml:space="preserve"> </w:t>
      </w:r>
      <w:r w:rsidRPr="00511005">
        <w:rPr>
          <w:rFonts w:ascii="Arial" w:eastAsia="Times New Roman" w:hAnsi="Arial" w:cs="Arial"/>
          <w:szCs w:val="28"/>
        </w:rPr>
        <w:t>розповсюдження</w:t>
      </w:r>
      <w:r w:rsidRPr="00511005">
        <w:rPr>
          <w:rFonts w:ascii="Arial" w:eastAsia="Times New Roman" w:hAnsi="Arial" w:cs="Arial"/>
          <w:spacing w:val="52"/>
          <w:szCs w:val="28"/>
        </w:rPr>
        <w:t xml:space="preserve"> </w:t>
      </w:r>
      <w:r w:rsidRPr="00511005">
        <w:rPr>
          <w:rFonts w:ascii="Arial" w:eastAsia="Times New Roman" w:hAnsi="Arial" w:cs="Arial"/>
          <w:szCs w:val="28"/>
        </w:rPr>
        <w:t>інформації,</w:t>
      </w:r>
      <w:r w:rsidRPr="00511005">
        <w:rPr>
          <w:rFonts w:ascii="Arial" w:eastAsia="Times New Roman" w:hAnsi="Arial" w:cs="Arial"/>
          <w:spacing w:val="51"/>
          <w:szCs w:val="28"/>
        </w:rPr>
        <w:t xml:space="preserve"> </w:t>
      </w:r>
      <w:r w:rsidRPr="00511005">
        <w:rPr>
          <w:rFonts w:ascii="Arial" w:eastAsia="Times New Roman" w:hAnsi="Arial" w:cs="Arial"/>
          <w:spacing w:val="-5"/>
          <w:szCs w:val="28"/>
        </w:rPr>
        <w:t>але</w:t>
      </w:r>
      <w:r w:rsidR="00901EF1" w:rsidRPr="00511005">
        <w:rPr>
          <w:rFonts w:ascii="Arial" w:eastAsia="Times New Roman" w:hAnsi="Arial" w:cs="Arial"/>
          <w:spacing w:val="-5"/>
          <w:szCs w:val="28"/>
          <w:lang w:val="uk-UA"/>
        </w:rPr>
        <w:t xml:space="preserve"> </w:t>
      </w:r>
      <w:r w:rsidRPr="00511005">
        <w:rPr>
          <w:rFonts w:ascii="Arial" w:eastAsia="Times New Roman" w:hAnsi="Arial" w:cs="Arial"/>
          <w:szCs w:val="28"/>
        </w:rPr>
        <w:t>потребує чітких етичних стандартів і постійного контролю. Важливо розробляти прозорі методики роботи з ШІ у журналістиці та проводити регулярні перевірки на відповідність етичним нормам.</w:t>
      </w:r>
      <w:r w:rsidR="00901EF1" w:rsidRPr="00511005">
        <w:rPr>
          <w:rFonts w:ascii="Arial" w:eastAsia="Times New Roman" w:hAnsi="Arial" w:cs="Arial"/>
          <w:szCs w:val="28"/>
          <w:lang w:val="uk-UA"/>
        </w:rPr>
        <w:t xml:space="preserve"> </w:t>
      </w:r>
    </w:p>
    <w:p w14:paraId="43FE33BA" w14:textId="0A133519" w:rsidR="00901EF1" w:rsidRPr="00511005" w:rsidRDefault="00901EF1" w:rsidP="00901EF1">
      <w:pPr>
        <w:widowControl w:val="0"/>
        <w:autoSpaceDE w:val="0"/>
        <w:autoSpaceDN w:val="0"/>
        <w:spacing w:line="264" w:lineRule="auto"/>
        <w:ind w:right="-141" w:firstLine="567"/>
        <w:rPr>
          <w:rFonts w:ascii="Arial" w:eastAsia="Times New Roman" w:hAnsi="Arial" w:cs="Arial"/>
          <w:szCs w:val="28"/>
          <w:lang w:val="uk-UA"/>
        </w:rPr>
      </w:pPr>
    </w:p>
    <w:p w14:paraId="2867269B" w14:textId="77777777" w:rsidR="001D1A08" w:rsidRPr="00511005" w:rsidRDefault="001D1A08" w:rsidP="001D1A08">
      <w:pPr>
        <w:spacing w:line="264" w:lineRule="auto"/>
        <w:ind w:right="-141" w:firstLine="0"/>
        <w:jc w:val="center"/>
        <w:rPr>
          <w:rFonts w:ascii="Arial" w:eastAsia="Times New Roman" w:hAnsi="Arial" w:cs="Arial"/>
          <w:b/>
          <w:szCs w:val="28"/>
          <w:lang w:val="uk-UA" w:eastAsia="ru-RU" w:bidi="uk-UA"/>
        </w:rPr>
      </w:pPr>
      <w:r w:rsidRPr="00511005">
        <w:rPr>
          <w:rFonts w:ascii="Arial" w:eastAsia="Times New Roman" w:hAnsi="Arial" w:cs="Arial"/>
          <w:b/>
          <w:szCs w:val="28"/>
          <w:lang w:val="en-US" w:eastAsia="ru-RU" w:bidi="uk-UA"/>
        </w:rPr>
        <w:t>C</w:t>
      </w:r>
      <w:r w:rsidRPr="00511005">
        <w:rPr>
          <w:rFonts w:ascii="Arial" w:eastAsia="Times New Roman" w:hAnsi="Arial" w:cs="Arial"/>
          <w:b/>
          <w:szCs w:val="28"/>
          <w:lang w:val="uk-UA" w:eastAsia="ru-RU" w:bidi="uk-UA"/>
        </w:rPr>
        <w:t>писок використаних джерел</w:t>
      </w:r>
    </w:p>
    <w:p w14:paraId="38CC81F0" w14:textId="02B20D8F" w:rsidR="001D1A08" w:rsidRPr="00511005" w:rsidRDefault="001D1A08" w:rsidP="001D1A08">
      <w:pPr>
        <w:widowControl w:val="0"/>
        <w:tabs>
          <w:tab w:val="left" w:pos="1522"/>
        </w:tabs>
        <w:autoSpaceDE w:val="0"/>
        <w:autoSpaceDN w:val="0"/>
        <w:spacing w:line="264" w:lineRule="auto"/>
        <w:ind w:right="-141" w:firstLine="0"/>
        <w:jc w:val="left"/>
        <w:rPr>
          <w:rFonts w:ascii="Arial" w:eastAsia="Times New Roman" w:hAnsi="Arial" w:cs="Arial"/>
          <w:szCs w:val="28"/>
          <w:lang w:val="uk-UA" w:eastAsia="ru-RU"/>
        </w:rPr>
      </w:pPr>
      <w:r w:rsidRPr="00511005">
        <w:rPr>
          <w:rFonts w:ascii="Arial" w:eastAsia="Times New Roman" w:hAnsi="Arial" w:cs="Arial"/>
          <w:szCs w:val="28"/>
          <w:lang w:val="uk-UA" w:eastAsia="ru-RU"/>
        </w:rPr>
        <w:t>1. Kaplan, A., Haenlein, M. Siri, Siri, in My Hand: A Reflection. Artificial Intelligence // on Business Horizons. 2019. № 62(1). С. 15–25.</w:t>
      </w:r>
    </w:p>
    <w:p w14:paraId="67FA880D" w14:textId="03BED1E3" w:rsidR="00AE57E7" w:rsidRPr="00511005" w:rsidRDefault="00AE57E7" w:rsidP="003A292D">
      <w:pPr>
        <w:widowControl w:val="0"/>
        <w:tabs>
          <w:tab w:val="left" w:pos="1522"/>
        </w:tabs>
        <w:autoSpaceDE w:val="0"/>
        <w:autoSpaceDN w:val="0"/>
        <w:spacing w:line="264" w:lineRule="auto"/>
        <w:ind w:right="-141" w:firstLine="0"/>
        <w:jc w:val="left"/>
        <w:rPr>
          <w:rFonts w:ascii="Arial" w:eastAsia="Times New Roman" w:hAnsi="Arial" w:cs="Arial"/>
          <w:b/>
          <w:szCs w:val="28"/>
          <w:lang w:val="en-US" w:eastAsia="ru-RU"/>
        </w:rPr>
      </w:pPr>
      <w:r w:rsidRPr="00511005">
        <w:rPr>
          <w:rFonts w:ascii="Arial" w:eastAsia="Times New Roman" w:hAnsi="Arial" w:cs="Arial"/>
          <w:b/>
          <w:noProof/>
          <w:szCs w:val="28"/>
          <w:lang w:val="en-US"/>
        </w:rPr>
        <mc:AlternateContent>
          <mc:Choice Requires="wps">
            <w:drawing>
              <wp:anchor distT="0" distB="0" distL="114300" distR="114300" simplePos="0" relativeHeight="251664384" behindDoc="0" locked="0" layoutInCell="1" allowOverlap="1" wp14:anchorId="1E197DE9" wp14:editId="477557AC">
                <wp:simplePos x="0" y="0"/>
                <wp:positionH relativeFrom="page">
                  <wp:posOffset>5761990</wp:posOffset>
                </wp:positionH>
                <wp:positionV relativeFrom="paragraph">
                  <wp:posOffset>207010</wp:posOffset>
                </wp:positionV>
                <wp:extent cx="1435100" cy="252095"/>
                <wp:effectExtent l="0" t="0" r="3810" b="0"/>
                <wp:wrapNone/>
                <wp:docPr id="24" name="Поле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510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8C97B0" w14:textId="77777777" w:rsidR="00AE57E7" w:rsidRPr="00AE67D0" w:rsidRDefault="00AE57E7" w:rsidP="00AE57E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197DE9" id="Поле 24" o:spid="_x0000_s1038" type="#_x0000_t202" style="position:absolute;margin-left:453.7pt;margin-top:16.3pt;width:113pt;height:19.8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" filled="f" stroked="f">
                <v:textbox inset="0,0,0,0">
                  <w:txbxContent>
                    <w:p w14:paraId="0D8C97B0" w14:textId="77777777" w:rsidR="00AE57E7" w:rsidRPr="00AE67D0" w:rsidRDefault="00AE57E7" w:rsidP="00AE57E7"/>
                  </w:txbxContent>
                </v:textbox>
                <w10:wrap anchorx="page"/>
              </v:shape>
            </w:pict>
          </mc:Fallback>
        </mc:AlternateContent>
      </w:r>
      <w:r w:rsidRPr="00511005">
        <w:rPr>
          <w:rFonts w:ascii="Arial" w:eastAsia="Times New Roman" w:hAnsi="Arial" w:cs="Arial"/>
          <w:b/>
          <w:noProof/>
          <w:szCs w:val="28"/>
          <w:lang w:val="en-US"/>
        </w:rPr>
        <mc:AlternateContent>
          <mc:Choice Requires="wps">
            <w:drawing>
              <wp:anchor distT="0" distB="0" distL="114300" distR="114300" simplePos="0" relativeHeight="251665408" behindDoc="0" locked="0" layoutInCell="1" allowOverlap="1" wp14:anchorId="466B1BE9" wp14:editId="4A86A804">
                <wp:simplePos x="0" y="0"/>
                <wp:positionH relativeFrom="page">
                  <wp:posOffset>5558790</wp:posOffset>
                </wp:positionH>
                <wp:positionV relativeFrom="paragraph">
                  <wp:posOffset>-570865</wp:posOffset>
                </wp:positionV>
                <wp:extent cx="51435" cy="107315"/>
                <wp:effectExtent l="0" t="3175" r="0" b="3810"/>
                <wp:wrapNone/>
                <wp:docPr id="19" name="Пол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 cy="10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84F7B" w14:textId="77777777" w:rsidR="00AE57E7" w:rsidRDefault="005938AD" w:rsidP="00AE57E7">
                            <w:pPr>
                              <w:rPr>
                                <w:rFonts w:ascii="Roboto Bk"/>
                                <w:b/>
                                <w:sz w:val="14"/>
                              </w:rPr>
                            </w:pPr>
                            <w:hyperlink w:anchor="_bookmark5" w:history="1">
                              <w:r w:rsidR="00AE57E7">
                                <w:rPr>
                                  <w:rFonts w:ascii="Roboto Bk"/>
                                  <w:b/>
                                  <w:color w:val="FFFFFF"/>
                                  <w:spacing w:val="-12"/>
                                  <w:sz w:val="14"/>
                                </w:rPr>
                                <w:t>3</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6B1BE9" id="Поле 19" o:spid="_x0000_s1039" type="#_x0000_t202" style="position:absolute;margin-left:437.7pt;margin-top:-44.95pt;width:4.05pt;height:8.4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" filled="f" stroked="f">
                <v:textbox inset="0,0,0,0">
                  <w:txbxContent>
                    <w:p w14:paraId="5C884F7B" w14:textId="77777777" w:rsidR="00AE57E7" w:rsidRDefault="005938AD" w:rsidP="00AE57E7">
                      <w:pPr>
                        <w:rPr>
                          <w:rFonts w:ascii="Roboto Bk"/>
                          <w:b/>
                          <w:sz w:val="14"/>
                        </w:rPr>
                      </w:pPr>
                      <w:hyperlink w:anchor="_bookmark5" w:history="1">
                        <w:r w:rsidR="00AE57E7">
                          <w:rPr>
                            <w:rFonts w:ascii="Roboto Bk"/>
                            <w:b/>
                            <w:color w:val="FFFFFF"/>
                            <w:spacing w:val="-12"/>
                            <w:sz w:val="14"/>
                          </w:rPr>
                          <w:t>3</w:t>
                        </w:r>
                      </w:hyperlink>
                    </w:p>
                  </w:txbxContent>
                </v:textbox>
                <w10:wrap anchorx="page"/>
              </v:shape>
            </w:pict>
          </mc:Fallback>
        </mc:AlternateContent>
      </w:r>
      <w:r w:rsidRPr="00511005">
        <w:rPr>
          <w:rFonts w:ascii="Arial" w:eastAsia="Times New Roman" w:hAnsi="Arial" w:cs="Arial"/>
          <w:szCs w:val="28"/>
          <w:lang w:val="uk-UA" w:eastAsia="ru-RU"/>
        </w:rPr>
        <w:t xml:space="preserve">2. </w:t>
      </w:r>
      <w:r w:rsidRPr="00511005">
        <w:rPr>
          <w:rFonts w:ascii="Arial" w:eastAsia="Times New Roman" w:hAnsi="Arial" w:cs="Arial"/>
          <w:szCs w:val="28"/>
          <w:lang w:val="en-US" w:eastAsia="ru-RU"/>
        </w:rPr>
        <w:t xml:space="preserve">Thurman, N., Schifferes, S. The Future of Newswork: AI's Impacts on News Production </w:t>
      </w:r>
      <w:bookmarkStart w:id="352" w:name="_bookmark2"/>
      <w:bookmarkEnd w:id="352"/>
      <w:r w:rsidRPr="00511005">
        <w:rPr>
          <w:rFonts w:ascii="Arial" w:eastAsia="Times New Roman" w:hAnsi="Arial" w:cs="Arial"/>
          <w:szCs w:val="28"/>
          <w:lang w:val="en-US" w:eastAsia="ru-RU"/>
        </w:rPr>
        <w:t xml:space="preserve">and Distribution // Journalism Studies. 2020. № 21(6). </w:t>
      </w:r>
      <w:r w:rsidRPr="00511005">
        <w:rPr>
          <w:rFonts w:ascii="Arial" w:eastAsia="Times New Roman" w:hAnsi="Arial" w:cs="Arial"/>
          <w:szCs w:val="28"/>
          <w:lang w:eastAsia="ru-RU"/>
        </w:rPr>
        <w:t>С</w:t>
      </w:r>
      <w:r w:rsidRPr="00511005">
        <w:rPr>
          <w:rFonts w:ascii="Arial" w:eastAsia="Times New Roman" w:hAnsi="Arial" w:cs="Arial"/>
          <w:szCs w:val="28"/>
          <w:lang w:val="en-US" w:eastAsia="ru-RU"/>
        </w:rPr>
        <w:t>. 789–806.</w:t>
      </w:r>
    </w:p>
    <w:p w14:paraId="11424A5E" w14:textId="66763128" w:rsidR="00AE57E7" w:rsidRPr="00511005" w:rsidRDefault="00AE57E7" w:rsidP="003A292D">
      <w:pPr>
        <w:spacing w:line="264" w:lineRule="auto"/>
        <w:ind w:left="-1" w:right="-15" w:firstLine="0"/>
        <w:jc w:val="left"/>
        <w:rPr>
          <w:rFonts w:ascii="Arial" w:eastAsia="Times New Roman" w:hAnsi="Arial" w:cs="Arial"/>
          <w:szCs w:val="28"/>
          <w:lang w:val="uk-UA" w:eastAsia="ru-RU"/>
        </w:rPr>
      </w:pPr>
      <w:r w:rsidRPr="00511005">
        <w:rPr>
          <w:rFonts w:ascii="Arial" w:eastAsia="Times New Roman" w:hAnsi="Arial" w:cs="Arial"/>
          <w:b/>
          <w:spacing w:val="-10"/>
          <w:szCs w:val="28"/>
          <w:lang w:val="en-US" w:eastAsia="ru-RU"/>
        </w:rPr>
        <w:t>3</w:t>
      </w:r>
      <w:r w:rsidRPr="00511005">
        <w:rPr>
          <w:rFonts w:ascii="Arial" w:eastAsia="Times New Roman" w:hAnsi="Arial" w:cs="Arial"/>
          <w:spacing w:val="-5"/>
          <w:szCs w:val="28"/>
          <w:lang w:val="en-US" w:eastAsia="ru-RU"/>
        </w:rPr>
        <w:t>.</w:t>
      </w:r>
      <w:r w:rsidRPr="00511005">
        <w:rPr>
          <w:rFonts w:ascii="Arial" w:eastAsia="Times New Roman" w:hAnsi="Arial" w:cs="Arial"/>
          <w:spacing w:val="-5"/>
          <w:szCs w:val="28"/>
          <w:lang w:val="uk-UA" w:eastAsia="ru-RU"/>
        </w:rPr>
        <w:t xml:space="preserve"> </w:t>
      </w:r>
      <w:r w:rsidRPr="00511005">
        <w:rPr>
          <w:rFonts w:ascii="Arial" w:eastAsia="Times New Roman" w:hAnsi="Arial" w:cs="Arial"/>
          <w:szCs w:val="28"/>
          <w:lang w:val="en-US" w:eastAsia="ru-RU"/>
        </w:rPr>
        <w:t>Carlson,</w:t>
      </w:r>
      <w:r w:rsidRPr="00511005">
        <w:rPr>
          <w:rFonts w:ascii="Arial" w:eastAsia="Times New Roman" w:hAnsi="Arial" w:cs="Arial"/>
          <w:spacing w:val="43"/>
          <w:szCs w:val="28"/>
          <w:lang w:val="en-US" w:eastAsia="ru-RU"/>
        </w:rPr>
        <w:t xml:space="preserve"> </w:t>
      </w:r>
      <w:r w:rsidRPr="00511005">
        <w:rPr>
          <w:rFonts w:ascii="Arial" w:eastAsia="Times New Roman" w:hAnsi="Arial" w:cs="Arial"/>
          <w:szCs w:val="28"/>
          <w:lang w:val="en-US" w:eastAsia="ru-RU"/>
        </w:rPr>
        <w:t>M.,</w:t>
      </w:r>
      <w:r w:rsidRPr="00511005">
        <w:rPr>
          <w:rFonts w:ascii="Arial" w:eastAsia="Times New Roman" w:hAnsi="Arial" w:cs="Arial"/>
          <w:spacing w:val="48"/>
          <w:szCs w:val="28"/>
          <w:lang w:val="en-US" w:eastAsia="ru-RU"/>
        </w:rPr>
        <w:t xml:space="preserve"> </w:t>
      </w:r>
      <w:r w:rsidRPr="00511005">
        <w:rPr>
          <w:rFonts w:ascii="Arial" w:eastAsia="Times New Roman" w:hAnsi="Arial" w:cs="Arial"/>
          <w:szCs w:val="28"/>
          <w:lang w:val="en-US" w:eastAsia="ru-RU"/>
        </w:rPr>
        <w:t>Lewis,</w:t>
      </w:r>
      <w:r w:rsidRPr="00511005">
        <w:rPr>
          <w:rFonts w:ascii="Arial" w:eastAsia="Times New Roman" w:hAnsi="Arial" w:cs="Arial"/>
          <w:spacing w:val="47"/>
          <w:szCs w:val="28"/>
          <w:lang w:val="en-US" w:eastAsia="ru-RU"/>
        </w:rPr>
        <w:t xml:space="preserve"> </w:t>
      </w:r>
      <w:r w:rsidRPr="00511005">
        <w:rPr>
          <w:rFonts w:ascii="Arial" w:eastAsia="Times New Roman" w:hAnsi="Arial" w:cs="Arial"/>
          <w:szCs w:val="28"/>
          <w:lang w:val="en-US" w:eastAsia="ru-RU"/>
        </w:rPr>
        <w:t>S.</w:t>
      </w:r>
      <w:r w:rsidRPr="00511005">
        <w:rPr>
          <w:rFonts w:ascii="Arial" w:eastAsia="Times New Roman" w:hAnsi="Arial" w:cs="Arial"/>
          <w:spacing w:val="47"/>
          <w:szCs w:val="28"/>
          <w:lang w:val="en-US" w:eastAsia="ru-RU"/>
        </w:rPr>
        <w:t xml:space="preserve"> </w:t>
      </w:r>
      <w:r w:rsidRPr="00511005">
        <w:rPr>
          <w:rFonts w:ascii="Arial" w:eastAsia="Times New Roman" w:hAnsi="Arial" w:cs="Arial"/>
          <w:szCs w:val="28"/>
          <w:lang w:val="en-US" w:eastAsia="ru-RU"/>
        </w:rPr>
        <w:t>C.</w:t>
      </w:r>
      <w:r w:rsidRPr="00511005">
        <w:rPr>
          <w:rFonts w:ascii="Arial" w:eastAsia="Times New Roman" w:hAnsi="Arial" w:cs="Arial"/>
          <w:spacing w:val="46"/>
          <w:szCs w:val="28"/>
          <w:lang w:val="en-US" w:eastAsia="ru-RU"/>
        </w:rPr>
        <w:t xml:space="preserve"> </w:t>
      </w:r>
      <w:r w:rsidRPr="00511005">
        <w:rPr>
          <w:rFonts w:ascii="Arial" w:eastAsia="Times New Roman" w:hAnsi="Arial" w:cs="Arial"/>
          <w:szCs w:val="28"/>
          <w:lang w:val="en-US" w:eastAsia="ru-RU"/>
        </w:rPr>
        <w:t>Boundaries</w:t>
      </w:r>
      <w:r w:rsidRPr="00511005">
        <w:rPr>
          <w:rFonts w:ascii="Arial" w:eastAsia="Times New Roman" w:hAnsi="Arial" w:cs="Arial"/>
          <w:spacing w:val="48"/>
          <w:szCs w:val="28"/>
          <w:lang w:val="en-US" w:eastAsia="ru-RU"/>
        </w:rPr>
        <w:t xml:space="preserve"> </w:t>
      </w:r>
      <w:r w:rsidRPr="00511005">
        <w:rPr>
          <w:rFonts w:ascii="Arial" w:eastAsia="Times New Roman" w:hAnsi="Arial" w:cs="Arial"/>
          <w:szCs w:val="28"/>
          <w:lang w:val="en-US" w:eastAsia="ru-RU"/>
        </w:rPr>
        <w:t>of</w:t>
      </w:r>
      <w:r w:rsidRPr="00511005">
        <w:rPr>
          <w:rFonts w:ascii="Arial" w:eastAsia="Times New Roman" w:hAnsi="Arial" w:cs="Arial"/>
          <w:spacing w:val="49"/>
          <w:szCs w:val="28"/>
          <w:lang w:val="en-US" w:eastAsia="ru-RU"/>
        </w:rPr>
        <w:t xml:space="preserve"> </w:t>
      </w:r>
      <w:r w:rsidRPr="00511005">
        <w:rPr>
          <w:rFonts w:ascii="Arial" w:eastAsia="Times New Roman" w:hAnsi="Arial" w:cs="Arial"/>
          <w:szCs w:val="28"/>
          <w:lang w:val="en-US" w:eastAsia="ru-RU"/>
        </w:rPr>
        <w:t>Journalism:</w:t>
      </w:r>
      <w:r w:rsidRPr="00511005">
        <w:rPr>
          <w:rFonts w:ascii="Arial" w:eastAsia="Times New Roman" w:hAnsi="Arial" w:cs="Arial"/>
          <w:spacing w:val="48"/>
          <w:szCs w:val="28"/>
          <w:lang w:val="en-US" w:eastAsia="ru-RU"/>
        </w:rPr>
        <w:t xml:space="preserve"> </w:t>
      </w:r>
      <w:r w:rsidRPr="00511005">
        <w:rPr>
          <w:rFonts w:ascii="Arial" w:eastAsia="Times New Roman" w:hAnsi="Arial" w:cs="Arial"/>
          <w:szCs w:val="28"/>
          <w:lang w:val="en-US" w:eastAsia="ru-RU"/>
        </w:rPr>
        <w:t>Professionalism,</w:t>
      </w:r>
      <w:r w:rsidRPr="00511005">
        <w:rPr>
          <w:rFonts w:ascii="Arial" w:eastAsia="Times New Roman" w:hAnsi="Arial" w:cs="Arial"/>
          <w:spacing w:val="46"/>
          <w:szCs w:val="28"/>
          <w:lang w:val="en-US" w:eastAsia="ru-RU"/>
        </w:rPr>
        <w:t xml:space="preserve"> </w:t>
      </w:r>
      <w:r w:rsidRPr="00511005">
        <w:rPr>
          <w:rFonts w:ascii="Arial" w:eastAsia="Times New Roman" w:hAnsi="Arial" w:cs="Arial"/>
          <w:szCs w:val="28"/>
          <w:lang w:val="en-US" w:eastAsia="ru-RU"/>
        </w:rPr>
        <w:t>Practices</w:t>
      </w:r>
      <w:r w:rsidRPr="00511005">
        <w:rPr>
          <w:rFonts w:ascii="Arial" w:eastAsia="Times New Roman" w:hAnsi="Arial" w:cs="Arial"/>
          <w:spacing w:val="46"/>
          <w:szCs w:val="28"/>
          <w:lang w:val="en-US" w:eastAsia="ru-RU"/>
        </w:rPr>
        <w:t xml:space="preserve"> </w:t>
      </w:r>
      <w:r w:rsidRPr="00511005">
        <w:rPr>
          <w:rFonts w:ascii="Arial" w:eastAsia="Times New Roman" w:hAnsi="Arial" w:cs="Arial"/>
          <w:spacing w:val="-5"/>
          <w:szCs w:val="28"/>
          <w:lang w:val="en-US" w:eastAsia="ru-RU"/>
        </w:rPr>
        <w:t>and</w:t>
      </w:r>
      <w:r w:rsidR="001D1A08" w:rsidRPr="00511005">
        <w:t xml:space="preserve"> </w:t>
      </w:r>
      <w:r w:rsidR="001D1A08" w:rsidRPr="00511005">
        <w:rPr>
          <w:rFonts w:ascii="Arial" w:eastAsia="Times New Roman" w:hAnsi="Arial" w:cs="Arial"/>
          <w:spacing w:val="-5"/>
          <w:szCs w:val="28"/>
          <w:lang w:val="en-US" w:eastAsia="ru-RU"/>
        </w:rPr>
        <w:t>Participation. Routledge</w:t>
      </w:r>
      <w:r w:rsidRPr="00511005">
        <w:rPr>
          <w:rFonts w:ascii="Arial" w:eastAsia="Times New Roman" w:hAnsi="Arial" w:cs="Arial"/>
          <w:szCs w:val="28"/>
          <w:lang w:eastAsia="ru-RU"/>
        </w:rPr>
        <w:t>,</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2020.</w:t>
      </w:r>
      <w:r w:rsidRPr="00511005">
        <w:rPr>
          <w:rFonts w:ascii="Arial" w:eastAsia="Times New Roman" w:hAnsi="Arial" w:cs="Arial"/>
          <w:spacing w:val="-1"/>
          <w:szCs w:val="28"/>
          <w:lang w:eastAsia="ru-RU"/>
        </w:rPr>
        <w:t xml:space="preserve"> </w:t>
      </w:r>
      <w:r w:rsidRPr="00511005">
        <w:rPr>
          <w:rFonts w:ascii="Arial" w:eastAsia="Times New Roman" w:hAnsi="Arial" w:cs="Arial"/>
          <w:szCs w:val="28"/>
          <w:lang w:eastAsia="ru-RU"/>
        </w:rPr>
        <w:t>246</w:t>
      </w:r>
      <w:r w:rsidR="001D1A08" w:rsidRPr="00511005">
        <w:rPr>
          <w:rFonts w:ascii="Arial" w:eastAsia="Times New Roman" w:hAnsi="Arial" w:cs="Arial"/>
          <w:szCs w:val="28"/>
          <w:lang w:val="uk-UA" w:eastAsia="ru-RU"/>
        </w:rPr>
        <w:t xml:space="preserve"> с.</w:t>
      </w:r>
    </w:p>
    <w:p w14:paraId="25C83280" w14:textId="77777777" w:rsidR="001D1A08" w:rsidRPr="00511005" w:rsidRDefault="001D1A08" w:rsidP="001D1A08">
      <w:pPr>
        <w:spacing w:line="264" w:lineRule="auto"/>
        <w:ind w:right="-141" w:firstLine="0"/>
        <w:rPr>
          <w:rFonts w:ascii="Arial" w:eastAsia="Times New Roman" w:hAnsi="Arial" w:cs="Arial"/>
          <w:spacing w:val="-2"/>
          <w:szCs w:val="28"/>
          <w:lang w:val="uk-UA" w:eastAsia="ru-RU"/>
        </w:rPr>
      </w:pPr>
      <w:r w:rsidRPr="00511005">
        <w:rPr>
          <w:rFonts w:ascii="Arial" w:eastAsia="Times New Roman" w:hAnsi="Arial" w:cs="Arial"/>
          <w:b/>
          <w:i/>
          <w:szCs w:val="28"/>
          <w:lang w:eastAsia="ru-RU"/>
        </w:rPr>
        <w:t xml:space="preserve">Ключові слова: </w:t>
      </w:r>
      <w:r w:rsidRPr="00511005">
        <w:rPr>
          <w:rFonts w:ascii="Arial" w:eastAsia="Times New Roman" w:hAnsi="Arial" w:cs="Arial"/>
          <w:szCs w:val="28"/>
          <w:lang w:eastAsia="ru-RU"/>
        </w:rPr>
        <w:t>штучний</w:t>
      </w:r>
      <w:r w:rsidRPr="00511005">
        <w:rPr>
          <w:rFonts w:ascii="Arial" w:eastAsia="Times New Roman" w:hAnsi="Arial" w:cs="Arial"/>
          <w:spacing w:val="-3"/>
          <w:szCs w:val="28"/>
          <w:lang w:eastAsia="ru-RU"/>
        </w:rPr>
        <w:t xml:space="preserve"> </w:t>
      </w:r>
      <w:r w:rsidRPr="00511005">
        <w:rPr>
          <w:rFonts w:ascii="Arial" w:eastAsia="Times New Roman" w:hAnsi="Arial" w:cs="Arial"/>
          <w:szCs w:val="28"/>
          <w:lang w:eastAsia="ru-RU"/>
        </w:rPr>
        <w:t>інтелект,</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новини,</w:t>
      </w:r>
      <w:r w:rsidRPr="00511005">
        <w:rPr>
          <w:rFonts w:ascii="Arial" w:eastAsia="Times New Roman" w:hAnsi="Arial" w:cs="Arial"/>
          <w:spacing w:val="-1"/>
          <w:szCs w:val="28"/>
          <w:lang w:eastAsia="ru-RU"/>
        </w:rPr>
        <w:t xml:space="preserve"> </w:t>
      </w:r>
      <w:r w:rsidRPr="00511005">
        <w:rPr>
          <w:rFonts w:ascii="Arial" w:eastAsia="Times New Roman" w:hAnsi="Arial" w:cs="Arial"/>
          <w:szCs w:val="28"/>
          <w:lang w:eastAsia="ru-RU"/>
        </w:rPr>
        <w:t>журналістська</w:t>
      </w:r>
      <w:r w:rsidRPr="00511005">
        <w:rPr>
          <w:rFonts w:ascii="Arial" w:eastAsia="Times New Roman" w:hAnsi="Arial" w:cs="Arial"/>
          <w:spacing w:val="-2"/>
          <w:szCs w:val="28"/>
          <w:lang w:eastAsia="ru-RU"/>
        </w:rPr>
        <w:t xml:space="preserve"> </w:t>
      </w:r>
      <w:r w:rsidRPr="00511005">
        <w:rPr>
          <w:rFonts w:ascii="Arial" w:eastAsia="Times New Roman" w:hAnsi="Arial" w:cs="Arial"/>
          <w:szCs w:val="28"/>
          <w:lang w:eastAsia="ru-RU"/>
        </w:rPr>
        <w:t>діяльність,</w:t>
      </w:r>
      <w:r w:rsidRPr="00511005">
        <w:rPr>
          <w:rFonts w:ascii="Arial" w:eastAsia="Times New Roman" w:hAnsi="Arial" w:cs="Arial"/>
          <w:spacing w:val="-2"/>
          <w:szCs w:val="28"/>
          <w:lang w:eastAsia="ru-RU"/>
        </w:rPr>
        <w:t xml:space="preserve"> перспективи.</w:t>
      </w:r>
    </w:p>
    <w:p w14:paraId="0C461771" w14:textId="77777777" w:rsidR="001D1A08" w:rsidRPr="00511005" w:rsidRDefault="001D1A08" w:rsidP="001D1A08">
      <w:pPr>
        <w:spacing w:line="264" w:lineRule="auto"/>
        <w:ind w:right="-141" w:firstLine="0"/>
        <w:rPr>
          <w:rFonts w:ascii="Arial" w:eastAsia="Times New Roman" w:hAnsi="Arial" w:cs="Arial"/>
          <w:szCs w:val="28"/>
          <w:lang w:val="en-US" w:eastAsia="ru-RU"/>
        </w:rPr>
      </w:pPr>
      <w:r w:rsidRPr="00511005">
        <w:rPr>
          <w:rFonts w:ascii="Arial" w:eastAsia="Times New Roman" w:hAnsi="Arial" w:cs="Arial"/>
          <w:b/>
          <w:i/>
          <w:szCs w:val="28"/>
          <w:lang w:val="en-US" w:eastAsia="ru-RU"/>
        </w:rPr>
        <w:t xml:space="preserve">Key words: </w:t>
      </w:r>
      <w:r w:rsidRPr="00511005">
        <w:rPr>
          <w:rFonts w:ascii="Arial" w:eastAsia="Times New Roman" w:hAnsi="Arial" w:cs="Arial"/>
          <w:szCs w:val="28"/>
          <w:lang w:val="en-US" w:eastAsia="ru-RU"/>
        </w:rPr>
        <w:t>artificial</w:t>
      </w:r>
      <w:r w:rsidRPr="00511005">
        <w:rPr>
          <w:rFonts w:ascii="Arial" w:eastAsia="Times New Roman" w:hAnsi="Arial" w:cs="Arial"/>
          <w:spacing w:val="-2"/>
          <w:szCs w:val="28"/>
          <w:lang w:val="en-US" w:eastAsia="ru-RU"/>
        </w:rPr>
        <w:t xml:space="preserve"> </w:t>
      </w:r>
      <w:r w:rsidRPr="00511005">
        <w:rPr>
          <w:rFonts w:ascii="Arial" w:eastAsia="Times New Roman" w:hAnsi="Arial" w:cs="Arial"/>
          <w:szCs w:val="28"/>
          <w:lang w:val="en-US" w:eastAsia="ru-RU"/>
        </w:rPr>
        <w:t>intelligence,</w:t>
      </w:r>
      <w:r w:rsidRPr="00511005">
        <w:rPr>
          <w:rFonts w:ascii="Arial" w:eastAsia="Times New Roman" w:hAnsi="Arial" w:cs="Arial"/>
          <w:spacing w:val="-1"/>
          <w:szCs w:val="28"/>
          <w:lang w:val="en-US" w:eastAsia="ru-RU"/>
        </w:rPr>
        <w:t xml:space="preserve"> </w:t>
      </w:r>
      <w:r w:rsidRPr="00511005">
        <w:rPr>
          <w:rFonts w:ascii="Arial" w:eastAsia="Times New Roman" w:hAnsi="Arial" w:cs="Arial"/>
          <w:szCs w:val="28"/>
          <w:lang w:val="en-US" w:eastAsia="ru-RU"/>
        </w:rPr>
        <w:t>news,</w:t>
      </w:r>
      <w:r w:rsidRPr="00511005">
        <w:rPr>
          <w:rFonts w:ascii="Arial" w:eastAsia="Times New Roman" w:hAnsi="Arial" w:cs="Arial"/>
          <w:spacing w:val="-2"/>
          <w:szCs w:val="28"/>
          <w:lang w:val="en-US" w:eastAsia="ru-RU"/>
        </w:rPr>
        <w:t xml:space="preserve"> </w:t>
      </w:r>
      <w:r w:rsidRPr="00511005">
        <w:rPr>
          <w:rFonts w:ascii="Arial" w:eastAsia="Times New Roman" w:hAnsi="Arial" w:cs="Arial"/>
          <w:szCs w:val="28"/>
          <w:lang w:val="en-US" w:eastAsia="ru-RU"/>
        </w:rPr>
        <w:t>journalism,</w:t>
      </w:r>
      <w:r w:rsidRPr="00511005">
        <w:rPr>
          <w:rFonts w:ascii="Arial" w:eastAsia="Times New Roman" w:hAnsi="Arial" w:cs="Arial"/>
          <w:spacing w:val="-1"/>
          <w:szCs w:val="28"/>
          <w:lang w:val="en-US" w:eastAsia="ru-RU"/>
        </w:rPr>
        <w:t xml:space="preserve"> </w:t>
      </w:r>
      <w:r w:rsidRPr="00511005">
        <w:rPr>
          <w:rFonts w:ascii="Arial" w:eastAsia="Times New Roman" w:hAnsi="Arial" w:cs="Arial"/>
          <w:spacing w:val="-2"/>
          <w:szCs w:val="28"/>
          <w:lang w:val="en-US" w:eastAsia="ru-RU"/>
        </w:rPr>
        <w:t>prospects.</w:t>
      </w:r>
    </w:p>
    <w:p w14:paraId="38B8219F" w14:textId="2FF87468" w:rsidR="001D1A08" w:rsidRPr="00511005" w:rsidRDefault="001D1A08" w:rsidP="001D1A08">
      <w:pPr>
        <w:spacing w:line="264" w:lineRule="auto"/>
        <w:ind w:right="-141" w:firstLine="0"/>
        <w:jc w:val="left"/>
        <w:rPr>
          <w:rFonts w:ascii="Arial" w:eastAsia="Times New Roman" w:hAnsi="Arial" w:cs="Arial"/>
          <w:i/>
          <w:spacing w:val="-5"/>
          <w:szCs w:val="28"/>
          <w:lang w:val="uk-UA" w:eastAsia="ru-RU"/>
        </w:rPr>
      </w:pPr>
      <w:r w:rsidRPr="00511005">
        <w:rPr>
          <w:rFonts w:ascii="Arial" w:eastAsia="Times New Roman" w:hAnsi="Arial" w:cs="Arial"/>
          <w:i/>
          <w:spacing w:val="-5"/>
          <w:szCs w:val="28"/>
          <w:lang w:val="uk-UA" w:eastAsia="ru-RU"/>
        </w:rPr>
        <w:t>Науковий керівник: кандидат юридичних наук, доцент Дронов В.Ю.</w:t>
      </w:r>
    </w:p>
    <w:p w14:paraId="2518801F" w14:textId="77777777" w:rsidR="00AE57E7" w:rsidRPr="00511005" w:rsidRDefault="00AE57E7" w:rsidP="003A292D">
      <w:pPr>
        <w:spacing w:line="264" w:lineRule="auto"/>
        <w:ind w:right="-141" w:firstLine="0"/>
        <w:jc w:val="left"/>
        <w:rPr>
          <w:rFonts w:ascii="Arial" w:eastAsia="Times New Roman" w:hAnsi="Arial" w:cs="Arial"/>
          <w:spacing w:val="-5"/>
          <w:szCs w:val="28"/>
          <w:lang w:val="uk-UA" w:eastAsia="ru-RU"/>
        </w:rPr>
      </w:pPr>
    </w:p>
    <w:p w14:paraId="3D5BF8A3" w14:textId="77777777" w:rsidR="00AE57E7" w:rsidRPr="00511005" w:rsidRDefault="00AE57E7" w:rsidP="003A292D">
      <w:pPr>
        <w:spacing w:line="264" w:lineRule="auto"/>
        <w:ind w:right="-141" w:firstLine="0"/>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Таловська Е</w:t>
      </w:r>
      <w:r w:rsidRPr="00511005">
        <w:rPr>
          <w:rFonts w:ascii="Arial" w:eastAsia="Times New Roman" w:hAnsi="Arial" w:cs="Arial"/>
          <w:b/>
          <w:bCs/>
          <w:szCs w:val="28"/>
          <w:lang w:val="uk-UA" w:eastAsia="ru-RU"/>
        </w:rPr>
        <w:t>веліна Євгенівна</w:t>
      </w:r>
    </w:p>
    <w:p w14:paraId="0C5E6C18" w14:textId="016FAEA8" w:rsidR="00AE57E7" w:rsidRPr="00511005" w:rsidRDefault="00536AAB" w:rsidP="003A292D">
      <w:pPr>
        <w:spacing w:line="264" w:lineRule="auto"/>
        <w:ind w:right="-141" w:firstLine="0"/>
        <w:contextualSpacing/>
        <w:jc w:val="center"/>
        <w:rPr>
          <w:rFonts w:ascii="Arial" w:eastAsia="Times New Roman" w:hAnsi="Arial" w:cs="Arial"/>
          <w:szCs w:val="28"/>
          <w:lang w:eastAsia="ru-RU"/>
        </w:rPr>
      </w:pPr>
      <w:r w:rsidRPr="00511005">
        <w:rPr>
          <w:rFonts w:ascii="Arial" w:eastAsia="Times New Roman" w:hAnsi="Arial" w:cs="Arial"/>
          <w:szCs w:val="28"/>
          <w:lang w:eastAsia="ru-RU"/>
        </w:rPr>
        <w:t>студентка 3-го курсу факультету журналістики</w:t>
      </w:r>
      <w:r w:rsidR="00AE57E7" w:rsidRPr="00511005">
        <w:rPr>
          <w:rFonts w:ascii="Arial" w:eastAsia="Times New Roman" w:hAnsi="Arial" w:cs="Arial"/>
          <w:szCs w:val="28"/>
          <w:lang w:eastAsia="ru-RU"/>
        </w:rPr>
        <w:t xml:space="preserve"> </w:t>
      </w:r>
    </w:p>
    <w:p w14:paraId="1D659742" w14:textId="10498BB9" w:rsidR="00AE57E7" w:rsidRPr="00511005" w:rsidRDefault="007B2628" w:rsidP="003A292D">
      <w:pPr>
        <w:spacing w:line="264" w:lineRule="auto"/>
        <w:ind w:right="-141" w:firstLine="0"/>
        <w:contextualSpacing/>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5D687DD7" w14:textId="77777777" w:rsidR="00AE57E7" w:rsidRPr="00511005" w:rsidRDefault="00AE57E7" w:rsidP="003A292D">
      <w:pPr>
        <w:spacing w:line="264" w:lineRule="auto"/>
        <w:ind w:right="-141" w:firstLine="0"/>
        <w:contextualSpacing/>
        <w:jc w:val="center"/>
        <w:rPr>
          <w:rFonts w:ascii="Arial" w:eastAsia="Times New Roman" w:hAnsi="Arial" w:cs="Arial"/>
          <w:i/>
          <w:iCs/>
          <w:szCs w:val="28"/>
          <w:lang w:eastAsia="ru-RU"/>
        </w:rPr>
      </w:pPr>
    </w:p>
    <w:p w14:paraId="0CB08A29" w14:textId="77777777" w:rsidR="00AE57E7" w:rsidRPr="00511005" w:rsidRDefault="00AE57E7" w:rsidP="003A292D">
      <w:pPr>
        <w:spacing w:line="264" w:lineRule="auto"/>
        <w:ind w:right="-141" w:firstLine="0"/>
        <w:contextualSpacing/>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Р</w:t>
      </w:r>
      <w:r w:rsidRPr="00511005">
        <w:rPr>
          <w:rFonts w:ascii="Arial" w:eastAsia="Times New Roman" w:hAnsi="Arial" w:cs="Arial"/>
          <w:b/>
          <w:bCs/>
          <w:szCs w:val="28"/>
          <w:lang w:val="uk-UA" w:eastAsia="ru-RU"/>
        </w:rPr>
        <w:t xml:space="preserve">ЕДАКЦІЙНА ПОЛІТИКА ЩОДО ВИКОРИСТАННЯ ТЕХНОЛОГІЙ ШТУЧНОГО ІНТЕЛЕКТУ: ЕТИЧНІ НОРМИ ТА РЕГУЛЮВАННЯ (НА </w:t>
      </w:r>
      <w:proofErr w:type="gramStart"/>
      <w:r w:rsidRPr="00511005">
        <w:rPr>
          <w:rFonts w:ascii="Arial" w:eastAsia="Times New Roman" w:hAnsi="Arial" w:cs="Arial"/>
          <w:b/>
          <w:bCs/>
          <w:szCs w:val="28"/>
          <w:lang w:val="uk-UA" w:eastAsia="ru-RU"/>
        </w:rPr>
        <w:t>ПРИКЛАДІ»БАБЕЛЬ</w:t>
      </w:r>
      <w:proofErr w:type="gramEnd"/>
      <w:r w:rsidRPr="00511005">
        <w:rPr>
          <w:rFonts w:ascii="Arial" w:eastAsia="Times New Roman" w:hAnsi="Arial" w:cs="Arial"/>
          <w:b/>
          <w:bCs/>
          <w:szCs w:val="28"/>
          <w:lang w:val="uk-UA" w:eastAsia="ru-RU"/>
        </w:rPr>
        <w:t>» ТА «СУСПІЛЬНЕ НОВИНИ»)</w:t>
      </w:r>
    </w:p>
    <w:p w14:paraId="7D8DB6AF" w14:textId="77777777" w:rsidR="00AE57E7" w:rsidRPr="00511005" w:rsidRDefault="00AE57E7" w:rsidP="003A292D">
      <w:pPr>
        <w:spacing w:line="264" w:lineRule="auto"/>
        <w:ind w:right="-141"/>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У сучасному медіапросторі штучний інтелект (ШІ) став невід'ємною складовою процесу створення контенту. Тексти, зображення та відео, створені ШІ, все частіше з'являються у медіа. Згідно з опитуванням Інституту масової інформації 22 % українських редакцій постійно користуються інструментами ШІ [4]. Такі дані свідчать про поступове впровадження новітніх технологій </w:t>
      </w:r>
      <w:proofErr w:type="gramStart"/>
      <w:r w:rsidRPr="00511005">
        <w:rPr>
          <w:rFonts w:ascii="Arial" w:eastAsia="Times New Roman" w:hAnsi="Arial" w:cs="Arial"/>
          <w:szCs w:val="28"/>
          <w:lang w:eastAsia="ru-RU"/>
        </w:rPr>
        <w:t>у сферу</w:t>
      </w:r>
      <w:proofErr w:type="gramEnd"/>
      <w:r w:rsidRPr="00511005">
        <w:rPr>
          <w:rFonts w:ascii="Arial" w:eastAsia="Times New Roman" w:hAnsi="Arial" w:cs="Arial"/>
          <w:szCs w:val="28"/>
          <w:lang w:eastAsia="ru-RU"/>
        </w:rPr>
        <w:t xml:space="preserve"> журналістики в Україні, що дозволяє редакціям підвищувати ефективність контенту, автоматизувати рутинні завдання та </w:t>
      </w:r>
      <w:r w:rsidRPr="00511005">
        <w:rPr>
          <w:rFonts w:ascii="Arial" w:eastAsia="Times New Roman" w:hAnsi="Arial" w:cs="Arial"/>
          <w:szCs w:val="28"/>
          <w:lang w:eastAsia="ru-RU"/>
        </w:rPr>
        <w:lastRenderedPageBreak/>
        <w:t xml:space="preserve">прискорювати процес аналізу інформації. Використання ШІ сприяє виконанню стандарту оперативності, однак при цьому інші стандарти журналістики знаходяться під загрозою спотворення. Тож, на нашу думку, абсолютно усі процеси потребують перевірки. Це створює для редакцій нові виклики: як інтегрувати інструменти ШІ у журналістську практику та визначити алгоритм своєї роботи з ними у редакційній політиці, не втративши довіри до медіа та прозорості у процесі створення новинного контенту. </w:t>
      </w:r>
    </w:p>
    <w:p w14:paraId="40A64B7D" w14:textId="77777777" w:rsidR="00AE57E7" w:rsidRPr="00511005" w:rsidRDefault="00AE57E7" w:rsidP="003A292D">
      <w:pPr>
        <w:spacing w:line="264" w:lineRule="auto"/>
        <w:ind w:right="-141"/>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Основні ризики, через які редакції не залучають ШІ це не лише неякісне написання, а й руйнування оригінальності тексту. Текст, згенерований штучним інтелектом, часто містить стандартні стилістичні аспекти – мовні штампи, повтори ключових слів, один шаблон побудови. Ці чинники негативно впливають на залучення реципієнтів до подальшого ознайомлення з медіаресурсом, тож авторський підхід до продукування залишається суттєвою складовою, що дозволяє захистити робочі місця медійників. Однак редакція онлайн-видання «Бабель» демонструє інший підхід, де ШІ може створювати </w:t>
      </w:r>
      <w:r w:rsidRPr="00511005">
        <w:rPr>
          <w:rFonts w:ascii="Arial" w:eastAsia="Times New Roman" w:hAnsi="Arial" w:cs="Arial"/>
          <w:szCs w:val="28"/>
          <w:lang w:val="en-US" w:eastAsia="ru-RU"/>
        </w:rPr>
        <w:t>SEO</w:t>
      </w:r>
      <w:r w:rsidRPr="00511005">
        <w:rPr>
          <w:rFonts w:ascii="Arial" w:eastAsia="Times New Roman" w:hAnsi="Arial" w:cs="Arial"/>
          <w:szCs w:val="28"/>
          <w:lang w:eastAsia="ru-RU"/>
        </w:rPr>
        <w:t>-заголовки, за якими пошукові системи оцінюють відповідність сторінки запиту користувача. Транскрибування, переклад, генерація заголовків, тобто уся доволі монотонна робота на погляд керівниці грантового відділу Олени Пашковської, була делегована саме чат-боту на основі ШІ – ChatGPT [3].</w:t>
      </w:r>
    </w:p>
    <w:p w14:paraId="46AAD440" w14:textId="77777777" w:rsidR="00AE57E7" w:rsidRPr="00511005" w:rsidRDefault="00AE57E7" w:rsidP="003A292D">
      <w:pPr>
        <w:spacing w:line="264" w:lineRule="auto"/>
        <w:ind w:right="-141"/>
        <w:contextualSpacing/>
        <w:rPr>
          <w:rFonts w:ascii="Arial" w:eastAsia="Times New Roman" w:hAnsi="Arial" w:cs="Arial"/>
          <w:szCs w:val="28"/>
          <w:lang w:eastAsia="ru-RU"/>
        </w:rPr>
      </w:pPr>
      <w:r w:rsidRPr="00511005">
        <w:rPr>
          <w:rFonts w:ascii="Arial" w:eastAsia="Times New Roman" w:hAnsi="Arial" w:cs="Arial"/>
          <w:szCs w:val="28"/>
          <w:lang w:eastAsia="ru-RU"/>
        </w:rPr>
        <w:t>Деталізація кожного проблемного питання важливий елемент усієї редакційної політики. Так, прикладом урахування усіх можливих питань є окрема сторінка на сайті «Суспільне Новини» щодо принципів використання технологій штучного інтелекту [1]. Однією з головних рис політики «Суспільного» є акцент на прозорості. Ця практика заслуговує особливої уваги, оскільки зобов'язання повідомляти аудиторію про використання ШІ є нагальною потребою у сучасному інформаційному світі. Про необхідність чіткого відокремлення авторських творів та контенту, створеного ШІ, зазначається у рекомендаціях від Міністерства цифрової трансформації України [2]. З метою регулювання цього моменту, особлива увага відводиться маркуванню. Відповідно до рекомендаційного списку, будь-який контент, що не є першоджерелом та без маркування варто вважати потенційно оманливим. «Суспільне» дотримується своїх принципів і на платформі, на якій були застосовані інструменти ШІ зазначає про це. За нашими дослідженнями, під фото є позначення «згенеровано штучним інтелектом». Таким чином, штучний інтелект стає саме допоміжним інструментом для завдань, які не вимагають значної творчості чи критичного аналізу, що дозволяє зберегти авторський стиль та цілісність контенту.</w:t>
      </w:r>
    </w:p>
    <w:p w14:paraId="229D6CED" w14:textId="23AC6A18" w:rsidR="00AE57E7" w:rsidRPr="00511005" w:rsidRDefault="00AE57E7" w:rsidP="003A292D">
      <w:pPr>
        <w:spacing w:line="264" w:lineRule="auto"/>
        <w:ind w:right="-141"/>
        <w:contextualSpacing/>
        <w:rPr>
          <w:rFonts w:ascii="Arial" w:eastAsia="Times New Roman" w:hAnsi="Arial" w:cs="Arial"/>
          <w:szCs w:val="28"/>
          <w:lang w:eastAsia="ru-RU"/>
        </w:rPr>
      </w:pPr>
      <w:r w:rsidRPr="00511005">
        <w:rPr>
          <w:rFonts w:ascii="Arial" w:eastAsia="Times New Roman" w:hAnsi="Arial" w:cs="Arial"/>
          <w:szCs w:val="28"/>
          <w:lang w:eastAsia="ru-RU"/>
        </w:rPr>
        <w:t xml:space="preserve">Редакторка «Суспільне Новини» Анастасія Коріновська на заході, присвяченому медіаграмотності, зазначила, що довіра безпосередньо головніша за швидкість, саме тому одні з ключових принципів редакційної політики – це алгоритм «людина-машина-людина» [5]. Таким чином, на нашу </w:t>
      </w:r>
      <w:r w:rsidRPr="00511005">
        <w:rPr>
          <w:rFonts w:ascii="Arial" w:eastAsia="Times New Roman" w:hAnsi="Arial" w:cs="Arial"/>
          <w:szCs w:val="28"/>
          <w:lang w:eastAsia="ru-RU"/>
        </w:rPr>
        <w:lastRenderedPageBreak/>
        <w:t>думку, для журналістів створюється додатковий час для творчої діяльності і суттєво змінюється список посадових обов’язків.</w:t>
      </w:r>
      <w:r w:rsidR="007B2628" w:rsidRPr="00511005">
        <w:rPr>
          <w:rFonts w:ascii="Arial" w:eastAsia="Times New Roman" w:hAnsi="Arial" w:cs="Arial"/>
          <w:szCs w:val="28"/>
          <w:lang w:eastAsia="ru-RU"/>
        </w:rPr>
        <w:t xml:space="preserve"> </w:t>
      </w:r>
    </w:p>
    <w:p w14:paraId="0C687321" w14:textId="77777777" w:rsidR="00AE57E7" w:rsidRPr="00511005" w:rsidRDefault="00AE57E7" w:rsidP="003A292D">
      <w:pPr>
        <w:spacing w:line="264" w:lineRule="auto"/>
        <w:ind w:right="-141"/>
        <w:contextualSpacing/>
        <w:rPr>
          <w:rFonts w:ascii="Arial" w:eastAsia="Times New Roman" w:hAnsi="Arial" w:cs="Arial"/>
          <w:szCs w:val="28"/>
          <w:lang w:val="uk-UA" w:eastAsia="ru-RU"/>
        </w:rPr>
      </w:pPr>
      <w:r w:rsidRPr="00511005">
        <w:rPr>
          <w:rFonts w:ascii="Arial" w:eastAsia="Times New Roman" w:hAnsi="Arial" w:cs="Arial"/>
          <w:szCs w:val="28"/>
          <w:lang w:eastAsia="ru-RU"/>
        </w:rPr>
        <w:t>Отже, штучний інтелект поступово інтегрується у процеси створення, автоматизації та адаптації контенту. Значна частка редакцій, попри зростання використання ШІ, продовжує акцентувати увагу на збереженні оригінальності текстів та стандартів журналістики, адже автоматичні системи часто генерують стандартизований і менш творчий контент. Натомість використання ШІ у рутинних завданнях є перевагою, що звільняє час для більшої творчої активності журналістів. Проте обов’язковими залишаються заходи щодо маркування матеріалів, створених ШІ, з метою збереження прозорості перед аудиторією та підтримання довіри до медіа.</w:t>
      </w:r>
    </w:p>
    <w:p w14:paraId="1E1560DA" w14:textId="77777777" w:rsidR="00AE57E7" w:rsidRPr="00511005" w:rsidRDefault="00AE57E7" w:rsidP="003A292D">
      <w:pPr>
        <w:spacing w:line="264" w:lineRule="auto"/>
        <w:ind w:right="-141"/>
        <w:contextualSpacing/>
        <w:rPr>
          <w:rFonts w:ascii="Arial" w:eastAsia="Times New Roman" w:hAnsi="Arial" w:cs="Arial"/>
          <w:szCs w:val="28"/>
          <w:lang w:val="uk-UA" w:eastAsia="ru-RU"/>
        </w:rPr>
      </w:pPr>
    </w:p>
    <w:p w14:paraId="353156F3" w14:textId="4DD5AD06" w:rsidR="00AE57E7" w:rsidRPr="00511005" w:rsidRDefault="007B2628" w:rsidP="007B2628">
      <w:pPr>
        <w:spacing w:line="264" w:lineRule="auto"/>
        <w:ind w:right="-141"/>
        <w:jc w:val="center"/>
        <w:rPr>
          <w:rFonts w:ascii="Arial" w:eastAsia="Times New Roman" w:hAnsi="Arial" w:cs="Arial"/>
          <w:b/>
          <w:bCs/>
          <w:szCs w:val="28"/>
          <w:shd w:val="clear" w:color="auto" w:fill="FFFFFF"/>
          <w:lang w:eastAsia="ru-RU"/>
        </w:rPr>
      </w:pPr>
      <w:r w:rsidRPr="00511005">
        <w:rPr>
          <w:rFonts w:ascii="Arial" w:eastAsia="Times New Roman" w:hAnsi="Arial" w:cs="Arial"/>
          <w:b/>
          <w:bCs/>
          <w:szCs w:val="28"/>
          <w:shd w:val="clear" w:color="auto" w:fill="FFFFFF"/>
          <w:lang w:val="uk-UA" w:eastAsia="ru-RU"/>
        </w:rPr>
        <w:t>С</w:t>
      </w:r>
      <w:r w:rsidR="009008A5" w:rsidRPr="00511005">
        <w:rPr>
          <w:rFonts w:ascii="Arial" w:eastAsia="Times New Roman" w:hAnsi="Arial" w:cs="Arial"/>
          <w:b/>
          <w:bCs/>
          <w:szCs w:val="28"/>
          <w:shd w:val="clear" w:color="auto" w:fill="FFFFFF"/>
          <w:lang w:val="uk-UA" w:eastAsia="ru-RU"/>
        </w:rPr>
        <w:t>писок використаних джерел</w:t>
      </w:r>
    </w:p>
    <w:p w14:paraId="40E17441" w14:textId="77777777" w:rsidR="00AE57E7" w:rsidRPr="00511005" w:rsidRDefault="00AE57E7" w:rsidP="003F6A5D">
      <w:pPr>
        <w:numPr>
          <w:ilvl w:val="0"/>
          <w:numId w:val="747"/>
        </w:numPr>
        <w:suppressAutoHyphens/>
        <w:spacing w:line="264" w:lineRule="auto"/>
        <w:ind w:left="0" w:right="-141"/>
        <w:contextualSpacing/>
        <w:jc w:val="left"/>
        <w:rPr>
          <w:rFonts w:ascii="Arial" w:eastAsia="Calibri" w:hAnsi="Arial" w:cs="Arial"/>
          <w:szCs w:val="28"/>
          <w:lang w:val="uk-UA"/>
        </w:rPr>
      </w:pPr>
      <w:r w:rsidRPr="00511005">
        <w:rPr>
          <w:rFonts w:ascii="Arial" w:eastAsia="Calibri" w:hAnsi="Arial" w:cs="Arial"/>
          <w:szCs w:val="28"/>
          <w:lang w:val="uk-UA"/>
        </w:rPr>
        <w:t xml:space="preserve">Принципи щодо використання ШІ / Суспільне Новини / Режим доступу: </w:t>
      </w:r>
      <w:hyperlink r:id="rId2623">
        <w:r w:rsidRPr="00511005">
          <w:rPr>
            <w:rFonts w:ascii="Arial" w:eastAsia="Calibri" w:hAnsi="Arial" w:cs="Arial"/>
            <w:szCs w:val="28"/>
            <w:lang w:val="uk-UA"/>
          </w:rPr>
          <w:t>https://suspilne.media/ai-policy/</w:t>
        </w:r>
      </w:hyperlink>
      <w:r w:rsidRPr="00511005">
        <w:rPr>
          <w:rFonts w:ascii="Arial" w:eastAsia="Calibri" w:hAnsi="Arial" w:cs="Arial"/>
          <w:szCs w:val="28"/>
          <w:lang w:val="uk-UA"/>
        </w:rPr>
        <w:t xml:space="preserve"> </w:t>
      </w:r>
    </w:p>
    <w:p w14:paraId="2435C27F" w14:textId="77777777" w:rsidR="00AE57E7" w:rsidRPr="00511005" w:rsidRDefault="00AE57E7" w:rsidP="003F6A5D">
      <w:pPr>
        <w:numPr>
          <w:ilvl w:val="0"/>
          <w:numId w:val="747"/>
        </w:numPr>
        <w:suppressAutoHyphens/>
        <w:spacing w:line="264" w:lineRule="auto"/>
        <w:ind w:left="0" w:right="-141"/>
        <w:contextualSpacing/>
        <w:jc w:val="left"/>
        <w:rPr>
          <w:rFonts w:ascii="Arial" w:eastAsia="Calibri" w:hAnsi="Arial" w:cs="Arial"/>
          <w:szCs w:val="28"/>
          <w:lang w:val="uk-UA"/>
        </w:rPr>
      </w:pPr>
      <w:r w:rsidRPr="00511005">
        <w:rPr>
          <w:rFonts w:ascii="Arial" w:eastAsia="Calibri" w:hAnsi="Arial" w:cs="Arial"/>
          <w:szCs w:val="28"/>
          <w:lang w:val="uk-UA"/>
        </w:rPr>
        <w:t xml:space="preserve">Рекомендації з відповідального використання штучного інтелекту у сфері медіа Режим доступу: </w:t>
      </w:r>
      <w:hyperlink r:id="rId2624">
        <w:r w:rsidRPr="00511005">
          <w:rPr>
            <w:rFonts w:ascii="Arial" w:eastAsia="Calibri" w:hAnsi="Arial" w:cs="Arial"/>
            <w:szCs w:val="28"/>
            <w:lang w:val="uk-UA"/>
          </w:rPr>
          <w:t>https://ur0.jp/t9Lz</w:t>
        </w:r>
      </w:hyperlink>
      <w:r w:rsidRPr="00511005">
        <w:rPr>
          <w:rFonts w:ascii="Arial" w:eastAsia="Calibri" w:hAnsi="Arial" w:cs="Arial"/>
          <w:szCs w:val="28"/>
          <w:lang w:val="uk-UA"/>
        </w:rPr>
        <w:t xml:space="preserve"> </w:t>
      </w:r>
    </w:p>
    <w:p w14:paraId="3D7356A8" w14:textId="77777777" w:rsidR="00AE57E7" w:rsidRPr="00511005" w:rsidRDefault="00AE57E7" w:rsidP="003F6A5D">
      <w:pPr>
        <w:numPr>
          <w:ilvl w:val="0"/>
          <w:numId w:val="747"/>
        </w:numPr>
        <w:suppressAutoHyphens/>
        <w:spacing w:line="264" w:lineRule="auto"/>
        <w:ind w:left="0" w:right="-141"/>
        <w:contextualSpacing/>
        <w:jc w:val="left"/>
        <w:rPr>
          <w:rFonts w:ascii="Arial" w:eastAsia="Calibri" w:hAnsi="Arial" w:cs="Arial"/>
          <w:szCs w:val="28"/>
          <w:lang w:val="uk-UA"/>
        </w:rPr>
      </w:pPr>
      <w:r w:rsidRPr="00511005">
        <w:rPr>
          <w:rFonts w:ascii="Arial" w:eastAsia="Calibri" w:hAnsi="Arial" w:cs="Arial"/>
          <w:szCs w:val="28"/>
          <w:lang w:val="uk-UA"/>
        </w:rPr>
        <w:t xml:space="preserve">Ю. Лавришин. </w:t>
      </w:r>
      <w:r w:rsidRPr="00511005">
        <w:rPr>
          <w:rFonts w:ascii="Arial" w:eastAsia="Calibri" w:hAnsi="Arial" w:cs="Arial"/>
          <w:kern w:val="2"/>
          <w:szCs w:val="28"/>
          <w:lang w:val="uk-UA" w:eastAsia="uk-UA"/>
        </w:rPr>
        <w:t xml:space="preserve">Вбудований помічник: як редакція «Бабеля» полегшила собі роботу завдяки ChatGPT / Детектор медіа / 30.10.2023 / Режим доступу: </w:t>
      </w:r>
      <w:hyperlink r:id="rId2625">
        <w:r w:rsidRPr="00511005">
          <w:rPr>
            <w:rFonts w:ascii="Arial" w:eastAsia="Calibri" w:hAnsi="Arial" w:cs="Arial"/>
            <w:kern w:val="2"/>
            <w:szCs w:val="28"/>
            <w:lang w:val="uk-UA" w:eastAsia="uk-UA"/>
          </w:rPr>
          <w:t>https://ur0.jp/GVTR7</w:t>
        </w:r>
      </w:hyperlink>
      <w:r w:rsidRPr="00511005">
        <w:rPr>
          <w:rFonts w:ascii="Arial" w:eastAsia="Calibri" w:hAnsi="Arial" w:cs="Arial"/>
          <w:kern w:val="2"/>
          <w:szCs w:val="28"/>
          <w:lang w:val="uk-UA" w:eastAsia="uk-UA"/>
        </w:rPr>
        <w:t xml:space="preserve"> </w:t>
      </w:r>
    </w:p>
    <w:p w14:paraId="0CD040AE" w14:textId="77777777" w:rsidR="00AE57E7" w:rsidRPr="00511005" w:rsidRDefault="00AE57E7" w:rsidP="003F6A5D">
      <w:pPr>
        <w:numPr>
          <w:ilvl w:val="0"/>
          <w:numId w:val="747"/>
        </w:numPr>
        <w:suppressAutoHyphens/>
        <w:spacing w:line="264" w:lineRule="auto"/>
        <w:ind w:left="0" w:right="-141"/>
        <w:contextualSpacing/>
        <w:jc w:val="left"/>
        <w:rPr>
          <w:rFonts w:ascii="Arial" w:eastAsia="Calibri" w:hAnsi="Arial" w:cs="Arial"/>
          <w:szCs w:val="28"/>
          <w:lang w:val="uk-UA"/>
        </w:rPr>
      </w:pPr>
      <w:r w:rsidRPr="00511005">
        <w:rPr>
          <w:rFonts w:ascii="Arial" w:eastAsia="Calibri" w:hAnsi="Arial" w:cs="Arial"/>
          <w:szCs w:val="28"/>
          <w:lang w:val="uk-UA"/>
        </w:rPr>
        <w:t xml:space="preserve">Я. Машкова. Українські медіа та штучний інтелект. Як редакції залучають ШІ для створення контенту? / Інститут масової інформації / 01.09.2024 / Режим доступу: </w:t>
      </w:r>
      <w:hyperlink r:id="rId2626">
        <w:r w:rsidRPr="00511005">
          <w:rPr>
            <w:rFonts w:ascii="Arial" w:eastAsia="Calibri" w:hAnsi="Arial" w:cs="Arial"/>
            <w:szCs w:val="28"/>
            <w:lang w:val="uk-UA"/>
          </w:rPr>
          <w:t>https://ur0.jp/pT3bI</w:t>
        </w:r>
      </w:hyperlink>
      <w:r w:rsidRPr="00511005">
        <w:rPr>
          <w:rFonts w:ascii="Arial" w:eastAsia="Calibri" w:hAnsi="Arial" w:cs="Arial"/>
          <w:szCs w:val="28"/>
          <w:lang w:val="uk-UA"/>
        </w:rPr>
        <w:t xml:space="preserve"> </w:t>
      </w:r>
    </w:p>
    <w:p w14:paraId="2C4DF7ED" w14:textId="77777777" w:rsidR="00AE57E7" w:rsidRPr="00511005" w:rsidRDefault="005938AD" w:rsidP="003F6A5D">
      <w:pPr>
        <w:numPr>
          <w:ilvl w:val="0"/>
          <w:numId w:val="747"/>
        </w:numPr>
        <w:suppressAutoHyphens/>
        <w:spacing w:line="264" w:lineRule="auto"/>
        <w:ind w:left="0" w:right="-141"/>
        <w:contextualSpacing/>
        <w:jc w:val="left"/>
        <w:rPr>
          <w:rFonts w:ascii="Arial" w:eastAsia="Calibri" w:hAnsi="Arial" w:cs="Arial"/>
          <w:szCs w:val="28"/>
          <w:lang w:val="uk-UA"/>
        </w:rPr>
      </w:pPr>
      <w:hyperlink r:id="rId2627">
        <w:r w:rsidR="00AE57E7" w:rsidRPr="00511005">
          <w:rPr>
            <w:rFonts w:ascii="Arial" w:eastAsia="Calibri" w:hAnsi="Arial" w:cs="Arial"/>
            <w:szCs w:val="28"/>
            <w:lang w:val="uk-UA"/>
          </w:rPr>
          <w:t>https://ur0.jp/J702v</w:t>
        </w:r>
      </w:hyperlink>
      <w:r w:rsidR="00AE57E7" w:rsidRPr="00511005">
        <w:rPr>
          <w:rFonts w:ascii="Arial" w:eastAsia="Calibri" w:hAnsi="Arial" w:cs="Arial"/>
          <w:szCs w:val="28"/>
          <w:lang w:val="uk-UA"/>
        </w:rPr>
        <w:t xml:space="preserve"> </w:t>
      </w:r>
    </w:p>
    <w:p w14:paraId="462D1916" w14:textId="06330CA6" w:rsidR="00AE57E7" w:rsidRPr="00511005" w:rsidRDefault="007B2628" w:rsidP="003A292D">
      <w:pPr>
        <w:suppressAutoHyphens/>
        <w:spacing w:line="264" w:lineRule="auto"/>
        <w:ind w:right="-141" w:firstLine="0"/>
        <w:contextualSpacing/>
        <w:rPr>
          <w:rFonts w:ascii="Arial" w:eastAsia="Calibri" w:hAnsi="Arial" w:cs="Arial"/>
          <w:szCs w:val="28"/>
          <w:lang w:val="uk-UA"/>
        </w:rPr>
      </w:pPr>
      <w:r w:rsidRPr="00511005">
        <w:rPr>
          <w:rFonts w:ascii="Arial" w:eastAsia="Calibri" w:hAnsi="Arial" w:cs="Arial"/>
          <w:b/>
          <w:bCs/>
          <w:i/>
          <w:szCs w:val="28"/>
          <w:lang w:val="uk-UA"/>
        </w:rPr>
        <w:t xml:space="preserve">Ключові слова: </w:t>
      </w:r>
      <w:r w:rsidR="00AE57E7" w:rsidRPr="00511005">
        <w:rPr>
          <w:rFonts w:ascii="Arial" w:eastAsia="Calibri" w:hAnsi="Arial" w:cs="Arial"/>
          <w:szCs w:val="28"/>
          <w:lang w:val="uk-UA"/>
        </w:rPr>
        <w:t>штучний інтелект (ШІ); редакційна політика; інструменти ШІ; маркування; стандарти журналістики.</w:t>
      </w:r>
    </w:p>
    <w:p w14:paraId="4B28409A" w14:textId="4D9A69EB" w:rsidR="00AE57E7" w:rsidRPr="00511005" w:rsidRDefault="007B2628"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b/>
          <w:bCs/>
          <w:i/>
          <w:szCs w:val="28"/>
          <w:lang w:val="en-US" w:eastAsia="ru-RU"/>
        </w:rPr>
        <w:t xml:space="preserve">Key words: </w:t>
      </w:r>
      <w:r w:rsidR="00AE57E7" w:rsidRPr="00511005">
        <w:rPr>
          <w:rFonts w:ascii="Arial" w:eastAsia="Times New Roman" w:hAnsi="Arial" w:cs="Arial"/>
          <w:szCs w:val="28"/>
          <w:lang w:val="en-US" w:eastAsia="ru-RU"/>
        </w:rPr>
        <w:t>artificial intelligence (AI); editorial policy; AI tools; labelling; journalism standards</w:t>
      </w:r>
    </w:p>
    <w:p w14:paraId="62432517" w14:textId="77777777" w:rsidR="00AE57E7" w:rsidRPr="00511005" w:rsidRDefault="00AE57E7" w:rsidP="003A292D">
      <w:pPr>
        <w:spacing w:line="264" w:lineRule="auto"/>
        <w:ind w:right="-141" w:firstLine="0"/>
        <w:rPr>
          <w:rFonts w:ascii="Arial" w:eastAsia="Times New Roman" w:hAnsi="Arial" w:cs="Arial"/>
          <w:szCs w:val="28"/>
          <w:lang w:val="en-US" w:eastAsia="ru-RU"/>
        </w:rPr>
      </w:pPr>
    </w:p>
    <w:p w14:paraId="44F2D8B1" w14:textId="11E2391A" w:rsidR="00AE57E7" w:rsidRPr="00511005" w:rsidRDefault="007B2628"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b/>
          <w:i/>
          <w:szCs w:val="28"/>
          <w:lang w:eastAsia="ru-RU"/>
        </w:rPr>
        <w:t xml:space="preserve">Науковий керівник: </w:t>
      </w:r>
      <w:r w:rsidR="00AE57E7" w:rsidRPr="00511005">
        <w:rPr>
          <w:rFonts w:ascii="Arial" w:eastAsia="Times New Roman" w:hAnsi="Arial" w:cs="Arial"/>
          <w:szCs w:val="28"/>
          <w:lang w:eastAsia="ru-RU"/>
        </w:rPr>
        <w:t>ст.в. Чубук О.Л</w:t>
      </w:r>
      <w:r w:rsidR="00AE57E7" w:rsidRPr="00511005">
        <w:rPr>
          <w:rFonts w:ascii="Arial" w:eastAsia="Times New Roman" w:hAnsi="Arial" w:cs="Arial"/>
          <w:szCs w:val="28"/>
          <w:lang w:val="uk-UA" w:eastAsia="ru-RU"/>
        </w:rPr>
        <w:t>.</w:t>
      </w:r>
    </w:p>
    <w:p w14:paraId="2EB555A4" w14:textId="77777777" w:rsidR="00901EF1" w:rsidRPr="00511005" w:rsidRDefault="00901EF1" w:rsidP="003A292D">
      <w:pPr>
        <w:spacing w:line="264" w:lineRule="auto"/>
        <w:ind w:right="-141" w:firstLine="0"/>
        <w:rPr>
          <w:rFonts w:ascii="Arial" w:eastAsia="Times New Roman" w:hAnsi="Arial" w:cs="Arial"/>
          <w:szCs w:val="28"/>
          <w:lang w:val="uk-UA" w:eastAsia="ru-RU"/>
        </w:rPr>
      </w:pPr>
    </w:p>
    <w:p w14:paraId="336FE960" w14:textId="77777777" w:rsidR="00AE57E7" w:rsidRPr="00511005" w:rsidRDefault="00AE57E7" w:rsidP="003A292D">
      <w:pPr>
        <w:spacing w:line="264" w:lineRule="auto"/>
        <w:ind w:right="-141" w:firstLine="284"/>
        <w:jc w:val="center"/>
        <w:rPr>
          <w:rFonts w:ascii="Arial" w:eastAsia="Times New Roman" w:hAnsi="Arial" w:cs="Arial"/>
          <w:b/>
          <w:bCs/>
          <w:i/>
          <w:iCs/>
          <w:szCs w:val="28"/>
          <w:lang w:val="uk-UA" w:eastAsia="ru-RU"/>
        </w:rPr>
      </w:pPr>
      <w:r w:rsidRPr="00511005">
        <w:rPr>
          <w:rFonts w:ascii="Arial" w:eastAsia="Times New Roman" w:hAnsi="Arial" w:cs="Arial"/>
          <w:b/>
          <w:bCs/>
          <w:i/>
          <w:iCs/>
          <w:szCs w:val="28"/>
          <w:lang w:eastAsia="ru-RU"/>
        </w:rPr>
        <w:t>Тоцький Р</w:t>
      </w:r>
      <w:r w:rsidRPr="00511005">
        <w:rPr>
          <w:rFonts w:ascii="Arial" w:eastAsia="Times New Roman" w:hAnsi="Arial" w:cs="Arial"/>
          <w:b/>
          <w:bCs/>
          <w:i/>
          <w:iCs/>
          <w:szCs w:val="28"/>
          <w:lang w:val="uk-UA" w:eastAsia="ru-RU"/>
        </w:rPr>
        <w:t xml:space="preserve">оман </w:t>
      </w:r>
      <w:r w:rsidRPr="00511005">
        <w:rPr>
          <w:rFonts w:ascii="Arial" w:eastAsia="Times New Roman" w:hAnsi="Arial" w:cs="Arial"/>
          <w:b/>
          <w:bCs/>
          <w:i/>
          <w:iCs/>
          <w:szCs w:val="28"/>
          <w:lang w:eastAsia="ru-RU"/>
        </w:rPr>
        <w:t>Е</w:t>
      </w:r>
      <w:r w:rsidRPr="00511005">
        <w:rPr>
          <w:rFonts w:ascii="Arial" w:eastAsia="Times New Roman" w:hAnsi="Arial" w:cs="Arial"/>
          <w:b/>
          <w:bCs/>
          <w:i/>
          <w:iCs/>
          <w:szCs w:val="28"/>
          <w:lang w:val="uk-UA" w:eastAsia="ru-RU"/>
        </w:rPr>
        <w:t>рійович</w:t>
      </w:r>
    </w:p>
    <w:p w14:paraId="6758D101" w14:textId="5DEA21D3" w:rsidR="00AE57E7" w:rsidRPr="00511005" w:rsidRDefault="00287A9C" w:rsidP="003A292D">
      <w:pPr>
        <w:spacing w:line="264" w:lineRule="auto"/>
        <w:ind w:right="-141" w:firstLine="284"/>
        <w:jc w:val="center"/>
        <w:rPr>
          <w:rFonts w:ascii="Arial" w:eastAsia="Times New Roman" w:hAnsi="Arial" w:cs="Arial"/>
          <w:szCs w:val="28"/>
          <w:lang w:eastAsia="ru-RU"/>
        </w:rPr>
      </w:pPr>
      <w:r w:rsidRPr="00511005">
        <w:rPr>
          <w:rFonts w:ascii="Arial" w:eastAsia="Times New Roman" w:hAnsi="Arial" w:cs="Arial"/>
          <w:szCs w:val="28"/>
          <w:lang w:eastAsia="ru-RU"/>
        </w:rPr>
        <w:t>студент</w:t>
      </w:r>
      <w:r w:rsidR="00AE57E7" w:rsidRPr="00511005">
        <w:rPr>
          <w:rFonts w:ascii="Arial" w:eastAsia="Times New Roman" w:hAnsi="Arial" w:cs="Arial"/>
          <w:szCs w:val="28"/>
          <w:lang w:eastAsia="ru-RU"/>
        </w:rPr>
        <w:t xml:space="preserve"> </w:t>
      </w:r>
      <w:r w:rsidR="009008A5" w:rsidRPr="00511005">
        <w:rPr>
          <w:rFonts w:ascii="Arial" w:eastAsia="Times New Roman" w:hAnsi="Arial" w:cs="Arial"/>
          <w:szCs w:val="28"/>
          <w:lang w:val="uk-UA" w:eastAsia="ru-RU"/>
        </w:rPr>
        <w:t>2-го</w:t>
      </w:r>
      <w:r w:rsidR="00AE57E7" w:rsidRPr="00511005">
        <w:rPr>
          <w:rFonts w:ascii="Arial" w:eastAsia="Times New Roman" w:hAnsi="Arial" w:cs="Arial"/>
          <w:szCs w:val="28"/>
          <w:lang w:eastAsia="ru-RU"/>
        </w:rPr>
        <w:t xml:space="preserve"> курсу </w:t>
      </w:r>
      <w:r w:rsidR="00536AAB" w:rsidRPr="00511005">
        <w:rPr>
          <w:rFonts w:ascii="Arial" w:eastAsia="Times New Roman" w:hAnsi="Arial" w:cs="Arial"/>
          <w:szCs w:val="28"/>
          <w:lang w:eastAsia="ru-RU"/>
        </w:rPr>
        <w:t>факультету журналістики</w:t>
      </w:r>
      <w:r w:rsidR="00AE57E7" w:rsidRPr="00511005">
        <w:rPr>
          <w:rFonts w:ascii="Arial" w:eastAsia="Times New Roman" w:hAnsi="Arial" w:cs="Arial"/>
          <w:szCs w:val="28"/>
          <w:lang w:eastAsia="ru-RU"/>
        </w:rPr>
        <w:t xml:space="preserve"> </w:t>
      </w:r>
    </w:p>
    <w:p w14:paraId="5556F7FE" w14:textId="44C53887" w:rsidR="00AE57E7" w:rsidRPr="00511005" w:rsidRDefault="007B2628" w:rsidP="003A292D">
      <w:pPr>
        <w:spacing w:line="264" w:lineRule="auto"/>
        <w:ind w:right="-141" w:firstLine="284"/>
        <w:jc w:val="center"/>
        <w:rPr>
          <w:rFonts w:ascii="Arial" w:eastAsia="Times New Roman" w:hAnsi="Arial" w:cs="Arial"/>
          <w:szCs w:val="28"/>
          <w:lang w:eastAsia="ru-RU"/>
        </w:rPr>
      </w:pPr>
      <w:r w:rsidRPr="00511005">
        <w:rPr>
          <w:rFonts w:ascii="Arial" w:eastAsia="Times New Roman" w:hAnsi="Arial" w:cs="Arial"/>
          <w:szCs w:val="28"/>
          <w:lang w:eastAsia="ru-RU"/>
        </w:rPr>
        <w:t>Національного університету «Одеська юридична академія»</w:t>
      </w:r>
    </w:p>
    <w:p w14:paraId="0474A2F2" w14:textId="77777777" w:rsidR="00AE57E7" w:rsidRPr="00511005" w:rsidRDefault="00AE57E7" w:rsidP="003A292D">
      <w:pPr>
        <w:spacing w:line="264" w:lineRule="auto"/>
        <w:ind w:right="-141" w:firstLine="284"/>
        <w:jc w:val="center"/>
        <w:rPr>
          <w:rFonts w:ascii="Arial" w:eastAsia="Times New Roman" w:hAnsi="Arial" w:cs="Arial"/>
          <w:i/>
          <w:iCs/>
          <w:szCs w:val="28"/>
          <w:lang w:eastAsia="ru-RU"/>
        </w:rPr>
      </w:pPr>
    </w:p>
    <w:p w14:paraId="099BBEF6" w14:textId="77777777" w:rsidR="00AE57E7" w:rsidRPr="00511005" w:rsidRDefault="00AE57E7" w:rsidP="003A292D">
      <w:pPr>
        <w:spacing w:line="264" w:lineRule="auto"/>
        <w:ind w:right="-141" w:firstLine="284"/>
        <w:jc w:val="center"/>
        <w:rPr>
          <w:rFonts w:ascii="Arial" w:eastAsia="Times New Roman" w:hAnsi="Arial" w:cs="Arial"/>
          <w:b/>
          <w:bCs/>
          <w:szCs w:val="28"/>
          <w:lang w:val="uk-UA" w:eastAsia="ru-RU"/>
        </w:rPr>
      </w:pPr>
      <w:r w:rsidRPr="00511005">
        <w:rPr>
          <w:rFonts w:ascii="Arial" w:eastAsia="Times New Roman" w:hAnsi="Arial" w:cs="Arial"/>
          <w:b/>
          <w:bCs/>
          <w:szCs w:val="28"/>
          <w:lang w:eastAsia="ru-RU"/>
        </w:rPr>
        <w:t>С</w:t>
      </w:r>
      <w:r w:rsidRPr="00511005">
        <w:rPr>
          <w:rFonts w:ascii="Arial" w:eastAsia="Times New Roman" w:hAnsi="Arial" w:cs="Arial"/>
          <w:b/>
          <w:bCs/>
          <w:szCs w:val="28"/>
          <w:lang w:val="uk-UA" w:eastAsia="ru-RU"/>
        </w:rPr>
        <w:t xml:space="preserve">ТРІМ ЯК ФЕНОМЕН СУЧАСНОГО МЕДІАСЕРЕДОВИЩА </w:t>
      </w:r>
      <w:r w:rsidRPr="00511005">
        <w:rPr>
          <w:rFonts w:ascii="Arial" w:eastAsia="Times New Roman" w:hAnsi="Arial" w:cs="Arial"/>
          <w:b/>
          <w:bCs/>
          <w:szCs w:val="28"/>
          <w:lang w:eastAsia="ru-RU"/>
        </w:rPr>
        <w:t>(</w:t>
      </w:r>
      <w:r w:rsidRPr="00511005">
        <w:rPr>
          <w:rFonts w:ascii="Arial" w:eastAsia="Times New Roman" w:hAnsi="Arial" w:cs="Arial"/>
          <w:b/>
          <w:bCs/>
          <w:szCs w:val="28"/>
          <w:lang w:val="uk-UA" w:eastAsia="ru-RU"/>
        </w:rPr>
        <w:t>НА ПРИКЛАДІ НАЙБІЛЬШ ВІДОМИХ СУЧАСНИХ СТРИМЕРІВ-ГЕЙМЕРІВ</w:t>
      </w:r>
      <w:r w:rsidRPr="00511005">
        <w:rPr>
          <w:rFonts w:ascii="Arial" w:eastAsia="Times New Roman" w:hAnsi="Arial" w:cs="Arial"/>
          <w:b/>
          <w:bCs/>
          <w:szCs w:val="28"/>
          <w:lang w:eastAsia="ru-RU"/>
        </w:rPr>
        <w:t>)</w:t>
      </w:r>
    </w:p>
    <w:p w14:paraId="692F1503" w14:textId="77777777" w:rsidR="00AE57E7" w:rsidRPr="00511005" w:rsidRDefault="00AE57E7" w:rsidP="003A292D">
      <w:pPr>
        <w:spacing w:line="264" w:lineRule="auto"/>
        <w:ind w:right="-141" w:firstLine="284"/>
        <w:rPr>
          <w:rFonts w:ascii="Arial" w:eastAsia="Times New Roman" w:hAnsi="Arial" w:cs="Arial"/>
          <w:szCs w:val="28"/>
          <w:lang w:val="en-US" w:eastAsia="ru-RU"/>
        </w:rPr>
      </w:pPr>
      <w:r w:rsidRPr="00511005">
        <w:rPr>
          <w:rFonts w:ascii="Arial" w:eastAsia="Times New Roman" w:hAnsi="Arial" w:cs="Arial"/>
          <w:szCs w:val="28"/>
          <w:lang w:eastAsia="ru-RU"/>
        </w:rPr>
        <w:t>Інтерактивність</w:t>
      </w:r>
      <w:r w:rsidRPr="00511005">
        <w:rPr>
          <w:rFonts w:ascii="Arial" w:eastAsia="Times New Roman" w:hAnsi="Arial" w:cs="Arial"/>
          <w:szCs w:val="28"/>
          <w:lang w:val="en-US" w:eastAsia="ru-RU"/>
        </w:rPr>
        <w:t xml:space="preserve"> – </w:t>
      </w:r>
      <w:r w:rsidRPr="00511005">
        <w:rPr>
          <w:rFonts w:ascii="Arial" w:eastAsia="Times New Roman" w:hAnsi="Arial" w:cs="Arial"/>
          <w:szCs w:val="28"/>
          <w:lang w:eastAsia="ru-RU"/>
        </w:rPr>
        <w:t>це</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здатність</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взаємодіяти</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в</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режимі</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бесіди</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діалогу</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чимось</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або</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кимось</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і</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саме</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вона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зробила</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із</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стримінгу</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феномен</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Завдяки</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їй</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жанр</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набув</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особливої</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популярності</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адже</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можливість</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глядачів</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комунікувати</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один</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одним</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ведучим</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сприяє</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формуванню</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соціальної</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групи</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з</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стримером</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як</w:t>
      </w:r>
      <w:r w:rsidRPr="00511005">
        <w:rPr>
          <w:rFonts w:ascii="Arial" w:eastAsia="Times New Roman" w:hAnsi="Arial" w:cs="Arial"/>
          <w:szCs w:val="28"/>
          <w:lang w:val="en-US" w:eastAsia="ru-RU"/>
        </w:rPr>
        <w:t xml:space="preserve"> </w:t>
      </w:r>
      <w:r w:rsidRPr="00511005">
        <w:rPr>
          <w:rFonts w:ascii="Arial" w:eastAsia="Times New Roman" w:hAnsi="Arial" w:cs="Arial"/>
          <w:szCs w:val="28"/>
          <w:lang w:eastAsia="ru-RU"/>
        </w:rPr>
        <w:t>центром</w:t>
      </w:r>
      <w:r w:rsidRPr="00511005">
        <w:rPr>
          <w:rFonts w:ascii="Arial" w:eastAsia="Times New Roman" w:hAnsi="Arial" w:cs="Arial"/>
          <w:szCs w:val="28"/>
          <w:lang w:val="en-US" w:eastAsia="ru-RU"/>
        </w:rPr>
        <w:t>.</w:t>
      </w:r>
    </w:p>
    <w:p w14:paraId="4E460B86" w14:textId="77777777" w:rsidR="00AE57E7" w:rsidRPr="00511005" w:rsidRDefault="00AE57E7" w:rsidP="003A292D">
      <w:pPr>
        <w:spacing w:line="264" w:lineRule="auto"/>
        <w:ind w:right="-141" w:firstLine="284"/>
        <w:rPr>
          <w:rFonts w:ascii="Arial" w:eastAsia="Times New Roman" w:hAnsi="Arial" w:cs="Arial"/>
          <w:szCs w:val="28"/>
          <w:lang w:eastAsia="ru-RU"/>
        </w:rPr>
      </w:pPr>
      <w:r w:rsidRPr="00511005">
        <w:rPr>
          <w:rFonts w:ascii="Arial" w:eastAsia="Times New Roman" w:hAnsi="Arial" w:cs="Arial"/>
          <w:szCs w:val="28"/>
          <w:lang w:eastAsia="ru-RU"/>
        </w:rPr>
        <w:lastRenderedPageBreak/>
        <w:t>Інтерактивність забезпечена за допомогою обміну інформації в реальному часі – головній особливості жанру, що відрізняє його від інших. Можливість взаємодіяти з стримером надає багато різних можливостей та шляхів вести свій потік.</w:t>
      </w:r>
    </w:p>
    <w:p w14:paraId="7035020C" w14:textId="77777777" w:rsidR="00AE57E7" w:rsidRPr="00511005" w:rsidRDefault="00AE57E7" w:rsidP="003A292D">
      <w:pPr>
        <w:spacing w:line="264" w:lineRule="auto"/>
        <w:ind w:right="-141" w:firstLine="284"/>
        <w:rPr>
          <w:rFonts w:ascii="Arial" w:eastAsia="Times New Roman" w:hAnsi="Arial" w:cs="Arial"/>
          <w:szCs w:val="28"/>
          <w:lang w:eastAsia="ru-RU"/>
        </w:rPr>
      </w:pPr>
      <w:r w:rsidRPr="00511005">
        <w:rPr>
          <w:rFonts w:ascii="Arial" w:eastAsia="Times New Roman" w:hAnsi="Arial" w:cs="Arial"/>
          <w:szCs w:val="28"/>
          <w:lang w:eastAsia="ru-RU"/>
        </w:rPr>
        <w:t>Серед різновидів стримінгу: геймінг стрими, музичні, освітні, спортивні, мистецькі, соціальні та благодійні, кулінарні, релаксаційні, наукові та технологічні, модні та косметичні, літературні та багато інших різновидів трансляцій.</w:t>
      </w:r>
    </w:p>
    <w:p w14:paraId="3C9C758E" w14:textId="77777777" w:rsidR="00AE57E7" w:rsidRPr="00511005" w:rsidRDefault="00AE57E7" w:rsidP="003A292D">
      <w:pPr>
        <w:spacing w:line="264" w:lineRule="auto"/>
        <w:ind w:right="-141" w:firstLine="284"/>
        <w:rPr>
          <w:rFonts w:ascii="Arial" w:eastAsia="Times New Roman" w:hAnsi="Arial" w:cs="Arial"/>
          <w:szCs w:val="28"/>
          <w:lang w:eastAsia="ru-RU"/>
        </w:rPr>
      </w:pPr>
      <w:r w:rsidRPr="00511005">
        <w:rPr>
          <w:rFonts w:ascii="Arial" w:eastAsia="Times New Roman" w:hAnsi="Arial" w:cs="Arial"/>
          <w:szCs w:val="28"/>
          <w:lang w:eastAsia="ru-RU"/>
        </w:rPr>
        <w:t>Ігрові або геймінг стрими є найпопулярнішим різновидом в жанрі, адже саме навколо стримерів геймерів були побудовані найбільші соціальні групи. Серед українців таких авторів чимало, однак лише одиниці можна вважати видатними.</w:t>
      </w:r>
    </w:p>
    <w:p w14:paraId="59569157" w14:textId="77777777" w:rsidR="00AE57E7" w:rsidRPr="00511005" w:rsidRDefault="00AE57E7" w:rsidP="003A292D">
      <w:pPr>
        <w:spacing w:line="264" w:lineRule="auto"/>
        <w:ind w:right="-141" w:firstLine="284"/>
        <w:rPr>
          <w:rFonts w:ascii="Arial" w:eastAsia="Times New Roman" w:hAnsi="Arial" w:cs="Arial"/>
          <w:szCs w:val="28"/>
          <w:lang w:eastAsia="ru-RU"/>
        </w:rPr>
      </w:pPr>
      <w:r w:rsidRPr="00511005">
        <w:rPr>
          <w:rFonts w:ascii="Arial" w:eastAsia="Times New Roman" w:hAnsi="Arial" w:cs="Arial"/>
          <w:szCs w:val="28"/>
          <w:lang w:eastAsia="ru-RU"/>
        </w:rPr>
        <w:t>Дослідивши двох відомих стримерів геймерів – Арсенія «Ceh9» Триноженко та Андрія «Ghostik» Кадика, було зазначено такі риси, що сприяли їх популярності: досвід кіберспорстмена, освітній контент, особиста харизма, зайнята ними ніша.</w:t>
      </w:r>
    </w:p>
    <w:p w14:paraId="69129EC1" w14:textId="77777777" w:rsidR="00AE57E7" w:rsidRPr="00511005" w:rsidRDefault="00AE57E7" w:rsidP="003A292D">
      <w:pPr>
        <w:spacing w:line="264" w:lineRule="auto"/>
        <w:ind w:right="-141" w:firstLine="284"/>
        <w:rPr>
          <w:rFonts w:ascii="Arial" w:eastAsia="Times New Roman" w:hAnsi="Arial" w:cs="Arial"/>
          <w:szCs w:val="28"/>
          <w:lang w:eastAsia="ru-RU"/>
        </w:rPr>
      </w:pPr>
      <w:r w:rsidRPr="00511005">
        <w:rPr>
          <w:rFonts w:ascii="Arial" w:eastAsia="Times New Roman" w:hAnsi="Arial" w:cs="Arial"/>
          <w:szCs w:val="28"/>
          <w:lang w:eastAsia="ru-RU"/>
        </w:rPr>
        <w:t>Особливо потрібно зауважити, що в їхньому випадку саме минулий досвід став основою їх стримерської діяльності. Обидва автори ведуть трансляції по іграм в яких вони були професіоналами. Цей фактор робить освітню частину їх стримів більш достовірною для глядача.</w:t>
      </w:r>
    </w:p>
    <w:p w14:paraId="0A613E63" w14:textId="77777777" w:rsidR="00AE57E7" w:rsidRPr="00511005" w:rsidRDefault="00AE57E7" w:rsidP="003A292D">
      <w:pPr>
        <w:spacing w:line="264" w:lineRule="auto"/>
        <w:ind w:right="-141" w:firstLine="284"/>
        <w:rPr>
          <w:rFonts w:ascii="Arial" w:eastAsia="Times New Roman" w:hAnsi="Arial" w:cs="Arial"/>
          <w:szCs w:val="28"/>
          <w:lang w:eastAsia="ru-RU"/>
        </w:rPr>
      </w:pPr>
      <w:r w:rsidRPr="00511005">
        <w:rPr>
          <w:rFonts w:ascii="Arial" w:eastAsia="Times New Roman" w:hAnsi="Arial" w:cs="Arial"/>
          <w:szCs w:val="28"/>
          <w:lang w:eastAsia="ru-RU"/>
        </w:rPr>
        <w:t>Арсеній Триноженко має найбільшу кількість підписників серед усіх україномовних стримерів на платформі Twitch. Від Андрія Кадика, хто має у 6 разів меншу аудиторію, його відрізняють такі фактори: особиста харизма та медіа активність.</w:t>
      </w:r>
    </w:p>
    <w:p w14:paraId="4FA3217F" w14:textId="77777777" w:rsidR="00AE57E7" w:rsidRPr="00511005" w:rsidRDefault="00AE57E7" w:rsidP="003A292D">
      <w:pPr>
        <w:spacing w:line="264" w:lineRule="auto"/>
        <w:ind w:right="-141" w:firstLine="284"/>
        <w:rPr>
          <w:rFonts w:ascii="Arial" w:eastAsia="Times New Roman" w:hAnsi="Arial" w:cs="Arial"/>
          <w:szCs w:val="28"/>
          <w:lang w:eastAsia="ru-RU"/>
        </w:rPr>
      </w:pPr>
      <w:r w:rsidRPr="00511005">
        <w:rPr>
          <w:rFonts w:ascii="Arial" w:eastAsia="Times New Roman" w:hAnsi="Arial" w:cs="Arial"/>
          <w:szCs w:val="28"/>
          <w:lang w:eastAsia="ru-RU"/>
        </w:rPr>
        <w:t>Різна медіа активність Арсенія постійно приваблює до нього нову аудиторію. Він активно виступає як коментатор кіберспортивних матчів, професійний аналітик та експерт Counter Strike, відео блогер. Андрій же цілком зосереджений на своїй стримерській діяльності. Особиста харизма Арсенія допомагає, набуту з його активностей аудиторію, закріпити.</w:t>
      </w:r>
    </w:p>
    <w:p w14:paraId="4048F48E" w14:textId="77777777" w:rsidR="00AE57E7" w:rsidRPr="00511005" w:rsidRDefault="00AE57E7" w:rsidP="003A292D">
      <w:pPr>
        <w:spacing w:line="264" w:lineRule="auto"/>
        <w:ind w:right="-141" w:firstLine="284"/>
        <w:rPr>
          <w:rFonts w:ascii="Arial" w:eastAsia="Times New Roman" w:hAnsi="Arial" w:cs="Arial"/>
          <w:szCs w:val="28"/>
          <w:lang w:eastAsia="ru-RU"/>
        </w:rPr>
      </w:pPr>
      <w:r w:rsidRPr="00511005">
        <w:rPr>
          <w:rFonts w:ascii="Arial" w:eastAsia="Times New Roman" w:hAnsi="Arial" w:cs="Arial"/>
          <w:szCs w:val="28"/>
          <w:lang w:eastAsia="ru-RU"/>
        </w:rPr>
        <w:t>Багато стримерів вважають свій успіх не більше ніж удачею. Дослідити це питання можливо на прикладі Михайла «Leb1ga» Анатолійовича, що став відомим завдяки одному стриму.</w:t>
      </w:r>
    </w:p>
    <w:p w14:paraId="49DAC93F" w14:textId="77777777" w:rsidR="00AE57E7" w:rsidRPr="00511005" w:rsidRDefault="00AE57E7" w:rsidP="003A292D">
      <w:pPr>
        <w:spacing w:line="264" w:lineRule="auto"/>
        <w:ind w:right="-141" w:firstLine="284"/>
        <w:rPr>
          <w:rFonts w:ascii="Arial" w:eastAsia="Times New Roman" w:hAnsi="Arial" w:cs="Arial"/>
          <w:szCs w:val="28"/>
          <w:lang w:eastAsia="ru-RU"/>
        </w:rPr>
      </w:pPr>
      <w:r w:rsidRPr="00511005">
        <w:rPr>
          <w:rFonts w:ascii="Arial" w:eastAsia="Times New Roman" w:hAnsi="Arial" w:cs="Arial"/>
          <w:szCs w:val="28"/>
          <w:lang w:eastAsia="ru-RU"/>
        </w:rPr>
        <w:t>В час коли війна тільки почалась і українська самоусвідомленість була на вершині своєї популярності, Михайло провів один благодійний стрим. На ньому він зібрав 8,3 мільйони гривень на дрони для ГУР. Після цього «Leb1ga» став одним із найвідоміших україномовних стримерських акаунтів на платформі Twitch. Михайла почали активно висвітлювати ЗМІ, запрошувати на інтерв’ю. Така активність в медіа приваблювала все більше й більше людей до його головної діяльності – стримінгу.</w:t>
      </w:r>
    </w:p>
    <w:p w14:paraId="696751AC" w14:textId="7A208E5D" w:rsidR="00AE57E7" w:rsidRPr="00511005" w:rsidRDefault="00AE57E7" w:rsidP="003A292D">
      <w:pPr>
        <w:spacing w:line="264" w:lineRule="auto"/>
        <w:ind w:right="-141" w:firstLine="284"/>
        <w:rPr>
          <w:rFonts w:ascii="Arial" w:eastAsia="Times New Roman" w:hAnsi="Arial" w:cs="Arial"/>
          <w:szCs w:val="28"/>
          <w:lang w:eastAsia="ru-RU"/>
        </w:rPr>
      </w:pPr>
      <w:r w:rsidRPr="00511005">
        <w:rPr>
          <w:rFonts w:ascii="Arial" w:eastAsia="Times New Roman" w:hAnsi="Arial" w:cs="Arial"/>
          <w:szCs w:val="28"/>
          <w:lang w:eastAsia="ru-RU"/>
        </w:rPr>
        <w:t xml:space="preserve">Розглянувши це питання ближче було визначено, що успіх в такій ситуації був неминучим. По-перше, Leb1ga був одним з небагатьох україномовних стримерів під час зростання популярності нашої мови, тобто мала </w:t>
      </w:r>
      <w:r w:rsidRPr="00511005">
        <w:rPr>
          <w:rFonts w:ascii="Arial" w:eastAsia="Times New Roman" w:hAnsi="Arial" w:cs="Arial"/>
          <w:szCs w:val="28"/>
          <w:lang w:eastAsia="ru-RU"/>
        </w:rPr>
        <w:lastRenderedPageBreak/>
        <w:t xml:space="preserve">конкуренція, великий попит. </w:t>
      </w:r>
      <w:proofErr w:type="gramStart"/>
      <w:r w:rsidRPr="00511005">
        <w:rPr>
          <w:rFonts w:ascii="Arial" w:eastAsia="Times New Roman" w:hAnsi="Arial" w:cs="Arial"/>
          <w:szCs w:val="28"/>
          <w:lang w:eastAsia="ru-RU"/>
        </w:rPr>
        <w:t>По-друге</w:t>
      </w:r>
      <w:proofErr w:type="gramEnd"/>
      <w:r w:rsidRPr="00511005">
        <w:rPr>
          <w:rFonts w:ascii="Arial" w:eastAsia="Times New Roman" w:hAnsi="Arial" w:cs="Arial"/>
          <w:szCs w:val="28"/>
          <w:lang w:eastAsia="ru-RU"/>
        </w:rPr>
        <w:t>, правильне використання інтерактивності у вигляді благодійного стриму саме під час напливу зацікавленої у війні аудиторії. По-третє, велика активність стримера в різних медіа після цієї трансляції: інтерв’ю, сюжети, біографії та ін. По-четверте, особиста харизма Михайла, що і закріпила цей успіх, створивши навколо нього соціальну групу.</w:t>
      </w:r>
    </w:p>
    <w:p w14:paraId="4E028982" w14:textId="77777777" w:rsidR="009008A5" w:rsidRPr="00511005" w:rsidRDefault="009008A5" w:rsidP="003A292D">
      <w:pPr>
        <w:spacing w:line="264" w:lineRule="auto"/>
        <w:ind w:right="-141" w:firstLine="284"/>
        <w:rPr>
          <w:rFonts w:ascii="Arial" w:eastAsia="Times New Roman" w:hAnsi="Arial" w:cs="Arial"/>
          <w:szCs w:val="28"/>
          <w:lang w:eastAsia="ru-RU"/>
        </w:rPr>
      </w:pPr>
    </w:p>
    <w:p w14:paraId="3BB520E1" w14:textId="7657C7F1" w:rsidR="00AE57E7" w:rsidRPr="00511005" w:rsidRDefault="007B2628" w:rsidP="007B2628">
      <w:pPr>
        <w:spacing w:line="264" w:lineRule="auto"/>
        <w:ind w:right="-141" w:firstLine="284"/>
        <w:jc w:val="center"/>
        <w:rPr>
          <w:rFonts w:ascii="Arial" w:eastAsia="Times New Roman" w:hAnsi="Arial" w:cs="Arial"/>
          <w:b/>
          <w:szCs w:val="28"/>
          <w:lang w:eastAsia="ru-RU"/>
        </w:rPr>
      </w:pPr>
      <w:r w:rsidRPr="00511005">
        <w:rPr>
          <w:rFonts w:ascii="Arial" w:eastAsia="Times New Roman" w:hAnsi="Arial" w:cs="Arial"/>
          <w:b/>
          <w:szCs w:val="28"/>
          <w:lang w:val="uk-UA" w:eastAsia="ru-RU"/>
        </w:rPr>
        <w:t>Список використаних джерел</w:t>
      </w:r>
    </w:p>
    <w:p w14:paraId="2EBB3912" w14:textId="77777777" w:rsidR="00AE57E7" w:rsidRPr="00511005" w:rsidRDefault="00AE57E7" w:rsidP="003F6A5D">
      <w:pPr>
        <w:numPr>
          <w:ilvl w:val="0"/>
          <w:numId w:val="751"/>
        </w:numPr>
        <w:tabs>
          <w:tab w:val="left" w:pos="284"/>
        </w:tabs>
        <w:spacing w:line="264" w:lineRule="auto"/>
        <w:ind w:left="0" w:right="-141" w:firstLine="0"/>
        <w:contextualSpacing/>
        <w:jc w:val="left"/>
        <w:rPr>
          <w:rFonts w:ascii="Arial" w:eastAsia="Calibri" w:hAnsi="Arial" w:cs="Arial"/>
          <w:szCs w:val="28"/>
          <w:lang w:val="uk-UA"/>
        </w:rPr>
      </w:pPr>
      <w:r w:rsidRPr="00511005">
        <w:rPr>
          <w:rFonts w:ascii="Arial" w:eastAsia="Calibri" w:hAnsi="Arial" w:cs="Arial"/>
          <w:szCs w:val="28"/>
          <w:lang w:val="uk-UA"/>
        </w:rPr>
        <w:t xml:space="preserve">Сташен Б. Мобільна журналістика: практичний посібник / Сташен Б. ; пер. з нім. В. Климченка / за загал. ред. В. Іванова. — К. : Центр вільної преси, 2021. — 260 с. </w:t>
      </w:r>
    </w:p>
    <w:p w14:paraId="5F893F81" w14:textId="77777777" w:rsidR="00AE57E7" w:rsidRPr="00511005" w:rsidRDefault="00AE57E7" w:rsidP="003F6A5D">
      <w:pPr>
        <w:numPr>
          <w:ilvl w:val="0"/>
          <w:numId w:val="751"/>
        </w:numPr>
        <w:tabs>
          <w:tab w:val="left" w:pos="284"/>
        </w:tabs>
        <w:spacing w:line="264" w:lineRule="auto"/>
        <w:ind w:left="0" w:right="-141" w:firstLine="0"/>
        <w:contextualSpacing/>
        <w:jc w:val="left"/>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 xml:space="preserve">Хто такий Лебігович і звідки з’явився мем про нього [Електронний ресурс] </w:t>
      </w:r>
      <w:r w:rsidRPr="00511005">
        <w:rPr>
          <w:rFonts w:ascii="Arial" w:eastAsia="Calibri" w:hAnsi="Arial" w:cs="Arial"/>
          <w:szCs w:val="28"/>
          <w:shd w:val="clear" w:color="auto" w:fill="FFFFFF"/>
        </w:rPr>
        <w:t>/</w:t>
      </w:r>
      <w:r w:rsidRPr="00511005">
        <w:rPr>
          <w:rFonts w:ascii="Arial" w:eastAsia="Calibri" w:hAnsi="Arial" w:cs="Arial"/>
          <w:szCs w:val="28"/>
          <w:shd w:val="clear" w:color="auto" w:fill="FFFFFF"/>
          <w:lang w:val="uk-UA"/>
        </w:rPr>
        <w:t>/ Інформаційне агентство «Ain». – 2023. – Режим доступу до ресурсу</w:t>
      </w:r>
      <w:r w:rsidRPr="00511005">
        <w:rPr>
          <w:rFonts w:ascii="Arial" w:eastAsia="Calibri" w:hAnsi="Arial" w:cs="Arial"/>
          <w:szCs w:val="28"/>
          <w:lang w:val="uk-UA"/>
        </w:rPr>
        <w:t xml:space="preserve">: </w:t>
      </w:r>
      <w:hyperlink r:id="rId2628" w:history="1">
        <w:r w:rsidRPr="00511005">
          <w:rPr>
            <w:rFonts w:ascii="Arial" w:eastAsia="Calibri" w:hAnsi="Arial" w:cs="Arial"/>
            <w:szCs w:val="28"/>
            <w:lang w:val="uk-UA"/>
          </w:rPr>
          <w:t>https://ain.ua/2023/08/25/hto-takyy-lebigovych/</w:t>
        </w:r>
      </w:hyperlink>
      <w:r w:rsidRPr="00511005">
        <w:rPr>
          <w:rFonts w:ascii="Arial" w:eastAsia="Calibri" w:hAnsi="Arial" w:cs="Arial"/>
          <w:szCs w:val="28"/>
          <w:lang w:val="uk-UA"/>
        </w:rPr>
        <w:t xml:space="preserve">. </w:t>
      </w:r>
    </w:p>
    <w:p w14:paraId="2F561B25" w14:textId="77777777" w:rsidR="00AE57E7" w:rsidRPr="00511005" w:rsidRDefault="00AE57E7" w:rsidP="003F6A5D">
      <w:pPr>
        <w:numPr>
          <w:ilvl w:val="0"/>
          <w:numId w:val="751"/>
        </w:numPr>
        <w:tabs>
          <w:tab w:val="left" w:pos="284"/>
        </w:tabs>
        <w:spacing w:line="264" w:lineRule="auto"/>
        <w:ind w:left="0" w:right="-141" w:firstLine="0"/>
        <w:contextualSpacing/>
        <w:jc w:val="left"/>
        <w:rPr>
          <w:rFonts w:ascii="Arial" w:eastAsia="Calibri" w:hAnsi="Arial" w:cs="Arial"/>
          <w:szCs w:val="28"/>
          <w:shd w:val="clear" w:color="auto" w:fill="FFFFFF"/>
          <w:lang w:val="uk-UA"/>
        </w:rPr>
      </w:pPr>
      <w:r w:rsidRPr="00511005">
        <w:rPr>
          <w:rFonts w:ascii="Arial" w:eastAsia="Calibri" w:hAnsi="Arial" w:cs="Arial"/>
          <w:szCs w:val="28"/>
          <w:shd w:val="clear" w:color="auto" w:fill="FFFFFF"/>
          <w:lang w:val="uk-UA"/>
        </w:rPr>
        <w:t>«Ми грали і перемагали», – Арсеній «ceh9» Триноженко в Луцьку про себе, NAVI та годинник від Азарова</w:t>
      </w:r>
      <w:r w:rsidRPr="00511005">
        <w:rPr>
          <w:rFonts w:ascii="Arial" w:eastAsia="Calibri" w:hAnsi="Arial" w:cs="Arial"/>
          <w:szCs w:val="28"/>
          <w:shd w:val="clear" w:color="auto" w:fill="FFFFFF"/>
        </w:rPr>
        <w:t xml:space="preserve"> [Електронний ресурс] // </w:t>
      </w:r>
      <w:r w:rsidRPr="00511005">
        <w:rPr>
          <w:rFonts w:ascii="Arial" w:eastAsia="Calibri" w:hAnsi="Arial" w:cs="Arial"/>
          <w:szCs w:val="28"/>
          <w:shd w:val="clear" w:color="auto" w:fill="FFFFFF"/>
          <w:lang w:val="uk-UA"/>
        </w:rPr>
        <w:t xml:space="preserve">Інформаційне агентство «Волинські новини». – 2019. – </w:t>
      </w:r>
      <w:r w:rsidRPr="00511005">
        <w:rPr>
          <w:rFonts w:ascii="Arial" w:eastAsia="Calibri" w:hAnsi="Arial" w:cs="Arial"/>
          <w:szCs w:val="28"/>
          <w:lang w:val="uk-UA"/>
        </w:rPr>
        <w:t xml:space="preserve">режим доступу до ресурсу: </w:t>
      </w:r>
      <w:hyperlink r:id="rId2629" w:history="1">
        <w:r w:rsidRPr="00511005">
          <w:rPr>
            <w:rFonts w:ascii="Arial" w:eastAsia="Calibri" w:hAnsi="Arial" w:cs="Arial"/>
            <w:szCs w:val="28"/>
            <w:lang w:val="uk-UA"/>
          </w:rPr>
          <w:t>https://www.volynnews.com/news/all/my-hraly-i-peremahaly-arseniy-ceh9-trynozhenko-v-lutsku-pro-sebe-NAVI-ta-hodynnyk-vid-azarova/</w:t>
        </w:r>
      </w:hyperlink>
      <w:r w:rsidRPr="00511005">
        <w:rPr>
          <w:rFonts w:ascii="Arial" w:eastAsia="Calibri" w:hAnsi="Arial" w:cs="Arial"/>
          <w:szCs w:val="28"/>
          <w:lang w:val="uk-UA"/>
        </w:rPr>
        <w:t>.</w:t>
      </w:r>
    </w:p>
    <w:p w14:paraId="155C27C5" w14:textId="4366C698" w:rsidR="00AE57E7" w:rsidRPr="00511005" w:rsidRDefault="00AE57E7" w:rsidP="003F6A5D">
      <w:pPr>
        <w:numPr>
          <w:ilvl w:val="0"/>
          <w:numId w:val="751"/>
        </w:numPr>
        <w:tabs>
          <w:tab w:val="left" w:pos="284"/>
        </w:tabs>
        <w:spacing w:line="264" w:lineRule="auto"/>
        <w:ind w:left="0" w:right="-141" w:firstLine="0"/>
        <w:contextualSpacing/>
        <w:jc w:val="left"/>
        <w:rPr>
          <w:rFonts w:ascii="Arial" w:eastAsia="Calibri" w:hAnsi="Arial" w:cs="Arial"/>
          <w:b/>
          <w:bCs/>
          <w:szCs w:val="28"/>
          <w:lang w:val="uk-UA"/>
        </w:rPr>
      </w:pPr>
      <w:r w:rsidRPr="00511005">
        <w:rPr>
          <w:rFonts w:ascii="Arial" w:eastAsia="Calibri" w:hAnsi="Arial" w:cs="Arial"/>
          <w:szCs w:val="28"/>
          <w:lang w:val="uk-UA"/>
        </w:rPr>
        <w:t>Біографія — Андрій Ghostik Кадик [Електронний ресурс] // Відеохостінг «YouTube».</w:t>
      </w:r>
      <w:r w:rsidR="007B2628" w:rsidRPr="00511005">
        <w:rPr>
          <w:rFonts w:ascii="Arial" w:eastAsia="Calibri" w:hAnsi="Arial" w:cs="Arial"/>
          <w:szCs w:val="28"/>
          <w:lang w:val="uk-UA"/>
        </w:rPr>
        <w:t xml:space="preserve"> </w:t>
      </w:r>
      <w:r w:rsidRPr="00511005">
        <w:rPr>
          <w:rFonts w:ascii="Arial" w:eastAsia="Calibri" w:hAnsi="Arial" w:cs="Arial"/>
          <w:szCs w:val="28"/>
          <w:lang w:val="uk-UA"/>
        </w:rPr>
        <w:t xml:space="preserve">Канал: CyberМОВНИЙ. – 2023. – Режим доступу до ресурсу: </w:t>
      </w:r>
      <w:hyperlink r:id="rId2630" w:history="1">
        <w:r w:rsidRPr="00511005">
          <w:rPr>
            <w:rFonts w:ascii="Arial" w:eastAsia="Calibri" w:hAnsi="Arial" w:cs="Arial"/>
            <w:szCs w:val="28"/>
            <w:lang w:val="uk-UA"/>
          </w:rPr>
          <w:t>https://www.youtube.com/watch?v=a8FtqdHxXRw</w:t>
        </w:r>
      </w:hyperlink>
      <w:r w:rsidRPr="00511005">
        <w:rPr>
          <w:rFonts w:ascii="Arial" w:eastAsia="Calibri" w:hAnsi="Arial" w:cs="Arial"/>
          <w:szCs w:val="28"/>
          <w:lang w:val="uk-UA"/>
        </w:rPr>
        <w:t>.</w:t>
      </w:r>
    </w:p>
    <w:p w14:paraId="1C5E39B7" w14:textId="77777777" w:rsidR="00901EF1" w:rsidRPr="00511005" w:rsidRDefault="00901EF1" w:rsidP="00901EF1">
      <w:pPr>
        <w:spacing w:line="264" w:lineRule="auto"/>
        <w:ind w:right="-141" w:firstLine="284"/>
        <w:rPr>
          <w:rFonts w:ascii="Arial" w:eastAsia="Times New Roman" w:hAnsi="Arial" w:cs="Arial"/>
          <w:szCs w:val="28"/>
          <w:lang w:eastAsia="ru-RU"/>
        </w:rPr>
      </w:pPr>
      <w:r w:rsidRPr="00511005">
        <w:rPr>
          <w:rFonts w:ascii="Arial" w:eastAsia="Times New Roman" w:hAnsi="Arial" w:cs="Arial"/>
          <w:b/>
          <w:bCs/>
          <w:i/>
          <w:szCs w:val="28"/>
          <w:lang w:eastAsia="ru-RU"/>
        </w:rPr>
        <w:t xml:space="preserve">Ключові слова: </w:t>
      </w:r>
      <w:r w:rsidRPr="00511005">
        <w:rPr>
          <w:rFonts w:ascii="Arial" w:eastAsia="Times New Roman" w:hAnsi="Arial" w:cs="Arial"/>
          <w:szCs w:val="28"/>
          <w:lang w:eastAsia="ru-RU"/>
        </w:rPr>
        <w:t>стримінг, феноменальність, інтерактивність, українські стримери, риси, шлях.</w:t>
      </w:r>
    </w:p>
    <w:p w14:paraId="65D8ED9B" w14:textId="77777777" w:rsidR="00901EF1" w:rsidRPr="00511005" w:rsidRDefault="00901EF1" w:rsidP="00901EF1">
      <w:pPr>
        <w:spacing w:line="264" w:lineRule="auto"/>
        <w:ind w:right="-141" w:firstLine="284"/>
        <w:rPr>
          <w:rFonts w:ascii="Arial" w:eastAsia="Times New Roman" w:hAnsi="Arial" w:cs="Arial"/>
          <w:szCs w:val="28"/>
          <w:lang w:val="en-US" w:eastAsia="ru-RU"/>
        </w:rPr>
      </w:pPr>
      <w:r w:rsidRPr="00511005">
        <w:rPr>
          <w:rFonts w:ascii="Arial" w:eastAsia="Times New Roman" w:hAnsi="Arial" w:cs="Arial"/>
          <w:b/>
          <w:bCs/>
          <w:i/>
          <w:szCs w:val="28"/>
          <w:lang w:val="en-US" w:eastAsia="ru-RU"/>
        </w:rPr>
        <w:t xml:space="preserve">Key words: </w:t>
      </w:r>
      <w:r w:rsidRPr="00511005">
        <w:rPr>
          <w:rFonts w:ascii="Arial" w:eastAsia="Times New Roman" w:hAnsi="Arial" w:cs="Arial"/>
          <w:szCs w:val="28"/>
          <w:lang w:val="en-US" w:eastAsia="ru-RU"/>
        </w:rPr>
        <w:t>streaming, phenomenal nature, interactivity, Ukrainian streamers, traits, path.</w:t>
      </w:r>
    </w:p>
    <w:p w14:paraId="4B6D1B03" w14:textId="5A025815" w:rsidR="00901EF1" w:rsidRPr="00511005" w:rsidRDefault="00901EF1" w:rsidP="00901EF1">
      <w:pPr>
        <w:tabs>
          <w:tab w:val="left" w:pos="284"/>
        </w:tabs>
        <w:spacing w:line="264" w:lineRule="auto"/>
        <w:ind w:right="-141" w:firstLine="284"/>
        <w:contextualSpacing/>
        <w:rPr>
          <w:rFonts w:ascii="Arial" w:eastAsia="Calibri" w:hAnsi="Arial" w:cs="Arial"/>
          <w:bCs/>
          <w:i/>
          <w:szCs w:val="28"/>
          <w:lang w:val="uk-UA"/>
        </w:rPr>
      </w:pPr>
      <w:r w:rsidRPr="00511005">
        <w:rPr>
          <w:rFonts w:ascii="Arial" w:eastAsia="Calibri" w:hAnsi="Arial" w:cs="Arial"/>
          <w:b/>
          <w:bCs/>
          <w:i/>
          <w:szCs w:val="28"/>
          <w:lang w:val="uk-UA"/>
        </w:rPr>
        <w:t xml:space="preserve">Науковий керівник: </w:t>
      </w:r>
      <w:r w:rsidRPr="00511005">
        <w:rPr>
          <w:rFonts w:ascii="Arial" w:eastAsia="Calibri" w:hAnsi="Arial" w:cs="Arial"/>
          <w:bCs/>
          <w:i/>
          <w:szCs w:val="28"/>
          <w:lang w:val="uk-UA"/>
        </w:rPr>
        <w:t>ст. викладач кафедри Чубук О.Л.</w:t>
      </w:r>
    </w:p>
    <w:p w14:paraId="279BADAB" w14:textId="4BE0A0BC" w:rsidR="00AE57E7" w:rsidRPr="00511005" w:rsidRDefault="00AE57E7" w:rsidP="003A292D">
      <w:pPr>
        <w:spacing w:line="264" w:lineRule="auto"/>
        <w:ind w:right="-141" w:firstLine="0"/>
        <w:jc w:val="left"/>
        <w:rPr>
          <w:rFonts w:ascii="Arial" w:eastAsia="Times New Roman" w:hAnsi="Arial" w:cs="Arial"/>
          <w:b/>
          <w:szCs w:val="28"/>
          <w:lang w:val="uk-UA" w:eastAsia="ru-RU"/>
        </w:rPr>
      </w:pPr>
    </w:p>
    <w:p w14:paraId="1A622F26" w14:textId="77777777" w:rsidR="00AE57E7" w:rsidRPr="00511005" w:rsidRDefault="00AE57E7" w:rsidP="003A292D">
      <w:pPr>
        <w:spacing w:line="264" w:lineRule="auto"/>
        <w:ind w:right="-141" w:firstLine="0"/>
        <w:jc w:val="left"/>
        <w:rPr>
          <w:rFonts w:ascii="Arial" w:eastAsia="Times New Roman" w:hAnsi="Arial" w:cs="Arial"/>
          <w:b/>
          <w:szCs w:val="28"/>
          <w:lang w:val="uk-UA" w:eastAsia="ru-RU"/>
        </w:rPr>
      </w:pPr>
    </w:p>
    <w:p w14:paraId="43B776DB" w14:textId="77777777" w:rsidR="00AE57E7" w:rsidRPr="00511005" w:rsidRDefault="00AE57E7" w:rsidP="003A292D">
      <w:pPr>
        <w:spacing w:line="264" w:lineRule="auto"/>
        <w:ind w:right="-141" w:firstLine="0"/>
        <w:jc w:val="center"/>
        <w:rPr>
          <w:rFonts w:ascii="Arial" w:eastAsia="Times New Roman" w:hAnsi="Arial" w:cs="Arial"/>
          <w:szCs w:val="28"/>
          <w:lang w:eastAsia="ru-RU"/>
        </w:rPr>
      </w:pPr>
      <w:r w:rsidRPr="00511005">
        <w:rPr>
          <w:rFonts w:ascii="Arial" w:eastAsia="Times New Roman" w:hAnsi="Arial" w:cs="Arial"/>
          <w:b/>
          <w:szCs w:val="28"/>
          <w:lang w:val="uk-UA" w:eastAsia="ru-RU"/>
        </w:rPr>
        <w:t>Чепінога Наталія Сергіївна</w:t>
      </w:r>
    </w:p>
    <w:p w14:paraId="70579648" w14:textId="3F843E01" w:rsidR="00AE57E7" w:rsidRPr="00511005" w:rsidRDefault="00536AAB" w:rsidP="003A292D">
      <w:pPr>
        <w:spacing w:line="264" w:lineRule="auto"/>
        <w:ind w:right="-141" w:firstLine="0"/>
        <w:jc w:val="center"/>
        <w:rPr>
          <w:rFonts w:ascii="Arial" w:eastAsia="Times New Roman" w:hAnsi="Arial" w:cs="Arial"/>
          <w:szCs w:val="28"/>
          <w:lang w:eastAsia="ru-RU"/>
        </w:rPr>
      </w:pPr>
      <w:r w:rsidRPr="00511005">
        <w:rPr>
          <w:rFonts w:ascii="Arial" w:eastAsia="Times New Roman" w:hAnsi="Arial" w:cs="Arial"/>
          <w:szCs w:val="28"/>
          <w:lang w:val="uk-UA" w:eastAsia="ru-RU"/>
        </w:rPr>
        <w:t>студентка 1-го курсу магістратури</w:t>
      </w:r>
      <w:r w:rsidR="00AE57E7"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факультету журналістики</w:t>
      </w:r>
    </w:p>
    <w:p w14:paraId="6B2D497B" w14:textId="526226A7" w:rsidR="00AE57E7" w:rsidRPr="00511005" w:rsidRDefault="007B2628" w:rsidP="003A292D">
      <w:pPr>
        <w:spacing w:line="264" w:lineRule="auto"/>
        <w:ind w:right="-141" w:firstLine="0"/>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p>
    <w:p w14:paraId="1A71BA20" w14:textId="77777777" w:rsidR="009008A5" w:rsidRPr="00511005" w:rsidRDefault="009008A5" w:rsidP="003A292D">
      <w:pPr>
        <w:spacing w:line="264" w:lineRule="auto"/>
        <w:ind w:right="-141" w:firstLine="0"/>
        <w:jc w:val="center"/>
        <w:rPr>
          <w:rFonts w:ascii="Arial" w:eastAsia="Times New Roman" w:hAnsi="Arial" w:cs="Arial"/>
          <w:szCs w:val="28"/>
          <w:lang w:eastAsia="ru-RU"/>
        </w:rPr>
      </w:pPr>
    </w:p>
    <w:p w14:paraId="4368E14E" w14:textId="77777777" w:rsidR="00AE57E7" w:rsidRPr="00511005" w:rsidRDefault="00AE57E7" w:rsidP="003A292D">
      <w:pPr>
        <w:spacing w:line="264" w:lineRule="auto"/>
        <w:ind w:right="-141" w:firstLine="0"/>
        <w:jc w:val="center"/>
        <w:rPr>
          <w:rFonts w:ascii="Arial" w:eastAsia="Times New Roman" w:hAnsi="Arial" w:cs="Arial"/>
          <w:szCs w:val="28"/>
          <w:lang w:eastAsia="ru-RU"/>
        </w:rPr>
      </w:pPr>
      <w:r w:rsidRPr="00511005">
        <w:rPr>
          <w:rFonts w:ascii="Arial" w:eastAsia="Times New Roman" w:hAnsi="Arial" w:cs="Arial"/>
          <w:b/>
          <w:szCs w:val="28"/>
          <w:lang w:val="uk-UA" w:eastAsia="ru-RU"/>
        </w:rPr>
        <w:t>ЄВРОПЕЙСЬКІ СТАНДАРТИ СВОБОДИ СЛОВА: ВПЛИВ НА МЕДІА</w:t>
      </w:r>
    </w:p>
    <w:p w14:paraId="237A78BB" w14:textId="77777777" w:rsidR="00AE57E7" w:rsidRPr="00511005" w:rsidRDefault="00AE57E7" w:rsidP="00901EF1">
      <w:pPr>
        <w:spacing w:line="264" w:lineRule="auto"/>
        <w:ind w:right="-141"/>
        <w:rPr>
          <w:rFonts w:ascii="Arial" w:eastAsia="Times New Roman" w:hAnsi="Arial" w:cs="Arial"/>
          <w:szCs w:val="28"/>
          <w:lang w:eastAsia="ru-RU"/>
        </w:rPr>
      </w:pPr>
      <w:r w:rsidRPr="00511005">
        <w:rPr>
          <w:rFonts w:ascii="Arial" w:eastAsia="Times New Roman" w:hAnsi="Arial" w:cs="Arial"/>
          <w:szCs w:val="28"/>
          <w:lang w:val="uk-UA" w:eastAsia="ru-RU"/>
        </w:rPr>
        <w:t xml:space="preserve">Європейські стандарти свободи слова стають важливим орієнтиром для національних медіа в умовах зростаючої міжнародної інтеграції. Основними документами, що регулюють свободу слова, є Європейська конвенція про захист прав людини і основоположних свобод та Хартія основних прав Європейського Союзу </w:t>
      </w:r>
      <w:r w:rsidRPr="00511005">
        <w:rPr>
          <w:rFonts w:ascii="Arial" w:eastAsia="Times New Roman" w:hAnsi="Arial" w:cs="Arial"/>
          <w:szCs w:val="28"/>
          <w:lang w:eastAsia="ru-RU"/>
        </w:rPr>
        <w:t>[2]</w:t>
      </w:r>
      <w:r w:rsidRPr="00511005">
        <w:rPr>
          <w:rFonts w:ascii="Arial" w:eastAsia="Times New Roman" w:hAnsi="Arial" w:cs="Arial"/>
          <w:szCs w:val="28"/>
          <w:lang w:val="uk-UA" w:eastAsia="ru-RU"/>
        </w:rPr>
        <w:t xml:space="preserve">. Наприклад, стаття 10 Європейської конвенції визначає свободу вираження поглядів як фундаментальне право, що включає свободу отримання та поширення інформації. Цей документ </w:t>
      </w:r>
      <w:r w:rsidRPr="00511005">
        <w:rPr>
          <w:rFonts w:ascii="Arial" w:eastAsia="Times New Roman" w:hAnsi="Arial" w:cs="Arial"/>
          <w:szCs w:val="28"/>
          <w:lang w:val="uk-UA" w:eastAsia="ru-RU"/>
        </w:rPr>
        <w:lastRenderedPageBreak/>
        <w:t>встановлює стандарти, які зобов’язують держави забезпечувати право громадян на доступ до інформації та вільне вираження думок.</w:t>
      </w:r>
    </w:p>
    <w:p w14:paraId="2C766604" w14:textId="77777777" w:rsidR="00AE57E7"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Перевага імплементації європейських стандартів полягає у зміцненні правових гарантій для журналістів і медіа, що сприяє зменшенню рівня цензури та підвищенню прозорості медійної діяльності. Однак для України, як і для інших країн із перехідною економікою, імплементація цих стандартів є складним процесом. Основними викликами є обмежене фінансування медіа, їх залежність від політичних та комерційних структур, а також вплив олігархічних структур, що обмежують об'єктивність інформаційного контенту. Для ефективної реалізації європейських норм необхідно адаптувати національне законодавство та розвивати інституційну базу. У багатьох європейських країнах існують незалежні регуляторні органи, які контролюють виконання стандартів свободи слова та захищають права журналістів. В Україні ці інституції ще формуються, і їх діяльність часто залежить від політичної ситуації в країні.</w:t>
      </w:r>
    </w:p>
    <w:p w14:paraId="55347740" w14:textId="77777777" w:rsidR="00AE57E7" w:rsidRPr="00511005" w:rsidRDefault="00AE57E7" w:rsidP="00901EF1">
      <w:pPr>
        <w:spacing w:line="264" w:lineRule="auto"/>
        <w:ind w:right="-141"/>
        <w:rPr>
          <w:rFonts w:ascii="Arial" w:eastAsia="Times New Roman" w:hAnsi="Arial" w:cs="Arial"/>
          <w:szCs w:val="28"/>
          <w:lang w:eastAsia="ru-RU"/>
        </w:rPr>
      </w:pPr>
      <w:r w:rsidRPr="00511005">
        <w:rPr>
          <w:rFonts w:ascii="Arial" w:eastAsia="Times New Roman" w:hAnsi="Arial" w:cs="Arial"/>
          <w:szCs w:val="28"/>
          <w:lang w:val="uk-UA" w:eastAsia="ru-RU"/>
        </w:rPr>
        <w:t>Важливу роль у захисті свободи слова відіграють міжнародні організації, такі як Європейська федерація журналістів (EFJ) та «Репортери без кордонів», що здійснюють моніторинг стану свободи слова, захищають журналістів від переслідувань та надають рекомендації щодо зміцнення незалежності медіа. Українські журналісти, особливо ті, що працюють у складних умовах війни, потребують такої підтримки, яка стає для них вагомим захистом прав у непростій політичній ситуації [4].</w:t>
      </w:r>
    </w:p>
    <w:p w14:paraId="58CFBD3F" w14:textId="77777777" w:rsidR="00AE57E7"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Інтеграція європейських стандартів свободи слова також сприяє підвищенню стандартів журналістської етики. Кодекси етики, що активно застосовуються в країнах ЄС, забезпечують об’єктивність матеріалів та запобігають поширенню неправдивої інформації. Подібні принципи поступово впроваджуються і в Україні, сприяючи поліпшенню якості журналістської діяльності та незалежності національних медіа [6].</w:t>
      </w:r>
    </w:p>
    <w:p w14:paraId="349C026A" w14:textId="17FE0EDB" w:rsidR="00AE57E7"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У контексті цифрової трансформації одним із ключових викликів для національних медіа є боротьба з дезінформацією, забезпечення достовірності інформації та підвищення медіаграмотності аудиторії. Європейські нормативні акти, зокрема Директива про аудіовізуальні медіапослуги, встановлюють правила захисту інформаційного простору від зовнішніх впливів, орієнтуючись на протидію фейковим новинам та пропаганді </w:t>
      </w:r>
      <w:r w:rsidRPr="00511005">
        <w:rPr>
          <w:rFonts w:ascii="Arial" w:eastAsia="Times New Roman" w:hAnsi="Arial" w:cs="Arial"/>
          <w:szCs w:val="28"/>
          <w:lang w:eastAsia="ru-RU"/>
        </w:rPr>
        <w:t>[1]</w:t>
      </w:r>
      <w:r w:rsidRPr="00511005">
        <w:rPr>
          <w:rFonts w:ascii="Arial" w:eastAsia="Times New Roman" w:hAnsi="Arial" w:cs="Arial"/>
          <w:szCs w:val="28"/>
          <w:lang w:val="uk-UA" w:eastAsia="ru-RU"/>
        </w:rPr>
        <w:t>. Це також сприяє розвитку навчальних ініціатив для громадян і підтримує критичне мислення. Європейська практика включає створення незалежних фактчекінгових організацій, таких як EUvsDisinfo, що займаються виявленням дезінформації [3]. В Україні подібні ініціативи активно розвиваються і підтримуються громадськими організаціями, такими як StopFake та Інститут масової інформації, що є важливим кроком для збереження інформаційної безпеки в умовах сучасних викликів [5][7].</w:t>
      </w:r>
    </w:p>
    <w:p w14:paraId="088CA800" w14:textId="77777777" w:rsidR="009008A5" w:rsidRPr="00511005" w:rsidRDefault="009008A5" w:rsidP="00901EF1">
      <w:pPr>
        <w:spacing w:line="264" w:lineRule="auto"/>
        <w:ind w:right="-141"/>
        <w:rPr>
          <w:rFonts w:ascii="Arial" w:eastAsia="Times New Roman" w:hAnsi="Arial" w:cs="Arial"/>
          <w:szCs w:val="28"/>
          <w:lang w:val="uk-UA" w:eastAsia="ru-RU"/>
        </w:rPr>
      </w:pPr>
    </w:p>
    <w:p w14:paraId="60155EE5" w14:textId="7559C622" w:rsidR="00AE57E7" w:rsidRPr="00511005" w:rsidRDefault="007B2628" w:rsidP="007B2628">
      <w:pPr>
        <w:spacing w:line="264" w:lineRule="auto"/>
        <w:ind w:right="-141" w:firstLine="0"/>
        <w:jc w:val="center"/>
        <w:rPr>
          <w:rFonts w:ascii="Arial" w:eastAsia="Times New Roman" w:hAnsi="Arial" w:cs="Arial"/>
          <w:szCs w:val="28"/>
          <w:lang w:eastAsia="ru-RU"/>
        </w:rPr>
      </w:pPr>
      <w:r w:rsidRPr="00511005">
        <w:rPr>
          <w:rFonts w:ascii="Arial" w:eastAsia="Times New Roman" w:hAnsi="Arial" w:cs="Arial"/>
          <w:b/>
          <w:szCs w:val="28"/>
          <w:lang w:val="uk-UA" w:eastAsia="ru-RU"/>
        </w:rPr>
        <w:lastRenderedPageBreak/>
        <w:t>Список використаних джерел</w:t>
      </w:r>
      <w:r w:rsidR="00AE57E7" w:rsidRPr="00511005">
        <w:rPr>
          <w:rFonts w:ascii="Arial" w:eastAsia="Times New Roman" w:hAnsi="Arial" w:cs="Arial"/>
          <w:b/>
          <w:szCs w:val="28"/>
          <w:lang w:val="uk-UA" w:eastAsia="ru-RU"/>
        </w:rPr>
        <w:t xml:space="preserve"> </w:t>
      </w:r>
    </w:p>
    <w:p w14:paraId="2EE64E7C" w14:textId="5C7297C4" w:rsidR="00AE57E7" w:rsidRPr="00511005" w:rsidRDefault="00AE57E7" w:rsidP="003A292D">
      <w:pPr>
        <w:spacing w:line="264" w:lineRule="auto"/>
        <w:ind w:right="-141" w:firstLine="0"/>
        <w:rPr>
          <w:rFonts w:ascii="Arial" w:eastAsia="Times New Roman" w:hAnsi="Arial" w:cs="Arial"/>
          <w:szCs w:val="28"/>
          <w:lang w:eastAsia="ru-RU"/>
        </w:rPr>
      </w:pPr>
      <w:r w:rsidRPr="00511005">
        <w:rPr>
          <w:rFonts w:ascii="Arial" w:eastAsia="Times New Roman" w:hAnsi="Arial" w:cs="Arial"/>
          <w:szCs w:val="28"/>
          <w:lang w:val="uk-UA" w:eastAsia="ru-RU"/>
        </w:rPr>
        <w:t xml:space="preserve">1. Директива ЄС про аудіовізуальні медіапослуги: офіційний документ. URL: </w:t>
      </w:r>
      <w:hyperlink r:id="rId2631">
        <w:r w:rsidRPr="00511005">
          <w:rPr>
            <w:rFonts w:ascii="Arial" w:eastAsia="Times New Roman" w:hAnsi="Arial" w:cs="Arial"/>
            <w:szCs w:val="28"/>
            <w:lang w:val="uk-UA" w:eastAsia="ru-RU"/>
          </w:rPr>
          <w:t>https://eur-lex.europa.eu/eli/dir/2018/1808/oj</w:t>
        </w:r>
      </w:hyperlink>
      <w:r w:rsidRPr="00511005">
        <w:rPr>
          <w:rFonts w:ascii="Arial" w:eastAsia="Times New Roman" w:hAnsi="Arial" w:cs="Arial"/>
          <w:szCs w:val="28"/>
          <w:lang w:val="uk-UA" w:eastAsia="ru-RU"/>
        </w:rPr>
        <w:t xml:space="preserve"> (дата звернення: 21.02.2024).</w:t>
      </w:r>
      <w:r w:rsidR="007B2628" w:rsidRPr="00511005">
        <w:rPr>
          <w:rFonts w:ascii="Arial" w:eastAsia="Times New Roman" w:hAnsi="Arial" w:cs="Arial"/>
          <w:szCs w:val="28"/>
          <w:lang w:val="uk-UA" w:eastAsia="ru-RU"/>
        </w:rPr>
        <w:t xml:space="preserve"> </w:t>
      </w:r>
    </w:p>
    <w:p w14:paraId="545DB5F9" w14:textId="1A4E0DA1" w:rsidR="00AE57E7" w:rsidRPr="00511005" w:rsidRDefault="00AE57E7" w:rsidP="003A292D">
      <w:pPr>
        <w:spacing w:line="264" w:lineRule="auto"/>
        <w:ind w:right="-141" w:firstLine="0"/>
        <w:rPr>
          <w:rFonts w:ascii="Arial" w:eastAsia="Times New Roman" w:hAnsi="Arial" w:cs="Arial"/>
          <w:szCs w:val="28"/>
          <w:lang w:eastAsia="ru-RU"/>
        </w:rPr>
      </w:pPr>
      <w:r w:rsidRPr="00511005">
        <w:rPr>
          <w:rFonts w:ascii="Arial" w:eastAsia="Times New Roman" w:hAnsi="Arial" w:cs="Arial"/>
          <w:szCs w:val="28"/>
          <w:lang w:val="uk-UA" w:eastAsia="ru-RU"/>
        </w:rPr>
        <w:t xml:space="preserve">2. Європейська конвенція про захист прав людини і основоположних свобод: офіційний текст. URL: </w:t>
      </w:r>
      <w:hyperlink r:id="rId2632">
        <w:r w:rsidRPr="00511005">
          <w:rPr>
            <w:rFonts w:ascii="Arial" w:eastAsia="Times New Roman" w:hAnsi="Arial" w:cs="Arial"/>
            <w:szCs w:val="28"/>
            <w:lang w:val="uk-UA" w:eastAsia="ru-RU"/>
          </w:rPr>
          <w:t>https://zakon.rada.gov.ua/laws/show/995_004</w:t>
        </w:r>
      </w:hyperlink>
      <w:r w:rsidRPr="00511005">
        <w:rPr>
          <w:rFonts w:ascii="Arial" w:eastAsia="Times New Roman" w:hAnsi="Arial" w:cs="Arial"/>
          <w:szCs w:val="28"/>
          <w:lang w:val="uk-UA" w:eastAsia="ru-RU"/>
        </w:rPr>
        <w:t xml:space="preserve"> (дата звернення: 21.02.2024).</w:t>
      </w:r>
      <w:r w:rsidR="007B2628" w:rsidRPr="00511005">
        <w:rPr>
          <w:rFonts w:ascii="Arial" w:eastAsia="Times New Roman" w:hAnsi="Arial" w:cs="Arial"/>
          <w:szCs w:val="28"/>
          <w:lang w:val="uk-UA" w:eastAsia="ru-RU"/>
        </w:rPr>
        <w:t xml:space="preserve"> </w:t>
      </w:r>
    </w:p>
    <w:p w14:paraId="2A1B03E0" w14:textId="58E6A1F4" w:rsidR="00AE57E7" w:rsidRPr="00511005" w:rsidRDefault="00AE57E7" w:rsidP="003A292D">
      <w:pPr>
        <w:spacing w:line="264" w:lineRule="auto"/>
        <w:ind w:right="-141" w:firstLine="0"/>
        <w:rPr>
          <w:rFonts w:ascii="Arial" w:eastAsia="Times New Roman" w:hAnsi="Arial" w:cs="Arial"/>
          <w:szCs w:val="28"/>
          <w:lang w:eastAsia="ru-RU"/>
        </w:rPr>
      </w:pPr>
      <w:r w:rsidRPr="00511005">
        <w:rPr>
          <w:rFonts w:ascii="Arial" w:eastAsia="Times New Roman" w:hAnsi="Arial" w:cs="Arial"/>
          <w:szCs w:val="28"/>
          <w:lang w:val="uk-UA" w:eastAsia="ru-RU"/>
        </w:rPr>
        <w:t xml:space="preserve">3. Європейська ініціатива щодо протидії дезінформації: EUvsDisinfo. URL: </w:t>
      </w:r>
      <w:hyperlink r:id="rId2633">
        <w:r w:rsidRPr="00511005">
          <w:rPr>
            <w:rFonts w:ascii="Arial" w:eastAsia="Times New Roman" w:hAnsi="Arial" w:cs="Arial"/>
            <w:szCs w:val="28"/>
            <w:lang w:val="uk-UA" w:eastAsia="ru-RU"/>
          </w:rPr>
          <w:t>https://euvsdisinfo.eu</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(дата звернення: 21.02.2024).</w:t>
      </w:r>
      <w:r w:rsidR="007B2628" w:rsidRPr="00511005">
        <w:rPr>
          <w:rFonts w:ascii="Arial" w:eastAsia="Times New Roman" w:hAnsi="Arial" w:cs="Arial"/>
          <w:szCs w:val="28"/>
          <w:lang w:val="uk-UA" w:eastAsia="ru-RU"/>
        </w:rPr>
        <w:t xml:space="preserve"> </w:t>
      </w:r>
    </w:p>
    <w:p w14:paraId="697069DC" w14:textId="070D19D4" w:rsidR="00AE57E7" w:rsidRPr="00511005" w:rsidRDefault="00AE57E7" w:rsidP="003A292D">
      <w:pPr>
        <w:spacing w:line="264" w:lineRule="auto"/>
        <w:ind w:right="-141" w:firstLine="0"/>
        <w:rPr>
          <w:rFonts w:ascii="Arial" w:eastAsia="Times New Roman" w:hAnsi="Arial" w:cs="Arial"/>
          <w:szCs w:val="28"/>
          <w:lang w:eastAsia="ru-RU"/>
        </w:rPr>
      </w:pPr>
      <w:r w:rsidRPr="00511005">
        <w:rPr>
          <w:rFonts w:ascii="Arial" w:eastAsia="Times New Roman" w:hAnsi="Arial" w:cs="Arial"/>
          <w:szCs w:val="28"/>
          <w:lang w:val="uk-UA" w:eastAsia="ru-RU"/>
        </w:rPr>
        <w:t xml:space="preserve">4. Європейська федерація журналістів. URL: </w:t>
      </w:r>
      <w:hyperlink r:id="rId2634">
        <w:r w:rsidRPr="00511005">
          <w:rPr>
            <w:rFonts w:ascii="Arial" w:eastAsia="Times New Roman" w:hAnsi="Arial" w:cs="Arial"/>
            <w:szCs w:val="28"/>
            <w:lang w:val="uk-UA" w:eastAsia="ru-RU"/>
          </w:rPr>
          <w:t>https://europeanjournalists.org</w:t>
        </w:r>
      </w:hyperlink>
      <w:r w:rsidRPr="00511005">
        <w:rPr>
          <w:rFonts w:ascii="Arial" w:eastAsia="Times New Roman" w:hAnsi="Arial" w:cs="Arial"/>
          <w:szCs w:val="28"/>
          <w:lang w:val="uk-UA" w:eastAsia="ru-RU"/>
        </w:rPr>
        <w:t xml:space="preserve"> (дата звернення: 21.02.2024).</w:t>
      </w:r>
      <w:r w:rsidR="007B2628" w:rsidRPr="00511005">
        <w:rPr>
          <w:rFonts w:ascii="Arial" w:eastAsia="Times New Roman" w:hAnsi="Arial" w:cs="Arial"/>
          <w:szCs w:val="28"/>
          <w:lang w:val="uk-UA" w:eastAsia="ru-RU"/>
        </w:rPr>
        <w:t xml:space="preserve"> </w:t>
      </w:r>
    </w:p>
    <w:p w14:paraId="189A13B0" w14:textId="763BAF30" w:rsidR="00AE57E7" w:rsidRPr="00511005" w:rsidRDefault="00AE57E7" w:rsidP="003A292D">
      <w:pPr>
        <w:spacing w:line="264" w:lineRule="auto"/>
        <w:ind w:right="-141" w:firstLine="0"/>
        <w:rPr>
          <w:rFonts w:ascii="Arial" w:eastAsia="Times New Roman" w:hAnsi="Arial" w:cs="Arial"/>
          <w:szCs w:val="28"/>
          <w:lang w:eastAsia="ru-RU"/>
        </w:rPr>
      </w:pPr>
      <w:r w:rsidRPr="00511005">
        <w:rPr>
          <w:rFonts w:ascii="Arial" w:eastAsia="Times New Roman" w:hAnsi="Arial" w:cs="Arial"/>
          <w:szCs w:val="28"/>
          <w:lang w:val="uk-UA" w:eastAsia="ru-RU"/>
        </w:rPr>
        <w:t xml:space="preserve">5. Інститут масової інформації. URL: </w:t>
      </w:r>
      <w:hyperlink r:id="rId2635">
        <w:r w:rsidRPr="00511005">
          <w:rPr>
            <w:rFonts w:ascii="Arial" w:eastAsia="Times New Roman" w:hAnsi="Arial" w:cs="Arial"/>
            <w:szCs w:val="28"/>
            <w:lang w:val="uk-UA" w:eastAsia="ru-RU"/>
          </w:rPr>
          <w:t>https://imi.org.ua</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(дата звернення: 21.02.2024).</w:t>
      </w:r>
      <w:r w:rsidR="007B2628" w:rsidRPr="00511005">
        <w:rPr>
          <w:rFonts w:ascii="Arial" w:eastAsia="Times New Roman" w:hAnsi="Arial" w:cs="Arial"/>
          <w:szCs w:val="28"/>
          <w:lang w:val="uk-UA" w:eastAsia="ru-RU"/>
        </w:rPr>
        <w:t xml:space="preserve"> </w:t>
      </w:r>
    </w:p>
    <w:p w14:paraId="69F1F697" w14:textId="683DA8F9" w:rsidR="00AE57E7" w:rsidRPr="00511005" w:rsidRDefault="00AE57E7" w:rsidP="003A292D">
      <w:pPr>
        <w:spacing w:line="264" w:lineRule="auto"/>
        <w:ind w:right="-141" w:firstLine="0"/>
        <w:rPr>
          <w:rFonts w:ascii="Arial" w:eastAsia="Times New Roman" w:hAnsi="Arial" w:cs="Arial"/>
          <w:szCs w:val="28"/>
          <w:lang w:eastAsia="ru-RU"/>
        </w:rPr>
      </w:pPr>
      <w:r w:rsidRPr="00511005">
        <w:rPr>
          <w:rFonts w:ascii="Arial" w:eastAsia="Times New Roman" w:hAnsi="Arial" w:cs="Arial"/>
          <w:szCs w:val="28"/>
          <w:lang w:val="uk-UA" w:eastAsia="ru-RU"/>
        </w:rPr>
        <w:t xml:space="preserve">6. Кодекс етики українського журналіста: офіційний документ. URL: </w:t>
      </w:r>
      <w:hyperlink r:id="rId2636">
        <w:r w:rsidRPr="00511005">
          <w:rPr>
            <w:rFonts w:ascii="Arial" w:eastAsia="Times New Roman" w:hAnsi="Arial" w:cs="Arial"/>
            <w:szCs w:val="28"/>
            <w:lang w:val="uk-UA" w:eastAsia="ru-RU"/>
          </w:rPr>
          <w:t>https://cje.org.ua/ethics-codex/</w:t>
        </w:r>
      </w:hyperlink>
      <w:r w:rsidRPr="00511005">
        <w:rPr>
          <w:rFonts w:ascii="Arial" w:eastAsia="Times New Roman" w:hAnsi="Arial" w:cs="Arial"/>
          <w:szCs w:val="28"/>
          <w:lang w:val="uk-UA" w:eastAsia="ru-RU"/>
        </w:rPr>
        <w:t xml:space="preserve"> (дата звернення: 21.02.2024).</w:t>
      </w:r>
      <w:r w:rsidR="007B2628" w:rsidRPr="00511005">
        <w:rPr>
          <w:rFonts w:ascii="Arial" w:eastAsia="Times New Roman" w:hAnsi="Arial" w:cs="Arial"/>
          <w:szCs w:val="28"/>
          <w:lang w:val="uk-UA" w:eastAsia="ru-RU"/>
        </w:rPr>
        <w:t xml:space="preserve"> </w:t>
      </w:r>
    </w:p>
    <w:p w14:paraId="028DECC8" w14:textId="11FB50B1" w:rsidR="00AE57E7" w:rsidRPr="00511005" w:rsidRDefault="00AE57E7" w:rsidP="003A292D">
      <w:pPr>
        <w:spacing w:line="264" w:lineRule="auto"/>
        <w:ind w:right="-141" w:firstLine="0"/>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7. Українська ініціатива проти дезінформації: StopFake. URL: </w:t>
      </w:r>
      <w:hyperlink r:id="rId2637">
        <w:r w:rsidRPr="00511005">
          <w:rPr>
            <w:rFonts w:ascii="Arial" w:eastAsia="Times New Roman" w:hAnsi="Arial" w:cs="Arial"/>
            <w:szCs w:val="28"/>
            <w:lang w:val="uk-UA" w:eastAsia="ru-RU"/>
          </w:rPr>
          <w:t>https://stopfake.org</w:t>
        </w:r>
      </w:hyperlink>
      <w:r w:rsidR="007B2628" w:rsidRPr="00511005">
        <w:rPr>
          <w:rFonts w:ascii="Arial" w:eastAsia="Times New Roman" w:hAnsi="Arial" w:cs="Arial"/>
          <w:szCs w:val="28"/>
          <w:lang w:val="uk-UA" w:eastAsia="ru-RU"/>
        </w:rPr>
        <w:t xml:space="preserve"> </w:t>
      </w:r>
      <w:r w:rsidRPr="00511005">
        <w:rPr>
          <w:rFonts w:ascii="Arial" w:eastAsia="Times New Roman" w:hAnsi="Arial" w:cs="Arial"/>
          <w:szCs w:val="28"/>
          <w:lang w:val="uk-UA" w:eastAsia="ru-RU"/>
        </w:rPr>
        <w:t>(дата звернення: 21.02.2024).</w:t>
      </w:r>
      <w:r w:rsidR="007B2628" w:rsidRPr="00511005">
        <w:rPr>
          <w:rFonts w:ascii="Arial" w:eastAsia="Times New Roman" w:hAnsi="Arial" w:cs="Arial"/>
          <w:szCs w:val="28"/>
          <w:lang w:val="uk-UA" w:eastAsia="ru-RU"/>
        </w:rPr>
        <w:t xml:space="preserve"> </w:t>
      </w:r>
    </w:p>
    <w:p w14:paraId="19C153AE" w14:textId="77777777" w:rsidR="00AE57E7" w:rsidRPr="00511005" w:rsidRDefault="00AE57E7" w:rsidP="003A292D">
      <w:pPr>
        <w:spacing w:line="264" w:lineRule="auto"/>
        <w:ind w:right="-141" w:firstLine="0"/>
        <w:rPr>
          <w:rFonts w:ascii="Arial" w:eastAsia="Times New Roman" w:hAnsi="Arial" w:cs="Arial"/>
          <w:szCs w:val="28"/>
          <w:lang w:eastAsia="ru-RU"/>
        </w:rPr>
      </w:pPr>
    </w:p>
    <w:p w14:paraId="08CC4F33" w14:textId="77777777" w:rsidR="00901EF1" w:rsidRPr="00511005" w:rsidRDefault="00901EF1" w:rsidP="00901EF1">
      <w:pPr>
        <w:spacing w:line="264" w:lineRule="auto"/>
        <w:ind w:right="-141" w:firstLine="57"/>
        <w:rPr>
          <w:rFonts w:ascii="Arial" w:eastAsia="Times New Roman" w:hAnsi="Arial" w:cs="Arial"/>
          <w:szCs w:val="28"/>
          <w:lang w:eastAsia="ru-RU"/>
        </w:rPr>
      </w:pPr>
      <w:r w:rsidRPr="00511005">
        <w:rPr>
          <w:rFonts w:ascii="Arial" w:eastAsia="Times New Roman" w:hAnsi="Arial" w:cs="Arial"/>
          <w:b/>
          <w:bCs/>
          <w:i/>
          <w:szCs w:val="28"/>
          <w:lang w:val="uk-UA" w:eastAsia="ru-RU"/>
        </w:rPr>
        <w:t xml:space="preserve">Ключові слова: </w:t>
      </w:r>
      <w:r w:rsidRPr="00511005">
        <w:rPr>
          <w:rFonts w:ascii="Arial" w:eastAsia="Times New Roman" w:hAnsi="Arial" w:cs="Arial"/>
          <w:szCs w:val="28"/>
          <w:lang w:val="uk-UA" w:eastAsia="ru-RU"/>
        </w:rPr>
        <w:t xml:space="preserve">свобода слова, європейські стандарти, національні медіа, етика журналіста, політичний тиск, права людини. </w:t>
      </w:r>
    </w:p>
    <w:p w14:paraId="21070396" w14:textId="77777777" w:rsidR="00901EF1" w:rsidRPr="00511005" w:rsidRDefault="00901EF1" w:rsidP="00901EF1">
      <w:pPr>
        <w:spacing w:line="264" w:lineRule="auto"/>
        <w:ind w:right="-141" w:firstLine="57"/>
        <w:rPr>
          <w:rFonts w:ascii="Arial" w:eastAsia="Times New Roman" w:hAnsi="Arial" w:cs="Arial"/>
          <w:szCs w:val="28"/>
          <w:lang w:val="en-US" w:eastAsia="ru-RU"/>
        </w:rPr>
      </w:pPr>
      <w:r w:rsidRPr="00511005">
        <w:rPr>
          <w:rFonts w:ascii="Arial" w:eastAsia="Times New Roman" w:hAnsi="Arial" w:cs="Arial"/>
          <w:b/>
          <w:bCs/>
          <w:i/>
          <w:szCs w:val="28"/>
          <w:lang w:val="uk-UA" w:eastAsia="ru-RU"/>
        </w:rPr>
        <w:t xml:space="preserve">Key words: </w:t>
      </w:r>
      <w:r w:rsidRPr="00511005">
        <w:rPr>
          <w:rFonts w:ascii="Arial" w:eastAsia="Times New Roman" w:hAnsi="Arial" w:cs="Arial"/>
          <w:szCs w:val="28"/>
          <w:lang w:val="uk-UA" w:eastAsia="ru-RU"/>
        </w:rPr>
        <w:t xml:space="preserve">freedom of speech, European standards, national media, journalistic ethics, political pressure, human rights. </w:t>
      </w:r>
    </w:p>
    <w:p w14:paraId="28B3F555" w14:textId="1715C392" w:rsidR="00AE57E7" w:rsidRPr="00511005" w:rsidRDefault="007B2628" w:rsidP="00901EF1">
      <w:pPr>
        <w:spacing w:line="264" w:lineRule="auto"/>
        <w:ind w:right="-141" w:firstLine="0"/>
        <w:rPr>
          <w:rFonts w:ascii="Arial" w:eastAsia="Times New Roman" w:hAnsi="Arial" w:cs="Arial"/>
          <w:i/>
          <w:szCs w:val="28"/>
          <w:lang w:eastAsia="ru-RU"/>
        </w:rPr>
      </w:pPr>
      <w:r w:rsidRPr="00511005">
        <w:rPr>
          <w:rFonts w:ascii="Arial" w:eastAsia="Times New Roman" w:hAnsi="Arial" w:cs="Arial"/>
          <w:b/>
          <w:i/>
          <w:szCs w:val="28"/>
          <w:lang w:eastAsia="ru-RU"/>
        </w:rPr>
        <w:t xml:space="preserve">Науковий керівник: </w:t>
      </w:r>
      <w:r w:rsidR="00AE57E7" w:rsidRPr="00511005">
        <w:rPr>
          <w:rFonts w:ascii="Arial" w:eastAsia="Times New Roman" w:hAnsi="Arial" w:cs="Arial"/>
          <w:i/>
          <w:szCs w:val="28"/>
          <w:lang w:eastAsia="ru-RU"/>
        </w:rPr>
        <w:t>док. філ. наук, проф. Колкутіна В. В.</w:t>
      </w:r>
    </w:p>
    <w:p w14:paraId="7240BE51" w14:textId="38D22835" w:rsidR="001D1A08" w:rsidRPr="00511005" w:rsidRDefault="001D1A08" w:rsidP="00901EF1">
      <w:pPr>
        <w:spacing w:line="264" w:lineRule="auto"/>
        <w:ind w:right="-141" w:firstLine="0"/>
        <w:rPr>
          <w:rFonts w:ascii="Arial" w:eastAsia="Times New Roman" w:hAnsi="Arial" w:cs="Arial"/>
          <w:i/>
          <w:szCs w:val="28"/>
          <w:lang w:eastAsia="ru-RU"/>
        </w:rPr>
      </w:pPr>
    </w:p>
    <w:p w14:paraId="715D399D" w14:textId="77777777" w:rsidR="001D1A08" w:rsidRPr="00511005" w:rsidRDefault="001D1A08" w:rsidP="00901EF1">
      <w:pPr>
        <w:spacing w:line="264" w:lineRule="auto"/>
        <w:ind w:right="-141" w:firstLine="0"/>
        <w:rPr>
          <w:rFonts w:ascii="Arial" w:eastAsia="Times New Roman" w:hAnsi="Arial" w:cs="Arial"/>
          <w:i/>
          <w:szCs w:val="28"/>
          <w:lang w:eastAsia="ru-RU"/>
        </w:rPr>
      </w:pPr>
    </w:p>
    <w:p w14:paraId="5B65C534" w14:textId="77777777" w:rsidR="00AE57E7" w:rsidRPr="00511005" w:rsidRDefault="00AE57E7" w:rsidP="003A292D">
      <w:pPr>
        <w:shd w:val="clear" w:color="auto" w:fill="FFFFFF"/>
        <w:autoSpaceDE w:val="0"/>
        <w:autoSpaceDN w:val="0"/>
        <w:adjustRightInd w:val="0"/>
        <w:spacing w:line="264" w:lineRule="auto"/>
        <w:ind w:right="-141" w:firstLine="567"/>
        <w:contextualSpacing/>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Шкрабак Єлизавета Вячеславівна</w:t>
      </w:r>
    </w:p>
    <w:p w14:paraId="6A4B5127" w14:textId="1E90B444" w:rsidR="00AE57E7" w:rsidRPr="00511005" w:rsidRDefault="00536AAB" w:rsidP="003A292D">
      <w:pPr>
        <w:shd w:val="clear" w:color="auto" w:fill="FFFFFF"/>
        <w:autoSpaceDE w:val="0"/>
        <w:autoSpaceDN w:val="0"/>
        <w:adjustRightInd w:val="0"/>
        <w:spacing w:line="264" w:lineRule="auto"/>
        <w:ind w:right="-141" w:firstLine="567"/>
        <w:contextualSpacing/>
        <w:jc w:val="center"/>
        <w:rPr>
          <w:rFonts w:ascii="Arial" w:eastAsia="Times New Roman" w:hAnsi="Arial" w:cs="Arial"/>
          <w:szCs w:val="28"/>
          <w:lang w:val="uk-UA" w:eastAsia="ru-RU"/>
        </w:rPr>
      </w:pPr>
      <w:r w:rsidRPr="00511005">
        <w:rPr>
          <w:rFonts w:ascii="Arial" w:eastAsia="Times New Roman" w:hAnsi="Arial" w:cs="Arial"/>
          <w:szCs w:val="28"/>
          <w:lang w:val="uk-UA" w:eastAsia="ru-RU"/>
        </w:rPr>
        <w:t>студентка 4-го курсу факультету журналістики</w:t>
      </w:r>
      <w:r w:rsidR="00AE57E7" w:rsidRPr="00511005">
        <w:rPr>
          <w:rFonts w:ascii="Arial" w:eastAsia="Times New Roman" w:hAnsi="Arial" w:cs="Arial"/>
          <w:szCs w:val="28"/>
          <w:lang w:val="uk-UA" w:eastAsia="ru-RU"/>
        </w:rPr>
        <w:t xml:space="preserve"> </w:t>
      </w:r>
    </w:p>
    <w:p w14:paraId="66752945" w14:textId="50AFC867" w:rsidR="00AE57E7" w:rsidRPr="00511005" w:rsidRDefault="007B2628" w:rsidP="003A292D">
      <w:pPr>
        <w:shd w:val="clear" w:color="auto" w:fill="FFFFFF"/>
        <w:autoSpaceDE w:val="0"/>
        <w:autoSpaceDN w:val="0"/>
        <w:adjustRightInd w:val="0"/>
        <w:spacing w:line="264" w:lineRule="auto"/>
        <w:ind w:right="-141" w:firstLine="567"/>
        <w:contextualSpacing/>
        <w:jc w:val="center"/>
        <w:rPr>
          <w:rFonts w:ascii="Arial" w:eastAsia="Times New Roman" w:hAnsi="Arial" w:cs="Arial"/>
          <w:szCs w:val="28"/>
          <w:lang w:val="uk-UA" w:eastAsia="ru-RU"/>
        </w:rPr>
      </w:pPr>
      <w:r w:rsidRPr="00511005">
        <w:rPr>
          <w:rFonts w:ascii="Arial" w:eastAsia="Times New Roman" w:hAnsi="Arial" w:cs="Arial"/>
          <w:szCs w:val="28"/>
          <w:lang w:val="uk-UA" w:eastAsia="ru-RU"/>
        </w:rPr>
        <w:t>Національного університету «Одеська юридична академія»</w:t>
      </w:r>
      <w:r w:rsidR="00AE57E7" w:rsidRPr="00511005">
        <w:rPr>
          <w:rFonts w:ascii="Arial" w:eastAsia="Times New Roman" w:hAnsi="Arial" w:cs="Arial"/>
          <w:szCs w:val="28"/>
          <w:lang w:val="uk-UA" w:eastAsia="ru-RU"/>
        </w:rPr>
        <w:t xml:space="preserve"> </w:t>
      </w:r>
    </w:p>
    <w:p w14:paraId="37BD2FAE" w14:textId="77777777" w:rsidR="00AE57E7" w:rsidRPr="00511005" w:rsidRDefault="00AE57E7" w:rsidP="003A292D">
      <w:pPr>
        <w:spacing w:line="264" w:lineRule="auto"/>
        <w:ind w:right="-141" w:firstLine="0"/>
        <w:jc w:val="left"/>
        <w:rPr>
          <w:rFonts w:ascii="Arial" w:eastAsia="Times New Roman" w:hAnsi="Arial" w:cs="Arial"/>
          <w:szCs w:val="28"/>
          <w:lang w:eastAsia="ru-RU"/>
        </w:rPr>
      </w:pPr>
    </w:p>
    <w:p w14:paraId="79D94A5B" w14:textId="36CB47D7" w:rsidR="007B2628" w:rsidRPr="00511005" w:rsidRDefault="00AE57E7" w:rsidP="00901EF1">
      <w:pPr>
        <w:spacing w:line="264" w:lineRule="auto"/>
        <w:ind w:right="-141" w:firstLine="0"/>
        <w:jc w:val="center"/>
        <w:rPr>
          <w:rFonts w:ascii="Arial" w:eastAsia="Times New Roman" w:hAnsi="Arial" w:cs="Arial"/>
          <w:b/>
          <w:szCs w:val="28"/>
          <w:lang w:val="uk-UA" w:eastAsia="ru-RU"/>
        </w:rPr>
      </w:pPr>
      <w:r w:rsidRPr="00511005">
        <w:rPr>
          <w:rFonts w:ascii="Arial" w:eastAsia="Times New Roman" w:hAnsi="Arial" w:cs="Arial"/>
          <w:b/>
          <w:szCs w:val="28"/>
          <w:lang w:val="uk-UA" w:eastAsia="ru-RU"/>
        </w:rPr>
        <w:t>РОЛЬ ВІДЕОЛЕКЦІЙ У МУЛЬТИМЕДІЙНІЙ ПРАВОВІЙ ОСВІТІ</w:t>
      </w:r>
    </w:p>
    <w:p w14:paraId="365B3FD8" w14:textId="77777777" w:rsidR="007B2628"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Сучасне суспільство XXI століття переходить до високотехнологічної інформаційної системи, де освіченість, правова культура та комунікативна обізнаність стають ключовими для прогресивного розвитку. Сучасні підходи вимагають модернізації правової освіти, спрямованої на формування особистості, здатної до автономного функціонування в умовах великої кількості знань. Правова освіта має передавати знання, формувати цифрову, інформаційну та юридичну компетентності.</w:t>
      </w:r>
    </w:p>
    <w:p w14:paraId="38E44693" w14:textId="77777777" w:rsidR="007B2628"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Мультимедійні технології, зокрема відеолекції, є перспективним інструментом освіти, у тому числі і правової. Вони відповідають сучасним методичним моделям, інтегруються з цифровими платформами та віртуальними освітніми середовищами. Відеолекції сприяють активізації когнітивних процесів, розвитку критичного мислення, правової аргументації та мотивації до навчання. Вони дозволяють уніфікувати виклад матеріалу, </w:t>
      </w:r>
      <w:r w:rsidRPr="00511005">
        <w:rPr>
          <w:rFonts w:ascii="Arial" w:eastAsia="Times New Roman" w:hAnsi="Arial" w:cs="Arial"/>
          <w:szCs w:val="28"/>
          <w:lang w:val="uk-UA" w:eastAsia="ru-RU"/>
        </w:rPr>
        <w:lastRenderedPageBreak/>
        <w:t xml:space="preserve">охоплювати широкий спектр правових ситуацій і забезпечувати зворотний зв’язок у дистанційному чи змішаному форматі. Візуальний та текстовий матеріал у якісному поєднанні позитивно розвивають та підсилюють практичні знання здобувачів освіти. </w:t>
      </w:r>
    </w:p>
    <w:p w14:paraId="12332223" w14:textId="77777777" w:rsidR="007B2628"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Незважаючи на переваги, якість вітчизняних відеолекцій часто не відповідає стандартам наукової, методичної обґрунтованості та педагогічної доцільності. Це зумовлює потребу в розробці структурованого концептуального підходу до створення навчального відеоконтенту, що враховує сучасні освітні виклики та міждисциплінарний аналіз.</w:t>
      </w:r>
    </w:p>
    <w:p w14:paraId="0390DC4B" w14:textId="77777777" w:rsidR="007B2628"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Ефективність відеолекцій може базуватись на теорії мультимедійного навчання Річарда Мейєра, яка поєднує принципи подвійного кодування Алана Пайвіо та модель робочої пам’яті Алана Бедделі. Теорія наголошує на синхронному використанні візуальних і вербальних каналів для активізації когнітивної обробки інформації. Відеоматеріали, що апелюють до зорових і слухових каналів, сприяють до 65% ефективності засвоєння знань, розвивають комунікативні вміння та критичне осмислення. </w:t>
      </w:r>
    </w:p>
    <w:p w14:paraId="65B73EF4" w14:textId="77777777" w:rsidR="007B2628"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Відеолекції забезпечують гнучкість навчання, дозволяючи студентам самостійно обирати час і місце перегляду. Короткотривалі відео (10–20 хвилин) підвищують індивідуалізацію освітньої траєкторії. Емпіричні дослідження, зокрема проєкт «Experiences and Impacts of the Use of Video Lectures», показують, що відеолекції не поступаються очним заняттям за якістю засвоєння знань, сприяючи гнучкості та мотивації студентів, особливо тих, хто поєднує навчання з роботою. </w:t>
      </w:r>
    </w:p>
    <w:p w14:paraId="3A1E08BA" w14:textId="77777777" w:rsidR="007B2628"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Відеолекції є мультимодальними, оскільки одночасно залучають кілька різних каналів, що покращує розуміння та інтерпретацію матеріалу. Сучасні цифрові сервіси, такі як YouTube, TED-Ed, </w:t>
      </w:r>
      <w:r w:rsidRPr="00511005">
        <w:rPr>
          <w:rFonts w:ascii="Arial" w:eastAsia="Times New Roman" w:hAnsi="Arial" w:cs="Arial"/>
          <w:szCs w:val="28"/>
          <w:lang w:eastAsia="ru-RU"/>
        </w:rPr>
        <w:t>EDERA</w:t>
      </w:r>
      <w:r w:rsidRPr="00511005">
        <w:rPr>
          <w:rFonts w:ascii="Arial" w:eastAsia="Times New Roman" w:hAnsi="Arial" w:cs="Arial"/>
          <w:szCs w:val="28"/>
          <w:lang w:val="uk-UA" w:eastAsia="ru-RU"/>
        </w:rPr>
        <w:t xml:space="preserve"> чи платформи МООС, розширюють доступність правової освіти, сприяють самостійній роботі студентів і реалізації принципу відкритої науки. Анімовані презентації та авторські формати відповідають принципам сценарної педагогіки, підвищуючи ефективність навчання. </w:t>
      </w:r>
    </w:p>
    <w:p w14:paraId="47D781F7" w14:textId="77777777" w:rsidR="007B2628"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Сучасні студенти, які належать до покоління цифровізованих, потребують інтеграції відеоконтенту в правову освіту. Така адаптація підвищує ефективність освітнього процесу, забезпечує варіативність навчальних практик і сприяє додаткове формування правової свідомості. Відеолекції відповідають новим моделям обробки інформації, характерним для цифрової культури.</w:t>
      </w:r>
    </w:p>
    <w:p w14:paraId="25BE565C" w14:textId="77777777" w:rsidR="007B2628"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Використання розмовного стилю мовлення створює відчуття партнерської взаємодії, підвищуючи мотивацію студентів. Дослідження Guo та співавторів показують, що відео тривалістю до 6 хвилин утримують максимальну увагу, а емоційна виразність і швидший темп мовлення сприяють залученості. </w:t>
      </w:r>
    </w:p>
    <w:p w14:paraId="3484B6F6" w14:textId="77777777" w:rsidR="007B2628"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lastRenderedPageBreak/>
        <w:t>Відеоконтент має відповідати рівню підготовки студентів і умовам освітнього середовища. Багаторазове використання відео потребує супроводу актуальними текстовими матеріалами для збереження релевантності. Адаптація до цифрових платформ і технічних особливостей середовища підвищує дидактичний ефект.</w:t>
      </w:r>
    </w:p>
    <w:p w14:paraId="070A4F7C" w14:textId="49087DDB" w:rsidR="00EE1297" w:rsidRPr="00511005" w:rsidRDefault="00AE57E7" w:rsidP="00901EF1">
      <w:pPr>
        <w:spacing w:line="264" w:lineRule="auto"/>
        <w:ind w:right="-141"/>
        <w:rPr>
          <w:rFonts w:ascii="Arial" w:eastAsia="Times New Roman" w:hAnsi="Arial" w:cs="Arial"/>
          <w:szCs w:val="28"/>
          <w:lang w:val="uk-UA" w:eastAsia="ru-RU"/>
        </w:rPr>
      </w:pPr>
      <w:r w:rsidRPr="00511005">
        <w:rPr>
          <w:rFonts w:ascii="Arial" w:eastAsia="Times New Roman" w:hAnsi="Arial" w:cs="Arial"/>
          <w:szCs w:val="28"/>
          <w:lang w:val="uk-UA" w:eastAsia="ru-RU"/>
        </w:rPr>
        <w:t xml:space="preserve">Відеолекції є важливим інструментом мультимедійної правової освіти, що відповідає викликам інформаційного суспільства. Вони сприяють формуванню компетентностей, адаптації до цифрової культури та підвищенню доступності освіти. Ефективність відеоконтенту залежить від методологічно обґрунтованого дизайну, що враховує когнітивні, мотиваційні та технічні аспекти. У контексті кримінального права відеолекції допомагають систематизувати знання, розвивати професійні навички та готувати фахівців до правової діяльності за різними напрямками. </w:t>
      </w:r>
    </w:p>
    <w:p w14:paraId="65D10AE1" w14:textId="77777777" w:rsidR="009008A5" w:rsidRPr="00511005" w:rsidRDefault="009008A5" w:rsidP="00901EF1">
      <w:pPr>
        <w:spacing w:line="264" w:lineRule="auto"/>
        <w:ind w:right="-141"/>
        <w:rPr>
          <w:rFonts w:ascii="Arial" w:eastAsia="Times New Roman" w:hAnsi="Arial" w:cs="Arial"/>
          <w:szCs w:val="28"/>
          <w:lang w:val="uk-UA" w:eastAsia="ru-RU"/>
        </w:rPr>
      </w:pPr>
    </w:p>
    <w:p w14:paraId="2520DCD7" w14:textId="3197F65B" w:rsidR="00AE57E7" w:rsidRPr="00511005" w:rsidRDefault="007B2628" w:rsidP="007B2628">
      <w:pPr>
        <w:spacing w:line="264" w:lineRule="auto"/>
        <w:ind w:right="-141" w:firstLine="0"/>
        <w:jc w:val="center"/>
        <w:rPr>
          <w:rFonts w:ascii="Arial" w:eastAsia="Times New Roman" w:hAnsi="Arial" w:cs="Arial"/>
          <w:szCs w:val="28"/>
          <w:lang w:val="uk-UA" w:eastAsia="ru-RU"/>
        </w:rPr>
      </w:pPr>
      <w:r w:rsidRPr="00511005">
        <w:rPr>
          <w:rFonts w:ascii="Arial" w:eastAsia="Times New Roman" w:hAnsi="Arial" w:cs="Arial"/>
          <w:b/>
          <w:szCs w:val="28"/>
          <w:lang w:val="uk-UA" w:eastAsia="ru-RU"/>
        </w:rPr>
        <w:t>Список використаних джерел</w:t>
      </w:r>
      <w:r w:rsidR="00AE57E7" w:rsidRPr="00511005">
        <w:rPr>
          <w:rFonts w:ascii="Arial" w:eastAsia="Times New Roman" w:hAnsi="Arial" w:cs="Arial"/>
          <w:b/>
          <w:szCs w:val="28"/>
          <w:lang w:val="uk-UA" w:eastAsia="ru-RU"/>
        </w:rPr>
        <w:t xml:space="preserve"> </w:t>
      </w:r>
    </w:p>
    <w:p w14:paraId="78C4F327" w14:textId="77777777" w:rsidR="00AE57E7" w:rsidRPr="00511005" w:rsidRDefault="00AE57E7" w:rsidP="003F6A5D">
      <w:pPr>
        <w:numPr>
          <w:ilvl w:val="0"/>
          <w:numId w:val="748"/>
        </w:numPr>
        <w:spacing w:line="264" w:lineRule="auto"/>
        <w:ind w:left="0" w:right="-141"/>
        <w:contextualSpacing/>
        <w:jc w:val="left"/>
        <w:rPr>
          <w:rFonts w:ascii="Arial" w:eastAsia="Calibri" w:hAnsi="Arial" w:cs="Arial"/>
          <w:szCs w:val="28"/>
          <w:lang w:val="uk-UA"/>
        </w:rPr>
      </w:pPr>
      <w:r w:rsidRPr="00511005">
        <w:rPr>
          <w:rFonts w:ascii="Arial" w:eastAsia="Calibri" w:hAnsi="Arial" w:cs="Arial"/>
          <w:szCs w:val="28"/>
          <w:lang w:val="uk-UA"/>
        </w:rPr>
        <w:t xml:space="preserve">Guo P. J., Kim J., Rubin R. Інтерактивні елементи та функції контролю темпу перегляду забезпечують автономність студентів. How video production affects student engagement: An empirical study of MOOC videos. Proceedings of the first ACM conference on learning at scale conference. 2014. P. 41–50. </w:t>
      </w:r>
    </w:p>
    <w:p w14:paraId="36B11136" w14:textId="77777777" w:rsidR="00AE57E7" w:rsidRPr="00511005" w:rsidRDefault="00AE57E7" w:rsidP="003F6A5D">
      <w:pPr>
        <w:numPr>
          <w:ilvl w:val="0"/>
          <w:numId w:val="748"/>
        </w:numPr>
        <w:spacing w:line="264" w:lineRule="auto"/>
        <w:ind w:left="0" w:right="-141"/>
        <w:contextualSpacing/>
        <w:jc w:val="left"/>
        <w:rPr>
          <w:rFonts w:ascii="Arial" w:eastAsia="Calibri" w:hAnsi="Arial" w:cs="Arial"/>
          <w:szCs w:val="28"/>
          <w:lang w:val="uk-UA"/>
        </w:rPr>
      </w:pPr>
      <w:r w:rsidRPr="00511005">
        <w:rPr>
          <w:rFonts w:ascii="Arial" w:eastAsia="Calibri" w:hAnsi="Arial" w:cs="Arial"/>
          <w:szCs w:val="28"/>
          <w:lang w:val="uk-UA"/>
        </w:rPr>
        <w:t xml:space="preserve">Hakala I., Myllymäki M. Experiences and impacts of the use of video lectures. The 17th annual conference on innovation in education for electrical and information engineering, Craiova. Kokkola, 2006. URL: </w:t>
      </w:r>
      <w:hyperlink r:id="rId2638" w:tgtFrame="_blank" w:history="1">
        <w:r w:rsidRPr="00511005">
          <w:rPr>
            <w:rFonts w:ascii="Arial" w:eastAsia="Calibri" w:hAnsi="Arial" w:cs="Arial"/>
            <w:szCs w:val="28"/>
            <w:lang w:val="uk-UA"/>
          </w:rPr>
          <w:t>https://www.researchgate.net/publication/280941243_Experiences_and_Impacts_of_the_Use_of_Video_Lectures</w:t>
        </w:r>
      </w:hyperlink>
      <w:r w:rsidRPr="00511005">
        <w:rPr>
          <w:rFonts w:ascii="Arial" w:eastAsia="Calibri" w:hAnsi="Arial" w:cs="Arial"/>
          <w:szCs w:val="28"/>
          <w:lang w:val="uk-UA"/>
        </w:rPr>
        <w:t xml:space="preserve"> </w:t>
      </w:r>
    </w:p>
    <w:p w14:paraId="41EE09C7" w14:textId="77777777" w:rsidR="00AE57E7" w:rsidRPr="00511005" w:rsidRDefault="00AE57E7" w:rsidP="003F6A5D">
      <w:pPr>
        <w:numPr>
          <w:ilvl w:val="0"/>
          <w:numId w:val="748"/>
        </w:numPr>
        <w:spacing w:line="264" w:lineRule="auto"/>
        <w:ind w:left="0" w:right="-141"/>
        <w:contextualSpacing/>
        <w:jc w:val="left"/>
        <w:rPr>
          <w:rFonts w:ascii="Arial" w:eastAsia="Calibri" w:hAnsi="Arial" w:cs="Arial"/>
          <w:szCs w:val="28"/>
          <w:lang w:val="uk-UA"/>
        </w:rPr>
      </w:pPr>
      <w:r w:rsidRPr="00511005">
        <w:rPr>
          <w:rFonts w:ascii="Arial" w:eastAsia="Calibri" w:hAnsi="Arial" w:cs="Arial"/>
          <w:szCs w:val="28"/>
          <w:lang w:val="uk-UA"/>
        </w:rPr>
        <w:t xml:space="preserve">Mayer R. E. Incorporating motivation into multimedia learning. Learning and instruction. 2014. Vol. 29. P. 171. </w:t>
      </w:r>
    </w:p>
    <w:p w14:paraId="63F9E3DE" w14:textId="77777777" w:rsidR="00AE57E7" w:rsidRPr="00511005" w:rsidRDefault="00AE57E7" w:rsidP="003F6A5D">
      <w:pPr>
        <w:numPr>
          <w:ilvl w:val="0"/>
          <w:numId w:val="748"/>
        </w:numPr>
        <w:spacing w:line="264" w:lineRule="auto"/>
        <w:ind w:left="0" w:right="-141"/>
        <w:contextualSpacing/>
        <w:jc w:val="left"/>
        <w:rPr>
          <w:rFonts w:ascii="Arial" w:eastAsia="Calibri" w:hAnsi="Arial" w:cs="Arial"/>
          <w:szCs w:val="28"/>
          <w:lang w:val="uk-UA"/>
        </w:rPr>
      </w:pPr>
      <w:r w:rsidRPr="00511005">
        <w:rPr>
          <w:rFonts w:ascii="Arial" w:eastAsia="Calibri" w:hAnsi="Arial" w:cs="Arial"/>
          <w:szCs w:val="28"/>
          <w:lang w:val="uk-UA"/>
        </w:rPr>
        <w:t xml:space="preserve">Популярні платформи онлайн-курсів (MOOC). Освіта.UA. URL: </w:t>
      </w:r>
      <w:hyperlink r:id="rId2639" w:tgtFrame="_blank" w:history="1">
        <w:r w:rsidRPr="00511005">
          <w:rPr>
            <w:rFonts w:ascii="Arial" w:eastAsia="Calibri" w:hAnsi="Arial" w:cs="Arial"/>
            <w:szCs w:val="28"/>
            <w:lang w:val="uk-UA"/>
          </w:rPr>
          <w:t>https://osvita.ua/distance/blog/37601/</w:t>
        </w:r>
      </w:hyperlink>
      <w:r w:rsidRPr="00511005">
        <w:rPr>
          <w:rFonts w:ascii="Arial" w:eastAsia="Calibri" w:hAnsi="Arial" w:cs="Arial"/>
          <w:szCs w:val="28"/>
          <w:lang w:val="uk-UA"/>
        </w:rPr>
        <w:t xml:space="preserve"> (дата звернення: 14.04.2025).</w:t>
      </w:r>
    </w:p>
    <w:p w14:paraId="04A7ADEB" w14:textId="313D7B86" w:rsidR="00AE57E7" w:rsidRPr="00511005" w:rsidRDefault="007B2628" w:rsidP="003A292D">
      <w:pPr>
        <w:spacing w:line="264" w:lineRule="auto"/>
        <w:ind w:right="-141" w:firstLine="0"/>
        <w:jc w:val="left"/>
        <w:rPr>
          <w:rFonts w:ascii="Arial" w:eastAsia="Times New Roman" w:hAnsi="Arial" w:cs="Arial"/>
          <w:szCs w:val="28"/>
          <w:lang w:val="uk-UA" w:eastAsia="ru-RU"/>
        </w:rPr>
      </w:pPr>
      <w:r w:rsidRPr="00511005">
        <w:rPr>
          <w:rFonts w:ascii="Arial" w:eastAsia="Times New Roman" w:hAnsi="Arial" w:cs="Arial"/>
          <w:b/>
          <w:i/>
          <w:szCs w:val="28"/>
          <w:lang w:val="uk-UA" w:eastAsia="ru-RU"/>
        </w:rPr>
        <w:t xml:space="preserve">Ключові слова: </w:t>
      </w:r>
      <w:r w:rsidR="00AE57E7" w:rsidRPr="00511005">
        <w:rPr>
          <w:rFonts w:ascii="Arial" w:eastAsia="Times New Roman" w:hAnsi="Arial" w:cs="Arial"/>
          <w:szCs w:val="28"/>
          <w:lang w:val="uk-UA" w:eastAsia="ru-RU"/>
        </w:rPr>
        <w:t>Відеолекції, Правова освіта, Мультимедійні технології, Цифрова компетентність, Когнітивні процеси</w:t>
      </w:r>
    </w:p>
    <w:p w14:paraId="2FC7C3EC" w14:textId="243856D9" w:rsidR="00AE57E7" w:rsidRPr="00511005" w:rsidRDefault="00AE57E7" w:rsidP="003A292D">
      <w:pPr>
        <w:spacing w:line="264" w:lineRule="auto"/>
        <w:ind w:right="-141" w:firstLine="0"/>
        <w:jc w:val="left"/>
        <w:rPr>
          <w:rFonts w:ascii="Arial" w:eastAsia="Times New Roman" w:hAnsi="Arial" w:cs="Arial"/>
          <w:szCs w:val="28"/>
          <w:lang w:val="en-US" w:eastAsia="ru-RU"/>
        </w:rPr>
      </w:pPr>
      <w:r w:rsidRPr="00511005">
        <w:rPr>
          <w:rFonts w:ascii="Arial" w:eastAsia="Times New Roman" w:hAnsi="Arial" w:cs="Arial"/>
          <w:b/>
          <w:i/>
          <w:iCs/>
          <w:szCs w:val="28"/>
          <w:lang w:val="en-US" w:eastAsia="ru-RU"/>
        </w:rPr>
        <w:t>Key</w:t>
      </w:r>
      <w:r w:rsidR="009008A5" w:rsidRPr="00511005">
        <w:rPr>
          <w:rFonts w:ascii="Arial" w:eastAsia="Times New Roman" w:hAnsi="Arial" w:cs="Arial"/>
          <w:b/>
          <w:i/>
          <w:iCs/>
          <w:szCs w:val="28"/>
          <w:lang w:val="uk-UA" w:eastAsia="ru-RU"/>
        </w:rPr>
        <w:t xml:space="preserve"> </w:t>
      </w:r>
      <w:r w:rsidRPr="00511005">
        <w:rPr>
          <w:rFonts w:ascii="Arial" w:eastAsia="Times New Roman" w:hAnsi="Arial" w:cs="Arial"/>
          <w:b/>
          <w:i/>
          <w:iCs/>
          <w:szCs w:val="28"/>
          <w:lang w:val="en-US" w:eastAsia="ru-RU"/>
        </w:rPr>
        <w:t>words:</w:t>
      </w:r>
      <w:r w:rsidR="009008A5" w:rsidRPr="00511005">
        <w:rPr>
          <w:rFonts w:ascii="Arial" w:eastAsia="Times New Roman" w:hAnsi="Arial" w:cs="Arial"/>
          <w:b/>
          <w:szCs w:val="28"/>
          <w:lang w:val="uk-UA" w:eastAsia="ru-RU"/>
        </w:rPr>
        <w:t xml:space="preserve"> </w:t>
      </w:r>
      <w:r w:rsidRPr="00511005">
        <w:rPr>
          <w:rFonts w:ascii="Arial" w:eastAsia="Times New Roman" w:hAnsi="Arial" w:cs="Arial"/>
          <w:szCs w:val="28"/>
          <w:lang w:val="en-US" w:eastAsia="ru-RU"/>
        </w:rPr>
        <w:t>Video lectures, Legal education, Multimedia technologies, Digital competence, Cognitive processes</w:t>
      </w:r>
    </w:p>
    <w:p w14:paraId="1DB40D61" w14:textId="09F61CAD" w:rsidR="00AE57E7" w:rsidRPr="00511005" w:rsidRDefault="007B2628" w:rsidP="003A292D">
      <w:pPr>
        <w:spacing w:line="264" w:lineRule="auto"/>
        <w:ind w:right="-141" w:firstLine="0"/>
        <w:jc w:val="left"/>
        <w:rPr>
          <w:rFonts w:ascii="Arial" w:eastAsia="Times New Roman" w:hAnsi="Arial" w:cs="Arial"/>
          <w:iCs/>
          <w:szCs w:val="28"/>
          <w:lang w:val="uk-UA" w:eastAsia="ru-RU"/>
        </w:rPr>
      </w:pPr>
      <w:r w:rsidRPr="00511005">
        <w:rPr>
          <w:rFonts w:ascii="Arial" w:eastAsia="Times New Roman" w:hAnsi="Arial" w:cs="Arial"/>
          <w:b/>
          <w:i/>
          <w:szCs w:val="28"/>
          <w:lang w:eastAsia="ru-RU"/>
        </w:rPr>
        <w:t xml:space="preserve">Науковий керівник: </w:t>
      </w:r>
      <w:r w:rsidR="00AE57E7" w:rsidRPr="00511005">
        <w:rPr>
          <w:rFonts w:ascii="Arial" w:eastAsia="Times New Roman" w:hAnsi="Arial" w:cs="Arial"/>
          <w:iCs/>
          <w:szCs w:val="28"/>
          <w:lang w:eastAsia="ru-RU"/>
        </w:rPr>
        <w:t>д</w:t>
      </w:r>
      <w:r w:rsidR="009008A5" w:rsidRPr="00511005">
        <w:rPr>
          <w:rFonts w:ascii="Arial" w:eastAsia="Times New Roman" w:hAnsi="Arial" w:cs="Arial"/>
          <w:iCs/>
          <w:szCs w:val="28"/>
          <w:lang w:val="uk-UA" w:eastAsia="ru-RU"/>
        </w:rPr>
        <w:t>.</w:t>
      </w:r>
      <w:r w:rsidR="00AE57E7" w:rsidRPr="00511005">
        <w:rPr>
          <w:rFonts w:ascii="Arial" w:eastAsia="Times New Roman" w:hAnsi="Arial" w:cs="Arial"/>
          <w:iCs/>
          <w:szCs w:val="28"/>
          <w:lang w:eastAsia="ru-RU"/>
        </w:rPr>
        <w:t xml:space="preserve"> н</w:t>
      </w:r>
      <w:r w:rsidR="009008A5" w:rsidRPr="00511005">
        <w:rPr>
          <w:rFonts w:ascii="Arial" w:eastAsia="Times New Roman" w:hAnsi="Arial" w:cs="Arial"/>
          <w:iCs/>
          <w:szCs w:val="28"/>
          <w:lang w:val="uk-UA" w:eastAsia="ru-RU"/>
        </w:rPr>
        <w:t>.</w:t>
      </w:r>
      <w:r w:rsidR="00AE57E7" w:rsidRPr="00511005">
        <w:rPr>
          <w:rFonts w:ascii="Arial" w:eastAsia="Times New Roman" w:hAnsi="Arial" w:cs="Arial"/>
          <w:iCs/>
          <w:szCs w:val="28"/>
          <w:lang w:eastAsia="ru-RU"/>
        </w:rPr>
        <w:t xml:space="preserve"> з публ. управління, професор Маляренко Т</w:t>
      </w:r>
      <w:r w:rsidR="009008A5" w:rsidRPr="00511005">
        <w:rPr>
          <w:rFonts w:ascii="Arial" w:eastAsia="Times New Roman" w:hAnsi="Arial" w:cs="Arial"/>
          <w:iCs/>
          <w:szCs w:val="28"/>
          <w:lang w:val="uk-UA" w:eastAsia="ru-RU"/>
        </w:rPr>
        <w:t>.</w:t>
      </w:r>
      <w:r w:rsidR="00AE57E7" w:rsidRPr="00511005">
        <w:rPr>
          <w:rFonts w:ascii="Arial" w:eastAsia="Times New Roman" w:hAnsi="Arial" w:cs="Arial"/>
          <w:iCs/>
          <w:szCs w:val="28"/>
          <w:lang w:eastAsia="ru-RU"/>
        </w:rPr>
        <w:t xml:space="preserve"> А</w:t>
      </w:r>
      <w:r w:rsidR="009008A5" w:rsidRPr="00511005">
        <w:rPr>
          <w:rFonts w:ascii="Arial" w:eastAsia="Times New Roman" w:hAnsi="Arial" w:cs="Arial"/>
          <w:iCs/>
          <w:szCs w:val="28"/>
          <w:lang w:val="uk-UA" w:eastAsia="ru-RU"/>
        </w:rPr>
        <w:t>.</w:t>
      </w:r>
    </w:p>
    <w:p w14:paraId="1F34FCBA" w14:textId="4ED033F3" w:rsidR="00B54D94" w:rsidRPr="00511005" w:rsidRDefault="00B54D94" w:rsidP="00B54D94">
      <w:pPr>
        <w:rPr>
          <w:rFonts w:ascii="Arial" w:hAnsi="Arial" w:cs="Arial"/>
          <w:szCs w:val="28"/>
          <w:lang w:val="uk-UA"/>
        </w:rPr>
      </w:pPr>
    </w:p>
    <w:p w14:paraId="2465DCF4" w14:textId="67E89E24" w:rsidR="00B54D94" w:rsidRDefault="00B54D94" w:rsidP="00B54D94">
      <w:pPr>
        <w:jc w:val="center"/>
        <w:rPr>
          <w:rFonts w:ascii="Arial" w:hAnsi="Arial" w:cs="Arial"/>
          <w:szCs w:val="28"/>
          <w:lang w:val="uk-UA"/>
        </w:rPr>
      </w:pPr>
    </w:p>
    <w:p w14:paraId="6207C283" w14:textId="5EBE1798" w:rsidR="00055389" w:rsidRDefault="00055389" w:rsidP="00B54D94">
      <w:pPr>
        <w:jc w:val="center"/>
        <w:rPr>
          <w:rFonts w:ascii="Arial" w:hAnsi="Arial" w:cs="Arial"/>
          <w:szCs w:val="28"/>
          <w:lang w:val="uk-UA"/>
        </w:rPr>
      </w:pPr>
    </w:p>
    <w:p w14:paraId="3D9C13A9" w14:textId="27AB1463" w:rsidR="00055389" w:rsidRDefault="00055389" w:rsidP="00B54D94">
      <w:pPr>
        <w:jc w:val="center"/>
        <w:rPr>
          <w:rFonts w:ascii="Arial" w:hAnsi="Arial" w:cs="Arial"/>
          <w:szCs w:val="28"/>
          <w:lang w:val="uk-UA"/>
        </w:rPr>
      </w:pPr>
    </w:p>
    <w:p w14:paraId="6939D335" w14:textId="6A688FC3" w:rsidR="00055389" w:rsidRDefault="00055389" w:rsidP="00B54D94">
      <w:pPr>
        <w:jc w:val="center"/>
        <w:rPr>
          <w:rFonts w:ascii="Arial" w:hAnsi="Arial" w:cs="Arial"/>
          <w:szCs w:val="28"/>
          <w:lang w:val="uk-UA"/>
        </w:rPr>
      </w:pPr>
    </w:p>
    <w:p w14:paraId="4860212D" w14:textId="2AE5A66C" w:rsidR="00055389" w:rsidRDefault="00055389" w:rsidP="00B54D94">
      <w:pPr>
        <w:jc w:val="center"/>
        <w:rPr>
          <w:rFonts w:ascii="Arial" w:hAnsi="Arial" w:cs="Arial"/>
          <w:szCs w:val="28"/>
          <w:lang w:val="uk-UA"/>
        </w:rPr>
      </w:pPr>
    </w:p>
    <w:p w14:paraId="472E465D" w14:textId="554E426A" w:rsidR="00055389" w:rsidRDefault="00055389" w:rsidP="00B54D94">
      <w:pPr>
        <w:jc w:val="center"/>
        <w:rPr>
          <w:rFonts w:ascii="Arial" w:hAnsi="Arial" w:cs="Arial"/>
          <w:szCs w:val="28"/>
          <w:lang w:val="uk-UA"/>
        </w:rPr>
      </w:pPr>
    </w:p>
    <w:p w14:paraId="374AE9C1" w14:textId="77777777" w:rsidR="00055389" w:rsidRDefault="00055389" w:rsidP="00055389">
      <w:pPr>
        <w:keepNext/>
        <w:suppressAutoHyphens/>
        <w:spacing w:line="240" w:lineRule="auto"/>
        <w:ind w:firstLine="0"/>
        <w:jc w:val="center"/>
        <w:rPr>
          <w:rFonts w:ascii="Arial" w:eastAsia="NSimSun" w:hAnsi="Arial" w:cs="Arial"/>
          <w:kern w:val="2"/>
          <w:sz w:val="22"/>
          <w:lang w:val="uk-UA" w:eastAsia="zh-CN" w:bidi="hi-IN"/>
        </w:rPr>
      </w:pPr>
      <w:r>
        <w:rPr>
          <w:rFonts w:ascii="Arial" w:eastAsia="NSimSun" w:hAnsi="Arial" w:cs="Arial"/>
          <w:kern w:val="2"/>
          <w:sz w:val="22"/>
          <w:lang w:val="uk-UA" w:eastAsia="zh-CN" w:bidi="hi-IN"/>
        </w:rPr>
        <w:lastRenderedPageBreak/>
        <w:t>Наукове видання</w:t>
      </w:r>
    </w:p>
    <w:p w14:paraId="4FF66EEC" w14:textId="77777777" w:rsidR="00055389" w:rsidRDefault="00055389" w:rsidP="00055389">
      <w:pPr>
        <w:keepNext/>
        <w:suppressAutoHyphens/>
        <w:spacing w:line="240" w:lineRule="auto"/>
        <w:ind w:firstLine="5245"/>
        <w:jc w:val="right"/>
        <w:rPr>
          <w:rFonts w:ascii="Arial" w:eastAsia="NSimSun" w:hAnsi="Arial" w:cs="Arial"/>
          <w:kern w:val="2"/>
          <w:sz w:val="22"/>
          <w:lang w:val="uk-UA" w:eastAsia="zh-CN" w:bidi="hi-IN"/>
        </w:rPr>
      </w:pPr>
    </w:p>
    <w:p w14:paraId="3C0A3D75" w14:textId="77777777" w:rsidR="00055389" w:rsidRDefault="00055389" w:rsidP="00055389">
      <w:pPr>
        <w:keepNext/>
        <w:suppressAutoHyphens/>
        <w:spacing w:line="240" w:lineRule="auto"/>
        <w:ind w:firstLine="5245"/>
        <w:jc w:val="right"/>
        <w:rPr>
          <w:rFonts w:ascii="Arial" w:eastAsia="NSimSun" w:hAnsi="Arial" w:cs="Arial"/>
          <w:kern w:val="2"/>
          <w:sz w:val="22"/>
          <w:lang w:val="uk-UA" w:eastAsia="zh-CN" w:bidi="hi-IN"/>
        </w:rPr>
      </w:pPr>
    </w:p>
    <w:p w14:paraId="6FE496A8" w14:textId="77777777" w:rsidR="00055389" w:rsidRPr="00CB120A" w:rsidRDefault="00055389" w:rsidP="00055389">
      <w:pPr>
        <w:keepNext/>
        <w:suppressAutoHyphens/>
        <w:spacing w:line="240" w:lineRule="auto"/>
        <w:ind w:firstLine="5245"/>
        <w:jc w:val="right"/>
        <w:rPr>
          <w:rFonts w:ascii="Arial" w:eastAsia="NSimSun" w:hAnsi="Arial" w:cs="Arial"/>
          <w:kern w:val="2"/>
          <w:sz w:val="22"/>
          <w:lang w:val="uk-UA" w:eastAsia="zh-CN" w:bidi="hi-IN"/>
        </w:rPr>
      </w:pPr>
    </w:p>
    <w:p w14:paraId="2F748D1D"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p w14:paraId="25566289" w14:textId="77777777" w:rsidR="00055389" w:rsidRPr="0045553B" w:rsidRDefault="00055389" w:rsidP="00055389">
      <w:pPr>
        <w:keepNext/>
        <w:suppressAutoHyphens/>
        <w:ind w:firstLine="0"/>
        <w:jc w:val="center"/>
        <w:rPr>
          <w:rFonts w:ascii="Arial" w:eastAsia="NSimSun" w:hAnsi="Arial" w:cs="Arial"/>
          <w:b/>
          <w:kern w:val="2"/>
          <w:sz w:val="32"/>
          <w:szCs w:val="32"/>
          <w:lang w:val="uk-UA" w:eastAsia="zh-CN" w:bidi="hi-IN"/>
        </w:rPr>
      </w:pPr>
      <w:r w:rsidRPr="0045553B">
        <w:rPr>
          <w:rFonts w:ascii="Arial" w:eastAsia="NSimSun" w:hAnsi="Arial" w:cs="Arial"/>
          <w:b/>
          <w:kern w:val="2"/>
          <w:sz w:val="32"/>
          <w:szCs w:val="32"/>
          <w:lang w:val="uk-UA" w:eastAsia="zh-CN" w:bidi="hi-IN"/>
        </w:rPr>
        <w:t xml:space="preserve">СУСПІЛЬСТВО ТА ДЕРЖАВА: </w:t>
      </w:r>
    </w:p>
    <w:p w14:paraId="7E0EE2CE" w14:textId="77777777" w:rsidR="00055389" w:rsidRPr="0045553B" w:rsidRDefault="00055389" w:rsidP="00055389">
      <w:pPr>
        <w:keepNext/>
        <w:suppressAutoHyphens/>
        <w:ind w:firstLine="0"/>
        <w:jc w:val="center"/>
        <w:rPr>
          <w:rFonts w:ascii="Arial" w:eastAsia="NSimSun" w:hAnsi="Arial" w:cs="Arial"/>
          <w:b/>
          <w:kern w:val="2"/>
          <w:sz w:val="32"/>
          <w:szCs w:val="32"/>
          <w:lang w:val="uk-UA" w:eastAsia="zh-CN" w:bidi="hi-IN"/>
        </w:rPr>
      </w:pPr>
      <w:r w:rsidRPr="0045553B">
        <w:rPr>
          <w:rFonts w:ascii="Arial" w:eastAsia="NSimSun" w:hAnsi="Arial" w:cs="Arial"/>
          <w:b/>
          <w:kern w:val="2"/>
          <w:sz w:val="32"/>
          <w:szCs w:val="32"/>
          <w:lang w:val="uk-UA" w:eastAsia="zh-CN" w:bidi="hi-IN"/>
        </w:rPr>
        <w:t xml:space="preserve">НОВІ ВИМІРИ У ВОЄННИЙ ЧАС </w:t>
      </w:r>
    </w:p>
    <w:p w14:paraId="1C1FEC27" w14:textId="77777777" w:rsidR="00055389" w:rsidRPr="00511005" w:rsidRDefault="00055389" w:rsidP="00055389">
      <w:pPr>
        <w:keepNext/>
        <w:suppressAutoHyphens/>
        <w:ind w:firstLine="0"/>
        <w:jc w:val="center"/>
        <w:rPr>
          <w:rFonts w:ascii="Arial" w:eastAsia="NSimSun" w:hAnsi="Arial" w:cs="Arial"/>
          <w:b/>
          <w:kern w:val="2"/>
          <w:szCs w:val="28"/>
          <w:lang w:val="uk-UA" w:eastAsia="zh-CN" w:bidi="hi-IN"/>
        </w:rPr>
      </w:pPr>
    </w:p>
    <w:p w14:paraId="0FB35CA0" w14:textId="77777777" w:rsidR="00055389" w:rsidRPr="0045553B" w:rsidRDefault="00055389" w:rsidP="00055389">
      <w:pPr>
        <w:keepNext/>
        <w:suppressAutoHyphens/>
        <w:spacing w:line="276" w:lineRule="auto"/>
        <w:ind w:firstLine="0"/>
        <w:jc w:val="center"/>
        <w:rPr>
          <w:rFonts w:ascii="Arial" w:eastAsia="NSimSun" w:hAnsi="Arial" w:cs="Arial"/>
          <w:kern w:val="2"/>
          <w:sz w:val="24"/>
          <w:szCs w:val="24"/>
          <w:lang w:val="uk-UA" w:eastAsia="zh-CN" w:bidi="hi-IN"/>
        </w:rPr>
      </w:pPr>
      <w:r w:rsidRPr="0045553B">
        <w:rPr>
          <w:rFonts w:ascii="Arial" w:eastAsia="NSimSun" w:hAnsi="Arial" w:cs="Arial"/>
          <w:kern w:val="2"/>
          <w:sz w:val="24"/>
          <w:szCs w:val="24"/>
          <w:lang w:val="uk-UA" w:eastAsia="zh-CN" w:bidi="hi-IN"/>
        </w:rPr>
        <w:t>МАТЕРІАЛИ</w:t>
      </w:r>
    </w:p>
    <w:p w14:paraId="6EF53266" w14:textId="77777777" w:rsidR="00055389" w:rsidRPr="0045553B" w:rsidRDefault="00055389" w:rsidP="00055389">
      <w:pPr>
        <w:keepNext/>
        <w:suppressAutoHyphens/>
        <w:spacing w:line="276" w:lineRule="auto"/>
        <w:ind w:firstLine="0"/>
        <w:jc w:val="center"/>
        <w:rPr>
          <w:rFonts w:ascii="Arial" w:eastAsia="NSimSun" w:hAnsi="Arial" w:cs="Arial"/>
          <w:kern w:val="2"/>
          <w:sz w:val="24"/>
          <w:szCs w:val="24"/>
          <w:lang w:val="uk-UA" w:eastAsia="zh-CN" w:bidi="hi-IN"/>
        </w:rPr>
      </w:pPr>
      <w:r w:rsidRPr="0045553B">
        <w:rPr>
          <w:rFonts w:ascii="Arial" w:eastAsia="NSimSun" w:hAnsi="Arial" w:cs="Arial"/>
          <w:kern w:val="2"/>
          <w:sz w:val="24"/>
          <w:szCs w:val="24"/>
          <w:lang w:val="uk-UA" w:eastAsia="zh-CN" w:bidi="hi-IN"/>
        </w:rPr>
        <w:t xml:space="preserve">Всеукраїнської науково-практичної конференції </w:t>
      </w:r>
      <w:r w:rsidRPr="0045553B">
        <w:rPr>
          <w:rFonts w:ascii="Arial" w:eastAsia="NSimSun" w:hAnsi="Arial" w:cs="Arial"/>
          <w:kern w:val="2"/>
          <w:sz w:val="24"/>
          <w:szCs w:val="24"/>
          <w:lang w:val="uk-UA" w:eastAsia="zh-CN" w:bidi="hi-IN"/>
        </w:rPr>
        <w:br/>
        <w:t>здобувачів вищої освіти</w:t>
      </w:r>
    </w:p>
    <w:p w14:paraId="4F9B6FCF" w14:textId="77777777" w:rsidR="00055389" w:rsidRPr="0045553B" w:rsidRDefault="00055389" w:rsidP="00055389">
      <w:pPr>
        <w:keepNext/>
        <w:suppressAutoHyphens/>
        <w:ind w:firstLine="0"/>
        <w:jc w:val="center"/>
        <w:rPr>
          <w:rFonts w:ascii="Arial" w:eastAsia="NSimSun" w:hAnsi="Arial" w:cs="Arial"/>
          <w:kern w:val="2"/>
          <w:sz w:val="24"/>
          <w:szCs w:val="24"/>
          <w:lang w:val="uk-UA" w:eastAsia="zh-CN" w:bidi="hi-IN"/>
        </w:rPr>
      </w:pPr>
    </w:p>
    <w:p w14:paraId="191D42AD" w14:textId="77777777" w:rsidR="00055389" w:rsidRDefault="00055389" w:rsidP="00055389">
      <w:pPr>
        <w:keepNext/>
        <w:suppressAutoHyphens/>
        <w:ind w:firstLine="0"/>
        <w:jc w:val="center"/>
        <w:rPr>
          <w:rFonts w:ascii="Arial" w:eastAsia="NSimSun" w:hAnsi="Arial" w:cs="Arial"/>
          <w:i/>
          <w:kern w:val="2"/>
          <w:sz w:val="24"/>
          <w:szCs w:val="24"/>
          <w:lang w:val="uk-UA" w:eastAsia="zh-CN" w:bidi="hi-IN"/>
        </w:rPr>
      </w:pPr>
      <w:r w:rsidRPr="0045553B">
        <w:rPr>
          <w:rFonts w:ascii="Arial" w:eastAsia="NSimSun" w:hAnsi="Arial" w:cs="Arial"/>
          <w:i/>
          <w:kern w:val="2"/>
          <w:sz w:val="24"/>
          <w:szCs w:val="24"/>
          <w:lang w:val="uk-UA" w:eastAsia="zh-CN" w:bidi="hi-IN"/>
        </w:rPr>
        <w:t>Одеса, 26 травня 2025 року</w:t>
      </w:r>
    </w:p>
    <w:p w14:paraId="12939E99" w14:textId="77777777" w:rsidR="00055389" w:rsidRDefault="00055389" w:rsidP="00055389">
      <w:pPr>
        <w:keepNext/>
        <w:suppressAutoHyphens/>
        <w:ind w:firstLine="0"/>
        <w:jc w:val="center"/>
        <w:rPr>
          <w:rFonts w:ascii="Arial" w:eastAsia="NSimSun" w:hAnsi="Arial" w:cs="Arial"/>
          <w:i/>
          <w:kern w:val="2"/>
          <w:sz w:val="24"/>
          <w:szCs w:val="24"/>
          <w:lang w:val="uk-UA" w:eastAsia="zh-CN" w:bidi="hi-IN"/>
        </w:rPr>
      </w:pPr>
    </w:p>
    <w:p w14:paraId="44380C74" w14:textId="77777777" w:rsidR="00055389" w:rsidRPr="0045553B" w:rsidRDefault="00055389" w:rsidP="00055389">
      <w:pPr>
        <w:keepNext/>
        <w:suppressAutoHyphens/>
        <w:ind w:firstLine="0"/>
        <w:jc w:val="center"/>
        <w:rPr>
          <w:rFonts w:ascii="Arial" w:eastAsia="NSimSun" w:hAnsi="Arial" w:cs="Arial"/>
          <w:i/>
          <w:kern w:val="2"/>
          <w:sz w:val="24"/>
          <w:szCs w:val="24"/>
          <w:lang w:val="uk-UA" w:eastAsia="zh-CN" w:bidi="hi-IN"/>
        </w:rPr>
      </w:pPr>
      <w:r>
        <w:rPr>
          <w:rFonts w:ascii="Arial" w:eastAsia="NSimSun" w:hAnsi="Arial" w:cs="Arial"/>
          <w:i/>
          <w:kern w:val="2"/>
          <w:sz w:val="24"/>
          <w:szCs w:val="24"/>
          <w:lang w:val="uk-UA" w:eastAsia="zh-CN" w:bidi="hi-IN"/>
        </w:rPr>
        <w:t>Електронне видання</w:t>
      </w:r>
    </w:p>
    <w:p w14:paraId="354292D0" w14:textId="77777777" w:rsidR="00055389" w:rsidRPr="00511005" w:rsidRDefault="00055389" w:rsidP="00055389">
      <w:pPr>
        <w:keepNext/>
        <w:suppressAutoHyphens/>
        <w:ind w:firstLine="0"/>
        <w:jc w:val="center"/>
        <w:rPr>
          <w:rFonts w:ascii="Arial" w:eastAsia="NSimSun" w:hAnsi="Arial" w:cs="Arial"/>
          <w:kern w:val="2"/>
          <w:szCs w:val="28"/>
          <w:lang w:val="uk-UA" w:eastAsia="zh-CN" w:bidi="hi-IN"/>
        </w:rPr>
      </w:pPr>
    </w:p>
    <w:p w14:paraId="5606F2C7" w14:textId="77777777" w:rsidR="00055389" w:rsidRPr="00511005" w:rsidRDefault="00055389" w:rsidP="00055389">
      <w:pPr>
        <w:keepNext/>
        <w:suppressAutoHyphens/>
        <w:ind w:firstLine="0"/>
        <w:jc w:val="center"/>
        <w:rPr>
          <w:rFonts w:ascii="Arial" w:eastAsia="NSimSun" w:hAnsi="Arial" w:cs="Arial"/>
          <w:kern w:val="2"/>
          <w:szCs w:val="28"/>
          <w:lang w:val="uk-UA" w:eastAsia="zh-CN" w:bidi="hi-IN"/>
        </w:rPr>
      </w:pPr>
    </w:p>
    <w:p w14:paraId="639CA57E" w14:textId="77777777" w:rsidR="00055389" w:rsidRPr="00511005" w:rsidRDefault="00055389" w:rsidP="00055389">
      <w:pPr>
        <w:keepNext/>
        <w:suppressAutoHyphens/>
        <w:ind w:firstLine="0"/>
        <w:jc w:val="center"/>
        <w:rPr>
          <w:rFonts w:ascii="Arial" w:eastAsia="NSimSun" w:hAnsi="Arial" w:cs="Arial"/>
          <w:kern w:val="2"/>
          <w:szCs w:val="28"/>
          <w:lang w:val="uk-UA" w:eastAsia="zh-CN" w:bidi="hi-IN"/>
        </w:rPr>
      </w:pPr>
    </w:p>
    <w:p w14:paraId="0B85AD84" w14:textId="77777777" w:rsidR="00055389" w:rsidRPr="0045553B" w:rsidRDefault="00055389" w:rsidP="00055389">
      <w:pPr>
        <w:keepNext/>
        <w:suppressAutoHyphens/>
        <w:spacing w:line="240" w:lineRule="auto"/>
        <w:ind w:firstLine="0"/>
        <w:jc w:val="center"/>
        <w:rPr>
          <w:rFonts w:ascii="Arial" w:eastAsia="NSimSun" w:hAnsi="Arial" w:cs="Arial"/>
          <w:bCs/>
          <w:i/>
          <w:kern w:val="2"/>
          <w:sz w:val="24"/>
          <w:szCs w:val="24"/>
          <w:lang w:val="uk-UA" w:eastAsia="zh-CN" w:bidi="hi-IN"/>
        </w:rPr>
      </w:pPr>
      <w:r w:rsidRPr="0045553B">
        <w:rPr>
          <w:rFonts w:ascii="Arial" w:eastAsia="NSimSun" w:hAnsi="Arial" w:cs="Arial"/>
          <w:i/>
          <w:kern w:val="2"/>
          <w:sz w:val="24"/>
          <w:szCs w:val="24"/>
          <w:lang w:val="uk-UA" w:eastAsia="zh-CN" w:bidi="hi-IN"/>
        </w:rPr>
        <w:t>За загальною редакцією</w:t>
      </w:r>
      <w:r w:rsidRPr="0045553B">
        <w:rPr>
          <w:rFonts w:ascii="Arial" w:eastAsia="NSimSun" w:hAnsi="Arial" w:cs="Arial"/>
          <w:bCs/>
          <w:i/>
          <w:kern w:val="2"/>
          <w:sz w:val="24"/>
          <w:szCs w:val="24"/>
          <w:lang w:val="uk-UA" w:eastAsia="zh-CN" w:bidi="hi-IN"/>
        </w:rPr>
        <w:t xml:space="preserve"> академіка С. В. Ківалова</w:t>
      </w:r>
    </w:p>
    <w:p w14:paraId="225E5328" w14:textId="77777777" w:rsidR="00055389" w:rsidRPr="0045553B" w:rsidRDefault="00055389" w:rsidP="00055389">
      <w:pPr>
        <w:keepNext/>
        <w:suppressAutoHyphens/>
        <w:spacing w:line="240" w:lineRule="auto"/>
        <w:ind w:firstLine="0"/>
        <w:jc w:val="center"/>
        <w:rPr>
          <w:rFonts w:ascii="Arial" w:eastAsia="NSimSun" w:hAnsi="Arial" w:cs="Arial"/>
          <w:bCs/>
          <w:i/>
          <w:kern w:val="2"/>
          <w:sz w:val="24"/>
          <w:szCs w:val="24"/>
          <w:lang w:val="uk-UA" w:eastAsia="zh-CN" w:bidi="hi-IN"/>
        </w:rPr>
      </w:pPr>
    </w:p>
    <w:p w14:paraId="17A8F3D6" w14:textId="77777777" w:rsidR="00055389" w:rsidRPr="0045553B" w:rsidRDefault="00055389" w:rsidP="00055389">
      <w:pPr>
        <w:keepNext/>
        <w:suppressAutoHyphens/>
        <w:spacing w:line="240" w:lineRule="auto"/>
        <w:ind w:firstLine="0"/>
        <w:jc w:val="center"/>
        <w:rPr>
          <w:rFonts w:ascii="Arial" w:eastAsia="NSimSun" w:hAnsi="Arial" w:cs="Arial"/>
          <w:bCs/>
          <w:i/>
          <w:kern w:val="2"/>
          <w:sz w:val="24"/>
          <w:szCs w:val="24"/>
          <w:lang w:val="uk-UA" w:eastAsia="zh-CN" w:bidi="hi-IN"/>
        </w:rPr>
      </w:pPr>
      <w:r w:rsidRPr="0045553B">
        <w:rPr>
          <w:rFonts w:ascii="Arial" w:eastAsia="NSimSun" w:hAnsi="Arial" w:cs="Arial"/>
          <w:i/>
          <w:kern w:val="2"/>
          <w:sz w:val="24"/>
          <w:szCs w:val="24"/>
          <w:lang w:val="uk-UA" w:eastAsia="zh-CN" w:bidi="hi-IN"/>
        </w:rPr>
        <w:t>Відповідальний за випуск</w:t>
      </w:r>
      <w:r w:rsidRPr="0045553B">
        <w:rPr>
          <w:rFonts w:ascii="Arial" w:eastAsia="NSimSun" w:hAnsi="Arial" w:cs="Arial"/>
          <w:bCs/>
          <w:i/>
          <w:kern w:val="2"/>
          <w:sz w:val="24"/>
          <w:szCs w:val="24"/>
          <w:lang w:val="uk-UA" w:eastAsia="zh-CN" w:bidi="hi-IN"/>
        </w:rPr>
        <w:t xml:space="preserve"> професор М. Р. Аракелян</w:t>
      </w:r>
    </w:p>
    <w:p w14:paraId="479F0519" w14:textId="77777777" w:rsidR="00055389" w:rsidRPr="0045553B" w:rsidRDefault="00055389" w:rsidP="00055389">
      <w:pPr>
        <w:keepNext/>
        <w:suppressAutoHyphens/>
        <w:spacing w:line="240" w:lineRule="auto"/>
        <w:ind w:firstLine="0"/>
        <w:jc w:val="center"/>
        <w:rPr>
          <w:rFonts w:ascii="Arial" w:eastAsia="NSimSun" w:hAnsi="Arial" w:cs="Arial"/>
          <w:i/>
          <w:kern w:val="2"/>
          <w:sz w:val="24"/>
          <w:szCs w:val="24"/>
          <w:lang w:val="uk-UA" w:eastAsia="zh-CN" w:bidi="hi-IN"/>
        </w:rPr>
      </w:pPr>
    </w:p>
    <w:p w14:paraId="3A937E4D" w14:textId="77777777" w:rsidR="00055389" w:rsidRDefault="00055389" w:rsidP="00055389">
      <w:pPr>
        <w:keepNext/>
        <w:suppressAutoHyphens/>
        <w:spacing w:line="240" w:lineRule="auto"/>
        <w:ind w:firstLine="0"/>
        <w:jc w:val="center"/>
        <w:rPr>
          <w:rFonts w:ascii="Arial" w:eastAsia="NSimSun" w:hAnsi="Arial" w:cs="Arial"/>
          <w:i/>
          <w:kern w:val="2"/>
          <w:sz w:val="24"/>
          <w:szCs w:val="24"/>
          <w:lang w:val="uk-UA" w:eastAsia="zh-CN" w:bidi="hi-IN"/>
        </w:rPr>
      </w:pPr>
    </w:p>
    <w:p w14:paraId="4761313B" w14:textId="77777777" w:rsidR="00055389" w:rsidRPr="0045553B" w:rsidRDefault="00055389" w:rsidP="00055389">
      <w:pPr>
        <w:keepNext/>
        <w:suppressAutoHyphens/>
        <w:spacing w:line="240" w:lineRule="auto"/>
        <w:ind w:firstLine="0"/>
        <w:jc w:val="center"/>
        <w:rPr>
          <w:rFonts w:ascii="Arial" w:eastAsia="NSimSun" w:hAnsi="Arial" w:cs="Arial"/>
          <w:i/>
          <w:kern w:val="2"/>
          <w:sz w:val="24"/>
          <w:szCs w:val="24"/>
          <w:lang w:val="uk-UA" w:eastAsia="zh-CN" w:bidi="hi-IN"/>
        </w:rPr>
      </w:pPr>
      <w:r w:rsidRPr="0045553B">
        <w:rPr>
          <w:rFonts w:ascii="Arial" w:eastAsia="NSimSun" w:hAnsi="Arial" w:cs="Arial"/>
          <w:i/>
          <w:kern w:val="2"/>
          <w:sz w:val="24"/>
          <w:szCs w:val="24"/>
          <w:lang w:val="uk-UA" w:eastAsia="zh-CN" w:bidi="hi-IN"/>
        </w:rPr>
        <w:t>Укладачі:</w:t>
      </w:r>
    </w:p>
    <w:p w14:paraId="76AA756E" w14:textId="77777777" w:rsidR="00055389" w:rsidRPr="0045553B" w:rsidRDefault="00055389" w:rsidP="00055389">
      <w:pPr>
        <w:keepNext/>
        <w:suppressAutoHyphens/>
        <w:spacing w:line="240" w:lineRule="auto"/>
        <w:ind w:firstLine="0"/>
        <w:jc w:val="center"/>
        <w:rPr>
          <w:rFonts w:ascii="Arial" w:eastAsia="NSimSun" w:hAnsi="Arial" w:cs="Arial"/>
          <w:i/>
          <w:kern w:val="2"/>
          <w:sz w:val="24"/>
          <w:szCs w:val="24"/>
          <w:lang w:val="uk-UA" w:eastAsia="zh-CN" w:bidi="hi-IN"/>
        </w:rPr>
      </w:pPr>
      <w:r w:rsidRPr="0045553B">
        <w:rPr>
          <w:rFonts w:ascii="Arial" w:eastAsia="NSimSun" w:hAnsi="Arial" w:cs="Arial"/>
          <w:i/>
          <w:kern w:val="2"/>
          <w:sz w:val="24"/>
          <w:szCs w:val="24"/>
          <w:lang w:val="uk-UA" w:eastAsia="zh-CN" w:bidi="hi-IN"/>
        </w:rPr>
        <w:t>Федотов Олексій Павлович</w:t>
      </w:r>
    </w:p>
    <w:p w14:paraId="0467E45E" w14:textId="77777777" w:rsidR="00055389" w:rsidRDefault="00055389" w:rsidP="00055389">
      <w:pPr>
        <w:keepNext/>
        <w:suppressAutoHyphens/>
        <w:spacing w:before="80" w:line="240" w:lineRule="auto"/>
        <w:ind w:firstLine="0"/>
        <w:jc w:val="center"/>
        <w:rPr>
          <w:rFonts w:ascii="Arial" w:eastAsia="NSimSun" w:hAnsi="Arial" w:cs="Arial"/>
          <w:bCs/>
          <w:i/>
          <w:kern w:val="2"/>
          <w:sz w:val="24"/>
          <w:szCs w:val="24"/>
          <w:lang w:val="uk-UA" w:eastAsia="zh-CN" w:bidi="hi-IN"/>
        </w:rPr>
      </w:pPr>
      <w:r w:rsidRPr="0045553B">
        <w:rPr>
          <w:rFonts w:ascii="Arial" w:eastAsia="NSimSun" w:hAnsi="Arial" w:cs="Arial"/>
          <w:bCs/>
          <w:i/>
          <w:kern w:val="2"/>
          <w:sz w:val="24"/>
          <w:szCs w:val="24"/>
          <w:lang w:val="uk-UA" w:eastAsia="zh-CN" w:bidi="hi-IN"/>
        </w:rPr>
        <w:t>Батан Юрій Дмитрович</w:t>
      </w:r>
    </w:p>
    <w:p w14:paraId="20B090BD" w14:textId="77777777" w:rsidR="00055389" w:rsidRDefault="00055389" w:rsidP="00055389">
      <w:pPr>
        <w:keepNext/>
        <w:suppressAutoHyphens/>
        <w:spacing w:before="80" w:line="240" w:lineRule="auto"/>
        <w:ind w:firstLine="0"/>
        <w:jc w:val="center"/>
        <w:rPr>
          <w:rFonts w:ascii="Arial" w:eastAsia="NSimSun" w:hAnsi="Arial" w:cs="Arial"/>
          <w:bCs/>
          <w:i/>
          <w:kern w:val="2"/>
          <w:sz w:val="24"/>
          <w:szCs w:val="24"/>
          <w:lang w:val="uk-UA" w:eastAsia="zh-CN" w:bidi="hi-IN"/>
        </w:rPr>
      </w:pPr>
    </w:p>
    <w:p w14:paraId="30AD6B0B" w14:textId="77777777" w:rsidR="00055389" w:rsidRDefault="00055389" w:rsidP="00055389">
      <w:pPr>
        <w:keepNext/>
        <w:suppressAutoHyphens/>
        <w:spacing w:before="80" w:line="240" w:lineRule="auto"/>
        <w:ind w:firstLine="0"/>
        <w:jc w:val="center"/>
        <w:rPr>
          <w:rFonts w:ascii="Arial" w:eastAsia="NSimSun" w:hAnsi="Arial" w:cs="Arial"/>
          <w:i/>
          <w:kern w:val="2"/>
          <w:sz w:val="24"/>
          <w:szCs w:val="24"/>
          <w:lang w:val="uk-UA" w:eastAsia="zh-CN" w:bidi="hi-IN"/>
        </w:rPr>
      </w:pPr>
    </w:p>
    <w:p w14:paraId="07F04A4F" w14:textId="77777777" w:rsidR="00055389" w:rsidRDefault="00055389" w:rsidP="00055389">
      <w:pPr>
        <w:keepNext/>
        <w:suppressAutoHyphens/>
        <w:spacing w:before="80" w:line="240" w:lineRule="auto"/>
        <w:ind w:firstLine="0"/>
        <w:jc w:val="center"/>
        <w:rPr>
          <w:rFonts w:ascii="Arial" w:eastAsia="NSimSun" w:hAnsi="Arial" w:cs="Arial"/>
          <w:i/>
          <w:kern w:val="2"/>
          <w:sz w:val="24"/>
          <w:szCs w:val="24"/>
          <w:lang w:val="uk-UA" w:eastAsia="zh-CN" w:bidi="hi-IN"/>
        </w:rPr>
      </w:pPr>
    </w:p>
    <w:p w14:paraId="285F6CDA" w14:textId="77777777" w:rsidR="00055389" w:rsidRDefault="00055389" w:rsidP="00055389">
      <w:pPr>
        <w:keepNext/>
        <w:suppressAutoHyphens/>
        <w:spacing w:before="80" w:line="240" w:lineRule="auto"/>
        <w:ind w:firstLine="0"/>
        <w:jc w:val="center"/>
        <w:rPr>
          <w:rFonts w:ascii="Arial" w:eastAsia="NSimSun" w:hAnsi="Arial" w:cs="Arial"/>
          <w:i/>
          <w:kern w:val="2"/>
          <w:sz w:val="24"/>
          <w:szCs w:val="24"/>
          <w:lang w:val="uk-UA" w:eastAsia="zh-CN" w:bidi="hi-IN"/>
        </w:rPr>
      </w:pPr>
    </w:p>
    <w:p w14:paraId="6FDFAADA" w14:textId="77777777" w:rsidR="00055389" w:rsidRPr="0045553B" w:rsidRDefault="00055389" w:rsidP="00055389">
      <w:pPr>
        <w:keepNext/>
        <w:suppressAutoHyphens/>
        <w:spacing w:before="80" w:line="240" w:lineRule="auto"/>
        <w:ind w:firstLine="0"/>
        <w:jc w:val="center"/>
        <w:rPr>
          <w:rFonts w:ascii="Arial" w:eastAsia="NSimSun" w:hAnsi="Arial" w:cs="Arial"/>
          <w:i/>
          <w:kern w:val="2"/>
          <w:sz w:val="24"/>
          <w:szCs w:val="24"/>
          <w:lang w:val="uk-UA" w:eastAsia="zh-CN" w:bidi="hi-IN"/>
        </w:rPr>
      </w:pPr>
    </w:p>
    <w:p w14:paraId="72AA6E38" w14:textId="77777777" w:rsidR="00055389" w:rsidRPr="0045553B" w:rsidRDefault="00055389" w:rsidP="00055389">
      <w:pPr>
        <w:keepNext/>
        <w:suppressAutoHyphens/>
        <w:ind w:firstLine="0"/>
        <w:jc w:val="center"/>
        <w:rPr>
          <w:rFonts w:ascii="Arial" w:eastAsia="NSimSun" w:hAnsi="Arial" w:cs="Arial"/>
          <w:i/>
          <w:kern w:val="2"/>
          <w:sz w:val="24"/>
          <w:szCs w:val="24"/>
          <w:lang w:val="uk-UA" w:eastAsia="zh-CN" w:bidi="hi-IN"/>
        </w:rPr>
      </w:pPr>
    </w:p>
    <w:p w14:paraId="0F535275" w14:textId="77777777" w:rsidR="00055389" w:rsidRPr="00A2495A" w:rsidRDefault="00055389" w:rsidP="00055389">
      <w:pPr>
        <w:ind w:firstLine="0"/>
        <w:jc w:val="center"/>
        <w:rPr>
          <w:sz w:val="22"/>
          <w:highlight w:val="yellow"/>
          <w:lang w:val="uk-UA"/>
        </w:rPr>
      </w:pPr>
      <w:r w:rsidRPr="00A2495A">
        <w:rPr>
          <w:sz w:val="22"/>
          <w:lang w:val="uk-UA"/>
        </w:rPr>
        <w:t xml:space="preserve">Підписано до друку </w:t>
      </w:r>
      <w:r w:rsidRPr="00A2495A">
        <w:rPr>
          <w:sz w:val="22"/>
          <w:highlight w:val="yellow"/>
          <w:lang w:val="uk-UA"/>
        </w:rPr>
        <w:t>02.09.20</w:t>
      </w:r>
      <w:r w:rsidRPr="00A2495A">
        <w:rPr>
          <w:sz w:val="22"/>
          <w:highlight w:val="yellow"/>
        </w:rPr>
        <w:t>2</w:t>
      </w:r>
      <w:r w:rsidRPr="00A2495A">
        <w:rPr>
          <w:sz w:val="22"/>
          <w:highlight w:val="yellow"/>
          <w:lang w:val="uk-UA"/>
        </w:rPr>
        <w:t>5.</w:t>
      </w:r>
    </w:p>
    <w:p w14:paraId="0A8F0C94" w14:textId="77777777" w:rsidR="00055389" w:rsidRPr="00A2495A" w:rsidRDefault="00055389" w:rsidP="00055389">
      <w:pPr>
        <w:ind w:firstLine="0"/>
        <w:jc w:val="center"/>
        <w:rPr>
          <w:sz w:val="22"/>
          <w:highlight w:val="yellow"/>
          <w:lang w:val="uk-UA"/>
        </w:rPr>
      </w:pPr>
      <w:r w:rsidRPr="00A2495A">
        <w:rPr>
          <w:sz w:val="22"/>
          <w:lang w:val="uk-UA"/>
        </w:rPr>
        <w:t xml:space="preserve">Формат 60х84/16. Ум-друк. арк. 121,67. </w:t>
      </w:r>
      <w:r w:rsidRPr="00A2495A">
        <w:rPr>
          <w:sz w:val="22"/>
          <w:highlight w:val="yellow"/>
          <w:lang w:val="uk-UA"/>
        </w:rPr>
        <w:br/>
      </w:r>
    </w:p>
    <w:p w14:paraId="2CE2347A" w14:textId="77777777" w:rsidR="00055389" w:rsidRPr="0045553B" w:rsidRDefault="00055389" w:rsidP="00055389">
      <w:pPr>
        <w:ind w:firstLine="0"/>
        <w:jc w:val="center"/>
        <w:rPr>
          <w:sz w:val="22"/>
          <w:lang w:val="uk-UA"/>
        </w:rPr>
      </w:pPr>
    </w:p>
    <w:p w14:paraId="3656B42D" w14:textId="77777777" w:rsidR="00055389" w:rsidRPr="00511005" w:rsidRDefault="00055389" w:rsidP="00B54D94">
      <w:pPr>
        <w:jc w:val="center"/>
        <w:rPr>
          <w:rFonts w:ascii="Arial" w:hAnsi="Arial" w:cs="Arial"/>
          <w:szCs w:val="28"/>
          <w:lang w:val="uk-UA"/>
        </w:rPr>
      </w:pPr>
      <w:bookmarkStart w:id="353" w:name="_GoBack"/>
      <w:bookmarkEnd w:id="353"/>
    </w:p>
    <w:sectPr w:rsidR="00055389" w:rsidRPr="00511005" w:rsidSect="00D17C75">
      <w:footerReference w:type="default" r:id="rId2640"/>
      <w:pgSz w:w="11906" w:h="16838"/>
      <w:pgMar w:top="851" w:right="851" w:bottom="851"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C1C8D1" w14:textId="77777777" w:rsidR="005938AD" w:rsidRDefault="005938AD" w:rsidP="00E9317A">
      <w:pPr>
        <w:spacing w:line="240" w:lineRule="auto"/>
      </w:pPr>
      <w:r>
        <w:separator/>
      </w:r>
    </w:p>
  </w:endnote>
  <w:endnote w:type="continuationSeparator" w:id="0">
    <w:p w14:paraId="3BB4FBF9" w14:textId="77777777" w:rsidR="005938AD" w:rsidRDefault="005938AD" w:rsidP="00E931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Noto Sans Symbols">
    <w:altName w:val="Calibri"/>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webkit-standard">
    <w:altName w:val="Cambria"/>
    <w:charset w:val="00"/>
    <w:family w:val="roman"/>
    <w:pitch w:val="default"/>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Aptos">
    <w:altName w:val="Calibri"/>
    <w:charset w:val="00"/>
    <w:family w:val="swiss"/>
    <w:pitch w:val="variable"/>
    <w:sig w:usb0="20000287" w:usb1="00000003" w:usb2="00000000" w:usb3="00000000" w:csb0="0000019F" w:csb1="00000000"/>
  </w:font>
  <w:font w:name="Noto Sans Devanagari">
    <w:altName w:val="Arial"/>
    <w:charset w:val="00"/>
    <w:family w:val="swiss"/>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SF UI">
    <w:altName w:val="Cambria"/>
    <w:charset w:val="00"/>
    <w:family w:val="roman"/>
    <w:pitch w:val="default"/>
  </w:font>
  <w:font w:name=".SFUI-Regular">
    <w:altName w:val="Cambria"/>
    <w:charset w:val="00"/>
    <w:family w:val="roman"/>
    <w:pitch w:val="default"/>
  </w:font>
  <w:font w:name="Helvetica Neue">
    <w:altName w:val="Times New Roman"/>
    <w:charset w:val="00"/>
    <w:family w:val="roman"/>
    <w:pitch w:val="default"/>
  </w:font>
  <w:font w:name="PT Sans">
    <w:charset w:val="CC"/>
    <w:family w:val="swiss"/>
    <w:pitch w:val="variable"/>
    <w:sig w:usb0="A00002EF" w:usb1="5000204B" w:usb2="00000000" w:usb3="00000000" w:csb0="00000097" w:csb1="00000000"/>
  </w:font>
  <w:font w:name="Arsenal-Regular-Identity-H">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AppleSystemUIFont">
    <w:altName w:val="Cambria"/>
    <w:charset w:val="00"/>
    <w:family w:val="roman"/>
    <w:pitch w:val="default"/>
  </w:font>
  <w:font w:name="UkrainianPragmatica">
    <w:altName w:val="Calibri"/>
    <w:panose1 w:val="00000000000000000000"/>
    <w:charset w:val="CC"/>
    <w:family w:val="swiss"/>
    <w:notTrueType/>
    <w:pitch w:val="default"/>
    <w:sig w:usb0="00000201" w:usb1="00000000" w:usb2="00000000" w:usb3="00000000" w:csb0="00000004"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MingLiU_HKSCS">
    <w:charset w:val="88"/>
    <w:family w:val="roman"/>
    <w:pitch w:val="variable"/>
    <w:sig w:usb0="A00002FF" w:usb1="28CFFCFA" w:usb2="00000016" w:usb3="00000000" w:csb0="00100001" w:csb1="00000000"/>
  </w:font>
  <w:font w:name="Times Roman">
    <w:altName w:val="Times New Roman"/>
    <w:charset w:val="00"/>
    <w:family w:val="roman"/>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PSMT">
    <w:altName w:val="Calibri"/>
    <w:panose1 w:val="00000000000000000000"/>
    <w:charset w:val="80"/>
    <w:family w:val="auto"/>
    <w:notTrueType/>
    <w:pitch w:val="default"/>
    <w:sig w:usb0="00000201" w:usb1="08070000" w:usb2="00000010" w:usb3="00000000" w:csb0="00020004" w:csb1="00000000"/>
  </w:font>
  <w:font w:name="DroidSerif">
    <w:altName w:val="MS Mincho"/>
    <w:panose1 w:val="00000000000000000000"/>
    <w:charset w:val="80"/>
    <w:family w:val="auto"/>
    <w:notTrueType/>
    <w:pitch w:val="default"/>
    <w:sig w:usb0="00000000" w:usb1="08070000" w:usb2="00000010" w:usb3="00000000" w:csb0="00020000" w:csb1="00000000"/>
  </w:font>
  <w:font w:name="DengXian">
    <w:altName w:val="等线"/>
    <w:panose1 w:val="02010600030101010101"/>
    <w:charset w:val="86"/>
    <w:family w:val="auto"/>
    <w:pitch w:val="variable"/>
    <w:sig w:usb0="A00002BF" w:usb1="38CF7CFA" w:usb2="00000016" w:usb3="00000000" w:csb0="0004000F" w:csb1="00000000"/>
  </w:font>
  <w:font w:name="HelveticaNeueCyr-Roman">
    <w:altName w:val="Segoe Print"/>
    <w:charset w:val="00"/>
    <w:family w:val="auto"/>
    <w:pitch w:val="default"/>
  </w:font>
  <w:font w:name="sans-serif">
    <w:altName w:val="Segoe Print"/>
    <w:charset w:val="00"/>
    <w:family w:val="auto"/>
    <w:pitch w:val="default"/>
  </w:font>
  <w:font w:name="Aptos Display">
    <w:altName w:val="Calibri"/>
    <w:charset w:val="00"/>
    <w:family w:val="swiss"/>
    <w:pitch w:val="variable"/>
    <w:sig w:usb0="20000287" w:usb1="0000000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Roboto Bk">
    <w:altName w:val="Times New Roman"/>
    <w:charset w:val="01"/>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67720196"/>
      <w:docPartObj>
        <w:docPartGallery w:val="Page Numbers (Bottom of Page)"/>
        <w:docPartUnique/>
      </w:docPartObj>
    </w:sdtPr>
    <w:sdtEndPr/>
    <w:sdtContent>
      <w:p w14:paraId="61F1681A" w14:textId="70E6CC21" w:rsidR="00C73866" w:rsidRDefault="00C73866" w:rsidP="00B54D94">
        <w:pPr>
          <w:pStyle w:val="aff8"/>
          <w:jc w:val="center"/>
        </w:pPr>
        <w:r w:rsidRPr="00B54D94">
          <w:rPr>
            <w:rFonts w:ascii="Arial" w:hAnsi="Arial" w:cs="Arial"/>
            <w:sz w:val="22"/>
          </w:rPr>
          <w:fldChar w:fldCharType="begin"/>
        </w:r>
        <w:r w:rsidRPr="00B54D94">
          <w:rPr>
            <w:rFonts w:ascii="Arial" w:hAnsi="Arial" w:cs="Arial"/>
            <w:sz w:val="22"/>
          </w:rPr>
          <w:instrText>PAGE   \* MERGEFORMAT</w:instrText>
        </w:r>
        <w:r w:rsidRPr="00B54D94">
          <w:rPr>
            <w:rFonts w:ascii="Arial" w:hAnsi="Arial" w:cs="Arial"/>
            <w:sz w:val="22"/>
          </w:rPr>
          <w:fldChar w:fldCharType="separate"/>
        </w:r>
        <w:r w:rsidRPr="00B54D94">
          <w:rPr>
            <w:rFonts w:ascii="Arial" w:hAnsi="Arial" w:cs="Arial"/>
            <w:noProof/>
            <w:sz w:val="22"/>
          </w:rPr>
          <w:t>694</w:t>
        </w:r>
        <w:r w:rsidRPr="00B54D94">
          <w:rPr>
            <w:rFonts w:ascii="Arial" w:hAnsi="Arial" w:cs="Arial"/>
            <w:sz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478CD8" w14:textId="77777777" w:rsidR="005938AD" w:rsidRDefault="005938AD" w:rsidP="00E9317A">
      <w:pPr>
        <w:spacing w:line="240" w:lineRule="auto"/>
      </w:pPr>
      <w:r>
        <w:separator/>
      </w:r>
    </w:p>
  </w:footnote>
  <w:footnote w:type="continuationSeparator" w:id="0">
    <w:p w14:paraId="5D267404" w14:textId="77777777" w:rsidR="005938AD" w:rsidRDefault="005938AD" w:rsidP="00E9317A">
      <w:pPr>
        <w:spacing w:line="240" w:lineRule="auto"/>
      </w:pPr>
      <w:r>
        <w:continuationSeparator/>
      </w:r>
    </w:p>
  </w:footnote>
  <w:footnote w:id="1">
    <w:p w14:paraId="47DCDDF5" w14:textId="77777777" w:rsidR="00DF77B5" w:rsidRPr="00036C7B" w:rsidRDefault="00DF77B5" w:rsidP="00036C7B">
      <w:pPr>
        <w:pStyle w:val="af7"/>
        <w:rPr>
          <w:rFonts w:ascii="Arial" w:hAnsi="Arial" w:cs="Arial"/>
        </w:rPr>
      </w:pPr>
      <w:r w:rsidRPr="00036C7B">
        <w:rPr>
          <w:rStyle w:val="aff4"/>
          <w:rFonts w:ascii="Arial" w:hAnsi="Arial" w:cs="Arial"/>
        </w:rPr>
        <w:footnoteRef/>
      </w:r>
      <w:r w:rsidRPr="00036C7B">
        <w:rPr>
          <w:rFonts w:ascii="Arial" w:hAnsi="Arial" w:cs="Arial"/>
        </w:rPr>
        <w:t xml:space="preserve"> Свобода слова: ілюзія чи інструмент придушення?https://www.bakunetwork.org/ru/news/analytics/13516</w:t>
      </w:r>
    </w:p>
  </w:footnote>
  <w:footnote w:id="2">
    <w:p w14:paraId="7F3BD1D2" w14:textId="77777777" w:rsidR="00DF77B5" w:rsidRPr="00036C7B" w:rsidRDefault="00DF77B5" w:rsidP="00036C7B">
      <w:pPr>
        <w:pStyle w:val="af7"/>
        <w:rPr>
          <w:rStyle w:val="af9"/>
          <w:rFonts w:ascii="Arial" w:hAnsi="Arial" w:cs="Arial"/>
          <w:i w:val="0"/>
          <w:iCs w:val="0"/>
          <w:color w:val="212529"/>
        </w:rPr>
      </w:pPr>
      <w:r w:rsidRPr="00036C7B">
        <w:rPr>
          <w:rStyle w:val="aff4"/>
          <w:rFonts w:ascii="Arial" w:hAnsi="Arial" w:cs="Arial"/>
        </w:rPr>
        <w:footnoteRef/>
      </w:r>
      <w:r w:rsidRPr="00036C7B">
        <w:rPr>
          <w:rFonts w:ascii="Arial" w:hAnsi="Arial" w:cs="Arial"/>
        </w:rPr>
        <w:t xml:space="preserve"> </w:t>
      </w:r>
      <w:r w:rsidRPr="00036C7B">
        <w:rPr>
          <w:rStyle w:val="af9"/>
          <w:rFonts w:ascii="Arial" w:hAnsi="Arial" w:cs="Arial"/>
          <w:color w:val="212529"/>
        </w:rPr>
        <w:t xml:space="preserve">Міжнародний пакт ратифіковано Указом Президії Верховної Ради Української РСР N 2148-VIII ( </w:t>
      </w:r>
      <w:hyperlink r:id="rId1" w:tgtFrame="_blank" w:history="1">
        <w:r w:rsidRPr="00036C7B">
          <w:rPr>
            <w:rStyle w:val="ab"/>
            <w:rFonts w:ascii="Arial" w:hAnsi="Arial" w:cs="Arial"/>
          </w:rPr>
          <w:t>2148-08</w:t>
        </w:r>
      </w:hyperlink>
      <w:r w:rsidRPr="00036C7B">
        <w:rPr>
          <w:rStyle w:val="af9"/>
          <w:rFonts w:ascii="Arial" w:hAnsi="Arial" w:cs="Arial"/>
          <w:color w:val="212529"/>
        </w:rPr>
        <w:t xml:space="preserve"> ) від 19.10.73</w:t>
      </w:r>
    </w:p>
    <w:p w14:paraId="34ED72FB" w14:textId="77777777" w:rsidR="00DF77B5" w:rsidRPr="00036C7B" w:rsidRDefault="00DF77B5" w:rsidP="00036C7B">
      <w:pPr>
        <w:pStyle w:val="af7"/>
        <w:rPr>
          <w:rStyle w:val="af9"/>
          <w:rFonts w:ascii="Arial" w:hAnsi="Arial" w:cs="Arial"/>
          <w:i w:val="0"/>
          <w:iCs w:val="0"/>
          <w:color w:val="212529"/>
        </w:rPr>
      </w:pPr>
    </w:p>
    <w:p w14:paraId="1460CD3F" w14:textId="77777777" w:rsidR="00DF77B5" w:rsidRPr="00036C7B" w:rsidRDefault="00DF77B5" w:rsidP="00036C7B">
      <w:pPr>
        <w:pStyle w:val="af7"/>
        <w:rPr>
          <w:rFonts w:ascii="Arial" w:hAnsi="Arial" w:cs="Arial"/>
        </w:rPr>
      </w:pPr>
    </w:p>
  </w:footnote>
  <w:footnote w:id="3">
    <w:p w14:paraId="60AE96FE" w14:textId="77777777" w:rsidR="00DF77B5" w:rsidRPr="00036C7B" w:rsidRDefault="00DF77B5" w:rsidP="00036C7B">
      <w:pPr>
        <w:pStyle w:val="af7"/>
        <w:rPr>
          <w:rFonts w:ascii="Arial" w:hAnsi="Arial" w:cs="Arial"/>
        </w:rPr>
      </w:pPr>
      <w:r w:rsidRPr="00036C7B">
        <w:rPr>
          <w:rStyle w:val="aff4"/>
          <w:rFonts w:ascii="Arial" w:hAnsi="Arial" w:cs="Arial"/>
        </w:rPr>
        <w:footnoteRef/>
      </w:r>
      <w:r w:rsidRPr="00036C7B">
        <w:rPr>
          <w:rFonts w:ascii="Arial" w:hAnsi="Arial" w:cs="Arial"/>
        </w:rPr>
        <w:t xml:space="preserve"> Свобода слова-основа демократії https://webportal.nrada.gov.ua/svoboda-slova-osnova-demokratiyi/</w:t>
      </w:r>
    </w:p>
  </w:footnote>
  <w:footnote w:id="4">
    <w:p w14:paraId="02AD4623" w14:textId="77777777" w:rsidR="00955392" w:rsidRPr="00036C7B" w:rsidRDefault="00955392" w:rsidP="00036C7B">
      <w:pPr>
        <w:pStyle w:val="af7"/>
        <w:rPr>
          <w:rFonts w:ascii="Arial" w:hAnsi="Arial" w:cs="Arial"/>
        </w:rPr>
      </w:pPr>
      <w:r w:rsidRPr="00036C7B">
        <w:rPr>
          <w:rStyle w:val="aff4"/>
          <w:rFonts w:ascii="Arial" w:hAnsi="Arial" w:cs="Arial"/>
        </w:rPr>
        <w:footnoteRef/>
      </w:r>
      <w:r w:rsidRPr="00036C7B">
        <w:rPr>
          <w:rFonts w:ascii="Arial" w:hAnsi="Arial" w:cs="Arial"/>
        </w:rPr>
        <w:t xml:space="preserve"> Калиновський Юрій Юрійович Свобода слова як цінність демократичного державотворення: безпековий формат</w:t>
      </w:r>
    </w:p>
  </w:footnote>
  <w:footnote w:id="5">
    <w:p w14:paraId="451D9B30" w14:textId="77777777" w:rsidR="00DF77B5" w:rsidRPr="00036C7B" w:rsidRDefault="00DF77B5" w:rsidP="00036C7B">
      <w:pPr>
        <w:spacing w:line="240" w:lineRule="auto"/>
        <w:ind w:firstLine="0"/>
        <w:rPr>
          <w:rFonts w:ascii="Arial" w:hAnsi="Arial" w:cs="Arial"/>
          <w:color w:val="000000"/>
          <w:sz w:val="20"/>
          <w:szCs w:val="20"/>
        </w:rPr>
      </w:pPr>
      <w:r w:rsidRPr="00036C7B">
        <w:rPr>
          <w:rStyle w:val="aff4"/>
          <w:rFonts w:ascii="Arial" w:eastAsia="Times New Roman" w:hAnsi="Arial" w:cs="Arial"/>
          <w:sz w:val="20"/>
          <w:szCs w:val="20"/>
        </w:rPr>
        <w:footnoteRef/>
      </w:r>
      <w:r w:rsidRPr="00036C7B">
        <w:rPr>
          <w:rFonts w:ascii="Arial" w:hAnsi="Arial" w:cs="Arial"/>
          <w:color w:val="000000"/>
          <w:spacing w:val="3"/>
          <w:kern w:val="36"/>
          <w:sz w:val="20"/>
          <w:szCs w:val="20"/>
        </w:rPr>
        <w:t>Олександр Хребет-Свобода слова під час конфлікту: коли обмежувати і як. Практика ЄСПЛ</w:t>
      </w:r>
      <w:r w:rsidRPr="00036C7B">
        <w:rPr>
          <w:rFonts w:ascii="Arial" w:hAnsi="Arial" w:cs="Arial"/>
          <w:color w:val="000000"/>
          <w:sz w:val="20"/>
          <w:szCs w:val="20"/>
        </w:rPr>
        <w:t xml:space="preserve"> https://zmina.info/articles/svoboda-slova-pid-chas-konfliktu-koly-obmezhuvaty-i-yak-praktyka-yespl/?utm_source=chatgpt.com</w:t>
      </w:r>
    </w:p>
  </w:footnote>
  <w:footnote w:id="6">
    <w:p w14:paraId="22D5B90F" w14:textId="54E9CB6A" w:rsidR="00DF77B5" w:rsidRPr="00036C7B" w:rsidRDefault="00DF77B5" w:rsidP="00036C7B">
      <w:pPr>
        <w:pStyle w:val="15"/>
        <w:spacing w:before="0" w:line="240" w:lineRule="auto"/>
        <w:ind w:firstLine="0"/>
        <w:textAlignment w:val="baseline"/>
        <w:rPr>
          <w:rFonts w:ascii="Arial" w:hAnsi="Arial" w:cs="Arial"/>
          <w:b w:val="0"/>
          <w:bCs w:val="0"/>
        </w:rPr>
      </w:pPr>
      <w:r w:rsidRPr="00036C7B">
        <w:rPr>
          <w:rStyle w:val="aff4"/>
          <w:rFonts w:ascii="Arial" w:hAnsi="Arial" w:cs="Arial"/>
          <w:b w:val="0"/>
          <w:bCs w:val="0"/>
          <w:sz w:val="20"/>
          <w:szCs w:val="20"/>
        </w:rPr>
        <w:footnoteRef/>
      </w:r>
      <w:r w:rsidRPr="00036C7B">
        <w:rPr>
          <w:rFonts w:ascii="Arial" w:hAnsi="Arial" w:cs="Arial"/>
          <w:b w:val="0"/>
          <w:bCs w:val="0"/>
          <w:sz w:val="20"/>
          <w:szCs w:val="20"/>
        </w:rPr>
        <w:t xml:space="preserve"> </w:t>
      </w:r>
      <w:r w:rsidRPr="00036C7B">
        <w:rPr>
          <w:rFonts w:ascii="Arial" w:hAnsi="Arial" w:cs="Arial"/>
          <w:b w:val="0"/>
          <w:bCs w:val="0"/>
          <w:color w:val="000000"/>
          <w:sz w:val="20"/>
          <w:szCs w:val="20"/>
        </w:rPr>
        <w:t>Любовь Цибульська Цензура чи захист суспільства: як штурм Капітолію змінив кордони свободи слова</w:t>
      </w:r>
      <w:r w:rsidR="007B2628" w:rsidRPr="00036C7B">
        <w:rPr>
          <w:rStyle w:val="apple-converted-space"/>
          <w:rFonts w:ascii="Arial" w:hAnsi="Arial" w:cs="Arial"/>
          <w:b w:val="0"/>
          <w:bCs w:val="0"/>
          <w:caps/>
          <w:color w:val="888888"/>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81A1CEA4"/>
    <w:multiLevelType w:val="singleLevel"/>
    <w:tmpl w:val="81A1CEA4"/>
    <w:lvl w:ilvl="0">
      <w:start w:val="1"/>
      <w:numFmt w:val="decimal"/>
      <w:suff w:val="space"/>
      <w:lvlText w:val="%1."/>
      <w:lvlJc w:val="left"/>
    </w:lvl>
  </w:abstractNum>
  <w:abstractNum w:abstractNumId="1" w15:restartNumberingAfterBreak="0">
    <w:nsid w:val="81F616FA"/>
    <w:multiLevelType w:val="singleLevel"/>
    <w:tmpl w:val="81F616FA"/>
    <w:lvl w:ilvl="0">
      <w:start w:val="1"/>
      <w:numFmt w:val="decimal"/>
      <w:lvlText w:val="%1."/>
      <w:lvlJc w:val="left"/>
      <w:pPr>
        <w:tabs>
          <w:tab w:val="left" w:pos="425"/>
        </w:tabs>
        <w:ind w:left="425" w:hanging="425"/>
      </w:pPr>
      <w:rPr>
        <w:rFonts w:hint="default"/>
      </w:rPr>
    </w:lvl>
  </w:abstractNum>
  <w:abstractNum w:abstractNumId="2" w15:restartNumberingAfterBreak="0">
    <w:nsid w:val="91940A16"/>
    <w:multiLevelType w:val="singleLevel"/>
    <w:tmpl w:val="91940A16"/>
    <w:lvl w:ilvl="0">
      <w:start w:val="1"/>
      <w:numFmt w:val="decimal"/>
      <w:suff w:val="space"/>
      <w:lvlText w:val="%1."/>
      <w:lvlJc w:val="left"/>
    </w:lvl>
  </w:abstractNum>
  <w:abstractNum w:abstractNumId="3" w15:restartNumberingAfterBreak="0">
    <w:nsid w:val="98B070F6"/>
    <w:multiLevelType w:val="singleLevel"/>
    <w:tmpl w:val="98B070F6"/>
    <w:lvl w:ilvl="0">
      <w:start w:val="1"/>
      <w:numFmt w:val="decimal"/>
      <w:suff w:val="space"/>
      <w:lvlText w:val="%1."/>
      <w:lvlJc w:val="left"/>
    </w:lvl>
  </w:abstractNum>
  <w:abstractNum w:abstractNumId="4" w15:restartNumberingAfterBreak="0">
    <w:nsid w:val="9A3F1151"/>
    <w:multiLevelType w:val="singleLevel"/>
    <w:tmpl w:val="9A3F1151"/>
    <w:lvl w:ilvl="0">
      <w:start w:val="1"/>
      <w:numFmt w:val="decimal"/>
      <w:suff w:val="space"/>
      <w:lvlText w:val="%1)"/>
      <w:lvlJc w:val="left"/>
    </w:lvl>
  </w:abstractNum>
  <w:abstractNum w:abstractNumId="5" w15:restartNumberingAfterBreak="0">
    <w:nsid w:val="AEBC5CE7"/>
    <w:multiLevelType w:val="singleLevel"/>
    <w:tmpl w:val="AEBC5CE7"/>
    <w:lvl w:ilvl="0">
      <w:start w:val="1"/>
      <w:numFmt w:val="decimal"/>
      <w:suff w:val="space"/>
      <w:lvlText w:val="%1."/>
      <w:lvlJc w:val="left"/>
    </w:lvl>
  </w:abstractNum>
  <w:abstractNum w:abstractNumId="6" w15:restartNumberingAfterBreak="0">
    <w:nsid w:val="BE5BE420"/>
    <w:multiLevelType w:val="singleLevel"/>
    <w:tmpl w:val="BE5BE420"/>
    <w:lvl w:ilvl="0">
      <w:start w:val="1"/>
      <w:numFmt w:val="decimal"/>
      <w:suff w:val="space"/>
      <w:lvlText w:val="%1."/>
      <w:lvlJc w:val="left"/>
      <w:rPr>
        <w:rFonts w:cs="Times New Roman"/>
      </w:rPr>
    </w:lvl>
  </w:abstractNum>
  <w:abstractNum w:abstractNumId="7" w15:restartNumberingAfterBreak="0">
    <w:nsid w:val="C3A50BA9"/>
    <w:multiLevelType w:val="singleLevel"/>
    <w:tmpl w:val="C3A50BA9"/>
    <w:lvl w:ilvl="0">
      <w:start w:val="1"/>
      <w:numFmt w:val="decimal"/>
      <w:suff w:val="space"/>
      <w:lvlText w:val="%1."/>
      <w:lvlJc w:val="left"/>
    </w:lvl>
  </w:abstractNum>
  <w:abstractNum w:abstractNumId="8" w15:restartNumberingAfterBreak="0">
    <w:nsid w:val="C5FA9DBF"/>
    <w:multiLevelType w:val="singleLevel"/>
    <w:tmpl w:val="C5FA9DBF"/>
    <w:lvl w:ilvl="0">
      <w:start w:val="1"/>
      <w:numFmt w:val="decimal"/>
      <w:lvlText w:val="%1."/>
      <w:lvlJc w:val="left"/>
      <w:pPr>
        <w:tabs>
          <w:tab w:val="num" w:pos="425"/>
        </w:tabs>
        <w:ind w:left="425" w:hanging="425"/>
      </w:pPr>
      <w:rPr>
        <w:rFonts w:hint="default"/>
      </w:rPr>
    </w:lvl>
  </w:abstractNum>
  <w:abstractNum w:abstractNumId="9" w15:restartNumberingAfterBreak="0">
    <w:nsid w:val="C7BE106D"/>
    <w:multiLevelType w:val="singleLevel"/>
    <w:tmpl w:val="C7BE106D"/>
    <w:lvl w:ilvl="0">
      <w:start w:val="1"/>
      <w:numFmt w:val="decimal"/>
      <w:lvlText w:val="%1."/>
      <w:lvlJc w:val="left"/>
    </w:lvl>
  </w:abstractNum>
  <w:abstractNum w:abstractNumId="10" w15:restartNumberingAfterBreak="0">
    <w:nsid w:val="CFD3AB79"/>
    <w:multiLevelType w:val="singleLevel"/>
    <w:tmpl w:val="CFD3AB79"/>
    <w:lvl w:ilvl="0">
      <w:start w:val="1"/>
      <w:numFmt w:val="decimal"/>
      <w:lvlText w:val="%1."/>
      <w:lvlJc w:val="left"/>
      <w:pPr>
        <w:tabs>
          <w:tab w:val="left" w:pos="425"/>
        </w:tabs>
        <w:ind w:left="425" w:hanging="425"/>
      </w:pPr>
      <w:rPr>
        <w:rFonts w:hint="default"/>
      </w:rPr>
    </w:lvl>
  </w:abstractNum>
  <w:abstractNum w:abstractNumId="11" w15:restartNumberingAfterBreak="0">
    <w:nsid w:val="D8B2A06C"/>
    <w:multiLevelType w:val="singleLevel"/>
    <w:tmpl w:val="D8B2A06C"/>
    <w:lvl w:ilvl="0">
      <w:start w:val="1"/>
      <w:numFmt w:val="decimal"/>
      <w:suff w:val="space"/>
      <w:lvlText w:val="%1."/>
      <w:lvlJc w:val="left"/>
      <w:rPr>
        <w:rFonts w:ascii="Times New Roman" w:eastAsiaTheme="minorEastAsia" w:hAnsi="Times New Roman" w:cs="Times New Roman"/>
        <w:b w:val="0"/>
        <w:bCs w:val="0"/>
        <w:i w:val="0"/>
        <w:iCs w:val="0"/>
      </w:rPr>
    </w:lvl>
  </w:abstractNum>
  <w:abstractNum w:abstractNumId="12" w15:restartNumberingAfterBreak="0">
    <w:nsid w:val="DCB06C5F"/>
    <w:multiLevelType w:val="singleLevel"/>
    <w:tmpl w:val="DCB06C5F"/>
    <w:lvl w:ilvl="0">
      <w:start w:val="1"/>
      <w:numFmt w:val="decimal"/>
      <w:suff w:val="space"/>
      <w:lvlText w:val="%1."/>
      <w:lvlJc w:val="left"/>
    </w:lvl>
  </w:abstractNum>
  <w:abstractNum w:abstractNumId="13" w15:restartNumberingAfterBreak="0">
    <w:nsid w:val="E558EF8D"/>
    <w:multiLevelType w:val="singleLevel"/>
    <w:tmpl w:val="E558EF8D"/>
    <w:lvl w:ilvl="0">
      <w:start w:val="1"/>
      <w:numFmt w:val="decimal"/>
      <w:suff w:val="space"/>
      <w:lvlText w:val="%1."/>
      <w:lvlJc w:val="left"/>
    </w:lvl>
  </w:abstractNum>
  <w:abstractNum w:abstractNumId="14" w15:restartNumberingAfterBreak="0">
    <w:nsid w:val="EBDC2992"/>
    <w:multiLevelType w:val="singleLevel"/>
    <w:tmpl w:val="EBDC2992"/>
    <w:lvl w:ilvl="0">
      <w:start w:val="1"/>
      <w:numFmt w:val="decimal"/>
      <w:suff w:val="space"/>
      <w:lvlText w:val="%1."/>
      <w:lvlJc w:val="left"/>
    </w:lvl>
  </w:abstractNum>
  <w:abstractNum w:abstractNumId="15" w15:restartNumberingAfterBreak="0">
    <w:nsid w:val="EDD75B88"/>
    <w:multiLevelType w:val="singleLevel"/>
    <w:tmpl w:val="EDD75B88"/>
    <w:lvl w:ilvl="0">
      <w:start w:val="1"/>
      <w:numFmt w:val="decimal"/>
      <w:suff w:val="space"/>
      <w:lvlText w:val="%1."/>
      <w:lvlJc w:val="left"/>
    </w:lvl>
  </w:abstractNum>
  <w:abstractNum w:abstractNumId="16" w15:restartNumberingAfterBreak="0">
    <w:nsid w:val="F3F5A1BE"/>
    <w:multiLevelType w:val="singleLevel"/>
    <w:tmpl w:val="F3F5A1BE"/>
    <w:lvl w:ilvl="0">
      <w:start w:val="1"/>
      <w:numFmt w:val="decimal"/>
      <w:lvlText w:val="%1."/>
      <w:lvlJc w:val="left"/>
      <w:pPr>
        <w:tabs>
          <w:tab w:val="left" w:pos="425"/>
        </w:tabs>
        <w:ind w:left="425" w:hanging="425"/>
      </w:pPr>
    </w:lvl>
  </w:abstractNum>
  <w:abstractNum w:abstractNumId="17" w15:restartNumberingAfterBreak="0">
    <w:nsid w:val="FCEB3C7B"/>
    <w:multiLevelType w:val="singleLevel"/>
    <w:tmpl w:val="FCEB3C7B"/>
    <w:lvl w:ilvl="0">
      <w:start w:val="1"/>
      <w:numFmt w:val="decimal"/>
      <w:suff w:val="space"/>
      <w:lvlText w:val="%1."/>
      <w:lvlJc w:val="left"/>
    </w:lvl>
  </w:abstractNum>
  <w:abstractNum w:abstractNumId="18" w15:restartNumberingAfterBreak="0">
    <w:nsid w:val="FFFFFF88"/>
    <w:multiLevelType w:val="singleLevel"/>
    <w:tmpl w:val="25B4CC90"/>
    <w:lvl w:ilvl="0">
      <w:start w:val="1"/>
      <w:numFmt w:val="decimal"/>
      <w:pStyle w:val="1"/>
      <w:lvlText w:val="%1."/>
      <w:lvlJc w:val="left"/>
      <w:pPr>
        <w:tabs>
          <w:tab w:val="num" w:pos="360"/>
        </w:tabs>
        <w:ind w:left="360" w:hanging="360"/>
      </w:pPr>
    </w:lvl>
  </w:abstractNum>
  <w:abstractNum w:abstractNumId="19" w15:restartNumberingAfterBreak="0">
    <w:nsid w:val="00000001"/>
    <w:multiLevelType w:val="multilevel"/>
    <w:tmpl w:val="5C70930E"/>
    <w:name w:val="WWNum1"/>
    <w:lvl w:ilvl="0">
      <w:start w:val="1"/>
      <w:numFmt w:val="decimal"/>
      <w:lvlText w:val="%1."/>
      <w:lvlJc w:val="left"/>
      <w:pPr>
        <w:tabs>
          <w:tab w:val="num" w:pos="0"/>
        </w:tabs>
        <w:ind w:left="360" w:hanging="360"/>
      </w:pPr>
      <w:rPr>
        <w:rFonts w:ascii="Arial" w:hAnsi="Arial" w:cs="Arial" w:hint="default"/>
        <w:sz w:val="26"/>
        <w:szCs w:val="26"/>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0" w15:restartNumberingAfterBreak="0">
    <w:nsid w:val="00000002"/>
    <w:multiLevelType w:val="multilevel"/>
    <w:tmpl w:val="00000002"/>
    <w:name w:val="WW8Num2"/>
    <w:lvl w:ilvl="0">
      <w:start w:val="1"/>
      <w:numFmt w:val="decimal"/>
      <w:lvlText w:val="%1."/>
      <w:lvlJc w:val="left"/>
      <w:pPr>
        <w:tabs>
          <w:tab w:val="num" w:pos="0"/>
        </w:tabs>
        <w:ind w:left="720" w:hanging="360"/>
      </w:pPr>
      <w:rPr>
        <w:position w:val="0"/>
        <w:sz w:val="20"/>
        <w:vertAlign w:val="baseline"/>
      </w:rPr>
    </w:lvl>
    <w:lvl w:ilvl="1">
      <w:start w:val="1"/>
      <w:numFmt w:val="lowerLetter"/>
      <w:lvlText w:val="%2."/>
      <w:lvlJc w:val="left"/>
      <w:pPr>
        <w:tabs>
          <w:tab w:val="num" w:pos="0"/>
        </w:tabs>
        <w:ind w:left="1440" w:hanging="360"/>
      </w:pPr>
      <w:rPr>
        <w:position w:val="0"/>
        <w:sz w:val="20"/>
        <w:vertAlign w:val="baseline"/>
      </w:rPr>
    </w:lvl>
    <w:lvl w:ilvl="2">
      <w:start w:val="1"/>
      <w:numFmt w:val="lowerRoman"/>
      <w:lvlText w:val="%2.%3."/>
      <w:lvlJc w:val="right"/>
      <w:pPr>
        <w:tabs>
          <w:tab w:val="num" w:pos="0"/>
        </w:tabs>
        <w:ind w:left="2160" w:hanging="180"/>
      </w:pPr>
      <w:rPr>
        <w:position w:val="0"/>
        <w:sz w:val="20"/>
        <w:vertAlign w:val="baseline"/>
      </w:rPr>
    </w:lvl>
    <w:lvl w:ilvl="3">
      <w:start w:val="1"/>
      <w:numFmt w:val="decimal"/>
      <w:lvlText w:val="%2.%3.%4."/>
      <w:lvlJc w:val="left"/>
      <w:pPr>
        <w:tabs>
          <w:tab w:val="num" w:pos="0"/>
        </w:tabs>
        <w:ind w:left="2880" w:hanging="360"/>
      </w:pPr>
      <w:rPr>
        <w:position w:val="0"/>
        <w:sz w:val="20"/>
        <w:vertAlign w:val="baseline"/>
      </w:rPr>
    </w:lvl>
    <w:lvl w:ilvl="4">
      <w:start w:val="1"/>
      <w:numFmt w:val="lowerLetter"/>
      <w:lvlText w:val="%2.%3.%4.%5."/>
      <w:lvlJc w:val="left"/>
      <w:pPr>
        <w:tabs>
          <w:tab w:val="num" w:pos="0"/>
        </w:tabs>
        <w:ind w:left="3600" w:hanging="360"/>
      </w:pPr>
      <w:rPr>
        <w:position w:val="0"/>
        <w:sz w:val="20"/>
        <w:vertAlign w:val="baseline"/>
      </w:rPr>
    </w:lvl>
    <w:lvl w:ilvl="5">
      <w:start w:val="1"/>
      <w:numFmt w:val="lowerRoman"/>
      <w:lvlText w:val="%2.%3.%4.%5.%6."/>
      <w:lvlJc w:val="right"/>
      <w:pPr>
        <w:tabs>
          <w:tab w:val="num" w:pos="0"/>
        </w:tabs>
        <w:ind w:left="4320" w:hanging="180"/>
      </w:pPr>
      <w:rPr>
        <w:position w:val="0"/>
        <w:sz w:val="20"/>
        <w:vertAlign w:val="baseline"/>
      </w:rPr>
    </w:lvl>
    <w:lvl w:ilvl="6">
      <w:start w:val="1"/>
      <w:numFmt w:val="decimal"/>
      <w:lvlText w:val="%2.%3.%4.%5.%6.%7."/>
      <w:lvlJc w:val="left"/>
      <w:pPr>
        <w:tabs>
          <w:tab w:val="num" w:pos="0"/>
        </w:tabs>
        <w:ind w:left="5040" w:hanging="360"/>
      </w:pPr>
      <w:rPr>
        <w:position w:val="0"/>
        <w:sz w:val="20"/>
        <w:vertAlign w:val="baseline"/>
      </w:rPr>
    </w:lvl>
    <w:lvl w:ilvl="7">
      <w:start w:val="1"/>
      <w:numFmt w:val="lowerLetter"/>
      <w:lvlText w:val="%2.%3.%4.%5.%6.%7.%8."/>
      <w:lvlJc w:val="left"/>
      <w:pPr>
        <w:tabs>
          <w:tab w:val="num" w:pos="0"/>
        </w:tabs>
        <w:ind w:left="5760" w:hanging="360"/>
      </w:pPr>
      <w:rPr>
        <w:position w:val="0"/>
        <w:sz w:val="20"/>
        <w:vertAlign w:val="baseline"/>
      </w:rPr>
    </w:lvl>
    <w:lvl w:ilvl="8">
      <w:start w:val="1"/>
      <w:numFmt w:val="lowerRoman"/>
      <w:lvlText w:val="%2.%3.%4.%5.%6.%7.%8.%9."/>
      <w:lvlJc w:val="right"/>
      <w:pPr>
        <w:tabs>
          <w:tab w:val="num" w:pos="0"/>
        </w:tabs>
        <w:ind w:left="6480" w:hanging="180"/>
      </w:pPr>
      <w:rPr>
        <w:position w:val="0"/>
        <w:sz w:val="20"/>
        <w:vertAlign w:val="baseline"/>
      </w:rPr>
    </w:lvl>
  </w:abstractNum>
  <w:abstractNum w:abstractNumId="21" w15:restartNumberingAfterBreak="0">
    <w:nsid w:val="00000003"/>
    <w:multiLevelType w:val="multilevel"/>
    <w:tmpl w:val="35321466"/>
    <w:name w:val="WW8Num3"/>
    <w:lvl w:ilvl="0">
      <w:start w:val="1"/>
      <w:numFmt w:val="decimal"/>
      <w:lvlText w:val="%1."/>
      <w:lvlJc w:val="left"/>
      <w:pPr>
        <w:tabs>
          <w:tab w:val="num" w:pos="0"/>
        </w:tabs>
        <w:ind w:left="720" w:hanging="360"/>
      </w:pPr>
      <w:rPr>
        <w:b w:val="0"/>
        <w:color w:val="000000"/>
        <w:position w:val="0"/>
        <w:sz w:val="26"/>
        <w:szCs w:val="26"/>
        <w:vertAlign w:val="baseline"/>
        <w:lang w:val="en-US"/>
      </w:rPr>
    </w:lvl>
    <w:lvl w:ilvl="1">
      <w:start w:val="1"/>
      <w:numFmt w:val="lowerLetter"/>
      <w:lvlText w:val="%2."/>
      <w:lvlJc w:val="left"/>
      <w:pPr>
        <w:tabs>
          <w:tab w:val="num" w:pos="0"/>
        </w:tabs>
        <w:ind w:left="1440" w:hanging="360"/>
      </w:pPr>
      <w:rPr>
        <w:position w:val="0"/>
        <w:sz w:val="20"/>
        <w:vertAlign w:val="baseline"/>
      </w:rPr>
    </w:lvl>
    <w:lvl w:ilvl="2">
      <w:start w:val="1"/>
      <w:numFmt w:val="lowerRoman"/>
      <w:lvlText w:val="%2.%3."/>
      <w:lvlJc w:val="right"/>
      <w:pPr>
        <w:tabs>
          <w:tab w:val="num" w:pos="0"/>
        </w:tabs>
        <w:ind w:left="2160" w:hanging="180"/>
      </w:pPr>
      <w:rPr>
        <w:position w:val="0"/>
        <w:sz w:val="20"/>
        <w:vertAlign w:val="baseline"/>
      </w:rPr>
    </w:lvl>
    <w:lvl w:ilvl="3">
      <w:start w:val="1"/>
      <w:numFmt w:val="decimal"/>
      <w:lvlText w:val="%2.%3.%4."/>
      <w:lvlJc w:val="left"/>
      <w:pPr>
        <w:tabs>
          <w:tab w:val="num" w:pos="0"/>
        </w:tabs>
        <w:ind w:left="2880" w:hanging="360"/>
      </w:pPr>
      <w:rPr>
        <w:position w:val="0"/>
        <w:sz w:val="20"/>
        <w:vertAlign w:val="baseline"/>
      </w:rPr>
    </w:lvl>
    <w:lvl w:ilvl="4">
      <w:start w:val="1"/>
      <w:numFmt w:val="lowerLetter"/>
      <w:lvlText w:val="%2.%3.%4.%5."/>
      <w:lvlJc w:val="left"/>
      <w:pPr>
        <w:tabs>
          <w:tab w:val="num" w:pos="0"/>
        </w:tabs>
        <w:ind w:left="3600" w:hanging="360"/>
      </w:pPr>
      <w:rPr>
        <w:position w:val="0"/>
        <w:sz w:val="20"/>
        <w:vertAlign w:val="baseline"/>
      </w:rPr>
    </w:lvl>
    <w:lvl w:ilvl="5">
      <w:start w:val="1"/>
      <w:numFmt w:val="lowerRoman"/>
      <w:lvlText w:val="%2.%3.%4.%5.%6."/>
      <w:lvlJc w:val="right"/>
      <w:pPr>
        <w:tabs>
          <w:tab w:val="num" w:pos="0"/>
        </w:tabs>
        <w:ind w:left="4320" w:hanging="180"/>
      </w:pPr>
      <w:rPr>
        <w:position w:val="0"/>
        <w:sz w:val="20"/>
        <w:vertAlign w:val="baseline"/>
      </w:rPr>
    </w:lvl>
    <w:lvl w:ilvl="6">
      <w:start w:val="1"/>
      <w:numFmt w:val="decimal"/>
      <w:lvlText w:val="%2.%3.%4.%5.%6.%7."/>
      <w:lvlJc w:val="left"/>
      <w:pPr>
        <w:tabs>
          <w:tab w:val="num" w:pos="0"/>
        </w:tabs>
        <w:ind w:left="5040" w:hanging="360"/>
      </w:pPr>
      <w:rPr>
        <w:position w:val="0"/>
        <w:sz w:val="20"/>
        <w:vertAlign w:val="baseline"/>
      </w:rPr>
    </w:lvl>
    <w:lvl w:ilvl="7">
      <w:start w:val="1"/>
      <w:numFmt w:val="lowerLetter"/>
      <w:lvlText w:val="%2.%3.%4.%5.%6.%7.%8."/>
      <w:lvlJc w:val="left"/>
      <w:pPr>
        <w:tabs>
          <w:tab w:val="num" w:pos="0"/>
        </w:tabs>
        <w:ind w:left="5760" w:hanging="360"/>
      </w:pPr>
      <w:rPr>
        <w:position w:val="0"/>
        <w:sz w:val="20"/>
        <w:vertAlign w:val="baseline"/>
      </w:rPr>
    </w:lvl>
    <w:lvl w:ilvl="8">
      <w:start w:val="1"/>
      <w:numFmt w:val="lowerRoman"/>
      <w:lvlText w:val="%2.%3.%4.%5.%6.%7.%8.%9."/>
      <w:lvlJc w:val="right"/>
      <w:pPr>
        <w:tabs>
          <w:tab w:val="num" w:pos="0"/>
        </w:tabs>
        <w:ind w:left="6480" w:hanging="180"/>
      </w:pPr>
      <w:rPr>
        <w:position w:val="0"/>
        <w:sz w:val="20"/>
        <w:vertAlign w:val="baseline"/>
      </w:rPr>
    </w:lvl>
  </w:abstractNum>
  <w:abstractNum w:abstractNumId="22" w15:restartNumberingAfterBreak="0">
    <w:nsid w:val="00000007"/>
    <w:multiLevelType w:val="multilevel"/>
    <w:tmpl w:val="FE28C8E6"/>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23" w15:restartNumberingAfterBreak="0">
    <w:nsid w:val="00031451"/>
    <w:multiLevelType w:val="multilevel"/>
    <w:tmpl w:val="2FF67A9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000A34E1"/>
    <w:multiLevelType w:val="multilevel"/>
    <w:tmpl w:val="BF14156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5" w15:restartNumberingAfterBreak="0">
    <w:nsid w:val="000B6349"/>
    <w:multiLevelType w:val="hybridMultilevel"/>
    <w:tmpl w:val="7E5E55D4"/>
    <w:lvl w:ilvl="0" w:tplc="CF9A0170">
      <w:start w:val="1"/>
      <w:numFmt w:val="bullet"/>
      <w:lvlText w:val="-"/>
      <w:lvlJc w:val="left"/>
      <w:pPr>
        <w:ind w:left="720" w:hanging="360"/>
      </w:pPr>
      <w:rPr>
        <w:rFonts w:ascii="Times New Roman" w:eastAsiaTheme="minorHAnsi"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6" w15:restartNumberingAfterBreak="0">
    <w:nsid w:val="0053208E"/>
    <w:multiLevelType w:val="multilevel"/>
    <w:tmpl w:val="005320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006B32C0"/>
    <w:multiLevelType w:val="hybridMultilevel"/>
    <w:tmpl w:val="77A8F6A4"/>
    <w:lvl w:ilvl="0" w:tplc="0419000F">
      <w:start w:val="1"/>
      <w:numFmt w:val="decimal"/>
      <w:lvlText w:val="%1."/>
      <w:lvlJc w:val="left"/>
      <w:pPr>
        <w:ind w:left="360"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0084650E"/>
    <w:multiLevelType w:val="multilevel"/>
    <w:tmpl w:val="1BEEFC88"/>
    <w:lvl w:ilvl="0">
      <w:start w:val="1"/>
      <w:numFmt w:val="decimal"/>
      <w:lvlText w:val="%1."/>
      <w:lvlJc w:val="left"/>
      <w:pPr>
        <w:tabs>
          <w:tab w:val="num" w:pos="0"/>
        </w:tabs>
        <w:ind w:left="720" w:hanging="360"/>
      </w:pPr>
      <w:rPr>
        <w:sz w:val="28"/>
        <w:szCs w:val="2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00A56217"/>
    <w:multiLevelType w:val="multilevel"/>
    <w:tmpl w:val="9A1EFFB6"/>
    <w:lvl w:ilvl="0">
      <w:start w:val="1"/>
      <w:numFmt w:val="decimal"/>
      <w:lvlText w:val="%1."/>
      <w:lvlJc w:val="left"/>
      <w:pPr>
        <w:ind w:left="0" w:hanging="360"/>
      </w:pPr>
      <w:rPr>
        <w:u w:val="none"/>
      </w:rPr>
    </w:lvl>
    <w:lvl w:ilvl="1">
      <w:start w:val="1"/>
      <w:numFmt w:val="lowerLetter"/>
      <w:lvlText w:val="%2."/>
      <w:lvlJc w:val="left"/>
      <w:pPr>
        <w:ind w:left="720" w:hanging="360"/>
      </w:pPr>
      <w:rPr>
        <w:u w:val="none"/>
      </w:rPr>
    </w:lvl>
    <w:lvl w:ilvl="2">
      <w:start w:val="1"/>
      <w:numFmt w:val="lowerRoman"/>
      <w:lvlText w:val="%3."/>
      <w:lvlJc w:val="right"/>
      <w:pPr>
        <w:ind w:left="1440" w:hanging="180"/>
      </w:pPr>
      <w:rPr>
        <w:u w:val="none"/>
      </w:rPr>
    </w:lvl>
    <w:lvl w:ilvl="3">
      <w:start w:val="1"/>
      <w:numFmt w:val="decimal"/>
      <w:lvlText w:val="%4."/>
      <w:lvlJc w:val="left"/>
      <w:pPr>
        <w:ind w:left="2160" w:hanging="360"/>
      </w:pPr>
      <w:rPr>
        <w:u w:val="none"/>
      </w:rPr>
    </w:lvl>
    <w:lvl w:ilvl="4">
      <w:start w:val="1"/>
      <w:numFmt w:val="lowerLetter"/>
      <w:lvlText w:val="%5."/>
      <w:lvlJc w:val="left"/>
      <w:pPr>
        <w:ind w:left="2880" w:hanging="360"/>
      </w:pPr>
      <w:rPr>
        <w:u w:val="none"/>
      </w:rPr>
    </w:lvl>
    <w:lvl w:ilvl="5">
      <w:start w:val="1"/>
      <w:numFmt w:val="lowerRoman"/>
      <w:lvlText w:val="%6."/>
      <w:lvlJc w:val="right"/>
      <w:pPr>
        <w:ind w:left="3600" w:hanging="180"/>
      </w:pPr>
      <w:rPr>
        <w:u w:val="none"/>
      </w:rPr>
    </w:lvl>
    <w:lvl w:ilvl="6">
      <w:start w:val="1"/>
      <w:numFmt w:val="decimal"/>
      <w:lvlText w:val="%7."/>
      <w:lvlJc w:val="left"/>
      <w:pPr>
        <w:ind w:left="4320" w:hanging="360"/>
      </w:pPr>
      <w:rPr>
        <w:u w:val="none"/>
      </w:rPr>
    </w:lvl>
    <w:lvl w:ilvl="7">
      <w:start w:val="1"/>
      <w:numFmt w:val="lowerLetter"/>
      <w:lvlText w:val="%8."/>
      <w:lvlJc w:val="left"/>
      <w:pPr>
        <w:ind w:left="5040" w:hanging="360"/>
      </w:pPr>
      <w:rPr>
        <w:u w:val="none"/>
      </w:rPr>
    </w:lvl>
    <w:lvl w:ilvl="8">
      <w:start w:val="1"/>
      <w:numFmt w:val="lowerRoman"/>
      <w:lvlText w:val="%9."/>
      <w:lvlJc w:val="right"/>
      <w:pPr>
        <w:ind w:left="5760" w:hanging="180"/>
      </w:pPr>
      <w:rPr>
        <w:u w:val="none"/>
      </w:rPr>
    </w:lvl>
  </w:abstractNum>
  <w:abstractNum w:abstractNumId="30" w15:restartNumberingAfterBreak="0">
    <w:nsid w:val="01124711"/>
    <w:multiLevelType w:val="hybridMultilevel"/>
    <w:tmpl w:val="423A40E0"/>
    <w:lvl w:ilvl="0" w:tplc="6128D542">
      <w:start w:val="1"/>
      <w:numFmt w:val="decimal"/>
      <w:lvlText w:val="%1."/>
      <w:lvlJc w:val="left"/>
      <w:pPr>
        <w:ind w:left="720" w:hanging="360"/>
      </w:pPr>
    </w:lvl>
    <w:lvl w:ilvl="1" w:tplc="F93619A6" w:tentative="1">
      <w:start w:val="1"/>
      <w:numFmt w:val="lowerLetter"/>
      <w:lvlText w:val="%2."/>
      <w:lvlJc w:val="left"/>
      <w:pPr>
        <w:ind w:left="1440" w:hanging="360"/>
      </w:pPr>
    </w:lvl>
    <w:lvl w:ilvl="2" w:tplc="45542122" w:tentative="1">
      <w:start w:val="1"/>
      <w:numFmt w:val="lowerRoman"/>
      <w:lvlText w:val="%3."/>
      <w:lvlJc w:val="right"/>
      <w:pPr>
        <w:ind w:left="2160" w:hanging="180"/>
      </w:pPr>
    </w:lvl>
    <w:lvl w:ilvl="3" w:tplc="84567940" w:tentative="1">
      <w:start w:val="1"/>
      <w:numFmt w:val="decimal"/>
      <w:lvlText w:val="%4."/>
      <w:lvlJc w:val="left"/>
      <w:pPr>
        <w:ind w:left="2880" w:hanging="360"/>
      </w:pPr>
    </w:lvl>
    <w:lvl w:ilvl="4" w:tplc="32A081B8" w:tentative="1">
      <w:start w:val="1"/>
      <w:numFmt w:val="lowerLetter"/>
      <w:lvlText w:val="%5."/>
      <w:lvlJc w:val="left"/>
      <w:pPr>
        <w:ind w:left="3600" w:hanging="360"/>
      </w:pPr>
    </w:lvl>
    <w:lvl w:ilvl="5" w:tplc="14DA657A" w:tentative="1">
      <w:start w:val="1"/>
      <w:numFmt w:val="lowerRoman"/>
      <w:lvlText w:val="%6."/>
      <w:lvlJc w:val="right"/>
      <w:pPr>
        <w:ind w:left="4320" w:hanging="180"/>
      </w:pPr>
    </w:lvl>
    <w:lvl w:ilvl="6" w:tplc="64520D26" w:tentative="1">
      <w:start w:val="1"/>
      <w:numFmt w:val="decimal"/>
      <w:lvlText w:val="%7."/>
      <w:lvlJc w:val="left"/>
      <w:pPr>
        <w:ind w:left="5040" w:hanging="360"/>
      </w:pPr>
    </w:lvl>
    <w:lvl w:ilvl="7" w:tplc="A9628282" w:tentative="1">
      <w:start w:val="1"/>
      <w:numFmt w:val="lowerLetter"/>
      <w:lvlText w:val="%8."/>
      <w:lvlJc w:val="left"/>
      <w:pPr>
        <w:ind w:left="5760" w:hanging="360"/>
      </w:pPr>
    </w:lvl>
    <w:lvl w:ilvl="8" w:tplc="30909250" w:tentative="1">
      <w:start w:val="1"/>
      <w:numFmt w:val="lowerRoman"/>
      <w:lvlText w:val="%9."/>
      <w:lvlJc w:val="right"/>
      <w:pPr>
        <w:ind w:left="6480" w:hanging="180"/>
      </w:pPr>
    </w:lvl>
  </w:abstractNum>
  <w:abstractNum w:abstractNumId="31" w15:restartNumberingAfterBreak="0">
    <w:nsid w:val="01415977"/>
    <w:multiLevelType w:val="hybridMultilevel"/>
    <w:tmpl w:val="549C65A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15:restartNumberingAfterBreak="0">
    <w:nsid w:val="01596DA8"/>
    <w:multiLevelType w:val="hybridMultilevel"/>
    <w:tmpl w:val="E1C62BB6"/>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3" w15:restartNumberingAfterBreak="0">
    <w:nsid w:val="01734F0E"/>
    <w:multiLevelType w:val="multilevel"/>
    <w:tmpl w:val="3206A0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019277F5"/>
    <w:multiLevelType w:val="hybridMultilevel"/>
    <w:tmpl w:val="FDA2B7E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019550A5"/>
    <w:multiLevelType w:val="hybridMultilevel"/>
    <w:tmpl w:val="09C8879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01BE0FCE"/>
    <w:multiLevelType w:val="multilevel"/>
    <w:tmpl w:val="2FF4019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15:restartNumberingAfterBreak="0">
    <w:nsid w:val="01C76F85"/>
    <w:multiLevelType w:val="hybridMultilevel"/>
    <w:tmpl w:val="05EC6AE6"/>
    <w:lvl w:ilvl="0" w:tplc="2000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01DB4D47"/>
    <w:multiLevelType w:val="hybridMultilevel"/>
    <w:tmpl w:val="A1886D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9" w15:restartNumberingAfterBreak="0">
    <w:nsid w:val="01FF37AD"/>
    <w:multiLevelType w:val="hybridMultilevel"/>
    <w:tmpl w:val="8092C496"/>
    <w:lvl w:ilvl="0" w:tplc="11B4A69C">
      <w:numFmt w:val="bullet"/>
      <w:lvlText w:val="-"/>
      <w:lvlJc w:val="left"/>
      <w:pPr>
        <w:ind w:left="720" w:hanging="360"/>
      </w:pPr>
      <w:rPr>
        <w:rFonts w:ascii="Times New Roman" w:eastAsia="Calibri" w:hAnsi="Times New Roman" w:cs="Times New Roman" w:hint="default"/>
      </w:rPr>
    </w:lvl>
    <w:lvl w:ilvl="1" w:tplc="443C309C" w:tentative="1">
      <w:start w:val="1"/>
      <w:numFmt w:val="bullet"/>
      <w:lvlText w:val="o"/>
      <w:lvlJc w:val="left"/>
      <w:pPr>
        <w:ind w:left="1440" w:hanging="360"/>
      </w:pPr>
      <w:rPr>
        <w:rFonts w:ascii="Courier New" w:hAnsi="Courier New" w:cs="Courier New" w:hint="default"/>
      </w:rPr>
    </w:lvl>
    <w:lvl w:ilvl="2" w:tplc="39D2803E" w:tentative="1">
      <w:start w:val="1"/>
      <w:numFmt w:val="bullet"/>
      <w:lvlText w:val=""/>
      <w:lvlJc w:val="left"/>
      <w:pPr>
        <w:ind w:left="2160" w:hanging="360"/>
      </w:pPr>
      <w:rPr>
        <w:rFonts w:ascii="Wingdings" w:hAnsi="Wingdings" w:hint="default"/>
      </w:rPr>
    </w:lvl>
    <w:lvl w:ilvl="3" w:tplc="3534819C" w:tentative="1">
      <w:start w:val="1"/>
      <w:numFmt w:val="bullet"/>
      <w:lvlText w:val=""/>
      <w:lvlJc w:val="left"/>
      <w:pPr>
        <w:ind w:left="2880" w:hanging="360"/>
      </w:pPr>
      <w:rPr>
        <w:rFonts w:ascii="Symbol" w:hAnsi="Symbol" w:hint="default"/>
      </w:rPr>
    </w:lvl>
    <w:lvl w:ilvl="4" w:tplc="DBF627E4" w:tentative="1">
      <w:start w:val="1"/>
      <w:numFmt w:val="bullet"/>
      <w:lvlText w:val="o"/>
      <w:lvlJc w:val="left"/>
      <w:pPr>
        <w:ind w:left="3600" w:hanging="360"/>
      </w:pPr>
      <w:rPr>
        <w:rFonts w:ascii="Courier New" w:hAnsi="Courier New" w:cs="Courier New" w:hint="default"/>
      </w:rPr>
    </w:lvl>
    <w:lvl w:ilvl="5" w:tplc="BAF2594C" w:tentative="1">
      <w:start w:val="1"/>
      <w:numFmt w:val="bullet"/>
      <w:lvlText w:val=""/>
      <w:lvlJc w:val="left"/>
      <w:pPr>
        <w:ind w:left="4320" w:hanging="360"/>
      </w:pPr>
      <w:rPr>
        <w:rFonts w:ascii="Wingdings" w:hAnsi="Wingdings" w:hint="default"/>
      </w:rPr>
    </w:lvl>
    <w:lvl w:ilvl="6" w:tplc="5516A74E" w:tentative="1">
      <w:start w:val="1"/>
      <w:numFmt w:val="bullet"/>
      <w:lvlText w:val=""/>
      <w:lvlJc w:val="left"/>
      <w:pPr>
        <w:ind w:left="5040" w:hanging="360"/>
      </w:pPr>
      <w:rPr>
        <w:rFonts w:ascii="Symbol" w:hAnsi="Symbol" w:hint="default"/>
      </w:rPr>
    </w:lvl>
    <w:lvl w:ilvl="7" w:tplc="D562A9FC" w:tentative="1">
      <w:start w:val="1"/>
      <w:numFmt w:val="bullet"/>
      <w:lvlText w:val="o"/>
      <w:lvlJc w:val="left"/>
      <w:pPr>
        <w:ind w:left="5760" w:hanging="360"/>
      </w:pPr>
      <w:rPr>
        <w:rFonts w:ascii="Courier New" w:hAnsi="Courier New" w:cs="Courier New" w:hint="default"/>
      </w:rPr>
    </w:lvl>
    <w:lvl w:ilvl="8" w:tplc="C9E842A0" w:tentative="1">
      <w:start w:val="1"/>
      <w:numFmt w:val="bullet"/>
      <w:lvlText w:val=""/>
      <w:lvlJc w:val="left"/>
      <w:pPr>
        <w:ind w:left="6480" w:hanging="360"/>
      </w:pPr>
      <w:rPr>
        <w:rFonts w:ascii="Wingdings" w:hAnsi="Wingdings" w:hint="default"/>
      </w:rPr>
    </w:lvl>
  </w:abstractNum>
  <w:abstractNum w:abstractNumId="40" w15:restartNumberingAfterBreak="0">
    <w:nsid w:val="02150E30"/>
    <w:multiLevelType w:val="hybridMultilevel"/>
    <w:tmpl w:val="E6EEF326"/>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1" w15:restartNumberingAfterBreak="0">
    <w:nsid w:val="021C1288"/>
    <w:multiLevelType w:val="hybridMultilevel"/>
    <w:tmpl w:val="785CBEE0"/>
    <w:lvl w:ilvl="0" w:tplc="9F668304">
      <w:start w:val="1"/>
      <w:numFmt w:val="decimal"/>
      <w:lvlText w:val="%1."/>
      <w:lvlJc w:val="left"/>
      <w:pPr>
        <w:ind w:left="1429" w:hanging="360"/>
      </w:pPr>
      <w:rPr>
        <w:b w:val="0"/>
      </w:rPr>
    </w:lvl>
    <w:lvl w:ilvl="1" w:tplc="CB308744" w:tentative="1">
      <w:start w:val="1"/>
      <w:numFmt w:val="lowerLetter"/>
      <w:lvlText w:val="%2."/>
      <w:lvlJc w:val="left"/>
      <w:pPr>
        <w:ind w:left="2149" w:hanging="360"/>
      </w:pPr>
    </w:lvl>
    <w:lvl w:ilvl="2" w:tplc="C95A023E" w:tentative="1">
      <w:start w:val="1"/>
      <w:numFmt w:val="lowerRoman"/>
      <w:lvlText w:val="%3."/>
      <w:lvlJc w:val="right"/>
      <w:pPr>
        <w:ind w:left="2869" w:hanging="180"/>
      </w:pPr>
    </w:lvl>
    <w:lvl w:ilvl="3" w:tplc="5BF893E4" w:tentative="1">
      <w:start w:val="1"/>
      <w:numFmt w:val="decimal"/>
      <w:lvlText w:val="%4."/>
      <w:lvlJc w:val="left"/>
      <w:pPr>
        <w:ind w:left="3589" w:hanging="360"/>
      </w:pPr>
    </w:lvl>
    <w:lvl w:ilvl="4" w:tplc="13D4FB12" w:tentative="1">
      <w:start w:val="1"/>
      <w:numFmt w:val="lowerLetter"/>
      <w:lvlText w:val="%5."/>
      <w:lvlJc w:val="left"/>
      <w:pPr>
        <w:ind w:left="4309" w:hanging="360"/>
      </w:pPr>
    </w:lvl>
    <w:lvl w:ilvl="5" w:tplc="A33A7F80" w:tentative="1">
      <w:start w:val="1"/>
      <w:numFmt w:val="lowerRoman"/>
      <w:lvlText w:val="%6."/>
      <w:lvlJc w:val="right"/>
      <w:pPr>
        <w:ind w:left="5029" w:hanging="180"/>
      </w:pPr>
    </w:lvl>
    <w:lvl w:ilvl="6" w:tplc="C6262318" w:tentative="1">
      <w:start w:val="1"/>
      <w:numFmt w:val="decimal"/>
      <w:lvlText w:val="%7."/>
      <w:lvlJc w:val="left"/>
      <w:pPr>
        <w:ind w:left="5749" w:hanging="360"/>
      </w:pPr>
    </w:lvl>
    <w:lvl w:ilvl="7" w:tplc="A708632C" w:tentative="1">
      <w:start w:val="1"/>
      <w:numFmt w:val="lowerLetter"/>
      <w:lvlText w:val="%8."/>
      <w:lvlJc w:val="left"/>
      <w:pPr>
        <w:ind w:left="6469" w:hanging="360"/>
      </w:pPr>
    </w:lvl>
    <w:lvl w:ilvl="8" w:tplc="250CA8AA" w:tentative="1">
      <w:start w:val="1"/>
      <w:numFmt w:val="lowerRoman"/>
      <w:lvlText w:val="%9."/>
      <w:lvlJc w:val="right"/>
      <w:pPr>
        <w:ind w:left="7189" w:hanging="180"/>
      </w:pPr>
    </w:lvl>
  </w:abstractNum>
  <w:abstractNum w:abstractNumId="42" w15:restartNumberingAfterBreak="0">
    <w:nsid w:val="024D7930"/>
    <w:multiLevelType w:val="hybridMultilevel"/>
    <w:tmpl w:val="CC149E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 w15:restartNumberingAfterBreak="0">
    <w:nsid w:val="027B56E3"/>
    <w:multiLevelType w:val="multilevel"/>
    <w:tmpl w:val="35D249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4" w15:restartNumberingAfterBreak="0">
    <w:nsid w:val="02CC0932"/>
    <w:multiLevelType w:val="multilevel"/>
    <w:tmpl w:val="02CC09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02CF7114"/>
    <w:multiLevelType w:val="hybridMultilevel"/>
    <w:tmpl w:val="3C04DEF4"/>
    <w:lvl w:ilvl="0" w:tplc="F1EA2700">
      <w:start w:val="1"/>
      <w:numFmt w:val="decimal"/>
      <w:lvlText w:val="%1."/>
      <w:lvlJc w:val="left"/>
      <w:pPr>
        <w:ind w:left="720" w:hanging="360"/>
      </w:pPr>
      <w:rPr>
        <w:b w:val="0"/>
        <w:color w:val="000000" w:themeColor="text1"/>
      </w:rPr>
    </w:lvl>
    <w:lvl w:ilvl="1" w:tplc="04220003" w:tentative="1">
      <w:start w:val="1"/>
      <w:numFmt w:val="lowerLetter"/>
      <w:lvlText w:val="%2."/>
      <w:lvlJc w:val="left"/>
      <w:pPr>
        <w:ind w:left="1440" w:hanging="360"/>
      </w:pPr>
    </w:lvl>
    <w:lvl w:ilvl="2" w:tplc="04220005" w:tentative="1">
      <w:start w:val="1"/>
      <w:numFmt w:val="lowerRoman"/>
      <w:lvlText w:val="%3."/>
      <w:lvlJc w:val="right"/>
      <w:pPr>
        <w:ind w:left="2160" w:hanging="180"/>
      </w:pPr>
    </w:lvl>
    <w:lvl w:ilvl="3" w:tplc="04220001" w:tentative="1">
      <w:start w:val="1"/>
      <w:numFmt w:val="decimal"/>
      <w:lvlText w:val="%4."/>
      <w:lvlJc w:val="left"/>
      <w:pPr>
        <w:ind w:left="2880" w:hanging="360"/>
      </w:pPr>
    </w:lvl>
    <w:lvl w:ilvl="4" w:tplc="04220003" w:tentative="1">
      <w:start w:val="1"/>
      <w:numFmt w:val="lowerLetter"/>
      <w:lvlText w:val="%5."/>
      <w:lvlJc w:val="left"/>
      <w:pPr>
        <w:ind w:left="3600" w:hanging="360"/>
      </w:pPr>
    </w:lvl>
    <w:lvl w:ilvl="5" w:tplc="04220005" w:tentative="1">
      <w:start w:val="1"/>
      <w:numFmt w:val="lowerRoman"/>
      <w:lvlText w:val="%6."/>
      <w:lvlJc w:val="right"/>
      <w:pPr>
        <w:ind w:left="4320" w:hanging="180"/>
      </w:pPr>
    </w:lvl>
    <w:lvl w:ilvl="6" w:tplc="04220001" w:tentative="1">
      <w:start w:val="1"/>
      <w:numFmt w:val="decimal"/>
      <w:lvlText w:val="%7."/>
      <w:lvlJc w:val="left"/>
      <w:pPr>
        <w:ind w:left="5040" w:hanging="360"/>
      </w:pPr>
    </w:lvl>
    <w:lvl w:ilvl="7" w:tplc="04220003" w:tentative="1">
      <w:start w:val="1"/>
      <w:numFmt w:val="lowerLetter"/>
      <w:lvlText w:val="%8."/>
      <w:lvlJc w:val="left"/>
      <w:pPr>
        <w:ind w:left="5760" w:hanging="360"/>
      </w:pPr>
    </w:lvl>
    <w:lvl w:ilvl="8" w:tplc="04220005" w:tentative="1">
      <w:start w:val="1"/>
      <w:numFmt w:val="lowerRoman"/>
      <w:lvlText w:val="%9."/>
      <w:lvlJc w:val="right"/>
      <w:pPr>
        <w:ind w:left="6480" w:hanging="180"/>
      </w:pPr>
    </w:lvl>
  </w:abstractNum>
  <w:abstractNum w:abstractNumId="46" w15:restartNumberingAfterBreak="0">
    <w:nsid w:val="02E652FF"/>
    <w:multiLevelType w:val="hybridMultilevel"/>
    <w:tmpl w:val="7FE4DA7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02E654DA"/>
    <w:multiLevelType w:val="hybridMultilevel"/>
    <w:tmpl w:val="FFFFFFFF"/>
    <w:numStyleLink w:val="5"/>
  </w:abstractNum>
  <w:abstractNum w:abstractNumId="48" w15:restartNumberingAfterBreak="0">
    <w:nsid w:val="02ED7AF5"/>
    <w:multiLevelType w:val="hybridMultilevel"/>
    <w:tmpl w:val="57F838EC"/>
    <w:lvl w:ilvl="0" w:tplc="29B66EB0">
      <w:start w:val="1"/>
      <w:numFmt w:val="decimal"/>
      <w:lvlText w:val="%1."/>
      <w:lvlJc w:val="left"/>
      <w:pPr>
        <w:ind w:left="928" w:hanging="360"/>
      </w:pPr>
      <w:rPr>
        <w:rFonts w:hint="default"/>
        <w:sz w:val="28"/>
        <w:szCs w:val="28"/>
      </w:rPr>
    </w:lvl>
    <w:lvl w:ilvl="1" w:tplc="D228CEC2" w:tentative="1">
      <w:start w:val="1"/>
      <w:numFmt w:val="lowerLetter"/>
      <w:lvlText w:val="%2."/>
      <w:lvlJc w:val="left"/>
      <w:pPr>
        <w:ind w:left="1440" w:hanging="360"/>
      </w:pPr>
    </w:lvl>
    <w:lvl w:ilvl="2" w:tplc="A502CC7E" w:tentative="1">
      <w:start w:val="1"/>
      <w:numFmt w:val="lowerRoman"/>
      <w:lvlText w:val="%3."/>
      <w:lvlJc w:val="right"/>
      <w:pPr>
        <w:ind w:left="2160" w:hanging="180"/>
      </w:pPr>
    </w:lvl>
    <w:lvl w:ilvl="3" w:tplc="7A36DFC0" w:tentative="1">
      <w:start w:val="1"/>
      <w:numFmt w:val="decimal"/>
      <w:lvlText w:val="%4."/>
      <w:lvlJc w:val="left"/>
      <w:pPr>
        <w:ind w:left="2880" w:hanging="360"/>
      </w:pPr>
    </w:lvl>
    <w:lvl w:ilvl="4" w:tplc="618CBB70" w:tentative="1">
      <w:start w:val="1"/>
      <w:numFmt w:val="lowerLetter"/>
      <w:lvlText w:val="%5."/>
      <w:lvlJc w:val="left"/>
      <w:pPr>
        <w:ind w:left="3600" w:hanging="360"/>
      </w:pPr>
    </w:lvl>
    <w:lvl w:ilvl="5" w:tplc="56FED4F8" w:tentative="1">
      <w:start w:val="1"/>
      <w:numFmt w:val="lowerRoman"/>
      <w:lvlText w:val="%6."/>
      <w:lvlJc w:val="right"/>
      <w:pPr>
        <w:ind w:left="4320" w:hanging="180"/>
      </w:pPr>
    </w:lvl>
    <w:lvl w:ilvl="6" w:tplc="E4729B08" w:tentative="1">
      <w:start w:val="1"/>
      <w:numFmt w:val="decimal"/>
      <w:lvlText w:val="%7."/>
      <w:lvlJc w:val="left"/>
      <w:pPr>
        <w:ind w:left="5040" w:hanging="360"/>
      </w:pPr>
    </w:lvl>
    <w:lvl w:ilvl="7" w:tplc="F3162CAE" w:tentative="1">
      <w:start w:val="1"/>
      <w:numFmt w:val="lowerLetter"/>
      <w:lvlText w:val="%8."/>
      <w:lvlJc w:val="left"/>
      <w:pPr>
        <w:ind w:left="5760" w:hanging="360"/>
      </w:pPr>
    </w:lvl>
    <w:lvl w:ilvl="8" w:tplc="8A0C6BCC" w:tentative="1">
      <w:start w:val="1"/>
      <w:numFmt w:val="lowerRoman"/>
      <w:lvlText w:val="%9."/>
      <w:lvlJc w:val="right"/>
      <w:pPr>
        <w:ind w:left="6480" w:hanging="180"/>
      </w:pPr>
    </w:lvl>
  </w:abstractNum>
  <w:abstractNum w:abstractNumId="49" w15:restartNumberingAfterBreak="0">
    <w:nsid w:val="032304CC"/>
    <w:multiLevelType w:val="hybridMultilevel"/>
    <w:tmpl w:val="3300D94E"/>
    <w:lvl w:ilvl="0" w:tplc="61347490">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0" w15:restartNumberingAfterBreak="0">
    <w:nsid w:val="034D54C4"/>
    <w:multiLevelType w:val="hybridMultilevel"/>
    <w:tmpl w:val="1FEAD1CE"/>
    <w:lvl w:ilvl="0" w:tplc="66BE2776">
      <w:start w:val="1"/>
      <w:numFmt w:val="decimal"/>
      <w:lvlText w:val="%1."/>
      <w:lvlJc w:val="left"/>
      <w:pPr>
        <w:ind w:left="720" w:hanging="360"/>
      </w:pPr>
      <w:rPr>
        <w:rFonts w:ascii="Times New Roman" w:hAnsi="Times New Roman" w:cs="Times New Roman" w:hint="default"/>
        <w:b w:val="0"/>
        <w:i/>
        <w:color w:val="000000"/>
        <w:sz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1" w15:restartNumberingAfterBreak="0">
    <w:nsid w:val="03627557"/>
    <w:multiLevelType w:val="multilevel"/>
    <w:tmpl w:val="AEA0D04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0381253A"/>
    <w:multiLevelType w:val="hybridMultilevel"/>
    <w:tmpl w:val="F06AD338"/>
    <w:lvl w:ilvl="0" w:tplc="8E98D12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3" w15:restartNumberingAfterBreak="0">
    <w:nsid w:val="03A4627C"/>
    <w:multiLevelType w:val="hybridMultilevel"/>
    <w:tmpl w:val="DE1C6904"/>
    <w:lvl w:ilvl="0" w:tplc="C73E1E0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03D00494"/>
    <w:multiLevelType w:val="hybridMultilevel"/>
    <w:tmpl w:val="A8D689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15:restartNumberingAfterBreak="0">
    <w:nsid w:val="03D07411"/>
    <w:multiLevelType w:val="hybridMultilevel"/>
    <w:tmpl w:val="1262B6F6"/>
    <w:lvl w:ilvl="0" w:tplc="0422000F">
      <w:start w:val="1"/>
      <w:numFmt w:val="decimal"/>
      <w:lvlText w:val="%1."/>
      <w:lvlJc w:val="left"/>
      <w:pPr>
        <w:ind w:left="502" w:hanging="360"/>
      </w:p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56" w15:restartNumberingAfterBreak="0">
    <w:nsid w:val="04090729"/>
    <w:multiLevelType w:val="hybridMultilevel"/>
    <w:tmpl w:val="4F62BE94"/>
    <w:lvl w:ilvl="0" w:tplc="EE2A44DA">
      <w:start w:val="1"/>
      <w:numFmt w:val="decimal"/>
      <w:lvlText w:val="%1."/>
      <w:lvlJc w:val="left"/>
      <w:pPr>
        <w:ind w:left="720" w:hanging="360"/>
      </w:pPr>
    </w:lvl>
    <w:lvl w:ilvl="1" w:tplc="D2C66BE8" w:tentative="1">
      <w:start w:val="1"/>
      <w:numFmt w:val="lowerLetter"/>
      <w:lvlText w:val="%2."/>
      <w:lvlJc w:val="left"/>
      <w:pPr>
        <w:ind w:left="1440" w:hanging="360"/>
      </w:pPr>
    </w:lvl>
    <w:lvl w:ilvl="2" w:tplc="0504DB82" w:tentative="1">
      <w:start w:val="1"/>
      <w:numFmt w:val="lowerRoman"/>
      <w:lvlText w:val="%3."/>
      <w:lvlJc w:val="right"/>
      <w:pPr>
        <w:ind w:left="2160" w:hanging="180"/>
      </w:pPr>
    </w:lvl>
    <w:lvl w:ilvl="3" w:tplc="BB484482" w:tentative="1">
      <w:start w:val="1"/>
      <w:numFmt w:val="decimal"/>
      <w:lvlText w:val="%4."/>
      <w:lvlJc w:val="left"/>
      <w:pPr>
        <w:ind w:left="2880" w:hanging="360"/>
      </w:pPr>
    </w:lvl>
    <w:lvl w:ilvl="4" w:tplc="A448EB62" w:tentative="1">
      <w:start w:val="1"/>
      <w:numFmt w:val="lowerLetter"/>
      <w:lvlText w:val="%5."/>
      <w:lvlJc w:val="left"/>
      <w:pPr>
        <w:ind w:left="3600" w:hanging="360"/>
      </w:pPr>
    </w:lvl>
    <w:lvl w:ilvl="5" w:tplc="A1582E2E" w:tentative="1">
      <w:start w:val="1"/>
      <w:numFmt w:val="lowerRoman"/>
      <w:lvlText w:val="%6."/>
      <w:lvlJc w:val="right"/>
      <w:pPr>
        <w:ind w:left="4320" w:hanging="180"/>
      </w:pPr>
    </w:lvl>
    <w:lvl w:ilvl="6" w:tplc="F300F9BE" w:tentative="1">
      <w:start w:val="1"/>
      <w:numFmt w:val="decimal"/>
      <w:lvlText w:val="%7."/>
      <w:lvlJc w:val="left"/>
      <w:pPr>
        <w:ind w:left="5040" w:hanging="360"/>
      </w:pPr>
    </w:lvl>
    <w:lvl w:ilvl="7" w:tplc="6F30EC08" w:tentative="1">
      <w:start w:val="1"/>
      <w:numFmt w:val="lowerLetter"/>
      <w:lvlText w:val="%8."/>
      <w:lvlJc w:val="left"/>
      <w:pPr>
        <w:ind w:left="5760" w:hanging="360"/>
      </w:pPr>
    </w:lvl>
    <w:lvl w:ilvl="8" w:tplc="B5BEDD90" w:tentative="1">
      <w:start w:val="1"/>
      <w:numFmt w:val="lowerRoman"/>
      <w:lvlText w:val="%9."/>
      <w:lvlJc w:val="right"/>
      <w:pPr>
        <w:ind w:left="6480" w:hanging="180"/>
      </w:pPr>
    </w:lvl>
  </w:abstractNum>
  <w:abstractNum w:abstractNumId="57" w15:restartNumberingAfterBreak="0">
    <w:nsid w:val="04237025"/>
    <w:multiLevelType w:val="multilevel"/>
    <w:tmpl w:val="28EC35E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8" w15:restartNumberingAfterBreak="0">
    <w:nsid w:val="045F69A6"/>
    <w:multiLevelType w:val="multilevel"/>
    <w:tmpl w:val="045F69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046F57A0"/>
    <w:multiLevelType w:val="multilevel"/>
    <w:tmpl w:val="A0EE5D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048C2D4B"/>
    <w:multiLevelType w:val="hybridMultilevel"/>
    <w:tmpl w:val="785CBEE0"/>
    <w:lvl w:ilvl="0" w:tplc="9F668304">
      <w:start w:val="1"/>
      <w:numFmt w:val="decimal"/>
      <w:lvlText w:val="%1."/>
      <w:lvlJc w:val="left"/>
      <w:pPr>
        <w:ind w:left="1429" w:hanging="360"/>
      </w:pPr>
      <w:rPr>
        <w:b w:val="0"/>
      </w:rPr>
    </w:lvl>
    <w:lvl w:ilvl="1" w:tplc="CB308744" w:tentative="1">
      <w:start w:val="1"/>
      <w:numFmt w:val="lowerLetter"/>
      <w:lvlText w:val="%2."/>
      <w:lvlJc w:val="left"/>
      <w:pPr>
        <w:ind w:left="2149" w:hanging="360"/>
      </w:pPr>
    </w:lvl>
    <w:lvl w:ilvl="2" w:tplc="C95A023E" w:tentative="1">
      <w:start w:val="1"/>
      <w:numFmt w:val="lowerRoman"/>
      <w:lvlText w:val="%3."/>
      <w:lvlJc w:val="right"/>
      <w:pPr>
        <w:ind w:left="2869" w:hanging="180"/>
      </w:pPr>
    </w:lvl>
    <w:lvl w:ilvl="3" w:tplc="5BF893E4" w:tentative="1">
      <w:start w:val="1"/>
      <w:numFmt w:val="decimal"/>
      <w:lvlText w:val="%4."/>
      <w:lvlJc w:val="left"/>
      <w:pPr>
        <w:ind w:left="3589" w:hanging="360"/>
      </w:pPr>
    </w:lvl>
    <w:lvl w:ilvl="4" w:tplc="13D4FB12" w:tentative="1">
      <w:start w:val="1"/>
      <w:numFmt w:val="lowerLetter"/>
      <w:lvlText w:val="%5."/>
      <w:lvlJc w:val="left"/>
      <w:pPr>
        <w:ind w:left="4309" w:hanging="360"/>
      </w:pPr>
    </w:lvl>
    <w:lvl w:ilvl="5" w:tplc="A33A7F80" w:tentative="1">
      <w:start w:val="1"/>
      <w:numFmt w:val="lowerRoman"/>
      <w:lvlText w:val="%6."/>
      <w:lvlJc w:val="right"/>
      <w:pPr>
        <w:ind w:left="5029" w:hanging="180"/>
      </w:pPr>
    </w:lvl>
    <w:lvl w:ilvl="6" w:tplc="C6262318" w:tentative="1">
      <w:start w:val="1"/>
      <w:numFmt w:val="decimal"/>
      <w:lvlText w:val="%7."/>
      <w:lvlJc w:val="left"/>
      <w:pPr>
        <w:ind w:left="5749" w:hanging="360"/>
      </w:pPr>
    </w:lvl>
    <w:lvl w:ilvl="7" w:tplc="A708632C" w:tentative="1">
      <w:start w:val="1"/>
      <w:numFmt w:val="lowerLetter"/>
      <w:lvlText w:val="%8."/>
      <w:lvlJc w:val="left"/>
      <w:pPr>
        <w:ind w:left="6469" w:hanging="360"/>
      </w:pPr>
    </w:lvl>
    <w:lvl w:ilvl="8" w:tplc="250CA8AA" w:tentative="1">
      <w:start w:val="1"/>
      <w:numFmt w:val="lowerRoman"/>
      <w:lvlText w:val="%9."/>
      <w:lvlJc w:val="right"/>
      <w:pPr>
        <w:ind w:left="7189" w:hanging="180"/>
      </w:pPr>
    </w:lvl>
  </w:abstractNum>
  <w:abstractNum w:abstractNumId="61" w15:restartNumberingAfterBreak="0">
    <w:nsid w:val="04A013C9"/>
    <w:multiLevelType w:val="multilevel"/>
    <w:tmpl w:val="92FA29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62" w15:restartNumberingAfterBreak="0">
    <w:nsid w:val="04AF6E18"/>
    <w:multiLevelType w:val="multilevel"/>
    <w:tmpl w:val="C2667F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04B54E63"/>
    <w:multiLevelType w:val="hybridMultilevel"/>
    <w:tmpl w:val="ABA6A300"/>
    <w:lvl w:ilvl="0" w:tplc="0419000F">
      <w:start w:val="1"/>
      <w:numFmt w:val="decimal"/>
      <w:lvlText w:val="%1."/>
      <w:lvlJc w:val="left"/>
      <w:pPr>
        <w:ind w:left="1170" w:hanging="360"/>
      </w:pPr>
    </w:lvl>
    <w:lvl w:ilvl="1" w:tplc="04190019" w:tentative="1">
      <w:start w:val="1"/>
      <w:numFmt w:val="lowerLetter"/>
      <w:lvlText w:val="%2."/>
      <w:lvlJc w:val="left"/>
      <w:pPr>
        <w:ind w:left="1890" w:hanging="360"/>
      </w:pPr>
    </w:lvl>
    <w:lvl w:ilvl="2" w:tplc="0419001B" w:tentative="1">
      <w:start w:val="1"/>
      <w:numFmt w:val="lowerRoman"/>
      <w:lvlText w:val="%3."/>
      <w:lvlJc w:val="right"/>
      <w:pPr>
        <w:ind w:left="2610" w:hanging="180"/>
      </w:pPr>
    </w:lvl>
    <w:lvl w:ilvl="3" w:tplc="0419000F" w:tentative="1">
      <w:start w:val="1"/>
      <w:numFmt w:val="decimal"/>
      <w:lvlText w:val="%4."/>
      <w:lvlJc w:val="left"/>
      <w:pPr>
        <w:ind w:left="3330" w:hanging="360"/>
      </w:pPr>
    </w:lvl>
    <w:lvl w:ilvl="4" w:tplc="04190019" w:tentative="1">
      <w:start w:val="1"/>
      <w:numFmt w:val="lowerLetter"/>
      <w:lvlText w:val="%5."/>
      <w:lvlJc w:val="left"/>
      <w:pPr>
        <w:ind w:left="4050" w:hanging="360"/>
      </w:pPr>
    </w:lvl>
    <w:lvl w:ilvl="5" w:tplc="0419001B" w:tentative="1">
      <w:start w:val="1"/>
      <w:numFmt w:val="lowerRoman"/>
      <w:lvlText w:val="%6."/>
      <w:lvlJc w:val="right"/>
      <w:pPr>
        <w:ind w:left="4770" w:hanging="180"/>
      </w:pPr>
    </w:lvl>
    <w:lvl w:ilvl="6" w:tplc="0419000F" w:tentative="1">
      <w:start w:val="1"/>
      <w:numFmt w:val="decimal"/>
      <w:lvlText w:val="%7."/>
      <w:lvlJc w:val="left"/>
      <w:pPr>
        <w:ind w:left="5490" w:hanging="360"/>
      </w:pPr>
    </w:lvl>
    <w:lvl w:ilvl="7" w:tplc="04190019" w:tentative="1">
      <w:start w:val="1"/>
      <w:numFmt w:val="lowerLetter"/>
      <w:lvlText w:val="%8."/>
      <w:lvlJc w:val="left"/>
      <w:pPr>
        <w:ind w:left="6210" w:hanging="360"/>
      </w:pPr>
    </w:lvl>
    <w:lvl w:ilvl="8" w:tplc="0419001B" w:tentative="1">
      <w:start w:val="1"/>
      <w:numFmt w:val="lowerRoman"/>
      <w:lvlText w:val="%9."/>
      <w:lvlJc w:val="right"/>
      <w:pPr>
        <w:ind w:left="6930" w:hanging="180"/>
      </w:pPr>
    </w:lvl>
  </w:abstractNum>
  <w:abstractNum w:abstractNumId="64" w15:restartNumberingAfterBreak="0">
    <w:nsid w:val="04DC0A78"/>
    <w:multiLevelType w:val="multilevel"/>
    <w:tmpl w:val="B91ACBC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65" w15:restartNumberingAfterBreak="0">
    <w:nsid w:val="04E649DC"/>
    <w:multiLevelType w:val="hybridMultilevel"/>
    <w:tmpl w:val="244017A0"/>
    <w:lvl w:ilvl="0" w:tplc="A4086B80">
      <w:start w:val="1"/>
      <w:numFmt w:val="decimal"/>
      <w:lvlText w:val="%1."/>
      <w:lvlJc w:val="left"/>
      <w:pPr>
        <w:ind w:left="720" w:hanging="360"/>
      </w:pPr>
    </w:lvl>
    <w:lvl w:ilvl="1" w:tplc="9762EED4">
      <w:start w:val="1"/>
      <w:numFmt w:val="lowerLetter"/>
      <w:lvlText w:val="%2."/>
      <w:lvlJc w:val="left"/>
      <w:pPr>
        <w:ind w:left="1440" w:hanging="360"/>
      </w:pPr>
    </w:lvl>
    <w:lvl w:ilvl="2" w:tplc="F7786E46">
      <w:start w:val="1"/>
      <w:numFmt w:val="lowerRoman"/>
      <w:lvlText w:val="%3."/>
      <w:lvlJc w:val="right"/>
      <w:pPr>
        <w:ind w:left="2160" w:hanging="180"/>
      </w:pPr>
    </w:lvl>
    <w:lvl w:ilvl="3" w:tplc="09F2C59A">
      <w:start w:val="1"/>
      <w:numFmt w:val="decimal"/>
      <w:lvlText w:val="%4."/>
      <w:lvlJc w:val="left"/>
      <w:pPr>
        <w:ind w:left="2880" w:hanging="360"/>
      </w:pPr>
    </w:lvl>
    <w:lvl w:ilvl="4" w:tplc="4AC620E4">
      <w:start w:val="1"/>
      <w:numFmt w:val="lowerLetter"/>
      <w:lvlText w:val="%5."/>
      <w:lvlJc w:val="left"/>
      <w:pPr>
        <w:ind w:left="3600" w:hanging="360"/>
      </w:pPr>
    </w:lvl>
    <w:lvl w:ilvl="5" w:tplc="1916D1B4">
      <w:start w:val="1"/>
      <w:numFmt w:val="lowerRoman"/>
      <w:lvlText w:val="%6."/>
      <w:lvlJc w:val="right"/>
      <w:pPr>
        <w:ind w:left="4320" w:hanging="180"/>
      </w:pPr>
    </w:lvl>
    <w:lvl w:ilvl="6" w:tplc="90DA8D9C">
      <w:start w:val="1"/>
      <w:numFmt w:val="decimal"/>
      <w:lvlText w:val="%7."/>
      <w:lvlJc w:val="left"/>
      <w:pPr>
        <w:ind w:left="5040" w:hanging="360"/>
      </w:pPr>
    </w:lvl>
    <w:lvl w:ilvl="7" w:tplc="346C6530">
      <w:start w:val="1"/>
      <w:numFmt w:val="lowerLetter"/>
      <w:lvlText w:val="%8."/>
      <w:lvlJc w:val="left"/>
      <w:pPr>
        <w:ind w:left="5760" w:hanging="360"/>
      </w:pPr>
    </w:lvl>
    <w:lvl w:ilvl="8" w:tplc="3E06D99C">
      <w:start w:val="1"/>
      <w:numFmt w:val="lowerRoman"/>
      <w:lvlText w:val="%9."/>
      <w:lvlJc w:val="right"/>
      <w:pPr>
        <w:ind w:left="6480" w:hanging="180"/>
      </w:pPr>
    </w:lvl>
  </w:abstractNum>
  <w:abstractNum w:abstractNumId="66" w15:restartNumberingAfterBreak="0">
    <w:nsid w:val="051B0FFB"/>
    <w:multiLevelType w:val="multilevel"/>
    <w:tmpl w:val="AB9030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67" w15:restartNumberingAfterBreak="0">
    <w:nsid w:val="05216C4B"/>
    <w:multiLevelType w:val="multilevel"/>
    <w:tmpl w:val="947E2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053D16A3"/>
    <w:multiLevelType w:val="hybridMultilevel"/>
    <w:tmpl w:val="ECA29DB6"/>
    <w:lvl w:ilvl="0" w:tplc="DDB04F26">
      <w:start w:val="1"/>
      <w:numFmt w:val="decimal"/>
      <w:lvlText w:val="%1."/>
      <w:lvlJc w:val="left"/>
      <w:pPr>
        <w:ind w:left="720" w:hanging="360"/>
      </w:pPr>
      <w:rPr>
        <w:rFonts w:hint="default"/>
        <w:b w:val="0"/>
        <w:i w:val="0"/>
        <w:sz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9" w15:restartNumberingAfterBreak="0">
    <w:nsid w:val="058749F0"/>
    <w:multiLevelType w:val="hybridMultilevel"/>
    <w:tmpl w:val="13C4C274"/>
    <w:lvl w:ilvl="0" w:tplc="0FAC7BE2">
      <w:start w:val="1"/>
      <w:numFmt w:val="decimal"/>
      <w:lvlText w:val="%1."/>
      <w:lvlJc w:val="left"/>
      <w:pPr>
        <w:ind w:left="720" w:hanging="360"/>
      </w:pPr>
      <w:rPr>
        <w:rFonts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0" w15:restartNumberingAfterBreak="0">
    <w:nsid w:val="05A94B65"/>
    <w:multiLevelType w:val="hybridMultilevel"/>
    <w:tmpl w:val="95A669F6"/>
    <w:lvl w:ilvl="0" w:tplc="7E3C207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15:restartNumberingAfterBreak="0">
    <w:nsid w:val="05C574FC"/>
    <w:multiLevelType w:val="multilevel"/>
    <w:tmpl w:val="70B8A026"/>
    <w:lvl w:ilvl="0">
      <w:start w:val="1"/>
      <w:numFmt w:val="decimal"/>
      <w:lvlText w:val="%1."/>
      <w:lvlJc w:val="left"/>
      <w:pPr>
        <w:ind w:left="2149" w:hanging="360"/>
      </w:p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72" w15:restartNumberingAfterBreak="0">
    <w:nsid w:val="05F66093"/>
    <w:multiLevelType w:val="hybridMultilevel"/>
    <w:tmpl w:val="5492F1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15:restartNumberingAfterBreak="0">
    <w:nsid w:val="05F948E4"/>
    <w:multiLevelType w:val="hybridMultilevel"/>
    <w:tmpl w:val="5A7E2034"/>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15:restartNumberingAfterBreak="0">
    <w:nsid w:val="05FD6D3E"/>
    <w:multiLevelType w:val="multilevel"/>
    <w:tmpl w:val="81CE57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5" w15:restartNumberingAfterBreak="0">
    <w:nsid w:val="061E6CC1"/>
    <w:multiLevelType w:val="hybridMultilevel"/>
    <w:tmpl w:val="08A62DE4"/>
    <w:lvl w:ilvl="0" w:tplc="F8F6C29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6" w15:restartNumberingAfterBreak="0">
    <w:nsid w:val="062318FF"/>
    <w:multiLevelType w:val="multilevel"/>
    <w:tmpl w:val="6E10C8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7" w15:restartNumberingAfterBreak="0">
    <w:nsid w:val="0647F15A"/>
    <w:multiLevelType w:val="singleLevel"/>
    <w:tmpl w:val="0647F15A"/>
    <w:lvl w:ilvl="0">
      <w:start w:val="1"/>
      <w:numFmt w:val="decimal"/>
      <w:suff w:val="space"/>
      <w:lvlText w:val="%1."/>
      <w:lvlJc w:val="left"/>
    </w:lvl>
  </w:abstractNum>
  <w:abstractNum w:abstractNumId="78" w15:restartNumberingAfterBreak="0">
    <w:nsid w:val="0656408C"/>
    <w:multiLevelType w:val="multilevel"/>
    <w:tmpl w:val="E32A54F6"/>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79" w15:restartNumberingAfterBreak="0">
    <w:nsid w:val="068D6E28"/>
    <w:multiLevelType w:val="hybridMultilevel"/>
    <w:tmpl w:val="D94A84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069B1C32"/>
    <w:multiLevelType w:val="hybridMultilevel"/>
    <w:tmpl w:val="C30C498A"/>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1" w15:restartNumberingAfterBreak="0">
    <w:nsid w:val="06AA55D0"/>
    <w:multiLevelType w:val="hybridMultilevel"/>
    <w:tmpl w:val="7FA8E60A"/>
    <w:lvl w:ilvl="0" w:tplc="8BB2BBF0">
      <w:start w:val="1"/>
      <w:numFmt w:val="decimal"/>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2" w15:restartNumberingAfterBreak="0">
    <w:nsid w:val="06EC2BA3"/>
    <w:multiLevelType w:val="hybridMultilevel"/>
    <w:tmpl w:val="38A22DBA"/>
    <w:lvl w:ilvl="0" w:tplc="C2F02C30">
      <w:start w:val="1"/>
      <w:numFmt w:val="decimal"/>
      <w:lvlText w:val="%1."/>
      <w:lvlJc w:val="left"/>
      <w:pPr>
        <w:ind w:left="1080" w:hanging="360"/>
      </w:pPr>
      <w:rPr>
        <w:rFonts w:hint="default"/>
        <w:sz w:val="28"/>
        <w:szCs w:val="28"/>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83" w15:restartNumberingAfterBreak="0">
    <w:nsid w:val="06F62C99"/>
    <w:multiLevelType w:val="multilevel"/>
    <w:tmpl w:val="EBE42E1A"/>
    <w:lvl w:ilvl="0">
      <w:start w:val="1"/>
      <w:numFmt w:val="decimal"/>
      <w:lvlText w:val="%1)"/>
      <w:lvlJc w:val="left"/>
      <w:pPr>
        <w:ind w:left="720" w:hanging="360"/>
      </w:pPr>
      <w:rPr>
        <w:rFonts w:ascii="Times New Roman" w:eastAsia="Times New Roman" w:hAnsi="Times New Roman" w:cs="Times New Roman"/>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4" w15:restartNumberingAfterBreak="0">
    <w:nsid w:val="070A3541"/>
    <w:multiLevelType w:val="multilevel"/>
    <w:tmpl w:val="809C67D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072B219F"/>
    <w:multiLevelType w:val="hybridMultilevel"/>
    <w:tmpl w:val="086C5E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15:restartNumberingAfterBreak="0">
    <w:nsid w:val="072D68C5"/>
    <w:multiLevelType w:val="multilevel"/>
    <w:tmpl w:val="072D68C5"/>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7" w15:restartNumberingAfterBreak="0">
    <w:nsid w:val="072F5055"/>
    <w:multiLevelType w:val="hybridMultilevel"/>
    <w:tmpl w:val="2BB66D4C"/>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88" w15:restartNumberingAfterBreak="0">
    <w:nsid w:val="075E561B"/>
    <w:multiLevelType w:val="hybridMultilevel"/>
    <w:tmpl w:val="A6A0B5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15:restartNumberingAfterBreak="0">
    <w:nsid w:val="077B25A8"/>
    <w:multiLevelType w:val="hybridMultilevel"/>
    <w:tmpl w:val="352638E6"/>
    <w:lvl w:ilvl="0" w:tplc="E96EB56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0" w15:restartNumberingAfterBreak="0">
    <w:nsid w:val="079812CC"/>
    <w:multiLevelType w:val="hybridMultilevel"/>
    <w:tmpl w:val="B2969920"/>
    <w:lvl w:ilvl="0" w:tplc="0419000F">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91" w15:restartNumberingAfterBreak="0">
    <w:nsid w:val="07B717F7"/>
    <w:multiLevelType w:val="hybridMultilevel"/>
    <w:tmpl w:val="19343F7E"/>
    <w:lvl w:ilvl="0" w:tplc="D01EC74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2" w15:restartNumberingAfterBreak="0">
    <w:nsid w:val="08001CFF"/>
    <w:multiLevelType w:val="hybridMultilevel"/>
    <w:tmpl w:val="68A84C2E"/>
    <w:lvl w:ilvl="0" w:tplc="2D463F6A">
      <w:start w:val="1"/>
      <w:numFmt w:val="decimal"/>
      <w:lvlText w:val="%1."/>
      <w:lvlJc w:val="left"/>
      <w:pPr>
        <w:ind w:left="1069" w:hanging="360"/>
      </w:pPr>
      <w:rPr>
        <w:rFonts w:hint="default"/>
      </w:rPr>
    </w:lvl>
    <w:lvl w:ilvl="1" w:tplc="332EB18E" w:tentative="1">
      <w:start w:val="1"/>
      <w:numFmt w:val="lowerLetter"/>
      <w:lvlText w:val="%2."/>
      <w:lvlJc w:val="left"/>
      <w:pPr>
        <w:ind w:left="1789" w:hanging="360"/>
      </w:pPr>
    </w:lvl>
    <w:lvl w:ilvl="2" w:tplc="214CD2D8" w:tentative="1">
      <w:start w:val="1"/>
      <w:numFmt w:val="lowerRoman"/>
      <w:lvlText w:val="%3."/>
      <w:lvlJc w:val="right"/>
      <w:pPr>
        <w:ind w:left="2509" w:hanging="180"/>
      </w:pPr>
    </w:lvl>
    <w:lvl w:ilvl="3" w:tplc="51B87248" w:tentative="1">
      <w:start w:val="1"/>
      <w:numFmt w:val="decimal"/>
      <w:lvlText w:val="%4."/>
      <w:lvlJc w:val="left"/>
      <w:pPr>
        <w:ind w:left="3229" w:hanging="360"/>
      </w:pPr>
    </w:lvl>
    <w:lvl w:ilvl="4" w:tplc="C534EE70" w:tentative="1">
      <w:start w:val="1"/>
      <w:numFmt w:val="lowerLetter"/>
      <w:lvlText w:val="%5."/>
      <w:lvlJc w:val="left"/>
      <w:pPr>
        <w:ind w:left="3949" w:hanging="360"/>
      </w:pPr>
    </w:lvl>
    <w:lvl w:ilvl="5" w:tplc="DC1847B2" w:tentative="1">
      <w:start w:val="1"/>
      <w:numFmt w:val="lowerRoman"/>
      <w:lvlText w:val="%6."/>
      <w:lvlJc w:val="right"/>
      <w:pPr>
        <w:ind w:left="4669" w:hanging="180"/>
      </w:pPr>
    </w:lvl>
    <w:lvl w:ilvl="6" w:tplc="D2CA42BC" w:tentative="1">
      <w:start w:val="1"/>
      <w:numFmt w:val="decimal"/>
      <w:lvlText w:val="%7."/>
      <w:lvlJc w:val="left"/>
      <w:pPr>
        <w:ind w:left="5389" w:hanging="360"/>
      </w:pPr>
    </w:lvl>
    <w:lvl w:ilvl="7" w:tplc="9A08B6A2" w:tentative="1">
      <w:start w:val="1"/>
      <w:numFmt w:val="lowerLetter"/>
      <w:lvlText w:val="%8."/>
      <w:lvlJc w:val="left"/>
      <w:pPr>
        <w:ind w:left="6109" w:hanging="360"/>
      </w:pPr>
    </w:lvl>
    <w:lvl w:ilvl="8" w:tplc="083E934C" w:tentative="1">
      <w:start w:val="1"/>
      <w:numFmt w:val="lowerRoman"/>
      <w:lvlText w:val="%9."/>
      <w:lvlJc w:val="right"/>
      <w:pPr>
        <w:ind w:left="6829" w:hanging="180"/>
      </w:pPr>
    </w:lvl>
  </w:abstractNum>
  <w:abstractNum w:abstractNumId="93" w15:restartNumberingAfterBreak="0">
    <w:nsid w:val="080E3FA9"/>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4" w15:restartNumberingAfterBreak="0">
    <w:nsid w:val="085715B3"/>
    <w:multiLevelType w:val="multilevel"/>
    <w:tmpl w:val="FFFFFFFF"/>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5" w15:restartNumberingAfterBreak="0">
    <w:nsid w:val="08607FD2"/>
    <w:multiLevelType w:val="hybridMultilevel"/>
    <w:tmpl w:val="4424926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6" w15:restartNumberingAfterBreak="0">
    <w:nsid w:val="08EE561B"/>
    <w:multiLevelType w:val="hybridMultilevel"/>
    <w:tmpl w:val="9C7A59D4"/>
    <w:lvl w:ilvl="0" w:tplc="4C782EA0">
      <w:start w:val="1"/>
      <w:numFmt w:val="decimal"/>
      <w:lvlText w:val="%1."/>
      <w:lvlJc w:val="left"/>
      <w:pPr>
        <w:ind w:left="756" w:hanging="396"/>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7" w15:restartNumberingAfterBreak="0">
    <w:nsid w:val="08F2E1FB"/>
    <w:multiLevelType w:val="hybridMultilevel"/>
    <w:tmpl w:val="445607D2"/>
    <w:lvl w:ilvl="0" w:tplc="87B6F2B0">
      <w:start w:val="1"/>
      <w:numFmt w:val="decimal"/>
      <w:lvlText w:val="%1."/>
      <w:lvlJc w:val="left"/>
      <w:pPr>
        <w:ind w:left="720" w:hanging="360"/>
      </w:pPr>
    </w:lvl>
    <w:lvl w:ilvl="1" w:tplc="0D5C068E">
      <w:start w:val="1"/>
      <w:numFmt w:val="lowerLetter"/>
      <w:lvlText w:val="%2."/>
      <w:lvlJc w:val="left"/>
      <w:pPr>
        <w:ind w:left="1440" w:hanging="360"/>
      </w:pPr>
    </w:lvl>
    <w:lvl w:ilvl="2" w:tplc="EB3E27E2">
      <w:start w:val="1"/>
      <w:numFmt w:val="lowerRoman"/>
      <w:lvlText w:val="%3."/>
      <w:lvlJc w:val="right"/>
      <w:pPr>
        <w:ind w:left="2160" w:hanging="180"/>
      </w:pPr>
    </w:lvl>
    <w:lvl w:ilvl="3" w:tplc="7056F8A6">
      <w:start w:val="1"/>
      <w:numFmt w:val="decimal"/>
      <w:lvlText w:val="%4."/>
      <w:lvlJc w:val="left"/>
      <w:pPr>
        <w:ind w:left="2880" w:hanging="360"/>
      </w:pPr>
    </w:lvl>
    <w:lvl w:ilvl="4" w:tplc="B5BC8680">
      <w:start w:val="1"/>
      <w:numFmt w:val="lowerLetter"/>
      <w:lvlText w:val="%5."/>
      <w:lvlJc w:val="left"/>
      <w:pPr>
        <w:ind w:left="3600" w:hanging="360"/>
      </w:pPr>
    </w:lvl>
    <w:lvl w:ilvl="5" w:tplc="814A8014">
      <w:start w:val="1"/>
      <w:numFmt w:val="lowerRoman"/>
      <w:lvlText w:val="%6."/>
      <w:lvlJc w:val="right"/>
      <w:pPr>
        <w:ind w:left="4320" w:hanging="180"/>
      </w:pPr>
    </w:lvl>
    <w:lvl w:ilvl="6" w:tplc="E730A112">
      <w:start w:val="1"/>
      <w:numFmt w:val="decimal"/>
      <w:lvlText w:val="%7."/>
      <w:lvlJc w:val="left"/>
      <w:pPr>
        <w:ind w:left="5040" w:hanging="360"/>
      </w:pPr>
    </w:lvl>
    <w:lvl w:ilvl="7" w:tplc="A2F0696E">
      <w:start w:val="1"/>
      <w:numFmt w:val="lowerLetter"/>
      <w:lvlText w:val="%8."/>
      <w:lvlJc w:val="left"/>
      <w:pPr>
        <w:ind w:left="5760" w:hanging="360"/>
      </w:pPr>
    </w:lvl>
    <w:lvl w:ilvl="8" w:tplc="FD1838A2">
      <w:start w:val="1"/>
      <w:numFmt w:val="lowerRoman"/>
      <w:lvlText w:val="%9."/>
      <w:lvlJc w:val="right"/>
      <w:pPr>
        <w:ind w:left="6480" w:hanging="180"/>
      </w:pPr>
    </w:lvl>
  </w:abstractNum>
  <w:abstractNum w:abstractNumId="98" w15:restartNumberingAfterBreak="0">
    <w:nsid w:val="092B6C12"/>
    <w:multiLevelType w:val="hybridMultilevel"/>
    <w:tmpl w:val="9664E1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15:restartNumberingAfterBreak="0">
    <w:nsid w:val="0975032E"/>
    <w:multiLevelType w:val="multilevel"/>
    <w:tmpl w:val="AFD2A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09790D4A"/>
    <w:multiLevelType w:val="hybridMultilevel"/>
    <w:tmpl w:val="F078BF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1" w15:restartNumberingAfterBreak="0">
    <w:nsid w:val="099F59A1"/>
    <w:multiLevelType w:val="multilevel"/>
    <w:tmpl w:val="9B743D7E"/>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02" w15:restartNumberingAfterBreak="0">
    <w:nsid w:val="099F5ACD"/>
    <w:multiLevelType w:val="hybridMultilevel"/>
    <w:tmpl w:val="EA9E6BE2"/>
    <w:lvl w:ilvl="0" w:tplc="C8A29A60">
      <w:numFmt w:val="bullet"/>
      <w:lvlText w:val="-"/>
      <w:lvlJc w:val="left"/>
      <w:pPr>
        <w:ind w:left="808" w:hanging="360"/>
      </w:pPr>
      <w:rPr>
        <w:rFonts w:ascii="Times New Roman" w:eastAsia="Times New Roman" w:hAnsi="Times New Roman" w:cs="Times New Roman" w:hint="default"/>
      </w:rPr>
    </w:lvl>
    <w:lvl w:ilvl="1" w:tplc="04190003" w:tentative="1">
      <w:start w:val="1"/>
      <w:numFmt w:val="bullet"/>
      <w:lvlText w:val="o"/>
      <w:lvlJc w:val="left"/>
      <w:pPr>
        <w:ind w:left="1528" w:hanging="360"/>
      </w:pPr>
      <w:rPr>
        <w:rFonts w:ascii="Courier New" w:hAnsi="Courier New" w:cs="Courier New" w:hint="default"/>
      </w:rPr>
    </w:lvl>
    <w:lvl w:ilvl="2" w:tplc="04190005" w:tentative="1">
      <w:start w:val="1"/>
      <w:numFmt w:val="bullet"/>
      <w:lvlText w:val=""/>
      <w:lvlJc w:val="left"/>
      <w:pPr>
        <w:ind w:left="2248" w:hanging="360"/>
      </w:pPr>
      <w:rPr>
        <w:rFonts w:ascii="Wingdings" w:hAnsi="Wingdings" w:hint="default"/>
      </w:rPr>
    </w:lvl>
    <w:lvl w:ilvl="3" w:tplc="04190001" w:tentative="1">
      <w:start w:val="1"/>
      <w:numFmt w:val="bullet"/>
      <w:lvlText w:val=""/>
      <w:lvlJc w:val="left"/>
      <w:pPr>
        <w:ind w:left="2968" w:hanging="360"/>
      </w:pPr>
      <w:rPr>
        <w:rFonts w:ascii="Symbol" w:hAnsi="Symbol" w:hint="default"/>
      </w:rPr>
    </w:lvl>
    <w:lvl w:ilvl="4" w:tplc="04190003" w:tentative="1">
      <w:start w:val="1"/>
      <w:numFmt w:val="bullet"/>
      <w:lvlText w:val="o"/>
      <w:lvlJc w:val="left"/>
      <w:pPr>
        <w:ind w:left="3688" w:hanging="360"/>
      </w:pPr>
      <w:rPr>
        <w:rFonts w:ascii="Courier New" w:hAnsi="Courier New" w:cs="Courier New" w:hint="default"/>
      </w:rPr>
    </w:lvl>
    <w:lvl w:ilvl="5" w:tplc="04190005" w:tentative="1">
      <w:start w:val="1"/>
      <w:numFmt w:val="bullet"/>
      <w:lvlText w:val=""/>
      <w:lvlJc w:val="left"/>
      <w:pPr>
        <w:ind w:left="4408" w:hanging="360"/>
      </w:pPr>
      <w:rPr>
        <w:rFonts w:ascii="Wingdings" w:hAnsi="Wingdings" w:hint="default"/>
      </w:rPr>
    </w:lvl>
    <w:lvl w:ilvl="6" w:tplc="04190001" w:tentative="1">
      <w:start w:val="1"/>
      <w:numFmt w:val="bullet"/>
      <w:lvlText w:val=""/>
      <w:lvlJc w:val="left"/>
      <w:pPr>
        <w:ind w:left="5128" w:hanging="360"/>
      </w:pPr>
      <w:rPr>
        <w:rFonts w:ascii="Symbol" w:hAnsi="Symbol" w:hint="default"/>
      </w:rPr>
    </w:lvl>
    <w:lvl w:ilvl="7" w:tplc="04190003" w:tentative="1">
      <w:start w:val="1"/>
      <w:numFmt w:val="bullet"/>
      <w:lvlText w:val="o"/>
      <w:lvlJc w:val="left"/>
      <w:pPr>
        <w:ind w:left="5848" w:hanging="360"/>
      </w:pPr>
      <w:rPr>
        <w:rFonts w:ascii="Courier New" w:hAnsi="Courier New" w:cs="Courier New" w:hint="default"/>
      </w:rPr>
    </w:lvl>
    <w:lvl w:ilvl="8" w:tplc="04190005" w:tentative="1">
      <w:start w:val="1"/>
      <w:numFmt w:val="bullet"/>
      <w:lvlText w:val=""/>
      <w:lvlJc w:val="left"/>
      <w:pPr>
        <w:ind w:left="6568" w:hanging="360"/>
      </w:pPr>
      <w:rPr>
        <w:rFonts w:ascii="Wingdings" w:hAnsi="Wingdings" w:hint="default"/>
      </w:rPr>
    </w:lvl>
  </w:abstractNum>
  <w:abstractNum w:abstractNumId="103" w15:restartNumberingAfterBreak="0">
    <w:nsid w:val="09A35072"/>
    <w:multiLevelType w:val="hybridMultilevel"/>
    <w:tmpl w:val="F6A474C0"/>
    <w:lvl w:ilvl="0" w:tplc="C28AE2C8">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4" w15:restartNumberingAfterBreak="0">
    <w:nsid w:val="09AE1169"/>
    <w:multiLevelType w:val="multilevel"/>
    <w:tmpl w:val="5A56F4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09BD56FE"/>
    <w:multiLevelType w:val="multilevel"/>
    <w:tmpl w:val="19448D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6" w15:restartNumberingAfterBreak="0">
    <w:nsid w:val="09BE0102"/>
    <w:multiLevelType w:val="multilevel"/>
    <w:tmpl w:val="B5866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09CE5966"/>
    <w:multiLevelType w:val="multilevel"/>
    <w:tmpl w:val="D09A3600"/>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0A227378"/>
    <w:multiLevelType w:val="hybridMultilevel"/>
    <w:tmpl w:val="8A1608BA"/>
    <w:lvl w:ilvl="0" w:tplc="BF5809F4">
      <w:start w:val="1"/>
      <w:numFmt w:val="decimal"/>
      <w:lvlText w:val="%1."/>
      <w:lvlJc w:val="left"/>
      <w:pPr>
        <w:ind w:left="720" w:hanging="360"/>
      </w:pPr>
      <w:rPr>
        <w:rFonts w:hint="default"/>
      </w:rPr>
    </w:lvl>
    <w:lvl w:ilvl="1" w:tplc="58264006" w:tentative="1">
      <w:start w:val="1"/>
      <w:numFmt w:val="lowerLetter"/>
      <w:lvlText w:val="%2."/>
      <w:lvlJc w:val="left"/>
      <w:pPr>
        <w:ind w:left="1440" w:hanging="360"/>
      </w:pPr>
    </w:lvl>
    <w:lvl w:ilvl="2" w:tplc="89A6354E" w:tentative="1">
      <w:start w:val="1"/>
      <w:numFmt w:val="lowerRoman"/>
      <w:lvlText w:val="%3."/>
      <w:lvlJc w:val="right"/>
      <w:pPr>
        <w:ind w:left="2160" w:hanging="180"/>
      </w:pPr>
    </w:lvl>
    <w:lvl w:ilvl="3" w:tplc="6976717E" w:tentative="1">
      <w:start w:val="1"/>
      <w:numFmt w:val="decimal"/>
      <w:lvlText w:val="%4."/>
      <w:lvlJc w:val="left"/>
      <w:pPr>
        <w:ind w:left="2880" w:hanging="360"/>
      </w:pPr>
    </w:lvl>
    <w:lvl w:ilvl="4" w:tplc="6024D0C4" w:tentative="1">
      <w:start w:val="1"/>
      <w:numFmt w:val="lowerLetter"/>
      <w:lvlText w:val="%5."/>
      <w:lvlJc w:val="left"/>
      <w:pPr>
        <w:ind w:left="3600" w:hanging="360"/>
      </w:pPr>
    </w:lvl>
    <w:lvl w:ilvl="5" w:tplc="6B46B9AA" w:tentative="1">
      <w:start w:val="1"/>
      <w:numFmt w:val="lowerRoman"/>
      <w:lvlText w:val="%6."/>
      <w:lvlJc w:val="right"/>
      <w:pPr>
        <w:ind w:left="4320" w:hanging="180"/>
      </w:pPr>
    </w:lvl>
    <w:lvl w:ilvl="6" w:tplc="38BE3E00" w:tentative="1">
      <w:start w:val="1"/>
      <w:numFmt w:val="decimal"/>
      <w:lvlText w:val="%7."/>
      <w:lvlJc w:val="left"/>
      <w:pPr>
        <w:ind w:left="5040" w:hanging="360"/>
      </w:pPr>
    </w:lvl>
    <w:lvl w:ilvl="7" w:tplc="E1D09B32" w:tentative="1">
      <w:start w:val="1"/>
      <w:numFmt w:val="lowerLetter"/>
      <w:lvlText w:val="%8."/>
      <w:lvlJc w:val="left"/>
      <w:pPr>
        <w:ind w:left="5760" w:hanging="360"/>
      </w:pPr>
    </w:lvl>
    <w:lvl w:ilvl="8" w:tplc="67884EA0" w:tentative="1">
      <w:start w:val="1"/>
      <w:numFmt w:val="lowerRoman"/>
      <w:lvlText w:val="%9."/>
      <w:lvlJc w:val="right"/>
      <w:pPr>
        <w:ind w:left="6480" w:hanging="180"/>
      </w:pPr>
    </w:lvl>
  </w:abstractNum>
  <w:abstractNum w:abstractNumId="109" w15:restartNumberingAfterBreak="0">
    <w:nsid w:val="0A325124"/>
    <w:multiLevelType w:val="hybridMultilevel"/>
    <w:tmpl w:val="3A4CF3DE"/>
    <w:lvl w:ilvl="0" w:tplc="2000000F">
      <w:start w:val="1"/>
      <w:numFmt w:val="decimal"/>
      <w:lvlText w:val="%1."/>
      <w:lvlJc w:val="left"/>
      <w:pPr>
        <w:ind w:left="720" w:hanging="360"/>
      </w:pPr>
      <w:rPr>
        <w:rFont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0" w15:restartNumberingAfterBreak="0">
    <w:nsid w:val="0A71304B"/>
    <w:multiLevelType w:val="multilevel"/>
    <w:tmpl w:val="09A68B00"/>
    <w:lvl w:ilvl="0">
      <w:start w:val="1"/>
      <w:numFmt w:val="decimal"/>
      <w:lvlText w:val="%1."/>
      <w:lvlJc w:val="left"/>
      <w:pPr>
        <w:ind w:left="1040" w:hanging="360"/>
      </w:pPr>
      <w:rPr>
        <w:rFonts w:ascii="Arial" w:eastAsia="Times New Roman" w:hAnsi="Arial" w:cs="Arial" w:hint="default"/>
      </w:rPr>
    </w:lvl>
    <w:lvl w:ilvl="1">
      <w:start w:val="1"/>
      <w:numFmt w:val="lowerLetter"/>
      <w:lvlText w:val="%2."/>
      <w:lvlJc w:val="left"/>
      <w:pPr>
        <w:ind w:left="1760" w:hanging="360"/>
      </w:pPr>
    </w:lvl>
    <w:lvl w:ilvl="2">
      <w:start w:val="1"/>
      <w:numFmt w:val="lowerRoman"/>
      <w:lvlText w:val="%3."/>
      <w:lvlJc w:val="right"/>
      <w:pPr>
        <w:ind w:left="2480" w:hanging="180"/>
      </w:pPr>
    </w:lvl>
    <w:lvl w:ilvl="3">
      <w:start w:val="1"/>
      <w:numFmt w:val="decimal"/>
      <w:lvlText w:val="%4."/>
      <w:lvlJc w:val="left"/>
      <w:pPr>
        <w:ind w:left="3200" w:hanging="360"/>
      </w:pPr>
    </w:lvl>
    <w:lvl w:ilvl="4">
      <w:start w:val="1"/>
      <w:numFmt w:val="lowerLetter"/>
      <w:lvlText w:val="%5."/>
      <w:lvlJc w:val="left"/>
      <w:pPr>
        <w:ind w:left="3920" w:hanging="360"/>
      </w:pPr>
    </w:lvl>
    <w:lvl w:ilvl="5">
      <w:start w:val="1"/>
      <w:numFmt w:val="lowerRoman"/>
      <w:lvlText w:val="%6."/>
      <w:lvlJc w:val="right"/>
      <w:pPr>
        <w:ind w:left="4640" w:hanging="180"/>
      </w:pPr>
    </w:lvl>
    <w:lvl w:ilvl="6">
      <w:start w:val="1"/>
      <w:numFmt w:val="decimal"/>
      <w:lvlText w:val="%7."/>
      <w:lvlJc w:val="left"/>
      <w:pPr>
        <w:ind w:left="5360" w:hanging="360"/>
      </w:pPr>
    </w:lvl>
    <w:lvl w:ilvl="7">
      <w:start w:val="1"/>
      <w:numFmt w:val="lowerLetter"/>
      <w:lvlText w:val="%8."/>
      <w:lvlJc w:val="left"/>
      <w:pPr>
        <w:ind w:left="6080" w:hanging="360"/>
      </w:pPr>
    </w:lvl>
    <w:lvl w:ilvl="8">
      <w:start w:val="1"/>
      <w:numFmt w:val="lowerRoman"/>
      <w:lvlText w:val="%9."/>
      <w:lvlJc w:val="right"/>
      <w:pPr>
        <w:ind w:left="6800" w:hanging="180"/>
      </w:pPr>
    </w:lvl>
  </w:abstractNum>
  <w:abstractNum w:abstractNumId="111" w15:restartNumberingAfterBreak="0">
    <w:nsid w:val="0ABE50EB"/>
    <w:multiLevelType w:val="multilevel"/>
    <w:tmpl w:val="29B2F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0AC00881"/>
    <w:multiLevelType w:val="hybridMultilevel"/>
    <w:tmpl w:val="7532617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3" w15:restartNumberingAfterBreak="0">
    <w:nsid w:val="0AD078D6"/>
    <w:multiLevelType w:val="multilevel"/>
    <w:tmpl w:val="1898FF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14" w15:restartNumberingAfterBreak="0">
    <w:nsid w:val="0AF5081E"/>
    <w:multiLevelType w:val="hybridMultilevel"/>
    <w:tmpl w:val="1450C4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5" w15:restartNumberingAfterBreak="0">
    <w:nsid w:val="0B4A3EF5"/>
    <w:multiLevelType w:val="hybridMultilevel"/>
    <w:tmpl w:val="DEC49848"/>
    <w:lvl w:ilvl="0" w:tplc="86CEFE74">
      <w:start w:val="1"/>
      <w:numFmt w:val="decimal"/>
      <w:lvlText w:val="%1."/>
      <w:lvlJc w:val="left"/>
      <w:pPr>
        <w:ind w:left="720" w:hanging="360"/>
      </w:pPr>
      <w:rPr>
        <w:rFonts w:ascii="Arial" w:eastAsia="Times New Roman"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6" w15:restartNumberingAfterBreak="0">
    <w:nsid w:val="0B531D9C"/>
    <w:multiLevelType w:val="hybridMultilevel"/>
    <w:tmpl w:val="22E8A4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7" w15:restartNumberingAfterBreak="0">
    <w:nsid w:val="0BF017E7"/>
    <w:multiLevelType w:val="hybridMultilevel"/>
    <w:tmpl w:val="7E38B6A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18" w15:restartNumberingAfterBreak="0">
    <w:nsid w:val="0BF03172"/>
    <w:multiLevelType w:val="hybridMultilevel"/>
    <w:tmpl w:val="15AA5B98"/>
    <w:lvl w:ilvl="0" w:tplc="7340E358">
      <w:start w:val="1"/>
      <w:numFmt w:val="decimal"/>
      <w:lvlText w:val="%1."/>
      <w:lvlJc w:val="left"/>
      <w:pPr>
        <w:ind w:left="1429" w:hanging="360"/>
      </w:pPr>
      <w:rPr>
        <w:b w:val="0"/>
        <w:bCs/>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9" w15:restartNumberingAfterBreak="0">
    <w:nsid w:val="0BFE32C8"/>
    <w:multiLevelType w:val="hybridMultilevel"/>
    <w:tmpl w:val="D3F624DE"/>
    <w:lvl w:ilvl="0" w:tplc="D6B459F6">
      <w:start w:val="1"/>
      <w:numFmt w:val="decimal"/>
      <w:lvlText w:val="%1."/>
      <w:lvlJc w:val="left"/>
      <w:pPr>
        <w:ind w:left="1068"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0" w15:restartNumberingAfterBreak="0">
    <w:nsid w:val="0C07108C"/>
    <w:multiLevelType w:val="hybridMultilevel"/>
    <w:tmpl w:val="4A5CFE48"/>
    <w:lvl w:ilvl="0" w:tplc="7380602E">
      <w:start w:val="2"/>
      <w:numFmt w:val="decimal"/>
      <w:lvlText w:val="%1."/>
      <w:lvlJc w:val="left"/>
      <w:pPr>
        <w:ind w:left="928" w:hanging="360"/>
      </w:pPr>
      <w:rPr>
        <w:rFonts w:hint="default"/>
      </w:rPr>
    </w:lvl>
    <w:lvl w:ilvl="1" w:tplc="20000019" w:tentative="1">
      <w:start w:val="1"/>
      <w:numFmt w:val="lowerLetter"/>
      <w:lvlText w:val="%2."/>
      <w:lvlJc w:val="left"/>
      <w:pPr>
        <w:ind w:left="1648" w:hanging="360"/>
      </w:pPr>
    </w:lvl>
    <w:lvl w:ilvl="2" w:tplc="2000001B" w:tentative="1">
      <w:start w:val="1"/>
      <w:numFmt w:val="lowerRoman"/>
      <w:lvlText w:val="%3."/>
      <w:lvlJc w:val="right"/>
      <w:pPr>
        <w:ind w:left="2368" w:hanging="180"/>
      </w:pPr>
    </w:lvl>
    <w:lvl w:ilvl="3" w:tplc="2000000F" w:tentative="1">
      <w:start w:val="1"/>
      <w:numFmt w:val="decimal"/>
      <w:lvlText w:val="%4."/>
      <w:lvlJc w:val="left"/>
      <w:pPr>
        <w:ind w:left="3088" w:hanging="360"/>
      </w:pPr>
    </w:lvl>
    <w:lvl w:ilvl="4" w:tplc="20000019" w:tentative="1">
      <w:start w:val="1"/>
      <w:numFmt w:val="lowerLetter"/>
      <w:lvlText w:val="%5."/>
      <w:lvlJc w:val="left"/>
      <w:pPr>
        <w:ind w:left="3808" w:hanging="360"/>
      </w:pPr>
    </w:lvl>
    <w:lvl w:ilvl="5" w:tplc="2000001B" w:tentative="1">
      <w:start w:val="1"/>
      <w:numFmt w:val="lowerRoman"/>
      <w:lvlText w:val="%6."/>
      <w:lvlJc w:val="right"/>
      <w:pPr>
        <w:ind w:left="4528" w:hanging="180"/>
      </w:pPr>
    </w:lvl>
    <w:lvl w:ilvl="6" w:tplc="2000000F" w:tentative="1">
      <w:start w:val="1"/>
      <w:numFmt w:val="decimal"/>
      <w:lvlText w:val="%7."/>
      <w:lvlJc w:val="left"/>
      <w:pPr>
        <w:ind w:left="5248" w:hanging="360"/>
      </w:pPr>
    </w:lvl>
    <w:lvl w:ilvl="7" w:tplc="20000019" w:tentative="1">
      <w:start w:val="1"/>
      <w:numFmt w:val="lowerLetter"/>
      <w:lvlText w:val="%8."/>
      <w:lvlJc w:val="left"/>
      <w:pPr>
        <w:ind w:left="5968" w:hanging="360"/>
      </w:pPr>
    </w:lvl>
    <w:lvl w:ilvl="8" w:tplc="2000001B" w:tentative="1">
      <w:start w:val="1"/>
      <w:numFmt w:val="lowerRoman"/>
      <w:lvlText w:val="%9."/>
      <w:lvlJc w:val="right"/>
      <w:pPr>
        <w:ind w:left="6688" w:hanging="180"/>
      </w:pPr>
    </w:lvl>
  </w:abstractNum>
  <w:abstractNum w:abstractNumId="121" w15:restartNumberingAfterBreak="0">
    <w:nsid w:val="0C2B6FE3"/>
    <w:multiLevelType w:val="hybridMultilevel"/>
    <w:tmpl w:val="007AB36E"/>
    <w:lvl w:ilvl="0" w:tplc="0422000F">
      <w:start w:val="1"/>
      <w:numFmt w:val="decimal"/>
      <w:lvlText w:val="%1."/>
      <w:lvlJc w:val="left"/>
      <w:pPr>
        <w:ind w:left="36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2" w15:restartNumberingAfterBreak="0">
    <w:nsid w:val="0C640FA7"/>
    <w:multiLevelType w:val="hybridMultilevel"/>
    <w:tmpl w:val="693EC61A"/>
    <w:lvl w:ilvl="0" w:tplc="0422000F">
      <w:start w:val="1"/>
      <w:numFmt w:val="decimal"/>
      <w:lvlText w:val="%1."/>
      <w:lvlJc w:val="left"/>
      <w:pPr>
        <w:ind w:left="1800" w:hanging="360"/>
      </w:p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123" w15:restartNumberingAfterBreak="0">
    <w:nsid w:val="0C6D582B"/>
    <w:multiLevelType w:val="hybridMultilevel"/>
    <w:tmpl w:val="620CE2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4" w15:restartNumberingAfterBreak="0">
    <w:nsid w:val="0C8F0525"/>
    <w:multiLevelType w:val="multilevel"/>
    <w:tmpl w:val="26C0F1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0C9A2AEC"/>
    <w:multiLevelType w:val="hybridMultilevel"/>
    <w:tmpl w:val="B4604ADC"/>
    <w:lvl w:ilvl="0" w:tplc="0409000F">
      <w:start w:val="1"/>
      <w:numFmt w:val="decimal"/>
      <w:lvlText w:val="%1."/>
      <w:lvlJc w:val="left"/>
      <w:pPr>
        <w:ind w:left="1070" w:hanging="360"/>
      </w:p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126" w15:restartNumberingAfterBreak="0">
    <w:nsid w:val="0C9E2FCA"/>
    <w:multiLevelType w:val="hybridMultilevel"/>
    <w:tmpl w:val="7816734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7" w15:restartNumberingAfterBreak="0">
    <w:nsid w:val="0CAB3B8A"/>
    <w:multiLevelType w:val="hybridMultilevel"/>
    <w:tmpl w:val="7EB09C3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8" w15:restartNumberingAfterBreak="0">
    <w:nsid w:val="0CBA75DE"/>
    <w:multiLevelType w:val="hybridMultilevel"/>
    <w:tmpl w:val="5A68D3D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9" w15:restartNumberingAfterBreak="0">
    <w:nsid w:val="0D1923BE"/>
    <w:multiLevelType w:val="multilevel"/>
    <w:tmpl w:val="C6AA21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30" w15:restartNumberingAfterBreak="0">
    <w:nsid w:val="0D192857"/>
    <w:multiLevelType w:val="multilevel"/>
    <w:tmpl w:val="0D19285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31" w15:restartNumberingAfterBreak="0">
    <w:nsid w:val="0D36148B"/>
    <w:multiLevelType w:val="hybridMultilevel"/>
    <w:tmpl w:val="959CFB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2" w15:restartNumberingAfterBreak="0">
    <w:nsid w:val="0D9F35F0"/>
    <w:multiLevelType w:val="hybridMultilevel"/>
    <w:tmpl w:val="60C271D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3" w15:restartNumberingAfterBreak="0">
    <w:nsid w:val="0DA056FB"/>
    <w:multiLevelType w:val="multilevel"/>
    <w:tmpl w:val="BC9082B6"/>
    <w:lvl w:ilvl="0">
      <w:start w:val="1"/>
      <w:numFmt w:val="decimal"/>
      <w:lvlText w:val="%1."/>
      <w:lvlJc w:val="left"/>
      <w:rPr>
        <w:rFonts w:ascii="Arial" w:eastAsia="Times New Roman" w:hAnsi="Arial" w:cs="Arial" w:hint="default"/>
        <w:b w:val="0"/>
        <w:i w:val="0"/>
        <w:strike w:val="0"/>
        <w:dstrike w:val="0"/>
        <w:color w:val="000000"/>
        <w:position w:val="0"/>
        <w:sz w:val="28"/>
        <w:szCs w:val="28"/>
        <w:u w:val="none" w:color="000000"/>
        <w:shd w:val="clear" w:color="auto" w:fill="auto"/>
        <w:vertAlign w:val="baseline"/>
      </w:rPr>
    </w:lvl>
    <w:lvl w:ilvl="1">
      <w:start w:val="1"/>
      <w:numFmt w:val="lowerLetter"/>
      <w:lvlText w:val="%2"/>
      <w:lvlJc w:val="left"/>
      <w:pPr>
        <w:ind w:left="1080" w:firstLine="0"/>
      </w:pPr>
      <w:rPr>
        <w:rFonts w:ascii="Times New Roman" w:eastAsia="Times New Roman" w:hAnsi="Times New Roman" w:cs="Times New Roman"/>
        <w:b w:val="0"/>
        <w:i w:val="0"/>
        <w:strike w:val="0"/>
        <w:dstrike w:val="0"/>
        <w:color w:val="000000"/>
        <w:position w:val="0"/>
        <w:sz w:val="28"/>
        <w:szCs w:val="28"/>
        <w:u w:val="none" w:color="000000"/>
        <w:shd w:val="clear" w:color="auto" w:fill="auto"/>
        <w:vertAlign w:val="baseline"/>
      </w:rPr>
    </w:lvl>
    <w:lvl w:ilvl="2">
      <w:start w:val="1"/>
      <w:numFmt w:val="lowerRoman"/>
      <w:lvlText w:val="%3"/>
      <w:lvlJc w:val="left"/>
      <w:pPr>
        <w:ind w:left="1800" w:firstLine="0"/>
      </w:pPr>
      <w:rPr>
        <w:rFonts w:ascii="Times New Roman" w:eastAsia="Times New Roman" w:hAnsi="Times New Roman" w:cs="Times New Roman"/>
        <w:b w:val="0"/>
        <w:i w:val="0"/>
        <w:strike w:val="0"/>
        <w:dstrike w:val="0"/>
        <w:color w:val="000000"/>
        <w:position w:val="0"/>
        <w:sz w:val="28"/>
        <w:szCs w:val="28"/>
        <w:u w:val="none" w:color="000000"/>
        <w:shd w:val="clear" w:color="auto" w:fill="auto"/>
        <w:vertAlign w:val="baseline"/>
      </w:rPr>
    </w:lvl>
    <w:lvl w:ilvl="3">
      <w:start w:val="1"/>
      <w:numFmt w:val="decimal"/>
      <w:lvlText w:val="%4"/>
      <w:lvlJc w:val="left"/>
      <w:pPr>
        <w:ind w:left="2520" w:firstLine="0"/>
      </w:pPr>
      <w:rPr>
        <w:rFonts w:ascii="Times New Roman" w:eastAsia="Times New Roman" w:hAnsi="Times New Roman" w:cs="Times New Roman"/>
        <w:b w:val="0"/>
        <w:i w:val="0"/>
        <w:strike w:val="0"/>
        <w:dstrike w:val="0"/>
        <w:color w:val="000000"/>
        <w:position w:val="0"/>
        <w:sz w:val="28"/>
        <w:szCs w:val="28"/>
        <w:u w:val="none" w:color="000000"/>
        <w:shd w:val="clear" w:color="auto" w:fill="auto"/>
        <w:vertAlign w:val="baseline"/>
      </w:rPr>
    </w:lvl>
    <w:lvl w:ilvl="4">
      <w:start w:val="1"/>
      <w:numFmt w:val="lowerLetter"/>
      <w:lvlText w:val="%5"/>
      <w:lvlJc w:val="left"/>
      <w:pPr>
        <w:ind w:left="3240" w:firstLine="0"/>
      </w:pPr>
      <w:rPr>
        <w:rFonts w:ascii="Times New Roman" w:eastAsia="Times New Roman" w:hAnsi="Times New Roman" w:cs="Times New Roman"/>
        <w:b w:val="0"/>
        <w:i w:val="0"/>
        <w:strike w:val="0"/>
        <w:dstrike w:val="0"/>
        <w:color w:val="000000"/>
        <w:position w:val="0"/>
        <w:sz w:val="28"/>
        <w:szCs w:val="28"/>
        <w:u w:val="none" w:color="000000"/>
        <w:shd w:val="clear" w:color="auto" w:fill="auto"/>
        <w:vertAlign w:val="baseline"/>
      </w:rPr>
    </w:lvl>
    <w:lvl w:ilvl="5">
      <w:start w:val="1"/>
      <w:numFmt w:val="lowerRoman"/>
      <w:lvlText w:val="%6"/>
      <w:lvlJc w:val="left"/>
      <w:pPr>
        <w:ind w:left="3960" w:firstLine="0"/>
      </w:pPr>
      <w:rPr>
        <w:rFonts w:ascii="Times New Roman" w:eastAsia="Times New Roman" w:hAnsi="Times New Roman" w:cs="Times New Roman"/>
        <w:b w:val="0"/>
        <w:i w:val="0"/>
        <w:strike w:val="0"/>
        <w:dstrike w:val="0"/>
        <w:color w:val="000000"/>
        <w:position w:val="0"/>
        <w:sz w:val="28"/>
        <w:szCs w:val="28"/>
        <w:u w:val="none" w:color="000000"/>
        <w:shd w:val="clear" w:color="auto" w:fill="auto"/>
        <w:vertAlign w:val="baseline"/>
      </w:rPr>
    </w:lvl>
    <w:lvl w:ilvl="6">
      <w:start w:val="1"/>
      <w:numFmt w:val="decimal"/>
      <w:lvlText w:val="%7"/>
      <w:lvlJc w:val="left"/>
      <w:pPr>
        <w:ind w:left="4680" w:firstLine="0"/>
      </w:pPr>
      <w:rPr>
        <w:rFonts w:ascii="Times New Roman" w:eastAsia="Times New Roman" w:hAnsi="Times New Roman" w:cs="Times New Roman"/>
        <w:b w:val="0"/>
        <w:i w:val="0"/>
        <w:strike w:val="0"/>
        <w:dstrike w:val="0"/>
        <w:color w:val="000000"/>
        <w:position w:val="0"/>
        <w:sz w:val="28"/>
        <w:szCs w:val="28"/>
        <w:u w:val="none" w:color="000000"/>
        <w:shd w:val="clear" w:color="auto" w:fill="auto"/>
        <w:vertAlign w:val="baseline"/>
      </w:rPr>
    </w:lvl>
    <w:lvl w:ilvl="7">
      <w:start w:val="1"/>
      <w:numFmt w:val="lowerLetter"/>
      <w:lvlText w:val="%8"/>
      <w:lvlJc w:val="left"/>
      <w:pPr>
        <w:ind w:left="5400" w:firstLine="0"/>
      </w:pPr>
      <w:rPr>
        <w:rFonts w:ascii="Times New Roman" w:eastAsia="Times New Roman" w:hAnsi="Times New Roman" w:cs="Times New Roman"/>
        <w:b w:val="0"/>
        <w:i w:val="0"/>
        <w:strike w:val="0"/>
        <w:dstrike w:val="0"/>
        <w:color w:val="000000"/>
        <w:position w:val="0"/>
        <w:sz w:val="28"/>
        <w:szCs w:val="28"/>
        <w:u w:val="none" w:color="000000"/>
        <w:shd w:val="clear" w:color="auto" w:fill="auto"/>
        <w:vertAlign w:val="baseline"/>
      </w:rPr>
    </w:lvl>
    <w:lvl w:ilvl="8">
      <w:start w:val="1"/>
      <w:numFmt w:val="lowerRoman"/>
      <w:lvlText w:val="%9"/>
      <w:lvlJc w:val="left"/>
      <w:pPr>
        <w:ind w:left="6120" w:firstLine="0"/>
      </w:pPr>
      <w:rPr>
        <w:rFonts w:ascii="Times New Roman" w:eastAsia="Times New Roman" w:hAnsi="Times New Roman" w:cs="Times New Roman"/>
        <w:b w:val="0"/>
        <w:i w:val="0"/>
        <w:strike w:val="0"/>
        <w:dstrike w:val="0"/>
        <w:color w:val="000000"/>
        <w:position w:val="0"/>
        <w:sz w:val="28"/>
        <w:szCs w:val="28"/>
        <w:u w:val="none" w:color="000000"/>
        <w:shd w:val="clear" w:color="auto" w:fill="auto"/>
        <w:vertAlign w:val="baseline"/>
      </w:rPr>
    </w:lvl>
  </w:abstractNum>
  <w:abstractNum w:abstractNumId="134" w15:restartNumberingAfterBreak="0">
    <w:nsid w:val="0DAF1E25"/>
    <w:multiLevelType w:val="hybridMultilevel"/>
    <w:tmpl w:val="57F838EC"/>
    <w:lvl w:ilvl="0" w:tplc="29B66EB0">
      <w:start w:val="1"/>
      <w:numFmt w:val="decimal"/>
      <w:lvlText w:val="%1."/>
      <w:lvlJc w:val="left"/>
      <w:pPr>
        <w:ind w:left="928" w:hanging="360"/>
      </w:pPr>
      <w:rPr>
        <w:rFonts w:hint="default"/>
        <w:sz w:val="28"/>
        <w:szCs w:val="28"/>
      </w:rPr>
    </w:lvl>
    <w:lvl w:ilvl="1" w:tplc="D228CEC2" w:tentative="1">
      <w:start w:val="1"/>
      <w:numFmt w:val="lowerLetter"/>
      <w:lvlText w:val="%2."/>
      <w:lvlJc w:val="left"/>
      <w:pPr>
        <w:ind w:left="1440" w:hanging="360"/>
      </w:pPr>
    </w:lvl>
    <w:lvl w:ilvl="2" w:tplc="A502CC7E" w:tentative="1">
      <w:start w:val="1"/>
      <w:numFmt w:val="lowerRoman"/>
      <w:lvlText w:val="%3."/>
      <w:lvlJc w:val="right"/>
      <w:pPr>
        <w:ind w:left="2160" w:hanging="180"/>
      </w:pPr>
    </w:lvl>
    <w:lvl w:ilvl="3" w:tplc="7A36DFC0" w:tentative="1">
      <w:start w:val="1"/>
      <w:numFmt w:val="decimal"/>
      <w:lvlText w:val="%4."/>
      <w:lvlJc w:val="left"/>
      <w:pPr>
        <w:ind w:left="2880" w:hanging="360"/>
      </w:pPr>
    </w:lvl>
    <w:lvl w:ilvl="4" w:tplc="618CBB70" w:tentative="1">
      <w:start w:val="1"/>
      <w:numFmt w:val="lowerLetter"/>
      <w:lvlText w:val="%5."/>
      <w:lvlJc w:val="left"/>
      <w:pPr>
        <w:ind w:left="3600" w:hanging="360"/>
      </w:pPr>
    </w:lvl>
    <w:lvl w:ilvl="5" w:tplc="56FED4F8" w:tentative="1">
      <w:start w:val="1"/>
      <w:numFmt w:val="lowerRoman"/>
      <w:lvlText w:val="%6."/>
      <w:lvlJc w:val="right"/>
      <w:pPr>
        <w:ind w:left="4320" w:hanging="180"/>
      </w:pPr>
    </w:lvl>
    <w:lvl w:ilvl="6" w:tplc="E4729B08" w:tentative="1">
      <w:start w:val="1"/>
      <w:numFmt w:val="decimal"/>
      <w:lvlText w:val="%7."/>
      <w:lvlJc w:val="left"/>
      <w:pPr>
        <w:ind w:left="5040" w:hanging="360"/>
      </w:pPr>
    </w:lvl>
    <w:lvl w:ilvl="7" w:tplc="F3162CAE" w:tentative="1">
      <w:start w:val="1"/>
      <w:numFmt w:val="lowerLetter"/>
      <w:lvlText w:val="%8."/>
      <w:lvlJc w:val="left"/>
      <w:pPr>
        <w:ind w:left="5760" w:hanging="360"/>
      </w:pPr>
    </w:lvl>
    <w:lvl w:ilvl="8" w:tplc="8A0C6BCC" w:tentative="1">
      <w:start w:val="1"/>
      <w:numFmt w:val="lowerRoman"/>
      <w:lvlText w:val="%9."/>
      <w:lvlJc w:val="right"/>
      <w:pPr>
        <w:ind w:left="6480" w:hanging="180"/>
      </w:pPr>
    </w:lvl>
  </w:abstractNum>
  <w:abstractNum w:abstractNumId="135" w15:restartNumberingAfterBreak="0">
    <w:nsid w:val="0E0341F6"/>
    <w:multiLevelType w:val="hybridMultilevel"/>
    <w:tmpl w:val="3AA2B472"/>
    <w:lvl w:ilvl="0" w:tplc="51929F2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6" w15:restartNumberingAfterBreak="0">
    <w:nsid w:val="0E092A12"/>
    <w:multiLevelType w:val="multilevel"/>
    <w:tmpl w:val="6F46738C"/>
    <w:lvl w:ilvl="0">
      <w:start w:val="1"/>
      <w:numFmt w:val="bullet"/>
      <w:lvlText w:val="•"/>
      <w:lvlJc w:val="left"/>
      <w:pPr>
        <w:ind w:left="0" w:firstLine="0"/>
      </w:pPr>
      <w:rPr>
        <w:u w:val="none"/>
      </w:rPr>
    </w:lvl>
    <w:lvl w:ilvl="1">
      <w:numFmt w:val="decimal"/>
      <w:lvlText w:val=""/>
      <w:lvlJc w:val="left"/>
      <w:pPr>
        <w:ind w:left="0" w:firstLine="0"/>
      </w:pPr>
      <w:rPr>
        <w:u w:val="none"/>
      </w:rPr>
    </w:lvl>
    <w:lvl w:ilvl="2">
      <w:numFmt w:val="decimal"/>
      <w:lvlText w:val=""/>
      <w:lvlJc w:val="left"/>
      <w:pPr>
        <w:ind w:left="0" w:firstLine="0"/>
      </w:pPr>
      <w:rPr>
        <w:u w:val="none"/>
      </w:rPr>
    </w:lvl>
    <w:lvl w:ilvl="3">
      <w:numFmt w:val="decimal"/>
      <w:lvlText w:val=""/>
      <w:lvlJc w:val="left"/>
      <w:pPr>
        <w:ind w:left="0" w:firstLine="0"/>
      </w:pPr>
      <w:rPr>
        <w:u w:val="none"/>
      </w:rPr>
    </w:lvl>
    <w:lvl w:ilvl="4">
      <w:numFmt w:val="decimal"/>
      <w:lvlText w:val=""/>
      <w:lvlJc w:val="left"/>
      <w:pPr>
        <w:ind w:left="0" w:firstLine="0"/>
      </w:pPr>
      <w:rPr>
        <w:u w:val="none"/>
      </w:rPr>
    </w:lvl>
    <w:lvl w:ilvl="5">
      <w:numFmt w:val="decimal"/>
      <w:lvlText w:val=""/>
      <w:lvlJc w:val="left"/>
      <w:pPr>
        <w:ind w:left="0" w:firstLine="0"/>
      </w:pPr>
      <w:rPr>
        <w:u w:val="none"/>
      </w:rPr>
    </w:lvl>
    <w:lvl w:ilvl="6">
      <w:numFmt w:val="decimal"/>
      <w:lvlText w:val=""/>
      <w:lvlJc w:val="left"/>
      <w:pPr>
        <w:ind w:left="0" w:firstLine="0"/>
      </w:pPr>
      <w:rPr>
        <w:u w:val="none"/>
      </w:rPr>
    </w:lvl>
    <w:lvl w:ilvl="7">
      <w:numFmt w:val="decimal"/>
      <w:lvlText w:val=""/>
      <w:lvlJc w:val="left"/>
      <w:pPr>
        <w:ind w:left="0" w:firstLine="0"/>
      </w:pPr>
      <w:rPr>
        <w:u w:val="none"/>
      </w:rPr>
    </w:lvl>
    <w:lvl w:ilvl="8">
      <w:numFmt w:val="decimal"/>
      <w:lvlText w:val=""/>
      <w:lvlJc w:val="left"/>
      <w:pPr>
        <w:ind w:left="0" w:firstLine="0"/>
      </w:pPr>
      <w:rPr>
        <w:u w:val="none"/>
      </w:rPr>
    </w:lvl>
  </w:abstractNum>
  <w:abstractNum w:abstractNumId="137" w15:restartNumberingAfterBreak="0">
    <w:nsid w:val="0E197625"/>
    <w:multiLevelType w:val="hybridMultilevel"/>
    <w:tmpl w:val="842854D8"/>
    <w:lvl w:ilvl="0" w:tplc="461AA3F2">
      <w:start w:val="1"/>
      <w:numFmt w:val="decimal"/>
      <w:lvlText w:val="%1."/>
      <w:lvlJc w:val="left"/>
      <w:pPr>
        <w:ind w:left="1144" w:hanging="43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8" w15:restartNumberingAfterBreak="0">
    <w:nsid w:val="0E341C0E"/>
    <w:multiLevelType w:val="hybridMultilevel"/>
    <w:tmpl w:val="1CE86CB0"/>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9" w15:restartNumberingAfterBreak="0">
    <w:nsid w:val="0E5D3D78"/>
    <w:multiLevelType w:val="hybridMultilevel"/>
    <w:tmpl w:val="3D46FCA6"/>
    <w:lvl w:ilvl="0" w:tplc="2000000F">
      <w:start w:val="1"/>
      <w:numFmt w:val="decimal"/>
      <w:lvlText w:val="%1."/>
      <w:lvlJc w:val="left"/>
      <w:pPr>
        <w:ind w:left="502"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0" w15:restartNumberingAfterBreak="0">
    <w:nsid w:val="0E7965E1"/>
    <w:multiLevelType w:val="hybridMultilevel"/>
    <w:tmpl w:val="74289B8A"/>
    <w:lvl w:ilvl="0" w:tplc="2A44E922">
      <w:start w:val="1"/>
      <w:numFmt w:val="decimal"/>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1" w15:restartNumberingAfterBreak="0">
    <w:nsid w:val="0E8B13F0"/>
    <w:multiLevelType w:val="hybridMultilevel"/>
    <w:tmpl w:val="2DA67FE6"/>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2" w15:restartNumberingAfterBreak="0">
    <w:nsid w:val="0E9E7402"/>
    <w:multiLevelType w:val="hybridMultilevel"/>
    <w:tmpl w:val="ED20A80E"/>
    <w:lvl w:ilvl="0" w:tplc="8C6A2748">
      <w:start w:val="1"/>
      <w:numFmt w:val="decimal"/>
      <w:lvlText w:val="%1."/>
      <w:lvlJc w:val="left"/>
      <w:pPr>
        <w:ind w:left="1080" w:hanging="360"/>
      </w:pPr>
      <w:rPr>
        <w:rFonts w:hint="default"/>
        <w:i w:val="0"/>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43" w15:restartNumberingAfterBreak="0">
    <w:nsid w:val="0EAF7E5F"/>
    <w:multiLevelType w:val="hybridMultilevel"/>
    <w:tmpl w:val="F2BEF80E"/>
    <w:lvl w:ilvl="0" w:tplc="9DDEEA36">
      <w:start w:val="1"/>
      <w:numFmt w:val="decimal"/>
      <w:lvlText w:val="%1."/>
      <w:lvlJc w:val="left"/>
      <w:pPr>
        <w:ind w:left="1146" w:hanging="360"/>
      </w:pPr>
    </w:lvl>
    <w:lvl w:ilvl="1" w:tplc="D0FE5EA2" w:tentative="1">
      <w:start w:val="1"/>
      <w:numFmt w:val="lowerLetter"/>
      <w:lvlText w:val="%2."/>
      <w:lvlJc w:val="left"/>
      <w:pPr>
        <w:ind w:left="1866" w:hanging="360"/>
      </w:pPr>
    </w:lvl>
    <w:lvl w:ilvl="2" w:tplc="D3227774" w:tentative="1">
      <w:start w:val="1"/>
      <w:numFmt w:val="lowerRoman"/>
      <w:lvlText w:val="%3."/>
      <w:lvlJc w:val="right"/>
      <w:pPr>
        <w:ind w:left="2586" w:hanging="180"/>
      </w:pPr>
    </w:lvl>
    <w:lvl w:ilvl="3" w:tplc="3AD44464" w:tentative="1">
      <w:start w:val="1"/>
      <w:numFmt w:val="decimal"/>
      <w:lvlText w:val="%4."/>
      <w:lvlJc w:val="left"/>
      <w:pPr>
        <w:ind w:left="3306" w:hanging="360"/>
      </w:pPr>
    </w:lvl>
    <w:lvl w:ilvl="4" w:tplc="34DEB962" w:tentative="1">
      <w:start w:val="1"/>
      <w:numFmt w:val="lowerLetter"/>
      <w:lvlText w:val="%5."/>
      <w:lvlJc w:val="left"/>
      <w:pPr>
        <w:ind w:left="4026" w:hanging="360"/>
      </w:pPr>
    </w:lvl>
    <w:lvl w:ilvl="5" w:tplc="640A6522" w:tentative="1">
      <w:start w:val="1"/>
      <w:numFmt w:val="lowerRoman"/>
      <w:lvlText w:val="%6."/>
      <w:lvlJc w:val="right"/>
      <w:pPr>
        <w:ind w:left="4746" w:hanging="180"/>
      </w:pPr>
    </w:lvl>
    <w:lvl w:ilvl="6" w:tplc="3A0A1E18" w:tentative="1">
      <w:start w:val="1"/>
      <w:numFmt w:val="decimal"/>
      <w:lvlText w:val="%7."/>
      <w:lvlJc w:val="left"/>
      <w:pPr>
        <w:ind w:left="5466" w:hanging="360"/>
      </w:pPr>
    </w:lvl>
    <w:lvl w:ilvl="7" w:tplc="CC5096AA" w:tentative="1">
      <w:start w:val="1"/>
      <w:numFmt w:val="lowerLetter"/>
      <w:lvlText w:val="%8."/>
      <w:lvlJc w:val="left"/>
      <w:pPr>
        <w:ind w:left="6186" w:hanging="360"/>
      </w:pPr>
    </w:lvl>
    <w:lvl w:ilvl="8" w:tplc="A5A422F2" w:tentative="1">
      <w:start w:val="1"/>
      <w:numFmt w:val="lowerRoman"/>
      <w:lvlText w:val="%9."/>
      <w:lvlJc w:val="right"/>
      <w:pPr>
        <w:ind w:left="6906" w:hanging="180"/>
      </w:pPr>
    </w:lvl>
  </w:abstractNum>
  <w:abstractNum w:abstractNumId="144" w15:restartNumberingAfterBreak="0">
    <w:nsid w:val="0EC2541A"/>
    <w:multiLevelType w:val="multilevel"/>
    <w:tmpl w:val="3F9CBB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0EDA65B9"/>
    <w:multiLevelType w:val="hybridMultilevel"/>
    <w:tmpl w:val="A914FFF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6" w15:restartNumberingAfterBreak="0">
    <w:nsid w:val="0EE054B4"/>
    <w:multiLevelType w:val="hybridMultilevel"/>
    <w:tmpl w:val="706C4EF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7" w15:restartNumberingAfterBreak="0">
    <w:nsid w:val="0EEB0DD1"/>
    <w:multiLevelType w:val="hybridMultilevel"/>
    <w:tmpl w:val="68B43B9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8" w15:restartNumberingAfterBreak="0">
    <w:nsid w:val="0EF7481E"/>
    <w:multiLevelType w:val="hybridMultilevel"/>
    <w:tmpl w:val="ED86D1DA"/>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49" w15:restartNumberingAfterBreak="0">
    <w:nsid w:val="0EFD2519"/>
    <w:multiLevelType w:val="hybridMultilevel"/>
    <w:tmpl w:val="C9625E2A"/>
    <w:lvl w:ilvl="0" w:tplc="094AB11E">
      <w:start w:val="1"/>
      <w:numFmt w:val="bullet"/>
      <w:lvlText w:val=""/>
      <w:lvlJc w:val="left"/>
      <w:pPr>
        <w:ind w:left="1440" w:hanging="360"/>
      </w:pPr>
      <w:rPr>
        <w:rFonts w:ascii="Symbol" w:hAnsi="Symbol" w:hint="default"/>
      </w:rPr>
    </w:lvl>
    <w:lvl w:ilvl="1" w:tplc="7F1CB7EC" w:tentative="1">
      <w:start w:val="1"/>
      <w:numFmt w:val="bullet"/>
      <w:lvlText w:val="o"/>
      <w:lvlJc w:val="left"/>
      <w:pPr>
        <w:ind w:left="2160" w:hanging="360"/>
      </w:pPr>
      <w:rPr>
        <w:rFonts w:ascii="Courier New" w:hAnsi="Courier New" w:cs="Courier New" w:hint="default"/>
      </w:rPr>
    </w:lvl>
    <w:lvl w:ilvl="2" w:tplc="8366408A" w:tentative="1">
      <w:start w:val="1"/>
      <w:numFmt w:val="bullet"/>
      <w:lvlText w:val=""/>
      <w:lvlJc w:val="left"/>
      <w:pPr>
        <w:ind w:left="2880" w:hanging="360"/>
      </w:pPr>
      <w:rPr>
        <w:rFonts w:ascii="Wingdings" w:hAnsi="Wingdings" w:hint="default"/>
      </w:rPr>
    </w:lvl>
    <w:lvl w:ilvl="3" w:tplc="4F247462" w:tentative="1">
      <w:start w:val="1"/>
      <w:numFmt w:val="bullet"/>
      <w:lvlText w:val=""/>
      <w:lvlJc w:val="left"/>
      <w:pPr>
        <w:ind w:left="3600" w:hanging="360"/>
      </w:pPr>
      <w:rPr>
        <w:rFonts w:ascii="Symbol" w:hAnsi="Symbol" w:hint="default"/>
      </w:rPr>
    </w:lvl>
    <w:lvl w:ilvl="4" w:tplc="5D1A1DAC" w:tentative="1">
      <w:start w:val="1"/>
      <w:numFmt w:val="bullet"/>
      <w:lvlText w:val="o"/>
      <w:lvlJc w:val="left"/>
      <w:pPr>
        <w:ind w:left="4320" w:hanging="360"/>
      </w:pPr>
      <w:rPr>
        <w:rFonts w:ascii="Courier New" w:hAnsi="Courier New" w:cs="Courier New" w:hint="default"/>
      </w:rPr>
    </w:lvl>
    <w:lvl w:ilvl="5" w:tplc="B1E89518" w:tentative="1">
      <w:start w:val="1"/>
      <w:numFmt w:val="bullet"/>
      <w:lvlText w:val=""/>
      <w:lvlJc w:val="left"/>
      <w:pPr>
        <w:ind w:left="5040" w:hanging="360"/>
      </w:pPr>
      <w:rPr>
        <w:rFonts w:ascii="Wingdings" w:hAnsi="Wingdings" w:hint="default"/>
      </w:rPr>
    </w:lvl>
    <w:lvl w:ilvl="6" w:tplc="5308B8B6" w:tentative="1">
      <w:start w:val="1"/>
      <w:numFmt w:val="bullet"/>
      <w:lvlText w:val=""/>
      <w:lvlJc w:val="left"/>
      <w:pPr>
        <w:ind w:left="5760" w:hanging="360"/>
      </w:pPr>
      <w:rPr>
        <w:rFonts w:ascii="Symbol" w:hAnsi="Symbol" w:hint="default"/>
      </w:rPr>
    </w:lvl>
    <w:lvl w:ilvl="7" w:tplc="A37070DE" w:tentative="1">
      <w:start w:val="1"/>
      <w:numFmt w:val="bullet"/>
      <w:lvlText w:val="o"/>
      <w:lvlJc w:val="left"/>
      <w:pPr>
        <w:ind w:left="6480" w:hanging="360"/>
      </w:pPr>
      <w:rPr>
        <w:rFonts w:ascii="Courier New" w:hAnsi="Courier New" w:cs="Courier New" w:hint="default"/>
      </w:rPr>
    </w:lvl>
    <w:lvl w:ilvl="8" w:tplc="86247F4A" w:tentative="1">
      <w:start w:val="1"/>
      <w:numFmt w:val="bullet"/>
      <w:lvlText w:val=""/>
      <w:lvlJc w:val="left"/>
      <w:pPr>
        <w:ind w:left="7200" w:hanging="360"/>
      </w:pPr>
      <w:rPr>
        <w:rFonts w:ascii="Wingdings" w:hAnsi="Wingdings" w:hint="default"/>
      </w:rPr>
    </w:lvl>
  </w:abstractNum>
  <w:abstractNum w:abstractNumId="150" w15:restartNumberingAfterBreak="0">
    <w:nsid w:val="0F28113E"/>
    <w:multiLevelType w:val="hybridMultilevel"/>
    <w:tmpl w:val="1F5A0DE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1" w15:restartNumberingAfterBreak="0">
    <w:nsid w:val="0F4D2F7B"/>
    <w:multiLevelType w:val="hybridMultilevel"/>
    <w:tmpl w:val="5F743A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2" w15:restartNumberingAfterBreak="0">
    <w:nsid w:val="0FB07765"/>
    <w:multiLevelType w:val="multilevel"/>
    <w:tmpl w:val="4802CED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3" w15:restartNumberingAfterBreak="0">
    <w:nsid w:val="0FBC5732"/>
    <w:multiLevelType w:val="hybridMultilevel"/>
    <w:tmpl w:val="B4B04A5A"/>
    <w:lvl w:ilvl="0" w:tplc="04090001">
      <w:start w:val="1"/>
      <w:numFmt w:val="decimal"/>
      <w:lvlText w:val="%1."/>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090003">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4090005">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4090001">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4090003">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4090005">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4090001">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4090003">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4090005">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4" w15:restartNumberingAfterBreak="0">
    <w:nsid w:val="10147B06"/>
    <w:multiLevelType w:val="hybridMultilevel"/>
    <w:tmpl w:val="EF1E0094"/>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5" w15:restartNumberingAfterBreak="0">
    <w:nsid w:val="1032130D"/>
    <w:multiLevelType w:val="hybridMultilevel"/>
    <w:tmpl w:val="23E205F2"/>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56" w15:restartNumberingAfterBreak="0">
    <w:nsid w:val="1048470F"/>
    <w:multiLevelType w:val="multilevel"/>
    <w:tmpl w:val="B8A655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10AA756B"/>
    <w:multiLevelType w:val="multilevel"/>
    <w:tmpl w:val="C0843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110B1115"/>
    <w:multiLevelType w:val="multilevel"/>
    <w:tmpl w:val="0D7C9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11465C02"/>
    <w:multiLevelType w:val="multilevel"/>
    <w:tmpl w:val="13FCFC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115528B2"/>
    <w:multiLevelType w:val="multilevel"/>
    <w:tmpl w:val="C4125B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1" w15:restartNumberingAfterBreak="0">
    <w:nsid w:val="11924D3F"/>
    <w:multiLevelType w:val="multilevel"/>
    <w:tmpl w:val="5E541A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62" w15:restartNumberingAfterBreak="0">
    <w:nsid w:val="11B15EF7"/>
    <w:multiLevelType w:val="hybridMultilevel"/>
    <w:tmpl w:val="C7BADB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15:restartNumberingAfterBreak="0">
    <w:nsid w:val="11DE1552"/>
    <w:multiLevelType w:val="hybridMultilevel"/>
    <w:tmpl w:val="94CAA246"/>
    <w:lvl w:ilvl="0" w:tplc="EA0C868E">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4" w15:restartNumberingAfterBreak="0">
    <w:nsid w:val="1253404B"/>
    <w:multiLevelType w:val="hybridMultilevel"/>
    <w:tmpl w:val="4CAE06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5" w15:restartNumberingAfterBreak="0">
    <w:nsid w:val="12640D27"/>
    <w:multiLevelType w:val="singleLevel"/>
    <w:tmpl w:val="12640D27"/>
    <w:lvl w:ilvl="0">
      <w:start w:val="2"/>
      <w:numFmt w:val="decimal"/>
      <w:suff w:val="space"/>
      <w:lvlText w:val="%1."/>
      <w:lvlJc w:val="left"/>
    </w:lvl>
  </w:abstractNum>
  <w:abstractNum w:abstractNumId="166" w15:restartNumberingAfterBreak="0">
    <w:nsid w:val="12865B14"/>
    <w:multiLevelType w:val="multilevel"/>
    <w:tmpl w:val="A6A0C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7" w15:restartNumberingAfterBreak="0">
    <w:nsid w:val="12D22592"/>
    <w:multiLevelType w:val="hybridMultilevel"/>
    <w:tmpl w:val="1472BB34"/>
    <w:lvl w:ilvl="0" w:tplc="0136B4E2">
      <w:start w:val="1"/>
      <w:numFmt w:val="decimal"/>
      <w:lvlText w:val="%1."/>
      <w:lvlJc w:val="left"/>
      <w:pPr>
        <w:ind w:left="720" w:hanging="360"/>
      </w:pPr>
      <w:rPr>
        <w:rFonts w:hint="default"/>
      </w:rPr>
    </w:lvl>
    <w:lvl w:ilvl="1" w:tplc="D676ED92" w:tentative="1">
      <w:start w:val="1"/>
      <w:numFmt w:val="lowerLetter"/>
      <w:lvlText w:val="%2."/>
      <w:lvlJc w:val="left"/>
      <w:pPr>
        <w:ind w:left="1440" w:hanging="360"/>
      </w:pPr>
    </w:lvl>
    <w:lvl w:ilvl="2" w:tplc="A0FA26BE" w:tentative="1">
      <w:start w:val="1"/>
      <w:numFmt w:val="lowerRoman"/>
      <w:lvlText w:val="%3."/>
      <w:lvlJc w:val="right"/>
      <w:pPr>
        <w:ind w:left="2160" w:hanging="180"/>
      </w:pPr>
    </w:lvl>
    <w:lvl w:ilvl="3" w:tplc="A6B85CAE" w:tentative="1">
      <w:start w:val="1"/>
      <w:numFmt w:val="decimal"/>
      <w:lvlText w:val="%4."/>
      <w:lvlJc w:val="left"/>
      <w:pPr>
        <w:ind w:left="2880" w:hanging="360"/>
      </w:pPr>
    </w:lvl>
    <w:lvl w:ilvl="4" w:tplc="D95E8652" w:tentative="1">
      <w:start w:val="1"/>
      <w:numFmt w:val="lowerLetter"/>
      <w:lvlText w:val="%5."/>
      <w:lvlJc w:val="left"/>
      <w:pPr>
        <w:ind w:left="3600" w:hanging="360"/>
      </w:pPr>
    </w:lvl>
    <w:lvl w:ilvl="5" w:tplc="8D765868" w:tentative="1">
      <w:start w:val="1"/>
      <w:numFmt w:val="lowerRoman"/>
      <w:lvlText w:val="%6."/>
      <w:lvlJc w:val="right"/>
      <w:pPr>
        <w:ind w:left="4320" w:hanging="180"/>
      </w:pPr>
    </w:lvl>
    <w:lvl w:ilvl="6" w:tplc="1FC07690" w:tentative="1">
      <w:start w:val="1"/>
      <w:numFmt w:val="decimal"/>
      <w:lvlText w:val="%7."/>
      <w:lvlJc w:val="left"/>
      <w:pPr>
        <w:ind w:left="5040" w:hanging="360"/>
      </w:pPr>
    </w:lvl>
    <w:lvl w:ilvl="7" w:tplc="FF24D4DC" w:tentative="1">
      <w:start w:val="1"/>
      <w:numFmt w:val="lowerLetter"/>
      <w:lvlText w:val="%8."/>
      <w:lvlJc w:val="left"/>
      <w:pPr>
        <w:ind w:left="5760" w:hanging="360"/>
      </w:pPr>
    </w:lvl>
    <w:lvl w:ilvl="8" w:tplc="A1327B5C" w:tentative="1">
      <w:start w:val="1"/>
      <w:numFmt w:val="lowerRoman"/>
      <w:lvlText w:val="%9."/>
      <w:lvlJc w:val="right"/>
      <w:pPr>
        <w:ind w:left="6480" w:hanging="180"/>
      </w:pPr>
    </w:lvl>
  </w:abstractNum>
  <w:abstractNum w:abstractNumId="168" w15:restartNumberingAfterBreak="0">
    <w:nsid w:val="12DA71BD"/>
    <w:multiLevelType w:val="hybridMultilevel"/>
    <w:tmpl w:val="39E090BC"/>
    <w:lvl w:ilvl="0" w:tplc="0809000F">
      <w:start w:val="1"/>
      <w:numFmt w:val="decimal"/>
      <w:lvlText w:val="%1."/>
      <w:lvlJc w:val="left"/>
      <w:pPr>
        <w:ind w:left="360" w:hanging="360"/>
      </w:pPr>
      <w:rPr>
        <w:rFonts w:cs="Times New Roman"/>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69" w15:restartNumberingAfterBreak="0">
    <w:nsid w:val="130D7BCF"/>
    <w:multiLevelType w:val="hybridMultilevel"/>
    <w:tmpl w:val="BE8A299C"/>
    <w:numStyleLink w:val="a"/>
  </w:abstractNum>
  <w:abstractNum w:abstractNumId="170" w15:restartNumberingAfterBreak="0">
    <w:nsid w:val="131D7C7D"/>
    <w:multiLevelType w:val="multilevel"/>
    <w:tmpl w:val="5B7E81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71" w15:restartNumberingAfterBreak="0">
    <w:nsid w:val="13361FC4"/>
    <w:multiLevelType w:val="hybridMultilevel"/>
    <w:tmpl w:val="EE8AA720"/>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2" w15:restartNumberingAfterBreak="0">
    <w:nsid w:val="133915D7"/>
    <w:multiLevelType w:val="hybridMultilevel"/>
    <w:tmpl w:val="E564C5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3" w15:restartNumberingAfterBreak="0">
    <w:nsid w:val="1339186A"/>
    <w:multiLevelType w:val="hybridMultilevel"/>
    <w:tmpl w:val="6D40A37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4" w15:restartNumberingAfterBreak="0">
    <w:nsid w:val="135F6180"/>
    <w:multiLevelType w:val="multilevel"/>
    <w:tmpl w:val="70A61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13671BE9"/>
    <w:multiLevelType w:val="hybridMultilevel"/>
    <w:tmpl w:val="31143C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13973DCC"/>
    <w:multiLevelType w:val="hybridMultilevel"/>
    <w:tmpl w:val="FFFFFFFF"/>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7" w15:restartNumberingAfterBreak="0">
    <w:nsid w:val="13BE218A"/>
    <w:multiLevelType w:val="hybridMultilevel"/>
    <w:tmpl w:val="B5BA1E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8" w15:restartNumberingAfterBreak="0">
    <w:nsid w:val="13E561EE"/>
    <w:multiLevelType w:val="multilevel"/>
    <w:tmpl w:val="85E882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79" w15:restartNumberingAfterBreak="0">
    <w:nsid w:val="140771B1"/>
    <w:multiLevelType w:val="hybridMultilevel"/>
    <w:tmpl w:val="AC18880E"/>
    <w:lvl w:ilvl="0" w:tplc="37C6226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0" w15:restartNumberingAfterBreak="0">
    <w:nsid w:val="140E1717"/>
    <w:multiLevelType w:val="multilevel"/>
    <w:tmpl w:val="0C8E0842"/>
    <w:lvl w:ilvl="0">
      <w:start w:val="1"/>
      <w:numFmt w:val="bullet"/>
      <w:lvlText w:val="•"/>
      <w:lvlJc w:val="left"/>
      <w:pPr>
        <w:ind w:left="0" w:firstLine="0"/>
      </w:pPr>
      <w:rPr>
        <w:u w:val="none"/>
      </w:rPr>
    </w:lvl>
    <w:lvl w:ilvl="1">
      <w:numFmt w:val="decimal"/>
      <w:lvlText w:val=""/>
      <w:lvlJc w:val="left"/>
      <w:pPr>
        <w:ind w:left="0" w:firstLine="0"/>
      </w:pPr>
      <w:rPr>
        <w:u w:val="none"/>
      </w:rPr>
    </w:lvl>
    <w:lvl w:ilvl="2">
      <w:numFmt w:val="decimal"/>
      <w:lvlText w:val=""/>
      <w:lvlJc w:val="left"/>
      <w:pPr>
        <w:ind w:left="0" w:firstLine="0"/>
      </w:pPr>
      <w:rPr>
        <w:u w:val="none"/>
      </w:rPr>
    </w:lvl>
    <w:lvl w:ilvl="3">
      <w:numFmt w:val="decimal"/>
      <w:lvlText w:val=""/>
      <w:lvlJc w:val="left"/>
      <w:pPr>
        <w:ind w:left="0" w:firstLine="0"/>
      </w:pPr>
      <w:rPr>
        <w:u w:val="none"/>
      </w:rPr>
    </w:lvl>
    <w:lvl w:ilvl="4">
      <w:numFmt w:val="decimal"/>
      <w:lvlText w:val=""/>
      <w:lvlJc w:val="left"/>
      <w:pPr>
        <w:ind w:left="0" w:firstLine="0"/>
      </w:pPr>
      <w:rPr>
        <w:u w:val="none"/>
      </w:rPr>
    </w:lvl>
    <w:lvl w:ilvl="5">
      <w:numFmt w:val="decimal"/>
      <w:lvlText w:val=""/>
      <w:lvlJc w:val="left"/>
      <w:pPr>
        <w:ind w:left="0" w:firstLine="0"/>
      </w:pPr>
      <w:rPr>
        <w:u w:val="none"/>
      </w:rPr>
    </w:lvl>
    <w:lvl w:ilvl="6">
      <w:numFmt w:val="decimal"/>
      <w:lvlText w:val=""/>
      <w:lvlJc w:val="left"/>
      <w:pPr>
        <w:ind w:left="0" w:firstLine="0"/>
      </w:pPr>
      <w:rPr>
        <w:u w:val="none"/>
      </w:rPr>
    </w:lvl>
    <w:lvl w:ilvl="7">
      <w:numFmt w:val="decimal"/>
      <w:lvlText w:val=""/>
      <w:lvlJc w:val="left"/>
      <w:pPr>
        <w:ind w:left="0" w:firstLine="0"/>
      </w:pPr>
      <w:rPr>
        <w:u w:val="none"/>
      </w:rPr>
    </w:lvl>
    <w:lvl w:ilvl="8">
      <w:numFmt w:val="decimal"/>
      <w:lvlText w:val=""/>
      <w:lvlJc w:val="left"/>
      <w:pPr>
        <w:ind w:left="0" w:firstLine="0"/>
      </w:pPr>
      <w:rPr>
        <w:u w:val="none"/>
      </w:rPr>
    </w:lvl>
  </w:abstractNum>
  <w:abstractNum w:abstractNumId="181" w15:restartNumberingAfterBreak="0">
    <w:nsid w:val="144F4440"/>
    <w:multiLevelType w:val="hybridMultilevel"/>
    <w:tmpl w:val="40BA7A90"/>
    <w:lvl w:ilvl="0" w:tplc="8BC8120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2" w15:restartNumberingAfterBreak="0">
    <w:nsid w:val="145838D4"/>
    <w:multiLevelType w:val="hybridMultilevel"/>
    <w:tmpl w:val="328EDEF4"/>
    <w:lvl w:ilvl="0" w:tplc="0C22F758">
      <w:start w:val="1"/>
      <w:numFmt w:val="decimal"/>
      <w:lvlText w:val="%1."/>
      <w:lvlJc w:val="left"/>
      <w:pPr>
        <w:ind w:left="1211" w:hanging="360"/>
      </w:pPr>
      <w:rPr>
        <w:rFonts w:hint="default"/>
      </w:rPr>
    </w:lvl>
    <w:lvl w:ilvl="1" w:tplc="6BAAEA0E" w:tentative="1">
      <w:start w:val="1"/>
      <w:numFmt w:val="lowerLetter"/>
      <w:lvlText w:val="%2."/>
      <w:lvlJc w:val="left"/>
      <w:pPr>
        <w:ind w:left="1931" w:hanging="360"/>
      </w:pPr>
    </w:lvl>
    <w:lvl w:ilvl="2" w:tplc="E1AE91DC" w:tentative="1">
      <w:start w:val="1"/>
      <w:numFmt w:val="lowerRoman"/>
      <w:lvlText w:val="%3."/>
      <w:lvlJc w:val="right"/>
      <w:pPr>
        <w:ind w:left="2651" w:hanging="180"/>
      </w:pPr>
    </w:lvl>
    <w:lvl w:ilvl="3" w:tplc="199CF6B6" w:tentative="1">
      <w:start w:val="1"/>
      <w:numFmt w:val="decimal"/>
      <w:lvlText w:val="%4."/>
      <w:lvlJc w:val="left"/>
      <w:pPr>
        <w:ind w:left="3371" w:hanging="360"/>
      </w:pPr>
    </w:lvl>
    <w:lvl w:ilvl="4" w:tplc="254AFB80" w:tentative="1">
      <w:start w:val="1"/>
      <w:numFmt w:val="lowerLetter"/>
      <w:lvlText w:val="%5."/>
      <w:lvlJc w:val="left"/>
      <w:pPr>
        <w:ind w:left="4091" w:hanging="360"/>
      </w:pPr>
    </w:lvl>
    <w:lvl w:ilvl="5" w:tplc="249C0036" w:tentative="1">
      <w:start w:val="1"/>
      <w:numFmt w:val="lowerRoman"/>
      <w:lvlText w:val="%6."/>
      <w:lvlJc w:val="right"/>
      <w:pPr>
        <w:ind w:left="4811" w:hanging="180"/>
      </w:pPr>
    </w:lvl>
    <w:lvl w:ilvl="6" w:tplc="69DC78FE" w:tentative="1">
      <w:start w:val="1"/>
      <w:numFmt w:val="decimal"/>
      <w:lvlText w:val="%7."/>
      <w:lvlJc w:val="left"/>
      <w:pPr>
        <w:ind w:left="5531" w:hanging="360"/>
      </w:pPr>
    </w:lvl>
    <w:lvl w:ilvl="7" w:tplc="45D44600" w:tentative="1">
      <w:start w:val="1"/>
      <w:numFmt w:val="lowerLetter"/>
      <w:lvlText w:val="%8."/>
      <w:lvlJc w:val="left"/>
      <w:pPr>
        <w:ind w:left="6251" w:hanging="360"/>
      </w:pPr>
    </w:lvl>
    <w:lvl w:ilvl="8" w:tplc="F516EDDA" w:tentative="1">
      <w:start w:val="1"/>
      <w:numFmt w:val="lowerRoman"/>
      <w:lvlText w:val="%9."/>
      <w:lvlJc w:val="right"/>
      <w:pPr>
        <w:ind w:left="6971" w:hanging="180"/>
      </w:pPr>
    </w:lvl>
  </w:abstractNum>
  <w:abstractNum w:abstractNumId="183" w15:restartNumberingAfterBreak="0">
    <w:nsid w:val="14843678"/>
    <w:multiLevelType w:val="multilevel"/>
    <w:tmpl w:val="C75A43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4" w15:restartNumberingAfterBreak="0">
    <w:nsid w:val="14AF204E"/>
    <w:multiLevelType w:val="hybridMultilevel"/>
    <w:tmpl w:val="8F60DB2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85" w15:restartNumberingAfterBreak="0">
    <w:nsid w:val="14C44490"/>
    <w:multiLevelType w:val="hybridMultilevel"/>
    <w:tmpl w:val="08F62666"/>
    <w:lvl w:ilvl="0" w:tplc="DC94A3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6" w15:restartNumberingAfterBreak="0">
    <w:nsid w:val="14E4366E"/>
    <w:multiLevelType w:val="multilevel"/>
    <w:tmpl w:val="A8485D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1507617E"/>
    <w:multiLevelType w:val="multilevel"/>
    <w:tmpl w:val="D5EECA52"/>
    <w:lvl w:ilvl="0">
      <w:start w:val="1"/>
      <w:numFmt w:val="decimal"/>
      <w:lvlText w:val="%1."/>
      <w:lvlJc w:val="left"/>
      <w:pPr>
        <w:tabs>
          <w:tab w:val="num" w:pos="2346"/>
        </w:tabs>
        <w:ind w:left="2346" w:hanging="360"/>
      </w:pPr>
    </w:lvl>
    <w:lvl w:ilvl="1" w:tentative="1">
      <w:start w:val="1"/>
      <w:numFmt w:val="decimal"/>
      <w:lvlText w:val="%2."/>
      <w:lvlJc w:val="left"/>
      <w:pPr>
        <w:tabs>
          <w:tab w:val="num" w:pos="3066"/>
        </w:tabs>
        <w:ind w:left="3066" w:hanging="360"/>
      </w:pPr>
    </w:lvl>
    <w:lvl w:ilvl="2" w:tentative="1">
      <w:start w:val="1"/>
      <w:numFmt w:val="decimal"/>
      <w:lvlText w:val="%3."/>
      <w:lvlJc w:val="left"/>
      <w:pPr>
        <w:tabs>
          <w:tab w:val="num" w:pos="3786"/>
        </w:tabs>
        <w:ind w:left="3786" w:hanging="360"/>
      </w:pPr>
    </w:lvl>
    <w:lvl w:ilvl="3" w:tentative="1">
      <w:start w:val="1"/>
      <w:numFmt w:val="decimal"/>
      <w:lvlText w:val="%4."/>
      <w:lvlJc w:val="left"/>
      <w:pPr>
        <w:tabs>
          <w:tab w:val="num" w:pos="4506"/>
        </w:tabs>
        <w:ind w:left="4506" w:hanging="360"/>
      </w:pPr>
    </w:lvl>
    <w:lvl w:ilvl="4" w:tentative="1">
      <w:start w:val="1"/>
      <w:numFmt w:val="decimal"/>
      <w:lvlText w:val="%5."/>
      <w:lvlJc w:val="left"/>
      <w:pPr>
        <w:tabs>
          <w:tab w:val="num" w:pos="5226"/>
        </w:tabs>
        <w:ind w:left="5226" w:hanging="360"/>
      </w:pPr>
    </w:lvl>
    <w:lvl w:ilvl="5" w:tentative="1">
      <w:start w:val="1"/>
      <w:numFmt w:val="decimal"/>
      <w:lvlText w:val="%6."/>
      <w:lvlJc w:val="left"/>
      <w:pPr>
        <w:tabs>
          <w:tab w:val="num" w:pos="5946"/>
        </w:tabs>
        <w:ind w:left="5946" w:hanging="360"/>
      </w:pPr>
    </w:lvl>
    <w:lvl w:ilvl="6" w:tentative="1">
      <w:start w:val="1"/>
      <w:numFmt w:val="decimal"/>
      <w:lvlText w:val="%7."/>
      <w:lvlJc w:val="left"/>
      <w:pPr>
        <w:tabs>
          <w:tab w:val="num" w:pos="6666"/>
        </w:tabs>
        <w:ind w:left="6666" w:hanging="360"/>
      </w:pPr>
    </w:lvl>
    <w:lvl w:ilvl="7" w:tentative="1">
      <w:start w:val="1"/>
      <w:numFmt w:val="decimal"/>
      <w:lvlText w:val="%8."/>
      <w:lvlJc w:val="left"/>
      <w:pPr>
        <w:tabs>
          <w:tab w:val="num" w:pos="7386"/>
        </w:tabs>
        <w:ind w:left="7386" w:hanging="360"/>
      </w:pPr>
    </w:lvl>
    <w:lvl w:ilvl="8" w:tentative="1">
      <w:start w:val="1"/>
      <w:numFmt w:val="decimal"/>
      <w:lvlText w:val="%9."/>
      <w:lvlJc w:val="left"/>
      <w:pPr>
        <w:tabs>
          <w:tab w:val="num" w:pos="8106"/>
        </w:tabs>
        <w:ind w:left="8106" w:hanging="360"/>
      </w:pPr>
    </w:lvl>
  </w:abstractNum>
  <w:abstractNum w:abstractNumId="188" w15:restartNumberingAfterBreak="0">
    <w:nsid w:val="15150DBC"/>
    <w:multiLevelType w:val="hybridMultilevel"/>
    <w:tmpl w:val="BC26B5E0"/>
    <w:lvl w:ilvl="0" w:tplc="93A4915A">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9" w15:restartNumberingAfterBreak="0">
    <w:nsid w:val="15952D64"/>
    <w:multiLevelType w:val="hybridMultilevel"/>
    <w:tmpl w:val="36CA3FBC"/>
    <w:lvl w:ilvl="0" w:tplc="8A6E3108">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0" w15:restartNumberingAfterBreak="0">
    <w:nsid w:val="15B61018"/>
    <w:multiLevelType w:val="multilevel"/>
    <w:tmpl w:val="5D8890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15F3AC9E"/>
    <w:multiLevelType w:val="multilevel"/>
    <w:tmpl w:val="FFFFFFFF"/>
    <w:lvl w:ilvl="0">
      <w:start w:val="1"/>
      <w:numFmt w:val="decimal"/>
      <w:suff w:val="space"/>
      <w:lvlText w:val="%1."/>
      <w:lvlJc w:val="left"/>
    </w:lvl>
    <w:lvl w:ilvl="1">
      <w:start w:val="1"/>
      <w:numFmt w:val="decimal"/>
      <w:lvlText w:val="%1."/>
      <w:lvlJc w:val="left"/>
    </w:lvl>
    <w:lvl w:ilvl="2">
      <w:start w:val="1"/>
      <w:numFmt w:val="decimal"/>
      <w:lvlText w:val="%1."/>
      <w:lvlJc w:val="left"/>
    </w:lvl>
    <w:lvl w:ilvl="3">
      <w:start w:val="1"/>
      <w:numFmt w:val="decimal"/>
      <w:lvlText w:val="%1."/>
      <w:lvlJc w:val="left"/>
    </w:lvl>
    <w:lvl w:ilvl="4">
      <w:start w:val="1"/>
      <w:numFmt w:val="decimal"/>
      <w:lvlText w:val="%1."/>
      <w:lvlJc w:val="left"/>
    </w:lvl>
    <w:lvl w:ilvl="5">
      <w:start w:val="1"/>
      <w:numFmt w:val="decimal"/>
      <w:lvlText w:val="%1."/>
      <w:lvlJc w:val="left"/>
    </w:lvl>
    <w:lvl w:ilvl="6">
      <w:start w:val="1"/>
      <w:numFmt w:val="decimal"/>
      <w:lvlText w:val="%1."/>
      <w:lvlJc w:val="left"/>
    </w:lvl>
    <w:lvl w:ilvl="7">
      <w:start w:val="1"/>
      <w:numFmt w:val="decimal"/>
      <w:lvlText w:val="%1."/>
      <w:lvlJc w:val="left"/>
    </w:lvl>
    <w:lvl w:ilvl="8">
      <w:start w:val="1"/>
      <w:numFmt w:val="decimal"/>
      <w:lvlText w:val="%1."/>
      <w:lvlJc w:val="left"/>
    </w:lvl>
  </w:abstractNum>
  <w:abstractNum w:abstractNumId="192" w15:restartNumberingAfterBreak="0">
    <w:nsid w:val="16155EF1"/>
    <w:multiLevelType w:val="hybridMultilevel"/>
    <w:tmpl w:val="A67A1EDC"/>
    <w:lvl w:ilvl="0" w:tplc="A0F8F6D6">
      <w:start w:val="1"/>
      <w:numFmt w:val="decimal"/>
      <w:lvlText w:val="%1."/>
      <w:lvlJc w:val="left"/>
      <w:pPr>
        <w:ind w:left="1069" w:hanging="360"/>
      </w:pPr>
      <w:rPr>
        <w:rFonts w:hint="default"/>
      </w:rPr>
    </w:lvl>
    <w:lvl w:ilvl="1" w:tplc="0F90654A" w:tentative="1">
      <w:start w:val="1"/>
      <w:numFmt w:val="lowerLetter"/>
      <w:lvlText w:val="%2."/>
      <w:lvlJc w:val="left"/>
      <w:pPr>
        <w:ind w:left="1789" w:hanging="360"/>
      </w:pPr>
    </w:lvl>
    <w:lvl w:ilvl="2" w:tplc="1E609DF8" w:tentative="1">
      <w:start w:val="1"/>
      <w:numFmt w:val="lowerRoman"/>
      <w:lvlText w:val="%3."/>
      <w:lvlJc w:val="right"/>
      <w:pPr>
        <w:ind w:left="2509" w:hanging="180"/>
      </w:pPr>
    </w:lvl>
    <w:lvl w:ilvl="3" w:tplc="E12C08F0" w:tentative="1">
      <w:start w:val="1"/>
      <w:numFmt w:val="decimal"/>
      <w:lvlText w:val="%4."/>
      <w:lvlJc w:val="left"/>
      <w:pPr>
        <w:ind w:left="3229" w:hanging="360"/>
      </w:pPr>
    </w:lvl>
    <w:lvl w:ilvl="4" w:tplc="18DE7D78" w:tentative="1">
      <w:start w:val="1"/>
      <w:numFmt w:val="lowerLetter"/>
      <w:lvlText w:val="%5."/>
      <w:lvlJc w:val="left"/>
      <w:pPr>
        <w:ind w:left="3949" w:hanging="360"/>
      </w:pPr>
    </w:lvl>
    <w:lvl w:ilvl="5" w:tplc="081A1EF8" w:tentative="1">
      <w:start w:val="1"/>
      <w:numFmt w:val="lowerRoman"/>
      <w:lvlText w:val="%6."/>
      <w:lvlJc w:val="right"/>
      <w:pPr>
        <w:ind w:left="4669" w:hanging="180"/>
      </w:pPr>
    </w:lvl>
    <w:lvl w:ilvl="6" w:tplc="8BD03B0C" w:tentative="1">
      <w:start w:val="1"/>
      <w:numFmt w:val="decimal"/>
      <w:lvlText w:val="%7."/>
      <w:lvlJc w:val="left"/>
      <w:pPr>
        <w:ind w:left="5389" w:hanging="360"/>
      </w:pPr>
    </w:lvl>
    <w:lvl w:ilvl="7" w:tplc="A9DE4D62" w:tentative="1">
      <w:start w:val="1"/>
      <w:numFmt w:val="lowerLetter"/>
      <w:lvlText w:val="%8."/>
      <w:lvlJc w:val="left"/>
      <w:pPr>
        <w:ind w:left="6109" w:hanging="360"/>
      </w:pPr>
    </w:lvl>
    <w:lvl w:ilvl="8" w:tplc="1534BE56" w:tentative="1">
      <w:start w:val="1"/>
      <w:numFmt w:val="lowerRoman"/>
      <w:lvlText w:val="%9."/>
      <w:lvlJc w:val="right"/>
      <w:pPr>
        <w:ind w:left="6829" w:hanging="180"/>
      </w:pPr>
    </w:lvl>
  </w:abstractNum>
  <w:abstractNum w:abstractNumId="193" w15:restartNumberingAfterBreak="0">
    <w:nsid w:val="16155FF8"/>
    <w:multiLevelType w:val="hybridMultilevel"/>
    <w:tmpl w:val="0BF070EA"/>
    <w:numStyleLink w:val="a0"/>
  </w:abstractNum>
  <w:abstractNum w:abstractNumId="194" w15:restartNumberingAfterBreak="0">
    <w:nsid w:val="16363E87"/>
    <w:multiLevelType w:val="multilevel"/>
    <w:tmpl w:val="ECECA3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1662624C"/>
    <w:multiLevelType w:val="hybridMultilevel"/>
    <w:tmpl w:val="0FA46450"/>
    <w:lvl w:ilvl="0" w:tplc="C6F4376E">
      <w:start w:val="1"/>
      <w:numFmt w:val="decimal"/>
      <w:lvlText w:val="%1."/>
      <w:lvlJc w:val="left"/>
      <w:pPr>
        <w:ind w:left="1080" w:hanging="360"/>
      </w:pPr>
      <w:rPr>
        <w:rFonts w:ascii="Times New Roman" w:eastAsiaTheme="minorHAnsi" w:hAnsi="Times New Roman" w:cs="Times New Roman" w:hint="default"/>
        <w:b w:val="0"/>
        <w:sz w:val="28"/>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96" w15:restartNumberingAfterBreak="0">
    <w:nsid w:val="16823194"/>
    <w:multiLevelType w:val="hybridMultilevel"/>
    <w:tmpl w:val="36CA3FBC"/>
    <w:lvl w:ilvl="0" w:tplc="8A6E3108">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7" w15:restartNumberingAfterBreak="0">
    <w:nsid w:val="1685230E"/>
    <w:multiLevelType w:val="hybridMultilevel"/>
    <w:tmpl w:val="5A84D5A6"/>
    <w:lvl w:ilvl="0" w:tplc="700C1922">
      <w:start w:val="1"/>
      <w:numFmt w:val="decimal"/>
      <w:lvlText w:val="%1."/>
      <w:lvlJc w:val="left"/>
      <w:pPr>
        <w:ind w:left="975" w:hanging="408"/>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98" w15:restartNumberingAfterBreak="0">
    <w:nsid w:val="16F26436"/>
    <w:multiLevelType w:val="hybridMultilevel"/>
    <w:tmpl w:val="38D0CE64"/>
    <w:lvl w:ilvl="0" w:tplc="D2F0D0FE">
      <w:start w:val="8"/>
      <w:numFmt w:val="bullet"/>
      <w:lvlText w:val="-"/>
      <w:lvlJc w:val="left"/>
      <w:pPr>
        <w:ind w:left="921" w:hanging="360"/>
      </w:pPr>
      <w:rPr>
        <w:rFonts w:ascii="Times New Roman" w:eastAsiaTheme="minorHAnsi" w:hAnsi="Times New Roman" w:cs="Times New Roman" w:hint="default"/>
      </w:rPr>
    </w:lvl>
    <w:lvl w:ilvl="1" w:tplc="08090003" w:tentative="1">
      <w:start w:val="1"/>
      <w:numFmt w:val="bullet"/>
      <w:lvlText w:val="o"/>
      <w:lvlJc w:val="left"/>
      <w:pPr>
        <w:ind w:left="1641" w:hanging="360"/>
      </w:pPr>
      <w:rPr>
        <w:rFonts w:ascii="Courier New" w:hAnsi="Courier New" w:cs="Courier New" w:hint="default"/>
      </w:rPr>
    </w:lvl>
    <w:lvl w:ilvl="2" w:tplc="08090005" w:tentative="1">
      <w:start w:val="1"/>
      <w:numFmt w:val="bullet"/>
      <w:lvlText w:val=""/>
      <w:lvlJc w:val="left"/>
      <w:pPr>
        <w:ind w:left="2361" w:hanging="360"/>
      </w:pPr>
      <w:rPr>
        <w:rFonts w:ascii="Wingdings" w:hAnsi="Wingdings" w:hint="default"/>
      </w:rPr>
    </w:lvl>
    <w:lvl w:ilvl="3" w:tplc="08090001" w:tentative="1">
      <w:start w:val="1"/>
      <w:numFmt w:val="bullet"/>
      <w:lvlText w:val=""/>
      <w:lvlJc w:val="left"/>
      <w:pPr>
        <w:ind w:left="3081" w:hanging="360"/>
      </w:pPr>
      <w:rPr>
        <w:rFonts w:ascii="Symbol" w:hAnsi="Symbol" w:hint="default"/>
      </w:rPr>
    </w:lvl>
    <w:lvl w:ilvl="4" w:tplc="08090003" w:tentative="1">
      <w:start w:val="1"/>
      <w:numFmt w:val="bullet"/>
      <w:lvlText w:val="o"/>
      <w:lvlJc w:val="left"/>
      <w:pPr>
        <w:ind w:left="3801" w:hanging="360"/>
      </w:pPr>
      <w:rPr>
        <w:rFonts w:ascii="Courier New" w:hAnsi="Courier New" w:cs="Courier New" w:hint="default"/>
      </w:rPr>
    </w:lvl>
    <w:lvl w:ilvl="5" w:tplc="08090005" w:tentative="1">
      <w:start w:val="1"/>
      <w:numFmt w:val="bullet"/>
      <w:lvlText w:val=""/>
      <w:lvlJc w:val="left"/>
      <w:pPr>
        <w:ind w:left="4521" w:hanging="360"/>
      </w:pPr>
      <w:rPr>
        <w:rFonts w:ascii="Wingdings" w:hAnsi="Wingdings" w:hint="default"/>
      </w:rPr>
    </w:lvl>
    <w:lvl w:ilvl="6" w:tplc="08090001" w:tentative="1">
      <w:start w:val="1"/>
      <w:numFmt w:val="bullet"/>
      <w:lvlText w:val=""/>
      <w:lvlJc w:val="left"/>
      <w:pPr>
        <w:ind w:left="5241" w:hanging="360"/>
      </w:pPr>
      <w:rPr>
        <w:rFonts w:ascii="Symbol" w:hAnsi="Symbol" w:hint="default"/>
      </w:rPr>
    </w:lvl>
    <w:lvl w:ilvl="7" w:tplc="08090003" w:tentative="1">
      <w:start w:val="1"/>
      <w:numFmt w:val="bullet"/>
      <w:lvlText w:val="o"/>
      <w:lvlJc w:val="left"/>
      <w:pPr>
        <w:ind w:left="5961" w:hanging="360"/>
      </w:pPr>
      <w:rPr>
        <w:rFonts w:ascii="Courier New" w:hAnsi="Courier New" w:cs="Courier New" w:hint="default"/>
      </w:rPr>
    </w:lvl>
    <w:lvl w:ilvl="8" w:tplc="08090005" w:tentative="1">
      <w:start w:val="1"/>
      <w:numFmt w:val="bullet"/>
      <w:lvlText w:val=""/>
      <w:lvlJc w:val="left"/>
      <w:pPr>
        <w:ind w:left="6681" w:hanging="360"/>
      </w:pPr>
      <w:rPr>
        <w:rFonts w:ascii="Wingdings" w:hAnsi="Wingdings" w:hint="default"/>
      </w:rPr>
    </w:lvl>
  </w:abstractNum>
  <w:abstractNum w:abstractNumId="199" w15:restartNumberingAfterBreak="0">
    <w:nsid w:val="173F73DE"/>
    <w:multiLevelType w:val="multilevel"/>
    <w:tmpl w:val="9AFE777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0" w15:restartNumberingAfterBreak="0">
    <w:nsid w:val="178F02E5"/>
    <w:multiLevelType w:val="hybridMultilevel"/>
    <w:tmpl w:val="669CCB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1" w15:restartNumberingAfterBreak="0">
    <w:nsid w:val="17ED0E0D"/>
    <w:multiLevelType w:val="hybridMultilevel"/>
    <w:tmpl w:val="09C8879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2" w15:restartNumberingAfterBreak="0">
    <w:nsid w:val="180B15E1"/>
    <w:multiLevelType w:val="hybridMultilevel"/>
    <w:tmpl w:val="0FB846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3" w15:restartNumberingAfterBreak="0">
    <w:nsid w:val="18187561"/>
    <w:multiLevelType w:val="hybridMultilevel"/>
    <w:tmpl w:val="744053C2"/>
    <w:lvl w:ilvl="0" w:tplc="6130FEBE">
      <w:start w:val="1"/>
      <w:numFmt w:val="decimal"/>
      <w:lvlText w:val="%1)"/>
      <w:lvlJc w:val="left"/>
      <w:pPr>
        <w:ind w:left="710" w:hanging="71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4" w15:restartNumberingAfterBreak="0">
    <w:nsid w:val="182D25F0"/>
    <w:multiLevelType w:val="hybridMultilevel"/>
    <w:tmpl w:val="5EA2C736"/>
    <w:lvl w:ilvl="0" w:tplc="2A12514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5" w15:restartNumberingAfterBreak="0">
    <w:nsid w:val="185F21A3"/>
    <w:multiLevelType w:val="hybridMultilevel"/>
    <w:tmpl w:val="24D2EFBC"/>
    <w:lvl w:ilvl="0" w:tplc="7C9A8E5E">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6" w15:restartNumberingAfterBreak="0">
    <w:nsid w:val="18D26ED7"/>
    <w:multiLevelType w:val="hybridMultilevel"/>
    <w:tmpl w:val="F3C8DB62"/>
    <w:lvl w:ilvl="0" w:tplc="1000000F">
      <w:start w:val="1"/>
      <w:numFmt w:val="decimal"/>
      <w:lvlText w:val="%1."/>
      <w:lvlJc w:val="left"/>
      <w:pPr>
        <w:ind w:left="1440" w:hanging="360"/>
      </w:pPr>
    </w:lvl>
    <w:lvl w:ilvl="1" w:tplc="10000019" w:tentative="1">
      <w:start w:val="1"/>
      <w:numFmt w:val="lowerLetter"/>
      <w:lvlText w:val="%2."/>
      <w:lvlJc w:val="left"/>
      <w:pPr>
        <w:ind w:left="2160" w:hanging="360"/>
      </w:pPr>
    </w:lvl>
    <w:lvl w:ilvl="2" w:tplc="1000001B" w:tentative="1">
      <w:start w:val="1"/>
      <w:numFmt w:val="lowerRoman"/>
      <w:lvlText w:val="%3."/>
      <w:lvlJc w:val="right"/>
      <w:pPr>
        <w:ind w:left="2880" w:hanging="180"/>
      </w:pPr>
    </w:lvl>
    <w:lvl w:ilvl="3" w:tplc="1000000F" w:tentative="1">
      <w:start w:val="1"/>
      <w:numFmt w:val="decimal"/>
      <w:lvlText w:val="%4."/>
      <w:lvlJc w:val="left"/>
      <w:pPr>
        <w:ind w:left="3600" w:hanging="360"/>
      </w:pPr>
    </w:lvl>
    <w:lvl w:ilvl="4" w:tplc="10000019" w:tentative="1">
      <w:start w:val="1"/>
      <w:numFmt w:val="lowerLetter"/>
      <w:lvlText w:val="%5."/>
      <w:lvlJc w:val="left"/>
      <w:pPr>
        <w:ind w:left="4320" w:hanging="360"/>
      </w:pPr>
    </w:lvl>
    <w:lvl w:ilvl="5" w:tplc="1000001B" w:tentative="1">
      <w:start w:val="1"/>
      <w:numFmt w:val="lowerRoman"/>
      <w:lvlText w:val="%6."/>
      <w:lvlJc w:val="right"/>
      <w:pPr>
        <w:ind w:left="5040" w:hanging="180"/>
      </w:pPr>
    </w:lvl>
    <w:lvl w:ilvl="6" w:tplc="1000000F" w:tentative="1">
      <w:start w:val="1"/>
      <w:numFmt w:val="decimal"/>
      <w:lvlText w:val="%7."/>
      <w:lvlJc w:val="left"/>
      <w:pPr>
        <w:ind w:left="5760" w:hanging="360"/>
      </w:pPr>
    </w:lvl>
    <w:lvl w:ilvl="7" w:tplc="10000019" w:tentative="1">
      <w:start w:val="1"/>
      <w:numFmt w:val="lowerLetter"/>
      <w:lvlText w:val="%8."/>
      <w:lvlJc w:val="left"/>
      <w:pPr>
        <w:ind w:left="6480" w:hanging="360"/>
      </w:pPr>
    </w:lvl>
    <w:lvl w:ilvl="8" w:tplc="1000001B" w:tentative="1">
      <w:start w:val="1"/>
      <w:numFmt w:val="lowerRoman"/>
      <w:lvlText w:val="%9."/>
      <w:lvlJc w:val="right"/>
      <w:pPr>
        <w:ind w:left="7200" w:hanging="180"/>
      </w:pPr>
    </w:lvl>
  </w:abstractNum>
  <w:abstractNum w:abstractNumId="207" w15:restartNumberingAfterBreak="0">
    <w:nsid w:val="190912D3"/>
    <w:multiLevelType w:val="hybridMultilevel"/>
    <w:tmpl w:val="C53AD71E"/>
    <w:lvl w:ilvl="0" w:tplc="04DA8C9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8" w15:restartNumberingAfterBreak="0">
    <w:nsid w:val="1988F7F9"/>
    <w:multiLevelType w:val="hybridMultilevel"/>
    <w:tmpl w:val="FFFFFFFF"/>
    <w:lvl w:ilvl="0" w:tplc="383CB350">
      <w:start w:val="1"/>
      <w:numFmt w:val="decimal"/>
      <w:lvlText w:val="%1."/>
      <w:lvlJc w:val="left"/>
      <w:pPr>
        <w:ind w:left="1068" w:hanging="360"/>
      </w:pPr>
    </w:lvl>
    <w:lvl w:ilvl="1" w:tplc="A524CA50">
      <w:start w:val="1"/>
      <w:numFmt w:val="lowerLetter"/>
      <w:lvlText w:val="%2."/>
      <w:lvlJc w:val="left"/>
      <w:pPr>
        <w:ind w:left="1788" w:hanging="360"/>
      </w:pPr>
    </w:lvl>
    <w:lvl w:ilvl="2" w:tplc="E4A8829C">
      <w:start w:val="1"/>
      <w:numFmt w:val="lowerRoman"/>
      <w:lvlText w:val="%3."/>
      <w:lvlJc w:val="right"/>
      <w:pPr>
        <w:ind w:left="2508" w:hanging="180"/>
      </w:pPr>
    </w:lvl>
    <w:lvl w:ilvl="3" w:tplc="FA02CF2A">
      <w:start w:val="1"/>
      <w:numFmt w:val="decimal"/>
      <w:lvlText w:val="%4."/>
      <w:lvlJc w:val="left"/>
      <w:pPr>
        <w:ind w:left="3228" w:hanging="360"/>
      </w:pPr>
    </w:lvl>
    <w:lvl w:ilvl="4" w:tplc="18AAAAA8">
      <w:start w:val="1"/>
      <w:numFmt w:val="lowerLetter"/>
      <w:lvlText w:val="%5."/>
      <w:lvlJc w:val="left"/>
      <w:pPr>
        <w:ind w:left="3948" w:hanging="360"/>
      </w:pPr>
    </w:lvl>
    <w:lvl w:ilvl="5" w:tplc="762AB7F6">
      <w:start w:val="1"/>
      <w:numFmt w:val="lowerRoman"/>
      <w:lvlText w:val="%6."/>
      <w:lvlJc w:val="right"/>
      <w:pPr>
        <w:ind w:left="4668" w:hanging="180"/>
      </w:pPr>
    </w:lvl>
    <w:lvl w:ilvl="6" w:tplc="F5BE087C">
      <w:start w:val="1"/>
      <w:numFmt w:val="decimal"/>
      <w:lvlText w:val="%7."/>
      <w:lvlJc w:val="left"/>
      <w:pPr>
        <w:ind w:left="5388" w:hanging="360"/>
      </w:pPr>
    </w:lvl>
    <w:lvl w:ilvl="7" w:tplc="C1F44EF8">
      <w:start w:val="1"/>
      <w:numFmt w:val="lowerLetter"/>
      <w:lvlText w:val="%8."/>
      <w:lvlJc w:val="left"/>
      <w:pPr>
        <w:ind w:left="6108" w:hanging="360"/>
      </w:pPr>
    </w:lvl>
    <w:lvl w:ilvl="8" w:tplc="EB187B76">
      <w:start w:val="1"/>
      <w:numFmt w:val="lowerRoman"/>
      <w:lvlText w:val="%9."/>
      <w:lvlJc w:val="right"/>
      <w:pPr>
        <w:ind w:left="6828" w:hanging="180"/>
      </w:pPr>
    </w:lvl>
  </w:abstractNum>
  <w:abstractNum w:abstractNumId="209" w15:restartNumberingAfterBreak="0">
    <w:nsid w:val="199C352C"/>
    <w:multiLevelType w:val="hybridMultilevel"/>
    <w:tmpl w:val="EB28DB8C"/>
    <w:lvl w:ilvl="0" w:tplc="556EDBAC">
      <w:numFmt w:val="bullet"/>
      <w:lvlText w:val="-"/>
      <w:lvlJc w:val="left"/>
      <w:pPr>
        <w:tabs>
          <w:tab w:val="num" w:pos="0"/>
        </w:tabs>
        <w:ind w:left="0" w:hanging="360"/>
      </w:pPr>
      <w:rPr>
        <w:rFonts w:ascii="Times New Roman" w:eastAsia="Times New Roman" w:hAnsi="Times New Roman" w:hint="default"/>
      </w:rPr>
    </w:lvl>
    <w:lvl w:ilvl="1" w:tplc="04190003">
      <w:start w:val="1"/>
      <w:numFmt w:val="decimal"/>
      <w:lvlText w:val="%2."/>
      <w:lvlJc w:val="left"/>
      <w:pPr>
        <w:tabs>
          <w:tab w:val="num" w:pos="720"/>
        </w:tabs>
        <w:ind w:left="720" w:hanging="360"/>
      </w:pPr>
      <w:rPr>
        <w:rFonts w:cs="Times New Roman"/>
      </w:rPr>
    </w:lvl>
    <w:lvl w:ilvl="2" w:tplc="04190005">
      <w:start w:val="1"/>
      <w:numFmt w:val="decimal"/>
      <w:lvlText w:val="%3."/>
      <w:lvlJc w:val="left"/>
      <w:pPr>
        <w:tabs>
          <w:tab w:val="num" w:pos="1440"/>
        </w:tabs>
        <w:ind w:left="1440" w:hanging="360"/>
      </w:pPr>
      <w:rPr>
        <w:rFonts w:cs="Times New Roman"/>
      </w:rPr>
    </w:lvl>
    <w:lvl w:ilvl="3" w:tplc="04190001">
      <w:start w:val="1"/>
      <w:numFmt w:val="decimal"/>
      <w:lvlText w:val="%4."/>
      <w:lvlJc w:val="left"/>
      <w:pPr>
        <w:tabs>
          <w:tab w:val="num" w:pos="2160"/>
        </w:tabs>
        <w:ind w:left="2160" w:hanging="360"/>
      </w:pPr>
      <w:rPr>
        <w:rFonts w:cs="Times New Roman"/>
      </w:rPr>
    </w:lvl>
    <w:lvl w:ilvl="4" w:tplc="04190003">
      <w:start w:val="1"/>
      <w:numFmt w:val="decimal"/>
      <w:lvlText w:val="%5."/>
      <w:lvlJc w:val="left"/>
      <w:pPr>
        <w:tabs>
          <w:tab w:val="num" w:pos="2880"/>
        </w:tabs>
        <w:ind w:left="2880" w:hanging="360"/>
      </w:pPr>
      <w:rPr>
        <w:rFonts w:cs="Times New Roman"/>
      </w:rPr>
    </w:lvl>
    <w:lvl w:ilvl="5" w:tplc="04190005">
      <w:start w:val="1"/>
      <w:numFmt w:val="decimal"/>
      <w:lvlText w:val="%6."/>
      <w:lvlJc w:val="left"/>
      <w:pPr>
        <w:tabs>
          <w:tab w:val="num" w:pos="3600"/>
        </w:tabs>
        <w:ind w:left="3600" w:hanging="360"/>
      </w:pPr>
      <w:rPr>
        <w:rFonts w:cs="Times New Roman"/>
      </w:rPr>
    </w:lvl>
    <w:lvl w:ilvl="6" w:tplc="04190001">
      <w:start w:val="1"/>
      <w:numFmt w:val="decimal"/>
      <w:lvlText w:val="%7."/>
      <w:lvlJc w:val="left"/>
      <w:pPr>
        <w:tabs>
          <w:tab w:val="num" w:pos="4320"/>
        </w:tabs>
        <w:ind w:left="4320" w:hanging="360"/>
      </w:pPr>
      <w:rPr>
        <w:rFonts w:cs="Times New Roman"/>
      </w:rPr>
    </w:lvl>
    <w:lvl w:ilvl="7" w:tplc="04190003">
      <w:start w:val="1"/>
      <w:numFmt w:val="decimal"/>
      <w:lvlText w:val="%8."/>
      <w:lvlJc w:val="left"/>
      <w:pPr>
        <w:tabs>
          <w:tab w:val="num" w:pos="5040"/>
        </w:tabs>
        <w:ind w:left="5040" w:hanging="360"/>
      </w:pPr>
      <w:rPr>
        <w:rFonts w:cs="Times New Roman"/>
      </w:rPr>
    </w:lvl>
    <w:lvl w:ilvl="8" w:tplc="04190005">
      <w:start w:val="1"/>
      <w:numFmt w:val="decimal"/>
      <w:lvlText w:val="%9."/>
      <w:lvlJc w:val="left"/>
      <w:pPr>
        <w:tabs>
          <w:tab w:val="num" w:pos="5760"/>
        </w:tabs>
        <w:ind w:left="5760" w:hanging="360"/>
      </w:pPr>
      <w:rPr>
        <w:rFonts w:cs="Times New Roman"/>
      </w:rPr>
    </w:lvl>
  </w:abstractNum>
  <w:abstractNum w:abstractNumId="210" w15:restartNumberingAfterBreak="0">
    <w:nsid w:val="19AB5817"/>
    <w:multiLevelType w:val="hybridMultilevel"/>
    <w:tmpl w:val="7220AABA"/>
    <w:lvl w:ilvl="0" w:tplc="0422000F">
      <w:start w:val="1"/>
      <w:numFmt w:val="decimal"/>
      <w:lvlText w:val="%1."/>
      <w:lvlJc w:val="left"/>
      <w:pPr>
        <w:ind w:left="107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1" w15:restartNumberingAfterBreak="0">
    <w:nsid w:val="19B56262"/>
    <w:multiLevelType w:val="multilevel"/>
    <w:tmpl w:val="1D12BF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2" w15:restartNumberingAfterBreak="0">
    <w:nsid w:val="19C01E46"/>
    <w:multiLevelType w:val="multilevel"/>
    <w:tmpl w:val="3EBE6C66"/>
    <w:lvl w:ilvl="0">
      <w:start w:val="1"/>
      <w:numFmt w:val="bullet"/>
      <w:lvlText w:val="•"/>
      <w:lvlJc w:val="left"/>
      <w:pPr>
        <w:ind w:left="0" w:firstLine="0"/>
      </w:pPr>
      <w:rPr>
        <w:u w:val="none"/>
      </w:rPr>
    </w:lvl>
    <w:lvl w:ilvl="1">
      <w:numFmt w:val="decimal"/>
      <w:lvlText w:val=""/>
      <w:lvlJc w:val="left"/>
      <w:pPr>
        <w:ind w:left="0" w:firstLine="0"/>
      </w:pPr>
      <w:rPr>
        <w:u w:val="none"/>
      </w:rPr>
    </w:lvl>
    <w:lvl w:ilvl="2">
      <w:numFmt w:val="decimal"/>
      <w:lvlText w:val=""/>
      <w:lvlJc w:val="left"/>
      <w:pPr>
        <w:ind w:left="0" w:firstLine="0"/>
      </w:pPr>
      <w:rPr>
        <w:u w:val="none"/>
      </w:rPr>
    </w:lvl>
    <w:lvl w:ilvl="3">
      <w:numFmt w:val="decimal"/>
      <w:lvlText w:val=""/>
      <w:lvlJc w:val="left"/>
      <w:pPr>
        <w:ind w:left="0" w:firstLine="0"/>
      </w:pPr>
      <w:rPr>
        <w:u w:val="none"/>
      </w:rPr>
    </w:lvl>
    <w:lvl w:ilvl="4">
      <w:numFmt w:val="decimal"/>
      <w:lvlText w:val=""/>
      <w:lvlJc w:val="left"/>
      <w:pPr>
        <w:ind w:left="0" w:firstLine="0"/>
      </w:pPr>
      <w:rPr>
        <w:u w:val="none"/>
      </w:rPr>
    </w:lvl>
    <w:lvl w:ilvl="5">
      <w:numFmt w:val="decimal"/>
      <w:lvlText w:val=""/>
      <w:lvlJc w:val="left"/>
      <w:pPr>
        <w:ind w:left="0" w:firstLine="0"/>
      </w:pPr>
      <w:rPr>
        <w:u w:val="none"/>
      </w:rPr>
    </w:lvl>
    <w:lvl w:ilvl="6">
      <w:numFmt w:val="decimal"/>
      <w:lvlText w:val=""/>
      <w:lvlJc w:val="left"/>
      <w:pPr>
        <w:ind w:left="0" w:firstLine="0"/>
      </w:pPr>
      <w:rPr>
        <w:u w:val="none"/>
      </w:rPr>
    </w:lvl>
    <w:lvl w:ilvl="7">
      <w:numFmt w:val="decimal"/>
      <w:lvlText w:val=""/>
      <w:lvlJc w:val="left"/>
      <w:pPr>
        <w:ind w:left="0" w:firstLine="0"/>
      </w:pPr>
      <w:rPr>
        <w:u w:val="none"/>
      </w:rPr>
    </w:lvl>
    <w:lvl w:ilvl="8">
      <w:numFmt w:val="decimal"/>
      <w:lvlText w:val=""/>
      <w:lvlJc w:val="left"/>
      <w:pPr>
        <w:ind w:left="0" w:firstLine="0"/>
      </w:pPr>
      <w:rPr>
        <w:u w:val="none"/>
      </w:rPr>
    </w:lvl>
  </w:abstractNum>
  <w:abstractNum w:abstractNumId="213" w15:restartNumberingAfterBreak="0">
    <w:nsid w:val="19C967B6"/>
    <w:multiLevelType w:val="hybridMultilevel"/>
    <w:tmpl w:val="487E977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4" w15:restartNumberingAfterBreak="0">
    <w:nsid w:val="19CF5B25"/>
    <w:multiLevelType w:val="multilevel"/>
    <w:tmpl w:val="AA2A8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5" w15:restartNumberingAfterBreak="0">
    <w:nsid w:val="19E105E6"/>
    <w:multiLevelType w:val="hybridMultilevel"/>
    <w:tmpl w:val="08FC279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6" w15:restartNumberingAfterBreak="0">
    <w:nsid w:val="19EE778C"/>
    <w:multiLevelType w:val="hybridMultilevel"/>
    <w:tmpl w:val="F19689F2"/>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17" w15:restartNumberingAfterBreak="0">
    <w:nsid w:val="1A2072EE"/>
    <w:multiLevelType w:val="hybridMultilevel"/>
    <w:tmpl w:val="129C4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8" w15:restartNumberingAfterBreak="0">
    <w:nsid w:val="1A2E18F7"/>
    <w:multiLevelType w:val="hybridMultilevel"/>
    <w:tmpl w:val="FAA2D1F4"/>
    <w:lvl w:ilvl="0" w:tplc="12C6B7A8">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9" w15:restartNumberingAfterBreak="0">
    <w:nsid w:val="1A420285"/>
    <w:multiLevelType w:val="hybridMultilevel"/>
    <w:tmpl w:val="B1605A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1ACB0717"/>
    <w:multiLevelType w:val="hybridMultilevel"/>
    <w:tmpl w:val="A85A037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1" w15:restartNumberingAfterBreak="0">
    <w:nsid w:val="1AF1544B"/>
    <w:multiLevelType w:val="multilevel"/>
    <w:tmpl w:val="ED46199C"/>
    <w:lvl w:ilvl="0">
      <w:start w:val="1"/>
      <w:numFmt w:val="decimal"/>
      <w:lvlText w:val="%1."/>
      <w:lvlJc w:val="left"/>
      <w:pPr>
        <w:tabs>
          <w:tab w:val="num" w:pos="708"/>
        </w:tabs>
        <w:ind w:left="708" w:hanging="283"/>
      </w:pPr>
    </w:lvl>
    <w:lvl w:ilvl="1">
      <w:start w:val="1"/>
      <w:numFmt w:val="decimal"/>
      <w:lvlText w:val="%2."/>
      <w:lvlJc w:val="left"/>
      <w:pPr>
        <w:tabs>
          <w:tab w:val="num" w:pos="1417"/>
        </w:tabs>
        <w:ind w:left="1417" w:hanging="283"/>
      </w:pPr>
    </w:lvl>
    <w:lvl w:ilvl="2">
      <w:start w:val="1"/>
      <w:numFmt w:val="decimal"/>
      <w:lvlText w:val="%3."/>
      <w:lvlJc w:val="left"/>
      <w:pPr>
        <w:tabs>
          <w:tab w:val="num" w:pos="2126"/>
        </w:tabs>
        <w:ind w:left="2126" w:hanging="283"/>
      </w:pPr>
    </w:lvl>
    <w:lvl w:ilvl="3">
      <w:start w:val="1"/>
      <w:numFmt w:val="decimal"/>
      <w:lvlText w:val="%4."/>
      <w:lvlJc w:val="left"/>
      <w:pPr>
        <w:tabs>
          <w:tab w:val="num" w:pos="2835"/>
        </w:tabs>
        <w:ind w:left="2835" w:hanging="283"/>
      </w:pPr>
    </w:lvl>
    <w:lvl w:ilvl="4">
      <w:start w:val="1"/>
      <w:numFmt w:val="decimal"/>
      <w:lvlText w:val="%5."/>
      <w:lvlJc w:val="left"/>
      <w:pPr>
        <w:tabs>
          <w:tab w:val="num" w:pos="3544"/>
        </w:tabs>
        <w:ind w:left="3544" w:hanging="283"/>
      </w:pPr>
    </w:lvl>
    <w:lvl w:ilvl="5">
      <w:start w:val="1"/>
      <w:numFmt w:val="decimal"/>
      <w:lvlText w:val="%6."/>
      <w:lvlJc w:val="left"/>
      <w:pPr>
        <w:tabs>
          <w:tab w:val="num" w:pos="4253"/>
        </w:tabs>
        <w:ind w:left="4253" w:hanging="283"/>
      </w:pPr>
    </w:lvl>
    <w:lvl w:ilvl="6">
      <w:start w:val="1"/>
      <w:numFmt w:val="decimal"/>
      <w:lvlText w:val="%7."/>
      <w:lvlJc w:val="left"/>
      <w:pPr>
        <w:tabs>
          <w:tab w:val="num" w:pos="4962"/>
        </w:tabs>
        <w:ind w:left="4962" w:hanging="283"/>
      </w:pPr>
    </w:lvl>
    <w:lvl w:ilvl="7">
      <w:start w:val="1"/>
      <w:numFmt w:val="decimal"/>
      <w:lvlText w:val="%8."/>
      <w:lvlJc w:val="left"/>
      <w:pPr>
        <w:tabs>
          <w:tab w:val="num" w:pos="5671"/>
        </w:tabs>
        <w:ind w:left="5671" w:hanging="283"/>
      </w:pPr>
    </w:lvl>
    <w:lvl w:ilvl="8">
      <w:start w:val="1"/>
      <w:numFmt w:val="decimal"/>
      <w:lvlText w:val="%9."/>
      <w:lvlJc w:val="left"/>
      <w:pPr>
        <w:tabs>
          <w:tab w:val="num" w:pos="6380"/>
        </w:tabs>
        <w:ind w:left="6380" w:hanging="283"/>
      </w:pPr>
    </w:lvl>
  </w:abstractNum>
  <w:abstractNum w:abstractNumId="222" w15:restartNumberingAfterBreak="0">
    <w:nsid w:val="1B233271"/>
    <w:multiLevelType w:val="hybridMultilevel"/>
    <w:tmpl w:val="8A58CF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3" w15:restartNumberingAfterBreak="0">
    <w:nsid w:val="1B2E6FA5"/>
    <w:multiLevelType w:val="hybridMultilevel"/>
    <w:tmpl w:val="B644DBBE"/>
    <w:styleLink w:val="10"/>
    <w:lvl w:ilvl="0" w:tplc="C8505814">
      <w:start w:val="1"/>
      <w:numFmt w:val="decimal"/>
      <w:lvlText w:val="%1."/>
      <w:lvlJc w:val="left"/>
      <w:pPr>
        <w:ind w:left="708" w:hanging="70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BD28FEE">
      <w:start w:val="1"/>
      <w:numFmt w:val="lowerLetter"/>
      <w:lvlText w:val="%2."/>
      <w:lvlJc w:val="left"/>
      <w:pPr>
        <w:ind w:left="684" w:hanging="6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F6A596C">
      <w:start w:val="1"/>
      <w:numFmt w:val="lowerRoman"/>
      <w:lvlText w:val="%3."/>
      <w:lvlJc w:val="left"/>
      <w:pPr>
        <w:ind w:left="732" w:hanging="6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B284B36">
      <w:start w:val="1"/>
      <w:numFmt w:val="decimal"/>
      <w:lvlText w:val="%4."/>
      <w:lvlJc w:val="left"/>
      <w:pPr>
        <w:ind w:left="1452" w:hanging="6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C1AB28E">
      <w:start w:val="1"/>
      <w:numFmt w:val="lowerLetter"/>
      <w:lvlText w:val="%5."/>
      <w:lvlJc w:val="left"/>
      <w:pPr>
        <w:ind w:left="2172" w:hanging="61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23C7272">
      <w:start w:val="1"/>
      <w:numFmt w:val="lowerRoman"/>
      <w:lvlText w:val="%6."/>
      <w:lvlJc w:val="left"/>
      <w:pPr>
        <w:ind w:left="2892" w:hanging="54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9CCFE5E">
      <w:start w:val="1"/>
      <w:numFmt w:val="decimal"/>
      <w:lvlText w:val="%7."/>
      <w:lvlJc w:val="left"/>
      <w:pPr>
        <w:ind w:left="3612" w:hanging="5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78A183A">
      <w:start w:val="1"/>
      <w:numFmt w:val="lowerLetter"/>
      <w:lvlText w:val="%8."/>
      <w:lvlJc w:val="left"/>
      <w:pPr>
        <w:ind w:left="4332" w:hanging="5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E34CC38">
      <w:start w:val="1"/>
      <w:numFmt w:val="lowerRoman"/>
      <w:lvlText w:val="%9."/>
      <w:lvlJc w:val="left"/>
      <w:pPr>
        <w:ind w:left="5052" w:hanging="47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24" w15:restartNumberingAfterBreak="0">
    <w:nsid w:val="1B8C7CD9"/>
    <w:multiLevelType w:val="multilevel"/>
    <w:tmpl w:val="9E6C4386"/>
    <w:lvl w:ilvl="0">
      <w:start w:val="1"/>
      <w:numFmt w:val="decimal"/>
      <w:lvlText w:val="%1)"/>
      <w:lvlJc w:val="left"/>
      <w:pPr>
        <w:tabs>
          <w:tab w:val="num" w:pos="720"/>
        </w:tabs>
        <w:ind w:left="720" w:hanging="360"/>
      </w:pPr>
      <w:rPr>
        <w:rFonts w:cs="Times New Roman" w:hint="default"/>
        <w:sz w:val="28"/>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5" w15:restartNumberingAfterBreak="0">
    <w:nsid w:val="1BD73D61"/>
    <w:multiLevelType w:val="multilevel"/>
    <w:tmpl w:val="031C9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6" w15:restartNumberingAfterBreak="0">
    <w:nsid w:val="1C1D2BFD"/>
    <w:multiLevelType w:val="hybridMultilevel"/>
    <w:tmpl w:val="E77E91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7" w15:restartNumberingAfterBreak="0">
    <w:nsid w:val="1C826114"/>
    <w:multiLevelType w:val="multilevel"/>
    <w:tmpl w:val="228CD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1C8D0724"/>
    <w:multiLevelType w:val="hybridMultilevel"/>
    <w:tmpl w:val="68980594"/>
    <w:lvl w:ilvl="0" w:tplc="4D4A8942">
      <w:start w:val="1"/>
      <w:numFmt w:val="decimal"/>
      <w:lvlText w:val="%1."/>
      <w:lvlJc w:val="left"/>
      <w:pPr>
        <w:ind w:left="780" w:hanging="420"/>
      </w:pPr>
      <w:rPr>
        <w:rFonts w:hint="default"/>
        <w:i w:val="0"/>
        <w:sz w:val="28"/>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29" w15:restartNumberingAfterBreak="0">
    <w:nsid w:val="1CA92527"/>
    <w:multiLevelType w:val="multilevel"/>
    <w:tmpl w:val="23B42C0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0" w15:restartNumberingAfterBreak="0">
    <w:nsid w:val="1CAE66FA"/>
    <w:multiLevelType w:val="hybridMultilevel"/>
    <w:tmpl w:val="7E2255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1" w15:restartNumberingAfterBreak="0">
    <w:nsid w:val="1CBD3B8B"/>
    <w:multiLevelType w:val="hybridMultilevel"/>
    <w:tmpl w:val="1B8637F0"/>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232" w15:restartNumberingAfterBreak="0">
    <w:nsid w:val="1CF4740C"/>
    <w:multiLevelType w:val="multilevel"/>
    <w:tmpl w:val="96522D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1CFB071F"/>
    <w:multiLevelType w:val="hybridMultilevel"/>
    <w:tmpl w:val="741259A0"/>
    <w:lvl w:ilvl="0" w:tplc="A2CAB49A">
      <w:start w:val="1"/>
      <w:numFmt w:val="decimal"/>
      <w:lvlText w:val="%1."/>
      <w:lvlJc w:val="left"/>
      <w:pPr>
        <w:ind w:left="0"/>
      </w:pPr>
      <w:rPr>
        <w:rFonts w:ascii="Times New Roman" w:eastAsia="Calibri"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2D2EA22E">
      <w:start w:val="1"/>
      <w:numFmt w:val="lowerLetter"/>
      <w:lvlText w:val="%2"/>
      <w:lvlJc w:val="left"/>
      <w:pPr>
        <w:ind w:left="179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DE2563A">
      <w:start w:val="1"/>
      <w:numFmt w:val="lowerRoman"/>
      <w:lvlText w:val="%3"/>
      <w:lvlJc w:val="left"/>
      <w:pPr>
        <w:ind w:left="25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D349A44">
      <w:start w:val="1"/>
      <w:numFmt w:val="decimal"/>
      <w:lvlText w:val="%4"/>
      <w:lvlJc w:val="left"/>
      <w:pPr>
        <w:ind w:left="323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6689218">
      <w:start w:val="1"/>
      <w:numFmt w:val="lowerLetter"/>
      <w:lvlText w:val="%5"/>
      <w:lvlJc w:val="left"/>
      <w:pPr>
        <w:ind w:left="39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02AFCAA">
      <w:start w:val="1"/>
      <w:numFmt w:val="lowerRoman"/>
      <w:lvlText w:val="%6"/>
      <w:lvlJc w:val="left"/>
      <w:pPr>
        <w:ind w:left="467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08E0C52">
      <w:start w:val="1"/>
      <w:numFmt w:val="decimal"/>
      <w:lvlText w:val="%7"/>
      <w:lvlJc w:val="left"/>
      <w:pPr>
        <w:ind w:left="539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A32323A">
      <w:start w:val="1"/>
      <w:numFmt w:val="lowerLetter"/>
      <w:lvlText w:val="%8"/>
      <w:lvlJc w:val="left"/>
      <w:pPr>
        <w:ind w:left="61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CF69DAE">
      <w:start w:val="1"/>
      <w:numFmt w:val="lowerRoman"/>
      <w:lvlText w:val="%9"/>
      <w:lvlJc w:val="left"/>
      <w:pPr>
        <w:ind w:left="683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34" w15:restartNumberingAfterBreak="0">
    <w:nsid w:val="1D0B6B7A"/>
    <w:multiLevelType w:val="multilevel"/>
    <w:tmpl w:val="FDDC991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5" w15:restartNumberingAfterBreak="0">
    <w:nsid w:val="1D16029F"/>
    <w:multiLevelType w:val="hybridMultilevel"/>
    <w:tmpl w:val="FFFFFFFF"/>
    <w:lvl w:ilvl="0" w:tplc="2000000F">
      <w:start w:val="1"/>
      <w:numFmt w:val="decimal"/>
      <w:lvlText w:val="%1."/>
      <w:lvlJc w:val="left"/>
      <w:pPr>
        <w:ind w:left="1080" w:hanging="36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236" w15:restartNumberingAfterBreak="0">
    <w:nsid w:val="1D4C1143"/>
    <w:multiLevelType w:val="hybridMultilevel"/>
    <w:tmpl w:val="F2BEF80E"/>
    <w:lvl w:ilvl="0" w:tplc="9DDEEA36">
      <w:start w:val="1"/>
      <w:numFmt w:val="decimal"/>
      <w:lvlText w:val="%1."/>
      <w:lvlJc w:val="left"/>
      <w:pPr>
        <w:ind w:left="1146" w:hanging="360"/>
      </w:pPr>
    </w:lvl>
    <w:lvl w:ilvl="1" w:tplc="D0FE5EA2" w:tentative="1">
      <w:start w:val="1"/>
      <w:numFmt w:val="lowerLetter"/>
      <w:lvlText w:val="%2."/>
      <w:lvlJc w:val="left"/>
      <w:pPr>
        <w:ind w:left="1866" w:hanging="360"/>
      </w:pPr>
    </w:lvl>
    <w:lvl w:ilvl="2" w:tplc="D3227774" w:tentative="1">
      <w:start w:val="1"/>
      <w:numFmt w:val="lowerRoman"/>
      <w:lvlText w:val="%3."/>
      <w:lvlJc w:val="right"/>
      <w:pPr>
        <w:ind w:left="2586" w:hanging="180"/>
      </w:pPr>
    </w:lvl>
    <w:lvl w:ilvl="3" w:tplc="3AD44464" w:tentative="1">
      <w:start w:val="1"/>
      <w:numFmt w:val="decimal"/>
      <w:lvlText w:val="%4."/>
      <w:lvlJc w:val="left"/>
      <w:pPr>
        <w:ind w:left="3306" w:hanging="360"/>
      </w:pPr>
    </w:lvl>
    <w:lvl w:ilvl="4" w:tplc="34DEB962" w:tentative="1">
      <w:start w:val="1"/>
      <w:numFmt w:val="lowerLetter"/>
      <w:lvlText w:val="%5."/>
      <w:lvlJc w:val="left"/>
      <w:pPr>
        <w:ind w:left="4026" w:hanging="360"/>
      </w:pPr>
    </w:lvl>
    <w:lvl w:ilvl="5" w:tplc="640A6522" w:tentative="1">
      <w:start w:val="1"/>
      <w:numFmt w:val="lowerRoman"/>
      <w:lvlText w:val="%6."/>
      <w:lvlJc w:val="right"/>
      <w:pPr>
        <w:ind w:left="4746" w:hanging="180"/>
      </w:pPr>
    </w:lvl>
    <w:lvl w:ilvl="6" w:tplc="3A0A1E18" w:tentative="1">
      <w:start w:val="1"/>
      <w:numFmt w:val="decimal"/>
      <w:lvlText w:val="%7."/>
      <w:lvlJc w:val="left"/>
      <w:pPr>
        <w:ind w:left="5466" w:hanging="360"/>
      </w:pPr>
    </w:lvl>
    <w:lvl w:ilvl="7" w:tplc="CC5096AA" w:tentative="1">
      <w:start w:val="1"/>
      <w:numFmt w:val="lowerLetter"/>
      <w:lvlText w:val="%8."/>
      <w:lvlJc w:val="left"/>
      <w:pPr>
        <w:ind w:left="6186" w:hanging="360"/>
      </w:pPr>
    </w:lvl>
    <w:lvl w:ilvl="8" w:tplc="A5A422F2" w:tentative="1">
      <w:start w:val="1"/>
      <w:numFmt w:val="lowerRoman"/>
      <w:lvlText w:val="%9."/>
      <w:lvlJc w:val="right"/>
      <w:pPr>
        <w:ind w:left="6906" w:hanging="180"/>
      </w:pPr>
    </w:lvl>
  </w:abstractNum>
  <w:abstractNum w:abstractNumId="237" w15:restartNumberingAfterBreak="0">
    <w:nsid w:val="1D730B93"/>
    <w:multiLevelType w:val="multilevel"/>
    <w:tmpl w:val="7ABC05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38" w15:restartNumberingAfterBreak="0">
    <w:nsid w:val="1D78467E"/>
    <w:multiLevelType w:val="multilevel"/>
    <w:tmpl w:val="484AB8EA"/>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239" w15:restartNumberingAfterBreak="0">
    <w:nsid w:val="1DC42591"/>
    <w:multiLevelType w:val="hybridMultilevel"/>
    <w:tmpl w:val="B2865F1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0" w15:restartNumberingAfterBreak="0">
    <w:nsid w:val="1DF62103"/>
    <w:multiLevelType w:val="hybridMultilevel"/>
    <w:tmpl w:val="4D00916E"/>
    <w:lvl w:ilvl="0" w:tplc="0419000F">
      <w:start w:val="1"/>
      <w:numFmt w:val="decimal"/>
      <w:lvlText w:val="%1."/>
      <w:lvlJc w:val="left"/>
      <w:pPr>
        <w:ind w:left="107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1" w15:restartNumberingAfterBreak="0">
    <w:nsid w:val="1EAD17F0"/>
    <w:multiLevelType w:val="hybridMultilevel"/>
    <w:tmpl w:val="B3EE3272"/>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42" w15:restartNumberingAfterBreak="0">
    <w:nsid w:val="1EB837A9"/>
    <w:multiLevelType w:val="multilevel"/>
    <w:tmpl w:val="38B4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1EDF0D77"/>
    <w:multiLevelType w:val="hybridMultilevel"/>
    <w:tmpl w:val="68006916"/>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44" w15:restartNumberingAfterBreak="0">
    <w:nsid w:val="1EEE5861"/>
    <w:multiLevelType w:val="hybridMultilevel"/>
    <w:tmpl w:val="854E9F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5" w15:restartNumberingAfterBreak="0">
    <w:nsid w:val="1F1051FF"/>
    <w:multiLevelType w:val="hybridMultilevel"/>
    <w:tmpl w:val="E19A806A"/>
    <w:lvl w:ilvl="0" w:tplc="5A12E3B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6" w15:restartNumberingAfterBreak="0">
    <w:nsid w:val="1F3147B1"/>
    <w:multiLevelType w:val="hybridMultilevel"/>
    <w:tmpl w:val="285A5D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7" w15:restartNumberingAfterBreak="0">
    <w:nsid w:val="1F82C518"/>
    <w:multiLevelType w:val="hybridMultilevel"/>
    <w:tmpl w:val="1E90DE36"/>
    <w:lvl w:ilvl="0" w:tplc="50B2D32D">
      <w:start w:val="1"/>
      <w:numFmt w:val="decimal"/>
      <w:lvlText w:val="%1."/>
      <w:lvlJc w:val="left"/>
      <w:pPr>
        <w:ind w:left="720" w:hanging="360"/>
      </w:pPr>
    </w:lvl>
    <w:lvl w:ilvl="1" w:tplc="5AAD1C57">
      <w:start w:val="1"/>
      <w:numFmt w:val="decimal"/>
      <w:lvlText w:val="%2."/>
      <w:lvlJc w:val="left"/>
      <w:pPr>
        <w:ind w:left="1440" w:hanging="360"/>
      </w:pPr>
    </w:lvl>
    <w:lvl w:ilvl="2" w:tplc="5848C495">
      <w:start w:val="1"/>
      <w:numFmt w:val="decimal"/>
      <w:lvlText w:val="%3."/>
      <w:lvlJc w:val="left"/>
      <w:pPr>
        <w:ind w:left="2160" w:hanging="360"/>
      </w:pPr>
    </w:lvl>
    <w:lvl w:ilvl="3" w:tplc="14D43037">
      <w:start w:val="1"/>
      <w:numFmt w:val="decimal"/>
      <w:lvlText w:val="%4."/>
      <w:lvlJc w:val="left"/>
      <w:pPr>
        <w:ind w:left="2880" w:hanging="360"/>
      </w:pPr>
    </w:lvl>
    <w:lvl w:ilvl="4" w:tplc="539AF13D">
      <w:start w:val="1"/>
      <w:numFmt w:val="decimal"/>
      <w:lvlText w:val="%5."/>
      <w:lvlJc w:val="left"/>
      <w:pPr>
        <w:ind w:left="3600" w:hanging="360"/>
      </w:pPr>
    </w:lvl>
    <w:lvl w:ilvl="5" w:tplc="39690B08">
      <w:start w:val="1"/>
      <w:numFmt w:val="decimal"/>
      <w:lvlText w:val="%6."/>
      <w:lvlJc w:val="left"/>
      <w:pPr>
        <w:ind w:left="4320" w:hanging="360"/>
      </w:pPr>
    </w:lvl>
    <w:lvl w:ilvl="6" w:tplc="7C552472">
      <w:start w:val="1"/>
      <w:numFmt w:val="decimal"/>
      <w:lvlText w:val="%7."/>
      <w:lvlJc w:val="left"/>
      <w:pPr>
        <w:ind w:left="5040" w:hanging="360"/>
      </w:pPr>
    </w:lvl>
    <w:lvl w:ilvl="7" w:tplc="5BD5A866">
      <w:start w:val="1"/>
      <w:numFmt w:val="decimal"/>
      <w:lvlText w:val="%8."/>
      <w:lvlJc w:val="left"/>
      <w:pPr>
        <w:ind w:left="5760" w:hanging="360"/>
      </w:pPr>
    </w:lvl>
    <w:lvl w:ilvl="8" w:tplc="2ED4453D">
      <w:start w:val="1"/>
      <w:numFmt w:val="decimal"/>
      <w:lvlText w:val="%9."/>
      <w:lvlJc w:val="left"/>
      <w:pPr>
        <w:ind w:left="6480" w:hanging="360"/>
      </w:pPr>
    </w:lvl>
  </w:abstractNum>
  <w:abstractNum w:abstractNumId="248" w15:restartNumberingAfterBreak="0">
    <w:nsid w:val="1FB1798A"/>
    <w:multiLevelType w:val="multilevel"/>
    <w:tmpl w:val="DE8662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1FB643D3"/>
    <w:multiLevelType w:val="hybridMultilevel"/>
    <w:tmpl w:val="A47CA1B6"/>
    <w:lvl w:ilvl="0" w:tplc="C0D8CB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0" w15:restartNumberingAfterBreak="0">
    <w:nsid w:val="1FDC70D2"/>
    <w:multiLevelType w:val="multilevel"/>
    <w:tmpl w:val="03DC80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20035574"/>
    <w:multiLevelType w:val="multilevel"/>
    <w:tmpl w:val="200355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2" w15:restartNumberingAfterBreak="0">
    <w:nsid w:val="200814AE"/>
    <w:multiLevelType w:val="multilevel"/>
    <w:tmpl w:val="079651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15:restartNumberingAfterBreak="0">
    <w:nsid w:val="211D1E35"/>
    <w:multiLevelType w:val="hybridMultilevel"/>
    <w:tmpl w:val="1BAC1E00"/>
    <w:lvl w:ilvl="0" w:tplc="E32CCF16">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4" w15:restartNumberingAfterBreak="0">
    <w:nsid w:val="218A5680"/>
    <w:multiLevelType w:val="hybridMultilevel"/>
    <w:tmpl w:val="5308AB0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5" w15:restartNumberingAfterBreak="0">
    <w:nsid w:val="21B95FCB"/>
    <w:multiLevelType w:val="hybridMultilevel"/>
    <w:tmpl w:val="B2364274"/>
    <w:lvl w:ilvl="0" w:tplc="0419000F">
      <w:start w:val="1"/>
      <w:numFmt w:val="decimal"/>
      <w:lvlText w:val="%1."/>
      <w:lvlJc w:val="left"/>
      <w:pPr>
        <w:ind w:left="885" w:hanging="360"/>
      </w:pPr>
      <w:rPr>
        <w:rFonts w:ascii="Times New Roman" w:hAnsi="Times New Roman" w:hint="default"/>
      </w:rPr>
    </w:lvl>
    <w:lvl w:ilvl="1" w:tplc="04190019" w:tentative="1">
      <w:start w:val="1"/>
      <w:numFmt w:val="lowerLetter"/>
      <w:lvlText w:val="%2."/>
      <w:lvlJc w:val="left"/>
      <w:pPr>
        <w:ind w:left="1605" w:hanging="360"/>
      </w:pPr>
    </w:lvl>
    <w:lvl w:ilvl="2" w:tplc="0419001B" w:tentative="1">
      <w:start w:val="1"/>
      <w:numFmt w:val="lowerRoman"/>
      <w:lvlText w:val="%3."/>
      <w:lvlJc w:val="right"/>
      <w:pPr>
        <w:ind w:left="2325" w:hanging="180"/>
      </w:pPr>
    </w:lvl>
    <w:lvl w:ilvl="3" w:tplc="0419000F" w:tentative="1">
      <w:start w:val="1"/>
      <w:numFmt w:val="decimal"/>
      <w:lvlText w:val="%4."/>
      <w:lvlJc w:val="left"/>
      <w:pPr>
        <w:ind w:left="3045" w:hanging="360"/>
      </w:pPr>
    </w:lvl>
    <w:lvl w:ilvl="4" w:tplc="04190019" w:tentative="1">
      <w:start w:val="1"/>
      <w:numFmt w:val="lowerLetter"/>
      <w:lvlText w:val="%5."/>
      <w:lvlJc w:val="left"/>
      <w:pPr>
        <w:ind w:left="3765" w:hanging="360"/>
      </w:pPr>
    </w:lvl>
    <w:lvl w:ilvl="5" w:tplc="0419001B" w:tentative="1">
      <w:start w:val="1"/>
      <w:numFmt w:val="lowerRoman"/>
      <w:lvlText w:val="%6."/>
      <w:lvlJc w:val="right"/>
      <w:pPr>
        <w:ind w:left="4485" w:hanging="180"/>
      </w:pPr>
    </w:lvl>
    <w:lvl w:ilvl="6" w:tplc="0419000F" w:tentative="1">
      <w:start w:val="1"/>
      <w:numFmt w:val="decimal"/>
      <w:lvlText w:val="%7."/>
      <w:lvlJc w:val="left"/>
      <w:pPr>
        <w:ind w:left="5205" w:hanging="360"/>
      </w:pPr>
    </w:lvl>
    <w:lvl w:ilvl="7" w:tplc="04190019" w:tentative="1">
      <w:start w:val="1"/>
      <w:numFmt w:val="lowerLetter"/>
      <w:lvlText w:val="%8."/>
      <w:lvlJc w:val="left"/>
      <w:pPr>
        <w:ind w:left="5925" w:hanging="360"/>
      </w:pPr>
    </w:lvl>
    <w:lvl w:ilvl="8" w:tplc="0419001B" w:tentative="1">
      <w:start w:val="1"/>
      <w:numFmt w:val="lowerRoman"/>
      <w:lvlText w:val="%9."/>
      <w:lvlJc w:val="right"/>
      <w:pPr>
        <w:ind w:left="6645" w:hanging="180"/>
      </w:pPr>
    </w:lvl>
  </w:abstractNum>
  <w:abstractNum w:abstractNumId="256" w15:restartNumberingAfterBreak="0">
    <w:nsid w:val="21D5319A"/>
    <w:multiLevelType w:val="hybridMultilevel"/>
    <w:tmpl w:val="64CA1C36"/>
    <w:lvl w:ilvl="0" w:tplc="BAC82282">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7" w15:restartNumberingAfterBreak="0">
    <w:nsid w:val="221A7B5B"/>
    <w:multiLevelType w:val="hybridMultilevel"/>
    <w:tmpl w:val="334A1052"/>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58" w15:restartNumberingAfterBreak="0">
    <w:nsid w:val="224447F3"/>
    <w:multiLevelType w:val="multilevel"/>
    <w:tmpl w:val="FF32B7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9" w15:restartNumberingAfterBreak="0">
    <w:nsid w:val="22956D4A"/>
    <w:multiLevelType w:val="hybridMultilevel"/>
    <w:tmpl w:val="222C735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0" w15:restartNumberingAfterBreak="0">
    <w:nsid w:val="22BC47BD"/>
    <w:multiLevelType w:val="hybridMultilevel"/>
    <w:tmpl w:val="7C8ED8AA"/>
    <w:lvl w:ilvl="0" w:tplc="AC7A4A6C">
      <w:start w:val="1"/>
      <w:numFmt w:val="decimal"/>
      <w:lvlText w:val="%1."/>
      <w:lvlJc w:val="left"/>
      <w:pPr>
        <w:ind w:left="360" w:hanging="360"/>
      </w:pPr>
      <w:rPr>
        <w:b/>
        <w:bCs/>
        <w:sz w:val="28"/>
        <w:szCs w:val="2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61" w15:restartNumberingAfterBreak="0">
    <w:nsid w:val="22CF0D9D"/>
    <w:multiLevelType w:val="hybridMultilevel"/>
    <w:tmpl w:val="ECBEB984"/>
    <w:lvl w:ilvl="0" w:tplc="5EC8A2A4">
      <w:start w:val="1"/>
      <w:numFmt w:val="decimal"/>
      <w:lvlText w:val="%1)"/>
      <w:lvlJc w:val="left"/>
      <w:pPr>
        <w:ind w:left="808" w:hanging="360"/>
      </w:pPr>
      <w:rPr>
        <w:rFonts w:hint="default"/>
      </w:rPr>
    </w:lvl>
    <w:lvl w:ilvl="1" w:tplc="04190019" w:tentative="1">
      <w:start w:val="1"/>
      <w:numFmt w:val="lowerLetter"/>
      <w:lvlText w:val="%2."/>
      <w:lvlJc w:val="left"/>
      <w:pPr>
        <w:ind w:left="1528" w:hanging="360"/>
      </w:pPr>
    </w:lvl>
    <w:lvl w:ilvl="2" w:tplc="0419001B" w:tentative="1">
      <w:start w:val="1"/>
      <w:numFmt w:val="lowerRoman"/>
      <w:lvlText w:val="%3."/>
      <w:lvlJc w:val="right"/>
      <w:pPr>
        <w:ind w:left="2248" w:hanging="180"/>
      </w:pPr>
    </w:lvl>
    <w:lvl w:ilvl="3" w:tplc="0419000F" w:tentative="1">
      <w:start w:val="1"/>
      <w:numFmt w:val="decimal"/>
      <w:lvlText w:val="%4."/>
      <w:lvlJc w:val="left"/>
      <w:pPr>
        <w:ind w:left="2968" w:hanging="360"/>
      </w:pPr>
    </w:lvl>
    <w:lvl w:ilvl="4" w:tplc="04190019" w:tentative="1">
      <w:start w:val="1"/>
      <w:numFmt w:val="lowerLetter"/>
      <w:lvlText w:val="%5."/>
      <w:lvlJc w:val="left"/>
      <w:pPr>
        <w:ind w:left="3688" w:hanging="360"/>
      </w:pPr>
    </w:lvl>
    <w:lvl w:ilvl="5" w:tplc="0419001B" w:tentative="1">
      <w:start w:val="1"/>
      <w:numFmt w:val="lowerRoman"/>
      <w:lvlText w:val="%6."/>
      <w:lvlJc w:val="right"/>
      <w:pPr>
        <w:ind w:left="4408" w:hanging="180"/>
      </w:pPr>
    </w:lvl>
    <w:lvl w:ilvl="6" w:tplc="0419000F" w:tentative="1">
      <w:start w:val="1"/>
      <w:numFmt w:val="decimal"/>
      <w:lvlText w:val="%7."/>
      <w:lvlJc w:val="left"/>
      <w:pPr>
        <w:ind w:left="5128" w:hanging="360"/>
      </w:pPr>
    </w:lvl>
    <w:lvl w:ilvl="7" w:tplc="04190019" w:tentative="1">
      <w:start w:val="1"/>
      <w:numFmt w:val="lowerLetter"/>
      <w:lvlText w:val="%8."/>
      <w:lvlJc w:val="left"/>
      <w:pPr>
        <w:ind w:left="5848" w:hanging="360"/>
      </w:pPr>
    </w:lvl>
    <w:lvl w:ilvl="8" w:tplc="0419001B" w:tentative="1">
      <w:start w:val="1"/>
      <w:numFmt w:val="lowerRoman"/>
      <w:lvlText w:val="%9."/>
      <w:lvlJc w:val="right"/>
      <w:pPr>
        <w:ind w:left="6568" w:hanging="180"/>
      </w:pPr>
    </w:lvl>
  </w:abstractNum>
  <w:abstractNum w:abstractNumId="262" w15:restartNumberingAfterBreak="0">
    <w:nsid w:val="22FF383A"/>
    <w:multiLevelType w:val="hybridMultilevel"/>
    <w:tmpl w:val="0024E226"/>
    <w:lvl w:ilvl="0" w:tplc="68CA798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23330C73"/>
    <w:multiLevelType w:val="hybridMultilevel"/>
    <w:tmpl w:val="098464E2"/>
    <w:lvl w:ilvl="0" w:tplc="3EC215A2">
      <w:start w:val="1"/>
      <w:numFmt w:val="decimal"/>
      <w:pStyle w:val="Lit19"/>
      <w:lvlText w:val="%1."/>
      <w:lvlJc w:val="left"/>
      <w:pPr>
        <w:tabs>
          <w:tab w:val="num" w:pos="567"/>
        </w:tabs>
        <w:ind w:left="0" w:firstLine="567"/>
      </w:pPr>
      <w:rPr>
        <w:rFonts w:hint="default"/>
        <w:sz w:val="28"/>
      </w:rPr>
    </w:lvl>
    <w:lvl w:ilvl="1" w:tplc="04190019" w:tentative="1">
      <w:start w:val="1"/>
      <w:numFmt w:val="lowerLetter"/>
      <w:lvlText w:val="%2."/>
      <w:lvlJc w:val="left"/>
      <w:pPr>
        <w:tabs>
          <w:tab w:val="num" w:pos="1525"/>
        </w:tabs>
        <w:ind w:left="1525" w:hanging="360"/>
      </w:pPr>
    </w:lvl>
    <w:lvl w:ilvl="2" w:tplc="0419001B" w:tentative="1">
      <w:start w:val="1"/>
      <w:numFmt w:val="lowerRoman"/>
      <w:lvlText w:val="%3."/>
      <w:lvlJc w:val="right"/>
      <w:pPr>
        <w:tabs>
          <w:tab w:val="num" w:pos="2245"/>
        </w:tabs>
        <w:ind w:left="2245" w:hanging="180"/>
      </w:pPr>
    </w:lvl>
    <w:lvl w:ilvl="3" w:tplc="0419000F" w:tentative="1">
      <w:start w:val="1"/>
      <w:numFmt w:val="decimal"/>
      <w:lvlText w:val="%4."/>
      <w:lvlJc w:val="left"/>
      <w:pPr>
        <w:tabs>
          <w:tab w:val="num" w:pos="2965"/>
        </w:tabs>
        <w:ind w:left="2965" w:hanging="360"/>
      </w:pPr>
    </w:lvl>
    <w:lvl w:ilvl="4" w:tplc="04190019" w:tentative="1">
      <w:start w:val="1"/>
      <w:numFmt w:val="lowerLetter"/>
      <w:lvlText w:val="%5."/>
      <w:lvlJc w:val="left"/>
      <w:pPr>
        <w:tabs>
          <w:tab w:val="num" w:pos="3685"/>
        </w:tabs>
        <w:ind w:left="3685" w:hanging="360"/>
      </w:pPr>
    </w:lvl>
    <w:lvl w:ilvl="5" w:tplc="0419001B" w:tentative="1">
      <w:start w:val="1"/>
      <w:numFmt w:val="lowerRoman"/>
      <w:lvlText w:val="%6."/>
      <w:lvlJc w:val="right"/>
      <w:pPr>
        <w:tabs>
          <w:tab w:val="num" w:pos="4405"/>
        </w:tabs>
        <w:ind w:left="4405" w:hanging="180"/>
      </w:pPr>
    </w:lvl>
    <w:lvl w:ilvl="6" w:tplc="0419000F" w:tentative="1">
      <w:start w:val="1"/>
      <w:numFmt w:val="decimal"/>
      <w:lvlText w:val="%7."/>
      <w:lvlJc w:val="left"/>
      <w:pPr>
        <w:tabs>
          <w:tab w:val="num" w:pos="5125"/>
        </w:tabs>
        <w:ind w:left="5125" w:hanging="360"/>
      </w:pPr>
    </w:lvl>
    <w:lvl w:ilvl="7" w:tplc="04190019" w:tentative="1">
      <w:start w:val="1"/>
      <w:numFmt w:val="lowerLetter"/>
      <w:lvlText w:val="%8."/>
      <w:lvlJc w:val="left"/>
      <w:pPr>
        <w:tabs>
          <w:tab w:val="num" w:pos="5845"/>
        </w:tabs>
        <w:ind w:left="5845" w:hanging="360"/>
      </w:pPr>
    </w:lvl>
    <w:lvl w:ilvl="8" w:tplc="0419001B" w:tentative="1">
      <w:start w:val="1"/>
      <w:numFmt w:val="lowerRoman"/>
      <w:lvlText w:val="%9."/>
      <w:lvlJc w:val="right"/>
      <w:pPr>
        <w:tabs>
          <w:tab w:val="num" w:pos="6565"/>
        </w:tabs>
        <w:ind w:left="6565" w:hanging="180"/>
      </w:pPr>
    </w:lvl>
  </w:abstractNum>
  <w:abstractNum w:abstractNumId="264" w15:restartNumberingAfterBreak="0">
    <w:nsid w:val="23360425"/>
    <w:multiLevelType w:val="hybridMultilevel"/>
    <w:tmpl w:val="8146E4F2"/>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65" w15:restartNumberingAfterBreak="0">
    <w:nsid w:val="234376DE"/>
    <w:multiLevelType w:val="hybridMultilevel"/>
    <w:tmpl w:val="7A7A1E7A"/>
    <w:lvl w:ilvl="0" w:tplc="C2FCE37A">
      <w:start w:val="1"/>
      <w:numFmt w:val="decimal"/>
      <w:lvlText w:val="%1."/>
      <w:lvlJc w:val="left"/>
      <w:pPr>
        <w:ind w:left="360" w:hanging="360"/>
      </w:pPr>
      <w:rPr>
        <w:sz w:val="24"/>
        <w:szCs w:val="24"/>
      </w:rPr>
    </w:lvl>
    <w:lvl w:ilvl="1" w:tplc="7E5E3964" w:tentative="1">
      <w:start w:val="1"/>
      <w:numFmt w:val="lowerLetter"/>
      <w:lvlText w:val="%2."/>
      <w:lvlJc w:val="left"/>
      <w:pPr>
        <w:ind w:left="872" w:hanging="360"/>
      </w:pPr>
    </w:lvl>
    <w:lvl w:ilvl="2" w:tplc="21CAA3B4" w:tentative="1">
      <w:start w:val="1"/>
      <w:numFmt w:val="lowerRoman"/>
      <w:lvlText w:val="%3."/>
      <w:lvlJc w:val="right"/>
      <w:pPr>
        <w:ind w:left="1592" w:hanging="180"/>
      </w:pPr>
    </w:lvl>
    <w:lvl w:ilvl="3" w:tplc="DFBEF966" w:tentative="1">
      <w:start w:val="1"/>
      <w:numFmt w:val="decimal"/>
      <w:lvlText w:val="%4."/>
      <w:lvlJc w:val="left"/>
      <w:pPr>
        <w:ind w:left="2312" w:hanging="360"/>
      </w:pPr>
    </w:lvl>
    <w:lvl w:ilvl="4" w:tplc="6268A936" w:tentative="1">
      <w:start w:val="1"/>
      <w:numFmt w:val="lowerLetter"/>
      <w:lvlText w:val="%5."/>
      <w:lvlJc w:val="left"/>
      <w:pPr>
        <w:ind w:left="3032" w:hanging="360"/>
      </w:pPr>
    </w:lvl>
    <w:lvl w:ilvl="5" w:tplc="1A7C6F16" w:tentative="1">
      <w:start w:val="1"/>
      <w:numFmt w:val="lowerRoman"/>
      <w:lvlText w:val="%6."/>
      <w:lvlJc w:val="right"/>
      <w:pPr>
        <w:ind w:left="3752" w:hanging="180"/>
      </w:pPr>
    </w:lvl>
    <w:lvl w:ilvl="6" w:tplc="F7340B46" w:tentative="1">
      <w:start w:val="1"/>
      <w:numFmt w:val="decimal"/>
      <w:lvlText w:val="%7."/>
      <w:lvlJc w:val="left"/>
      <w:pPr>
        <w:ind w:left="4472" w:hanging="360"/>
      </w:pPr>
    </w:lvl>
    <w:lvl w:ilvl="7" w:tplc="D98EDF70" w:tentative="1">
      <w:start w:val="1"/>
      <w:numFmt w:val="lowerLetter"/>
      <w:lvlText w:val="%8."/>
      <w:lvlJc w:val="left"/>
      <w:pPr>
        <w:ind w:left="5192" w:hanging="360"/>
      </w:pPr>
    </w:lvl>
    <w:lvl w:ilvl="8" w:tplc="562C4A1C" w:tentative="1">
      <w:start w:val="1"/>
      <w:numFmt w:val="lowerRoman"/>
      <w:lvlText w:val="%9."/>
      <w:lvlJc w:val="right"/>
      <w:pPr>
        <w:ind w:left="5912" w:hanging="180"/>
      </w:pPr>
    </w:lvl>
  </w:abstractNum>
  <w:abstractNum w:abstractNumId="266" w15:restartNumberingAfterBreak="0">
    <w:nsid w:val="234E144A"/>
    <w:multiLevelType w:val="multilevel"/>
    <w:tmpl w:val="09A674D2"/>
    <w:lvl w:ilvl="0">
      <w:start w:val="1"/>
      <w:numFmt w:val="decimal"/>
      <w:lvlText w:val="%1."/>
      <w:lvlJc w:val="left"/>
      <w:pPr>
        <w:tabs>
          <w:tab w:val="num" w:pos="709"/>
        </w:tabs>
        <w:ind w:left="709" w:hanging="283"/>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267" w15:restartNumberingAfterBreak="0">
    <w:nsid w:val="2372167E"/>
    <w:multiLevelType w:val="multilevel"/>
    <w:tmpl w:val="045698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23A70016"/>
    <w:multiLevelType w:val="multilevel"/>
    <w:tmpl w:val="DEAE5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9" w15:restartNumberingAfterBreak="0">
    <w:nsid w:val="23A70436"/>
    <w:multiLevelType w:val="hybridMultilevel"/>
    <w:tmpl w:val="AD6E08C2"/>
    <w:lvl w:ilvl="0" w:tplc="9B56CE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0" w15:restartNumberingAfterBreak="0">
    <w:nsid w:val="23AD57CE"/>
    <w:multiLevelType w:val="hybridMultilevel"/>
    <w:tmpl w:val="B50637B0"/>
    <w:lvl w:ilvl="0" w:tplc="2000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71" w15:restartNumberingAfterBreak="0">
    <w:nsid w:val="23B04992"/>
    <w:multiLevelType w:val="hybridMultilevel"/>
    <w:tmpl w:val="BD9CB9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2" w15:restartNumberingAfterBreak="0">
    <w:nsid w:val="23B33D45"/>
    <w:multiLevelType w:val="hybridMultilevel"/>
    <w:tmpl w:val="6A26A61E"/>
    <w:lvl w:ilvl="0" w:tplc="FFFFFFF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73" w15:restartNumberingAfterBreak="0">
    <w:nsid w:val="241B6012"/>
    <w:multiLevelType w:val="multilevel"/>
    <w:tmpl w:val="C93A46C2"/>
    <w:lvl w:ilvl="0">
      <w:start w:val="1"/>
      <w:numFmt w:val="decimal"/>
      <w:lvlText w:val="%1."/>
      <w:lvlJc w:val="left"/>
      <w:pPr>
        <w:ind w:left="709" w:hanging="283"/>
      </w:pPr>
    </w:lvl>
    <w:lvl w:ilvl="1">
      <w:start w:val="1"/>
      <w:numFmt w:val="decimal"/>
      <w:lvlText w:val="%2."/>
      <w:lvlJc w:val="left"/>
      <w:pPr>
        <w:ind w:left="1418" w:hanging="283"/>
      </w:pPr>
    </w:lvl>
    <w:lvl w:ilvl="2">
      <w:start w:val="1"/>
      <w:numFmt w:val="decimal"/>
      <w:lvlText w:val="%3."/>
      <w:lvlJc w:val="left"/>
      <w:pPr>
        <w:ind w:left="2127" w:hanging="283"/>
      </w:pPr>
    </w:lvl>
    <w:lvl w:ilvl="3">
      <w:start w:val="1"/>
      <w:numFmt w:val="decimal"/>
      <w:lvlText w:val="%4."/>
      <w:lvlJc w:val="left"/>
      <w:pPr>
        <w:ind w:left="2836" w:hanging="283"/>
      </w:pPr>
    </w:lvl>
    <w:lvl w:ilvl="4">
      <w:start w:val="1"/>
      <w:numFmt w:val="decimal"/>
      <w:lvlText w:val="%5."/>
      <w:lvlJc w:val="left"/>
      <w:pPr>
        <w:ind w:left="3545" w:hanging="283"/>
      </w:pPr>
    </w:lvl>
    <w:lvl w:ilvl="5">
      <w:start w:val="1"/>
      <w:numFmt w:val="decimal"/>
      <w:lvlText w:val="%6."/>
      <w:lvlJc w:val="left"/>
      <w:pPr>
        <w:ind w:left="4254" w:hanging="283"/>
      </w:pPr>
    </w:lvl>
    <w:lvl w:ilvl="6">
      <w:start w:val="1"/>
      <w:numFmt w:val="decimal"/>
      <w:lvlText w:val="%7."/>
      <w:lvlJc w:val="left"/>
      <w:pPr>
        <w:ind w:left="4963" w:hanging="283"/>
      </w:pPr>
    </w:lvl>
    <w:lvl w:ilvl="7">
      <w:start w:val="1"/>
      <w:numFmt w:val="decimal"/>
      <w:lvlText w:val="%8."/>
      <w:lvlJc w:val="left"/>
      <w:pPr>
        <w:ind w:left="5672" w:hanging="283"/>
      </w:pPr>
    </w:lvl>
    <w:lvl w:ilvl="8">
      <w:start w:val="1"/>
      <w:numFmt w:val="decimal"/>
      <w:lvlText w:val="%9."/>
      <w:lvlJc w:val="left"/>
      <w:pPr>
        <w:ind w:left="6381" w:hanging="283"/>
      </w:pPr>
    </w:lvl>
  </w:abstractNum>
  <w:abstractNum w:abstractNumId="274" w15:restartNumberingAfterBreak="0">
    <w:nsid w:val="24290172"/>
    <w:multiLevelType w:val="hybridMultilevel"/>
    <w:tmpl w:val="1EC8587A"/>
    <w:lvl w:ilvl="0" w:tplc="ABA41FA6">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5" w15:restartNumberingAfterBreak="0">
    <w:nsid w:val="24296B0C"/>
    <w:multiLevelType w:val="hybridMultilevel"/>
    <w:tmpl w:val="DE10B4E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6" w15:restartNumberingAfterBreak="0">
    <w:nsid w:val="245462B4"/>
    <w:multiLevelType w:val="hybridMultilevel"/>
    <w:tmpl w:val="ABA093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7" w15:restartNumberingAfterBreak="0">
    <w:nsid w:val="24731BE8"/>
    <w:multiLevelType w:val="hybridMultilevel"/>
    <w:tmpl w:val="307EB2F2"/>
    <w:numStyleLink w:val="Numbered"/>
  </w:abstractNum>
  <w:abstractNum w:abstractNumId="278" w15:restartNumberingAfterBreak="0">
    <w:nsid w:val="24BC765F"/>
    <w:multiLevelType w:val="hybridMultilevel"/>
    <w:tmpl w:val="32E028E6"/>
    <w:lvl w:ilvl="0" w:tplc="88860634">
      <w:start w:val="1"/>
      <w:numFmt w:val="decimal"/>
      <w:lvlText w:val="%1."/>
      <w:lvlJc w:val="left"/>
      <w:pPr>
        <w:ind w:left="1109" w:hanging="40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9" w15:restartNumberingAfterBreak="0">
    <w:nsid w:val="24BF69C2"/>
    <w:multiLevelType w:val="hybridMultilevel"/>
    <w:tmpl w:val="08F873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0" w15:restartNumberingAfterBreak="0">
    <w:nsid w:val="24D83AAC"/>
    <w:multiLevelType w:val="multilevel"/>
    <w:tmpl w:val="53900F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1" w15:restartNumberingAfterBreak="0">
    <w:nsid w:val="24E8012F"/>
    <w:multiLevelType w:val="multilevel"/>
    <w:tmpl w:val="1020E5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2" w15:restartNumberingAfterBreak="0">
    <w:nsid w:val="252A732E"/>
    <w:multiLevelType w:val="multilevel"/>
    <w:tmpl w:val="E39EC01A"/>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83" w15:restartNumberingAfterBreak="0">
    <w:nsid w:val="255560B4"/>
    <w:multiLevelType w:val="hybridMultilevel"/>
    <w:tmpl w:val="4E9A03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4" w15:restartNumberingAfterBreak="0">
    <w:nsid w:val="25B143FF"/>
    <w:multiLevelType w:val="hybridMultilevel"/>
    <w:tmpl w:val="D17E814C"/>
    <w:lvl w:ilvl="0" w:tplc="E9A03AFA">
      <w:start w:val="1"/>
      <w:numFmt w:val="decimal"/>
      <w:lvlText w:val="%1."/>
      <w:lvlJc w:val="left"/>
      <w:pPr>
        <w:tabs>
          <w:tab w:val="num" w:pos="425"/>
        </w:tabs>
        <w:ind w:left="425" w:hanging="425"/>
      </w:pPr>
      <w:rPr>
        <w:rFonts w:hint="default"/>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5" w15:restartNumberingAfterBreak="0">
    <w:nsid w:val="25D45D5E"/>
    <w:multiLevelType w:val="hybridMultilevel"/>
    <w:tmpl w:val="63E4956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6" w15:restartNumberingAfterBreak="0">
    <w:nsid w:val="25D517F9"/>
    <w:multiLevelType w:val="hybridMultilevel"/>
    <w:tmpl w:val="B2223E2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7" w15:restartNumberingAfterBreak="0">
    <w:nsid w:val="25F010AF"/>
    <w:multiLevelType w:val="hybridMultilevel"/>
    <w:tmpl w:val="712E54FA"/>
    <w:lvl w:ilvl="0" w:tplc="D3A4E826">
      <w:start w:val="1"/>
      <w:numFmt w:val="decimal"/>
      <w:lvlText w:val="%1."/>
      <w:lvlJc w:val="left"/>
      <w:pPr>
        <w:ind w:left="1069" w:hanging="36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288" w15:restartNumberingAfterBreak="0">
    <w:nsid w:val="2602418E"/>
    <w:multiLevelType w:val="multilevel"/>
    <w:tmpl w:val="005320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9" w15:restartNumberingAfterBreak="0">
    <w:nsid w:val="26135969"/>
    <w:multiLevelType w:val="hybridMultilevel"/>
    <w:tmpl w:val="BB1EEA30"/>
    <w:lvl w:ilvl="0" w:tplc="BE98593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0" w15:restartNumberingAfterBreak="0">
    <w:nsid w:val="261E0D08"/>
    <w:multiLevelType w:val="hybridMultilevel"/>
    <w:tmpl w:val="4AA40B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1" w15:restartNumberingAfterBreak="0">
    <w:nsid w:val="262345EF"/>
    <w:multiLevelType w:val="multilevel"/>
    <w:tmpl w:val="7E5C1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2" w15:restartNumberingAfterBreak="0">
    <w:nsid w:val="26571FD5"/>
    <w:multiLevelType w:val="hybridMultilevel"/>
    <w:tmpl w:val="FFFFFFFF"/>
    <w:styleLink w:val="5"/>
    <w:lvl w:ilvl="0" w:tplc="BA640E48">
      <w:start w:val="1"/>
      <w:numFmt w:val="decimal"/>
      <w:lvlText w:val="%1."/>
      <w:lvlJc w:val="left"/>
      <w:pPr>
        <w:ind w:left="458" w:hanging="458"/>
      </w:pPr>
      <w:rPr>
        <w:rFonts w:hAnsi="Arial Unicode MS" w:cs="Times New Roman"/>
        <w:caps w:val="0"/>
        <w:smallCaps w:val="0"/>
        <w:strike w:val="0"/>
        <w:dstrike w:val="0"/>
        <w:outline w:val="0"/>
        <w:emboss w:val="0"/>
        <w:imprint w:val="0"/>
        <w:spacing w:val="0"/>
        <w:w w:val="100"/>
        <w:kern w:val="0"/>
        <w:position w:val="0"/>
        <w:vertAlign w:val="baseline"/>
      </w:rPr>
    </w:lvl>
    <w:lvl w:ilvl="1" w:tplc="5C76B69A">
      <w:start w:val="1"/>
      <w:numFmt w:val="decimal"/>
      <w:lvlText w:val="%2."/>
      <w:lvlJc w:val="left"/>
      <w:pPr>
        <w:ind w:left="818" w:hanging="458"/>
      </w:pPr>
      <w:rPr>
        <w:rFonts w:hAnsi="Arial Unicode MS" w:cs="Times New Roman"/>
        <w:caps w:val="0"/>
        <w:smallCaps w:val="0"/>
        <w:strike w:val="0"/>
        <w:dstrike w:val="0"/>
        <w:outline w:val="0"/>
        <w:emboss w:val="0"/>
        <w:imprint w:val="0"/>
        <w:spacing w:val="0"/>
        <w:w w:val="100"/>
        <w:kern w:val="0"/>
        <w:position w:val="0"/>
        <w:vertAlign w:val="baseline"/>
      </w:rPr>
    </w:lvl>
    <w:lvl w:ilvl="2" w:tplc="A416490A">
      <w:start w:val="1"/>
      <w:numFmt w:val="decimal"/>
      <w:lvlText w:val="%3."/>
      <w:lvlJc w:val="left"/>
      <w:pPr>
        <w:ind w:left="1178" w:hanging="458"/>
      </w:pPr>
      <w:rPr>
        <w:rFonts w:hAnsi="Arial Unicode MS" w:cs="Times New Roman"/>
        <w:caps w:val="0"/>
        <w:smallCaps w:val="0"/>
        <w:strike w:val="0"/>
        <w:dstrike w:val="0"/>
        <w:outline w:val="0"/>
        <w:emboss w:val="0"/>
        <w:imprint w:val="0"/>
        <w:spacing w:val="0"/>
        <w:w w:val="100"/>
        <w:kern w:val="0"/>
        <w:position w:val="0"/>
        <w:vertAlign w:val="baseline"/>
      </w:rPr>
    </w:lvl>
    <w:lvl w:ilvl="3" w:tplc="963CFBD8">
      <w:start w:val="1"/>
      <w:numFmt w:val="decimal"/>
      <w:lvlText w:val="%4."/>
      <w:lvlJc w:val="left"/>
      <w:pPr>
        <w:ind w:left="1538" w:hanging="458"/>
      </w:pPr>
      <w:rPr>
        <w:rFonts w:hAnsi="Arial Unicode MS" w:cs="Times New Roman"/>
        <w:caps w:val="0"/>
        <w:smallCaps w:val="0"/>
        <w:strike w:val="0"/>
        <w:dstrike w:val="0"/>
        <w:outline w:val="0"/>
        <w:emboss w:val="0"/>
        <w:imprint w:val="0"/>
        <w:spacing w:val="0"/>
        <w:w w:val="100"/>
        <w:kern w:val="0"/>
        <w:position w:val="0"/>
        <w:vertAlign w:val="baseline"/>
      </w:rPr>
    </w:lvl>
    <w:lvl w:ilvl="4" w:tplc="50E4D1D2">
      <w:start w:val="1"/>
      <w:numFmt w:val="decimal"/>
      <w:lvlText w:val="%5."/>
      <w:lvlJc w:val="left"/>
      <w:pPr>
        <w:ind w:left="1898" w:hanging="458"/>
      </w:pPr>
      <w:rPr>
        <w:rFonts w:hAnsi="Arial Unicode MS" w:cs="Times New Roman"/>
        <w:caps w:val="0"/>
        <w:smallCaps w:val="0"/>
        <w:strike w:val="0"/>
        <w:dstrike w:val="0"/>
        <w:outline w:val="0"/>
        <w:emboss w:val="0"/>
        <w:imprint w:val="0"/>
        <w:spacing w:val="0"/>
        <w:w w:val="100"/>
        <w:kern w:val="0"/>
        <w:position w:val="0"/>
        <w:vertAlign w:val="baseline"/>
      </w:rPr>
    </w:lvl>
    <w:lvl w:ilvl="5" w:tplc="071E5E58">
      <w:start w:val="1"/>
      <w:numFmt w:val="decimal"/>
      <w:lvlText w:val="%6."/>
      <w:lvlJc w:val="left"/>
      <w:pPr>
        <w:ind w:left="2258" w:hanging="458"/>
      </w:pPr>
      <w:rPr>
        <w:rFonts w:hAnsi="Arial Unicode MS" w:cs="Times New Roman"/>
        <w:caps w:val="0"/>
        <w:smallCaps w:val="0"/>
        <w:strike w:val="0"/>
        <w:dstrike w:val="0"/>
        <w:outline w:val="0"/>
        <w:emboss w:val="0"/>
        <w:imprint w:val="0"/>
        <w:spacing w:val="0"/>
        <w:w w:val="100"/>
        <w:kern w:val="0"/>
        <w:position w:val="0"/>
        <w:vertAlign w:val="baseline"/>
      </w:rPr>
    </w:lvl>
    <w:lvl w:ilvl="6" w:tplc="C9E275C2">
      <w:start w:val="1"/>
      <w:numFmt w:val="decimal"/>
      <w:lvlText w:val="%7."/>
      <w:lvlJc w:val="left"/>
      <w:pPr>
        <w:ind w:left="2618" w:hanging="458"/>
      </w:pPr>
      <w:rPr>
        <w:rFonts w:hAnsi="Arial Unicode MS" w:cs="Times New Roman"/>
        <w:caps w:val="0"/>
        <w:smallCaps w:val="0"/>
        <w:strike w:val="0"/>
        <w:dstrike w:val="0"/>
        <w:outline w:val="0"/>
        <w:emboss w:val="0"/>
        <w:imprint w:val="0"/>
        <w:spacing w:val="0"/>
        <w:w w:val="100"/>
        <w:kern w:val="0"/>
        <w:position w:val="0"/>
        <w:vertAlign w:val="baseline"/>
      </w:rPr>
    </w:lvl>
    <w:lvl w:ilvl="7" w:tplc="0950B67E">
      <w:start w:val="1"/>
      <w:numFmt w:val="decimal"/>
      <w:lvlText w:val="%8."/>
      <w:lvlJc w:val="left"/>
      <w:pPr>
        <w:ind w:left="2978" w:hanging="458"/>
      </w:pPr>
      <w:rPr>
        <w:rFonts w:hAnsi="Arial Unicode MS" w:cs="Times New Roman"/>
        <w:caps w:val="0"/>
        <w:smallCaps w:val="0"/>
        <w:strike w:val="0"/>
        <w:dstrike w:val="0"/>
        <w:outline w:val="0"/>
        <w:emboss w:val="0"/>
        <w:imprint w:val="0"/>
        <w:spacing w:val="0"/>
        <w:w w:val="100"/>
        <w:kern w:val="0"/>
        <w:position w:val="0"/>
        <w:vertAlign w:val="baseline"/>
      </w:rPr>
    </w:lvl>
    <w:lvl w:ilvl="8" w:tplc="B5AC0A18">
      <w:start w:val="1"/>
      <w:numFmt w:val="decimal"/>
      <w:lvlText w:val="%9."/>
      <w:lvlJc w:val="left"/>
      <w:pPr>
        <w:ind w:left="3338" w:hanging="458"/>
      </w:pPr>
      <w:rPr>
        <w:rFonts w:hAnsi="Arial Unicode MS" w:cs="Times New Roman"/>
        <w:caps w:val="0"/>
        <w:smallCaps w:val="0"/>
        <w:strike w:val="0"/>
        <w:dstrike w:val="0"/>
        <w:outline w:val="0"/>
        <w:emboss w:val="0"/>
        <w:imprint w:val="0"/>
        <w:spacing w:val="0"/>
        <w:w w:val="100"/>
        <w:kern w:val="0"/>
        <w:position w:val="0"/>
        <w:vertAlign w:val="baseline"/>
      </w:rPr>
    </w:lvl>
  </w:abstractNum>
  <w:abstractNum w:abstractNumId="293" w15:restartNumberingAfterBreak="0">
    <w:nsid w:val="26791909"/>
    <w:multiLevelType w:val="multilevel"/>
    <w:tmpl w:val="63845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4" w15:restartNumberingAfterBreak="0">
    <w:nsid w:val="26820672"/>
    <w:multiLevelType w:val="hybridMultilevel"/>
    <w:tmpl w:val="440AC3A2"/>
    <w:lvl w:ilvl="0" w:tplc="9012A0C4">
      <w:start w:val="1"/>
      <w:numFmt w:val="decimal"/>
      <w:lvlText w:val="%1."/>
      <w:lvlJc w:val="left"/>
      <w:pPr>
        <w:ind w:left="360" w:hanging="360"/>
      </w:pPr>
      <w:rPr>
        <w:rFonts w:ascii="Times New Roman" w:eastAsia="Times New Roman" w:hAnsi="Times New Roman" w:cs="Times New Roman"/>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95" w15:restartNumberingAfterBreak="0">
    <w:nsid w:val="268C02E8"/>
    <w:multiLevelType w:val="multilevel"/>
    <w:tmpl w:val="68200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6" w15:restartNumberingAfterBreak="0">
    <w:nsid w:val="26F96279"/>
    <w:multiLevelType w:val="hybridMultilevel"/>
    <w:tmpl w:val="D3F624DE"/>
    <w:lvl w:ilvl="0" w:tplc="D6B459F6">
      <w:start w:val="1"/>
      <w:numFmt w:val="decimal"/>
      <w:lvlText w:val="%1."/>
      <w:lvlJc w:val="left"/>
      <w:pPr>
        <w:ind w:left="1068"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7" w15:restartNumberingAfterBreak="0">
    <w:nsid w:val="271E572B"/>
    <w:multiLevelType w:val="multilevel"/>
    <w:tmpl w:val="CF9ACE64"/>
    <w:lvl w:ilvl="0">
      <w:start w:val="1"/>
      <w:numFmt w:val="bullet"/>
      <w:lvlText w:val="•"/>
      <w:lvlJc w:val="left"/>
      <w:pPr>
        <w:ind w:left="0" w:firstLine="0"/>
      </w:pPr>
      <w:rPr>
        <w:u w:val="none"/>
      </w:rPr>
    </w:lvl>
    <w:lvl w:ilvl="1">
      <w:numFmt w:val="decimal"/>
      <w:lvlText w:val=""/>
      <w:lvlJc w:val="left"/>
      <w:pPr>
        <w:ind w:left="0" w:firstLine="0"/>
      </w:pPr>
      <w:rPr>
        <w:u w:val="none"/>
      </w:rPr>
    </w:lvl>
    <w:lvl w:ilvl="2">
      <w:numFmt w:val="decimal"/>
      <w:lvlText w:val=""/>
      <w:lvlJc w:val="left"/>
      <w:pPr>
        <w:ind w:left="0" w:firstLine="0"/>
      </w:pPr>
      <w:rPr>
        <w:u w:val="none"/>
      </w:rPr>
    </w:lvl>
    <w:lvl w:ilvl="3">
      <w:numFmt w:val="decimal"/>
      <w:lvlText w:val=""/>
      <w:lvlJc w:val="left"/>
      <w:pPr>
        <w:ind w:left="0" w:firstLine="0"/>
      </w:pPr>
      <w:rPr>
        <w:u w:val="none"/>
      </w:rPr>
    </w:lvl>
    <w:lvl w:ilvl="4">
      <w:numFmt w:val="decimal"/>
      <w:lvlText w:val=""/>
      <w:lvlJc w:val="left"/>
      <w:pPr>
        <w:ind w:left="0" w:firstLine="0"/>
      </w:pPr>
      <w:rPr>
        <w:u w:val="none"/>
      </w:rPr>
    </w:lvl>
    <w:lvl w:ilvl="5">
      <w:numFmt w:val="decimal"/>
      <w:lvlText w:val=""/>
      <w:lvlJc w:val="left"/>
      <w:pPr>
        <w:ind w:left="0" w:firstLine="0"/>
      </w:pPr>
      <w:rPr>
        <w:u w:val="none"/>
      </w:rPr>
    </w:lvl>
    <w:lvl w:ilvl="6">
      <w:numFmt w:val="decimal"/>
      <w:lvlText w:val=""/>
      <w:lvlJc w:val="left"/>
      <w:pPr>
        <w:ind w:left="0" w:firstLine="0"/>
      </w:pPr>
      <w:rPr>
        <w:u w:val="none"/>
      </w:rPr>
    </w:lvl>
    <w:lvl w:ilvl="7">
      <w:numFmt w:val="decimal"/>
      <w:lvlText w:val=""/>
      <w:lvlJc w:val="left"/>
      <w:pPr>
        <w:ind w:left="0" w:firstLine="0"/>
      </w:pPr>
      <w:rPr>
        <w:u w:val="none"/>
      </w:rPr>
    </w:lvl>
    <w:lvl w:ilvl="8">
      <w:numFmt w:val="decimal"/>
      <w:lvlText w:val=""/>
      <w:lvlJc w:val="left"/>
      <w:pPr>
        <w:ind w:left="0" w:firstLine="0"/>
      </w:pPr>
      <w:rPr>
        <w:u w:val="none"/>
      </w:rPr>
    </w:lvl>
  </w:abstractNum>
  <w:abstractNum w:abstractNumId="298" w15:restartNumberingAfterBreak="0">
    <w:nsid w:val="279B116A"/>
    <w:multiLevelType w:val="multilevel"/>
    <w:tmpl w:val="8D1CD3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99" w15:restartNumberingAfterBreak="0">
    <w:nsid w:val="27BF024C"/>
    <w:multiLevelType w:val="hybridMultilevel"/>
    <w:tmpl w:val="AB0EC738"/>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0" w15:restartNumberingAfterBreak="0">
    <w:nsid w:val="2837023C"/>
    <w:multiLevelType w:val="multilevel"/>
    <w:tmpl w:val="095EBF5C"/>
    <w:lvl w:ilvl="0">
      <w:start w:val="1"/>
      <w:numFmt w:val="decimal"/>
      <w:lvlText w:val="%1."/>
      <w:lvlJc w:val="left"/>
      <w:pPr>
        <w:tabs>
          <w:tab w:val="num" w:pos="720"/>
        </w:tabs>
        <w:ind w:left="720" w:hanging="360"/>
      </w:pPr>
      <w:rPr>
        <w:rFonts w:ascii="Arial" w:hAnsi="Arial" w:cs="Arial" w:hint="default"/>
        <w:b w:val="0"/>
        <w:i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1" w15:restartNumberingAfterBreak="0">
    <w:nsid w:val="283A0512"/>
    <w:multiLevelType w:val="multilevel"/>
    <w:tmpl w:val="77F67B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15:restartNumberingAfterBreak="0">
    <w:nsid w:val="28725318"/>
    <w:multiLevelType w:val="hybridMultilevel"/>
    <w:tmpl w:val="2DA2269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3" w15:restartNumberingAfterBreak="0">
    <w:nsid w:val="28B73541"/>
    <w:multiLevelType w:val="hybridMultilevel"/>
    <w:tmpl w:val="DF0C814E"/>
    <w:lvl w:ilvl="0" w:tplc="79BEDE0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04" w15:restartNumberingAfterBreak="0">
    <w:nsid w:val="28EE6B2E"/>
    <w:multiLevelType w:val="hybridMultilevel"/>
    <w:tmpl w:val="43BE4BDE"/>
    <w:lvl w:ilvl="0" w:tplc="0422000F">
      <w:start w:val="1"/>
      <w:numFmt w:val="decimal"/>
      <w:lvlText w:val="%1."/>
      <w:lvlJc w:val="left"/>
      <w:pPr>
        <w:ind w:left="-131" w:hanging="360"/>
      </w:pPr>
    </w:lvl>
    <w:lvl w:ilvl="1" w:tplc="04220019" w:tentative="1">
      <w:start w:val="1"/>
      <w:numFmt w:val="lowerLetter"/>
      <w:lvlText w:val="%2."/>
      <w:lvlJc w:val="left"/>
      <w:pPr>
        <w:ind w:left="589" w:hanging="360"/>
      </w:pPr>
    </w:lvl>
    <w:lvl w:ilvl="2" w:tplc="0422001B" w:tentative="1">
      <w:start w:val="1"/>
      <w:numFmt w:val="lowerRoman"/>
      <w:lvlText w:val="%3."/>
      <w:lvlJc w:val="right"/>
      <w:pPr>
        <w:ind w:left="1309" w:hanging="180"/>
      </w:pPr>
    </w:lvl>
    <w:lvl w:ilvl="3" w:tplc="0422000F" w:tentative="1">
      <w:start w:val="1"/>
      <w:numFmt w:val="decimal"/>
      <w:lvlText w:val="%4."/>
      <w:lvlJc w:val="left"/>
      <w:pPr>
        <w:ind w:left="2029" w:hanging="360"/>
      </w:pPr>
    </w:lvl>
    <w:lvl w:ilvl="4" w:tplc="04220019" w:tentative="1">
      <w:start w:val="1"/>
      <w:numFmt w:val="lowerLetter"/>
      <w:lvlText w:val="%5."/>
      <w:lvlJc w:val="left"/>
      <w:pPr>
        <w:ind w:left="2749" w:hanging="360"/>
      </w:pPr>
    </w:lvl>
    <w:lvl w:ilvl="5" w:tplc="0422001B" w:tentative="1">
      <w:start w:val="1"/>
      <w:numFmt w:val="lowerRoman"/>
      <w:lvlText w:val="%6."/>
      <w:lvlJc w:val="right"/>
      <w:pPr>
        <w:ind w:left="3469" w:hanging="180"/>
      </w:pPr>
    </w:lvl>
    <w:lvl w:ilvl="6" w:tplc="0422000F" w:tentative="1">
      <w:start w:val="1"/>
      <w:numFmt w:val="decimal"/>
      <w:lvlText w:val="%7."/>
      <w:lvlJc w:val="left"/>
      <w:pPr>
        <w:ind w:left="4189" w:hanging="360"/>
      </w:pPr>
    </w:lvl>
    <w:lvl w:ilvl="7" w:tplc="04220019" w:tentative="1">
      <w:start w:val="1"/>
      <w:numFmt w:val="lowerLetter"/>
      <w:lvlText w:val="%8."/>
      <w:lvlJc w:val="left"/>
      <w:pPr>
        <w:ind w:left="4909" w:hanging="360"/>
      </w:pPr>
    </w:lvl>
    <w:lvl w:ilvl="8" w:tplc="0422001B" w:tentative="1">
      <w:start w:val="1"/>
      <w:numFmt w:val="lowerRoman"/>
      <w:lvlText w:val="%9."/>
      <w:lvlJc w:val="right"/>
      <w:pPr>
        <w:ind w:left="5629" w:hanging="180"/>
      </w:pPr>
    </w:lvl>
  </w:abstractNum>
  <w:abstractNum w:abstractNumId="305" w15:restartNumberingAfterBreak="0">
    <w:nsid w:val="29322032"/>
    <w:multiLevelType w:val="multilevel"/>
    <w:tmpl w:val="BEE4CD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6" w15:restartNumberingAfterBreak="0">
    <w:nsid w:val="2A2B7630"/>
    <w:multiLevelType w:val="hybridMultilevel"/>
    <w:tmpl w:val="B08A1830"/>
    <w:lvl w:ilvl="0" w:tplc="6D78F0C8">
      <w:numFmt w:val="bullet"/>
      <w:lvlText w:val="-"/>
      <w:lvlJc w:val="left"/>
      <w:pPr>
        <w:ind w:left="720" w:hanging="360"/>
      </w:pPr>
      <w:rPr>
        <w:rFonts w:ascii="Times New Roman" w:eastAsiaTheme="minorHAnsi" w:hAnsi="Times New Roman" w:cs="Times New Roman" w:hint="default"/>
        <w:i/>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7" w15:restartNumberingAfterBreak="0">
    <w:nsid w:val="2A38567D"/>
    <w:multiLevelType w:val="multilevel"/>
    <w:tmpl w:val="9CA259AE"/>
    <w:lvl w:ilvl="0">
      <w:start w:val="1"/>
      <w:numFmt w:val="decimal"/>
      <w:lvlText w:val="%1."/>
      <w:lvlJc w:val="left"/>
      <w:pPr>
        <w:ind w:left="720" w:hanging="360"/>
      </w:pPr>
      <w:rPr>
        <w:rFonts w:ascii="Calibri" w:eastAsia="Calibri" w:hAnsi="Calibri" w:cs="Calibri"/>
        <w:color w:val="000000"/>
        <w:sz w:val="22"/>
        <w:szCs w:val="22"/>
        <w:u w:val="no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8" w15:restartNumberingAfterBreak="0">
    <w:nsid w:val="2A61746E"/>
    <w:multiLevelType w:val="multilevel"/>
    <w:tmpl w:val="E75691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9" w15:restartNumberingAfterBreak="0">
    <w:nsid w:val="2A88527B"/>
    <w:multiLevelType w:val="hybridMultilevel"/>
    <w:tmpl w:val="E7C8807C"/>
    <w:lvl w:ilvl="0" w:tplc="0422000F">
      <w:start w:val="1"/>
      <w:numFmt w:val="decimal"/>
      <w:lvlText w:val="%1."/>
      <w:lvlJc w:val="left"/>
      <w:pPr>
        <w:ind w:left="1211" w:hanging="360"/>
      </w:p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10" w15:restartNumberingAfterBreak="0">
    <w:nsid w:val="2AAF434B"/>
    <w:multiLevelType w:val="multilevel"/>
    <w:tmpl w:val="B1A6A59C"/>
    <w:lvl w:ilvl="0">
      <w:start w:val="1"/>
      <w:numFmt w:val="decimal"/>
      <w:lvlText w:val="%1."/>
      <w:lvlJc w:val="left"/>
      <w:pPr>
        <w:tabs>
          <w:tab w:val="num" w:pos="0"/>
        </w:tabs>
        <w:ind w:left="780" w:hanging="42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1" w15:restartNumberingAfterBreak="0">
    <w:nsid w:val="2AB21C3C"/>
    <w:multiLevelType w:val="hybridMultilevel"/>
    <w:tmpl w:val="D388B23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2" w15:restartNumberingAfterBreak="0">
    <w:nsid w:val="2AD56193"/>
    <w:multiLevelType w:val="hybridMultilevel"/>
    <w:tmpl w:val="E6722A10"/>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13" w15:restartNumberingAfterBreak="0">
    <w:nsid w:val="2AF52E7C"/>
    <w:multiLevelType w:val="multilevel"/>
    <w:tmpl w:val="0EE82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4" w15:restartNumberingAfterBreak="0">
    <w:nsid w:val="2B132880"/>
    <w:multiLevelType w:val="multilevel"/>
    <w:tmpl w:val="FE1659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15" w15:restartNumberingAfterBreak="0">
    <w:nsid w:val="2B243A3F"/>
    <w:multiLevelType w:val="hybridMultilevel"/>
    <w:tmpl w:val="6FDCAD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6" w15:restartNumberingAfterBreak="0">
    <w:nsid w:val="2B3014DB"/>
    <w:multiLevelType w:val="hybridMultilevel"/>
    <w:tmpl w:val="B81EEC52"/>
    <w:styleLink w:val="11"/>
    <w:lvl w:ilvl="0" w:tplc="99AE3EE8">
      <w:start w:val="1"/>
      <w:numFmt w:val="decimal"/>
      <w:lvlText w:val="%1."/>
      <w:lvlJc w:val="left"/>
      <w:pPr>
        <w:ind w:left="740" w:hanging="3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AFAABD12">
      <w:start w:val="1"/>
      <w:numFmt w:val="lowerLetter"/>
      <w:lvlText w:val="%2."/>
      <w:lvlJc w:val="left"/>
      <w:pPr>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DF80BD42">
      <w:start w:val="1"/>
      <w:numFmt w:val="lowerRoman"/>
      <w:lvlText w:val="%3."/>
      <w:lvlJc w:val="left"/>
      <w:pPr>
        <w:ind w:left="2160" w:hanging="3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12FCBD68">
      <w:start w:val="1"/>
      <w:numFmt w:val="decimal"/>
      <w:lvlText w:val="%4."/>
      <w:lvlJc w:val="left"/>
      <w:pPr>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C7FEF7C6">
      <w:start w:val="1"/>
      <w:numFmt w:val="lowerLetter"/>
      <w:lvlText w:val="%5."/>
      <w:lvlJc w:val="left"/>
      <w:pPr>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F6DE5336">
      <w:start w:val="1"/>
      <w:numFmt w:val="lowerRoman"/>
      <w:lvlText w:val="%6."/>
      <w:lvlJc w:val="left"/>
      <w:pPr>
        <w:ind w:left="4320" w:hanging="3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927E7F36">
      <w:start w:val="1"/>
      <w:numFmt w:val="decimal"/>
      <w:lvlText w:val="%7."/>
      <w:lvlJc w:val="left"/>
      <w:pPr>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E3688B22">
      <w:start w:val="1"/>
      <w:numFmt w:val="lowerLetter"/>
      <w:lvlText w:val="%8."/>
      <w:lvlJc w:val="left"/>
      <w:pPr>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10AE2A4C">
      <w:start w:val="1"/>
      <w:numFmt w:val="lowerRoman"/>
      <w:lvlText w:val="%9."/>
      <w:lvlJc w:val="left"/>
      <w:pPr>
        <w:ind w:left="6480" w:hanging="3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17" w15:restartNumberingAfterBreak="0">
    <w:nsid w:val="2BF35340"/>
    <w:multiLevelType w:val="hybridMultilevel"/>
    <w:tmpl w:val="1422CCFC"/>
    <w:lvl w:ilvl="0" w:tplc="A49680EE">
      <w:start w:val="1"/>
      <w:numFmt w:val="decimal"/>
      <w:lvlText w:val="%1."/>
      <w:lvlJc w:val="left"/>
      <w:pPr>
        <w:ind w:left="720" w:hanging="360"/>
      </w:pPr>
    </w:lvl>
    <w:lvl w:ilvl="1" w:tplc="A5182FC6">
      <w:start w:val="1"/>
      <w:numFmt w:val="lowerLetter"/>
      <w:lvlText w:val="%2."/>
      <w:lvlJc w:val="left"/>
      <w:pPr>
        <w:ind w:left="1440" w:hanging="360"/>
      </w:pPr>
    </w:lvl>
    <w:lvl w:ilvl="2" w:tplc="1E585928" w:tentative="1">
      <w:start w:val="1"/>
      <w:numFmt w:val="lowerRoman"/>
      <w:lvlText w:val="%3."/>
      <w:lvlJc w:val="right"/>
      <w:pPr>
        <w:ind w:left="2160" w:hanging="180"/>
      </w:pPr>
    </w:lvl>
    <w:lvl w:ilvl="3" w:tplc="CD28EB20" w:tentative="1">
      <w:start w:val="1"/>
      <w:numFmt w:val="decimal"/>
      <w:lvlText w:val="%4."/>
      <w:lvlJc w:val="left"/>
      <w:pPr>
        <w:ind w:left="2880" w:hanging="360"/>
      </w:pPr>
    </w:lvl>
    <w:lvl w:ilvl="4" w:tplc="ECE00222" w:tentative="1">
      <w:start w:val="1"/>
      <w:numFmt w:val="lowerLetter"/>
      <w:lvlText w:val="%5."/>
      <w:lvlJc w:val="left"/>
      <w:pPr>
        <w:ind w:left="3600" w:hanging="360"/>
      </w:pPr>
    </w:lvl>
    <w:lvl w:ilvl="5" w:tplc="1C58AB5A" w:tentative="1">
      <w:start w:val="1"/>
      <w:numFmt w:val="lowerRoman"/>
      <w:lvlText w:val="%6."/>
      <w:lvlJc w:val="right"/>
      <w:pPr>
        <w:ind w:left="4320" w:hanging="180"/>
      </w:pPr>
    </w:lvl>
    <w:lvl w:ilvl="6" w:tplc="2ACAE0C4" w:tentative="1">
      <w:start w:val="1"/>
      <w:numFmt w:val="decimal"/>
      <w:lvlText w:val="%7."/>
      <w:lvlJc w:val="left"/>
      <w:pPr>
        <w:ind w:left="5040" w:hanging="360"/>
      </w:pPr>
    </w:lvl>
    <w:lvl w:ilvl="7" w:tplc="6DAE16DE" w:tentative="1">
      <w:start w:val="1"/>
      <w:numFmt w:val="lowerLetter"/>
      <w:lvlText w:val="%8."/>
      <w:lvlJc w:val="left"/>
      <w:pPr>
        <w:ind w:left="5760" w:hanging="360"/>
      </w:pPr>
    </w:lvl>
    <w:lvl w:ilvl="8" w:tplc="B5BC9434" w:tentative="1">
      <w:start w:val="1"/>
      <w:numFmt w:val="lowerRoman"/>
      <w:lvlText w:val="%9."/>
      <w:lvlJc w:val="right"/>
      <w:pPr>
        <w:ind w:left="6480" w:hanging="180"/>
      </w:pPr>
    </w:lvl>
  </w:abstractNum>
  <w:abstractNum w:abstractNumId="318" w15:restartNumberingAfterBreak="0">
    <w:nsid w:val="2C834E34"/>
    <w:multiLevelType w:val="multilevel"/>
    <w:tmpl w:val="A9FE01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9" w15:restartNumberingAfterBreak="0">
    <w:nsid w:val="2C8364E7"/>
    <w:multiLevelType w:val="hybridMultilevel"/>
    <w:tmpl w:val="FFFFFFFF"/>
    <w:lvl w:ilvl="0" w:tplc="06BEFCB2">
      <w:start w:val="1"/>
      <w:numFmt w:val="decimal"/>
      <w:lvlText w:val="%1."/>
      <w:lvlJc w:val="left"/>
      <w:pPr>
        <w:ind w:left="36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20" w15:restartNumberingAfterBreak="0">
    <w:nsid w:val="2C8E73F6"/>
    <w:multiLevelType w:val="multilevel"/>
    <w:tmpl w:val="E708D54E"/>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321" w15:restartNumberingAfterBreak="0">
    <w:nsid w:val="2CD40E81"/>
    <w:multiLevelType w:val="multilevel"/>
    <w:tmpl w:val="5056779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22" w15:restartNumberingAfterBreak="0">
    <w:nsid w:val="2CE4665A"/>
    <w:multiLevelType w:val="hybridMultilevel"/>
    <w:tmpl w:val="D3F624DE"/>
    <w:lvl w:ilvl="0" w:tplc="D6B459F6">
      <w:start w:val="1"/>
      <w:numFmt w:val="decimal"/>
      <w:lvlText w:val="%1."/>
      <w:lvlJc w:val="left"/>
      <w:pPr>
        <w:ind w:left="1068"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3" w15:restartNumberingAfterBreak="0">
    <w:nsid w:val="2D0A0206"/>
    <w:multiLevelType w:val="hybridMultilevel"/>
    <w:tmpl w:val="5C161DF0"/>
    <w:lvl w:ilvl="0" w:tplc="A63E322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4" w15:restartNumberingAfterBreak="0">
    <w:nsid w:val="2D344E84"/>
    <w:multiLevelType w:val="multilevel"/>
    <w:tmpl w:val="AE5EC2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5" w15:restartNumberingAfterBreak="0">
    <w:nsid w:val="2D654768"/>
    <w:multiLevelType w:val="hybridMultilevel"/>
    <w:tmpl w:val="0A968B08"/>
    <w:lvl w:ilvl="0" w:tplc="3A70428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26" w15:restartNumberingAfterBreak="0">
    <w:nsid w:val="2D683D11"/>
    <w:multiLevelType w:val="hybridMultilevel"/>
    <w:tmpl w:val="CD304F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7" w15:restartNumberingAfterBreak="0">
    <w:nsid w:val="2DA00DFE"/>
    <w:multiLevelType w:val="multilevel"/>
    <w:tmpl w:val="DC0AF3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28" w15:restartNumberingAfterBreak="0">
    <w:nsid w:val="2DD32100"/>
    <w:multiLevelType w:val="hybridMultilevel"/>
    <w:tmpl w:val="4B822572"/>
    <w:lvl w:ilvl="0" w:tplc="F120E6FA">
      <w:start w:val="1"/>
      <w:numFmt w:val="decimal"/>
      <w:lvlText w:val="%1."/>
      <w:lvlJc w:val="left"/>
      <w:pPr>
        <w:ind w:left="720" w:hanging="360"/>
      </w:pPr>
      <w:rPr>
        <w:rFonts w:hint="default"/>
      </w:rPr>
    </w:lvl>
    <w:lvl w:ilvl="1" w:tplc="9C0ADB58" w:tentative="1">
      <w:start w:val="1"/>
      <w:numFmt w:val="lowerLetter"/>
      <w:lvlText w:val="%2."/>
      <w:lvlJc w:val="left"/>
      <w:pPr>
        <w:ind w:left="1440" w:hanging="360"/>
      </w:pPr>
    </w:lvl>
    <w:lvl w:ilvl="2" w:tplc="6A6AF14A" w:tentative="1">
      <w:start w:val="1"/>
      <w:numFmt w:val="lowerRoman"/>
      <w:lvlText w:val="%3."/>
      <w:lvlJc w:val="right"/>
      <w:pPr>
        <w:ind w:left="2160" w:hanging="180"/>
      </w:pPr>
    </w:lvl>
    <w:lvl w:ilvl="3" w:tplc="670CBBD2" w:tentative="1">
      <w:start w:val="1"/>
      <w:numFmt w:val="decimal"/>
      <w:lvlText w:val="%4."/>
      <w:lvlJc w:val="left"/>
      <w:pPr>
        <w:ind w:left="2880" w:hanging="360"/>
      </w:pPr>
    </w:lvl>
    <w:lvl w:ilvl="4" w:tplc="091E1D04" w:tentative="1">
      <w:start w:val="1"/>
      <w:numFmt w:val="lowerLetter"/>
      <w:lvlText w:val="%5."/>
      <w:lvlJc w:val="left"/>
      <w:pPr>
        <w:ind w:left="3600" w:hanging="360"/>
      </w:pPr>
    </w:lvl>
    <w:lvl w:ilvl="5" w:tplc="8E4EDBC4" w:tentative="1">
      <w:start w:val="1"/>
      <w:numFmt w:val="lowerRoman"/>
      <w:lvlText w:val="%6."/>
      <w:lvlJc w:val="right"/>
      <w:pPr>
        <w:ind w:left="4320" w:hanging="180"/>
      </w:pPr>
    </w:lvl>
    <w:lvl w:ilvl="6" w:tplc="70AE36AC" w:tentative="1">
      <w:start w:val="1"/>
      <w:numFmt w:val="decimal"/>
      <w:lvlText w:val="%7."/>
      <w:lvlJc w:val="left"/>
      <w:pPr>
        <w:ind w:left="5040" w:hanging="360"/>
      </w:pPr>
    </w:lvl>
    <w:lvl w:ilvl="7" w:tplc="E96EE6AA" w:tentative="1">
      <w:start w:val="1"/>
      <w:numFmt w:val="lowerLetter"/>
      <w:lvlText w:val="%8."/>
      <w:lvlJc w:val="left"/>
      <w:pPr>
        <w:ind w:left="5760" w:hanging="360"/>
      </w:pPr>
    </w:lvl>
    <w:lvl w:ilvl="8" w:tplc="9EBAAE9E" w:tentative="1">
      <w:start w:val="1"/>
      <w:numFmt w:val="lowerRoman"/>
      <w:lvlText w:val="%9."/>
      <w:lvlJc w:val="right"/>
      <w:pPr>
        <w:ind w:left="6480" w:hanging="180"/>
      </w:pPr>
    </w:lvl>
  </w:abstractNum>
  <w:abstractNum w:abstractNumId="329" w15:restartNumberingAfterBreak="0">
    <w:nsid w:val="2DE27ADF"/>
    <w:multiLevelType w:val="hybridMultilevel"/>
    <w:tmpl w:val="6FE881A0"/>
    <w:lvl w:ilvl="0" w:tplc="5144F1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0" w15:restartNumberingAfterBreak="0">
    <w:nsid w:val="2DF01210"/>
    <w:multiLevelType w:val="hybridMultilevel"/>
    <w:tmpl w:val="7070E4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1" w15:restartNumberingAfterBreak="0">
    <w:nsid w:val="2F811B61"/>
    <w:multiLevelType w:val="multilevel"/>
    <w:tmpl w:val="069C103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2" w15:restartNumberingAfterBreak="0">
    <w:nsid w:val="3012510B"/>
    <w:multiLevelType w:val="hybridMultilevel"/>
    <w:tmpl w:val="FFFFFFFF"/>
    <w:lvl w:ilvl="0" w:tplc="FFFFFFFF">
      <w:start w:val="1"/>
      <w:numFmt w:val="decimal"/>
      <w:lvlText w:val="%1."/>
      <w:lvlJc w:val="left"/>
      <w:pPr>
        <w:ind w:left="1429" w:hanging="360"/>
      </w:pPr>
    </w:lvl>
    <w:lvl w:ilvl="1" w:tplc="FFFFFFFF">
      <w:start w:val="1"/>
      <w:numFmt w:val="lowerLetter"/>
      <w:lvlText w:val="%2."/>
      <w:lvlJc w:val="left"/>
      <w:pPr>
        <w:ind w:left="2149" w:hanging="360"/>
      </w:pPr>
    </w:lvl>
    <w:lvl w:ilvl="2" w:tplc="FFFFFFFF">
      <w:start w:val="1"/>
      <w:numFmt w:val="lowerRoman"/>
      <w:lvlText w:val="%3."/>
      <w:lvlJc w:val="right"/>
      <w:pPr>
        <w:ind w:left="2869" w:hanging="180"/>
      </w:pPr>
    </w:lvl>
    <w:lvl w:ilvl="3" w:tplc="FFFFFFFF">
      <w:start w:val="1"/>
      <w:numFmt w:val="decimal"/>
      <w:lvlText w:val="%4."/>
      <w:lvlJc w:val="left"/>
      <w:pPr>
        <w:ind w:left="3589" w:hanging="360"/>
      </w:pPr>
    </w:lvl>
    <w:lvl w:ilvl="4" w:tplc="FFFFFFFF">
      <w:start w:val="1"/>
      <w:numFmt w:val="lowerLetter"/>
      <w:lvlText w:val="%5."/>
      <w:lvlJc w:val="left"/>
      <w:pPr>
        <w:ind w:left="4309" w:hanging="360"/>
      </w:pPr>
    </w:lvl>
    <w:lvl w:ilvl="5" w:tplc="FFFFFFFF">
      <w:start w:val="1"/>
      <w:numFmt w:val="lowerRoman"/>
      <w:lvlText w:val="%6."/>
      <w:lvlJc w:val="right"/>
      <w:pPr>
        <w:ind w:left="5029" w:hanging="180"/>
      </w:pPr>
    </w:lvl>
    <w:lvl w:ilvl="6" w:tplc="FFFFFFFF">
      <w:start w:val="1"/>
      <w:numFmt w:val="decimal"/>
      <w:lvlText w:val="%7."/>
      <w:lvlJc w:val="left"/>
      <w:pPr>
        <w:ind w:left="5749" w:hanging="360"/>
      </w:pPr>
    </w:lvl>
    <w:lvl w:ilvl="7" w:tplc="FFFFFFFF">
      <w:start w:val="1"/>
      <w:numFmt w:val="lowerLetter"/>
      <w:lvlText w:val="%8."/>
      <w:lvlJc w:val="left"/>
      <w:pPr>
        <w:ind w:left="6469" w:hanging="360"/>
      </w:pPr>
    </w:lvl>
    <w:lvl w:ilvl="8" w:tplc="FFFFFFFF">
      <w:start w:val="1"/>
      <w:numFmt w:val="lowerRoman"/>
      <w:lvlText w:val="%9."/>
      <w:lvlJc w:val="right"/>
      <w:pPr>
        <w:ind w:left="7189" w:hanging="180"/>
      </w:pPr>
    </w:lvl>
  </w:abstractNum>
  <w:abstractNum w:abstractNumId="333" w15:restartNumberingAfterBreak="0">
    <w:nsid w:val="301963FA"/>
    <w:multiLevelType w:val="hybridMultilevel"/>
    <w:tmpl w:val="7F404D82"/>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4" w15:restartNumberingAfterBreak="0">
    <w:nsid w:val="305E4FB3"/>
    <w:multiLevelType w:val="multilevel"/>
    <w:tmpl w:val="81AE8A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5" w15:restartNumberingAfterBreak="0">
    <w:nsid w:val="308107EB"/>
    <w:multiLevelType w:val="hybridMultilevel"/>
    <w:tmpl w:val="E098CE2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6" w15:restartNumberingAfterBreak="0">
    <w:nsid w:val="30CD6B86"/>
    <w:multiLevelType w:val="hybridMultilevel"/>
    <w:tmpl w:val="13D07F86"/>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37" w15:restartNumberingAfterBreak="0">
    <w:nsid w:val="30F85935"/>
    <w:multiLevelType w:val="multilevel"/>
    <w:tmpl w:val="FB48C4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38" w15:restartNumberingAfterBreak="0">
    <w:nsid w:val="311235AF"/>
    <w:multiLevelType w:val="hybridMultilevel"/>
    <w:tmpl w:val="1714BC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9" w15:restartNumberingAfterBreak="0">
    <w:nsid w:val="312F1D6F"/>
    <w:multiLevelType w:val="hybridMultilevel"/>
    <w:tmpl w:val="D28AB75E"/>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40" w15:restartNumberingAfterBreak="0">
    <w:nsid w:val="314C7468"/>
    <w:multiLevelType w:val="hybridMultilevel"/>
    <w:tmpl w:val="38A22DBA"/>
    <w:lvl w:ilvl="0" w:tplc="C2F02C30">
      <w:start w:val="1"/>
      <w:numFmt w:val="decimal"/>
      <w:lvlText w:val="%1."/>
      <w:lvlJc w:val="left"/>
      <w:pPr>
        <w:ind w:left="1080" w:hanging="360"/>
      </w:pPr>
      <w:rPr>
        <w:rFonts w:hint="default"/>
        <w:sz w:val="28"/>
        <w:szCs w:val="28"/>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341" w15:restartNumberingAfterBreak="0">
    <w:nsid w:val="31512F54"/>
    <w:multiLevelType w:val="hybridMultilevel"/>
    <w:tmpl w:val="67F453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2" w15:restartNumberingAfterBreak="0">
    <w:nsid w:val="317630B4"/>
    <w:multiLevelType w:val="multilevel"/>
    <w:tmpl w:val="38429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3" w15:restartNumberingAfterBreak="0">
    <w:nsid w:val="31792ED4"/>
    <w:multiLevelType w:val="hybridMultilevel"/>
    <w:tmpl w:val="48707CA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4" w15:restartNumberingAfterBreak="0">
    <w:nsid w:val="31A54C84"/>
    <w:multiLevelType w:val="hybridMultilevel"/>
    <w:tmpl w:val="307EB2F2"/>
    <w:numStyleLink w:val="Numbered"/>
  </w:abstractNum>
  <w:abstractNum w:abstractNumId="345" w15:restartNumberingAfterBreak="0">
    <w:nsid w:val="31A957DD"/>
    <w:multiLevelType w:val="multilevel"/>
    <w:tmpl w:val="0A06D5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46" w15:restartNumberingAfterBreak="0">
    <w:nsid w:val="31DC14E2"/>
    <w:multiLevelType w:val="hybridMultilevel"/>
    <w:tmpl w:val="8C3E8ADC"/>
    <w:lvl w:ilvl="0" w:tplc="CCD0E5A4">
      <w:start w:val="1"/>
      <w:numFmt w:val="decimal"/>
      <w:lvlText w:val="%1."/>
      <w:lvlJc w:val="left"/>
      <w:pPr>
        <w:ind w:left="1429" w:hanging="360"/>
      </w:pPr>
    </w:lvl>
    <w:lvl w:ilvl="1" w:tplc="50BE0490" w:tentative="1">
      <w:start w:val="1"/>
      <w:numFmt w:val="lowerLetter"/>
      <w:lvlText w:val="%2."/>
      <w:lvlJc w:val="left"/>
      <w:pPr>
        <w:ind w:left="2149" w:hanging="360"/>
      </w:pPr>
    </w:lvl>
    <w:lvl w:ilvl="2" w:tplc="6D5CDE5C" w:tentative="1">
      <w:start w:val="1"/>
      <w:numFmt w:val="lowerRoman"/>
      <w:lvlText w:val="%3."/>
      <w:lvlJc w:val="right"/>
      <w:pPr>
        <w:ind w:left="2869" w:hanging="180"/>
      </w:pPr>
    </w:lvl>
    <w:lvl w:ilvl="3" w:tplc="FE943234" w:tentative="1">
      <w:start w:val="1"/>
      <w:numFmt w:val="decimal"/>
      <w:lvlText w:val="%4."/>
      <w:lvlJc w:val="left"/>
      <w:pPr>
        <w:ind w:left="3589" w:hanging="360"/>
      </w:pPr>
    </w:lvl>
    <w:lvl w:ilvl="4" w:tplc="71FEAD42" w:tentative="1">
      <w:start w:val="1"/>
      <w:numFmt w:val="lowerLetter"/>
      <w:lvlText w:val="%5."/>
      <w:lvlJc w:val="left"/>
      <w:pPr>
        <w:ind w:left="4309" w:hanging="360"/>
      </w:pPr>
    </w:lvl>
    <w:lvl w:ilvl="5" w:tplc="2C447F96" w:tentative="1">
      <w:start w:val="1"/>
      <w:numFmt w:val="lowerRoman"/>
      <w:lvlText w:val="%6."/>
      <w:lvlJc w:val="right"/>
      <w:pPr>
        <w:ind w:left="5029" w:hanging="180"/>
      </w:pPr>
    </w:lvl>
    <w:lvl w:ilvl="6" w:tplc="41444CFC" w:tentative="1">
      <w:start w:val="1"/>
      <w:numFmt w:val="decimal"/>
      <w:lvlText w:val="%7."/>
      <w:lvlJc w:val="left"/>
      <w:pPr>
        <w:ind w:left="5749" w:hanging="360"/>
      </w:pPr>
    </w:lvl>
    <w:lvl w:ilvl="7" w:tplc="DE16AB48" w:tentative="1">
      <w:start w:val="1"/>
      <w:numFmt w:val="lowerLetter"/>
      <w:lvlText w:val="%8."/>
      <w:lvlJc w:val="left"/>
      <w:pPr>
        <w:ind w:left="6469" w:hanging="360"/>
      </w:pPr>
    </w:lvl>
    <w:lvl w:ilvl="8" w:tplc="910863E0" w:tentative="1">
      <w:start w:val="1"/>
      <w:numFmt w:val="lowerRoman"/>
      <w:lvlText w:val="%9."/>
      <w:lvlJc w:val="right"/>
      <w:pPr>
        <w:ind w:left="7189" w:hanging="180"/>
      </w:pPr>
    </w:lvl>
  </w:abstractNum>
  <w:abstractNum w:abstractNumId="347" w15:restartNumberingAfterBreak="0">
    <w:nsid w:val="31E00DB3"/>
    <w:multiLevelType w:val="hybridMultilevel"/>
    <w:tmpl w:val="798EBD2A"/>
    <w:styleLink w:val="12"/>
    <w:lvl w:ilvl="0" w:tplc="700C094A">
      <w:start w:val="1"/>
      <w:numFmt w:val="decimal"/>
      <w:lvlText w:val="%1."/>
      <w:lvlJc w:val="left"/>
      <w:pPr>
        <w:ind w:left="436" w:hanging="4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128CA7A">
      <w:start w:val="1"/>
      <w:numFmt w:val="decimal"/>
      <w:lvlText w:val="%2."/>
      <w:lvlJc w:val="left"/>
      <w:pPr>
        <w:ind w:left="812" w:hanging="4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D4CB8E2">
      <w:start w:val="1"/>
      <w:numFmt w:val="decimal"/>
      <w:lvlText w:val="%3."/>
      <w:lvlJc w:val="left"/>
      <w:pPr>
        <w:ind w:left="1172" w:hanging="4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E869BF4">
      <w:start w:val="1"/>
      <w:numFmt w:val="decimal"/>
      <w:lvlText w:val="%4."/>
      <w:lvlJc w:val="left"/>
      <w:pPr>
        <w:ind w:left="1532" w:hanging="4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48A8430">
      <w:start w:val="1"/>
      <w:numFmt w:val="decimal"/>
      <w:lvlText w:val="%5."/>
      <w:lvlJc w:val="left"/>
      <w:pPr>
        <w:ind w:left="1892" w:hanging="4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3068494">
      <w:start w:val="1"/>
      <w:numFmt w:val="decimal"/>
      <w:lvlText w:val="%6."/>
      <w:lvlJc w:val="left"/>
      <w:pPr>
        <w:ind w:left="2252" w:hanging="4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C84F99E">
      <w:start w:val="1"/>
      <w:numFmt w:val="decimal"/>
      <w:lvlText w:val="%7."/>
      <w:lvlJc w:val="left"/>
      <w:pPr>
        <w:ind w:left="2612" w:hanging="4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B9A1B2E">
      <w:start w:val="1"/>
      <w:numFmt w:val="decimal"/>
      <w:lvlText w:val="%8."/>
      <w:lvlJc w:val="left"/>
      <w:pPr>
        <w:ind w:left="2972" w:hanging="4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C1A447E">
      <w:start w:val="1"/>
      <w:numFmt w:val="decimal"/>
      <w:lvlText w:val="%9."/>
      <w:lvlJc w:val="left"/>
      <w:pPr>
        <w:ind w:left="3332" w:hanging="45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48" w15:restartNumberingAfterBreak="0">
    <w:nsid w:val="321A444A"/>
    <w:multiLevelType w:val="multilevel"/>
    <w:tmpl w:val="00F65A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49" w15:restartNumberingAfterBreak="0">
    <w:nsid w:val="323015D5"/>
    <w:multiLevelType w:val="hybridMultilevel"/>
    <w:tmpl w:val="DF0666A8"/>
    <w:lvl w:ilvl="0" w:tplc="F95C020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50" w15:restartNumberingAfterBreak="0">
    <w:nsid w:val="324E13E1"/>
    <w:multiLevelType w:val="multilevel"/>
    <w:tmpl w:val="BBFA0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1" w15:restartNumberingAfterBreak="0">
    <w:nsid w:val="327F70A0"/>
    <w:multiLevelType w:val="multilevel"/>
    <w:tmpl w:val="55365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2" w15:restartNumberingAfterBreak="0">
    <w:nsid w:val="32941780"/>
    <w:multiLevelType w:val="hybridMultilevel"/>
    <w:tmpl w:val="9E84B05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3" w15:restartNumberingAfterBreak="0">
    <w:nsid w:val="32977DD8"/>
    <w:multiLevelType w:val="hybridMultilevel"/>
    <w:tmpl w:val="BB52D3F0"/>
    <w:numStyleLink w:val="ImportedStyle1"/>
  </w:abstractNum>
  <w:abstractNum w:abstractNumId="354" w15:restartNumberingAfterBreak="0">
    <w:nsid w:val="329823E2"/>
    <w:multiLevelType w:val="hybridMultilevel"/>
    <w:tmpl w:val="A1F47CD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5" w15:restartNumberingAfterBreak="0">
    <w:nsid w:val="32B473C4"/>
    <w:multiLevelType w:val="hybridMultilevel"/>
    <w:tmpl w:val="3A564FA4"/>
    <w:lvl w:ilvl="0" w:tplc="D632C40A">
      <w:start w:val="1"/>
      <w:numFmt w:val="decimal"/>
      <w:lvlText w:val="%1."/>
      <w:lvlJc w:val="left"/>
      <w:pPr>
        <w:ind w:left="1093" w:hanging="384"/>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56" w15:restartNumberingAfterBreak="0">
    <w:nsid w:val="32CF621B"/>
    <w:multiLevelType w:val="multilevel"/>
    <w:tmpl w:val="FDD693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357" w15:restartNumberingAfterBreak="0">
    <w:nsid w:val="33271E22"/>
    <w:multiLevelType w:val="multilevel"/>
    <w:tmpl w:val="6E563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8" w15:restartNumberingAfterBreak="0">
    <w:nsid w:val="33464807"/>
    <w:multiLevelType w:val="hybridMultilevel"/>
    <w:tmpl w:val="0CB6DD68"/>
    <w:lvl w:ilvl="0" w:tplc="A4165DA0">
      <w:start w:val="1"/>
      <w:numFmt w:val="decimal"/>
      <w:lvlText w:val="%1."/>
      <w:lvlJc w:val="left"/>
      <w:pPr>
        <w:ind w:left="720" w:hanging="360"/>
      </w:pPr>
    </w:lvl>
    <w:lvl w:ilvl="1" w:tplc="1C6E1FDE" w:tentative="1">
      <w:start w:val="1"/>
      <w:numFmt w:val="lowerLetter"/>
      <w:lvlText w:val="%2."/>
      <w:lvlJc w:val="left"/>
      <w:pPr>
        <w:ind w:left="1440" w:hanging="360"/>
      </w:pPr>
    </w:lvl>
    <w:lvl w:ilvl="2" w:tplc="F1585DFA" w:tentative="1">
      <w:start w:val="1"/>
      <w:numFmt w:val="lowerRoman"/>
      <w:lvlText w:val="%3."/>
      <w:lvlJc w:val="right"/>
      <w:pPr>
        <w:ind w:left="2160" w:hanging="180"/>
      </w:pPr>
    </w:lvl>
    <w:lvl w:ilvl="3" w:tplc="DE3C4CB6" w:tentative="1">
      <w:start w:val="1"/>
      <w:numFmt w:val="decimal"/>
      <w:lvlText w:val="%4."/>
      <w:lvlJc w:val="left"/>
      <w:pPr>
        <w:ind w:left="2880" w:hanging="360"/>
      </w:pPr>
    </w:lvl>
    <w:lvl w:ilvl="4" w:tplc="54DE4382" w:tentative="1">
      <w:start w:val="1"/>
      <w:numFmt w:val="lowerLetter"/>
      <w:lvlText w:val="%5."/>
      <w:lvlJc w:val="left"/>
      <w:pPr>
        <w:ind w:left="3600" w:hanging="360"/>
      </w:pPr>
    </w:lvl>
    <w:lvl w:ilvl="5" w:tplc="61A8D92C" w:tentative="1">
      <w:start w:val="1"/>
      <w:numFmt w:val="lowerRoman"/>
      <w:lvlText w:val="%6."/>
      <w:lvlJc w:val="right"/>
      <w:pPr>
        <w:ind w:left="4320" w:hanging="180"/>
      </w:pPr>
    </w:lvl>
    <w:lvl w:ilvl="6" w:tplc="F392DF70" w:tentative="1">
      <w:start w:val="1"/>
      <w:numFmt w:val="decimal"/>
      <w:lvlText w:val="%7."/>
      <w:lvlJc w:val="left"/>
      <w:pPr>
        <w:ind w:left="5040" w:hanging="360"/>
      </w:pPr>
    </w:lvl>
    <w:lvl w:ilvl="7" w:tplc="4E905352" w:tentative="1">
      <w:start w:val="1"/>
      <w:numFmt w:val="lowerLetter"/>
      <w:lvlText w:val="%8."/>
      <w:lvlJc w:val="left"/>
      <w:pPr>
        <w:ind w:left="5760" w:hanging="360"/>
      </w:pPr>
    </w:lvl>
    <w:lvl w:ilvl="8" w:tplc="D5D6F35A" w:tentative="1">
      <w:start w:val="1"/>
      <w:numFmt w:val="lowerRoman"/>
      <w:lvlText w:val="%9."/>
      <w:lvlJc w:val="right"/>
      <w:pPr>
        <w:ind w:left="6480" w:hanging="180"/>
      </w:pPr>
    </w:lvl>
  </w:abstractNum>
  <w:abstractNum w:abstractNumId="359" w15:restartNumberingAfterBreak="0">
    <w:nsid w:val="33592B31"/>
    <w:multiLevelType w:val="hybridMultilevel"/>
    <w:tmpl w:val="8C3E8ADC"/>
    <w:lvl w:ilvl="0" w:tplc="CCD0E5A4">
      <w:start w:val="1"/>
      <w:numFmt w:val="decimal"/>
      <w:lvlText w:val="%1."/>
      <w:lvlJc w:val="left"/>
      <w:pPr>
        <w:ind w:left="1429" w:hanging="360"/>
      </w:pPr>
    </w:lvl>
    <w:lvl w:ilvl="1" w:tplc="50BE0490" w:tentative="1">
      <w:start w:val="1"/>
      <w:numFmt w:val="lowerLetter"/>
      <w:lvlText w:val="%2."/>
      <w:lvlJc w:val="left"/>
      <w:pPr>
        <w:ind w:left="2149" w:hanging="360"/>
      </w:pPr>
    </w:lvl>
    <w:lvl w:ilvl="2" w:tplc="6D5CDE5C" w:tentative="1">
      <w:start w:val="1"/>
      <w:numFmt w:val="lowerRoman"/>
      <w:lvlText w:val="%3."/>
      <w:lvlJc w:val="right"/>
      <w:pPr>
        <w:ind w:left="2869" w:hanging="180"/>
      </w:pPr>
    </w:lvl>
    <w:lvl w:ilvl="3" w:tplc="FE943234" w:tentative="1">
      <w:start w:val="1"/>
      <w:numFmt w:val="decimal"/>
      <w:lvlText w:val="%4."/>
      <w:lvlJc w:val="left"/>
      <w:pPr>
        <w:ind w:left="3589" w:hanging="360"/>
      </w:pPr>
    </w:lvl>
    <w:lvl w:ilvl="4" w:tplc="71FEAD42" w:tentative="1">
      <w:start w:val="1"/>
      <w:numFmt w:val="lowerLetter"/>
      <w:lvlText w:val="%5."/>
      <w:lvlJc w:val="left"/>
      <w:pPr>
        <w:ind w:left="4309" w:hanging="360"/>
      </w:pPr>
    </w:lvl>
    <w:lvl w:ilvl="5" w:tplc="2C447F96" w:tentative="1">
      <w:start w:val="1"/>
      <w:numFmt w:val="lowerRoman"/>
      <w:lvlText w:val="%6."/>
      <w:lvlJc w:val="right"/>
      <w:pPr>
        <w:ind w:left="5029" w:hanging="180"/>
      </w:pPr>
    </w:lvl>
    <w:lvl w:ilvl="6" w:tplc="41444CFC" w:tentative="1">
      <w:start w:val="1"/>
      <w:numFmt w:val="decimal"/>
      <w:lvlText w:val="%7."/>
      <w:lvlJc w:val="left"/>
      <w:pPr>
        <w:ind w:left="5749" w:hanging="360"/>
      </w:pPr>
    </w:lvl>
    <w:lvl w:ilvl="7" w:tplc="DE16AB48" w:tentative="1">
      <w:start w:val="1"/>
      <w:numFmt w:val="lowerLetter"/>
      <w:lvlText w:val="%8."/>
      <w:lvlJc w:val="left"/>
      <w:pPr>
        <w:ind w:left="6469" w:hanging="360"/>
      </w:pPr>
    </w:lvl>
    <w:lvl w:ilvl="8" w:tplc="910863E0" w:tentative="1">
      <w:start w:val="1"/>
      <w:numFmt w:val="lowerRoman"/>
      <w:lvlText w:val="%9."/>
      <w:lvlJc w:val="right"/>
      <w:pPr>
        <w:ind w:left="7189" w:hanging="180"/>
      </w:pPr>
    </w:lvl>
  </w:abstractNum>
  <w:abstractNum w:abstractNumId="360" w15:restartNumberingAfterBreak="0">
    <w:nsid w:val="33A57C7C"/>
    <w:multiLevelType w:val="hybridMultilevel"/>
    <w:tmpl w:val="D3F624DE"/>
    <w:lvl w:ilvl="0" w:tplc="D6B459F6">
      <w:start w:val="1"/>
      <w:numFmt w:val="decimal"/>
      <w:lvlText w:val="%1."/>
      <w:lvlJc w:val="left"/>
      <w:pPr>
        <w:ind w:left="1068"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1" w15:restartNumberingAfterBreak="0">
    <w:nsid w:val="33F31DD6"/>
    <w:multiLevelType w:val="multilevel"/>
    <w:tmpl w:val="AB322B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2" w15:restartNumberingAfterBreak="0">
    <w:nsid w:val="33FD1BE8"/>
    <w:multiLevelType w:val="hybridMultilevel"/>
    <w:tmpl w:val="985811B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63" w15:restartNumberingAfterBreak="0">
    <w:nsid w:val="34126259"/>
    <w:multiLevelType w:val="hybridMultilevel"/>
    <w:tmpl w:val="D87A535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4" w15:restartNumberingAfterBreak="0">
    <w:nsid w:val="341F4EAB"/>
    <w:multiLevelType w:val="hybridMultilevel"/>
    <w:tmpl w:val="A44204AA"/>
    <w:lvl w:ilvl="0" w:tplc="AFBC5F82">
      <w:numFmt w:val="bullet"/>
      <w:lvlText w:val="–"/>
      <w:lvlJc w:val="left"/>
      <w:pPr>
        <w:ind w:left="1117" w:hanging="360"/>
      </w:pPr>
      <w:rPr>
        <w:rFonts w:ascii="Calibri" w:eastAsiaTheme="minorHAnsi" w:hAnsi="Calibri" w:cs="Calibri" w:hint="default"/>
      </w:rPr>
    </w:lvl>
    <w:lvl w:ilvl="1" w:tplc="68B667F8" w:tentative="1">
      <w:start w:val="1"/>
      <w:numFmt w:val="bullet"/>
      <w:lvlText w:val="o"/>
      <w:lvlJc w:val="left"/>
      <w:pPr>
        <w:ind w:left="1837" w:hanging="360"/>
      </w:pPr>
      <w:rPr>
        <w:rFonts w:ascii="Courier New" w:hAnsi="Courier New" w:cs="Courier New" w:hint="default"/>
      </w:rPr>
    </w:lvl>
    <w:lvl w:ilvl="2" w:tplc="2244FA4C" w:tentative="1">
      <w:start w:val="1"/>
      <w:numFmt w:val="bullet"/>
      <w:lvlText w:val=""/>
      <w:lvlJc w:val="left"/>
      <w:pPr>
        <w:ind w:left="2557" w:hanging="360"/>
      </w:pPr>
      <w:rPr>
        <w:rFonts w:ascii="Wingdings" w:hAnsi="Wingdings" w:hint="default"/>
      </w:rPr>
    </w:lvl>
    <w:lvl w:ilvl="3" w:tplc="035AF7FA" w:tentative="1">
      <w:start w:val="1"/>
      <w:numFmt w:val="bullet"/>
      <w:lvlText w:val=""/>
      <w:lvlJc w:val="left"/>
      <w:pPr>
        <w:ind w:left="3277" w:hanging="360"/>
      </w:pPr>
      <w:rPr>
        <w:rFonts w:ascii="Symbol" w:hAnsi="Symbol" w:hint="default"/>
      </w:rPr>
    </w:lvl>
    <w:lvl w:ilvl="4" w:tplc="E500AF46" w:tentative="1">
      <w:start w:val="1"/>
      <w:numFmt w:val="bullet"/>
      <w:lvlText w:val="o"/>
      <w:lvlJc w:val="left"/>
      <w:pPr>
        <w:ind w:left="3997" w:hanging="360"/>
      </w:pPr>
      <w:rPr>
        <w:rFonts w:ascii="Courier New" w:hAnsi="Courier New" w:cs="Courier New" w:hint="default"/>
      </w:rPr>
    </w:lvl>
    <w:lvl w:ilvl="5" w:tplc="94BC684E" w:tentative="1">
      <w:start w:val="1"/>
      <w:numFmt w:val="bullet"/>
      <w:lvlText w:val=""/>
      <w:lvlJc w:val="left"/>
      <w:pPr>
        <w:ind w:left="4717" w:hanging="360"/>
      </w:pPr>
      <w:rPr>
        <w:rFonts w:ascii="Wingdings" w:hAnsi="Wingdings" w:hint="default"/>
      </w:rPr>
    </w:lvl>
    <w:lvl w:ilvl="6" w:tplc="07F8362A" w:tentative="1">
      <w:start w:val="1"/>
      <w:numFmt w:val="bullet"/>
      <w:lvlText w:val=""/>
      <w:lvlJc w:val="left"/>
      <w:pPr>
        <w:ind w:left="5437" w:hanging="360"/>
      </w:pPr>
      <w:rPr>
        <w:rFonts w:ascii="Symbol" w:hAnsi="Symbol" w:hint="default"/>
      </w:rPr>
    </w:lvl>
    <w:lvl w:ilvl="7" w:tplc="6D9C6F2C" w:tentative="1">
      <w:start w:val="1"/>
      <w:numFmt w:val="bullet"/>
      <w:lvlText w:val="o"/>
      <w:lvlJc w:val="left"/>
      <w:pPr>
        <w:ind w:left="6157" w:hanging="360"/>
      </w:pPr>
      <w:rPr>
        <w:rFonts w:ascii="Courier New" w:hAnsi="Courier New" w:cs="Courier New" w:hint="default"/>
      </w:rPr>
    </w:lvl>
    <w:lvl w:ilvl="8" w:tplc="89FE6596" w:tentative="1">
      <w:start w:val="1"/>
      <w:numFmt w:val="bullet"/>
      <w:lvlText w:val=""/>
      <w:lvlJc w:val="left"/>
      <w:pPr>
        <w:ind w:left="6877" w:hanging="360"/>
      </w:pPr>
      <w:rPr>
        <w:rFonts w:ascii="Wingdings" w:hAnsi="Wingdings" w:hint="default"/>
      </w:rPr>
    </w:lvl>
  </w:abstractNum>
  <w:abstractNum w:abstractNumId="365" w15:restartNumberingAfterBreak="0">
    <w:nsid w:val="347B0D5E"/>
    <w:multiLevelType w:val="hybridMultilevel"/>
    <w:tmpl w:val="52DC43C6"/>
    <w:lvl w:ilvl="0" w:tplc="9892C2C4">
      <w:start w:val="1"/>
      <w:numFmt w:val="decimal"/>
      <w:lvlText w:val="%1."/>
      <w:lvlJc w:val="left"/>
      <w:pPr>
        <w:ind w:left="360" w:hanging="360"/>
      </w:pPr>
      <w:rPr>
        <w:rFonts w:ascii="Times New Roman" w:hAnsi="Times New Roman" w:cs="Times New Roman" w:hint="default"/>
        <w:sz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66" w15:restartNumberingAfterBreak="0">
    <w:nsid w:val="34B530D2"/>
    <w:multiLevelType w:val="hybridMultilevel"/>
    <w:tmpl w:val="FBCC8A7C"/>
    <w:lvl w:ilvl="0" w:tplc="C1648E5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67" w15:restartNumberingAfterBreak="0">
    <w:nsid w:val="35250177"/>
    <w:multiLevelType w:val="hybridMultilevel"/>
    <w:tmpl w:val="3642E23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8" w15:restartNumberingAfterBreak="0">
    <w:nsid w:val="35250706"/>
    <w:multiLevelType w:val="hybridMultilevel"/>
    <w:tmpl w:val="405A3E1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9" w15:restartNumberingAfterBreak="0">
    <w:nsid w:val="35803E35"/>
    <w:multiLevelType w:val="hybridMultilevel"/>
    <w:tmpl w:val="737608C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70" w15:restartNumberingAfterBreak="0">
    <w:nsid w:val="358906E4"/>
    <w:multiLevelType w:val="hybridMultilevel"/>
    <w:tmpl w:val="6736DD46"/>
    <w:lvl w:ilvl="0" w:tplc="CF9A0170">
      <w:start w:val="2"/>
      <w:numFmt w:val="bullet"/>
      <w:lvlText w:val="-"/>
      <w:lvlJc w:val="left"/>
      <w:pPr>
        <w:ind w:left="720" w:hanging="360"/>
      </w:pPr>
      <w:rPr>
        <w:rFonts w:ascii="Times New Roman" w:eastAsiaTheme="minorHAnsi"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71" w15:restartNumberingAfterBreak="0">
    <w:nsid w:val="35B11530"/>
    <w:multiLevelType w:val="hybridMultilevel"/>
    <w:tmpl w:val="7BB8C590"/>
    <w:lvl w:ilvl="0" w:tplc="B65A11F0">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72" w15:restartNumberingAfterBreak="0">
    <w:nsid w:val="35D85F1D"/>
    <w:multiLevelType w:val="multilevel"/>
    <w:tmpl w:val="FFFFFFFF"/>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3" w15:restartNumberingAfterBreak="0">
    <w:nsid w:val="35E83F06"/>
    <w:multiLevelType w:val="hybridMultilevel"/>
    <w:tmpl w:val="2ADC8384"/>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74" w15:restartNumberingAfterBreak="0">
    <w:nsid w:val="36022C87"/>
    <w:multiLevelType w:val="multilevel"/>
    <w:tmpl w:val="07C806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5" w15:restartNumberingAfterBreak="0">
    <w:nsid w:val="360763CD"/>
    <w:multiLevelType w:val="hybridMultilevel"/>
    <w:tmpl w:val="3B4A0C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6" w15:restartNumberingAfterBreak="0">
    <w:nsid w:val="363C5C33"/>
    <w:multiLevelType w:val="hybridMultilevel"/>
    <w:tmpl w:val="CCCE7594"/>
    <w:lvl w:ilvl="0" w:tplc="4242681C">
      <w:start w:val="1"/>
      <w:numFmt w:val="decimal"/>
      <w:lvlText w:val="%1."/>
      <w:lvlJc w:val="left"/>
      <w:pPr>
        <w:ind w:left="1069" w:hanging="360"/>
      </w:pPr>
      <w:rPr>
        <w:rFonts w:hint="default"/>
        <w:b w:val="0"/>
        <w:i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77" w15:restartNumberingAfterBreak="0">
    <w:nsid w:val="363F59E6"/>
    <w:multiLevelType w:val="hybridMultilevel"/>
    <w:tmpl w:val="2F7E5EC4"/>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8" w15:restartNumberingAfterBreak="0">
    <w:nsid w:val="36657B0F"/>
    <w:multiLevelType w:val="hybridMultilevel"/>
    <w:tmpl w:val="74D6D11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9" w15:restartNumberingAfterBreak="0">
    <w:nsid w:val="36900266"/>
    <w:multiLevelType w:val="hybridMultilevel"/>
    <w:tmpl w:val="E208FB04"/>
    <w:lvl w:ilvl="0" w:tplc="2000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80" w15:restartNumberingAfterBreak="0">
    <w:nsid w:val="36BE5320"/>
    <w:multiLevelType w:val="hybridMultilevel"/>
    <w:tmpl w:val="FAA8B2FE"/>
    <w:lvl w:ilvl="0" w:tplc="8DB627B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81" w15:restartNumberingAfterBreak="0">
    <w:nsid w:val="37016D49"/>
    <w:multiLevelType w:val="hybridMultilevel"/>
    <w:tmpl w:val="EF0E98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2" w15:restartNumberingAfterBreak="0">
    <w:nsid w:val="37197B70"/>
    <w:multiLevelType w:val="hybridMultilevel"/>
    <w:tmpl w:val="068A3F9C"/>
    <w:lvl w:ilvl="0" w:tplc="AFF6F574">
      <w:start w:val="1"/>
      <w:numFmt w:val="decimal"/>
      <w:lvlText w:val="%1."/>
      <w:lvlJc w:val="left"/>
      <w:pPr>
        <w:ind w:left="1201" w:hanging="420"/>
      </w:pPr>
      <w:rPr>
        <w:rFonts w:hint="default"/>
      </w:rPr>
    </w:lvl>
    <w:lvl w:ilvl="1" w:tplc="20000019" w:tentative="1">
      <w:start w:val="1"/>
      <w:numFmt w:val="lowerLetter"/>
      <w:lvlText w:val="%2."/>
      <w:lvlJc w:val="left"/>
      <w:pPr>
        <w:ind w:left="1861" w:hanging="360"/>
      </w:pPr>
    </w:lvl>
    <w:lvl w:ilvl="2" w:tplc="2000001B" w:tentative="1">
      <w:start w:val="1"/>
      <w:numFmt w:val="lowerRoman"/>
      <w:lvlText w:val="%3."/>
      <w:lvlJc w:val="right"/>
      <w:pPr>
        <w:ind w:left="2581" w:hanging="180"/>
      </w:pPr>
    </w:lvl>
    <w:lvl w:ilvl="3" w:tplc="2000000F" w:tentative="1">
      <w:start w:val="1"/>
      <w:numFmt w:val="decimal"/>
      <w:lvlText w:val="%4."/>
      <w:lvlJc w:val="left"/>
      <w:pPr>
        <w:ind w:left="3301" w:hanging="360"/>
      </w:pPr>
    </w:lvl>
    <w:lvl w:ilvl="4" w:tplc="20000019" w:tentative="1">
      <w:start w:val="1"/>
      <w:numFmt w:val="lowerLetter"/>
      <w:lvlText w:val="%5."/>
      <w:lvlJc w:val="left"/>
      <w:pPr>
        <w:ind w:left="4021" w:hanging="360"/>
      </w:pPr>
    </w:lvl>
    <w:lvl w:ilvl="5" w:tplc="2000001B" w:tentative="1">
      <w:start w:val="1"/>
      <w:numFmt w:val="lowerRoman"/>
      <w:lvlText w:val="%6."/>
      <w:lvlJc w:val="right"/>
      <w:pPr>
        <w:ind w:left="4741" w:hanging="180"/>
      </w:pPr>
    </w:lvl>
    <w:lvl w:ilvl="6" w:tplc="2000000F" w:tentative="1">
      <w:start w:val="1"/>
      <w:numFmt w:val="decimal"/>
      <w:lvlText w:val="%7."/>
      <w:lvlJc w:val="left"/>
      <w:pPr>
        <w:ind w:left="5461" w:hanging="360"/>
      </w:pPr>
    </w:lvl>
    <w:lvl w:ilvl="7" w:tplc="20000019" w:tentative="1">
      <w:start w:val="1"/>
      <w:numFmt w:val="lowerLetter"/>
      <w:lvlText w:val="%8."/>
      <w:lvlJc w:val="left"/>
      <w:pPr>
        <w:ind w:left="6181" w:hanging="360"/>
      </w:pPr>
    </w:lvl>
    <w:lvl w:ilvl="8" w:tplc="2000001B" w:tentative="1">
      <w:start w:val="1"/>
      <w:numFmt w:val="lowerRoman"/>
      <w:lvlText w:val="%9."/>
      <w:lvlJc w:val="right"/>
      <w:pPr>
        <w:ind w:left="6901" w:hanging="180"/>
      </w:pPr>
    </w:lvl>
  </w:abstractNum>
  <w:abstractNum w:abstractNumId="383" w15:restartNumberingAfterBreak="0">
    <w:nsid w:val="373B1C33"/>
    <w:multiLevelType w:val="multilevel"/>
    <w:tmpl w:val="F61895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4" w15:restartNumberingAfterBreak="0">
    <w:nsid w:val="37417588"/>
    <w:multiLevelType w:val="hybridMultilevel"/>
    <w:tmpl w:val="56CAF4AE"/>
    <w:lvl w:ilvl="0" w:tplc="6E900DF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85" w15:restartNumberingAfterBreak="0">
    <w:nsid w:val="37894D4D"/>
    <w:multiLevelType w:val="multilevel"/>
    <w:tmpl w:val="AB8CA6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6" w15:restartNumberingAfterBreak="0">
    <w:nsid w:val="3790451C"/>
    <w:multiLevelType w:val="hybridMultilevel"/>
    <w:tmpl w:val="5E32015A"/>
    <w:lvl w:ilvl="0" w:tplc="723CDDAA">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7" w15:restartNumberingAfterBreak="0">
    <w:nsid w:val="379E6B67"/>
    <w:multiLevelType w:val="hybridMultilevel"/>
    <w:tmpl w:val="3A8C5BD0"/>
    <w:lvl w:ilvl="0" w:tplc="F58A4626">
      <w:start w:val="1"/>
      <w:numFmt w:val="decimal"/>
      <w:lvlText w:val="%1."/>
      <w:lvlJc w:val="left"/>
      <w:pPr>
        <w:ind w:left="720" w:hanging="360"/>
      </w:pPr>
      <w:rPr>
        <w:rFonts w:hint="default"/>
      </w:r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388" w15:restartNumberingAfterBreak="0">
    <w:nsid w:val="37E92F7F"/>
    <w:multiLevelType w:val="hybridMultilevel"/>
    <w:tmpl w:val="5AFE52F8"/>
    <w:lvl w:ilvl="0" w:tplc="68B09C96">
      <w:start w:val="1"/>
      <w:numFmt w:val="decimal"/>
      <w:lvlText w:val="%1."/>
      <w:lvlJc w:val="left"/>
      <w:pPr>
        <w:ind w:left="786" w:hanging="360"/>
      </w:pPr>
      <w:rPr>
        <w:rFonts w:cs="Times New Roman"/>
        <w:b w:val="0"/>
      </w:rPr>
    </w:lvl>
    <w:lvl w:ilvl="1" w:tplc="04190019">
      <w:start w:val="1"/>
      <w:numFmt w:val="lowerLetter"/>
      <w:lvlText w:val="%2."/>
      <w:lvlJc w:val="left"/>
      <w:pPr>
        <w:ind w:left="1506" w:hanging="360"/>
      </w:pPr>
      <w:rPr>
        <w:rFonts w:cs="Times New Roman"/>
      </w:rPr>
    </w:lvl>
    <w:lvl w:ilvl="2" w:tplc="0419001B">
      <w:start w:val="1"/>
      <w:numFmt w:val="lowerRoman"/>
      <w:lvlText w:val="%3."/>
      <w:lvlJc w:val="right"/>
      <w:pPr>
        <w:ind w:left="2226" w:hanging="180"/>
      </w:pPr>
      <w:rPr>
        <w:rFonts w:cs="Times New Roman"/>
      </w:rPr>
    </w:lvl>
    <w:lvl w:ilvl="3" w:tplc="0419000F">
      <w:start w:val="1"/>
      <w:numFmt w:val="decimal"/>
      <w:lvlText w:val="%4."/>
      <w:lvlJc w:val="left"/>
      <w:pPr>
        <w:ind w:left="2946" w:hanging="360"/>
      </w:pPr>
      <w:rPr>
        <w:rFonts w:cs="Times New Roman"/>
      </w:rPr>
    </w:lvl>
    <w:lvl w:ilvl="4" w:tplc="04190019">
      <w:start w:val="1"/>
      <w:numFmt w:val="lowerLetter"/>
      <w:lvlText w:val="%5."/>
      <w:lvlJc w:val="left"/>
      <w:pPr>
        <w:ind w:left="3666" w:hanging="360"/>
      </w:pPr>
      <w:rPr>
        <w:rFonts w:cs="Times New Roman"/>
      </w:rPr>
    </w:lvl>
    <w:lvl w:ilvl="5" w:tplc="0419001B">
      <w:start w:val="1"/>
      <w:numFmt w:val="lowerRoman"/>
      <w:lvlText w:val="%6."/>
      <w:lvlJc w:val="right"/>
      <w:pPr>
        <w:ind w:left="4386" w:hanging="180"/>
      </w:pPr>
      <w:rPr>
        <w:rFonts w:cs="Times New Roman"/>
      </w:rPr>
    </w:lvl>
    <w:lvl w:ilvl="6" w:tplc="0419000F">
      <w:start w:val="1"/>
      <w:numFmt w:val="decimal"/>
      <w:lvlText w:val="%7."/>
      <w:lvlJc w:val="left"/>
      <w:pPr>
        <w:ind w:left="5106" w:hanging="360"/>
      </w:pPr>
      <w:rPr>
        <w:rFonts w:cs="Times New Roman"/>
      </w:rPr>
    </w:lvl>
    <w:lvl w:ilvl="7" w:tplc="04190019">
      <w:start w:val="1"/>
      <w:numFmt w:val="lowerLetter"/>
      <w:lvlText w:val="%8."/>
      <w:lvlJc w:val="left"/>
      <w:pPr>
        <w:ind w:left="5826" w:hanging="360"/>
      </w:pPr>
      <w:rPr>
        <w:rFonts w:cs="Times New Roman"/>
      </w:rPr>
    </w:lvl>
    <w:lvl w:ilvl="8" w:tplc="0419001B">
      <w:start w:val="1"/>
      <w:numFmt w:val="lowerRoman"/>
      <w:lvlText w:val="%9."/>
      <w:lvlJc w:val="right"/>
      <w:pPr>
        <w:ind w:left="6546" w:hanging="180"/>
      </w:pPr>
      <w:rPr>
        <w:rFonts w:cs="Times New Roman"/>
      </w:rPr>
    </w:lvl>
  </w:abstractNum>
  <w:abstractNum w:abstractNumId="389" w15:restartNumberingAfterBreak="0">
    <w:nsid w:val="382A5235"/>
    <w:multiLevelType w:val="multilevel"/>
    <w:tmpl w:val="FD1E0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0" w15:restartNumberingAfterBreak="0">
    <w:nsid w:val="382F3312"/>
    <w:multiLevelType w:val="multilevel"/>
    <w:tmpl w:val="07DE2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1" w15:restartNumberingAfterBreak="0">
    <w:nsid w:val="383349F7"/>
    <w:multiLevelType w:val="hybridMultilevel"/>
    <w:tmpl w:val="A05A06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2" w15:restartNumberingAfterBreak="0">
    <w:nsid w:val="38A67FA8"/>
    <w:multiLevelType w:val="hybridMultilevel"/>
    <w:tmpl w:val="0DFCDDAA"/>
    <w:lvl w:ilvl="0" w:tplc="50C6283C">
      <w:start w:val="1"/>
      <w:numFmt w:val="decimal"/>
      <w:lvlText w:val="%1."/>
      <w:lvlJc w:val="left"/>
      <w:pPr>
        <w:ind w:left="1060" w:hanging="360"/>
      </w:pPr>
      <w:rPr>
        <w:rFonts w:hint="default"/>
        <w:color w:val="000000"/>
      </w:rPr>
    </w:lvl>
    <w:lvl w:ilvl="1" w:tplc="04220019" w:tentative="1">
      <w:start w:val="1"/>
      <w:numFmt w:val="lowerLetter"/>
      <w:lvlText w:val="%2."/>
      <w:lvlJc w:val="left"/>
      <w:pPr>
        <w:ind w:left="1780" w:hanging="360"/>
      </w:pPr>
    </w:lvl>
    <w:lvl w:ilvl="2" w:tplc="0422001B" w:tentative="1">
      <w:start w:val="1"/>
      <w:numFmt w:val="lowerRoman"/>
      <w:lvlText w:val="%3."/>
      <w:lvlJc w:val="right"/>
      <w:pPr>
        <w:ind w:left="2500" w:hanging="180"/>
      </w:pPr>
    </w:lvl>
    <w:lvl w:ilvl="3" w:tplc="0422000F" w:tentative="1">
      <w:start w:val="1"/>
      <w:numFmt w:val="decimal"/>
      <w:lvlText w:val="%4."/>
      <w:lvlJc w:val="left"/>
      <w:pPr>
        <w:ind w:left="3220" w:hanging="360"/>
      </w:pPr>
    </w:lvl>
    <w:lvl w:ilvl="4" w:tplc="04220019" w:tentative="1">
      <w:start w:val="1"/>
      <w:numFmt w:val="lowerLetter"/>
      <w:lvlText w:val="%5."/>
      <w:lvlJc w:val="left"/>
      <w:pPr>
        <w:ind w:left="3940" w:hanging="360"/>
      </w:pPr>
    </w:lvl>
    <w:lvl w:ilvl="5" w:tplc="0422001B" w:tentative="1">
      <w:start w:val="1"/>
      <w:numFmt w:val="lowerRoman"/>
      <w:lvlText w:val="%6."/>
      <w:lvlJc w:val="right"/>
      <w:pPr>
        <w:ind w:left="4660" w:hanging="180"/>
      </w:pPr>
    </w:lvl>
    <w:lvl w:ilvl="6" w:tplc="0422000F" w:tentative="1">
      <w:start w:val="1"/>
      <w:numFmt w:val="decimal"/>
      <w:lvlText w:val="%7."/>
      <w:lvlJc w:val="left"/>
      <w:pPr>
        <w:ind w:left="5380" w:hanging="360"/>
      </w:pPr>
    </w:lvl>
    <w:lvl w:ilvl="7" w:tplc="04220019" w:tentative="1">
      <w:start w:val="1"/>
      <w:numFmt w:val="lowerLetter"/>
      <w:lvlText w:val="%8."/>
      <w:lvlJc w:val="left"/>
      <w:pPr>
        <w:ind w:left="6100" w:hanging="360"/>
      </w:pPr>
    </w:lvl>
    <w:lvl w:ilvl="8" w:tplc="0422001B" w:tentative="1">
      <w:start w:val="1"/>
      <w:numFmt w:val="lowerRoman"/>
      <w:lvlText w:val="%9."/>
      <w:lvlJc w:val="right"/>
      <w:pPr>
        <w:ind w:left="6820" w:hanging="180"/>
      </w:pPr>
    </w:lvl>
  </w:abstractNum>
  <w:abstractNum w:abstractNumId="393" w15:restartNumberingAfterBreak="0">
    <w:nsid w:val="38EA22F6"/>
    <w:multiLevelType w:val="hybridMultilevel"/>
    <w:tmpl w:val="CD64098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4" w15:restartNumberingAfterBreak="0">
    <w:nsid w:val="38EB4FF0"/>
    <w:multiLevelType w:val="multilevel"/>
    <w:tmpl w:val="E9C6D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5" w15:restartNumberingAfterBreak="0">
    <w:nsid w:val="39332042"/>
    <w:multiLevelType w:val="hybridMultilevel"/>
    <w:tmpl w:val="6C36C2DC"/>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6" w15:restartNumberingAfterBreak="0">
    <w:nsid w:val="396352D5"/>
    <w:multiLevelType w:val="multilevel"/>
    <w:tmpl w:val="3DA66B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7" w15:restartNumberingAfterBreak="0">
    <w:nsid w:val="398305E6"/>
    <w:multiLevelType w:val="multilevel"/>
    <w:tmpl w:val="12384D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8" w15:restartNumberingAfterBreak="0">
    <w:nsid w:val="39972280"/>
    <w:multiLevelType w:val="multilevel"/>
    <w:tmpl w:val="A5FC66AE"/>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99" w15:restartNumberingAfterBreak="0">
    <w:nsid w:val="39B62880"/>
    <w:multiLevelType w:val="hybridMultilevel"/>
    <w:tmpl w:val="D9540C7C"/>
    <w:lvl w:ilvl="0" w:tplc="0422000F">
      <w:start w:val="1"/>
      <w:numFmt w:val="decimal"/>
      <w:lvlText w:val="%1."/>
      <w:lvlJc w:val="left"/>
      <w:pPr>
        <w:ind w:left="1069" w:hanging="360"/>
      </w:pPr>
      <w:rPr>
        <w:rFonts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00" w15:restartNumberingAfterBreak="0">
    <w:nsid w:val="39C911F7"/>
    <w:multiLevelType w:val="multilevel"/>
    <w:tmpl w:val="AF665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1" w15:restartNumberingAfterBreak="0">
    <w:nsid w:val="39DB58E7"/>
    <w:multiLevelType w:val="hybridMultilevel"/>
    <w:tmpl w:val="59CC3C90"/>
    <w:lvl w:ilvl="0" w:tplc="C46E3EEE">
      <w:start w:val="1"/>
      <w:numFmt w:val="decimal"/>
      <w:lvlText w:val="%1."/>
      <w:lvlJc w:val="left"/>
      <w:pPr>
        <w:ind w:left="927" w:hanging="360"/>
      </w:pPr>
      <w:rPr>
        <w:rFonts w:ascii="Times New Roman" w:eastAsiaTheme="minorHAnsi" w:hAnsi="Times New Roman" w:cstheme="minorBidi"/>
        <w:b w:val="0"/>
        <w:bCs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402" w15:restartNumberingAfterBreak="0">
    <w:nsid w:val="39E24EA2"/>
    <w:multiLevelType w:val="hybridMultilevel"/>
    <w:tmpl w:val="E74E3CBA"/>
    <w:styleLink w:val="a1"/>
    <w:lvl w:ilvl="0" w:tplc="508688F6">
      <w:start w:val="1"/>
      <w:numFmt w:val="bullet"/>
      <w:lvlText w:val="-"/>
      <w:lvlJc w:val="left"/>
      <w:pPr>
        <w:tabs>
          <w:tab w:val="num" w:pos="930"/>
        </w:tabs>
        <w:ind w:left="221" w:firstLine="488"/>
      </w:pPr>
      <w:rPr>
        <w:rFonts w:hAnsi="Arial Unicode MS"/>
        <w:caps w:val="0"/>
        <w:smallCaps w:val="0"/>
        <w:strike w:val="0"/>
        <w:dstrike w:val="0"/>
        <w:outline w:val="0"/>
        <w:emboss w:val="0"/>
        <w:imprint w:val="0"/>
        <w:spacing w:val="0"/>
        <w:w w:val="100"/>
        <w:kern w:val="0"/>
        <w:position w:val="0"/>
        <w:highlight w:val="none"/>
        <w:vertAlign w:val="baseline"/>
      </w:rPr>
    </w:lvl>
    <w:lvl w:ilvl="1" w:tplc="04190019">
      <w:start w:val="1"/>
      <w:numFmt w:val="bullet"/>
      <w:lvlText w:val="-"/>
      <w:lvlJc w:val="left"/>
      <w:pPr>
        <w:tabs>
          <w:tab w:val="num" w:pos="1530"/>
        </w:tabs>
        <w:ind w:left="821" w:firstLine="488"/>
      </w:pPr>
      <w:rPr>
        <w:rFonts w:hAnsi="Arial Unicode MS"/>
        <w:caps w:val="0"/>
        <w:smallCaps w:val="0"/>
        <w:strike w:val="0"/>
        <w:dstrike w:val="0"/>
        <w:outline w:val="0"/>
        <w:emboss w:val="0"/>
        <w:imprint w:val="0"/>
        <w:spacing w:val="0"/>
        <w:w w:val="100"/>
        <w:kern w:val="0"/>
        <w:position w:val="0"/>
        <w:highlight w:val="none"/>
        <w:vertAlign w:val="baseline"/>
      </w:rPr>
    </w:lvl>
    <w:lvl w:ilvl="2" w:tplc="0419001B">
      <w:start w:val="1"/>
      <w:numFmt w:val="bullet"/>
      <w:lvlText w:val="-"/>
      <w:lvlJc w:val="left"/>
      <w:pPr>
        <w:tabs>
          <w:tab w:val="num" w:pos="2130"/>
        </w:tabs>
        <w:ind w:left="1421" w:firstLine="488"/>
      </w:pPr>
      <w:rPr>
        <w:rFonts w:hAnsi="Arial Unicode MS"/>
        <w:caps w:val="0"/>
        <w:smallCaps w:val="0"/>
        <w:strike w:val="0"/>
        <w:dstrike w:val="0"/>
        <w:outline w:val="0"/>
        <w:emboss w:val="0"/>
        <w:imprint w:val="0"/>
        <w:spacing w:val="0"/>
        <w:w w:val="100"/>
        <w:kern w:val="0"/>
        <w:position w:val="0"/>
        <w:highlight w:val="none"/>
        <w:vertAlign w:val="baseline"/>
      </w:rPr>
    </w:lvl>
    <w:lvl w:ilvl="3" w:tplc="0419000F">
      <w:start w:val="1"/>
      <w:numFmt w:val="bullet"/>
      <w:lvlText w:val="-"/>
      <w:lvlJc w:val="left"/>
      <w:pPr>
        <w:tabs>
          <w:tab w:val="num" w:pos="2730"/>
        </w:tabs>
        <w:ind w:left="2021" w:firstLine="488"/>
      </w:pPr>
      <w:rPr>
        <w:rFonts w:hAnsi="Arial Unicode MS"/>
        <w:caps w:val="0"/>
        <w:smallCaps w:val="0"/>
        <w:strike w:val="0"/>
        <w:dstrike w:val="0"/>
        <w:outline w:val="0"/>
        <w:emboss w:val="0"/>
        <w:imprint w:val="0"/>
        <w:spacing w:val="0"/>
        <w:w w:val="100"/>
        <w:kern w:val="0"/>
        <w:position w:val="0"/>
        <w:highlight w:val="none"/>
        <w:vertAlign w:val="baseline"/>
      </w:rPr>
    </w:lvl>
    <w:lvl w:ilvl="4" w:tplc="04190019">
      <w:start w:val="1"/>
      <w:numFmt w:val="bullet"/>
      <w:lvlText w:val="-"/>
      <w:lvlJc w:val="left"/>
      <w:pPr>
        <w:tabs>
          <w:tab w:val="num" w:pos="3330"/>
        </w:tabs>
        <w:ind w:left="2621" w:firstLine="488"/>
      </w:pPr>
      <w:rPr>
        <w:rFonts w:hAnsi="Arial Unicode MS"/>
        <w:caps w:val="0"/>
        <w:smallCaps w:val="0"/>
        <w:strike w:val="0"/>
        <w:dstrike w:val="0"/>
        <w:outline w:val="0"/>
        <w:emboss w:val="0"/>
        <w:imprint w:val="0"/>
        <w:spacing w:val="0"/>
        <w:w w:val="100"/>
        <w:kern w:val="0"/>
        <w:position w:val="0"/>
        <w:highlight w:val="none"/>
        <w:vertAlign w:val="baseline"/>
      </w:rPr>
    </w:lvl>
    <w:lvl w:ilvl="5" w:tplc="0419001B">
      <w:start w:val="1"/>
      <w:numFmt w:val="bullet"/>
      <w:lvlText w:val="-"/>
      <w:lvlJc w:val="left"/>
      <w:pPr>
        <w:tabs>
          <w:tab w:val="num" w:pos="3930"/>
        </w:tabs>
        <w:ind w:left="3221" w:firstLine="488"/>
      </w:pPr>
      <w:rPr>
        <w:rFonts w:hAnsi="Arial Unicode MS"/>
        <w:caps w:val="0"/>
        <w:smallCaps w:val="0"/>
        <w:strike w:val="0"/>
        <w:dstrike w:val="0"/>
        <w:outline w:val="0"/>
        <w:emboss w:val="0"/>
        <w:imprint w:val="0"/>
        <w:spacing w:val="0"/>
        <w:w w:val="100"/>
        <w:kern w:val="0"/>
        <w:position w:val="0"/>
        <w:highlight w:val="none"/>
        <w:vertAlign w:val="baseline"/>
      </w:rPr>
    </w:lvl>
    <w:lvl w:ilvl="6" w:tplc="0419000F">
      <w:start w:val="1"/>
      <w:numFmt w:val="bullet"/>
      <w:lvlText w:val="-"/>
      <w:lvlJc w:val="left"/>
      <w:pPr>
        <w:tabs>
          <w:tab w:val="num" w:pos="4530"/>
        </w:tabs>
        <w:ind w:left="3821" w:firstLine="488"/>
      </w:pPr>
      <w:rPr>
        <w:rFonts w:hAnsi="Arial Unicode MS"/>
        <w:caps w:val="0"/>
        <w:smallCaps w:val="0"/>
        <w:strike w:val="0"/>
        <w:dstrike w:val="0"/>
        <w:outline w:val="0"/>
        <w:emboss w:val="0"/>
        <w:imprint w:val="0"/>
        <w:spacing w:val="0"/>
        <w:w w:val="100"/>
        <w:kern w:val="0"/>
        <w:position w:val="0"/>
        <w:highlight w:val="none"/>
        <w:vertAlign w:val="baseline"/>
      </w:rPr>
    </w:lvl>
    <w:lvl w:ilvl="7" w:tplc="04190019">
      <w:start w:val="1"/>
      <w:numFmt w:val="bullet"/>
      <w:lvlText w:val="-"/>
      <w:lvlJc w:val="left"/>
      <w:pPr>
        <w:tabs>
          <w:tab w:val="num" w:pos="5130"/>
        </w:tabs>
        <w:ind w:left="4421" w:firstLine="488"/>
      </w:pPr>
      <w:rPr>
        <w:rFonts w:hAnsi="Arial Unicode MS"/>
        <w:caps w:val="0"/>
        <w:smallCaps w:val="0"/>
        <w:strike w:val="0"/>
        <w:dstrike w:val="0"/>
        <w:outline w:val="0"/>
        <w:emboss w:val="0"/>
        <w:imprint w:val="0"/>
        <w:spacing w:val="0"/>
        <w:w w:val="100"/>
        <w:kern w:val="0"/>
        <w:position w:val="0"/>
        <w:highlight w:val="none"/>
        <w:vertAlign w:val="baseline"/>
      </w:rPr>
    </w:lvl>
    <w:lvl w:ilvl="8" w:tplc="0419001B">
      <w:start w:val="1"/>
      <w:numFmt w:val="bullet"/>
      <w:lvlText w:val="-"/>
      <w:lvlJc w:val="left"/>
      <w:pPr>
        <w:tabs>
          <w:tab w:val="num" w:pos="5730"/>
        </w:tabs>
        <w:ind w:left="5021" w:firstLine="48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03" w15:restartNumberingAfterBreak="0">
    <w:nsid w:val="3A83035A"/>
    <w:multiLevelType w:val="hybridMultilevel"/>
    <w:tmpl w:val="5FA238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4" w15:restartNumberingAfterBreak="0">
    <w:nsid w:val="3AF17394"/>
    <w:multiLevelType w:val="hybridMultilevel"/>
    <w:tmpl w:val="8DEAB520"/>
    <w:lvl w:ilvl="0" w:tplc="119E28B6">
      <w:start w:val="1"/>
      <w:numFmt w:val="decimal"/>
      <w:lvlText w:val="%1."/>
      <w:lvlJc w:val="left"/>
      <w:pPr>
        <w:ind w:left="720" w:hanging="360"/>
      </w:pPr>
    </w:lvl>
    <w:lvl w:ilvl="1" w:tplc="34EEDA3C" w:tentative="1">
      <w:start w:val="1"/>
      <w:numFmt w:val="lowerLetter"/>
      <w:lvlText w:val="%2."/>
      <w:lvlJc w:val="left"/>
      <w:pPr>
        <w:ind w:left="1440" w:hanging="360"/>
      </w:pPr>
    </w:lvl>
    <w:lvl w:ilvl="2" w:tplc="C93446A8" w:tentative="1">
      <w:start w:val="1"/>
      <w:numFmt w:val="lowerRoman"/>
      <w:lvlText w:val="%3."/>
      <w:lvlJc w:val="right"/>
      <w:pPr>
        <w:ind w:left="2160" w:hanging="180"/>
      </w:pPr>
    </w:lvl>
    <w:lvl w:ilvl="3" w:tplc="F9F01F76" w:tentative="1">
      <w:start w:val="1"/>
      <w:numFmt w:val="decimal"/>
      <w:lvlText w:val="%4."/>
      <w:lvlJc w:val="left"/>
      <w:pPr>
        <w:ind w:left="2880" w:hanging="360"/>
      </w:pPr>
    </w:lvl>
    <w:lvl w:ilvl="4" w:tplc="520CF450" w:tentative="1">
      <w:start w:val="1"/>
      <w:numFmt w:val="lowerLetter"/>
      <w:lvlText w:val="%5."/>
      <w:lvlJc w:val="left"/>
      <w:pPr>
        <w:ind w:left="3600" w:hanging="360"/>
      </w:pPr>
    </w:lvl>
    <w:lvl w:ilvl="5" w:tplc="5DD6698A" w:tentative="1">
      <w:start w:val="1"/>
      <w:numFmt w:val="lowerRoman"/>
      <w:lvlText w:val="%6."/>
      <w:lvlJc w:val="right"/>
      <w:pPr>
        <w:ind w:left="4320" w:hanging="180"/>
      </w:pPr>
    </w:lvl>
    <w:lvl w:ilvl="6" w:tplc="4F189A18" w:tentative="1">
      <w:start w:val="1"/>
      <w:numFmt w:val="decimal"/>
      <w:lvlText w:val="%7."/>
      <w:lvlJc w:val="left"/>
      <w:pPr>
        <w:ind w:left="5040" w:hanging="360"/>
      </w:pPr>
    </w:lvl>
    <w:lvl w:ilvl="7" w:tplc="27BE1DA4" w:tentative="1">
      <w:start w:val="1"/>
      <w:numFmt w:val="lowerLetter"/>
      <w:lvlText w:val="%8."/>
      <w:lvlJc w:val="left"/>
      <w:pPr>
        <w:ind w:left="5760" w:hanging="360"/>
      </w:pPr>
    </w:lvl>
    <w:lvl w:ilvl="8" w:tplc="88E42FDE" w:tentative="1">
      <w:start w:val="1"/>
      <w:numFmt w:val="lowerRoman"/>
      <w:lvlText w:val="%9."/>
      <w:lvlJc w:val="right"/>
      <w:pPr>
        <w:ind w:left="6480" w:hanging="180"/>
      </w:pPr>
    </w:lvl>
  </w:abstractNum>
  <w:abstractNum w:abstractNumId="405" w15:restartNumberingAfterBreak="0">
    <w:nsid w:val="3B1435F9"/>
    <w:multiLevelType w:val="hybridMultilevel"/>
    <w:tmpl w:val="3A5A04FC"/>
    <w:lvl w:ilvl="0" w:tplc="FFFFFFFF">
      <w:start w:val="1"/>
      <w:numFmt w:val="decimal"/>
      <w:lvlText w:val="%1."/>
      <w:lvlJc w:val="left"/>
      <w:pPr>
        <w:ind w:left="1137" w:hanging="360"/>
      </w:pPr>
    </w:lvl>
    <w:lvl w:ilvl="1" w:tplc="04220019">
      <w:start w:val="1"/>
      <w:numFmt w:val="lowerLetter"/>
      <w:lvlText w:val="%2."/>
      <w:lvlJc w:val="left"/>
      <w:pPr>
        <w:ind w:left="1857" w:hanging="360"/>
      </w:pPr>
    </w:lvl>
    <w:lvl w:ilvl="2" w:tplc="0422001B">
      <w:start w:val="1"/>
      <w:numFmt w:val="lowerRoman"/>
      <w:lvlText w:val="%3."/>
      <w:lvlJc w:val="right"/>
      <w:pPr>
        <w:ind w:left="2577" w:hanging="180"/>
      </w:pPr>
    </w:lvl>
    <w:lvl w:ilvl="3" w:tplc="0422000F">
      <w:start w:val="1"/>
      <w:numFmt w:val="decimal"/>
      <w:lvlText w:val="%4."/>
      <w:lvlJc w:val="left"/>
      <w:pPr>
        <w:ind w:left="3297" w:hanging="360"/>
      </w:pPr>
    </w:lvl>
    <w:lvl w:ilvl="4" w:tplc="04220019">
      <w:start w:val="1"/>
      <w:numFmt w:val="lowerLetter"/>
      <w:lvlText w:val="%5."/>
      <w:lvlJc w:val="left"/>
      <w:pPr>
        <w:ind w:left="4017" w:hanging="360"/>
      </w:pPr>
    </w:lvl>
    <w:lvl w:ilvl="5" w:tplc="0422001B">
      <w:start w:val="1"/>
      <w:numFmt w:val="lowerRoman"/>
      <w:lvlText w:val="%6."/>
      <w:lvlJc w:val="right"/>
      <w:pPr>
        <w:ind w:left="4737" w:hanging="180"/>
      </w:pPr>
    </w:lvl>
    <w:lvl w:ilvl="6" w:tplc="0422000F">
      <w:start w:val="1"/>
      <w:numFmt w:val="decimal"/>
      <w:lvlText w:val="%7."/>
      <w:lvlJc w:val="left"/>
      <w:pPr>
        <w:ind w:left="5457" w:hanging="360"/>
      </w:pPr>
    </w:lvl>
    <w:lvl w:ilvl="7" w:tplc="04220019">
      <w:start w:val="1"/>
      <w:numFmt w:val="lowerLetter"/>
      <w:lvlText w:val="%8."/>
      <w:lvlJc w:val="left"/>
      <w:pPr>
        <w:ind w:left="6177" w:hanging="360"/>
      </w:pPr>
    </w:lvl>
    <w:lvl w:ilvl="8" w:tplc="0422001B">
      <w:start w:val="1"/>
      <w:numFmt w:val="lowerRoman"/>
      <w:lvlText w:val="%9."/>
      <w:lvlJc w:val="right"/>
      <w:pPr>
        <w:ind w:left="6897" w:hanging="180"/>
      </w:pPr>
    </w:lvl>
  </w:abstractNum>
  <w:abstractNum w:abstractNumId="406" w15:restartNumberingAfterBreak="0">
    <w:nsid w:val="3B920A35"/>
    <w:multiLevelType w:val="hybridMultilevel"/>
    <w:tmpl w:val="4FACEC4C"/>
    <w:lvl w:ilvl="0" w:tplc="9DBE3348">
      <w:start w:val="1"/>
      <w:numFmt w:val="decimal"/>
      <w:lvlText w:val="%1."/>
      <w:lvlJc w:val="left"/>
      <w:pPr>
        <w:ind w:left="1429" w:hanging="360"/>
      </w:pPr>
      <w:rPr>
        <w:b/>
        <w:bCs/>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7" w15:restartNumberingAfterBreak="0">
    <w:nsid w:val="3BE20FEC"/>
    <w:multiLevelType w:val="multilevel"/>
    <w:tmpl w:val="F62EE758"/>
    <w:lvl w:ilvl="0">
      <w:start w:val="1"/>
      <w:numFmt w:val="bullet"/>
      <w:lvlText w:val="•"/>
      <w:lvlJc w:val="left"/>
      <w:pPr>
        <w:ind w:left="0" w:firstLine="0"/>
      </w:pPr>
      <w:rPr>
        <w:u w:val="none"/>
      </w:rPr>
    </w:lvl>
    <w:lvl w:ilvl="1">
      <w:numFmt w:val="decimal"/>
      <w:lvlText w:val=""/>
      <w:lvlJc w:val="left"/>
      <w:pPr>
        <w:ind w:left="0" w:firstLine="0"/>
      </w:pPr>
      <w:rPr>
        <w:u w:val="none"/>
      </w:rPr>
    </w:lvl>
    <w:lvl w:ilvl="2">
      <w:numFmt w:val="decimal"/>
      <w:lvlText w:val=""/>
      <w:lvlJc w:val="left"/>
      <w:pPr>
        <w:ind w:left="0" w:firstLine="0"/>
      </w:pPr>
      <w:rPr>
        <w:u w:val="none"/>
      </w:rPr>
    </w:lvl>
    <w:lvl w:ilvl="3">
      <w:numFmt w:val="decimal"/>
      <w:lvlText w:val=""/>
      <w:lvlJc w:val="left"/>
      <w:pPr>
        <w:ind w:left="0" w:firstLine="0"/>
      </w:pPr>
      <w:rPr>
        <w:u w:val="none"/>
      </w:rPr>
    </w:lvl>
    <w:lvl w:ilvl="4">
      <w:numFmt w:val="decimal"/>
      <w:lvlText w:val=""/>
      <w:lvlJc w:val="left"/>
      <w:pPr>
        <w:ind w:left="0" w:firstLine="0"/>
      </w:pPr>
      <w:rPr>
        <w:u w:val="none"/>
      </w:rPr>
    </w:lvl>
    <w:lvl w:ilvl="5">
      <w:numFmt w:val="decimal"/>
      <w:lvlText w:val=""/>
      <w:lvlJc w:val="left"/>
      <w:pPr>
        <w:ind w:left="0" w:firstLine="0"/>
      </w:pPr>
      <w:rPr>
        <w:u w:val="none"/>
      </w:rPr>
    </w:lvl>
    <w:lvl w:ilvl="6">
      <w:numFmt w:val="decimal"/>
      <w:lvlText w:val=""/>
      <w:lvlJc w:val="left"/>
      <w:pPr>
        <w:ind w:left="0" w:firstLine="0"/>
      </w:pPr>
      <w:rPr>
        <w:u w:val="none"/>
      </w:rPr>
    </w:lvl>
    <w:lvl w:ilvl="7">
      <w:numFmt w:val="decimal"/>
      <w:lvlText w:val=""/>
      <w:lvlJc w:val="left"/>
      <w:pPr>
        <w:ind w:left="0" w:firstLine="0"/>
      </w:pPr>
      <w:rPr>
        <w:u w:val="none"/>
      </w:rPr>
    </w:lvl>
    <w:lvl w:ilvl="8">
      <w:numFmt w:val="decimal"/>
      <w:lvlText w:val=""/>
      <w:lvlJc w:val="left"/>
      <w:pPr>
        <w:ind w:left="0" w:firstLine="0"/>
      </w:pPr>
      <w:rPr>
        <w:u w:val="none"/>
      </w:rPr>
    </w:lvl>
  </w:abstractNum>
  <w:abstractNum w:abstractNumId="408" w15:restartNumberingAfterBreak="0">
    <w:nsid w:val="3C055C10"/>
    <w:multiLevelType w:val="hybridMultilevel"/>
    <w:tmpl w:val="C388B5C2"/>
    <w:lvl w:ilvl="0" w:tplc="CE18EE0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9" w15:restartNumberingAfterBreak="0">
    <w:nsid w:val="3C647E67"/>
    <w:multiLevelType w:val="hybridMultilevel"/>
    <w:tmpl w:val="11A2D19E"/>
    <w:lvl w:ilvl="0" w:tplc="AB848E0E">
      <w:numFmt w:val="bullet"/>
      <w:lvlText w:val="–"/>
      <w:lvlJc w:val="left"/>
      <w:pPr>
        <w:ind w:left="720" w:hanging="360"/>
      </w:pPr>
      <w:rPr>
        <w:rFonts w:ascii="Calibri" w:eastAsiaTheme="minorHAnsi" w:hAnsi="Calibri" w:cs="Calibri" w:hint="default"/>
      </w:rPr>
    </w:lvl>
    <w:lvl w:ilvl="1" w:tplc="04190019" w:tentative="1">
      <w:start w:val="1"/>
      <w:numFmt w:val="bullet"/>
      <w:lvlText w:val="o"/>
      <w:lvlJc w:val="left"/>
      <w:pPr>
        <w:ind w:left="1440" w:hanging="360"/>
      </w:pPr>
      <w:rPr>
        <w:rFonts w:ascii="Courier New" w:hAnsi="Courier New" w:cs="Courier New" w:hint="default"/>
      </w:rPr>
    </w:lvl>
    <w:lvl w:ilvl="2" w:tplc="0419001B" w:tentative="1">
      <w:start w:val="1"/>
      <w:numFmt w:val="bullet"/>
      <w:lvlText w:val=""/>
      <w:lvlJc w:val="left"/>
      <w:pPr>
        <w:ind w:left="2160" w:hanging="360"/>
      </w:pPr>
      <w:rPr>
        <w:rFonts w:ascii="Wingdings" w:hAnsi="Wingdings" w:hint="default"/>
      </w:rPr>
    </w:lvl>
    <w:lvl w:ilvl="3" w:tplc="0419000F" w:tentative="1">
      <w:start w:val="1"/>
      <w:numFmt w:val="bullet"/>
      <w:lvlText w:val=""/>
      <w:lvlJc w:val="left"/>
      <w:pPr>
        <w:ind w:left="2880" w:hanging="360"/>
      </w:pPr>
      <w:rPr>
        <w:rFonts w:ascii="Symbol" w:hAnsi="Symbol" w:hint="default"/>
      </w:rPr>
    </w:lvl>
    <w:lvl w:ilvl="4" w:tplc="04190019" w:tentative="1">
      <w:start w:val="1"/>
      <w:numFmt w:val="bullet"/>
      <w:lvlText w:val="o"/>
      <w:lvlJc w:val="left"/>
      <w:pPr>
        <w:ind w:left="3600" w:hanging="360"/>
      </w:pPr>
      <w:rPr>
        <w:rFonts w:ascii="Courier New" w:hAnsi="Courier New" w:cs="Courier New" w:hint="default"/>
      </w:rPr>
    </w:lvl>
    <w:lvl w:ilvl="5" w:tplc="0419001B" w:tentative="1">
      <w:start w:val="1"/>
      <w:numFmt w:val="bullet"/>
      <w:lvlText w:val=""/>
      <w:lvlJc w:val="left"/>
      <w:pPr>
        <w:ind w:left="4320" w:hanging="360"/>
      </w:pPr>
      <w:rPr>
        <w:rFonts w:ascii="Wingdings" w:hAnsi="Wingdings" w:hint="default"/>
      </w:rPr>
    </w:lvl>
    <w:lvl w:ilvl="6" w:tplc="0419000F" w:tentative="1">
      <w:start w:val="1"/>
      <w:numFmt w:val="bullet"/>
      <w:lvlText w:val=""/>
      <w:lvlJc w:val="left"/>
      <w:pPr>
        <w:ind w:left="5040" w:hanging="360"/>
      </w:pPr>
      <w:rPr>
        <w:rFonts w:ascii="Symbol" w:hAnsi="Symbol" w:hint="default"/>
      </w:rPr>
    </w:lvl>
    <w:lvl w:ilvl="7" w:tplc="04190019" w:tentative="1">
      <w:start w:val="1"/>
      <w:numFmt w:val="bullet"/>
      <w:lvlText w:val="o"/>
      <w:lvlJc w:val="left"/>
      <w:pPr>
        <w:ind w:left="5760" w:hanging="360"/>
      </w:pPr>
      <w:rPr>
        <w:rFonts w:ascii="Courier New" w:hAnsi="Courier New" w:cs="Courier New" w:hint="default"/>
      </w:rPr>
    </w:lvl>
    <w:lvl w:ilvl="8" w:tplc="0419001B" w:tentative="1">
      <w:start w:val="1"/>
      <w:numFmt w:val="bullet"/>
      <w:lvlText w:val=""/>
      <w:lvlJc w:val="left"/>
      <w:pPr>
        <w:ind w:left="6480" w:hanging="360"/>
      </w:pPr>
      <w:rPr>
        <w:rFonts w:ascii="Wingdings" w:hAnsi="Wingdings" w:hint="default"/>
      </w:rPr>
    </w:lvl>
  </w:abstractNum>
  <w:abstractNum w:abstractNumId="410" w15:restartNumberingAfterBreak="0">
    <w:nsid w:val="3C7C330A"/>
    <w:multiLevelType w:val="multilevel"/>
    <w:tmpl w:val="817E48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1" w15:restartNumberingAfterBreak="0">
    <w:nsid w:val="3C7D3727"/>
    <w:multiLevelType w:val="hybridMultilevel"/>
    <w:tmpl w:val="162A96E6"/>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412" w15:restartNumberingAfterBreak="0">
    <w:nsid w:val="3CBB10A6"/>
    <w:multiLevelType w:val="multilevel"/>
    <w:tmpl w:val="E14242CE"/>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3" w15:restartNumberingAfterBreak="0">
    <w:nsid w:val="3D094D14"/>
    <w:multiLevelType w:val="hybridMultilevel"/>
    <w:tmpl w:val="6A7CA8A4"/>
    <w:lvl w:ilvl="0" w:tplc="F8F6C29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4" w15:restartNumberingAfterBreak="0">
    <w:nsid w:val="3D313386"/>
    <w:multiLevelType w:val="hybridMultilevel"/>
    <w:tmpl w:val="F64412CE"/>
    <w:lvl w:ilvl="0" w:tplc="F58A4626">
      <w:start w:val="1"/>
      <w:numFmt w:val="decimal"/>
      <w:lvlText w:val="%1."/>
      <w:lvlJc w:val="left"/>
      <w:pPr>
        <w:ind w:left="720" w:hanging="360"/>
      </w:pPr>
      <w:rPr>
        <w:rFonts w:hint="default"/>
      </w:rPr>
    </w:lvl>
    <w:lvl w:ilvl="1" w:tplc="04190003" w:tentative="1">
      <w:start w:val="1"/>
      <w:numFmt w:val="lowerLetter"/>
      <w:lvlText w:val="%2."/>
      <w:lvlJc w:val="left"/>
      <w:pPr>
        <w:ind w:left="1440" w:hanging="360"/>
      </w:pPr>
    </w:lvl>
    <w:lvl w:ilvl="2" w:tplc="04190005" w:tentative="1">
      <w:start w:val="1"/>
      <w:numFmt w:val="lowerRoman"/>
      <w:lvlText w:val="%3."/>
      <w:lvlJc w:val="right"/>
      <w:pPr>
        <w:ind w:left="2160" w:hanging="180"/>
      </w:pPr>
    </w:lvl>
    <w:lvl w:ilvl="3" w:tplc="04190001" w:tentative="1">
      <w:start w:val="1"/>
      <w:numFmt w:val="decimal"/>
      <w:lvlText w:val="%4."/>
      <w:lvlJc w:val="left"/>
      <w:pPr>
        <w:ind w:left="2880" w:hanging="360"/>
      </w:pPr>
    </w:lvl>
    <w:lvl w:ilvl="4" w:tplc="04190003" w:tentative="1">
      <w:start w:val="1"/>
      <w:numFmt w:val="lowerLetter"/>
      <w:lvlText w:val="%5."/>
      <w:lvlJc w:val="left"/>
      <w:pPr>
        <w:ind w:left="3600" w:hanging="360"/>
      </w:pPr>
    </w:lvl>
    <w:lvl w:ilvl="5" w:tplc="04190005" w:tentative="1">
      <w:start w:val="1"/>
      <w:numFmt w:val="lowerRoman"/>
      <w:lvlText w:val="%6."/>
      <w:lvlJc w:val="right"/>
      <w:pPr>
        <w:ind w:left="4320" w:hanging="180"/>
      </w:pPr>
    </w:lvl>
    <w:lvl w:ilvl="6" w:tplc="04190001" w:tentative="1">
      <w:start w:val="1"/>
      <w:numFmt w:val="decimal"/>
      <w:lvlText w:val="%7."/>
      <w:lvlJc w:val="left"/>
      <w:pPr>
        <w:ind w:left="5040" w:hanging="360"/>
      </w:pPr>
    </w:lvl>
    <w:lvl w:ilvl="7" w:tplc="04190003" w:tentative="1">
      <w:start w:val="1"/>
      <w:numFmt w:val="lowerLetter"/>
      <w:lvlText w:val="%8."/>
      <w:lvlJc w:val="left"/>
      <w:pPr>
        <w:ind w:left="5760" w:hanging="360"/>
      </w:pPr>
    </w:lvl>
    <w:lvl w:ilvl="8" w:tplc="04190005" w:tentative="1">
      <w:start w:val="1"/>
      <w:numFmt w:val="lowerRoman"/>
      <w:lvlText w:val="%9."/>
      <w:lvlJc w:val="right"/>
      <w:pPr>
        <w:ind w:left="6480" w:hanging="180"/>
      </w:pPr>
    </w:lvl>
  </w:abstractNum>
  <w:abstractNum w:abstractNumId="415" w15:restartNumberingAfterBreak="0">
    <w:nsid w:val="3D3D0281"/>
    <w:multiLevelType w:val="hybridMultilevel"/>
    <w:tmpl w:val="93E2D14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6" w15:restartNumberingAfterBreak="0">
    <w:nsid w:val="3D4E1057"/>
    <w:multiLevelType w:val="hybridMultilevel"/>
    <w:tmpl w:val="06F2AF96"/>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7" w15:restartNumberingAfterBreak="0">
    <w:nsid w:val="3D577AD7"/>
    <w:multiLevelType w:val="hybridMultilevel"/>
    <w:tmpl w:val="F58ED3E0"/>
    <w:lvl w:ilvl="0" w:tplc="0720BF0E">
      <w:start w:val="1"/>
      <w:numFmt w:val="decimal"/>
      <w:lvlText w:val="%1."/>
      <w:lvlJc w:val="left"/>
      <w:pPr>
        <w:ind w:left="1060" w:hanging="70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18" w15:restartNumberingAfterBreak="0">
    <w:nsid w:val="3D714B3A"/>
    <w:multiLevelType w:val="hybridMultilevel"/>
    <w:tmpl w:val="E74E3CBA"/>
    <w:numStyleLink w:val="a1"/>
  </w:abstractNum>
  <w:abstractNum w:abstractNumId="419" w15:restartNumberingAfterBreak="0">
    <w:nsid w:val="3D801714"/>
    <w:multiLevelType w:val="multilevel"/>
    <w:tmpl w:val="F034926C"/>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0" w15:restartNumberingAfterBreak="0">
    <w:nsid w:val="3DA06BB7"/>
    <w:multiLevelType w:val="hybridMultilevel"/>
    <w:tmpl w:val="0068D026"/>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1" w15:restartNumberingAfterBreak="0">
    <w:nsid w:val="3DF76E75"/>
    <w:multiLevelType w:val="hybridMultilevel"/>
    <w:tmpl w:val="7F4AB71E"/>
    <w:lvl w:ilvl="0" w:tplc="46D4B45A">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422" w15:restartNumberingAfterBreak="0">
    <w:nsid w:val="3E5C157A"/>
    <w:multiLevelType w:val="hybridMultilevel"/>
    <w:tmpl w:val="47B8ADEC"/>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23" w15:restartNumberingAfterBreak="0">
    <w:nsid w:val="3E5F1053"/>
    <w:multiLevelType w:val="hybridMultilevel"/>
    <w:tmpl w:val="F72A9AE6"/>
    <w:lvl w:ilvl="0" w:tplc="07E43890">
      <w:start w:val="1"/>
      <w:numFmt w:val="decimal"/>
      <w:lvlText w:val="%1."/>
      <w:lvlJc w:val="left"/>
      <w:pPr>
        <w:ind w:left="1429" w:hanging="360"/>
      </w:pPr>
      <w:rPr>
        <w:b w:val="0"/>
        <w:bCs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4" w15:restartNumberingAfterBreak="0">
    <w:nsid w:val="3E7544A2"/>
    <w:multiLevelType w:val="hybridMultilevel"/>
    <w:tmpl w:val="A12EEDF2"/>
    <w:lvl w:ilvl="0" w:tplc="0419000F">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5" w15:restartNumberingAfterBreak="0">
    <w:nsid w:val="3E754698"/>
    <w:multiLevelType w:val="hybridMultilevel"/>
    <w:tmpl w:val="97620F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6" w15:restartNumberingAfterBreak="0">
    <w:nsid w:val="3E852296"/>
    <w:multiLevelType w:val="multilevel"/>
    <w:tmpl w:val="EDB00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7" w15:restartNumberingAfterBreak="0">
    <w:nsid w:val="3EEE672A"/>
    <w:multiLevelType w:val="hybridMultilevel"/>
    <w:tmpl w:val="E81042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8" w15:restartNumberingAfterBreak="0">
    <w:nsid w:val="3F1B2213"/>
    <w:multiLevelType w:val="hybridMultilevel"/>
    <w:tmpl w:val="68A84C2E"/>
    <w:lvl w:ilvl="0" w:tplc="2D463F6A">
      <w:start w:val="1"/>
      <w:numFmt w:val="decimal"/>
      <w:lvlText w:val="%1."/>
      <w:lvlJc w:val="left"/>
      <w:pPr>
        <w:ind w:left="1069" w:hanging="360"/>
      </w:pPr>
      <w:rPr>
        <w:rFonts w:hint="default"/>
      </w:rPr>
    </w:lvl>
    <w:lvl w:ilvl="1" w:tplc="332EB18E" w:tentative="1">
      <w:start w:val="1"/>
      <w:numFmt w:val="lowerLetter"/>
      <w:lvlText w:val="%2."/>
      <w:lvlJc w:val="left"/>
      <w:pPr>
        <w:ind w:left="1789" w:hanging="360"/>
      </w:pPr>
    </w:lvl>
    <w:lvl w:ilvl="2" w:tplc="214CD2D8" w:tentative="1">
      <w:start w:val="1"/>
      <w:numFmt w:val="lowerRoman"/>
      <w:lvlText w:val="%3."/>
      <w:lvlJc w:val="right"/>
      <w:pPr>
        <w:ind w:left="2509" w:hanging="180"/>
      </w:pPr>
    </w:lvl>
    <w:lvl w:ilvl="3" w:tplc="51B87248" w:tentative="1">
      <w:start w:val="1"/>
      <w:numFmt w:val="decimal"/>
      <w:lvlText w:val="%4."/>
      <w:lvlJc w:val="left"/>
      <w:pPr>
        <w:ind w:left="3229" w:hanging="360"/>
      </w:pPr>
    </w:lvl>
    <w:lvl w:ilvl="4" w:tplc="C534EE70" w:tentative="1">
      <w:start w:val="1"/>
      <w:numFmt w:val="lowerLetter"/>
      <w:lvlText w:val="%5."/>
      <w:lvlJc w:val="left"/>
      <w:pPr>
        <w:ind w:left="3949" w:hanging="360"/>
      </w:pPr>
    </w:lvl>
    <w:lvl w:ilvl="5" w:tplc="DC1847B2" w:tentative="1">
      <w:start w:val="1"/>
      <w:numFmt w:val="lowerRoman"/>
      <w:lvlText w:val="%6."/>
      <w:lvlJc w:val="right"/>
      <w:pPr>
        <w:ind w:left="4669" w:hanging="180"/>
      </w:pPr>
    </w:lvl>
    <w:lvl w:ilvl="6" w:tplc="D2CA42BC" w:tentative="1">
      <w:start w:val="1"/>
      <w:numFmt w:val="decimal"/>
      <w:lvlText w:val="%7."/>
      <w:lvlJc w:val="left"/>
      <w:pPr>
        <w:ind w:left="5389" w:hanging="360"/>
      </w:pPr>
    </w:lvl>
    <w:lvl w:ilvl="7" w:tplc="9A08B6A2" w:tentative="1">
      <w:start w:val="1"/>
      <w:numFmt w:val="lowerLetter"/>
      <w:lvlText w:val="%8."/>
      <w:lvlJc w:val="left"/>
      <w:pPr>
        <w:ind w:left="6109" w:hanging="360"/>
      </w:pPr>
    </w:lvl>
    <w:lvl w:ilvl="8" w:tplc="083E934C" w:tentative="1">
      <w:start w:val="1"/>
      <w:numFmt w:val="lowerRoman"/>
      <w:lvlText w:val="%9."/>
      <w:lvlJc w:val="right"/>
      <w:pPr>
        <w:ind w:left="6829" w:hanging="180"/>
      </w:pPr>
    </w:lvl>
  </w:abstractNum>
  <w:abstractNum w:abstractNumId="429" w15:restartNumberingAfterBreak="0">
    <w:nsid w:val="3F3C1519"/>
    <w:multiLevelType w:val="multilevel"/>
    <w:tmpl w:val="3228762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0" w15:restartNumberingAfterBreak="0">
    <w:nsid w:val="3F4159D3"/>
    <w:multiLevelType w:val="hybridMultilevel"/>
    <w:tmpl w:val="5CDA75A0"/>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31" w15:restartNumberingAfterBreak="0">
    <w:nsid w:val="3F985DC5"/>
    <w:multiLevelType w:val="hybridMultilevel"/>
    <w:tmpl w:val="0BF070EA"/>
    <w:styleLink w:val="a0"/>
    <w:lvl w:ilvl="0" w:tplc="640C917A">
      <w:start w:val="1"/>
      <w:numFmt w:val="bullet"/>
      <w:lvlText w:val="-"/>
      <w:lvlJc w:val="left"/>
      <w:pPr>
        <w:tabs>
          <w:tab w:val="left" w:pos="560"/>
          <w:tab w:val="num" w:pos="772"/>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205" w:firstLine="362"/>
      </w:pPr>
      <w:rPr>
        <w:rFonts w:hAnsi="Arial Unicode MS"/>
        <w:caps w:val="0"/>
        <w:smallCaps w:val="0"/>
        <w:strike w:val="0"/>
        <w:dstrike w:val="0"/>
        <w:outline w:val="0"/>
        <w:emboss w:val="0"/>
        <w:imprint w:val="0"/>
        <w:spacing w:val="0"/>
        <w:w w:val="100"/>
        <w:kern w:val="0"/>
        <w:position w:val="0"/>
        <w:highlight w:val="none"/>
        <w:vertAlign w:val="baseline"/>
      </w:rPr>
    </w:lvl>
    <w:lvl w:ilvl="1" w:tplc="956617D8">
      <w:start w:val="1"/>
      <w:numFmt w:val="bullet"/>
      <w:lvlText w:val="-"/>
      <w:lvlJc w:val="left"/>
      <w:pPr>
        <w:tabs>
          <w:tab w:val="left" w:pos="560"/>
          <w:tab w:val="left" w:pos="1120"/>
          <w:tab w:val="num" w:pos="1372"/>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805" w:firstLine="362"/>
      </w:pPr>
      <w:rPr>
        <w:rFonts w:hAnsi="Arial Unicode MS"/>
        <w:caps w:val="0"/>
        <w:smallCaps w:val="0"/>
        <w:strike w:val="0"/>
        <w:dstrike w:val="0"/>
        <w:outline w:val="0"/>
        <w:emboss w:val="0"/>
        <w:imprint w:val="0"/>
        <w:spacing w:val="0"/>
        <w:w w:val="100"/>
        <w:kern w:val="0"/>
        <w:position w:val="0"/>
        <w:highlight w:val="none"/>
        <w:vertAlign w:val="baseline"/>
      </w:rPr>
    </w:lvl>
    <w:lvl w:ilvl="2" w:tplc="361088D6">
      <w:start w:val="1"/>
      <w:numFmt w:val="bullet"/>
      <w:lvlText w:val="-"/>
      <w:lvlJc w:val="left"/>
      <w:pPr>
        <w:tabs>
          <w:tab w:val="left" w:pos="560"/>
          <w:tab w:val="left" w:pos="1120"/>
          <w:tab w:val="left" w:pos="1680"/>
          <w:tab w:val="num" w:pos="1972"/>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1405" w:firstLine="362"/>
      </w:pPr>
      <w:rPr>
        <w:rFonts w:hAnsi="Arial Unicode MS"/>
        <w:caps w:val="0"/>
        <w:smallCaps w:val="0"/>
        <w:strike w:val="0"/>
        <w:dstrike w:val="0"/>
        <w:outline w:val="0"/>
        <w:emboss w:val="0"/>
        <w:imprint w:val="0"/>
        <w:spacing w:val="0"/>
        <w:w w:val="100"/>
        <w:kern w:val="0"/>
        <w:position w:val="0"/>
        <w:highlight w:val="none"/>
        <w:vertAlign w:val="baseline"/>
      </w:rPr>
    </w:lvl>
    <w:lvl w:ilvl="3" w:tplc="00E83692">
      <w:start w:val="1"/>
      <w:numFmt w:val="bullet"/>
      <w:lvlText w:val="-"/>
      <w:lvlJc w:val="left"/>
      <w:pPr>
        <w:tabs>
          <w:tab w:val="left" w:pos="560"/>
          <w:tab w:val="left" w:pos="1120"/>
          <w:tab w:val="left" w:pos="1680"/>
          <w:tab w:val="left" w:pos="2240"/>
          <w:tab w:val="num" w:pos="2572"/>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2005" w:firstLine="362"/>
      </w:pPr>
      <w:rPr>
        <w:rFonts w:hAnsi="Arial Unicode MS"/>
        <w:caps w:val="0"/>
        <w:smallCaps w:val="0"/>
        <w:strike w:val="0"/>
        <w:dstrike w:val="0"/>
        <w:outline w:val="0"/>
        <w:emboss w:val="0"/>
        <w:imprint w:val="0"/>
        <w:spacing w:val="0"/>
        <w:w w:val="100"/>
        <w:kern w:val="0"/>
        <w:position w:val="0"/>
        <w:highlight w:val="none"/>
        <w:vertAlign w:val="baseline"/>
      </w:rPr>
    </w:lvl>
    <w:lvl w:ilvl="4" w:tplc="FE82757A">
      <w:start w:val="1"/>
      <w:numFmt w:val="bullet"/>
      <w:lvlText w:val="-"/>
      <w:lvlJc w:val="left"/>
      <w:pPr>
        <w:tabs>
          <w:tab w:val="left" w:pos="560"/>
          <w:tab w:val="left" w:pos="1120"/>
          <w:tab w:val="left" w:pos="1680"/>
          <w:tab w:val="left" w:pos="2240"/>
          <w:tab w:val="left" w:pos="2800"/>
          <w:tab w:val="num" w:pos="3172"/>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ind w:left="2605" w:firstLine="362"/>
      </w:pPr>
      <w:rPr>
        <w:rFonts w:hAnsi="Arial Unicode MS"/>
        <w:caps w:val="0"/>
        <w:smallCaps w:val="0"/>
        <w:strike w:val="0"/>
        <w:dstrike w:val="0"/>
        <w:outline w:val="0"/>
        <w:emboss w:val="0"/>
        <w:imprint w:val="0"/>
        <w:spacing w:val="0"/>
        <w:w w:val="100"/>
        <w:kern w:val="0"/>
        <w:position w:val="0"/>
        <w:highlight w:val="none"/>
        <w:vertAlign w:val="baseline"/>
      </w:rPr>
    </w:lvl>
    <w:lvl w:ilvl="5" w:tplc="68C0E34C">
      <w:start w:val="1"/>
      <w:numFmt w:val="bullet"/>
      <w:lvlText w:val="-"/>
      <w:lvlJc w:val="left"/>
      <w:pPr>
        <w:tabs>
          <w:tab w:val="left" w:pos="560"/>
          <w:tab w:val="left" w:pos="1120"/>
          <w:tab w:val="left" w:pos="1680"/>
          <w:tab w:val="left" w:pos="2240"/>
          <w:tab w:val="left" w:pos="2800"/>
          <w:tab w:val="left" w:pos="3360"/>
          <w:tab w:val="num" w:pos="3772"/>
          <w:tab w:val="left" w:pos="3920"/>
          <w:tab w:val="left" w:pos="4480"/>
          <w:tab w:val="left" w:pos="5040"/>
          <w:tab w:val="left" w:pos="5600"/>
          <w:tab w:val="left" w:pos="6160"/>
          <w:tab w:val="left" w:pos="6720"/>
          <w:tab w:val="left" w:pos="7280"/>
          <w:tab w:val="left" w:pos="7840"/>
          <w:tab w:val="left" w:pos="8400"/>
          <w:tab w:val="left" w:pos="8960"/>
          <w:tab w:val="left" w:pos="9520"/>
        </w:tabs>
        <w:ind w:left="3205" w:firstLine="362"/>
      </w:pPr>
      <w:rPr>
        <w:rFonts w:hAnsi="Arial Unicode MS"/>
        <w:caps w:val="0"/>
        <w:smallCaps w:val="0"/>
        <w:strike w:val="0"/>
        <w:dstrike w:val="0"/>
        <w:outline w:val="0"/>
        <w:emboss w:val="0"/>
        <w:imprint w:val="0"/>
        <w:spacing w:val="0"/>
        <w:w w:val="100"/>
        <w:kern w:val="0"/>
        <w:position w:val="0"/>
        <w:highlight w:val="none"/>
        <w:vertAlign w:val="baseline"/>
      </w:rPr>
    </w:lvl>
    <w:lvl w:ilvl="6" w:tplc="8696A7DA">
      <w:start w:val="1"/>
      <w:numFmt w:val="bullet"/>
      <w:lvlText w:val="-"/>
      <w:lvlJc w:val="left"/>
      <w:pPr>
        <w:tabs>
          <w:tab w:val="left" w:pos="560"/>
          <w:tab w:val="left" w:pos="1120"/>
          <w:tab w:val="left" w:pos="1680"/>
          <w:tab w:val="left" w:pos="2240"/>
          <w:tab w:val="left" w:pos="2800"/>
          <w:tab w:val="left" w:pos="3360"/>
          <w:tab w:val="left" w:pos="3920"/>
          <w:tab w:val="num" w:pos="4372"/>
          <w:tab w:val="left" w:pos="4480"/>
          <w:tab w:val="left" w:pos="5040"/>
          <w:tab w:val="left" w:pos="5600"/>
          <w:tab w:val="left" w:pos="6160"/>
          <w:tab w:val="left" w:pos="6720"/>
          <w:tab w:val="left" w:pos="7280"/>
          <w:tab w:val="left" w:pos="7840"/>
          <w:tab w:val="left" w:pos="8400"/>
          <w:tab w:val="left" w:pos="8960"/>
          <w:tab w:val="left" w:pos="9520"/>
        </w:tabs>
        <w:ind w:left="3805" w:firstLine="362"/>
      </w:pPr>
      <w:rPr>
        <w:rFonts w:hAnsi="Arial Unicode MS"/>
        <w:caps w:val="0"/>
        <w:smallCaps w:val="0"/>
        <w:strike w:val="0"/>
        <w:dstrike w:val="0"/>
        <w:outline w:val="0"/>
        <w:emboss w:val="0"/>
        <w:imprint w:val="0"/>
        <w:spacing w:val="0"/>
        <w:w w:val="100"/>
        <w:kern w:val="0"/>
        <w:position w:val="0"/>
        <w:highlight w:val="none"/>
        <w:vertAlign w:val="baseline"/>
      </w:rPr>
    </w:lvl>
    <w:lvl w:ilvl="7" w:tplc="F78668F2">
      <w:start w:val="1"/>
      <w:numFmt w:val="bullet"/>
      <w:lvlText w:val="-"/>
      <w:lvlJc w:val="left"/>
      <w:pPr>
        <w:tabs>
          <w:tab w:val="left" w:pos="560"/>
          <w:tab w:val="left" w:pos="1120"/>
          <w:tab w:val="left" w:pos="1680"/>
          <w:tab w:val="left" w:pos="2240"/>
          <w:tab w:val="left" w:pos="2800"/>
          <w:tab w:val="left" w:pos="3360"/>
          <w:tab w:val="left" w:pos="3920"/>
          <w:tab w:val="left" w:pos="4480"/>
          <w:tab w:val="num" w:pos="4972"/>
          <w:tab w:val="left" w:pos="5040"/>
          <w:tab w:val="left" w:pos="5600"/>
          <w:tab w:val="left" w:pos="6160"/>
          <w:tab w:val="left" w:pos="6720"/>
          <w:tab w:val="left" w:pos="7280"/>
          <w:tab w:val="left" w:pos="7840"/>
          <w:tab w:val="left" w:pos="8400"/>
          <w:tab w:val="left" w:pos="8960"/>
          <w:tab w:val="left" w:pos="9520"/>
        </w:tabs>
        <w:ind w:left="4405" w:firstLine="362"/>
      </w:pPr>
      <w:rPr>
        <w:rFonts w:hAnsi="Arial Unicode MS"/>
        <w:caps w:val="0"/>
        <w:smallCaps w:val="0"/>
        <w:strike w:val="0"/>
        <w:dstrike w:val="0"/>
        <w:outline w:val="0"/>
        <w:emboss w:val="0"/>
        <w:imprint w:val="0"/>
        <w:spacing w:val="0"/>
        <w:w w:val="100"/>
        <w:kern w:val="0"/>
        <w:position w:val="0"/>
        <w:highlight w:val="none"/>
        <w:vertAlign w:val="baseline"/>
      </w:rPr>
    </w:lvl>
    <w:lvl w:ilvl="8" w:tplc="662C3B4E">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num" w:pos="5572"/>
          <w:tab w:val="left" w:pos="5600"/>
          <w:tab w:val="left" w:pos="6160"/>
          <w:tab w:val="left" w:pos="6720"/>
          <w:tab w:val="left" w:pos="7280"/>
          <w:tab w:val="left" w:pos="7840"/>
          <w:tab w:val="left" w:pos="8400"/>
          <w:tab w:val="left" w:pos="8960"/>
          <w:tab w:val="left" w:pos="9520"/>
        </w:tabs>
        <w:ind w:left="5005" w:firstLine="36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32" w15:restartNumberingAfterBreak="0">
    <w:nsid w:val="3FDE712C"/>
    <w:multiLevelType w:val="hybridMultilevel"/>
    <w:tmpl w:val="ACD04C34"/>
    <w:lvl w:ilvl="0" w:tplc="C4104CAA">
      <w:start w:val="1"/>
      <w:numFmt w:val="decimal"/>
      <w:lvlText w:val="%1."/>
      <w:lvlJc w:val="left"/>
      <w:pPr>
        <w:ind w:left="1068" w:hanging="360"/>
      </w:pPr>
      <w:rPr>
        <w:rFonts w:hint="default"/>
        <w:b w:val="0"/>
        <w:bCs/>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33" w15:restartNumberingAfterBreak="0">
    <w:nsid w:val="3FEF02BC"/>
    <w:multiLevelType w:val="multilevel"/>
    <w:tmpl w:val="0A68811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4" w15:restartNumberingAfterBreak="0">
    <w:nsid w:val="4033358B"/>
    <w:multiLevelType w:val="multilevel"/>
    <w:tmpl w:val="BADE4D6C"/>
    <w:lvl w:ilvl="0">
      <w:start w:val="1"/>
      <w:numFmt w:val="decimal"/>
      <w:lvlText w:val="%1."/>
      <w:lvlJc w:val="left"/>
      <w:pPr>
        <w:ind w:left="1040" w:hanging="360"/>
      </w:pPr>
      <w:rPr>
        <w:i w:val="0"/>
      </w:rPr>
    </w:lvl>
    <w:lvl w:ilvl="1">
      <w:start w:val="1"/>
      <w:numFmt w:val="lowerLetter"/>
      <w:lvlText w:val="%2."/>
      <w:lvlJc w:val="left"/>
      <w:pPr>
        <w:ind w:left="1760" w:hanging="360"/>
      </w:pPr>
    </w:lvl>
    <w:lvl w:ilvl="2">
      <w:start w:val="1"/>
      <w:numFmt w:val="lowerRoman"/>
      <w:lvlText w:val="%3."/>
      <w:lvlJc w:val="right"/>
      <w:pPr>
        <w:ind w:left="2480" w:hanging="180"/>
      </w:pPr>
    </w:lvl>
    <w:lvl w:ilvl="3">
      <w:start w:val="1"/>
      <w:numFmt w:val="decimal"/>
      <w:lvlText w:val="%4."/>
      <w:lvlJc w:val="left"/>
      <w:pPr>
        <w:ind w:left="3200" w:hanging="360"/>
      </w:pPr>
    </w:lvl>
    <w:lvl w:ilvl="4">
      <w:start w:val="1"/>
      <w:numFmt w:val="lowerLetter"/>
      <w:lvlText w:val="%5."/>
      <w:lvlJc w:val="left"/>
      <w:pPr>
        <w:ind w:left="3920" w:hanging="360"/>
      </w:pPr>
    </w:lvl>
    <w:lvl w:ilvl="5">
      <w:start w:val="1"/>
      <w:numFmt w:val="lowerRoman"/>
      <w:lvlText w:val="%6."/>
      <w:lvlJc w:val="right"/>
      <w:pPr>
        <w:ind w:left="4640" w:hanging="180"/>
      </w:pPr>
    </w:lvl>
    <w:lvl w:ilvl="6">
      <w:start w:val="1"/>
      <w:numFmt w:val="decimal"/>
      <w:lvlText w:val="%7."/>
      <w:lvlJc w:val="left"/>
      <w:pPr>
        <w:ind w:left="5360" w:hanging="360"/>
      </w:pPr>
    </w:lvl>
    <w:lvl w:ilvl="7">
      <w:start w:val="1"/>
      <w:numFmt w:val="lowerLetter"/>
      <w:lvlText w:val="%8."/>
      <w:lvlJc w:val="left"/>
      <w:pPr>
        <w:ind w:left="6080" w:hanging="360"/>
      </w:pPr>
    </w:lvl>
    <w:lvl w:ilvl="8">
      <w:start w:val="1"/>
      <w:numFmt w:val="lowerRoman"/>
      <w:lvlText w:val="%9."/>
      <w:lvlJc w:val="right"/>
      <w:pPr>
        <w:ind w:left="6800" w:hanging="180"/>
      </w:pPr>
    </w:lvl>
  </w:abstractNum>
  <w:abstractNum w:abstractNumId="435" w15:restartNumberingAfterBreak="0">
    <w:nsid w:val="403C7677"/>
    <w:multiLevelType w:val="hybridMultilevel"/>
    <w:tmpl w:val="0ED69AE2"/>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6" w15:restartNumberingAfterBreak="0">
    <w:nsid w:val="407E5985"/>
    <w:multiLevelType w:val="multilevel"/>
    <w:tmpl w:val="407E5985"/>
    <w:lvl w:ilvl="0">
      <w:start w:val="1"/>
      <w:numFmt w:val="decimal"/>
      <w:lvlText w:val="%1."/>
      <w:lvlJc w:val="left"/>
      <w:pPr>
        <w:ind w:left="989" w:hanging="705"/>
      </w:pPr>
      <w:rPr>
        <w:rFonts w:hint="default"/>
        <w:color w:val="auto"/>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437" w15:restartNumberingAfterBreak="0">
    <w:nsid w:val="40BA62F1"/>
    <w:multiLevelType w:val="hybridMultilevel"/>
    <w:tmpl w:val="6352DE94"/>
    <w:lvl w:ilvl="0" w:tplc="65B06BA8">
      <w:start w:val="1"/>
      <w:numFmt w:val="decimal"/>
      <w:lvlText w:val="%1."/>
      <w:lvlJc w:val="left"/>
      <w:pPr>
        <w:ind w:left="36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8" w15:restartNumberingAfterBreak="0">
    <w:nsid w:val="413017D8"/>
    <w:multiLevelType w:val="hybridMultilevel"/>
    <w:tmpl w:val="26947B94"/>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9" w15:restartNumberingAfterBreak="0">
    <w:nsid w:val="41727C30"/>
    <w:multiLevelType w:val="hybridMultilevel"/>
    <w:tmpl w:val="3D9CEA88"/>
    <w:lvl w:ilvl="0" w:tplc="2A707364">
      <w:start w:val="1"/>
      <w:numFmt w:val="decimal"/>
      <w:lvlText w:val="%1."/>
      <w:lvlJc w:val="left"/>
      <w:pPr>
        <w:ind w:left="720" w:hanging="360"/>
      </w:pPr>
      <w:rPr>
        <w:rFonts w:eastAsiaTheme="minorHAnsi" w:hint="default"/>
        <w:sz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0" w15:restartNumberingAfterBreak="0">
    <w:nsid w:val="4183017F"/>
    <w:multiLevelType w:val="multilevel"/>
    <w:tmpl w:val="4676AF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1" w15:restartNumberingAfterBreak="0">
    <w:nsid w:val="419B21B2"/>
    <w:multiLevelType w:val="hybridMultilevel"/>
    <w:tmpl w:val="E9E245BA"/>
    <w:lvl w:ilvl="0" w:tplc="0419000F">
      <w:start w:val="1"/>
      <w:numFmt w:val="decimal"/>
      <w:lvlText w:val="%1."/>
      <w:lvlJc w:val="left"/>
      <w:pPr>
        <w:ind w:left="1709" w:hanging="360"/>
      </w:pPr>
    </w:lvl>
    <w:lvl w:ilvl="1" w:tplc="04190019" w:tentative="1">
      <w:start w:val="1"/>
      <w:numFmt w:val="lowerLetter"/>
      <w:lvlText w:val="%2."/>
      <w:lvlJc w:val="left"/>
      <w:pPr>
        <w:ind w:left="2429" w:hanging="360"/>
      </w:pPr>
    </w:lvl>
    <w:lvl w:ilvl="2" w:tplc="0419001B" w:tentative="1">
      <w:start w:val="1"/>
      <w:numFmt w:val="lowerRoman"/>
      <w:lvlText w:val="%3."/>
      <w:lvlJc w:val="right"/>
      <w:pPr>
        <w:ind w:left="3149" w:hanging="180"/>
      </w:pPr>
    </w:lvl>
    <w:lvl w:ilvl="3" w:tplc="0419000F" w:tentative="1">
      <w:start w:val="1"/>
      <w:numFmt w:val="decimal"/>
      <w:lvlText w:val="%4."/>
      <w:lvlJc w:val="left"/>
      <w:pPr>
        <w:ind w:left="3869" w:hanging="360"/>
      </w:pPr>
    </w:lvl>
    <w:lvl w:ilvl="4" w:tplc="04190019" w:tentative="1">
      <w:start w:val="1"/>
      <w:numFmt w:val="lowerLetter"/>
      <w:lvlText w:val="%5."/>
      <w:lvlJc w:val="left"/>
      <w:pPr>
        <w:ind w:left="4589" w:hanging="360"/>
      </w:pPr>
    </w:lvl>
    <w:lvl w:ilvl="5" w:tplc="0419001B" w:tentative="1">
      <w:start w:val="1"/>
      <w:numFmt w:val="lowerRoman"/>
      <w:lvlText w:val="%6."/>
      <w:lvlJc w:val="right"/>
      <w:pPr>
        <w:ind w:left="5309" w:hanging="180"/>
      </w:pPr>
    </w:lvl>
    <w:lvl w:ilvl="6" w:tplc="0419000F" w:tentative="1">
      <w:start w:val="1"/>
      <w:numFmt w:val="decimal"/>
      <w:lvlText w:val="%7."/>
      <w:lvlJc w:val="left"/>
      <w:pPr>
        <w:ind w:left="6029" w:hanging="360"/>
      </w:pPr>
    </w:lvl>
    <w:lvl w:ilvl="7" w:tplc="04190019" w:tentative="1">
      <w:start w:val="1"/>
      <w:numFmt w:val="lowerLetter"/>
      <w:lvlText w:val="%8."/>
      <w:lvlJc w:val="left"/>
      <w:pPr>
        <w:ind w:left="6749" w:hanging="360"/>
      </w:pPr>
    </w:lvl>
    <w:lvl w:ilvl="8" w:tplc="0419001B" w:tentative="1">
      <w:start w:val="1"/>
      <w:numFmt w:val="lowerRoman"/>
      <w:lvlText w:val="%9."/>
      <w:lvlJc w:val="right"/>
      <w:pPr>
        <w:ind w:left="7469" w:hanging="180"/>
      </w:pPr>
    </w:lvl>
  </w:abstractNum>
  <w:abstractNum w:abstractNumId="442" w15:restartNumberingAfterBreak="0">
    <w:nsid w:val="419EEE58"/>
    <w:multiLevelType w:val="singleLevel"/>
    <w:tmpl w:val="419EEE58"/>
    <w:lvl w:ilvl="0">
      <w:start w:val="1"/>
      <w:numFmt w:val="decimal"/>
      <w:suff w:val="space"/>
      <w:lvlText w:val="%1."/>
      <w:lvlJc w:val="left"/>
      <w:rPr>
        <w:rFonts w:hint="default"/>
        <w:sz w:val="28"/>
        <w:szCs w:val="28"/>
      </w:rPr>
    </w:lvl>
  </w:abstractNum>
  <w:abstractNum w:abstractNumId="443" w15:restartNumberingAfterBreak="0">
    <w:nsid w:val="41C0187F"/>
    <w:multiLevelType w:val="hybridMultilevel"/>
    <w:tmpl w:val="EA2C26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44" w15:restartNumberingAfterBreak="0">
    <w:nsid w:val="4206118C"/>
    <w:multiLevelType w:val="multilevel"/>
    <w:tmpl w:val="C102DC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5" w15:restartNumberingAfterBreak="0">
    <w:nsid w:val="42450DFA"/>
    <w:multiLevelType w:val="multilevel"/>
    <w:tmpl w:val="A3627C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446" w15:restartNumberingAfterBreak="0">
    <w:nsid w:val="42713A84"/>
    <w:multiLevelType w:val="hybridMultilevel"/>
    <w:tmpl w:val="3CEEF9D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7" w15:restartNumberingAfterBreak="0">
    <w:nsid w:val="429106AB"/>
    <w:multiLevelType w:val="multilevel"/>
    <w:tmpl w:val="00EE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8" w15:restartNumberingAfterBreak="0">
    <w:nsid w:val="42AF7FB0"/>
    <w:multiLevelType w:val="multilevel"/>
    <w:tmpl w:val="0150928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rPr>
        <w:rFonts w:ascii="Times New Roman" w:eastAsia="Times New Roman" w:hAnsi="Times New Roman" w:cs="Times New Roman"/>
        <w:sz w:val="28"/>
        <w:szCs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9" w15:restartNumberingAfterBreak="0">
    <w:nsid w:val="42AFBE12"/>
    <w:multiLevelType w:val="hybridMultilevel"/>
    <w:tmpl w:val="DE026CD2"/>
    <w:lvl w:ilvl="0" w:tplc="2144A084">
      <w:start w:val="1"/>
      <w:numFmt w:val="bullet"/>
      <w:lvlText w:val=""/>
      <w:lvlJc w:val="left"/>
      <w:pPr>
        <w:ind w:left="900" w:hanging="360"/>
      </w:pPr>
      <w:rPr>
        <w:rFonts w:ascii="Symbol" w:hAnsi="Symbol" w:hint="default"/>
      </w:rPr>
    </w:lvl>
    <w:lvl w:ilvl="1" w:tplc="72E65A5E">
      <w:start w:val="1"/>
      <w:numFmt w:val="bullet"/>
      <w:lvlText w:val="o"/>
      <w:lvlJc w:val="left"/>
      <w:pPr>
        <w:ind w:left="1620" w:hanging="360"/>
      </w:pPr>
      <w:rPr>
        <w:rFonts w:ascii="Courier New" w:hAnsi="Courier New" w:hint="default"/>
      </w:rPr>
    </w:lvl>
    <w:lvl w:ilvl="2" w:tplc="3BDA7CA4">
      <w:start w:val="1"/>
      <w:numFmt w:val="bullet"/>
      <w:lvlText w:val=""/>
      <w:lvlJc w:val="left"/>
      <w:pPr>
        <w:ind w:left="2340" w:hanging="360"/>
      </w:pPr>
      <w:rPr>
        <w:rFonts w:ascii="Wingdings" w:hAnsi="Wingdings" w:hint="default"/>
      </w:rPr>
    </w:lvl>
    <w:lvl w:ilvl="3" w:tplc="1A20A952">
      <w:start w:val="1"/>
      <w:numFmt w:val="bullet"/>
      <w:lvlText w:val=""/>
      <w:lvlJc w:val="left"/>
      <w:pPr>
        <w:ind w:left="3060" w:hanging="360"/>
      </w:pPr>
      <w:rPr>
        <w:rFonts w:ascii="Symbol" w:hAnsi="Symbol" w:hint="default"/>
      </w:rPr>
    </w:lvl>
    <w:lvl w:ilvl="4" w:tplc="5510C0EC">
      <w:start w:val="1"/>
      <w:numFmt w:val="bullet"/>
      <w:lvlText w:val="o"/>
      <w:lvlJc w:val="left"/>
      <w:pPr>
        <w:ind w:left="3780" w:hanging="360"/>
      </w:pPr>
      <w:rPr>
        <w:rFonts w:ascii="Courier New" w:hAnsi="Courier New" w:hint="default"/>
      </w:rPr>
    </w:lvl>
    <w:lvl w:ilvl="5" w:tplc="C64E2AA2">
      <w:start w:val="1"/>
      <w:numFmt w:val="bullet"/>
      <w:lvlText w:val=""/>
      <w:lvlJc w:val="left"/>
      <w:pPr>
        <w:ind w:left="4500" w:hanging="360"/>
      </w:pPr>
      <w:rPr>
        <w:rFonts w:ascii="Wingdings" w:hAnsi="Wingdings" w:hint="default"/>
      </w:rPr>
    </w:lvl>
    <w:lvl w:ilvl="6" w:tplc="DCE618D6">
      <w:start w:val="1"/>
      <w:numFmt w:val="bullet"/>
      <w:lvlText w:val=""/>
      <w:lvlJc w:val="left"/>
      <w:pPr>
        <w:ind w:left="5220" w:hanging="360"/>
      </w:pPr>
      <w:rPr>
        <w:rFonts w:ascii="Symbol" w:hAnsi="Symbol" w:hint="default"/>
      </w:rPr>
    </w:lvl>
    <w:lvl w:ilvl="7" w:tplc="3A486DF8">
      <w:start w:val="1"/>
      <w:numFmt w:val="bullet"/>
      <w:lvlText w:val="o"/>
      <w:lvlJc w:val="left"/>
      <w:pPr>
        <w:ind w:left="5940" w:hanging="360"/>
      </w:pPr>
      <w:rPr>
        <w:rFonts w:ascii="Courier New" w:hAnsi="Courier New" w:hint="default"/>
      </w:rPr>
    </w:lvl>
    <w:lvl w:ilvl="8" w:tplc="27983A5A">
      <w:start w:val="1"/>
      <w:numFmt w:val="bullet"/>
      <w:lvlText w:val=""/>
      <w:lvlJc w:val="left"/>
      <w:pPr>
        <w:ind w:left="6660" w:hanging="360"/>
      </w:pPr>
      <w:rPr>
        <w:rFonts w:ascii="Wingdings" w:hAnsi="Wingdings" w:hint="default"/>
      </w:rPr>
    </w:lvl>
  </w:abstractNum>
  <w:abstractNum w:abstractNumId="450" w15:restartNumberingAfterBreak="0">
    <w:nsid w:val="42C544FA"/>
    <w:multiLevelType w:val="hybridMultilevel"/>
    <w:tmpl w:val="E9E217F4"/>
    <w:lvl w:ilvl="0" w:tplc="70421E8A">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51" w15:restartNumberingAfterBreak="0">
    <w:nsid w:val="42C70CAA"/>
    <w:multiLevelType w:val="multilevel"/>
    <w:tmpl w:val="BFD8473C"/>
    <w:lvl w:ilvl="0">
      <w:start w:val="1"/>
      <w:numFmt w:val="decimal"/>
      <w:lvlText w:val="%1."/>
      <w:lvlJc w:val="left"/>
      <w:pPr>
        <w:tabs>
          <w:tab w:val="num" w:pos="720"/>
        </w:tabs>
        <w:ind w:left="720" w:hanging="360"/>
      </w:pPr>
      <w:rPr>
        <w:rFonts w:ascii="Times New Roman" w:eastAsiaTheme="minorHAns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2" w15:restartNumberingAfterBreak="0">
    <w:nsid w:val="42D81F66"/>
    <w:multiLevelType w:val="hybridMultilevel"/>
    <w:tmpl w:val="0DAE46A0"/>
    <w:lvl w:ilvl="0" w:tplc="F2A2F5B6">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3" w15:restartNumberingAfterBreak="0">
    <w:nsid w:val="433D3F62"/>
    <w:multiLevelType w:val="multilevel"/>
    <w:tmpl w:val="A088093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54" w15:restartNumberingAfterBreak="0">
    <w:nsid w:val="434500C4"/>
    <w:multiLevelType w:val="multilevel"/>
    <w:tmpl w:val="317A78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455" w15:restartNumberingAfterBreak="0">
    <w:nsid w:val="435A1D3D"/>
    <w:multiLevelType w:val="hybridMultilevel"/>
    <w:tmpl w:val="20C6A510"/>
    <w:lvl w:ilvl="0" w:tplc="04190001">
      <w:start w:val="1"/>
      <w:numFmt w:val="bullet"/>
      <w:lvlText w:val=""/>
      <w:lvlJc w:val="left"/>
      <w:pPr>
        <w:ind w:left="930" w:hanging="360"/>
      </w:pPr>
      <w:rPr>
        <w:rFonts w:ascii="Symbol" w:hAnsi="Symbol" w:hint="default"/>
      </w:rPr>
    </w:lvl>
    <w:lvl w:ilvl="1" w:tplc="04190003" w:tentative="1">
      <w:start w:val="1"/>
      <w:numFmt w:val="bullet"/>
      <w:lvlText w:val="o"/>
      <w:lvlJc w:val="left"/>
      <w:pPr>
        <w:ind w:left="1650" w:hanging="360"/>
      </w:pPr>
      <w:rPr>
        <w:rFonts w:ascii="Courier New" w:hAnsi="Courier New" w:cs="Courier New" w:hint="default"/>
      </w:rPr>
    </w:lvl>
    <w:lvl w:ilvl="2" w:tplc="04190005" w:tentative="1">
      <w:start w:val="1"/>
      <w:numFmt w:val="bullet"/>
      <w:lvlText w:val=""/>
      <w:lvlJc w:val="left"/>
      <w:pPr>
        <w:ind w:left="2370" w:hanging="360"/>
      </w:pPr>
      <w:rPr>
        <w:rFonts w:ascii="Wingdings" w:hAnsi="Wingdings" w:hint="default"/>
      </w:rPr>
    </w:lvl>
    <w:lvl w:ilvl="3" w:tplc="04190001" w:tentative="1">
      <w:start w:val="1"/>
      <w:numFmt w:val="bullet"/>
      <w:lvlText w:val=""/>
      <w:lvlJc w:val="left"/>
      <w:pPr>
        <w:ind w:left="3090" w:hanging="360"/>
      </w:pPr>
      <w:rPr>
        <w:rFonts w:ascii="Symbol" w:hAnsi="Symbol" w:hint="default"/>
      </w:rPr>
    </w:lvl>
    <w:lvl w:ilvl="4" w:tplc="04190003" w:tentative="1">
      <w:start w:val="1"/>
      <w:numFmt w:val="bullet"/>
      <w:lvlText w:val="o"/>
      <w:lvlJc w:val="left"/>
      <w:pPr>
        <w:ind w:left="3810" w:hanging="360"/>
      </w:pPr>
      <w:rPr>
        <w:rFonts w:ascii="Courier New" w:hAnsi="Courier New" w:cs="Courier New" w:hint="default"/>
      </w:rPr>
    </w:lvl>
    <w:lvl w:ilvl="5" w:tplc="04190005" w:tentative="1">
      <w:start w:val="1"/>
      <w:numFmt w:val="bullet"/>
      <w:lvlText w:val=""/>
      <w:lvlJc w:val="left"/>
      <w:pPr>
        <w:ind w:left="4530" w:hanging="360"/>
      </w:pPr>
      <w:rPr>
        <w:rFonts w:ascii="Wingdings" w:hAnsi="Wingdings" w:hint="default"/>
      </w:rPr>
    </w:lvl>
    <w:lvl w:ilvl="6" w:tplc="04190001" w:tentative="1">
      <w:start w:val="1"/>
      <w:numFmt w:val="bullet"/>
      <w:lvlText w:val=""/>
      <w:lvlJc w:val="left"/>
      <w:pPr>
        <w:ind w:left="5250" w:hanging="360"/>
      </w:pPr>
      <w:rPr>
        <w:rFonts w:ascii="Symbol" w:hAnsi="Symbol" w:hint="default"/>
      </w:rPr>
    </w:lvl>
    <w:lvl w:ilvl="7" w:tplc="04190003" w:tentative="1">
      <w:start w:val="1"/>
      <w:numFmt w:val="bullet"/>
      <w:lvlText w:val="o"/>
      <w:lvlJc w:val="left"/>
      <w:pPr>
        <w:ind w:left="5970" w:hanging="360"/>
      </w:pPr>
      <w:rPr>
        <w:rFonts w:ascii="Courier New" w:hAnsi="Courier New" w:cs="Courier New" w:hint="default"/>
      </w:rPr>
    </w:lvl>
    <w:lvl w:ilvl="8" w:tplc="04190005" w:tentative="1">
      <w:start w:val="1"/>
      <w:numFmt w:val="bullet"/>
      <w:lvlText w:val=""/>
      <w:lvlJc w:val="left"/>
      <w:pPr>
        <w:ind w:left="6690" w:hanging="360"/>
      </w:pPr>
      <w:rPr>
        <w:rFonts w:ascii="Wingdings" w:hAnsi="Wingdings" w:hint="default"/>
      </w:rPr>
    </w:lvl>
  </w:abstractNum>
  <w:abstractNum w:abstractNumId="456" w15:restartNumberingAfterBreak="0">
    <w:nsid w:val="43BE7F98"/>
    <w:multiLevelType w:val="hybridMultilevel"/>
    <w:tmpl w:val="BB1E15E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7" w15:restartNumberingAfterBreak="0">
    <w:nsid w:val="43C173CF"/>
    <w:multiLevelType w:val="hybridMultilevel"/>
    <w:tmpl w:val="97DC36D8"/>
    <w:lvl w:ilvl="0" w:tplc="A33CDC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58" w15:restartNumberingAfterBreak="0">
    <w:nsid w:val="43EB63FF"/>
    <w:multiLevelType w:val="hybridMultilevel"/>
    <w:tmpl w:val="F742668A"/>
    <w:styleLink w:val="ImportedStyle2"/>
    <w:lvl w:ilvl="0" w:tplc="554E0572">
      <w:start w:val="1"/>
      <w:numFmt w:val="decimal"/>
      <w:lvlText w:val="%1."/>
      <w:lvlJc w:val="left"/>
      <w:pPr>
        <w:tabs>
          <w:tab w:val="left" w:pos="720"/>
          <w:tab w:val="num" w:pos="1416"/>
        </w:tabs>
        <w:ind w:left="707" w:firstLine="2"/>
      </w:pPr>
      <w:rPr>
        <w:rFonts w:hAnsi="Arial Unicode MS"/>
        <w:caps w:val="0"/>
        <w:smallCaps w:val="0"/>
        <w:strike w:val="0"/>
        <w:dstrike w:val="0"/>
        <w:outline w:val="0"/>
        <w:emboss w:val="0"/>
        <w:imprint w:val="0"/>
        <w:spacing w:val="0"/>
        <w:w w:val="100"/>
        <w:kern w:val="0"/>
        <w:position w:val="0"/>
        <w:highlight w:val="none"/>
        <w:vertAlign w:val="baseline"/>
      </w:rPr>
    </w:lvl>
    <w:lvl w:ilvl="1" w:tplc="2DC08E68">
      <w:start w:val="1"/>
      <w:numFmt w:val="decimal"/>
      <w:lvlText w:val="%2."/>
      <w:lvlJc w:val="left"/>
      <w:pPr>
        <w:tabs>
          <w:tab w:val="left" w:pos="720"/>
          <w:tab w:val="num" w:pos="1429"/>
        </w:tabs>
        <w:ind w:left="720" w:firstLine="14"/>
      </w:pPr>
      <w:rPr>
        <w:rFonts w:hAnsi="Arial Unicode MS"/>
        <w:caps w:val="0"/>
        <w:smallCaps w:val="0"/>
        <w:strike w:val="0"/>
        <w:dstrike w:val="0"/>
        <w:outline w:val="0"/>
        <w:emboss w:val="0"/>
        <w:imprint w:val="0"/>
        <w:spacing w:val="0"/>
        <w:w w:val="100"/>
        <w:kern w:val="0"/>
        <w:position w:val="0"/>
        <w:highlight w:val="none"/>
        <w:vertAlign w:val="baseline"/>
      </w:rPr>
    </w:lvl>
    <w:lvl w:ilvl="2" w:tplc="B9E86DE8">
      <w:start w:val="1"/>
      <w:numFmt w:val="decimal"/>
      <w:lvlText w:val="%3."/>
      <w:lvlJc w:val="left"/>
      <w:pPr>
        <w:tabs>
          <w:tab w:val="left" w:pos="720"/>
          <w:tab w:val="num" w:pos="2149"/>
        </w:tabs>
        <w:ind w:left="1440" w:firstLine="26"/>
      </w:pPr>
      <w:rPr>
        <w:rFonts w:hAnsi="Arial Unicode MS"/>
        <w:caps w:val="0"/>
        <w:smallCaps w:val="0"/>
        <w:strike w:val="0"/>
        <w:dstrike w:val="0"/>
        <w:outline w:val="0"/>
        <w:emboss w:val="0"/>
        <w:imprint w:val="0"/>
        <w:spacing w:val="0"/>
        <w:w w:val="100"/>
        <w:kern w:val="0"/>
        <w:position w:val="0"/>
        <w:highlight w:val="none"/>
        <w:vertAlign w:val="baseline"/>
      </w:rPr>
    </w:lvl>
    <w:lvl w:ilvl="3" w:tplc="ECE84308">
      <w:start w:val="1"/>
      <w:numFmt w:val="decimal"/>
      <w:lvlText w:val="%4."/>
      <w:lvlJc w:val="left"/>
      <w:pPr>
        <w:tabs>
          <w:tab w:val="left" w:pos="720"/>
          <w:tab w:val="num" w:pos="2869"/>
        </w:tabs>
        <w:ind w:left="2160" w:firstLine="38"/>
      </w:pPr>
      <w:rPr>
        <w:rFonts w:hAnsi="Arial Unicode MS"/>
        <w:caps w:val="0"/>
        <w:smallCaps w:val="0"/>
        <w:strike w:val="0"/>
        <w:dstrike w:val="0"/>
        <w:outline w:val="0"/>
        <w:emboss w:val="0"/>
        <w:imprint w:val="0"/>
        <w:spacing w:val="0"/>
        <w:w w:val="100"/>
        <w:kern w:val="0"/>
        <w:position w:val="0"/>
        <w:highlight w:val="none"/>
        <w:vertAlign w:val="baseline"/>
      </w:rPr>
    </w:lvl>
    <w:lvl w:ilvl="4" w:tplc="FAF64A9E">
      <w:start w:val="1"/>
      <w:numFmt w:val="decimal"/>
      <w:lvlText w:val="%5."/>
      <w:lvlJc w:val="left"/>
      <w:pPr>
        <w:tabs>
          <w:tab w:val="left" w:pos="720"/>
          <w:tab w:val="num" w:pos="3589"/>
        </w:tabs>
        <w:ind w:left="2880" w:firstLine="50"/>
      </w:pPr>
      <w:rPr>
        <w:rFonts w:hAnsi="Arial Unicode MS"/>
        <w:caps w:val="0"/>
        <w:smallCaps w:val="0"/>
        <w:strike w:val="0"/>
        <w:dstrike w:val="0"/>
        <w:outline w:val="0"/>
        <w:emboss w:val="0"/>
        <w:imprint w:val="0"/>
        <w:spacing w:val="0"/>
        <w:w w:val="100"/>
        <w:kern w:val="0"/>
        <w:position w:val="0"/>
        <w:highlight w:val="none"/>
        <w:vertAlign w:val="baseline"/>
      </w:rPr>
    </w:lvl>
    <w:lvl w:ilvl="5" w:tplc="1070D5CA">
      <w:start w:val="1"/>
      <w:numFmt w:val="decimal"/>
      <w:lvlText w:val="%6."/>
      <w:lvlJc w:val="left"/>
      <w:pPr>
        <w:tabs>
          <w:tab w:val="left" w:pos="720"/>
          <w:tab w:val="num" w:pos="4309"/>
        </w:tabs>
        <w:ind w:left="3600" w:firstLine="62"/>
      </w:pPr>
      <w:rPr>
        <w:rFonts w:hAnsi="Arial Unicode MS"/>
        <w:caps w:val="0"/>
        <w:smallCaps w:val="0"/>
        <w:strike w:val="0"/>
        <w:dstrike w:val="0"/>
        <w:outline w:val="0"/>
        <w:emboss w:val="0"/>
        <w:imprint w:val="0"/>
        <w:spacing w:val="0"/>
        <w:w w:val="100"/>
        <w:kern w:val="0"/>
        <w:position w:val="0"/>
        <w:highlight w:val="none"/>
        <w:vertAlign w:val="baseline"/>
      </w:rPr>
    </w:lvl>
    <w:lvl w:ilvl="6" w:tplc="392CDC24">
      <w:start w:val="1"/>
      <w:numFmt w:val="decimal"/>
      <w:lvlText w:val="%7."/>
      <w:lvlJc w:val="left"/>
      <w:pPr>
        <w:tabs>
          <w:tab w:val="left" w:pos="720"/>
          <w:tab w:val="num" w:pos="5029"/>
        </w:tabs>
        <w:ind w:left="4320" w:firstLine="74"/>
      </w:pPr>
      <w:rPr>
        <w:rFonts w:hAnsi="Arial Unicode MS"/>
        <w:caps w:val="0"/>
        <w:smallCaps w:val="0"/>
        <w:strike w:val="0"/>
        <w:dstrike w:val="0"/>
        <w:outline w:val="0"/>
        <w:emboss w:val="0"/>
        <w:imprint w:val="0"/>
        <w:spacing w:val="0"/>
        <w:w w:val="100"/>
        <w:kern w:val="0"/>
        <w:position w:val="0"/>
        <w:highlight w:val="none"/>
        <w:vertAlign w:val="baseline"/>
      </w:rPr>
    </w:lvl>
    <w:lvl w:ilvl="7" w:tplc="05DC437E">
      <w:start w:val="1"/>
      <w:numFmt w:val="decimal"/>
      <w:lvlText w:val="%8."/>
      <w:lvlJc w:val="left"/>
      <w:pPr>
        <w:tabs>
          <w:tab w:val="left" w:pos="720"/>
          <w:tab w:val="num" w:pos="5749"/>
        </w:tabs>
        <w:ind w:left="5040" w:firstLine="86"/>
      </w:pPr>
      <w:rPr>
        <w:rFonts w:hAnsi="Arial Unicode MS"/>
        <w:caps w:val="0"/>
        <w:smallCaps w:val="0"/>
        <w:strike w:val="0"/>
        <w:dstrike w:val="0"/>
        <w:outline w:val="0"/>
        <w:emboss w:val="0"/>
        <w:imprint w:val="0"/>
        <w:spacing w:val="0"/>
        <w:w w:val="100"/>
        <w:kern w:val="0"/>
        <w:position w:val="0"/>
        <w:highlight w:val="none"/>
        <w:vertAlign w:val="baseline"/>
      </w:rPr>
    </w:lvl>
    <w:lvl w:ilvl="8" w:tplc="9022D75A">
      <w:start w:val="1"/>
      <w:numFmt w:val="decimal"/>
      <w:lvlText w:val="%9."/>
      <w:lvlJc w:val="left"/>
      <w:pPr>
        <w:tabs>
          <w:tab w:val="left" w:pos="720"/>
          <w:tab w:val="num" w:pos="6469"/>
        </w:tabs>
        <w:ind w:left="5760" w:firstLine="9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59" w15:restartNumberingAfterBreak="0">
    <w:nsid w:val="443F5719"/>
    <w:multiLevelType w:val="hybridMultilevel"/>
    <w:tmpl w:val="BDFAD612"/>
    <w:lvl w:ilvl="0" w:tplc="23002D16">
      <w:start w:val="1"/>
      <w:numFmt w:val="bullet"/>
      <w:lvlText w:val=""/>
      <w:lvlJc w:val="left"/>
      <w:pPr>
        <w:ind w:left="1080" w:hanging="360"/>
      </w:pPr>
      <w:rPr>
        <w:rFonts w:ascii="Symbol" w:hAnsi="Symbol" w:hint="default"/>
      </w:rPr>
    </w:lvl>
    <w:lvl w:ilvl="1" w:tplc="EF16D2A0" w:tentative="1">
      <w:start w:val="1"/>
      <w:numFmt w:val="bullet"/>
      <w:lvlText w:val="o"/>
      <w:lvlJc w:val="left"/>
      <w:pPr>
        <w:ind w:left="1800" w:hanging="360"/>
      </w:pPr>
      <w:rPr>
        <w:rFonts w:ascii="Courier New" w:hAnsi="Courier New" w:cs="Courier New" w:hint="default"/>
      </w:rPr>
    </w:lvl>
    <w:lvl w:ilvl="2" w:tplc="EAC090AA" w:tentative="1">
      <w:start w:val="1"/>
      <w:numFmt w:val="bullet"/>
      <w:lvlText w:val=""/>
      <w:lvlJc w:val="left"/>
      <w:pPr>
        <w:ind w:left="2520" w:hanging="360"/>
      </w:pPr>
      <w:rPr>
        <w:rFonts w:ascii="Wingdings" w:hAnsi="Wingdings" w:hint="default"/>
      </w:rPr>
    </w:lvl>
    <w:lvl w:ilvl="3" w:tplc="506230F6" w:tentative="1">
      <w:start w:val="1"/>
      <w:numFmt w:val="bullet"/>
      <w:lvlText w:val=""/>
      <w:lvlJc w:val="left"/>
      <w:pPr>
        <w:ind w:left="3240" w:hanging="360"/>
      </w:pPr>
      <w:rPr>
        <w:rFonts w:ascii="Symbol" w:hAnsi="Symbol" w:hint="default"/>
      </w:rPr>
    </w:lvl>
    <w:lvl w:ilvl="4" w:tplc="A5B0C3EA" w:tentative="1">
      <w:start w:val="1"/>
      <w:numFmt w:val="bullet"/>
      <w:lvlText w:val="o"/>
      <w:lvlJc w:val="left"/>
      <w:pPr>
        <w:ind w:left="3960" w:hanging="360"/>
      </w:pPr>
      <w:rPr>
        <w:rFonts w:ascii="Courier New" w:hAnsi="Courier New" w:cs="Courier New" w:hint="default"/>
      </w:rPr>
    </w:lvl>
    <w:lvl w:ilvl="5" w:tplc="7518A254" w:tentative="1">
      <w:start w:val="1"/>
      <w:numFmt w:val="bullet"/>
      <w:lvlText w:val=""/>
      <w:lvlJc w:val="left"/>
      <w:pPr>
        <w:ind w:left="4680" w:hanging="360"/>
      </w:pPr>
      <w:rPr>
        <w:rFonts w:ascii="Wingdings" w:hAnsi="Wingdings" w:hint="default"/>
      </w:rPr>
    </w:lvl>
    <w:lvl w:ilvl="6" w:tplc="F53CB9D2" w:tentative="1">
      <w:start w:val="1"/>
      <w:numFmt w:val="bullet"/>
      <w:lvlText w:val=""/>
      <w:lvlJc w:val="left"/>
      <w:pPr>
        <w:ind w:left="5400" w:hanging="360"/>
      </w:pPr>
      <w:rPr>
        <w:rFonts w:ascii="Symbol" w:hAnsi="Symbol" w:hint="default"/>
      </w:rPr>
    </w:lvl>
    <w:lvl w:ilvl="7" w:tplc="3E0EF11A" w:tentative="1">
      <w:start w:val="1"/>
      <w:numFmt w:val="bullet"/>
      <w:lvlText w:val="o"/>
      <w:lvlJc w:val="left"/>
      <w:pPr>
        <w:ind w:left="6120" w:hanging="360"/>
      </w:pPr>
      <w:rPr>
        <w:rFonts w:ascii="Courier New" w:hAnsi="Courier New" w:cs="Courier New" w:hint="default"/>
      </w:rPr>
    </w:lvl>
    <w:lvl w:ilvl="8" w:tplc="3356F75E" w:tentative="1">
      <w:start w:val="1"/>
      <w:numFmt w:val="bullet"/>
      <w:lvlText w:val=""/>
      <w:lvlJc w:val="left"/>
      <w:pPr>
        <w:ind w:left="6840" w:hanging="360"/>
      </w:pPr>
      <w:rPr>
        <w:rFonts w:ascii="Wingdings" w:hAnsi="Wingdings" w:hint="default"/>
      </w:rPr>
    </w:lvl>
  </w:abstractNum>
  <w:abstractNum w:abstractNumId="460" w15:restartNumberingAfterBreak="0">
    <w:nsid w:val="444F5FA0"/>
    <w:multiLevelType w:val="multilevel"/>
    <w:tmpl w:val="5492CCBE"/>
    <w:lvl w:ilvl="0">
      <w:start w:val="1"/>
      <w:numFmt w:val="decimal"/>
      <w:lvlText w:val="%1."/>
      <w:lvlJc w:val="left"/>
      <w:pPr>
        <w:ind w:left="720" w:hanging="360"/>
      </w:pPr>
      <w:rPr>
        <w:rFonts w:ascii="Times New Roman" w:eastAsia="Arial" w:hAnsi="Times New Roman" w:cs="Times New Roman" w:hint="default"/>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1" w15:restartNumberingAfterBreak="0">
    <w:nsid w:val="44535A7B"/>
    <w:multiLevelType w:val="multilevel"/>
    <w:tmpl w:val="CAE07E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2" w15:restartNumberingAfterBreak="0">
    <w:nsid w:val="446C2164"/>
    <w:multiLevelType w:val="multilevel"/>
    <w:tmpl w:val="2E5862B2"/>
    <w:lvl w:ilvl="0">
      <w:start w:val="1"/>
      <w:numFmt w:val="decimal"/>
      <w:lvlText w:val="%1."/>
      <w:lvlJc w:val="left"/>
      <w:pPr>
        <w:tabs>
          <w:tab w:val="num" w:pos="720"/>
        </w:tabs>
        <w:ind w:left="720" w:hanging="360"/>
      </w:pPr>
      <w:rPr>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3" w15:restartNumberingAfterBreak="0">
    <w:nsid w:val="44897B5B"/>
    <w:multiLevelType w:val="hybridMultilevel"/>
    <w:tmpl w:val="02FA9324"/>
    <w:lvl w:ilvl="0" w:tplc="4FA4D1F8">
      <w:start w:val="1"/>
      <w:numFmt w:val="decimal"/>
      <w:lvlText w:val="%1."/>
      <w:lvlJc w:val="left"/>
      <w:pPr>
        <w:ind w:left="720" w:hanging="360"/>
      </w:pPr>
      <w:rPr>
        <w:rFonts w:ascii="Arial" w:hAnsi="Arial" w:cs="Arial" w:hint="default"/>
        <w:color w:val="00000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4" w15:restartNumberingAfterBreak="0">
    <w:nsid w:val="44E82B46"/>
    <w:multiLevelType w:val="hybridMultilevel"/>
    <w:tmpl w:val="AD0C4252"/>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5" w15:restartNumberingAfterBreak="0">
    <w:nsid w:val="44F114FF"/>
    <w:multiLevelType w:val="hybridMultilevel"/>
    <w:tmpl w:val="4768CD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6" w15:restartNumberingAfterBreak="0">
    <w:nsid w:val="454370DF"/>
    <w:multiLevelType w:val="multilevel"/>
    <w:tmpl w:val="1248C8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7" w15:restartNumberingAfterBreak="0">
    <w:nsid w:val="454D5A1E"/>
    <w:multiLevelType w:val="multilevel"/>
    <w:tmpl w:val="1280F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8" w15:restartNumberingAfterBreak="0">
    <w:nsid w:val="457E2B3B"/>
    <w:multiLevelType w:val="hybridMultilevel"/>
    <w:tmpl w:val="659EF03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9" w15:restartNumberingAfterBreak="0">
    <w:nsid w:val="45B61B9D"/>
    <w:multiLevelType w:val="hybridMultilevel"/>
    <w:tmpl w:val="A3A2FB72"/>
    <w:lvl w:ilvl="0" w:tplc="F68E445A">
      <w:start w:val="1"/>
      <w:numFmt w:val="decimal"/>
      <w:lvlText w:val="%1."/>
      <w:lvlJc w:val="left"/>
      <w:pPr>
        <w:ind w:left="502" w:hanging="360"/>
      </w:pPr>
      <w:rPr>
        <w:rFonts w:ascii="Times New Roman" w:eastAsiaTheme="minorHAnsi" w:hAnsi="Times New Roman" w:cs="Times New Roman"/>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470" w15:restartNumberingAfterBreak="0">
    <w:nsid w:val="45C83CE7"/>
    <w:multiLevelType w:val="multilevel"/>
    <w:tmpl w:val="782008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1" w15:restartNumberingAfterBreak="0">
    <w:nsid w:val="460D1B9F"/>
    <w:multiLevelType w:val="multilevel"/>
    <w:tmpl w:val="ADB21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2" w15:restartNumberingAfterBreak="0">
    <w:nsid w:val="466A2003"/>
    <w:multiLevelType w:val="hybridMultilevel"/>
    <w:tmpl w:val="B9B298D4"/>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473" w15:restartNumberingAfterBreak="0">
    <w:nsid w:val="4670092E"/>
    <w:multiLevelType w:val="hybridMultilevel"/>
    <w:tmpl w:val="B224807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4" w15:restartNumberingAfterBreak="0">
    <w:nsid w:val="467F38D8"/>
    <w:multiLevelType w:val="hybridMultilevel"/>
    <w:tmpl w:val="07045F1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75" w15:restartNumberingAfterBreak="0">
    <w:nsid w:val="469D4780"/>
    <w:multiLevelType w:val="hybridMultilevel"/>
    <w:tmpl w:val="7EEEDD3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76" w15:restartNumberingAfterBreak="0">
    <w:nsid w:val="46A018F2"/>
    <w:multiLevelType w:val="multilevel"/>
    <w:tmpl w:val="463E2F60"/>
    <w:lvl w:ilvl="0">
      <w:start w:val="1"/>
      <w:numFmt w:val="bullet"/>
      <w:lvlText w:val="o"/>
      <w:lvlJc w:val="left"/>
      <w:pPr>
        <w:ind w:left="720" w:hanging="360"/>
      </w:pPr>
      <w:rPr>
        <w:rFonts w:ascii="Courier New" w:hAnsi="Courier New" w:cs="Courier New"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7" w15:restartNumberingAfterBreak="0">
    <w:nsid w:val="46E049ED"/>
    <w:multiLevelType w:val="hybridMultilevel"/>
    <w:tmpl w:val="89B2E4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8" w15:restartNumberingAfterBreak="0">
    <w:nsid w:val="46EF7162"/>
    <w:multiLevelType w:val="multilevel"/>
    <w:tmpl w:val="46EF716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79" w15:restartNumberingAfterBreak="0">
    <w:nsid w:val="46F564C1"/>
    <w:multiLevelType w:val="multilevel"/>
    <w:tmpl w:val="23CA530C"/>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80" w15:restartNumberingAfterBreak="0">
    <w:nsid w:val="47107835"/>
    <w:multiLevelType w:val="hybridMultilevel"/>
    <w:tmpl w:val="96CE0478"/>
    <w:lvl w:ilvl="0" w:tplc="E4C05870">
      <w:start w:val="1"/>
      <w:numFmt w:val="decimal"/>
      <w:lvlText w:val="%1)"/>
      <w:lvlJc w:val="left"/>
      <w:pPr>
        <w:ind w:left="23" w:hanging="319"/>
      </w:pPr>
      <w:rPr>
        <w:rFonts w:ascii="Times New Roman" w:eastAsia="Times New Roman" w:hAnsi="Times New Roman" w:cs="Times New Roman" w:hint="default"/>
        <w:b w:val="0"/>
        <w:bCs w:val="0"/>
        <w:i w:val="0"/>
        <w:iCs w:val="0"/>
        <w:color w:val="2E2E2E"/>
        <w:spacing w:val="-1"/>
        <w:w w:val="100"/>
        <w:sz w:val="28"/>
        <w:szCs w:val="28"/>
        <w:lang w:val="uk-UA" w:eastAsia="en-US" w:bidi="ar-SA"/>
      </w:rPr>
    </w:lvl>
    <w:lvl w:ilvl="1" w:tplc="16041472">
      <w:start w:val="1"/>
      <w:numFmt w:val="decimal"/>
      <w:lvlText w:val="%2."/>
      <w:lvlJc w:val="left"/>
      <w:pPr>
        <w:ind w:left="743" w:hanging="360"/>
      </w:pPr>
      <w:rPr>
        <w:rFonts w:ascii="Times New Roman" w:eastAsia="Times New Roman" w:hAnsi="Times New Roman" w:cs="Times New Roman" w:hint="default"/>
        <w:b w:val="0"/>
        <w:bCs w:val="0"/>
        <w:i w:val="0"/>
        <w:iCs w:val="0"/>
        <w:color w:val="2E2E2E"/>
        <w:spacing w:val="-1"/>
        <w:w w:val="100"/>
        <w:sz w:val="28"/>
        <w:szCs w:val="28"/>
        <w:lang w:val="uk-UA" w:eastAsia="en-US" w:bidi="ar-SA"/>
      </w:rPr>
    </w:lvl>
    <w:lvl w:ilvl="2" w:tplc="D9869DB4">
      <w:numFmt w:val="bullet"/>
      <w:lvlText w:val="•"/>
      <w:lvlJc w:val="left"/>
      <w:pPr>
        <w:ind w:left="1683" w:hanging="360"/>
      </w:pPr>
      <w:rPr>
        <w:rFonts w:hint="default"/>
        <w:lang w:val="uk-UA" w:eastAsia="en-US" w:bidi="ar-SA"/>
      </w:rPr>
    </w:lvl>
    <w:lvl w:ilvl="3" w:tplc="7F92641A">
      <w:numFmt w:val="bullet"/>
      <w:lvlText w:val="•"/>
      <w:lvlJc w:val="left"/>
      <w:pPr>
        <w:ind w:left="2626" w:hanging="360"/>
      </w:pPr>
      <w:rPr>
        <w:rFonts w:hint="default"/>
        <w:lang w:val="uk-UA" w:eastAsia="en-US" w:bidi="ar-SA"/>
      </w:rPr>
    </w:lvl>
    <w:lvl w:ilvl="4" w:tplc="9AC61C7E">
      <w:numFmt w:val="bullet"/>
      <w:lvlText w:val="•"/>
      <w:lvlJc w:val="left"/>
      <w:pPr>
        <w:ind w:left="3569" w:hanging="360"/>
      </w:pPr>
      <w:rPr>
        <w:rFonts w:hint="default"/>
        <w:lang w:val="uk-UA" w:eastAsia="en-US" w:bidi="ar-SA"/>
      </w:rPr>
    </w:lvl>
    <w:lvl w:ilvl="5" w:tplc="814CC362">
      <w:numFmt w:val="bullet"/>
      <w:lvlText w:val="•"/>
      <w:lvlJc w:val="left"/>
      <w:pPr>
        <w:ind w:left="4512" w:hanging="360"/>
      </w:pPr>
      <w:rPr>
        <w:rFonts w:hint="default"/>
        <w:lang w:val="uk-UA" w:eastAsia="en-US" w:bidi="ar-SA"/>
      </w:rPr>
    </w:lvl>
    <w:lvl w:ilvl="6" w:tplc="386E5994">
      <w:numFmt w:val="bullet"/>
      <w:lvlText w:val="•"/>
      <w:lvlJc w:val="left"/>
      <w:pPr>
        <w:ind w:left="5455" w:hanging="360"/>
      </w:pPr>
      <w:rPr>
        <w:rFonts w:hint="default"/>
        <w:lang w:val="uk-UA" w:eastAsia="en-US" w:bidi="ar-SA"/>
      </w:rPr>
    </w:lvl>
    <w:lvl w:ilvl="7" w:tplc="DE2A9802">
      <w:numFmt w:val="bullet"/>
      <w:lvlText w:val="•"/>
      <w:lvlJc w:val="left"/>
      <w:pPr>
        <w:ind w:left="6398" w:hanging="360"/>
      </w:pPr>
      <w:rPr>
        <w:rFonts w:hint="default"/>
        <w:lang w:val="uk-UA" w:eastAsia="en-US" w:bidi="ar-SA"/>
      </w:rPr>
    </w:lvl>
    <w:lvl w:ilvl="8" w:tplc="1520F5A0">
      <w:numFmt w:val="bullet"/>
      <w:lvlText w:val="•"/>
      <w:lvlJc w:val="left"/>
      <w:pPr>
        <w:ind w:left="7341" w:hanging="360"/>
      </w:pPr>
      <w:rPr>
        <w:rFonts w:hint="default"/>
        <w:lang w:val="uk-UA" w:eastAsia="en-US" w:bidi="ar-SA"/>
      </w:rPr>
    </w:lvl>
  </w:abstractNum>
  <w:abstractNum w:abstractNumId="481" w15:restartNumberingAfterBreak="0">
    <w:nsid w:val="47857FD4"/>
    <w:multiLevelType w:val="hybridMultilevel"/>
    <w:tmpl w:val="30708DF6"/>
    <w:lvl w:ilvl="0" w:tplc="EBD2908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82" w15:restartNumberingAfterBreak="0">
    <w:nsid w:val="47960E25"/>
    <w:multiLevelType w:val="hybridMultilevel"/>
    <w:tmpl w:val="A16C59EC"/>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3" w15:restartNumberingAfterBreak="0">
    <w:nsid w:val="47B37113"/>
    <w:multiLevelType w:val="hybridMultilevel"/>
    <w:tmpl w:val="64A80D54"/>
    <w:lvl w:ilvl="0" w:tplc="04090001">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84" w15:restartNumberingAfterBreak="0">
    <w:nsid w:val="486503CA"/>
    <w:multiLevelType w:val="hybridMultilevel"/>
    <w:tmpl w:val="BB1E15E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5" w15:restartNumberingAfterBreak="0">
    <w:nsid w:val="489E1E5C"/>
    <w:multiLevelType w:val="multilevel"/>
    <w:tmpl w:val="F1F85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6" w15:restartNumberingAfterBreak="0">
    <w:nsid w:val="48BC0B16"/>
    <w:multiLevelType w:val="hybridMultilevel"/>
    <w:tmpl w:val="E1C62BB6"/>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87" w15:restartNumberingAfterBreak="0">
    <w:nsid w:val="48D55310"/>
    <w:multiLevelType w:val="hybridMultilevel"/>
    <w:tmpl w:val="B42EE5EA"/>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88" w15:restartNumberingAfterBreak="0">
    <w:nsid w:val="49197D29"/>
    <w:multiLevelType w:val="multilevel"/>
    <w:tmpl w:val="5A76E1A6"/>
    <w:lvl w:ilvl="0">
      <w:start w:val="1"/>
      <w:numFmt w:val="decimal"/>
      <w:lvlText w:val="%1."/>
      <w:lvlJc w:val="left"/>
      <w:pPr>
        <w:tabs>
          <w:tab w:val="num" w:pos="720"/>
        </w:tabs>
        <w:ind w:left="720" w:hanging="360"/>
      </w:pPr>
      <w:rPr>
        <w:rFonts w:ascii="Times New Roman" w:eastAsia="Calibri" w:hAnsi="Times New Roman" w:cs="Arial"/>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9" w15:restartNumberingAfterBreak="0">
    <w:nsid w:val="49F500ED"/>
    <w:multiLevelType w:val="multilevel"/>
    <w:tmpl w:val="86F87A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0" w15:restartNumberingAfterBreak="0">
    <w:nsid w:val="49F86C95"/>
    <w:multiLevelType w:val="multilevel"/>
    <w:tmpl w:val="B37AF9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91" w15:restartNumberingAfterBreak="0">
    <w:nsid w:val="4A1113BE"/>
    <w:multiLevelType w:val="hybridMultilevel"/>
    <w:tmpl w:val="D96EE6C6"/>
    <w:lvl w:ilvl="0" w:tplc="D7686316">
      <w:start w:val="1"/>
      <w:numFmt w:val="decimal"/>
      <w:lvlText w:val="%1."/>
      <w:lvlJc w:val="left"/>
      <w:pPr>
        <w:ind w:left="720" w:hanging="360"/>
      </w:pPr>
    </w:lvl>
    <w:lvl w:ilvl="1" w:tplc="9B8AA398">
      <w:start w:val="1"/>
      <w:numFmt w:val="lowerLetter"/>
      <w:lvlText w:val="%2."/>
      <w:lvlJc w:val="left"/>
      <w:pPr>
        <w:ind w:left="1440" w:hanging="360"/>
      </w:pPr>
    </w:lvl>
    <w:lvl w:ilvl="2" w:tplc="8E387964">
      <w:start w:val="1"/>
      <w:numFmt w:val="lowerRoman"/>
      <w:lvlText w:val="%3."/>
      <w:lvlJc w:val="right"/>
      <w:pPr>
        <w:ind w:left="2160" w:hanging="180"/>
      </w:pPr>
    </w:lvl>
    <w:lvl w:ilvl="3" w:tplc="5CA6DC56">
      <w:start w:val="1"/>
      <w:numFmt w:val="decimal"/>
      <w:lvlText w:val="%4."/>
      <w:lvlJc w:val="left"/>
      <w:pPr>
        <w:ind w:left="2880" w:hanging="360"/>
      </w:pPr>
    </w:lvl>
    <w:lvl w:ilvl="4" w:tplc="80D4C9F8">
      <w:start w:val="1"/>
      <w:numFmt w:val="lowerLetter"/>
      <w:lvlText w:val="%5."/>
      <w:lvlJc w:val="left"/>
      <w:pPr>
        <w:ind w:left="3600" w:hanging="360"/>
      </w:pPr>
    </w:lvl>
    <w:lvl w:ilvl="5" w:tplc="B2783434">
      <w:start w:val="1"/>
      <w:numFmt w:val="lowerRoman"/>
      <w:lvlText w:val="%6."/>
      <w:lvlJc w:val="right"/>
      <w:pPr>
        <w:ind w:left="4320" w:hanging="180"/>
      </w:pPr>
    </w:lvl>
    <w:lvl w:ilvl="6" w:tplc="3F4C9238">
      <w:start w:val="1"/>
      <w:numFmt w:val="decimal"/>
      <w:lvlText w:val="%7."/>
      <w:lvlJc w:val="left"/>
      <w:pPr>
        <w:ind w:left="5040" w:hanging="360"/>
      </w:pPr>
    </w:lvl>
    <w:lvl w:ilvl="7" w:tplc="15886AAA">
      <w:start w:val="1"/>
      <w:numFmt w:val="lowerLetter"/>
      <w:lvlText w:val="%8."/>
      <w:lvlJc w:val="left"/>
      <w:pPr>
        <w:ind w:left="5760" w:hanging="360"/>
      </w:pPr>
    </w:lvl>
    <w:lvl w:ilvl="8" w:tplc="5E2645A6">
      <w:start w:val="1"/>
      <w:numFmt w:val="lowerRoman"/>
      <w:lvlText w:val="%9."/>
      <w:lvlJc w:val="right"/>
      <w:pPr>
        <w:ind w:left="6480" w:hanging="180"/>
      </w:pPr>
    </w:lvl>
  </w:abstractNum>
  <w:abstractNum w:abstractNumId="492" w15:restartNumberingAfterBreak="0">
    <w:nsid w:val="4A1F5C2F"/>
    <w:multiLevelType w:val="hybridMultilevel"/>
    <w:tmpl w:val="B0066672"/>
    <w:lvl w:ilvl="0" w:tplc="C428AF9E">
      <w:start w:val="1"/>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3" w15:restartNumberingAfterBreak="0">
    <w:nsid w:val="4A7541C6"/>
    <w:multiLevelType w:val="hybridMultilevel"/>
    <w:tmpl w:val="54ACBA08"/>
    <w:lvl w:ilvl="0" w:tplc="8604BB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4" w15:restartNumberingAfterBreak="0">
    <w:nsid w:val="4AA67DE6"/>
    <w:multiLevelType w:val="hybridMultilevel"/>
    <w:tmpl w:val="80CA6BD6"/>
    <w:lvl w:ilvl="0" w:tplc="8DDE1DBE">
      <w:start w:val="1"/>
      <w:numFmt w:val="decimal"/>
      <w:lvlText w:val="%1."/>
      <w:lvlJc w:val="left"/>
      <w:pPr>
        <w:ind w:left="360" w:hanging="360"/>
      </w:pPr>
      <w:rPr>
        <w:rFonts w:ascii="Arial" w:hAnsi="Arial" w:cs="Aria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5" w15:restartNumberingAfterBreak="0">
    <w:nsid w:val="4AB669E2"/>
    <w:multiLevelType w:val="hybridMultilevel"/>
    <w:tmpl w:val="DDDE191A"/>
    <w:lvl w:ilvl="0" w:tplc="60C0347A">
      <w:start w:val="1"/>
      <w:numFmt w:val="decimal"/>
      <w:lvlText w:val="%1."/>
      <w:lvlJc w:val="left"/>
      <w:pPr>
        <w:ind w:left="0"/>
      </w:pPr>
      <w:rPr>
        <w:rFonts w:ascii="Arial" w:eastAsia="Times New Roman" w:hAnsi="Arial" w:cs="Arial" w:hint="default"/>
        <w:b w:val="0"/>
        <w:i w:val="0"/>
        <w:strike w:val="0"/>
        <w:dstrike w:val="0"/>
        <w:color w:val="000000"/>
        <w:sz w:val="28"/>
        <w:szCs w:val="28"/>
        <w:u w:val="none" w:color="000000"/>
        <w:bdr w:val="none" w:sz="0" w:space="0" w:color="auto"/>
        <w:shd w:val="clear" w:color="auto" w:fill="auto"/>
        <w:vertAlign w:val="baseline"/>
      </w:rPr>
    </w:lvl>
    <w:lvl w:ilvl="1" w:tplc="9828D3FE">
      <w:start w:val="1"/>
      <w:numFmt w:val="lowerLetter"/>
      <w:lvlText w:val="%2"/>
      <w:lvlJc w:val="left"/>
      <w:pPr>
        <w:ind w:left="14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DB0D452">
      <w:start w:val="1"/>
      <w:numFmt w:val="lowerRoman"/>
      <w:lvlText w:val="%3"/>
      <w:lvlJc w:val="left"/>
      <w:pPr>
        <w:ind w:left="21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5BCB3FA">
      <w:start w:val="1"/>
      <w:numFmt w:val="decimal"/>
      <w:lvlText w:val="%4"/>
      <w:lvlJc w:val="left"/>
      <w:pPr>
        <w:ind w:left="28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4DADA90">
      <w:start w:val="1"/>
      <w:numFmt w:val="lowerLetter"/>
      <w:lvlText w:val="%5"/>
      <w:lvlJc w:val="left"/>
      <w:pPr>
        <w:ind w:left="35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51CCCE8">
      <w:start w:val="1"/>
      <w:numFmt w:val="lowerRoman"/>
      <w:lvlText w:val="%6"/>
      <w:lvlJc w:val="left"/>
      <w:pPr>
        <w:ind w:left="43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73CEB98">
      <w:start w:val="1"/>
      <w:numFmt w:val="decimal"/>
      <w:lvlText w:val="%7"/>
      <w:lvlJc w:val="left"/>
      <w:pPr>
        <w:ind w:left="50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11AABA8">
      <w:start w:val="1"/>
      <w:numFmt w:val="lowerLetter"/>
      <w:lvlText w:val="%8"/>
      <w:lvlJc w:val="left"/>
      <w:pPr>
        <w:ind w:left="57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D1404D6">
      <w:start w:val="1"/>
      <w:numFmt w:val="lowerRoman"/>
      <w:lvlText w:val="%9"/>
      <w:lvlJc w:val="left"/>
      <w:pPr>
        <w:ind w:left="64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96" w15:restartNumberingAfterBreak="0">
    <w:nsid w:val="4AEF7662"/>
    <w:multiLevelType w:val="multilevel"/>
    <w:tmpl w:val="CECA9232"/>
    <w:lvl w:ilvl="0">
      <w:start w:val="2"/>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97" w15:restartNumberingAfterBreak="0">
    <w:nsid w:val="4B5365B0"/>
    <w:multiLevelType w:val="hybridMultilevel"/>
    <w:tmpl w:val="0FDE0FCA"/>
    <w:lvl w:ilvl="0" w:tplc="3DEE4618">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98" w15:restartNumberingAfterBreak="0">
    <w:nsid w:val="4B5C5CC1"/>
    <w:multiLevelType w:val="multilevel"/>
    <w:tmpl w:val="4EF457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9" w15:restartNumberingAfterBreak="0">
    <w:nsid w:val="4B793053"/>
    <w:multiLevelType w:val="hybridMultilevel"/>
    <w:tmpl w:val="45E6EA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0" w15:restartNumberingAfterBreak="0">
    <w:nsid w:val="4B9E3E96"/>
    <w:multiLevelType w:val="multilevel"/>
    <w:tmpl w:val="E1F64E10"/>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501" w15:restartNumberingAfterBreak="0">
    <w:nsid w:val="4BFC5258"/>
    <w:multiLevelType w:val="hybridMultilevel"/>
    <w:tmpl w:val="BE6CCF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2" w15:restartNumberingAfterBreak="0">
    <w:nsid w:val="4C1465AB"/>
    <w:multiLevelType w:val="hybridMultilevel"/>
    <w:tmpl w:val="585EA1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3" w15:restartNumberingAfterBreak="0">
    <w:nsid w:val="4C32597C"/>
    <w:multiLevelType w:val="multilevel"/>
    <w:tmpl w:val="A284487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04" w15:restartNumberingAfterBreak="0">
    <w:nsid w:val="4C675350"/>
    <w:multiLevelType w:val="hybridMultilevel"/>
    <w:tmpl w:val="78DE4816"/>
    <w:lvl w:ilvl="0" w:tplc="2000000F">
      <w:start w:val="1"/>
      <w:numFmt w:val="decimal"/>
      <w:lvlText w:val="%1."/>
      <w:lvlJc w:val="left"/>
      <w:pPr>
        <w:ind w:left="786"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05" w15:restartNumberingAfterBreak="0">
    <w:nsid w:val="4CAC19B4"/>
    <w:multiLevelType w:val="hybridMultilevel"/>
    <w:tmpl w:val="60E470B2"/>
    <w:lvl w:ilvl="0" w:tplc="D090A626">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6" w15:restartNumberingAfterBreak="0">
    <w:nsid w:val="4CB16F29"/>
    <w:multiLevelType w:val="hybridMultilevel"/>
    <w:tmpl w:val="7EF4BD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07" w15:restartNumberingAfterBreak="0">
    <w:nsid w:val="4CD255BA"/>
    <w:multiLevelType w:val="hybridMultilevel"/>
    <w:tmpl w:val="6DE8E658"/>
    <w:lvl w:ilvl="0" w:tplc="1A4649C4">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08" w15:restartNumberingAfterBreak="0">
    <w:nsid w:val="4CD848BB"/>
    <w:multiLevelType w:val="multilevel"/>
    <w:tmpl w:val="F9A4C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9" w15:restartNumberingAfterBreak="0">
    <w:nsid w:val="4CE6614C"/>
    <w:multiLevelType w:val="multilevel"/>
    <w:tmpl w:val="F7ECA380"/>
    <w:lvl w:ilvl="0">
      <w:start w:val="1"/>
      <w:numFmt w:val="bullet"/>
      <w:lvlText w:val="•"/>
      <w:lvlJc w:val="left"/>
      <w:pPr>
        <w:ind w:left="0" w:firstLine="0"/>
      </w:pPr>
      <w:rPr>
        <w:u w:val="none"/>
      </w:rPr>
    </w:lvl>
    <w:lvl w:ilvl="1">
      <w:numFmt w:val="decimal"/>
      <w:lvlText w:val=""/>
      <w:lvlJc w:val="left"/>
      <w:pPr>
        <w:ind w:left="0" w:firstLine="0"/>
      </w:pPr>
      <w:rPr>
        <w:u w:val="none"/>
      </w:rPr>
    </w:lvl>
    <w:lvl w:ilvl="2">
      <w:numFmt w:val="decimal"/>
      <w:lvlText w:val=""/>
      <w:lvlJc w:val="left"/>
      <w:pPr>
        <w:ind w:left="0" w:firstLine="0"/>
      </w:pPr>
      <w:rPr>
        <w:u w:val="none"/>
      </w:rPr>
    </w:lvl>
    <w:lvl w:ilvl="3">
      <w:numFmt w:val="decimal"/>
      <w:lvlText w:val=""/>
      <w:lvlJc w:val="left"/>
      <w:pPr>
        <w:ind w:left="0" w:firstLine="0"/>
      </w:pPr>
      <w:rPr>
        <w:u w:val="none"/>
      </w:rPr>
    </w:lvl>
    <w:lvl w:ilvl="4">
      <w:numFmt w:val="decimal"/>
      <w:lvlText w:val=""/>
      <w:lvlJc w:val="left"/>
      <w:pPr>
        <w:ind w:left="0" w:firstLine="0"/>
      </w:pPr>
      <w:rPr>
        <w:u w:val="none"/>
      </w:rPr>
    </w:lvl>
    <w:lvl w:ilvl="5">
      <w:numFmt w:val="decimal"/>
      <w:lvlText w:val=""/>
      <w:lvlJc w:val="left"/>
      <w:pPr>
        <w:ind w:left="0" w:firstLine="0"/>
      </w:pPr>
      <w:rPr>
        <w:u w:val="none"/>
      </w:rPr>
    </w:lvl>
    <w:lvl w:ilvl="6">
      <w:numFmt w:val="decimal"/>
      <w:lvlText w:val=""/>
      <w:lvlJc w:val="left"/>
      <w:pPr>
        <w:ind w:left="0" w:firstLine="0"/>
      </w:pPr>
      <w:rPr>
        <w:u w:val="none"/>
      </w:rPr>
    </w:lvl>
    <w:lvl w:ilvl="7">
      <w:numFmt w:val="decimal"/>
      <w:lvlText w:val=""/>
      <w:lvlJc w:val="left"/>
      <w:pPr>
        <w:ind w:left="0" w:firstLine="0"/>
      </w:pPr>
      <w:rPr>
        <w:u w:val="none"/>
      </w:rPr>
    </w:lvl>
    <w:lvl w:ilvl="8">
      <w:numFmt w:val="decimal"/>
      <w:lvlText w:val=""/>
      <w:lvlJc w:val="left"/>
      <w:pPr>
        <w:ind w:left="0" w:firstLine="0"/>
      </w:pPr>
      <w:rPr>
        <w:u w:val="none"/>
      </w:rPr>
    </w:lvl>
  </w:abstractNum>
  <w:abstractNum w:abstractNumId="510" w15:restartNumberingAfterBreak="0">
    <w:nsid w:val="4D0744F3"/>
    <w:multiLevelType w:val="multilevel"/>
    <w:tmpl w:val="3ADC6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1" w15:restartNumberingAfterBreak="0">
    <w:nsid w:val="4D0D23F1"/>
    <w:multiLevelType w:val="hybridMultilevel"/>
    <w:tmpl w:val="3DEACE18"/>
    <w:lvl w:ilvl="0" w:tplc="5A38AE44">
      <w:start w:val="1"/>
      <w:numFmt w:val="decimal"/>
      <w:lvlText w:val="%1."/>
      <w:lvlJc w:val="left"/>
      <w:pPr>
        <w:ind w:left="1429" w:hanging="360"/>
      </w:pPr>
    </w:lvl>
    <w:lvl w:ilvl="1" w:tplc="00A4D774" w:tentative="1">
      <w:start w:val="1"/>
      <w:numFmt w:val="lowerLetter"/>
      <w:lvlText w:val="%2."/>
      <w:lvlJc w:val="left"/>
      <w:pPr>
        <w:ind w:left="2149" w:hanging="360"/>
      </w:pPr>
    </w:lvl>
    <w:lvl w:ilvl="2" w:tplc="213C7A72" w:tentative="1">
      <w:start w:val="1"/>
      <w:numFmt w:val="lowerRoman"/>
      <w:lvlText w:val="%3."/>
      <w:lvlJc w:val="right"/>
      <w:pPr>
        <w:ind w:left="2869" w:hanging="180"/>
      </w:pPr>
    </w:lvl>
    <w:lvl w:ilvl="3" w:tplc="F202EEA4" w:tentative="1">
      <w:start w:val="1"/>
      <w:numFmt w:val="decimal"/>
      <w:lvlText w:val="%4."/>
      <w:lvlJc w:val="left"/>
      <w:pPr>
        <w:ind w:left="3589" w:hanging="360"/>
      </w:pPr>
    </w:lvl>
    <w:lvl w:ilvl="4" w:tplc="9A120FB2" w:tentative="1">
      <w:start w:val="1"/>
      <w:numFmt w:val="lowerLetter"/>
      <w:lvlText w:val="%5."/>
      <w:lvlJc w:val="left"/>
      <w:pPr>
        <w:ind w:left="4309" w:hanging="360"/>
      </w:pPr>
    </w:lvl>
    <w:lvl w:ilvl="5" w:tplc="74BE1A9C" w:tentative="1">
      <w:start w:val="1"/>
      <w:numFmt w:val="lowerRoman"/>
      <w:lvlText w:val="%6."/>
      <w:lvlJc w:val="right"/>
      <w:pPr>
        <w:ind w:left="5029" w:hanging="180"/>
      </w:pPr>
    </w:lvl>
    <w:lvl w:ilvl="6" w:tplc="206E6336" w:tentative="1">
      <w:start w:val="1"/>
      <w:numFmt w:val="decimal"/>
      <w:lvlText w:val="%7."/>
      <w:lvlJc w:val="left"/>
      <w:pPr>
        <w:ind w:left="5749" w:hanging="360"/>
      </w:pPr>
    </w:lvl>
    <w:lvl w:ilvl="7" w:tplc="6E02BBE4" w:tentative="1">
      <w:start w:val="1"/>
      <w:numFmt w:val="lowerLetter"/>
      <w:lvlText w:val="%8."/>
      <w:lvlJc w:val="left"/>
      <w:pPr>
        <w:ind w:left="6469" w:hanging="360"/>
      </w:pPr>
    </w:lvl>
    <w:lvl w:ilvl="8" w:tplc="CA34CFCC" w:tentative="1">
      <w:start w:val="1"/>
      <w:numFmt w:val="lowerRoman"/>
      <w:lvlText w:val="%9."/>
      <w:lvlJc w:val="right"/>
      <w:pPr>
        <w:ind w:left="7189" w:hanging="180"/>
      </w:pPr>
    </w:lvl>
  </w:abstractNum>
  <w:abstractNum w:abstractNumId="512" w15:restartNumberingAfterBreak="0">
    <w:nsid w:val="4D7660C1"/>
    <w:multiLevelType w:val="hybridMultilevel"/>
    <w:tmpl w:val="15BAC51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3" w15:restartNumberingAfterBreak="0">
    <w:nsid w:val="4D771FFA"/>
    <w:multiLevelType w:val="hybridMultilevel"/>
    <w:tmpl w:val="D0C0101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14" w15:restartNumberingAfterBreak="0">
    <w:nsid w:val="4DE92D55"/>
    <w:multiLevelType w:val="hybridMultilevel"/>
    <w:tmpl w:val="BB52D3F0"/>
    <w:styleLink w:val="ImportedStyle1"/>
    <w:lvl w:ilvl="0" w:tplc="0419000F">
      <w:start w:val="1"/>
      <w:numFmt w:val="bullet"/>
      <w:lvlText w:val="-"/>
      <w:lvlJc w:val="left"/>
      <w:pPr>
        <w:ind w:left="10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04190019">
      <w:start w:val="1"/>
      <w:numFmt w:val="bullet"/>
      <w:lvlText w:val="o"/>
      <w:lvlJc w:val="left"/>
      <w:pPr>
        <w:ind w:left="178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0419001B">
      <w:start w:val="1"/>
      <w:numFmt w:val="bullet"/>
      <w:lvlText w:val="▪"/>
      <w:lvlJc w:val="left"/>
      <w:pPr>
        <w:ind w:left="250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0419000F">
      <w:start w:val="1"/>
      <w:numFmt w:val="bullet"/>
      <w:lvlText w:val="•"/>
      <w:lvlJc w:val="left"/>
      <w:pPr>
        <w:ind w:left="322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4190019">
      <w:start w:val="1"/>
      <w:numFmt w:val="bullet"/>
      <w:lvlText w:val="o"/>
      <w:lvlJc w:val="left"/>
      <w:pPr>
        <w:ind w:left="394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0419001B">
      <w:start w:val="1"/>
      <w:numFmt w:val="bullet"/>
      <w:lvlText w:val="▪"/>
      <w:lvlJc w:val="left"/>
      <w:pPr>
        <w:ind w:left="466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0419000F">
      <w:start w:val="1"/>
      <w:numFmt w:val="bullet"/>
      <w:lvlText w:val="•"/>
      <w:lvlJc w:val="left"/>
      <w:pPr>
        <w:ind w:left="538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04190019">
      <w:start w:val="1"/>
      <w:numFmt w:val="bullet"/>
      <w:lvlText w:val="o"/>
      <w:lvlJc w:val="left"/>
      <w:pPr>
        <w:ind w:left="610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0419001B">
      <w:start w:val="1"/>
      <w:numFmt w:val="bullet"/>
      <w:lvlText w:val="▪"/>
      <w:lvlJc w:val="left"/>
      <w:pPr>
        <w:ind w:left="6829"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15" w15:restartNumberingAfterBreak="0">
    <w:nsid w:val="4E3E69AE"/>
    <w:multiLevelType w:val="hybridMultilevel"/>
    <w:tmpl w:val="F2A8D1A6"/>
    <w:styleLink w:val="4"/>
    <w:lvl w:ilvl="0" w:tplc="5E1E13C4">
      <w:start w:val="1"/>
      <w:numFmt w:val="decimal"/>
      <w:lvlText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8"/>
        </w:tabs>
        <w:ind w:left="295"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A000304">
      <w:start w:val="1"/>
      <w:numFmt w:val="decimal"/>
      <w:suff w:val="nothing"/>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8"/>
        </w:tabs>
        <w:ind w:left="720" w:hanging="21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7F42E0A">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8"/>
        </w:tabs>
        <w:ind w:left="1600"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8E3AB89E">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8"/>
        </w:tabs>
        <w:ind w:left="2400"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3D854B8">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8"/>
        </w:tabs>
        <w:ind w:left="3200"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770C89C">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8"/>
        </w:tabs>
        <w:ind w:left="4000"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BCAB8C2">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8"/>
        </w:tabs>
        <w:ind w:left="4800"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E8C4D68">
      <w:start w:val="1"/>
      <w:numFmt w:val="decimal"/>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8"/>
        </w:tabs>
        <w:ind w:left="5600"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9AAF8E0">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8848"/>
        </w:tabs>
        <w:ind w:left="6400"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16" w15:restartNumberingAfterBreak="0">
    <w:nsid w:val="4E850CC3"/>
    <w:multiLevelType w:val="hybridMultilevel"/>
    <w:tmpl w:val="54B4101A"/>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7" w15:restartNumberingAfterBreak="0">
    <w:nsid w:val="4EAC5552"/>
    <w:multiLevelType w:val="hybridMultilevel"/>
    <w:tmpl w:val="C7BE5D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8" w15:restartNumberingAfterBreak="0">
    <w:nsid w:val="4ECB187F"/>
    <w:multiLevelType w:val="hybridMultilevel"/>
    <w:tmpl w:val="DAB84D32"/>
    <w:lvl w:ilvl="0" w:tplc="46080A1A">
      <w:start w:val="17"/>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19" w15:restartNumberingAfterBreak="0">
    <w:nsid w:val="4EEF6D90"/>
    <w:multiLevelType w:val="hybridMultilevel"/>
    <w:tmpl w:val="E9FE474A"/>
    <w:lvl w:ilvl="0" w:tplc="44DAEFFC">
      <w:start w:val="1"/>
      <w:numFmt w:val="decimal"/>
      <w:lvlText w:val="%1."/>
      <w:lvlJc w:val="left"/>
      <w:pPr>
        <w:ind w:left="735" w:hanging="375"/>
      </w:pPr>
      <w:rPr>
        <w:rFonts w:hint="default"/>
      </w:rPr>
    </w:lvl>
    <w:lvl w:ilvl="1" w:tplc="4DB23A38" w:tentative="1">
      <w:start w:val="1"/>
      <w:numFmt w:val="lowerLetter"/>
      <w:lvlText w:val="%2."/>
      <w:lvlJc w:val="left"/>
      <w:pPr>
        <w:ind w:left="1440" w:hanging="360"/>
      </w:pPr>
    </w:lvl>
    <w:lvl w:ilvl="2" w:tplc="D2A0C4AE" w:tentative="1">
      <w:start w:val="1"/>
      <w:numFmt w:val="lowerRoman"/>
      <w:lvlText w:val="%3."/>
      <w:lvlJc w:val="right"/>
      <w:pPr>
        <w:ind w:left="2160" w:hanging="180"/>
      </w:pPr>
    </w:lvl>
    <w:lvl w:ilvl="3" w:tplc="D3864CEC" w:tentative="1">
      <w:start w:val="1"/>
      <w:numFmt w:val="decimal"/>
      <w:lvlText w:val="%4."/>
      <w:lvlJc w:val="left"/>
      <w:pPr>
        <w:ind w:left="2880" w:hanging="360"/>
      </w:pPr>
    </w:lvl>
    <w:lvl w:ilvl="4" w:tplc="82A0CD1C" w:tentative="1">
      <w:start w:val="1"/>
      <w:numFmt w:val="lowerLetter"/>
      <w:lvlText w:val="%5."/>
      <w:lvlJc w:val="left"/>
      <w:pPr>
        <w:ind w:left="3600" w:hanging="360"/>
      </w:pPr>
    </w:lvl>
    <w:lvl w:ilvl="5" w:tplc="5F2A3304" w:tentative="1">
      <w:start w:val="1"/>
      <w:numFmt w:val="lowerRoman"/>
      <w:lvlText w:val="%6."/>
      <w:lvlJc w:val="right"/>
      <w:pPr>
        <w:ind w:left="4320" w:hanging="180"/>
      </w:pPr>
    </w:lvl>
    <w:lvl w:ilvl="6" w:tplc="69B6F0D4" w:tentative="1">
      <w:start w:val="1"/>
      <w:numFmt w:val="decimal"/>
      <w:lvlText w:val="%7."/>
      <w:lvlJc w:val="left"/>
      <w:pPr>
        <w:ind w:left="5040" w:hanging="360"/>
      </w:pPr>
    </w:lvl>
    <w:lvl w:ilvl="7" w:tplc="B5B2E536" w:tentative="1">
      <w:start w:val="1"/>
      <w:numFmt w:val="lowerLetter"/>
      <w:lvlText w:val="%8."/>
      <w:lvlJc w:val="left"/>
      <w:pPr>
        <w:ind w:left="5760" w:hanging="360"/>
      </w:pPr>
    </w:lvl>
    <w:lvl w:ilvl="8" w:tplc="E342129A" w:tentative="1">
      <w:start w:val="1"/>
      <w:numFmt w:val="lowerRoman"/>
      <w:lvlText w:val="%9."/>
      <w:lvlJc w:val="right"/>
      <w:pPr>
        <w:ind w:left="6480" w:hanging="180"/>
      </w:pPr>
    </w:lvl>
  </w:abstractNum>
  <w:abstractNum w:abstractNumId="520" w15:restartNumberingAfterBreak="0">
    <w:nsid w:val="4F274591"/>
    <w:multiLevelType w:val="hybridMultilevel"/>
    <w:tmpl w:val="50DC95F8"/>
    <w:lvl w:ilvl="0" w:tplc="CDEEDE7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1" w15:restartNumberingAfterBreak="0">
    <w:nsid w:val="4F2C1BF7"/>
    <w:multiLevelType w:val="hybridMultilevel"/>
    <w:tmpl w:val="06E82D1C"/>
    <w:lvl w:ilvl="0" w:tplc="705E27E6">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22" w15:restartNumberingAfterBreak="0">
    <w:nsid w:val="4F400393"/>
    <w:multiLevelType w:val="hybridMultilevel"/>
    <w:tmpl w:val="9A3207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23" w15:restartNumberingAfterBreak="0">
    <w:nsid w:val="4F7158D1"/>
    <w:multiLevelType w:val="hybridMultilevel"/>
    <w:tmpl w:val="69B82BEC"/>
    <w:lvl w:ilvl="0" w:tplc="6340FA44">
      <w:start w:val="1"/>
      <w:numFmt w:val="decimal"/>
      <w:lvlText w:val="%1."/>
      <w:lvlJc w:val="left"/>
      <w:pPr>
        <w:ind w:left="720" w:hanging="360"/>
      </w:pPr>
      <w:rPr>
        <w:rFonts w:ascii="Arial" w:hAnsi="Arial" w:cs="Arial"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4" w15:restartNumberingAfterBreak="0">
    <w:nsid w:val="4F94259B"/>
    <w:multiLevelType w:val="multilevel"/>
    <w:tmpl w:val="EB2A5284"/>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5" w15:restartNumberingAfterBreak="0">
    <w:nsid w:val="502A33C3"/>
    <w:multiLevelType w:val="multilevel"/>
    <w:tmpl w:val="1A34AC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6" w15:restartNumberingAfterBreak="0">
    <w:nsid w:val="503B1B87"/>
    <w:multiLevelType w:val="multilevel"/>
    <w:tmpl w:val="7F44C828"/>
    <w:lvl w:ilvl="0">
      <w:start w:val="1"/>
      <w:numFmt w:val="decimal"/>
      <w:lvlText w:val="%1."/>
      <w:lvlJc w:val="left"/>
      <w:pPr>
        <w:tabs>
          <w:tab w:val="num" w:pos="0"/>
        </w:tabs>
        <w:ind w:left="1080" w:hanging="360"/>
      </w:pPr>
      <w:rPr>
        <w:sz w:val="28"/>
        <w:szCs w:val="28"/>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527" w15:restartNumberingAfterBreak="0">
    <w:nsid w:val="504E00DD"/>
    <w:multiLevelType w:val="hybridMultilevel"/>
    <w:tmpl w:val="8132BE4C"/>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28" w15:restartNumberingAfterBreak="0">
    <w:nsid w:val="50643FAB"/>
    <w:multiLevelType w:val="hybridMultilevel"/>
    <w:tmpl w:val="AE5EC7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9" w15:restartNumberingAfterBreak="0">
    <w:nsid w:val="50D948D1"/>
    <w:multiLevelType w:val="multilevel"/>
    <w:tmpl w:val="99CC9C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530" w15:restartNumberingAfterBreak="0">
    <w:nsid w:val="50DA0566"/>
    <w:multiLevelType w:val="hybridMultilevel"/>
    <w:tmpl w:val="487E977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31" w15:restartNumberingAfterBreak="0">
    <w:nsid w:val="51156167"/>
    <w:multiLevelType w:val="hybridMultilevel"/>
    <w:tmpl w:val="07FCC6A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32" w15:restartNumberingAfterBreak="0">
    <w:nsid w:val="51265811"/>
    <w:multiLevelType w:val="hybridMultilevel"/>
    <w:tmpl w:val="8A1838D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33" w15:restartNumberingAfterBreak="0">
    <w:nsid w:val="517B1CA0"/>
    <w:multiLevelType w:val="hybridMultilevel"/>
    <w:tmpl w:val="B986F054"/>
    <w:lvl w:ilvl="0" w:tplc="4792412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3F81C8E">
      <w:start w:val="1"/>
      <w:numFmt w:val="lowerLetter"/>
      <w:lvlText w:val="%2"/>
      <w:lvlJc w:val="left"/>
      <w:pPr>
        <w:ind w:left="17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DEE8D66">
      <w:start w:val="1"/>
      <w:numFmt w:val="lowerRoman"/>
      <w:lvlText w:val="%3"/>
      <w:lvlJc w:val="left"/>
      <w:pPr>
        <w:ind w:left="25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2801318">
      <w:start w:val="1"/>
      <w:numFmt w:val="decimal"/>
      <w:lvlText w:val="%4"/>
      <w:lvlJc w:val="left"/>
      <w:pPr>
        <w:ind w:left="32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FC259AE">
      <w:start w:val="1"/>
      <w:numFmt w:val="lowerLetter"/>
      <w:lvlText w:val="%5"/>
      <w:lvlJc w:val="left"/>
      <w:pPr>
        <w:ind w:left="394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9C29EC6">
      <w:start w:val="1"/>
      <w:numFmt w:val="lowerRoman"/>
      <w:lvlText w:val="%6"/>
      <w:lvlJc w:val="left"/>
      <w:pPr>
        <w:ind w:left="46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D1EC460">
      <w:start w:val="1"/>
      <w:numFmt w:val="decimal"/>
      <w:lvlText w:val="%7"/>
      <w:lvlJc w:val="left"/>
      <w:pPr>
        <w:ind w:left="53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544B82E">
      <w:start w:val="1"/>
      <w:numFmt w:val="lowerLetter"/>
      <w:lvlText w:val="%8"/>
      <w:lvlJc w:val="left"/>
      <w:pPr>
        <w:ind w:left="61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7048150">
      <w:start w:val="1"/>
      <w:numFmt w:val="lowerRoman"/>
      <w:lvlText w:val="%9"/>
      <w:lvlJc w:val="left"/>
      <w:pPr>
        <w:ind w:left="68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34" w15:restartNumberingAfterBreak="0">
    <w:nsid w:val="51E053CC"/>
    <w:multiLevelType w:val="multilevel"/>
    <w:tmpl w:val="1248C8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5" w15:restartNumberingAfterBreak="0">
    <w:nsid w:val="51E574C2"/>
    <w:multiLevelType w:val="multilevel"/>
    <w:tmpl w:val="313E8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6" w15:restartNumberingAfterBreak="0">
    <w:nsid w:val="51E928B7"/>
    <w:multiLevelType w:val="multilevel"/>
    <w:tmpl w:val="65FCF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7" w15:restartNumberingAfterBreak="0">
    <w:nsid w:val="520677BA"/>
    <w:multiLevelType w:val="hybridMultilevel"/>
    <w:tmpl w:val="BE5ED32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8" w15:restartNumberingAfterBreak="0">
    <w:nsid w:val="5215268A"/>
    <w:multiLevelType w:val="hybridMultilevel"/>
    <w:tmpl w:val="57B40E56"/>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39" w15:restartNumberingAfterBreak="0">
    <w:nsid w:val="52281433"/>
    <w:multiLevelType w:val="multilevel"/>
    <w:tmpl w:val="569E78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40" w15:restartNumberingAfterBreak="0">
    <w:nsid w:val="527F1B62"/>
    <w:multiLevelType w:val="multilevel"/>
    <w:tmpl w:val="53369CF4"/>
    <w:lvl w:ilvl="0">
      <w:start w:val="1"/>
      <w:numFmt w:val="bullet"/>
      <w:lvlText w:val="o"/>
      <w:lvlJc w:val="left"/>
      <w:pPr>
        <w:ind w:left="720" w:hanging="360"/>
      </w:pPr>
      <w:rPr>
        <w:rFonts w:ascii="Courier New" w:hAnsi="Courier New" w:cs="Courier New"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1" w15:restartNumberingAfterBreak="0">
    <w:nsid w:val="52892B5F"/>
    <w:multiLevelType w:val="hybridMultilevel"/>
    <w:tmpl w:val="C890C0B6"/>
    <w:lvl w:ilvl="0" w:tplc="5C1C0486">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42" w15:restartNumberingAfterBreak="0">
    <w:nsid w:val="52E72EBA"/>
    <w:multiLevelType w:val="hybridMultilevel"/>
    <w:tmpl w:val="B8E6C25E"/>
    <w:lvl w:ilvl="0" w:tplc="AF469C04">
      <w:start w:val="1"/>
      <w:numFmt w:val="decimal"/>
      <w:lvlText w:val="%1."/>
      <w:lvlJc w:val="left"/>
      <w:pPr>
        <w:ind w:left="720" w:hanging="360"/>
      </w:pPr>
    </w:lvl>
    <w:lvl w:ilvl="1" w:tplc="D4788416" w:tentative="1">
      <w:start w:val="1"/>
      <w:numFmt w:val="lowerLetter"/>
      <w:lvlText w:val="%2."/>
      <w:lvlJc w:val="left"/>
      <w:pPr>
        <w:ind w:left="1440" w:hanging="360"/>
      </w:pPr>
    </w:lvl>
    <w:lvl w:ilvl="2" w:tplc="CFFA2918" w:tentative="1">
      <w:start w:val="1"/>
      <w:numFmt w:val="lowerRoman"/>
      <w:lvlText w:val="%3."/>
      <w:lvlJc w:val="right"/>
      <w:pPr>
        <w:ind w:left="2160" w:hanging="180"/>
      </w:pPr>
    </w:lvl>
    <w:lvl w:ilvl="3" w:tplc="01BC075A" w:tentative="1">
      <w:start w:val="1"/>
      <w:numFmt w:val="decimal"/>
      <w:lvlText w:val="%4."/>
      <w:lvlJc w:val="left"/>
      <w:pPr>
        <w:ind w:left="2880" w:hanging="360"/>
      </w:pPr>
    </w:lvl>
    <w:lvl w:ilvl="4" w:tplc="8BE2DB42" w:tentative="1">
      <w:start w:val="1"/>
      <w:numFmt w:val="lowerLetter"/>
      <w:lvlText w:val="%5."/>
      <w:lvlJc w:val="left"/>
      <w:pPr>
        <w:ind w:left="3600" w:hanging="360"/>
      </w:pPr>
    </w:lvl>
    <w:lvl w:ilvl="5" w:tplc="3620E9FC" w:tentative="1">
      <w:start w:val="1"/>
      <w:numFmt w:val="lowerRoman"/>
      <w:lvlText w:val="%6."/>
      <w:lvlJc w:val="right"/>
      <w:pPr>
        <w:ind w:left="4320" w:hanging="180"/>
      </w:pPr>
    </w:lvl>
    <w:lvl w:ilvl="6" w:tplc="E7682190" w:tentative="1">
      <w:start w:val="1"/>
      <w:numFmt w:val="decimal"/>
      <w:lvlText w:val="%7."/>
      <w:lvlJc w:val="left"/>
      <w:pPr>
        <w:ind w:left="5040" w:hanging="360"/>
      </w:pPr>
    </w:lvl>
    <w:lvl w:ilvl="7" w:tplc="F8D488E8" w:tentative="1">
      <w:start w:val="1"/>
      <w:numFmt w:val="lowerLetter"/>
      <w:lvlText w:val="%8."/>
      <w:lvlJc w:val="left"/>
      <w:pPr>
        <w:ind w:left="5760" w:hanging="360"/>
      </w:pPr>
    </w:lvl>
    <w:lvl w:ilvl="8" w:tplc="B25E7196" w:tentative="1">
      <w:start w:val="1"/>
      <w:numFmt w:val="lowerRoman"/>
      <w:lvlText w:val="%9."/>
      <w:lvlJc w:val="right"/>
      <w:pPr>
        <w:ind w:left="6480" w:hanging="180"/>
      </w:pPr>
    </w:lvl>
  </w:abstractNum>
  <w:abstractNum w:abstractNumId="543" w15:restartNumberingAfterBreak="0">
    <w:nsid w:val="534F4B3C"/>
    <w:multiLevelType w:val="hybridMultilevel"/>
    <w:tmpl w:val="4B0090B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44" w15:restartNumberingAfterBreak="0">
    <w:nsid w:val="53680DC9"/>
    <w:multiLevelType w:val="multilevel"/>
    <w:tmpl w:val="FFBEDF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5" w15:restartNumberingAfterBreak="0">
    <w:nsid w:val="538D22A5"/>
    <w:multiLevelType w:val="hybridMultilevel"/>
    <w:tmpl w:val="8EB677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46" w15:restartNumberingAfterBreak="0">
    <w:nsid w:val="53A5329E"/>
    <w:multiLevelType w:val="hybridMultilevel"/>
    <w:tmpl w:val="D4E4DA56"/>
    <w:lvl w:ilvl="0" w:tplc="0A9662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47" w15:restartNumberingAfterBreak="0">
    <w:nsid w:val="53DE2198"/>
    <w:multiLevelType w:val="hybridMultilevel"/>
    <w:tmpl w:val="0234EA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8" w15:restartNumberingAfterBreak="0">
    <w:nsid w:val="53F82170"/>
    <w:multiLevelType w:val="multilevel"/>
    <w:tmpl w:val="1B46BE68"/>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9" w15:restartNumberingAfterBreak="0">
    <w:nsid w:val="54033C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0" w15:restartNumberingAfterBreak="0">
    <w:nsid w:val="546C6AE6"/>
    <w:multiLevelType w:val="hybridMultilevel"/>
    <w:tmpl w:val="9D3210BC"/>
    <w:lvl w:ilvl="0" w:tplc="0419000F">
      <w:start w:val="1"/>
      <w:numFmt w:val="decimal"/>
      <w:lvlText w:val="%1."/>
      <w:lvlJc w:val="left"/>
      <w:pPr>
        <w:ind w:left="1222" w:hanging="360"/>
      </w:pPr>
    </w:lvl>
    <w:lvl w:ilvl="1" w:tplc="04190019" w:tentative="1">
      <w:start w:val="1"/>
      <w:numFmt w:val="lowerLetter"/>
      <w:lvlText w:val="%2."/>
      <w:lvlJc w:val="left"/>
      <w:pPr>
        <w:ind w:left="1942" w:hanging="360"/>
      </w:pPr>
    </w:lvl>
    <w:lvl w:ilvl="2" w:tplc="0419001B" w:tentative="1">
      <w:start w:val="1"/>
      <w:numFmt w:val="lowerRoman"/>
      <w:lvlText w:val="%3."/>
      <w:lvlJc w:val="right"/>
      <w:pPr>
        <w:ind w:left="2662" w:hanging="180"/>
      </w:pPr>
    </w:lvl>
    <w:lvl w:ilvl="3" w:tplc="0419000F" w:tentative="1">
      <w:start w:val="1"/>
      <w:numFmt w:val="decimal"/>
      <w:lvlText w:val="%4."/>
      <w:lvlJc w:val="left"/>
      <w:pPr>
        <w:ind w:left="3382" w:hanging="360"/>
      </w:pPr>
    </w:lvl>
    <w:lvl w:ilvl="4" w:tplc="04190019" w:tentative="1">
      <w:start w:val="1"/>
      <w:numFmt w:val="lowerLetter"/>
      <w:lvlText w:val="%5."/>
      <w:lvlJc w:val="left"/>
      <w:pPr>
        <w:ind w:left="4102" w:hanging="360"/>
      </w:pPr>
    </w:lvl>
    <w:lvl w:ilvl="5" w:tplc="0419001B" w:tentative="1">
      <w:start w:val="1"/>
      <w:numFmt w:val="lowerRoman"/>
      <w:lvlText w:val="%6."/>
      <w:lvlJc w:val="right"/>
      <w:pPr>
        <w:ind w:left="4822" w:hanging="180"/>
      </w:pPr>
    </w:lvl>
    <w:lvl w:ilvl="6" w:tplc="0419000F" w:tentative="1">
      <w:start w:val="1"/>
      <w:numFmt w:val="decimal"/>
      <w:lvlText w:val="%7."/>
      <w:lvlJc w:val="left"/>
      <w:pPr>
        <w:ind w:left="5542" w:hanging="360"/>
      </w:pPr>
    </w:lvl>
    <w:lvl w:ilvl="7" w:tplc="04190019" w:tentative="1">
      <w:start w:val="1"/>
      <w:numFmt w:val="lowerLetter"/>
      <w:lvlText w:val="%8."/>
      <w:lvlJc w:val="left"/>
      <w:pPr>
        <w:ind w:left="6262" w:hanging="360"/>
      </w:pPr>
    </w:lvl>
    <w:lvl w:ilvl="8" w:tplc="0419001B" w:tentative="1">
      <w:start w:val="1"/>
      <w:numFmt w:val="lowerRoman"/>
      <w:lvlText w:val="%9."/>
      <w:lvlJc w:val="right"/>
      <w:pPr>
        <w:ind w:left="6982" w:hanging="180"/>
      </w:pPr>
    </w:lvl>
  </w:abstractNum>
  <w:abstractNum w:abstractNumId="551" w15:restartNumberingAfterBreak="0">
    <w:nsid w:val="547146E1"/>
    <w:multiLevelType w:val="hybridMultilevel"/>
    <w:tmpl w:val="6EC04888"/>
    <w:lvl w:ilvl="0" w:tplc="05FE3C86">
      <w:start w:val="1"/>
      <w:numFmt w:val="decimal"/>
      <w:lvlText w:val="%1."/>
      <w:lvlJc w:val="left"/>
      <w:pPr>
        <w:ind w:left="360" w:hanging="360"/>
      </w:pPr>
      <w:rPr>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52" w15:restartNumberingAfterBreak="0">
    <w:nsid w:val="54852803"/>
    <w:multiLevelType w:val="hybridMultilevel"/>
    <w:tmpl w:val="9A9CDFB6"/>
    <w:lvl w:ilvl="0" w:tplc="0419000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53" w15:restartNumberingAfterBreak="0">
    <w:nsid w:val="54865145"/>
    <w:multiLevelType w:val="multilevel"/>
    <w:tmpl w:val="00B80D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54" w15:restartNumberingAfterBreak="0">
    <w:nsid w:val="54D37902"/>
    <w:multiLevelType w:val="multilevel"/>
    <w:tmpl w:val="FFFFFFFF"/>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lef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lef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left"/>
      <w:pPr>
        <w:ind w:left="6480" w:hanging="360"/>
      </w:pPr>
      <w:rPr>
        <w:rFonts w:cs="Times New Roman"/>
        <w:u w:val="none"/>
      </w:rPr>
    </w:lvl>
  </w:abstractNum>
  <w:abstractNum w:abstractNumId="555" w15:restartNumberingAfterBreak="0">
    <w:nsid w:val="54D40C49"/>
    <w:multiLevelType w:val="hybridMultilevel"/>
    <w:tmpl w:val="2D82197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56" w15:restartNumberingAfterBreak="0">
    <w:nsid w:val="54F74EB1"/>
    <w:multiLevelType w:val="hybridMultilevel"/>
    <w:tmpl w:val="5DFC0D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7" w15:restartNumberingAfterBreak="0">
    <w:nsid w:val="55056ECE"/>
    <w:multiLevelType w:val="hybridMultilevel"/>
    <w:tmpl w:val="0C8475BC"/>
    <w:lvl w:ilvl="0" w:tplc="45402804">
      <w:start w:val="1"/>
      <w:numFmt w:val="decimal"/>
      <w:lvlText w:val="%1."/>
      <w:lvlJc w:val="left"/>
      <w:pPr>
        <w:ind w:left="927" w:hanging="360"/>
      </w:pPr>
      <w:rPr>
        <w:rFonts w:hint="default"/>
        <w:color w:val="00000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58" w15:restartNumberingAfterBreak="0">
    <w:nsid w:val="5519680C"/>
    <w:multiLevelType w:val="multilevel"/>
    <w:tmpl w:val="A120CB9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59" w15:restartNumberingAfterBreak="0">
    <w:nsid w:val="552D6FFD"/>
    <w:multiLevelType w:val="hybridMultilevel"/>
    <w:tmpl w:val="FFFFFFFF"/>
    <w:lvl w:ilvl="0" w:tplc="2E189F44">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EF4B09C">
      <w:start w:val="1"/>
      <w:numFmt w:val="lowerLetter"/>
      <w:lvlText w:val="%2"/>
      <w:lvlJc w:val="left"/>
      <w:pPr>
        <w:ind w:left="1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E36470A">
      <w:start w:val="1"/>
      <w:numFmt w:val="lowerRoman"/>
      <w:lvlText w:val="%3"/>
      <w:lvlJc w:val="left"/>
      <w:pPr>
        <w:ind w:left="1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F4874EE">
      <w:start w:val="1"/>
      <w:numFmt w:val="decimal"/>
      <w:lvlText w:val="%4"/>
      <w:lvlJc w:val="left"/>
      <w:pPr>
        <w:ind w:left="2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2D02D9A">
      <w:start w:val="1"/>
      <w:numFmt w:val="lowerLetter"/>
      <w:lvlText w:val="%5"/>
      <w:lvlJc w:val="left"/>
      <w:pPr>
        <w:ind w:left="3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60A9E7E">
      <w:start w:val="1"/>
      <w:numFmt w:val="lowerRoman"/>
      <w:lvlText w:val="%6"/>
      <w:lvlJc w:val="left"/>
      <w:pPr>
        <w:ind w:left="3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1040BE">
      <w:start w:val="1"/>
      <w:numFmt w:val="decimal"/>
      <w:lvlText w:val="%7"/>
      <w:lvlJc w:val="left"/>
      <w:pPr>
        <w:ind w:left="4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127548">
      <w:start w:val="1"/>
      <w:numFmt w:val="lowerLetter"/>
      <w:lvlText w:val="%8"/>
      <w:lvlJc w:val="left"/>
      <w:pPr>
        <w:ind w:left="5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0A264CE">
      <w:start w:val="1"/>
      <w:numFmt w:val="lowerRoman"/>
      <w:lvlText w:val="%9"/>
      <w:lvlJc w:val="left"/>
      <w:pPr>
        <w:ind w:left="6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60" w15:restartNumberingAfterBreak="0">
    <w:nsid w:val="55375F92"/>
    <w:multiLevelType w:val="multilevel"/>
    <w:tmpl w:val="FFFFFFFF"/>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561" w15:restartNumberingAfterBreak="0">
    <w:nsid w:val="557A7174"/>
    <w:multiLevelType w:val="hybridMultilevel"/>
    <w:tmpl w:val="CC149E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2" w15:restartNumberingAfterBreak="0">
    <w:nsid w:val="55DD4A66"/>
    <w:multiLevelType w:val="multilevel"/>
    <w:tmpl w:val="F6607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3" w15:restartNumberingAfterBreak="0">
    <w:nsid w:val="560535C6"/>
    <w:multiLevelType w:val="hybridMultilevel"/>
    <w:tmpl w:val="4ED00134"/>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64" w15:restartNumberingAfterBreak="0">
    <w:nsid w:val="56233EB1"/>
    <w:multiLevelType w:val="multilevel"/>
    <w:tmpl w:val="B896C6EE"/>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65" w15:restartNumberingAfterBreak="0">
    <w:nsid w:val="56350946"/>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6" w15:restartNumberingAfterBreak="0">
    <w:nsid w:val="563909B7"/>
    <w:multiLevelType w:val="multilevel"/>
    <w:tmpl w:val="C51E92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7" w15:restartNumberingAfterBreak="0">
    <w:nsid w:val="5639107D"/>
    <w:multiLevelType w:val="hybridMultilevel"/>
    <w:tmpl w:val="9FCE24B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68" w15:restartNumberingAfterBreak="0">
    <w:nsid w:val="56606B91"/>
    <w:multiLevelType w:val="hybridMultilevel"/>
    <w:tmpl w:val="CF92CC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9" w15:restartNumberingAfterBreak="0">
    <w:nsid w:val="5668167C"/>
    <w:multiLevelType w:val="multilevel"/>
    <w:tmpl w:val="7AB26586"/>
    <w:lvl w:ilvl="0">
      <w:start w:val="1"/>
      <w:numFmt w:val="decimal"/>
      <w:lvlText w:val="%1)"/>
      <w:lvlJc w:val="left"/>
      <w:pPr>
        <w:tabs>
          <w:tab w:val="num" w:pos="720"/>
        </w:tabs>
        <w:ind w:left="720" w:hanging="360"/>
      </w:pPr>
      <w:rPr>
        <w:rFonts w:ascii="Times New Roman" w:eastAsia="Calibr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0" w15:restartNumberingAfterBreak="0">
    <w:nsid w:val="567459EF"/>
    <w:multiLevelType w:val="hybridMultilevel"/>
    <w:tmpl w:val="D9C017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1" w15:restartNumberingAfterBreak="0">
    <w:nsid w:val="569B4C90"/>
    <w:multiLevelType w:val="hybridMultilevel"/>
    <w:tmpl w:val="8286E3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2" w15:restartNumberingAfterBreak="0">
    <w:nsid w:val="56D452AC"/>
    <w:multiLevelType w:val="hybridMultilevel"/>
    <w:tmpl w:val="E77E91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3" w15:restartNumberingAfterBreak="0">
    <w:nsid w:val="572C0986"/>
    <w:multiLevelType w:val="hybridMultilevel"/>
    <w:tmpl w:val="487E977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4" w15:restartNumberingAfterBreak="0">
    <w:nsid w:val="573A0E43"/>
    <w:multiLevelType w:val="hybridMultilevel"/>
    <w:tmpl w:val="2E1EA1D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5" w15:restartNumberingAfterBreak="0">
    <w:nsid w:val="5756575B"/>
    <w:multiLevelType w:val="hybridMultilevel"/>
    <w:tmpl w:val="B1C41C22"/>
    <w:lvl w:ilvl="0" w:tplc="A5E4A43A">
      <w:start w:val="1"/>
      <w:numFmt w:val="decimal"/>
      <w:lvlText w:val="%1."/>
      <w:lvlJc w:val="left"/>
      <w:pPr>
        <w:ind w:left="720" w:hanging="360"/>
      </w:pPr>
      <w:rPr>
        <w:rFonts w:hint="default"/>
      </w:rPr>
    </w:lvl>
    <w:lvl w:ilvl="1" w:tplc="C80C041C" w:tentative="1">
      <w:start w:val="1"/>
      <w:numFmt w:val="lowerLetter"/>
      <w:lvlText w:val="%2."/>
      <w:lvlJc w:val="left"/>
      <w:pPr>
        <w:ind w:left="1440" w:hanging="360"/>
      </w:pPr>
    </w:lvl>
    <w:lvl w:ilvl="2" w:tplc="103AE8DE" w:tentative="1">
      <w:start w:val="1"/>
      <w:numFmt w:val="lowerRoman"/>
      <w:lvlText w:val="%3."/>
      <w:lvlJc w:val="right"/>
      <w:pPr>
        <w:ind w:left="2160" w:hanging="180"/>
      </w:pPr>
    </w:lvl>
    <w:lvl w:ilvl="3" w:tplc="22BA81E2" w:tentative="1">
      <w:start w:val="1"/>
      <w:numFmt w:val="decimal"/>
      <w:lvlText w:val="%4."/>
      <w:lvlJc w:val="left"/>
      <w:pPr>
        <w:ind w:left="2880" w:hanging="360"/>
      </w:pPr>
    </w:lvl>
    <w:lvl w:ilvl="4" w:tplc="3D44BE58" w:tentative="1">
      <w:start w:val="1"/>
      <w:numFmt w:val="lowerLetter"/>
      <w:lvlText w:val="%5."/>
      <w:lvlJc w:val="left"/>
      <w:pPr>
        <w:ind w:left="3600" w:hanging="360"/>
      </w:pPr>
    </w:lvl>
    <w:lvl w:ilvl="5" w:tplc="B12685D2" w:tentative="1">
      <w:start w:val="1"/>
      <w:numFmt w:val="lowerRoman"/>
      <w:lvlText w:val="%6."/>
      <w:lvlJc w:val="right"/>
      <w:pPr>
        <w:ind w:left="4320" w:hanging="180"/>
      </w:pPr>
    </w:lvl>
    <w:lvl w:ilvl="6" w:tplc="45BEDE8E" w:tentative="1">
      <w:start w:val="1"/>
      <w:numFmt w:val="decimal"/>
      <w:lvlText w:val="%7."/>
      <w:lvlJc w:val="left"/>
      <w:pPr>
        <w:ind w:left="5040" w:hanging="360"/>
      </w:pPr>
    </w:lvl>
    <w:lvl w:ilvl="7" w:tplc="941C58EE" w:tentative="1">
      <w:start w:val="1"/>
      <w:numFmt w:val="lowerLetter"/>
      <w:lvlText w:val="%8."/>
      <w:lvlJc w:val="left"/>
      <w:pPr>
        <w:ind w:left="5760" w:hanging="360"/>
      </w:pPr>
    </w:lvl>
    <w:lvl w:ilvl="8" w:tplc="F8100974" w:tentative="1">
      <w:start w:val="1"/>
      <w:numFmt w:val="lowerRoman"/>
      <w:lvlText w:val="%9."/>
      <w:lvlJc w:val="right"/>
      <w:pPr>
        <w:ind w:left="6480" w:hanging="180"/>
      </w:pPr>
    </w:lvl>
  </w:abstractNum>
  <w:abstractNum w:abstractNumId="576" w15:restartNumberingAfterBreak="0">
    <w:nsid w:val="57F4734F"/>
    <w:multiLevelType w:val="hybridMultilevel"/>
    <w:tmpl w:val="E424F2C6"/>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77" w15:restartNumberingAfterBreak="0">
    <w:nsid w:val="58561ACA"/>
    <w:multiLevelType w:val="hybridMultilevel"/>
    <w:tmpl w:val="5B28A10C"/>
    <w:lvl w:ilvl="0" w:tplc="E6109970">
      <w:start w:val="1"/>
      <w:numFmt w:val="decimal"/>
      <w:lvlText w:val="%1."/>
      <w:lvlJc w:val="left"/>
      <w:pPr>
        <w:ind w:left="644"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8" w15:restartNumberingAfterBreak="0">
    <w:nsid w:val="58685463"/>
    <w:multiLevelType w:val="hybridMultilevel"/>
    <w:tmpl w:val="57B4EAE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9" w15:restartNumberingAfterBreak="0">
    <w:nsid w:val="58AD2926"/>
    <w:multiLevelType w:val="hybridMultilevel"/>
    <w:tmpl w:val="AE4E6CE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80" w15:restartNumberingAfterBreak="0">
    <w:nsid w:val="58C7203A"/>
    <w:multiLevelType w:val="hybridMultilevel"/>
    <w:tmpl w:val="A0487BBC"/>
    <w:lvl w:ilvl="0" w:tplc="04090011">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81" w15:restartNumberingAfterBreak="0">
    <w:nsid w:val="59460C7E"/>
    <w:multiLevelType w:val="hybridMultilevel"/>
    <w:tmpl w:val="E564C5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82" w15:restartNumberingAfterBreak="0">
    <w:nsid w:val="5976424B"/>
    <w:multiLevelType w:val="hybridMultilevel"/>
    <w:tmpl w:val="C2387864"/>
    <w:numStyleLink w:val="13"/>
  </w:abstractNum>
  <w:abstractNum w:abstractNumId="583" w15:restartNumberingAfterBreak="0">
    <w:nsid w:val="597A62B1"/>
    <w:multiLevelType w:val="hybridMultilevel"/>
    <w:tmpl w:val="559CD1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4" w15:restartNumberingAfterBreak="0">
    <w:nsid w:val="597C26DA"/>
    <w:multiLevelType w:val="hybridMultilevel"/>
    <w:tmpl w:val="02D28B82"/>
    <w:lvl w:ilvl="0" w:tplc="8536E042">
      <w:start w:val="1"/>
      <w:numFmt w:val="decimal"/>
      <w:lvlText w:val="%1."/>
      <w:lvlJc w:val="left"/>
      <w:pPr>
        <w:ind w:left="720" w:hanging="360"/>
      </w:pPr>
      <w:rPr>
        <w:rFonts w:ascii="Times New Roman" w:eastAsia="Times New Roman" w:hAnsi="Times New Roman" w:cs="Times New Roman"/>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85" w15:restartNumberingAfterBreak="0">
    <w:nsid w:val="59B2455F"/>
    <w:multiLevelType w:val="multilevel"/>
    <w:tmpl w:val="469EA2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586" w15:restartNumberingAfterBreak="0">
    <w:nsid w:val="59B41BDF"/>
    <w:multiLevelType w:val="multilevel"/>
    <w:tmpl w:val="CCA8F1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7" w15:restartNumberingAfterBreak="0">
    <w:nsid w:val="59B77D9D"/>
    <w:multiLevelType w:val="hybridMultilevel"/>
    <w:tmpl w:val="772421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88" w15:restartNumberingAfterBreak="0">
    <w:nsid w:val="59DC2478"/>
    <w:multiLevelType w:val="hybridMultilevel"/>
    <w:tmpl w:val="11FC2F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9" w15:restartNumberingAfterBreak="0">
    <w:nsid w:val="5A303A19"/>
    <w:multiLevelType w:val="hybridMultilevel"/>
    <w:tmpl w:val="4B30D950"/>
    <w:lvl w:ilvl="0" w:tplc="7706C0CA">
      <w:start w:val="1"/>
      <w:numFmt w:val="decimal"/>
      <w:lvlText w:val="%1."/>
      <w:lvlJc w:val="left"/>
      <w:pPr>
        <w:ind w:left="1854" w:hanging="360"/>
      </w:pPr>
      <w:rPr>
        <w:b w:val="0"/>
        <w:bCs w:val="0"/>
      </w:rPr>
    </w:lvl>
    <w:lvl w:ilvl="1" w:tplc="10000019" w:tentative="1">
      <w:start w:val="1"/>
      <w:numFmt w:val="lowerLetter"/>
      <w:lvlText w:val="%2."/>
      <w:lvlJc w:val="left"/>
      <w:pPr>
        <w:ind w:left="2574" w:hanging="360"/>
      </w:pPr>
    </w:lvl>
    <w:lvl w:ilvl="2" w:tplc="1000001B" w:tentative="1">
      <w:start w:val="1"/>
      <w:numFmt w:val="lowerRoman"/>
      <w:lvlText w:val="%3."/>
      <w:lvlJc w:val="right"/>
      <w:pPr>
        <w:ind w:left="3294" w:hanging="180"/>
      </w:pPr>
    </w:lvl>
    <w:lvl w:ilvl="3" w:tplc="1000000F" w:tentative="1">
      <w:start w:val="1"/>
      <w:numFmt w:val="decimal"/>
      <w:lvlText w:val="%4."/>
      <w:lvlJc w:val="left"/>
      <w:pPr>
        <w:ind w:left="4014" w:hanging="360"/>
      </w:pPr>
    </w:lvl>
    <w:lvl w:ilvl="4" w:tplc="10000019" w:tentative="1">
      <w:start w:val="1"/>
      <w:numFmt w:val="lowerLetter"/>
      <w:lvlText w:val="%5."/>
      <w:lvlJc w:val="left"/>
      <w:pPr>
        <w:ind w:left="4734" w:hanging="360"/>
      </w:pPr>
    </w:lvl>
    <w:lvl w:ilvl="5" w:tplc="1000001B" w:tentative="1">
      <w:start w:val="1"/>
      <w:numFmt w:val="lowerRoman"/>
      <w:lvlText w:val="%6."/>
      <w:lvlJc w:val="right"/>
      <w:pPr>
        <w:ind w:left="5454" w:hanging="180"/>
      </w:pPr>
    </w:lvl>
    <w:lvl w:ilvl="6" w:tplc="1000000F" w:tentative="1">
      <w:start w:val="1"/>
      <w:numFmt w:val="decimal"/>
      <w:lvlText w:val="%7."/>
      <w:lvlJc w:val="left"/>
      <w:pPr>
        <w:ind w:left="6174" w:hanging="360"/>
      </w:pPr>
    </w:lvl>
    <w:lvl w:ilvl="7" w:tplc="10000019" w:tentative="1">
      <w:start w:val="1"/>
      <w:numFmt w:val="lowerLetter"/>
      <w:lvlText w:val="%8."/>
      <w:lvlJc w:val="left"/>
      <w:pPr>
        <w:ind w:left="6894" w:hanging="360"/>
      </w:pPr>
    </w:lvl>
    <w:lvl w:ilvl="8" w:tplc="1000001B" w:tentative="1">
      <w:start w:val="1"/>
      <w:numFmt w:val="lowerRoman"/>
      <w:lvlText w:val="%9."/>
      <w:lvlJc w:val="right"/>
      <w:pPr>
        <w:ind w:left="7614" w:hanging="180"/>
      </w:pPr>
    </w:lvl>
  </w:abstractNum>
  <w:abstractNum w:abstractNumId="590" w15:restartNumberingAfterBreak="0">
    <w:nsid w:val="5A373732"/>
    <w:multiLevelType w:val="hybridMultilevel"/>
    <w:tmpl w:val="74C629E6"/>
    <w:lvl w:ilvl="0" w:tplc="721E4910">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91" w15:restartNumberingAfterBreak="0">
    <w:nsid w:val="5A6C3976"/>
    <w:multiLevelType w:val="hybridMultilevel"/>
    <w:tmpl w:val="498610CE"/>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92" w15:restartNumberingAfterBreak="0">
    <w:nsid w:val="5A8862A3"/>
    <w:multiLevelType w:val="multilevel"/>
    <w:tmpl w:val="5A8862A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3" w15:restartNumberingAfterBreak="0">
    <w:nsid w:val="5AA77950"/>
    <w:multiLevelType w:val="hybridMultilevel"/>
    <w:tmpl w:val="84148350"/>
    <w:lvl w:ilvl="0" w:tplc="0422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594" w15:restartNumberingAfterBreak="0">
    <w:nsid w:val="5AB232A4"/>
    <w:multiLevelType w:val="hybridMultilevel"/>
    <w:tmpl w:val="D16CC376"/>
    <w:lvl w:ilvl="0" w:tplc="116EF466">
      <w:start w:val="1"/>
      <w:numFmt w:val="decimal"/>
      <w:lvlText w:val="%1."/>
      <w:lvlJc w:val="left"/>
      <w:pPr>
        <w:ind w:left="1070" w:hanging="360"/>
      </w:pPr>
      <w:rPr>
        <w:b w:val="0"/>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595" w15:restartNumberingAfterBreak="0">
    <w:nsid w:val="5AC1681B"/>
    <w:multiLevelType w:val="hybridMultilevel"/>
    <w:tmpl w:val="683655E6"/>
    <w:lvl w:ilvl="0" w:tplc="EE8E403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96" w15:restartNumberingAfterBreak="0">
    <w:nsid w:val="5AE82ED5"/>
    <w:multiLevelType w:val="multilevel"/>
    <w:tmpl w:val="C4E2B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7" w15:restartNumberingAfterBreak="0">
    <w:nsid w:val="5AF24997"/>
    <w:multiLevelType w:val="multilevel"/>
    <w:tmpl w:val="F1E8FF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8" w15:restartNumberingAfterBreak="0">
    <w:nsid w:val="5B0C346D"/>
    <w:multiLevelType w:val="multilevel"/>
    <w:tmpl w:val="D488E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599" w15:restartNumberingAfterBreak="0">
    <w:nsid w:val="5B6465C5"/>
    <w:multiLevelType w:val="hybridMultilevel"/>
    <w:tmpl w:val="F20E907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00" w15:restartNumberingAfterBreak="0">
    <w:nsid w:val="5B813A9F"/>
    <w:multiLevelType w:val="hybridMultilevel"/>
    <w:tmpl w:val="6C34A69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01" w15:restartNumberingAfterBreak="0">
    <w:nsid w:val="5B982778"/>
    <w:multiLevelType w:val="multilevel"/>
    <w:tmpl w:val="D22A4A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2" w15:restartNumberingAfterBreak="0">
    <w:nsid w:val="5BF350AD"/>
    <w:multiLevelType w:val="hybridMultilevel"/>
    <w:tmpl w:val="7E0C2E2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03" w15:restartNumberingAfterBreak="0">
    <w:nsid w:val="5C1601AA"/>
    <w:multiLevelType w:val="hybridMultilevel"/>
    <w:tmpl w:val="60BCA69E"/>
    <w:lvl w:ilvl="0" w:tplc="8D5ED7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04" w15:restartNumberingAfterBreak="0">
    <w:nsid w:val="5C451A41"/>
    <w:multiLevelType w:val="hybridMultilevel"/>
    <w:tmpl w:val="CF102E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5" w15:restartNumberingAfterBreak="0">
    <w:nsid w:val="5C85315F"/>
    <w:multiLevelType w:val="hybridMultilevel"/>
    <w:tmpl w:val="ADF289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6" w15:restartNumberingAfterBreak="0">
    <w:nsid w:val="5C8A76AD"/>
    <w:multiLevelType w:val="multilevel"/>
    <w:tmpl w:val="33360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7" w15:restartNumberingAfterBreak="0">
    <w:nsid w:val="5D0F60DB"/>
    <w:multiLevelType w:val="multilevel"/>
    <w:tmpl w:val="DAF6BC68"/>
    <w:lvl w:ilvl="0">
      <w:start w:val="1"/>
      <w:numFmt w:val="decimal"/>
      <w:lvlText w:val="%1."/>
      <w:lvlJc w:val="left"/>
      <w:pPr>
        <w:ind w:left="928" w:hanging="360"/>
      </w:pPr>
      <w:rPr>
        <w:b w:val="0"/>
      </w:rPr>
    </w:lvl>
    <w:lvl w:ilvl="1">
      <w:start w:val="1"/>
      <w:numFmt w:val="lowerLetter"/>
      <w:lvlText w:val="%2."/>
      <w:lvlJc w:val="left"/>
      <w:pPr>
        <w:ind w:left="1648" w:hanging="360"/>
      </w:pPr>
    </w:lvl>
    <w:lvl w:ilvl="2">
      <w:start w:val="1"/>
      <w:numFmt w:val="lowerRoman"/>
      <w:lvlText w:val="%3."/>
      <w:lvlJc w:val="right"/>
      <w:pPr>
        <w:ind w:left="2368"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608" w15:restartNumberingAfterBreak="0">
    <w:nsid w:val="5D25200B"/>
    <w:multiLevelType w:val="multilevel"/>
    <w:tmpl w:val="0EFC1844"/>
    <w:lvl w:ilvl="0">
      <w:start w:val="1"/>
      <w:numFmt w:val="bullet"/>
      <w:lvlText w:val="•"/>
      <w:lvlJc w:val="left"/>
      <w:pPr>
        <w:ind w:left="0" w:firstLine="0"/>
      </w:pPr>
      <w:rPr>
        <w:u w:val="none"/>
      </w:rPr>
    </w:lvl>
    <w:lvl w:ilvl="1">
      <w:numFmt w:val="decimal"/>
      <w:lvlText w:val=""/>
      <w:lvlJc w:val="left"/>
      <w:pPr>
        <w:ind w:left="0" w:firstLine="0"/>
      </w:pPr>
      <w:rPr>
        <w:u w:val="none"/>
      </w:rPr>
    </w:lvl>
    <w:lvl w:ilvl="2">
      <w:numFmt w:val="decimal"/>
      <w:lvlText w:val=""/>
      <w:lvlJc w:val="left"/>
      <w:pPr>
        <w:ind w:left="0" w:firstLine="0"/>
      </w:pPr>
      <w:rPr>
        <w:u w:val="none"/>
      </w:rPr>
    </w:lvl>
    <w:lvl w:ilvl="3">
      <w:numFmt w:val="decimal"/>
      <w:lvlText w:val=""/>
      <w:lvlJc w:val="left"/>
      <w:pPr>
        <w:ind w:left="0" w:firstLine="0"/>
      </w:pPr>
      <w:rPr>
        <w:u w:val="none"/>
      </w:rPr>
    </w:lvl>
    <w:lvl w:ilvl="4">
      <w:numFmt w:val="decimal"/>
      <w:lvlText w:val=""/>
      <w:lvlJc w:val="left"/>
      <w:pPr>
        <w:ind w:left="0" w:firstLine="0"/>
      </w:pPr>
      <w:rPr>
        <w:u w:val="none"/>
      </w:rPr>
    </w:lvl>
    <w:lvl w:ilvl="5">
      <w:numFmt w:val="decimal"/>
      <w:lvlText w:val=""/>
      <w:lvlJc w:val="left"/>
      <w:pPr>
        <w:ind w:left="0" w:firstLine="0"/>
      </w:pPr>
      <w:rPr>
        <w:u w:val="none"/>
      </w:rPr>
    </w:lvl>
    <w:lvl w:ilvl="6">
      <w:numFmt w:val="decimal"/>
      <w:lvlText w:val=""/>
      <w:lvlJc w:val="left"/>
      <w:pPr>
        <w:ind w:left="0" w:firstLine="0"/>
      </w:pPr>
      <w:rPr>
        <w:u w:val="none"/>
      </w:rPr>
    </w:lvl>
    <w:lvl w:ilvl="7">
      <w:numFmt w:val="decimal"/>
      <w:lvlText w:val=""/>
      <w:lvlJc w:val="left"/>
      <w:pPr>
        <w:ind w:left="0" w:firstLine="0"/>
      </w:pPr>
      <w:rPr>
        <w:u w:val="none"/>
      </w:rPr>
    </w:lvl>
    <w:lvl w:ilvl="8">
      <w:numFmt w:val="decimal"/>
      <w:lvlText w:val=""/>
      <w:lvlJc w:val="left"/>
      <w:pPr>
        <w:ind w:left="0" w:firstLine="0"/>
      </w:pPr>
      <w:rPr>
        <w:u w:val="none"/>
      </w:rPr>
    </w:lvl>
  </w:abstractNum>
  <w:abstractNum w:abstractNumId="609" w15:restartNumberingAfterBreak="0">
    <w:nsid w:val="5D5310B4"/>
    <w:multiLevelType w:val="hybridMultilevel"/>
    <w:tmpl w:val="8E0CFC00"/>
    <w:lvl w:ilvl="0" w:tplc="3B020BD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10" w15:restartNumberingAfterBreak="0">
    <w:nsid w:val="5DA00715"/>
    <w:multiLevelType w:val="hybridMultilevel"/>
    <w:tmpl w:val="B3844900"/>
    <w:lvl w:ilvl="0" w:tplc="1F847AA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11" w15:restartNumberingAfterBreak="0">
    <w:nsid w:val="5DB5242E"/>
    <w:multiLevelType w:val="hybridMultilevel"/>
    <w:tmpl w:val="6EC03204"/>
    <w:lvl w:ilvl="0" w:tplc="1482320C">
      <w:start w:val="1"/>
      <w:numFmt w:val="decimal"/>
      <w:lvlText w:val="%1."/>
      <w:lvlJc w:val="left"/>
      <w:pPr>
        <w:ind w:left="888" w:hanging="528"/>
      </w:pPr>
      <w:rPr>
        <w:rFonts w:hint="default"/>
      </w:rPr>
    </w:lvl>
    <w:lvl w:ilvl="1" w:tplc="6B88B0B0" w:tentative="1">
      <w:start w:val="1"/>
      <w:numFmt w:val="lowerLetter"/>
      <w:lvlText w:val="%2."/>
      <w:lvlJc w:val="left"/>
      <w:pPr>
        <w:ind w:left="1440" w:hanging="360"/>
      </w:pPr>
    </w:lvl>
    <w:lvl w:ilvl="2" w:tplc="D05CEBDE" w:tentative="1">
      <w:start w:val="1"/>
      <w:numFmt w:val="lowerRoman"/>
      <w:lvlText w:val="%3."/>
      <w:lvlJc w:val="right"/>
      <w:pPr>
        <w:ind w:left="2160" w:hanging="180"/>
      </w:pPr>
    </w:lvl>
    <w:lvl w:ilvl="3" w:tplc="4E20B61A" w:tentative="1">
      <w:start w:val="1"/>
      <w:numFmt w:val="decimal"/>
      <w:lvlText w:val="%4."/>
      <w:lvlJc w:val="left"/>
      <w:pPr>
        <w:ind w:left="2880" w:hanging="360"/>
      </w:pPr>
    </w:lvl>
    <w:lvl w:ilvl="4" w:tplc="94C4CF3E" w:tentative="1">
      <w:start w:val="1"/>
      <w:numFmt w:val="lowerLetter"/>
      <w:lvlText w:val="%5."/>
      <w:lvlJc w:val="left"/>
      <w:pPr>
        <w:ind w:left="3600" w:hanging="360"/>
      </w:pPr>
    </w:lvl>
    <w:lvl w:ilvl="5" w:tplc="F5DC8EBA" w:tentative="1">
      <w:start w:val="1"/>
      <w:numFmt w:val="lowerRoman"/>
      <w:lvlText w:val="%6."/>
      <w:lvlJc w:val="right"/>
      <w:pPr>
        <w:ind w:left="4320" w:hanging="180"/>
      </w:pPr>
    </w:lvl>
    <w:lvl w:ilvl="6" w:tplc="EC9EFC48" w:tentative="1">
      <w:start w:val="1"/>
      <w:numFmt w:val="decimal"/>
      <w:lvlText w:val="%7."/>
      <w:lvlJc w:val="left"/>
      <w:pPr>
        <w:ind w:left="5040" w:hanging="360"/>
      </w:pPr>
    </w:lvl>
    <w:lvl w:ilvl="7" w:tplc="F2065534" w:tentative="1">
      <w:start w:val="1"/>
      <w:numFmt w:val="lowerLetter"/>
      <w:lvlText w:val="%8."/>
      <w:lvlJc w:val="left"/>
      <w:pPr>
        <w:ind w:left="5760" w:hanging="360"/>
      </w:pPr>
    </w:lvl>
    <w:lvl w:ilvl="8" w:tplc="0A18A700" w:tentative="1">
      <w:start w:val="1"/>
      <w:numFmt w:val="lowerRoman"/>
      <w:lvlText w:val="%9."/>
      <w:lvlJc w:val="right"/>
      <w:pPr>
        <w:ind w:left="6480" w:hanging="180"/>
      </w:pPr>
    </w:lvl>
  </w:abstractNum>
  <w:abstractNum w:abstractNumId="612" w15:restartNumberingAfterBreak="0">
    <w:nsid w:val="5DC17B8B"/>
    <w:multiLevelType w:val="multilevel"/>
    <w:tmpl w:val="904AF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3" w15:restartNumberingAfterBreak="0">
    <w:nsid w:val="5DE552DF"/>
    <w:multiLevelType w:val="multilevel"/>
    <w:tmpl w:val="E4E01442"/>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14" w15:restartNumberingAfterBreak="0">
    <w:nsid w:val="5DF82CF3"/>
    <w:multiLevelType w:val="multilevel"/>
    <w:tmpl w:val="404E4546"/>
    <w:lvl w:ilvl="0">
      <w:start w:val="1"/>
      <w:numFmt w:val="bullet"/>
      <w:lvlText w:val="•"/>
      <w:lvlJc w:val="left"/>
      <w:pPr>
        <w:ind w:left="0" w:firstLine="0"/>
      </w:pPr>
      <w:rPr>
        <w:u w:val="none"/>
      </w:rPr>
    </w:lvl>
    <w:lvl w:ilvl="1">
      <w:numFmt w:val="decimal"/>
      <w:lvlText w:val=""/>
      <w:lvlJc w:val="left"/>
      <w:pPr>
        <w:ind w:left="0" w:firstLine="0"/>
      </w:pPr>
      <w:rPr>
        <w:u w:val="none"/>
      </w:rPr>
    </w:lvl>
    <w:lvl w:ilvl="2">
      <w:numFmt w:val="decimal"/>
      <w:lvlText w:val=""/>
      <w:lvlJc w:val="left"/>
      <w:pPr>
        <w:ind w:left="0" w:firstLine="0"/>
      </w:pPr>
      <w:rPr>
        <w:u w:val="none"/>
      </w:rPr>
    </w:lvl>
    <w:lvl w:ilvl="3">
      <w:numFmt w:val="decimal"/>
      <w:lvlText w:val=""/>
      <w:lvlJc w:val="left"/>
      <w:pPr>
        <w:ind w:left="0" w:firstLine="0"/>
      </w:pPr>
      <w:rPr>
        <w:u w:val="none"/>
      </w:rPr>
    </w:lvl>
    <w:lvl w:ilvl="4">
      <w:numFmt w:val="decimal"/>
      <w:lvlText w:val=""/>
      <w:lvlJc w:val="left"/>
      <w:pPr>
        <w:ind w:left="0" w:firstLine="0"/>
      </w:pPr>
      <w:rPr>
        <w:u w:val="none"/>
      </w:rPr>
    </w:lvl>
    <w:lvl w:ilvl="5">
      <w:numFmt w:val="decimal"/>
      <w:lvlText w:val=""/>
      <w:lvlJc w:val="left"/>
      <w:pPr>
        <w:ind w:left="0" w:firstLine="0"/>
      </w:pPr>
      <w:rPr>
        <w:u w:val="none"/>
      </w:rPr>
    </w:lvl>
    <w:lvl w:ilvl="6">
      <w:numFmt w:val="decimal"/>
      <w:lvlText w:val=""/>
      <w:lvlJc w:val="left"/>
      <w:pPr>
        <w:ind w:left="0" w:firstLine="0"/>
      </w:pPr>
      <w:rPr>
        <w:u w:val="none"/>
      </w:rPr>
    </w:lvl>
    <w:lvl w:ilvl="7">
      <w:numFmt w:val="decimal"/>
      <w:lvlText w:val=""/>
      <w:lvlJc w:val="left"/>
      <w:pPr>
        <w:ind w:left="0" w:firstLine="0"/>
      </w:pPr>
      <w:rPr>
        <w:u w:val="none"/>
      </w:rPr>
    </w:lvl>
    <w:lvl w:ilvl="8">
      <w:numFmt w:val="decimal"/>
      <w:lvlText w:val=""/>
      <w:lvlJc w:val="left"/>
      <w:pPr>
        <w:ind w:left="0" w:firstLine="0"/>
      </w:pPr>
      <w:rPr>
        <w:u w:val="none"/>
      </w:rPr>
    </w:lvl>
  </w:abstractNum>
  <w:abstractNum w:abstractNumId="615" w15:restartNumberingAfterBreak="0">
    <w:nsid w:val="5E33FE8A"/>
    <w:multiLevelType w:val="hybridMultilevel"/>
    <w:tmpl w:val="FFF047FA"/>
    <w:lvl w:ilvl="0" w:tplc="CF0ED134">
      <w:start w:val="1"/>
      <w:numFmt w:val="bullet"/>
      <w:lvlText w:val=""/>
      <w:lvlJc w:val="left"/>
      <w:pPr>
        <w:ind w:left="900" w:hanging="360"/>
      </w:pPr>
      <w:rPr>
        <w:rFonts w:ascii="Symbol" w:hAnsi="Symbol" w:hint="default"/>
      </w:rPr>
    </w:lvl>
    <w:lvl w:ilvl="1" w:tplc="52749CA4">
      <w:start w:val="1"/>
      <w:numFmt w:val="bullet"/>
      <w:lvlText w:val="o"/>
      <w:lvlJc w:val="left"/>
      <w:pPr>
        <w:ind w:left="1620" w:hanging="360"/>
      </w:pPr>
      <w:rPr>
        <w:rFonts w:ascii="Courier New" w:hAnsi="Courier New" w:hint="default"/>
      </w:rPr>
    </w:lvl>
    <w:lvl w:ilvl="2" w:tplc="C0807086">
      <w:start w:val="1"/>
      <w:numFmt w:val="bullet"/>
      <w:lvlText w:val=""/>
      <w:lvlJc w:val="left"/>
      <w:pPr>
        <w:ind w:left="2340" w:hanging="360"/>
      </w:pPr>
      <w:rPr>
        <w:rFonts w:ascii="Wingdings" w:hAnsi="Wingdings" w:hint="default"/>
      </w:rPr>
    </w:lvl>
    <w:lvl w:ilvl="3" w:tplc="4B28D03E">
      <w:start w:val="1"/>
      <w:numFmt w:val="bullet"/>
      <w:lvlText w:val=""/>
      <w:lvlJc w:val="left"/>
      <w:pPr>
        <w:ind w:left="3060" w:hanging="360"/>
      </w:pPr>
      <w:rPr>
        <w:rFonts w:ascii="Symbol" w:hAnsi="Symbol" w:hint="default"/>
      </w:rPr>
    </w:lvl>
    <w:lvl w:ilvl="4" w:tplc="6FBAADB6">
      <w:start w:val="1"/>
      <w:numFmt w:val="bullet"/>
      <w:lvlText w:val="o"/>
      <w:lvlJc w:val="left"/>
      <w:pPr>
        <w:ind w:left="3780" w:hanging="360"/>
      </w:pPr>
      <w:rPr>
        <w:rFonts w:ascii="Courier New" w:hAnsi="Courier New" w:hint="default"/>
      </w:rPr>
    </w:lvl>
    <w:lvl w:ilvl="5" w:tplc="A35EEB84">
      <w:start w:val="1"/>
      <w:numFmt w:val="bullet"/>
      <w:lvlText w:val=""/>
      <w:lvlJc w:val="left"/>
      <w:pPr>
        <w:ind w:left="4500" w:hanging="360"/>
      </w:pPr>
      <w:rPr>
        <w:rFonts w:ascii="Wingdings" w:hAnsi="Wingdings" w:hint="default"/>
      </w:rPr>
    </w:lvl>
    <w:lvl w:ilvl="6" w:tplc="C764C73E">
      <w:start w:val="1"/>
      <w:numFmt w:val="bullet"/>
      <w:lvlText w:val=""/>
      <w:lvlJc w:val="left"/>
      <w:pPr>
        <w:ind w:left="5220" w:hanging="360"/>
      </w:pPr>
      <w:rPr>
        <w:rFonts w:ascii="Symbol" w:hAnsi="Symbol" w:hint="default"/>
      </w:rPr>
    </w:lvl>
    <w:lvl w:ilvl="7" w:tplc="395CD650">
      <w:start w:val="1"/>
      <w:numFmt w:val="bullet"/>
      <w:lvlText w:val="o"/>
      <w:lvlJc w:val="left"/>
      <w:pPr>
        <w:ind w:left="5940" w:hanging="360"/>
      </w:pPr>
      <w:rPr>
        <w:rFonts w:ascii="Courier New" w:hAnsi="Courier New" w:hint="default"/>
      </w:rPr>
    </w:lvl>
    <w:lvl w:ilvl="8" w:tplc="6F8CD794">
      <w:start w:val="1"/>
      <w:numFmt w:val="bullet"/>
      <w:lvlText w:val=""/>
      <w:lvlJc w:val="left"/>
      <w:pPr>
        <w:ind w:left="6660" w:hanging="360"/>
      </w:pPr>
      <w:rPr>
        <w:rFonts w:ascii="Wingdings" w:hAnsi="Wingdings" w:hint="default"/>
      </w:rPr>
    </w:lvl>
  </w:abstractNum>
  <w:abstractNum w:abstractNumId="616" w15:restartNumberingAfterBreak="0">
    <w:nsid w:val="5E484369"/>
    <w:multiLevelType w:val="hybridMultilevel"/>
    <w:tmpl w:val="879CF004"/>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17" w15:restartNumberingAfterBreak="0">
    <w:nsid w:val="5E6E7E0C"/>
    <w:multiLevelType w:val="hybridMultilevel"/>
    <w:tmpl w:val="3EBAD592"/>
    <w:lvl w:ilvl="0" w:tplc="FFFFFFFF">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18" w15:restartNumberingAfterBreak="0">
    <w:nsid w:val="5E8D0A05"/>
    <w:multiLevelType w:val="hybridMultilevel"/>
    <w:tmpl w:val="061A6D7C"/>
    <w:lvl w:ilvl="0" w:tplc="869CB88A">
      <w:start w:val="1"/>
      <w:numFmt w:val="decimal"/>
      <w:lvlText w:val="%1."/>
      <w:lvlJc w:val="left"/>
      <w:pPr>
        <w:ind w:left="1287" w:hanging="360"/>
      </w:pPr>
      <w:rPr>
        <w:b w:val="0"/>
        <w:bCs/>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19" w15:restartNumberingAfterBreak="0">
    <w:nsid w:val="5E937635"/>
    <w:multiLevelType w:val="hybridMultilevel"/>
    <w:tmpl w:val="33A465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0" w15:restartNumberingAfterBreak="0">
    <w:nsid w:val="5EA51CA4"/>
    <w:multiLevelType w:val="multilevel"/>
    <w:tmpl w:val="0438786F"/>
    <w:lvl w:ilvl="0">
      <w:start w:val="1"/>
      <w:numFmt w:val="decimal"/>
      <w:lvlText w:val="%1."/>
      <w:lvlJc w:val="left"/>
      <w:pPr>
        <w:ind w:left="2029" w:hanging="360"/>
      </w:pPr>
    </w:lvl>
    <w:lvl w:ilvl="1">
      <w:start w:val="1"/>
      <w:numFmt w:val="lowerLetter"/>
      <w:lvlText w:val="%2."/>
      <w:lvlJc w:val="left"/>
      <w:pPr>
        <w:ind w:left="2749" w:hanging="360"/>
      </w:pPr>
    </w:lvl>
    <w:lvl w:ilvl="2">
      <w:start w:val="1"/>
      <w:numFmt w:val="lowerRoman"/>
      <w:lvlText w:val="%3."/>
      <w:lvlJc w:val="right"/>
      <w:pPr>
        <w:ind w:left="3469" w:hanging="180"/>
      </w:pPr>
    </w:lvl>
    <w:lvl w:ilvl="3">
      <w:start w:val="1"/>
      <w:numFmt w:val="decimal"/>
      <w:lvlText w:val="%4."/>
      <w:lvlJc w:val="left"/>
      <w:pPr>
        <w:ind w:left="4189" w:hanging="360"/>
      </w:pPr>
    </w:lvl>
    <w:lvl w:ilvl="4">
      <w:start w:val="1"/>
      <w:numFmt w:val="lowerLetter"/>
      <w:lvlText w:val="%5."/>
      <w:lvlJc w:val="left"/>
      <w:pPr>
        <w:ind w:left="4909" w:hanging="360"/>
      </w:pPr>
    </w:lvl>
    <w:lvl w:ilvl="5">
      <w:start w:val="1"/>
      <w:numFmt w:val="lowerRoman"/>
      <w:lvlText w:val="%6."/>
      <w:lvlJc w:val="right"/>
      <w:pPr>
        <w:ind w:left="5629" w:hanging="180"/>
      </w:pPr>
    </w:lvl>
    <w:lvl w:ilvl="6">
      <w:start w:val="1"/>
      <w:numFmt w:val="decimal"/>
      <w:lvlText w:val="%7."/>
      <w:lvlJc w:val="left"/>
      <w:pPr>
        <w:ind w:left="6349" w:hanging="360"/>
      </w:pPr>
    </w:lvl>
    <w:lvl w:ilvl="7">
      <w:start w:val="1"/>
      <w:numFmt w:val="lowerLetter"/>
      <w:lvlText w:val="%8."/>
      <w:lvlJc w:val="left"/>
      <w:pPr>
        <w:ind w:left="7069" w:hanging="360"/>
      </w:pPr>
    </w:lvl>
    <w:lvl w:ilvl="8">
      <w:start w:val="1"/>
      <w:numFmt w:val="lowerRoman"/>
      <w:lvlText w:val="%9."/>
      <w:lvlJc w:val="right"/>
      <w:pPr>
        <w:ind w:left="7789" w:hanging="180"/>
      </w:pPr>
    </w:lvl>
  </w:abstractNum>
  <w:abstractNum w:abstractNumId="621" w15:restartNumberingAfterBreak="0">
    <w:nsid w:val="5EC3208C"/>
    <w:multiLevelType w:val="hybridMultilevel"/>
    <w:tmpl w:val="C1E64F20"/>
    <w:lvl w:ilvl="0" w:tplc="3DAE92F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2" w15:restartNumberingAfterBreak="0">
    <w:nsid w:val="5F383A79"/>
    <w:multiLevelType w:val="hybridMultilevel"/>
    <w:tmpl w:val="0706E0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3" w15:restartNumberingAfterBreak="0">
    <w:nsid w:val="5F812449"/>
    <w:multiLevelType w:val="hybridMultilevel"/>
    <w:tmpl w:val="FFFFFFFF"/>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624" w15:restartNumberingAfterBreak="0">
    <w:nsid w:val="5F8D7359"/>
    <w:multiLevelType w:val="multilevel"/>
    <w:tmpl w:val="CCFA0F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5" w15:restartNumberingAfterBreak="0">
    <w:nsid w:val="5FC25304"/>
    <w:multiLevelType w:val="hybridMultilevel"/>
    <w:tmpl w:val="0F54879A"/>
    <w:lvl w:ilvl="0" w:tplc="0422000F">
      <w:start w:val="1"/>
      <w:numFmt w:val="decimal"/>
      <w:lvlText w:val="%1."/>
      <w:lvlJc w:val="left"/>
      <w:pPr>
        <w:ind w:left="644" w:hanging="360"/>
      </w:p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626" w15:restartNumberingAfterBreak="0">
    <w:nsid w:val="5FCD0F05"/>
    <w:multiLevelType w:val="multilevel"/>
    <w:tmpl w:val="BB0C6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7" w15:restartNumberingAfterBreak="0">
    <w:nsid w:val="5FF336B2"/>
    <w:multiLevelType w:val="hybridMultilevel"/>
    <w:tmpl w:val="1136AC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8" w15:restartNumberingAfterBreak="0">
    <w:nsid w:val="60084C36"/>
    <w:multiLevelType w:val="hybridMultilevel"/>
    <w:tmpl w:val="F1ACFD2E"/>
    <w:lvl w:ilvl="0" w:tplc="598CD040">
      <w:start w:val="1"/>
      <w:numFmt w:val="decimal"/>
      <w:lvlText w:val="%1."/>
      <w:lvlJc w:val="left"/>
      <w:pPr>
        <w:ind w:left="720" w:hanging="360"/>
      </w:pPr>
      <w:rPr>
        <w:rFonts w:ascii="Times New Roman" w:hAnsi="Times New Roman" w:cs="Times New Roman" w:hint="default"/>
        <w:color w:val="auto"/>
        <w:sz w:val="28"/>
        <w:szCs w:val="28"/>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629" w15:restartNumberingAfterBreak="0">
    <w:nsid w:val="6062524C"/>
    <w:multiLevelType w:val="hybridMultilevel"/>
    <w:tmpl w:val="5E626D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0" w15:restartNumberingAfterBreak="0">
    <w:nsid w:val="60672017"/>
    <w:multiLevelType w:val="hybridMultilevel"/>
    <w:tmpl w:val="39EA2214"/>
    <w:lvl w:ilvl="0" w:tplc="CBF29BCE">
      <w:start w:val="1"/>
      <w:numFmt w:val="decimal"/>
      <w:lvlText w:val="%1."/>
      <w:lvlJc w:val="left"/>
      <w:pPr>
        <w:ind w:left="360" w:hanging="360"/>
      </w:pPr>
      <w:rPr>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31" w15:restartNumberingAfterBreak="0">
    <w:nsid w:val="6078186C"/>
    <w:multiLevelType w:val="hybridMultilevel"/>
    <w:tmpl w:val="3A5C48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32" w15:restartNumberingAfterBreak="0">
    <w:nsid w:val="60822D7E"/>
    <w:multiLevelType w:val="hybridMultilevel"/>
    <w:tmpl w:val="D25E202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33" w15:restartNumberingAfterBreak="0">
    <w:nsid w:val="60986CEF"/>
    <w:multiLevelType w:val="hybridMultilevel"/>
    <w:tmpl w:val="8D707D9C"/>
    <w:lvl w:ilvl="0" w:tplc="3C40E888">
      <w:start w:val="1"/>
      <w:numFmt w:val="decimal"/>
      <w:lvlText w:val="%1."/>
      <w:lvlJc w:val="left"/>
      <w:pPr>
        <w:ind w:left="360" w:hanging="360"/>
      </w:pPr>
      <w:rPr>
        <w:rFonts w:hint="default"/>
        <w:b w:val="0"/>
        <w:bCs/>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34" w15:restartNumberingAfterBreak="0">
    <w:nsid w:val="60B002BE"/>
    <w:multiLevelType w:val="hybridMultilevel"/>
    <w:tmpl w:val="AA1684E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635" w15:restartNumberingAfterBreak="0">
    <w:nsid w:val="60BA79CF"/>
    <w:multiLevelType w:val="hybridMultilevel"/>
    <w:tmpl w:val="4112E0AC"/>
    <w:lvl w:ilvl="0" w:tplc="D194CD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36" w15:restartNumberingAfterBreak="0">
    <w:nsid w:val="60C527CE"/>
    <w:multiLevelType w:val="hybridMultilevel"/>
    <w:tmpl w:val="699E45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37" w15:restartNumberingAfterBreak="0">
    <w:nsid w:val="60E16C0A"/>
    <w:multiLevelType w:val="hybridMultilevel"/>
    <w:tmpl w:val="410E31B8"/>
    <w:lvl w:ilvl="0" w:tplc="4016F3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38" w15:restartNumberingAfterBreak="0">
    <w:nsid w:val="60E57645"/>
    <w:multiLevelType w:val="hybridMultilevel"/>
    <w:tmpl w:val="4F747BB0"/>
    <w:lvl w:ilvl="0" w:tplc="BAF011B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39" w15:restartNumberingAfterBreak="0">
    <w:nsid w:val="60FE2D88"/>
    <w:multiLevelType w:val="multilevel"/>
    <w:tmpl w:val="06D0BF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0" w15:restartNumberingAfterBreak="0">
    <w:nsid w:val="60FF6DBC"/>
    <w:multiLevelType w:val="hybridMultilevel"/>
    <w:tmpl w:val="264A47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41" w15:restartNumberingAfterBreak="0">
    <w:nsid w:val="61083128"/>
    <w:multiLevelType w:val="hybridMultilevel"/>
    <w:tmpl w:val="1402F79C"/>
    <w:lvl w:ilvl="0" w:tplc="681A4F34">
      <w:start w:val="1"/>
      <w:numFmt w:val="decimal"/>
      <w:lvlText w:val="%1."/>
      <w:lvlJc w:val="left"/>
      <w:pPr>
        <w:ind w:left="360" w:hanging="360"/>
      </w:pPr>
    </w:lvl>
    <w:lvl w:ilvl="1" w:tplc="E77E8844" w:tentative="1">
      <w:start w:val="1"/>
      <w:numFmt w:val="lowerLetter"/>
      <w:lvlText w:val="%2."/>
      <w:lvlJc w:val="left"/>
      <w:pPr>
        <w:ind w:left="1080" w:hanging="360"/>
      </w:pPr>
    </w:lvl>
    <w:lvl w:ilvl="2" w:tplc="19AE8754" w:tentative="1">
      <w:start w:val="1"/>
      <w:numFmt w:val="lowerRoman"/>
      <w:lvlText w:val="%3."/>
      <w:lvlJc w:val="right"/>
      <w:pPr>
        <w:ind w:left="1800" w:hanging="180"/>
      </w:pPr>
    </w:lvl>
    <w:lvl w:ilvl="3" w:tplc="4AC4BE0A" w:tentative="1">
      <w:start w:val="1"/>
      <w:numFmt w:val="decimal"/>
      <w:lvlText w:val="%4."/>
      <w:lvlJc w:val="left"/>
      <w:pPr>
        <w:ind w:left="2520" w:hanging="360"/>
      </w:pPr>
    </w:lvl>
    <w:lvl w:ilvl="4" w:tplc="0E5419B8" w:tentative="1">
      <w:start w:val="1"/>
      <w:numFmt w:val="lowerLetter"/>
      <w:lvlText w:val="%5."/>
      <w:lvlJc w:val="left"/>
      <w:pPr>
        <w:ind w:left="3240" w:hanging="360"/>
      </w:pPr>
    </w:lvl>
    <w:lvl w:ilvl="5" w:tplc="FCB089B2" w:tentative="1">
      <w:start w:val="1"/>
      <w:numFmt w:val="lowerRoman"/>
      <w:lvlText w:val="%6."/>
      <w:lvlJc w:val="right"/>
      <w:pPr>
        <w:ind w:left="3960" w:hanging="180"/>
      </w:pPr>
    </w:lvl>
    <w:lvl w:ilvl="6" w:tplc="1A08E770" w:tentative="1">
      <w:start w:val="1"/>
      <w:numFmt w:val="decimal"/>
      <w:lvlText w:val="%7."/>
      <w:lvlJc w:val="left"/>
      <w:pPr>
        <w:ind w:left="4680" w:hanging="360"/>
      </w:pPr>
    </w:lvl>
    <w:lvl w:ilvl="7" w:tplc="57282D26" w:tentative="1">
      <w:start w:val="1"/>
      <w:numFmt w:val="lowerLetter"/>
      <w:lvlText w:val="%8."/>
      <w:lvlJc w:val="left"/>
      <w:pPr>
        <w:ind w:left="5400" w:hanging="360"/>
      </w:pPr>
    </w:lvl>
    <w:lvl w:ilvl="8" w:tplc="6B2C0CD6" w:tentative="1">
      <w:start w:val="1"/>
      <w:numFmt w:val="lowerRoman"/>
      <w:lvlText w:val="%9."/>
      <w:lvlJc w:val="right"/>
      <w:pPr>
        <w:ind w:left="6120" w:hanging="180"/>
      </w:pPr>
    </w:lvl>
  </w:abstractNum>
  <w:abstractNum w:abstractNumId="642" w15:restartNumberingAfterBreak="0">
    <w:nsid w:val="61107CB3"/>
    <w:multiLevelType w:val="hybridMultilevel"/>
    <w:tmpl w:val="129C4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3" w15:restartNumberingAfterBreak="0">
    <w:nsid w:val="6193050F"/>
    <w:multiLevelType w:val="hybridMultilevel"/>
    <w:tmpl w:val="9B3490FC"/>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644" w15:restartNumberingAfterBreak="0">
    <w:nsid w:val="61DC07AE"/>
    <w:multiLevelType w:val="multilevel"/>
    <w:tmpl w:val="B3C287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5" w15:restartNumberingAfterBreak="0">
    <w:nsid w:val="6211648F"/>
    <w:multiLevelType w:val="hybridMultilevel"/>
    <w:tmpl w:val="01E4F6E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46" w15:restartNumberingAfterBreak="0">
    <w:nsid w:val="621C0C1E"/>
    <w:multiLevelType w:val="multilevel"/>
    <w:tmpl w:val="08B8B5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647" w15:restartNumberingAfterBreak="0">
    <w:nsid w:val="624D636C"/>
    <w:multiLevelType w:val="hybridMultilevel"/>
    <w:tmpl w:val="24FEAF42"/>
    <w:lvl w:ilvl="0" w:tplc="04AE08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8" w15:restartNumberingAfterBreak="0">
    <w:nsid w:val="627B4BBB"/>
    <w:multiLevelType w:val="hybridMultilevel"/>
    <w:tmpl w:val="38EE6C00"/>
    <w:lvl w:ilvl="0" w:tplc="DF2C475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49" w15:restartNumberingAfterBreak="0">
    <w:nsid w:val="627D28EC"/>
    <w:multiLevelType w:val="hybridMultilevel"/>
    <w:tmpl w:val="2FB47D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0" w15:restartNumberingAfterBreak="0">
    <w:nsid w:val="62996642"/>
    <w:multiLevelType w:val="hybridMultilevel"/>
    <w:tmpl w:val="1FE61652"/>
    <w:lvl w:ilvl="0" w:tplc="DB2A553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51" w15:restartNumberingAfterBreak="0">
    <w:nsid w:val="62AE7841"/>
    <w:multiLevelType w:val="hybridMultilevel"/>
    <w:tmpl w:val="BB9496C4"/>
    <w:lvl w:ilvl="0" w:tplc="1EA29B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52" w15:restartNumberingAfterBreak="0">
    <w:nsid w:val="62BE4C8B"/>
    <w:multiLevelType w:val="hybridMultilevel"/>
    <w:tmpl w:val="7C18441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53" w15:restartNumberingAfterBreak="0">
    <w:nsid w:val="62D423B9"/>
    <w:multiLevelType w:val="multilevel"/>
    <w:tmpl w:val="07C806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4" w15:restartNumberingAfterBreak="0">
    <w:nsid w:val="62DF598A"/>
    <w:multiLevelType w:val="hybridMultilevel"/>
    <w:tmpl w:val="58DC788A"/>
    <w:lvl w:ilvl="0" w:tplc="26200A22">
      <w:start w:val="1"/>
      <w:numFmt w:val="decimal"/>
      <w:lvlText w:val="%1."/>
      <w:lvlJc w:val="left"/>
      <w:pPr>
        <w:ind w:left="720" w:hanging="360"/>
      </w:pPr>
      <w:rPr>
        <w:rFonts w:hint="default"/>
      </w:rPr>
    </w:lvl>
    <w:lvl w:ilvl="1" w:tplc="35BCFAB8" w:tentative="1">
      <w:start w:val="1"/>
      <w:numFmt w:val="lowerLetter"/>
      <w:lvlText w:val="%2."/>
      <w:lvlJc w:val="left"/>
      <w:pPr>
        <w:ind w:left="1440" w:hanging="360"/>
      </w:pPr>
    </w:lvl>
    <w:lvl w:ilvl="2" w:tplc="FC863DD0" w:tentative="1">
      <w:start w:val="1"/>
      <w:numFmt w:val="lowerRoman"/>
      <w:lvlText w:val="%3."/>
      <w:lvlJc w:val="right"/>
      <w:pPr>
        <w:ind w:left="2160" w:hanging="180"/>
      </w:pPr>
    </w:lvl>
    <w:lvl w:ilvl="3" w:tplc="E01C294C" w:tentative="1">
      <w:start w:val="1"/>
      <w:numFmt w:val="decimal"/>
      <w:lvlText w:val="%4."/>
      <w:lvlJc w:val="left"/>
      <w:pPr>
        <w:ind w:left="2880" w:hanging="360"/>
      </w:pPr>
    </w:lvl>
    <w:lvl w:ilvl="4" w:tplc="B5E6D710" w:tentative="1">
      <w:start w:val="1"/>
      <w:numFmt w:val="lowerLetter"/>
      <w:lvlText w:val="%5."/>
      <w:lvlJc w:val="left"/>
      <w:pPr>
        <w:ind w:left="3600" w:hanging="360"/>
      </w:pPr>
    </w:lvl>
    <w:lvl w:ilvl="5" w:tplc="438CCAEA" w:tentative="1">
      <w:start w:val="1"/>
      <w:numFmt w:val="lowerRoman"/>
      <w:lvlText w:val="%6."/>
      <w:lvlJc w:val="right"/>
      <w:pPr>
        <w:ind w:left="4320" w:hanging="180"/>
      </w:pPr>
    </w:lvl>
    <w:lvl w:ilvl="6" w:tplc="065692F6" w:tentative="1">
      <w:start w:val="1"/>
      <w:numFmt w:val="decimal"/>
      <w:lvlText w:val="%7."/>
      <w:lvlJc w:val="left"/>
      <w:pPr>
        <w:ind w:left="5040" w:hanging="360"/>
      </w:pPr>
    </w:lvl>
    <w:lvl w:ilvl="7" w:tplc="8F5C4A24" w:tentative="1">
      <w:start w:val="1"/>
      <w:numFmt w:val="lowerLetter"/>
      <w:lvlText w:val="%8."/>
      <w:lvlJc w:val="left"/>
      <w:pPr>
        <w:ind w:left="5760" w:hanging="360"/>
      </w:pPr>
    </w:lvl>
    <w:lvl w:ilvl="8" w:tplc="BA503E00" w:tentative="1">
      <w:start w:val="1"/>
      <w:numFmt w:val="lowerRoman"/>
      <w:lvlText w:val="%9."/>
      <w:lvlJc w:val="right"/>
      <w:pPr>
        <w:ind w:left="6480" w:hanging="180"/>
      </w:pPr>
    </w:lvl>
  </w:abstractNum>
  <w:abstractNum w:abstractNumId="655" w15:restartNumberingAfterBreak="0">
    <w:nsid w:val="62E831A4"/>
    <w:multiLevelType w:val="hybridMultilevel"/>
    <w:tmpl w:val="D450AA1A"/>
    <w:lvl w:ilvl="0" w:tplc="0409000F">
      <w:start w:val="1"/>
      <w:numFmt w:val="decimal"/>
      <w:lvlText w:val="%1."/>
      <w:lvlJc w:val="left"/>
      <w:pPr>
        <w:ind w:left="1212" w:hanging="360"/>
      </w:pPr>
      <w:rPr>
        <w:b w:val="0"/>
        <w:bCs w:val="0"/>
      </w:rPr>
    </w:lvl>
    <w:lvl w:ilvl="1" w:tplc="04090019" w:tentative="1">
      <w:start w:val="1"/>
      <w:numFmt w:val="lowerLetter"/>
      <w:lvlText w:val="%2."/>
      <w:lvlJc w:val="left"/>
      <w:pPr>
        <w:ind w:left="1932" w:hanging="360"/>
      </w:pPr>
    </w:lvl>
    <w:lvl w:ilvl="2" w:tplc="0409001B" w:tentative="1">
      <w:start w:val="1"/>
      <w:numFmt w:val="lowerRoman"/>
      <w:lvlText w:val="%3."/>
      <w:lvlJc w:val="right"/>
      <w:pPr>
        <w:ind w:left="2652" w:hanging="180"/>
      </w:pPr>
    </w:lvl>
    <w:lvl w:ilvl="3" w:tplc="0409000F" w:tentative="1">
      <w:start w:val="1"/>
      <w:numFmt w:val="decimal"/>
      <w:lvlText w:val="%4."/>
      <w:lvlJc w:val="left"/>
      <w:pPr>
        <w:ind w:left="3372" w:hanging="360"/>
      </w:pPr>
    </w:lvl>
    <w:lvl w:ilvl="4" w:tplc="04090019" w:tentative="1">
      <w:start w:val="1"/>
      <w:numFmt w:val="lowerLetter"/>
      <w:lvlText w:val="%5."/>
      <w:lvlJc w:val="left"/>
      <w:pPr>
        <w:ind w:left="4092" w:hanging="360"/>
      </w:pPr>
    </w:lvl>
    <w:lvl w:ilvl="5" w:tplc="0409001B" w:tentative="1">
      <w:start w:val="1"/>
      <w:numFmt w:val="lowerRoman"/>
      <w:lvlText w:val="%6."/>
      <w:lvlJc w:val="right"/>
      <w:pPr>
        <w:ind w:left="4812" w:hanging="180"/>
      </w:pPr>
    </w:lvl>
    <w:lvl w:ilvl="6" w:tplc="0409000F" w:tentative="1">
      <w:start w:val="1"/>
      <w:numFmt w:val="decimal"/>
      <w:lvlText w:val="%7."/>
      <w:lvlJc w:val="left"/>
      <w:pPr>
        <w:ind w:left="5532" w:hanging="360"/>
      </w:pPr>
    </w:lvl>
    <w:lvl w:ilvl="7" w:tplc="04090019" w:tentative="1">
      <w:start w:val="1"/>
      <w:numFmt w:val="lowerLetter"/>
      <w:lvlText w:val="%8."/>
      <w:lvlJc w:val="left"/>
      <w:pPr>
        <w:ind w:left="6252" w:hanging="360"/>
      </w:pPr>
    </w:lvl>
    <w:lvl w:ilvl="8" w:tplc="0409001B" w:tentative="1">
      <w:start w:val="1"/>
      <w:numFmt w:val="lowerRoman"/>
      <w:lvlText w:val="%9."/>
      <w:lvlJc w:val="right"/>
      <w:pPr>
        <w:ind w:left="6972" w:hanging="180"/>
      </w:pPr>
    </w:lvl>
  </w:abstractNum>
  <w:abstractNum w:abstractNumId="656" w15:restartNumberingAfterBreak="0">
    <w:nsid w:val="62F3411D"/>
    <w:multiLevelType w:val="hybridMultilevel"/>
    <w:tmpl w:val="5C6AB636"/>
    <w:lvl w:ilvl="0" w:tplc="2D3A77F6">
      <w:start w:val="1"/>
      <w:numFmt w:val="bullet"/>
      <w:lvlText w:val=""/>
      <w:lvlJc w:val="left"/>
      <w:pPr>
        <w:ind w:left="1429" w:hanging="360"/>
      </w:pPr>
      <w:rPr>
        <w:rFonts w:ascii="Symbol" w:hAnsi="Symbol" w:hint="default"/>
      </w:rPr>
    </w:lvl>
    <w:lvl w:ilvl="1" w:tplc="04190019" w:tentative="1">
      <w:start w:val="1"/>
      <w:numFmt w:val="bullet"/>
      <w:lvlText w:val="o"/>
      <w:lvlJc w:val="left"/>
      <w:pPr>
        <w:ind w:left="2149" w:hanging="360"/>
      </w:pPr>
      <w:rPr>
        <w:rFonts w:ascii="Courier New" w:hAnsi="Courier New" w:cs="Courier New" w:hint="default"/>
      </w:rPr>
    </w:lvl>
    <w:lvl w:ilvl="2" w:tplc="0419001B" w:tentative="1">
      <w:start w:val="1"/>
      <w:numFmt w:val="bullet"/>
      <w:lvlText w:val=""/>
      <w:lvlJc w:val="left"/>
      <w:pPr>
        <w:ind w:left="2869" w:hanging="360"/>
      </w:pPr>
      <w:rPr>
        <w:rFonts w:ascii="Wingdings" w:hAnsi="Wingdings" w:hint="default"/>
      </w:rPr>
    </w:lvl>
    <w:lvl w:ilvl="3" w:tplc="0419000F" w:tentative="1">
      <w:start w:val="1"/>
      <w:numFmt w:val="bullet"/>
      <w:lvlText w:val=""/>
      <w:lvlJc w:val="left"/>
      <w:pPr>
        <w:ind w:left="3589" w:hanging="360"/>
      </w:pPr>
      <w:rPr>
        <w:rFonts w:ascii="Symbol" w:hAnsi="Symbol" w:hint="default"/>
      </w:rPr>
    </w:lvl>
    <w:lvl w:ilvl="4" w:tplc="04190019" w:tentative="1">
      <w:start w:val="1"/>
      <w:numFmt w:val="bullet"/>
      <w:lvlText w:val="o"/>
      <w:lvlJc w:val="left"/>
      <w:pPr>
        <w:ind w:left="4309" w:hanging="360"/>
      </w:pPr>
      <w:rPr>
        <w:rFonts w:ascii="Courier New" w:hAnsi="Courier New" w:cs="Courier New" w:hint="default"/>
      </w:rPr>
    </w:lvl>
    <w:lvl w:ilvl="5" w:tplc="0419001B" w:tentative="1">
      <w:start w:val="1"/>
      <w:numFmt w:val="bullet"/>
      <w:lvlText w:val=""/>
      <w:lvlJc w:val="left"/>
      <w:pPr>
        <w:ind w:left="5029" w:hanging="360"/>
      </w:pPr>
      <w:rPr>
        <w:rFonts w:ascii="Wingdings" w:hAnsi="Wingdings" w:hint="default"/>
      </w:rPr>
    </w:lvl>
    <w:lvl w:ilvl="6" w:tplc="0419000F" w:tentative="1">
      <w:start w:val="1"/>
      <w:numFmt w:val="bullet"/>
      <w:lvlText w:val=""/>
      <w:lvlJc w:val="left"/>
      <w:pPr>
        <w:ind w:left="5749" w:hanging="360"/>
      </w:pPr>
      <w:rPr>
        <w:rFonts w:ascii="Symbol" w:hAnsi="Symbol" w:hint="default"/>
      </w:rPr>
    </w:lvl>
    <w:lvl w:ilvl="7" w:tplc="04190019" w:tentative="1">
      <w:start w:val="1"/>
      <w:numFmt w:val="bullet"/>
      <w:lvlText w:val="o"/>
      <w:lvlJc w:val="left"/>
      <w:pPr>
        <w:ind w:left="6469" w:hanging="360"/>
      </w:pPr>
      <w:rPr>
        <w:rFonts w:ascii="Courier New" w:hAnsi="Courier New" w:cs="Courier New" w:hint="default"/>
      </w:rPr>
    </w:lvl>
    <w:lvl w:ilvl="8" w:tplc="0419001B" w:tentative="1">
      <w:start w:val="1"/>
      <w:numFmt w:val="bullet"/>
      <w:lvlText w:val=""/>
      <w:lvlJc w:val="left"/>
      <w:pPr>
        <w:ind w:left="7189" w:hanging="360"/>
      </w:pPr>
      <w:rPr>
        <w:rFonts w:ascii="Wingdings" w:hAnsi="Wingdings" w:hint="default"/>
      </w:rPr>
    </w:lvl>
  </w:abstractNum>
  <w:abstractNum w:abstractNumId="657" w15:restartNumberingAfterBreak="0">
    <w:nsid w:val="632F42B7"/>
    <w:multiLevelType w:val="hybridMultilevel"/>
    <w:tmpl w:val="688652D0"/>
    <w:lvl w:ilvl="0" w:tplc="04190001">
      <w:start w:val="1"/>
      <w:numFmt w:val="decimal"/>
      <w:lvlText w:val="%1."/>
      <w:lvlJc w:val="left"/>
      <w:pPr>
        <w:ind w:left="1429" w:hanging="360"/>
      </w:pPr>
    </w:lvl>
    <w:lvl w:ilvl="1" w:tplc="04190003" w:tentative="1">
      <w:start w:val="1"/>
      <w:numFmt w:val="lowerLetter"/>
      <w:lvlText w:val="%2."/>
      <w:lvlJc w:val="left"/>
      <w:pPr>
        <w:ind w:left="2149" w:hanging="360"/>
      </w:pPr>
    </w:lvl>
    <w:lvl w:ilvl="2" w:tplc="04190005" w:tentative="1">
      <w:start w:val="1"/>
      <w:numFmt w:val="lowerRoman"/>
      <w:lvlText w:val="%3."/>
      <w:lvlJc w:val="right"/>
      <w:pPr>
        <w:ind w:left="2869" w:hanging="180"/>
      </w:pPr>
    </w:lvl>
    <w:lvl w:ilvl="3" w:tplc="04190001" w:tentative="1">
      <w:start w:val="1"/>
      <w:numFmt w:val="decimal"/>
      <w:lvlText w:val="%4."/>
      <w:lvlJc w:val="left"/>
      <w:pPr>
        <w:ind w:left="3589" w:hanging="360"/>
      </w:pPr>
    </w:lvl>
    <w:lvl w:ilvl="4" w:tplc="04190003" w:tentative="1">
      <w:start w:val="1"/>
      <w:numFmt w:val="lowerLetter"/>
      <w:lvlText w:val="%5."/>
      <w:lvlJc w:val="left"/>
      <w:pPr>
        <w:ind w:left="4309" w:hanging="360"/>
      </w:pPr>
    </w:lvl>
    <w:lvl w:ilvl="5" w:tplc="04190005" w:tentative="1">
      <w:start w:val="1"/>
      <w:numFmt w:val="lowerRoman"/>
      <w:lvlText w:val="%6."/>
      <w:lvlJc w:val="right"/>
      <w:pPr>
        <w:ind w:left="5029" w:hanging="180"/>
      </w:pPr>
    </w:lvl>
    <w:lvl w:ilvl="6" w:tplc="04190001" w:tentative="1">
      <w:start w:val="1"/>
      <w:numFmt w:val="decimal"/>
      <w:lvlText w:val="%7."/>
      <w:lvlJc w:val="left"/>
      <w:pPr>
        <w:ind w:left="5749" w:hanging="360"/>
      </w:pPr>
    </w:lvl>
    <w:lvl w:ilvl="7" w:tplc="04190003" w:tentative="1">
      <w:start w:val="1"/>
      <w:numFmt w:val="lowerLetter"/>
      <w:lvlText w:val="%8."/>
      <w:lvlJc w:val="left"/>
      <w:pPr>
        <w:ind w:left="6469" w:hanging="360"/>
      </w:pPr>
    </w:lvl>
    <w:lvl w:ilvl="8" w:tplc="04190005" w:tentative="1">
      <w:start w:val="1"/>
      <w:numFmt w:val="lowerRoman"/>
      <w:lvlText w:val="%9."/>
      <w:lvlJc w:val="right"/>
      <w:pPr>
        <w:ind w:left="7189" w:hanging="180"/>
      </w:pPr>
    </w:lvl>
  </w:abstractNum>
  <w:abstractNum w:abstractNumId="658" w15:restartNumberingAfterBreak="0">
    <w:nsid w:val="63336296"/>
    <w:multiLevelType w:val="hybridMultilevel"/>
    <w:tmpl w:val="CF3A98E4"/>
    <w:lvl w:ilvl="0" w:tplc="0422000F">
      <w:start w:val="1"/>
      <w:numFmt w:val="decimal"/>
      <w:lvlText w:val="%1."/>
      <w:lvlJc w:val="left"/>
      <w:pPr>
        <w:ind w:left="360" w:hanging="360"/>
      </w:pPr>
    </w:lvl>
    <w:lvl w:ilvl="1" w:tplc="04220019" w:tentative="1">
      <w:start w:val="1"/>
      <w:numFmt w:val="lowerLetter"/>
      <w:lvlText w:val="%2."/>
      <w:lvlJc w:val="left"/>
      <w:pPr>
        <w:ind w:left="1553" w:hanging="360"/>
      </w:pPr>
    </w:lvl>
    <w:lvl w:ilvl="2" w:tplc="0422001B" w:tentative="1">
      <w:start w:val="1"/>
      <w:numFmt w:val="lowerRoman"/>
      <w:lvlText w:val="%3."/>
      <w:lvlJc w:val="right"/>
      <w:pPr>
        <w:ind w:left="2273" w:hanging="180"/>
      </w:pPr>
    </w:lvl>
    <w:lvl w:ilvl="3" w:tplc="0422000F" w:tentative="1">
      <w:start w:val="1"/>
      <w:numFmt w:val="decimal"/>
      <w:lvlText w:val="%4."/>
      <w:lvlJc w:val="left"/>
      <w:pPr>
        <w:ind w:left="2993" w:hanging="360"/>
      </w:pPr>
    </w:lvl>
    <w:lvl w:ilvl="4" w:tplc="04220019" w:tentative="1">
      <w:start w:val="1"/>
      <w:numFmt w:val="lowerLetter"/>
      <w:lvlText w:val="%5."/>
      <w:lvlJc w:val="left"/>
      <w:pPr>
        <w:ind w:left="3713" w:hanging="360"/>
      </w:pPr>
    </w:lvl>
    <w:lvl w:ilvl="5" w:tplc="0422001B" w:tentative="1">
      <w:start w:val="1"/>
      <w:numFmt w:val="lowerRoman"/>
      <w:lvlText w:val="%6."/>
      <w:lvlJc w:val="right"/>
      <w:pPr>
        <w:ind w:left="4433" w:hanging="180"/>
      </w:pPr>
    </w:lvl>
    <w:lvl w:ilvl="6" w:tplc="0422000F" w:tentative="1">
      <w:start w:val="1"/>
      <w:numFmt w:val="decimal"/>
      <w:lvlText w:val="%7."/>
      <w:lvlJc w:val="left"/>
      <w:pPr>
        <w:ind w:left="5153" w:hanging="360"/>
      </w:pPr>
    </w:lvl>
    <w:lvl w:ilvl="7" w:tplc="04220019" w:tentative="1">
      <w:start w:val="1"/>
      <w:numFmt w:val="lowerLetter"/>
      <w:lvlText w:val="%8."/>
      <w:lvlJc w:val="left"/>
      <w:pPr>
        <w:ind w:left="5873" w:hanging="360"/>
      </w:pPr>
    </w:lvl>
    <w:lvl w:ilvl="8" w:tplc="0422001B" w:tentative="1">
      <w:start w:val="1"/>
      <w:numFmt w:val="lowerRoman"/>
      <w:lvlText w:val="%9."/>
      <w:lvlJc w:val="right"/>
      <w:pPr>
        <w:ind w:left="6593" w:hanging="180"/>
      </w:pPr>
    </w:lvl>
  </w:abstractNum>
  <w:abstractNum w:abstractNumId="659" w15:restartNumberingAfterBreak="0">
    <w:nsid w:val="633F398D"/>
    <w:multiLevelType w:val="hybridMultilevel"/>
    <w:tmpl w:val="6A26A61E"/>
    <w:lvl w:ilvl="0" w:tplc="FFFFFFF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60" w15:restartNumberingAfterBreak="0">
    <w:nsid w:val="63450AA0"/>
    <w:multiLevelType w:val="hybridMultilevel"/>
    <w:tmpl w:val="8F60DB2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61" w15:restartNumberingAfterBreak="0">
    <w:nsid w:val="637A1030"/>
    <w:multiLevelType w:val="hybridMultilevel"/>
    <w:tmpl w:val="62F0EE22"/>
    <w:lvl w:ilvl="0" w:tplc="6E96F398">
      <w:start w:val="1"/>
      <w:numFmt w:val="decimal"/>
      <w:lvlText w:val="%1."/>
      <w:lvlJc w:val="left"/>
      <w:pPr>
        <w:ind w:left="720" w:hanging="6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2" w15:restartNumberingAfterBreak="0">
    <w:nsid w:val="63F75A06"/>
    <w:multiLevelType w:val="hybridMultilevel"/>
    <w:tmpl w:val="746488D0"/>
    <w:lvl w:ilvl="0" w:tplc="270AEF92">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3" w15:restartNumberingAfterBreak="0">
    <w:nsid w:val="63FC12AD"/>
    <w:multiLevelType w:val="multilevel"/>
    <w:tmpl w:val="61E04B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664" w15:restartNumberingAfterBreak="0">
    <w:nsid w:val="64073E90"/>
    <w:multiLevelType w:val="hybridMultilevel"/>
    <w:tmpl w:val="9B580F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65" w15:restartNumberingAfterBreak="0">
    <w:nsid w:val="643E65E4"/>
    <w:multiLevelType w:val="multilevel"/>
    <w:tmpl w:val="07C806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6" w15:restartNumberingAfterBreak="0">
    <w:nsid w:val="645C5D29"/>
    <w:multiLevelType w:val="hybridMultilevel"/>
    <w:tmpl w:val="039E04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7" w15:restartNumberingAfterBreak="0">
    <w:nsid w:val="645D4558"/>
    <w:multiLevelType w:val="hybridMultilevel"/>
    <w:tmpl w:val="53DC9750"/>
    <w:lvl w:ilvl="0" w:tplc="567C4F64">
      <w:start w:val="1"/>
      <w:numFmt w:val="decimal"/>
      <w:lvlText w:val="%1."/>
      <w:lvlJc w:val="left"/>
      <w:pPr>
        <w:ind w:left="720" w:hanging="360"/>
      </w:pPr>
    </w:lvl>
    <w:lvl w:ilvl="1" w:tplc="3B466FD8">
      <w:start w:val="1"/>
      <w:numFmt w:val="lowerLetter"/>
      <w:lvlText w:val="%2."/>
      <w:lvlJc w:val="left"/>
      <w:pPr>
        <w:ind w:left="1440" w:hanging="360"/>
      </w:pPr>
    </w:lvl>
    <w:lvl w:ilvl="2" w:tplc="3536D508">
      <w:start w:val="1"/>
      <w:numFmt w:val="lowerRoman"/>
      <w:lvlText w:val="%3."/>
      <w:lvlJc w:val="right"/>
      <w:pPr>
        <w:ind w:left="2160" w:hanging="180"/>
      </w:pPr>
    </w:lvl>
    <w:lvl w:ilvl="3" w:tplc="2730D096">
      <w:start w:val="1"/>
      <w:numFmt w:val="decimal"/>
      <w:lvlText w:val="%4."/>
      <w:lvlJc w:val="left"/>
      <w:pPr>
        <w:ind w:left="2880" w:hanging="360"/>
      </w:pPr>
    </w:lvl>
    <w:lvl w:ilvl="4" w:tplc="9880D87A">
      <w:start w:val="1"/>
      <w:numFmt w:val="lowerLetter"/>
      <w:lvlText w:val="%5."/>
      <w:lvlJc w:val="left"/>
      <w:pPr>
        <w:ind w:left="3600" w:hanging="360"/>
      </w:pPr>
    </w:lvl>
    <w:lvl w:ilvl="5" w:tplc="427E41B4">
      <w:start w:val="1"/>
      <w:numFmt w:val="lowerRoman"/>
      <w:lvlText w:val="%6."/>
      <w:lvlJc w:val="right"/>
      <w:pPr>
        <w:ind w:left="4320" w:hanging="180"/>
      </w:pPr>
    </w:lvl>
    <w:lvl w:ilvl="6" w:tplc="1130E31A">
      <w:start w:val="1"/>
      <w:numFmt w:val="decimal"/>
      <w:lvlText w:val="%7."/>
      <w:lvlJc w:val="left"/>
      <w:pPr>
        <w:ind w:left="5040" w:hanging="360"/>
      </w:pPr>
    </w:lvl>
    <w:lvl w:ilvl="7" w:tplc="F5CACAD6">
      <w:start w:val="1"/>
      <w:numFmt w:val="lowerLetter"/>
      <w:lvlText w:val="%8."/>
      <w:lvlJc w:val="left"/>
      <w:pPr>
        <w:ind w:left="5760" w:hanging="360"/>
      </w:pPr>
    </w:lvl>
    <w:lvl w:ilvl="8" w:tplc="15C443FC">
      <w:start w:val="1"/>
      <w:numFmt w:val="lowerRoman"/>
      <w:lvlText w:val="%9."/>
      <w:lvlJc w:val="right"/>
      <w:pPr>
        <w:ind w:left="6480" w:hanging="180"/>
      </w:pPr>
    </w:lvl>
  </w:abstractNum>
  <w:abstractNum w:abstractNumId="668" w15:restartNumberingAfterBreak="0">
    <w:nsid w:val="646D7D34"/>
    <w:multiLevelType w:val="multilevel"/>
    <w:tmpl w:val="F7CA83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669" w15:restartNumberingAfterBreak="0">
    <w:nsid w:val="64CC2803"/>
    <w:multiLevelType w:val="hybridMultilevel"/>
    <w:tmpl w:val="6D084792"/>
    <w:styleLink w:val="14"/>
    <w:lvl w:ilvl="0" w:tplc="385A3D84">
      <w:start w:val="1"/>
      <w:numFmt w:val="decimal"/>
      <w:lvlText w:val="%1."/>
      <w:lvlJc w:val="left"/>
      <w:pPr>
        <w:ind w:left="740" w:hanging="3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72E4041A">
      <w:start w:val="1"/>
      <w:numFmt w:val="lowerLetter"/>
      <w:lvlText w:val="%2."/>
      <w:lvlJc w:val="left"/>
      <w:pPr>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C6681D3A">
      <w:start w:val="1"/>
      <w:numFmt w:val="lowerRoman"/>
      <w:lvlText w:val="%3."/>
      <w:lvlJc w:val="left"/>
      <w:pPr>
        <w:ind w:left="2160" w:hanging="3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AE9C1CB0">
      <w:start w:val="1"/>
      <w:numFmt w:val="decimal"/>
      <w:lvlText w:val="%4."/>
      <w:lvlJc w:val="left"/>
      <w:pPr>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E188A6D8">
      <w:start w:val="1"/>
      <w:numFmt w:val="lowerLetter"/>
      <w:lvlText w:val="%5."/>
      <w:lvlJc w:val="left"/>
      <w:pPr>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1DEADAB6">
      <w:start w:val="1"/>
      <w:numFmt w:val="lowerRoman"/>
      <w:lvlText w:val="%6."/>
      <w:lvlJc w:val="left"/>
      <w:pPr>
        <w:ind w:left="4320" w:hanging="3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F828CB20">
      <w:start w:val="1"/>
      <w:numFmt w:val="decimal"/>
      <w:lvlText w:val="%7."/>
      <w:lvlJc w:val="left"/>
      <w:pPr>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0972D490">
      <w:start w:val="1"/>
      <w:numFmt w:val="lowerLetter"/>
      <w:lvlText w:val="%8."/>
      <w:lvlJc w:val="left"/>
      <w:pPr>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42D69DDE">
      <w:start w:val="1"/>
      <w:numFmt w:val="lowerRoman"/>
      <w:lvlText w:val="%9."/>
      <w:lvlJc w:val="left"/>
      <w:pPr>
        <w:ind w:left="6480" w:hanging="3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70" w15:restartNumberingAfterBreak="0">
    <w:nsid w:val="65070610"/>
    <w:multiLevelType w:val="hybridMultilevel"/>
    <w:tmpl w:val="D6BC7BE2"/>
    <w:lvl w:ilvl="0" w:tplc="FFFFFFFF">
      <w:numFmt w:val="bullet"/>
      <w:lvlText w:val="-"/>
      <w:lvlJc w:val="left"/>
      <w:pPr>
        <w:ind w:left="1068" w:hanging="360"/>
      </w:pPr>
      <w:rPr>
        <w:rFonts w:ascii="Times New Roman" w:eastAsiaTheme="minorEastAsia" w:hAnsi="Times New Roman" w:cs="Times New Roman" w:hint="default"/>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Courier New" w:hint="default"/>
      </w:rPr>
    </w:lvl>
    <w:lvl w:ilvl="8" w:tplc="04220005">
      <w:start w:val="1"/>
      <w:numFmt w:val="bullet"/>
      <w:lvlText w:val=""/>
      <w:lvlJc w:val="left"/>
      <w:pPr>
        <w:ind w:left="6828" w:hanging="360"/>
      </w:pPr>
      <w:rPr>
        <w:rFonts w:ascii="Wingdings" w:hAnsi="Wingdings" w:hint="default"/>
      </w:rPr>
    </w:lvl>
  </w:abstractNum>
  <w:abstractNum w:abstractNumId="671" w15:restartNumberingAfterBreak="0">
    <w:nsid w:val="6548402D"/>
    <w:multiLevelType w:val="hybridMultilevel"/>
    <w:tmpl w:val="7472A2B6"/>
    <w:styleLink w:val="a2"/>
    <w:lvl w:ilvl="0" w:tplc="89CE43CE">
      <w:start w:val="1"/>
      <w:numFmt w:val="decimal"/>
      <w:lvlText w:val="%1."/>
      <w:lvlJc w:val="left"/>
      <w:pPr>
        <w:tabs>
          <w:tab w:val="left" w:pos="360"/>
        </w:tabs>
        <w:ind w:left="295"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770CC66">
      <w:start w:val="1"/>
      <w:numFmt w:val="decimal"/>
      <w:lvlText w:val="%2."/>
      <w:lvlJc w:val="left"/>
      <w:pPr>
        <w:tabs>
          <w:tab w:val="left" w:pos="360"/>
        </w:tabs>
        <w:ind w:left="1095"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6C6C55C">
      <w:start w:val="1"/>
      <w:numFmt w:val="decimal"/>
      <w:lvlText w:val="%3."/>
      <w:lvlJc w:val="left"/>
      <w:pPr>
        <w:tabs>
          <w:tab w:val="left" w:pos="360"/>
        </w:tabs>
        <w:ind w:left="1895"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CB6102C">
      <w:start w:val="1"/>
      <w:numFmt w:val="decimal"/>
      <w:lvlText w:val="%4."/>
      <w:lvlJc w:val="left"/>
      <w:pPr>
        <w:tabs>
          <w:tab w:val="left" w:pos="360"/>
        </w:tabs>
        <w:ind w:left="2695"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8AAE484">
      <w:start w:val="1"/>
      <w:numFmt w:val="decimal"/>
      <w:lvlText w:val="%5."/>
      <w:lvlJc w:val="left"/>
      <w:pPr>
        <w:tabs>
          <w:tab w:val="left" w:pos="360"/>
        </w:tabs>
        <w:ind w:left="3495"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A5A4F86">
      <w:start w:val="1"/>
      <w:numFmt w:val="decimal"/>
      <w:lvlText w:val="%6."/>
      <w:lvlJc w:val="left"/>
      <w:pPr>
        <w:tabs>
          <w:tab w:val="left" w:pos="360"/>
        </w:tabs>
        <w:ind w:left="4295"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0D8947A">
      <w:start w:val="1"/>
      <w:numFmt w:val="decimal"/>
      <w:lvlText w:val="%7."/>
      <w:lvlJc w:val="left"/>
      <w:pPr>
        <w:tabs>
          <w:tab w:val="left" w:pos="360"/>
        </w:tabs>
        <w:ind w:left="5095"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DC62CCC">
      <w:start w:val="1"/>
      <w:numFmt w:val="decimal"/>
      <w:lvlText w:val="%8."/>
      <w:lvlJc w:val="left"/>
      <w:pPr>
        <w:tabs>
          <w:tab w:val="left" w:pos="360"/>
        </w:tabs>
        <w:ind w:left="5895"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2FE152C">
      <w:start w:val="1"/>
      <w:numFmt w:val="decimal"/>
      <w:lvlText w:val="%9."/>
      <w:lvlJc w:val="left"/>
      <w:pPr>
        <w:tabs>
          <w:tab w:val="left" w:pos="360"/>
        </w:tabs>
        <w:ind w:left="6695" w:hanging="29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72" w15:restartNumberingAfterBreak="0">
    <w:nsid w:val="654A08E5"/>
    <w:multiLevelType w:val="hybridMultilevel"/>
    <w:tmpl w:val="F6DCF5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3" w15:restartNumberingAfterBreak="0">
    <w:nsid w:val="655D5AD1"/>
    <w:multiLevelType w:val="hybridMultilevel"/>
    <w:tmpl w:val="C0284FEC"/>
    <w:lvl w:ilvl="0" w:tplc="2000000F">
      <w:start w:val="1"/>
      <w:numFmt w:val="decimal"/>
      <w:lvlText w:val="%1."/>
      <w:lvlJc w:val="left"/>
      <w:pPr>
        <w:ind w:left="1428" w:hanging="360"/>
      </w:pPr>
    </w:lvl>
    <w:lvl w:ilvl="1" w:tplc="20000019" w:tentative="1">
      <w:start w:val="1"/>
      <w:numFmt w:val="lowerLetter"/>
      <w:lvlText w:val="%2."/>
      <w:lvlJc w:val="left"/>
      <w:pPr>
        <w:ind w:left="2148" w:hanging="360"/>
      </w:pPr>
    </w:lvl>
    <w:lvl w:ilvl="2" w:tplc="2000001B" w:tentative="1">
      <w:start w:val="1"/>
      <w:numFmt w:val="lowerRoman"/>
      <w:lvlText w:val="%3."/>
      <w:lvlJc w:val="right"/>
      <w:pPr>
        <w:ind w:left="2868" w:hanging="180"/>
      </w:pPr>
    </w:lvl>
    <w:lvl w:ilvl="3" w:tplc="2000000F" w:tentative="1">
      <w:start w:val="1"/>
      <w:numFmt w:val="decimal"/>
      <w:lvlText w:val="%4."/>
      <w:lvlJc w:val="left"/>
      <w:pPr>
        <w:ind w:left="3588" w:hanging="360"/>
      </w:pPr>
    </w:lvl>
    <w:lvl w:ilvl="4" w:tplc="20000019" w:tentative="1">
      <w:start w:val="1"/>
      <w:numFmt w:val="lowerLetter"/>
      <w:lvlText w:val="%5."/>
      <w:lvlJc w:val="left"/>
      <w:pPr>
        <w:ind w:left="4308" w:hanging="360"/>
      </w:pPr>
    </w:lvl>
    <w:lvl w:ilvl="5" w:tplc="2000001B" w:tentative="1">
      <w:start w:val="1"/>
      <w:numFmt w:val="lowerRoman"/>
      <w:lvlText w:val="%6."/>
      <w:lvlJc w:val="right"/>
      <w:pPr>
        <w:ind w:left="5028" w:hanging="180"/>
      </w:pPr>
    </w:lvl>
    <w:lvl w:ilvl="6" w:tplc="2000000F" w:tentative="1">
      <w:start w:val="1"/>
      <w:numFmt w:val="decimal"/>
      <w:lvlText w:val="%7."/>
      <w:lvlJc w:val="left"/>
      <w:pPr>
        <w:ind w:left="5748" w:hanging="360"/>
      </w:pPr>
    </w:lvl>
    <w:lvl w:ilvl="7" w:tplc="20000019" w:tentative="1">
      <w:start w:val="1"/>
      <w:numFmt w:val="lowerLetter"/>
      <w:lvlText w:val="%8."/>
      <w:lvlJc w:val="left"/>
      <w:pPr>
        <w:ind w:left="6468" w:hanging="360"/>
      </w:pPr>
    </w:lvl>
    <w:lvl w:ilvl="8" w:tplc="2000001B" w:tentative="1">
      <w:start w:val="1"/>
      <w:numFmt w:val="lowerRoman"/>
      <w:lvlText w:val="%9."/>
      <w:lvlJc w:val="right"/>
      <w:pPr>
        <w:ind w:left="7188" w:hanging="180"/>
      </w:pPr>
    </w:lvl>
  </w:abstractNum>
  <w:abstractNum w:abstractNumId="674" w15:restartNumberingAfterBreak="0">
    <w:nsid w:val="65703CAB"/>
    <w:multiLevelType w:val="hybridMultilevel"/>
    <w:tmpl w:val="F2BEF80E"/>
    <w:lvl w:ilvl="0" w:tplc="9DDEEA36">
      <w:start w:val="1"/>
      <w:numFmt w:val="decimal"/>
      <w:lvlText w:val="%1."/>
      <w:lvlJc w:val="left"/>
      <w:pPr>
        <w:ind w:left="1146" w:hanging="360"/>
      </w:pPr>
    </w:lvl>
    <w:lvl w:ilvl="1" w:tplc="D0FE5EA2" w:tentative="1">
      <w:start w:val="1"/>
      <w:numFmt w:val="lowerLetter"/>
      <w:lvlText w:val="%2."/>
      <w:lvlJc w:val="left"/>
      <w:pPr>
        <w:ind w:left="1866" w:hanging="360"/>
      </w:pPr>
    </w:lvl>
    <w:lvl w:ilvl="2" w:tplc="D3227774" w:tentative="1">
      <w:start w:val="1"/>
      <w:numFmt w:val="lowerRoman"/>
      <w:lvlText w:val="%3."/>
      <w:lvlJc w:val="right"/>
      <w:pPr>
        <w:ind w:left="2586" w:hanging="180"/>
      </w:pPr>
    </w:lvl>
    <w:lvl w:ilvl="3" w:tplc="3AD44464" w:tentative="1">
      <w:start w:val="1"/>
      <w:numFmt w:val="decimal"/>
      <w:lvlText w:val="%4."/>
      <w:lvlJc w:val="left"/>
      <w:pPr>
        <w:ind w:left="3306" w:hanging="360"/>
      </w:pPr>
    </w:lvl>
    <w:lvl w:ilvl="4" w:tplc="34DEB962" w:tentative="1">
      <w:start w:val="1"/>
      <w:numFmt w:val="lowerLetter"/>
      <w:lvlText w:val="%5."/>
      <w:lvlJc w:val="left"/>
      <w:pPr>
        <w:ind w:left="4026" w:hanging="360"/>
      </w:pPr>
    </w:lvl>
    <w:lvl w:ilvl="5" w:tplc="640A6522" w:tentative="1">
      <w:start w:val="1"/>
      <w:numFmt w:val="lowerRoman"/>
      <w:lvlText w:val="%6."/>
      <w:lvlJc w:val="right"/>
      <w:pPr>
        <w:ind w:left="4746" w:hanging="180"/>
      </w:pPr>
    </w:lvl>
    <w:lvl w:ilvl="6" w:tplc="3A0A1E18" w:tentative="1">
      <w:start w:val="1"/>
      <w:numFmt w:val="decimal"/>
      <w:lvlText w:val="%7."/>
      <w:lvlJc w:val="left"/>
      <w:pPr>
        <w:ind w:left="5466" w:hanging="360"/>
      </w:pPr>
    </w:lvl>
    <w:lvl w:ilvl="7" w:tplc="CC5096AA" w:tentative="1">
      <w:start w:val="1"/>
      <w:numFmt w:val="lowerLetter"/>
      <w:lvlText w:val="%8."/>
      <w:lvlJc w:val="left"/>
      <w:pPr>
        <w:ind w:left="6186" w:hanging="360"/>
      </w:pPr>
    </w:lvl>
    <w:lvl w:ilvl="8" w:tplc="A5A422F2" w:tentative="1">
      <w:start w:val="1"/>
      <w:numFmt w:val="lowerRoman"/>
      <w:lvlText w:val="%9."/>
      <w:lvlJc w:val="right"/>
      <w:pPr>
        <w:ind w:left="6906" w:hanging="180"/>
      </w:pPr>
    </w:lvl>
  </w:abstractNum>
  <w:abstractNum w:abstractNumId="675" w15:restartNumberingAfterBreak="0">
    <w:nsid w:val="65793096"/>
    <w:multiLevelType w:val="hybridMultilevel"/>
    <w:tmpl w:val="884C6D0A"/>
    <w:lvl w:ilvl="0" w:tplc="2FA2AE12">
      <w:start w:val="1"/>
      <w:numFmt w:val="decimal"/>
      <w:lvlText w:val="%1."/>
      <w:lvlJc w:val="left"/>
      <w:pPr>
        <w:ind w:left="720" w:hanging="360"/>
      </w:pPr>
      <w:rPr>
        <w:rFonts w:eastAsia="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6" w15:restartNumberingAfterBreak="0">
    <w:nsid w:val="65A65195"/>
    <w:multiLevelType w:val="hybridMultilevel"/>
    <w:tmpl w:val="29865C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7" w15:restartNumberingAfterBreak="0">
    <w:nsid w:val="65B75C53"/>
    <w:multiLevelType w:val="hybridMultilevel"/>
    <w:tmpl w:val="A86CD6A8"/>
    <w:lvl w:ilvl="0" w:tplc="E53A72E8">
      <w:start w:val="1"/>
      <w:numFmt w:val="decimal"/>
      <w:lvlText w:val="%1."/>
      <w:lvlJc w:val="left"/>
      <w:pPr>
        <w:ind w:left="1116" w:hanging="396"/>
      </w:pPr>
      <w:rPr>
        <w:rFonts w:hint="default"/>
        <w:b w:val="0"/>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678" w15:restartNumberingAfterBreak="0">
    <w:nsid w:val="65D56E4D"/>
    <w:multiLevelType w:val="multilevel"/>
    <w:tmpl w:val="B54A8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9" w15:restartNumberingAfterBreak="0">
    <w:nsid w:val="65E95D18"/>
    <w:multiLevelType w:val="multilevel"/>
    <w:tmpl w:val="5130164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80" w15:restartNumberingAfterBreak="0">
    <w:nsid w:val="66035ACE"/>
    <w:multiLevelType w:val="hybridMultilevel"/>
    <w:tmpl w:val="A4469B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1" w15:restartNumberingAfterBreak="0">
    <w:nsid w:val="663A0435"/>
    <w:multiLevelType w:val="hybridMultilevel"/>
    <w:tmpl w:val="22BE3610"/>
    <w:lvl w:ilvl="0" w:tplc="A7747DD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2" w15:restartNumberingAfterBreak="0">
    <w:nsid w:val="66620F10"/>
    <w:multiLevelType w:val="hybridMultilevel"/>
    <w:tmpl w:val="413E7B18"/>
    <w:lvl w:ilvl="0" w:tplc="F8C09D0C">
      <w:start w:val="1"/>
      <w:numFmt w:val="decimal"/>
      <w:lvlText w:val="%1."/>
      <w:lvlJc w:val="left"/>
      <w:pPr>
        <w:ind w:left="720" w:hanging="360"/>
      </w:pPr>
      <w:rPr>
        <w:rFonts w:ascii="Times New Roman" w:eastAsia="Times New Roman" w:hAnsi="Times New Roman" w:cs="Times New Roman"/>
      </w:rPr>
    </w:lvl>
    <w:lvl w:ilvl="1" w:tplc="E90CF588">
      <w:start w:val="4"/>
      <w:numFmt w:val="decimal"/>
      <w:lvlText w:val="%2"/>
      <w:lvlJc w:val="left"/>
      <w:pPr>
        <w:ind w:left="1440" w:hanging="360"/>
      </w:pPr>
      <w:rPr>
        <w:rFonts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83" w15:restartNumberingAfterBreak="0">
    <w:nsid w:val="66661CAB"/>
    <w:multiLevelType w:val="multilevel"/>
    <w:tmpl w:val="64C408E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84" w15:restartNumberingAfterBreak="0">
    <w:nsid w:val="66906A33"/>
    <w:multiLevelType w:val="hybridMultilevel"/>
    <w:tmpl w:val="EF7AAD9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85" w15:restartNumberingAfterBreak="0">
    <w:nsid w:val="66D121B7"/>
    <w:multiLevelType w:val="hybridMultilevel"/>
    <w:tmpl w:val="528ACC1A"/>
    <w:lvl w:ilvl="0" w:tplc="04220001">
      <w:start w:val="1"/>
      <w:numFmt w:val="bullet"/>
      <w:lvlText w:val=""/>
      <w:lvlJc w:val="left"/>
      <w:pPr>
        <w:ind w:left="643" w:hanging="360"/>
      </w:pPr>
      <w:rPr>
        <w:rFonts w:ascii="Symbol" w:hAnsi="Symbol" w:hint="default"/>
      </w:rPr>
    </w:lvl>
    <w:lvl w:ilvl="1" w:tplc="04220003" w:tentative="1">
      <w:start w:val="1"/>
      <w:numFmt w:val="bullet"/>
      <w:lvlText w:val="o"/>
      <w:lvlJc w:val="left"/>
      <w:pPr>
        <w:ind w:left="1363" w:hanging="360"/>
      </w:pPr>
      <w:rPr>
        <w:rFonts w:ascii="Courier New" w:hAnsi="Courier New" w:cs="Courier New" w:hint="default"/>
      </w:rPr>
    </w:lvl>
    <w:lvl w:ilvl="2" w:tplc="04220005" w:tentative="1">
      <w:start w:val="1"/>
      <w:numFmt w:val="bullet"/>
      <w:lvlText w:val=""/>
      <w:lvlJc w:val="left"/>
      <w:pPr>
        <w:ind w:left="2083" w:hanging="360"/>
      </w:pPr>
      <w:rPr>
        <w:rFonts w:ascii="Wingdings" w:hAnsi="Wingdings" w:hint="default"/>
      </w:rPr>
    </w:lvl>
    <w:lvl w:ilvl="3" w:tplc="04220001" w:tentative="1">
      <w:start w:val="1"/>
      <w:numFmt w:val="bullet"/>
      <w:lvlText w:val=""/>
      <w:lvlJc w:val="left"/>
      <w:pPr>
        <w:ind w:left="2803" w:hanging="360"/>
      </w:pPr>
      <w:rPr>
        <w:rFonts w:ascii="Symbol" w:hAnsi="Symbol" w:hint="default"/>
      </w:rPr>
    </w:lvl>
    <w:lvl w:ilvl="4" w:tplc="04220003" w:tentative="1">
      <w:start w:val="1"/>
      <w:numFmt w:val="bullet"/>
      <w:lvlText w:val="o"/>
      <w:lvlJc w:val="left"/>
      <w:pPr>
        <w:ind w:left="3523" w:hanging="360"/>
      </w:pPr>
      <w:rPr>
        <w:rFonts w:ascii="Courier New" w:hAnsi="Courier New" w:cs="Courier New" w:hint="default"/>
      </w:rPr>
    </w:lvl>
    <w:lvl w:ilvl="5" w:tplc="04220005" w:tentative="1">
      <w:start w:val="1"/>
      <w:numFmt w:val="bullet"/>
      <w:lvlText w:val=""/>
      <w:lvlJc w:val="left"/>
      <w:pPr>
        <w:ind w:left="4243" w:hanging="360"/>
      </w:pPr>
      <w:rPr>
        <w:rFonts w:ascii="Wingdings" w:hAnsi="Wingdings" w:hint="default"/>
      </w:rPr>
    </w:lvl>
    <w:lvl w:ilvl="6" w:tplc="04220001" w:tentative="1">
      <w:start w:val="1"/>
      <w:numFmt w:val="bullet"/>
      <w:lvlText w:val=""/>
      <w:lvlJc w:val="left"/>
      <w:pPr>
        <w:ind w:left="4963" w:hanging="360"/>
      </w:pPr>
      <w:rPr>
        <w:rFonts w:ascii="Symbol" w:hAnsi="Symbol" w:hint="default"/>
      </w:rPr>
    </w:lvl>
    <w:lvl w:ilvl="7" w:tplc="04220003" w:tentative="1">
      <w:start w:val="1"/>
      <w:numFmt w:val="bullet"/>
      <w:lvlText w:val="o"/>
      <w:lvlJc w:val="left"/>
      <w:pPr>
        <w:ind w:left="5683" w:hanging="360"/>
      </w:pPr>
      <w:rPr>
        <w:rFonts w:ascii="Courier New" w:hAnsi="Courier New" w:cs="Courier New" w:hint="default"/>
      </w:rPr>
    </w:lvl>
    <w:lvl w:ilvl="8" w:tplc="04220005" w:tentative="1">
      <w:start w:val="1"/>
      <w:numFmt w:val="bullet"/>
      <w:lvlText w:val=""/>
      <w:lvlJc w:val="left"/>
      <w:pPr>
        <w:ind w:left="6403" w:hanging="360"/>
      </w:pPr>
      <w:rPr>
        <w:rFonts w:ascii="Wingdings" w:hAnsi="Wingdings" w:hint="default"/>
      </w:rPr>
    </w:lvl>
  </w:abstractNum>
  <w:abstractNum w:abstractNumId="686" w15:restartNumberingAfterBreak="0">
    <w:nsid w:val="67004447"/>
    <w:multiLevelType w:val="hybridMultilevel"/>
    <w:tmpl w:val="66A43228"/>
    <w:lvl w:ilvl="0" w:tplc="A4C838A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7" w15:restartNumberingAfterBreak="0">
    <w:nsid w:val="67020B68"/>
    <w:multiLevelType w:val="hybridMultilevel"/>
    <w:tmpl w:val="38A22DBA"/>
    <w:lvl w:ilvl="0" w:tplc="C2F02C30">
      <w:start w:val="1"/>
      <w:numFmt w:val="decimal"/>
      <w:lvlText w:val="%1."/>
      <w:lvlJc w:val="left"/>
      <w:pPr>
        <w:ind w:left="1080" w:hanging="360"/>
      </w:pPr>
      <w:rPr>
        <w:rFonts w:hint="default"/>
        <w:sz w:val="28"/>
        <w:szCs w:val="28"/>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688" w15:restartNumberingAfterBreak="0">
    <w:nsid w:val="670B5C1F"/>
    <w:multiLevelType w:val="hybridMultilevel"/>
    <w:tmpl w:val="21B69236"/>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89" w15:restartNumberingAfterBreak="0">
    <w:nsid w:val="670E60D4"/>
    <w:multiLevelType w:val="hybridMultilevel"/>
    <w:tmpl w:val="61345D26"/>
    <w:lvl w:ilvl="0" w:tplc="4DBEBFDE">
      <w:start w:val="1"/>
      <w:numFmt w:val="decimal"/>
      <w:lvlText w:val="%1."/>
      <w:lvlJc w:val="left"/>
      <w:pPr>
        <w:ind w:left="720" w:hanging="360"/>
      </w:pPr>
      <w:rPr>
        <w:rFonts w:hAnsi="Symbol" w:hint="default"/>
      </w:rPr>
    </w:lvl>
    <w:lvl w:ilvl="1" w:tplc="45BA4B0A" w:tentative="1">
      <w:start w:val="1"/>
      <w:numFmt w:val="lowerLetter"/>
      <w:lvlText w:val="%2."/>
      <w:lvlJc w:val="left"/>
      <w:pPr>
        <w:ind w:left="1440" w:hanging="360"/>
      </w:pPr>
    </w:lvl>
    <w:lvl w:ilvl="2" w:tplc="2674785C" w:tentative="1">
      <w:start w:val="1"/>
      <w:numFmt w:val="lowerRoman"/>
      <w:lvlText w:val="%3."/>
      <w:lvlJc w:val="right"/>
      <w:pPr>
        <w:ind w:left="2160" w:hanging="180"/>
      </w:pPr>
    </w:lvl>
    <w:lvl w:ilvl="3" w:tplc="D86C55C2" w:tentative="1">
      <w:start w:val="1"/>
      <w:numFmt w:val="decimal"/>
      <w:lvlText w:val="%4."/>
      <w:lvlJc w:val="left"/>
      <w:pPr>
        <w:ind w:left="2880" w:hanging="360"/>
      </w:pPr>
    </w:lvl>
    <w:lvl w:ilvl="4" w:tplc="5E30C24E" w:tentative="1">
      <w:start w:val="1"/>
      <w:numFmt w:val="lowerLetter"/>
      <w:lvlText w:val="%5."/>
      <w:lvlJc w:val="left"/>
      <w:pPr>
        <w:ind w:left="3600" w:hanging="360"/>
      </w:pPr>
    </w:lvl>
    <w:lvl w:ilvl="5" w:tplc="9F9A4254" w:tentative="1">
      <w:start w:val="1"/>
      <w:numFmt w:val="lowerRoman"/>
      <w:lvlText w:val="%6."/>
      <w:lvlJc w:val="right"/>
      <w:pPr>
        <w:ind w:left="4320" w:hanging="180"/>
      </w:pPr>
    </w:lvl>
    <w:lvl w:ilvl="6" w:tplc="FF8A074A" w:tentative="1">
      <w:start w:val="1"/>
      <w:numFmt w:val="decimal"/>
      <w:lvlText w:val="%7."/>
      <w:lvlJc w:val="left"/>
      <w:pPr>
        <w:ind w:left="5040" w:hanging="360"/>
      </w:pPr>
    </w:lvl>
    <w:lvl w:ilvl="7" w:tplc="1B84012E" w:tentative="1">
      <w:start w:val="1"/>
      <w:numFmt w:val="lowerLetter"/>
      <w:lvlText w:val="%8."/>
      <w:lvlJc w:val="left"/>
      <w:pPr>
        <w:ind w:left="5760" w:hanging="360"/>
      </w:pPr>
    </w:lvl>
    <w:lvl w:ilvl="8" w:tplc="99501FE2" w:tentative="1">
      <w:start w:val="1"/>
      <w:numFmt w:val="lowerRoman"/>
      <w:lvlText w:val="%9."/>
      <w:lvlJc w:val="right"/>
      <w:pPr>
        <w:ind w:left="6480" w:hanging="180"/>
      </w:pPr>
    </w:lvl>
  </w:abstractNum>
  <w:abstractNum w:abstractNumId="690" w15:restartNumberingAfterBreak="0">
    <w:nsid w:val="671A1019"/>
    <w:multiLevelType w:val="multilevel"/>
    <w:tmpl w:val="966C50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1" w15:restartNumberingAfterBreak="0">
    <w:nsid w:val="671C664E"/>
    <w:multiLevelType w:val="hybridMultilevel"/>
    <w:tmpl w:val="31FE64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92" w15:restartNumberingAfterBreak="0">
    <w:nsid w:val="674B74A9"/>
    <w:multiLevelType w:val="hybridMultilevel"/>
    <w:tmpl w:val="79BC9E3C"/>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3" w15:restartNumberingAfterBreak="0">
    <w:nsid w:val="674F1BB3"/>
    <w:multiLevelType w:val="hybridMultilevel"/>
    <w:tmpl w:val="D27218D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94" w15:restartNumberingAfterBreak="0">
    <w:nsid w:val="674F1F00"/>
    <w:multiLevelType w:val="hybridMultilevel"/>
    <w:tmpl w:val="DA78DA88"/>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95" w15:restartNumberingAfterBreak="0">
    <w:nsid w:val="676D07D9"/>
    <w:multiLevelType w:val="hybridMultilevel"/>
    <w:tmpl w:val="73C239DC"/>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96" w15:restartNumberingAfterBreak="0">
    <w:nsid w:val="67D762BF"/>
    <w:multiLevelType w:val="multilevel"/>
    <w:tmpl w:val="F3C42B5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697" w15:restartNumberingAfterBreak="0">
    <w:nsid w:val="683E572A"/>
    <w:multiLevelType w:val="hybridMultilevel"/>
    <w:tmpl w:val="2CD8C126"/>
    <w:lvl w:ilvl="0" w:tplc="FFFFFFFF">
      <w:start w:val="1"/>
      <w:numFmt w:val="decimal"/>
      <w:lvlText w:val="%1."/>
      <w:lvlJc w:val="left"/>
      <w:pPr>
        <w:ind w:left="720" w:hanging="360"/>
      </w:pPr>
      <w:rPr>
        <w:rFonts w:ascii="-webkit-standard" w:hAnsi="-webkit-standard" w:cstheme="minorBidi" w:hint="default"/>
        <w:sz w:val="27"/>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8" w15:restartNumberingAfterBreak="0">
    <w:nsid w:val="684B5D32"/>
    <w:multiLevelType w:val="hybridMultilevel"/>
    <w:tmpl w:val="09AA3156"/>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99" w15:restartNumberingAfterBreak="0">
    <w:nsid w:val="68A01CFE"/>
    <w:multiLevelType w:val="multilevel"/>
    <w:tmpl w:val="9C0619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0" w15:restartNumberingAfterBreak="0">
    <w:nsid w:val="68D57BC0"/>
    <w:multiLevelType w:val="hybridMultilevel"/>
    <w:tmpl w:val="66203600"/>
    <w:lvl w:ilvl="0" w:tplc="45402804">
      <w:start w:val="1"/>
      <w:numFmt w:val="decimal"/>
      <w:lvlText w:val="%1."/>
      <w:lvlJc w:val="left"/>
      <w:pPr>
        <w:ind w:left="720" w:hanging="360"/>
      </w:pPr>
      <w:rPr>
        <w:rFonts w:hint="default"/>
        <w:color w:val="00000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1" w15:restartNumberingAfterBreak="0">
    <w:nsid w:val="68D90CD4"/>
    <w:multiLevelType w:val="multilevel"/>
    <w:tmpl w:val="AB12549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02" w15:restartNumberingAfterBreak="0">
    <w:nsid w:val="68DC7C4F"/>
    <w:multiLevelType w:val="hybridMultilevel"/>
    <w:tmpl w:val="491C41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3" w15:restartNumberingAfterBreak="0">
    <w:nsid w:val="68EA209F"/>
    <w:multiLevelType w:val="hybridMultilevel"/>
    <w:tmpl w:val="455E88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4" w15:restartNumberingAfterBreak="0">
    <w:nsid w:val="690A0415"/>
    <w:multiLevelType w:val="hybridMultilevel"/>
    <w:tmpl w:val="69381606"/>
    <w:lvl w:ilvl="0" w:tplc="3DB4989E">
      <w:start w:val="1"/>
      <w:numFmt w:val="decimal"/>
      <w:lvlText w:val="%1."/>
      <w:lvlJc w:val="left"/>
      <w:pPr>
        <w:ind w:left="720" w:hanging="360"/>
      </w:pPr>
      <w:rPr>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5" w15:restartNumberingAfterBreak="0">
    <w:nsid w:val="690E7967"/>
    <w:multiLevelType w:val="hybridMultilevel"/>
    <w:tmpl w:val="3AA892D6"/>
    <w:lvl w:ilvl="0" w:tplc="6A909DE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706" w15:restartNumberingAfterBreak="0">
    <w:nsid w:val="691E7B74"/>
    <w:multiLevelType w:val="multilevel"/>
    <w:tmpl w:val="D94014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07" w15:restartNumberingAfterBreak="0">
    <w:nsid w:val="698C652B"/>
    <w:multiLevelType w:val="hybridMultilevel"/>
    <w:tmpl w:val="D0001DA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08" w15:restartNumberingAfterBreak="0">
    <w:nsid w:val="698C6EBA"/>
    <w:multiLevelType w:val="multilevel"/>
    <w:tmpl w:val="342608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9" w15:restartNumberingAfterBreak="0">
    <w:nsid w:val="69D90768"/>
    <w:multiLevelType w:val="hybridMultilevel"/>
    <w:tmpl w:val="BB94D04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10" w15:restartNumberingAfterBreak="0">
    <w:nsid w:val="6A4B1D73"/>
    <w:multiLevelType w:val="hybridMultilevel"/>
    <w:tmpl w:val="D86A1E2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11" w15:restartNumberingAfterBreak="0">
    <w:nsid w:val="6A521F4B"/>
    <w:multiLevelType w:val="multilevel"/>
    <w:tmpl w:val="66A2CA1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12" w15:restartNumberingAfterBreak="0">
    <w:nsid w:val="6A5C1C91"/>
    <w:multiLevelType w:val="hybridMultilevel"/>
    <w:tmpl w:val="F35A4DAE"/>
    <w:lvl w:ilvl="0" w:tplc="24AA0BBA">
      <w:start w:val="1"/>
      <w:numFmt w:val="decimal"/>
      <w:lvlText w:val="%1."/>
      <w:lvlJc w:val="left"/>
      <w:pPr>
        <w:ind w:left="1069" w:hanging="360"/>
      </w:pPr>
      <w:rPr>
        <w:rFonts w:hint="default"/>
      </w:rPr>
    </w:lvl>
    <w:lvl w:ilvl="1" w:tplc="536A678A" w:tentative="1">
      <w:start w:val="1"/>
      <w:numFmt w:val="lowerLetter"/>
      <w:lvlText w:val="%2."/>
      <w:lvlJc w:val="left"/>
      <w:pPr>
        <w:ind w:left="1789" w:hanging="360"/>
      </w:pPr>
    </w:lvl>
    <w:lvl w:ilvl="2" w:tplc="7EE24BA8" w:tentative="1">
      <w:start w:val="1"/>
      <w:numFmt w:val="lowerRoman"/>
      <w:lvlText w:val="%3."/>
      <w:lvlJc w:val="right"/>
      <w:pPr>
        <w:ind w:left="2509" w:hanging="180"/>
      </w:pPr>
    </w:lvl>
    <w:lvl w:ilvl="3" w:tplc="BC3A9C68" w:tentative="1">
      <w:start w:val="1"/>
      <w:numFmt w:val="decimal"/>
      <w:lvlText w:val="%4."/>
      <w:lvlJc w:val="left"/>
      <w:pPr>
        <w:ind w:left="3229" w:hanging="360"/>
      </w:pPr>
    </w:lvl>
    <w:lvl w:ilvl="4" w:tplc="DB501FB2" w:tentative="1">
      <w:start w:val="1"/>
      <w:numFmt w:val="lowerLetter"/>
      <w:lvlText w:val="%5."/>
      <w:lvlJc w:val="left"/>
      <w:pPr>
        <w:ind w:left="3949" w:hanging="360"/>
      </w:pPr>
    </w:lvl>
    <w:lvl w:ilvl="5" w:tplc="43CA24B4" w:tentative="1">
      <w:start w:val="1"/>
      <w:numFmt w:val="lowerRoman"/>
      <w:lvlText w:val="%6."/>
      <w:lvlJc w:val="right"/>
      <w:pPr>
        <w:ind w:left="4669" w:hanging="180"/>
      </w:pPr>
    </w:lvl>
    <w:lvl w:ilvl="6" w:tplc="9138B020" w:tentative="1">
      <w:start w:val="1"/>
      <w:numFmt w:val="decimal"/>
      <w:lvlText w:val="%7."/>
      <w:lvlJc w:val="left"/>
      <w:pPr>
        <w:ind w:left="5389" w:hanging="360"/>
      </w:pPr>
    </w:lvl>
    <w:lvl w:ilvl="7" w:tplc="57CCC946" w:tentative="1">
      <w:start w:val="1"/>
      <w:numFmt w:val="lowerLetter"/>
      <w:lvlText w:val="%8."/>
      <w:lvlJc w:val="left"/>
      <w:pPr>
        <w:ind w:left="6109" w:hanging="360"/>
      </w:pPr>
    </w:lvl>
    <w:lvl w:ilvl="8" w:tplc="007E61FE" w:tentative="1">
      <w:start w:val="1"/>
      <w:numFmt w:val="lowerRoman"/>
      <w:lvlText w:val="%9."/>
      <w:lvlJc w:val="right"/>
      <w:pPr>
        <w:ind w:left="6829" w:hanging="180"/>
      </w:pPr>
    </w:lvl>
  </w:abstractNum>
  <w:abstractNum w:abstractNumId="713" w15:restartNumberingAfterBreak="0">
    <w:nsid w:val="6AA33399"/>
    <w:multiLevelType w:val="hybridMultilevel"/>
    <w:tmpl w:val="C5E2059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14" w15:restartNumberingAfterBreak="0">
    <w:nsid w:val="6B07401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5" w15:restartNumberingAfterBreak="0">
    <w:nsid w:val="6B13771F"/>
    <w:multiLevelType w:val="multilevel"/>
    <w:tmpl w:val="592ED2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16" w15:restartNumberingAfterBreak="0">
    <w:nsid w:val="6B160958"/>
    <w:multiLevelType w:val="hybridMultilevel"/>
    <w:tmpl w:val="6F78AE0A"/>
    <w:lvl w:ilvl="0" w:tplc="50204C34">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7" w15:restartNumberingAfterBreak="0">
    <w:nsid w:val="6B2CB2DB"/>
    <w:multiLevelType w:val="hybridMultilevel"/>
    <w:tmpl w:val="2034DEE0"/>
    <w:lvl w:ilvl="0" w:tplc="C536541C">
      <w:start w:val="1"/>
      <w:numFmt w:val="decimal"/>
      <w:lvlText w:val="%1."/>
      <w:lvlJc w:val="left"/>
      <w:pPr>
        <w:ind w:left="720" w:hanging="360"/>
      </w:pPr>
    </w:lvl>
    <w:lvl w:ilvl="1" w:tplc="460CACE2">
      <w:start w:val="1"/>
      <w:numFmt w:val="lowerLetter"/>
      <w:lvlText w:val="%2."/>
      <w:lvlJc w:val="left"/>
      <w:pPr>
        <w:ind w:left="1440" w:hanging="360"/>
      </w:pPr>
    </w:lvl>
    <w:lvl w:ilvl="2" w:tplc="00B22E4A">
      <w:start w:val="1"/>
      <w:numFmt w:val="lowerRoman"/>
      <w:lvlText w:val="%3."/>
      <w:lvlJc w:val="right"/>
      <w:pPr>
        <w:ind w:left="2160" w:hanging="180"/>
      </w:pPr>
    </w:lvl>
    <w:lvl w:ilvl="3" w:tplc="37540048">
      <w:start w:val="1"/>
      <w:numFmt w:val="decimal"/>
      <w:lvlText w:val="%4."/>
      <w:lvlJc w:val="left"/>
      <w:pPr>
        <w:ind w:left="2880" w:hanging="360"/>
      </w:pPr>
    </w:lvl>
    <w:lvl w:ilvl="4" w:tplc="1B28484A">
      <w:start w:val="1"/>
      <w:numFmt w:val="lowerLetter"/>
      <w:lvlText w:val="%5."/>
      <w:lvlJc w:val="left"/>
      <w:pPr>
        <w:ind w:left="3600" w:hanging="360"/>
      </w:pPr>
    </w:lvl>
    <w:lvl w:ilvl="5" w:tplc="D24E7550">
      <w:start w:val="1"/>
      <w:numFmt w:val="lowerRoman"/>
      <w:lvlText w:val="%6."/>
      <w:lvlJc w:val="right"/>
      <w:pPr>
        <w:ind w:left="4320" w:hanging="180"/>
      </w:pPr>
    </w:lvl>
    <w:lvl w:ilvl="6" w:tplc="F3E2E5A6">
      <w:start w:val="1"/>
      <w:numFmt w:val="decimal"/>
      <w:lvlText w:val="%7."/>
      <w:lvlJc w:val="left"/>
      <w:pPr>
        <w:ind w:left="5040" w:hanging="360"/>
      </w:pPr>
    </w:lvl>
    <w:lvl w:ilvl="7" w:tplc="8CE011BE">
      <w:start w:val="1"/>
      <w:numFmt w:val="lowerLetter"/>
      <w:lvlText w:val="%8."/>
      <w:lvlJc w:val="left"/>
      <w:pPr>
        <w:ind w:left="5760" w:hanging="360"/>
      </w:pPr>
    </w:lvl>
    <w:lvl w:ilvl="8" w:tplc="1BFA8D74">
      <w:start w:val="1"/>
      <w:numFmt w:val="lowerRoman"/>
      <w:lvlText w:val="%9."/>
      <w:lvlJc w:val="right"/>
      <w:pPr>
        <w:ind w:left="6480" w:hanging="180"/>
      </w:pPr>
    </w:lvl>
  </w:abstractNum>
  <w:abstractNum w:abstractNumId="718" w15:restartNumberingAfterBreak="0">
    <w:nsid w:val="6B322FA1"/>
    <w:multiLevelType w:val="hybridMultilevel"/>
    <w:tmpl w:val="CC149E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19" w15:restartNumberingAfterBreak="0">
    <w:nsid w:val="6B40365D"/>
    <w:multiLevelType w:val="hybridMultilevel"/>
    <w:tmpl w:val="6B980AB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20" w15:restartNumberingAfterBreak="0">
    <w:nsid w:val="6B7E16ED"/>
    <w:multiLevelType w:val="hybridMultilevel"/>
    <w:tmpl w:val="695EC726"/>
    <w:styleLink w:val="8"/>
    <w:lvl w:ilvl="0" w:tplc="AA7A9EBE">
      <w:start w:val="1"/>
      <w:numFmt w:val="decimal"/>
      <w:lvlText w:val="%1."/>
      <w:lvlJc w:val="left"/>
      <w:pPr>
        <w:tabs>
          <w:tab w:val="num" w:pos="1416"/>
        </w:tabs>
        <w:ind w:left="707" w:firstLine="2"/>
      </w:pPr>
      <w:rPr>
        <w:rFonts w:hAnsi="Arial Unicode MS"/>
        <w:caps w:val="0"/>
        <w:smallCaps w:val="0"/>
        <w:strike w:val="0"/>
        <w:dstrike w:val="0"/>
        <w:outline w:val="0"/>
        <w:emboss w:val="0"/>
        <w:imprint w:val="0"/>
        <w:spacing w:val="0"/>
        <w:w w:val="100"/>
        <w:kern w:val="0"/>
        <w:position w:val="0"/>
        <w:highlight w:val="none"/>
        <w:vertAlign w:val="baseline"/>
      </w:rPr>
    </w:lvl>
    <w:lvl w:ilvl="1" w:tplc="58D8B4B0">
      <w:start w:val="1"/>
      <w:numFmt w:val="lowerLetter"/>
      <w:lvlText w:val="%2."/>
      <w:lvlJc w:val="left"/>
      <w:pPr>
        <w:tabs>
          <w:tab w:val="num" w:pos="1429"/>
        </w:tabs>
        <w:ind w:left="720" w:firstLine="14"/>
      </w:pPr>
      <w:rPr>
        <w:rFonts w:hAnsi="Arial Unicode MS"/>
        <w:caps w:val="0"/>
        <w:smallCaps w:val="0"/>
        <w:strike w:val="0"/>
        <w:dstrike w:val="0"/>
        <w:outline w:val="0"/>
        <w:emboss w:val="0"/>
        <w:imprint w:val="0"/>
        <w:spacing w:val="0"/>
        <w:w w:val="100"/>
        <w:kern w:val="0"/>
        <w:position w:val="0"/>
        <w:highlight w:val="none"/>
        <w:vertAlign w:val="baseline"/>
      </w:rPr>
    </w:lvl>
    <w:lvl w:ilvl="2" w:tplc="5C767A3A">
      <w:start w:val="1"/>
      <w:numFmt w:val="lowerRoman"/>
      <w:lvlText w:val="%3."/>
      <w:lvlJc w:val="left"/>
      <w:pPr>
        <w:tabs>
          <w:tab w:val="left" w:pos="1416"/>
          <w:tab w:val="num" w:pos="2149"/>
        </w:tabs>
        <w:ind w:left="1440" w:firstLine="66"/>
      </w:pPr>
      <w:rPr>
        <w:rFonts w:hAnsi="Arial Unicode MS"/>
        <w:caps w:val="0"/>
        <w:smallCaps w:val="0"/>
        <w:strike w:val="0"/>
        <w:dstrike w:val="0"/>
        <w:outline w:val="0"/>
        <w:emboss w:val="0"/>
        <w:imprint w:val="0"/>
        <w:spacing w:val="0"/>
        <w:w w:val="100"/>
        <w:kern w:val="0"/>
        <w:position w:val="0"/>
        <w:highlight w:val="none"/>
        <w:vertAlign w:val="baseline"/>
      </w:rPr>
    </w:lvl>
    <w:lvl w:ilvl="3" w:tplc="7A0CA4CA">
      <w:start w:val="1"/>
      <w:numFmt w:val="decimal"/>
      <w:lvlText w:val="%4."/>
      <w:lvlJc w:val="left"/>
      <w:pPr>
        <w:tabs>
          <w:tab w:val="left" w:pos="1416"/>
          <w:tab w:val="num" w:pos="2869"/>
        </w:tabs>
        <w:ind w:left="2160" w:firstLine="38"/>
      </w:pPr>
      <w:rPr>
        <w:rFonts w:hAnsi="Arial Unicode MS"/>
        <w:caps w:val="0"/>
        <w:smallCaps w:val="0"/>
        <w:strike w:val="0"/>
        <w:dstrike w:val="0"/>
        <w:outline w:val="0"/>
        <w:emboss w:val="0"/>
        <w:imprint w:val="0"/>
        <w:spacing w:val="0"/>
        <w:w w:val="100"/>
        <w:kern w:val="0"/>
        <w:position w:val="0"/>
        <w:highlight w:val="none"/>
        <w:vertAlign w:val="baseline"/>
      </w:rPr>
    </w:lvl>
    <w:lvl w:ilvl="4" w:tplc="66FE8148">
      <w:start w:val="1"/>
      <w:numFmt w:val="lowerLetter"/>
      <w:lvlText w:val="%5."/>
      <w:lvlJc w:val="left"/>
      <w:pPr>
        <w:tabs>
          <w:tab w:val="left" w:pos="1416"/>
          <w:tab w:val="num" w:pos="3589"/>
        </w:tabs>
        <w:ind w:left="2880" w:firstLine="50"/>
      </w:pPr>
      <w:rPr>
        <w:rFonts w:hAnsi="Arial Unicode MS"/>
        <w:caps w:val="0"/>
        <w:smallCaps w:val="0"/>
        <w:strike w:val="0"/>
        <w:dstrike w:val="0"/>
        <w:outline w:val="0"/>
        <w:emboss w:val="0"/>
        <w:imprint w:val="0"/>
        <w:spacing w:val="0"/>
        <w:w w:val="100"/>
        <w:kern w:val="0"/>
        <w:position w:val="0"/>
        <w:highlight w:val="none"/>
        <w:vertAlign w:val="baseline"/>
      </w:rPr>
    </w:lvl>
    <w:lvl w:ilvl="5" w:tplc="4EBA8B72">
      <w:start w:val="1"/>
      <w:numFmt w:val="lowerRoman"/>
      <w:lvlText w:val="%6."/>
      <w:lvlJc w:val="left"/>
      <w:pPr>
        <w:tabs>
          <w:tab w:val="left" w:pos="1416"/>
          <w:tab w:val="num" w:pos="4309"/>
        </w:tabs>
        <w:ind w:left="3600" w:firstLine="102"/>
      </w:pPr>
      <w:rPr>
        <w:rFonts w:hAnsi="Arial Unicode MS"/>
        <w:caps w:val="0"/>
        <w:smallCaps w:val="0"/>
        <w:strike w:val="0"/>
        <w:dstrike w:val="0"/>
        <w:outline w:val="0"/>
        <w:emboss w:val="0"/>
        <w:imprint w:val="0"/>
        <w:spacing w:val="0"/>
        <w:w w:val="100"/>
        <w:kern w:val="0"/>
        <w:position w:val="0"/>
        <w:highlight w:val="none"/>
        <w:vertAlign w:val="baseline"/>
      </w:rPr>
    </w:lvl>
    <w:lvl w:ilvl="6" w:tplc="1A766F3E">
      <w:start w:val="1"/>
      <w:numFmt w:val="decimal"/>
      <w:lvlText w:val="%7."/>
      <w:lvlJc w:val="left"/>
      <w:pPr>
        <w:tabs>
          <w:tab w:val="left" w:pos="1416"/>
          <w:tab w:val="num" w:pos="5029"/>
        </w:tabs>
        <w:ind w:left="4320" w:firstLine="74"/>
      </w:pPr>
      <w:rPr>
        <w:rFonts w:hAnsi="Arial Unicode MS"/>
        <w:caps w:val="0"/>
        <w:smallCaps w:val="0"/>
        <w:strike w:val="0"/>
        <w:dstrike w:val="0"/>
        <w:outline w:val="0"/>
        <w:emboss w:val="0"/>
        <w:imprint w:val="0"/>
        <w:spacing w:val="0"/>
        <w:w w:val="100"/>
        <w:kern w:val="0"/>
        <w:position w:val="0"/>
        <w:highlight w:val="none"/>
        <w:vertAlign w:val="baseline"/>
      </w:rPr>
    </w:lvl>
    <w:lvl w:ilvl="7" w:tplc="30325CE0">
      <w:start w:val="1"/>
      <w:numFmt w:val="lowerLetter"/>
      <w:lvlText w:val="%8."/>
      <w:lvlJc w:val="left"/>
      <w:pPr>
        <w:tabs>
          <w:tab w:val="left" w:pos="1416"/>
          <w:tab w:val="num" w:pos="5749"/>
        </w:tabs>
        <w:ind w:left="5040" w:firstLine="86"/>
      </w:pPr>
      <w:rPr>
        <w:rFonts w:hAnsi="Arial Unicode MS"/>
        <w:caps w:val="0"/>
        <w:smallCaps w:val="0"/>
        <w:strike w:val="0"/>
        <w:dstrike w:val="0"/>
        <w:outline w:val="0"/>
        <w:emboss w:val="0"/>
        <w:imprint w:val="0"/>
        <w:spacing w:val="0"/>
        <w:w w:val="100"/>
        <w:kern w:val="0"/>
        <w:position w:val="0"/>
        <w:highlight w:val="none"/>
        <w:vertAlign w:val="baseline"/>
      </w:rPr>
    </w:lvl>
    <w:lvl w:ilvl="8" w:tplc="81CA9E9A">
      <w:start w:val="1"/>
      <w:numFmt w:val="lowerRoman"/>
      <w:lvlText w:val="%9."/>
      <w:lvlJc w:val="left"/>
      <w:pPr>
        <w:tabs>
          <w:tab w:val="left" w:pos="1416"/>
          <w:tab w:val="num" w:pos="6469"/>
        </w:tabs>
        <w:ind w:left="5760" w:firstLine="13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21" w15:restartNumberingAfterBreak="0">
    <w:nsid w:val="6BC95EF3"/>
    <w:multiLevelType w:val="hybridMultilevel"/>
    <w:tmpl w:val="B6903EC0"/>
    <w:lvl w:ilvl="0" w:tplc="0422000F">
      <w:start w:val="1"/>
      <w:numFmt w:val="decimal"/>
      <w:lvlText w:val="%1."/>
      <w:lvlJc w:val="left"/>
      <w:pPr>
        <w:ind w:left="360" w:hanging="360"/>
      </w:pPr>
    </w:lvl>
    <w:lvl w:ilvl="1" w:tplc="04220019" w:tentative="1">
      <w:start w:val="1"/>
      <w:numFmt w:val="lowerLetter"/>
      <w:lvlText w:val="%2."/>
      <w:lvlJc w:val="left"/>
      <w:pPr>
        <w:ind w:left="1298" w:hanging="360"/>
      </w:pPr>
    </w:lvl>
    <w:lvl w:ilvl="2" w:tplc="0422001B" w:tentative="1">
      <w:start w:val="1"/>
      <w:numFmt w:val="lowerRoman"/>
      <w:lvlText w:val="%3."/>
      <w:lvlJc w:val="right"/>
      <w:pPr>
        <w:ind w:left="2018" w:hanging="180"/>
      </w:pPr>
    </w:lvl>
    <w:lvl w:ilvl="3" w:tplc="0422000F" w:tentative="1">
      <w:start w:val="1"/>
      <w:numFmt w:val="decimal"/>
      <w:lvlText w:val="%4."/>
      <w:lvlJc w:val="left"/>
      <w:pPr>
        <w:ind w:left="2738" w:hanging="360"/>
      </w:pPr>
    </w:lvl>
    <w:lvl w:ilvl="4" w:tplc="04220019" w:tentative="1">
      <w:start w:val="1"/>
      <w:numFmt w:val="lowerLetter"/>
      <w:lvlText w:val="%5."/>
      <w:lvlJc w:val="left"/>
      <w:pPr>
        <w:ind w:left="3458" w:hanging="360"/>
      </w:pPr>
    </w:lvl>
    <w:lvl w:ilvl="5" w:tplc="0422001B" w:tentative="1">
      <w:start w:val="1"/>
      <w:numFmt w:val="lowerRoman"/>
      <w:lvlText w:val="%6."/>
      <w:lvlJc w:val="right"/>
      <w:pPr>
        <w:ind w:left="4178" w:hanging="180"/>
      </w:pPr>
    </w:lvl>
    <w:lvl w:ilvl="6" w:tplc="0422000F" w:tentative="1">
      <w:start w:val="1"/>
      <w:numFmt w:val="decimal"/>
      <w:lvlText w:val="%7."/>
      <w:lvlJc w:val="left"/>
      <w:pPr>
        <w:ind w:left="4898" w:hanging="360"/>
      </w:pPr>
    </w:lvl>
    <w:lvl w:ilvl="7" w:tplc="04220019" w:tentative="1">
      <w:start w:val="1"/>
      <w:numFmt w:val="lowerLetter"/>
      <w:lvlText w:val="%8."/>
      <w:lvlJc w:val="left"/>
      <w:pPr>
        <w:ind w:left="5618" w:hanging="360"/>
      </w:pPr>
    </w:lvl>
    <w:lvl w:ilvl="8" w:tplc="0422001B" w:tentative="1">
      <w:start w:val="1"/>
      <w:numFmt w:val="lowerRoman"/>
      <w:lvlText w:val="%9."/>
      <w:lvlJc w:val="right"/>
      <w:pPr>
        <w:ind w:left="6338" w:hanging="180"/>
      </w:pPr>
    </w:lvl>
  </w:abstractNum>
  <w:abstractNum w:abstractNumId="722" w15:restartNumberingAfterBreak="0">
    <w:nsid w:val="6C000FC7"/>
    <w:multiLevelType w:val="hybridMultilevel"/>
    <w:tmpl w:val="0C382F64"/>
    <w:lvl w:ilvl="0" w:tplc="9C003E8C">
      <w:numFmt w:val="bullet"/>
      <w:lvlText w:val="-"/>
      <w:lvlJc w:val="left"/>
      <w:pPr>
        <w:ind w:left="1040" w:hanging="360"/>
      </w:pPr>
      <w:rPr>
        <w:rFonts w:ascii="Times New Roman" w:eastAsiaTheme="minorHAnsi" w:hAnsi="Times New Roman" w:cs="Times New Roman" w:hint="default"/>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723" w15:restartNumberingAfterBreak="0">
    <w:nsid w:val="6C303347"/>
    <w:multiLevelType w:val="hybridMultilevel"/>
    <w:tmpl w:val="21BA2BD4"/>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24" w15:restartNumberingAfterBreak="0">
    <w:nsid w:val="6C362CC3"/>
    <w:multiLevelType w:val="multilevel"/>
    <w:tmpl w:val="E9D2DB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5" w15:restartNumberingAfterBreak="0">
    <w:nsid w:val="6CCD5187"/>
    <w:multiLevelType w:val="multilevel"/>
    <w:tmpl w:val="E50CAD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26" w15:restartNumberingAfterBreak="0">
    <w:nsid w:val="6CCE5EA8"/>
    <w:multiLevelType w:val="multilevel"/>
    <w:tmpl w:val="1DEEB0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7" w15:restartNumberingAfterBreak="0">
    <w:nsid w:val="6CE9646E"/>
    <w:multiLevelType w:val="hybridMultilevel"/>
    <w:tmpl w:val="94BC7B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28" w15:restartNumberingAfterBreak="0">
    <w:nsid w:val="6CED1EA3"/>
    <w:multiLevelType w:val="multilevel"/>
    <w:tmpl w:val="1B9EEF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29" w15:restartNumberingAfterBreak="0">
    <w:nsid w:val="6CF37ED3"/>
    <w:multiLevelType w:val="hybridMultilevel"/>
    <w:tmpl w:val="2FDEE894"/>
    <w:lvl w:ilvl="0" w:tplc="566A94E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30" w15:restartNumberingAfterBreak="0">
    <w:nsid w:val="6D895CCF"/>
    <w:multiLevelType w:val="multilevel"/>
    <w:tmpl w:val="644E6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1" w15:restartNumberingAfterBreak="0">
    <w:nsid w:val="6D924440"/>
    <w:multiLevelType w:val="hybridMultilevel"/>
    <w:tmpl w:val="9B98BA0C"/>
    <w:lvl w:ilvl="0" w:tplc="B1B62854">
      <w:start w:val="1"/>
      <w:numFmt w:val="decimal"/>
      <w:lvlText w:val="%1."/>
      <w:lvlJc w:val="left"/>
      <w:pPr>
        <w:ind w:left="2869" w:hanging="21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32" w15:restartNumberingAfterBreak="0">
    <w:nsid w:val="6DAE6BBD"/>
    <w:multiLevelType w:val="hybridMultilevel"/>
    <w:tmpl w:val="1450C4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3" w15:restartNumberingAfterBreak="0">
    <w:nsid w:val="6DBA37A6"/>
    <w:multiLevelType w:val="hybridMultilevel"/>
    <w:tmpl w:val="EE0CE6C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734" w15:restartNumberingAfterBreak="0">
    <w:nsid w:val="6DD31095"/>
    <w:multiLevelType w:val="multilevel"/>
    <w:tmpl w:val="CAD4B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5" w15:restartNumberingAfterBreak="0">
    <w:nsid w:val="6E0C0004"/>
    <w:multiLevelType w:val="multilevel"/>
    <w:tmpl w:val="EFB0DA9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6" w15:restartNumberingAfterBreak="0">
    <w:nsid w:val="6E1D1F60"/>
    <w:multiLevelType w:val="multilevel"/>
    <w:tmpl w:val="9FC030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7" w15:restartNumberingAfterBreak="0">
    <w:nsid w:val="6E2F4844"/>
    <w:multiLevelType w:val="hybridMultilevel"/>
    <w:tmpl w:val="29D2C41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38" w15:restartNumberingAfterBreak="0">
    <w:nsid w:val="6E366C3C"/>
    <w:multiLevelType w:val="hybridMultilevel"/>
    <w:tmpl w:val="1BB8A21A"/>
    <w:lvl w:ilvl="0" w:tplc="04190011">
      <w:start w:val="1"/>
      <w:numFmt w:val="decimal"/>
      <w:lvlText w:val="%1)"/>
      <w:lvlJc w:val="left"/>
      <w:pPr>
        <w:ind w:left="1778" w:hanging="360"/>
      </w:pPr>
      <w:rPr>
        <w:rFonts w:hint="default"/>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39" w15:restartNumberingAfterBreak="0">
    <w:nsid w:val="6E504EF0"/>
    <w:multiLevelType w:val="hybridMultilevel"/>
    <w:tmpl w:val="5A5A83A8"/>
    <w:lvl w:ilvl="0" w:tplc="113CB28E">
      <w:start w:val="1"/>
      <w:numFmt w:val="decimal"/>
      <w:lvlText w:val="%1."/>
      <w:lvlJc w:val="left"/>
      <w:pPr>
        <w:ind w:left="720" w:hanging="360"/>
      </w:pPr>
      <w:rPr>
        <w:rFonts w:ascii="Times New Roman" w:eastAsia="Arial" w:hAnsi="Times New Roman" w:cs="Times New Roman"/>
        <w:b w:val="0"/>
      </w:rPr>
    </w:lvl>
    <w:lvl w:ilvl="1" w:tplc="A1D84C02" w:tentative="1">
      <w:start w:val="1"/>
      <w:numFmt w:val="lowerLetter"/>
      <w:lvlText w:val="%2."/>
      <w:lvlJc w:val="left"/>
      <w:pPr>
        <w:ind w:left="1440" w:hanging="360"/>
      </w:pPr>
    </w:lvl>
    <w:lvl w:ilvl="2" w:tplc="7F86A6C0" w:tentative="1">
      <w:start w:val="1"/>
      <w:numFmt w:val="lowerRoman"/>
      <w:lvlText w:val="%3."/>
      <w:lvlJc w:val="right"/>
      <w:pPr>
        <w:ind w:left="2160" w:hanging="180"/>
      </w:pPr>
    </w:lvl>
    <w:lvl w:ilvl="3" w:tplc="9B56CDC0" w:tentative="1">
      <w:start w:val="1"/>
      <w:numFmt w:val="decimal"/>
      <w:lvlText w:val="%4."/>
      <w:lvlJc w:val="left"/>
      <w:pPr>
        <w:ind w:left="2880" w:hanging="360"/>
      </w:pPr>
    </w:lvl>
    <w:lvl w:ilvl="4" w:tplc="DA882236" w:tentative="1">
      <w:start w:val="1"/>
      <w:numFmt w:val="lowerLetter"/>
      <w:lvlText w:val="%5."/>
      <w:lvlJc w:val="left"/>
      <w:pPr>
        <w:ind w:left="3600" w:hanging="360"/>
      </w:pPr>
    </w:lvl>
    <w:lvl w:ilvl="5" w:tplc="DA9AF078" w:tentative="1">
      <w:start w:val="1"/>
      <w:numFmt w:val="lowerRoman"/>
      <w:lvlText w:val="%6."/>
      <w:lvlJc w:val="right"/>
      <w:pPr>
        <w:ind w:left="4320" w:hanging="180"/>
      </w:pPr>
    </w:lvl>
    <w:lvl w:ilvl="6" w:tplc="B5087CFA" w:tentative="1">
      <w:start w:val="1"/>
      <w:numFmt w:val="decimal"/>
      <w:lvlText w:val="%7."/>
      <w:lvlJc w:val="left"/>
      <w:pPr>
        <w:ind w:left="5040" w:hanging="360"/>
      </w:pPr>
    </w:lvl>
    <w:lvl w:ilvl="7" w:tplc="E378FBF6" w:tentative="1">
      <w:start w:val="1"/>
      <w:numFmt w:val="lowerLetter"/>
      <w:lvlText w:val="%8."/>
      <w:lvlJc w:val="left"/>
      <w:pPr>
        <w:ind w:left="5760" w:hanging="360"/>
      </w:pPr>
    </w:lvl>
    <w:lvl w:ilvl="8" w:tplc="9668AEE6" w:tentative="1">
      <w:start w:val="1"/>
      <w:numFmt w:val="lowerRoman"/>
      <w:lvlText w:val="%9."/>
      <w:lvlJc w:val="right"/>
      <w:pPr>
        <w:ind w:left="6480" w:hanging="180"/>
      </w:pPr>
    </w:lvl>
  </w:abstractNum>
  <w:abstractNum w:abstractNumId="740" w15:restartNumberingAfterBreak="0">
    <w:nsid w:val="6E5A4299"/>
    <w:multiLevelType w:val="multilevel"/>
    <w:tmpl w:val="494E9A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1" w15:restartNumberingAfterBreak="0">
    <w:nsid w:val="6E613D3A"/>
    <w:multiLevelType w:val="multilevel"/>
    <w:tmpl w:val="230492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42" w15:restartNumberingAfterBreak="0">
    <w:nsid w:val="6E7454A7"/>
    <w:multiLevelType w:val="singleLevel"/>
    <w:tmpl w:val="6E7454A7"/>
    <w:lvl w:ilvl="0">
      <w:start w:val="1"/>
      <w:numFmt w:val="decimal"/>
      <w:suff w:val="space"/>
      <w:lvlText w:val="%1."/>
      <w:lvlJc w:val="left"/>
    </w:lvl>
  </w:abstractNum>
  <w:abstractNum w:abstractNumId="743" w15:restartNumberingAfterBreak="0">
    <w:nsid w:val="6F101304"/>
    <w:multiLevelType w:val="hybridMultilevel"/>
    <w:tmpl w:val="64942042"/>
    <w:lvl w:ilvl="0" w:tplc="DD4C5B3C">
      <w:start w:val="1"/>
      <w:numFmt w:val="decimal"/>
      <w:lvlText w:val="%1."/>
      <w:lvlJc w:val="left"/>
      <w:pPr>
        <w:ind w:left="720" w:hanging="360"/>
      </w:pPr>
      <w:rPr>
        <w:rFonts w:ascii="Times New Roman" w:eastAsiaTheme="minorHAnsi" w:hAnsi="Times New Roman" w:cs="Times New Roman"/>
        <w:b w:val="0"/>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44" w15:restartNumberingAfterBreak="0">
    <w:nsid w:val="6F1F4C46"/>
    <w:multiLevelType w:val="hybridMultilevel"/>
    <w:tmpl w:val="B42A40F4"/>
    <w:lvl w:ilvl="0" w:tplc="0422000F">
      <w:start w:val="1"/>
      <w:numFmt w:val="decimal"/>
      <w:lvlText w:val="%1."/>
      <w:lvlJc w:val="left"/>
      <w:pPr>
        <w:ind w:left="720" w:hanging="360"/>
      </w:pPr>
    </w:lvl>
    <w:lvl w:ilvl="1" w:tplc="1C983816">
      <w:numFmt w:val="bullet"/>
      <w:lvlText w:val=""/>
      <w:lvlJc w:val="left"/>
      <w:pPr>
        <w:ind w:left="1440" w:hanging="360"/>
      </w:pPr>
      <w:rPr>
        <w:rFonts w:ascii="Symbol" w:eastAsiaTheme="minorHAnsi" w:hAnsi="Symbol"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45" w15:restartNumberingAfterBreak="0">
    <w:nsid w:val="6F846615"/>
    <w:multiLevelType w:val="hybridMultilevel"/>
    <w:tmpl w:val="0CB6F9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46" w15:restartNumberingAfterBreak="0">
    <w:nsid w:val="6FD46978"/>
    <w:multiLevelType w:val="hybridMultilevel"/>
    <w:tmpl w:val="FFFFFFFF"/>
    <w:lvl w:ilvl="0" w:tplc="F2B8018A">
      <w:start w:val="1"/>
      <w:numFmt w:val="decimal"/>
      <w:lvlText w:val="%1."/>
      <w:lvlJc w:val="left"/>
      <w:pPr>
        <w:ind w:left="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8821792">
      <w:start w:val="1"/>
      <w:numFmt w:val="lowerLetter"/>
      <w:lvlText w:val="%2"/>
      <w:lvlJc w:val="left"/>
      <w:pPr>
        <w:ind w:left="14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A0090F8">
      <w:start w:val="1"/>
      <w:numFmt w:val="lowerRoman"/>
      <w:lvlText w:val="%3"/>
      <w:lvlJc w:val="left"/>
      <w:pPr>
        <w:ind w:left="21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CBE2D8C">
      <w:start w:val="1"/>
      <w:numFmt w:val="decimal"/>
      <w:lvlText w:val="%4"/>
      <w:lvlJc w:val="left"/>
      <w:pPr>
        <w:ind w:left="28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C526D64">
      <w:start w:val="1"/>
      <w:numFmt w:val="lowerLetter"/>
      <w:lvlText w:val="%5"/>
      <w:lvlJc w:val="left"/>
      <w:pPr>
        <w:ind w:left="36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BEC2D3E">
      <w:start w:val="1"/>
      <w:numFmt w:val="lowerRoman"/>
      <w:lvlText w:val="%6"/>
      <w:lvlJc w:val="left"/>
      <w:pPr>
        <w:ind w:left="43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A36A0EA">
      <w:start w:val="1"/>
      <w:numFmt w:val="decimal"/>
      <w:lvlText w:val="%7"/>
      <w:lvlJc w:val="left"/>
      <w:pPr>
        <w:ind w:left="50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A0A51D6">
      <w:start w:val="1"/>
      <w:numFmt w:val="lowerLetter"/>
      <w:lvlText w:val="%8"/>
      <w:lvlJc w:val="left"/>
      <w:pPr>
        <w:ind w:left="57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6BAFAF0">
      <w:start w:val="1"/>
      <w:numFmt w:val="lowerRoman"/>
      <w:lvlText w:val="%9"/>
      <w:lvlJc w:val="left"/>
      <w:pPr>
        <w:ind w:left="64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47" w15:restartNumberingAfterBreak="0">
    <w:nsid w:val="700A7D6D"/>
    <w:multiLevelType w:val="hybridMultilevel"/>
    <w:tmpl w:val="53066B9C"/>
    <w:lvl w:ilvl="0" w:tplc="FFFFFFFF">
      <w:start w:val="1"/>
      <w:numFmt w:val="decimal"/>
      <w:lvlText w:val="%1."/>
      <w:lvlJc w:val="left"/>
      <w:pPr>
        <w:ind w:left="927" w:hanging="360"/>
      </w:pPr>
      <w:rPr>
        <w:rFonts w:ascii="Times New Roman" w:hAnsi="Times New Roman" w:cs="Times New Roman" w:hint="default"/>
        <w:color w:val="000000"/>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48" w15:restartNumberingAfterBreak="0">
    <w:nsid w:val="702C1AB3"/>
    <w:multiLevelType w:val="multilevel"/>
    <w:tmpl w:val="177A2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9" w15:restartNumberingAfterBreak="0">
    <w:nsid w:val="705A06FE"/>
    <w:multiLevelType w:val="hybridMultilevel"/>
    <w:tmpl w:val="4F1A0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0" w15:restartNumberingAfterBreak="0">
    <w:nsid w:val="70DC09AA"/>
    <w:multiLevelType w:val="multilevel"/>
    <w:tmpl w:val="03CAB6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1" w15:restartNumberingAfterBreak="0">
    <w:nsid w:val="70F06908"/>
    <w:multiLevelType w:val="hybridMultilevel"/>
    <w:tmpl w:val="2F984418"/>
    <w:lvl w:ilvl="0" w:tplc="D64A5308">
      <w:start w:val="1"/>
      <w:numFmt w:val="decimal"/>
      <w:lvlText w:val="%1."/>
      <w:lvlJc w:val="left"/>
      <w:pPr>
        <w:ind w:left="36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52" w15:restartNumberingAfterBreak="0">
    <w:nsid w:val="70F81F46"/>
    <w:multiLevelType w:val="hybridMultilevel"/>
    <w:tmpl w:val="E460FB74"/>
    <w:styleLink w:val="2"/>
    <w:lvl w:ilvl="0" w:tplc="2312AEAE">
      <w:start w:val="1"/>
      <w:numFmt w:val="decimal"/>
      <w:lvlText w:val="%1."/>
      <w:lvlJc w:val="left"/>
      <w:pPr>
        <w:ind w:left="458" w:hanging="458"/>
      </w:pPr>
      <w:rPr>
        <w:rFonts w:hAnsi="Arial Unicode MS"/>
        <w:caps w:val="0"/>
        <w:smallCaps w:val="0"/>
        <w:strike w:val="0"/>
        <w:dstrike w:val="0"/>
        <w:outline w:val="0"/>
        <w:emboss w:val="0"/>
        <w:imprint w:val="0"/>
        <w:spacing w:val="0"/>
        <w:w w:val="100"/>
        <w:kern w:val="0"/>
        <w:position w:val="0"/>
        <w:highlight w:val="none"/>
        <w:vertAlign w:val="baseline"/>
      </w:rPr>
    </w:lvl>
    <w:lvl w:ilvl="1" w:tplc="ECB0CDA6">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043A5E08">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DAFECA04">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71AAF7EA">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76783B8C">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F85C933A">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8CECE61A">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F6DE55E6">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53" w15:restartNumberingAfterBreak="0">
    <w:nsid w:val="70FC32D9"/>
    <w:multiLevelType w:val="hybridMultilevel"/>
    <w:tmpl w:val="F306D356"/>
    <w:lvl w:ilvl="0" w:tplc="57CA67F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54" w15:restartNumberingAfterBreak="0">
    <w:nsid w:val="71231831"/>
    <w:multiLevelType w:val="hybridMultilevel"/>
    <w:tmpl w:val="79AEA0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5" w15:restartNumberingAfterBreak="0">
    <w:nsid w:val="71341657"/>
    <w:multiLevelType w:val="hybridMultilevel"/>
    <w:tmpl w:val="63121C5E"/>
    <w:lvl w:ilvl="0" w:tplc="CA7A508C">
      <w:start w:val="1"/>
      <w:numFmt w:val="decimal"/>
      <w:lvlText w:val="%1."/>
      <w:lvlJc w:val="left"/>
      <w:pPr>
        <w:ind w:left="927" w:hanging="360"/>
      </w:pPr>
      <w:rPr>
        <w:rFonts w:hint="default"/>
      </w:rPr>
    </w:lvl>
    <w:lvl w:ilvl="1" w:tplc="8E143640" w:tentative="1">
      <w:start w:val="1"/>
      <w:numFmt w:val="lowerLetter"/>
      <w:lvlText w:val="%2."/>
      <w:lvlJc w:val="left"/>
      <w:pPr>
        <w:ind w:left="1647" w:hanging="360"/>
      </w:pPr>
    </w:lvl>
    <w:lvl w:ilvl="2" w:tplc="944A655E" w:tentative="1">
      <w:start w:val="1"/>
      <w:numFmt w:val="lowerRoman"/>
      <w:lvlText w:val="%3."/>
      <w:lvlJc w:val="right"/>
      <w:pPr>
        <w:ind w:left="2367" w:hanging="180"/>
      </w:pPr>
    </w:lvl>
    <w:lvl w:ilvl="3" w:tplc="404E7D0C" w:tentative="1">
      <w:start w:val="1"/>
      <w:numFmt w:val="decimal"/>
      <w:lvlText w:val="%4."/>
      <w:lvlJc w:val="left"/>
      <w:pPr>
        <w:ind w:left="3087" w:hanging="360"/>
      </w:pPr>
    </w:lvl>
    <w:lvl w:ilvl="4" w:tplc="975080A4" w:tentative="1">
      <w:start w:val="1"/>
      <w:numFmt w:val="lowerLetter"/>
      <w:lvlText w:val="%5."/>
      <w:lvlJc w:val="left"/>
      <w:pPr>
        <w:ind w:left="3807" w:hanging="360"/>
      </w:pPr>
    </w:lvl>
    <w:lvl w:ilvl="5" w:tplc="8ECA61F0" w:tentative="1">
      <w:start w:val="1"/>
      <w:numFmt w:val="lowerRoman"/>
      <w:lvlText w:val="%6."/>
      <w:lvlJc w:val="right"/>
      <w:pPr>
        <w:ind w:left="4527" w:hanging="180"/>
      </w:pPr>
    </w:lvl>
    <w:lvl w:ilvl="6" w:tplc="CBFAAE50" w:tentative="1">
      <w:start w:val="1"/>
      <w:numFmt w:val="decimal"/>
      <w:lvlText w:val="%7."/>
      <w:lvlJc w:val="left"/>
      <w:pPr>
        <w:ind w:left="5247" w:hanging="360"/>
      </w:pPr>
    </w:lvl>
    <w:lvl w:ilvl="7" w:tplc="E7A6885E" w:tentative="1">
      <w:start w:val="1"/>
      <w:numFmt w:val="lowerLetter"/>
      <w:lvlText w:val="%8."/>
      <w:lvlJc w:val="left"/>
      <w:pPr>
        <w:ind w:left="5967" w:hanging="360"/>
      </w:pPr>
    </w:lvl>
    <w:lvl w:ilvl="8" w:tplc="F480966A" w:tentative="1">
      <w:start w:val="1"/>
      <w:numFmt w:val="lowerRoman"/>
      <w:lvlText w:val="%9."/>
      <w:lvlJc w:val="right"/>
      <w:pPr>
        <w:ind w:left="6687" w:hanging="180"/>
      </w:pPr>
    </w:lvl>
  </w:abstractNum>
  <w:abstractNum w:abstractNumId="756" w15:restartNumberingAfterBreak="0">
    <w:nsid w:val="715E6B24"/>
    <w:multiLevelType w:val="multilevel"/>
    <w:tmpl w:val="14242A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7" w15:restartNumberingAfterBreak="0">
    <w:nsid w:val="717D0815"/>
    <w:multiLevelType w:val="multilevel"/>
    <w:tmpl w:val="86F25D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58" w15:restartNumberingAfterBreak="0">
    <w:nsid w:val="71CD05AF"/>
    <w:multiLevelType w:val="hybridMultilevel"/>
    <w:tmpl w:val="E564C5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59" w15:restartNumberingAfterBreak="0">
    <w:nsid w:val="71D42DCE"/>
    <w:multiLevelType w:val="hybridMultilevel"/>
    <w:tmpl w:val="C2387864"/>
    <w:styleLink w:val="13"/>
    <w:lvl w:ilvl="0" w:tplc="1D7C6E6A">
      <w:start w:val="1"/>
      <w:numFmt w:val="decimal"/>
      <w:lvlText w:val="%1."/>
      <w:lvlJc w:val="left"/>
      <w:pPr>
        <w:ind w:left="458" w:hanging="458"/>
      </w:pPr>
      <w:rPr>
        <w:rFonts w:hAnsi="Arial Unicode MS"/>
        <w:caps w:val="0"/>
        <w:smallCaps w:val="0"/>
        <w:strike w:val="0"/>
        <w:dstrike w:val="0"/>
        <w:outline w:val="0"/>
        <w:emboss w:val="0"/>
        <w:imprint w:val="0"/>
        <w:spacing w:val="0"/>
        <w:w w:val="100"/>
        <w:kern w:val="0"/>
        <w:position w:val="0"/>
        <w:highlight w:val="none"/>
        <w:vertAlign w:val="baseline"/>
      </w:rPr>
    </w:lvl>
    <w:lvl w:ilvl="1" w:tplc="04190019">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0419001B">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0419000F">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04190019">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0419001B">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0419000F">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04190019">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0419001B">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60" w15:restartNumberingAfterBreak="0">
    <w:nsid w:val="721F5A2B"/>
    <w:multiLevelType w:val="multilevel"/>
    <w:tmpl w:val="CBFAB2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1" w15:restartNumberingAfterBreak="0">
    <w:nsid w:val="724754E2"/>
    <w:multiLevelType w:val="hybridMultilevel"/>
    <w:tmpl w:val="3246EF6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62" w15:restartNumberingAfterBreak="0">
    <w:nsid w:val="7259167E"/>
    <w:multiLevelType w:val="hybridMultilevel"/>
    <w:tmpl w:val="9C60923A"/>
    <w:lvl w:ilvl="0" w:tplc="3DDEC54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63" w15:restartNumberingAfterBreak="0">
    <w:nsid w:val="72975B0A"/>
    <w:multiLevelType w:val="multilevel"/>
    <w:tmpl w:val="B5783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4" w15:restartNumberingAfterBreak="0">
    <w:nsid w:val="72B67F45"/>
    <w:multiLevelType w:val="hybridMultilevel"/>
    <w:tmpl w:val="BE8A299C"/>
    <w:styleLink w:val="a"/>
    <w:lvl w:ilvl="0" w:tplc="05285302">
      <w:start w:val="1"/>
      <w:numFmt w:val="bullet"/>
      <w:lvlText w:val="-"/>
      <w:lvlJc w:val="left"/>
      <w:pPr>
        <w:ind w:left="30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1" w:tplc="FB8E2AA2">
      <w:start w:val="1"/>
      <w:numFmt w:val="bullet"/>
      <w:lvlText w:val="-"/>
      <w:lvlJc w:val="left"/>
      <w:pPr>
        <w:ind w:left="54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2" w:tplc="E3F6FE4E">
      <w:start w:val="1"/>
      <w:numFmt w:val="bullet"/>
      <w:lvlText w:val="-"/>
      <w:lvlJc w:val="left"/>
      <w:pPr>
        <w:ind w:left="78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3" w:tplc="C358B0F2">
      <w:start w:val="1"/>
      <w:numFmt w:val="bullet"/>
      <w:lvlText w:val="-"/>
      <w:lvlJc w:val="left"/>
      <w:pPr>
        <w:ind w:left="102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4" w:tplc="D7C8B78A">
      <w:start w:val="1"/>
      <w:numFmt w:val="bullet"/>
      <w:lvlText w:val="-"/>
      <w:lvlJc w:val="left"/>
      <w:pPr>
        <w:ind w:left="126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5" w:tplc="9B6060BA">
      <w:start w:val="1"/>
      <w:numFmt w:val="bullet"/>
      <w:lvlText w:val="-"/>
      <w:lvlJc w:val="left"/>
      <w:pPr>
        <w:ind w:left="150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6" w:tplc="2A30D57A">
      <w:start w:val="1"/>
      <w:numFmt w:val="bullet"/>
      <w:lvlText w:val="-"/>
      <w:lvlJc w:val="left"/>
      <w:pPr>
        <w:ind w:left="174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7" w:tplc="647078FC">
      <w:start w:val="1"/>
      <w:numFmt w:val="bullet"/>
      <w:lvlText w:val="-"/>
      <w:lvlJc w:val="left"/>
      <w:pPr>
        <w:ind w:left="198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lvl w:ilvl="8" w:tplc="DB166CBE">
      <w:start w:val="1"/>
      <w:numFmt w:val="bullet"/>
      <w:lvlText w:val="-"/>
      <w:lvlJc w:val="left"/>
      <w:pPr>
        <w:ind w:left="2225" w:hanging="305"/>
      </w:pPr>
      <w:rPr>
        <w:rFonts w:hAnsi="Arial Unicode MS"/>
        <w:caps w:val="0"/>
        <w:smallCaps w:val="0"/>
        <w:strike w:val="0"/>
        <w:dstrike w:val="0"/>
        <w:outline w:val="0"/>
        <w:emboss w:val="0"/>
        <w:imprint w:val="0"/>
        <w:spacing w:val="0"/>
        <w:w w:val="100"/>
        <w:kern w:val="0"/>
        <w:position w:val="4"/>
        <w:sz w:val="34"/>
        <w:szCs w:val="34"/>
        <w:highlight w:val="none"/>
        <w:vertAlign w:val="baseline"/>
      </w:rPr>
    </w:lvl>
  </w:abstractNum>
  <w:abstractNum w:abstractNumId="765" w15:restartNumberingAfterBreak="0">
    <w:nsid w:val="72BE30CA"/>
    <w:multiLevelType w:val="hybridMultilevel"/>
    <w:tmpl w:val="01EE88D0"/>
    <w:lvl w:ilvl="0" w:tplc="15468E12">
      <w:start w:val="1"/>
      <w:numFmt w:val="decimal"/>
      <w:lvlText w:val="%1."/>
      <w:lvlJc w:val="left"/>
      <w:pPr>
        <w:ind w:left="720" w:hanging="360"/>
      </w:pPr>
      <w:rPr>
        <w:rFonts w:ascii="Times New Roman" w:eastAsiaTheme="minorHAnsi" w:hAnsi="Times New Roman" w:cs="Times New Roman"/>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66" w15:restartNumberingAfterBreak="0">
    <w:nsid w:val="72CC59CD"/>
    <w:multiLevelType w:val="hybridMultilevel"/>
    <w:tmpl w:val="894A54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7" w15:restartNumberingAfterBreak="0">
    <w:nsid w:val="72FE4298"/>
    <w:multiLevelType w:val="hybridMultilevel"/>
    <w:tmpl w:val="0E7CFD88"/>
    <w:lvl w:ilvl="0" w:tplc="2000000F">
      <w:start w:val="1"/>
      <w:numFmt w:val="decimal"/>
      <w:lvlText w:val="%1."/>
      <w:lvlJc w:val="left"/>
      <w:pPr>
        <w:ind w:left="578" w:hanging="360"/>
      </w:pPr>
    </w:lvl>
    <w:lvl w:ilvl="1" w:tplc="20000019" w:tentative="1">
      <w:start w:val="1"/>
      <w:numFmt w:val="lowerLetter"/>
      <w:lvlText w:val="%2."/>
      <w:lvlJc w:val="left"/>
      <w:pPr>
        <w:ind w:left="1298" w:hanging="360"/>
      </w:pPr>
    </w:lvl>
    <w:lvl w:ilvl="2" w:tplc="2000001B" w:tentative="1">
      <w:start w:val="1"/>
      <w:numFmt w:val="lowerRoman"/>
      <w:lvlText w:val="%3."/>
      <w:lvlJc w:val="right"/>
      <w:pPr>
        <w:ind w:left="2018" w:hanging="180"/>
      </w:pPr>
    </w:lvl>
    <w:lvl w:ilvl="3" w:tplc="2000000F" w:tentative="1">
      <w:start w:val="1"/>
      <w:numFmt w:val="decimal"/>
      <w:lvlText w:val="%4."/>
      <w:lvlJc w:val="left"/>
      <w:pPr>
        <w:ind w:left="2738" w:hanging="360"/>
      </w:pPr>
    </w:lvl>
    <w:lvl w:ilvl="4" w:tplc="20000019" w:tentative="1">
      <w:start w:val="1"/>
      <w:numFmt w:val="lowerLetter"/>
      <w:lvlText w:val="%5."/>
      <w:lvlJc w:val="left"/>
      <w:pPr>
        <w:ind w:left="3458" w:hanging="360"/>
      </w:pPr>
    </w:lvl>
    <w:lvl w:ilvl="5" w:tplc="2000001B" w:tentative="1">
      <w:start w:val="1"/>
      <w:numFmt w:val="lowerRoman"/>
      <w:lvlText w:val="%6."/>
      <w:lvlJc w:val="right"/>
      <w:pPr>
        <w:ind w:left="4178" w:hanging="180"/>
      </w:pPr>
    </w:lvl>
    <w:lvl w:ilvl="6" w:tplc="2000000F" w:tentative="1">
      <w:start w:val="1"/>
      <w:numFmt w:val="decimal"/>
      <w:lvlText w:val="%7."/>
      <w:lvlJc w:val="left"/>
      <w:pPr>
        <w:ind w:left="4898" w:hanging="360"/>
      </w:pPr>
    </w:lvl>
    <w:lvl w:ilvl="7" w:tplc="20000019" w:tentative="1">
      <w:start w:val="1"/>
      <w:numFmt w:val="lowerLetter"/>
      <w:lvlText w:val="%8."/>
      <w:lvlJc w:val="left"/>
      <w:pPr>
        <w:ind w:left="5618" w:hanging="360"/>
      </w:pPr>
    </w:lvl>
    <w:lvl w:ilvl="8" w:tplc="2000001B" w:tentative="1">
      <w:start w:val="1"/>
      <w:numFmt w:val="lowerRoman"/>
      <w:lvlText w:val="%9."/>
      <w:lvlJc w:val="right"/>
      <w:pPr>
        <w:ind w:left="6338" w:hanging="180"/>
      </w:pPr>
    </w:lvl>
  </w:abstractNum>
  <w:abstractNum w:abstractNumId="768" w15:restartNumberingAfterBreak="0">
    <w:nsid w:val="730A240D"/>
    <w:multiLevelType w:val="multilevel"/>
    <w:tmpl w:val="717C01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69" w15:restartNumberingAfterBreak="0">
    <w:nsid w:val="732D5A01"/>
    <w:multiLevelType w:val="hybridMultilevel"/>
    <w:tmpl w:val="1E167466"/>
    <w:lvl w:ilvl="0" w:tplc="E166CC46">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70" w15:restartNumberingAfterBreak="0">
    <w:nsid w:val="73450157"/>
    <w:multiLevelType w:val="multilevel"/>
    <w:tmpl w:val="73450157"/>
    <w:lvl w:ilvl="0">
      <w:start w:val="1"/>
      <w:numFmt w:val="decimal"/>
      <w:lvlText w:val="%1."/>
      <w:lvlJc w:val="left"/>
      <w:pPr>
        <w:ind w:left="1286" w:hanging="360"/>
      </w:pPr>
    </w:lvl>
    <w:lvl w:ilvl="1">
      <w:start w:val="1"/>
      <w:numFmt w:val="lowerLetter"/>
      <w:lvlText w:val="%2."/>
      <w:lvlJc w:val="left"/>
      <w:pPr>
        <w:ind w:left="2006" w:hanging="360"/>
      </w:pPr>
    </w:lvl>
    <w:lvl w:ilvl="2">
      <w:start w:val="1"/>
      <w:numFmt w:val="lowerRoman"/>
      <w:lvlText w:val="%3."/>
      <w:lvlJc w:val="right"/>
      <w:pPr>
        <w:ind w:left="2726" w:hanging="180"/>
      </w:pPr>
    </w:lvl>
    <w:lvl w:ilvl="3">
      <w:start w:val="1"/>
      <w:numFmt w:val="decimal"/>
      <w:lvlText w:val="%4."/>
      <w:lvlJc w:val="left"/>
      <w:pPr>
        <w:ind w:left="3446" w:hanging="360"/>
      </w:pPr>
    </w:lvl>
    <w:lvl w:ilvl="4">
      <w:start w:val="1"/>
      <w:numFmt w:val="lowerLetter"/>
      <w:lvlText w:val="%5."/>
      <w:lvlJc w:val="left"/>
      <w:pPr>
        <w:ind w:left="4166" w:hanging="360"/>
      </w:pPr>
    </w:lvl>
    <w:lvl w:ilvl="5">
      <w:start w:val="1"/>
      <w:numFmt w:val="lowerRoman"/>
      <w:lvlText w:val="%6."/>
      <w:lvlJc w:val="right"/>
      <w:pPr>
        <w:ind w:left="4886" w:hanging="180"/>
      </w:pPr>
    </w:lvl>
    <w:lvl w:ilvl="6">
      <w:start w:val="1"/>
      <w:numFmt w:val="decimal"/>
      <w:lvlText w:val="%7."/>
      <w:lvlJc w:val="left"/>
      <w:pPr>
        <w:ind w:left="5606" w:hanging="360"/>
      </w:pPr>
    </w:lvl>
    <w:lvl w:ilvl="7">
      <w:start w:val="1"/>
      <w:numFmt w:val="lowerLetter"/>
      <w:lvlText w:val="%8."/>
      <w:lvlJc w:val="left"/>
      <w:pPr>
        <w:ind w:left="6326" w:hanging="360"/>
      </w:pPr>
    </w:lvl>
    <w:lvl w:ilvl="8">
      <w:start w:val="1"/>
      <w:numFmt w:val="lowerRoman"/>
      <w:lvlText w:val="%9."/>
      <w:lvlJc w:val="right"/>
      <w:pPr>
        <w:ind w:left="7046" w:hanging="180"/>
      </w:pPr>
    </w:lvl>
  </w:abstractNum>
  <w:abstractNum w:abstractNumId="771" w15:restartNumberingAfterBreak="0">
    <w:nsid w:val="73710422"/>
    <w:multiLevelType w:val="hybridMultilevel"/>
    <w:tmpl w:val="767E5AF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72" w15:restartNumberingAfterBreak="0">
    <w:nsid w:val="73C93077"/>
    <w:multiLevelType w:val="multilevel"/>
    <w:tmpl w:val="C0F4EACC"/>
    <w:lvl w:ilvl="0">
      <w:start w:val="1"/>
      <w:numFmt w:val="decimal"/>
      <w:lvlText w:val="%1)"/>
      <w:lvlJc w:val="left"/>
      <w:pPr>
        <w:ind w:left="360" w:hanging="360"/>
      </w:pPr>
      <w:rPr>
        <w:rFonts w:ascii="Times New Roman" w:eastAsia="Times New Roman" w:hAnsi="Times New Roman" w:cs="Times New Roman"/>
        <w:sz w:val="20"/>
        <w:szCs w:val="20"/>
      </w:rPr>
    </w:lvl>
    <w:lvl w:ilvl="1">
      <w:start w:val="1"/>
      <w:numFmt w:val="bullet"/>
      <w:lvlText w:val="o"/>
      <w:lvlJc w:val="left"/>
      <w:pPr>
        <w:ind w:left="1080" w:hanging="360"/>
      </w:pPr>
      <w:rPr>
        <w:rFonts w:ascii="Courier New" w:eastAsia="Courier New" w:hAnsi="Courier New" w:cs="Courier New"/>
        <w:sz w:val="20"/>
        <w:szCs w:val="20"/>
      </w:rPr>
    </w:lvl>
    <w:lvl w:ilvl="2">
      <w:start w:val="1"/>
      <w:numFmt w:val="bullet"/>
      <w:lvlText w:val="▪"/>
      <w:lvlJc w:val="left"/>
      <w:pPr>
        <w:ind w:left="1800" w:hanging="360"/>
      </w:pPr>
      <w:rPr>
        <w:rFonts w:ascii="Noto Sans Symbols" w:eastAsia="Noto Sans Symbols" w:hAnsi="Noto Sans Symbols" w:cs="Noto Sans Symbols"/>
        <w:sz w:val="20"/>
        <w:szCs w:val="20"/>
      </w:rPr>
    </w:lvl>
    <w:lvl w:ilvl="3">
      <w:start w:val="1"/>
      <w:numFmt w:val="bullet"/>
      <w:lvlText w:val="▪"/>
      <w:lvlJc w:val="left"/>
      <w:pPr>
        <w:ind w:left="2520" w:hanging="360"/>
      </w:pPr>
      <w:rPr>
        <w:rFonts w:ascii="Noto Sans Symbols" w:eastAsia="Noto Sans Symbols" w:hAnsi="Noto Sans Symbols" w:cs="Noto Sans Symbols"/>
        <w:sz w:val="20"/>
        <w:szCs w:val="20"/>
      </w:rPr>
    </w:lvl>
    <w:lvl w:ilvl="4">
      <w:start w:val="1"/>
      <w:numFmt w:val="bullet"/>
      <w:lvlText w:val="▪"/>
      <w:lvlJc w:val="left"/>
      <w:pPr>
        <w:ind w:left="3240" w:hanging="360"/>
      </w:pPr>
      <w:rPr>
        <w:rFonts w:ascii="Noto Sans Symbols" w:eastAsia="Noto Sans Symbols" w:hAnsi="Noto Sans Symbols" w:cs="Noto Sans Symbols"/>
        <w:sz w:val="20"/>
        <w:szCs w:val="20"/>
      </w:rPr>
    </w:lvl>
    <w:lvl w:ilvl="5">
      <w:start w:val="1"/>
      <w:numFmt w:val="bullet"/>
      <w:lvlText w:val="▪"/>
      <w:lvlJc w:val="left"/>
      <w:pPr>
        <w:ind w:left="3960" w:hanging="360"/>
      </w:pPr>
      <w:rPr>
        <w:rFonts w:ascii="Noto Sans Symbols" w:eastAsia="Noto Sans Symbols" w:hAnsi="Noto Sans Symbols" w:cs="Noto Sans Symbols"/>
        <w:sz w:val="20"/>
        <w:szCs w:val="20"/>
      </w:rPr>
    </w:lvl>
    <w:lvl w:ilvl="6">
      <w:start w:val="1"/>
      <w:numFmt w:val="bullet"/>
      <w:lvlText w:val="▪"/>
      <w:lvlJc w:val="left"/>
      <w:pPr>
        <w:ind w:left="4680" w:hanging="360"/>
      </w:pPr>
      <w:rPr>
        <w:rFonts w:ascii="Noto Sans Symbols" w:eastAsia="Noto Sans Symbols" w:hAnsi="Noto Sans Symbols" w:cs="Noto Sans Symbols"/>
        <w:sz w:val="20"/>
        <w:szCs w:val="20"/>
      </w:rPr>
    </w:lvl>
    <w:lvl w:ilvl="7">
      <w:start w:val="1"/>
      <w:numFmt w:val="bullet"/>
      <w:lvlText w:val="▪"/>
      <w:lvlJc w:val="left"/>
      <w:pPr>
        <w:ind w:left="5400" w:hanging="360"/>
      </w:pPr>
      <w:rPr>
        <w:rFonts w:ascii="Noto Sans Symbols" w:eastAsia="Noto Sans Symbols" w:hAnsi="Noto Sans Symbols" w:cs="Noto Sans Symbols"/>
        <w:sz w:val="20"/>
        <w:szCs w:val="20"/>
      </w:rPr>
    </w:lvl>
    <w:lvl w:ilvl="8">
      <w:start w:val="1"/>
      <w:numFmt w:val="bullet"/>
      <w:lvlText w:val="▪"/>
      <w:lvlJc w:val="left"/>
      <w:pPr>
        <w:ind w:left="6120" w:hanging="360"/>
      </w:pPr>
      <w:rPr>
        <w:rFonts w:ascii="Noto Sans Symbols" w:eastAsia="Noto Sans Symbols" w:hAnsi="Noto Sans Symbols" w:cs="Noto Sans Symbols"/>
        <w:sz w:val="20"/>
        <w:szCs w:val="20"/>
      </w:rPr>
    </w:lvl>
  </w:abstractNum>
  <w:abstractNum w:abstractNumId="773" w15:restartNumberingAfterBreak="0">
    <w:nsid w:val="73E725CD"/>
    <w:multiLevelType w:val="multilevel"/>
    <w:tmpl w:val="CAB62110"/>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774" w15:restartNumberingAfterBreak="0">
    <w:nsid w:val="74093FD2"/>
    <w:multiLevelType w:val="hybridMultilevel"/>
    <w:tmpl w:val="3BB2AD88"/>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75" w15:restartNumberingAfterBreak="0">
    <w:nsid w:val="74147F7E"/>
    <w:multiLevelType w:val="hybridMultilevel"/>
    <w:tmpl w:val="AD68FE08"/>
    <w:lvl w:ilvl="0" w:tplc="AB36A7EA">
      <w:start w:val="1"/>
      <w:numFmt w:val="decimal"/>
      <w:lvlText w:val="%1."/>
      <w:lvlJc w:val="left"/>
      <w:pPr>
        <w:ind w:left="720" w:hanging="360"/>
      </w:pPr>
    </w:lvl>
    <w:lvl w:ilvl="1" w:tplc="4B4C24A8" w:tentative="1">
      <w:start w:val="1"/>
      <w:numFmt w:val="lowerLetter"/>
      <w:lvlText w:val="%2."/>
      <w:lvlJc w:val="left"/>
      <w:pPr>
        <w:ind w:left="1440" w:hanging="360"/>
      </w:pPr>
    </w:lvl>
    <w:lvl w:ilvl="2" w:tplc="B5CCC6C8" w:tentative="1">
      <w:start w:val="1"/>
      <w:numFmt w:val="lowerRoman"/>
      <w:lvlText w:val="%3."/>
      <w:lvlJc w:val="right"/>
      <w:pPr>
        <w:ind w:left="2160" w:hanging="180"/>
      </w:pPr>
    </w:lvl>
    <w:lvl w:ilvl="3" w:tplc="9AE6E900" w:tentative="1">
      <w:start w:val="1"/>
      <w:numFmt w:val="decimal"/>
      <w:lvlText w:val="%4."/>
      <w:lvlJc w:val="left"/>
      <w:pPr>
        <w:ind w:left="2880" w:hanging="360"/>
      </w:pPr>
    </w:lvl>
    <w:lvl w:ilvl="4" w:tplc="47D8AE04" w:tentative="1">
      <w:start w:val="1"/>
      <w:numFmt w:val="lowerLetter"/>
      <w:lvlText w:val="%5."/>
      <w:lvlJc w:val="left"/>
      <w:pPr>
        <w:ind w:left="3600" w:hanging="360"/>
      </w:pPr>
    </w:lvl>
    <w:lvl w:ilvl="5" w:tplc="46546F4C" w:tentative="1">
      <w:start w:val="1"/>
      <w:numFmt w:val="lowerRoman"/>
      <w:lvlText w:val="%6."/>
      <w:lvlJc w:val="right"/>
      <w:pPr>
        <w:ind w:left="4320" w:hanging="180"/>
      </w:pPr>
    </w:lvl>
    <w:lvl w:ilvl="6" w:tplc="3F3AE690" w:tentative="1">
      <w:start w:val="1"/>
      <w:numFmt w:val="decimal"/>
      <w:lvlText w:val="%7."/>
      <w:lvlJc w:val="left"/>
      <w:pPr>
        <w:ind w:left="5040" w:hanging="360"/>
      </w:pPr>
    </w:lvl>
    <w:lvl w:ilvl="7" w:tplc="D5F6D604" w:tentative="1">
      <w:start w:val="1"/>
      <w:numFmt w:val="lowerLetter"/>
      <w:lvlText w:val="%8."/>
      <w:lvlJc w:val="left"/>
      <w:pPr>
        <w:ind w:left="5760" w:hanging="360"/>
      </w:pPr>
    </w:lvl>
    <w:lvl w:ilvl="8" w:tplc="DE00512A" w:tentative="1">
      <w:start w:val="1"/>
      <w:numFmt w:val="lowerRoman"/>
      <w:lvlText w:val="%9."/>
      <w:lvlJc w:val="right"/>
      <w:pPr>
        <w:ind w:left="6480" w:hanging="180"/>
      </w:pPr>
    </w:lvl>
  </w:abstractNum>
  <w:abstractNum w:abstractNumId="776" w15:restartNumberingAfterBreak="0">
    <w:nsid w:val="74163775"/>
    <w:multiLevelType w:val="hybridMultilevel"/>
    <w:tmpl w:val="E72E920C"/>
    <w:lvl w:ilvl="0" w:tplc="0419000F">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7" w15:restartNumberingAfterBreak="0">
    <w:nsid w:val="74204E2F"/>
    <w:multiLevelType w:val="hybridMultilevel"/>
    <w:tmpl w:val="D0502CD0"/>
    <w:lvl w:ilvl="0" w:tplc="AC305D44">
      <w:start w:val="1"/>
      <w:numFmt w:val="decimal"/>
      <w:lvlText w:val="%1."/>
      <w:lvlJc w:val="left"/>
      <w:pPr>
        <w:ind w:left="1571" w:hanging="360"/>
      </w:pPr>
      <w:rPr>
        <w:sz w:val="28"/>
        <w:szCs w:val="28"/>
      </w:rPr>
    </w:lvl>
    <w:lvl w:ilvl="1" w:tplc="10000019">
      <w:start w:val="1"/>
      <w:numFmt w:val="lowerLetter"/>
      <w:lvlText w:val="%2."/>
      <w:lvlJc w:val="left"/>
      <w:pPr>
        <w:ind w:left="2291" w:hanging="360"/>
      </w:pPr>
    </w:lvl>
    <w:lvl w:ilvl="2" w:tplc="1000001B">
      <w:start w:val="1"/>
      <w:numFmt w:val="lowerRoman"/>
      <w:lvlText w:val="%3."/>
      <w:lvlJc w:val="right"/>
      <w:pPr>
        <w:ind w:left="3011" w:hanging="180"/>
      </w:pPr>
    </w:lvl>
    <w:lvl w:ilvl="3" w:tplc="1000000F">
      <w:start w:val="1"/>
      <w:numFmt w:val="decimal"/>
      <w:lvlText w:val="%4."/>
      <w:lvlJc w:val="left"/>
      <w:pPr>
        <w:ind w:left="3731" w:hanging="360"/>
      </w:pPr>
    </w:lvl>
    <w:lvl w:ilvl="4" w:tplc="10000019">
      <w:start w:val="1"/>
      <w:numFmt w:val="lowerLetter"/>
      <w:lvlText w:val="%5."/>
      <w:lvlJc w:val="left"/>
      <w:pPr>
        <w:ind w:left="4451" w:hanging="360"/>
      </w:pPr>
    </w:lvl>
    <w:lvl w:ilvl="5" w:tplc="1000001B">
      <w:start w:val="1"/>
      <w:numFmt w:val="lowerRoman"/>
      <w:lvlText w:val="%6."/>
      <w:lvlJc w:val="right"/>
      <w:pPr>
        <w:ind w:left="5171" w:hanging="180"/>
      </w:pPr>
    </w:lvl>
    <w:lvl w:ilvl="6" w:tplc="1000000F">
      <w:start w:val="1"/>
      <w:numFmt w:val="decimal"/>
      <w:lvlText w:val="%7."/>
      <w:lvlJc w:val="left"/>
      <w:pPr>
        <w:ind w:left="5891" w:hanging="360"/>
      </w:pPr>
    </w:lvl>
    <w:lvl w:ilvl="7" w:tplc="10000019">
      <w:start w:val="1"/>
      <w:numFmt w:val="lowerLetter"/>
      <w:lvlText w:val="%8."/>
      <w:lvlJc w:val="left"/>
      <w:pPr>
        <w:ind w:left="6611" w:hanging="360"/>
      </w:pPr>
    </w:lvl>
    <w:lvl w:ilvl="8" w:tplc="1000001B">
      <w:start w:val="1"/>
      <w:numFmt w:val="lowerRoman"/>
      <w:lvlText w:val="%9."/>
      <w:lvlJc w:val="right"/>
      <w:pPr>
        <w:ind w:left="7331" w:hanging="180"/>
      </w:pPr>
    </w:lvl>
  </w:abstractNum>
  <w:abstractNum w:abstractNumId="778" w15:restartNumberingAfterBreak="0">
    <w:nsid w:val="74216502"/>
    <w:multiLevelType w:val="hybridMultilevel"/>
    <w:tmpl w:val="D6E6AF4C"/>
    <w:lvl w:ilvl="0" w:tplc="8C74E0F4">
      <w:start w:val="1"/>
      <w:numFmt w:val="decimal"/>
      <w:lvlText w:val="%1."/>
      <w:lvlJc w:val="left"/>
      <w:pPr>
        <w:ind w:left="360" w:hanging="360"/>
      </w:pPr>
      <w:rPr>
        <w:b w:val="0"/>
        <w:bCs/>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79" w15:restartNumberingAfterBreak="0">
    <w:nsid w:val="74400009"/>
    <w:multiLevelType w:val="hybridMultilevel"/>
    <w:tmpl w:val="1CE84EF0"/>
    <w:lvl w:ilvl="0" w:tplc="2000000F">
      <w:start w:val="1"/>
      <w:numFmt w:val="decimal"/>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780" w15:restartNumberingAfterBreak="0">
    <w:nsid w:val="744B226C"/>
    <w:multiLevelType w:val="multilevel"/>
    <w:tmpl w:val="96DAC032"/>
    <w:lvl w:ilvl="0">
      <w:start w:val="1"/>
      <w:numFmt w:val="decimal"/>
      <w:lvlText w:val="%1."/>
      <w:lvlJc w:val="left"/>
      <w:pPr>
        <w:ind w:left="360" w:hanging="360"/>
      </w:pPr>
      <w:rPr>
        <w:color w:val="000000"/>
      </w:rPr>
    </w:lvl>
    <w:lvl w:ilvl="1">
      <w:start w:val="1"/>
      <w:numFmt w:val="lowerLetter"/>
      <w:lvlText w:val="%2."/>
      <w:lvlJc w:val="left"/>
      <w:pPr>
        <w:ind w:left="-357" w:hanging="360"/>
      </w:pPr>
    </w:lvl>
    <w:lvl w:ilvl="2">
      <w:start w:val="1"/>
      <w:numFmt w:val="lowerRoman"/>
      <w:lvlText w:val="%3."/>
      <w:lvlJc w:val="right"/>
      <w:pPr>
        <w:ind w:left="363" w:hanging="180"/>
      </w:pPr>
    </w:lvl>
    <w:lvl w:ilvl="3">
      <w:start w:val="1"/>
      <w:numFmt w:val="decimal"/>
      <w:lvlText w:val="%4."/>
      <w:lvlJc w:val="left"/>
      <w:pPr>
        <w:ind w:left="1083" w:hanging="360"/>
      </w:pPr>
    </w:lvl>
    <w:lvl w:ilvl="4">
      <w:start w:val="1"/>
      <w:numFmt w:val="lowerLetter"/>
      <w:lvlText w:val="%5."/>
      <w:lvlJc w:val="left"/>
      <w:pPr>
        <w:ind w:left="1803" w:hanging="360"/>
      </w:pPr>
    </w:lvl>
    <w:lvl w:ilvl="5">
      <w:start w:val="1"/>
      <w:numFmt w:val="lowerRoman"/>
      <w:lvlText w:val="%6."/>
      <w:lvlJc w:val="right"/>
      <w:pPr>
        <w:ind w:left="2523" w:hanging="180"/>
      </w:pPr>
    </w:lvl>
    <w:lvl w:ilvl="6">
      <w:start w:val="1"/>
      <w:numFmt w:val="decimal"/>
      <w:lvlText w:val="%7."/>
      <w:lvlJc w:val="left"/>
      <w:pPr>
        <w:ind w:left="3243" w:hanging="360"/>
      </w:pPr>
    </w:lvl>
    <w:lvl w:ilvl="7">
      <w:start w:val="1"/>
      <w:numFmt w:val="lowerLetter"/>
      <w:lvlText w:val="%8."/>
      <w:lvlJc w:val="left"/>
      <w:pPr>
        <w:ind w:left="3963" w:hanging="360"/>
      </w:pPr>
    </w:lvl>
    <w:lvl w:ilvl="8">
      <w:start w:val="1"/>
      <w:numFmt w:val="lowerRoman"/>
      <w:lvlText w:val="%9."/>
      <w:lvlJc w:val="right"/>
      <w:pPr>
        <w:ind w:left="4683" w:hanging="180"/>
      </w:pPr>
    </w:lvl>
  </w:abstractNum>
  <w:abstractNum w:abstractNumId="781" w15:restartNumberingAfterBreak="0">
    <w:nsid w:val="74996FBD"/>
    <w:multiLevelType w:val="multilevel"/>
    <w:tmpl w:val="D8A61B90"/>
    <w:lvl w:ilvl="0">
      <w:start w:val="1"/>
      <w:numFmt w:val="decimal"/>
      <w:lvlText w:val="%1."/>
      <w:lvlJc w:val="left"/>
      <w:pPr>
        <w:ind w:left="1080" w:hanging="360"/>
      </w:pPr>
      <w:rPr>
        <w:u w:val="none"/>
      </w:rPr>
    </w:lvl>
    <w:lvl w:ilvl="1">
      <w:start w:val="1"/>
      <w:numFmt w:val="lowerLetter"/>
      <w:lvlText w:val="%2."/>
      <w:lvlJc w:val="left"/>
      <w:pPr>
        <w:ind w:left="1800" w:hanging="360"/>
      </w:pPr>
      <w:rPr>
        <w:u w:val="none"/>
      </w:rPr>
    </w:lvl>
    <w:lvl w:ilvl="2">
      <w:start w:val="1"/>
      <w:numFmt w:val="lowerRoman"/>
      <w:lvlText w:val="%3."/>
      <w:lvlJc w:val="right"/>
      <w:pPr>
        <w:ind w:left="2520" w:hanging="18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right"/>
      <w:pPr>
        <w:ind w:left="4680" w:hanging="18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right"/>
      <w:pPr>
        <w:ind w:left="6840" w:hanging="180"/>
      </w:pPr>
      <w:rPr>
        <w:u w:val="none"/>
      </w:rPr>
    </w:lvl>
  </w:abstractNum>
  <w:abstractNum w:abstractNumId="782" w15:restartNumberingAfterBreak="0">
    <w:nsid w:val="74BD56DA"/>
    <w:multiLevelType w:val="hybridMultilevel"/>
    <w:tmpl w:val="7DFEF0CA"/>
    <w:lvl w:ilvl="0" w:tplc="0419000F">
      <w:start w:val="1"/>
      <w:numFmt w:val="decimal"/>
      <w:lvlText w:val="%1."/>
      <w:lvlJc w:val="left"/>
      <w:pPr>
        <w:ind w:left="1170" w:hanging="360"/>
      </w:pPr>
    </w:lvl>
    <w:lvl w:ilvl="1" w:tplc="04190019" w:tentative="1">
      <w:start w:val="1"/>
      <w:numFmt w:val="lowerLetter"/>
      <w:lvlText w:val="%2."/>
      <w:lvlJc w:val="left"/>
      <w:pPr>
        <w:ind w:left="1890" w:hanging="360"/>
      </w:pPr>
    </w:lvl>
    <w:lvl w:ilvl="2" w:tplc="0419001B" w:tentative="1">
      <w:start w:val="1"/>
      <w:numFmt w:val="lowerRoman"/>
      <w:lvlText w:val="%3."/>
      <w:lvlJc w:val="right"/>
      <w:pPr>
        <w:ind w:left="2610" w:hanging="180"/>
      </w:pPr>
    </w:lvl>
    <w:lvl w:ilvl="3" w:tplc="0419000F" w:tentative="1">
      <w:start w:val="1"/>
      <w:numFmt w:val="decimal"/>
      <w:lvlText w:val="%4."/>
      <w:lvlJc w:val="left"/>
      <w:pPr>
        <w:ind w:left="3330" w:hanging="360"/>
      </w:pPr>
    </w:lvl>
    <w:lvl w:ilvl="4" w:tplc="04190019" w:tentative="1">
      <w:start w:val="1"/>
      <w:numFmt w:val="lowerLetter"/>
      <w:lvlText w:val="%5."/>
      <w:lvlJc w:val="left"/>
      <w:pPr>
        <w:ind w:left="4050" w:hanging="360"/>
      </w:pPr>
    </w:lvl>
    <w:lvl w:ilvl="5" w:tplc="0419001B" w:tentative="1">
      <w:start w:val="1"/>
      <w:numFmt w:val="lowerRoman"/>
      <w:lvlText w:val="%6."/>
      <w:lvlJc w:val="right"/>
      <w:pPr>
        <w:ind w:left="4770" w:hanging="180"/>
      </w:pPr>
    </w:lvl>
    <w:lvl w:ilvl="6" w:tplc="0419000F" w:tentative="1">
      <w:start w:val="1"/>
      <w:numFmt w:val="decimal"/>
      <w:lvlText w:val="%7."/>
      <w:lvlJc w:val="left"/>
      <w:pPr>
        <w:ind w:left="5490" w:hanging="360"/>
      </w:pPr>
    </w:lvl>
    <w:lvl w:ilvl="7" w:tplc="04190019" w:tentative="1">
      <w:start w:val="1"/>
      <w:numFmt w:val="lowerLetter"/>
      <w:lvlText w:val="%8."/>
      <w:lvlJc w:val="left"/>
      <w:pPr>
        <w:ind w:left="6210" w:hanging="360"/>
      </w:pPr>
    </w:lvl>
    <w:lvl w:ilvl="8" w:tplc="0419001B" w:tentative="1">
      <w:start w:val="1"/>
      <w:numFmt w:val="lowerRoman"/>
      <w:lvlText w:val="%9."/>
      <w:lvlJc w:val="right"/>
      <w:pPr>
        <w:ind w:left="6930" w:hanging="180"/>
      </w:pPr>
    </w:lvl>
  </w:abstractNum>
  <w:abstractNum w:abstractNumId="783" w15:restartNumberingAfterBreak="0">
    <w:nsid w:val="74F06B63"/>
    <w:multiLevelType w:val="multilevel"/>
    <w:tmpl w:val="1764D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4" w15:restartNumberingAfterBreak="0">
    <w:nsid w:val="75550BD7"/>
    <w:multiLevelType w:val="hybridMultilevel"/>
    <w:tmpl w:val="E2A6A8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85" w15:restartNumberingAfterBreak="0">
    <w:nsid w:val="755E62C3"/>
    <w:multiLevelType w:val="hybridMultilevel"/>
    <w:tmpl w:val="255456CE"/>
    <w:lvl w:ilvl="0" w:tplc="577EFA9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86" w15:restartNumberingAfterBreak="0">
    <w:nsid w:val="75784612"/>
    <w:multiLevelType w:val="multilevel"/>
    <w:tmpl w:val="D186B4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7" w15:restartNumberingAfterBreak="0">
    <w:nsid w:val="75B3217F"/>
    <w:multiLevelType w:val="hybridMultilevel"/>
    <w:tmpl w:val="81BC8434"/>
    <w:lvl w:ilvl="0" w:tplc="30824C26">
      <w:start w:val="1"/>
      <w:numFmt w:val="decimal"/>
      <w:lvlText w:val="%1."/>
      <w:lvlJc w:val="left"/>
      <w:pPr>
        <w:ind w:left="743" w:hanging="360"/>
      </w:pPr>
      <w:rPr>
        <w:rFonts w:ascii="Arial" w:eastAsia="Times New Roman" w:hAnsi="Arial" w:cs="Arial" w:hint="default"/>
        <w:b w:val="0"/>
        <w:bCs w:val="0"/>
        <w:i w:val="0"/>
        <w:iCs w:val="0"/>
        <w:spacing w:val="-1"/>
        <w:w w:val="100"/>
        <w:sz w:val="28"/>
        <w:szCs w:val="28"/>
        <w:lang w:val="uk-UA" w:eastAsia="en-US" w:bidi="ar-SA"/>
      </w:rPr>
    </w:lvl>
    <w:lvl w:ilvl="1" w:tplc="EABA5E54">
      <w:numFmt w:val="bullet"/>
      <w:lvlText w:val="•"/>
      <w:lvlJc w:val="left"/>
      <w:pPr>
        <w:ind w:left="1574" w:hanging="360"/>
      </w:pPr>
      <w:rPr>
        <w:lang w:val="uk-UA" w:eastAsia="en-US" w:bidi="ar-SA"/>
      </w:rPr>
    </w:lvl>
    <w:lvl w:ilvl="2" w:tplc="2A7C6000">
      <w:numFmt w:val="bullet"/>
      <w:lvlText w:val="•"/>
      <w:lvlJc w:val="left"/>
      <w:pPr>
        <w:ind w:left="2409" w:hanging="360"/>
      </w:pPr>
      <w:rPr>
        <w:lang w:val="uk-UA" w:eastAsia="en-US" w:bidi="ar-SA"/>
      </w:rPr>
    </w:lvl>
    <w:lvl w:ilvl="3" w:tplc="48787A42">
      <w:numFmt w:val="bullet"/>
      <w:lvlText w:val="•"/>
      <w:lvlJc w:val="left"/>
      <w:pPr>
        <w:ind w:left="3243" w:hanging="360"/>
      </w:pPr>
      <w:rPr>
        <w:lang w:val="uk-UA" w:eastAsia="en-US" w:bidi="ar-SA"/>
      </w:rPr>
    </w:lvl>
    <w:lvl w:ilvl="4" w:tplc="9D0EC678">
      <w:numFmt w:val="bullet"/>
      <w:lvlText w:val="•"/>
      <w:lvlJc w:val="left"/>
      <w:pPr>
        <w:ind w:left="4078" w:hanging="360"/>
      </w:pPr>
      <w:rPr>
        <w:lang w:val="uk-UA" w:eastAsia="en-US" w:bidi="ar-SA"/>
      </w:rPr>
    </w:lvl>
    <w:lvl w:ilvl="5" w:tplc="623CFB3E">
      <w:numFmt w:val="bullet"/>
      <w:lvlText w:val="•"/>
      <w:lvlJc w:val="left"/>
      <w:pPr>
        <w:ind w:left="4913" w:hanging="360"/>
      </w:pPr>
      <w:rPr>
        <w:lang w:val="uk-UA" w:eastAsia="en-US" w:bidi="ar-SA"/>
      </w:rPr>
    </w:lvl>
    <w:lvl w:ilvl="6" w:tplc="FF74AF7A">
      <w:numFmt w:val="bullet"/>
      <w:lvlText w:val="•"/>
      <w:lvlJc w:val="left"/>
      <w:pPr>
        <w:ind w:left="5747" w:hanging="360"/>
      </w:pPr>
      <w:rPr>
        <w:lang w:val="uk-UA" w:eastAsia="en-US" w:bidi="ar-SA"/>
      </w:rPr>
    </w:lvl>
    <w:lvl w:ilvl="7" w:tplc="737A95E4">
      <w:numFmt w:val="bullet"/>
      <w:lvlText w:val="•"/>
      <w:lvlJc w:val="left"/>
      <w:pPr>
        <w:ind w:left="6582" w:hanging="360"/>
      </w:pPr>
      <w:rPr>
        <w:lang w:val="uk-UA" w:eastAsia="en-US" w:bidi="ar-SA"/>
      </w:rPr>
    </w:lvl>
    <w:lvl w:ilvl="8" w:tplc="E85E1542">
      <w:numFmt w:val="bullet"/>
      <w:lvlText w:val="•"/>
      <w:lvlJc w:val="left"/>
      <w:pPr>
        <w:ind w:left="7416" w:hanging="360"/>
      </w:pPr>
      <w:rPr>
        <w:lang w:val="uk-UA" w:eastAsia="en-US" w:bidi="ar-SA"/>
      </w:rPr>
    </w:lvl>
  </w:abstractNum>
  <w:abstractNum w:abstractNumId="788" w15:restartNumberingAfterBreak="0">
    <w:nsid w:val="75C43B5C"/>
    <w:multiLevelType w:val="hybridMultilevel"/>
    <w:tmpl w:val="E5185710"/>
    <w:lvl w:ilvl="0" w:tplc="637AA8E4">
      <w:start w:val="1"/>
      <w:numFmt w:val="decimal"/>
      <w:lvlText w:val="%1."/>
      <w:lvlJc w:val="left"/>
      <w:pPr>
        <w:ind w:left="720" w:hanging="360"/>
      </w:pPr>
      <w:rPr>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89" w15:restartNumberingAfterBreak="0">
    <w:nsid w:val="75C84FDE"/>
    <w:multiLevelType w:val="hybridMultilevel"/>
    <w:tmpl w:val="680291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0" w15:restartNumberingAfterBreak="0">
    <w:nsid w:val="75E47913"/>
    <w:multiLevelType w:val="hybridMultilevel"/>
    <w:tmpl w:val="C2387864"/>
    <w:lvl w:ilvl="0" w:tplc="AA786EAE">
      <w:start w:val="1"/>
      <w:numFmt w:val="decimal"/>
      <w:lvlText w:val="%1."/>
      <w:lvlJc w:val="left"/>
      <w:pPr>
        <w:ind w:left="458" w:hanging="458"/>
      </w:pPr>
      <w:rPr>
        <w:rFonts w:hAnsi="Arial Unicode MS"/>
        <w:caps w:val="0"/>
        <w:smallCaps w:val="0"/>
        <w:strike w:val="0"/>
        <w:dstrike w:val="0"/>
        <w:outline w:val="0"/>
        <w:emboss w:val="0"/>
        <w:imprint w:val="0"/>
        <w:spacing w:val="0"/>
        <w:w w:val="100"/>
        <w:kern w:val="0"/>
        <w:position w:val="0"/>
        <w:highlight w:val="none"/>
        <w:vertAlign w:val="baseline"/>
      </w:rPr>
    </w:lvl>
    <w:lvl w:ilvl="1" w:tplc="9C46CB2E">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5C1276A2">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B742CD22">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2E6A1DA6">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B7C243B8">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6720920A">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14845D0E">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6ED0C118">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91" w15:restartNumberingAfterBreak="0">
    <w:nsid w:val="762069EC"/>
    <w:multiLevelType w:val="multilevel"/>
    <w:tmpl w:val="9D5EC2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2" w15:restartNumberingAfterBreak="0">
    <w:nsid w:val="76A74228"/>
    <w:multiLevelType w:val="hybridMultilevel"/>
    <w:tmpl w:val="9094F64C"/>
    <w:lvl w:ilvl="0" w:tplc="620A72DA">
      <w:start w:val="1"/>
      <w:numFmt w:val="decimal"/>
      <w:lvlText w:val="%1."/>
      <w:lvlJc w:val="left"/>
      <w:pPr>
        <w:ind w:left="360" w:hanging="360"/>
      </w:pPr>
      <w:rPr>
        <w:rFonts w:hint="default"/>
        <w:b w:val="0"/>
        <w:bCs/>
        <w:sz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93" w15:restartNumberingAfterBreak="0">
    <w:nsid w:val="771648A1"/>
    <w:multiLevelType w:val="multilevel"/>
    <w:tmpl w:val="7AFA27D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4" w15:restartNumberingAfterBreak="0">
    <w:nsid w:val="773A3463"/>
    <w:multiLevelType w:val="hybridMultilevel"/>
    <w:tmpl w:val="D0B09230"/>
    <w:styleLink w:val="20"/>
    <w:lvl w:ilvl="0" w:tplc="BACE247C">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EB00E002">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36AA9B4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F93ADCB8">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08B8D396">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DCC40BB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998AC2A2">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59CA0CF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03F63B2C">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95" w15:restartNumberingAfterBreak="0">
    <w:nsid w:val="773C1491"/>
    <w:multiLevelType w:val="hybridMultilevel"/>
    <w:tmpl w:val="9EAA61F2"/>
    <w:lvl w:ilvl="0" w:tplc="4FFCF9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96" w15:restartNumberingAfterBreak="0">
    <w:nsid w:val="77683201"/>
    <w:multiLevelType w:val="hybridMultilevel"/>
    <w:tmpl w:val="10B2E526"/>
    <w:lvl w:ilvl="0" w:tplc="F8F6C294">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97" w15:restartNumberingAfterBreak="0">
    <w:nsid w:val="777E774A"/>
    <w:multiLevelType w:val="multilevel"/>
    <w:tmpl w:val="220212AA"/>
    <w:lvl w:ilvl="0">
      <w:start w:val="1"/>
      <w:numFmt w:val="decimal"/>
      <w:lvlText w:val="%1."/>
      <w:lvlJc w:val="left"/>
      <w:pPr>
        <w:tabs>
          <w:tab w:val="num" w:pos="360"/>
        </w:tabs>
        <w:ind w:left="360" w:hanging="360"/>
      </w:pPr>
      <w:rPr>
        <w:rFonts w:ascii="Times New Roman" w:eastAsia="Times New Roman" w:hAnsi="Times New Roman" w:cs="Times New Roman"/>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98" w15:restartNumberingAfterBreak="0">
    <w:nsid w:val="77C3380F"/>
    <w:multiLevelType w:val="hybridMultilevel"/>
    <w:tmpl w:val="88326D5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99" w15:restartNumberingAfterBreak="0">
    <w:nsid w:val="77D617D5"/>
    <w:multiLevelType w:val="hybridMultilevel"/>
    <w:tmpl w:val="4FCA8CB8"/>
    <w:lvl w:ilvl="0" w:tplc="52FA948A">
      <w:start w:val="1"/>
      <w:numFmt w:val="decimal"/>
      <w:lvlText w:val="%1."/>
      <w:lvlJc w:val="left"/>
      <w:pPr>
        <w:ind w:left="720" w:hanging="360"/>
      </w:pPr>
      <w:rPr>
        <w:rFonts w:hint="default"/>
      </w:rPr>
    </w:lvl>
    <w:lvl w:ilvl="1" w:tplc="D81EA2F0" w:tentative="1">
      <w:start w:val="1"/>
      <w:numFmt w:val="lowerLetter"/>
      <w:lvlText w:val="%2."/>
      <w:lvlJc w:val="left"/>
      <w:pPr>
        <w:ind w:left="1440" w:hanging="360"/>
      </w:pPr>
    </w:lvl>
    <w:lvl w:ilvl="2" w:tplc="641281BC" w:tentative="1">
      <w:start w:val="1"/>
      <w:numFmt w:val="lowerRoman"/>
      <w:lvlText w:val="%3."/>
      <w:lvlJc w:val="right"/>
      <w:pPr>
        <w:ind w:left="2160" w:hanging="180"/>
      </w:pPr>
    </w:lvl>
    <w:lvl w:ilvl="3" w:tplc="705AAA72" w:tentative="1">
      <w:start w:val="1"/>
      <w:numFmt w:val="decimal"/>
      <w:lvlText w:val="%4."/>
      <w:lvlJc w:val="left"/>
      <w:pPr>
        <w:ind w:left="2880" w:hanging="360"/>
      </w:pPr>
    </w:lvl>
    <w:lvl w:ilvl="4" w:tplc="66D6BF5C" w:tentative="1">
      <w:start w:val="1"/>
      <w:numFmt w:val="lowerLetter"/>
      <w:lvlText w:val="%5."/>
      <w:lvlJc w:val="left"/>
      <w:pPr>
        <w:ind w:left="3600" w:hanging="360"/>
      </w:pPr>
    </w:lvl>
    <w:lvl w:ilvl="5" w:tplc="AA3A0F5C" w:tentative="1">
      <w:start w:val="1"/>
      <w:numFmt w:val="lowerRoman"/>
      <w:lvlText w:val="%6."/>
      <w:lvlJc w:val="right"/>
      <w:pPr>
        <w:ind w:left="4320" w:hanging="180"/>
      </w:pPr>
    </w:lvl>
    <w:lvl w:ilvl="6" w:tplc="B5F4F724" w:tentative="1">
      <w:start w:val="1"/>
      <w:numFmt w:val="decimal"/>
      <w:lvlText w:val="%7."/>
      <w:lvlJc w:val="left"/>
      <w:pPr>
        <w:ind w:left="5040" w:hanging="360"/>
      </w:pPr>
    </w:lvl>
    <w:lvl w:ilvl="7" w:tplc="CC6A89D4" w:tentative="1">
      <w:start w:val="1"/>
      <w:numFmt w:val="lowerLetter"/>
      <w:lvlText w:val="%8."/>
      <w:lvlJc w:val="left"/>
      <w:pPr>
        <w:ind w:left="5760" w:hanging="360"/>
      </w:pPr>
    </w:lvl>
    <w:lvl w:ilvl="8" w:tplc="F856C642" w:tentative="1">
      <w:start w:val="1"/>
      <w:numFmt w:val="lowerRoman"/>
      <w:lvlText w:val="%9."/>
      <w:lvlJc w:val="right"/>
      <w:pPr>
        <w:ind w:left="6480" w:hanging="180"/>
      </w:pPr>
    </w:lvl>
  </w:abstractNum>
  <w:abstractNum w:abstractNumId="800" w15:restartNumberingAfterBreak="0">
    <w:nsid w:val="78522EA0"/>
    <w:multiLevelType w:val="hybridMultilevel"/>
    <w:tmpl w:val="BEA2F7B4"/>
    <w:lvl w:ilvl="0" w:tplc="1686960A">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01" w15:restartNumberingAfterBreak="0">
    <w:nsid w:val="78D95E51"/>
    <w:multiLevelType w:val="hybridMultilevel"/>
    <w:tmpl w:val="0C6A8A2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02" w15:restartNumberingAfterBreak="0">
    <w:nsid w:val="78E6593F"/>
    <w:multiLevelType w:val="multilevel"/>
    <w:tmpl w:val="2940EE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803" w15:restartNumberingAfterBreak="0">
    <w:nsid w:val="78E82992"/>
    <w:multiLevelType w:val="hybridMultilevel"/>
    <w:tmpl w:val="0AC0AD90"/>
    <w:lvl w:ilvl="0" w:tplc="90AE0002">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04" w15:restartNumberingAfterBreak="0">
    <w:nsid w:val="792F5C68"/>
    <w:multiLevelType w:val="hybridMultilevel"/>
    <w:tmpl w:val="4E440D86"/>
    <w:lvl w:ilvl="0" w:tplc="2F9CDB1E">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05" w15:restartNumberingAfterBreak="0">
    <w:nsid w:val="793540B3"/>
    <w:multiLevelType w:val="hybridMultilevel"/>
    <w:tmpl w:val="3F10A506"/>
    <w:lvl w:ilvl="0" w:tplc="0422000F">
      <w:numFmt w:val="bullet"/>
      <w:lvlText w:val="-"/>
      <w:lvlJc w:val="left"/>
      <w:pPr>
        <w:ind w:left="720" w:hanging="360"/>
      </w:pPr>
      <w:rPr>
        <w:rFonts w:ascii="Times New Roman" w:eastAsiaTheme="minorHAnsi" w:hAnsi="Times New Roman" w:cs="Times New Roman" w:hint="default"/>
      </w:rPr>
    </w:lvl>
    <w:lvl w:ilvl="1" w:tplc="04220019" w:tentative="1">
      <w:start w:val="1"/>
      <w:numFmt w:val="bullet"/>
      <w:lvlText w:val="o"/>
      <w:lvlJc w:val="left"/>
      <w:pPr>
        <w:ind w:left="1440" w:hanging="360"/>
      </w:pPr>
      <w:rPr>
        <w:rFonts w:ascii="Courier New" w:hAnsi="Courier New" w:cs="Courier New" w:hint="default"/>
      </w:rPr>
    </w:lvl>
    <w:lvl w:ilvl="2" w:tplc="0422001B" w:tentative="1">
      <w:start w:val="1"/>
      <w:numFmt w:val="bullet"/>
      <w:lvlText w:val=""/>
      <w:lvlJc w:val="left"/>
      <w:pPr>
        <w:ind w:left="2160" w:hanging="360"/>
      </w:pPr>
      <w:rPr>
        <w:rFonts w:ascii="Wingdings" w:hAnsi="Wingdings" w:hint="default"/>
      </w:rPr>
    </w:lvl>
    <w:lvl w:ilvl="3" w:tplc="0422000F" w:tentative="1">
      <w:start w:val="1"/>
      <w:numFmt w:val="bullet"/>
      <w:lvlText w:val=""/>
      <w:lvlJc w:val="left"/>
      <w:pPr>
        <w:ind w:left="2880" w:hanging="360"/>
      </w:pPr>
      <w:rPr>
        <w:rFonts w:ascii="Symbol" w:hAnsi="Symbol" w:hint="default"/>
      </w:rPr>
    </w:lvl>
    <w:lvl w:ilvl="4" w:tplc="04220019" w:tentative="1">
      <w:start w:val="1"/>
      <w:numFmt w:val="bullet"/>
      <w:lvlText w:val="o"/>
      <w:lvlJc w:val="left"/>
      <w:pPr>
        <w:ind w:left="3600" w:hanging="360"/>
      </w:pPr>
      <w:rPr>
        <w:rFonts w:ascii="Courier New" w:hAnsi="Courier New" w:cs="Courier New" w:hint="default"/>
      </w:rPr>
    </w:lvl>
    <w:lvl w:ilvl="5" w:tplc="0422001B" w:tentative="1">
      <w:start w:val="1"/>
      <w:numFmt w:val="bullet"/>
      <w:lvlText w:val=""/>
      <w:lvlJc w:val="left"/>
      <w:pPr>
        <w:ind w:left="4320" w:hanging="360"/>
      </w:pPr>
      <w:rPr>
        <w:rFonts w:ascii="Wingdings" w:hAnsi="Wingdings" w:hint="default"/>
      </w:rPr>
    </w:lvl>
    <w:lvl w:ilvl="6" w:tplc="0422000F" w:tentative="1">
      <w:start w:val="1"/>
      <w:numFmt w:val="bullet"/>
      <w:lvlText w:val=""/>
      <w:lvlJc w:val="left"/>
      <w:pPr>
        <w:ind w:left="5040" w:hanging="360"/>
      </w:pPr>
      <w:rPr>
        <w:rFonts w:ascii="Symbol" w:hAnsi="Symbol" w:hint="default"/>
      </w:rPr>
    </w:lvl>
    <w:lvl w:ilvl="7" w:tplc="04220019" w:tentative="1">
      <w:start w:val="1"/>
      <w:numFmt w:val="bullet"/>
      <w:lvlText w:val="o"/>
      <w:lvlJc w:val="left"/>
      <w:pPr>
        <w:ind w:left="5760" w:hanging="360"/>
      </w:pPr>
      <w:rPr>
        <w:rFonts w:ascii="Courier New" w:hAnsi="Courier New" w:cs="Courier New" w:hint="default"/>
      </w:rPr>
    </w:lvl>
    <w:lvl w:ilvl="8" w:tplc="0422001B" w:tentative="1">
      <w:start w:val="1"/>
      <w:numFmt w:val="bullet"/>
      <w:lvlText w:val=""/>
      <w:lvlJc w:val="left"/>
      <w:pPr>
        <w:ind w:left="6480" w:hanging="360"/>
      </w:pPr>
      <w:rPr>
        <w:rFonts w:ascii="Wingdings" w:hAnsi="Wingdings" w:hint="default"/>
      </w:rPr>
    </w:lvl>
  </w:abstractNum>
  <w:abstractNum w:abstractNumId="806" w15:restartNumberingAfterBreak="0">
    <w:nsid w:val="799D5C98"/>
    <w:multiLevelType w:val="hybridMultilevel"/>
    <w:tmpl w:val="D49CDD3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07" w15:restartNumberingAfterBreak="0">
    <w:nsid w:val="799F1B2A"/>
    <w:multiLevelType w:val="hybridMultilevel"/>
    <w:tmpl w:val="D504956A"/>
    <w:lvl w:ilvl="0" w:tplc="CA92C2FC">
      <w:start w:val="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808" w15:restartNumberingAfterBreak="0">
    <w:nsid w:val="79EC1A7E"/>
    <w:multiLevelType w:val="hybridMultilevel"/>
    <w:tmpl w:val="E564C5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09" w15:restartNumberingAfterBreak="0">
    <w:nsid w:val="79F577E5"/>
    <w:multiLevelType w:val="hybridMultilevel"/>
    <w:tmpl w:val="CF14B2E2"/>
    <w:lvl w:ilvl="0" w:tplc="B4F4AAF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10" w15:restartNumberingAfterBreak="0">
    <w:nsid w:val="79FE53BD"/>
    <w:multiLevelType w:val="multilevel"/>
    <w:tmpl w:val="654804F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1" w15:restartNumberingAfterBreak="0">
    <w:nsid w:val="7A351EF0"/>
    <w:multiLevelType w:val="hybridMultilevel"/>
    <w:tmpl w:val="2CDC7F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2" w15:restartNumberingAfterBreak="0">
    <w:nsid w:val="7A6F5504"/>
    <w:multiLevelType w:val="multilevel"/>
    <w:tmpl w:val="A68818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813" w15:restartNumberingAfterBreak="0">
    <w:nsid w:val="7AA308FE"/>
    <w:multiLevelType w:val="hybridMultilevel"/>
    <w:tmpl w:val="D0B09230"/>
    <w:lvl w:ilvl="0" w:tplc="5B4E231C">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4C1895DA">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443E9260">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0CA46C08">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DA36DC04">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08EC82B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72EB44C">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6A8E4506">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4900F70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14" w15:restartNumberingAfterBreak="0">
    <w:nsid w:val="7AD46274"/>
    <w:multiLevelType w:val="multilevel"/>
    <w:tmpl w:val="A4E8DE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5" w15:restartNumberingAfterBreak="0">
    <w:nsid w:val="7B0375B3"/>
    <w:multiLevelType w:val="multilevel"/>
    <w:tmpl w:val="34980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6" w15:restartNumberingAfterBreak="0">
    <w:nsid w:val="7B2476DE"/>
    <w:multiLevelType w:val="hybridMultilevel"/>
    <w:tmpl w:val="D4204F9E"/>
    <w:lvl w:ilvl="0" w:tplc="8934F2CE">
      <w:start w:val="1"/>
      <w:numFmt w:val="decimal"/>
      <w:lvlText w:val="%1."/>
      <w:lvlJc w:val="left"/>
      <w:pPr>
        <w:ind w:left="360" w:hanging="360"/>
      </w:pPr>
    </w:lvl>
    <w:lvl w:ilvl="1" w:tplc="826AB9DE" w:tentative="1">
      <w:start w:val="1"/>
      <w:numFmt w:val="lowerLetter"/>
      <w:lvlText w:val="%2."/>
      <w:lvlJc w:val="left"/>
      <w:pPr>
        <w:ind w:left="1080" w:hanging="360"/>
      </w:pPr>
    </w:lvl>
    <w:lvl w:ilvl="2" w:tplc="073CF1E2" w:tentative="1">
      <w:start w:val="1"/>
      <w:numFmt w:val="lowerRoman"/>
      <w:lvlText w:val="%3."/>
      <w:lvlJc w:val="right"/>
      <w:pPr>
        <w:ind w:left="1800" w:hanging="180"/>
      </w:pPr>
    </w:lvl>
    <w:lvl w:ilvl="3" w:tplc="329AAD52" w:tentative="1">
      <w:start w:val="1"/>
      <w:numFmt w:val="decimal"/>
      <w:lvlText w:val="%4."/>
      <w:lvlJc w:val="left"/>
      <w:pPr>
        <w:ind w:left="2520" w:hanging="360"/>
      </w:pPr>
    </w:lvl>
    <w:lvl w:ilvl="4" w:tplc="8EA269CE" w:tentative="1">
      <w:start w:val="1"/>
      <w:numFmt w:val="lowerLetter"/>
      <w:lvlText w:val="%5."/>
      <w:lvlJc w:val="left"/>
      <w:pPr>
        <w:ind w:left="3240" w:hanging="360"/>
      </w:pPr>
    </w:lvl>
    <w:lvl w:ilvl="5" w:tplc="9318A660" w:tentative="1">
      <w:start w:val="1"/>
      <w:numFmt w:val="lowerRoman"/>
      <w:lvlText w:val="%6."/>
      <w:lvlJc w:val="right"/>
      <w:pPr>
        <w:ind w:left="3960" w:hanging="180"/>
      </w:pPr>
    </w:lvl>
    <w:lvl w:ilvl="6" w:tplc="522AAE18" w:tentative="1">
      <w:start w:val="1"/>
      <w:numFmt w:val="decimal"/>
      <w:lvlText w:val="%7."/>
      <w:lvlJc w:val="left"/>
      <w:pPr>
        <w:ind w:left="4680" w:hanging="360"/>
      </w:pPr>
    </w:lvl>
    <w:lvl w:ilvl="7" w:tplc="46DE4882" w:tentative="1">
      <w:start w:val="1"/>
      <w:numFmt w:val="lowerLetter"/>
      <w:lvlText w:val="%8."/>
      <w:lvlJc w:val="left"/>
      <w:pPr>
        <w:ind w:left="5400" w:hanging="360"/>
      </w:pPr>
    </w:lvl>
    <w:lvl w:ilvl="8" w:tplc="1458E46A" w:tentative="1">
      <w:start w:val="1"/>
      <w:numFmt w:val="lowerRoman"/>
      <w:lvlText w:val="%9."/>
      <w:lvlJc w:val="right"/>
      <w:pPr>
        <w:ind w:left="6120" w:hanging="180"/>
      </w:pPr>
    </w:lvl>
  </w:abstractNum>
  <w:abstractNum w:abstractNumId="817" w15:restartNumberingAfterBreak="0">
    <w:nsid w:val="7B570F99"/>
    <w:multiLevelType w:val="multilevel"/>
    <w:tmpl w:val="3D2E58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8" w15:restartNumberingAfterBreak="0">
    <w:nsid w:val="7B8B5666"/>
    <w:multiLevelType w:val="hybridMultilevel"/>
    <w:tmpl w:val="6F78AE0A"/>
    <w:lvl w:ilvl="0" w:tplc="50204C34">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9" w15:restartNumberingAfterBreak="0">
    <w:nsid w:val="7BE25C02"/>
    <w:multiLevelType w:val="multilevel"/>
    <w:tmpl w:val="FFFFFFFF"/>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20" w15:restartNumberingAfterBreak="0">
    <w:nsid w:val="7BEA242C"/>
    <w:multiLevelType w:val="hybridMultilevel"/>
    <w:tmpl w:val="D91CABF0"/>
    <w:lvl w:ilvl="0" w:tplc="B7642898">
      <w:start w:val="1"/>
      <w:numFmt w:val="decimal"/>
      <w:lvlText w:val="%1."/>
      <w:lvlJc w:val="left"/>
      <w:pPr>
        <w:ind w:left="804" w:hanging="444"/>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21" w15:restartNumberingAfterBreak="0">
    <w:nsid w:val="7BFB2D19"/>
    <w:multiLevelType w:val="multilevel"/>
    <w:tmpl w:val="B07653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2" w15:restartNumberingAfterBreak="0">
    <w:nsid w:val="7C1A32D1"/>
    <w:multiLevelType w:val="hybridMultilevel"/>
    <w:tmpl w:val="BB52BCEC"/>
    <w:lvl w:ilvl="0" w:tplc="4F002BEA">
      <w:start w:val="1"/>
      <w:numFmt w:val="decimal"/>
      <w:lvlText w:val="%1."/>
      <w:lvlJc w:val="left"/>
      <w:pPr>
        <w:ind w:left="1069" w:hanging="360"/>
      </w:pPr>
      <w:rPr>
        <w:rFonts w:hint="default"/>
        <w:b w:val="0"/>
        <w:bCs/>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23" w15:restartNumberingAfterBreak="0">
    <w:nsid w:val="7C3856F5"/>
    <w:multiLevelType w:val="hybridMultilevel"/>
    <w:tmpl w:val="FFFFFFFF"/>
    <w:lvl w:ilvl="0" w:tplc="0422000F">
      <w:start w:val="1"/>
      <w:numFmt w:val="decimal"/>
      <w:lvlText w:val="%1."/>
      <w:lvlJc w:val="left"/>
      <w:pPr>
        <w:ind w:left="1428" w:hanging="360"/>
      </w:pPr>
    </w:lvl>
    <w:lvl w:ilvl="1" w:tplc="04220019">
      <w:start w:val="1"/>
      <w:numFmt w:val="lowerLetter"/>
      <w:lvlText w:val="%2."/>
      <w:lvlJc w:val="left"/>
      <w:pPr>
        <w:ind w:left="2148" w:hanging="360"/>
      </w:pPr>
    </w:lvl>
    <w:lvl w:ilvl="2" w:tplc="0422001B">
      <w:start w:val="1"/>
      <w:numFmt w:val="lowerRoman"/>
      <w:lvlText w:val="%3."/>
      <w:lvlJc w:val="right"/>
      <w:pPr>
        <w:ind w:left="2868" w:hanging="180"/>
      </w:pPr>
    </w:lvl>
    <w:lvl w:ilvl="3" w:tplc="0422000F">
      <w:start w:val="1"/>
      <w:numFmt w:val="decimal"/>
      <w:lvlText w:val="%4."/>
      <w:lvlJc w:val="left"/>
      <w:pPr>
        <w:ind w:left="3588" w:hanging="360"/>
      </w:pPr>
    </w:lvl>
    <w:lvl w:ilvl="4" w:tplc="04220019">
      <w:start w:val="1"/>
      <w:numFmt w:val="lowerLetter"/>
      <w:lvlText w:val="%5."/>
      <w:lvlJc w:val="left"/>
      <w:pPr>
        <w:ind w:left="4308" w:hanging="360"/>
      </w:pPr>
    </w:lvl>
    <w:lvl w:ilvl="5" w:tplc="0422001B">
      <w:start w:val="1"/>
      <w:numFmt w:val="lowerRoman"/>
      <w:lvlText w:val="%6."/>
      <w:lvlJc w:val="right"/>
      <w:pPr>
        <w:ind w:left="5028" w:hanging="180"/>
      </w:pPr>
    </w:lvl>
    <w:lvl w:ilvl="6" w:tplc="0422000F">
      <w:start w:val="1"/>
      <w:numFmt w:val="decimal"/>
      <w:lvlText w:val="%7."/>
      <w:lvlJc w:val="left"/>
      <w:pPr>
        <w:ind w:left="5748" w:hanging="360"/>
      </w:pPr>
    </w:lvl>
    <w:lvl w:ilvl="7" w:tplc="04220019">
      <w:start w:val="1"/>
      <w:numFmt w:val="lowerLetter"/>
      <w:lvlText w:val="%8."/>
      <w:lvlJc w:val="left"/>
      <w:pPr>
        <w:ind w:left="6468" w:hanging="360"/>
      </w:pPr>
    </w:lvl>
    <w:lvl w:ilvl="8" w:tplc="0422001B">
      <w:start w:val="1"/>
      <w:numFmt w:val="lowerRoman"/>
      <w:lvlText w:val="%9."/>
      <w:lvlJc w:val="right"/>
      <w:pPr>
        <w:ind w:left="7188" w:hanging="180"/>
      </w:pPr>
    </w:lvl>
  </w:abstractNum>
  <w:abstractNum w:abstractNumId="824" w15:restartNumberingAfterBreak="0">
    <w:nsid w:val="7CE10838"/>
    <w:multiLevelType w:val="hybridMultilevel"/>
    <w:tmpl w:val="1C44C7CC"/>
    <w:lvl w:ilvl="0" w:tplc="81DA2C24">
      <w:start w:val="1"/>
      <w:numFmt w:val="bullet"/>
      <w:lvlText w:val="‒"/>
      <w:lvlJc w:val="left"/>
      <w:pPr>
        <w:ind w:left="1429" w:hanging="360"/>
      </w:pPr>
      <w:rPr>
        <w:rFonts w:ascii="Times New Roman" w:hAnsi="Times New Roman" w:cs="Times New Roman" w:hint="default"/>
      </w:rPr>
    </w:lvl>
    <w:lvl w:ilvl="1" w:tplc="7320346E">
      <w:numFmt w:val="bullet"/>
      <w:lvlText w:val="•"/>
      <w:lvlJc w:val="left"/>
      <w:pPr>
        <w:ind w:left="2149" w:hanging="36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25" w15:restartNumberingAfterBreak="0">
    <w:nsid w:val="7D00409A"/>
    <w:multiLevelType w:val="hybridMultilevel"/>
    <w:tmpl w:val="2758E25A"/>
    <w:styleLink w:val="3"/>
    <w:lvl w:ilvl="0" w:tplc="4C7A3610">
      <w:start w:val="1"/>
      <w:numFmt w:val="decimal"/>
      <w:lvlText w:val="%1."/>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 w:ilvl="1" w:tplc="8A74F236">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 w:ilvl="2" w:tplc="933E22F6">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 w:ilvl="3" w:tplc="C338F7A4">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 w:ilvl="4" w:tplc="06AA2BE4">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 w:ilvl="5" w:tplc="5608EEB4">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 w:ilvl="6" w:tplc="39980492">
      <w:start w:val="1"/>
      <w:numFmt w:val="decimal"/>
      <w:lvlText w:val="%7."/>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s>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 w:ilvl="7" w:tplc="D3948DA2">
      <w:start w:val="1"/>
      <w:numFmt w:val="decimal"/>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 w:ilvl="8" w:tplc="F88228E8">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26" w15:restartNumberingAfterBreak="0">
    <w:nsid w:val="7D14487F"/>
    <w:multiLevelType w:val="hybridMultilevel"/>
    <w:tmpl w:val="7500F5DA"/>
    <w:lvl w:ilvl="0" w:tplc="2E5288FE">
      <w:start w:val="1"/>
      <w:numFmt w:val="decimal"/>
      <w:lvlText w:val="%1."/>
      <w:lvlJc w:val="left"/>
      <w:pPr>
        <w:ind w:left="1211" w:hanging="360"/>
      </w:pPr>
      <w:rPr>
        <w:rFonts w:ascii="Arial" w:hAnsi="Arial" w:cs="Arial" w:hint="default"/>
        <w:color w:val="auto"/>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827" w15:restartNumberingAfterBreak="0">
    <w:nsid w:val="7D230499"/>
    <w:multiLevelType w:val="hybridMultilevel"/>
    <w:tmpl w:val="1F6249A2"/>
    <w:lvl w:ilvl="0" w:tplc="3078BF3E">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28" w15:restartNumberingAfterBreak="0">
    <w:nsid w:val="7D8B11B8"/>
    <w:multiLevelType w:val="multilevel"/>
    <w:tmpl w:val="E3DC29CA"/>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29" w15:restartNumberingAfterBreak="0">
    <w:nsid w:val="7DD06157"/>
    <w:multiLevelType w:val="hybridMultilevel"/>
    <w:tmpl w:val="2072FC9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30" w15:restartNumberingAfterBreak="0">
    <w:nsid w:val="7DF5663B"/>
    <w:multiLevelType w:val="hybridMultilevel"/>
    <w:tmpl w:val="576089BA"/>
    <w:lvl w:ilvl="0" w:tplc="E0687300">
      <w:start w:val="1"/>
      <w:numFmt w:val="decimal"/>
      <w:lvlText w:val="%1."/>
      <w:lvlJc w:val="left"/>
      <w:pPr>
        <w:ind w:left="721" w:hanging="500"/>
      </w:pPr>
      <w:rPr>
        <w:rFonts w:ascii="Times New Roman" w:eastAsia="Times New Roman" w:hAnsi="Times New Roman" w:cs="Times New Roman" w:hint="default"/>
        <w:b w:val="0"/>
        <w:bCs w:val="0"/>
        <w:i w:val="0"/>
        <w:iCs w:val="0"/>
        <w:spacing w:val="0"/>
        <w:w w:val="100"/>
        <w:sz w:val="28"/>
        <w:szCs w:val="28"/>
        <w:lang w:val="uk-UA" w:eastAsia="en-US" w:bidi="ar-SA"/>
      </w:rPr>
    </w:lvl>
    <w:lvl w:ilvl="1" w:tplc="3C4EF228">
      <w:numFmt w:val="bullet"/>
      <w:lvlText w:val="•"/>
      <w:lvlJc w:val="left"/>
      <w:pPr>
        <w:ind w:left="1625" w:hanging="500"/>
      </w:pPr>
      <w:rPr>
        <w:rFonts w:hint="default"/>
        <w:lang w:val="uk-UA" w:eastAsia="en-US" w:bidi="ar-SA"/>
      </w:rPr>
    </w:lvl>
    <w:lvl w:ilvl="2" w:tplc="884A0CB0">
      <w:numFmt w:val="bullet"/>
      <w:lvlText w:val="•"/>
      <w:lvlJc w:val="left"/>
      <w:pPr>
        <w:ind w:left="2531" w:hanging="500"/>
      </w:pPr>
      <w:rPr>
        <w:rFonts w:hint="default"/>
        <w:lang w:val="uk-UA" w:eastAsia="en-US" w:bidi="ar-SA"/>
      </w:rPr>
    </w:lvl>
    <w:lvl w:ilvl="3" w:tplc="1AAA4280">
      <w:numFmt w:val="bullet"/>
      <w:lvlText w:val="•"/>
      <w:lvlJc w:val="left"/>
      <w:pPr>
        <w:ind w:left="3436" w:hanging="500"/>
      </w:pPr>
      <w:rPr>
        <w:rFonts w:hint="default"/>
        <w:lang w:val="uk-UA" w:eastAsia="en-US" w:bidi="ar-SA"/>
      </w:rPr>
    </w:lvl>
    <w:lvl w:ilvl="4" w:tplc="B14AEA18">
      <w:numFmt w:val="bullet"/>
      <w:lvlText w:val="•"/>
      <w:lvlJc w:val="left"/>
      <w:pPr>
        <w:ind w:left="4342" w:hanging="500"/>
      </w:pPr>
      <w:rPr>
        <w:rFonts w:hint="default"/>
        <w:lang w:val="uk-UA" w:eastAsia="en-US" w:bidi="ar-SA"/>
      </w:rPr>
    </w:lvl>
    <w:lvl w:ilvl="5" w:tplc="1DA241B4">
      <w:numFmt w:val="bullet"/>
      <w:lvlText w:val="•"/>
      <w:lvlJc w:val="left"/>
      <w:pPr>
        <w:ind w:left="5247" w:hanging="500"/>
      </w:pPr>
      <w:rPr>
        <w:rFonts w:hint="default"/>
        <w:lang w:val="uk-UA" w:eastAsia="en-US" w:bidi="ar-SA"/>
      </w:rPr>
    </w:lvl>
    <w:lvl w:ilvl="6" w:tplc="2550B3B4">
      <w:numFmt w:val="bullet"/>
      <w:lvlText w:val="•"/>
      <w:lvlJc w:val="left"/>
      <w:pPr>
        <w:ind w:left="6153" w:hanging="500"/>
      </w:pPr>
      <w:rPr>
        <w:rFonts w:hint="default"/>
        <w:lang w:val="uk-UA" w:eastAsia="en-US" w:bidi="ar-SA"/>
      </w:rPr>
    </w:lvl>
    <w:lvl w:ilvl="7" w:tplc="86DAB984">
      <w:numFmt w:val="bullet"/>
      <w:lvlText w:val="•"/>
      <w:lvlJc w:val="left"/>
      <w:pPr>
        <w:ind w:left="7058" w:hanging="500"/>
      </w:pPr>
      <w:rPr>
        <w:rFonts w:hint="default"/>
        <w:lang w:val="uk-UA" w:eastAsia="en-US" w:bidi="ar-SA"/>
      </w:rPr>
    </w:lvl>
    <w:lvl w:ilvl="8" w:tplc="A24E2696">
      <w:numFmt w:val="bullet"/>
      <w:lvlText w:val="•"/>
      <w:lvlJc w:val="left"/>
      <w:pPr>
        <w:ind w:left="7964" w:hanging="500"/>
      </w:pPr>
      <w:rPr>
        <w:rFonts w:hint="default"/>
        <w:lang w:val="uk-UA" w:eastAsia="en-US" w:bidi="ar-SA"/>
      </w:rPr>
    </w:lvl>
  </w:abstractNum>
  <w:abstractNum w:abstractNumId="831" w15:restartNumberingAfterBreak="0">
    <w:nsid w:val="7E3463BA"/>
    <w:multiLevelType w:val="hybridMultilevel"/>
    <w:tmpl w:val="307EB2F2"/>
    <w:styleLink w:val="Numbered"/>
    <w:lvl w:ilvl="0" w:tplc="34DC4688">
      <w:start w:val="1"/>
      <w:numFmt w:val="decimal"/>
      <w:lvlText w:val="%1."/>
      <w:lvlJc w:val="left"/>
      <w:pPr>
        <w:tabs>
          <w:tab w:val="left" w:pos="720"/>
          <w:tab w:val="num" w:pos="961"/>
          <w:tab w:val="left" w:pos="1440"/>
          <w:tab w:val="left" w:pos="2160"/>
          <w:tab w:val="left" w:pos="2880"/>
          <w:tab w:val="left" w:pos="3600"/>
          <w:tab w:val="left" w:pos="4320"/>
          <w:tab w:val="left" w:pos="5040"/>
          <w:tab w:val="left" w:pos="5760"/>
          <w:tab w:val="left" w:pos="6480"/>
          <w:tab w:val="left" w:pos="7200"/>
          <w:tab w:val="left" w:pos="7920"/>
          <w:tab w:val="left" w:pos="8640"/>
        </w:tabs>
        <w:ind w:left="253" w:firstLine="456"/>
      </w:pPr>
      <w:rPr>
        <w:rFonts w:hAnsi="Arial Unicode MS"/>
        <w:caps w:val="0"/>
        <w:smallCaps w:val="0"/>
        <w:strike w:val="0"/>
        <w:dstrike w:val="0"/>
        <w:outline w:val="0"/>
        <w:emboss w:val="0"/>
        <w:imprint w:val="0"/>
        <w:spacing w:val="0"/>
        <w:w w:val="100"/>
        <w:kern w:val="0"/>
        <w:position w:val="0"/>
        <w:highlight w:val="none"/>
        <w:vertAlign w:val="baseline"/>
      </w:rPr>
    </w:lvl>
    <w:lvl w:ilvl="1" w:tplc="1BE23548">
      <w:start w:val="1"/>
      <w:numFmt w:val="decimal"/>
      <w:lvlText w:val="%2."/>
      <w:lvlJc w:val="left"/>
      <w:pPr>
        <w:tabs>
          <w:tab w:val="left" w:pos="720"/>
          <w:tab w:val="left" w:pos="961"/>
          <w:tab w:val="left" w:pos="1440"/>
          <w:tab w:val="num" w:pos="1761"/>
          <w:tab w:val="left" w:pos="2160"/>
          <w:tab w:val="left" w:pos="2880"/>
          <w:tab w:val="left" w:pos="3600"/>
          <w:tab w:val="left" w:pos="4320"/>
          <w:tab w:val="left" w:pos="5040"/>
          <w:tab w:val="left" w:pos="5760"/>
          <w:tab w:val="left" w:pos="6480"/>
          <w:tab w:val="left" w:pos="7200"/>
          <w:tab w:val="left" w:pos="7920"/>
          <w:tab w:val="left" w:pos="8640"/>
        </w:tabs>
        <w:ind w:left="1053" w:firstLine="456"/>
      </w:pPr>
      <w:rPr>
        <w:rFonts w:hAnsi="Arial Unicode MS"/>
        <w:caps w:val="0"/>
        <w:smallCaps w:val="0"/>
        <w:strike w:val="0"/>
        <w:dstrike w:val="0"/>
        <w:outline w:val="0"/>
        <w:emboss w:val="0"/>
        <w:imprint w:val="0"/>
        <w:spacing w:val="0"/>
        <w:w w:val="100"/>
        <w:kern w:val="0"/>
        <w:position w:val="0"/>
        <w:highlight w:val="none"/>
        <w:vertAlign w:val="baseline"/>
      </w:rPr>
    </w:lvl>
    <w:lvl w:ilvl="2" w:tplc="8F308E8C">
      <w:start w:val="1"/>
      <w:numFmt w:val="decimal"/>
      <w:lvlText w:val="%3."/>
      <w:lvlJc w:val="left"/>
      <w:pPr>
        <w:tabs>
          <w:tab w:val="left" w:pos="720"/>
          <w:tab w:val="left" w:pos="961"/>
          <w:tab w:val="left" w:pos="1440"/>
          <w:tab w:val="left" w:pos="2160"/>
          <w:tab w:val="num" w:pos="2561"/>
          <w:tab w:val="left" w:pos="2880"/>
          <w:tab w:val="left" w:pos="3600"/>
          <w:tab w:val="left" w:pos="4320"/>
          <w:tab w:val="left" w:pos="5040"/>
          <w:tab w:val="left" w:pos="5760"/>
          <w:tab w:val="left" w:pos="6480"/>
          <w:tab w:val="left" w:pos="7200"/>
          <w:tab w:val="left" w:pos="7920"/>
          <w:tab w:val="left" w:pos="8640"/>
        </w:tabs>
        <w:ind w:left="1853" w:firstLine="456"/>
      </w:pPr>
      <w:rPr>
        <w:rFonts w:hAnsi="Arial Unicode MS"/>
        <w:caps w:val="0"/>
        <w:smallCaps w:val="0"/>
        <w:strike w:val="0"/>
        <w:dstrike w:val="0"/>
        <w:outline w:val="0"/>
        <w:emboss w:val="0"/>
        <w:imprint w:val="0"/>
        <w:spacing w:val="0"/>
        <w:w w:val="100"/>
        <w:kern w:val="0"/>
        <w:position w:val="0"/>
        <w:highlight w:val="none"/>
        <w:vertAlign w:val="baseline"/>
      </w:rPr>
    </w:lvl>
    <w:lvl w:ilvl="3" w:tplc="0B344CDA">
      <w:start w:val="1"/>
      <w:numFmt w:val="decimal"/>
      <w:lvlText w:val="%4."/>
      <w:lvlJc w:val="left"/>
      <w:pPr>
        <w:tabs>
          <w:tab w:val="left" w:pos="720"/>
          <w:tab w:val="left" w:pos="961"/>
          <w:tab w:val="left" w:pos="1440"/>
          <w:tab w:val="left" w:pos="2160"/>
          <w:tab w:val="left" w:pos="2880"/>
          <w:tab w:val="num" w:pos="3361"/>
          <w:tab w:val="left" w:pos="3600"/>
          <w:tab w:val="left" w:pos="4320"/>
          <w:tab w:val="left" w:pos="5040"/>
          <w:tab w:val="left" w:pos="5760"/>
          <w:tab w:val="left" w:pos="6480"/>
          <w:tab w:val="left" w:pos="7200"/>
          <w:tab w:val="left" w:pos="7920"/>
          <w:tab w:val="left" w:pos="8640"/>
        </w:tabs>
        <w:ind w:left="2653" w:firstLine="456"/>
      </w:pPr>
      <w:rPr>
        <w:rFonts w:hAnsi="Arial Unicode MS"/>
        <w:caps w:val="0"/>
        <w:smallCaps w:val="0"/>
        <w:strike w:val="0"/>
        <w:dstrike w:val="0"/>
        <w:outline w:val="0"/>
        <w:emboss w:val="0"/>
        <w:imprint w:val="0"/>
        <w:spacing w:val="0"/>
        <w:w w:val="100"/>
        <w:kern w:val="0"/>
        <w:position w:val="0"/>
        <w:highlight w:val="none"/>
        <w:vertAlign w:val="baseline"/>
      </w:rPr>
    </w:lvl>
    <w:lvl w:ilvl="4" w:tplc="95708792">
      <w:start w:val="1"/>
      <w:numFmt w:val="decimal"/>
      <w:lvlText w:val="%5."/>
      <w:lvlJc w:val="left"/>
      <w:pPr>
        <w:tabs>
          <w:tab w:val="left" w:pos="720"/>
          <w:tab w:val="left" w:pos="961"/>
          <w:tab w:val="left" w:pos="1440"/>
          <w:tab w:val="left" w:pos="2160"/>
          <w:tab w:val="left" w:pos="2880"/>
          <w:tab w:val="left" w:pos="3600"/>
          <w:tab w:val="num" w:pos="4161"/>
          <w:tab w:val="left" w:pos="4320"/>
          <w:tab w:val="left" w:pos="5040"/>
          <w:tab w:val="left" w:pos="5760"/>
          <w:tab w:val="left" w:pos="6480"/>
          <w:tab w:val="left" w:pos="7200"/>
          <w:tab w:val="left" w:pos="7920"/>
          <w:tab w:val="left" w:pos="8640"/>
        </w:tabs>
        <w:ind w:left="3453" w:firstLine="456"/>
      </w:pPr>
      <w:rPr>
        <w:rFonts w:hAnsi="Arial Unicode MS"/>
        <w:caps w:val="0"/>
        <w:smallCaps w:val="0"/>
        <w:strike w:val="0"/>
        <w:dstrike w:val="0"/>
        <w:outline w:val="0"/>
        <w:emboss w:val="0"/>
        <w:imprint w:val="0"/>
        <w:spacing w:val="0"/>
        <w:w w:val="100"/>
        <w:kern w:val="0"/>
        <w:position w:val="0"/>
        <w:highlight w:val="none"/>
        <w:vertAlign w:val="baseline"/>
      </w:rPr>
    </w:lvl>
    <w:lvl w:ilvl="5" w:tplc="580C2C96">
      <w:start w:val="1"/>
      <w:numFmt w:val="decimal"/>
      <w:lvlText w:val="%6."/>
      <w:lvlJc w:val="left"/>
      <w:pPr>
        <w:tabs>
          <w:tab w:val="left" w:pos="720"/>
          <w:tab w:val="left" w:pos="961"/>
          <w:tab w:val="left" w:pos="1440"/>
          <w:tab w:val="left" w:pos="2160"/>
          <w:tab w:val="left" w:pos="2880"/>
          <w:tab w:val="left" w:pos="3600"/>
          <w:tab w:val="left" w:pos="4320"/>
          <w:tab w:val="num" w:pos="4961"/>
          <w:tab w:val="left" w:pos="5040"/>
          <w:tab w:val="left" w:pos="5760"/>
          <w:tab w:val="left" w:pos="6480"/>
          <w:tab w:val="left" w:pos="7200"/>
          <w:tab w:val="left" w:pos="7920"/>
          <w:tab w:val="left" w:pos="8640"/>
        </w:tabs>
        <w:ind w:left="4253" w:firstLine="456"/>
      </w:pPr>
      <w:rPr>
        <w:rFonts w:hAnsi="Arial Unicode MS"/>
        <w:caps w:val="0"/>
        <w:smallCaps w:val="0"/>
        <w:strike w:val="0"/>
        <w:dstrike w:val="0"/>
        <w:outline w:val="0"/>
        <w:emboss w:val="0"/>
        <w:imprint w:val="0"/>
        <w:spacing w:val="0"/>
        <w:w w:val="100"/>
        <w:kern w:val="0"/>
        <w:position w:val="0"/>
        <w:highlight w:val="none"/>
        <w:vertAlign w:val="baseline"/>
      </w:rPr>
    </w:lvl>
    <w:lvl w:ilvl="6" w:tplc="DBF623D6">
      <w:start w:val="1"/>
      <w:numFmt w:val="decimal"/>
      <w:lvlText w:val="%7."/>
      <w:lvlJc w:val="left"/>
      <w:pPr>
        <w:tabs>
          <w:tab w:val="left" w:pos="720"/>
          <w:tab w:val="left" w:pos="961"/>
          <w:tab w:val="left" w:pos="1440"/>
          <w:tab w:val="left" w:pos="2160"/>
          <w:tab w:val="left" w:pos="2880"/>
          <w:tab w:val="left" w:pos="3600"/>
          <w:tab w:val="left" w:pos="4320"/>
          <w:tab w:val="left" w:pos="5040"/>
          <w:tab w:val="num" w:pos="5761"/>
          <w:tab w:val="left" w:pos="6480"/>
          <w:tab w:val="left" w:pos="7200"/>
          <w:tab w:val="left" w:pos="7920"/>
          <w:tab w:val="left" w:pos="8640"/>
        </w:tabs>
        <w:ind w:left="5053" w:firstLine="456"/>
      </w:pPr>
      <w:rPr>
        <w:rFonts w:hAnsi="Arial Unicode MS"/>
        <w:caps w:val="0"/>
        <w:smallCaps w:val="0"/>
        <w:strike w:val="0"/>
        <w:dstrike w:val="0"/>
        <w:outline w:val="0"/>
        <w:emboss w:val="0"/>
        <w:imprint w:val="0"/>
        <w:spacing w:val="0"/>
        <w:w w:val="100"/>
        <w:kern w:val="0"/>
        <w:position w:val="0"/>
        <w:highlight w:val="none"/>
        <w:vertAlign w:val="baseline"/>
      </w:rPr>
    </w:lvl>
    <w:lvl w:ilvl="7" w:tplc="117E5CCC">
      <w:start w:val="1"/>
      <w:numFmt w:val="decimal"/>
      <w:suff w:val="nothing"/>
      <w:lvlText w:val="%8."/>
      <w:lvlJc w:val="left"/>
      <w:pPr>
        <w:tabs>
          <w:tab w:val="left" w:pos="720"/>
          <w:tab w:val="left" w:pos="961"/>
          <w:tab w:val="left" w:pos="1440"/>
          <w:tab w:val="left" w:pos="2160"/>
          <w:tab w:val="left" w:pos="2880"/>
          <w:tab w:val="left" w:pos="3600"/>
          <w:tab w:val="left" w:pos="4320"/>
          <w:tab w:val="left" w:pos="5040"/>
          <w:tab w:val="left" w:pos="5760"/>
          <w:tab w:val="left" w:pos="6480"/>
          <w:tab w:val="left" w:pos="7200"/>
          <w:tab w:val="left" w:pos="7920"/>
          <w:tab w:val="left" w:pos="8640"/>
        </w:tabs>
        <w:ind w:left="5853" w:firstLine="588"/>
      </w:pPr>
      <w:rPr>
        <w:rFonts w:hAnsi="Arial Unicode MS"/>
        <w:caps w:val="0"/>
        <w:smallCaps w:val="0"/>
        <w:strike w:val="0"/>
        <w:dstrike w:val="0"/>
        <w:outline w:val="0"/>
        <w:emboss w:val="0"/>
        <w:imprint w:val="0"/>
        <w:spacing w:val="0"/>
        <w:w w:val="100"/>
        <w:kern w:val="0"/>
        <w:position w:val="0"/>
        <w:highlight w:val="none"/>
        <w:vertAlign w:val="baseline"/>
      </w:rPr>
    </w:lvl>
    <w:lvl w:ilvl="8" w:tplc="8A6CEB1E">
      <w:start w:val="1"/>
      <w:numFmt w:val="decimal"/>
      <w:lvlText w:val="%9."/>
      <w:lvlJc w:val="left"/>
      <w:pPr>
        <w:tabs>
          <w:tab w:val="left" w:pos="720"/>
          <w:tab w:val="left" w:pos="961"/>
          <w:tab w:val="left" w:pos="1440"/>
          <w:tab w:val="left" w:pos="2160"/>
          <w:tab w:val="left" w:pos="2880"/>
          <w:tab w:val="left" w:pos="3600"/>
          <w:tab w:val="left" w:pos="4320"/>
          <w:tab w:val="left" w:pos="5040"/>
          <w:tab w:val="left" w:pos="5760"/>
          <w:tab w:val="left" w:pos="6480"/>
          <w:tab w:val="left" w:pos="7200"/>
          <w:tab w:val="num" w:pos="7361"/>
          <w:tab w:val="left" w:pos="7920"/>
          <w:tab w:val="left" w:pos="8640"/>
        </w:tabs>
        <w:ind w:left="6653" w:firstLine="45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32" w15:restartNumberingAfterBreak="0">
    <w:nsid w:val="7E567675"/>
    <w:multiLevelType w:val="hybridMultilevel"/>
    <w:tmpl w:val="94BC7B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33" w15:restartNumberingAfterBreak="0">
    <w:nsid w:val="7F203C93"/>
    <w:multiLevelType w:val="hybridMultilevel"/>
    <w:tmpl w:val="E3CE19AC"/>
    <w:lvl w:ilvl="0" w:tplc="269488D8">
      <w:start w:val="1"/>
      <w:numFmt w:val="decimal"/>
      <w:lvlText w:val="%1."/>
      <w:lvlJc w:val="left"/>
      <w:pPr>
        <w:ind w:left="720" w:hanging="360"/>
      </w:pPr>
      <w:rPr>
        <w:rFonts w:ascii="Times New Roman" w:eastAsia="Times New Roman" w:hAnsi="Times New Roman" w:cs="Times New Roman" w:hint="default"/>
        <w:color w:val="222222"/>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34" w15:restartNumberingAfterBreak="0">
    <w:nsid w:val="7F21725E"/>
    <w:multiLevelType w:val="hybridMultilevel"/>
    <w:tmpl w:val="B45E0A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5" w15:restartNumberingAfterBreak="0">
    <w:nsid w:val="7F4A0E02"/>
    <w:multiLevelType w:val="hybridMultilevel"/>
    <w:tmpl w:val="8FD0C886"/>
    <w:lvl w:ilvl="0" w:tplc="5D4CBF3C">
      <w:start w:val="1"/>
      <w:numFmt w:val="decimal"/>
      <w:lvlText w:val="%1."/>
      <w:lvlJc w:val="left"/>
      <w:pPr>
        <w:ind w:left="1069"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6" w15:restartNumberingAfterBreak="0">
    <w:nsid w:val="7F5B158B"/>
    <w:multiLevelType w:val="hybridMultilevel"/>
    <w:tmpl w:val="57D85D5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37" w15:restartNumberingAfterBreak="0">
    <w:nsid w:val="7FDE4434"/>
    <w:multiLevelType w:val="hybridMultilevel"/>
    <w:tmpl w:val="9C04DFA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19"/>
  </w:num>
  <w:num w:numId="2">
    <w:abstractNumId w:val="671"/>
  </w:num>
  <w:num w:numId="3">
    <w:abstractNumId w:val="223"/>
  </w:num>
  <w:num w:numId="4">
    <w:abstractNumId w:val="515"/>
  </w:num>
  <w:num w:numId="5">
    <w:abstractNumId w:val="347"/>
  </w:num>
  <w:num w:numId="6">
    <w:abstractNumId w:val="752"/>
  </w:num>
  <w:num w:numId="7">
    <w:abstractNumId w:val="720"/>
  </w:num>
  <w:num w:numId="8">
    <w:abstractNumId w:val="392"/>
  </w:num>
  <w:num w:numId="9">
    <w:abstractNumId w:val="669"/>
  </w:num>
  <w:num w:numId="10">
    <w:abstractNumId w:val="26"/>
  </w:num>
  <w:num w:numId="11">
    <w:abstractNumId w:val="316"/>
  </w:num>
  <w:num w:numId="12">
    <w:abstractNumId w:val="263"/>
  </w:num>
  <w:num w:numId="13">
    <w:abstractNumId w:val="825"/>
  </w:num>
  <w:num w:numId="14">
    <w:abstractNumId w:val="128"/>
  </w:num>
  <w:num w:numId="15">
    <w:abstractNumId w:val="200"/>
  </w:num>
  <w:num w:numId="16">
    <w:abstractNumId w:val="467"/>
  </w:num>
  <w:num w:numId="17">
    <w:abstractNumId w:val="275"/>
  </w:num>
  <w:num w:numId="18">
    <w:abstractNumId w:val="52"/>
  </w:num>
  <w:num w:numId="19">
    <w:abstractNumId w:val="111"/>
  </w:num>
  <w:num w:numId="20">
    <w:abstractNumId w:val="672"/>
  </w:num>
  <w:num w:numId="21">
    <w:abstractNumId w:val="38"/>
  </w:num>
  <w:num w:numId="22">
    <w:abstractNumId w:val="230"/>
  </w:num>
  <w:num w:numId="23">
    <w:abstractNumId w:val="446"/>
  </w:num>
  <w:num w:numId="24">
    <w:abstractNumId w:val="474"/>
  </w:num>
  <w:num w:numId="25">
    <w:abstractNumId w:val="430"/>
  </w:num>
  <w:num w:numId="26">
    <w:abstractNumId w:val="543"/>
  </w:num>
  <w:num w:numId="27">
    <w:abstractNumId w:val="12"/>
  </w:num>
  <w:num w:numId="28">
    <w:abstractNumId w:val="16"/>
    <w:lvlOverride w:ilvl="0">
      <w:startOverride w:val="1"/>
    </w:lvlOverride>
  </w:num>
  <w:num w:numId="29">
    <w:abstractNumId w:val="14"/>
  </w:num>
  <w:num w:numId="30">
    <w:abstractNumId w:val="827"/>
  </w:num>
  <w:num w:numId="31">
    <w:abstractNumId w:val="731"/>
  </w:num>
  <w:num w:numId="32">
    <w:abstractNumId w:val="360"/>
  </w:num>
  <w:num w:numId="33">
    <w:abstractNumId w:val="463"/>
  </w:num>
  <w:num w:numId="34">
    <w:abstractNumId w:val="49"/>
  </w:num>
  <w:num w:numId="35">
    <w:abstractNumId w:val="206"/>
  </w:num>
  <w:num w:numId="36">
    <w:abstractNumId w:val="13"/>
  </w:num>
  <w:num w:numId="37">
    <w:abstractNumId w:val="349"/>
  </w:num>
  <w:num w:numId="38">
    <w:abstractNumId w:val="498"/>
  </w:num>
  <w:num w:numId="39">
    <w:abstractNumId w:val="77"/>
  </w:num>
  <w:num w:numId="40">
    <w:abstractNumId w:val="73"/>
  </w:num>
  <w:num w:numId="41">
    <w:abstractNumId w:val="15"/>
  </w:num>
  <w:num w:numId="42">
    <w:abstractNumId w:val="7"/>
  </w:num>
  <w:num w:numId="43">
    <w:abstractNumId w:val="9"/>
  </w:num>
  <w:num w:numId="44">
    <w:abstractNumId w:val="372"/>
  </w:num>
  <w:num w:numId="45">
    <w:abstractNumId w:val="558"/>
  </w:num>
  <w:num w:numId="46">
    <w:abstractNumId w:val="8"/>
  </w:num>
  <w:num w:numId="47">
    <w:abstractNumId w:val="811"/>
  </w:num>
  <w:num w:numId="48">
    <w:abstractNumId w:val="485"/>
  </w:num>
  <w:num w:numId="49">
    <w:abstractNumId w:val="32"/>
  </w:num>
  <w:num w:numId="50">
    <w:abstractNumId w:val="109"/>
  </w:num>
  <w:num w:numId="51">
    <w:abstractNumId w:val="374"/>
  </w:num>
  <w:num w:numId="52">
    <w:abstractNumId w:val="175"/>
  </w:num>
  <w:num w:numId="53">
    <w:abstractNumId w:val="7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70"/>
  </w:num>
  <w:num w:numId="55">
    <w:abstractNumId w:val="4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33"/>
  </w:num>
  <w:num w:numId="57">
    <w:abstractNumId w:val="30"/>
  </w:num>
  <w:num w:numId="58">
    <w:abstractNumId w:val="428"/>
  </w:num>
  <w:num w:numId="59">
    <w:abstractNumId w:val="240"/>
  </w:num>
  <w:num w:numId="60">
    <w:abstractNumId w:val="56"/>
  </w:num>
  <w:num w:numId="61">
    <w:abstractNumId w:val="236"/>
  </w:num>
  <w:num w:numId="62">
    <w:abstractNumId w:val="514"/>
  </w:num>
  <w:num w:numId="63">
    <w:abstractNumId w:val="353"/>
  </w:num>
  <w:num w:numId="64">
    <w:abstractNumId w:val="458"/>
  </w:num>
  <w:num w:numId="65">
    <w:abstractNumId w:val="831"/>
  </w:num>
  <w:num w:numId="66">
    <w:abstractNumId w:val="344"/>
  </w:num>
  <w:num w:numId="67">
    <w:abstractNumId w:val="566"/>
  </w:num>
  <w:num w:numId="68">
    <w:abstractNumId w:val="59"/>
  </w:num>
  <w:num w:numId="69">
    <w:abstractNumId w:val="519"/>
  </w:num>
  <w:num w:numId="70">
    <w:abstractNumId w:val="192"/>
  </w:num>
  <w:num w:numId="71">
    <w:abstractNumId w:val="255"/>
  </w:num>
  <w:num w:numId="72">
    <w:abstractNumId w:val="391"/>
  </w:num>
  <w:num w:numId="73">
    <w:abstractNumId w:val="160"/>
  </w:num>
  <w:num w:numId="74">
    <w:abstractNumId w:val="553"/>
  </w:num>
  <w:num w:numId="75">
    <w:abstractNumId w:val="764"/>
  </w:num>
  <w:num w:numId="76">
    <w:abstractNumId w:val="169"/>
  </w:num>
  <w:num w:numId="77">
    <w:abstractNumId w:val="759"/>
  </w:num>
  <w:num w:numId="78">
    <w:abstractNumId w:val="582"/>
  </w:num>
  <w:num w:numId="79">
    <w:abstractNumId w:val="799"/>
  </w:num>
  <w:num w:numId="80">
    <w:abstractNumId w:val="17"/>
  </w:num>
  <w:num w:numId="81">
    <w:abstractNumId w:val="165"/>
  </w:num>
  <w:num w:numId="82">
    <w:abstractNumId w:val="755"/>
  </w:num>
  <w:num w:numId="83">
    <w:abstractNumId w:val="203"/>
  </w:num>
  <w:num w:numId="84">
    <w:abstractNumId w:val="580"/>
  </w:num>
  <w:num w:numId="85">
    <w:abstractNumId w:val="644"/>
  </w:num>
  <w:num w:numId="86">
    <w:abstractNumId w:val="220"/>
  </w:num>
  <w:num w:numId="87">
    <w:abstractNumId w:val="552"/>
  </w:num>
  <w:num w:numId="88">
    <w:abstractNumId w:val="168"/>
  </w:num>
  <w:num w:numId="89">
    <w:abstractNumId w:val="657"/>
  </w:num>
  <w:num w:numId="90">
    <w:abstractNumId w:val="511"/>
  </w:num>
  <w:num w:numId="91">
    <w:abstractNumId w:val="656"/>
  </w:num>
  <w:num w:numId="92">
    <w:abstractNumId w:val="655"/>
  </w:num>
  <w:num w:numId="93">
    <w:abstractNumId w:val="149"/>
  </w:num>
  <w:num w:numId="94">
    <w:abstractNumId w:val="207"/>
  </w:num>
  <w:num w:numId="95">
    <w:abstractNumId w:val="679"/>
  </w:num>
  <w:num w:numId="96">
    <w:abstractNumId w:val="108"/>
  </w:num>
  <w:num w:numId="97">
    <w:abstractNumId w:val="33"/>
  </w:num>
  <w:num w:numId="98">
    <w:abstractNumId w:val="791"/>
  </w:num>
  <w:num w:numId="99">
    <w:abstractNumId w:val="676"/>
  </w:num>
  <w:num w:numId="100">
    <w:abstractNumId w:val="550"/>
  </w:num>
  <w:num w:numId="101">
    <w:abstractNumId w:val="45"/>
  </w:num>
  <w:num w:numId="102">
    <w:abstractNumId w:val="4"/>
  </w:num>
  <w:num w:numId="103">
    <w:abstractNumId w:val="130"/>
  </w:num>
  <w:num w:numId="104">
    <w:abstractNumId w:val="317"/>
  </w:num>
  <w:num w:numId="105">
    <w:abstractNumId w:val="805"/>
  </w:num>
  <w:num w:numId="106">
    <w:abstractNumId w:val="542"/>
  </w:num>
  <w:num w:numId="107">
    <w:abstractNumId w:val="107"/>
  </w:num>
  <w:num w:numId="108">
    <w:abstractNumId w:val="387"/>
  </w:num>
  <w:num w:numId="109">
    <w:abstractNumId w:val="576"/>
  </w:num>
  <w:num w:numId="110">
    <w:abstractNumId w:val="712"/>
  </w:num>
  <w:num w:numId="111">
    <w:abstractNumId w:val="404"/>
  </w:num>
  <w:num w:numId="112">
    <w:abstractNumId w:val="103"/>
  </w:num>
  <w:num w:numId="113">
    <w:abstractNumId w:val="483"/>
  </w:num>
  <w:num w:numId="114">
    <w:abstractNumId w:val="414"/>
  </w:num>
  <w:num w:numId="115">
    <w:abstractNumId w:val="776"/>
  </w:num>
  <w:num w:numId="116">
    <w:abstractNumId w:val="364"/>
  </w:num>
  <w:num w:numId="117">
    <w:abstractNumId w:val="409"/>
  </w:num>
  <w:num w:numId="118">
    <w:abstractNumId w:val="611"/>
  </w:num>
  <w:num w:numId="119">
    <w:abstractNumId w:val="402"/>
  </w:num>
  <w:num w:numId="120">
    <w:abstractNumId w:val="418"/>
  </w:num>
  <w:num w:numId="121">
    <w:abstractNumId w:val="324"/>
  </w:num>
  <w:num w:numId="122">
    <w:abstractNumId w:val="496"/>
  </w:num>
  <w:num w:numId="123">
    <w:abstractNumId w:val="689"/>
  </w:num>
  <w:num w:numId="124">
    <w:abstractNumId w:val="739"/>
  </w:num>
  <w:num w:numId="125">
    <w:abstractNumId w:val="125"/>
  </w:num>
  <w:num w:numId="126">
    <w:abstractNumId w:val="711"/>
  </w:num>
  <w:num w:numId="127">
    <w:abstractNumId w:val="673"/>
  </w:num>
  <w:num w:numId="128">
    <w:abstractNumId w:val="816"/>
  </w:num>
  <w:num w:numId="129">
    <w:abstractNumId w:val="361"/>
  </w:num>
  <w:num w:numId="130">
    <w:abstractNumId w:val="508"/>
  </w:num>
  <w:num w:numId="131">
    <w:abstractNumId w:val="742"/>
  </w:num>
  <w:num w:numId="132">
    <w:abstractNumId w:val="828"/>
  </w:num>
  <w:num w:numId="133">
    <w:abstractNumId w:val="447"/>
  </w:num>
  <w:num w:numId="134">
    <w:abstractNumId w:val="156"/>
  </w:num>
  <w:num w:numId="135">
    <w:abstractNumId w:val="735"/>
  </w:num>
  <w:num w:numId="136">
    <w:abstractNumId w:val="31"/>
  </w:num>
  <w:num w:numId="137">
    <w:abstractNumId w:val="134"/>
  </w:num>
  <w:num w:numId="138">
    <w:abstractNumId w:val="575"/>
  </w:num>
  <w:num w:numId="139">
    <w:abstractNumId w:val="641"/>
  </w:num>
  <w:num w:numId="140">
    <w:abstractNumId w:val="358"/>
  </w:num>
  <w:num w:numId="141">
    <w:abstractNumId w:val="399"/>
  </w:num>
  <w:num w:numId="142">
    <w:abstractNumId w:val="53"/>
  </w:num>
  <w:num w:numId="143">
    <w:abstractNumId w:val="18"/>
  </w:num>
  <w:num w:numId="144">
    <w:abstractNumId w:val="560"/>
  </w:num>
  <w:num w:numId="145">
    <w:abstractNumId w:val="775"/>
  </w:num>
  <w:num w:numId="146">
    <w:abstractNumId w:val="5"/>
  </w:num>
  <w:num w:numId="147">
    <w:abstractNumId w:val="167"/>
  </w:num>
  <w:num w:numId="148">
    <w:abstractNumId w:val="219"/>
  </w:num>
  <w:num w:numId="149">
    <w:abstractNumId w:val="229"/>
  </w:num>
  <w:num w:numId="150">
    <w:abstractNumId w:val="265"/>
  </w:num>
  <w:num w:numId="151">
    <w:abstractNumId w:val="277"/>
  </w:num>
  <w:num w:numId="152">
    <w:abstractNumId w:val="346"/>
  </w:num>
  <w:num w:numId="153">
    <w:abstractNumId w:val="729"/>
  </w:num>
  <w:num w:numId="154">
    <w:abstractNumId w:val="187"/>
  </w:num>
  <w:num w:numId="155">
    <w:abstractNumId w:val="127"/>
  </w:num>
  <w:num w:numId="156">
    <w:abstractNumId w:val="642"/>
  </w:num>
  <w:num w:numId="157">
    <w:abstractNumId w:val="815"/>
  </w:num>
  <w:num w:numId="158">
    <w:abstractNumId w:val="96"/>
  </w:num>
  <w:num w:numId="159">
    <w:abstractNumId w:val="785"/>
  </w:num>
  <w:num w:numId="160">
    <w:abstractNumId w:val="182"/>
  </w:num>
  <w:num w:numId="161">
    <w:abstractNumId w:val="666"/>
  </w:num>
  <w:num w:numId="162">
    <w:abstractNumId w:val="60"/>
  </w:num>
  <w:num w:numId="163">
    <w:abstractNumId w:val="153"/>
  </w:num>
  <w:num w:numId="164">
    <w:abstractNumId w:val="274"/>
  </w:num>
  <w:num w:numId="165">
    <w:abstractNumId w:val="790"/>
  </w:num>
  <w:num w:numId="166">
    <w:abstractNumId w:val="3"/>
  </w:num>
  <w:num w:numId="167">
    <w:abstractNumId w:val="328"/>
  </w:num>
  <w:num w:numId="168">
    <w:abstractNumId w:val="39"/>
  </w:num>
  <w:num w:numId="169">
    <w:abstractNumId w:val="197"/>
  </w:num>
  <w:num w:numId="170">
    <w:abstractNumId w:val="69"/>
  </w:num>
  <w:num w:numId="171">
    <w:abstractNumId w:val="830"/>
  </w:num>
  <w:num w:numId="172">
    <w:abstractNumId w:val="406"/>
  </w:num>
  <w:num w:numId="173">
    <w:abstractNumId w:val="654"/>
  </w:num>
  <w:num w:numId="174">
    <w:abstractNumId w:val="562"/>
  </w:num>
  <w:num w:numId="175">
    <w:abstractNumId w:val="459"/>
  </w:num>
  <w:num w:numId="176">
    <w:abstractNumId w:val="293"/>
  </w:num>
  <w:num w:numId="177">
    <w:abstractNumId w:val="233"/>
  </w:num>
  <w:num w:numId="178">
    <w:abstractNumId w:val="233"/>
    <w:lvlOverride w:ilvl="0">
      <w:startOverride w:val="1"/>
    </w:lvlOverride>
  </w:num>
  <w:num w:numId="179">
    <w:abstractNumId w:val="753"/>
  </w:num>
  <w:num w:numId="180">
    <w:abstractNumId w:val="253"/>
  </w:num>
  <w:num w:numId="181">
    <w:abstractNumId w:val="2"/>
  </w:num>
  <w:num w:numId="182">
    <w:abstractNumId w:val="276"/>
  </w:num>
  <w:num w:numId="183">
    <w:abstractNumId w:val="116"/>
  </w:num>
  <w:num w:numId="184">
    <w:abstractNumId w:val="702"/>
  </w:num>
  <w:num w:numId="185">
    <w:abstractNumId w:val="218"/>
  </w:num>
  <w:num w:numId="186">
    <w:abstractNumId w:val="65"/>
  </w:num>
  <w:num w:numId="187">
    <w:abstractNumId w:val="538"/>
  </w:num>
  <w:num w:numId="188">
    <w:abstractNumId w:val="770"/>
  </w:num>
  <w:num w:numId="189">
    <w:abstractNumId w:val="732"/>
  </w:num>
  <w:num w:numId="190">
    <w:abstractNumId w:val="455"/>
  </w:num>
  <w:num w:numId="191">
    <w:abstractNumId w:val="456"/>
  </w:num>
  <w:num w:numId="192">
    <w:abstractNumId w:val="389"/>
  </w:num>
  <w:num w:numId="193">
    <w:abstractNumId w:val="524"/>
  </w:num>
  <w:num w:numId="194">
    <w:abstractNumId w:val="302"/>
  </w:num>
  <w:num w:numId="195">
    <w:abstractNumId w:val="97"/>
  </w:num>
  <w:num w:numId="196">
    <w:abstractNumId w:val="92"/>
  </w:num>
  <w:num w:numId="197">
    <w:abstractNumId w:val="503"/>
  </w:num>
  <w:num w:numId="198">
    <w:abstractNumId w:val="568"/>
  </w:num>
  <w:num w:numId="199">
    <w:abstractNumId w:val="104"/>
  </w:num>
  <w:num w:numId="200">
    <w:abstractNumId w:val="385"/>
  </w:num>
  <w:num w:numId="201">
    <w:abstractNumId w:val="18"/>
    <w:lvlOverride w:ilvl="0">
      <w:startOverride w:val="1"/>
    </w:lvlOverride>
  </w:num>
  <w:num w:numId="202">
    <w:abstractNumId w:val="393"/>
  </w:num>
  <w:num w:numId="203">
    <w:abstractNumId w:val="521"/>
  </w:num>
  <w:num w:numId="204">
    <w:abstractNumId w:val="177"/>
  </w:num>
  <w:num w:numId="205">
    <w:abstractNumId w:val="48"/>
  </w:num>
  <w:num w:numId="206">
    <w:abstractNumId w:val="381"/>
  </w:num>
  <w:num w:numId="207">
    <w:abstractNumId w:val="497"/>
  </w:num>
  <w:num w:numId="208">
    <w:abstractNumId w:val="376"/>
  </w:num>
  <w:num w:numId="209">
    <w:abstractNumId w:val="606"/>
  </w:num>
  <w:num w:numId="210">
    <w:abstractNumId w:val="81"/>
  </w:num>
  <w:num w:numId="211">
    <w:abstractNumId w:val="147"/>
  </w:num>
  <w:num w:numId="212">
    <w:abstractNumId w:val="792"/>
  </w:num>
  <w:num w:numId="213">
    <w:abstractNumId w:val="46"/>
  </w:num>
  <w:num w:numId="214">
    <w:abstractNumId w:val="549"/>
  </w:num>
  <w:num w:numId="215">
    <w:abstractNumId w:val="567"/>
  </w:num>
  <w:num w:numId="216">
    <w:abstractNumId w:val="517"/>
  </w:num>
  <w:num w:numId="217">
    <w:abstractNumId w:val="202"/>
  </w:num>
  <w:num w:numId="218">
    <w:abstractNumId w:val="590"/>
  </w:num>
  <w:num w:numId="219">
    <w:abstractNumId w:val="5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12"/>
  </w:num>
  <w:num w:numId="221">
    <w:abstractNumId w:val="384"/>
  </w:num>
  <w:num w:numId="222">
    <w:abstractNumId w:val="630"/>
  </w:num>
  <w:num w:numId="223">
    <w:abstractNumId w:val="478"/>
  </w:num>
  <w:num w:numId="224">
    <w:abstractNumId w:val="786"/>
  </w:num>
  <w:num w:numId="225">
    <w:abstractNumId w:val="24"/>
  </w:num>
  <w:num w:numId="226">
    <w:abstractNumId w:val="327"/>
  </w:num>
  <w:num w:numId="227">
    <w:abstractNumId w:val="345"/>
  </w:num>
  <w:num w:numId="228">
    <w:abstractNumId w:val="461"/>
  </w:num>
  <w:num w:numId="229">
    <w:abstractNumId w:val="61"/>
  </w:num>
  <w:num w:numId="230">
    <w:abstractNumId w:val="199"/>
  </w:num>
  <w:num w:numId="231">
    <w:abstractNumId w:val="462"/>
  </w:num>
  <w:num w:numId="232">
    <w:abstractNumId w:val="252"/>
  </w:num>
  <w:num w:numId="233">
    <w:abstractNumId w:val="804"/>
  </w:num>
  <w:num w:numId="234">
    <w:abstractNumId w:val="42"/>
  </w:num>
  <w:num w:numId="235">
    <w:abstractNumId w:val="102"/>
  </w:num>
  <w:num w:numId="236">
    <w:abstractNumId w:val="261"/>
  </w:num>
  <w:num w:numId="237">
    <w:abstractNumId w:val="649"/>
  </w:num>
  <w:num w:numId="238">
    <w:abstractNumId w:val="629"/>
  </w:num>
  <w:num w:numId="239">
    <w:abstractNumId w:val="383"/>
  </w:num>
  <w:num w:numId="240">
    <w:abstractNumId w:val="90"/>
  </w:num>
  <w:num w:numId="241">
    <w:abstractNumId w:val="821"/>
  </w:num>
  <w:num w:numId="242">
    <w:abstractNumId w:val="412"/>
  </w:num>
  <w:num w:numId="243">
    <w:abstractNumId w:val="186"/>
  </w:num>
  <w:num w:numId="244">
    <w:abstractNumId w:val="259"/>
  </w:num>
  <w:num w:numId="245">
    <w:abstractNumId w:val="505"/>
  </w:num>
  <w:num w:numId="246">
    <w:abstractNumId w:val="794"/>
  </w:num>
  <w:num w:numId="247">
    <w:abstractNumId w:val="813"/>
  </w:num>
  <w:num w:numId="248">
    <w:abstractNumId w:val="571"/>
  </w:num>
  <w:num w:numId="249">
    <w:abstractNumId w:val="581"/>
  </w:num>
  <w:num w:numId="250">
    <w:abstractNumId w:val="403"/>
  </w:num>
  <w:num w:numId="251">
    <w:abstractNumId w:val="734"/>
  </w:num>
  <w:num w:numId="252">
    <w:abstractNumId w:val="632"/>
  </w:num>
  <w:num w:numId="253">
    <w:abstractNumId w:val="651"/>
  </w:num>
  <w:num w:numId="254">
    <w:abstractNumId w:val="688"/>
  </w:num>
  <w:num w:numId="255">
    <w:abstractNumId w:val="547"/>
  </w:num>
  <w:num w:numId="256">
    <w:abstractNumId w:val="603"/>
  </w:num>
  <w:num w:numId="257">
    <w:abstractNumId w:val="610"/>
  </w:num>
  <w:num w:numId="258">
    <w:abstractNumId w:val="546"/>
  </w:num>
  <w:num w:numId="259">
    <w:abstractNumId w:val="82"/>
  </w:num>
  <w:num w:numId="260">
    <w:abstractNumId w:val="100"/>
  </w:num>
  <w:num w:numId="261">
    <w:abstractNumId w:val="795"/>
  </w:num>
  <w:num w:numId="262">
    <w:abstractNumId w:val="579"/>
  </w:num>
  <w:num w:numId="263">
    <w:abstractNumId w:val="368"/>
  </w:num>
  <w:num w:numId="264">
    <w:abstractNumId w:val="382"/>
  </w:num>
  <w:num w:numId="265">
    <w:abstractNumId w:val="397"/>
  </w:num>
  <w:num w:numId="266">
    <w:abstractNumId w:val="211"/>
  </w:num>
  <w:num w:numId="267">
    <w:abstractNumId w:val="183"/>
  </w:num>
  <w:num w:numId="268">
    <w:abstractNumId w:val="394"/>
  </w:num>
  <w:num w:numId="269">
    <w:abstractNumId w:val="354"/>
  </w:num>
  <w:num w:numId="270">
    <w:abstractNumId w:val="540"/>
  </w:num>
  <w:num w:numId="271">
    <w:abstractNumId w:val="476"/>
  </w:num>
  <w:num w:numId="272">
    <w:abstractNumId w:val="789"/>
  </w:num>
  <w:num w:numId="273">
    <w:abstractNumId w:val="162"/>
  </w:num>
  <w:num w:numId="274">
    <w:abstractNumId w:val="40"/>
  </w:num>
  <w:num w:numId="275">
    <w:abstractNumId w:val="227"/>
  </w:num>
  <w:num w:numId="276">
    <w:abstractNumId w:val="118"/>
  </w:num>
  <w:num w:numId="277">
    <w:abstractNumId w:val="728"/>
  </w:num>
  <w:num w:numId="278">
    <w:abstractNumId w:val="457"/>
  </w:num>
  <w:num w:numId="279">
    <w:abstractNumId w:val="541"/>
  </w:num>
  <w:num w:numId="280">
    <w:abstractNumId w:val="355"/>
  </w:num>
  <w:num w:numId="281">
    <w:abstractNumId w:val="532"/>
  </w:num>
  <w:num w:numId="282">
    <w:abstractNumId w:val="262"/>
  </w:num>
  <w:num w:numId="283">
    <w:abstractNumId w:val="778"/>
  </w:num>
  <w:num w:numId="284">
    <w:abstractNumId w:val="634"/>
  </w:num>
  <w:num w:numId="285">
    <w:abstractNumId w:val="411"/>
  </w:num>
  <w:num w:numId="286">
    <w:abstractNumId w:val="244"/>
  </w:num>
  <w:num w:numId="287">
    <w:abstractNumId w:val="664"/>
  </w:num>
  <w:num w:numId="288">
    <w:abstractNumId w:val="468"/>
  </w:num>
  <w:num w:numId="289">
    <w:abstractNumId w:val="708"/>
  </w:num>
  <w:num w:numId="290">
    <w:abstractNumId w:val="234"/>
  </w:num>
  <w:num w:numId="291">
    <w:abstractNumId w:val="241"/>
  </w:num>
  <w:num w:numId="292">
    <w:abstractNumId w:val="512"/>
  </w:num>
  <w:num w:numId="293">
    <w:abstractNumId w:val="189"/>
  </w:num>
  <w:num w:numId="294">
    <w:abstractNumId w:val="285"/>
  </w:num>
  <w:num w:numId="295">
    <w:abstractNumId w:val="692"/>
  </w:num>
  <w:num w:numId="296">
    <w:abstractNumId w:val="557"/>
  </w:num>
  <w:num w:numId="297">
    <w:abstractNumId w:val="419"/>
  </w:num>
  <w:num w:numId="298">
    <w:abstractNumId w:val="588"/>
  </w:num>
  <w:num w:numId="299">
    <w:abstractNumId w:val="766"/>
  </w:num>
  <w:num w:numId="300">
    <w:abstractNumId w:val="395"/>
  </w:num>
  <w:num w:numId="301">
    <w:abstractNumId w:val="534"/>
  </w:num>
  <w:num w:numId="302">
    <w:abstractNumId w:val="307"/>
  </w:num>
  <w:num w:numId="303">
    <w:abstractNumId w:val="832"/>
  </w:num>
  <w:num w:numId="304">
    <w:abstractNumId w:val="441"/>
  </w:num>
  <w:num w:numId="305">
    <w:abstractNumId w:val="0"/>
  </w:num>
  <w:num w:numId="306">
    <w:abstractNumId w:val="150"/>
  </w:num>
  <w:num w:numId="307">
    <w:abstractNumId w:val="251"/>
  </w:num>
  <w:num w:numId="308">
    <w:abstractNumId w:val="747"/>
  </w:num>
  <w:num w:numId="309">
    <w:abstractNumId w:val="645"/>
  </w:num>
  <w:num w:numId="310">
    <w:abstractNumId w:val="533"/>
  </w:num>
  <w:num w:numId="311">
    <w:abstractNumId w:val="173"/>
  </w:num>
  <w:num w:numId="312">
    <w:abstractNumId w:val="68"/>
  </w:num>
  <w:num w:numId="313">
    <w:abstractNumId w:val="700"/>
  </w:num>
  <w:num w:numId="314">
    <w:abstractNumId w:val="98"/>
  </w:num>
  <w:num w:numId="315">
    <w:abstractNumId w:val="746"/>
  </w:num>
  <w:num w:numId="316">
    <w:abstractNumId w:val="625"/>
  </w:num>
  <w:num w:numId="317">
    <w:abstractNumId w:val="594"/>
  </w:num>
  <w:num w:numId="318">
    <w:abstractNumId w:val="306"/>
  </w:num>
  <w:num w:numId="319">
    <w:abstractNumId w:val="506"/>
  </w:num>
  <w:num w:numId="320">
    <w:abstractNumId w:val="661"/>
  </w:num>
  <w:num w:numId="321">
    <w:abstractNumId w:val="470"/>
  </w:num>
  <w:num w:numId="322">
    <w:abstractNumId w:val="703"/>
  </w:num>
  <w:num w:numId="323">
    <w:abstractNumId w:val="705"/>
  </w:num>
  <w:num w:numId="324">
    <w:abstractNumId w:val="432"/>
  </w:num>
  <w:num w:numId="325">
    <w:abstractNumId w:val="495"/>
  </w:num>
  <w:num w:numId="326">
    <w:abstractNumId w:val="95"/>
  </w:num>
  <w:num w:numId="327">
    <w:abstractNumId w:val="589"/>
  </w:num>
  <w:num w:numId="328">
    <w:abstractNumId w:val="709"/>
  </w:num>
  <w:num w:numId="329">
    <w:abstractNumId w:val="682"/>
  </w:num>
  <w:num w:numId="330">
    <w:abstractNumId w:val="473"/>
  </w:num>
  <w:num w:numId="331">
    <w:abstractNumId w:val="607"/>
  </w:num>
  <w:num w:numId="332">
    <w:abstractNumId w:val="120"/>
  </w:num>
  <w:num w:numId="333">
    <w:abstractNumId w:val="137"/>
  </w:num>
  <w:num w:numId="334">
    <w:abstractNumId w:val="537"/>
  </w:num>
  <w:num w:numId="335">
    <w:abstractNumId w:val="744"/>
  </w:num>
  <w:num w:numId="336">
    <w:abstractNumId w:val="684"/>
  </w:num>
  <w:num w:numId="337">
    <w:abstractNumId w:val="122"/>
  </w:num>
  <w:num w:numId="338">
    <w:abstractNumId w:val="477"/>
  </w:num>
  <w:num w:numId="339">
    <w:abstractNumId w:val="754"/>
  </w:num>
  <w:num w:numId="340">
    <w:abstractNumId w:val="20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abstractNumId w:val="151"/>
  </w:num>
  <w:num w:numId="342">
    <w:abstractNumId w:val="479"/>
  </w:num>
  <w:num w:numId="343">
    <w:abstractNumId w:val="166"/>
  </w:num>
  <w:num w:numId="344">
    <w:abstractNumId w:val="350"/>
  </w:num>
  <w:num w:numId="345">
    <w:abstractNumId w:val="305"/>
  </w:num>
  <w:num w:numId="346">
    <w:abstractNumId w:val="283"/>
  </w:num>
  <w:num w:numId="347">
    <w:abstractNumId w:val="315"/>
  </w:num>
  <w:num w:numId="348">
    <w:abstractNumId w:val="622"/>
  </w:num>
  <w:num w:numId="349">
    <w:abstractNumId w:val="690"/>
  </w:num>
  <w:num w:numId="350">
    <w:abstractNumId w:val="113"/>
  </w:num>
  <w:num w:numId="351">
    <w:abstractNumId w:val="321"/>
  </w:num>
  <w:num w:numId="352">
    <w:abstractNumId w:val="757"/>
  </w:num>
  <w:num w:numId="353">
    <w:abstractNumId w:val="297"/>
  </w:num>
  <w:num w:numId="354">
    <w:abstractNumId w:val="445"/>
  </w:num>
  <w:num w:numId="355">
    <w:abstractNumId w:val="668"/>
  </w:num>
  <w:num w:numId="356">
    <w:abstractNumId w:val="646"/>
  </w:num>
  <w:num w:numId="357">
    <w:abstractNumId w:val="212"/>
  </w:num>
  <w:num w:numId="358">
    <w:abstractNumId w:val="129"/>
  </w:num>
  <w:num w:numId="359">
    <w:abstractNumId w:val="608"/>
  </w:num>
  <w:num w:numId="360">
    <w:abstractNumId w:val="356"/>
  </w:num>
  <w:num w:numId="361">
    <w:abstractNumId w:val="509"/>
  </w:num>
  <w:num w:numId="362">
    <w:abstractNumId w:val="741"/>
  </w:num>
  <w:num w:numId="363">
    <w:abstractNumId w:val="663"/>
  </w:num>
  <w:num w:numId="364">
    <w:abstractNumId w:val="812"/>
  </w:num>
  <w:num w:numId="365">
    <w:abstractNumId w:val="64"/>
  </w:num>
  <w:num w:numId="366">
    <w:abstractNumId w:val="454"/>
  </w:num>
  <w:num w:numId="367">
    <w:abstractNumId w:val="407"/>
  </w:num>
  <w:num w:numId="368">
    <w:abstractNumId w:val="701"/>
  </w:num>
  <w:num w:numId="369">
    <w:abstractNumId w:val="136"/>
  </w:num>
  <w:num w:numId="370">
    <w:abstractNumId w:val="337"/>
  </w:num>
  <w:num w:numId="371">
    <w:abstractNumId w:val="715"/>
  </w:num>
  <w:num w:numId="372">
    <w:abstractNumId w:val="348"/>
  </w:num>
  <w:num w:numId="373">
    <w:abstractNumId w:val="781"/>
  </w:num>
  <w:num w:numId="374">
    <w:abstractNumId w:val="614"/>
  </w:num>
  <w:num w:numId="375">
    <w:abstractNumId w:val="802"/>
  </w:num>
  <w:num w:numId="376">
    <w:abstractNumId w:val="66"/>
  </w:num>
  <w:num w:numId="377">
    <w:abstractNumId w:val="529"/>
  </w:num>
  <w:num w:numId="378">
    <w:abstractNumId w:val="725"/>
  </w:num>
  <w:num w:numId="379">
    <w:abstractNumId w:val="237"/>
  </w:num>
  <w:num w:numId="380">
    <w:abstractNumId w:val="706"/>
  </w:num>
  <w:num w:numId="381">
    <w:abstractNumId w:val="768"/>
  </w:num>
  <w:num w:numId="382">
    <w:abstractNumId w:val="314"/>
  </w:num>
  <w:num w:numId="383">
    <w:abstractNumId w:val="161"/>
  </w:num>
  <w:num w:numId="384">
    <w:abstractNumId w:val="180"/>
  </w:num>
  <w:num w:numId="385">
    <w:abstractNumId w:val="74"/>
  </w:num>
  <w:num w:numId="386">
    <w:abstractNumId w:val="298"/>
  </w:num>
  <w:num w:numId="387">
    <w:abstractNumId w:val="29"/>
  </w:num>
  <w:num w:numId="388">
    <w:abstractNumId w:val="585"/>
  </w:num>
  <w:num w:numId="389">
    <w:abstractNumId w:val="178"/>
  </w:num>
  <w:num w:numId="390">
    <w:abstractNumId w:val="598"/>
  </w:num>
  <w:num w:numId="391">
    <w:abstractNumId w:val="691"/>
  </w:num>
  <w:num w:numId="392">
    <w:abstractNumId w:val="99"/>
  </w:num>
  <w:num w:numId="393">
    <w:abstractNumId w:val="351"/>
  </w:num>
  <w:num w:numId="394">
    <w:abstractNumId w:val="612"/>
  </w:num>
  <w:num w:numId="395">
    <w:abstractNumId w:val="793"/>
  </w:num>
  <w:num w:numId="396">
    <w:abstractNumId w:val="155"/>
  </w:num>
  <w:num w:numId="397">
    <w:abstractNumId w:val="453"/>
  </w:num>
  <w:num w:numId="398">
    <w:abstractNumId w:val="639"/>
  </w:num>
  <w:num w:numId="399">
    <w:abstractNumId w:val="544"/>
  </w:num>
  <w:num w:numId="400">
    <w:abstractNumId w:val="750"/>
  </w:num>
  <w:num w:numId="401">
    <w:abstractNumId w:val="271"/>
  </w:num>
  <w:num w:numId="402">
    <w:abstractNumId w:val="798"/>
  </w:num>
  <w:num w:numId="403">
    <w:abstractNumId w:val="694"/>
  </w:num>
  <w:num w:numId="404">
    <w:abstractNumId w:val="331"/>
  </w:num>
  <w:num w:numId="405">
    <w:abstractNumId w:val="587"/>
  </w:num>
  <w:num w:numId="406">
    <w:abstractNumId w:val="460"/>
  </w:num>
  <w:num w:numId="407">
    <w:abstractNumId w:val="126"/>
  </w:num>
  <w:num w:numId="408">
    <w:abstractNumId w:val="335"/>
  </w:num>
  <w:num w:numId="409">
    <w:abstractNumId w:val="379"/>
  </w:num>
  <w:num w:numId="410">
    <w:abstractNumId w:val="748"/>
  </w:num>
  <w:num w:numId="411">
    <w:abstractNumId w:val="427"/>
  </w:num>
  <w:num w:numId="412">
    <w:abstractNumId w:val="726"/>
  </w:num>
  <w:num w:numId="413">
    <w:abstractNumId w:val="807"/>
  </w:num>
  <w:num w:numId="414">
    <w:abstractNumId w:val="132"/>
  </w:num>
  <w:num w:numId="415">
    <w:abstractNumId w:val="371"/>
  </w:num>
  <w:num w:numId="416">
    <w:abstractNumId w:val="270"/>
  </w:num>
  <w:num w:numId="417">
    <w:abstractNumId w:val="756"/>
  </w:num>
  <w:num w:numId="418">
    <w:abstractNumId w:val="600"/>
  </w:num>
  <w:num w:numId="419">
    <w:abstractNumId w:val="144"/>
  </w:num>
  <w:num w:numId="420">
    <w:abstractNumId w:val="685"/>
  </w:num>
  <w:num w:numId="421">
    <w:abstractNumId w:val="501"/>
  </w:num>
  <w:num w:numId="422">
    <w:abstractNumId w:val="323"/>
  </w:num>
  <w:num w:numId="423">
    <w:abstractNumId w:val="444"/>
  </w:num>
  <w:num w:numId="424">
    <w:abstractNumId w:val="592"/>
  </w:num>
  <w:num w:numId="425">
    <w:abstractNumId w:val="489"/>
  </w:num>
  <w:num w:numId="426">
    <w:abstractNumId w:val="809"/>
  </w:num>
  <w:num w:numId="427">
    <w:abstractNumId w:val="814"/>
  </w:num>
  <w:num w:numId="428">
    <w:abstractNumId w:val="375"/>
  </w:num>
  <w:num w:numId="429">
    <w:abstractNumId w:val="135"/>
  </w:num>
  <w:num w:numId="430">
    <w:abstractNumId w:val="680"/>
  </w:num>
  <w:num w:numId="431">
    <w:abstractNumId w:val="723"/>
  </w:num>
  <w:num w:numId="432">
    <w:abstractNumId w:val="91"/>
  </w:num>
  <w:num w:numId="433">
    <w:abstractNumId w:val="423"/>
  </w:num>
  <w:num w:numId="434">
    <w:abstractNumId w:val="518"/>
  </w:num>
  <w:num w:numId="435">
    <w:abstractNumId w:val="648"/>
  </w:num>
  <w:num w:numId="436">
    <w:abstractNumId w:val="822"/>
  </w:num>
  <w:num w:numId="437">
    <w:abstractNumId w:val="548"/>
  </w:num>
  <w:num w:numId="438">
    <w:abstractNumId w:val="58"/>
  </w:num>
  <w:num w:numId="439">
    <w:abstractNumId w:val="83"/>
  </w:num>
  <w:num w:numId="440">
    <w:abstractNumId w:val="772"/>
  </w:num>
  <w:num w:numId="441">
    <w:abstractNumId w:val="570"/>
  </w:num>
  <w:num w:numId="442">
    <w:abstractNumId w:val="367"/>
  </w:num>
  <w:num w:numId="443">
    <w:abstractNumId w:val="210"/>
  </w:num>
  <w:num w:numId="444">
    <w:abstractNumId w:val="740"/>
  </w:num>
  <w:num w:numId="445">
    <w:abstractNumId w:val="818"/>
  </w:num>
  <w:num w:numId="446">
    <w:abstractNumId w:val="636"/>
  </w:num>
  <w:num w:numId="447">
    <w:abstractNumId w:val="363"/>
  </w:num>
  <w:num w:numId="448">
    <w:abstractNumId w:val="378"/>
  </w:num>
  <w:num w:numId="449">
    <w:abstractNumId w:val="195"/>
  </w:num>
  <w:num w:numId="450">
    <w:abstractNumId w:val="569"/>
  </w:num>
  <w:num w:numId="451">
    <w:abstractNumId w:val="281"/>
  </w:num>
  <w:num w:numId="452">
    <w:abstractNumId w:val="659"/>
  </w:num>
  <w:num w:numId="453">
    <w:abstractNumId w:val="310"/>
  </w:num>
  <w:num w:numId="454">
    <w:abstractNumId w:val="564"/>
  </w:num>
  <w:num w:numId="455">
    <w:abstractNumId w:val="398"/>
  </w:num>
  <w:num w:numId="456">
    <w:abstractNumId w:val="282"/>
  </w:num>
  <w:num w:numId="457">
    <w:abstractNumId w:val="433"/>
  </w:num>
  <w:num w:numId="458">
    <w:abstractNumId w:val="152"/>
  </w:num>
  <w:num w:numId="459">
    <w:abstractNumId w:val="577"/>
  </w:num>
  <w:num w:numId="460">
    <w:abstractNumId w:val="699"/>
  </w:num>
  <w:num w:numId="461">
    <w:abstractNumId w:val="215"/>
  </w:num>
  <w:num w:numId="462">
    <w:abstractNumId w:val="10"/>
  </w:num>
  <w:num w:numId="463">
    <w:abstractNumId w:val="260"/>
  </w:num>
  <w:num w:numId="464">
    <w:abstractNumId w:val="300"/>
  </w:num>
  <w:num w:numId="465">
    <w:abstractNumId w:val="609"/>
  </w:num>
  <w:num w:numId="466">
    <w:abstractNumId w:val="502"/>
  </w:num>
  <w:num w:numId="467">
    <w:abstractNumId w:val="745"/>
  </w:num>
  <w:num w:numId="468">
    <w:abstractNumId w:val="836"/>
  </w:num>
  <w:num w:numId="469">
    <w:abstractNumId w:val="142"/>
  </w:num>
  <w:num w:numId="470">
    <w:abstractNumId w:val="43"/>
  </w:num>
  <w:num w:numId="471">
    <w:abstractNumId w:val="280"/>
  </w:num>
  <w:num w:numId="472">
    <w:abstractNumId w:val="301"/>
  </w:num>
  <w:num w:numId="473">
    <w:abstractNumId w:val="554"/>
  </w:num>
  <w:num w:numId="474">
    <w:abstractNumId w:val="388"/>
  </w:num>
  <w:num w:numId="475">
    <w:abstractNumId w:val="421"/>
  </w:num>
  <w:num w:numId="476">
    <w:abstractNumId w:val="628"/>
  </w:num>
  <w:num w:numId="477">
    <w:abstractNumId w:val="93"/>
  </w:num>
  <w:num w:numId="478">
    <w:abstractNumId w:val="224"/>
  </w:num>
  <w:num w:numId="479">
    <w:abstractNumId w:val="819"/>
  </w:num>
  <w:num w:numId="480">
    <w:abstractNumId w:val="539"/>
  </w:num>
  <w:num w:numId="481">
    <w:abstractNumId w:val="101"/>
  </w:num>
  <w:num w:numId="482">
    <w:abstractNumId w:val="643"/>
  </w:num>
  <w:num w:numId="483">
    <w:abstractNumId w:val="6"/>
  </w:num>
  <w:num w:numId="484">
    <w:abstractNumId w:val="292"/>
  </w:num>
  <w:num w:numId="485">
    <w:abstractNumId w:val="47"/>
  </w:num>
  <w:num w:numId="486">
    <w:abstractNumId w:val="339"/>
  </w:num>
  <w:num w:numId="487">
    <w:abstractNumId w:val="386"/>
  </w:num>
  <w:num w:numId="488">
    <w:abstractNumId w:val="380"/>
  </w:num>
  <w:num w:numId="489">
    <w:abstractNumId w:val="312"/>
  </w:num>
  <w:num w:numId="490">
    <w:abstractNumId w:val="751"/>
  </w:num>
  <w:num w:numId="491">
    <w:abstractNumId w:val="658"/>
  </w:num>
  <w:num w:numId="492">
    <w:abstractNumId w:val="139"/>
  </w:num>
  <w:num w:numId="493">
    <w:abstractNumId w:val="438"/>
  </w:num>
  <w:num w:numId="494">
    <w:abstractNumId w:val="415"/>
  </w:num>
  <w:num w:numId="495">
    <w:abstractNumId w:val="188"/>
  </w:num>
  <w:num w:numId="496">
    <w:abstractNumId w:val="698"/>
  </w:num>
  <w:num w:numId="497">
    <w:abstractNumId w:val="469"/>
  </w:num>
  <w:num w:numId="498">
    <w:abstractNumId w:val="266"/>
  </w:num>
  <w:num w:numId="499">
    <w:abstractNumId w:val="221"/>
  </w:num>
  <w:num w:numId="500">
    <w:abstractNumId w:val="362"/>
  </w:num>
  <w:num w:numId="501">
    <w:abstractNumId w:val="494"/>
  </w:num>
  <w:num w:numId="502">
    <w:abstractNumId w:val="25"/>
  </w:num>
  <w:num w:numId="503">
    <w:abstractNumId w:val="154"/>
  </w:num>
  <w:num w:numId="504">
    <w:abstractNumId w:val="365"/>
  </w:num>
  <w:num w:numId="505">
    <w:abstractNumId w:val="338"/>
  </w:num>
  <w:num w:numId="506">
    <w:abstractNumId w:val="640"/>
  </w:num>
  <w:num w:numId="507">
    <w:abstractNumId w:val="268"/>
  </w:num>
  <w:num w:numId="508">
    <w:abstractNumId w:val="797"/>
  </w:num>
  <w:num w:numId="509">
    <w:abstractNumId w:val="631"/>
  </w:num>
  <w:num w:numId="510">
    <w:abstractNumId w:val="216"/>
  </w:num>
  <w:num w:numId="511">
    <w:abstractNumId w:val="294"/>
  </w:num>
  <w:num w:numId="512">
    <w:abstractNumId w:val="487"/>
  </w:num>
  <w:num w:numId="513">
    <w:abstractNumId w:val="55"/>
  </w:num>
  <w:num w:numId="514">
    <w:abstractNumId w:val="141"/>
  </w:num>
  <w:num w:numId="515">
    <w:abstractNumId w:val="710"/>
  </w:num>
  <w:num w:numId="516">
    <w:abstractNumId w:val="837"/>
  </w:num>
  <w:num w:numId="517">
    <w:abstractNumId w:val="117"/>
  </w:num>
  <w:num w:numId="518">
    <w:abstractNumId w:val="774"/>
  </w:num>
  <w:num w:numId="519">
    <w:abstractNumId w:val="652"/>
  </w:num>
  <w:num w:numId="520">
    <w:abstractNumId w:val="806"/>
  </w:num>
  <w:num w:numId="521">
    <w:abstractNumId w:val="343"/>
  </w:num>
  <w:num w:numId="522">
    <w:abstractNumId w:val="63"/>
  </w:num>
  <w:num w:numId="523">
    <w:abstractNumId w:val="782"/>
  </w:num>
  <w:num w:numId="524">
    <w:abstractNumId w:val="527"/>
  </w:num>
  <w:num w:numId="525">
    <w:abstractNumId w:val="304"/>
  </w:num>
  <w:num w:numId="526">
    <w:abstractNumId w:val="563"/>
  </w:num>
  <w:num w:numId="527">
    <w:abstractNumId w:val="435"/>
  </w:num>
  <w:num w:numId="528">
    <w:abstractNumId w:val="591"/>
  </w:num>
  <w:num w:numId="529">
    <w:abstractNumId w:val="695"/>
  </w:num>
  <w:num w:numId="530">
    <w:abstractNumId w:val="416"/>
  </w:num>
  <w:num w:numId="531">
    <w:abstractNumId w:val="475"/>
  </w:num>
  <w:num w:numId="532">
    <w:abstractNumId w:val="531"/>
  </w:num>
  <w:num w:numId="533">
    <w:abstractNumId w:val="602"/>
  </w:num>
  <w:num w:numId="534">
    <w:abstractNumId w:val="299"/>
  </w:num>
  <w:num w:numId="535">
    <w:abstractNumId w:val="138"/>
  </w:num>
  <w:num w:numId="536">
    <w:abstractNumId w:val="464"/>
  </w:num>
  <w:num w:numId="537">
    <w:abstractNumId w:val="377"/>
  </w:num>
  <w:num w:numId="538">
    <w:abstractNumId w:val="535"/>
  </w:num>
  <w:num w:numId="539">
    <w:abstractNumId w:val="551"/>
  </w:num>
  <w:num w:numId="540">
    <w:abstractNumId w:val="333"/>
  </w:num>
  <w:num w:numId="541">
    <w:abstractNumId w:val="482"/>
  </w:num>
  <w:num w:numId="542">
    <w:abstractNumId w:val="373"/>
  </w:num>
  <w:num w:numId="543">
    <w:abstractNumId w:val="733"/>
  </w:num>
  <w:num w:numId="544">
    <w:abstractNumId w:val="437"/>
  </w:num>
  <w:num w:numId="545">
    <w:abstractNumId w:val="171"/>
  </w:num>
  <w:num w:numId="546">
    <w:abstractNumId w:val="431"/>
  </w:num>
  <w:num w:numId="547">
    <w:abstractNumId w:val="193"/>
  </w:num>
  <w:num w:numId="548">
    <w:abstractNumId w:val="578"/>
  </w:num>
  <w:num w:numId="549">
    <w:abstractNumId w:val="520"/>
  </w:num>
  <w:num w:numId="550">
    <w:abstractNumId w:val="121"/>
  </w:num>
  <w:num w:numId="551">
    <w:abstractNumId w:val="257"/>
  </w:num>
  <w:num w:numId="552">
    <w:abstractNumId w:val="87"/>
  </w:num>
  <w:num w:numId="553">
    <w:abstractNumId w:val="721"/>
  </w:num>
  <w:num w:numId="554">
    <w:abstractNumId w:val="722"/>
  </w:num>
  <w:num w:numId="555">
    <w:abstractNumId w:val="516"/>
  </w:num>
  <w:num w:numId="556">
    <w:abstractNumId w:val="765"/>
  </w:num>
  <w:num w:numId="557">
    <w:abstractNumId w:val="256"/>
  </w:num>
  <w:num w:numId="558">
    <w:abstractNumId w:val="817"/>
  </w:num>
  <w:num w:numId="559">
    <w:abstractNumId w:val="258"/>
  </w:num>
  <w:num w:numId="560">
    <w:abstractNumId w:val="247"/>
  </w:num>
  <w:num w:numId="561">
    <w:abstractNumId w:val="106"/>
  </w:num>
  <w:num w:numId="562">
    <w:abstractNumId w:val="198"/>
  </w:num>
  <w:num w:numId="563">
    <w:abstractNumId w:val="425"/>
  </w:num>
  <w:num w:numId="564">
    <w:abstractNumId w:val="157"/>
  </w:num>
  <w:num w:numId="565">
    <w:abstractNumId w:val="242"/>
  </w:num>
  <w:num w:numId="566">
    <w:abstractNumId w:val="626"/>
  </w:num>
  <w:num w:numId="567">
    <w:abstractNumId w:val="67"/>
  </w:num>
  <w:num w:numId="568">
    <w:abstractNumId w:val="267"/>
  </w:num>
  <w:num w:numId="569">
    <w:abstractNumId w:val="481"/>
  </w:num>
  <w:num w:numId="570">
    <w:abstractNumId w:val="89"/>
  </w:num>
  <w:num w:numId="571">
    <w:abstractNumId w:val="222"/>
  </w:num>
  <w:num w:numId="572">
    <w:abstractNumId w:val="743"/>
  </w:num>
  <w:num w:numId="573">
    <w:abstractNumId w:val="214"/>
  </w:num>
  <w:num w:numId="574">
    <w:abstractNumId w:val="336"/>
  </w:num>
  <w:num w:numId="575">
    <w:abstractNumId w:val="493"/>
  </w:num>
  <w:num w:numId="576">
    <w:abstractNumId w:val="683"/>
  </w:num>
  <w:num w:numId="577">
    <w:abstractNumId w:val="334"/>
  </w:num>
  <w:num w:numId="578">
    <w:abstractNumId w:val="248"/>
  </w:num>
  <w:num w:numId="579">
    <w:abstractNumId w:val="194"/>
  </w:num>
  <w:num w:numId="580">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1">
    <w:abstractNumId w:val="681"/>
  </w:num>
  <w:num w:numId="582">
    <w:abstractNumId w:val="341"/>
  </w:num>
  <w:num w:numId="583">
    <w:abstractNumId w:val="27"/>
  </w:num>
  <w:num w:numId="584">
    <w:abstractNumId w:val="326"/>
  </w:num>
  <w:num w:numId="585">
    <w:abstractNumId w:val="5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6">
    <w:abstractNumId w:val="618"/>
  </w:num>
  <w:num w:numId="587">
    <w:abstractNumId w:val="71"/>
  </w:num>
  <w:num w:numId="588">
    <w:abstractNumId w:val="204"/>
  </w:num>
  <w:num w:numId="589">
    <w:abstractNumId w:val="738"/>
  </w:num>
  <w:num w:numId="590">
    <w:abstractNumId w:val="54"/>
  </w:num>
  <w:num w:numId="591">
    <w:abstractNumId w:val="330"/>
  </w:num>
  <w:num w:numId="592">
    <w:abstractNumId w:val="11"/>
  </w:num>
  <w:num w:numId="593">
    <w:abstractNumId w:val="174"/>
  </w:num>
  <w:num w:numId="594">
    <w:abstractNumId w:val="713"/>
  </w:num>
  <w:num w:numId="595">
    <w:abstractNumId w:val="704"/>
  </w:num>
  <w:num w:numId="596">
    <w:abstractNumId w:val="788"/>
  </w:num>
  <w:num w:numId="597">
    <w:abstractNumId w:val="760"/>
  </w:num>
  <w:num w:numId="598">
    <w:abstractNumId w:val="667"/>
  </w:num>
  <w:num w:numId="599">
    <w:abstractNumId w:val="500"/>
  </w:num>
  <w:num w:numId="600">
    <w:abstractNumId w:val="492"/>
  </w:num>
  <w:num w:numId="601">
    <w:abstractNumId w:val="390"/>
  </w:num>
  <w:num w:numId="602">
    <w:abstractNumId w:val="480"/>
  </w:num>
  <w:num w:numId="603">
    <w:abstractNumId w:val="686"/>
  </w:num>
  <w:num w:numId="604">
    <w:abstractNumId w:val="190"/>
  </w:num>
  <w:num w:numId="605">
    <w:abstractNumId w:val="525"/>
  </w:num>
  <w:num w:numId="606">
    <w:abstractNumId w:val="2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7">
    <w:abstractNumId w:val="623"/>
  </w:num>
  <w:num w:numId="608">
    <w:abstractNumId w:val="823"/>
  </w:num>
  <w:num w:numId="609">
    <w:abstractNumId w:val="191"/>
  </w:num>
  <w:num w:numId="610">
    <w:abstractNumId w:val="319"/>
  </w:num>
  <w:num w:numId="611">
    <w:abstractNumId w:val="176"/>
  </w:num>
  <w:num w:numId="612">
    <w:abstractNumId w:val="235"/>
  </w:num>
  <w:num w:numId="613">
    <w:abstractNumId w:val="148"/>
  </w:num>
  <w:num w:numId="614">
    <w:abstractNumId w:val="50"/>
  </w:num>
  <w:num w:numId="615">
    <w:abstractNumId w:val="763"/>
  </w:num>
  <w:num w:numId="616">
    <w:abstractNumId w:val="181"/>
  </w:num>
  <w:num w:numId="617">
    <w:abstractNumId w:val="810"/>
  </w:num>
  <w:num w:numId="618">
    <w:abstractNumId w:val="239"/>
  </w:num>
  <w:num w:numId="619">
    <w:abstractNumId w:val="442"/>
  </w:num>
  <w:num w:numId="620">
    <w:abstractNumId w:val="287"/>
  </w:num>
  <w:num w:numId="621">
    <w:abstractNumId w:val="526"/>
  </w:num>
  <w:num w:numId="622">
    <w:abstractNumId w:val="773"/>
  </w:num>
  <w:num w:numId="623">
    <w:abstractNumId w:val="696"/>
  </w:num>
  <w:num w:numId="624">
    <w:abstractNumId w:val="80"/>
  </w:num>
  <w:num w:numId="625">
    <w:abstractNumId w:val="28"/>
  </w:num>
  <w:num w:numId="626">
    <w:abstractNumId w:val="835"/>
  </w:num>
  <w:num w:numId="627">
    <w:abstractNumId w:val="647"/>
  </w:num>
  <w:num w:numId="628">
    <w:abstractNumId w:val="163"/>
  </w:num>
  <w:num w:numId="629">
    <w:abstractNumId w:val="88"/>
  </w:num>
  <w:num w:numId="630">
    <w:abstractNumId w:val="507"/>
  </w:num>
  <w:num w:numId="631">
    <w:abstractNumId w:val="228"/>
  </w:num>
  <w:num w:numId="632">
    <w:abstractNumId w:val="439"/>
  </w:num>
  <w:num w:numId="633">
    <w:abstractNumId w:val="833"/>
  </w:num>
  <w:num w:numId="634">
    <w:abstractNumId w:val="714"/>
  </w:num>
  <w:num w:numId="635">
    <w:abstractNumId w:val="596"/>
  </w:num>
  <w:num w:numId="636">
    <w:abstractNumId w:val="504"/>
  </w:num>
  <w:num w:numId="637">
    <w:abstractNumId w:val="269"/>
  </w:num>
  <w:num w:numId="638">
    <w:abstractNumId w:val="522"/>
  </w:num>
  <w:num w:numId="639">
    <w:abstractNumId w:val="243"/>
  </w:num>
  <w:num w:numId="640">
    <w:abstractNumId w:val="85"/>
  </w:num>
  <w:num w:numId="641">
    <w:abstractNumId w:val="22"/>
  </w:num>
  <w:num w:numId="642">
    <w:abstractNumId w:val="687"/>
  </w:num>
  <w:num w:numId="643">
    <w:abstractNumId w:val="490"/>
  </w:num>
  <w:num w:numId="644">
    <w:abstractNumId w:val="769"/>
  </w:num>
  <w:num w:numId="645">
    <w:abstractNumId w:val="6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6">
    <w:abstractNumId w:val="309"/>
  </w:num>
  <w:num w:numId="647">
    <w:abstractNumId w:val="536"/>
  </w:num>
  <w:num w:numId="648">
    <w:abstractNumId w:val="357"/>
  </w:num>
  <w:num w:numId="649">
    <w:abstractNumId w:val="225"/>
  </w:num>
  <w:num w:numId="650">
    <w:abstractNumId w:val="783"/>
  </w:num>
  <w:num w:numId="651">
    <w:abstractNumId w:val="231"/>
  </w:num>
  <w:num w:numId="652">
    <w:abstractNumId w:val="273"/>
  </w:num>
  <w:num w:numId="653">
    <w:abstractNumId w:val="565"/>
  </w:num>
  <w:num w:numId="654">
    <w:abstractNumId w:val="803"/>
  </w:num>
  <w:num w:numId="655">
    <w:abstractNumId w:val="1"/>
  </w:num>
  <w:num w:numId="656">
    <w:abstractNumId w:val="436"/>
  </w:num>
  <w:num w:numId="657">
    <w:abstractNumId w:val="329"/>
  </w:num>
  <w:num w:numId="658">
    <w:abstractNumId w:val="422"/>
  </w:num>
  <w:num w:numId="659">
    <w:abstractNumId w:val="619"/>
  </w:num>
  <w:num w:numId="660">
    <w:abstractNumId w:val="179"/>
  </w:num>
  <w:num w:numId="661">
    <w:abstractNumId w:val="3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2">
    <w:abstractNumId w:val="635"/>
  </w:num>
  <w:num w:numId="663">
    <w:abstractNumId w:val="662"/>
  </w:num>
  <w:num w:numId="664">
    <w:abstractNumId w:val="342"/>
  </w:num>
  <w:num w:numId="665">
    <w:abstractNumId w:val="449"/>
  </w:num>
  <w:num w:numId="666">
    <w:abstractNumId w:val="615"/>
  </w:num>
  <w:num w:numId="667">
    <w:abstractNumId w:val="491"/>
  </w:num>
  <w:num w:numId="668">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9">
    <w:abstractNumId w:val="767"/>
  </w:num>
  <w:num w:numId="670">
    <w:abstractNumId w:val="771"/>
  </w:num>
  <w:num w:numId="671">
    <w:abstractNumId w:val="146"/>
  </w:num>
  <w:num w:numId="672">
    <w:abstractNumId w:val="249"/>
  </w:num>
  <w:num w:numId="673">
    <w:abstractNumId w:val="370"/>
  </w:num>
  <w:num w:numId="674">
    <w:abstractNumId w:val="627"/>
  </w:num>
  <w:num w:numId="675">
    <w:abstractNumId w:val="637"/>
  </w:num>
  <w:num w:numId="676">
    <w:abstractNumId w:val="675"/>
  </w:num>
  <w:num w:numId="677">
    <w:abstractNumId w:val="450"/>
  </w:num>
  <w:num w:numId="678">
    <w:abstractNumId w:val="332"/>
  </w:num>
  <w:num w:numId="679">
    <w:abstractNumId w:val="123"/>
  </w:num>
  <w:num w:numId="680">
    <w:abstractNumId w:val="35"/>
  </w:num>
  <w:num w:numId="681">
    <w:abstractNumId w:val="201"/>
  </w:num>
  <w:num w:numId="682">
    <w:abstractNumId w:val="586"/>
  </w:num>
  <w:num w:numId="683">
    <w:abstractNumId w:val="51"/>
  </w:num>
  <w:num w:numId="684">
    <w:abstractNumId w:val="313"/>
  </w:num>
  <w:num w:numId="685">
    <w:abstractNumId w:val="471"/>
  </w:num>
  <w:num w:numId="686">
    <w:abstractNumId w:val="400"/>
  </w:num>
  <w:num w:numId="687">
    <w:abstractNumId w:val="366"/>
  </w:num>
  <w:num w:numId="688">
    <w:abstractNumId w:val="325"/>
  </w:num>
  <w:num w:numId="689">
    <w:abstractNumId w:val="499"/>
  </w:num>
  <w:num w:numId="690">
    <w:abstractNumId w:val="528"/>
  </w:num>
  <w:num w:numId="691">
    <w:abstractNumId w:val="834"/>
  </w:num>
  <w:num w:numId="692">
    <w:abstractNumId w:val="829"/>
  </w:num>
  <w:num w:numId="693">
    <w:abstractNumId w:val="238"/>
  </w:num>
  <w:num w:numId="694">
    <w:abstractNumId w:val="320"/>
  </w:num>
  <w:num w:numId="695">
    <w:abstractNumId w:val="599"/>
  </w:num>
  <w:num w:numId="696">
    <w:abstractNumId w:val="824"/>
  </w:num>
  <w:num w:numId="697">
    <w:abstractNumId w:val="638"/>
  </w:num>
  <w:num w:numId="698">
    <w:abstractNumId w:val="451"/>
  </w:num>
  <w:num w:numId="699">
    <w:abstractNumId w:val="205"/>
  </w:num>
  <w:num w:numId="700">
    <w:abstractNumId w:val="84"/>
  </w:num>
  <w:num w:numId="701">
    <w:abstractNumId w:val="730"/>
  </w:num>
  <w:num w:numId="702">
    <w:abstractNumId w:val="510"/>
  </w:num>
  <w:num w:numId="703">
    <w:abstractNumId w:val="426"/>
  </w:num>
  <w:num w:numId="704">
    <w:abstractNumId w:val="291"/>
  </w:num>
  <w:num w:numId="705">
    <w:abstractNumId w:val="72"/>
  </w:num>
  <w:num w:numId="706">
    <w:abstractNumId w:val="62"/>
  </w:num>
  <w:num w:numId="707">
    <w:abstractNumId w:val="826"/>
  </w:num>
  <w:num w:numId="708">
    <w:abstractNumId w:val="245"/>
  </w:num>
  <w:num w:numId="709">
    <w:abstractNumId w:val="57"/>
  </w:num>
  <w:num w:numId="710">
    <w:abstractNumId w:val="23"/>
  </w:num>
  <w:num w:numId="711">
    <w:abstractNumId w:val="44"/>
  </w:num>
  <w:num w:numId="712">
    <w:abstractNumId w:val="601"/>
  </w:num>
  <w:num w:numId="713">
    <w:abstractNumId w:val="620"/>
  </w:num>
  <w:num w:numId="714">
    <w:abstractNumId w:val="448"/>
  </w:num>
  <w:num w:numId="715">
    <w:abstractNumId w:val="250"/>
  </w:num>
  <w:num w:numId="716">
    <w:abstractNumId w:val="796"/>
  </w:num>
  <w:num w:numId="717">
    <w:abstractNumId w:val="413"/>
  </w:num>
  <w:num w:numId="718">
    <w:abstractNumId w:val="75"/>
  </w:num>
  <w:num w:numId="719">
    <w:abstractNumId w:val="574"/>
  </w:num>
  <w:num w:numId="720">
    <w:abstractNumId w:val="308"/>
  </w:num>
  <w:num w:numId="721">
    <w:abstractNumId w:val="4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2">
    <w:abstractNumId w:val="724"/>
  </w:num>
  <w:num w:numId="723">
    <w:abstractNumId w:val="440"/>
  </w:num>
  <w:num w:numId="724">
    <w:abstractNumId w:val="279"/>
  </w:num>
  <w:num w:numId="725">
    <w:abstractNumId w:val="572"/>
  </w:num>
  <w:num w:numId="726">
    <w:abstractNumId w:val="488"/>
  </w:num>
  <w:num w:numId="727">
    <w:abstractNumId w:val="800"/>
  </w:num>
  <w:num w:numId="728">
    <w:abstractNumId w:val="650"/>
  </w:num>
  <w:num w:numId="729">
    <w:abstractNumId w:val="226"/>
  </w:num>
  <w:num w:numId="730">
    <w:abstractNumId w:val="583"/>
  </w:num>
  <w:num w:numId="731">
    <w:abstractNumId w:val="185"/>
  </w:num>
  <w:num w:numId="732">
    <w:abstractNumId w:val="593"/>
  </w:num>
  <w:num w:numId="733">
    <w:abstractNumId w:val="616"/>
  </w:num>
  <w:num w:numId="734">
    <w:abstractNumId w:val="3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5">
    <w:abstractNumId w:val="452"/>
  </w:num>
  <w:num w:numId="736">
    <w:abstractNumId w:val="278"/>
  </w:num>
  <w:num w:numId="737">
    <w:abstractNumId w:val="761"/>
  </w:num>
  <w:num w:numId="738">
    <w:abstractNumId w:val="164"/>
  </w:num>
  <w:num w:numId="739">
    <w:abstractNumId w:val="762"/>
  </w:num>
  <w:num w:numId="740">
    <w:abstractNumId w:val="443"/>
  </w:num>
  <w:num w:numId="741">
    <w:abstractNumId w:val="780"/>
  </w:num>
  <w:num w:numId="742">
    <w:abstractNumId w:val="318"/>
  </w:num>
  <w:num w:numId="743">
    <w:abstractNumId w:val="70"/>
  </w:num>
  <w:num w:numId="744">
    <w:abstractNumId w:val="254"/>
  </w:num>
  <w:num w:numId="745">
    <w:abstractNumId w:val="617"/>
  </w:num>
  <w:num w:numId="746">
    <w:abstractNumId w:val="159"/>
  </w:num>
  <w:num w:numId="747">
    <w:abstractNumId w:val="78"/>
  </w:num>
  <w:num w:numId="748">
    <w:abstractNumId w:val="37"/>
  </w:num>
  <w:num w:numId="749">
    <w:abstractNumId w:val="736"/>
  </w:num>
  <w:num w:numId="750">
    <w:abstractNumId w:val="707"/>
  </w:num>
  <w:num w:numId="751">
    <w:abstractNumId w:val="401"/>
  </w:num>
  <w:num w:numId="752">
    <w:abstractNumId w:val="140"/>
  </w:num>
  <w:num w:numId="753">
    <w:abstractNumId w:val="801"/>
  </w:num>
  <w:num w:numId="754">
    <w:abstractNumId w:val="420"/>
  </w:num>
  <w:num w:numId="755">
    <w:abstractNumId w:val="289"/>
  </w:num>
  <w:num w:numId="756">
    <w:abstractNumId w:val="124"/>
  </w:num>
  <w:num w:numId="757">
    <w:abstractNumId w:val="693"/>
  </w:num>
  <w:num w:numId="758">
    <w:abstractNumId w:val="820"/>
  </w:num>
  <w:num w:numId="759">
    <w:abstractNumId w:val="717"/>
  </w:num>
  <w:num w:numId="760">
    <w:abstractNumId w:val="737"/>
  </w:num>
  <w:num w:numId="761">
    <w:abstractNumId w:val="513"/>
  </w:num>
  <w:num w:numId="762">
    <w:abstractNumId w:val="286"/>
  </w:num>
  <w:num w:numId="763">
    <w:abstractNumId w:val="784"/>
  </w:num>
  <w:num w:numId="764">
    <w:abstractNumId w:val="523"/>
  </w:num>
  <w:num w:numId="765">
    <w:abstractNumId w:val="110"/>
  </w:num>
  <w:num w:numId="766">
    <w:abstractNumId w:val="246"/>
  </w:num>
  <w:num w:numId="767">
    <w:abstractNumId w:val="697"/>
  </w:num>
  <w:num w:numId="768">
    <w:abstractNumId w:val="559"/>
  </w:num>
  <w:num w:numId="769">
    <w:abstractNumId w:val="352"/>
  </w:num>
  <w:num w:numId="770">
    <w:abstractNumId w:val="34"/>
  </w:num>
  <w:num w:numId="771">
    <w:abstractNumId w:val="749"/>
  </w:num>
  <w:num w:numId="772">
    <w:abstractNumId w:val="408"/>
  </w:num>
  <w:num w:numId="773">
    <w:abstractNumId w:val="424"/>
  </w:num>
  <w:num w:numId="774">
    <w:abstractNumId w:val="595"/>
  </w:num>
  <w:num w:numId="775">
    <w:abstractNumId w:val="719"/>
  </w:num>
  <w:num w:numId="776">
    <w:abstractNumId w:val="545"/>
  </w:num>
  <w:num w:numId="777">
    <w:abstractNumId w:val="434"/>
  </w:num>
  <w:num w:numId="778">
    <w:abstractNumId w:val="232"/>
  </w:num>
  <w:num w:numId="779">
    <w:abstractNumId w:val="158"/>
  </w:num>
  <w:num w:numId="780">
    <w:abstractNumId w:val="624"/>
  </w:num>
  <w:num w:numId="781">
    <w:abstractNumId w:val="170"/>
  </w:num>
  <w:num w:numId="782">
    <w:abstractNumId w:val="105"/>
  </w:num>
  <w:num w:numId="783">
    <w:abstractNumId w:val="131"/>
  </w:num>
  <w:num w:numId="784">
    <w:abstractNumId w:val="410"/>
  </w:num>
  <w:num w:numId="785">
    <w:abstractNumId w:val="604"/>
  </w:num>
  <w:num w:numId="786">
    <w:abstractNumId w:val="94"/>
  </w:num>
  <w:num w:numId="787">
    <w:abstractNumId w:val="76"/>
  </w:num>
  <w:num w:numId="788">
    <w:abstractNumId w:val="290"/>
  </w:num>
  <w:num w:numId="789">
    <w:abstractNumId w:val="621"/>
  </w:num>
  <w:num w:numId="790">
    <w:abstractNumId w:val="396"/>
  </w:num>
  <w:num w:numId="791">
    <w:abstractNumId w:val="677"/>
  </w:num>
  <w:num w:numId="792">
    <w:abstractNumId w:val="295"/>
  </w:num>
  <w:num w:numId="793">
    <w:abstractNumId w:val="678"/>
  </w:num>
  <w:num w:numId="794">
    <w:abstractNumId w:val="605"/>
  </w:num>
  <w:num w:numId="795">
    <w:abstractNumId w:val="556"/>
  </w:num>
  <w:num w:numId="796">
    <w:abstractNumId w:val="465"/>
  </w:num>
  <w:num w:numId="797">
    <w:abstractNumId w:val="6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9">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1">
    <w:abstractNumId w:val="4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2">
    <w:abstractNumId w:val="184"/>
  </w:num>
  <w:num w:numId="803">
    <w:abstractNumId w:val="7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4">
    <w:abstractNumId w:val="2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5">
    <w:abstractNumId w:val="5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6">
    <w:abstractNumId w:val="2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7">
    <w:abstractNumId w:val="4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8">
    <w:abstractNumId w:val="787"/>
    <w:lvlOverride w:ilvl="0">
      <w:startOverride w:val="1"/>
    </w:lvlOverride>
    <w:lvlOverride w:ilvl="1"/>
    <w:lvlOverride w:ilvl="2"/>
    <w:lvlOverride w:ilvl="3"/>
    <w:lvlOverride w:ilvl="4"/>
    <w:lvlOverride w:ilvl="5"/>
    <w:lvlOverride w:ilvl="6"/>
    <w:lvlOverride w:ilvl="7"/>
    <w:lvlOverride w:ilvl="8"/>
  </w:num>
  <w:num w:numId="809">
    <w:abstractNumId w:val="303"/>
  </w:num>
  <w:num w:numId="810">
    <w:abstractNumId w:val="665"/>
  </w:num>
  <w:num w:numId="811">
    <w:abstractNumId w:val="653"/>
  </w:num>
  <w:num w:numId="812">
    <w:abstractNumId w:val="284"/>
  </w:num>
  <w:num w:numId="813">
    <w:abstractNumId w:val="573"/>
  </w:num>
  <w:num w:numId="814">
    <w:abstractNumId w:val="288"/>
  </w:num>
  <w:num w:numId="815">
    <w:abstractNumId w:val="322"/>
  </w:num>
  <w:num w:numId="816">
    <w:abstractNumId w:val="530"/>
  </w:num>
  <w:num w:numId="817">
    <w:abstractNumId w:val="727"/>
  </w:num>
  <w:num w:numId="818">
    <w:abstractNumId w:val="115"/>
  </w:num>
  <w:num w:numId="819">
    <w:abstractNumId w:val="758"/>
  </w:num>
  <w:num w:numId="820">
    <w:abstractNumId w:val="633"/>
  </w:num>
  <w:num w:numId="821">
    <w:abstractNumId w:val="716"/>
  </w:num>
  <w:num w:numId="822">
    <w:abstractNumId w:val="41"/>
  </w:num>
  <w:num w:numId="823">
    <w:abstractNumId w:val="674"/>
  </w:num>
  <w:num w:numId="824">
    <w:abstractNumId w:val="296"/>
  </w:num>
  <w:num w:numId="825">
    <w:abstractNumId w:val="808"/>
  </w:num>
  <w:num w:numId="826">
    <w:abstractNumId w:val="466"/>
  </w:num>
  <w:num w:numId="827">
    <w:abstractNumId w:val="196"/>
  </w:num>
  <w:num w:numId="828">
    <w:abstractNumId w:val="119"/>
  </w:num>
  <w:num w:numId="829">
    <w:abstractNumId w:val="486"/>
  </w:num>
  <w:num w:numId="830">
    <w:abstractNumId w:val="172"/>
  </w:num>
  <w:num w:numId="831">
    <w:abstractNumId w:val="114"/>
  </w:num>
  <w:num w:numId="832">
    <w:abstractNumId w:val="484"/>
  </w:num>
  <w:num w:numId="833">
    <w:abstractNumId w:val="217"/>
  </w:num>
  <w:num w:numId="834">
    <w:abstractNumId w:val="718"/>
  </w:num>
  <w:num w:numId="835">
    <w:abstractNumId w:val="340"/>
  </w:num>
  <w:num w:numId="836">
    <w:abstractNumId w:val="359"/>
  </w:num>
  <w:num w:numId="837">
    <w:abstractNumId w:val="272"/>
  </w:num>
  <w:num w:numId="838">
    <w:abstractNumId w:val="143"/>
  </w:num>
  <w:num w:numId="839">
    <w:abstractNumId w:val="561"/>
  </w:num>
  <w:numIdMacAtCleanup w:val="8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grammar="clean"/>
  <w:defaultTabStop w:val="708"/>
  <w:hyphenationZone w:val="425"/>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6A6C"/>
    <w:rsid w:val="00000B08"/>
    <w:rsid w:val="00000B32"/>
    <w:rsid w:val="00004BA0"/>
    <w:rsid w:val="000137B4"/>
    <w:rsid w:val="00015FF7"/>
    <w:rsid w:val="00016A80"/>
    <w:rsid w:val="00021A24"/>
    <w:rsid w:val="000313C8"/>
    <w:rsid w:val="00031BCC"/>
    <w:rsid w:val="00032067"/>
    <w:rsid w:val="000352C1"/>
    <w:rsid w:val="00035C9A"/>
    <w:rsid w:val="00035D15"/>
    <w:rsid w:val="00036C7B"/>
    <w:rsid w:val="00036E30"/>
    <w:rsid w:val="00037000"/>
    <w:rsid w:val="00041365"/>
    <w:rsid w:val="0004142D"/>
    <w:rsid w:val="00042315"/>
    <w:rsid w:val="000437F1"/>
    <w:rsid w:val="00043ED1"/>
    <w:rsid w:val="00044AC7"/>
    <w:rsid w:val="00045439"/>
    <w:rsid w:val="00047F11"/>
    <w:rsid w:val="00050710"/>
    <w:rsid w:val="00055389"/>
    <w:rsid w:val="0005760B"/>
    <w:rsid w:val="00064CEB"/>
    <w:rsid w:val="00067CF2"/>
    <w:rsid w:val="00070B72"/>
    <w:rsid w:val="00073166"/>
    <w:rsid w:val="00075CFD"/>
    <w:rsid w:val="0008001D"/>
    <w:rsid w:val="000802A8"/>
    <w:rsid w:val="00081127"/>
    <w:rsid w:val="00085F2E"/>
    <w:rsid w:val="00094DA3"/>
    <w:rsid w:val="0009555C"/>
    <w:rsid w:val="0009574E"/>
    <w:rsid w:val="00095E3E"/>
    <w:rsid w:val="000A0FB4"/>
    <w:rsid w:val="000A1F5E"/>
    <w:rsid w:val="000A25C1"/>
    <w:rsid w:val="000B233E"/>
    <w:rsid w:val="000B61A3"/>
    <w:rsid w:val="000C392A"/>
    <w:rsid w:val="000C4F43"/>
    <w:rsid w:val="000E23A2"/>
    <w:rsid w:val="000E4012"/>
    <w:rsid w:val="000E6C2E"/>
    <w:rsid w:val="000F642C"/>
    <w:rsid w:val="000F72E3"/>
    <w:rsid w:val="001045DE"/>
    <w:rsid w:val="00107C6B"/>
    <w:rsid w:val="001113DE"/>
    <w:rsid w:val="0011368C"/>
    <w:rsid w:val="001165EC"/>
    <w:rsid w:val="001249BE"/>
    <w:rsid w:val="001269BB"/>
    <w:rsid w:val="0014174B"/>
    <w:rsid w:val="00146592"/>
    <w:rsid w:val="00147539"/>
    <w:rsid w:val="001508E4"/>
    <w:rsid w:val="00152723"/>
    <w:rsid w:val="00160787"/>
    <w:rsid w:val="00160825"/>
    <w:rsid w:val="00160B29"/>
    <w:rsid w:val="00160C8C"/>
    <w:rsid w:val="00170723"/>
    <w:rsid w:val="001729E6"/>
    <w:rsid w:val="00175310"/>
    <w:rsid w:val="001757A2"/>
    <w:rsid w:val="00175DC8"/>
    <w:rsid w:val="00176B4E"/>
    <w:rsid w:val="00177586"/>
    <w:rsid w:val="00181FEE"/>
    <w:rsid w:val="00182AB3"/>
    <w:rsid w:val="00186BEF"/>
    <w:rsid w:val="00190C1A"/>
    <w:rsid w:val="00194EEE"/>
    <w:rsid w:val="00195FB8"/>
    <w:rsid w:val="001979F0"/>
    <w:rsid w:val="00197E16"/>
    <w:rsid w:val="001A0C3B"/>
    <w:rsid w:val="001A0D94"/>
    <w:rsid w:val="001A1FB8"/>
    <w:rsid w:val="001A66A2"/>
    <w:rsid w:val="001A76B3"/>
    <w:rsid w:val="001B3E55"/>
    <w:rsid w:val="001B627F"/>
    <w:rsid w:val="001B7B25"/>
    <w:rsid w:val="001C4208"/>
    <w:rsid w:val="001C55D1"/>
    <w:rsid w:val="001C63F6"/>
    <w:rsid w:val="001D1A08"/>
    <w:rsid w:val="001D6FF8"/>
    <w:rsid w:val="001E47EC"/>
    <w:rsid w:val="001E775A"/>
    <w:rsid w:val="001F39ED"/>
    <w:rsid w:val="001F3AC4"/>
    <w:rsid w:val="001F5948"/>
    <w:rsid w:val="00200564"/>
    <w:rsid w:val="00200E87"/>
    <w:rsid w:val="002021E0"/>
    <w:rsid w:val="002029A8"/>
    <w:rsid w:val="00204D3F"/>
    <w:rsid w:val="002065F8"/>
    <w:rsid w:val="00207941"/>
    <w:rsid w:val="00207E09"/>
    <w:rsid w:val="002158BB"/>
    <w:rsid w:val="002163F0"/>
    <w:rsid w:val="00220D3E"/>
    <w:rsid w:val="0022180E"/>
    <w:rsid w:val="002218C3"/>
    <w:rsid w:val="00224993"/>
    <w:rsid w:val="00226B63"/>
    <w:rsid w:val="00231727"/>
    <w:rsid w:val="002357FA"/>
    <w:rsid w:val="00235F96"/>
    <w:rsid w:val="00236B06"/>
    <w:rsid w:val="00243344"/>
    <w:rsid w:val="00253217"/>
    <w:rsid w:val="002554A9"/>
    <w:rsid w:val="00256A2F"/>
    <w:rsid w:val="002607EE"/>
    <w:rsid w:val="002611B5"/>
    <w:rsid w:val="00263218"/>
    <w:rsid w:val="00263376"/>
    <w:rsid w:val="00264D34"/>
    <w:rsid w:val="002651F4"/>
    <w:rsid w:val="00265E14"/>
    <w:rsid w:val="00266705"/>
    <w:rsid w:val="00271211"/>
    <w:rsid w:val="002716D8"/>
    <w:rsid w:val="00273B67"/>
    <w:rsid w:val="00274B8A"/>
    <w:rsid w:val="002750CE"/>
    <w:rsid w:val="00281F78"/>
    <w:rsid w:val="00287A9C"/>
    <w:rsid w:val="00290873"/>
    <w:rsid w:val="00291426"/>
    <w:rsid w:val="00294836"/>
    <w:rsid w:val="00295948"/>
    <w:rsid w:val="002A5AF6"/>
    <w:rsid w:val="002A7569"/>
    <w:rsid w:val="002A79F0"/>
    <w:rsid w:val="002B1B64"/>
    <w:rsid w:val="002B2BC0"/>
    <w:rsid w:val="002B3D89"/>
    <w:rsid w:val="002B6E5A"/>
    <w:rsid w:val="002C078E"/>
    <w:rsid w:val="002C2A3B"/>
    <w:rsid w:val="002C617E"/>
    <w:rsid w:val="002C7521"/>
    <w:rsid w:val="002C79AA"/>
    <w:rsid w:val="002D2EA8"/>
    <w:rsid w:val="002D35DB"/>
    <w:rsid w:val="002E7562"/>
    <w:rsid w:val="00303E32"/>
    <w:rsid w:val="00304396"/>
    <w:rsid w:val="00304BC6"/>
    <w:rsid w:val="00307BD1"/>
    <w:rsid w:val="0031556A"/>
    <w:rsid w:val="003231A6"/>
    <w:rsid w:val="00325B42"/>
    <w:rsid w:val="00326777"/>
    <w:rsid w:val="00333EF6"/>
    <w:rsid w:val="003401AE"/>
    <w:rsid w:val="00341921"/>
    <w:rsid w:val="003420CC"/>
    <w:rsid w:val="003476F8"/>
    <w:rsid w:val="003510C8"/>
    <w:rsid w:val="0035325B"/>
    <w:rsid w:val="003643E9"/>
    <w:rsid w:val="00365F78"/>
    <w:rsid w:val="003666FB"/>
    <w:rsid w:val="00366701"/>
    <w:rsid w:val="0037017D"/>
    <w:rsid w:val="003754F3"/>
    <w:rsid w:val="00377B24"/>
    <w:rsid w:val="00381578"/>
    <w:rsid w:val="003821B7"/>
    <w:rsid w:val="00383DE9"/>
    <w:rsid w:val="003854C9"/>
    <w:rsid w:val="00390B1B"/>
    <w:rsid w:val="00390CCF"/>
    <w:rsid w:val="00392F09"/>
    <w:rsid w:val="00395DA8"/>
    <w:rsid w:val="003A292D"/>
    <w:rsid w:val="003A5013"/>
    <w:rsid w:val="003A5577"/>
    <w:rsid w:val="003A6647"/>
    <w:rsid w:val="003B09FA"/>
    <w:rsid w:val="003B2AEE"/>
    <w:rsid w:val="003C4C3B"/>
    <w:rsid w:val="003C5E59"/>
    <w:rsid w:val="003C5E99"/>
    <w:rsid w:val="003D14E1"/>
    <w:rsid w:val="003D20B0"/>
    <w:rsid w:val="003D2152"/>
    <w:rsid w:val="003D3335"/>
    <w:rsid w:val="003D5BF6"/>
    <w:rsid w:val="003F1C73"/>
    <w:rsid w:val="003F23AD"/>
    <w:rsid w:val="003F50AD"/>
    <w:rsid w:val="003F5D68"/>
    <w:rsid w:val="003F6A5D"/>
    <w:rsid w:val="003F77A5"/>
    <w:rsid w:val="004025DB"/>
    <w:rsid w:val="00405A4F"/>
    <w:rsid w:val="00421D13"/>
    <w:rsid w:val="00422F45"/>
    <w:rsid w:val="00425480"/>
    <w:rsid w:val="00430649"/>
    <w:rsid w:val="004320F0"/>
    <w:rsid w:val="00435194"/>
    <w:rsid w:val="0044066D"/>
    <w:rsid w:val="00442FF5"/>
    <w:rsid w:val="004537F6"/>
    <w:rsid w:val="00457266"/>
    <w:rsid w:val="0045769F"/>
    <w:rsid w:val="00460CA2"/>
    <w:rsid w:val="00461851"/>
    <w:rsid w:val="004645B2"/>
    <w:rsid w:val="00470E9B"/>
    <w:rsid w:val="004766F6"/>
    <w:rsid w:val="004839DD"/>
    <w:rsid w:val="0048728E"/>
    <w:rsid w:val="00491714"/>
    <w:rsid w:val="00491C79"/>
    <w:rsid w:val="004938FE"/>
    <w:rsid w:val="00495420"/>
    <w:rsid w:val="004A03EB"/>
    <w:rsid w:val="004A13C9"/>
    <w:rsid w:val="004A4CC1"/>
    <w:rsid w:val="004A5768"/>
    <w:rsid w:val="004A6819"/>
    <w:rsid w:val="004C25DF"/>
    <w:rsid w:val="004C34B6"/>
    <w:rsid w:val="004C7B6D"/>
    <w:rsid w:val="004D08BC"/>
    <w:rsid w:val="004D1E66"/>
    <w:rsid w:val="004D2562"/>
    <w:rsid w:val="004D3281"/>
    <w:rsid w:val="004D3B33"/>
    <w:rsid w:val="004D4375"/>
    <w:rsid w:val="004E04B1"/>
    <w:rsid w:val="004E25EC"/>
    <w:rsid w:val="004E2D65"/>
    <w:rsid w:val="004F020D"/>
    <w:rsid w:val="004F0968"/>
    <w:rsid w:val="004F2C92"/>
    <w:rsid w:val="004F361F"/>
    <w:rsid w:val="004F3EFB"/>
    <w:rsid w:val="005021B3"/>
    <w:rsid w:val="00502E09"/>
    <w:rsid w:val="00506C33"/>
    <w:rsid w:val="00510DC7"/>
    <w:rsid w:val="00511005"/>
    <w:rsid w:val="0051292F"/>
    <w:rsid w:val="005161B1"/>
    <w:rsid w:val="00517F45"/>
    <w:rsid w:val="00522EC5"/>
    <w:rsid w:val="00524451"/>
    <w:rsid w:val="00525784"/>
    <w:rsid w:val="00525A3E"/>
    <w:rsid w:val="0052789C"/>
    <w:rsid w:val="005279D3"/>
    <w:rsid w:val="00530510"/>
    <w:rsid w:val="00532C25"/>
    <w:rsid w:val="00532EA2"/>
    <w:rsid w:val="00535A04"/>
    <w:rsid w:val="00536AAB"/>
    <w:rsid w:val="005455CA"/>
    <w:rsid w:val="005475F3"/>
    <w:rsid w:val="00550C73"/>
    <w:rsid w:val="005562FA"/>
    <w:rsid w:val="00563F91"/>
    <w:rsid w:val="00564222"/>
    <w:rsid w:val="005642CD"/>
    <w:rsid w:val="0057187F"/>
    <w:rsid w:val="005814C8"/>
    <w:rsid w:val="00582D67"/>
    <w:rsid w:val="005938AD"/>
    <w:rsid w:val="005941F2"/>
    <w:rsid w:val="005956E5"/>
    <w:rsid w:val="005969D4"/>
    <w:rsid w:val="005A09CB"/>
    <w:rsid w:val="005A0A48"/>
    <w:rsid w:val="005A4217"/>
    <w:rsid w:val="005B0E1B"/>
    <w:rsid w:val="005B1B96"/>
    <w:rsid w:val="005B5DEC"/>
    <w:rsid w:val="005C7730"/>
    <w:rsid w:val="005D240D"/>
    <w:rsid w:val="005D456D"/>
    <w:rsid w:val="005D7DC5"/>
    <w:rsid w:val="005E072E"/>
    <w:rsid w:val="005E1708"/>
    <w:rsid w:val="005E170C"/>
    <w:rsid w:val="005E26E0"/>
    <w:rsid w:val="005E2C4C"/>
    <w:rsid w:val="005E3192"/>
    <w:rsid w:val="005E4FFB"/>
    <w:rsid w:val="005E7A06"/>
    <w:rsid w:val="005F048D"/>
    <w:rsid w:val="005F46F5"/>
    <w:rsid w:val="005F7627"/>
    <w:rsid w:val="00600CE4"/>
    <w:rsid w:val="006017F1"/>
    <w:rsid w:val="0060286A"/>
    <w:rsid w:val="00603BAC"/>
    <w:rsid w:val="006068A6"/>
    <w:rsid w:val="0061149B"/>
    <w:rsid w:val="006157E5"/>
    <w:rsid w:val="0061648E"/>
    <w:rsid w:val="00617DA9"/>
    <w:rsid w:val="00621070"/>
    <w:rsid w:val="0062232E"/>
    <w:rsid w:val="006238AB"/>
    <w:rsid w:val="00623900"/>
    <w:rsid w:val="00626DB2"/>
    <w:rsid w:val="00630F21"/>
    <w:rsid w:val="00641414"/>
    <w:rsid w:val="00652450"/>
    <w:rsid w:val="00653D70"/>
    <w:rsid w:val="00657820"/>
    <w:rsid w:val="00657FA5"/>
    <w:rsid w:val="00657FB1"/>
    <w:rsid w:val="006631D5"/>
    <w:rsid w:val="006649DF"/>
    <w:rsid w:val="006768A1"/>
    <w:rsid w:val="00677BA1"/>
    <w:rsid w:val="00686365"/>
    <w:rsid w:val="00692959"/>
    <w:rsid w:val="00693DFA"/>
    <w:rsid w:val="006971E8"/>
    <w:rsid w:val="006A3B88"/>
    <w:rsid w:val="006A4749"/>
    <w:rsid w:val="006A67B3"/>
    <w:rsid w:val="006A72C8"/>
    <w:rsid w:val="006A743E"/>
    <w:rsid w:val="006B07CA"/>
    <w:rsid w:val="006B3629"/>
    <w:rsid w:val="006B7D82"/>
    <w:rsid w:val="006C2EDA"/>
    <w:rsid w:val="006C372F"/>
    <w:rsid w:val="006C76AC"/>
    <w:rsid w:val="006C7729"/>
    <w:rsid w:val="006D279A"/>
    <w:rsid w:val="006D4CCF"/>
    <w:rsid w:val="006D6187"/>
    <w:rsid w:val="006E394F"/>
    <w:rsid w:val="006E4213"/>
    <w:rsid w:val="006E45FA"/>
    <w:rsid w:val="006E5C24"/>
    <w:rsid w:val="006F1937"/>
    <w:rsid w:val="006F1FDD"/>
    <w:rsid w:val="006F3A10"/>
    <w:rsid w:val="006F57A5"/>
    <w:rsid w:val="006F5AD5"/>
    <w:rsid w:val="006F7CE5"/>
    <w:rsid w:val="007040FD"/>
    <w:rsid w:val="00711913"/>
    <w:rsid w:val="00715F65"/>
    <w:rsid w:val="007169E0"/>
    <w:rsid w:val="0071733E"/>
    <w:rsid w:val="00720459"/>
    <w:rsid w:val="007210CA"/>
    <w:rsid w:val="00726385"/>
    <w:rsid w:val="00730BAB"/>
    <w:rsid w:val="00735137"/>
    <w:rsid w:val="00740954"/>
    <w:rsid w:val="00747B52"/>
    <w:rsid w:val="007553F8"/>
    <w:rsid w:val="007617B6"/>
    <w:rsid w:val="007617ED"/>
    <w:rsid w:val="007626BB"/>
    <w:rsid w:val="007645F5"/>
    <w:rsid w:val="007667A9"/>
    <w:rsid w:val="00775517"/>
    <w:rsid w:val="007914F4"/>
    <w:rsid w:val="00792C26"/>
    <w:rsid w:val="007950A3"/>
    <w:rsid w:val="00795C2B"/>
    <w:rsid w:val="00796009"/>
    <w:rsid w:val="007975B2"/>
    <w:rsid w:val="007A060A"/>
    <w:rsid w:val="007A2B2E"/>
    <w:rsid w:val="007A5150"/>
    <w:rsid w:val="007A5237"/>
    <w:rsid w:val="007A5F28"/>
    <w:rsid w:val="007A6524"/>
    <w:rsid w:val="007A6AEA"/>
    <w:rsid w:val="007B2628"/>
    <w:rsid w:val="007C54C3"/>
    <w:rsid w:val="007C68F2"/>
    <w:rsid w:val="007C77F3"/>
    <w:rsid w:val="007D28FC"/>
    <w:rsid w:val="007D2AD9"/>
    <w:rsid w:val="007D4816"/>
    <w:rsid w:val="007D4E4E"/>
    <w:rsid w:val="007D51BD"/>
    <w:rsid w:val="007E104A"/>
    <w:rsid w:val="007E1FD8"/>
    <w:rsid w:val="007E6CF0"/>
    <w:rsid w:val="008070B5"/>
    <w:rsid w:val="0081389A"/>
    <w:rsid w:val="0081441D"/>
    <w:rsid w:val="00820E17"/>
    <w:rsid w:val="00821B28"/>
    <w:rsid w:val="00823F07"/>
    <w:rsid w:val="00824018"/>
    <w:rsid w:val="00825B74"/>
    <w:rsid w:val="0082776E"/>
    <w:rsid w:val="008300FF"/>
    <w:rsid w:val="00831A33"/>
    <w:rsid w:val="00832347"/>
    <w:rsid w:val="008376AD"/>
    <w:rsid w:val="008405EE"/>
    <w:rsid w:val="0084192B"/>
    <w:rsid w:val="0084401D"/>
    <w:rsid w:val="0086195F"/>
    <w:rsid w:val="008628CB"/>
    <w:rsid w:val="00862A16"/>
    <w:rsid w:val="00862F3A"/>
    <w:rsid w:val="00863CF7"/>
    <w:rsid w:val="00866D5F"/>
    <w:rsid w:val="008670BE"/>
    <w:rsid w:val="00870F49"/>
    <w:rsid w:val="00870FD6"/>
    <w:rsid w:val="00871EC9"/>
    <w:rsid w:val="0087239D"/>
    <w:rsid w:val="00875A11"/>
    <w:rsid w:val="00875FEA"/>
    <w:rsid w:val="008773F1"/>
    <w:rsid w:val="00877B69"/>
    <w:rsid w:val="008837C7"/>
    <w:rsid w:val="00885B63"/>
    <w:rsid w:val="008912AD"/>
    <w:rsid w:val="00892539"/>
    <w:rsid w:val="008950E6"/>
    <w:rsid w:val="00896853"/>
    <w:rsid w:val="008A1762"/>
    <w:rsid w:val="008A2C0F"/>
    <w:rsid w:val="008A2E74"/>
    <w:rsid w:val="008A7453"/>
    <w:rsid w:val="008B4837"/>
    <w:rsid w:val="008B5A52"/>
    <w:rsid w:val="008C34CC"/>
    <w:rsid w:val="008C418A"/>
    <w:rsid w:val="008C4686"/>
    <w:rsid w:val="008D0676"/>
    <w:rsid w:val="008D21C2"/>
    <w:rsid w:val="008D2325"/>
    <w:rsid w:val="008E11B7"/>
    <w:rsid w:val="008E23F5"/>
    <w:rsid w:val="008E5D74"/>
    <w:rsid w:val="008E5F06"/>
    <w:rsid w:val="008F01A4"/>
    <w:rsid w:val="008F10F9"/>
    <w:rsid w:val="008F5AF9"/>
    <w:rsid w:val="008F75C9"/>
    <w:rsid w:val="009008A5"/>
    <w:rsid w:val="00901443"/>
    <w:rsid w:val="00901EF1"/>
    <w:rsid w:val="00902EEC"/>
    <w:rsid w:val="0090433F"/>
    <w:rsid w:val="009049CD"/>
    <w:rsid w:val="009060B5"/>
    <w:rsid w:val="00910A87"/>
    <w:rsid w:val="00911EA4"/>
    <w:rsid w:val="00917241"/>
    <w:rsid w:val="00920354"/>
    <w:rsid w:val="0092064F"/>
    <w:rsid w:val="00933C63"/>
    <w:rsid w:val="00934FEC"/>
    <w:rsid w:val="00944974"/>
    <w:rsid w:val="00945509"/>
    <w:rsid w:val="00951258"/>
    <w:rsid w:val="00955392"/>
    <w:rsid w:val="00957E63"/>
    <w:rsid w:val="0096593D"/>
    <w:rsid w:val="00984C44"/>
    <w:rsid w:val="009927AF"/>
    <w:rsid w:val="009976F6"/>
    <w:rsid w:val="009A5C8F"/>
    <w:rsid w:val="009B0FA9"/>
    <w:rsid w:val="009B38DD"/>
    <w:rsid w:val="009B394B"/>
    <w:rsid w:val="009B3C64"/>
    <w:rsid w:val="009B7EEF"/>
    <w:rsid w:val="009C3A24"/>
    <w:rsid w:val="009C5317"/>
    <w:rsid w:val="009C67AB"/>
    <w:rsid w:val="009D38F0"/>
    <w:rsid w:val="009E204A"/>
    <w:rsid w:val="009E5DE9"/>
    <w:rsid w:val="009E6429"/>
    <w:rsid w:val="009E667C"/>
    <w:rsid w:val="009E6A59"/>
    <w:rsid w:val="009F0582"/>
    <w:rsid w:val="009F12DC"/>
    <w:rsid w:val="009F17C8"/>
    <w:rsid w:val="009F72EC"/>
    <w:rsid w:val="00A00161"/>
    <w:rsid w:val="00A0796C"/>
    <w:rsid w:val="00A11403"/>
    <w:rsid w:val="00A1287C"/>
    <w:rsid w:val="00A17361"/>
    <w:rsid w:val="00A177DA"/>
    <w:rsid w:val="00A25193"/>
    <w:rsid w:val="00A254BF"/>
    <w:rsid w:val="00A34460"/>
    <w:rsid w:val="00A35A9C"/>
    <w:rsid w:val="00A369C8"/>
    <w:rsid w:val="00A40BA1"/>
    <w:rsid w:val="00A4100D"/>
    <w:rsid w:val="00A52506"/>
    <w:rsid w:val="00A54AC2"/>
    <w:rsid w:val="00A54B9D"/>
    <w:rsid w:val="00A60D84"/>
    <w:rsid w:val="00A62A46"/>
    <w:rsid w:val="00A66E84"/>
    <w:rsid w:val="00A71AC6"/>
    <w:rsid w:val="00A7478B"/>
    <w:rsid w:val="00A76E8E"/>
    <w:rsid w:val="00A876FB"/>
    <w:rsid w:val="00A9103C"/>
    <w:rsid w:val="00A97581"/>
    <w:rsid w:val="00AA146B"/>
    <w:rsid w:val="00AA22F4"/>
    <w:rsid w:val="00AA36E3"/>
    <w:rsid w:val="00AA5147"/>
    <w:rsid w:val="00AB0437"/>
    <w:rsid w:val="00AB5511"/>
    <w:rsid w:val="00AC071A"/>
    <w:rsid w:val="00AC1C40"/>
    <w:rsid w:val="00AC3CED"/>
    <w:rsid w:val="00AC732D"/>
    <w:rsid w:val="00AC7DA7"/>
    <w:rsid w:val="00AD0594"/>
    <w:rsid w:val="00AD68E6"/>
    <w:rsid w:val="00AE40D1"/>
    <w:rsid w:val="00AE43EB"/>
    <w:rsid w:val="00AE57E7"/>
    <w:rsid w:val="00AF5FEB"/>
    <w:rsid w:val="00AF7202"/>
    <w:rsid w:val="00AF7F10"/>
    <w:rsid w:val="00B0230F"/>
    <w:rsid w:val="00B0737F"/>
    <w:rsid w:val="00B108D8"/>
    <w:rsid w:val="00B15259"/>
    <w:rsid w:val="00B210D4"/>
    <w:rsid w:val="00B21B57"/>
    <w:rsid w:val="00B2351F"/>
    <w:rsid w:val="00B276EA"/>
    <w:rsid w:val="00B27C3B"/>
    <w:rsid w:val="00B306A6"/>
    <w:rsid w:val="00B355CD"/>
    <w:rsid w:val="00B358F7"/>
    <w:rsid w:val="00B4146C"/>
    <w:rsid w:val="00B4188B"/>
    <w:rsid w:val="00B43612"/>
    <w:rsid w:val="00B472A2"/>
    <w:rsid w:val="00B51369"/>
    <w:rsid w:val="00B54D94"/>
    <w:rsid w:val="00B55602"/>
    <w:rsid w:val="00B56F28"/>
    <w:rsid w:val="00B67481"/>
    <w:rsid w:val="00B708ED"/>
    <w:rsid w:val="00B72247"/>
    <w:rsid w:val="00B751BF"/>
    <w:rsid w:val="00B762ED"/>
    <w:rsid w:val="00B81D8E"/>
    <w:rsid w:val="00B842FE"/>
    <w:rsid w:val="00B90FA2"/>
    <w:rsid w:val="00B92C53"/>
    <w:rsid w:val="00B939AA"/>
    <w:rsid w:val="00B946A2"/>
    <w:rsid w:val="00B96441"/>
    <w:rsid w:val="00BA030A"/>
    <w:rsid w:val="00BA1F80"/>
    <w:rsid w:val="00BA35AB"/>
    <w:rsid w:val="00BA500B"/>
    <w:rsid w:val="00BA703F"/>
    <w:rsid w:val="00BB18AF"/>
    <w:rsid w:val="00BB53EA"/>
    <w:rsid w:val="00BB7278"/>
    <w:rsid w:val="00BC38AB"/>
    <w:rsid w:val="00BC7286"/>
    <w:rsid w:val="00BC7C1C"/>
    <w:rsid w:val="00BD38D0"/>
    <w:rsid w:val="00BD7237"/>
    <w:rsid w:val="00BD78C4"/>
    <w:rsid w:val="00BE0B99"/>
    <w:rsid w:val="00BE3972"/>
    <w:rsid w:val="00BE3A0C"/>
    <w:rsid w:val="00BE427D"/>
    <w:rsid w:val="00BE61F0"/>
    <w:rsid w:val="00BE647D"/>
    <w:rsid w:val="00BF379C"/>
    <w:rsid w:val="00C00D8D"/>
    <w:rsid w:val="00C10374"/>
    <w:rsid w:val="00C1357F"/>
    <w:rsid w:val="00C170E9"/>
    <w:rsid w:val="00C22D36"/>
    <w:rsid w:val="00C23C00"/>
    <w:rsid w:val="00C2797E"/>
    <w:rsid w:val="00C31440"/>
    <w:rsid w:val="00C3453D"/>
    <w:rsid w:val="00C36881"/>
    <w:rsid w:val="00C427F4"/>
    <w:rsid w:val="00C429DF"/>
    <w:rsid w:val="00C43A2C"/>
    <w:rsid w:val="00C45538"/>
    <w:rsid w:val="00C5218E"/>
    <w:rsid w:val="00C562EE"/>
    <w:rsid w:val="00C66506"/>
    <w:rsid w:val="00C66785"/>
    <w:rsid w:val="00C7153F"/>
    <w:rsid w:val="00C71850"/>
    <w:rsid w:val="00C734E8"/>
    <w:rsid w:val="00C73866"/>
    <w:rsid w:val="00C76181"/>
    <w:rsid w:val="00C77946"/>
    <w:rsid w:val="00C77C24"/>
    <w:rsid w:val="00C85790"/>
    <w:rsid w:val="00C87478"/>
    <w:rsid w:val="00C90BF2"/>
    <w:rsid w:val="00CA21AF"/>
    <w:rsid w:val="00CA5C73"/>
    <w:rsid w:val="00CA60DD"/>
    <w:rsid w:val="00CB42DD"/>
    <w:rsid w:val="00CB7129"/>
    <w:rsid w:val="00CC7555"/>
    <w:rsid w:val="00CC778B"/>
    <w:rsid w:val="00CD3802"/>
    <w:rsid w:val="00CD458A"/>
    <w:rsid w:val="00CD4795"/>
    <w:rsid w:val="00CD5111"/>
    <w:rsid w:val="00CD5FF8"/>
    <w:rsid w:val="00CF0847"/>
    <w:rsid w:val="00CF0E1B"/>
    <w:rsid w:val="00D014C9"/>
    <w:rsid w:val="00D045B4"/>
    <w:rsid w:val="00D04B35"/>
    <w:rsid w:val="00D059EA"/>
    <w:rsid w:val="00D10245"/>
    <w:rsid w:val="00D14852"/>
    <w:rsid w:val="00D16575"/>
    <w:rsid w:val="00D17C75"/>
    <w:rsid w:val="00D2223C"/>
    <w:rsid w:val="00D30C52"/>
    <w:rsid w:val="00D32A0F"/>
    <w:rsid w:val="00D357F0"/>
    <w:rsid w:val="00D36209"/>
    <w:rsid w:val="00D4642C"/>
    <w:rsid w:val="00D5753F"/>
    <w:rsid w:val="00D6757E"/>
    <w:rsid w:val="00D71AC8"/>
    <w:rsid w:val="00D73511"/>
    <w:rsid w:val="00D73E45"/>
    <w:rsid w:val="00D7516F"/>
    <w:rsid w:val="00D756D0"/>
    <w:rsid w:val="00D815F0"/>
    <w:rsid w:val="00D855E2"/>
    <w:rsid w:val="00D85D02"/>
    <w:rsid w:val="00D876A5"/>
    <w:rsid w:val="00D90B04"/>
    <w:rsid w:val="00D95A7F"/>
    <w:rsid w:val="00DA2342"/>
    <w:rsid w:val="00DA46A4"/>
    <w:rsid w:val="00DA506B"/>
    <w:rsid w:val="00DA6334"/>
    <w:rsid w:val="00DB1204"/>
    <w:rsid w:val="00DB1934"/>
    <w:rsid w:val="00DC3122"/>
    <w:rsid w:val="00DC3BFE"/>
    <w:rsid w:val="00DD328F"/>
    <w:rsid w:val="00DD4C33"/>
    <w:rsid w:val="00DD6AA1"/>
    <w:rsid w:val="00DE1506"/>
    <w:rsid w:val="00DE2391"/>
    <w:rsid w:val="00DE5455"/>
    <w:rsid w:val="00DE6A51"/>
    <w:rsid w:val="00DF61B6"/>
    <w:rsid w:val="00DF660B"/>
    <w:rsid w:val="00DF748E"/>
    <w:rsid w:val="00DF77B5"/>
    <w:rsid w:val="00E02526"/>
    <w:rsid w:val="00E064E1"/>
    <w:rsid w:val="00E14949"/>
    <w:rsid w:val="00E1552B"/>
    <w:rsid w:val="00E17FE7"/>
    <w:rsid w:val="00E25422"/>
    <w:rsid w:val="00E27AC7"/>
    <w:rsid w:val="00E3280E"/>
    <w:rsid w:val="00E3396F"/>
    <w:rsid w:val="00E360C8"/>
    <w:rsid w:val="00E42799"/>
    <w:rsid w:val="00E443E5"/>
    <w:rsid w:val="00E4737B"/>
    <w:rsid w:val="00E50437"/>
    <w:rsid w:val="00E50DFE"/>
    <w:rsid w:val="00E52032"/>
    <w:rsid w:val="00E5392B"/>
    <w:rsid w:val="00E545CC"/>
    <w:rsid w:val="00E6228F"/>
    <w:rsid w:val="00E625EF"/>
    <w:rsid w:val="00E667EC"/>
    <w:rsid w:val="00E72EC3"/>
    <w:rsid w:val="00E73C0B"/>
    <w:rsid w:val="00E73FFC"/>
    <w:rsid w:val="00E747C8"/>
    <w:rsid w:val="00E7527D"/>
    <w:rsid w:val="00E75586"/>
    <w:rsid w:val="00E82BCC"/>
    <w:rsid w:val="00E832FE"/>
    <w:rsid w:val="00E87D23"/>
    <w:rsid w:val="00E9317A"/>
    <w:rsid w:val="00EB2D8D"/>
    <w:rsid w:val="00EB72DC"/>
    <w:rsid w:val="00EC2FF5"/>
    <w:rsid w:val="00EC3268"/>
    <w:rsid w:val="00ED0D01"/>
    <w:rsid w:val="00EE1297"/>
    <w:rsid w:val="00EE31C0"/>
    <w:rsid w:val="00EE6668"/>
    <w:rsid w:val="00EF149A"/>
    <w:rsid w:val="00EF6A6C"/>
    <w:rsid w:val="00F00197"/>
    <w:rsid w:val="00F06D4D"/>
    <w:rsid w:val="00F118B0"/>
    <w:rsid w:val="00F21607"/>
    <w:rsid w:val="00F24626"/>
    <w:rsid w:val="00F25B96"/>
    <w:rsid w:val="00F30D31"/>
    <w:rsid w:val="00F33100"/>
    <w:rsid w:val="00F34512"/>
    <w:rsid w:val="00F34B1A"/>
    <w:rsid w:val="00F36CC4"/>
    <w:rsid w:val="00F45230"/>
    <w:rsid w:val="00F46096"/>
    <w:rsid w:val="00F47AD8"/>
    <w:rsid w:val="00F51222"/>
    <w:rsid w:val="00F5639C"/>
    <w:rsid w:val="00F600A1"/>
    <w:rsid w:val="00F60AC6"/>
    <w:rsid w:val="00F642F4"/>
    <w:rsid w:val="00F74EA2"/>
    <w:rsid w:val="00F7601C"/>
    <w:rsid w:val="00F76E94"/>
    <w:rsid w:val="00F77AB0"/>
    <w:rsid w:val="00F849F2"/>
    <w:rsid w:val="00F8580A"/>
    <w:rsid w:val="00F86709"/>
    <w:rsid w:val="00F907E9"/>
    <w:rsid w:val="00F90856"/>
    <w:rsid w:val="00F91272"/>
    <w:rsid w:val="00FA73FA"/>
    <w:rsid w:val="00FB072E"/>
    <w:rsid w:val="00FB0CB0"/>
    <w:rsid w:val="00FB0ED8"/>
    <w:rsid w:val="00FB726A"/>
    <w:rsid w:val="00FC3ED2"/>
    <w:rsid w:val="00FC3F14"/>
    <w:rsid w:val="00FC49A9"/>
    <w:rsid w:val="00FD55A3"/>
    <w:rsid w:val="00FE0AB2"/>
    <w:rsid w:val="00FE5957"/>
    <w:rsid w:val="00FE68F6"/>
    <w:rsid w:val="00FE7361"/>
    <w:rsid w:val="00FE75C4"/>
    <w:rsid w:val="00FF14E5"/>
    <w:rsid w:val="00FF2CFF"/>
    <w:rsid w:val="00FF6286"/>
    <w:rsid w:val="00FF647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55A8E0"/>
  <w15:docId w15:val="{7330BD59-E8D6-4CF9-8A55-6ADA8BBBF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SimSun"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9C67AB"/>
    <w:pPr>
      <w:spacing w:after="0" w:line="360" w:lineRule="auto"/>
      <w:ind w:firstLine="709"/>
      <w:jc w:val="both"/>
    </w:pPr>
    <w:rPr>
      <w:rFonts w:asciiTheme="majorBidi" w:hAnsiTheme="majorBidi"/>
      <w:sz w:val="28"/>
    </w:rPr>
  </w:style>
  <w:style w:type="paragraph" w:styleId="15">
    <w:name w:val="heading 1"/>
    <w:basedOn w:val="a3"/>
    <w:next w:val="a3"/>
    <w:link w:val="16"/>
    <w:uiPriority w:val="9"/>
    <w:qFormat/>
    <w:rsid w:val="00AF7202"/>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1">
    <w:name w:val="heading 2"/>
    <w:basedOn w:val="a3"/>
    <w:next w:val="a3"/>
    <w:link w:val="22"/>
    <w:uiPriority w:val="9"/>
    <w:unhideWhenUsed/>
    <w:qFormat/>
    <w:rsid w:val="001B7B25"/>
    <w:pPr>
      <w:spacing w:line="264" w:lineRule="auto"/>
      <w:ind w:firstLine="0"/>
      <w:jc w:val="center"/>
      <w:outlineLvl w:val="1"/>
    </w:pPr>
    <w:rPr>
      <w:rFonts w:ascii="Arial" w:eastAsia="Calibri" w:hAnsi="Arial" w:cs="Arial"/>
      <w:b/>
      <w:szCs w:val="28"/>
      <w:lang w:val="uk-UA"/>
    </w:rPr>
  </w:style>
  <w:style w:type="paragraph" w:styleId="30">
    <w:name w:val="heading 3"/>
    <w:basedOn w:val="a3"/>
    <w:next w:val="a3"/>
    <w:link w:val="31"/>
    <w:uiPriority w:val="9"/>
    <w:unhideWhenUsed/>
    <w:qFormat/>
    <w:rsid w:val="00073166"/>
    <w:pPr>
      <w:keepNext/>
      <w:jc w:val="center"/>
      <w:outlineLvl w:val="2"/>
    </w:pPr>
    <w:rPr>
      <w:b/>
      <w:bCs/>
      <w:i/>
      <w:iCs/>
      <w:lang w:eastAsia="ru-RU"/>
    </w:rPr>
  </w:style>
  <w:style w:type="paragraph" w:styleId="40">
    <w:name w:val="heading 4"/>
    <w:basedOn w:val="a3"/>
    <w:next w:val="a3"/>
    <w:link w:val="41"/>
    <w:uiPriority w:val="9"/>
    <w:unhideWhenUsed/>
    <w:qFormat/>
    <w:rsid w:val="00073166"/>
    <w:pPr>
      <w:keepNext/>
      <w:ind w:firstLine="0"/>
      <w:jc w:val="center"/>
      <w:outlineLvl w:val="3"/>
    </w:pPr>
    <w:rPr>
      <w:b/>
      <w:bCs/>
      <w:i/>
      <w:iCs/>
      <w:lang w:eastAsia="ru-RU"/>
    </w:rPr>
  </w:style>
  <w:style w:type="paragraph" w:styleId="50">
    <w:name w:val="heading 5"/>
    <w:basedOn w:val="17"/>
    <w:next w:val="17"/>
    <w:link w:val="51"/>
    <w:uiPriority w:val="9"/>
    <w:qFormat/>
    <w:rsid w:val="004F3EFB"/>
    <w:pPr>
      <w:keepNext/>
      <w:keepLines/>
      <w:spacing w:before="220" w:after="40"/>
      <w:outlineLvl w:val="4"/>
    </w:pPr>
    <w:rPr>
      <w:b/>
      <w:sz w:val="22"/>
      <w:szCs w:val="22"/>
    </w:rPr>
  </w:style>
  <w:style w:type="paragraph" w:styleId="6">
    <w:name w:val="heading 6"/>
    <w:basedOn w:val="17"/>
    <w:next w:val="17"/>
    <w:link w:val="60"/>
    <w:uiPriority w:val="9"/>
    <w:qFormat/>
    <w:rsid w:val="004F3EFB"/>
    <w:pPr>
      <w:keepNext/>
      <w:keepLines/>
      <w:spacing w:before="200" w:after="40"/>
      <w:outlineLvl w:val="5"/>
    </w:pPr>
    <w:rPr>
      <w:b/>
      <w:sz w:val="20"/>
      <w:szCs w:val="20"/>
    </w:rPr>
  </w:style>
  <w:style w:type="paragraph" w:styleId="7">
    <w:name w:val="heading 7"/>
    <w:basedOn w:val="a3"/>
    <w:next w:val="a3"/>
    <w:link w:val="70"/>
    <w:uiPriority w:val="9"/>
    <w:semiHidden/>
    <w:unhideWhenUsed/>
    <w:qFormat/>
    <w:rsid w:val="005F048D"/>
    <w:pPr>
      <w:keepNext/>
      <w:keepLines/>
      <w:spacing w:before="40"/>
      <w:outlineLvl w:val="6"/>
    </w:pPr>
    <w:rPr>
      <w:rFonts w:ascii="Aptos" w:eastAsia="Times New Roman" w:hAnsi="Aptos" w:cs="Times New Roman"/>
      <w:color w:val="595959"/>
      <w:sz w:val="22"/>
      <w:lang w:eastAsia="uk-UA"/>
    </w:rPr>
  </w:style>
  <w:style w:type="paragraph" w:styleId="80">
    <w:name w:val="heading 8"/>
    <w:basedOn w:val="a3"/>
    <w:next w:val="a3"/>
    <w:link w:val="81"/>
    <w:uiPriority w:val="9"/>
    <w:semiHidden/>
    <w:unhideWhenUsed/>
    <w:qFormat/>
    <w:rsid w:val="005F048D"/>
    <w:pPr>
      <w:keepNext/>
      <w:keepLines/>
      <w:spacing w:before="40"/>
      <w:outlineLvl w:val="7"/>
    </w:pPr>
    <w:rPr>
      <w:rFonts w:ascii="Aptos" w:eastAsia="Times New Roman" w:hAnsi="Aptos" w:cs="Times New Roman"/>
      <w:i/>
      <w:iCs/>
      <w:color w:val="272727"/>
      <w:sz w:val="22"/>
      <w:lang w:eastAsia="uk-UA"/>
    </w:rPr>
  </w:style>
  <w:style w:type="paragraph" w:styleId="9">
    <w:name w:val="heading 9"/>
    <w:basedOn w:val="a3"/>
    <w:next w:val="a3"/>
    <w:link w:val="90"/>
    <w:uiPriority w:val="9"/>
    <w:semiHidden/>
    <w:unhideWhenUsed/>
    <w:qFormat/>
    <w:rsid w:val="005F048D"/>
    <w:pPr>
      <w:keepNext/>
      <w:keepLines/>
      <w:spacing w:before="40"/>
      <w:outlineLvl w:val="8"/>
    </w:pPr>
    <w:rPr>
      <w:rFonts w:ascii="Aptos" w:eastAsia="Times New Roman" w:hAnsi="Aptos" w:cs="Times New Roman"/>
      <w:color w:val="272727"/>
      <w:sz w:val="22"/>
      <w:lang w:eastAsia="uk-UA"/>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6">
    <w:name w:val="Заголовок 1 Знак"/>
    <w:basedOn w:val="a4"/>
    <w:link w:val="15"/>
    <w:uiPriority w:val="9"/>
    <w:rsid w:val="00AF7202"/>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4"/>
    <w:link w:val="21"/>
    <w:uiPriority w:val="9"/>
    <w:rsid w:val="001B7B25"/>
    <w:rPr>
      <w:rFonts w:ascii="Arial" w:eastAsia="Calibri" w:hAnsi="Arial" w:cs="Arial"/>
      <w:b/>
      <w:sz w:val="28"/>
      <w:szCs w:val="28"/>
      <w:lang w:val="uk-UA"/>
    </w:rPr>
  </w:style>
  <w:style w:type="character" w:customStyle="1" w:styleId="31">
    <w:name w:val="Заголовок 3 Знак"/>
    <w:basedOn w:val="a4"/>
    <w:link w:val="30"/>
    <w:uiPriority w:val="9"/>
    <w:rsid w:val="00073166"/>
    <w:rPr>
      <w:rFonts w:asciiTheme="majorBidi" w:hAnsiTheme="majorBidi"/>
      <w:b/>
      <w:bCs/>
      <w:i/>
      <w:iCs/>
      <w:sz w:val="28"/>
      <w:lang w:eastAsia="ru-RU"/>
    </w:rPr>
  </w:style>
  <w:style w:type="character" w:customStyle="1" w:styleId="41">
    <w:name w:val="Заголовок 4 Знак"/>
    <w:basedOn w:val="a4"/>
    <w:link w:val="40"/>
    <w:uiPriority w:val="9"/>
    <w:rsid w:val="00073166"/>
    <w:rPr>
      <w:rFonts w:asciiTheme="majorBidi" w:hAnsiTheme="majorBidi"/>
      <w:b/>
      <w:bCs/>
      <w:i/>
      <w:iCs/>
      <w:sz w:val="28"/>
      <w:lang w:eastAsia="ru-RU"/>
    </w:rPr>
  </w:style>
  <w:style w:type="paragraph" w:styleId="a7">
    <w:name w:val="Normal (Web)"/>
    <w:aliases w:val="Обычный (веб) Знак,Обычный (веб) Знак1,Обычный (веб) Знак Знак,Обычный (Web),Обычный (веб) Знак Знак Char Знак,Обычный (веб) Знак Знак Char Char Знак,Обычный (веб) Знак Знак Знак Знак,Обычный (веб) Знак Знак Знак1"/>
    <w:basedOn w:val="a3"/>
    <w:link w:val="a8"/>
    <w:uiPriority w:val="99"/>
    <w:unhideWhenUsed/>
    <w:qFormat/>
    <w:rsid w:val="00AF7202"/>
    <w:pPr>
      <w:spacing w:before="100" w:beforeAutospacing="1" w:after="100" w:afterAutospacing="1" w:line="240" w:lineRule="auto"/>
      <w:ind w:firstLine="0"/>
      <w:jc w:val="left"/>
    </w:pPr>
    <w:rPr>
      <w:rFonts w:ascii="Times New Roman" w:eastAsia="Times New Roman" w:hAnsi="Times New Roman" w:cs="Times New Roman"/>
      <w:sz w:val="24"/>
      <w:szCs w:val="24"/>
      <w:lang w:eastAsia="ru-RU"/>
    </w:rPr>
  </w:style>
  <w:style w:type="character" w:customStyle="1" w:styleId="a9">
    <w:name w:val="СЕКЦИЯ Знак"/>
    <w:basedOn w:val="a4"/>
    <w:link w:val="aa"/>
    <w:locked/>
    <w:rsid w:val="00AF7202"/>
    <w:rPr>
      <w:rFonts w:ascii="Times New Roman" w:eastAsiaTheme="majorEastAsia" w:hAnsi="Times New Roman" w:cs="Times New Roman"/>
      <w:b/>
      <w:bCs/>
      <w:color w:val="000000"/>
      <w:sz w:val="36"/>
      <w:szCs w:val="36"/>
      <w:lang w:val="uk-UA"/>
    </w:rPr>
  </w:style>
  <w:style w:type="paragraph" w:customStyle="1" w:styleId="aa">
    <w:name w:val="СЕКЦИЯ"/>
    <w:basedOn w:val="15"/>
    <w:next w:val="a3"/>
    <w:link w:val="a9"/>
    <w:qFormat/>
    <w:rsid w:val="00AF7202"/>
    <w:pPr>
      <w:pBdr>
        <w:bottom w:val="single" w:sz="12" w:space="1" w:color="auto"/>
      </w:pBdr>
      <w:spacing w:after="120" w:line="254" w:lineRule="auto"/>
      <w:ind w:firstLine="0"/>
      <w:jc w:val="center"/>
    </w:pPr>
    <w:rPr>
      <w:rFonts w:ascii="Times New Roman" w:hAnsi="Times New Roman" w:cs="Times New Roman"/>
      <w:color w:val="000000"/>
      <w:sz w:val="36"/>
      <w:szCs w:val="36"/>
      <w:lang w:val="uk-UA"/>
    </w:rPr>
  </w:style>
  <w:style w:type="character" w:styleId="ab">
    <w:name w:val="Hyperlink"/>
    <w:basedOn w:val="a4"/>
    <w:uiPriority w:val="99"/>
    <w:unhideWhenUsed/>
    <w:qFormat/>
    <w:rsid w:val="00AF7202"/>
    <w:rPr>
      <w:color w:val="0000FF"/>
      <w:u w:val="single"/>
    </w:rPr>
  </w:style>
  <w:style w:type="paragraph" w:styleId="ac">
    <w:name w:val="Body Text Indent"/>
    <w:basedOn w:val="a3"/>
    <w:link w:val="ad"/>
    <w:uiPriority w:val="99"/>
    <w:unhideWhenUsed/>
    <w:rsid w:val="0090433F"/>
    <w:pPr>
      <w:jc w:val="center"/>
    </w:pPr>
    <w:rPr>
      <w:b/>
      <w:bCs/>
      <w:lang w:eastAsia="ru-RU"/>
    </w:rPr>
  </w:style>
  <w:style w:type="character" w:customStyle="1" w:styleId="ad">
    <w:name w:val="Основной текст с отступом Знак"/>
    <w:basedOn w:val="a4"/>
    <w:link w:val="ac"/>
    <w:uiPriority w:val="99"/>
    <w:rsid w:val="0090433F"/>
    <w:rPr>
      <w:rFonts w:asciiTheme="majorBidi" w:hAnsiTheme="majorBidi"/>
      <w:b/>
      <w:bCs/>
      <w:sz w:val="28"/>
      <w:lang w:eastAsia="ru-RU"/>
    </w:rPr>
  </w:style>
  <w:style w:type="paragraph" w:styleId="ae">
    <w:name w:val="Body Text"/>
    <w:basedOn w:val="a3"/>
    <w:link w:val="af"/>
    <w:uiPriority w:val="1"/>
    <w:unhideWhenUsed/>
    <w:qFormat/>
    <w:rsid w:val="0090433F"/>
    <w:pPr>
      <w:ind w:firstLine="0"/>
      <w:jc w:val="center"/>
    </w:pPr>
    <w:rPr>
      <w:b/>
      <w:bCs/>
      <w:lang w:eastAsia="ru-RU"/>
    </w:rPr>
  </w:style>
  <w:style w:type="character" w:customStyle="1" w:styleId="af">
    <w:name w:val="Основной текст Знак"/>
    <w:basedOn w:val="a4"/>
    <w:link w:val="ae"/>
    <w:uiPriority w:val="1"/>
    <w:rsid w:val="0090433F"/>
    <w:rPr>
      <w:rFonts w:asciiTheme="majorBidi" w:hAnsiTheme="majorBidi"/>
      <w:b/>
      <w:bCs/>
      <w:sz w:val="28"/>
      <w:lang w:eastAsia="ru-RU"/>
    </w:rPr>
  </w:style>
  <w:style w:type="paragraph" w:styleId="23">
    <w:name w:val="Body Text 2"/>
    <w:basedOn w:val="a3"/>
    <w:link w:val="24"/>
    <w:uiPriority w:val="99"/>
    <w:unhideWhenUsed/>
    <w:rsid w:val="00073166"/>
    <w:pPr>
      <w:ind w:firstLine="0"/>
      <w:jc w:val="center"/>
    </w:pPr>
    <w:rPr>
      <w:lang w:eastAsia="ru-RU"/>
    </w:rPr>
  </w:style>
  <w:style w:type="character" w:customStyle="1" w:styleId="24">
    <w:name w:val="Основной текст 2 Знак"/>
    <w:basedOn w:val="a4"/>
    <w:link w:val="23"/>
    <w:uiPriority w:val="99"/>
    <w:rsid w:val="00073166"/>
    <w:rPr>
      <w:rFonts w:asciiTheme="majorBidi" w:hAnsiTheme="majorBidi"/>
      <w:sz w:val="28"/>
      <w:lang w:eastAsia="ru-RU"/>
    </w:rPr>
  </w:style>
  <w:style w:type="paragraph" w:styleId="af0">
    <w:name w:val="List Paragraph"/>
    <w:basedOn w:val="a3"/>
    <w:link w:val="af1"/>
    <w:uiPriority w:val="34"/>
    <w:qFormat/>
    <w:rsid w:val="00621070"/>
    <w:pPr>
      <w:ind w:left="720"/>
      <w:contextualSpacing/>
    </w:pPr>
  </w:style>
  <w:style w:type="paragraph" w:styleId="af2">
    <w:name w:val="No Spacing"/>
    <w:uiPriority w:val="1"/>
    <w:qFormat/>
    <w:rsid w:val="00BC7C1C"/>
    <w:pPr>
      <w:spacing w:after="0" w:line="240" w:lineRule="auto"/>
      <w:ind w:firstLine="709"/>
      <w:jc w:val="both"/>
    </w:pPr>
    <w:rPr>
      <w:rFonts w:asciiTheme="majorBidi" w:hAnsiTheme="majorBidi"/>
      <w:sz w:val="28"/>
    </w:rPr>
  </w:style>
  <w:style w:type="character" w:styleId="af3">
    <w:name w:val="Strong"/>
    <w:basedOn w:val="a4"/>
    <w:uiPriority w:val="22"/>
    <w:qFormat/>
    <w:rsid w:val="00D6757E"/>
    <w:rPr>
      <w:b/>
      <w:bCs/>
    </w:rPr>
  </w:style>
  <w:style w:type="character" w:styleId="af4">
    <w:name w:val="FollowedHyperlink"/>
    <w:basedOn w:val="a4"/>
    <w:uiPriority w:val="99"/>
    <w:unhideWhenUsed/>
    <w:rsid w:val="00AE40D1"/>
    <w:rPr>
      <w:color w:val="800080" w:themeColor="followedHyperlink"/>
      <w:u w:val="single"/>
    </w:rPr>
  </w:style>
  <w:style w:type="character" w:customStyle="1" w:styleId="-">
    <w:name w:val="Интернет-ссылка"/>
    <w:uiPriority w:val="99"/>
    <w:rsid w:val="0062232E"/>
    <w:rPr>
      <w:color w:val="000080"/>
      <w:u w:val="single"/>
    </w:rPr>
  </w:style>
  <w:style w:type="paragraph" w:customStyle="1" w:styleId="af5">
    <w:name w:val="Основной ТОЛИКА"/>
    <w:rsid w:val="0062232E"/>
    <w:pPr>
      <w:widowControl w:val="0"/>
      <w:suppressAutoHyphens/>
      <w:spacing w:after="0"/>
      <w:ind w:firstLine="709"/>
      <w:jc w:val="both"/>
    </w:pPr>
    <w:rPr>
      <w:rFonts w:ascii="Times New Roman" w:eastAsia="Times New Roman" w:hAnsi="Times New Roman" w:cs="Times New Roman"/>
      <w:sz w:val="28"/>
      <w:szCs w:val="20"/>
      <w:lang w:val="uk-UA" w:eastAsia="ru-RU"/>
    </w:rPr>
  </w:style>
  <w:style w:type="paragraph" w:customStyle="1" w:styleId="rvps2">
    <w:name w:val="rvps2"/>
    <w:basedOn w:val="a3"/>
    <w:rsid w:val="0062232E"/>
    <w:pPr>
      <w:spacing w:before="100" w:beforeAutospacing="1" w:after="100" w:afterAutospacing="1" w:line="240" w:lineRule="auto"/>
      <w:ind w:firstLine="0"/>
      <w:jc w:val="left"/>
    </w:pPr>
    <w:rPr>
      <w:rFonts w:ascii="Times New Roman" w:eastAsia="Times New Roman" w:hAnsi="Times New Roman" w:cs="Times New Roman"/>
      <w:sz w:val="24"/>
      <w:szCs w:val="24"/>
      <w:lang w:eastAsia="ru-RU"/>
    </w:rPr>
  </w:style>
  <w:style w:type="paragraph" w:styleId="af6">
    <w:name w:val="caption"/>
    <w:basedOn w:val="a3"/>
    <w:uiPriority w:val="35"/>
    <w:qFormat/>
    <w:rsid w:val="0062232E"/>
    <w:pPr>
      <w:suppressLineNumbers/>
      <w:suppressAutoHyphens/>
      <w:spacing w:before="120" w:after="120" w:line="276" w:lineRule="auto"/>
      <w:ind w:firstLine="0"/>
      <w:jc w:val="left"/>
    </w:pPr>
    <w:rPr>
      <w:rFonts w:ascii="Calibri" w:eastAsia="Calibri" w:hAnsi="Calibri" w:cs="Noto Sans Devanagari"/>
      <w:i/>
      <w:iCs/>
      <w:sz w:val="24"/>
      <w:szCs w:val="24"/>
    </w:rPr>
  </w:style>
  <w:style w:type="character" w:customStyle="1" w:styleId="apple-tab-span">
    <w:name w:val="apple-tab-span"/>
    <w:basedOn w:val="a4"/>
    <w:rsid w:val="00253217"/>
  </w:style>
  <w:style w:type="character" w:customStyle="1" w:styleId="18">
    <w:name w:val="Неразрешенное упоминание1"/>
    <w:basedOn w:val="a4"/>
    <w:uiPriority w:val="99"/>
    <w:semiHidden/>
    <w:unhideWhenUsed/>
    <w:rsid w:val="00253217"/>
    <w:rPr>
      <w:color w:val="605E5C"/>
      <w:shd w:val="clear" w:color="auto" w:fill="E1DFDD"/>
    </w:rPr>
  </w:style>
  <w:style w:type="character" w:customStyle="1" w:styleId="rvts23">
    <w:name w:val="rvts23"/>
    <w:basedOn w:val="a4"/>
    <w:rsid w:val="002C7521"/>
  </w:style>
  <w:style w:type="paragraph" w:styleId="af7">
    <w:name w:val="footnote text"/>
    <w:aliases w:val="Текст сноски Знак1,Текст сноски Знак Знак,Текст сноски Знак Знак Знак Знак,Знак Знак,Footnote Text Char Знак Знак,Footnote Text Char Знак,Footnote Text Char Знак Знак Знак Знак,Char,Table_Footnote_last Знак,FA,fn Знак,fn"/>
    <w:basedOn w:val="a3"/>
    <w:link w:val="af8"/>
    <w:uiPriority w:val="99"/>
    <w:unhideWhenUsed/>
    <w:qFormat/>
    <w:rsid w:val="00E4737B"/>
    <w:pPr>
      <w:spacing w:line="240" w:lineRule="auto"/>
      <w:ind w:firstLine="0"/>
      <w:jc w:val="left"/>
    </w:pPr>
    <w:rPr>
      <w:rFonts w:asciiTheme="minorHAnsi" w:hAnsiTheme="minorHAnsi"/>
      <w:sz w:val="20"/>
      <w:szCs w:val="20"/>
    </w:rPr>
  </w:style>
  <w:style w:type="character" w:customStyle="1" w:styleId="af8">
    <w:name w:val="Текст сноски Знак"/>
    <w:aliases w:val="Текст сноски Знак1 Знак,Текст сноски Знак Знак Знак,Текст сноски Знак Знак Знак Знак Знак,Знак Знак Знак,Footnote Text Char Знак Знак Знак,Footnote Text Char Знак Знак1,Footnote Text Char Знак Знак Знак Знак Знак,Char Знак,FA Знак"/>
    <w:basedOn w:val="a4"/>
    <w:link w:val="af7"/>
    <w:uiPriority w:val="99"/>
    <w:rsid w:val="00E4737B"/>
    <w:rPr>
      <w:sz w:val="20"/>
      <w:szCs w:val="20"/>
    </w:rPr>
  </w:style>
  <w:style w:type="character" w:customStyle="1" w:styleId="rvts15">
    <w:name w:val="rvts15"/>
    <w:basedOn w:val="a4"/>
    <w:rsid w:val="009B7EEF"/>
    <w:rPr>
      <w:rFonts w:cs="Times New Roman"/>
    </w:rPr>
  </w:style>
  <w:style w:type="paragraph" w:customStyle="1" w:styleId="19">
    <w:name w:val="Абзац списка1"/>
    <w:basedOn w:val="a3"/>
    <w:rsid w:val="00C90BF2"/>
    <w:pPr>
      <w:suppressAutoHyphens/>
      <w:spacing w:after="200" w:line="276" w:lineRule="auto"/>
      <w:ind w:left="708" w:firstLine="0"/>
      <w:jc w:val="left"/>
    </w:pPr>
    <w:rPr>
      <w:rFonts w:ascii="Calibri" w:eastAsia="Times New Roman" w:hAnsi="Calibri" w:cs="Times New Roman"/>
      <w:kern w:val="1"/>
      <w:sz w:val="22"/>
      <w:lang w:val="uk-UA" w:eastAsia="uk-UA"/>
    </w:rPr>
  </w:style>
  <w:style w:type="numbering" w:customStyle="1" w:styleId="a2">
    <w:name w:val="Номери"/>
    <w:rsid w:val="00C36881"/>
    <w:pPr>
      <w:numPr>
        <w:numId w:val="2"/>
      </w:numPr>
    </w:pPr>
  </w:style>
  <w:style w:type="paragraph" w:styleId="25">
    <w:name w:val="Body Text Indent 2"/>
    <w:basedOn w:val="a3"/>
    <w:link w:val="26"/>
    <w:uiPriority w:val="99"/>
    <w:unhideWhenUsed/>
    <w:rsid w:val="007D51BD"/>
    <w:rPr>
      <w:rFonts w:eastAsia="Times New Roman" w:cstheme="majorBidi"/>
      <w:i/>
      <w:iCs/>
      <w:szCs w:val="28"/>
      <w:lang w:eastAsia="ru-RU"/>
    </w:rPr>
  </w:style>
  <w:style w:type="character" w:customStyle="1" w:styleId="26">
    <w:name w:val="Основной текст с отступом 2 Знак"/>
    <w:basedOn w:val="a4"/>
    <w:link w:val="25"/>
    <w:uiPriority w:val="99"/>
    <w:rsid w:val="007D51BD"/>
    <w:rPr>
      <w:rFonts w:asciiTheme="majorBidi" w:eastAsia="Times New Roman" w:hAnsiTheme="majorBidi" w:cstheme="majorBidi"/>
      <w:i/>
      <w:iCs/>
      <w:sz w:val="28"/>
      <w:szCs w:val="28"/>
      <w:lang w:eastAsia="ru-RU"/>
    </w:rPr>
  </w:style>
  <w:style w:type="numbering" w:customStyle="1" w:styleId="10">
    <w:name w:val="Импортированный стиль 1.0"/>
    <w:rsid w:val="00BA1F80"/>
    <w:pPr>
      <w:numPr>
        <w:numId w:val="3"/>
      </w:numPr>
    </w:pPr>
  </w:style>
  <w:style w:type="character" w:styleId="af9">
    <w:name w:val="Emphasis"/>
    <w:basedOn w:val="a4"/>
    <w:uiPriority w:val="20"/>
    <w:qFormat/>
    <w:rsid w:val="00BA1F80"/>
    <w:rPr>
      <w:i/>
      <w:iCs/>
    </w:rPr>
  </w:style>
  <w:style w:type="paragraph" w:styleId="afa">
    <w:name w:val="Balloon Text"/>
    <w:basedOn w:val="a3"/>
    <w:link w:val="afb"/>
    <w:uiPriority w:val="99"/>
    <w:semiHidden/>
    <w:unhideWhenUsed/>
    <w:rsid w:val="007914F4"/>
    <w:pPr>
      <w:spacing w:line="240" w:lineRule="auto"/>
    </w:pPr>
    <w:rPr>
      <w:rFonts w:ascii="Tahoma" w:hAnsi="Tahoma" w:cs="Tahoma"/>
      <w:sz w:val="16"/>
      <w:szCs w:val="16"/>
    </w:rPr>
  </w:style>
  <w:style w:type="character" w:customStyle="1" w:styleId="afb">
    <w:name w:val="Текст выноски Знак"/>
    <w:basedOn w:val="a4"/>
    <w:link w:val="afa"/>
    <w:uiPriority w:val="99"/>
    <w:semiHidden/>
    <w:rsid w:val="007914F4"/>
    <w:rPr>
      <w:rFonts w:ascii="Tahoma" w:hAnsi="Tahoma" w:cs="Tahoma"/>
      <w:sz w:val="16"/>
      <w:szCs w:val="16"/>
    </w:rPr>
  </w:style>
  <w:style w:type="character" w:customStyle="1" w:styleId="51">
    <w:name w:val="Заголовок 5 Знак"/>
    <w:basedOn w:val="a4"/>
    <w:link w:val="50"/>
    <w:uiPriority w:val="9"/>
    <w:rsid w:val="004F3EFB"/>
    <w:rPr>
      <w:rFonts w:ascii="Calibri" w:eastAsia="Calibri" w:hAnsi="Calibri" w:cs="Calibri"/>
      <w:b/>
      <w:lang w:eastAsia="ru-RU"/>
    </w:rPr>
  </w:style>
  <w:style w:type="character" w:customStyle="1" w:styleId="60">
    <w:name w:val="Заголовок 6 Знак"/>
    <w:basedOn w:val="a4"/>
    <w:link w:val="6"/>
    <w:uiPriority w:val="9"/>
    <w:rsid w:val="004F3EFB"/>
    <w:rPr>
      <w:rFonts w:ascii="Calibri" w:eastAsia="Calibri" w:hAnsi="Calibri" w:cs="Calibri"/>
      <w:b/>
      <w:sz w:val="20"/>
      <w:szCs w:val="20"/>
      <w:lang w:eastAsia="ru-RU"/>
    </w:rPr>
  </w:style>
  <w:style w:type="paragraph" w:customStyle="1" w:styleId="17">
    <w:name w:val="Обычный1"/>
    <w:rsid w:val="004F3EFB"/>
    <w:pPr>
      <w:spacing w:after="0" w:line="240" w:lineRule="auto"/>
    </w:pPr>
    <w:rPr>
      <w:rFonts w:ascii="Calibri" w:eastAsia="Calibri" w:hAnsi="Calibri" w:cs="Calibri"/>
      <w:sz w:val="24"/>
      <w:szCs w:val="24"/>
      <w:lang w:eastAsia="ru-RU"/>
    </w:rPr>
  </w:style>
  <w:style w:type="table" w:customStyle="1" w:styleId="TableNormal">
    <w:name w:val="Table Normal"/>
    <w:rsid w:val="004F3EFB"/>
    <w:pPr>
      <w:spacing w:after="0" w:line="240" w:lineRule="auto"/>
    </w:pPr>
    <w:rPr>
      <w:rFonts w:ascii="Calibri" w:eastAsia="Calibri" w:hAnsi="Calibri" w:cs="Calibri"/>
      <w:sz w:val="24"/>
      <w:szCs w:val="24"/>
      <w:lang w:eastAsia="ru-RU"/>
    </w:rPr>
    <w:tblPr>
      <w:tblCellMar>
        <w:top w:w="0" w:type="dxa"/>
        <w:left w:w="0" w:type="dxa"/>
        <w:bottom w:w="0" w:type="dxa"/>
        <w:right w:w="0" w:type="dxa"/>
      </w:tblCellMar>
    </w:tblPr>
  </w:style>
  <w:style w:type="paragraph" w:styleId="afc">
    <w:name w:val="Title"/>
    <w:basedOn w:val="17"/>
    <w:next w:val="17"/>
    <w:link w:val="afd"/>
    <w:uiPriority w:val="10"/>
    <w:qFormat/>
    <w:rsid w:val="004F3EFB"/>
    <w:pPr>
      <w:keepNext/>
      <w:keepLines/>
      <w:spacing w:before="480" w:after="120"/>
    </w:pPr>
    <w:rPr>
      <w:b/>
      <w:sz w:val="72"/>
      <w:szCs w:val="72"/>
    </w:rPr>
  </w:style>
  <w:style w:type="character" w:customStyle="1" w:styleId="afd">
    <w:name w:val="Заголовок Знак"/>
    <w:basedOn w:val="a4"/>
    <w:link w:val="afc"/>
    <w:uiPriority w:val="10"/>
    <w:rsid w:val="004F3EFB"/>
    <w:rPr>
      <w:rFonts w:ascii="Calibri" w:eastAsia="Calibri" w:hAnsi="Calibri" w:cs="Calibri"/>
      <w:b/>
      <w:sz w:val="72"/>
      <w:szCs w:val="72"/>
      <w:lang w:eastAsia="ru-RU"/>
    </w:rPr>
  </w:style>
  <w:style w:type="paragraph" w:styleId="afe">
    <w:name w:val="Subtitle"/>
    <w:basedOn w:val="17"/>
    <w:next w:val="17"/>
    <w:link w:val="aff"/>
    <w:uiPriority w:val="11"/>
    <w:qFormat/>
    <w:rsid w:val="004F3EFB"/>
    <w:pPr>
      <w:keepNext/>
      <w:keepLines/>
      <w:spacing w:before="360" w:after="80"/>
    </w:pPr>
    <w:rPr>
      <w:rFonts w:ascii="Georgia" w:eastAsia="Georgia" w:hAnsi="Georgia" w:cs="Georgia"/>
      <w:i/>
      <w:color w:val="666666"/>
      <w:sz w:val="48"/>
      <w:szCs w:val="48"/>
    </w:rPr>
  </w:style>
  <w:style w:type="character" w:customStyle="1" w:styleId="aff">
    <w:name w:val="Подзаголовок Знак"/>
    <w:basedOn w:val="a4"/>
    <w:link w:val="afe"/>
    <w:uiPriority w:val="11"/>
    <w:rsid w:val="004F3EFB"/>
    <w:rPr>
      <w:rFonts w:ascii="Georgia" w:eastAsia="Georgia" w:hAnsi="Georgia" w:cs="Georgia"/>
      <w:i/>
      <w:color w:val="666666"/>
      <w:sz w:val="48"/>
      <w:szCs w:val="48"/>
      <w:lang w:eastAsia="ru-RU"/>
    </w:rPr>
  </w:style>
  <w:style w:type="table" w:styleId="aff0">
    <w:name w:val="Table Grid"/>
    <w:basedOn w:val="a5"/>
    <w:uiPriority w:val="39"/>
    <w:rsid w:val="00564222"/>
    <w:pPr>
      <w:spacing w:after="0" w:line="240" w:lineRule="auto"/>
    </w:pPr>
    <w:rPr>
      <w:sz w:val="20"/>
      <w:szCs w:val="20"/>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Базовый"/>
    <w:rsid w:val="008F01A4"/>
    <w:pPr>
      <w:pBdr>
        <w:top w:val="nil"/>
        <w:left w:val="nil"/>
        <w:bottom w:val="nil"/>
        <w:right w:val="nil"/>
        <w:between w:val="nil"/>
        <w:bar w:val="nil"/>
      </w:pBdr>
      <w:suppressAutoHyphens/>
      <w:spacing w:after="160" w:line="256" w:lineRule="auto"/>
    </w:pPr>
    <w:rPr>
      <w:rFonts w:ascii="Calibri" w:eastAsia="Arial Unicode MS" w:hAnsi="Calibri" w:cs="Arial Unicode MS"/>
      <w:color w:val="000000"/>
      <w:u w:color="000000"/>
      <w:bdr w:val="nil"/>
      <w:lang w:val="en-US" w:eastAsia="ru-RU"/>
    </w:rPr>
  </w:style>
  <w:style w:type="character" w:customStyle="1" w:styleId="aff2">
    <w:name w:val="Нет"/>
    <w:rsid w:val="008F01A4"/>
  </w:style>
  <w:style w:type="character" w:customStyle="1" w:styleId="Hyperlink0">
    <w:name w:val="Hyperlink.0"/>
    <w:basedOn w:val="aff2"/>
    <w:rsid w:val="008F01A4"/>
    <w:rPr>
      <w:rFonts w:ascii="Times New Roman" w:eastAsia="Times New Roman" w:hAnsi="Times New Roman" w:cs="Times New Roman"/>
      <w:color w:val="0000FF"/>
      <w:kern w:val="1"/>
      <w:sz w:val="28"/>
      <w:szCs w:val="28"/>
      <w:u w:val="single" w:color="0000FF"/>
    </w:rPr>
  </w:style>
  <w:style w:type="character" w:customStyle="1" w:styleId="rvts44">
    <w:name w:val="rvts44"/>
    <w:basedOn w:val="a4"/>
    <w:uiPriority w:val="99"/>
    <w:rsid w:val="00B355CD"/>
  </w:style>
  <w:style w:type="paragraph" w:customStyle="1" w:styleId="Style15">
    <w:name w:val="Style15"/>
    <w:basedOn w:val="a3"/>
    <w:rsid w:val="00B355CD"/>
    <w:pPr>
      <w:widowControl w:val="0"/>
      <w:autoSpaceDE w:val="0"/>
      <w:autoSpaceDN w:val="0"/>
      <w:adjustRightInd w:val="0"/>
      <w:spacing w:line="488" w:lineRule="exact"/>
      <w:ind w:firstLine="571"/>
    </w:pPr>
    <w:rPr>
      <w:rFonts w:ascii="Times New Roman" w:eastAsia="Times New Roman" w:hAnsi="Times New Roman" w:cs="Times New Roman"/>
      <w:sz w:val="24"/>
      <w:szCs w:val="24"/>
      <w:lang w:eastAsia="ru-RU"/>
    </w:rPr>
  </w:style>
  <w:style w:type="character" w:customStyle="1" w:styleId="FontStyle31">
    <w:name w:val="Font Style31"/>
    <w:basedOn w:val="a4"/>
    <w:rsid w:val="00B355CD"/>
    <w:rPr>
      <w:rFonts w:ascii="Times New Roman" w:hAnsi="Times New Roman" w:cs="Times New Roman"/>
      <w:sz w:val="26"/>
      <w:szCs w:val="26"/>
    </w:rPr>
  </w:style>
  <w:style w:type="paragraph" w:styleId="aff3">
    <w:name w:val="TOC Heading"/>
    <w:basedOn w:val="15"/>
    <w:next w:val="a3"/>
    <w:uiPriority w:val="39"/>
    <w:semiHidden/>
    <w:unhideWhenUsed/>
    <w:qFormat/>
    <w:rsid w:val="00E27AC7"/>
    <w:pPr>
      <w:spacing w:line="276" w:lineRule="auto"/>
      <w:ind w:firstLine="0"/>
      <w:jc w:val="left"/>
      <w:outlineLvl w:val="9"/>
    </w:pPr>
    <w:rPr>
      <w:lang w:eastAsia="ru-RU"/>
    </w:rPr>
  </w:style>
  <w:style w:type="paragraph" w:styleId="27">
    <w:name w:val="toc 2"/>
    <w:basedOn w:val="a3"/>
    <w:next w:val="a3"/>
    <w:autoRedefine/>
    <w:uiPriority w:val="39"/>
    <w:unhideWhenUsed/>
    <w:rsid w:val="0005760B"/>
    <w:pPr>
      <w:tabs>
        <w:tab w:val="right" w:leader="dot" w:pos="9344"/>
      </w:tabs>
      <w:spacing w:after="100"/>
      <w:ind w:firstLine="0"/>
    </w:pPr>
    <w:rPr>
      <w:rFonts w:ascii="Times New Roman" w:eastAsia="Calibri" w:hAnsi="Times New Roman" w:cs="Times New Roman"/>
      <w:bCs/>
      <w:noProof/>
      <w:sz w:val="24"/>
      <w:szCs w:val="24"/>
      <w:lang w:val="uk-UA" w:eastAsia="ru-RU"/>
    </w:rPr>
  </w:style>
  <w:style w:type="paragraph" w:styleId="32">
    <w:name w:val="toc 3"/>
    <w:basedOn w:val="a3"/>
    <w:next w:val="a3"/>
    <w:autoRedefine/>
    <w:uiPriority w:val="39"/>
    <w:unhideWhenUsed/>
    <w:rsid w:val="00E27AC7"/>
    <w:pPr>
      <w:spacing w:after="100"/>
      <w:ind w:left="560"/>
    </w:pPr>
  </w:style>
  <w:style w:type="paragraph" w:styleId="1a">
    <w:name w:val="toc 1"/>
    <w:basedOn w:val="a3"/>
    <w:next w:val="a3"/>
    <w:autoRedefine/>
    <w:uiPriority w:val="39"/>
    <w:unhideWhenUsed/>
    <w:rsid w:val="000E6C2E"/>
    <w:pPr>
      <w:tabs>
        <w:tab w:val="right" w:leader="dot" w:pos="9344"/>
      </w:tabs>
      <w:spacing w:after="100"/>
      <w:ind w:firstLine="0"/>
      <w:jc w:val="left"/>
    </w:pPr>
    <w:rPr>
      <w:rFonts w:ascii="Arial" w:eastAsia="Times New Roman" w:hAnsi="Arial" w:cs="Times New Roman"/>
      <w:noProof/>
      <w:sz w:val="26"/>
      <w:szCs w:val="24"/>
      <w:lang w:val="uk-UA" w:eastAsia="ru-RU" w:bidi="hi-IN"/>
    </w:rPr>
  </w:style>
  <w:style w:type="paragraph" w:styleId="42">
    <w:name w:val="toc 4"/>
    <w:basedOn w:val="a3"/>
    <w:next w:val="a3"/>
    <w:autoRedefine/>
    <w:uiPriority w:val="39"/>
    <w:unhideWhenUsed/>
    <w:rsid w:val="00E27AC7"/>
    <w:pPr>
      <w:spacing w:after="100" w:line="276" w:lineRule="auto"/>
      <w:ind w:left="660" w:firstLine="0"/>
      <w:jc w:val="left"/>
    </w:pPr>
    <w:rPr>
      <w:rFonts w:asciiTheme="minorHAnsi" w:eastAsiaTheme="minorEastAsia" w:hAnsiTheme="minorHAnsi"/>
      <w:sz w:val="22"/>
      <w:lang w:eastAsia="ru-RU"/>
    </w:rPr>
  </w:style>
  <w:style w:type="paragraph" w:styleId="52">
    <w:name w:val="toc 5"/>
    <w:basedOn w:val="a3"/>
    <w:next w:val="a3"/>
    <w:autoRedefine/>
    <w:uiPriority w:val="39"/>
    <w:unhideWhenUsed/>
    <w:rsid w:val="00E27AC7"/>
    <w:pPr>
      <w:spacing w:after="100" w:line="276" w:lineRule="auto"/>
      <w:ind w:left="880" w:firstLine="0"/>
      <w:jc w:val="left"/>
    </w:pPr>
    <w:rPr>
      <w:rFonts w:asciiTheme="minorHAnsi" w:eastAsiaTheme="minorEastAsia" w:hAnsiTheme="minorHAnsi"/>
      <w:sz w:val="22"/>
      <w:lang w:eastAsia="ru-RU"/>
    </w:rPr>
  </w:style>
  <w:style w:type="paragraph" w:styleId="61">
    <w:name w:val="toc 6"/>
    <w:basedOn w:val="a3"/>
    <w:next w:val="a3"/>
    <w:autoRedefine/>
    <w:uiPriority w:val="39"/>
    <w:unhideWhenUsed/>
    <w:rsid w:val="00E27AC7"/>
    <w:pPr>
      <w:spacing w:after="100" w:line="276" w:lineRule="auto"/>
      <w:ind w:left="1100" w:firstLine="0"/>
      <w:jc w:val="left"/>
    </w:pPr>
    <w:rPr>
      <w:rFonts w:asciiTheme="minorHAnsi" w:eastAsiaTheme="minorEastAsia" w:hAnsiTheme="minorHAnsi"/>
      <w:sz w:val="22"/>
      <w:lang w:eastAsia="ru-RU"/>
    </w:rPr>
  </w:style>
  <w:style w:type="paragraph" w:styleId="71">
    <w:name w:val="toc 7"/>
    <w:basedOn w:val="a3"/>
    <w:next w:val="a3"/>
    <w:autoRedefine/>
    <w:uiPriority w:val="39"/>
    <w:unhideWhenUsed/>
    <w:rsid w:val="00E27AC7"/>
    <w:pPr>
      <w:spacing w:after="100" w:line="276" w:lineRule="auto"/>
      <w:ind w:left="1320" w:firstLine="0"/>
      <w:jc w:val="left"/>
    </w:pPr>
    <w:rPr>
      <w:rFonts w:asciiTheme="minorHAnsi" w:eastAsiaTheme="minorEastAsia" w:hAnsiTheme="minorHAnsi"/>
      <w:sz w:val="22"/>
      <w:lang w:eastAsia="ru-RU"/>
    </w:rPr>
  </w:style>
  <w:style w:type="paragraph" w:styleId="82">
    <w:name w:val="toc 8"/>
    <w:basedOn w:val="a3"/>
    <w:next w:val="a3"/>
    <w:autoRedefine/>
    <w:uiPriority w:val="39"/>
    <w:unhideWhenUsed/>
    <w:rsid w:val="00E27AC7"/>
    <w:pPr>
      <w:spacing w:after="100" w:line="276" w:lineRule="auto"/>
      <w:ind w:left="1540" w:firstLine="0"/>
      <w:jc w:val="left"/>
    </w:pPr>
    <w:rPr>
      <w:rFonts w:asciiTheme="minorHAnsi" w:eastAsiaTheme="minorEastAsia" w:hAnsiTheme="minorHAnsi"/>
      <w:sz w:val="22"/>
      <w:lang w:eastAsia="ru-RU"/>
    </w:rPr>
  </w:style>
  <w:style w:type="paragraph" w:styleId="91">
    <w:name w:val="toc 9"/>
    <w:basedOn w:val="a3"/>
    <w:next w:val="a3"/>
    <w:autoRedefine/>
    <w:uiPriority w:val="39"/>
    <w:unhideWhenUsed/>
    <w:rsid w:val="00E27AC7"/>
    <w:pPr>
      <w:spacing w:after="100" w:line="276" w:lineRule="auto"/>
      <w:ind w:left="1760" w:firstLine="0"/>
      <w:jc w:val="left"/>
    </w:pPr>
    <w:rPr>
      <w:rFonts w:asciiTheme="minorHAnsi" w:eastAsiaTheme="minorEastAsia" w:hAnsiTheme="minorHAnsi"/>
      <w:sz w:val="22"/>
      <w:lang w:eastAsia="ru-RU"/>
    </w:rPr>
  </w:style>
  <w:style w:type="character" w:styleId="aff4">
    <w:name w:val="footnote reference"/>
    <w:basedOn w:val="a4"/>
    <w:uiPriority w:val="99"/>
    <w:semiHidden/>
    <w:unhideWhenUsed/>
    <w:rsid w:val="00E9317A"/>
    <w:rPr>
      <w:vertAlign w:val="superscript"/>
    </w:rPr>
  </w:style>
  <w:style w:type="paragraph" w:customStyle="1" w:styleId="Standard">
    <w:name w:val="Standard"/>
    <w:qFormat/>
    <w:rsid w:val="00204D3F"/>
    <w:pPr>
      <w:suppressAutoHyphens/>
      <w:spacing w:after="0" w:line="240" w:lineRule="auto"/>
    </w:pPr>
    <w:rPr>
      <w:rFonts w:ascii="Liberation Serif" w:eastAsia="NSimSun" w:hAnsi="Liberation Serif" w:cs="Arial"/>
      <w:kern w:val="2"/>
      <w:sz w:val="24"/>
      <w:szCs w:val="24"/>
      <w:lang w:val="en-US" w:eastAsia="zh-CN" w:bidi="hi-IN"/>
    </w:rPr>
  </w:style>
  <w:style w:type="numbering" w:customStyle="1" w:styleId="1b">
    <w:name w:val="Нет списка1"/>
    <w:next w:val="a6"/>
    <w:uiPriority w:val="99"/>
    <w:semiHidden/>
    <w:unhideWhenUsed/>
    <w:rsid w:val="002554A9"/>
  </w:style>
  <w:style w:type="numbering" w:customStyle="1" w:styleId="aff5">
    <w:name w:val="С числами"/>
    <w:rsid w:val="002554A9"/>
  </w:style>
  <w:style w:type="numbering" w:customStyle="1" w:styleId="12">
    <w:name w:val="С числами1"/>
    <w:rsid w:val="002554A9"/>
    <w:pPr>
      <w:numPr>
        <w:numId w:val="5"/>
      </w:numPr>
    </w:pPr>
  </w:style>
  <w:style w:type="paragraph" w:styleId="aff6">
    <w:name w:val="header"/>
    <w:basedOn w:val="a3"/>
    <w:link w:val="aff7"/>
    <w:uiPriority w:val="99"/>
    <w:unhideWhenUsed/>
    <w:rsid w:val="004E25EC"/>
    <w:pPr>
      <w:tabs>
        <w:tab w:val="center" w:pos="4677"/>
        <w:tab w:val="right" w:pos="9355"/>
      </w:tabs>
      <w:spacing w:line="240" w:lineRule="auto"/>
    </w:pPr>
  </w:style>
  <w:style w:type="character" w:customStyle="1" w:styleId="aff7">
    <w:name w:val="Верхний колонтитул Знак"/>
    <w:basedOn w:val="a4"/>
    <w:link w:val="aff6"/>
    <w:uiPriority w:val="99"/>
    <w:rsid w:val="004E25EC"/>
    <w:rPr>
      <w:rFonts w:asciiTheme="majorBidi" w:hAnsiTheme="majorBidi"/>
      <w:sz w:val="28"/>
    </w:rPr>
  </w:style>
  <w:style w:type="paragraph" w:styleId="aff8">
    <w:name w:val="footer"/>
    <w:basedOn w:val="a3"/>
    <w:link w:val="aff9"/>
    <w:uiPriority w:val="99"/>
    <w:unhideWhenUsed/>
    <w:rsid w:val="004E25EC"/>
    <w:pPr>
      <w:tabs>
        <w:tab w:val="center" w:pos="4677"/>
        <w:tab w:val="right" w:pos="9355"/>
      </w:tabs>
      <w:spacing w:line="240" w:lineRule="auto"/>
    </w:pPr>
  </w:style>
  <w:style w:type="character" w:customStyle="1" w:styleId="aff9">
    <w:name w:val="Нижний колонтитул Знак"/>
    <w:basedOn w:val="a4"/>
    <w:link w:val="aff8"/>
    <w:uiPriority w:val="99"/>
    <w:rsid w:val="004E25EC"/>
    <w:rPr>
      <w:rFonts w:asciiTheme="majorBidi" w:hAnsiTheme="majorBidi"/>
      <w:sz w:val="28"/>
    </w:rPr>
  </w:style>
  <w:style w:type="character" w:styleId="affa">
    <w:name w:val="Unresolved Mention"/>
    <w:basedOn w:val="a4"/>
    <w:uiPriority w:val="99"/>
    <w:semiHidden/>
    <w:unhideWhenUsed/>
    <w:rsid w:val="00F77AB0"/>
    <w:rPr>
      <w:color w:val="605E5C"/>
      <w:shd w:val="clear" w:color="auto" w:fill="E1DFDD"/>
    </w:rPr>
  </w:style>
  <w:style w:type="numbering" w:customStyle="1" w:styleId="2">
    <w:name w:val="С числами2"/>
    <w:rsid w:val="00381578"/>
    <w:pPr>
      <w:numPr>
        <w:numId w:val="6"/>
      </w:numPr>
    </w:pPr>
  </w:style>
  <w:style w:type="numbering" w:customStyle="1" w:styleId="1c">
    <w:name w:val="Немає списку1"/>
    <w:next w:val="a6"/>
    <w:uiPriority w:val="99"/>
    <w:semiHidden/>
    <w:unhideWhenUsed/>
    <w:rsid w:val="00381578"/>
  </w:style>
  <w:style w:type="paragraph" w:customStyle="1" w:styleId="s37">
    <w:name w:val="s37"/>
    <w:basedOn w:val="a3"/>
    <w:rsid w:val="00381578"/>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uk-UA"/>
    </w:rPr>
  </w:style>
  <w:style w:type="character" w:customStyle="1" w:styleId="s14">
    <w:name w:val="s14"/>
    <w:basedOn w:val="a4"/>
    <w:rsid w:val="00381578"/>
  </w:style>
  <w:style w:type="character" w:customStyle="1" w:styleId="s11">
    <w:name w:val="s11"/>
    <w:basedOn w:val="a4"/>
    <w:rsid w:val="00381578"/>
  </w:style>
  <w:style w:type="paragraph" w:customStyle="1" w:styleId="p1">
    <w:name w:val="p1"/>
    <w:basedOn w:val="a3"/>
    <w:rsid w:val="00381578"/>
    <w:pPr>
      <w:spacing w:line="240" w:lineRule="auto"/>
      <w:ind w:firstLine="0"/>
      <w:jc w:val="left"/>
    </w:pPr>
    <w:rPr>
      <w:rFonts w:ascii=".SF UI" w:eastAsia="Times New Roman" w:hAnsi=".SF UI" w:cs="Times New Roman"/>
      <w:sz w:val="18"/>
      <w:szCs w:val="18"/>
      <w:lang w:val="uk-UA" w:eastAsia="uk-UA"/>
    </w:rPr>
  </w:style>
  <w:style w:type="character" w:customStyle="1" w:styleId="s1">
    <w:name w:val="s1"/>
    <w:basedOn w:val="a4"/>
    <w:qFormat/>
    <w:rsid w:val="00381578"/>
    <w:rPr>
      <w:rFonts w:ascii=".SFUI-Regular" w:hAnsi=".SFUI-Regular" w:hint="default"/>
      <w:b w:val="0"/>
      <w:bCs w:val="0"/>
      <w:i w:val="0"/>
      <w:iCs w:val="0"/>
      <w:sz w:val="18"/>
      <w:szCs w:val="18"/>
    </w:rPr>
  </w:style>
  <w:style w:type="paragraph" w:customStyle="1" w:styleId="citation">
    <w:name w:val="citation"/>
    <w:basedOn w:val="a3"/>
    <w:rsid w:val="00381578"/>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uk-UA"/>
    </w:rPr>
  </w:style>
  <w:style w:type="paragraph" w:customStyle="1" w:styleId="1d">
    <w:name w:val="Основной текст1"/>
    <w:rsid w:val="00381578"/>
    <w:pPr>
      <w:pBdr>
        <w:top w:val="none" w:sz="96" w:space="31" w:color="FFFFFF" w:shadow="1" w:frame="1"/>
        <w:left w:val="none" w:sz="96" w:space="31" w:color="FFFFFF" w:shadow="1" w:frame="1"/>
        <w:bottom w:val="none" w:sz="96" w:space="31" w:color="FFFFFF" w:shadow="1" w:frame="1"/>
        <w:right w:val="none" w:sz="96" w:space="31" w:color="FFFFFF" w:shadow="1" w:frame="1"/>
      </w:pBdr>
      <w:spacing w:after="160" w:line="278" w:lineRule="auto"/>
    </w:pPr>
    <w:rPr>
      <w:rFonts w:ascii="Aptos" w:eastAsia="Times New Roman" w:hAnsi="Aptos" w:cs="Aptos"/>
      <w:color w:val="000000"/>
      <w:kern w:val="2"/>
      <w:sz w:val="24"/>
      <w:szCs w:val="24"/>
      <w:u w:color="000000"/>
      <w:lang w:val="uk-UA"/>
    </w:rPr>
  </w:style>
  <w:style w:type="character" w:customStyle="1" w:styleId="affb">
    <w:name w:val="Ссылка"/>
    <w:rsid w:val="00381578"/>
    <w:rPr>
      <w:color w:val="467886"/>
      <w:u w:val="single" w:color="467886"/>
    </w:rPr>
  </w:style>
  <w:style w:type="numbering" w:customStyle="1" w:styleId="28">
    <w:name w:val="Немає списку2"/>
    <w:next w:val="a6"/>
    <w:uiPriority w:val="99"/>
    <w:semiHidden/>
    <w:unhideWhenUsed/>
    <w:rsid w:val="00E5392B"/>
  </w:style>
  <w:style w:type="paragraph" w:customStyle="1" w:styleId="1e">
    <w:name w:val="Звичайний1"/>
    <w:rsid w:val="00E5392B"/>
    <w:pPr>
      <w:spacing w:after="0"/>
    </w:pPr>
    <w:rPr>
      <w:rFonts w:ascii="Arial" w:eastAsia="Arial" w:hAnsi="Arial" w:cs="Arial"/>
      <w:lang w:val="uk-UA" w:eastAsia="ru-RU"/>
    </w:rPr>
  </w:style>
  <w:style w:type="character" w:customStyle="1" w:styleId="320">
    <w:name w:val="Основной текст (32)"/>
    <w:link w:val="321"/>
    <w:uiPriority w:val="99"/>
    <w:rsid w:val="00E5392B"/>
    <w:rPr>
      <w:rFonts w:ascii="Times New Roman" w:hAnsi="Times New Roman" w:cs="Times New Roman"/>
      <w:sz w:val="18"/>
      <w:szCs w:val="18"/>
      <w:shd w:val="clear" w:color="auto" w:fill="FFFFFF"/>
    </w:rPr>
  </w:style>
  <w:style w:type="character" w:customStyle="1" w:styleId="3211pt9">
    <w:name w:val="Основной текст (32) + 11 pt9"/>
    <w:uiPriority w:val="99"/>
    <w:rsid w:val="00E5392B"/>
    <w:rPr>
      <w:rFonts w:ascii="Times New Roman" w:hAnsi="Times New Roman" w:cs="Times New Roman"/>
      <w:sz w:val="22"/>
      <w:szCs w:val="22"/>
      <w:shd w:val="clear" w:color="auto" w:fill="FFFFFF"/>
    </w:rPr>
  </w:style>
  <w:style w:type="paragraph" w:customStyle="1" w:styleId="321">
    <w:name w:val="Основной текст (32)1"/>
    <w:basedOn w:val="a3"/>
    <w:link w:val="320"/>
    <w:uiPriority w:val="99"/>
    <w:rsid w:val="00E5392B"/>
    <w:pPr>
      <w:shd w:val="clear" w:color="auto" w:fill="FFFFFF"/>
      <w:spacing w:line="196" w:lineRule="exact"/>
      <w:ind w:firstLine="300"/>
    </w:pPr>
    <w:rPr>
      <w:rFonts w:ascii="Times New Roman" w:hAnsi="Times New Roman" w:cs="Times New Roman"/>
      <w:sz w:val="18"/>
      <w:szCs w:val="18"/>
    </w:rPr>
  </w:style>
  <w:style w:type="paragraph" w:customStyle="1" w:styleId="Textbody">
    <w:name w:val="Text body"/>
    <w:basedOn w:val="Standard"/>
    <w:rsid w:val="00E5392B"/>
    <w:pPr>
      <w:autoSpaceDN w:val="0"/>
      <w:spacing w:after="120"/>
      <w:textAlignment w:val="baseline"/>
    </w:pPr>
    <w:rPr>
      <w:rFonts w:ascii="Times New Roman" w:eastAsia="SimSun" w:hAnsi="Times New Roman"/>
      <w:kern w:val="3"/>
      <w:lang w:val="ru-RU"/>
    </w:rPr>
  </w:style>
  <w:style w:type="paragraph" w:styleId="HTML">
    <w:name w:val="HTML Preformatted"/>
    <w:basedOn w:val="a3"/>
    <w:link w:val="HTML0"/>
    <w:uiPriority w:val="99"/>
    <w:unhideWhenUsed/>
    <w:qFormat/>
    <w:rsid w:val="00E539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4"/>
    <w:link w:val="HTML"/>
    <w:uiPriority w:val="99"/>
    <w:rsid w:val="00E5392B"/>
    <w:rPr>
      <w:rFonts w:ascii="Courier New" w:eastAsia="Times New Roman" w:hAnsi="Courier New" w:cs="Courier New"/>
      <w:sz w:val="20"/>
      <w:szCs w:val="20"/>
      <w:lang w:eastAsia="ru-RU"/>
    </w:rPr>
  </w:style>
  <w:style w:type="character" w:customStyle="1" w:styleId="rvts0">
    <w:name w:val="rvts0"/>
    <w:basedOn w:val="a4"/>
    <w:rsid w:val="00E5392B"/>
  </w:style>
  <w:style w:type="character" w:customStyle="1" w:styleId="sw">
    <w:name w:val="sw"/>
    <w:basedOn w:val="a4"/>
    <w:rsid w:val="00E5392B"/>
  </w:style>
  <w:style w:type="numbering" w:customStyle="1" w:styleId="33">
    <w:name w:val="Немає списку3"/>
    <w:next w:val="a6"/>
    <w:uiPriority w:val="99"/>
    <w:semiHidden/>
    <w:unhideWhenUsed/>
    <w:rsid w:val="000A0FB4"/>
  </w:style>
  <w:style w:type="paragraph" w:styleId="z-">
    <w:name w:val="HTML Top of Form"/>
    <w:basedOn w:val="a3"/>
    <w:next w:val="a3"/>
    <w:link w:val="z-0"/>
    <w:hidden/>
    <w:uiPriority w:val="99"/>
    <w:semiHidden/>
    <w:unhideWhenUsed/>
    <w:rsid w:val="000A0FB4"/>
    <w:pPr>
      <w:pBdr>
        <w:bottom w:val="single" w:sz="6" w:space="1" w:color="auto"/>
      </w:pBdr>
      <w:spacing w:line="240" w:lineRule="auto"/>
      <w:ind w:firstLine="0"/>
      <w:jc w:val="center"/>
    </w:pPr>
    <w:rPr>
      <w:rFonts w:ascii="Arial" w:eastAsia="Times New Roman" w:hAnsi="Arial" w:cs="Arial"/>
      <w:vanish/>
      <w:sz w:val="16"/>
      <w:szCs w:val="16"/>
      <w:lang w:eastAsia="ru-RU"/>
    </w:rPr>
  </w:style>
  <w:style w:type="character" w:customStyle="1" w:styleId="z-0">
    <w:name w:val="z-Начало формы Знак"/>
    <w:basedOn w:val="a4"/>
    <w:link w:val="z-"/>
    <w:uiPriority w:val="99"/>
    <w:semiHidden/>
    <w:rsid w:val="000A0FB4"/>
    <w:rPr>
      <w:rFonts w:ascii="Arial" w:eastAsia="Times New Roman" w:hAnsi="Arial" w:cs="Arial"/>
      <w:vanish/>
      <w:sz w:val="16"/>
      <w:szCs w:val="16"/>
      <w:lang w:eastAsia="ru-RU"/>
    </w:rPr>
  </w:style>
  <w:style w:type="character" w:customStyle="1" w:styleId="text-textmaindark">
    <w:name w:val="text-textmaindark"/>
    <w:basedOn w:val="a4"/>
    <w:rsid w:val="000A0FB4"/>
  </w:style>
  <w:style w:type="numbering" w:customStyle="1" w:styleId="43">
    <w:name w:val="Немає списку4"/>
    <w:next w:val="a6"/>
    <w:uiPriority w:val="99"/>
    <w:semiHidden/>
    <w:unhideWhenUsed/>
    <w:rsid w:val="00AE43EB"/>
  </w:style>
  <w:style w:type="paragraph" w:customStyle="1" w:styleId="s3">
    <w:name w:val="s3"/>
    <w:basedOn w:val="a3"/>
    <w:qFormat/>
    <w:rsid w:val="00AE43EB"/>
    <w:pPr>
      <w:spacing w:before="100" w:beforeAutospacing="1" w:after="100" w:afterAutospacing="1" w:line="240" w:lineRule="auto"/>
      <w:ind w:firstLine="0"/>
      <w:jc w:val="left"/>
    </w:pPr>
    <w:rPr>
      <w:rFonts w:ascii="Times New Roman" w:eastAsia="Times New Roman" w:hAnsi="Times New Roman" w:cs="Times New Roman"/>
      <w:sz w:val="24"/>
      <w:szCs w:val="24"/>
      <w:lang w:eastAsia="ru-RU"/>
    </w:rPr>
  </w:style>
  <w:style w:type="character" w:customStyle="1" w:styleId="bumpedfont15">
    <w:name w:val="bumpedfont15"/>
    <w:basedOn w:val="a4"/>
    <w:qFormat/>
    <w:rsid w:val="00AE43EB"/>
  </w:style>
  <w:style w:type="paragraph" w:customStyle="1" w:styleId="affc">
    <w:name w:val="По умолчанию"/>
    <w:rsid w:val="00AE43EB"/>
    <w:pPr>
      <w:spacing w:before="160" w:after="0" w:line="288" w:lineRule="auto"/>
    </w:pPr>
    <w:rPr>
      <w:rFonts w:ascii="Helvetica Neue" w:eastAsia="Helvetica Neue" w:hAnsi="Helvetica Neue" w:cs="Helvetica Neue"/>
      <w:color w:val="000000"/>
      <w:sz w:val="24"/>
      <w:szCs w:val="24"/>
      <w:lang w:eastAsia="ru-RU"/>
    </w:rPr>
  </w:style>
  <w:style w:type="character" w:customStyle="1" w:styleId="Affd">
    <w:name w:val="Нет A"/>
    <w:rsid w:val="00AE43EB"/>
  </w:style>
  <w:style w:type="paragraph" w:customStyle="1" w:styleId="Affe">
    <w:name w:val="Основной текст A"/>
    <w:rsid w:val="00AE43EB"/>
    <w:pPr>
      <w:pBdr>
        <w:top w:val="nil"/>
        <w:left w:val="nil"/>
        <w:bottom w:val="nil"/>
        <w:right w:val="nil"/>
        <w:between w:val="nil"/>
        <w:bar w:val="nil"/>
      </w:pBdr>
    </w:pPr>
    <w:rPr>
      <w:rFonts w:ascii="Calibri" w:eastAsia="Arial Unicode MS" w:hAnsi="Calibri" w:cs="Arial Unicode MS"/>
      <w:color w:val="000000"/>
      <w:u w:color="000000"/>
      <w:bdr w:val="nil"/>
      <w:lang w:eastAsia="ru-RU"/>
    </w:rPr>
  </w:style>
  <w:style w:type="numbering" w:customStyle="1" w:styleId="8">
    <w:name w:val="Импортированный стиль 8"/>
    <w:rsid w:val="00AE43EB"/>
    <w:pPr>
      <w:numPr>
        <w:numId w:val="7"/>
      </w:numPr>
    </w:pPr>
  </w:style>
  <w:style w:type="character" w:customStyle="1" w:styleId="a8">
    <w:name w:val="Обычный (Интернет) Знак"/>
    <w:aliases w:val="Обычный (веб) Знак Знак1,Обычный (веб) Знак1 Знак,Обычный (веб) Знак Знак Знак,Обычный (Web) Знак,Обычный (веб) Знак Знак Char Знак Знак,Обычный (веб) Знак Знак Char Char Знак Знак,Обычный (веб) Знак Знак Знак Знак Знак"/>
    <w:link w:val="a7"/>
    <w:uiPriority w:val="99"/>
    <w:locked/>
    <w:rsid w:val="00AE43EB"/>
    <w:rPr>
      <w:rFonts w:ascii="Times New Roman" w:eastAsia="Times New Roman" w:hAnsi="Times New Roman" w:cs="Times New Roman"/>
      <w:sz w:val="24"/>
      <w:szCs w:val="24"/>
      <w:lang w:eastAsia="ru-RU"/>
    </w:rPr>
  </w:style>
  <w:style w:type="numbering" w:customStyle="1" w:styleId="53">
    <w:name w:val="Немає списку5"/>
    <w:next w:val="a6"/>
    <w:uiPriority w:val="99"/>
    <w:semiHidden/>
    <w:unhideWhenUsed/>
    <w:rsid w:val="005A09CB"/>
  </w:style>
  <w:style w:type="paragraph" w:customStyle="1" w:styleId="Default">
    <w:name w:val="Default"/>
    <w:rsid w:val="005A09C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numbering" w:customStyle="1" w:styleId="62">
    <w:name w:val="Немає списку6"/>
    <w:next w:val="a6"/>
    <w:uiPriority w:val="99"/>
    <w:semiHidden/>
    <w:unhideWhenUsed/>
    <w:rsid w:val="008A1762"/>
  </w:style>
  <w:style w:type="numbering" w:customStyle="1" w:styleId="72">
    <w:name w:val="Немає списку7"/>
    <w:next w:val="a6"/>
    <w:uiPriority w:val="99"/>
    <w:semiHidden/>
    <w:unhideWhenUsed/>
    <w:rsid w:val="00F30D31"/>
  </w:style>
  <w:style w:type="character" w:customStyle="1" w:styleId="rynqvb">
    <w:name w:val="rynqvb"/>
    <w:basedOn w:val="a4"/>
    <w:rsid w:val="00F30D31"/>
  </w:style>
  <w:style w:type="numbering" w:customStyle="1" w:styleId="83">
    <w:name w:val="Немає списку8"/>
    <w:next w:val="a6"/>
    <w:uiPriority w:val="99"/>
    <w:semiHidden/>
    <w:unhideWhenUsed/>
    <w:rsid w:val="001B627F"/>
  </w:style>
  <w:style w:type="character" w:customStyle="1" w:styleId="apple-converted-space">
    <w:name w:val="apple-converted-space"/>
    <w:basedOn w:val="a4"/>
    <w:qFormat/>
    <w:rsid w:val="001B627F"/>
  </w:style>
  <w:style w:type="paragraph" w:customStyle="1" w:styleId="s8">
    <w:name w:val="s8"/>
    <w:basedOn w:val="a3"/>
    <w:qFormat/>
    <w:rsid w:val="001B627F"/>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en-GB"/>
    </w:rPr>
  </w:style>
  <w:style w:type="character" w:customStyle="1" w:styleId="s5">
    <w:name w:val="s5"/>
    <w:basedOn w:val="a4"/>
    <w:rsid w:val="001B627F"/>
  </w:style>
  <w:style w:type="numbering" w:customStyle="1" w:styleId="14">
    <w:name w:val="Импортированный стиль 1"/>
    <w:rsid w:val="001B627F"/>
    <w:pPr>
      <w:numPr>
        <w:numId w:val="9"/>
      </w:numPr>
    </w:pPr>
  </w:style>
  <w:style w:type="character" w:customStyle="1" w:styleId="Hyperlink1">
    <w:name w:val="Hyperlink.1"/>
    <w:basedOn w:val="aff2"/>
    <w:rsid w:val="001B627F"/>
    <w:rPr>
      <w:outline w:val="0"/>
      <w:color w:val="0563C1"/>
      <w:u w:val="single" w:color="0563C1"/>
    </w:rPr>
  </w:style>
  <w:style w:type="character" w:customStyle="1" w:styleId="A40">
    <w:name w:val="A4"/>
    <w:uiPriority w:val="99"/>
    <w:rsid w:val="001B627F"/>
    <w:rPr>
      <w:rFonts w:cs="PT Sans"/>
      <w:color w:val="000000"/>
      <w:sz w:val="20"/>
      <w:szCs w:val="20"/>
    </w:rPr>
  </w:style>
  <w:style w:type="numbering" w:customStyle="1" w:styleId="92">
    <w:name w:val="Немає списку9"/>
    <w:next w:val="a6"/>
    <w:uiPriority w:val="99"/>
    <w:semiHidden/>
    <w:unhideWhenUsed/>
    <w:rsid w:val="00B51369"/>
  </w:style>
  <w:style w:type="character" w:customStyle="1" w:styleId="citation-number">
    <w:name w:val="citation-number"/>
    <w:basedOn w:val="a4"/>
    <w:rsid w:val="00B51369"/>
  </w:style>
  <w:style w:type="character" w:customStyle="1" w:styleId="citation-number-inner">
    <w:name w:val="citation-number-inner"/>
    <w:basedOn w:val="a4"/>
    <w:rsid w:val="00B51369"/>
  </w:style>
  <w:style w:type="character" w:customStyle="1" w:styleId="citation-content">
    <w:name w:val="citation-content"/>
    <w:basedOn w:val="a4"/>
    <w:rsid w:val="00B51369"/>
  </w:style>
  <w:style w:type="character" w:customStyle="1" w:styleId="1f">
    <w:name w:val="Незакрита згадка1"/>
    <w:basedOn w:val="a4"/>
    <w:uiPriority w:val="99"/>
    <w:semiHidden/>
    <w:unhideWhenUsed/>
    <w:rsid w:val="00B51369"/>
    <w:rPr>
      <w:color w:val="605E5C"/>
      <w:shd w:val="clear" w:color="auto" w:fill="E1DFDD"/>
    </w:rPr>
  </w:style>
  <w:style w:type="character" w:customStyle="1" w:styleId="y2iqfc">
    <w:name w:val="y2iqfc"/>
    <w:basedOn w:val="a4"/>
    <w:rsid w:val="00B51369"/>
  </w:style>
  <w:style w:type="character" w:customStyle="1" w:styleId="29">
    <w:name w:val="Незакрита згадка2"/>
    <w:basedOn w:val="a4"/>
    <w:uiPriority w:val="99"/>
    <w:semiHidden/>
    <w:unhideWhenUsed/>
    <w:rsid w:val="00B51369"/>
    <w:rPr>
      <w:color w:val="605E5C"/>
      <w:shd w:val="clear" w:color="auto" w:fill="E1DFDD"/>
    </w:rPr>
  </w:style>
  <w:style w:type="numbering" w:customStyle="1" w:styleId="100">
    <w:name w:val="Немає списку10"/>
    <w:next w:val="a6"/>
    <w:uiPriority w:val="99"/>
    <w:semiHidden/>
    <w:unhideWhenUsed/>
    <w:rsid w:val="00FF2CFF"/>
  </w:style>
  <w:style w:type="numbering" w:customStyle="1" w:styleId="11">
    <w:name w:val="Импортированный стиль 11"/>
    <w:rsid w:val="00FF2CFF"/>
    <w:pPr>
      <w:numPr>
        <w:numId w:val="11"/>
      </w:numPr>
    </w:pPr>
  </w:style>
  <w:style w:type="paragraph" w:customStyle="1" w:styleId="afff">
    <w:name w:val="Знак"/>
    <w:basedOn w:val="a3"/>
    <w:rsid w:val="00FF2CFF"/>
    <w:pPr>
      <w:spacing w:after="160" w:line="240" w:lineRule="exact"/>
      <w:ind w:firstLine="0"/>
      <w:jc w:val="left"/>
    </w:pPr>
    <w:rPr>
      <w:rFonts w:ascii="Arial" w:eastAsia="Times New Roman" w:hAnsi="Arial" w:cs="Arial"/>
      <w:sz w:val="20"/>
      <w:szCs w:val="20"/>
      <w:lang w:val="en-US"/>
    </w:rPr>
  </w:style>
  <w:style w:type="character" w:customStyle="1" w:styleId="s2">
    <w:name w:val="s2"/>
    <w:basedOn w:val="a4"/>
    <w:qFormat/>
    <w:rsid w:val="00FF2CFF"/>
  </w:style>
  <w:style w:type="character" w:customStyle="1" w:styleId="afff0">
    <w:name w:val="Виділення жирним"/>
    <w:qFormat/>
    <w:rsid w:val="00FF2CFF"/>
    <w:rPr>
      <w:b/>
      <w:bCs/>
    </w:rPr>
  </w:style>
  <w:style w:type="character" w:customStyle="1" w:styleId="label">
    <w:name w:val="label"/>
    <w:basedOn w:val="a4"/>
    <w:rsid w:val="00FF2CFF"/>
  </w:style>
  <w:style w:type="character" w:customStyle="1" w:styleId="rvts9">
    <w:name w:val="rvts9"/>
    <w:basedOn w:val="a4"/>
    <w:rsid w:val="00FF2CFF"/>
  </w:style>
  <w:style w:type="paragraph" w:customStyle="1" w:styleId="Lit19">
    <w:name w:val="Lit1_9"/>
    <w:basedOn w:val="a3"/>
    <w:rsid w:val="00FF2CFF"/>
    <w:pPr>
      <w:numPr>
        <w:numId w:val="12"/>
      </w:numPr>
    </w:pPr>
    <w:rPr>
      <w:rFonts w:ascii="Times New Roman" w:eastAsia="Times New Roman" w:hAnsi="Times New Roman" w:cs="Times New Roman"/>
      <w:szCs w:val="19"/>
      <w:lang w:val="uk-UA" w:eastAsia="uk-UA"/>
    </w:rPr>
  </w:style>
  <w:style w:type="numbering" w:customStyle="1" w:styleId="110">
    <w:name w:val="Немає списку11"/>
    <w:next w:val="a6"/>
    <w:uiPriority w:val="99"/>
    <w:semiHidden/>
    <w:unhideWhenUsed/>
    <w:rsid w:val="005B1B96"/>
  </w:style>
  <w:style w:type="numbering" w:customStyle="1" w:styleId="3">
    <w:name w:val="С числами3"/>
    <w:rsid w:val="004A4CC1"/>
    <w:pPr>
      <w:numPr>
        <w:numId w:val="13"/>
      </w:numPr>
    </w:pPr>
  </w:style>
  <w:style w:type="numbering" w:customStyle="1" w:styleId="120">
    <w:name w:val="Немає списку12"/>
    <w:next w:val="a6"/>
    <w:uiPriority w:val="99"/>
    <w:semiHidden/>
    <w:unhideWhenUsed/>
    <w:rsid w:val="00AC732D"/>
  </w:style>
  <w:style w:type="paragraph" w:styleId="afff1">
    <w:name w:val="Body Text First Indent"/>
    <w:basedOn w:val="ae"/>
    <w:link w:val="afff2"/>
    <w:uiPriority w:val="99"/>
    <w:semiHidden/>
    <w:unhideWhenUsed/>
    <w:rsid w:val="00AC732D"/>
    <w:pPr>
      <w:spacing w:after="200" w:line="276" w:lineRule="auto"/>
      <w:ind w:firstLine="360"/>
      <w:jc w:val="left"/>
    </w:pPr>
    <w:rPr>
      <w:rFonts w:ascii="Calibri" w:eastAsia="Calibri" w:hAnsi="Calibri"/>
      <w:b w:val="0"/>
      <w:bCs w:val="0"/>
      <w:sz w:val="22"/>
      <w:lang w:eastAsia="en-US"/>
    </w:rPr>
  </w:style>
  <w:style w:type="character" w:customStyle="1" w:styleId="afff2">
    <w:name w:val="Красная строка Знак"/>
    <w:basedOn w:val="af"/>
    <w:link w:val="afff1"/>
    <w:uiPriority w:val="99"/>
    <w:semiHidden/>
    <w:rsid w:val="00AC732D"/>
    <w:rPr>
      <w:rFonts w:ascii="Calibri" w:eastAsia="Calibri" w:hAnsi="Calibri"/>
      <w:b w:val="0"/>
      <w:bCs w:val="0"/>
      <w:sz w:val="28"/>
      <w:lang w:eastAsia="ru-RU"/>
    </w:rPr>
  </w:style>
  <w:style w:type="paragraph" w:customStyle="1" w:styleId="LO-normal">
    <w:name w:val="LO-normal"/>
    <w:qFormat/>
    <w:rsid w:val="00AC732D"/>
    <w:pPr>
      <w:suppressAutoHyphens/>
      <w:spacing w:after="0"/>
    </w:pPr>
    <w:rPr>
      <w:rFonts w:ascii="Arial" w:eastAsia="Arial" w:hAnsi="Arial" w:cs="Arial"/>
      <w:lang w:eastAsia="zh-CN" w:bidi="hi-IN"/>
    </w:rPr>
  </w:style>
  <w:style w:type="character" w:customStyle="1" w:styleId="hps">
    <w:name w:val="hps"/>
    <w:rsid w:val="00AC732D"/>
    <w:rPr>
      <w:rFonts w:ascii="Times New Roman" w:hAnsi="Times New Roman"/>
    </w:rPr>
  </w:style>
  <w:style w:type="character" w:customStyle="1" w:styleId="dat0">
    <w:name w:val="dat0"/>
    <w:basedOn w:val="a4"/>
    <w:rsid w:val="00AC732D"/>
  </w:style>
  <w:style w:type="numbering" w:customStyle="1" w:styleId="130">
    <w:name w:val="Немає списку13"/>
    <w:next w:val="a6"/>
    <w:uiPriority w:val="99"/>
    <w:semiHidden/>
    <w:unhideWhenUsed/>
    <w:rsid w:val="00AC732D"/>
  </w:style>
  <w:style w:type="numbering" w:customStyle="1" w:styleId="140">
    <w:name w:val="Немає списку14"/>
    <w:next w:val="a6"/>
    <w:uiPriority w:val="99"/>
    <w:semiHidden/>
    <w:unhideWhenUsed/>
    <w:rsid w:val="0092064F"/>
  </w:style>
  <w:style w:type="numbering" w:customStyle="1" w:styleId="150">
    <w:name w:val="Немає списку15"/>
    <w:next w:val="a6"/>
    <w:uiPriority w:val="99"/>
    <w:semiHidden/>
    <w:unhideWhenUsed/>
    <w:rsid w:val="00885B63"/>
  </w:style>
  <w:style w:type="table" w:customStyle="1" w:styleId="1f0">
    <w:name w:val="Сітка таблиці1"/>
    <w:basedOn w:val="a5"/>
    <w:next w:val="aff0"/>
    <w:uiPriority w:val="39"/>
    <w:rsid w:val="00885B63"/>
    <w:pPr>
      <w:spacing w:after="0" w:line="240" w:lineRule="auto"/>
    </w:pPr>
    <w:rPr>
      <w:rFonts w:eastAsia="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16">
    <w:name w:val="s16"/>
    <w:basedOn w:val="a3"/>
    <w:rsid w:val="00885B63"/>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ru-RU"/>
    </w:rPr>
  </w:style>
  <w:style w:type="numbering" w:customStyle="1" w:styleId="160">
    <w:name w:val="Немає списку16"/>
    <w:next w:val="a6"/>
    <w:uiPriority w:val="99"/>
    <w:semiHidden/>
    <w:unhideWhenUsed/>
    <w:rsid w:val="009F17C8"/>
  </w:style>
  <w:style w:type="character" w:customStyle="1" w:styleId="1f1">
    <w:name w:val="Стиль1 Знак"/>
    <w:basedOn w:val="a4"/>
    <w:link w:val="1f2"/>
    <w:locked/>
    <w:rsid w:val="009F17C8"/>
    <w:rPr>
      <w:rFonts w:ascii="Times New Roman" w:hAnsi="Times New Roman" w:cs="Times New Roman"/>
      <w:color w:val="000000"/>
      <w:sz w:val="28"/>
      <w:szCs w:val="28"/>
      <w:lang w:val="uk-UA"/>
    </w:rPr>
  </w:style>
  <w:style w:type="paragraph" w:customStyle="1" w:styleId="1f2">
    <w:name w:val="Стиль1"/>
    <w:basedOn w:val="a3"/>
    <w:link w:val="1f1"/>
    <w:qFormat/>
    <w:rsid w:val="009F17C8"/>
    <w:pPr>
      <w:spacing w:after="160"/>
      <w:ind w:firstLine="567"/>
    </w:pPr>
    <w:rPr>
      <w:rFonts w:ascii="Times New Roman" w:hAnsi="Times New Roman" w:cs="Times New Roman"/>
      <w:color w:val="000000"/>
      <w:szCs w:val="28"/>
      <w:lang w:val="uk-UA"/>
    </w:rPr>
  </w:style>
  <w:style w:type="character" w:customStyle="1" w:styleId="hwtze">
    <w:name w:val="hwtze"/>
    <w:basedOn w:val="a4"/>
    <w:rsid w:val="009F17C8"/>
  </w:style>
  <w:style w:type="character" w:customStyle="1" w:styleId="dont-break-out">
    <w:name w:val="dont-break-out"/>
    <w:basedOn w:val="a4"/>
    <w:rsid w:val="009F17C8"/>
  </w:style>
  <w:style w:type="numbering" w:customStyle="1" w:styleId="170">
    <w:name w:val="Немає списку17"/>
    <w:next w:val="a6"/>
    <w:uiPriority w:val="99"/>
    <w:semiHidden/>
    <w:unhideWhenUsed/>
    <w:rsid w:val="00263376"/>
  </w:style>
  <w:style w:type="paragraph" w:customStyle="1" w:styleId="12594">
    <w:name w:val="12594"/>
    <w:aliases w:val="baiaagaaboqcaaad2caaaau6lqaaaaaaaaaaaaaaaaaaaaaaaaaaaaaaaaaaaaaaaaaaaaaaaaaaaaaaaaaaaaaaaaaaaaaaaaaaaaaaaaaaaaaaaaaaaaaaaaaaaaaaaaaaaaaaaaaaaaaaaaaaaaaaaaaaaaaaaaaaaaaaaaaaaaaaaaaaaaaaaaaaaaaaaaaaaaaaaaaaaaaaaaaaaaaaaaaaaaaaaaaaaaa"/>
    <w:basedOn w:val="a3"/>
    <w:uiPriority w:val="99"/>
    <w:rsid w:val="00263376"/>
    <w:pPr>
      <w:spacing w:before="100" w:beforeAutospacing="1" w:after="100" w:afterAutospacing="1" w:line="240" w:lineRule="auto"/>
      <w:ind w:firstLine="0"/>
      <w:jc w:val="left"/>
    </w:pPr>
    <w:rPr>
      <w:rFonts w:ascii="Times New Roman" w:eastAsia="Times New Roman" w:hAnsi="Times New Roman" w:cs="Times New Roman"/>
      <w:sz w:val="24"/>
      <w:szCs w:val="24"/>
      <w:lang w:eastAsia="ru-RU"/>
    </w:rPr>
  </w:style>
  <w:style w:type="character" w:customStyle="1" w:styleId="fontstyle01">
    <w:name w:val="fontstyle01"/>
    <w:basedOn w:val="a4"/>
    <w:rsid w:val="00263376"/>
    <w:rPr>
      <w:rFonts w:ascii="Arsenal-Regular-Identity-H" w:hAnsi="Arsenal-Regular-Identity-H" w:hint="default"/>
      <w:b w:val="0"/>
      <w:bCs w:val="0"/>
      <w:i w:val="0"/>
      <w:iCs w:val="0"/>
      <w:color w:val="000000"/>
      <w:sz w:val="24"/>
      <w:szCs w:val="24"/>
    </w:rPr>
  </w:style>
  <w:style w:type="numbering" w:customStyle="1" w:styleId="180">
    <w:name w:val="Немає списку18"/>
    <w:next w:val="a6"/>
    <w:uiPriority w:val="99"/>
    <w:semiHidden/>
    <w:unhideWhenUsed/>
    <w:rsid w:val="004938FE"/>
  </w:style>
  <w:style w:type="character" w:customStyle="1" w:styleId="rvts46">
    <w:name w:val="rvts46"/>
    <w:basedOn w:val="a4"/>
    <w:rsid w:val="004938FE"/>
  </w:style>
  <w:style w:type="numbering" w:customStyle="1" w:styleId="190">
    <w:name w:val="Немає списку19"/>
    <w:next w:val="a6"/>
    <w:uiPriority w:val="99"/>
    <w:semiHidden/>
    <w:unhideWhenUsed/>
    <w:rsid w:val="00FD55A3"/>
  </w:style>
  <w:style w:type="numbering" w:customStyle="1" w:styleId="200">
    <w:name w:val="Немає списку20"/>
    <w:next w:val="a6"/>
    <w:uiPriority w:val="99"/>
    <w:semiHidden/>
    <w:unhideWhenUsed/>
    <w:rsid w:val="006B07CA"/>
  </w:style>
  <w:style w:type="character" w:customStyle="1" w:styleId="InternetLink">
    <w:name w:val="Internet Link"/>
    <w:basedOn w:val="a4"/>
    <w:uiPriority w:val="99"/>
    <w:unhideWhenUsed/>
    <w:rsid w:val="006B07CA"/>
    <w:rPr>
      <w:color w:val="467886"/>
      <w:u w:val="single"/>
    </w:rPr>
  </w:style>
  <w:style w:type="numbering" w:customStyle="1" w:styleId="210">
    <w:name w:val="Немає списку21"/>
    <w:next w:val="a6"/>
    <w:uiPriority w:val="99"/>
    <w:semiHidden/>
    <w:unhideWhenUsed/>
    <w:rsid w:val="00220D3E"/>
  </w:style>
  <w:style w:type="paragraph" w:customStyle="1" w:styleId="normal1">
    <w:name w:val="normal1"/>
    <w:qFormat/>
    <w:rsid w:val="00220D3E"/>
    <w:pPr>
      <w:suppressAutoHyphens/>
      <w:spacing w:after="160" w:line="278" w:lineRule="auto"/>
    </w:pPr>
    <w:rPr>
      <w:rFonts w:ascii="Calibri" w:eastAsia="Calibri" w:hAnsi="Calibri" w:cs="Calibri"/>
      <w:sz w:val="24"/>
      <w:szCs w:val="24"/>
      <w:lang w:val="uk-UA" w:eastAsia="zh-CN" w:bidi="hi-IN"/>
    </w:rPr>
  </w:style>
  <w:style w:type="character" w:customStyle="1" w:styleId="relative">
    <w:name w:val="relative"/>
    <w:basedOn w:val="a4"/>
    <w:qFormat/>
    <w:rsid w:val="00220D3E"/>
  </w:style>
  <w:style w:type="numbering" w:customStyle="1" w:styleId="220">
    <w:name w:val="Немає списку22"/>
    <w:next w:val="a6"/>
    <w:uiPriority w:val="99"/>
    <w:semiHidden/>
    <w:unhideWhenUsed/>
    <w:rsid w:val="00220D3E"/>
  </w:style>
  <w:style w:type="character" w:customStyle="1" w:styleId="tlid-translation">
    <w:name w:val="tlid-translation"/>
    <w:basedOn w:val="a4"/>
    <w:rsid w:val="00220D3E"/>
  </w:style>
  <w:style w:type="numbering" w:customStyle="1" w:styleId="ImportedStyle1">
    <w:name w:val="Imported Style 1"/>
    <w:rsid w:val="00220D3E"/>
    <w:pPr>
      <w:numPr>
        <w:numId w:val="62"/>
      </w:numPr>
    </w:pPr>
  </w:style>
  <w:style w:type="numbering" w:customStyle="1" w:styleId="ImportedStyle2">
    <w:name w:val="Imported Style 2"/>
    <w:rsid w:val="00220D3E"/>
    <w:pPr>
      <w:numPr>
        <w:numId w:val="64"/>
      </w:numPr>
    </w:pPr>
  </w:style>
  <w:style w:type="numbering" w:customStyle="1" w:styleId="Numbered">
    <w:name w:val="Numbered"/>
    <w:rsid w:val="00220D3E"/>
    <w:pPr>
      <w:numPr>
        <w:numId w:val="65"/>
      </w:numPr>
    </w:pPr>
  </w:style>
  <w:style w:type="character" w:customStyle="1" w:styleId="NoneA">
    <w:name w:val="None A"/>
    <w:rsid w:val="00220D3E"/>
    <w:rPr>
      <w:lang w:val="en-US"/>
    </w:rPr>
  </w:style>
  <w:style w:type="character" w:customStyle="1" w:styleId="None">
    <w:name w:val="None"/>
    <w:rsid w:val="00220D3E"/>
  </w:style>
  <w:style w:type="paragraph" w:customStyle="1" w:styleId="s46">
    <w:name w:val="s46"/>
    <w:basedOn w:val="a3"/>
    <w:rsid w:val="00220D3E"/>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uk-UA"/>
    </w:rPr>
  </w:style>
  <w:style w:type="paragraph" w:customStyle="1" w:styleId="s47">
    <w:name w:val="s47"/>
    <w:basedOn w:val="a3"/>
    <w:rsid w:val="00220D3E"/>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uk-UA"/>
    </w:rPr>
  </w:style>
  <w:style w:type="paragraph" w:customStyle="1" w:styleId="s44">
    <w:name w:val="s44"/>
    <w:basedOn w:val="a3"/>
    <w:rsid w:val="00220D3E"/>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uk-UA"/>
    </w:rPr>
  </w:style>
  <w:style w:type="paragraph" w:customStyle="1" w:styleId="s49">
    <w:name w:val="s49"/>
    <w:basedOn w:val="a3"/>
    <w:rsid w:val="00220D3E"/>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uk-UA"/>
    </w:rPr>
  </w:style>
  <w:style w:type="character" w:customStyle="1" w:styleId="diff--ux1av">
    <w:name w:val="diff--ux1av"/>
    <w:basedOn w:val="a4"/>
    <w:rsid w:val="00220D3E"/>
  </w:style>
  <w:style w:type="paragraph" w:customStyle="1" w:styleId="afff3">
    <w:name w:val="Стандартний"/>
    <w:rsid w:val="00220D3E"/>
    <w:pPr>
      <w:pBdr>
        <w:top w:val="nil"/>
        <w:left w:val="nil"/>
        <w:bottom w:val="nil"/>
        <w:right w:val="nil"/>
        <w:between w:val="nil"/>
        <w:bar w:val="nil"/>
      </w:pBdr>
      <w:spacing w:before="160" w:after="0" w:line="288" w:lineRule="auto"/>
    </w:pPr>
    <w:rPr>
      <w:rFonts w:ascii="Helvetica Neue" w:eastAsia="Arial Unicode MS" w:hAnsi="Helvetica Neue" w:cs="Arial Unicode MS"/>
      <w:color w:val="000000"/>
      <w:sz w:val="24"/>
      <w:szCs w:val="24"/>
      <w:bdr w:val="nil"/>
    </w:rPr>
  </w:style>
  <w:style w:type="numbering" w:customStyle="1" w:styleId="a">
    <w:name w:val="Штрихове"/>
    <w:rsid w:val="00220D3E"/>
    <w:pPr>
      <w:numPr>
        <w:numId w:val="75"/>
      </w:numPr>
    </w:pPr>
  </w:style>
  <w:style w:type="numbering" w:customStyle="1" w:styleId="13">
    <w:name w:val="Номери1"/>
    <w:rsid w:val="00220D3E"/>
    <w:pPr>
      <w:numPr>
        <w:numId w:val="77"/>
      </w:numPr>
    </w:pPr>
  </w:style>
  <w:style w:type="character" w:customStyle="1" w:styleId="in-text-source-number">
    <w:name w:val="in-text-source-number"/>
    <w:basedOn w:val="a4"/>
    <w:rsid w:val="00220D3E"/>
  </w:style>
  <w:style w:type="character" w:customStyle="1" w:styleId="page-number-substitute">
    <w:name w:val="page-number-substitute"/>
    <w:basedOn w:val="a4"/>
    <w:rsid w:val="00220D3E"/>
  </w:style>
  <w:style w:type="paragraph" w:customStyle="1" w:styleId="afff4">
    <w:name w:val="Типовий"/>
    <w:rsid w:val="00220D3E"/>
    <w:pPr>
      <w:pBdr>
        <w:top w:val="nil"/>
        <w:left w:val="nil"/>
        <w:bottom w:val="nil"/>
        <w:right w:val="nil"/>
        <w:between w:val="nil"/>
        <w:bar w:val="nil"/>
      </w:pBdr>
      <w:spacing w:before="160" w:after="0" w:line="288" w:lineRule="auto"/>
    </w:pPr>
    <w:rPr>
      <w:rFonts w:ascii="Times New Roman" w:eastAsia="Arial Unicode MS" w:hAnsi="Times New Roman" w:cs="Arial Unicode MS"/>
      <w:color w:val="000000"/>
      <w:sz w:val="30"/>
      <w:szCs w:val="30"/>
      <w:bdr w:val="nil"/>
      <w:lang w:val="en-US"/>
    </w:rPr>
  </w:style>
  <w:style w:type="numbering" w:customStyle="1" w:styleId="a1">
    <w:name w:val="Маркери"/>
    <w:rsid w:val="00220D3E"/>
    <w:pPr>
      <w:numPr>
        <w:numId w:val="119"/>
      </w:numPr>
    </w:pPr>
  </w:style>
  <w:style w:type="paragraph" w:customStyle="1" w:styleId="1f3">
    <w:name w:val="Основний текст1"/>
    <w:rsid w:val="00220D3E"/>
    <w:pPr>
      <w:pBdr>
        <w:top w:val="nil"/>
        <w:left w:val="nil"/>
        <w:bottom w:val="nil"/>
        <w:right w:val="nil"/>
        <w:between w:val="nil"/>
        <w:bar w:val="nil"/>
      </w:pBdr>
      <w:spacing w:after="0" w:line="240" w:lineRule="auto"/>
    </w:pPr>
    <w:rPr>
      <w:rFonts w:ascii="Times New Roman" w:eastAsia="Arial Unicode MS" w:hAnsi="Times New Roman" w:cs="Arial Unicode MS"/>
      <w:color w:val="000000"/>
      <w:bdr w:val="nil"/>
      <w:lang w:eastAsia="ru-RU"/>
    </w:rPr>
  </w:style>
  <w:style w:type="character" w:customStyle="1" w:styleId="fadein4f9by7">
    <w:name w:val="_fadein_4f9by_7"/>
    <w:basedOn w:val="a4"/>
    <w:rsid w:val="00220D3E"/>
  </w:style>
  <w:style w:type="paragraph" w:customStyle="1" w:styleId="1">
    <w:name w:val="Нумерований список1"/>
    <w:basedOn w:val="a3"/>
    <w:next w:val="afff5"/>
    <w:uiPriority w:val="99"/>
    <w:unhideWhenUsed/>
    <w:qFormat/>
    <w:rsid w:val="00220D3E"/>
    <w:pPr>
      <w:numPr>
        <w:numId w:val="143"/>
      </w:numPr>
      <w:tabs>
        <w:tab w:val="clear" w:pos="360"/>
      </w:tabs>
      <w:spacing w:after="200" w:line="276" w:lineRule="auto"/>
      <w:contextualSpacing/>
      <w:jc w:val="left"/>
    </w:pPr>
    <w:rPr>
      <w:rFonts w:ascii="Calibri" w:eastAsia="Times New Roman" w:hAnsi="Calibri"/>
      <w:sz w:val="22"/>
      <w:lang w:val="en-US"/>
    </w:rPr>
  </w:style>
  <w:style w:type="paragraph" w:customStyle="1" w:styleId="NumberedList">
    <w:name w:val="Numbered List"/>
    <w:basedOn w:val="afff5"/>
    <w:qFormat/>
    <w:rsid w:val="00220D3E"/>
    <w:pPr>
      <w:tabs>
        <w:tab w:val="num" w:pos="0"/>
      </w:tabs>
      <w:ind w:left="0" w:firstLine="709"/>
    </w:pPr>
    <w:rPr>
      <w:rFonts w:ascii="Times New Roman" w:eastAsia="Calibri" w:hAnsi="Times New Roman"/>
      <w:szCs w:val="28"/>
      <w:lang w:val="en-US"/>
    </w:rPr>
  </w:style>
  <w:style w:type="paragraph" w:customStyle="1" w:styleId="sfe10dc93">
    <w:name w:val="sfe10dc93"/>
    <w:basedOn w:val="a3"/>
    <w:rsid w:val="00220D3E"/>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uk-UA"/>
    </w:rPr>
  </w:style>
  <w:style w:type="character" w:customStyle="1" w:styleId="s29100277">
    <w:name w:val="s29100277"/>
    <w:basedOn w:val="a4"/>
    <w:rsid w:val="00220D3E"/>
  </w:style>
  <w:style w:type="character" w:customStyle="1" w:styleId="sa36b60a1">
    <w:name w:val="sa36b60a1"/>
    <w:basedOn w:val="a4"/>
    <w:rsid w:val="00220D3E"/>
  </w:style>
  <w:style w:type="character" w:customStyle="1" w:styleId="af1">
    <w:name w:val="Абзац списка Знак"/>
    <w:link w:val="af0"/>
    <w:uiPriority w:val="34"/>
    <w:rsid w:val="00220D3E"/>
    <w:rPr>
      <w:rFonts w:asciiTheme="majorBidi" w:hAnsiTheme="majorBidi"/>
      <w:sz w:val="28"/>
    </w:rPr>
  </w:style>
  <w:style w:type="paragraph" w:customStyle="1" w:styleId="whitespace-pre-wrap">
    <w:name w:val="whitespace-pre-wrap"/>
    <w:rsid w:val="00220D3E"/>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eastAsia="uk-UA"/>
    </w:rPr>
  </w:style>
  <w:style w:type="paragraph" w:customStyle="1" w:styleId="111">
    <w:name w:val="Заголовок 11"/>
    <w:basedOn w:val="a3"/>
    <w:uiPriority w:val="1"/>
    <w:qFormat/>
    <w:rsid w:val="00220D3E"/>
    <w:pPr>
      <w:widowControl w:val="0"/>
      <w:autoSpaceDE w:val="0"/>
      <w:autoSpaceDN w:val="0"/>
      <w:spacing w:before="60" w:line="240" w:lineRule="auto"/>
      <w:ind w:firstLine="0"/>
      <w:jc w:val="left"/>
      <w:outlineLvl w:val="1"/>
    </w:pPr>
    <w:rPr>
      <w:rFonts w:ascii="Times New Roman" w:eastAsia="Times New Roman" w:hAnsi="Times New Roman" w:cs="Times New Roman"/>
      <w:b/>
      <w:bCs/>
      <w:szCs w:val="28"/>
      <w:lang w:val="uk-UA"/>
    </w:rPr>
  </w:style>
  <w:style w:type="paragraph" w:customStyle="1" w:styleId="1f4">
    <w:name w:val="Схема документа1"/>
    <w:basedOn w:val="a3"/>
    <w:next w:val="afff6"/>
    <w:link w:val="afff7"/>
    <w:uiPriority w:val="99"/>
    <w:semiHidden/>
    <w:unhideWhenUsed/>
    <w:rsid w:val="00220D3E"/>
    <w:pPr>
      <w:spacing w:line="240" w:lineRule="auto"/>
      <w:ind w:firstLine="0"/>
      <w:jc w:val="left"/>
    </w:pPr>
    <w:rPr>
      <w:rFonts w:ascii="Tahoma" w:eastAsia="Times New Roman" w:hAnsi="Tahoma" w:cs="Tahoma"/>
      <w:sz w:val="16"/>
      <w:szCs w:val="16"/>
      <w:lang w:eastAsia="ru-RU"/>
    </w:rPr>
  </w:style>
  <w:style w:type="character" w:customStyle="1" w:styleId="afff7">
    <w:name w:val="Схема документа Знак"/>
    <w:basedOn w:val="a4"/>
    <w:link w:val="1f4"/>
    <w:uiPriority w:val="99"/>
    <w:semiHidden/>
    <w:rsid w:val="00220D3E"/>
    <w:rPr>
      <w:rFonts w:ascii="Tahoma" w:eastAsia="Times New Roman" w:hAnsi="Tahoma" w:cs="Tahoma"/>
      <w:sz w:val="16"/>
      <w:szCs w:val="16"/>
      <w:lang w:eastAsia="ru-RU"/>
    </w:rPr>
  </w:style>
  <w:style w:type="character" w:customStyle="1" w:styleId="fadeinm1hgl8">
    <w:name w:val="_fadein_m1hgl_8"/>
    <w:basedOn w:val="a4"/>
    <w:rsid w:val="00220D3E"/>
  </w:style>
  <w:style w:type="paragraph" w:customStyle="1" w:styleId="Afff8">
    <w:name w:val="По умолчанию A"/>
    <w:rsid w:val="00220D3E"/>
    <w:pPr>
      <w:pBdr>
        <w:top w:val="nil"/>
        <w:left w:val="nil"/>
        <w:bottom w:val="nil"/>
        <w:right w:val="nil"/>
        <w:between w:val="nil"/>
        <w:bar w:val="nil"/>
      </w:pBdr>
      <w:spacing w:before="160" w:after="0" w:line="288" w:lineRule="auto"/>
    </w:pPr>
    <w:rPr>
      <w:rFonts w:ascii="Helvetica Neue" w:eastAsia="Arial Unicode MS" w:hAnsi="Helvetica Neue" w:cs="Arial Unicode MS"/>
      <w:color w:val="000000"/>
      <w:sz w:val="24"/>
      <w:szCs w:val="24"/>
      <w:u w:color="000000"/>
      <w:bdr w:val="nil"/>
      <w:lang w:val="uk-UA" w:eastAsia="uk-UA"/>
    </w:rPr>
  </w:style>
  <w:style w:type="paragraph" w:customStyle="1" w:styleId="1f5">
    <w:name w:val="Цитата1"/>
    <w:basedOn w:val="a3"/>
    <w:next w:val="a3"/>
    <w:uiPriority w:val="29"/>
    <w:qFormat/>
    <w:rsid w:val="00220D3E"/>
    <w:pPr>
      <w:spacing w:before="200" w:after="160" w:line="259" w:lineRule="auto"/>
      <w:ind w:left="864" w:right="864" w:firstLine="0"/>
      <w:jc w:val="center"/>
    </w:pPr>
    <w:rPr>
      <w:rFonts w:ascii="Calibri" w:eastAsia="Calibri" w:hAnsi="Calibri"/>
      <w:i/>
      <w:iCs/>
      <w:color w:val="404040"/>
      <w:sz w:val="22"/>
      <w:lang w:val="uk-UA"/>
    </w:rPr>
  </w:style>
  <w:style w:type="character" w:customStyle="1" w:styleId="2a">
    <w:name w:val="Цитата 2 Знак"/>
    <w:basedOn w:val="a4"/>
    <w:link w:val="2b"/>
    <w:uiPriority w:val="29"/>
    <w:rsid w:val="00220D3E"/>
    <w:rPr>
      <w:i/>
      <w:iCs/>
      <w:color w:val="404040"/>
      <w:lang w:val="uk-UA"/>
    </w:rPr>
  </w:style>
  <w:style w:type="paragraph" w:styleId="afff5">
    <w:name w:val="List Number"/>
    <w:basedOn w:val="a3"/>
    <w:uiPriority w:val="99"/>
    <w:semiHidden/>
    <w:unhideWhenUsed/>
    <w:qFormat/>
    <w:rsid w:val="00220D3E"/>
    <w:pPr>
      <w:ind w:left="720" w:hanging="360"/>
      <w:contextualSpacing/>
    </w:pPr>
  </w:style>
  <w:style w:type="paragraph" w:styleId="afff6">
    <w:name w:val="Document Map"/>
    <w:basedOn w:val="a3"/>
    <w:link w:val="1f6"/>
    <w:uiPriority w:val="99"/>
    <w:semiHidden/>
    <w:unhideWhenUsed/>
    <w:rsid w:val="00220D3E"/>
    <w:pPr>
      <w:spacing w:line="240" w:lineRule="auto"/>
    </w:pPr>
    <w:rPr>
      <w:rFonts w:ascii="Segoe UI" w:hAnsi="Segoe UI" w:cs="Segoe UI"/>
      <w:sz w:val="16"/>
      <w:szCs w:val="16"/>
    </w:rPr>
  </w:style>
  <w:style w:type="character" w:customStyle="1" w:styleId="1f6">
    <w:name w:val="Схема документа Знак1"/>
    <w:basedOn w:val="a4"/>
    <w:link w:val="afff6"/>
    <w:uiPriority w:val="99"/>
    <w:semiHidden/>
    <w:rsid w:val="00220D3E"/>
    <w:rPr>
      <w:rFonts w:ascii="Segoe UI" w:hAnsi="Segoe UI" w:cs="Segoe UI"/>
      <w:sz w:val="16"/>
      <w:szCs w:val="16"/>
    </w:rPr>
  </w:style>
  <w:style w:type="paragraph" w:styleId="2b">
    <w:name w:val="Quote"/>
    <w:basedOn w:val="a3"/>
    <w:next w:val="a3"/>
    <w:link w:val="2a"/>
    <w:uiPriority w:val="29"/>
    <w:qFormat/>
    <w:rsid w:val="00220D3E"/>
    <w:pPr>
      <w:spacing w:before="200" w:after="160"/>
      <w:ind w:left="864" w:right="864"/>
      <w:jc w:val="center"/>
    </w:pPr>
    <w:rPr>
      <w:rFonts w:asciiTheme="minorHAnsi" w:hAnsiTheme="minorHAnsi"/>
      <w:i/>
      <w:iCs/>
      <w:color w:val="404040"/>
      <w:sz w:val="22"/>
      <w:lang w:val="uk-UA"/>
    </w:rPr>
  </w:style>
  <w:style w:type="character" w:customStyle="1" w:styleId="1f7">
    <w:name w:val="Цитата Знак1"/>
    <w:basedOn w:val="a4"/>
    <w:uiPriority w:val="29"/>
    <w:rsid w:val="00220D3E"/>
    <w:rPr>
      <w:rFonts w:asciiTheme="majorBidi" w:hAnsiTheme="majorBidi"/>
      <w:i/>
      <w:iCs/>
      <w:color w:val="404040" w:themeColor="text1" w:themeTint="BF"/>
      <w:sz w:val="28"/>
    </w:rPr>
  </w:style>
  <w:style w:type="numbering" w:customStyle="1" w:styleId="230">
    <w:name w:val="Немає списку23"/>
    <w:next w:val="a6"/>
    <w:uiPriority w:val="99"/>
    <w:semiHidden/>
    <w:unhideWhenUsed/>
    <w:rsid w:val="00220D3E"/>
  </w:style>
  <w:style w:type="numbering" w:customStyle="1" w:styleId="4">
    <w:name w:val="С числами4"/>
    <w:rsid w:val="00220D3E"/>
    <w:pPr>
      <w:numPr>
        <w:numId w:val="4"/>
      </w:numPr>
    </w:pPr>
  </w:style>
  <w:style w:type="numbering" w:customStyle="1" w:styleId="240">
    <w:name w:val="Немає списку24"/>
    <w:next w:val="a6"/>
    <w:uiPriority w:val="99"/>
    <w:semiHidden/>
    <w:unhideWhenUsed/>
    <w:rsid w:val="00B67481"/>
  </w:style>
  <w:style w:type="character" w:customStyle="1" w:styleId="ms-1">
    <w:name w:val="ms-1"/>
    <w:basedOn w:val="a4"/>
    <w:rsid w:val="00B67481"/>
  </w:style>
  <w:style w:type="character" w:customStyle="1" w:styleId="desc-text">
    <w:name w:val="desc-text"/>
    <w:basedOn w:val="a4"/>
    <w:rsid w:val="00B67481"/>
  </w:style>
  <w:style w:type="character" w:customStyle="1" w:styleId="ListLabel46">
    <w:name w:val="ListLabel 46"/>
    <w:rsid w:val="00B67481"/>
    <w:rPr>
      <w:rFonts w:ascii="Times New Roman" w:hAnsi="Times New Roman" w:cs="Times New Roman"/>
      <w:sz w:val="28"/>
      <w:szCs w:val="28"/>
    </w:rPr>
  </w:style>
  <w:style w:type="character" w:customStyle="1" w:styleId="ListLabel65">
    <w:name w:val="ListLabel 65"/>
    <w:rsid w:val="00B67481"/>
    <w:rPr>
      <w:rFonts w:ascii="Times New Roman" w:hAnsi="Times New Roman" w:cs="Times New Roman"/>
      <w:sz w:val="28"/>
      <w:szCs w:val="28"/>
      <w:lang w:val="uk-UA" w:eastAsia="pl-PL"/>
    </w:rPr>
  </w:style>
  <w:style w:type="paragraph" w:customStyle="1" w:styleId="nova-legacy-e-listitem">
    <w:name w:val="nova-legacy-e-list__item"/>
    <w:basedOn w:val="a3"/>
    <w:rsid w:val="00B67481"/>
    <w:pPr>
      <w:suppressAutoHyphens/>
      <w:spacing w:before="280" w:after="280" w:line="240" w:lineRule="auto"/>
      <w:ind w:firstLine="0"/>
      <w:jc w:val="left"/>
    </w:pPr>
    <w:rPr>
      <w:rFonts w:ascii="Times New Roman" w:eastAsia="Times New Roman" w:hAnsi="Times New Roman" w:cs="Times New Roman"/>
      <w:sz w:val="24"/>
      <w:szCs w:val="24"/>
      <w:lang w:val="pl-PL" w:eastAsia="pl-PL"/>
    </w:rPr>
  </w:style>
  <w:style w:type="paragraph" w:customStyle="1" w:styleId="1f8">
    <w:name w:val="Без интервала1"/>
    <w:rsid w:val="00B67481"/>
    <w:pPr>
      <w:suppressAutoHyphens/>
      <w:spacing w:after="0" w:line="240" w:lineRule="auto"/>
    </w:pPr>
    <w:rPr>
      <w:rFonts w:ascii="Calibri" w:eastAsia="Calibri" w:hAnsi="Calibri" w:cs="Arial"/>
      <w:lang w:val="pl-PL"/>
    </w:rPr>
  </w:style>
  <w:style w:type="numbering" w:customStyle="1" w:styleId="20">
    <w:name w:val="Номери2"/>
    <w:rsid w:val="00B67481"/>
    <w:pPr>
      <w:numPr>
        <w:numId w:val="246"/>
      </w:numPr>
    </w:pPr>
  </w:style>
  <w:style w:type="paragraph" w:customStyle="1" w:styleId="1f9">
    <w:name w:val="Обычный (веб)1"/>
    <w:basedOn w:val="a3"/>
    <w:rsid w:val="00B67481"/>
    <w:pPr>
      <w:suppressAutoHyphens/>
      <w:spacing w:before="280" w:after="280" w:line="240" w:lineRule="auto"/>
      <w:ind w:firstLine="0"/>
      <w:jc w:val="left"/>
    </w:pPr>
    <w:rPr>
      <w:rFonts w:ascii="Times New Roman" w:eastAsia="Times New Roman" w:hAnsi="Times New Roman" w:cs="Times New Roman"/>
      <w:sz w:val="24"/>
      <w:szCs w:val="24"/>
      <w:lang w:val="uk-UA" w:eastAsia="uk-UA"/>
    </w:rPr>
  </w:style>
  <w:style w:type="character" w:customStyle="1" w:styleId="ListLabel154">
    <w:name w:val="ListLabel 154"/>
    <w:rsid w:val="00B67481"/>
    <w:rPr>
      <w:rFonts w:ascii="Times New Roman" w:hAnsi="Times New Roman" w:cs="Times New Roman"/>
      <w:sz w:val="28"/>
      <w:szCs w:val="28"/>
    </w:rPr>
  </w:style>
  <w:style w:type="character" w:customStyle="1" w:styleId="ListLabel156">
    <w:name w:val="ListLabel 156"/>
    <w:rsid w:val="00B67481"/>
    <w:rPr>
      <w:rFonts w:ascii="Times New Roman" w:eastAsia="Times New Roman" w:hAnsi="Times New Roman" w:cs="Times New Roman"/>
      <w:color w:val="000000"/>
      <w:sz w:val="28"/>
      <w:szCs w:val="28"/>
    </w:rPr>
  </w:style>
  <w:style w:type="character" w:customStyle="1" w:styleId="ListLabel158">
    <w:name w:val="ListLabel 158"/>
    <w:rsid w:val="00B67481"/>
    <w:rPr>
      <w:rFonts w:ascii="Times New Roman" w:eastAsia="Times New Roman" w:hAnsi="Times New Roman" w:cs="Times New Roman"/>
      <w:color w:val="000000"/>
      <w:sz w:val="28"/>
      <w:szCs w:val="28"/>
    </w:rPr>
  </w:style>
  <w:style w:type="character" w:customStyle="1" w:styleId="fadeinpfttw8">
    <w:name w:val="_fadein_pfttw_8"/>
    <w:basedOn w:val="a4"/>
    <w:rsid w:val="00B67481"/>
  </w:style>
  <w:style w:type="character" w:customStyle="1" w:styleId="ListLabel10">
    <w:name w:val="ListLabel 10"/>
    <w:rsid w:val="00B67481"/>
    <w:rPr>
      <w:rFonts w:ascii="Times New Roman" w:eastAsia="Times New Roman" w:hAnsi="Times New Roman" w:cs="Times New Roman"/>
      <w:color w:val="000000"/>
      <w:sz w:val="28"/>
      <w:szCs w:val="28"/>
      <w:lang w:eastAsia="uk-UA"/>
    </w:rPr>
  </w:style>
  <w:style w:type="character" w:customStyle="1" w:styleId="valid">
    <w:name w:val="valid"/>
    <w:basedOn w:val="a4"/>
    <w:rsid w:val="00B67481"/>
  </w:style>
  <w:style w:type="paragraph" w:customStyle="1" w:styleId="afff9">
    <w:name w:val="МІЙ"/>
    <w:qFormat/>
    <w:rsid w:val="00B67481"/>
    <w:pPr>
      <w:spacing w:after="0" w:line="259" w:lineRule="auto"/>
      <w:ind w:firstLine="709"/>
      <w:jc w:val="both"/>
    </w:pPr>
    <w:rPr>
      <w:rFonts w:ascii="Times New Roman" w:eastAsia="Calibri" w:hAnsi="Times New Roman" w:cs="Times New Roman"/>
      <w:kern w:val="2"/>
      <w:sz w:val="24"/>
      <w:szCs w:val="24"/>
      <w:lang w:val="uk-UA"/>
    </w:rPr>
  </w:style>
  <w:style w:type="numbering" w:customStyle="1" w:styleId="250">
    <w:name w:val="Немає списку25"/>
    <w:next w:val="a6"/>
    <w:uiPriority w:val="99"/>
    <w:semiHidden/>
    <w:unhideWhenUsed/>
    <w:rsid w:val="00C10374"/>
  </w:style>
  <w:style w:type="paragraph" w:customStyle="1" w:styleId="docdata">
    <w:name w:val="docdata"/>
    <w:aliases w:val="docy,v5,39933,baiaagaaboqcaaado5qaaavjlaaaaaaaaaaaaaaaaaaaaaaaaaaaaaaaaaaaaaaaaaaaaaaaaaaaaaaaaaaaaaaaaaaaaaaaaaaaaaaaaaaaaaaaaaaaaaaaaaaaaaaaaaaaaaaaaaaaaaaaaaaaaaaaaaaaaaaaaaaaaaaaaaaaaaaaaaaaaaaaaaaaaaaaaaaaaaaaaaaaaaaaaaaaaaaaaaaaaaaaaaaaaaa"/>
    <w:basedOn w:val="a3"/>
    <w:uiPriority w:val="99"/>
    <w:rsid w:val="00C10374"/>
    <w:pPr>
      <w:spacing w:before="100" w:beforeAutospacing="1" w:after="100" w:afterAutospacing="1" w:line="240" w:lineRule="auto"/>
      <w:ind w:firstLine="0"/>
      <w:jc w:val="left"/>
    </w:pPr>
    <w:rPr>
      <w:rFonts w:ascii="Times New Roman" w:eastAsia="Times New Roman" w:hAnsi="Times New Roman" w:cs="Times New Roman"/>
      <w:sz w:val="24"/>
      <w:szCs w:val="24"/>
      <w:lang w:eastAsia="ru-RU"/>
    </w:rPr>
  </w:style>
  <w:style w:type="character" w:customStyle="1" w:styleId="rvts37">
    <w:name w:val="rvts37"/>
    <w:basedOn w:val="a4"/>
    <w:rsid w:val="00C10374"/>
  </w:style>
  <w:style w:type="paragraph" w:customStyle="1" w:styleId="s6">
    <w:name w:val="s6"/>
    <w:basedOn w:val="a3"/>
    <w:rsid w:val="00C10374"/>
    <w:pPr>
      <w:spacing w:before="100" w:beforeAutospacing="1" w:after="100" w:afterAutospacing="1" w:line="240" w:lineRule="auto"/>
      <w:ind w:firstLine="0"/>
      <w:jc w:val="left"/>
    </w:pPr>
    <w:rPr>
      <w:rFonts w:ascii="Times New Roman" w:eastAsia="Times New Roman" w:hAnsi="Times New Roman" w:cs="Times New Roman"/>
      <w:sz w:val="24"/>
      <w:szCs w:val="24"/>
      <w:lang w:eastAsia="uk-UA"/>
    </w:rPr>
  </w:style>
  <w:style w:type="paragraph" w:customStyle="1" w:styleId="li1">
    <w:name w:val="li1"/>
    <w:basedOn w:val="a3"/>
    <w:rsid w:val="00C10374"/>
    <w:pPr>
      <w:spacing w:line="240" w:lineRule="auto"/>
      <w:ind w:firstLine="0"/>
      <w:jc w:val="left"/>
    </w:pPr>
    <w:rPr>
      <w:rFonts w:ascii=".AppleSystemUIFont" w:eastAsia="Times New Roman" w:hAnsi=".AppleSystemUIFont" w:cs="Times New Roman"/>
      <w:sz w:val="26"/>
      <w:szCs w:val="26"/>
      <w:lang w:eastAsia="ru-RU"/>
    </w:rPr>
  </w:style>
  <w:style w:type="character" w:customStyle="1" w:styleId="2042">
    <w:name w:val="2042"/>
    <w:aliases w:val="baiaagaaboqcaaadhqqaaaurbaaaaaaaaaaaaaaaaaaaaaaaaaaaaaaaaaaaaaaaaaaaaaaaaaaaaaaaaaaaaaaaaaaaaaaaaaaaaaaaaaaaaaaaaaaaaaaaaaaaaaaaaaaaaaaaaaaaaaaaaaaaaaaaaaaaaaaaaaaaaaaaaaaaaaaaaaaaaaaaaaaaaaaaaaaaaaaaaaaaaaaaaaaaaaaaaaaaaaaaaaaaaaaa"/>
    <w:basedOn w:val="a4"/>
    <w:rsid w:val="00C10374"/>
  </w:style>
  <w:style w:type="paragraph" w:customStyle="1" w:styleId="mb-2">
    <w:name w:val="mb-2"/>
    <w:basedOn w:val="a3"/>
    <w:rsid w:val="00C10374"/>
    <w:pPr>
      <w:spacing w:before="100" w:beforeAutospacing="1" w:after="100" w:afterAutospacing="1" w:line="240" w:lineRule="auto"/>
      <w:ind w:firstLine="0"/>
      <w:jc w:val="left"/>
    </w:pPr>
    <w:rPr>
      <w:rFonts w:ascii="Times New Roman" w:eastAsia="Times New Roman" w:hAnsi="Times New Roman" w:cs="Times New Roman"/>
      <w:sz w:val="24"/>
      <w:szCs w:val="24"/>
      <w:lang w:eastAsia="ru-RU"/>
    </w:rPr>
  </w:style>
  <w:style w:type="paragraph" w:customStyle="1" w:styleId="afffa">
    <w:name w:val="Рабочий"/>
    <w:basedOn w:val="a3"/>
    <w:link w:val="afffb"/>
    <w:qFormat/>
    <w:rsid w:val="00C10374"/>
    <w:pPr>
      <w:ind w:firstLine="708"/>
    </w:pPr>
    <w:rPr>
      <w:rFonts w:ascii="Times New Roman" w:eastAsia="Calibri" w:hAnsi="Times New Roman" w:cs="Arial"/>
      <w:color w:val="000000"/>
      <w:szCs w:val="24"/>
      <w:lang w:val="uk-UA"/>
    </w:rPr>
  </w:style>
  <w:style w:type="character" w:customStyle="1" w:styleId="afffb">
    <w:name w:val="Рабочий Знак"/>
    <w:link w:val="afffa"/>
    <w:rsid w:val="00C10374"/>
    <w:rPr>
      <w:rFonts w:ascii="Times New Roman" w:eastAsia="Calibri" w:hAnsi="Times New Roman" w:cs="Arial"/>
      <w:color w:val="000000"/>
      <w:sz w:val="28"/>
      <w:szCs w:val="24"/>
      <w:lang w:val="uk-UA"/>
    </w:rPr>
  </w:style>
  <w:style w:type="paragraph" w:customStyle="1" w:styleId="710">
    <w:name w:val="Заголовок 71"/>
    <w:basedOn w:val="a3"/>
    <w:next w:val="a3"/>
    <w:uiPriority w:val="9"/>
    <w:semiHidden/>
    <w:unhideWhenUsed/>
    <w:qFormat/>
    <w:rsid w:val="005F048D"/>
    <w:pPr>
      <w:keepNext/>
      <w:keepLines/>
      <w:spacing w:before="40" w:line="259" w:lineRule="auto"/>
      <w:ind w:firstLine="0"/>
      <w:jc w:val="left"/>
      <w:outlineLvl w:val="6"/>
    </w:pPr>
    <w:rPr>
      <w:rFonts w:ascii="Aptos" w:eastAsia="Times New Roman" w:hAnsi="Aptos" w:cs="Times New Roman"/>
      <w:color w:val="595959"/>
      <w:sz w:val="22"/>
      <w:lang w:val="uk-UA" w:eastAsia="uk-UA"/>
    </w:rPr>
  </w:style>
  <w:style w:type="paragraph" w:customStyle="1" w:styleId="810">
    <w:name w:val="Заголовок 81"/>
    <w:basedOn w:val="a3"/>
    <w:next w:val="a3"/>
    <w:uiPriority w:val="9"/>
    <w:semiHidden/>
    <w:unhideWhenUsed/>
    <w:qFormat/>
    <w:rsid w:val="005F048D"/>
    <w:pPr>
      <w:keepNext/>
      <w:keepLines/>
      <w:spacing w:line="259" w:lineRule="auto"/>
      <w:ind w:firstLine="0"/>
      <w:jc w:val="left"/>
      <w:outlineLvl w:val="7"/>
    </w:pPr>
    <w:rPr>
      <w:rFonts w:ascii="Aptos" w:eastAsia="Times New Roman" w:hAnsi="Aptos" w:cs="Times New Roman"/>
      <w:i/>
      <w:iCs/>
      <w:color w:val="272727"/>
      <w:sz w:val="22"/>
      <w:lang w:val="uk-UA" w:eastAsia="uk-UA"/>
    </w:rPr>
  </w:style>
  <w:style w:type="paragraph" w:customStyle="1" w:styleId="910">
    <w:name w:val="Заголовок 91"/>
    <w:basedOn w:val="a3"/>
    <w:next w:val="a3"/>
    <w:uiPriority w:val="9"/>
    <w:semiHidden/>
    <w:unhideWhenUsed/>
    <w:qFormat/>
    <w:rsid w:val="005F048D"/>
    <w:pPr>
      <w:keepNext/>
      <w:keepLines/>
      <w:spacing w:line="259" w:lineRule="auto"/>
      <w:ind w:firstLine="0"/>
      <w:jc w:val="left"/>
      <w:outlineLvl w:val="8"/>
    </w:pPr>
    <w:rPr>
      <w:rFonts w:ascii="Aptos" w:eastAsia="Times New Roman" w:hAnsi="Aptos" w:cs="Times New Roman"/>
      <w:color w:val="272727"/>
      <w:sz w:val="22"/>
      <w:lang w:val="uk-UA" w:eastAsia="uk-UA"/>
    </w:rPr>
  </w:style>
  <w:style w:type="numbering" w:customStyle="1" w:styleId="260">
    <w:name w:val="Немає списку26"/>
    <w:next w:val="a6"/>
    <w:uiPriority w:val="99"/>
    <w:semiHidden/>
    <w:unhideWhenUsed/>
    <w:rsid w:val="005F048D"/>
  </w:style>
  <w:style w:type="character" w:customStyle="1" w:styleId="70">
    <w:name w:val="Заголовок 7 Знак"/>
    <w:basedOn w:val="a4"/>
    <w:link w:val="7"/>
    <w:uiPriority w:val="9"/>
    <w:semiHidden/>
    <w:rsid w:val="005F048D"/>
    <w:rPr>
      <w:rFonts w:ascii="Aptos" w:eastAsia="Times New Roman" w:hAnsi="Aptos" w:cs="Times New Roman"/>
      <w:color w:val="595959"/>
      <w:kern w:val="0"/>
      <w:sz w:val="22"/>
      <w:lang w:eastAsia="uk-UA"/>
      <w14:ligatures w14:val="none"/>
    </w:rPr>
  </w:style>
  <w:style w:type="character" w:customStyle="1" w:styleId="81">
    <w:name w:val="Заголовок 8 Знак"/>
    <w:basedOn w:val="a4"/>
    <w:link w:val="80"/>
    <w:uiPriority w:val="9"/>
    <w:semiHidden/>
    <w:rsid w:val="005F048D"/>
    <w:rPr>
      <w:rFonts w:ascii="Aptos" w:eastAsia="Times New Roman" w:hAnsi="Aptos" w:cs="Times New Roman"/>
      <w:i/>
      <w:iCs/>
      <w:color w:val="272727"/>
      <w:kern w:val="0"/>
      <w:sz w:val="22"/>
      <w:lang w:eastAsia="uk-UA"/>
      <w14:ligatures w14:val="none"/>
    </w:rPr>
  </w:style>
  <w:style w:type="character" w:customStyle="1" w:styleId="90">
    <w:name w:val="Заголовок 9 Знак"/>
    <w:basedOn w:val="a4"/>
    <w:link w:val="9"/>
    <w:uiPriority w:val="9"/>
    <w:semiHidden/>
    <w:rsid w:val="005F048D"/>
    <w:rPr>
      <w:rFonts w:ascii="Aptos" w:eastAsia="Times New Roman" w:hAnsi="Aptos" w:cs="Times New Roman"/>
      <w:color w:val="272727"/>
      <w:kern w:val="0"/>
      <w:sz w:val="22"/>
      <w:lang w:eastAsia="uk-UA"/>
      <w14:ligatures w14:val="none"/>
    </w:rPr>
  </w:style>
  <w:style w:type="character" w:customStyle="1" w:styleId="1fa">
    <w:name w:val="Сильне виокремлення1"/>
    <w:basedOn w:val="a4"/>
    <w:uiPriority w:val="21"/>
    <w:qFormat/>
    <w:rsid w:val="005F048D"/>
    <w:rPr>
      <w:i/>
      <w:iCs/>
      <w:color w:val="2F5496"/>
    </w:rPr>
  </w:style>
  <w:style w:type="paragraph" w:customStyle="1" w:styleId="1fb">
    <w:name w:val="Насичена цитата1"/>
    <w:basedOn w:val="a3"/>
    <w:next w:val="a3"/>
    <w:uiPriority w:val="30"/>
    <w:qFormat/>
    <w:rsid w:val="005F048D"/>
    <w:pPr>
      <w:pBdr>
        <w:top w:val="single" w:sz="4" w:space="10" w:color="2F5496"/>
        <w:bottom w:val="single" w:sz="4" w:space="10" w:color="2F5496"/>
      </w:pBdr>
      <w:spacing w:before="360" w:after="360" w:line="259" w:lineRule="auto"/>
      <w:ind w:left="864" w:right="864" w:firstLine="0"/>
      <w:jc w:val="center"/>
    </w:pPr>
    <w:rPr>
      <w:rFonts w:ascii="Calibri" w:eastAsia="Calibri" w:hAnsi="Calibri" w:cs="Calibri"/>
      <w:i/>
      <w:iCs/>
      <w:color w:val="2F5496"/>
      <w:sz w:val="22"/>
      <w:lang w:val="uk-UA" w:eastAsia="uk-UA"/>
    </w:rPr>
  </w:style>
  <w:style w:type="character" w:customStyle="1" w:styleId="afffc">
    <w:name w:val="Выделенная цитата Знак"/>
    <w:basedOn w:val="a4"/>
    <w:link w:val="afffd"/>
    <w:uiPriority w:val="30"/>
    <w:rsid w:val="005F048D"/>
    <w:rPr>
      <w:rFonts w:eastAsia="Calibri" w:cs="Calibri"/>
      <w:i/>
      <w:iCs/>
      <w:color w:val="2F5496"/>
      <w:kern w:val="0"/>
      <w:sz w:val="22"/>
      <w:lang w:eastAsia="uk-UA"/>
      <w14:ligatures w14:val="none"/>
    </w:rPr>
  </w:style>
  <w:style w:type="character" w:customStyle="1" w:styleId="1fc">
    <w:name w:val="Сильне посилання1"/>
    <w:basedOn w:val="a4"/>
    <w:uiPriority w:val="32"/>
    <w:qFormat/>
    <w:rsid w:val="005F048D"/>
    <w:rPr>
      <w:b/>
      <w:bCs/>
      <w:smallCaps/>
      <w:color w:val="2F5496"/>
      <w:spacing w:val="5"/>
    </w:rPr>
  </w:style>
  <w:style w:type="character" w:customStyle="1" w:styleId="button-container">
    <w:name w:val="button-container"/>
    <w:basedOn w:val="a4"/>
    <w:qFormat/>
    <w:rsid w:val="005F048D"/>
  </w:style>
  <w:style w:type="character" w:customStyle="1" w:styleId="711">
    <w:name w:val="Заголовок 7 Знак1"/>
    <w:basedOn w:val="a4"/>
    <w:uiPriority w:val="9"/>
    <w:semiHidden/>
    <w:rsid w:val="005F048D"/>
    <w:rPr>
      <w:rFonts w:asciiTheme="majorHAnsi" w:eastAsiaTheme="majorEastAsia" w:hAnsiTheme="majorHAnsi" w:cstheme="majorBidi"/>
      <w:i/>
      <w:iCs/>
      <w:color w:val="243F60" w:themeColor="accent1" w:themeShade="7F"/>
      <w:sz w:val="28"/>
    </w:rPr>
  </w:style>
  <w:style w:type="character" w:customStyle="1" w:styleId="811">
    <w:name w:val="Заголовок 8 Знак1"/>
    <w:basedOn w:val="a4"/>
    <w:uiPriority w:val="9"/>
    <w:semiHidden/>
    <w:rsid w:val="005F048D"/>
    <w:rPr>
      <w:rFonts w:asciiTheme="majorHAnsi" w:eastAsiaTheme="majorEastAsia" w:hAnsiTheme="majorHAnsi" w:cstheme="majorBidi"/>
      <w:color w:val="272727" w:themeColor="text1" w:themeTint="D8"/>
      <w:sz w:val="21"/>
      <w:szCs w:val="21"/>
    </w:rPr>
  </w:style>
  <w:style w:type="character" w:customStyle="1" w:styleId="911">
    <w:name w:val="Заголовок 9 Знак1"/>
    <w:basedOn w:val="a4"/>
    <w:uiPriority w:val="9"/>
    <w:semiHidden/>
    <w:rsid w:val="005F048D"/>
    <w:rPr>
      <w:rFonts w:asciiTheme="majorHAnsi" w:eastAsiaTheme="majorEastAsia" w:hAnsiTheme="majorHAnsi" w:cstheme="majorBidi"/>
      <w:i/>
      <w:iCs/>
      <w:color w:val="272727" w:themeColor="text1" w:themeTint="D8"/>
      <w:sz w:val="21"/>
      <w:szCs w:val="21"/>
    </w:rPr>
  </w:style>
  <w:style w:type="character" w:styleId="afffe">
    <w:name w:val="Intense Emphasis"/>
    <w:basedOn w:val="a4"/>
    <w:uiPriority w:val="21"/>
    <w:qFormat/>
    <w:rsid w:val="005F048D"/>
    <w:rPr>
      <w:i/>
      <w:iCs/>
      <w:color w:val="4F81BD" w:themeColor="accent1"/>
    </w:rPr>
  </w:style>
  <w:style w:type="paragraph" w:styleId="afffd">
    <w:name w:val="Intense Quote"/>
    <w:basedOn w:val="a3"/>
    <w:next w:val="a3"/>
    <w:link w:val="afffc"/>
    <w:uiPriority w:val="30"/>
    <w:qFormat/>
    <w:rsid w:val="005F048D"/>
    <w:pPr>
      <w:pBdr>
        <w:top w:val="single" w:sz="4" w:space="10" w:color="4F81BD" w:themeColor="accent1"/>
        <w:bottom w:val="single" w:sz="4" w:space="10" w:color="4F81BD" w:themeColor="accent1"/>
      </w:pBdr>
      <w:spacing w:before="360" w:after="360"/>
      <w:ind w:left="864" w:right="864"/>
      <w:jc w:val="center"/>
    </w:pPr>
    <w:rPr>
      <w:rFonts w:asciiTheme="minorHAnsi" w:eastAsia="Calibri" w:hAnsiTheme="minorHAnsi" w:cs="Calibri"/>
      <w:i/>
      <w:iCs/>
      <w:color w:val="2F5496"/>
      <w:sz w:val="22"/>
      <w:lang w:eastAsia="uk-UA"/>
    </w:rPr>
  </w:style>
  <w:style w:type="character" w:customStyle="1" w:styleId="1fd">
    <w:name w:val="Насичена цитата Знак1"/>
    <w:basedOn w:val="a4"/>
    <w:uiPriority w:val="30"/>
    <w:rsid w:val="005F048D"/>
    <w:rPr>
      <w:rFonts w:asciiTheme="majorBidi" w:hAnsiTheme="majorBidi"/>
      <w:i/>
      <w:iCs/>
      <w:color w:val="4F81BD" w:themeColor="accent1"/>
      <w:sz w:val="28"/>
    </w:rPr>
  </w:style>
  <w:style w:type="character" w:styleId="affff">
    <w:name w:val="Intense Reference"/>
    <w:basedOn w:val="a4"/>
    <w:uiPriority w:val="32"/>
    <w:qFormat/>
    <w:rsid w:val="005F048D"/>
    <w:rPr>
      <w:b/>
      <w:bCs/>
      <w:smallCaps/>
      <w:color w:val="4F81BD" w:themeColor="accent1"/>
      <w:spacing w:val="5"/>
    </w:rPr>
  </w:style>
  <w:style w:type="numbering" w:customStyle="1" w:styleId="270">
    <w:name w:val="Немає списку27"/>
    <w:next w:val="a6"/>
    <w:uiPriority w:val="99"/>
    <w:semiHidden/>
    <w:unhideWhenUsed/>
    <w:rsid w:val="005F048D"/>
  </w:style>
  <w:style w:type="table" w:customStyle="1" w:styleId="TableNormal1">
    <w:name w:val="Table Normal1"/>
    <w:rsid w:val="005F048D"/>
    <w:pPr>
      <w:spacing w:after="0"/>
    </w:pPr>
    <w:rPr>
      <w:rFonts w:ascii="Arial" w:eastAsia="Arial" w:hAnsi="Arial" w:cs="Arial"/>
      <w:lang w:val="uk-UA" w:eastAsia="uk-UA"/>
    </w:rPr>
    <w:tblPr>
      <w:tblCellMar>
        <w:top w:w="0" w:type="dxa"/>
        <w:left w:w="0" w:type="dxa"/>
        <w:bottom w:w="0" w:type="dxa"/>
        <w:right w:w="0" w:type="dxa"/>
      </w:tblCellMar>
    </w:tblPr>
  </w:style>
  <w:style w:type="numbering" w:customStyle="1" w:styleId="280">
    <w:name w:val="Немає списку28"/>
    <w:next w:val="a6"/>
    <w:uiPriority w:val="99"/>
    <w:semiHidden/>
    <w:unhideWhenUsed/>
    <w:rsid w:val="003476F8"/>
  </w:style>
  <w:style w:type="numbering" w:customStyle="1" w:styleId="290">
    <w:name w:val="Немає списку29"/>
    <w:next w:val="a6"/>
    <w:uiPriority w:val="99"/>
    <w:semiHidden/>
    <w:unhideWhenUsed/>
    <w:rsid w:val="003476F8"/>
  </w:style>
  <w:style w:type="numbering" w:customStyle="1" w:styleId="112">
    <w:name w:val="Нет списка11"/>
    <w:next w:val="a6"/>
    <w:uiPriority w:val="99"/>
    <w:semiHidden/>
    <w:unhideWhenUsed/>
    <w:rsid w:val="003476F8"/>
  </w:style>
  <w:style w:type="character" w:customStyle="1" w:styleId="1fe">
    <w:name w:val="Выделение1"/>
    <w:basedOn w:val="a4"/>
    <w:uiPriority w:val="20"/>
    <w:qFormat/>
    <w:rsid w:val="003476F8"/>
    <w:rPr>
      <w:rFonts w:ascii="Times New Roman" w:hAnsi="Times New Roman"/>
      <w:b/>
      <w:i/>
      <w:iCs/>
    </w:rPr>
  </w:style>
  <w:style w:type="character" w:customStyle="1" w:styleId="1ff">
    <w:name w:val="Слабое выделение1"/>
    <w:uiPriority w:val="19"/>
    <w:qFormat/>
    <w:rsid w:val="003476F8"/>
    <w:rPr>
      <w:i/>
      <w:color w:val="5A5A5A"/>
    </w:rPr>
  </w:style>
  <w:style w:type="character" w:styleId="affff0">
    <w:name w:val="Subtle Reference"/>
    <w:basedOn w:val="a4"/>
    <w:uiPriority w:val="31"/>
    <w:qFormat/>
    <w:rsid w:val="003476F8"/>
    <w:rPr>
      <w:sz w:val="24"/>
      <w:szCs w:val="24"/>
      <w:u w:val="single"/>
    </w:rPr>
  </w:style>
  <w:style w:type="character" w:customStyle="1" w:styleId="1ff0">
    <w:name w:val="Название книги1"/>
    <w:basedOn w:val="a4"/>
    <w:uiPriority w:val="33"/>
    <w:qFormat/>
    <w:rsid w:val="003476F8"/>
    <w:rPr>
      <w:rFonts w:ascii="Times New Roman" w:eastAsia="Times New Roman" w:hAnsi="Times New Roman"/>
      <w:b/>
      <w:i/>
      <w:sz w:val="24"/>
      <w:szCs w:val="24"/>
    </w:rPr>
  </w:style>
  <w:style w:type="character" w:customStyle="1" w:styleId="1ff1">
    <w:name w:val="Слабке виокремлення1"/>
    <w:basedOn w:val="a4"/>
    <w:uiPriority w:val="19"/>
    <w:qFormat/>
    <w:rsid w:val="003476F8"/>
    <w:rPr>
      <w:i/>
      <w:iCs/>
      <w:color w:val="404040"/>
    </w:rPr>
  </w:style>
  <w:style w:type="character" w:styleId="affff1">
    <w:name w:val="Book Title"/>
    <w:basedOn w:val="a4"/>
    <w:uiPriority w:val="33"/>
    <w:qFormat/>
    <w:rsid w:val="003476F8"/>
    <w:rPr>
      <w:b/>
      <w:bCs/>
      <w:i/>
      <w:iCs/>
      <w:spacing w:val="5"/>
    </w:rPr>
  </w:style>
  <w:style w:type="character" w:styleId="affff2">
    <w:name w:val="Subtle Emphasis"/>
    <w:basedOn w:val="a4"/>
    <w:uiPriority w:val="19"/>
    <w:qFormat/>
    <w:rsid w:val="003476F8"/>
    <w:rPr>
      <w:i/>
      <w:iCs/>
      <w:color w:val="404040" w:themeColor="text1" w:themeTint="BF"/>
    </w:rPr>
  </w:style>
  <w:style w:type="numbering" w:customStyle="1" w:styleId="300">
    <w:name w:val="Немає списку30"/>
    <w:next w:val="a6"/>
    <w:semiHidden/>
    <w:unhideWhenUsed/>
    <w:rsid w:val="00200E87"/>
  </w:style>
  <w:style w:type="paragraph" w:customStyle="1" w:styleId="Pa18">
    <w:name w:val="Pa18"/>
    <w:basedOn w:val="a3"/>
    <w:next w:val="a3"/>
    <w:rsid w:val="00200E87"/>
    <w:pPr>
      <w:autoSpaceDE w:val="0"/>
      <w:autoSpaceDN w:val="0"/>
      <w:adjustRightInd w:val="0"/>
      <w:spacing w:line="201" w:lineRule="atLeast"/>
      <w:ind w:firstLine="0"/>
      <w:jc w:val="left"/>
    </w:pPr>
    <w:rPr>
      <w:rFonts w:ascii="UkrainianPragmatica" w:eastAsia="Times New Roman" w:hAnsi="UkrainianPragmatica" w:cs="Times New Roman"/>
      <w:sz w:val="24"/>
      <w:szCs w:val="24"/>
      <w:lang w:eastAsia="ru-RU"/>
    </w:rPr>
  </w:style>
  <w:style w:type="paragraph" w:customStyle="1" w:styleId="2c">
    <w:name w:val="Звичайний2"/>
    <w:rsid w:val="00200E87"/>
    <w:pPr>
      <w:spacing w:after="0"/>
    </w:pPr>
    <w:rPr>
      <w:rFonts w:ascii="Arial" w:eastAsia="Times New Roman" w:hAnsi="Arial" w:cs="Arial"/>
      <w:lang w:val="uk" w:eastAsia="ru-RU"/>
    </w:rPr>
  </w:style>
  <w:style w:type="paragraph" w:customStyle="1" w:styleId="1ff2">
    <w:name w:val="Абзац списку1"/>
    <w:basedOn w:val="a3"/>
    <w:rsid w:val="00200E87"/>
    <w:pPr>
      <w:spacing w:after="160" w:line="259" w:lineRule="auto"/>
      <w:ind w:left="720" w:firstLine="0"/>
      <w:jc w:val="left"/>
    </w:pPr>
    <w:rPr>
      <w:rFonts w:ascii="Calibri" w:eastAsia="Times New Roman" w:hAnsi="Calibri" w:cs="Times New Roman"/>
      <w:kern w:val="2"/>
      <w:sz w:val="22"/>
    </w:rPr>
  </w:style>
  <w:style w:type="paragraph" w:customStyle="1" w:styleId="affff3">
    <w:name w:val="науковий"/>
    <w:basedOn w:val="a3"/>
    <w:rsid w:val="00200E87"/>
    <w:pPr>
      <w:spacing w:after="160" w:line="278" w:lineRule="auto"/>
      <w:ind w:firstLine="0"/>
      <w:jc w:val="left"/>
    </w:pPr>
    <w:rPr>
      <w:rFonts w:ascii="Times New Roman" w:eastAsia="Times New Roman" w:hAnsi="Times New Roman" w:cs="Times New Roman"/>
      <w:kern w:val="2"/>
      <w:szCs w:val="27"/>
      <w:shd w:val="clear" w:color="auto" w:fill="FFFFFF"/>
      <w:lang w:val="uk-UA" w:eastAsia="uk-UA"/>
    </w:rPr>
  </w:style>
  <w:style w:type="numbering" w:customStyle="1" w:styleId="5">
    <w:name w:val="С числами5"/>
    <w:rsid w:val="00200E87"/>
    <w:pPr>
      <w:numPr>
        <w:numId w:val="484"/>
      </w:numPr>
    </w:pPr>
  </w:style>
  <w:style w:type="numbering" w:customStyle="1" w:styleId="310">
    <w:name w:val="Немає списку31"/>
    <w:next w:val="a6"/>
    <w:uiPriority w:val="99"/>
    <w:semiHidden/>
    <w:unhideWhenUsed/>
    <w:rsid w:val="00200E87"/>
  </w:style>
  <w:style w:type="numbering" w:customStyle="1" w:styleId="a0">
    <w:name w:val="Пункты"/>
    <w:rsid w:val="00200E87"/>
    <w:pPr>
      <w:numPr>
        <w:numId w:val="546"/>
      </w:numPr>
    </w:pPr>
  </w:style>
  <w:style w:type="numbering" w:customStyle="1" w:styleId="322">
    <w:name w:val="Немає списку32"/>
    <w:next w:val="a6"/>
    <w:uiPriority w:val="99"/>
    <w:semiHidden/>
    <w:unhideWhenUsed/>
    <w:rsid w:val="00C1357F"/>
  </w:style>
  <w:style w:type="character" w:customStyle="1" w:styleId="message-time">
    <w:name w:val="message-time"/>
    <w:basedOn w:val="a4"/>
    <w:rsid w:val="00C1357F"/>
  </w:style>
  <w:style w:type="numbering" w:customStyle="1" w:styleId="330">
    <w:name w:val="Немає списку33"/>
    <w:next w:val="a6"/>
    <w:uiPriority w:val="99"/>
    <w:semiHidden/>
    <w:unhideWhenUsed/>
    <w:rsid w:val="00E72EC3"/>
  </w:style>
  <w:style w:type="character" w:customStyle="1" w:styleId="s28">
    <w:name w:val="s28"/>
    <w:basedOn w:val="a4"/>
    <w:rsid w:val="00E72EC3"/>
  </w:style>
  <w:style w:type="character" w:customStyle="1" w:styleId="value">
    <w:name w:val="value"/>
    <w:basedOn w:val="a4"/>
    <w:rsid w:val="00E72EC3"/>
  </w:style>
  <w:style w:type="paragraph" w:customStyle="1" w:styleId="paragraph">
    <w:name w:val="paragraph"/>
    <w:basedOn w:val="a3"/>
    <w:rsid w:val="00E72EC3"/>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zh-CN"/>
    </w:rPr>
  </w:style>
  <w:style w:type="character" w:customStyle="1" w:styleId="normaltextrun">
    <w:name w:val="normaltextrun"/>
    <w:basedOn w:val="a4"/>
    <w:rsid w:val="00E72EC3"/>
  </w:style>
  <w:style w:type="character" w:customStyle="1" w:styleId="eop">
    <w:name w:val="eop"/>
    <w:basedOn w:val="a4"/>
    <w:rsid w:val="00E72EC3"/>
  </w:style>
  <w:style w:type="paragraph" w:customStyle="1" w:styleId="s7">
    <w:name w:val="s7"/>
    <w:basedOn w:val="a3"/>
    <w:rsid w:val="00E72EC3"/>
    <w:pPr>
      <w:spacing w:before="100" w:beforeAutospacing="1" w:after="100" w:afterAutospacing="1" w:line="240" w:lineRule="auto"/>
      <w:ind w:firstLine="0"/>
      <w:jc w:val="left"/>
    </w:pPr>
    <w:rPr>
      <w:rFonts w:ascii="Times New Roman" w:eastAsia="Times New Roman" w:hAnsi="Times New Roman" w:cs="Times New Roman"/>
      <w:sz w:val="24"/>
      <w:szCs w:val="24"/>
      <w:lang w:eastAsia="en-GB"/>
    </w:rPr>
  </w:style>
  <w:style w:type="numbering" w:customStyle="1" w:styleId="34">
    <w:name w:val="Немає списку34"/>
    <w:next w:val="a6"/>
    <w:uiPriority w:val="99"/>
    <w:semiHidden/>
    <w:unhideWhenUsed/>
    <w:rsid w:val="00021A24"/>
  </w:style>
  <w:style w:type="character" w:customStyle="1" w:styleId="1ff3">
    <w:name w:val="Номер строки1"/>
    <w:basedOn w:val="a4"/>
    <w:uiPriority w:val="99"/>
    <w:rsid w:val="00021A24"/>
    <w:rPr>
      <w:rFonts w:ascii="Times New Roman" w:hAnsi="Times New Roman" w:cs="Times New Roman"/>
      <w:sz w:val="20"/>
      <w:szCs w:val="20"/>
    </w:rPr>
  </w:style>
  <w:style w:type="table" w:styleId="1ff4">
    <w:name w:val="Table Simple 1"/>
    <w:basedOn w:val="a5"/>
    <w:uiPriority w:val="99"/>
    <w:rsid w:val="00021A24"/>
    <w:pPr>
      <w:autoSpaceDE w:val="0"/>
      <w:autoSpaceDN w:val="0"/>
      <w:adjustRightInd w:val="0"/>
      <w:spacing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tcPr>
      <w:tcMar>
        <w:left w:w="108" w:type="dxa"/>
        <w:right w:w="108" w:type="dxa"/>
      </w:tcMar>
    </w:tcPr>
  </w:style>
  <w:style w:type="paragraph" w:customStyle="1" w:styleId="p2">
    <w:name w:val="p2"/>
    <w:basedOn w:val="a3"/>
    <w:rsid w:val="00021A24"/>
    <w:pPr>
      <w:spacing w:line="240" w:lineRule="auto"/>
      <w:ind w:firstLine="0"/>
      <w:jc w:val="left"/>
    </w:pPr>
    <w:rPr>
      <w:rFonts w:ascii=".AppleSystemUIFont" w:eastAsia="Times New Roman" w:hAnsi=".AppleSystemUIFont" w:cs="Times New Roman"/>
      <w:sz w:val="26"/>
      <w:szCs w:val="26"/>
      <w:lang w:val="uk-UA" w:eastAsia="uk-UA"/>
    </w:rPr>
  </w:style>
  <w:style w:type="paragraph" w:customStyle="1" w:styleId="s32">
    <w:name w:val="s32"/>
    <w:basedOn w:val="a3"/>
    <w:rsid w:val="00021A24"/>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uk-UA"/>
    </w:rPr>
  </w:style>
  <w:style w:type="character" w:customStyle="1" w:styleId="s33">
    <w:name w:val="s33"/>
    <w:basedOn w:val="a4"/>
    <w:rsid w:val="00021A24"/>
  </w:style>
  <w:style w:type="paragraph" w:customStyle="1" w:styleId="s34">
    <w:name w:val="s34"/>
    <w:basedOn w:val="a3"/>
    <w:rsid w:val="00021A24"/>
    <w:pPr>
      <w:spacing w:before="100" w:beforeAutospacing="1" w:after="100" w:afterAutospacing="1" w:line="240" w:lineRule="auto"/>
      <w:ind w:firstLine="0"/>
      <w:jc w:val="left"/>
    </w:pPr>
    <w:rPr>
      <w:rFonts w:ascii="Times New Roman" w:eastAsia="Times New Roman" w:hAnsi="Times New Roman" w:cs="Times New Roman"/>
      <w:sz w:val="24"/>
      <w:szCs w:val="24"/>
      <w:lang w:val="uk-UA" w:eastAsia="uk-UA"/>
    </w:rPr>
  </w:style>
  <w:style w:type="character" w:customStyle="1" w:styleId="s4">
    <w:name w:val="s4"/>
    <w:basedOn w:val="a4"/>
    <w:rsid w:val="00021A24"/>
  </w:style>
  <w:style w:type="paragraph" w:customStyle="1" w:styleId="s13">
    <w:name w:val="s13"/>
    <w:basedOn w:val="a3"/>
    <w:rsid w:val="00021A24"/>
    <w:pPr>
      <w:spacing w:before="100" w:beforeAutospacing="1" w:after="100" w:afterAutospacing="1" w:line="240" w:lineRule="auto"/>
      <w:ind w:firstLine="0"/>
      <w:jc w:val="left"/>
    </w:pPr>
    <w:rPr>
      <w:rFonts w:ascii="Times New Roman" w:eastAsia="Times New Roman" w:hAnsi="Times New Roman" w:cs="Times New Roman"/>
      <w:sz w:val="24"/>
      <w:szCs w:val="24"/>
    </w:rPr>
  </w:style>
  <w:style w:type="numbering" w:customStyle="1" w:styleId="35">
    <w:name w:val="Немає списку35"/>
    <w:next w:val="a6"/>
    <w:uiPriority w:val="99"/>
    <w:semiHidden/>
    <w:unhideWhenUsed/>
    <w:rsid w:val="00C00D8D"/>
  </w:style>
  <w:style w:type="table" w:customStyle="1" w:styleId="2d">
    <w:name w:val="Сітка таблиці2"/>
    <w:basedOn w:val="a5"/>
    <w:next w:val="aff0"/>
    <w:uiPriority w:val="39"/>
    <w:rsid w:val="00C00D8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6">
    <w:name w:val="Немає списку36"/>
    <w:next w:val="a6"/>
    <w:uiPriority w:val="99"/>
    <w:semiHidden/>
    <w:unhideWhenUsed/>
    <w:rsid w:val="00C00D8D"/>
  </w:style>
  <w:style w:type="character" w:customStyle="1" w:styleId="ng-star-inserted1">
    <w:name w:val="ng-star-inserted1"/>
    <w:basedOn w:val="a4"/>
    <w:rsid w:val="00C00D8D"/>
  </w:style>
  <w:style w:type="paragraph" w:customStyle="1" w:styleId="affff4">
    <w:name w:val="Зв. текст"/>
    <w:basedOn w:val="a3"/>
    <w:link w:val="affff5"/>
    <w:qFormat/>
    <w:rsid w:val="00C00D8D"/>
    <w:rPr>
      <w:rFonts w:ascii="Times New Roman" w:eastAsia="Calibri" w:hAnsi="Times New Roman" w:cs="Times New Roman"/>
      <w:color w:val="000000"/>
      <w:szCs w:val="28"/>
      <w:lang w:val="uk-UA"/>
    </w:rPr>
  </w:style>
  <w:style w:type="character" w:customStyle="1" w:styleId="affff5">
    <w:name w:val="Зв. текст Знак"/>
    <w:basedOn w:val="a4"/>
    <w:link w:val="affff4"/>
    <w:rsid w:val="00C00D8D"/>
    <w:rPr>
      <w:rFonts w:ascii="Times New Roman" w:eastAsia="Calibri" w:hAnsi="Times New Roman" w:cs="Times New Roman"/>
      <w:color w:val="000000"/>
      <w:sz w:val="28"/>
      <w:szCs w:val="28"/>
      <w:lang w:val="uk-UA"/>
    </w:rPr>
  </w:style>
  <w:style w:type="table" w:customStyle="1" w:styleId="37">
    <w:name w:val="Сітка таблиці3"/>
    <w:basedOn w:val="a5"/>
    <w:next w:val="aff0"/>
    <w:uiPriority w:val="39"/>
    <w:rsid w:val="00C00D8D"/>
    <w:pPr>
      <w:spacing w:after="0" w:line="240" w:lineRule="auto"/>
    </w:pPr>
    <w:rPr>
      <w:rFonts w:eastAsia="Calibri"/>
      <w:kern w:val="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Сітка таблиці4"/>
    <w:basedOn w:val="a5"/>
    <w:next w:val="aff0"/>
    <w:uiPriority w:val="39"/>
    <w:rsid w:val="00C00D8D"/>
    <w:pPr>
      <w:spacing w:after="0" w:line="240" w:lineRule="auto"/>
    </w:pPr>
    <w:rPr>
      <w:rFonts w:eastAsia="Calibri"/>
      <w:kern w:val="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0">
    <w:name w:val="Немає списку37"/>
    <w:next w:val="a6"/>
    <w:uiPriority w:val="99"/>
    <w:semiHidden/>
    <w:unhideWhenUsed/>
    <w:rsid w:val="00AE57E7"/>
  </w:style>
  <w:style w:type="table" w:customStyle="1" w:styleId="TableNormal2">
    <w:name w:val="Table Normal2"/>
    <w:rsid w:val="00AE57E7"/>
    <w:pPr>
      <w:spacing w:after="160" w:line="240" w:lineRule="auto"/>
    </w:pPr>
    <w:rPr>
      <w:rFonts w:ascii="Times New Roman" w:eastAsia="Times New Roman" w:hAnsi="Times New Roman" w:cs="Times New Roman"/>
      <w:sz w:val="28"/>
      <w:szCs w:val="28"/>
      <w:lang w:val="uk-UA" w:eastAsia="ru-RU"/>
    </w:rPr>
    <w:tblPr>
      <w:tblCellMar>
        <w:top w:w="0" w:type="dxa"/>
        <w:left w:w="0" w:type="dxa"/>
        <w:bottom w:w="0" w:type="dxa"/>
        <w:right w:w="0" w:type="dxa"/>
      </w:tblCellMar>
    </w:tblPr>
  </w:style>
  <w:style w:type="numbering" w:customStyle="1" w:styleId="121">
    <w:name w:val="Нет списка12"/>
    <w:next w:val="a6"/>
    <w:uiPriority w:val="99"/>
    <w:semiHidden/>
    <w:unhideWhenUsed/>
    <w:rsid w:val="00AE57E7"/>
  </w:style>
  <w:style w:type="paragraph" w:customStyle="1" w:styleId="break-words">
    <w:name w:val="break-words"/>
    <w:basedOn w:val="a3"/>
    <w:rsid w:val="00AE57E7"/>
    <w:pPr>
      <w:spacing w:before="100" w:beforeAutospacing="1" w:after="100" w:afterAutospacing="1" w:line="240" w:lineRule="auto"/>
      <w:ind w:firstLine="0"/>
      <w:jc w:val="left"/>
    </w:pPr>
    <w:rPr>
      <w:rFonts w:ascii="Times New Roman" w:eastAsia="Times New Roman" w:hAnsi="Times New Roman" w:cs="Times New Roman"/>
      <w:sz w:val="24"/>
      <w:szCs w:val="24"/>
      <w:lang w:eastAsia="ru-RU"/>
    </w:rPr>
  </w:style>
  <w:style w:type="paragraph" w:customStyle="1" w:styleId="Normal10">
    <w:name w:val="Normal1"/>
    <w:rsid w:val="00AE57E7"/>
    <w:pPr>
      <w:widowControl w:val="0"/>
      <w:suppressAutoHyphens/>
      <w:spacing w:before="40" w:after="0" w:line="300" w:lineRule="auto"/>
      <w:ind w:firstLine="580"/>
      <w:jc w:val="both"/>
    </w:pPr>
    <w:rPr>
      <w:rFonts w:ascii="Times New Roman" w:eastAsia="Arial" w:hAnsi="Times New Roman" w:cs="MS Mincho"/>
      <w:kern w:val="1"/>
      <w:szCs w:val="20"/>
      <w:lang w:val="uk-UA" w:eastAsia="ar-SA"/>
    </w:rPr>
  </w:style>
  <w:style w:type="numbering" w:customStyle="1" w:styleId="2e">
    <w:name w:val="Нет списка2"/>
    <w:next w:val="a6"/>
    <w:uiPriority w:val="99"/>
    <w:semiHidden/>
    <w:unhideWhenUsed/>
    <w:rsid w:val="00AE57E7"/>
  </w:style>
  <w:style w:type="numbering" w:customStyle="1" w:styleId="38">
    <w:name w:val="Нет списка3"/>
    <w:next w:val="a6"/>
    <w:uiPriority w:val="99"/>
    <w:semiHidden/>
    <w:unhideWhenUsed/>
    <w:rsid w:val="00AE57E7"/>
  </w:style>
  <w:style w:type="numbering" w:customStyle="1" w:styleId="45">
    <w:name w:val="Нет списка4"/>
    <w:next w:val="a6"/>
    <w:uiPriority w:val="99"/>
    <w:semiHidden/>
    <w:unhideWhenUsed/>
    <w:rsid w:val="00AE57E7"/>
  </w:style>
  <w:style w:type="numbering" w:customStyle="1" w:styleId="380">
    <w:name w:val="Немає списку38"/>
    <w:next w:val="a6"/>
    <w:uiPriority w:val="99"/>
    <w:semiHidden/>
    <w:unhideWhenUsed/>
    <w:rsid w:val="00AE57E7"/>
  </w:style>
  <w:style w:type="paragraph" w:customStyle="1" w:styleId="ng-star-inserted">
    <w:name w:val="ng-star-inserted"/>
    <w:basedOn w:val="a3"/>
    <w:rsid w:val="00AE57E7"/>
    <w:pPr>
      <w:spacing w:before="100" w:beforeAutospacing="1" w:after="100" w:afterAutospacing="1" w:line="240" w:lineRule="auto"/>
      <w:ind w:firstLine="0"/>
      <w:jc w:val="left"/>
    </w:pPr>
    <w:rPr>
      <w:rFonts w:ascii="Times New Roman" w:eastAsia="Times New Roman" w:hAnsi="Times New Roman" w:cs="Times New Roman"/>
      <w:noProof/>
      <w:sz w:val="24"/>
      <w:szCs w:val="24"/>
      <w:lang w:val="uk-UA"/>
    </w:rPr>
  </w:style>
  <w:style w:type="numbering" w:customStyle="1" w:styleId="39">
    <w:name w:val="Немає списку39"/>
    <w:next w:val="a6"/>
    <w:uiPriority w:val="99"/>
    <w:semiHidden/>
    <w:unhideWhenUsed/>
    <w:rsid w:val="00DF77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844243">
      <w:bodyDiv w:val="1"/>
      <w:marLeft w:val="0"/>
      <w:marRight w:val="0"/>
      <w:marTop w:val="0"/>
      <w:marBottom w:val="0"/>
      <w:divBdr>
        <w:top w:val="none" w:sz="0" w:space="0" w:color="auto"/>
        <w:left w:val="none" w:sz="0" w:space="0" w:color="auto"/>
        <w:bottom w:val="none" w:sz="0" w:space="0" w:color="auto"/>
        <w:right w:val="none" w:sz="0" w:space="0" w:color="auto"/>
      </w:divBdr>
    </w:div>
    <w:div w:id="115685383">
      <w:bodyDiv w:val="1"/>
      <w:marLeft w:val="0"/>
      <w:marRight w:val="0"/>
      <w:marTop w:val="0"/>
      <w:marBottom w:val="0"/>
      <w:divBdr>
        <w:top w:val="none" w:sz="0" w:space="0" w:color="auto"/>
        <w:left w:val="none" w:sz="0" w:space="0" w:color="auto"/>
        <w:bottom w:val="none" w:sz="0" w:space="0" w:color="auto"/>
        <w:right w:val="none" w:sz="0" w:space="0" w:color="auto"/>
      </w:divBdr>
    </w:div>
    <w:div w:id="185993521">
      <w:bodyDiv w:val="1"/>
      <w:marLeft w:val="0"/>
      <w:marRight w:val="0"/>
      <w:marTop w:val="0"/>
      <w:marBottom w:val="0"/>
      <w:divBdr>
        <w:top w:val="none" w:sz="0" w:space="0" w:color="auto"/>
        <w:left w:val="none" w:sz="0" w:space="0" w:color="auto"/>
        <w:bottom w:val="none" w:sz="0" w:space="0" w:color="auto"/>
        <w:right w:val="none" w:sz="0" w:space="0" w:color="auto"/>
      </w:divBdr>
    </w:div>
    <w:div w:id="199754616">
      <w:bodyDiv w:val="1"/>
      <w:marLeft w:val="0"/>
      <w:marRight w:val="0"/>
      <w:marTop w:val="0"/>
      <w:marBottom w:val="0"/>
      <w:divBdr>
        <w:top w:val="none" w:sz="0" w:space="0" w:color="auto"/>
        <w:left w:val="none" w:sz="0" w:space="0" w:color="auto"/>
        <w:bottom w:val="none" w:sz="0" w:space="0" w:color="auto"/>
        <w:right w:val="none" w:sz="0" w:space="0" w:color="auto"/>
      </w:divBdr>
    </w:div>
    <w:div w:id="243998236">
      <w:bodyDiv w:val="1"/>
      <w:marLeft w:val="0"/>
      <w:marRight w:val="0"/>
      <w:marTop w:val="0"/>
      <w:marBottom w:val="0"/>
      <w:divBdr>
        <w:top w:val="none" w:sz="0" w:space="0" w:color="auto"/>
        <w:left w:val="none" w:sz="0" w:space="0" w:color="auto"/>
        <w:bottom w:val="none" w:sz="0" w:space="0" w:color="auto"/>
        <w:right w:val="none" w:sz="0" w:space="0" w:color="auto"/>
      </w:divBdr>
      <w:divsChild>
        <w:div w:id="443430152">
          <w:marLeft w:val="0"/>
          <w:marRight w:val="0"/>
          <w:marTop w:val="0"/>
          <w:marBottom w:val="0"/>
          <w:divBdr>
            <w:top w:val="none" w:sz="0" w:space="0" w:color="auto"/>
            <w:left w:val="none" w:sz="0" w:space="0" w:color="auto"/>
            <w:bottom w:val="none" w:sz="0" w:space="0" w:color="auto"/>
            <w:right w:val="none" w:sz="0" w:space="0" w:color="auto"/>
          </w:divBdr>
          <w:divsChild>
            <w:div w:id="810446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417237">
      <w:bodyDiv w:val="1"/>
      <w:marLeft w:val="0"/>
      <w:marRight w:val="0"/>
      <w:marTop w:val="0"/>
      <w:marBottom w:val="0"/>
      <w:divBdr>
        <w:top w:val="none" w:sz="0" w:space="0" w:color="auto"/>
        <w:left w:val="none" w:sz="0" w:space="0" w:color="auto"/>
        <w:bottom w:val="none" w:sz="0" w:space="0" w:color="auto"/>
        <w:right w:val="none" w:sz="0" w:space="0" w:color="auto"/>
      </w:divBdr>
    </w:div>
    <w:div w:id="678696686">
      <w:bodyDiv w:val="1"/>
      <w:marLeft w:val="0"/>
      <w:marRight w:val="0"/>
      <w:marTop w:val="0"/>
      <w:marBottom w:val="0"/>
      <w:divBdr>
        <w:top w:val="none" w:sz="0" w:space="0" w:color="auto"/>
        <w:left w:val="none" w:sz="0" w:space="0" w:color="auto"/>
        <w:bottom w:val="none" w:sz="0" w:space="0" w:color="auto"/>
        <w:right w:val="none" w:sz="0" w:space="0" w:color="auto"/>
      </w:divBdr>
    </w:div>
    <w:div w:id="747270503">
      <w:bodyDiv w:val="1"/>
      <w:marLeft w:val="0"/>
      <w:marRight w:val="0"/>
      <w:marTop w:val="0"/>
      <w:marBottom w:val="0"/>
      <w:divBdr>
        <w:top w:val="none" w:sz="0" w:space="0" w:color="auto"/>
        <w:left w:val="none" w:sz="0" w:space="0" w:color="auto"/>
        <w:bottom w:val="none" w:sz="0" w:space="0" w:color="auto"/>
        <w:right w:val="none" w:sz="0" w:space="0" w:color="auto"/>
      </w:divBdr>
    </w:div>
    <w:div w:id="1040085784">
      <w:bodyDiv w:val="1"/>
      <w:marLeft w:val="0"/>
      <w:marRight w:val="0"/>
      <w:marTop w:val="0"/>
      <w:marBottom w:val="0"/>
      <w:divBdr>
        <w:top w:val="none" w:sz="0" w:space="0" w:color="auto"/>
        <w:left w:val="none" w:sz="0" w:space="0" w:color="auto"/>
        <w:bottom w:val="none" w:sz="0" w:space="0" w:color="auto"/>
        <w:right w:val="none" w:sz="0" w:space="0" w:color="auto"/>
      </w:divBdr>
    </w:div>
    <w:div w:id="1257011260">
      <w:bodyDiv w:val="1"/>
      <w:marLeft w:val="0"/>
      <w:marRight w:val="0"/>
      <w:marTop w:val="0"/>
      <w:marBottom w:val="0"/>
      <w:divBdr>
        <w:top w:val="none" w:sz="0" w:space="0" w:color="auto"/>
        <w:left w:val="none" w:sz="0" w:space="0" w:color="auto"/>
        <w:bottom w:val="none" w:sz="0" w:space="0" w:color="auto"/>
        <w:right w:val="none" w:sz="0" w:space="0" w:color="auto"/>
      </w:divBdr>
    </w:div>
    <w:div w:id="1319656134">
      <w:bodyDiv w:val="1"/>
      <w:marLeft w:val="0"/>
      <w:marRight w:val="0"/>
      <w:marTop w:val="0"/>
      <w:marBottom w:val="0"/>
      <w:divBdr>
        <w:top w:val="none" w:sz="0" w:space="0" w:color="auto"/>
        <w:left w:val="none" w:sz="0" w:space="0" w:color="auto"/>
        <w:bottom w:val="none" w:sz="0" w:space="0" w:color="auto"/>
        <w:right w:val="none" w:sz="0" w:space="0" w:color="auto"/>
      </w:divBdr>
    </w:div>
    <w:div w:id="1350526737">
      <w:bodyDiv w:val="1"/>
      <w:marLeft w:val="0"/>
      <w:marRight w:val="0"/>
      <w:marTop w:val="0"/>
      <w:marBottom w:val="0"/>
      <w:divBdr>
        <w:top w:val="none" w:sz="0" w:space="0" w:color="auto"/>
        <w:left w:val="none" w:sz="0" w:space="0" w:color="auto"/>
        <w:bottom w:val="none" w:sz="0" w:space="0" w:color="auto"/>
        <w:right w:val="none" w:sz="0" w:space="0" w:color="auto"/>
      </w:divBdr>
      <w:divsChild>
        <w:div w:id="735008189">
          <w:marLeft w:val="0"/>
          <w:marRight w:val="0"/>
          <w:marTop w:val="0"/>
          <w:marBottom w:val="0"/>
          <w:divBdr>
            <w:top w:val="none" w:sz="0" w:space="0" w:color="auto"/>
            <w:left w:val="none" w:sz="0" w:space="0" w:color="auto"/>
            <w:bottom w:val="none" w:sz="0" w:space="0" w:color="auto"/>
            <w:right w:val="none" w:sz="0" w:space="0" w:color="auto"/>
          </w:divBdr>
          <w:divsChild>
            <w:div w:id="564531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783449">
      <w:bodyDiv w:val="1"/>
      <w:marLeft w:val="0"/>
      <w:marRight w:val="0"/>
      <w:marTop w:val="0"/>
      <w:marBottom w:val="0"/>
      <w:divBdr>
        <w:top w:val="none" w:sz="0" w:space="0" w:color="auto"/>
        <w:left w:val="none" w:sz="0" w:space="0" w:color="auto"/>
        <w:bottom w:val="none" w:sz="0" w:space="0" w:color="auto"/>
        <w:right w:val="none" w:sz="0" w:space="0" w:color="auto"/>
      </w:divBdr>
    </w:div>
    <w:div w:id="1641887493">
      <w:bodyDiv w:val="1"/>
      <w:marLeft w:val="0"/>
      <w:marRight w:val="0"/>
      <w:marTop w:val="0"/>
      <w:marBottom w:val="0"/>
      <w:divBdr>
        <w:top w:val="none" w:sz="0" w:space="0" w:color="auto"/>
        <w:left w:val="none" w:sz="0" w:space="0" w:color="auto"/>
        <w:bottom w:val="none" w:sz="0" w:space="0" w:color="auto"/>
        <w:right w:val="none" w:sz="0" w:space="0" w:color="auto"/>
      </w:divBdr>
    </w:div>
    <w:div w:id="1697777951">
      <w:bodyDiv w:val="1"/>
      <w:marLeft w:val="0"/>
      <w:marRight w:val="0"/>
      <w:marTop w:val="0"/>
      <w:marBottom w:val="0"/>
      <w:divBdr>
        <w:top w:val="none" w:sz="0" w:space="0" w:color="auto"/>
        <w:left w:val="none" w:sz="0" w:space="0" w:color="auto"/>
        <w:bottom w:val="none" w:sz="0" w:space="0" w:color="auto"/>
        <w:right w:val="none" w:sz="0" w:space="0" w:color="auto"/>
      </w:divBdr>
    </w:div>
    <w:div w:id="1711221027">
      <w:bodyDiv w:val="1"/>
      <w:marLeft w:val="0"/>
      <w:marRight w:val="0"/>
      <w:marTop w:val="0"/>
      <w:marBottom w:val="0"/>
      <w:divBdr>
        <w:top w:val="none" w:sz="0" w:space="0" w:color="auto"/>
        <w:left w:val="none" w:sz="0" w:space="0" w:color="auto"/>
        <w:bottom w:val="none" w:sz="0" w:space="0" w:color="auto"/>
        <w:right w:val="none" w:sz="0" w:space="0" w:color="auto"/>
      </w:divBdr>
    </w:div>
    <w:div w:id="1786340961">
      <w:bodyDiv w:val="1"/>
      <w:marLeft w:val="0"/>
      <w:marRight w:val="0"/>
      <w:marTop w:val="0"/>
      <w:marBottom w:val="0"/>
      <w:divBdr>
        <w:top w:val="none" w:sz="0" w:space="0" w:color="auto"/>
        <w:left w:val="none" w:sz="0" w:space="0" w:color="auto"/>
        <w:bottom w:val="none" w:sz="0" w:space="0" w:color="auto"/>
        <w:right w:val="none" w:sz="0" w:space="0" w:color="auto"/>
      </w:divBdr>
    </w:div>
    <w:div w:id="1847749324">
      <w:bodyDiv w:val="1"/>
      <w:marLeft w:val="0"/>
      <w:marRight w:val="0"/>
      <w:marTop w:val="0"/>
      <w:marBottom w:val="0"/>
      <w:divBdr>
        <w:top w:val="none" w:sz="0" w:space="0" w:color="auto"/>
        <w:left w:val="none" w:sz="0" w:space="0" w:color="auto"/>
        <w:bottom w:val="none" w:sz="0" w:space="0" w:color="auto"/>
        <w:right w:val="none" w:sz="0" w:space="0" w:color="auto"/>
      </w:divBdr>
    </w:div>
    <w:div w:id="1986428236">
      <w:bodyDiv w:val="1"/>
      <w:marLeft w:val="0"/>
      <w:marRight w:val="0"/>
      <w:marTop w:val="0"/>
      <w:marBottom w:val="0"/>
      <w:divBdr>
        <w:top w:val="none" w:sz="0" w:space="0" w:color="auto"/>
        <w:left w:val="none" w:sz="0" w:space="0" w:color="auto"/>
        <w:bottom w:val="none" w:sz="0" w:space="0" w:color="auto"/>
        <w:right w:val="none" w:sz="0" w:space="0" w:color="auto"/>
      </w:divBdr>
      <w:divsChild>
        <w:div w:id="545482531">
          <w:marLeft w:val="0"/>
          <w:marRight w:val="0"/>
          <w:marTop w:val="0"/>
          <w:marBottom w:val="0"/>
          <w:divBdr>
            <w:top w:val="none" w:sz="0" w:space="0" w:color="auto"/>
            <w:left w:val="none" w:sz="0" w:space="0" w:color="auto"/>
            <w:bottom w:val="none" w:sz="0" w:space="0" w:color="auto"/>
            <w:right w:val="none" w:sz="0" w:space="0" w:color="auto"/>
          </w:divBdr>
        </w:div>
        <w:div w:id="1667438443">
          <w:marLeft w:val="0"/>
          <w:marRight w:val="0"/>
          <w:marTop w:val="0"/>
          <w:marBottom w:val="0"/>
          <w:divBdr>
            <w:top w:val="none" w:sz="0" w:space="0" w:color="auto"/>
            <w:left w:val="none" w:sz="0" w:space="0" w:color="auto"/>
            <w:bottom w:val="none" w:sz="0" w:space="0" w:color="auto"/>
            <w:right w:val="none" w:sz="0" w:space="0" w:color="auto"/>
          </w:divBdr>
        </w:div>
      </w:divsChild>
    </w:div>
    <w:div w:id="2124835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827" Type="http://schemas.openxmlformats.org/officeDocument/2006/relationships/hyperlink" Target="https://zakon.rada.gov.ua/laws/show/2117-20" TargetMode="External"/><Relationship Id="rId170" Type="http://schemas.openxmlformats.org/officeDocument/2006/relationships/hyperlink" Target="https://zakon.rada.gov.ua/laws/show/2297-17" TargetMode="External"/><Relationship Id="rId987" Type="http://schemas.openxmlformats.org/officeDocument/2006/relationships/hyperlink" Target="https://www.riksbanken.se/globalassets/media/lagar/sfs/1999_1229.pdf" TargetMode="External"/><Relationship Id="rId847" Type="http://schemas.openxmlformats.org/officeDocument/2006/relationships/hyperlink" Target="https://zakon.rada.gov.ua/laws/show/2747-15" TargetMode="External"/><Relationship Id="rId1477" Type="http://schemas.openxmlformats.org/officeDocument/2006/relationships/hyperlink" Target="https://reyestr.court.gov.ua/Review/117207052(%D0%B4%D0%B0%D1%82%D0%B0" TargetMode="External"/><Relationship Id="rId1684" Type="http://schemas.openxmlformats.org/officeDocument/2006/relationships/hyperlink" Target="http://www.vestnik-pravo.mgu.od.ua/archive/juspradenc53/15.pdf" TargetMode="External"/><Relationship Id="rId1891" Type="http://schemas.openxmlformats.org/officeDocument/2006/relationships/hyperlink" Target="https://dspace.onua.edu.ua/server/api/core/bitstreams/65cf7ff0-2c1f-4b4e-bdb8-d2123ee4d1ee/content" TargetMode="External"/><Relationship Id="rId2528" Type="http://schemas.openxmlformats.org/officeDocument/2006/relationships/hyperlink" Target="https://lib.iitta.gov.ua/id/eprint/729431/1/&#1055;&#1086;&#1083;&#1110;&#1090;&#1080;&#1095;&#1085;&#1072;_&#1082;&#1091;&#1083;&#1100;&#1090;&#1091;&#1088;&#1072;_&#1103;&#1082;_&#1095;&#1080;&#1085;&#1085;&#1080;&#1082;.pdf" TargetMode="External"/><Relationship Id="rId707" Type="http://schemas.openxmlformats.org/officeDocument/2006/relationships/hyperlink" Target="https://zakon.rada.gov.ua/laws/show/995_118" TargetMode="External"/><Relationship Id="rId914" Type="http://schemas.openxmlformats.org/officeDocument/2006/relationships/hyperlink" Target="https://zakon.rada.gov.ua/laws/show/1906-15" TargetMode="External"/><Relationship Id="rId1337" Type="http://schemas.openxmlformats.org/officeDocument/2006/relationships/hyperlink" Target="https://eur-lex.europa.eu/legal-content/EN/TXT/?uri=CELEX:62008CJ0005" TargetMode="External"/><Relationship Id="rId1544" Type="http://schemas.openxmlformats.org/officeDocument/2006/relationships/hyperlink" Target="https://zakon.rada.gov.ua/laws/show/435-15/conv" TargetMode="External"/><Relationship Id="rId1751" Type="http://schemas.openxmlformats.org/officeDocument/2006/relationships/hyperlink" Target="https://inseinin.com.ua/tpost/t6mo32ogn1-vdpovdalnst-za-dezertirstvo-u-vonnii-cha" TargetMode="External"/><Relationship Id="rId43" Type="http://schemas.openxmlformats.org/officeDocument/2006/relationships/hyperlink" Target="https://amazoniainvestiga.info/index.php/amazonia/article/view/2255/3220" TargetMode="External"/><Relationship Id="rId1404" Type="http://schemas.openxmlformats.org/officeDocument/2006/relationships/hyperlink" Target="https://zakon.rada.gov.ua/laws/show/5076-17" TargetMode="External"/><Relationship Id="rId1611" Type="http://schemas.openxmlformats.org/officeDocument/2006/relationships/hyperlink" Target="https://doi.org/10.32782/2524-0072/2022-38-56" TargetMode="External"/><Relationship Id="rId497" Type="http://schemas.openxmlformats.org/officeDocument/2006/relationships/hyperlink" Target="https://legalinstruments.oecd.org/en/instruments/OECD-LEGAL-0449" TargetMode="External"/><Relationship Id="rId2178" Type="http://schemas.openxmlformats.org/officeDocument/2006/relationships/hyperlink" Target="https://zakon.rada.gov.ua/laws/show/4651-17" TargetMode="External"/><Relationship Id="rId357" Type="http://schemas.openxmlformats.org/officeDocument/2006/relationships/hyperlink" Target="https://scholar.google.com.ua/citations?view_op=view_citation&amp;amp;hl=ru&amp;amp;user=x32TPd0AAAAJ&amp;amp;cstart=20&amp;amp;pagesize=80&amp;amp;citation_for_view=x32TPd0AAAAJ:HoB7MX3m0LUC" TargetMode="External"/><Relationship Id="rId1194" Type="http://schemas.openxmlformats.org/officeDocument/2006/relationships/hyperlink" Target="https://zakon.rada.gov.ua/laws/show/2153-20" TargetMode="External"/><Relationship Id="rId2038" Type="http://schemas.openxmlformats.org/officeDocument/2006/relationships/hyperlink" Target="https://zakon.rada.gov.ua/laws/show/4651-17" TargetMode="External"/><Relationship Id="rId2592" Type="http://schemas.openxmlformats.org/officeDocument/2006/relationships/hyperlink" Target="https://zakon.rada.gov.ua/laws/show/595-19?find=1&amp;text=30%25" TargetMode="External"/><Relationship Id="rId217" Type="http://schemas.openxmlformats.org/officeDocument/2006/relationships/hyperlink" Target="https://www.un.org/en/genocideprevention/documents/atrocity-crimes/Doc.2_Charter%20of%20IMT%201945.pdf" TargetMode="External"/><Relationship Id="rId564" Type="http://schemas.openxmlformats.org/officeDocument/2006/relationships/hyperlink" Target="URL:https://www.unocha.org" TargetMode="External"/><Relationship Id="rId771" Type="http://schemas.openxmlformats.org/officeDocument/2006/relationships/hyperlink" Target="https://www.investopedia.com/terms/w/war-risk-insurance.asp" TargetMode="External"/><Relationship Id="rId2245" Type="http://schemas.openxmlformats.org/officeDocument/2006/relationships/hyperlink" Target="https://surl.li/xqvvir" TargetMode="External"/><Relationship Id="rId2452" Type="http://schemas.openxmlformats.org/officeDocument/2006/relationships/image" Target="media/image11.png"/><Relationship Id="rId424" Type="http://schemas.openxmlformats.org/officeDocument/2006/relationships/hyperlink" Target="https://zakon.rada.gov.ua/laws/show/994_536" TargetMode="External"/><Relationship Id="rId631" Type="http://schemas.openxmlformats.org/officeDocument/2006/relationships/hyperlink" Target="https://forbes.ua/news/mayzhe-450-000-ukraintsiv-viikhali-i-ne-povernulisya-dodomu-v-2024-rotsi-za-tri-roki-viyni-blizko-3-mln-15012025-26301" TargetMode="External"/><Relationship Id="rId1054" Type="http://schemas.openxmlformats.org/officeDocument/2006/relationships/hyperlink" Target="https://zakon.rada.gov.ua/laws/show/2747-15" TargetMode="External"/><Relationship Id="rId1261" Type="http://schemas.openxmlformats.org/officeDocument/2006/relationships/hyperlink" Target="https://www.reuters.com/world/europe/ukraine-anti-graft-police-probing-dozens-defence-related-cases-2024-02-21/" TargetMode="External"/><Relationship Id="rId2105" Type="http://schemas.openxmlformats.org/officeDocument/2006/relationships/hyperlink" Target="https://zakon.rada.gov.ua/laws/show/z0990-14" TargetMode="External"/><Relationship Id="rId2312" Type="http://schemas.openxmlformats.org/officeDocument/2006/relationships/hyperlink" Target="https://ips.ligazakon.net/document/SO5138" TargetMode="External"/><Relationship Id="rId1121" Type="http://schemas.openxmlformats.org/officeDocument/2006/relationships/hyperlink" Target="https://supreme.court.gov.ua/supreme/pres-centr/zmi/1133965/" TargetMode="External"/><Relationship Id="rId1938" Type="http://schemas.openxmlformats.org/officeDocument/2006/relationships/hyperlink" Target="http://nbuv.gov.ua/UJRN/vapny_2016_3_33" TargetMode="External"/><Relationship Id="rId281" Type="http://schemas.openxmlformats.org/officeDocument/2006/relationships/hyperlink" Target="https://dspace.onua.edu.ua/server/api/core/bitstreams/767c99d8-e90d-446f-aacf-aeac402875bc/content" TargetMode="External"/><Relationship Id="rId141" Type="http://schemas.openxmlformats.org/officeDocument/2006/relationships/hyperlink" Target="https://legal.un.org/ilc/documentation/english/a_cn4_155.pdf" TargetMode="External"/><Relationship Id="rId7" Type="http://schemas.openxmlformats.org/officeDocument/2006/relationships/endnotes" Target="endnotes.xml"/><Relationship Id="rId958" Type="http://schemas.openxmlformats.org/officeDocument/2006/relationships/hyperlink" Target="https://zakon.rada.gov.ua/laws/show/4042-20" TargetMode="External"/><Relationship Id="rId1588" Type="http://schemas.openxmlformats.org/officeDocument/2006/relationships/hyperlink" Target="https://zakon.rada.gov.ua/laws/show/984_011" TargetMode="External"/><Relationship Id="rId1795" Type="http://schemas.openxmlformats.org/officeDocument/2006/relationships/hyperlink" Target="https://zakon.rada.gov.ua/laws/show/2117-IX" TargetMode="External"/><Relationship Id="rId2639" Type="http://schemas.openxmlformats.org/officeDocument/2006/relationships/hyperlink" Target="https://osvita.ua/distance/blog/37601/" TargetMode="External"/><Relationship Id="rId87" Type="http://schemas.openxmlformats.org/officeDocument/2006/relationships/hyperlink" Target="https://zakon.rada.gov.ua/laws/show/995_004" TargetMode="External"/><Relationship Id="rId818" Type="http://schemas.openxmlformats.org/officeDocument/2006/relationships/hyperlink" Target="https://lira-k.com.ua/preview/12959.pdf" TargetMode="External"/><Relationship Id="rId1448" Type="http://schemas.openxmlformats.org/officeDocument/2006/relationships/hyperlink" Target="https://zakon.rada.gov.ua/laws/show/2229-19" TargetMode="External"/><Relationship Id="rId1655" Type="http://schemas.openxmlformats.org/officeDocument/2006/relationships/hyperlink" Target="https://doi.org/10.32782/2524-0374/2025-1/58" TargetMode="External"/><Relationship Id="rId1308" Type="http://schemas.openxmlformats.org/officeDocument/2006/relationships/hyperlink" Target="https://zakon.rada.gov.ua/laws/show/64/2022" TargetMode="External"/><Relationship Id="rId1862" Type="http://schemas.openxmlformats.org/officeDocument/2006/relationships/hyperlink" Target="https://dpsu.gov.ua/uk/european-border-and-coast-guard-agency-frontex" TargetMode="External"/><Relationship Id="rId1515" Type="http://schemas.openxmlformats.org/officeDocument/2006/relationships/hyperlink" Target="https://zakon.rada.gov.ua/laws/show/209-2022-%D0%BF" TargetMode="External"/><Relationship Id="rId1722" Type="http://schemas.openxmlformats.org/officeDocument/2006/relationships/hyperlink" Target="https://science.lpnu.ua/uk/law/vsi-vypusky/volume-10-number-2-38-2023/kodyfikaciya-nacionalnogo-trudovogo-zakonodavstva-v" TargetMode="External"/><Relationship Id="rId14" Type="http://schemas.openxmlformats.org/officeDocument/2006/relationships/hyperlink" Target="https://pravo-izdat.com.ua/image/data/Files/740/3_Kriminalne%20pravoporushennja_vnutri.pdf" TargetMode="External"/><Relationship Id="rId2289" Type="http://schemas.openxmlformats.org/officeDocument/2006/relationships/hyperlink" Target="https://zakon.rada.gov.ua/laws/show/v1430740-12" TargetMode="External"/><Relationship Id="rId2496" Type="http://schemas.openxmlformats.org/officeDocument/2006/relationships/hyperlink" Target="https://doi.org/10.32782/2524-0072/2021-29-11" TargetMode="External"/><Relationship Id="rId468" Type="http://schemas.openxmlformats.org/officeDocument/2006/relationships/hyperlink" Target="http://dspace.nbuv.gov.ua/Opolska" TargetMode="External"/><Relationship Id="rId675" Type="http://schemas.openxmlformats.org/officeDocument/2006/relationships/hyperlink" Target="https://zakon.rada.gov.ua/laws/show/995_043" TargetMode="External"/><Relationship Id="rId882" Type="http://schemas.openxmlformats.org/officeDocument/2006/relationships/hyperlink" Target="https://zakon.rada.gov.ua/laws/show/254%D0%BA/96-%D0%B2%D1%80" TargetMode="External"/><Relationship Id="rId1098" Type="http://schemas.openxmlformats.org/officeDocument/2006/relationships/hyperlink" Target="https://skilky-skilky.info/na-pochatok-zhovtnia-u-orhanakh-sudovoi-vlady-pratsiuie-35-tys-osib/" TargetMode="External"/><Relationship Id="rId2149" Type="http://schemas.openxmlformats.org/officeDocument/2006/relationships/hyperlink" Target="https://zakon.rada.gov.ua/laws/show/4651-17" TargetMode="External"/><Relationship Id="rId2563" Type="http://schemas.openxmlformats.org/officeDocument/2006/relationships/hyperlink" Target="https://www.researchgate.net/publication/259380603_Why_Big_Nations_Lose_Small_Wars_The_Politics_of_Asymmetric_Conflict" TargetMode="External"/><Relationship Id="rId328" Type="http://schemas.openxmlformats.org/officeDocument/2006/relationships/hyperlink" Target="https://zakon.rada.gov.ua/laws/show/995_004" TargetMode="External"/><Relationship Id="rId535" Type="http://schemas.openxmlformats.org/officeDocument/2006/relationships/hyperlink" Target="https://zakon.rada.gov.ua/laws/show/995_015" TargetMode="External"/><Relationship Id="rId742" Type="http://schemas.openxmlformats.org/officeDocument/2006/relationships/hyperlink" Target="https://doi.org/10.26886/2524-101X.9.4.2023.1" TargetMode="External"/><Relationship Id="rId1165" Type="http://schemas.openxmlformats.org/officeDocument/2006/relationships/hyperlink" Target="https://karazin.ua/storage/static-content/source/documents/aspirantura/zakhysty/jevtushenko_a/%D0%94%D0%B8%D1%81%D0%B5%D1%80%D1%82%D0%B0%D1%86%D1%96%D1%8F%20%D0%84%D0%B2%D1%82%D1%83%D1%88%D0%B5%D0%BD%D0%BA%D0%BE.pdf" TargetMode="External"/><Relationship Id="rId1372" Type="http://schemas.openxmlformats.org/officeDocument/2006/relationships/hyperlink" Target="https://reyestr.court.gov.ua/Review/124809039" TargetMode="External"/><Relationship Id="rId2009" Type="http://schemas.openxmlformats.org/officeDocument/2006/relationships/hyperlink" Target="https://dspace.univd.edu.ua/handle/123456789/17514" TargetMode="External"/><Relationship Id="rId2216" Type="http://schemas.openxmlformats.org/officeDocument/2006/relationships/hyperlink" Target="https://digest.kndise.gov.ua/wp-content/uploads/2022/08/Baulin67.pdf" TargetMode="External"/><Relationship Id="rId2423" Type="http://schemas.openxmlformats.org/officeDocument/2006/relationships/hyperlink" Target="https://budgetbakers.com/" TargetMode="External"/><Relationship Id="rId2630" Type="http://schemas.openxmlformats.org/officeDocument/2006/relationships/hyperlink" Target="https://www.youtube.com/watch?v=a8FtqdHxXRw" TargetMode="External"/><Relationship Id="rId602" Type="http://schemas.openxmlformats.org/officeDocument/2006/relationships/hyperlink" Target="https://zakon.rada.gov.ua/laws/show/995_047" TargetMode="External"/><Relationship Id="rId1025" Type="http://schemas.openxmlformats.org/officeDocument/2006/relationships/hyperlink" Target="https://supreme.court.gov.ua/main/ua/press/press/press_2022/press_2022_02_24_1/" TargetMode="External"/><Relationship Id="rId1232" Type="http://schemas.openxmlformats.org/officeDocument/2006/relationships/hyperlink" Target="https://ti-ukraine.org/en/news/obstacles-in-the-work-of-the-anti-corruption-ecosystem" TargetMode="External"/><Relationship Id="rId185" Type="http://schemas.openxmlformats.org/officeDocument/2006/relationships/hyperlink" Target="https://surl.li/xyaloq" TargetMode="External"/><Relationship Id="rId1909" Type="http://schemas.openxmlformats.org/officeDocument/2006/relationships/hyperlink" Target="https://zakon.rada.gov.ua/laws/show/64/2022" TargetMode="External"/><Relationship Id="rId392" Type="http://schemas.openxmlformats.org/officeDocument/2006/relationships/hyperlink" Target="https://www.echr.coe.int/documents/convention_eng.pdf" TargetMode="External"/><Relationship Id="rId2073" Type="http://schemas.openxmlformats.org/officeDocument/2006/relationships/hyperlink" Target="https://zakon.rada.gov.ua/laws/show/974_734" TargetMode="External"/><Relationship Id="rId2280" Type="http://schemas.openxmlformats.org/officeDocument/2006/relationships/hyperlink" Target="https://reyestr.court.gov.ua/Review/105359481" TargetMode="External"/><Relationship Id="rId252" Type="http://schemas.openxmlformats.org/officeDocument/2006/relationships/hyperlink" Target="https://jts.donnu.edu.ua/article/view/16008" TargetMode="External"/><Relationship Id="rId2140" Type="http://schemas.openxmlformats.org/officeDocument/2006/relationships/hyperlink" Target="https://app-journal.in.ua/wp-content/uploads/2023/05/53.pdf" TargetMode="External"/><Relationship Id="rId112" Type="http://schemas.openxmlformats.org/officeDocument/2006/relationships/hyperlink" Target="https://dspace.lvduvs.edu.ua/handle/1234567890/5322" TargetMode="External"/><Relationship Id="rId1699" Type="http://schemas.openxmlformats.org/officeDocument/2006/relationships/hyperlink" Target="https://zakon.rada.gov.ua/laws/show/5207-17" TargetMode="External"/><Relationship Id="rId2000" Type="http://schemas.openxmlformats.org/officeDocument/2006/relationships/hyperlink" Target="https://zakon.rada.gov.ua/laws/show/2297-17" TargetMode="External"/><Relationship Id="rId929" Type="http://schemas.openxmlformats.org/officeDocument/2006/relationships/hyperlink" Target="https://zakon.rada.gov.ua/laws/show/z1355-18" TargetMode="External"/><Relationship Id="rId1559" Type="http://schemas.openxmlformats.org/officeDocument/2006/relationships/hyperlink" Target="https://www.tebfaktoring.com.tr/sites/1/upload/files/9_FCI_GRIF-35.pdf" TargetMode="External"/><Relationship Id="rId1766" Type="http://schemas.openxmlformats.org/officeDocument/2006/relationships/hyperlink" Target="https://law.chnu.edu.ua/didzhytalizatsiia-kryminalnoho-sudochynstva/" TargetMode="External"/><Relationship Id="rId1973" Type="http://schemas.openxmlformats.org/officeDocument/2006/relationships/hyperlink" Target="https://zakon.rada.gov.ua/go/2341-14" TargetMode="External"/><Relationship Id="rId58" Type="http://schemas.openxmlformats.org/officeDocument/2006/relationships/hyperlink" Target="https://visnyk.kh.ua/web/uploads/pdf/1_2013-44-56.pdf" TargetMode="External"/><Relationship Id="rId1419" Type="http://schemas.openxmlformats.org/officeDocument/2006/relationships/hyperlink" Target="https://zakon.rada.gov.ua/laws/show/389-19" TargetMode="External"/><Relationship Id="rId1626" Type="http://schemas.openxmlformats.org/officeDocument/2006/relationships/hyperlink" Target="https://zakon.rada.gov.ua/laws/show/2597-19" TargetMode="External"/><Relationship Id="rId1833" Type="http://schemas.openxmlformats.org/officeDocument/2006/relationships/hyperlink" Target="https://reyestr.court.gov.ua/Review/109171298" TargetMode="External"/><Relationship Id="rId1900" Type="http://schemas.openxmlformats.org/officeDocument/2006/relationships/hyperlink" Target="https://zakon.rada.gov.ua/laws/show/2341-14" TargetMode="External"/><Relationship Id="rId579" Type="http://schemas.openxmlformats.org/officeDocument/2006/relationships/hyperlink" Target="https://zakon.rada.gov.ua/laws/show/995_015" TargetMode="External"/><Relationship Id="rId786" Type="http://schemas.openxmlformats.org/officeDocument/2006/relationships/hyperlink" Target="https://supreme.court.gov.ua/userfiles/media/new_folder_for_uploads/supreme/Ohliad_mytna_sprava.pdf" TargetMode="External"/><Relationship Id="rId993" Type="http://schemas.openxmlformats.org/officeDocument/2006/relationships/hyperlink" Target="https://zakon.rada.gov.ua/laws/show/828-2023-&#1087;" TargetMode="External"/><Relationship Id="rId2467" Type="http://schemas.openxmlformats.org/officeDocument/2006/relationships/hyperlink" Target="http://nbuv.gov.ua/%20" TargetMode="External"/><Relationship Id="rId439" Type="http://schemas.openxmlformats.org/officeDocument/2006/relationships/hyperlink" Target="http://nbuv.gov.ua/UJRN/adv_2012_2_3" TargetMode="External"/><Relationship Id="rId646" Type="http://schemas.openxmlformats.org/officeDocument/2006/relationships/hyperlink" Target="https://jurfem.com.ua/chy-isnuut-v-inshyh-derzhavah-obmezhennya-shodo-rozirvannya-shlubu/" TargetMode="External"/><Relationship Id="rId1069" Type="http://schemas.openxmlformats.org/officeDocument/2006/relationships/hyperlink" Target="https://zakon.rada.gov.ua/go/1798-19" TargetMode="External"/><Relationship Id="rId1276" Type="http://schemas.openxmlformats.org/officeDocument/2006/relationships/hyperlink" Target="http://jnas.nbuv.gov.ua/article/UJRN-0001071782" TargetMode="External"/><Relationship Id="rId1483" Type="http://schemas.openxmlformats.org/officeDocument/2006/relationships/hyperlink" Target="https://reyestr.court.gov.ua/Review/96410260" TargetMode="External"/><Relationship Id="rId506" Type="http://schemas.openxmlformats.org/officeDocument/2006/relationships/hyperlink" Target="http://plaw.nlu.edu.ua/article/view/277365/277490" TargetMode="External"/><Relationship Id="rId853" Type="http://schemas.openxmlformats.org/officeDocument/2006/relationships/hyperlink" Target="https://zakon.rada.gov.ua/laws/show/224-2022-&#1087;" TargetMode="External"/><Relationship Id="rId1136" Type="http://schemas.openxmlformats.org/officeDocument/2006/relationships/hyperlink" Target="https://unba.org.ua/assets/uploads/news/zvity" TargetMode="External"/><Relationship Id="rId1690" Type="http://schemas.openxmlformats.org/officeDocument/2006/relationships/hyperlink" Target="https://zakon.rada.gov.ua/laws/show/1875-20" TargetMode="External"/><Relationship Id="rId2534" Type="http://schemas.openxmlformats.org/officeDocument/2006/relationships/hyperlink" Target="https://zakon.rada.gov.ua/laws/show/2148-08" TargetMode="External"/><Relationship Id="rId713" Type="http://schemas.openxmlformats.org/officeDocument/2006/relationships/hyperlink" Target="https://ukraine.un.org/sites/default/files/2025-01/2024-12-31%20OHCHR%2041st%20periodic%20report%20on%20Ukraine_UKR.pdf" TargetMode="External"/><Relationship Id="rId920" Type="http://schemas.openxmlformats.org/officeDocument/2006/relationships/hyperlink" Target="https://zakon.rada.gov.ua/laws/show/995_043" TargetMode="External"/><Relationship Id="rId1343" Type="http://schemas.openxmlformats.org/officeDocument/2006/relationships/hyperlink" Target="https://supreme.court.gov.ua/userfiles/media/new_folder_for_uploads/supreme/Prezent_Luspenik_Novelizacia.pdf" TargetMode="External"/><Relationship Id="rId1550" Type="http://schemas.openxmlformats.org/officeDocument/2006/relationships/hyperlink" Target="https://visnyk-juris-uzhnu.com/wp-content/uploads/2024/07/59.pdf" TargetMode="External"/><Relationship Id="rId2601" Type="http://schemas.openxmlformats.org/officeDocument/2006/relationships/hyperlink" Target="https://novynar.city/articles/381585" TargetMode="External"/><Relationship Id="rId1203" Type="http://schemas.openxmlformats.org/officeDocument/2006/relationships/hyperlink" Target="https://dejure.foundation/sudova-reforma-v-ukraini-scho-zminylos-za-try-roky/" TargetMode="External"/><Relationship Id="rId1410" Type="http://schemas.openxmlformats.org/officeDocument/2006/relationships/hyperlink" Target="https://hdl.handle.net/11300/26554" TargetMode="External"/><Relationship Id="rId296" Type="http://schemas.openxmlformats.org/officeDocument/2006/relationships/hyperlink" Target="URL:https://zakon.rada.gov.ua/laws/show/995_199" TargetMode="External"/><Relationship Id="rId2184" Type="http://schemas.openxmlformats.org/officeDocument/2006/relationships/hyperlink" Target="https://warcrimes.gov.ua/sources.html" TargetMode="External"/><Relationship Id="rId156" Type="http://schemas.openxmlformats.org/officeDocument/2006/relationships/hyperlink" Target="https://geneva-academy.ch/joomlatools-files/docman-files/Investigation%20guidelines%20UKR_v3%20(1).pdf" TargetMode="External"/><Relationship Id="rId363" Type="http://schemas.openxmlformats.org/officeDocument/2006/relationships/hyperlink" Target="https://ir.kneu.edu.ua/items/25ba384e-1e7a-4136-ba65-31e67178dc01" TargetMode="External"/><Relationship Id="rId570" Type="http://schemas.openxmlformats.org/officeDocument/2006/relationships/hyperlink" Target="https://zakon.rada.gov.ua/laws/show/995_004" TargetMode="External"/><Relationship Id="rId2044" Type="http://schemas.openxmlformats.org/officeDocument/2006/relationships/hyperlink" Target="https://zakon.rada.gov.ua/laws/show/2341-14" TargetMode="External"/><Relationship Id="rId2251" Type="http://schemas.openxmlformats.org/officeDocument/2006/relationships/hyperlink" Target="https://zakon.rada.gov.ua/laws/show/4651-17" TargetMode="External"/><Relationship Id="rId223" Type="http://schemas.openxmlformats.org/officeDocument/2006/relationships/hyperlink" Target="https://vue.gov.ua/%D0%9B%D1%8E%D0%B4%D1%81%D1%82%D0%B2%D0%BE" TargetMode="External"/><Relationship Id="rId430" Type="http://schemas.openxmlformats.org/officeDocument/2006/relationships/hyperlink" Target="https://www.mofa.go.jp/files/100573473.pdf" TargetMode="External"/><Relationship Id="rId1060" Type="http://schemas.openxmlformats.org/officeDocument/2006/relationships/hyperlink" Target="http://lsej.org.ua/1_2023/117.pdf" TargetMode="External"/><Relationship Id="rId2111" Type="http://schemas.openxmlformats.org/officeDocument/2006/relationships/hyperlink" Target="https://zakon.rada.gov.ua/laws/show/1129-15" TargetMode="External"/><Relationship Id="rId1877" Type="http://schemas.openxmlformats.org/officeDocument/2006/relationships/hyperlink" Target="https://www.helsinki.org.ua/articles/kryminalna-vidpovidalnist-za-kolaboratsionizm-dyskusiyni-momenty-statti-zakonu" TargetMode="External"/><Relationship Id="rId1737" Type="http://schemas.openxmlformats.org/officeDocument/2006/relationships/hyperlink" Target="https://zakon.rada.gov.ua/laws/show/2768-14" TargetMode="External"/><Relationship Id="rId1944" Type="http://schemas.openxmlformats.org/officeDocument/2006/relationships/hyperlink" Target="http://dspace.tneu.edu.ua/handle/316497/28195" TargetMode="External"/><Relationship Id="rId29" Type="http://schemas.openxmlformats.org/officeDocument/2006/relationships/hyperlink" Target="https://ms.detector.media/it-kompanii/post/33388/2023-11-03-zasnovnyka-zbankrutiloi-kryptobirzhi-ftx-u-ssha-vyznaly-vynnym-u-shakhraystvi-na-10-mlrd/" TargetMode="External"/><Relationship Id="rId1804" Type="http://schemas.openxmlformats.org/officeDocument/2006/relationships/hyperlink" Target="https://zakon.rada.gov.ua/laws/show/2341-14" TargetMode="External"/><Relationship Id="rId897" Type="http://schemas.openxmlformats.org/officeDocument/2006/relationships/hyperlink" Target="https://zakon.rada.gov.ua/laws/show/254%D0%BA/96-%D0%B2%D1%80" TargetMode="External"/><Relationship Id="rId2578" Type="http://schemas.openxmlformats.org/officeDocument/2006/relationships/hyperlink" Target="http://dx.doi.org/10.15407/sociology2023.04.040" TargetMode="External"/><Relationship Id="rId757" Type="http://schemas.openxmlformats.org/officeDocument/2006/relationships/hyperlink" Target="https://doi.org/10.32782/2524-0374/2024-6/112" TargetMode="External"/><Relationship Id="rId964" Type="http://schemas.openxmlformats.org/officeDocument/2006/relationships/hyperlink" Target="https://zakon.rada.gov.ua/laws/show/v0018500-22" TargetMode="External"/><Relationship Id="rId1387" Type="http://schemas.openxmlformats.org/officeDocument/2006/relationships/hyperlink" Target="https://jvestnik-sss.donnu.edu.ua/article/view/11239" TargetMode="External"/><Relationship Id="rId1594" Type="http://schemas.openxmlformats.org/officeDocument/2006/relationships/hyperlink" Target="https://zakon.rada.gov.ua/laws/show/1955-15" TargetMode="External"/><Relationship Id="rId2438" Type="http://schemas.openxmlformats.org/officeDocument/2006/relationships/hyperlink" Target="https://doi.org/10.1016/j.jnca.2023.103618" TargetMode="External"/><Relationship Id="rId93" Type="http://schemas.openxmlformats.org/officeDocument/2006/relationships/hyperlink" Target="https://www.lri.fr/~mbl/Stanford/CS477/papers/Kuhn-SSR-2ndEd.pdf." TargetMode="External"/><Relationship Id="rId617" Type="http://schemas.openxmlformats.org/officeDocument/2006/relationships/hyperlink" Target="https://dictionary.cambridge.org/dictionary/english-ukrainian/freedom" TargetMode="External"/><Relationship Id="rId824" Type="http://schemas.openxmlformats.org/officeDocument/2006/relationships/hyperlink" Target="http://zakon1.rada.gov.ua/cgi-bin/laws/main.cgi?nreg=995_057" TargetMode="External"/><Relationship Id="rId1247" Type="http://schemas.openxmlformats.org/officeDocument/2006/relationships/hyperlink" Target="https://www.reuters.com/world/europe/ukraine-anti-graft-police-probing-dozens-defence-related-cases-2024-02-21/" TargetMode="External"/><Relationship Id="rId1454" Type="http://schemas.openxmlformats.org/officeDocument/2006/relationships/hyperlink" Target="https://zakon.rada.gov.ua/laws/show/435-15" TargetMode="External"/><Relationship Id="rId1661" Type="http://schemas.openxmlformats.org/officeDocument/2006/relationships/hyperlink" Target="https://zakon.rada.gov.ua/laws/show/1114/2002" TargetMode="External"/><Relationship Id="rId2505" Type="http://schemas.openxmlformats.org/officeDocument/2006/relationships/hyperlink" Target="https://hi-tech.ua/ajax-systems-2022-180-countries" TargetMode="External"/><Relationship Id="rId1107" Type="http://schemas.openxmlformats.org/officeDocument/2006/relationships/hyperlink" Target="https://uploads-ssl.webflow.com/625d81ec8313622a52e2f031/62dea471331181b583d43ec5_&#1070;&#1089;&#1090;&#1080;&#1094;&#1110;&#1103;.pdf" TargetMode="External"/><Relationship Id="rId1314" Type="http://schemas.openxmlformats.org/officeDocument/2006/relationships/hyperlink" Target="https://ips.ligazakon.net/document/view/mus36825?utm_source=jurliga.ligazakon.net&amp;utm_medium=news&amp;utm_content=jl03" TargetMode="External"/><Relationship Id="rId1521" Type="http://schemas.openxmlformats.org/officeDocument/2006/relationships/hyperlink" Target="https://schoolmediationkyiv.in.ua/reyestr-mediatoriv" TargetMode="External"/><Relationship Id="rId20" Type="http://schemas.openxmlformats.org/officeDocument/2006/relationships/hyperlink" Target="https://ccu.gov.ua/storinka-knygy/4-mezhi-povnovazhen-konstytuciynogo-sudu-ukrayiny-pidvidomchist-porushenyh-pytan" TargetMode="External"/><Relationship Id="rId2088" Type="http://schemas.openxmlformats.org/officeDocument/2006/relationships/hyperlink" Target="https://surl.li/dkxqkh" TargetMode="External"/><Relationship Id="rId2295" Type="http://schemas.openxmlformats.org/officeDocument/2006/relationships/hyperlink" Target="https://vkslaw.com.ua/index.php/journal/article/view/254/226" TargetMode="External"/><Relationship Id="rId267" Type="http://schemas.openxmlformats.org/officeDocument/2006/relationships/hyperlink" Target="https://scholar.google.com.ua/citations?user=t7PHLMkAAAAJ&amp;hl=uk&amp;oi=sra" TargetMode="External"/><Relationship Id="rId474" Type="http://schemas.openxmlformats.org/officeDocument/2006/relationships/hyperlink" Target="https://rm.coe.int/1680084822" TargetMode="External"/><Relationship Id="rId2155" Type="http://schemas.openxmlformats.org/officeDocument/2006/relationships/hyperlink" Target="https://zakon.rada.gov.ua/laws/show/3460-15" TargetMode="External"/><Relationship Id="rId127" Type="http://schemas.openxmlformats.org/officeDocument/2006/relationships/hyperlink" Target="https://dspace.lvduvs.edu.ua/bitstream/1234567890/97/1/maikyt.pdf" TargetMode="External"/><Relationship Id="rId681" Type="http://schemas.openxmlformats.org/officeDocument/2006/relationships/hyperlink" Target="https://zakon.rada.gov.ua/laws/show/995_154" TargetMode="External"/><Relationship Id="rId334" Type="http://schemas.openxmlformats.org/officeDocument/2006/relationships/hyperlink" Target="URL:https://zakon.rada.gov.ua" TargetMode="External"/><Relationship Id="rId541" Type="http://schemas.openxmlformats.org/officeDocument/2006/relationships/hyperlink" Target="https://doi.org/10.32842/2078-3736/2024.5.48" TargetMode="External"/><Relationship Id="rId1171" Type="http://schemas.openxmlformats.org/officeDocument/2006/relationships/hyperlink" Target="https://dspace.nlu.edu.ua/bitstream/123456789/12381/1/Vilchyk_38-44.pdf" TargetMode="External"/><Relationship Id="rId2015" Type="http://schemas.openxmlformats.org/officeDocument/2006/relationships/hyperlink" Target="https://nauka-online.com/publications/jurisprudence/2024/11/04-22/" TargetMode="External"/><Relationship Id="rId2222" Type="http://schemas.openxmlformats.org/officeDocument/2006/relationships/hyperlink" Target="https://bookofmemory.com.ua/uk/analytics/how-analysts-use-osint-uncover-russian-war-crimes-satellite-imagery-social-media-analysis-and-ai/" TargetMode="External"/><Relationship Id="rId401" Type="http://schemas.openxmlformats.org/officeDocument/2006/relationships/hyperlink" Target="https://zakon.rada.gov.ua/laws/show/995_789" TargetMode="External"/><Relationship Id="rId1031" Type="http://schemas.openxmlformats.org/officeDocument/2006/relationships/hyperlink" Target="https://reyestr.court.gov.ua/Review/113479933" TargetMode="External"/><Relationship Id="rId1988" Type="http://schemas.openxmlformats.org/officeDocument/2006/relationships/hyperlink" Target="http://zakon2.rada.gov.ua/laws/show/4651-172" TargetMode="External"/><Relationship Id="rId1848" Type="http://schemas.openxmlformats.org/officeDocument/2006/relationships/hyperlink" Target="https://ips.ligazakon.net/document/view/t233342?ed=2023_08_23&amp;an=18" TargetMode="External"/><Relationship Id="rId191" Type="http://schemas.openxmlformats.org/officeDocument/2006/relationships/hyperlink" Target="https://www.icc-cpi.int/cases/ntaganda" TargetMode="External"/><Relationship Id="rId1708" Type="http://schemas.openxmlformats.org/officeDocument/2006/relationships/hyperlink" Target="https://zakon.rada.gov.ua/laws/show/2136-20" TargetMode="External"/><Relationship Id="rId1915" Type="http://schemas.openxmlformats.org/officeDocument/2006/relationships/hyperlink" Target="http://molodyvcheny.in.ua/files/journal/2018/4/153.pdf" TargetMode="External"/><Relationship Id="rId868" Type="http://schemas.openxmlformats.org/officeDocument/2006/relationships/hyperlink" Target="https://zakon.rada.gov.ua/laws/show/2801-12" TargetMode="External"/><Relationship Id="rId1498" Type="http://schemas.openxmlformats.org/officeDocument/2006/relationships/hyperlink" Target="about:blank" TargetMode="External"/><Relationship Id="rId2549" Type="http://schemas.openxmlformats.org/officeDocument/2006/relationships/hyperlink" Target="http://regionalstudies.uzhnu.uz.ua/archive/21/22.pdf" TargetMode="External"/><Relationship Id="rId728" Type="http://schemas.openxmlformats.org/officeDocument/2006/relationships/hyperlink" Target="https://dspace.uzhnu.edu.ua/jspui/handle/lib/1215" TargetMode="External"/><Relationship Id="rId935" Type="http://schemas.openxmlformats.org/officeDocument/2006/relationships/hyperlink" Target="https://doi.org/10.32837/11300.25545" TargetMode="External"/><Relationship Id="rId1358" Type="http://schemas.openxmlformats.org/officeDocument/2006/relationships/hyperlink" Target="http://www.uscourts.gov/sites/default/files/rules-of-civil-procedure" TargetMode="External"/><Relationship Id="rId1565" Type="http://schemas.openxmlformats.org/officeDocument/2006/relationships/hyperlink" Target="https://zakon.rada.gov.ua/laws/show/2597-19" TargetMode="External"/><Relationship Id="rId1772" Type="http://schemas.openxmlformats.org/officeDocument/2006/relationships/hyperlink" Target="https://zakon.rada.gov.ua/laws/show/254&#1082;/96-&#1074;&#1088;" TargetMode="External"/><Relationship Id="rId2409" Type="http://schemas.openxmlformats.org/officeDocument/2006/relationships/hyperlink" Target="https://spring.io/projects/spring-boot" TargetMode="External"/><Relationship Id="rId2616" Type="http://schemas.openxmlformats.org/officeDocument/2006/relationships/hyperlink" Target="https://cpd.gov.ua/articles/yak-diye-kremlivska-propaganda-na-okupovanyh-terytoriyah/" TargetMode="External"/><Relationship Id="rId64" Type="http://schemas.openxmlformats.org/officeDocument/2006/relationships/hyperlink" Target="https://ippi.org.ua/sites/default/files/12koissu.pdf" TargetMode="External"/><Relationship Id="rId1218" Type="http://schemas.openxmlformats.org/officeDocument/2006/relationships/hyperlink" Target="https://ti-ukraine.org/en/news/obstacles-in-the-work-of-the-anti-corruption-ecosystem" TargetMode="External"/><Relationship Id="rId1425" Type="http://schemas.openxmlformats.org/officeDocument/2006/relationships/hyperlink" Target="https://kyivchasprava.kneu.in.ua/index.php/kyivchasprava/article/view/425" TargetMode="External"/><Relationship Id="rId1632" Type="http://schemas.openxmlformats.org/officeDocument/2006/relationships/hyperlink" Target="https://andrushivka.info/2023/01/26/" TargetMode="External"/><Relationship Id="rId2199" Type="http://schemas.openxmlformats.org/officeDocument/2006/relationships/hyperlink" Target="https://zakon.rada.gov.ua/laws/show/994_001-11" TargetMode="External"/><Relationship Id="rId378" Type="http://schemas.openxmlformats.org/officeDocument/2006/relationships/hyperlink" Target="https://dnuvs.ukr.education/wp-content/uploads/2023/07/zbirnyk_tez_konferencziyi_30_09_2022_proekt_31_10_22.pdf" TargetMode="External"/><Relationship Id="rId585" Type="http://schemas.openxmlformats.org/officeDocument/2006/relationships/hyperlink" Target="https://zakon.rada.gov.ua/laws/show/995_925" TargetMode="External"/><Relationship Id="rId792" Type="http://schemas.openxmlformats.org/officeDocument/2006/relationships/hyperlink" Target="http://customs.gov.ua/rozgliad-sporiv-u-sudovomu-poriadku" TargetMode="External"/><Relationship Id="rId2059" Type="http://schemas.openxmlformats.org/officeDocument/2006/relationships/hyperlink" Target="http://www.interfaithimpactnys.org/positonpapers/cj_policy.html" TargetMode="External"/><Relationship Id="rId2266" Type="http://schemas.openxmlformats.org/officeDocument/2006/relationships/hyperlink" Target="https://hudoc.echr.coe.int/eng-press?i=003-6020321-7722927" TargetMode="External"/><Relationship Id="rId2473" Type="http://schemas.openxmlformats.org/officeDocument/2006/relationships/hyperlink" Target="https://business.diia.gov.ua/about" TargetMode="External"/><Relationship Id="rId238" Type="http://schemas.openxmlformats.org/officeDocument/2006/relationships/hyperlink" Target="https://www.radiosvoboda.org/a/v-ukrayini-zafiksovano-303-fakty-seksualnoho-nasylstva-zumovlenoho-viynoyu/32999415.html" TargetMode="External"/><Relationship Id="rId445" Type="http://schemas.openxmlformats.org/officeDocument/2006/relationships/hyperlink" Target="https://www.president.gov.ua/news/mizhnarodnij-kriminalnij-sud-vidav-order-na-aresht-putina-is-81665" TargetMode="External"/><Relationship Id="rId652" Type="http://schemas.openxmlformats.org/officeDocument/2006/relationships/hyperlink" Target="https://hhi.harvard.edu/sites/g/files/omnuum6866/files/humanitarianinitiative/files/legal_aspects_of_israels_disengagement_plan_under_ihl.pdf" TargetMode="External"/><Relationship Id="rId1075" Type="http://schemas.openxmlformats.org/officeDocument/2006/relationships/hyperlink" Target="https://zakon.rada.gov.ua/laws/show/995_004" TargetMode="External"/><Relationship Id="rId1282" Type="http://schemas.openxmlformats.org/officeDocument/2006/relationships/hyperlink" Target="https://pravo-izdat.com.ua/image/data/Files/101/1-26.pdf?srsltid=AfmBOooz0t92Z-cYxix5IyZLSS8gwRYfob6qAEpTc3wETmHSAblZ_idv" TargetMode="External"/><Relationship Id="rId2126" Type="http://schemas.openxmlformats.org/officeDocument/2006/relationships/hyperlink" Target="https://zakon.rada.gov.ua/laws/show/1129-15" TargetMode="External"/><Relationship Id="rId2540" Type="http://schemas.openxmlformats.org/officeDocument/2006/relationships/hyperlink" Target="https://doi.org/10.31558/2617-0248.2024.9.4" TargetMode="External"/><Relationship Id="rId305" Type="http://schemas.openxmlformats.org/officeDocument/2006/relationships/hyperlink" Target="https://zakon.rada.gov.ua/laws/show/995_043" TargetMode="External"/><Relationship Id="rId512" Type="http://schemas.openxmlformats.org/officeDocument/2006/relationships/hyperlink" Target="https://ombudsman.gov.ua/childrenofwar-2023/hrubi-porushennia-prav-dytyny-vnaslidok-zbroinoi-ahresii-proty-ukrainy-zahalnyi-ohliad" TargetMode="External"/><Relationship Id="rId1142" Type="http://schemas.openxmlformats.org/officeDocument/2006/relationships/hyperlink" Target="https://journals.indexcopernicus.com/api/file/viewByFileId/483193.pdf" TargetMode="External"/><Relationship Id="rId2400" Type="http://schemas.openxmlformats.org/officeDocument/2006/relationships/hyperlink" Target="https://www.zoho.com/crm/" TargetMode="External"/><Relationship Id="rId1002" Type="http://schemas.openxmlformats.org/officeDocument/2006/relationships/hyperlink" Target="https://data.gov.ua/uploads/files/2024-06-04-131815.019620ODStrategy2025-2027.pdf" TargetMode="External"/><Relationship Id="rId1959" Type="http://schemas.openxmlformats.org/officeDocument/2006/relationships/hyperlink" Target="https://zakon.rada.gov.ua/laws/show/995_085" TargetMode="External"/><Relationship Id="rId1819" Type="http://schemas.openxmlformats.org/officeDocument/2006/relationships/hyperlink" Target="https://educalingo.com/uk/dic-uk/maroderstvo" TargetMode="External"/><Relationship Id="rId2190" Type="http://schemas.openxmlformats.org/officeDocument/2006/relationships/hyperlink" Target="https://zakon.rada.gov.ua/laws/show/4651-17" TargetMode="External"/><Relationship Id="rId162" Type="http://schemas.openxmlformats.org/officeDocument/2006/relationships/hyperlink" Target="https://www.unhcr.org/globaltrends" TargetMode="External"/><Relationship Id="rId2050" Type="http://schemas.openxmlformats.org/officeDocument/2006/relationships/hyperlink" Target="https://documents.un.org/doc/undoc/gen/n15/443/41/pdf/n1544341.pdf" TargetMode="External"/><Relationship Id="rId979" Type="http://schemas.openxmlformats.org/officeDocument/2006/relationships/hyperlink" Target="https://par.in.ua/en/information/publications/400-rik-iz-zakonom-pro-administratyvnu-protseduru-holovni-pidsumky-vid-ekspertiv" TargetMode="External"/><Relationship Id="rId839" Type="http://schemas.openxmlformats.org/officeDocument/2006/relationships/hyperlink" Target="https://doi.org/10.32782/2524-0072/2023-57-21" TargetMode="External"/><Relationship Id="rId1469" Type="http://schemas.openxmlformats.org/officeDocument/2006/relationships/hyperlink" Target="https://hudoc.echr.coe.int/eng" TargetMode="External"/><Relationship Id="rId1676" Type="http://schemas.openxmlformats.org/officeDocument/2006/relationships/hyperlink" Target="file:///C:/Users/Booger/Downloads/alexi,+19.pdf" TargetMode="External"/><Relationship Id="rId1883" Type="http://schemas.openxmlformats.org/officeDocument/2006/relationships/hyperlink" Target="https://luhbulletin.dnuvs.ukr.education" TargetMode="External"/><Relationship Id="rId906" Type="http://schemas.openxmlformats.org/officeDocument/2006/relationships/hyperlink" Target="http://elartu.tntu.edu.ua/handle/lib/46554" TargetMode="External"/><Relationship Id="rId1329" Type="http://schemas.openxmlformats.org/officeDocument/2006/relationships/hyperlink" Target="https://zakon.rada.gov.ua/laws/show/236/96-%D0%B2%D1%80" TargetMode="External"/><Relationship Id="rId1536" Type="http://schemas.openxmlformats.org/officeDocument/2006/relationships/hyperlink" Target="https://interfax.com.ua/news/economic/291039-amp.html" TargetMode="External"/><Relationship Id="rId1743" Type="http://schemas.openxmlformats.org/officeDocument/2006/relationships/hyperlink" Target="https://itd.rada.gov.ua/billInfo/Bills/CardByRn?regNum=11469&amp;conv=9" TargetMode="External"/><Relationship Id="rId1950" Type="http://schemas.openxmlformats.org/officeDocument/2006/relationships/hyperlink" Target="https://visnik.dduvs.edu.ua/index.php/visnyk/article/view/528" TargetMode="External"/><Relationship Id="rId35" Type="http://schemas.openxmlformats.org/officeDocument/2006/relationships/hyperlink" Target="https://www.cvce.eu/obj/traite_instituant_la_communaute_europeenne_du_charbon_et_de_l_acier_paris_18_avril_1951-fr-11a21305-941e-49d7-a171-ed5be548cd58.html" TargetMode="External"/><Relationship Id="rId1603" Type="http://schemas.openxmlformats.org/officeDocument/2006/relationships/hyperlink" Target="https://zakon.rada.gov.ua/rada/show/v0977910-23" TargetMode="External"/><Relationship Id="rId1810" Type="http://schemas.openxmlformats.org/officeDocument/2006/relationships/hyperlink" Target="https://www.journals.elsevier.com/journal-of-law-and-psychiatry" TargetMode="External"/><Relationship Id="rId489" Type="http://schemas.openxmlformats.org/officeDocument/2006/relationships/hyperlink" Target="https://www.hrw.org/news/2022/05/18/ukraine-executions-torture-during-russian-occupation" TargetMode="External"/><Relationship Id="rId696" Type="http://schemas.openxmlformats.org/officeDocument/2006/relationships/hyperlink" Target="https://zakononline.com.ua/documents/show/287485___287550" TargetMode="External"/><Relationship Id="rId2584" Type="http://schemas.openxmlformats.org/officeDocument/2006/relationships/hyperlink" Target="https://aup.com.ua/ml/conf/gorodetska.doc" TargetMode="External"/><Relationship Id="rId349" Type="http://schemas.openxmlformats.org/officeDocument/2006/relationships/hyperlink" Target="https://zakon.rada.gov.ua/laws/show/995_363" TargetMode="External"/><Relationship Id="rId556" Type="http://schemas.openxmlformats.org/officeDocument/2006/relationships/hyperlink" Target="URL:https://hudoc.echr.coe.int" TargetMode="External"/><Relationship Id="rId763" Type="http://schemas.openxmlformats.org/officeDocument/2006/relationships/hyperlink" Target="https://zakononline.com.ua/court-decisions/show/116521018" TargetMode="External"/><Relationship Id="rId1186" Type="http://schemas.openxmlformats.org/officeDocument/2006/relationships/hyperlink" Target="https://dspace.uzhnu.edu.ua/jspui/handle/lib/71836" TargetMode="External"/><Relationship Id="rId1393" Type="http://schemas.openxmlformats.org/officeDocument/2006/relationships/hyperlink" Target="https://zakon.rada.gov.ua/laws/show/389-19" TargetMode="External"/><Relationship Id="rId2237" Type="http://schemas.openxmlformats.org/officeDocument/2006/relationships/hyperlink" Target="https://zakon.rada.gov.ua/laws/show/z0849-20" TargetMode="External"/><Relationship Id="rId2444" Type="http://schemas.openxmlformats.org/officeDocument/2006/relationships/hyperlink" Target="https://sci-hub.se/10.1108/09685220810920549/full" TargetMode="External"/><Relationship Id="rId209" Type="http://schemas.openxmlformats.org/officeDocument/2006/relationships/hyperlink" Target="https://hudoc.echr.coe.int/eng" TargetMode="External"/><Relationship Id="rId416" Type="http://schemas.openxmlformats.org/officeDocument/2006/relationships/hyperlink" Target="https://doi.org/10.52058/2786-6300-2025-1(31)-542-556" TargetMode="External"/><Relationship Id="rId970" Type="http://schemas.openxmlformats.org/officeDocument/2006/relationships/hyperlink" Target="https://zakon.rada.gov.ua/laws/show/2464-17" TargetMode="External"/><Relationship Id="rId1046" Type="http://schemas.openxmlformats.org/officeDocument/2006/relationships/hyperlink" Target="https://zakon.rada.gov.ua/laws/show/2747-15" TargetMode="External"/><Relationship Id="rId1253" Type="http://schemas.openxmlformats.org/officeDocument/2006/relationships/hyperlink" Target="https://www.reuters.com/world/europe/ukraine-anti-graft-police-probing-dozens-defence-related-cases-2024-02-21/" TargetMode="External"/><Relationship Id="rId623" Type="http://schemas.openxmlformats.org/officeDocument/2006/relationships/hyperlink" Target="https://www.helsinki.org.ua/files/docs/1439184931.pdf" TargetMode="External"/><Relationship Id="rId830" Type="http://schemas.openxmlformats.org/officeDocument/2006/relationships/hyperlink" Target="https://www.eea.europa.eu/en/topics/in-depth/seas-and-coasts" TargetMode="External"/><Relationship Id="rId1460" Type="http://schemas.openxmlformats.org/officeDocument/2006/relationships/hyperlink" Target="about:blank" TargetMode="External"/><Relationship Id="rId2304" Type="http://schemas.openxmlformats.org/officeDocument/2006/relationships/hyperlink" Target="https://zakon.rada.gov.ua/go/254&#1082;/96-&#1074;&#1088;" TargetMode="External"/><Relationship Id="rId2511" Type="http://schemas.openxmlformats.org/officeDocument/2006/relationships/hyperlink" Target="https://time.com" TargetMode="External"/><Relationship Id="rId1113" Type="http://schemas.openxmlformats.org/officeDocument/2006/relationships/hyperlink" Target="https://science.lpnu.ua/sites/default/files/journal-paper/2023/nov/31673/26.pdf" TargetMode="External"/><Relationship Id="rId1320" Type="http://schemas.openxmlformats.org/officeDocument/2006/relationships/hyperlink" Target="https://zakon.rada.gov.ua/laws/show/2811-20/conv" TargetMode="External"/><Relationship Id="rId2094" Type="http://schemas.openxmlformats.org/officeDocument/2006/relationships/hyperlink" Target="https://zakon.rada.gov.ua/laws/show/2341-14" TargetMode="External"/><Relationship Id="rId273" Type="http://schemas.openxmlformats.org/officeDocument/2006/relationships/hyperlink" Target="https://zakon.rada.gov.ua/laws/show/995_151" TargetMode="External"/><Relationship Id="rId480" Type="http://schemas.openxmlformats.org/officeDocument/2006/relationships/hyperlink" Target="https://eur-lex.europa.eu/legal-content/EN/TXT/?uri=CELEX%3A62019CJ0791" TargetMode="External"/><Relationship Id="rId2161" Type="http://schemas.openxmlformats.org/officeDocument/2006/relationships/hyperlink" Target="https://supreme.court.gov.ua/supreme/pres-centr/news/1594957/" TargetMode="External"/><Relationship Id="rId133" Type="http://schemas.openxmlformats.org/officeDocument/2006/relationships/hyperlink" Target="https://subj.ukr-lit.com/pravoznavstvo-olijnik-a-yu-4-derzhava-i-pravo-v-period-vxodzhennya-ukra%d1%97nskix-zemel-do-riznix-yevropejskix-derzhav/" TargetMode="External"/><Relationship Id="rId340" Type="http://schemas.openxmlformats.org/officeDocument/2006/relationships/hyperlink" Target="https://www.unhcr.org/ua/sites/ua/files/legacy-pdf/UNHCR70_Key_Messaging_ukr.pdf" TargetMode="External"/><Relationship Id="rId2021" Type="http://schemas.openxmlformats.org/officeDocument/2006/relationships/hyperlink" Target="https://dif.org.ua/article/vprovadzhennya-preventivnikh-praktik-protidii-radikalizatsii-v-ukraini-potentsial-ta-prikladi-partnerskoi-infrastrukturi" TargetMode="External"/><Relationship Id="rId200" Type="http://schemas.openxmlformats.org/officeDocument/2006/relationships/hyperlink" Target="http://apir.org.ua/index.php/lais/article/view/yefremova_naumova_mishanchuk17/24" TargetMode="External"/><Relationship Id="rId1787" Type="http://schemas.openxmlformats.org/officeDocument/2006/relationships/hyperlink" Target="https://www.coe.int/" TargetMode="External"/><Relationship Id="rId1994" Type="http://schemas.openxmlformats.org/officeDocument/2006/relationships/hyperlink" Target="https://zakon.rada.gov.ua/laws/show/1044-2021-&#1087;" TargetMode="External"/><Relationship Id="rId79" Type="http://schemas.openxmlformats.org/officeDocument/2006/relationships/hyperlink" Target="https://science.lpnu.ua/sites/default/files/journal-paper/2020/dec/22767/13.pdf" TargetMode="External"/><Relationship Id="rId1647" Type="http://schemas.openxmlformats.org/officeDocument/2006/relationships/hyperlink" Target="https://zakon.rada.gov.ua/laws/show/328-2019-%D0%BF" TargetMode="External"/><Relationship Id="rId1854" Type="http://schemas.openxmlformats.org/officeDocument/2006/relationships/hyperlink" Target="https://zakon.rada.gov.ua/laws/show/2341-14" TargetMode="External"/><Relationship Id="rId1507" Type="http://schemas.openxmlformats.org/officeDocument/2006/relationships/hyperlink" Target="https://dspace.onua.edu.ua/server/api/core/bitstreams/c892a2aa-d55e-4677-9149-14e834aadc4f/content" TargetMode="External"/><Relationship Id="rId1714" Type="http://schemas.openxmlformats.org/officeDocument/2006/relationships/hyperlink" Target="https://zakon.rada.gov.ua/laws/show/322-08" TargetMode="External"/><Relationship Id="rId1921" Type="http://schemas.openxmlformats.org/officeDocument/2006/relationships/hyperlink" Target="https://www.google.com/search?q=http://elar.naiau.kiev.ua/jspui/handle/123456789/20529" TargetMode="External"/><Relationship Id="rId2488" Type="http://schemas.openxmlformats.org/officeDocument/2006/relationships/hyperlink" Target="https://eco-science.net/" TargetMode="External"/><Relationship Id="rId1297" Type="http://schemas.openxmlformats.org/officeDocument/2006/relationships/hyperlink" Target="https://www.president.gov.ua/documents/constitution" TargetMode="External"/><Relationship Id="rId667" Type="http://schemas.openxmlformats.org/officeDocument/2006/relationships/hyperlink" Target="https://zakon.rada.gov.ua/laws/show/974_938" TargetMode="External"/><Relationship Id="rId874" Type="http://schemas.openxmlformats.org/officeDocument/2006/relationships/hyperlink" Target="http://phtl.nlu.edu.ua/article/view/182087" TargetMode="External"/><Relationship Id="rId2555" Type="http://schemas.openxmlformats.org/officeDocument/2006/relationships/hyperlink" Target="https://www.ukrinform.ua/rubric-world/3908770-agresia-rosii-proti-ukraini-e-viklikom-dla-miznarodnoi-sistemi-prezident-cehii.html" TargetMode="External"/><Relationship Id="rId527" Type="http://schemas.openxmlformats.org/officeDocument/2006/relationships/hyperlink" Target="https://zakon.rada.gov.ua/laws/show/254%D0%BA/96-%D0%B2%D1%80" TargetMode="External"/><Relationship Id="rId734" Type="http://schemas.openxmlformats.org/officeDocument/2006/relationships/hyperlink" Target="https://www.un.org/depts/los/convention_agreements/texts/unclos/unclos_e.pdf" TargetMode="External"/><Relationship Id="rId941" Type="http://schemas.openxmlformats.org/officeDocument/2006/relationships/hyperlink" Target="https://www.oxfordpress.uk/public-administration-uk" TargetMode="External"/><Relationship Id="rId1157" Type="http://schemas.openxmlformats.org/officeDocument/2006/relationships/hyperlink" Target="https://nkkspk.com.ua/nastupni-kroky-sudovoyi-reformy-yaki-vony/" TargetMode="External"/><Relationship Id="rId1364" Type="http://schemas.openxmlformats.org/officeDocument/2006/relationships/hyperlink" Target="http://zakon3.rada.gov.ua/laws/show/254%D0%BA/96-%D0%B2%D1%80" TargetMode="External"/><Relationship Id="rId1571" Type="http://schemas.openxmlformats.org/officeDocument/2006/relationships/hyperlink" Target="https://www.deloitte.com/ua/uk/services/tax/perspectives/tax-and-legal-alert-2025-01-20.html" TargetMode="External"/><Relationship Id="rId2208" Type="http://schemas.openxmlformats.org/officeDocument/2006/relationships/hyperlink" Target="https://zakon.rada.gov.ua/laws/show/4651-17" TargetMode="External"/><Relationship Id="rId2415" Type="http://schemas.openxmlformats.org/officeDocument/2006/relationships/hyperlink" Target="https://datareportal.com/reports/digital-2023-global-overview-report" TargetMode="External"/><Relationship Id="rId2622" Type="http://schemas.openxmlformats.org/officeDocument/2006/relationships/hyperlink" Target="https://repository.hneu.edu.ua/bitstream/123456789/32886/1/SZOU%2015-18-24.pdf" TargetMode="External"/><Relationship Id="rId70" Type="http://schemas.openxmlformats.org/officeDocument/2006/relationships/hyperlink" Target="https://doi.org/10.33766/2524-0323.101.23-35" TargetMode="External"/><Relationship Id="rId801" Type="http://schemas.openxmlformats.org/officeDocument/2006/relationships/hyperlink" Target="https://www.un.org/depts/los/convention_agreements/texts/unclos/unclos_e.pdf" TargetMode="External"/><Relationship Id="rId1017" Type="http://schemas.openxmlformats.org/officeDocument/2006/relationships/hyperlink" Target="https://zakon.rada.gov.ua/laws/show/1618-15" TargetMode="External"/><Relationship Id="rId1224" Type="http://schemas.openxmlformats.org/officeDocument/2006/relationships/hyperlink" Target="https://ti-ukraine.org/en/news/obstacles-in-the-work-of-the-anti-corruption-ecosystem" TargetMode="External"/><Relationship Id="rId1431" Type="http://schemas.openxmlformats.org/officeDocument/2006/relationships/hyperlink" Target="https://verdictum.ligazakon.net/document/91901363" TargetMode="External"/><Relationship Id="rId177" Type="http://schemas.openxmlformats.org/officeDocument/2006/relationships/hyperlink" Target="https://jurkniga.ua/contents/rezolyutsii-generalnoi-asamblei-oon-kharakter-i-znachennya-u-konteksti-viyni-rf-proti-ukraini.pdf" TargetMode="External"/><Relationship Id="rId384" Type="http://schemas.openxmlformats.org/officeDocument/2006/relationships/hyperlink" Target="https://www.istpravda.com.ua/columns/2023/02/23/162420/" TargetMode="External"/><Relationship Id="rId591" Type="http://schemas.openxmlformats.org/officeDocument/2006/relationships/hyperlink" Target="https://zakon.rada.gov.ua/laws/show/2341-14" TargetMode="External"/><Relationship Id="rId2065" Type="http://schemas.openxmlformats.org/officeDocument/2006/relationships/hyperlink" Target="https://zakon.rada.gov.ua/laws/show/3352-12" TargetMode="External"/><Relationship Id="rId2272" Type="http://schemas.openxmlformats.org/officeDocument/2006/relationships/hyperlink" Target="https://surl.li/wnvcps" TargetMode="External"/><Relationship Id="rId244" Type="http://schemas.openxmlformats.org/officeDocument/2006/relationships/hyperlink" Target="https://zakon.rada.gov.ua/laws/show/435-15/conv" TargetMode="External"/><Relationship Id="rId1081" Type="http://schemas.openxmlformats.org/officeDocument/2006/relationships/hyperlink" Target="https://zakon.rada.gov.ua/laws/show/2680-19" TargetMode="External"/><Relationship Id="rId451" Type="http://schemas.openxmlformats.org/officeDocument/2006/relationships/hyperlink" Target="https://zakon.rada.gov.ua/laws/show/995_153" TargetMode="External"/><Relationship Id="rId2132" Type="http://schemas.openxmlformats.org/officeDocument/2006/relationships/hyperlink" Target="https://molodyivchenyi.ua/index.php/journal/article/download/5203/5103/" TargetMode="External"/><Relationship Id="rId104" Type="http://schemas.openxmlformats.org/officeDocument/2006/relationships/hyperlink" Target="https://dspace.onua.edu.ua/server/api/core/bitstreams/86da1b07-3a1d-4c92-b892-80a7991d70fe/content" TargetMode="External"/><Relationship Id="rId311" Type="http://schemas.openxmlformats.org/officeDocument/2006/relationships/hyperlink" Target="https://zakon.rada.gov.ua/laws/show/994_014" TargetMode="External"/><Relationship Id="rId1898" Type="http://schemas.openxmlformats.org/officeDocument/2006/relationships/hyperlink" Target="URL:https://zakon.rada.gov.ua/laws/show/2341-14/conv" TargetMode="External"/><Relationship Id="rId1758" Type="http://schemas.openxmlformats.org/officeDocument/2006/relationships/hyperlink" Target="https://zakon.rada.gov.ua/laws/show/1129-15" TargetMode="External"/><Relationship Id="rId1965" Type="http://schemas.openxmlformats.org/officeDocument/2006/relationships/hyperlink" Target="https://nazk.gov.ua/uk/antykoruptsijna-polityka/chotyry-roky-nazk-2-0-strategichnyy-analiz-koruptsiynyh-ryzykiv/" TargetMode="External"/><Relationship Id="rId1618" Type="http://schemas.openxmlformats.org/officeDocument/2006/relationships/hyperlink" Target="https://esu.com.ua/article-26155" TargetMode="External"/><Relationship Id="rId1825" Type="http://schemas.openxmlformats.org/officeDocument/2006/relationships/hyperlink" Target="https://doi.org/10.32844/2618-1258.2021.1.22" TargetMode="External"/><Relationship Id="rId2599" Type="http://schemas.openxmlformats.org/officeDocument/2006/relationships/hyperlink" Target="https://rau.ua/novyni/reklama-na-vijni-kantar/" TargetMode="External"/><Relationship Id="rId778" Type="http://schemas.openxmlformats.org/officeDocument/2006/relationships/hyperlink" Target="http://pjv.nuoua.od.ua/v1-3_2018/24.pdf" TargetMode="External"/><Relationship Id="rId985" Type="http://schemas.openxmlformats.org/officeDocument/2006/relationships/hyperlink" Target="https://zakon.rada.gov.ua/laws/show/2120-20" TargetMode="External"/><Relationship Id="rId2459" Type="http://schemas.openxmlformats.org/officeDocument/2006/relationships/hyperlink" Target="https://gs.statcounter.com/social-media-stats%23monthly-200903-202012-bar%20" TargetMode="External"/><Relationship Id="rId638" Type="http://schemas.openxmlformats.org/officeDocument/2006/relationships/hyperlink" Target="https://international-review.icrc.org/sites/default/files/S003533610017858Xa.pdf" TargetMode="External"/><Relationship Id="rId845" Type="http://schemas.openxmlformats.org/officeDocument/2006/relationships/hyperlink" Target="https://youcontrol.com.ua/ru/catalog/court-document/116675399/" TargetMode="External"/><Relationship Id="rId1268" Type="http://schemas.openxmlformats.org/officeDocument/2006/relationships/hyperlink" Target="https://zakon.rada.gov.ua/laws/show/783-14" TargetMode="External"/><Relationship Id="rId1475" Type="http://schemas.openxmlformats.org/officeDocument/2006/relationships/hyperlink" Target="https://reyestr.court.gov.ua/" TargetMode="External"/><Relationship Id="rId1682" Type="http://schemas.openxmlformats.org/officeDocument/2006/relationships/hyperlink" Target="https://zakon.rada.gov.ua/laws/show/2136-%2020%23Text" TargetMode="External"/><Relationship Id="rId2319" Type="http://schemas.openxmlformats.org/officeDocument/2006/relationships/hyperlink" Target="https://reyestr.court.gov.ua/Review/114552471?fbclid=IwAR2d2Gr9gOD3f1-Uskxhdw5C4igsPjV2yT6XL0GtuoNH4s7490IbU3hkRM0" TargetMode="External"/><Relationship Id="rId2526" Type="http://schemas.openxmlformats.org/officeDocument/2006/relationships/hyperlink" Target="http://moodle.nati.org.ua/pluginfile.php/14197/mod_resource/content/1/&#1087;&#1086;&#1083;&#1110;&#1090;&#1086;&#1083;&#1086;&#1075;&#1110;&#1103;%20pos_polit.Pdf" TargetMode="External"/><Relationship Id="rId705" Type="http://schemas.openxmlformats.org/officeDocument/2006/relationships/hyperlink" Target="https://mfa.gov.ua/consul/forua/reg/shlyub" TargetMode="External"/><Relationship Id="rId1128" Type="http://schemas.openxmlformats.org/officeDocument/2006/relationships/hyperlink" Target="https://zakon.rada.gov.ua/laws/show/5076-17" TargetMode="External"/><Relationship Id="rId1335" Type="http://schemas.openxmlformats.org/officeDocument/2006/relationships/hyperlink" Target="https://www.wipo.int/treaties/en/ip/paris/" TargetMode="External"/><Relationship Id="rId1542" Type="http://schemas.openxmlformats.org/officeDocument/2006/relationships/hyperlink" Target="https://zakon.rada.gov.ua/laws/show/671/97-%D0%B2%D1%80" TargetMode="External"/><Relationship Id="rId912" Type="http://schemas.openxmlformats.org/officeDocument/2006/relationships/hyperlink" Target="URL:https://zakon.rada.gov.ua/laws/show/80731-10" TargetMode="External"/><Relationship Id="rId41" Type="http://schemas.openxmlformats.org/officeDocument/2006/relationships/hyperlink" Target="https://www.vestnik-pravo.mgu.od.ua/archive/juspradenc6-1-1eng/03.pdf" TargetMode="External"/><Relationship Id="rId1402" Type="http://schemas.openxmlformats.org/officeDocument/2006/relationships/hyperlink" Target="https://reyestr.court.gov.ua/Review/105493740" TargetMode="External"/><Relationship Id="rId288" Type="http://schemas.openxmlformats.org/officeDocument/2006/relationships/hyperlink" Target="https://zakon.rada.gov.ua/laws/show/995_015" TargetMode="External"/><Relationship Id="rId495" Type="http://schemas.openxmlformats.org/officeDocument/2006/relationships/hyperlink" Target="https://surl.li/mgktlr" TargetMode="External"/><Relationship Id="rId2176" Type="http://schemas.openxmlformats.org/officeDocument/2006/relationships/hyperlink" Target="https://elar.navs.edu.ua/server/api/core/bitstreams/86ac5034-4175-497d-9934-9086baa611c0/content" TargetMode="External"/><Relationship Id="rId2590" Type="http://schemas.openxmlformats.org/officeDocument/2006/relationships/hyperlink" Target="https://web.archive.org/web/20081206132214/http:/vi-legas.com.ua/content/view/1823/109/" TargetMode="External"/><Relationship Id="rId148" Type="http://schemas.openxmlformats.org/officeDocument/2006/relationships/hyperlink" Target="https://hdl.handle.net/11300/26856" TargetMode="External"/><Relationship Id="rId355" Type="http://schemas.openxmlformats.org/officeDocument/2006/relationships/hyperlink" Target="https://ips.ligazakon.net/document/MU67007" TargetMode="External"/><Relationship Id="rId562" Type="http://schemas.openxmlformats.org/officeDocument/2006/relationships/hyperlink" Target="https://www.ipinst.org/by/paul-williams" TargetMode="External"/><Relationship Id="rId1192" Type="http://schemas.openxmlformats.org/officeDocument/2006/relationships/hyperlink" Target="https://vilshsr.gov.ua/news/1655288895/" TargetMode="External"/><Relationship Id="rId2036" Type="http://schemas.openxmlformats.org/officeDocument/2006/relationships/hyperlink" Target="https://www.cbc.ca/news/canada/timeline-col-russell-williams-case-1.936382" TargetMode="External"/><Relationship Id="rId2243" Type="http://schemas.openxmlformats.org/officeDocument/2006/relationships/hyperlink" Target="https://er.dduvs.edu.ua/handle/123456789/10537" TargetMode="External"/><Relationship Id="rId2450" Type="http://schemas.openxmlformats.org/officeDocument/2006/relationships/hyperlink" Target="https://hurma.work/blog/matryczya-kompetenczij-efektyvnyj-instrument-upravlinnya-zarplatnymy-ochikuvannyamy/" TargetMode="External"/><Relationship Id="rId215" Type="http://schemas.openxmlformats.org/officeDocument/2006/relationships/hyperlink" Target="https://zakon.rada.gov.ua/laws/show/994_125" TargetMode="External"/><Relationship Id="rId422" Type="http://schemas.openxmlformats.org/officeDocument/2006/relationships/hyperlink" Target="https://eur-lex.europa.eu/legal-content/EN/TXT/?uri=CELEX%3A32012R1215" TargetMode="External"/><Relationship Id="rId1052" Type="http://schemas.openxmlformats.org/officeDocument/2006/relationships/hyperlink" Target="https://zakon.rada.gov.ua/laws/show/2747-15" TargetMode="External"/><Relationship Id="rId2103" Type="http://schemas.openxmlformats.org/officeDocument/2006/relationships/hyperlink" Target="https://zakon.rada.gov.ua/laws/show/995_212" TargetMode="External"/><Relationship Id="rId2310" Type="http://schemas.openxmlformats.org/officeDocument/2006/relationships/hyperlink" Target="https://ips.ligazakon.net/document/SO4867" TargetMode="External"/><Relationship Id="rId1869" Type="http://schemas.openxmlformats.org/officeDocument/2006/relationships/hyperlink" Target="https://pravo.ua/voiennyi-stan-iak-obstavyna-iaka-vplyvaie-na-kvalifikatsiiu-zlochynu-ta-pryznachennia-pokarannia/" TargetMode="External"/><Relationship Id="rId1729" Type="http://schemas.openxmlformats.org/officeDocument/2006/relationships/hyperlink" Target="https://zakon.rada.gov.ua/laws/show/161-14" TargetMode="External"/><Relationship Id="rId1936" Type="http://schemas.openxmlformats.org/officeDocument/2006/relationships/hyperlink" Target="https://doi.org/10.32782/tnv-pub.2024.2.7" TargetMode="External"/><Relationship Id="rId5" Type="http://schemas.openxmlformats.org/officeDocument/2006/relationships/webSettings" Target="webSettings.xml"/><Relationship Id="rId237" Type="http://schemas.openxmlformats.org/officeDocument/2006/relationships/hyperlink" Target="https://mvs.gov.ua/news/kilkist-zaiav-pro-vcinennia-domasnyogo-nasilstva-zbilsujetsia-katerina-pavlicenko" TargetMode="External"/><Relationship Id="rId791" Type="http://schemas.openxmlformats.org/officeDocument/2006/relationships/hyperlink" Target="https://surl.li/ffwecn" TargetMode="External"/><Relationship Id="rId889" Type="http://schemas.openxmlformats.org/officeDocument/2006/relationships/hyperlink" Target="https://ccu.gov.ua/novyna/galyna-yurovska-pro-klyuchovi-aspekty-gendernoyi-rivnosti-yak-fundamentalnoyi-konstytuciynoyi" TargetMode="External"/><Relationship Id="rId1074" Type="http://schemas.openxmlformats.org/officeDocument/2006/relationships/hyperlink" Target="https://ccu.gov.ua/storinka-knygy/43911-prezumpciya-nevynuvatosti" TargetMode="External"/><Relationship Id="rId2472" Type="http://schemas.openxmlformats.org/officeDocument/2006/relationships/hyperlink" Target="https://www.kmu.gov.ua/news/malyi-ta-serednii-biznes-otrymaie-bilshe-hrantiv-na-vidnovlennia-ta-rozvytok-vid-usaid" TargetMode="External"/><Relationship Id="rId444" Type="http://schemas.openxmlformats.org/officeDocument/2006/relationships/hyperlink" Target="https://zakon.rada.gov.ua/laws/show/995_015" TargetMode="External"/><Relationship Id="rId651" Type="http://schemas.openxmlformats.org/officeDocument/2006/relationships/hyperlink" Target="https://zakon.rada.gov.ua/laws/show/995_199" TargetMode="External"/><Relationship Id="rId749" Type="http://schemas.openxmlformats.org/officeDocument/2006/relationships/hyperlink" Target="https://case-ukraine.com.ua/news/otsinka-kryminalizatsiyi-tovarnoyi-kontrabandy-v-ukrayini-v-konteksti-yevrointegratsiyi/" TargetMode="External"/><Relationship Id="rId1281" Type="http://schemas.openxmlformats.org/officeDocument/2006/relationships/hyperlink" Target="https://www.rada.gov.ua/documents/reports_list/other_reports/218412.html" TargetMode="External"/><Relationship Id="rId1379" Type="http://schemas.openxmlformats.org/officeDocument/2006/relationships/hyperlink" Target="https://archive.liga.science/index.php/universum/article/view/1378/1390" TargetMode="External"/><Relationship Id="rId1586" Type="http://schemas.openxmlformats.org/officeDocument/2006/relationships/hyperlink" Target="https://zakon.rada.gov.ua/laws/show/3659-12" TargetMode="External"/><Relationship Id="rId2125" Type="http://schemas.openxmlformats.org/officeDocument/2006/relationships/hyperlink" Target="http://nbuv.gov.ua/UJRN/urv_2021_15_4_13" TargetMode="External"/><Relationship Id="rId304" Type="http://schemas.openxmlformats.org/officeDocument/2006/relationships/hyperlink" Target="https://zakon.rada.gov.ua/laws/show/995_021" TargetMode="External"/><Relationship Id="rId511" Type="http://schemas.openxmlformats.org/officeDocument/2006/relationships/hyperlink" Target="https://ihl-databases.icrc.org/en" TargetMode="External"/><Relationship Id="rId609" Type="http://schemas.openxmlformats.org/officeDocument/2006/relationships/hyperlink" Target="https://redress.org/wp-content/uploads/2024/05/2024-04-30-CONSULAR-comparative-CA-briefing_final.pdf" TargetMode="External"/><Relationship Id="rId956" Type="http://schemas.openxmlformats.org/officeDocument/2006/relationships/hyperlink" Target="https://zakon.rada.gov.ua/laws/show/2755-17" TargetMode="External"/><Relationship Id="rId1141" Type="http://schemas.openxmlformats.org/officeDocument/2006/relationships/hyperlink" Target="https://dduvs.edu.ua/wp-content/uploads/files/Structure/library/student/lectures/0930/2.1.pdf" TargetMode="External"/><Relationship Id="rId1239" Type="http://schemas.openxmlformats.org/officeDocument/2006/relationships/hyperlink" Target="https://nabu.gov.ua/site/assets/files/47003/tekhnichna_otcinka_nabu_2023_ua-1.pdf" TargetMode="External"/><Relationship Id="rId1793" Type="http://schemas.openxmlformats.org/officeDocument/2006/relationships/hyperlink" Target="https://knpartners.com.ua/po-vsej-strogosti-voennogo-vremeni-goroda-geroi-stali-mishenju-maroderov/" TargetMode="External"/><Relationship Id="rId2637" Type="http://schemas.openxmlformats.org/officeDocument/2006/relationships/hyperlink" Target="https://stopfake.org/" TargetMode="External"/><Relationship Id="rId85" Type="http://schemas.openxmlformats.org/officeDocument/2006/relationships/hyperlink" Target="http://zakon5.rada.gov.ua/laws/show/254%D0%BA/96-%D0%B2%D1%80" TargetMode="External"/><Relationship Id="rId816" Type="http://schemas.openxmlformats.org/officeDocument/2006/relationships/hyperlink" Target="https://zakon.rada.gov.ua/laws/show/176/95-%D0%B2%D1%80" TargetMode="External"/><Relationship Id="rId1001" Type="http://schemas.openxmlformats.org/officeDocument/2006/relationships/hyperlink" Target="https://zakon.rada.gov.ua/laws/show/156-2022-%D0%BF" TargetMode="External"/><Relationship Id="rId1446" Type="http://schemas.openxmlformats.org/officeDocument/2006/relationships/hyperlink" Target="https://reyestr.court.gov.ua/Review/117801892" TargetMode="External"/><Relationship Id="rId1653" Type="http://schemas.openxmlformats.org/officeDocument/2006/relationships/hyperlink" Target="https://www.rada.gov.ua/news/razom/251942.html" TargetMode="External"/><Relationship Id="rId1860" Type="http://schemas.openxmlformats.org/officeDocument/2006/relationships/hyperlink" Target="https://zakon.rada.gov.ua/go/80731-10" TargetMode="External"/><Relationship Id="rId1306" Type="http://schemas.openxmlformats.org/officeDocument/2006/relationships/hyperlink" Target="http://newukrainianlaw.in.ua/index.php/journal/article/download/572/520" TargetMode="External"/><Relationship Id="rId1513" Type="http://schemas.openxmlformats.org/officeDocument/2006/relationships/hyperlink" Target="https://just-dnipro.gov.ua/?view=viewnews&amp;page_id=5510" TargetMode="External"/><Relationship Id="rId1720" Type="http://schemas.openxmlformats.org/officeDocument/2006/relationships/hyperlink" Target="https://protocol.ua/ua/vs_ktss_amoralnist/" TargetMode="External"/><Relationship Id="rId1958" Type="http://schemas.openxmlformats.org/officeDocument/2006/relationships/hyperlink" Target="https://zakon.rada.gov.ua/laws/show/995_154" TargetMode="External"/><Relationship Id="rId12" Type="http://schemas.openxmlformats.org/officeDocument/2006/relationships/hyperlink" Target="https://er.dduvs.edu.ua/handle/123456789/14943?mode=full" TargetMode="External"/><Relationship Id="rId1818" Type="http://schemas.openxmlformats.org/officeDocument/2006/relationships/hyperlink" Target="https://zakon.rada.gov.ua/" TargetMode="External"/><Relationship Id="rId161" Type="http://schemas.openxmlformats.org/officeDocument/2006/relationships/hyperlink" Target="https://zakon.rada.gov.ua/laws/show/2341-14" TargetMode="External"/><Relationship Id="rId399" Type="http://schemas.openxmlformats.org/officeDocument/2006/relationships/hyperlink" Target="https://www.icj-cij.org/sites/default/files/case-related/18/12321.pdf" TargetMode="External"/><Relationship Id="rId2287" Type="http://schemas.openxmlformats.org/officeDocument/2006/relationships/hyperlink" Target="https://zakon.rada.gov.ua/laws/show/4651-17" TargetMode="External"/><Relationship Id="rId2494" Type="http://schemas.openxmlformats.org/officeDocument/2006/relationships/hyperlink" Target="https://strategi.com.ua/shtuchnyy-intelekt-dlia-biznesu/" TargetMode="External"/><Relationship Id="rId259" Type="http://schemas.openxmlformats.org/officeDocument/2006/relationships/hyperlink" Target="https://zakon.rada.gov.ua/laws/show/254%D0%BA/96-%D0%B2%D1%80" TargetMode="External"/><Relationship Id="rId466" Type="http://schemas.openxmlformats.org/officeDocument/2006/relationships/hyperlink" Target="https://zakon.rada.gov.ua/laws/show/2709-15" TargetMode="External"/><Relationship Id="rId673" Type="http://schemas.openxmlformats.org/officeDocument/2006/relationships/hyperlink" Target="https://www.ohchr.org/sites/default/files/Documents/Issues/IDPersons/GPUkrainian.pdf" TargetMode="External"/><Relationship Id="rId880" Type="http://schemas.openxmlformats.org/officeDocument/2006/relationships/hyperlink" Target="https://zakon.rada.gov.ua/laws/show/2136-19" TargetMode="External"/><Relationship Id="rId1096" Type="http://schemas.openxmlformats.org/officeDocument/2006/relationships/hyperlink" Target="https://hcj.gov.ua/news/vitchyznyana-sudova-systema-pracyuye-u-krytychnyh-umovah-cherez-znachnyy-deficyt-suddivskyh" TargetMode="External"/><Relationship Id="rId2147" Type="http://schemas.openxmlformats.org/officeDocument/2006/relationships/hyperlink" Target="https://zakon.rada.gov.ua/laws/show/995_004" TargetMode="External"/><Relationship Id="rId2561" Type="http://schemas.openxmlformats.org/officeDocument/2006/relationships/hyperlink" Target="https://zakon.rada.gov.ua/laws/show/1089-20" TargetMode="External"/><Relationship Id="rId119" Type="http://schemas.openxmlformats.org/officeDocument/2006/relationships/hyperlink" Target="https://journals.visnyk-onu.od.ua/index.php/law/article/view/3" TargetMode="External"/><Relationship Id="rId326" Type="http://schemas.openxmlformats.org/officeDocument/2006/relationships/hyperlink" Target="https://surl.li/fnlaqk" TargetMode="External"/><Relationship Id="rId533" Type="http://schemas.openxmlformats.org/officeDocument/2006/relationships/hyperlink" Target="https://www.osce.org/files/f/documents/f/a/515868.pdf" TargetMode="External"/><Relationship Id="rId978" Type="http://schemas.openxmlformats.org/officeDocument/2006/relationships/hyperlink" Target="https://nads.gov.ua/news/rozrobleno-onlain-kurs-zahalna-administratyvna-protsedura-iakyi-poiasniuie-osnovni-polozhennia-zakonu-ukrainy-pro-administratyvnu-protseduru" TargetMode="External"/><Relationship Id="rId1163" Type="http://schemas.openxmlformats.org/officeDocument/2006/relationships/hyperlink" Target="http://zakon.rada.gov.ua/laws/show/5076-17" TargetMode="External"/><Relationship Id="rId1370" Type="http://schemas.openxmlformats.org/officeDocument/2006/relationships/hyperlink" Target="https://zakon.rada.gov.ua/laws/show/1618-15" TargetMode="External"/><Relationship Id="rId2007" Type="http://schemas.openxmlformats.org/officeDocument/2006/relationships/hyperlink" Target="https://jurkniga.ua/contents/ukhilennya-vid-prizovu-za-mobilizatsiieyu_1.pdf?srsltid=AfmBOopd-mTzL2GHLdoFPMsoZRVGtctVqY0RMOQ-IqU9cKrvRRiWUR9S" TargetMode="External"/><Relationship Id="rId2214" Type="http://schemas.openxmlformats.org/officeDocument/2006/relationships/hyperlink" Target="https://zakon.rada.gov.ua/laws/card/995_004" TargetMode="External"/><Relationship Id="rId740" Type="http://schemas.openxmlformats.org/officeDocument/2006/relationships/hyperlink" Target="https://zakon.rada.gov.ua/laws/show/468/2024" TargetMode="External"/><Relationship Id="rId838" Type="http://schemas.openxmlformats.org/officeDocument/2006/relationships/hyperlink" Target="https://zakon.rada.gov.ua/laws/show/4495-17" TargetMode="External"/><Relationship Id="rId1023" Type="http://schemas.openxmlformats.org/officeDocument/2006/relationships/hyperlink" Target="https://jurliga.ligazakon.net/news/211140_osoblivost-zdysnennya-sudochinstva-v-umovakh-vonnogo-stanu" TargetMode="External"/><Relationship Id="rId1468" Type="http://schemas.openxmlformats.org/officeDocument/2006/relationships/hyperlink" Target="https://hdl.handle.net/11300/26554" TargetMode="External"/><Relationship Id="rId1675" Type="http://schemas.openxmlformats.org/officeDocument/2006/relationships/hyperlink" Target="file:///C:/Users/Booger/Downloads/163-%D0%A2%D0%B5%D0%BA%D1%81%D1%82%20%D1%81%D1%82%D0%B0%D1%82%D1%82%D1%96-297-2-10-20221125.pdf" TargetMode="External"/><Relationship Id="rId1882" Type="http://schemas.openxmlformats.org/officeDocument/2006/relationships/hyperlink" Target="https://law-in-war.org/pamyatka-vidpovidalnist-gromadyan-ukrayiny" TargetMode="External"/><Relationship Id="rId2421" Type="http://schemas.openxmlformats.org/officeDocument/2006/relationships/hyperlink" Target="https://developer.android.com/docs" TargetMode="External"/><Relationship Id="rId2519" Type="http://schemas.openxmlformats.org/officeDocument/2006/relationships/hyperlink" Target="https://esu.com.ua/article-55505" TargetMode="External"/><Relationship Id="rId600" Type="http://schemas.openxmlformats.org/officeDocument/2006/relationships/hyperlink" Target="https://www.thetimes.com/uk/law/article/efforts-to-criminalise-ecocide-gather-pace-7hsgxv02b" TargetMode="External"/><Relationship Id="rId1230" Type="http://schemas.openxmlformats.org/officeDocument/2006/relationships/hyperlink" Target="https://ti-ukraine.org/en/news/obstacles-in-the-work-of-the-anti-corruption-ecosystem" TargetMode="External"/><Relationship Id="rId1328" Type="http://schemas.openxmlformats.org/officeDocument/2006/relationships/hyperlink" Target="https://zakon.rada.gov.ua/laws/show/752-14" TargetMode="External"/><Relationship Id="rId1535" Type="http://schemas.openxmlformats.org/officeDocument/2006/relationships/hyperlink" Target="https://yur-gazeta.com/dumka-eksperta/antimonopolna-reforma-v-diyi-perevagi-ta-nedoliki-zakonoproektu--5431.html" TargetMode="External"/><Relationship Id="rId905" Type="http://schemas.openxmlformats.org/officeDocument/2006/relationships/hyperlink" Target="https://zakon.rada.gov.ua/laws/show/5203-17" TargetMode="External"/><Relationship Id="rId1742" Type="http://schemas.openxmlformats.org/officeDocument/2006/relationships/hyperlink" Target="https://mkrada.gov.ua/news/16624.html?fbclid=IwAR12mLY0B_UngthBopCToT7CkbqwIs1ImTyvABcNER9_aL0mGxQiLTL7GQ" TargetMode="External"/><Relationship Id="rId34" Type="http://schemas.openxmlformats.org/officeDocument/2006/relationships/hyperlink" Target="https://zakon.rada.gov.ua/laws/show/254%D0%BA/96-%D0%B2%D1%80" TargetMode="External"/><Relationship Id="rId1602" Type="http://schemas.openxmlformats.org/officeDocument/2006/relationships/hyperlink" Target="https://zakon.rada.gov.ua/laws/show/1402-19" TargetMode="External"/><Relationship Id="rId183" Type="http://schemas.openxmlformats.org/officeDocument/2006/relationships/hyperlink" Target="https://surl.li/dendyp" TargetMode="External"/><Relationship Id="rId390" Type="http://schemas.openxmlformats.org/officeDocument/2006/relationships/hyperlink" Target="https://mahala.com.ua/viyna/yaki-zakony-ta-zvychayi-viyny-porushuye-rosiya-v-ukrayini-shcho-take-zhenevska-konventsiya-ta-chy-budut-pokarani-zlochyntsi/" TargetMode="External"/><Relationship Id="rId1907" Type="http://schemas.openxmlformats.org/officeDocument/2006/relationships/hyperlink" Target="https://zakon.rada.gov.ua/laws/show/4651-17" TargetMode="External"/><Relationship Id="rId2071" Type="http://schemas.openxmlformats.org/officeDocument/2006/relationships/hyperlink" Target="https://zakon.rada.gov.ua/laws/show/254&#1082;/96-&#1074;&#1088;" TargetMode="External"/><Relationship Id="rId250" Type="http://schemas.openxmlformats.org/officeDocument/2006/relationships/hyperlink" Target="https://zakon.rada.gov.ua/laws/show/2449-19" TargetMode="External"/><Relationship Id="rId488" Type="http://schemas.openxmlformats.org/officeDocument/2006/relationships/hyperlink" Target="https://ombudsman.gov.ua" TargetMode="External"/><Relationship Id="rId695" Type="http://schemas.openxmlformats.org/officeDocument/2006/relationships/hyperlink" Target="https://eur-lex.europa.eu/eli/reg/2012/1215/2015-02-26" TargetMode="External"/><Relationship Id="rId2169" Type="http://schemas.openxmlformats.org/officeDocument/2006/relationships/hyperlink" Target="https://shorturl.at/wBfDt" TargetMode="External"/><Relationship Id="rId2583" Type="http://schemas.openxmlformats.org/officeDocument/2006/relationships/hyperlink" Target="https://www.researchgate.net/publication/263498490_Identity_Management_in_Cyberspace" TargetMode="External"/><Relationship Id="rId110" Type="http://schemas.openxmlformats.org/officeDocument/2006/relationships/hyperlink" Target="http://www.apdp.in.ua/v36/37.pdf" TargetMode="External"/><Relationship Id="rId348" Type="http://schemas.openxmlformats.org/officeDocument/2006/relationships/hyperlink" Target="https://help.unhcr.org/bulgaria/uk/%d0%bf%d1%80%d0%b0%d0%b2%d0%b0-%d1%82%d0%b0-%d0%be%d0%b1%d0%be%d0%b2%d1%8f%d0%b7%d0%ba%d0%b8/%d0%bf%d1%80%d0%b0%d0%b2%d0%b0-%d1%82%d0%b0-%d0%be%d0%b1%d0%be%d0%b2%d1%8f%d0%b7%d0%ba%d0%b8-%d0%b1%d1%96%d0%b6%d0%b5%d0%bd%d1%86%d1%96%d0%b2-%d0%be%d1%81%d1%96%d0%b1-%d1%8f%d0%ba%d1%96-%d0%be/" TargetMode="External"/><Relationship Id="rId555" Type="http://schemas.openxmlformats.org/officeDocument/2006/relationships/hyperlink" Target="URL:https://www.unep.org" TargetMode="External"/><Relationship Id="rId762" Type="http://schemas.openxmlformats.org/officeDocument/2006/relationships/hyperlink" Target="https://zakon.rada.gov.ua/laws/show/247-2022-%D0%BF" TargetMode="External"/><Relationship Id="rId1185" Type="http://schemas.openxmlformats.org/officeDocument/2006/relationships/hyperlink" Target="http://www.apnl.dnu.in.ua/3_2023/3.pdf" TargetMode="External"/><Relationship Id="rId1392" Type="http://schemas.openxmlformats.org/officeDocument/2006/relationships/hyperlink" Target="https://zakon.rada.gov.ua/laws/show/1618-15" TargetMode="External"/><Relationship Id="rId2029" Type="http://schemas.openxmlformats.org/officeDocument/2006/relationships/hyperlink" Target="https://khrife-journal.org/index.php/journal/article/download/502/548" TargetMode="External"/><Relationship Id="rId2236" Type="http://schemas.openxmlformats.org/officeDocument/2006/relationships/hyperlink" Target="C://Users/intel/Downloads/411-%D0%A2%D0%B5%D0%BA%D1%81%D1%82%20%D1%81%D1%82%D0%B0%D1%82%D1%82%D1%96-834-1-10-20171019%20(1).pdf" TargetMode="External"/><Relationship Id="rId2443" Type="http://schemas.openxmlformats.org/officeDocument/2006/relationships/hyperlink" Target="https://ieeexplore.ieee.org/document/8229528" TargetMode="External"/><Relationship Id="rId208" Type="http://schemas.openxmlformats.org/officeDocument/2006/relationships/hyperlink" Target="https://hudoc.echr.coe.int/eng" TargetMode="External"/><Relationship Id="rId415" Type="http://schemas.openxmlformats.org/officeDocument/2006/relationships/hyperlink" Target="https://www.un.org/en/about-us/un-charter/chapter-14" TargetMode="External"/><Relationship Id="rId622" Type="http://schemas.openxmlformats.org/officeDocument/2006/relationships/hyperlink" Target="https://dspace.onu.edu.ua/handle/123456789/15666" TargetMode="External"/><Relationship Id="rId1045" Type="http://schemas.openxmlformats.org/officeDocument/2006/relationships/hyperlink" Target="https://zakon.rada.gov.ua/laws/show/974_252" TargetMode="External"/><Relationship Id="rId1252" Type="http://schemas.openxmlformats.org/officeDocument/2006/relationships/hyperlink" Target="https://www.reuters.com/world/europe/ukraine-anti-graft-police-probing-dozens-defence-related-cases-2024-02-21/" TargetMode="External"/><Relationship Id="rId1697" Type="http://schemas.openxmlformats.org/officeDocument/2006/relationships/hyperlink" Target="https://zakon.rada.gov.ua/laws/show/322-08" TargetMode="External"/><Relationship Id="rId2303" Type="http://schemas.openxmlformats.org/officeDocument/2006/relationships/hyperlink" Target="https://zakon.rada.gov.ua/laws/show/4651-17" TargetMode="External"/><Relationship Id="rId2510" Type="http://schemas.openxmlformats.org/officeDocument/2006/relationships/hyperlink" Target="http://journals.openedition.org/semen/1970" TargetMode="External"/><Relationship Id="rId927" Type="http://schemas.openxmlformats.org/officeDocument/2006/relationships/hyperlink" Target="https://zakon.rada.gov.ua/laws/show/z1239-22" TargetMode="External"/><Relationship Id="rId1112" Type="http://schemas.openxmlformats.org/officeDocument/2006/relationships/hyperlink" Target="https://zakon.rada.gov.ua/laws/show/5076-17" TargetMode="External"/><Relationship Id="rId1557" Type="http://schemas.openxmlformats.org/officeDocument/2006/relationships/hyperlink" Target="https://hcj.gov.ua/massmedia/v-sudah-likviduvaly-naradchi-kimnaty-yak-ce-vplyne-na-rozglyad-sprav" TargetMode="External"/><Relationship Id="rId1764" Type="http://schemas.openxmlformats.org/officeDocument/2006/relationships/hyperlink" Target="https://zakon.rada.gov.ua/laws/show/4033-20" TargetMode="External"/><Relationship Id="rId1971" Type="http://schemas.openxmlformats.org/officeDocument/2006/relationships/hyperlink" Target="https://www.icty.org/en/press/blaskic-case-defence-objection-admission-hearsay-rejected" TargetMode="External"/><Relationship Id="rId2608" Type="http://schemas.openxmlformats.org/officeDocument/2006/relationships/hyperlink" Target="https://doi.org/10.32782/2308-1988/2023-47-22" TargetMode="External"/><Relationship Id="rId56" Type="http://schemas.openxmlformats.org/officeDocument/2006/relationships/hyperlink" Target="http://dspace.nbuv.gov.ua/bitstream/handle/123456789/63924/59-Tarahonich.pdf" TargetMode="External"/><Relationship Id="rId1417" Type="http://schemas.openxmlformats.org/officeDocument/2006/relationships/hyperlink" Target="http://nbuv.gov.ua/UJRN/Pis_2018_1(2)__16" TargetMode="External"/><Relationship Id="rId1624" Type="http://schemas.openxmlformats.org/officeDocument/2006/relationships/hyperlink" Target="https://zakon.rada.gov.ua/laws/show/2343-12" TargetMode="External"/><Relationship Id="rId1831" Type="http://schemas.openxmlformats.org/officeDocument/2006/relationships/hyperlink" Target="https://patrolpolice.gov.ua/statystyka/" TargetMode="External"/><Relationship Id="rId1929" Type="http://schemas.openxmlformats.org/officeDocument/2006/relationships/hyperlink" Target="https://zakon.rada.gov.ua/laws/show/2135-12" TargetMode="External"/><Relationship Id="rId2093" Type="http://schemas.openxmlformats.org/officeDocument/2006/relationships/hyperlink" Target="https://zakon.rada.gov.ua/laws/show/1129-15" TargetMode="External"/><Relationship Id="rId2398" Type="http://schemas.openxmlformats.org/officeDocument/2006/relationships/hyperlink" Target="https://keycrm.app/" TargetMode="External"/><Relationship Id="rId272" Type="http://schemas.openxmlformats.org/officeDocument/2006/relationships/hyperlink" Target="https://zakon.rada.gov.ua/laws/show/995_01" TargetMode="External"/><Relationship Id="rId577" Type="http://schemas.openxmlformats.org/officeDocument/2006/relationships/hyperlink" Target="https://ips.ligazakon.net/document/MU51K02U" TargetMode="External"/><Relationship Id="rId2160" Type="http://schemas.openxmlformats.org/officeDocument/2006/relationships/hyperlink" Target="https://zakon.rada.gov.ua/laws/show/4651-17" TargetMode="External"/><Relationship Id="rId2258" Type="http://schemas.openxmlformats.org/officeDocument/2006/relationships/hyperlink" Target="https://zakon.rada.gov.ua/laws/show/4651-17" TargetMode="External"/><Relationship Id="rId132" Type="http://schemas.openxmlformats.org/officeDocument/2006/relationships/hyperlink" Target="https://ukrtextbook.com/istoriya-derzhavi-i-prava-ukra%D1%97ni-muzichenko-p-p/istoriya-derzhavi-i-prava-ukra%D1%97ni-muzichenko-p-p-grodskij-zamkovij-sud.html" TargetMode="External"/><Relationship Id="rId784" Type="http://schemas.openxmlformats.org/officeDocument/2006/relationships/hyperlink" Target="https://surl.li/psmtwv" TargetMode="External"/><Relationship Id="rId991" Type="http://schemas.openxmlformats.org/officeDocument/2006/relationships/hyperlink" Target="http://www.pdu-journal.kpu.zp.ua/archive/4_2020/38.pdf" TargetMode="External"/><Relationship Id="rId1067" Type="http://schemas.openxmlformats.org/officeDocument/2006/relationships/hyperlink" Target="https://nabu.gov.ua/" TargetMode="External"/><Relationship Id="rId2020" Type="http://schemas.openxmlformats.org/officeDocument/2006/relationships/hyperlink" Target="https://zakon.rada.gov.ua/laws/show/53/2019" TargetMode="External"/><Relationship Id="rId2465" Type="http://schemas.openxmlformats.org/officeDocument/2006/relationships/hyperlink" Target="http://perspectives.pp.ua/index.php/nauka/article/view/21134/21108" TargetMode="External"/><Relationship Id="rId437" Type="http://schemas.openxmlformats.org/officeDocument/2006/relationships/hyperlink" Target="http://lsej.org.ua/9_2022/140.pdf" TargetMode="External"/><Relationship Id="rId644" Type="http://schemas.openxmlformats.org/officeDocument/2006/relationships/hyperlink" Target="https://migrant.biz.ua/dovidkova/emigracia/shliub-za-kordonom.html" TargetMode="External"/><Relationship Id="rId851" Type="http://schemas.openxmlformats.org/officeDocument/2006/relationships/hyperlink" Target="https://doi.org/10.26642/pbo-2022-2(52)-3-9" TargetMode="External"/><Relationship Id="rId1274" Type="http://schemas.openxmlformats.org/officeDocument/2006/relationships/hyperlink" Target="https://pravo.org.ua/wp-content/uploads/2022/10/Matrix_2022_ukr.pdf" TargetMode="External"/><Relationship Id="rId1481" Type="http://schemas.openxmlformats.org/officeDocument/2006/relationships/hyperlink" Target="https://zakon.rada.gov.ua/laws/show/1618-15" TargetMode="External"/><Relationship Id="rId1579" Type="http://schemas.openxmlformats.org/officeDocument/2006/relationships/hyperlink" Target="https://zakon.rada.gov.ua/laws/show/2074-20" TargetMode="External"/><Relationship Id="rId2118" Type="http://schemas.openxmlformats.org/officeDocument/2006/relationships/hyperlink" Target="https://www.coe.int/en/web/prison/" TargetMode="External"/><Relationship Id="rId2325" Type="http://schemas.openxmlformats.org/officeDocument/2006/relationships/hyperlink" Target="https://researchoutreach.org/articles/justice-served-discrimination-in-algorithmic-risk-assessment/" TargetMode="External"/><Relationship Id="rId2532" Type="http://schemas.openxmlformats.org/officeDocument/2006/relationships/hyperlink" Target="https://zakon.rada.gov.ua/laws/show/254%D0%BA/96-%D0%B2%D1%80" TargetMode="External"/><Relationship Id="rId504" Type="http://schemas.openxmlformats.org/officeDocument/2006/relationships/hyperlink" Target="https://doi.org/10.53036/2024-2(116)-3" TargetMode="External"/><Relationship Id="rId711" Type="http://schemas.openxmlformats.org/officeDocument/2006/relationships/hyperlink" Target="https://dspace.uzhnu.edu.ua/jspui/bitstream/lib/64152/1/282302-&#1058;&#1077;&#1082;&#1089;&#1090;%20&#1089;&#1090;&#1072;&#1090;&#1090;&#1110;-650664-1-10-20230618.pdf" TargetMode="External"/><Relationship Id="rId949" Type="http://schemas.openxmlformats.org/officeDocument/2006/relationships/hyperlink" Target="https://zakon.rada.gov.ua/laws/show/2755-17" TargetMode="External"/><Relationship Id="rId1134" Type="http://schemas.openxmlformats.org/officeDocument/2006/relationships/hyperlink" Target="https://vkslaw.com.ua/index.php/journal/article/view/351/323" TargetMode="External"/><Relationship Id="rId1341" Type="http://schemas.openxmlformats.org/officeDocument/2006/relationships/hyperlink" Target="https://dspace.onua.edu.ua/server/api/core/bitstreams/9c0cf426-91c6-4f43-b49b-8edd3b8fa14e/content" TargetMode="External"/><Relationship Id="rId1786" Type="http://schemas.openxmlformats.org/officeDocument/2006/relationships/hyperlink" Target="https://www.poderjudicial.es/" TargetMode="External"/><Relationship Id="rId1993" Type="http://schemas.openxmlformats.org/officeDocument/2006/relationships/hyperlink" Target="https://zakon.rada.gov.ua/laws/show/146-2025-&#1087;" TargetMode="External"/><Relationship Id="rId78" Type="http://schemas.openxmlformats.org/officeDocument/2006/relationships/hyperlink" Target="https://ena.lpnu.ua:8443/server/api/core/bitstreams/f2f1d969-6279-4367-9a64-1bd57d80d572/content" TargetMode="External"/><Relationship Id="rId809" Type="http://schemas.openxmlformats.org/officeDocument/2006/relationships/hyperlink" Target="https://zakon.rada.gov.ua/laws/show/3926-20" TargetMode="External"/><Relationship Id="rId1201" Type="http://schemas.openxmlformats.org/officeDocument/2006/relationships/hyperlink" Target="https://zakon.rada.gov.ua/laws/show/1402-19" TargetMode="External"/><Relationship Id="rId1439" Type="http://schemas.openxmlformats.org/officeDocument/2006/relationships/hyperlink" Target="https://dspace.onua.edu.ua/server/api/core/bitstreams/1a426a87-aacc-44f5-99d6-fef7b9dd6164/content" TargetMode="External"/><Relationship Id="rId1646" Type="http://schemas.openxmlformats.org/officeDocument/2006/relationships/hyperlink" Target="https://zakon.rada.gov.ua/laws/show/1217-20" TargetMode="External"/><Relationship Id="rId1853" Type="http://schemas.openxmlformats.org/officeDocument/2006/relationships/hyperlink" Target="https://ips.ligazakon.net/document/view/t233342?ed=2023_08_23&amp;an=24" TargetMode="External"/><Relationship Id="rId1506" Type="http://schemas.openxmlformats.org/officeDocument/2006/relationships/hyperlink" Target="http://dspace.univd.edu.ua/xmlui/handle/123456789/16667" TargetMode="External"/><Relationship Id="rId1713" Type="http://schemas.openxmlformats.org/officeDocument/2006/relationships/hyperlink" Target="https://zakon.rada.gov.ua/laws/show/254&#1082;/96-&#1074;&#1088;%23Text" TargetMode="External"/><Relationship Id="rId1920" Type="http://schemas.openxmlformats.org/officeDocument/2006/relationships/hyperlink" Target="https://dduvs.edu.ua/wp-content/uploads/files/Structure/library/student/lectures/2020/kpd/l2.pdf" TargetMode="External"/><Relationship Id="rId294" Type="http://schemas.openxmlformats.org/officeDocument/2006/relationships/hyperlink" Target="https://zakon.rada.gov.ua/laws/show/995_011" TargetMode="External"/><Relationship Id="rId2182" Type="http://schemas.openxmlformats.org/officeDocument/2006/relationships/hyperlink" Target="https://zakon.rada.gov.ua/laws/show/995_199" TargetMode="External"/><Relationship Id="rId154" Type="http://schemas.openxmlformats.org/officeDocument/2006/relationships/hyperlink" Target="https://zakon.rada.gov.ua/laws/show/3773-17" TargetMode="External"/><Relationship Id="rId361" Type="http://schemas.openxmlformats.org/officeDocument/2006/relationships/hyperlink" Target="https://hudoc.echr.coe.int/eng%23%7b%22itemid%22:%5b%22001-57721%22%5d%7d" TargetMode="External"/><Relationship Id="rId599" Type="http://schemas.openxmlformats.org/officeDocument/2006/relationships/hyperlink" Target="https://www.stopecocide.earth/2024/belgium-becomes-first-european-country-to-recognise-ecocide-as-international-level-crime" TargetMode="External"/><Relationship Id="rId2042" Type="http://schemas.openxmlformats.org/officeDocument/2006/relationships/hyperlink" Target="https://zakon.rada.gov.ua/laws/show/3909-20" TargetMode="External"/><Relationship Id="rId2487" Type="http://schemas.openxmlformats.org/officeDocument/2006/relationships/hyperlink" Target="http://dspace.wunu.edu.ua/" TargetMode="External"/><Relationship Id="rId459" Type="http://schemas.openxmlformats.org/officeDocument/2006/relationships/hyperlink" Target="https://www.refworld.org/legal/reglegislation/council/2011/en/84781" TargetMode="External"/><Relationship Id="rId666" Type="http://schemas.openxmlformats.org/officeDocument/2006/relationships/hyperlink" Target="https://zakon.rada.gov.ua/laws/show/995_004" TargetMode="External"/><Relationship Id="rId873" Type="http://schemas.openxmlformats.org/officeDocument/2006/relationships/hyperlink" Target="https://www.riigiteataja.ee/en/eli/504022020003/consolide" TargetMode="External"/><Relationship Id="rId1089" Type="http://schemas.openxmlformats.org/officeDocument/2006/relationships/hyperlink" Target="https://doi.org/10.32782/klj/2023.2.32" TargetMode="External"/><Relationship Id="rId1296" Type="http://schemas.openxmlformats.org/officeDocument/2006/relationships/hyperlink" Target="URL:%20https://supreme.court.gov.ua/userfiles/R_2000_21_2000_10_25.pdf%20" TargetMode="External"/><Relationship Id="rId2554" Type="http://schemas.openxmlformats.org/officeDocument/2006/relationships/hyperlink" Target="https://www.nato.int/cps/uk/natohq/index.htm" TargetMode="External"/><Relationship Id="rId221" Type="http://schemas.openxmlformats.org/officeDocument/2006/relationships/hyperlink" Target="https://vue.gov.ua/%D0%97%D0%BB%D0%BE%D1%87%D0%B8%D0%BD%D0%B8_%D0%BF%D1%80%D0%BE%D1%82%D0%B8_%D0%BB%D1%8E%D0%B4%D1%8F%D0%BD%D0%BE%D1%81%D1%82%D1%96" TargetMode="External"/><Relationship Id="rId319" Type="http://schemas.openxmlformats.org/officeDocument/2006/relationships/hyperlink" Target="https://zakon.rada.gov.ua/laws/show/2411-17" TargetMode="External"/><Relationship Id="rId526" Type="http://schemas.openxmlformats.org/officeDocument/2006/relationships/hyperlink" Target="https://zakon.rada.gov.ua/laws/show/1264-12" TargetMode="External"/><Relationship Id="rId1156" Type="http://schemas.openxmlformats.org/officeDocument/2006/relationships/hyperlink" Target="https://www.vkksu.gov.ua/news/vkksu-ogolosyla-pro-pochatok-naymasshtabnishogo-doboru-na-posady-suddiv-miscevyh-sudiv?utm_source" TargetMode="External"/><Relationship Id="rId1363" Type="http://schemas.openxmlformats.org/officeDocument/2006/relationships/hyperlink" Target="https://dspace.onua.edu.ua/server/api/core/bitstreams/d1dd9541-0f13-4230-b0eb-16ae28829bcd/content" TargetMode="External"/><Relationship Id="rId2207" Type="http://schemas.openxmlformats.org/officeDocument/2006/relationships/hyperlink" Target="https://www.legislation.gov.uk/ukpga/2016/25/introduction" TargetMode="External"/><Relationship Id="rId733" Type="http://schemas.openxmlformats.org/officeDocument/2006/relationships/hyperlink" Target="https://zakon.rada.gov.ua/laws/show/4495-17" TargetMode="External"/><Relationship Id="rId940" Type="http://schemas.openxmlformats.org/officeDocument/2006/relationships/hyperlink" Target="https://studies.in.ua/admin-pravo-shpora/2904-ponyattya-ta-osoblivost-admnstrativnogo-primusu.html" TargetMode="External"/><Relationship Id="rId1016" Type="http://schemas.openxmlformats.org/officeDocument/2006/relationships/hyperlink" Target="https://rm.coe.int/guidelines-on-electronic-evidence-and-explanatory-memorandum/1680968ab5" TargetMode="External"/><Relationship Id="rId1570" Type="http://schemas.openxmlformats.org/officeDocument/2006/relationships/hyperlink" Target="https://popov-yuyu.narod.ru/Popov-Misce-prava-gospodarskogo-vidannya.pdf" TargetMode="External"/><Relationship Id="rId1668" Type="http://schemas.openxmlformats.org/officeDocument/2006/relationships/hyperlink" Target="https://search.app/HH5hcuJysDVjj1rE9" TargetMode="External"/><Relationship Id="rId1875" Type="http://schemas.openxmlformats.org/officeDocument/2006/relationships/hyperlink" Target="https://ips.ligazakon.net/document/GI07076A?an=11" TargetMode="External"/><Relationship Id="rId2414" Type="http://schemas.openxmlformats.org/officeDocument/2006/relationships/image" Target="media/image6.png"/><Relationship Id="rId2621" Type="http://schemas.openxmlformats.org/officeDocument/2006/relationships/hyperlink" Target="https://ippi.org.ua/sites/default/files/5_28.pdf" TargetMode="External"/><Relationship Id="rId800" Type="http://schemas.openxmlformats.org/officeDocument/2006/relationships/hyperlink" Target="https://treaties.un.org/pages/viewdetails.aspx?src=treaty&amp;mtdsg_no=xxi-2&amp;chapter=21" TargetMode="External"/><Relationship Id="rId1223" Type="http://schemas.openxmlformats.org/officeDocument/2006/relationships/hyperlink" Target="https://ti-ukraine.org/en/news/obstacles-in-the-work-of-the-anti-corruption-ecosystem" TargetMode="External"/><Relationship Id="rId1430" Type="http://schemas.openxmlformats.org/officeDocument/2006/relationships/hyperlink" Target="https://zakononline.com.ua/court-decisions/show/87857857" TargetMode="External"/><Relationship Id="rId1528" Type="http://schemas.openxmlformats.org/officeDocument/2006/relationships/hyperlink" Target="https://zakon.rada.gov.ua/laws/show/2269-19" TargetMode="External"/><Relationship Id="rId1735" Type="http://schemas.openxmlformats.org/officeDocument/2006/relationships/hyperlink" Target="https://zakon.rada.gov.ua/laws/card/2768-14" TargetMode="External"/><Relationship Id="rId1942" Type="http://schemas.openxmlformats.org/officeDocument/2006/relationships/hyperlink" Target="https://dspace.onua.edu.ua/server/api/core/bitstreams/cb74582e-f14f-4149-a8fd-4267fe810f81/content" TargetMode="External"/><Relationship Id="rId27" Type="http://schemas.openxmlformats.org/officeDocument/2006/relationships/hyperlink" Target="https://www.irs.gov/pub/irs-drop/n-14-21.pdf" TargetMode="External"/><Relationship Id="rId1802" Type="http://schemas.openxmlformats.org/officeDocument/2006/relationships/hyperlink" Target="https://zakon.rada.gov.ua/laws/show/2341-14" TargetMode="External"/><Relationship Id="rId176" Type="http://schemas.openxmlformats.org/officeDocument/2006/relationships/hyperlink" Target="https://dspace.onua.edu.ua/server/api/core/bitstreams/e88d244e-e222-4550-a63c-3de8915e6992/content" TargetMode="External"/><Relationship Id="rId383" Type="http://schemas.openxmlformats.org/officeDocument/2006/relationships/hyperlink" Target="https://zakon.rada.gov.ua/laws/show/998_158" TargetMode="External"/><Relationship Id="rId590" Type="http://schemas.openxmlformats.org/officeDocument/2006/relationships/hyperlink" Target="https://dspace.nlu.edu.ua/bitstream/123456789/11857/1/Dubrova.pdf" TargetMode="External"/><Relationship Id="rId2064" Type="http://schemas.openxmlformats.org/officeDocument/2006/relationships/hyperlink" Target="file:///C:\Users\User\Downloads\Telegram%20Desktop\%20https:\www.who.int\europe\publications\m\item\factsheet---prison-health--mental-health-disorders-(2022%252" TargetMode="External"/><Relationship Id="rId2271" Type="http://schemas.openxmlformats.org/officeDocument/2006/relationships/hyperlink" Target="https://zakon.rada.gov.ua/laws/show/974_a12" TargetMode="External"/><Relationship Id="rId243" Type="http://schemas.openxmlformats.org/officeDocument/2006/relationships/hyperlink" Target="https://www.gesetze-im-internet.de/verschg/BJNR011860939.html" TargetMode="External"/><Relationship Id="rId450" Type="http://schemas.openxmlformats.org/officeDocument/2006/relationships/hyperlink" Target="https://zakon.rada.gov.ua/laws/show/434-2022-%D1%80" TargetMode="External"/><Relationship Id="rId688" Type="http://schemas.openxmlformats.org/officeDocument/2006/relationships/hyperlink" Target="chrome-extension://efaidnbmnnnibpcajpcglclefindmkaj/https:/trumpwhitehouse.archives.gov/wp-content/uploads/2019/06/WPS_Strategy_10_October2019.pdf" TargetMode="External"/><Relationship Id="rId895" Type="http://schemas.openxmlformats.org/officeDocument/2006/relationships/hyperlink" Target="https://www.radiosvoboda.org/a/zaborona-rosiya-partiyi-viyna-okupatsiya/31909540.html" TargetMode="External"/><Relationship Id="rId1080" Type="http://schemas.openxmlformats.org/officeDocument/2006/relationships/hyperlink" Target="https://zakon.rada.gov.ua/laws/show/1402-19" TargetMode="External"/><Relationship Id="rId2131" Type="http://schemas.openxmlformats.org/officeDocument/2006/relationships/hyperlink" Target="http://eprints.zu.edu.ua/3799/1/Vip_48_13.pdf" TargetMode="External"/><Relationship Id="rId2576" Type="http://schemas.openxmlformats.org/officeDocument/2006/relationships/hyperlink" Target="https://doi.org/10.35433/history.112070" TargetMode="External"/><Relationship Id="rId103" Type="http://schemas.openxmlformats.org/officeDocument/2006/relationships/hyperlink" Target="https://a-z-gender.net/ua/intersekcijnij-feminizm.html" TargetMode="External"/><Relationship Id="rId310" Type="http://schemas.openxmlformats.org/officeDocument/2006/relationships/hyperlink" Target="https://upload.wikimedia.org/wikipedia/commons/d/d5/N1529189.pdf" TargetMode="External"/><Relationship Id="rId548" Type="http://schemas.openxmlformats.org/officeDocument/2006/relationships/hyperlink" Target="https://press.princeton.edu/books/paperback/9780691136714/does-peacekeeping-work" TargetMode="External"/><Relationship Id="rId755" Type="http://schemas.openxmlformats.org/officeDocument/2006/relationships/hyperlink" Target="https://zakon.rada.gov.ua/laws/show/v005p710-23" TargetMode="External"/><Relationship Id="rId962" Type="http://schemas.openxmlformats.org/officeDocument/2006/relationships/hyperlink" Target="https://doi.org/10.32782/2524-0374/2020-8/84" TargetMode="External"/><Relationship Id="rId1178" Type="http://schemas.openxmlformats.org/officeDocument/2006/relationships/hyperlink" Target="https://www.president.gov.ua/documents/642022-41397" TargetMode="External"/><Relationship Id="rId1385" Type="http://schemas.openxmlformats.org/officeDocument/2006/relationships/hyperlink" Target="about:blank" TargetMode="External"/><Relationship Id="rId1592" Type="http://schemas.openxmlformats.org/officeDocument/2006/relationships/hyperlink" Target="https://zakon.rada.gov.ua/laws/show/922-19" TargetMode="External"/><Relationship Id="rId2229" Type="http://schemas.openxmlformats.org/officeDocument/2006/relationships/hyperlink" Target="http://repositsc.nuczu.edu.ua/bitstream/123456789/15683/1/&#1052;&#1086;&#1085;&#1086;_XX.pdf" TargetMode="External"/><Relationship Id="rId2436" Type="http://schemas.openxmlformats.org/officeDocument/2006/relationships/hyperlink" Target="https://doi.org/10.1007/s11276-023-03303-x" TargetMode="External"/><Relationship Id="rId91" Type="http://schemas.openxmlformats.org/officeDocument/2006/relationships/hyperlink" Target="https://www.podstawyekonomii.pl/metodologia/files/lakatos1977.pdf." TargetMode="External"/><Relationship Id="rId408" Type="http://schemas.openxmlformats.org/officeDocument/2006/relationships/hyperlink" Target="https://www.icrc.org/en/download/file/1402/ihl-and-ihrl.pdf" TargetMode="External"/><Relationship Id="rId615" Type="http://schemas.openxmlformats.org/officeDocument/2006/relationships/hyperlink" Target="https://dictionary.cambridge.org/dictionary/english-ukrainian/convention" TargetMode="External"/><Relationship Id="rId822" Type="http://schemas.openxmlformats.org/officeDocument/2006/relationships/hyperlink" Target="https://www.pinsentmasonscom/out-law/guides/horwood-v-land-of-leather" TargetMode="External"/><Relationship Id="rId1038" Type="http://schemas.openxmlformats.org/officeDocument/2006/relationships/hyperlink" Target="https://verdictum.ligazakon.net/document/88952415" TargetMode="External"/><Relationship Id="rId1245" Type="http://schemas.openxmlformats.org/officeDocument/2006/relationships/hyperlink" Target="https://www.reuters.com/world/europe/ukraine-anti-graft-police-probing-dozens-defence-related-cases-2024-02-21/" TargetMode="External"/><Relationship Id="rId1452" Type="http://schemas.openxmlformats.org/officeDocument/2006/relationships/hyperlink" Target="http://reyestr.court.gov.ua/Review/79962161" TargetMode="External"/><Relationship Id="rId1897" Type="http://schemas.openxmlformats.org/officeDocument/2006/relationships/hyperlink" Target="https://opendatabot.ua/analytics/business-mass-address" TargetMode="External"/><Relationship Id="rId2503" Type="http://schemas.openxmlformats.org/officeDocument/2006/relationships/hyperlink" Target="http://dspace.wunu.edu.ua/bitstream/316497/48105/3/&#1084;&#1086;&#1085;&#1086;&#1075;&#1088;&#1072;&#1092;&#1110;&#1103;_&#1030;&#1085;&#1085;&#1086;&#1074;&#1072;&#1094;&#1110;&#1081;&#1085;&#1110;%20&#1090;&#1077;&#1093;&#1085;&#1086;&#1083;&#1086;&#1075;&#1110;&#1111;%20&#1085;&#1072;&#1074;&#1095;&#1072;&#1085;&#1085;&#1103;%20&#1074;%20&#1091;&#1084;&#1086;&#1074;&#1072;&#1093;%20&#1084;&#1086;&#1076;&#1077;&#1088;&#1085;&#1110;&#1079;&#1072;&#1094;&#1110;&#1111;%20&#1089;&#1091;&#1095;&#1072;&#1089;&#1085;&#1086;&#1111;%20&#1086;&#1089;&#1074;&#1110;&#1090;&#1080;.pdf" TargetMode="External"/><Relationship Id="rId1105" Type="http://schemas.openxmlformats.org/officeDocument/2006/relationships/hyperlink" Target="https://dejure.foundation/analiz-stratehii-sudovoi-reformy-vid-ofisu-prezydenta" TargetMode="External"/><Relationship Id="rId1312" Type="http://schemas.openxmlformats.org/officeDocument/2006/relationships/hyperlink" Target="https://zakon.rada.gov.ua/laws/show/z0282-12" TargetMode="External"/><Relationship Id="rId1757" Type="http://schemas.openxmlformats.org/officeDocument/2006/relationships/hyperlink" Target="https://zakon.rada.gov.ua/laws/show/2341-14" TargetMode="External"/><Relationship Id="rId1964" Type="http://schemas.openxmlformats.org/officeDocument/2006/relationships/hyperlink" Target="https://reports.nabu.gov.ua/archive/nabu-report-first-half-2023/investigations-1-2023" TargetMode="External"/><Relationship Id="rId49" Type="http://schemas.openxmlformats.org/officeDocument/2006/relationships/hyperlink" Target="https://visnyk-juris-uzhnu.com/wp-content/uploads/2022/05/22.pdf" TargetMode="External"/><Relationship Id="rId1617" Type="http://schemas.openxmlformats.org/officeDocument/2006/relationships/hyperlink" Target="https://zakon.rada.gov.ua/laws/show/1909-20" TargetMode="External"/><Relationship Id="rId1824" Type="http://schemas.openxmlformats.org/officeDocument/2006/relationships/hyperlink" Target="https://surl.li/upvdgb" TargetMode="External"/><Relationship Id="rId198" Type="http://schemas.openxmlformats.org/officeDocument/2006/relationships/hyperlink" Target="https://lb.ua/blog/rchr/663582_sanktsii_kultura_yak_ukraina.html" TargetMode="External"/><Relationship Id="rId2086" Type="http://schemas.openxmlformats.org/officeDocument/2006/relationships/hyperlink" Target="http://www.mif-ua.com/archive/article/34307" TargetMode="External"/><Relationship Id="rId2293" Type="http://schemas.openxmlformats.org/officeDocument/2006/relationships/hyperlink" Target="https://opendatabot.ua/court/105139018-66e50ad207b49ba4f405a219daa85330?utm_source=chatgpt.com" TargetMode="External"/><Relationship Id="rId2598" Type="http://schemas.openxmlformats.org/officeDocument/2006/relationships/hyperlink" Target="https://brave.ua/" TargetMode="External"/><Relationship Id="rId265" Type="http://schemas.openxmlformats.org/officeDocument/2006/relationships/hyperlink" Target="https://netherlands.mfa.gov.ua/spivrobitnictvo/spivrobitnictvo-z-mizhnarodnimi-organizaciyami/mizhnarodnij-sud-oon" TargetMode="External"/><Relationship Id="rId472" Type="http://schemas.openxmlformats.org/officeDocument/2006/relationships/hyperlink" Target="https://www.ohchr.org/en/instruments-mechanisms/instruments/optional-protocol-convention-rights-child-communications" TargetMode="External"/><Relationship Id="rId2153" Type="http://schemas.openxmlformats.org/officeDocument/2006/relationships/hyperlink" Target="https://court.opendatabot.ua/cause/742%2F318%2F18" TargetMode="External"/><Relationship Id="rId125" Type="http://schemas.openxmlformats.org/officeDocument/2006/relationships/hyperlink" Target="https://www.legalposition.umsf.in.ua/archive/2018/1/7.pdf" TargetMode="External"/><Relationship Id="rId332" Type="http://schemas.openxmlformats.org/officeDocument/2006/relationships/hyperlink" Target="https://commission.europa.eu/strategy-and-policy/priorities-2019-2024/" TargetMode="External"/><Relationship Id="rId777" Type="http://schemas.openxmlformats.org/officeDocument/2006/relationships/hyperlink" Target="https://sdgs.un.org/goals" TargetMode="External"/><Relationship Id="rId984" Type="http://schemas.openxmlformats.org/officeDocument/2006/relationships/hyperlink" Target="https://zakon.rada.gov.ua/rada/show/v0346590-15" TargetMode="External"/><Relationship Id="rId2013" Type="http://schemas.openxmlformats.org/officeDocument/2006/relationships/hyperlink" Target="https://zakon.rada.gov.ua/laws/show/4651-17" TargetMode="External"/><Relationship Id="rId2220" Type="http://schemas.openxmlformats.org/officeDocument/2006/relationships/hyperlink" Target="https://reyestr.court.gov.ua/Review/89621215" TargetMode="External"/><Relationship Id="rId2458" Type="http://schemas.openxmlformats.org/officeDocument/2006/relationships/hyperlink" Target="https://doi.org/10.28925/2663-4023.2024.26.626" TargetMode="External"/><Relationship Id="rId637" Type="http://schemas.openxmlformats.org/officeDocument/2006/relationships/hyperlink" Target="https://zakon.rada.gov.ua/laws/show/995_588" TargetMode="External"/><Relationship Id="rId844" Type="http://schemas.openxmlformats.org/officeDocument/2006/relationships/hyperlink" Target="https://tax.gov.ua/nove-pro-podatki--novini-/396461.html" TargetMode="External"/><Relationship Id="rId1267" Type="http://schemas.openxmlformats.org/officeDocument/2006/relationships/hyperlink" Target="https://zakon.rada.gov.ua/laws/show/1402-19" TargetMode="External"/><Relationship Id="rId1474" Type="http://schemas.openxmlformats.org/officeDocument/2006/relationships/hyperlink" Target="https://zakon.rada.gov.ua/go/389-19" TargetMode="External"/><Relationship Id="rId1681" Type="http://schemas.openxmlformats.org/officeDocument/2006/relationships/hyperlink" Target="https://zakon.rada.gov.ua/laws/show/254&#1082;/96-&#1074;&#1088;%23Text" TargetMode="External"/><Relationship Id="rId2318" Type="http://schemas.openxmlformats.org/officeDocument/2006/relationships/hyperlink" Target="https://zakon.rada.gov.ua/laws/show/974_a61" TargetMode="External"/><Relationship Id="rId2525" Type="http://schemas.openxmlformats.org/officeDocument/2006/relationships/hyperlink" Target="https://dspace.onua.edu.ua/server/api/core/bitstreams/7e5e0646-b224-43d8-b0e7-2a3cbe18cccc/content" TargetMode="External"/><Relationship Id="rId704" Type="http://schemas.openxmlformats.org/officeDocument/2006/relationships/hyperlink" Target="https://zakon.rada.gov.ua/laws/show/2709-15" TargetMode="External"/><Relationship Id="rId911" Type="http://schemas.openxmlformats.org/officeDocument/2006/relationships/hyperlink" Target="https://zakon.rada.gov.ua/laws/show/2456-17" TargetMode="External"/><Relationship Id="rId1127" Type="http://schemas.openxmlformats.org/officeDocument/2006/relationships/hyperlink" Target="https://zakon.rada.gov.ua/laws/show/4651-17" TargetMode="External"/><Relationship Id="rId1334" Type="http://schemas.openxmlformats.org/officeDocument/2006/relationships/hyperlink" Target="https://www.wto.org/english/docs_e/legal_e/27-trips_04_e.htm" TargetMode="External"/><Relationship Id="rId1541" Type="http://schemas.openxmlformats.org/officeDocument/2006/relationships/hyperlink" Target="https://hudoc.echr.coe.int/eng?fbclid=IwY2xjawJ0bFFleHRuA2FlbQIxMQABHnsN6PRslimwbO6M4ChXZWotD4okg-L_Ck_Rs2lhAcQBap-a7nT7QFtz-Qay_aem_HSX7CTmObJbGXU5F_Qetsg&amp;sfnsn=mo" TargetMode="External"/><Relationship Id="rId1779" Type="http://schemas.openxmlformats.org/officeDocument/2006/relationships/hyperlink" Target="https://zakon.rada.gov.ua/laws/show/2341-14" TargetMode="External"/><Relationship Id="rId1986" Type="http://schemas.openxmlformats.org/officeDocument/2006/relationships/hyperlink" Target="https://khrife-journal.org/index.php/journal/article/download/499/545" TargetMode="External"/><Relationship Id="rId40" Type="http://schemas.openxmlformats.org/officeDocument/2006/relationships/hyperlink" Target="https://doi.org/10.32782/tlr2021" TargetMode="External"/><Relationship Id="rId1401" Type="http://schemas.openxmlformats.org/officeDocument/2006/relationships/hyperlink" Target="https://hudoc.echr.coe.int/eng" TargetMode="External"/><Relationship Id="rId1639" Type="http://schemas.openxmlformats.org/officeDocument/2006/relationships/hyperlink" Target="https://zakon.rada.gov.ua/laws/show/2465-20" TargetMode="External"/><Relationship Id="rId1846" Type="http://schemas.openxmlformats.org/officeDocument/2006/relationships/hyperlink" Target="https://ips.ligazakon.net/document/view/t233342?ed=2023_08_23&amp;an=15" TargetMode="External"/><Relationship Id="rId1706" Type="http://schemas.openxmlformats.org/officeDocument/2006/relationships/hyperlink" Target="https://www.helsinki.org.ua/articles/trudovyy-dohovir-chi-nakaz-iaki-dokumenty-potribno-uklasty-pry-dystantsiyniy-roboti/" TargetMode="External"/><Relationship Id="rId1913" Type="http://schemas.openxmlformats.org/officeDocument/2006/relationships/hyperlink" Target="https://doi.org/10.24144/2788-6018.2023.06.102" TargetMode="External"/><Relationship Id="rId287" Type="http://schemas.openxmlformats.org/officeDocument/2006/relationships/hyperlink" Target="https://zakon.rada.gov.ua/laws/show/v002p710-07" TargetMode="External"/><Relationship Id="rId494" Type="http://schemas.openxmlformats.org/officeDocument/2006/relationships/hyperlink" Target="https://unesdoc.unesco.org/ark:/48223/pf0000381137" TargetMode="External"/><Relationship Id="rId2175" Type="http://schemas.openxmlformats.org/officeDocument/2006/relationships/hyperlink" Target="https://dspace.uzhnu.edu.ua/jspui/bitstream/lib/68859/1/303746-&#1058;&#1077;&#1082;&#1089;&#1090;%20&#1089;&#1090;&#1072;&#1090;&#1090;&#1110;-701727-1-10-20240510.pdf" TargetMode="External"/><Relationship Id="rId147" Type="http://schemas.openxmlformats.org/officeDocument/2006/relationships/hyperlink" Target="https://zakon.rada.gov.ua/laws/show/2947-14" TargetMode="External"/><Relationship Id="rId354" Type="http://schemas.openxmlformats.org/officeDocument/2006/relationships/hyperlink" Target="https://zakon.rada.gov.ua/laws/show/995_011" TargetMode="External"/><Relationship Id="rId799" Type="http://schemas.openxmlformats.org/officeDocument/2006/relationships/hyperlink" Target="https://customs.gov.ua/" TargetMode="External"/><Relationship Id="rId1191" Type="http://schemas.openxmlformats.org/officeDocument/2006/relationships/hyperlink" Target="https://legalaid.gov.ua/novyny/zdijsneno-finansuvannya-oplaty-poslug-ta-vidshkoduvannya-vytrat-advokativ-yaki-nadayut-bvpd/" TargetMode="External"/><Relationship Id="rId2035" Type="http://schemas.openxmlformats.org/officeDocument/2006/relationships/hyperlink" Target="https://nij.ojp.gov/library/publications/review-research-accuracy-polygraph-testing" TargetMode="External"/><Relationship Id="rId561" Type="http://schemas.openxmlformats.org/officeDocument/2006/relationships/hyperlink" Target="https://content.e-bookshelf.de/media/reading/L-8572386-e698942655.pdf" TargetMode="External"/><Relationship Id="rId659" Type="http://schemas.openxmlformats.org/officeDocument/2006/relationships/hyperlink" Target="https://nlu.edu.ua/wp-content/uploads/2021/05/msc_4_copy.pdf" TargetMode="External"/><Relationship Id="rId866" Type="http://schemas.openxmlformats.org/officeDocument/2006/relationships/hyperlink" Target="https://zakon.rada.gov.ua/laws/show/254%D0%BA/96-%D0%B2%D1%80" TargetMode="External"/><Relationship Id="rId1289" Type="http://schemas.openxmlformats.org/officeDocument/2006/relationships/hyperlink" Target="https://research.rada.gov.ua/uploads/documents/33052.pdf" TargetMode="External"/><Relationship Id="rId1496" Type="http://schemas.openxmlformats.org/officeDocument/2006/relationships/hyperlink" Target="https://doi.org/10.32839/2304-5809/2023-2-114-17(%D0%B4%D0%B0%D1%82%D0%B0" TargetMode="External"/><Relationship Id="rId2242" Type="http://schemas.openxmlformats.org/officeDocument/2006/relationships/hyperlink" Target="https://reyestr.court.gov.ua/Review/122000087" TargetMode="External"/><Relationship Id="rId2547" Type="http://schemas.openxmlformats.org/officeDocument/2006/relationships/hyperlink" Target="http://app.nuoua.od.ua/archive/69_2022/2.pdf" TargetMode="External"/><Relationship Id="rId214" Type="http://schemas.openxmlformats.org/officeDocument/2006/relationships/hyperlink" Target="https://zakon.rada.gov.ua/laws/show/995_588" TargetMode="External"/><Relationship Id="rId421" Type="http://schemas.openxmlformats.org/officeDocument/2006/relationships/hyperlink" Target="https://uncitral.un.org/en/texts/arbitration/conventions/foreign_arbitral_awards" TargetMode="External"/><Relationship Id="rId519" Type="http://schemas.openxmlformats.org/officeDocument/2006/relationships/hyperlink" Target="https://www.researchgate.net/publication/323175169_Inter-American_Human_Rights_System_Impact_Beyond_Compliance" TargetMode="External"/><Relationship Id="rId1051" Type="http://schemas.openxmlformats.org/officeDocument/2006/relationships/hyperlink" Target="https://zakon.rada.gov.ua/laws/show/254%D0%BA/96-%D0%B2%D1%80" TargetMode="External"/><Relationship Id="rId1149" Type="http://schemas.openxmlformats.org/officeDocument/2006/relationships/hyperlink" Target="http://journal-app.uzhnu.edu.ua/article/view/316974/307479" TargetMode="External"/><Relationship Id="rId1356" Type="http://schemas.openxmlformats.org/officeDocument/2006/relationships/hyperlink" Target="https://dspace.onua.edu.ua/server/api/core/bitstreams/43ff3382-cfae-4227-bf0f-c6c20cc74bc0/content" TargetMode="External"/><Relationship Id="rId2102" Type="http://schemas.openxmlformats.org/officeDocument/2006/relationships/hyperlink" Target="https://doi.org/10.32840/pdu.2019.4.16" TargetMode="External"/><Relationship Id="rId726" Type="http://schemas.openxmlformats.org/officeDocument/2006/relationships/hyperlink" Target="https://iilj.org/wp-content/uploads/2016/08/de-Burca-The-European-Court-of-Justice-and-the-International-Legal-Order-after-Kadi-2009.pdf" TargetMode="External"/><Relationship Id="rId933" Type="http://schemas.openxmlformats.org/officeDocument/2006/relationships/hyperlink" Target="https://tax.gov.ua/" TargetMode="External"/><Relationship Id="rId1009" Type="http://schemas.openxmlformats.org/officeDocument/2006/relationships/hyperlink" Target="https://zakon.rada.gov.ua/laws/show/1402-19" TargetMode="External"/><Relationship Id="rId1563" Type="http://schemas.openxmlformats.org/officeDocument/2006/relationships/hyperlink" Target="https://supreme.court.gov.ua/userfiles/media/new_folder_for_uploads/supreme/nauk_visn/Info_dovidka_prakt_VS_cesia_fakt.pdf" TargetMode="External"/><Relationship Id="rId1770" Type="http://schemas.openxmlformats.org/officeDocument/2006/relationships/hyperlink" Target="https://zakon.rada.gov.ua/laws/show/222-18" TargetMode="External"/><Relationship Id="rId1868" Type="http://schemas.openxmlformats.org/officeDocument/2006/relationships/hyperlink" Target="https://protocol.ua/ua/kradigka_pid_chas_viyni_korotkiy_oglyad_sudovoi_praktiki/" TargetMode="External"/><Relationship Id="rId2407" Type="http://schemas.openxmlformats.org/officeDocument/2006/relationships/hyperlink" Target="https://getbootstrap.com/" TargetMode="External"/><Relationship Id="rId2614" Type="http://schemas.openxmlformats.org/officeDocument/2006/relationships/hyperlink" Target="https://slovnyk.me/dict/vts/%D0%BF%D1%80%D0%BE%D0%BF%D0%B0%D0%B3%D0%B0%D0%BD%D0%B4%D0%B0" TargetMode="External"/><Relationship Id="rId62" Type="http://schemas.openxmlformats.org/officeDocument/2006/relationships/hyperlink" Target="http://www.lsej.org.ua/9_2024/8.pdf" TargetMode="External"/><Relationship Id="rId1216" Type="http://schemas.openxmlformats.org/officeDocument/2006/relationships/hyperlink" Target="https://zakon.rada.gov.ua/laws/show/1698-18" TargetMode="External"/><Relationship Id="rId1423" Type="http://schemas.openxmlformats.org/officeDocument/2006/relationships/hyperlink" Target="https://zakon.rada.gov.ua/go/1618-15" TargetMode="External"/><Relationship Id="rId1630" Type="http://schemas.openxmlformats.org/officeDocument/2006/relationships/hyperlink" Target="https://lcci.com.ua/biznes-pid-chas-vijny/" TargetMode="External"/><Relationship Id="rId1728" Type="http://schemas.openxmlformats.org/officeDocument/2006/relationships/hyperlink" Target="https://zakon.rada.gov.ua/laws/show/2768-14" TargetMode="External"/><Relationship Id="rId1935" Type="http://schemas.openxmlformats.org/officeDocument/2006/relationships/hyperlink" Target="https://doi.org/10.32782/chc.v050.2023.3" TargetMode="External"/><Relationship Id="rId2197" Type="http://schemas.openxmlformats.org/officeDocument/2006/relationships/hyperlink" Target="https://zakon.rada.gov.ua/laws/show/2341-14" TargetMode="External"/><Relationship Id="rId169" Type="http://schemas.openxmlformats.org/officeDocument/2006/relationships/hyperlink" Target="https://zakon.rada.gov.ua/laws/show/984_008-16" TargetMode="External"/><Relationship Id="rId376" Type="http://schemas.openxmlformats.org/officeDocument/2006/relationships/hyperlink" Target="https://doi.org/10.37750/2616-6798.2024.1(48).300828" TargetMode="External"/><Relationship Id="rId583" Type="http://schemas.openxmlformats.org/officeDocument/2006/relationships/hyperlink" Target="https://zakon.rada.gov.ua/laws/show/1706-18" TargetMode="External"/><Relationship Id="rId790" Type="http://schemas.openxmlformats.org/officeDocument/2006/relationships/hyperlink" Target="https://reyestr.court.gov.ua/Review/96424729" TargetMode="External"/><Relationship Id="rId2057" Type="http://schemas.openxmlformats.org/officeDocument/2006/relationships/hyperlink" Target="https://elar.navs.edu.ua/server/api/core/bitstreams/3bbb612e-51f5-4555-9aae-7ff3f0faf198/content" TargetMode="External"/><Relationship Id="rId2264" Type="http://schemas.openxmlformats.org/officeDocument/2006/relationships/hyperlink" Target="https://zakon.rada.gov.ua/laws/show/4651-17" TargetMode="External"/><Relationship Id="rId2471" Type="http://schemas.openxmlformats.org/officeDocument/2006/relationships/hyperlink" Target="https://hub.kyivstar.ua/articles/yak-tehnologiyi-vplivali-na-ukrayinskij-biznes-u-2024-roczi-rezultati-doslidzhennya-kyivstar-business-hub" TargetMode="External"/><Relationship Id="rId4" Type="http://schemas.openxmlformats.org/officeDocument/2006/relationships/settings" Target="settings.xml"/><Relationship Id="rId236" Type="http://schemas.openxmlformats.org/officeDocument/2006/relationships/hyperlink" Target="https://www.who.int/news/item/09-03-2021-devastatingly-pervasive-1-in-3-women-globally-experience-violence" TargetMode="External"/><Relationship Id="rId443" Type="http://schemas.openxmlformats.org/officeDocument/2006/relationships/hyperlink" Target="https://zakon.rada.gov.ua/laws/show/995_004" TargetMode="External"/><Relationship Id="rId650" Type="http://schemas.openxmlformats.org/officeDocument/2006/relationships/hyperlink" Target="https://zakon.rada.gov.ua/laws/show/995_153" TargetMode="External"/><Relationship Id="rId888" Type="http://schemas.openxmlformats.org/officeDocument/2006/relationships/hyperlink" Target="https://ccu.gov.ua/sites/default/files/yurovska_g._zhdankina_l._lyudska_gidnist_i_genderna_rivnist-konstytuciyni_metamorfozy_0.pdf" TargetMode="External"/><Relationship Id="rId1073" Type="http://schemas.openxmlformats.org/officeDocument/2006/relationships/hyperlink" Target="https://zakon.rada.gov.ua/laws/show/4651-17" TargetMode="External"/><Relationship Id="rId1280" Type="http://schemas.openxmlformats.org/officeDocument/2006/relationships/hyperlink" Target="https://zakon.rada.gov.ua/laws/show/1789-12" TargetMode="External"/><Relationship Id="rId2124" Type="http://schemas.openxmlformats.org/officeDocument/2006/relationships/hyperlink" Target="https://elar.navs.edu.ua/server/api/core/bitstreams/fbfd111a-2460-45ef-b311-3105843288ef/content" TargetMode="External"/><Relationship Id="rId2569" Type="http://schemas.openxmlformats.org/officeDocument/2006/relationships/hyperlink" Target="https://lexinform.com.ua/dumka-eksperta/evolyutsiya-ukrayinskogo-pravosuddya-sudovyj-pretsedent-realnist-konstytutsijnist-nadiyi-ta-majbutnye/" TargetMode="External"/><Relationship Id="rId303" Type="http://schemas.openxmlformats.org/officeDocument/2006/relationships/hyperlink" Target="http://hrlibrary.umn.edu/instree/loas2005.html?msource=UNWDEC19001&amp;tr=y&amp;auid=3337655" TargetMode="External"/><Relationship Id="rId748" Type="http://schemas.openxmlformats.org/officeDocument/2006/relationships/hyperlink" Target="https://reyestr.court.gov.ua/Review/120270135" TargetMode="External"/><Relationship Id="rId955" Type="http://schemas.openxmlformats.org/officeDocument/2006/relationships/hyperlink" Target="https://zakon.rada.gov.ua/laws/show/2747-20" TargetMode="External"/><Relationship Id="rId1140" Type="http://schemas.openxmlformats.org/officeDocument/2006/relationships/hyperlink" Target="https://dspace.onua.edu.ua/server/api/core/bitstreams/e46bbed9-78df-427f-a33c-97071f21373a/content" TargetMode="External"/><Relationship Id="rId1378" Type="http://schemas.openxmlformats.org/officeDocument/2006/relationships/hyperlink" Target="https://dspace.onua.edu.ua/server/api/core/bitstreams" TargetMode="External"/><Relationship Id="rId1585" Type="http://schemas.openxmlformats.org/officeDocument/2006/relationships/hyperlink" Target="https://reyestr.court.gov.ua/Review/87838961" TargetMode="External"/><Relationship Id="rId1792" Type="http://schemas.openxmlformats.org/officeDocument/2006/relationships/hyperlink" Target="https://zakon.rada.gov.ua/laws/show/2341-14" TargetMode="External"/><Relationship Id="rId2429" Type="http://schemas.openxmlformats.org/officeDocument/2006/relationships/hyperlink" Target="https://www.aptori.com/blog/javascript-security-a-secure-coding-checklist-for-developers" TargetMode="External"/><Relationship Id="rId2636" Type="http://schemas.openxmlformats.org/officeDocument/2006/relationships/hyperlink" Target="https://cje.org.ua/ethics-codex/" TargetMode="External"/><Relationship Id="rId84" Type="http://schemas.openxmlformats.org/officeDocument/2006/relationships/hyperlink" Target="https://dspace.uzhnu.edu.ua/jspui/bitstream/lib/44798/1/%d0%9a%d0%90%d0%a2%d0%95%d0%93%d0%9e%d0%A0%d0%86%d0%af.pdf" TargetMode="External"/><Relationship Id="rId510" Type="http://schemas.openxmlformats.org/officeDocument/2006/relationships/hyperlink" Target="https://www.unicef.org/protection/children-in-armed-conflict" TargetMode="External"/><Relationship Id="rId608" Type="http://schemas.openxmlformats.org/officeDocument/2006/relationships/hyperlink" Target="https://ljd.dnuvs.ukr.education/index.php/ljd/article/view/190/172" TargetMode="External"/><Relationship Id="rId815" Type="http://schemas.openxmlformats.org/officeDocument/2006/relationships/hyperlink" Target="http://lib.kart.edu.ua/bitstream/123456789/2222/1/%D0%9D%D0%B0%D0%B2%D1%87%D0%B0%D0%BB%D1%8C%D0%BD%D0%B8%D0%B9%20%D0%BF%D0%BE%D1%81%D1%96%D0%B1%D0%BD%D0%B8%D0%BA.pdf" TargetMode="External"/><Relationship Id="rId1238" Type="http://schemas.openxmlformats.org/officeDocument/2006/relationships/hyperlink" Target="https://nabu.gov.ua/site/assets/files/47003/tekhnichna_otcinka_nabu_2023_ua-1.pdf" TargetMode="External"/><Relationship Id="rId1445" Type="http://schemas.openxmlformats.org/officeDocument/2006/relationships/hyperlink" Target="https://sotskyi.com/%D0%B5%D1%81%D1%82%D0%BE%D0%BF%D0%B5%D0%BB%D1%8C" TargetMode="External"/><Relationship Id="rId1652" Type="http://schemas.openxmlformats.org/officeDocument/2006/relationships/hyperlink" Target="https://zakon.rada.gov.ua/laws/show/220-2023-%D0%BF" TargetMode="External"/><Relationship Id="rId1000" Type="http://schemas.openxmlformats.org/officeDocument/2006/relationships/hyperlink" Target="https://protocol.ua/ru/pro_likarski_zasobi_stattya_124/" TargetMode="External"/><Relationship Id="rId1305" Type="http://schemas.openxmlformats.org/officeDocument/2006/relationships/hyperlink" Target="https://dspace.megu.edu.ua:8443/jspui/handle/123456789/4431" TargetMode="External"/><Relationship Id="rId1957" Type="http://schemas.openxmlformats.org/officeDocument/2006/relationships/hyperlink" Target="https://dspace.lvduvs.edu.ua/bitstream/1234567890/4151/1/26_11_2021.pdf" TargetMode="External"/><Relationship Id="rId1512" Type="http://schemas.openxmlformats.org/officeDocument/2006/relationships/hyperlink" Target="https://dspace.onua.edu.ua/server/api/core/bitstreams/adf466d6-6c5c-4656-a155-daa1c012c638/content" TargetMode="External"/><Relationship Id="rId1817" Type="http://schemas.openxmlformats.org/officeDocument/2006/relationships/hyperlink" Target="https://doi.org/10.32782/pyuv.v3.2023.12" TargetMode="External"/><Relationship Id="rId11" Type="http://schemas.openxmlformats.org/officeDocument/2006/relationships/hyperlink" Target="https://conf.ztu.edu.ua/wp-content/uploads/2022/11/233.pdf" TargetMode="External"/><Relationship Id="rId398" Type="http://schemas.openxmlformats.org/officeDocument/2006/relationships/hyperlink" Target="https://treaties.un.org/doc/Publication/UNTS/LON/Volume%20179/v179.pdf" TargetMode="External"/><Relationship Id="rId2079" Type="http://schemas.openxmlformats.org/officeDocument/2006/relationships/hyperlink" Target="https://www.kvs.gov.ua/peniten/control/main/uk/index" TargetMode="External"/><Relationship Id="rId160" Type="http://schemas.openxmlformats.org/officeDocument/2006/relationships/hyperlink" Target="http://repository.vsau.org/getfile.php/36675.pdf" TargetMode="External"/><Relationship Id="rId2286" Type="http://schemas.openxmlformats.org/officeDocument/2006/relationships/hyperlink" Target="https://surl.li/kdjhba" TargetMode="External"/><Relationship Id="rId2493" Type="http://schemas.openxmlformats.org/officeDocument/2006/relationships/hyperlink" Target="https://ms.detector.media/trendi/post/33704/2023-12-10-yak-v-ukraini-vykorystovuyut-shtuchnyy-intelekt/" TargetMode="External"/><Relationship Id="rId258" Type="http://schemas.openxmlformats.org/officeDocument/2006/relationships/hyperlink" Target="https://www.cambridge.org/core/journals/law-and-society-review/article/abs/fluid-jurisprudence-of-israels-emergency-powers-legal-patchwork-as-a-governing-norm/3789A99C028EE768B4B3B43C2391C4FA" TargetMode="External"/><Relationship Id="rId465" Type="http://schemas.openxmlformats.org/officeDocument/2006/relationships/hyperlink" Target="https://www.bayefsky.com" TargetMode="External"/><Relationship Id="rId672" Type="http://schemas.openxmlformats.org/officeDocument/2006/relationships/hyperlink" Target="https://suspilne.media/412176-v-ukraini-7-miljoniv-nezareestrovanih-pereselenciv-veresuk/" TargetMode="External"/><Relationship Id="rId1095" Type="http://schemas.openxmlformats.org/officeDocument/2006/relationships/hyperlink" Target="https://www.youtube.com/live/d7rxlB9wRAg?si=43tQUvhda89KmsAp" TargetMode="External"/><Relationship Id="rId2146" Type="http://schemas.openxmlformats.org/officeDocument/2006/relationships/hyperlink" Target="http://www.lsej.org.ua/3_2023/97.pdf" TargetMode="External"/><Relationship Id="rId2560" Type="http://schemas.openxmlformats.org/officeDocument/2006/relationships/hyperlink" Target="http://nbuv.gov.ua/UJRN/Nvuuist_2016_2_13" TargetMode="External"/><Relationship Id="rId118" Type="http://schemas.openxmlformats.org/officeDocument/2006/relationships/hyperlink" Target="http://litopys.org.ua/suspil/sus23.htm" TargetMode="External"/><Relationship Id="rId325" Type="http://schemas.openxmlformats.org/officeDocument/2006/relationships/hyperlink" Target="https://zakon.rada.gov.ua/laws/show/2155-19" TargetMode="External"/><Relationship Id="rId532" Type="http://schemas.openxmlformats.org/officeDocument/2006/relationships/hyperlink" Target="https://eba.com.ua/zlochyny-proty-lyudyanosti-v-ukrayini-vidminnist-vid-voyennyh-zlochyniv-ta-problematyka-prytyagnennya-do-vidpovidalnosti/" TargetMode="External"/><Relationship Id="rId977" Type="http://schemas.openxmlformats.org/officeDocument/2006/relationships/hyperlink" Target="https://dspace.uzhnu.edu.ua/jspui/bitstream/lib/37529/1/20%20%D1%82%D1%80%D0%B0%D0%B2%D0%BD%D1%8F%202021%20%D0%90%D0%A3%D0%9F.pdf" TargetMode="External"/><Relationship Id="rId1162" Type="http://schemas.openxmlformats.org/officeDocument/2006/relationships/hyperlink" Target="https://zakon.rada.gov.ua/laws/show/254&#1082;/96-&#1074;&#1088;" TargetMode="External"/><Relationship Id="rId2006" Type="http://schemas.openxmlformats.org/officeDocument/2006/relationships/hyperlink" Target="https://zakon.rada.gov.ua/go/4651-17" TargetMode="External"/><Relationship Id="rId2213" Type="http://schemas.openxmlformats.org/officeDocument/2006/relationships/hyperlink" Target="https://reyestr.court.gov.ua/Review/54715293" TargetMode="External"/><Relationship Id="rId2420" Type="http://schemas.openxmlformats.org/officeDocument/2006/relationships/image" Target="media/image9.jpeg"/><Relationship Id="rId837" Type="http://schemas.openxmlformats.org/officeDocument/2006/relationships/hyperlink" Target="https://zakon.rada.gov.ua/laws/show/2142-20" TargetMode="External"/><Relationship Id="rId1022" Type="http://schemas.openxmlformats.org/officeDocument/2006/relationships/hyperlink" Target="https://rsu.gov.ua/ua/news/usim-sudam-ukraini-rsu-opublikuvala-rekomendacii-sodo-rooti-sudiv-v-umovah-voennogo-stanu" TargetMode="External"/><Relationship Id="rId1467" Type="http://schemas.openxmlformats.org/officeDocument/2006/relationships/hyperlink" Target="https://hudoc.echr.coe.int/eng" TargetMode="External"/><Relationship Id="rId1674" Type="http://schemas.openxmlformats.org/officeDocument/2006/relationships/hyperlink" Target="https://visnyk-juris-uzhnu.com/wp-content/uploads/2022/01/29.pdf?utm_source" TargetMode="External"/><Relationship Id="rId1881" Type="http://schemas.openxmlformats.org/officeDocument/2006/relationships/hyperlink" Target="https://pravo.org.ua/blogs/kolaboratsijna-diyalnist-nova-stattya-kryminalnogo-kodeksu" TargetMode="External"/><Relationship Id="rId2518" Type="http://schemas.openxmlformats.org/officeDocument/2006/relationships/hyperlink" Target="https://www.relint.vnu.edu.ua/index.php/relint/article/view/277" TargetMode="External"/><Relationship Id="rId904" Type="http://schemas.openxmlformats.org/officeDocument/2006/relationships/hyperlink" Target="http://koveladm.gov.ua/press-tsentr/item/5574-prava-ta-svobody-lyudyny-i-gromadyanyna-ta-yih-vydy" TargetMode="External"/><Relationship Id="rId1327" Type="http://schemas.openxmlformats.org/officeDocument/2006/relationships/hyperlink" Target="https://zakon.rada.gov.ua/laws/show/435-15" TargetMode="External"/><Relationship Id="rId1534" Type="http://schemas.openxmlformats.org/officeDocument/2006/relationships/hyperlink" Target="https://esu.com.ua/article-69189" TargetMode="External"/><Relationship Id="rId1741" Type="http://schemas.openxmlformats.org/officeDocument/2006/relationships/hyperlink" Target="https://zakon.rada.gov.ua/laws/show/2697-19" TargetMode="External"/><Relationship Id="rId1979" Type="http://schemas.openxmlformats.org/officeDocument/2006/relationships/hyperlink" Target="https://hromadske.ua/posts/dovichne-otrimala-22-richna-navidnicya-rosijskih-raket-na-oboronni-pidpriyemstva-kirovogradshini" TargetMode="External"/><Relationship Id="rId33" Type="http://schemas.openxmlformats.org/officeDocument/2006/relationships/hyperlink" Target="https://zakon.rada.gov.ua/laws/show/994_017" TargetMode="External"/><Relationship Id="rId1601" Type="http://schemas.openxmlformats.org/officeDocument/2006/relationships/hyperlink" Target="https://app-journal.in.ua/wp-content/uploads/2022/05/14.pdf" TargetMode="External"/><Relationship Id="rId1839" Type="http://schemas.openxmlformats.org/officeDocument/2006/relationships/hyperlink" Target="https://elar.navs.edu.ua/server/api/core/bitstreams/5739a57f-c7da-4b36-9ce3-2b25c2b8d675/content" TargetMode="External"/><Relationship Id="rId182" Type="http://schemas.openxmlformats.org/officeDocument/2006/relationships/hyperlink" Target="https://surl.lu/mfztkf" TargetMode="External"/><Relationship Id="rId1906" Type="http://schemas.openxmlformats.org/officeDocument/2006/relationships/hyperlink" Target="https://zakon.rada.gov.ua/laws/show/2341-14" TargetMode="External"/><Relationship Id="rId487" Type="http://schemas.openxmlformats.org/officeDocument/2006/relationships/hyperlink" Target="https://surl.li/yqqndh" TargetMode="External"/><Relationship Id="rId694" Type="http://schemas.openxmlformats.org/officeDocument/2006/relationships/hyperlink" Target="https://zakon.rada.gov.ua/laws/show/984_011" TargetMode="External"/><Relationship Id="rId2070" Type="http://schemas.openxmlformats.org/officeDocument/2006/relationships/hyperlink" Target="file:///C:/Users/user/Downloads/vprc_2017_10_31-1.pdf" TargetMode="External"/><Relationship Id="rId2168" Type="http://schemas.openxmlformats.org/officeDocument/2006/relationships/hyperlink" Target="https://shorturl.at/moMVf" TargetMode="External"/><Relationship Id="rId347" Type="http://schemas.openxmlformats.org/officeDocument/2006/relationships/hyperlink" Target="https://www.unhcr.org/ua/" TargetMode="External"/><Relationship Id="rId999" Type="http://schemas.openxmlformats.org/officeDocument/2006/relationships/hyperlink" Target="https://surl.li/ctwrvv" TargetMode="External"/><Relationship Id="rId1184" Type="http://schemas.openxmlformats.org/officeDocument/2006/relationships/hyperlink" Target="URL:https://dspace.uzhnu.edu.ua/jspui/handle/lib/62383" TargetMode="External"/><Relationship Id="rId2028" Type="http://schemas.openxmlformats.org/officeDocument/2006/relationships/hyperlink" Target="https://ojs.dpu.edu.ua/index.php/irplegchr/article/view/78" TargetMode="External"/><Relationship Id="rId2582" Type="http://schemas.openxmlformats.org/officeDocument/2006/relationships/hyperlink" Target="https://www.logos.biz.ua/product/molod-ta-dosvillya" TargetMode="External"/><Relationship Id="rId554" Type="http://schemas.openxmlformats.org/officeDocument/2006/relationships/hyperlink" Target="https://www.unhcr.org" TargetMode="External"/><Relationship Id="rId761" Type="http://schemas.openxmlformats.org/officeDocument/2006/relationships/hyperlink" Target="https://zakon.rada.gov.ua/laws/show/174-2022-%D0%BF" TargetMode="External"/><Relationship Id="rId859" Type="http://schemas.openxmlformats.org/officeDocument/2006/relationships/hyperlink" Target="https://zakon.rada.gov.ua/laws/show/v0010760-16" TargetMode="External"/><Relationship Id="rId1391" Type="http://schemas.openxmlformats.org/officeDocument/2006/relationships/hyperlink" Target="https://zakon.rada.gov.ua/laws/" TargetMode="External"/><Relationship Id="rId1489" Type="http://schemas.openxmlformats.org/officeDocument/2006/relationships/hyperlink" Target="about:blank" TargetMode="External"/><Relationship Id="rId1696" Type="http://schemas.openxmlformats.org/officeDocument/2006/relationships/hyperlink" Target="https://zakon.rada.gov.ua/laws/show/254&#1082;/96-&#1074;&#1088;" TargetMode="External"/><Relationship Id="rId2235" Type="http://schemas.openxmlformats.org/officeDocument/2006/relationships/hyperlink" Target="https://zakon.rada.gov.ua/laws/show/974_f33%23Text" TargetMode="External"/><Relationship Id="rId2442" Type="http://schemas.openxmlformats.org/officeDocument/2006/relationships/hyperlink" Target="https://www.mdpi.com/1999-5903/11/4/89" TargetMode="External"/><Relationship Id="rId207" Type="http://schemas.openxmlformats.org/officeDocument/2006/relationships/hyperlink" Target="https://hudoc.echr.coe.int/eng" TargetMode="External"/><Relationship Id="rId414" Type="http://schemas.openxmlformats.org/officeDocument/2006/relationships/hyperlink" Target="https://zakon.rada.gov.ua/laws/show/995_004" TargetMode="External"/><Relationship Id="rId621" Type="http://schemas.openxmlformats.org/officeDocument/2006/relationships/hyperlink" Target="https://assets.hcch.net/docs/0ad61de4-2633-4bf4-bbd6-fb8af7ea3bc7.pdf" TargetMode="External"/><Relationship Id="rId1044" Type="http://schemas.openxmlformats.org/officeDocument/2006/relationships/hyperlink" Target="https://zakon.rada.gov.ua/laws/show/254%D0%BA/96-%D0%B2%D1%80" TargetMode="External"/><Relationship Id="rId1251" Type="http://schemas.openxmlformats.org/officeDocument/2006/relationships/hyperlink" Target="https://www.reuters.com/world/europe/ukraine-anti-graft-police-probing-dozens-defence-related-cases-2024-02-21/" TargetMode="External"/><Relationship Id="rId1349" Type="http://schemas.openxmlformats.org/officeDocument/2006/relationships/hyperlink" Target="about:blank" TargetMode="External"/><Relationship Id="rId2302" Type="http://schemas.openxmlformats.org/officeDocument/2006/relationships/hyperlink" Target="http://lsej.org.ua/9_2021/93.pdf" TargetMode="External"/><Relationship Id="rId719" Type="http://schemas.openxmlformats.org/officeDocument/2006/relationships/hyperlink" Target="https://zakon.rada.gov.ua/laws/show/840_050" TargetMode="External"/><Relationship Id="rId926" Type="http://schemas.openxmlformats.org/officeDocument/2006/relationships/hyperlink" Target="https://zakon.rada.gov.ua/laws/show/z1576-16" TargetMode="External"/><Relationship Id="rId1111" Type="http://schemas.openxmlformats.org/officeDocument/2006/relationships/hyperlink" Target="http://legalnovels.in.ua/journal/23_2024/37.pdf" TargetMode="External"/><Relationship Id="rId1556" Type="http://schemas.openxmlformats.org/officeDocument/2006/relationships/hyperlink" Target="https://yur-gazeta.com/dumka-eksperta/preventivna-restrukturizaciya-v-teoriyi-ta-praktici-chastina-1.html" TargetMode="External"/><Relationship Id="rId1763" Type="http://schemas.openxmlformats.org/officeDocument/2006/relationships/hyperlink" Target="https://reyestr.court.gov.ua/Review/91734953" TargetMode="External"/><Relationship Id="rId1970" Type="http://schemas.openxmlformats.org/officeDocument/2006/relationships/hyperlink" Target="https://www.icc-cpi.int/news/situation-ukraine-icc-judges-issue-arrest-warrants-against-vladimir-vladimirovich-putin-and" TargetMode="External"/><Relationship Id="rId2607" Type="http://schemas.openxmlformats.org/officeDocument/2006/relationships/hyperlink" Target="https://doi.org/10.32782/2708-0366/2022.14.3" TargetMode="External"/><Relationship Id="rId55" Type="http://schemas.openxmlformats.org/officeDocument/2006/relationships/hyperlink" Target="http://dspace.nbuv.gov.ua/bitstream/handle/123456789/23640/10-Bolsunova.pdf?sequence=1" TargetMode="External"/><Relationship Id="rId1209" Type="http://schemas.openxmlformats.org/officeDocument/2006/relationships/hyperlink" Target="https://nabu.gov.ua/news/koruptciia-v-zemel-niyi-sferi-vykryto-skhemu-oderzhannia-khabariv-za-otcinku-dilianok/" TargetMode="External"/><Relationship Id="rId1416" Type="http://schemas.openxmlformats.org/officeDocument/2006/relationships/hyperlink" Target="about:blank" TargetMode="External"/><Relationship Id="rId1623" Type="http://schemas.openxmlformats.org/officeDocument/2006/relationships/hyperlink" Target="%20https://zakon.rada.gov.ua/rada/show/v0025571-17" TargetMode="External"/><Relationship Id="rId1830" Type="http://schemas.openxmlformats.org/officeDocument/2006/relationships/hyperlink" Target="https://zakon.rada.gov.ua/laws/show/2160&#8211;20" TargetMode="External"/><Relationship Id="rId1928" Type="http://schemas.openxmlformats.org/officeDocument/2006/relationships/hyperlink" Target="http://lsej.org.ua/10_2023/182.pdf" TargetMode="External"/><Relationship Id="rId2092" Type="http://schemas.openxmlformats.org/officeDocument/2006/relationships/hyperlink" Target="https://kvs.gov.ua/important-info/for-prisoners-and-relatives/social-work/kor-inform/osnov-aspekt/" TargetMode="External"/><Relationship Id="rId271" Type="http://schemas.openxmlformats.org/officeDocument/2006/relationships/hyperlink" Target="http://nbuv.gov.ua/UJRN/VKNU_Ekon_2013_12_11" TargetMode="External"/><Relationship Id="rId2397" Type="http://schemas.openxmlformats.org/officeDocument/2006/relationships/image" Target="media/image4.png"/><Relationship Id="rId131" Type="http://schemas.openxmlformats.org/officeDocument/2006/relationships/hyperlink" Target="https://naub.oa.edu.ua/vydy-sudiv-ta-sudoustrij-za-statutom-v/" TargetMode="External"/><Relationship Id="rId369" Type="http://schemas.openxmlformats.org/officeDocument/2006/relationships/hyperlink" Target="https://eur-lex.europa.eu/legal-content/EN/TXT/?uri=celex:62015CJ0404" TargetMode="External"/><Relationship Id="rId576" Type="http://schemas.openxmlformats.org/officeDocument/2006/relationships/hyperlink" Target="https://zakon.rada.gov.ua/laws/show/995_795" TargetMode="External"/><Relationship Id="rId783" Type="http://schemas.openxmlformats.org/officeDocument/2006/relationships/hyperlink" Target="https://zakon.rada.gov.ua/laws/show/176/95-&#1074;&#1088;" TargetMode="External"/><Relationship Id="rId990" Type="http://schemas.openxmlformats.org/officeDocument/2006/relationships/hyperlink" Target="URL:file:///C:/Users/UserOK/Downloads/%D0%9F%D0%BE%D0%BD%D0%BE%D0%BC%D0%B0%D1%80%D0%B5%D0%BD%D0%BA%D0%BE,+%D0%9E.+%D0%A1.,+++%D0%9C%D0%BE%D1%80%D0%BE%D0%B7%D1%8E%D0%BA,+%D0%AE.+%D0%92.,+++%D0%9D%D0%B8%D0%BD%D1%8E%D0%BA,+%D0%9C.+%D0%90%20(1).pdf" TargetMode="External"/><Relationship Id="rId2257" Type="http://schemas.openxmlformats.org/officeDocument/2006/relationships/hyperlink" Target="https://supreme.justia.com/cases/federal/us/267/132/" TargetMode="External"/><Relationship Id="rId2464" Type="http://schemas.openxmlformats.org/officeDocument/2006/relationships/hyperlink" Target="URL:http://www.econom.stateandregions.zp.ua/journal/2023/1_2023/6.pdf" TargetMode="External"/><Relationship Id="rId229" Type="http://schemas.openxmlformats.org/officeDocument/2006/relationships/hyperlink" Target="https://www.hsa.org.ua/blog/tipovi-porusennia-prav-ukrayinciv-v-ugorshhini-ozvuciv-predstavnik-naau" TargetMode="External"/><Relationship Id="rId436" Type="http://schemas.openxmlformats.org/officeDocument/2006/relationships/hyperlink" Target="http://ir.polissiauniver.edu.ua/bitstream/123456789/12726/1/Shapovalov_VO_KR_081_2021.pdf" TargetMode="External"/><Relationship Id="rId643" Type="http://schemas.openxmlformats.org/officeDocument/2006/relationships/hyperlink" Target="https://www.bbc.com/ukrainian/politics/2016/04/160401_diplomatic_immunity_or" TargetMode="External"/><Relationship Id="rId1066" Type="http://schemas.openxmlformats.org/officeDocument/2006/relationships/hyperlink" Target="https://zakon.rada.gov.ua/laws/show/1698-18" TargetMode="External"/><Relationship Id="rId1273" Type="http://schemas.openxmlformats.org/officeDocument/2006/relationships/hyperlink" Target="https://zakon.rada.gov.ua/laws/show/1402-19" TargetMode="External"/><Relationship Id="rId1480" Type="http://schemas.openxmlformats.org/officeDocument/2006/relationships/hyperlink" Target="https://dspace.onua.edu.ua/server/api/core/bitstreams/ab32aaaa-ecf5-47dd-9a9a-1b2d4a977a0e/content" TargetMode="External"/><Relationship Id="rId2117" Type="http://schemas.openxmlformats.org/officeDocument/2006/relationships/hyperlink" Target="https://zakon.rada.gov.ua/laws/show/160-19" TargetMode="External"/><Relationship Id="rId2324" Type="http://schemas.openxmlformats.org/officeDocument/2006/relationships/hyperlink" Target="https://www.theverge.com/2024/10/30/24281924/pretrial-risk-assessment-algorithms-research" TargetMode="External"/><Relationship Id="rId850" Type="http://schemas.openxmlformats.org/officeDocument/2006/relationships/hyperlink" Target="https://er.knutd.edu.ua/handle/123456789/27818" TargetMode="External"/><Relationship Id="rId948" Type="http://schemas.openxmlformats.org/officeDocument/2006/relationships/hyperlink" Target="file:///C:\queued\1\6\b\16b101a5-3a26-42e9-a71b-569d03a32335\4014-IX" TargetMode="External"/><Relationship Id="rId1133" Type="http://schemas.openxmlformats.org/officeDocument/2006/relationships/hyperlink" Target="https://advokatpost.com/pravyla-advokatskoi-etyky-ta-dystsyplinarna-vidpovidalnist-advokata-za-ikh-porushennia-advokat-oksana-zeldych" TargetMode="External"/><Relationship Id="rId1578" Type="http://schemas.openxmlformats.org/officeDocument/2006/relationships/hyperlink" Target="http://www.jurnaluljuridic.in.ua/archive/2018/1/part_2/21.pdf" TargetMode="External"/><Relationship Id="rId1785" Type="http://schemas.openxmlformats.org/officeDocument/2006/relationships/hyperlink" Target="https://la-strada.org.ua/" TargetMode="External"/><Relationship Id="rId1992" Type="http://schemas.openxmlformats.org/officeDocument/2006/relationships/hyperlink" Target="https://zakon.rada.gov.ua/laws/show/z0090-24" TargetMode="External"/><Relationship Id="rId2531" Type="http://schemas.openxmlformats.org/officeDocument/2006/relationships/hyperlink" Target="https://zakon.rada.gov.ua/laws/show/389-19" TargetMode="External"/><Relationship Id="rId2629" Type="http://schemas.openxmlformats.org/officeDocument/2006/relationships/hyperlink" Target="https://www.volynnews.com/news/all/my-hraly-i-peremahaly-arseniy-ceh9-trynozhenko-v-lutsku-pro-sebe-NAVI-ta-hodynnyk-vid-azarova/" TargetMode="External"/><Relationship Id="rId77" Type="http://schemas.openxmlformats.org/officeDocument/2006/relationships/hyperlink" Target="https://eppd13.cz/wp-content/uploads/2015/2015-2-1/25.pdf" TargetMode="External"/><Relationship Id="rId503" Type="http://schemas.openxmlformats.org/officeDocument/2006/relationships/hyperlink" Target="https://doi.org/10.36074/2617-7064.08.034" TargetMode="External"/><Relationship Id="rId710" Type="http://schemas.openxmlformats.org/officeDocument/2006/relationships/hyperlink" Target="https://ips.ligazakon.net/document/MU45001U" TargetMode="External"/><Relationship Id="rId808" Type="http://schemas.openxmlformats.org/officeDocument/2006/relationships/hyperlink" Target="https://www.eeas.europa.eu/eunavfor-aspides_en?s=410381" TargetMode="External"/><Relationship Id="rId1340" Type="http://schemas.openxmlformats.org/officeDocument/2006/relationships/hyperlink" Target="https://dspace.onua.edu.ua/server/api/core/bitstreams/c0c24be5-7bb0-4605-8fad-44fc2449b983/content" TargetMode="External"/><Relationship Id="rId1438" Type="http://schemas.openxmlformats.org/officeDocument/2006/relationships/hyperlink" Target="https://dspace.onua.edu.ua/server/api/core/bitstreams/43ff3382-cfae-4227-bf0f-c6c20cc74bc0/content" TargetMode="External"/><Relationship Id="rId1645" Type="http://schemas.openxmlformats.org/officeDocument/2006/relationships/hyperlink" Target="https://zakon.rada.gov.ua/laws/show/851-15" TargetMode="External"/><Relationship Id="rId1200" Type="http://schemas.openxmlformats.org/officeDocument/2006/relationships/hyperlink" Target="https://www.ukrinform.ua/rubric-society/3283824-sudova-reforma-ci-gotuvatisa-do-sprotivu-suddivskoi-mafii.html" TargetMode="External"/><Relationship Id="rId1852" Type="http://schemas.openxmlformats.org/officeDocument/2006/relationships/hyperlink" Target="https://ips.ligazakon.net/document/view/t233342?ed=2023_08_23&amp;an=22" TargetMode="External"/><Relationship Id="rId1505" Type="http://schemas.openxmlformats.org/officeDocument/2006/relationships/hyperlink" Target="http://jnas.nbuv.gov.ua/j-pdf/prukr_2018_11_14.pdf" TargetMode="External"/><Relationship Id="rId1712" Type="http://schemas.openxmlformats.org/officeDocument/2006/relationships/hyperlink" Target="https://zakon.rada.gov.ua/laws/show/389-19%23Text%20" TargetMode="External"/><Relationship Id="rId293" Type="http://schemas.openxmlformats.org/officeDocument/2006/relationships/hyperlink" Target="https://www.recpc.org/wp-content/uploads/2020/10/Gender_equality.pdf" TargetMode="External"/><Relationship Id="rId2181" Type="http://schemas.openxmlformats.org/officeDocument/2006/relationships/hyperlink" Target="https://ips.ligazakon.net/document/VSS00820" TargetMode="External"/><Relationship Id="rId153" Type="http://schemas.openxmlformats.org/officeDocument/2006/relationships/hyperlink" Target="https://zakon.rada.gov.ua/laws/show/995_011" TargetMode="External"/><Relationship Id="rId360" Type="http://schemas.openxmlformats.org/officeDocument/2006/relationships/hyperlink" Target="https://zakon.rada.gov.ua/laws/show/974_f52%23Text%20" TargetMode="External"/><Relationship Id="rId598" Type="http://schemas.openxmlformats.org/officeDocument/2006/relationships/hyperlink" Target="https://www.stopecocide.earth/2024/mass-destruction-of-nature-reaches-international-criminal-court-icc-as-pacific-island-states-propose-recognition-of-ecocide-as-international-crime" TargetMode="External"/><Relationship Id="rId2041" Type="http://schemas.openxmlformats.org/officeDocument/2006/relationships/hyperlink" Target="https://library.nlu.edu.ua/POLN_TEXT/KNIGI/KONDOR1/CD/KRIMINALISTIKA2007.pdf" TargetMode="External"/><Relationship Id="rId2279" Type="http://schemas.openxmlformats.org/officeDocument/2006/relationships/hyperlink" Target="https://dspace.onua.edu.ua/handle/11300/27369" TargetMode="External"/><Relationship Id="rId2486" Type="http://schemas.openxmlformats.org/officeDocument/2006/relationships/hyperlink" Target="http://nbuv.gov.ua/%20" TargetMode="External"/><Relationship Id="rId220" Type="http://schemas.openxmlformats.org/officeDocument/2006/relationships/hyperlink" Target="https://produccioncientificaluz.org/index.php/cuestiones/article/view/37423/40879" TargetMode="External"/><Relationship Id="rId458" Type="http://schemas.openxmlformats.org/officeDocument/2006/relationships/hyperlink" Target="https://zakon.rada.gov.ua/laws/show/995_011" TargetMode="External"/><Relationship Id="rId665" Type="http://schemas.openxmlformats.org/officeDocument/2006/relationships/hyperlink" Target="https://www.icrc.org/en/doc/assets/files/other/customary-international-humanitarian-law-i-icrc-eng.pdf" TargetMode="External"/><Relationship Id="rId872" Type="http://schemas.openxmlformats.org/officeDocument/2006/relationships/hyperlink" Target="http://dx.doi.org/10.21615/cesder.6772" TargetMode="External"/><Relationship Id="rId1088" Type="http://schemas.openxmlformats.org/officeDocument/2006/relationships/hyperlink" Target="https://mind.ua/openmind/20256734-vid-krizi-do-rozvitku-indoneziya-yak-priklad-vidnovlennya-dlya-ukrayini" TargetMode="External"/><Relationship Id="rId1295" Type="http://schemas.openxmlformats.org/officeDocument/2006/relationships/hyperlink" Target="URL:%20https://zakon.rada.gov.ua/rada/show/n0001891-17%23Text%20" TargetMode="External"/><Relationship Id="rId2139" Type="http://schemas.openxmlformats.org/officeDocument/2006/relationships/hyperlink" Target="http://pjv.nuoua.od.ua/v4_2023/19.pdf" TargetMode="External"/><Relationship Id="rId2553" Type="http://schemas.openxmlformats.org/officeDocument/2006/relationships/hyperlink" Target="https://mof.gov.ua/uk/mvf" TargetMode="External"/><Relationship Id="rId318" Type="http://schemas.openxmlformats.org/officeDocument/2006/relationships/hyperlink" Target="https://doi.org/10.31470/2786-8583-2024-3-23-30" TargetMode="External"/><Relationship Id="rId525" Type="http://schemas.openxmlformats.org/officeDocument/2006/relationships/hyperlink" Target="https://www.cfr.org/timeline/un-climate-talks" TargetMode="External"/><Relationship Id="rId732" Type="http://schemas.openxmlformats.org/officeDocument/2006/relationships/hyperlink" Target="https://zakon.rada.gov.ua/laws/show/981_011" TargetMode="External"/><Relationship Id="rId1155" Type="http://schemas.openxmlformats.org/officeDocument/2006/relationships/hyperlink" Target="https://zakon.rada.gov.ua/laws/show/254%D0%BA/96-%D0%B2%D1%80" TargetMode="External"/><Relationship Id="rId1362" Type="http://schemas.openxmlformats.org/officeDocument/2006/relationships/hyperlink" Target="https://hdl.handle.net/11300/18411" TargetMode="External"/><Relationship Id="rId2206" Type="http://schemas.openxmlformats.org/officeDocument/2006/relationships/hyperlink" Target="https://zakon.rada.gov.ua/laws/show/254&#1082;/96-&#1074;&#1088;" TargetMode="External"/><Relationship Id="rId2413" Type="http://schemas.openxmlformats.org/officeDocument/2006/relationships/image" Target="media/image5.png"/><Relationship Id="rId2620" Type="http://schemas.openxmlformats.org/officeDocument/2006/relationships/hyperlink" Target="https://chat.deepseek.com/a/chat/s/cde6b4a1-8601-4a2d-a361-7866674cb16d" TargetMode="External"/><Relationship Id="rId99" Type="http://schemas.openxmlformats.org/officeDocument/2006/relationships/hyperlink" Target="https://teoriaevolutiva.wordpress.com/wp-content/uploads/2013/10/firestone-shulamith-dialectic-sex-case-feminist-revolution.pdf" TargetMode="External"/><Relationship Id="rId1015" Type="http://schemas.openxmlformats.org/officeDocument/2006/relationships/hyperlink" Target="http://consultant.parus.ua/newszakon?doc=.1DVG08090" TargetMode="External"/><Relationship Id="rId1222" Type="http://schemas.openxmlformats.org/officeDocument/2006/relationships/hyperlink" Target="https://ti-ukraine.org/en/news/obstacles-in-the-work-of-the-anti-corruption-ecosystem" TargetMode="External"/><Relationship Id="rId1667" Type="http://schemas.openxmlformats.org/officeDocument/2006/relationships/hyperlink" Target="https://icd.who.int/browse/2025-01/mms/en" TargetMode="External"/><Relationship Id="rId1874" Type="http://schemas.openxmlformats.org/officeDocument/2006/relationships/hyperlink" Target="https://elar.navs.edu.ua/server/api/core/bitstreams/52e6bf86-1ef4-4ba1-81ee-6c0da8b409f7/content" TargetMode="External"/><Relationship Id="rId1527" Type="http://schemas.openxmlformats.org/officeDocument/2006/relationships/hyperlink" Target="https://zakon.rada.gov.ua/laws/show/1798-12" TargetMode="External"/><Relationship Id="rId1734" Type="http://schemas.openxmlformats.org/officeDocument/2006/relationships/hyperlink" Target="https://surl.li/fhoncj" TargetMode="External"/><Relationship Id="rId1941" Type="http://schemas.openxmlformats.org/officeDocument/2006/relationships/hyperlink" Target="https://zakon.rada.gov.ua/laws/show/4651-17" TargetMode="External"/><Relationship Id="rId26" Type="http://schemas.openxmlformats.org/officeDocument/2006/relationships/hyperlink" Target="https://eur-lex.europa.eu/legal-content/EN/TXT/?uri=CELEX%3A62014CJ0264" TargetMode="External"/><Relationship Id="rId175" Type="http://schemas.openxmlformats.org/officeDocument/2006/relationships/hyperlink" Target="https://rm.coe.int/leaflet-internet-governance-en-rev/1680909521" TargetMode="External"/><Relationship Id="rId1801" Type="http://schemas.openxmlformats.org/officeDocument/2006/relationships/hyperlink" Target="https://zakon.rada.gov.ua/laws/show/2341-14" TargetMode="External"/><Relationship Id="rId382" Type="http://schemas.openxmlformats.org/officeDocument/2006/relationships/hyperlink" Target="https://zakon.rada.gov.ua/laws/show/55-12" TargetMode="External"/><Relationship Id="rId687" Type="http://schemas.openxmlformats.org/officeDocument/2006/relationships/hyperlink" Target="chrome-extension://efaidnbmnnnibpcajpcglclefindmkaj/https:/eca.unwomen.org/sites/default/files/Field%20Office%20ECA/Attachments/Publications/2018/Gender%20Impact%20Assessment%20Ukraine%202017_UA_fin.pdf" TargetMode="External"/><Relationship Id="rId2063" Type="http://schemas.openxmlformats.org/officeDocument/2006/relationships/hyperlink" Target="https://documents.un.org/doc/undoc/gen/n15/443/41/pdf/n1544341.pdf" TargetMode="External"/><Relationship Id="rId2270" Type="http://schemas.openxmlformats.org/officeDocument/2006/relationships/hyperlink" Target="https://youcontrol.com.ua/catalog/court-document/95889523/" TargetMode="External"/><Relationship Id="rId242" Type="http://schemas.openxmlformats.org/officeDocument/2006/relationships/hyperlink" Target="https://dspace.onu.edu.ua/items/6f13f7f3-7078-4a30-b143-e1a1788b46ec" TargetMode="External"/><Relationship Id="rId894" Type="http://schemas.openxmlformats.org/officeDocument/2006/relationships/hyperlink" Target="https://zmina.ua/wp-content/uploads/sites/2/2024/03/freedomofspeechandjournalistsatwar_socialresearchua-web.pdf" TargetMode="External"/><Relationship Id="rId1177" Type="http://schemas.openxmlformats.org/officeDocument/2006/relationships/hyperlink" Target="https://zakon.rada.gov.ua/laws/show/3855-12" TargetMode="External"/><Relationship Id="rId2130" Type="http://schemas.openxmlformats.org/officeDocument/2006/relationships/hyperlink" Target="https://zakon.rada.gov.ua/laws/show/1129-15" TargetMode="External"/><Relationship Id="rId2575" Type="http://schemas.openxmlformats.org/officeDocument/2006/relationships/hyperlink" Target="http://nnvc.nuczu.edu.ua/images/topmenu/kafedry/kafedra-publichnoho-administruvannia-u-sferi-tsyvilnoho-zakhystu/Lekcii/lk13.pdf" TargetMode="External"/><Relationship Id="rId102" Type="http://schemas.openxmlformats.org/officeDocument/2006/relationships/hyperlink" Target="https://supportyourart.com/stories/judith-butler/" TargetMode="External"/><Relationship Id="rId547" Type="http://schemas.openxmlformats.org/officeDocument/2006/relationships/hyperlink" Target="URL:https://peacekeeping.un.org" TargetMode="External"/><Relationship Id="rId754" Type="http://schemas.openxmlformats.org/officeDocument/2006/relationships/hyperlink" Target="https://zakon.rada.gov.ua/laws/show/4495-17" TargetMode="External"/><Relationship Id="rId961" Type="http://schemas.openxmlformats.org/officeDocument/2006/relationships/hyperlink" Target="https://zakon.rada.gov.ua/laws/show/254%D0%BA/96-%D0%B2%D1%80" TargetMode="External"/><Relationship Id="rId1384" Type="http://schemas.openxmlformats.org/officeDocument/2006/relationships/hyperlink" Target="https://hdl.handle.net/11300/14491" TargetMode="External"/><Relationship Id="rId1591" Type="http://schemas.openxmlformats.org/officeDocument/2006/relationships/hyperlink" Target="http://nbuv.gov.ua/UJRN/Ppip_2019_19_34" TargetMode="External"/><Relationship Id="rId1689" Type="http://schemas.openxmlformats.org/officeDocument/2006/relationships/hyperlink" Target="https://zakon.rada.gov.ua/laws/show/2011-12" TargetMode="External"/><Relationship Id="rId2228" Type="http://schemas.openxmlformats.org/officeDocument/2006/relationships/hyperlink" Target="https://gp.gov.ua/ua/posts/francuzki-eksperti-pribuli-do-ukrayini-dlya-dopomogi-u-rozsliduvanni-vojennix-zlociniv-rf" TargetMode="External"/><Relationship Id="rId2435" Type="http://schemas.openxmlformats.org/officeDocument/2006/relationships/hyperlink" Target="https://doi.org/10.1016/j.cose.2022.102947" TargetMode="External"/><Relationship Id="rId2642" Type="http://schemas.openxmlformats.org/officeDocument/2006/relationships/theme" Target="theme/theme1.xml"/><Relationship Id="rId90" Type="http://schemas.openxmlformats.org/officeDocument/2006/relationships/hyperlink" Target="https://dspace.uzhnu.edu.ua/jspui/handle/lib/47398" TargetMode="External"/><Relationship Id="rId407" Type="http://schemas.openxmlformats.org/officeDocument/2006/relationships/hyperlink" Target="https://www.icrc.org/sites/default/files/external/doc/en/assets/files/publications/icrc-002-0173.pdf" TargetMode="External"/><Relationship Id="rId614" Type="http://schemas.openxmlformats.org/officeDocument/2006/relationships/hyperlink" Target="https://dictionary.cambridge.org/dictionary/english-ukrainian/democracy" TargetMode="External"/><Relationship Id="rId821" Type="http://schemas.openxmlformats.org/officeDocument/2006/relationships/hyperlink" Target="http://www.uniset.ca/other/cs2/97ER1162.pdf" TargetMode="External"/><Relationship Id="rId1037" Type="http://schemas.openxmlformats.org/officeDocument/2006/relationships/hyperlink" Target="URL:https://zakon.rada.gov.ua/laws/show/995_004" TargetMode="External"/><Relationship Id="rId1244" Type="http://schemas.openxmlformats.org/officeDocument/2006/relationships/hyperlink" Target="https://www.reuters.com/world/europe/ukraine-anti-graft-police-probing-dozens-defence-related-cases-2024-02-21/" TargetMode="External"/><Relationship Id="rId1451" Type="http://schemas.openxmlformats.org/officeDocument/2006/relationships/hyperlink" Target="http://reyestr.court.gov.ua/Review/81559774" TargetMode="External"/><Relationship Id="rId1896" Type="http://schemas.openxmlformats.org/officeDocument/2006/relationships/hyperlink" Target="https://zakon.rada.gov.ua/laws/show/v0107500-20" TargetMode="External"/><Relationship Id="rId2502" Type="http://schemas.openxmlformats.org/officeDocument/2006/relationships/hyperlink" Target="https://prostir.pdaba.dp.ua/index.php/journal/article/view/1558" TargetMode="External"/><Relationship Id="rId919" Type="http://schemas.openxmlformats.org/officeDocument/2006/relationships/hyperlink" Target="https://www.usajobs.gov/" TargetMode="External"/><Relationship Id="rId1104" Type="http://schemas.openxmlformats.org/officeDocument/2006/relationships/hyperlink" Target="https://hudoc.echr.coe.int/eng%23%7b%22itemid%22:%5b%22001-89893%22%5d" TargetMode="External"/><Relationship Id="rId1311" Type="http://schemas.openxmlformats.org/officeDocument/2006/relationships/hyperlink" Target="https://zakon.rada.gov.ua/laws/show/z0325-22" TargetMode="External"/><Relationship Id="rId1549" Type="http://schemas.openxmlformats.org/officeDocument/2006/relationships/hyperlink" Target="https://journals.snu.edu.ua/index.php/app/article/download/832/795" TargetMode="External"/><Relationship Id="rId1756" Type="http://schemas.openxmlformats.org/officeDocument/2006/relationships/hyperlink" Target="https://zakon.rada.gov.ua/laws/show/254%D0%BA/96-%D0%B2%D1%80" TargetMode="External"/><Relationship Id="rId1963" Type="http://schemas.openxmlformats.org/officeDocument/2006/relationships/hyperlink" Target="https://ciss.org.ua/files/site/page_file/tfileebfe6a91d8d87c5afa890071ac5c037b.pdf" TargetMode="External"/><Relationship Id="rId48" Type="http://schemas.openxmlformats.org/officeDocument/2006/relationships/hyperlink" Target="https://plato.stanford.edu/entries/feminism-law/" TargetMode="External"/><Relationship Id="rId1409" Type="http://schemas.openxmlformats.org/officeDocument/2006/relationships/hyperlink" Target="https://hudoc.echr.coe.int/ukr" TargetMode="External"/><Relationship Id="rId1616" Type="http://schemas.openxmlformats.org/officeDocument/2006/relationships/hyperlink" Target="file:///C:/Users/Admin/Downloads/2361%D0%A2%D0%B5%D0%BA%D1%81%D1%82%20%D1%81%D1%82%D0%B0%D1%82%D1%82%D1%96-2276-1-10-20230511.pdf" TargetMode="External"/><Relationship Id="rId1823" Type="http://schemas.openxmlformats.org/officeDocument/2006/relationships/hyperlink" Target="https://zakon.rada.gov.ua/go/2341-14" TargetMode="External"/><Relationship Id="rId197" Type="http://schemas.openxmlformats.org/officeDocument/2006/relationships/hyperlink" Target="https://unesdoc.unesco.org/ark:/48223/pf0000130696" TargetMode="External"/><Relationship Id="rId2085" Type="http://schemas.openxmlformats.org/officeDocument/2006/relationships/hyperlink" Target="https://zakon.rada.gov.ua/laws/show/1129-15" TargetMode="External"/><Relationship Id="rId2292" Type="http://schemas.openxmlformats.org/officeDocument/2006/relationships/hyperlink" Target="https://court.opendatabot.ua/cause/824%2F868%2F20" TargetMode="External"/><Relationship Id="rId264" Type="http://schemas.openxmlformats.org/officeDocument/2006/relationships/hyperlink" Target="https://www.radiosvoboda.org/a/959952.html" TargetMode="External"/><Relationship Id="rId471" Type="http://schemas.openxmlformats.org/officeDocument/2006/relationships/hyperlink" Target="https://www.unicef.org/reports/state-worlds-children-2023" TargetMode="External"/><Relationship Id="rId2152" Type="http://schemas.openxmlformats.org/officeDocument/2006/relationships/hyperlink" Target="https://reyestr.court.gov.ua/Review/75812065" TargetMode="External"/><Relationship Id="rId2597" Type="http://schemas.openxmlformats.org/officeDocument/2006/relationships/hyperlink" Target="https://zakon.rada.gov.ua/laws/show/1706-18" TargetMode="External"/><Relationship Id="rId124" Type="http://schemas.openxmlformats.org/officeDocument/2006/relationships/hyperlink" Target="https://studies.in.ua/shpora-hukr/261-5-ruska-pravda-yih-harakteristika-znachennya.html" TargetMode="External"/><Relationship Id="rId569" Type="http://schemas.openxmlformats.org/officeDocument/2006/relationships/hyperlink" Target="https://www.icrc.org" TargetMode="External"/><Relationship Id="rId776" Type="http://schemas.openxmlformats.org/officeDocument/2006/relationships/hyperlink" Target="URL:%20https://zakon.rada.gov.ua/laws/show/4495-17" TargetMode="External"/><Relationship Id="rId983" Type="http://schemas.openxmlformats.org/officeDocument/2006/relationships/hyperlink" Target="https://zakon.rada.gov.ua/laws/show/2456-17" TargetMode="External"/><Relationship Id="rId1199" Type="http://schemas.openxmlformats.org/officeDocument/2006/relationships/hyperlink" Target="http://www.lsej.org.ua/11_2021/196.pdf" TargetMode="External"/><Relationship Id="rId2457" Type="http://schemas.openxmlformats.org/officeDocument/2006/relationships/hyperlink" Target="https://docs.unity3d.com/Packages/com.unity.2d.animation@9.2/manual/CharacterRig.html" TargetMode="External"/><Relationship Id="rId331" Type="http://schemas.openxmlformats.org/officeDocument/2006/relationships/hyperlink" Target="https://niss.gov.ua/sites/default/files/2014-07/migr_pol-68f1d.pdf" TargetMode="External"/><Relationship Id="rId429" Type="http://schemas.openxmlformats.org/officeDocument/2006/relationships/hyperlink" Target="https://artificialintelligenceact.com" TargetMode="External"/><Relationship Id="rId636" Type="http://schemas.openxmlformats.org/officeDocument/2006/relationships/hyperlink" Target="https://zakon.rada.gov.ua/laws/show/3909-20" TargetMode="External"/><Relationship Id="rId1059" Type="http://schemas.openxmlformats.org/officeDocument/2006/relationships/hyperlink" Target="https://unba.org.ua/publications/8390-advokatura-ukraini-pid-chas-voennogo-stanu.html" TargetMode="External"/><Relationship Id="rId1266" Type="http://schemas.openxmlformats.org/officeDocument/2006/relationships/hyperlink" Target="https://zakon.rada.gov.ua/laws/show/254%D0%BA/96-%D0%B2%D1%80" TargetMode="External"/><Relationship Id="rId1473" Type="http://schemas.openxmlformats.org/officeDocument/2006/relationships/hyperlink" Target="https://zakon.rada.gov.ua/go/1618-15" TargetMode="External"/><Relationship Id="rId2012" Type="http://schemas.openxmlformats.org/officeDocument/2006/relationships/hyperlink" Target="https://zakon.rada.gov.ua/laws/show/2505-19" TargetMode="External"/><Relationship Id="rId2317" Type="http://schemas.openxmlformats.org/officeDocument/2006/relationships/hyperlink" Target="https://zakon.rada.gov.ua/laws/show/974_683" TargetMode="External"/><Relationship Id="rId843" Type="http://schemas.openxmlformats.org/officeDocument/2006/relationships/hyperlink" Target="https://zakon.rada.gov.ua/laws/show/4495-17" TargetMode="External"/><Relationship Id="rId1126" Type="http://schemas.openxmlformats.org/officeDocument/2006/relationships/hyperlink" Target="https://zakon.rada.gov.ua/laws/show/254%D0%BA/96-%D0%B2%D1%80" TargetMode="External"/><Relationship Id="rId1680" Type="http://schemas.openxmlformats.org/officeDocument/2006/relationships/hyperlink" Target="https://news.dtkt.ua/labor/labor-relations/91748-iaka-trivalist-robocogo-casu-i-vidpocinku-pid-cas-vojennogo-stanu-v-ukrayini" TargetMode="External"/><Relationship Id="rId1778" Type="http://schemas.openxmlformats.org/officeDocument/2006/relationships/hyperlink" Target="https://ips.ligazakon.net/document/KK004833" TargetMode="External"/><Relationship Id="rId1985" Type="http://schemas.openxmlformats.org/officeDocument/2006/relationships/hyperlink" Target="http://lsej.org.ua/5_2022/133.pdf" TargetMode="External"/><Relationship Id="rId2524" Type="http://schemas.openxmlformats.org/officeDocument/2006/relationships/hyperlink" Target="https://vimeo.com/25476501" TargetMode="External"/><Relationship Id="rId703" Type="http://schemas.openxmlformats.org/officeDocument/2006/relationships/hyperlink" Target="https://vi-lawyers.com/uk/viznannya-rishennya-inozemnogo-sudu-pro-rozirvannya-shlyubu-v-ukrayini/" TargetMode="External"/><Relationship Id="rId910" Type="http://schemas.openxmlformats.org/officeDocument/2006/relationships/hyperlink" Target="https://zakon.rada.gov.ua/laws/show/254&#1082;/96-&#1074;&#1088;" TargetMode="External"/><Relationship Id="rId1333" Type="http://schemas.openxmlformats.org/officeDocument/2006/relationships/hyperlink" Target="https://zakon.rada.gov.ua/laws/show/3689-12" TargetMode="External"/><Relationship Id="rId1540" Type="http://schemas.openxmlformats.org/officeDocument/2006/relationships/hyperlink" Target="https://reyestr.court.gov.ua/Review/83589983?fbclid=IwY2xjawJ0ax1leHRuA2FlbQIxMQABHkjb5chRgLUHcqP5yMQ8clagyPfDjXmU3phjMiLamPVH2QcgnKTwUAHmTH2V_aem_7HE9kyjkSo4eLWVDUmt7Pg&amp;sfnsn=mo" TargetMode="External"/><Relationship Id="rId1638" Type="http://schemas.openxmlformats.org/officeDocument/2006/relationships/hyperlink" Target="https://reyestr.court.gov.ua/Review/104291599" TargetMode="External"/><Relationship Id="rId1400" Type="http://schemas.openxmlformats.org/officeDocument/2006/relationships/hyperlink" Target="https://library.nlu.edu.ua/POLN_TEXT/SENMK/pr_osn1.pdf" TargetMode="External"/><Relationship Id="rId1845" Type="http://schemas.openxmlformats.org/officeDocument/2006/relationships/hyperlink" Target="https://ips.ligazakon.net/document/view/t233342?ed=2023_08_23&amp;an=14" TargetMode="External"/><Relationship Id="rId1705" Type="http://schemas.openxmlformats.org/officeDocument/2006/relationships/hyperlink" Target="https://zakon.rada.gov.ua/laws/show/322-08" TargetMode="External"/><Relationship Id="rId1912" Type="http://schemas.openxmlformats.org/officeDocument/2006/relationships/hyperlink" Target="http://perspectives.pp.ua/index.php/np/article/view/11038/11097" TargetMode="External"/><Relationship Id="rId286" Type="http://schemas.openxmlformats.org/officeDocument/2006/relationships/hyperlink" Target="https://doi.org/10.32782/2524-0374/2023-8/9" TargetMode="External"/><Relationship Id="rId493" Type="http://schemas.openxmlformats.org/officeDocument/2006/relationships/hyperlink" Target="https://surl.li/dwvpot" TargetMode="External"/><Relationship Id="rId2174" Type="http://schemas.openxmlformats.org/officeDocument/2006/relationships/hyperlink" Target="https://zakon.rada.gov.ua/laws/show/4651-17" TargetMode="External"/><Relationship Id="rId146" Type="http://schemas.openxmlformats.org/officeDocument/2006/relationships/hyperlink" Target="https://zakon.rada.gov.ua/laws/show/995_791" TargetMode="External"/><Relationship Id="rId353" Type="http://schemas.openxmlformats.org/officeDocument/2006/relationships/hyperlink" Target="https://eur-lex.europa.eu/legal-content/EN/TXT/?uri=CELEX%3A52022IP0320" TargetMode="External"/><Relationship Id="rId560" Type="http://schemas.openxmlformats.org/officeDocument/2006/relationships/hyperlink" Target="URL:https://www.globalpolicy.org" TargetMode="External"/><Relationship Id="rId798" Type="http://schemas.openxmlformats.org/officeDocument/2006/relationships/hyperlink" Target="https://nobilexlaw.com/mizhnarodne-pravo/mizhnarodne-morske-pravo/" TargetMode="External"/><Relationship Id="rId1190" Type="http://schemas.openxmlformats.org/officeDocument/2006/relationships/hyperlink" Target="http://www.golos.com.ua/article/362753" TargetMode="External"/><Relationship Id="rId2034" Type="http://schemas.openxmlformats.org/officeDocument/2006/relationships/hyperlink" Target="https://archive.org/details/liedetectorshist0000alde" TargetMode="External"/><Relationship Id="rId2241" Type="http://schemas.openxmlformats.org/officeDocument/2006/relationships/hyperlink" Target="https://reyestr.court.gov.ua/Review/120426056" TargetMode="External"/><Relationship Id="rId2479" Type="http://schemas.openxmlformats.org/officeDocument/2006/relationships/hyperlink" Target="https://doi.org/10.32782/2786-765X/2024-7-4" TargetMode="External"/><Relationship Id="rId213" Type="http://schemas.openxmlformats.org/officeDocument/2006/relationships/hyperlink" Target="https://hudoc.echr.coe.int/eng?i=001-220667" TargetMode="External"/><Relationship Id="rId420" Type="http://schemas.openxmlformats.org/officeDocument/2006/relationships/hyperlink" Target="https://zakon.rada.gov.ua/laws/show/1618-15" TargetMode="External"/><Relationship Id="rId658" Type="http://schemas.openxmlformats.org/officeDocument/2006/relationships/hyperlink" Target="https://dspace.uzhnu.edu.ua/jspui/bitstream/lib/30522/1/&#1052;&#1086;&#1085;&#1086;&#1075;&#1088;&#1072;&#1092;_&#1042;&#1110;&#1082;&#1090;&#1086;&#1088;&#1110;&#1103;_&#1043;&#1077;&#1088;&#1073;&#1091;&#1090;%20&#1085;&#1086;&#1074;.pdf" TargetMode="External"/><Relationship Id="rId865" Type="http://schemas.openxmlformats.org/officeDocument/2006/relationships/hyperlink" Target="https://zakon.rada.gov.ua/laws/show/254%D0%BA/96-" TargetMode="External"/><Relationship Id="rId1050" Type="http://schemas.openxmlformats.org/officeDocument/2006/relationships/hyperlink" Target="http://reyestr.court.gov.ua/Review/95616034.13" TargetMode="External"/><Relationship Id="rId1288" Type="http://schemas.openxmlformats.org/officeDocument/2006/relationships/hyperlink" Target="https://protocol.ua/ua/visvitlennya_gurnalistami_informatsii_shchodo_moglivogo_rozkradannya_v_oboronniy_sferi_malo_znachniy_suspilniy_interes_i_e_otsinochnimi_sudgennyami_tomu_ne_viznaetsya_nedostovirnoyu_informatsieyu_shcho_porushue_osobisti_nemaynovi_prava_(vs_ktss_sprava_758_2931_19_vid_16_02_2022_r_)/" TargetMode="External"/><Relationship Id="rId1495" Type="http://schemas.openxmlformats.org/officeDocument/2006/relationships/hyperlink" Target="about:blank" TargetMode="External"/><Relationship Id="rId2101" Type="http://schemas.openxmlformats.org/officeDocument/2006/relationships/hyperlink" Target="http://lsej.org.ua/3_2017/40.pdf" TargetMode="External"/><Relationship Id="rId2546" Type="http://schemas.openxmlformats.org/officeDocument/2006/relationships/hyperlink" Target="https://niss.gov.ua/news/novyny-nisd/ekspertna-dyskusiya-stratehiya-povoyennoho-vidnovlennya-ukrayiny" TargetMode="External"/><Relationship Id="rId518" Type="http://schemas.openxmlformats.org/officeDocument/2006/relationships/hyperlink" Target="https://european-union.europa.eu/principles-countries-history/eu-enlargement_en" TargetMode="External"/><Relationship Id="rId725" Type="http://schemas.openxmlformats.org/officeDocument/2006/relationships/hyperlink" Target="https://fpk.in.ua/images/biblioteka/2bac_pravo/833------.---1.pdf" TargetMode="External"/><Relationship Id="rId932" Type="http://schemas.openxmlformats.org/officeDocument/2006/relationships/hyperlink" Target="https://zakon.rada.gov.ua/laws/show/889-19" TargetMode="External"/><Relationship Id="rId1148" Type="http://schemas.openxmlformats.org/officeDocument/2006/relationships/hyperlink" Target="https://zakon.rada.gov.ua/laws/show/5/2015" TargetMode="External"/><Relationship Id="rId1355" Type="http://schemas.openxmlformats.org/officeDocument/2006/relationships/hyperlink" Target="https://zakon.rada.gov.ua/laws/show/1875-20" TargetMode="External"/><Relationship Id="rId1562" Type="http://schemas.openxmlformats.org/officeDocument/2006/relationships/hyperlink" Target="https://verdictum.ligazakon.net/document/98524306" TargetMode="External"/><Relationship Id="rId2406" Type="http://schemas.openxmlformats.org/officeDocument/2006/relationships/hyperlink" Target="https://developer.mozilla.org/en-US/docs/Web/JavaScript" TargetMode="External"/><Relationship Id="rId2613" Type="http://schemas.openxmlformats.org/officeDocument/2006/relationships/hyperlink" Target="https://www.liebertpub.com/doi/10.1089/cyber.2019.0132" TargetMode="External"/><Relationship Id="rId1008" Type="http://schemas.openxmlformats.org/officeDocument/2006/relationships/hyperlink" Target="https://zakon.rada.gov.ua/laws/show/254%D0%BA/96-%D0%B2%D1%80" TargetMode="External"/><Relationship Id="rId1215" Type="http://schemas.openxmlformats.org/officeDocument/2006/relationships/hyperlink" Target="https://zakon.rada.gov.ua/laws/show/1698-18" TargetMode="External"/><Relationship Id="rId1422" Type="http://schemas.openxmlformats.org/officeDocument/2006/relationships/hyperlink" Target="http://lsej.org.ua/3_2022/18.pdf" TargetMode="External"/><Relationship Id="rId1867" Type="http://schemas.openxmlformats.org/officeDocument/2006/relationships/hyperlink" Target="https://zakon.rada.gov.ua/laws/show/389-14" TargetMode="External"/><Relationship Id="rId61" Type="http://schemas.openxmlformats.org/officeDocument/2006/relationships/hyperlink" Target="http://www.lsej.org.ua/6_2019/6.pdf" TargetMode="External"/><Relationship Id="rId1727" Type="http://schemas.openxmlformats.org/officeDocument/2006/relationships/hyperlink" Target="https://zakon.rada.gov.ua/laws/show/1548-96-&#1087;" TargetMode="External"/><Relationship Id="rId1934" Type="http://schemas.openxmlformats.org/officeDocument/2006/relationships/hyperlink" Target="https://ir.library.knu.ua/handle/123456789/2263" TargetMode="External"/><Relationship Id="rId19" Type="http://schemas.openxmlformats.org/officeDocument/2006/relationships/hyperlink" Target="https://zakon.rada.gov.ua/laws/show/v0758323-08" TargetMode="External"/><Relationship Id="rId2196" Type="http://schemas.openxmlformats.org/officeDocument/2006/relationships/hyperlink" Target="https://zakon.rada.gov.ua/laws/show/z0317-22" TargetMode="External"/><Relationship Id="rId168" Type="http://schemas.openxmlformats.org/officeDocument/2006/relationships/hyperlink" Target="https://zakon.rada.gov.ua/go/984_008-16" TargetMode="External"/><Relationship Id="rId375" Type="http://schemas.openxmlformats.org/officeDocument/2006/relationships/hyperlink" Target="http://journal-app.uzhnu.edu.ua/article/view/287378/281278" TargetMode="External"/><Relationship Id="rId582" Type="http://schemas.openxmlformats.org/officeDocument/2006/relationships/hyperlink" Target="https://www.ombudsman.gov.ua/uk/kerivni-principi-oon-z-pitan-vnutrishnogo-peremishchennya-vseredini-krayini" TargetMode="External"/><Relationship Id="rId2056" Type="http://schemas.openxmlformats.org/officeDocument/2006/relationships/hyperlink" Target="https://dspace.onua.edu.ua/items/d4fcee54-b69d-4da9-936c-159ae71c5438" TargetMode="External"/><Relationship Id="rId2263" Type="http://schemas.openxmlformats.org/officeDocument/2006/relationships/hyperlink" Target="https://app-journal.in.ua/wp-content/uploads/2023/05/64.pdf" TargetMode="External"/><Relationship Id="rId2470" Type="http://schemas.openxmlformats.org/officeDocument/2006/relationships/hyperlink" Target="https://hdl.handle.net/11300/27829" TargetMode="External"/><Relationship Id="rId3" Type="http://schemas.openxmlformats.org/officeDocument/2006/relationships/styles" Target="styles.xml"/><Relationship Id="rId235" Type="http://schemas.openxmlformats.org/officeDocument/2006/relationships/hyperlink" Target="https://doi.org/10.56163/2072-2524-2024-2-100-104" TargetMode="External"/><Relationship Id="rId442" Type="http://schemas.openxmlformats.org/officeDocument/2006/relationships/hyperlink" Target="https://www.osce.org/files/f/documents/4/7/232716.pdf" TargetMode="External"/><Relationship Id="rId887" Type="http://schemas.openxmlformats.org/officeDocument/2006/relationships/hyperlink" Target="https://icps.com.ua/assets/uploads/images/images/eu/pitannya_genderno_r_vnost_v_konstituc_ynomu_proces_.pdf" TargetMode="External"/><Relationship Id="rId1072" Type="http://schemas.openxmlformats.org/officeDocument/2006/relationships/hyperlink" Target="https://zakon.rada.gov.ua/laws/show/254&#1082;/96-&#1074;&#1088;" TargetMode="External"/><Relationship Id="rId2123" Type="http://schemas.openxmlformats.org/officeDocument/2006/relationships/hyperlink" Target="https://pravo-izdat.com.ua/" TargetMode="External"/><Relationship Id="rId2568" Type="http://schemas.openxmlformats.org/officeDocument/2006/relationships/hyperlink" Target="https://poltavawave.com.ua/p/golova-poltavskogo-sudu-povidomyv-pro-sprobu-pidkupu-suddi-u-spravi-pro-podil-kvartyry" TargetMode="External"/><Relationship Id="rId302" Type="http://schemas.openxmlformats.org/officeDocument/2006/relationships/hyperlink" Target="http://ela.kpi.ua/handle/123456789/4935" TargetMode="External"/><Relationship Id="rId747" Type="http://schemas.openxmlformats.org/officeDocument/2006/relationships/hyperlink" Target="http://msu.edu.ua/" TargetMode="External"/><Relationship Id="rId954" Type="http://schemas.openxmlformats.org/officeDocument/2006/relationships/hyperlink" Target="https://u24.gov.ua/uk/impact-report/intro" TargetMode="External"/><Relationship Id="rId1377" Type="http://schemas.openxmlformats.org/officeDocument/2006/relationships/hyperlink" Target="about:blank" TargetMode="External"/><Relationship Id="rId1584" Type="http://schemas.openxmlformats.org/officeDocument/2006/relationships/hyperlink" Target="https://lj.journal.kspu.edu/index.php/lj/article/view/438/398" TargetMode="External"/><Relationship Id="rId1791" Type="http://schemas.openxmlformats.org/officeDocument/2006/relationships/hyperlink" Target="https://zakon.rada.gov.ua/laws/show/995_154" TargetMode="External"/><Relationship Id="rId2428" Type="http://schemas.openxmlformats.org/officeDocument/2006/relationships/hyperlink" Target="https://shay-ag13200.medium.com/what-really-happened-to-faker-js-cd3b464beb7" TargetMode="External"/><Relationship Id="rId2635" Type="http://schemas.openxmlformats.org/officeDocument/2006/relationships/hyperlink" Target="https://imi.org.ua/" TargetMode="External"/><Relationship Id="rId83" Type="http://schemas.openxmlformats.org/officeDocument/2006/relationships/hyperlink" Target="https://zakon.rada.gov.ua/laws/show/241117?find" TargetMode="External"/><Relationship Id="rId607" Type="http://schemas.openxmlformats.org/officeDocument/2006/relationships/hyperlink" Target="https://www.theguardian.com/australia-news/2024/nov/30/australians-abroad-at-growing-risk-of-being-detained-and-used-as-pawns-by-rogue-nations-inquiry-warns" TargetMode="External"/><Relationship Id="rId814" Type="http://schemas.openxmlformats.org/officeDocument/2006/relationships/hyperlink" Target="https://surl.li/ajwpgo" TargetMode="External"/><Relationship Id="rId1237" Type="http://schemas.openxmlformats.org/officeDocument/2006/relationships/hyperlink" Target="https://ti-ukraine.org/en/news/obstacles-in-the-work-of-the-anti-corruption-ecosystem" TargetMode="External"/><Relationship Id="rId1444" Type="http://schemas.openxmlformats.org/officeDocument/2006/relationships/hyperlink" Target="https://reyestr.court.gov.ua/Review/115546305" TargetMode="External"/><Relationship Id="rId1651" Type="http://schemas.openxmlformats.org/officeDocument/2006/relationships/hyperlink" Target="https://itd.rada.gov.ua/billinfo/Bills/Card/40707" TargetMode="External"/><Relationship Id="rId1889" Type="http://schemas.openxmlformats.org/officeDocument/2006/relationships/hyperlink" Target="https://zakon.rada.gov.ua/laws/show/995_015" TargetMode="External"/><Relationship Id="rId1304" Type="http://schemas.openxmlformats.org/officeDocument/2006/relationships/hyperlink" Target="https://protocol.ua/ru/tipi_tsivilno_pravovih_dogovoriv_i_sponsorstvo_u_profesiynomu_sporti/" TargetMode="External"/><Relationship Id="rId1511" Type="http://schemas.openxmlformats.org/officeDocument/2006/relationships/hyperlink" Target="https://dspace.onua.edu.ua/server/api/core/bitstreams/8f022ffb-f71e-469b-a421-dd0b2efcdbf1/content" TargetMode="External"/><Relationship Id="rId1749" Type="http://schemas.openxmlformats.org/officeDocument/2006/relationships/hyperlink" Target="https://apir.org.ua/index.php/lais/article/view/419" TargetMode="External"/><Relationship Id="rId1956" Type="http://schemas.openxmlformats.org/officeDocument/2006/relationships/hyperlink" Target="https://doi.org/10.33244/2617-4154-1(8)-2022-222-229" TargetMode="External"/><Relationship Id="rId1609" Type="http://schemas.openxmlformats.org/officeDocument/2006/relationships/hyperlink" Target="https://zib.com.ua/ua/159550.html" TargetMode="External"/><Relationship Id="rId1816" Type="http://schemas.openxmlformats.org/officeDocument/2006/relationships/hyperlink" Target="http://nbuv.gov.ua/UJRN/vaau_2011_2_19" TargetMode="External"/><Relationship Id="rId10" Type="http://schemas.openxmlformats.org/officeDocument/2006/relationships/hyperlink" Target="https://law-dep.pu.if.ua/conference2014/articles/makarenko.pdf" TargetMode="External"/><Relationship Id="rId397" Type="http://schemas.openxmlformats.org/officeDocument/2006/relationships/hyperlink" Target="https://zakon.rada.gov.ua/laws/show/994_004" TargetMode="External"/><Relationship Id="rId2078" Type="http://schemas.openxmlformats.org/officeDocument/2006/relationships/hyperlink" Target="https://zakon.rada.gov.ua/laws/show/2341-14" TargetMode="External"/><Relationship Id="rId2285" Type="http://schemas.openxmlformats.org/officeDocument/2006/relationships/hyperlink" Target="URL:%20https://isap.sejm.gov.pl/isap.nsf/download.xsp/WDU19970890555/U/D19970555Lj.pdf" TargetMode="External"/><Relationship Id="rId2492" Type="http://schemas.openxmlformats.org/officeDocument/2006/relationships/hyperlink" Target="https://www.unian.ua/economics/other/chomu-viyna-navchila-biznes-shcho-vizhiv-12808908.html" TargetMode="External"/><Relationship Id="rId257" Type="http://schemas.openxmlformats.org/officeDocument/2006/relationships/hyperlink" Target="https://hudoc.echr.coe.int/fre" TargetMode="External"/><Relationship Id="rId464" Type="http://schemas.openxmlformats.org/officeDocument/2006/relationships/hyperlink" Target="https://www.ohchr.org/en/about-us/who-we-are" TargetMode="External"/><Relationship Id="rId1094" Type="http://schemas.openxmlformats.org/officeDocument/2006/relationships/hyperlink" Target="https://pravo.ua/iake-maibutnie-chekaie-na-vyshchyi-sud-z-pytan-intelektualnoi-vlasnosti/" TargetMode="External"/><Relationship Id="rId2145" Type="http://schemas.openxmlformats.org/officeDocument/2006/relationships/hyperlink" Target="https://dspace.univd.edu.ua/server/api/core/bitstreams/d50d39ac-2b50-40fd-95a9-6ef34c80b7b0/content" TargetMode="External"/><Relationship Id="rId117" Type="http://schemas.openxmlformats.org/officeDocument/2006/relationships/hyperlink" Target="http://dspace.nbuv.gov.ua/bitstream/handle/123456789/104852/07Vyrskyy.pdf?sequence=1" TargetMode="External"/><Relationship Id="rId671" Type="http://schemas.openxmlformats.org/officeDocument/2006/relationships/hyperlink" Target="https://data.unhcr.org/en/situations/ukraine" TargetMode="External"/><Relationship Id="rId769" Type="http://schemas.openxmlformats.org/officeDocument/2006/relationships/hyperlink" Target="https://www.locktonplferrari.com/posts/war-risks-and-mutual-p-i-cover" TargetMode="External"/><Relationship Id="rId976" Type="http://schemas.openxmlformats.org/officeDocument/2006/relationships/hyperlink" Target="https://journals.politehnica.dp.ua/index.php/lst/article/view/19" TargetMode="External"/><Relationship Id="rId1399" Type="http://schemas.openxmlformats.org/officeDocument/2006/relationships/hyperlink" Target="https://zakon.rada.gov.ua/laws/show/995_j67" TargetMode="External"/><Relationship Id="rId324" Type="http://schemas.openxmlformats.org/officeDocument/2006/relationships/hyperlink" Target="https://zakon.rada.gov.ua/laws/show/2297-17" TargetMode="External"/><Relationship Id="rId531" Type="http://schemas.openxmlformats.org/officeDocument/2006/relationships/hyperlink" Target="https://www.eurointegration.com.ua/news/2023/03/16/7158124/" TargetMode="External"/><Relationship Id="rId629" Type="http://schemas.openxmlformats.org/officeDocument/2006/relationships/hyperlink" Target="https://doi.org/10.32782/2524-0072/2022-46-34" TargetMode="External"/><Relationship Id="rId1161" Type="http://schemas.openxmlformats.org/officeDocument/2006/relationships/hyperlink" Target="http://nbuv.gov.ua/UJRN/Nponyua_2016_18_5" TargetMode="External"/><Relationship Id="rId1259" Type="http://schemas.openxmlformats.org/officeDocument/2006/relationships/hyperlink" Target="https://www.reuters.com/world/europe/ukraine-anti-graft-police-probing-dozens-defence-related-cases-2024-02-21/" TargetMode="External"/><Relationship Id="rId1466" Type="http://schemas.openxmlformats.org/officeDocument/2006/relationships/hyperlink" Target="https://hudoc.echr.coe.int/eng" TargetMode="External"/><Relationship Id="rId2005" Type="http://schemas.openxmlformats.org/officeDocument/2006/relationships/hyperlink" Target="https://zakon.rada.gov.ua/laws/show/2341-14" TargetMode="External"/><Relationship Id="rId2212" Type="http://schemas.openxmlformats.org/officeDocument/2006/relationships/hyperlink" Target="https://reyestr.court.gov.ua/Review/102801296" TargetMode="External"/><Relationship Id="rId836" Type="http://schemas.openxmlformats.org/officeDocument/2006/relationships/hyperlink" Target="https://climate.ec.europa.eu/eu-action/eu-emissions-trading-system-eu-ets/about-eu-ets_en" TargetMode="External"/><Relationship Id="rId1021" Type="http://schemas.openxmlformats.org/officeDocument/2006/relationships/hyperlink" Target="https://jurliga.ligazakon.net/ru/news/209874_robota-sudv-ukrani-v-umovakh-vonnogo-stanu" TargetMode="External"/><Relationship Id="rId1119" Type="http://schemas.openxmlformats.org/officeDocument/2006/relationships/hyperlink" Target="https://zakon.rada.gov.ua/laws/show/254%D0%BA/96-%D0%B2%D1%80" TargetMode="External"/><Relationship Id="rId1673" Type="http://schemas.openxmlformats.org/officeDocument/2006/relationships/hyperlink" Target="https://www.juris.vernadskyjournals.in.ua/journals/2021/6_2021/8.pdf?utm_source" TargetMode="External"/><Relationship Id="rId1880" Type="http://schemas.openxmlformats.org/officeDocument/2006/relationships/hyperlink" Target="https://www.researchgate.net/publication/375013033" TargetMode="External"/><Relationship Id="rId1978" Type="http://schemas.openxmlformats.org/officeDocument/2006/relationships/hyperlink" Target="https://don.gp.gov.ua/ua/news.html?_m=publications&amp;amp;_t=rec&amp;amp;id=377390&amp;amp;fp=130&amp;amp;s=print" TargetMode="External"/><Relationship Id="rId2517" Type="http://schemas.openxmlformats.org/officeDocument/2006/relationships/hyperlink" Target="https://revasco.com.ua/" TargetMode="External"/><Relationship Id="rId903" Type="http://schemas.openxmlformats.org/officeDocument/2006/relationships/hyperlink" Target="https://zakon.rada.gov.ua/laws/show/v002p710-16" TargetMode="External"/><Relationship Id="rId1326" Type="http://schemas.openxmlformats.org/officeDocument/2006/relationships/hyperlink" Target="https://barbashyn.law/statti/shtuchnyj-intelekt-pravove-regulyuvannya-v-ukrayini-ta-yes/" TargetMode="External"/><Relationship Id="rId1533" Type="http://schemas.openxmlformats.org/officeDocument/2006/relationships/hyperlink" Target="https://reyestr.court.gov.ua/Review/124558953" TargetMode="External"/><Relationship Id="rId1740" Type="http://schemas.openxmlformats.org/officeDocument/2006/relationships/hyperlink" Target="https://zahid.espreso.tv/36-rokiv-po-tomu-cherez-dii-rosiyskikh-okupantiv-na-chaesmalo-ne-povtorilas-nova-yaderna-zagroza" TargetMode="External"/><Relationship Id="rId32" Type="http://schemas.openxmlformats.org/officeDocument/2006/relationships/hyperlink" Target="https://ccu.gov.ua/sites/default/files/docs/11_p_2019.pdf" TargetMode="External"/><Relationship Id="rId1600" Type="http://schemas.openxmlformats.org/officeDocument/2006/relationships/hyperlink" Target="https://archer.chnu.edu.ua/xmlui/bitstream/handle/123456789/490/7%20Butyrska_Legal_expert.pdf?sequence=1&amp;isAllowed=y" TargetMode="External"/><Relationship Id="rId1838" Type="http://schemas.openxmlformats.org/officeDocument/2006/relationships/hyperlink" Target="https://zakon.rada.gov.ua/laws/show/2341-14" TargetMode="External"/><Relationship Id="rId181" Type="http://schemas.openxmlformats.org/officeDocument/2006/relationships/hyperlink" Target="https://www.axios.com/2025/02/24/ukraine-russia-un-resolution-trump" TargetMode="External"/><Relationship Id="rId1905" Type="http://schemas.openxmlformats.org/officeDocument/2006/relationships/hyperlink" Target="https://la-strada.org.ua/articles/seksualne-nasylstvo-v-umovah-vijny-algorytm-dopomogy.html" TargetMode="External"/><Relationship Id="rId279" Type="http://schemas.openxmlformats.org/officeDocument/2006/relationships/hyperlink" Target="https://gp.gov.ua/ua/posts/mizhnarodnij-kriminalnij-sud" TargetMode="External"/><Relationship Id="rId486" Type="http://schemas.openxmlformats.org/officeDocument/2006/relationships/hyperlink" Target="https://www.amnesty.org" TargetMode="External"/><Relationship Id="rId693" Type="http://schemas.openxmlformats.org/officeDocument/2006/relationships/hyperlink" Target="https://zakon.rada.gov.ua/laws/show/981_018" TargetMode="External"/><Relationship Id="rId2167" Type="http://schemas.openxmlformats.org/officeDocument/2006/relationships/hyperlink" Target="https://shorturl.at/wsLrm" TargetMode="External"/><Relationship Id="rId2581" Type="http://schemas.openxmlformats.org/officeDocument/2006/relationships/hyperlink" Target="https://www.worldcat.org/title/48218073" TargetMode="External"/><Relationship Id="rId139" Type="http://schemas.openxmlformats.org/officeDocument/2006/relationships/hyperlink" Target="https://zakon.rada.gov.ua/laws/show/995_092" TargetMode="External"/><Relationship Id="rId346" Type="http://schemas.openxmlformats.org/officeDocument/2006/relationships/hyperlink" Target="http://nowar.nbuv.gov.ua/post/0000006" TargetMode="External"/><Relationship Id="rId553" Type="http://schemas.openxmlformats.org/officeDocument/2006/relationships/hyperlink" Target="https://www.rienner.com/title/The_UN_Security_Council_From_the_Cold_War_to_the_21st_Century" TargetMode="External"/><Relationship Id="rId760" Type="http://schemas.openxmlformats.org/officeDocument/2006/relationships/hyperlink" Target="https://zakon.rada.gov.ua/laws/show/291-2022-%D0%BF" TargetMode="External"/><Relationship Id="rId998" Type="http://schemas.openxmlformats.org/officeDocument/2006/relationships/hyperlink" Target="https://zenodo.org/records/7198023" TargetMode="External"/><Relationship Id="rId1183" Type="http://schemas.openxmlformats.org/officeDocument/2006/relationships/hyperlink" Target="https://surl.li/vuryro" TargetMode="External"/><Relationship Id="rId1390" Type="http://schemas.openxmlformats.org/officeDocument/2006/relationships/hyperlink" Target="http://zakon.rada.gov.ua/laws/" TargetMode="External"/><Relationship Id="rId2027" Type="http://schemas.openxmlformats.org/officeDocument/2006/relationships/hyperlink" Target="https://surl.li/nrjuqo" TargetMode="External"/><Relationship Id="rId2234" Type="http://schemas.openxmlformats.org/officeDocument/2006/relationships/hyperlink" Target="https://zakon.rada.gov.ua/laws/show/974_460%23Text" TargetMode="External"/><Relationship Id="rId2441" Type="http://schemas.openxmlformats.org/officeDocument/2006/relationships/hyperlink" Target="https://shorturl.at/L9AJ3" TargetMode="External"/><Relationship Id="rId206" Type="http://schemas.openxmlformats.org/officeDocument/2006/relationships/hyperlink" Target="https://hudoc.echr.coe.int/eng" TargetMode="External"/><Relationship Id="rId413" Type="http://schemas.openxmlformats.org/officeDocument/2006/relationships/hyperlink" Target="https://zakon.rada.gov.ua/laws/show/995_207" TargetMode="External"/><Relationship Id="rId858" Type="http://schemas.openxmlformats.org/officeDocument/2006/relationships/hyperlink" Target="https://zakon.rada.gov.ua/laws/show/3477-15" TargetMode="External"/><Relationship Id="rId1043" Type="http://schemas.openxmlformats.org/officeDocument/2006/relationships/hyperlink" Target="https://zakon.rada.gov.ua/laws/show/27-20" TargetMode="External"/><Relationship Id="rId1488" Type="http://schemas.openxmlformats.org/officeDocument/2006/relationships/hyperlink" Target="about:blank" TargetMode="External"/><Relationship Id="rId1695" Type="http://schemas.openxmlformats.org/officeDocument/2006/relationships/hyperlink" Target="https://doi.org/10.24144/2788-6018.2022.05.32" TargetMode="External"/><Relationship Id="rId2539" Type="http://schemas.openxmlformats.org/officeDocument/2006/relationships/hyperlink" Target="https://doi.org/10.15421/1717138" TargetMode="External"/><Relationship Id="rId620" Type="http://schemas.openxmlformats.org/officeDocument/2006/relationships/hyperlink" Target="https://zakon.rada.gov.ua/laws/show/2709-15" TargetMode="External"/><Relationship Id="rId718" Type="http://schemas.openxmlformats.org/officeDocument/2006/relationships/hyperlink" Target="https://zakononline.com.ua/documents/show/141100___141100" TargetMode="External"/><Relationship Id="rId925" Type="http://schemas.openxmlformats.org/officeDocument/2006/relationships/hyperlink" Target="https://zakon.rada.gov.ua/laws/show/z1203-16" TargetMode="External"/><Relationship Id="rId1250" Type="http://schemas.openxmlformats.org/officeDocument/2006/relationships/hyperlink" Target="https://www.reuters.com/world/europe/ukraine-anti-graft-police-probing-dozens-defence-related-cases-2024-02-21/" TargetMode="External"/><Relationship Id="rId1348" Type="http://schemas.openxmlformats.org/officeDocument/2006/relationships/hyperlink" Target="about:blank" TargetMode="External"/><Relationship Id="rId1555" Type="http://schemas.openxmlformats.org/officeDocument/2006/relationships/hyperlink" Target="https://zakon.rada.gov.ua/laws/show/3985-20" TargetMode="External"/><Relationship Id="rId1762" Type="http://schemas.openxmlformats.org/officeDocument/2006/relationships/hyperlink" Target="https://zakon.rada.gov.ua/laws/show/4652-17" TargetMode="External"/><Relationship Id="rId2301" Type="http://schemas.openxmlformats.org/officeDocument/2006/relationships/hyperlink" Target="https://reyestr.court.gov.ua/Review/80304896" TargetMode="External"/><Relationship Id="rId2606" Type="http://schemas.openxmlformats.org/officeDocument/2006/relationships/hyperlink" Target="https://ir.kneu.edu.ua/handle/2010/45414" TargetMode="External"/><Relationship Id="rId1110" Type="http://schemas.openxmlformats.org/officeDocument/2006/relationships/hyperlink" Target="https://repository.mu.edu.ua/jspui/bitstream/123456789/7595/1/baran_zdiy_sem_2024_48.pdf" TargetMode="External"/><Relationship Id="rId1208" Type="http://schemas.openxmlformats.org/officeDocument/2006/relationships/hyperlink" Target="https://nabu.gov.ua/news/drugii-ep-zod-spravi-rotterdam-skeruvali-do-sudu/" TargetMode="External"/><Relationship Id="rId1415" Type="http://schemas.openxmlformats.org/officeDocument/2006/relationships/hyperlink" Target="about:blank" TargetMode="External"/><Relationship Id="rId54" Type="http://schemas.openxmlformats.org/officeDocument/2006/relationships/hyperlink" Target="http://dspace.wunu.edu.ua/bitstream/316497/6969/1/%D0%9F%D0%A0%D0%98%D0%9D%D0%A6%D0%98%D0%9F%D0%98%20%D0%AE%D0%A0%D0%98%D0%94%D0%98%D0%A7%D0%9D%D0%9E%D0%87%20%D0%92%D0%86%D0%94%D0%9F%D0%9E%D0%92%D0%86%D0%94%D0%90%D0%9B%D0%AC%D0%9D%D0%9E%D0%A1%D0%A2%D0%86.pdf" TargetMode="External"/><Relationship Id="rId1622" Type="http://schemas.openxmlformats.org/officeDocument/2006/relationships/hyperlink" Target="%20https://reyestr.court.gov.ua/Review/98523698" TargetMode="External"/><Relationship Id="rId1927" Type="http://schemas.openxmlformats.org/officeDocument/2006/relationships/hyperlink" Target="http://zakon3.rada.gov.ua/laws/show/4651-17" TargetMode="External"/><Relationship Id="rId2091" Type="http://schemas.openxmlformats.org/officeDocument/2006/relationships/hyperlink" Target="https://dspace.nlu.edu.ua/bitstream/123456789/18093/1/Haltsova_75-78.pdf" TargetMode="External"/><Relationship Id="rId2189" Type="http://schemas.openxmlformats.org/officeDocument/2006/relationships/hyperlink" Target="https://zakon.rada.gov.ua/laws/show/254%D0%BA/96-%D0%B2%D1%80" TargetMode="External"/><Relationship Id="rId270" Type="http://schemas.openxmlformats.org/officeDocument/2006/relationships/hyperlink" Target="https://scholar.google.com.ua/citations?user=t7PHLMkAAAAJ&amp;hl=uk&amp;oi=sra" TargetMode="External"/><Relationship Id="rId2396" Type="http://schemas.openxmlformats.org/officeDocument/2006/relationships/image" Target="media/image3.png"/><Relationship Id="rId130" Type="http://schemas.openxmlformats.org/officeDocument/2006/relationships/hyperlink" Target="https://zenodo.org/records/10078093" TargetMode="External"/><Relationship Id="rId368" Type="http://schemas.openxmlformats.org/officeDocument/2006/relationships/hyperlink" Target="https://docs.un.org/en/a/RES/56/83" TargetMode="External"/><Relationship Id="rId575" Type="http://schemas.openxmlformats.org/officeDocument/2006/relationships/hyperlink" Target="https://zakon.rada.gov.ua/laws/show/995_021" TargetMode="External"/><Relationship Id="rId782" Type="http://schemas.openxmlformats.org/officeDocument/2006/relationships/hyperlink" Target="https://surl.li/bflmgp" TargetMode="External"/><Relationship Id="rId2049" Type="http://schemas.openxmlformats.org/officeDocument/2006/relationships/hyperlink" Target="https://www.echr.coe.int/documents/d/echr/convention_ENG" TargetMode="External"/><Relationship Id="rId2256" Type="http://schemas.openxmlformats.org/officeDocument/2006/relationships/hyperlink" Target="https://www.law.cornell.edu/constitution" TargetMode="External"/><Relationship Id="rId2463" Type="http://schemas.openxmlformats.org/officeDocument/2006/relationships/hyperlink" Target="http://www.economy.nayka.com.ua/?op=1&amp;z=606" TargetMode="External"/><Relationship Id="rId228" Type="http://schemas.openxmlformats.org/officeDocument/2006/relationships/hyperlink" Target="https://ombudsman.gov.ua/report-2023/rozdil-5-ukraintsi-za-kordonom" TargetMode="External"/><Relationship Id="rId435" Type="http://schemas.openxmlformats.org/officeDocument/2006/relationships/hyperlink" Target="https://ir.kneu.edu.ua/server/api/core/bitstreams/8ede29cb-685d-4938-9d63-8906b64dee68/content" TargetMode="External"/><Relationship Id="rId642" Type="http://schemas.openxmlformats.org/officeDocument/2006/relationships/hyperlink" Target="https://uk.wikipedia.org/wiki/%D0%94%D0%B8%D0%BF%D0%BB%D0%BE%D0%BC%D0%B0%D1%82%D0%B8%D1%87%D0%BD%D0%B8%D0%B9_%D1%96%D0%BC%D1%83%D0%BD%D1%96%D1%82%D0%B5%D1%82" TargetMode="External"/><Relationship Id="rId1065" Type="http://schemas.openxmlformats.org/officeDocument/2006/relationships/hyperlink" Target="https://nabu.gov.ua/about-the-bureau/zasadi-roboti/zmist-ta-pryncypy-diyalnosti/" TargetMode="External"/><Relationship Id="rId1272" Type="http://schemas.openxmlformats.org/officeDocument/2006/relationships/hyperlink" Target="https://zn.ua/ukr/LAW/na-pjat-suddiv-ksu-vidibrali-desjat-kandidativ.html" TargetMode="External"/><Relationship Id="rId2116" Type="http://schemas.openxmlformats.org/officeDocument/2006/relationships/hyperlink" Target="https://www.academia.edu/19828311/" TargetMode="External"/><Relationship Id="rId2323" Type="http://schemas.openxmlformats.org/officeDocument/2006/relationships/hyperlink" Target="https://surl.lu/zqwwdc" TargetMode="External"/><Relationship Id="rId2530" Type="http://schemas.openxmlformats.org/officeDocument/2006/relationships/hyperlink" Target="https://dspace.onua.edu.ua/items/572ce9cd-12e6-49c5-b8c4-86f1646ad6d2" TargetMode="External"/><Relationship Id="rId502" Type="http://schemas.openxmlformats.org/officeDocument/2006/relationships/hyperlink" Target="http://visnyk-pravo.uzhnu.edu.ua/article/view/263505" TargetMode="External"/><Relationship Id="rId947" Type="http://schemas.openxmlformats.org/officeDocument/2006/relationships/hyperlink" Target="https://zakon.rada.gov.ua/laws/show/v001p710-99" TargetMode="External"/><Relationship Id="rId1132" Type="http://schemas.openxmlformats.org/officeDocument/2006/relationships/hyperlink" Target="https://zakon.rada.gov.ua/rada/show/n0001891-17" TargetMode="External"/><Relationship Id="rId1577" Type="http://schemas.openxmlformats.org/officeDocument/2006/relationships/hyperlink" Target="http://pd.onu.edu.ua/article/view/212976" TargetMode="External"/><Relationship Id="rId1784" Type="http://schemas.openxmlformats.org/officeDocument/2006/relationships/hyperlink" Target="https://zakon.rada.gov.ua/laws/show/4033-20" TargetMode="External"/><Relationship Id="rId1991" Type="http://schemas.openxmlformats.org/officeDocument/2006/relationships/hyperlink" Target="https://zakon.rada.gov.ua/laws/show/449-2017-&#1087;" TargetMode="External"/><Relationship Id="rId2628" Type="http://schemas.openxmlformats.org/officeDocument/2006/relationships/hyperlink" Target="https://ain.ua/2023/08/25/hto-takyy-lebigovych/" TargetMode="External"/><Relationship Id="rId76" Type="http://schemas.openxmlformats.org/officeDocument/2006/relationships/hyperlink" Target="https://chasopys.law.npu.kiev.ua/archive/22/18.pdf" TargetMode="External"/><Relationship Id="rId807" Type="http://schemas.openxmlformats.org/officeDocument/2006/relationships/hyperlink" Target="https://doi.org/10.32844/2618-1258.2020.6-2.50" TargetMode="External"/><Relationship Id="rId1437" Type="http://schemas.openxmlformats.org/officeDocument/2006/relationships/hyperlink" Target="https://reyestr.court.gov.ua/Review/104009407" TargetMode="External"/><Relationship Id="rId1644" Type="http://schemas.openxmlformats.org/officeDocument/2006/relationships/hyperlink" Target="https://economyandsociety.in.ua/index.php/journal/article/view/3235" TargetMode="External"/><Relationship Id="rId1851" Type="http://schemas.openxmlformats.org/officeDocument/2006/relationships/hyperlink" Target="https://ips.ligazakon.net/document/view/t233342?ed=2023_08_23&amp;an=21" TargetMode="External"/><Relationship Id="rId1504" Type="http://schemas.openxmlformats.org/officeDocument/2006/relationships/hyperlink" Target="https://dspace.onua.edu.ua/server/api/core/bitstreams/c892a2aa-d55e-4677-9149-14e834aadc4f/content" TargetMode="External"/><Relationship Id="rId1711" Type="http://schemas.openxmlformats.org/officeDocument/2006/relationships/hyperlink" Target="https://zakon.rada.gov.ua/laws/show/2136-%2020%23Text" TargetMode="External"/><Relationship Id="rId1949" Type="http://schemas.openxmlformats.org/officeDocument/2006/relationships/hyperlink" Target="https://lawjournal.com.ua/uk/journals/tom-11-1-2021/moralno-etichni-zasadi-v-diyalnosti-spetsialista-poligrafologa" TargetMode="External"/><Relationship Id="rId292" Type="http://schemas.openxmlformats.org/officeDocument/2006/relationships/hyperlink" Target="https://zakon.rada.gov.ua/laws/show/994_062" TargetMode="External"/><Relationship Id="rId1809" Type="http://schemas.openxmlformats.org/officeDocument/2006/relationships/hyperlink" Target="https://www.journals.elsevier.com/journal-of-law-and-psychiatry" TargetMode="External"/><Relationship Id="rId597" Type="http://schemas.openxmlformats.org/officeDocument/2006/relationships/hyperlink" Target="https://ivinas.gov.ua/viina-rf-proty-ukrainy/ekolohichni-naslidky-viiny-rosii-proty-ukrainy.html" TargetMode="External"/><Relationship Id="rId2180" Type="http://schemas.openxmlformats.org/officeDocument/2006/relationships/hyperlink" Target="https://zakon.rada.gov.ua/laws/show/64/2022" TargetMode="External"/><Relationship Id="rId2278" Type="http://schemas.openxmlformats.org/officeDocument/2006/relationships/hyperlink" Target="https://zakon.rada.gov.ua/laws/show/4651-17" TargetMode="External"/><Relationship Id="rId2485" Type="http://schemas.openxmlformats.org/officeDocument/2006/relationships/hyperlink" Target="https://efinancemanagement.com/investment-decisions/factors-affecting-cost-of-capital" TargetMode="External"/><Relationship Id="rId152" Type="http://schemas.openxmlformats.org/officeDocument/2006/relationships/hyperlink" Target="https://zakon.rada.gov.ua/laws/show/995_232" TargetMode="External"/><Relationship Id="rId457" Type="http://schemas.openxmlformats.org/officeDocument/2006/relationships/hyperlink" Target="http://mego.info/%D0%BA%D0%BE%D0%BB%D1%96%D0%B7%D1%96%D0%B9%D0%BD%D1%96-%D0%BD%D0%BE%D1%80%D0%BC%D0%B8-%D0%B2-%D0%BC%D1%96%D0%B6%D0%BD%D0%B0%D1%80%D0%BE%D0%B4%D0%BD%D0%BE%D0%BC%D1%83-%D0%BF%D1%80%D0%B8%D0%B2%D0%B0%D1%82%D0%BD%D0%BE%D0%BC%D1%83-%D0%BF%D1%80%D0%B0%D0%B2%D1%96?page=3" TargetMode="External"/><Relationship Id="rId1087" Type="http://schemas.openxmlformats.org/officeDocument/2006/relationships/hyperlink" Target="https://ir.kneu.edu.ua/items/fc8d926c-9ed0-474b-a1d9-c5ce1c68a352" TargetMode="External"/><Relationship Id="rId1294" Type="http://schemas.openxmlformats.org/officeDocument/2006/relationships/hyperlink" Target="URL:%20https://zakon.rada.gov.ua/laws/show/995_835%23Text%20" TargetMode="External"/><Relationship Id="rId2040" Type="http://schemas.openxmlformats.org/officeDocument/2006/relationships/hyperlink" Target="https://univd.edu.ua/general/publishing/konf/21_11_2018/pdf/95.pdf" TargetMode="External"/><Relationship Id="rId2138" Type="http://schemas.openxmlformats.org/officeDocument/2006/relationships/hyperlink" Target="https://zakon.rada.gov.ua/laws/show/160-19" TargetMode="External"/><Relationship Id="rId664" Type="http://schemas.openxmlformats.org/officeDocument/2006/relationships/hyperlink" Target="https://www.osce.org/odihr/522616" TargetMode="External"/><Relationship Id="rId871" Type="http://schemas.openxmlformats.org/officeDocument/2006/relationships/hyperlink" Target="https://www.researchgate.net/journal/CES-Derecho-2145-7719?_tp=eyJjb250ZXh0Ijp7ImZpcnN0UGFnZSI6InB1YmxpY2F0aW9uIiwicGFnZSI6InB1YmxpY2F0aW9uIn19" TargetMode="External"/><Relationship Id="rId969" Type="http://schemas.openxmlformats.org/officeDocument/2006/relationships/hyperlink" Target="https://www.pfu.gov.ua/2150987-misiya-bachennya-ta-tsinnosti/" TargetMode="External"/><Relationship Id="rId1599" Type="http://schemas.openxmlformats.org/officeDocument/2006/relationships/hyperlink" Target="https://vkp.ua/publication/ekspert_u_galuzi_prava_suddya_na_frilansi" TargetMode="External"/><Relationship Id="rId2552" Type="http://schemas.openxmlformats.org/officeDocument/2006/relationships/hyperlink" Target="https://stud.com.ua/15949/pravo/organizatsiya_obyednanih_natsiy_spetsializovani_ustanovi" TargetMode="External"/><Relationship Id="rId317" Type="http://schemas.openxmlformats.org/officeDocument/2006/relationships/hyperlink" Target="https://doi.org/10.33099/2304-2745/2022-3-76/18-23" TargetMode="External"/><Relationship Id="rId524" Type="http://schemas.openxmlformats.org/officeDocument/2006/relationships/hyperlink" Target="https://www.academia.edu/4211406/The_Doctrine_of_the_Inter_American_Court_of_Human_Rights_Regarding_States_Duty_to_Punish_Human_Rights_Violations_and_Its_Dangers" TargetMode="External"/><Relationship Id="rId731" Type="http://schemas.openxmlformats.org/officeDocument/2006/relationships/hyperlink" Target="https://bloginside.in.ua/&#1058;&#1088;&#1080;-&#1075;&#1088;&#1110;&#1093;&#1080;-&#1084;&#1080;&#1090;&#1085;&#1086;&#1111;-&#1074;&#1072;&#1088;&#1090;&#1086;&#1089;&#1090;&#1110;/" TargetMode="External"/><Relationship Id="rId1154" Type="http://schemas.openxmlformats.org/officeDocument/2006/relationships/hyperlink" Target="https://www.dsnews.ua/ukr/politics/dvi-tretini-ukrajinciv-vvazhayut-shcho-korupciji-v-derzhavi-za-ostanniy-rik-pobilshalo-04022025-516160" TargetMode="External"/><Relationship Id="rId1361" Type="http://schemas.openxmlformats.org/officeDocument/2006/relationships/hyperlink" Target="https://hdl.handle.net/11300/20289" TargetMode="External"/><Relationship Id="rId1459" Type="http://schemas.openxmlformats.org/officeDocument/2006/relationships/hyperlink" Target="https://zakon.rada.gov.ua/go/1875-IX" TargetMode="External"/><Relationship Id="rId2205" Type="http://schemas.openxmlformats.org/officeDocument/2006/relationships/hyperlink" Target="https://zakon.rada.gov.ua/laws/show/995_043" TargetMode="External"/><Relationship Id="rId2412" Type="http://schemas.openxmlformats.org/officeDocument/2006/relationships/hyperlink" Target="https://uk.javascript.info/" TargetMode="External"/><Relationship Id="rId98" Type="http://schemas.openxmlformats.org/officeDocument/2006/relationships/hyperlink" Target="https://javalibre.com.ua/java-book/book/2917396" TargetMode="External"/><Relationship Id="rId829" Type="http://schemas.openxmlformats.org/officeDocument/2006/relationships/hyperlink" Target="https://www.eea.europa.eu/en/analysis/indicators/marine-protected-areas-in-europes-seas" TargetMode="External"/><Relationship Id="rId1014" Type="http://schemas.openxmlformats.org/officeDocument/2006/relationships/hyperlink" Target="http://zakon0.rada.gov.ua/laws/show/851-15" TargetMode="External"/><Relationship Id="rId1221" Type="http://schemas.openxmlformats.org/officeDocument/2006/relationships/hyperlink" Target="https://ti-ukraine.org/en/news/obstacles-in-the-work-of-the-anti-corruption-ecosystem" TargetMode="External"/><Relationship Id="rId1666" Type="http://schemas.openxmlformats.org/officeDocument/2006/relationships/hyperlink" Target="https://zakon.rada.gov.ua/laws/show/2694-12" TargetMode="External"/><Relationship Id="rId1873" Type="http://schemas.openxmlformats.org/officeDocument/2006/relationships/hyperlink" Target="http://www.lsej.org.ua/2_2014/2_2014.pdf" TargetMode="External"/><Relationship Id="rId1319" Type="http://schemas.openxmlformats.org/officeDocument/2006/relationships/hyperlink" Target="http://newukrainianlaw.in.ua/index.php/journal/article/view/319" TargetMode="External"/><Relationship Id="rId1526" Type="http://schemas.openxmlformats.org/officeDocument/2006/relationships/hyperlink" Target="https://zakon.rada.gov.ua/laws/show/2275-19" TargetMode="External"/><Relationship Id="rId1733" Type="http://schemas.openxmlformats.org/officeDocument/2006/relationships/hyperlink" Target="https://surl.li/qwaxke" TargetMode="External"/><Relationship Id="rId1940" Type="http://schemas.openxmlformats.org/officeDocument/2006/relationships/hyperlink" Target="https://doi.org/10.32782/2524-0374/2024-2/119" TargetMode="External"/><Relationship Id="rId25" Type="http://schemas.openxmlformats.org/officeDocument/2006/relationships/hyperlink" Target="http://jnas.nbuv.gov.ua/j-pdf/Chkup_2018_4_23.pdf" TargetMode="External"/><Relationship Id="rId1800" Type="http://schemas.openxmlformats.org/officeDocument/2006/relationships/hyperlink" Target="https://zakon.rada.gov.ua/laws/show/2341-14" TargetMode="External"/><Relationship Id="rId174" Type="http://schemas.openxmlformats.org/officeDocument/2006/relationships/hyperlink" Target="https://surli.cc/wwyzyd" TargetMode="External"/><Relationship Id="rId381" Type="http://schemas.openxmlformats.org/officeDocument/2006/relationships/hyperlink" Target="https://surl.lu/uzvopg" TargetMode="External"/><Relationship Id="rId2062" Type="http://schemas.openxmlformats.org/officeDocument/2006/relationships/hyperlink" Target="https://www.echr.coe.int/documents/d/echr/convention_ENG" TargetMode="External"/><Relationship Id="rId241" Type="http://schemas.openxmlformats.org/officeDocument/2006/relationships/hyperlink" Target="https://jurfem.com.ua/protsedura-vyznannya-osoby-bezvisno-vidsutnyoyu-pid-chas-voennoho-stanu/" TargetMode="External"/><Relationship Id="rId479" Type="http://schemas.openxmlformats.org/officeDocument/2006/relationships/hyperlink" Target="http://nbuv.gov.ua/UJRN/Nzizvru_2016_3_16" TargetMode="External"/><Relationship Id="rId686" Type="http://schemas.openxmlformats.org/officeDocument/2006/relationships/hyperlink" Target="https://ukraine.ohchr.org/uk/Treatment-of-prisoners-of-war-and-Update-on-the-human-rights-situation-1-June-to-31-August-2024" TargetMode="External"/><Relationship Id="rId893" Type="http://schemas.openxmlformats.org/officeDocument/2006/relationships/hyperlink" Target="https://www.facebook.com/supremecourt.ua/posts/990739245034294" TargetMode="External"/><Relationship Id="rId2574" Type="http://schemas.openxmlformats.org/officeDocument/2006/relationships/hyperlink" Target="https://en.wikipedia.org/wiki/Foreign_relation" TargetMode="External"/><Relationship Id="rId339" Type="http://schemas.openxmlformats.org/officeDocument/2006/relationships/hyperlink" Target="https://apps.who.int/gb/ebwha/pdf_files/WHA72/A72_30-en.pdf" TargetMode="External"/><Relationship Id="rId546" Type="http://schemas.openxmlformats.org/officeDocument/2006/relationships/hyperlink" Target="https://brill.com/view/journals/joup/1/2/article-p74_.xml?language=en&amp;srsltid=AfmBOoreM2bt6p8K97Rz7JeRWEwjggJJ_G3yEYTx1VvzucuSRY8tTfej" TargetMode="External"/><Relationship Id="rId753" Type="http://schemas.openxmlformats.org/officeDocument/2006/relationships/hyperlink" Target="https://zakon.rada.gov.ua/laws/show/974_h08" TargetMode="External"/><Relationship Id="rId1176" Type="http://schemas.openxmlformats.org/officeDocument/2006/relationships/hyperlink" Target="https://zakon.rada.gov.ua/laws/show/4651-17" TargetMode="External"/><Relationship Id="rId1383" Type="http://schemas.openxmlformats.org/officeDocument/2006/relationships/hyperlink" Target="about:blank" TargetMode="External"/><Relationship Id="rId2227" Type="http://schemas.openxmlformats.org/officeDocument/2006/relationships/hyperlink" Target="https://doi.org/10.18524/2411-2054.2024.54.304881" TargetMode="External"/><Relationship Id="rId2434" Type="http://schemas.openxmlformats.org/officeDocument/2006/relationships/hyperlink" Target="https://www.weforum.org/publications/global-risks-report-2025/" TargetMode="External"/><Relationship Id="rId101" Type="http://schemas.openxmlformats.org/officeDocument/2006/relationships/hyperlink" Target="https://ua.boell.org/sites/default/files/antologiya-dlya-bollya.pdf" TargetMode="External"/><Relationship Id="rId406" Type="http://schemas.openxmlformats.org/officeDocument/2006/relationships/hyperlink" Target="https://www.ohchr.org/en/instruments-mechanisms/instruments/international-covenant-civil-and-political-rights" TargetMode="External"/><Relationship Id="rId960" Type="http://schemas.openxmlformats.org/officeDocument/2006/relationships/hyperlink" Target="https://zakon.rada.gov.ua/laws/show/27-20" TargetMode="External"/><Relationship Id="rId1036" Type="http://schemas.openxmlformats.org/officeDocument/2006/relationships/hyperlink" Target="https://yur-gazeta.com/publications/practice/podatkova-praktika/zabezpechennya-pozovu-v-podatkovih-sporah.html" TargetMode="External"/><Relationship Id="rId1243" Type="http://schemas.openxmlformats.org/officeDocument/2006/relationships/hyperlink" Target="https://www.reuters.com/world/europe/ukraine-anti-graft-police-probing-dozens-defence-related-cases-2024-02-21/" TargetMode="External"/><Relationship Id="rId1590" Type="http://schemas.openxmlformats.org/officeDocument/2006/relationships/hyperlink" Target="https://zakon.rada.gov.ua/laws/show/994_b06" TargetMode="External"/><Relationship Id="rId1688" Type="http://schemas.openxmlformats.org/officeDocument/2006/relationships/hyperlink" Target="https://zakon.rada.gov.ua/laws/show/2011-12" TargetMode="External"/><Relationship Id="rId1895" Type="http://schemas.openxmlformats.org/officeDocument/2006/relationships/hyperlink" Target="https://zakon.rada.gov.ua/laws/show/2275-19" TargetMode="External"/><Relationship Id="rId2641" Type="http://schemas.openxmlformats.org/officeDocument/2006/relationships/fontTable" Target="fontTable.xml"/><Relationship Id="rId613" Type="http://schemas.openxmlformats.org/officeDocument/2006/relationships/hyperlink" Target="https://dictionary.cambridge.org/dictionary/english-ukrainian/freedom" TargetMode="External"/><Relationship Id="rId820" Type="http://schemas.openxmlformats.org/officeDocument/2006/relationships/hyperlink" Target="https://www.legislation.gov.uk/ukpga/2015/4/contents" TargetMode="External"/><Relationship Id="rId918" Type="http://schemas.openxmlformats.org/officeDocument/2006/relationships/hyperlink" Target="https://www.oge.gov/" TargetMode="External"/><Relationship Id="rId1450" Type="http://schemas.openxmlformats.org/officeDocument/2006/relationships/hyperlink" Target="https://reyestr.court.gov.ua/Review/95066994" TargetMode="External"/><Relationship Id="rId1548" Type="http://schemas.openxmlformats.org/officeDocument/2006/relationships/hyperlink" Target="https://dspace.onua.edu.ua/items/007028d4-9061-46e5-9d6b-6a75ec7a7dff" TargetMode="External"/><Relationship Id="rId1755" Type="http://schemas.openxmlformats.org/officeDocument/2006/relationships/hyperlink" Target="https://zakon.rada.gov.ua/laws/show/2341-14" TargetMode="External"/><Relationship Id="rId2501" Type="http://schemas.openxmlformats.org/officeDocument/2006/relationships/hyperlink" Target="http://nbuv.gov.ua/UJRN/Sepid_2017_1_5" TargetMode="External"/><Relationship Id="rId1103" Type="http://schemas.openxmlformats.org/officeDocument/2006/relationships/hyperlink" Target="https://zakon.rada.gov.ua/laws/show/4330-IX%23Text" TargetMode="External"/><Relationship Id="rId1310" Type="http://schemas.openxmlformats.org/officeDocument/2006/relationships/hyperlink" Target="https://zakon.rada.gov.ua/laws/show/164-2022-%D0%BF" TargetMode="External"/><Relationship Id="rId1408" Type="http://schemas.openxmlformats.org/officeDocument/2006/relationships/hyperlink" Target="https://zakon.rada.gov.ua/laws/show/1618-15" TargetMode="External"/><Relationship Id="rId1962" Type="http://schemas.openxmlformats.org/officeDocument/2006/relationships/hyperlink" Target="https://unesdoc.unesco.org/ark:/48223/pf0000388298" TargetMode="External"/><Relationship Id="rId47" Type="http://schemas.openxmlformats.org/officeDocument/2006/relationships/hyperlink" Target="https://zakon.rada.gov.ua/laws/show/2229-19" TargetMode="External"/><Relationship Id="rId1615" Type="http://schemas.openxmlformats.org/officeDocument/2006/relationships/hyperlink" Target="https://doi.org/10.32782/2524-0072/2022-38-56" TargetMode="External"/><Relationship Id="rId1822" Type="http://schemas.openxmlformats.org/officeDocument/2006/relationships/hyperlink" Target="https://zakon.rada.gov.ua/laws/show/840_057" TargetMode="External"/><Relationship Id="rId196" Type="http://schemas.openxmlformats.org/officeDocument/2006/relationships/hyperlink" Target="https://www.unesco.org/en/legal-affairs/protocol-convention-protection-cultural-property-event-armed-conflict" TargetMode="External"/><Relationship Id="rId2084" Type="http://schemas.openxmlformats.org/officeDocument/2006/relationships/hyperlink" Target="https://zakon.rada.gov.ua/laws/show/z0990-14" TargetMode="External"/><Relationship Id="rId2291" Type="http://schemas.openxmlformats.org/officeDocument/2006/relationships/hyperlink" Target="https://zakon.rada.gov.ua/laws/show/980_004" TargetMode="External"/><Relationship Id="rId263" Type="http://schemas.openxmlformats.org/officeDocument/2006/relationships/hyperlink" Target="https://advokat-narodu.com/blog/grazdanskoe-pravo/procesualni-stroki-u-period-vojennogo-stanu" TargetMode="External"/><Relationship Id="rId470" Type="http://schemas.openxmlformats.org/officeDocument/2006/relationships/hyperlink" Target="https://www.ohchr.org/en" TargetMode="External"/><Relationship Id="rId2151" Type="http://schemas.openxmlformats.org/officeDocument/2006/relationships/hyperlink" Target="https://suspilne.media/524201-akbi-igor-gumenuk-ne-pidirvav-sebe-virok-mig-buti-do-kinca-roku-kiivska-miska-prokuratura/" TargetMode="External"/><Relationship Id="rId2596" Type="http://schemas.openxmlformats.org/officeDocument/2006/relationships/hyperlink" Target="https://skilky-skilky.info/v-ukraini-nalichuietsia-4-6-mln-vnutrishno-peremishchenykh-osib/?utm_source" TargetMode="External"/><Relationship Id="rId123" Type="http://schemas.openxmlformats.org/officeDocument/2006/relationships/hyperlink" Target="https://biblio.lib.kherson.ua/ruska-pravda.htm" TargetMode="External"/><Relationship Id="rId330" Type="http://schemas.openxmlformats.org/officeDocument/2006/relationships/hyperlink" Target="http://www.irbis-nbuv.gov.ua/cgi-bin/irbis_nbuv/cgiirbis_64.exe?I21DBN=LINK&amp;P21DBN=UJRN&amp;Z21ID=&amp;S21REF=10&amp;S21CNR=20&amp;S21STN=1&amp;S21FMT=ASP_meta&amp;C21COM=S&amp;2_S21P03=FILA=&amp;2_S21STR=vapny_2010_1_21" TargetMode="External"/><Relationship Id="rId568" Type="http://schemas.openxmlformats.org/officeDocument/2006/relationships/hyperlink" Target="URL:https://www.icc-cpi.int" TargetMode="External"/><Relationship Id="rId775" Type="http://schemas.openxmlformats.org/officeDocument/2006/relationships/hyperlink" Target="https://zakon.rada.gov.ua/laws/show/254%D0%BA/96-%D0%B2%D1%80" TargetMode="External"/><Relationship Id="rId982" Type="http://schemas.openxmlformats.org/officeDocument/2006/relationships/hyperlink" Target="https://zakon.rada.gov.ua/laws/show/2755-17" TargetMode="External"/><Relationship Id="rId1198" Type="http://schemas.openxmlformats.org/officeDocument/2006/relationships/hyperlink" Target="https://glavcom.ua/country/politics/antikorupciyniy-sud-peremoga-yaku-ne-chekali-503623.html" TargetMode="External"/><Relationship Id="rId2011" Type="http://schemas.openxmlformats.org/officeDocument/2006/relationships/hyperlink" Target="https://zakon.rada.gov.ua/laws/show/254%D0%BA/96-%D0%B2%D1%80" TargetMode="External"/><Relationship Id="rId2249" Type="http://schemas.openxmlformats.org/officeDocument/2006/relationships/hyperlink" Target="https://zakon.rada.gov.ua/laws/show/4651-17" TargetMode="External"/><Relationship Id="rId2456" Type="http://schemas.openxmlformats.org/officeDocument/2006/relationships/hyperlink" Target="https://helpx.adobe.com/photoshop/using/layer-basics.html" TargetMode="External"/><Relationship Id="rId428" Type="http://schemas.openxmlformats.org/officeDocument/2006/relationships/hyperlink" Target="URL:http://politics.ellib.org.ua/pages-cat-51.html" TargetMode="External"/><Relationship Id="rId635" Type="http://schemas.openxmlformats.org/officeDocument/2006/relationships/hyperlink" Target="https://zakon.rada.gov.ua/laws/show/995_154" TargetMode="External"/><Relationship Id="rId842" Type="http://schemas.openxmlformats.org/officeDocument/2006/relationships/hyperlink" Target="https://zakon.rada.gov.ua/laws/show/2755-17" TargetMode="External"/><Relationship Id="rId1058" Type="http://schemas.openxmlformats.org/officeDocument/2006/relationships/hyperlink" Target="https://zakon.rada.gov.ua/laws/show/254%D0%BA/96%D0%B2%D1%80" TargetMode="External"/><Relationship Id="rId1265" Type="http://schemas.openxmlformats.org/officeDocument/2006/relationships/hyperlink" Target="https://www.reuters.com/world/europe/ukraine-anti-graft-police-probing-dozens-defence-related-cases-2024-02-21/" TargetMode="External"/><Relationship Id="rId1472" Type="http://schemas.openxmlformats.org/officeDocument/2006/relationships/hyperlink" Target="about:blank" TargetMode="External"/><Relationship Id="rId2109" Type="http://schemas.openxmlformats.org/officeDocument/2006/relationships/hyperlink" Target="https://reyestr.court.gov.ua/Review/117999537" TargetMode="External"/><Relationship Id="rId2316" Type="http://schemas.openxmlformats.org/officeDocument/2006/relationships/hyperlink" Target="https://reyestr.court.gov.ua/Review/97736430" TargetMode="External"/><Relationship Id="rId2523" Type="http://schemas.openxmlformats.org/officeDocument/2006/relationships/hyperlink" Target="https://life.pravda.com.ua/society/2011/07/01/81074/" TargetMode="External"/><Relationship Id="rId702" Type="http://schemas.openxmlformats.org/officeDocument/2006/relationships/hyperlink" Target="https://zakon.rada.gov.ua/laws/show/435-15" TargetMode="External"/><Relationship Id="rId1125" Type="http://schemas.openxmlformats.org/officeDocument/2006/relationships/hyperlink" Target="http://yurvisnyk.in.ua/v5_2022/18.pdf" TargetMode="External"/><Relationship Id="rId1332" Type="http://schemas.openxmlformats.org/officeDocument/2006/relationships/hyperlink" Target="https://zakon.rada.gov.ua/laws/show/123/96-%D0%B2%D1%80" TargetMode="External"/><Relationship Id="rId1777" Type="http://schemas.openxmlformats.org/officeDocument/2006/relationships/hyperlink" Target="https://hdl.handle.net/11300/24489" TargetMode="External"/><Relationship Id="rId1984" Type="http://schemas.openxmlformats.org/officeDocument/2006/relationships/hyperlink" Target="http://www.lsej.org.ua/1_2024/147.pdf" TargetMode="External"/><Relationship Id="rId69" Type="http://schemas.openxmlformats.org/officeDocument/2006/relationships/hyperlink" Target="https://doi.org/10.59226/2786-6920.2.2023.79-86" TargetMode="External"/><Relationship Id="rId1637" Type="http://schemas.openxmlformats.org/officeDocument/2006/relationships/hyperlink" Target="https://reyestr.court.gov.ua/Review/109488712" TargetMode="External"/><Relationship Id="rId1844" Type="http://schemas.openxmlformats.org/officeDocument/2006/relationships/hyperlink" Target="https://zakon.rada.gov.ua/laws/show/v006p710-21" TargetMode="External"/><Relationship Id="rId1704" Type="http://schemas.openxmlformats.org/officeDocument/2006/relationships/hyperlink" Target="https://zakon.rada.gov.ua/laws/show/254&#1082;/96-&#1074;&#1088;" TargetMode="External"/><Relationship Id="rId285" Type="http://schemas.openxmlformats.org/officeDocument/2006/relationships/hyperlink" Target="https://zakon.rada.gov.ua/laws/show/v002p710-16" TargetMode="External"/><Relationship Id="rId1911" Type="http://schemas.openxmlformats.org/officeDocument/2006/relationships/hyperlink" Target="https://zakon.rada.gov.ua/laws/show/v0010700-09" TargetMode="External"/><Relationship Id="rId492" Type="http://schemas.openxmlformats.org/officeDocument/2006/relationships/hyperlink" Target="https://zakon.rada.gov.ua/laws/show/974_851" TargetMode="External"/><Relationship Id="rId797" Type="http://schemas.openxmlformats.org/officeDocument/2006/relationships/hyperlink" Target="https://doi.org/10.15421/392162" TargetMode="External"/><Relationship Id="rId2173" Type="http://schemas.openxmlformats.org/officeDocument/2006/relationships/hyperlink" Target="https://dspace.onua.edu.ua/items/6282419f-600e-4d4f-98f2-08aa4faa9a90" TargetMode="External"/><Relationship Id="rId2478" Type="http://schemas.openxmlformats.org/officeDocument/2006/relationships/hyperlink" Target="https://www.epam.com/about/who-we-are/history" TargetMode="External"/><Relationship Id="rId145" Type="http://schemas.openxmlformats.org/officeDocument/2006/relationships/hyperlink" Target="https://zakon.rada.gov.ua/laws/show/2402-14" TargetMode="External"/><Relationship Id="rId352" Type="http://schemas.openxmlformats.org/officeDocument/2006/relationships/hyperlink" Target="https://www.coe.int/uk/web/kyiv/protecting-the-rights-of-ukrainian-children-during-and-in-post-war-context" TargetMode="External"/><Relationship Id="rId1287" Type="http://schemas.openxmlformats.org/officeDocument/2006/relationships/hyperlink" Target="https://protocol.ua/ua/sud_rozgoloshennya_gurnalistom_likarskoi_taemnitsi_stalo_pidstavoyu_dlya_zvernennya_pozivacha_do_sudu_z_pozovom_do_nogo_pro_vidshkoduvannya_moralnoi_shkodi_shcho_buv_zadovoleniy_(apelyatsiyniy_sud_lvivskoi_oblasti_sprava_460_1849_15_21_11_16)/" TargetMode="External"/><Relationship Id="rId2033" Type="http://schemas.openxmlformats.org/officeDocument/2006/relationships/hyperlink" Target="https://apsijournal.com/" TargetMode="External"/><Relationship Id="rId2240" Type="http://schemas.openxmlformats.org/officeDocument/2006/relationships/hyperlink" Target="https://reyestr.court.gov.ua/Review/122272945" TargetMode="External"/><Relationship Id="rId212" Type="http://schemas.openxmlformats.org/officeDocument/2006/relationships/hyperlink" Target="https://hudoc.echr.coe.int/eng?i=001-180499" TargetMode="External"/><Relationship Id="rId657" Type="http://schemas.openxmlformats.org/officeDocument/2006/relationships/hyperlink" Target="https://visnyk-juris-uzhnu.com/wp-content/uploads/2024/07/23.pdf" TargetMode="External"/><Relationship Id="rId864" Type="http://schemas.openxmlformats.org/officeDocument/2006/relationships/hyperlink" Target="https://doi.org/10.24144/2307-3322.2022.76.2.16" TargetMode="External"/><Relationship Id="rId1494" Type="http://schemas.openxmlformats.org/officeDocument/2006/relationships/hyperlink" Target="about:blank" TargetMode="External"/><Relationship Id="rId1799" Type="http://schemas.openxmlformats.org/officeDocument/2006/relationships/hyperlink" Target="https://www.justice.gov.ua" TargetMode="External"/><Relationship Id="rId2100" Type="http://schemas.openxmlformats.org/officeDocument/2006/relationships/hyperlink" Target="https://zakon.rada.gov.ua/laws/show/1129-15" TargetMode="External"/><Relationship Id="rId2545" Type="http://schemas.openxmlformats.org/officeDocument/2006/relationships/hyperlink" Target="https://aprei.com.ua/wp-content/uploads/2023/12/Materialy-mizharodnoyi-konferencziyi_APREI_Rivnenskyj-derzhavnyj-gumanitarnyj-universyte_09.11.23.pdf" TargetMode="External"/><Relationship Id="rId517" Type="http://schemas.openxmlformats.org/officeDocument/2006/relationships/hyperlink" Target="https://commission.europa.eu/topics/eu-solidarity-ukraine/ukraines-path-towards-eu-accession_en" TargetMode="External"/><Relationship Id="rId724" Type="http://schemas.openxmlformats.org/officeDocument/2006/relationships/hyperlink" Target="https://curia.europa.eu/juris/liste.jsf?num=C-26/62" TargetMode="External"/><Relationship Id="rId931" Type="http://schemas.openxmlformats.org/officeDocument/2006/relationships/hyperlink" Target="https://zakon.rada.gov.ua/laws/show/580-19" TargetMode="External"/><Relationship Id="rId1147" Type="http://schemas.openxmlformats.org/officeDocument/2006/relationships/hyperlink" Target="https://doi.org/10.24144/2788-6018.2025.01.131" TargetMode="External"/><Relationship Id="rId1354" Type="http://schemas.openxmlformats.org/officeDocument/2006/relationships/hyperlink" Target="about:blank" TargetMode="External"/><Relationship Id="rId1561" Type="http://schemas.openxmlformats.org/officeDocument/2006/relationships/hyperlink" Target="https://verdictum.ligazakon.net/document/107140913" TargetMode="External"/><Relationship Id="rId2405" Type="http://schemas.openxmlformats.org/officeDocument/2006/relationships/hyperlink" Target="https://developer.mozilla.org/en-US/docs/Web/CSS" TargetMode="External"/><Relationship Id="rId2612" Type="http://schemas.openxmlformats.org/officeDocument/2006/relationships/hyperlink" Target="https://drupal.yalebooks.yale.edu/sites/default/files/files/Media/9780300228090_UPDF.pdf?utm_source=chatgpt.com" TargetMode="External"/><Relationship Id="rId60" Type="http://schemas.openxmlformats.org/officeDocument/2006/relationships/hyperlink" Target="https://ibn.idsi.md/sites/default/files/imag_file/9_12_Pravova%20svIdomIst%20ta%20pravova%20kultura%20v%20UkraInI_%20problemi%20Ih%20formuvannya.pdf" TargetMode="External"/><Relationship Id="rId1007" Type="http://schemas.openxmlformats.org/officeDocument/2006/relationships/hyperlink" Target="https://zakon.rada.gov.ua/laws/show/4059-20" TargetMode="External"/><Relationship Id="rId1214" Type="http://schemas.openxmlformats.org/officeDocument/2006/relationships/hyperlink" Target="https://zakon.rada.gov.ua/laws/show/1698-18" TargetMode="External"/><Relationship Id="rId1421" Type="http://schemas.openxmlformats.org/officeDocument/2006/relationships/hyperlink" Target="https://archive.liga.science/index.php/universum/article/view/1378" TargetMode="External"/><Relationship Id="rId1659" Type="http://schemas.openxmlformats.org/officeDocument/2006/relationships/hyperlink" Target="https://zakon.rada.gov.ua/laws/show/80731-10" TargetMode="External"/><Relationship Id="rId1866" Type="http://schemas.openxmlformats.org/officeDocument/2006/relationships/hyperlink" Target="https://zakon.rada.gov.ua/laws/show/64/2022" TargetMode="External"/><Relationship Id="rId1519" Type="http://schemas.openxmlformats.org/officeDocument/2006/relationships/hyperlink" Target="about:blank" TargetMode="External"/><Relationship Id="rId1726" Type="http://schemas.openxmlformats.org/officeDocument/2006/relationships/hyperlink" Target="https://zakon.rada.gov.ua/laws/show/322-08" TargetMode="External"/><Relationship Id="rId1933" Type="http://schemas.openxmlformats.org/officeDocument/2006/relationships/hyperlink" Target="https://er.dduvs.edu.ua/handle/123456789/11829" TargetMode="External"/><Relationship Id="rId18" Type="http://schemas.openxmlformats.org/officeDocument/2006/relationships/hyperlink" Target="https://zakon.rada.gov.ua/laws/show/386-2013-%D1%80" TargetMode="External"/><Relationship Id="rId2195" Type="http://schemas.openxmlformats.org/officeDocument/2006/relationships/hyperlink" Target="http://www.apnl.dnu.in.ua/4_2022/32.pdf" TargetMode="External"/><Relationship Id="rId167" Type="http://schemas.openxmlformats.org/officeDocument/2006/relationships/hyperlink" Target="https://eur-lex.europa.eu/legal-content/EN/TXT/?uri=CELEX%3A62012CJ0131" TargetMode="External"/><Relationship Id="rId374" Type="http://schemas.openxmlformats.org/officeDocument/2006/relationships/hyperlink" Target="https://zakon.rada.gov.ua/laws/show/995_154" TargetMode="External"/><Relationship Id="rId581" Type="http://schemas.openxmlformats.org/officeDocument/2006/relationships/hyperlink" Target="https://zakon.rada.gov.ua/laws/show/3671-17" TargetMode="External"/><Relationship Id="rId2055" Type="http://schemas.openxmlformats.org/officeDocument/2006/relationships/hyperlink" Target="https://new.gp.gov.ua/ua/posts/statistika" TargetMode="External"/><Relationship Id="rId2262" Type="http://schemas.openxmlformats.org/officeDocument/2006/relationships/hyperlink" Target="https://doi.org/10.52058/2786-6300-2023-10(16)-341-351" TargetMode="External"/><Relationship Id="rId234" Type="http://schemas.openxmlformats.org/officeDocument/2006/relationships/hyperlink" Target="https://adastra.org.ua/blog/ukrayinska-cifrova-diplomatiya-informacijnij-front-derzhavi-v-socialnih-merezhah" TargetMode="External"/><Relationship Id="rId679" Type="http://schemas.openxmlformats.org/officeDocument/2006/relationships/hyperlink" Target="https://zakon.rada.gov.ua/laws/show/995_212" TargetMode="External"/><Relationship Id="rId886" Type="http://schemas.openxmlformats.org/officeDocument/2006/relationships/hyperlink" Target="https://zakon.rada.gov.ua/laws/show/254%D0%BA/96-%D0%B2%D1%80" TargetMode="External"/><Relationship Id="rId2567" Type="http://schemas.openxmlformats.org/officeDocument/2006/relationships/hyperlink" Target="https://doi.org/10.32782/klj/2021.1.4" TargetMode="External"/><Relationship Id="rId2" Type="http://schemas.openxmlformats.org/officeDocument/2006/relationships/numbering" Target="numbering.xml"/><Relationship Id="rId441" Type="http://schemas.openxmlformats.org/officeDocument/2006/relationships/hyperlink" Target="http://lsej.org.ua/11_2024/118.pdf" TargetMode="External"/><Relationship Id="rId539" Type="http://schemas.openxmlformats.org/officeDocument/2006/relationships/hyperlink" Target="http://eprints.zu.edu.ua/30316/1/%D0%92%D0%BE%D0%BB%D1%96%D0%B2%D0%B5%D1%86%D1%8C%D0%BA%D0%B0_%D0%BC%D0%B0%D0%BA%D0%B5%D1%82_%D0%B7%D0%B1%D1%96%D1%80%D0%BD%20%D0%96%D0%9D%D0%90%D0%95%D0%A3%202019%20%D0%B3%D0%BE%D1%82%D0%BE%D0%B2%D0%B8%D0%B9.-%D1%81%D1%82%D1%80%D0%B0%D0%BD%D0%B8%D1%86%D1%8B-183-186.pdf" TargetMode="External"/><Relationship Id="rId746" Type="http://schemas.openxmlformats.org/officeDocument/2006/relationships/hyperlink" Target="https://zakon.rada.gov.ua/laws/show/3513-20" TargetMode="External"/><Relationship Id="rId1071" Type="http://schemas.openxmlformats.org/officeDocument/2006/relationships/hyperlink" Target="http://visnyk-pravo.uzhnu.edu.ua/article/view/268088" TargetMode="External"/><Relationship Id="rId1169" Type="http://schemas.openxmlformats.org/officeDocument/2006/relationships/hyperlink" Target="http://lsej.org.ua/4_2014/60.pdf" TargetMode="External"/><Relationship Id="rId1376" Type="http://schemas.openxmlformats.org/officeDocument/2006/relationships/hyperlink" Target="https://www.president.gov.ua/documents/1332022-41737" TargetMode="External"/><Relationship Id="rId1583" Type="http://schemas.openxmlformats.org/officeDocument/2006/relationships/hyperlink" Target="https://zakon.rada.gov.ua/laws/show/2597-19" TargetMode="External"/><Relationship Id="rId2122" Type="http://schemas.openxmlformats.org/officeDocument/2006/relationships/hyperlink" Target="https://zakon.rada.gov.ua/laws/show/1129-15" TargetMode="External"/><Relationship Id="rId2427" Type="http://schemas.openxmlformats.org/officeDocument/2006/relationships/hyperlink" Target="https://www.statista.com/topics/1002/mobile-app-usage/" TargetMode="External"/><Relationship Id="rId301" Type="http://schemas.openxmlformats.org/officeDocument/2006/relationships/hyperlink" Target="http://www.hrinstitute.ru/suk.html" TargetMode="External"/><Relationship Id="rId953" Type="http://schemas.openxmlformats.org/officeDocument/2006/relationships/hyperlink" Target="https://zakon.rada.gov.ua/laws/show/2520-20" TargetMode="External"/><Relationship Id="rId1029" Type="http://schemas.openxmlformats.org/officeDocument/2006/relationships/hyperlink" Target="https://dspace.uzhnu.edu.ua/jspui/handle/lib/55633" TargetMode="External"/><Relationship Id="rId1236" Type="http://schemas.openxmlformats.org/officeDocument/2006/relationships/hyperlink" Target="https://ti-ukraine.org/en/news/obstacles-in-the-work-of-the-anti-corruption-ecosystem" TargetMode="External"/><Relationship Id="rId1790" Type="http://schemas.openxmlformats.org/officeDocument/2006/relationships/hyperlink" Target="https://zakon.rada.gov.ua/laws/show/995_199" TargetMode="External"/><Relationship Id="rId1888" Type="http://schemas.openxmlformats.org/officeDocument/2006/relationships/hyperlink" Target="https://search.app/E5yziJ7QGengivYh7" TargetMode="External"/><Relationship Id="rId2634" Type="http://schemas.openxmlformats.org/officeDocument/2006/relationships/hyperlink" Target="https://europeanjournalists.org/" TargetMode="External"/><Relationship Id="rId82" Type="http://schemas.openxmlformats.org/officeDocument/2006/relationships/hyperlink" Target="https://ccu.gov.ua/storinka-knygy/34-verhovenstvo-prava." TargetMode="External"/><Relationship Id="rId606" Type="http://schemas.openxmlformats.org/officeDocument/2006/relationships/hyperlink" Target="https://www.sciencedirect.com/science/article/pii/S1477893925000092" TargetMode="External"/><Relationship Id="rId813" Type="http://schemas.openxmlformats.org/officeDocument/2006/relationships/hyperlink" Target="https://document.vobu.ua/wp-content/uploads/uktzed-2020/spec.htm" TargetMode="External"/><Relationship Id="rId1443" Type="http://schemas.openxmlformats.org/officeDocument/2006/relationships/hyperlink" Target="https://hdl.handle.net/11300/26554" TargetMode="External"/><Relationship Id="rId1650" Type="http://schemas.openxmlformats.org/officeDocument/2006/relationships/hyperlink" Target="https://zakon.rada.gov.ua/laws/show/322-08" TargetMode="External"/><Relationship Id="rId1748" Type="http://schemas.openxmlformats.org/officeDocument/2006/relationships/hyperlink" Target="https://zakon.rada.gov.ua/laws/show/2341-14" TargetMode="External"/><Relationship Id="rId1303" Type="http://schemas.openxmlformats.org/officeDocument/2006/relationships/hyperlink" Target="https://digitalhub.fifa.com/m/1e7b741fa0fae779/original/FIFA-Football-Agent-Regulations.pdf" TargetMode="External"/><Relationship Id="rId1510" Type="http://schemas.openxmlformats.org/officeDocument/2006/relationships/hyperlink" Target="https://dtm.iom.int/reports/ukraina-zvit-pro-vnutrishne-peremischennya-naselennya-v-ukraini-opituvannya-zagalnogo-0" TargetMode="External"/><Relationship Id="rId1955" Type="http://schemas.openxmlformats.org/officeDocument/2006/relationships/hyperlink" Target="https://www.pereselenci.kh.ua/?p=3795" TargetMode="External"/><Relationship Id="rId1608" Type="http://schemas.openxmlformats.org/officeDocument/2006/relationships/hyperlink" Target="https://zakon.rada.gov.ua/laws/show/1404-19" TargetMode="External"/><Relationship Id="rId1815" Type="http://schemas.openxmlformats.org/officeDocument/2006/relationships/hyperlink" Target="https://zakon.rada.gov.ua/laws/show/2341-14" TargetMode="External"/><Relationship Id="rId189" Type="http://schemas.openxmlformats.org/officeDocument/2006/relationships/hyperlink" Target="https://ihl-databases.icrc.org/customary-ihl/eng/docs/v1_rul_rule93" TargetMode="External"/><Relationship Id="rId396" Type="http://schemas.openxmlformats.org/officeDocument/2006/relationships/hyperlink" Target="https://www.engel-verlag.de/index.php?id=71&amp;L=1" TargetMode="External"/><Relationship Id="rId2077" Type="http://schemas.openxmlformats.org/officeDocument/2006/relationships/hyperlink" Target="https://zakon.rada.gov.ua/laws/show/1129-15" TargetMode="External"/><Relationship Id="rId2284" Type="http://schemas.openxmlformats.org/officeDocument/2006/relationships/hyperlink" Target="https://repository.ubn.ru.nl/bitstream/handle/2066/232140/232140.pdf?sequence=1" TargetMode="External"/><Relationship Id="rId2491" Type="http://schemas.openxmlformats.org/officeDocument/2006/relationships/hyperlink" Target="https://dou.ua/forums/topic/44568/" TargetMode="External"/><Relationship Id="rId256" Type="http://schemas.openxmlformats.org/officeDocument/2006/relationships/hyperlink" Target="https://zakon.rada.gov.ua/laws/show/995_004" TargetMode="External"/><Relationship Id="rId463" Type="http://schemas.openxmlformats.org/officeDocument/2006/relationships/hyperlink" Target="https://www.ohchr.org/en/hr-bodies/upr" TargetMode="External"/><Relationship Id="rId670" Type="http://schemas.openxmlformats.org/officeDocument/2006/relationships/hyperlink" Target="https://cedos.org.ua/researches/vpo-integration-index/" TargetMode="External"/><Relationship Id="rId1093" Type="http://schemas.openxmlformats.org/officeDocument/2006/relationships/hyperlink" Target="https://ips.ligazakon.net/document/JI06744A" TargetMode="External"/><Relationship Id="rId2144" Type="http://schemas.openxmlformats.org/officeDocument/2006/relationships/hyperlink" Target="https://zakon.rada.gov.ua/laws/show/2341-14/conv" TargetMode="External"/><Relationship Id="rId2589" Type="http://schemas.openxmlformats.org/officeDocument/2006/relationships/hyperlink" Target="https://www.president.gov.ua/documents/constitution" TargetMode="External"/><Relationship Id="rId116" Type="http://schemas.openxmlformats.org/officeDocument/2006/relationships/hyperlink" Target="https://www.golos.com.ua/article/275796" TargetMode="External"/><Relationship Id="rId323" Type="http://schemas.openxmlformats.org/officeDocument/2006/relationships/hyperlink" Target="https://zakon.rada.gov.ua/laws/show/254%D0%BA/96-%D0%B2%D1%80" TargetMode="External"/><Relationship Id="rId530" Type="http://schemas.openxmlformats.org/officeDocument/2006/relationships/hyperlink" Target="https://www.justsecurity.org/81218/the-osce-report-on-war-crimes-in-ukraine-key-takeaways-ua/" TargetMode="External"/><Relationship Id="rId768" Type="http://schemas.openxmlformats.org/officeDocument/2006/relationships/hyperlink" Target="https://dspace.onua.edu.ua/server/api/core/bitstreams/4a430691-0643-4d26-a45e-51bff4b4a6b4/content" TargetMode="External"/><Relationship Id="rId975" Type="http://schemas.openxmlformats.org/officeDocument/2006/relationships/hyperlink" Target="https://zakon.rada.gov.ua/laws/show/889-19" TargetMode="External"/><Relationship Id="rId1160" Type="http://schemas.openxmlformats.org/officeDocument/2006/relationships/hyperlink" Target="https://hdl.handle.net/11300/14729" TargetMode="External"/><Relationship Id="rId1398" Type="http://schemas.openxmlformats.org/officeDocument/2006/relationships/hyperlink" Target="https://court.gov.ua/userfiles/KRES%20Vusnovok.pdf" TargetMode="External"/><Relationship Id="rId2004" Type="http://schemas.openxmlformats.org/officeDocument/2006/relationships/hyperlink" Target="http://4ua.co.ua/pravo/kriminalistika/identifikatsiya-dnk.html" TargetMode="External"/><Relationship Id="rId2211" Type="http://schemas.openxmlformats.org/officeDocument/2006/relationships/hyperlink" Target="https://zakon.rada.gov.ua/laws/show/465117/ed20240101" TargetMode="External"/><Relationship Id="rId2449" Type="http://schemas.openxmlformats.org/officeDocument/2006/relationships/hyperlink" Target="http://www.economy.nayka.com.ua/?op=1&amp;z=3132" TargetMode="External"/><Relationship Id="rId628" Type="http://schemas.openxmlformats.org/officeDocument/2006/relationships/hyperlink" Target="http://eur-lex.europa.eu/LexUriServ/LexUriServ.do?uri=COM:2008:0359:FIN:EN:PDF" TargetMode="External"/><Relationship Id="rId835" Type="http://schemas.openxmlformats.org/officeDocument/2006/relationships/hyperlink" Target="https://eur-lex.europa.eu/legal-content/en/LSU/?uri=oj:JOL_2021_247_R_0001" TargetMode="External"/><Relationship Id="rId1258" Type="http://schemas.openxmlformats.org/officeDocument/2006/relationships/hyperlink" Target="https://www.reuters.com/world/europe/ukraine-anti-graft-police-probing-dozens-defence-related-cases-2024-02-21/" TargetMode="External"/><Relationship Id="rId1465" Type="http://schemas.openxmlformats.org/officeDocument/2006/relationships/hyperlink" Target="https://journals.politehnica.dp.ua/index.php/lst/article/view/124" TargetMode="External"/><Relationship Id="rId1672" Type="http://schemas.openxmlformats.org/officeDocument/2006/relationships/hyperlink" Target="https://7eminar.ua/news/1325-osoblivosti-distanciinoyi-roboti" TargetMode="External"/><Relationship Id="rId2309" Type="http://schemas.openxmlformats.org/officeDocument/2006/relationships/hyperlink" Target="https://surli.cc/kkxgmb" TargetMode="External"/><Relationship Id="rId2516" Type="http://schemas.openxmlformats.org/officeDocument/2006/relationships/hyperlink" Target="https://dspace.nuph.edu.ua/handle/123456789/28845" TargetMode="External"/><Relationship Id="rId1020" Type="http://schemas.openxmlformats.org/officeDocument/2006/relationships/hyperlink" Target="https://zakon.rada.gov.ua/laws/show/2747-15" TargetMode="External"/><Relationship Id="rId1118" Type="http://schemas.openxmlformats.org/officeDocument/2006/relationships/hyperlink" Target="https://nazk.gov.ua/wp-content/uploads/2022/08/Antykoruptsijna-strategiya-na-2021-2025-rr.pdf" TargetMode="External"/><Relationship Id="rId1325" Type="http://schemas.openxmlformats.org/officeDocument/2006/relationships/hyperlink" Target="https://zakon.rada.gov.ua/laws/show/1556-2020-%D1%80" TargetMode="External"/><Relationship Id="rId1532" Type="http://schemas.openxmlformats.org/officeDocument/2006/relationships/hyperlink" Target="https://ir.stu.cn.ua/jspui/bitstream/123456789/16781/1/%D0%9A%D0%B0%D1%82%D0%B5%D0%B3%D0%BE%D1%80%D1%96%D1%97%20%D0%BD%D0%B5%D1%81%D0%BF%D1%80%D0%BE%D0%BC%D0%BE%D0%B6%D0%BD..pdf" TargetMode="External"/><Relationship Id="rId1977" Type="http://schemas.openxmlformats.org/officeDocument/2006/relationships/hyperlink" Target="https://nabu.gov.ua/news/novyny-detektyvy-nabu-ta-gromadski-detektyvy-ne-dayut-korupciyi-shansu-dyrektor-odtu/" TargetMode="External"/><Relationship Id="rId902" Type="http://schemas.openxmlformats.org/officeDocument/2006/relationships/hyperlink" Target="https://zakon.rada.gov.ua/laws/show/v012p710-11" TargetMode="External"/><Relationship Id="rId1837" Type="http://schemas.openxmlformats.org/officeDocument/2006/relationships/hyperlink" Target="https://zakon.rada.gov.ua/laws/show/2341-14" TargetMode="External"/><Relationship Id="rId31" Type="http://schemas.openxmlformats.org/officeDocument/2006/relationships/hyperlink" Target="https://dspace.lvduvs.edu.ua/bitstream/1234567890/3561/1/%D0%9B%D0%B5%D0%BF%D1%96%D1%88%20%D0%90%D0%BA%D1%82%D0%B8%20%D1%82%D0%BB%D1%83%D0%BC%D0%B0%D1%87%D0%B5%D0%BD%D0%BD%D1%8F%20%D0%9C%D0%9E%D0%9D%D0%9E%D0%93%D0%A0%D0%90%D0%A4%D0%86%D0%AF.pdf" TargetMode="External"/><Relationship Id="rId2099" Type="http://schemas.openxmlformats.org/officeDocument/2006/relationships/hyperlink" Target="https://zakon.rada.gov.ua/rada/show/v0033325-00" TargetMode="External"/><Relationship Id="rId180" Type="http://schemas.openxmlformats.org/officeDocument/2006/relationships/hyperlink" Target="https://jpl.donnu.edu.ua/article/view/12640" TargetMode="External"/><Relationship Id="rId278" Type="http://schemas.openxmlformats.org/officeDocument/2006/relationships/hyperlink" Target="https://zakon.rada.gov.ua/laws/show/995_200" TargetMode="External"/><Relationship Id="rId1904" Type="http://schemas.openxmlformats.org/officeDocument/2006/relationships/hyperlink" Target="https://zakon.rada.gov.ua/laws/show/995_588" TargetMode="External"/><Relationship Id="rId485" Type="http://schemas.openxmlformats.org/officeDocument/2006/relationships/hyperlink" Target="https://zakon.rada.gov.ua/laws/show/995_588" TargetMode="External"/><Relationship Id="rId692" Type="http://schemas.openxmlformats.org/officeDocument/2006/relationships/hyperlink" Target="https://zakon.rada.gov.ua/laws/show/995_051" TargetMode="External"/><Relationship Id="rId2166" Type="http://schemas.openxmlformats.org/officeDocument/2006/relationships/hyperlink" Target="https://zakon.rada.gov.ua/laws/show/2341-14" TargetMode="External"/><Relationship Id="rId2580" Type="http://schemas.openxmlformats.org/officeDocument/2006/relationships/hyperlink" Target="URL:https://www.sociologyinstitute.kiev.ua/en/publications" TargetMode="External"/><Relationship Id="rId138" Type="http://schemas.openxmlformats.org/officeDocument/2006/relationships/hyperlink" Target="https://www.vestnik-pravo.mgu.od.ua/archive/juspradenc10-1/part_1/8.pdf" TargetMode="External"/><Relationship Id="rId345" Type="http://schemas.openxmlformats.org/officeDocument/2006/relationships/hyperlink" Target="http://nowar.nbuv.gov.ua/post/0000007" TargetMode="External"/><Relationship Id="rId552" Type="http://schemas.openxmlformats.org/officeDocument/2006/relationships/hyperlink" Target="URL:https://www.un.org/securitycouncil/content/resolutions" TargetMode="External"/><Relationship Id="rId997" Type="http://schemas.openxmlformats.org/officeDocument/2006/relationships/hyperlink" Target="https://www.atlanticcouncil.org/cbdctracker/" TargetMode="External"/><Relationship Id="rId1182" Type="http://schemas.openxmlformats.org/officeDocument/2006/relationships/hyperlink" Target="https://science.lpnu.ua/sites/default/files/journal-paper/2020/may/21534/26.pdf" TargetMode="External"/><Relationship Id="rId2026" Type="http://schemas.openxmlformats.org/officeDocument/2006/relationships/hyperlink" Target="http://dspace.univd.edu.ua/xmlui/handle/123456789/14971" TargetMode="External"/><Relationship Id="rId2233" Type="http://schemas.openxmlformats.org/officeDocument/2006/relationships/hyperlink" Target="https://zakon.rada.gov.ua/laws/show/995_004%23Text" TargetMode="External"/><Relationship Id="rId2440" Type="http://schemas.openxmlformats.org/officeDocument/2006/relationships/hyperlink" Target="https://shorturl.at/OzlOC" TargetMode="External"/><Relationship Id="rId205" Type="http://schemas.openxmlformats.org/officeDocument/2006/relationships/hyperlink" Target="http://lsej.org.ua/10_2022/178.pdf" TargetMode="External"/><Relationship Id="rId412" Type="http://schemas.openxmlformats.org/officeDocument/2006/relationships/hyperlink" Target="https://zakon.rada.gov.ua/laws/show/995_042" TargetMode="External"/><Relationship Id="rId857" Type="http://schemas.openxmlformats.org/officeDocument/2006/relationships/hyperlink" Target="https://supreme.court.gov.ua/userfiles/media/Materialy%20konferencyi_WEB.pdf" TargetMode="External"/><Relationship Id="rId1042" Type="http://schemas.openxmlformats.org/officeDocument/2006/relationships/hyperlink" Target="https://zakon.rada.gov.ua/laws/show/2747-15" TargetMode="External"/><Relationship Id="rId1487" Type="http://schemas.openxmlformats.org/officeDocument/2006/relationships/hyperlink" Target="about:blank" TargetMode="External"/><Relationship Id="rId1694" Type="http://schemas.openxmlformats.org/officeDocument/2006/relationships/hyperlink" Target="https://zakon.rada.gov.ua/laws/show/2136-20" TargetMode="External"/><Relationship Id="rId2300" Type="http://schemas.openxmlformats.org/officeDocument/2006/relationships/hyperlink" Target="https://reyestr.court.gov.ua/Review/74598730" TargetMode="External"/><Relationship Id="rId2538" Type="http://schemas.openxmlformats.org/officeDocument/2006/relationships/hyperlink" Target="https://doi.org/10.33405/2078-7480/2023/4/87/295130" TargetMode="External"/><Relationship Id="rId717" Type="http://schemas.openxmlformats.org/officeDocument/2006/relationships/hyperlink" Target="https://zakon.rada.gov.ua/laws/show/995_199" TargetMode="External"/><Relationship Id="rId924" Type="http://schemas.openxmlformats.org/officeDocument/2006/relationships/hyperlink" Target="https://zakon.rada.gov.ua/laws/show/2337-19" TargetMode="External"/><Relationship Id="rId1347" Type="http://schemas.openxmlformats.org/officeDocument/2006/relationships/hyperlink" Target="about:blank" TargetMode="External"/><Relationship Id="rId1554" Type="http://schemas.openxmlformats.org/officeDocument/2006/relationships/hyperlink" Target="http://zakon0.rada.gov.ua/laws/show/671/97-%D0%B2%D1%80" TargetMode="External"/><Relationship Id="rId1761" Type="http://schemas.openxmlformats.org/officeDocument/2006/relationships/hyperlink" Target="https://zakon.rada.gov.ua/laws/show/2341-14" TargetMode="External"/><Relationship Id="rId1999" Type="http://schemas.openxmlformats.org/officeDocument/2006/relationships/hyperlink" Target="https://zakon.rada.gov.ua/laws/show/2391-20" TargetMode="External"/><Relationship Id="rId2605" Type="http://schemas.openxmlformats.org/officeDocument/2006/relationships/hyperlink" Target="https://doi.org/10.32782/2663-5208" TargetMode="External"/><Relationship Id="rId53" Type="http://schemas.openxmlformats.org/officeDocument/2006/relationships/hyperlink" Target="https://visnyk-juris-uzhnu.com/wp-content/uploads/2022/08/16.pdf" TargetMode="External"/><Relationship Id="rId1207" Type="http://schemas.openxmlformats.org/officeDocument/2006/relationships/hyperlink" Target="https://nabu.gov.ua/news/novyny-rotterdam-6-osobam-povidomleno-pro-pidozru/" TargetMode="External"/><Relationship Id="rId1414" Type="http://schemas.openxmlformats.org/officeDocument/2006/relationships/hyperlink" Target="about:blank" TargetMode="External"/><Relationship Id="rId1621" Type="http://schemas.openxmlformats.org/officeDocument/2006/relationships/hyperlink" Target="%20https://reyestr.court.gov.ua/Review/87204462" TargetMode="External"/><Relationship Id="rId1859" Type="http://schemas.openxmlformats.org/officeDocument/2006/relationships/hyperlink" Target="https://zakon.rada.gov.ua/laws/show/2341-14" TargetMode="External"/><Relationship Id="rId1719" Type="http://schemas.openxmlformats.org/officeDocument/2006/relationships/hyperlink" Target="https://reyestr.court.gov.ua/Review/107532785" TargetMode="External"/><Relationship Id="rId1926" Type="http://schemas.openxmlformats.org/officeDocument/2006/relationships/hyperlink" Target="https://essuir.sumdu.edu.ua/bitstream-download/123456789/78831/1/Filonenko%20_investigation.pdf" TargetMode="External"/><Relationship Id="rId2090" Type="http://schemas.openxmlformats.org/officeDocument/2006/relationships/hyperlink" Target="https://zakon.rada.gov.ua/laws/show/1129-15" TargetMode="External"/><Relationship Id="rId2188" Type="http://schemas.openxmlformats.org/officeDocument/2006/relationships/hyperlink" Target="https://ukr.radio/news.html?newsID=104921" TargetMode="External"/><Relationship Id="rId2395" Type="http://schemas.openxmlformats.org/officeDocument/2006/relationships/hyperlink" Target="https://docs.godotengine.org/uk/4.x/tutorials/math/matrices_and_transforms.html" TargetMode="External"/><Relationship Id="rId367" Type="http://schemas.openxmlformats.org/officeDocument/2006/relationships/hyperlink" Target="https://www.osce.org/helsinki-final-act" TargetMode="External"/><Relationship Id="rId574" Type="http://schemas.openxmlformats.org/officeDocument/2006/relationships/hyperlink" Target="https://zakon.rada.gov.ua/laws/show/995_384" TargetMode="External"/><Relationship Id="rId2048" Type="http://schemas.openxmlformats.org/officeDocument/2006/relationships/hyperlink" Target="https://reyestr.court.gov.ua/Review/117788854" TargetMode="External"/><Relationship Id="rId2255" Type="http://schemas.openxmlformats.org/officeDocument/2006/relationships/hyperlink" Target="https://www.legalposition.umsf.in.ua/archive/2018/1/12.pdf" TargetMode="External"/><Relationship Id="rId227" Type="http://schemas.openxmlformats.org/officeDocument/2006/relationships/hyperlink" Target="https://zakon.rada.gov.ua/laws/show/3248-VI" TargetMode="External"/><Relationship Id="rId781" Type="http://schemas.openxmlformats.org/officeDocument/2006/relationships/hyperlink" Target="https://surl.li/kzvmyb" TargetMode="External"/><Relationship Id="rId879" Type="http://schemas.openxmlformats.org/officeDocument/2006/relationships/hyperlink" Target="https://zakon.rada.gov.ua/laws/show/2235-14" TargetMode="External"/><Relationship Id="rId2462" Type="http://schemas.openxmlformats.org/officeDocument/2006/relationships/hyperlink" Target="http://nbuv.gov.ua/UJRN/Ippss_2015_29-30_41%20" TargetMode="External"/><Relationship Id="rId434" Type="http://schemas.openxmlformats.org/officeDocument/2006/relationships/hyperlink" Target="https://zakon.rada.gov.ua/laws/show/1556-2020-%D1%80" TargetMode="External"/><Relationship Id="rId641" Type="http://schemas.openxmlformats.org/officeDocument/2006/relationships/hyperlink" Target="http://radnuk.info/pidrychnuku/mishnarod-pravo/45-byromensk/776-s-5-----.html" TargetMode="External"/><Relationship Id="rId739" Type="http://schemas.openxmlformats.org/officeDocument/2006/relationships/hyperlink" Target="https://zakon.rada.gov.ua/laws/show/548-2013-%D1%80" TargetMode="External"/><Relationship Id="rId1064" Type="http://schemas.openxmlformats.org/officeDocument/2006/relationships/hyperlink" Target="http://www.lsej.org.ua/4_2023/57.pdf" TargetMode="External"/><Relationship Id="rId1271" Type="http://schemas.openxmlformats.org/officeDocument/2006/relationships/hyperlink" Target="https://zakon.rada.gov.ua/laws/show/1402-19" TargetMode="External"/><Relationship Id="rId1369" Type="http://schemas.openxmlformats.org/officeDocument/2006/relationships/hyperlink" Target="https://zakon.rada.gov.ua/laws/show/1618-15/ed20111019" TargetMode="External"/><Relationship Id="rId1576" Type="http://schemas.openxmlformats.org/officeDocument/2006/relationships/hyperlink" Target="https://zakon.rada.gov.ua/laws/show/995_016" TargetMode="External"/><Relationship Id="rId2115" Type="http://schemas.openxmlformats.org/officeDocument/2006/relationships/hyperlink" Target="https://library.nlu.edu.ua/BIBLIOTEKA/SAIT/FAKULTET%208/1/Krim-vik_pravo_2011.pdf" TargetMode="External"/><Relationship Id="rId2322" Type="http://schemas.openxmlformats.org/officeDocument/2006/relationships/hyperlink" Target="https://www.propublica.org/article/machine-bias-risk-assessments-in-criminal-sentencing" TargetMode="External"/><Relationship Id="rId501" Type="http://schemas.openxmlformats.org/officeDocument/2006/relationships/hyperlink" Target="https://dspace.hnpu.edu.ua/server/api/core/bitstreams/c4190ee0-1da4-486b-bf02-e64ab39cd092/content" TargetMode="External"/><Relationship Id="rId946" Type="http://schemas.openxmlformats.org/officeDocument/2006/relationships/hyperlink" Target="https://zakon.rada.gov.ua/laws/show/4015-20" TargetMode="External"/><Relationship Id="rId1131" Type="http://schemas.openxmlformats.org/officeDocument/2006/relationships/hyperlink" Target="https://dspace.onua.edu.ua/items/aab7abfa-891c-43a7-acbd-4f62be11c71e" TargetMode="External"/><Relationship Id="rId1229" Type="http://schemas.openxmlformats.org/officeDocument/2006/relationships/hyperlink" Target="https://ti-ukraine.org/en/news/obstacles-in-the-work-of-the-anti-corruption-ecosystem" TargetMode="External"/><Relationship Id="rId1783" Type="http://schemas.openxmlformats.org/officeDocument/2006/relationships/hyperlink" Target="https://zakon.rada.gov.ua/laws/show/2341-14" TargetMode="External"/><Relationship Id="rId1990" Type="http://schemas.openxmlformats.org/officeDocument/2006/relationships/hyperlink" Target="https://elar.navs.edu.ua/server/api/core/bitstreams/64369c95-4c26-4fa7-b610-06ad4bb8a14f/content" TargetMode="External"/><Relationship Id="rId2627" Type="http://schemas.openxmlformats.org/officeDocument/2006/relationships/hyperlink" Target="https://ur0.jp/J702v" TargetMode="External"/><Relationship Id="rId75" Type="http://schemas.openxmlformats.org/officeDocument/2006/relationships/hyperlink" Target="https://commons.wikimedia.org/w/index.php?title=File:Code_v2.pdf&amp;page=6" TargetMode="External"/><Relationship Id="rId806" Type="http://schemas.openxmlformats.org/officeDocument/2006/relationships/hyperlink" Target="https://treaties.un.org/pages/ViewDetails.aspx?src=TREATY&amp;mtdsg_no=XXI-10&amp;chapter=21&amp;clang=_en" TargetMode="External"/><Relationship Id="rId1436" Type="http://schemas.openxmlformats.org/officeDocument/2006/relationships/hyperlink" Target="https://zakon.rada.gov.ua/laws/show/2947-14" TargetMode="External"/><Relationship Id="rId1643" Type="http://schemas.openxmlformats.org/officeDocument/2006/relationships/hyperlink" Target="https://www.economy.nayka.com.ua/pdf/4_2022/154.pdf" TargetMode="External"/><Relationship Id="rId1850" Type="http://schemas.openxmlformats.org/officeDocument/2006/relationships/hyperlink" Target="https://ips.ligazakon.net/document/view/t233342?ed=2023_08_23&amp;an=20" TargetMode="External"/><Relationship Id="rId1503" Type="http://schemas.openxmlformats.org/officeDocument/2006/relationships/hyperlink" Target="https://doi.org/10.32837/11300.29344" TargetMode="External"/><Relationship Id="rId1710" Type="http://schemas.openxmlformats.org/officeDocument/2006/relationships/hyperlink" Target="https://evnuir.vnu.edu.ua/bitstream/123456789/22208/1/64-68.pdf" TargetMode="External"/><Relationship Id="rId1948" Type="http://schemas.openxmlformats.org/officeDocument/2006/relationships/hyperlink" Target="https://elar.navs.edu.ua/server/api/core/bitstreams/f82b2822-d51e-4857-95f3-681441b18aef/content" TargetMode="External"/><Relationship Id="rId291" Type="http://schemas.openxmlformats.org/officeDocument/2006/relationships/hyperlink" Target="https://zakon.rada.gov.ua/laws/show/995_207" TargetMode="External"/><Relationship Id="rId1808" Type="http://schemas.openxmlformats.org/officeDocument/2006/relationships/hyperlink" Target="https://www.journals.elsevier.com/journal-of-law-and-psychiatry" TargetMode="External"/><Relationship Id="rId151" Type="http://schemas.openxmlformats.org/officeDocument/2006/relationships/hyperlink" Target="https://zakon.rada.gov.ua/laws/show/2449-19" TargetMode="External"/><Relationship Id="rId389" Type="http://schemas.openxmlformats.org/officeDocument/2006/relationships/hyperlink" Target="https://zakon.rada.gov.ua/laws/show/187/2021" TargetMode="External"/><Relationship Id="rId596" Type="http://schemas.openxmlformats.org/officeDocument/2006/relationships/hyperlink" Target="https://mis.dp.ua/news-ua/navkolyshnye-seredovyshhe-tyha-zhertva-vijny-yak-rosiya-vchynyaye-ekologichni-zlochyny" TargetMode="External"/><Relationship Id="rId2277" Type="http://schemas.openxmlformats.org/officeDocument/2006/relationships/hyperlink" Target="https://reyestr.court.gov.ua/Review/88442230" TargetMode="External"/><Relationship Id="rId2484" Type="http://schemas.openxmlformats.org/officeDocument/2006/relationships/hyperlink" Target="https://gdpr-info.eu" TargetMode="External"/><Relationship Id="rId249" Type="http://schemas.openxmlformats.org/officeDocument/2006/relationships/hyperlink" Target="https://dspace.onua.edu.ua/bitstreams/a12e286e-c82b-41cb-aaf1-204ead594759/download" TargetMode="External"/><Relationship Id="rId456" Type="http://schemas.openxmlformats.org/officeDocument/2006/relationships/hyperlink" Target="https://zakon.rada.gov.ua/laws/show/2709-15" TargetMode="External"/><Relationship Id="rId663" Type="http://schemas.openxmlformats.org/officeDocument/2006/relationships/hyperlink" Target="https://dspace.onua.edu.ua/items/0cb8e7d3-a762-4fe4-aebe-6f9f2458f160" TargetMode="External"/><Relationship Id="rId870" Type="http://schemas.openxmlformats.org/officeDocument/2006/relationships/hyperlink" Target="https://zakon.rada.gov.ua/laws/show/2654-20" TargetMode="External"/><Relationship Id="rId1086" Type="http://schemas.openxmlformats.org/officeDocument/2006/relationships/hyperlink" Target="https://er.dduvs.edu.ua/bitstream/123456789/12063/1/34.pdf%20" TargetMode="External"/><Relationship Id="rId1293" Type="http://schemas.openxmlformats.org/officeDocument/2006/relationships/hyperlink" Target="URL:%20https://zakon.rada.gov.ua/laws/show/5076-17%23Text%20" TargetMode="External"/><Relationship Id="rId2137" Type="http://schemas.openxmlformats.org/officeDocument/2006/relationships/hyperlink" Target="https://evnuir.vnu.edu.ua/handle/123456789/9986" TargetMode="External"/><Relationship Id="rId2551" Type="http://schemas.openxmlformats.org/officeDocument/2006/relationships/hyperlink" Target="https://mfa.gov.ua/news/berlinska-deklaraciya-za-pidsmukami-ministerskih-peregovoriv-nimechchini-ispaniyi-italiyi-polshchi-spoluchenogo-korolivstva-franciyi-ukrayini-ta-yes" TargetMode="External"/><Relationship Id="rId109" Type="http://schemas.openxmlformats.org/officeDocument/2006/relationships/hyperlink" Target="https://is.gd/H898w0" TargetMode="External"/><Relationship Id="rId316" Type="http://schemas.openxmlformats.org/officeDocument/2006/relationships/hyperlink" Target="https://library.vn.ua/news-and-events/novini/gibridna-vijna-proti-ukraiini" TargetMode="External"/><Relationship Id="rId523" Type="http://schemas.openxmlformats.org/officeDocument/2006/relationships/hyperlink" Target="https://www.researchgate.net/publication/334753331_Doktrina_pozitivnih_zobov'azan_derzavi_u_sferi_prav_ludini_osnovni_aspekti_rozuminna" TargetMode="External"/><Relationship Id="rId968" Type="http://schemas.openxmlformats.org/officeDocument/2006/relationships/hyperlink" Target="https://zakon.rada.gov.ua/laws/show/39-92-%D0%BF" TargetMode="External"/><Relationship Id="rId1153" Type="http://schemas.openxmlformats.org/officeDocument/2006/relationships/hyperlink" Target="https://doi.org/10.15407/econlaw.2022.02.025" TargetMode="External"/><Relationship Id="rId1598" Type="http://schemas.openxmlformats.org/officeDocument/2006/relationships/hyperlink" Target="https://zakon.rada.gov.ua/laws/show/2709-15" TargetMode="External"/><Relationship Id="rId2204" Type="http://schemas.openxmlformats.org/officeDocument/2006/relationships/hyperlink" Target="https://zakon.rada.gov.ua/laws/show/995_004" TargetMode="External"/><Relationship Id="rId97" Type="http://schemas.openxmlformats.org/officeDocument/2006/relationships/hyperlink" Target="https://plato.stanford.edu/entries/ethics-chinese/" TargetMode="External"/><Relationship Id="rId730" Type="http://schemas.openxmlformats.org/officeDocument/2006/relationships/hyperlink" Target="https://ev.fmm.kpi.ua/article/view/278603/273274" TargetMode="External"/><Relationship Id="rId828" Type="http://schemas.openxmlformats.org/officeDocument/2006/relationships/hyperlink" Target="https://ccb.at.ua/_ld/0/1_SOLAS-74-93-.pdf" TargetMode="External"/><Relationship Id="rId1013" Type="http://schemas.openxmlformats.org/officeDocument/2006/relationships/hyperlink" Target="https://intelect.org.ua/wp-content/uploads/2021/01/expert1.pdf" TargetMode="External"/><Relationship Id="rId1360" Type="http://schemas.openxmlformats.org/officeDocument/2006/relationships/hyperlink" Target="https://reyestr.court.gov.ua/Review/101519529" TargetMode="External"/><Relationship Id="rId1458" Type="http://schemas.openxmlformats.org/officeDocument/2006/relationships/hyperlink" Target="https://hdl.handle.net/11300/14491" TargetMode="External"/><Relationship Id="rId1665" Type="http://schemas.openxmlformats.org/officeDocument/2006/relationships/hyperlink" Target="https://zakon.rada.gov.ua/laws/show/322-08" TargetMode="External"/><Relationship Id="rId1872" Type="http://schemas.openxmlformats.org/officeDocument/2006/relationships/hyperlink" Target="https://www.gp.gov.ua/" TargetMode="External"/><Relationship Id="rId2411" Type="http://schemas.openxmlformats.org/officeDocument/2006/relationships/hyperlink" Target="https://dev.java/" TargetMode="External"/><Relationship Id="rId2509" Type="http://schemas.openxmlformats.org/officeDocument/2006/relationships/hyperlink" Target="https://doi.org/10.52058/2786-5274-2025-2(42)-389-399" TargetMode="External"/><Relationship Id="rId1220" Type="http://schemas.openxmlformats.org/officeDocument/2006/relationships/hyperlink" Target="https://ti-ukraine.org/en/news/obstacles-in-the-work-of-the-anti-corruption-ecosystem" TargetMode="External"/><Relationship Id="rId1318" Type="http://schemas.openxmlformats.org/officeDocument/2006/relationships/hyperlink" Target="https://zakon.rada.gov.ua/laws/show/974_i51" TargetMode="External"/><Relationship Id="rId1525" Type="http://schemas.openxmlformats.org/officeDocument/2006/relationships/hyperlink" Target="https://zakon.rada.gov.ua/laws/show/435-15" TargetMode="External"/><Relationship Id="rId1732" Type="http://schemas.openxmlformats.org/officeDocument/2006/relationships/hyperlink" Target="https://surl.li/ibrzjc" TargetMode="External"/><Relationship Id="rId24" Type="http://schemas.openxmlformats.org/officeDocument/2006/relationships/hyperlink" Target="URL:http://apnl.dnu.in.ua/5_2016/25.pdf" TargetMode="External"/><Relationship Id="rId2299" Type="http://schemas.openxmlformats.org/officeDocument/2006/relationships/hyperlink" Target="https://ep.unesco-socio.in.ua/wp-content/uploads/2020/12/117-_Luchko.pdf" TargetMode="External"/><Relationship Id="rId173" Type="http://schemas.openxmlformats.org/officeDocument/2006/relationships/hyperlink" Target="https://www.researchgate.net/publication/386466508_Compliance_With_The_Principle_of_Distinction_in_Russia-Ukraine_War" TargetMode="External"/><Relationship Id="rId380" Type="http://schemas.openxmlformats.org/officeDocument/2006/relationships/hyperlink" Target="https://zakon.rada.gov.ua/laws/show/995_085" TargetMode="External"/><Relationship Id="rId2061" Type="http://schemas.openxmlformats.org/officeDocument/2006/relationships/hyperlink" Target="http://www.vestnik-pravo.mgu.od.ua/archive/juspradenc30/part_2/16.pdf" TargetMode="External"/><Relationship Id="rId240" Type="http://schemas.openxmlformats.org/officeDocument/2006/relationships/hyperlink" Target="http://repository.mu.edu.ua/jspui/handle/123456789/4838" TargetMode="External"/><Relationship Id="rId478" Type="http://schemas.openxmlformats.org/officeDocument/2006/relationships/hyperlink" Target="https://state-of-the-union.ec.europa.eu/state-union-2022/state-union-achievements/defending-eu-values_uk" TargetMode="External"/><Relationship Id="rId685" Type="http://schemas.openxmlformats.org/officeDocument/2006/relationships/hyperlink" Target="https://doi.org/10.24144/2788-6018.2023.02.69" TargetMode="External"/><Relationship Id="rId892" Type="http://schemas.openxmlformats.org/officeDocument/2006/relationships/hyperlink" Target="https://hdl.handle.net/11300/15141" TargetMode="External"/><Relationship Id="rId2159" Type="http://schemas.openxmlformats.org/officeDocument/2006/relationships/hyperlink" Target="http://zakon2.rada.gov.ua/laws/show/435-15" TargetMode="External"/><Relationship Id="rId2573" Type="http://schemas.openxmlformats.org/officeDocument/2006/relationships/hyperlink" Target="https://www.ukrinform.ua/rubric-polytics/3966353-skilki-narodnih-deputativ-otrimali-pidozri-nabu-opriludnilo-dani.html" TargetMode="External"/><Relationship Id="rId100" Type="http://schemas.openxmlformats.org/officeDocument/2006/relationships/hyperlink" Target="http://nbuv.gov.ua/UJRN/filipol_2014_8_66" TargetMode="External"/><Relationship Id="rId338" Type="http://schemas.openxmlformats.org/officeDocument/2006/relationships/hyperlink" Target="https://unstats.un.org/sdgs/gender-snapshot/2023/" TargetMode="External"/><Relationship Id="rId545" Type="http://schemas.openxmlformats.org/officeDocument/2006/relationships/hyperlink" Target="https://academic.oup.com/book/32844" TargetMode="External"/><Relationship Id="rId752" Type="http://schemas.openxmlformats.org/officeDocument/2006/relationships/hyperlink" Target="https://zakon.rada.gov.ua/laws/show/994_535" TargetMode="External"/><Relationship Id="rId1175" Type="http://schemas.openxmlformats.org/officeDocument/2006/relationships/hyperlink" Target="https://zakon.rada.gov.ua/laws/show/1700-18" TargetMode="External"/><Relationship Id="rId1382" Type="http://schemas.openxmlformats.org/officeDocument/2006/relationships/hyperlink" Target="about:blank" TargetMode="External"/><Relationship Id="rId2019" Type="http://schemas.openxmlformats.org/officeDocument/2006/relationships/hyperlink" Target="https://zakon.rada.gov.ua/laws/show/638-15" TargetMode="External"/><Relationship Id="rId2226" Type="http://schemas.openxmlformats.org/officeDocument/2006/relationships/hyperlink" Target="https://er.dduvs.edu.ua/handle/123456789/15537" TargetMode="External"/><Relationship Id="rId2433" Type="http://schemas.openxmlformats.org/officeDocument/2006/relationships/hyperlink" Target="https://react.dev/reference/react-dom/createPortal" TargetMode="External"/><Relationship Id="rId2640" Type="http://schemas.openxmlformats.org/officeDocument/2006/relationships/footer" Target="footer1.xml"/><Relationship Id="rId405" Type="http://schemas.openxmlformats.org/officeDocument/2006/relationships/hyperlink" Target="https://www.un.org/en/about-us/universal-declaration-of-human-rights" TargetMode="External"/><Relationship Id="rId612" Type="http://schemas.openxmlformats.org/officeDocument/2006/relationships/hyperlink" Target="https://dictionary.cambridge.org/dictionary/english-ukrainian/legitimacy" TargetMode="External"/><Relationship Id="rId1035" Type="http://schemas.openxmlformats.org/officeDocument/2006/relationships/hyperlink" Target="https://zakon.rada.gov.ua/laws/show/v0002760-08" TargetMode="External"/><Relationship Id="rId1242" Type="http://schemas.openxmlformats.org/officeDocument/2006/relationships/hyperlink" Target="https://www.reuters.com/world/europe/ukraine-anti-graft-police-probing-dozens-defence-related-cases-2024-02-21/" TargetMode="External"/><Relationship Id="rId1687" Type="http://schemas.openxmlformats.org/officeDocument/2006/relationships/hyperlink" Target="https://zakon.rada.gov.ua/laws/show/504/96-&#1074;&#1088;" TargetMode="External"/><Relationship Id="rId1894" Type="http://schemas.openxmlformats.org/officeDocument/2006/relationships/hyperlink" Target="https://zakon.rada.gov.ua/laws/show/755-15" TargetMode="External"/><Relationship Id="rId2500" Type="http://schemas.openxmlformats.org/officeDocument/2006/relationships/hyperlink" Target="http://www.economy.nayka.com.ua/?op=1&amp;z=4446" TargetMode="External"/><Relationship Id="rId917" Type="http://schemas.openxmlformats.org/officeDocument/2006/relationships/hyperlink" Target="https://www.opm.gov/about-us/" TargetMode="External"/><Relationship Id="rId1102" Type="http://schemas.openxmlformats.org/officeDocument/2006/relationships/hyperlink" Target="https://zakon.rada.gov.ua/go/4651-17" TargetMode="External"/><Relationship Id="rId1547" Type="http://schemas.openxmlformats.org/officeDocument/2006/relationships/hyperlink" Target="https://sk.ua/uk/fidutsiarni-obovyazki-directora/" TargetMode="External"/><Relationship Id="rId1754" Type="http://schemas.openxmlformats.org/officeDocument/2006/relationships/hyperlink" Target="https://mzahyst.com.ua/dezertyrstvo-ta-riznytsya-iz-szch/" TargetMode="External"/><Relationship Id="rId1961" Type="http://schemas.openxmlformats.org/officeDocument/2006/relationships/hyperlink" Target="file:///C:/Users/user/Downloads/277-Article%20Text-514-1-10-20200402.pdf" TargetMode="External"/><Relationship Id="rId46" Type="http://schemas.openxmlformats.org/officeDocument/2006/relationships/hyperlink" Target="https://zakon.rada.gov.ua/laws/show/2866-15" TargetMode="External"/><Relationship Id="rId1407" Type="http://schemas.openxmlformats.org/officeDocument/2006/relationships/hyperlink" Target="https://reyestr.court.gov.ua/Review/91572017" TargetMode="External"/><Relationship Id="rId1614" Type="http://schemas.openxmlformats.org/officeDocument/2006/relationships/hyperlink" Target="https://reposit.nupp.edu.ua/bitstream/PoltNTU/11497/1/%D0%93%D0%BB%D1%83%D1%88%D0%BA%D0%BE.pdf" TargetMode="External"/><Relationship Id="rId1821" Type="http://schemas.openxmlformats.org/officeDocument/2006/relationships/hyperlink" Target="https://law-in-war.org/pamyatka-vidpovidalnist-gromadyan-za-maroderstvo/" TargetMode="External"/><Relationship Id="rId195" Type="http://schemas.openxmlformats.org/officeDocument/2006/relationships/hyperlink" Target="https://whc.unesco.org/en/conventiontext/" TargetMode="External"/><Relationship Id="rId1919" Type="http://schemas.openxmlformats.org/officeDocument/2006/relationships/hyperlink" Target="https://zakon.rada.gov.ua/laws/show/638-15" TargetMode="External"/><Relationship Id="rId2083" Type="http://schemas.openxmlformats.org/officeDocument/2006/relationships/hyperlink" Target="https://zakon.rada.gov.ua/laws/show/993_065" TargetMode="External"/><Relationship Id="rId2290" Type="http://schemas.openxmlformats.org/officeDocument/2006/relationships/hyperlink" Target="https://zakon.rada.gov.ua/go/980_004" TargetMode="External"/><Relationship Id="rId2595" Type="http://schemas.openxmlformats.org/officeDocument/2006/relationships/hyperlink" Target="https://www.idss.org.ua/monografii/2015%20MDG%20Ukr%20Report%20DRAFT.pdf" TargetMode="External"/><Relationship Id="rId262" Type="http://schemas.openxmlformats.org/officeDocument/2006/relationships/hyperlink" Target="https://id.court.gov.ua/" TargetMode="External"/><Relationship Id="rId567" Type="http://schemas.openxmlformats.org/officeDocument/2006/relationships/hyperlink" Target="https://legal.un.org/ilc" TargetMode="External"/><Relationship Id="rId1197" Type="http://schemas.openxmlformats.org/officeDocument/2006/relationships/hyperlink" Target="https://hcac.court.gov.ua/userfiles/media/VAKS/PICS/dok/HACC_Leaflet_03.03.2020_one%20page_UKR.pdf" TargetMode="External"/><Relationship Id="rId2150" Type="http://schemas.openxmlformats.org/officeDocument/2006/relationships/hyperlink" Target="https://hudoc.echr.coe.int/eng" TargetMode="External"/><Relationship Id="rId2248" Type="http://schemas.openxmlformats.org/officeDocument/2006/relationships/hyperlink" Target="https://zakon.rada.gov.ua/laws/show/254%D0%BA/96-%D0%B2%D1%80" TargetMode="External"/><Relationship Id="rId122" Type="http://schemas.openxmlformats.org/officeDocument/2006/relationships/hyperlink" Target="https://ru.osvita.ua/vnz/reports/history/4662/" TargetMode="External"/><Relationship Id="rId774" Type="http://schemas.openxmlformats.org/officeDocument/2006/relationships/hyperlink" Target="http://nbuv.gov.ua/UJRN/Nzizvru_2016_2_23" TargetMode="External"/><Relationship Id="rId981" Type="http://schemas.openxmlformats.org/officeDocument/2006/relationships/hyperlink" Target="https://tax.gov.ua/data/normativ/000/002/72932/poyasnyuvalna_proekt_udoskonal_SEARP_reaktiv_palivo_red.doc" TargetMode="External"/><Relationship Id="rId1057" Type="http://schemas.openxmlformats.org/officeDocument/2006/relationships/hyperlink" Target="https://science.lpnu.ua/sites/default/files/journal-paper/2023/nov/31673/26.pdf" TargetMode="External"/><Relationship Id="rId2010" Type="http://schemas.openxmlformats.org/officeDocument/2006/relationships/hyperlink" Target="https://surl.li/rufjfm" TargetMode="External"/><Relationship Id="rId2455" Type="http://schemas.openxmlformats.org/officeDocument/2006/relationships/hyperlink" Target="https://docs.unity3d.com/Packages/com.unity.2d.animation@latest" TargetMode="External"/><Relationship Id="rId427" Type="http://schemas.openxmlformats.org/officeDocument/2006/relationships/hyperlink" Target="https://zakon.rada.gov.ua/laws/show/995_207" TargetMode="External"/><Relationship Id="rId634" Type="http://schemas.openxmlformats.org/officeDocument/2006/relationships/hyperlink" Target="https://zakon.rada.gov.ua/laws/show/114%D0%B0-03" TargetMode="External"/><Relationship Id="rId841" Type="http://schemas.openxmlformats.org/officeDocument/2006/relationships/hyperlink" Target="https://zakon.rada.gov.ua/laws/show/728-14" TargetMode="External"/><Relationship Id="rId1264" Type="http://schemas.openxmlformats.org/officeDocument/2006/relationships/hyperlink" Target="https://www.reuters.com/world/europe/ukraine-anti-graft-police-probing-dozens-defence-related-cases-2024-02-21/" TargetMode="External"/><Relationship Id="rId1471" Type="http://schemas.openxmlformats.org/officeDocument/2006/relationships/hyperlink" Target="https://www.pravojustice.eu/ua/post/mediaciya-v-ukrayini-na-porozi-novogo-etapu-rozvitku" TargetMode="External"/><Relationship Id="rId1569" Type="http://schemas.openxmlformats.org/officeDocument/2006/relationships/hyperlink" Target="https://sud.ua/uk/news/blog/313831-otmenit-nelzya-ostavit-gde-postavit-zapyatuyu" TargetMode="External"/><Relationship Id="rId2108" Type="http://schemas.openxmlformats.org/officeDocument/2006/relationships/hyperlink" Target="https://reyestr.court.gov.ua/Review/118090657" TargetMode="External"/><Relationship Id="rId2315" Type="http://schemas.openxmlformats.org/officeDocument/2006/relationships/hyperlink" Target="https://reyestr.court.gov.ua/Review/86035312" TargetMode="External"/><Relationship Id="rId2522" Type="http://schemas.openxmlformats.org/officeDocument/2006/relationships/hyperlink" Target="https://doi.org/10.1109/ACCESS.2024.3366802" TargetMode="External"/><Relationship Id="rId701" Type="http://schemas.openxmlformats.org/officeDocument/2006/relationships/hyperlink" Target="https://zakon.rada.gov.ua/laws/show/995_123" TargetMode="External"/><Relationship Id="rId939" Type="http://schemas.openxmlformats.org/officeDocument/2006/relationships/hyperlink" Target="https://zakon.rada.gov.ua/laws/show/67-2018-%25D1%2580" TargetMode="External"/><Relationship Id="rId1124" Type="http://schemas.openxmlformats.org/officeDocument/2006/relationships/hyperlink" Target="https://supreme.court.gov.ua/supreme/pres-centr/news/1576075/" TargetMode="External"/><Relationship Id="rId1331" Type="http://schemas.openxmlformats.org/officeDocument/2006/relationships/hyperlink" Target="https://zakon.rada.gov.ua/laws/show/435-15" TargetMode="External"/><Relationship Id="rId1776" Type="http://schemas.openxmlformats.org/officeDocument/2006/relationships/hyperlink" Target="http://lsej.org.ua/9_2022/105.pdf" TargetMode="External"/><Relationship Id="rId1983" Type="http://schemas.openxmlformats.org/officeDocument/2006/relationships/hyperlink" Target="https://storymaps.arcgis.com/stories/3f2ec9571b704124aeacb0345c5bedf9" TargetMode="External"/><Relationship Id="rId68" Type="http://schemas.openxmlformats.org/officeDocument/2006/relationships/hyperlink" Target="https://doi.org/10.31732/2663-2209-2022-66-40-43" TargetMode="External"/><Relationship Id="rId1429" Type="http://schemas.openxmlformats.org/officeDocument/2006/relationships/hyperlink" Target="https://verdictum.ligazakon.net/document/95509407?utm_source=jurliga.ligazakon.ua&amp;utm_medium=news&amp;utm_con" TargetMode="External"/><Relationship Id="rId1636" Type="http://schemas.openxmlformats.org/officeDocument/2006/relationships/hyperlink" Target="https://www.me.gov.ua/News/Detail?lang=uk-UA&amp;id=ee334b91-aa14-4f6b-bee7-d6cf7248e1cc&amp;title=MasoviiPritikPriamikhInozemnikhInvestitsiiVUkrainuNeminuchim-OleksandrGribanNaUkrainianInfrastructureForumULondon" TargetMode="External"/><Relationship Id="rId1843" Type="http://schemas.openxmlformats.org/officeDocument/2006/relationships/hyperlink" Target="https://hudoc.echr.coe.int/eng?i=001-85257" TargetMode="External"/><Relationship Id="rId1703" Type="http://schemas.openxmlformats.org/officeDocument/2006/relationships/hyperlink" Target="https://zakon.rada.gov.ua/laws/show/2136-20" TargetMode="External"/><Relationship Id="rId1910" Type="http://schemas.openxmlformats.org/officeDocument/2006/relationships/hyperlink" Target="https://zakon.rada.gov.ua/laws/show/3233-20" TargetMode="External"/><Relationship Id="rId284" Type="http://schemas.openxmlformats.org/officeDocument/2006/relationships/hyperlink" Target="http://www.irbis-nbuv.gov.ua/cgi-bin/irbis_nbuv/cgiirbis_64.exe?I21DBN=LINK&amp;P21DBN=UJRN&amp;Z21ID=&amp;S21REF=10&amp;S21CNR=20&amp;S21STN=1&amp;S21FMT=ASP_meta&amp;C21COM=S&amp;2_S21P03=FILA=&amp;2_S21STR=Vksu_2011_4-5_17" TargetMode="External"/><Relationship Id="rId491" Type="http://schemas.openxmlformats.org/officeDocument/2006/relationships/hyperlink" Target="https://ccl.org.ua/positions/" TargetMode="External"/><Relationship Id="rId2172" Type="http://schemas.openxmlformats.org/officeDocument/2006/relationships/hyperlink" Target="https://reyestr.court.gov.ua/Review/79822989" TargetMode="External"/><Relationship Id="rId144" Type="http://schemas.openxmlformats.org/officeDocument/2006/relationships/hyperlink" Target="https://zakon.rada.gov.ua/laws/show/2709-15" TargetMode="External"/><Relationship Id="rId589" Type="http://schemas.openxmlformats.org/officeDocument/2006/relationships/hyperlink" Target="https://ena.lpnu.ua:8443/server/api/core/bitstreams/f8ddefef-39a4-433c-80ad-cf23029ab434/content" TargetMode="External"/><Relationship Id="rId796" Type="http://schemas.openxmlformats.org/officeDocument/2006/relationships/hyperlink" Target="https://www.un.org/depts/los/convention_agreements/texts/unclos/unclos_e.pdf" TargetMode="External"/><Relationship Id="rId2477" Type="http://schemas.openxmlformats.org/officeDocument/2006/relationships/hyperlink" Target="https://niss.gov.ua/news/komentari-ekspertiv/tsyfrova-transformatsiya-ekonomiky-ukrayiny-v-umovakh-viyny-traven-2024" TargetMode="External"/><Relationship Id="rId351" Type="http://schemas.openxmlformats.org/officeDocument/2006/relationships/hyperlink" Target="https://ombudsman.gov.ua/storage/app/media/uploaded-files/1511_001.pdf" TargetMode="External"/><Relationship Id="rId449" Type="http://schemas.openxmlformats.org/officeDocument/2006/relationships/hyperlink" Target="https://zakon.rada.gov.ua/laws/show/995_004" TargetMode="External"/><Relationship Id="rId656" Type="http://schemas.openxmlformats.org/officeDocument/2006/relationships/hyperlink" Target="https://www.google.com/url?sa=t&amp;source=web&amp;rct=j&amp;opi=89978449&amp;url=https://zakon.rada.gov.ua/go/2341-14&amp;ved=2ahUKEwjt3Kqhw8OMAxWKHBAIHQMFISQQFnoECBgQAQ&amp;usg=AOvVaw1IR3SCAht6bjRzwe6pwgq9" TargetMode="External"/><Relationship Id="rId863" Type="http://schemas.openxmlformats.org/officeDocument/2006/relationships/hyperlink" Target="https://surl.li/muszpx" TargetMode="External"/><Relationship Id="rId1079" Type="http://schemas.openxmlformats.org/officeDocument/2006/relationships/hyperlink" Target="https://zakon.rada.gov.ua/laws/show/254&#1082;/96-&#1074;&#1088;" TargetMode="External"/><Relationship Id="rId1286" Type="http://schemas.openxmlformats.org/officeDocument/2006/relationships/hyperlink" Target="https://apladm.od.court.gov.ua/sud9105/pres-centr/news/375130/" TargetMode="External"/><Relationship Id="rId1493" Type="http://schemas.openxmlformats.org/officeDocument/2006/relationships/hyperlink" Target="about:blank" TargetMode="External"/><Relationship Id="rId2032" Type="http://schemas.openxmlformats.org/officeDocument/2006/relationships/hyperlink" Target="https://zakon.rada.gov.ua/laws/show/254%D0%BA/96-%D0%B2%D1%80" TargetMode="External"/><Relationship Id="rId2544" Type="http://schemas.openxmlformats.org/officeDocument/2006/relationships/hyperlink" Target="https://relint.vnu.edu.ua/index.php/relint/article/view/319/294" TargetMode="External"/><Relationship Id="rId211" Type="http://schemas.openxmlformats.org/officeDocument/2006/relationships/hyperlink" Target="https://hudoc.echr.coe.int/eng?i=001-204685" TargetMode="External"/><Relationship Id="rId309" Type="http://schemas.openxmlformats.org/officeDocument/2006/relationships/hyperlink" Target="https://undocs.org/en/A/RES/70/1" TargetMode="External"/><Relationship Id="rId516" Type="http://schemas.openxmlformats.org/officeDocument/2006/relationships/hyperlink" Target="https://enlargement.ec.europa.eu/ukraine-report-2024_en" TargetMode="External"/><Relationship Id="rId1146" Type="http://schemas.openxmlformats.org/officeDocument/2006/relationships/hyperlink" Target="https://jurliga.ligazakon.net/news/225650_elektronniy-sud-praktichniy-dosvd-koristuvacha" TargetMode="External"/><Relationship Id="rId1798" Type="http://schemas.openxmlformats.org/officeDocument/2006/relationships/hyperlink" Target="https://zakon.rada.gov.ua/laws/show/995_043" TargetMode="External"/><Relationship Id="rId723" Type="http://schemas.openxmlformats.org/officeDocument/2006/relationships/hyperlink" Target="https://zakon.rada.gov.ua/laws/show/995_363" TargetMode="External"/><Relationship Id="rId930" Type="http://schemas.openxmlformats.org/officeDocument/2006/relationships/hyperlink" Target="https://zakon.rada.gov.ua/laws/show/254%D0%BA/96-%D0%B2%D1%80" TargetMode="External"/><Relationship Id="rId1006" Type="http://schemas.openxmlformats.org/officeDocument/2006/relationships/hyperlink" Target="https://zakon.rada.gov.ua/laws/show/2456-17" TargetMode="External"/><Relationship Id="rId1353" Type="http://schemas.openxmlformats.org/officeDocument/2006/relationships/hyperlink" Target="https://zakon.rada/" TargetMode="External"/><Relationship Id="rId1560" Type="http://schemas.openxmlformats.org/officeDocument/2006/relationships/hyperlink" Target="http://iplex.com.ua/doc.php?regnum=96342866&amp;red=1000033ed5a3e2c11aa870962e5507c72faaf6&amp;d=5" TargetMode="External"/><Relationship Id="rId1658" Type="http://schemas.openxmlformats.org/officeDocument/2006/relationships/hyperlink" Target="https://zakon.rada.gov.ua/laws/show/889-19" TargetMode="External"/><Relationship Id="rId1865" Type="http://schemas.openxmlformats.org/officeDocument/2006/relationships/hyperlink" Target="https://zakon.rada.gov.ua/laws/show/2341-14" TargetMode="External"/><Relationship Id="rId2404" Type="http://schemas.openxmlformats.org/officeDocument/2006/relationships/hyperlink" Target="https://dev.mysql.com/doc/" TargetMode="External"/><Relationship Id="rId2611" Type="http://schemas.openxmlformats.org/officeDocument/2006/relationships/hyperlink" Target="https://drupal.yalebooks.yale.edu/sites/default/files/files/Media/9780300228090_UPDF.pdf" TargetMode="External"/><Relationship Id="rId1213" Type="http://schemas.openxmlformats.org/officeDocument/2006/relationships/hyperlink" Target="https://zakon.rada.gov.ua/laws/show/1698-18" TargetMode="External"/><Relationship Id="rId1420" Type="http://schemas.openxmlformats.org/officeDocument/2006/relationships/hyperlink" Target="https://dspace.onua.edu.ua/server/api/core/bitstreams/d1dd9541-0f13-4230-b0eb-16ae28829bcd/content" TargetMode="External"/><Relationship Id="rId1518" Type="http://schemas.openxmlformats.org/officeDocument/2006/relationships/hyperlink" Target="about:blank" TargetMode="External"/><Relationship Id="rId1725" Type="http://schemas.openxmlformats.org/officeDocument/2006/relationships/hyperlink" Target="https://zakon.rada.gov.ua/laws/show/504/96-%D0%B2%D1%80" TargetMode="External"/><Relationship Id="rId1932" Type="http://schemas.openxmlformats.org/officeDocument/2006/relationships/hyperlink" Target="https://zakon.rada.gov.ua/laws/show/2297-17" TargetMode="External"/><Relationship Id="rId17" Type="http://schemas.openxmlformats.org/officeDocument/2006/relationships/hyperlink" Target="https://zakon.rada.gov.ua/laws/show/995_004" TargetMode="External"/><Relationship Id="rId2194" Type="http://schemas.openxmlformats.org/officeDocument/2006/relationships/hyperlink" Target="https://zakon.rada.gov.ua/laws/show/4651-17" TargetMode="External"/><Relationship Id="rId166" Type="http://schemas.openxmlformats.org/officeDocument/2006/relationships/hyperlink" Target="https://global.oup.com/academic/product/complementary-protection-in-international-refugee-law/" TargetMode="External"/><Relationship Id="rId373" Type="http://schemas.openxmlformats.org/officeDocument/2006/relationships/hyperlink" Target="https://eur-lex.europa.eu/legal-content/EN/TXT/?uri=celex:62018CJ0216" TargetMode="External"/><Relationship Id="rId580" Type="http://schemas.openxmlformats.org/officeDocument/2006/relationships/hyperlink" Target="https://zakon.rada.gov.ua/laws/show/995_004" TargetMode="External"/><Relationship Id="rId2054" Type="http://schemas.openxmlformats.org/officeDocument/2006/relationships/hyperlink" Target="http://jnas.nbuv.gov.ua/j-pdf/Chkup_2017_3_57.pdf" TargetMode="External"/><Relationship Id="rId2261" Type="http://schemas.openxmlformats.org/officeDocument/2006/relationships/hyperlink" Target="http://nbuv.gov.ua/UJRN/vprc_2018_14_21" TargetMode="External"/><Relationship Id="rId2499" Type="http://schemas.openxmlformats.org/officeDocument/2006/relationships/hyperlink" Target="https://confmanagement-proc.kpi.ua/article/view/230859" TargetMode="External"/><Relationship Id="rId1" Type="http://schemas.openxmlformats.org/officeDocument/2006/relationships/customXml" Target="../customXml/item1.xml"/><Relationship Id="rId233" Type="http://schemas.openxmlformats.org/officeDocument/2006/relationships/hyperlink" Target="https://academic.oup.com/book/9626/chapter-abstract/156704034?redirectedFrom=fulltext" TargetMode="External"/><Relationship Id="rId440" Type="http://schemas.openxmlformats.org/officeDocument/2006/relationships/hyperlink" Target="https://www.echr.coe.int/Documents/Guide_Art_6_criminal_UKR.pdf" TargetMode="External"/><Relationship Id="rId678" Type="http://schemas.openxmlformats.org/officeDocument/2006/relationships/hyperlink" Target="https://lexinform.com.ua/dumka-eksperta/pravo-na-zhyttya-smertna-kara-i-vlastyvosti-kryminalnogo-prava/" TargetMode="External"/><Relationship Id="rId885" Type="http://schemas.openxmlformats.org/officeDocument/2006/relationships/hyperlink" Target="https://yur-gazeta.com/dumka-eksperta/genderna-rivnist-v-ukrayini-shcho-maemo-sogodni.html" TargetMode="External"/><Relationship Id="rId1070" Type="http://schemas.openxmlformats.org/officeDocument/2006/relationships/hyperlink" Target="https://dspace.onua.edu.ua/items/88a7cada-8779-448b-b39a-290f0478e065" TargetMode="External"/><Relationship Id="rId2121" Type="http://schemas.openxmlformats.org/officeDocument/2006/relationships/hyperlink" Target="http://dspace.nlu.edu.ua/bitstream/123456789/18714/1/Lisoded_33-39.pdf" TargetMode="External"/><Relationship Id="rId2566" Type="http://schemas.openxmlformats.org/officeDocument/2006/relationships/hyperlink" Target="https://jurliga.ligazakon.net/analitycs/235227_oglyad-pokazovikh-sudovikh-sprav-shchodo-koruptsynikh-zlochinv" TargetMode="External"/><Relationship Id="rId300" Type="http://schemas.openxmlformats.org/officeDocument/2006/relationships/hyperlink" Target="http://irbisnbuv.gov.ua/cgibin/irbis_nbuv/cgiirbis_64.exe?C21COM=2&amp;I21DBN=UJRN&amp;P21DBN=UJRN&amp;IMAGE_FILE_DOWNLOAD=1&amp;Image_file_name=PDF/pravo_2015_2_3.pdf" TargetMode="External"/><Relationship Id="rId538" Type="http://schemas.openxmlformats.org/officeDocument/2006/relationships/hyperlink" Target="http://dspace.pnpu.edu.ua/bitstream/123456789/3643/1/Ljubenna.pdf" TargetMode="External"/><Relationship Id="rId745" Type="http://schemas.openxmlformats.org/officeDocument/2006/relationships/hyperlink" Target="https://zakon.rada.gov.ua/laws/show/2755-17" TargetMode="External"/><Relationship Id="rId952" Type="http://schemas.openxmlformats.org/officeDocument/2006/relationships/hyperlink" Target="https://doi.org/10.1017/CBO9780511627071.009" TargetMode="External"/><Relationship Id="rId1168" Type="http://schemas.openxmlformats.org/officeDocument/2006/relationships/hyperlink" Target="https://nabu.gov.ua/site/assets/files/28142/strategiya_rozvytku_nabu.pdf" TargetMode="External"/><Relationship Id="rId1375" Type="http://schemas.openxmlformats.org/officeDocument/2006/relationships/hyperlink" Target="https://zakon.rada.gov.ua/laws/show/64/2022" TargetMode="External"/><Relationship Id="rId1582" Type="http://schemas.openxmlformats.org/officeDocument/2006/relationships/hyperlink" Target="URL:https://dspace.onua.edu.ua/server/api/core/bitstreams/91440555-9db4-4371-9611-f64f91fc85b9/content" TargetMode="External"/><Relationship Id="rId2219" Type="http://schemas.openxmlformats.org/officeDocument/2006/relationships/hyperlink" Target="https://doi.org/10.32782/apdp.v105.2025.28" TargetMode="External"/><Relationship Id="rId2426" Type="http://schemas.openxmlformats.org/officeDocument/2006/relationships/hyperlink" Target="https://www.sqlite.org/docs.html" TargetMode="External"/><Relationship Id="rId2633" Type="http://schemas.openxmlformats.org/officeDocument/2006/relationships/hyperlink" Target="https://euvsdisinfo.eu/" TargetMode="External"/><Relationship Id="rId81" Type="http://schemas.openxmlformats.org/officeDocument/2006/relationships/hyperlink" Target="https://rm.coe.int/constitution-of-ukraine/168071f58b" TargetMode="External"/><Relationship Id="rId605" Type="http://schemas.openxmlformats.org/officeDocument/2006/relationships/hyperlink" Target="https://www.stateoig.gov/uploads/report/report_pdf_file/aud-mero-23-33.pdf" TargetMode="External"/><Relationship Id="rId812" Type="http://schemas.openxmlformats.org/officeDocument/2006/relationships/hyperlink" Target="https://verdictum.ligazakon.net/document/122384342?utm_source=biz.ligazakon.net&amp;utm_medium=news&amp;utm_content=bizpress01" TargetMode="External"/><Relationship Id="rId1028" Type="http://schemas.openxmlformats.org/officeDocument/2006/relationships/hyperlink" Target="http://journal-app.uzhnu.edu.ua/article/view/259554" TargetMode="External"/><Relationship Id="rId1235" Type="http://schemas.openxmlformats.org/officeDocument/2006/relationships/hyperlink" Target="https://ti-ukraine.org/en/news/obstacles-in-the-work-of-the-anti-corruption-ecosystem" TargetMode="External"/><Relationship Id="rId1442" Type="http://schemas.openxmlformats.org/officeDocument/2006/relationships/hyperlink" Target="https://reyestr.court.gov.ua/Review/76103211" TargetMode="External"/><Relationship Id="rId1887" Type="http://schemas.openxmlformats.org/officeDocument/2006/relationships/hyperlink" Target="https://search.app/bDnoXbUpghJSBsid7" TargetMode="External"/><Relationship Id="rId1302" Type="http://schemas.openxmlformats.org/officeDocument/2006/relationships/hyperlink" Target="https://uaf.ua/files/2021%20%D0%A3%D0%90%D0%A4%20%D0%A0%D0%B5%D0%B3%D0%BB%D0%B0%D0%BC%D0%B5%D0%BD%D1%82%20%D0%B7%D1%96%20%D1%81%D1%82%D0%B0%D1%82%D1%83%D1%81%D1%83%20%D1%96%20%D1%82%D1%80%D0%B0%D0%BD%D1%81%D1%84%D0%B5%D1%80%D1%83%20%D1%84%D1%83%D1%82%D0%B1%D0%BE%D0%BB%D1%96%D1%81%D1%82%D0%B2.pdf" TargetMode="External"/><Relationship Id="rId1747" Type="http://schemas.openxmlformats.org/officeDocument/2006/relationships/hyperlink" Target="https://reyestr.court.gov.ua/Review/115861639" TargetMode="External"/><Relationship Id="rId1954" Type="http://schemas.openxmlformats.org/officeDocument/2006/relationships/hyperlink" Target="http://cep.bsmu.edu.ua/article/view/310441" TargetMode="External"/><Relationship Id="rId39" Type="http://schemas.openxmlformats.org/officeDocument/2006/relationships/hyperlink" Target="https://doi.org/10.36950/laborlaw2023" TargetMode="External"/><Relationship Id="rId1607" Type="http://schemas.openxmlformats.org/officeDocument/2006/relationships/hyperlink" Target="https://zakon.rada.gov.ua/laws/show/1798-12" TargetMode="External"/><Relationship Id="rId1814" Type="http://schemas.openxmlformats.org/officeDocument/2006/relationships/hyperlink" Target="https://www.journals.elsevier.com/journal-of-law-and-psychiatry" TargetMode="External"/><Relationship Id="rId188" Type="http://schemas.openxmlformats.org/officeDocument/2006/relationships/hyperlink" Target="https://www.icrc.org/en/doc/assets/files/publications/icrc-002-0173.pdf" TargetMode="External"/><Relationship Id="rId395" Type="http://schemas.openxmlformats.org/officeDocument/2006/relationships/hyperlink" Target="https://hudoc.echr.coe.int/eng?i=001-95032" TargetMode="External"/><Relationship Id="rId2076" Type="http://schemas.openxmlformats.org/officeDocument/2006/relationships/hyperlink" Target="https://zakon.rada.gov.ua/laws/show/1129-15" TargetMode="External"/><Relationship Id="rId2283" Type="http://schemas.openxmlformats.org/officeDocument/2006/relationships/hyperlink" Target="URL:https://sherloc.unodc.org/cld/uploads/res/document/nld/1921/criminal_procedure_code_of_the_netherlands_html/Code_of_Criminal_Procedure_incorporating_amendments_up_to_October_2012.pdf" TargetMode="External"/><Relationship Id="rId2490" Type="http://schemas.openxmlformats.org/officeDocument/2006/relationships/hyperlink" Target="https://mc.today/uk/kultura-turboti-yak-oshhadbank-sistemno-rozvivaye-programu-pidtrimki-mentalnogo-zdorov-ya-pratsivnikiv/" TargetMode="External"/><Relationship Id="rId2588" Type="http://schemas.openxmlformats.org/officeDocument/2006/relationships/hyperlink" Target="https://ekmair.ukma.edu.ua/server/api/core/bitstreams/a100329e-7e68-4fbd-b2bb-81e2a59c4973/content" TargetMode="External"/><Relationship Id="rId255" Type="http://schemas.openxmlformats.org/officeDocument/2006/relationships/hyperlink" Target="https://hdl.handle.net/11300/28680" TargetMode="External"/><Relationship Id="rId462" Type="http://schemas.openxmlformats.org/officeDocument/2006/relationships/hyperlink" Target="https://www.un.org/en/about-us/un-charter" TargetMode="External"/><Relationship Id="rId1092" Type="http://schemas.openxmlformats.org/officeDocument/2006/relationships/hyperlink" Target="https://sud.ua/uk/news/publication/310671-finansirovanie-sudebnoy-vlasti-v-2025-godu-ostanetsya-na-urovne-tekuschego-goda-proekt-byudzheta" TargetMode="External"/><Relationship Id="rId1397" Type="http://schemas.openxmlformats.org/officeDocument/2006/relationships/hyperlink" Target="https://zakon.rada.gov.ua/laws/show/995_j67" TargetMode="External"/><Relationship Id="rId2143" Type="http://schemas.openxmlformats.org/officeDocument/2006/relationships/hyperlink" Target="https://pravo.org.ua" TargetMode="External"/><Relationship Id="rId115" Type="http://schemas.openxmlformats.org/officeDocument/2006/relationships/hyperlink" Target="http://litopys.org.ua/suspil/sus22.htm" TargetMode="External"/><Relationship Id="rId322" Type="http://schemas.openxmlformats.org/officeDocument/2006/relationships/hyperlink" Target="https://www.rada.gov.ua/news/news_kom/259864.html" TargetMode="External"/><Relationship Id="rId767" Type="http://schemas.openxmlformats.org/officeDocument/2006/relationships/hyperlink" Target="https://dspace.onua.edu.ua/server/api/core/bitstreams/07b81b9e-55a9-44b0-9651-b1829a9d0fa2/content" TargetMode="External"/><Relationship Id="rId974" Type="http://schemas.openxmlformats.org/officeDocument/2006/relationships/hyperlink" Target="https://zakon.rada.gov.ua/laws/show/2118-20%23Text" TargetMode="External"/><Relationship Id="rId2003" Type="http://schemas.openxmlformats.org/officeDocument/2006/relationships/hyperlink" Target="https://yur-gazeta.com/publications/practice/inshe/biometrichni-dani-zbir-i-zahist-u-evropi-ssha-ta-ukrayini.html" TargetMode="External"/><Relationship Id="rId2210" Type="http://schemas.openxmlformats.org/officeDocument/2006/relationships/hyperlink" Target="https://zakon.rada.gov.ua/laws/show/2135-12" TargetMode="External"/><Relationship Id="rId2448" Type="http://schemas.openxmlformats.org/officeDocument/2006/relationships/hyperlink" Target="https://fkd.net.ua/index.php/fkd/article/view/1954/1972" TargetMode="External"/><Relationship Id="rId627" Type="http://schemas.openxmlformats.org/officeDocument/2006/relationships/hyperlink" Target="https://doi.org/10.32689/2523-4625-2022-2(62)-7" TargetMode="External"/><Relationship Id="rId834" Type="http://schemas.openxmlformats.org/officeDocument/2006/relationships/hyperlink" Target="https://eur-lex.europa.eu/eli/reg/2013/1380/oj" TargetMode="External"/><Relationship Id="rId1257" Type="http://schemas.openxmlformats.org/officeDocument/2006/relationships/hyperlink" Target="https://www.reuters.com/world/europe/ukraine-anti-graft-police-probing-dozens-defence-related-cases-2024-02-21/" TargetMode="External"/><Relationship Id="rId1464" Type="http://schemas.openxmlformats.org/officeDocument/2006/relationships/hyperlink" Target="https://zakon.rada.gov.ua/laws/show/1402-19" TargetMode="External"/><Relationship Id="rId1671" Type="http://schemas.openxmlformats.org/officeDocument/2006/relationships/hyperlink" Target="https://zakon.rada.gov.ua/laws/show/2136-20" TargetMode="External"/><Relationship Id="rId2308" Type="http://schemas.openxmlformats.org/officeDocument/2006/relationships/hyperlink" Target="https://yur-gazeta.com/publications/practice/kriminalne-pravotaproces/operaciyaprovokaciya.html" TargetMode="External"/><Relationship Id="rId2515" Type="http://schemas.openxmlformats.org/officeDocument/2006/relationships/hyperlink" Target="https://docs.google.com/spreadsheets/d/18MgnuiteahEE-cvdJDOzQHkajYUT-4pgR3DW8F04FMw/edit?gid=476188418" TargetMode="External"/><Relationship Id="rId901" Type="http://schemas.openxmlformats.org/officeDocument/2006/relationships/hyperlink" Target="https://zakon.rada.gov.ua/laws/show/2657-12" TargetMode="External"/><Relationship Id="rId1117" Type="http://schemas.openxmlformats.org/officeDocument/2006/relationships/hyperlink" Target="https://doi.org/10.32631/vca.2023.3.14" TargetMode="External"/><Relationship Id="rId1324" Type="http://schemas.openxmlformats.org/officeDocument/2006/relationships/hyperlink" Target="https://zakon.rada.gov.ua/laws/show/2811-20" TargetMode="External"/><Relationship Id="rId1531" Type="http://schemas.openxmlformats.org/officeDocument/2006/relationships/hyperlink" Target="https://ekmair.ukma.edu.ua/server/api/core/bitstreams/2900b525-dfb2-4717-84ce-2b844dff1d69/content" TargetMode="External"/><Relationship Id="rId1769" Type="http://schemas.openxmlformats.org/officeDocument/2006/relationships/hyperlink" Target="https://doi.org/10.32782/chc.v050.2023.3" TargetMode="External"/><Relationship Id="rId1976" Type="http://schemas.openxmlformats.org/officeDocument/2006/relationships/hyperlink" Target="https://zakon.rada.gov.ua/laws/show/2135-12" TargetMode="External"/><Relationship Id="rId30" Type="http://schemas.openxmlformats.org/officeDocument/2006/relationships/hyperlink" Target="https://conf.ztu.edu.ua/wp-content/uploads/2021/10/84.pdf" TargetMode="External"/><Relationship Id="rId1629" Type="http://schemas.openxmlformats.org/officeDocument/2006/relationships/hyperlink" Target="https://reyestr.court.gov.ua/Review/83258765" TargetMode="External"/><Relationship Id="rId1836" Type="http://schemas.openxmlformats.org/officeDocument/2006/relationships/hyperlink" Target="https://reyestr.court.gov.ua/Review/120215875" TargetMode="External"/><Relationship Id="rId1903" Type="http://schemas.openxmlformats.org/officeDocument/2006/relationships/hyperlink" Target="https://zakon.rada.gov.ua/laws/show/995_153" TargetMode="External"/><Relationship Id="rId2098" Type="http://schemas.openxmlformats.org/officeDocument/2006/relationships/hyperlink" Target="https://zakon.rada.gov.ua/laws/show/1129-15" TargetMode="External"/><Relationship Id="rId277" Type="http://schemas.openxmlformats.org/officeDocument/2006/relationships/hyperlink" Target="https://zakon.rada.gov.ua/laws/show/995_199" TargetMode="External"/><Relationship Id="rId484" Type="http://schemas.openxmlformats.org/officeDocument/2006/relationships/hyperlink" Target="https://zakon.rada.gov.ua/laws/show/995_004" TargetMode="External"/><Relationship Id="rId2165" Type="http://schemas.openxmlformats.org/officeDocument/2006/relationships/hyperlink" Target="https://zakon.rada.gov.ua/laws/show/4651-17" TargetMode="External"/><Relationship Id="rId137" Type="http://schemas.openxmlformats.org/officeDocument/2006/relationships/hyperlink" Target="http://nbuv.gov.ua/UJRN/pppd_2018_1_4" TargetMode="External"/><Relationship Id="rId344" Type="http://schemas.openxmlformats.org/officeDocument/2006/relationships/hyperlink" Target="https://ips.ligazakon.net/document/SO2491" TargetMode="External"/><Relationship Id="rId691" Type="http://schemas.openxmlformats.org/officeDocument/2006/relationships/hyperlink" Target="https://zakon.rada.gov.ua/laws/show/189/95-%D0%B2%D1%80" TargetMode="External"/><Relationship Id="rId789" Type="http://schemas.openxmlformats.org/officeDocument/2006/relationships/hyperlink" Target="https://surl.li/vdrecr" TargetMode="External"/><Relationship Id="rId996" Type="http://schemas.openxmlformats.org/officeDocument/2006/relationships/hyperlink" Target="https://zakon.rada.gov.ua/laws/show/248-2022-%D0%BF" TargetMode="External"/><Relationship Id="rId2025" Type="http://schemas.openxmlformats.org/officeDocument/2006/relationships/hyperlink" Target="https://zakon.rada.gov.ua/laws/show/4651-17" TargetMode="External"/><Relationship Id="rId551" Type="http://schemas.openxmlformats.org/officeDocument/2006/relationships/hyperlink" Target="https://www.degruyter.com/document/doi/10.1515/9781685858490/html" TargetMode="External"/><Relationship Id="rId649" Type="http://schemas.openxmlformats.org/officeDocument/2006/relationships/hyperlink" Target="https://zakon.rada.gov.ua/laws/show/995_222" TargetMode="External"/><Relationship Id="rId856" Type="http://schemas.openxmlformats.org/officeDocument/2006/relationships/hyperlink" Target="https://vkp.ua/publication/iespl-vinis-rishennya-shchodo-spravedlivoyi-satisfaktsiyi-u-spravi-sadocha-v-ukraine" TargetMode="External"/><Relationship Id="rId1181" Type="http://schemas.openxmlformats.org/officeDocument/2006/relationships/hyperlink" Target="https://eprints.oa.edu.ua/id/eprint/1004/1/advokatura.pdf" TargetMode="External"/><Relationship Id="rId1279" Type="http://schemas.openxmlformats.org/officeDocument/2006/relationships/hyperlink" Target="https://glavcom.ua/country/politics/kerivnik-grupi-slidchih-u-spravah-poroshenka-oleg-koreckiy-v-dbr-atmosfera-duzhe-negativna-vsi-boyatsya-691877.html" TargetMode="External"/><Relationship Id="rId1486" Type="http://schemas.openxmlformats.org/officeDocument/2006/relationships/hyperlink" Target="about:blank" TargetMode="External"/><Relationship Id="rId2232" Type="http://schemas.openxmlformats.org/officeDocument/2006/relationships/hyperlink" Target="https://www.hsa.org.ua/blog/dotrymannya-prav-osoby-pry-slidchij-diyi-osviduvannya" TargetMode="External"/><Relationship Id="rId2537" Type="http://schemas.openxmlformats.org/officeDocument/2006/relationships/hyperlink" Target="https://www.innovationhub-act.org/cognitive-warfare" TargetMode="External"/><Relationship Id="rId204" Type="http://schemas.openxmlformats.org/officeDocument/2006/relationships/hyperlink" Target="https://ks.echr.coe.int/documents/d/echr-ks/guide_art_2_protocol_1_ukr" TargetMode="External"/><Relationship Id="rId411" Type="http://schemas.openxmlformats.org/officeDocument/2006/relationships/hyperlink" Target="http://w1.c1.rada.gov.ua/pls/zweb2/webproc4_2?id=&amp;pf3516=5105&amp;skl=5" TargetMode="External"/><Relationship Id="rId509" Type="http://schemas.openxmlformats.org/officeDocument/2006/relationships/hyperlink" Target="https://zakon.rada.gov.ua/laws/show/995_021" TargetMode="External"/><Relationship Id="rId1041" Type="http://schemas.openxmlformats.org/officeDocument/2006/relationships/hyperlink" Target="https://zakon.rada.gov.ua/laws/show/4283-20" TargetMode="External"/><Relationship Id="rId1139" Type="http://schemas.openxmlformats.org/officeDocument/2006/relationships/hyperlink" Target="https://dspace.onua.edu.ua/server/api/core/bitstreams/e46bbed9-78df-427f-a33c-97071f21373a/content" TargetMode="External"/><Relationship Id="rId1346" Type="http://schemas.openxmlformats.org/officeDocument/2006/relationships/hyperlink" Target="about:blank" TargetMode="External"/><Relationship Id="rId1693" Type="http://schemas.openxmlformats.org/officeDocument/2006/relationships/hyperlink" Target="https://zakon.rada.gov.ua/laws/show/254&#1082;/96-&#1074;&#1088;%23Text" TargetMode="External"/><Relationship Id="rId1998" Type="http://schemas.openxmlformats.org/officeDocument/2006/relationships/hyperlink" Target="https://zakon.rada.gov.ua/laws/show/2341-14%23n100" TargetMode="External"/><Relationship Id="rId716" Type="http://schemas.openxmlformats.org/officeDocument/2006/relationships/hyperlink" Target="https://zakon.cc/law/document/read/995_317" TargetMode="External"/><Relationship Id="rId923" Type="http://schemas.openxmlformats.org/officeDocument/2006/relationships/hyperlink" Target="https://supreme.court.gov.ua/userfiles/CDL_AD_2011_003_rev_2011_04_04.pdf" TargetMode="External"/><Relationship Id="rId1553" Type="http://schemas.openxmlformats.org/officeDocument/2006/relationships/hyperlink" Target="http://zakon0.rada.gov.ua/laws/show/671/97-%D0%B2%D1%80" TargetMode="External"/><Relationship Id="rId1760" Type="http://schemas.openxmlformats.org/officeDocument/2006/relationships/hyperlink" Target="https://ekmair.ukma.edu.ua/handle/123456789/32991" TargetMode="External"/><Relationship Id="rId1858" Type="http://schemas.openxmlformats.org/officeDocument/2006/relationships/hyperlink" Target="https://zakon.rada.gov.ua/laws/show/254%D0%BA/96-%D0%B2%D1%80" TargetMode="External"/><Relationship Id="rId2604" Type="http://schemas.openxmlformats.org/officeDocument/2006/relationships/hyperlink" Target="https://dif.org.ua/article/gromadska-dovira-v-ukraini" TargetMode="External"/><Relationship Id="rId52" Type="http://schemas.openxmlformats.org/officeDocument/2006/relationships/hyperlink" Target="https://drive.google.com/file/d/1qtr7KACO1E6Y_CYyPwUYAhaUNqHtRExs/view?usp=drivesdk" TargetMode="External"/><Relationship Id="rId1206" Type="http://schemas.openxmlformats.org/officeDocument/2006/relationships/hyperlink" Target="https://zakon.rada.gov.ua/laws/show/1697-18" TargetMode="External"/><Relationship Id="rId1413" Type="http://schemas.openxmlformats.org/officeDocument/2006/relationships/hyperlink" Target="about:blank" TargetMode="External"/><Relationship Id="rId1620" Type="http://schemas.openxmlformats.org/officeDocument/2006/relationships/hyperlink" Target="https://zakon.rada.gov.ua/laws/show/1798-12/ed20250409" TargetMode="External"/><Relationship Id="rId1718" Type="http://schemas.openxmlformats.org/officeDocument/2006/relationships/hyperlink" Target="https://zakon.rada.gov.ua/laws/show/322-08" TargetMode="External"/><Relationship Id="rId1925" Type="http://schemas.openxmlformats.org/officeDocument/2006/relationships/hyperlink" Target="http://dspace.e-u.edu.ua/handle/123456789/611" TargetMode="External"/><Relationship Id="rId299" Type="http://schemas.openxmlformats.org/officeDocument/2006/relationships/hyperlink" Target="https://hudoc.echr.coe.int/eng?i=001-58198" TargetMode="External"/><Relationship Id="rId2187" Type="http://schemas.openxmlformats.org/officeDocument/2006/relationships/hyperlink" Target="http://visnyk-pravo.uzhnu.edu.ua/article/view/321152/311687" TargetMode="External"/><Relationship Id="rId2394" Type="http://schemas.openxmlformats.org/officeDocument/2006/relationships/hyperlink" Target="https://disted.edu.vn.ua/courses/learn/13422" TargetMode="External"/><Relationship Id="rId159" Type="http://schemas.openxmlformats.org/officeDocument/2006/relationships/hyperlink" Target="https://supreme.court.gov.ua/userfiles/media/new_folder_for_uploads/supreme/2023_prezent/Prezent_Analiz_mignar_pravo_nac_pravo.pdf" TargetMode="External"/><Relationship Id="rId366" Type="http://schemas.openxmlformats.org/officeDocument/2006/relationships/hyperlink" Target="https://digitallibrary.un.org/record/202170?v=pdf" TargetMode="External"/><Relationship Id="rId573" Type="http://schemas.openxmlformats.org/officeDocument/2006/relationships/hyperlink" Target="https://zakon.rada.gov.ua/laws/show/995_004" TargetMode="External"/><Relationship Id="rId780" Type="http://schemas.openxmlformats.org/officeDocument/2006/relationships/hyperlink" Target="https://surl.li/mrcgzt" TargetMode="External"/><Relationship Id="rId2047" Type="http://schemas.openxmlformats.org/officeDocument/2006/relationships/hyperlink" Target="https://supreme.court.gov.ua/userfiles/media/new_folder_for_uploads/supreme/ogliady/Oglyad_KKS_oglyad_obshyk.pdf" TargetMode="External"/><Relationship Id="rId2254" Type="http://schemas.openxmlformats.org/officeDocument/2006/relationships/hyperlink" Target="https://doi.org/10.32782/2786-9156.107.3.35-44" TargetMode="External"/><Relationship Id="rId2461" Type="http://schemas.openxmlformats.org/officeDocument/2006/relationships/hyperlink" Target="file:///C:\Users\User\Downloads\:%20https:\sprava.ua\blog\%20z-chogo-skladaetysya-internet-marketing" TargetMode="External"/><Relationship Id="rId226" Type="http://schemas.openxmlformats.org/officeDocument/2006/relationships/hyperlink" Target="https://studfile.net/preview/10355594/page:65/" TargetMode="External"/><Relationship Id="rId433" Type="http://schemas.openxmlformats.org/officeDocument/2006/relationships/hyperlink" Target="https://cms.thedigital.gov.ua/storage/uploads/files/page/community/docs_compressed.pdf" TargetMode="External"/><Relationship Id="rId878" Type="http://schemas.openxmlformats.org/officeDocument/2006/relationships/hyperlink" Target="https://itd.rada.gov.ua/billinfo/Bills/Card/44687" TargetMode="External"/><Relationship Id="rId1063" Type="http://schemas.openxmlformats.org/officeDocument/2006/relationships/hyperlink" Target="https://zakon.rada.gov.ua/rada/show/v1845910-21" TargetMode="External"/><Relationship Id="rId1270" Type="http://schemas.openxmlformats.org/officeDocument/2006/relationships/hyperlink" Target="https://supreme.court.gov.ua/supreme/pres-centr/news/1720264/" TargetMode="External"/><Relationship Id="rId2114" Type="http://schemas.openxmlformats.org/officeDocument/2006/relationships/hyperlink" Target="https://zakon.rada.gov.ua/laws/show/1129-15" TargetMode="External"/><Relationship Id="rId2559" Type="http://schemas.openxmlformats.org/officeDocument/2006/relationships/hyperlink" Target="https://niss.gov.ua/publikatsiyi/analitychni-dopovidi/ahresiya-rf-proty-ukrayiny-yak-zahroza-hlobalniy-prodovolchiy?utm" TargetMode="External"/><Relationship Id="rId640" Type="http://schemas.openxmlformats.org/officeDocument/2006/relationships/hyperlink" Target="http://radnuk.info/pidrychnuku/mishnarod-pravo/468-repetsku/8083-55---.html" TargetMode="External"/><Relationship Id="rId738" Type="http://schemas.openxmlformats.org/officeDocument/2006/relationships/hyperlink" Target="https://surl.lu/vxhyvw" TargetMode="External"/><Relationship Id="rId945" Type="http://schemas.openxmlformats.org/officeDocument/2006/relationships/hyperlink" Target="https://www.gov.uk/government/publications/civil-service-reform-plan" TargetMode="External"/><Relationship Id="rId1368" Type="http://schemas.openxmlformats.org/officeDocument/2006/relationships/hyperlink" Target="https://zakon.rada.gov.ua/laws/show/1618-15/ed20101006" TargetMode="External"/><Relationship Id="rId1575" Type="http://schemas.openxmlformats.org/officeDocument/2006/relationships/hyperlink" Target="https://zakon.rada.gov.ua/laws/show/z0573-08" TargetMode="External"/><Relationship Id="rId1782" Type="http://schemas.openxmlformats.org/officeDocument/2006/relationships/hyperlink" Target="https://zakon.rada.gov.ua/laws/show/2341-14" TargetMode="External"/><Relationship Id="rId2321" Type="http://schemas.openxmlformats.org/officeDocument/2006/relationships/hyperlink" Target="https://repository.ndippp.gov.ua/bitstream/handle/765432198/913/106-115-2024-1-FP-Teremetskyi%2CKovalchuk_13.pdf?isAllowed=y&amp;sequence=1" TargetMode="External"/><Relationship Id="rId2419" Type="http://schemas.openxmlformats.org/officeDocument/2006/relationships/image" Target="media/image8.jpeg"/><Relationship Id="rId2626" Type="http://schemas.openxmlformats.org/officeDocument/2006/relationships/hyperlink" Target="https://ur0.jp/pT3bI" TargetMode="External"/><Relationship Id="rId74" Type="http://schemas.openxmlformats.org/officeDocument/2006/relationships/hyperlink" Target="https://www.google.com.ua/books/edition/Cosmopolitics/4EmqLCWUFvEC?hl=ru&amp;gbpv=1&amp;dq=Cosmopolitics:+Thinking+and+feeling+beyond+the+nation+(Cultural+politics).&amp;printsec=frontcover" TargetMode="External"/><Relationship Id="rId500" Type="http://schemas.openxmlformats.org/officeDocument/2006/relationships/hyperlink" Target="https://www.manchesterhive.com/view/journals/jha/jha-overview.xml" TargetMode="External"/><Relationship Id="rId805" Type="http://schemas.openxmlformats.org/officeDocument/2006/relationships/hyperlink" Target="https://doi.org/10.32838/TNU-2707-0581/2022.1/19" TargetMode="External"/><Relationship Id="rId1130" Type="http://schemas.openxmlformats.org/officeDocument/2006/relationships/hyperlink" Target="https://dspace.onua.edu.ua/server/api/core/bitstreams/90f7ae89-6c94-46ed-8e07-11aa670a34de/content" TargetMode="External"/><Relationship Id="rId1228" Type="http://schemas.openxmlformats.org/officeDocument/2006/relationships/hyperlink" Target="https://ti-ukraine.org/en/news/obstacles-in-the-work-of-the-anti-corruption-ecosystem" TargetMode="External"/><Relationship Id="rId1435" Type="http://schemas.openxmlformats.org/officeDocument/2006/relationships/hyperlink" Target="https://visnik.dduvs.edu.ua/index.php/visnyk/article/view/726/633" TargetMode="External"/><Relationship Id="rId1642" Type="http://schemas.openxmlformats.org/officeDocument/2006/relationships/hyperlink" Target="https://galicianvisnyk.tntu.edu.ua/pdf/70/983.pdf" TargetMode="External"/><Relationship Id="rId1947" Type="http://schemas.openxmlformats.org/officeDocument/2006/relationships/hyperlink" Target="https://dev.ua/news/rosiiski-khakery-sandworm-vzhe-kilka-raziv-zlamuvaly-ukrainski-elektromerezhi-v-2022-mu-kiberataku-poiednaly-z-raketnymy-udaramy" TargetMode="External"/><Relationship Id="rId1502" Type="http://schemas.openxmlformats.org/officeDocument/2006/relationships/hyperlink" Target="about:blank" TargetMode="External"/><Relationship Id="rId1807" Type="http://schemas.openxmlformats.org/officeDocument/2006/relationships/hyperlink" Target="https://www.journals.elsevier.com/journal-of-law-and-psychiatry" TargetMode="External"/><Relationship Id="rId290" Type="http://schemas.openxmlformats.org/officeDocument/2006/relationships/hyperlink" Target="https://zakon.rada.gov.ua/laws/show/995_105" TargetMode="External"/><Relationship Id="rId388" Type="http://schemas.openxmlformats.org/officeDocument/2006/relationships/hyperlink" Target="https://webportal.nrada.gov.ua/wp-content/uploads/2024/04/PROTYDIYA_DEZINFORMATSIYI_V_YEVROPIsvit.pdf" TargetMode="External"/><Relationship Id="rId2069" Type="http://schemas.openxmlformats.org/officeDocument/2006/relationships/hyperlink" Target="https://evnuir.vnu.edu.ua/bitstream/123456789/22173/1/22.pdf" TargetMode="External"/><Relationship Id="rId150" Type="http://schemas.openxmlformats.org/officeDocument/2006/relationships/hyperlink" Target="https://zakon.rada.gov.ua/laws/show/995_150" TargetMode="External"/><Relationship Id="rId595" Type="http://schemas.openxmlformats.org/officeDocument/2006/relationships/hyperlink" Target="https://ecoaction.org.ua/vijna-ta-shkoda-dlia-dovkillia-prytiahnuty-rosiu.html" TargetMode="External"/><Relationship Id="rId2276" Type="http://schemas.openxmlformats.org/officeDocument/2006/relationships/hyperlink" Target="https://hudoc.echr.coe.int/eng" TargetMode="External"/><Relationship Id="rId2483" Type="http://schemas.openxmlformats.org/officeDocument/2006/relationships/hyperlink" Target="https://www.president.gov.ua/documents/2297vi-11567" TargetMode="External"/><Relationship Id="rId248" Type="http://schemas.openxmlformats.org/officeDocument/2006/relationships/hyperlink" Target="https://zakon.rada.gov.ua/laws/show/995_043" TargetMode="External"/><Relationship Id="rId455" Type="http://schemas.openxmlformats.org/officeDocument/2006/relationships/hyperlink" Target="https://zakon.rada.gov.ua/laws/show/3909-20" TargetMode="External"/><Relationship Id="rId662" Type="http://schemas.openxmlformats.org/officeDocument/2006/relationships/hyperlink" Target="http://repository.kpi.kharkov.ua/server/api/core/bitstreams/5b49515d-b59f-4591-a8e3-8485eeda344e/content" TargetMode="External"/><Relationship Id="rId1085" Type="http://schemas.openxmlformats.org/officeDocument/2006/relationships/hyperlink" Target="https://zakon.rada.gov.ua/laws/show/995_004" TargetMode="External"/><Relationship Id="rId1292" Type="http://schemas.openxmlformats.org/officeDocument/2006/relationships/hyperlink" Target="URL:%20https://zakon.rada.gov.ua/laws/show/1618-15%23Text%20" TargetMode="External"/><Relationship Id="rId2136" Type="http://schemas.openxmlformats.org/officeDocument/2006/relationships/hyperlink" Target="https://dspace.uzhnu.edu.ua/jspui/handle/lib/30967" TargetMode="External"/><Relationship Id="rId2550" Type="http://schemas.openxmlformats.org/officeDocument/2006/relationships/hyperlink" Target="https://doi.org/10.34190/eccws.21.1.226" TargetMode="External"/><Relationship Id="rId108" Type="http://schemas.openxmlformats.org/officeDocument/2006/relationships/hyperlink" Target="https://shron1.chtyvo.org.ua/Nietzsche_Friedrich/Po_toi_bik_dobra_i_zla_Henealohia_morali.pdf" TargetMode="External"/><Relationship Id="rId315" Type="http://schemas.openxmlformats.org/officeDocument/2006/relationships/hyperlink" Target="https://legal.un.org/ilc/texts/instruments/english/conventions/9_1_1961.pdf" TargetMode="External"/><Relationship Id="rId522" Type="http://schemas.openxmlformats.org/officeDocument/2006/relationships/hyperlink" Target="https://www.corteidh.or.cr/docs/casos/articulos/seriec_75_ing.pdf" TargetMode="External"/><Relationship Id="rId967" Type="http://schemas.openxmlformats.org/officeDocument/2006/relationships/hyperlink" Target="https://zakon.rada.gov.ua/laws/show/280-2014-%D0%BF" TargetMode="External"/><Relationship Id="rId1152" Type="http://schemas.openxmlformats.org/officeDocument/2006/relationships/hyperlink" Target="file:///C:\Users\Downloads\Downloads\Downloads\Telegram%20Desktop\169.pdf" TargetMode="External"/><Relationship Id="rId1597" Type="http://schemas.openxmlformats.org/officeDocument/2006/relationships/hyperlink" Target="https://zakon.rada.gov.ua/laws/show/1798-12" TargetMode="External"/><Relationship Id="rId2203" Type="http://schemas.openxmlformats.org/officeDocument/2006/relationships/hyperlink" Target="https://zakon.rada.gov.ua/laws/show/995_015" TargetMode="External"/><Relationship Id="rId2410" Type="http://schemas.openxmlformats.org/officeDocument/2006/relationships/hyperlink" Target="https://spring.io/guides" TargetMode="External"/><Relationship Id="rId96" Type="http://schemas.openxmlformats.org/officeDocument/2006/relationships/hyperlink" Target="http://politicus.od.ua/2_2022/14.pdf" TargetMode="External"/><Relationship Id="rId827" Type="http://schemas.openxmlformats.org/officeDocument/2006/relationships/hyperlink" Target="https://zakon.rada.gov.ua/laws/show/896_009" TargetMode="External"/><Relationship Id="rId1012" Type="http://schemas.openxmlformats.org/officeDocument/2006/relationships/hyperlink" Target="https://www.pravda.com.ua/columns/2022/05/27/7348844/" TargetMode="External"/><Relationship Id="rId1457" Type="http://schemas.openxmlformats.org/officeDocument/2006/relationships/hyperlink" Target="https://hromadske.ua/suspilstvo/232348-holova-vkks-pro-nedobir-suddiv-vony-led-vytrymuiut-navantazennia" TargetMode="External"/><Relationship Id="rId1664" Type="http://schemas.openxmlformats.org/officeDocument/2006/relationships/hyperlink" Target="https://surli.cc/yjcwfb" TargetMode="External"/><Relationship Id="rId1871" Type="http://schemas.openxmlformats.org/officeDocument/2006/relationships/hyperlink" Target="https://www.sciencedirect.com/science/article/pii/S2589004221010828?utm_source=chatgpt.com" TargetMode="External"/><Relationship Id="rId2508" Type="http://schemas.openxmlformats.org/officeDocument/2006/relationships/hyperlink" Target="http://nbuv.gov.ua/UJRN/binf_2015_1_4" TargetMode="External"/><Relationship Id="rId1317" Type="http://schemas.openxmlformats.org/officeDocument/2006/relationships/hyperlink" Target="https://zakon.rada.gov.ua/laws/show/3477-15/conv" TargetMode="External"/><Relationship Id="rId1524" Type="http://schemas.openxmlformats.org/officeDocument/2006/relationships/hyperlink" Target="https://reyestr.court.gov.ua/Review/81434959" TargetMode="External"/><Relationship Id="rId1731" Type="http://schemas.openxmlformats.org/officeDocument/2006/relationships/hyperlink" Target="https://zakon.rada.gov.ua/laws/show/2768-14" TargetMode="External"/><Relationship Id="rId1969" Type="http://schemas.openxmlformats.org/officeDocument/2006/relationships/hyperlink" Target="https://www.icc-cpi.int/sites/default/files/2024-05/Rome-Statute-eng.pdf" TargetMode="External"/><Relationship Id="rId23" Type="http://schemas.openxmlformats.org/officeDocument/2006/relationships/hyperlink" Target="https://dspace.uzhnu.edu.ua/jspui/bitstream/lib/31554/1/%D0%BF%D0%BE%D0%BD%D0%AF%D1%82%D1%82%D0%AF%20%D0%B0%D0%BD%D0%B0%D0%BB%D0%BE%D0%B3%D1%96%D0%87%20%D0%97%D0%B0%D0%BA%D0%BE%D0%BD%D1%83%20%D0%B9%20%D0%B0%D0%BD%D0%B0%D0%BB%D0%BE%D0%B3%D1%96%D0%87%20%D0%BF%D1%80%D0%B0%D0%B2%D0%B0.pdf" TargetMode="External"/><Relationship Id="rId1829" Type="http://schemas.openxmlformats.org/officeDocument/2006/relationships/hyperlink" Target="https://reestr.court.gov.ua/Review/116607237" TargetMode="External"/><Relationship Id="rId2298" Type="http://schemas.openxmlformats.org/officeDocument/2006/relationships/hyperlink" Target="https://er.dduvs.edu.ua/bitstream/123456789/9405/1/82.pdf" TargetMode="External"/><Relationship Id="rId172" Type="http://schemas.openxmlformats.org/officeDocument/2006/relationships/hyperlink" Target="https://scc.knu.ua/upload/iblock/be3/dis_Paziuk,%20Andrii%20V..pdf" TargetMode="External"/><Relationship Id="rId477" Type="http://schemas.openxmlformats.org/officeDocument/2006/relationships/hyperlink" Target="https://zakon.rada.gov.ua/laws/show/994_b06" TargetMode="External"/><Relationship Id="rId684" Type="http://schemas.openxmlformats.org/officeDocument/2006/relationships/hyperlink" Target="https://zakon.rada.gov.ua/laws/show/995_085" TargetMode="External"/><Relationship Id="rId2060" Type="http://schemas.openxmlformats.org/officeDocument/2006/relationships/hyperlink" Target="http://lib.pnu.edu.ua:8080/bitstream/123456789/8754/1/1022Article%20Text-2102-1-10-20191031.pdf" TargetMode="External"/><Relationship Id="rId2158" Type="http://schemas.openxmlformats.org/officeDocument/2006/relationships/hyperlink" Target="https://reyestr.court.gov.ua/Review/89733004" TargetMode="External"/><Relationship Id="rId337" Type="http://schemas.openxmlformats.org/officeDocument/2006/relationships/hyperlink" Target="https://www.ipu.org/resources/publications/infographics/2023-03/women-in-politics-2023" TargetMode="External"/><Relationship Id="rId891" Type="http://schemas.openxmlformats.org/officeDocument/2006/relationships/hyperlink" Target="https://www.radiosvoboda.org/a/news-pivdenna-korea-prezydent-pomyluvannia/31624042.html" TargetMode="External"/><Relationship Id="rId989" Type="http://schemas.openxmlformats.org/officeDocument/2006/relationships/hyperlink" Target="https://nvdu.undicz.org.ua/index.php/nvdu/article/view/252/246" TargetMode="External"/><Relationship Id="rId2018" Type="http://schemas.openxmlformats.org/officeDocument/2006/relationships/hyperlink" Target="https://zakon.rada.gov.ua/laws/show/994_331" TargetMode="External"/><Relationship Id="rId2572" Type="http://schemas.openxmlformats.org/officeDocument/2006/relationships/hyperlink" Target="https://zakon.rada.gov.ua/go/3477-15" TargetMode="External"/><Relationship Id="rId544" Type="http://schemas.openxmlformats.org/officeDocument/2006/relationships/hyperlink" Target="https://academy-vision.org/index.php/av/article/view/744" TargetMode="External"/><Relationship Id="rId751" Type="http://schemas.openxmlformats.org/officeDocument/2006/relationships/hyperlink" Target="https://zakon.rada.gov.ua/laws/show/3477-15" TargetMode="External"/><Relationship Id="rId849" Type="http://schemas.openxmlformats.org/officeDocument/2006/relationships/hyperlink" Target="https://zakon.rada.gov.ua/laws/show/4002-12" TargetMode="External"/><Relationship Id="rId1174" Type="http://schemas.openxmlformats.org/officeDocument/2006/relationships/hyperlink" Target="https://zakon.rada.gov.ua/rada/show/n0001891-17" TargetMode="External"/><Relationship Id="rId1381" Type="http://schemas.openxmlformats.org/officeDocument/2006/relationships/hyperlink" Target="https://reyestr.court.gov.ua/Review/76350143" TargetMode="External"/><Relationship Id="rId1479" Type="http://schemas.openxmlformats.org/officeDocument/2006/relationships/hyperlink" Target="http://zakon3.rada.gov.ua/laws/show/254%D0%BA/96-%D0%B2%D1%80" TargetMode="External"/><Relationship Id="rId1686" Type="http://schemas.openxmlformats.org/officeDocument/2006/relationships/hyperlink" Target="https://zakon.rada.gov.ua/laws/show/2136-20" TargetMode="External"/><Relationship Id="rId2225" Type="http://schemas.openxmlformats.org/officeDocument/2006/relationships/hyperlink" Target="https://er.dduvs.edu.ua/bitstream/123456789/13330/1/326.pdf" TargetMode="External"/><Relationship Id="rId2432" Type="http://schemas.openxmlformats.org/officeDocument/2006/relationships/hyperlink" Target="https://react.dev/reference/react/useRef" TargetMode="External"/><Relationship Id="rId404" Type="http://schemas.openxmlformats.org/officeDocument/2006/relationships/hyperlink" Target="http://zakon.rada.gov.ua/laws/show/995_3" TargetMode="External"/><Relationship Id="rId611" Type="http://schemas.openxmlformats.org/officeDocument/2006/relationships/hyperlink" Target="https://dictionary.cambridge.org/dictionary/english-ukrainian/freedom" TargetMode="External"/><Relationship Id="rId1034" Type="http://schemas.openxmlformats.org/officeDocument/2006/relationships/hyperlink" Target="https://zakon.rada.gov.ua/laws/show/2747-15" TargetMode="External"/><Relationship Id="rId1241" Type="http://schemas.openxmlformats.org/officeDocument/2006/relationships/hyperlink" Target="https://nabu.gov.ua/site/assets/files/47003/tekhnichna_otcinka_nabu_2023_ua-1.pdf" TargetMode="External"/><Relationship Id="rId1339" Type="http://schemas.openxmlformats.org/officeDocument/2006/relationships/hyperlink" Target="https://www.copyright.gov/dmca-directory/" TargetMode="External"/><Relationship Id="rId1893" Type="http://schemas.openxmlformats.org/officeDocument/2006/relationships/hyperlink" Target="https://zakon.rada.gov.ua/laws/show/2341-14" TargetMode="External"/><Relationship Id="rId709" Type="http://schemas.openxmlformats.org/officeDocument/2006/relationships/hyperlink" Target="http://www.inlawalmanac.mgu.od.ua/v27/2.pdf" TargetMode="External"/><Relationship Id="rId916" Type="http://schemas.openxmlformats.org/officeDocument/2006/relationships/hyperlink" Target="https://espreso.tv/shcho-vidomo-pro-masshtabi-koruptsii-na-gumanitarniy-dopomozi-shcho-nadkhodit-v-ukrainu" TargetMode="External"/><Relationship Id="rId1101" Type="http://schemas.openxmlformats.org/officeDocument/2006/relationships/hyperlink" Target="https://zakon.rada.gov.ua/laws/show/3460-17%23Text" TargetMode="External"/><Relationship Id="rId1546" Type="http://schemas.openxmlformats.org/officeDocument/2006/relationships/hyperlink" Target="https://chasprava.com.ua/index.php/journal/article/view/487" TargetMode="External"/><Relationship Id="rId1753" Type="http://schemas.openxmlformats.org/officeDocument/2006/relationships/hyperlink" Target="https://consultant.net.ua/consultant-article/12857" TargetMode="External"/><Relationship Id="rId1960" Type="http://schemas.openxmlformats.org/officeDocument/2006/relationships/hyperlink" Target="https://www.inter-nauka.com/uploads/public/17004624837350.pdf" TargetMode="External"/><Relationship Id="rId45" Type="http://schemas.openxmlformats.org/officeDocument/2006/relationships/hyperlink" Target="https://zakon.rada.gov.ua/laws/show/995_507" TargetMode="External"/><Relationship Id="rId1406" Type="http://schemas.openxmlformats.org/officeDocument/2006/relationships/hyperlink" Target="https://reyestr.court.gov.ua/Review/74963389" TargetMode="External"/><Relationship Id="rId1613" Type="http://schemas.openxmlformats.org/officeDocument/2006/relationships/hyperlink" Target="https://ema.ztu.edu.ua/article/view/261787" TargetMode="External"/><Relationship Id="rId1820" Type="http://schemas.openxmlformats.org/officeDocument/2006/relationships/hyperlink" Target="file:///C:\Users\yudba\AppData\Roaming\Microsoft\Word\&#1055;&#1040;&#1052;&#8217;&#1071;&#1058;&#1050;&#1040;:%20&#1042;&#1110;&#1076;&#1087;&#1086;&#1074;&#1110;&#1076;&#1072;&#1083;&#1100;&#1085;&#1110;&#1089;&#1090;&#1100;%20&#1079;&#1072;%20&#1084;&#1072;&#1088;&#1086;&#1076;&#1077;&#1088;&#1089;&#1090;&#1074;&#1086;,%20&#1082;&#1088;&#1072;&#1076;&#1110;&#1078;&#1082;&#1091;%20&#1095;&#1080;%20&#1075;&#1088;&#1072;&#1073;&#1110;&#1078;%20&#1087;&#1110;&#1076;%20&#1095;&#1072;&#1089;%20&#1074;&#1110;&#1081;&#1085;&#1080;%20&#8211;%20&#1055;&#1088;&#1072;&#1074;&#1086;%20&#1074;%20&#1091;&#1084;&#1086;&#1074;&#1072;&#1093;%20&#1074;&#1110;&#1081;&#1085;&#1080;" TargetMode="External"/><Relationship Id="rId194" Type="http://schemas.openxmlformats.org/officeDocument/2006/relationships/hyperlink" Target="https://eurlex.europa.eu/resource.html?uri=cellar:b828d165-1c22-11ea8c1f01aa75ed71a1.0002.02/DOC_1&amp;format=PDF" TargetMode="External"/><Relationship Id="rId1918" Type="http://schemas.openxmlformats.org/officeDocument/2006/relationships/hyperlink" Target="https://zakon.rada.gov.ua/laws/show/4651-17" TargetMode="External"/><Relationship Id="rId2082" Type="http://schemas.openxmlformats.org/officeDocument/2006/relationships/hyperlink" Target="https://zakon.rada.gov.ua/laws/show/995_g71" TargetMode="External"/><Relationship Id="rId261" Type="http://schemas.openxmlformats.org/officeDocument/2006/relationships/hyperlink" Target="https://zakon.rada.gov.ua/laws/show/1402-19" TargetMode="External"/><Relationship Id="rId499" Type="http://schemas.openxmlformats.org/officeDocument/2006/relationships/hyperlink" Target="https://help.gov.ua" TargetMode="External"/><Relationship Id="rId2594" Type="http://schemas.openxmlformats.org/officeDocument/2006/relationships/hyperlink" Target="https://genderindetail.org.ua/season-topic/polityka/zhinki-v-polititsi-ukraini-100-rokiv-evolyutsii-134913.html" TargetMode="External"/><Relationship Id="rId359" Type="http://schemas.openxmlformats.org/officeDocument/2006/relationships/hyperlink" Target="https://hudoc.echr.coe.int/eng%23%7b%22itemid%22:%5b%22001-57620%22%5d%7d%20" TargetMode="External"/><Relationship Id="rId566" Type="http://schemas.openxmlformats.org/officeDocument/2006/relationships/hyperlink" Target="https://www.unodc.org" TargetMode="External"/><Relationship Id="rId773" Type="http://schemas.openxmlformats.org/officeDocument/2006/relationships/hyperlink" Target="https://zakon.rada.gov.ua/laws/show/4495-17" TargetMode="External"/><Relationship Id="rId1196" Type="http://schemas.openxmlformats.org/officeDocument/2006/relationships/hyperlink" Target="http://jes.nuoua.od.ua/archive/2_2022/17.pdf" TargetMode="External"/><Relationship Id="rId2247" Type="http://schemas.openxmlformats.org/officeDocument/2006/relationships/hyperlink" Target="https://zakon.rada.gov.ua/laws/show/995_004" TargetMode="External"/><Relationship Id="rId2454" Type="http://schemas.openxmlformats.org/officeDocument/2006/relationships/image" Target="media/image13.png"/><Relationship Id="rId121" Type="http://schemas.openxmlformats.org/officeDocument/2006/relationships/hyperlink" Target="https://elibrary.kubg.edu.ua/27636/1/" TargetMode="External"/><Relationship Id="rId219" Type="http://schemas.openxmlformats.org/officeDocument/2006/relationships/hyperlink" Target="https://www.academy-vision.org/index.php/av/article/view/743" TargetMode="External"/><Relationship Id="rId426" Type="http://schemas.openxmlformats.org/officeDocument/2006/relationships/hyperlink" Target="https://www.endcrsv.org/uk/guidebook/%D1%81%D0%B0%D1%81/" TargetMode="External"/><Relationship Id="rId633" Type="http://schemas.openxmlformats.org/officeDocument/2006/relationships/hyperlink" Target="https://dspace.onua.edu.ua/server/api/core/bitstreams/e88d244e-e222-4550-a63c-3de8915e6992/content" TargetMode="External"/><Relationship Id="rId980" Type="http://schemas.openxmlformats.org/officeDocument/2006/relationships/hyperlink" Target="https://api.par.in.ua/uploads/progress_report/file_uk/35/PARS_2022-2025_ukr.pdf" TargetMode="External"/><Relationship Id="rId1056" Type="http://schemas.openxmlformats.org/officeDocument/2006/relationships/hyperlink" Target="https://doi.org/10.36695/2219-5521.3.2023.39" TargetMode="External"/><Relationship Id="rId1263" Type="http://schemas.openxmlformats.org/officeDocument/2006/relationships/hyperlink" Target="https://www.reuters.com/world/europe/ukraine-anti-graft-police-probing-dozens-defence-related-cases-2024-02-21/" TargetMode="External"/><Relationship Id="rId2107" Type="http://schemas.openxmlformats.org/officeDocument/2006/relationships/hyperlink" Target="https://zakon.rada.gov.ua/laws/show/3342-20" TargetMode="External"/><Relationship Id="rId2314" Type="http://schemas.openxmlformats.org/officeDocument/2006/relationships/hyperlink" Target="https://visnyk-juris-uzhnu.com/wp-content/uploads/2024/05/7-2.pdf" TargetMode="External"/><Relationship Id="rId840" Type="http://schemas.openxmlformats.org/officeDocument/2006/relationships/hyperlink" Target="https://zakon.rada.gov.ua/laws/show/995_199" TargetMode="External"/><Relationship Id="rId938" Type="http://schemas.openxmlformats.org/officeDocument/2006/relationships/hyperlink" Target="https://zakon.rada.gov.ua/laws/show/64/2022" TargetMode="External"/><Relationship Id="rId1470" Type="http://schemas.openxmlformats.org/officeDocument/2006/relationships/hyperlink" Target="https://dspace.onua.edu.ua/server/api/core/bitstreams/895cf8dc-7ed9-4428-8cbe-1747cc856ed8/content" TargetMode="External"/><Relationship Id="rId1568" Type="http://schemas.openxmlformats.org/officeDocument/2006/relationships/hyperlink" Target="https://sud.ua/uk/news/publication/322466-stala-izvestna-finalnaya-redaktsiya-zakona-ob-otmene-khozyaystvennogo-kodeksa-ruslan-stefanchuk-podpisal-zakon" TargetMode="External"/><Relationship Id="rId1775" Type="http://schemas.openxmlformats.org/officeDocument/2006/relationships/hyperlink" Target="https://hdl.handle.net/11300/13259" TargetMode="External"/><Relationship Id="rId2521" Type="http://schemas.openxmlformats.org/officeDocument/2006/relationships/hyperlink" Target="https://hai.stanford.edu/news/how-ai-changing-our-understanding-language" TargetMode="External"/><Relationship Id="rId2619" Type="http://schemas.openxmlformats.org/officeDocument/2006/relationships/hyperlink" Target="https://uk.wikipedia.org/wiki/%D0%A7%D0%B0%D1%82-%D0%B1%D0%BE%D1%82" TargetMode="External"/><Relationship Id="rId67" Type="http://schemas.openxmlformats.org/officeDocument/2006/relationships/hyperlink" Target="https://doi.org/10.32840/1813-338X-2019-3-3" TargetMode="External"/><Relationship Id="rId700" Type="http://schemas.openxmlformats.org/officeDocument/2006/relationships/hyperlink" Target="URL:htts://zakon.rada.gov.ua/laws/show/2709-15" TargetMode="External"/><Relationship Id="rId1123" Type="http://schemas.openxmlformats.org/officeDocument/2006/relationships/hyperlink" Target="https://zakon.rada.gov.ua/laws/show/1402-19" TargetMode="External"/><Relationship Id="rId1330" Type="http://schemas.openxmlformats.org/officeDocument/2006/relationships/hyperlink" Target="https://zakon.rada.gov.ua/laws/show/3687-12" TargetMode="External"/><Relationship Id="rId1428" Type="http://schemas.openxmlformats.org/officeDocument/2006/relationships/hyperlink" Target="https://dspace.univd.edu.ua/server/api/core/bitstreams/49ea9659-b430-43e0-ab68-a2ebcd033eca/content" TargetMode="External"/><Relationship Id="rId1635" Type="http://schemas.openxmlformats.org/officeDocument/2006/relationships/hyperlink" Target="https://yurgazeta.com/dumka-eksperta/yak-v-ukrayini-zahishchayut-inozemni-investiciyi.html" TargetMode="External"/><Relationship Id="rId1982" Type="http://schemas.openxmlformats.org/officeDocument/2006/relationships/hyperlink" Target="https://i-lug.gov.ua/news/sistema_%C2%ABbezpechne_misto%C2%BB_-_innovacijni_rishennja_jaki_dbajut_pro_bezpeku" TargetMode="External"/><Relationship Id="rId1842" Type="http://schemas.openxmlformats.org/officeDocument/2006/relationships/hyperlink" Target="https://www.echr.coe.int/Documents/Convention_ENG.pdf" TargetMode="External"/><Relationship Id="rId1702" Type="http://schemas.openxmlformats.org/officeDocument/2006/relationships/hyperlink" Target="https://www.president.gov.ua/documents/642022-41397" TargetMode="External"/><Relationship Id="rId283" Type="http://schemas.openxmlformats.org/officeDocument/2006/relationships/hyperlink" Target="https://zakon.rada.gov.ua/laws/show/254%D0%BA/96-%D0%B2%D1%80" TargetMode="External"/><Relationship Id="rId490" Type="http://schemas.openxmlformats.org/officeDocument/2006/relationships/hyperlink" Target="https://zakon.rada.gov.ua/laws/show/2341-14" TargetMode="External"/><Relationship Id="rId2171" Type="http://schemas.openxmlformats.org/officeDocument/2006/relationships/hyperlink" Target="https://reyestr.court.gov.ua/Review/111648722" TargetMode="External"/><Relationship Id="rId143" Type="http://schemas.openxmlformats.org/officeDocument/2006/relationships/hyperlink" Target="https://zakon.rada.gov.ua/laws/show/995_021" TargetMode="External"/><Relationship Id="rId350" Type="http://schemas.openxmlformats.org/officeDocument/2006/relationships/hyperlink" Target="https://zakon.rada.gov.ua/laws/show/995_021" TargetMode="External"/><Relationship Id="rId588" Type="http://schemas.openxmlformats.org/officeDocument/2006/relationships/hyperlink" Target="https://supreme.court.gov.ua/supreme/pres-centr/zmi/1216716/" TargetMode="External"/><Relationship Id="rId795" Type="http://schemas.openxmlformats.org/officeDocument/2006/relationships/hyperlink" Target="https://planbleu.org/sites/default/files/upload/files/Barcelona_convention_and_protocols_2005_eng.pdf" TargetMode="External"/><Relationship Id="rId2031" Type="http://schemas.openxmlformats.org/officeDocument/2006/relationships/hyperlink" Target="https://kndise.gov.ua/psyhofiziologichni-doslidzhennya-iz-zastosuvannyam-poligrafa/" TargetMode="External"/><Relationship Id="rId2269" Type="http://schemas.openxmlformats.org/officeDocument/2006/relationships/hyperlink" Target="https://zakon.rada.gov.ua/laws/show/4651-17" TargetMode="External"/><Relationship Id="rId2476" Type="http://schemas.openxmlformats.org/officeDocument/2006/relationships/hyperlink" Target="https://www.patagonia.com/home/" TargetMode="External"/><Relationship Id="rId9" Type="http://schemas.openxmlformats.org/officeDocument/2006/relationships/hyperlink" Target="https://ep.unesco-socio.in.ua/wp-content/uploads/2020/12/110-_Alekseeva_Danylenko.pdf" TargetMode="External"/><Relationship Id="rId210" Type="http://schemas.openxmlformats.org/officeDocument/2006/relationships/hyperlink" Target="https://hudoc.echr.coe.int/eng" TargetMode="External"/><Relationship Id="rId448" Type="http://schemas.openxmlformats.org/officeDocument/2006/relationships/hyperlink" Target="https://zakon.rada.gov.ua/laws/show/995_085" TargetMode="External"/><Relationship Id="rId655" Type="http://schemas.openxmlformats.org/officeDocument/2006/relationships/hyperlink" Target="https://www.google.com/url?sa=t&amp;source=web&amp;rct=j&amp;opi=89978449&amp;url=https://dspace.uzhnu.edu.ua/jspui/bitstream/lib/35769/1/%25D0%25A1%25D0%25A3%25D0%25A2%25D0%259D%25D0%2586%25D0%25A1%25D0%25A2%25D0%25AC%2520%25D0%259F%25D0%259E%25D0%259D%25D0%25AF%25D0%25A2%25D0%25A2%25D0%25AF%2520%25D0%2597%25D0%259B%25D0%259E%25D0%25A7%25D0%2598%25D0%259D%25D0%25A3.pdf&amp;ved=2ahUKEwiT8_uYv8OMAxWtLBAIHZsJGrIQFnoECBcQAQ&amp;usg=AOvVaw1GKJE8LByrQcK8nRr-NGUO" TargetMode="External"/><Relationship Id="rId862" Type="http://schemas.openxmlformats.org/officeDocument/2006/relationships/hyperlink" Target="https://zakon.rada.gov.ua/laws/show/1054-20" TargetMode="External"/><Relationship Id="rId1078" Type="http://schemas.openxmlformats.org/officeDocument/2006/relationships/hyperlink" Target="http://zakon1.rada.gov.ua/laws/show/994_236" TargetMode="External"/><Relationship Id="rId1285" Type="http://schemas.openxmlformats.org/officeDocument/2006/relationships/hyperlink" Target="https://court.gov.ua/userfiles/UROL_Courts_and_Media_Manual_for_Judges.pdf" TargetMode="External"/><Relationship Id="rId1492" Type="http://schemas.openxmlformats.org/officeDocument/2006/relationships/hyperlink" Target="about:blank" TargetMode="External"/><Relationship Id="rId2129" Type="http://schemas.openxmlformats.org/officeDocument/2006/relationships/hyperlink" Target="https://www.fairtrials.org/articles/news/foi-reveals-over-12000-people-profiled-by-flawed-durham-police-predictive-ai-tool/" TargetMode="External"/><Relationship Id="rId2543" Type="http://schemas.openxmlformats.org/officeDocument/2006/relationships/hyperlink" Target="https://eu-ua.kmu.gov.ua/news/yevrointegratsiya-v-umovah-vijny-obgovorennya-dosyagnen-ta-vyklykiv/" TargetMode="External"/><Relationship Id="rId308" Type="http://schemas.openxmlformats.org/officeDocument/2006/relationships/hyperlink" Target="https://treaties.un.org/Pages/ViewDetails.aspx?src=IND&amp;mtdsg_no=XXVII-13&amp;chapter=27" TargetMode="External"/><Relationship Id="rId515" Type="http://schemas.openxmlformats.org/officeDocument/2006/relationships/hyperlink" Target="https://www.ilo.org/global/topics/labour-migration/publications/WCMS_746184" TargetMode="External"/><Relationship Id="rId722" Type="http://schemas.openxmlformats.org/officeDocument/2006/relationships/hyperlink" Target="https://zakon.rada.gov.ua/laws/show/995_011" TargetMode="External"/><Relationship Id="rId1145" Type="http://schemas.openxmlformats.org/officeDocument/2006/relationships/hyperlink" Target="https://supreme.court.gov.ua/supreme/gromadyanam/terutor_pidsudnist/" TargetMode="External"/><Relationship Id="rId1352" Type="http://schemas.openxmlformats.org/officeDocument/2006/relationships/hyperlink" Target="about:blank" TargetMode="External"/><Relationship Id="rId1797" Type="http://schemas.openxmlformats.org/officeDocument/2006/relationships/hyperlink" Target="https://www.facebook.com/millerlawfirm/posts/4973752186045192" TargetMode="External"/><Relationship Id="rId2403" Type="http://schemas.openxmlformats.org/officeDocument/2006/relationships/hyperlink" Target="https://developer.mozilla.org/en-US/docs/Web/HTML" TargetMode="External"/><Relationship Id="rId89" Type="http://schemas.openxmlformats.org/officeDocument/2006/relationships/hyperlink" Target="https://library.nlu.edu.ua/POLN_TEXT/AVTOREF_2016/Lukiyanov_D_V_2016.pdf" TargetMode="External"/><Relationship Id="rId1005" Type="http://schemas.openxmlformats.org/officeDocument/2006/relationships/hyperlink" Target="https://mof.gov.ua/uk/budget?utm_source=chatgpt.com" TargetMode="External"/><Relationship Id="rId1212" Type="http://schemas.openxmlformats.org/officeDocument/2006/relationships/hyperlink" Target="http://yurvisnyk.in.ua/v1_2023/9.pdf" TargetMode="External"/><Relationship Id="rId1657" Type="http://schemas.openxmlformats.org/officeDocument/2006/relationships/hyperlink" Target="https://zakon.rada.gov.ua/laws/show/1700-18" TargetMode="External"/><Relationship Id="rId1864" Type="http://schemas.openxmlformats.org/officeDocument/2006/relationships/hyperlink" Target="https://zakon.rada.gov.ua/laws/show/254&#1082;/96-&#1074;&#1088;" TargetMode="External"/><Relationship Id="rId2610" Type="http://schemas.openxmlformats.org/officeDocument/2006/relationships/hyperlink" Target="https://journals.sagepub.com/doi/10.1177/0265407519836170" TargetMode="External"/><Relationship Id="rId1517" Type="http://schemas.openxmlformats.org/officeDocument/2006/relationships/hyperlink" Target="https://court.gov.ua/archive/1657928/" TargetMode="External"/><Relationship Id="rId1724" Type="http://schemas.openxmlformats.org/officeDocument/2006/relationships/hyperlink" Target="https://zakon.rada.gov.ua/laws/show/995_015" TargetMode="External"/><Relationship Id="rId16" Type="http://schemas.openxmlformats.org/officeDocument/2006/relationships/hyperlink" Target="https://zakon.rada.gov.ua/laws/show/389-19" TargetMode="External"/><Relationship Id="rId1931" Type="http://schemas.openxmlformats.org/officeDocument/2006/relationships/hyperlink" Target="http://nbuv.gov.ua/UJRN/znpnapv_vtn_2013_1_20" TargetMode="External"/><Relationship Id="rId2193" Type="http://schemas.openxmlformats.org/officeDocument/2006/relationships/hyperlink" Target="https://vkslaw.com.ua/index.php/journal/article/view/83/65" TargetMode="External"/><Relationship Id="rId2498" Type="http://schemas.openxmlformats.org/officeDocument/2006/relationships/hyperlink" Target="http://surl.li/oger" TargetMode="External"/><Relationship Id="rId165" Type="http://schemas.openxmlformats.org/officeDocument/2006/relationships/hyperlink" Target="https://www.cambridge.org/core/books/protracted-refugee-situations/" TargetMode="External"/><Relationship Id="rId372" Type="http://schemas.openxmlformats.org/officeDocument/2006/relationships/hyperlink" Target="https://eur-lex.europa.eu/eli/dec_framw/2002/584/oj/eng" TargetMode="External"/><Relationship Id="rId677" Type="http://schemas.openxmlformats.org/officeDocument/2006/relationships/hyperlink" Target="https://ibn.idsi.md/sites/default/files/imag_file/297-299_6.pdf" TargetMode="External"/><Relationship Id="rId2053" Type="http://schemas.openxmlformats.org/officeDocument/2006/relationships/hyperlink" Target="https://zakon.rada.gov.ua/laws/show/995_042" TargetMode="External"/><Relationship Id="rId2260" Type="http://schemas.openxmlformats.org/officeDocument/2006/relationships/hyperlink" Target="https://zakon.rada.gov.ua/go/4651-17" TargetMode="External"/><Relationship Id="rId232" Type="http://schemas.openxmlformats.org/officeDocument/2006/relationships/hyperlink" Target="https://www.researchgate.net/publication/386341180_Security_Challenges_in_the_21st_Century_Addressing_Cybersecurity_Threats_in_International_Diplomacy" TargetMode="External"/><Relationship Id="rId884" Type="http://schemas.openxmlformats.org/officeDocument/2006/relationships/hyperlink" Target="https://zakon.rada.gov.ua/laws/card/389-19" TargetMode="External"/><Relationship Id="rId2120" Type="http://schemas.openxmlformats.org/officeDocument/2006/relationships/hyperlink" Target="https://probation.gov.ua/" TargetMode="External"/><Relationship Id="rId2565" Type="http://schemas.openxmlformats.org/officeDocument/2006/relationships/hyperlink" Target="https://supreme.court.gov.ua/supreme/pres-centr/news/659262" TargetMode="External"/><Relationship Id="rId537" Type="http://schemas.openxmlformats.org/officeDocument/2006/relationships/hyperlink" Target="https://www.echr.coe.int/documents/d/echr/convention_ENG" TargetMode="External"/><Relationship Id="rId744" Type="http://schemas.openxmlformats.org/officeDocument/2006/relationships/hyperlink" Target="https://zakon.rada.gov.ua/laws/show/4495-17" TargetMode="External"/><Relationship Id="rId951" Type="http://schemas.openxmlformats.org/officeDocument/2006/relationships/hyperlink" Target="https://hudoc.echr.coe.int/ukr?i=001-90332" TargetMode="External"/><Relationship Id="rId1167" Type="http://schemas.openxmlformats.org/officeDocument/2006/relationships/hyperlink" Target="https://elar.navs.edu.ua/server/api/core/bitstreams/f15c3379-f8ac-4692-9bc9-526a5b78fc22/content" TargetMode="External"/><Relationship Id="rId1374" Type="http://schemas.openxmlformats.org/officeDocument/2006/relationships/hyperlink" Target="https://zakon.rada.gov.ua/go/389-19" TargetMode="External"/><Relationship Id="rId1581" Type="http://schemas.openxmlformats.org/officeDocument/2006/relationships/hyperlink" Target="https://zakon.rada.gov.ua/laws/show/436-15" TargetMode="External"/><Relationship Id="rId1679" Type="http://schemas.openxmlformats.org/officeDocument/2006/relationships/hyperlink" Target="https://dspace.onua.edu.ua/server/api/core/bitstreams/f5c3ecc3-1db6-4c68-873f-d054e81cba9f/content" TargetMode="External"/><Relationship Id="rId2218" Type="http://schemas.openxmlformats.org/officeDocument/2006/relationships/hyperlink" Target="https://journals.indexcopernicus.com/api/file/viewByFileId/2042111" TargetMode="External"/><Relationship Id="rId2425" Type="http://schemas.openxmlformats.org/officeDocument/2006/relationships/hyperlink" Target="https://material.io/design" TargetMode="External"/><Relationship Id="rId2632" Type="http://schemas.openxmlformats.org/officeDocument/2006/relationships/hyperlink" Target="https://zakon.rada.gov.ua/laws/show/995_004" TargetMode="External"/><Relationship Id="rId80" Type="http://schemas.openxmlformats.org/officeDocument/2006/relationships/hyperlink" Target="https://er.nau.edu.ua/server/api/core/bitstreams/bdc342d9-ab5c-43c6-819d-b34052847e84/content" TargetMode="External"/><Relationship Id="rId604" Type="http://schemas.openxmlformats.org/officeDocument/2006/relationships/hyperlink" Target="https://visitukraine.today/it/blog/5339/consular-services-for-ukrainians-abroad-have-been-simplified-explanation-from-the-ministry-of-foreign-affairs?srsltid=AfmBOorY-qX7fvhoH2RM12XD7eZCl8FoGTX9Tl60fZvlS8RoyDGExJSs&amp;amp;amp" TargetMode="External"/><Relationship Id="rId811" Type="http://schemas.openxmlformats.org/officeDocument/2006/relationships/hyperlink" Target="https://verdictum.ligazakon.net/document/115907453?utm_source=biz.ligazakon.net&amp;utm_medium=news&amp;utm_content=bizpress01&amp;_ga=2.226968349.1480610208.1741171673-756673234.1675331120" TargetMode="External"/><Relationship Id="rId1027" Type="http://schemas.openxmlformats.org/officeDocument/2006/relationships/hyperlink" Target="https://dspace.uzhnu.edu.ua/jspui/handle/lib/61457" TargetMode="External"/><Relationship Id="rId1234" Type="http://schemas.openxmlformats.org/officeDocument/2006/relationships/hyperlink" Target="https://ti-ukraine.org/en/news/obstacles-in-the-work-of-the-anti-corruption-ecosystem" TargetMode="External"/><Relationship Id="rId1441" Type="http://schemas.openxmlformats.org/officeDocument/2006/relationships/hyperlink" Target="https://law.chnu.edu.ua/zastosuvannia-pryntsypu-estopel-u-sudovii-praktytsi/" TargetMode="External"/><Relationship Id="rId1886" Type="http://schemas.openxmlformats.org/officeDocument/2006/relationships/hyperlink" Target="https://search.app/sfTZnZpw5c1X8sDNA" TargetMode="External"/><Relationship Id="rId909" Type="http://schemas.openxmlformats.org/officeDocument/2006/relationships/hyperlink" Target="https://naukaipravoohorona.com/journal/ukr/2018_4/4.pdf" TargetMode="External"/><Relationship Id="rId1301" Type="http://schemas.openxmlformats.org/officeDocument/2006/relationships/hyperlink" Target="https://zakon.rada.gov.ua/laws/show/3808-12" TargetMode="External"/><Relationship Id="rId1539" Type="http://schemas.openxmlformats.org/officeDocument/2006/relationships/hyperlink" Target="https://zakon.rada.gov.ua/laws/show/nb02d710-21" TargetMode="External"/><Relationship Id="rId1746" Type="http://schemas.openxmlformats.org/officeDocument/2006/relationships/hyperlink" Target="https://zakon.rada.gov.ua/laws/show/v0001700-02" TargetMode="External"/><Relationship Id="rId1953" Type="http://schemas.openxmlformats.org/officeDocument/2006/relationships/hyperlink" Target="https://files.znu.edu.ua/files/Bibliobooks/Inshi71/0052071.pdf" TargetMode="External"/><Relationship Id="rId38" Type="http://schemas.openxmlformats.org/officeDocument/2006/relationships/hyperlink" Target="https://doi.org/10.23939/2020.legalrelations" TargetMode="External"/><Relationship Id="rId1606" Type="http://schemas.openxmlformats.org/officeDocument/2006/relationships/hyperlink" Target="https://zakon.rada.gov.ua/rada/show/v0025571-17" TargetMode="External"/><Relationship Id="rId1813" Type="http://schemas.openxmlformats.org/officeDocument/2006/relationships/hyperlink" Target="https://www.journals.elsevier.com/journal-of-law-and-psychiatry" TargetMode="External"/><Relationship Id="rId187" Type="http://schemas.openxmlformats.org/officeDocument/2006/relationships/hyperlink" Target="https://www.ohchr.org/en/documents/general-comments-and-recommendations/general-comment-no2-implementation-article-2-states" TargetMode="External"/><Relationship Id="rId394" Type="http://schemas.openxmlformats.org/officeDocument/2006/relationships/hyperlink" Target="https://global.oup.com/academic/product/taking-a-case-to-the-european-court-of-human-rights-9780198755425" TargetMode="External"/><Relationship Id="rId2075" Type="http://schemas.openxmlformats.org/officeDocument/2006/relationships/hyperlink" Target="https://zakon.rada.gov.ua/laws/show/1129-15" TargetMode="External"/><Relationship Id="rId2282" Type="http://schemas.openxmlformats.org/officeDocument/2006/relationships/hyperlink" Target="https://www.degruyter.com/document/doi/10.1515/zstw.2011.209/html" TargetMode="External"/><Relationship Id="rId254" Type="http://schemas.openxmlformats.org/officeDocument/2006/relationships/hyperlink" Target="https://zakon.rada.gov.ua/laws/show/2709-15" TargetMode="External"/><Relationship Id="rId699" Type="http://schemas.openxmlformats.org/officeDocument/2006/relationships/hyperlink" Target="https://library.nlu.edu.ua/POLN_TEXT/CUL/26-Mijn_priv_pravo-Dahno.pdf" TargetMode="External"/><Relationship Id="rId1091" Type="http://schemas.openxmlformats.org/officeDocument/2006/relationships/hyperlink" Target="https://www.facebook.com/mamchenkonataliia" TargetMode="External"/><Relationship Id="rId2587" Type="http://schemas.openxmlformats.org/officeDocument/2006/relationships/hyperlink" Target="https://parlament.org.ua/analytics/dosyagnennya-provaly-rekordy-i-mify-verhovnoyi-rady-ih-sklykannya/" TargetMode="External"/><Relationship Id="rId114" Type="http://schemas.openxmlformats.org/officeDocument/2006/relationships/hyperlink" Target="https://doi.org/10.1093/scipol/scae070" TargetMode="External"/><Relationship Id="rId461" Type="http://schemas.openxmlformats.org/officeDocument/2006/relationships/hyperlink" Target="https://eur-lex.europa.eu/eli/dir/2001/55/oj/eng" TargetMode="External"/><Relationship Id="rId559" Type="http://schemas.openxmlformats.org/officeDocument/2006/relationships/hyperlink" Target="https://www.researchgate.net/publication/270834157_What's_Wrong_with_the_United_Nations_and_How_to_Fix_It" TargetMode="External"/><Relationship Id="rId766" Type="http://schemas.openxmlformats.org/officeDocument/2006/relationships/hyperlink" Target="https://zakon.rada.gov.ua/laws/show/176/95-%D0%B2%D1%80" TargetMode="External"/><Relationship Id="rId1189" Type="http://schemas.openxmlformats.org/officeDocument/2006/relationships/hyperlink" Target="http://www.irbis-nbuv.gov.ua/cgi-bin/irbis_nbuv/cgiirbis_64.exe?I21DBN=LINK&amp;P21DBN=UJRN&amp;Z21ID=&amp;S21REF=10&amp;S21CNR=20&amp;S21STN=1&amp;S21FMT=ASP_meta&amp;C21COM=S&amp;2_S21P03=FILA=&amp;2_S21STR=Nvknuvs_2016_2_9" TargetMode="External"/><Relationship Id="rId1396" Type="http://schemas.openxmlformats.org/officeDocument/2006/relationships/hyperlink" Target="https://dspace.onua.edu.ua/server/api/core/bitstreams/42226316-3769-4f44-8f93-1ad0321e49e9/content" TargetMode="External"/><Relationship Id="rId2142" Type="http://schemas.openxmlformats.org/officeDocument/2006/relationships/hyperlink" Target="https://zakon.rada.gov.ua/go/5067-17" TargetMode="External"/><Relationship Id="rId2447" Type="http://schemas.openxmlformats.org/officeDocument/2006/relationships/hyperlink" Target="https://crust.ust.edu.ua/bitstream/123456789/8967/1/Kozachenko_textbook.pdf" TargetMode="External"/><Relationship Id="rId321" Type="http://schemas.openxmlformats.org/officeDocument/2006/relationships/hyperlink" Target="https://www.refworld.org/ru/legal/resolution/unsc/2004/ru/14849" TargetMode="External"/><Relationship Id="rId419" Type="http://schemas.openxmlformats.org/officeDocument/2006/relationships/hyperlink" Target="https://www.legalreview.com" TargetMode="External"/><Relationship Id="rId626" Type="http://schemas.openxmlformats.org/officeDocument/2006/relationships/hyperlink" Target="https://download.e-bookshelf.de/download/0003/7722/06/L-X-0003772206-0002179786.XHTML/index.xhtml" TargetMode="External"/><Relationship Id="rId973" Type="http://schemas.openxmlformats.org/officeDocument/2006/relationships/hyperlink" Target="http://www.legalnovels.in.ua/journal/22-2_2024/29.pdf" TargetMode="External"/><Relationship Id="rId1049" Type="http://schemas.openxmlformats.org/officeDocument/2006/relationships/hyperlink" Target="http://reyestr.court.gov.ua/Review/100709870" TargetMode="External"/><Relationship Id="rId1256" Type="http://schemas.openxmlformats.org/officeDocument/2006/relationships/hyperlink" Target="https://www.reuters.com/world/europe/ukraine-anti-graft-police-probing-dozens-defence-related-cases-2024-02-21/" TargetMode="External"/><Relationship Id="rId2002" Type="http://schemas.openxmlformats.org/officeDocument/2006/relationships/hyperlink" Target="https://zakon.rada.gov.ua/laws/show/2297-17" TargetMode="External"/><Relationship Id="rId2307" Type="http://schemas.openxmlformats.org/officeDocument/2006/relationships/hyperlink" Target="https://zakon.rada.gov.ua/laws/show/995_004" TargetMode="External"/><Relationship Id="rId833" Type="http://schemas.openxmlformats.org/officeDocument/2006/relationships/hyperlink" Target="https://eur-lex.europa.eu/legal-content/EN/TXT/?uri=celex:32014L0089" TargetMode="External"/><Relationship Id="rId1116" Type="http://schemas.openxmlformats.org/officeDocument/2006/relationships/hyperlink" Target="https://zakon.rada.gov.ua/rada/show/n0001891-17" TargetMode="External"/><Relationship Id="rId1463" Type="http://schemas.openxmlformats.org/officeDocument/2006/relationships/hyperlink" Target="https://surl.li/obkitn" TargetMode="External"/><Relationship Id="rId1670" Type="http://schemas.openxmlformats.org/officeDocument/2006/relationships/hyperlink" Target="https://visnyk.chnpu.edu.ua/index.php/visnyk/issue/view/9" TargetMode="External"/><Relationship Id="rId1768" Type="http://schemas.openxmlformats.org/officeDocument/2006/relationships/hyperlink" Target="https://doi.org/10.5281/zenodo.11298947" TargetMode="External"/><Relationship Id="rId2514" Type="http://schemas.openxmlformats.org/officeDocument/2006/relationships/hyperlink" Target="https://polikarpov.legal/blogposts/plagiat-viznachennya-vidi-ta-naslidki/" TargetMode="External"/><Relationship Id="rId900" Type="http://schemas.openxmlformats.org/officeDocument/2006/relationships/hyperlink" Target="https://www.president.gov.ua/documents/642022-41397" TargetMode="External"/><Relationship Id="rId1323" Type="http://schemas.openxmlformats.org/officeDocument/2006/relationships/hyperlink" Target="https://doi.org/10.5281/zenodo.14561050" TargetMode="External"/><Relationship Id="rId1530" Type="http://schemas.openxmlformats.org/officeDocument/2006/relationships/hyperlink" Target="https://reyestr.court.gov.ua/Review/9944588310" TargetMode="External"/><Relationship Id="rId1628" Type="http://schemas.openxmlformats.org/officeDocument/2006/relationships/hyperlink" Target="https://verdictum.ligazakon.net/document/120341855" TargetMode="External"/><Relationship Id="rId1975" Type="http://schemas.openxmlformats.org/officeDocument/2006/relationships/hyperlink" Target="https://mediamaker.me/yak-bellingcat-zbyraye-ta-arhivuye-czyfrovi-dokazy-voyennyh-zlochyniv-v-ukrayini-1346/" TargetMode="External"/><Relationship Id="rId1835" Type="http://schemas.openxmlformats.org/officeDocument/2006/relationships/hyperlink" Target="https://reyestr.court.gov.ua/Review/120274928" TargetMode="External"/><Relationship Id="rId1902" Type="http://schemas.openxmlformats.org/officeDocument/2006/relationships/hyperlink" Target="https://zakon.rada.gov.ua/laws/show/2341-14" TargetMode="External"/><Relationship Id="rId2097" Type="http://schemas.openxmlformats.org/officeDocument/2006/relationships/hyperlink" Target="https://pravo-izdat.com.ua/index.php?route=product/product/download&amp;product_id=4309&amp;download_id=1357&amp;srsltid=AfmBOoqTsErXwdSgrfGbTcqNJ2nXGxqeOhAeakwmxJNr5svwjHhsf8xh" TargetMode="External"/><Relationship Id="rId276" Type="http://schemas.openxmlformats.org/officeDocument/2006/relationships/hyperlink" Target="https://zakon.rada.gov.ua/laws/show/995_154" TargetMode="External"/><Relationship Id="rId483" Type="http://schemas.openxmlformats.org/officeDocument/2006/relationships/hyperlink" Target="https://zakon.rada.gov.ua/laws/show/995_085" TargetMode="External"/><Relationship Id="rId690" Type="http://schemas.openxmlformats.org/officeDocument/2006/relationships/hyperlink" Target="chrome-extension://efaidnbmnnnibpcajpcglclefindmkaj/https:/eprints.ugd.edu.mk/12695/2/Trud%204%20-%20GENDER-EQUALITY-AND-GENDER-PERSPECTIVE-IN-DEFENCE-AND-SECURITY.pdf" TargetMode="External"/><Relationship Id="rId2164" Type="http://schemas.openxmlformats.org/officeDocument/2006/relationships/hyperlink" Target="https://zakon.rada.gov.ua/laws/show/4651-17" TargetMode="External"/><Relationship Id="rId136" Type="http://schemas.openxmlformats.org/officeDocument/2006/relationships/hyperlink" Target="https://dspace.onua.edu.ua/server/api/core/bitstreams/b773d112-9633-4c19-bfdf-1d6bf450ea03/content" TargetMode="External"/><Relationship Id="rId343" Type="http://schemas.openxmlformats.org/officeDocument/2006/relationships/hyperlink" Target="https://www.unhcr.org/ua/refugees-and-asylum-seekers" TargetMode="External"/><Relationship Id="rId550" Type="http://schemas.openxmlformats.org/officeDocument/2006/relationships/hyperlink" Target="URL:https://peacekeeping.un.org/en/mission/past/etimor.htm" TargetMode="External"/><Relationship Id="rId788" Type="http://schemas.openxmlformats.org/officeDocument/2006/relationships/hyperlink" Target="https://zakon.rada.gov.ua/laws/show/4495-17" TargetMode="External"/><Relationship Id="rId995" Type="http://schemas.openxmlformats.org/officeDocument/2006/relationships/hyperlink" Target="https://zakon.rada.gov.ua/laws/show/165-2022-%D0%BF" TargetMode="External"/><Relationship Id="rId1180" Type="http://schemas.openxmlformats.org/officeDocument/2006/relationships/hyperlink" Target="http://www.sulj.oduvs.od.ua/archive/2022/4/part_3/35.pdf" TargetMode="External"/><Relationship Id="rId2024" Type="http://schemas.openxmlformats.org/officeDocument/2006/relationships/hyperlink" Target="https://doi.org/10.32782/2786-9156.107.3.217-226" TargetMode="External"/><Relationship Id="rId2231" Type="http://schemas.openxmlformats.org/officeDocument/2006/relationships/hyperlink" Target="http://nbuv.gov.ua/UJRN/vkc_2017_3_6" TargetMode="External"/><Relationship Id="rId2469" Type="http://schemas.openxmlformats.org/officeDocument/2006/relationships/hyperlink" Target="https://eco-science.net/" TargetMode="External"/><Relationship Id="rId203" Type="http://schemas.openxmlformats.org/officeDocument/2006/relationships/hyperlink" Target="https://zakon.rada.gov.ua/laws/show/995_004" TargetMode="External"/><Relationship Id="rId648" Type="http://schemas.openxmlformats.org/officeDocument/2006/relationships/hyperlink" Target="http://www.irbis-nbuv.gov.ua/cgi-bin/irbis_nbuv/cgiirbis_64.exe?I21DBN=LINK&amp;P21DBN=UJRN&amp;Z21ID=&amp;S21REF=10&amp;S21CNR=20&amp;S21STN=1&amp;S21FMT=ASP_meta&amp;C21COM=S&amp;2_S21P03=FILA=&amp;2_S21STR=apdp_2010_52_65" TargetMode="External"/><Relationship Id="rId855" Type="http://schemas.openxmlformats.org/officeDocument/2006/relationships/hyperlink" Target="https://pravo.ua/articles/mytna-dysproportsiia/" TargetMode="External"/><Relationship Id="rId1040" Type="http://schemas.openxmlformats.org/officeDocument/2006/relationships/hyperlink" Target="https://zakon.rada.gov.ua/laws/show/80731-10" TargetMode="External"/><Relationship Id="rId1278" Type="http://schemas.openxmlformats.org/officeDocument/2006/relationships/hyperlink" Target="https://old.gp.gov.ua/ua/task_funct_gpu.html" TargetMode="External"/><Relationship Id="rId1485" Type="http://schemas.openxmlformats.org/officeDocument/2006/relationships/hyperlink" Target="about:blank" TargetMode="External"/><Relationship Id="rId1692" Type="http://schemas.openxmlformats.org/officeDocument/2006/relationships/hyperlink" Target="https://zakon.rada.gov.ua/laws/show/389-19%23Text%20" TargetMode="External"/><Relationship Id="rId2536" Type="http://schemas.openxmlformats.org/officeDocument/2006/relationships/hyperlink" Target="https://zmina.info/articles/svoboda-slova-pid-chas-konfliktu-koly-obmezhuvaty-i-yak-praktyka-yespl/?utm_source=chatgpt.com" TargetMode="External"/><Relationship Id="rId410" Type="http://schemas.openxmlformats.org/officeDocument/2006/relationships/hyperlink" Target="https://www.icrc.org/sites/default/files/external/doc/en/assets/files/other/interplay-article-droege.pdf" TargetMode="External"/><Relationship Id="rId508" Type="http://schemas.openxmlformats.org/officeDocument/2006/relationships/hyperlink" Target="https://doi.org/10.32839/2304-5809/2024-2-126-13" TargetMode="External"/><Relationship Id="rId715" Type="http://schemas.openxmlformats.org/officeDocument/2006/relationships/hyperlink" Target="https://www.ohchr.org/en/hr-bodies/hrc/iicihr-ukraine/index" TargetMode="External"/><Relationship Id="rId922" Type="http://schemas.openxmlformats.org/officeDocument/2006/relationships/hyperlink" Target="https://zakon.rada.gov.ua/laws/show/5207-17" TargetMode="External"/><Relationship Id="rId1138" Type="http://schemas.openxmlformats.org/officeDocument/2006/relationships/hyperlink" Target="https://zakon.rada.gov.ua/rada/show/n0001891-17" TargetMode="External"/><Relationship Id="rId1345" Type="http://schemas.openxmlformats.org/officeDocument/2006/relationships/hyperlink" Target="about:blank" TargetMode="External"/><Relationship Id="rId1552" Type="http://schemas.openxmlformats.org/officeDocument/2006/relationships/hyperlink" Target="https://jrnl.nau.edu.ua/index.php/UV/article/download/11146/14817" TargetMode="External"/><Relationship Id="rId1997" Type="http://schemas.openxmlformats.org/officeDocument/2006/relationships/hyperlink" Target="https://zakon.rada.gov.ua/go/2341-14" TargetMode="External"/><Relationship Id="rId2603" Type="http://schemas.openxmlformats.org/officeDocument/2006/relationships/hyperlink" Target="https://doi.org/10.1093/0198295685.003.0010" TargetMode="External"/><Relationship Id="rId1205" Type="http://schemas.openxmlformats.org/officeDocument/2006/relationships/hyperlink" Target="https://zakon.rada.gov.ua/laws/show/1698-18" TargetMode="External"/><Relationship Id="rId1857" Type="http://schemas.openxmlformats.org/officeDocument/2006/relationships/hyperlink" Target="https://zakon.rada.gov.ua/laws/show/2341-14" TargetMode="External"/><Relationship Id="rId51" Type="http://schemas.openxmlformats.org/officeDocument/2006/relationships/hyperlink" Target="http://irbis-nbuv.gov.ua/cgi-bin/irbis_nbuv/cgiirbis_64.exe?C21COM=2&amp;I21DBN=UJRN&amp;P21DBN=UJRN&amp;IMAGE_FILE_DOWNLOAD=1&amp;Image_file_name=PDF/kpac_2020_1_5.pdf" TargetMode="External"/><Relationship Id="rId1412" Type="http://schemas.openxmlformats.org/officeDocument/2006/relationships/hyperlink" Target="https://zakon.rada.gov.ua/go/1618-15" TargetMode="External"/><Relationship Id="rId1717" Type="http://schemas.openxmlformats.org/officeDocument/2006/relationships/hyperlink" Target="https://www.me.gov.ua/" TargetMode="External"/><Relationship Id="rId1924" Type="http://schemas.openxmlformats.org/officeDocument/2006/relationships/hyperlink" Target="https://zakon.rada.gov.ua/laws/show/995_153" TargetMode="External"/><Relationship Id="rId298" Type="http://schemas.openxmlformats.org/officeDocument/2006/relationships/hyperlink" Target="https://zakon.rada.gov.ua/laws/show/995_154" TargetMode="External"/><Relationship Id="rId158" Type="http://schemas.openxmlformats.org/officeDocument/2006/relationships/hyperlink" Target="https://zakon.rada.gov.ua/laws/show/790-18" TargetMode="External"/><Relationship Id="rId2186" Type="http://schemas.openxmlformats.org/officeDocument/2006/relationships/hyperlink" Target="https://hrvector.org/podiyi/22-03-09-w-s-a" TargetMode="External"/><Relationship Id="rId2393" Type="http://schemas.openxmlformats.org/officeDocument/2006/relationships/hyperlink" Target="file:///C:\Users\yudba\AppData\Roaming\Microsoft\Word\uk.wikipedia.org\wiki\&#1042;&#1077;&#1082;&#1090;&#1086;&#1088;_(&#1084;&#1072;&#1090;&#1077;&#1084;&#1072;&#1090;&#1080;&#1082;&#1072;)" TargetMode="External"/><Relationship Id="rId365" Type="http://schemas.openxmlformats.org/officeDocument/2006/relationships/hyperlink" Target="https://er.knutd.edu.ua/handle/123456789/15842" TargetMode="External"/><Relationship Id="rId572" Type="http://schemas.openxmlformats.org/officeDocument/2006/relationships/hyperlink" Target="https://zakon.rada.gov.ua/laws/show/995_043" TargetMode="External"/><Relationship Id="rId2046" Type="http://schemas.openxmlformats.org/officeDocument/2006/relationships/hyperlink" Target="https://dspace.onua.edu.ua/server/api/core/bitstreams/33c3b1a0-82f0-44bc-9837-e09701bd15a6/content" TargetMode="External"/><Relationship Id="rId2253" Type="http://schemas.openxmlformats.org/officeDocument/2006/relationships/hyperlink" Target="https://zakon.rada.gov.ua/laws/show/4651-17" TargetMode="External"/><Relationship Id="rId2460" Type="http://schemas.openxmlformats.org/officeDocument/2006/relationships/hyperlink" Target="URL:http://rb.com.ua/uk/blog-uk/omnibus-uk/socmerezhi-jak-dzherelo-informacii/" TargetMode="External"/><Relationship Id="rId225" Type="http://schemas.openxmlformats.org/officeDocument/2006/relationships/hyperlink" Target="https://zakon.rada.gov.ua/laws/show/127/94" TargetMode="External"/><Relationship Id="rId432" Type="http://schemas.openxmlformats.org/officeDocument/2006/relationships/hyperlink" Target="https://legalinstruments.oecd.org/api/print?ids=648&amp;lang=en" TargetMode="External"/><Relationship Id="rId877" Type="http://schemas.openxmlformats.org/officeDocument/2006/relationships/hyperlink" Target="https://zakon.rada.gov.ua/laws/show/2136-19" TargetMode="External"/><Relationship Id="rId1062" Type="http://schemas.openxmlformats.org/officeDocument/2006/relationships/hyperlink" Target="https://science.lpnu.ua/sites/default/files/journal-paper/2020/apr/21437/4.pdf" TargetMode="External"/><Relationship Id="rId2113" Type="http://schemas.openxmlformats.org/officeDocument/2006/relationships/hyperlink" Target="https://essuir.sumdu.edu.ua/bitstreamdownload/123456789/88156/1/Ilchenko_kryminalne_pokarannia.pdf" TargetMode="External"/><Relationship Id="rId2320" Type="http://schemas.openxmlformats.org/officeDocument/2006/relationships/hyperlink" Target="https://zakon.rada.gov.ua/laws/show/995_004" TargetMode="External"/><Relationship Id="rId2558" Type="http://schemas.openxmlformats.org/officeDocument/2006/relationships/hyperlink" Target="https://niss.gov.ua/doslidzhennya/natsionalna-bezpeka/vplyv-rosiyskoyi-zbroynoyi-ahresiyi-na-zminu-klimatu?utm" TargetMode="External"/><Relationship Id="rId737" Type="http://schemas.openxmlformats.org/officeDocument/2006/relationships/hyperlink" Target="https://www.itfseafarers.org/en/news/2024-worst-year-record-seafarer-abandonment-says-itf" TargetMode="External"/><Relationship Id="rId944" Type="http://schemas.openxmlformats.org/officeDocument/2006/relationships/hyperlink" Target="https://www.routledge.com/evolution-british-civil-service" TargetMode="External"/><Relationship Id="rId1367" Type="http://schemas.openxmlformats.org/officeDocument/2006/relationships/hyperlink" Target="http://apdp.onua.edu.ua/index.php/apdp/article/view/1273/1162" TargetMode="External"/><Relationship Id="rId1574" Type="http://schemas.openxmlformats.org/officeDocument/2006/relationships/hyperlink" Target="https://zakon.rada.gov.ua/laws/show/2709-15" TargetMode="External"/><Relationship Id="rId1781" Type="http://schemas.openxmlformats.org/officeDocument/2006/relationships/hyperlink" Target="https://zakon.uchet.kz/rus/docs/T9700167_1_" TargetMode="External"/><Relationship Id="rId2418" Type="http://schemas.openxmlformats.org/officeDocument/2006/relationships/image" Target="media/image7.jpeg"/><Relationship Id="rId2625" Type="http://schemas.openxmlformats.org/officeDocument/2006/relationships/hyperlink" Target="https://ur0.jp/GVTR7" TargetMode="External"/><Relationship Id="rId73" Type="http://schemas.openxmlformats.org/officeDocument/2006/relationships/hyperlink" Target="https://www.google.com.ua/books/edition/Imperialism_Sovereignty_and_the_Making_o/VJuHlZ1_fbEC?hl=ru&amp;gbpv=1&amp;dq=Antony+Anghie.+Imperialism,+sovereignty+and+the+making+of+international+law&amp;pg=PA313&amp;printsec=frontcover" TargetMode="External"/><Relationship Id="rId804" Type="http://schemas.openxmlformats.org/officeDocument/2006/relationships/hyperlink" Target="https://doi.org/10.18524/2411&#8211;2054.2021.42.232421" TargetMode="External"/><Relationship Id="rId1227" Type="http://schemas.openxmlformats.org/officeDocument/2006/relationships/hyperlink" Target="https://ti-ukraine.org/en/news/obstacles-in-the-work-of-the-anti-corruption-ecosystem" TargetMode="External"/><Relationship Id="rId1434" Type="http://schemas.openxmlformats.org/officeDocument/2006/relationships/hyperlink" Target="https://www.google.com/search?q=%D0%BA%D0%BE%D0%BD%D1%81%D1%82%D0%B8%D1%82%D1%83%D1%86%D1%96%D1%8F&amp;rlz=1C1GCEA_enUA1013UA1013&amp;oq=%D0%BA%D0%BE%D0%BD&amp;gs_lcrp=EgZjaHJvbWUqDggAEEUYJxg7GIAEGIoFMg4IABBFGCcYOxiABBiKBTIGCAEQRRg5MgYIAhBFGDsyBggDEEUYOzIHCAQQABiABDINCAUQLhiDARixAxiABDIGCAYQRRg9MgYIBxBFGD3SAQgxNjIzajBqN6gCALACAA&amp;sourceid=chrome&amp;ie=UTF-8" TargetMode="External"/><Relationship Id="rId1641" Type="http://schemas.openxmlformats.org/officeDocument/2006/relationships/hyperlink" Target="https://reyestr.court.gov.ua/Review/80751529" TargetMode="External"/><Relationship Id="rId1879" Type="http://schemas.openxmlformats.org/officeDocument/2006/relationships/hyperlink" Target="https://wiki.legalaid.gov.ua" TargetMode="External"/><Relationship Id="rId1501" Type="http://schemas.openxmlformats.org/officeDocument/2006/relationships/hyperlink" Target="about:blank" TargetMode="External"/><Relationship Id="rId1739" Type="http://schemas.openxmlformats.org/officeDocument/2006/relationships/hyperlink" Target="https://osvita.ua/vnz/reports/ecology/18745/" TargetMode="External"/><Relationship Id="rId1946" Type="http://schemas.openxmlformats.org/officeDocument/2006/relationships/hyperlink" Target="https://dbr.gov.ua" TargetMode="External"/><Relationship Id="rId1806" Type="http://schemas.openxmlformats.org/officeDocument/2006/relationships/hyperlink" Target="https://www.journals.elsevier.com/journal-of-law-and-psychiatry" TargetMode="External"/><Relationship Id="rId387" Type="http://schemas.openxmlformats.org/officeDocument/2006/relationships/hyperlink" Target="https://www.pdau.edu.ua/sites/default/files/node/4518/pravylaoformlennyaspyskuvykorystanyhdzherel.pdf" TargetMode="External"/><Relationship Id="rId594" Type="http://schemas.openxmlformats.org/officeDocument/2006/relationships/hyperlink" Target="https://www.dw.com/uk/agent-orange-&#1074;&#1108;&#1090;&#1085;&#1072;&#1084;-&#1110;-&#1089;&#1096;&#1072;-&#1083;&#1110;&#1082;&#1074;&#1110;&#1076;&#1091;&#1102;&#1090;&#1100;-&#1085;&#1072;&#1089;&#1083;&#1110;&#1076;&#1082;&#1080;-&#1074;&#1110;&#1081;&#1085;&#1080;-&#1076;&#1083;&#1103;-&#1077;&#1082;&#1086;&#1083;&#1086;&#1075;&#1110;&#1111;/a-15187940" TargetMode="External"/><Relationship Id="rId2068" Type="http://schemas.openxmlformats.org/officeDocument/2006/relationships/hyperlink" Target="https://zakon.rada.gov.ua/laws/show/1129-15" TargetMode="External"/><Relationship Id="rId2275" Type="http://schemas.openxmlformats.org/officeDocument/2006/relationships/hyperlink" Target="https://doi.org/10.32841/2307-1745.2020.48.17" TargetMode="External"/><Relationship Id="rId247" Type="http://schemas.openxmlformats.org/officeDocument/2006/relationships/hyperlink" Target="https://papers.ssrn.com/sol3/papers.cfm?abstract_id=4658428" TargetMode="External"/><Relationship Id="rId899" Type="http://schemas.openxmlformats.org/officeDocument/2006/relationships/hyperlink" Target="https://niss.gov.ua/news/komentari-ekspertiv/mozhlyvist-provedennya-zahalnonatsionalnykh-vyboriv-v-umovakh-voyennoho" TargetMode="External"/><Relationship Id="rId1084" Type="http://schemas.openxmlformats.org/officeDocument/2006/relationships/hyperlink" Target="URL:https://zakon.rada.gov.ua/laws/show/994_002?utm_source=chatgpt.com" TargetMode="External"/><Relationship Id="rId2482" Type="http://schemas.openxmlformats.org/officeDocument/2006/relationships/hyperlink" Target="https://essuir.sumdu.edu.ua/bitstream/123456789/96436/1/Tarasenko_AI%20policy.pdf" TargetMode="External"/><Relationship Id="rId107" Type="http://schemas.openxmlformats.org/officeDocument/2006/relationships/hyperlink" Target="https://digitallibrary.un.org/record/202170?v=pdf" TargetMode="External"/><Relationship Id="rId454" Type="http://schemas.openxmlformats.org/officeDocument/2006/relationships/hyperlink" Target="https://www.pravda.com.ua/news/2022/03/16/7331869/" TargetMode="External"/><Relationship Id="rId661" Type="http://schemas.openxmlformats.org/officeDocument/2006/relationships/hyperlink" Target="https://zakon.rada.gov.ua/go/995_154" TargetMode="External"/><Relationship Id="rId759" Type="http://schemas.openxmlformats.org/officeDocument/2006/relationships/hyperlink" Target="https://zakon.rada.gov.ua/laws/show/224-2022-%D0%BF" TargetMode="External"/><Relationship Id="rId966" Type="http://schemas.openxmlformats.org/officeDocument/2006/relationships/hyperlink" Target="https://bank.gov.ua/ua/stability/about" TargetMode="External"/><Relationship Id="rId1291" Type="http://schemas.openxmlformats.org/officeDocument/2006/relationships/hyperlink" Target="URL:%20https://zakon.rada.gov.ua/laws/show/435-15%23Text%20" TargetMode="External"/><Relationship Id="rId1389" Type="http://schemas.openxmlformats.org/officeDocument/2006/relationships/hyperlink" Target="http://zakon.rada.gov.ua/laws/show/v0004700" TargetMode="External"/><Relationship Id="rId1596" Type="http://schemas.openxmlformats.org/officeDocument/2006/relationships/hyperlink" Target="https://zakon.rada.gov.ua/laws/show/57-95-%D0%BF" TargetMode="External"/><Relationship Id="rId2135" Type="http://schemas.openxmlformats.org/officeDocument/2006/relationships/hyperlink" Target="https://dspace.nlu.edu.ua/handle/123456789/6201" TargetMode="External"/><Relationship Id="rId314" Type="http://schemas.openxmlformats.org/officeDocument/2006/relationships/hyperlink" Target="http://forumprava.pp.ua/files/088-098-2020-3-FP-Shumylo_10.pdf" TargetMode="External"/><Relationship Id="rId521" Type="http://schemas.openxmlformats.org/officeDocument/2006/relationships/hyperlink" Target="https://www.corteidh.or.cr/docs/casos/articulos/seriec_04_ing.pdf" TargetMode="External"/><Relationship Id="rId619" Type="http://schemas.openxmlformats.org/officeDocument/2006/relationships/hyperlink" Target="https://zakon.rada.gov.ua/laws/show/995_043" TargetMode="External"/><Relationship Id="rId1151" Type="http://schemas.openxmlformats.org/officeDocument/2006/relationships/hyperlink" Target="https://studentam.net.ua/content/view/5904/93/" TargetMode="External"/><Relationship Id="rId1249" Type="http://schemas.openxmlformats.org/officeDocument/2006/relationships/hyperlink" Target="https://www.reuters.com/world/europe/ukraine-anti-graft-police-probing-dozens-defence-related-cases-2024-02-21/" TargetMode="External"/><Relationship Id="rId2202" Type="http://schemas.openxmlformats.org/officeDocument/2006/relationships/hyperlink" Target="https://reyestr.court.gov.ua/Review/126002179" TargetMode="External"/><Relationship Id="rId95" Type="http://schemas.openxmlformats.org/officeDocument/2006/relationships/hyperlink" Target="https://esu.com.ua/article-3241" TargetMode="External"/><Relationship Id="rId826" Type="http://schemas.openxmlformats.org/officeDocument/2006/relationships/hyperlink" Target="https://www.un.org/depts/los/convention_agreements/texts/unclos/closindx.htm" TargetMode="External"/><Relationship Id="rId1011" Type="http://schemas.openxmlformats.org/officeDocument/2006/relationships/hyperlink" Target="https://www.pravda.com.ua/columns/2022/05/27/7348844/" TargetMode="External"/><Relationship Id="rId1109" Type="http://schemas.openxmlformats.org/officeDocument/2006/relationships/hyperlink" Target="https://sud.ua/uk/news/publication/309974-optimizatsiya-seti-sudov-pozvolit-vyrovnyat-sudeyskuyunagruzku-i-ekonomit-sredstva-na-soderzhanie-sudov-irina-mudraya" TargetMode="External"/><Relationship Id="rId1456" Type="http://schemas.openxmlformats.org/officeDocument/2006/relationships/hyperlink" Target="https://zakon.rada.gov.ua/laws/show/2947-14" TargetMode="External"/><Relationship Id="rId1663" Type="http://schemas.openxmlformats.org/officeDocument/2006/relationships/hyperlink" Target="https://doi.org/10.32782/apdp.v96.2022.13" TargetMode="External"/><Relationship Id="rId1870" Type="http://schemas.openxmlformats.org/officeDocument/2006/relationships/hyperlink" Target="https://zakon.rada.gov.ua/laws/show/2341-14" TargetMode="External"/><Relationship Id="rId1968" Type="http://schemas.openxmlformats.org/officeDocument/2006/relationships/hyperlink" Target="https://www.geneva-academy.ch/joomlatools-files/docman-files/Guidelines%20on%20Investigating%20Violations%20of%20IHL.pdf" TargetMode="External"/><Relationship Id="rId2507" Type="http://schemas.openxmlformats.org/officeDocument/2006/relationships/hyperlink" Target="https://www.infotechbrains.com/strategies-for-small-business-digital-transformation-2025/" TargetMode="External"/><Relationship Id="rId1316" Type="http://schemas.openxmlformats.org/officeDocument/2006/relationships/hyperlink" Target="https://zakon.rada.gov.ua/laws/show/995_004" TargetMode="External"/><Relationship Id="rId1523" Type="http://schemas.openxmlformats.org/officeDocument/2006/relationships/hyperlink" Target="https://zakon.rada.gov.ua/laws/show/1798-19" TargetMode="External"/><Relationship Id="rId1730" Type="http://schemas.openxmlformats.org/officeDocument/2006/relationships/hyperlink" Target="https://zakon.rada.gov.ua/laws/show/155-20" TargetMode="External"/><Relationship Id="rId22" Type="http://schemas.openxmlformats.org/officeDocument/2006/relationships/hyperlink" Target="https://zakon.rada.gov.ua/laws/show/435-15" TargetMode="External"/><Relationship Id="rId1828" Type="http://schemas.openxmlformats.org/officeDocument/2006/relationships/hyperlink" Target="https://zakon.rada.gov.ua/laws/show/2113-20" TargetMode="External"/><Relationship Id="rId171" Type="http://schemas.openxmlformats.org/officeDocument/2006/relationships/hyperlink" Target="https://www.businesslaw.org.ua/digital-rights-t/" TargetMode="External"/><Relationship Id="rId2297" Type="http://schemas.openxmlformats.org/officeDocument/2006/relationships/hyperlink" Target="http://molodyvcheny.in.ua/files/journal/2017/12/72.pdf" TargetMode="External"/><Relationship Id="rId269" Type="http://schemas.openxmlformats.org/officeDocument/2006/relationships/hyperlink" Target="https://scholar.google.com.ua/citations?user=WtWyJ6YAAAAJ&amp;hl=uk&amp;oi=sra" TargetMode="External"/><Relationship Id="rId476" Type="http://schemas.openxmlformats.org/officeDocument/2006/relationships/hyperlink" Target="https://rm.coe.int/european-convention-on-the-exercise-of-children-s-rights/1680a40f72" TargetMode="External"/><Relationship Id="rId683" Type="http://schemas.openxmlformats.org/officeDocument/2006/relationships/hyperlink" Target="https://zakon.rada.gov.ua/laws/show/995_015" TargetMode="External"/><Relationship Id="rId890" Type="http://schemas.openxmlformats.org/officeDocument/2006/relationships/hyperlink" Target="https://blog-iacl-aidc.org/2019-posts/2019/4/17/court-centred-constitutionalism-in-an-emerging-democracy-lessons-from-south-korea-and-the-impeachment-case-of-201617" TargetMode="External"/><Relationship Id="rId2157" Type="http://schemas.openxmlformats.org/officeDocument/2006/relationships/hyperlink" Target="https://zakon.rada.gov.ua/laws/show/4651-17" TargetMode="External"/><Relationship Id="rId2571" Type="http://schemas.openxmlformats.org/officeDocument/2006/relationships/hyperlink" Target="https://top50.com.ua/u-statusi-pretsedentu/" TargetMode="External"/><Relationship Id="rId129" Type="http://schemas.openxmlformats.org/officeDocument/2006/relationships/hyperlink" Target="URL:%20https://dspace.uzhnu.edu.ua/jspui/bitstream/lib/4733/1/&#1030;&#1057;&#1058;&#1054;&#1056;&#1048;&#1050;&#1054;-&#1055;&#1056;&#1040;&#1042;&#1054;&#1042;&#1030;%20&#1042;&#1048;&#1058;&#1054;&#1050;&#1048;%20&#1059;&#1063;&#1040;&#1057;&#1058;&#1030;%20&#1055;&#1056;&#1054;&#1050;&#1059;&#1056;&#1054;&#1056;&#1040;.pdf" TargetMode="External"/><Relationship Id="rId336" Type="http://schemas.openxmlformats.org/officeDocument/2006/relationships/hyperlink" Target="https://www.un.org/womenwatch/daw/cedaw" TargetMode="External"/><Relationship Id="rId543" Type="http://schemas.openxmlformats.org/officeDocument/2006/relationships/hyperlink" Target="https://digitallibrary.un.org/record/145749?ln=en" TargetMode="External"/><Relationship Id="rId988" Type="http://schemas.openxmlformats.org/officeDocument/2006/relationships/hyperlink" Target="https://mof.gov.ua/storage/files/National%20Revenue%20Strategy_2030_.pdf" TargetMode="External"/><Relationship Id="rId1173" Type="http://schemas.openxmlformats.org/officeDocument/2006/relationships/hyperlink" Target="https://zakon.rada.gov.ua/rada/show/5076-17" TargetMode="External"/><Relationship Id="rId1380" Type="http://schemas.openxmlformats.org/officeDocument/2006/relationships/hyperlink" Target="https://supreme.court.gov.ua/supreme/pres-centr/news/1348037/" TargetMode="External"/><Relationship Id="rId2017" Type="http://schemas.openxmlformats.org/officeDocument/2006/relationships/hyperlink" Target="http://www.lawbulletin.oduvs.od.ua/archive/2020/16/38.pdf" TargetMode="External"/><Relationship Id="rId2224" Type="http://schemas.openxmlformats.org/officeDocument/2006/relationships/hyperlink" Target="https://www.biblioteka.uz.ua/content/files/2023/Pravo.pdf" TargetMode="External"/><Relationship Id="rId403" Type="http://schemas.openxmlformats.org/officeDocument/2006/relationships/hyperlink" Target="http://perspectives.pp.ua/index.php/np/article/view/6073" TargetMode="External"/><Relationship Id="rId750" Type="http://schemas.openxmlformats.org/officeDocument/2006/relationships/hyperlink" Target="https://zakon.rada.gov.ua/laws/show/995_004" TargetMode="External"/><Relationship Id="rId848" Type="http://schemas.openxmlformats.org/officeDocument/2006/relationships/hyperlink" Target="https://zakon.rada.gov.ua/laws/show/1875-ix" TargetMode="External"/><Relationship Id="rId1033" Type="http://schemas.openxmlformats.org/officeDocument/2006/relationships/hyperlink" Target="https://doi.org/10.34213/tp.20.01.16" TargetMode="External"/><Relationship Id="rId1478" Type="http://schemas.openxmlformats.org/officeDocument/2006/relationships/hyperlink" Target="https://reyestr.court.gov.ua/Review/120029704(%D0%B4%D0%B0%D1%82%D0%B0" TargetMode="External"/><Relationship Id="rId1685" Type="http://schemas.openxmlformats.org/officeDocument/2006/relationships/hyperlink" Target="https://zakon.rada.gov.ua/laws/show/322-08" TargetMode="External"/><Relationship Id="rId1892" Type="http://schemas.openxmlformats.org/officeDocument/2006/relationships/hyperlink" Target="https://www.nikpravda.com.ua/pidlitka-yakyj-pidpalyv-transformator-za-zavdannyam-rosiyan-sud-zvilnyv-vid-pokarannya/" TargetMode="External"/><Relationship Id="rId2431" Type="http://schemas.openxmlformats.org/officeDocument/2006/relationships/hyperlink" Target="https://developer.mozilla.org/en-US/docs/Web/HTML/Element/dialog" TargetMode="External"/><Relationship Id="rId2529" Type="http://schemas.openxmlformats.org/officeDocument/2006/relationships/hyperlink" Target="https://www.jstor.org/stable/j.ctt183pnr2" TargetMode="External"/><Relationship Id="rId610" Type="http://schemas.openxmlformats.org/officeDocument/2006/relationships/hyperlink" Target="https://apnews.com/article/mexico-ecuador-jorge-glas-diplomatic-immunity-embassy-c888b82d614f91ef9a7bd8faa09afe91" TargetMode="External"/><Relationship Id="rId708" Type="http://schemas.openxmlformats.org/officeDocument/2006/relationships/hyperlink" Target="https://ips.ligazakon.net/document/MU75K12U" TargetMode="External"/><Relationship Id="rId915" Type="http://schemas.openxmlformats.org/officeDocument/2006/relationships/hyperlink" Target="https://zakon.rada.gov.ua/laws/show/4121-20" TargetMode="External"/><Relationship Id="rId1240" Type="http://schemas.openxmlformats.org/officeDocument/2006/relationships/hyperlink" Target="https://nabu.gov.ua/site/assets/files/47003/tekhnichna_otcinka_nabu_2023_ua-1.pdf" TargetMode="External"/><Relationship Id="rId1338" Type="http://schemas.openxmlformats.org/officeDocument/2006/relationships/hyperlink" Target="https://yur-gazeta.com/publications/practice/zahist-intelektualnoyi-vlasnosti-avtorske-pravo/chi-mozhut-tvori-stvoreni-za-dopomogoyu-shi-rozrahovuvati-na-avtorske-pravo.html" TargetMode="External"/><Relationship Id="rId1545" Type="http://schemas.openxmlformats.org/officeDocument/2006/relationships/hyperlink" Target="https://reyestr.court.gov.ua/Review/117040301" TargetMode="External"/><Relationship Id="rId1100" Type="http://schemas.openxmlformats.org/officeDocument/2006/relationships/hyperlink" Target="https://sud.ua/uk/news/publication/325049-vysshiy-sud-po-voprosam-intellektualnoy-sobstvennosti-budet-likvidirovan-ofis-prezidenta" TargetMode="External"/><Relationship Id="rId1405" Type="http://schemas.openxmlformats.org/officeDocument/2006/relationships/hyperlink" Target="https://reyestr.court.gov.ua/Review/76022516" TargetMode="External"/><Relationship Id="rId1752" Type="http://schemas.openxmlformats.org/officeDocument/2006/relationships/hyperlink" Target="https://obolon.kyivcity.gov.ua/news/vidpovidalnist-za-nepokoru-samovilne-zalishennya-viyskovoi-chastini-abo-mistsya-sluzhbi-dezertirstva-ukhilennya-vid-viyskovoi-sluzhbi-toshcho" TargetMode="External"/><Relationship Id="rId44" Type="http://schemas.openxmlformats.org/officeDocument/2006/relationships/hyperlink" Target="https://zakon.rada.gov.ua/laws/show/995_207" TargetMode="External"/><Relationship Id="rId1612" Type="http://schemas.openxmlformats.org/officeDocument/2006/relationships/hyperlink" Target="https://reyestr.court.gov.ua/Review/112271022" TargetMode="External"/><Relationship Id="rId1917" Type="http://schemas.openxmlformats.org/officeDocument/2006/relationships/hyperlink" Target="https://newcriminalcode.org.ua/upload/media/2023/09/14/kontrolnyj-tekst-proyektu-kk-14-09-2023.pdf" TargetMode="External"/><Relationship Id="rId193" Type="http://schemas.openxmlformats.org/officeDocument/2006/relationships/hyperlink" Target="https://www.icty.org/en/case/mucic" TargetMode="External"/><Relationship Id="rId498" Type="http://schemas.openxmlformats.org/officeDocument/2006/relationships/hyperlink" Target="https://surl.lu/zdyice" TargetMode="External"/><Relationship Id="rId2081" Type="http://schemas.openxmlformats.org/officeDocument/2006/relationships/hyperlink" Target="https://zakon.rada.gov.ua/laws/show/2960-15" TargetMode="External"/><Relationship Id="rId2179" Type="http://schemas.openxmlformats.org/officeDocument/2006/relationships/hyperlink" Target="https://zakon.rada.gov.ua/laws/show/2111-20" TargetMode="External"/><Relationship Id="rId260" Type="http://schemas.openxmlformats.org/officeDocument/2006/relationships/hyperlink" Target="https://zakon.rada.gov.ua/laws/show/389-19" TargetMode="External"/><Relationship Id="rId2593" Type="http://schemas.openxmlformats.org/officeDocument/2006/relationships/hyperlink" Target="https://zakon.rada.gov.ua/laws/show/2365-14?find=1&amp;text=%D1%81%D1%83%D0%BC%D0%B0+%D0%B2+%D1%80%D0%BE%D0%B7%D0%BC%D1%96%D1%80%D1%96" TargetMode="External"/><Relationship Id="rId120" Type="http://schemas.openxmlformats.org/officeDocument/2006/relationships/hyperlink" Target="https://kps.philology.knu.ua/article/download/3102/2610/11280" TargetMode="External"/><Relationship Id="rId358" Type="http://schemas.openxmlformats.org/officeDocument/2006/relationships/hyperlink" Target="https://zakon.rada.gov.ua/laws/show/995_004" TargetMode="External"/><Relationship Id="rId565" Type="http://schemas.openxmlformats.org/officeDocument/2006/relationships/hyperlink" Target="URL:https://www.ohchr.org" TargetMode="External"/><Relationship Id="rId772" Type="http://schemas.openxmlformats.org/officeDocument/2006/relationships/hyperlink" Target="https://insider.ecibglobal.com/blogs/what-is-the-five-powers-war-clause" TargetMode="External"/><Relationship Id="rId1195" Type="http://schemas.openxmlformats.org/officeDocument/2006/relationships/hyperlink" Target="https://zakon.rada.gov.ua/laws/show/2238-20" TargetMode="External"/><Relationship Id="rId2039" Type="http://schemas.openxmlformats.org/officeDocument/2006/relationships/hyperlink" Target="https://zakon.rada.gov.ua/laws/show/4651-17" TargetMode="External"/><Relationship Id="rId2246" Type="http://schemas.openxmlformats.org/officeDocument/2006/relationships/hyperlink" Target="https://dspace.univd.edu.ua/server/api/core/bitstreams/07b475a8-ff7b-4cf2-9537-af425ab0889c/content" TargetMode="External"/><Relationship Id="rId2453" Type="http://schemas.openxmlformats.org/officeDocument/2006/relationships/image" Target="media/image12.png"/><Relationship Id="rId218" Type="http://schemas.openxmlformats.org/officeDocument/2006/relationships/hyperlink" Target="https://biblioteca.cejamericas.org/bitstream/handle/2015/420/ATheoryofCrimesAgainstHumanity.pdf?sequence=1&amp;isAllowed=y" TargetMode="External"/><Relationship Id="rId425" Type="http://schemas.openxmlformats.org/officeDocument/2006/relationships/hyperlink" Target="https://zakon.rada.gov.ua/laws/show/994_001-11" TargetMode="External"/><Relationship Id="rId632" Type="http://schemas.openxmlformats.org/officeDocument/2006/relationships/hyperlink" Target="https://www.unian.ua/economics/finance/z-ukrajini-v-2024-roci-vijihali-pivmilyona-gromadyan-i-ce-ne-mezha-nbu-dav-nevtishniy-prognoz-12901326.html%20" TargetMode="External"/><Relationship Id="rId1055" Type="http://schemas.openxmlformats.org/officeDocument/2006/relationships/hyperlink" Target="https://zakon.rada.gov.ua/laws/show/389-19" TargetMode="External"/><Relationship Id="rId1262" Type="http://schemas.openxmlformats.org/officeDocument/2006/relationships/hyperlink" Target="https://www.reuters.com/world/europe/ukraine-anti-graft-police-probing-dozens-defence-related-cases-2024-02-21/" TargetMode="External"/><Relationship Id="rId2106" Type="http://schemas.openxmlformats.org/officeDocument/2006/relationships/hyperlink" Target="https://zakon.rada.gov.ua/laws/show/z1010-18" TargetMode="External"/><Relationship Id="rId2313" Type="http://schemas.openxmlformats.org/officeDocument/2006/relationships/hyperlink" Target="https://zakon.rada.gov.ua/laws/show/4651-17" TargetMode="External"/><Relationship Id="rId2520" Type="http://schemas.openxmlformats.org/officeDocument/2006/relationships/hyperlink" Target="https://www.bbc.com/" TargetMode="External"/><Relationship Id="rId937" Type="http://schemas.openxmlformats.org/officeDocument/2006/relationships/hyperlink" Target="https://doi.org/10.32631/vca.2023.2.15" TargetMode="External"/><Relationship Id="rId1122" Type="http://schemas.openxmlformats.org/officeDocument/2006/relationships/hyperlink" Target="https://zakon.rada.gov.ua/laws/show/389-19" TargetMode="External"/><Relationship Id="rId1567" Type="http://schemas.openxmlformats.org/officeDocument/2006/relationships/hyperlink" Target="https://appj.wunu.edu.ua/index.php/appj/article/view/1836" TargetMode="External"/><Relationship Id="rId1774" Type="http://schemas.openxmlformats.org/officeDocument/2006/relationships/hyperlink" Target="https://zakon.rada.gov.ua/laws/show/2341-14" TargetMode="External"/><Relationship Id="rId1981" Type="http://schemas.openxmlformats.org/officeDocument/2006/relationships/hyperlink" Target="https://bessarabiainform.com/2025/04/spetssluzhby-rf-namahalysya-zaverbuvaty-sche-odnoho-odeskoho-pidlitka/" TargetMode="External"/><Relationship Id="rId2618" Type="http://schemas.openxmlformats.org/officeDocument/2006/relationships/hyperlink" Target="https://omgagency.me/blog/chatboty-v-marketyngu-efektyvni-kanaly-komunikacziyi-brendiv/" TargetMode="External"/><Relationship Id="rId66" Type="http://schemas.openxmlformats.org/officeDocument/2006/relationships/hyperlink" Target="https://doi.org/10.35774/app2020.03.102" TargetMode="External"/><Relationship Id="rId1427" Type="http://schemas.openxmlformats.org/officeDocument/2006/relationships/hyperlink" Target="about:blank" TargetMode="External"/><Relationship Id="rId1634" Type="http://schemas.openxmlformats.org/officeDocument/2006/relationships/hyperlink" Target="https://minjust.gov.ua/m/str_40069" TargetMode="External"/><Relationship Id="rId1841" Type="http://schemas.openxmlformats.org/officeDocument/2006/relationships/hyperlink" Target="https://zakon.rada.gov.ua/laws/show/2341-14" TargetMode="External"/><Relationship Id="rId1939" Type="http://schemas.openxmlformats.org/officeDocument/2006/relationships/hyperlink" Target="https://podrobnosti.ua/2023180-v-odes-na-habar-pogorli-suddja-ta-jogo-pomchnik.html" TargetMode="External"/><Relationship Id="rId1701" Type="http://schemas.openxmlformats.org/officeDocument/2006/relationships/hyperlink" Target="https://zakon.rada.gov.ua/laws/show/504/96-%D0%B2%D1%80" TargetMode="External"/><Relationship Id="rId282" Type="http://schemas.openxmlformats.org/officeDocument/2006/relationships/hyperlink" Target="https://zakon.rada.gov.ua/laws/show/3477-15" TargetMode="External"/><Relationship Id="rId587" Type="http://schemas.openxmlformats.org/officeDocument/2006/relationships/hyperlink" Target="http://inlawalmanac.mgu.od.ua/v23/28.pdf" TargetMode="External"/><Relationship Id="rId2170" Type="http://schemas.openxmlformats.org/officeDocument/2006/relationships/hyperlink" Target="https://reyestr.court.gov.ua/Review/126646086" TargetMode="External"/><Relationship Id="rId2268" Type="http://schemas.openxmlformats.org/officeDocument/2006/relationships/hyperlink" Target="https://er.dduvs.edu.ua/handle/123456789/11217" TargetMode="External"/><Relationship Id="rId8" Type="http://schemas.openxmlformats.org/officeDocument/2006/relationships/hyperlink" Target="https://ekmair.ukma.edu.ua/server/api/core/bitstreams/24137456-e6ec-4c82-8e1c-7952448ce429/content" TargetMode="External"/><Relationship Id="rId142" Type="http://schemas.openxmlformats.org/officeDocument/2006/relationships/hyperlink" Target="https://zakon.rada.gov.ua/laws/show/995_365" TargetMode="External"/><Relationship Id="rId447" Type="http://schemas.openxmlformats.org/officeDocument/2006/relationships/hyperlink" Target="https://zakon.rada.gov.ua/go/3477-15" TargetMode="External"/><Relationship Id="rId794" Type="http://schemas.openxmlformats.org/officeDocument/2006/relationships/hyperlink" Target="https://doi.org/10.33298/2226-8553/2021.3.34.05" TargetMode="External"/><Relationship Id="rId1077" Type="http://schemas.openxmlformats.org/officeDocument/2006/relationships/hyperlink" Target="https://zakon.rada.gov.ua/laws/show/995_201" TargetMode="External"/><Relationship Id="rId2030" Type="http://schemas.openxmlformats.org/officeDocument/2006/relationships/hyperlink" Target="https://chtyvo.org.ua/authors/Udovenko_Zhanna/Kryminalistyka_pytannja_i_vidpovidi.pdf" TargetMode="External"/><Relationship Id="rId2128" Type="http://schemas.openxmlformats.org/officeDocument/2006/relationships/hyperlink" Target="https://edblogs.medium.com/compas-an-ai-tool-sending-or-keeping-people-in-jail-d9228df3a2c6" TargetMode="External"/><Relationship Id="rId2475" Type="http://schemas.openxmlformats.org/officeDocument/2006/relationships/hyperlink" Target="https://budni.robota.ua/corporate-culture/yak-netflix-google-ta-inshi-kompaniyi-stvoryuyut-unikalni-korporativni-kulturi-6-knig-dlya-nathnennya" TargetMode="External"/><Relationship Id="rId654" Type="http://schemas.openxmlformats.org/officeDocument/2006/relationships/hyperlink" Target="https://www.icc-cpi.int/resource-library/Documents/" TargetMode="External"/><Relationship Id="rId861" Type="http://schemas.openxmlformats.org/officeDocument/2006/relationships/hyperlink" Target="https://dspace.nlu.edu.ua/bitstream/123456789/12257/1/Sb_mignar_2016_1.pdf" TargetMode="External"/><Relationship Id="rId959" Type="http://schemas.openxmlformats.org/officeDocument/2006/relationships/hyperlink" Target="https://zakon.rada.gov.ua/laws/show/679-14" TargetMode="External"/><Relationship Id="rId1284" Type="http://schemas.openxmlformats.org/officeDocument/2006/relationships/hyperlink" Target="https://reyestr.court.gov.ua/Review/110962060" TargetMode="External"/><Relationship Id="rId1491" Type="http://schemas.openxmlformats.org/officeDocument/2006/relationships/hyperlink" Target="about:blank" TargetMode="External"/><Relationship Id="rId1589" Type="http://schemas.openxmlformats.org/officeDocument/2006/relationships/hyperlink" Target="https://zakon.rada.gov.ua/laws/show/1555-18" TargetMode="External"/><Relationship Id="rId2542" Type="http://schemas.openxmlformats.org/officeDocument/2006/relationships/hyperlink" Target="https://razumkov.org.ua/images/2022/12/28/2022-MATRA-IV-KVARTAL-7.pdf" TargetMode="External"/><Relationship Id="rId307" Type="http://schemas.openxmlformats.org/officeDocument/2006/relationships/hyperlink" Target="https://iris.who.int/bitstream/handle/10665/171232/EB91_Inf.Doc-5_eng.pdf" TargetMode="External"/><Relationship Id="rId514" Type="http://schemas.openxmlformats.org/officeDocument/2006/relationships/hyperlink" Target="https://saveschools.in.ua/" TargetMode="External"/><Relationship Id="rId721" Type="http://schemas.openxmlformats.org/officeDocument/2006/relationships/hyperlink" Target="https://zakon.rada.gov.ua/laws/show/998_158" TargetMode="External"/><Relationship Id="rId1144" Type="http://schemas.openxmlformats.org/officeDocument/2006/relationships/hyperlink" Target="https://supreme.court.gov.ua/userfiles/media/new_folder_for_uploads/supreme/rozporyadjennya/Zagalna_tablica_sudiv_02_09_2024.pdf" TargetMode="External"/><Relationship Id="rId1351" Type="http://schemas.openxmlformats.org/officeDocument/2006/relationships/hyperlink" Target="http://journal-app.uzhnu.edu.ua/article/download/303198/295274" TargetMode="External"/><Relationship Id="rId1449" Type="http://schemas.openxmlformats.org/officeDocument/2006/relationships/hyperlink" Target="https://reyestr.court.gov.ua/Review/105011877" TargetMode="External"/><Relationship Id="rId1796" Type="http://schemas.openxmlformats.org/officeDocument/2006/relationships/hyperlink" Target="https://zakon.rada.gov.ua/laws/show/995_588" TargetMode="External"/><Relationship Id="rId2402" Type="http://schemas.openxmlformats.org/officeDocument/2006/relationships/hyperlink" Target="https://docs.spring.io/springframework/docs/current/reference/html/" TargetMode="External"/><Relationship Id="rId88" Type="http://schemas.openxmlformats.org/officeDocument/2006/relationships/hyperlink" Target="https://core.ac.uk/download/pdf/344346655.pdf" TargetMode="External"/><Relationship Id="rId819" Type="http://schemas.openxmlformats.org/officeDocument/2006/relationships/hyperlink" Target="https://www.legislation.gov.uk/ukpga/Edw7/6/41" TargetMode="External"/><Relationship Id="rId1004" Type="http://schemas.openxmlformats.org/officeDocument/2006/relationships/hyperlink" Target="https://zakon.rada.gov.ua/laws/show/80731-10" TargetMode="External"/><Relationship Id="rId1211" Type="http://schemas.openxmlformats.org/officeDocument/2006/relationships/hyperlink" Target="https://visnyk-juris-uzhnu.com/wp-content/uploads/2022/05/74.pdf" TargetMode="External"/><Relationship Id="rId1656" Type="http://schemas.openxmlformats.org/officeDocument/2006/relationships/hyperlink" Target="https://zakon.rada.gov.ua/laws/show/322-08" TargetMode="External"/><Relationship Id="rId1863" Type="http://schemas.openxmlformats.org/officeDocument/2006/relationships/hyperlink" Target="https://youcontrol.com.ua/catalog/court-document/115195773/" TargetMode="External"/><Relationship Id="rId1309" Type="http://schemas.openxmlformats.org/officeDocument/2006/relationships/hyperlink" Target="https://zakon.rada.gov.ua/laws/show/435-15" TargetMode="External"/><Relationship Id="rId1516" Type="http://schemas.openxmlformats.org/officeDocument/2006/relationships/hyperlink" Target="https://7aa.court.gov.ua/sud4856/pres-centr/news/1657900/" TargetMode="External"/><Relationship Id="rId1723" Type="http://schemas.openxmlformats.org/officeDocument/2006/relationships/hyperlink" Target="https://zakon.rada.gov.ua/laws/show/993_022" TargetMode="External"/><Relationship Id="rId1930" Type="http://schemas.openxmlformats.org/officeDocument/2006/relationships/hyperlink" Target="https://dbr.gov.ua/news/u-2023-roci-dbr-rozsliduvalo-majzhe-100-kriminalnih-provadzhen-stosovno-organizovanih-zlochinnih-grup" TargetMode="External"/><Relationship Id="rId15" Type="http://schemas.openxmlformats.org/officeDocument/2006/relationships/hyperlink" Target="https://zakon.rada.gov.ua/laws/show/254&#1082;/96-&#1074;&#1088;" TargetMode="External"/><Relationship Id="rId2192" Type="http://schemas.openxmlformats.org/officeDocument/2006/relationships/hyperlink" Target="https://zakon.rada.gov.ua/laws/show/389-19" TargetMode="External"/><Relationship Id="rId164" Type="http://schemas.openxmlformats.org/officeDocument/2006/relationships/hyperlink" Target="https://journals.sagepub.com/doi/full/10.1177/2311502421993746" TargetMode="External"/><Relationship Id="rId371" Type="http://schemas.openxmlformats.org/officeDocument/2006/relationships/hyperlink" Target="https://eur-lex.europa.eu/legal-content/EN/TXT/HTML/?uri=CELEX%3A52023XC01270" TargetMode="External"/><Relationship Id="rId2052" Type="http://schemas.openxmlformats.org/officeDocument/2006/relationships/hyperlink" Target="https://zakon.rada.gov.ua/laws/show/995_015" TargetMode="External"/><Relationship Id="rId2497" Type="http://schemas.openxmlformats.org/officeDocument/2006/relationships/hyperlink" Target="https://web-promo.ua/ua/blog/internaczionalizacziya-biznesa-etapy-modeli-i-primery-sredi-brendov/" TargetMode="External"/><Relationship Id="rId469" Type="http://schemas.openxmlformats.org/officeDocument/2006/relationships/hyperlink" Target="https://www.ilo.org/wcmsp5/groups/public/---ed_norm/---ipec/documents/publication/wcms_797515.pdf" TargetMode="External"/><Relationship Id="rId676" Type="http://schemas.openxmlformats.org/officeDocument/2006/relationships/hyperlink" Target="https://www.amnesty.org.uk/resources/death-penalty-report-2023" TargetMode="External"/><Relationship Id="rId883" Type="http://schemas.openxmlformats.org/officeDocument/2006/relationships/hyperlink" Target="https://zakon.rada.gov.ua/laws/show/1207-18" TargetMode="External"/><Relationship Id="rId1099" Type="http://schemas.openxmlformats.org/officeDocument/2006/relationships/hyperlink" Target="https://zib.com.ua/ua/pda/166506.html" TargetMode="External"/><Relationship Id="rId2564" Type="http://schemas.openxmlformats.org/officeDocument/2006/relationships/hyperlink" Target="https://dspace.onua.edu.ua/server/api/core/bitstreams/e60326f0-d028-4119-9ff1-5767fafc06d9/content" TargetMode="External"/><Relationship Id="rId231" Type="http://schemas.openxmlformats.org/officeDocument/2006/relationships/hyperlink" Target="https://hdl.handle.net/11300/18022" TargetMode="External"/><Relationship Id="rId329" Type="http://schemas.openxmlformats.org/officeDocument/2006/relationships/hyperlink" Target="https://zakononline.com.ua/documents/show/156641___156641" TargetMode="External"/><Relationship Id="rId536" Type="http://schemas.openxmlformats.org/officeDocument/2006/relationships/hyperlink" Target="https://www.echr.coe.int/european-convention-on-human-rights" TargetMode="External"/><Relationship Id="rId1166" Type="http://schemas.openxmlformats.org/officeDocument/2006/relationships/hyperlink" Target="https://karazin.ua/storage/static-content/source/documents/aspirantura/zakhysty/jevtushenko_a/&#1044;&#1080;&#1089;&#1077;&#1088;&#1090;&#1072;&#1094;&#1110;&#1103;%20&#1028;&#1074;&#1090;&#1091;&#1096;&#1077;&#1085;&#1082;&#1086;.pdf" TargetMode="External"/><Relationship Id="rId1373" Type="http://schemas.openxmlformats.org/officeDocument/2006/relationships/hyperlink" Target="https://zakon.rada.gov.ua/laws/show/1618-15" TargetMode="External"/><Relationship Id="rId2217" Type="http://schemas.openxmlformats.org/officeDocument/2006/relationships/hyperlink" Target="http://dx.doi.org/10.1177/0032258X16671031" TargetMode="External"/><Relationship Id="rId743" Type="http://schemas.openxmlformats.org/officeDocument/2006/relationships/hyperlink" Target="https://zakon.rada.gov.ua/laws/show/2341-14" TargetMode="External"/><Relationship Id="rId950" Type="http://schemas.openxmlformats.org/officeDocument/2006/relationships/hyperlink" Target="https://reyestr.court.gov.ua/Review/86305617" TargetMode="External"/><Relationship Id="rId1026" Type="http://schemas.openxmlformats.org/officeDocument/2006/relationships/hyperlink" Target="https://zakon.rada.gov.ua/laws/show/2747-15/ed20220101" TargetMode="External"/><Relationship Id="rId1580" Type="http://schemas.openxmlformats.org/officeDocument/2006/relationships/hyperlink" Target="https://doi.org/10.32849/2663-5313/2019.6.17" TargetMode="External"/><Relationship Id="rId1678" Type="http://schemas.openxmlformats.org/officeDocument/2006/relationships/hyperlink" Target="https://zakon.rada.gov.ua/laws/show/2136-20" TargetMode="External"/><Relationship Id="rId1885" Type="http://schemas.openxmlformats.org/officeDocument/2006/relationships/hyperlink" Target="https://zakon.rada.gov.ua/laws/show/2341-14" TargetMode="External"/><Relationship Id="rId2424" Type="http://schemas.openxmlformats.org/officeDocument/2006/relationships/hyperlink" Target="https://www.realbyteapps.com/" TargetMode="External"/><Relationship Id="rId2631" Type="http://schemas.openxmlformats.org/officeDocument/2006/relationships/hyperlink" Target="https://eur-lex.europa.eu/eli/dir/2018/1808/oj" TargetMode="External"/><Relationship Id="rId603" Type="http://schemas.openxmlformats.org/officeDocument/2006/relationships/hyperlink" Target="https://www.europarl.europa.eu/RegData/etudes/BRIE/2024/762364/EPRS_BRI(2024)762364_EN.pdf" TargetMode="External"/><Relationship Id="rId810" Type="http://schemas.openxmlformats.org/officeDocument/2006/relationships/hyperlink" Target="https://verdictum.ligazakon.net/document/117858782" TargetMode="External"/><Relationship Id="rId908" Type="http://schemas.openxmlformats.org/officeDocument/2006/relationships/hyperlink" Target="https://hdl.handle.net/11300/14045" TargetMode="External"/><Relationship Id="rId1233" Type="http://schemas.openxmlformats.org/officeDocument/2006/relationships/hyperlink" Target="https://ti-ukraine.org/en/news/obstacles-in-the-work-of-the-anti-corruption-ecosystem" TargetMode="External"/><Relationship Id="rId1440" Type="http://schemas.openxmlformats.org/officeDocument/2006/relationships/hyperlink" Target="https://svaroglaw.com/uk/estopel/" TargetMode="External"/><Relationship Id="rId1538" Type="http://schemas.openxmlformats.org/officeDocument/2006/relationships/hyperlink" Target="https://zakon.rada.gov.ua/laws/show/254%D0%BA/96-%D0%B2%D1%80" TargetMode="External"/><Relationship Id="rId1300" Type="http://schemas.openxmlformats.org/officeDocument/2006/relationships/hyperlink" Target="https://scholar.google.com.ua/citations?view_op=view_citation&amp;hl=uk&amp;user=RWNkC6MAAAAJ&amp;citation_for_view=RWNkC6MAAAAJ:35N4QoGY0k4C" TargetMode="External"/><Relationship Id="rId1745" Type="http://schemas.openxmlformats.org/officeDocument/2006/relationships/hyperlink" Target="https://zakon.rada.gov.ua/laws/show/2341-14" TargetMode="External"/><Relationship Id="rId1952" Type="http://schemas.openxmlformats.org/officeDocument/2006/relationships/hyperlink" Target="https://zakon.rada.gov.ua/laws/show/2341-14" TargetMode="External"/><Relationship Id="rId37" Type="http://schemas.openxmlformats.org/officeDocument/2006/relationships/hyperlink" Target="https://doi.org/10.32782/tlr2021" TargetMode="External"/><Relationship Id="rId1605" Type="http://schemas.openxmlformats.org/officeDocument/2006/relationships/hyperlink" Target="https://zakon.rada.gov.ua/laws/show/4002-12" TargetMode="External"/><Relationship Id="rId1812" Type="http://schemas.openxmlformats.org/officeDocument/2006/relationships/hyperlink" Target="https://www.journals.elsevier.com/journal-of-law-and-psychiatry" TargetMode="External"/><Relationship Id="rId186" Type="http://schemas.openxmlformats.org/officeDocument/2006/relationships/hyperlink" Target="https://www.ohchr.org/en/documents/general-comments-and-recommendations/general-recommendation-no30-women-conflict-prevention" TargetMode="External"/><Relationship Id="rId393" Type="http://schemas.openxmlformats.org/officeDocument/2006/relationships/hyperlink" Target="https://www.echr.coe.int/documents/rules_court_eng.pdf" TargetMode="External"/><Relationship Id="rId2074" Type="http://schemas.openxmlformats.org/officeDocument/2006/relationships/hyperlink" Target="https://hudoc.echr.coe.int/eng?i=002-10993" TargetMode="External"/><Relationship Id="rId2281" Type="http://schemas.openxmlformats.org/officeDocument/2006/relationships/hyperlink" Target="https://dejure.org/gesetze/StGB/3.html" TargetMode="External"/><Relationship Id="rId253" Type="http://schemas.openxmlformats.org/officeDocument/2006/relationships/hyperlink" Target="https://zakon.rada.gov.ua/laws/show/435-15" TargetMode="External"/><Relationship Id="rId460" Type="http://schemas.openxmlformats.org/officeDocument/2006/relationships/hyperlink" Target="https://www.refworld.org/legal/reglegislation/council/2013/en/97663" TargetMode="External"/><Relationship Id="rId698" Type="http://schemas.openxmlformats.org/officeDocument/2006/relationships/hyperlink" Target="https://trrkk.nmu.org.ua/ua/peda_job/185/is/%D0%9A%D1%96%D1%80%D1%96%D0%BD,%20%D0%A5%D0%BE%D0%BC%D0%B5%D0%BD%D0%BA%D0%BE,%20%D0%9A%D0%BE%D1%80%D0%BE%D1%81%D1%82%D0%B0%D1%88%D0%BE%D0%B2%D0%B0.%20%D0%9F%D1%96%D0%B4%D1%80%D1%83%D1%87%D0%BD%D0%B8%D0%BA%20%D0%86%D0%BD%D1%82%D0%B5%D0%BB%D0%B5%D0%BA%D1%82%D1%83%D0%B0%D0%BB%D1%8C%D0%BD%D0%B0%20%D0%B2%D0%BB%D0%B0%D1%81%D0%BD%D1%96%D1%81%D1%82%D1%8C.pdf" TargetMode="External"/><Relationship Id="rId1090" Type="http://schemas.openxmlformats.org/officeDocument/2006/relationships/hyperlink" Target="https://doi.org/10.32782/2521-6473.2023-1.29" TargetMode="External"/><Relationship Id="rId2141" Type="http://schemas.openxmlformats.org/officeDocument/2006/relationships/hyperlink" Target="https://zakon.rada.gov.ua/laws/show/1129-15" TargetMode="External"/><Relationship Id="rId2586" Type="http://schemas.openxmlformats.org/officeDocument/2006/relationships/hyperlink" Target="https://zakon.rada.gov.ua/laws/show/396-20" TargetMode="External"/><Relationship Id="rId113" Type="http://schemas.openxmlformats.org/officeDocument/2006/relationships/hyperlink" Target="https://ipacs.knu.ua/pages/dop/336/files/15bf2766-7d67-41dc-8d14-49d0c0b9d714.pdf" TargetMode="External"/><Relationship Id="rId320" Type="http://schemas.openxmlformats.org/officeDocument/2006/relationships/hyperlink" Target="https://zakon.rada.gov.ua/laws/show/2709-15" TargetMode="External"/><Relationship Id="rId558" Type="http://schemas.openxmlformats.org/officeDocument/2006/relationships/hyperlink" Target="https://link.springer.com/book/10.1057/9781403982209?utm_source=chatgpt.com" TargetMode="External"/><Relationship Id="rId765" Type="http://schemas.openxmlformats.org/officeDocument/2006/relationships/hyperlink" Target="https://zakon.rada.gov.ua/laws/show/728-14" TargetMode="External"/><Relationship Id="rId972" Type="http://schemas.openxmlformats.org/officeDocument/2006/relationships/hyperlink" Target="http://biblio.umsf.dp.ua/jspui/bitstream/123456789/5179/1/1.pdf" TargetMode="External"/><Relationship Id="rId1188" Type="http://schemas.openxmlformats.org/officeDocument/2006/relationships/hyperlink" Target="https://zakon.rada.gov.ua/laws/show/3460-17" TargetMode="External"/><Relationship Id="rId1395" Type="http://schemas.openxmlformats.org/officeDocument/2006/relationships/hyperlink" Target="https://doi.org/10.32837/11300.29344" TargetMode="External"/><Relationship Id="rId2001" Type="http://schemas.openxmlformats.org/officeDocument/2006/relationships/hyperlink" Target="https://zakon.rada.gov.ua/laws/show/4651-17" TargetMode="External"/><Relationship Id="rId2239" Type="http://schemas.openxmlformats.org/officeDocument/2006/relationships/hyperlink" Target="https://er.nau.edu.ua/handle/NAU/57861" TargetMode="External"/><Relationship Id="rId2446" Type="http://schemas.openxmlformats.org/officeDocument/2006/relationships/hyperlink" Target="https://www.problecon.com/export_pdf/problems-of-economy-2013-2_0-pages-226_229.pdf" TargetMode="External"/><Relationship Id="rId418" Type="http://schemas.openxmlformats.org/officeDocument/2006/relationships/hyperlink" Target="https://legal.un.org/ilc/texts/instruments/english/conventions/9_1_1961.pdf" TargetMode="External"/><Relationship Id="rId625" Type="http://schemas.openxmlformats.org/officeDocument/2006/relationships/hyperlink" Target="https://repository.mu.edu.ua/jspui/bitstream/123456789/4838/1/pol_gru_yur_2023_8_529.pdf" TargetMode="External"/><Relationship Id="rId832" Type="http://schemas.openxmlformats.org/officeDocument/2006/relationships/hyperlink" Target="https://eurlex.europa.eu/legal&#160;content/EN/TXT/?uri=celex%3A32021R1139" TargetMode="External"/><Relationship Id="rId1048" Type="http://schemas.openxmlformats.org/officeDocument/2006/relationships/hyperlink" Target="http://reyestr.court.gov.ua/Review/100057865" TargetMode="External"/><Relationship Id="rId1255" Type="http://schemas.openxmlformats.org/officeDocument/2006/relationships/hyperlink" Target="https://www.reuters.com/world/europe/ukraine-anti-graft-police-probing-dozens-defence-related-cases-2024-02-21/" TargetMode="External"/><Relationship Id="rId1462" Type="http://schemas.openxmlformats.org/officeDocument/2006/relationships/hyperlink" Target="https://www.academia.edu/115500047/" TargetMode="External"/><Relationship Id="rId2306" Type="http://schemas.openxmlformats.org/officeDocument/2006/relationships/hyperlink" Target="https://zakon.rada.gov.ua/laws/show/254%D0%BA/96-%D0%B2%D1%80" TargetMode="External"/><Relationship Id="rId2513" Type="http://schemas.openxmlformats.org/officeDocument/2006/relationships/hyperlink" Target="https://commons.com.ua/en/pro-plagiat/" TargetMode="External"/><Relationship Id="rId1115" Type="http://schemas.openxmlformats.org/officeDocument/2006/relationships/hyperlink" Target="https://zakon.rada.gov.ua/laws/show/1789-12" TargetMode="External"/><Relationship Id="rId1322" Type="http://schemas.openxmlformats.org/officeDocument/2006/relationships/hyperlink" Target="https://surl.li/ilxlaw" TargetMode="External"/><Relationship Id="rId1767" Type="http://schemas.openxmlformats.org/officeDocument/2006/relationships/hyperlink" Target="https://surl.li/ditqvw" TargetMode="External"/><Relationship Id="rId1974" Type="http://schemas.openxmlformats.org/officeDocument/2006/relationships/hyperlink" Target="https://www.icc-cpi.int/news/situation-ukraine-icc-judges-issue-arrest-warrants-against-vladimir-vladimirovich-putin-and?utm_source=chatgpt.com" TargetMode="External"/><Relationship Id="rId59" Type="http://schemas.openxmlformats.org/officeDocument/2006/relationships/hyperlink" Target="https://sspu.edu.ua/images/2024/docs/nauka/konf/31.05/Book_Tom_1_1a7c4.pdf" TargetMode="External"/><Relationship Id="rId1627" Type="http://schemas.openxmlformats.org/officeDocument/2006/relationships/hyperlink" Target="https://reyestr.court.gov.ua/Review/97451198" TargetMode="External"/><Relationship Id="rId1834" Type="http://schemas.openxmlformats.org/officeDocument/2006/relationships/hyperlink" Target="https://zakon.rada.gov.ua/laws/show/2341-14" TargetMode="External"/><Relationship Id="rId2096" Type="http://schemas.openxmlformats.org/officeDocument/2006/relationships/hyperlink" Target="https://sjlaw.academysps.edu.ua/wp-content/uploads/7.-Puzyrnyi-V.-Bodnar-&#1030;.-Kyrienko-&#1040;.pdf" TargetMode="External"/><Relationship Id="rId1901" Type="http://schemas.openxmlformats.org/officeDocument/2006/relationships/hyperlink" Target="https://zakon.rada.gov.ua/laws/show/v0005700-08" TargetMode="External"/><Relationship Id="rId275" Type="http://schemas.openxmlformats.org/officeDocument/2006/relationships/hyperlink" Target="https://zakon.rada.gov.ua/laws/show/995_153" TargetMode="External"/><Relationship Id="rId482" Type="http://schemas.openxmlformats.org/officeDocument/2006/relationships/hyperlink" Target="https://curia.europa.eu/juris/document/document.jsf?text=&amp;docid=296550&amp;pageIndex=0&amp;doclang=en&amp;mode=lst&amp;dir=&amp;occ=first&amp;part=1&amp;cid=6329012" TargetMode="External"/><Relationship Id="rId2163" Type="http://schemas.openxmlformats.org/officeDocument/2006/relationships/hyperlink" Target="http://lsej.org.ua/11_2024/108.pdf" TargetMode="External"/><Relationship Id="rId135" Type="http://schemas.openxmlformats.org/officeDocument/2006/relationships/hyperlink" Target="https://wilanow-palac.pl/pasaz-wiedzy/artykuly-prawa-magdeburskiego-bartlomieja-groickiego" TargetMode="External"/><Relationship Id="rId342" Type="http://schemas.openxmlformats.org/officeDocument/2006/relationships/hyperlink" Target="https://ec.europa.eu/commission/presscorner/detail/en/ip_22_1469" TargetMode="External"/><Relationship Id="rId787" Type="http://schemas.openxmlformats.org/officeDocument/2006/relationships/hyperlink" Target="http://nbuv.gov.ua/UJRN/vamsup_2017_1_17" TargetMode="External"/><Relationship Id="rId994" Type="http://schemas.openxmlformats.org/officeDocument/2006/relationships/hyperlink" Target="https://journals.knute.edu.ua/foreign-trade/article/view/2091/1897" TargetMode="External"/><Relationship Id="rId2023" Type="http://schemas.openxmlformats.org/officeDocument/2006/relationships/hyperlink" Target="https://essuir.sumdu.edu.ua/bitstream-download/123456789/74592/1/Husieva_kryminalistychna_klasyfikatsiia.pdf" TargetMode="External"/><Relationship Id="rId2230" Type="http://schemas.openxmlformats.org/officeDocument/2006/relationships/hyperlink" Target="http://www.irbis-nbuv.gov.ua/cgi-bin/irbis_nbuv/cgiirbis_64.exe?I21DBN=LINK&amp;P21DBN=UJRN&amp;Z21ID=&amp;S21REF=10&amp;S21CNR=20&amp;S21STN=1&amp;S21FMT=ASP_meta&amp;C21COM=S&amp;2_S21P03=FILA=&amp;2_S21STR=Nvlduvs_2015_4_33" TargetMode="External"/><Relationship Id="rId2468" Type="http://schemas.openxmlformats.org/officeDocument/2006/relationships/hyperlink" Target="http://dspace.wunu.edu.ua/" TargetMode="External"/><Relationship Id="rId202" Type="http://schemas.openxmlformats.org/officeDocument/2006/relationships/hyperlink" Target="https://intrel.lnu.edu.ua/news/tsyfrova-dyplomatiia-ukrainy-synerhiia-realnoho-i-virtualnoho" TargetMode="External"/><Relationship Id="rId647" Type="http://schemas.openxmlformats.org/officeDocument/2006/relationships/hyperlink" Target="https://familylawhelp.com.ua/yak-viznati-shlyub-ukladenij-za-kordonom-v-ukra%D1%97ni/" TargetMode="External"/><Relationship Id="rId854" Type="http://schemas.openxmlformats.org/officeDocument/2006/relationships/hyperlink" Target="https://pravo.ua/articles_category/iurydychna-praktyka-5-6-1258-1259/" TargetMode="External"/><Relationship Id="rId1277" Type="http://schemas.openxmlformats.org/officeDocument/2006/relationships/hyperlink" Target="https://pravo.org.ua/4-roky-zmin-u-prokuraturi-ukrayiny-dva-kroky-vpered-odyn-nazad" TargetMode="External"/><Relationship Id="rId1484" Type="http://schemas.openxmlformats.org/officeDocument/2006/relationships/hyperlink" Target="http://www.lsej.org.ua/10_2023/46.pdf" TargetMode="External"/><Relationship Id="rId1691" Type="http://schemas.openxmlformats.org/officeDocument/2006/relationships/hyperlink" Target="https://www.eurofound.europa.eu/en/publications/2023/working-time-2021-2022" TargetMode="External"/><Relationship Id="rId2535" Type="http://schemas.openxmlformats.org/officeDocument/2006/relationships/hyperlink" Target="https://webportal.nrada.gov.ua/svoboda-slova-osnova-demokratiyi/" TargetMode="External"/><Relationship Id="rId507" Type="http://schemas.openxmlformats.org/officeDocument/2006/relationships/hyperlink" Target="https://www.helsinki.org.ua/articles/chysta-polityka-pravovyy-mekhanizm-chy-prosto-vendetta/" TargetMode="External"/><Relationship Id="rId714" Type="http://schemas.openxmlformats.org/officeDocument/2006/relationships/hyperlink" Target="https://www.icc-cpi.int/news/situation-ukraine-icc-judges-issue-arrest-warrants-against-vladimir-vladimirovich-putin-and?lang=Ukrainian" TargetMode="External"/><Relationship Id="rId921" Type="http://schemas.openxmlformats.org/officeDocument/2006/relationships/hyperlink" Target="https://zakon.rada.gov.ua/laws/show/994_537" TargetMode="External"/><Relationship Id="rId1137" Type="http://schemas.openxmlformats.org/officeDocument/2006/relationships/hyperlink" Target="https://zakon.rada.gov.ua/laws/show/5076-17" TargetMode="External"/><Relationship Id="rId1344" Type="http://schemas.openxmlformats.org/officeDocument/2006/relationships/hyperlink" Target="about:blank" TargetMode="External"/><Relationship Id="rId1551" Type="http://schemas.openxmlformats.org/officeDocument/2006/relationships/hyperlink" Target="https://df.duit.in.ua/index.php/dictum/article/download/353/316" TargetMode="External"/><Relationship Id="rId1789" Type="http://schemas.openxmlformats.org/officeDocument/2006/relationships/hyperlink" Target="https://zakon.rada.gov.ua/laws/show/995_222" TargetMode="External"/><Relationship Id="rId1996" Type="http://schemas.openxmlformats.org/officeDocument/2006/relationships/hyperlink" Target="http://www.lsej.org.ua/10_2023/138.pdf" TargetMode="External"/><Relationship Id="rId2602" Type="http://schemas.openxmlformats.org/officeDocument/2006/relationships/hyperlink" Target="https://doi.org/10.1177/0010414001034001002" TargetMode="External"/><Relationship Id="rId50" Type="http://schemas.openxmlformats.org/officeDocument/2006/relationships/hyperlink" Target="https://dspace.lvduvs.edu.ua/bitstream/1234567890/6295/1/%d0%b1%d0%b0%d1%80%d0%b0%d0%b1%d0%b0%d1%882.pdf" TargetMode="External"/><Relationship Id="rId1204" Type="http://schemas.openxmlformats.org/officeDocument/2006/relationships/hyperlink" Target="https://lb.ua/blog/taras_shepel/400168_sudova_reforma_bez_pidzvitnosti.html" TargetMode="External"/><Relationship Id="rId1411" Type="http://schemas.openxmlformats.org/officeDocument/2006/relationships/hyperlink" Target="https://surli.cc/dfebpv" TargetMode="External"/><Relationship Id="rId1649" Type="http://schemas.openxmlformats.org/officeDocument/2006/relationships/hyperlink" Target="https://dspace.onu.edu.ua/server/api/core/bitstreams/fa4bce8a-22c2-456a-82bb-7da761a18190/content" TargetMode="External"/><Relationship Id="rId1856" Type="http://schemas.openxmlformats.org/officeDocument/2006/relationships/hyperlink" Target="https://science.lpnu.ua/uk/law/vsi-vypusky/vypusk-11-nomer-4-44-2024/probaciynyy-naglyad-yak-vyd-pokarannya-bez-izolyaciyi-vid" TargetMode="External"/><Relationship Id="rId1509" Type="http://schemas.openxmlformats.org/officeDocument/2006/relationships/hyperlink" Target="https://doi.org/10.32366/2523-4269-2020-72-3-47-54" TargetMode="External"/><Relationship Id="rId1716" Type="http://schemas.openxmlformats.org/officeDocument/2006/relationships/hyperlink" Target="http://www.juris.vernadskyjournals.in.ua/eng/journals/2019/4_2019/15.pdf" TargetMode="External"/><Relationship Id="rId1923" Type="http://schemas.openxmlformats.org/officeDocument/2006/relationships/hyperlink" Target="https://zakon.rada.gov.ua/laws/show/995_588" TargetMode="External"/><Relationship Id="rId297" Type="http://schemas.openxmlformats.org/officeDocument/2006/relationships/hyperlink" Target="https://zakon.rada.gov.ua/go/995_l54" TargetMode="External"/><Relationship Id="rId2185" Type="http://schemas.openxmlformats.org/officeDocument/2006/relationships/hyperlink" Target="https://zakon.rada.gov.ua/laws/show/995_588" TargetMode="External"/><Relationship Id="rId2392" Type="http://schemas.openxmlformats.org/officeDocument/2006/relationships/image" Target="media/image2.png"/><Relationship Id="rId157" Type="http://schemas.openxmlformats.org/officeDocument/2006/relationships/hyperlink" Target="https://zakon.rada.gov.ua/laws/show/995_588" TargetMode="External"/><Relationship Id="rId364" Type="http://schemas.openxmlformats.org/officeDocument/2006/relationships/hyperlink" Target="https://ir.kneu.edu.ua/items/ee7ba7f9-4784-47cc-8b69-d475d99a81ef" TargetMode="External"/><Relationship Id="rId2045" Type="http://schemas.openxmlformats.org/officeDocument/2006/relationships/hyperlink" Target="https://zakon.rada.gov.ua/laws/show/4651-17" TargetMode="External"/><Relationship Id="rId571" Type="http://schemas.openxmlformats.org/officeDocument/2006/relationships/hyperlink" Target="https://zakon.rada.gov.ua/laws/show/995_015" TargetMode="External"/><Relationship Id="rId669" Type="http://schemas.openxmlformats.org/officeDocument/2006/relationships/hyperlink" Target="file:///D:/Users/VivoBook/Downloads/molv_2014_12(1)__61.pdf" TargetMode="External"/><Relationship Id="rId876" Type="http://schemas.openxmlformats.org/officeDocument/2006/relationships/hyperlink" Target="https://www.venice.coe.int/webforms/documents/?pdf=CDL-AD(2021)006-e" TargetMode="External"/><Relationship Id="rId1299" Type="http://schemas.openxmlformats.org/officeDocument/2006/relationships/hyperlink" Target="https://zakon.rada.gov.ua/laws/show/2597-19/ed20250404" TargetMode="External"/><Relationship Id="rId2252" Type="http://schemas.openxmlformats.org/officeDocument/2006/relationships/hyperlink" Target="https://dspace.lvduvs.edu.ua/handle/1234567890/3568" TargetMode="External"/><Relationship Id="rId2557" Type="http://schemas.openxmlformats.org/officeDocument/2006/relationships/hyperlink" Target="https://niss.gov.ua/publikatsiyi/analitychni-dopovidi/rosiyska-viyna-proty-ukrayiny-yak-tryher-zmin-mizhnarodnoyi?utm" TargetMode="External"/><Relationship Id="rId224" Type="http://schemas.openxmlformats.org/officeDocument/2006/relationships/hyperlink" Target="https://zakon.rada.gov.ua/laws/show/254%D0%BA/96-%D0%B2%D1%80" TargetMode="External"/><Relationship Id="rId431" Type="http://schemas.openxmlformats.org/officeDocument/2006/relationships/hyperlink" Target="https://www.mofa.go.jp/files/100573471.pdf" TargetMode="External"/><Relationship Id="rId529" Type="http://schemas.openxmlformats.org/officeDocument/2006/relationships/hyperlink" Target="https://director-ua.info/index.php/dslg/article/view/66/62" TargetMode="External"/><Relationship Id="rId736" Type="http://schemas.openxmlformats.org/officeDocument/2006/relationships/hyperlink" Target="https://www.itlos.org/en/main/cases/list-of-cases/case-no-2/" TargetMode="External"/><Relationship Id="rId1061" Type="http://schemas.openxmlformats.org/officeDocument/2006/relationships/hyperlink" Target="http://journal-app.uzhnu.edu.ua/article/view/273521/268905" TargetMode="External"/><Relationship Id="rId1159" Type="http://schemas.openxmlformats.org/officeDocument/2006/relationships/hyperlink" Target="https://protocol.ua/ua/pro_sudoustriy_i_status_suddiv_stattya_87/?utm_source" TargetMode="External"/><Relationship Id="rId1366" Type="http://schemas.openxmlformats.org/officeDocument/2006/relationships/hyperlink" Target="https://irbis-nbuv.gov.ua/cgi-bin/irbis_nbuv/cgiirbis_64.exe?I21DBN=LINK&amp;P21DBN=UJRN&amp;Z21ID=&amp;S21REF=10&amp;S21CNR=20&amp;S21STN=1&amp;S21FMT=ASP_meta&amp;C21COM=S&amp;2_S21P03=FILA=&amp;2_S21STR=VKhIPR_2013_1082_16_49" TargetMode="External"/><Relationship Id="rId2112" Type="http://schemas.openxmlformats.org/officeDocument/2006/relationships/hyperlink" Target="https://zakon.rada.gov.ua/laws/show/2341-14" TargetMode="External"/><Relationship Id="rId2417" Type="http://schemas.openxmlformats.org/officeDocument/2006/relationships/hyperlink" Target="https://blog.hubspot.com/marketing/shopping-trends" TargetMode="External"/><Relationship Id="rId943" Type="http://schemas.openxmlformats.org/officeDocument/2006/relationships/hyperlink" Target="https://www.cambridge.org/political-economy-reforms" TargetMode="External"/><Relationship Id="rId1019" Type="http://schemas.openxmlformats.org/officeDocument/2006/relationships/hyperlink" Target="https://zakon.rada.gov.ua/laws/show/389-19" TargetMode="External"/><Relationship Id="rId1573" Type="http://schemas.openxmlformats.org/officeDocument/2006/relationships/hyperlink" Target="https://zakon.rada.gov.ua/laws/show/1798-12" TargetMode="External"/><Relationship Id="rId1780" Type="http://schemas.openxmlformats.org/officeDocument/2006/relationships/hyperlink" Target="http://msvitu.com/pages/medical-books/opioidy/2-Narko.indd.pdf" TargetMode="External"/><Relationship Id="rId1878" Type="http://schemas.openxmlformats.org/officeDocument/2006/relationships/hyperlink" Target="https://zakon.rada.gov.ua/laws/show/2341-14" TargetMode="External"/><Relationship Id="rId2624" Type="http://schemas.openxmlformats.org/officeDocument/2006/relationships/hyperlink" Target="https://ur0.jp/t9Lz" TargetMode="External"/><Relationship Id="rId72" Type="http://schemas.openxmlformats.org/officeDocument/2006/relationships/hyperlink" Target="https://ccj.org/wp-content/uploads/2021/03/Remarks-by-the-Right-Honourable-Sir-Dennis-Byron-at-the-International-Conference-on-the-Legacy-of-the-ICTR_20131101.pdf" TargetMode="External"/><Relationship Id="rId803" Type="http://schemas.openxmlformats.org/officeDocument/2006/relationships/hyperlink" Target="https://zakon.rada.gov.ua/laws/show/995_118" TargetMode="External"/><Relationship Id="rId1226" Type="http://schemas.openxmlformats.org/officeDocument/2006/relationships/hyperlink" Target="https://ti-ukraine.org/en/news/obstacles-in-the-work-of-the-anti-corruption-ecosystem" TargetMode="External"/><Relationship Id="rId1433" Type="http://schemas.openxmlformats.org/officeDocument/2006/relationships/hyperlink" Target="http://clj.nuoua.od.ua/archive/34/16.pdf" TargetMode="External"/><Relationship Id="rId1640" Type="http://schemas.openxmlformats.org/officeDocument/2006/relationships/hyperlink" Target="https://zakon.rada.gov.ua/laws/show/z0055-95" TargetMode="External"/><Relationship Id="rId1738" Type="http://schemas.openxmlformats.org/officeDocument/2006/relationships/hyperlink" Target="about:blank" TargetMode="External"/><Relationship Id="rId1500" Type="http://schemas.openxmlformats.org/officeDocument/2006/relationships/hyperlink" Target="http://nbuv.gov.ua/UJRN/Tpiv_2017_6_2" TargetMode="External"/><Relationship Id="rId1945" Type="http://schemas.openxmlformats.org/officeDocument/2006/relationships/hyperlink" Target="https://studfile.net/preview/5287383/page:3/" TargetMode="External"/><Relationship Id="rId1805" Type="http://schemas.openxmlformats.org/officeDocument/2006/relationships/hyperlink" Target="https://www.journals.elsevier.com/journal-of-law-and-psychiatry" TargetMode="External"/><Relationship Id="rId179" Type="http://schemas.openxmlformats.org/officeDocument/2006/relationships/hyperlink" Target="https://dspace.onua.edu.ua/items/f66eece8-3d09-4af7-a64d-26c9e9b5e207" TargetMode="External"/><Relationship Id="rId386" Type="http://schemas.openxmlformats.org/officeDocument/2006/relationships/hyperlink" Target="https://espreso.tv/porozhni-obitsyanki-chomu-budapeshtskiy-memorandum-ne-garantuvav-ukraini-bezpeki" TargetMode="External"/><Relationship Id="rId593" Type="http://schemas.openxmlformats.org/officeDocument/2006/relationships/hyperlink" Target="https://visnyk-juris-uzhnu.com/wp-content/uploads/2023/08/26.pdf" TargetMode="External"/><Relationship Id="rId2067" Type="http://schemas.openxmlformats.org/officeDocument/2006/relationships/hyperlink" Target="https://zakon.rada.gov.ua/laws/show/2341-14" TargetMode="External"/><Relationship Id="rId2274" Type="http://schemas.openxmlformats.org/officeDocument/2006/relationships/hyperlink" Target="https://zakon.rada.gov.ua/laws/show/4651-17" TargetMode="External"/><Relationship Id="rId2481" Type="http://schemas.openxmlformats.org/officeDocument/2006/relationships/hyperlink" Target="https://www.rnbo.gov.ua/en/Diialnist/6743.html" TargetMode="External"/><Relationship Id="rId246" Type="http://schemas.openxmlformats.org/officeDocument/2006/relationships/hyperlink" Target="https://www.europarl.europa.eu/factsheets/en/sheet/26/the-court-of-justice-of-the-european-union" TargetMode="External"/><Relationship Id="rId453" Type="http://schemas.openxmlformats.org/officeDocument/2006/relationships/hyperlink" Target="https://t.me/DIUkraine/1039" TargetMode="External"/><Relationship Id="rId660" Type="http://schemas.openxmlformats.org/officeDocument/2006/relationships/hyperlink" Target="https://ks.echr.coe.int/documents/d/echr-ks/guide_rights_of_lgbti_persons_ukr" TargetMode="External"/><Relationship Id="rId898" Type="http://schemas.openxmlformats.org/officeDocument/2006/relationships/hyperlink" Target="https://glavcom.ua/country/society/marija-devi-khristos-istorija-kintsja-svitu-pruznachenogo-na-24-lustopada-1025539.html" TargetMode="External"/><Relationship Id="rId1083" Type="http://schemas.openxmlformats.org/officeDocument/2006/relationships/hyperlink" Target="https://ips.ligazakon.net/document/U289_08?an=1649" TargetMode="External"/><Relationship Id="rId1290" Type="http://schemas.openxmlformats.org/officeDocument/2006/relationships/hyperlink" Target="URL:%20http://zakon3.rada.gov.ua/laws/show/254&#1082;/96-&#1074;&#1088;" TargetMode="External"/><Relationship Id="rId2134" Type="http://schemas.openxmlformats.org/officeDocument/2006/relationships/hyperlink" Target="https://zakon.rada.gov.ua/laws/show/1129-15" TargetMode="External"/><Relationship Id="rId2579" Type="http://schemas.openxmlformats.org/officeDocument/2006/relationships/hyperlink" Target="https://razumkov.org.ua/images/2025/01/28/2024-Religiya-religion-FIN.pdf" TargetMode="External"/><Relationship Id="rId106" Type="http://schemas.openxmlformats.org/officeDocument/2006/relationships/hyperlink" Target="https://unic.un.org/aroundworld/unics/common/documents/publications/uncharter/UN%20Charter_Ukrainian.pdf" TargetMode="External"/><Relationship Id="rId313" Type="http://schemas.openxmlformats.org/officeDocument/2006/relationships/hyperlink" Target="https://appj.wunu.edu.ua/index.php/appj/article/view/1817" TargetMode="External"/><Relationship Id="rId758" Type="http://schemas.openxmlformats.org/officeDocument/2006/relationships/hyperlink" Target="https://zakon.rada.gov.ua/laws/show/974_k29" TargetMode="External"/><Relationship Id="rId965" Type="http://schemas.openxmlformats.org/officeDocument/2006/relationships/hyperlink" Target="https://biz.ligazakon.net/analitycs/219499_valyutn-obmezhennya-dlya-bznesu-v-umovakh-vonnogo-stanu" TargetMode="External"/><Relationship Id="rId1150" Type="http://schemas.openxmlformats.org/officeDocument/2006/relationships/hyperlink" Target="https://zakon.rada.gov.ua/laws/show/2136-19" TargetMode="External"/><Relationship Id="rId1388" Type="http://schemas.openxmlformats.org/officeDocument/2006/relationships/hyperlink" Target="https://ela.kpi.ua/server/api/core/bitstreams/682973ef-5cc2-4803-afc0-b5022ef29c45/content" TargetMode="External"/><Relationship Id="rId1595" Type="http://schemas.openxmlformats.org/officeDocument/2006/relationships/hyperlink" Target="https://zakon.rada.gov.ua/laws/show/436-15" TargetMode="External"/><Relationship Id="rId2439" Type="http://schemas.openxmlformats.org/officeDocument/2006/relationships/hyperlink" Target="https://shorturl.at/3ClKv" TargetMode="External"/><Relationship Id="rId94" Type="http://schemas.openxmlformats.org/officeDocument/2006/relationships/hyperlink" Target="http://www.aphn-journal.in.ua/archive/22_2018/part_1/4.pdf" TargetMode="External"/><Relationship Id="rId520" Type="http://schemas.openxmlformats.org/officeDocument/2006/relationships/hyperlink" Target="https://www.refworld.org/legal/agreements/oas/1969/en/20081" TargetMode="External"/><Relationship Id="rId618" Type="http://schemas.openxmlformats.org/officeDocument/2006/relationships/hyperlink" Target="https://zakon.rada.gov.ua/laws/show/254%D0%BA/96-%D0%B2%D1%80" TargetMode="External"/><Relationship Id="rId825" Type="http://schemas.openxmlformats.org/officeDocument/2006/relationships/hyperlink" Target="https://law.resource.org/pub/us/cfr/ibr/004/imo.imdg.2.2006.pdf" TargetMode="External"/><Relationship Id="rId1248" Type="http://schemas.openxmlformats.org/officeDocument/2006/relationships/hyperlink" Target="https://www.reuters.com/world/europe/ukraine-anti-graft-police-probing-dozens-defence-related-cases-2024-02-21/" TargetMode="External"/><Relationship Id="rId1455" Type="http://schemas.openxmlformats.org/officeDocument/2006/relationships/hyperlink" Target="https://zakon.rada.gov.ua/laws/show/1618-15" TargetMode="External"/><Relationship Id="rId1662" Type="http://schemas.openxmlformats.org/officeDocument/2006/relationships/hyperlink" Target="http://lsej.org.ua/4_2014/35.pdf" TargetMode="External"/><Relationship Id="rId2201" Type="http://schemas.openxmlformats.org/officeDocument/2006/relationships/hyperlink" Target="https://reyestr.court.gov.ua/Review/121204799" TargetMode="External"/><Relationship Id="rId2506" Type="http://schemas.openxmlformats.org/officeDocument/2006/relationships/hyperlink" Target="https://opendatabot.ua" TargetMode="External"/><Relationship Id="rId1010" Type="http://schemas.openxmlformats.org/officeDocument/2006/relationships/hyperlink" Target="https://zakon.rada.gov.ua/laws/show/1402-19" TargetMode="External"/><Relationship Id="rId1108" Type="http://schemas.openxmlformats.org/officeDocument/2006/relationships/hyperlink" Target="http://lj.oa.edu.ua/articles/2016/n2/16sshssv.pdf" TargetMode="External"/><Relationship Id="rId1315" Type="http://schemas.openxmlformats.org/officeDocument/2006/relationships/hyperlink" Target="https://zakon.rada.gov.ua/laws/show/419-94-%D0%BF" TargetMode="External"/><Relationship Id="rId1967" Type="http://schemas.openxmlformats.org/officeDocument/2006/relationships/hyperlink" Target="https://arxiv.org/pdf/2102.05090" TargetMode="External"/><Relationship Id="rId1522" Type="http://schemas.openxmlformats.org/officeDocument/2006/relationships/hyperlink" Target="https://mediation.ua/forum/2024" TargetMode="External"/><Relationship Id="rId21" Type="http://schemas.openxmlformats.org/officeDocument/2006/relationships/hyperlink" Target="https://zakon.rada.gov.ua/laws/show/322-08" TargetMode="External"/><Relationship Id="rId2089" Type="http://schemas.openxmlformats.org/officeDocument/2006/relationships/hyperlink" Target="https://esbu.gov.ua/pro-biuro/zavdannia-ta-funktsii" TargetMode="External"/><Relationship Id="rId2296" Type="http://schemas.openxmlformats.org/officeDocument/2006/relationships/hyperlink" Target="http://pjv.nuoua.od.ua/v1_2014/28.pdf" TargetMode="External"/><Relationship Id="rId268" Type="http://schemas.openxmlformats.org/officeDocument/2006/relationships/hyperlink" Target="http://nbuv.gov.ua/UJRN/VKhnuvs_2016_3_11" TargetMode="External"/><Relationship Id="rId475" Type="http://schemas.openxmlformats.org/officeDocument/2006/relationships/hyperlink" Target="https://rm.coe.int/168008371d" TargetMode="External"/><Relationship Id="rId682" Type="http://schemas.openxmlformats.org/officeDocument/2006/relationships/hyperlink" Target="https://zakon.rada.gov.ua/laws/show/995_911" TargetMode="External"/><Relationship Id="rId2156" Type="http://schemas.openxmlformats.org/officeDocument/2006/relationships/hyperlink" Target="http://zakon3.rada.gov.ua/laws/show/2341-14" TargetMode="External"/><Relationship Id="rId2570" Type="http://schemas.openxmlformats.org/officeDocument/2006/relationships/hyperlink" Target="https://doi.org/10.24144/2307-3322.2021.64.4" TargetMode="External"/><Relationship Id="rId128" Type="http://schemas.openxmlformats.org/officeDocument/2006/relationships/hyperlink" Target="https://eprints.cdu.edu.ua/6476/1/236%20%202024%2003-12-16.pdf" TargetMode="External"/><Relationship Id="rId335" Type="http://schemas.openxmlformats.org/officeDocument/2006/relationships/hyperlink" Target="http://lib.rada.gov.ua/DocDescription?doc_id=59471" TargetMode="External"/><Relationship Id="rId542" Type="http://schemas.openxmlformats.org/officeDocument/2006/relationships/hyperlink" Target="https://www.un.org/securitycouncil" TargetMode="External"/><Relationship Id="rId1172" Type="http://schemas.openxmlformats.org/officeDocument/2006/relationships/hyperlink" Target="https://unba.org.ua/assets/uploads/legislations/pologennya/bundesrechtsanwaltsordnung-ukr.pdf" TargetMode="External"/><Relationship Id="rId2016" Type="http://schemas.openxmlformats.org/officeDocument/2006/relationships/hyperlink" Target="http://nbuv.gov.ua/UJRN/Tpsek_2021_3_7" TargetMode="External"/><Relationship Id="rId2223" Type="http://schemas.openxmlformats.org/officeDocument/2006/relationships/hyperlink" Target="https://doi.org/10.56215/naia-herald/1.2024.20" TargetMode="External"/><Relationship Id="rId2430" Type="http://schemas.openxmlformats.org/officeDocument/2006/relationships/hyperlink" Target="https://blog.codacy.com/owasp-top-10" TargetMode="External"/><Relationship Id="rId402" Type="http://schemas.openxmlformats.org/officeDocument/2006/relationships/hyperlink" Target="https://zakon.rada.gov.ua/laws/show/995_588" TargetMode="External"/><Relationship Id="rId1032" Type="http://schemas.openxmlformats.org/officeDocument/2006/relationships/hyperlink" Target="https://reyestr.court.gov.ua/Review/113824965" TargetMode="External"/><Relationship Id="rId1989" Type="http://schemas.openxmlformats.org/officeDocument/2006/relationships/hyperlink" Target="https://expertize-journal.org.ua/all-news/7034-suchasna-tekhnologiya-poligraf-eyedetect-vpevneno-lidirue-u-sviti-yak-najbilsh-nadijna-tekhnologiya-viyavlennya-prikhovanoji-informatsiji-nepravdi-obmanu" TargetMode="External"/><Relationship Id="rId1849" Type="http://schemas.openxmlformats.org/officeDocument/2006/relationships/hyperlink" Target="https://ips.ligazakon.net/document/view/t233342?ed=2023_08_23&amp;an=19" TargetMode="External"/><Relationship Id="rId192" Type="http://schemas.openxmlformats.org/officeDocument/2006/relationships/hyperlink" Target="https://unictr.irmct.org/en/cases/ictr-96-4" TargetMode="External"/><Relationship Id="rId1709" Type="http://schemas.openxmlformats.org/officeDocument/2006/relationships/hyperlink" Target="https://zakon.rada.gov.ua/laws/show/322-08" TargetMode="External"/><Relationship Id="rId1916" Type="http://schemas.openxmlformats.org/officeDocument/2006/relationships/hyperlink" Target="https://zakon.rada.gov.ua/laws/show/2341-14" TargetMode="External"/><Relationship Id="rId2080" Type="http://schemas.openxmlformats.org/officeDocument/2006/relationships/hyperlink" Target="https://zakon.rada.gov.ua/laws/show/1129-15" TargetMode="External"/><Relationship Id="rId869" Type="http://schemas.openxmlformats.org/officeDocument/2006/relationships/hyperlink" Target="http://dx.doi.org/10.34142/23121661.2025.41.07" TargetMode="External"/><Relationship Id="rId1499" Type="http://schemas.openxmlformats.org/officeDocument/2006/relationships/hyperlink" Target="about:blank" TargetMode="External"/><Relationship Id="rId729" Type="http://schemas.openxmlformats.org/officeDocument/2006/relationships/hyperlink" Target="https://www.kmu.gov.ua/storage/app/sites/1/recoveryrada/ua/restoration-and-development-of-infrastructure.pdf" TargetMode="External"/><Relationship Id="rId1359" Type="http://schemas.openxmlformats.org/officeDocument/2006/relationships/hyperlink" Target="about:blank" TargetMode="External"/><Relationship Id="rId936" Type="http://schemas.openxmlformats.org/officeDocument/2006/relationships/hyperlink" Target="https://ispp.org.ua/wp-content/uploads/2022/06/tezy0422-t1.pdf" TargetMode="External"/><Relationship Id="rId1219" Type="http://schemas.openxmlformats.org/officeDocument/2006/relationships/hyperlink" Target="https://ti-ukraine.org/en/news/obstacles-in-the-work-of-the-anti-corruption-ecosystem" TargetMode="External"/><Relationship Id="rId1566" Type="http://schemas.openxmlformats.org/officeDocument/2006/relationships/hyperlink" Target="http://visnyk.law.knu.ua/en/baza-nomeriv/852-yevropeyizatsiya-ta-rekodyfikatsiya-uzufrukt" TargetMode="External"/><Relationship Id="rId1773" Type="http://schemas.openxmlformats.org/officeDocument/2006/relationships/hyperlink" Target="https://zakon.rada.gov.ua/laws/show/2341-14" TargetMode="External"/><Relationship Id="rId1980" Type="http://schemas.openxmlformats.org/officeDocument/2006/relationships/hyperlink" Target="https://suspilne.media/crimea/944843-u-sevastopoli-miscevu-zitelku-zasudili-do-53-rokiv-uvaznenna-za-spivpracu-zi-specsluzbami-ukraini/" TargetMode="External"/><Relationship Id="rId2617" Type="http://schemas.openxmlformats.org/officeDocument/2006/relationships/hyperlink" Target="file:///D:/UserOK/Downloads/st_2_139_2022_full.pdf" TargetMode="External"/><Relationship Id="rId65" Type="http://schemas.openxmlformats.org/officeDocument/2006/relationships/hyperlink" Target="https://zakon.rada.gov.ua/laws/show/2341-14" TargetMode="External"/><Relationship Id="rId1426" Type="http://schemas.openxmlformats.org/officeDocument/2006/relationships/hyperlink" Target="https://pravo.cusu.edu.ua/index.php/pravo/article/view/377" TargetMode="External"/><Relationship Id="rId1633" Type="http://schemas.openxmlformats.org/officeDocument/2006/relationships/hyperlink" Target="https://buh.ligazakon.net/news/209993_podatkov-poslablennya-na-chas-vonnogo-stanu-shcho-peredbacha-priynyatiy-zakon" TargetMode="External"/><Relationship Id="rId1840" Type="http://schemas.openxmlformats.org/officeDocument/2006/relationships/hyperlink" Target="http://pjv.nuoua.od.ua/v2_2023/20.pdf" TargetMode="External"/><Relationship Id="rId1700" Type="http://schemas.openxmlformats.org/officeDocument/2006/relationships/hyperlink" Target="https://zakon.rada.gov.ua/laws/show/2136-20" TargetMode="External"/><Relationship Id="rId379" Type="http://schemas.openxmlformats.org/officeDocument/2006/relationships/hyperlink" Target="https://zakon.rada.gov.ua/laws/show/995_154" TargetMode="External"/><Relationship Id="rId586" Type="http://schemas.openxmlformats.org/officeDocument/2006/relationships/hyperlink" Target="https://eur-lex.europa.eu/eli/reg/2010/1259/oj/eng" TargetMode="External"/><Relationship Id="rId793" Type="http://schemas.openxmlformats.org/officeDocument/2006/relationships/hyperlink" Target="https://doi.org/10.51989/NUL.2021.3.9" TargetMode="External"/><Relationship Id="rId2267" Type="http://schemas.openxmlformats.org/officeDocument/2006/relationships/hyperlink" Target="https://journal-nam.com.ua/index.php/journal/article/view/175" TargetMode="External"/><Relationship Id="rId2474" Type="http://schemas.openxmlformats.org/officeDocument/2006/relationships/hyperlink" Target="https://me.gov.ua/Documents/Detail?lang=uk-UA&amp;id=94321ef8-1418-479c-a69f-f3d0fdb8b977&amp;title=Robota-GrantiVidDerzhaviNaVidkrittiaChiRozvitokBiznesu" TargetMode="External"/><Relationship Id="rId239" Type="http://schemas.openxmlformats.org/officeDocument/2006/relationships/hyperlink" Target="https://doi.org/10.5281/zenodo.10373515" TargetMode="External"/><Relationship Id="rId446" Type="http://schemas.openxmlformats.org/officeDocument/2006/relationships/hyperlink" Target="http://dspace.megu.edu.ua:8080/jspui/handle/123456789/5231" TargetMode="External"/><Relationship Id="rId653" Type="http://schemas.openxmlformats.org/officeDocument/2006/relationships/hyperlink" Target="https://science.lpnu.ua/sites/default/files/journal%20" TargetMode="External"/><Relationship Id="rId1076" Type="http://schemas.openxmlformats.org/officeDocument/2006/relationships/hyperlink" Target="https://zakon.rada.gov.ua/laws/show/994_a38" TargetMode="External"/><Relationship Id="rId1283" Type="http://schemas.openxmlformats.org/officeDocument/2006/relationships/hyperlink" Target="https://gp.gov.ua/ua/posts/miznarodne-spivrobitnictvo-ofisu-generalnogo-prokurora-klyucovi-napryami-ta-rezultati" TargetMode="External"/><Relationship Id="rId1490" Type="http://schemas.openxmlformats.org/officeDocument/2006/relationships/hyperlink" Target="about:blank" TargetMode="External"/><Relationship Id="rId2127" Type="http://schemas.openxmlformats.org/officeDocument/2006/relationships/hyperlink" Target="https://jurliga.ligazakon.net/analitycs/205454_znizhennya-retsidivno-zlochinnost---zakonodavch-propozits" TargetMode="External"/><Relationship Id="rId306" Type="http://schemas.openxmlformats.org/officeDocument/2006/relationships/hyperlink" Target="https://www.environmentandsociety.org/arcadia/only-one-earth-stockholm-and-beginning-modern-environmental-diplomacy" TargetMode="External"/><Relationship Id="rId860" Type="http://schemas.openxmlformats.org/officeDocument/2006/relationships/hyperlink" Target="https://zakon.rada.gov.ua/laws/show/475/97-%D0%B2%D1%80" TargetMode="External"/><Relationship Id="rId1143" Type="http://schemas.openxmlformats.org/officeDocument/2006/relationships/hyperlink" Target="https://rep.dnuvs.ukr.education/server/api/core/bitstreams/551d4438-ba2b-4296-9f02-cb47b64e5f1d/content" TargetMode="External"/><Relationship Id="rId2541" Type="http://schemas.openxmlformats.org/officeDocument/2006/relationships/hyperlink" Target="https://doi.org/10.33445/sds.2021.11.3.19" TargetMode="External"/><Relationship Id="rId513" Type="http://schemas.openxmlformats.org/officeDocument/2006/relationships/hyperlink" Target="https://ombudsman.gov.ua/childrenofwar-2023/deportatsiya-ditei" TargetMode="External"/><Relationship Id="rId720" Type="http://schemas.openxmlformats.org/officeDocument/2006/relationships/hyperlink" Target="https://zakon.rada.gov.ua/laws/show/995_098" TargetMode="External"/><Relationship Id="rId1350" Type="http://schemas.openxmlformats.org/officeDocument/2006/relationships/hyperlink" Target="about:blank" TargetMode="External"/><Relationship Id="rId2401" Type="http://schemas.openxmlformats.org/officeDocument/2006/relationships/hyperlink" Target="%20https://spring.io/" TargetMode="External"/><Relationship Id="rId1003" Type="http://schemas.openxmlformats.org/officeDocument/2006/relationships/hyperlink" Target="https://zakon.rada.gov.ua/laws/show/1137-2019-&#1087;" TargetMode="External"/><Relationship Id="rId1210" Type="http://schemas.openxmlformats.org/officeDocument/2006/relationships/hyperlink" Target="https://mosjournal.com/index.php/journal/article/view/7/6" TargetMode="External"/><Relationship Id="rId2191" Type="http://schemas.openxmlformats.org/officeDocument/2006/relationships/hyperlink" Target="https://zakon.rada.gov.ua/laws/show/2135-12" TargetMode="External"/><Relationship Id="rId163" Type="http://schemas.openxmlformats.org/officeDocument/2006/relationships/hyperlink" Target="https://treaties.un.org/pages/ViewDetailsII.aspx?src=TREATY&amp;mtdsg_no=V-2&amp;chapter=5" TargetMode="External"/><Relationship Id="rId370" Type="http://schemas.openxmlformats.org/officeDocument/2006/relationships/hyperlink" Target="https://www.fairtrials.org/app/uploads/2022/01/FT_beyond-surrender_B5_web_spreads.pdf" TargetMode="External"/><Relationship Id="rId2051" Type="http://schemas.openxmlformats.org/officeDocument/2006/relationships/hyperlink" Target="https://zakon.rada.gov.ua/laws/show/994_032" TargetMode="External"/><Relationship Id="rId230" Type="http://schemas.openxmlformats.org/officeDocument/2006/relationships/hyperlink" Target="https://europewb.org.ua/shho-rujnuye-doviru-ukrayintsiv-do-svoyih-konsulstv-i-yak-tse-prypynyty-dva-boky-vikontsya/" TargetMode="External"/><Relationship Id="rId1677" Type="http://schemas.openxmlformats.org/officeDocument/2006/relationships/hyperlink" Target="https://mon.gov.ua/staticobjects/mon/sites/1/news/2022/07/27/Trudove.pravo.Ukrayiny.26.07.2022.pdf?utm_source" TargetMode="External"/><Relationship Id="rId1884" Type="http://schemas.openxmlformats.org/officeDocument/2006/relationships/hyperlink" Target="https://dspace.univd.edu.ua" TargetMode="External"/><Relationship Id="rId907" Type="http://schemas.openxmlformats.org/officeDocument/2006/relationships/hyperlink" Target="http://ir.stu.cn.ua/123456789/25438" TargetMode="External"/><Relationship Id="rId1537" Type="http://schemas.openxmlformats.org/officeDocument/2006/relationships/hyperlink" Target="https://www.unian.net/economics/energetics/10606890-dtek-ne-yavlyaetsya-monopolistom-na-rynke-glava-antimonopolnogo-komiteta.html" TargetMode="External"/><Relationship Id="rId1744" Type="http://schemas.openxmlformats.org/officeDocument/2006/relationships/hyperlink" Target="https://www.president.gov.ua/documents/constitution" TargetMode="External"/><Relationship Id="rId1951" Type="http://schemas.openxmlformats.org/officeDocument/2006/relationships/hyperlink" Target="https://kp-ua.com/motlyah-o-pravova-reglamentatsiya-diyalnosti-pov-yazanoyi-z-vykorystannyam-poligrafa-v-ukrayini/" TargetMode="External"/><Relationship Id="rId36" Type="http://schemas.openxmlformats.org/officeDocument/2006/relationships/hyperlink" Target="https://doi.org/10.32689/2617-9660-2020-3(9)-13-29" TargetMode="External"/><Relationship Id="rId1604" Type="http://schemas.openxmlformats.org/officeDocument/2006/relationships/hyperlink" Target="http://pd.onu.edu.ua/article/view/257812/256544" TargetMode="External"/><Relationship Id="rId1811" Type="http://schemas.openxmlformats.org/officeDocument/2006/relationships/hyperlink" Target="https://www.journals.elsevier.com/journal-of-law-and-psychiatry" TargetMode="External"/><Relationship Id="rId697" Type="http://schemas.openxmlformats.org/officeDocument/2006/relationships/hyperlink" Target="https://ips.ligazakon.net/document/EU070048" TargetMode="External"/><Relationship Id="rId1187" Type="http://schemas.openxmlformats.org/officeDocument/2006/relationships/hyperlink" Target="https://zakon.rada.gov.ua/laws/show/5076-17?find=1&amp;text=%D0%B7%D0%B0%D0%BF%D0%B8%D1%82" TargetMode="External"/><Relationship Id="rId2585" Type="http://schemas.openxmlformats.org/officeDocument/2006/relationships/hyperlink" Target="https://nmc.dsns.gov.ua/rv/statti/155" TargetMode="External"/><Relationship Id="rId557" Type="http://schemas.openxmlformats.org/officeDocument/2006/relationships/hyperlink" Target="https://www.taylorfrancis.com/books/mono/10.4324/9780203969335/un-security-council-edward-luck?utm_source=chatgpt.com" TargetMode="External"/><Relationship Id="rId764" Type="http://schemas.openxmlformats.org/officeDocument/2006/relationships/hyperlink" Target="https://ips.ligazakon.net/document/MU58K08U" TargetMode="External"/><Relationship Id="rId971" Type="http://schemas.openxmlformats.org/officeDocument/2006/relationships/hyperlink" Target="https://zakon.rada.gov.ua/laws/show/3166-17" TargetMode="External"/><Relationship Id="rId1394" Type="http://schemas.openxmlformats.org/officeDocument/2006/relationships/hyperlink" Target="http://rsu.gov/" TargetMode="External"/><Relationship Id="rId2238" Type="http://schemas.openxmlformats.org/officeDocument/2006/relationships/hyperlink" Target="https://chasopys-ppp.dp.ua/index.php/chasopys/article/view/602/550" TargetMode="External"/><Relationship Id="rId2445" Type="http://schemas.openxmlformats.org/officeDocument/2006/relationships/hyperlink" Target="https://scholar.google.com.ua/scholar?hl=ru&amp;as_sdt=0%2C5&amp;q=social+engeneering+statistics+part+of&amp;btnG" TargetMode="External"/><Relationship Id="rId417" Type="http://schemas.openxmlformats.org/officeDocument/2006/relationships/hyperlink" Target="https://ecpl.com.ua/news/mizhnarodnyy-sud-oon-iak-mekhanizm-rozsliduvannia-porushen-prav-liudyny/" TargetMode="External"/><Relationship Id="rId624" Type="http://schemas.openxmlformats.org/officeDocument/2006/relationships/hyperlink" Target="http://perspectives.pp.ua/index.php/np/article/view/6073" TargetMode="External"/><Relationship Id="rId831" Type="http://schemas.openxmlformats.org/officeDocument/2006/relationships/hyperlink" Target="https://research-and-innovation.ec.europa.eu/research-area/environment/oceans-and-seas/integrated-maritime-policy_en" TargetMode="External"/><Relationship Id="rId1047" Type="http://schemas.openxmlformats.org/officeDocument/2006/relationships/hyperlink" Target="https://reestr.court.gov.ua/Review/77586810" TargetMode="External"/><Relationship Id="rId1254" Type="http://schemas.openxmlformats.org/officeDocument/2006/relationships/hyperlink" Target="https://www.reuters.com/world/europe/ukraine-anti-graft-police-probing-dozens-defence-related-cases-2024-02-21/" TargetMode="External"/><Relationship Id="rId1461" Type="http://schemas.openxmlformats.org/officeDocument/2006/relationships/hyperlink" Target="https://hdl.handle.net/11300/21782" TargetMode="External"/><Relationship Id="rId2305" Type="http://schemas.openxmlformats.org/officeDocument/2006/relationships/hyperlink" Target="https://zakon.rada.gov.ua/laws/show/4651-17" TargetMode="External"/><Relationship Id="rId2512" Type="http://schemas.openxmlformats.org/officeDocument/2006/relationships/hyperlink" Target="https://info.eo.gov.ua/akademichna-dobrochesnist-zdobuvachiv-osvity/" TargetMode="External"/><Relationship Id="rId1114" Type="http://schemas.openxmlformats.org/officeDocument/2006/relationships/hyperlink" Target="https://zakon.rada.gov.ua/laws/show/254%D0%BA/96-%D0%B2%D1%80" TargetMode="External"/><Relationship Id="rId1321" Type="http://schemas.openxmlformats.org/officeDocument/2006/relationships/hyperlink" Target="https://surl.lu/dhdiuw" TargetMode="External"/><Relationship Id="rId2095" Type="http://schemas.openxmlformats.org/officeDocument/2006/relationships/hyperlink" Target="file:///C:/Users/kondr/Downloads/Nvlduvs_2017_4_33.pdf" TargetMode="External"/><Relationship Id="rId274" Type="http://schemas.openxmlformats.org/officeDocument/2006/relationships/hyperlink" Target="https://zakon.rada.gov.ua/laws/show/995_152" TargetMode="External"/><Relationship Id="rId481" Type="http://schemas.openxmlformats.org/officeDocument/2006/relationships/hyperlink" Target="https://eur-lex.europa.eu/legal-content/EN/TXT/?uri=celex:62018CJ0619" TargetMode="External"/><Relationship Id="rId2162" Type="http://schemas.openxmlformats.org/officeDocument/2006/relationships/hyperlink" Target="https://dspace.lvduvs.edu.ua/bitstream/1234567890/4725/1/%D0%93%D1%83%D1%82%D0%BD%D0%B8%D0%BA%2C%20%D0%A5%D0%B8%D1%82%D1%80%D0%B0_%D0%BC%D0%BE%D0%BD%D0%BE%D0%B3%D1%80%D0%B0%D1%84%D1%96%D1%8F_21_06_2022.pdf" TargetMode="External"/><Relationship Id="rId134" Type="http://schemas.openxmlformats.org/officeDocument/2006/relationships/hyperlink" Target="https://onua.edu.ua/ua/?option=com_content&amp;view=category&amp;layout=blog&amp;id=263&amp;Itemid=743&amp;lang=uk" TargetMode="External"/><Relationship Id="rId341" Type="http://schemas.openxmlformats.org/officeDocument/2006/relationships/hyperlink" Target="https://eur-lex.europa.eu/legal-content/EN/TXT/?uri=CELEX%3A32011L0095" TargetMode="External"/><Relationship Id="rId2022" Type="http://schemas.openxmlformats.org/officeDocument/2006/relationships/hyperlink" Target="https://ibn.idsi.md/sites/default/files/imag_file/151-156_5.pdf" TargetMode="External"/><Relationship Id="rId201" Type="http://schemas.openxmlformats.org/officeDocument/2006/relationships/hyperlink" Target="https://old.apir.org.ua/archives/1284" TargetMode="External"/><Relationship Id="rId1788" Type="http://schemas.openxmlformats.org/officeDocument/2006/relationships/hyperlink" Target="https://supreme.court.gov.ua/supreme/pres-centr/news/1289628/" TargetMode="External"/><Relationship Id="rId1995" Type="http://schemas.openxmlformats.org/officeDocument/2006/relationships/hyperlink" Target="https://www.gov.uk/government/publications/domestic-abuse-bill-2020-factsheets/mandatory-polygraph-tests-factsheet" TargetMode="External"/><Relationship Id="rId1648" Type="http://schemas.openxmlformats.org/officeDocument/2006/relationships/hyperlink" Target="https://zakon.rada.gov.ua/laws/show/z1488-21" TargetMode="External"/><Relationship Id="rId1508" Type="http://schemas.openxmlformats.org/officeDocument/2006/relationships/hyperlink" Target="about:blank" TargetMode="External"/><Relationship Id="rId1855" Type="http://schemas.openxmlformats.org/officeDocument/2006/relationships/hyperlink" Target="https://zakon.rada.gov.ua/laws/show/2341-14" TargetMode="External"/><Relationship Id="rId1715" Type="http://schemas.openxmlformats.org/officeDocument/2006/relationships/hyperlink" Target="https://zakon.rada.gov.ua/laws/show/2352-20%23n22" TargetMode="External"/><Relationship Id="rId1922" Type="http://schemas.openxmlformats.org/officeDocument/2006/relationships/hyperlink" Target="https://zakon.rada.gov.ua/laws/show/2341-14" TargetMode="External"/><Relationship Id="rId2489" Type="http://schemas.openxmlformats.org/officeDocument/2006/relationships/hyperlink" Target="https://nachasi.com/society/2019/08/13/rozetka-platforma/" TargetMode="External"/><Relationship Id="rId668" Type="http://schemas.openxmlformats.org/officeDocument/2006/relationships/hyperlink" Target="https://surl.li/qgjbma" TargetMode="External"/><Relationship Id="rId875" Type="http://schemas.openxmlformats.org/officeDocument/2006/relationships/hyperlink" Target="http://w1.c1.rada.gov.ua/pls/zweb2/webproc4_1?pf3511=70729" TargetMode="External"/><Relationship Id="rId1298" Type="http://schemas.openxmlformats.org/officeDocument/2006/relationships/hyperlink" Target="https://zakon.rada.gov.ua/laws/show/435-15" TargetMode="External"/><Relationship Id="rId2556" Type="http://schemas.openxmlformats.org/officeDocument/2006/relationships/hyperlink" Target="https://www.ukrinform.ua/rubric-world/3431197-agresia-rosii-proti-ukraini-zminila-vsu-sistemu-evroatlanticnoi-bezpeki-stoltenberg.html?utm" TargetMode="External"/><Relationship Id="rId528" Type="http://schemas.openxmlformats.org/officeDocument/2006/relationships/hyperlink" Target="https://dspace.onua.edu.ua/server/api/core/bitstreams/f0ec278d-b6b1-4b54-a42d-5302861dd926/content" TargetMode="External"/><Relationship Id="rId735" Type="http://schemas.openxmlformats.org/officeDocument/2006/relationships/hyperlink" Target="https://normlex.ilo.org/dyn/nrmlx_en/f?p=1000:11110:0::NO:11110:P11110_COUNTRY_ID,P11110_CONTEXT:102867,SC" TargetMode="External"/><Relationship Id="rId942" Type="http://schemas.openxmlformats.org/officeDocument/2006/relationships/hyperlink" Target="https://www.policypress.co.uk/digital-transformation-cs" TargetMode="External"/><Relationship Id="rId1158" Type="http://schemas.openxmlformats.org/officeDocument/2006/relationships/hyperlink" Target="https://www.rada.gov.ua/news/news_kom/229124.html?utm_source" TargetMode="External"/><Relationship Id="rId1365" Type="http://schemas.openxmlformats.org/officeDocument/2006/relationships/hyperlink" Target="https://zakon.rada.gov.ua/laws/show/1402-19" TargetMode="External"/><Relationship Id="rId1572" Type="http://schemas.openxmlformats.org/officeDocument/2006/relationships/hyperlink" Target="http://doi.org/10.23939/law2020.26.209" TargetMode="External"/><Relationship Id="rId2209" Type="http://schemas.openxmlformats.org/officeDocument/2006/relationships/hyperlink" Target="https://zakon.rada.gov.ua/laws/show/2341-14" TargetMode="External"/><Relationship Id="rId2416" Type="http://schemas.openxmlformats.org/officeDocument/2006/relationships/hyperlink" Target="https://sproutsocial.com/" TargetMode="External"/><Relationship Id="rId2623" Type="http://schemas.openxmlformats.org/officeDocument/2006/relationships/hyperlink" Target="https://suspilne.media/ai-policy/" TargetMode="External"/><Relationship Id="rId1018" Type="http://schemas.openxmlformats.org/officeDocument/2006/relationships/hyperlink" Target="https://ips.ligazakon.net/document/C025495" TargetMode="External"/><Relationship Id="rId1225" Type="http://schemas.openxmlformats.org/officeDocument/2006/relationships/hyperlink" Target="https://ti-ukraine.org/en/news/obstacles-in-the-work-of-the-anti-corruption-ecosystem" TargetMode="External"/><Relationship Id="rId1432" Type="http://schemas.openxmlformats.org/officeDocument/2006/relationships/hyperlink" Target="https://verdictum.ligazakon.net/document/97114087" TargetMode="External"/><Relationship Id="rId71" Type="http://schemas.openxmlformats.org/officeDocument/2006/relationships/hyperlink" Target="file://C:\Users\Admin\Downloads\Economic_Globalisation_and_the_Law_in_the_21st_Century_fin%20(1).pdf" TargetMode="External"/><Relationship Id="rId802" Type="http://schemas.openxmlformats.org/officeDocument/2006/relationships/hyperlink" Target="https://zakon.rada.gov.ua/laws/show/995_137" TargetMode="External"/><Relationship Id="rId178" Type="http://schemas.openxmlformats.org/officeDocument/2006/relationships/hyperlink" Target="http://visnyk-pravo.uzhnu.edu.ua/article/view/316054/306744" TargetMode="External"/><Relationship Id="rId385" Type="http://schemas.openxmlformats.org/officeDocument/2006/relationships/hyperlink" Target="https://tyzhden.ua/budapeshtskyj-memorandum-dobrovilne-zdavannia-iadernoi-zbroi-harantii-bezpeky-vijna/" TargetMode="External"/><Relationship Id="rId592" Type="http://schemas.openxmlformats.org/officeDocument/2006/relationships/hyperlink" Target="https://zakon.rada.gov.ua/laws/show/995_588" TargetMode="External"/><Relationship Id="rId2066" Type="http://schemas.openxmlformats.org/officeDocument/2006/relationships/hyperlink" Target="https://ombudsman.gov.ua/report-2023/" TargetMode="External"/><Relationship Id="rId2273" Type="http://schemas.openxmlformats.org/officeDocument/2006/relationships/hyperlink" Target="https://www.navs.edu.ua/files/kafedru/kkp/2023/zbirnyk_konf_280423.pdf" TargetMode="External"/><Relationship Id="rId2480" Type="http://schemas.openxmlformats.org/officeDocument/2006/relationships/hyperlink" Target="https://thedigital.gov.ua/storage/uploads/files/page/community/docs/&#1041;&#1110;&#1083;&#1072;_&#1082;&#1085;&#1080;&#1075;&#1072;_&#1079;_&#1088;&#1077;&#1075;&#1091;&#1083;&#1102;&#1074;&#1072;&#1085;&#1085;&#1103;_&#1064;&#1030;_&#1074;_&#1059;&#1082;&#1088;&#1072;&#1111;&#1085;&#1110;_&#1040;&#1053;&#1043;&#1051;.pdf" TargetMode="External"/><Relationship Id="rId245" Type="http://schemas.openxmlformats.org/officeDocument/2006/relationships/hyperlink" Target="https://ssrn.com/abstract=2371396" TargetMode="External"/><Relationship Id="rId452" Type="http://schemas.openxmlformats.org/officeDocument/2006/relationships/hyperlink" Target="https://zakon.rada.gov.ua/laws/show/995_588" TargetMode="External"/><Relationship Id="rId1082" Type="http://schemas.openxmlformats.org/officeDocument/2006/relationships/hyperlink" Target="https://www.nato.int/cps/uk/natohq/topics_217652.htm?selectedLocale=uk&amp;utm_source=chatgpt.cm" TargetMode="External"/><Relationship Id="rId2133" Type="http://schemas.openxmlformats.org/officeDocument/2006/relationships/hyperlink" Target="https://pau.edu.ua/wpcontent/uploads/2024/10/Konferenciya_04.11.pdf" TargetMode="External"/><Relationship Id="rId105" Type="http://schemas.openxmlformats.org/officeDocument/2006/relationships/hyperlink" Target="https://science.lpnu.ua/sites/default/files/journal-paper/2017/may/2517/vnulpurn201581333.pdf" TargetMode="External"/><Relationship Id="rId312" Type="http://schemas.openxmlformats.org/officeDocument/2006/relationships/hyperlink" Target="https://zakon.rada.gov.ua/laws/show/995_015.l" TargetMode="External"/><Relationship Id="rId2200" Type="http://schemas.openxmlformats.org/officeDocument/2006/relationships/hyperlink" Target="http://w1.c1.rada.gov.ua/pls/zweb2/webproc34?id=&amp;pf3511=59648&amp;pf35401=417467" TargetMode="External"/><Relationship Id="rId1899" Type="http://schemas.openxmlformats.org/officeDocument/2006/relationships/hyperlink" Target="https://zakon.rada.gov.ua/laws/show/1256-20" TargetMode="External"/><Relationship Id="rId1759" Type="http://schemas.openxmlformats.org/officeDocument/2006/relationships/hyperlink" Target="https://zakon.rada.gov.ua/laws/show/392/96-%D0%B2%D1%80" TargetMode="External"/><Relationship Id="rId1966" Type="http://schemas.openxmlformats.org/officeDocument/2006/relationships/hyperlink" Target="https://reports.nabu.gov.ua/archive/nabu-report-second-half-2023/digitalization-1/" TargetMode="External"/><Relationship Id="rId1619" Type="http://schemas.openxmlformats.org/officeDocument/2006/relationships/hyperlink" Target="https://www.problecon.com/export_pdf/problems-of-economy-2014-1_0-pages-26_30.pdf" TargetMode="External"/><Relationship Id="rId1826" Type="http://schemas.openxmlformats.org/officeDocument/2006/relationships/hyperlink" Target="https://doi.org/10.32838/2707-0581/2019.6/27" TargetMode="External"/><Relationship Id="rId779" Type="http://schemas.openxmlformats.org/officeDocument/2006/relationships/hyperlink" Target="https://www.un.org/depts/los/convention_agreements/texts/unclos/unclos_e.pdf" TargetMode="External"/><Relationship Id="rId986" Type="http://schemas.openxmlformats.org/officeDocument/2006/relationships/hyperlink" Target="https://e-seimas.lrs.lt/portal/legalAct/lt/TAD/0f0b6e806e2c11edbf4220f482c61c67" TargetMode="External"/><Relationship Id="rId639" Type="http://schemas.openxmlformats.org/officeDocument/2006/relationships/hyperlink" Target="https://sud.ua/ru/news/publication/196603-u-radi-zareyestruvali-zakonoproekt-yakiy-peredbachaye-zvuzhennya-imunitetu-inozemnikh-gromadyan" TargetMode="External"/><Relationship Id="rId1269" Type="http://schemas.openxmlformats.org/officeDocument/2006/relationships/hyperlink" Target="https://zakon.rada.gov.ua/laws/show/1798-19" TargetMode="External"/><Relationship Id="rId1476" Type="http://schemas.openxmlformats.org/officeDocument/2006/relationships/hyperlink" Target="https://supreme.court.gov.ua/userfiles/media/new_folder_for_uploads/supreme/ogliady/Oglyad_KCS_06_2024.pdf(%D0%B4%D0%B0%D1%82%D0%B0" TargetMode="External"/><Relationship Id="rId846" Type="http://schemas.openxmlformats.org/officeDocument/2006/relationships/hyperlink" Target="https://zakon.rada.gov.ua/laws/show/4495-17" TargetMode="External"/><Relationship Id="rId1129" Type="http://schemas.openxmlformats.org/officeDocument/2006/relationships/hyperlink" Target="https://unba.org.ua/assets/uploads/news/novosti/2016-05-17.materialy.krugliy.stil.lviv.pdf" TargetMode="External"/><Relationship Id="rId1683" Type="http://schemas.openxmlformats.org/officeDocument/2006/relationships/hyperlink" Target="https://zakon.rada.gov.ua/laws/show/322-08" TargetMode="External"/><Relationship Id="rId1890" Type="http://schemas.openxmlformats.org/officeDocument/2006/relationships/hyperlink" Target="https://zakon.rada.gov.ua/laws/show/254%D0%BA/96-%D0%B2%D1%80" TargetMode="External"/><Relationship Id="rId2527" Type="http://schemas.openxmlformats.org/officeDocument/2006/relationships/hyperlink" Target="https://ipiend.gov.ua/publication/politychna-entsyklopediia/?utm_source=chatgpt.com" TargetMode="External"/><Relationship Id="rId706" Type="http://schemas.openxmlformats.org/officeDocument/2006/relationships/hyperlink" Target="https://rates.fm/ua-uk/expert-opinion/viznannya-ta-vikonannya-rishennya-inozemnogo-sudu-v-ukrayini-sho-robiti-yaksho-shlyub-ukladeno-v-ukrayini-a-rozirvano-za-kordonom/" TargetMode="External"/><Relationship Id="rId913" Type="http://schemas.openxmlformats.org/officeDocument/2006/relationships/hyperlink" Target="https://zakon.rada.gov.ua/laws/show/2456-17" TargetMode="External"/><Relationship Id="rId1336" Type="http://schemas.openxmlformats.org/officeDocument/2006/relationships/hyperlink" Target="https://www.wipo.int/pct/en/" TargetMode="External"/><Relationship Id="rId1543" Type="http://schemas.openxmlformats.org/officeDocument/2006/relationships/hyperlink" Target="https://zakon.rada.gov.ua/laws/show/435-15" TargetMode="External"/><Relationship Id="rId1750" Type="http://schemas.openxmlformats.org/officeDocument/2006/relationships/hyperlink" Target="https://science.lpnu.ua/uk/law/vsi-vypusky/volume-8-number-129-2021/okremi-pytannya-kryminalnoyi-vidpovidalnosti-za-domashnye" TargetMode="External"/><Relationship Id="rId42" Type="http://schemas.openxmlformats.org/officeDocument/2006/relationships/hyperlink" Target="https://unesdoc.unesco.org/ark:/48223/pf0000043599" TargetMode="External"/><Relationship Id="rId1403" Type="http://schemas.openxmlformats.org/officeDocument/2006/relationships/hyperlink" Target="https://zakon.rada.gov.ua/laws/show/994_343" TargetMode="External"/><Relationship Id="rId1610" Type="http://schemas.openxmlformats.org/officeDocument/2006/relationships/hyperlink" Target="https://protocol.ua/ua/postanova_kgs_vp_vid_09_08_2023_roku_u_spravi_914_1789_19/" TargetMode="External"/><Relationship Id="rId289" Type="http://schemas.openxmlformats.org/officeDocument/2006/relationships/hyperlink" Target="https://zakon.rada.gov.ua/laws/show/995_042" TargetMode="External"/><Relationship Id="rId496" Type="http://schemas.openxmlformats.org/officeDocument/2006/relationships/hyperlink" Target="https://www.whitehouse.gov/ostp/ai-bill-of-rights/" TargetMode="External"/><Relationship Id="rId2177" Type="http://schemas.openxmlformats.org/officeDocument/2006/relationships/hyperlink" Target="https://zakon.rada.gov.ua/laws/show/2341-14" TargetMode="External"/><Relationship Id="rId2591" Type="http://schemas.openxmlformats.org/officeDocument/2006/relationships/hyperlink" Target="https://zakon.rada.gov.ua/laws/show/709-18" TargetMode="External"/><Relationship Id="rId149" Type="http://schemas.openxmlformats.org/officeDocument/2006/relationships/hyperlink" Target="https://zakon.rada.gov.ua/laws/show/995_048" TargetMode="External"/><Relationship Id="rId356" Type="http://schemas.openxmlformats.org/officeDocument/2006/relationships/hyperlink" Target="https://www.unhcr.org/ua/" TargetMode="External"/><Relationship Id="rId563" Type="http://schemas.openxmlformats.org/officeDocument/2006/relationships/hyperlink" Target="https://press.princeton.edu/books/paperback/9780691122755/making-war-and-building-peace?srsltid=AfmBOoqAA3b2n_YuxWjyt5JiARSF0PC0_ok8kU9lr1LKaUCXnRHwCjKw" TargetMode="External"/><Relationship Id="rId770" Type="http://schemas.openxmlformats.org/officeDocument/2006/relationships/hyperlink" Target="https://cfts.org.ua/articles/viyskovi_riziki_i_ne_tilki_pyat_pitan_pro_morske_strakhuvannya_v_chornomu_mori_1991" TargetMode="External"/><Relationship Id="rId1193" Type="http://schemas.openxmlformats.org/officeDocument/2006/relationships/hyperlink" Target="https://unba.org.ua/news/7413-naau-proponuedoluchiti-advokativ-do-organizacii-obminu-vijs-kovopolonenih.html" TargetMode="External"/><Relationship Id="rId2037" Type="http://schemas.openxmlformats.org/officeDocument/2006/relationships/hyperlink" Target="https://zakon.rada.gov.ua/laws/show/2135-12" TargetMode="External"/><Relationship Id="rId2244" Type="http://schemas.openxmlformats.org/officeDocument/2006/relationships/hyperlink" Target="https://supreme.court.gov.ua/supreme/pro_sud/aktyal_pytan1_kks/2024_10_06_list_vs" TargetMode="External"/><Relationship Id="rId2451" Type="http://schemas.openxmlformats.org/officeDocument/2006/relationships/image" Target="media/image10.png"/><Relationship Id="rId216" Type="http://schemas.openxmlformats.org/officeDocument/2006/relationships/hyperlink" Target="https://zakon.rada.gov.ua/laws/show/3248-VI" TargetMode="External"/><Relationship Id="rId423" Type="http://schemas.openxmlformats.org/officeDocument/2006/relationships/hyperlink" Target="https://zakon.rada.gov.ua/laws/show/254%D0%BA/96-%D0%B2%D1%80" TargetMode="External"/><Relationship Id="rId1053" Type="http://schemas.openxmlformats.org/officeDocument/2006/relationships/hyperlink" Target="https://doi.org/10.24144/2788-6018.2022.05.46" TargetMode="External"/><Relationship Id="rId1260" Type="http://schemas.openxmlformats.org/officeDocument/2006/relationships/hyperlink" Target="https://www.reuters.com/world/europe/ukraine-anti-graft-police-probing-dozens-defence-related-cases-2024-02-21/" TargetMode="External"/><Relationship Id="rId2104" Type="http://schemas.openxmlformats.org/officeDocument/2006/relationships/hyperlink" Target="https://zakon.rada.gov.ua/laws/show/1129-15" TargetMode="External"/><Relationship Id="rId630" Type="http://schemas.openxmlformats.org/officeDocument/2006/relationships/hyperlink" Target="https://www.dw.com/uk/so-zminitsa-u-migracijnij-politici-es-v-2023-roci/a-64220445" TargetMode="External"/><Relationship Id="rId2311" Type="http://schemas.openxmlformats.org/officeDocument/2006/relationships/hyperlink" Target="https://surl.lu/erpimh" TargetMode="External"/><Relationship Id="rId1120" Type="http://schemas.openxmlformats.org/officeDocument/2006/relationships/hyperlink" Target="https://doi.org/10.31732/2708-339X-2024-12-A4" TargetMode="External"/><Relationship Id="rId1937" Type="http://schemas.openxmlformats.org/officeDocument/2006/relationships/hyperlink" Target="https://dspace.nlu.edu.ua/handle/123456789/14805" TargetMode="External"/><Relationship Id="rId280" Type="http://schemas.openxmlformats.org/officeDocument/2006/relationships/hyperlink" Target="https://redcross.org.ua/about-urcs/movement/" TargetMode="External"/><Relationship Id="rId140" Type="http://schemas.openxmlformats.org/officeDocument/2006/relationships/hyperlink" Target="https://ua.korrespondent.net/world/3733834-oon-vyznala-svoui-provynu-za-spalakh-epidemii-kholery-na-haiti" TargetMode="External"/><Relationship Id="rId6" Type="http://schemas.openxmlformats.org/officeDocument/2006/relationships/footnotes" Target="footnotes.xml"/><Relationship Id="rId957" Type="http://schemas.openxmlformats.org/officeDocument/2006/relationships/hyperlink" Target="https://ips.ligazakon.net/document/view/PB22027?utm_source=biz.ligazakon.net&amp;utm_medium=news&amp;utm_content=bizpress01" TargetMode="External"/><Relationship Id="rId1587" Type="http://schemas.openxmlformats.org/officeDocument/2006/relationships/hyperlink" Target="https://dspace.lvduvs.edu.ua/handle/1234567890/3471" TargetMode="External"/><Relationship Id="rId1794" Type="http://schemas.openxmlformats.org/officeDocument/2006/relationships/hyperlink" Target="https://itd.rada.gov.ua/billInfo/Bills/Card/39170" TargetMode="External"/><Relationship Id="rId2638" Type="http://schemas.openxmlformats.org/officeDocument/2006/relationships/hyperlink" Target="https://www.researchgate.net/publication/280941243_Experiences_and_Impacts_of_the_Use_of_Video_Lectures" TargetMode="External"/><Relationship Id="rId86" Type="http://schemas.openxmlformats.org/officeDocument/2006/relationships/hyperlink" Target="https://zakon.rada.gov.ua/laws/show/1402-19" TargetMode="External"/><Relationship Id="rId817" Type="http://schemas.openxmlformats.org/officeDocument/2006/relationships/hyperlink" Target="https://zakon.rada.gov.ua/laws/show/1644-14" TargetMode="External"/><Relationship Id="rId1447" Type="http://schemas.openxmlformats.org/officeDocument/2006/relationships/hyperlink" Target="https://reyestr.court.gov.ua/Review/78022499" TargetMode="External"/><Relationship Id="rId1654" Type="http://schemas.openxmlformats.org/officeDocument/2006/relationships/hyperlink" Target="https://doi.org/10.32782/chc.v050.2023.3" TargetMode="External"/><Relationship Id="rId1861" Type="http://schemas.openxmlformats.org/officeDocument/2006/relationships/hyperlink" Target="https://zakon.rada.gov.ua/laws/show/80731-10" TargetMode="External"/><Relationship Id="rId1307" Type="http://schemas.openxmlformats.org/officeDocument/2006/relationships/hyperlink" Target="http://www.pgp-journal.kiev.ua/archive/2018/8/9.pdf" TargetMode="External"/><Relationship Id="rId1514" Type="http://schemas.openxmlformats.org/officeDocument/2006/relationships/hyperlink" Target="https://zakon.rada.gov.ua/go/164-2022-%D0%BF" TargetMode="External"/><Relationship Id="rId1721" Type="http://schemas.openxmlformats.org/officeDocument/2006/relationships/hyperlink" Target="https://chasprava.com.ua/index.php/journal/article/view/489" TargetMode="External"/><Relationship Id="rId13" Type="http://schemas.openxmlformats.org/officeDocument/2006/relationships/hyperlink" Target="https://sls-journal.com.ua/uk/journals/tom-3-4-2020/kriminalny-prostupok-novi-vikliki-tlumachennya-ponyattya" TargetMode="External"/><Relationship Id="rId2288" Type="http://schemas.openxmlformats.org/officeDocument/2006/relationships/hyperlink" Target="https://dspace.onua.edu.ua/items/c77ed43d-fe00-43d4-958d-0f60923956cd" TargetMode="External"/><Relationship Id="rId2495" Type="http://schemas.openxmlformats.org/officeDocument/2006/relationships/hyperlink" Target="https://elartu.tntu.edu.ua/bitstream/lib/25207/2/MSNK_2018v2_Pelcher_M-Advantages_and_lack_of_application_72-73.pdf" TargetMode="External"/><Relationship Id="rId467" Type="http://schemas.openxmlformats.org/officeDocument/2006/relationships/hyperlink" Target="https://zakon.rada.gov.ua/laws/show/435-15" TargetMode="External"/><Relationship Id="rId1097" Type="http://schemas.openxmlformats.org/officeDocument/2006/relationships/hyperlink" Target="https://www.ukrinform.ua/rubric-society/3824958-golova-verhovnogo-sudu-pro-robotu-sudovoi-sistemi-kilkist-sprav-roste-a-stat-zmensuetsa.html" TargetMode="External"/><Relationship Id="rId2148" Type="http://schemas.openxmlformats.org/officeDocument/2006/relationships/hyperlink" Target="https://zakon.rada.gov.ua/laws/show/995_043" TargetMode="External"/><Relationship Id="rId674" Type="http://schemas.openxmlformats.org/officeDocument/2006/relationships/hyperlink" Target="https://zakon.rada.gov.ua/laws/show/995_155" TargetMode="External"/><Relationship Id="rId881" Type="http://schemas.openxmlformats.org/officeDocument/2006/relationships/hyperlink" Target="https://ukr.lb.ua/blog/oleksandr_vodennikov/371421_vidchinyayuchi_dveri_%20konstitutsiynogo.html" TargetMode="External"/><Relationship Id="rId2562" Type="http://schemas.openxmlformats.org/officeDocument/2006/relationships/hyperlink" Target="https://www.nato.int/docu/review/articles/2021/11/30/hybrid-warfare-new-threats-complexity-and-trust-as-the-antidote/index.html" TargetMode="External"/><Relationship Id="rId327" Type="http://schemas.openxmlformats.org/officeDocument/2006/relationships/hyperlink" Target="http://politics.ellib.org.ua/pages-3914.html" TargetMode="External"/><Relationship Id="rId534" Type="http://schemas.openxmlformats.org/officeDocument/2006/relationships/hyperlink" Target="https://zakon.rada.gov.ua/laws/show/5207-17" TargetMode="External"/><Relationship Id="rId741" Type="http://schemas.openxmlformats.org/officeDocument/2006/relationships/hyperlink" Target="https://zakon.rada.gov.ua/laws/show/548-2023-%D0%BF" TargetMode="External"/><Relationship Id="rId1164" Type="http://schemas.openxmlformats.org/officeDocument/2006/relationships/hyperlink" Target="https://zakon.rada.gov.ua/rada/show/n0001891-17" TargetMode="External"/><Relationship Id="rId1371" Type="http://schemas.openxmlformats.org/officeDocument/2006/relationships/hyperlink" Target="https://zakon.rada.gov.ua/laws/show/1618-15" TargetMode="External"/><Relationship Id="rId2008" Type="http://schemas.openxmlformats.org/officeDocument/2006/relationships/hyperlink" Target="https://hdl.handle.net/11300/27740" TargetMode="External"/><Relationship Id="rId2215" Type="http://schemas.openxmlformats.org/officeDocument/2006/relationships/hyperlink" Target="https://ks.echr.coe.int/documents/d/echr-ks/overview-2018-ukr" TargetMode="External"/><Relationship Id="rId2422" Type="http://schemas.openxmlformats.org/officeDocument/2006/relationships/hyperlink" Target="https://monefy.me/" TargetMode="External"/><Relationship Id="rId601" Type="http://schemas.openxmlformats.org/officeDocument/2006/relationships/hyperlink" Target="https://www.ohchr.org/en/statements-and-speeches/2024/12/hc-turk-recognising-ecocide-international-crime" TargetMode="External"/><Relationship Id="rId1024" Type="http://schemas.openxmlformats.org/officeDocument/2006/relationships/hyperlink" Target="https://yur-gazeta.com/dumka-eksperta/robota-sudiv-pid-chas-viyni-zmini-u-zakonodavstvi-ta-rekomendaciyi-rsu.html" TargetMode="External"/><Relationship Id="rId1231" Type="http://schemas.openxmlformats.org/officeDocument/2006/relationships/hyperlink" Target="https://ti-ukraine.org/en/news/obstacles-in-the-work-of-the-anti-corruption-ecosystem" TargetMode="External"/><Relationship Id="rId184" Type="http://schemas.openxmlformats.org/officeDocument/2006/relationships/hyperlink" Target="https://surl.li/eadaiu" TargetMode="External"/><Relationship Id="rId391" Type="http://schemas.openxmlformats.org/officeDocument/2006/relationships/hyperlink" Target="https://zakon.rada.gov.ua/laws/show/995_154" TargetMode="External"/><Relationship Id="rId1908" Type="http://schemas.openxmlformats.org/officeDocument/2006/relationships/hyperlink" Target="https://zakon.rada.gov.ua/laws/show/389-19" TargetMode="External"/><Relationship Id="rId2072" Type="http://schemas.openxmlformats.org/officeDocument/2006/relationships/hyperlink" Target="https://zakon.rada.gov.ua/laws/show/995_004" TargetMode="External"/><Relationship Id="rId251" Type="http://schemas.openxmlformats.org/officeDocument/2006/relationships/hyperlink" Target="https://doi.org/10.15421/172253" TargetMode="External"/><Relationship Id="rId111" Type="http://schemas.openxmlformats.org/officeDocument/2006/relationships/hyperlink" Target="https://elar.naiau.kiev.ua/server/api/core/bitstreams/af320816-188d-4332-a57c-308aed3a6cb7/content" TargetMode="External"/><Relationship Id="rId1698" Type="http://schemas.openxmlformats.org/officeDocument/2006/relationships/hyperlink" Target="https://zakon.rada.gov.ua/laws/show/2866-15" TargetMode="External"/><Relationship Id="rId928" Type="http://schemas.openxmlformats.org/officeDocument/2006/relationships/hyperlink" Target="https://zakon.rada.gov.ua/go/z1355-18" TargetMode="External"/><Relationship Id="rId1558" Type="http://schemas.openxmlformats.org/officeDocument/2006/relationships/hyperlink" Target="https://zakon.rada.gov.ua/laws/show/995_210" TargetMode="External"/><Relationship Id="rId1765" Type="http://schemas.openxmlformats.org/officeDocument/2006/relationships/hyperlink" Target="https://zakon.rada.gov.ua/laws/show/2341-14" TargetMode="External"/><Relationship Id="rId2609" Type="http://schemas.openxmlformats.org/officeDocument/2006/relationships/hyperlink" Target="https://razumkov.org.ua/images/2022/07/18/2022-ANALIT-ZAPIS-PISHULINA-2.pdf" TargetMode="External"/><Relationship Id="rId57" Type="http://schemas.openxmlformats.org/officeDocument/2006/relationships/hyperlink" Target="https://pravo-izdat.com.ua/image/data/Files/131/1-20.pdf" TargetMode="External"/><Relationship Id="rId1418" Type="http://schemas.openxmlformats.org/officeDocument/2006/relationships/hyperlink" Target="https://zakon.rada.gov.ua/laws/show/1618-15" TargetMode="External"/><Relationship Id="rId1972" Type="http://schemas.openxmlformats.org/officeDocument/2006/relationships/hyperlink" Target="URL:https://library.nlu.edu.ua/POLN_TEXT/KNIGI/1_DISKI/KRIM/html/contents.htm" TargetMode="External"/><Relationship Id="rId1625" Type="http://schemas.openxmlformats.org/officeDocument/2006/relationships/hyperlink" Target="https://verdictum.ligazakon.net/document/72008724" TargetMode="External"/><Relationship Id="rId1832" Type="http://schemas.openxmlformats.org/officeDocument/2006/relationships/hyperlink" Target="https://zakon.rada.gov.ua/laws/show/1231-20" TargetMode="External"/><Relationship Id="rId2399" Type="http://schemas.openxmlformats.org/officeDocument/2006/relationships/hyperlink" Target="https://www.hubspot.com/products/crm" TargetMode="External"/><Relationship Id="rId578" Type="http://schemas.openxmlformats.org/officeDocument/2006/relationships/hyperlink" Target="https://zakon.rada.gov.ua/laws/show/995_363" TargetMode="External"/><Relationship Id="rId785" Type="http://schemas.openxmlformats.org/officeDocument/2006/relationships/hyperlink" Target="https://surl.li/bwsoip" TargetMode="External"/><Relationship Id="rId992" Type="http://schemas.openxmlformats.org/officeDocument/2006/relationships/hyperlink" Target="https://dspace.lvduvs.edu.ua/bitstream/1234567890/4772/1/%D0%A3%D0%BF%D1%80%D0%B0%D0%B2%D0%BB%D1%96%D0%BD%D0%BD%D1%8F%20%D0%BA%D1%80%D0%B8%D0%B7%D0%BE%D0%B2%D0%B8%D0%BC%D0%B8%20%D1%81%D0%B8%D1%82%D1%83%D0%B0%D1%86%D1%96%D1%8F%D0%BC%D0%B8---%D0%92%D0%95%D0%A0%D0%A1%D0%A2%D0%9A%D0%90.pdf" TargetMode="External"/><Relationship Id="rId2259" Type="http://schemas.openxmlformats.org/officeDocument/2006/relationships/hyperlink" Target="https://uacademic.info/ua/document/0417U004318" TargetMode="External"/><Relationship Id="rId2466" Type="http://schemas.openxmlformats.org/officeDocument/2006/relationships/hyperlink" Target="https://doi.org/10.33844/ijol.2025.60462" TargetMode="External"/><Relationship Id="rId438" Type="http://schemas.openxmlformats.org/officeDocument/2006/relationships/hyperlink" Target="https://zakon.rada.gov.ua/go/475/97-%D0%B2%D1%80" TargetMode="External"/><Relationship Id="rId645" Type="http://schemas.openxmlformats.org/officeDocument/2006/relationships/hyperlink" Target="https://legalaid.gov.ua/publikatsiyi/rozluchennya-z-inozemtsem-v-ukrayini-pravda-chy-mif/?utm_source=" TargetMode="External"/><Relationship Id="rId852" Type="http://schemas.openxmlformats.org/officeDocument/2006/relationships/hyperlink" Target="https://zakon.rada.gov.ua/laws/show/1192-14" TargetMode="External"/><Relationship Id="rId1068" Type="http://schemas.openxmlformats.org/officeDocument/2006/relationships/hyperlink" Target="https://www.president.gov.ua/ua/documents/constitution/konstituciya-ukrayini-rozdil-viii" TargetMode="External"/><Relationship Id="rId1275" Type="http://schemas.openxmlformats.org/officeDocument/2006/relationships/hyperlink" Target="https://ti-ukraine.org/research/indeks-spryjnyattya-koruptsiyi-2023?utm_source=chatgpt.com" TargetMode="External"/><Relationship Id="rId1482" Type="http://schemas.openxmlformats.org/officeDocument/2006/relationships/hyperlink" Target="https://reyestr.court.gov.ua/Review/74622906" TargetMode="External"/><Relationship Id="rId2119" Type="http://schemas.openxmlformats.org/officeDocument/2006/relationships/hyperlink" Target="https://www.probacija.lv/" TargetMode="External"/><Relationship Id="rId2326" Type="http://schemas.openxmlformats.org/officeDocument/2006/relationships/image" Target="media/image1.png"/><Relationship Id="rId2533" Type="http://schemas.openxmlformats.org/officeDocument/2006/relationships/hyperlink" Target="https://proliska.org/" TargetMode="External"/><Relationship Id="rId505" Type="http://schemas.openxmlformats.org/officeDocument/2006/relationships/hyperlink" Target="https://termin.in.ua/sanktsii/" TargetMode="External"/><Relationship Id="rId712" Type="http://schemas.openxmlformats.org/officeDocument/2006/relationships/hyperlink" Target="https://www.helsinki.org.ua/wp-content/uploads/2017/03/WEB_01-2.pdf" TargetMode="External"/><Relationship Id="rId1135" Type="http://schemas.openxmlformats.org/officeDocument/2006/relationships/hyperlink" Target="https://dspace.onua.edu.ua/server/api/core/bitstreams/69979d3d-7422-42c1-b0ff-8802078f6fe0/content" TargetMode="External"/><Relationship Id="rId1342" Type="http://schemas.openxmlformats.org/officeDocument/2006/relationships/hyperlink" Target="https://doi.org/10.15421/392109" TargetMode="External"/><Relationship Id="rId1202" Type="http://schemas.openxmlformats.org/officeDocument/2006/relationships/hyperlink" Target="https://hcac.court.gov.ua/hcac/pres-centr/news/1661107/" TargetMode="External"/><Relationship Id="rId2600" Type="http://schemas.openxmlformats.org/officeDocument/2006/relationships/hyperlink" Target="https://zakon.rada.gov.ua/laws/show/3447-15" TargetMode="External"/><Relationship Id="rId295" Type="http://schemas.openxmlformats.org/officeDocument/2006/relationships/hyperlink" Target="https://zakon.rada.gov.ua/laws/show/995_015" TargetMode="External"/><Relationship Id="rId2183" Type="http://schemas.openxmlformats.org/officeDocument/2006/relationships/hyperlink" Target="https://zakon.rada.gov.ua/laws/show/994_125" TargetMode="External"/><Relationship Id="rId155" Type="http://schemas.openxmlformats.org/officeDocument/2006/relationships/hyperlink" Target="https://zakon.rada.gov.ua/laws/show/3671-17" TargetMode="External"/><Relationship Id="rId362" Type="http://schemas.openxmlformats.org/officeDocument/2006/relationships/hyperlink" Target="https://zakon.rada.gov.ua/laws/show/995_118" TargetMode="External"/><Relationship Id="rId2043" Type="http://schemas.openxmlformats.org/officeDocument/2006/relationships/hyperlink" Target="https://zakon.rada.gov.ua/laws/show/995_588" TargetMode="External"/><Relationship Id="rId2250" Type="http://schemas.openxmlformats.org/officeDocument/2006/relationships/hyperlink" Target="https://zakon.rada.gov.ua/laws/show/3477-15" TargetMode="External"/><Relationship Id="rId222" Type="http://schemas.openxmlformats.org/officeDocument/2006/relationships/hyperlink" Target="https://esu.com.ua/article-59921" TargetMode="External"/><Relationship Id="rId2110" Type="http://schemas.openxmlformats.org/officeDocument/2006/relationships/hyperlink" Target="https://reyestr.court.gov.ua/Review/118155901" TargetMode="External"/><Relationship Id="rId1669" Type="http://schemas.openxmlformats.org/officeDocument/2006/relationships/hyperlink" Target="https://www.ccohs.ca/oshanswers/psychosocial/rtw/rtw_program.html" TargetMode="External"/><Relationship Id="rId1876" Type="http://schemas.openxmlformats.org/officeDocument/2006/relationships/hyperlink" Target="http://www.lsej.org.ua/3_2024/96.pdf" TargetMode="External"/><Relationship Id="rId1529" Type="http://schemas.openxmlformats.org/officeDocument/2006/relationships/hyperlink" Target="https://reyestr.court.gov.ua/Review/111707597" TargetMode="External"/><Relationship Id="rId1736" Type="http://schemas.openxmlformats.org/officeDocument/2006/relationships/hyperlink" Target="https://reyestr.court.gov.ua/Review/117915135" TargetMode="External"/><Relationship Id="rId1943" Type="http://schemas.openxmlformats.org/officeDocument/2006/relationships/hyperlink" Target="https://dspace.univd.edu.ua/server/api/core/bitstreams/3ddabcfc-2e33-4e35-9eee-7e1c87a482c3/content" TargetMode="External"/><Relationship Id="rId28" Type="http://schemas.openxmlformats.org/officeDocument/2006/relationships/hyperlink" Target="https://zakon.rada.gov.ua/laws/show/2074-20/ed20220217%23Text" TargetMode="External"/><Relationship Id="rId1803" Type="http://schemas.openxmlformats.org/officeDocument/2006/relationships/hyperlink" Target="https://zakon.rada.gov.ua/laws/show/2341-14" TargetMode="External"/><Relationship Id="rId689" Type="http://schemas.openxmlformats.org/officeDocument/2006/relationships/hyperlink" Target="https://www.jewishvirtuallibrary.org/history-of-women-in-idf-combat-units" TargetMode="External"/><Relationship Id="rId896" Type="http://schemas.openxmlformats.org/officeDocument/2006/relationships/hyperlink" Target="https://zakon.rada.gov.ua/laws/show/254%D0%BA/96-%D0%B2%D1%80" TargetMode="External"/><Relationship Id="rId2577" Type="http://schemas.openxmlformats.org/officeDocument/2006/relationships/hyperlink" Target="https://doi.org/10.15421/352340" TargetMode="External"/><Relationship Id="rId549" Type="http://schemas.openxmlformats.org/officeDocument/2006/relationships/hyperlink" Target="URL:https://peacekeeping.un.org/en/mission/unamsil" TargetMode="External"/><Relationship Id="rId756" Type="http://schemas.openxmlformats.org/officeDocument/2006/relationships/hyperlink" Target="https://zakon.rada.gov.ua/laws/show/3475-20" TargetMode="External"/><Relationship Id="rId1179" Type="http://schemas.openxmlformats.org/officeDocument/2006/relationships/hyperlink" Target="https://parlament.org.ua/wp-content/uploads/2024/06/lab-green-book.pdf" TargetMode="External"/><Relationship Id="rId1386" Type="http://schemas.openxmlformats.org/officeDocument/2006/relationships/hyperlink" Target="https://legalposition.umsf.in.ua/archive/2019/4/31.pdf" TargetMode="External"/><Relationship Id="rId1593" Type="http://schemas.openxmlformats.org/officeDocument/2006/relationships/hyperlink" Target="https://amcu.gov.ua/pro-nas/zvitnist/richni-zviti/zvit-2024" TargetMode="External"/><Relationship Id="rId2437" Type="http://schemas.openxmlformats.org/officeDocument/2006/relationships/hyperlink" Target="https://doi.org/10.1109/ACCESS.2019.2925010" TargetMode="External"/><Relationship Id="rId409" Type="http://schemas.openxmlformats.org/officeDocument/2006/relationships/hyperlink" Target="https://www.ohchr.org/Documents/Publications/training9chapter16en.pdf" TargetMode="External"/><Relationship Id="rId963" Type="http://schemas.openxmlformats.org/officeDocument/2006/relationships/hyperlink" Target="https://zakon.rada.gov.ua/laws/show/v0035500-25" TargetMode="External"/><Relationship Id="rId1039" Type="http://schemas.openxmlformats.org/officeDocument/2006/relationships/hyperlink" Target="https://zakon.rada.gov.ua/laws/show/2747-15" TargetMode="External"/><Relationship Id="rId1246" Type="http://schemas.openxmlformats.org/officeDocument/2006/relationships/hyperlink" Target="https://www.reuters.com/world/europe/ukraine-anti-graft-police-probing-dozens-defence-related-cases-2024-02-21/" TargetMode="External"/><Relationship Id="rId92" Type="http://schemas.openxmlformats.org/officeDocument/2006/relationships/hyperlink" Target="https://www.academia.edu/20792366/Okasha_Philosophy_of_Science." TargetMode="External"/><Relationship Id="rId616" Type="http://schemas.openxmlformats.org/officeDocument/2006/relationships/hyperlink" Target="https://dictionary.cambridge.org/dictionary/english-ukrainian/legislation" TargetMode="External"/><Relationship Id="rId823" Type="http://schemas.openxmlformats.org/officeDocument/2006/relationships/hyperlink" Target="https://kclpure.kcl.ac.uk/portal/files/60864431/What_does_utmost_good_faith_mean.pdf" TargetMode="External"/><Relationship Id="rId1453" Type="http://schemas.openxmlformats.org/officeDocument/2006/relationships/hyperlink" Target="https://zakon.rada.gov.ua/laws/show/1618-15" TargetMode="External"/><Relationship Id="rId1660" Type="http://schemas.openxmlformats.org/officeDocument/2006/relationships/hyperlink" Target="https://zakon.rada.gov.ua/laws/show/1549-14" TargetMode="External"/><Relationship Id="rId2504" Type="http://schemas.openxmlformats.org/officeDocument/2006/relationships/hyperlink" Target="https://citeseerx.ist.psu.edu/document?repid=rep1&amp;type=pdf&amp;doi=69c20e378035944ffb34c922e37ab17304d7787b" TargetMode="External"/><Relationship Id="rId1106" Type="http://schemas.openxmlformats.org/officeDocument/2006/relationships/hyperlink" Target="https://pravo.ua/articles/sudit-sami/" TargetMode="External"/><Relationship Id="rId1313" Type="http://schemas.openxmlformats.org/officeDocument/2006/relationships/hyperlink" Target="https://zakon.rada.gov.ua/laws/show/3425-12" TargetMode="External"/><Relationship Id="rId1520" Type="http://schemas.openxmlformats.org/officeDocument/2006/relationships/hyperlink" Target="https://yur-gazeta.com/dumka-eksperta/mediaciya-u-sviti-innovaciyi-ta-novi-rozrobki.html" TargetMode="External"/><Relationship Id="rId199" Type="http://schemas.openxmlformats.org/officeDocument/2006/relationships/hyperlink" Target="https://economyandsociety.in.ua/index.php/journal/article/view/5166" TargetMode="External"/><Relationship Id="rId2087" Type="http://schemas.openxmlformats.org/officeDocument/2006/relationships/hyperlink" Target="https://social-science.uu.edu.ua/article/502" TargetMode="External"/><Relationship Id="rId2294" Type="http://schemas.openxmlformats.org/officeDocument/2006/relationships/hyperlink" Target="https://dspace.onu.edu.ua/server/api/core/bitstreams/7511a196-23ec-4a53-a384-442f9b93538f/content" TargetMode="External"/><Relationship Id="rId266" Type="http://schemas.openxmlformats.org/officeDocument/2006/relationships/hyperlink" Target="https://scholar.google.com.ua/citations?user=WtWyJ6YAAAAJ&amp;hl=uk&amp;oi=sra" TargetMode="External"/><Relationship Id="rId473" Type="http://schemas.openxmlformats.org/officeDocument/2006/relationships/hyperlink" Target="https://docs.un.org/en/S/2022/493" TargetMode="External"/><Relationship Id="rId680" Type="http://schemas.openxmlformats.org/officeDocument/2006/relationships/hyperlink" Target="https://zakon.rada.gov.ua/laws/show/995_153" TargetMode="External"/><Relationship Id="rId2154" Type="http://schemas.openxmlformats.org/officeDocument/2006/relationships/hyperlink" Target="http://dspace.puet.edu.ua/handle/123456789/11466" TargetMode="External"/><Relationship Id="rId126" Type="http://schemas.openxmlformats.org/officeDocument/2006/relationships/hyperlink" Target="https://chtyvo.org.ua/authors/Vovk_Oleksandr_Yosypovych/Systematyzatsiia_lytovsko_-_ruskoho_prava_druhoi_polovyny_KhV_-_pochatku_KhVI_stolit.pdf" TargetMode="External"/><Relationship Id="rId333" Type="http://schemas.openxmlformats.org/officeDocument/2006/relationships/hyperlink" Target="URL:https://zakon.rada.gov.ua/laws" TargetMode="External"/><Relationship Id="rId540" Type="http://schemas.openxmlformats.org/officeDocument/2006/relationships/hyperlink" Target="https://www.un.org/ru/about-us/un-charter" TargetMode="External"/><Relationship Id="rId1170" Type="http://schemas.openxmlformats.org/officeDocument/2006/relationships/hyperlink" Target="https://zn.ua/ukr/LAW/advokat__ne_poserednik_mizh_chinovnikom_i_klientom_.html" TargetMode="External"/><Relationship Id="rId2014" Type="http://schemas.openxmlformats.org/officeDocument/2006/relationships/hyperlink" Target="https://ks.echr.coe.int/documents/d/echr-ks/guide_art_2_ukr" TargetMode="External"/><Relationship Id="rId2221" Type="http://schemas.openxmlformats.org/officeDocument/2006/relationships/hyperlink" Target="https://dspace.onua.edu.ua/server/api/core/bitstreams/106c5467-2afb-4055-a0fb-3a500102db9c/content" TargetMode="External"/><Relationship Id="rId1030" Type="http://schemas.openxmlformats.org/officeDocument/2006/relationships/hyperlink" Target="https://zakon.rada.gov.ua/laws/show/1706-18" TargetMode="External"/><Relationship Id="rId400" Type="http://schemas.openxmlformats.org/officeDocument/2006/relationships/hyperlink" Target="https://rm.coe.int/168006b659" TargetMode="External"/><Relationship Id="rId1987" Type="http://schemas.openxmlformats.org/officeDocument/2006/relationships/hyperlink" Target="https://zakon.rada.gov.ua/laws/show/2341-14" TargetMode="External"/><Relationship Id="rId1847" Type="http://schemas.openxmlformats.org/officeDocument/2006/relationships/hyperlink" Target="https://ips.ligazakon.net/document/view/t233342?ed=2023_08_23&amp;an=16" TargetMode="External"/><Relationship Id="rId1707" Type="http://schemas.openxmlformats.org/officeDocument/2006/relationships/hyperlink" Target="https://eur-lex.europa.eu/legal-content/EN/TXT/?uri=CELEX:32019L1152" TargetMode="External"/><Relationship Id="rId190" Type="http://schemas.openxmlformats.org/officeDocument/2006/relationships/hyperlink" Target="https://www.icj-cij.org/case/116" TargetMode="External"/><Relationship Id="rId1914" Type="http://schemas.openxmlformats.org/officeDocument/2006/relationships/hyperlink" Target="http://lsej.org.ua/10_2024/151.pdf" TargetMode="External"/><Relationship Id="rId867" Type="http://schemas.openxmlformats.org/officeDocument/2006/relationships/hyperlink" Target="https://zakon.rada.gov.ua/laws/show/995_004" TargetMode="External"/><Relationship Id="rId1497" Type="http://schemas.openxmlformats.org/officeDocument/2006/relationships/hyperlink" Target="about:blank" TargetMode="External"/><Relationship Id="rId2548" Type="http://schemas.openxmlformats.org/officeDocument/2006/relationships/hyperlink" Target="https://www.csis.org/programs/strategic-technologies-program/significant-cyber-incidents" TargetMode="External"/><Relationship Id="rId727" Type="http://schemas.openxmlformats.org/officeDocument/2006/relationships/hyperlink" Target="https://cutt.ly/Ymd9b03" TargetMode="External"/><Relationship Id="rId934" Type="http://schemas.openxmlformats.org/officeDocument/2006/relationships/hyperlink" Target="https://zakon.rada.gov.ua/laws/show/1137-2019-%D0%BF" TargetMode="External"/><Relationship Id="rId1357" Type="http://schemas.openxmlformats.org/officeDocument/2006/relationships/hyperlink" Target="https://dspace.onua.edu.ua/server/api/core/bitstreams/d1dd9541-0f13-4230-b0eb" TargetMode="External"/><Relationship Id="rId1564" Type="http://schemas.openxmlformats.org/officeDocument/2006/relationships/hyperlink" Target="https://zakon.rada.gov.ua/laws/show/1404-19" TargetMode="External"/><Relationship Id="rId1771" Type="http://schemas.openxmlformats.org/officeDocument/2006/relationships/hyperlink" Target="https://reyestr.court.gov.ua/Review/74842644" TargetMode="External"/><Relationship Id="rId2408" Type="http://schemas.openxmlformats.org/officeDocument/2006/relationships/hyperlink" Target="https://docs.spring.io/spring-security/reference/index.html" TargetMode="External"/><Relationship Id="rId2615" Type="http://schemas.openxmlformats.org/officeDocument/2006/relationships/hyperlink" Target="https://detector.media/infospace/article/198447/2022-04-16-rosiyski-okupanty-zapustyly-propagandystskyy-teleproiekt-kherson-24/" TargetMode="External"/><Relationship Id="rId63" Type="http://schemas.openxmlformats.org/officeDocument/2006/relationships/hyperlink" Target="https://ndipzir.org.ua/wp-content/uploads/2020/16.11.2020/16.11.2020_35.pdf" TargetMode="External"/><Relationship Id="rId1217" Type="http://schemas.openxmlformats.org/officeDocument/2006/relationships/hyperlink" Target="https://dspace.mnau.edu.ua/jspui/bitstream/123456789/21040/1/70-71.pdf" TargetMode="External"/><Relationship Id="rId1424" Type="http://schemas.openxmlformats.org/officeDocument/2006/relationships/hyperlink" Target="https://hdl.handle.net/11300/27821" TargetMode="External"/><Relationship Id="rId1631" Type="http://schemas.openxmlformats.org/officeDocument/2006/relationships/hyperlink" Target="chrome-extension://efaidnbmnnnibpcajpcglclefindmkaj/https:/ird.gov.ua/irdp/p20220033.pdf" TargetMode="External"/><Relationship Id="rId2198" Type="http://schemas.openxmlformats.org/officeDocument/2006/relationships/hyperlink" Target="https://zakon.rada.gov.ua/laws/show/4651-17" TargetMode="External"/><Relationship Id="rId377" Type="http://schemas.openxmlformats.org/officeDocument/2006/relationships/hyperlink" Target="https://doi.org/10.54929/2786-5746-2022-6-01-04" TargetMode="External"/><Relationship Id="rId584" Type="http://schemas.openxmlformats.org/officeDocument/2006/relationships/hyperlink" Target="https://zakon.rada.gov.ua/laws/show/2709-15" TargetMode="External"/><Relationship Id="rId2058" Type="http://schemas.openxmlformats.org/officeDocument/2006/relationships/hyperlink" Target="https://www.navs.edu.ua/files/naukovadiyalnist/naukovizaxodi/zbirnuki/profil-zloch.pdf" TargetMode="External"/><Relationship Id="rId2265" Type="http://schemas.openxmlformats.org/officeDocument/2006/relationships/hyperlink" Target="https://hudoc.echr.coe.int/eng?i=001-10887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zakon.rada.gov.ua/laws/show/2148-0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SIST02.XSL" StyleName="SIST02"/>
</file>

<file path=customXml/itemProps1.xml><?xml version="1.0" encoding="utf-8"?>
<ds:datastoreItem xmlns:ds="http://schemas.openxmlformats.org/officeDocument/2006/customXml" ds:itemID="{50017D6E-97F9-4613-A8D2-D638E2E5CB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2925</Pages>
  <Words>1118887</Words>
  <Characters>6377657</Characters>
  <Application>Microsoft Office Word</Application>
  <DocSecurity>0</DocSecurity>
  <Lines>53147</Lines>
  <Paragraphs>14963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7481581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апрол</dc:creator>
  <cp:keywords/>
  <dc:description/>
  <cp:lastModifiedBy>User</cp:lastModifiedBy>
  <cp:revision>2</cp:revision>
  <cp:lastPrinted>2025-09-08T08:42:00Z</cp:lastPrinted>
  <dcterms:created xsi:type="dcterms:W3CDTF">2025-09-15T07:43:00Z</dcterms:created>
  <dcterms:modified xsi:type="dcterms:W3CDTF">2025-09-15T07:43:00Z</dcterms:modified>
</cp:coreProperties>
</file>